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Default Extension="png" ContentType="image/png"/>
  <Override PartName="/word/footer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84"/>
        <w:ind w:left="1371" w:right="1135" w:firstLine="0"/>
        <w:jc w:val="center"/>
        <w:rPr>
          <w:rFonts w:ascii="Arial Black"/>
          <w:sz w:val="36"/>
        </w:rPr>
      </w:pPr>
      <w:r>
        <w:rPr>
          <w:rFonts w:ascii="Arial Black"/>
          <w:sz w:val="36"/>
        </w:rPr>
        <w:t>CAPITAL</w:t>
      </w:r>
      <w:r>
        <w:rPr>
          <w:rFonts w:ascii="Arial Black"/>
          <w:spacing w:val="-8"/>
          <w:sz w:val="36"/>
        </w:rPr>
        <w:t> </w:t>
      </w:r>
      <w:r>
        <w:rPr>
          <w:rFonts w:ascii="Arial Black"/>
          <w:sz w:val="36"/>
        </w:rPr>
        <w:t>FLIGHT</w:t>
      </w:r>
      <w:r>
        <w:rPr>
          <w:rFonts w:ascii="Arial Black"/>
          <w:spacing w:val="-9"/>
          <w:sz w:val="36"/>
        </w:rPr>
        <w:t> </w:t>
      </w:r>
      <w:r>
        <w:rPr>
          <w:rFonts w:ascii="Arial Black"/>
          <w:sz w:val="36"/>
        </w:rPr>
        <w:t>AND</w:t>
      </w:r>
      <w:r>
        <w:rPr>
          <w:rFonts w:ascii="Arial Black"/>
          <w:spacing w:val="-6"/>
          <w:sz w:val="36"/>
        </w:rPr>
        <w:t> </w:t>
      </w:r>
      <w:r>
        <w:rPr>
          <w:rFonts w:ascii="Arial Black"/>
          <w:sz w:val="36"/>
        </w:rPr>
        <w:t>ECONOMIC</w:t>
      </w:r>
      <w:r>
        <w:rPr>
          <w:rFonts w:ascii="Arial Black"/>
          <w:spacing w:val="-8"/>
          <w:sz w:val="36"/>
        </w:rPr>
        <w:t> </w:t>
      </w:r>
      <w:r>
        <w:rPr>
          <w:rFonts w:ascii="Arial Black"/>
          <w:sz w:val="36"/>
        </w:rPr>
        <w:t>GROWTH</w:t>
      </w:r>
      <w:r>
        <w:rPr>
          <w:rFonts w:ascii="Arial Black"/>
          <w:spacing w:val="-8"/>
          <w:sz w:val="36"/>
        </w:rPr>
        <w:t> </w:t>
      </w:r>
      <w:r>
        <w:rPr>
          <w:rFonts w:ascii="Arial Black"/>
          <w:sz w:val="36"/>
        </w:rPr>
        <w:t>IN NIGERIA (1970 -2011)</w:t>
      </w:r>
    </w:p>
    <w:p>
      <w:pPr>
        <w:pStyle w:val="BodyText"/>
        <w:rPr>
          <w:rFonts w:ascii="Arial Black"/>
          <w:sz w:val="36"/>
        </w:rPr>
      </w:pPr>
    </w:p>
    <w:p>
      <w:pPr>
        <w:pStyle w:val="BodyText"/>
        <w:spacing w:before="177"/>
        <w:rPr>
          <w:rFonts w:ascii="Arial Black"/>
          <w:sz w:val="36"/>
        </w:rPr>
      </w:pPr>
    </w:p>
    <w:p>
      <w:pPr>
        <w:spacing w:before="0"/>
        <w:ind w:left="238" w:right="0" w:firstLine="0"/>
        <w:jc w:val="center"/>
        <w:rPr>
          <w:b/>
          <w:sz w:val="36"/>
        </w:rPr>
      </w:pPr>
      <w:r>
        <w:rPr>
          <w:b/>
          <w:spacing w:val="-5"/>
          <w:sz w:val="36"/>
        </w:rPr>
        <w:t>BY</w:t>
      </w:r>
    </w:p>
    <w:p>
      <w:pPr>
        <w:pStyle w:val="BodyText"/>
        <w:spacing w:before="277"/>
        <w:rPr>
          <w:b/>
          <w:sz w:val="36"/>
        </w:rPr>
      </w:pPr>
    </w:p>
    <w:p>
      <w:pPr>
        <w:pStyle w:val="Title"/>
      </w:pPr>
      <w:r>
        <w:rPr/>
        <w:t>OKE,</w:t>
      </w:r>
      <w:r>
        <w:rPr>
          <w:spacing w:val="-3"/>
        </w:rPr>
        <w:t> </w:t>
      </w:r>
      <w:r>
        <w:rPr/>
        <w:t>MICHAEL</w:t>
      </w:r>
      <w:r>
        <w:rPr>
          <w:spacing w:val="-3"/>
        </w:rPr>
        <w:t> </w:t>
      </w:r>
      <w:r>
        <w:rPr>
          <w:spacing w:val="-5"/>
        </w:rPr>
        <w:t>OJO</w:t>
      </w:r>
    </w:p>
    <w:p>
      <w:pPr>
        <w:spacing w:line="368" w:lineRule="exact" w:before="0"/>
        <w:ind w:left="0" w:right="602" w:firstLine="0"/>
        <w:jc w:val="center"/>
        <w:rPr>
          <w:b/>
          <w:sz w:val="32"/>
        </w:rPr>
      </w:pPr>
      <w:r>
        <w:rPr>
          <w:b/>
          <w:sz w:val="32"/>
        </w:rPr>
        <w:t>MATRIC</w:t>
      </w:r>
      <w:r>
        <w:rPr>
          <w:b/>
          <w:spacing w:val="-10"/>
          <w:sz w:val="32"/>
        </w:rPr>
        <w:t> </w:t>
      </w:r>
      <w:r>
        <w:rPr>
          <w:b/>
          <w:sz w:val="32"/>
        </w:rPr>
        <w:t>NO:</w:t>
      </w:r>
      <w:r>
        <w:rPr>
          <w:b/>
          <w:spacing w:val="-12"/>
          <w:sz w:val="32"/>
        </w:rPr>
        <w:t> </w:t>
      </w:r>
      <w:r>
        <w:rPr>
          <w:b/>
          <w:spacing w:val="-2"/>
          <w:sz w:val="32"/>
        </w:rPr>
        <w:t>019025022</w:t>
      </w:r>
    </w:p>
    <w:p>
      <w:pPr>
        <w:pStyle w:val="BodyText"/>
        <w:spacing w:before="276"/>
        <w:rPr>
          <w:b/>
          <w:sz w:val="32"/>
        </w:rPr>
      </w:pPr>
    </w:p>
    <w:p>
      <w:pPr>
        <w:spacing w:before="0"/>
        <w:ind w:left="240" w:right="0" w:firstLine="0"/>
        <w:jc w:val="center"/>
        <w:rPr>
          <w:b/>
          <w:i/>
          <w:sz w:val="40"/>
        </w:rPr>
      </w:pPr>
      <w:r>
        <w:rPr>
          <w:b/>
          <w:i/>
          <w:sz w:val="40"/>
        </w:rPr>
        <w:t>B.Sc</w:t>
      </w:r>
      <w:r>
        <w:rPr>
          <w:b/>
          <w:i/>
          <w:spacing w:val="-5"/>
          <w:sz w:val="40"/>
        </w:rPr>
        <w:t> </w:t>
      </w:r>
      <w:r>
        <w:rPr>
          <w:b/>
          <w:i/>
          <w:sz w:val="40"/>
        </w:rPr>
        <w:t>(Hons)</w:t>
      </w:r>
      <w:r>
        <w:rPr>
          <w:b/>
          <w:i/>
          <w:spacing w:val="-3"/>
          <w:sz w:val="40"/>
        </w:rPr>
        <w:t> </w:t>
      </w:r>
      <w:r>
        <w:rPr>
          <w:b/>
          <w:i/>
          <w:sz w:val="40"/>
        </w:rPr>
        <w:t>1999,</w:t>
      </w:r>
      <w:r>
        <w:rPr>
          <w:b/>
          <w:i/>
          <w:spacing w:val="-3"/>
          <w:sz w:val="40"/>
        </w:rPr>
        <w:t> </w:t>
      </w:r>
      <w:r>
        <w:rPr>
          <w:b/>
          <w:i/>
          <w:sz w:val="40"/>
        </w:rPr>
        <w:t>OSUA;</w:t>
      </w:r>
      <w:r>
        <w:rPr>
          <w:b/>
          <w:i/>
          <w:spacing w:val="-2"/>
          <w:sz w:val="40"/>
        </w:rPr>
        <w:t> </w:t>
      </w:r>
      <w:r>
        <w:rPr>
          <w:b/>
          <w:i/>
          <w:sz w:val="40"/>
        </w:rPr>
        <w:t>M.Sc.</w:t>
      </w:r>
      <w:r>
        <w:rPr>
          <w:b/>
          <w:i/>
          <w:spacing w:val="-2"/>
          <w:sz w:val="40"/>
        </w:rPr>
        <w:t> </w:t>
      </w:r>
      <w:r>
        <w:rPr>
          <w:b/>
          <w:i/>
          <w:sz w:val="40"/>
        </w:rPr>
        <w:t>2003</w:t>
      </w:r>
      <w:r>
        <w:rPr>
          <w:b/>
          <w:i/>
          <w:spacing w:val="-3"/>
          <w:sz w:val="40"/>
        </w:rPr>
        <w:t> </w:t>
      </w:r>
      <w:r>
        <w:rPr>
          <w:b/>
          <w:i/>
          <w:spacing w:val="-2"/>
          <w:sz w:val="40"/>
        </w:rPr>
        <w:t>UNILAG</w:t>
      </w:r>
    </w:p>
    <w:p>
      <w:pPr>
        <w:pStyle w:val="BodyText"/>
        <w:rPr>
          <w:b/>
          <w:i/>
          <w:sz w:val="40"/>
        </w:rPr>
      </w:pPr>
    </w:p>
    <w:p>
      <w:pPr>
        <w:pStyle w:val="BodyText"/>
        <w:spacing w:before="368"/>
        <w:rPr>
          <w:b/>
          <w:i/>
          <w:sz w:val="40"/>
        </w:rPr>
      </w:pPr>
    </w:p>
    <w:p>
      <w:pPr>
        <w:spacing w:before="0"/>
        <w:ind w:left="237" w:right="0" w:firstLine="0"/>
        <w:jc w:val="center"/>
        <w:rPr>
          <w:b/>
          <w:sz w:val="34"/>
        </w:rPr>
      </w:pPr>
      <w:r>
        <w:rPr>
          <w:b/>
          <w:sz w:val="34"/>
        </w:rPr>
        <w:t>BEING</w:t>
      </w:r>
      <w:r>
        <w:rPr>
          <w:b/>
          <w:spacing w:val="-5"/>
          <w:sz w:val="34"/>
        </w:rPr>
        <w:t> </w:t>
      </w:r>
      <w:r>
        <w:rPr>
          <w:b/>
          <w:sz w:val="34"/>
        </w:rPr>
        <w:t>A</w:t>
      </w:r>
      <w:r>
        <w:rPr>
          <w:b/>
          <w:spacing w:val="-2"/>
          <w:sz w:val="34"/>
        </w:rPr>
        <w:t> THESIS</w:t>
      </w:r>
    </w:p>
    <w:p>
      <w:pPr>
        <w:spacing w:before="0"/>
        <w:ind w:left="898" w:right="659" w:firstLine="0"/>
        <w:jc w:val="center"/>
        <w:rPr>
          <w:b/>
          <w:sz w:val="34"/>
        </w:rPr>
      </w:pPr>
      <w:r>
        <w:rPr>
          <w:b/>
          <w:sz w:val="34"/>
        </w:rPr>
        <w:t>SUBMITTED</w:t>
      </w:r>
      <w:r>
        <w:rPr>
          <w:b/>
          <w:spacing w:val="-6"/>
          <w:sz w:val="34"/>
        </w:rPr>
        <w:t> </w:t>
      </w:r>
      <w:r>
        <w:rPr>
          <w:b/>
          <w:sz w:val="34"/>
        </w:rPr>
        <w:t>TO</w:t>
      </w:r>
      <w:r>
        <w:rPr>
          <w:b/>
          <w:spacing w:val="-5"/>
          <w:sz w:val="34"/>
        </w:rPr>
        <w:t> </w:t>
      </w:r>
      <w:r>
        <w:rPr>
          <w:b/>
          <w:sz w:val="34"/>
        </w:rPr>
        <w:t>THE</w:t>
      </w:r>
      <w:r>
        <w:rPr>
          <w:b/>
          <w:spacing w:val="-6"/>
          <w:sz w:val="34"/>
        </w:rPr>
        <w:t> </w:t>
      </w:r>
      <w:r>
        <w:rPr>
          <w:b/>
          <w:sz w:val="34"/>
        </w:rPr>
        <w:t>SCHOOL</w:t>
      </w:r>
      <w:r>
        <w:rPr>
          <w:b/>
          <w:spacing w:val="-4"/>
          <w:sz w:val="34"/>
        </w:rPr>
        <w:t> </w:t>
      </w:r>
      <w:r>
        <w:rPr>
          <w:b/>
          <w:sz w:val="34"/>
        </w:rPr>
        <w:t>OF</w:t>
      </w:r>
      <w:r>
        <w:rPr>
          <w:b/>
          <w:spacing w:val="-6"/>
          <w:sz w:val="34"/>
        </w:rPr>
        <w:t> </w:t>
      </w:r>
      <w:r>
        <w:rPr>
          <w:b/>
          <w:sz w:val="34"/>
        </w:rPr>
        <w:t>POSTGRADUATE</w:t>
      </w:r>
      <w:r>
        <w:rPr>
          <w:b/>
          <w:spacing w:val="-5"/>
          <w:sz w:val="34"/>
        </w:rPr>
        <w:t> </w:t>
      </w:r>
      <w:r>
        <w:rPr>
          <w:b/>
          <w:sz w:val="34"/>
        </w:rPr>
        <w:t>STUDIES, DEPARTMENT OF FINANCE,</w:t>
      </w:r>
    </w:p>
    <w:p>
      <w:pPr>
        <w:spacing w:line="389" w:lineRule="exact" w:before="0"/>
        <w:ind w:left="233" w:right="0" w:firstLine="0"/>
        <w:jc w:val="center"/>
        <w:rPr>
          <w:b/>
          <w:sz w:val="34"/>
        </w:rPr>
      </w:pPr>
      <w:r>
        <w:rPr>
          <w:b/>
          <w:sz w:val="34"/>
        </w:rPr>
        <w:t>UNIVERSITY</w:t>
      </w:r>
      <w:r>
        <w:rPr>
          <w:b/>
          <w:spacing w:val="-8"/>
          <w:sz w:val="34"/>
        </w:rPr>
        <w:t> </w:t>
      </w:r>
      <w:r>
        <w:rPr>
          <w:b/>
          <w:sz w:val="34"/>
        </w:rPr>
        <w:t>OF</w:t>
      </w:r>
      <w:r>
        <w:rPr>
          <w:b/>
          <w:spacing w:val="-5"/>
          <w:sz w:val="34"/>
        </w:rPr>
        <w:t> </w:t>
      </w:r>
      <w:r>
        <w:rPr>
          <w:b/>
          <w:sz w:val="34"/>
        </w:rPr>
        <w:t>LAGOS,</w:t>
      </w:r>
      <w:r>
        <w:rPr>
          <w:b/>
          <w:spacing w:val="-8"/>
          <w:sz w:val="34"/>
        </w:rPr>
        <w:t> </w:t>
      </w:r>
      <w:r>
        <w:rPr>
          <w:b/>
          <w:spacing w:val="-2"/>
          <w:sz w:val="34"/>
        </w:rPr>
        <w:t>AKOKA</w:t>
      </w:r>
    </w:p>
    <w:p>
      <w:pPr>
        <w:pStyle w:val="BodyText"/>
        <w:rPr>
          <w:b/>
          <w:sz w:val="34"/>
        </w:rPr>
      </w:pPr>
    </w:p>
    <w:p>
      <w:pPr>
        <w:pStyle w:val="BodyText"/>
        <w:spacing w:before="256"/>
        <w:rPr>
          <w:b/>
          <w:sz w:val="34"/>
        </w:rPr>
      </w:pPr>
    </w:p>
    <w:p>
      <w:pPr>
        <w:spacing w:before="0"/>
        <w:ind w:left="961" w:right="724" w:firstLine="0"/>
        <w:jc w:val="center"/>
        <w:rPr>
          <w:b/>
          <w:sz w:val="36"/>
        </w:rPr>
      </w:pPr>
      <w:r>
        <w:rPr>
          <w:b/>
          <w:sz w:val="36"/>
        </w:rPr>
        <w:t>IN</w:t>
      </w:r>
      <w:r>
        <w:rPr>
          <w:b/>
          <w:spacing w:val="-7"/>
          <w:sz w:val="36"/>
        </w:rPr>
        <w:t> </w:t>
      </w:r>
      <w:r>
        <w:rPr>
          <w:b/>
          <w:sz w:val="36"/>
        </w:rPr>
        <w:t>PARTIAL</w:t>
      </w:r>
      <w:r>
        <w:rPr>
          <w:b/>
          <w:spacing w:val="-6"/>
          <w:sz w:val="36"/>
        </w:rPr>
        <w:t> </w:t>
      </w:r>
      <w:r>
        <w:rPr>
          <w:b/>
          <w:sz w:val="36"/>
        </w:rPr>
        <w:t>FULFILMENT</w:t>
      </w:r>
      <w:r>
        <w:rPr>
          <w:b/>
          <w:spacing w:val="-6"/>
          <w:sz w:val="36"/>
        </w:rPr>
        <w:t> </w:t>
      </w:r>
      <w:r>
        <w:rPr>
          <w:b/>
          <w:sz w:val="36"/>
        </w:rPr>
        <w:t>OF</w:t>
      </w:r>
      <w:r>
        <w:rPr>
          <w:b/>
          <w:spacing w:val="-4"/>
          <w:sz w:val="36"/>
        </w:rPr>
        <w:t> </w:t>
      </w:r>
      <w:r>
        <w:rPr>
          <w:b/>
          <w:sz w:val="36"/>
        </w:rPr>
        <w:t>THE</w:t>
      </w:r>
      <w:r>
        <w:rPr>
          <w:b/>
          <w:spacing w:val="-8"/>
          <w:sz w:val="36"/>
        </w:rPr>
        <w:t> </w:t>
      </w:r>
      <w:r>
        <w:rPr>
          <w:b/>
          <w:sz w:val="36"/>
        </w:rPr>
        <w:t>REQUIREMENTS</w:t>
      </w:r>
      <w:r>
        <w:rPr>
          <w:b/>
          <w:spacing w:val="-6"/>
          <w:sz w:val="36"/>
        </w:rPr>
        <w:t> </w:t>
      </w:r>
      <w:r>
        <w:rPr>
          <w:b/>
          <w:sz w:val="36"/>
        </w:rPr>
        <w:t>FOR THE AWARD OF THE DEGREE OF DOCTOR OF PHILOSOPHY (Ph.D.) IN FINANCE</w:t>
      </w:r>
    </w:p>
    <w:p>
      <w:pPr>
        <w:pStyle w:val="BodyText"/>
        <w:rPr>
          <w:b/>
          <w:sz w:val="36"/>
        </w:rPr>
      </w:pPr>
    </w:p>
    <w:p>
      <w:pPr>
        <w:pStyle w:val="BodyText"/>
        <w:rPr>
          <w:b/>
          <w:sz w:val="36"/>
        </w:rPr>
      </w:pPr>
    </w:p>
    <w:p>
      <w:pPr>
        <w:pStyle w:val="BodyText"/>
        <w:spacing w:before="207"/>
        <w:rPr>
          <w:b/>
          <w:sz w:val="36"/>
        </w:rPr>
      </w:pPr>
    </w:p>
    <w:p>
      <w:pPr>
        <w:spacing w:before="0"/>
        <w:ind w:left="0" w:right="1112" w:firstLine="0"/>
        <w:jc w:val="right"/>
        <w:rPr>
          <w:b/>
          <w:sz w:val="36"/>
        </w:rPr>
      </w:pPr>
      <w:r>
        <w:rPr>
          <w:b/>
          <w:sz w:val="32"/>
        </w:rPr>
        <w:t>FEBRUARY</w:t>
      </w:r>
      <w:r>
        <w:rPr>
          <w:b/>
          <w:sz w:val="36"/>
        </w:rPr>
        <w:t>,</w:t>
      </w:r>
      <w:r>
        <w:rPr>
          <w:b/>
          <w:spacing w:val="-15"/>
          <w:sz w:val="36"/>
        </w:rPr>
        <w:t> </w:t>
      </w:r>
      <w:r>
        <w:rPr>
          <w:b/>
          <w:spacing w:val="-4"/>
          <w:sz w:val="36"/>
        </w:rPr>
        <w:t>2014</w:t>
      </w:r>
    </w:p>
    <w:p>
      <w:pPr>
        <w:spacing w:after="0"/>
        <w:jc w:val="right"/>
        <w:rPr>
          <w:sz w:val="36"/>
        </w:rPr>
        <w:sectPr>
          <w:footerReference w:type="default" r:id="rId5"/>
          <w:type w:val="continuous"/>
          <w:pgSz w:w="11910" w:h="16840"/>
          <w:pgMar w:header="0" w:footer="1039" w:top="1340" w:bottom="1220" w:left="280" w:right="0"/>
          <w:pgNumType w:start="1"/>
        </w:sectPr>
      </w:pPr>
    </w:p>
    <w:p>
      <w:pPr>
        <w:pStyle w:val="Heading1"/>
        <w:spacing w:line="360" w:lineRule="auto"/>
        <w:ind w:left="3212" w:right="2973"/>
      </w:pPr>
      <w:r>
        <w:rPr/>
        <w:t>SCHOOL</w:t>
      </w:r>
      <w:r>
        <w:rPr>
          <w:spacing w:val="-11"/>
        </w:rPr>
        <w:t> </w:t>
      </w:r>
      <w:r>
        <w:rPr/>
        <w:t>OF</w:t>
      </w:r>
      <w:r>
        <w:rPr>
          <w:spacing w:val="-11"/>
        </w:rPr>
        <w:t> </w:t>
      </w:r>
      <w:r>
        <w:rPr/>
        <w:t>POSTGRADUATE</w:t>
      </w:r>
      <w:r>
        <w:rPr>
          <w:spacing w:val="-10"/>
        </w:rPr>
        <w:t> </w:t>
      </w:r>
      <w:r>
        <w:rPr/>
        <w:t>STUDIES UNIVERSITY OF LAGOS </w:t>
      </w:r>
      <w:r>
        <w:rPr>
          <w:spacing w:val="-2"/>
        </w:rPr>
        <w:t>CERTIFICATION</w:t>
      </w:r>
    </w:p>
    <w:p>
      <w:pPr>
        <w:spacing w:before="1"/>
        <w:ind w:left="235" w:right="0" w:firstLine="0"/>
        <w:jc w:val="center"/>
        <w:rPr>
          <w:sz w:val="28"/>
        </w:rPr>
      </w:pPr>
      <w:r>
        <w:rPr>
          <w:sz w:val="28"/>
        </w:rPr>
        <w:t>This</w:t>
      </w:r>
      <w:r>
        <w:rPr>
          <w:spacing w:val="-2"/>
          <w:sz w:val="28"/>
        </w:rPr>
        <w:t> </w:t>
      </w:r>
      <w:r>
        <w:rPr>
          <w:sz w:val="28"/>
        </w:rPr>
        <w:t>is</w:t>
      </w:r>
      <w:r>
        <w:rPr>
          <w:spacing w:val="-1"/>
          <w:sz w:val="28"/>
        </w:rPr>
        <w:t> </w:t>
      </w:r>
      <w:r>
        <w:rPr>
          <w:sz w:val="28"/>
        </w:rPr>
        <w:t>to</w:t>
      </w:r>
      <w:r>
        <w:rPr>
          <w:spacing w:val="-1"/>
          <w:sz w:val="28"/>
        </w:rPr>
        <w:t> </w:t>
      </w:r>
      <w:r>
        <w:rPr>
          <w:sz w:val="28"/>
        </w:rPr>
        <w:t>Certify</w:t>
      </w:r>
      <w:r>
        <w:rPr>
          <w:spacing w:val="-5"/>
          <w:sz w:val="28"/>
        </w:rPr>
        <w:t> </w:t>
      </w:r>
      <w:r>
        <w:rPr>
          <w:sz w:val="28"/>
        </w:rPr>
        <w:t>that</w:t>
      </w:r>
      <w:r>
        <w:rPr>
          <w:spacing w:val="-3"/>
          <w:sz w:val="28"/>
        </w:rPr>
        <w:t> </w:t>
      </w:r>
      <w:r>
        <w:rPr>
          <w:sz w:val="28"/>
        </w:rPr>
        <w:t>the</w:t>
      </w:r>
      <w:r>
        <w:rPr>
          <w:spacing w:val="-2"/>
          <w:sz w:val="28"/>
        </w:rPr>
        <w:t> Thesis:</w:t>
      </w:r>
    </w:p>
    <w:p>
      <w:pPr>
        <w:spacing w:before="162"/>
        <w:ind w:left="240" w:right="0" w:firstLine="0"/>
        <w:jc w:val="center"/>
        <w:rPr>
          <w:sz w:val="28"/>
        </w:rPr>
      </w:pPr>
      <w:r>
        <w:rPr>
          <w:sz w:val="36"/>
        </w:rPr>
        <w:t>“</w:t>
      </w:r>
      <w:r>
        <w:rPr>
          <w:sz w:val="28"/>
        </w:rPr>
        <w:t>CAPITAL</w:t>
      </w:r>
      <w:r>
        <w:rPr>
          <w:spacing w:val="-9"/>
          <w:sz w:val="28"/>
        </w:rPr>
        <w:t> </w:t>
      </w:r>
      <w:r>
        <w:rPr>
          <w:sz w:val="28"/>
        </w:rPr>
        <w:t>FLIGHT</w:t>
      </w:r>
      <w:r>
        <w:rPr>
          <w:spacing w:val="-4"/>
          <w:sz w:val="28"/>
        </w:rPr>
        <w:t> </w:t>
      </w:r>
      <w:r>
        <w:rPr>
          <w:sz w:val="28"/>
        </w:rPr>
        <w:t>AND</w:t>
      </w:r>
      <w:r>
        <w:rPr>
          <w:spacing w:val="-5"/>
          <w:sz w:val="28"/>
        </w:rPr>
        <w:t> </w:t>
      </w:r>
      <w:r>
        <w:rPr>
          <w:sz w:val="28"/>
        </w:rPr>
        <w:t>ECONOMIC</w:t>
      </w:r>
      <w:r>
        <w:rPr>
          <w:spacing w:val="-4"/>
          <w:sz w:val="28"/>
        </w:rPr>
        <w:t> </w:t>
      </w:r>
      <w:r>
        <w:rPr>
          <w:sz w:val="28"/>
        </w:rPr>
        <w:t>GROWTH</w:t>
      </w:r>
      <w:r>
        <w:rPr>
          <w:spacing w:val="-6"/>
          <w:sz w:val="28"/>
        </w:rPr>
        <w:t> </w:t>
      </w:r>
      <w:r>
        <w:rPr>
          <w:sz w:val="28"/>
        </w:rPr>
        <w:t>IN</w:t>
      </w:r>
      <w:r>
        <w:rPr>
          <w:spacing w:val="-5"/>
          <w:sz w:val="28"/>
        </w:rPr>
        <w:t> </w:t>
      </w:r>
      <w:r>
        <w:rPr>
          <w:sz w:val="28"/>
        </w:rPr>
        <w:t>NIGERIA</w:t>
      </w:r>
      <w:r>
        <w:rPr>
          <w:spacing w:val="-6"/>
          <w:sz w:val="28"/>
        </w:rPr>
        <w:t> </w:t>
      </w:r>
      <w:r>
        <w:rPr>
          <w:sz w:val="28"/>
        </w:rPr>
        <w:t>(1970</w:t>
      </w:r>
      <w:r>
        <w:rPr>
          <w:spacing w:val="-1"/>
          <w:sz w:val="28"/>
        </w:rPr>
        <w:t> </w:t>
      </w:r>
      <w:r>
        <w:rPr>
          <w:sz w:val="28"/>
        </w:rPr>
        <w:t>-</w:t>
      </w:r>
      <w:r>
        <w:rPr>
          <w:spacing w:val="-2"/>
          <w:sz w:val="28"/>
        </w:rPr>
        <w:t>2011)”</w:t>
      </w:r>
    </w:p>
    <w:p>
      <w:pPr>
        <w:spacing w:before="206"/>
        <w:ind w:left="955" w:right="0" w:firstLine="0"/>
        <w:jc w:val="center"/>
        <w:rPr>
          <w:sz w:val="28"/>
        </w:rPr>
      </w:pPr>
      <w:r>
        <w:rPr>
          <w:sz w:val="28"/>
        </w:rPr>
        <w:t>Submitted</w:t>
      </w:r>
      <w:r>
        <w:rPr>
          <w:spacing w:val="-8"/>
          <w:sz w:val="28"/>
        </w:rPr>
        <w:t> </w:t>
      </w:r>
      <w:r>
        <w:rPr>
          <w:sz w:val="28"/>
        </w:rPr>
        <w:t>to</w:t>
      </w:r>
      <w:r>
        <w:rPr>
          <w:spacing w:val="-6"/>
          <w:sz w:val="28"/>
        </w:rPr>
        <w:t> </w:t>
      </w:r>
      <w:r>
        <w:rPr>
          <w:spacing w:val="-5"/>
          <w:sz w:val="28"/>
        </w:rPr>
        <w:t>the</w:t>
      </w:r>
    </w:p>
    <w:p>
      <w:pPr>
        <w:spacing w:line="360" w:lineRule="auto" w:before="160"/>
        <w:ind w:left="3927" w:right="2973" w:firstLine="0"/>
        <w:jc w:val="center"/>
        <w:rPr>
          <w:sz w:val="28"/>
        </w:rPr>
      </w:pPr>
      <w:r>
        <w:rPr>
          <w:sz w:val="28"/>
        </w:rPr>
        <w:t>School</w:t>
      </w:r>
      <w:r>
        <w:rPr>
          <w:spacing w:val="-9"/>
          <w:sz w:val="28"/>
        </w:rPr>
        <w:t> </w:t>
      </w:r>
      <w:r>
        <w:rPr>
          <w:sz w:val="28"/>
        </w:rPr>
        <w:t>of</w:t>
      </w:r>
      <w:r>
        <w:rPr>
          <w:spacing w:val="-10"/>
          <w:sz w:val="28"/>
        </w:rPr>
        <w:t> </w:t>
      </w:r>
      <w:r>
        <w:rPr>
          <w:sz w:val="28"/>
        </w:rPr>
        <w:t>Post</w:t>
      </w:r>
      <w:r>
        <w:rPr>
          <w:spacing w:val="-9"/>
          <w:sz w:val="28"/>
        </w:rPr>
        <w:t> </w:t>
      </w:r>
      <w:r>
        <w:rPr>
          <w:sz w:val="28"/>
        </w:rPr>
        <w:t>Graduate</w:t>
      </w:r>
      <w:r>
        <w:rPr>
          <w:spacing w:val="-10"/>
          <w:sz w:val="28"/>
        </w:rPr>
        <w:t> </w:t>
      </w:r>
      <w:r>
        <w:rPr>
          <w:sz w:val="28"/>
        </w:rPr>
        <w:t>Studies University of Lagos</w:t>
      </w:r>
    </w:p>
    <w:p>
      <w:pPr>
        <w:spacing w:line="362" w:lineRule="auto" w:before="0"/>
        <w:ind w:left="4185" w:right="3224" w:hanging="1"/>
        <w:jc w:val="center"/>
        <w:rPr>
          <w:sz w:val="28"/>
        </w:rPr>
      </w:pPr>
      <w:r>
        <w:rPr>
          <w:sz w:val="28"/>
        </w:rPr>
        <w:t>For the award of the Degree of DOCTOR</w:t>
      </w:r>
      <w:r>
        <w:rPr>
          <w:spacing w:val="-12"/>
          <w:sz w:val="28"/>
        </w:rPr>
        <w:t> </w:t>
      </w:r>
      <w:r>
        <w:rPr>
          <w:sz w:val="28"/>
        </w:rPr>
        <w:t>OF</w:t>
      </w:r>
      <w:r>
        <w:rPr>
          <w:spacing w:val="-12"/>
          <w:sz w:val="28"/>
        </w:rPr>
        <w:t> </w:t>
      </w:r>
      <w:r>
        <w:rPr>
          <w:sz w:val="28"/>
        </w:rPr>
        <w:t>PHILOSOPHY</w:t>
      </w:r>
      <w:r>
        <w:rPr>
          <w:spacing w:val="-13"/>
          <w:sz w:val="28"/>
        </w:rPr>
        <w:t> </w:t>
      </w:r>
      <w:r>
        <w:rPr>
          <w:sz w:val="28"/>
        </w:rPr>
        <w:t>(Ph.D)</w:t>
      </w:r>
    </w:p>
    <w:p>
      <w:pPr>
        <w:spacing w:line="411" w:lineRule="exact" w:before="0"/>
        <w:ind w:left="231" w:right="0" w:firstLine="0"/>
        <w:jc w:val="center"/>
        <w:rPr>
          <w:sz w:val="36"/>
        </w:rPr>
      </w:pPr>
      <w:r>
        <w:rPr>
          <w:sz w:val="36"/>
        </w:rPr>
        <w:t>is</w:t>
      </w:r>
      <w:r>
        <w:rPr>
          <w:spacing w:val="-1"/>
          <w:sz w:val="36"/>
        </w:rPr>
        <w:t> </w:t>
      </w:r>
      <w:r>
        <w:rPr>
          <w:sz w:val="36"/>
        </w:rPr>
        <w:t>a record</w:t>
      </w:r>
      <w:r>
        <w:rPr>
          <w:spacing w:val="-2"/>
          <w:sz w:val="36"/>
        </w:rPr>
        <w:t> </w:t>
      </w:r>
      <w:r>
        <w:rPr>
          <w:sz w:val="36"/>
        </w:rPr>
        <w:t>of</w:t>
      </w:r>
      <w:r>
        <w:rPr>
          <w:spacing w:val="-1"/>
          <w:sz w:val="36"/>
        </w:rPr>
        <w:t> </w:t>
      </w:r>
      <w:r>
        <w:rPr>
          <w:sz w:val="36"/>
        </w:rPr>
        <w:t>original</w:t>
      </w:r>
      <w:r>
        <w:rPr>
          <w:spacing w:val="-2"/>
          <w:sz w:val="36"/>
        </w:rPr>
        <w:t> </w:t>
      </w:r>
      <w:r>
        <w:rPr>
          <w:sz w:val="36"/>
        </w:rPr>
        <w:t>research</w:t>
      </w:r>
      <w:r>
        <w:rPr>
          <w:spacing w:val="-2"/>
          <w:sz w:val="36"/>
        </w:rPr>
        <w:t> </w:t>
      </w:r>
      <w:r>
        <w:rPr>
          <w:sz w:val="36"/>
        </w:rPr>
        <w:t>carried</w:t>
      </w:r>
      <w:r>
        <w:rPr>
          <w:spacing w:val="-1"/>
          <w:sz w:val="36"/>
        </w:rPr>
        <w:t> </w:t>
      </w:r>
      <w:r>
        <w:rPr>
          <w:spacing w:val="-5"/>
          <w:sz w:val="36"/>
        </w:rPr>
        <w:t>out</w:t>
      </w:r>
    </w:p>
    <w:p>
      <w:pPr>
        <w:pStyle w:val="BodyText"/>
        <w:spacing w:before="204"/>
        <w:ind w:left="232"/>
        <w:jc w:val="center"/>
      </w:pPr>
      <w:r>
        <w:rPr>
          <w:spacing w:val="-5"/>
        </w:rPr>
        <w:t>BY</w:t>
      </w:r>
    </w:p>
    <w:p>
      <w:pPr>
        <w:spacing w:line="368" w:lineRule="exact" w:before="137"/>
        <w:ind w:left="234" w:right="0" w:firstLine="0"/>
        <w:jc w:val="center"/>
        <w:rPr>
          <w:b/>
          <w:sz w:val="32"/>
        </w:rPr>
      </w:pPr>
      <w:r>
        <w:rPr>
          <w:b/>
          <w:sz w:val="32"/>
        </w:rPr>
        <w:t>OKE,</w:t>
      </w:r>
      <w:r>
        <w:rPr>
          <w:b/>
          <w:spacing w:val="-15"/>
          <w:sz w:val="32"/>
        </w:rPr>
        <w:t> </w:t>
      </w:r>
      <w:r>
        <w:rPr>
          <w:b/>
          <w:sz w:val="32"/>
        </w:rPr>
        <w:t>MICHAEL</w:t>
      </w:r>
      <w:r>
        <w:rPr>
          <w:b/>
          <w:spacing w:val="-10"/>
          <w:sz w:val="32"/>
        </w:rPr>
        <w:t> </w:t>
      </w:r>
      <w:r>
        <w:rPr>
          <w:b/>
          <w:spacing w:val="-5"/>
          <w:sz w:val="32"/>
        </w:rPr>
        <w:t>OJO</w:t>
      </w:r>
    </w:p>
    <w:p>
      <w:pPr>
        <w:spacing w:line="368" w:lineRule="exact" w:before="0"/>
        <w:ind w:left="0" w:right="36" w:firstLine="0"/>
        <w:jc w:val="center"/>
        <w:rPr>
          <w:sz w:val="32"/>
        </w:rPr>
      </w:pPr>
      <w:r>
        <w:rPr>
          <w:sz w:val="32"/>
        </w:rPr>
        <w:t>In</w:t>
      </w:r>
      <w:r>
        <w:rPr>
          <w:spacing w:val="-7"/>
          <w:sz w:val="32"/>
        </w:rPr>
        <w:t> </w:t>
      </w:r>
      <w:r>
        <w:rPr>
          <w:sz w:val="32"/>
        </w:rPr>
        <w:t>the</w:t>
      </w:r>
      <w:r>
        <w:rPr>
          <w:spacing w:val="-7"/>
          <w:sz w:val="32"/>
        </w:rPr>
        <w:t> </w:t>
      </w:r>
      <w:r>
        <w:rPr>
          <w:sz w:val="32"/>
        </w:rPr>
        <w:t>Department</w:t>
      </w:r>
      <w:r>
        <w:rPr>
          <w:spacing w:val="-7"/>
          <w:sz w:val="32"/>
        </w:rPr>
        <w:t> </w:t>
      </w:r>
      <w:r>
        <w:rPr>
          <w:sz w:val="32"/>
        </w:rPr>
        <w:t>of</w:t>
      </w:r>
      <w:r>
        <w:rPr>
          <w:spacing w:val="-5"/>
          <w:sz w:val="32"/>
        </w:rPr>
        <w:t> </w:t>
      </w:r>
      <w:r>
        <w:rPr>
          <w:spacing w:val="-2"/>
          <w:sz w:val="32"/>
        </w:rPr>
        <w:t>Finance</w:t>
      </w:r>
    </w:p>
    <w:p>
      <w:pPr>
        <w:pStyle w:val="BodyText"/>
        <w:spacing w:before="153"/>
        <w:rPr>
          <w:sz w:val="20"/>
        </w:rPr>
      </w:pPr>
    </w:p>
    <w:tbl>
      <w:tblPr>
        <w:tblW w:w="0" w:type="auto"/>
        <w:jc w:val="left"/>
        <w:tblInd w:w="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27"/>
        <w:gridCol w:w="3600"/>
        <w:gridCol w:w="2752"/>
      </w:tblGrid>
      <w:tr>
        <w:trPr>
          <w:trHeight w:val="359" w:hRule="atLeast"/>
        </w:trPr>
        <w:tc>
          <w:tcPr>
            <w:tcW w:w="3827" w:type="dxa"/>
          </w:tcPr>
          <w:p>
            <w:pPr>
              <w:pStyle w:val="TableParagraph"/>
              <w:spacing w:line="339" w:lineRule="exact"/>
              <w:ind w:left="129"/>
              <w:rPr>
                <w:sz w:val="32"/>
              </w:rPr>
            </w:pPr>
            <w:r>
              <w:rPr>
                <w:sz w:val="32"/>
              </w:rPr>
              <w:t>OKE.</w:t>
            </w:r>
            <w:r>
              <w:rPr>
                <w:spacing w:val="-7"/>
                <w:sz w:val="32"/>
              </w:rPr>
              <w:t> </w:t>
            </w:r>
            <w:r>
              <w:rPr>
                <w:spacing w:val="-5"/>
                <w:sz w:val="32"/>
              </w:rPr>
              <w:t>M.O</w:t>
            </w:r>
          </w:p>
        </w:tc>
        <w:tc>
          <w:tcPr>
            <w:tcW w:w="3600" w:type="dxa"/>
          </w:tcPr>
          <w:p>
            <w:pPr>
              <w:pStyle w:val="TableParagraph"/>
              <w:spacing w:line="339" w:lineRule="exact"/>
              <w:ind w:left="275"/>
              <w:rPr>
                <w:sz w:val="32"/>
              </w:rPr>
            </w:pPr>
            <w:r>
              <w:rPr>
                <w:spacing w:val="-2"/>
                <w:sz w:val="32"/>
              </w:rPr>
              <w:t>…………….</w:t>
            </w:r>
          </w:p>
        </w:tc>
        <w:tc>
          <w:tcPr>
            <w:tcW w:w="2752" w:type="dxa"/>
          </w:tcPr>
          <w:p>
            <w:pPr>
              <w:pStyle w:val="TableParagraph"/>
              <w:spacing w:line="339" w:lineRule="exact"/>
              <w:ind w:left="1502"/>
              <w:rPr>
                <w:sz w:val="32"/>
              </w:rPr>
            </w:pPr>
            <w:r>
              <w:rPr>
                <w:spacing w:val="-5"/>
                <w:sz w:val="32"/>
              </w:rPr>
              <w:t>………</w:t>
            </w:r>
          </w:p>
        </w:tc>
      </w:tr>
      <w:tr>
        <w:trPr>
          <w:trHeight w:val="484" w:hRule="atLeast"/>
        </w:trPr>
        <w:tc>
          <w:tcPr>
            <w:tcW w:w="3827" w:type="dxa"/>
          </w:tcPr>
          <w:p>
            <w:pPr>
              <w:pStyle w:val="TableParagraph"/>
              <w:spacing w:line="317" w:lineRule="exact"/>
              <w:ind w:left="50"/>
              <w:rPr>
                <w:sz w:val="28"/>
              </w:rPr>
            </w:pPr>
            <w:r>
              <w:rPr>
                <w:sz w:val="28"/>
              </w:rPr>
              <w:t>AUTHOR’S</w:t>
            </w:r>
            <w:r>
              <w:rPr>
                <w:spacing w:val="-13"/>
                <w:sz w:val="28"/>
              </w:rPr>
              <w:t> </w:t>
            </w:r>
            <w:r>
              <w:rPr>
                <w:spacing w:val="-4"/>
                <w:sz w:val="28"/>
              </w:rPr>
              <w:t>NAME</w:t>
            </w:r>
          </w:p>
        </w:tc>
        <w:tc>
          <w:tcPr>
            <w:tcW w:w="3600" w:type="dxa"/>
          </w:tcPr>
          <w:p>
            <w:pPr>
              <w:pStyle w:val="TableParagraph"/>
              <w:spacing w:line="317" w:lineRule="exact"/>
              <w:ind w:left="143"/>
              <w:rPr>
                <w:sz w:val="28"/>
              </w:rPr>
            </w:pPr>
            <w:r>
              <w:rPr>
                <w:spacing w:val="-2"/>
                <w:sz w:val="28"/>
              </w:rPr>
              <w:t>SIGNATURE</w:t>
            </w:r>
          </w:p>
        </w:tc>
        <w:tc>
          <w:tcPr>
            <w:tcW w:w="2752" w:type="dxa"/>
          </w:tcPr>
          <w:p>
            <w:pPr>
              <w:pStyle w:val="TableParagraph"/>
              <w:spacing w:line="317" w:lineRule="exact"/>
              <w:ind w:left="1140"/>
              <w:rPr>
                <w:sz w:val="28"/>
              </w:rPr>
            </w:pPr>
            <w:r>
              <w:rPr>
                <w:spacing w:val="-4"/>
                <w:sz w:val="28"/>
              </w:rPr>
              <w:t>DATE</w:t>
            </w:r>
          </w:p>
        </w:tc>
      </w:tr>
      <w:tr>
        <w:trPr>
          <w:trHeight w:val="478" w:hRule="atLeast"/>
        </w:trPr>
        <w:tc>
          <w:tcPr>
            <w:tcW w:w="3827" w:type="dxa"/>
          </w:tcPr>
          <w:p>
            <w:pPr>
              <w:pStyle w:val="TableParagraph"/>
              <w:spacing w:line="302" w:lineRule="exact" w:before="156"/>
              <w:ind w:left="50"/>
              <w:rPr>
                <w:sz w:val="28"/>
              </w:rPr>
            </w:pPr>
            <w:r>
              <w:rPr>
                <w:sz w:val="28"/>
              </w:rPr>
              <w:t>PROF.</w:t>
            </w:r>
            <w:r>
              <w:rPr>
                <w:spacing w:val="-3"/>
                <w:sz w:val="28"/>
              </w:rPr>
              <w:t> </w:t>
            </w:r>
            <w:r>
              <w:rPr>
                <w:sz w:val="28"/>
              </w:rPr>
              <w:t>(Mrs.)</w:t>
            </w:r>
            <w:r>
              <w:rPr>
                <w:spacing w:val="-2"/>
                <w:sz w:val="28"/>
              </w:rPr>
              <w:t> </w:t>
            </w:r>
            <w:r>
              <w:rPr>
                <w:sz w:val="28"/>
              </w:rPr>
              <w:t>E.O</w:t>
            </w:r>
            <w:r>
              <w:rPr>
                <w:spacing w:val="-3"/>
                <w:sz w:val="28"/>
              </w:rPr>
              <w:t> </w:t>
            </w:r>
            <w:r>
              <w:rPr>
                <w:spacing w:val="-2"/>
                <w:sz w:val="28"/>
              </w:rPr>
              <w:t>ADEGBITE</w:t>
            </w:r>
          </w:p>
        </w:tc>
        <w:tc>
          <w:tcPr>
            <w:tcW w:w="3600" w:type="dxa"/>
          </w:tcPr>
          <w:p>
            <w:pPr>
              <w:pStyle w:val="TableParagraph"/>
              <w:spacing w:line="265" w:lineRule="exact" w:before="193"/>
              <w:ind w:left="351"/>
              <w:rPr>
                <w:sz w:val="24"/>
              </w:rPr>
            </w:pPr>
            <w:r>
              <w:rPr>
                <w:spacing w:val="-2"/>
                <w:sz w:val="24"/>
              </w:rPr>
              <w:t>………………..</w:t>
            </w:r>
          </w:p>
        </w:tc>
        <w:tc>
          <w:tcPr>
            <w:tcW w:w="2752" w:type="dxa"/>
          </w:tcPr>
          <w:p>
            <w:pPr>
              <w:pStyle w:val="TableParagraph"/>
              <w:spacing w:line="265" w:lineRule="exact" w:before="193"/>
              <w:ind w:right="55"/>
              <w:jc w:val="right"/>
              <w:rPr>
                <w:sz w:val="24"/>
              </w:rPr>
            </w:pPr>
            <w:r>
              <w:rPr>
                <w:spacing w:val="-2"/>
                <w:sz w:val="24"/>
              </w:rPr>
              <w:t>……………</w:t>
            </w:r>
          </w:p>
        </w:tc>
      </w:tr>
      <w:tr>
        <w:trPr>
          <w:trHeight w:val="465" w:hRule="atLeast"/>
        </w:trPr>
        <w:tc>
          <w:tcPr>
            <w:tcW w:w="3827" w:type="dxa"/>
          </w:tcPr>
          <w:p>
            <w:pPr>
              <w:pStyle w:val="TableParagraph"/>
              <w:spacing w:line="322" w:lineRule="exact"/>
              <w:ind w:left="50"/>
              <w:rPr>
                <w:sz w:val="28"/>
              </w:rPr>
            </w:pPr>
            <w:r>
              <w:rPr>
                <w:sz w:val="28"/>
              </w:rPr>
              <w:t>1</w:t>
            </w:r>
            <w:r>
              <w:rPr>
                <w:sz w:val="28"/>
                <w:vertAlign w:val="superscript"/>
              </w:rPr>
              <w:t>ST</w:t>
            </w:r>
            <w:r>
              <w:rPr>
                <w:spacing w:val="-9"/>
                <w:sz w:val="28"/>
                <w:vertAlign w:val="baseline"/>
              </w:rPr>
              <w:t> </w:t>
            </w:r>
            <w:r>
              <w:rPr>
                <w:sz w:val="28"/>
                <w:vertAlign w:val="baseline"/>
              </w:rPr>
              <w:t>SUPERVISOR’S</w:t>
            </w:r>
            <w:r>
              <w:rPr>
                <w:spacing w:val="-6"/>
                <w:sz w:val="28"/>
                <w:vertAlign w:val="baseline"/>
              </w:rPr>
              <w:t> </w:t>
            </w:r>
            <w:r>
              <w:rPr>
                <w:spacing w:val="-4"/>
                <w:sz w:val="28"/>
                <w:vertAlign w:val="baseline"/>
              </w:rPr>
              <w:t>NAME</w:t>
            </w:r>
          </w:p>
        </w:tc>
        <w:tc>
          <w:tcPr>
            <w:tcW w:w="3600" w:type="dxa"/>
          </w:tcPr>
          <w:p>
            <w:pPr>
              <w:pStyle w:val="TableParagraph"/>
              <w:spacing w:line="322" w:lineRule="exact"/>
              <w:ind w:left="337"/>
              <w:rPr>
                <w:sz w:val="28"/>
              </w:rPr>
            </w:pPr>
            <w:r>
              <w:rPr>
                <w:spacing w:val="-2"/>
                <w:sz w:val="28"/>
              </w:rPr>
              <w:t>SIGNATURE</w:t>
            </w:r>
          </w:p>
        </w:tc>
        <w:tc>
          <w:tcPr>
            <w:tcW w:w="2752" w:type="dxa"/>
          </w:tcPr>
          <w:p>
            <w:pPr>
              <w:pStyle w:val="TableParagraph"/>
              <w:spacing w:line="322" w:lineRule="exact"/>
              <w:ind w:left="1265"/>
              <w:rPr>
                <w:sz w:val="28"/>
              </w:rPr>
            </w:pPr>
            <w:r>
              <w:rPr>
                <w:spacing w:val="-4"/>
                <w:sz w:val="28"/>
              </w:rPr>
              <w:t>DATE</w:t>
            </w:r>
          </w:p>
        </w:tc>
      </w:tr>
      <w:tr>
        <w:trPr>
          <w:trHeight w:val="454" w:hRule="atLeast"/>
        </w:trPr>
        <w:tc>
          <w:tcPr>
            <w:tcW w:w="3827" w:type="dxa"/>
          </w:tcPr>
          <w:p>
            <w:pPr>
              <w:pStyle w:val="TableParagraph"/>
              <w:spacing w:line="302" w:lineRule="exact" w:before="132"/>
              <w:ind w:left="50"/>
              <w:rPr>
                <w:sz w:val="28"/>
              </w:rPr>
            </w:pPr>
            <w:r>
              <w:rPr>
                <w:sz w:val="28"/>
              </w:rPr>
              <w:t>Dr.</w:t>
            </w:r>
            <w:r>
              <w:rPr>
                <w:spacing w:val="-5"/>
                <w:sz w:val="28"/>
              </w:rPr>
              <w:t> </w:t>
            </w:r>
            <w:r>
              <w:rPr>
                <w:sz w:val="28"/>
              </w:rPr>
              <w:t>J.E</w:t>
            </w:r>
            <w:r>
              <w:rPr>
                <w:spacing w:val="-6"/>
                <w:sz w:val="28"/>
              </w:rPr>
              <w:t> </w:t>
            </w:r>
            <w:r>
              <w:rPr>
                <w:sz w:val="28"/>
              </w:rPr>
              <w:t>EZIKE</w:t>
            </w:r>
            <w:r>
              <w:rPr>
                <w:spacing w:val="-3"/>
                <w:sz w:val="28"/>
              </w:rPr>
              <w:t> </w:t>
            </w:r>
            <w:r>
              <w:rPr>
                <w:sz w:val="28"/>
              </w:rPr>
              <w:t>(Associate</w:t>
            </w:r>
            <w:r>
              <w:rPr>
                <w:spacing w:val="-3"/>
                <w:sz w:val="28"/>
              </w:rPr>
              <w:t> </w:t>
            </w:r>
            <w:r>
              <w:rPr>
                <w:spacing w:val="-2"/>
                <w:sz w:val="28"/>
              </w:rPr>
              <w:t>Prof.</w:t>
            </w:r>
            <w:r>
              <w:rPr>
                <w:spacing w:val="-2"/>
                <w:sz w:val="28"/>
                <w:u w:val="single"/>
              </w:rPr>
              <w:t>)</w:t>
            </w:r>
          </w:p>
        </w:tc>
        <w:tc>
          <w:tcPr>
            <w:tcW w:w="3600" w:type="dxa"/>
          </w:tcPr>
          <w:p>
            <w:pPr>
              <w:pStyle w:val="TableParagraph"/>
              <w:spacing w:line="302" w:lineRule="exact" w:before="132"/>
              <w:ind w:left="344"/>
              <w:rPr>
                <w:sz w:val="28"/>
              </w:rPr>
            </w:pPr>
            <w:r>
              <w:rPr>
                <w:spacing w:val="-2"/>
                <w:sz w:val="28"/>
              </w:rPr>
              <w:t>……………….</w:t>
            </w:r>
          </w:p>
        </w:tc>
        <w:tc>
          <w:tcPr>
            <w:tcW w:w="2752" w:type="dxa"/>
          </w:tcPr>
          <w:p>
            <w:pPr>
              <w:pStyle w:val="TableParagraph"/>
              <w:spacing w:line="302" w:lineRule="exact" w:before="132"/>
              <w:ind w:left="1225"/>
              <w:rPr>
                <w:sz w:val="28"/>
              </w:rPr>
            </w:pPr>
            <w:r>
              <w:rPr>
                <w:spacing w:val="-5"/>
                <w:sz w:val="28"/>
              </w:rPr>
              <w:t>………</w:t>
            </w:r>
          </w:p>
        </w:tc>
      </w:tr>
      <w:tr>
        <w:trPr>
          <w:trHeight w:val="327" w:hRule="atLeast"/>
        </w:trPr>
        <w:tc>
          <w:tcPr>
            <w:tcW w:w="3827" w:type="dxa"/>
          </w:tcPr>
          <w:p>
            <w:pPr>
              <w:pStyle w:val="TableParagraph"/>
              <w:spacing w:line="308" w:lineRule="exact"/>
              <w:ind w:left="50"/>
              <w:rPr>
                <w:sz w:val="28"/>
              </w:rPr>
            </w:pPr>
            <w:r>
              <w:rPr>
                <w:sz w:val="28"/>
              </w:rPr>
              <w:t>2</w:t>
            </w:r>
            <w:r>
              <w:rPr>
                <w:sz w:val="28"/>
                <w:vertAlign w:val="superscript"/>
              </w:rPr>
              <w:t>ND</w:t>
            </w:r>
            <w:r>
              <w:rPr>
                <w:spacing w:val="-9"/>
                <w:sz w:val="28"/>
                <w:vertAlign w:val="baseline"/>
              </w:rPr>
              <w:t> </w:t>
            </w:r>
            <w:r>
              <w:rPr>
                <w:sz w:val="28"/>
                <w:vertAlign w:val="baseline"/>
              </w:rPr>
              <w:t>SUPERVISOR’S</w:t>
            </w:r>
            <w:r>
              <w:rPr>
                <w:spacing w:val="-5"/>
                <w:sz w:val="28"/>
                <w:vertAlign w:val="baseline"/>
              </w:rPr>
              <w:t> </w:t>
            </w:r>
            <w:r>
              <w:rPr>
                <w:spacing w:val="-4"/>
                <w:sz w:val="28"/>
                <w:vertAlign w:val="baseline"/>
              </w:rPr>
              <w:t>NAME</w:t>
            </w:r>
          </w:p>
        </w:tc>
        <w:tc>
          <w:tcPr>
            <w:tcW w:w="3600" w:type="dxa"/>
          </w:tcPr>
          <w:p>
            <w:pPr>
              <w:pStyle w:val="TableParagraph"/>
              <w:spacing w:line="308" w:lineRule="exact"/>
              <w:ind w:left="318"/>
              <w:rPr>
                <w:sz w:val="28"/>
              </w:rPr>
            </w:pPr>
            <w:r>
              <w:rPr>
                <w:spacing w:val="-2"/>
                <w:sz w:val="28"/>
              </w:rPr>
              <w:t>SIGNATURE</w:t>
            </w:r>
          </w:p>
        </w:tc>
        <w:tc>
          <w:tcPr>
            <w:tcW w:w="2752" w:type="dxa"/>
          </w:tcPr>
          <w:p>
            <w:pPr>
              <w:pStyle w:val="TableParagraph"/>
              <w:spacing w:line="308" w:lineRule="exact"/>
              <w:ind w:left="1452"/>
              <w:rPr>
                <w:sz w:val="28"/>
              </w:rPr>
            </w:pPr>
            <w:r>
              <w:rPr>
                <w:spacing w:val="-4"/>
                <w:sz w:val="28"/>
              </w:rPr>
              <w:t>DATE</w:t>
            </w:r>
          </w:p>
        </w:tc>
      </w:tr>
      <w:tr>
        <w:trPr>
          <w:trHeight w:val="361" w:hRule="atLeast"/>
        </w:trPr>
        <w:tc>
          <w:tcPr>
            <w:tcW w:w="3827" w:type="dxa"/>
          </w:tcPr>
          <w:p>
            <w:pPr>
              <w:pStyle w:val="TableParagraph"/>
              <w:spacing w:line="341" w:lineRule="exact"/>
              <w:ind w:left="50"/>
              <w:rPr>
                <w:sz w:val="32"/>
              </w:rPr>
            </w:pPr>
            <w:r>
              <w:rPr>
                <w:spacing w:val="-2"/>
                <w:sz w:val="32"/>
              </w:rPr>
              <w:t>…..……………….</w:t>
            </w:r>
          </w:p>
        </w:tc>
        <w:tc>
          <w:tcPr>
            <w:tcW w:w="3600" w:type="dxa"/>
          </w:tcPr>
          <w:p>
            <w:pPr>
              <w:pStyle w:val="TableParagraph"/>
              <w:spacing w:line="341" w:lineRule="exact"/>
              <w:ind w:left="544"/>
              <w:rPr>
                <w:sz w:val="32"/>
              </w:rPr>
            </w:pPr>
            <w:r>
              <w:rPr>
                <w:spacing w:val="-2"/>
                <w:sz w:val="32"/>
              </w:rPr>
              <w:t>………………</w:t>
            </w:r>
          </w:p>
        </w:tc>
        <w:tc>
          <w:tcPr>
            <w:tcW w:w="2752" w:type="dxa"/>
          </w:tcPr>
          <w:p>
            <w:pPr>
              <w:pStyle w:val="TableParagraph"/>
              <w:spacing w:line="341" w:lineRule="exact"/>
              <w:ind w:right="46"/>
              <w:jc w:val="right"/>
              <w:rPr>
                <w:sz w:val="32"/>
              </w:rPr>
            </w:pPr>
            <w:r>
              <w:rPr>
                <w:spacing w:val="-2"/>
                <w:sz w:val="32"/>
              </w:rPr>
              <w:t>……...</w:t>
            </w:r>
          </w:p>
        </w:tc>
      </w:tr>
      <w:tr>
        <w:trPr>
          <w:trHeight w:val="490" w:hRule="atLeast"/>
        </w:trPr>
        <w:tc>
          <w:tcPr>
            <w:tcW w:w="3827" w:type="dxa"/>
          </w:tcPr>
          <w:p>
            <w:pPr>
              <w:pStyle w:val="TableParagraph"/>
              <w:spacing w:before="1"/>
              <w:ind w:left="50"/>
              <w:rPr>
                <w:sz w:val="28"/>
              </w:rPr>
            </w:pPr>
            <w:r>
              <w:rPr>
                <w:sz w:val="28"/>
              </w:rPr>
              <w:t>1</w:t>
            </w:r>
            <w:r>
              <w:rPr>
                <w:sz w:val="28"/>
                <w:vertAlign w:val="superscript"/>
              </w:rPr>
              <w:t>ST</w:t>
            </w:r>
            <w:r>
              <w:rPr>
                <w:spacing w:val="-7"/>
                <w:sz w:val="28"/>
                <w:vertAlign w:val="baseline"/>
              </w:rPr>
              <w:t> </w:t>
            </w:r>
            <w:r>
              <w:rPr>
                <w:sz w:val="28"/>
                <w:vertAlign w:val="baseline"/>
              </w:rPr>
              <w:t>INTERNAL</w:t>
            </w:r>
            <w:r>
              <w:rPr>
                <w:spacing w:val="-4"/>
                <w:sz w:val="28"/>
                <w:vertAlign w:val="baseline"/>
              </w:rPr>
              <w:t> </w:t>
            </w:r>
            <w:r>
              <w:rPr>
                <w:spacing w:val="-2"/>
                <w:sz w:val="28"/>
                <w:vertAlign w:val="baseline"/>
              </w:rPr>
              <w:t>EXAMINER</w:t>
            </w:r>
          </w:p>
        </w:tc>
        <w:tc>
          <w:tcPr>
            <w:tcW w:w="3600" w:type="dxa"/>
          </w:tcPr>
          <w:p>
            <w:pPr>
              <w:pStyle w:val="TableParagraph"/>
              <w:spacing w:before="1"/>
              <w:ind w:left="498"/>
              <w:rPr>
                <w:sz w:val="28"/>
              </w:rPr>
            </w:pPr>
            <w:r>
              <w:rPr>
                <w:spacing w:val="-2"/>
                <w:sz w:val="28"/>
              </w:rPr>
              <w:t>SIGNATURE</w:t>
            </w:r>
          </w:p>
        </w:tc>
        <w:tc>
          <w:tcPr>
            <w:tcW w:w="2752" w:type="dxa"/>
          </w:tcPr>
          <w:p>
            <w:pPr>
              <w:pStyle w:val="TableParagraph"/>
              <w:spacing w:before="1"/>
              <w:ind w:left="1428"/>
              <w:rPr>
                <w:sz w:val="28"/>
              </w:rPr>
            </w:pPr>
            <w:r>
              <w:rPr>
                <w:spacing w:val="-4"/>
                <w:sz w:val="28"/>
              </w:rPr>
              <w:t>DATE</w:t>
            </w:r>
          </w:p>
        </w:tc>
      </w:tr>
      <w:tr>
        <w:trPr>
          <w:trHeight w:val="477" w:hRule="atLeast"/>
        </w:trPr>
        <w:tc>
          <w:tcPr>
            <w:tcW w:w="3827" w:type="dxa"/>
          </w:tcPr>
          <w:p>
            <w:pPr>
              <w:pStyle w:val="TableParagraph"/>
              <w:spacing w:line="302" w:lineRule="exact" w:before="155"/>
              <w:ind w:left="50"/>
              <w:rPr>
                <w:sz w:val="28"/>
              </w:rPr>
            </w:pPr>
            <w:r>
              <w:rPr>
                <w:spacing w:val="-2"/>
                <w:sz w:val="28"/>
              </w:rPr>
              <w:t>……………………………….</w:t>
            </w:r>
          </w:p>
        </w:tc>
        <w:tc>
          <w:tcPr>
            <w:tcW w:w="3600" w:type="dxa"/>
          </w:tcPr>
          <w:p>
            <w:pPr>
              <w:pStyle w:val="TableParagraph"/>
              <w:spacing w:line="302" w:lineRule="exact" w:before="155"/>
              <w:ind w:left="701"/>
              <w:rPr>
                <w:sz w:val="28"/>
              </w:rPr>
            </w:pPr>
            <w:r>
              <w:rPr>
                <w:spacing w:val="-2"/>
                <w:sz w:val="28"/>
              </w:rPr>
              <w:t>……………</w:t>
            </w:r>
          </w:p>
        </w:tc>
        <w:tc>
          <w:tcPr>
            <w:tcW w:w="2752" w:type="dxa"/>
          </w:tcPr>
          <w:p>
            <w:pPr>
              <w:pStyle w:val="TableParagraph"/>
              <w:spacing w:line="302" w:lineRule="exact" w:before="155"/>
              <w:ind w:left="1439"/>
              <w:rPr>
                <w:sz w:val="28"/>
              </w:rPr>
            </w:pPr>
            <w:r>
              <w:rPr>
                <w:spacing w:val="-5"/>
                <w:sz w:val="28"/>
              </w:rPr>
              <w:t>………</w:t>
            </w:r>
          </w:p>
        </w:tc>
      </w:tr>
      <w:tr>
        <w:trPr>
          <w:trHeight w:val="487" w:hRule="atLeast"/>
        </w:trPr>
        <w:tc>
          <w:tcPr>
            <w:tcW w:w="3827" w:type="dxa"/>
          </w:tcPr>
          <w:p>
            <w:pPr>
              <w:pStyle w:val="TableParagraph"/>
              <w:spacing w:line="322" w:lineRule="exact"/>
              <w:ind w:left="50"/>
              <w:rPr>
                <w:sz w:val="28"/>
              </w:rPr>
            </w:pPr>
            <w:r>
              <w:rPr>
                <w:sz w:val="28"/>
              </w:rPr>
              <w:t>2</w:t>
            </w:r>
            <w:r>
              <w:rPr>
                <w:sz w:val="28"/>
                <w:vertAlign w:val="superscript"/>
              </w:rPr>
              <w:t>ND</w:t>
            </w:r>
            <w:r>
              <w:rPr>
                <w:spacing w:val="-6"/>
                <w:sz w:val="28"/>
                <w:vertAlign w:val="baseline"/>
              </w:rPr>
              <w:t> </w:t>
            </w:r>
            <w:r>
              <w:rPr>
                <w:sz w:val="28"/>
                <w:vertAlign w:val="baseline"/>
              </w:rPr>
              <w:t>INTERNAL</w:t>
            </w:r>
            <w:r>
              <w:rPr>
                <w:spacing w:val="-5"/>
                <w:sz w:val="28"/>
                <w:vertAlign w:val="baseline"/>
              </w:rPr>
              <w:t> </w:t>
            </w:r>
            <w:r>
              <w:rPr>
                <w:spacing w:val="-2"/>
                <w:sz w:val="28"/>
                <w:vertAlign w:val="baseline"/>
              </w:rPr>
              <w:t>EXAMINER</w:t>
            </w:r>
          </w:p>
        </w:tc>
        <w:tc>
          <w:tcPr>
            <w:tcW w:w="3600" w:type="dxa"/>
          </w:tcPr>
          <w:p>
            <w:pPr>
              <w:pStyle w:val="TableParagraph"/>
              <w:spacing w:line="322" w:lineRule="exact"/>
              <w:ind w:left="548"/>
              <w:rPr>
                <w:sz w:val="28"/>
              </w:rPr>
            </w:pPr>
            <w:r>
              <w:rPr>
                <w:spacing w:val="-2"/>
                <w:sz w:val="28"/>
              </w:rPr>
              <w:t>SIGNATURE</w:t>
            </w:r>
          </w:p>
        </w:tc>
        <w:tc>
          <w:tcPr>
            <w:tcW w:w="2752" w:type="dxa"/>
          </w:tcPr>
          <w:p>
            <w:pPr>
              <w:pStyle w:val="TableParagraph"/>
              <w:spacing w:line="322" w:lineRule="exact"/>
              <w:ind w:left="1478"/>
              <w:rPr>
                <w:sz w:val="28"/>
              </w:rPr>
            </w:pPr>
            <w:r>
              <w:rPr>
                <w:spacing w:val="-4"/>
                <w:sz w:val="28"/>
              </w:rPr>
              <w:t>DATE</w:t>
            </w:r>
          </w:p>
        </w:tc>
      </w:tr>
      <w:tr>
        <w:trPr>
          <w:trHeight w:val="482" w:hRule="atLeast"/>
        </w:trPr>
        <w:tc>
          <w:tcPr>
            <w:tcW w:w="3827" w:type="dxa"/>
          </w:tcPr>
          <w:p>
            <w:pPr>
              <w:pStyle w:val="TableParagraph"/>
              <w:spacing w:line="307" w:lineRule="exact" w:before="155"/>
              <w:ind w:left="50"/>
              <w:rPr>
                <w:sz w:val="28"/>
              </w:rPr>
            </w:pPr>
            <w:r>
              <w:rPr>
                <w:spacing w:val="-2"/>
                <w:sz w:val="28"/>
              </w:rPr>
              <w:t>…………………………</w:t>
            </w:r>
          </w:p>
        </w:tc>
        <w:tc>
          <w:tcPr>
            <w:tcW w:w="3600" w:type="dxa"/>
          </w:tcPr>
          <w:p>
            <w:pPr>
              <w:pStyle w:val="TableParagraph"/>
              <w:spacing w:line="307" w:lineRule="exact" w:before="155"/>
              <w:ind w:left="559"/>
              <w:rPr>
                <w:sz w:val="28"/>
              </w:rPr>
            </w:pPr>
            <w:r>
              <w:rPr>
                <w:spacing w:val="-2"/>
                <w:sz w:val="28"/>
              </w:rPr>
              <w:t>……………..</w:t>
            </w:r>
          </w:p>
        </w:tc>
        <w:tc>
          <w:tcPr>
            <w:tcW w:w="2752" w:type="dxa"/>
          </w:tcPr>
          <w:p>
            <w:pPr>
              <w:pStyle w:val="TableParagraph"/>
              <w:spacing w:line="307" w:lineRule="exact" w:before="155"/>
              <w:ind w:left="1581"/>
              <w:rPr>
                <w:sz w:val="28"/>
              </w:rPr>
            </w:pPr>
            <w:r>
              <w:rPr>
                <w:spacing w:val="-5"/>
                <w:sz w:val="28"/>
              </w:rPr>
              <w:t>………</w:t>
            </w:r>
          </w:p>
        </w:tc>
      </w:tr>
      <w:tr>
        <w:trPr>
          <w:trHeight w:val="483" w:hRule="atLeast"/>
        </w:trPr>
        <w:tc>
          <w:tcPr>
            <w:tcW w:w="3827" w:type="dxa"/>
          </w:tcPr>
          <w:p>
            <w:pPr>
              <w:pStyle w:val="TableParagraph"/>
              <w:spacing w:line="316" w:lineRule="exact"/>
              <w:ind w:left="50"/>
              <w:rPr>
                <w:sz w:val="28"/>
              </w:rPr>
            </w:pPr>
            <w:r>
              <w:rPr>
                <w:sz w:val="28"/>
              </w:rPr>
              <w:t>EXTERNAL</w:t>
            </w:r>
            <w:r>
              <w:rPr>
                <w:spacing w:val="-11"/>
                <w:sz w:val="28"/>
              </w:rPr>
              <w:t> </w:t>
            </w:r>
            <w:r>
              <w:rPr>
                <w:spacing w:val="-2"/>
                <w:sz w:val="28"/>
              </w:rPr>
              <w:t>EXAMINER</w:t>
            </w:r>
          </w:p>
        </w:tc>
        <w:tc>
          <w:tcPr>
            <w:tcW w:w="3600" w:type="dxa"/>
          </w:tcPr>
          <w:p>
            <w:pPr>
              <w:pStyle w:val="TableParagraph"/>
              <w:spacing w:line="316" w:lineRule="exact"/>
              <w:ind w:left="505"/>
              <w:rPr>
                <w:sz w:val="28"/>
              </w:rPr>
            </w:pPr>
            <w:r>
              <w:rPr>
                <w:spacing w:val="-2"/>
                <w:sz w:val="28"/>
              </w:rPr>
              <w:t>SIGNATURE</w:t>
            </w:r>
          </w:p>
        </w:tc>
        <w:tc>
          <w:tcPr>
            <w:tcW w:w="2752" w:type="dxa"/>
          </w:tcPr>
          <w:p>
            <w:pPr>
              <w:pStyle w:val="TableParagraph"/>
              <w:spacing w:line="316" w:lineRule="exact"/>
              <w:ind w:left="1433"/>
              <w:rPr>
                <w:sz w:val="28"/>
              </w:rPr>
            </w:pPr>
            <w:r>
              <w:rPr>
                <w:spacing w:val="-4"/>
                <w:sz w:val="28"/>
              </w:rPr>
              <w:t>DATE</w:t>
            </w:r>
          </w:p>
        </w:tc>
      </w:tr>
      <w:tr>
        <w:trPr>
          <w:trHeight w:val="483" w:hRule="atLeast"/>
        </w:trPr>
        <w:tc>
          <w:tcPr>
            <w:tcW w:w="3827" w:type="dxa"/>
          </w:tcPr>
          <w:p>
            <w:pPr>
              <w:pStyle w:val="TableParagraph"/>
              <w:spacing w:line="307" w:lineRule="exact" w:before="156"/>
              <w:ind w:left="50"/>
              <w:rPr>
                <w:sz w:val="28"/>
              </w:rPr>
            </w:pPr>
            <w:r>
              <w:rPr>
                <w:spacing w:val="-2"/>
                <w:sz w:val="28"/>
              </w:rPr>
              <w:t>…………………………</w:t>
            </w:r>
          </w:p>
        </w:tc>
        <w:tc>
          <w:tcPr>
            <w:tcW w:w="3600" w:type="dxa"/>
          </w:tcPr>
          <w:p>
            <w:pPr>
              <w:pStyle w:val="TableParagraph"/>
              <w:spacing w:line="307" w:lineRule="exact" w:before="156"/>
              <w:ind w:left="559"/>
              <w:rPr>
                <w:sz w:val="28"/>
              </w:rPr>
            </w:pPr>
            <w:r>
              <w:rPr>
                <w:spacing w:val="-2"/>
                <w:sz w:val="28"/>
              </w:rPr>
              <w:t>……………..</w:t>
            </w:r>
          </w:p>
        </w:tc>
        <w:tc>
          <w:tcPr>
            <w:tcW w:w="2752" w:type="dxa"/>
          </w:tcPr>
          <w:p>
            <w:pPr>
              <w:pStyle w:val="TableParagraph"/>
              <w:spacing w:line="307" w:lineRule="exact" w:before="156"/>
              <w:ind w:left="1581"/>
              <w:rPr>
                <w:sz w:val="28"/>
              </w:rPr>
            </w:pPr>
            <w:r>
              <w:rPr>
                <w:spacing w:val="-5"/>
                <w:sz w:val="28"/>
              </w:rPr>
              <w:t>………</w:t>
            </w:r>
          </w:p>
        </w:tc>
      </w:tr>
      <w:tr>
        <w:trPr>
          <w:trHeight w:val="316" w:hRule="atLeast"/>
        </w:trPr>
        <w:tc>
          <w:tcPr>
            <w:tcW w:w="3827" w:type="dxa"/>
          </w:tcPr>
          <w:p>
            <w:pPr>
              <w:pStyle w:val="TableParagraph"/>
              <w:spacing w:line="296" w:lineRule="exact"/>
              <w:ind w:left="50"/>
              <w:rPr>
                <w:sz w:val="28"/>
              </w:rPr>
            </w:pPr>
            <w:r>
              <w:rPr>
                <w:sz w:val="28"/>
              </w:rPr>
              <w:t>SPGS</w:t>
            </w:r>
            <w:r>
              <w:rPr>
                <w:spacing w:val="-2"/>
                <w:sz w:val="28"/>
              </w:rPr>
              <w:t> REPRESENTATIVE</w:t>
            </w:r>
          </w:p>
        </w:tc>
        <w:tc>
          <w:tcPr>
            <w:tcW w:w="3600" w:type="dxa"/>
          </w:tcPr>
          <w:p>
            <w:pPr>
              <w:pStyle w:val="TableParagraph"/>
              <w:spacing w:line="296" w:lineRule="exact"/>
              <w:ind w:left="632"/>
              <w:rPr>
                <w:sz w:val="28"/>
              </w:rPr>
            </w:pPr>
            <w:r>
              <w:rPr>
                <w:spacing w:val="-2"/>
                <w:sz w:val="28"/>
              </w:rPr>
              <w:t>SIGNATURE</w:t>
            </w:r>
          </w:p>
        </w:tc>
        <w:tc>
          <w:tcPr>
            <w:tcW w:w="2752" w:type="dxa"/>
          </w:tcPr>
          <w:p>
            <w:pPr>
              <w:pStyle w:val="TableParagraph"/>
              <w:spacing w:line="296" w:lineRule="exact"/>
              <w:ind w:left="1562"/>
              <w:rPr>
                <w:sz w:val="28"/>
              </w:rPr>
            </w:pPr>
            <w:r>
              <w:rPr>
                <w:spacing w:val="-4"/>
                <w:sz w:val="28"/>
              </w:rPr>
              <w:t>DATE</w:t>
            </w:r>
          </w:p>
        </w:tc>
      </w:tr>
    </w:tbl>
    <w:p>
      <w:pPr>
        <w:spacing w:after="0" w:line="296" w:lineRule="exact"/>
        <w:rPr>
          <w:sz w:val="28"/>
        </w:rPr>
        <w:sectPr>
          <w:pgSz w:w="11910" w:h="16840"/>
          <w:pgMar w:header="0" w:footer="1039" w:top="1360" w:bottom="1240" w:left="280" w:right="0"/>
        </w:sectPr>
      </w:pPr>
    </w:p>
    <w:p>
      <w:pPr>
        <w:pStyle w:val="Heading1"/>
        <w:spacing w:before="63"/>
      </w:pPr>
      <w:r>
        <w:rPr>
          <w:spacing w:val="-2"/>
        </w:rPr>
        <w:t>ACKNOWLEDGEMENTS</w:t>
      </w:r>
    </w:p>
    <w:p>
      <w:pPr>
        <w:pStyle w:val="BodyText"/>
        <w:spacing w:before="229"/>
        <w:rPr>
          <w:b/>
          <w:sz w:val="28"/>
        </w:rPr>
      </w:pPr>
    </w:p>
    <w:p>
      <w:pPr>
        <w:pStyle w:val="BodyText"/>
        <w:spacing w:line="480" w:lineRule="auto"/>
        <w:ind w:left="711" w:right="472"/>
        <w:jc w:val="both"/>
      </w:pPr>
      <w:r>
        <w:rPr/>
        <w:t>I specially</w:t>
      </w:r>
      <w:r>
        <w:rPr>
          <w:spacing w:val="-1"/>
        </w:rPr>
        <w:t> </w:t>
      </w:r>
      <w:r>
        <w:rPr/>
        <w:t>acknowledge the Almighty</w:t>
      </w:r>
      <w:r>
        <w:rPr>
          <w:spacing w:val="-1"/>
        </w:rPr>
        <w:t> </w:t>
      </w:r>
      <w:r>
        <w:rPr/>
        <w:t>God for seeing me through the rigours of this study, but for His grace and mercies, I would not have been able to accomplish this task. He has been my help in the</w:t>
      </w:r>
      <w:r>
        <w:rPr>
          <w:spacing w:val="18"/>
        </w:rPr>
        <w:t> </w:t>
      </w:r>
      <w:r>
        <w:rPr/>
        <w:t>past, my help</w:t>
      </w:r>
      <w:r>
        <w:rPr>
          <w:spacing w:val="40"/>
        </w:rPr>
        <w:t> </w:t>
      </w:r>
      <w:r>
        <w:rPr/>
        <w:t>in the present and my hope in the future. Glory is to His wonderful name.</w:t>
      </w:r>
    </w:p>
    <w:p>
      <w:pPr>
        <w:pStyle w:val="BodyText"/>
        <w:spacing w:line="480" w:lineRule="auto"/>
        <w:ind w:left="711" w:right="470"/>
        <w:jc w:val="both"/>
      </w:pPr>
      <w:r>
        <w:rPr/>
        <w:t>I am greatly</w:t>
      </w:r>
      <w:r>
        <w:rPr>
          <w:spacing w:val="-4"/>
        </w:rPr>
        <w:t> </w:t>
      </w:r>
      <w:r>
        <w:rPr/>
        <w:t>indebted to my</w:t>
      </w:r>
      <w:r>
        <w:rPr>
          <w:spacing w:val="-4"/>
        </w:rPr>
        <w:t> </w:t>
      </w:r>
      <w:r>
        <w:rPr/>
        <w:t>supervisor, the first female Professor in the Faculty</w:t>
      </w:r>
      <w:r>
        <w:rPr>
          <w:spacing w:val="-4"/>
        </w:rPr>
        <w:t> </w:t>
      </w:r>
      <w:r>
        <w:rPr/>
        <w:t>of Business Administration, University</w:t>
      </w:r>
      <w:r>
        <w:rPr>
          <w:spacing w:val="-7"/>
        </w:rPr>
        <w:t> </w:t>
      </w:r>
      <w:r>
        <w:rPr/>
        <w:t>of</w:t>
      </w:r>
      <w:r>
        <w:rPr>
          <w:spacing w:val="-1"/>
        </w:rPr>
        <w:t> </w:t>
      </w:r>
      <w:r>
        <w:rPr/>
        <w:t>Lagos and one</w:t>
      </w:r>
      <w:r>
        <w:rPr>
          <w:spacing w:val="-3"/>
        </w:rPr>
        <w:t> </w:t>
      </w:r>
      <w:r>
        <w:rPr/>
        <w:t>of</w:t>
      </w:r>
      <w:r>
        <w:rPr>
          <w:spacing w:val="-2"/>
        </w:rPr>
        <w:t> </w:t>
      </w:r>
      <w:r>
        <w:rPr/>
        <w:t>the</w:t>
      </w:r>
      <w:r>
        <w:rPr>
          <w:spacing w:val="-2"/>
        </w:rPr>
        <w:t> </w:t>
      </w:r>
      <w:r>
        <w:rPr/>
        <w:t>very</w:t>
      </w:r>
      <w:r>
        <w:rPr>
          <w:spacing w:val="-5"/>
        </w:rPr>
        <w:t> </w:t>
      </w:r>
      <w:r>
        <w:rPr/>
        <w:t>few</w:t>
      </w:r>
      <w:r>
        <w:rPr>
          <w:spacing w:val="-1"/>
        </w:rPr>
        <w:t> </w:t>
      </w:r>
      <w:r>
        <w:rPr/>
        <w:t>Professors</w:t>
      </w:r>
      <w:r>
        <w:rPr>
          <w:spacing w:val="-2"/>
        </w:rPr>
        <w:t> </w:t>
      </w:r>
      <w:r>
        <w:rPr/>
        <w:t>of Finance</w:t>
      </w:r>
      <w:r>
        <w:rPr>
          <w:spacing w:val="-1"/>
        </w:rPr>
        <w:t> </w:t>
      </w:r>
      <w:r>
        <w:rPr/>
        <w:t>in</w:t>
      </w:r>
      <w:r>
        <w:rPr>
          <w:spacing w:val="-2"/>
        </w:rPr>
        <w:t> </w:t>
      </w:r>
      <w:r>
        <w:rPr/>
        <w:t>Nigeria,</w:t>
      </w:r>
      <w:r>
        <w:rPr>
          <w:spacing w:val="-2"/>
        </w:rPr>
        <w:t> </w:t>
      </w:r>
      <w:r>
        <w:rPr/>
        <w:t>Professor</w:t>
      </w:r>
      <w:r>
        <w:rPr>
          <w:spacing w:val="-1"/>
        </w:rPr>
        <w:t> </w:t>
      </w:r>
      <w:r>
        <w:rPr/>
        <w:t>(Mrs.)</w:t>
      </w:r>
      <w:r>
        <w:rPr>
          <w:spacing w:val="-1"/>
        </w:rPr>
        <w:t> </w:t>
      </w:r>
      <w:r>
        <w:rPr/>
        <w:t>ADEGBITE, Funmi Esther, for her sense of direction, guidance, patience, prompt and timely attention, as well as, her willingness and passion to contribute immensely to the success of others out of which I am a benefactor. Mama, you have truly demonstrated that you are really a mother, a mentor and a Shepherd. May the good Lord satisfy you with long life and good health to enjoy your labour of love.</w:t>
      </w:r>
    </w:p>
    <w:p>
      <w:pPr>
        <w:pStyle w:val="BodyText"/>
        <w:spacing w:line="480" w:lineRule="auto" w:before="1"/>
        <w:ind w:left="711" w:right="472"/>
        <w:jc w:val="both"/>
      </w:pPr>
      <w:r>
        <w:rPr/>
        <w:t>I must appreciate the leadership of Professor P.O. Oladele, Dean, Faculty of Management Sciences, Ekiti State University for his encouragement, support, and concern for me always and especially during the</w:t>
      </w:r>
      <w:r>
        <w:rPr>
          <w:spacing w:val="40"/>
        </w:rPr>
        <w:t> </w:t>
      </w:r>
      <w:r>
        <w:rPr/>
        <w:t>course of this programme. Professor P.O. Oladele provided the enabling environment for the success of this programme. Special appreciation to Professor Iyiegbuniwe Wilfred,</w:t>
      </w:r>
      <w:r>
        <w:rPr>
          <w:spacing w:val="40"/>
        </w:rPr>
        <w:t> </w:t>
      </w:r>
      <w:r>
        <w:rPr/>
        <w:t>a distinguished Professor</w:t>
      </w:r>
      <w:r>
        <w:rPr>
          <w:spacing w:val="40"/>
        </w:rPr>
        <w:t> </w:t>
      </w:r>
      <w:r>
        <w:rPr/>
        <w:t>and Head of the Finance Department, University of Lagos for his fatherly role and support</w:t>
      </w:r>
      <w:r>
        <w:rPr>
          <w:spacing w:val="40"/>
        </w:rPr>
        <w:t> </w:t>
      </w:r>
      <w:r>
        <w:rPr/>
        <w:t>through the period of this </w:t>
      </w:r>
      <w:r>
        <w:rPr>
          <w:spacing w:val="-2"/>
        </w:rPr>
        <w:t>course.</w:t>
      </w:r>
    </w:p>
    <w:p>
      <w:pPr>
        <w:pStyle w:val="BodyText"/>
        <w:spacing w:line="480" w:lineRule="auto" w:before="1"/>
        <w:ind w:left="711" w:right="473"/>
        <w:jc w:val="both"/>
      </w:pPr>
      <w:r>
        <w:rPr/>
        <w:t>I give special regards to the following pillars in the academic world who have imparted my</w:t>
      </w:r>
      <w:r>
        <w:rPr>
          <w:spacing w:val="-3"/>
        </w:rPr>
        <w:t> </w:t>
      </w:r>
      <w:r>
        <w:rPr/>
        <w:t>academic career positively, they include: Professor J.A. Oloyede, (former Dean, Faculty of Management Sciences, Ekiti</w:t>
      </w:r>
      <w:r>
        <w:rPr>
          <w:spacing w:val="40"/>
        </w:rPr>
        <w:t> </w:t>
      </w:r>
      <w:r>
        <w:rPr/>
        <w:t>State University, Professor Ben Akpoyomare Oghojafor, Dean, Faculty of Business Administration, University</w:t>
      </w:r>
      <w:r>
        <w:rPr>
          <w:spacing w:val="-6"/>
        </w:rPr>
        <w:t> </w:t>
      </w:r>
      <w:r>
        <w:rPr/>
        <w:t>of</w:t>
      </w:r>
      <w:r>
        <w:rPr>
          <w:spacing w:val="1"/>
        </w:rPr>
        <w:t> </w:t>
      </w:r>
      <w:r>
        <w:rPr/>
        <w:t>Lagos,</w:t>
      </w:r>
      <w:r>
        <w:rPr>
          <w:spacing w:val="1"/>
        </w:rPr>
        <w:t> </w:t>
      </w:r>
      <w:r>
        <w:rPr/>
        <w:t>Professor S.I.</w:t>
      </w:r>
      <w:r>
        <w:rPr>
          <w:spacing w:val="1"/>
        </w:rPr>
        <w:t> </w:t>
      </w:r>
      <w:r>
        <w:rPr/>
        <w:t>Owualah,</w:t>
      </w:r>
      <w:r>
        <w:rPr>
          <w:spacing w:val="1"/>
        </w:rPr>
        <w:t> </w:t>
      </w:r>
      <w:r>
        <w:rPr/>
        <w:t>former</w:t>
      </w:r>
      <w:r>
        <w:rPr>
          <w:spacing w:val="-1"/>
        </w:rPr>
        <w:t> </w:t>
      </w:r>
      <w:r>
        <w:rPr/>
        <w:t>Head,</w:t>
      </w:r>
      <w:r>
        <w:rPr>
          <w:spacing w:val="1"/>
        </w:rPr>
        <w:t> </w:t>
      </w:r>
      <w:r>
        <w:rPr/>
        <w:t>Department</w:t>
      </w:r>
      <w:r>
        <w:rPr>
          <w:spacing w:val="1"/>
        </w:rPr>
        <w:t> </w:t>
      </w:r>
      <w:r>
        <w:rPr/>
        <w:t>of Finance,</w:t>
      </w:r>
      <w:r>
        <w:rPr>
          <w:spacing w:val="1"/>
        </w:rPr>
        <w:t> </w:t>
      </w:r>
      <w:r>
        <w:rPr/>
        <w:t>University</w:t>
      </w:r>
      <w:r>
        <w:rPr>
          <w:spacing w:val="-4"/>
        </w:rPr>
        <w:t> </w:t>
      </w:r>
      <w:r>
        <w:rPr/>
        <w:t>of</w:t>
      </w:r>
      <w:r>
        <w:rPr>
          <w:spacing w:val="2"/>
        </w:rPr>
        <w:t> </w:t>
      </w:r>
      <w:r>
        <w:rPr/>
        <w:t>Lagos,</w:t>
      </w:r>
      <w:r>
        <w:rPr>
          <w:spacing w:val="12"/>
        </w:rPr>
        <w:t> </w:t>
      </w:r>
      <w:r>
        <w:rPr>
          <w:spacing w:val="-5"/>
        </w:rPr>
        <w:t>Dr.</w:t>
      </w:r>
    </w:p>
    <w:p>
      <w:pPr>
        <w:pStyle w:val="BodyText"/>
        <w:spacing w:line="480" w:lineRule="auto" w:before="1"/>
        <w:ind w:left="711" w:right="471"/>
        <w:jc w:val="both"/>
      </w:pPr>
      <w:r>
        <w:rPr/>
        <w:t>J. Emeka Ezike, (Associate Prof.) the Post-graduate</w:t>
      </w:r>
      <w:r>
        <w:rPr>
          <w:spacing w:val="80"/>
        </w:rPr>
        <w:t> </w:t>
      </w:r>
      <w:r>
        <w:rPr/>
        <w:t>Studies Coordinator, Department of Finance, University of Lagos, Professor J.A.T.Ojo, a distinguished Professor of Finance, Covenant University Ota, and</w:t>
      </w:r>
      <w:r>
        <w:rPr>
          <w:spacing w:val="12"/>
        </w:rPr>
        <w:t> </w:t>
      </w:r>
      <w:r>
        <w:rPr/>
        <w:t>Professor</w:t>
      </w:r>
      <w:r>
        <w:rPr>
          <w:spacing w:val="11"/>
        </w:rPr>
        <w:t> </w:t>
      </w:r>
      <w:r>
        <w:rPr/>
        <w:t>Felix</w:t>
      </w:r>
      <w:r>
        <w:rPr>
          <w:spacing w:val="15"/>
        </w:rPr>
        <w:t> </w:t>
      </w:r>
      <w:r>
        <w:rPr/>
        <w:t>Onabajo</w:t>
      </w:r>
      <w:r>
        <w:rPr>
          <w:spacing w:val="12"/>
        </w:rPr>
        <w:t> </w:t>
      </w:r>
      <w:r>
        <w:rPr/>
        <w:t>of</w:t>
      </w:r>
      <w:r>
        <w:rPr>
          <w:spacing w:val="12"/>
        </w:rPr>
        <w:t> </w:t>
      </w:r>
      <w:r>
        <w:rPr/>
        <w:t>the</w:t>
      </w:r>
      <w:r>
        <w:rPr>
          <w:spacing w:val="14"/>
        </w:rPr>
        <w:t> </w:t>
      </w:r>
      <w:r>
        <w:rPr/>
        <w:t>Lead</w:t>
      </w:r>
      <w:r>
        <w:rPr>
          <w:spacing w:val="13"/>
        </w:rPr>
        <w:t> </w:t>
      </w:r>
      <w:r>
        <w:rPr/>
        <w:t>City</w:t>
      </w:r>
      <w:r>
        <w:rPr>
          <w:spacing w:val="7"/>
        </w:rPr>
        <w:t> </w:t>
      </w:r>
      <w:r>
        <w:rPr/>
        <w:t>University,</w:t>
      </w:r>
      <w:r>
        <w:rPr>
          <w:spacing w:val="14"/>
        </w:rPr>
        <w:t> </w:t>
      </w:r>
      <w:r>
        <w:rPr/>
        <w:t>Ibadan.</w:t>
      </w:r>
      <w:r>
        <w:rPr>
          <w:spacing w:val="13"/>
        </w:rPr>
        <w:t> </w:t>
      </w:r>
      <w:r>
        <w:rPr/>
        <w:t>The</w:t>
      </w:r>
      <w:r>
        <w:rPr>
          <w:spacing w:val="10"/>
        </w:rPr>
        <w:t> </w:t>
      </w:r>
      <w:r>
        <w:rPr/>
        <w:t>tutelage</w:t>
      </w:r>
      <w:r>
        <w:rPr>
          <w:spacing w:val="11"/>
        </w:rPr>
        <w:t> </w:t>
      </w:r>
      <w:r>
        <w:rPr/>
        <w:t>and</w:t>
      </w:r>
      <w:r>
        <w:rPr>
          <w:spacing w:val="20"/>
        </w:rPr>
        <w:t> </w:t>
      </w:r>
      <w:r>
        <w:rPr/>
        <w:t>the</w:t>
      </w:r>
      <w:r>
        <w:rPr>
          <w:spacing w:val="13"/>
        </w:rPr>
        <w:t> </w:t>
      </w:r>
      <w:r>
        <w:rPr/>
        <w:t>contributions</w:t>
      </w:r>
      <w:r>
        <w:rPr>
          <w:spacing w:val="12"/>
        </w:rPr>
        <w:t> </w:t>
      </w:r>
      <w:r>
        <w:rPr/>
        <w:t>of</w:t>
      </w:r>
      <w:r>
        <w:rPr>
          <w:spacing w:val="12"/>
        </w:rPr>
        <w:t> </w:t>
      </w:r>
      <w:r>
        <w:rPr>
          <w:spacing w:val="-5"/>
        </w:rPr>
        <w:t>the</w:t>
      </w:r>
    </w:p>
    <w:p>
      <w:pPr>
        <w:spacing w:after="0" w:line="480" w:lineRule="auto"/>
        <w:jc w:val="both"/>
        <w:sectPr>
          <w:pgSz w:w="11910" w:h="16840"/>
          <w:pgMar w:header="0" w:footer="1039" w:top="1680" w:bottom="1240" w:left="280" w:right="0"/>
        </w:sectPr>
      </w:pPr>
    </w:p>
    <w:p>
      <w:pPr>
        <w:pStyle w:val="BodyText"/>
        <w:spacing w:line="480" w:lineRule="auto" w:before="60"/>
        <w:ind w:left="711" w:right="478"/>
        <w:jc w:val="both"/>
      </w:pPr>
      <w:r>
        <w:rPr/>
        <w:t>above distinguished Professors and academics of repute have greatly influenced and sharpened my</w:t>
      </w:r>
      <w:r>
        <w:rPr>
          <w:spacing w:val="40"/>
        </w:rPr>
        <w:t> </w:t>
      </w:r>
      <w:r>
        <w:rPr/>
        <w:t>academic career.</w:t>
      </w:r>
    </w:p>
    <w:p>
      <w:pPr>
        <w:pStyle w:val="BodyText"/>
        <w:spacing w:line="480" w:lineRule="auto" w:before="1"/>
        <w:ind w:left="711" w:right="478"/>
        <w:jc w:val="both"/>
      </w:pPr>
      <w:r>
        <w:rPr/>
        <w:t>I appreciate the encouragement of the following senior colleagues at the Ekiti State University during the course of this programme: Dr.Awe, A.A., Head of Department of Accounting, Dr. Iwarere, H.T and Mrs. Ayeni-Agbaje of Accounting Department, as well as, Dr. S.O. Adeusi, Head of Banking and Finance and</w:t>
      </w:r>
      <w:r>
        <w:rPr>
          <w:spacing w:val="40"/>
        </w:rPr>
        <w:t> </w:t>
      </w:r>
      <w:r>
        <w:rPr/>
        <w:t>Dr. Sulaimon A.A, Head of Department, Business Administration Department among others.</w:t>
      </w:r>
    </w:p>
    <w:p>
      <w:pPr>
        <w:pStyle w:val="BodyText"/>
        <w:spacing w:line="480" w:lineRule="auto"/>
        <w:ind w:left="711" w:right="473" w:firstLine="60"/>
        <w:jc w:val="both"/>
      </w:pPr>
      <w:r>
        <w:rPr/>
        <w:t>Special thanks to my friends and colleagues, High Chief Ajayi, L.B and Adaramola,</w:t>
      </w:r>
      <w:r>
        <w:rPr>
          <w:spacing w:val="40"/>
        </w:rPr>
        <w:t> </w:t>
      </w:r>
      <w:r>
        <w:rPr/>
        <w:t>A.O. and other members of the Ph.D class namely: Onyeiwu, Charles; Oke, Babatunde, Ifarajimi, G. D</w:t>
      </w:r>
      <w:r>
        <w:rPr>
          <w:spacing w:val="80"/>
        </w:rPr>
        <w:t> </w:t>
      </w:r>
      <w:r>
        <w:rPr/>
        <w:t>and Abass Shiro</w:t>
      </w:r>
      <w:r>
        <w:rPr>
          <w:spacing w:val="40"/>
        </w:rPr>
        <w:t> </w:t>
      </w:r>
      <w:r>
        <w:rPr/>
        <w:t>for their encouragement and support, may</w:t>
      </w:r>
      <w:r>
        <w:rPr>
          <w:spacing w:val="-2"/>
        </w:rPr>
        <w:t> </w:t>
      </w:r>
      <w:r>
        <w:rPr/>
        <w:t>God give us</w:t>
      </w:r>
      <w:r>
        <w:rPr>
          <w:spacing w:val="40"/>
        </w:rPr>
        <w:t> </w:t>
      </w:r>
      <w:r>
        <w:rPr/>
        <w:t>all good health and long life to enjoy</w:t>
      </w:r>
      <w:r>
        <w:rPr>
          <w:spacing w:val="-4"/>
        </w:rPr>
        <w:t> </w:t>
      </w:r>
      <w:r>
        <w:rPr/>
        <w:t>the blessing of this Degree</w:t>
      </w:r>
      <w:r>
        <w:rPr>
          <w:spacing w:val="-1"/>
        </w:rPr>
        <w:t> </w:t>
      </w:r>
      <w:r>
        <w:rPr/>
        <w:t>in Jesus name. I</w:t>
      </w:r>
      <w:r>
        <w:rPr>
          <w:spacing w:val="-3"/>
        </w:rPr>
        <w:t> </w:t>
      </w:r>
      <w:r>
        <w:rPr/>
        <w:t>also appreciate</w:t>
      </w:r>
      <w:r>
        <w:rPr>
          <w:spacing w:val="-1"/>
        </w:rPr>
        <w:t> </w:t>
      </w:r>
      <w:r>
        <w:rPr/>
        <w:t>the</w:t>
      </w:r>
      <w:r>
        <w:rPr>
          <w:spacing w:val="-1"/>
        </w:rPr>
        <w:t> </w:t>
      </w:r>
      <w:r>
        <w:rPr/>
        <w:t>support</w:t>
      </w:r>
      <w:r>
        <w:rPr>
          <w:spacing w:val="-1"/>
        </w:rPr>
        <w:t> </w:t>
      </w:r>
      <w:r>
        <w:rPr/>
        <w:t>of Dr. Obademi E.O</w:t>
      </w:r>
      <w:r>
        <w:rPr>
          <w:spacing w:val="-1"/>
        </w:rPr>
        <w:t> </w:t>
      </w:r>
      <w:r>
        <w:rPr/>
        <w:t>and the</w:t>
      </w:r>
      <w:r>
        <w:rPr>
          <w:spacing w:val="-1"/>
        </w:rPr>
        <w:t> </w:t>
      </w:r>
      <w:r>
        <w:rPr/>
        <w:t>following</w:t>
      </w:r>
      <w:r>
        <w:rPr>
          <w:spacing w:val="-2"/>
        </w:rPr>
        <w:t> </w:t>
      </w:r>
      <w:r>
        <w:rPr/>
        <w:t>colleagues in the Faculty of Management Sciences, Ekiti State University: Dr. Dapo Fapetu, Dr. Sulaimon, L.A and Kolapo. F.T., Mrs Azeez B.A, Yomi</w:t>
      </w:r>
      <w:r>
        <w:rPr>
          <w:spacing w:val="40"/>
        </w:rPr>
        <w:t> </w:t>
      </w:r>
      <w:r>
        <w:rPr/>
        <w:t>Adebisi, Arogundade Kayode, Olaoye F.O., Olaoye C.O. Olola Aduwo, Adesina J. A, Oluwakayode F. and Dada, S.O. among others. I equally appreciate all researchers whose works served as referenced materials during the process of this study.</w:t>
      </w:r>
    </w:p>
    <w:p>
      <w:pPr>
        <w:pStyle w:val="BodyText"/>
        <w:spacing w:line="480" w:lineRule="auto" w:before="1"/>
        <w:ind w:left="711" w:right="473"/>
        <w:jc w:val="both"/>
      </w:pPr>
      <w:r>
        <w:rPr/>
        <w:t>I appreciate the entire pastorate and members of the house of faith, Christian Evangelical Team Ministry, thanks so much for your prayers. I must appreciate the effort of Pastor Kunle Ojo, who despite his busy schedule read through this work for necessary</w:t>
      </w:r>
      <w:r>
        <w:rPr>
          <w:spacing w:val="-4"/>
        </w:rPr>
        <w:t> </w:t>
      </w:r>
      <w:r>
        <w:rPr/>
        <w:t>editing. I also recognise the contributions of my</w:t>
      </w:r>
      <w:r>
        <w:rPr>
          <w:spacing w:val="-2"/>
        </w:rPr>
        <w:t> </w:t>
      </w:r>
      <w:r>
        <w:rPr/>
        <w:t>students who helped in the process of data collation and type setting, some of them are: Kayode Adeleye, Abel Kayode, Hammed Onikola and Tolu Olowookere.</w:t>
      </w:r>
    </w:p>
    <w:p>
      <w:pPr>
        <w:pStyle w:val="BodyText"/>
        <w:spacing w:line="480" w:lineRule="auto" w:before="1"/>
        <w:ind w:left="711" w:right="467"/>
        <w:jc w:val="both"/>
      </w:pPr>
      <w:r>
        <w:rPr/>
        <w:t>Finally, I say a big thank you to my God given, lovely and amiable wife for her understanding, care, love and prayers throughout the period of this programme.</w:t>
      </w:r>
      <w:r>
        <w:rPr>
          <w:spacing w:val="40"/>
        </w:rPr>
        <w:t> </w:t>
      </w:r>
      <w:r>
        <w:rPr/>
        <w:t>The support, understanding and cooperation of my loving children: Joshua, Precious and Testimony towards the successful completion of this programme cannot be over-emphasized. God bless you all.</w:t>
      </w:r>
    </w:p>
    <w:p>
      <w:pPr>
        <w:pStyle w:val="BodyText"/>
      </w:pPr>
    </w:p>
    <w:p>
      <w:pPr>
        <w:pStyle w:val="BodyText"/>
      </w:pPr>
    </w:p>
    <w:p>
      <w:pPr>
        <w:pStyle w:val="BodyText"/>
        <w:spacing w:before="92"/>
      </w:pPr>
    </w:p>
    <w:p>
      <w:pPr>
        <w:pStyle w:val="BodyText"/>
        <w:ind w:left="7670"/>
      </w:pPr>
      <w:r>
        <w:rPr/>
        <w:t>OKE,</w:t>
      </w:r>
      <w:r>
        <w:rPr>
          <w:spacing w:val="-4"/>
        </w:rPr>
        <w:t> </w:t>
      </w:r>
      <w:r>
        <w:rPr/>
        <w:t>MICHAEL</w:t>
      </w:r>
      <w:r>
        <w:rPr>
          <w:spacing w:val="-3"/>
        </w:rPr>
        <w:t> </w:t>
      </w:r>
      <w:r>
        <w:rPr>
          <w:spacing w:val="-4"/>
        </w:rPr>
        <w:t>OJO.</w:t>
      </w:r>
    </w:p>
    <w:p>
      <w:pPr>
        <w:spacing w:after="0"/>
        <w:sectPr>
          <w:pgSz w:w="11910" w:h="16840"/>
          <w:pgMar w:header="0" w:footer="1039" w:top="1360" w:bottom="1240" w:left="280" w:right="0"/>
        </w:sectPr>
      </w:pPr>
    </w:p>
    <w:p>
      <w:pPr>
        <w:pStyle w:val="Heading5"/>
        <w:ind w:right="1680"/>
      </w:pPr>
      <w:r>
        <w:rPr>
          <w:spacing w:val="-2"/>
        </w:rPr>
        <w:t>DEDICATION</w:t>
      </w:r>
    </w:p>
    <w:p>
      <w:pPr>
        <w:pStyle w:val="BodyText"/>
        <w:spacing w:before="1"/>
        <w:rPr>
          <w:b/>
        </w:rPr>
      </w:pPr>
    </w:p>
    <w:p>
      <w:pPr>
        <w:pStyle w:val="BodyText"/>
        <w:ind w:left="711"/>
      </w:pPr>
      <w:r>
        <w:rPr/>
        <w:t>This</w:t>
      </w:r>
      <w:r>
        <w:rPr>
          <w:spacing w:val="34"/>
        </w:rPr>
        <w:t> </w:t>
      </w:r>
      <w:r>
        <w:rPr/>
        <w:t>thesis</w:t>
      </w:r>
      <w:r>
        <w:rPr>
          <w:spacing w:val="34"/>
        </w:rPr>
        <w:t> </w:t>
      </w:r>
      <w:r>
        <w:rPr/>
        <w:t>is</w:t>
      </w:r>
      <w:r>
        <w:rPr>
          <w:spacing w:val="32"/>
        </w:rPr>
        <w:t> </w:t>
      </w:r>
      <w:r>
        <w:rPr/>
        <w:t>dedicated</w:t>
      </w:r>
      <w:r>
        <w:rPr>
          <w:spacing w:val="33"/>
        </w:rPr>
        <w:t> </w:t>
      </w:r>
      <w:r>
        <w:rPr/>
        <w:t>to</w:t>
      </w:r>
      <w:r>
        <w:rPr>
          <w:spacing w:val="34"/>
        </w:rPr>
        <w:t> </w:t>
      </w:r>
      <w:r>
        <w:rPr/>
        <w:t>the</w:t>
      </w:r>
      <w:r>
        <w:rPr>
          <w:spacing w:val="33"/>
        </w:rPr>
        <w:t> </w:t>
      </w:r>
      <w:r>
        <w:rPr/>
        <w:t>Almighty</w:t>
      </w:r>
      <w:r>
        <w:rPr>
          <w:spacing w:val="28"/>
        </w:rPr>
        <w:t> </w:t>
      </w:r>
      <w:r>
        <w:rPr/>
        <w:t>God</w:t>
      </w:r>
      <w:r>
        <w:rPr>
          <w:spacing w:val="33"/>
        </w:rPr>
        <w:t> </w:t>
      </w:r>
      <w:r>
        <w:rPr/>
        <w:t>who</w:t>
      </w:r>
      <w:r>
        <w:rPr>
          <w:spacing w:val="33"/>
        </w:rPr>
        <w:t> </w:t>
      </w:r>
      <w:r>
        <w:rPr/>
        <w:t>gave</w:t>
      </w:r>
      <w:r>
        <w:rPr>
          <w:spacing w:val="32"/>
        </w:rPr>
        <w:t> </w:t>
      </w:r>
      <w:r>
        <w:rPr/>
        <w:t>me</w:t>
      </w:r>
      <w:r>
        <w:rPr>
          <w:spacing w:val="33"/>
        </w:rPr>
        <w:t> </w:t>
      </w:r>
      <w:r>
        <w:rPr/>
        <w:t>the</w:t>
      </w:r>
      <w:r>
        <w:rPr>
          <w:spacing w:val="33"/>
        </w:rPr>
        <w:t> </w:t>
      </w:r>
      <w:r>
        <w:rPr/>
        <w:t>courage,</w:t>
      </w:r>
      <w:r>
        <w:rPr>
          <w:spacing w:val="33"/>
        </w:rPr>
        <w:t> </w:t>
      </w:r>
      <w:r>
        <w:rPr/>
        <w:t>grace</w:t>
      </w:r>
      <w:r>
        <w:rPr>
          <w:spacing w:val="32"/>
        </w:rPr>
        <w:t> </w:t>
      </w:r>
      <w:r>
        <w:rPr/>
        <w:t>and</w:t>
      </w:r>
      <w:r>
        <w:rPr>
          <w:spacing w:val="33"/>
        </w:rPr>
        <w:t> </w:t>
      </w:r>
      <w:r>
        <w:rPr/>
        <w:t>strength</w:t>
      </w:r>
      <w:r>
        <w:rPr>
          <w:spacing w:val="34"/>
        </w:rPr>
        <w:t> </w:t>
      </w:r>
      <w:r>
        <w:rPr/>
        <w:t>to</w:t>
      </w:r>
      <w:r>
        <w:rPr>
          <w:spacing w:val="34"/>
        </w:rPr>
        <w:t> </w:t>
      </w:r>
      <w:r>
        <w:rPr/>
        <w:t>start</w:t>
      </w:r>
      <w:r>
        <w:rPr>
          <w:spacing w:val="34"/>
        </w:rPr>
        <w:t> </w:t>
      </w:r>
      <w:r>
        <w:rPr/>
        <w:t>and complete this programme.</w:t>
      </w:r>
    </w:p>
    <w:p>
      <w:pPr>
        <w:spacing w:after="0"/>
        <w:sectPr>
          <w:pgSz w:w="11910" w:h="16840"/>
          <w:pgMar w:header="0" w:footer="1039" w:top="1360" w:bottom="1240" w:left="280" w:right="0"/>
        </w:sectPr>
      </w:pPr>
    </w:p>
    <w:p>
      <w:pPr>
        <w:pStyle w:val="Heading5"/>
        <w:ind w:left="236"/>
      </w:pPr>
      <w:r>
        <w:rPr/>
        <w:t>LIST OF</w:t>
      </w:r>
      <w:r>
        <w:rPr>
          <w:spacing w:val="-3"/>
        </w:rPr>
        <w:t> </w:t>
      </w:r>
      <w:r>
        <w:rPr>
          <w:spacing w:val="-2"/>
        </w:rPr>
        <w:t>ABBREVIATIONS</w:t>
      </w:r>
    </w:p>
    <w:p>
      <w:pPr>
        <w:pStyle w:val="BodyText"/>
        <w:spacing w:before="57"/>
        <w:rPr>
          <w:b/>
          <w:sz w:val="20"/>
        </w:rPr>
      </w:pPr>
    </w:p>
    <w:tbl>
      <w:tblPr>
        <w:tblW w:w="0" w:type="auto"/>
        <w:jc w:val="left"/>
        <w:tblInd w:w="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42"/>
        <w:gridCol w:w="4101"/>
      </w:tblGrid>
      <w:tr>
        <w:trPr>
          <w:trHeight w:val="408" w:hRule="atLeast"/>
        </w:trPr>
        <w:tc>
          <w:tcPr>
            <w:tcW w:w="1242" w:type="dxa"/>
          </w:tcPr>
          <w:p>
            <w:pPr>
              <w:pStyle w:val="TableParagraph"/>
              <w:spacing w:line="266" w:lineRule="exact"/>
              <w:ind w:left="50"/>
              <w:rPr>
                <w:sz w:val="24"/>
              </w:rPr>
            </w:pPr>
            <w:r>
              <w:rPr>
                <w:spacing w:val="-5"/>
                <w:sz w:val="24"/>
              </w:rPr>
              <w:t>ADF</w:t>
            </w:r>
          </w:p>
        </w:tc>
        <w:tc>
          <w:tcPr>
            <w:tcW w:w="4101" w:type="dxa"/>
          </w:tcPr>
          <w:p>
            <w:pPr>
              <w:pStyle w:val="TableParagraph"/>
              <w:spacing w:line="266" w:lineRule="exact"/>
              <w:ind w:left="248"/>
              <w:rPr>
                <w:sz w:val="24"/>
              </w:rPr>
            </w:pPr>
            <w:r>
              <w:rPr>
                <w:sz w:val="24"/>
              </w:rPr>
              <w:t>Augmented</w:t>
            </w:r>
            <w:r>
              <w:rPr>
                <w:spacing w:val="-1"/>
                <w:sz w:val="24"/>
              </w:rPr>
              <w:t> </w:t>
            </w:r>
            <w:r>
              <w:rPr>
                <w:sz w:val="24"/>
              </w:rPr>
              <w:t>Dickey</w:t>
            </w:r>
            <w:r>
              <w:rPr>
                <w:spacing w:val="-3"/>
                <w:sz w:val="24"/>
              </w:rPr>
              <w:t> </w:t>
            </w:r>
            <w:r>
              <w:rPr>
                <w:sz w:val="24"/>
              </w:rPr>
              <w:t>Fuller </w:t>
            </w:r>
            <w:r>
              <w:rPr>
                <w:spacing w:val="-4"/>
                <w:sz w:val="24"/>
              </w:rPr>
              <w:t>Test</w:t>
            </w:r>
          </w:p>
        </w:tc>
      </w:tr>
      <w:tr>
        <w:trPr>
          <w:trHeight w:val="551" w:hRule="atLeast"/>
        </w:trPr>
        <w:tc>
          <w:tcPr>
            <w:tcW w:w="1242" w:type="dxa"/>
          </w:tcPr>
          <w:p>
            <w:pPr>
              <w:pStyle w:val="TableParagraph"/>
              <w:spacing w:before="133"/>
              <w:ind w:left="50"/>
              <w:rPr>
                <w:sz w:val="24"/>
              </w:rPr>
            </w:pPr>
            <w:r>
              <w:rPr>
                <w:spacing w:val="-4"/>
                <w:sz w:val="24"/>
              </w:rPr>
              <w:t>AFEM</w:t>
            </w:r>
          </w:p>
        </w:tc>
        <w:tc>
          <w:tcPr>
            <w:tcW w:w="4101" w:type="dxa"/>
          </w:tcPr>
          <w:p>
            <w:pPr>
              <w:pStyle w:val="TableParagraph"/>
              <w:spacing w:before="133"/>
              <w:ind w:left="248"/>
              <w:rPr>
                <w:sz w:val="24"/>
              </w:rPr>
            </w:pPr>
            <w:r>
              <w:rPr>
                <w:sz w:val="24"/>
              </w:rPr>
              <w:t>Autonomous</w:t>
            </w:r>
            <w:r>
              <w:rPr>
                <w:spacing w:val="-2"/>
                <w:sz w:val="24"/>
              </w:rPr>
              <w:t> </w:t>
            </w:r>
            <w:r>
              <w:rPr>
                <w:sz w:val="24"/>
              </w:rPr>
              <w:t>Foreign</w:t>
            </w:r>
            <w:r>
              <w:rPr>
                <w:spacing w:val="-2"/>
                <w:sz w:val="24"/>
              </w:rPr>
              <w:t> </w:t>
            </w:r>
            <w:r>
              <w:rPr>
                <w:sz w:val="24"/>
              </w:rPr>
              <w:t>Exchange</w:t>
            </w:r>
            <w:r>
              <w:rPr>
                <w:spacing w:val="-2"/>
                <w:sz w:val="24"/>
              </w:rPr>
              <w:t> Market</w:t>
            </w:r>
          </w:p>
        </w:tc>
      </w:tr>
      <w:tr>
        <w:trPr>
          <w:trHeight w:val="551" w:hRule="atLeast"/>
        </w:trPr>
        <w:tc>
          <w:tcPr>
            <w:tcW w:w="1242" w:type="dxa"/>
          </w:tcPr>
          <w:p>
            <w:pPr>
              <w:pStyle w:val="TableParagraph"/>
              <w:spacing w:before="133"/>
              <w:ind w:left="50"/>
              <w:rPr>
                <w:sz w:val="24"/>
              </w:rPr>
            </w:pPr>
            <w:r>
              <w:rPr>
                <w:spacing w:val="-5"/>
                <w:sz w:val="24"/>
              </w:rPr>
              <w:t>BOP</w:t>
            </w:r>
          </w:p>
        </w:tc>
        <w:tc>
          <w:tcPr>
            <w:tcW w:w="4101" w:type="dxa"/>
          </w:tcPr>
          <w:p>
            <w:pPr>
              <w:pStyle w:val="TableParagraph"/>
              <w:spacing w:before="133"/>
              <w:ind w:left="248"/>
              <w:rPr>
                <w:sz w:val="24"/>
              </w:rPr>
            </w:pPr>
            <w:r>
              <w:rPr>
                <w:sz w:val="24"/>
              </w:rPr>
              <w:t>Balance</w:t>
            </w:r>
            <w:r>
              <w:rPr>
                <w:spacing w:val="-3"/>
                <w:sz w:val="24"/>
              </w:rPr>
              <w:t> </w:t>
            </w:r>
            <w:r>
              <w:rPr>
                <w:sz w:val="24"/>
              </w:rPr>
              <w:t>of</w:t>
            </w:r>
            <w:r>
              <w:rPr>
                <w:spacing w:val="-1"/>
                <w:sz w:val="24"/>
              </w:rPr>
              <w:t> </w:t>
            </w:r>
            <w:r>
              <w:rPr>
                <w:spacing w:val="-2"/>
                <w:sz w:val="24"/>
              </w:rPr>
              <w:t>Payment</w:t>
            </w:r>
          </w:p>
        </w:tc>
      </w:tr>
      <w:tr>
        <w:trPr>
          <w:trHeight w:val="552" w:hRule="atLeast"/>
        </w:trPr>
        <w:tc>
          <w:tcPr>
            <w:tcW w:w="1242" w:type="dxa"/>
          </w:tcPr>
          <w:p>
            <w:pPr>
              <w:pStyle w:val="TableParagraph"/>
              <w:spacing w:before="133"/>
              <w:ind w:left="50"/>
              <w:rPr>
                <w:sz w:val="24"/>
              </w:rPr>
            </w:pPr>
            <w:r>
              <w:rPr>
                <w:spacing w:val="-5"/>
                <w:sz w:val="24"/>
              </w:rPr>
              <w:t>CAB</w:t>
            </w:r>
          </w:p>
        </w:tc>
        <w:tc>
          <w:tcPr>
            <w:tcW w:w="4101" w:type="dxa"/>
          </w:tcPr>
          <w:p>
            <w:pPr>
              <w:pStyle w:val="TableParagraph"/>
              <w:spacing w:before="133"/>
              <w:ind w:left="248"/>
              <w:rPr>
                <w:sz w:val="24"/>
              </w:rPr>
            </w:pPr>
            <w:r>
              <w:rPr>
                <w:sz w:val="24"/>
              </w:rPr>
              <w:t>Current</w:t>
            </w:r>
            <w:r>
              <w:rPr>
                <w:spacing w:val="-2"/>
                <w:sz w:val="24"/>
              </w:rPr>
              <w:t> </w:t>
            </w:r>
            <w:r>
              <w:rPr>
                <w:sz w:val="24"/>
              </w:rPr>
              <w:t>Account</w:t>
            </w:r>
            <w:r>
              <w:rPr>
                <w:spacing w:val="-1"/>
                <w:sz w:val="24"/>
              </w:rPr>
              <w:t> </w:t>
            </w:r>
            <w:r>
              <w:rPr>
                <w:spacing w:val="-2"/>
                <w:sz w:val="24"/>
              </w:rPr>
              <w:t>Balance</w:t>
            </w:r>
          </w:p>
        </w:tc>
      </w:tr>
      <w:tr>
        <w:trPr>
          <w:trHeight w:val="551" w:hRule="atLeast"/>
        </w:trPr>
        <w:tc>
          <w:tcPr>
            <w:tcW w:w="1242" w:type="dxa"/>
          </w:tcPr>
          <w:p>
            <w:pPr>
              <w:pStyle w:val="TableParagraph"/>
              <w:spacing w:before="133"/>
              <w:ind w:left="50"/>
              <w:rPr>
                <w:sz w:val="24"/>
              </w:rPr>
            </w:pPr>
            <w:r>
              <w:rPr>
                <w:spacing w:val="-5"/>
                <w:sz w:val="24"/>
              </w:rPr>
              <w:t>CBN</w:t>
            </w:r>
          </w:p>
        </w:tc>
        <w:tc>
          <w:tcPr>
            <w:tcW w:w="4101" w:type="dxa"/>
          </w:tcPr>
          <w:p>
            <w:pPr>
              <w:pStyle w:val="TableParagraph"/>
              <w:spacing w:before="133"/>
              <w:ind w:left="248"/>
              <w:rPr>
                <w:sz w:val="24"/>
              </w:rPr>
            </w:pPr>
            <w:r>
              <w:rPr>
                <w:sz w:val="24"/>
              </w:rPr>
              <w:t>Central</w:t>
            </w:r>
            <w:r>
              <w:rPr>
                <w:spacing w:val="-2"/>
                <w:sz w:val="24"/>
              </w:rPr>
              <w:t> </w:t>
            </w:r>
            <w:r>
              <w:rPr>
                <w:sz w:val="24"/>
              </w:rPr>
              <w:t>Bank</w:t>
            </w:r>
            <w:r>
              <w:rPr>
                <w:spacing w:val="-1"/>
                <w:sz w:val="24"/>
              </w:rPr>
              <w:t> </w:t>
            </w:r>
            <w:r>
              <w:rPr>
                <w:sz w:val="24"/>
              </w:rPr>
              <w:t>of</w:t>
            </w:r>
            <w:r>
              <w:rPr>
                <w:spacing w:val="-1"/>
                <w:sz w:val="24"/>
              </w:rPr>
              <w:t> </w:t>
            </w:r>
            <w:r>
              <w:rPr>
                <w:spacing w:val="-2"/>
                <w:sz w:val="24"/>
              </w:rPr>
              <w:t>Nigeria</w:t>
            </w:r>
          </w:p>
        </w:tc>
      </w:tr>
      <w:tr>
        <w:trPr>
          <w:trHeight w:val="552" w:hRule="atLeast"/>
        </w:trPr>
        <w:tc>
          <w:tcPr>
            <w:tcW w:w="1242" w:type="dxa"/>
          </w:tcPr>
          <w:p>
            <w:pPr>
              <w:pStyle w:val="TableParagraph"/>
              <w:spacing w:before="133"/>
              <w:ind w:left="50"/>
              <w:rPr>
                <w:sz w:val="24"/>
              </w:rPr>
            </w:pPr>
            <w:r>
              <w:rPr>
                <w:spacing w:val="-5"/>
                <w:sz w:val="24"/>
              </w:rPr>
              <w:t>DFI</w:t>
            </w:r>
          </w:p>
        </w:tc>
        <w:tc>
          <w:tcPr>
            <w:tcW w:w="4101" w:type="dxa"/>
          </w:tcPr>
          <w:p>
            <w:pPr>
              <w:pStyle w:val="TableParagraph"/>
              <w:spacing w:before="133"/>
              <w:ind w:left="248"/>
              <w:rPr>
                <w:sz w:val="24"/>
              </w:rPr>
            </w:pPr>
            <w:r>
              <w:rPr>
                <w:sz w:val="24"/>
              </w:rPr>
              <w:t>Direct</w:t>
            </w:r>
            <w:r>
              <w:rPr>
                <w:spacing w:val="-2"/>
                <w:sz w:val="24"/>
              </w:rPr>
              <w:t> </w:t>
            </w:r>
            <w:r>
              <w:rPr>
                <w:sz w:val="24"/>
              </w:rPr>
              <w:t>foreign </w:t>
            </w:r>
            <w:r>
              <w:rPr>
                <w:spacing w:val="-2"/>
                <w:sz w:val="24"/>
              </w:rPr>
              <w:t>Investment</w:t>
            </w:r>
          </w:p>
        </w:tc>
      </w:tr>
      <w:tr>
        <w:trPr>
          <w:trHeight w:val="563" w:hRule="atLeast"/>
        </w:trPr>
        <w:tc>
          <w:tcPr>
            <w:tcW w:w="1242" w:type="dxa"/>
          </w:tcPr>
          <w:p>
            <w:pPr>
              <w:pStyle w:val="TableParagraph"/>
              <w:spacing w:before="133"/>
              <w:ind w:left="50"/>
              <w:rPr>
                <w:sz w:val="24"/>
              </w:rPr>
            </w:pPr>
            <w:r>
              <w:rPr>
                <w:spacing w:val="-5"/>
                <w:sz w:val="24"/>
              </w:rPr>
              <w:t>DMO</w:t>
            </w:r>
          </w:p>
        </w:tc>
        <w:tc>
          <w:tcPr>
            <w:tcW w:w="4101" w:type="dxa"/>
          </w:tcPr>
          <w:p>
            <w:pPr>
              <w:pStyle w:val="TableParagraph"/>
              <w:spacing w:before="133"/>
              <w:ind w:left="248"/>
              <w:rPr>
                <w:sz w:val="24"/>
              </w:rPr>
            </w:pPr>
            <w:r>
              <w:rPr>
                <w:sz w:val="24"/>
              </w:rPr>
              <w:t>Debt</w:t>
            </w:r>
            <w:r>
              <w:rPr>
                <w:spacing w:val="-3"/>
                <w:sz w:val="24"/>
              </w:rPr>
              <w:t> </w:t>
            </w:r>
            <w:r>
              <w:rPr>
                <w:sz w:val="24"/>
              </w:rPr>
              <w:t>Management</w:t>
            </w:r>
            <w:r>
              <w:rPr>
                <w:spacing w:val="-1"/>
                <w:sz w:val="24"/>
              </w:rPr>
              <w:t> </w:t>
            </w:r>
            <w:r>
              <w:rPr>
                <w:spacing w:val="-2"/>
                <w:sz w:val="24"/>
              </w:rPr>
              <w:t>Office</w:t>
            </w:r>
          </w:p>
        </w:tc>
      </w:tr>
      <w:tr>
        <w:trPr>
          <w:trHeight w:val="586" w:hRule="atLeast"/>
        </w:trPr>
        <w:tc>
          <w:tcPr>
            <w:tcW w:w="1242" w:type="dxa"/>
          </w:tcPr>
          <w:p>
            <w:pPr>
              <w:pStyle w:val="TableParagraph"/>
              <w:spacing w:before="143"/>
              <w:ind w:left="50"/>
              <w:rPr>
                <w:sz w:val="24"/>
              </w:rPr>
            </w:pPr>
            <w:r>
              <w:rPr>
                <w:spacing w:val="-5"/>
                <w:sz w:val="24"/>
              </w:rPr>
              <w:t>DOP</w:t>
            </w:r>
          </w:p>
        </w:tc>
        <w:tc>
          <w:tcPr>
            <w:tcW w:w="4101" w:type="dxa"/>
          </w:tcPr>
          <w:p>
            <w:pPr>
              <w:pStyle w:val="TableParagraph"/>
              <w:spacing w:before="143"/>
              <w:ind w:left="248"/>
              <w:rPr>
                <w:sz w:val="24"/>
              </w:rPr>
            </w:pPr>
            <w:r>
              <w:rPr>
                <w:sz w:val="24"/>
              </w:rPr>
              <w:t>Degree</w:t>
            </w:r>
            <w:r>
              <w:rPr>
                <w:spacing w:val="-3"/>
                <w:sz w:val="24"/>
              </w:rPr>
              <w:t> </w:t>
            </w:r>
            <w:r>
              <w:rPr>
                <w:sz w:val="24"/>
              </w:rPr>
              <w:t>of</w:t>
            </w:r>
            <w:r>
              <w:rPr>
                <w:spacing w:val="-1"/>
                <w:sz w:val="24"/>
              </w:rPr>
              <w:t> </w:t>
            </w:r>
            <w:r>
              <w:rPr>
                <w:spacing w:val="-2"/>
                <w:sz w:val="24"/>
              </w:rPr>
              <w:t>openness</w:t>
            </w:r>
          </w:p>
        </w:tc>
      </w:tr>
      <w:tr>
        <w:trPr>
          <w:trHeight w:val="575" w:hRule="atLeast"/>
        </w:trPr>
        <w:tc>
          <w:tcPr>
            <w:tcW w:w="1242" w:type="dxa"/>
          </w:tcPr>
          <w:p>
            <w:pPr>
              <w:pStyle w:val="TableParagraph"/>
              <w:spacing w:before="157"/>
              <w:ind w:left="50"/>
              <w:rPr>
                <w:sz w:val="24"/>
              </w:rPr>
            </w:pPr>
            <w:r>
              <w:rPr>
                <w:spacing w:val="-5"/>
                <w:sz w:val="24"/>
              </w:rPr>
              <w:t>DR</w:t>
            </w:r>
          </w:p>
        </w:tc>
        <w:tc>
          <w:tcPr>
            <w:tcW w:w="4101" w:type="dxa"/>
          </w:tcPr>
          <w:p>
            <w:pPr>
              <w:pStyle w:val="TableParagraph"/>
              <w:spacing w:before="157"/>
              <w:ind w:left="248"/>
              <w:rPr>
                <w:sz w:val="24"/>
              </w:rPr>
            </w:pPr>
            <w:r>
              <w:rPr>
                <w:sz w:val="24"/>
              </w:rPr>
              <w:t>Deposit</w:t>
            </w:r>
            <w:r>
              <w:rPr>
                <w:spacing w:val="-2"/>
                <w:sz w:val="24"/>
              </w:rPr>
              <w:t> </w:t>
            </w:r>
            <w:r>
              <w:rPr>
                <w:spacing w:val="-4"/>
                <w:sz w:val="24"/>
              </w:rPr>
              <w:t>Rate</w:t>
            </w:r>
          </w:p>
        </w:tc>
      </w:tr>
      <w:tr>
        <w:trPr>
          <w:trHeight w:val="551" w:hRule="atLeast"/>
        </w:trPr>
        <w:tc>
          <w:tcPr>
            <w:tcW w:w="1242" w:type="dxa"/>
          </w:tcPr>
          <w:p>
            <w:pPr>
              <w:pStyle w:val="TableParagraph"/>
              <w:spacing w:before="133"/>
              <w:ind w:left="50"/>
              <w:rPr>
                <w:sz w:val="24"/>
              </w:rPr>
            </w:pPr>
            <w:r>
              <w:rPr>
                <w:spacing w:val="-5"/>
                <w:sz w:val="24"/>
              </w:rPr>
              <w:t>ECM</w:t>
            </w:r>
          </w:p>
        </w:tc>
        <w:tc>
          <w:tcPr>
            <w:tcW w:w="4101" w:type="dxa"/>
          </w:tcPr>
          <w:p>
            <w:pPr>
              <w:pStyle w:val="TableParagraph"/>
              <w:spacing w:before="133"/>
              <w:ind w:left="248"/>
              <w:rPr>
                <w:sz w:val="24"/>
              </w:rPr>
            </w:pPr>
            <w:r>
              <w:rPr>
                <w:sz w:val="24"/>
              </w:rPr>
              <w:t>Error</w:t>
            </w:r>
            <w:r>
              <w:rPr>
                <w:spacing w:val="-4"/>
                <w:sz w:val="24"/>
              </w:rPr>
              <w:t> </w:t>
            </w:r>
            <w:r>
              <w:rPr>
                <w:sz w:val="24"/>
              </w:rPr>
              <w:t>Correction</w:t>
            </w:r>
            <w:r>
              <w:rPr>
                <w:spacing w:val="-1"/>
                <w:sz w:val="24"/>
              </w:rPr>
              <w:t> </w:t>
            </w:r>
            <w:r>
              <w:rPr>
                <w:spacing w:val="-2"/>
                <w:sz w:val="24"/>
              </w:rPr>
              <w:t>Mechanism</w:t>
            </w:r>
          </w:p>
        </w:tc>
      </w:tr>
      <w:tr>
        <w:trPr>
          <w:trHeight w:val="552" w:hRule="atLeast"/>
        </w:trPr>
        <w:tc>
          <w:tcPr>
            <w:tcW w:w="1242" w:type="dxa"/>
          </w:tcPr>
          <w:p>
            <w:pPr>
              <w:pStyle w:val="TableParagraph"/>
              <w:spacing w:before="133"/>
              <w:ind w:left="50"/>
              <w:rPr>
                <w:sz w:val="24"/>
              </w:rPr>
            </w:pPr>
            <w:r>
              <w:rPr>
                <w:spacing w:val="-2"/>
                <w:sz w:val="24"/>
              </w:rPr>
              <w:t>EXDEBT</w:t>
            </w:r>
          </w:p>
        </w:tc>
        <w:tc>
          <w:tcPr>
            <w:tcW w:w="4101" w:type="dxa"/>
          </w:tcPr>
          <w:p>
            <w:pPr>
              <w:pStyle w:val="TableParagraph"/>
              <w:spacing w:before="133"/>
              <w:ind w:left="248"/>
              <w:rPr>
                <w:sz w:val="24"/>
              </w:rPr>
            </w:pPr>
            <w:r>
              <w:rPr>
                <w:sz w:val="24"/>
              </w:rPr>
              <w:t>Change</w:t>
            </w:r>
            <w:r>
              <w:rPr>
                <w:spacing w:val="-5"/>
                <w:sz w:val="24"/>
              </w:rPr>
              <w:t> </w:t>
            </w:r>
            <w:r>
              <w:rPr>
                <w:sz w:val="24"/>
              </w:rPr>
              <w:t>in</w:t>
            </w:r>
            <w:r>
              <w:rPr>
                <w:spacing w:val="-2"/>
                <w:sz w:val="24"/>
              </w:rPr>
              <w:t> </w:t>
            </w:r>
            <w:r>
              <w:rPr>
                <w:sz w:val="24"/>
              </w:rPr>
              <w:t>External</w:t>
            </w:r>
            <w:r>
              <w:rPr>
                <w:spacing w:val="-1"/>
                <w:sz w:val="24"/>
              </w:rPr>
              <w:t> </w:t>
            </w:r>
            <w:r>
              <w:rPr>
                <w:spacing w:val="-4"/>
                <w:sz w:val="24"/>
              </w:rPr>
              <w:t>Debt</w:t>
            </w:r>
          </w:p>
        </w:tc>
      </w:tr>
      <w:tr>
        <w:trPr>
          <w:trHeight w:val="552" w:hRule="atLeast"/>
        </w:trPr>
        <w:tc>
          <w:tcPr>
            <w:tcW w:w="1242" w:type="dxa"/>
          </w:tcPr>
          <w:p>
            <w:pPr>
              <w:pStyle w:val="TableParagraph"/>
              <w:spacing w:before="133"/>
              <w:ind w:left="50"/>
              <w:rPr>
                <w:sz w:val="24"/>
              </w:rPr>
            </w:pPr>
            <w:r>
              <w:rPr>
                <w:spacing w:val="-5"/>
                <w:sz w:val="24"/>
              </w:rPr>
              <w:t>FOS</w:t>
            </w:r>
          </w:p>
        </w:tc>
        <w:tc>
          <w:tcPr>
            <w:tcW w:w="4101" w:type="dxa"/>
          </w:tcPr>
          <w:p>
            <w:pPr>
              <w:pStyle w:val="TableParagraph"/>
              <w:spacing w:before="133"/>
              <w:ind w:left="248"/>
              <w:rPr>
                <w:sz w:val="24"/>
              </w:rPr>
            </w:pPr>
            <w:r>
              <w:rPr>
                <w:sz w:val="24"/>
              </w:rPr>
              <w:t>Federal</w:t>
            </w:r>
            <w:r>
              <w:rPr>
                <w:spacing w:val="-1"/>
                <w:sz w:val="24"/>
              </w:rPr>
              <w:t> </w:t>
            </w:r>
            <w:r>
              <w:rPr>
                <w:sz w:val="24"/>
              </w:rPr>
              <w:t>Office</w:t>
            </w:r>
            <w:r>
              <w:rPr>
                <w:spacing w:val="-2"/>
                <w:sz w:val="24"/>
              </w:rPr>
              <w:t> </w:t>
            </w:r>
            <w:r>
              <w:rPr>
                <w:sz w:val="24"/>
              </w:rPr>
              <w:t>of</w:t>
            </w:r>
            <w:r>
              <w:rPr>
                <w:spacing w:val="-1"/>
                <w:sz w:val="24"/>
              </w:rPr>
              <w:t> </w:t>
            </w:r>
            <w:r>
              <w:rPr>
                <w:spacing w:val="-2"/>
                <w:sz w:val="24"/>
              </w:rPr>
              <w:t>Statistics</w:t>
            </w:r>
          </w:p>
        </w:tc>
      </w:tr>
      <w:tr>
        <w:trPr>
          <w:trHeight w:val="552" w:hRule="atLeast"/>
        </w:trPr>
        <w:tc>
          <w:tcPr>
            <w:tcW w:w="1242" w:type="dxa"/>
          </w:tcPr>
          <w:p>
            <w:pPr>
              <w:pStyle w:val="TableParagraph"/>
              <w:spacing w:before="133"/>
              <w:ind w:left="50"/>
              <w:rPr>
                <w:sz w:val="24"/>
              </w:rPr>
            </w:pPr>
            <w:r>
              <w:rPr>
                <w:spacing w:val="-5"/>
                <w:sz w:val="24"/>
              </w:rPr>
              <w:t>GCF</w:t>
            </w:r>
          </w:p>
        </w:tc>
        <w:tc>
          <w:tcPr>
            <w:tcW w:w="4101" w:type="dxa"/>
          </w:tcPr>
          <w:p>
            <w:pPr>
              <w:pStyle w:val="TableParagraph"/>
              <w:spacing w:before="133"/>
              <w:ind w:left="248"/>
              <w:rPr>
                <w:sz w:val="24"/>
              </w:rPr>
            </w:pPr>
            <w:r>
              <w:rPr>
                <w:sz w:val="24"/>
              </w:rPr>
              <w:t>Gross</w:t>
            </w:r>
            <w:r>
              <w:rPr>
                <w:spacing w:val="-2"/>
                <w:sz w:val="24"/>
              </w:rPr>
              <w:t> </w:t>
            </w:r>
            <w:r>
              <w:rPr>
                <w:sz w:val="24"/>
              </w:rPr>
              <w:t>Capital</w:t>
            </w:r>
            <w:r>
              <w:rPr>
                <w:spacing w:val="-2"/>
                <w:sz w:val="24"/>
              </w:rPr>
              <w:t> Formation</w:t>
            </w:r>
          </w:p>
        </w:tc>
      </w:tr>
      <w:tr>
        <w:trPr>
          <w:trHeight w:val="552" w:hRule="atLeast"/>
        </w:trPr>
        <w:tc>
          <w:tcPr>
            <w:tcW w:w="1242" w:type="dxa"/>
          </w:tcPr>
          <w:p>
            <w:pPr>
              <w:pStyle w:val="TableParagraph"/>
              <w:spacing w:before="133"/>
              <w:ind w:left="50"/>
              <w:rPr>
                <w:sz w:val="24"/>
              </w:rPr>
            </w:pPr>
            <w:r>
              <w:rPr>
                <w:spacing w:val="-5"/>
                <w:sz w:val="24"/>
              </w:rPr>
              <w:t>GDI</w:t>
            </w:r>
          </w:p>
        </w:tc>
        <w:tc>
          <w:tcPr>
            <w:tcW w:w="4101" w:type="dxa"/>
          </w:tcPr>
          <w:p>
            <w:pPr>
              <w:pStyle w:val="TableParagraph"/>
              <w:spacing w:before="133"/>
              <w:ind w:left="248"/>
              <w:rPr>
                <w:sz w:val="24"/>
              </w:rPr>
            </w:pPr>
            <w:r>
              <w:rPr>
                <w:sz w:val="24"/>
              </w:rPr>
              <w:t>Gross</w:t>
            </w:r>
            <w:r>
              <w:rPr>
                <w:spacing w:val="-1"/>
                <w:sz w:val="24"/>
              </w:rPr>
              <w:t> </w:t>
            </w:r>
            <w:r>
              <w:rPr>
                <w:sz w:val="24"/>
              </w:rPr>
              <w:t>Domestic</w:t>
            </w:r>
            <w:r>
              <w:rPr>
                <w:spacing w:val="1"/>
                <w:sz w:val="24"/>
              </w:rPr>
              <w:t> </w:t>
            </w:r>
            <w:r>
              <w:rPr>
                <w:spacing w:val="-2"/>
                <w:sz w:val="24"/>
              </w:rPr>
              <w:t>Investment</w:t>
            </w:r>
          </w:p>
        </w:tc>
      </w:tr>
      <w:tr>
        <w:trPr>
          <w:trHeight w:val="550" w:hRule="atLeast"/>
        </w:trPr>
        <w:tc>
          <w:tcPr>
            <w:tcW w:w="1242" w:type="dxa"/>
          </w:tcPr>
          <w:p>
            <w:pPr>
              <w:pStyle w:val="TableParagraph"/>
              <w:spacing w:before="133"/>
              <w:ind w:left="50"/>
              <w:rPr>
                <w:sz w:val="24"/>
              </w:rPr>
            </w:pPr>
            <w:r>
              <w:rPr>
                <w:spacing w:val="-5"/>
                <w:sz w:val="24"/>
              </w:rPr>
              <w:t>GDP</w:t>
            </w:r>
          </w:p>
        </w:tc>
        <w:tc>
          <w:tcPr>
            <w:tcW w:w="4101" w:type="dxa"/>
          </w:tcPr>
          <w:p>
            <w:pPr>
              <w:pStyle w:val="TableParagraph"/>
              <w:spacing w:before="133"/>
              <w:ind w:left="248"/>
              <w:rPr>
                <w:sz w:val="24"/>
              </w:rPr>
            </w:pPr>
            <w:r>
              <w:rPr>
                <w:sz w:val="24"/>
              </w:rPr>
              <w:t>Gross</w:t>
            </w:r>
            <w:r>
              <w:rPr>
                <w:spacing w:val="-1"/>
                <w:sz w:val="24"/>
              </w:rPr>
              <w:t> </w:t>
            </w:r>
            <w:r>
              <w:rPr>
                <w:sz w:val="24"/>
              </w:rPr>
              <w:t>Domestic</w:t>
            </w:r>
            <w:r>
              <w:rPr>
                <w:spacing w:val="-2"/>
                <w:sz w:val="24"/>
              </w:rPr>
              <w:t> Product</w:t>
            </w:r>
          </w:p>
        </w:tc>
      </w:tr>
      <w:tr>
        <w:trPr>
          <w:trHeight w:val="550" w:hRule="atLeast"/>
        </w:trPr>
        <w:tc>
          <w:tcPr>
            <w:tcW w:w="1242" w:type="dxa"/>
          </w:tcPr>
          <w:p>
            <w:pPr>
              <w:pStyle w:val="TableParagraph"/>
              <w:spacing w:before="131"/>
              <w:ind w:left="50"/>
              <w:rPr>
                <w:sz w:val="24"/>
              </w:rPr>
            </w:pPr>
            <w:r>
              <w:rPr>
                <w:spacing w:val="-4"/>
                <w:sz w:val="24"/>
              </w:rPr>
              <w:t>GOCE</w:t>
            </w:r>
          </w:p>
        </w:tc>
        <w:tc>
          <w:tcPr>
            <w:tcW w:w="4101" w:type="dxa"/>
          </w:tcPr>
          <w:p>
            <w:pPr>
              <w:pStyle w:val="TableParagraph"/>
              <w:spacing w:before="131"/>
              <w:ind w:left="248"/>
              <w:rPr>
                <w:sz w:val="24"/>
              </w:rPr>
            </w:pPr>
            <w:r>
              <w:rPr>
                <w:sz w:val="24"/>
              </w:rPr>
              <w:t>Government</w:t>
            </w:r>
            <w:r>
              <w:rPr>
                <w:spacing w:val="-3"/>
                <w:sz w:val="24"/>
              </w:rPr>
              <w:t> </w:t>
            </w:r>
            <w:r>
              <w:rPr>
                <w:sz w:val="24"/>
              </w:rPr>
              <w:t>Current</w:t>
            </w:r>
            <w:r>
              <w:rPr>
                <w:spacing w:val="-2"/>
                <w:sz w:val="24"/>
              </w:rPr>
              <w:t> Expenditure</w:t>
            </w:r>
          </w:p>
        </w:tc>
      </w:tr>
      <w:tr>
        <w:trPr>
          <w:trHeight w:val="552" w:hRule="atLeast"/>
        </w:trPr>
        <w:tc>
          <w:tcPr>
            <w:tcW w:w="1242" w:type="dxa"/>
          </w:tcPr>
          <w:p>
            <w:pPr>
              <w:pStyle w:val="TableParagraph"/>
              <w:spacing w:before="133"/>
              <w:ind w:left="50"/>
              <w:rPr>
                <w:sz w:val="24"/>
              </w:rPr>
            </w:pPr>
            <w:r>
              <w:rPr>
                <w:spacing w:val="-5"/>
                <w:sz w:val="24"/>
              </w:rPr>
              <w:t>Hi</w:t>
            </w:r>
          </w:p>
        </w:tc>
        <w:tc>
          <w:tcPr>
            <w:tcW w:w="4101" w:type="dxa"/>
          </w:tcPr>
          <w:p>
            <w:pPr>
              <w:pStyle w:val="TableParagraph"/>
              <w:spacing w:before="133"/>
              <w:ind w:left="248"/>
              <w:rPr>
                <w:sz w:val="24"/>
              </w:rPr>
            </w:pPr>
            <w:r>
              <w:rPr>
                <w:sz w:val="24"/>
              </w:rPr>
              <w:t>Alternative</w:t>
            </w:r>
            <w:r>
              <w:rPr>
                <w:spacing w:val="-4"/>
                <w:sz w:val="24"/>
              </w:rPr>
              <w:t> </w:t>
            </w:r>
            <w:r>
              <w:rPr>
                <w:spacing w:val="-2"/>
                <w:sz w:val="24"/>
              </w:rPr>
              <w:t>Hypothesis</w:t>
            </w:r>
          </w:p>
        </w:tc>
      </w:tr>
      <w:tr>
        <w:trPr>
          <w:trHeight w:val="551" w:hRule="atLeast"/>
        </w:trPr>
        <w:tc>
          <w:tcPr>
            <w:tcW w:w="1242" w:type="dxa"/>
          </w:tcPr>
          <w:p>
            <w:pPr>
              <w:pStyle w:val="TableParagraph"/>
              <w:spacing w:before="133"/>
              <w:ind w:left="50"/>
              <w:rPr>
                <w:sz w:val="24"/>
              </w:rPr>
            </w:pPr>
            <w:r>
              <w:rPr>
                <w:spacing w:val="-4"/>
                <w:sz w:val="24"/>
              </w:rPr>
              <w:t>HICs</w:t>
            </w:r>
          </w:p>
        </w:tc>
        <w:tc>
          <w:tcPr>
            <w:tcW w:w="4101" w:type="dxa"/>
          </w:tcPr>
          <w:p>
            <w:pPr>
              <w:pStyle w:val="TableParagraph"/>
              <w:spacing w:before="133"/>
              <w:ind w:left="248"/>
              <w:rPr>
                <w:sz w:val="24"/>
              </w:rPr>
            </w:pPr>
            <w:r>
              <w:rPr>
                <w:sz w:val="24"/>
              </w:rPr>
              <w:t>Highly</w:t>
            </w:r>
            <w:r>
              <w:rPr>
                <w:spacing w:val="-4"/>
                <w:sz w:val="24"/>
              </w:rPr>
              <w:t> </w:t>
            </w:r>
            <w:r>
              <w:rPr>
                <w:sz w:val="24"/>
              </w:rPr>
              <w:t>Indebted </w:t>
            </w:r>
            <w:r>
              <w:rPr>
                <w:spacing w:val="-2"/>
                <w:sz w:val="24"/>
              </w:rPr>
              <w:t>Countries</w:t>
            </w:r>
          </w:p>
        </w:tc>
      </w:tr>
      <w:tr>
        <w:trPr>
          <w:trHeight w:val="552" w:hRule="atLeast"/>
        </w:trPr>
        <w:tc>
          <w:tcPr>
            <w:tcW w:w="1242" w:type="dxa"/>
          </w:tcPr>
          <w:p>
            <w:pPr>
              <w:pStyle w:val="TableParagraph"/>
              <w:spacing w:before="133"/>
              <w:ind w:left="50"/>
              <w:rPr>
                <w:sz w:val="24"/>
              </w:rPr>
            </w:pPr>
            <w:r>
              <w:rPr>
                <w:spacing w:val="-5"/>
                <w:sz w:val="24"/>
              </w:rPr>
              <w:t>Ho</w:t>
            </w:r>
          </w:p>
        </w:tc>
        <w:tc>
          <w:tcPr>
            <w:tcW w:w="4101" w:type="dxa"/>
          </w:tcPr>
          <w:p>
            <w:pPr>
              <w:pStyle w:val="TableParagraph"/>
              <w:spacing w:before="133"/>
              <w:ind w:left="248"/>
              <w:rPr>
                <w:sz w:val="24"/>
              </w:rPr>
            </w:pPr>
            <w:r>
              <w:rPr>
                <w:sz w:val="24"/>
              </w:rPr>
              <w:t>Null </w:t>
            </w:r>
            <w:r>
              <w:rPr>
                <w:spacing w:val="-2"/>
                <w:sz w:val="24"/>
              </w:rPr>
              <w:t>Hypotheses</w:t>
            </w:r>
          </w:p>
        </w:tc>
      </w:tr>
      <w:tr>
        <w:trPr>
          <w:trHeight w:val="552" w:hRule="atLeast"/>
        </w:trPr>
        <w:tc>
          <w:tcPr>
            <w:tcW w:w="1242" w:type="dxa"/>
          </w:tcPr>
          <w:p>
            <w:pPr>
              <w:pStyle w:val="TableParagraph"/>
              <w:spacing w:before="133"/>
              <w:ind w:left="50"/>
              <w:rPr>
                <w:sz w:val="24"/>
              </w:rPr>
            </w:pPr>
            <w:r>
              <w:rPr>
                <w:spacing w:val="-5"/>
                <w:sz w:val="24"/>
              </w:rPr>
              <w:t>IMF</w:t>
            </w:r>
          </w:p>
        </w:tc>
        <w:tc>
          <w:tcPr>
            <w:tcW w:w="4101" w:type="dxa"/>
          </w:tcPr>
          <w:p>
            <w:pPr>
              <w:pStyle w:val="TableParagraph"/>
              <w:spacing w:before="133"/>
              <w:ind w:left="248"/>
              <w:rPr>
                <w:sz w:val="24"/>
              </w:rPr>
            </w:pPr>
            <w:r>
              <w:rPr>
                <w:sz w:val="24"/>
              </w:rPr>
              <w:t>International</w:t>
            </w:r>
            <w:r>
              <w:rPr>
                <w:spacing w:val="-2"/>
                <w:sz w:val="24"/>
              </w:rPr>
              <w:t> </w:t>
            </w:r>
            <w:r>
              <w:rPr>
                <w:sz w:val="24"/>
              </w:rPr>
              <w:t>monetary</w:t>
            </w:r>
            <w:r>
              <w:rPr>
                <w:spacing w:val="-6"/>
                <w:sz w:val="24"/>
              </w:rPr>
              <w:t> </w:t>
            </w:r>
            <w:r>
              <w:rPr>
                <w:spacing w:val="-4"/>
                <w:sz w:val="24"/>
              </w:rPr>
              <w:t>fund</w:t>
            </w:r>
          </w:p>
        </w:tc>
      </w:tr>
      <w:tr>
        <w:trPr>
          <w:trHeight w:val="552" w:hRule="atLeast"/>
        </w:trPr>
        <w:tc>
          <w:tcPr>
            <w:tcW w:w="1242" w:type="dxa"/>
          </w:tcPr>
          <w:p>
            <w:pPr>
              <w:pStyle w:val="TableParagraph"/>
              <w:spacing w:before="133"/>
              <w:ind w:left="50"/>
              <w:rPr>
                <w:sz w:val="24"/>
              </w:rPr>
            </w:pPr>
            <w:r>
              <w:rPr>
                <w:spacing w:val="-5"/>
                <w:sz w:val="24"/>
              </w:rPr>
              <w:t>INF</w:t>
            </w:r>
          </w:p>
        </w:tc>
        <w:tc>
          <w:tcPr>
            <w:tcW w:w="4101" w:type="dxa"/>
          </w:tcPr>
          <w:p>
            <w:pPr>
              <w:pStyle w:val="TableParagraph"/>
              <w:spacing w:before="133"/>
              <w:ind w:left="248"/>
              <w:rPr>
                <w:sz w:val="24"/>
              </w:rPr>
            </w:pPr>
            <w:r>
              <w:rPr>
                <w:sz w:val="24"/>
              </w:rPr>
              <w:t>Inflation</w:t>
            </w:r>
            <w:r>
              <w:rPr>
                <w:spacing w:val="-6"/>
                <w:sz w:val="24"/>
              </w:rPr>
              <w:t> </w:t>
            </w:r>
            <w:r>
              <w:rPr>
                <w:spacing w:val="-4"/>
                <w:sz w:val="24"/>
              </w:rPr>
              <w:t>Rate</w:t>
            </w:r>
          </w:p>
        </w:tc>
      </w:tr>
      <w:tr>
        <w:trPr>
          <w:trHeight w:val="551" w:hRule="atLeast"/>
        </w:trPr>
        <w:tc>
          <w:tcPr>
            <w:tcW w:w="1242" w:type="dxa"/>
          </w:tcPr>
          <w:p>
            <w:pPr>
              <w:pStyle w:val="TableParagraph"/>
              <w:spacing w:before="133"/>
              <w:ind w:left="50"/>
              <w:rPr>
                <w:sz w:val="24"/>
              </w:rPr>
            </w:pPr>
            <w:r>
              <w:rPr>
                <w:spacing w:val="-5"/>
                <w:sz w:val="24"/>
              </w:rPr>
              <w:t>KF</w:t>
            </w:r>
          </w:p>
        </w:tc>
        <w:tc>
          <w:tcPr>
            <w:tcW w:w="4101" w:type="dxa"/>
          </w:tcPr>
          <w:p>
            <w:pPr>
              <w:pStyle w:val="TableParagraph"/>
              <w:spacing w:before="133"/>
              <w:ind w:left="248"/>
              <w:rPr>
                <w:sz w:val="24"/>
              </w:rPr>
            </w:pPr>
            <w:r>
              <w:rPr>
                <w:sz w:val="24"/>
              </w:rPr>
              <w:t>Capital</w:t>
            </w:r>
            <w:r>
              <w:rPr>
                <w:spacing w:val="-2"/>
                <w:sz w:val="24"/>
              </w:rPr>
              <w:t> flight</w:t>
            </w:r>
          </w:p>
        </w:tc>
      </w:tr>
      <w:tr>
        <w:trPr>
          <w:trHeight w:val="551" w:hRule="atLeast"/>
        </w:trPr>
        <w:tc>
          <w:tcPr>
            <w:tcW w:w="1242" w:type="dxa"/>
          </w:tcPr>
          <w:p>
            <w:pPr>
              <w:pStyle w:val="TableParagraph"/>
              <w:spacing w:before="133"/>
              <w:ind w:left="50"/>
              <w:rPr>
                <w:sz w:val="24"/>
              </w:rPr>
            </w:pPr>
            <w:r>
              <w:rPr>
                <w:spacing w:val="-4"/>
                <w:sz w:val="24"/>
              </w:rPr>
              <w:t>LDCs</w:t>
            </w:r>
          </w:p>
        </w:tc>
        <w:tc>
          <w:tcPr>
            <w:tcW w:w="4101" w:type="dxa"/>
          </w:tcPr>
          <w:p>
            <w:pPr>
              <w:pStyle w:val="TableParagraph"/>
              <w:spacing w:before="133"/>
              <w:ind w:left="370"/>
              <w:rPr>
                <w:sz w:val="24"/>
              </w:rPr>
            </w:pPr>
            <w:r>
              <w:rPr>
                <w:sz w:val="24"/>
              </w:rPr>
              <w:t>Less</w:t>
            </w:r>
            <w:r>
              <w:rPr>
                <w:spacing w:val="-3"/>
                <w:sz w:val="24"/>
              </w:rPr>
              <w:t> </w:t>
            </w:r>
            <w:r>
              <w:rPr>
                <w:sz w:val="24"/>
              </w:rPr>
              <w:t>Developed </w:t>
            </w:r>
            <w:r>
              <w:rPr>
                <w:spacing w:val="-2"/>
                <w:sz w:val="24"/>
              </w:rPr>
              <w:t>Countries</w:t>
            </w:r>
          </w:p>
        </w:tc>
      </w:tr>
      <w:tr>
        <w:trPr>
          <w:trHeight w:val="408" w:hRule="atLeast"/>
        </w:trPr>
        <w:tc>
          <w:tcPr>
            <w:tcW w:w="1242" w:type="dxa"/>
          </w:tcPr>
          <w:p>
            <w:pPr>
              <w:pStyle w:val="TableParagraph"/>
              <w:spacing w:line="256" w:lineRule="exact" w:before="133"/>
              <w:ind w:left="50"/>
              <w:rPr>
                <w:sz w:val="24"/>
              </w:rPr>
            </w:pPr>
            <w:r>
              <w:rPr>
                <w:spacing w:val="-4"/>
                <w:sz w:val="24"/>
              </w:rPr>
              <w:t>MORG</w:t>
            </w:r>
          </w:p>
        </w:tc>
        <w:tc>
          <w:tcPr>
            <w:tcW w:w="4101" w:type="dxa"/>
          </w:tcPr>
          <w:p>
            <w:pPr>
              <w:pStyle w:val="TableParagraph"/>
              <w:spacing w:line="256" w:lineRule="exact" w:before="133"/>
              <w:ind w:left="248"/>
              <w:rPr>
                <w:sz w:val="24"/>
              </w:rPr>
            </w:pPr>
            <w:r>
              <w:rPr>
                <w:sz w:val="24"/>
              </w:rPr>
              <w:t>Morgan</w:t>
            </w:r>
            <w:r>
              <w:rPr>
                <w:spacing w:val="-2"/>
                <w:sz w:val="24"/>
              </w:rPr>
              <w:t> Trust</w:t>
            </w:r>
          </w:p>
        </w:tc>
      </w:tr>
    </w:tbl>
    <w:p>
      <w:pPr>
        <w:spacing w:after="0" w:line="256" w:lineRule="exact"/>
        <w:rPr>
          <w:sz w:val="24"/>
        </w:rPr>
        <w:sectPr>
          <w:pgSz w:w="11910" w:h="16840"/>
          <w:pgMar w:header="0" w:footer="1039" w:top="1360" w:bottom="1635" w:left="280" w:right="0"/>
        </w:sectPr>
      </w:pPr>
    </w:p>
    <w:tbl>
      <w:tblPr>
        <w:tblW w:w="0" w:type="auto"/>
        <w:jc w:val="left"/>
        <w:tblInd w:w="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43"/>
        <w:gridCol w:w="5621"/>
      </w:tblGrid>
      <w:tr>
        <w:trPr>
          <w:trHeight w:val="409" w:hRule="atLeast"/>
        </w:trPr>
        <w:tc>
          <w:tcPr>
            <w:tcW w:w="1243" w:type="dxa"/>
          </w:tcPr>
          <w:p>
            <w:pPr>
              <w:pStyle w:val="TableParagraph"/>
              <w:spacing w:line="266" w:lineRule="exact"/>
              <w:ind w:left="50"/>
              <w:rPr>
                <w:sz w:val="24"/>
              </w:rPr>
            </w:pPr>
            <w:r>
              <w:rPr>
                <w:spacing w:val="-2"/>
                <w:sz w:val="24"/>
              </w:rPr>
              <w:t>NEXTAS</w:t>
            </w:r>
          </w:p>
        </w:tc>
        <w:tc>
          <w:tcPr>
            <w:tcW w:w="5621" w:type="dxa"/>
          </w:tcPr>
          <w:p>
            <w:pPr>
              <w:pStyle w:val="TableParagraph"/>
              <w:spacing w:line="266" w:lineRule="exact"/>
              <w:ind w:left="247"/>
              <w:rPr>
                <w:sz w:val="24"/>
              </w:rPr>
            </w:pPr>
            <w:r>
              <w:rPr>
                <w:sz w:val="24"/>
              </w:rPr>
              <w:t>Increase</w:t>
            </w:r>
            <w:r>
              <w:rPr>
                <w:spacing w:val="-3"/>
                <w:sz w:val="24"/>
              </w:rPr>
              <w:t> </w:t>
            </w:r>
            <w:r>
              <w:rPr>
                <w:sz w:val="24"/>
              </w:rPr>
              <w:t>in</w:t>
            </w:r>
            <w:r>
              <w:rPr>
                <w:spacing w:val="-1"/>
                <w:sz w:val="24"/>
              </w:rPr>
              <w:t> </w:t>
            </w:r>
            <w:r>
              <w:rPr>
                <w:sz w:val="24"/>
              </w:rPr>
              <w:t>Foreign</w:t>
            </w:r>
            <w:r>
              <w:rPr>
                <w:spacing w:val="-2"/>
                <w:sz w:val="24"/>
              </w:rPr>
              <w:t> </w:t>
            </w:r>
            <w:r>
              <w:rPr>
                <w:sz w:val="24"/>
              </w:rPr>
              <w:t>Asset</w:t>
            </w:r>
            <w:r>
              <w:rPr>
                <w:spacing w:val="1"/>
                <w:sz w:val="24"/>
              </w:rPr>
              <w:t> </w:t>
            </w:r>
            <w:r>
              <w:rPr>
                <w:sz w:val="24"/>
              </w:rPr>
              <w:t>of</w:t>
            </w:r>
            <w:r>
              <w:rPr>
                <w:spacing w:val="-2"/>
                <w:sz w:val="24"/>
              </w:rPr>
              <w:t> </w:t>
            </w:r>
            <w:r>
              <w:rPr>
                <w:sz w:val="24"/>
              </w:rPr>
              <w:t>Domestic</w:t>
            </w:r>
            <w:r>
              <w:rPr>
                <w:spacing w:val="-2"/>
                <w:sz w:val="24"/>
              </w:rPr>
              <w:t> </w:t>
            </w:r>
            <w:r>
              <w:rPr>
                <w:sz w:val="24"/>
              </w:rPr>
              <w:t>Banking</w:t>
            </w:r>
            <w:r>
              <w:rPr>
                <w:spacing w:val="-3"/>
                <w:sz w:val="24"/>
              </w:rPr>
              <w:t> </w:t>
            </w:r>
            <w:r>
              <w:rPr>
                <w:spacing w:val="-2"/>
                <w:sz w:val="24"/>
              </w:rPr>
              <w:t>System</w:t>
            </w:r>
          </w:p>
        </w:tc>
      </w:tr>
      <w:tr>
        <w:trPr>
          <w:trHeight w:val="552" w:hRule="atLeast"/>
        </w:trPr>
        <w:tc>
          <w:tcPr>
            <w:tcW w:w="1243" w:type="dxa"/>
          </w:tcPr>
          <w:p>
            <w:pPr>
              <w:pStyle w:val="TableParagraph"/>
              <w:spacing w:before="133"/>
              <w:ind w:left="50"/>
              <w:rPr>
                <w:sz w:val="24"/>
              </w:rPr>
            </w:pPr>
            <w:r>
              <w:rPr>
                <w:spacing w:val="-5"/>
                <w:sz w:val="24"/>
              </w:rPr>
              <w:t>OLS</w:t>
            </w:r>
          </w:p>
        </w:tc>
        <w:tc>
          <w:tcPr>
            <w:tcW w:w="5621" w:type="dxa"/>
          </w:tcPr>
          <w:p>
            <w:pPr>
              <w:pStyle w:val="TableParagraph"/>
              <w:spacing w:before="133"/>
              <w:ind w:left="247"/>
              <w:rPr>
                <w:sz w:val="24"/>
              </w:rPr>
            </w:pPr>
            <w:r>
              <w:rPr>
                <w:sz w:val="24"/>
              </w:rPr>
              <w:t>Ordinary</w:t>
            </w:r>
            <w:r>
              <w:rPr>
                <w:spacing w:val="-4"/>
                <w:sz w:val="24"/>
              </w:rPr>
              <w:t> </w:t>
            </w:r>
            <w:r>
              <w:rPr>
                <w:sz w:val="24"/>
              </w:rPr>
              <w:t>Least</w:t>
            </w:r>
            <w:r>
              <w:rPr>
                <w:spacing w:val="-1"/>
                <w:sz w:val="24"/>
              </w:rPr>
              <w:t> </w:t>
            </w:r>
            <w:r>
              <w:rPr>
                <w:spacing w:val="-2"/>
                <w:sz w:val="24"/>
              </w:rPr>
              <w:t>Square</w:t>
            </w:r>
          </w:p>
        </w:tc>
      </w:tr>
      <w:tr>
        <w:trPr>
          <w:trHeight w:val="551" w:hRule="atLeast"/>
        </w:trPr>
        <w:tc>
          <w:tcPr>
            <w:tcW w:w="1243" w:type="dxa"/>
          </w:tcPr>
          <w:p>
            <w:pPr>
              <w:pStyle w:val="TableParagraph"/>
              <w:spacing w:before="133"/>
              <w:ind w:left="50"/>
              <w:rPr>
                <w:sz w:val="24"/>
              </w:rPr>
            </w:pPr>
            <w:r>
              <w:rPr>
                <w:spacing w:val="-4"/>
                <w:sz w:val="24"/>
              </w:rPr>
              <w:t>OPEC</w:t>
            </w:r>
          </w:p>
        </w:tc>
        <w:tc>
          <w:tcPr>
            <w:tcW w:w="5621" w:type="dxa"/>
          </w:tcPr>
          <w:p>
            <w:pPr>
              <w:pStyle w:val="TableParagraph"/>
              <w:spacing w:before="133"/>
              <w:ind w:left="427"/>
              <w:rPr>
                <w:sz w:val="24"/>
              </w:rPr>
            </w:pPr>
            <w:r>
              <w:rPr>
                <w:sz w:val="24"/>
              </w:rPr>
              <w:t>Organization</w:t>
            </w:r>
            <w:r>
              <w:rPr>
                <w:spacing w:val="-1"/>
                <w:sz w:val="24"/>
              </w:rPr>
              <w:t> </w:t>
            </w:r>
            <w:r>
              <w:rPr>
                <w:sz w:val="24"/>
              </w:rPr>
              <w:t>of</w:t>
            </w:r>
            <w:r>
              <w:rPr>
                <w:spacing w:val="-2"/>
                <w:sz w:val="24"/>
              </w:rPr>
              <w:t> </w:t>
            </w:r>
            <w:r>
              <w:rPr>
                <w:sz w:val="24"/>
              </w:rPr>
              <w:t>the</w:t>
            </w:r>
            <w:r>
              <w:rPr>
                <w:spacing w:val="-1"/>
                <w:sz w:val="24"/>
              </w:rPr>
              <w:t> </w:t>
            </w:r>
            <w:r>
              <w:rPr>
                <w:sz w:val="24"/>
              </w:rPr>
              <w:t>Petroleum</w:t>
            </w:r>
            <w:r>
              <w:rPr>
                <w:spacing w:val="-1"/>
                <w:sz w:val="24"/>
              </w:rPr>
              <w:t> </w:t>
            </w:r>
            <w:r>
              <w:rPr>
                <w:sz w:val="24"/>
              </w:rPr>
              <w:t>Exporting</w:t>
            </w:r>
            <w:r>
              <w:rPr>
                <w:spacing w:val="-3"/>
                <w:sz w:val="24"/>
              </w:rPr>
              <w:t> </w:t>
            </w:r>
            <w:r>
              <w:rPr>
                <w:spacing w:val="-2"/>
                <w:sz w:val="24"/>
              </w:rPr>
              <w:t>Countries</w:t>
            </w:r>
          </w:p>
        </w:tc>
      </w:tr>
      <w:tr>
        <w:trPr>
          <w:trHeight w:val="551" w:hRule="atLeast"/>
        </w:trPr>
        <w:tc>
          <w:tcPr>
            <w:tcW w:w="1243" w:type="dxa"/>
          </w:tcPr>
          <w:p>
            <w:pPr>
              <w:pStyle w:val="TableParagraph"/>
              <w:spacing w:before="133"/>
              <w:ind w:left="50"/>
              <w:rPr>
                <w:sz w:val="24"/>
              </w:rPr>
            </w:pPr>
            <w:r>
              <w:rPr>
                <w:spacing w:val="-2"/>
                <w:sz w:val="24"/>
              </w:rPr>
              <w:t>PRIVCR</w:t>
            </w:r>
          </w:p>
        </w:tc>
        <w:tc>
          <w:tcPr>
            <w:tcW w:w="5621" w:type="dxa"/>
          </w:tcPr>
          <w:p>
            <w:pPr>
              <w:pStyle w:val="TableParagraph"/>
              <w:spacing w:before="133"/>
              <w:ind w:left="367"/>
              <w:rPr>
                <w:sz w:val="24"/>
              </w:rPr>
            </w:pPr>
            <w:r>
              <w:rPr>
                <w:sz w:val="24"/>
              </w:rPr>
              <w:t>Credit</w:t>
            </w:r>
            <w:r>
              <w:rPr>
                <w:spacing w:val="-3"/>
                <w:sz w:val="24"/>
              </w:rPr>
              <w:t> </w:t>
            </w:r>
            <w:r>
              <w:rPr>
                <w:sz w:val="24"/>
              </w:rPr>
              <w:t>to</w:t>
            </w:r>
            <w:r>
              <w:rPr>
                <w:spacing w:val="-1"/>
                <w:sz w:val="24"/>
              </w:rPr>
              <w:t> </w:t>
            </w:r>
            <w:r>
              <w:rPr>
                <w:sz w:val="24"/>
              </w:rPr>
              <w:t>Private</w:t>
            </w:r>
            <w:r>
              <w:rPr>
                <w:spacing w:val="-1"/>
                <w:sz w:val="24"/>
              </w:rPr>
              <w:t> </w:t>
            </w:r>
            <w:r>
              <w:rPr>
                <w:spacing w:val="-2"/>
                <w:sz w:val="24"/>
              </w:rPr>
              <w:t>Sector</w:t>
            </w:r>
          </w:p>
        </w:tc>
      </w:tr>
      <w:tr>
        <w:trPr>
          <w:trHeight w:val="552" w:hRule="atLeast"/>
        </w:trPr>
        <w:tc>
          <w:tcPr>
            <w:tcW w:w="1243" w:type="dxa"/>
          </w:tcPr>
          <w:p>
            <w:pPr>
              <w:pStyle w:val="TableParagraph"/>
              <w:spacing w:before="133"/>
              <w:ind w:left="50"/>
              <w:rPr>
                <w:sz w:val="24"/>
              </w:rPr>
            </w:pPr>
            <w:r>
              <w:rPr>
                <w:spacing w:val="-5"/>
                <w:sz w:val="24"/>
              </w:rPr>
              <w:t>RES</w:t>
            </w:r>
          </w:p>
        </w:tc>
        <w:tc>
          <w:tcPr>
            <w:tcW w:w="5621" w:type="dxa"/>
          </w:tcPr>
          <w:p>
            <w:pPr>
              <w:pStyle w:val="TableParagraph"/>
              <w:spacing w:before="133"/>
              <w:ind w:left="247"/>
              <w:rPr>
                <w:sz w:val="24"/>
              </w:rPr>
            </w:pPr>
            <w:r>
              <w:rPr>
                <w:sz w:val="24"/>
              </w:rPr>
              <w:t>Change</w:t>
            </w:r>
            <w:r>
              <w:rPr>
                <w:spacing w:val="-3"/>
                <w:sz w:val="24"/>
              </w:rPr>
              <w:t> </w:t>
            </w:r>
            <w:r>
              <w:rPr>
                <w:sz w:val="24"/>
              </w:rPr>
              <w:t>in</w:t>
            </w:r>
            <w:r>
              <w:rPr>
                <w:spacing w:val="-1"/>
                <w:sz w:val="24"/>
              </w:rPr>
              <w:t> </w:t>
            </w:r>
            <w:r>
              <w:rPr>
                <w:sz w:val="24"/>
              </w:rPr>
              <w:t>External</w:t>
            </w:r>
            <w:r>
              <w:rPr>
                <w:spacing w:val="-1"/>
                <w:sz w:val="24"/>
              </w:rPr>
              <w:t> </w:t>
            </w:r>
            <w:r>
              <w:rPr>
                <w:spacing w:val="-2"/>
                <w:sz w:val="24"/>
              </w:rPr>
              <w:t>Reserve</w:t>
            </w:r>
          </w:p>
        </w:tc>
      </w:tr>
      <w:tr>
        <w:trPr>
          <w:trHeight w:val="551" w:hRule="atLeast"/>
        </w:trPr>
        <w:tc>
          <w:tcPr>
            <w:tcW w:w="1243" w:type="dxa"/>
          </w:tcPr>
          <w:p>
            <w:pPr>
              <w:pStyle w:val="TableParagraph"/>
              <w:spacing w:before="133"/>
              <w:ind w:left="50"/>
              <w:rPr>
                <w:sz w:val="24"/>
              </w:rPr>
            </w:pPr>
            <w:r>
              <w:rPr>
                <w:spacing w:val="-5"/>
                <w:sz w:val="24"/>
              </w:rPr>
              <w:t>SAP</w:t>
            </w:r>
          </w:p>
        </w:tc>
        <w:tc>
          <w:tcPr>
            <w:tcW w:w="5621" w:type="dxa"/>
          </w:tcPr>
          <w:p>
            <w:pPr>
              <w:pStyle w:val="TableParagraph"/>
              <w:spacing w:before="133"/>
              <w:ind w:left="247"/>
              <w:rPr>
                <w:sz w:val="24"/>
              </w:rPr>
            </w:pPr>
            <w:r>
              <w:rPr>
                <w:sz w:val="24"/>
              </w:rPr>
              <w:t>Structural</w:t>
            </w:r>
            <w:r>
              <w:rPr>
                <w:spacing w:val="-3"/>
                <w:sz w:val="24"/>
              </w:rPr>
              <w:t> </w:t>
            </w:r>
            <w:r>
              <w:rPr>
                <w:sz w:val="24"/>
              </w:rPr>
              <w:t>Adjustment</w:t>
            </w:r>
            <w:r>
              <w:rPr>
                <w:spacing w:val="-2"/>
                <w:sz w:val="24"/>
              </w:rPr>
              <w:t> Programme</w:t>
            </w:r>
          </w:p>
        </w:tc>
      </w:tr>
      <w:tr>
        <w:trPr>
          <w:trHeight w:val="552" w:hRule="atLeast"/>
        </w:trPr>
        <w:tc>
          <w:tcPr>
            <w:tcW w:w="1243" w:type="dxa"/>
          </w:tcPr>
          <w:p>
            <w:pPr>
              <w:pStyle w:val="TableParagraph"/>
              <w:spacing w:before="133"/>
              <w:ind w:left="50"/>
              <w:rPr>
                <w:sz w:val="24"/>
              </w:rPr>
            </w:pPr>
            <w:r>
              <w:rPr>
                <w:spacing w:val="-5"/>
                <w:sz w:val="24"/>
              </w:rPr>
              <w:t>USA</w:t>
            </w:r>
          </w:p>
        </w:tc>
        <w:tc>
          <w:tcPr>
            <w:tcW w:w="5621" w:type="dxa"/>
          </w:tcPr>
          <w:p>
            <w:pPr>
              <w:pStyle w:val="TableParagraph"/>
              <w:spacing w:before="133"/>
              <w:ind w:left="247"/>
              <w:rPr>
                <w:sz w:val="24"/>
              </w:rPr>
            </w:pPr>
            <w:r>
              <w:rPr>
                <w:sz w:val="24"/>
              </w:rPr>
              <w:t>United</w:t>
            </w:r>
            <w:r>
              <w:rPr>
                <w:spacing w:val="-1"/>
                <w:sz w:val="24"/>
              </w:rPr>
              <w:t> </w:t>
            </w:r>
            <w:r>
              <w:rPr>
                <w:sz w:val="24"/>
              </w:rPr>
              <w:t>State of</w:t>
            </w:r>
            <w:r>
              <w:rPr>
                <w:spacing w:val="-2"/>
                <w:sz w:val="24"/>
              </w:rPr>
              <w:t> American</w:t>
            </w:r>
          </w:p>
        </w:tc>
      </w:tr>
      <w:tr>
        <w:trPr>
          <w:trHeight w:val="552" w:hRule="atLeast"/>
        </w:trPr>
        <w:tc>
          <w:tcPr>
            <w:tcW w:w="1243" w:type="dxa"/>
          </w:tcPr>
          <w:p>
            <w:pPr>
              <w:pStyle w:val="TableParagraph"/>
              <w:spacing w:before="133"/>
              <w:ind w:left="50"/>
              <w:rPr>
                <w:sz w:val="24"/>
              </w:rPr>
            </w:pPr>
            <w:r>
              <w:rPr>
                <w:spacing w:val="-2"/>
                <w:sz w:val="24"/>
              </w:rPr>
              <w:t>USIRD</w:t>
            </w:r>
          </w:p>
        </w:tc>
        <w:tc>
          <w:tcPr>
            <w:tcW w:w="5621" w:type="dxa"/>
          </w:tcPr>
          <w:p>
            <w:pPr>
              <w:pStyle w:val="TableParagraph"/>
              <w:spacing w:before="133"/>
              <w:ind w:left="247"/>
              <w:rPr>
                <w:sz w:val="24"/>
              </w:rPr>
            </w:pPr>
            <w:r>
              <w:rPr>
                <w:sz w:val="24"/>
              </w:rPr>
              <w:t>United</w:t>
            </w:r>
            <w:r>
              <w:rPr>
                <w:spacing w:val="-2"/>
                <w:sz w:val="24"/>
              </w:rPr>
              <w:t> </w:t>
            </w:r>
            <w:r>
              <w:rPr>
                <w:sz w:val="24"/>
              </w:rPr>
              <w:t>State</w:t>
            </w:r>
            <w:r>
              <w:rPr>
                <w:spacing w:val="-1"/>
                <w:sz w:val="24"/>
              </w:rPr>
              <w:t> </w:t>
            </w:r>
            <w:r>
              <w:rPr>
                <w:sz w:val="24"/>
              </w:rPr>
              <w:t>of</w:t>
            </w:r>
            <w:r>
              <w:rPr>
                <w:spacing w:val="-3"/>
                <w:sz w:val="24"/>
              </w:rPr>
              <w:t> </w:t>
            </w:r>
            <w:r>
              <w:rPr>
                <w:sz w:val="24"/>
              </w:rPr>
              <w:t>America Interest</w:t>
            </w:r>
            <w:r>
              <w:rPr>
                <w:spacing w:val="-1"/>
                <w:sz w:val="24"/>
              </w:rPr>
              <w:t> </w:t>
            </w:r>
            <w:r>
              <w:rPr>
                <w:sz w:val="24"/>
              </w:rPr>
              <w:t>Rate</w:t>
            </w:r>
            <w:r>
              <w:rPr>
                <w:spacing w:val="-1"/>
                <w:sz w:val="24"/>
              </w:rPr>
              <w:t> </w:t>
            </w:r>
            <w:r>
              <w:rPr>
                <w:spacing w:val="-2"/>
                <w:sz w:val="24"/>
              </w:rPr>
              <w:t>Differential</w:t>
            </w:r>
          </w:p>
        </w:tc>
      </w:tr>
      <w:tr>
        <w:trPr>
          <w:trHeight w:val="408" w:hRule="atLeast"/>
        </w:trPr>
        <w:tc>
          <w:tcPr>
            <w:tcW w:w="1243" w:type="dxa"/>
          </w:tcPr>
          <w:p>
            <w:pPr>
              <w:pStyle w:val="TableParagraph"/>
              <w:spacing w:line="256" w:lineRule="exact" w:before="133"/>
              <w:ind w:left="50"/>
              <w:rPr>
                <w:sz w:val="24"/>
              </w:rPr>
            </w:pPr>
            <w:r>
              <w:rPr>
                <w:spacing w:val="-5"/>
                <w:sz w:val="24"/>
              </w:rPr>
              <w:t>WB</w:t>
            </w:r>
          </w:p>
        </w:tc>
        <w:tc>
          <w:tcPr>
            <w:tcW w:w="5621" w:type="dxa"/>
          </w:tcPr>
          <w:p>
            <w:pPr>
              <w:pStyle w:val="TableParagraph"/>
              <w:spacing w:line="256" w:lineRule="exact" w:before="133"/>
              <w:ind w:left="247"/>
              <w:rPr>
                <w:sz w:val="24"/>
              </w:rPr>
            </w:pPr>
            <w:r>
              <w:rPr>
                <w:sz w:val="24"/>
              </w:rPr>
              <w:t>World</w:t>
            </w:r>
            <w:r>
              <w:rPr>
                <w:spacing w:val="-1"/>
                <w:sz w:val="24"/>
              </w:rPr>
              <w:t> </w:t>
            </w:r>
            <w:r>
              <w:rPr>
                <w:spacing w:val="-4"/>
                <w:sz w:val="24"/>
              </w:rPr>
              <w:t>Bank</w:t>
            </w:r>
          </w:p>
        </w:tc>
      </w:tr>
    </w:tbl>
    <w:p>
      <w:pPr>
        <w:spacing w:after="0" w:line="256" w:lineRule="exact"/>
        <w:rPr>
          <w:sz w:val="24"/>
        </w:rPr>
        <w:sectPr>
          <w:type w:val="continuous"/>
          <w:pgSz w:w="11910" w:h="16840"/>
          <w:pgMar w:header="0" w:footer="1039" w:top="1420" w:bottom="1240" w:left="280" w:right="0"/>
        </w:sectPr>
      </w:pPr>
    </w:p>
    <w:p>
      <w:pPr>
        <w:pStyle w:val="BodyText"/>
        <w:spacing w:before="4"/>
        <w:rPr>
          <w:b/>
          <w:sz w:val="17"/>
        </w:rPr>
      </w:pPr>
    </w:p>
    <w:p>
      <w:pPr>
        <w:spacing w:after="0"/>
        <w:rPr>
          <w:sz w:val="17"/>
        </w:rPr>
        <w:sectPr>
          <w:pgSz w:w="11910" w:h="16840"/>
          <w:pgMar w:header="0" w:footer="1039" w:top="1920" w:bottom="1240" w:left="280" w:right="0"/>
        </w:sectPr>
      </w:pPr>
    </w:p>
    <w:p>
      <w:pPr>
        <w:spacing w:before="73"/>
        <w:ind w:left="235" w:right="0" w:firstLine="0"/>
        <w:jc w:val="center"/>
        <w:rPr>
          <w:b/>
          <w:sz w:val="24"/>
        </w:rPr>
      </w:pPr>
      <w:r>
        <w:rPr>
          <w:b/>
          <w:sz w:val="24"/>
        </w:rPr>
        <w:t>LIST OF</w:t>
      </w:r>
      <w:r>
        <w:rPr>
          <w:b/>
          <w:spacing w:val="-3"/>
          <w:sz w:val="24"/>
        </w:rPr>
        <w:t> </w:t>
      </w:r>
      <w:r>
        <w:rPr>
          <w:b/>
          <w:spacing w:val="-2"/>
          <w:sz w:val="24"/>
        </w:rPr>
        <w:t>TABLES</w:t>
      </w:r>
    </w:p>
    <w:p>
      <w:pPr>
        <w:pStyle w:val="BodyText"/>
        <w:spacing w:before="56"/>
        <w:rPr>
          <w:b/>
          <w:sz w:val="20"/>
        </w:rPr>
      </w:pPr>
    </w:p>
    <w:tbl>
      <w:tblPr>
        <w:tblW w:w="0" w:type="auto"/>
        <w:jc w:val="left"/>
        <w:tblInd w:w="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75"/>
        <w:gridCol w:w="7206"/>
        <w:gridCol w:w="1600"/>
      </w:tblGrid>
      <w:tr>
        <w:trPr>
          <w:trHeight w:val="339" w:hRule="atLeast"/>
        </w:trPr>
        <w:tc>
          <w:tcPr>
            <w:tcW w:w="1375" w:type="dxa"/>
          </w:tcPr>
          <w:p>
            <w:pPr>
              <w:pStyle w:val="TableParagraph"/>
              <w:spacing w:line="266" w:lineRule="exact"/>
              <w:ind w:left="50"/>
              <w:rPr>
                <w:sz w:val="24"/>
              </w:rPr>
            </w:pPr>
            <w:r>
              <w:rPr>
                <w:sz w:val="24"/>
              </w:rPr>
              <w:t>Table</w:t>
            </w:r>
            <w:r>
              <w:rPr>
                <w:spacing w:val="-2"/>
                <w:sz w:val="24"/>
              </w:rPr>
              <w:t> </w:t>
            </w:r>
            <w:r>
              <w:rPr>
                <w:spacing w:val="-5"/>
                <w:sz w:val="24"/>
              </w:rPr>
              <w:t>4.1</w:t>
            </w:r>
          </w:p>
        </w:tc>
        <w:tc>
          <w:tcPr>
            <w:tcW w:w="7206" w:type="dxa"/>
          </w:tcPr>
          <w:p>
            <w:pPr>
              <w:pStyle w:val="TableParagraph"/>
              <w:spacing w:line="266" w:lineRule="exact"/>
              <w:ind w:left="115"/>
              <w:rPr>
                <w:sz w:val="24"/>
              </w:rPr>
            </w:pPr>
            <w:r>
              <w:rPr>
                <w:sz w:val="24"/>
              </w:rPr>
              <w:t>Presentation</w:t>
            </w:r>
            <w:r>
              <w:rPr>
                <w:spacing w:val="-2"/>
                <w:sz w:val="24"/>
              </w:rPr>
              <w:t> </w:t>
            </w:r>
            <w:r>
              <w:rPr>
                <w:sz w:val="24"/>
              </w:rPr>
              <w:t>and Interpretation of</w:t>
            </w:r>
            <w:r>
              <w:rPr>
                <w:spacing w:val="-2"/>
                <w:sz w:val="24"/>
              </w:rPr>
              <w:t> </w:t>
            </w:r>
            <w:r>
              <w:rPr>
                <w:sz w:val="24"/>
              </w:rPr>
              <w:t>Short-Run</w:t>
            </w:r>
            <w:r>
              <w:rPr>
                <w:spacing w:val="-1"/>
                <w:sz w:val="24"/>
              </w:rPr>
              <w:t> </w:t>
            </w:r>
            <w:r>
              <w:rPr>
                <w:sz w:val="24"/>
              </w:rPr>
              <w:t>Results</w:t>
            </w:r>
            <w:r>
              <w:rPr>
                <w:spacing w:val="-1"/>
                <w:sz w:val="24"/>
              </w:rPr>
              <w:t> </w:t>
            </w:r>
            <w:r>
              <w:rPr>
                <w:spacing w:val="-5"/>
                <w:sz w:val="24"/>
              </w:rPr>
              <w:t>for</w:t>
            </w:r>
          </w:p>
        </w:tc>
        <w:tc>
          <w:tcPr>
            <w:tcW w:w="1600" w:type="dxa"/>
          </w:tcPr>
          <w:p>
            <w:pPr>
              <w:pStyle w:val="TableParagraph"/>
              <w:rPr>
                <w:sz w:val="24"/>
              </w:rPr>
            </w:pPr>
          </w:p>
        </w:tc>
      </w:tr>
      <w:tr>
        <w:trPr>
          <w:trHeight w:val="414" w:hRule="atLeast"/>
        </w:trPr>
        <w:tc>
          <w:tcPr>
            <w:tcW w:w="1375" w:type="dxa"/>
          </w:tcPr>
          <w:p>
            <w:pPr>
              <w:pStyle w:val="TableParagraph"/>
              <w:rPr>
                <w:sz w:val="24"/>
              </w:rPr>
            </w:pPr>
          </w:p>
        </w:tc>
        <w:tc>
          <w:tcPr>
            <w:tcW w:w="7206" w:type="dxa"/>
          </w:tcPr>
          <w:p>
            <w:pPr>
              <w:pStyle w:val="TableParagraph"/>
              <w:spacing w:before="63"/>
              <w:ind w:left="115"/>
              <w:rPr>
                <w:sz w:val="24"/>
              </w:rPr>
            </w:pPr>
            <w:r>
              <w:rPr>
                <w:sz w:val="24"/>
              </w:rPr>
              <w:t>Model</w:t>
            </w:r>
            <w:r>
              <w:rPr>
                <w:spacing w:val="-1"/>
                <w:sz w:val="24"/>
              </w:rPr>
              <w:t> </w:t>
            </w:r>
            <w:r>
              <w:rPr>
                <w:spacing w:val="-5"/>
                <w:sz w:val="24"/>
              </w:rPr>
              <w:t>1A</w:t>
            </w:r>
          </w:p>
        </w:tc>
        <w:tc>
          <w:tcPr>
            <w:tcW w:w="1600" w:type="dxa"/>
          </w:tcPr>
          <w:p>
            <w:pPr>
              <w:pStyle w:val="TableParagraph"/>
              <w:spacing w:before="63"/>
              <w:ind w:right="48"/>
              <w:jc w:val="right"/>
              <w:rPr>
                <w:sz w:val="24"/>
              </w:rPr>
            </w:pPr>
            <w:r>
              <w:rPr>
                <w:spacing w:val="-5"/>
                <w:sz w:val="24"/>
              </w:rPr>
              <w:t>83</w:t>
            </w:r>
          </w:p>
        </w:tc>
      </w:tr>
      <w:tr>
        <w:trPr>
          <w:trHeight w:val="414" w:hRule="atLeast"/>
        </w:trPr>
        <w:tc>
          <w:tcPr>
            <w:tcW w:w="1375" w:type="dxa"/>
          </w:tcPr>
          <w:p>
            <w:pPr>
              <w:pStyle w:val="TableParagraph"/>
              <w:spacing w:before="64"/>
              <w:ind w:left="50"/>
              <w:rPr>
                <w:sz w:val="24"/>
              </w:rPr>
            </w:pPr>
            <w:r>
              <w:rPr>
                <w:sz w:val="24"/>
              </w:rPr>
              <w:t>Table</w:t>
            </w:r>
            <w:r>
              <w:rPr>
                <w:spacing w:val="-2"/>
                <w:sz w:val="24"/>
              </w:rPr>
              <w:t> </w:t>
            </w:r>
            <w:r>
              <w:rPr>
                <w:spacing w:val="-5"/>
                <w:sz w:val="24"/>
              </w:rPr>
              <w:t>4.2</w:t>
            </w:r>
          </w:p>
        </w:tc>
        <w:tc>
          <w:tcPr>
            <w:tcW w:w="7206" w:type="dxa"/>
          </w:tcPr>
          <w:p>
            <w:pPr>
              <w:pStyle w:val="TableParagraph"/>
              <w:spacing w:before="64"/>
              <w:ind w:left="115"/>
              <w:rPr>
                <w:sz w:val="24"/>
              </w:rPr>
            </w:pPr>
            <w:r>
              <w:rPr>
                <w:sz w:val="24"/>
              </w:rPr>
              <w:t>Presentation</w:t>
            </w:r>
            <w:r>
              <w:rPr>
                <w:spacing w:val="-2"/>
                <w:sz w:val="24"/>
              </w:rPr>
              <w:t> </w:t>
            </w:r>
            <w:r>
              <w:rPr>
                <w:sz w:val="24"/>
              </w:rPr>
              <w:t>and Interpretation of</w:t>
            </w:r>
            <w:r>
              <w:rPr>
                <w:spacing w:val="-2"/>
                <w:sz w:val="24"/>
              </w:rPr>
              <w:t> </w:t>
            </w:r>
            <w:r>
              <w:rPr>
                <w:sz w:val="24"/>
              </w:rPr>
              <w:t>Short-Run</w:t>
            </w:r>
            <w:r>
              <w:rPr>
                <w:spacing w:val="-1"/>
                <w:sz w:val="24"/>
              </w:rPr>
              <w:t> </w:t>
            </w:r>
            <w:r>
              <w:rPr>
                <w:sz w:val="24"/>
              </w:rPr>
              <w:t>Results</w:t>
            </w:r>
            <w:r>
              <w:rPr>
                <w:spacing w:val="-1"/>
                <w:sz w:val="24"/>
              </w:rPr>
              <w:t> </w:t>
            </w:r>
            <w:r>
              <w:rPr>
                <w:spacing w:val="-5"/>
                <w:sz w:val="24"/>
              </w:rPr>
              <w:t>for</w:t>
            </w:r>
          </w:p>
        </w:tc>
        <w:tc>
          <w:tcPr>
            <w:tcW w:w="1600" w:type="dxa"/>
          </w:tcPr>
          <w:p>
            <w:pPr>
              <w:pStyle w:val="TableParagraph"/>
              <w:rPr>
                <w:sz w:val="24"/>
              </w:rPr>
            </w:pPr>
          </w:p>
        </w:tc>
      </w:tr>
      <w:tr>
        <w:trPr>
          <w:trHeight w:val="413" w:hRule="atLeast"/>
        </w:trPr>
        <w:tc>
          <w:tcPr>
            <w:tcW w:w="1375" w:type="dxa"/>
          </w:tcPr>
          <w:p>
            <w:pPr>
              <w:pStyle w:val="TableParagraph"/>
              <w:rPr>
                <w:sz w:val="24"/>
              </w:rPr>
            </w:pPr>
          </w:p>
        </w:tc>
        <w:tc>
          <w:tcPr>
            <w:tcW w:w="7206" w:type="dxa"/>
          </w:tcPr>
          <w:p>
            <w:pPr>
              <w:pStyle w:val="TableParagraph"/>
              <w:spacing w:before="63"/>
              <w:ind w:left="115"/>
              <w:rPr>
                <w:sz w:val="24"/>
              </w:rPr>
            </w:pPr>
            <w:r>
              <w:rPr>
                <w:sz w:val="24"/>
              </w:rPr>
              <w:t>Model</w:t>
            </w:r>
            <w:r>
              <w:rPr>
                <w:spacing w:val="-1"/>
                <w:sz w:val="24"/>
              </w:rPr>
              <w:t> </w:t>
            </w:r>
            <w:r>
              <w:rPr>
                <w:spacing w:val="-5"/>
                <w:sz w:val="24"/>
              </w:rPr>
              <w:t>1B</w:t>
            </w:r>
          </w:p>
        </w:tc>
        <w:tc>
          <w:tcPr>
            <w:tcW w:w="1600" w:type="dxa"/>
          </w:tcPr>
          <w:p>
            <w:pPr>
              <w:pStyle w:val="TableParagraph"/>
              <w:spacing w:before="63"/>
              <w:ind w:right="48"/>
              <w:jc w:val="right"/>
              <w:rPr>
                <w:sz w:val="24"/>
              </w:rPr>
            </w:pPr>
            <w:r>
              <w:rPr>
                <w:spacing w:val="-5"/>
                <w:sz w:val="24"/>
              </w:rPr>
              <w:t>86</w:t>
            </w:r>
          </w:p>
        </w:tc>
      </w:tr>
      <w:tr>
        <w:trPr>
          <w:trHeight w:val="413" w:hRule="atLeast"/>
        </w:trPr>
        <w:tc>
          <w:tcPr>
            <w:tcW w:w="1375" w:type="dxa"/>
          </w:tcPr>
          <w:p>
            <w:pPr>
              <w:pStyle w:val="TableParagraph"/>
              <w:spacing w:before="64"/>
              <w:ind w:left="50"/>
              <w:rPr>
                <w:sz w:val="24"/>
              </w:rPr>
            </w:pPr>
            <w:r>
              <w:rPr>
                <w:sz w:val="24"/>
              </w:rPr>
              <w:t>Table</w:t>
            </w:r>
            <w:r>
              <w:rPr>
                <w:spacing w:val="-2"/>
                <w:sz w:val="24"/>
              </w:rPr>
              <w:t> </w:t>
            </w:r>
            <w:r>
              <w:rPr>
                <w:spacing w:val="-5"/>
                <w:sz w:val="24"/>
              </w:rPr>
              <w:t>4.3</w:t>
            </w:r>
          </w:p>
        </w:tc>
        <w:tc>
          <w:tcPr>
            <w:tcW w:w="7206" w:type="dxa"/>
          </w:tcPr>
          <w:p>
            <w:pPr>
              <w:pStyle w:val="TableParagraph"/>
              <w:spacing w:before="64"/>
              <w:ind w:left="115"/>
              <w:rPr>
                <w:sz w:val="24"/>
              </w:rPr>
            </w:pPr>
            <w:r>
              <w:rPr>
                <w:sz w:val="24"/>
              </w:rPr>
              <w:t>Presentation</w:t>
            </w:r>
            <w:r>
              <w:rPr>
                <w:spacing w:val="-2"/>
                <w:sz w:val="24"/>
              </w:rPr>
              <w:t> </w:t>
            </w:r>
            <w:r>
              <w:rPr>
                <w:sz w:val="24"/>
              </w:rPr>
              <w:t>and Interpretation of</w:t>
            </w:r>
            <w:r>
              <w:rPr>
                <w:spacing w:val="-2"/>
                <w:sz w:val="24"/>
              </w:rPr>
              <w:t> </w:t>
            </w:r>
            <w:r>
              <w:rPr>
                <w:sz w:val="24"/>
              </w:rPr>
              <w:t>Short-Run</w:t>
            </w:r>
            <w:r>
              <w:rPr>
                <w:spacing w:val="-1"/>
                <w:sz w:val="24"/>
              </w:rPr>
              <w:t> </w:t>
            </w:r>
            <w:r>
              <w:rPr>
                <w:sz w:val="24"/>
              </w:rPr>
              <w:t>Results</w:t>
            </w:r>
            <w:r>
              <w:rPr>
                <w:spacing w:val="-1"/>
                <w:sz w:val="24"/>
              </w:rPr>
              <w:t> </w:t>
            </w:r>
            <w:r>
              <w:rPr>
                <w:spacing w:val="-5"/>
                <w:sz w:val="24"/>
              </w:rPr>
              <w:t>for</w:t>
            </w:r>
          </w:p>
        </w:tc>
        <w:tc>
          <w:tcPr>
            <w:tcW w:w="1600" w:type="dxa"/>
          </w:tcPr>
          <w:p>
            <w:pPr>
              <w:pStyle w:val="TableParagraph"/>
              <w:rPr>
                <w:sz w:val="24"/>
              </w:rPr>
            </w:pPr>
          </w:p>
        </w:tc>
      </w:tr>
      <w:tr>
        <w:trPr>
          <w:trHeight w:val="414" w:hRule="atLeast"/>
        </w:trPr>
        <w:tc>
          <w:tcPr>
            <w:tcW w:w="1375" w:type="dxa"/>
          </w:tcPr>
          <w:p>
            <w:pPr>
              <w:pStyle w:val="TableParagraph"/>
              <w:rPr>
                <w:sz w:val="24"/>
              </w:rPr>
            </w:pPr>
          </w:p>
        </w:tc>
        <w:tc>
          <w:tcPr>
            <w:tcW w:w="7206" w:type="dxa"/>
          </w:tcPr>
          <w:p>
            <w:pPr>
              <w:pStyle w:val="TableParagraph"/>
              <w:spacing w:before="63"/>
              <w:ind w:left="115"/>
              <w:rPr>
                <w:sz w:val="24"/>
              </w:rPr>
            </w:pPr>
            <w:r>
              <w:rPr>
                <w:sz w:val="24"/>
              </w:rPr>
              <w:t>Model</w:t>
            </w:r>
            <w:r>
              <w:rPr>
                <w:spacing w:val="-1"/>
                <w:sz w:val="24"/>
              </w:rPr>
              <w:t> </w:t>
            </w:r>
            <w:r>
              <w:rPr>
                <w:spacing w:val="-5"/>
                <w:sz w:val="24"/>
              </w:rPr>
              <w:t>2A</w:t>
            </w:r>
          </w:p>
        </w:tc>
        <w:tc>
          <w:tcPr>
            <w:tcW w:w="1600" w:type="dxa"/>
          </w:tcPr>
          <w:p>
            <w:pPr>
              <w:pStyle w:val="TableParagraph"/>
              <w:spacing w:before="63"/>
              <w:ind w:right="48"/>
              <w:jc w:val="right"/>
              <w:rPr>
                <w:sz w:val="24"/>
              </w:rPr>
            </w:pPr>
            <w:r>
              <w:rPr>
                <w:spacing w:val="-5"/>
                <w:sz w:val="24"/>
              </w:rPr>
              <w:t>89</w:t>
            </w:r>
          </w:p>
        </w:tc>
      </w:tr>
      <w:tr>
        <w:trPr>
          <w:trHeight w:val="414" w:hRule="atLeast"/>
        </w:trPr>
        <w:tc>
          <w:tcPr>
            <w:tcW w:w="1375" w:type="dxa"/>
          </w:tcPr>
          <w:p>
            <w:pPr>
              <w:pStyle w:val="TableParagraph"/>
              <w:spacing w:before="65"/>
              <w:ind w:left="50"/>
              <w:rPr>
                <w:sz w:val="24"/>
              </w:rPr>
            </w:pPr>
            <w:r>
              <w:rPr>
                <w:sz w:val="24"/>
              </w:rPr>
              <w:t>Table</w:t>
            </w:r>
            <w:r>
              <w:rPr>
                <w:spacing w:val="-2"/>
                <w:sz w:val="24"/>
              </w:rPr>
              <w:t> </w:t>
            </w:r>
            <w:r>
              <w:rPr>
                <w:spacing w:val="-5"/>
                <w:sz w:val="24"/>
              </w:rPr>
              <w:t>4.4</w:t>
            </w:r>
          </w:p>
        </w:tc>
        <w:tc>
          <w:tcPr>
            <w:tcW w:w="7206" w:type="dxa"/>
          </w:tcPr>
          <w:p>
            <w:pPr>
              <w:pStyle w:val="TableParagraph"/>
              <w:spacing w:before="65"/>
              <w:ind w:left="115"/>
              <w:rPr>
                <w:sz w:val="24"/>
              </w:rPr>
            </w:pPr>
            <w:r>
              <w:rPr>
                <w:sz w:val="24"/>
              </w:rPr>
              <w:t>Presentation</w:t>
            </w:r>
            <w:r>
              <w:rPr>
                <w:spacing w:val="-2"/>
                <w:sz w:val="24"/>
              </w:rPr>
              <w:t> </w:t>
            </w:r>
            <w:r>
              <w:rPr>
                <w:sz w:val="24"/>
              </w:rPr>
              <w:t>and Interpretation of</w:t>
            </w:r>
            <w:r>
              <w:rPr>
                <w:spacing w:val="-2"/>
                <w:sz w:val="24"/>
              </w:rPr>
              <w:t> </w:t>
            </w:r>
            <w:r>
              <w:rPr>
                <w:sz w:val="24"/>
              </w:rPr>
              <w:t>Short-Run</w:t>
            </w:r>
            <w:r>
              <w:rPr>
                <w:spacing w:val="-1"/>
                <w:sz w:val="24"/>
              </w:rPr>
              <w:t> </w:t>
            </w:r>
            <w:r>
              <w:rPr>
                <w:sz w:val="24"/>
              </w:rPr>
              <w:t>Results</w:t>
            </w:r>
            <w:r>
              <w:rPr>
                <w:spacing w:val="-1"/>
                <w:sz w:val="24"/>
              </w:rPr>
              <w:t> </w:t>
            </w:r>
            <w:r>
              <w:rPr>
                <w:spacing w:val="-5"/>
                <w:sz w:val="24"/>
              </w:rPr>
              <w:t>for</w:t>
            </w:r>
          </w:p>
        </w:tc>
        <w:tc>
          <w:tcPr>
            <w:tcW w:w="1600" w:type="dxa"/>
          </w:tcPr>
          <w:p>
            <w:pPr>
              <w:pStyle w:val="TableParagraph"/>
              <w:rPr>
                <w:sz w:val="24"/>
              </w:rPr>
            </w:pPr>
          </w:p>
        </w:tc>
      </w:tr>
      <w:tr>
        <w:trPr>
          <w:trHeight w:val="414" w:hRule="atLeast"/>
        </w:trPr>
        <w:tc>
          <w:tcPr>
            <w:tcW w:w="1375" w:type="dxa"/>
          </w:tcPr>
          <w:p>
            <w:pPr>
              <w:pStyle w:val="TableParagraph"/>
              <w:rPr>
                <w:sz w:val="24"/>
              </w:rPr>
            </w:pPr>
          </w:p>
        </w:tc>
        <w:tc>
          <w:tcPr>
            <w:tcW w:w="7206" w:type="dxa"/>
          </w:tcPr>
          <w:p>
            <w:pPr>
              <w:pStyle w:val="TableParagraph"/>
              <w:spacing w:before="63"/>
              <w:ind w:left="115"/>
              <w:rPr>
                <w:sz w:val="24"/>
              </w:rPr>
            </w:pPr>
            <w:r>
              <w:rPr>
                <w:sz w:val="24"/>
              </w:rPr>
              <w:t>Model</w:t>
            </w:r>
            <w:r>
              <w:rPr>
                <w:spacing w:val="-1"/>
                <w:sz w:val="24"/>
              </w:rPr>
              <w:t> </w:t>
            </w:r>
            <w:r>
              <w:rPr>
                <w:spacing w:val="-5"/>
                <w:sz w:val="24"/>
              </w:rPr>
              <w:t>2B</w:t>
            </w:r>
          </w:p>
        </w:tc>
        <w:tc>
          <w:tcPr>
            <w:tcW w:w="1600" w:type="dxa"/>
          </w:tcPr>
          <w:p>
            <w:pPr>
              <w:pStyle w:val="TableParagraph"/>
              <w:spacing w:before="63"/>
              <w:ind w:right="48"/>
              <w:jc w:val="right"/>
              <w:rPr>
                <w:sz w:val="24"/>
              </w:rPr>
            </w:pPr>
            <w:r>
              <w:rPr>
                <w:spacing w:val="-5"/>
                <w:sz w:val="24"/>
              </w:rPr>
              <w:t>91</w:t>
            </w:r>
          </w:p>
        </w:tc>
      </w:tr>
      <w:tr>
        <w:trPr>
          <w:trHeight w:val="414" w:hRule="atLeast"/>
        </w:trPr>
        <w:tc>
          <w:tcPr>
            <w:tcW w:w="1375" w:type="dxa"/>
          </w:tcPr>
          <w:p>
            <w:pPr>
              <w:pStyle w:val="TableParagraph"/>
              <w:spacing w:before="64"/>
              <w:ind w:left="50"/>
              <w:rPr>
                <w:sz w:val="24"/>
              </w:rPr>
            </w:pPr>
            <w:r>
              <w:rPr>
                <w:sz w:val="24"/>
              </w:rPr>
              <w:t>Table</w:t>
            </w:r>
            <w:r>
              <w:rPr>
                <w:spacing w:val="-2"/>
                <w:sz w:val="24"/>
              </w:rPr>
              <w:t> </w:t>
            </w:r>
            <w:r>
              <w:rPr>
                <w:spacing w:val="-5"/>
                <w:sz w:val="24"/>
              </w:rPr>
              <w:t>4.5</w:t>
            </w:r>
          </w:p>
        </w:tc>
        <w:tc>
          <w:tcPr>
            <w:tcW w:w="7206" w:type="dxa"/>
          </w:tcPr>
          <w:p>
            <w:pPr>
              <w:pStyle w:val="TableParagraph"/>
              <w:spacing w:before="64"/>
              <w:ind w:left="60"/>
              <w:rPr>
                <w:sz w:val="24"/>
              </w:rPr>
            </w:pPr>
            <w:r>
              <w:rPr>
                <w:sz w:val="24"/>
              </w:rPr>
              <w:t>Presentation</w:t>
            </w:r>
            <w:r>
              <w:rPr>
                <w:spacing w:val="-2"/>
                <w:sz w:val="24"/>
              </w:rPr>
              <w:t> </w:t>
            </w:r>
            <w:r>
              <w:rPr>
                <w:sz w:val="24"/>
              </w:rPr>
              <w:t>and</w:t>
            </w:r>
            <w:r>
              <w:rPr>
                <w:spacing w:val="1"/>
                <w:sz w:val="24"/>
              </w:rPr>
              <w:t> </w:t>
            </w:r>
            <w:r>
              <w:rPr>
                <w:sz w:val="24"/>
              </w:rPr>
              <w:t>Interpretation</w:t>
            </w:r>
            <w:r>
              <w:rPr>
                <w:spacing w:val="-1"/>
                <w:sz w:val="24"/>
              </w:rPr>
              <w:t> </w:t>
            </w:r>
            <w:r>
              <w:rPr>
                <w:sz w:val="24"/>
              </w:rPr>
              <w:t>of</w:t>
            </w:r>
            <w:r>
              <w:rPr>
                <w:spacing w:val="-3"/>
                <w:sz w:val="24"/>
              </w:rPr>
              <w:t> </w:t>
            </w:r>
            <w:r>
              <w:rPr>
                <w:sz w:val="24"/>
              </w:rPr>
              <w:t>Pre-SAP Short-Run</w:t>
            </w:r>
            <w:r>
              <w:rPr>
                <w:spacing w:val="-2"/>
                <w:sz w:val="24"/>
              </w:rPr>
              <w:t> </w:t>
            </w:r>
            <w:r>
              <w:rPr>
                <w:sz w:val="24"/>
              </w:rPr>
              <w:t>Results</w:t>
            </w:r>
            <w:r>
              <w:rPr>
                <w:spacing w:val="-4"/>
                <w:sz w:val="24"/>
              </w:rPr>
              <w:t> </w:t>
            </w:r>
            <w:r>
              <w:rPr>
                <w:spacing w:val="-5"/>
                <w:sz w:val="24"/>
              </w:rPr>
              <w:t>for</w:t>
            </w:r>
          </w:p>
        </w:tc>
        <w:tc>
          <w:tcPr>
            <w:tcW w:w="1600" w:type="dxa"/>
          </w:tcPr>
          <w:p>
            <w:pPr>
              <w:pStyle w:val="TableParagraph"/>
              <w:rPr>
                <w:sz w:val="24"/>
              </w:rPr>
            </w:pPr>
          </w:p>
        </w:tc>
      </w:tr>
      <w:tr>
        <w:trPr>
          <w:trHeight w:val="413" w:hRule="atLeast"/>
        </w:trPr>
        <w:tc>
          <w:tcPr>
            <w:tcW w:w="1375" w:type="dxa"/>
          </w:tcPr>
          <w:p>
            <w:pPr>
              <w:pStyle w:val="TableParagraph"/>
              <w:rPr>
                <w:sz w:val="24"/>
              </w:rPr>
            </w:pPr>
          </w:p>
        </w:tc>
        <w:tc>
          <w:tcPr>
            <w:tcW w:w="7206" w:type="dxa"/>
          </w:tcPr>
          <w:p>
            <w:pPr>
              <w:pStyle w:val="TableParagraph"/>
              <w:spacing w:before="63"/>
              <w:ind w:left="115"/>
              <w:rPr>
                <w:sz w:val="24"/>
              </w:rPr>
            </w:pPr>
            <w:r>
              <w:rPr>
                <w:sz w:val="24"/>
              </w:rPr>
              <w:t>Model</w:t>
            </w:r>
            <w:r>
              <w:rPr>
                <w:spacing w:val="-1"/>
                <w:sz w:val="24"/>
              </w:rPr>
              <w:t> </w:t>
            </w:r>
            <w:r>
              <w:rPr>
                <w:spacing w:val="-5"/>
                <w:sz w:val="24"/>
              </w:rPr>
              <w:t>3A</w:t>
            </w:r>
          </w:p>
        </w:tc>
        <w:tc>
          <w:tcPr>
            <w:tcW w:w="1600" w:type="dxa"/>
          </w:tcPr>
          <w:p>
            <w:pPr>
              <w:pStyle w:val="TableParagraph"/>
              <w:spacing w:before="63"/>
              <w:ind w:right="147"/>
              <w:jc w:val="right"/>
              <w:rPr>
                <w:sz w:val="24"/>
              </w:rPr>
            </w:pPr>
            <w:r>
              <w:rPr>
                <w:spacing w:val="-5"/>
                <w:sz w:val="24"/>
              </w:rPr>
              <w:t>93</w:t>
            </w:r>
          </w:p>
        </w:tc>
      </w:tr>
      <w:tr>
        <w:trPr>
          <w:trHeight w:val="413" w:hRule="atLeast"/>
        </w:trPr>
        <w:tc>
          <w:tcPr>
            <w:tcW w:w="1375" w:type="dxa"/>
          </w:tcPr>
          <w:p>
            <w:pPr>
              <w:pStyle w:val="TableParagraph"/>
              <w:spacing w:before="64"/>
              <w:ind w:left="50"/>
              <w:rPr>
                <w:sz w:val="24"/>
              </w:rPr>
            </w:pPr>
            <w:r>
              <w:rPr>
                <w:sz w:val="24"/>
              </w:rPr>
              <w:t>Table</w:t>
            </w:r>
            <w:r>
              <w:rPr>
                <w:spacing w:val="-2"/>
                <w:sz w:val="24"/>
              </w:rPr>
              <w:t> </w:t>
            </w:r>
            <w:r>
              <w:rPr>
                <w:spacing w:val="-5"/>
                <w:sz w:val="24"/>
              </w:rPr>
              <w:t>4.6</w:t>
            </w:r>
          </w:p>
        </w:tc>
        <w:tc>
          <w:tcPr>
            <w:tcW w:w="7206" w:type="dxa"/>
          </w:tcPr>
          <w:p>
            <w:pPr>
              <w:pStyle w:val="TableParagraph"/>
              <w:spacing w:before="64"/>
              <w:ind w:left="60"/>
              <w:rPr>
                <w:sz w:val="24"/>
              </w:rPr>
            </w:pPr>
            <w:r>
              <w:rPr>
                <w:sz w:val="24"/>
              </w:rPr>
              <w:t>Presentation</w:t>
            </w:r>
            <w:r>
              <w:rPr>
                <w:spacing w:val="-2"/>
                <w:sz w:val="24"/>
              </w:rPr>
              <w:t> </w:t>
            </w:r>
            <w:r>
              <w:rPr>
                <w:sz w:val="24"/>
              </w:rPr>
              <w:t>and</w:t>
            </w:r>
            <w:r>
              <w:rPr>
                <w:spacing w:val="1"/>
                <w:sz w:val="24"/>
              </w:rPr>
              <w:t> </w:t>
            </w:r>
            <w:r>
              <w:rPr>
                <w:sz w:val="24"/>
              </w:rPr>
              <w:t>Interpretation</w:t>
            </w:r>
            <w:r>
              <w:rPr>
                <w:spacing w:val="-1"/>
                <w:sz w:val="24"/>
              </w:rPr>
              <w:t> </w:t>
            </w:r>
            <w:r>
              <w:rPr>
                <w:sz w:val="24"/>
              </w:rPr>
              <w:t>of</w:t>
            </w:r>
            <w:r>
              <w:rPr>
                <w:spacing w:val="-3"/>
                <w:sz w:val="24"/>
              </w:rPr>
              <w:t> </w:t>
            </w:r>
            <w:r>
              <w:rPr>
                <w:sz w:val="24"/>
              </w:rPr>
              <w:t>Pre-SAP Short-Run</w:t>
            </w:r>
            <w:r>
              <w:rPr>
                <w:spacing w:val="-2"/>
                <w:sz w:val="24"/>
              </w:rPr>
              <w:t> </w:t>
            </w:r>
            <w:r>
              <w:rPr>
                <w:sz w:val="24"/>
              </w:rPr>
              <w:t>Results</w:t>
            </w:r>
            <w:r>
              <w:rPr>
                <w:spacing w:val="-4"/>
                <w:sz w:val="24"/>
              </w:rPr>
              <w:t> </w:t>
            </w:r>
            <w:r>
              <w:rPr>
                <w:spacing w:val="-5"/>
                <w:sz w:val="24"/>
              </w:rPr>
              <w:t>for</w:t>
            </w:r>
          </w:p>
        </w:tc>
        <w:tc>
          <w:tcPr>
            <w:tcW w:w="1600" w:type="dxa"/>
          </w:tcPr>
          <w:p>
            <w:pPr>
              <w:pStyle w:val="TableParagraph"/>
              <w:rPr>
                <w:sz w:val="24"/>
              </w:rPr>
            </w:pPr>
          </w:p>
        </w:tc>
      </w:tr>
      <w:tr>
        <w:trPr>
          <w:trHeight w:val="413" w:hRule="atLeast"/>
        </w:trPr>
        <w:tc>
          <w:tcPr>
            <w:tcW w:w="1375" w:type="dxa"/>
          </w:tcPr>
          <w:p>
            <w:pPr>
              <w:pStyle w:val="TableParagraph"/>
              <w:rPr>
                <w:sz w:val="24"/>
              </w:rPr>
            </w:pPr>
          </w:p>
        </w:tc>
        <w:tc>
          <w:tcPr>
            <w:tcW w:w="7206" w:type="dxa"/>
          </w:tcPr>
          <w:p>
            <w:pPr>
              <w:pStyle w:val="TableParagraph"/>
              <w:spacing w:before="63"/>
              <w:ind w:left="115"/>
              <w:rPr>
                <w:sz w:val="24"/>
              </w:rPr>
            </w:pPr>
            <w:r>
              <w:rPr>
                <w:sz w:val="24"/>
              </w:rPr>
              <w:t>Model</w:t>
            </w:r>
            <w:r>
              <w:rPr>
                <w:spacing w:val="-1"/>
                <w:sz w:val="24"/>
              </w:rPr>
              <w:t> </w:t>
            </w:r>
            <w:r>
              <w:rPr>
                <w:spacing w:val="-5"/>
                <w:sz w:val="24"/>
              </w:rPr>
              <w:t>3B</w:t>
            </w:r>
          </w:p>
        </w:tc>
        <w:tc>
          <w:tcPr>
            <w:tcW w:w="1600" w:type="dxa"/>
          </w:tcPr>
          <w:p>
            <w:pPr>
              <w:pStyle w:val="TableParagraph"/>
              <w:spacing w:before="63"/>
              <w:ind w:right="99"/>
              <w:jc w:val="right"/>
              <w:rPr>
                <w:sz w:val="24"/>
              </w:rPr>
            </w:pPr>
            <w:r>
              <w:rPr>
                <w:spacing w:val="-5"/>
                <w:sz w:val="24"/>
              </w:rPr>
              <w:t>95</w:t>
            </w:r>
          </w:p>
        </w:tc>
      </w:tr>
      <w:tr>
        <w:trPr>
          <w:trHeight w:val="413" w:hRule="atLeast"/>
        </w:trPr>
        <w:tc>
          <w:tcPr>
            <w:tcW w:w="1375" w:type="dxa"/>
          </w:tcPr>
          <w:p>
            <w:pPr>
              <w:pStyle w:val="TableParagraph"/>
              <w:spacing w:before="64"/>
              <w:ind w:left="50"/>
              <w:rPr>
                <w:sz w:val="24"/>
              </w:rPr>
            </w:pPr>
            <w:r>
              <w:rPr>
                <w:sz w:val="24"/>
              </w:rPr>
              <w:t>Table</w:t>
            </w:r>
            <w:r>
              <w:rPr>
                <w:spacing w:val="-2"/>
                <w:sz w:val="24"/>
              </w:rPr>
              <w:t> </w:t>
            </w:r>
            <w:r>
              <w:rPr>
                <w:spacing w:val="-5"/>
                <w:sz w:val="24"/>
              </w:rPr>
              <w:t>4.7</w:t>
            </w:r>
          </w:p>
        </w:tc>
        <w:tc>
          <w:tcPr>
            <w:tcW w:w="7206" w:type="dxa"/>
          </w:tcPr>
          <w:p>
            <w:pPr>
              <w:pStyle w:val="TableParagraph"/>
              <w:spacing w:before="64"/>
              <w:ind w:left="60"/>
              <w:rPr>
                <w:sz w:val="24"/>
              </w:rPr>
            </w:pPr>
            <w:r>
              <w:rPr>
                <w:sz w:val="24"/>
              </w:rPr>
              <w:t>Presentation</w:t>
            </w:r>
            <w:r>
              <w:rPr>
                <w:spacing w:val="-2"/>
                <w:sz w:val="24"/>
              </w:rPr>
              <w:t> </w:t>
            </w:r>
            <w:r>
              <w:rPr>
                <w:sz w:val="24"/>
              </w:rPr>
              <w:t>and</w:t>
            </w:r>
            <w:r>
              <w:rPr>
                <w:spacing w:val="1"/>
                <w:sz w:val="24"/>
              </w:rPr>
              <w:t> </w:t>
            </w:r>
            <w:r>
              <w:rPr>
                <w:sz w:val="24"/>
              </w:rPr>
              <w:t>Interpretation</w:t>
            </w:r>
            <w:r>
              <w:rPr>
                <w:spacing w:val="-1"/>
                <w:sz w:val="24"/>
              </w:rPr>
              <w:t> </w:t>
            </w:r>
            <w:r>
              <w:rPr>
                <w:sz w:val="24"/>
              </w:rPr>
              <w:t>of</w:t>
            </w:r>
            <w:r>
              <w:rPr>
                <w:spacing w:val="-3"/>
                <w:sz w:val="24"/>
              </w:rPr>
              <w:t> </w:t>
            </w:r>
            <w:r>
              <w:rPr>
                <w:sz w:val="24"/>
              </w:rPr>
              <w:t>Post-SAP Short-Run</w:t>
            </w:r>
            <w:r>
              <w:rPr>
                <w:spacing w:val="-2"/>
                <w:sz w:val="24"/>
              </w:rPr>
              <w:t> </w:t>
            </w:r>
            <w:r>
              <w:rPr>
                <w:sz w:val="24"/>
              </w:rPr>
              <w:t>Results</w:t>
            </w:r>
            <w:r>
              <w:rPr>
                <w:spacing w:val="-1"/>
                <w:sz w:val="24"/>
              </w:rPr>
              <w:t> </w:t>
            </w:r>
            <w:r>
              <w:rPr>
                <w:spacing w:val="-5"/>
                <w:sz w:val="24"/>
              </w:rPr>
              <w:t>for</w:t>
            </w:r>
          </w:p>
        </w:tc>
        <w:tc>
          <w:tcPr>
            <w:tcW w:w="1600" w:type="dxa"/>
          </w:tcPr>
          <w:p>
            <w:pPr>
              <w:pStyle w:val="TableParagraph"/>
              <w:rPr>
                <w:sz w:val="24"/>
              </w:rPr>
            </w:pPr>
          </w:p>
        </w:tc>
      </w:tr>
      <w:tr>
        <w:trPr>
          <w:trHeight w:val="413" w:hRule="atLeast"/>
        </w:trPr>
        <w:tc>
          <w:tcPr>
            <w:tcW w:w="1375" w:type="dxa"/>
          </w:tcPr>
          <w:p>
            <w:pPr>
              <w:pStyle w:val="TableParagraph"/>
              <w:rPr>
                <w:sz w:val="24"/>
              </w:rPr>
            </w:pPr>
          </w:p>
        </w:tc>
        <w:tc>
          <w:tcPr>
            <w:tcW w:w="7206" w:type="dxa"/>
          </w:tcPr>
          <w:p>
            <w:pPr>
              <w:pStyle w:val="TableParagraph"/>
              <w:spacing w:before="63"/>
              <w:ind w:left="115"/>
              <w:rPr>
                <w:sz w:val="24"/>
              </w:rPr>
            </w:pPr>
            <w:r>
              <w:rPr>
                <w:sz w:val="24"/>
              </w:rPr>
              <w:t>Model</w:t>
            </w:r>
            <w:r>
              <w:rPr>
                <w:spacing w:val="-1"/>
                <w:sz w:val="24"/>
              </w:rPr>
              <w:t> </w:t>
            </w:r>
            <w:r>
              <w:rPr>
                <w:spacing w:val="-5"/>
                <w:sz w:val="24"/>
              </w:rPr>
              <w:t>4A</w:t>
            </w:r>
          </w:p>
        </w:tc>
        <w:tc>
          <w:tcPr>
            <w:tcW w:w="1600" w:type="dxa"/>
          </w:tcPr>
          <w:p>
            <w:pPr>
              <w:pStyle w:val="TableParagraph"/>
              <w:spacing w:before="63"/>
              <w:ind w:right="87"/>
              <w:jc w:val="right"/>
              <w:rPr>
                <w:sz w:val="24"/>
              </w:rPr>
            </w:pPr>
            <w:r>
              <w:rPr>
                <w:spacing w:val="-5"/>
                <w:sz w:val="24"/>
              </w:rPr>
              <w:t>97</w:t>
            </w:r>
          </w:p>
        </w:tc>
      </w:tr>
      <w:tr>
        <w:trPr>
          <w:trHeight w:val="414" w:hRule="atLeast"/>
        </w:trPr>
        <w:tc>
          <w:tcPr>
            <w:tcW w:w="1375" w:type="dxa"/>
          </w:tcPr>
          <w:p>
            <w:pPr>
              <w:pStyle w:val="TableParagraph"/>
              <w:spacing w:before="64"/>
              <w:ind w:left="50"/>
              <w:rPr>
                <w:sz w:val="24"/>
              </w:rPr>
            </w:pPr>
            <w:r>
              <w:rPr>
                <w:sz w:val="24"/>
              </w:rPr>
              <w:t>Table</w:t>
            </w:r>
            <w:r>
              <w:rPr>
                <w:spacing w:val="-2"/>
                <w:sz w:val="24"/>
              </w:rPr>
              <w:t> </w:t>
            </w:r>
            <w:r>
              <w:rPr>
                <w:spacing w:val="-5"/>
                <w:sz w:val="24"/>
              </w:rPr>
              <w:t>4.8</w:t>
            </w:r>
          </w:p>
        </w:tc>
        <w:tc>
          <w:tcPr>
            <w:tcW w:w="7206" w:type="dxa"/>
          </w:tcPr>
          <w:p>
            <w:pPr>
              <w:pStyle w:val="TableParagraph"/>
              <w:spacing w:before="64"/>
              <w:ind w:left="60"/>
              <w:rPr>
                <w:sz w:val="24"/>
              </w:rPr>
            </w:pPr>
            <w:r>
              <w:rPr>
                <w:sz w:val="24"/>
              </w:rPr>
              <w:t>Presentation</w:t>
            </w:r>
            <w:r>
              <w:rPr>
                <w:spacing w:val="-2"/>
                <w:sz w:val="24"/>
              </w:rPr>
              <w:t> </w:t>
            </w:r>
            <w:r>
              <w:rPr>
                <w:sz w:val="24"/>
              </w:rPr>
              <w:t>and</w:t>
            </w:r>
            <w:r>
              <w:rPr>
                <w:spacing w:val="1"/>
                <w:sz w:val="24"/>
              </w:rPr>
              <w:t> </w:t>
            </w:r>
            <w:r>
              <w:rPr>
                <w:sz w:val="24"/>
              </w:rPr>
              <w:t>Interpretation</w:t>
            </w:r>
            <w:r>
              <w:rPr>
                <w:spacing w:val="-2"/>
                <w:sz w:val="24"/>
              </w:rPr>
              <w:t> </w:t>
            </w:r>
            <w:r>
              <w:rPr>
                <w:sz w:val="24"/>
              </w:rPr>
              <w:t>of</w:t>
            </w:r>
            <w:r>
              <w:rPr>
                <w:spacing w:val="-2"/>
                <w:sz w:val="24"/>
              </w:rPr>
              <w:t> </w:t>
            </w:r>
            <w:r>
              <w:rPr>
                <w:sz w:val="24"/>
              </w:rPr>
              <w:t>Post-SAP</w:t>
            </w:r>
            <w:r>
              <w:rPr>
                <w:spacing w:val="-1"/>
                <w:sz w:val="24"/>
              </w:rPr>
              <w:t> </w:t>
            </w:r>
            <w:r>
              <w:rPr>
                <w:sz w:val="24"/>
              </w:rPr>
              <w:t>Short-Run</w:t>
            </w:r>
            <w:r>
              <w:rPr>
                <w:spacing w:val="-2"/>
                <w:sz w:val="24"/>
              </w:rPr>
              <w:t> </w:t>
            </w:r>
            <w:r>
              <w:rPr>
                <w:sz w:val="24"/>
              </w:rPr>
              <w:t>Results</w:t>
            </w:r>
            <w:r>
              <w:rPr>
                <w:spacing w:val="-1"/>
                <w:sz w:val="24"/>
              </w:rPr>
              <w:t> </w:t>
            </w:r>
            <w:r>
              <w:rPr>
                <w:spacing w:val="-5"/>
                <w:sz w:val="24"/>
              </w:rPr>
              <w:t>for</w:t>
            </w:r>
          </w:p>
        </w:tc>
        <w:tc>
          <w:tcPr>
            <w:tcW w:w="1600" w:type="dxa"/>
          </w:tcPr>
          <w:p>
            <w:pPr>
              <w:pStyle w:val="TableParagraph"/>
              <w:rPr>
                <w:sz w:val="24"/>
              </w:rPr>
            </w:pPr>
          </w:p>
        </w:tc>
      </w:tr>
      <w:tr>
        <w:trPr>
          <w:trHeight w:val="414" w:hRule="atLeast"/>
        </w:trPr>
        <w:tc>
          <w:tcPr>
            <w:tcW w:w="1375" w:type="dxa"/>
          </w:tcPr>
          <w:p>
            <w:pPr>
              <w:pStyle w:val="TableParagraph"/>
              <w:rPr>
                <w:sz w:val="24"/>
              </w:rPr>
            </w:pPr>
          </w:p>
        </w:tc>
        <w:tc>
          <w:tcPr>
            <w:tcW w:w="7206" w:type="dxa"/>
          </w:tcPr>
          <w:p>
            <w:pPr>
              <w:pStyle w:val="TableParagraph"/>
              <w:spacing w:before="63"/>
              <w:ind w:left="115"/>
              <w:rPr>
                <w:sz w:val="24"/>
              </w:rPr>
            </w:pPr>
            <w:r>
              <w:rPr>
                <w:sz w:val="24"/>
              </w:rPr>
              <w:t>Model</w:t>
            </w:r>
            <w:r>
              <w:rPr>
                <w:spacing w:val="-1"/>
                <w:sz w:val="24"/>
              </w:rPr>
              <w:t> </w:t>
            </w:r>
            <w:r>
              <w:rPr>
                <w:spacing w:val="-5"/>
                <w:sz w:val="24"/>
              </w:rPr>
              <w:t>4B</w:t>
            </w:r>
          </w:p>
        </w:tc>
        <w:tc>
          <w:tcPr>
            <w:tcW w:w="1600" w:type="dxa"/>
          </w:tcPr>
          <w:p>
            <w:pPr>
              <w:pStyle w:val="TableParagraph"/>
              <w:spacing w:before="63"/>
              <w:ind w:right="159"/>
              <w:jc w:val="right"/>
              <w:rPr>
                <w:sz w:val="24"/>
              </w:rPr>
            </w:pPr>
            <w:r>
              <w:rPr>
                <w:spacing w:val="-5"/>
                <w:sz w:val="24"/>
              </w:rPr>
              <w:t>99</w:t>
            </w:r>
          </w:p>
        </w:tc>
      </w:tr>
      <w:tr>
        <w:trPr>
          <w:trHeight w:val="413" w:hRule="atLeast"/>
        </w:trPr>
        <w:tc>
          <w:tcPr>
            <w:tcW w:w="1375" w:type="dxa"/>
          </w:tcPr>
          <w:p>
            <w:pPr>
              <w:pStyle w:val="TableParagraph"/>
              <w:spacing w:before="64"/>
              <w:ind w:left="50"/>
              <w:rPr>
                <w:sz w:val="24"/>
              </w:rPr>
            </w:pPr>
            <w:r>
              <w:rPr>
                <w:sz w:val="24"/>
              </w:rPr>
              <w:t>Table</w:t>
            </w:r>
            <w:r>
              <w:rPr>
                <w:spacing w:val="-2"/>
                <w:sz w:val="24"/>
              </w:rPr>
              <w:t> </w:t>
            </w:r>
            <w:r>
              <w:rPr>
                <w:spacing w:val="-5"/>
                <w:sz w:val="24"/>
              </w:rPr>
              <w:t>4.9</w:t>
            </w:r>
          </w:p>
        </w:tc>
        <w:tc>
          <w:tcPr>
            <w:tcW w:w="7206" w:type="dxa"/>
          </w:tcPr>
          <w:p>
            <w:pPr>
              <w:pStyle w:val="TableParagraph"/>
              <w:spacing w:before="64"/>
              <w:ind w:left="60"/>
              <w:rPr>
                <w:sz w:val="24"/>
              </w:rPr>
            </w:pPr>
            <w:r>
              <w:rPr>
                <w:sz w:val="24"/>
              </w:rPr>
              <w:t>Presentation</w:t>
            </w:r>
            <w:r>
              <w:rPr>
                <w:spacing w:val="-2"/>
                <w:sz w:val="24"/>
              </w:rPr>
              <w:t> </w:t>
            </w:r>
            <w:r>
              <w:rPr>
                <w:sz w:val="24"/>
              </w:rPr>
              <w:t>and</w:t>
            </w:r>
            <w:r>
              <w:rPr>
                <w:spacing w:val="1"/>
                <w:sz w:val="24"/>
              </w:rPr>
              <w:t> </w:t>
            </w:r>
            <w:r>
              <w:rPr>
                <w:sz w:val="24"/>
              </w:rPr>
              <w:t>Interpretation</w:t>
            </w:r>
            <w:r>
              <w:rPr>
                <w:spacing w:val="-1"/>
                <w:sz w:val="24"/>
              </w:rPr>
              <w:t> </w:t>
            </w:r>
            <w:r>
              <w:rPr>
                <w:sz w:val="24"/>
              </w:rPr>
              <w:t>of</w:t>
            </w:r>
            <w:r>
              <w:rPr>
                <w:spacing w:val="-3"/>
                <w:sz w:val="24"/>
              </w:rPr>
              <w:t> </w:t>
            </w:r>
            <w:r>
              <w:rPr>
                <w:sz w:val="24"/>
              </w:rPr>
              <w:t>Pre-SAP Short-Run</w:t>
            </w:r>
            <w:r>
              <w:rPr>
                <w:spacing w:val="-2"/>
                <w:sz w:val="24"/>
              </w:rPr>
              <w:t> </w:t>
            </w:r>
            <w:r>
              <w:rPr>
                <w:sz w:val="24"/>
              </w:rPr>
              <w:t>Results</w:t>
            </w:r>
            <w:r>
              <w:rPr>
                <w:spacing w:val="-4"/>
                <w:sz w:val="24"/>
              </w:rPr>
              <w:t> </w:t>
            </w:r>
            <w:r>
              <w:rPr>
                <w:spacing w:val="-5"/>
                <w:sz w:val="24"/>
              </w:rPr>
              <w:t>for</w:t>
            </w:r>
          </w:p>
        </w:tc>
        <w:tc>
          <w:tcPr>
            <w:tcW w:w="1600" w:type="dxa"/>
          </w:tcPr>
          <w:p>
            <w:pPr>
              <w:pStyle w:val="TableParagraph"/>
              <w:rPr>
                <w:sz w:val="24"/>
              </w:rPr>
            </w:pPr>
          </w:p>
        </w:tc>
      </w:tr>
      <w:tr>
        <w:trPr>
          <w:trHeight w:val="414" w:hRule="atLeast"/>
        </w:trPr>
        <w:tc>
          <w:tcPr>
            <w:tcW w:w="1375" w:type="dxa"/>
          </w:tcPr>
          <w:p>
            <w:pPr>
              <w:pStyle w:val="TableParagraph"/>
              <w:rPr>
                <w:sz w:val="24"/>
              </w:rPr>
            </w:pPr>
          </w:p>
        </w:tc>
        <w:tc>
          <w:tcPr>
            <w:tcW w:w="7206" w:type="dxa"/>
          </w:tcPr>
          <w:p>
            <w:pPr>
              <w:pStyle w:val="TableParagraph"/>
              <w:spacing w:before="63"/>
              <w:ind w:left="115"/>
              <w:rPr>
                <w:sz w:val="24"/>
              </w:rPr>
            </w:pPr>
            <w:r>
              <w:rPr>
                <w:sz w:val="24"/>
              </w:rPr>
              <w:t>Model</w:t>
            </w:r>
            <w:r>
              <w:rPr>
                <w:spacing w:val="-1"/>
                <w:sz w:val="24"/>
              </w:rPr>
              <w:t> </w:t>
            </w:r>
            <w:r>
              <w:rPr>
                <w:spacing w:val="-5"/>
                <w:sz w:val="24"/>
              </w:rPr>
              <w:t>5A</w:t>
            </w:r>
          </w:p>
        </w:tc>
        <w:tc>
          <w:tcPr>
            <w:tcW w:w="1600" w:type="dxa"/>
          </w:tcPr>
          <w:p>
            <w:pPr>
              <w:pStyle w:val="TableParagraph"/>
              <w:spacing w:before="63"/>
              <w:ind w:right="87"/>
              <w:jc w:val="right"/>
              <w:rPr>
                <w:sz w:val="24"/>
              </w:rPr>
            </w:pPr>
            <w:r>
              <w:rPr>
                <w:spacing w:val="-5"/>
                <w:sz w:val="24"/>
              </w:rPr>
              <w:t>101</w:t>
            </w:r>
          </w:p>
        </w:tc>
      </w:tr>
      <w:tr>
        <w:trPr>
          <w:trHeight w:val="413" w:hRule="atLeast"/>
        </w:trPr>
        <w:tc>
          <w:tcPr>
            <w:tcW w:w="1375" w:type="dxa"/>
          </w:tcPr>
          <w:p>
            <w:pPr>
              <w:pStyle w:val="TableParagraph"/>
              <w:spacing w:before="64"/>
              <w:ind w:left="50"/>
              <w:rPr>
                <w:sz w:val="24"/>
              </w:rPr>
            </w:pPr>
            <w:r>
              <w:rPr>
                <w:sz w:val="24"/>
              </w:rPr>
              <w:t>Table</w:t>
            </w:r>
            <w:r>
              <w:rPr>
                <w:spacing w:val="-2"/>
                <w:sz w:val="24"/>
              </w:rPr>
              <w:t> </w:t>
            </w:r>
            <w:r>
              <w:rPr>
                <w:spacing w:val="-4"/>
                <w:sz w:val="24"/>
              </w:rPr>
              <w:t>4.10</w:t>
            </w:r>
          </w:p>
        </w:tc>
        <w:tc>
          <w:tcPr>
            <w:tcW w:w="7206" w:type="dxa"/>
          </w:tcPr>
          <w:p>
            <w:pPr>
              <w:pStyle w:val="TableParagraph"/>
              <w:spacing w:before="64"/>
              <w:ind w:left="180"/>
              <w:rPr>
                <w:sz w:val="24"/>
              </w:rPr>
            </w:pPr>
            <w:r>
              <w:rPr>
                <w:sz w:val="24"/>
              </w:rPr>
              <w:t>Presentation</w:t>
            </w:r>
            <w:r>
              <w:rPr>
                <w:spacing w:val="-2"/>
                <w:sz w:val="24"/>
              </w:rPr>
              <w:t> </w:t>
            </w:r>
            <w:r>
              <w:rPr>
                <w:sz w:val="24"/>
              </w:rPr>
              <w:t>and</w:t>
            </w:r>
            <w:r>
              <w:rPr>
                <w:spacing w:val="1"/>
                <w:sz w:val="24"/>
              </w:rPr>
              <w:t> </w:t>
            </w:r>
            <w:r>
              <w:rPr>
                <w:sz w:val="24"/>
              </w:rPr>
              <w:t>Interpretation</w:t>
            </w:r>
            <w:r>
              <w:rPr>
                <w:spacing w:val="-2"/>
                <w:sz w:val="24"/>
              </w:rPr>
              <w:t> </w:t>
            </w:r>
            <w:r>
              <w:rPr>
                <w:sz w:val="24"/>
              </w:rPr>
              <w:t>of</w:t>
            </w:r>
            <w:r>
              <w:rPr>
                <w:spacing w:val="-1"/>
                <w:sz w:val="24"/>
              </w:rPr>
              <w:t> </w:t>
            </w:r>
            <w:r>
              <w:rPr>
                <w:sz w:val="24"/>
              </w:rPr>
              <w:t>Pre-SAP</w:t>
            </w:r>
            <w:r>
              <w:rPr>
                <w:spacing w:val="-1"/>
                <w:sz w:val="24"/>
              </w:rPr>
              <w:t> </w:t>
            </w:r>
            <w:r>
              <w:rPr>
                <w:sz w:val="24"/>
              </w:rPr>
              <w:t>Short-Run</w:t>
            </w:r>
            <w:r>
              <w:rPr>
                <w:spacing w:val="-2"/>
                <w:sz w:val="24"/>
              </w:rPr>
              <w:t> </w:t>
            </w:r>
            <w:r>
              <w:rPr>
                <w:sz w:val="24"/>
              </w:rPr>
              <w:t>Results</w:t>
            </w:r>
            <w:r>
              <w:rPr>
                <w:spacing w:val="-1"/>
                <w:sz w:val="24"/>
              </w:rPr>
              <w:t> </w:t>
            </w:r>
            <w:r>
              <w:rPr>
                <w:spacing w:val="-5"/>
                <w:sz w:val="24"/>
              </w:rPr>
              <w:t>for</w:t>
            </w:r>
          </w:p>
        </w:tc>
        <w:tc>
          <w:tcPr>
            <w:tcW w:w="1600" w:type="dxa"/>
          </w:tcPr>
          <w:p>
            <w:pPr>
              <w:pStyle w:val="TableParagraph"/>
              <w:rPr>
                <w:sz w:val="24"/>
              </w:rPr>
            </w:pPr>
          </w:p>
        </w:tc>
      </w:tr>
      <w:tr>
        <w:trPr>
          <w:trHeight w:val="413" w:hRule="atLeast"/>
        </w:trPr>
        <w:tc>
          <w:tcPr>
            <w:tcW w:w="1375" w:type="dxa"/>
          </w:tcPr>
          <w:p>
            <w:pPr>
              <w:pStyle w:val="TableParagraph"/>
              <w:rPr>
                <w:sz w:val="24"/>
              </w:rPr>
            </w:pPr>
          </w:p>
        </w:tc>
        <w:tc>
          <w:tcPr>
            <w:tcW w:w="7206" w:type="dxa"/>
          </w:tcPr>
          <w:p>
            <w:pPr>
              <w:pStyle w:val="TableParagraph"/>
              <w:spacing w:before="63"/>
              <w:ind w:left="115"/>
              <w:rPr>
                <w:sz w:val="24"/>
              </w:rPr>
            </w:pPr>
            <w:r>
              <w:rPr>
                <w:sz w:val="24"/>
              </w:rPr>
              <w:t>Model</w:t>
            </w:r>
            <w:r>
              <w:rPr>
                <w:spacing w:val="-1"/>
                <w:sz w:val="24"/>
              </w:rPr>
              <w:t> </w:t>
            </w:r>
            <w:r>
              <w:rPr>
                <w:spacing w:val="-5"/>
                <w:sz w:val="24"/>
              </w:rPr>
              <w:t>5B</w:t>
            </w:r>
          </w:p>
        </w:tc>
        <w:tc>
          <w:tcPr>
            <w:tcW w:w="1600" w:type="dxa"/>
          </w:tcPr>
          <w:p>
            <w:pPr>
              <w:pStyle w:val="TableParagraph"/>
              <w:spacing w:before="63"/>
              <w:ind w:right="99"/>
              <w:jc w:val="right"/>
              <w:rPr>
                <w:sz w:val="24"/>
              </w:rPr>
            </w:pPr>
            <w:r>
              <w:rPr>
                <w:spacing w:val="-5"/>
                <w:sz w:val="24"/>
              </w:rPr>
              <w:t>103</w:t>
            </w:r>
          </w:p>
        </w:tc>
      </w:tr>
      <w:tr>
        <w:trPr>
          <w:trHeight w:val="413" w:hRule="atLeast"/>
        </w:trPr>
        <w:tc>
          <w:tcPr>
            <w:tcW w:w="1375" w:type="dxa"/>
          </w:tcPr>
          <w:p>
            <w:pPr>
              <w:pStyle w:val="TableParagraph"/>
              <w:spacing w:before="64"/>
              <w:ind w:left="50"/>
              <w:rPr>
                <w:sz w:val="24"/>
              </w:rPr>
            </w:pPr>
            <w:r>
              <w:rPr>
                <w:sz w:val="24"/>
              </w:rPr>
              <w:t>Table</w:t>
            </w:r>
            <w:r>
              <w:rPr>
                <w:spacing w:val="-2"/>
                <w:sz w:val="24"/>
              </w:rPr>
              <w:t> </w:t>
            </w:r>
            <w:r>
              <w:rPr>
                <w:spacing w:val="-4"/>
                <w:sz w:val="24"/>
              </w:rPr>
              <w:t>4.11</w:t>
            </w:r>
          </w:p>
        </w:tc>
        <w:tc>
          <w:tcPr>
            <w:tcW w:w="7206" w:type="dxa"/>
          </w:tcPr>
          <w:p>
            <w:pPr>
              <w:pStyle w:val="TableParagraph"/>
              <w:spacing w:before="64"/>
              <w:ind w:left="180"/>
              <w:rPr>
                <w:sz w:val="24"/>
              </w:rPr>
            </w:pPr>
            <w:r>
              <w:rPr>
                <w:sz w:val="24"/>
              </w:rPr>
              <w:t>Presentation</w:t>
            </w:r>
            <w:r>
              <w:rPr>
                <w:spacing w:val="-2"/>
                <w:sz w:val="24"/>
              </w:rPr>
              <w:t> </w:t>
            </w:r>
            <w:r>
              <w:rPr>
                <w:sz w:val="24"/>
              </w:rPr>
              <w:t>and Interpretation</w:t>
            </w:r>
            <w:r>
              <w:rPr>
                <w:spacing w:val="-2"/>
                <w:sz w:val="24"/>
              </w:rPr>
              <w:t> </w:t>
            </w:r>
            <w:r>
              <w:rPr>
                <w:sz w:val="24"/>
              </w:rPr>
              <w:t>of</w:t>
            </w:r>
            <w:r>
              <w:rPr>
                <w:spacing w:val="-1"/>
                <w:sz w:val="24"/>
              </w:rPr>
              <w:t> </w:t>
            </w:r>
            <w:r>
              <w:rPr>
                <w:sz w:val="24"/>
              </w:rPr>
              <w:t>Post-SAP</w:t>
            </w:r>
            <w:r>
              <w:rPr>
                <w:spacing w:val="-2"/>
                <w:sz w:val="24"/>
              </w:rPr>
              <w:t> </w:t>
            </w:r>
            <w:r>
              <w:rPr>
                <w:sz w:val="24"/>
              </w:rPr>
              <w:t>Short-Run</w:t>
            </w:r>
            <w:r>
              <w:rPr>
                <w:spacing w:val="-2"/>
                <w:sz w:val="24"/>
              </w:rPr>
              <w:t> </w:t>
            </w:r>
            <w:r>
              <w:rPr>
                <w:sz w:val="24"/>
              </w:rPr>
              <w:t>Results</w:t>
            </w:r>
            <w:r>
              <w:rPr>
                <w:spacing w:val="-1"/>
                <w:sz w:val="24"/>
              </w:rPr>
              <w:t> </w:t>
            </w:r>
            <w:r>
              <w:rPr>
                <w:spacing w:val="-5"/>
                <w:sz w:val="24"/>
              </w:rPr>
              <w:t>for</w:t>
            </w:r>
          </w:p>
        </w:tc>
        <w:tc>
          <w:tcPr>
            <w:tcW w:w="1600" w:type="dxa"/>
          </w:tcPr>
          <w:p>
            <w:pPr>
              <w:pStyle w:val="TableParagraph"/>
              <w:rPr>
                <w:sz w:val="24"/>
              </w:rPr>
            </w:pPr>
          </w:p>
        </w:tc>
      </w:tr>
      <w:tr>
        <w:trPr>
          <w:trHeight w:val="413" w:hRule="atLeast"/>
        </w:trPr>
        <w:tc>
          <w:tcPr>
            <w:tcW w:w="1375" w:type="dxa"/>
          </w:tcPr>
          <w:p>
            <w:pPr>
              <w:pStyle w:val="TableParagraph"/>
              <w:rPr>
                <w:sz w:val="24"/>
              </w:rPr>
            </w:pPr>
          </w:p>
        </w:tc>
        <w:tc>
          <w:tcPr>
            <w:tcW w:w="7206" w:type="dxa"/>
          </w:tcPr>
          <w:p>
            <w:pPr>
              <w:pStyle w:val="TableParagraph"/>
              <w:spacing w:before="63"/>
              <w:ind w:left="115"/>
              <w:rPr>
                <w:sz w:val="24"/>
              </w:rPr>
            </w:pPr>
            <w:r>
              <w:rPr>
                <w:sz w:val="24"/>
              </w:rPr>
              <w:t>Model</w:t>
            </w:r>
            <w:r>
              <w:rPr>
                <w:spacing w:val="-1"/>
                <w:sz w:val="24"/>
              </w:rPr>
              <w:t> </w:t>
            </w:r>
            <w:r>
              <w:rPr>
                <w:spacing w:val="-5"/>
                <w:sz w:val="24"/>
              </w:rPr>
              <w:t>6A</w:t>
            </w:r>
          </w:p>
        </w:tc>
        <w:tc>
          <w:tcPr>
            <w:tcW w:w="1600" w:type="dxa"/>
          </w:tcPr>
          <w:p>
            <w:pPr>
              <w:pStyle w:val="TableParagraph"/>
              <w:spacing w:before="63"/>
              <w:ind w:right="87"/>
              <w:jc w:val="right"/>
              <w:rPr>
                <w:sz w:val="24"/>
              </w:rPr>
            </w:pPr>
            <w:r>
              <w:rPr>
                <w:spacing w:val="-5"/>
                <w:sz w:val="24"/>
              </w:rPr>
              <w:t>105</w:t>
            </w:r>
          </w:p>
        </w:tc>
      </w:tr>
      <w:tr>
        <w:trPr>
          <w:trHeight w:val="414" w:hRule="atLeast"/>
        </w:trPr>
        <w:tc>
          <w:tcPr>
            <w:tcW w:w="1375" w:type="dxa"/>
          </w:tcPr>
          <w:p>
            <w:pPr>
              <w:pStyle w:val="TableParagraph"/>
              <w:spacing w:before="64"/>
              <w:ind w:left="50"/>
              <w:rPr>
                <w:sz w:val="24"/>
              </w:rPr>
            </w:pPr>
            <w:r>
              <w:rPr>
                <w:sz w:val="24"/>
              </w:rPr>
              <w:t>Table</w:t>
            </w:r>
            <w:r>
              <w:rPr>
                <w:spacing w:val="-2"/>
                <w:sz w:val="24"/>
              </w:rPr>
              <w:t> </w:t>
            </w:r>
            <w:r>
              <w:rPr>
                <w:spacing w:val="-4"/>
                <w:sz w:val="24"/>
              </w:rPr>
              <w:t>4.12</w:t>
            </w:r>
          </w:p>
        </w:tc>
        <w:tc>
          <w:tcPr>
            <w:tcW w:w="7206" w:type="dxa"/>
          </w:tcPr>
          <w:p>
            <w:pPr>
              <w:pStyle w:val="TableParagraph"/>
              <w:spacing w:before="64"/>
              <w:ind w:left="180"/>
              <w:rPr>
                <w:sz w:val="24"/>
              </w:rPr>
            </w:pPr>
            <w:r>
              <w:rPr>
                <w:sz w:val="24"/>
              </w:rPr>
              <w:t>Presentation</w:t>
            </w:r>
            <w:r>
              <w:rPr>
                <w:spacing w:val="-2"/>
                <w:sz w:val="24"/>
              </w:rPr>
              <w:t> </w:t>
            </w:r>
            <w:r>
              <w:rPr>
                <w:sz w:val="24"/>
              </w:rPr>
              <w:t>and Interpretation</w:t>
            </w:r>
            <w:r>
              <w:rPr>
                <w:spacing w:val="-2"/>
                <w:sz w:val="24"/>
              </w:rPr>
              <w:t> </w:t>
            </w:r>
            <w:r>
              <w:rPr>
                <w:sz w:val="24"/>
              </w:rPr>
              <w:t>of</w:t>
            </w:r>
            <w:r>
              <w:rPr>
                <w:spacing w:val="-1"/>
                <w:sz w:val="24"/>
              </w:rPr>
              <w:t> </w:t>
            </w:r>
            <w:r>
              <w:rPr>
                <w:sz w:val="24"/>
              </w:rPr>
              <w:t>Post-SAP</w:t>
            </w:r>
            <w:r>
              <w:rPr>
                <w:spacing w:val="-2"/>
                <w:sz w:val="24"/>
              </w:rPr>
              <w:t> </w:t>
            </w:r>
            <w:r>
              <w:rPr>
                <w:sz w:val="24"/>
              </w:rPr>
              <w:t>Short-Run</w:t>
            </w:r>
            <w:r>
              <w:rPr>
                <w:spacing w:val="-2"/>
                <w:sz w:val="24"/>
              </w:rPr>
              <w:t> </w:t>
            </w:r>
            <w:r>
              <w:rPr>
                <w:sz w:val="24"/>
              </w:rPr>
              <w:t>Results</w:t>
            </w:r>
            <w:r>
              <w:rPr>
                <w:spacing w:val="-1"/>
                <w:sz w:val="24"/>
              </w:rPr>
              <w:t> </w:t>
            </w:r>
            <w:r>
              <w:rPr>
                <w:spacing w:val="-5"/>
                <w:sz w:val="24"/>
              </w:rPr>
              <w:t>for</w:t>
            </w:r>
          </w:p>
        </w:tc>
        <w:tc>
          <w:tcPr>
            <w:tcW w:w="1600" w:type="dxa"/>
          </w:tcPr>
          <w:p>
            <w:pPr>
              <w:pStyle w:val="TableParagraph"/>
              <w:rPr>
                <w:sz w:val="24"/>
              </w:rPr>
            </w:pPr>
          </w:p>
        </w:tc>
      </w:tr>
      <w:tr>
        <w:trPr>
          <w:trHeight w:val="414" w:hRule="atLeast"/>
        </w:trPr>
        <w:tc>
          <w:tcPr>
            <w:tcW w:w="1375" w:type="dxa"/>
          </w:tcPr>
          <w:p>
            <w:pPr>
              <w:pStyle w:val="TableParagraph"/>
              <w:rPr>
                <w:sz w:val="24"/>
              </w:rPr>
            </w:pPr>
          </w:p>
        </w:tc>
        <w:tc>
          <w:tcPr>
            <w:tcW w:w="7206" w:type="dxa"/>
          </w:tcPr>
          <w:p>
            <w:pPr>
              <w:pStyle w:val="TableParagraph"/>
              <w:spacing w:before="63"/>
              <w:ind w:left="115"/>
              <w:rPr>
                <w:sz w:val="24"/>
              </w:rPr>
            </w:pPr>
            <w:r>
              <w:rPr>
                <w:sz w:val="24"/>
              </w:rPr>
              <w:t>Model</w:t>
            </w:r>
            <w:r>
              <w:rPr>
                <w:spacing w:val="-1"/>
                <w:sz w:val="24"/>
              </w:rPr>
              <w:t> </w:t>
            </w:r>
            <w:r>
              <w:rPr>
                <w:spacing w:val="-5"/>
                <w:sz w:val="24"/>
              </w:rPr>
              <w:t>6B</w:t>
            </w:r>
          </w:p>
        </w:tc>
        <w:tc>
          <w:tcPr>
            <w:tcW w:w="1600" w:type="dxa"/>
          </w:tcPr>
          <w:p>
            <w:pPr>
              <w:pStyle w:val="TableParagraph"/>
              <w:spacing w:before="63"/>
              <w:ind w:right="99"/>
              <w:jc w:val="right"/>
              <w:rPr>
                <w:sz w:val="24"/>
              </w:rPr>
            </w:pPr>
            <w:r>
              <w:rPr>
                <w:spacing w:val="-5"/>
                <w:sz w:val="24"/>
              </w:rPr>
              <w:t>106</w:t>
            </w:r>
          </w:p>
        </w:tc>
      </w:tr>
      <w:tr>
        <w:trPr>
          <w:trHeight w:val="409" w:hRule="atLeast"/>
        </w:trPr>
        <w:tc>
          <w:tcPr>
            <w:tcW w:w="1375" w:type="dxa"/>
          </w:tcPr>
          <w:p>
            <w:pPr>
              <w:pStyle w:val="TableParagraph"/>
              <w:spacing w:before="65"/>
              <w:ind w:left="50"/>
              <w:rPr>
                <w:sz w:val="24"/>
              </w:rPr>
            </w:pPr>
            <w:r>
              <w:rPr>
                <w:sz w:val="24"/>
              </w:rPr>
              <w:t>Table</w:t>
            </w:r>
            <w:r>
              <w:rPr>
                <w:spacing w:val="-2"/>
                <w:sz w:val="24"/>
              </w:rPr>
              <w:t> </w:t>
            </w:r>
            <w:r>
              <w:rPr>
                <w:spacing w:val="-4"/>
                <w:sz w:val="24"/>
              </w:rPr>
              <w:t>4.13</w:t>
            </w:r>
          </w:p>
        </w:tc>
        <w:tc>
          <w:tcPr>
            <w:tcW w:w="7206" w:type="dxa"/>
          </w:tcPr>
          <w:p>
            <w:pPr>
              <w:pStyle w:val="TableParagraph"/>
              <w:spacing w:before="65"/>
              <w:ind w:left="122"/>
              <w:rPr>
                <w:sz w:val="24"/>
              </w:rPr>
            </w:pPr>
            <w:r>
              <w:rPr>
                <w:sz w:val="24"/>
              </w:rPr>
              <w:t>|Unit</w:t>
            </w:r>
            <w:r>
              <w:rPr>
                <w:spacing w:val="-2"/>
                <w:sz w:val="24"/>
              </w:rPr>
              <w:t> </w:t>
            </w:r>
            <w:r>
              <w:rPr>
                <w:sz w:val="24"/>
              </w:rPr>
              <w:t>Root</w:t>
            </w:r>
            <w:r>
              <w:rPr>
                <w:spacing w:val="-1"/>
                <w:sz w:val="24"/>
              </w:rPr>
              <w:t> </w:t>
            </w:r>
            <w:r>
              <w:rPr>
                <w:sz w:val="24"/>
              </w:rPr>
              <w:t>Result</w:t>
            </w:r>
            <w:r>
              <w:rPr>
                <w:spacing w:val="-1"/>
                <w:sz w:val="24"/>
              </w:rPr>
              <w:t> </w:t>
            </w:r>
            <w:r>
              <w:rPr>
                <w:sz w:val="24"/>
              </w:rPr>
              <w:t>at</w:t>
            </w:r>
            <w:r>
              <w:rPr>
                <w:spacing w:val="1"/>
                <w:sz w:val="24"/>
              </w:rPr>
              <w:t> </w:t>
            </w:r>
            <w:r>
              <w:rPr>
                <w:sz w:val="24"/>
              </w:rPr>
              <w:t>Level</w:t>
            </w:r>
            <w:r>
              <w:rPr>
                <w:spacing w:val="-1"/>
                <w:sz w:val="24"/>
              </w:rPr>
              <w:t> </w:t>
            </w:r>
            <w:r>
              <w:rPr>
                <w:sz w:val="24"/>
              </w:rPr>
              <w:t>for</w:t>
            </w:r>
            <w:r>
              <w:rPr>
                <w:spacing w:val="-2"/>
                <w:sz w:val="24"/>
              </w:rPr>
              <w:t> </w:t>
            </w:r>
            <w:r>
              <w:rPr>
                <w:sz w:val="24"/>
              </w:rPr>
              <w:t>Models</w:t>
            </w:r>
            <w:r>
              <w:rPr>
                <w:spacing w:val="-1"/>
                <w:sz w:val="24"/>
              </w:rPr>
              <w:t> </w:t>
            </w:r>
            <w:r>
              <w:rPr>
                <w:sz w:val="24"/>
              </w:rPr>
              <w:t>1,</w:t>
            </w:r>
            <w:r>
              <w:rPr>
                <w:spacing w:val="-1"/>
                <w:sz w:val="24"/>
              </w:rPr>
              <w:t> </w:t>
            </w:r>
            <w:r>
              <w:rPr>
                <w:sz w:val="24"/>
              </w:rPr>
              <w:t>3</w:t>
            </w:r>
            <w:r>
              <w:rPr>
                <w:spacing w:val="-1"/>
                <w:sz w:val="24"/>
              </w:rPr>
              <w:t> </w:t>
            </w:r>
            <w:r>
              <w:rPr>
                <w:sz w:val="24"/>
              </w:rPr>
              <w:t>and</w:t>
            </w:r>
            <w:r>
              <w:rPr>
                <w:spacing w:val="-1"/>
                <w:sz w:val="24"/>
              </w:rPr>
              <w:t> </w:t>
            </w:r>
            <w:r>
              <w:rPr>
                <w:spacing w:val="-10"/>
                <w:sz w:val="24"/>
              </w:rPr>
              <w:t>4</w:t>
            </w:r>
          </w:p>
        </w:tc>
        <w:tc>
          <w:tcPr>
            <w:tcW w:w="1600" w:type="dxa"/>
          </w:tcPr>
          <w:p>
            <w:pPr>
              <w:pStyle w:val="TableParagraph"/>
              <w:spacing w:before="65"/>
              <w:ind w:right="142"/>
              <w:jc w:val="right"/>
              <w:rPr>
                <w:sz w:val="24"/>
              </w:rPr>
            </w:pPr>
            <w:r>
              <w:rPr>
                <w:spacing w:val="-5"/>
                <w:sz w:val="24"/>
              </w:rPr>
              <w:t>109</w:t>
            </w:r>
          </w:p>
        </w:tc>
      </w:tr>
      <w:tr>
        <w:trPr>
          <w:trHeight w:val="491" w:hRule="atLeast"/>
        </w:trPr>
        <w:tc>
          <w:tcPr>
            <w:tcW w:w="1375" w:type="dxa"/>
          </w:tcPr>
          <w:p>
            <w:pPr>
              <w:pStyle w:val="TableParagraph"/>
              <w:spacing w:before="69"/>
              <w:ind w:left="50"/>
              <w:rPr>
                <w:rFonts w:ascii="Cambria"/>
                <w:sz w:val="24"/>
              </w:rPr>
            </w:pPr>
            <w:r>
              <w:rPr>
                <w:rFonts w:ascii="Cambria"/>
                <w:sz w:val="24"/>
              </w:rPr>
              <w:t>Table</w:t>
            </w:r>
            <w:r>
              <w:rPr>
                <w:rFonts w:ascii="Cambria"/>
                <w:spacing w:val="-2"/>
                <w:sz w:val="24"/>
              </w:rPr>
              <w:t> 4.13.1</w:t>
            </w:r>
          </w:p>
        </w:tc>
        <w:tc>
          <w:tcPr>
            <w:tcW w:w="7206" w:type="dxa"/>
          </w:tcPr>
          <w:p>
            <w:pPr>
              <w:pStyle w:val="TableParagraph"/>
              <w:spacing w:before="69"/>
              <w:ind w:left="115"/>
              <w:rPr>
                <w:rFonts w:ascii="Cambria"/>
                <w:sz w:val="24"/>
              </w:rPr>
            </w:pPr>
            <w:r>
              <w:rPr>
                <w:rFonts w:ascii="Cambria"/>
                <w:sz w:val="24"/>
              </w:rPr>
              <w:t>Unit</w:t>
            </w:r>
            <w:r>
              <w:rPr>
                <w:rFonts w:ascii="Cambria"/>
                <w:spacing w:val="-4"/>
                <w:sz w:val="24"/>
              </w:rPr>
              <w:t> </w:t>
            </w:r>
            <w:r>
              <w:rPr>
                <w:rFonts w:ascii="Cambria"/>
                <w:sz w:val="24"/>
              </w:rPr>
              <w:t>Root</w:t>
            </w:r>
            <w:r>
              <w:rPr>
                <w:rFonts w:ascii="Cambria"/>
                <w:spacing w:val="-2"/>
                <w:sz w:val="24"/>
              </w:rPr>
              <w:t> </w:t>
            </w:r>
            <w:r>
              <w:rPr>
                <w:rFonts w:ascii="Cambria"/>
                <w:sz w:val="24"/>
              </w:rPr>
              <w:t>Test</w:t>
            </w:r>
            <w:r>
              <w:rPr>
                <w:rFonts w:ascii="Cambria"/>
                <w:spacing w:val="-2"/>
                <w:sz w:val="24"/>
              </w:rPr>
              <w:t> </w:t>
            </w:r>
            <w:r>
              <w:rPr>
                <w:rFonts w:ascii="Cambria"/>
                <w:sz w:val="24"/>
              </w:rPr>
              <w:t>at</w:t>
            </w:r>
            <w:r>
              <w:rPr>
                <w:rFonts w:ascii="Cambria"/>
                <w:spacing w:val="-1"/>
                <w:sz w:val="24"/>
              </w:rPr>
              <w:t> </w:t>
            </w:r>
            <w:r>
              <w:rPr>
                <w:rFonts w:ascii="Cambria"/>
                <w:sz w:val="24"/>
              </w:rPr>
              <w:t>First</w:t>
            </w:r>
            <w:r>
              <w:rPr>
                <w:rFonts w:ascii="Cambria"/>
                <w:spacing w:val="-2"/>
                <w:sz w:val="24"/>
              </w:rPr>
              <w:t> </w:t>
            </w:r>
            <w:r>
              <w:rPr>
                <w:rFonts w:ascii="Cambria"/>
                <w:sz w:val="24"/>
              </w:rPr>
              <w:t>Difference</w:t>
            </w:r>
            <w:r>
              <w:rPr>
                <w:rFonts w:ascii="Cambria"/>
                <w:spacing w:val="-2"/>
                <w:sz w:val="24"/>
              </w:rPr>
              <w:t> </w:t>
            </w:r>
            <w:r>
              <w:rPr>
                <w:rFonts w:ascii="Cambria"/>
                <w:sz w:val="24"/>
              </w:rPr>
              <w:t>for</w:t>
            </w:r>
            <w:r>
              <w:rPr>
                <w:rFonts w:ascii="Cambria"/>
                <w:spacing w:val="-3"/>
                <w:sz w:val="24"/>
              </w:rPr>
              <w:t> </w:t>
            </w:r>
            <w:r>
              <w:rPr>
                <w:rFonts w:ascii="Cambria"/>
                <w:sz w:val="24"/>
              </w:rPr>
              <w:t>Models</w:t>
            </w:r>
            <w:r>
              <w:rPr>
                <w:rFonts w:ascii="Cambria"/>
                <w:spacing w:val="-1"/>
                <w:sz w:val="24"/>
              </w:rPr>
              <w:t> </w:t>
            </w:r>
            <w:r>
              <w:rPr>
                <w:rFonts w:ascii="Cambria"/>
                <w:sz w:val="24"/>
              </w:rPr>
              <w:t>1,</w:t>
            </w:r>
            <w:r>
              <w:rPr>
                <w:rFonts w:ascii="Cambria"/>
                <w:spacing w:val="1"/>
                <w:sz w:val="24"/>
              </w:rPr>
              <w:t> </w:t>
            </w:r>
            <w:r>
              <w:rPr>
                <w:rFonts w:ascii="Cambria"/>
                <w:sz w:val="24"/>
              </w:rPr>
              <w:t>3</w:t>
            </w:r>
            <w:r>
              <w:rPr>
                <w:rFonts w:ascii="Cambria"/>
                <w:spacing w:val="-2"/>
                <w:sz w:val="24"/>
              </w:rPr>
              <w:t> </w:t>
            </w:r>
            <w:r>
              <w:rPr>
                <w:rFonts w:ascii="Cambria"/>
                <w:sz w:val="24"/>
              </w:rPr>
              <w:t>and</w:t>
            </w:r>
            <w:r>
              <w:rPr>
                <w:rFonts w:ascii="Cambria"/>
                <w:spacing w:val="-3"/>
                <w:sz w:val="24"/>
              </w:rPr>
              <w:t> </w:t>
            </w:r>
            <w:r>
              <w:rPr>
                <w:rFonts w:ascii="Cambria"/>
                <w:spacing w:val="-10"/>
                <w:sz w:val="24"/>
              </w:rPr>
              <w:t>4</w:t>
            </w:r>
          </w:p>
        </w:tc>
        <w:tc>
          <w:tcPr>
            <w:tcW w:w="1600" w:type="dxa"/>
          </w:tcPr>
          <w:p>
            <w:pPr>
              <w:pStyle w:val="TableParagraph"/>
              <w:spacing w:before="69"/>
              <w:ind w:left="691"/>
              <w:rPr>
                <w:rFonts w:ascii="Cambria"/>
                <w:sz w:val="24"/>
              </w:rPr>
            </w:pPr>
            <w:r>
              <w:rPr>
                <w:rFonts w:ascii="Cambria"/>
                <w:spacing w:val="-5"/>
                <w:sz w:val="24"/>
              </w:rPr>
              <w:t>109</w:t>
            </w:r>
          </w:p>
        </w:tc>
      </w:tr>
      <w:tr>
        <w:trPr>
          <w:trHeight w:val="562" w:hRule="atLeast"/>
        </w:trPr>
        <w:tc>
          <w:tcPr>
            <w:tcW w:w="1375" w:type="dxa"/>
          </w:tcPr>
          <w:p>
            <w:pPr>
              <w:pStyle w:val="TableParagraph"/>
              <w:spacing w:before="141"/>
              <w:ind w:left="50"/>
              <w:rPr>
                <w:rFonts w:ascii="Cambria"/>
                <w:sz w:val="24"/>
              </w:rPr>
            </w:pPr>
            <w:r>
              <w:rPr>
                <w:rFonts w:ascii="Cambria"/>
                <w:sz w:val="24"/>
              </w:rPr>
              <w:t>Table</w:t>
            </w:r>
            <w:r>
              <w:rPr>
                <w:rFonts w:ascii="Cambria"/>
                <w:spacing w:val="-2"/>
                <w:sz w:val="24"/>
              </w:rPr>
              <w:t> 4.13.2</w:t>
            </w:r>
          </w:p>
        </w:tc>
        <w:tc>
          <w:tcPr>
            <w:tcW w:w="7206" w:type="dxa"/>
          </w:tcPr>
          <w:p>
            <w:pPr>
              <w:pStyle w:val="TableParagraph"/>
              <w:spacing w:before="141"/>
              <w:ind w:left="115"/>
              <w:rPr>
                <w:rFonts w:ascii="Cambria"/>
                <w:sz w:val="24"/>
              </w:rPr>
            </w:pPr>
            <w:r>
              <w:rPr>
                <w:rFonts w:ascii="Cambria"/>
                <w:sz w:val="24"/>
              </w:rPr>
              <w:t>Unit</w:t>
            </w:r>
            <w:r>
              <w:rPr>
                <w:rFonts w:ascii="Cambria"/>
                <w:spacing w:val="-4"/>
                <w:sz w:val="24"/>
              </w:rPr>
              <w:t> </w:t>
            </w:r>
            <w:r>
              <w:rPr>
                <w:rFonts w:ascii="Cambria"/>
                <w:sz w:val="24"/>
              </w:rPr>
              <w:t>Root</w:t>
            </w:r>
            <w:r>
              <w:rPr>
                <w:rFonts w:ascii="Cambria"/>
                <w:spacing w:val="-1"/>
                <w:sz w:val="24"/>
              </w:rPr>
              <w:t> </w:t>
            </w:r>
            <w:r>
              <w:rPr>
                <w:rFonts w:ascii="Cambria"/>
                <w:sz w:val="24"/>
              </w:rPr>
              <w:t>Result</w:t>
            </w:r>
            <w:r>
              <w:rPr>
                <w:rFonts w:ascii="Cambria"/>
                <w:spacing w:val="-2"/>
                <w:sz w:val="24"/>
              </w:rPr>
              <w:t> </w:t>
            </w:r>
            <w:r>
              <w:rPr>
                <w:rFonts w:ascii="Cambria"/>
                <w:sz w:val="24"/>
              </w:rPr>
              <w:t>at</w:t>
            </w:r>
            <w:r>
              <w:rPr>
                <w:rFonts w:ascii="Cambria"/>
                <w:spacing w:val="-2"/>
                <w:sz w:val="24"/>
              </w:rPr>
              <w:t> </w:t>
            </w:r>
            <w:r>
              <w:rPr>
                <w:rFonts w:ascii="Cambria"/>
                <w:sz w:val="24"/>
              </w:rPr>
              <w:t>Level</w:t>
            </w:r>
            <w:r>
              <w:rPr>
                <w:rFonts w:ascii="Cambria"/>
                <w:spacing w:val="-2"/>
                <w:sz w:val="24"/>
              </w:rPr>
              <w:t> </w:t>
            </w:r>
            <w:r>
              <w:rPr>
                <w:rFonts w:ascii="Cambria"/>
                <w:sz w:val="24"/>
              </w:rPr>
              <w:t>for</w:t>
            </w:r>
            <w:r>
              <w:rPr>
                <w:rFonts w:ascii="Cambria"/>
                <w:spacing w:val="-2"/>
                <w:sz w:val="24"/>
              </w:rPr>
              <w:t> </w:t>
            </w:r>
            <w:r>
              <w:rPr>
                <w:rFonts w:ascii="Cambria"/>
                <w:sz w:val="24"/>
              </w:rPr>
              <w:t>Models</w:t>
            </w:r>
            <w:r>
              <w:rPr>
                <w:rFonts w:ascii="Cambria"/>
                <w:spacing w:val="-1"/>
                <w:sz w:val="24"/>
              </w:rPr>
              <w:t> </w:t>
            </w:r>
            <w:r>
              <w:rPr>
                <w:rFonts w:ascii="Cambria"/>
                <w:sz w:val="24"/>
              </w:rPr>
              <w:t>2,</w:t>
            </w:r>
            <w:r>
              <w:rPr>
                <w:rFonts w:ascii="Cambria"/>
                <w:spacing w:val="-1"/>
                <w:sz w:val="24"/>
              </w:rPr>
              <w:t> </w:t>
            </w:r>
            <w:r>
              <w:rPr>
                <w:rFonts w:ascii="Cambria"/>
                <w:sz w:val="24"/>
              </w:rPr>
              <w:t>5</w:t>
            </w:r>
            <w:r>
              <w:rPr>
                <w:rFonts w:ascii="Cambria"/>
                <w:spacing w:val="-2"/>
                <w:sz w:val="24"/>
              </w:rPr>
              <w:t> </w:t>
            </w:r>
            <w:r>
              <w:rPr>
                <w:rFonts w:ascii="Cambria"/>
                <w:sz w:val="24"/>
              </w:rPr>
              <w:t>and</w:t>
            </w:r>
            <w:r>
              <w:rPr>
                <w:rFonts w:ascii="Cambria"/>
                <w:spacing w:val="-1"/>
                <w:sz w:val="24"/>
              </w:rPr>
              <w:t> </w:t>
            </w:r>
            <w:r>
              <w:rPr>
                <w:rFonts w:ascii="Cambria"/>
                <w:spacing w:val="-10"/>
                <w:sz w:val="24"/>
              </w:rPr>
              <w:t>6</w:t>
            </w:r>
          </w:p>
        </w:tc>
        <w:tc>
          <w:tcPr>
            <w:tcW w:w="1600" w:type="dxa"/>
          </w:tcPr>
          <w:p>
            <w:pPr>
              <w:pStyle w:val="TableParagraph"/>
              <w:spacing w:before="141"/>
              <w:ind w:left="83"/>
              <w:jc w:val="center"/>
              <w:rPr>
                <w:rFonts w:ascii="Cambria"/>
                <w:sz w:val="24"/>
              </w:rPr>
            </w:pPr>
            <w:r>
              <w:rPr>
                <w:rFonts w:ascii="Cambria"/>
                <w:spacing w:val="-5"/>
                <w:sz w:val="24"/>
              </w:rPr>
              <w:t>110</w:t>
            </w:r>
          </w:p>
        </w:tc>
      </w:tr>
      <w:tr>
        <w:trPr>
          <w:trHeight w:val="567" w:hRule="atLeast"/>
        </w:trPr>
        <w:tc>
          <w:tcPr>
            <w:tcW w:w="1375" w:type="dxa"/>
          </w:tcPr>
          <w:p>
            <w:pPr>
              <w:pStyle w:val="TableParagraph"/>
              <w:spacing w:before="140"/>
              <w:ind w:left="50"/>
              <w:rPr>
                <w:rFonts w:ascii="Cambria"/>
                <w:sz w:val="24"/>
              </w:rPr>
            </w:pPr>
            <w:r>
              <w:rPr>
                <w:rFonts w:ascii="Cambria"/>
                <w:sz w:val="24"/>
              </w:rPr>
              <w:t>Table</w:t>
            </w:r>
            <w:r>
              <w:rPr>
                <w:rFonts w:ascii="Cambria"/>
                <w:spacing w:val="-2"/>
                <w:sz w:val="24"/>
              </w:rPr>
              <w:t> 4.13.3</w:t>
            </w:r>
          </w:p>
        </w:tc>
        <w:tc>
          <w:tcPr>
            <w:tcW w:w="7206" w:type="dxa"/>
          </w:tcPr>
          <w:p>
            <w:pPr>
              <w:pStyle w:val="TableParagraph"/>
              <w:spacing w:before="140"/>
              <w:ind w:left="115"/>
              <w:rPr>
                <w:rFonts w:ascii="Cambria"/>
                <w:sz w:val="24"/>
              </w:rPr>
            </w:pPr>
            <w:r>
              <w:rPr>
                <w:rFonts w:ascii="Cambria"/>
                <w:sz w:val="24"/>
              </w:rPr>
              <w:t>Unit</w:t>
            </w:r>
            <w:r>
              <w:rPr>
                <w:rFonts w:ascii="Cambria"/>
                <w:spacing w:val="-4"/>
                <w:sz w:val="24"/>
              </w:rPr>
              <w:t> </w:t>
            </w:r>
            <w:r>
              <w:rPr>
                <w:rFonts w:ascii="Cambria"/>
                <w:sz w:val="24"/>
              </w:rPr>
              <w:t>Root</w:t>
            </w:r>
            <w:r>
              <w:rPr>
                <w:rFonts w:ascii="Cambria"/>
                <w:spacing w:val="-2"/>
                <w:sz w:val="24"/>
              </w:rPr>
              <w:t> </w:t>
            </w:r>
            <w:r>
              <w:rPr>
                <w:rFonts w:ascii="Cambria"/>
                <w:sz w:val="24"/>
              </w:rPr>
              <w:t>Test</w:t>
            </w:r>
            <w:r>
              <w:rPr>
                <w:rFonts w:ascii="Cambria"/>
                <w:spacing w:val="-2"/>
                <w:sz w:val="24"/>
              </w:rPr>
              <w:t> </w:t>
            </w:r>
            <w:r>
              <w:rPr>
                <w:rFonts w:ascii="Cambria"/>
                <w:sz w:val="24"/>
              </w:rPr>
              <w:t>at</w:t>
            </w:r>
            <w:r>
              <w:rPr>
                <w:rFonts w:ascii="Cambria"/>
                <w:spacing w:val="-1"/>
                <w:sz w:val="24"/>
              </w:rPr>
              <w:t> </w:t>
            </w:r>
            <w:r>
              <w:rPr>
                <w:rFonts w:ascii="Cambria"/>
                <w:sz w:val="24"/>
              </w:rPr>
              <w:t>First</w:t>
            </w:r>
            <w:r>
              <w:rPr>
                <w:rFonts w:ascii="Cambria"/>
                <w:spacing w:val="-2"/>
                <w:sz w:val="24"/>
              </w:rPr>
              <w:t> </w:t>
            </w:r>
            <w:r>
              <w:rPr>
                <w:rFonts w:ascii="Cambria"/>
                <w:sz w:val="24"/>
              </w:rPr>
              <w:t>Difference</w:t>
            </w:r>
            <w:r>
              <w:rPr>
                <w:rFonts w:ascii="Cambria"/>
                <w:spacing w:val="-2"/>
                <w:sz w:val="24"/>
              </w:rPr>
              <w:t> </w:t>
            </w:r>
            <w:r>
              <w:rPr>
                <w:rFonts w:ascii="Cambria"/>
                <w:sz w:val="24"/>
              </w:rPr>
              <w:t>for</w:t>
            </w:r>
            <w:r>
              <w:rPr>
                <w:rFonts w:ascii="Cambria"/>
                <w:spacing w:val="-3"/>
                <w:sz w:val="24"/>
              </w:rPr>
              <w:t> </w:t>
            </w:r>
            <w:r>
              <w:rPr>
                <w:rFonts w:ascii="Cambria"/>
                <w:sz w:val="24"/>
              </w:rPr>
              <w:t>Models</w:t>
            </w:r>
            <w:r>
              <w:rPr>
                <w:rFonts w:ascii="Cambria"/>
                <w:spacing w:val="-1"/>
                <w:sz w:val="24"/>
              </w:rPr>
              <w:t> </w:t>
            </w:r>
            <w:r>
              <w:rPr>
                <w:rFonts w:ascii="Cambria"/>
                <w:sz w:val="24"/>
              </w:rPr>
              <w:t>2,</w:t>
            </w:r>
            <w:r>
              <w:rPr>
                <w:rFonts w:ascii="Cambria"/>
                <w:spacing w:val="1"/>
                <w:sz w:val="24"/>
              </w:rPr>
              <w:t> </w:t>
            </w:r>
            <w:r>
              <w:rPr>
                <w:rFonts w:ascii="Cambria"/>
                <w:sz w:val="24"/>
              </w:rPr>
              <w:t>5</w:t>
            </w:r>
            <w:r>
              <w:rPr>
                <w:rFonts w:ascii="Cambria"/>
                <w:spacing w:val="-2"/>
                <w:sz w:val="24"/>
              </w:rPr>
              <w:t> </w:t>
            </w:r>
            <w:r>
              <w:rPr>
                <w:rFonts w:ascii="Cambria"/>
                <w:sz w:val="24"/>
              </w:rPr>
              <w:t>and</w:t>
            </w:r>
            <w:r>
              <w:rPr>
                <w:rFonts w:ascii="Cambria"/>
                <w:spacing w:val="-2"/>
                <w:sz w:val="24"/>
              </w:rPr>
              <w:t> </w:t>
            </w:r>
            <w:r>
              <w:rPr>
                <w:rFonts w:ascii="Cambria"/>
                <w:spacing w:val="-10"/>
                <w:sz w:val="24"/>
              </w:rPr>
              <w:t>6</w:t>
            </w:r>
          </w:p>
        </w:tc>
        <w:tc>
          <w:tcPr>
            <w:tcW w:w="1600" w:type="dxa"/>
          </w:tcPr>
          <w:p>
            <w:pPr>
              <w:pStyle w:val="TableParagraph"/>
              <w:spacing w:before="140"/>
              <w:ind w:left="744"/>
              <w:rPr>
                <w:rFonts w:ascii="Cambria"/>
                <w:sz w:val="24"/>
              </w:rPr>
            </w:pPr>
            <w:r>
              <w:rPr>
                <w:rFonts w:ascii="Cambria"/>
                <w:spacing w:val="-5"/>
                <w:sz w:val="24"/>
              </w:rPr>
              <w:t>111</w:t>
            </w:r>
          </w:p>
        </w:tc>
      </w:tr>
      <w:tr>
        <w:trPr>
          <w:trHeight w:val="411" w:hRule="atLeast"/>
        </w:trPr>
        <w:tc>
          <w:tcPr>
            <w:tcW w:w="1375" w:type="dxa"/>
          </w:tcPr>
          <w:p>
            <w:pPr>
              <w:pStyle w:val="TableParagraph"/>
              <w:spacing w:line="256" w:lineRule="exact" w:before="136"/>
              <w:ind w:left="110"/>
              <w:rPr>
                <w:sz w:val="24"/>
              </w:rPr>
            </w:pPr>
            <w:r>
              <w:rPr>
                <w:sz w:val="24"/>
              </w:rPr>
              <w:t>Table</w:t>
            </w:r>
            <w:r>
              <w:rPr>
                <w:spacing w:val="-2"/>
                <w:sz w:val="24"/>
              </w:rPr>
              <w:t> 4.13.4</w:t>
            </w:r>
          </w:p>
        </w:tc>
        <w:tc>
          <w:tcPr>
            <w:tcW w:w="7206" w:type="dxa"/>
          </w:tcPr>
          <w:p>
            <w:pPr>
              <w:pStyle w:val="TableParagraph"/>
              <w:spacing w:line="256" w:lineRule="exact" w:before="136"/>
              <w:ind w:left="115"/>
              <w:rPr>
                <w:sz w:val="24"/>
              </w:rPr>
            </w:pPr>
            <w:r>
              <w:rPr>
                <w:sz w:val="24"/>
              </w:rPr>
              <w:t>Summary</w:t>
            </w:r>
            <w:r>
              <w:rPr>
                <w:spacing w:val="-4"/>
                <w:sz w:val="24"/>
              </w:rPr>
              <w:t> </w:t>
            </w:r>
            <w:r>
              <w:rPr>
                <w:sz w:val="24"/>
              </w:rPr>
              <w:t>of Stationarity </w:t>
            </w:r>
            <w:r>
              <w:rPr>
                <w:spacing w:val="-4"/>
                <w:sz w:val="24"/>
              </w:rPr>
              <w:t>Test</w:t>
            </w:r>
          </w:p>
        </w:tc>
        <w:tc>
          <w:tcPr>
            <w:tcW w:w="1600" w:type="dxa"/>
          </w:tcPr>
          <w:p>
            <w:pPr>
              <w:pStyle w:val="TableParagraph"/>
              <w:spacing w:line="256" w:lineRule="exact" w:before="136"/>
              <w:ind w:right="48"/>
              <w:jc w:val="right"/>
              <w:rPr>
                <w:sz w:val="24"/>
              </w:rPr>
            </w:pPr>
            <w:r>
              <w:rPr>
                <w:spacing w:val="-5"/>
                <w:sz w:val="24"/>
              </w:rPr>
              <w:t>111</w:t>
            </w:r>
          </w:p>
        </w:tc>
      </w:tr>
    </w:tbl>
    <w:p>
      <w:pPr>
        <w:spacing w:after="0" w:line="256" w:lineRule="exact"/>
        <w:jc w:val="right"/>
        <w:rPr>
          <w:sz w:val="24"/>
        </w:rPr>
        <w:sectPr>
          <w:pgSz w:w="11910" w:h="16840"/>
          <w:pgMar w:header="0" w:footer="1039" w:top="1900" w:bottom="1240" w:left="280" w:right="0"/>
        </w:sectPr>
      </w:pPr>
    </w:p>
    <w:p>
      <w:pPr>
        <w:pStyle w:val="BodyText"/>
        <w:tabs>
          <w:tab w:pos="2151" w:val="left" w:leader="none"/>
          <w:tab w:pos="10793" w:val="right" w:leader="none"/>
        </w:tabs>
        <w:spacing w:before="60"/>
        <w:ind w:left="711"/>
      </w:pPr>
      <w:r>
        <w:rPr/>
        <w:t>Table</w:t>
      </w:r>
      <w:r>
        <w:rPr>
          <w:spacing w:val="-2"/>
        </w:rPr>
        <w:t> </w:t>
      </w:r>
      <w:r>
        <w:rPr>
          <w:spacing w:val="-4"/>
        </w:rPr>
        <w:t>4.14</w:t>
      </w:r>
      <w:r>
        <w:rPr/>
        <w:tab/>
        <w:t>Result</w:t>
      </w:r>
      <w:r>
        <w:rPr>
          <w:spacing w:val="-4"/>
        </w:rPr>
        <w:t> </w:t>
      </w:r>
      <w:r>
        <w:rPr/>
        <w:t>of</w:t>
      </w:r>
      <w:r>
        <w:rPr>
          <w:spacing w:val="-2"/>
        </w:rPr>
        <w:t> </w:t>
      </w:r>
      <w:r>
        <w:rPr/>
        <w:t>Cointegration</w:t>
      </w:r>
      <w:r>
        <w:rPr>
          <w:spacing w:val="1"/>
        </w:rPr>
        <w:t> </w:t>
      </w:r>
      <w:r>
        <w:rPr/>
        <w:t>Test</w:t>
      </w:r>
      <w:r>
        <w:rPr>
          <w:spacing w:val="-2"/>
        </w:rPr>
        <w:t> </w:t>
      </w:r>
      <w:r>
        <w:rPr/>
        <w:t>for</w:t>
      </w:r>
      <w:r>
        <w:rPr>
          <w:spacing w:val="-3"/>
        </w:rPr>
        <w:t> </w:t>
      </w:r>
      <w:r>
        <w:rPr/>
        <w:t>Model</w:t>
      </w:r>
      <w:r>
        <w:rPr>
          <w:spacing w:val="2"/>
        </w:rPr>
        <w:t> </w:t>
      </w:r>
      <w:r>
        <w:rPr>
          <w:spacing w:val="-5"/>
        </w:rPr>
        <w:t>1A</w:t>
      </w:r>
      <w:r>
        <w:rPr/>
        <w:tab/>
      </w:r>
      <w:r>
        <w:rPr>
          <w:spacing w:val="-5"/>
        </w:rPr>
        <w:t>112</w:t>
      </w:r>
    </w:p>
    <w:p>
      <w:pPr>
        <w:pStyle w:val="BodyText"/>
        <w:tabs>
          <w:tab w:pos="2151" w:val="left" w:leader="none"/>
          <w:tab w:pos="10736" w:val="right" w:leader="none"/>
        </w:tabs>
        <w:spacing w:before="222"/>
        <w:ind w:left="711"/>
      </w:pPr>
      <w:r>
        <w:rPr/>
        <w:t>Table</w:t>
      </w:r>
      <w:r>
        <w:rPr>
          <w:spacing w:val="-2"/>
        </w:rPr>
        <w:t> 4.14.1</w:t>
      </w:r>
      <w:r>
        <w:rPr/>
        <w:tab/>
        <w:t>Overparameterised</w:t>
      </w:r>
      <w:r>
        <w:rPr>
          <w:spacing w:val="-1"/>
        </w:rPr>
        <w:t> </w:t>
      </w:r>
      <w:r>
        <w:rPr/>
        <w:t>ECM1</w:t>
      </w:r>
      <w:r>
        <w:rPr>
          <w:spacing w:val="-1"/>
        </w:rPr>
        <w:t> </w:t>
      </w:r>
      <w:r>
        <w:rPr/>
        <w:t>for</w:t>
      </w:r>
      <w:r>
        <w:rPr>
          <w:spacing w:val="-3"/>
        </w:rPr>
        <w:t> </w:t>
      </w:r>
      <w:r>
        <w:rPr/>
        <w:t>Model </w:t>
      </w:r>
      <w:r>
        <w:rPr>
          <w:spacing w:val="-5"/>
        </w:rPr>
        <w:t>1A</w:t>
      </w:r>
      <w:r>
        <w:rPr/>
        <w:tab/>
      </w:r>
      <w:r>
        <w:rPr>
          <w:spacing w:val="-5"/>
        </w:rPr>
        <w:t>115</w:t>
      </w:r>
    </w:p>
    <w:p>
      <w:pPr>
        <w:pStyle w:val="BodyText"/>
        <w:tabs>
          <w:tab w:pos="10793" w:val="right" w:leader="none"/>
        </w:tabs>
        <w:spacing w:before="220"/>
        <w:ind w:left="711"/>
      </w:pPr>
      <w:r>
        <w:rPr/>
        <w:t>Table</w:t>
      </w:r>
      <w:r>
        <w:rPr>
          <w:spacing w:val="-1"/>
        </w:rPr>
        <w:t> </w:t>
      </w:r>
      <w:r>
        <w:rPr/>
        <w:t>4. 14.</w:t>
      </w:r>
      <w:r>
        <w:rPr>
          <w:spacing w:val="-1"/>
        </w:rPr>
        <w:t> </w:t>
      </w:r>
      <w:r>
        <w:rPr/>
        <w:t>2. Parsimonious</w:t>
      </w:r>
      <w:r>
        <w:rPr>
          <w:spacing w:val="-1"/>
        </w:rPr>
        <w:t> </w:t>
      </w:r>
      <w:r>
        <w:rPr/>
        <w:t>ECM 2</w:t>
      </w:r>
      <w:r>
        <w:rPr>
          <w:spacing w:val="-1"/>
        </w:rPr>
        <w:t> </w:t>
      </w:r>
      <w:r>
        <w:rPr/>
        <w:t>for</w:t>
      </w:r>
      <w:r>
        <w:rPr>
          <w:spacing w:val="-2"/>
        </w:rPr>
        <w:t> </w:t>
      </w:r>
      <w:r>
        <w:rPr/>
        <w:t>Model </w:t>
      </w:r>
      <w:r>
        <w:rPr>
          <w:spacing w:val="-5"/>
        </w:rPr>
        <w:t>1A</w:t>
      </w:r>
      <w:r>
        <w:rPr/>
        <w:tab/>
      </w:r>
      <w:r>
        <w:rPr>
          <w:spacing w:val="-5"/>
        </w:rPr>
        <w:t>116</w:t>
      </w:r>
    </w:p>
    <w:p>
      <w:pPr>
        <w:pStyle w:val="BodyText"/>
        <w:tabs>
          <w:tab w:pos="10124" w:val="right" w:leader="none"/>
        </w:tabs>
        <w:spacing w:before="277"/>
        <w:ind w:left="711"/>
        <w:rPr>
          <w:rFonts w:ascii="Cambria"/>
        </w:rPr>
      </w:pPr>
      <w:r>
        <w:rPr>
          <w:rFonts w:ascii="Cambria"/>
        </w:rPr>
        <w:t>Table4.14.3.</w:t>
      </w:r>
      <w:r>
        <w:rPr>
          <w:rFonts w:ascii="Cambria"/>
          <w:spacing w:val="-3"/>
        </w:rPr>
        <w:t> </w:t>
      </w:r>
      <w:r>
        <w:rPr>
          <w:rFonts w:ascii="Cambria"/>
        </w:rPr>
        <w:t>Standard</w:t>
      </w:r>
      <w:r>
        <w:rPr>
          <w:rFonts w:ascii="Cambria"/>
          <w:spacing w:val="-4"/>
        </w:rPr>
        <w:t> </w:t>
      </w:r>
      <w:r>
        <w:rPr>
          <w:rFonts w:ascii="Cambria"/>
        </w:rPr>
        <w:t>Error</w:t>
      </w:r>
      <w:r>
        <w:rPr>
          <w:rFonts w:ascii="Cambria"/>
          <w:spacing w:val="-2"/>
        </w:rPr>
        <w:t> </w:t>
      </w:r>
      <w:r>
        <w:rPr>
          <w:rFonts w:ascii="Cambria"/>
        </w:rPr>
        <w:t>Test</w:t>
      </w:r>
      <w:r>
        <w:rPr>
          <w:rFonts w:ascii="Cambria"/>
          <w:spacing w:val="-3"/>
        </w:rPr>
        <w:t> </w:t>
      </w:r>
      <w:r>
        <w:rPr>
          <w:rFonts w:ascii="Cambria"/>
        </w:rPr>
        <w:t>for</w:t>
      </w:r>
      <w:r>
        <w:rPr>
          <w:rFonts w:ascii="Cambria"/>
          <w:spacing w:val="-3"/>
        </w:rPr>
        <w:t> </w:t>
      </w:r>
      <w:r>
        <w:rPr>
          <w:rFonts w:ascii="Cambria"/>
        </w:rPr>
        <w:t>Model</w:t>
      </w:r>
      <w:r>
        <w:rPr>
          <w:rFonts w:ascii="Cambria"/>
          <w:spacing w:val="-3"/>
        </w:rPr>
        <w:t> </w:t>
      </w:r>
      <w:r>
        <w:rPr>
          <w:rFonts w:ascii="Cambria"/>
          <w:spacing w:val="-5"/>
        </w:rPr>
        <w:t>1A</w:t>
      </w:r>
      <w:r>
        <w:rPr>
          <w:rFonts w:ascii="Cambria"/>
        </w:rPr>
        <w:tab/>
      </w:r>
      <w:r>
        <w:rPr>
          <w:rFonts w:ascii="Cambria"/>
          <w:spacing w:val="-5"/>
        </w:rPr>
        <w:t>117</w:t>
      </w:r>
    </w:p>
    <w:p>
      <w:pPr>
        <w:tabs>
          <w:tab w:pos="10260" w:val="right" w:leader="none"/>
        </w:tabs>
        <w:spacing w:before="281"/>
        <w:ind w:left="711" w:right="0" w:firstLine="0"/>
        <w:jc w:val="left"/>
        <w:rPr>
          <w:sz w:val="28"/>
        </w:rPr>
      </w:pPr>
      <w:r>
        <w:rPr>
          <w:sz w:val="28"/>
        </w:rPr>
        <w:t>Table</w:t>
      </w:r>
      <w:r>
        <w:rPr>
          <w:spacing w:val="-7"/>
          <w:sz w:val="28"/>
        </w:rPr>
        <w:t> </w:t>
      </w:r>
      <w:r>
        <w:rPr>
          <w:sz w:val="28"/>
        </w:rPr>
        <w:t>4.15</w:t>
      </w:r>
      <w:r>
        <w:rPr>
          <w:spacing w:val="-5"/>
          <w:sz w:val="28"/>
        </w:rPr>
        <w:t> </w:t>
      </w:r>
      <w:r>
        <w:rPr>
          <w:sz w:val="28"/>
        </w:rPr>
        <w:t>Result</w:t>
      </w:r>
      <w:r>
        <w:rPr>
          <w:spacing w:val="-3"/>
          <w:sz w:val="28"/>
        </w:rPr>
        <w:t> </w:t>
      </w:r>
      <w:r>
        <w:rPr>
          <w:sz w:val="28"/>
        </w:rPr>
        <w:t>of</w:t>
      </w:r>
      <w:r>
        <w:rPr>
          <w:spacing w:val="-7"/>
          <w:sz w:val="28"/>
        </w:rPr>
        <w:t> </w:t>
      </w:r>
      <w:r>
        <w:rPr>
          <w:sz w:val="28"/>
        </w:rPr>
        <w:t>Cointegration</w:t>
      </w:r>
      <w:r>
        <w:rPr>
          <w:spacing w:val="-3"/>
          <w:sz w:val="28"/>
        </w:rPr>
        <w:t> </w:t>
      </w:r>
      <w:r>
        <w:rPr>
          <w:sz w:val="28"/>
        </w:rPr>
        <w:t>Test</w:t>
      </w:r>
      <w:r>
        <w:rPr>
          <w:spacing w:val="-3"/>
          <w:sz w:val="28"/>
        </w:rPr>
        <w:t> </w:t>
      </w:r>
      <w:r>
        <w:rPr>
          <w:sz w:val="28"/>
        </w:rPr>
        <w:t>for</w:t>
      </w:r>
      <w:r>
        <w:rPr>
          <w:spacing w:val="-4"/>
          <w:sz w:val="28"/>
        </w:rPr>
        <w:t> </w:t>
      </w:r>
      <w:r>
        <w:rPr>
          <w:sz w:val="28"/>
        </w:rPr>
        <w:t>Model</w:t>
      </w:r>
      <w:r>
        <w:rPr>
          <w:spacing w:val="-2"/>
          <w:sz w:val="28"/>
        </w:rPr>
        <w:t> </w:t>
      </w:r>
      <w:r>
        <w:rPr>
          <w:spacing w:val="-5"/>
          <w:sz w:val="28"/>
        </w:rPr>
        <w:t>1B</w:t>
      </w:r>
      <w:r>
        <w:rPr>
          <w:sz w:val="28"/>
        </w:rPr>
        <w:tab/>
      </w:r>
      <w:r>
        <w:rPr>
          <w:spacing w:val="-5"/>
          <w:sz w:val="28"/>
        </w:rPr>
        <w:t>120</w:t>
      </w:r>
    </w:p>
    <w:p>
      <w:pPr>
        <w:pStyle w:val="BodyText"/>
        <w:tabs>
          <w:tab w:pos="10733" w:val="right" w:leader="none"/>
        </w:tabs>
        <w:spacing w:before="322"/>
        <w:ind w:left="711"/>
      </w:pPr>
      <w:r>
        <w:rPr/>
        <w:t>Table4.15.1</w:t>
      </w:r>
      <w:r>
        <w:rPr>
          <w:spacing w:val="-1"/>
        </w:rPr>
        <w:t> </w:t>
      </w:r>
      <w:r>
        <w:rPr/>
        <w:t>Overparameterised</w:t>
      </w:r>
      <w:r>
        <w:rPr>
          <w:spacing w:val="-1"/>
        </w:rPr>
        <w:t> </w:t>
      </w:r>
      <w:r>
        <w:rPr/>
        <w:t>ECM</w:t>
      </w:r>
      <w:r>
        <w:rPr>
          <w:spacing w:val="-1"/>
        </w:rPr>
        <w:t> </w:t>
      </w:r>
      <w:r>
        <w:rPr/>
        <w:t>1</w:t>
      </w:r>
      <w:r>
        <w:rPr>
          <w:spacing w:val="-1"/>
        </w:rPr>
        <w:t> </w:t>
      </w:r>
      <w:r>
        <w:rPr/>
        <w:t>for</w:t>
      </w:r>
      <w:r>
        <w:rPr>
          <w:spacing w:val="-2"/>
        </w:rPr>
        <w:t> </w:t>
      </w:r>
      <w:r>
        <w:rPr/>
        <w:t>Model</w:t>
      </w:r>
      <w:r>
        <w:rPr>
          <w:spacing w:val="1"/>
        </w:rPr>
        <w:t> </w:t>
      </w:r>
      <w:r>
        <w:rPr>
          <w:spacing w:val="-5"/>
        </w:rPr>
        <w:t>1B</w:t>
      </w:r>
      <w:r>
        <w:rPr/>
        <w:tab/>
      </w:r>
      <w:r>
        <w:rPr>
          <w:spacing w:val="-5"/>
        </w:rPr>
        <w:t>122</w:t>
      </w:r>
    </w:p>
    <w:p>
      <w:pPr>
        <w:pStyle w:val="BodyText"/>
        <w:tabs>
          <w:tab w:pos="10751" w:val="right" w:leader="none"/>
        </w:tabs>
        <w:spacing w:before="276"/>
        <w:ind w:left="711"/>
      </w:pPr>
      <w:r>
        <w:rPr/>
        <w:t>Table</w:t>
      </w:r>
      <w:r>
        <w:rPr>
          <w:spacing w:val="-1"/>
        </w:rPr>
        <w:t> </w:t>
      </w:r>
      <w:r>
        <w:rPr/>
        <w:t>4.15.2</w:t>
      </w:r>
      <w:r>
        <w:rPr>
          <w:spacing w:val="-1"/>
        </w:rPr>
        <w:t> </w:t>
      </w:r>
      <w:r>
        <w:rPr/>
        <w:t>Parsimonious ECM</w:t>
      </w:r>
      <w:r>
        <w:rPr>
          <w:spacing w:val="-1"/>
        </w:rPr>
        <w:t> </w:t>
      </w:r>
      <w:r>
        <w:rPr/>
        <w:t>2</w:t>
      </w:r>
      <w:r>
        <w:rPr>
          <w:spacing w:val="1"/>
        </w:rPr>
        <w:t> </w:t>
      </w:r>
      <w:r>
        <w:rPr/>
        <w:t>for</w:t>
      </w:r>
      <w:r>
        <w:rPr>
          <w:spacing w:val="-3"/>
        </w:rPr>
        <w:t> </w:t>
      </w:r>
      <w:r>
        <w:rPr/>
        <w:t>Model </w:t>
      </w:r>
      <w:r>
        <w:rPr>
          <w:spacing w:val="-5"/>
        </w:rPr>
        <w:t>1B</w:t>
      </w:r>
      <w:r>
        <w:rPr/>
        <w:tab/>
      </w:r>
      <w:r>
        <w:rPr>
          <w:spacing w:val="-5"/>
        </w:rPr>
        <w:t>123</w:t>
      </w:r>
    </w:p>
    <w:p>
      <w:pPr>
        <w:tabs>
          <w:tab w:pos="10747" w:val="right" w:leader="none"/>
        </w:tabs>
        <w:spacing w:before="402"/>
        <w:ind w:left="711" w:right="0" w:firstLine="0"/>
        <w:jc w:val="left"/>
        <w:rPr>
          <w:rFonts w:ascii="Cambria"/>
          <w:sz w:val="21"/>
        </w:rPr>
      </w:pPr>
      <w:r>
        <w:rPr>
          <w:rFonts w:ascii="Cambria"/>
          <w:sz w:val="21"/>
        </w:rPr>
        <w:t>Table</w:t>
      </w:r>
      <w:r>
        <w:rPr>
          <w:rFonts w:ascii="Cambria"/>
          <w:spacing w:val="-4"/>
          <w:sz w:val="21"/>
        </w:rPr>
        <w:t> </w:t>
      </w:r>
      <w:r>
        <w:rPr>
          <w:rFonts w:ascii="Cambria"/>
          <w:sz w:val="21"/>
        </w:rPr>
        <w:t>4.15.</w:t>
      </w:r>
      <w:r>
        <w:rPr>
          <w:rFonts w:ascii="Cambria"/>
          <w:spacing w:val="-5"/>
          <w:sz w:val="21"/>
        </w:rPr>
        <w:t> </w:t>
      </w:r>
      <w:r>
        <w:rPr>
          <w:rFonts w:ascii="Cambria"/>
          <w:sz w:val="21"/>
        </w:rPr>
        <w:t>3.</w:t>
      </w:r>
      <w:r>
        <w:rPr>
          <w:rFonts w:ascii="Cambria"/>
          <w:spacing w:val="-4"/>
          <w:sz w:val="21"/>
        </w:rPr>
        <w:t> </w:t>
      </w:r>
      <w:r>
        <w:rPr>
          <w:rFonts w:ascii="Cambria"/>
          <w:sz w:val="21"/>
        </w:rPr>
        <w:t>Standard</w:t>
      </w:r>
      <w:r>
        <w:rPr>
          <w:rFonts w:ascii="Cambria"/>
          <w:spacing w:val="-4"/>
          <w:sz w:val="21"/>
        </w:rPr>
        <w:t> </w:t>
      </w:r>
      <w:r>
        <w:rPr>
          <w:rFonts w:ascii="Cambria"/>
          <w:sz w:val="21"/>
        </w:rPr>
        <w:t>Error</w:t>
      </w:r>
      <w:r>
        <w:rPr>
          <w:rFonts w:ascii="Cambria"/>
          <w:spacing w:val="-5"/>
          <w:sz w:val="21"/>
        </w:rPr>
        <w:t> </w:t>
      </w:r>
      <w:r>
        <w:rPr>
          <w:rFonts w:ascii="Cambria"/>
          <w:sz w:val="21"/>
        </w:rPr>
        <w:t>Test</w:t>
      </w:r>
      <w:r>
        <w:rPr>
          <w:rFonts w:ascii="Cambria"/>
          <w:spacing w:val="-7"/>
          <w:sz w:val="21"/>
        </w:rPr>
        <w:t> </w:t>
      </w:r>
      <w:r>
        <w:rPr>
          <w:rFonts w:ascii="Cambria"/>
          <w:sz w:val="21"/>
        </w:rPr>
        <w:t>for</w:t>
      </w:r>
      <w:r>
        <w:rPr>
          <w:rFonts w:ascii="Cambria"/>
          <w:spacing w:val="-6"/>
          <w:sz w:val="21"/>
        </w:rPr>
        <w:t> </w:t>
      </w:r>
      <w:r>
        <w:rPr>
          <w:rFonts w:ascii="Cambria"/>
          <w:sz w:val="21"/>
        </w:rPr>
        <w:t>Model</w:t>
      </w:r>
      <w:r>
        <w:rPr>
          <w:rFonts w:ascii="Cambria"/>
          <w:spacing w:val="-3"/>
          <w:sz w:val="21"/>
        </w:rPr>
        <w:t> </w:t>
      </w:r>
      <w:r>
        <w:rPr>
          <w:rFonts w:ascii="Cambria"/>
          <w:spacing w:val="-5"/>
          <w:sz w:val="21"/>
        </w:rPr>
        <w:t>1B</w:t>
      </w:r>
      <w:r>
        <w:rPr>
          <w:rFonts w:ascii="Cambria"/>
          <w:sz w:val="21"/>
        </w:rPr>
        <w:tab/>
      </w:r>
      <w:r>
        <w:rPr>
          <w:rFonts w:ascii="Cambria"/>
          <w:spacing w:val="-5"/>
          <w:sz w:val="21"/>
        </w:rPr>
        <w:t>124</w:t>
      </w:r>
    </w:p>
    <w:p>
      <w:pPr>
        <w:tabs>
          <w:tab w:pos="10793" w:val="right" w:leader="none"/>
        </w:tabs>
        <w:spacing w:before="503"/>
        <w:ind w:left="711" w:right="0" w:firstLine="0"/>
        <w:jc w:val="left"/>
        <w:rPr>
          <w:rFonts w:ascii="Cambria"/>
          <w:sz w:val="21"/>
        </w:rPr>
      </w:pPr>
      <w:r>
        <w:rPr>
          <w:rFonts w:ascii="Cambria"/>
          <w:sz w:val="21"/>
        </w:rPr>
        <w:t>Table</w:t>
      </w:r>
      <w:r>
        <w:rPr>
          <w:rFonts w:ascii="Cambria"/>
          <w:spacing w:val="-4"/>
          <w:sz w:val="21"/>
        </w:rPr>
        <w:t> </w:t>
      </w:r>
      <w:r>
        <w:rPr>
          <w:rFonts w:ascii="Cambria"/>
          <w:sz w:val="21"/>
        </w:rPr>
        <w:t>4.15.</w:t>
      </w:r>
      <w:r>
        <w:rPr>
          <w:rFonts w:ascii="Cambria"/>
          <w:spacing w:val="-5"/>
          <w:sz w:val="21"/>
        </w:rPr>
        <w:t> </w:t>
      </w:r>
      <w:r>
        <w:rPr>
          <w:rFonts w:ascii="Cambria"/>
          <w:sz w:val="21"/>
        </w:rPr>
        <w:t>3.</w:t>
      </w:r>
      <w:r>
        <w:rPr>
          <w:rFonts w:ascii="Cambria"/>
          <w:spacing w:val="-4"/>
          <w:sz w:val="21"/>
        </w:rPr>
        <w:t> </w:t>
      </w:r>
      <w:r>
        <w:rPr>
          <w:rFonts w:ascii="Cambria"/>
          <w:sz w:val="21"/>
        </w:rPr>
        <w:t>Standard</w:t>
      </w:r>
      <w:r>
        <w:rPr>
          <w:rFonts w:ascii="Cambria"/>
          <w:spacing w:val="-4"/>
          <w:sz w:val="21"/>
        </w:rPr>
        <w:t> </w:t>
      </w:r>
      <w:r>
        <w:rPr>
          <w:rFonts w:ascii="Cambria"/>
          <w:sz w:val="21"/>
        </w:rPr>
        <w:t>Error</w:t>
      </w:r>
      <w:r>
        <w:rPr>
          <w:rFonts w:ascii="Cambria"/>
          <w:spacing w:val="-5"/>
          <w:sz w:val="21"/>
        </w:rPr>
        <w:t> </w:t>
      </w:r>
      <w:r>
        <w:rPr>
          <w:rFonts w:ascii="Cambria"/>
          <w:sz w:val="21"/>
        </w:rPr>
        <w:t>Test</w:t>
      </w:r>
      <w:r>
        <w:rPr>
          <w:rFonts w:ascii="Cambria"/>
          <w:spacing w:val="-7"/>
          <w:sz w:val="21"/>
        </w:rPr>
        <w:t> </w:t>
      </w:r>
      <w:r>
        <w:rPr>
          <w:rFonts w:ascii="Cambria"/>
          <w:sz w:val="21"/>
        </w:rPr>
        <w:t>for</w:t>
      </w:r>
      <w:r>
        <w:rPr>
          <w:rFonts w:ascii="Cambria"/>
          <w:spacing w:val="-6"/>
          <w:sz w:val="21"/>
        </w:rPr>
        <w:t> </w:t>
      </w:r>
      <w:r>
        <w:rPr>
          <w:rFonts w:ascii="Cambria"/>
          <w:sz w:val="21"/>
        </w:rPr>
        <w:t>Model</w:t>
      </w:r>
      <w:r>
        <w:rPr>
          <w:rFonts w:ascii="Cambria"/>
          <w:spacing w:val="-3"/>
          <w:sz w:val="21"/>
        </w:rPr>
        <w:t> </w:t>
      </w:r>
      <w:r>
        <w:rPr>
          <w:rFonts w:ascii="Cambria"/>
          <w:spacing w:val="-5"/>
          <w:sz w:val="21"/>
        </w:rPr>
        <w:t>1B</w:t>
      </w:r>
      <w:r>
        <w:rPr>
          <w:rFonts w:ascii="Cambria"/>
          <w:sz w:val="21"/>
        </w:rPr>
        <w:tab/>
      </w:r>
      <w:r>
        <w:rPr>
          <w:rFonts w:ascii="Cambria"/>
          <w:spacing w:val="-5"/>
          <w:sz w:val="21"/>
        </w:rPr>
        <w:t>124</w:t>
      </w:r>
    </w:p>
    <w:p>
      <w:pPr>
        <w:pStyle w:val="BodyText"/>
        <w:tabs>
          <w:tab w:pos="10886" w:val="right" w:leader="none"/>
        </w:tabs>
        <w:spacing w:before="380"/>
        <w:ind w:left="711"/>
      </w:pPr>
      <w:r>
        <w:rPr/>
        <w:t>Table</w:t>
      </w:r>
      <w:r>
        <w:rPr>
          <w:spacing w:val="-2"/>
        </w:rPr>
        <w:t> </w:t>
      </w:r>
      <w:r>
        <w:rPr/>
        <w:t>4.16</w:t>
      </w:r>
      <w:r>
        <w:rPr>
          <w:spacing w:val="-2"/>
        </w:rPr>
        <w:t> </w:t>
      </w:r>
      <w:r>
        <w:rPr/>
        <w:t>Result</w:t>
      </w:r>
      <w:r>
        <w:rPr>
          <w:spacing w:val="-1"/>
        </w:rPr>
        <w:t> </w:t>
      </w:r>
      <w:r>
        <w:rPr/>
        <w:t>of</w:t>
      </w:r>
      <w:r>
        <w:rPr>
          <w:spacing w:val="-2"/>
        </w:rPr>
        <w:t> </w:t>
      </w:r>
      <w:r>
        <w:rPr/>
        <w:t>Cointegration</w:t>
      </w:r>
      <w:r>
        <w:rPr>
          <w:spacing w:val="-1"/>
        </w:rPr>
        <w:t> </w:t>
      </w:r>
      <w:r>
        <w:rPr/>
        <w:t>Test</w:t>
      </w:r>
      <w:r>
        <w:rPr>
          <w:spacing w:val="-1"/>
        </w:rPr>
        <w:t> </w:t>
      </w:r>
      <w:r>
        <w:rPr/>
        <w:t>for</w:t>
      </w:r>
      <w:r>
        <w:rPr>
          <w:spacing w:val="-2"/>
        </w:rPr>
        <w:t> Model2A</w:t>
      </w:r>
      <w:r>
        <w:rPr/>
        <w:tab/>
      </w:r>
      <w:r>
        <w:rPr>
          <w:spacing w:val="-5"/>
        </w:rPr>
        <w:t>127</w:t>
      </w:r>
    </w:p>
    <w:p>
      <w:pPr>
        <w:pStyle w:val="BodyText"/>
        <w:tabs>
          <w:tab w:pos="10370" w:val="right" w:leader="none"/>
        </w:tabs>
        <w:spacing w:before="276"/>
        <w:ind w:left="711"/>
        <w:rPr>
          <w:rFonts w:ascii="Cambria"/>
        </w:rPr>
      </w:pPr>
      <w:r>
        <w:rPr>
          <w:rFonts w:ascii="Cambria"/>
        </w:rPr>
        <w:t>Table</w:t>
      </w:r>
      <w:r>
        <w:rPr>
          <w:rFonts w:ascii="Cambria"/>
          <w:spacing w:val="-5"/>
        </w:rPr>
        <w:t> </w:t>
      </w:r>
      <w:r>
        <w:rPr>
          <w:rFonts w:ascii="Cambria"/>
        </w:rPr>
        <w:t>4.16.1</w:t>
      </w:r>
      <w:r>
        <w:rPr>
          <w:rFonts w:ascii="Cambria"/>
          <w:spacing w:val="-3"/>
        </w:rPr>
        <w:t> </w:t>
      </w:r>
      <w:r>
        <w:rPr>
          <w:rFonts w:ascii="Cambria"/>
        </w:rPr>
        <w:t>Over-Parametized</w:t>
      </w:r>
      <w:r>
        <w:rPr>
          <w:rFonts w:ascii="Cambria"/>
          <w:spacing w:val="-4"/>
        </w:rPr>
        <w:t> </w:t>
      </w:r>
      <w:r>
        <w:rPr>
          <w:rFonts w:ascii="Cambria"/>
        </w:rPr>
        <w:t>Model</w:t>
      </w:r>
      <w:r>
        <w:rPr>
          <w:rFonts w:ascii="Cambria"/>
          <w:spacing w:val="-3"/>
        </w:rPr>
        <w:t> </w:t>
      </w:r>
      <w:r>
        <w:rPr>
          <w:rFonts w:ascii="Cambria"/>
        </w:rPr>
        <w:t>(ECM</w:t>
      </w:r>
      <w:r>
        <w:rPr>
          <w:rFonts w:ascii="Cambria"/>
          <w:spacing w:val="-2"/>
        </w:rPr>
        <w:t> </w:t>
      </w:r>
      <w:r>
        <w:rPr>
          <w:rFonts w:ascii="Cambria"/>
        </w:rPr>
        <w:t>1)</w:t>
      </w:r>
      <w:r>
        <w:rPr>
          <w:rFonts w:ascii="Cambria"/>
          <w:spacing w:val="-2"/>
        </w:rPr>
        <w:t> </w:t>
      </w:r>
      <w:r>
        <w:rPr>
          <w:rFonts w:ascii="Cambria"/>
        </w:rPr>
        <w:t>for</w:t>
      </w:r>
      <w:r>
        <w:rPr>
          <w:rFonts w:ascii="Cambria"/>
          <w:spacing w:val="-4"/>
        </w:rPr>
        <w:t> </w:t>
      </w:r>
      <w:r>
        <w:rPr>
          <w:rFonts w:ascii="Cambria"/>
        </w:rPr>
        <w:t>Model</w:t>
      </w:r>
      <w:r>
        <w:rPr>
          <w:rFonts w:ascii="Cambria"/>
          <w:spacing w:val="-3"/>
        </w:rPr>
        <w:t> </w:t>
      </w:r>
      <w:r>
        <w:rPr>
          <w:rFonts w:ascii="Cambria"/>
          <w:spacing w:val="-5"/>
        </w:rPr>
        <w:t>2A</w:t>
      </w:r>
      <w:r>
        <w:rPr>
          <w:rFonts w:ascii="Cambria"/>
        </w:rPr>
        <w:tab/>
      </w:r>
      <w:r>
        <w:rPr>
          <w:rFonts w:ascii="Cambria"/>
          <w:spacing w:val="-5"/>
        </w:rPr>
        <w:t>128</w:t>
      </w:r>
    </w:p>
    <w:p>
      <w:pPr>
        <w:pStyle w:val="BodyText"/>
        <w:tabs>
          <w:tab w:pos="10289" w:val="right" w:leader="none"/>
        </w:tabs>
        <w:spacing w:before="281"/>
        <w:ind w:left="711"/>
        <w:rPr>
          <w:rFonts w:ascii="Cambria"/>
        </w:rPr>
      </w:pPr>
      <w:r>
        <w:rPr>
          <w:rFonts w:ascii="Cambria"/>
        </w:rPr>
        <w:t>Table</w:t>
      </w:r>
      <w:r>
        <w:rPr>
          <w:rFonts w:ascii="Cambria"/>
          <w:spacing w:val="-5"/>
        </w:rPr>
        <w:t> </w:t>
      </w:r>
      <w:r>
        <w:rPr>
          <w:rFonts w:ascii="Cambria"/>
        </w:rPr>
        <w:t>4.16.2:</w:t>
      </w:r>
      <w:r>
        <w:rPr>
          <w:rFonts w:ascii="Cambria"/>
          <w:spacing w:val="-3"/>
        </w:rPr>
        <w:t> </w:t>
      </w:r>
      <w:r>
        <w:rPr>
          <w:rFonts w:ascii="Cambria"/>
        </w:rPr>
        <w:t>Parsimonious</w:t>
      </w:r>
      <w:r>
        <w:rPr>
          <w:rFonts w:ascii="Cambria"/>
          <w:spacing w:val="-3"/>
        </w:rPr>
        <w:t> </w:t>
      </w:r>
      <w:r>
        <w:rPr>
          <w:rFonts w:ascii="Cambria"/>
        </w:rPr>
        <w:t>Model</w:t>
      </w:r>
      <w:r>
        <w:rPr>
          <w:rFonts w:ascii="Cambria"/>
          <w:spacing w:val="-3"/>
        </w:rPr>
        <w:t> </w:t>
      </w:r>
      <w:r>
        <w:rPr>
          <w:rFonts w:ascii="Cambria"/>
        </w:rPr>
        <w:t>(ECM2)</w:t>
      </w:r>
      <w:r>
        <w:rPr>
          <w:rFonts w:ascii="Cambria"/>
          <w:spacing w:val="-4"/>
        </w:rPr>
        <w:t> </w:t>
      </w:r>
      <w:r>
        <w:rPr>
          <w:rFonts w:ascii="Cambria"/>
        </w:rPr>
        <w:t>for</w:t>
      </w:r>
      <w:r>
        <w:rPr>
          <w:rFonts w:ascii="Cambria"/>
          <w:spacing w:val="-1"/>
        </w:rPr>
        <w:t> </w:t>
      </w:r>
      <w:r>
        <w:rPr>
          <w:rFonts w:ascii="Cambria"/>
        </w:rPr>
        <w:t>Model</w:t>
      </w:r>
      <w:r>
        <w:rPr>
          <w:rFonts w:ascii="Cambria"/>
          <w:spacing w:val="-3"/>
        </w:rPr>
        <w:t> </w:t>
      </w:r>
      <w:r>
        <w:rPr>
          <w:rFonts w:ascii="Cambria"/>
          <w:spacing w:val="-5"/>
        </w:rPr>
        <w:t>2A</w:t>
      </w:r>
      <w:r>
        <w:rPr>
          <w:rFonts w:ascii="Cambria"/>
        </w:rPr>
        <w:tab/>
      </w:r>
      <w:r>
        <w:rPr>
          <w:rFonts w:ascii="Cambria"/>
          <w:spacing w:val="-5"/>
        </w:rPr>
        <w:t>129</w:t>
      </w:r>
    </w:p>
    <w:p>
      <w:pPr>
        <w:pStyle w:val="BodyText"/>
        <w:tabs>
          <w:tab w:pos="10169" w:val="right" w:leader="none"/>
        </w:tabs>
        <w:spacing w:before="282"/>
        <w:ind w:left="711"/>
        <w:rPr>
          <w:rFonts w:ascii="Cambria"/>
        </w:rPr>
      </w:pPr>
      <w:r>
        <w:rPr>
          <w:rFonts w:ascii="Cambria"/>
        </w:rPr>
        <w:t>Table</w:t>
      </w:r>
      <w:r>
        <w:rPr>
          <w:rFonts w:ascii="Cambria"/>
          <w:spacing w:val="-2"/>
        </w:rPr>
        <w:t> </w:t>
      </w:r>
      <w:r>
        <w:rPr>
          <w:rFonts w:ascii="Cambria"/>
        </w:rPr>
        <w:t>4.16.3</w:t>
      </w:r>
      <w:r>
        <w:rPr>
          <w:rFonts w:ascii="Cambria"/>
          <w:spacing w:val="36"/>
        </w:rPr>
        <w:t>  </w:t>
      </w:r>
      <w:r>
        <w:rPr>
          <w:rFonts w:ascii="Cambria"/>
        </w:rPr>
        <w:t>Standard</w:t>
      </w:r>
      <w:r>
        <w:rPr>
          <w:rFonts w:ascii="Cambria"/>
          <w:spacing w:val="-2"/>
        </w:rPr>
        <w:t> </w:t>
      </w:r>
      <w:r>
        <w:rPr>
          <w:rFonts w:ascii="Cambria"/>
        </w:rPr>
        <w:t>Error</w:t>
      </w:r>
      <w:r>
        <w:rPr>
          <w:rFonts w:ascii="Cambria"/>
          <w:spacing w:val="-3"/>
        </w:rPr>
        <w:t> </w:t>
      </w:r>
      <w:r>
        <w:rPr>
          <w:rFonts w:ascii="Cambria"/>
        </w:rPr>
        <w:t>Test</w:t>
      </w:r>
      <w:r>
        <w:rPr>
          <w:rFonts w:ascii="Cambria"/>
          <w:spacing w:val="-1"/>
        </w:rPr>
        <w:t> </w:t>
      </w:r>
      <w:r>
        <w:rPr>
          <w:rFonts w:ascii="Cambria"/>
        </w:rPr>
        <w:t>Model</w:t>
      </w:r>
      <w:r>
        <w:rPr>
          <w:rFonts w:ascii="Cambria"/>
          <w:spacing w:val="-2"/>
        </w:rPr>
        <w:t> </w:t>
      </w:r>
      <w:r>
        <w:rPr>
          <w:rFonts w:ascii="Cambria"/>
          <w:spacing w:val="-5"/>
        </w:rPr>
        <w:t>2A</w:t>
      </w:r>
      <w:r>
        <w:rPr>
          <w:rFonts w:ascii="Cambria"/>
        </w:rPr>
        <w:tab/>
      </w:r>
      <w:r>
        <w:rPr>
          <w:rFonts w:ascii="Cambria"/>
          <w:spacing w:val="-5"/>
        </w:rPr>
        <w:t>130</w:t>
      </w:r>
    </w:p>
    <w:p>
      <w:pPr>
        <w:pStyle w:val="BodyText"/>
        <w:tabs>
          <w:tab w:pos="10874" w:val="right" w:leader="none"/>
        </w:tabs>
        <w:spacing w:before="280"/>
        <w:ind w:left="711"/>
      </w:pPr>
      <w:r>
        <w:rPr/>
        <w:t>Table</w:t>
      </w:r>
      <w:r>
        <w:rPr>
          <w:spacing w:val="-1"/>
        </w:rPr>
        <w:t> </w:t>
      </w:r>
      <w:r>
        <w:rPr/>
        <w:t>4.17</w:t>
      </w:r>
      <w:r>
        <w:rPr>
          <w:spacing w:val="-2"/>
        </w:rPr>
        <w:t> </w:t>
      </w:r>
      <w:r>
        <w:rPr/>
        <w:t>Result</w:t>
      </w:r>
      <w:r>
        <w:rPr>
          <w:spacing w:val="-1"/>
        </w:rPr>
        <w:t> </w:t>
      </w:r>
      <w:r>
        <w:rPr/>
        <w:t>of Cointegration</w:t>
      </w:r>
      <w:r>
        <w:rPr>
          <w:spacing w:val="-1"/>
        </w:rPr>
        <w:t> </w:t>
      </w:r>
      <w:r>
        <w:rPr/>
        <w:t>Test</w:t>
      </w:r>
      <w:r>
        <w:rPr>
          <w:spacing w:val="-1"/>
        </w:rPr>
        <w:t> </w:t>
      </w:r>
      <w:r>
        <w:rPr/>
        <w:t>for</w:t>
      </w:r>
      <w:r>
        <w:rPr>
          <w:spacing w:val="-2"/>
        </w:rPr>
        <w:t> </w:t>
      </w:r>
      <w:r>
        <w:rPr/>
        <w:t>Model</w:t>
      </w:r>
      <w:r>
        <w:rPr>
          <w:spacing w:val="3"/>
        </w:rPr>
        <w:t> </w:t>
      </w:r>
      <w:r>
        <w:rPr>
          <w:spacing w:val="-5"/>
        </w:rPr>
        <w:t>2B</w:t>
      </w:r>
      <w:r>
        <w:rPr/>
        <w:tab/>
      </w:r>
      <w:r>
        <w:rPr>
          <w:spacing w:val="-5"/>
        </w:rPr>
        <w:t>132</w:t>
      </w:r>
    </w:p>
    <w:p>
      <w:pPr>
        <w:pStyle w:val="BodyText"/>
        <w:tabs>
          <w:tab w:pos="10473" w:val="right" w:leader="none"/>
        </w:tabs>
        <w:spacing w:before="599"/>
        <w:ind w:left="711"/>
        <w:rPr>
          <w:rFonts w:ascii="Cambria"/>
        </w:rPr>
      </w:pPr>
      <w:r>
        <w:rPr>
          <w:rFonts w:ascii="Cambria"/>
        </w:rPr>
        <w:t>Table</w:t>
      </w:r>
      <w:r>
        <w:rPr>
          <w:rFonts w:ascii="Cambria"/>
          <w:spacing w:val="-5"/>
        </w:rPr>
        <w:t> </w:t>
      </w:r>
      <w:r>
        <w:rPr>
          <w:rFonts w:ascii="Cambria"/>
        </w:rPr>
        <w:t>4.17.1</w:t>
      </w:r>
      <w:r>
        <w:rPr>
          <w:rFonts w:ascii="Cambria"/>
          <w:spacing w:val="-3"/>
        </w:rPr>
        <w:t> </w:t>
      </w:r>
      <w:r>
        <w:rPr>
          <w:rFonts w:ascii="Cambria"/>
        </w:rPr>
        <w:t>Over-Parametized</w:t>
      </w:r>
      <w:r>
        <w:rPr>
          <w:rFonts w:ascii="Cambria"/>
          <w:spacing w:val="-3"/>
        </w:rPr>
        <w:t> </w:t>
      </w:r>
      <w:r>
        <w:rPr>
          <w:rFonts w:ascii="Cambria"/>
        </w:rPr>
        <w:t>Model</w:t>
      </w:r>
      <w:r>
        <w:rPr>
          <w:rFonts w:ascii="Cambria"/>
          <w:spacing w:val="-3"/>
        </w:rPr>
        <w:t> </w:t>
      </w:r>
      <w:r>
        <w:rPr>
          <w:rFonts w:ascii="Cambria"/>
        </w:rPr>
        <w:t>(ECM</w:t>
      </w:r>
      <w:r>
        <w:rPr>
          <w:rFonts w:ascii="Cambria"/>
          <w:spacing w:val="-3"/>
        </w:rPr>
        <w:t> </w:t>
      </w:r>
      <w:r>
        <w:rPr>
          <w:rFonts w:ascii="Cambria"/>
        </w:rPr>
        <w:t>1)</w:t>
      </w:r>
      <w:r>
        <w:rPr>
          <w:rFonts w:ascii="Cambria"/>
          <w:spacing w:val="-1"/>
        </w:rPr>
        <w:t> </w:t>
      </w:r>
      <w:r>
        <w:rPr>
          <w:rFonts w:ascii="Cambria"/>
        </w:rPr>
        <w:t>for</w:t>
      </w:r>
      <w:r>
        <w:rPr>
          <w:rFonts w:ascii="Cambria"/>
          <w:spacing w:val="-4"/>
        </w:rPr>
        <w:t> </w:t>
      </w:r>
      <w:r>
        <w:rPr>
          <w:rFonts w:ascii="Cambria"/>
        </w:rPr>
        <w:t>Model</w:t>
      </w:r>
      <w:r>
        <w:rPr>
          <w:rFonts w:ascii="Cambria"/>
          <w:spacing w:val="-3"/>
        </w:rPr>
        <w:t> </w:t>
      </w:r>
      <w:r>
        <w:rPr>
          <w:rFonts w:ascii="Cambria"/>
          <w:spacing w:val="-5"/>
        </w:rPr>
        <w:t>2B</w:t>
      </w:r>
      <w:r>
        <w:rPr>
          <w:rFonts w:ascii="Cambria"/>
        </w:rPr>
        <w:tab/>
      </w:r>
      <w:r>
        <w:rPr>
          <w:rFonts w:ascii="Cambria"/>
          <w:spacing w:val="-5"/>
        </w:rPr>
        <w:t>133</w:t>
      </w:r>
    </w:p>
    <w:p>
      <w:pPr>
        <w:pStyle w:val="BodyText"/>
        <w:tabs>
          <w:tab w:pos="10258" w:val="right" w:leader="none"/>
        </w:tabs>
        <w:spacing w:before="282"/>
        <w:ind w:left="711"/>
        <w:rPr>
          <w:rFonts w:ascii="Cambria"/>
        </w:rPr>
      </w:pPr>
      <w:r>
        <w:rPr>
          <w:rFonts w:ascii="Cambria"/>
        </w:rPr>
        <w:t>Table</w:t>
      </w:r>
      <w:r>
        <w:rPr>
          <w:rFonts w:ascii="Cambria"/>
          <w:spacing w:val="-4"/>
        </w:rPr>
        <w:t> </w:t>
      </w:r>
      <w:r>
        <w:rPr>
          <w:rFonts w:ascii="Cambria"/>
        </w:rPr>
        <w:t>4.17.2:</w:t>
      </w:r>
      <w:r>
        <w:rPr>
          <w:rFonts w:ascii="Cambria"/>
          <w:spacing w:val="-3"/>
        </w:rPr>
        <w:t> </w:t>
      </w:r>
      <w:r>
        <w:rPr>
          <w:rFonts w:ascii="Cambria"/>
        </w:rPr>
        <w:t>Parsimonious</w:t>
      </w:r>
      <w:r>
        <w:rPr>
          <w:rFonts w:ascii="Cambria"/>
          <w:spacing w:val="-2"/>
        </w:rPr>
        <w:t> </w:t>
      </w:r>
      <w:r>
        <w:rPr>
          <w:rFonts w:ascii="Cambria"/>
        </w:rPr>
        <w:t>ECM2</w:t>
      </w:r>
      <w:r>
        <w:rPr>
          <w:rFonts w:ascii="Cambria"/>
          <w:spacing w:val="-3"/>
        </w:rPr>
        <w:t> </w:t>
      </w:r>
      <w:r>
        <w:rPr>
          <w:rFonts w:ascii="Cambria"/>
        </w:rPr>
        <w:t>for</w:t>
      </w:r>
      <w:r>
        <w:rPr>
          <w:rFonts w:ascii="Cambria"/>
          <w:spacing w:val="-4"/>
        </w:rPr>
        <w:t> </w:t>
      </w:r>
      <w:r>
        <w:rPr>
          <w:rFonts w:ascii="Cambria"/>
        </w:rPr>
        <w:t>Model</w:t>
      </w:r>
      <w:r>
        <w:rPr>
          <w:rFonts w:ascii="Cambria"/>
          <w:spacing w:val="-2"/>
        </w:rPr>
        <w:t> </w:t>
      </w:r>
      <w:r>
        <w:rPr>
          <w:rFonts w:ascii="Cambria"/>
          <w:spacing w:val="-7"/>
        </w:rPr>
        <w:t>2B</w:t>
      </w:r>
      <w:r>
        <w:rPr>
          <w:rFonts w:ascii="Cambria"/>
        </w:rPr>
        <w:tab/>
      </w:r>
      <w:r>
        <w:rPr>
          <w:rFonts w:ascii="Cambria"/>
          <w:spacing w:val="-5"/>
        </w:rPr>
        <w:t>134</w:t>
      </w:r>
    </w:p>
    <w:p>
      <w:pPr>
        <w:pStyle w:val="BodyText"/>
        <w:tabs>
          <w:tab w:pos="10272" w:val="right" w:leader="none"/>
        </w:tabs>
        <w:spacing w:before="280"/>
        <w:ind w:left="711"/>
        <w:rPr>
          <w:rFonts w:ascii="Cambria"/>
        </w:rPr>
      </w:pPr>
      <w:r>
        <w:rPr>
          <w:rFonts w:ascii="Cambria"/>
        </w:rPr>
        <w:t>Table</w:t>
      </w:r>
      <w:r>
        <w:rPr>
          <w:rFonts w:ascii="Cambria"/>
          <w:spacing w:val="-2"/>
        </w:rPr>
        <w:t> </w:t>
      </w:r>
      <w:r>
        <w:rPr>
          <w:rFonts w:ascii="Cambria"/>
        </w:rPr>
        <w:t>4.17.3</w:t>
      </w:r>
      <w:r>
        <w:rPr>
          <w:rFonts w:ascii="Cambria"/>
          <w:spacing w:val="36"/>
        </w:rPr>
        <w:t>  </w:t>
      </w:r>
      <w:r>
        <w:rPr>
          <w:rFonts w:ascii="Cambria"/>
        </w:rPr>
        <w:t>Standard</w:t>
      </w:r>
      <w:r>
        <w:rPr>
          <w:rFonts w:ascii="Cambria"/>
          <w:spacing w:val="-2"/>
        </w:rPr>
        <w:t> </w:t>
      </w:r>
      <w:r>
        <w:rPr>
          <w:rFonts w:ascii="Cambria"/>
        </w:rPr>
        <w:t>Error</w:t>
      </w:r>
      <w:r>
        <w:rPr>
          <w:rFonts w:ascii="Cambria"/>
          <w:spacing w:val="-3"/>
        </w:rPr>
        <w:t> </w:t>
      </w:r>
      <w:r>
        <w:rPr>
          <w:rFonts w:ascii="Cambria"/>
        </w:rPr>
        <w:t>Test</w:t>
      </w:r>
      <w:r>
        <w:rPr>
          <w:rFonts w:ascii="Cambria"/>
          <w:spacing w:val="-1"/>
        </w:rPr>
        <w:t> </w:t>
      </w:r>
      <w:r>
        <w:rPr>
          <w:rFonts w:ascii="Cambria"/>
        </w:rPr>
        <w:t>Model</w:t>
      </w:r>
      <w:r>
        <w:rPr>
          <w:rFonts w:ascii="Cambria"/>
          <w:spacing w:val="-2"/>
        </w:rPr>
        <w:t> </w:t>
      </w:r>
      <w:r>
        <w:rPr>
          <w:rFonts w:ascii="Cambria"/>
          <w:spacing w:val="-5"/>
        </w:rPr>
        <w:t>2B</w:t>
      </w:r>
      <w:r>
        <w:rPr>
          <w:rFonts w:ascii="Cambria"/>
        </w:rPr>
        <w:tab/>
      </w:r>
      <w:r>
        <w:rPr>
          <w:rFonts w:ascii="Cambria"/>
          <w:spacing w:val="-5"/>
        </w:rPr>
        <w:t>135</w:t>
      </w:r>
    </w:p>
    <w:p>
      <w:pPr>
        <w:pStyle w:val="BodyText"/>
        <w:tabs>
          <w:tab w:pos="10495" w:val="right" w:leader="none"/>
        </w:tabs>
        <w:spacing w:before="283"/>
        <w:ind w:left="711"/>
        <w:rPr>
          <w:rFonts w:ascii="Cambria"/>
        </w:rPr>
      </w:pPr>
      <w:r>
        <w:rPr>
          <w:rFonts w:ascii="Cambria"/>
        </w:rPr>
        <w:t>Table</w:t>
      </w:r>
      <w:r>
        <w:rPr>
          <w:rFonts w:ascii="Cambria"/>
          <w:spacing w:val="-6"/>
        </w:rPr>
        <w:t> </w:t>
      </w:r>
      <w:r>
        <w:rPr>
          <w:rFonts w:ascii="Cambria"/>
        </w:rPr>
        <w:t>4.18.</w:t>
      </w:r>
      <w:r>
        <w:rPr>
          <w:rFonts w:ascii="Cambria"/>
          <w:spacing w:val="-3"/>
        </w:rPr>
        <w:t> </w:t>
      </w:r>
      <w:r>
        <w:rPr>
          <w:rFonts w:ascii="Cambria"/>
        </w:rPr>
        <w:t>Presentation</w:t>
      </w:r>
      <w:r>
        <w:rPr>
          <w:rFonts w:ascii="Cambria"/>
          <w:spacing w:val="-4"/>
        </w:rPr>
        <w:t> </w:t>
      </w:r>
      <w:r>
        <w:rPr>
          <w:rFonts w:ascii="Cambria"/>
        </w:rPr>
        <w:t>of</w:t>
      </w:r>
      <w:r>
        <w:rPr>
          <w:rFonts w:ascii="Cambria"/>
          <w:spacing w:val="-3"/>
        </w:rPr>
        <w:t> </w:t>
      </w:r>
      <w:r>
        <w:rPr>
          <w:rFonts w:ascii="Cambria"/>
        </w:rPr>
        <w:t>Co-integration</w:t>
      </w:r>
      <w:r>
        <w:rPr>
          <w:rFonts w:ascii="Cambria"/>
          <w:spacing w:val="-4"/>
        </w:rPr>
        <w:t> </w:t>
      </w:r>
      <w:r>
        <w:rPr>
          <w:rFonts w:ascii="Cambria"/>
        </w:rPr>
        <w:t>Result</w:t>
      </w:r>
      <w:r>
        <w:rPr>
          <w:rFonts w:ascii="Cambria"/>
          <w:spacing w:val="-4"/>
        </w:rPr>
        <w:t> </w:t>
      </w:r>
      <w:r>
        <w:rPr>
          <w:rFonts w:ascii="Cambria"/>
        </w:rPr>
        <w:t>on</w:t>
      </w:r>
      <w:r>
        <w:rPr>
          <w:rFonts w:ascii="Cambria"/>
          <w:spacing w:val="-4"/>
        </w:rPr>
        <w:t> </w:t>
      </w:r>
      <w:r>
        <w:rPr>
          <w:rFonts w:ascii="Cambria"/>
        </w:rPr>
        <w:t>Model</w:t>
      </w:r>
      <w:r>
        <w:rPr>
          <w:rFonts w:ascii="Cambria"/>
          <w:spacing w:val="-4"/>
        </w:rPr>
        <w:t> </w:t>
      </w:r>
      <w:r>
        <w:rPr>
          <w:rFonts w:ascii="Cambria"/>
          <w:spacing w:val="-5"/>
        </w:rPr>
        <w:t>6B</w:t>
      </w:r>
      <w:r>
        <w:rPr>
          <w:rFonts w:ascii="Cambria"/>
        </w:rPr>
        <w:tab/>
      </w:r>
      <w:r>
        <w:rPr>
          <w:rFonts w:ascii="Cambria"/>
          <w:spacing w:val="-5"/>
        </w:rPr>
        <w:t>138</w:t>
      </w:r>
    </w:p>
    <w:p>
      <w:pPr>
        <w:tabs>
          <w:tab w:pos="10459" w:val="right" w:leader="none"/>
        </w:tabs>
        <w:spacing w:before="281"/>
        <w:ind w:left="711" w:right="0" w:firstLine="0"/>
        <w:jc w:val="left"/>
        <w:rPr>
          <w:rFonts w:ascii="Cambria"/>
          <w:sz w:val="24"/>
        </w:rPr>
      </w:pPr>
      <w:r>
        <w:rPr>
          <w:rFonts w:ascii="Cambria"/>
          <w:b/>
          <w:sz w:val="24"/>
        </w:rPr>
        <w:t>Table</w:t>
      </w:r>
      <w:r>
        <w:rPr>
          <w:rFonts w:ascii="Cambria"/>
          <w:b/>
          <w:spacing w:val="-5"/>
          <w:sz w:val="24"/>
        </w:rPr>
        <w:t> </w:t>
      </w:r>
      <w:r>
        <w:rPr>
          <w:rFonts w:ascii="Cambria"/>
          <w:b/>
          <w:sz w:val="24"/>
        </w:rPr>
        <w:t>4.18.1</w:t>
      </w:r>
      <w:r>
        <w:rPr>
          <w:rFonts w:ascii="Cambria"/>
          <w:b/>
          <w:spacing w:val="-4"/>
          <w:sz w:val="24"/>
        </w:rPr>
        <w:t> </w:t>
      </w:r>
      <w:r>
        <w:rPr>
          <w:rFonts w:ascii="Cambria"/>
          <w:sz w:val="24"/>
        </w:rPr>
        <w:t>Over-Parametized</w:t>
      </w:r>
      <w:r>
        <w:rPr>
          <w:rFonts w:ascii="Cambria"/>
          <w:spacing w:val="-3"/>
          <w:sz w:val="24"/>
        </w:rPr>
        <w:t> </w:t>
      </w:r>
      <w:r>
        <w:rPr>
          <w:rFonts w:ascii="Cambria"/>
          <w:sz w:val="24"/>
        </w:rPr>
        <w:t>Model</w:t>
      </w:r>
      <w:r>
        <w:rPr>
          <w:rFonts w:ascii="Cambria"/>
          <w:spacing w:val="-4"/>
          <w:sz w:val="24"/>
        </w:rPr>
        <w:t> </w:t>
      </w:r>
      <w:r>
        <w:rPr>
          <w:rFonts w:ascii="Cambria"/>
          <w:sz w:val="24"/>
        </w:rPr>
        <w:t>(ECM1)</w:t>
      </w:r>
      <w:r>
        <w:rPr>
          <w:rFonts w:ascii="Cambria"/>
          <w:spacing w:val="-1"/>
          <w:sz w:val="24"/>
        </w:rPr>
        <w:t> </w:t>
      </w:r>
      <w:r>
        <w:rPr>
          <w:rFonts w:ascii="Cambria"/>
          <w:sz w:val="24"/>
        </w:rPr>
        <w:t>For</w:t>
      </w:r>
      <w:r>
        <w:rPr>
          <w:rFonts w:ascii="Cambria"/>
          <w:spacing w:val="-5"/>
          <w:sz w:val="24"/>
        </w:rPr>
        <w:t> </w:t>
      </w:r>
      <w:r>
        <w:rPr>
          <w:rFonts w:ascii="Cambria"/>
          <w:sz w:val="24"/>
        </w:rPr>
        <w:t>Model</w:t>
      </w:r>
      <w:r>
        <w:rPr>
          <w:rFonts w:ascii="Cambria"/>
          <w:spacing w:val="-3"/>
          <w:sz w:val="24"/>
        </w:rPr>
        <w:t> </w:t>
      </w:r>
      <w:r>
        <w:rPr>
          <w:rFonts w:ascii="Cambria"/>
          <w:spacing w:val="-5"/>
          <w:sz w:val="24"/>
        </w:rPr>
        <w:t>6b</w:t>
      </w:r>
      <w:r>
        <w:rPr>
          <w:rFonts w:ascii="Cambria"/>
          <w:sz w:val="24"/>
        </w:rPr>
        <w:tab/>
      </w:r>
      <w:r>
        <w:rPr>
          <w:rFonts w:ascii="Cambria"/>
          <w:spacing w:val="-5"/>
          <w:sz w:val="24"/>
        </w:rPr>
        <w:t>139</w:t>
      </w:r>
    </w:p>
    <w:p>
      <w:pPr>
        <w:tabs>
          <w:tab w:pos="10316" w:val="right" w:leader="none"/>
        </w:tabs>
        <w:spacing w:before="283"/>
        <w:ind w:left="711" w:right="0" w:firstLine="0"/>
        <w:jc w:val="left"/>
        <w:rPr>
          <w:rFonts w:ascii="Cambria"/>
          <w:sz w:val="24"/>
        </w:rPr>
      </w:pPr>
      <w:r>
        <w:rPr>
          <w:rFonts w:ascii="Cambria"/>
          <w:b/>
          <w:sz w:val="24"/>
        </w:rPr>
        <w:t>Table</w:t>
      </w:r>
      <w:r>
        <w:rPr>
          <w:rFonts w:ascii="Cambria"/>
          <w:b/>
          <w:spacing w:val="-5"/>
          <w:sz w:val="24"/>
        </w:rPr>
        <w:t> </w:t>
      </w:r>
      <w:r>
        <w:rPr>
          <w:rFonts w:ascii="Cambria"/>
          <w:b/>
          <w:sz w:val="24"/>
        </w:rPr>
        <w:t>4.18.2</w:t>
      </w:r>
      <w:r>
        <w:rPr>
          <w:rFonts w:ascii="Cambria"/>
          <w:b/>
          <w:spacing w:val="-3"/>
          <w:sz w:val="24"/>
        </w:rPr>
        <w:t> </w:t>
      </w:r>
      <w:r>
        <w:rPr>
          <w:rFonts w:ascii="Cambria"/>
          <w:sz w:val="24"/>
        </w:rPr>
        <w:t>Parsimonious</w:t>
      </w:r>
      <w:r>
        <w:rPr>
          <w:rFonts w:ascii="Cambria"/>
          <w:spacing w:val="-2"/>
          <w:sz w:val="24"/>
        </w:rPr>
        <w:t> </w:t>
      </w:r>
      <w:r>
        <w:rPr>
          <w:rFonts w:ascii="Cambria"/>
          <w:sz w:val="24"/>
        </w:rPr>
        <w:t>Model</w:t>
      </w:r>
      <w:r>
        <w:rPr>
          <w:rFonts w:ascii="Cambria"/>
          <w:spacing w:val="-3"/>
          <w:sz w:val="24"/>
        </w:rPr>
        <w:t> </w:t>
      </w:r>
      <w:r>
        <w:rPr>
          <w:rFonts w:ascii="Cambria"/>
          <w:sz w:val="24"/>
        </w:rPr>
        <w:t>(ECM</w:t>
      </w:r>
      <w:r>
        <w:rPr>
          <w:rFonts w:ascii="Cambria"/>
          <w:spacing w:val="-2"/>
          <w:sz w:val="24"/>
        </w:rPr>
        <w:t> </w:t>
      </w:r>
      <w:r>
        <w:rPr>
          <w:rFonts w:ascii="Cambria"/>
          <w:sz w:val="24"/>
        </w:rPr>
        <w:t>2)</w:t>
      </w:r>
      <w:r>
        <w:rPr>
          <w:rFonts w:ascii="Cambria"/>
          <w:spacing w:val="-3"/>
          <w:sz w:val="24"/>
        </w:rPr>
        <w:t> </w:t>
      </w:r>
      <w:r>
        <w:rPr>
          <w:rFonts w:ascii="Cambria"/>
          <w:sz w:val="24"/>
        </w:rPr>
        <w:t>For</w:t>
      </w:r>
      <w:r>
        <w:rPr>
          <w:rFonts w:ascii="Cambria"/>
          <w:spacing w:val="-3"/>
          <w:sz w:val="24"/>
        </w:rPr>
        <w:t> </w:t>
      </w:r>
      <w:r>
        <w:rPr>
          <w:rFonts w:ascii="Cambria"/>
          <w:sz w:val="24"/>
        </w:rPr>
        <w:t>Model</w:t>
      </w:r>
      <w:r>
        <w:rPr>
          <w:rFonts w:ascii="Cambria"/>
          <w:spacing w:val="-3"/>
          <w:sz w:val="24"/>
        </w:rPr>
        <w:t> </w:t>
      </w:r>
      <w:r>
        <w:rPr>
          <w:rFonts w:ascii="Cambria"/>
          <w:spacing w:val="-5"/>
          <w:sz w:val="24"/>
        </w:rPr>
        <w:t>6b</w:t>
      </w:r>
      <w:r>
        <w:rPr>
          <w:rFonts w:ascii="Cambria"/>
          <w:sz w:val="24"/>
        </w:rPr>
        <w:tab/>
      </w:r>
      <w:r>
        <w:rPr>
          <w:rFonts w:ascii="Cambria"/>
          <w:spacing w:val="-5"/>
          <w:sz w:val="24"/>
        </w:rPr>
        <w:t>140</w:t>
      </w:r>
    </w:p>
    <w:p>
      <w:pPr>
        <w:pStyle w:val="BodyText"/>
        <w:tabs>
          <w:tab w:pos="10939" w:val="right" w:leader="none"/>
        </w:tabs>
        <w:spacing w:before="279"/>
        <w:ind w:left="711"/>
      </w:pPr>
      <w:r>
        <w:rPr/>
        <w:t>Table</w:t>
      </w:r>
      <w:r>
        <w:rPr>
          <w:spacing w:val="-1"/>
        </w:rPr>
        <w:t> </w:t>
      </w:r>
      <w:r>
        <w:rPr/>
        <w:t>4.18.3 Standard</w:t>
      </w:r>
      <w:r>
        <w:rPr>
          <w:spacing w:val="-1"/>
        </w:rPr>
        <w:t> </w:t>
      </w:r>
      <w:r>
        <w:rPr/>
        <w:t>Error</w:t>
      </w:r>
      <w:r>
        <w:rPr>
          <w:spacing w:val="-2"/>
        </w:rPr>
        <w:t> </w:t>
      </w:r>
      <w:r>
        <w:rPr/>
        <w:t>Test</w:t>
      </w:r>
      <w:r>
        <w:rPr>
          <w:spacing w:val="-1"/>
        </w:rPr>
        <w:t> </w:t>
      </w:r>
      <w:r>
        <w:rPr/>
        <w:t>for</w:t>
      </w:r>
      <w:r>
        <w:rPr>
          <w:spacing w:val="-1"/>
        </w:rPr>
        <w:t> </w:t>
      </w:r>
      <w:r>
        <w:rPr/>
        <w:t>Model </w:t>
      </w:r>
      <w:r>
        <w:rPr>
          <w:spacing w:val="-5"/>
        </w:rPr>
        <w:t>6B</w:t>
      </w:r>
      <w:r>
        <w:rPr/>
        <w:tab/>
      </w:r>
      <w:r>
        <w:rPr>
          <w:spacing w:val="-5"/>
        </w:rPr>
        <w:t>141</w:t>
      </w:r>
    </w:p>
    <w:p>
      <w:pPr>
        <w:spacing w:after="0"/>
        <w:sectPr>
          <w:pgSz w:w="11910" w:h="16840"/>
          <w:pgMar w:header="0" w:footer="1039" w:top="1360" w:bottom="1240" w:left="280" w:right="0"/>
        </w:sectPr>
      </w:pPr>
    </w:p>
    <w:p>
      <w:pPr>
        <w:pStyle w:val="Heading6"/>
        <w:spacing w:before="74"/>
        <w:ind w:left="237"/>
        <w:jc w:val="center"/>
      </w:pPr>
      <w:r>
        <w:rPr/>
        <w:t>List of</w:t>
      </w:r>
      <w:r>
        <w:rPr>
          <w:spacing w:val="1"/>
        </w:rPr>
        <w:t> </w:t>
      </w:r>
      <w:r>
        <w:rPr>
          <w:spacing w:val="-2"/>
        </w:rPr>
        <w:t>Figures</w:t>
      </w:r>
    </w:p>
    <w:p>
      <w:pPr>
        <w:pStyle w:val="BodyText"/>
        <w:tabs>
          <w:tab w:pos="2151" w:val="left" w:leader="none"/>
        </w:tabs>
        <w:spacing w:before="276"/>
        <w:ind w:left="711"/>
      </w:pPr>
      <w:r>
        <w:rPr/>
        <w:t>Figure</w:t>
      </w:r>
      <w:r>
        <w:rPr>
          <w:spacing w:val="-4"/>
        </w:rPr>
        <w:t> </w:t>
      </w:r>
      <w:r>
        <w:rPr>
          <w:spacing w:val="-5"/>
        </w:rPr>
        <w:t>3.1</w:t>
      </w:r>
      <w:r>
        <w:rPr/>
        <w:tab/>
        <w:t>Conceptual</w:t>
      </w:r>
      <w:r>
        <w:rPr>
          <w:spacing w:val="-4"/>
        </w:rPr>
        <w:t> </w:t>
      </w:r>
      <w:r>
        <w:rPr/>
        <w:t>Frameworks</w:t>
      </w:r>
      <w:r>
        <w:rPr>
          <w:spacing w:val="-1"/>
        </w:rPr>
        <w:t> </w:t>
      </w:r>
      <w:r>
        <w:rPr/>
        <w:t>for</w:t>
      </w:r>
      <w:r>
        <w:rPr>
          <w:spacing w:val="-3"/>
        </w:rPr>
        <w:t> </w:t>
      </w:r>
      <w:r>
        <w:rPr/>
        <w:t>Capital</w:t>
      </w:r>
      <w:r>
        <w:rPr>
          <w:spacing w:val="-1"/>
        </w:rPr>
        <w:t> </w:t>
      </w:r>
      <w:r>
        <w:rPr/>
        <w:t>Flight</w:t>
      </w:r>
      <w:r>
        <w:rPr>
          <w:spacing w:val="-2"/>
        </w:rPr>
        <w:t> </w:t>
      </w:r>
      <w:r>
        <w:rPr/>
        <w:t>Determinants</w:t>
      </w:r>
      <w:r>
        <w:rPr>
          <w:spacing w:val="-1"/>
        </w:rPr>
        <w:t> </w:t>
      </w:r>
      <w:r>
        <w:rPr>
          <w:spacing w:val="-5"/>
        </w:rPr>
        <w:t>and</w:t>
      </w:r>
    </w:p>
    <w:p>
      <w:pPr>
        <w:pStyle w:val="BodyText"/>
      </w:pPr>
    </w:p>
    <w:p>
      <w:pPr>
        <w:pStyle w:val="BodyText"/>
        <w:tabs>
          <w:tab w:pos="10553" w:val="left" w:leader="none"/>
        </w:tabs>
        <w:ind w:left="2871"/>
      </w:pPr>
      <w:r>
        <w:rPr/>
        <w:t>Economic</w:t>
      </w:r>
      <w:r>
        <w:rPr>
          <w:spacing w:val="-3"/>
        </w:rPr>
        <w:t> </w:t>
      </w:r>
      <w:r>
        <w:rPr>
          <w:spacing w:val="-2"/>
        </w:rPr>
        <w:t>Growth.</w:t>
      </w:r>
      <w:r>
        <w:rPr/>
        <w:tab/>
      </w:r>
      <w:r>
        <w:rPr>
          <w:spacing w:val="-5"/>
        </w:rPr>
        <w:t>51</w:t>
      </w:r>
    </w:p>
    <w:p>
      <w:pPr>
        <w:pStyle w:val="BodyText"/>
      </w:pPr>
    </w:p>
    <w:p>
      <w:pPr>
        <w:pStyle w:val="BodyText"/>
        <w:tabs>
          <w:tab w:pos="10565" w:val="left" w:leader="none"/>
        </w:tabs>
        <w:ind w:left="711"/>
      </w:pPr>
      <w:r>
        <w:rPr/>
        <w:t>Figure</w:t>
      </w:r>
      <w:r>
        <w:rPr>
          <w:spacing w:val="-5"/>
        </w:rPr>
        <w:t> </w:t>
      </w:r>
      <w:r>
        <w:rPr/>
        <w:t>4.1</w:t>
      </w:r>
      <w:r>
        <w:rPr>
          <w:spacing w:val="-1"/>
        </w:rPr>
        <w:t> </w:t>
      </w:r>
      <w:r>
        <w:rPr/>
        <w:t>Graphical</w:t>
      </w:r>
      <w:r>
        <w:rPr>
          <w:spacing w:val="1"/>
        </w:rPr>
        <w:t> </w:t>
      </w:r>
      <w:r>
        <w:rPr/>
        <w:t>Illustration</w:t>
      </w:r>
      <w:r>
        <w:rPr>
          <w:spacing w:val="-1"/>
        </w:rPr>
        <w:t> </w:t>
      </w:r>
      <w:r>
        <w:rPr/>
        <w:t>of</w:t>
      </w:r>
      <w:r>
        <w:rPr>
          <w:spacing w:val="-2"/>
        </w:rPr>
        <w:t> </w:t>
      </w:r>
      <w:r>
        <w:rPr/>
        <w:t>trend</w:t>
      </w:r>
      <w:r>
        <w:rPr>
          <w:spacing w:val="-2"/>
        </w:rPr>
        <w:t> </w:t>
      </w:r>
      <w:r>
        <w:rPr/>
        <w:t>in</w:t>
      </w:r>
      <w:r>
        <w:rPr>
          <w:spacing w:val="-1"/>
        </w:rPr>
        <w:t> </w:t>
      </w:r>
      <w:r>
        <w:rPr/>
        <w:t>each</w:t>
      </w:r>
      <w:r>
        <w:rPr>
          <w:spacing w:val="1"/>
        </w:rPr>
        <w:t> </w:t>
      </w:r>
      <w:r>
        <w:rPr/>
        <w:t>variable</w:t>
      </w:r>
      <w:r>
        <w:rPr>
          <w:spacing w:val="2"/>
        </w:rPr>
        <w:t> </w:t>
      </w:r>
      <w:r>
        <w:rPr/>
        <w:t>for</w:t>
      </w:r>
      <w:r>
        <w:rPr>
          <w:spacing w:val="-1"/>
        </w:rPr>
        <w:t> </w:t>
      </w:r>
      <w:r>
        <w:rPr/>
        <w:t>the</w:t>
      </w:r>
      <w:r>
        <w:rPr>
          <w:spacing w:val="-3"/>
        </w:rPr>
        <w:t> </w:t>
      </w:r>
      <w:r>
        <w:rPr>
          <w:spacing w:val="-2"/>
        </w:rPr>
        <w:t>Models</w:t>
      </w:r>
      <w:r>
        <w:rPr/>
        <w:tab/>
      </w:r>
      <w:r>
        <w:rPr>
          <w:spacing w:val="-5"/>
        </w:rPr>
        <w:t>77</w:t>
      </w:r>
    </w:p>
    <w:p>
      <w:pPr>
        <w:pStyle w:val="BodyText"/>
      </w:pPr>
    </w:p>
    <w:p>
      <w:pPr>
        <w:pStyle w:val="BodyText"/>
      </w:pPr>
    </w:p>
    <w:p>
      <w:pPr>
        <w:pStyle w:val="BodyText"/>
      </w:pPr>
    </w:p>
    <w:p>
      <w:pPr>
        <w:pStyle w:val="BodyText"/>
        <w:tabs>
          <w:tab w:pos="10665" w:val="left" w:leader="none"/>
        </w:tabs>
        <w:spacing w:line="480" w:lineRule="auto"/>
        <w:ind w:left="1431" w:right="585" w:hanging="721"/>
      </w:pPr>
      <w:r>
        <w:rPr/>
        <w:t>Figure</w:t>
      </w:r>
      <w:r>
        <w:rPr>
          <w:spacing w:val="-5"/>
        </w:rPr>
        <w:t> </w:t>
      </w:r>
      <w:r>
        <w:rPr/>
        <w:t>4.2</w:t>
      </w:r>
      <w:r>
        <w:rPr>
          <w:spacing w:val="-5"/>
        </w:rPr>
        <w:t> </w:t>
      </w:r>
      <w:r>
        <w:rPr/>
        <w:t>Graphical</w:t>
      </w:r>
      <w:r>
        <w:rPr>
          <w:spacing w:val="-2"/>
        </w:rPr>
        <w:t> </w:t>
      </w:r>
      <w:r>
        <w:rPr/>
        <w:t>Illustration</w:t>
      </w:r>
      <w:r>
        <w:rPr>
          <w:spacing w:val="-4"/>
        </w:rPr>
        <w:t> </w:t>
      </w:r>
      <w:r>
        <w:rPr/>
        <w:t>of</w:t>
      </w:r>
      <w:r>
        <w:rPr>
          <w:spacing w:val="-5"/>
        </w:rPr>
        <w:t> </w:t>
      </w:r>
      <w:r>
        <w:rPr/>
        <w:t>the</w:t>
      </w:r>
      <w:r>
        <w:rPr>
          <w:spacing w:val="-4"/>
        </w:rPr>
        <w:t> </w:t>
      </w:r>
      <w:r>
        <w:rPr/>
        <w:t>Relationship</w:t>
      </w:r>
      <w:r>
        <w:rPr>
          <w:spacing w:val="-4"/>
        </w:rPr>
        <w:t> </w:t>
      </w:r>
      <w:r>
        <w:rPr/>
        <w:t>between</w:t>
      </w:r>
      <w:r>
        <w:rPr>
          <w:spacing w:val="-4"/>
        </w:rPr>
        <w:t> </w:t>
      </w:r>
      <w:r>
        <w:rPr/>
        <w:t>each</w:t>
      </w:r>
      <w:r>
        <w:rPr>
          <w:spacing w:val="-2"/>
        </w:rPr>
        <w:t> </w:t>
      </w:r>
      <w:r>
        <w:rPr/>
        <w:t>Independent</w:t>
      </w:r>
      <w:r>
        <w:rPr>
          <w:spacing w:val="-4"/>
        </w:rPr>
        <w:t> </w:t>
      </w:r>
      <w:r>
        <w:rPr/>
        <w:t>Variable</w:t>
      </w:r>
      <w:r>
        <w:rPr>
          <w:spacing w:val="-3"/>
        </w:rPr>
        <w:t> </w:t>
      </w:r>
      <w:r>
        <w:rPr/>
        <w:t>and</w:t>
      </w:r>
      <w:r>
        <w:rPr>
          <w:spacing w:val="-4"/>
        </w:rPr>
        <w:t> </w:t>
      </w:r>
      <w:r>
        <w:rPr/>
        <w:t>the</w:t>
      </w:r>
      <w:r>
        <w:rPr>
          <w:spacing w:val="-4"/>
        </w:rPr>
        <w:t> </w:t>
      </w:r>
      <w:r>
        <w:rPr/>
        <w:t>Dependent Variable for the models</w:t>
        <w:tab/>
      </w:r>
      <w:r>
        <w:rPr>
          <w:spacing w:val="-6"/>
        </w:rPr>
        <w:t>79</w:t>
      </w:r>
    </w:p>
    <w:p>
      <w:pPr>
        <w:pStyle w:val="BodyText"/>
        <w:spacing w:before="1"/>
        <w:ind w:left="711"/>
      </w:pPr>
      <w:r>
        <w:rPr/>
        <w:t>Figures</w:t>
      </w:r>
      <w:r>
        <w:rPr>
          <w:spacing w:val="-2"/>
        </w:rPr>
        <w:t> </w:t>
      </w:r>
      <w:r>
        <w:rPr/>
        <w:t>4.3:</w:t>
      </w:r>
      <w:r>
        <w:rPr>
          <w:spacing w:val="58"/>
        </w:rPr>
        <w:t> </w:t>
      </w:r>
      <w:r>
        <w:rPr/>
        <w:t>Graphical</w:t>
      </w:r>
      <w:r>
        <w:rPr>
          <w:spacing w:val="-2"/>
        </w:rPr>
        <w:t> </w:t>
      </w:r>
      <w:r>
        <w:rPr/>
        <w:t>illustrations</w:t>
      </w:r>
      <w:r>
        <w:rPr>
          <w:spacing w:val="-1"/>
        </w:rPr>
        <w:t> </w:t>
      </w:r>
      <w:r>
        <w:rPr/>
        <w:t>of</w:t>
      </w:r>
      <w:r>
        <w:rPr>
          <w:spacing w:val="-1"/>
        </w:rPr>
        <w:t> </w:t>
      </w:r>
      <w:r>
        <w:rPr/>
        <w:t>the</w:t>
      </w:r>
      <w:r>
        <w:rPr>
          <w:spacing w:val="-3"/>
        </w:rPr>
        <w:t> </w:t>
      </w:r>
      <w:r>
        <w:rPr/>
        <w:t>relationship</w:t>
      </w:r>
      <w:r>
        <w:rPr>
          <w:spacing w:val="-1"/>
        </w:rPr>
        <w:t> </w:t>
      </w:r>
      <w:r>
        <w:rPr/>
        <w:t>between</w:t>
      </w:r>
      <w:r>
        <w:rPr>
          <w:spacing w:val="-1"/>
        </w:rPr>
        <w:t> </w:t>
      </w:r>
      <w:r>
        <w:rPr/>
        <w:t>independent</w:t>
      </w:r>
      <w:r>
        <w:rPr>
          <w:spacing w:val="-1"/>
        </w:rPr>
        <w:t> </w:t>
      </w:r>
      <w:r>
        <w:rPr/>
        <w:t>variables</w:t>
      </w:r>
      <w:r>
        <w:rPr>
          <w:spacing w:val="-2"/>
        </w:rPr>
        <w:t> </w:t>
      </w:r>
      <w:r>
        <w:rPr/>
        <w:t>and</w:t>
      </w:r>
      <w:r>
        <w:rPr>
          <w:spacing w:val="6"/>
        </w:rPr>
        <w:t> </w:t>
      </w:r>
      <w:r>
        <w:rPr/>
        <w:t>gross</w:t>
      </w:r>
      <w:r>
        <w:rPr>
          <w:spacing w:val="-1"/>
        </w:rPr>
        <w:t> </w:t>
      </w:r>
      <w:r>
        <w:rPr>
          <w:spacing w:val="-2"/>
        </w:rPr>
        <w:t>domestic</w:t>
      </w:r>
    </w:p>
    <w:p>
      <w:pPr>
        <w:pStyle w:val="BodyText"/>
        <w:spacing w:before="11"/>
        <w:rPr>
          <w:sz w:val="12"/>
        </w:rPr>
      </w:pPr>
    </w:p>
    <w:tbl>
      <w:tblPr>
        <w:tblW w:w="0" w:type="auto"/>
        <w:jc w:val="left"/>
        <w:tblInd w:w="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991"/>
        <w:gridCol w:w="860"/>
        <w:gridCol w:w="464"/>
      </w:tblGrid>
      <w:tr>
        <w:trPr>
          <w:trHeight w:val="1167" w:hRule="atLeast"/>
        </w:trPr>
        <w:tc>
          <w:tcPr>
            <w:tcW w:w="8991" w:type="dxa"/>
          </w:tcPr>
          <w:p>
            <w:pPr>
              <w:pStyle w:val="TableParagraph"/>
              <w:spacing w:line="266" w:lineRule="exact"/>
              <w:ind w:left="770"/>
              <w:rPr>
                <w:sz w:val="24"/>
              </w:rPr>
            </w:pPr>
            <w:r>
              <w:rPr>
                <w:sz w:val="24"/>
              </w:rPr>
              <w:t>product</w:t>
            </w:r>
            <w:r>
              <w:rPr>
                <w:spacing w:val="-3"/>
                <w:sz w:val="24"/>
              </w:rPr>
              <w:t> </w:t>
            </w:r>
            <w:r>
              <w:rPr>
                <w:sz w:val="24"/>
              </w:rPr>
              <w:t>(Models</w:t>
            </w:r>
            <w:r>
              <w:rPr>
                <w:spacing w:val="-1"/>
                <w:sz w:val="24"/>
              </w:rPr>
              <w:t> </w:t>
            </w:r>
            <w:r>
              <w:rPr>
                <w:sz w:val="24"/>
              </w:rPr>
              <w:t>2,</w:t>
            </w:r>
            <w:r>
              <w:rPr>
                <w:spacing w:val="-1"/>
                <w:sz w:val="24"/>
              </w:rPr>
              <w:t> </w:t>
            </w:r>
            <w:r>
              <w:rPr>
                <w:sz w:val="24"/>
              </w:rPr>
              <w:t>5</w:t>
            </w:r>
            <w:r>
              <w:rPr>
                <w:spacing w:val="-1"/>
                <w:sz w:val="24"/>
              </w:rPr>
              <w:t> </w:t>
            </w:r>
            <w:r>
              <w:rPr>
                <w:sz w:val="24"/>
              </w:rPr>
              <w:t>and</w:t>
            </w:r>
            <w:r>
              <w:rPr>
                <w:spacing w:val="1"/>
                <w:sz w:val="24"/>
              </w:rPr>
              <w:t> </w:t>
            </w:r>
            <w:r>
              <w:rPr>
                <w:spacing w:val="-5"/>
                <w:sz w:val="24"/>
              </w:rPr>
              <w:t>6)</w:t>
            </w:r>
          </w:p>
          <w:p>
            <w:pPr>
              <w:pStyle w:val="TableParagraph"/>
              <w:spacing w:line="416" w:lineRule="exact" w:before="28"/>
              <w:ind w:left="50" w:right="116"/>
              <w:rPr>
                <w:sz w:val="24"/>
              </w:rPr>
            </w:pPr>
            <w:r>
              <w:rPr>
                <w:sz w:val="24"/>
              </w:rPr>
              <w:t>Figure</w:t>
            </w:r>
            <w:r>
              <w:rPr>
                <w:spacing w:val="-4"/>
                <w:sz w:val="24"/>
              </w:rPr>
              <w:t> </w:t>
            </w:r>
            <w:r>
              <w:rPr>
                <w:sz w:val="24"/>
              </w:rPr>
              <w:t>4.4:</w:t>
            </w:r>
            <w:r>
              <w:rPr>
                <w:spacing w:val="-1"/>
                <w:sz w:val="24"/>
              </w:rPr>
              <w:t> </w:t>
            </w:r>
            <w:r>
              <w:rPr>
                <w:sz w:val="24"/>
              </w:rPr>
              <w:t>Line</w:t>
            </w:r>
            <w:r>
              <w:rPr>
                <w:spacing w:val="-3"/>
                <w:sz w:val="24"/>
              </w:rPr>
              <w:t> </w:t>
            </w:r>
            <w:r>
              <w:rPr>
                <w:sz w:val="24"/>
              </w:rPr>
              <w:t>Charts</w:t>
            </w:r>
            <w:r>
              <w:rPr>
                <w:spacing w:val="-3"/>
                <w:sz w:val="24"/>
              </w:rPr>
              <w:t> </w:t>
            </w:r>
            <w:r>
              <w:rPr>
                <w:sz w:val="24"/>
              </w:rPr>
              <w:t>of</w:t>
            </w:r>
            <w:r>
              <w:rPr>
                <w:spacing w:val="-4"/>
                <w:sz w:val="24"/>
              </w:rPr>
              <w:t> </w:t>
            </w:r>
            <w:r>
              <w:rPr>
                <w:sz w:val="24"/>
              </w:rPr>
              <w:t>Capital</w:t>
            </w:r>
            <w:r>
              <w:rPr>
                <w:spacing w:val="-3"/>
                <w:sz w:val="24"/>
              </w:rPr>
              <w:t> </w:t>
            </w:r>
            <w:r>
              <w:rPr>
                <w:sz w:val="24"/>
              </w:rPr>
              <w:t>Flight</w:t>
            </w:r>
            <w:r>
              <w:rPr>
                <w:spacing w:val="-3"/>
                <w:sz w:val="24"/>
              </w:rPr>
              <w:t> </w:t>
            </w:r>
            <w:r>
              <w:rPr>
                <w:sz w:val="24"/>
              </w:rPr>
              <w:t>Estimates</w:t>
            </w:r>
            <w:r>
              <w:rPr>
                <w:spacing w:val="-3"/>
                <w:sz w:val="24"/>
              </w:rPr>
              <w:t> </w:t>
            </w:r>
            <w:r>
              <w:rPr>
                <w:sz w:val="24"/>
              </w:rPr>
              <w:t>as</w:t>
            </w:r>
            <w:r>
              <w:rPr>
                <w:spacing w:val="-3"/>
                <w:sz w:val="24"/>
              </w:rPr>
              <w:t> </w:t>
            </w:r>
            <w:r>
              <w:rPr>
                <w:sz w:val="24"/>
              </w:rPr>
              <w:t>Percentages</w:t>
            </w:r>
            <w:r>
              <w:rPr>
                <w:spacing w:val="-3"/>
                <w:sz w:val="24"/>
              </w:rPr>
              <w:t> </w:t>
            </w:r>
            <w:r>
              <w:rPr>
                <w:sz w:val="24"/>
              </w:rPr>
              <w:t>of</w:t>
            </w:r>
            <w:r>
              <w:rPr>
                <w:spacing w:val="-3"/>
                <w:sz w:val="24"/>
              </w:rPr>
              <w:t> </w:t>
            </w:r>
            <w:r>
              <w:rPr>
                <w:sz w:val="24"/>
              </w:rPr>
              <w:t>the</w:t>
            </w:r>
            <w:r>
              <w:rPr>
                <w:spacing w:val="-2"/>
                <w:sz w:val="24"/>
              </w:rPr>
              <w:t> </w:t>
            </w:r>
            <w:r>
              <w:rPr>
                <w:sz w:val="24"/>
              </w:rPr>
              <w:t>GDP</w:t>
            </w:r>
            <w:r>
              <w:rPr>
                <w:spacing w:val="-3"/>
                <w:sz w:val="24"/>
              </w:rPr>
              <w:t> </w:t>
            </w:r>
            <w:r>
              <w:rPr>
                <w:sz w:val="24"/>
              </w:rPr>
              <w:t>and</w:t>
            </w:r>
            <w:r>
              <w:rPr>
                <w:spacing w:val="-3"/>
                <w:sz w:val="24"/>
              </w:rPr>
              <w:t> </w:t>
            </w:r>
            <w:r>
              <w:rPr>
                <w:sz w:val="24"/>
              </w:rPr>
              <w:t>Change in External Debt as Percentages of GDP</w:t>
            </w:r>
          </w:p>
        </w:tc>
        <w:tc>
          <w:tcPr>
            <w:tcW w:w="860" w:type="dxa"/>
          </w:tcPr>
          <w:p>
            <w:pPr>
              <w:pStyle w:val="TableParagraph"/>
              <w:rPr>
                <w:sz w:val="24"/>
              </w:rPr>
            </w:pPr>
          </w:p>
        </w:tc>
        <w:tc>
          <w:tcPr>
            <w:tcW w:w="464" w:type="dxa"/>
          </w:tcPr>
          <w:p>
            <w:pPr>
              <w:pStyle w:val="TableParagraph"/>
              <w:spacing w:line="266" w:lineRule="exact"/>
              <w:ind w:left="139"/>
              <w:rPr>
                <w:sz w:val="24"/>
              </w:rPr>
            </w:pPr>
            <w:r>
              <w:rPr>
                <w:spacing w:val="-5"/>
                <w:sz w:val="24"/>
              </w:rPr>
              <w:t>80</w:t>
            </w:r>
          </w:p>
          <w:p>
            <w:pPr>
              <w:pStyle w:val="TableParagraph"/>
              <w:rPr>
                <w:sz w:val="24"/>
              </w:rPr>
            </w:pPr>
          </w:p>
          <w:p>
            <w:pPr>
              <w:pStyle w:val="TableParagraph"/>
              <w:rPr>
                <w:sz w:val="24"/>
              </w:rPr>
            </w:pPr>
          </w:p>
          <w:p>
            <w:pPr>
              <w:pStyle w:val="TableParagraph"/>
              <w:ind w:left="172"/>
              <w:rPr>
                <w:sz w:val="24"/>
              </w:rPr>
            </w:pPr>
            <w:r>
              <w:rPr>
                <w:spacing w:val="-5"/>
                <w:sz w:val="24"/>
              </w:rPr>
              <w:t>81</w:t>
            </w:r>
          </w:p>
        </w:tc>
      </w:tr>
      <w:tr>
        <w:trPr>
          <w:trHeight w:val="477" w:hRule="atLeast"/>
        </w:trPr>
        <w:tc>
          <w:tcPr>
            <w:tcW w:w="8991" w:type="dxa"/>
          </w:tcPr>
          <w:p>
            <w:pPr>
              <w:pStyle w:val="TableParagraph"/>
              <w:spacing w:before="63"/>
              <w:ind w:left="50"/>
              <w:rPr>
                <w:sz w:val="24"/>
              </w:rPr>
            </w:pPr>
            <w:r>
              <w:rPr>
                <w:sz w:val="24"/>
              </w:rPr>
              <w:t>Figure</w:t>
            </w:r>
            <w:r>
              <w:rPr>
                <w:spacing w:val="-5"/>
                <w:sz w:val="24"/>
              </w:rPr>
              <w:t> </w:t>
            </w:r>
            <w:r>
              <w:rPr>
                <w:sz w:val="24"/>
              </w:rPr>
              <w:t>4.5:</w:t>
            </w:r>
            <w:r>
              <w:rPr>
                <w:spacing w:val="1"/>
                <w:sz w:val="24"/>
              </w:rPr>
              <w:t> </w:t>
            </w:r>
            <w:r>
              <w:rPr>
                <w:sz w:val="24"/>
              </w:rPr>
              <w:t>Line</w:t>
            </w:r>
            <w:r>
              <w:rPr>
                <w:spacing w:val="-2"/>
                <w:sz w:val="24"/>
              </w:rPr>
              <w:t> </w:t>
            </w:r>
            <w:r>
              <w:rPr>
                <w:sz w:val="24"/>
              </w:rPr>
              <w:t>Chart</w:t>
            </w:r>
            <w:r>
              <w:rPr>
                <w:spacing w:val="-1"/>
                <w:sz w:val="24"/>
              </w:rPr>
              <w:t> </w:t>
            </w:r>
            <w:r>
              <w:rPr>
                <w:sz w:val="24"/>
              </w:rPr>
              <w:t>of</w:t>
            </w:r>
            <w:r>
              <w:rPr>
                <w:spacing w:val="-1"/>
                <w:sz w:val="24"/>
              </w:rPr>
              <w:t> </w:t>
            </w:r>
            <w:r>
              <w:rPr>
                <w:sz w:val="24"/>
              </w:rPr>
              <w:t>Capital</w:t>
            </w:r>
            <w:r>
              <w:rPr>
                <w:spacing w:val="-1"/>
                <w:sz w:val="24"/>
              </w:rPr>
              <w:t> </w:t>
            </w:r>
            <w:r>
              <w:rPr>
                <w:sz w:val="24"/>
              </w:rPr>
              <w:t>Flight</w:t>
            </w:r>
            <w:r>
              <w:rPr>
                <w:spacing w:val="-2"/>
                <w:sz w:val="24"/>
              </w:rPr>
              <w:t> </w:t>
            </w:r>
            <w:r>
              <w:rPr>
                <w:sz w:val="24"/>
              </w:rPr>
              <w:t>Morgan</w:t>
            </w:r>
            <w:r>
              <w:rPr>
                <w:spacing w:val="1"/>
                <w:sz w:val="24"/>
              </w:rPr>
              <w:t> </w:t>
            </w:r>
            <w:r>
              <w:rPr>
                <w:sz w:val="24"/>
              </w:rPr>
              <w:t>Guarantee</w:t>
            </w:r>
            <w:r>
              <w:rPr>
                <w:spacing w:val="-2"/>
                <w:sz w:val="24"/>
              </w:rPr>
              <w:t> (1986)</w:t>
            </w:r>
          </w:p>
        </w:tc>
        <w:tc>
          <w:tcPr>
            <w:tcW w:w="860" w:type="dxa"/>
          </w:tcPr>
          <w:p>
            <w:pPr>
              <w:pStyle w:val="TableParagraph"/>
              <w:rPr>
                <w:sz w:val="24"/>
              </w:rPr>
            </w:pPr>
          </w:p>
        </w:tc>
        <w:tc>
          <w:tcPr>
            <w:tcW w:w="464" w:type="dxa"/>
          </w:tcPr>
          <w:p>
            <w:pPr>
              <w:pStyle w:val="TableParagraph"/>
              <w:spacing w:before="63"/>
              <w:ind w:left="160"/>
              <w:rPr>
                <w:sz w:val="24"/>
              </w:rPr>
            </w:pPr>
            <w:r>
              <w:rPr>
                <w:spacing w:val="-5"/>
                <w:sz w:val="24"/>
              </w:rPr>
              <w:t>82</w:t>
            </w:r>
          </w:p>
        </w:tc>
      </w:tr>
      <w:tr>
        <w:trPr>
          <w:trHeight w:val="561" w:hRule="atLeast"/>
        </w:trPr>
        <w:tc>
          <w:tcPr>
            <w:tcW w:w="8991" w:type="dxa"/>
          </w:tcPr>
          <w:p>
            <w:pPr>
              <w:pStyle w:val="TableParagraph"/>
              <w:spacing w:before="138"/>
              <w:ind w:left="50"/>
              <w:rPr>
                <w:rFonts w:ascii="Cambria"/>
                <w:sz w:val="24"/>
              </w:rPr>
            </w:pPr>
            <w:r>
              <w:rPr>
                <w:rFonts w:ascii="Cambria"/>
                <w:sz w:val="24"/>
              </w:rPr>
              <w:t>Graph</w:t>
            </w:r>
            <w:r>
              <w:rPr>
                <w:rFonts w:ascii="Cambria"/>
                <w:spacing w:val="-3"/>
                <w:sz w:val="24"/>
              </w:rPr>
              <w:t> </w:t>
            </w:r>
            <w:r>
              <w:rPr>
                <w:rFonts w:ascii="Cambria"/>
                <w:sz w:val="24"/>
              </w:rPr>
              <w:t>4.6</w:t>
            </w:r>
            <w:r>
              <w:rPr>
                <w:rFonts w:ascii="Cambria"/>
                <w:spacing w:val="-4"/>
                <w:sz w:val="24"/>
              </w:rPr>
              <w:t> </w:t>
            </w:r>
            <w:r>
              <w:rPr>
                <w:rFonts w:ascii="Cambria"/>
                <w:sz w:val="24"/>
              </w:rPr>
              <w:t>Durbin</w:t>
            </w:r>
            <w:r>
              <w:rPr>
                <w:rFonts w:ascii="Cambria"/>
                <w:spacing w:val="-3"/>
                <w:sz w:val="24"/>
              </w:rPr>
              <w:t> </w:t>
            </w:r>
            <w:r>
              <w:rPr>
                <w:rFonts w:ascii="Cambria"/>
                <w:sz w:val="24"/>
              </w:rPr>
              <w:t>Watson</w:t>
            </w:r>
            <w:r>
              <w:rPr>
                <w:rFonts w:ascii="Cambria"/>
                <w:spacing w:val="-4"/>
                <w:sz w:val="24"/>
              </w:rPr>
              <w:t> </w:t>
            </w:r>
            <w:r>
              <w:rPr>
                <w:rFonts w:ascii="Cambria"/>
                <w:sz w:val="24"/>
              </w:rPr>
              <w:t>graph</w:t>
            </w:r>
            <w:r>
              <w:rPr>
                <w:rFonts w:ascii="Cambria"/>
                <w:spacing w:val="-3"/>
                <w:sz w:val="24"/>
              </w:rPr>
              <w:t> </w:t>
            </w:r>
            <w:r>
              <w:rPr>
                <w:rFonts w:ascii="Cambria"/>
                <w:sz w:val="24"/>
              </w:rPr>
              <w:t>for</w:t>
            </w:r>
            <w:r>
              <w:rPr>
                <w:rFonts w:ascii="Cambria"/>
                <w:spacing w:val="-5"/>
                <w:sz w:val="24"/>
              </w:rPr>
              <w:t> </w:t>
            </w:r>
            <w:r>
              <w:rPr>
                <w:rFonts w:ascii="Cambria"/>
                <w:sz w:val="24"/>
              </w:rPr>
              <w:t>Model </w:t>
            </w:r>
            <w:r>
              <w:rPr>
                <w:rFonts w:ascii="Cambria"/>
                <w:spacing w:val="-5"/>
                <w:sz w:val="24"/>
              </w:rPr>
              <w:t>1A.</w:t>
            </w:r>
          </w:p>
        </w:tc>
        <w:tc>
          <w:tcPr>
            <w:tcW w:w="860" w:type="dxa"/>
          </w:tcPr>
          <w:p>
            <w:pPr>
              <w:pStyle w:val="TableParagraph"/>
              <w:spacing w:before="138"/>
              <w:ind w:left="241"/>
              <w:rPr>
                <w:rFonts w:ascii="Cambria"/>
                <w:sz w:val="24"/>
              </w:rPr>
            </w:pPr>
            <w:r>
              <w:rPr>
                <w:rFonts w:ascii="Cambria"/>
                <w:spacing w:val="-5"/>
                <w:sz w:val="24"/>
              </w:rPr>
              <w:t>119</w:t>
            </w:r>
          </w:p>
        </w:tc>
        <w:tc>
          <w:tcPr>
            <w:tcW w:w="464" w:type="dxa"/>
          </w:tcPr>
          <w:p>
            <w:pPr>
              <w:pStyle w:val="TableParagraph"/>
              <w:rPr>
                <w:sz w:val="24"/>
              </w:rPr>
            </w:pPr>
          </w:p>
        </w:tc>
      </w:tr>
      <w:tr>
        <w:trPr>
          <w:trHeight w:val="562" w:hRule="atLeast"/>
        </w:trPr>
        <w:tc>
          <w:tcPr>
            <w:tcW w:w="8991" w:type="dxa"/>
          </w:tcPr>
          <w:p>
            <w:pPr>
              <w:pStyle w:val="TableParagraph"/>
              <w:spacing w:before="141"/>
              <w:ind w:left="50"/>
              <w:rPr>
                <w:rFonts w:ascii="Cambria"/>
                <w:sz w:val="24"/>
              </w:rPr>
            </w:pPr>
            <w:r>
              <w:rPr>
                <w:sz w:val="24"/>
              </w:rPr>
              <w:t>Figure</w:t>
            </w:r>
            <w:r>
              <w:rPr>
                <w:spacing w:val="-4"/>
                <w:sz w:val="24"/>
              </w:rPr>
              <w:t> </w:t>
            </w:r>
            <w:r>
              <w:rPr>
                <w:rFonts w:ascii="Cambria"/>
                <w:sz w:val="24"/>
              </w:rPr>
              <w:t>4.7.</w:t>
            </w:r>
            <w:r>
              <w:rPr>
                <w:rFonts w:ascii="Cambria"/>
                <w:spacing w:val="-3"/>
                <w:sz w:val="24"/>
              </w:rPr>
              <w:t> </w:t>
            </w:r>
            <w:r>
              <w:rPr>
                <w:rFonts w:ascii="Cambria"/>
                <w:sz w:val="24"/>
              </w:rPr>
              <w:t>Durbin</w:t>
            </w:r>
            <w:r>
              <w:rPr>
                <w:rFonts w:ascii="Cambria"/>
                <w:spacing w:val="-2"/>
                <w:sz w:val="24"/>
              </w:rPr>
              <w:t> </w:t>
            </w:r>
            <w:r>
              <w:rPr>
                <w:rFonts w:ascii="Cambria"/>
                <w:sz w:val="24"/>
              </w:rPr>
              <w:t>Watson</w:t>
            </w:r>
            <w:r>
              <w:rPr>
                <w:rFonts w:ascii="Cambria"/>
                <w:spacing w:val="-3"/>
                <w:sz w:val="24"/>
              </w:rPr>
              <w:t> </w:t>
            </w:r>
            <w:r>
              <w:rPr>
                <w:rFonts w:ascii="Cambria"/>
                <w:sz w:val="24"/>
              </w:rPr>
              <w:t>graph</w:t>
            </w:r>
            <w:r>
              <w:rPr>
                <w:rFonts w:ascii="Cambria"/>
                <w:spacing w:val="-3"/>
                <w:sz w:val="24"/>
              </w:rPr>
              <w:t> </w:t>
            </w:r>
            <w:r>
              <w:rPr>
                <w:rFonts w:ascii="Cambria"/>
                <w:sz w:val="24"/>
              </w:rPr>
              <w:t>for</w:t>
            </w:r>
            <w:r>
              <w:rPr>
                <w:rFonts w:ascii="Cambria"/>
                <w:spacing w:val="-4"/>
                <w:sz w:val="24"/>
              </w:rPr>
              <w:t> </w:t>
            </w:r>
            <w:r>
              <w:rPr>
                <w:rFonts w:ascii="Cambria"/>
                <w:sz w:val="24"/>
              </w:rPr>
              <w:t>Model </w:t>
            </w:r>
            <w:r>
              <w:rPr>
                <w:rFonts w:ascii="Cambria"/>
                <w:spacing w:val="-5"/>
                <w:sz w:val="24"/>
              </w:rPr>
              <w:t>1B</w:t>
            </w:r>
          </w:p>
        </w:tc>
        <w:tc>
          <w:tcPr>
            <w:tcW w:w="860" w:type="dxa"/>
          </w:tcPr>
          <w:p>
            <w:pPr>
              <w:pStyle w:val="TableParagraph"/>
              <w:spacing w:before="141"/>
              <w:ind w:left="245"/>
              <w:rPr>
                <w:rFonts w:ascii="Cambria"/>
                <w:sz w:val="24"/>
              </w:rPr>
            </w:pPr>
            <w:r>
              <w:rPr>
                <w:rFonts w:ascii="Cambria"/>
                <w:spacing w:val="-5"/>
                <w:sz w:val="24"/>
              </w:rPr>
              <w:t>126</w:t>
            </w:r>
          </w:p>
        </w:tc>
        <w:tc>
          <w:tcPr>
            <w:tcW w:w="464" w:type="dxa"/>
          </w:tcPr>
          <w:p>
            <w:pPr>
              <w:pStyle w:val="TableParagraph"/>
              <w:rPr>
                <w:sz w:val="24"/>
              </w:rPr>
            </w:pPr>
          </w:p>
        </w:tc>
      </w:tr>
      <w:tr>
        <w:trPr>
          <w:trHeight w:val="562" w:hRule="atLeast"/>
        </w:trPr>
        <w:tc>
          <w:tcPr>
            <w:tcW w:w="8991" w:type="dxa"/>
          </w:tcPr>
          <w:p>
            <w:pPr>
              <w:pStyle w:val="TableParagraph"/>
              <w:spacing w:before="140"/>
              <w:ind w:left="50"/>
              <w:rPr>
                <w:rFonts w:ascii="Cambria"/>
                <w:sz w:val="24"/>
              </w:rPr>
            </w:pPr>
            <w:r>
              <w:rPr>
                <w:sz w:val="24"/>
              </w:rPr>
              <w:t>Figure</w:t>
            </w:r>
            <w:r>
              <w:rPr>
                <w:spacing w:val="-4"/>
                <w:sz w:val="24"/>
              </w:rPr>
              <w:t> </w:t>
            </w:r>
            <w:r>
              <w:rPr>
                <w:rFonts w:ascii="Cambria"/>
                <w:sz w:val="24"/>
              </w:rPr>
              <w:t>4.8:</w:t>
            </w:r>
            <w:r>
              <w:rPr>
                <w:rFonts w:ascii="Cambria"/>
                <w:spacing w:val="-3"/>
                <w:sz w:val="24"/>
              </w:rPr>
              <w:t> </w:t>
            </w:r>
            <w:r>
              <w:rPr>
                <w:rFonts w:ascii="Cambria"/>
                <w:sz w:val="24"/>
              </w:rPr>
              <w:t>Durbin</w:t>
            </w:r>
            <w:r>
              <w:rPr>
                <w:rFonts w:ascii="Cambria"/>
                <w:spacing w:val="-2"/>
                <w:sz w:val="24"/>
              </w:rPr>
              <w:t> </w:t>
            </w:r>
            <w:r>
              <w:rPr>
                <w:rFonts w:ascii="Cambria"/>
                <w:sz w:val="24"/>
              </w:rPr>
              <w:t>Watson</w:t>
            </w:r>
            <w:r>
              <w:rPr>
                <w:rFonts w:ascii="Cambria"/>
                <w:spacing w:val="-3"/>
                <w:sz w:val="24"/>
              </w:rPr>
              <w:t> </w:t>
            </w:r>
            <w:r>
              <w:rPr>
                <w:rFonts w:ascii="Cambria"/>
                <w:sz w:val="24"/>
              </w:rPr>
              <w:t>graph</w:t>
            </w:r>
            <w:r>
              <w:rPr>
                <w:rFonts w:ascii="Cambria"/>
                <w:spacing w:val="-2"/>
                <w:sz w:val="24"/>
              </w:rPr>
              <w:t> </w:t>
            </w:r>
            <w:r>
              <w:rPr>
                <w:rFonts w:ascii="Cambria"/>
                <w:sz w:val="24"/>
              </w:rPr>
              <w:t>for</w:t>
            </w:r>
            <w:r>
              <w:rPr>
                <w:rFonts w:ascii="Cambria"/>
                <w:spacing w:val="-4"/>
                <w:sz w:val="24"/>
              </w:rPr>
              <w:t> </w:t>
            </w:r>
            <w:r>
              <w:rPr>
                <w:rFonts w:ascii="Cambria"/>
                <w:sz w:val="24"/>
              </w:rPr>
              <w:t>Model </w:t>
            </w:r>
            <w:r>
              <w:rPr>
                <w:rFonts w:ascii="Cambria"/>
                <w:spacing w:val="-5"/>
                <w:sz w:val="24"/>
              </w:rPr>
              <w:t>2A</w:t>
            </w:r>
          </w:p>
        </w:tc>
        <w:tc>
          <w:tcPr>
            <w:tcW w:w="860" w:type="dxa"/>
          </w:tcPr>
          <w:p>
            <w:pPr>
              <w:pStyle w:val="TableParagraph"/>
              <w:spacing w:before="140"/>
              <w:ind w:left="262"/>
              <w:rPr>
                <w:rFonts w:ascii="Cambria"/>
                <w:sz w:val="24"/>
              </w:rPr>
            </w:pPr>
            <w:r>
              <w:rPr>
                <w:rFonts w:ascii="Cambria"/>
                <w:spacing w:val="-5"/>
                <w:sz w:val="24"/>
              </w:rPr>
              <w:t>131</w:t>
            </w:r>
          </w:p>
        </w:tc>
        <w:tc>
          <w:tcPr>
            <w:tcW w:w="464" w:type="dxa"/>
          </w:tcPr>
          <w:p>
            <w:pPr>
              <w:pStyle w:val="TableParagraph"/>
              <w:rPr>
                <w:sz w:val="24"/>
              </w:rPr>
            </w:pPr>
          </w:p>
        </w:tc>
      </w:tr>
      <w:tr>
        <w:trPr>
          <w:trHeight w:val="562" w:hRule="atLeast"/>
        </w:trPr>
        <w:tc>
          <w:tcPr>
            <w:tcW w:w="8991" w:type="dxa"/>
          </w:tcPr>
          <w:p>
            <w:pPr>
              <w:pStyle w:val="TableParagraph"/>
              <w:spacing w:before="141"/>
              <w:ind w:left="50"/>
              <w:rPr>
                <w:rFonts w:ascii="Cambria"/>
                <w:sz w:val="24"/>
              </w:rPr>
            </w:pPr>
            <w:r>
              <w:rPr>
                <w:sz w:val="24"/>
              </w:rPr>
              <w:t>Figure</w:t>
            </w:r>
            <w:r>
              <w:rPr>
                <w:spacing w:val="-4"/>
                <w:sz w:val="24"/>
              </w:rPr>
              <w:t> </w:t>
            </w:r>
            <w:r>
              <w:rPr>
                <w:rFonts w:ascii="Cambria"/>
                <w:sz w:val="24"/>
              </w:rPr>
              <w:t>4.9:</w:t>
            </w:r>
            <w:r>
              <w:rPr>
                <w:rFonts w:ascii="Cambria"/>
                <w:spacing w:val="-3"/>
                <w:sz w:val="24"/>
              </w:rPr>
              <w:t> </w:t>
            </w:r>
            <w:r>
              <w:rPr>
                <w:rFonts w:ascii="Cambria"/>
                <w:sz w:val="24"/>
              </w:rPr>
              <w:t>Durbin</w:t>
            </w:r>
            <w:r>
              <w:rPr>
                <w:rFonts w:ascii="Cambria"/>
                <w:spacing w:val="-2"/>
                <w:sz w:val="24"/>
              </w:rPr>
              <w:t> </w:t>
            </w:r>
            <w:r>
              <w:rPr>
                <w:rFonts w:ascii="Cambria"/>
                <w:sz w:val="24"/>
              </w:rPr>
              <w:t>Watson</w:t>
            </w:r>
            <w:r>
              <w:rPr>
                <w:rFonts w:ascii="Cambria"/>
                <w:spacing w:val="-3"/>
                <w:sz w:val="24"/>
              </w:rPr>
              <w:t> </w:t>
            </w:r>
            <w:r>
              <w:rPr>
                <w:rFonts w:ascii="Cambria"/>
                <w:sz w:val="24"/>
              </w:rPr>
              <w:t>graph</w:t>
            </w:r>
            <w:r>
              <w:rPr>
                <w:rFonts w:ascii="Cambria"/>
                <w:spacing w:val="-2"/>
                <w:sz w:val="24"/>
              </w:rPr>
              <w:t> </w:t>
            </w:r>
            <w:r>
              <w:rPr>
                <w:rFonts w:ascii="Cambria"/>
                <w:sz w:val="24"/>
              </w:rPr>
              <w:t>for</w:t>
            </w:r>
            <w:r>
              <w:rPr>
                <w:rFonts w:ascii="Cambria"/>
                <w:spacing w:val="-4"/>
                <w:sz w:val="24"/>
              </w:rPr>
              <w:t> </w:t>
            </w:r>
            <w:r>
              <w:rPr>
                <w:rFonts w:ascii="Cambria"/>
                <w:sz w:val="24"/>
              </w:rPr>
              <w:t>Model </w:t>
            </w:r>
            <w:r>
              <w:rPr>
                <w:rFonts w:ascii="Cambria"/>
                <w:spacing w:val="-5"/>
                <w:sz w:val="24"/>
              </w:rPr>
              <w:t>2B</w:t>
            </w:r>
          </w:p>
        </w:tc>
        <w:tc>
          <w:tcPr>
            <w:tcW w:w="860" w:type="dxa"/>
          </w:tcPr>
          <w:p>
            <w:pPr>
              <w:pStyle w:val="TableParagraph"/>
              <w:spacing w:before="141"/>
              <w:ind w:left="260"/>
              <w:rPr>
                <w:rFonts w:ascii="Cambria"/>
                <w:sz w:val="24"/>
              </w:rPr>
            </w:pPr>
            <w:r>
              <w:rPr>
                <w:rFonts w:ascii="Cambria"/>
                <w:spacing w:val="-5"/>
                <w:sz w:val="24"/>
              </w:rPr>
              <w:t>137</w:t>
            </w:r>
          </w:p>
        </w:tc>
        <w:tc>
          <w:tcPr>
            <w:tcW w:w="464" w:type="dxa"/>
          </w:tcPr>
          <w:p>
            <w:pPr>
              <w:pStyle w:val="TableParagraph"/>
              <w:rPr>
                <w:sz w:val="24"/>
              </w:rPr>
            </w:pPr>
          </w:p>
        </w:tc>
      </w:tr>
      <w:tr>
        <w:trPr>
          <w:trHeight w:val="421" w:hRule="atLeast"/>
        </w:trPr>
        <w:tc>
          <w:tcPr>
            <w:tcW w:w="8991" w:type="dxa"/>
          </w:tcPr>
          <w:p>
            <w:pPr>
              <w:pStyle w:val="TableParagraph"/>
              <w:spacing w:line="261" w:lineRule="exact" w:before="140"/>
              <w:ind w:left="50"/>
              <w:rPr>
                <w:rFonts w:ascii="Cambria"/>
                <w:sz w:val="24"/>
              </w:rPr>
            </w:pPr>
            <w:r>
              <w:rPr>
                <w:sz w:val="24"/>
              </w:rPr>
              <w:t>Figure</w:t>
            </w:r>
            <w:r>
              <w:rPr>
                <w:spacing w:val="-6"/>
                <w:sz w:val="24"/>
              </w:rPr>
              <w:t> </w:t>
            </w:r>
            <w:r>
              <w:rPr>
                <w:rFonts w:ascii="Cambria"/>
                <w:sz w:val="24"/>
              </w:rPr>
              <w:t>4.10</w:t>
            </w:r>
            <w:r>
              <w:rPr>
                <w:rFonts w:ascii="Cambria"/>
                <w:spacing w:val="-3"/>
                <w:sz w:val="24"/>
              </w:rPr>
              <w:t> </w:t>
            </w:r>
            <w:r>
              <w:rPr>
                <w:rFonts w:ascii="Cambria"/>
                <w:sz w:val="24"/>
              </w:rPr>
              <w:t>Durbin</w:t>
            </w:r>
            <w:r>
              <w:rPr>
                <w:rFonts w:ascii="Cambria"/>
                <w:spacing w:val="-2"/>
                <w:sz w:val="24"/>
              </w:rPr>
              <w:t> </w:t>
            </w:r>
            <w:r>
              <w:rPr>
                <w:rFonts w:ascii="Cambria"/>
                <w:sz w:val="24"/>
              </w:rPr>
              <w:t>Watson</w:t>
            </w:r>
            <w:r>
              <w:rPr>
                <w:rFonts w:ascii="Cambria"/>
                <w:spacing w:val="-3"/>
                <w:sz w:val="24"/>
              </w:rPr>
              <w:t> </w:t>
            </w:r>
            <w:r>
              <w:rPr>
                <w:rFonts w:ascii="Cambria"/>
                <w:sz w:val="24"/>
              </w:rPr>
              <w:t>statistics</w:t>
            </w:r>
            <w:r>
              <w:rPr>
                <w:rFonts w:ascii="Cambria"/>
                <w:spacing w:val="-2"/>
                <w:sz w:val="24"/>
              </w:rPr>
              <w:t> </w:t>
            </w:r>
            <w:r>
              <w:rPr>
                <w:rFonts w:ascii="Cambria"/>
                <w:sz w:val="24"/>
              </w:rPr>
              <w:t>for</w:t>
            </w:r>
            <w:r>
              <w:rPr>
                <w:rFonts w:ascii="Cambria"/>
                <w:spacing w:val="-4"/>
                <w:sz w:val="24"/>
              </w:rPr>
              <w:t> </w:t>
            </w:r>
            <w:r>
              <w:rPr>
                <w:rFonts w:ascii="Cambria"/>
                <w:sz w:val="24"/>
              </w:rPr>
              <w:t>Model</w:t>
            </w:r>
            <w:r>
              <w:rPr>
                <w:rFonts w:ascii="Cambria"/>
                <w:spacing w:val="-2"/>
                <w:sz w:val="24"/>
              </w:rPr>
              <w:t> </w:t>
            </w:r>
            <w:r>
              <w:rPr>
                <w:rFonts w:ascii="Cambria"/>
                <w:spacing w:val="-5"/>
                <w:sz w:val="24"/>
              </w:rPr>
              <w:t>6B</w:t>
            </w:r>
          </w:p>
        </w:tc>
        <w:tc>
          <w:tcPr>
            <w:tcW w:w="860" w:type="dxa"/>
          </w:tcPr>
          <w:p>
            <w:pPr>
              <w:pStyle w:val="TableParagraph"/>
              <w:spacing w:line="261" w:lineRule="exact" w:before="140"/>
              <w:ind w:left="320"/>
              <w:rPr>
                <w:rFonts w:ascii="Cambria"/>
                <w:sz w:val="24"/>
              </w:rPr>
            </w:pPr>
            <w:r>
              <w:rPr>
                <w:rFonts w:ascii="Cambria"/>
                <w:spacing w:val="-5"/>
                <w:sz w:val="24"/>
              </w:rPr>
              <w:t>143</w:t>
            </w:r>
          </w:p>
        </w:tc>
        <w:tc>
          <w:tcPr>
            <w:tcW w:w="464" w:type="dxa"/>
          </w:tcPr>
          <w:p>
            <w:pPr>
              <w:pStyle w:val="TableParagraph"/>
              <w:rPr>
                <w:sz w:val="24"/>
              </w:rPr>
            </w:pPr>
          </w:p>
        </w:tc>
      </w:tr>
    </w:tbl>
    <w:p>
      <w:pPr>
        <w:spacing w:after="0"/>
        <w:rPr>
          <w:sz w:val="24"/>
        </w:rPr>
        <w:sectPr>
          <w:pgSz w:w="11910" w:h="16840"/>
          <w:pgMar w:header="0" w:footer="1039" w:top="1760" w:bottom="1240" w:left="280" w:right="0"/>
        </w:sectPr>
      </w:pPr>
    </w:p>
    <w:p>
      <w:pPr>
        <w:pStyle w:val="BodyText"/>
        <w:spacing w:before="1"/>
        <w:rPr>
          <w:sz w:val="2"/>
        </w:rPr>
      </w:pPr>
    </w:p>
    <w:tbl>
      <w:tblPr>
        <w:tblW w:w="0" w:type="auto"/>
        <w:jc w:val="left"/>
        <w:tblInd w:w="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3"/>
        <w:gridCol w:w="8691"/>
        <w:gridCol w:w="1017"/>
      </w:tblGrid>
      <w:tr>
        <w:trPr>
          <w:trHeight w:val="340" w:hRule="atLeast"/>
        </w:trPr>
        <w:tc>
          <w:tcPr>
            <w:tcW w:w="463" w:type="dxa"/>
          </w:tcPr>
          <w:p>
            <w:pPr>
              <w:pStyle w:val="TableParagraph"/>
              <w:rPr>
                <w:sz w:val="24"/>
              </w:rPr>
            </w:pPr>
          </w:p>
        </w:tc>
        <w:tc>
          <w:tcPr>
            <w:tcW w:w="8691" w:type="dxa"/>
          </w:tcPr>
          <w:p>
            <w:pPr>
              <w:pStyle w:val="TableParagraph"/>
              <w:spacing w:line="266" w:lineRule="exact"/>
              <w:ind w:left="3687"/>
              <w:rPr>
                <w:b/>
                <w:sz w:val="24"/>
              </w:rPr>
            </w:pPr>
            <w:r>
              <w:rPr>
                <w:b/>
                <w:sz w:val="24"/>
              </w:rPr>
              <w:t>LIST OF</w:t>
            </w:r>
            <w:r>
              <w:rPr>
                <w:b/>
                <w:spacing w:val="-3"/>
                <w:sz w:val="24"/>
              </w:rPr>
              <w:t> </w:t>
            </w:r>
            <w:r>
              <w:rPr>
                <w:b/>
                <w:spacing w:val="-2"/>
                <w:sz w:val="24"/>
              </w:rPr>
              <w:t>APPENDIX</w:t>
            </w:r>
          </w:p>
        </w:tc>
        <w:tc>
          <w:tcPr>
            <w:tcW w:w="1017" w:type="dxa"/>
          </w:tcPr>
          <w:p>
            <w:pPr>
              <w:pStyle w:val="TableParagraph"/>
              <w:rPr>
                <w:sz w:val="24"/>
              </w:rPr>
            </w:pPr>
          </w:p>
        </w:tc>
      </w:tr>
      <w:tr>
        <w:trPr>
          <w:trHeight w:val="483" w:hRule="atLeast"/>
        </w:trPr>
        <w:tc>
          <w:tcPr>
            <w:tcW w:w="463" w:type="dxa"/>
          </w:tcPr>
          <w:p>
            <w:pPr>
              <w:pStyle w:val="TableParagraph"/>
              <w:spacing w:before="64"/>
              <w:ind w:right="118"/>
              <w:jc w:val="right"/>
              <w:rPr>
                <w:sz w:val="24"/>
              </w:rPr>
            </w:pPr>
            <w:r>
              <w:rPr>
                <w:spacing w:val="-5"/>
                <w:sz w:val="24"/>
              </w:rPr>
              <w:t>A1</w:t>
            </w:r>
          </w:p>
        </w:tc>
        <w:tc>
          <w:tcPr>
            <w:tcW w:w="8691" w:type="dxa"/>
          </w:tcPr>
          <w:p>
            <w:pPr>
              <w:pStyle w:val="TableParagraph"/>
              <w:spacing w:before="64"/>
              <w:ind w:left="307"/>
              <w:rPr>
                <w:sz w:val="24"/>
              </w:rPr>
            </w:pPr>
            <w:r>
              <w:rPr>
                <w:sz w:val="24"/>
              </w:rPr>
              <w:t>Data</w:t>
            </w:r>
            <w:r>
              <w:rPr>
                <w:spacing w:val="-2"/>
                <w:sz w:val="24"/>
              </w:rPr>
              <w:t> </w:t>
            </w:r>
            <w:r>
              <w:rPr>
                <w:sz w:val="24"/>
              </w:rPr>
              <w:t>for</w:t>
            </w:r>
            <w:r>
              <w:rPr>
                <w:spacing w:val="-3"/>
                <w:sz w:val="24"/>
              </w:rPr>
              <w:t> </w:t>
            </w:r>
            <w:r>
              <w:rPr>
                <w:sz w:val="24"/>
              </w:rPr>
              <w:t>the</w:t>
            </w:r>
            <w:r>
              <w:rPr>
                <w:spacing w:val="-2"/>
                <w:sz w:val="24"/>
              </w:rPr>
              <w:t> </w:t>
            </w:r>
            <w:r>
              <w:rPr>
                <w:sz w:val="24"/>
              </w:rPr>
              <w:t>formulated</w:t>
            </w:r>
            <w:r>
              <w:rPr>
                <w:spacing w:val="3"/>
                <w:sz w:val="24"/>
              </w:rPr>
              <w:t> </w:t>
            </w:r>
            <w:r>
              <w:rPr>
                <w:spacing w:val="-2"/>
                <w:sz w:val="24"/>
              </w:rPr>
              <w:t>Models</w:t>
            </w:r>
          </w:p>
        </w:tc>
        <w:tc>
          <w:tcPr>
            <w:tcW w:w="1017" w:type="dxa"/>
          </w:tcPr>
          <w:p>
            <w:pPr>
              <w:pStyle w:val="TableParagraph"/>
              <w:spacing w:before="64"/>
              <w:ind w:right="118"/>
              <w:jc w:val="right"/>
              <w:rPr>
                <w:sz w:val="24"/>
              </w:rPr>
            </w:pPr>
            <w:r>
              <w:rPr>
                <w:spacing w:val="-5"/>
                <w:sz w:val="24"/>
              </w:rPr>
              <w:t>169</w:t>
            </w:r>
          </w:p>
        </w:tc>
      </w:tr>
      <w:tr>
        <w:trPr>
          <w:trHeight w:val="551" w:hRule="atLeast"/>
        </w:trPr>
        <w:tc>
          <w:tcPr>
            <w:tcW w:w="463" w:type="dxa"/>
          </w:tcPr>
          <w:p>
            <w:pPr>
              <w:pStyle w:val="TableParagraph"/>
              <w:spacing w:before="133"/>
              <w:ind w:right="118"/>
              <w:jc w:val="right"/>
              <w:rPr>
                <w:sz w:val="24"/>
              </w:rPr>
            </w:pPr>
            <w:r>
              <w:rPr>
                <w:spacing w:val="-5"/>
                <w:sz w:val="24"/>
              </w:rPr>
              <w:t>A2</w:t>
            </w:r>
          </w:p>
        </w:tc>
        <w:tc>
          <w:tcPr>
            <w:tcW w:w="8691" w:type="dxa"/>
          </w:tcPr>
          <w:p>
            <w:pPr>
              <w:pStyle w:val="TableParagraph"/>
              <w:spacing w:before="133"/>
              <w:ind w:left="307"/>
              <w:rPr>
                <w:sz w:val="24"/>
              </w:rPr>
            </w:pPr>
            <w:r>
              <w:rPr>
                <w:sz w:val="24"/>
              </w:rPr>
              <w:t>Result</w:t>
            </w:r>
            <w:r>
              <w:rPr>
                <w:spacing w:val="-3"/>
                <w:sz w:val="24"/>
              </w:rPr>
              <w:t> </w:t>
            </w:r>
            <w:r>
              <w:rPr>
                <w:sz w:val="24"/>
              </w:rPr>
              <w:t>of</w:t>
            </w:r>
            <w:r>
              <w:rPr>
                <w:spacing w:val="-1"/>
                <w:sz w:val="24"/>
              </w:rPr>
              <w:t> </w:t>
            </w:r>
            <w:r>
              <w:rPr>
                <w:sz w:val="24"/>
              </w:rPr>
              <w:t>Ordinary</w:t>
            </w:r>
            <w:r>
              <w:rPr>
                <w:spacing w:val="-4"/>
                <w:sz w:val="24"/>
              </w:rPr>
              <w:t> </w:t>
            </w:r>
            <w:r>
              <w:rPr>
                <w:sz w:val="24"/>
              </w:rPr>
              <w:t>Least</w:t>
            </w:r>
            <w:r>
              <w:rPr>
                <w:spacing w:val="-1"/>
                <w:sz w:val="24"/>
              </w:rPr>
              <w:t> </w:t>
            </w:r>
            <w:r>
              <w:rPr>
                <w:sz w:val="24"/>
              </w:rPr>
              <w:t>Square</w:t>
            </w:r>
            <w:r>
              <w:rPr>
                <w:spacing w:val="-3"/>
                <w:sz w:val="24"/>
              </w:rPr>
              <w:t> </w:t>
            </w:r>
            <w:r>
              <w:rPr>
                <w:sz w:val="24"/>
              </w:rPr>
              <w:t>Regression</w:t>
            </w:r>
            <w:r>
              <w:rPr>
                <w:spacing w:val="-1"/>
                <w:sz w:val="24"/>
              </w:rPr>
              <w:t> </w:t>
            </w:r>
            <w:r>
              <w:rPr>
                <w:sz w:val="24"/>
              </w:rPr>
              <w:t>Analysis</w:t>
            </w:r>
            <w:r>
              <w:rPr>
                <w:spacing w:val="-1"/>
                <w:sz w:val="24"/>
              </w:rPr>
              <w:t> </w:t>
            </w:r>
            <w:r>
              <w:rPr>
                <w:sz w:val="24"/>
              </w:rPr>
              <w:t>for</w:t>
            </w:r>
            <w:r>
              <w:rPr>
                <w:spacing w:val="-3"/>
                <w:sz w:val="24"/>
              </w:rPr>
              <w:t> </w:t>
            </w:r>
            <w:r>
              <w:rPr>
                <w:sz w:val="24"/>
              </w:rPr>
              <w:t>Model </w:t>
            </w:r>
            <w:r>
              <w:rPr>
                <w:spacing w:val="-5"/>
                <w:sz w:val="24"/>
              </w:rPr>
              <w:t>1A</w:t>
            </w:r>
          </w:p>
        </w:tc>
        <w:tc>
          <w:tcPr>
            <w:tcW w:w="1017" w:type="dxa"/>
          </w:tcPr>
          <w:p>
            <w:pPr>
              <w:pStyle w:val="TableParagraph"/>
              <w:spacing w:before="133"/>
              <w:ind w:right="64"/>
              <w:jc w:val="right"/>
              <w:rPr>
                <w:sz w:val="24"/>
              </w:rPr>
            </w:pPr>
            <w:r>
              <w:rPr>
                <w:spacing w:val="-5"/>
                <w:sz w:val="24"/>
              </w:rPr>
              <w:t>176</w:t>
            </w:r>
          </w:p>
        </w:tc>
      </w:tr>
      <w:tr>
        <w:trPr>
          <w:trHeight w:val="552" w:hRule="atLeast"/>
        </w:trPr>
        <w:tc>
          <w:tcPr>
            <w:tcW w:w="463" w:type="dxa"/>
          </w:tcPr>
          <w:p>
            <w:pPr>
              <w:pStyle w:val="TableParagraph"/>
              <w:spacing w:before="133"/>
              <w:ind w:right="57"/>
              <w:jc w:val="right"/>
              <w:rPr>
                <w:sz w:val="24"/>
              </w:rPr>
            </w:pPr>
            <w:r>
              <w:rPr>
                <w:spacing w:val="-5"/>
                <w:sz w:val="24"/>
              </w:rPr>
              <w:t>A3</w:t>
            </w:r>
          </w:p>
        </w:tc>
        <w:tc>
          <w:tcPr>
            <w:tcW w:w="8691" w:type="dxa"/>
          </w:tcPr>
          <w:p>
            <w:pPr>
              <w:pStyle w:val="TableParagraph"/>
              <w:spacing w:before="133"/>
              <w:ind w:left="360"/>
              <w:rPr>
                <w:sz w:val="24"/>
              </w:rPr>
            </w:pPr>
            <w:r>
              <w:rPr>
                <w:sz w:val="24"/>
              </w:rPr>
              <w:t>Result</w:t>
            </w:r>
            <w:r>
              <w:rPr>
                <w:spacing w:val="-1"/>
                <w:sz w:val="24"/>
              </w:rPr>
              <w:t> </w:t>
            </w:r>
            <w:r>
              <w:rPr>
                <w:sz w:val="24"/>
              </w:rPr>
              <w:t>of</w:t>
            </w:r>
            <w:r>
              <w:rPr>
                <w:spacing w:val="-1"/>
                <w:sz w:val="24"/>
              </w:rPr>
              <w:t> </w:t>
            </w:r>
            <w:r>
              <w:rPr>
                <w:sz w:val="24"/>
              </w:rPr>
              <w:t>Ordinary</w:t>
            </w:r>
            <w:r>
              <w:rPr>
                <w:spacing w:val="-2"/>
                <w:sz w:val="24"/>
              </w:rPr>
              <w:t> </w:t>
            </w:r>
            <w:r>
              <w:rPr>
                <w:sz w:val="24"/>
              </w:rPr>
              <w:t>Least</w:t>
            </w:r>
            <w:r>
              <w:rPr>
                <w:spacing w:val="-1"/>
                <w:sz w:val="24"/>
              </w:rPr>
              <w:t> </w:t>
            </w:r>
            <w:r>
              <w:rPr>
                <w:sz w:val="24"/>
              </w:rPr>
              <w:t>Square</w:t>
            </w:r>
            <w:r>
              <w:rPr>
                <w:spacing w:val="-3"/>
                <w:sz w:val="24"/>
              </w:rPr>
              <w:t> </w:t>
            </w:r>
            <w:r>
              <w:rPr>
                <w:sz w:val="24"/>
              </w:rPr>
              <w:t>Regression</w:t>
            </w:r>
            <w:r>
              <w:rPr>
                <w:spacing w:val="-1"/>
                <w:sz w:val="24"/>
              </w:rPr>
              <w:t> </w:t>
            </w:r>
            <w:r>
              <w:rPr>
                <w:sz w:val="24"/>
              </w:rPr>
              <w:t>Analysis</w:t>
            </w:r>
            <w:r>
              <w:rPr>
                <w:spacing w:val="-1"/>
                <w:sz w:val="24"/>
              </w:rPr>
              <w:t> </w:t>
            </w:r>
            <w:r>
              <w:rPr>
                <w:sz w:val="24"/>
              </w:rPr>
              <w:t>for</w:t>
            </w:r>
            <w:r>
              <w:rPr>
                <w:spacing w:val="-1"/>
                <w:sz w:val="24"/>
              </w:rPr>
              <w:t> </w:t>
            </w:r>
            <w:r>
              <w:rPr>
                <w:sz w:val="24"/>
              </w:rPr>
              <w:t>Model </w:t>
            </w:r>
            <w:r>
              <w:rPr>
                <w:spacing w:val="-5"/>
                <w:sz w:val="24"/>
              </w:rPr>
              <w:t>1A</w:t>
            </w:r>
          </w:p>
        </w:tc>
        <w:tc>
          <w:tcPr>
            <w:tcW w:w="1017" w:type="dxa"/>
          </w:tcPr>
          <w:p>
            <w:pPr>
              <w:pStyle w:val="TableParagraph"/>
              <w:spacing w:before="133"/>
              <w:ind w:right="71"/>
              <w:jc w:val="right"/>
              <w:rPr>
                <w:sz w:val="24"/>
              </w:rPr>
            </w:pPr>
            <w:r>
              <w:rPr>
                <w:spacing w:val="-5"/>
                <w:sz w:val="24"/>
              </w:rPr>
              <w:t>191</w:t>
            </w:r>
          </w:p>
        </w:tc>
      </w:tr>
      <w:tr>
        <w:trPr>
          <w:trHeight w:val="551" w:hRule="atLeast"/>
        </w:trPr>
        <w:tc>
          <w:tcPr>
            <w:tcW w:w="463" w:type="dxa"/>
          </w:tcPr>
          <w:p>
            <w:pPr>
              <w:pStyle w:val="TableParagraph"/>
              <w:spacing w:before="133"/>
              <w:ind w:right="117"/>
              <w:jc w:val="right"/>
              <w:rPr>
                <w:sz w:val="24"/>
              </w:rPr>
            </w:pPr>
            <w:r>
              <w:rPr>
                <w:spacing w:val="-5"/>
                <w:sz w:val="24"/>
              </w:rPr>
              <w:t>A4</w:t>
            </w:r>
          </w:p>
        </w:tc>
        <w:tc>
          <w:tcPr>
            <w:tcW w:w="8691" w:type="dxa"/>
          </w:tcPr>
          <w:p>
            <w:pPr>
              <w:pStyle w:val="TableParagraph"/>
              <w:spacing w:before="133"/>
              <w:ind w:left="240"/>
              <w:rPr>
                <w:sz w:val="24"/>
              </w:rPr>
            </w:pPr>
            <w:r>
              <w:rPr>
                <w:sz w:val="24"/>
              </w:rPr>
              <w:t>Result of Analyses for</w:t>
            </w:r>
            <w:r>
              <w:rPr>
                <w:spacing w:val="-3"/>
                <w:sz w:val="24"/>
              </w:rPr>
              <w:t> </w:t>
            </w:r>
            <w:r>
              <w:rPr>
                <w:sz w:val="24"/>
              </w:rPr>
              <w:t>Model 2A</w:t>
            </w:r>
            <w:r>
              <w:rPr>
                <w:spacing w:val="-1"/>
                <w:sz w:val="24"/>
              </w:rPr>
              <w:t> </w:t>
            </w:r>
            <w:r>
              <w:rPr>
                <w:sz w:val="24"/>
              </w:rPr>
              <w:t>(World Bank</w:t>
            </w:r>
            <w:r>
              <w:rPr>
                <w:spacing w:val="-1"/>
                <w:sz w:val="24"/>
              </w:rPr>
              <w:t> </w:t>
            </w:r>
            <w:r>
              <w:rPr>
                <w:sz w:val="24"/>
              </w:rPr>
              <w:t>&amp;</w:t>
            </w:r>
            <w:r>
              <w:rPr>
                <w:spacing w:val="-3"/>
                <w:sz w:val="24"/>
              </w:rPr>
              <w:t> </w:t>
            </w:r>
            <w:r>
              <w:rPr>
                <w:sz w:val="24"/>
              </w:rPr>
              <w:t>Erbe</w:t>
            </w:r>
            <w:r>
              <w:rPr>
                <w:spacing w:val="-2"/>
                <w:sz w:val="24"/>
              </w:rPr>
              <w:t> </w:t>
            </w:r>
            <w:r>
              <w:rPr>
                <w:sz w:val="24"/>
              </w:rPr>
              <w:t>1986 </w:t>
            </w:r>
            <w:r>
              <w:rPr>
                <w:spacing w:val="-2"/>
                <w:sz w:val="24"/>
              </w:rPr>
              <w:t>Estimates)</w:t>
            </w:r>
          </w:p>
        </w:tc>
        <w:tc>
          <w:tcPr>
            <w:tcW w:w="1017" w:type="dxa"/>
          </w:tcPr>
          <w:p>
            <w:pPr>
              <w:pStyle w:val="TableParagraph"/>
              <w:spacing w:before="133"/>
              <w:ind w:right="56"/>
              <w:jc w:val="right"/>
              <w:rPr>
                <w:sz w:val="24"/>
              </w:rPr>
            </w:pPr>
            <w:r>
              <w:rPr>
                <w:spacing w:val="-5"/>
                <w:sz w:val="24"/>
              </w:rPr>
              <w:t>202</w:t>
            </w:r>
          </w:p>
        </w:tc>
      </w:tr>
      <w:tr>
        <w:trPr>
          <w:trHeight w:val="552" w:hRule="atLeast"/>
        </w:trPr>
        <w:tc>
          <w:tcPr>
            <w:tcW w:w="463" w:type="dxa"/>
          </w:tcPr>
          <w:p>
            <w:pPr>
              <w:pStyle w:val="TableParagraph"/>
              <w:spacing w:before="133"/>
              <w:ind w:right="117"/>
              <w:jc w:val="right"/>
              <w:rPr>
                <w:sz w:val="24"/>
              </w:rPr>
            </w:pPr>
            <w:r>
              <w:rPr>
                <w:spacing w:val="-5"/>
                <w:sz w:val="24"/>
              </w:rPr>
              <w:t>A5</w:t>
            </w:r>
          </w:p>
        </w:tc>
        <w:tc>
          <w:tcPr>
            <w:tcW w:w="8691" w:type="dxa"/>
          </w:tcPr>
          <w:p>
            <w:pPr>
              <w:pStyle w:val="TableParagraph"/>
              <w:spacing w:before="133"/>
              <w:ind w:left="120"/>
              <w:rPr>
                <w:sz w:val="24"/>
              </w:rPr>
            </w:pPr>
            <w:r>
              <w:rPr>
                <w:sz w:val="24"/>
              </w:rPr>
              <w:t>Result</w:t>
            </w:r>
            <w:r>
              <w:rPr>
                <w:spacing w:val="-2"/>
                <w:sz w:val="24"/>
              </w:rPr>
              <w:t> </w:t>
            </w:r>
            <w:r>
              <w:rPr>
                <w:sz w:val="24"/>
              </w:rPr>
              <w:t>of</w:t>
            </w:r>
            <w:r>
              <w:rPr>
                <w:spacing w:val="-1"/>
                <w:sz w:val="24"/>
              </w:rPr>
              <w:t> </w:t>
            </w:r>
            <w:r>
              <w:rPr>
                <w:sz w:val="24"/>
              </w:rPr>
              <w:t>Analyses</w:t>
            </w:r>
            <w:r>
              <w:rPr>
                <w:spacing w:val="1"/>
                <w:sz w:val="24"/>
              </w:rPr>
              <w:t> </w:t>
            </w:r>
            <w:r>
              <w:rPr>
                <w:sz w:val="24"/>
              </w:rPr>
              <w:t>for</w:t>
            </w:r>
            <w:r>
              <w:rPr>
                <w:spacing w:val="-1"/>
                <w:sz w:val="24"/>
              </w:rPr>
              <w:t> </w:t>
            </w:r>
            <w:r>
              <w:rPr>
                <w:sz w:val="24"/>
              </w:rPr>
              <w:t>Model</w:t>
            </w:r>
            <w:r>
              <w:rPr>
                <w:spacing w:val="-1"/>
                <w:sz w:val="24"/>
              </w:rPr>
              <w:t> </w:t>
            </w:r>
            <w:r>
              <w:rPr>
                <w:sz w:val="24"/>
              </w:rPr>
              <w:t>2B</w:t>
            </w:r>
            <w:r>
              <w:rPr>
                <w:spacing w:val="-1"/>
                <w:sz w:val="24"/>
              </w:rPr>
              <w:t> </w:t>
            </w:r>
            <w:r>
              <w:rPr>
                <w:sz w:val="24"/>
              </w:rPr>
              <w:t>(Morgan</w:t>
            </w:r>
            <w:r>
              <w:rPr>
                <w:spacing w:val="2"/>
                <w:sz w:val="24"/>
              </w:rPr>
              <w:t> </w:t>
            </w:r>
            <w:r>
              <w:rPr>
                <w:sz w:val="24"/>
              </w:rPr>
              <w:t>Guaranty</w:t>
            </w:r>
            <w:r>
              <w:rPr>
                <w:spacing w:val="-6"/>
                <w:sz w:val="24"/>
              </w:rPr>
              <w:t> </w:t>
            </w:r>
            <w:r>
              <w:rPr>
                <w:sz w:val="24"/>
              </w:rPr>
              <w:t>Trust</w:t>
            </w:r>
            <w:r>
              <w:rPr>
                <w:spacing w:val="-1"/>
                <w:sz w:val="24"/>
              </w:rPr>
              <w:t> </w:t>
            </w:r>
            <w:r>
              <w:rPr>
                <w:sz w:val="24"/>
              </w:rPr>
              <w:t>(1986) </w:t>
            </w:r>
            <w:r>
              <w:rPr>
                <w:spacing w:val="-2"/>
                <w:sz w:val="24"/>
              </w:rPr>
              <w:t>Estimates</w:t>
            </w:r>
          </w:p>
        </w:tc>
        <w:tc>
          <w:tcPr>
            <w:tcW w:w="1017" w:type="dxa"/>
          </w:tcPr>
          <w:p>
            <w:pPr>
              <w:pStyle w:val="TableParagraph"/>
              <w:spacing w:before="133"/>
              <w:ind w:right="70"/>
              <w:jc w:val="right"/>
              <w:rPr>
                <w:sz w:val="24"/>
              </w:rPr>
            </w:pPr>
            <w:r>
              <w:rPr>
                <w:spacing w:val="-5"/>
                <w:sz w:val="24"/>
              </w:rPr>
              <w:t>206</w:t>
            </w:r>
          </w:p>
        </w:tc>
      </w:tr>
      <w:tr>
        <w:trPr>
          <w:trHeight w:val="409" w:hRule="atLeast"/>
        </w:trPr>
        <w:tc>
          <w:tcPr>
            <w:tcW w:w="463" w:type="dxa"/>
          </w:tcPr>
          <w:p>
            <w:pPr>
              <w:pStyle w:val="TableParagraph"/>
              <w:spacing w:line="256" w:lineRule="exact" w:before="133"/>
              <w:ind w:right="117"/>
              <w:jc w:val="right"/>
              <w:rPr>
                <w:sz w:val="24"/>
              </w:rPr>
            </w:pPr>
            <w:r>
              <w:rPr>
                <w:spacing w:val="-5"/>
                <w:sz w:val="24"/>
              </w:rPr>
              <w:t>A6</w:t>
            </w:r>
          </w:p>
        </w:tc>
        <w:tc>
          <w:tcPr>
            <w:tcW w:w="8691" w:type="dxa"/>
          </w:tcPr>
          <w:p>
            <w:pPr>
              <w:pStyle w:val="TableParagraph"/>
              <w:spacing w:line="256" w:lineRule="exact" w:before="133"/>
              <w:ind w:left="60"/>
              <w:rPr>
                <w:sz w:val="24"/>
              </w:rPr>
            </w:pPr>
            <w:r>
              <w:rPr>
                <w:sz w:val="24"/>
              </w:rPr>
              <w:t>Result</w:t>
            </w:r>
            <w:r>
              <w:rPr>
                <w:spacing w:val="-1"/>
                <w:sz w:val="24"/>
              </w:rPr>
              <w:t> </w:t>
            </w:r>
            <w:r>
              <w:rPr>
                <w:sz w:val="24"/>
              </w:rPr>
              <w:t>of Analyses</w:t>
            </w:r>
            <w:r>
              <w:rPr>
                <w:spacing w:val="-1"/>
                <w:sz w:val="24"/>
              </w:rPr>
              <w:t> </w:t>
            </w:r>
            <w:r>
              <w:rPr>
                <w:sz w:val="24"/>
              </w:rPr>
              <w:t>for Model 3A</w:t>
            </w:r>
            <w:r>
              <w:rPr>
                <w:spacing w:val="-1"/>
                <w:sz w:val="24"/>
              </w:rPr>
              <w:t> </w:t>
            </w:r>
            <w:r>
              <w:rPr>
                <w:sz w:val="24"/>
              </w:rPr>
              <w:t>World Bank</w:t>
            </w:r>
            <w:r>
              <w:rPr>
                <w:spacing w:val="-1"/>
                <w:sz w:val="24"/>
              </w:rPr>
              <w:t> </w:t>
            </w:r>
            <w:r>
              <w:rPr>
                <w:sz w:val="24"/>
              </w:rPr>
              <w:t>&amp;</w:t>
            </w:r>
            <w:r>
              <w:rPr>
                <w:spacing w:val="-2"/>
                <w:sz w:val="24"/>
              </w:rPr>
              <w:t> </w:t>
            </w:r>
            <w:r>
              <w:rPr>
                <w:sz w:val="24"/>
              </w:rPr>
              <w:t>Erbe</w:t>
            </w:r>
            <w:r>
              <w:rPr>
                <w:spacing w:val="-1"/>
                <w:sz w:val="24"/>
              </w:rPr>
              <w:t> </w:t>
            </w:r>
            <w:r>
              <w:rPr>
                <w:sz w:val="24"/>
              </w:rPr>
              <w:t>1985</w:t>
            </w:r>
            <w:r>
              <w:rPr>
                <w:spacing w:val="-1"/>
                <w:sz w:val="24"/>
              </w:rPr>
              <w:t> </w:t>
            </w:r>
            <w:r>
              <w:rPr>
                <w:sz w:val="24"/>
              </w:rPr>
              <w:t>Estimates (Pre-Sap </w:t>
            </w:r>
            <w:r>
              <w:rPr>
                <w:spacing w:val="-4"/>
                <w:sz w:val="24"/>
              </w:rPr>
              <w:t>Era)</w:t>
            </w:r>
          </w:p>
        </w:tc>
        <w:tc>
          <w:tcPr>
            <w:tcW w:w="1017" w:type="dxa"/>
          </w:tcPr>
          <w:p>
            <w:pPr>
              <w:pStyle w:val="TableParagraph"/>
              <w:spacing w:line="256" w:lineRule="exact" w:before="133"/>
              <w:ind w:right="46"/>
              <w:jc w:val="right"/>
              <w:rPr>
                <w:sz w:val="24"/>
              </w:rPr>
            </w:pPr>
            <w:r>
              <w:rPr>
                <w:spacing w:val="-5"/>
                <w:sz w:val="24"/>
              </w:rPr>
              <w:t>218</w:t>
            </w:r>
          </w:p>
        </w:tc>
      </w:tr>
    </w:tbl>
    <w:p>
      <w:pPr>
        <w:pStyle w:val="BodyText"/>
        <w:spacing w:before="3"/>
      </w:pPr>
    </w:p>
    <w:p>
      <w:pPr>
        <w:pStyle w:val="BodyText"/>
        <w:tabs>
          <w:tab w:pos="10749" w:val="right" w:leader="none"/>
        </w:tabs>
        <w:ind w:left="711"/>
      </w:pPr>
      <w:r>
        <w:rPr/>
        <w:t>A7</w:t>
      </w:r>
      <w:r>
        <w:rPr>
          <w:spacing w:val="-1"/>
        </w:rPr>
        <w:t> </w:t>
      </w:r>
      <w:r>
        <w:rPr/>
        <w:t>Result</w:t>
      </w:r>
      <w:r>
        <w:rPr>
          <w:spacing w:val="-1"/>
        </w:rPr>
        <w:t> </w:t>
      </w:r>
      <w:r>
        <w:rPr/>
        <w:t>of Analyses</w:t>
      </w:r>
      <w:r>
        <w:rPr>
          <w:spacing w:val="-1"/>
        </w:rPr>
        <w:t> </w:t>
      </w:r>
      <w:r>
        <w:rPr/>
        <w:t>for Model</w:t>
      </w:r>
      <w:r>
        <w:rPr>
          <w:spacing w:val="-1"/>
        </w:rPr>
        <w:t> </w:t>
      </w:r>
      <w:r>
        <w:rPr/>
        <w:t>3B</w:t>
      </w:r>
      <w:r>
        <w:rPr>
          <w:spacing w:val="-2"/>
        </w:rPr>
        <w:t> </w:t>
      </w:r>
      <w:r>
        <w:rPr/>
        <w:t>Morgan</w:t>
      </w:r>
      <w:r>
        <w:rPr>
          <w:spacing w:val="-1"/>
        </w:rPr>
        <w:t> </w:t>
      </w:r>
      <w:r>
        <w:rPr/>
        <w:t>Guaranty</w:t>
      </w:r>
      <w:r>
        <w:rPr>
          <w:spacing w:val="-3"/>
        </w:rPr>
        <w:t> </w:t>
      </w:r>
      <w:r>
        <w:rPr/>
        <w:t>Trust</w:t>
      </w:r>
      <w:r>
        <w:rPr>
          <w:spacing w:val="-1"/>
        </w:rPr>
        <w:t> </w:t>
      </w:r>
      <w:r>
        <w:rPr/>
        <w:t>1986 Estimates</w:t>
      </w:r>
      <w:r>
        <w:rPr>
          <w:spacing w:val="-1"/>
        </w:rPr>
        <w:t> </w:t>
      </w:r>
      <w:r>
        <w:rPr/>
        <w:t>(Pre-Sap </w:t>
      </w:r>
      <w:r>
        <w:rPr>
          <w:spacing w:val="-4"/>
        </w:rPr>
        <w:t>Era)</w:t>
      </w:r>
      <w:r>
        <w:rPr/>
        <w:tab/>
      </w:r>
      <w:r>
        <w:rPr>
          <w:spacing w:val="-5"/>
        </w:rPr>
        <w:t>218</w:t>
      </w:r>
    </w:p>
    <w:p>
      <w:pPr>
        <w:pStyle w:val="BodyText"/>
        <w:tabs>
          <w:tab w:pos="10699" w:val="right" w:leader="none"/>
        </w:tabs>
        <w:spacing w:before="276"/>
        <w:ind w:left="711"/>
      </w:pPr>
      <w:r>
        <w:rPr/>
        <w:t>A8</w:t>
      </w:r>
      <w:r>
        <w:rPr>
          <w:spacing w:val="-1"/>
        </w:rPr>
        <w:t> </w:t>
      </w:r>
      <w:r>
        <w:rPr/>
        <w:t>Result of Analyses</w:t>
      </w:r>
      <w:r>
        <w:rPr>
          <w:spacing w:val="-1"/>
        </w:rPr>
        <w:t> </w:t>
      </w:r>
      <w:r>
        <w:rPr/>
        <w:t>for Model 4A</w:t>
      </w:r>
      <w:r>
        <w:rPr>
          <w:spacing w:val="-1"/>
        </w:rPr>
        <w:t> </w:t>
      </w:r>
      <w:r>
        <w:rPr/>
        <w:t>World</w:t>
      </w:r>
      <w:r>
        <w:rPr>
          <w:spacing w:val="-1"/>
        </w:rPr>
        <w:t> </w:t>
      </w:r>
      <w:r>
        <w:rPr/>
        <w:t>Bank</w:t>
      </w:r>
      <w:r>
        <w:rPr>
          <w:spacing w:val="2"/>
        </w:rPr>
        <w:t> </w:t>
      </w:r>
      <w:r>
        <w:rPr/>
        <w:t>&amp;</w:t>
      </w:r>
      <w:r>
        <w:rPr>
          <w:spacing w:val="-2"/>
        </w:rPr>
        <w:t> </w:t>
      </w:r>
      <w:r>
        <w:rPr/>
        <w:t>Erbe</w:t>
      </w:r>
      <w:r>
        <w:rPr>
          <w:spacing w:val="-2"/>
        </w:rPr>
        <w:t> </w:t>
      </w:r>
      <w:r>
        <w:rPr/>
        <w:t>1985 Estimates (Post-Sap </w:t>
      </w:r>
      <w:r>
        <w:rPr>
          <w:spacing w:val="-4"/>
        </w:rPr>
        <w:t>Era)</w:t>
      </w:r>
      <w:r>
        <w:rPr/>
        <w:tab/>
      </w:r>
      <w:r>
        <w:rPr>
          <w:spacing w:val="-5"/>
        </w:rPr>
        <w:t>219</w:t>
      </w:r>
    </w:p>
    <w:p>
      <w:pPr>
        <w:pStyle w:val="BodyText"/>
        <w:tabs>
          <w:tab w:pos="10737" w:val="right" w:leader="none"/>
        </w:tabs>
        <w:spacing w:before="277"/>
        <w:ind w:left="711"/>
        <w:rPr>
          <w:b/>
        </w:rPr>
      </w:pPr>
      <w:r>
        <w:rPr/>
        <w:t>A9</w:t>
      </w:r>
      <w:r>
        <w:rPr>
          <w:spacing w:val="-4"/>
        </w:rPr>
        <w:t> </w:t>
      </w:r>
      <w:r>
        <w:rPr/>
        <w:t>Result of</w:t>
      </w:r>
      <w:r>
        <w:rPr>
          <w:spacing w:val="-1"/>
        </w:rPr>
        <w:t> </w:t>
      </w:r>
      <w:r>
        <w:rPr/>
        <w:t>Analyses for</w:t>
      </w:r>
      <w:r>
        <w:rPr>
          <w:spacing w:val="-1"/>
        </w:rPr>
        <w:t> </w:t>
      </w:r>
      <w:r>
        <w:rPr/>
        <w:t>Model 4B</w:t>
      </w:r>
      <w:r>
        <w:rPr>
          <w:spacing w:val="-3"/>
        </w:rPr>
        <w:t> </w:t>
      </w:r>
      <w:r>
        <w:rPr/>
        <w:t>(Morgan Guaranty</w:t>
      </w:r>
      <w:r>
        <w:rPr>
          <w:spacing w:val="-6"/>
        </w:rPr>
        <w:t> </w:t>
      </w:r>
      <w:r>
        <w:rPr/>
        <w:t>Trust 1986 </w:t>
      </w:r>
      <w:r>
        <w:rPr>
          <w:spacing w:val="-2"/>
        </w:rPr>
        <w:t>Estimates</w:t>
      </w:r>
      <w:r>
        <w:rPr>
          <w:b/>
          <w:spacing w:val="-2"/>
        </w:rPr>
        <w:t>)</w:t>
      </w:r>
      <w:r>
        <w:rPr>
          <w:b/>
        </w:rPr>
        <w:tab/>
      </w:r>
      <w:r>
        <w:rPr>
          <w:b/>
          <w:spacing w:val="-5"/>
        </w:rPr>
        <w:t>219</w:t>
      </w:r>
    </w:p>
    <w:p>
      <w:pPr>
        <w:pStyle w:val="BodyText"/>
        <w:tabs>
          <w:tab w:pos="10745" w:val="right" w:leader="none"/>
        </w:tabs>
        <w:spacing w:before="276"/>
        <w:ind w:left="711"/>
      </w:pPr>
      <w:r>
        <w:rPr>
          <w:b/>
        </w:rPr>
        <w:t>A10</w:t>
      </w:r>
      <w:r>
        <w:rPr>
          <w:b/>
          <w:spacing w:val="-4"/>
        </w:rPr>
        <w:t> </w:t>
      </w:r>
      <w:r>
        <w:rPr/>
        <w:t>Result of Analyses</w:t>
      </w:r>
      <w:r>
        <w:rPr>
          <w:spacing w:val="-1"/>
        </w:rPr>
        <w:t> </w:t>
      </w:r>
      <w:r>
        <w:rPr/>
        <w:t>for Model 5A</w:t>
      </w:r>
      <w:r>
        <w:rPr>
          <w:spacing w:val="-2"/>
        </w:rPr>
        <w:t> </w:t>
      </w:r>
      <w:r>
        <w:rPr/>
        <w:t>(World Bank &amp;</w:t>
      </w:r>
      <w:r>
        <w:rPr>
          <w:spacing w:val="-3"/>
        </w:rPr>
        <w:t> </w:t>
      </w:r>
      <w:r>
        <w:rPr/>
        <w:t>Erbe</w:t>
      </w:r>
      <w:r>
        <w:rPr>
          <w:spacing w:val="-1"/>
        </w:rPr>
        <w:t> </w:t>
      </w:r>
      <w:r>
        <w:rPr/>
        <w:t>1985 Estimates </w:t>
      </w:r>
      <w:r>
        <w:rPr>
          <w:spacing w:val="-2"/>
        </w:rPr>
        <w:t>Estimates)</w:t>
      </w:r>
      <w:r>
        <w:rPr/>
        <w:tab/>
      </w:r>
      <w:r>
        <w:rPr>
          <w:spacing w:val="-5"/>
        </w:rPr>
        <w:t>220</w:t>
      </w:r>
    </w:p>
    <w:p>
      <w:pPr>
        <w:pStyle w:val="BodyText"/>
        <w:tabs>
          <w:tab w:pos="10783" w:val="right" w:leader="none"/>
        </w:tabs>
        <w:spacing w:before="276"/>
        <w:ind w:left="711"/>
      </w:pPr>
      <w:r>
        <w:rPr/>
        <w:t>A11</w:t>
      </w:r>
      <w:r>
        <w:rPr>
          <w:spacing w:val="-11"/>
        </w:rPr>
        <w:t> </w:t>
      </w:r>
      <w:r>
        <w:rPr/>
        <w:t>Result</w:t>
      </w:r>
      <w:r>
        <w:rPr>
          <w:spacing w:val="-1"/>
        </w:rPr>
        <w:t> </w:t>
      </w:r>
      <w:r>
        <w:rPr/>
        <w:t>of Analyses</w:t>
      </w:r>
      <w:r>
        <w:rPr>
          <w:spacing w:val="-1"/>
        </w:rPr>
        <w:t> </w:t>
      </w:r>
      <w:r>
        <w:rPr/>
        <w:t>for</w:t>
      </w:r>
      <w:r>
        <w:rPr>
          <w:spacing w:val="-1"/>
        </w:rPr>
        <w:t> </w:t>
      </w:r>
      <w:r>
        <w:rPr/>
        <w:t>Model</w:t>
      </w:r>
      <w:r>
        <w:rPr>
          <w:spacing w:val="-1"/>
        </w:rPr>
        <w:t> </w:t>
      </w:r>
      <w:r>
        <w:rPr/>
        <w:t>5B</w:t>
      </w:r>
      <w:r>
        <w:rPr>
          <w:spacing w:val="-1"/>
        </w:rPr>
        <w:t> </w:t>
      </w:r>
      <w:r>
        <w:rPr/>
        <w:t>((Morgan</w:t>
      </w:r>
      <w:r>
        <w:rPr>
          <w:spacing w:val="1"/>
        </w:rPr>
        <w:t> </w:t>
      </w:r>
      <w:r>
        <w:rPr/>
        <w:t>Guaranty</w:t>
      </w:r>
      <w:r>
        <w:rPr>
          <w:spacing w:val="-6"/>
        </w:rPr>
        <w:t> </w:t>
      </w:r>
      <w:r>
        <w:rPr/>
        <w:t>Trust 1986</w:t>
      </w:r>
      <w:r>
        <w:rPr>
          <w:spacing w:val="-1"/>
        </w:rPr>
        <w:t> </w:t>
      </w:r>
      <w:r>
        <w:rPr/>
        <w:t>Estimates</w:t>
      </w:r>
      <w:r>
        <w:rPr>
          <w:spacing w:val="-1"/>
        </w:rPr>
        <w:t> </w:t>
      </w:r>
      <w:r>
        <w:rPr/>
        <w:t>(Pre-Sap</w:t>
      </w:r>
      <w:r>
        <w:rPr>
          <w:spacing w:val="2"/>
        </w:rPr>
        <w:t> </w:t>
      </w:r>
      <w:r>
        <w:rPr>
          <w:spacing w:val="-4"/>
        </w:rPr>
        <w:t>Era)</w:t>
      </w:r>
      <w:r>
        <w:rPr/>
        <w:tab/>
      </w:r>
      <w:r>
        <w:rPr>
          <w:spacing w:val="-5"/>
        </w:rPr>
        <w:t>221</w:t>
      </w:r>
    </w:p>
    <w:p>
      <w:pPr>
        <w:pStyle w:val="BodyText"/>
        <w:tabs>
          <w:tab w:pos="10778" w:val="right" w:leader="none"/>
        </w:tabs>
        <w:spacing w:before="276"/>
        <w:ind w:left="711"/>
      </w:pPr>
      <w:r>
        <w:rPr/>
        <w:t>A12</w:t>
      </w:r>
      <w:r>
        <w:rPr>
          <w:spacing w:val="-2"/>
        </w:rPr>
        <w:t> </w:t>
      </w:r>
      <w:r>
        <w:rPr/>
        <w:t>Result</w:t>
      </w:r>
      <w:r>
        <w:rPr>
          <w:spacing w:val="-1"/>
        </w:rPr>
        <w:t> </w:t>
      </w:r>
      <w:r>
        <w:rPr/>
        <w:t>of Analyses</w:t>
      </w:r>
      <w:r>
        <w:rPr>
          <w:spacing w:val="-1"/>
        </w:rPr>
        <w:t> </w:t>
      </w:r>
      <w:r>
        <w:rPr/>
        <w:t>for Model</w:t>
      </w:r>
      <w:r>
        <w:rPr>
          <w:spacing w:val="-1"/>
        </w:rPr>
        <w:t> </w:t>
      </w:r>
      <w:r>
        <w:rPr/>
        <w:t>6A ((Morgan</w:t>
      </w:r>
      <w:r>
        <w:rPr>
          <w:spacing w:val="-1"/>
        </w:rPr>
        <w:t> </w:t>
      </w:r>
      <w:r>
        <w:rPr/>
        <w:t>Guaranty</w:t>
      </w:r>
      <w:r>
        <w:rPr>
          <w:spacing w:val="-5"/>
        </w:rPr>
        <w:t> </w:t>
      </w:r>
      <w:r>
        <w:rPr/>
        <w:t>Trust</w:t>
      </w:r>
      <w:r>
        <w:rPr>
          <w:spacing w:val="-1"/>
        </w:rPr>
        <w:t> </w:t>
      </w:r>
      <w:r>
        <w:rPr/>
        <w:t>1986 Estimates</w:t>
      </w:r>
      <w:r>
        <w:rPr>
          <w:spacing w:val="-1"/>
        </w:rPr>
        <w:t> </w:t>
      </w:r>
      <w:r>
        <w:rPr/>
        <w:t>(Post-Sap </w:t>
      </w:r>
      <w:r>
        <w:rPr>
          <w:spacing w:val="-4"/>
        </w:rPr>
        <w:t>Era)</w:t>
      </w:r>
      <w:r>
        <w:rPr/>
        <w:tab/>
      </w:r>
      <w:r>
        <w:rPr>
          <w:spacing w:val="-5"/>
        </w:rPr>
        <w:t>221</w:t>
      </w:r>
    </w:p>
    <w:p>
      <w:pPr>
        <w:pStyle w:val="BodyText"/>
        <w:tabs>
          <w:tab w:pos="10766" w:val="right" w:leader="none"/>
        </w:tabs>
        <w:spacing w:before="276"/>
        <w:ind w:left="711"/>
      </w:pPr>
      <w:r>
        <w:rPr/>
        <w:t>A13</w:t>
      </w:r>
      <w:r>
        <w:rPr>
          <w:spacing w:val="-2"/>
        </w:rPr>
        <w:t> </w:t>
      </w:r>
      <w:r>
        <w:rPr/>
        <w:t>Result of</w:t>
      </w:r>
      <w:r>
        <w:rPr>
          <w:spacing w:val="-1"/>
        </w:rPr>
        <w:t> </w:t>
      </w:r>
      <w:r>
        <w:rPr/>
        <w:t>Analyses for Model</w:t>
      </w:r>
      <w:r>
        <w:rPr>
          <w:spacing w:val="-1"/>
        </w:rPr>
        <w:t> </w:t>
      </w:r>
      <w:r>
        <w:rPr/>
        <w:t>6B</w:t>
      </w:r>
      <w:r>
        <w:rPr>
          <w:spacing w:val="-2"/>
        </w:rPr>
        <w:t> </w:t>
      </w:r>
      <w:r>
        <w:rPr/>
        <w:t>(Morgan</w:t>
      </w:r>
      <w:r>
        <w:rPr>
          <w:spacing w:val="-1"/>
        </w:rPr>
        <w:t> </w:t>
      </w:r>
      <w:r>
        <w:rPr/>
        <w:t>Guaranty</w:t>
      </w:r>
      <w:r>
        <w:rPr>
          <w:spacing w:val="-5"/>
        </w:rPr>
        <w:t> </w:t>
      </w:r>
      <w:r>
        <w:rPr/>
        <w:t>Trust 986</w:t>
      </w:r>
      <w:r>
        <w:rPr>
          <w:spacing w:val="1"/>
        </w:rPr>
        <w:t> </w:t>
      </w:r>
      <w:r>
        <w:rPr/>
        <w:t>Estimates (Post-SAP </w:t>
      </w:r>
      <w:r>
        <w:rPr>
          <w:spacing w:val="-4"/>
        </w:rPr>
        <w:t>Era)</w:t>
      </w:r>
      <w:r>
        <w:rPr/>
        <w:tab/>
      </w:r>
      <w:r>
        <w:rPr>
          <w:spacing w:val="-5"/>
        </w:rPr>
        <w:t>227</w:t>
      </w:r>
    </w:p>
    <w:p>
      <w:pPr>
        <w:spacing w:after="0"/>
        <w:sectPr>
          <w:pgSz w:w="11910" w:h="16840"/>
          <w:pgMar w:header="0" w:footer="1039" w:top="1820" w:bottom="1240" w:left="280" w:right="0"/>
        </w:sectPr>
      </w:pPr>
    </w:p>
    <w:p>
      <w:pPr>
        <w:pStyle w:val="BodyText"/>
        <w:spacing w:before="5"/>
        <w:rPr>
          <w:sz w:val="5"/>
        </w:rPr>
      </w:pPr>
    </w:p>
    <w:tbl>
      <w:tblPr>
        <w:tblW w:w="0" w:type="auto"/>
        <w:jc w:val="left"/>
        <w:tblInd w:w="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881"/>
        <w:gridCol w:w="3065"/>
        <w:gridCol w:w="1238"/>
      </w:tblGrid>
      <w:tr>
        <w:trPr>
          <w:trHeight w:val="408" w:hRule="atLeast"/>
        </w:trPr>
        <w:tc>
          <w:tcPr>
            <w:tcW w:w="5881" w:type="dxa"/>
          </w:tcPr>
          <w:p>
            <w:pPr>
              <w:pStyle w:val="TableParagraph"/>
              <w:spacing w:line="266" w:lineRule="exact"/>
              <w:ind w:left="170"/>
              <w:rPr>
                <w:b/>
                <w:sz w:val="24"/>
              </w:rPr>
            </w:pPr>
            <w:r>
              <w:rPr>
                <w:b/>
                <w:sz w:val="24"/>
              </w:rPr>
              <w:t>TABLE OF</w:t>
            </w:r>
            <w:r>
              <w:rPr>
                <w:b/>
                <w:spacing w:val="-3"/>
                <w:sz w:val="24"/>
              </w:rPr>
              <w:t> </w:t>
            </w:r>
            <w:r>
              <w:rPr>
                <w:b/>
                <w:spacing w:val="-2"/>
                <w:sz w:val="24"/>
              </w:rPr>
              <w:t>CONTENTS</w:t>
            </w:r>
          </w:p>
        </w:tc>
        <w:tc>
          <w:tcPr>
            <w:tcW w:w="3065" w:type="dxa"/>
          </w:tcPr>
          <w:p>
            <w:pPr>
              <w:pStyle w:val="TableParagraph"/>
              <w:spacing w:line="266" w:lineRule="exact"/>
              <w:ind w:left="1670"/>
              <w:rPr>
                <w:sz w:val="24"/>
              </w:rPr>
            </w:pPr>
            <w:r>
              <w:rPr>
                <w:spacing w:val="-4"/>
                <w:sz w:val="24"/>
              </w:rPr>
              <w:t>PAGE</w:t>
            </w:r>
          </w:p>
        </w:tc>
        <w:tc>
          <w:tcPr>
            <w:tcW w:w="1238" w:type="dxa"/>
          </w:tcPr>
          <w:p>
            <w:pPr>
              <w:pStyle w:val="TableParagraph"/>
              <w:rPr>
                <w:sz w:val="24"/>
              </w:rPr>
            </w:pPr>
          </w:p>
        </w:tc>
      </w:tr>
      <w:tr>
        <w:trPr>
          <w:trHeight w:val="551" w:hRule="atLeast"/>
        </w:trPr>
        <w:tc>
          <w:tcPr>
            <w:tcW w:w="5881" w:type="dxa"/>
          </w:tcPr>
          <w:p>
            <w:pPr>
              <w:pStyle w:val="TableParagraph"/>
              <w:spacing w:before="133"/>
              <w:ind w:left="50"/>
              <w:rPr>
                <w:sz w:val="24"/>
              </w:rPr>
            </w:pPr>
            <w:r>
              <w:rPr>
                <w:sz w:val="24"/>
              </w:rPr>
              <w:t>Title</w:t>
            </w:r>
            <w:r>
              <w:rPr>
                <w:spacing w:val="-3"/>
                <w:sz w:val="24"/>
              </w:rPr>
              <w:t> </w:t>
            </w:r>
            <w:r>
              <w:rPr>
                <w:spacing w:val="-4"/>
                <w:sz w:val="24"/>
              </w:rPr>
              <w:t>Page</w:t>
            </w:r>
          </w:p>
        </w:tc>
        <w:tc>
          <w:tcPr>
            <w:tcW w:w="3065" w:type="dxa"/>
          </w:tcPr>
          <w:p>
            <w:pPr>
              <w:pStyle w:val="TableParagraph"/>
              <w:rPr>
                <w:sz w:val="24"/>
              </w:rPr>
            </w:pPr>
          </w:p>
        </w:tc>
        <w:tc>
          <w:tcPr>
            <w:tcW w:w="1238" w:type="dxa"/>
          </w:tcPr>
          <w:p>
            <w:pPr>
              <w:pStyle w:val="TableParagraph"/>
              <w:spacing w:before="133"/>
              <w:ind w:right="103"/>
              <w:jc w:val="right"/>
              <w:rPr>
                <w:sz w:val="24"/>
              </w:rPr>
            </w:pPr>
            <w:r>
              <w:rPr>
                <w:spacing w:val="-10"/>
                <w:sz w:val="24"/>
              </w:rPr>
              <w:t>i</w:t>
            </w:r>
          </w:p>
        </w:tc>
      </w:tr>
      <w:tr>
        <w:trPr>
          <w:trHeight w:val="551" w:hRule="atLeast"/>
        </w:trPr>
        <w:tc>
          <w:tcPr>
            <w:tcW w:w="5881" w:type="dxa"/>
          </w:tcPr>
          <w:p>
            <w:pPr>
              <w:pStyle w:val="TableParagraph"/>
              <w:spacing w:before="133"/>
              <w:ind w:left="50"/>
              <w:rPr>
                <w:sz w:val="24"/>
              </w:rPr>
            </w:pPr>
            <w:r>
              <w:rPr>
                <w:spacing w:val="-2"/>
                <w:sz w:val="24"/>
              </w:rPr>
              <w:t>Certification</w:t>
            </w:r>
          </w:p>
        </w:tc>
        <w:tc>
          <w:tcPr>
            <w:tcW w:w="3065" w:type="dxa"/>
          </w:tcPr>
          <w:p>
            <w:pPr>
              <w:pStyle w:val="TableParagraph"/>
              <w:rPr>
                <w:sz w:val="24"/>
              </w:rPr>
            </w:pPr>
          </w:p>
        </w:tc>
        <w:tc>
          <w:tcPr>
            <w:tcW w:w="1238" w:type="dxa"/>
          </w:tcPr>
          <w:p>
            <w:pPr>
              <w:pStyle w:val="TableParagraph"/>
              <w:spacing w:before="133"/>
              <w:ind w:right="95"/>
              <w:jc w:val="right"/>
              <w:rPr>
                <w:sz w:val="24"/>
              </w:rPr>
            </w:pPr>
            <w:r>
              <w:rPr>
                <w:spacing w:val="-5"/>
                <w:sz w:val="24"/>
              </w:rPr>
              <w:t>ii</w:t>
            </w:r>
          </w:p>
        </w:tc>
      </w:tr>
      <w:tr>
        <w:trPr>
          <w:trHeight w:val="552" w:hRule="atLeast"/>
        </w:trPr>
        <w:tc>
          <w:tcPr>
            <w:tcW w:w="5881" w:type="dxa"/>
          </w:tcPr>
          <w:p>
            <w:pPr>
              <w:pStyle w:val="TableParagraph"/>
              <w:spacing w:before="133"/>
              <w:ind w:left="50"/>
              <w:rPr>
                <w:sz w:val="24"/>
              </w:rPr>
            </w:pPr>
            <w:r>
              <w:rPr>
                <w:spacing w:val="-2"/>
                <w:sz w:val="24"/>
              </w:rPr>
              <w:t>Acknowledgement</w:t>
            </w:r>
          </w:p>
        </w:tc>
        <w:tc>
          <w:tcPr>
            <w:tcW w:w="3065" w:type="dxa"/>
          </w:tcPr>
          <w:p>
            <w:pPr>
              <w:pStyle w:val="TableParagraph"/>
              <w:rPr>
                <w:sz w:val="24"/>
              </w:rPr>
            </w:pPr>
          </w:p>
        </w:tc>
        <w:tc>
          <w:tcPr>
            <w:tcW w:w="1238" w:type="dxa"/>
          </w:tcPr>
          <w:p>
            <w:pPr>
              <w:pStyle w:val="TableParagraph"/>
              <w:spacing w:before="133"/>
              <w:ind w:right="88"/>
              <w:jc w:val="right"/>
              <w:rPr>
                <w:sz w:val="24"/>
              </w:rPr>
            </w:pPr>
            <w:r>
              <w:rPr>
                <w:spacing w:val="-5"/>
                <w:sz w:val="24"/>
              </w:rPr>
              <w:t>iii</w:t>
            </w:r>
          </w:p>
        </w:tc>
      </w:tr>
      <w:tr>
        <w:trPr>
          <w:trHeight w:val="551" w:hRule="atLeast"/>
        </w:trPr>
        <w:tc>
          <w:tcPr>
            <w:tcW w:w="5881" w:type="dxa"/>
          </w:tcPr>
          <w:p>
            <w:pPr>
              <w:pStyle w:val="TableParagraph"/>
              <w:spacing w:before="133"/>
              <w:ind w:left="50"/>
              <w:rPr>
                <w:sz w:val="24"/>
              </w:rPr>
            </w:pPr>
            <w:r>
              <w:rPr>
                <w:spacing w:val="-2"/>
                <w:sz w:val="24"/>
              </w:rPr>
              <w:t>Dedication</w:t>
            </w:r>
          </w:p>
        </w:tc>
        <w:tc>
          <w:tcPr>
            <w:tcW w:w="3065" w:type="dxa"/>
          </w:tcPr>
          <w:p>
            <w:pPr>
              <w:pStyle w:val="TableParagraph"/>
              <w:rPr>
                <w:sz w:val="24"/>
              </w:rPr>
            </w:pPr>
          </w:p>
        </w:tc>
        <w:tc>
          <w:tcPr>
            <w:tcW w:w="1238" w:type="dxa"/>
          </w:tcPr>
          <w:p>
            <w:pPr>
              <w:pStyle w:val="TableParagraph"/>
              <w:spacing w:before="133"/>
              <w:ind w:right="69"/>
              <w:jc w:val="right"/>
              <w:rPr>
                <w:sz w:val="24"/>
              </w:rPr>
            </w:pPr>
            <w:r>
              <w:rPr>
                <w:spacing w:val="-5"/>
                <w:sz w:val="24"/>
              </w:rPr>
              <w:t>vi</w:t>
            </w:r>
          </w:p>
        </w:tc>
      </w:tr>
      <w:tr>
        <w:trPr>
          <w:trHeight w:val="552" w:hRule="atLeast"/>
        </w:trPr>
        <w:tc>
          <w:tcPr>
            <w:tcW w:w="5881" w:type="dxa"/>
          </w:tcPr>
          <w:p>
            <w:pPr>
              <w:pStyle w:val="TableParagraph"/>
              <w:spacing w:before="133"/>
              <w:ind w:left="50"/>
              <w:rPr>
                <w:sz w:val="24"/>
              </w:rPr>
            </w:pPr>
            <w:r>
              <w:rPr>
                <w:sz w:val="24"/>
              </w:rPr>
              <w:t>List</w:t>
            </w:r>
            <w:r>
              <w:rPr>
                <w:spacing w:val="-2"/>
                <w:sz w:val="24"/>
              </w:rPr>
              <w:t> </w:t>
            </w:r>
            <w:r>
              <w:rPr>
                <w:sz w:val="24"/>
              </w:rPr>
              <w:t>of</w:t>
            </w:r>
            <w:r>
              <w:rPr>
                <w:spacing w:val="-1"/>
                <w:sz w:val="24"/>
              </w:rPr>
              <w:t> </w:t>
            </w:r>
            <w:r>
              <w:rPr>
                <w:spacing w:val="-2"/>
                <w:sz w:val="24"/>
              </w:rPr>
              <w:t>Abbreviations</w:t>
            </w:r>
          </w:p>
        </w:tc>
        <w:tc>
          <w:tcPr>
            <w:tcW w:w="3065" w:type="dxa"/>
          </w:tcPr>
          <w:p>
            <w:pPr>
              <w:pStyle w:val="TableParagraph"/>
              <w:rPr>
                <w:sz w:val="24"/>
              </w:rPr>
            </w:pPr>
          </w:p>
        </w:tc>
        <w:tc>
          <w:tcPr>
            <w:tcW w:w="1238" w:type="dxa"/>
          </w:tcPr>
          <w:p>
            <w:pPr>
              <w:pStyle w:val="TableParagraph"/>
              <w:spacing w:before="133"/>
              <w:ind w:right="96"/>
              <w:jc w:val="right"/>
              <w:rPr>
                <w:sz w:val="24"/>
              </w:rPr>
            </w:pPr>
            <w:r>
              <w:rPr>
                <w:spacing w:val="-5"/>
                <w:sz w:val="24"/>
              </w:rPr>
              <w:t>vii</w:t>
            </w:r>
          </w:p>
        </w:tc>
      </w:tr>
      <w:tr>
        <w:trPr>
          <w:trHeight w:val="552" w:hRule="atLeast"/>
        </w:trPr>
        <w:tc>
          <w:tcPr>
            <w:tcW w:w="5881" w:type="dxa"/>
          </w:tcPr>
          <w:p>
            <w:pPr>
              <w:pStyle w:val="TableParagraph"/>
              <w:spacing w:before="133"/>
              <w:ind w:left="50"/>
              <w:rPr>
                <w:sz w:val="24"/>
              </w:rPr>
            </w:pPr>
            <w:r>
              <w:rPr>
                <w:sz w:val="24"/>
              </w:rPr>
              <w:t>List</w:t>
            </w:r>
            <w:r>
              <w:rPr>
                <w:spacing w:val="-2"/>
                <w:sz w:val="24"/>
              </w:rPr>
              <w:t> </w:t>
            </w:r>
            <w:r>
              <w:rPr>
                <w:sz w:val="24"/>
              </w:rPr>
              <w:t>of</w:t>
            </w:r>
            <w:r>
              <w:rPr>
                <w:spacing w:val="-1"/>
                <w:sz w:val="24"/>
              </w:rPr>
              <w:t> </w:t>
            </w:r>
            <w:r>
              <w:rPr>
                <w:spacing w:val="-2"/>
                <w:sz w:val="24"/>
              </w:rPr>
              <w:t>Tables</w:t>
            </w:r>
          </w:p>
        </w:tc>
        <w:tc>
          <w:tcPr>
            <w:tcW w:w="3065" w:type="dxa"/>
          </w:tcPr>
          <w:p>
            <w:pPr>
              <w:pStyle w:val="TableParagraph"/>
              <w:rPr>
                <w:sz w:val="24"/>
              </w:rPr>
            </w:pPr>
          </w:p>
        </w:tc>
        <w:tc>
          <w:tcPr>
            <w:tcW w:w="1238" w:type="dxa"/>
          </w:tcPr>
          <w:p>
            <w:pPr>
              <w:pStyle w:val="TableParagraph"/>
              <w:spacing w:before="133"/>
              <w:ind w:right="102"/>
              <w:jc w:val="right"/>
              <w:rPr>
                <w:sz w:val="24"/>
              </w:rPr>
            </w:pPr>
            <w:r>
              <w:rPr>
                <w:spacing w:val="-5"/>
                <w:sz w:val="24"/>
              </w:rPr>
              <w:t>ix</w:t>
            </w:r>
          </w:p>
        </w:tc>
      </w:tr>
      <w:tr>
        <w:trPr>
          <w:trHeight w:val="552" w:hRule="atLeast"/>
        </w:trPr>
        <w:tc>
          <w:tcPr>
            <w:tcW w:w="5881" w:type="dxa"/>
          </w:tcPr>
          <w:p>
            <w:pPr>
              <w:pStyle w:val="TableParagraph"/>
              <w:spacing w:before="133"/>
              <w:ind w:left="50"/>
              <w:rPr>
                <w:sz w:val="24"/>
              </w:rPr>
            </w:pPr>
            <w:r>
              <w:rPr>
                <w:sz w:val="24"/>
              </w:rPr>
              <w:t>List</w:t>
            </w:r>
            <w:r>
              <w:rPr>
                <w:spacing w:val="-2"/>
                <w:sz w:val="24"/>
              </w:rPr>
              <w:t> </w:t>
            </w:r>
            <w:r>
              <w:rPr>
                <w:sz w:val="24"/>
              </w:rPr>
              <w:t>of </w:t>
            </w:r>
            <w:r>
              <w:rPr>
                <w:spacing w:val="-2"/>
                <w:sz w:val="24"/>
              </w:rPr>
              <w:t>Figures/Graph</w:t>
            </w:r>
          </w:p>
        </w:tc>
        <w:tc>
          <w:tcPr>
            <w:tcW w:w="3065" w:type="dxa"/>
          </w:tcPr>
          <w:p>
            <w:pPr>
              <w:pStyle w:val="TableParagraph"/>
              <w:rPr>
                <w:sz w:val="24"/>
              </w:rPr>
            </w:pPr>
          </w:p>
        </w:tc>
        <w:tc>
          <w:tcPr>
            <w:tcW w:w="1238" w:type="dxa"/>
          </w:tcPr>
          <w:p>
            <w:pPr>
              <w:pStyle w:val="TableParagraph"/>
              <w:spacing w:before="133"/>
              <w:ind w:right="111"/>
              <w:jc w:val="right"/>
              <w:rPr>
                <w:sz w:val="24"/>
              </w:rPr>
            </w:pPr>
            <w:r>
              <w:rPr>
                <w:spacing w:val="-10"/>
                <w:sz w:val="24"/>
              </w:rPr>
              <w:t>x</w:t>
            </w:r>
          </w:p>
        </w:tc>
      </w:tr>
      <w:tr>
        <w:trPr>
          <w:trHeight w:val="551" w:hRule="atLeast"/>
        </w:trPr>
        <w:tc>
          <w:tcPr>
            <w:tcW w:w="5881" w:type="dxa"/>
          </w:tcPr>
          <w:p>
            <w:pPr>
              <w:pStyle w:val="TableParagraph"/>
              <w:spacing w:before="133"/>
              <w:ind w:left="50"/>
              <w:rPr>
                <w:sz w:val="24"/>
              </w:rPr>
            </w:pPr>
            <w:r>
              <w:rPr>
                <w:sz w:val="24"/>
              </w:rPr>
              <w:t>List</w:t>
            </w:r>
            <w:r>
              <w:rPr>
                <w:spacing w:val="-4"/>
                <w:sz w:val="24"/>
              </w:rPr>
              <w:t> </w:t>
            </w:r>
            <w:r>
              <w:rPr>
                <w:sz w:val="24"/>
              </w:rPr>
              <w:t>of</w:t>
            </w:r>
            <w:r>
              <w:rPr>
                <w:spacing w:val="-1"/>
                <w:sz w:val="24"/>
              </w:rPr>
              <w:t> </w:t>
            </w:r>
            <w:r>
              <w:rPr>
                <w:spacing w:val="-2"/>
                <w:sz w:val="24"/>
              </w:rPr>
              <w:t>Appendix</w:t>
            </w:r>
          </w:p>
        </w:tc>
        <w:tc>
          <w:tcPr>
            <w:tcW w:w="3065" w:type="dxa"/>
          </w:tcPr>
          <w:p>
            <w:pPr>
              <w:pStyle w:val="TableParagraph"/>
              <w:rPr>
                <w:sz w:val="24"/>
              </w:rPr>
            </w:pPr>
          </w:p>
        </w:tc>
        <w:tc>
          <w:tcPr>
            <w:tcW w:w="1238" w:type="dxa"/>
          </w:tcPr>
          <w:p>
            <w:pPr>
              <w:pStyle w:val="TableParagraph"/>
              <w:spacing w:before="133"/>
              <w:ind w:right="100"/>
              <w:jc w:val="right"/>
              <w:rPr>
                <w:sz w:val="24"/>
              </w:rPr>
            </w:pPr>
            <w:r>
              <w:rPr>
                <w:spacing w:val="-5"/>
                <w:sz w:val="24"/>
              </w:rPr>
              <w:t>xi</w:t>
            </w:r>
          </w:p>
        </w:tc>
      </w:tr>
      <w:tr>
        <w:trPr>
          <w:trHeight w:val="552" w:hRule="atLeast"/>
        </w:trPr>
        <w:tc>
          <w:tcPr>
            <w:tcW w:w="5881" w:type="dxa"/>
          </w:tcPr>
          <w:p>
            <w:pPr>
              <w:pStyle w:val="TableParagraph"/>
              <w:spacing w:before="133"/>
              <w:ind w:left="50"/>
              <w:rPr>
                <w:sz w:val="24"/>
              </w:rPr>
            </w:pPr>
            <w:r>
              <w:rPr>
                <w:sz w:val="24"/>
              </w:rPr>
              <w:t>Table</w:t>
            </w:r>
            <w:r>
              <w:rPr>
                <w:spacing w:val="-4"/>
                <w:sz w:val="24"/>
              </w:rPr>
              <w:t> </w:t>
            </w:r>
            <w:r>
              <w:rPr>
                <w:sz w:val="24"/>
              </w:rPr>
              <w:t>of</w:t>
            </w:r>
            <w:r>
              <w:rPr>
                <w:spacing w:val="-2"/>
                <w:sz w:val="24"/>
              </w:rPr>
              <w:t> Contents</w:t>
            </w:r>
          </w:p>
        </w:tc>
        <w:tc>
          <w:tcPr>
            <w:tcW w:w="3065" w:type="dxa"/>
          </w:tcPr>
          <w:p>
            <w:pPr>
              <w:pStyle w:val="TableParagraph"/>
              <w:rPr>
                <w:sz w:val="24"/>
              </w:rPr>
            </w:pPr>
          </w:p>
        </w:tc>
        <w:tc>
          <w:tcPr>
            <w:tcW w:w="1238" w:type="dxa"/>
          </w:tcPr>
          <w:p>
            <w:pPr>
              <w:pStyle w:val="TableParagraph"/>
              <w:spacing w:before="133"/>
              <w:ind w:right="88"/>
              <w:jc w:val="right"/>
              <w:rPr>
                <w:sz w:val="24"/>
              </w:rPr>
            </w:pPr>
            <w:r>
              <w:rPr>
                <w:spacing w:val="-4"/>
                <w:sz w:val="24"/>
              </w:rPr>
              <w:t>xiii</w:t>
            </w:r>
          </w:p>
        </w:tc>
      </w:tr>
      <w:tr>
        <w:trPr>
          <w:trHeight w:val="551" w:hRule="atLeast"/>
        </w:trPr>
        <w:tc>
          <w:tcPr>
            <w:tcW w:w="5881" w:type="dxa"/>
          </w:tcPr>
          <w:p>
            <w:pPr>
              <w:pStyle w:val="TableParagraph"/>
              <w:spacing w:before="133"/>
              <w:ind w:left="50"/>
              <w:rPr>
                <w:sz w:val="24"/>
              </w:rPr>
            </w:pPr>
            <w:r>
              <w:rPr>
                <w:spacing w:val="-2"/>
                <w:sz w:val="24"/>
              </w:rPr>
              <w:t>Abstract</w:t>
            </w:r>
          </w:p>
        </w:tc>
        <w:tc>
          <w:tcPr>
            <w:tcW w:w="3065" w:type="dxa"/>
          </w:tcPr>
          <w:p>
            <w:pPr>
              <w:pStyle w:val="TableParagraph"/>
              <w:rPr>
                <w:sz w:val="24"/>
              </w:rPr>
            </w:pPr>
          </w:p>
        </w:tc>
        <w:tc>
          <w:tcPr>
            <w:tcW w:w="1238" w:type="dxa"/>
          </w:tcPr>
          <w:p>
            <w:pPr>
              <w:pStyle w:val="TableParagraph"/>
              <w:spacing w:before="133"/>
              <w:ind w:right="94"/>
              <w:jc w:val="right"/>
              <w:rPr>
                <w:sz w:val="24"/>
              </w:rPr>
            </w:pPr>
            <w:r>
              <w:rPr>
                <w:spacing w:val="-4"/>
                <w:sz w:val="24"/>
              </w:rPr>
              <w:t>xvii</w:t>
            </w:r>
          </w:p>
        </w:tc>
      </w:tr>
      <w:tr>
        <w:trPr>
          <w:trHeight w:val="552" w:hRule="atLeast"/>
        </w:trPr>
        <w:tc>
          <w:tcPr>
            <w:tcW w:w="5881" w:type="dxa"/>
          </w:tcPr>
          <w:p>
            <w:pPr>
              <w:pStyle w:val="TableParagraph"/>
              <w:tabs>
                <w:tab w:pos="2210" w:val="left" w:leader="none"/>
              </w:tabs>
              <w:spacing w:before="133"/>
              <w:ind w:left="50"/>
              <w:rPr>
                <w:b/>
                <w:sz w:val="24"/>
              </w:rPr>
            </w:pPr>
            <w:r>
              <w:rPr>
                <w:b/>
                <w:sz w:val="24"/>
              </w:rPr>
              <w:t>CHAPTER</w:t>
            </w:r>
            <w:r>
              <w:rPr>
                <w:b/>
                <w:spacing w:val="-4"/>
                <w:sz w:val="24"/>
              </w:rPr>
              <w:t> ONE:</w:t>
            </w:r>
            <w:r>
              <w:rPr>
                <w:b/>
                <w:sz w:val="24"/>
              </w:rPr>
              <w:tab/>
            </w:r>
            <w:r>
              <w:rPr>
                <w:b/>
                <w:spacing w:val="-2"/>
                <w:sz w:val="24"/>
              </w:rPr>
              <w:t>Introduction</w:t>
            </w:r>
          </w:p>
        </w:tc>
        <w:tc>
          <w:tcPr>
            <w:tcW w:w="3065" w:type="dxa"/>
          </w:tcPr>
          <w:p>
            <w:pPr>
              <w:pStyle w:val="TableParagraph"/>
              <w:rPr>
                <w:sz w:val="24"/>
              </w:rPr>
            </w:pPr>
          </w:p>
        </w:tc>
        <w:tc>
          <w:tcPr>
            <w:tcW w:w="1238" w:type="dxa"/>
          </w:tcPr>
          <w:p>
            <w:pPr>
              <w:pStyle w:val="TableParagraph"/>
              <w:rPr>
                <w:sz w:val="24"/>
              </w:rPr>
            </w:pPr>
          </w:p>
        </w:tc>
      </w:tr>
      <w:tr>
        <w:trPr>
          <w:trHeight w:val="552" w:hRule="atLeast"/>
        </w:trPr>
        <w:tc>
          <w:tcPr>
            <w:tcW w:w="5881" w:type="dxa"/>
          </w:tcPr>
          <w:p>
            <w:pPr>
              <w:pStyle w:val="TableParagraph"/>
              <w:tabs>
                <w:tab w:pos="801" w:val="left" w:leader="none"/>
              </w:tabs>
              <w:spacing w:before="133"/>
              <w:ind w:left="50"/>
              <w:rPr>
                <w:sz w:val="24"/>
              </w:rPr>
            </w:pPr>
            <w:r>
              <w:rPr>
                <w:spacing w:val="-5"/>
                <w:sz w:val="24"/>
              </w:rPr>
              <w:t>1.1</w:t>
            </w:r>
            <w:r>
              <w:rPr>
                <w:sz w:val="24"/>
              </w:rPr>
              <w:tab/>
              <w:t>Background</w:t>
            </w:r>
            <w:r>
              <w:rPr>
                <w:spacing w:val="-2"/>
                <w:sz w:val="24"/>
              </w:rPr>
              <w:t> </w:t>
            </w:r>
            <w:r>
              <w:rPr>
                <w:sz w:val="24"/>
              </w:rPr>
              <w:t>of</w:t>
            </w:r>
            <w:r>
              <w:rPr>
                <w:spacing w:val="-1"/>
                <w:sz w:val="24"/>
              </w:rPr>
              <w:t> </w:t>
            </w:r>
            <w:r>
              <w:rPr>
                <w:sz w:val="24"/>
              </w:rPr>
              <w:t>the</w:t>
            </w:r>
            <w:r>
              <w:rPr>
                <w:spacing w:val="-2"/>
                <w:sz w:val="24"/>
              </w:rPr>
              <w:t> Study</w:t>
            </w:r>
          </w:p>
        </w:tc>
        <w:tc>
          <w:tcPr>
            <w:tcW w:w="3065" w:type="dxa"/>
          </w:tcPr>
          <w:p>
            <w:pPr>
              <w:pStyle w:val="TableParagraph"/>
              <w:rPr>
                <w:sz w:val="24"/>
              </w:rPr>
            </w:pPr>
          </w:p>
        </w:tc>
        <w:tc>
          <w:tcPr>
            <w:tcW w:w="1238" w:type="dxa"/>
          </w:tcPr>
          <w:p>
            <w:pPr>
              <w:pStyle w:val="TableParagraph"/>
              <w:spacing w:before="133"/>
              <w:ind w:right="71"/>
              <w:jc w:val="right"/>
              <w:rPr>
                <w:sz w:val="24"/>
              </w:rPr>
            </w:pPr>
            <w:r>
              <w:rPr>
                <w:spacing w:val="-10"/>
                <w:sz w:val="24"/>
              </w:rPr>
              <w:t>1</w:t>
            </w:r>
          </w:p>
        </w:tc>
      </w:tr>
      <w:tr>
        <w:trPr>
          <w:trHeight w:val="552" w:hRule="atLeast"/>
        </w:trPr>
        <w:tc>
          <w:tcPr>
            <w:tcW w:w="5881" w:type="dxa"/>
          </w:tcPr>
          <w:p>
            <w:pPr>
              <w:pStyle w:val="TableParagraph"/>
              <w:tabs>
                <w:tab w:pos="861" w:val="left" w:leader="none"/>
              </w:tabs>
              <w:spacing w:before="133"/>
              <w:ind w:left="50"/>
              <w:rPr>
                <w:sz w:val="24"/>
              </w:rPr>
            </w:pPr>
            <w:r>
              <w:rPr>
                <w:spacing w:val="-5"/>
                <w:sz w:val="24"/>
              </w:rPr>
              <w:t>1.2</w:t>
            </w:r>
            <w:r>
              <w:rPr>
                <w:sz w:val="24"/>
              </w:rPr>
              <w:tab/>
              <w:t>Statement</w:t>
            </w:r>
            <w:r>
              <w:rPr>
                <w:spacing w:val="-1"/>
                <w:sz w:val="24"/>
              </w:rPr>
              <w:t> </w:t>
            </w:r>
            <w:r>
              <w:rPr>
                <w:sz w:val="24"/>
              </w:rPr>
              <w:t>of</w:t>
            </w:r>
            <w:r>
              <w:rPr>
                <w:spacing w:val="-1"/>
                <w:sz w:val="24"/>
              </w:rPr>
              <w:t> </w:t>
            </w:r>
            <w:r>
              <w:rPr>
                <w:sz w:val="24"/>
              </w:rPr>
              <w:t>the </w:t>
            </w:r>
            <w:r>
              <w:rPr>
                <w:spacing w:val="-2"/>
                <w:sz w:val="24"/>
              </w:rPr>
              <w:t>Problem</w:t>
            </w:r>
          </w:p>
        </w:tc>
        <w:tc>
          <w:tcPr>
            <w:tcW w:w="3065" w:type="dxa"/>
          </w:tcPr>
          <w:p>
            <w:pPr>
              <w:pStyle w:val="TableParagraph"/>
              <w:rPr>
                <w:sz w:val="24"/>
              </w:rPr>
            </w:pPr>
          </w:p>
        </w:tc>
        <w:tc>
          <w:tcPr>
            <w:tcW w:w="1238" w:type="dxa"/>
          </w:tcPr>
          <w:p>
            <w:pPr>
              <w:pStyle w:val="TableParagraph"/>
              <w:spacing w:before="133"/>
              <w:ind w:right="51"/>
              <w:jc w:val="right"/>
              <w:rPr>
                <w:sz w:val="24"/>
              </w:rPr>
            </w:pPr>
            <w:r>
              <w:rPr>
                <w:spacing w:val="-10"/>
                <w:sz w:val="24"/>
              </w:rPr>
              <w:t>5</w:t>
            </w:r>
          </w:p>
        </w:tc>
      </w:tr>
      <w:tr>
        <w:trPr>
          <w:trHeight w:val="552" w:hRule="atLeast"/>
        </w:trPr>
        <w:tc>
          <w:tcPr>
            <w:tcW w:w="5881" w:type="dxa"/>
          </w:tcPr>
          <w:p>
            <w:pPr>
              <w:pStyle w:val="TableParagraph"/>
              <w:tabs>
                <w:tab w:pos="830" w:val="left" w:leader="none"/>
              </w:tabs>
              <w:spacing w:before="133"/>
              <w:ind w:left="50"/>
              <w:rPr>
                <w:sz w:val="24"/>
              </w:rPr>
            </w:pPr>
            <w:r>
              <w:rPr>
                <w:spacing w:val="-5"/>
                <w:sz w:val="24"/>
              </w:rPr>
              <w:t>1.3</w:t>
            </w:r>
            <w:r>
              <w:rPr>
                <w:sz w:val="24"/>
              </w:rPr>
              <w:tab/>
              <w:t>Objectives</w:t>
            </w:r>
            <w:r>
              <w:rPr>
                <w:spacing w:val="-1"/>
                <w:sz w:val="24"/>
              </w:rPr>
              <w:t> </w:t>
            </w:r>
            <w:r>
              <w:rPr>
                <w:sz w:val="24"/>
              </w:rPr>
              <w:t>of</w:t>
            </w:r>
            <w:r>
              <w:rPr>
                <w:spacing w:val="-2"/>
                <w:sz w:val="24"/>
              </w:rPr>
              <w:t> </w:t>
            </w:r>
            <w:r>
              <w:rPr>
                <w:sz w:val="24"/>
              </w:rPr>
              <w:t>the</w:t>
            </w:r>
            <w:r>
              <w:rPr>
                <w:spacing w:val="-1"/>
                <w:sz w:val="24"/>
              </w:rPr>
              <w:t> </w:t>
            </w:r>
            <w:r>
              <w:rPr>
                <w:spacing w:val="-2"/>
                <w:sz w:val="24"/>
              </w:rPr>
              <w:t>Study</w:t>
            </w:r>
          </w:p>
        </w:tc>
        <w:tc>
          <w:tcPr>
            <w:tcW w:w="3065" w:type="dxa"/>
          </w:tcPr>
          <w:p>
            <w:pPr>
              <w:pStyle w:val="TableParagraph"/>
              <w:rPr>
                <w:sz w:val="24"/>
              </w:rPr>
            </w:pPr>
          </w:p>
        </w:tc>
        <w:tc>
          <w:tcPr>
            <w:tcW w:w="1238" w:type="dxa"/>
          </w:tcPr>
          <w:p>
            <w:pPr>
              <w:pStyle w:val="TableParagraph"/>
              <w:spacing w:before="133"/>
              <w:ind w:right="51"/>
              <w:jc w:val="right"/>
              <w:rPr>
                <w:sz w:val="24"/>
              </w:rPr>
            </w:pPr>
            <w:r>
              <w:rPr>
                <w:spacing w:val="-10"/>
                <w:sz w:val="24"/>
              </w:rPr>
              <w:t>7</w:t>
            </w:r>
          </w:p>
        </w:tc>
      </w:tr>
      <w:tr>
        <w:trPr>
          <w:trHeight w:val="552" w:hRule="atLeast"/>
        </w:trPr>
        <w:tc>
          <w:tcPr>
            <w:tcW w:w="5881" w:type="dxa"/>
          </w:tcPr>
          <w:p>
            <w:pPr>
              <w:pStyle w:val="TableParagraph"/>
              <w:tabs>
                <w:tab w:pos="830" w:val="left" w:leader="none"/>
              </w:tabs>
              <w:spacing w:before="133"/>
              <w:ind w:left="50"/>
              <w:rPr>
                <w:sz w:val="24"/>
              </w:rPr>
            </w:pPr>
            <w:r>
              <w:rPr>
                <w:spacing w:val="-5"/>
                <w:sz w:val="24"/>
              </w:rPr>
              <w:t>1.4</w:t>
            </w:r>
            <w:r>
              <w:rPr>
                <w:sz w:val="24"/>
              </w:rPr>
              <w:tab/>
              <w:t>Research</w:t>
            </w:r>
            <w:r>
              <w:rPr>
                <w:spacing w:val="-3"/>
                <w:sz w:val="24"/>
              </w:rPr>
              <w:t> </w:t>
            </w:r>
            <w:r>
              <w:rPr>
                <w:sz w:val="24"/>
              </w:rPr>
              <w:t>Question</w:t>
            </w:r>
            <w:r>
              <w:rPr>
                <w:spacing w:val="-3"/>
                <w:sz w:val="24"/>
              </w:rPr>
              <w:t> </w:t>
            </w:r>
            <w:r>
              <w:rPr>
                <w:sz w:val="24"/>
              </w:rPr>
              <w:t>and </w:t>
            </w:r>
            <w:r>
              <w:rPr>
                <w:spacing w:val="-2"/>
                <w:sz w:val="24"/>
              </w:rPr>
              <w:t>Hypothesis</w:t>
            </w:r>
          </w:p>
        </w:tc>
        <w:tc>
          <w:tcPr>
            <w:tcW w:w="3065" w:type="dxa"/>
          </w:tcPr>
          <w:p>
            <w:pPr>
              <w:pStyle w:val="TableParagraph"/>
              <w:rPr>
                <w:sz w:val="24"/>
              </w:rPr>
            </w:pPr>
          </w:p>
        </w:tc>
        <w:tc>
          <w:tcPr>
            <w:tcW w:w="1238" w:type="dxa"/>
          </w:tcPr>
          <w:p>
            <w:pPr>
              <w:pStyle w:val="TableParagraph"/>
              <w:spacing w:before="133"/>
              <w:ind w:right="51"/>
              <w:jc w:val="right"/>
              <w:rPr>
                <w:sz w:val="24"/>
              </w:rPr>
            </w:pPr>
            <w:r>
              <w:rPr>
                <w:spacing w:val="-10"/>
                <w:sz w:val="24"/>
              </w:rPr>
              <w:t>7</w:t>
            </w:r>
          </w:p>
        </w:tc>
      </w:tr>
      <w:tr>
        <w:trPr>
          <w:trHeight w:val="551" w:hRule="atLeast"/>
        </w:trPr>
        <w:tc>
          <w:tcPr>
            <w:tcW w:w="5881" w:type="dxa"/>
          </w:tcPr>
          <w:p>
            <w:pPr>
              <w:pStyle w:val="TableParagraph"/>
              <w:spacing w:before="133"/>
              <w:ind w:left="50"/>
              <w:rPr>
                <w:sz w:val="24"/>
              </w:rPr>
            </w:pPr>
            <w:r>
              <w:rPr>
                <w:sz w:val="24"/>
              </w:rPr>
              <w:t>1.4.1</w:t>
            </w:r>
            <w:r>
              <w:rPr>
                <w:spacing w:val="28"/>
                <w:sz w:val="24"/>
              </w:rPr>
              <w:t>  </w:t>
            </w:r>
            <w:r>
              <w:rPr>
                <w:sz w:val="24"/>
              </w:rPr>
              <w:t>Research</w:t>
            </w:r>
            <w:r>
              <w:rPr>
                <w:spacing w:val="1"/>
                <w:sz w:val="24"/>
              </w:rPr>
              <w:t> </w:t>
            </w:r>
            <w:r>
              <w:rPr>
                <w:spacing w:val="-2"/>
                <w:sz w:val="24"/>
              </w:rPr>
              <w:t>Questions</w:t>
            </w:r>
          </w:p>
        </w:tc>
        <w:tc>
          <w:tcPr>
            <w:tcW w:w="3065" w:type="dxa"/>
          </w:tcPr>
          <w:p>
            <w:pPr>
              <w:pStyle w:val="TableParagraph"/>
              <w:rPr>
                <w:sz w:val="24"/>
              </w:rPr>
            </w:pPr>
          </w:p>
        </w:tc>
        <w:tc>
          <w:tcPr>
            <w:tcW w:w="1238" w:type="dxa"/>
          </w:tcPr>
          <w:p>
            <w:pPr>
              <w:pStyle w:val="TableParagraph"/>
              <w:spacing w:before="133"/>
              <w:ind w:right="69"/>
              <w:jc w:val="right"/>
              <w:rPr>
                <w:sz w:val="24"/>
              </w:rPr>
            </w:pPr>
            <w:r>
              <w:rPr>
                <w:spacing w:val="-10"/>
                <w:sz w:val="24"/>
              </w:rPr>
              <w:t>7</w:t>
            </w:r>
          </w:p>
        </w:tc>
      </w:tr>
      <w:tr>
        <w:trPr>
          <w:trHeight w:val="552" w:hRule="atLeast"/>
        </w:trPr>
        <w:tc>
          <w:tcPr>
            <w:tcW w:w="5881" w:type="dxa"/>
          </w:tcPr>
          <w:p>
            <w:pPr>
              <w:pStyle w:val="TableParagraph"/>
              <w:spacing w:before="133"/>
              <w:ind w:left="50"/>
              <w:rPr>
                <w:sz w:val="24"/>
              </w:rPr>
            </w:pPr>
            <w:r>
              <w:rPr>
                <w:sz w:val="24"/>
              </w:rPr>
              <w:t>1.4.2</w:t>
            </w:r>
            <w:r>
              <w:rPr>
                <w:spacing w:val="28"/>
                <w:sz w:val="24"/>
              </w:rPr>
              <w:t>  </w:t>
            </w:r>
            <w:r>
              <w:rPr>
                <w:sz w:val="24"/>
              </w:rPr>
              <w:t>Research</w:t>
            </w:r>
            <w:r>
              <w:rPr>
                <w:spacing w:val="1"/>
                <w:sz w:val="24"/>
              </w:rPr>
              <w:t> </w:t>
            </w:r>
            <w:r>
              <w:rPr>
                <w:spacing w:val="-2"/>
                <w:sz w:val="24"/>
              </w:rPr>
              <w:t>Hypotheses</w:t>
            </w:r>
          </w:p>
        </w:tc>
        <w:tc>
          <w:tcPr>
            <w:tcW w:w="3065" w:type="dxa"/>
          </w:tcPr>
          <w:p>
            <w:pPr>
              <w:pStyle w:val="TableParagraph"/>
              <w:rPr>
                <w:sz w:val="24"/>
              </w:rPr>
            </w:pPr>
          </w:p>
        </w:tc>
        <w:tc>
          <w:tcPr>
            <w:tcW w:w="1238" w:type="dxa"/>
          </w:tcPr>
          <w:p>
            <w:pPr>
              <w:pStyle w:val="TableParagraph"/>
              <w:spacing w:before="133"/>
              <w:ind w:right="51"/>
              <w:jc w:val="right"/>
              <w:rPr>
                <w:sz w:val="24"/>
              </w:rPr>
            </w:pPr>
            <w:r>
              <w:rPr>
                <w:spacing w:val="-10"/>
                <w:sz w:val="24"/>
              </w:rPr>
              <w:t>8</w:t>
            </w:r>
          </w:p>
        </w:tc>
      </w:tr>
      <w:tr>
        <w:trPr>
          <w:trHeight w:val="552" w:hRule="atLeast"/>
        </w:trPr>
        <w:tc>
          <w:tcPr>
            <w:tcW w:w="5881" w:type="dxa"/>
          </w:tcPr>
          <w:p>
            <w:pPr>
              <w:pStyle w:val="TableParagraph"/>
              <w:tabs>
                <w:tab w:pos="709" w:val="left" w:leader="none"/>
              </w:tabs>
              <w:spacing w:before="133"/>
              <w:ind w:left="50"/>
              <w:rPr>
                <w:sz w:val="24"/>
              </w:rPr>
            </w:pPr>
            <w:r>
              <w:rPr>
                <w:spacing w:val="-5"/>
                <w:sz w:val="24"/>
              </w:rPr>
              <w:t>1.5</w:t>
            </w:r>
            <w:r>
              <w:rPr>
                <w:sz w:val="24"/>
              </w:rPr>
              <w:tab/>
              <w:t>Significance</w:t>
            </w:r>
            <w:r>
              <w:rPr>
                <w:spacing w:val="-4"/>
                <w:sz w:val="24"/>
              </w:rPr>
              <w:t> </w:t>
            </w:r>
            <w:r>
              <w:rPr>
                <w:sz w:val="24"/>
              </w:rPr>
              <w:t>of</w:t>
            </w:r>
            <w:r>
              <w:rPr>
                <w:spacing w:val="-1"/>
                <w:sz w:val="24"/>
              </w:rPr>
              <w:t> </w:t>
            </w:r>
            <w:r>
              <w:rPr>
                <w:sz w:val="24"/>
              </w:rPr>
              <w:t>the</w:t>
            </w:r>
            <w:r>
              <w:rPr>
                <w:spacing w:val="-1"/>
                <w:sz w:val="24"/>
              </w:rPr>
              <w:t> </w:t>
            </w:r>
            <w:r>
              <w:rPr>
                <w:spacing w:val="-2"/>
                <w:sz w:val="24"/>
              </w:rPr>
              <w:t>Study</w:t>
            </w:r>
          </w:p>
        </w:tc>
        <w:tc>
          <w:tcPr>
            <w:tcW w:w="3065" w:type="dxa"/>
          </w:tcPr>
          <w:p>
            <w:pPr>
              <w:pStyle w:val="TableParagraph"/>
              <w:rPr>
                <w:sz w:val="24"/>
              </w:rPr>
            </w:pPr>
          </w:p>
        </w:tc>
        <w:tc>
          <w:tcPr>
            <w:tcW w:w="1238" w:type="dxa"/>
          </w:tcPr>
          <w:p>
            <w:pPr>
              <w:pStyle w:val="TableParagraph"/>
              <w:spacing w:before="133"/>
              <w:ind w:right="51"/>
              <w:jc w:val="right"/>
              <w:rPr>
                <w:sz w:val="24"/>
              </w:rPr>
            </w:pPr>
            <w:r>
              <w:rPr>
                <w:spacing w:val="-10"/>
                <w:sz w:val="24"/>
              </w:rPr>
              <w:t>8</w:t>
            </w:r>
          </w:p>
        </w:tc>
      </w:tr>
      <w:tr>
        <w:trPr>
          <w:trHeight w:val="552" w:hRule="atLeast"/>
        </w:trPr>
        <w:tc>
          <w:tcPr>
            <w:tcW w:w="5881" w:type="dxa"/>
          </w:tcPr>
          <w:p>
            <w:pPr>
              <w:pStyle w:val="TableParagraph"/>
              <w:tabs>
                <w:tab w:pos="709" w:val="left" w:leader="none"/>
              </w:tabs>
              <w:spacing w:before="133"/>
              <w:ind w:left="50"/>
              <w:rPr>
                <w:sz w:val="24"/>
              </w:rPr>
            </w:pPr>
            <w:r>
              <w:rPr>
                <w:spacing w:val="-5"/>
                <w:sz w:val="24"/>
              </w:rPr>
              <w:t>1.6</w:t>
            </w:r>
            <w:r>
              <w:rPr>
                <w:sz w:val="24"/>
              </w:rPr>
              <w:tab/>
              <w:t>Scope</w:t>
            </w:r>
            <w:r>
              <w:rPr>
                <w:spacing w:val="-2"/>
                <w:sz w:val="24"/>
              </w:rPr>
              <w:t> </w:t>
            </w:r>
            <w:r>
              <w:rPr>
                <w:sz w:val="24"/>
              </w:rPr>
              <w:t>and</w:t>
            </w:r>
            <w:r>
              <w:rPr>
                <w:spacing w:val="-1"/>
                <w:sz w:val="24"/>
              </w:rPr>
              <w:t> </w:t>
            </w:r>
            <w:r>
              <w:rPr>
                <w:sz w:val="24"/>
              </w:rPr>
              <w:t>Delimitation</w:t>
            </w:r>
            <w:r>
              <w:rPr>
                <w:spacing w:val="-1"/>
                <w:sz w:val="24"/>
              </w:rPr>
              <w:t> </w:t>
            </w:r>
            <w:r>
              <w:rPr>
                <w:sz w:val="24"/>
              </w:rPr>
              <w:t>of</w:t>
            </w:r>
            <w:r>
              <w:rPr>
                <w:spacing w:val="-1"/>
                <w:sz w:val="24"/>
              </w:rPr>
              <w:t> </w:t>
            </w:r>
            <w:r>
              <w:rPr>
                <w:sz w:val="24"/>
              </w:rPr>
              <w:t>the</w:t>
            </w:r>
            <w:r>
              <w:rPr>
                <w:spacing w:val="-1"/>
                <w:sz w:val="24"/>
              </w:rPr>
              <w:t> </w:t>
            </w:r>
            <w:r>
              <w:rPr>
                <w:spacing w:val="-2"/>
                <w:sz w:val="24"/>
              </w:rPr>
              <w:t>Study</w:t>
            </w:r>
          </w:p>
        </w:tc>
        <w:tc>
          <w:tcPr>
            <w:tcW w:w="3065" w:type="dxa"/>
          </w:tcPr>
          <w:p>
            <w:pPr>
              <w:pStyle w:val="TableParagraph"/>
              <w:rPr>
                <w:sz w:val="24"/>
              </w:rPr>
            </w:pPr>
          </w:p>
        </w:tc>
        <w:tc>
          <w:tcPr>
            <w:tcW w:w="1238" w:type="dxa"/>
          </w:tcPr>
          <w:p>
            <w:pPr>
              <w:pStyle w:val="TableParagraph"/>
              <w:spacing w:before="133"/>
              <w:ind w:right="111"/>
              <w:jc w:val="right"/>
              <w:rPr>
                <w:sz w:val="24"/>
              </w:rPr>
            </w:pPr>
            <w:r>
              <w:rPr>
                <w:spacing w:val="-10"/>
                <w:sz w:val="24"/>
              </w:rPr>
              <w:t>9</w:t>
            </w:r>
          </w:p>
        </w:tc>
      </w:tr>
      <w:tr>
        <w:trPr>
          <w:trHeight w:val="552" w:hRule="atLeast"/>
        </w:trPr>
        <w:tc>
          <w:tcPr>
            <w:tcW w:w="5881" w:type="dxa"/>
          </w:tcPr>
          <w:p>
            <w:pPr>
              <w:pStyle w:val="TableParagraph"/>
              <w:tabs>
                <w:tab w:pos="652" w:val="left" w:leader="none"/>
              </w:tabs>
              <w:spacing w:before="133"/>
              <w:ind w:left="50"/>
              <w:rPr>
                <w:sz w:val="24"/>
              </w:rPr>
            </w:pPr>
            <w:r>
              <w:rPr>
                <w:spacing w:val="-5"/>
                <w:sz w:val="24"/>
              </w:rPr>
              <w:t>1.7</w:t>
            </w:r>
            <w:r>
              <w:rPr>
                <w:sz w:val="24"/>
              </w:rPr>
              <w:tab/>
              <w:t>Limitation</w:t>
            </w:r>
            <w:r>
              <w:rPr>
                <w:spacing w:val="-5"/>
                <w:sz w:val="24"/>
              </w:rPr>
              <w:t> </w:t>
            </w:r>
            <w:r>
              <w:rPr>
                <w:sz w:val="24"/>
              </w:rPr>
              <w:t>of</w:t>
            </w:r>
            <w:r>
              <w:rPr>
                <w:spacing w:val="-3"/>
                <w:sz w:val="24"/>
              </w:rPr>
              <w:t> </w:t>
            </w:r>
            <w:r>
              <w:rPr>
                <w:sz w:val="24"/>
              </w:rPr>
              <w:t>the</w:t>
            </w:r>
            <w:r>
              <w:rPr>
                <w:spacing w:val="-2"/>
                <w:sz w:val="24"/>
              </w:rPr>
              <w:t> Study</w:t>
            </w:r>
          </w:p>
        </w:tc>
        <w:tc>
          <w:tcPr>
            <w:tcW w:w="3065" w:type="dxa"/>
          </w:tcPr>
          <w:p>
            <w:pPr>
              <w:pStyle w:val="TableParagraph"/>
              <w:rPr>
                <w:sz w:val="24"/>
              </w:rPr>
            </w:pPr>
          </w:p>
        </w:tc>
        <w:tc>
          <w:tcPr>
            <w:tcW w:w="1238" w:type="dxa"/>
          </w:tcPr>
          <w:p>
            <w:pPr>
              <w:pStyle w:val="TableParagraph"/>
              <w:spacing w:before="133"/>
              <w:ind w:right="143"/>
              <w:jc w:val="right"/>
              <w:rPr>
                <w:sz w:val="24"/>
              </w:rPr>
            </w:pPr>
            <w:r>
              <w:rPr>
                <w:spacing w:val="-10"/>
                <w:sz w:val="24"/>
              </w:rPr>
              <w:t>9</w:t>
            </w:r>
          </w:p>
        </w:tc>
      </w:tr>
      <w:tr>
        <w:trPr>
          <w:trHeight w:val="551" w:hRule="atLeast"/>
        </w:trPr>
        <w:tc>
          <w:tcPr>
            <w:tcW w:w="5881" w:type="dxa"/>
          </w:tcPr>
          <w:p>
            <w:pPr>
              <w:pStyle w:val="TableParagraph"/>
              <w:tabs>
                <w:tab w:pos="709" w:val="left" w:leader="none"/>
              </w:tabs>
              <w:spacing w:before="133"/>
              <w:ind w:left="50"/>
              <w:rPr>
                <w:sz w:val="24"/>
              </w:rPr>
            </w:pPr>
            <w:r>
              <w:rPr>
                <w:spacing w:val="-5"/>
                <w:sz w:val="24"/>
              </w:rPr>
              <w:t>1.8</w:t>
            </w:r>
            <w:r>
              <w:rPr>
                <w:sz w:val="24"/>
              </w:rPr>
              <w:tab/>
              <w:t>Organization</w:t>
            </w:r>
            <w:r>
              <w:rPr>
                <w:spacing w:val="-4"/>
                <w:sz w:val="24"/>
              </w:rPr>
              <w:t> </w:t>
            </w:r>
            <w:r>
              <w:rPr>
                <w:sz w:val="24"/>
              </w:rPr>
              <w:t>of</w:t>
            </w:r>
            <w:r>
              <w:rPr>
                <w:spacing w:val="-2"/>
                <w:sz w:val="24"/>
              </w:rPr>
              <w:t> </w:t>
            </w:r>
            <w:r>
              <w:rPr>
                <w:sz w:val="24"/>
              </w:rPr>
              <w:t>the</w:t>
            </w:r>
            <w:r>
              <w:rPr>
                <w:spacing w:val="-1"/>
                <w:sz w:val="24"/>
              </w:rPr>
              <w:t> </w:t>
            </w:r>
            <w:r>
              <w:rPr>
                <w:spacing w:val="-2"/>
                <w:sz w:val="24"/>
              </w:rPr>
              <w:t>Study</w:t>
            </w:r>
          </w:p>
        </w:tc>
        <w:tc>
          <w:tcPr>
            <w:tcW w:w="3065" w:type="dxa"/>
          </w:tcPr>
          <w:p>
            <w:pPr>
              <w:pStyle w:val="TableParagraph"/>
              <w:rPr>
                <w:sz w:val="24"/>
              </w:rPr>
            </w:pPr>
          </w:p>
        </w:tc>
        <w:tc>
          <w:tcPr>
            <w:tcW w:w="1238" w:type="dxa"/>
          </w:tcPr>
          <w:p>
            <w:pPr>
              <w:pStyle w:val="TableParagraph"/>
              <w:spacing w:before="133"/>
              <w:ind w:right="83"/>
              <w:jc w:val="right"/>
              <w:rPr>
                <w:sz w:val="24"/>
              </w:rPr>
            </w:pPr>
            <w:r>
              <w:rPr>
                <w:spacing w:val="-5"/>
                <w:sz w:val="24"/>
              </w:rPr>
              <w:t>10</w:t>
            </w:r>
          </w:p>
        </w:tc>
      </w:tr>
      <w:tr>
        <w:trPr>
          <w:trHeight w:val="551" w:hRule="atLeast"/>
        </w:trPr>
        <w:tc>
          <w:tcPr>
            <w:tcW w:w="5881" w:type="dxa"/>
          </w:tcPr>
          <w:p>
            <w:pPr>
              <w:pStyle w:val="TableParagraph"/>
              <w:tabs>
                <w:tab w:pos="650" w:val="left" w:leader="none"/>
              </w:tabs>
              <w:spacing w:before="133"/>
              <w:ind w:left="50"/>
              <w:rPr>
                <w:sz w:val="24"/>
              </w:rPr>
            </w:pPr>
            <w:r>
              <w:rPr>
                <w:spacing w:val="-5"/>
                <w:sz w:val="24"/>
              </w:rPr>
              <w:t>1.9</w:t>
            </w:r>
            <w:r>
              <w:rPr>
                <w:sz w:val="24"/>
              </w:rPr>
              <w:tab/>
              <w:t>Operational</w:t>
            </w:r>
            <w:r>
              <w:rPr>
                <w:spacing w:val="-3"/>
                <w:sz w:val="24"/>
              </w:rPr>
              <w:t> </w:t>
            </w:r>
            <w:r>
              <w:rPr>
                <w:sz w:val="24"/>
              </w:rPr>
              <w:t>Definition</w:t>
            </w:r>
            <w:r>
              <w:rPr>
                <w:spacing w:val="-1"/>
                <w:sz w:val="24"/>
              </w:rPr>
              <w:t> </w:t>
            </w:r>
            <w:r>
              <w:rPr>
                <w:sz w:val="24"/>
              </w:rPr>
              <w:t>of</w:t>
            </w:r>
            <w:r>
              <w:rPr>
                <w:spacing w:val="-1"/>
                <w:sz w:val="24"/>
              </w:rPr>
              <w:t> </w:t>
            </w:r>
            <w:r>
              <w:rPr>
                <w:spacing w:val="-2"/>
                <w:sz w:val="24"/>
              </w:rPr>
              <w:t>Terms</w:t>
            </w:r>
          </w:p>
        </w:tc>
        <w:tc>
          <w:tcPr>
            <w:tcW w:w="3065" w:type="dxa"/>
          </w:tcPr>
          <w:p>
            <w:pPr>
              <w:pStyle w:val="TableParagraph"/>
              <w:rPr>
                <w:sz w:val="24"/>
              </w:rPr>
            </w:pPr>
          </w:p>
        </w:tc>
        <w:tc>
          <w:tcPr>
            <w:tcW w:w="1238" w:type="dxa"/>
          </w:tcPr>
          <w:p>
            <w:pPr>
              <w:pStyle w:val="TableParagraph"/>
              <w:spacing w:before="133"/>
              <w:ind w:right="51"/>
              <w:jc w:val="right"/>
              <w:rPr>
                <w:sz w:val="24"/>
              </w:rPr>
            </w:pPr>
            <w:r>
              <w:rPr>
                <w:spacing w:val="-5"/>
                <w:sz w:val="24"/>
              </w:rPr>
              <w:t>10</w:t>
            </w:r>
          </w:p>
        </w:tc>
      </w:tr>
      <w:tr>
        <w:trPr>
          <w:trHeight w:val="408" w:hRule="atLeast"/>
        </w:trPr>
        <w:tc>
          <w:tcPr>
            <w:tcW w:w="5881" w:type="dxa"/>
          </w:tcPr>
          <w:p>
            <w:pPr>
              <w:pStyle w:val="TableParagraph"/>
              <w:spacing w:line="256" w:lineRule="exact" w:before="133"/>
              <w:ind w:left="770"/>
              <w:rPr>
                <w:sz w:val="24"/>
              </w:rPr>
            </w:pPr>
            <w:r>
              <w:rPr>
                <w:spacing w:val="-2"/>
                <w:sz w:val="24"/>
              </w:rPr>
              <w:t>References</w:t>
            </w:r>
          </w:p>
        </w:tc>
        <w:tc>
          <w:tcPr>
            <w:tcW w:w="3065" w:type="dxa"/>
          </w:tcPr>
          <w:p>
            <w:pPr>
              <w:pStyle w:val="TableParagraph"/>
              <w:rPr>
                <w:sz w:val="24"/>
              </w:rPr>
            </w:pPr>
          </w:p>
        </w:tc>
        <w:tc>
          <w:tcPr>
            <w:tcW w:w="1238" w:type="dxa"/>
          </w:tcPr>
          <w:p>
            <w:pPr>
              <w:pStyle w:val="TableParagraph"/>
              <w:spacing w:line="256" w:lineRule="exact" w:before="133"/>
              <w:ind w:right="51"/>
              <w:jc w:val="right"/>
              <w:rPr>
                <w:sz w:val="24"/>
              </w:rPr>
            </w:pPr>
            <w:r>
              <w:rPr>
                <w:spacing w:val="-5"/>
                <w:sz w:val="24"/>
              </w:rPr>
              <w:t>11</w:t>
            </w:r>
          </w:p>
        </w:tc>
      </w:tr>
    </w:tbl>
    <w:p>
      <w:pPr>
        <w:spacing w:after="0" w:line="256" w:lineRule="exact"/>
        <w:jc w:val="right"/>
        <w:rPr>
          <w:sz w:val="24"/>
        </w:rPr>
        <w:sectPr>
          <w:pgSz w:w="11910" w:h="16840"/>
          <w:pgMar w:header="0" w:footer="1039" w:top="1920" w:bottom="1240" w:left="280" w:right="0"/>
        </w:sectPr>
      </w:pPr>
    </w:p>
    <w:p>
      <w:pPr>
        <w:pStyle w:val="Heading6"/>
        <w:tabs>
          <w:tab w:pos="3119" w:val="left" w:leader="none"/>
        </w:tabs>
        <w:spacing w:before="60"/>
        <w:ind w:left="620"/>
        <w:jc w:val="left"/>
      </w:pPr>
      <w:r>
        <w:rPr/>
        <w:t>CHAPTER</w:t>
      </w:r>
      <w:r>
        <w:rPr>
          <w:spacing w:val="-4"/>
        </w:rPr>
        <w:t> TWO:</w:t>
      </w:r>
      <w:r>
        <w:rPr/>
        <w:tab/>
        <w:t>Literature</w:t>
      </w:r>
      <w:r>
        <w:rPr>
          <w:spacing w:val="-5"/>
        </w:rPr>
        <w:t> </w:t>
      </w:r>
      <w:r>
        <w:rPr>
          <w:spacing w:val="-2"/>
        </w:rPr>
        <w:t>Review</w:t>
      </w:r>
    </w:p>
    <w:p>
      <w:pPr>
        <w:pStyle w:val="ListParagraph"/>
        <w:numPr>
          <w:ilvl w:val="1"/>
          <w:numId w:val="1"/>
        </w:numPr>
        <w:tabs>
          <w:tab w:pos="1040" w:val="left" w:leader="none"/>
          <w:tab w:pos="10761" w:val="right" w:leader="none"/>
        </w:tabs>
        <w:spacing w:line="240" w:lineRule="auto" w:before="277" w:after="0"/>
        <w:ind w:left="1040" w:right="0" w:hanging="360"/>
        <w:jc w:val="left"/>
        <w:rPr>
          <w:sz w:val="24"/>
        </w:rPr>
      </w:pPr>
      <w:hyperlink w:history="true" w:anchor="_TOC_250026">
        <w:r>
          <w:rPr>
            <w:sz w:val="24"/>
          </w:rPr>
          <w:t>The</w:t>
        </w:r>
        <w:r>
          <w:rPr>
            <w:spacing w:val="-2"/>
            <w:sz w:val="24"/>
          </w:rPr>
          <w:t> </w:t>
        </w:r>
        <w:r>
          <w:rPr>
            <w:sz w:val="24"/>
          </w:rPr>
          <w:t>Concept of</w:t>
        </w:r>
        <w:r>
          <w:rPr>
            <w:spacing w:val="-1"/>
            <w:sz w:val="24"/>
          </w:rPr>
          <w:t> </w:t>
        </w:r>
        <w:r>
          <w:rPr>
            <w:sz w:val="24"/>
          </w:rPr>
          <w:t>Capital </w:t>
        </w:r>
        <w:r>
          <w:rPr>
            <w:spacing w:val="-2"/>
            <w:sz w:val="24"/>
          </w:rPr>
          <w:t>Flight</w:t>
        </w:r>
        <w:r>
          <w:rPr>
            <w:sz w:val="24"/>
          </w:rPr>
          <w:tab/>
        </w:r>
        <w:r>
          <w:rPr>
            <w:spacing w:val="-5"/>
            <w:sz w:val="24"/>
          </w:rPr>
          <w:t>13</w:t>
        </w:r>
      </w:hyperlink>
    </w:p>
    <w:p>
      <w:pPr>
        <w:pStyle w:val="ListParagraph"/>
        <w:numPr>
          <w:ilvl w:val="1"/>
          <w:numId w:val="1"/>
        </w:numPr>
        <w:tabs>
          <w:tab w:pos="1191" w:val="left" w:leader="none"/>
          <w:tab w:pos="10778" w:val="right" w:leader="none"/>
        </w:tabs>
        <w:spacing w:line="240" w:lineRule="auto" w:before="276" w:after="0"/>
        <w:ind w:left="1191" w:right="0" w:hanging="480"/>
        <w:jc w:val="left"/>
        <w:rPr>
          <w:sz w:val="24"/>
        </w:rPr>
      </w:pPr>
      <w:r>
        <w:rPr>
          <w:sz w:val="24"/>
        </w:rPr>
        <w:t>Operationalization</w:t>
      </w:r>
      <w:r>
        <w:rPr>
          <w:spacing w:val="-2"/>
          <w:sz w:val="24"/>
        </w:rPr>
        <w:t> </w:t>
      </w:r>
      <w:r>
        <w:rPr>
          <w:sz w:val="24"/>
        </w:rPr>
        <w:t>and</w:t>
      </w:r>
      <w:r>
        <w:rPr>
          <w:spacing w:val="-1"/>
          <w:sz w:val="24"/>
        </w:rPr>
        <w:t> </w:t>
      </w:r>
      <w:r>
        <w:rPr>
          <w:sz w:val="24"/>
        </w:rPr>
        <w:t>Measurement</w:t>
      </w:r>
      <w:r>
        <w:rPr>
          <w:spacing w:val="-2"/>
          <w:sz w:val="24"/>
        </w:rPr>
        <w:t> </w:t>
      </w:r>
      <w:r>
        <w:rPr>
          <w:sz w:val="24"/>
        </w:rPr>
        <w:t>of</w:t>
      </w:r>
      <w:r>
        <w:rPr>
          <w:spacing w:val="-1"/>
          <w:sz w:val="24"/>
        </w:rPr>
        <w:t> </w:t>
      </w:r>
      <w:r>
        <w:rPr>
          <w:sz w:val="24"/>
        </w:rPr>
        <w:t>Capital</w:t>
      </w:r>
      <w:r>
        <w:rPr>
          <w:spacing w:val="-1"/>
          <w:sz w:val="24"/>
        </w:rPr>
        <w:t> </w:t>
      </w:r>
      <w:r>
        <w:rPr>
          <w:spacing w:val="-2"/>
          <w:sz w:val="24"/>
        </w:rPr>
        <w:t>Flight</w:t>
      </w:r>
      <w:r>
        <w:rPr>
          <w:sz w:val="24"/>
        </w:rPr>
        <w:tab/>
      </w:r>
      <w:r>
        <w:rPr>
          <w:spacing w:val="-5"/>
          <w:sz w:val="24"/>
        </w:rPr>
        <w:t>15</w:t>
      </w:r>
    </w:p>
    <w:p>
      <w:pPr>
        <w:pStyle w:val="ListParagraph"/>
        <w:numPr>
          <w:ilvl w:val="1"/>
          <w:numId w:val="1"/>
        </w:numPr>
        <w:tabs>
          <w:tab w:pos="1491" w:val="left" w:leader="none"/>
          <w:tab w:pos="10759" w:val="right" w:leader="none"/>
        </w:tabs>
        <w:spacing w:line="240" w:lineRule="auto" w:before="276" w:after="0"/>
        <w:ind w:left="1491" w:right="0" w:hanging="780"/>
        <w:jc w:val="left"/>
        <w:rPr>
          <w:sz w:val="24"/>
        </w:rPr>
      </w:pPr>
      <w:hyperlink w:history="true" w:anchor="_TOC_250025">
        <w:r>
          <w:rPr>
            <w:sz w:val="24"/>
          </w:rPr>
          <w:t>Theoretical</w:t>
        </w:r>
        <w:r>
          <w:rPr>
            <w:spacing w:val="-4"/>
            <w:sz w:val="24"/>
          </w:rPr>
          <w:t> </w:t>
        </w:r>
        <w:r>
          <w:rPr>
            <w:spacing w:val="-2"/>
            <w:sz w:val="24"/>
          </w:rPr>
          <w:t>Review</w:t>
        </w:r>
        <w:r>
          <w:rPr>
            <w:sz w:val="24"/>
          </w:rPr>
          <w:tab/>
        </w:r>
        <w:r>
          <w:rPr>
            <w:spacing w:val="-5"/>
            <w:sz w:val="24"/>
          </w:rPr>
          <w:t>18</w:t>
        </w:r>
      </w:hyperlink>
    </w:p>
    <w:p>
      <w:pPr>
        <w:pStyle w:val="ListParagraph"/>
        <w:numPr>
          <w:ilvl w:val="1"/>
          <w:numId w:val="1"/>
        </w:numPr>
        <w:tabs>
          <w:tab w:pos="1431" w:val="left" w:leader="none"/>
          <w:tab w:pos="10766" w:val="right" w:leader="none"/>
        </w:tabs>
        <w:spacing w:line="240" w:lineRule="auto" w:before="293" w:after="0"/>
        <w:ind w:left="1431" w:right="0" w:hanging="720"/>
        <w:jc w:val="left"/>
        <w:rPr>
          <w:sz w:val="24"/>
        </w:rPr>
      </w:pPr>
      <w:hyperlink w:history="true" w:anchor="_TOC_250024">
        <w:r>
          <w:rPr>
            <w:sz w:val="24"/>
          </w:rPr>
          <w:t>Normal</w:t>
        </w:r>
        <w:r>
          <w:rPr>
            <w:spacing w:val="-2"/>
            <w:sz w:val="24"/>
          </w:rPr>
          <w:t> </w:t>
        </w:r>
        <w:r>
          <w:rPr>
            <w:sz w:val="24"/>
          </w:rPr>
          <w:t>and</w:t>
        </w:r>
        <w:r>
          <w:rPr>
            <w:spacing w:val="-1"/>
            <w:sz w:val="24"/>
          </w:rPr>
          <w:t> </w:t>
        </w:r>
        <w:r>
          <w:rPr>
            <w:sz w:val="24"/>
          </w:rPr>
          <w:t>Abnormal</w:t>
        </w:r>
        <w:r>
          <w:rPr>
            <w:spacing w:val="-2"/>
            <w:sz w:val="24"/>
          </w:rPr>
          <w:t> </w:t>
        </w:r>
        <w:r>
          <w:rPr>
            <w:sz w:val="24"/>
          </w:rPr>
          <w:t>Capital</w:t>
        </w:r>
        <w:r>
          <w:rPr>
            <w:spacing w:val="-1"/>
            <w:sz w:val="24"/>
          </w:rPr>
          <w:t> </w:t>
        </w:r>
        <w:r>
          <w:rPr>
            <w:spacing w:val="-2"/>
            <w:sz w:val="24"/>
          </w:rPr>
          <w:t>Flows</w:t>
        </w:r>
        <w:r>
          <w:rPr>
            <w:sz w:val="24"/>
          </w:rPr>
          <w:tab/>
        </w:r>
        <w:r>
          <w:rPr>
            <w:spacing w:val="-5"/>
            <w:sz w:val="24"/>
          </w:rPr>
          <w:t>25</w:t>
        </w:r>
      </w:hyperlink>
    </w:p>
    <w:p>
      <w:pPr>
        <w:pStyle w:val="ListParagraph"/>
        <w:numPr>
          <w:ilvl w:val="1"/>
          <w:numId w:val="1"/>
        </w:numPr>
        <w:tabs>
          <w:tab w:pos="1311" w:val="left" w:leader="none"/>
          <w:tab w:pos="10733" w:val="right" w:leader="none"/>
        </w:tabs>
        <w:spacing w:line="240" w:lineRule="auto" w:before="276" w:after="0"/>
        <w:ind w:left="1311" w:right="0" w:hanging="600"/>
        <w:jc w:val="left"/>
        <w:rPr>
          <w:sz w:val="24"/>
        </w:rPr>
      </w:pPr>
      <w:hyperlink w:history="true" w:anchor="_TOC_250023">
        <w:r>
          <w:rPr>
            <w:sz w:val="24"/>
          </w:rPr>
          <w:t>Capital</w:t>
        </w:r>
        <w:r>
          <w:rPr>
            <w:spacing w:val="-3"/>
            <w:sz w:val="24"/>
          </w:rPr>
          <w:t> </w:t>
        </w:r>
        <w:r>
          <w:rPr>
            <w:sz w:val="24"/>
          </w:rPr>
          <w:t>Flight</w:t>
        </w:r>
        <w:r>
          <w:rPr>
            <w:spacing w:val="-2"/>
            <w:sz w:val="24"/>
          </w:rPr>
          <w:t> </w:t>
        </w:r>
        <w:r>
          <w:rPr>
            <w:sz w:val="24"/>
          </w:rPr>
          <w:t>and</w:t>
        </w:r>
        <w:r>
          <w:rPr>
            <w:spacing w:val="-2"/>
            <w:sz w:val="24"/>
          </w:rPr>
          <w:t> </w:t>
        </w:r>
        <w:r>
          <w:rPr>
            <w:sz w:val="24"/>
          </w:rPr>
          <w:t>Foreign</w:t>
        </w:r>
        <w:r>
          <w:rPr>
            <w:spacing w:val="-2"/>
            <w:sz w:val="24"/>
          </w:rPr>
          <w:t> </w:t>
        </w:r>
        <w:r>
          <w:rPr>
            <w:sz w:val="24"/>
          </w:rPr>
          <w:t>Direct </w:t>
        </w:r>
        <w:r>
          <w:rPr>
            <w:spacing w:val="-2"/>
            <w:sz w:val="24"/>
          </w:rPr>
          <w:t>Investment</w:t>
        </w:r>
        <w:r>
          <w:rPr>
            <w:sz w:val="24"/>
          </w:rPr>
          <w:tab/>
        </w:r>
        <w:r>
          <w:rPr>
            <w:spacing w:val="-5"/>
            <w:sz w:val="24"/>
          </w:rPr>
          <w:t>26</w:t>
        </w:r>
      </w:hyperlink>
    </w:p>
    <w:p>
      <w:pPr>
        <w:pStyle w:val="ListParagraph"/>
        <w:numPr>
          <w:ilvl w:val="1"/>
          <w:numId w:val="1"/>
        </w:numPr>
        <w:tabs>
          <w:tab w:pos="1431" w:val="left" w:leader="none"/>
          <w:tab w:pos="10759" w:val="right" w:leader="none"/>
        </w:tabs>
        <w:spacing w:line="240" w:lineRule="auto" w:before="276" w:after="0"/>
        <w:ind w:left="1431" w:right="0" w:hanging="720"/>
        <w:jc w:val="left"/>
        <w:rPr>
          <w:sz w:val="24"/>
        </w:rPr>
      </w:pPr>
      <w:hyperlink w:history="true" w:anchor="_TOC_250022">
        <w:r>
          <w:rPr>
            <w:sz w:val="24"/>
          </w:rPr>
          <w:t>Foreign</w:t>
        </w:r>
        <w:r>
          <w:rPr>
            <w:spacing w:val="-1"/>
            <w:sz w:val="24"/>
          </w:rPr>
          <w:t> </w:t>
        </w:r>
        <w:r>
          <w:rPr>
            <w:sz w:val="24"/>
          </w:rPr>
          <w:t>Lending</w:t>
        </w:r>
        <w:r>
          <w:rPr>
            <w:spacing w:val="-2"/>
            <w:sz w:val="24"/>
          </w:rPr>
          <w:t> </w:t>
        </w:r>
        <w:r>
          <w:rPr>
            <w:sz w:val="24"/>
          </w:rPr>
          <w:t>and</w:t>
        </w:r>
        <w:r>
          <w:rPr>
            <w:spacing w:val="-2"/>
            <w:sz w:val="24"/>
          </w:rPr>
          <w:t> </w:t>
        </w:r>
        <w:r>
          <w:rPr>
            <w:sz w:val="24"/>
          </w:rPr>
          <w:t>Capital</w:t>
        </w:r>
        <w:r>
          <w:rPr>
            <w:spacing w:val="-1"/>
            <w:sz w:val="24"/>
          </w:rPr>
          <w:t> </w:t>
        </w:r>
        <w:r>
          <w:rPr>
            <w:spacing w:val="-2"/>
            <w:sz w:val="24"/>
          </w:rPr>
          <w:t>Outflow</w:t>
        </w:r>
        <w:r>
          <w:rPr>
            <w:sz w:val="24"/>
          </w:rPr>
          <w:tab/>
        </w:r>
        <w:r>
          <w:rPr>
            <w:spacing w:val="-5"/>
            <w:sz w:val="24"/>
          </w:rPr>
          <w:t>31</w:t>
        </w:r>
      </w:hyperlink>
    </w:p>
    <w:p>
      <w:pPr>
        <w:pStyle w:val="ListParagraph"/>
        <w:numPr>
          <w:ilvl w:val="1"/>
          <w:numId w:val="1"/>
        </w:numPr>
        <w:tabs>
          <w:tab w:pos="1431" w:val="left" w:leader="none"/>
          <w:tab w:pos="10776" w:val="right" w:leader="none"/>
        </w:tabs>
        <w:spacing w:line="240" w:lineRule="auto" w:before="276" w:after="0"/>
        <w:ind w:left="1431" w:right="0" w:hanging="720"/>
        <w:jc w:val="left"/>
        <w:rPr>
          <w:sz w:val="24"/>
        </w:rPr>
      </w:pPr>
      <w:hyperlink w:history="true" w:anchor="_TOC_250021">
        <w:r>
          <w:rPr>
            <w:sz w:val="24"/>
          </w:rPr>
          <w:t>Domestic</w:t>
        </w:r>
        <w:r>
          <w:rPr>
            <w:spacing w:val="-5"/>
            <w:sz w:val="24"/>
          </w:rPr>
          <w:t> </w:t>
        </w:r>
        <w:r>
          <w:rPr>
            <w:sz w:val="24"/>
          </w:rPr>
          <w:t>Policy</w:t>
        </w:r>
        <w:r>
          <w:rPr>
            <w:spacing w:val="-6"/>
            <w:sz w:val="24"/>
          </w:rPr>
          <w:t> </w:t>
        </w:r>
        <w:r>
          <w:rPr>
            <w:sz w:val="24"/>
          </w:rPr>
          <w:t>Distortions,</w:t>
        </w:r>
        <w:r>
          <w:rPr>
            <w:spacing w:val="-1"/>
            <w:sz w:val="24"/>
          </w:rPr>
          <w:t> </w:t>
        </w:r>
        <w:r>
          <w:rPr>
            <w:sz w:val="24"/>
          </w:rPr>
          <w:t>Debt</w:t>
        </w:r>
        <w:r>
          <w:rPr>
            <w:spacing w:val="-1"/>
            <w:sz w:val="24"/>
          </w:rPr>
          <w:t> </w:t>
        </w:r>
        <w:r>
          <w:rPr>
            <w:sz w:val="24"/>
          </w:rPr>
          <w:t>Accumulation and</w:t>
        </w:r>
        <w:r>
          <w:rPr>
            <w:spacing w:val="-1"/>
            <w:sz w:val="24"/>
          </w:rPr>
          <w:t> </w:t>
        </w:r>
        <w:r>
          <w:rPr>
            <w:sz w:val="24"/>
          </w:rPr>
          <w:t>Capital</w:t>
        </w:r>
        <w:r>
          <w:rPr>
            <w:spacing w:val="-1"/>
            <w:sz w:val="24"/>
          </w:rPr>
          <w:t> </w:t>
        </w:r>
        <w:r>
          <w:rPr>
            <w:sz w:val="24"/>
          </w:rPr>
          <w:t>Flight</w:t>
        </w:r>
        <w:r>
          <w:rPr>
            <w:spacing w:val="-1"/>
            <w:sz w:val="24"/>
          </w:rPr>
          <w:t> </w:t>
        </w:r>
        <w:r>
          <w:rPr>
            <w:sz w:val="24"/>
          </w:rPr>
          <w:t>in</w:t>
        </w:r>
        <w:r>
          <w:rPr>
            <w:spacing w:val="-1"/>
            <w:sz w:val="24"/>
          </w:rPr>
          <w:t> </w:t>
        </w:r>
        <w:r>
          <w:rPr>
            <w:spacing w:val="-2"/>
            <w:sz w:val="24"/>
          </w:rPr>
          <w:t>Nigeria</w:t>
        </w:r>
        <w:r>
          <w:rPr>
            <w:sz w:val="24"/>
          </w:rPr>
          <w:tab/>
        </w:r>
        <w:r>
          <w:rPr>
            <w:spacing w:val="-5"/>
            <w:sz w:val="24"/>
          </w:rPr>
          <w:t>32</w:t>
        </w:r>
      </w:hyperlink>
    </w:p>
    <w:p>
      <w:pPr>
        <w:pStyle w:val="ListParagraph"/>
        <w:numPr>
          <w:ilvl w:val="1"/>
          <w:numId w:val="1"/>
        </w:numPr>
        <w:tabs>
          <w:tab w:pos="1431" w:val="left" w:leader="none"/>
          <w:tab w:pos="10759" w:val="right" w:leader="none"/>
        </w:tabs>
        <w:spacing w:line="240" w:lineRule="auto" w:before="276" w:after="0"/>
        <w:ind w:left="1431" w:right="0" w:hanging="720"/>
        <w:jc w:val="left"/>
        <w:rPr>
          <w:sz w:val="24"/>
        </w:rPr>
      </w:pPr>
      <w:hyperlink w:history="true" w:anchor="_TOC_250020">
        <w:r>
          <w:rPr>
            <w:sz w:val="24"/>
          </w:rPr>
          <w:t>Basis</w:t>
        </w:r>
        <w:r>
          <w:rPr>
            <w:spacing w:val="-2"/>
            <w:sz w:val="24"/>
          </w:rPr>
          <w:t> </w:t>
        </w:r>
        <w:r>
          <w:rPr>
            <w:sz w:val="24"/>
          </w:rPr>
          <w:t>for</w:t>
        </w:r>
        <w:r>
          <w:rPr>
            <w:spacing w:val="-4"/>
            <w:sz w:val="24"/>
          </w:rPr>
          <w:t> </w:t>
        </w:r>
        <w:r>
          <w:rPr>
            <w:sz w:val="24"/>
          </w:rPr>
          <w:t>Capital</w:t>
        </w:r>
        <w:r>
          <w:rPr>
            <w:spacing w:val="1"/>
            <w:sz w:val="24"/>
          </w:rPr>
          <w:t> </w:t>
        </w:r>
        <w:r>
          <w:rPr>
            <w:spacing w:val="-2"/>
            <w:sz w:val="24"/>
          </w:rPr>
          <w:t>Flight</w:t>
        </w:r>
        <w:r>
          <w:rPr>
            <w:sz w:val="24"/>
          </w:rPr>
          <w:tab/>
        </w:r>
        <w:r>
          <w:rPr>
            <w:spacing w:val="-5"/>
            <w:sz w:val="24"/>
          </w:rPr>
          <w:t>34</w:t>
        </w:r>
      </w:hyperlink>
    </w:p>
    <w:p>
      <w:pPr>
        <w:pStyle w:val="BodyText"/>
        <w:spacing w:before="54"/>
        <w:rPr>
          <w:sz w:val="20"/>
        </w:rPr>
      </w:pPr>
    </w:p>
    <w:tbl>
      <w:tblPr>
        <w:tblW w:w="0" w:type="auto"/>
        <w:jc w:val="left"/>
        <w:tblInd w:w="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767"/>
        <w:gridCol w:w="2994"/>
        <w:gridCol w:w="454"/>
        <w:gridCol w:w="328"/>
      </w:tblGrid>
      <w:tr>
        <w:trPr>
          <w:trHeight w:val="998" w:hRule="atLeast"/>
        </w:trPr>
        <w:tc>
          <w:tcPr>
            <w:tcW w:w="6767" w:type="dxa"/>
          </w:tcPr>
          <w:p>
            <w:pPr>
              <w:pStyle w:val="TableParagraph"/>
              <w:numPr>
                <w:ilvl w:val="1"/>
                <w:numId w:val="2"/>
              </w:numPr>
              <w:tabs>
                <w:tab w:pos="410" w:val="left" w:leader="none"/>
              </w:tabs>
              <w:spacing w:line="266" w:lineRule="exact" w:before="0" w:after="0"/>
              <w:ind w:left="410" w:right="0" w:hanging="360"/>
              <w:jc w:val="left"/>
              <w:rPr>
                <w:sz w:val="24"/>
              </w:rPr>
            </w:pPr>
            <w:r>
              <w:rPr>
                <w:sz w:val="24"/>
              </w:rPr>
              <w:t>The</w:t>
            </w:r>
            <w:r>
              <w:rPr>
                <w:spacing w:val="-2"/>
                <w:sz w:val="24"/>
              </w:rPr>
              <w:t> </w:t>
            </w:r>
            <w:r>
              <w:rPr>
                <w:sz w:val="24"/>
              </w:rPr>
              <w:t>Structural</w:t>
            </w:r>
            <w:r>
              <w:rPr>
                <w:spacing w:val="-1"/>
                <w:sz w:val="24"/>
              </w:rPr>
              <w:t> </w:t>
            </w:r>
            <w:r>
              <w:rPr>
                <w:sz w:val="24"/>
              </w:rPr>
              <w:t>Adjustment </w:t>
            </w:r>
            <w:r>
              <w:rPr>
                <w:spacing w:val="-2"/>
                <w:sz w:val="24"/>
              </w:rPr>
              <w:t>Programme</w:t>
            </w:r>
          </w:p>
          <w:p>
            <w:pPr>
              <w:pStyle w:val="TableParagraph"/>
              <w:spacing w:before="1"/>
              <w:rPr>
                <w:sz w:val="24"/>
              </w:rPr>
            </w:pPr>
          </w:p>
          <w:p>
            <w:pPr>
              <w:pStyle w:val="TableParagraph"/>
              <w:numPr>
                <w:ilvl w:val="1"/>
                <w:numId w:val="2"/>
              </w:numPr>
              <w:tabs>
                <w:tab w:pos="770" w:val="left" w:leader="none"/>
              </w:tabs>
              <w:spacing w:line="240" w:lineRule="auto" w:before="0" w:after="0"/>
              <w:ind w:left="770" w:right="0" w:hanging="720"/>
              <w:jc w:val="left"/>
              <w:rPr>
                <w:sz w:val="28"/>
              </w:rPr>
            </w:pPr>
            <w:r>
              <w:rPr>
                <w:sz w:val="28"/>
              </w:rPr>
              <w:t>Review</w:t>
            </w:r>
            <w:r>
              <w:rPr>
                <w:spacing w:val="-6"/>
                <w:sz w:val="28"/>
              </w:rPr>
              <w:t> </w:t>
            </w:r>
            <w:r>
              <w:rPr>
                <w:sz w:val="28"/>
              </w:rPr>
              <w:t>of</w:t>
            </w:r>
            <w:r>
              <w:rPr>
                <w:spacing w:val="-4"/>
                <w:sz w:val="28"/>
              </w:rPr>
              <w:t> </w:t>
            </w:r>
            <w:r>
              <w:rPr>
                <w:sz w:val="28"/>
              </w:rPr>
              <w:t>Empirical</w:t>
            </w:r>
            <w:r>
              <w:rPr>
                <w:spacing w:val="-6"/>
                <w:sz w:val="28"/>
              </w:rPr>
              <w:t> </w:t>
            </w:r>
            <w:r>
              <w:rPr>
                <w:spacing w:val="-2"/>
                <w:sz w:val="28"/>
              </w:rPr>
              <w:t>Studies</w:t>
            </w:r>
          </w:p>
        </w:tc>
        <w:tc>
          <w:tcPr>
            <w:tcW w:w="2994" w:type="dxa"/>
          </w:tcPr>
          <w:p>
            <w:pPr>
              <w:pStyle w:val="TableParagraph"/>
              <w:spacing w:before="220"/>
              <w:rPr>
                <w:sz w:val="28"/>
              </w:rPr>
            </w:pPr>
          </w:p>
          <w:p>
            <w:pPr>
              <w:pStyle w:val="TableParagraph"/>
              <w:spacing w:before="1"/>
              <w:ind w:right="90"/>
              <w:jc w:val="right"/>
              <w:rPr>
                <w:sz w:val="28"/>
              </w:rPr>
            </w:pPr>
            <w:r>
              <w:rPr>
                <w:spacing w:val="-5"/>
                <w:sz w:val="28"/>
              </w:rPr>
              <w:t>38</w:t>
            </w:r>
          </w:p>
        </w:tc>
        <w:tc>
          <w:tcPr>
            <w:tcW w:w="454" w:type="dxa"/>
          </w:tcPr>
          <w:p>
            <w:pPr>
              <w:pStyle w:val="TableParagraph"/>
              <w:spacing w:line="266" w:lineRule="exact"/>
              <w:ind w:left="92"/>
              <w:rPr>
                <w:sz w:val="24"/>
              </w:rPr>
            </w:pPr>
            <w:r>
              <w:rPr>
                <w:spacing w:val="-5"/>
                <w:sz w:val="24"/>
              </w:rPr>
              <w:t>36</w:t>
            </w:r>
          </w:p>
        </w:tc>
        <w:tc>
          <w:tcPr>
            <w:tcW w:w="328" w:type="dxa"/>
          </w:tcPr>
          <w:p>
            <w:pPr>
              <w:pStyle w:val="TableParagraph"/>
              <w:rPr>
                <w:sz w:val="24"/>
              </w:rPr>
            </w:pPr>
          </w:p>
        </w:tc>
      </w:tr>
      <w:tr>
        <w:trPr>
          <w:trHeight w:val="542" w:hRule="atLeast"/>
        </w:trPr>
        <w:tc>
          <w:tcPr>
            <w:tcW w:w="6767" w:type="dxa"/>
          </w:tcPr>
          <w:p>
            <w:pPr>
              <w:pStyle w:val="TableParagraph"/>
              <w:spacing w:before="123"/>
              <w:ind w:left="50"/>
              <w:rPr>
                <w:sz w:val="24"/>
              </w:rPr>
            </w:pPr>
            <w:r>
              <w:rPr>
                <w:sz w:val="24"/>
              </w:rPr>
              <w:t>2.11 Summary</w:t>
            </w:r>
            <w:r>
              <w:rPr>
                <w:spacing w:val="-5"/>
                <w:sz w:val="24"/>
              </w:rPr>
              <w:t> </w:t>
            </w:r>
            <w:r>
              <w:rPr>
                <w:sz w:val="24"/>
              </w:rPr>
              <w:t>of</w:t>
            </w:r>
            <w:r>
              <w:rPr>
                <w:spacing w:val="1"/>
                <w:sz w:val="24"/>
              </w:rPr>
              <w:t> </w:t>
            </w:r>
            <w:r>
              <w:rPr>
                <w:spacing w:val="-2"/>
                <w:sz w:val="24"/>
              </w:rPr>
              <w:t>Literature</w:t>
            </w:r>
          </w:p>
        </w:tc>
        <w:tc>
          <w:tcPr>
            <w:tcW w:w="2994" w:type="dxa"/>
          </w:tcPr>
          <w:p>
            <w:pPr>
              <w:pStyle w:val="TableParagraph"/>
              <w:rPr>
                <w:sz w:val="24"/>
              </w:rPr>
            </w:pPr>
          </w:p>
        </w:tc>
        <w:tc>
          <w:tcPr>
            <w:tcW w:w="454" w:type="dxa"/>
          </w:tcPr>
          <w:p>
            <w:pPr>
              <w:pStyle w:val="TableParagraph"/>
              <w:spacing w:before="123"/>
              <w:ind w:left="171"/>
              <w:rPr>
                <w:sz w:val="24"/>
              </w:rPr>
            </w:pPr>
            <w:r>
              <w:rPr>
                <w:spacing w:val="-5"/>
                <w:sz w:val="24"/>
              </w:rPr>
              <w:t>44</w:t>
            </w:r>
          </w:p>
        </w:tc>
        <w:tc>
          <w:tcPr>
            <w:tcW w:w="328" w:type="dxa"/>
          </w:tcPr>
          <w:p>
            <w:pPr>
              <w:pStyle w:val="TableParagraph"/>
              <w:rPr>
                <w:sz w:val="24"/>
              </w:rPr>
            </w:pPr>
          </w:p>
        </w:tc>
      </w:tr>
      <w:tr>
        <w:trPr>
          <w:trHeight w:val="408" w:hRule="atLeast"/>
        </w:trPr>
        <w:tc>
          <w:tcPr>
            <w:tcW w:w="6767" w:type="dxa"/>
          </w:tcPr>
          <w:p>
            <w:pPr>
              <w:pStyle w:val="TableParagraph"/>
              <w:spacing w:line="256" w:lineRule="exact" w:before="133"/>
              <w:ind w:right="4041"/>
              <w:jc w:val="center"/>
              <w:rPr>
                <w:sz w:val="24"/>
              </w:rPr>
            </w:pPr>
            <w:r>
              <w:rPr>
                <w:spacing w:val="-2"/>
                <w:sz w:val="24"/>
              </w:rPr>
              <w:t>References</w:t>
            </w:r>
          </w:p>
        </w:tc>
        <w:tc>
          <w:tcPr>
            <w:tcW w:w="2994" w:type="dxa"/>
          </w:tcPr>
          <w:p>
            <w:pPr>
              <w:pStyle w:val="TableParagraph"/>
              <w:rPr>
                <w:sz w:val="24"/>
              </w:rPr>
            </w:pPr>
          </w:p>
        </w:tc>
        <w:tc>
          <w:tcPr>
            <w:tcW w:w="454" w:type="dxa"/>
          </w:tcPr>
          <w:p>
            <w:pPr>
              <w:pStyle w:val="TableParagraph"/>
              <w:rPr>
                <w:sz w:val="24"/>
              </w:rPr>
            </w:pPr>
          </w:p>
        </w:tc>
        <w:tc>
          <w:tcPr>
            <w:tcW w:w="328" w:type="dxa"/>
          </w:tcPr>
          <w:p>
            <w:pPr>
              <w:pStyle w:val="TableParagraph"/>
              <w:spacing w:line="256" w:lineRule="exact" w:before="133"/>
              <w:ind w:left="41"/>
              <w:rPr>
                <w:sz w:val="24"/>
              </w:rPr>
            </w:pPr>
            <w:r>
              <w:rPr>
                <w:spacing w:val="-5"/>
                <w:sz w:val="24"/>
              </w:rPr>
              <w:t>45</w:t>
            </w:r>
          </w:p>
        </w:tc>
      </w:tr>
    </w:tbl>
    <w:p>
      <w:pPr>
        <w:pStyle w:val="BodyText"/>
      </w:pPr>
    </w:p>
    <w:p>
      <w:pPr>
        <w:pStyle w:val="BodyText"/>
      </w:pPr>
    </w:p>
    <w:p>
      <w:pPr>
        <w:pStyle w:val="BodyText"/>
        <w:spacing w:before="19"/>
      </w:pPr>
    </w:p>
    <w:p>
      <w:pPr>
        <w:tabs>
          <w:tab w:pos="3342" w:val="left" w:leader="none"/>
        </w:tabs>
        <w:spacing w:before="1"/>
        <w:ind w:left="711" w:right="0" w:firstLine="0"/>
        <w:jc w:val="left"/>
        <w:rPr>
          <w:b/>
          <w:sz w:val="24"/>
        </w:rPr>
      </w:pPr>
      <w:r>
        <w:rPr>
          <w:b/>
          <w:sz w:val="24"/>
        </w:rPr>
        <w:t>CHAPTER</w:t>
      </w:r>
      <w:r>
        <w:rPr>
          <w:b/>
          <w:spacing w:val="-4"/>
          <w:sz w:val="24"/>
        </w:rPr>
        <w:t> </w:t>
      </w:r>
      <w:r>
        <w:rPr>
          <w:b/>
          <w:spacing w:val="-2"/>
          <w:sz w:val="24"/>
        </w:rPr>
        <w:t>THREE:</w:t>
      </w:r>
      <w:r>
        <w:rPr>
          <w:b/>
          <w:sz w:val="24"/>
        </w:rPr>
        <w:tab/>
        <w:t>Research</w:t>
      </w:r>
      <w:r>
        <w:rPr>
          <w:b/>
          <w:spacing w:val="-3"/>
          <w:sz w:val="24"/>
        </w:rPr>
        <w:t> </w:t>
      </w:r>
      <w:r>
        <w:rPr>
          <w:b/>
          <w:spacing w:val="-2"/>
          <w:sz w:val="24"/>
        </w:rPr>
        <w:t>Methodology</w:t>
      </w:r>
    </w:p>
    <w:sdt>
      <w:sdtPr>
        <w:docPartObj>
          <w:docPartGallery w:val="Table of Contents"/>
          <w:docPartUnique/>
        </w:docPartObj>
      </w:sdtPr>
      <w:sdtEndPr/>
      <w:sdtContent>
        <w:p>
          <w:pPr>
            <w:pStyle w:val="TOC3"/>
            <w:numPr>
              <w:ilvl w:val="1"/>
              <w:numId w:val="3"/>
            </w:numPr>
            <w:tabs>
              <w:tab w:pos="1431" w:val="left" w:leader="none"/>
              <w:tab w:pos="10793" w:val="right" w:leader="none"/>
            </w:tabs>
            <w:spacing w:line="240" w:lineRule="auto" w:before="220" w:after="0"/>
            <w:ind w:left="1431" w:right="0" w:hanging="600"/>
            <w:jc w:val="left"/>
          </w:pPr>
          <w:hyperlink w:history="true" w:anchor="_TOC_250019">
            <w:r>
              <w:rPr/>
              <w:t>Research</w:t>
            </w:r>
            <w:r>
              <w:rPr>
                <w:spacing w:val="-3"/>
              </w:rPr>
              <w:t> </w:t>
            </w:r>
            <w:r>
              <w:rPr>
                <w:spacing w:val="-2"/>
              </w:rPr>
              <w:t>Design</w:t>
            </w:r>
            <w:r>
              <w:rPr/>
              <w:tab/>
            </w:r>
            <w:r>
              <w:rPr>
                <w:spacing w:val="-7"/>
              </w:rPr>
              <w:t>49</w:t>
            </w:r>
          </w:hyperlink>
        </w:p>
        <w:p>
          <w:pPr>
            <w:pStyle w:val="TOC3"/>
            <w:numPr>
              <w:ilvl w:val="1"/>
              <w:numId w:val="3"/>
            </w:numPr>
            <w:tabs>
              <w:tab w:pos="1431" w:val="left" w:leader="none"/>
              <w:tab w:pos="10793" w:val="right" w:leader="none"/>
            </w:tabs>
            <w:spacing w:line="240" w:lineRule="auto" w:before="221" w:after="0"/>
            <w:ind w:left="1431" w:right="0" w:hanging="600"/>
            <w:jc w:val="left"/>
          </w:pPr>
          <w:hyperlink w:history="true" w:anchor="_TOC_250018">
            <w:r>
              <w:rPr/>
              <w:t>Research</w:t>
            </w:r>
            <w:r>
              <w:rPr>
                <w:spacing w:val="-1"/>
              </w:rPr>
              <w:t> </w:t>
            </w:r>
            <w:r>
              <w:rPr>
                <w:spacing w:val="-2"/>
              </w:rPr>
              <w:t>Instrument</w:t>
            </w:r>
            <w:r>
              <w:rPr/>
              <w:tab/>
            </w:r>
            <w:r>
              <w:rPr>
                <w:spacing w:val="-5"/>
              </w:rPr>
              <w:t>50</w:t>
            </w:r>
          </w:hyperlink>
        </w:p>
        <w:p>
          <w:pPr>
            <w:pStyle w:val="TOC1"/>
            <w:numPr>
              <w:ilvl w:val="1"/>
              <w:numId w:val="3"/>
            </w:numPr>
            <w:tabs>
              <w:tab w:pos="1431" w:val="left" w:leader="none"/>
              <w:tab w:pos="10771" w:val="right" w:leader="none"/>
            </w:tabs>
            <w:spacing w:line="240" w:lineRule="auto" w:before="276" w:after="0"/>
            <w:ind w:left="1431" w:right="0" w:hanging="720"/>
            <w:jc w:val="left"/>
          </w:pPr>
          <w:hyperlink w:history="true" w:anchor="_TOC_250017">
            <w:r>
              <w:rPr/>
              <w:t>Conceptual</w:t>
            </w:r>
            <w:r>
              <w:rPr>
                <w:spacing w:val="-2"/>
              </w:rPr>
              <w:t> Framework</w:t>
            </w:r>
            <w:r>
              <w:rPr/>
              <w:tab/>
            </w:r>
            <w:r>
              <w:rPr>
                <w:spacing w:val="-5"/>
              </w:rPr>
              <w:t>50</w:t>
            </w:r>
          </w:hyperlink>
        </w:p>
        <w:p>
          <w:pPr>
            <w:pStyle w:val="TOC1"/>
            <w:numPr>
              <w:ilvl w:val="1"/>
              <w:numId w:val="3"/>
            </w:numPr>
            <w:tabs>
              <w:tab w:pos="1431" w:val="left" w:leader="none"/>
              <w:tab w:pos="10766" w:val="right" w:leader="none"/>
            </w:tabs>
            <w:spacing w:line="240" w:lineRule="auto" w:before="274" w:after="0"/>
            <w:ind w:left="1431" w:right="0" w:hanging="720"/>
            <w:jc w:val="left"/>
          </w:pPr>
          <w:hyperlink w:history="true" w:anchor="_TOC_250016">
            <w:r>
              <w:rPr/>
              <w:t>Theoretical</w:t>
            </w:r>
            <w:r>
              <w:rPr>
                <w:spacing w:val="-2"/>
              </w:rPr>
              <w:t> </w:t>
            </w:r>
            <w:r>
              <w:rPr/>
              <w:t>Framework</w:t>
            </w:r>
            <w:r>
              <w:rPr>
                <w:spacing w:val="-1"/>
              </w:rPr>
              <w:t> </w:t>
            </w:r>
            <w:r>
              <w:rPr/>
              <w:t>for</w:t>
            </w:r>
            <w:r>
              <w:rPr>
                <w:spacing w:val="-2"/>
              </w:rPr>
              <w:t> </w:t>
            </w:r>
            <w:r>
              <w:rPr/>
              <w:t>Model</w:t>
            </w:r>
            <w:r>
              <w:rPr>
                <w:spacing w:val="-1"/>
              </w:rPr>
              <w:t> </w:t>
            </w:r>
            <w:r>
              <w:rPr>
                <w:spacing w:val="-2"/>
              </w:rPr>
              <w:t>Formulation</w:t>
            </w:r>
            <w:r>
              <w:rPr/>
              <w:tab/>
            </w:r>
            <w:r>
              <w:rPr>
                <w:spacing w:val="-5"/>
              </w:rPr>
              <w:t>52</w:t>
            </w:r>
          </w:hyperlink>
        </w:p>
        <w:p>
          <w:pPr>
            <w:pStyle w:val="TOC1"/>
            <w:numPr>
              <w:ilvl w:val="1"/>
              <w:numId w:val="3"/>
            </w:numPr>
            <w:tabs>
              <w:tab w:pos="1431" w:val="left" w:leader="none"/>
              <w:tab w:pos="10771" w:val="right" w:leader="none"/>
            </w:tabs>
            <w:spacing w:line="240" w:lineRule="auto" w:before="276" w:after="0"/>
            <w:ind w:left="1431" w:right="0" w:hanging="720"/>
            <w:jc w:val="left"/>
          </w:pPr>
          <w:hyperlink w:history="true" w:anchor="_TOC_250015">
            <w:r>
              <w:rPr/>
              <w:t>Assumptions</w:t>
            </w:r>
            <w:r>
              <w:rPr>
                <w:spacing w:val="-1"/>
              </w:rPr>
              <w:t> </w:t>
            </w:r>
            <w:r>
              <w:rPr/>
              <w:t>of</w:t>
            </w:r>
            <w:r>
              <w:rPr>
                <w:spacing w:val="-1"/>
              </w:rPr>
              <w:t> </w:t>
            </w:r>
            <w:r>
              <w:rPr/>
              <w:t>the</w:t>
            </w:r>
            <w:r>
              <w:rPr>
                <w:spacing w:val="-2"/>
              </w:rPr>
              <w:t> </w:t>
            </w:r>
            <w:r>
              <w:rPr/>
              <w:t>formulated </w:t>
            </w:r>
            <w:r>
              <w:rPr>
                <w:spacing w:val="-2"/>
              </w:rPr>
              <w:t>Models</w:t>
            </w:r>
            <w:r>
              <w:rPr/>
              <w:tab/>
            </w:r>
            <w:r>
              <w:rPr>
                <w:spacing w:val="-5"/>
              </w:rPr>
              <w:t>53</w:t>
            </w:r>
          </w:hyperlink>
        </w:p>
        <w:p>
          <w:pPr>
            <w:pStyle w:val="TOC1"/>
            <w:numPr>
              <w:ilvl w:val="1"/>
              <w:numId w:val="3"/>
            </w:numPr>
            <w:tabs>
              <w:tab w:pos="1251" w:val="left" w:leader="none"/>
              <w:tab w:pos="10740" w:val="right" w:leader="none"/>
            </w:tabs>
            <w:spacing w:line="240" w:lineRule="auto" w:before="277" w:after="0"/>
            <w:ind w:left="1251" w:right="0" w:hanging="540"/>
            <w:jc w:val="left"/>
          </w:pPr>
          <w:hyperlink w:history="true" w:anchor="_TOC_250014">
            <w:r>
              <w:rPr/>
              <w:t>Models</w:t>
            </w:r>
            <w:r>
              <w:rPr>
                <w:spacing w:val="-1"/>
              </w:rPr>
              <w:t> </w:t>
            </w:r>
            <w:r>
              <w:rPr>
                <w:spacing w:val="-2"/>
              </w:rPr>
              <w:t>Specification</w:t>
            </w:r>
            <w:r>
              <w:rPr/>
              <w:tab/>
            </w:r>
            <w:r>
              <w:rPr>
                <w:spacing w:val="-5"/>
              </w:rPr>
              <w:t>55</w:t>
            </w:r>
          </w:hyperlink>
        </w:p>
        <w:p>
          <w:pPr>
            <w:pStyle w:val="TOC2"/>
            <w:numPr>
              <w:ilvl w:val="1"/>
              <w:numId w:val="3"/>
            </w:numPr>
            <w:tabs>
              <w:tab w:pos="1431" w:val="left" w:leader="none"/>
              <w:tab w:pos="10785" w:val="right" w:leader="none"/>
            </w:tabs>
            <w:spacing w:line="240" w:lineRule="auto" w:before="276" w:after="0"/>
            <w:ind w:left="1431" w:right="0" w:hanging="720"/>
            <w:jc w:val="left"/>
            <w:rPr>
              <w:b w:val="0"/>
              <w:i w:val="0"/>
              <w:sz w:val="24"/>
            </w:rPr>
          </w:pPr>
          <w:r>
            <w:rPr>
              <w:b w:val="0"/>
              <w:sz w:val="24"/>
            </w:rPr>
            <w:t>A</w:t>
          </w:r>
          <w:r>
            <w:rPr>
              <w:b w:val="0"/>
              <w:spacing w:val="-1"/>
              <w:sz w:val="24"/>
            </w:rPr>
            <w:t> </w:t>
          </w:r>
          <w:r>
            <w:rPr>
              <w:b w:val="0"/>
              <w:spacing w:val="-2"/>
              <w:sz w:val="24"/>
            </w:rPr>
            <w:t>Priori</w:t>
          </w:r>
          <w:r>
            <w:rPr>
              <w:b w:val="0"/>
              <w:i w:val="0"/>
              <w:spacing w:val="-2"/>
              <w:sz w:val="24"/>
            </w:rPr>
            <w:t>Expectations</w:t>
          </w:r>
          <w:r>
            <w:rPr>
              <w:b w:val="0"/>
              <w:i w:val="0"/>
              <w:sz w:val="24"/>
            </w:rPr>
            <w:tab/>
          </w:r>
          <w:r>
            <w:rPr>
              <w:b w:val="0"/>
              <w:i w:val="0"/>
              <w:spacing w:val="-5"/>
              <w:sz w:val="24"/>
            </w:rPr>
            <w:t>65</w:t>
          </w:r>
        </w:p>
        <w:p>
          <w:pPr>
            <w:pStyle w:val="TOC1"/>
            <w:numPr>
              <w:ilvl w:val="1"/>
              <w:numId w:val="3"/>
            </w:numPr>
            <w:tabs>
              <w:tab w:pos="1431" w:val="left" w:leader="none"/>
              <w:tab w:pos="10747" w:val="right" w:leader="none"/>
            </w:tabs>
            <w:spacing w:line="240" w:lineRule="auto" w:before="276" w:after="0"/>
            <w:ind w:left="1431" w:right="0" w:hanging="720"/>
            <w:jc w:val="left"/>
          </w:pPr>
          <w:hyperlink w:history="true" w:anchor="_TOC_250013">
            <w:r>
              <w:rPr/>
              <w:t>Nature</w:t>
            </w:r>
            <w:r>
              <w:rPr>
                <w:spacing w:val="-5"/>
              </w:rPr>
              <w:t> </w:t>
            </w:r>
            <w:r>
              <w:rPr/>
              <w:t>and</w:t>
            </w:r>
            <w:r>
              <w:rPr>
                <w:spacing w:val="-1"/>
              </w:rPr>
              <w:t> </w:t>
            </w:r>
            <w:r>
              <w:rPr/>
              <w:t>Sources</w:t>
            </w:r>
            <w:r>
              <w:rPr>
                <w:spacing w:val="-1"/>
              </w:rPr>
              <w:t> </w:t>
            </w:r>
            <w:r>
              <w:rPr/>
              <w:t>of </w:t>
            </w:r>
            <w:r>
              <w:rPr>
                <w:spacing w:val="-4"/>
              </w:rPr>
              <w:t>Data</w:t>
            </w:r>
            <w:r>
              <w:rPr/>
              <w:tab/>
            </w:r>
            <w:r>
              <w:rPr>
                <w:spacing w:val="-5"/>
              </w:rPr>
              <w:t>66</w:t>
            </w:r>
          </w:hyperlink>
        </w:p>
        <w:p>
          <w:pPr>
            <w:pStyle w:val="TOC1"/>
            <w:numPr>
              <w:ilvl w:val="1"/>
              <w:numId w:val="3"/>
            </w:numPr>
            <w:tabs>
              <w:tab w:pos="1431" w:val="left" w:leader="none"/>
              <w:tab w:pos="10752" w:val="right" w:leader="none"/>
            </w:tabs>
            <w:spacing w:line="240" w:lineRule="auto" w:before="276" w:after="0"/>
            <w:ind w:left="1431" w:right="0" w:hanging="720"/>
            <w:jc w:val="left"/>
          </w:pPr>
          <w:hyperlink w:history="true" w:anchor="_TOC_250012">
            <w:r>
              <w:rPr/>
              <w:t>Description</w:t>
            </w:r>
            <w:r>
              <w:rPr>
                <w:spacing w:val="-2"/>
              </w:rPr>
              <w:t> </w:t>
            </w:r>
            <w:r>
              <w:rPr/>
              <w:t>of</w:t>
            </w:r>
            <w:r>
              <w:rPr>
                <w:spacing w:val="-1"/>
              </w:rPr>
              <w:t> </w:t>
            </w:r>
            <w:r>
              <w:rPr>
                <w:spacing w:val="-2"/>
              </w:rPr>
              <w:t>Variables</w:t>
            </w:r>
            <w:r>
              <w:rPr/>
              <w:tab/>
            </w:r>
            <w:r>
              <w:rPr>
                <w:spacing w:val="-7"/>
              </w:rPr>
              <w:t>66</w:t>
            </w:r>
          </w:hyperlink>
        </w:p>
        <w:p>
          <w:pPr>
            <w:pStyle w:val="TOC1"/>
            <w:numPr>
              <w:ilvl w:val="1"/>
              <w:numId w:val="3"/>
            </w:numPr>
            <w:tabs>
              <w:tab w:pos="1431" w:val="left" w:leader="none"/>
              <w:tab w:pos="10745" w:val="right" w:leader="none"/>
            </w:tabs>
            <w:spacing w:line="240" w:lineRule="auto" w:before="276" w:after="0"/>
            <w:ind w:left="1431" w:right="0" w:hanging="720"/>
            <w:jc w:val="left"/>
          </w:pPr>
          <w:hyperlink w:history="true" w:anchor="_TOC_250011">
            <w:r>
              <w:rPr/>
              <w:t>Estimation </w:t>
            </w:r>
            <w:r>
              <w:rPr>
                <w:spacing w:val="-2"/>
              </w:rPr>
              <w:t>Technique</w:t>
            </w:r>
            <w:r>
              <w:rPr/>
              <w:tab/>
            </w:r>
            <w:r>
              <w:rPr>
                <w:spacing w:val="-5"/>
              </w:rPr>
              <w:t>69</w:t>
            </w:r>
          </w:hyperlink>
        </w:p>
        <w:p>
          <w:pPr>
            <w:pStyle w:val="TOC1"/>
            <w:numPr>
              <w:ilvl w:val="2"/>
              <w:numId w:val="3"/>
            </w:numPr>
            <w:tabs>
              <w:tab w:pos="1491" w:val="left" w:leader="none"/>
              <w:tab w:pos="10766" w:val="right" w:leader="none"/>
            </w:tabs>
            <w:spacing w:line="240" w:lineRule="auto" w:before="276" w:after="0"/>
            <w:ind w:left="1491" w:right="0" w:hanging="780"/>
            <w:jc w:val="left"/>
          </w:pPr>
          <w:hyperlink w:history="true" w:anchor="_TOC_250010">
            <w:r>
              <w:rPr/>
              <w:t>Co-Integration</w:t>
            </w:r>
            <w:r>
              <w:rPr>
                <w:spacing w:val="-7"/>
              </w:rPr>
              <w:t> </w:t>
            </w:r>
            <w:r>
              <w:rPr>
                <w:spacing w:val="-2"/>
              </w:rPr>
              <w:t>Analysis</w:t>
            </w:r>
            <w:r>
              <w:rPr/>
              <w:tab/>
            </w:r>
            <w:r>
              <w:rPr>
                <w:spacing w:val="-5"/>
              </w:rPr>
              <w:t>69</w:t>
            </w:r>
          </w:hyperlink>
        </w:p>
      </w:sdtContent>
    </w:sdt>
    <w:p>
      <w:pPr>
        <w:spacing w:after="0" w:line="240" w:lineRule="auto"/>
        <w:jc w:val="left"/>
        <w:sectPr>
          <w:pgSz w:w="11910" w:h="16840"/>
          <w:pgMar w:header="0" w:footer="1039" w:top="1360" w:bottom="1240" w:left="280" w:right="0"/>
        </w:sectPr>
      </w:pPr>
    </w:p>
    <w:tbl>
      <w:tblPr>
        <w:tblW w:w="0" w:type="auto"/>
        <w:jc w:val="left"/>
        <w:tblInd w:w="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023"/>
        <w:gridCol w:w="1650"/>
        <w:gridCol w:w="1051"/>
        <w:gridCol w:w="458"/>
      </w:tblGrid>
      <w:tr>
        <w:trPr>
          <w:trHeight w:val="409" w:hRule="atLeast"/>
        </w:trPr>
        <w:tc>
          <w:tcPr>
            <w:tcW w:w="7023" w:type="dxa"/>
          </w:tcPr>
          <w:p>
            <w:pPr>
              <w:pStyle w:val="TableParagraph"/>
              <w:spacing w:line="266" w:lineRule="exact"/>
              <w:ind w:left="50"/>
              <w:rPr>
                <w:sz w:val="24"/>
              </w:rPr>
            </w:pPr>
            <w:r>
              <w:rPr>
                <w:sz w:val="24"/>
              </w:rPr>
              <w:t>3.10.2</w:t>
            </w:r>
            <w:r>
              <w:rPr>
                <w:spacing w:val="-2"/>
                <w:sz w:val="24"/>
              </w:rPr>
              <w:t> </w:t>
            </w:r>
            <w:r>
              <w:rPr>
                <w:sz w:val="24"/>
              </w:rPr>
              <w:t>Unit Root </w:t>
            </w:r>
            <w:r>
              <w:rPr>
                <w:spacing w:val="-4"/>
                <w:sz w:val="24"/>
              </w:rPr>
              <w:t>Test</w:t>
            </w:r>
          </w:p>
        </w:tc>
        <w:tc>
          <w:tcPr>
            <w:tcW w:w="1650" w:type="dxa"/>
          </w:tcPr>
          <w:p>
            <w:pPr>
              <w:pStyle w:val="TableParagraph"/>
              <w:rPr>
                <w:sz w:val="24"/>
              </w:rPr>
            </w:pPr>
          </w:p>
        </w:tc>
        <w:tc>
          <w:tcPr>
            <w:tcW w:w="1051" w:type="dxa"/>
          </w:tcPr>
          <w:p>
            <w:pPr>
              <w:pStyle w:val="TableParagraph"/>
              <w:rPr>
                <w:sz w:val="24"/>
              </w:rPr>
            </w:pPr>
          </w:p>
        </w:tc>
        <w:tc>
          <w:tcPr>
            <w:tcW w:w="458" w:type="dxa"/>
          </w:tcPr>
          <w:p>
            <w:pPr>
              <w:pStyle w:val="TableParagraph"/>
              <w:spacing w:line="266" w:lineRule="exact"/>
              <w:ind w:right="25"/>
              <w:jc w:val="center"/>
              <w:rPr>
                <w:sz w:val="24"/>
              </w:rPr>
            </w:pPr>
            <w:r>
              <w:rPr>
                <w:spacing w:val="-5"/>
                <w:sz w:val="24"/>
              </w:rPr>
              <w:t>70</w:t>
            </w:r>
          </w:p>
        </w:tc>
      </w:tr>
      <w:tr>
        <w:trPr>
          <w:trHeight w:val="552" w:hRule="atLeast"/>
        </w:trPr>
        <w:tc>
          <w:tcPr>
            <w:tcW w:w="7023" w:type="dxa"/>
          </w:tcPr>
          <w:p>
            <w:pPr>
              <w:pStyle w:val="TableParagraph"/>
              <w:spacing w:before="133"/>
              <w:ind w:left="50"/>
              <w:rPr>
                <w:sz w:val="24"/>
              </w:rPr>
            </w:pPr>
            <w:r>
              <w:rPr>
                <w:sz w:val="24"/>
              </w:rPr>
              <w:t>3.10.3</w:t>
            </w:r>
            <w:r>
              <w:rPr>
                <w:spacing w:val="-4"/>
                <w:sz w:val="24"/>
              </w:rPr>
              <w:t> </w:t>
            </w:r>
            <w:r>
              <w:rPr>
                <w:sz w:val="24"/>
              </w:rPr>
              <w:t>Co-Integration</w:t>
            </w:r>
            <w:r>
              <w:rPr>
                <w:spacing w:val="-2"/>
                <w:sz w:val="24"/>
              </w:rPr>
              <w:t> </w:t>
            </w:r>
            <w:r>
              <w:rPr>
                <w:sz w:val="24"/>
              </w:rPr>
              <w:t>Test</w:t>
            </w:r>
            <w:r>
              <w:rPr>
                <w:spacing w:val="-2"/>
                <w:sz w:val="24"/>
              </w:rPr>
              <w:t> </w:t>
            </w:r>
            <w:r>
              <w:rPr>
                <w:sz w:val="24"/>
              </w:rPr>
              <w:t>and</w:t>
            </w:r>
            <w:r>
              <w:rPr>
                <w:spacing w:val="-2"/>
                <w:sz w:val="24"/>
              </w:rPr>
              <w:t> </w:t>
            </w:r>
            <w:r>
              <w:rPr>
                <w:sz w:val="24"/>
              </w:rPr>
              <w:t>Error</w:t>
            </w:r>
            <w:r>
              <w:rPr>
                <w:spacing w:val="-4"/>
                <w:sz w:val="24"/>
              </w:rPr>
              <w:t> </w:t>
            </w:r>
            <w:r>
              <w:rPr>
                <w:sz w:val="24"/>
              </w:rPr>
              <w:t>Correction</w:t>
            </w:r>
            <w:r>
              <w:rPr>
                <w:spacing w:val="1"/>
                <w:sz w:val="24"/>
              </w:rPr>
              <w:t> </w:t>
            </w:r>
            <w:r>
              <w:rPr>
                <w:spacing w:val="-2"/>
                <w:sz w:val="24"/>
              </w:rPr>
              <w:t>Mechanism</w:t>
            </w:r>
          </w:p>
        </w:tc>
        <w:tc>
          <w:tcPr>
            <w:tcW w:w="1650" w:type="dxa"/>
          </w:tcPr>
          <w:p>
            <w:pPr>
              <w:pStyle w:val="TableParagraph"/>
              <w:rPr>
                <w:sz w:val="24"/>
              </w:rPr>
            </w:pPr>
          </w:p>
        </w:tc>
        <w:tc>
          <w:tcPr>
            <w:tcW w:w="1051" w:type="dxa"/>
          </w:tcPr>
          <w:p>
            <w:pPr>
              <w:pStyle w:val="TableParagraph"/>
              <w:rPr>
                <w:sz w:val="24"/>
              </w:rPr>
            </w:pPr>
          </w:p>
        </w:tc>
        <w:tc>
          <w:tcPr>
            <w:tcW w:w="458" w:type="dxa"/>
          </w:tcPr>
          <w:p>
            <w:pPr>
              <w:pStyle w:val="TableParagraph"/>
              <w:spacing w:before="133"/>
              <w:ind w:left="14" w:right="81"/>
              <w:jc w:val="center"/>
              <w:rPr>
                <w:sz w:val="24"/>
              </w:rPr>
            </w:pPr>
            <w:r>
              <w:rPr>
                <w:spacing w:val="-5"/>
                <w:sz w:val="24"/>
              </w:rPr>
              <w:t>70</w:t>
            </w:r>
          </w:p>
        </w:tc>
      </w:tr>
      <w:tr>
        <w:trPr>
          <w:trHeight w:val="551" w:hRule="atLeast"/>
        </w:trPr>
        <w:tc>
          <w:tcPr>
            <w:tcW w:w="7023" w:type="dxa"/>
          </w:tcPr>
          <w:p>
            <w:pPr>
              <w:pStyle w:val="TableParagraph"/>
              <w:spacing w:before="133"/>
              <w:ind w:left="50"/>
              <w:rPr>
                <w:sz w:val="24"/>
              </w:rPr>
            </w:pPr>
            <w:r>
              <w:rPr>
                <w:sz w:val="24"/>
              </w:rPr>
              <w:t>3.11</w:t>
            </w:r>
            <w:r>
              <w:rPr>
                <w:spacing w:val="28"/>
                <w:sz w:val="24"/>
              </w:rPr>
              <w:t>  </w:t>
            </w:r>
            <w:r>
              <w:rPr>
                <w:sz w:val="24"/>
              </w:rPr>
              <w:t>Correlation</w:t>
            </w:r>
            <w:r>
              <w:rPr>
                <w:spacing w:val="1"/>
                <w:sz w:val="24"/>
              </w:rPr>
              <w:t> </w:t>
            </w:r>
            <w:r>
              <w:rPr>
                <w:spacing w:val="-2"/>
                <w:sz w:val="24"/>
              </w:rPr>
              <w:t>Matrix</w:t>
            </w:r>
          </w:p>
        </w:tc>
        <w:tc>
          <w:tcPr>
            <w:tcW w:w="1650" w:type="dxa"/>
          </w:tcPr>
          <w:p>
            <w:pPr>
              <w:pStyle w:val="TableParagraph"/>
              <w:rPr>
                <w:sz w:val="24"/>
              </w:rPr>
            </w:pPr>
          </w:p>
        </w:tc>
        <w:tc>
          <w:tcPr>
            <w:tcW w:w="1051" w:type="dxa"/>
          </w:tcPr>
          <w:p>
            <w:pPr>
              <w:pStyle w:val="TableParagraph"/>
              <w:rPr>
                <w:sz w:val="24"/>
              </w:rPr>
            </w:pPr>
          </w:p>
        </w:tc>
        <w:tc>
          <w:tcPr>
            <w:tcW w:w="458" w:type="dxa"/>
          </w:tcPr>
          <w:p>
            <w:pPr>
              <w:pStyle w:val="TableParagraph"/>
              <w:spacing w:before="133"/>
              <w:ind w:left="12"/>
              <w:jc w:val="center"/>
              <w:rPr>
                <w:sz w:val="24"/>
              </w:rPr>
            </w:pPr>
            <w:r>
              <w:rPr>
                <w:spacing w:val="-5"/>
                <w:sz w:val="24"/>
              </w:rPr>
              <w:t>74</w:t>
            </w:r>
          </w:p>
        </w:tc>
      </w:tr>
      <w:tr>
        <w:trPr>
          <w:trHeight w:val="551" w:hRule="atLeast"/>
        </w:trPr>
        <w:tc>
          <w:tcPr>
            <w:tcW w:w="7023" w:type="dxa"/>
          </w:tcPr>
          <w:p>
            <w:pPr>
              <w:pStyle w:val="TableParagraph"/>
              <w:spacing w:before="133"/>
              <w:ind w:left="650"/>
              <w:rPr>
                <w:sz w:val="24"/>
              </w:rPr>
            </w:pPr>
            <w:r>
              <w:rPr>
                <w:spacing w:val="-2"/>
                <w:sz w:val="24"/>
              </w:rPr>
              <w:t>References</w:t>
            </w:r>
          </w:p>
        </w:tc>
        <w:tc>
          <w:tcPr>
            <w:tcW w:w="1650" w:type="dxa"/>
          </w:tcPr>
          <w:p>
            <w:pPr>
              <w:pStyle w:val="TableParagraph"/>
              <w:rPr>
                <w:sz w:val="24"/>
              </w:rPr>
            </w:pPr>
          </w:p>
        </w:tc>
        <w:tc>
          <w:tcPr>
            <w:tcW w:w="1051" w:type="dxa"/>
          </w:tcPr>
          <w:p>
            <w:pPr>
              <w:pStyle w:val="TableParagraph"/>
              <w:rPr>
                <w:sz w:val="24"/>
              </w:rPr>
            </w:pPr>
          </w:p>
        </w:tc>
        <w:tc>
          <w:tcPr>
            <w:tcW w:w="458" w:type="dxa"/>
          </w:tcPr>
          <w:p>
            <w:pPr>
              <w:pStyle w:val="TableParagraph"/>
              <w:rPr>
                <w:sz w:val="24"/>
              </w:rPr>
            </w:pPr>
          </w:p>
        </w:tc>
      </w:tr>
      <w:tr>
        <w:trPr>
          <w:trHeight w:val="552" w:hRule="atLeast"/>
        </w:trPr>
        <w:tc>
          <w:tcPr>
            <w:tcW w:w="7023" w:type="dxa"/>
          </w:tcPr>
          <w:p>
            <w:pPr>
              <w:pStyle w:val="TableParagraph"/>
              <w:rPr>
                <w:sz w:val="24"/>
              </w:rPr>
            </w:pPr>
          </w:p>
        </w:tc>
        <w:tc>
          <w:tcPr>
            <w:tcW w:w="1650" w:type="dxa"/>
          </w:tcPr>
          <w:p>
            <w:pPr>
              <w:pStyle w:val="TableParagraph"/>
              <w:spacing w:before="133"/>
              <w:ind w:left="1009"/>
              <w:rPr>
                <w:sz w:val="24"/>
              </w:rPr>
            </w:pPr>
            <w:r>
              <w:rPr>
                <w:spacing w:val="-5"/>
                <w:sz w:val="24"/>
              </w:rPr>
              <w:t>76</w:t>
            </w:r>
          </w:p>
        </w:tc>
        <w:tc>
          <w:tcPr>
            <w:tcW w:w="1051" w:type="dxa"/>
          </w:tcPr>
          <w:p>
            <w:pPr>
              <w:pStyle w:val="TableParagraph"/>
              <w:rPr>
                <w:sz w:val="24"/>
              </w:rPr>
            </w:pPr>
          </w:p>
        </w:tc>
        <w:tc>
          <w:tcPr>
            <w:tcW w:w="458" w:type="dxa"/>
          </w:tcPr>
          <w:p>
            <w:pPr>
              <w:pStyle w:val="TableParagraph"/>
              <w:rPr>
                <w:sz w:val="24"/>
              </w:rPr>
            </w:pPr>
          </w:p>
        </w:tc>
      </w:tr>
      <w:tr>
        <w:trPr>
          <w:trHeight w:val="560" w:hRule="atLeast"/>
        </w:trPr>
        <w:tc>
          <w:tcPr>
            <w:tcW w:w="7023" w:type="dxa"/>
          </w:tcPr>
          <w:p>
            <w:pPr>
              <w:pStyle w:val="TableParagraph"/>
              <w:tabs>
                <w:tab w:pos="2404" w:val="left" w:leader="none"/>
              </w:tabs>
              <w:spacing w:before="133"/>
              <w:ind w:left="50"/>
              <w:rPr>
                <w:b/>
                <w:sz w:val="24"/>
              </w:rPr>
            </w:pPr>
            <w:r>
              <w:rPr>
                <w:b/>
                <w:sz w:val="24"/>
              </w:rPr>
              <w:t>CHAPTER</w:t>
            </w:r>
            <w:r>
              <w:rPr>
                <w:b/>
                <w:spacing w:val="-3"/>
                <w:sz w:val="24"/>
              </w:rPr>
              <w:t> </w:t>
            </w:r>
            <w:r>
              <w:rPr>
                <w:b/>
                <w:spacing w:val="-4"/>
                <w:sz w:val="24"/>
              </w:rPr>
              <w:t>FOUR:</w:t>
            </w:r>
            <w:r>
              <w:rPr>
                <w:b/>
                <w:sz w:val="24"/>
              </w:rPr>
              <w:tab/>
              <w:t>Presentation</w:t>
            </w:r>
            <w:r>
              <w:rPr>
                <w:b/>
                <w:spacing w:val="-3"/>
                <w:sz w:val="24"/>
              </w:rPr>
              <w:t> </w:t>
            </w:r>
            <w:r>
              <w:rPr>
                <w:b/>
                <w:sz w:val="24"/>
              </w:rPr>
              <w:t>and</w:t>
            </w:r>
            <w:r>
              <w:rPr>
                <w:b/>
                <w:spacing w:val="-2"/>
                <w:sz w:val="24"/>
              </w:rPr>
              <w:t> Analysis</w:t>
            </w:r>
          </w:p>
        </w:tc>
        <w:tc>
          <w:tcPr>
            <w:tcW w:w="1650" w:type="dxa"/>
          </w:tcPr>
          <w:p>
            <w:pPr>
              <w:pStyle w:val="TableParagraph"/>
              <w:rPr>
                <w:sz w:val="24"/>
              </w:rPr>
            </w:pPr>
          </w:p>
        </w:tc>
        <w:tc>
          <w:tcPr>
            <w:tcW w:w="1051" w:type="dxa"/>
          </w:tcPr>
          <w:p>
            <w:pPr>
              <w:pStyle w:val="TableParagraph"/>
              <w:rPr>
                <w:sz w:val="24"/>
              </w:rPr>
            </w:pPr>
          </w:p>
        </w:tc>
        <w:tc>
          <w:tcPr>
            <w:tcW w:w="458" w:type="dxa"/>
          </w:tcPr>
          <w:p>
            <w:pPr>
              <w:pStyle w:val="TableParagraph"/>
              <w:rPr>
                <w:sz w:val="24"/>
              </w:rPr>
            </w:pPr>
          </w:p>
        </w:tc>
      </w:tr>
      <w:tr>
        <w:trPr>
          <w:trHeight w:val="567" w:hRule="atLeast"/>
        </w:trPr>
        <w:tc>
          <w:tcPr>
            <w:tcW w:w="7023" w:type="dxa"/>
          </w:tcPr>
          <w:p>
            <w:pPr>
              <w:pStyle w:val="TableParagraph"/>
              <w:tabs>
                <w:tab w:pos="589" w:val="left" w:leader="none"/>
              </w:tabs>
              <w:spacing w:before="141"/>
              <w:ind w:left="50"/>
              <w:rPr>
                <w:sz w:val="24"/>
              </w:rPr>
            </w:pPr>
            <w:r>
              <w:rPr>
                <w:spacing w:val="-5"/>
                <w:sz w:val="24"/>
              </w:rPr>
              <w:t>4.1</w:t>
            </w:r>
            <w:r>
              <w:rPr>
                <w:sz w:val="24"/>
              </w:rPr>
              <w:tab/>
              <w:t>Data</w:t>
            </w:r>
            <w:r>
              <w:rPr>
                <w:spacing w:val="-2"/>
                <w:sz w:val="24"/>
              </w:rPr>
              <w:t> Presentation</w:t>
            </w:r>
          </w:p>
        </w:tc>
        <w:tc>
          <w:tcPr>
            <w:tcW w:w="1650" w:type="dxa"/>
          </w:tcPr>
          <w:p>
            <w:pPr>
              <w:pStyle w:val="TableParagraph"/>
              <w:rPr>
                <w:sz w:val="24"/>
              </w:rPr>
            </w:pPr>
          </w:p>
        </w:tc>
        <w:tc>
          <w:tcPr>
            <w:tcW w:w="1051" w:type="dxa"/>
          </w:tcPr>
          <w:p>
            <w:pPr>
              <w:pStyle w:val="TableParagraph"/>
              <w:rPr>
                <w:sz w:val="24"/>
              </w:rPr>
            </w:pPr>
          </w:p>
        </w:tc>
        <w:tc>
          <w:tcPr>
            <w:tcW w:w="458" w:type="dxa"/>
          </w:tcPr>
          <w:p>
            <w:pPr>
              <w:pStyle w:val="TableParagraph"/>
              <w:spacing w:before="141"/>
              <w:ind w:left="118"/>
              <w:jc w:val="center"/>
              <w:rPr>
                <w:sz w:val="24"/>
              </w:rPr>
            </w:pPr>
            <w:r>
              <w:rPr>
                <w:spacing w:val="-5"/>
                <w:sz w:val="24"/>
              </w:rPr>
              <w:t>77</w:t>
            </w:r>
          </w:p>
        </w:tc>
      </w:tr>
      <w:tr>
        <w:trPr>
          <w:trHeight w:val="563" w:hRule="atLeast"/>
        </w:trPr>
        <w:tc>
          <w:tcPr>
            <w:tcW w:w="7023" w:type="dxa"/>
          </w:tcPr>
          <w:p>
            <w:pPr>
              <w:pStyle w:val="TableParagraph"/>
              <w:tabs>
                <w:tab w:pos="589" w:val="left" w:leader="none"/>
              </w:tabs>
              <w:spacing w:before="140"/>
              <w:ind w:left="50"/>
              <w:rPr>
                <w:sz w:val="24"/>
              </w:rPr>
            </w:pPr>
            <w:r>
              <w:rPr>
                <w:spacing w:val="-5"/>
                <w:sz w:val="24"/>
              </w:rPr>
              <w:t>4.2</w:t>
            </w:r>
            <w:r>
              <w:rPr>
                <w:sz w:val="24"/>
              </w:rPr>
              <w:tab/>
              <w:t>Trend</w:t>
            </w:r>
            <w:r>
              <w:rPr>
                <w:spacing w:val="-2"/>
                <w:sz w:val="24"/>
              </w:rPr>
              <w:t> Analysis</w:t>
            </w:r>
          </w:p>
        </w:tc>
        <w:tc>
          <w:tcPr>
            <w:tcW w:w="1650" w:type="dxa"/>
          </w:tcPr>
          <w:p>
            <w:pPr>
              <w:pStyle w:val="TableParagraph"/>
              <w:rPr>
                <w:sz w:val="24"/>
              </w:rPr>
            </w:pPr>
          </w:p>
        </w:tc>
        <w:tc>
          <w:tcPr>
            <w:tcW w:w="1051" w:type="dxa"/>
          </w:tcPr>
          <w:p>
            <w:pPr>
              <w:pStyle w:val="TableParagraph"/>
              <w:rPr>
                <w:sz w:val="24"/>
              </w:rPr>
            </w:pPr>
          </w:p>
        </w:tc>
        <w:tc>
          <w:tcPr>
            <w:tcW w:w="458" w:type="dxa"/>
          </w:tcPr>
          <w:p>
            <w:pPr>
              <w:pStyle w:val="TableParagraph"/>
              <w:spacing w:before="140"/>
              <w:ind w:left="65"/>
              <w:jc w:val="center"/>
              <w:rPr>
                <w:sz w:val="24"/>
              </w:rPr>
            </w:pPr>
            <w:r>
              <w:rPr>
                <w:spacing w:val="-5"/>
                <w:sz w:val="24"/>
              </w:rPr>
              <w:t>77</w:t>
            </w:r>
          </w:p>
        </w:tc>
      </w:tr>
      <w:tr>
        <w:trPr>
          <w:trHeight w:val="572" w:hRule="atLeast"/>
        </w:trPr>
        <w:tc>
          <w:tcPr>
            <w:tcW w:w="7023" w:type="dxa"/>
          </w:tcPr>
          <w:p>
            <w:pPr>
              <w:pStyle w:val="TableParagraph"/>
              <w:spacing w:before="147"/>
              <w:ind w:left="50"/>
              <w:rPr>
                <w:rFonts w:ascii="Cambria"/>
                <w:sz w:val="24"/>
              </w:rPr>
            </w:pPr>
            <w:r>
              <w:rPr>
                <w:rFonts w:ascii="Cambria"/>
                <w:sz w:val="24"/>
              </w:rPr>
              <w:t>4.3</w:t>
            </w:r>
            <w:r>
              <w:rPr>
                <w:rFonts w:ascii="Cambria"/>
                <w:spacing w:val="-4"/>
                <w:sz w:val="24"/>
              </w:rPr>
              <w:t> </w:t>
            </w:r>
            <w:r>
              <w:rPr>
                <w:rFonts w:ascii="Cambria"/>
                <w:sz w:val="24"/>
              </w:rPr>
              <w:t>Presentation</w:t>
            </w:r>
            <w:r>
              <w:rPr>
                <w:rFonts w:ascii="Cambria"/>
                <w:spacing w:val="-4"/>
                <w:sz w:val="24"/>
              </w:rPr>
              <w:t> </w:t>
            </w:r>
            <w:r>
              <w:rPr>
                <w:rFonts w:ascii="Cambria"/>
                <w:sz w:val="24"/>
              </w:rPr>
              <w:t>and</w:t>
            </w:r>
            <w:r>
              <w:rPr>
                <w:rFonts w:ascii="Cambria"/>
                <w:spacing w:val="-4"/>
                <w:sz w:val="24"/>
              </w:rPr>
              <w:t> </w:t>
            </w:r>
            <w:r>
              <w:rPr>
                <w:rFonts w:ascii="Cambria"/>
                <w:sz w:val="24"/>
              </w:rPr>
              <w:t>Analysis</w:t>
            </w:r>
            <w:r>
              <w:rPr>
                <w:rFonts w:ascii="Cambria"/>
                <w:spacing w:val="-1"/>
                <w:sz w:val="24"/>
              </w:rPr>
              <w:t> </w:t>
            </w:r>
            <w:r>
              <w:rPr>
                <w:rFonts w:ascii="Cambria"/>
                <w:sz w:val="24"/>
              </w:rPr>
              <w:t>of</w:t>
            </w:r>
            <w:r>
              <w:rPr>
                <w:rFonts w:ascii="Cambria"/>
                <w:spacing w:val="-3"/>
                <w:sz w:val="24"/>
              </w:rPr>
              <w:t> </w:t>
            </w:r>
            <w:r>
              <w:rPr>
                <w:rFonts w:ascii="Cambria"/>
                <w:spacing w:val="-2"/>
                <w:sz w:val="24"/>
              </w:rPr>
              <w:t>Results</w:t>
            </w:r>
          </w:p>
        </w:tc>
        <w:tc>
          <w:tcPr>
            <w:tcW w:w="1650" w:type="dxa"/>
          </w:tcPr>
          <w:p>
            <w:pPr>
              <w:pStyle w:val="TableParagraph"/>
              <w:rPr>
                <w:sz w:val="24"/>
              </w:rPr>
            </w:pPr>
          </w:p>
        </w:tc>
        <w:tc>
          <w:tcPr>
            <w:tcW w:w="1051" w:type="dxa"/>
          </w:tcPr>
          <w:p>
            <w:pPr>
              <w:pStyle w:val="TableParagraph"/>
              <w:spacing w:before="147"/>
              <w:ind w:left="434"/>
              <w:rPr>
                <w:rFonts w:ascii="Cambria"/>
                <w:sz w:val="24"/>
              </w:rPr>
            </w:pPr>
            <w:r>
              <w:rPr>
                <w:rFonts w:ascii="Cambria"/>
                <w:spacing w:val="-5"/>
                <w:sz w:val="24"/>
              </w:rPr>
              <w:t>83</w:t>
            </w:r>
          </w:p>
        </w:tc>
        <w:tc>
          <w:tcPr>
            <w:tcW w:w="458" w:type="dxa"/>
          </w:tcPr>
          <w:p>
            <w:pPr>
              <w:pStyle w:val="TableParagraph"/>
              <w:rPr>
                <w:sz w:val="24"/>
              </w:rPr>
            </w:pPr>
          </w:p>
        </w:tc>
      </w:tr>
      <w:tr>
        <w:trPr>
          <w:trHeight w:val="553" w:hRule="atLeast"/>
        </w:trPr>
        <w:tc>
          <w:tcPr>
            <w:tcW w:w="7023" w:type="dxa"/>
          </w:tcPr>
          <w:p>
            <w:pPr>
              <w:pStyle w:val="TableParagraph"/>
              <w:spacing w:before="134"/>
              <w:ind w:left="50"/>
              <w:rPr>
                <w:sz w:val="24"/>
              </w:rPr>
            </w:pPr>
            <w:r>
              <w:rPr>
                <w:sz w:val="24"/>
              </w:rPr>
              <w:t>4.3.1</w:t>
            </w:r>
            <w:r>
              <w:rPr>
                <w:spacing w:val="-1"/>
                <w:sz w:val="24"/>
              </w:rPr>
              <w:t> </w:t>
            </w:r>
            <w:r>
              <w:rPr>
                <w:sz w:val="24"/>
              </w:rPr>
              <w:t>The</w:t>
            </w:r>
            <w:r>
              <w:rPr>
                <w:spacing w:val="-2"/>
                <w:sz w:val="24"/>
              </w:rPr>
              <w:t> </w:t>
            </w:r>
            <w:r>
              <w:rPr>
                <w:sz w:val="24"/>
              </w:rPr>
              <w:t>Short-Run </w:t>
            </w:r>
            <w:r>
              <w:rPr>
                <w:spacing w:val="-2"/>
                <w:sz w:val="24"/>
              </w:rPr>
              <w:t>Results</w:t>
            </w:r>
          </w:p>
        </w:tc>
        <w:tc>
          <w:tcPr>
            <w:tcW w:w="1650" w:type="dxa"/>
          </w:tcPr>
          <w:p>
            <w:pPr>
              <w:pStyle w:val="TableParagraph"/>
              <w:rPr>
                <w:sz w:val="24"/>
              </w:rPr>
            </w:pPr>
          </w:p>
        </w:tc>
        <w:tc>
          <w:tcPr>
            <w:tcW w:w="1051" w:type="dxa"/>
          </w:tcPr>
          <w:p>
            <w:pPr>
              <w:pStyle w:val="TableParagraph"/>
              <w:rPr>
                <w:sz w:val="24"/>
              </w:rPr>
            </w:pPr>
          </w:p>
        </w:tc>
        <w:tc>
          <w:tcPr>
            <w:tcW w:w="458" w:type="dxa"/>
          </w:tcPr>
          <w:p>
            <w:pPr>
              <w:pStyle w:val="TableParagraph"/>
              <w:spacing w:before="134"/>
              <w:ind w:left="79"/>
              <w:jc w:val="center"/>
              <w:rPr>
                <w:sz w:val="24"/>
              </w:rPr>
            </w:pPr>
            <w:r>
              <w:rPr>
                <w:spacing w:val="-5"/>
                <w:sz w:val="24"/>
              </w:rPr>
              <w:t>83</w:t>
            </w:r>
          </w:p>
        </w:tc>
      </w:tr>
      <w:tr>
        <w:trPr>
          <w:trHeight w:val="552" w:hRule="atLeast"/>
        </w:trPr>
        <w:tc>
          <w:tcPr>
            <w:tcW w:w="7023" w:type="dxa"/>
          </w:tcPr>
          <w:p>
            <w:pPr>
              <w:pStyle w:val="TableParagraph"/>
              <w:spacing w:before="133"/>
              <w:ind w:left="50"/>
              <w:rPr>
                <w:sz w:val="24"/>
              </w:rPr>
            </w:pPr>
            <w:r>
              <w:rPr>
                <w:sz w:val="24"/>
              </w:rPr>
              <w:t>4.3.2</w:t>
            </w:r>
            <w:r>
              <w:rPr>
                <w:spacing w:val="-3"/>
                <w:sz w:val="24"/>
              </w:rPr>
              <w:t> </w:t>
            </w:r>
            <w:r>
              <w:rPr>
                <w:sz w:val="24"/>
              </w:rPr>
              <w:t>The Long</w:t>
            </w:r>
            <w:r>
              <w:rPr>
                <w:spacing w:val="-3"/>
                <w:sz w:val="24"/>
              </w:rPr>
              <w:t> </w:t>
            </w:r>
            <w:r>
              <w:rPr>
                <w:sz w:val="24"/>
              </w:rPr>
              <w:t>Run </w:t>
            </w:r>
            <w:r>
              <w:rPr>
                <w:spacing w:val="-4"/>
                <w:sz w:val="24"/>
              </w:rPr>
              <w:t>Test</w:t>
            </w:r>
          </w:p>
        </w:tc>
        <w:tc>
          <w:tcPr>
            <w:tcW w:w="1650" w:type="dxa"/>
          </w:tcPr>
          <w:p>
            <w:pPr>
              <w:pStyle w:val="TableParagraph"/>
              <w:rPr>
                <w:sz w:val="24"/>
              </w:rPr>
            </w:pPr>
          </w:p>
        </w:tc>
        <w:tc>
          <w:tcPr>
            <w:tcW w:w="1051" w:type="dxa"/>
          </w:tcPr>
          <w:p>
            <w:pPr>
              <w:pStyle w:val="TableParagraph"/>
              <w:rPr>
                <w:sz w:val="24"/>
              </w:rPr>
            </w:pPr>
          </w:p>
        </w:tc>
        <w:tc>
          <w:tcPr>
            <w:tcW w:w="458" w:type="dxa"/>
          </w:tcPr>
          <w:p>
            <w:pPr>
              <w:pStyle w:val="TableParagraph"/>
              <w:spacing w:before="133"/>
              <w:ind w:right="97"/>
              <w:jc w:val="center"/>
              <w:rPr>
                <w:sz w:val="24"/>
              </w:rPr>
            </w:pPr>
            <w:r>
              <w:rPr>
                <w:spacing w:val="-5"/>
                <w:sz w:val="24"/>
              </w:rPr>
              <w:t>108</w:t>
            </w:r>
          </w:p>
        </w:tc>
      </w:tr>
      <w:tr>
        <w:trPr>
          <w:trHeight w:val="551" w:hRule="atLeast"/>
        </w:trPr>
        <w:tc>
          <w:tcPr>
            <w:tcW w:w="7023" w:type="dxa"/>
          </w:tcPr>
          <w:p>
            <w:pPr>
              <w:pStyle w:val="TableParagraph"/>
              <w:tabs>
                <w:tab w:pos="709" w:val="left" w:leader="none"/>
              </w:tabs>
              <w:spacing w:before="133"/>
              <w:ind w:left="50"/>
              <w:rPr>
                <w:sz w:val="24"/>
              </w:rPr>
            </w:pPr>
            <w:r>
              <w:rPr>
                <w:spacing w:val="-5"/>
                <w:sz w:val="24"/>
              </w:rPr>
              <w:t>4.4</w:t>
            </w:r>
            <w:r>
              <w:rPr>
                <w:sz w:val="24"/>
              </w:rPr>
              <w:tab/>
              <w:t>Stationary</w:t>
            </w:r>
            <w:r>
              <w:rPr>
                <w:spacing w:val="-7"/>
                <w:sz w:val="24"/>
              </w:rPr>
              <w:t> </w:t>
            </w:r>
            <w:r>
              <w:rPr>
                <w:spacing w:val="-4"/>
                <w:sz w:val="24"/>
              </w:rPr>
              <w:t>Test</w:t>
            </w:r>
          </w:p>
        </w:tc>
        <w:tc>
          <w:tcPr>
            <w:tcW w:w="1650" w:type="dxa"/>
          </w:tcPr>
          <w:p>
            <w:pPr>
              <w:pStyle w:val="TableParagraph"/>
              <w:rPr>
                <w:sz w:val="24"/>
              </w:rPr>
            </w:pPr>
          </w:p>
        </w:tc>
        <w:tc>
          <w:tcPr>
            <w:tcW w:w="1051" w:type="dxa"/>
          </w:tcPr>
          <w:p>
            <w:pPr>
              <w:pStyle w:val="TableParagraph"/>
              <w:rPr>
                <w:sz w:val="24"/>
              </w:rPr>
            </w:pPr>
          </w:p>
        </w:tc>
        <w:tc>
          <w:tcPr>
            <w:tcW w:w="458" w:type="dxa"/>
          </w:tcPr>
          <w:p>
            <w:pPr>
              <w:pStyle w:val="TableParagraph"/>
              <w:spacing w:before="133"/>
              <w:ind w:right="81"/>
              <w:jc w:val="center"/>
              <w:rPr>
                <w:sz w:val="24"/>
              </w:rPr>
            </w:pPr>
            <w:r>
              <w:rPr>
                <w:spacing w:val="-5"/>
                <w:sz w:val="24"/>
              </w:rPr>
              <w:t>108</w:t>
            </w:r>
          </w:p>
        </w:tc>
      </w:tr>
      <w:tr>
        <w:trPr>
          <w:trHeight w:val="552" w:hRule="atLeast"/>
        </w:trPr>
        <w:tc>
          <w:tcPr>
            <w:tcW w:w="7023" w:type="dxa"/>
          </w:tcPr>
          <w:p>
            <w:pPr>
              <w:pStyle w:val="TableParagraph"/>
              <w:tabs>
                <w:tab w:pos="649" w:val="left" w:leader="none"/>
              </w:tabs>
              <w:spacing w:before="133"/>
              <w:ind w:left="50"/>
              <w:rPr>
                <w:sz w:val="24"/>
              </w:rPr>
            </w:pPr>
            <w:r>
              <w:rPr>
                <w:spacing w:val="-5"/>
                <w:sz w:val="24"/>
              </w:rPr>
              <w:t>4.5</w:t>
            </w:r>
            <w:r>
              <w:rPr>
                <w:sz w:val="24"/>
              </w:rPr>
              <w:tab/>
              <w:t>Cointegration</w:t>
            </w:r>
            <w:r>
              <w:rPr>
                <w:spacing w:val="-8"/>
                <w:sz w:val="24"/>
              </w:rPr>
              <w:t> </w:t>
            </w:r>
            <w:r>
              <w:rPr>
                <w:spacing w:val="-4"/>
                <w:sz w:val="24"/>
              </w:rPr>
              <w:t>Test</w:t>
            </w:r>
          </w:p>
        </w:tc>
        <w:tc>
          <w:tcPr>
            <w:tcW w:w="1650" w:type="dxa"/>
          </w:tcPr>
          <w:p>
            <w:pPr>
              <w:pStyle w:val="TableParagraph"/>
              <w:rPr>
                <w:sz w:val="24"/>
              </w:rPr>
            </w:pPr>
          </w:p>
        </w:tc>
        <w:tc>
          <w:tcPr>
            <w:tcW w:w="1051" w:type="dxa"/>
          </w:tcPr>
          <w:p>
            <w:pPr>
              <w:pStyle w:val="TableParagraph"/>
              <w:rPr>
                <w:sz w:val="24"/>
              </w:rPr>
            </w:pPr>
          </w:p>
        </w:tc>
        <w:tc>
          <w:tcPr>
            <w:tcW w:w="458" w:type="dxa"/>
          </w:tcPr>
          <w:p>
            <w:pPr>
              <w:pStyle w:val="TableParagraph"/>
              <w:spacing w:before="133"/>
              <w:ind w:left="14" w:right="28"/>
              <w:jc w:val="center"/>
              <w:rPr>
                <w:sz w:val="24"/>
              </w:rPr>
            </w:pPr>
            <w:r>
              <w:rPr>
                <w:spacing w:val="-5"/>
                <w:sz w:val="24"/>
              </w:rPr>
              <w:t>112</w:t>
            </w:r>
          </w:p>
        </w:tc>
      </w:tr>
      <w:tr>
        <w:trPr>
          <w:trHeight w:val="552" w:hRule="atLeast"/>
        </w:trPr>
        <w:tc>
          <w:tcPr>
            <w:tcW w:w="7023" w:type="dxa"/>
          </w:tcPr>
          <w:p>
            <w:pPr>
              <w:pStyle w:val="TableParagraph"/>
              <w:spacing w:before="133"/>
              <w:ind w:left="50"/>
              <w:rPr>
                <w:sz w:val="24"/>
              </w:rPr>
            </w:pPr>
            <w:r>
              <w:rPr>
                <w:sz w:val="24"/>
              </w:rPr>
              <w:t>4.5.1</w:t>
            </w:r>
            <w:r>
              <w:rPr>
                <w:spacing w:val="-1"/>
                <w:sz w:val="24"/>
              </w:rPr>
              <w:t> </w:t>
            </w:r>
            <w:r>
              <w:rPr>
                <w:sz w:val="24"/>
              </w:rPr>
              <w:t>The Long</w:t>
            </w:r>
            <w:r>
              <w:rPr>
                <w:spacing w:val="-3"/>
                <w:sz w:val="24"/>
              </w:rPr>
              <w:t> </w:t>
            </w:r>
            <w:r>
              <w:rPr>
                <w:sz w:val="24"/>
              </w:rPr>
              <w:t>Run </w:t>
            </w:r>
            <w:r>
              <w:rPr>
                <w:spacing w:val="-4"/>
                <w:sz w:val="24"/>
              </w:rPr>
              <w:t>Model</w:t>
            </w:r>
          </w:p>
        </w:tc>
        <w:tc>
          <w:tcPr>
            <w:tcW w:w="1650" w:type="dxa"/>
          </w:tcPr>
          <w:p>
            <w:pPr>
              <w:pStyle w:val="TableParagraph"/>
              <w:rPr>
                <w:sz w:val="24"/>
              </w:rPr>
            </w:pPr>
          </w:p>
        </w:tc>
        <w:tc>
          <w:tcPr>
            <w:tcW w:w="1051" w:type="dxa"/>
          </w:tcPr>
          <w:p>
            <w:pPr>
              <w:pStyle w:val="TableParagraph"/>
              <w:rPr>
                <w:sz w:val="24"/>
              </w:rPr>
            </w:pPr>
          </w:p>
        </w:tc>
        <w:tc>
          <w:tcPr>
            <w:tcW w:w="458" w:type="dxa"/>
          </w:tcPr>
          <w:p>
            <w:pPr>
              <w:pStyle w:val="TableParagraph"/>
              <w:spacing w:before="133"/>
              <w:ind w:right="28"/>
              <w:jc w:val="center"/>
              <w:rPr>
                <w:sz w:val="24"/>
              </w:rPr>
            </w:pPr>
            <w:r>
              <w:rPr>
                <w:spacing w:val="-5"/>
                <w:sz w:val="24"/>
              </w:rPr>
              <w:t>113</w:t>
            </w:r>
          </w:p>
        </w:tc>
      </w:tr>
      <w:tr>
        <w:trPr>
          <w:trHeight w:val="1108" w:hRule="atLeast"/>
        </w:trPr>
        <w:tc>
          <w:tcPr>
            <w:tcW w:w="7023" w:type="dxa"/>
          </w:tcPr>
          <w:p>
            <w:pPr>
              <w:pStyle w:val="TableParagraph"/>
              <w:tabs>
                <w:tab w:pos="770" w:val="left" w:leader="none"/>
              </w:tabs>
              <w:spacing w:before="133"/>
              <w:ind w:left="50"/>
              <w:rPr>
                <w:sz w:val="24"/>
              </w:rPr>
            </w:pPr>
            <w:r>
              <w:rPr>
                <w:spacing w:val="-2"/>
                <w:sz w:val="24"/>
              </w:rPr>
              <w:t>4.5.2</w:t>
            </w:r>
            <w:r>
              <w:rPr>
                <w:sz w:val="24"/>
              </w:rPr>
              <w:tab/>
              <w:t>Error</w:t>
            </w:r>
            <w:r>
              <w:rPr>
                <w:spacing w:val="-4"/>
                <w:sz w:val="24"/>
              </w:rPr>
              <w:t> </w:t>
            </w:r>
            <w:r>
              <w:rPr>
                <w:sz w:val="24"/>
              </w:rPr>
              <w:t>Correction</w:t>
            </w:r>
            <w:r>
              <w:rPr>
                <w:spacing w:val="-1"/>
                <w:sz w:val="24"/>
              </w:rPr>
              <w:t> </w:t>
            </w:r>
            <w:r>
              <w:rPr>
                <w:sz w:val="24"/>
              </w:rPr>
              <w:t>Test</w:t>
            </w:r>
            <w:r>
              <w:rPr>
                <w:spacing w:val="-1"/>
                <w:sz w:val="24"/>
              </w:rPr>
              <w:t> </w:t>
            </w:r>
            <w:r>
              <w:rPr>
                <w:sz w:val="24"/>
              </w:rPr>
              <w:t>for Model</w:t>
            </w:r>
            <w:r>
              <w:rPr>
                <w:spacing w:val="-1"/>
                <w:sz w:val="24"/>
              </w:rPr>
              <w:t> </w:t>
            </w:r>
            <w:r>
              <w:rPr>
                <w:spacing w:val="-5"/>
                <w:sz w:val="24"/>
              </w:rPr>
              <w:t>1A</w:t>
            </w:r>
          </w:p>
          <w:p>
            <w:pPr>
              <w:pStyle w:val="TableParagraph"/>
              <w:rPr>
                <w:sz w:val="24"/>
              </w:rPr>
            </w:pPr>
          </w:p>
          <w:p>
            <w:pPr>
              <w:pStyle w:val="TableParagraph"/>
              <w:tabs>
                <w:tab w:pos="902" w:val="left" w:leader="none"/>
              </w:tabs>
              <w:ind w:left="50"/>
              <w:rPr>
                <w:rFonts w:ascii="Cambria"/>
                <w:sz w:val="24"/>
              </w:rPr>
            </w:pPr>
            <w:r>
              <w:rPr>
                <w:rFonts w:ascii="Cambria"/>
                <w:sz w:val="24"/>
              </w:rPr>
              <w:t>4.</w:t>
            </w:r>
            <w:r>
              <w:rPr>
                <w:rFonts w:ascii="Cambria"/>
                <w:spacing w:val="-1"/>
                <w:sz w:val="24"/>
              </w:rPr>
              <w:t> </w:t>
            </w:r>
            <w:r>
              <w:rPr>
                <w:rFonts w:ascii="Cambria"/>
                <w:spacing w:val="-5"/>
                <w:sz w:val="24"/>
              </w:rPr>
              <w:t>5.3</w:t>
            </w:r>
            <w:r>
              <w:rPr>
                <w:rFonts w:ascii="Cambria"/>
                <w:sz w:val="24"/>
              </w:rPr>
              <w:tab/>
              <w:t>Tests</w:t>
            </w:r>
            <w:r>
              <w:rPr>
                <w:rFonts w:ascii="Cambria"/>
                <w:spacing w:val="-4"/>
                <w:sz w:val="24"/>
              </w:rPr>
              <w:t> </w:t>
            </w:r>
            <w:r>
              <w:rPr>
                <w:rFonts w:ascii="Cambria"/>
                <w:sz w:val="24"/>
              </w:rPr>
              <w:t>for</w:t>
            </w:r>
            <w:r>
              <w:rPr>
                <w:rFonts w:ascii="Cambria"/>
                <w:spacing w:val="-3"/>
                <w:sz w:val="24"/>
              </w:rPr>
              <w:t> </w:t>
            </w:r>
            <w:r>
              <w:rPr>
                <w:rFonts w:ascii="Cambria"/>
                <w:sz w:val="24"/>
              </w:rPr>
              <w:t>the</w:t>
            </w:r>
            <w:r>
              <w:rPr>
                <w:rFonts w:ascii="Cambria"/>
                <w:spacing w:val="-2"/>
                <w:sz w:val="24"/>
              </w:rPr>
              <w:t> </w:t>
            </w:r>
            <w:r>
              <w:rPr>
                <w:rFonts w:ascii="Cambria"/>
                <w:sz w:val="24"/>
              </w:rPr>
              <w:t>Statistical</w:t>
            </w:r>
            <w:r>
              <w:rPr>
                <w:rFonts w:ascii="Cambria"/>
                <w:spacing w:val="-5"/>
                <w:sz w:val="24"/>
              </w:rPr>
              <w:t> </w:t>
            </w:r>
            <w:r>
              <w:rPr>
                <w:rFonts w:ascii="Cambria"/>
                <w:sz w:val="24"/>
              </w:rPr>
              <w:t>Significance</w:t>
            </w:r>
            <w:r>
              <w:rPr>
                <w:rFonts w:ascii="Cambria"/>
                <w:spacing w:val="-2"/>
                <w:sz w:val="24"/>
              </w:rPr>
              <w:t> </w:t>
            </w:r>
            <w:r>
              <w:rPr>
                <w:rFonts w:ascii="Cambria"/>
                <w:sz w:val="24"/>
              </w:rPr>
              <w:t>of</w:t>
            </w:r>
            <w:r>
              <w:rPr>
                <w:rFonts w:ascii="Cambria"/>
                <w:spacing w:val="-2"/>
                <w:sz w:val="24"/>
              </w:rPr>
              <w:t> Parameters</w:t>
            </w:r>
          </w:p>
        </w:tc>
        <w:tc>
          <w:tcPr>
            <w:tcW w:w="1650" w:type="dxa"/>
          </w:tcPr>
          <w:p>
            <w:pPr>
              <w:pStyle w:val="TableParagraph"/>
              <w:rPr>
                <w:sz w:val="24"/>
              </w:rPr>
            </w:pPr>
          </w:p>
        </w:tc>
        <w:tc>
          <w:tcPr>
            <w:tcW w:w="1051" w:type="dxa"/>
          </w:tcPr>
          <w:p>
            <w:pPr>
              <w:pStyle w:val="TableParagraph"/>
              <w:rPr>
                <w:sz w:val="24"/>
              </w:rPr>
            </w:pPr>
          </w:p>
          <w:p>
            <w:pPr>
              <w:pStyle w:val="TableParagraph"/>
              <w:spacing w:before="133"/>
              <w:rPr>
                <w:sz w:val="24"/>
              </w:rPr>
            </w:pPr>
          </w:p>
          <w:p>
            <w:pPr>
              <w:pStyle w:val="TableParagraph"/>
              <w:ind w:left="616"/>
              <w:rPr>
                <w:rFonts w:ascii="Cambria"/>
                <w:sz w:val="24"/>
              </w:rPr>
            </w:pPr>
            <w:r>
              <w:rPr>
                <w:rFonts w:ascii="Cambria"/>
                <w:spacing w:val="-5"/>
                <w:sz w:val="24"/>
              </w:rPr>
              <w:t>117</w:t>
            </w:r>
          </w:p>
        </w:tc>
        <w:tc>
          <w:tcPr>
            <w:tcW w:w="458" w:type="dxa"/>
          </w:tcPr>
          <w:p>
            <w:pPr>
              <w:pStyle w:val="TableParagraph"/>
              <w:spacing w:before="133"/>
              <w:ind w:right="73"/>
              <w:jc w:val="center"/>
              <w:rPr>
                <w:sz w:val="24"/>
              </w:rPr>
            </w:pPr>
            <w:r>
              <w:rPr>
                <w:spacing w:val="-5"/>
                <w:sz w:val="24"/>
              </w:rPr>
              <w:t>115</w:t>
            </w:r>
          </w:p>
        </w:tc>
      </w:tr>
      <w:tr>
        <w:trPr>
          <w:trHeight w:val="562" w:hRule="atLeast"/>
        </w:trPr>
        <w:tc>
          <w:tcPr>
            <w:tcW w:w="7023" w:type="dxa"/>
          </w:tcPr>
          <w:p>
            <w:pPr>
              <w:pStyle w:val="TableParagraph"/>
              <w:spacing w:before="141"/>
              <w:ind w:left="50"/>
              <w:rPr>
                <w:rFonts w:ascii="Cambria"/>
                <w:sz w:val="24"/>
              </w:rPr>
            </w:pPr>
            <w:r>
              <w:rPr>
                <w:rFonts w:ascii="Cambria"/>
                <w:sz w:val="24"/>
              </w:rPr>
              <w:t>4.5.4</w:t>
            </w:r>
            <w:r>
              <w:rPr>
                <w:rFonts w:ascii="Cambria"/>
                <w:spacing w:val="-5"/>
                <w:sz w:val="24"/>
              </w:rPr>
              <w:t> </w:t>
            </w:r>
            <w:r>
              <w:rPr>
                <w:rFonts w:ascii="Cambria"/>
                <w:sz w:val="24"/>
              </w:rPr>
              <w:t>Tests</w:t>
            </w:r>
            <w:r>
              <w:rPr>
                <w:rFonts w:ascii="Cambria"/>
                <w:spacing w:val="-2"/>
                <w:sz w:val="24"/>
              </w:rPr>
              <w:t> </w:t>
            </w:r>
            <w:r>
              <w:rPr>
                <w:rFonts w:ascii="Cambria"/>
                <w:sz w:val="24"/>
              </w:rPr>
              <w:t>for</w:t>
            </w:r>
            <w:r>
              <w:rPr>
                <w:rFonts w:ascii="Cambria"/>
                <w:spacing w:val="-2"/>
                <w:sz w:val="24"/>
              </w:rPr>
              <w:t> </w:t>
            </w:r>
            <w:r>
              <w:rPr>
                <w:rFonts w:ascii="Cambria"/>
                <w:sz w:val="24"/>
              </w:rPr>
              <w:t>Overall</w:t>
            </w:r>
            <w:r>
              <w:rPr>
                <w:rFonts w:ascii="Cambria"/>
                <w:spacing w:val="-3"/>
                <w:sz w:val="24"/>
              </w:rPr>
              <w:t> </w:t>
            </w:r>
            <w:r>
              <w:rPr>
                <w:rFonts w:ascii="Cambria"/>
                <w:sz w:val="24"/>
              </w:rPr>
              <w:t>Significance</w:t>
            </w:r>
            <w:r>
              <w:rPr>
                <w:rFonts w:ascii="Cambria"/>
                <w:spacing w:val="-1"/>
                <w:sz w:val="24"/>
              </w:rPr>
              <w:t> </w:t>
            </w:r>
            <w:r>
              <w:rPr>
                <w:rFonts w:ascii="Cambria"/>
                <w:sz w:val="24"/>
              </w:rPr>
              <w:t>of</w:t>
            </w:r>
            <w:r>
              <w:rPr>
                <w:rFonts w:ascii="Cambria"/>
                <w:spacing w:val="-3"/>
                <w:sz w:val="24"/>
              </w:rPr>
              <w:t> </w:t>
            </w:r>
            <w:r>
              <w:rPr>
                <w:rFonts w:ascii="Cambria"/>
                <w:sz w:val="24"/>
              </w:rPr>
              <w:t>Model</w:t>
            </w:r>
            <w:r>
              <w:rPr>
                <w:rFonts w:ascii="Cambria"/>
                <w:spacing w:val="-2"/>
                <w:sz w:val="24"/>
              </w:rPr>
              <w:t> </w:t>
            </w:r>
            <w:r>
              <w:rPr>
                <w:rFonts w:ascii="Cambria"/>
                <w:spacing w:val="-5"/>
                <w:sz w:val="24"/>
              </w:rPr>
              <w:t>1A.</w:t>
            </w:r>
          </w:p>
        </w:tc>
        <w:tc>
          <w:tcPr>
            <w:tcW w:w="1650" w:type="dxa"/>
          </w:tcPr>
          <w:p>
            <w:pPr>
              <w:pStyle w:val="TableParagraph"/>
              <w:rPr>
                <w:sz w:val="24"/>
              </w:rPr>
            </w:pPr>
          </w:p>
        </w:tc>
        <w:tc>
          <w:tcPr>
            <w:tcW w:w="1051" w:type="dxa"/>
          </w:tcPr>
          <w:p>
            <w:pPr>
              <w:pStyle w:val="TableParagraph"/>
              <w:spacing w:before="141"/>
              <w:ind w:left="506"/>
              <w:rPr>
                <w:rFonts w:ascii="Cambria"/>
                <w:sz w:val="24"/>
              </w:rPr>
            </w:pPr>
            <w:r>
              <w:rPr>
                <w:rFonts w:ascii="Cambria"/>
                <w:spacing w:val="-5"/>
                <w:sz w:val="24"/>
              </w:rPr>
              <w:t>119</w:t>
            </w:r>
          </w:p>
        </w:tc>
        <w:tc>
          <w:tcPr>
            <w:tcW w:w="458" w:type="dxa"/>
          </w:tcPr>
          <w:p>
            <w:pPr>
              <w:pStyle w:val="TableParagraph"/>
              <w:rPr>
                <w:sz w:val="24"/>
              </w:rPr>
            </w:pPr>
          </w:p>
        </w:tc>
      </w:tr>
      <w:tr>
        <w:trPr>
          <w:trHeight w:val="567" w:hRule="atLeast"/>
        </w:trPr>
        <w:tc>
          <w:tcPr>
            <w:tcW w:w="7023" w:type="dxa"/>
          </w:tcPr>
          <w:p>
            <w:pPr>
              <w:pStyle w:val="TableParagraph"/>
              <w:spacing w:before="140"/>
              <w:ind w:left="50"/>
              <w:rPr>
                <w:rFonts w:ascii="Cambria"/>
                <w:sz w:val="24"/>
              </w:rPr>
            </w:pPr>
            <w:r>
              <w:rPr>
                <w:rFonts w:ascii="Cambria"/>
                <w:sz w:val="24"/>
              </w:rPr>
              <w:t>4.5.5</w:t>
            </w:r>
            <w:r>
              <w:rPr>
                <w:rFonts w:ascii="Cambria"/>
                <w:spacing w:val="-5"/>
                <w:sz w:val="24"/>
              </w:rPr>
              <w:t> </w:t>
            </w:r>
            <w:r>
              <w:rPr>
                <w:rFonts w:ascii="Cambria"/>
                <w:sz w:val="24"/>
              </w:rPr>
              <w:t>Tests</w:t>
            </w:r>
            <w:r>
              <w:rPr>
                <w:rFonts w:ascii="Cambria"/>
                <w:spacing w:val="-2"/>
                <w:sz w:val="24"/>
              </w:rPr>
              <w:t> </w:t>
            </w:r>
            <w:r>
              <w:rPr>
                <w:rFonts w:ascii="Cambria"/>
                <w:sz w:val="24"/>
              </w:rPr>
              <w:t>for</w:t>
            </w:r>
            <w:r>
              <w:rPr>
                <w:rFonts w:ascii="Cambria"/>
                <w:spacing w:val="-2"/>
                <w:sz w:val="24"/>
              </w:rPr>
              <w:t> </w:t>
            </w:r>
            <w:r>
              <w:rPr>
                <w:rFonts w:ascii="Cambria"/>
                <w:sz w:val="24"/>
              </w:rPr>
              <w:t>Overall</w:t>
            </w:r>
            <w:r>
              <w:rPr>
                <w:rFonts w:ascii="Cambria"/>
                <w:spacing w:val="-3"/>
                <w:sz w:val="24"/>
              </w:rPr>
              <w:t> </w:t>
            </w:r>
            <w:r>
              <w:rPr>
                <w:rFonts w:ascii="Cambria"/>
                <w:sz w:val="24"/>
              </w:rPr>
              <w:t>Significance</w:t>
            </w:r>
            <w:r>
              <w:rPr>
                <w:rFonts w:ascii="Cambria"/>
                <w:spacing w:val="-1"/>
                <w:sz w:val="24"/>
              </w:rPr>
              <w:t> </w:t>
            </w:r>
            <w:r>
              <w:rPr>
                <w:rFonts w:ascii="Cambria"/>
                <w:sz w:val="24"/>
              </w:rPr>
              <w:t>of</w:t>
            </w:r>
            <w:r>
              <w:rPr>
                <w:rFonts w:ascii="Cambria"/>
                <w:spacing w:val="-3"/>
                <w:sz w:val="24"/>
              </w:rPr>
              <w:t> </w:t>
            </w:r>
            <w:r>
              <w:rPr>
                <w:rFonts w:ascii="Cambria"/>
                <w:sz w:val="24"/>
              </w:rPr>
              <w:t>Model</w:t>
            </w:r>
            <w:r>
              <w:rPr>
                <w:rFonts w:ascii="Cambria"/>
                <w:spacing w:val="-2"/>
                <w:sz w:val="24"/>
              </w:rPr>
              <w:t> </w:t>
            </w:r>
            <w:r>
              <w:rPr>
                <w:rFonts w:ascii="Cambria"/>
                <w:spacing w:val="-7"/>
                <w:sz w:val="24"/>
              </w:rPr>
              <w:t>1B</w:t>
            </w:r>
          </w:p>
        </w:tc>
        <w:tc>
          <w:tcPr>
            <w:tcW w:w="1650" w:type="dxa"/>
          </w:tcPr>
          <w:p>
            <w:pPr>
              <w:pStyle w:val="TableParagraph"/>
              <w:rPr>
                <w:sz w:val="24"/>
              </w:rPr>
            </w:pPr>
          </w:p>
        </w:tc>
        <w:tc>
          <w:tcPr>
            <w:tcW w:w="1051" w:type="dxa"/>
          </w:tcPr>
          <w:p>
            <w:pPr>
              <w:pStyle w:val="TableParagraph"/>
              <w:spacing w:before="140"/>
              <w:ind w:left="400"/>
              <w:rPr>
                <w:rFonts w:ascii="Cambria"/>
                <w:sz w:val="24"/>
              </w:rPr>
            </w:pPr>
            <w:r>
              <w:rPr>
                <w:rFonts w:ascii="Cambria"/>
                <w:spacing w:val="-5"/>
                <w:sz w:val="24"/>
              </w:rPr>
              <w:t>119</w:t>
            </w:r>
          </w:p>
        </w:tc>
        <w:tc>
          <w:tcPr>
            <w:tcW w:w="458" w:type="dxa"/>
          </w:tcPr>
          <w:p>
            <w:pPr>
              <w:pStyle w:val="TableParagraph"/>
              <w:rPr>
                <w:sz w:val="24"/>
              </w:rPr>
            </w:pPr>
          </w:p>
        </w:tc>
      </w:tr>
      <w:tr>
        <w:trPr>
          <w:trHeight w:val="554" w:hRule="atLeast"/>
        </w:trPr>
        <w:tc>
          <w:tcPr>
            <w:tcW w:w="7023" w:type="dxa"/>
          </w:tcPr>
          <w:p>
            <w:pPr>
              <w:pStyle w:val="TableParagraph"/>
              <w:spacing w:before="136"/>
              <w:ind w:left="50"/>
              <w:rPr>
                <w:sz w:val="24"/>
              </w:rPr>
            </w:pPr>
            <w:r>
              <w:rPr>
                <w:sz w:val="24"/>
              </w:rPr>
              <w:t>4.6.</w:t>
            </w:r>
            <w:r>
              <w:rPr>
                <w:spacing w:val="-1"/>
                <w:sz w:val="24"/>
              </w:rPr>
              <w:t> </w:t>
            </w:r>
            <w:r>
              <w:rPr>
                <w:sz w:val="24"/>
              </w:rPr>
              <w:t>The Long</w:t>
            </w:r>
            <w:r>
              <w:rPr>
                <w:spacing w:val="-3"/>
                <w:sz w:val="24"/>
              </w:rPr>
              <w:t> </w:t>
            </w:r>
            <w:r>
              <w:rPr>
                <w:sz w:val="24"/>
              </w:rPr>
              <w:t>Run </w:t>
            </w:r>
            <w:r>
              <w:rPr>
                <w:spacing w:val="-4"/>
                <w:sz w:val="24"/>
              </w:rPr>
              <w:t>Model</w:t>
            </w:r>
          </w:p>
        </w:tc>
        <w:tc>
          <w:tcPr>
            <w:tcW w:w="1650" w:type="dxa"/>
          </w:tcPr>
          <w:p>
            <w:pPr>
              <w:pStyle w:val="TableParagraph"/>
              <w:rPr>
                <w:sz w:val="24"/>
              </w:rPr>
            </w:pPr>
          </w:p>
        </w:tc>
        <w:tc>
          <w:tcPr>
            <w:tcW w:w="1051" w:type="dxa"/>
          </w:tcPr>
          <w:p>
            <w:pPr>
              <w:pStyle w:val="TableParagraph"/>
              <w:rPr>
                <w:sz w:val="24"/>
              </w:rPr>
            </w:pPr>
          </w:p>
        </w:tc>
        <w:tc>
          <w:tcPr>
            <w:tcW w:w="458" w:type="dxa"/>
          </w:tcPr>
          <w:p>
            <w:pPr>
              <w:pStyle w:val="TableParagraph"/>
              <w:spacing w:before="136"/>
              <w:ind w:right="25"/>
              <w:jc w:val="center"/>
              <w:rPr>
                <w:sz w:val="24"/>
              </w:rPr>
            </w:pPr>
            <w:r>
              <w:rPr>
                <w:spacing w:val="-5"/>
                <w:sz w:val="24"/>
              </w:rPr>
              <w:t>120</w:t>
            </w:r>
          </w:p>
        </w:tc>
      </w:tr>
      <w:tr>
        <w:trPr>
          <w:trHeight w:val="1107" w:hRule="atLeast"/>
        </w:trPr>
        <w:tc>
          <w:tcPr>
            <w:tcW w:w="7023" w:type="dxa"/>
          </w:tcPr>
          <w:p>
            <w:pPr>
              <w:pStyle w:val="TableParagraph"/>
              <w:spacing w:before="133"/>
              <w:ind w:left="50"/>
              <w:rPr>
                <w:sz w:val="24"/>
              </w:rPr>
            </w:pPr>
            <w:r>
              <w:rPr>
                <w:sz w:val="24"/>
              </w:rPr>
              <w:t>4.6.1.</w:t>
            </w:r>
            <w:r>
              <w:rPr>
                <w:spacing w:val="29"/>
                <w:sz w:val="24"/>
              </w:rPr>
              <w:t>  </w:t>
            </w:r>
            <w:r>
              <w:rPr>
                <w:sz w:val="24"/>
              </w:rPr>
              <w:t>Error</w:t>
            </w:r>
            <w:r>
              <w:rPr>
                <w:spacing w:val="-3"/>
                <w:sz w:val="24"/>
              </w:rPr>
              <w:t> </w:t>
            </w:r>
            <w:r>
              <w:rPr>
                <w:sz w:val="24"/>
              </w:rPr>
              <w:t>Correction</w:t>
            </w:r>
            <w:r>
              <w:rPr>
                <w:spacing w:val="-1"/>
                <w:sz w:val="24"/>
              </w:rPr>
              <w:t> </w:t>
            </w:r>
            <w:r>
              <w:rPr>
                <w:sz w:val="24"/>
              </w:rPr>
              <w:t>Test for Model </w:t>
            </w:r>
            <w:r>
              <w:rPr>
                <w:spacing w:val="-5"/>
                <w:sz w:val="24"/>
              </w:rPr>
              <w:t>1B</w:t>
            </w:r>
          </w:p>
          <w:p>
            <w:pPr>
              <w:pStyle w:val="TableParagraph"/>
              <w:spacing w:before="1"/>
              <w:rPr>
                <w:sz w:val="24"/>
              </w:rPr>
            </w:pPr>
          </w:p>
          <w:p>
            <w:pPr>
              <w:pStyle w:val="TableParagraph"/>
              <w:tabs>
                <w:tab w:pos="902" w:val="left" w:leader="none"/>
              </w:tabs>
              <w:ind w:left="50"/>
              <w:rPr>
                <w:rFonts w:ascii="Cambria"/>
                <w:sz w:val="24"/>
              </w:rPr>
            </w:pPr>
            <w:r>
              <w:rPr>
                <w:rFonts w:ascii="Cambria"/>
                <w:sz w:val="24"/>
              </w:rPr>
              <w:t>4.</w:t>
            </w:r>
            <w:r>
              <w:rPr>
                <w:rFonts w:ascii="Cambria"/>
                <w:spacing w:val="-1"/>
                <w:sz w:val="24"/>
              </w:rPr>
              <w:t> </w:t>
            </w:r>
            <w:r>
              <w:rPr>
                <w:rFonts w:ascii="Cambria"/>
                <w:spacing w:val="-5"/>
                <w:sz w:val="24"/>
              </w:rPr>
              <w:t>6.3</w:t>
            </w:r>
            <w:r>
              <w:rPr>
                <w:rFonts w:ascii="Cambria"/>
                <w:sz w:val="24"/>
              </w:rPr>
              <w:tab/>
              <w:t>Tests</w:t>
            </w:r>
            <w:r>
              <w:rPr>
                <w:rFonts w:ascii="Cambria"/>
                <w:spacing w:val="-4"/>
                <w:sz w:val="24"/>
              </w:rPr>
              <w:t> </w:t>
            </w:r>
            <w:r>
              <w:rPr>
                <w:rFonts w:ascii="Cambria"/>
                <w:sz w:val="24"/>
              </w:rPr>
              <w:t>for</w:t>
            </w:r>
            <w:r>
              <w:rPr>
                <w:rFonts w:ascii="Cambria"/>
                <w:spacing w:val="-3"/>
                <w:sz w:val="24"/>
              </w:rPr>
              <w:t> </w:t>
            </w:r>
            <w:r>
              <w:rPr>
                <w:rFonts w:ascii="Cambria"/>
                <w:sz w:val="24"/>
              </w:rPr>
              <w:t>the</w:t>
            </w:r>
            <w:r>
              <w:rPr>
                <w:rFonts w:ascii="Cambria"/>
                <w:spacing w:val="-2"/>
                <w:sz w:val="24"/>
              </w:rPr>
              <w:t> </w:t>
            </w:r>
            <w:r>
              <w:rPr>
                <w:rFonts w:ascii="Cambria"/>
                <w:sz w:val="24"/>
              </w:rPr>
              <w:t>Statistical</w:t>
            </w:r>
            <w:r>
              <w:rPr>
                <w:rFonts w:ascii="Cambria"/>
                <w:spacing w:val="-5"/>
                <w:sz w:val="24"/>
              </w:rPr>
              <w:t> </w:t>
            </w:r>
            <w:r>
              <w:rPr>
                <w:rFonts w:ascii="Cambria"/>
                <w:sz w:val="24"/>
              </w:rPr>
              <w:t>Significance</w:t>
            </w:r>
            <w:r>
              <w:rPr>
                <w:rFonts w:ascii="Cambria"/>
                <w:spacing w:val="-2"/>
                <w:sz w:val="24"/>
              </w:rPr>
              <w:t> </w:t>
            </w:r>
            <w:r>
              <w:rPr>
                <w:rFonts w:ascii="Cambria"/>
                <w:sz w:val="24"/>
              </w:rPr>
              <w:t>of</w:t>
            </w:r>
            <w:r>
              <w:rPr>
                <w:rFonts w:ascii="Cambria"/>
                <w:spacing w:val="-2"/>
                <w:sz w:val="24"/>
              </w:rPr>
              <w:t> Parameters</w:t>
            </w:r>
          </w:p>
        </w:tc>
        <w:tc>
          <w:tcPr>
            <w:tcW w:w="1650" w:type="dxa"/>
          </w:tcPr>
          <w:p>
            <w:pPr>
              <w:pStyle w:val="TableParagraph"/>
              <w:rPr>
                <w:sz w:val="24"/>
              </w:rPr>
            </w:pPr>
          </w:p>
        </w:tc>
        <w:tc>
          <w:tcPr>
            <w:tcW w:w="1051" w:type="dxa"/>
          </w:tcPr>
          <w:p>
            <w:pPr>
              <w:pStyle w:val="TableParagraph"/>
              <w:rPr>
                <w:sz w:val="24"/>
              </w:rPr>
            </w:pPr>
          </w:p>
          <w:p>
            <w:pPr>
              <w:pStyle w:val="TableParagraph"/>
              <w:spacing w:before="134"/>
              <w:rPr>
                <w:sz w:val="24"/>
              </w:rPr>
            </w:pPr>
          </w:p>
          <w:p>
            <w:pPr>
              <w:pStyle w:val="TableParagraph"/>
              <w:ind w:left="669" w:right="-29"/>
              <w:rPr>
                <w:rFonts w:ascii="Cambria"/>
                <w:sz w:val="24"/>
              </w:rPr>
            </w:pPr>
            <w:r>
              <w:rPr>
                <w:rFonts w:ascii="Cambria"/>
                <w:spacing w:val="-5"/>
                <w:sz w:val="24"/>
              </w:rPr>
              <w:t>123</w:t>
            </w:r>
          </w:p>
        </w:tc>
        <w:tc>
          <w:tcPr>
            <w:tcW w:w="458" w:type="dxa"/>
          </w:tcPr>
          <w:p>
            <w:pPr>
              <w:pStyle w:val="TableParagraph"/>
              <w:spacing w:before="133"/>
              <w:ind w:right="97"/>
              <w:jc w:val="center"/>
              <w:rPr>
                <w:sz w:val="24"/>
              </w:rPr>
            </w:pPr>
            <w:r>
              <w:rPr>
                <w:spacing w:val="-5"/>
                <w:sz w:val="24"/>
              </w:rPr>
              <w:t>121</w:t>
            </w:r>
          </w:p>
        </w:tc>
      </w:tr>
      <w:tr>
        <w:trPr>
          <w:trHeight w:val="421" w:hRule="atLeast"/>
        </w:trPr>
        <w:tc>
          <w:tcPr>
            <w:tcW w:w="7023" w:type="dxa"/>
          </w:tcPr>
          <w:p>
            <w:pPr>
              <w:pStyle w:val="TableParagraph"/>
              <w:spacing w:line="261" w:lineRule="exact" w:before="140"/>
              <w:ind w:left="50"/>
              <w:rPr>
                <w:rFonts w:ascii="Cambria"/>
                <w:sz w:val="24"/>
              </w:rPr>
            </w:pPr>
            <w:r>
              <w:rPr>
                <w:rFonts w:ascii="Cambria"/>
                <w:sz w:val="24"/>
              </w:rPr>
              <w:t>4.6.4</w:t>
            </w:r>
            <w:r>
              <w:rPr>
                <w:rFonts w:ascii="Cambria"/>
                <w:spacing w:val="-4"/>
                <w:sz w:val="24"/>
              </w:rPr>
              <w:t> </w:t>
            </w:r>
            <w:r>
              <w:rPr>
                <w:rFonts w:ascii="Cambria"/>
                <w:sz w:val="24"/>
              </w:rPr>
              <w:t>Tests</w:t>
            </w:r>
            <w:r>
              <w:rPr>
                <w:rFonts w:ascii="Cambria"/>
                <w:spacing w:val="-2"/>
                <w:sz w:val="24"/>
              </w:rPr>
              <w:t> </w:t>
            </w:r>
            <w:r>
              <w:rPr>
                <w:rFonts w:ascii="Cambria"/>
                <w:sz w:val="24"/>
              </w:rPr>
              <w:t>for</w:t>
            </w:r>
            <w:r>
              <w:rPr>
                <w:rFonts w:ascii="Cambria"/>
                <w:spacing w:val="-4"/>
                <w:sz w:val="24"/>
              </w:rPr>
              <w:t> </w:t>
            </w:r>
            <w:r>
              <w:rPr>
                <w:rFonts w:ascii="Cambria"/>
                <w:sz w:val="24"/>
              </w:rPr>
              <w:t>Overall</w:t>
            </w:r>
            <w:r>
              <w:rPr>
                <w:rFonts w:ascii="Cambria"/>
                <w:spacing w:val="-2"/>
                <w:sz w:val="24"/>
              </w:rPr>
              <w:t> </w:t>
            </w:r>
            <w:r>
              <w:rPr>
                <w:rFonts w:ascii="Cambria"/>
                <w:sz w:val="24"/>
              </w:rPr>
              <w:t>Significance</w:t>
            </w:r>
            <w:r>
              <w:rPr>
                <w:rFonts w:ascii="Cambria"/>
                <w:spacing w:val="-3"/>
                <w:sz w:val="24"/>
              </w:rPr>
              <w:t> </w:t>
            </w:r>
            <w:r>
              <w:rPr>
                <w:rFonts w:ascii="Cambria"/>
                <w:sz w:val="24"/>
              </w:rPr>
              <w:t>of</w:t>
            </w:r>
            <w:r>
              <w:rPr>
                <w:rFonts w:ascii="Cambria"/>
                <w:spacing w:val="-3"/>
                <w:sz w:val="24"/>
              </w:rPr>
              <w:t> </w:t>
            </w:r>
            <w:r>
              <w:rPr>
                <w:rFonts w:ascii="Cambria"/>
                <w:spacing w:val="-2"/>
                <w:sz w:val="24"/>
              </w:rPr>
              <w:t>Model1A</w:t>
            </w:r>
          </w:p>
        </w:tc>
        <w:tc>
          <w:tcPr>
            <w:tcW w:w="1650" w:type="dxa"/>
          </w:tcPr>
          <w:p>
            <w:pPr>
              <w:pStyle w:val="TableParagraph"/>
              <w:rPr>
                <w:sz w:val="24"/>
              </w:rPr>
            </w:pPr>
          </w:p>
        </w:tc>
        <w:tc>
          <w:tcPr>
            <w:tcW w:w="1051" w:type="dxa"/>
          </w:tcPr>
          <w:p>
            <w:pPr>
              <w:pStyle w:val="TableParagraph"/>
              <w:spacing w:line="261" w:lineRule="exact" w:before="140"/>
              <w:ind w:left="563"/>
              <w:rPr>
                <w:rFonts w:ascii="Cambria"/>
                <w:sz w:val="24"/>
              </w:rPr>
            </w:pPr>
            <w:r>
              <w:rPr>
                <w:rFonts w:ascii="Cambria"/>
                <w:spacing w:val="-5"/>
                <w:sz w:val="24"/>
              </w:rPr>
              <w:t>125</w:t>
            </w:r>
          </w:p>
        </w:tc>
        <w:tc>
          <w:tcPr>
            <w:tcW w:w="458" w:type="dxa"/>
          </w:tcPr>
          <w:p>
            <w:pPr>
              <w:pStyle w:val="TableParagraph"/>
              <w:rPr>
                <w:sz w:val="24"/>
              </w:rPr>
            </w:pPr>
          </w:p>
        </w:tc>
      </w:tr>
    </w:tbl>
    <w:p>
      <w:pPr>
        <w:pStyle w:val="BodyText"/>
        <w:spacing w:before="28"/>
      </w:pPr>
    </w:p>
    <w:p>
      <w:pPr>
        <w:pStyle w:val="BodyText"/>
        <w:tabs>
          <w:tab w:pos="1563" w:val="left" w:leader="none"/>
          <w:tab w:pos="10056" w:val="left" w:leader="none"/>
        </w:tabs>
        <w:ind w:left="711"/>
        <w:rPr>
          <w:rFonts w:ascii="Cambria"/>
        </w:rPr>
      </w:pPr>
      <w:r>
        <w:rPr>
          <w:rFonts w:ascii="Cambria"/>
          <w:spacing w:val="-2"/>
        </w:rPr>
        <w:t>4.6.5</w:t>
      </w:r>
      <w:r>
        <w:rPr>
          <w:rFonts w:ascii="Cambria"/>
        </w:rPr>
        <w:tab/>
        <w:t>Tests</w:t>
      </w:r>
      <w:r>
        <w:rPr>
          <w:rFonts w:ascii="Cambria"/>
          <w:spacing w:val="-5"/>
        </w:rPr>
        <w:t> </w:t>
      </w:r>
      <w:r>
        <w:rPr>
          <w:rFonts w:ascii="Cambria"/>
        </w:rPr>
        <w:t>for</w:t>
      </w:r>
      <w:r>
        <w:rPr>
          <w:rFonts w:ascii="Cambria"/>
          <w:spacing w:val="-2"/>
        </w:rPr>
        <w:t> </w:t>
      </w:r>
      <w:r>
        <w:rPr>
          <w:rFonts w:ascii="Cambria"/>
        </w:rPr>
        <w:t>Presence</w:t>
      </w:r>
      <w:r>
        <w:rPr>
          <w:rFonts w:ascii="Cambria"/>
          <w:spacing w:val="-3"/>
        </w:rPr>
        <w:t> </w:t>
      </w:r>
      <w:r>
        <w:rPr>
          <w:rFonts w:ascii="Cambria"/>
        </w:rPr>
        <w:t>of</w:t>
      </w:r>
      <w:r>
        <w:rPr>
          <w:rFonts w:ascii="Cambria"/>
          <w:spacing w:val="-2"/>
        </w:rPr>
        <w:t> </w:t>
      </w:r>
      <w:r>
        <w:rPr>
          <w:rFonts w:ascii="Cambria"/>
        </w:rPr>
        <w:t>Autocorrelation</w:t>
      </w:r>
      <w:r>
        <w:rPr>
          <w:rFonts w:ascii="Cambria"/>
          <w:spacing w:val="-3"/>
        </w:rPr>
        <w:t> </w:t>
      </w:r>
      <w:r>
        <w:rPr>
          <w:rFonts w:ascii="Cambria"/>
        </w:rPr>
        <w:t>in</w:t>
      </w:r>
      <w:r>
        <w:rPr>
          <w:rFonts w:ascii="Cambria"/>
          <w:spacing w:val="-2"/>
        </w:rPr>
        <w:t> </w:t>
      </w:r>
      <w:r>
        <w:rPr>
          <w:rFonts w:ascii="Cambria"/>
        </w:rPr>
        <w:t>the</w:t>
      </w:r>
      <w:r>
        <w:rPr>
          <w:rFonts w:ascii="Cambria"/>
          <w:spacing w:val="-3"/>
        </w:rPr>
        <w:t> </w:t>
      </w:r>
      <w:r>
        <w:rPr>
          <w:rFonts w:ascii="Cambria"/>
        </w:rPr>
        <w:t>Model</w:t>
      </w:r>
      <w:r>
        <w:rPr>
          <w:rFonts w:ascii="Cambria"/>
          <w:spacing w:val="-2"/>
        </w:rPr>
        <w:t> </w:t>
      </w:r>
      <w:r>
        <w:rPr>
          <w:rFonts w:ascii="Cambria"/>
          <w:spacing w:val="-5"/>
        </w:rPr>
        <w:t>1B</w:t>
      </w:r>
      <w:r>
        <w:rPr>
          <w:rFonts w:ascii="Cambria"/>
        </w:rPr>
        <w:tab/>
      </w:r>
      <w:r>
        <w:rPr>
          <w:rFonts w:ascii="Cambria"/>
          <w:spacing w:val="-5"/>
        </w:rPr>
        <w:t>126</w:t>
      </w:r>
    </w:p>
    <w:p>
      <w:pPr>
        <w:pStyle w:val="ListParagraph"/>
        <w:numPr>
          <w:ilvl w:val="2"/>
          <w:numId w:val="4"/>
        </w:numPr>
        <w:tabs>
          <w:tab w:pos="1251" w:val="left" w:leader="none"/>
          <w:tab w:pos="10898" w:val="right" w:leader="none"/>
        </w:tabs>
        <w:spacing w:line="240" w:lineRule="auto" w:before="279" w:after="0"/>
        <w:ind w:left="1251" w:right="0" w:hanging="540"/>
        <w:jc w:val="left"/>
        <w:rPr>
          <w:sz w:val="24"/>
        </w:rPr>
      </w:pPr>
      <w:hyperlink w:history="true" w:anchor="_TOC_250009">
        <w:r>
          <w:rPr>
            <w:sz w:val="24"/>
          </w:rPr>
          <w:t>The</w:t>
        </w:r>
        <w:r>
          <w:rPr>
            <w:spacing w:val="-1"/>
            <w:sz w:val="24"/>
          </w:rPr>
          <w:t> </w:t>
        </w:r>
        <w:r>
          <w:rPr>
            <w:sz w:val="24"/>
          </w:rPr>
          <w:t>Long</w:t>
        </w:r>
        <w:r>
          <w:rPr>
            <w:spacing w:val="-3"/>
            <w:sz w:val="24"/>
          </w:rPr>
          <w:t> </w:t>
        </w:r>
        <w:r>
          <w:rPr>
            <w:sz w:val="24"/>
          </w:rPr>
          <w:t>Run </w:t>
        </w:r>
        <w:r>
          <w:rPr>
            <w:spacing w:val="-4"/>
            <w:sz w:val="24"/>
          </w:rPr>
          <w:t>Model</w:t>
        </w:r>
        <w:r>
          <w:rPr>
            <w:sz w:val="24"/>
          </w:rPr>
          <w:tab/>
        </w:r>
        <w:r>
          <w:rPr>
            <w:spacing w:val="-5"/>
            <w:sz w:val="24"/>
          </w:rPr>
          <w:t>127</w:t>
        </w:r>
      </w:hyperlink>
    </w:p>
    <w:p>
      <w:pPr>
        <w:pStyle w:val="ListParagraph"/>
        <w:numPr>
          <w:ilvl w:val="2"/>
          <w:numId w:val="4"/>
        </w:numPr>
        <w:tabs>
          <w:tab w:pos="1431" w:val="left" w:leader="none"/>
          <w:tab w:pos="10877" w:val="right" w:leader="none"/>
        </w:tabs>
        <w:spacing w:line="240" w:lineRule="auto" w:before="276" w:after="0"/>
        <w:ind w:left="1431" w:right="0" w:hanging="720"/>
        <w:jc w:val="left"/>
        <w:rPr>
          <w:sz w:val="24"/>
        </w:rPr>
      </w:pPr>
      <w:r>
        <w:rPr>
          <w:sz w:val="24"/>
        </w:rPr>
        <w:t>Error</w:t>
      </w:r>
      <w:r>
        <w:rPr>
          <w:spacing w:val="-4"/>
          <w:sz w:val="24"/>
        </w:rPr>
        <w:t> </w:t>
      </w:r>
      <w:r>
        <w:rPr>
          <w:sz w:val="24"/>
        </w:rPr>
        <w:t>Correction</w:t>
      </w:r>
      <w:r>
        <w:rPr>
          <w:spacing w:val="-1"/>
          <w:sz w:val="24"/>
        </w:rPr>
        <w:t> </w:t>
      </w:r>
      <w:r>
        <w:rPr>
          <w:sz w:val="24"/>
        </w:rPr>
        <w:t>Test</w:t>
      </w:r>
      <w:r>
        <w:rPr>
          <w:spacing w:val="-1"/>
          <w:sz w:val="24"/>
        </w:rPr>
        <w:t> </w:t>
      </w:r>
      <w:r>
        <w:rPr>
          <w:sz w:val="24"/>
        </w:rPr>
        <w:t>for Model</w:t>
      </w:r>
      <w:r>
        <w:rPr>
          <w:spacing w:val="-1"/>
          <w:sz w:val="24"/>
        </w:rPr>
        <w:t> </w:t>
      </w:r>
      <w:r>
        <w:rPr>
          <w:spacing w:val="-5"/>
          <w:sz w:val="24"/>
        </w:rPr>
        <w:t>2A</w:t>
      </w:r>
      <w:r>
        <w:rPr>
          <w:sz w:val="24"/>
        </w:rPr>
        <w:tab/>
      </w:r>
      <w:r>
        <w:rPr>
          <w:spacing w:val="-5"/>
          <w:sz w:val="24"/>
        </w:rPr>
        <w:t>128</w:t>
      </w:r>
    </w:p>
    <w:p>
      <w:pPr>
        <w:spacing w:after="0" w:line="240" w:lineRule="auto"/>
        <w:jc w:val="left"/>
        <w:rPr>
          <w:sz w:val="24"/>
        </w:rPr>
        <w:sectPr>
          <w:pgSz w:w="11910" w:h="16840"/>
          <w:pgMar w:header="0" w:footer="1039" w:top="1420" w:bottom="1240" w:left="280" w:right="0"/>
        </w:sectPr>
      </w:pPr>
    </w:p>
    <w:p>
      <w:pPr>
        <w:pStyle w:val="ListParagraph"/>
        <w:numPr>
          <w:ilvl w:val="2"/>
          <w:numId w:val="4"/>
        </w:numPr>
        <w:tabs>
          <w:tab w:pos="1431" w:val="left" w:leader="none"/>
          <w:tab w:pos="10845" w:val="right" w:leader="none"/>
        </w:tabs>
        <w:spacing w:line="240" w:lineRule="auto" w:before="60" w:after="0"/>
        <w:ind w:left="1431" w:right="0" w:hanging="720"/>
        <w:jc w:val="left"/>
        <w:rPr>
          <w:sz w:val="24"/>
        </w:rPr>
      </w:pPr>
      <w:hyperlink w:history="true" w:anchor="_TOC_250008">
        <w:r>
          <w:rPr>
            <w:sz w:val="24"/>
          </w:rPr>
          <w:t>Tests</w:t>
        </w:r>
        <w:r>
          <w:rPr>
            <w:spacing w:val="-1"/>
            <w:sz w:val="24"/>
          </w:rPr>
          <w:t> </w:t>
        </w:r>
        <w:r>
          <w:rPr>
            <w:sz w:val="24"/>
          </w:rPr>
          <w:t>for</w:t>
        </w:r>
        <w:r>
          <w:rPr>
            <w:spacing w:val="-3"/>
            <w:sz w:val="24"/>
          </w:rPr>
          <w:t> </w:t>
        </w:r>
        <w:r>
          <w:rPr>
            <w:sz w:val="24"/>
          </w:rPr>
          <w:t>the</w:t>
        </w:r>
        <w:r>
          <w:rPr>
            <w:spacing w:val="-1"/>
            <w:sz w:val="24"/>
          </w:rPr>
          <w:t> </w:t>
        </w:r>
        <w:r>
          <w:rPr>
            <w:sz w:val="24"/>
          </w:rPr>
          <w:t>Statistical</w:t>
        </w:r>
        <w:r>
          <w:rPr>
            <w:spacing w:val="-1"/>
            <w:sz w:val="24"/>
          </w:rPr>
          <w:t> </w:t>
        </w:r>
        <w:r>
          <w:rPr>
            <w:sz w:val="24"/>
          </w:rPr>
          <w:t>Significance</w:t>
        </w:r>
        <w:r>
          <w:rPr>
            <w:spacing w:val="-2"/>
            <w:sz w:val="24"/>
          </w:rPr>
          <w:t> </w:t>
        </w:r>
        <w:r>
          <w:rPr>
            <w:sz w:val="24"/>
          </w:rPr>
          <w:t>of </w:t>
        </w:r>
        <w:r>
          <w:rPr>
            <w:spacing w:val="-2"/>
            <w:sz w:val="24"/>
          </w:rPr>
          <w:t>Parameters</w:t>
        </w:r>
        <w:r>
          <w:rPr>
            <w:sz w:val="24"/>
          </w:rPr>
          <w:tab/>
        </w:r>
        <w:r>
          <w:rPr>
            <w:spacing w:val="-5"/>
            <w:sz w:val="24"/>
          </w:rPr>
          <w:t>130</w:t>
        </w:r>
      </w:hyperlink>
    </w:p>
    <w:p>
      <w:pPr>
        <w:pStyle w:val="ListParagraph"/>
        <w:numPr>
          <w:ilvl w:val="2"/>
          <w:numId w:val="4"/>
        </w:numPr>
        <w:tabs>
          <w:tab w:pos="1431" w:val="left" w:leader="none"/>
          <w:tab w:pos="10730" w:val="right" w:leader="none"/>
        </w:tabs>
        <w:spacing w:line="240" w:lineRule="auto" w:before="277" w:after="0"/>
        <w:ind w:left="1431" w:right="0" w:hanging="720"/>
        <w:jc w:val="left"/>
        <w:rPr>
          <w:sz w:val="24"/>
        </w:rPr>
      </w:pPr>
      <w:hyperlink w:history="true" w:anchor="_TOC_250007">
        <w:r>
          <w:rPr>
            <w:sz w:val="24"/>
          </w:rPr>
          <w:t>Tests</w:t>
        </w:r>
        <w:r>
          <w:rPr>
            <w:spacing w:val="-1"/>
            <w:sz w:val="24"/>
          </w:rPr>
          <w:t> </w:t>
        </w:r>
        <w:r>
          <w:rPr>
            <w:sz w:val="24"/>
          </w:rPr>
          <w:t>for</w:t>
        </w:r>
        <w:r>
          <w:rPr>
            <w:spacing w:val="-3"/>
            <w:sz w:val="24"/>
          </w:rPr>
          <w:t> </w:t>
        </w:r>
        <w:r>
          <w:rPr>
            <w:sz w:val="24"/>
          </w:rPr>
          <w:t>Overall</w:t>
        </w:r>
        <w:r>
          <w:rPr>
            <w:spacing w:val="-1"/>
            <w:sz w:val="24"/>
          </w:rPr>
          <w:t> </w:t>
        </w:r>
        <w:r>
          <w:rPr>
            <w:sz w:val="24"/>
          </w:rPr>
          <w:t>Significance</w:t>
        </w:r>
        <w:r>
          <w:rPr>
            <w:spacing w:val="-2"/>
            <w:sz w:val="24"/>
          </w:rPr>
          <w:t> </w:t>
        </w:r>
        <w:r>
          <w:rPr>
            <w:sz w:val="24"/>
          </w:rPr>
          <w:t>of</w:t>
        </w:r>
        <w:r>
          <w:rPr>
            <w:spacing w:val="-1"/>
            <w:sz w:val="24"/>
          </w:rPr>
          <w:t> </w:t>
        </w:r>
        <w:r>
          <w:rPr>
            <w:sz w:val="24"/>
          </w:rPr>
          <w:t>Model</w:t>
        </w:r>
        <w:r>
          <w:rPr>
            <w:spacing w:val="-1"/>
            <w:sz w:val="24"/>
          </w:rPr>
          <w:t> </w:t>
        </w:r>
        <w:r>
          <w:rPr>
            <w:sz w:val="24"/>
          </w:rPr>
          <w:t>(F-</w:t>
        </w:r>
        <w:r>
          <w:rPr>
            <w:spacing w:val="-2"/>
            <w:sz w:val="24"/>
          </w:rPr>
          <w:t>Test)</w:t>
        </w:r>
        <w:r>
          <w:rPr>
            <w:sz w:val="24"/>
          </w:rPr>
          <w:tab/>
        </w:r>
        <w:r>
          <w:rPr>
            <w:spacing w:val="-5"/>
            <w:sz w:val="24"/>
          </w:rPr>
          <w:t>130</w:t>
        </w:r>
      </w:hyperlink>
    </w:p>
    <w:p>
      <w:pPr>
        <w:pStyle w:val="BodyText"/>
        <w:tabs>
          <w:tab w:pos="10704" w:val="right" w:leader="none"/>
        </w:tabs>
        <w:spacing w:before="276"/>
        <w:ind w:left="711"/>
      </w:pPr>
      <w:r>
        <w:rPr/>
        <w:t>4.7.5.</w:t>
      </w:r>
      <w:r>
        <w:rPr>
          <w:spacing w:val="-2"/>
        </w:rPr>
        <w:t> </w:t>
      </w:r>
      <w:r>
        <w:rPr/>
        <w:t>Tests</w:t>
      </w:r>
      <w:r>
        <w:rPr>
          <w:spacing w:val="-1"/>
        </w:rPr>
        <w:t> </w:t>
      </w:r>
      <w:r>
        <w:rPr/>
        <w:t>for</w:t>
      </w:r>
      <w:r>
        <w:rPr>
          <w:spacing w:val="-3"/>
        </w:rPr>
        <w:t> </w:t>
      </w:r>
      <w:r>
        <w:rPr/>
        <w:t>Presence of</w:t>
      </w:r>
      <w:r>
        <w:rPr>
          <w:spacing w:val="-1"/>
        </w:rPr>
        <w:t> </w:t>
      </w:r>
      <w:r>
        <w:rPr/>
        <w:t>Autocorrelation</w:t>
      </w:r>
      <w:r>
        <w:rPr>
          <w:spacing w:val="-1"/>
        </w:rPr>
        <w:t> </w:t>
      </w:r>
      <w:r>
        <w:rPr/>
        <w:t>in</w:t>
      </w:r>
      <w:r>
        <w:rPr>
          <w:spacing w:val="-1"/>
        </w:rPr>
        <w:t> </w:t>
      </w:r>
      <w:r>
        <w:rPr/>
        <w:t>Model</w:t>
      </w:r>
      <w:r>
        <w:rPr>
          <w:spacing w:val="-1"/>
        </w:rPr>
        <w:t> </w:t>
      </w:r>
      <w:r>
        <w:rPr>
          <w:spacing w:val="-10"/>
        </w:rPr>
        <w:t>2</w:t>
      </w:r>
      <w:r>
        <w:rPr/>
        <w:tab/>
      </w:r>
      <w:r>
        <w:rPr>
          <w:spacing w:val="-5"/>
        </w:rPr>
        <w:t>131</w:t>
      </w:r>
    </w:p>
    <w:p>
      <w:pPr>
        <w:pStyle w:val="BodyText"/>
        <w:tabs>
          <w:tab w:pos="10725" w:val="right" w:leader="none"/>
        </w:tabs>
        <w:spacing w:before="276"/>
        <w:ind w:left="711"/>
      </w:pPr>
      <w:hyperlink w:history="true" w:anchor="_TOC_250006">
        <w:r>
          <w:rPr/>
          <w:t>4.</w:t>
        </w:r>
        <w:r>
          <w:rPr>
            <w:spacing w:val="-3"/>
          </w:rPr>
          <w:t> </w:t>
        </w:r>
        <w:r>
          <w:rPr/>
          <w:t>8.1</w:t>
        </w:r>
        <w:r>
          <w:rPr>
            <w:spacing w:val="-1"/>
          </w:rPr>
          <w:t> </w:t>
        </w:r>
        <w:r>
          <w:rPr/>
          <w:t>Long-Run</w:t>
        </w:r>
        <w:r>
          <w:rPr>
            <w:spacing w:val="-2"/>
          </w:rPr>
          <w:t> </w:t>
        </w:r>
        <w:r>
          <w:rPr>
            <w:spacing w:val="-4"/>
          </w:rPr>
          <w:t>Model</w:t>
        </w:r>
        <w:r>
          <w:rPr/>
          <w:tab/>
        </w:r>
        <w:r>
          <w:rPr>
            <w:spacing w:val="-5"/>
          </w:rPr>
          <w:t>132</w:t>
        </w:r>
      </w:hyperlink>
    </w:p>
    <w:p>
      <w:pPr>
        <w:pStyle w:val="BodyText"/>
        <w:spacing w:before="56"/>
        <w:rPr>
          <w:sz w:val="20"/>
        </w:rPr>
      </w:pPr>
    </w:p>
    <w:tbl>
      <w:tblPr>
        <w:tblW w:w="0" w:type="auto"/>
        <w:jc w:val="left"/>
        <w:tblInd w:w="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723"/>
        <w:gridCol w:w="1909"/>
        <w:gridCol w:w="603"/>
      </w:tblGrid>
      <w:tr>
        <w:trPr>
          <w:trHeight w:val="408" w:hRule="atLeast"/>
        </w:trPr>
        <w:tc>
          <w:tcPr>
            <w:tcW w:w="7723" w:type="dxa"/>
          </w:tcPr>
          <w:p>
            <w:pPr>
              <w:pStyle w:val="TableParagraph"/>
              <w:tabs>
                <w:tab w:pos="770" w:val="left" w:leader="none"/>
              </w:tabs>
              <w:spacing w:line="266" w:lineRule="exact"/>
              <w:ind w:left="50"/>
              <w:rPr>
                <w:sz w:val="24"/>
              </w:rPr>
            </w:pPr>
            <w:r>
              <w:rPr>
                <w:spacing w:val="-2"/>
                <w:sz w:val="24"/>
              </w:rPr>
              <w:t>4.8.2</w:t>
            </w:r>
            <w:r>
              <w:rPr>
                <w:sz w:val="24"/>
              </w:rPr>
              <w:tab/>
              <w:t>Error</w:t>
            </w:r>
            <w:r>
              <w:rPr>
                <w:spacing w:val="-5"/>
                <w:sz w:val="24"/>
              </w:rPr>
              <w:t> </w:t>
            </w:r>
            <w:r>
              <w:rPr>
                <w:sz w:val="24"/>
              </w:rPr>
              <w:t>Correction</w:t>
            </w:r>
            <w:r>
              <w:rPr>
                <w:spacing w:val="-1"/>
                <w:sz w:val="24"/>
              </w:rPr>
              <w:t> </w:t>
            </w:r>
            <w:r>
              <w:rPr>
                <w:sz w:val="24"/>
              </w:rPr>
              <w:t>Mechanism</w:t>
            </w:r>
            <w:r>
              <w:rPr>
                <w:spacing w:val="-1"/>
                <w:sz w:val="24"/>
              </w:rPr>
              <w:t> </w:t>
            </w:r>
            <w:r>
              <w:rPr>
                <w:sz w:val="24"/>
              </w:rPr>
              <w:t>Test</w:t>
            </w:r>
            <w:r>
              <w:rPr>
                <w:spacing w:val="-1"/>
                <w:sz w:val="24"/>
              </w:rPr>
              <w:t> </w:t>
            </w:r>
            <w:r>
              <w:rPr>
                <w:sz w:val="24"/>
              </w:rPr>
              <w:t>for</w:t>
            </w:r>
            <w:r>
              <w:rPr>
                <w:spacing w:val="-2"/>
                <w:sz w:val="24"/>
              </w:rPr>
              <w:t> </w:t>
            </w:r>
            <w:r>
              <w:rPr>
                <w:sz w:val="24"/>
              </w:rPr>
              <w:t>Model </w:t>
            </w:r>
            <w:r>
              <w:rPr>
                <w:spacing w:val="-5"/>
                <w:sz w:val="24"/>
              </w:rPr>
              <w:t>2B</w:t>
            </w:r>
          </w:p>
        </w:tc>
        <w:tc>
          <w:tcPr>
            <w:tcW w:w="1909" w:type="dxa"/>
          </w:tcPr>
          <w:p>
            <w:pPr>
              <w:pStyle w:val="TableParagraph"/>
              <w:rPr>
                <w:sz w:val="24"/>
              </w:rPr>
            </w:pPr>
          </w:p>
        </w:tc>
        <w:tc>
          <w:tcPr>
            <w:tcW w:w="603" w:type="dxa"/>
          </w:tcPr>
          <w:p>
            <w:pPr>
              <w:pStyle w:val="TableParagraph"/>
              <w:spacing w:line="266" w:lineRule="exact"/>
              <w:ind w:left="72"/>
              <w:rPr>
                <w:sz w:val="24"/>
              </w:rPr>
            </w:pPr>
            <w:r>
              <w:rPr>
                <w:spacing w:val="-5"/>
                <w:sz w:val="24"/>
              </w:rPr>
              <w:t>133</w:t>
            </w:r>
          </w:p>
        </w:tc>
      </w:tr>
      <w:tr>
        <w:trPr>
          <w:trHeight w:val="551" w:hRule="atLeast"/>
        </w:trPr>
        <w:tc>
          <w:tcPr>
            <w:tcW w:w="7723" w:type="dxa"/>
          </w:tcPr>
          <w:p>
            <w:pPr>
              <w:pStyle w:val="TableParagraph"/>
              <w:tabs>
                <w:tab w:pos="770" w:val="left" w:leader="none"/>
              </w:tabs>
              <w:spacing w:before="133"/>
              <w:ind w:left="50"/>
              <w:rPr>
                <w:sz w:val="24"/>
              </w:rPr>
            </w:pPr>
            <w:r>
              <w:rPr>
                <w:spacing w:val="-2"/>
                <w:sz w:val="24"/>
              </w:rPr>
              <w:t>4.8.3</w:t>
            </w:r>
            <w:r>
              <w:rPr>
                <w:sz w:val="24"/>
              </w:rPr>
              <w:tab/>
              <w:t>Tests</w:t>
            </w:r>
            <w:r>
              <w:rPr>
                <w:spacing w:val="-3"/>
                <w:sz w:val="24"/>
              </w:rPr>
              <w:t> </w:t>
            </w:r>
            <w:r>
              <w:rPr>
                <w:sz w:val="24"/>
              </w:rPr>
              <w:t>for</w:t>
            </w:r>
            <w:r>
              <w:rPr>
                <w:spacing w:val="-3"/>
                <w:sz w:val="24"/>
              </w:rPr>
              <w:t> </w:t>
            </w:r>
            <w:r>
              <w:rPr>
                <w:sz w:val="24"/>
              </w:rPr>
              <w:t>the</w:t>
            </w:r>
            <w:r>
              <w:rPr>
                <w:spacing w:val="-1"/>
                <w:sz w:val="24"/>
              </w:rPr>
              <w:t> </w:t>
            </w:r>
            <w:r>
              <w:rPr>
                <w:sz w:val="24"/>
              </w:rPr>
              <w:t>Statistical</w:t>
            </w:r>
            <w:r>
              <w:rPr>
                <w:spacing w:val="-1"/>
                <w:sz w:val="24"/>
              </w:rPr>
              <w:t> </w:t>
            </w:r>
            <w:r>
              <w:rPr>
                <w:sz w:val="24"/>
              </w:rPr>
              <w:t>Significance</w:t>
            </w:r>
            <w:r>
              <w:rPr>
                <w:spacing w:val="-2"/>
                <w:sz w:val="24"/>
              </w:rPr>
              <w:t> </w:t>
            </w:r>
            <w:r>
              <w:rPr>
                <w:sz w:val="24"/>
              </w:rPr>
              <w:t>of </w:t>
            </w:r>
            <w:r>
              <w:rPr>
                <w:spacing w:val="-2"/>
                <w:sz w:val="24"/>
              </w:rPr>
              <w:t>Parameters</w:t>
            </w:r>
          </w:p>
        </w:tc>
        <w:tc>
          <w:tcPr>
            <w:tcW w:w="1909" w:type="dxa"/>
          </w:tcPr>
          <w:p>
            <w:pPr>
              <w:pStyle w:val="TableParagraph"/>
              <w:rPr>
                <w:sz w:val="24"/>
              </w:rPr>
            </w:pPr>
          </w:p>
        </w:tc>
        <w:tc>
          <w:tcPr>
            <w:tcW w:w="603" w:type="dxa"/>
          </w:tcPr>
          <w:p>
            <w:pPr>
              <w:pStyle w:val="TableParagraph"/>
              <w:spacing w:before="133"/>
              <w:ind w:left="72"/>
              <w:rPr>
                <w:sz w:val="24"/>
              </w:rPr>
            </w:pPr>
            <w:r>
              <w:rPr>
                <w:spacing w:val="-5"/>
                <w:sz w:val="24"/>
              </w:rPr>
              <w:t>135</w:t>
            </w:r>
          </w:p>
        </w:tc>
      </w:tr>
      <w:tr>
        <w:trPr>
          <w:trHeight w:val="547" w:hRule="atLeast"/>
        </w:trPr>
        <w:tc>
          <w:tcPr>
            <w:tcW w:w="7723" w:type="dxa"/>
          </w:tcPr>
          <w:p>
            <w:pPr>
              <w:pStyle w:val="TableParagraph"/>
              <w:tabs>
                <w:tab w:pos="770" w:val="left" w:leader="none"/>
              </w:tabs>
              <w:spacing w:before="133"/>
              <w:ind w:left="50"/>
              <w:rPr>
                <w:sz w:val="24"/>
              </w:rPr>
            </w:pPr>
            <w:r>
              <w:rPr>
                <w:spacing w:val="-2"/>
                <w:sz w:val="24"/>
              </w:rPr>
              <w:t>4.8.4</w:t>
            </w:r>
            <w:r>
              <w:rPr>
                <w:sz w:val="24"/>
              </w:rPr>
              <w:tab/>
              <w:t>Tests</w:t>
            </w:r>
            <w:r>
              <w:rPr>
                <w:spacing w:val="-3"/>
                <w:sz w:val="24"/>
              </w:rPr>
              <w:t> </w:t>
            </w:r>
            <w:r>
              <w:rPr>
                <w:sz w:val="24"/>
              </w:rPr>
              <w:t>for</w:t>
            </w:r>
            <w:r>
              <w:rPr>
                <w:spacing w:val="-3"/>
                <w:sz w:val="24"/>
              </w:rPr>
              <w:t> </w:t>
            </w:r>
            <w:r>
              <w:rPr>
                <w:sz w:val="24"/>
              </w:rPr>
              <w:t>Overall</w:t>
            </w:r>
            <w:r>
              <w:rPr>
                <w:spacing w:val="-1"/>
                <w:sz w:val="24"/>
              </w:rPr>
              <w:t> </w:t>
            </w:r>
            <w:r>
              <w:rPr>
                <w:sz w:val="24"/>
              </w:rPr>
              <w:t>Significance</w:t>
            </w:r>
            <w:r>
              <w:rPr>
                <w:spacing w:val="-2"/>
                <w:sz w:val="24"/>
              </w:rPr>
              <w:t> </w:t>
            </w:r>
            <w:r>
              <w:rPr>
                <w:sz w:val="24"/>
              </w:rPr>
              <w:t>of</w:t>
            </w:r>
            <w:r>
              <w:rPr>
                <w:spacing w:val="-1"/>
                <w:sz w:val="24"/>
              </w:rPr>
              <w:t> </w:t>
            </w:r>
            <w:r>
              <w:rPr>
                <w:sz w:val="24"/>
              </w:rPr>
              <w:t>Model</w:t>
            </w:r>
            <w:r>
              <w:rPr>
                <w:spacing w:val="-1"/>
                <w:sz w:val="24"/>
              </w:rPr>
              <w:t> </w:t>
            </w:r>
            <w:r>
              <w:rPr>
                <w:sz w:val="24"/>
              </w:rPr>
              <w:t>2B (F-</w:t>
            </w:r>
            <w:r>
              <w:rPr>
                <w:spacing w:val="-2"/>
                <w:sz w:val="24"/>
              </w:rPr>
              <w:t>Test)</w:t>
            </w:r>
          </w:p>
        </w:tc>
        <w:tc>
          <w:tcPr>
            <w:tcW w:w="1909" w:type="dxa"/>
          </w:tcPr>
          <w:p>
            <w:pPr>
              <w:pStyle w:val="TableParagraph"/>
              <w:rPr>
                <w:sz w:val="24"/>
              </w:rPr>
            </w:pPr>
          </w:p>
        </w:tc>
        <w:tc>
          <w:tcPr>
            <w:tcW w:w="603" w:type="dxa"/>
          </w:tcPr>
          <w:p>
            <w:pPr>
              <w:pStyle w:val="TableParagraph"/>
              <w:spacing w:before="133"/>
              <w:ind w:left="118"/>
              <w:rPr>
                <w:sz w:val="24"/>
              </w:rPr>
            </w:pPr>
            <w:r>
              <w:rPr>
                <w:spacing w:val="-5"/>
                <w:sz w:val="24"/>
              </w:rPr>
              <w:t>136</w:t>
            </w:r>
          </w:p>
        </w:tc>
      </w:tr>
      <w:tr>
        <w:trPr>
          <w:trHeight w:val="560" w:hRule="atLeast"/>
        </w:trPr>
        <w:tc>
          <w:tcPr>
            <w:tcW w:w="7723" w:type="dxa"/>
          </w:tcPr>
          <w:p>
            <w:pPr>
              <w:pStyle w:val="TableParagraph"/>
              <w:tabs>
                <w:tab w:pos="758" w:val="left" w:leader="none"/>
              </w:tabs>
              <w:spacing w:before="138"/>
              <w:ind w:left="50"/>
              <w:rPr>
                <w:rFonts w:ascii="Cambria"/>
                <w:sz w:val="24"/>
              </w:rPr>
            </w:pPr>
            <w:r>
              <w:rPr>
                <w:rFonts w:ascii="Cambria"/>
                <w:spacing w:val="-2"/>
                <w:sz w:val="24"/>
              </w:rPr>
              <w:t>4.8.5</w:t>
            </w:r>
            <w:r>
              <w:rPr>
                <w:rFonts w:ascii="Cambria"/>
                <w:sz w:val="24"/>
              </w:rPr>
              <w:tab/>
              <w:t>Tests</w:t>
            </w:r>
            <w:r>
              <w:rPr>
                <w:rFonts w:ascii="Cambria"/>
                <w:spacing w:val="-5"/>
                <w:sz w:val="24"/>
              </w:rPr>
              <w:t> </w:t>
            </w:r>
            <w:r>
              <w:rPr>
                <w:rFonts w:ascii="Cambria"/>
                <w:sz w:val="24"/>
              </w:rPr>
              <w:t>for</w:t>
            </w:r>
            <w:r>
              <w:rPr>
                <w:rFonts w:ascii="Cambria"/>
                <w:spacing w:val="-3"/>
                <w:sz w:val="24"/>
              </w:rPr>
              <w:t> </w:t>
            </w:r>
            <w:r>
              <w:rPr>
                <w:rFonts w:ascii="Cambria"/>
                <w:sz w:val="24"/>
              </w:rPr>
              <w:t>Presence</w:t>
            </w:r>
            <w:r>
              <w:rPr>
                <w:rFonts w:ascii="Cambria"/>
                <w:spacing w:val="-2"/>
                <w:sz w:val="24"/>
              </w:rPr>
              <w:t> </w:t>
            </w:r>
            <w:r>
              <w:rPr>
                <w:rFonts w:ascii="Cambria"/>
                <w:sz w:val="24"/>
              </w:rPr>
              <w:t>of</w:t>
            </w:r>
            <w:r>
              <w:rPr>
                <w:rFonts w:ascii="Cambria"/>
                <w:spacing w:val="-3"/>
                <w:sz w:val="24"/>
              </w:rPr>
              <w:t> </w:t>
            </w:r>
            <w:r>
              <w:rPr>
                <w:rFonts w:ascii="Cambria"/>
                <w:sz w:val="24"/>
              </w:rPr>
              <w:t>Autocorrelation</w:t>
            </w:r>
            <w:r>
              <w:rPr>
                <w:rFonts w:ascii="Cambria"/>
                <w:spacing w:val="-3"/>
                <w:sz w:val="24"/>
              </w:rPr>
              <w:t> </w:t>
            </w:r>
            <w:r>
              <w:rPr>
                <w:rFonts w:ascii="Cambria"/>
                <w:sz w:val="24"/>
              </w:rPr>
              <w:t>in</w:t>
            </w:r>
            <w:r>
              <w:rPr>
                <w:rFonts w:ascii="Cambria"/>
                <w:spacing w:val="-2"/>
                <w:sz w:val="24"/>
              </w:rPr>
              <w:t> </w:t>
            </w:r>
            <w:r>
              <w:rPr>
                <w:rFonts w:ascii="Cambria"/>
                <w:sz w:val="24"/>
              </w:rPr>
              <w:t>Model</w:t>
            </w:r>
            <w:r>
              <w:rPr>
                <w:rFonts w:ascii="Cambria"/>
                <w:spacing w:val="-3"/>
                <w:sz w:val="24"/>
              </w:rPr>
              <w:t> </w:t>
            </w:r>
            <w:r>
              <w:rPr>
                <w:rFonts w:ascii="Cambria"/>
                <w:spacing w:val="-10"/>
                <w:sz w:val="24"/>
              </w:rPr>
              <w:t>2</w:t>
            </w:r>
          </w:p>
        </w:tc>
        <w:tc>
          <w:tcPr>
            <w:tcW w:w="1909" w:type="dxa"/>
          </w:tcPr>
          <w:p>
            <w:pPr>
              <w:pStyle w:val="TableParagraph"/>
              <w:spacing w:before="138"/>
              <w:ind w:right="88"/>
              <w:jc w:val="right"/>
              <w:rPr>
                <w:rFonts w:ascii="Cambria"/>
                <w:sz w:val="24"/>
              </w:rPr>
            </w:pPr>
            <w:r>
              <w:rPr>
                <w:rFonts w:ascii="Cambria"/>
                <w:spacing w:val="-5"/>
                <w:sz w:val="24"/>
              </w:rPr>
              <w:t>136</w:t>
            </w:r>
          </w:p>
        </w:tc>
        <w:tc>
          <w:tcPr>
            <w:tcW w:w="603" w:type="dxa"/>
          </w:tcPr>
          <w:p>
            <w:pPr>
              <w:pStyle w:val="TableParagraph"/>
              <w:rPr>
                <w:sz w:val="24"/>
              </w:rPr>
            </w:pPr>
          </w:p>
        </w:tc>
      </w:tr>
      <w:tr>
        <w:trPr>
          <w:trHeight w:val="567" w:hRule="atLeast"/>
        </w:trPr>
        <w:tc>
          <w:tcPr>
            <w:tcW w:w="7723" w:type="dxa"/>
          </w:tcPr>
          <w:p>
            <w:pPr>
              <w:pStyle w:val="TableParagraph"/>
              <w:tabs>
                <w:tab w:pos="811" w:val="left" w:leader="none"/>
              </w:tabs>
              <w:spacing w:before="140"/>
              <w:ind w:left="50"/>
              <w:rPr>
                <w:rFonts w:ascii="Cambria"/>
                <w:sz w:val="24"/>
              </w:rPr>
            </w:pPr>
            <w:r>
              <w:rPr>
                <w:rFonts w:ascii="Cambria"/>
                <w:spacing w:val="-2"/>
                <w:sz w:val="24"/>
              </w:rPr>
              <w:t>4.9.1</w:t>
            </w:r>
            <w:r>
              <w:rPr>
                <w:rFonts w:ascii="Cambria"/>
                <w:sz w:val="24"/>
              </w:rPr>
              <w:tab/>
              <w:t>Long-Run</w:t>
            </w:r>
            <w:r>
              <w:rPr>
                <w:rFonts w:ascii="Cambria"/>
                <w:spacing w:val="-7"/>
                <w:sz w:val="24"/>
              </w:rPr>
              <w:t> </w:t>
            </w:r>
            <w:r>
              <w:rPr>
                <w:rFonts w:ascii="Cambria"/>
                <w:spacing w:val="-4"/>
                <w:sz w:val="24"/>
              </w:rPr>
              <w:t>Model</w:t>
            </w:r>
          </w:p>
        </w:tc>
        <w:tc>
          <w:tcPr>
            <w:tcW w:w="1909" w:type="dxa"/>
          </w:tcPr>
          <w:p>
            <w:pPr>
              <w:pStyle w:val="TableParagraph"/>
              <w:spacing w:before="140"/>
              <w:ind w:left="1127"/>
              <w:rPr>
                <w:rFonts w:ascii="Cambria"/>
                <w:sz w:val="24"/>
              </w:rPr>
            </w:pPr>
            <w:r>
              <w:rPr>
                <w:rFonts w:ascii="Cambria"/>
                <w:spacing w:val="-5"/>
                <w:sz w:val="24"/>
              </w:rPr>
              <w:t>138</w:t>
            </w:r>
          </w:p>
        </w:tc>
        <w:tc>
          <w:tcPr>
            <w:tcW w:w="603" w:type="dxa"/>
          </w:tcPr>
          <w:p>
            <w:pPr>
              <w:pStyle w:val="TableParagraph"/>
              <w:rPr>
                <w:sz w:val="24"/>
              </w:rPr>
            </w:pPr>
          </w:p>
        </w:tc>
      </w:tr>
      <w:tr>
        <w:trPr>
          <w:trHeight w:val="411" w:hRule="atLeast"/>
        </w:trPr>
        <w:tc>
          <w:tcPr>
            <w:tcW w:w="7723" w:type="dxa"/>
          </w:tcPr>
          <w:p>
            <w:pPr>
              <w:pStyle w:val="TableParagraph"/>
              <w:tabs>
                <w:tab w:pos="770" w:val="left" w:leader="none"/>
              </w:tabs>
              <w:spacing w:line="256" w:lineRule="exact" w:before="136"/>
              <w:ind w:left="50"/>
              <w:rPr>
                <w:sz w:val="24"/>
              </w:rPr>
            </w:pPr>
            <w:r>
              <w:rPr>
                <w:spacing w:val="-2"/>
                <w:sz w:val="24"/>
              </w:rPr>
              <w:t>4.9.2</w:t>
            </w:r>
            <w:r>
              <w:rPr>
                <w:sz w:val="24"/>
              </w:rPr>
              <w:tab/>
              <w:t>E</w:t>
            </w:r>
            <w:r>
              <w:rPr>
                <w:sz w:val="22"/>
              </w:rPr>
              <w:t>rror </w:t>
            </w:r>
            <w:r>
              <w:rPr>
                <w:sz w:val="24"/>
              </w:rPr>
              <w:t>Correction</w:t>
            </w:r>
            <w:r>
              <w:rPr>
                <w:spacing w:val="-2"/>
                <w:sz w:val="24"/>
              </w:rPr>
              <w:t> Mechanism</w:t>
            </w:r>
          </w:p>
        </w:tc>
        <w:tc>
          <w:tcPr>
            <w:tcW w:w="1909" w:type="dxa"/>
          </w:tcPr>
          <w:p>
            <w:pPr>
              <w:pStyle w:val="TableParagraph"/>
              <w:rPr>
                <w:sz w:val="24"/>
              </w:rPr>
            </w:pPr>
          </w:p>
        </w:tc>
        <w:tc>
          <w:tcPr>
            <w:tcW w:w="603" w:type="dxa"/>
          </w:tcPr>
          <w:p>
            <w:pPr>
              <w:pStyle w:val="TableParagraph"/>
              <w:spacing w:line="256" w:lineRule="exact" w:before="136"/>
              <w:ind w:left="123"/>
              <w:rPr>
                <w:sz w:val="24"/>
              </w:rPr>
            </w:pPr>
            <w:r>
              <w:rPr>
                <w:spacing w:val="-5"/>
                <w:sz w:val="24"/>
              </w:rPr>
              <w:t>139</w:t>
            </w:r>
          </w:p>
        </w:tc>
      </w:tr>
      <w:tr>
        <w:trPr>
          <w:trHeight w:val="695" w:hRule="atLeast"/>
        </w:trPr>
        <w:tc>
          <w:tcPr>
            <w:tcW w:w="7723" w:type="dxa"/>
          </w:tcPr>
          <w:p>
            <w:pPr>
              <w:pStyle w:val="TableParagraph"/>
              <w:rPr>
                <w:sz w:val="24"/>
              </w:rPr>
            </w:pPr>
          </w:p>
          <w:p>
            <w:pPr>
              <w:pStyle w:val="TableParagraph"/>
              <w:ind w:left="50"/>
              <w:rPr>
                <w:sz w:val="24"/>
              </w:rPr>
            </w:pPr>
            <w:r>
              <w:rPr>
                <w:sz w:val="24"/>
              </w:rPr>
              <w:t>4.9.3</w:t>
            </w:r>
            <w:r>
              <w:rPr>
                <w:spacing w:val="-1"/>
                <w:sz w:val="24"/>
              </w:rPr>
              <w:t> </w:t>
            </w:r>
            <w:r>
              <w:rPr>
                <w:sz w:val="24"/>
              </w:rPr>
              <w:t>Tests</w:t>
            </w:r>
            <w:r>
              <w:rPr>
                <w:spacing w:val="-1"/>
                <w:sz w:val="24"/>
              </w:rPr>
              <w:t> </w:t>
            </w:r>
            <w:r>
              <w:rPr>
                <w:sz w:val="24"/>
              </w:rPr>
              <w:t>for</w:t>
            </w:r>
            <w:r>
              <w:rPr>
                <w:spacing w:val="-2"/>
                <w:sz w:val="24"/>
              </w:rPr>
              <w:t> </w:t>
            </w:r>
            <w:r>
              <w:rPr>
                <w:sz w:val="24"/>
              </w:rPr>
              <w:t>the Statistical</w:t>
            </w:r>
            <w:r>
              <w:rPr>
                <w:spacing w:val="-1"/>
                <w:sz w:val="24"/>
              </w:rPr>
              <w:t> </w:t>
            </w:r>
            <w:r>
              <w:rPr>
                <w:sz w:val="24"/>
              </w:rPr>
              <w:t>Significance</w:t>
            </w:r>
            <w:r>
              <w:rPr>
                <w:spacing w:val="-2"/>
                <w:sz w:val="24"/>
              </w:rPr>
              <w:t> </w:t>
            </w:r>
            <w:r>
              <w:rPr>
                <w:sz w:val="24"/>
              </w:rPr>
              <w:t>of </w:t>
            </w:r>
            <w:r>
              <w:rPr>
                <w:spacing w:val="-2"/>
                <w:sz w:val="24"/>
              </w:rPr>
              <w:t>Parameters</w:t>
            </w:r>
          </w:p>
        </w:tc>
        <w:tc>
          <w:tcPr>
            <w:tcW w:w="1909" w:type="dxa"/>
          </w:tcPr>
          <w:p>
            <w:pPr>
              <w:pStyle w:val="TableParagraph"/>
              <w:rPr>
                <w:sz w:val="24"/>
              </w:rPr>
            </w:pPr>
          </w:p>
        </w:tc>
        <w:tc>
          <w:tcPr>
            <w:tcW w:w="603" w:type="dxa"/>
          </w:tcPr>
          <w:p>
            <w:pPr>
              <w:pStyle w:val="TableParagraph"/>
              <w:rPr>
                <w:sz w:val="24"/>
              </w:rPr>
            </w:pPr>
          </w:p>
          <w:p>
            <w:pPr>
              <w:pStyle w:val="TableParagraph"/>
              <w:ind w:left="192"/>
              <w:rPr>
                <w:sz w:val="24"/>
              </w:rPr>
            </w:pPr>
            <w:r>
              <w:rPr>
                <w:spacing w:val="-5"/>
                <w:sz w:val="24"/>
              </w:rPr>
              <w:t>141</w:t>
            </w:r>
          </w:p>
        </w:tc>
      </w:tr>
      <w:tr>
        <w:trPr>
          <w:trHeight w:val="551" w:hRule="atLeast"/>
        </w:trPr>
        <w:tc>
          <w:tcPr>
            <w:tcW w:w="7723" w:type="dxa"/>
          </w:tcPr>
          <w:p>
            <w:pPr>
              <w:pStyle w:val="TableParagraph"/>
              <w:spacing w:before="133"/>
              <w:ind w:left="50"/>
              <w:rPr>
                <w:sz w:val="24"/>
              </w:rPr>
            </w:pPr>
            <w:r>
              <w:rPr>
                <w:sz w:val="24"/>
              </w:rPr>
              <w:t>4.9.4</w:t>
            </w:r>
            <w:r>
              <w:rPr>
                <w:spacing w:val="-1"/>
                <w:sz w:val="24"/>
              </w:rPr>
              <w:t> </w:t>
            </w:r>
            <w:r>
              <w:rPr>
                <w:sz w:val="24"/>
              </w:rPr>
              <w:t>Tests</w:t>
            </w:r>
            <w:r>
              <w:rPr>
                <w:spacing w:val="-1"/>
                <w:sz w:val="24"/>
              </w:rPr>
              <w:t> </w:t>
            </w:r>
            <w:r>
              <w:rPr>
                <w:sz w:val="24"/>
              </w:rPr>
              <w:t>for</w:t>
            </w:r>
            <w:r>
              <w:rPr>
                <w:spacing w:val="-1"/>
                <w:sz w:val="24"/>
              </w:rPr>
              <w:t> </w:t>
            </w:r>
            <w:r>
              <w:rPr>
                <w:sz w:val="24"/>
              </w:rPr>
              <w:t>Overall</w:t>
            </w:r>
            <w:r>
              <w:rPr>
                <w:spacing w:val="-1"/>
                <w:sz w:val="24"/>
              </w:rPr>
              <w:t> </w:t>
            </w:r>
            <w:r>
              <w:rPr>
                <w:sz w:val="24"/>
              </w:rPr>
              <w:t>Significance</w:t>
            </w:r>
            <w:r>
              <w:rPr>
                <w:spacing w:val="-1"/>
                <w:sz w:val="24"/>
              </w:rPr>
              <w:t> </w:t>
            </w:r>
            <w:r>
              <w:rPr>
                <w:sz w:val="24"/>
              </w:rPr>
              <w:t>of</w:t>
            </w:r>
            <w:r>
              <w:rPr>
                <w:spacing w:val="-1"/>
                <w:sz w:val="24"/>
              </w:rPr>
              <w:t> </w:t>
            </w:r>
            <w:r>
              <w:rPr>
                <w:sz w:val="24"/>
              </w:rPr>
              <w:t>Model</w:t>
            </w:r>
            <w:r>
              <w:rPr>
                <w:spacing w:val="-1"/>
                <w:sz w:val="24"/>
              </w:rPr>
              <w:t> </w:t>
            </w:r>
            <w:r>
              <w:rPr>
                <w:sz w:val="24"/>
              </w:rPr>
              <w:t>6B</w:t>
            </w:r>
            <w:r>
              <w:rPr>
                <w:spacing w:val="-2"/>
                <w:sz w:val="24"/>
              </w:rPr>
              <w:t> </w:t>
            </w:r>
            <w:r>
              <w:rPr>
                <w:sz w:val="24"/>
              </w:rPr>
              <w:t>(f-</w:t>
            </w:r>
            <w:r>
              <w:rPr>
                <w:spacing w:val="-2"/>
                <w:sz w:val="24"/>
              </w:rPr>
              <w:t>test)</w:t>
            </w:r>
          </w:p>
        </w:tc>
        <w:tc>
          <w:tcPr>
            <w:tcW w:w="1909" w:type="dxa"/>
          </w:tcPr>
          <w:p>
            <w:pPr>
              <w:pStyle w:val="TableParagraph"/>
              <w:rPr>
                <w:sz w:val="24"/>
              </w:rPr>
            </w:pPr>
          </w:p>
        </w:tc>
        <w:tc>
          <w:tcPr>
            <w:tcW w:w="603" w:type="dxa"/>
          </w:tcPr>
          <w:p>
            <w:pPr>
              <w:pStyle w:val="TableParagraph"/>
              <w:spacing w:before="133"/>
              <w:ind w:left="106"/>
              <w:rPr>
                <w:sz w:val="24"/>
              </w:rPr>
            </w:pPr>
            <w:r>
              <w:rPr>
                <w:spacing w:val="-5"/>
                <w:sz w:val="24"/>
              </w:rPr>
              <w:t>142</w:t>
            </w:r>
          </w:p>
        </w:tc>
      </w:tr>
      <w:tr>
        <w:trPr>
          <w:trHeight w:val="553" w:hRule="atLeast"/>
        </w:trPr>
        <w:tc>
          <w:tcPr>
            <w:tcW w:w="7723" w:type="dxa"/>
          </w:tcPr>
          <w:p>
            <w:pPr>
              <w:pStyle w:val="TableParagraph"/>
              <w:spacing w:before="133"/>
              <w:ind w:left="50"/>
              <w:rPr>
                <w:sz w:val="24"/>
              </w:rPr>
            </w:pPr>
            <w:r>
              <w:rPr>
                <w:sz w:val="24"/>
              </w:rPr>
              <w:t>4.</w:t>
            </w:r>
            <w:r>
              <w:rPr>
                <w:spacing w:val="-1"/>
                <w:sz w:val="24"/>
              </w:rPr>
              <w:t> </w:t>
            </w:r>
            <w:r>
              <w:rPr>
                <w:sz w:val="24"/>
              </w:rPr>
              <w:t>9.5 Tests</w:t>
            </w:r>
            <w:r>
              <w:rPr>
                <w:spacing w:val="-1"/>
                <w:sz w:val="24"/>
              </w:rPr>
              <w:t> </w:t>
            </w:r>
            <w:r>
              <w:rPr>
                <w:sz w:val="24"/>
              </w:rPr>
              <w:t>for</w:t>
            </w:r>
            <w:r>
              <w:rPr>
                <w:spacing w:val="-2"/>
                <w:sz w:val="24"/>
              </w:rPr>
              <w:t> </w:t>
            </w:r>
            <w:r>
              <w:rPr>
                <w:sz w:val="24"/>
              </w:rPr>
              <w:t>the</w:t>
            </w:r>
            <w:r>
              <w:rPr>
                <w:spacing w:val="-1"/>
                <w:sz w:val="24"/>
              </w:rPr>
              <w:t> </w:t>
            </w:r>
            <w:r>
              <w:rPr>
                <w:sz w:val="24"/>
              </w:rPr>
              <w:t>Presence</w:t>
            </w:r>
            <w:r>
              <w:rPr>
                <w:spacing w:val="-1"/>
                <w:sz w:val="24"/>
              </w:rPr>
              <w:t> </w:t>
            </w:r>
            <w:r>
              <w:rPr>
                <w:sz w:val="24"/>
              </w:rPr>
              <w:t>of</w:t>
            </w:r>
            <w:r>
              <w:rPr>
                <w:spacing w:val="-1"/>
                <w:sz w:val="24"/>
              </w:rPr>
              <w:t> </w:t>
            </w:r>
            <w:r>
              <w:rPr>
                <w:sz w:val="24"/>
              </w:rPr>
              <w:t>Autocorrelation in</w:t>
            </w:r>
            <w:r>
              <w:rPr>
                <w:spacing w:val="-1"/>
                <w:sz w:val="24"/>
              </w:rPr>
              <w:t> </w:t>
            </w:r>
            <w:r>
              <w:rPr>
                <w:sz w:val="24"/>
              </w:rPr>
              <w:t>the</w:t>
            </w:r>
            <w:r>
              <w:rPr>
                <w:spacing w:val="-1"/>
                <w:sz w:val="24"/>
              </w:rPr>
              <w:t> </w:t>
            </w:r>
            <w:r>
              <w:rPr>
                <w:spacing w:val="-2"/>
                <w:sz w:val="24"/>
              </w:rPr>
              <w:t>Model</w:t>
            </w:r>
          </w:p>
        </w:tc>
        <w:tc>
          <w:tcPr>
            <w:tcW w:w="1909" w:type="dxa"/>
          </w:tcPr>
          <w:p>
            <w:pPr>
              <w:pStyle w:val="TableParagraph"/>
              <w:rPr>
                <w:sz w:val="24"/>
              </w:rPr>
            </w:pPr>
          </w:p>
        </w:tc>
        <w:tc>
          <w:tcPr>
            <w:tcW w:w="603" w:type="dxa"/>
          </w:tcPr>
          <w:p>
            <w:pPr>
              <w:pStyle w:val="TableParagraph"/>
              <w:spacing w:before="133"/>
              <w:ind w:left="99"/>
              <w:rPr>
                <w:sz w:val="24"/>
              </w:rPr>
            </w:pPr>
            <w:r>
              <w:rPr>
                <w:spacing w:val="-5"/>
                <w:sz w:val="24"/>
              </w:rPr>
              <w:t>142</w:t>
            </w:r>
          </w:p>
        </w:tc>
      </w:tr>
      <w:tr>
        <w:trPr>
          <w:trHeight w:val="937" w:hRule="atLeast"/>
        </w:trPr>
        <w:tc>
          <w:tcPr>
            <w:tcW w:w="7723" w:type="dxa"/>
          </w:tcPr>
          <w:p>
            <w:pPr>
              <w:pStyle w:val="TableParagraph"/>
              <w:spacing w:before="133"/>
              <w:ind w:left="50"/>
              <w:rPr>
                <w:sz w:val="24"/>
              </w:rPr>
            </w:pPr>
            <w:r>
              <w:rPr>
                <w:sz w:val="24"/>
              </w:rPr>
              <w:t>4</w:t>
            </w:r>
            <w:r>
              <w:rPr>
                <w:sz w:val="28"/>
              </w:rPr>
              <w:t>.</w:t>
            </w:r>
            <w:r>
              <w:rPr>
                <w:sz w:val="24"/>
              </w:rPr>
              <w:t>10</w:t>
            </w:r>
            <w:r>
              <w:rPr>
                <w:spacing w:val="-1"/>
                <w:sz w:val="24"/>
              </w:rPr>
              <w:t> </w:t>
            </w:r>
            <w:r>
              <w:rPr>
                <w:sz w:val="24"/>
              </w:rPr>
              <w:t>Policy</w:t>
            </w:r>
            <w:r>
              <w:rPr>
                <w:spacing w:val="-6"/>
                <w:sz w:val="24"/>
              </w:rPr>
              <w:t> </w:t>
            </w:r>
            <w:r>
              <w:rPr>
                <w:sz w:val="24"/>
              </w:rPr>
              <w:t>change,</w:t>
            </w:r>
            <w:r>
              <w:rPr>
                <w:spacing w:val="-1"/>
                <w:sz w:val="24"/>
              </w:rPr>
              <w:t> </w:t>
            </w:r>
            <w:r>
              <w:rPr>
                <w:sz w:val="24"/>
              </w:rPr>
              <w:t>Capital</w:t>
            </w:r>
            <w:r>
              <w:rPr>
                <w:spacing w:val="-1"/>
                <w:sz w:val="24"/>
              </w:rPr>
              <w:t> </w:t>
            </w:r>
            <w:r>
              <w:rPr>
                <w:sz w:val="24"/>
              </w:rPr>
              <w:t>Flight</w:t>
            </w:r>
            <w:r>
              <w:rPr>
                <w:spacing w:val="-1"/>
                <w:sz w:val="24"/>
              </w:rPr>
              <w:t> </w:t>
            </w:r>
            <w:r>
              <w:rPr>
                <w:sz w:val="24"/>
              </w:rPr>
              <w:t>and</w:t>
            </w:r>
            <w:r>
              <w:rPr>
                <w:spacing w:val="-1"/>
                <w:sz w:val="24"/>
              </w:rPr>
              <w:t> </w:t>
            </w:r>
            <w:r>
              <w:rPr>
                <w:sz w:val="24"/>
              </w:rPr>
              <w:t>Economic Growth</w:t>
            </w:r>
            <w:r>
              <w:rPr>
                <w:spacing w:val="-1"/>
                <w:sz w:val="24"/>
              </w:rPr>
              <w:t> </w:t>
            </w:r>
            <w:r>
              <w:rPr>
                <w:sz w:val="24"/>
              </w:rPr>
              <w:t>in </w:t>
            </w:r>
            <w:r>
              <w:rPr>
                <w:spacing w:val="-2"/>
                <w:sz w:val="24"/>
              </w:rPr>
              <w:t>Nigeria</w:t>
            </w:r>
          </w:p>
          <w:p>
            <w:pPr>
              <w:pStyle w:val="TableParagraph"/>
              <w:spacing w:line="302" w:lineRule="exact" w:before="160"/>
              <w:ind w:left="398"/>
              <w:rPr>
                <w:sz w:val="28"/>
              </w:rPr>
            </w:pPr>
            <w:r>
              <w:rPr>
                <w:spacing w:val="-2"/>
                <w:sz w:val="28"/>
              </w:rPr>
              <w:t>References</w:t>
            </w:r>
          </w:p>
        </w:tc>
        <w:tc>
          <w:tcPr>
            <w:tcW w:w="1909" w:type="dxa"/>
          </w:tcPr>
          <w:p>
            <w:pPr>
              <w:pStyle w:val="TableParagraph"/>
              <w:spacing w:before="293"/>
              <w:rPr>
                <w:sz w:val="28"/>
              </w:rPr>
            </w:pPr>
          </w:p>
          <w:p>
            <w:pPr>
              <w:pStyle w:val="TableParagraph"/>
              <w:spacing w:line="302" w:lineRule="exact"/>
              <w:ind w:right="71"/>
              <w:jc w:val="right"/>
              <w:rPr>
                <w:sz w:val="28"/>
              </w:rPr>
            </w:pPr>
            <w:r>
              <w:rPr>
                <w:spacing w:val="-5"/>
                <w:sz w:val="28"/>
              </w:rPr>
              <w:t>146</w:t>
            </w:r>
          </w:p>
        </w:tc>
        <w:tc>
          <w:tcPr>
            <w:tcW w:w="603" w:type="dxa"/>
          </w:tcPr>
          <w:p>
            <w:pPr>
              <w:pStyle w:val="TableParagraph"/>
              <w:spacing w:before="170"/>
              <w:ind w:left="89"/>
              <w:rPr>
                <w:sz w:val="24"/>
              </w:rPr>
            </w:pPr>
            <w:r>
              <w:rPr>
                <w:spacing w:val="-5"/>
                <w:sz w:val="24"/>
              </w:rPr>
              <w:t>143</w:t>
            </w:r>
          </w:p>
        </w:tc>
      </w:tr>
    </w:tbl>
    <w:p>
      <w:pPr>
        <w:pStyle w:val="BodyText"/>
      </w:pPr>
    </w:p>
    <w:p>
      <w:pPr>
        <w:pStyle w:val="BodyText"/>
        <w:spacing w:before="165"/>
      </w:pPr>
    </w:p>
    <w:p>
      <w:pPr>
        <w:tabs>
          <w:tab w:pos="2836" w:val="left" w:leader="none"/>
        </w:tabs>
        <w:spacing w:before="0"/>
        <w:ind w:left="711" w:right="0" w:firstLine="0"/>
        <w:jc w:val="left"/>
        <w:rPr>
          <w:b/>
          <w:sz w:val="24"/>
        </w:rPr>
      </w:pPr>
      <w:r>
        <w:rPr>
          <w:b/>
          <w:sz w:val="24"/>
        </w:rPr>
        <w:t>CHAPTER</w:t>
      </w:r>
      <w:r>
        <w:rPr>
          <w:b/>
          <w:spacing w:val="-3"/>
          <w:sz w:val="24"/>
        </w:rPr>
        <w:t> </w:t>
      </w:r>
      <w:r>
        <w:rPr>
          <w:b/>
          <w:spacing w:val="-4"/>
          <w:sz w:val="24"/>
        </w:rPr>
        <w:t>FIVE:</w:t>
      </w:r>
      <w:r>
        <w:rPr>
          <w:b/>
          <w:sz w:val="24"/>
        </w:rPr>
        <w:tab/>
        <w:t>Discussion</w:t>
      </w:r>
      <w:r>
        <w:rPr>
          <w:b/>
          <w:spacing w:val="-5"/>
          <w:sz w:val="24"/>
        </w:rPr>
        <w:t> </w:t>
      </w:r>
      <w:r>
        <w:rPr>
          <w:b/>
          <w:sz w:val="24"/>
        </w:rPr>
        <w:t>and Summary</w:t>
      </w:r>
      <w:r>
        <w:rPr>
          <w:b/>
          <w:spacing w:val="1"/>
          <w:sz w:val="24"/>
        </w:rPr>
        <w:t> </w:t>
      </w:r>
      <w:r>
        <w:rPr>
          <w:b/>
          <w:sz w:val="24"/>
        </w:rPr>
        <w:t>of</w:t>
      </w:r>
      <w:r>
        <w:rPr>
          <w:b/>
          <w:spacing w:val="-1"/>
          <w:sz w:val="24"/>
        </w:rPr>
        <w:t> </w:t>
      </w:r>
      <w:r>
        <w:rPr>
          <w:b/>
          <w:spacing w:val="-2"/>
          <w:sz w:val="24"/>
        </w:rPr>
        <w:t>Findings</w:t>
      </w:r>
    </w:p>
    <w:p>
      <w:pPr>
        <w:pStyle w:val="ListParagraph"/>
        <w:numPr>
          <w:ilvl w:val="1"/>
          <w:numId w:val="5"/>
        </w:numPr>
        <w:tabs>
          <w:tab w:pos="1371" w:val="left" w:leader="none"/>
          <w:tab w:pos="10728" w:val="right" w:leader="none"/>
        </w:tabs>
        <w:spacing w:line="240" w:lineRule="auto" w:before="276" w:after="0"/>
        <w:ind w:left="1371" w:right="0" w:hanging="600"/>
        <w:jc w:val="left"/>
        <w:rPr>
          <w:sz w:val="24"/>
        </w:rPr>
      </w:pPr>
      <w:r>
        <w:rPr>
          <w:sz w:val="24"/>
        </w:rPr>
        <w:t>Discussion</w:t>
      </w:r>
      <w:r>
        <w:rPr>
          <w:spacing w:val="-1"/>
          <w:sz w:val="24"/>
        </w:rPr>
        <w:t> </w:t>
      </w:r>
      <w:r>
        <w:rPr>
          <w:sz w:val="24"/>
        </w:rPr>
        <w:t>of</w:t>
      </w:r>
      <w:r>
        <w:rPr>
          <w:spacing w:val="-1"/>
          <w:sz w:val="24"/>
        </w:rPr>
        <w:t> </w:t>
      </w:r>
      <w:r>
        <w:rPr>
          <w:spacing w:val="-2"/>
          <w:sz w:val="24"/>
        </w:rPr>
        <w:t>Findings</w:t>
      </w:r>
      <w:r>
        <w:rPr>
          <w:sz w:val="24"/>
        </w:rPr>
        <w:tab/>
      </w:r>
      <w:r>
        <w:rPr>
          <w:spacing w:val="-5"/>
          <w:sz w:val="24"/>
        </w:rPr>
        <w:t>147</w:t>
      </w:r>
    </w:p>
    <w:p>
      <w:pPr>
        <w:pStyle w:val="ListParagraph"/>
        <w:numPr>
          <w:ilvl w:val="1"/>
          <w:numId w:val="5"/>
        </w:numPr>
        <w:tabs>
          <w:tab w:pos="1311" w:val="left" w:leader="none"/>
          <w:tab w:pos="10725" w:val="right" w:leader="none"/>
        </w:tabs>
        <w:spacing w:line="240" w:lineRule="auto" w:before="276" w:after="0"/>
        <w:ind w:left="1311" w:right="0" w:hanging="540"/>
        <w:jc w:val="left"/>
        <w:rPr>
          <w:sz w:val="24"/>
        </w:rPr>
      </w:pPr>
      <w:r>
        <w:rPr>
          <w:sz w:val="24"/>
        </w:rPr>
        <w:t>Summary</w:t>
      </w:r>
      <w:r>
        <w:rPr>
          <w:spacing w:val="-5"/>
          <w:sz w:val="24"/>
        </w:rPr>
        <w:t> </w:t>
      </w:r>
      <w:r>
        <w:rPr>
          <w:sz w:val="24"/>
        </w:rPr>
        <w:t>of</w:t>
      </w:r>
      <w:r>
        <w:rPr>
          <w:spacing w:val="1"/>
          <w:sz w:val="24"/>
        </w:rPr>
        <w:t> </w:t>
      </w:r>
      <w:r>
        <w:rPr>
          <w:spacing w:val="-2"/>
          <w:sz w:val="24"/>
        </w:rPr>
        <w:t>Findings</w:t>
      </w:r>
      <w:r>
        <w:rPr>
          <w:sz w:val="24"/>
        </w:rPr>
        <w:tab/>
      </w:r>
      <w:r>
        <w:rPr>
          <w:spacing w:val="-5"/>
          <w:sz w:val="24"/>
        </w:rPr>
        <w:t>151</w:t>
      </w:r>
    </w:p>
    <w:p>
      <w:pPr>
        <w:pStyle w:val="ListParagraph"/>
        <w:numPr>
          <w:ilvl w:val="1"/>
          <w:numId w:val="5"/>
        </w:numPr>
        <w:tabs>
          <w:tab w:pos="1313" w:val="left" w:leader="none"/>
          <w:tab w:pos="10721" w:val="right" w:leader="none"/>
        </w:tabs>
        <w:spacing w:line="240" w:lineRule="auto" w:before="276" w:after="0"/>
        <w:ind w:left="1313" w:right="0" w:hanging="542"/>
        <w:jc w:val="left"/>
        <w:rPr>
          <w:sz w:val="24"/>
        </w:rPr>
      </w:pPr>
      <w:hyperlink w:history="true" w:anchor="_TOC_250005">
        <w:r>
          <w:rPr>
            <w:sz w:val="24"/>
          </w:rPr>
          <w:t>Implication</w:t>
        </w:r>
        <w:r>
          <w:rPr>
            <w:spacing w:val="-4"/>
            <w:sz w:val="24"/>
          </w:rPr>
          <w:t> </w:t>
        </w:r>
        <w:r>
          <w:rPr>
            <w:sz w:val="24"/>
          </w:rPr>
          <w:t>of</w:t>
        </w:r>
        <w:r>
          <w:rPr>
            <w:spacing w:val="-3"/>
            <w:sz w:val="24"/>
          </w:rPr>
          <w:t> </w:t>
        </w:r>
        <w:r>
          <w:rPr>
            <w:spacing w:val="-2"/>
            <w:sz w:val="24"/>
          </w:rPr>
          <w:t>Findings</w:t>
        </w:r>
        <w:r>
          <w:rPr>
            <w:sz w:val="24"/>
          </w:rPr>
          <w:tab/>
        </w:r>
        <w:r>
          <w:rPr>
            <w:spacing w:val="-5"/>
            <w:sz w:val="24"/>
          </w:rPr>
          <w:t>151</w:t>
        </w:r>
      </w:hyperlink>
    </w:p>
    <w:p>
      <w:pPr>
        <w:pStyle w:val="BodyText"/>
        <w:spacing w:before="277"/>
        <w:ind w:left="1431"/>
      </w:pPr>
      <w:hyperlink w:history="true" w:anchor="_TOC_250004">
        <w:r>
          <w:rPr>
            <w:spacing w:val="-2"/>
          </w:rPr>
          <w:t>References</w:t>
        </w:r>
      </w:hyperlink>
    </w:p>
    <w:p>
      <w:pPr>
        <w:pStyle w:val="BodyText"/>
        <w:spacing w:before="276"/>
        <w:ind w:right="3051"/>
        <w:jc w:val="right"/>
      </w:pPr>
      <w:r>
        <w:rPr>
          <w:spacing w:val="-5"/>
        </w:rPr>
        <w:t>157</w:t>
      </w:r>
    </w:p>
    <w:p>
      <w:pPr>
        <w:tabs>
          <w:tab w:pos="3640" w:val="left" w:leader="none"/>
        </w:tabs>
        <w:spacing w:before="277"/>
        <w:ind w:left="1431" w:right="0" w:firstLine="0"/>
        <w:jc w:val="left"/>
        <w:rPr>
          <w:b/>
          <w:sz w:val="24"/>
        </w:rPr>
      </w:pPr>
      <w:r>
        <w:rPr>
          <w:b/>
          <w:sz w:val="28"/>
        </w:rPr>
        <w:t>CHAPTER</w:t>
      </w:r>
      <w:r>
        <w:rPr>
          <w:b/>
          <w:spacing w:val="-8"/>
          <w:sz w:val="28"/>
        </w:rPr>
        <w:t> </w:t>
      </w:r>
      <w:r>
        <w:rPr>
          <w:b/>
          <w:spacing w:val="-4"/>
          <w:sz w:val="28"/>
        </w:rPr>
        <w:t>SIX:</w:t>
      </w:r>
      <w:r>
        <w:rPr>
          <w:b/>
          <w:sz w:val="28"/>
        </w:rPr>
        <w:tab/>
      </w:r>
      <w:r>
        <w:rPr>
          <w:b/>
          <w:sz w:val="24"/>
        </w:rPr>
        <w:t>Conclusion,</w:t>
      </w:r>
      <w:r>
        <w:rPr>
          <w:b/>
          <w:spacing w:val="-4"/>
          <w:sz w:val="24"/>
        </w:rPr>
        <w:t> </w:t>
      </w:r>
      <w:r>
        <w:rPr>
          <w:b/>
          <w:sz w:val="24"/>
        </w:rPr>
        <w:t>Recommendations</w:t>
      </w:r>
      <w:r>
        <w:rPr>
          <w:b/>
          <w:spacing w:val="-1"/>
          <w:sz w:val="24"/>
        </w:rPr>
        <w:t> </w:t>
      </w:r>
      <w:r>
        <w:rPr>
          <w:b/>
          <w:sz w:val="24"/>
        </w:rPr>
        <w:t>and</w:t>
      </w:r>
      <w:r>
        <w:rPr>
          <w:b/>
          <w:spacing w:val="-2"/>
          <w:sz w:val="24"/>
        </w:rPr>
        <w:t> </w:t>
      </w:r>
      <w:r>
        <w:rPr>
          <w:b/>
          <w:sz w:val="24"/>
        </w:rPr>
        <w:t>Contributions</w:t>
      </w:r>
      <w:r>
        <w:rPr>
          <w:b/>
          <w:spacing w:val="-1"/>
          <w:sz w:val="24"/>
        </w:rPr>
        <w:t> </w:t>
      </w:r>
      <w:r>
        <w:rPr>
          <w:b/>
          <w:sz w:val="24"/>
        </w:rPr>
        <w:t>to</w:t>
      </w:r>
      <w:r>
        <w:rPr>
          <w:b/>
          <w:spacing w:val="-1"/>
          <w:sz w:val="24"/>
        </w:rPr>
        <w:t> </w:t>
      </w:r>
      <w:r>
        <w:rPr>
          <w:b/>
          <w:spacing w:val="-2"/>
          <w:sz w:val="24"/>
        </w:rPr>
        <w:t>Knowledge</w:t>
      </w:r>
    </w:p>
    <w:p>
      <w:pPr>
        <w:pStyle w:val="ListParagraph"/>
        <w:numPr>
          <w:ilvl w:val="1"/>
          <w:numId w:val="6"/>
        </w:numPr>
        <w:tabs>
          <w:tab w:pos="1690" w:val="left" w:leader="none"/>
          <w:tab w:pos="10766" w:val="right" w:leader="none"/>
        </w:tabs>
        <w:spacing w:line="240" w:lineRule="auto" w:before="321" w:after="0"/>
        <w:ind w:left="1690" w:right="0" w:hanging="631"/>
        <w:jc w:val="left"/>
        <w:rPr>
          <w:sz w:val="28"/>
        </w:rPr>
      </w:pPr>
      <w:hyperlink w:history="true" w:anchor="_TOC_250003">
        <w:r>
          <w:rPr>
            <w:spacing w:val="-2"/>
            <w:sz w:val="24"/>
          </w:rPr>
          <w:t>Conclusion</w:t>
        </w:r>
        <w:r>
          <w:rPr>
            <w:sz w:val="24"/>
          </w:rPr>
          <w:tab/>
        </w:r>
        <w:r>
          <w:rPr>
            <w:spacing w:val="-5"/>
            <w:sz w:val="24"/>
          </w:rPr>
          <w:t>158</w:t>
        </w:r>
      </w:hyperlink>
    </w:p>
    <w:p>
      <w:pPr>
        <w:pStyle w:val="ListParagraph"/>
        <w:numPr>
          <w:ilvl w:val="1"/>
          <w:numId w:val="6"/>
        </w:numPr>
        <w:tabs>
          <w:tab w:pos="1731" w:val="left" w:leader="none"/>
          <w:tab w:pos="10781" w:val="right" w:leader="none"/>
        </w:tabs>
        <w:spacing w:line="240" w:lineRule="auto" w:before="258" w:after="0"/>
        <w:ind w:left="1731" w:right="0" w:hanging="660"/>
        <w:jc w:val="left"/>
        <w:rPr>
          <w:sz w:val="24"/>
        </w:rPr>
      </w:pPr>
      <w:hyperlink w:history="true" w:anchor="_TOC_250002">
        <w:r>
          <w:rPr>
            <w:spacing w:val="-2"/>
            <w:sz w:val="24"/>
          </w:rPr>
          <w:t>Recommendations</w:t>
        </w:r>
        <w:r>
          <w:rPr>
            <w:sz w:val="24"/>
          </w:rPr>
          <w:tab/>
        </w:r>
        <w:r>
          <w:rPr>
            <w:spacing w:val="-5"/>
            <w:sz w:val="24"/>
          </w:rPr>
          <w:t>158</w:t>
        </w:r>
      </w:hyperlink>
    </w:p>
    <w:p>
      <w:pPr>
        <w:pStyle w:val="ListParagraph"/>
        <w:numPr>
          <w:ilvl w:val="1"/>
          <w:numId w:val="6"/>
        </w:numPr>
        <w:tabs>
          <w:tab w:pos="1731" w:val="left" w:leader="none"/>
          <w:tab w:pos="10766" w:val="right" w:leader="none"/>
        </w:tabs>
        <w:spacing w:line="240" w:lineRule="auto" w:before="276" w:after="0"/>
        <w:ind w:left="1731" w:right="0" w:hanging="660"/>
        <w:jc w:val="left"/>
        <w:rPr>
          <w:sz w:val="24"/>
        </w:rPr>
      </w:pPr>
      <w:hyperlink w:history="true" w:anchor="_TOC_250001">
        <w:r>
          <w:rPr>
            <w:sz w:val="24"/>
          </w:rPr>
          <w:t>Contributions</w:t>
        </w:r>
        <w:r>
          <w:rPr>
            <w:spacing w:val="-2"/>
            <w:sz w:val="24"/>
          </w:rPr>
          <w:t> </w:t>
        </w:r>
        <w:r>
          <w:rPr>
            <w:sz w:val="24"/>
          </w:rPr>
          <w:t>to </w:t>
        </w:r>
        <w:r>
          <w:rPr>
            <w:spacing w:val="-2"/>
            <w:sz w:val="24"/>
          </w:rPr>
          <w:t>Knowledge</w:t>
        </w:r>
        <w:r>
          <w:rPr>
            <w:sz w:val="24"/>
          </w:rPr>
          <w:tab/>
        </w:r>
        <w:r>
          <w:rPr>
            <w:spacing w:val="-5"/>
            <w:sz w:val="24"/>
          </w:rPr>
          <w:t>159</w:t>
        </w:r>
      </w:hyperlink>
    </w:p>
    <w:p>
      <w:pPr>
        <w:spacing w:after="0" w:line="240" w:lineRule="auto"/>
        <w:jc w:val="left"/>
        <w:rPr>
          <w:sz w:val="24"/>
        </w:rPr>
        <w:sectPr>
          <w:pgSz w:w="11910" w:h="16840"/>
          <w:pgMar w:header="0" w:footer="1039" w:top="1360" w:bottom="1220" w:left="280" w:right="0"/>
        </w:sectPr>
      </w:pPr>
    </w:p>
    <w:p>
      <w:pPr>
        <w:pStyle w:val="ListParagraph"/>
        <w:numPr>
          <w:ilvl w:val="1"/>
          <w:numId w:val="6"/>
        </w:numPr>
        <w:tabs>
          <w:tab w:pos="1611" w:val="left" w:leader="none"/>
          <w:tab w:pos="10766" w:val="right" w:leader="none"/>
        </w:tabs>
        <w:spacing w:line="240" w:lineRule="auto" w:before="60" w:after="0"/>
        <w:ind w:left="1611" w:right="0" w:hanging="540"/>
        <w:jc w:val="left"/>
        <w:rPr>
          <w:sz w:val="24"/>
        </w:rPr>
      </w:pPr>
      <w:hyperlink w:history="true" w:anchor="_TOC_250000">
        <w:r>
          <w:rPr>
            <w:sz w:val="24"/>
          </w:rPr>
          <w:t>Suggestions</w:t>
        </w:r>
        <w:r>
          <w:rPr>
            <w:spacing w:val="-3"/>
            <w:sz w:val="24"/>
          </w:rPr>
          <w:t> </w:t>
        </w:r>
        <w:r>
          <w:rPr>
            <w:sz w:val="24"/>
          </w:rPr>
          <w:t>for</w:t>
        </w:r>
        <w:r>
          <w:rPr>
            <w:spacing w:val="-2"/>
            <w:sz w:val="24"/>
          </w:rPr>
          <w:t> </w:t>
        </w:r>
        <w:r>
          <w:rPr>
            <w:sz w:val="24"/>
          </w:rPr>
          <w:t>further</w:t>
        </w:r>
        <w:r>
          <w:rPr>
            <w:spacing w:val="-3"/>
            <w:sz w:val="24"/>
          </w:rPr>
          <w:t> </w:t>
        </w:r>
        <w:r>
          <w:rPr>
            <w:spacing w:val="-2"/>
            <w:sz w:val="24"/>
          </w:rPr>
          <w:t>Research.</w:t>
        </w:r>
        <w:r>
          <w:rPr>
            <w:sz w:val="24"/>
          </w:rPr>
          <w:tab/>
        </w:r>
        <w:r>
          <w:rPr>
            <w:spacing w:val="-5"/>
            <w:sz w:val="24"/>
          </w:rPr>
          <w:t>160</w:t>
        </w:r>
      </w:hyperlink>
    </w:p>
    <w:p>
      <w:pPr>
        <w:pStyle w:val="BodyText"/>
        <w:tabs>
          <w:tab w:pos="10740" w:val="right" w:leader="none"/>
        </w:tabs>
        <w:spacing w:before="277"/>
        <w:ind w:left="1671"/>
      </w:pPr>
      <w:r>
        <w:rPr>
          <w:spacing w:val="-2"/>
        </w:rPr>
        <w:t>Bibliography</w:t>
      </w:r>
      <w:r>
        <w:rPr/>
        <w:tab/>
      </w:r>
      <w:r>
        <w:rPr>
          <w:spacing w:val="-5"/>
        </w:rPr>
        <w:t>161</w:t>
      </w:r>
    </w:p>
    <w:p>
      <w:pPr>
        <w:spacing w:after="0"/>
        <w:sectPr>
          <w:pgSz w:w="11910" w:h="16840"/>
          <w:pgMar w:header="0" w:footer="1039" w:top="1360" w:bottom="1240" w:left="280" w:right="0"/>
        </w:sectPr>
      </w:pPr>
    </w:p>
    <w:p>
      <w:pPr>
        <w:pStyle w:val="Heading5"/>
        <w:ind w:left="235"/>
      </w:pPr>
      <w:r>
        <w:rPr>
          <w:spacing w:val="-2"/>
        </w:rPr>
        <w:t>ABSTRACT</w:t>
      </w:r>
    </w:p>
    <w:p>
      <w:pPr>
        <w:pStyle w:val="BodyText"/>
        <w:spacing w:before="296"/>
        <w:ind w:left="711" w:right="469"/>
        <w:jc w:val="both"/>
      </w:pPr>
      <w:r>
        <w:rPr/>
        <w:t>This study examines the determinants of capital flight in Nigeria and their effects on economic growth between 1970 and 2011. In analyzing the </w:t>
      </w:r>
      <w:r>
        <w:rPr>
          <w:rFonts w:ascii="Cambria" w:hAnsi="Cambria"/>
        </w:rPr>
        <w:t>determinants of capital flight, eight (8) variables classified as political, economic and institutional were employed. These include: Degree of Openness, Inflation</w:t>
      </w:r>
      <w:r>
        <w:rPr>
          <w:rFonts w:ascii="Cambria" w:hAnsi="Cambria"/>
          <w:spacing w:val="40"/>
        </w:rPr>
        <w:t> </w:t>
      </w:r>
      <w:r>
        <w:rPr>
          <w:rFonts w:ascii="Cambria" w:hAnsi="Cambria"/>
        </w:rPr>
        <w:t>rate, Gross capital formation, Change in External debt, Deposit rate, Credit to Private sector, Interest rate differentials and Government consumption expenditure (GOCE). Six models were formulated models; model 1, 3, and 4 examined the determinants of capital flight in the Pre and Post-SAP era while model 2, 5 and 6 examined the effect of capital flight on the economy in the Pre and Post-SAP</w:t>
      </w:r>
      <w:r>
        <w:rPr>
          <w:rFonts w:ascii="Cambria" w:hAnsi="Cambria"/>
          <w:spacing w:val="40"/>
        </w:rPr>
        <w:t> </w:t>
      </w:r>
      <w:r>
        <w:rPr>
          <w:rFonts w:ascii="Cambria" w:hAnsi="Cambria"/>
        </w:rPr>
        <w:t>era with Gross Domestic Product as the dependent variable and Change in External debt, Direct Foreign Investment, Current Account Balance, </w:t>
      </w:r>
      <w:r>
        <w:rPr/>
        <w:t>Change in External Reserve and Change in Net Foreign asset of Domestic Financial Institutions as explanatory variables. The study employs the residual method of capital flight estimates while data were sourced from the Central Bank of Nigeria’s Statistical Bulletin, the Nigeria Stock Exchange Fact Books and IMF’s Financial Reports. The Ordinary Least Square Method of Regression analysis and Co-integration Technique were employed to estimate and test the formulated models and hypotheses. Findings from the analyses reveal that both short and long run relationships</w:t>
      </w:r>
      <w:r>
        <w:rPr>
          <w:spacing w:val="40"/>
        </w:rPr>
        <w:t> </w:t>
      </w:r>
      <w:r>
        <w:rPr/>
        <w:t>between the dependent and independent variables. Specifically, the results reveal that Change in External Debt, Inflation rate, Political and Institutional risks constitute the major determinants of capital flight in Nigeria over the period of study. The post-SAP analysis shows that Change in External Debt and Inflation rate greatly induced capital flight which adversely affected the economy.</w:t>
      </w:r>
      <w:r>
        <w:rPr>
          <w:spacing w:val="80"/>
        </w:rPr>
        <w:t> </w:t>
      </w:r>
      <w:r>
        <w:rPr/>
        <w:t>Statistically, the test of</w:t>
      </w:r>
      <w:r>
        <w:rPr>
          <w:spacing w:val="40"/>
        </w:rPr>
        <w:t> </w:t>
      </w:r>
      <w:r>
        <w:rPr/>
        <w:t>hypotheses conducted at 95% level of confidence shows the significance of the variables. The results also show that Change in external debt negatively impact economic growth, while Direct Foreign Investment, Change in Foreign Asset of Domestic Banking System and Change in External Reserve positively impact</w:t>
      </w:r>
      <w:r>
        <w:rPr>
          <w:spacing w:val="40"/>
        </w:rPr>
        <w:t> </w:t>
      </w:r>
      <w:r>
        <w:rPr/>
        <w:t>the economic growth. The study established a link between External debt, poverty and economic growth. It was also revealed that capital flight was more prevalent in Nigeria during the period of transition from one regime of government to another due to political crises and uncertainty. The study recommends among others that Government should provide economically viable environment that will encourage investment while statutory agencies like the Economic and Financial Crime Commission and the Independent Corrupt Practices and Other Related Offences Commission should be adequately funded and empowered to handle financial crimes. Finally, it was recommend that serious and sincere effort should be made by the government to recover stolen and ill-gotten wealth by public officers and the proceeds recover from corrupt officials should be ploughed back into the economy while the government should implement policies that</w:t>
      </w:r>
      <w:r>
        <w:rPr>
          <w:spacing w:val="40"/>
        </w:rPr>
        <w:t> </w:t>
      </w:r>
      <w:r>
        <w:rPr/>
        <w:t>are</w:t>
      </w:r>
      <w:r>
        <w:rPr>
          <w:spacing w:val="-3"/>
        </w:rPr>
        <w:t> </w:t>
      </w:r>
      <w:r>
        <w:rPr/>
        <w:t>suitable for</w:t>
      </w:r>
      <w:r>
        <w:rPr>
          <w:spacing w:val="-3"/>
        </w:rPr>
        <w:t> </w:t>
      </w:r>
      <w:r>
        <w:rPr/>
        <w:t>the</w:t>
      </w:r>
      <w:r>
        <w:rPr>
          <w:spacing w:val="-2"/>
        </w:rPr>
        <w:t> </w:t>
      </w:r>
      <w:r>
        <w:rPr/>
        <w:t>Nigerian</w:t>
      </w:r>
      <w:r>
        <w:rPr>
          <w:spacing w:val="-1"/>
        </w:rPr>
        <w:t> </w:t>
      </w:r>
      <w:r>
        <w:rPr/>
        <w:t>environment.</w:t>
      </w:r>
      <w:r>
        <w:rPr>
          <w:spacing w:val="-1"/>
        </w:rPr>
        <w:t> </w:t>
      </w:r>
      <w:r>
        <w:rPr/>
        <w:t>One</w:t>
      </w:r>
      <w:r>
        <w:rPr>
          <w:spacing w:val="-2"/>
        </w:rPr>
        <w:t> </w:t>
      </w:r>
      <w:r>
        <w:rPr/>
        <w:t>of the</w:t>
      </w:r>
      <w:r>
        <w:rPr>
          <w:spacing w:val="-1"/>
        </w:rPr>
        <w:t> </w:t>
      </w:r>
      <w:r>
        <w:rPr/>
        <w:t>major</w:t>
      </w:r>
      <w:r>
        <w:rPr>
          <w:spacing w:val="-1"/>
        </w:rPr>
        <w:t> </w:t>
      </w:r>
      <w:r>
        <w:rPr/>
        <w:t>contributions</w:t>
      </w:r>
      <w:r>
        <w:rPr>
          <w:spacing w:val="-1"/>
        </w:rPr>
        <w:t> </w:t>
      </w:r>
      <w:r>
        <w:rPr/>
        <w:t>of</w:t>
      </w:r>
      <w:r>
        <w:rPr>
          <w:spacing w:val="-1"/>
        </w:rPr>
        <w:t> </w:t>
      </w:r>
      <w:r>
        <w:rPr/>
        <w:t>the</w:t>
      </w:r>
      <w:r>
        <w:rPr>
          <w:spacing w:val="-3"/>
        </w:rPr>
        <w:t> </w:t>
      </w:r>
      <w:r>
        <w:rPr/>
        <w:t>study</w:t>
      </w:r>
      <w:r>
        <w:rPr>
          <w:spacing w:val="-6"/>
        </w:rPr>
        <w:t> </w:t>
      </w:r>
      <w:r>
        <w:rPr/>
        <w:t>to</w:t>
      </w:r>
      <w:r>
        <w:rPr>
          <w:spacing w:val="-1"/>
        </w:rPr>
        <w:t> </w:t>
      </w:r>
      <w:r>
        <w:rPr/>
        <w:t>knowledge is</w:t>
      </w:r>
      <w:r>
        <w:rPr>
          <w:spacing w:val="-1"/>
        </w:rPr>
        <w:t> </w:t>
      </w:r>
      <w:r>
        <w:rPr/>
        <w:t>that</w:t>
      </w:r>
      <w:r>
        <w:rPr>
          <w:spacing w:val="-1"/>
        </w:rPr>
        <w:t> </w:t>
      </w:r>
      <w:r>
        <w:rPr/>
        <w:t>it confirmed that economic, political and institutional factors are the main determinants of Capital Flight in </w:t>
      </w:r>
      <w:r>
        <w:rPr>
          <w:spacing w:val="-2"/>
        </w:rPr>
        <w:t>Nigeria.</w:t>
      </w:r>
    </w:p>
    <w:p>
      <w:pPr>
        <w:spacing w:after="0"/>
        <w:jc w:val="both"/>
        <w:sectPr>
          <w:pgSz w:w="11910" w:h="16840"/>
          <w:pgMar w:header="0" w:footer="1039" w:top="1360" w:bottom="1240" w:left="280" w:right="0"/>
        </w:sectPr>
      </w:pPr>
    </w:p>
    <w:p>
      <w:pPr>
        <w:pStyle w:val="Heading5"/>
        <w:spacing w:line="480" w:lineRule="auto"/>
        <w:ind w:left="4972" w:right="4732" w:hanging="6"/>
      </w:pPr>
      <w:r>
        <w:rPr/>
        <w:t>CHAPTER ONE </w:t>
      </w:r>
      <w:r>
        <w:rPr>
          <w:spacing w:val="-2"/>
        </w:rPr>
        <w:t>INTRODUCTION</w:t>
      </w:r>
    </w:p>
    <w:p>
      <w:pPr>
        <w:pStyle w:val="Heading6"/>
        <w:numPr>
          <w:ilvl w:val="1"/>
          <w:numId w:val="7"/>
        </w:numPr>
        <w:tabs>
          <w:tab w:pos="1431" w:val="left" w:leader="none"/>
        </w:tabs>
        <w:spacing w:line="240" w:lineRule="auto" w:before="1" w:after="0"/>
        <w:ind w:left="1431" w:right="0" w:hanging="720"/>
        <w:jc w:val="left"/>
      </w:pPr>
      <w:r>
        <w:rPr/>
        <w:t>Background</w:t>
      </w:r>
      <w:r>
        <w:rPr>
          <w:spacing w:val="-2"/>
        </w:rPr>
        <w:t> </w:t>
      </w:r>
      <w:r>
        <w:rPr/>
        <w:t>to</w:t>
      </w:r>
      <w:r>
        <w:rPr>
          <w:spacing w:val="-1"/>
        </w:rPr>
        <w:t> </w:t>
      </w:r>
      <w:r>
        <w:rPr/>
        <w:t>the</w:t>
      </w:r>
      <w:r>
        <w:rPr>
          <w:spacing w:val="-2"/>
        </w:rPr>
        <w:t> </w:t>
      </w:r>
      <w:r>
        <w:rPr>
          <w:spacing w:val="-4"/>
        </w:rPr>
        <w:t>Study</w:t>
      </w:r>
    </w:p>
    <w:p>
      <w:pPr>
        <w:pStyle w:val="BodyText"/>
        <w:rPr>
          <w:b/>
        </w:rPr>
      </w:pPr>
    </w:p>
    <w:p>
      <w:pPr>
        <w:pStyle w:val="BodyText"/>
        <w:spacing w:line="499" w:lineRule="auto"/>
        <w:ind w:left="711" w:right="470"/>
        <w:jc w:val="both"/>
      </w:pPr>
      <w:r>
        <w:rPr/>
        <w:t>There has been rapid growth and mobility of international capital with some attendant risks and benefits to the World economic systems over the years. One of such risks is that of fuelling capital flight. There exists no</w:t>
      </w:r>
      <w:r>
        <w:rPr>
          <w:spacing w:val="-2"/>
        </w:rPr>
        <w:t> </w:t>
      </w:r>
      <w:r>
        <w:rPr/>
        <w:t>generally</w:t>
      </w:r>
      <w:r>
        <w:rPr>
          <w:spacing w:val="-5"/>
        </w:rPr>
        <w:t> </w:t>
      </w:r>
      <w:r>
        <w:rPr/>
        <w:t>accepted</w:t>
      </w:r>
      <w:r>
        <w:rPr>
          <w:spacing w:val="-1"/>
        </w:rPr>
        <w:t> </w:t>
      </w:r>
      <w:r>
        <w:rPr/>
        <w:t>definition</w:t>
      </w:r>
      <w:r>
        <w:rPr>
          <w:spacing w:val="-2"/>
        </w:rPr>
        <w:t> </w:t>
      </w:r>
      <w:r>
        <w:rPr/>
        <w:t>of</w:t>
      </w:r>
      <w:r>
        <w:rPr>
          <w:spacing w:val="-3"/>
        </w:rPr>
        <w:t> </w:t>
      </w:r>
      <w:r>
        <w:rPr/>
        <w:t>the</w:t>
      </w:r>
      <w:r>
        <w:rPr>
          <w:spacing w:val="-2"/>
        </w:rPr>
        <w:t> </w:t>
      </w:r>
      <w:r>
        <w:rPr/>
        <w:t>term</w:t>
      </w:r>
      <w:r>
        <w:rPr>
          <w:spacing w:val="-1"/>
        </w:rPr>
        <w:t> </w:t>
      </w:r>
      <w:r>
        <w:rPr/>
        <w:t>“capital</w:t>
      </w:r>
      <w:r>
        <w:rPr>
          <w:spacing w:val="-2"/>
        </w:rPr>
        <w:t> </w:t>
      </w:r>
      <w:r>
        <w:rPr/>
        <w:t>flight”.</w:t>
      </w:r>
      <w:r>
        <w:rPr>
          <w:spacing w:val="-1"/>
        </w:rPr>
        <w:t> </w:t>
      </w:r>
      <w:r>
        <w:rPr/>
        <w:t>Most</w:t>
      </w:r>
      <w:r>
        <w:rPr>
          <w:spacing w:val="-2"/>
        </w:rPr>
        <w:t> </w:t>
      </w:r>
      <w:r>
        <w:rPr/>
        <w:t>of</w:t>
      </w:r>
      <w:r>
        <w:rPr>
          <w:spacing w:val="80"/>
          <w:w w:val="150"/>
        </w:rPr>
        <w:t> </w:t>
      </w:r>
      <w:r>
        <w:rPr/>
        <w:t>the</w:t>
      </w:r>
      <w:r>
        <w:rPr>
          <w:spacing w:val="-2"/>
        </w:rPr>
        <w:t> </w:t>
      </w:r>
      <w:r>
        <w:rPr/>
        <w:t>time,</w:t>
      </w:r>
      <w:r>
        <w:rPr>
          <w:spacing w:val="-2"/>
        </w:rPr>
        <w:t> </w:t>
      </w:r>
      <w:r>
        <w:rPr/>
        <w:t>this</w:t>
      </w:r>
      <w:r>
        <w:rPr>
          <w:spacing w:val="-2"/>
        </w:rPr>
        <w:t> </w:t>
      </w:r>
      <w:r>
        <w:rPr/>
        <w:t>term</w:t>
      </w:r>
      <w:r>
        <w:rPr>
          <w:spacing w:val="-2"/>
        </w:rPr>
        <w:t> </w:t>
      </w:r>
      <w:r>
        <w:rPr/>
        <w:t>is</w:t>
      </w:r>
      <w:r>
        <w:rPr>
          <w:spacing w:val="-2"/>
        </w:rPr>
        <w:t> </w:t>
      </w:r>
      <w:r>
        <w:rPr/>
        <w:t>related</w:t>
      </w:r>
      <w:r>
        <w:rPr>
          <w:spacing w:val="-2"/>
        </w:rPr>
        <w:t> </w:t>
      </w:r>
      <w:r>
        <w:rPr/>
        <w:t>to capital this</w:t>
      </w:r>
      <w:r>
        <w:rPr>
          <w:spacing w:val="66"/>
        </w:rPr>
        <w:t> </w:t>
      </w:r>
      <w:r>
        <w:rPr/>
        <w:t>is</w:t>
      </w:r>
      <w:r>
        <w:rPr>
          <w:spacing w:val="69"/>
        </w:rPr>
        <w:t> </w:t>
      </w:r>
      <w:r>
        <w:rPr/>
        <w:t>shifted</w:t>
      </w:r>
      <w:r>
        <w:rPr>
          <w:spacing w:val="67"/>
        </w:rPr>
        <w:t> </w:t>
      </w:r>
      <w:r>
        <w:rPr/>
        <w:t>out</w:t>
      </w:r>
      <w:r>
        <w:rPr>
          <w:spacing w:val="66"/>
        </w:rPr>
        <w:t> </w:t>
      </w:r>
      <w:r>
        <w:rPr/>
        <w:t>of</w:t>
      </w:r>
      <w:r>
        <w:rPr>
          <w:spacing w:val="67"/>
        </w:rPr>
        <w:t> </w:t>
      </w:r>
      <w:r>
        <w:rPr/>
        <w:t>developing</w:t>
      </w:r>
      <w:r>
        <w:rPr>
          <w:spacing w:val="68"/>
        </w:rPr>
        <w:t> </w:t>
      </w:r>
      <w:r>
        <w:rPr/>
        <w:t>countries</w:t>
      </w:r>
      <w:r>
        <w:rPr>
          <w:spacing w:val="68"/>
        </w:rPr>
        <w:t> </w:t>
      </w:r>
      <w:r>
        <w:rPr/>
        <w:t>(Capital</w:t>
      </w:r>
      <w:r>
        <w:rPr>
          <w:spacing w:val="68"/>
        </w:rPr>
        <w:t> </w:t>
      </w:r>
      <w:r>
        <w:rPr/>
        <w:t>Scarce-economy)</w:t>
      </w:r>
      <w:r>
        <w:rPr>
          <w:spacing w:val="67"/>
        </w:rPr>
        <w:t> </w:t>
      </w:r>
      <w:r>
        <w:rPr/>
        <w:t>to</w:t>
      </w:r>
      <w:r>
        <w:rPr>
          <w:spacing w:val="68"/>
        </w:rPr>
        <w:t> </w:t>
      </w:r>
      <w:r>
        <w:rPr/>
        <w:t>delveoped</w:t>
      </w:r>
      <w:r>
        <w:rPr>
          <w:spacing w:val="68"/>
        </w:rPr>
        <w:t> </w:t>
      </w:r>
      <w:r>
        <w:rPr/>
        <w:t>countries</w:t>
      </w:r>
      <w:r>
        <w:rPr>
          <w:spacing w:val="69"/>
        </w:rPr>
        <w:t> </w:t>
      </w:r>
      <w:r>
        <w:rPr>
          <w:spacing w:val="-2"/>
        </w:rPr>
        <w:t>(Capital</w:t>
      </w:r>
    </w:p>
    <w:p>
      <w:pPr>
        <w:pStyle w:val="BodyText"/>
        <w:spacing w:line="258" w:lineRule="exact"/>
        <w:ind w:left="711"/>
        <w:jc w:val="both"/>
      </w:pPr>
      <w:r>
        <w:rPr/>
        <w:t>abundant-economy).</w:t>
      </w:r>
      <w:r>
        <w:rPr>
          <w:spacing w:val="38"/>
        </w:rPr>
        <w:t> </w:t>
      </w:r>
      <w:r>
        <w:rPr/>
        <w:t>However,</w:t>
      </w:r>
      <w:r>
        <w:rPr>
          <w:spacing w:val="38"/>
        </w:rPr>
        <w:t> </w:t>
      </w:r>
      <w:r>
        <w:rPr/>
        <w:t>if</w:t>
      </w:r>
      <w:r>
        <w:rPr>
          <w:spacing w:val="40"/>
        </w:rPr>
        <w:t> </w:t>
      </w:r>
      <w:r>
        <w:rPr/>
        <w:t>capital</w:t>
      </w:r>
      <w:r>
        <w:rPr>
          <w:spacing w:val="40"/>
        </w:rPr>
        <w:t> </w:t>
      </w:r>
      <w:r>
        <w:rPr/>
        <w:t>shifts</w:t>
      </w:r>
      <w:r>
        <w:rPr>
          <w:spacing w:val="41"/>
        </w:rPr>
        <w:t> </w:t>
      </w:r>
      <w:r>
        <w:rPr/>
        <w:t>out</w:t>
      </w:r>
      <w:r>
        <w:rPr>
          <w:spacing w:val="40"/>
        </w:rPr>
        <w:t> </w:t>
      </w:r>
      <w:r>
        <w:rPr/>
        <w:t>of</w:t>
      </w:r>
      <w:r>
        <w:rPr>
          <w:spacing w:val="39"/>
        </w:rPr>
        <w:t> </w:t>
      </w:r>
      <w:r>
        <w:rPr/>
        <w:t>the</w:t>
      </w:r>
      <w:r>
        <w:rPr>
          <w:spacing w:val="39"/>
        </w:rPr>
        <w:t> </w:t>
      </w:r>
      <w:r>
        <w:rPr/>
        <w:t>developed</w:t>
      </w:r>
      <w:r>
        <w:rPr>
          <w:spacing w:val="40"/>
        </w:rPr>
        <w:t> </w:t>
      </w:r>
      <w:r>
        <w:rPr/>
        <w:t>country,</w:t>
      </w:r>
      <w:r>
        <w:rPr>
          <w:spacing w:val="39"/>
        </w:rPr>
        <w:t> </w:t>
      </w:r>
      <w:r>
        <w:rPr/>
        <w:t>it</w:t>
      </w:r>
      <w:r>
        <w:rPr>
          <w:spacing w:val="41"/>
        </w:rPr>
        <w:t> </w:t>
      </w:r>
      <w:r>
        <w:rPr/>
        <w:t>is</w:t>
      </w:r>
      <w:r>
        <w:rPr>
          <w:spacing w:val="40"/>
        </w:rPr>
        <w:t> </w:t>
      </w:r>
      <w:r>
        <w:rPr/>
        <w:t>usually</w:t>
      </w:r>
      <w:r>
        <w:rPr>
          <w:spacing w:val="35"/>
        </w:rPr>
        <w:t> </w:t>
      </w:r>
      <w:r>
        <w:rPr/>
        <w:t>referred</w:t>
      </w:r>
      <w:r>
        <w:rPr>
          <w:spacing w:val="39"/>
        </w:rPr>
        <w:t> </w:t>
      </w:r>
      <w:r>
        <w:rPr/>
        <w:t>to</w:t>
      </w:r>
      <w:r>
        <w:rPr>
          <w:spacing w:val="41"/>
        </w:rPr>
        <w:t> </w:t>
      </w:r>
      <w:r>
        <w:rPr>
          <w:spacing w:val="-5"/>
        </w:rPr>
        <w:t>as</w:t>
      </w:r>
    </w:p>
    <w:p>
      <w:pPr>
        <w:pStyle w:val="BodyText"/>
      </w:pPr>
    </w:p>
    <w:p>
      <w:pPr>
        <w:pStyle w:val="BodyText"/>
        <w:spacing w:line="480" w:lineRule="auto"/>
        <w:ind w:left="711" w:right="469"/>
        <w:jc w:val="both"/>
      </w:pPr>
      <w:r>
        <w:rPr/>
        <w:t>capital outflow. Investors from developed countries are seen as responding to investment opportunities</w:t>
      </w:r>
      <w:r>
        <w:rPr>
          <w:spacing w:val="40"/>
        </w:rPr>
        <w:t> </w:t>
      </w:r>
      <w:r>
        <w:rPr/>
        <w:t>while investors from developing countries are said to be escaping the high risks they perceive of holding capital at home (Ajayi, 1997). According to Cooper and Hardt (2000), capital flight entails the flow of financial assets resulting from the holder’s perception that capital is subjected to inordinate level of risk due to devaluation, hyperinflation and/or political turmoil. The owners of funds in such hostile environment are seeking a safe haven for their funds. Ndikumana and Boyce (2003) define capital flight as residents’ capital out flows, excluding recorded investment abroad.</w:t>
      </w:r>
    </w:p>
    <w:p>
      <w:pPr>
        <w:pStyle w:val="BodyText"/>
        <w:spacing w:before="274"/>
      </w:pPr>
    </w:p>
    <w:p>
      <w:pPr>
        <w:pStyle w:val="BodyText"/>
        <w:spacing w:line="480" w:lineRule="auto"/>
        <w:ind w:left="711" w:right="471" w:firstLine="62"/>
        <w:jc w:val="both"/>
      </w:pPr>
      <w:r>
        <w:rPr/>
        <w:t>It is important to note that when capital flows from a developed to a developing</w:t>
      </w:r>
      <w:r>
        <w:rPr>
          <w:spacing w:val="-1"/>
        </w:rPr>
        <w:t> </w:t>
      </w:r>
      <w:r>
        <w:rPr/>
        <w:t>country</w:t>
      </w:r>
      <w:r>
        <w:rPr>
          <w:spacing w:val="-4"/>
        </w:rPr>
        <w:t> </w:t>
      </w:r>
      <w:r>
        <w:rPr/>
        <w:t>it is not considered as capital flight. Also when capital flows from a</w:t>
      </w:r>
      <w:r>
        <w:rPr>
          <w:spacing w:val="-1"/>
        </w:rPr>
        <w:t> </w:t>
      </w:r>
      <w:r>
        <w:rPr/>
        <w:t>developing to developed</w:t>
      </w:r>
      <w:r>
        <w:rPr>
          <w:spacing w:val="-1"/>
        </w:rPr>
        <w:t> </w:t>
      </w:r>
      <w:r>
        <w:rPr/>
        <w:t>countries through legal means and for investment purposes it is also not considered as capital flight. However, when capital flows from a developing to a developed country through illegal means it is capital flight. It is very difficult to measure illegal flows; however, the major means of measuring capital flight in this study is to capture the difference between the sources and uses of funds. The main sources of capital to an economy are external borrowing and direct foreign investment while the uses of funds include financing of current account balance and external reserves, this difference constitutes capital flight.</w:t>
      </w:r>
    </w:p>
    <w:p>
      <w:pPr>
        <w:spacing w:after="0" w:line="480" w:lineRule="auto"/>
        <w:jc w:val="both"/>
        <w:sectPr>
          <w:footerReference w:type="default" r:id="rId6"/>
          <w:pgSz w:w="11910" w:h="16840"/>
          <w:pgMar w:header="0" w:footer="979" w:top="1360" w:bottom="1160" w:left="280" w:right="0"/>
          <w:pgNumType w:start="1"/>
        </w:sectPr>
      </w:pPr>
    </w:p>
    <w:p>
      <w:pPr>
        <w:pStyle w:val="BodyText"/>
        <w:spacing w:line="480" w:lineRule="auto" w:before="60"/>
        <w:ind w:left="711" w:right="471"/>
        <w:jc w:val="both"/>
      </w:pPr>
      <w:r>
        <w:rPr/>
        <w:t>Given the above therefore, for the purpose of this research, capital flight is defined as the net illegal outflow of capital from Nigeria arising from the difference between the sources and uses of funds. Capital flight is clearly different from capital export, which consists of conveyance of capital in full accordance with the</w:t>
      </w:r>
      <w:r>
        <w:rPr>
          <w:spacing w:val="40"/>
        </w:rPr>
        <w:t> </w:t>
      </w:r>
      <w:r>
        <w:rPr/>
        <w:t>law. While capital export is a normal economic phenomenon, which does not harm significantly the economy from the global perspective (capital finds its optimal allocation), capital flight presents a danger and leads to the impoverishment of the domestic economy. To a large extent, capital flight has been</w:t>
      </w:r>
      <w:r>
        <w:rPr>
          <w:spacing w:val="40"/>
        </w:rPr>
        <w:t> </w:t>
      </w:r>
      <w:r>
        <w:rPr/>
        <w:t>regarded as a major factor contributing to the mounting external debt problems and inhibiting</w:t>
      </w:r>
      <w:r>
        <w:rPr>
          <w:spacing w:val="40"/>
        </w:rPr>
        <w:t> </w:t>
      </w:r>
      <w:r>
        <w:rPr/>
        <w:t>developmental efforts in the third world, (Cuddington, 1986). External debt in Nigeria, for example, increased by 700 percent from $3.5billion in 1980 to $28.0 billion in 2000 and $35 billion in the year 2010 (CBN, 2011 and DMO, 2011). Most analysts have also attributed sluggish growth and persistent balance of payments (BOP) deficits to capital flight in developing countries including Nigeria, despite private transfers and long term capital inflows (Ajayi, 2012). Capital flight is different from capital export which is a normal economic phenomenon, subject of course to regulation and not posing danger to the national economy. Capital export can foster export growth and generation of employment in addition to the provision of solution to other national economic problems (Grigoryev and Kosarev, 2000).</w:t>
      </w:r>
    </w:p>
    <w:p>
      <w:pPr>
        <w:pStyle w:val="BodyText"/>
        <w:spacing w:line="480" w:lineRule="auto" w:before="3"/>
        <w:ind w:left="711" w:right="471"/>
        <w:jc w:val="both"/>
      </w:pPr>
      <w:r>
        <w:rPr/>
        <w:t>The issue of capital flight from developing countries, including Nigeria, has received appreciable attention from researchers. Concerns have been expressed about the magnitude, causes and consequences of these capital outflows, not least because the lack of financial resources for appropriate economic development has pushed Nigeria and most other sub-Saharan African (SSA) countries into external borrowing to augment domestic resources in their quest for economic growth. Acquisition of foreign assets by residents has escalated even as developing countries’ search for external borrowings to enhance the inflow of resources. Researchers</w:t>
      </w:r>
      <w:r>
        <w:rPr>
          <w:spacing w:val="-1"/>
        </w:rPr>
        <w:t> </w:t>
      </w:r>
      <w:r>
        <w:rPr/>
        <w:t>like</w:t>
      </w:r>
      <w:r>
        <w:rPr>
          <w:spacing w:val="-1"/>
        </w:rPr>
        <w:t> </w:t>
      </w:r>
      <w:r>
        <w:rPr/>
        <w:t>Cuddington (1987)</w:t>
      </w:r>
      <w:r>
        <w:rPr>
          <w:spacing w:val="-1"/>
        </w:rPr>
        <w:t> </w:t>
      </w:r>
      <w:r>
        <w:rPr/>
        <w:t>and Pastor (1990)</w:t>
      </w:r>
      <w:r>
        <w:rPr>
          <w:spacing w:val="-1"/>
        </w:rPr>
        <w:t> </w:t>
      </w:r>
      <w:r>
        <w:rPr/>
        <w:t>have</w:t>
      </w:r>
      <w:r>
        <w:rPr>
          <w:spacing w:val="-1"/>
        </w:rPr>
        <w:t> </w:t>
      </w:r>
      <w:r>
        <w:rPr/>
        <w:t>shown</w:t>
      </w:r>
      <w:r>
        <w:rPr>
          <w:spacing w:val="-1"/>
        </w:rPr>
        <w:t> </w:t>
      </w:r>
      <w:r>
        <w:rPr/>
        <w:t>that developing</w:t>
      </w:r>
      <w:r>
        <w:rPr>
          <w:spacing w:val="-3"/>
        </w:rPr>
        <w:t> </w:t>
      </w:r>
      <w:r>
        <w:rPr/>
        <w:t>countries’</w:t>
      </w:r>
      <w:r>
        <w:rPr>
          <w:spacing w:val="-1"/>
        </w:rPr>
        <w:t> </w:t>
      </w:r>
      <w:r>
        <w:rPr/>
        <w:t>borrowing</w:t>
      </w:r>
      <w:r>
        <w:rPr>
          <w:spacing w:val="-3"/>
        </w:rPr>
        <w:t> </w:t>
      </w:r>
      <w:r>
        <w:rPr/>
        <w:t>are substantially diverted into private assets abroad resulting into high debt profile and low economic growth.</w:t>
      </w:r>
    </w:p>
    <w:p>
      <w:pPr>
        <w:pStyle w:val="BodyText"/>
        <w:spacing w:line="480" w:lineRule="auto" w:before="1"/>
        <w:ind w:left="711" w:right="480"/>
        <w:jc w:val="both"/>
      </w:pPr>
      <w:r>
        <w:rPr/>
        <w:t>However, a study of capital flight is incomplete without a preliminary examination of the structure of the Nigerian</w:t>
      </w:r>
      <w:r>
        <w:rPr>
          <w:spacing w:val="40"/>
        </w:rPr>
        <w:t> </w:t>
      </w:r>
      <w:r>
        <w:rPr/>
        <w:t>economy</w:t>
      </w:r>
      <w:r>
        <w:rPr>
          <w:spacing w:val="38"/>
        </w:rPr>
        <w:t> </w:t>
      </w:r>
      <w:r>
        <w:rPr/>
        <w:t>and</w:t>
      </w:r>
      <w:r>
        <w:rPr>
          <w:spacing w:val="39"/>
        </w:rPr>
        <w:t> </w:t>
      </w:r>
      <w:r>
        <w:rPr/>
        <w:t>its</w:t>
      </w:r>
      <w:r>
        <w:rPr>
          <w:spacing w:val="40"/>
        </w:rPr>
        <w:t> </w:t>
      </w:r>
      <w:r>
        <w:rPr/>
        <w:t>political</w:t>
      </w:r>
      <w:r>
        <w:rPr>
          <w:spacing w:val="40"/>
        </w:rPr>
        <w:t> </w:t>
      </w:r>
      <w:r>
        <w:rPr/>
        <w:t>history.</w:t>
      </w:r>
      <w:r>
        <w:rPr>
          <w:spacing w:val="41"/>
        </w:rPr>
        <w:t> </w:t>
      </w:r>
      <w:r>
        <w:rPr/>
        <w:t>Ordinarily,</w:t>
      </w:r>
      <w:r>
        <w:rPr>
          <w:spacing w:val="40"/>
        </w:rPr>
        <w:t> </w:t>
      </w:r>
      <w:r>
        <w:rPr/>
        <w:t>Nigeria</w:t>
      </w:r>
      <w:r>
        <w:rPr>
          <w:spacing w:val="39"/>
        </w:rPr>
        <w:t> </w:t>
      </w:r>
      <w:r>
        <w:rPr/>
        <w:t>was</w:t>
      </w:r>
      <w:r>
        <w:rPr>
          <w:spacing w:val="39"/>
        </w:rPr>
        <w:t> </w:t>
      </w:r>
      <w:r>
        <w:rPr/>
        <w:t>an</w:t>
      </w:r>
      <w:r>
        <w:rPr>
          <w:spacing w:val="40"/>
        </w:rPr>
        <w:t> </w:t>
      </w:r>
      <w:r>
        <w:rPr/>
        <w:t>agrarian</w:t>
      </w:r>
      <w:r>
        <w:rPr>
          <w:spacing w:val="41"/>
        </w:rPr>
        <w:t> </w:t>
      </w:r>
      <w:r>
        <w:rPr/>
        <w:t>society</w:t>
      </w:r>
      <w:r>
        <w:rPr>
          <w:spacing w:val="35"/>
        </w:rPr>
        <w:t> </w:t>
      </w:r>
      <w:r>
        <w:rPr/>
        <w:t>with</w:t>
      </w:r>
      <w:r>
        <w:rPr>
          <w:spacing w:val="42"/>
        </w:rPr>
        <w:t> </w:t>
      </w:r>
      <w:r>
        <w:rPr>
          <w:spacing w:val="-2"/>
        </w:rPr>
        <w:t>agriculture</w:t>
      </w:r>
    </w:p>
    <w:p>
      <w:pPr>
        <w:pStyle w:val="BodyText"/>
        <w:ind w:left="711"/>
        <w:jc w:val="both"/>
      </w:pPr>
      <w:r>
        <w:rPr/>
        <w:t>accounting</w:t>
      </w:r>
      <w:r>
        <w:rPr>
          <w:spacing w:val="46"/>
        </w:rPr>
        <w:t> </w:t>
      </w:r>
      <w:r>
        <w:rPr/>
        <w:t>for</w:t>
      </w:r>
      <w:r>
        <w:rPr>
          <w:spacing w:val="48"/>
        </w:rPr>
        <w:t> </w:t>
      </w:r>
      <w:r>
        <w:rPr/>
        <w:t>at</w:t>
      </w:r>
      <w:r>
        <w:rPr>
          <w:spacing w:val="50"/>
        </w:rPr>
        <w:t> </w:t>
      </w:r>
      <w:r>
        <w:rPr/>
        <w:t>least</w:t>
      </w:r>
      <w:r>
        <w:rPr>
          <w:spacing w:val="50"/>
        </w:rPr>
        <w:t> </w:t>
      </w:r>
      <w:r>
        <w:rPr/>
        <w:t>65%</w:t>
      </w:r>
      <w:r>
        <w:rPr>
          <w:spacing w:val="49"/>
        </w:rPr>
        <w:t> </w:t>
      </w:r>
      <w:r>
        <w:rPr/>
        <w:t>of</w:t>
      </w:r>
      <w:r>
        <w:rPr>
          <w:spacing w:val="49"/>
        </w:rPr>
        <w:t> </w:t>
      </w:r>
      <w:r>
        <w:rPr/>
        <w:t>the</w:t>
      </w:r>
      <w:r>
        <w:rPr>
          <w:spacing w:val="49"/>
        </w:rPr>
        <w:t> </w:t>
      </w:r>
      <w:r>
        <w:rPr/>
        <w:t>GDP.</w:t>
      </w:r>
      <w:r>
        <w:rPr>
          <w:spacing w:val="50"/>
        </w:rPr>
        <w:t> </w:t>
      </w:r>
      <w:r>
        <w:rPr/>
        <w:t>The</w:t>
      </w:r>
      <w:r>
        <w:rPr>
          <w:spacing w:val="48"/>
        </w:rPr>
        <w:t> </w:t>
      </w:r>
      <w:r>
        <w:rPr/>
        <w:t>contribution</w:t>
      </w:r>
      <w:r>
        <w:rPr>
          <w:spacing w:val="50"/>
        </w:rPr>
        <w:t> </w:t>
      </w:r>
      <w:r>
        <w:rPr/>
        <w:t>of</w:t>
      </w:r>
      <w:r>
        <w:rPr>
          <w:spacing w:val="49"/>
        </w:rPr>
        <w:t> </w:t>
      </w:r>
      <w:r>
        <w:rPr/>
        <w:t>the</w:t>
      </w:r>
      <w:r>
        <w:rPr>
          <w:spacing w:val="49"/>
        </w:rPr>
        <w:t> </w:t>
      </w:r>
      <w:r>
        <w:rPr/>
        <w:t>sector</w:t>
      </w:r>
      <w:r>
        <w:rPr>
          <w:spacing w:val="49"/>
        </w:rPr>
        <w:t> </w:t>
      </w:r>
      <w:r>
        <w:rPr/>
        <w:t>gradually</w:t>
      </w:r>
      <w:r>
        <w:rPr>
          <w:spacing w:val="42"/>
        </w:rPr>
        <w:t> </w:t>
      </w:r>
      <w:r>
        <w:rPr/>
        <w:t>declined</w:t>
      </w:r>
      <w:r>
        <w:rPr>
          <w:spacing w:val="50"/>
        </w:rPr>
        <w:t> </w:t>
      </w:r>
      <w:r>
        <w:rPr/>
        <w:t>due</w:t>
      </w:r>
      <w:r>
        <w:rPr>
          <w:spacing w:val="49"/>
        </w:rPr>
        <w:t> </w:t>
      </w:r>
      <w:r>
        <w:rPr/>
        <w:t>to</w:t>
      </w:r>
      <w:r>
        <w:rPr>
          <w:spacing w:val="50"/>
        </w:rPr>
        <w:t> </w:t>
      </w:r>
      <w:r>
        <w:rPr>
          <w:spacing w:val="-5"/>
        </w:rPr>
        <w:t>the</w:t>
      </w:r>
    </w:p>
    <w:p>
      <w:pPr>
        <w:spacing w:after="0"/>
        <w:jc w:val="both"/>
        <w:sectPr>
          <w:pgSz w:w="11910" w:h="16840"/>
          <w:pgMar w:header="0" w:footer="979" w:top="1360" w:bottom="1240" w:left="280" w:right="0"/>
        </w:sectPr>
      </w:pPr>
    </w:p>
    <w:p>
      <w:pPr>
        <w:pStyle w:val="BodyText"/>
        <w:spacing w:line="480" w:lineRule="auto" w:before="60"/>
        <w:ind w:left="711" w:right="476"/>
        <w:jc w:val="both"/>
      </w:pPr>
      <w:r>
        <w:rPr/>
        <w:t>emergence of crude petroleum in 1970 when Nigeria became a member of OPEC. Thereafter, oil became</w:t>
      </w:r>
      <w:r>
        <w:rPr>
          <w:spacing w:val="40"/>
        </w:rPr>
        <w:t> </w:t>
      </w:r>
      <w:r>
        <w:rPr/>
        <w:t>the mainstay</w:t>
      </w:r>
      <w:r>
        <w:rPr>
          <w:spacing w:val="-4"/>
        </w:rPr>
        <w:t> </w:t>
      </w:r>
      <w:r>
        <w:rPr/>
        <w:t>of the economy</w:t>
      </w:r>
      <w:r>
        <w:rPr>
          <w:spacing w:val="-4"/>
        </w:rPr>
        <w:t> </w:t>
      </w:r>
      <w:r>
        <w:rPr/>
        <w:t>(Onwiodukit, 2007). The</w:t>
      </w:r>
      <w:r>
        <w:rPr>
          <w:spacing w:val="-1"/>
        </w:rPr>
        <w:t> </w:t>
      </w:r>
      <w:r>
        <w:rPr/>
        <w:t>oil boom of the early</w:t>
      </w:r>
      <w:r>
        <w:rPr>
          <w:spacing w:val="-4"/>
        </w:rPr>
        <w:t> </w:t>
      </w:r>
      <w:r>
        <w:rPr/>
        <w:t>1970s had a pervasive effect on the growth and development of the economy. It suddenly became the dominant sector of the economy accounting for more than 90% of exports and main source of revenue. However, the oil revenue witnessed growth overtime and the growth was absorbed mainly by public sector spending, particularly on transportation, social services, education etc. but considering their long run financial implications and efficiency with which the projects where price increases secured the resource needed to accommodate the supply in non-traded goods but they depressed the non-oil traded goods sectors.</w:t>
      </w:r>
    </w:p>
    <w:p>
      <w:pPr>
        <w:pStyle w:val="BodyText"/>
      </w:pPr>
    </w:p>
    <w:p>
      <w:pPr>
        <w:pStyle w:val="BodyText"/>
        <w:spacing w:before="2"/>
      </w:pPr>
    </w:p>
    <w:p>
      <w:pPr>
        <w:pStyle w:val="BodyText"/>
        <w:spacing w:line="480" w:lineRule="auto"/>
        <w:ind w:left="711" w:right="469"/>
        <w:jc w:val="both"/>
      </w:pPr>
      <w:r>
        <w:rPr/>
        <w:t>Nigeria borrowed significantly during this period to procure foreign goods. In 1978, economic problems started to manifest but a second oil-boom in 1979 brought about confidence that oil proceeds could be a sound basis for planning and sustaining public sector consumption and investment. The second oil-boom coincides with the civilian government (second republic). The increase in oil revenue gave the government impetus to increase public expenditure and real income declined. Then, the government was forced to run deficit budget and finance this by borrowing. Also, the value of exchange rate began to appreciate and this placed export at a disavantage position. The distorted exchange rate prevented the government from allocating resources efficiently to purchase import.</w:t>
      </w:r>
    </w:p>
    <w:p>
      <w:pPr>
        <w:pStyle w:val="BodyText"/>
        <w:spacing w:line="480" w:lineRule="auto" w:before="1"/>
        <w:ind w:left="711" w:right="471"/>
        <w:jc w:val="both"/>
      </w:pPr>
      <w:r>
        <w:rPr/>
        <w:t>Based on this, government established several measures and stringent trade control in the economy, stabilization</w:t>
      </w:r>
      <w:r>
        <w:rPr>
          <w:spacing w:val="-2"/>
        </w:rPr>
        <w:t> </w:t>
      </w:r>
      <w:r>
        <w:rPr/>
        <w:t>heat</w:t>
      </w:r>
      <w:r>
        <w:rPr>
          <w:spacing w:val="-2"/>
        </w:rPr>
        <w:t> </w:t>
      </w:r>
      <w:r>
        <w:rPr/>
        <w:t>of</w:t>
      </w:r>
      <w:r>
        <w:rPr>
          <w:spacing w:val="-2"/>
        </w:rPr>
        <w:t> </w:t>
      </w:r>
      <w:r>
        <w:rPr/>
        <w:t>1982.</w:t>
      </w:r>
      <w:r>
        <w:rPr>
          <w:spacing w:val="-2"/>
        </w:rPr>
        <w:t> </w:t>
      </w:r>
      <w:r>
        <w:rPr/>
        <w:t>Besides,</w:t>
      </w:r>
      <w:r>
        <w:rPr>
          <w:spacing w:val="-2"/>
        </w:rPr>
        <w:t> </w:t>
      </w:r>
      <w:r>
        <w:rPr/>
        <w:t>public</w:t>
      </w:r>
      <w:r>
        <w:rPr>
          <w:spacing w:val="-1"/>
        </w:rPr>
        <w:t> </w:t>
      </w:r>
      <w:r>
        <w:rPr/>
        <w:t>investment</w:t>
      </w:r>
      <w:r>
        <w:rPr>
          <w:spacing w:val="-2"/>
        </w:rPr>
        <w:t> </w:t>
      </w:r>
      <w:r>
        <w:rPr/>
        <w:t>was cut</w:t>
      </w:r>
      <w:r>
        <w:rPr>
          <w:spacing w:val="-2"/>
        </w:rPr>
        <w:t> </w:t>
      </w:r>
      <w:r>
        <w:rPr/>
        <w:t>noticeably</w:t>
      </w:r>
      <w:r>
        <w:rPr>
          <w:spacing w:val="-5"/>
        </w:rPr>
        <w:t> </w:t>
      </w:r>
      <w:r>
        <w:rPr/>
        <w:t>and petroleum</w:t>
      </w:r>
      <w:r>
        <w:rPr>
          <w:spacing w:val="-2"/>
        </w:rPr>
        <w:t> </w:t>
      </w:r>
      <w:r>
        <w:rPr/>
        <w:t>products’ prices and tariffs were</w:t>
      </w:r>
      <w:r>
        <w:rPr>
          <w:spacing w:val="-1"/>
        </w:rPr>
        <w:t> </w:t>
      </w:r>
      <w:r>
        <w:rPr/>
        <w:t>raised. In spite</w:t>
      </w:r>
      <w:r>
        <w:rPr>
          <w:spacing w:val="-1"/>
        </w:rPr>
        <w:t> </w:t>
      </w:r>
      <w:r>
        <w:rPr/>
        <w:t>of</w:t>
      </w:r>
      <w:r>
        <w:rPr>
          <w:spacing w:val="-1"/>
        </w:rPr>
        <w:t> </w:t>
      </w:r>
      <w:r>
        <w:rPr/>
        <w:t>these</w:t>
      </w:r>
      <w:r>
        <w:rPr>
          <w:spacing w:val="-2"/>
        </w:rPr>
        <w:t> </w:t>
      </w:r>
      <w:r>
        <w:rPr/>
        <w:t>stringent measures, the</w:t>
      </w:r>
      <w:r>
        <w:rPr>
          <w:spacing w:val="-1"/>
        </w:rPr>
        <w:t> </w:t>
      </w:r>
      <w:r>
        <w:rPr/>
        <w:t>economy</w:t>
      </w:r>
      <w:r>
        <w:rPr>
          <w:spacing w:val="-5"/>
        </w:rPr>
        <w:t> </w:t>
      </w:r>
      <w:r>
        <w:rPr/>
        <w:t>reached a</w:t>
      </w:r>
      <w:r>
        <w:rPr>
          <w:spacing w:val="-1"/>
        </w:rPr>
        <w:t> </w:t>
      </w:r>
      <w:r>
        <w:rPr/>
        <w:t>crisis point in</w:t>
      </w:r>
      <w:r>
        <w:rPr>
          <w:spacing w:val="-2"/>
        </w:rPr>
        <w:t> </w:t>
      </w:r>
      <w:r>
        <w:rPr/>
        <w:t>1983 and 1984 when oil earning declined drastically. To fill the domestic savings gap in order to execute developmental projects, government continued to borrow heavily and the external debt was mounting, this put unnecessary pressure on BOP position.</w:t>
      </w:r>
    </w:p>
    <w:p>
      <w:pPr>
        <w:pStyle w:val="BodyText"/>
        <w:spacing w:line="480" w:lineRule="auto" w:before="1"/>
        <w:ind w:left="711" w:right="475"/>
        <w:jc w:val="both"/>
      </w:pPr>
      <w:r>
        <w:rPr/>
        <w:t>Nigeria’s indebtedness impeded her access to foreign capital and short term trade arrears amounts to the point</w:t>
      </w:r>
      <w:r>
        <w:rPr>
          <w:spacing w:val="9"/>
        </w:rPr>
        <w:t> </w:t>
      </w:r>
      <w:r>
        <w:rPr/>
        <w:t>at</w:t>
      </w:r>
      <w:r>
        <w:rPr>
          <w:spacing w:val="11"/>
        </w:rPr>
        <w:t> </w:t>
      </w:r>
      <w:r>
        <w:rPr/>
        <w:t>which</w:t>
      </w:r>
      <w:r>
        <w:rPr>
          <w:spacing w:val="10"/>
        </w:rPr>
        <w:t> </w:t>
      </w:r>
      <w:r>
        <w:rPr/>
        <w:t>foreign</w:t>
      </w:r>
      <w:r>
        <w:rPr>
          <w:spacing w:val="10"/>
        </w:rPr>
        <w:t> </w:t>
      </w:r>
      <w:r>
        <w:rPr/>
        <w:t>banks</w:t>
      </w:r>
      <w:r>
        <w:rPr>
          <w:spacing w:val="11"/>
        </w:rPr>
        <w:t> </w:t>
      </w:r>
      <w:r>
        <w:rPr/>
        <w:t>held</w:t>
      </w:r>
      <w:r>
        <w:rPr>
          <w:spacing w:val="11"/>
        </w:rPr>
        <w:t> </w:t>
      </w:r>
      <w:r>
        <w:rPr/>
        <w:t>back</w:t>
      </w:r>
      <w:r>
        <w:rPr>
          <w:spacing w:val="10"/>
        </w:rPr>
        <w:t> </w:t>
      </w:r>
      <w:r>
        <w:rPr/>
        <w:t>on</w:t>
      </w:r>
      <w:r>
        <w:rPr>
          <w:spacing w:val="10"/>
        </w:rPr>
        <w:t> </w:t>
      </w:r>
      <w:r>
        <w:rPr/>
        <w:t>confirming</w:t>
      </w:r>
      <w:r>
        <w:rPr>
          <w:spacing w:val="9"/>
        </w:rPr>
        <w:t> </w:t>
      </w:r>
      <w:r>
        <w:rPr/>
        <w:t>letters</w:t>
      </w:r>
      <w:r>
        <w:rPr>
          <w:spacing w:val="11"/>
        </w:rPr>
        <w:t> </w:t>
      </w:r>
      <w:r>
        <w:rPr/>
        <w:t>of</w:t>
      </w:r>
      <w:r>
        <w:rPr>
          <w:spacing w:val="10"/>
        </w:rPr>
        <w:t> </w:t>
      </w:r>
      <w:r>
        <w:rPr/>
        <w:t>credit.</w:t>
      </w:r>
      <w:r>
        <w:rPr>
          <w:spacing w:val="10"/>
        </w:rPr>
        <w:t> </w:t>
      </w:r>
      <w:r>
        <w:rPr/>
        <w:t>Due</w:t>
      </w:r>
      <w:r>
        <w:rPr>
          <w:spacing w:val="9"/>
        </w:rPr>
        <w:t> </w:t>
      </w:r>
      <w:r>
        <w:rPr/>
        <w:t>to</w:t>
      </w:r>
      <w:r>
        <w:rPr>
          <w:spacing w:val="11"/>
        </w:rPr>
        <w:t> </w:t>
      </w:r>
      <w:r>
        <w:rPr/>
        <w:t>her</w:t>
      </w:r>
      <w:r>
        <w:rPr>
          <w:spacing w:val="10"/>
        </w:rPr>
        <w:t> </w:t>
      </w:r>
      <w:r>
        <w:rPr/>
        <w:t>unwillingness</w:t>
      </w:r>
      <w:r>
        <w:rPr>
          <w:spacing w:val="11"/>
        </w:rPr>
        <w:t> </w:t>
      </w:r>
      <w:r>
        <w:rPr/>
        <w:t>to</w:t>
      </w:r>
      <w:r>
        <w:rPr>
          <w:spacing w:val="12"/>
        </w:rPr>
        <w:t> </w:t>
      </w:r>
      <w:r>
        <w:rPr>
          <w:spacing w:val="-2"/>
        </w:rPr>
        <w:t>devalue</w:t>
      </w:r>
    </w:p>
    <w:p>
      <w:pPr>
        <w:pStyle w:val="BodyText"/>
        <w:ind w:left="711"/>
        <w:jc w:val="both"/>
      </w:pPr>
      <w:r>
        <w:rPr/>
        <w:t>naira,</w:t>
      </w:r>
      <w:r>
        <w:rPr>
          <w:spacing w:val="24"/>
        </w:rPr>
        <w:t> </w:t>
      </w:r>
      <w:r>
        <w:rPr/>
        <w:t>donors</w:t>
      </w:r>
      <w:r>
        <w:rPr>
          <w:spacing w:val="27"/>
        </w:rPr>
        <w:t> </w:t>
      </w:r>
      <w:r>
        <w:rPr/>
        <w:t>refused</w:t>
      </w:r>
      <w:r>
        <w:rPr>
          <w:spacing w:val="27"/>
        </w:rPr>
        <w:t> </w:t>
      </w:r>
      <w:r>
        <w:rPr/>
        <w:t>to</w:t>
      </w:r>
      <w:r>
        <w:rPr>
          <w:spacing w:val="30"/>
        </w:rPr>
        <w:t> </w:t>
      </w:r>
      <w:r>
        <w:rPr/>
        <w:t>roll</w:t>
      </w:r>
      <w:r>
        <w:rPr>
          <w:spacing w:val="27"/>
        </w:rPr>
        <w:t> </w:t>
      </w:r>
      <w:r>
        <w:rPr/>
        <w:t>over</w:t>
      </w:r>
      <w:r>
        <w:rPr>
          <w:spacing w:val="26"/>
        </w:rPr>
        <w:t> </w:t>
      </w:r>
      <w:r>
        <w:rPr/>
        <w:t>short</w:t>
      </w:r>
      <w:r>
        <w:rPr>
          <w:spacing w:val="27"/>
        </w:rPr>
        <w:t> </w:t>
      </w:r>
      <w:r>
        <w:rPr/>
        <w:t>term</w:t>
      </w:r>
      <w:r>
        <w:rPr>
          <w:spacing w:val="28"/>
        </w:rPr>
        <w:t> </w:t>
      </w:r>
      <w:r>
        <w:rPr/>
        <w:t>debt</w:t>
      </w:r>
      <w:r>
        <w:rPr>
          <w:spacing w:val="30"/>
        </w:rPr>
        <w:t> </w:t>
      </w:r>
      <w:r>
        <w:rPr/>
        <w:t>or</w:t>
      </w:r>
      <w:r>
        <w:rPr>
          <w:spacing w:val="26"/>
        </w:rPr>
        <w:t> </w:t>
      </w:r>
      <w:r>
        <w:rPr/>
        <w:t>fresh</w:t>
      </w:r>
      <w:r>
        <w:rPr>
          <w:spacing w:val="30"/>
        </w:rPr>
        <w:t> </w:t>
      </w:r>
      <w:r>
        <w:rPr/>
        <w:t>capital.</w:t>
      </w:r>
      <w:r>
        <w:rPr>
          <w:spacing w:val="28"/>
        </w:rPr>
        <w:t> </w:t>
      </w:r>
      <w:r>
        <w:rPr/>
        <w:t>This</w:t>
      </w:r>
      <w:r>
        <w:rPr>
          <w:spacing w:val="28"/>
        </w:rPr>
        <w:t> </w:t>
      </w:r>
      <w:r>
        <w:rPr/>
        <w:t>persisted</w:t>
      </w:r>
      <w:r>
        <w:rPr>
          <w:spacing w:val="27"/>
        </w:rPr>
        <w:t> </w:t>
      </w:r>
      <w:r>
        <w:rPr/>
        <w:t>until</w:t>
      </w:r>
      <w:r>
        <w:rPr>
          <w:spacing w:val="28"/>
        </w:rPr>
        <w:t> </w:t>
      </w:r>
      <w:r>
        <w:rPr/>
        <w:t>the</w:t>
      </w:r>
      <w:r>
        <w:rPr>
          <w:spacing w:val="27"/>
        </w:rPr>
        <w:t> </w:t>
      </w:r>
      <w:r>
        <w:rPr/>
        <w:t>military</w:t>
      </w:r>
      <w:r>
        <w:rPr>
          <w:spacing w:val="25"/>
        </w:rPr>
        <w:t> </w:t>
      </w:r>
      <w:r>
        <w:rPr>
          <w:spacing w:val="-2"/>
        </w:rPr>
        <w:t>seized</w:t>
      </w:r>
    </w:p>
    <w:p>
      <w:pPr>
        <w:spacing w:after="0"/>
        <w:jc w:val="both"/>
        <w:sectPr>
          <w:pgSz w:w="11910" w:h="16840"/>
          <w:pgMar w:header="0" w:footer="979" w:top="1360" w:bottom="1240" w:left="280" w:right="0"/>
        </w:sectPr>
      </w:pPr>
    </w:p>
    <w:p>
      <w:pPr>
        <w:pStyle w:val="BodyText"/>
        <w:spacing w:line="480" w:lineRule="auto" w:before="60"/>
        <w:ind w:left="711" w:right="473"/>
        <w:jc w:val="both"/>
      </w:pPr>
      <w:r>
        <w:rPr/>
        <w:t>power in 1983. The military government strengthened the strict measure of 1982, then imposed wage freeze on public sector employees, enforced the redundancy of a vast number of civil servants and introduced user’s fee in education and health sectors. Yet, their measures made little impact on budget deficit as the deficit in budget was manifested by capacity underutilization widespread closure of plants. Decline in imports and exports was accompanied by a significant rise in domestic price levels, inflation rate escalated, domestic savings and investment fell drastically, private investment also fell coupled with the reluctance of the donors to release fresh debt, it became difficult to accumulate capital (GCF) which is a major ingredient in developmental process. Meanwhile, government could not reach an agreement with the Bretton Woods institution on several issues including devaluation of the naira and import liberalization. Thus, a significant difference emerged between Nigeria government and its creditors. Later, a new Military administration emerged in 1998 without proper accommodation of the multi-lateral lending institutions; the prospect for more</w:t>
      </w:r>
      <w:r>
        <w:rPr>
          <w:spacing w:val="-2"/>
        </w:rPr>
        <w:t> </w:t>
      </w:r>
      <w:r>
        <w:rPr/>
        <w:t>credit was bleak. This led</w:t>
      </w:r>
      <w:r>
        <w:rPr>
          <w:spacing w:val="-1"/>
        </w:rPr>
        <w:t> </w:t>
      </w:r>
      <w:r>
        <w:rPr/>
        <w:t>to the</w:t>
      </w:r>
      <w:r>
        <w:rPr>
          <w:spacing w:val="-1"/>
        </w:rPr>
        <w:t> </w:t>
      </w:r>
      <w:r>
        <w:rPr/>
        <w:t>adoption of SAP. This programme</w:t>
      </w:r>
      <w:r>
        <w:rPr>
          <w:spacing w:val="-1"/>
        </w:rPr>
        <w:t> </w:t>
      </w:r>
      <w:r>
        <w:rPr/>
        <w:t>brought some far-reaching reforms on</w:t>
      </w:r>
      <w:r>
        <w:rPr>
          <w:spacing w:val="-3"/>
        </w:rPr>
        <w:t> </w:t>
      </w:r>
      <w:r>
        <w:rPr/>
        <w:t>the</w:t>
      </w:r>
      <w:r>
        <w:rPr>
          <w:spacing w:val="-3"/>
        </w:rPr>
        <w:t> </w:t>
      </w:r>
      <w:r>
        <w:rPr/>
        <w:t>Nigerian</w:t>
      </w:r>
      <w:r>
        <w:rPr>
          <w:spacing w:val="-2"/>
        </w:rPr>
        <w:t> </w:t>
      </w:r>
      <w:r>
        <w:rPr/>
        <w:t>economy,</w:t>
      </w:r>
      <w:r>
        <w:rPr>
          <w:spacing w:val="-3"/>
        </w:rPr>
        <w:t> </w:t>
      </w:r>
      <w:r>
        <w:rPr/>
        <w:t>such</w:t>
      </w:r>
      <w:r>
        <w:rPr>
          <w:spacing w:val="-3"/>
        </w:rPr>
        <w:t> </w:t>
      </w:r>
      <w:r>
        <w:rPr/>
        <w:t>as</w:t>
      </w:r>
      <w:r>
        <w:rPr>
          <w:spacing w:val="-3"/>
        </w:rPr>
        <w:t> </w:t>
      </w:r>
      <w:r>
        <w:rPr/>
        <w:t>devaluation</w:t>
      </w:r>
      <w:r>
        <w:rPr>
          <w:spacing w:val="-3"/>
        </w:rPr>
        <w:t> </w:t>
      </w:r>
      <w:r>
        <w:rPr/>
        <w:t>of</w:t>
      </w:r>
      <w:r>
        <w:rPr>
          <w:spacing w:val="-3"/>
        </w:rPr>
        <w:t> </w:t>
      </w:r>
      <w:r>
        <w:rPr/>
        <w:t>exchange</w:t>
      </w:r>
      <w:r>
        <w:rPr>
          <w:spacing w:val="-2"/>
        </w:rPr>
        <w:t> </w:t>
      </w:r>
      <w:r>
        <w:rPr/>
        <w:t>rate,</w:t>
      </w:r>
      <w:r>
        <w:rPr>
          <w:spacing w:val="-3"/>
        </w:rPr>
        <w:t> </w:t>
      </w:r>
      <w:r>
        <w:rPr/>
        <w:t>liberalization</w:t>
      </w:r>
      <w:r>
        <w:rPr>
          <w:spacing w:val="-3"/>
        </w:rPr>
        <w:t> </w:t>
      </w:r>
      <w:r>
        <w:rPr/>
        <w:t>of</w:t>
      </w:r>
      <w:r>
        <w:rPr>
          <w:spacing w:val="-4"/>
        </w:rPr>
        <w:t> </w:t>
      </w:r>
      <w:r>
        <w:rPr/>
        <w:t>interests’</w:t>
      </w:r>
      <w:r>
        <w:rPr>
          <w:spacing w:val="-2"/>
        </w:rPr>
        <w:t> </w:t>
      </w:r>
      <w:r>
        <w:rPr/>
        <w:t>rates,</w:t>
      </w:r>
      <w:r>
        <w:rPr>
          <w:spacing w:val="-3"/>
        </w:rPr>
        <w:t> </w:t>
      </w:r>
      <w:r>
        <w:rPr/>
        <w:t>imports</w:t>
      </w:r>
      <w:r>
        <w:rPr>
          <w:spacing w:val="-4"/>
        </w:rPr>
        <w:t> </w:t>
      </w:r>
      <w:r>
        <w:rPr/>
        <w:t>and exports, commercialization and privatization of several public enterprises and so on. Suddenly, there were reverse in the old trend as GDP started to witness growth, but inflation rates worsen. Interest rates reforms did not yield the desired result due to frequent policy changing. In the era of high inflation rate, the real rate of interest became negative. From 1985, the interest rate, direct foreign investment and foreign exchange</w:t>
      </w:r>
      <w:r>
        <w:rPr>
          <w:spacing w:val="40"/>
        </w:rPr>
        <w:t> </w:t>
      </w:r>
      <w:r>
        <w:rPr/>
        <w:t>had been liberalized of AFEM. The 1997 monetary and banking policies adopted in the federal budget as well as entire financial system restructuring as well as, the fiscal surplus achieved in the last two years (1999) appeared to seemingly approximate the precondition for preventing capital flight. Thus, the need to sustain and improve the seemingly enabling environment in order to consolidate growth reduce external</w:t>
      </w:r>
      <w:r>
        <w:rPr>
          <w:spacing w:val="40"/>
        </w:rPr>
        <w:t> </w:t>
      </w:r>
      <w:r>
        <w:rPr/>
        <w:t>debt through restructuring programmes in agreeable to the Bretton wood institutions that could illicit favourable disposition by our donor nations in ensuring debt reduction for Nigeria cannot be </w:t>
      </w:r>
      <w:r>
        <w:rPr>
          <w:spacing w:val="-2"/>
        </w:rPr>
        <w:t>overemphasized.</w:t>
      </w:r>
    </w:p>
    <w:p>
      <w:pPr>
        <w:pStyle w:val="BodyText"/>
        <w:spacing w:before="3"/>
        <w:ind w:left="711"/>
        <w:jc w:val="both"/>
      </w:pPr>
      <w:r>
        <w:rPr/>
        <w:t>Again,</w:t>
      </w:r>
      <w:r>
        <w:rPr>
          <w:spacing w:val="18"/>
        </w:rPr>
        <w:t> </w:t>
      </w:r>
      <w:r>
        <w:rPr/>
        <w:t>series</w:t>
      </w:r>
      <w:r>
        <w:rPr>
          <w:spacing w:val="21"/>
        </w:rPr>
        <w:t> </w:t>
      </w:r>
      <w:r>
        <w:rPr/>
        <w:t>of</w:t>
      </w:r>
      <w:r>
        <w:rPr>
          <w:spacing w:val="20"/>
        </w:rPr>
        <w:t> </w:t>
      </w:r>
      <w:r>
        <w:rPr>
          <w:b/>
        </w:rPr>
        <w:t>c</w:t>
      </w:r>
      <w:r>
        <w:rPr/>
        <w:t>onflict</w:t>
      </w:r>
      <w:r>
        <w:rPr>
          <w:spacing w:val="24"/>
        </w:rPr>
        <w:t> </w:t>
      </w:r>
      <w:r>
        <w:rPr/>
        <w:t>which</w:t>
      </w:r>
      <w:r>
        <w:rPr>
          <w:spacing w:val="20"/>
        </w:rPr>
        <w:t> </w:t>
      </w:r>
      <w:r>
        <w:rPr/>
        <w:t>arose</w:t>
      </w:r>
      <w:r>
        <w:rPr>
          <w:spacing w:val="22"/>
        </w:rPr>
        <w:t> </w:t>
      </w:r>
      <w:r>
        <w:rPr/>
        <w:t>in</w:t>
      </w:r>
      <w:r>
        <w:rPr>
          <w:spacing w:val="23"/>
        </w:rPr>
        <w:t> </w:t>
      </w:r>
      <w:r>
        <w:rPr/>
        <w:t>1990s</w:t>
      </w:r>
      <w:r>
        <w:rPr>
          <w:spacing w:val="20"/>
        </w:rPr>
        <w:t> </w:t>
      </w:r>
      <w:r>
        <w:rPr/>
        <w:t>and</w:t>
      </w:r>
      <w:r>
        <w:rPr>
          <w:spacing w:val="21"/>
        </w:rPr>
        <w:t> </w:t>
      </w:r>
      <w:r>
        <w:rPr/>
        <w:t>late</w:t>
      </w:r>
      <w:r>
        <w:rPr>
          <w:spacing w:val="19"/>
        </w:rPr>
        <w:t> </w:t>
      </w:r>
      <w:r>
        <w:rPr/>
        <w:t>2000s</w:t>
      </w:r>
      <w:r>
        <w:rPr>
          <w:spacing w:val="23"/>
        </w:rPr>
        <w:t> </w:t>
      </w:r>
      <w:r>
        <w:rPr/>
        <w:t>led</w:t>
      </w:r>
      <w:r>
        <w:rPr>
          <w:spacing w:val="20"/>
        </w:rPr>
        <w:t> </w:t>
      </w:r>
      <w:r>
        <w:rPr/>
        <w:t>to</w:t>
      </w:r>
      <w:r>
        <w:rPr>
          <w:spacing w:val="20"/>
        </w:rPr>
        <w:t> </w:t>
      </w:r>
      <w:r>
        <w:rPr/>
        <w:t>massive</w:t>
      </w:r>
      <w:r>
        <w:rPr>
          <w:spacing w:val="20"/>
        </w:rPr>
        <w:t> </w:t>
      </w:r>
      <w:r>
        <w:rPr/>
        <w:t>capital</w:t>
      </w:r>
      <w:r>
        <w:rPr>
          <w:spacing w:val="20"/>
        </w:rPr>
        <w:t> </w:t>
      </w:r>
      <w:r>
        <w:rPr/>
        <w:t>outflow</w:t>
      </w:r>
      <w:r>
        <w:rPr>
          <w:spacing w:val="23"/>
        </w:rPr>
        <w:t> </w:t>
      </w:r>
      <w:r>
        <w:rPr/>
        <w:t>rom</w:t>
      </w:r>
      <w:r>
        <w:rPr>
          <w:spacing w:val="23"/>
        </w:rPr>
        <w:t> </w:t>
      </w:r>
      <w:r>
        <w:rPr>
          <w:spacing w:val="-2"/>
        </w:rPr>
        <w:t>Nigeria,</w:t>
      </w:r>
    </w:p>
    <w:p>
      <w:pPr>
        <w:pStyle w:val="BodyText"/>
      </w:pPr>
    </w:p>
    <w:p>
      <w:pPr>
        <w:pStyle w:val="BodyText"/>
        <w:spacing w:before="1"/>
        <w:ind w:left="711"/>
        <w:jc w:val="both"/>
      </w:pPr>
      <w:r>
        <w:rPr/>
        <w:t>most</w:t>
      </w:r>
      <w:r>
        <w:rPr>
          <w:spacing w:val="18"/>
        </w:rPr>
        <w:t> </w:t>
      </w:r>
      <w:r>
        <w:rPr/>
        <w:t>especially</w:t>
      </w:r>
      <w:r>
        <w:rPr>
          <w:spacing w:val="13"/>
        </w:rPr>
        <w:t> </w:t>
      </w:r>
      <w:r>
        <w:rPr/>
        <w:t>that</w:t>
      </w:r>
      <w:r>
        <w:rPr>
          <w:spacing w:val="18"/>
        </w:rPr>
        <w:t> </w:t>
      </w:r>
      <w:r>
        <w:rPr/>
        <w:t>of</w:t>
      </w:r>
      <w:r>
        <w:rPr>
          <w:spacing w:val="58"/>
        </w:rPr>
        <w:t>  </w:t>
      </w:r>
      <w:r>
        <w:rPr/>
        <w:t>the</w:t>
      </w:r>
      <w:r>
        <w:rPr>
          <w:spacing w:val="22"/>
        </w:rPr>
        <w:t> </w:t>
      </w:r>
      <w:hyperlink r:id="rId7">
        <w:r>
          <w:rPr/>
          <w:t>Niger</w:t>
        </w:r>
        <w:r>
          <w:rPr>
            <w:spacing w:val="17"/>
          </w:rPr>
          <w:t> </w:t>
        </w:r>
        <w:r>
          <w:rPr/>
          <w:t>Delta</w:t>
        </w:r>
      </w:hyperlink>
      <w:r>
        <w:rPr>
          <w:spacing w:val="21"/>
        </w:rPr>
        <w:t> </w:t>
      </w:r>
      <w:r>
        <w:rPr/>
        <w:t>and</w:t>
      </w:r>
      <w:r>
        <w:rPr>
          <w:spacing w:val="17"/>
        </w:rPr>
        <w:t> </w:t>
      </w:r>
      <w:r>
        <w:rPr/>
        <w:t>Boko</w:t>
      </w:r>
      <w:r>
        <w:rPr>
          <w:spacing w:val="17"/>
        </w:rPr>
        <w:t> </w:t>
      </w:r>
      <w:r>
        <w:rPr/>
        <w:t>Haram</w:t>
      </w:r>
      <w:r>
        <w:rPr>
          <w:spacing w:val="19"/>
        </w:rPr>
        <w:t> </w:t>
      </w:r>
      <w:r>
        <w:rPr/>
        <w:t>insurgent.</w:t>
      </w:r>
      <w:r>
        <w:rPr>
          <w:spacing w:val="18"/>
        </w:rPr>
        <w:t> </w:t>
      </w:r>
      <w:r>
        <w:rPr/>
        <w:t>That</w:t>
      </w:r>
      <w:r>
        <w:rPr>
          <w:spacing w:val="19"/>
        </w:rPr>
        <w:t> </w:t>
      </w:r>
      <w:r>
        <w:rPr/>
        <w:t>of</w:t>
      </w:r>
      <w:r>
        <w:rPr>
          <w:spacing w:val="17"/>
        </w:rPr>
        <w:t> </w:t>
      </w:r>
      <w:r>
        <w:rPr/>
        <w:t>the</w:t>
      </w:r>
      <w:r>
        <w:rPr>
          <w:spacing w:val="18"/>
        </w:rPr>
        <w:t> </w:t>
      </w:r>
      <w:r>
        <w:rPr/>
        <w:t>Niger</w:t>
      </w:r>
      <w:r>
        <w:rPr>
          <w:spacing w:val="19"/>
        </w:rPr>
        <w:t> </w:t>
      </w:r>
      <w:r>
        <w:rPr/>
        <w:t>Delta</w:t>
      </w:r>
      <w:r>
        <w:rPr>
          <w:spacing w:val="18"/>
        </w:rPr>
        <w:t> </w:t>
      </w:r>
      <w:r>
        <w:rPr/>
        <w:t>arose</w:t>
      </w:r>
      <w:r>
        <w:rPr>
          <w:spacing w:val="17"/>
        </w:rPr>
        <w:t> </w:t>
      </w:r>
      <w:r>
        <w:rPr/>
        <w:t>due</w:t>
      </w:r>
      <w:r>
        <w:rPr>
          <w:spacing w:val="18"/>
        </w:rPr>
        <w:t> </w:t>
      </w:r>
      <w:r>
        <w:rPr>
          <w:spacing w:val="-5"/>
        </w:rPr>
        <w:t>to</w:t>
      </w:r>
    </w:p>
    <w:p>
      <w:pPr>
        <w:spacing w:after="0"/>
        <w:jc w:val="both"/>
        <w:sectPr>
          <w:pgSz w:w="11910" w:h="16840"/>
          <w:pgMar w:header="0" w:footer="979" w:top="1360" w:bottom="1240" w:left="280" w:right="0"/>
        </w:sectPr>
      </w:pPr>
    </w:p>
    <w:p>
      <w:pPr>
        <w:pStyle w:val="BodyText"/>
        <w:spacing w:line="480" w:lineRule="auto" w:before="60"/>
        <w:ind w:left="711" w:right="467"/>
        <w:jc w:val="both"/>
      </w:pPr>
      <w:r>
        <w:rPr/>
        <w:t>tensions between the </w:t>
      </w:r>
      <w:hyperlink r:id="rId8">
        <w:r>
          <w:rPr/>
          <w:t>foreign</w:t>
        </w:r>
      </w:hyperlink>
      <w:r>
        <w:rPr/>
        <w:t> </w:t>
      </w:r>
      <w:hyperlink r:id="rId9">
        <w:r>
          <w:rPr/>
          <w:t>oil corporations</w:t>
        </w:r>
      </w:hyperlink>
      <w:r>
        <w:rPr/>
        <w:t>, the Nigerian Federal Government, and a number of the Niger Delta's ethnic</w:t>
      </w:r>
      <w:r>
        <w:rPr>
          <w:spacing w:val="-1"/>
        </w:rPr>
        <w:t> </w:t>
      </w:r>
      <w:r>
        <w:rPr/>
        <w:t>groups who felt they</w:t>
      </w:r>
      <w:r>
        <w:rPr>
          <w:spacing w:val="-5"/>
        </w:rPr>
        <w:t> </w:t>
      </w:r>
      <w:r>
        <w:rPr/>
        <w:t>were</w:t>
      </w:r>
      <w:r>
        <w:rPr>
          <w:spacing w:val="-2"/>
        </w:rPr>
        <w:t> </w:t>
      </w:r>
      <w:r>
        <w:rPr/>
        <w:t>being</w:t>
      </w:r>
      <w:r>
        <w:rPr>
          <w:spacing w:val="-3"/>
        </w:rPr>
        <w:t> </w:t>
      </w:r>
      <w:r>
        <w:rPr/>
        <w:t>exploited,</w:t>
      </w:r>
      <w:r>
        <w:rPr>
          <w:spacing w:val="-1"/>
        </w:rPr>
        <w:t> </w:t>
      </w:r>
      <w:r>
        <w:rPr/>
        <w:t>particularly</w:t>
      </w:r>
      <w:r>
        <w:rPr>
          <w:spacing w:val="40"/>
        </w:rPr>
        <w:t> </w:t>
      </w:r>
      <w:r>
        <w:rPr/>
        <w:t>the minority</w:t>
      </w:r>
      <w:r>
        <w:rPr>
          <w:spacing w:val="-5"/>
        </w:rPr>
        <w:t> </w:t>
      </w:r>
      <w:r>
        <w:rPr/>
        <w:t>groups like</w:t>
      </w:r>
      <w:r>
        <w:rPr>
          <w:spacing w:val="-1"/>
        </w:rPr>
        <w:t> </w:t>
      </w:r>
      <w:r>
        <w:rPr/>
        <w:t>the </w:t>
      </w:r>
      <w:hyperlink r:id="rId10">
        <w:r>
          <w:rPr/>
          <w:t>Ogoni</w:t>
        </w:r>
      </w:hyperlink>
      <w:r>
        <w:rPr/>
        <w:t>, as well as, the </w:t>
      </w:r>
      <w:hyperlink r:id="rId11">
        <w:r>
          <w:rPr/>
          <w:t>Ijaw</w:t>
        </w:r>
      </w:hyperlink>
      <w:r>
        <w:rPr/>
        <w:t> in the late 1990s. Ethnic and political unrest have continued throughout the 1990s and persists as of today despite the conversion to a more </w:t>
      </w:r>
      <w:hyperlink r:id="rId12">
        <w:r>
          <w:rPr/>
          <w:t>democratic</w:t>
        </w:r>
      </w:hyperlink>
      <w:r>
        <w:rPr/>
        <w:t> regime. The main causes of Niger Delta crisis include greed and selfishness, deprivation and poverty, and social injustice, Okonta and Douglas (2001). Apart from this, the series of hostage taking</w:t>
      </w:r>
      <w:r>
        <w:rPr>
          <w:spacing w:val="-2"/>
        </w:rPr>
        <w:t> </w:t>
      </w:r>
      <w:r>
        <w:rPr/>
        <w:t>sent a shock wave in the global oil market and the price of oil skyrocketed. Political instability is injurious to an economy, as it induces capital flight. Businesses</w:t>
      </w:r>
      <w:r>
        <w:rPr>
          <w:spacing w:val="80"/>
        </w:rPr>
        <w:t> </w:t>
      </w:r>
      <w:r>
        <w:rPr/>
        <w:t>and individuals began to perceive the nation as non-stable economy</w:t>
      </w:r>
      <w:r>
        <w:rPr>
          <w:spacing w:val="-2"/>
        </w:rPr>
        <w:t> </w:t>
      </w:r>
      <w:r>
        <w:rPr/>
        <w:t>and started to move their investments to more secured economies. Capital flight has a multiplier effect on an economy. It impedes business investment, economic growth and productivity, spurs</w:t>
      </w:r>
      <w:r>
        <w:rPr>
          <w:spacing w:val="-1"/>
        </w:rPr>
        <w:t> </w:t>
      </w:r>
      <w:r>
        <w:rPr/>
        <w:t>inflation and unemployment and negatively</w:t>
      </w:r>
      <w:r>
        <w:rPr>
          <w:spacing w:val="-5"/>
        </w:rPr>
        <w:t> </w:t>
      </w:r>
      <w:r>
        <w:rPr/>
        <w:t>affects the living standards of the people. Political instability also affects a nation’s national income, when investors and individuals in the society begin to perceive the crisis as a serious threat to their investment and savings, they will sell off their assets and buy assets in other politically secured and stable societies. If the crisis is allowed to continue for a long time, it will affect Nigeria’s income, and by extension, it national budget, because oil contributes about 70% of her income. The world has long seen Nigeria as a non-stable economy and a sinkhole that could swallow their investment (Jeffrey, 1996).</w:t>
      </w:r>
    </w:p>
    <w:p>
      <w:pPr>
        <w:pStyle w:val="Heading6"/>
        <w:numPr>
          <w:ilvl w:val="1"/>
          <w:numId w:val="7"/>
        </w:numPr>
        <w:tabs>
          <w:tab w:pos="1431" w:val="left" w:leader="none"/>
        </w:tabs>
        <w:spacing w:line="240" w:lineRule="auto" w:before="3" w:after="0"/>
        <w:ind w:left="1431" w:right="0" w:hanging="720"/>
        <w:jc w:val="both"/>
      </w:pPr>
      <w:r>
        <w:rPr/>
        <w:t>Statement</w:t>
      </w:r>
      <w:r>
        <w:rPr>
          <w:spacing w:val="-2"/>
        </w:rPr>
        <w:t> </w:t>
      </w:r>
      <w:r>
        <w:rPr/>
        <w:t>of</w:t>
      </w:r>
      <w:r>
        <w:rPr>
          <w:spacing w:val="-2"/>
        </w:rPr>
        <w:t> </w:t>
      </w:r>
      <w:r>
        <w:rPr/>
        <w:t>the</w:t>
      </w:r>
      <w:r>
        <w:rPr>
          <w:spacing w:val="-1"/>
        </w:rPr>
        <w:t> </w:t>
      </w:r>
      <w:r>
        <w:rPr>
          <w:spacing w:val="-2"/>
        </w:rPr>
        <w:t>Problem</w:t>
      </w:r>
    </w:p>
    <w:p>
      <w:pPr>
        <w:pStyle w:val="BodyText"/>
        <w:spacing w:line="480" w:lineRule="auto" w:before="276"/>
        <w:ind w:left="711" w:right="470"/>
        <w:jc w:val="both"/>
      </w:pPr>
      <w:r>
        <w:rPr/>
        <w:t>Capital flight has been identified as a major cause of foreign exchange shortage, chronic poverty and heavy debt burden in developing economies including Nigeria. This is because capital constitutes a drain on the national resources which ought to be useful for financing economic growth (Ajayi, 2012). The means or method of capital flight has been seen as taking various forms, including corruption, currency smuggling, trade record manipulation (over invoicing of imports and under invoicing of exports), electronic fund transfers from private banking</w:t>
      </w:r>
      <w:r>
        <w:rPr>
          <w:spacing w:val="-1"/>
        </w:rPr>
        <w:t> </w:t>
      </w:r>
      <w:r>
        <w:rPr/>
        <w:t>services, declaring of non-existing</w:t>
      </w:r>
      <w:r>
        <w:rPr>
          <w:spacing w:val="-1"/>
        </w:rPr>
        <w:t> </w:t>
      </w:r>
      <w:r>
        <w:rPr/>
        <w:t>foreign debts and commission and agents’ fees or kickbacks in foreign contracts fees etc. Other means of capital flight include overseas investments emanating</w:t>
      </w:r>
      <w:r>
        <w:rPr>
          <w:spacing w:val="44"/>
        </w:rPr>
        <w:t> </w:t>
      </w:r>
      <w:r>
        <w:rPr/>
        <w:t>from</w:t>
      </w:r>
      <w:r>
        <w:rPr>
          <w:spacing w:val="47"/>
        </w:rPr>
        <w:t> </w:t>
      </w:r>
      <w:r>
        <w:rPr/>
        <w:t>illegal</w:t>
      </w:r>
      <w:r>
        <w:rPr>
          <w:spacing w:val="48"/>
        </w:rPr>
        <w:t> </w:t>
      </w:r>
      <w:r>
        <w:rPr/>
        <w:t>activities</w:t>
      </w:r>
      <w:r>
        <w:rPr>
          <w:spacing w:val="46"/>
        </w:rPr>
        <w:t> </w:t>
      </w:r>
      <w:r>
        <w:rPr/>
        <w:t>like</w:t>
      </w:r>
      <w:r>
        <w:rPr>
          <w:spacing w:val="45"/>
        </w:rPr>
        <w:t> </w:t>
      </w:r>
      <w:r>
        <w:rPr/>
        <w:t>drug</w:t>
      </w:r>
      <w:r>
        <w:rPr>
          <w:spacing w:val="44"/>
        </w:rPr>
        <w:t> </w:t>
      </w:r>
      <w:r>
        <w:rPr/>
        <w:t>trafficking,</w:t>
      </w:r>
      <w:r>
        <w:rPr>
          <w:spacing w:val="46"/>
        </w:rPr>
        <w:t> </w:t>
      </w:r>
      <w:r>
        <w:rPr/>
        <w:t>illicit</w:t>
      </w:r>
      <w:r>
        <w:rPr>
          <w:spacing w:val="48"/>
        </w:rPr>
        <w:t> </w:t>
      </w:r>
      <w:r>
        <w:rPr/>
        <w:t>activities,</w:t>
      </w:r>
      <w:r>
        <w:rPr>
          <w:spacing w:val="44"/>
        </w:rPr>
        <w:t> </w:t>
      </w:r>
      <w:r>
        <w:rPr/>
        <w:t>particularly,</w:t>
      </w:r>
      <w:r>
        <w:rPr>
          <w:spacing w:val="47"/>
        </w:rPr>
        <w:t> </w:t>
      </w:r>
      <w:r>
        <w:rPr/>
        <w:t>those</w:t>
      </w:r>
      <w:r>
        <w:rPr>
          <w:spacing w:val="47"/>
        </w:rPr>
        <w:t> </w:t>
      </w:r>
      <w:r>
        <w:rPr/>
        <w:t>related</w:t>
      </w:r>
      <w:r>
        <w:rPr>
          <w:spacing w:val="46"/>
        </w:rPr>
        <w:t> </w:t>
      </w:r>
      <w:r>
        <w:rPr/>
        <w:t>to</w:t>
      </w:r>
      <w:r>
        <w:rPr>
          <w:spacing w:val="48"/>
        </w:rPr>
        <w:t> </w:t>
      </w:r>
      <w:r>
        <w:rPr>
          <w:spacing w:val="-5"/>
        </w:rPr>
        <w:t>tax</w:t>
      </w:r>
    </w:p>
    <w:p>
      <w:pPr>
        <w:pStyle w:val="BodyText"/>
        <w:spacing w:before="1"/>
        <w:ind w:left="711"/>
        <w:jc w:val="both"/>
      </w:pPr>
      <w:r>
        <w:rPr/>
        <w:t>evasion</w:t>
      </w:r>
      <w:r>
        <w:rPr>
          <w:spacing w:val="6"/>
        </w:rPr>
        <w:t> </w:t>
      </w:r>
      <w:r>
        <w:rPr/>
        <w:t>and</w:t>
      </w:r>
      <w:r>
        <w:rPr>
          <w:spacing w:val="9"/>
        </w:rPr>
        <w:t> </w:t>
      </w:r>
      <w:r>
        <w:rPr/>
        <w:t>exchange</w:t>
      </w:r>
      <w:r>
        <w:rPr>
          <w:spacing w:val="7"/>
        </w:rPr>
        <w:t> </w:t>
      </w:r>
      <w:r>
        <w:rPr/>
        <w:t>rate</w:t>
      </w:r>
      <w:r>
        <w:rPr>
          <w:spacing w:val="6"/>
        </w:rPr>
        <w:t> </w:t>
      </w:r>
      <w:r>
        <w:rPr/>
        <w:t>controls.</w:t>
      </w:r>
      <w:r>
        <w:rPr>
          <w:spacing w:val="7"/>
        </w:rPr>
        <w:t> </w:t>
      </w:r>
      <w:r>
        <w:rPr/>
        <w:t>This</w:t>
      </w:r>
      <w:r>
        <w:rPr>
          <w:spacing w:val="6"/>
        </w:rPr>
        <w:t> </w:t>
      </w:r>
      <w:r>
        <w:rPr/>
        <w:t>is</w:t>
      </w:r>
      <w:r>
        <w:rPr>
          <w:spacing w:val="10"/>
        </w:rPr>
        <w:t> </w:t>
      </w:r>
      <w:r>
        <w:rPr/>
        <w:t>consistent</w:t>
      </w:r>
      <w:r>
        <w:rPr>
          <w:spacing w:val="7"/>
        </w:rPr>
        <w:t> </w:t>
      </w:r>
      <w:r>
        <w:rPr/>
        <w:t>with</w:t>
      </w:r>
      <w:r>
        <w:rPr>
          <w:spacing w:val="6"/>
        </w:rPr>
        <w:t> </w:t>
      </w:r>
      <w:r>
        <w:rPr/>
        <w:t>the</w:t>
      </w:r>
      <w:r>
        <w:rPr>
          <w:spacing w:val="6"/>
        </w:rPr>
        <w:t> </w:t>
      </w:r>
      <w:r>
        <w:rPr/>
        <w:t>view</w:t>
      </w:r>
      <w:r>
        <w:rPr>
          <w:spacing w:val="8"/>
        </w:rPr>
        <w:t> </w:t>
      </w:r>
      <w:r>
        <w:rPr/>
        <w:t>held</w:t>
      </w:r>
      <w:r>
        <w:rPr>
          <w:spacing w:val="6"/>
        </w:rPr>
        <w:t> </w:t>
      </w:r>
      <w:r>
        <w:rPr/>
        <w:t>by</w:t>
      </w:r>
      <w:r>
        <w:rPr>
          <w:spacing w:val="4"/>
        </w:rPr>
        <w:t> </w:t>
      </w:r>
      <w:r>
        <w:rPr/>
        <w:t>Husted</w:t>
      </w:r>
      <w:r>
        <w:rPr>
          <w:spacing w:val="6"/>
        </w:rPr>
        <w:t> </w:t>
      </w:r>
      <w:r>
        <w:rPr/>
        <w:t>and</w:t>
      </w:r>
      <w:r>
        <w:rPr>
          <w:spacing w:val="8"/>
        </w:rPr>
        <w:t> </w:t>
      </w:r>
      <w:r>
        <w:rPr/>
        <w:t>Melvin</w:t>
      </w:r>
      <w:r>
        <w:rPr>
          <w:spacing w:val="6"/>
        </w:rPr>
        <w:t> </w:t>
      </w:r>
      <w:r>
        <w:rPr/>
        <w:t>(1990)</w:t>
      </w:r>
      <w:r>
        <w:rPr>
          <w:spacing w:val="6"/>
        </w:rPr>
        <w:t> </w:t>
      </w:r>
      <w:r>
        <w:rPr>
          <w:spacing w:val="-4"/>
        </w:rPr>
        <w:t>that</w:t>
      </w:r>
    </w:p>
    <w:p>
      <w:pPr>
        <w:spacing w:after="0"/>
        <w:jc w:val="both"/>
        <w:sectPr>
          <w:pgSz w:w="11910" w:h="16840"/>
          <w:pgMar w:header="0" w:footer="979" w:top="1360" w:bottom="1240" w:left="280" w:right="0"/>
        </w:sectPr>
      </w:pPr>
    </w:p>
    <w:p>
      <w:pPr>
        <w:pStyle w:val="BodyText"/>
        <w:spacing w:line="480" w:lineRule="auto" w:before="60"/>
        <w:ind w:left="711" w:right="472"/>
        <w:jc w:val="both"/>
      </w:pPr>
      <w:r>
        <w:rPr/>
        <w:t>the acquisitions of such foreign assets occur in response to political or economic crisis in the developing countries. Findings have shown that most of the capital flights from the underdeveloped countries are held</w:t>
      </w:r>
      <w:r>
        <w:rPr>
          <w:spacing w:val="40"/>
        </w:rPr>
        <w:t> </w:t>
      </w:r>
      <w:r>
        <w:rPr/>
        <w:t>in</w:t>
      </w:r>
      <w:r>
        <w:rPr>
          <w:spacing w:val="-2"/>
        </w:rPr>
        <w:t> </w:t>
      </w:r>
      <w:r>
        <w:rPr/>
        <w:t>foreign</w:t>
      </w:r>
      <w:r>
        <w:rPr>
          <w:spacing w:val="-2"/>
        </w:rPr>
        <w:t> </w:t>
      </w:r>
      <w:r>
        <w:rPr/>
        <w:t>bank</w:t>
      </w:r>
      <w:r>
        <w:rPr>
          <w:spacing w:val="-1"/>
        </w:rPr>
        <w:t> </w:t>
      </w:r>
      <w:r>
        <w:rPr/>
        <w:t>accounts</w:t>
      </w:r>
      <w:r>
        <w:rPr>
          <w:spacing w:val="-1"/>
        </w:rPr>
        <w:t> </w:t>
      </w:r>
      <w:r>
        <w:rPr/>
        <w:t>like</w:t>
      </w:r>
      <w:r>
        <w:rPr>
          <w:spacing w:val="-3"/>
        </w:rPr>
        <w:t> </w:t>
      </w:r>
      <w:r>
        <w:rPr/>
        <w:t>the</w:t>
      </w:r>
      <w:r>
        <w:rPr>
          <w:spacing w:val="-2"/>
        </w:rPr>
        <w:t> </w:t>
      </w:r>
      <w:r>
        <w:rPr/>
        <w:t>Swiss</w:t>
      </w:r>
      <w:r>
        <w:rPr>
          <w:spacing w:val="-2"/>
        </w:rPr>
        <w:t> </w:t>
      </w:r>
      <w:r>
        <w:rPr/>
        <w:t>Bank</w:t>
      </w:r>
      <w:r>
        <w:rPr>
          <w:spacing w:val="-2"/>
        </w:rPr>
        <w:t> </w:t>
      </w:r>
      <w:r>
        <w:rPr/>
        <w:t>Accounts</w:t>
      </w:r>
      <w:r>
        <w:rPr>
          <w:spacing w:val="-2"/>
        </w:rPr>
        <w:t> </w:t>
      </w:r>
      <w:r>
        <w:rPr/>
        <w:t>because</w:t>
      </w:r>
      <w:r>
        <w:rPr>
          <w:spacing w:val="-3"/>
        </w:rPr>
        <w:t> </w:t>
      </w:r>
      <w:r>
        <w:rPr/>
        <w:t>the</w:t>
      </w:r>
      <w:r>
        <w:rPr>
          <w:spacing w:val="-3"/>
        </w:rPr>
        <w:t> </w:t>
      </w:r>
      <w:r>
        <w:rPr/>
        <w:t>principle</w:t>
      </w:r>
      <w:r>
        <w:rPr>
          <w:spacing w:val="-2"/>
        </w:rPr>
        <w:t> </w:t>
      </w:r>
      <w:r>
        <w:rPr/>
        <w:t>of</w:t>
      </w:r>
      <w:r>
        <w:rPr>
          <w:spacing w:val="-4"/>
        </w:rPr>
        <w:t> </w:t>
      </w:r>
      <w:r>
        <w:rPr/>
        <w:t>national</w:t>
      </w:r>
      <w:r>
        <w:rPr>
          <w:spacing w:val="-2"/>
        </w:rPr>
        <w:t> </w:t>
      </w:r>
      <w:r>
        <w:rPr/>
        <w:t>sovereignty,</w:t>
      </w:r>
      <w:r>
        <w:rPr>
          <w:spacing w:val="-2"/>
        </w:rPr>
        <w:t> </w:t>
      </w:r>
      <w:r>
        <w:rPr/>
        <w:t>(which includes domestic bank secrecy laws and blocking statute), prevents disclosure, inspection, removal or copying of documents without official approval (Nyong, 2003). The capital flights are held not only in bank deposits in developed countries’ banks, but also in treasury bonds, treasury certificates and bills, equities</w:t>
      </w:r>
      <w:r>
        <w:rPr>
          <w:spacing w:val="40"/>
        </w:rPr>
        <w:t> </w:t>
      </w:r>
      <w:r>
        <w:rPr/>
        <w:t>and physical assets abroad.</w:t>
      </w:r>
    </w:p>
    <w:p>
      <w:pPr>
        <w:pStyle w:val="BodyText"/>
        <w:spacing w:line="480" w:lineRule="auto" w:before="2"/>
        <w:ind w:left="711" w:right="470"/>
        <w:jc w:val="both"/>
      </w:pPr>
      <w:r>
        <w:rPr/>
        <w:t>Capital flights for recent years in Nigeria have been seen as important impediments towards achieving desired economic growth, external assistance or lending to developing countries. The International</w:t>
      </w:r>
      <w:r>
        <w:rPr>
          <w:spacing w:val="40"/>
        </w:rPr>
        <w:t> </w:t>
      </w:r>
      <w:r>
        <w:rPr/>
        <w:t>Monetary Fund (IMF) for example has made the adoption of policies for reversal (i.e. return) of capital</w:t>
      </w:r>
      <w:r>
        <w:rPr>
          <w:spacing w:val="40"/>
        </w:rPr>
        <w:t> </w:t>
      </w:r>
      <w:r>
        <w:rPr/>
        <w:t>flight a</w:t>
      </w:r>
      <w:r>
        <w:rPr>
          <w:spacing w:val="-1"/>
        </w:rPr>
        <w:t> </w:t>
      </w:r>
      <w:r>
        <w:rPr/>
        <w:t>condition for</w:t>
      </w:r>
      <w:r>
        <w:rPr>
          <w:spacing w:val="-2"/>
        </w:rPr>
        <w:t> </w:t>
      </w:r>
      <w:r>
        <w:rPr/>
        <w:t>its support of</w:t>
      </w:r>
      <w:r>
        <w:rPr>
          <w:spacing w:val="-1"/>
        </w:rPr>
        <w:t> </w:t>
      </w:r>
      <w:r>
        <w:rPr/>
        <w:t>debt relief</w:t>
      </w:r>
      <w:r>
        <w:rPr>
          <w:spacing w:val="-1"/>
        </w:rPr>
        <w:t> </w:t>
      </w:r>
      <w:r>
        <w:rPr/>
        <w:t>(Pastor</w:t>
      </w:r>
      <w:r>
        <w:rPr>
          <w:spacing w:val="-1"/>
        </w:rPr>
        <w:t> </w:t>
      </w:r>
      <w:r>
        <w:rPr/>
        <w:t>1989). Consequently, substantial debt relief</w:t>
      </w:r>
      <w:r>
        <w:rPr>
          <w:spacing w:val="-1"/>
        </w:rPr>
        <w:t> </w:t>
      </w:r>
      <w:r>
        <w:rPr/>
        <w:t>from Paris club members had been difficult because of the size of capital flight from the debtors’ countries. The</w:t>
      </w:r>
      <w:r>
        <w:rPr>
          <w:spacing w:val="40"/>
        </w:rPr>
        <w:t> </w:t>
      </w:r>
      <w:r>
        <w:rPr/>
        <w:t>adverse effects of capital flight in the development of developing countries are enormous and severe. It</w:t>
      </w:r>
      <w:r>
        <w:rPr>
          <w:spacing w:val="40"/>
        </w:rPr>
        <w:t> </w:t>
      </w:r>
      <w:r>
        <w:rPr/>
        <w:t>leads to reduction and fall in growth potential through fall in investment. The fall in growth in turn leads to fall in employment creation and the inability to service debt obligations. Since the fundamental concern about capital flight is its tendency to reduce welfare, bring about fall in total real resources available to an economy for investment and growth and divert the domestic savings away in favour of foreign financial investment, there is the need to drastically reduce the rate and magnitude of capital flight in Nigeria.</w:t>
      </w:r>
    </w:p>
    <w:p>
      <w:pPr>
        <w:pStyle w:val="BodyText"/>
        <w:spacing w:line="480" w:lineRule="auto" w:before="1"/>
        <w:ind w:left="711" w:right="475"/>
      </w:pPr>
      <w:r>
        <w:rPr/>
        <w:t>The problem of high debt profile and increasing capital flight in Nigeria has led to low gross capital formation,</w:t>
      </w:r>
      <w:r>
        <w:rPr>
          <w:spacing w:val="-1"/>
        </w:rPr>
        <w:t> </w:t>
      </w:r>
      <w:r>
        <w:rPr/>
        <w:t>lack</w:t>
      </w:r>
      <w:r>
        <w:rPr>
          <w:spacing w:val="-1"/>
        </w:rPr>
        <w:t> </w:t>
      </w:r>
      <w:r>
        <w:rPr/>
        <w:t>of adequate</w:t>
      </w:r>
      <w:r>
        <w:rPr>
          <w:spacing w:val="-1"/>
        </w:rPr>
        <w:t> </w:t>
      </w:r>
      <w:r>
        <w:rPr/>
        <w:t>infrastructures and</w:t>
      </w:r>
      <w:r>
        <w:rPr>
          <w:spacing w:val="-1"/>
        </w:rPr>
        <w:t> </w:t>
      </w:r>
      <w:r>
        <w:rPr/>
        <w:t>deteriorating</w:t>
      </w:r>
      <w:r>
        <w:rPr>
          <w:spacing w:val="-4"/>
        </w:rPr>
        <w:t> </w:t>
      </w:r>
      <w:r>
        <w:rPr/>
        <w:t>economic condition</w:t>
      </w:r>
      <w:r>
        <w:rPr>
          <w:spacing w:val="-1"/>
        </w:rPr>
        <w:t> </w:t>
      </w:r>
      <w:r>
        <w:rPr/>
        <w:t>(Ajayi,</w:t>
      </w:r>
      <w:r>
        <w:rPr>
          <w:spacing w:val="-1"/>
        </w:rPr>
        <w:t> </w:t>
      </w:r>
      <w:r>
        <w:rPr/>
        <w:t>2005).</w:t>
      </w:r>
      <w:r>
        <w:rPr>
          <w:spacing w:val="-1"/>
        </w:rPr>
        <w:t> </w:t>
      </w:r>
      <w:r>
        <w:rPr/>
        <w:t>Despite</w:t>
      </w:r>
      <w:r>
        <w:rPr>
          <w:spacing w:val="-2"/>
        </w:rPr>
        <w:t> </w:t>
      </w:r>
      <w:r>
        <w:rPr/>
        <w:t>this situation, every tier of government is engaging in external borrowing, according to the Nigerian Debt Management</w:t>
      </w:r>
      <w:r>
        <w:rPr>
          <w:spacing w:val="-2"/>
        </w:rPr>
        <w:t> </w:t>
      </w:r>
      <w:r>
        <w:rPr/>
        <w:t>Office</w:t>
      </w:r>
      <w:r>
        <w:rPr>
          <w:spacing w:val="-2"/>
        </w:rPr>
        <w:t> </w:t>
      </w:r>
      <w:r>
        <w:rPr/>
        <w:t>(DMO,</w:t>
      </w:r>
      <w:r>
        <w:rPr>
          <w:spacing w:val="-2"/>
        </w:rPr>
        <w:t> </w:t>
      </w:r>
      <w:r>
        <w:rPr/>
        <w:t>2013),</w:t>
      </w:r>
      <w:r>
        <w:rPr>
          <w:spacing w:val="-2"/>
        </w:rPr>
        <w:t> </w:t>
      </w:r>
      <w:r>
        <w:rPr/>
        <w:t>Nigeria’s</w:t>
      </w:r>
      <w:r>
        <w:rPr>
          <w:spacing w:val="-3"/>
        </w:rPr>
        <w:t> </w:t>
      </w:r>
      <w:r>
        <w:rPr/>
        <w:t>external</w:t>
      </w:r>
      <w:r>
        <w:rPr>
          <w:spacing w:val="-2"/>
        </w:rPr>
        <w:t> </w:t>
      </w:r>
      <w:r>
        <w:rPr/>
        <w:t>debt</w:t>
      </w:r>
      <w:r>
        <w:rPr>
          <w:spacing w:val="-2"/>
        </w:rPr>
        <w:t> </w:t>
      </w:r>
      <w:r>
        <w:rPr/>
        <w:t>for year</w:t>
      </w:r>
      <w:r>
        <w:rPr>
          <w:spacing w:val="-2"/>
        </w:rPr>
        <w:t> </w:t>
      </w:r>
      <w:r>
        <w:rPr/>
        <w:t>2012</w:t>
      </w:r>
      <w:r>
        <w:rPr>
          <w:spacing w:val="-2"/>
        </w:rPr>
        <w:t> </w:t>
      </w:r>
      <w:r>
        <w:rPr/>
        <w:t>alone</w:t>
      </w:r>
      <w:r>
        <w:rPr>
          <w:spacing w:val="-3"/>
        </w:rPr>
        <w:t> </w:t>
      </w:r>
      <w:r>
        <w:rPr/>
        <w:t>stood</w:t>
      </w:r>
      <w:r>
        <w:rPr>
          <w:spacing w:val="-2"/>
        </w:rPr>
        <w:t> </w:t>
      </w:r>
      <w:r>
        <w:rPr/>
        <w:t>at</w:t>
      </w:r>
      <w:r>
        <w:rPr>
          <w:spacing w:val="-2"/>
        </w:rPr>
        <w:t> </w:t>
      </w:r>
      <w:r>
        <w:rPr/>
        <w:t>$9</w:t>
      </w:r>
      <w:r>
        <w:rPr>
          <w:spacing w:val="-2"/>
        </w:rPr>
        <w:t> </w:t>
      </w:r>
      <w:r>
        <w:rPr/>
        <w:t>billion.</w:t>
      </w:r>
      <w:r>
        <w:rPr>
          <w:spacing w:val="-2"/>
        </w:rPr>
        <w:t> </w:t>
      </w:r>
      <w:r>
        <w:rPr/>
        <w:t>Going</w:t>
      </w:r>
      <w:r>
        <w:rPr>
          <w:spacing w:val="-4"/>
        </w:rPr>
        <w:t> </w:t>
      </w:r>
      <w:r>
        <w:rPr/>
        <w:t>by this this trend, the projected external debt for 2013, 2014 and 2015 respectively are $9 billion (about </w:t>
      </w:r>
      <w:r>
        <w:rPr>
          <w:strike/>
        </w:rPr>
        <w:t>N</w:t>
      </w:r>
      <w:r>
        <w:rPr>
          <w:strike w:val="0"/>
        </w:rPr>
        <w:t>1,</w:t>
      </w:r>
    </w:p>
    <w:p>
      <w:pPr>
        <w:pStyle w:val="BodyText"/>
        <w:spacing w:before="1"/>
        <w:ind w:left="711"/>
      </w:pPr>
      <w:r>
        <w:rPr/>
        <w:t>350</w:t>
      </w:r>
      <w:r>
        <w:rPr>
          <w:spacing w:val="-1"/>
        </w:rPr>
        <w:t> </w:t>
      </w:r>
      <w:r>
        <w:rPr/>
        <w:t>billion),</w:t>
      </w:r>
      <w:r>
        <w:rPr>
          <w:spacing w:val="-1"/>
        </w:rPr>
        <w:t> </w:t>
      </w:r>
      <w:r>
        <w:rPr/>
        <w:t>$14.5</w:t>
      </w:r>
      <w:r>
        <w:rPr>
          <w:spacing w:val="-1"/>
        </w:rPr>
        <w:t> </w:t>
      </w:r>
      <w:r>
        <w:rPr/>
        <w:t>billion (about</w:t>
      </w:r>
      <w:r>
        <w:rPr>
          <w:spacing w:val="1"/>
        </w:rPr>
        <w:t> </w:t>
      </w:r>
      <w:r>
        <w:rPr>
          <w:strike/>
        </w:rPr>
        <w:t>N</w:t>
      </w:r>
      <w:r>
        <w:rPr>
          <w:strike w:val="0"/>
        </w:rPr>
        <w:t>2,</w:t>
      </w:r>
      <w:r>
        <w:rPr>
          <w:strike w:val="0"/>
          <w:spacing w:val="-1"/>
        </w:rPr>
        <w:t> </w:t>
      </w:r>
      <w:r>
        <w:rPr>
          <w:strike w:val="0"/>
        </w:rPr>
        <w:t>175 billion)</w:t>
      </w:r>
      <w:r>
        <w:rPr>
          <w:strike w:val="0"/>
          <w:spacing w:val="-2"/>
        </w:rPr>
        <w:t> </w:t>
      </w:r>
      <w:r>
        <w:rPr>
          <w:strike w:val="0"/>
        </w:rPr>
        <w:t>and</w:t>
      </w:r>
      <w:r>
        <w:rPr>
          <w:strike w:val="0"/>
          <w:spacing w:val="-1"/>
        </w:rPr>
        <w:t> </w:t>
      </w:r>
      <w:r>
        <w:rPr>
          <w:strike w:val="0"/>
        </w:rPr>
        <w:t>$16.7</w:t>
      </w:r>
      <w:r>
        <w:rPr>
          <w:strike w:val="0"/>
          <w:spacing w:val="-1"/>
        </w:rPr>
        <w:t> </w:t>
      </w:r>
      <w:r>
        <w:rPr>
          <w:strike w:val="0"/>
        </w:rPr>
        <w:t>billion (about </w:t>
      </w:r>
      <w:r>
        <w:rPr>
          <w:strike/>
        </w:rPr>
        <w:t>N</w:t>
      </w:r>
      <w:r>
        <w:rPr>
          <w:strike w:val="0"/>
        </w:rPr>
        <w:t>2,</w:t>
      </w:r>
      <w:r>
        <w:rPr>
          <w:strike w:val="0"/>
          <w:spacing w:val="-1"/>
        </w:rPr>
        <w:t> </w:t>
      </w:r>
      <w:r>
        <w:rPr>
          <w:strike w:val="0"/>
        </w:rPr>
        <w:t>505 billion).</w:t>
      </w:r>
      <w:r>
        <w:rPr>
          <w:strike w:val="0"/>
          <w:spacing w:val="-1"/>
        </w:rPr>
        <w:t> </w:t>
      </w:r>
      <w:r>
        <w:rPr>
          <w:strike w:val="0"/>
        </w:rPr>
        <w:t>This</w:t>
      </w:r>
      <w:r>
        <w:rPr>
          <w:strike w:val="0"/>
          <w:spacing w:val="-1"/>
        </w:rPr>
        <w:t> </w:t>
      </w:r>
      <w:r>
        <w:rPr>
          <w:strike w:val="0"/>
        </w:rPr>
        <w:t>is </w:t>
      </w:r>
      <w:r>
        <w:rPr>
          <w:strike w:val="0"/>
          <w:spacing w:val="-5"/>
        </w:rPr>
        <w:t>in</w:t>
      </w:r>
    </w:p>
    <w:p>
      <w:pPr>
        <w:pStyle w:val="BodyText"/>
        <w:spacing w:before="275"/>
        <w:ind w:left="711"/>
      </w:pPr>
      <w:r>
        <w:rPr/>
        <mc:AlternateContent>
          <mc:Choice Requires="wps">
            <w:drawing>
              <wp:anchor distT="0" distB="0" distL="0" distR="0" allowOverlap="1" layoutInCell="1" locked="0" behindDoc="1" simplePos="0" relativeHeight="464151552">
                <wp:simplePos x="0" y="0"/>
                <wp:positionH relativeFrom="page">
                  <wp:posOffset>5054472</wp:posOffset>
                </wp:positionH>
                <wp:positionV relativeFrom="paragraph">
                  <wp:posOffset>277762</wp:posOffset>
                </wp:positionV>
                <wp:extent cx="38100" cy="7620"/>
                <wp:effectExtent l="0" t="0" r="0" b="0"/>
                <wp:wrapNone/>
                <wp:docPr id="3" name="Graphic 3"/>
                <wp:cNvGraphicFramePr>
                  <a:graphicFrameLocks/>
                </wp:cNvGraphicFramePr>
                <a:graphic>
                  <a:graphicData uri="http://schemas.microsoft.com/office/word/2010/wordprocessingShape">
                    <wps:wsp>
                      <wps:cNvPr id="3" name="Graphic 3"/>
                      <wps:cNvSpPr/>
                      <wps:spPr>
                        <a:xfrm>
                          <a:off x="0" y="0"/>
                          <a:ext cx="38100" cy="7620"/>
                        </a:xfrm>
                        <a:custGeom>
                          <a:avLst/>
                          <a:gdLst/>
                          <a:ahLst/>
                          <a:cxnLst/>
                          <a:rect l="l" t="t" r="r" b="b"/>
                          <a:pathLst>
                            <a:path w="38100" h="7620">
                              <a:moveTo>
                                <a:pt x="38100" y="0"/>
                              </a:moveTo>
                              <a:lnTo>
                                <a:pt x="0" y="0"/>
                              </a:lnTo>
                              <a:lnTo>
                                <a:pt x="0" y="7619"/>
                              </a:lnTo>
                              <a:lnTo>
                                <a:pt x="38100" y="7619"/>
                              </a:lnTo>
                              <a:lnTo>
                                <a:pt x="381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97.98999pt;margin-top:21.871098pt;width:3pt;height:.599980pt;mso-position-horizontal-relative:page;mso-position-vertical-relative:paragraph;z-index:-39164928" id="docshape3" filled="true" fillcolor="#000000" stroked="false">
                <v:fill type="solid"/>
                <w10:wrap type="none"/>
              </v:rect>
            </w:pict>
          </mc:Fallback>
        </mc:AlternateContent>
      </w:r>
      <w:r>
        <w:rPr/>
        <w:t>addition</w:t>
      </w:r>
      <w:r>
        <w:rPr>
          <w:spacing w:val="-1"/>
        </w:rPr>
        <w:t> </w:t>
      </w:r>
      <w:r>
        <w:rPr/>
        <w:t>to</w:t>
      </w:r>
      <w:r>
        <w:rPr>
          <w:spacing w:val="-1"/>
        </w:rPr>
        <w:t> </w:t>
      </w:r>
      <w:r>
        <w:rPr/>
        <w:t>about</w:t>
      </w:r>
      <w:r>
        <w:rPr>
          <w:spacing w:val="-1"/>
        </w:rPr>
        <w:t> </w:t>
      </w:r>
      <w:r>
        <w:rPr/>
        <w:t>$6.48 billion</w:t>
      </w:r>
      <w:r>
        <w:rPr>
          <w:spacing w:val="-1"/>
        </w:rPr>
        <w:t> </w:t>
      </w:r>
      <w:r>
        <w:rPr/>
        <w:t>(</w:t>
      </w:r>
      <w:r>
        <w:rPr>
          <w:strike/>
        </w:rPr>
        <w:t>N</w:t>
      </w:r>
      <w:r>
        <w:rPr>
          <w:strike w:val="0"/>
        </w:rPr>
        <w:t>972</w:t>
      </w:r>
      <w:r>
        <w:rPr>
          <w:strike w:val="0"/>
          <w:spacing w:val="-1"/>
        </w:rPr>
        <w:t> </w:t>
      </w:r>
      <w:r>
        <w:rPr>
          <w:strike w:val="0"/>
        </w:rPr>
        <w:t>billion),</w:t>
      </w:r>
      <w:r>
        <w:rPr>
          <w:strike w:val="0"/>
          <w:spacing w:val="-1"/>
        </w:rPr>
        <w:t> </w:t>
      </w:r>
      <w:r>
        <w:rPr>
          <w:strike w:val="0"/>
        </w:rPr>
        <w:t>$7.1 billion</w:t>
      </w:r>
      <w:r>
        <w:rPr>
          <w:strike w:val="0"/>
          <w:spacing w:val="-1"/>
        </w:rPr>
        <w:t> </w:t>
      </w:r>
      <w:r>
        <w:rPr>
          <w:strike w:val="0"/>
        </w:rPr>
        <w:t>(about</w:t>
      </w:r>
      <w:r>
        <w:rPr>
          <w:strike w:val="0"/>
          <w:spacing w:val="1"/>
        </w:rPr>
        <w:t> </w:t>
      </w:r>
      <w:r>
        <w:rPr>
          <w:strike/>
        </w:rPr>
        <w:t>N</w:t>
      </w:r>
      <w:r>
        <w:rPr>
          <w:strike w:val="0"/>
        </w:rPr>
        <w:t>1065</w:t>
      </w:r>
      <w:r>
        <w:rPr>
          <w:strike w:val="0"/>
          <w:spacing w:val="-1"/>
        </w:rPr>
        <w:t> </w:t>
      </w:r>
      <w:r>
        <w:rPr>
          <w:strike w:val="0"/>
        </w:rPr>
        <w:t>billion), $7.7</w:t>
      </w:r>
      <w:r>
        <w:rPr>
          <w:strike w:val="0"/>
          <w:spacing w:val="-1"/>
        </w:rPr>
        <w:t> </w:t>
      </w:r>
      <w:r>
        <w:rPr>
          <w:strike w:val="0"/>
        </w:rPr>
        <w:t>billion</w:t>
      </w:r>
      <w:r>
        <w:rPr>
          <w:strike w:val="0"/>
          <w:spacing w:val="-1"/>
        </w:rPr>
        <w:t> </w:t>
      </w:r>
      <w:r>
        <w:rPr>
          <w:strike w:val="0"/>
        </w:rPr>
        <w:t>(about </w:t>
      </w:r>
      <w:r>
        <w:rPr>
          <w:strike/>
          <w:spacing w:val="-5"/>
        </w:rPr>
        <w:t>N</w:t>
      </w:r>
      <w:r>
        <w:rPr>
          <w:strike w:val="0"/>
          <w:spacing w:val="-5"/>
        </w:rPr>
        <w:t>1,</w:t>
      </w:r>
    </w:p>
    <w:p>
      <w:pPr>
        <w:pStyle w:val="BodyText"/>
      </w:pPr>
    </w:p>
    <w:p>
      <w:pPr>
        <w:pStyle w:val="BodyText"/>
        <w:spacing w:before="1"/>
        <w:ind w:left="711"/>
      </w:pPr>
      <w:r>
        <w:rPr/>
        <w:t>155</w:t>
      </w:r>
      <w:r>
        <w:rPr>
          <w:spacing w:val="-3"/>
        </w:rPr>
        <w:t> </w:t>
      </w:r>
      <w:r>
        <w:rPr/>
        <w:t>billion) and</w:t>
      </w:r>
      <w:r>
        <w:rPr>
          <w:spacing w:val="-1"/>
        </w:rPr>
        <w:t> </w:t>
      </w:r>
      <w:r>
        <w:rPr/>
        <w:t>$8.4 billion</w:t>
      </w:r>
      <w:r>
        <w:rPr>
          <w:spacing w:val="-1"/>
        </w:rPr>
        <w:t> </w:t>
      </w:r>
      <w:r>
        <w:rPr/>
        <w:t>(about</w:t>
      </w:r>
      <w:r>
        <w:rPr>
          <w:strike/>
        </w:rPr>
        <w:t>N</w:t>
      </w:r>
      <w:r>
        <w:rPr>
          <w:strike w:val="0"/>
        </w:rPr>
        <w:t>1, 260</w:t>
      </w:r>
      <w:r>
        <w:rPr>
          <w:strike w:val="0"/>
          <w:spacing w:val="-1"/>
        </w:rPr>
        <w:t> </w:t>
      </w:r>
      <w:r>
        <w:rPr>
          <w:strike w:val="0"/>
        </w:rPr>
        <w:t>billion) local debts</w:t>
      </w:r>
      <w:r>
        <w:rPr>
          <w:strike w:val="0"/>
          <w:spacing w:val="-1"/>
        </w:rPr>
        <w:t> </w:t>
      </w:r>
      <w:r>
        <w:rPr>
          <w:strike w:val="0"/>
        </w:rPr>
        <w:t>respectively</w:t>
      </w:r>
      <w:r>
        <w:rPr>
          <w:strike w:val="0"/>
          <w:spacing w:val="-3"/>
        </w:rPr>
        <w:t> </w:t>
      </w:r>
      <w:r>
        <w:rPr>
          <w:strike w:val="0"/>
        </w:rPr>
        <w:t>for</w:t>
      </w:r>
      <w:r>
        <w:rPr>
          <w:strike w:val="0"/>
          <w:spacing w:val="-3"/>
        </w:rPr>
        <w:t> </w:t>
      </w:r>
      <w:r>
        <w:rPr>
          <w:strike w:val="0"/>
        </w:rPr>
        <w:t>2012, 2013,</w:t>
      </w:r>
      <w:r>
        <w:rPr>
          <w:strike w:val="0"/>
          <w:spacing w:val="2"/>
        </w:rPr>
        <w:t> </w:t>
      </w:r>
      <w:r>
        <w:rPr>
          <w:strike w:val="0"/>
        </w:rPr>
        <w:t>2014 and</w:t>
      </w:r>
      <w:r>
        <w:rPr>
          <w:strike w:val="0"/>
          <w:spacing w:val="2"/>
        </w:rPr>
        <w:t> </w:t>
      </w:r>
      <w:r>
        <w:rPr>
          <w:strike w:val="0"/>
          <w:spacing w:val="-4"/>
        </w:rPr>
        <w:t>2015</w:t>
      </w:r>
    </w:p>
    <w:p>
      <w:pPr>
        <w:spacing w:after="0"/>
        <w:sectPr>
          <w:pgSz w:w="11910" w:h="16840"/>
          <w:pgMar w:header="0" w:footer="979" w:top="1360" w:bottom="1240" w:left="280" w:right="0"/>
        </w:sectPr>
      </w:pPr>
    </w:p>
    <w:p>
      <w:pPr>
        <w:pStyle w:val="BodyText"/>
        <w:spacing w:line="480" w:lineRule="auto" w:before="60"/>
        <w:ind w:left="711" w:right="475"/>
      </w:pPr>
      <w:r>
        <w:rPr/>
        <w:t>respectively, this has become a concern and a source of worry. While it is very necessary to source for external</w:t>
      </w:r>
      <w:r>
        <w:rPr>
          <w:spacing w:val="-2"/>
        </w:rPr>
        <w:t> </w:t>
      </w:r>
      <w:r>
        <w:rPr/>
        <w:t>capital</w:t>
      </w:r>
      <w:r>
        <w:rPr>
          <w:spacing w:val="-2"/>
        </w:rPr>
        <w:t> </w:t>
      </w:r>
      <w:r>
        <w:rPr/>
        <w:t>to</w:t>
      </w:r>
      <w:r>
        <w:rPr>
          <w:spacing w:val="-2"/>
        </w:rPr>
        <w:t> </w:t>
      </w:r>
      <w:r>
        <w:rPr/>
        <w:t>promote</w:t>
      </w:r>
      <w:r>
        <w:rPr>
          <w:spacing w:val="-3"/>
        </w:rPr>
        <w:t> </w:t>
      </w:r>
      <w:r>
        <w:rPr/>
        <w:t>economic</w:t>
      </w:r>
      <w:r>
        <w:rPr>
          <w:spacing w:val="-1"/>
        </w:rPr>
        <w:t> </w:t>
      </w:r>
      <w:r>
        <w:rPr/>
        <w:t>growth,</w:t>
      </w:r>
      <w:r>
        <w:rPr>
          <w:spacing w:val="-2"/>
        </w:rPr>
        <w:t> </w:t>
      </w:r>
      <w:r>
        <w:rPr/>
        <w:t>it</w:t>
      </w:r>
      <w:r>
        <w:rPr>
          <w:spacing w:val="-2"/>
        </w:rPr>
        <w:t> </w:t>
      </w:r>
      <w:r>
        <w:rPr/>
        <w:t>is more</w:t>
      </w:r>
      <w:r>
        <w:rPr>
          <w:spacing w:val="-4"/>
        </w:rPr>
        <w:t> </w:t>
      </w:r>
      <w:r>
        <w:rPr/>
        <w:t>important</w:t>
      </w:r>
      <w:r>
        <w:rPr>
          <w:spacing w:val="-2"/>
        </w:rPr>
        <w:t> </w:t>
      </w:r>
      <w:r>
        <w:rPr/>
        <w:t>to</w:t>
      </w:r>
      <w:r>
        <w:rPr>
          <w:spacing w:val="-2"/>
        </w:rPr>
        <w:t> </w:t>
      </w:r>
      <w:r>
        <w:rPr/>
        <w:t>ensure</w:t>
      </w:r>
      <w:r>
        <w:rPr>
          <w:spacing w:val="-2"/>
        </w:rPr>
        <w:t> </w:t>
      </w:r>
      <w:r>
        <w:rPr/>
        <w:t>that</w:t>
      </w:r>
      <w:r>
        <w:rPr>
          <w:spacing w:val="-2"/>
        </w:rPr>
        <w:t> </w:t>
      </w:r>
      <w:r>
        <w:rPr/>
        <w:t>these</w:t>
      </w:r>
      <w:r>
        <w:rPr>
          <w:spacing w:val="-4"/>
        </w:rPr>
        <w:t> </w:t>
      </w:r>
      <w:r>
        <w:rPr/>
        <w:t>funds</w:t>
      </w:r>
      <w:r>
        <w:rPr>
          <w:spacing w:val="-2"/>
        </w:rPr>
        <w:t> </w:t>
      </w:r>
      <w:r>
        <w:rPr/>
        <w:t>are</w:t>
      </w:r>
      <w:r>
        <w:rPr>
          <w:spacing w:val="-3"/>
        </w:rPr>
        <w:t> </w:t>
      </w:r>
      <w:r>
        <w:rPr/>
        <w:t>retained</w:t>
      </w:r>
      <w:r>
        <w:rPr>
          <w:spacing w:val="-2"/>
        </w:rPr>
        <w:t> </w:t>
      </w:r>
      <w:r>
        <w:rPr/>
        <w:t>and used</w:t>
      </w:r>
      <w:r>
        <w:rPr>
          <w:spacing w:val="-2"/>
        </w:rPr>
        <w:t> </w:t>
      </w:r>
      <w:r>
        <w:rPr/>
        <w:t>for</w:t>
      </w:r>
      <w:r>
        <w:rPr>
          <w:spacing w:val="-4"/>
        </w:rPr>
        <w:t> </w:t>
      </w:r>
      <w:r>
        <w:rPr/>
        <w:t>the</w:t>
      </w:r>
      <w:r>
        <w:rPr>
          <w:spacing w:val="-2"/>
        </w:rPr>
        <w:t> </w:t>
      </w:r>
      <w:r>
        <w:rPr/>
        <w:t>purpose</w:t>
      </w:r>
      <w:r>
        <w:rPr>
          <w:spacing w:val="-3"/>
        </w:rPr>
        <w:t> </w:t>
      </w:r>
      <w:r>
        <w:rPr/>
        <w:t>of</w:t>
      </w:r>
      <w:r>
        <w:rPr>
          <w:spacing w:val="-2"/>
        </w:rPr>
        <w:t> </w:t>
      </w:r>
      <w:r>
        <w:rPr/>
        <w:t>economic</w:t>
      </w:r>
      <w:r>
        <w:rPr>
          <w:spacing w:val="-3"/>
        </w:rPr>
        <w:t> </w:t>
      </w:r>
      <w:r>
        <w:rPr/>
        <w:t>growth.</w:t>
      </w:r>
      <w:r>
        <w:rPr>
          <w:spacing w:val="-2"/>
        </w:rPr>
        <w:t> </w:t>
      </w:r>
      <w:r>
        <w:rPr/>
        <w:t>To</w:t>
      </w:r>
      <w:r>
        <w:rPr>
          <w:spacing w:val="-2"/>
        </w:rPr>
        <w:t> </w:t>
      </w:r>
      <w:r>
        <w:rPr/>
        <w:t>be</w:t>
      </w:r>
      <w:r>
        <w:rPr>
          <w:spacing w:val="-3"/>
        </w:rPr>
        <w:t> </w:t>
      </w:r>
      <w:r>
        <w:rPr/>
        <w:t>beneficial and</w:t>
      </w:r>
      <w:r>
        <w:rPr>
          <w:spacing w:val="-2"/>
        </w:rPr>
        <w:t> </w:t>
      </w:r>
      <w:r>
        <w:rPr/>
        <w:t>not</w:t>
      </w:r>
      <w:r>
        <w:rPr>
          <w:spacing w:val="-2"/>
        </w:rPr>
        <w:t> </w:t>
      </w:r>
      <w:r>
        <w:rPr/>
        <w:t>to</w:t>
      </w:r>
      <w:r>
        <w:rPr>
          <w:spacing w:val="-2"/>
        </w:rPr>
        <w:t> </w:t>
      </w:r>
      <w:r>
        <w:rPr/>
        <w:t>become</w:t>
      </w:r>
      <w:r>
        <w:rPr>
          <w:spacing w:val="-2"/>
        </w:rPr>
        <w:t> </w:t>
      </w:r>
      <w:r>
        <w:rPr/>
        <w:t>a</w:t>
      </w:r>
      <w:r>
        <w:rPr>
          <w:spacing w:val="-4"/>
        </w:rPr>
        <w:t> </w:t>
      </w:r>
      <w:r>
        <w:rPr/>
        <w:t>burden to</w:t>
      </w:r>
      <w:r>
        <w:rPr>
          <w:spacing w:val="-2"/>
        </w:rPr>
        <w:t> </w:t>
      </w:r>
      <w:r>
        <w:rPr/>
        <w:t>the</w:t>
      </w:r>
      <w:r>
        <w:rPr>
          <w:spacing w:val="-2"/>
        </w:rPr>
        <w:t> </w:t>
      </w:r>
      <w:r>
        <w:rPr/>
        <w:t>nation,</w:t>
      </w:r>
      <w:r>
        <w:rPr>
          <w:spacing w:val="-2"/>
        </w:rPr>
        <w:t> </w:t>
      </w:r>
      <w:r>
        <w:rPr/>
        <w:t>there</w:t>
      </w:r>
      <w:r>
        <w:rPr>
          <w:spacing w:val="-3"/>
        </w:rPr>
        <w:t> </w:t>
      </w:r>
      <w:r>
        <w:rPr/>
        <w:t>is the need to examine the various determinants of capital flight in Nigeria, as well as, the effect of these variables on the nation’s economic growth. Despite the various studies that have been done on capital flight in Nigeria, a critical analysis of the effect of economic, political and institutional variables as they</w:t>
      </w:r>
      <w:r>
        <w:rPr>
          <w:spacing w:val="-2"/>
        </w:rPr>
        <w:t> </w:t>
      </w:r>
      <w:r>
        <w:rPr/>
        <w:t>affect the level of capital flight in Nigeria has not been clearly investigated, this is the main gap this study intends to </w:t>
      </w:r>
      <w:r>
        <w:rPr>
          <w:spacing w:val="-2"/>
        </w:rPr>
        <w:t>filled.</w:t>
      </w:r>
    </w:p>
    <w:p>
      <w:pPr>
        <w:pStyle w:val="Heading6"/>
        <w:numPr>
          <w:ilvl w:val="1"/>
          <w:numId w:val="7"/>
        </w:numPr>
        <w:tabs>
          <w:tab w:pos="1071" w:val="left" w:leader="none"/>
        </w:tabs>
        <w:spacing w:line="240" w:lineRule="auto" w:before="2" w:after="0"/>
        <w:ind w:left="1071" w:right="0" w:hanging="360"/>
        <w:jc w:val="left"/>
      </w:pPr>
      <w:r>
        <w:rPr/>
        <w:t>Objectives</w:t>
      </w:r>
      <w:r>
        <w:rPr>
          <w:spacing w:val="-1"/>
        </w:rPr>
        <w:t> </w:t>
      </w:r>
      <w:r>
        <w:rPr/>
        <w:t>of the</w:t>
      </w:r>
      <w:r>
        <w:rPr>
          <w:spacing w:val="58"/>
        </w:rPr>
        <w:t> </w:t>
      </w:r>
      <w:r>
        <w:rPr>
          <w:spacing w:val="-2"/>
        </w:rPr>
        <w:t>Study</w:t>
      </w:r>
    </w:p>
    <w:p>
      <w:pPr>
        <w:pStyle w:val="BodyText"/>
        <w:rPr>
          <w:b/>
        </w:rPr>
      </w:pPr>
    </w:p>
    <w:p>
      <w:pPr>
        <w:pStyle w:val="BodyText"/>
        <w:spacing w:line="480" w:lineRule="auto"/>
        <w:ind w:left="711"/>
      </w:pPr>
      <w:r>
        <w:rPr/>
        <w:t>The broad objective of the study is to examine the determinants and impact of capital flight on the Nigerian economic growth between 1970 and 2011. The specific objectives of the study are to:</w:t>
      </w:r>
    </w:p>
    <w:p>
      <w:pPr>
        <w:pStyle w:val="ListParagraph"/>
        <w:numPr>
          <w:ilvl w:val="0"/>
          <w:numId w:val="8"/>
        </w:numPr>
        <w:tabs>
          <w:tab w:pos="1431" w:val="left" w:leader="none"/>
        </w:tabs>
        <w:spacing w:line="240" w:lineRule="auto" w:before="0" w:after="0"/>
        <w:ind w:left="1431" w:right="0" w:hanging="720"/>
        <w:jc w:val="left"/>
        <w:rPr>
          <w:sz w:val="24"/>
        </w:rPr>
      </w:pPr>
      <w:r>
        <w:rPr>
          <w:sz w:val="24"/>
        </w:rPr>
        <w:t>Examine</w:t>
      </w:r>
      <w:r>
        <w:rPr>
          <w:spacing w:val="-2"/>
          <w:sz w:val="24"/>
        </w:rPr>
        <w:t> </w:t>
      </w:r>
      <w:r>
        <w:rPr>
          <w:sz w:val="24"/>
        </w:rPr>
        <w:t>the</w:t>
      </w:r>
      <w:r>
        <w:rPr>
          <w:spacing w:val="-1"/>
          <w:sz w:val="24"/>
        </w:rPr>
        <w:t> </w:t>
      </w:r>
      <w:r>
        <w:rPr>
          <w:sz w:val="24"/>
        </w:rPr>
        <w:t>determinants</w:t>
      </w:r>
      <w:r>
        <w:rPr>
          <w:spacing w:val="-1"/>
          <w:sz w:val="24"/>
        </w:rPr>
        <w:t> </w:t>
      </w:r>
      <w:r>
        <w:rPr>
          <w:sz w:val="24"/>
        </w:rPr>
        <w:t>of capital</w:t>
      </w:r>
      <w:r>
        <w:rPr>
          <w:spacing w:val="-1"/>
          <w:sz w:val="24"/>
        </w:rPr>
        <w:t> </w:t>
      </w:r>
      <w:r>
        <w:rPr>
          <w:sz w:val="24"/>
        </w:rPr>
        <w:t>flight</w:t>
      </w:r>
      <w:r>
        <w:rPr>
          <w:spacing w:val="-1"/>
          <w:sz w:val="24"/>
        </w:rPr>
        <w:t> </w:t>
      </w:r>
      <w:r>
        <w:rPr>
          <w:sz w:val="24"/>
        </w:rPr>
        <w:t>in</w:t>
      </w:r>
      <w:r>
        <w:rPr>
          <w:spacing w:val="58"/>
          <w:sz w:val="24"/>
        </w:rPr>
        <w:t> </w:t>
      </w:r>
      <w:r>
        <w:rPr>
          <w:spacing w:val="-2"/>
          <w:sz w:val="24"/>
        </w:rPr>
        <w:t>Nigeria;</w:t>
      </w:r>
    </w:p>
    <w:p>
      <w:pPr>
        <w:pStyle w:val="BodyText"/>
      </w:pPr>
    </w:p>
    <w:p>
      <w:pPr>
        <w:pStyle w:val="ListParagraph"/>
        <w:numPr>
          <w:ilvl w:val="0"/>
          <w:numId w:val="8"/>
        </w:numPr>
        <w:tabs>
          <w:tab w:pos="1431" w:val="left" w:leader="none"/>
        </w:tabs>
        <w:spacing w:line="240" w:lineRule="auto" w:before="0" w:after="0"/>
        <w:ind w:left="1431" w:right="0" w:hanging="720"/>
        <w:jc w:val="left"/>
        <w:rPr>
          <w:sz w:val="24"/>
        </w:rPr>
      </w:pPr>
      <w:r>
        <w:rPr>
          <w:sz w:val="24"/>
        </w:rPr>
        <w:t>determine</w:t>
      </w:r>
      <w:r>
        <w:rPr>
          <w:spacing w:val="-3"/>
          <w:sz w:val="24"/>
        </w:rPr>
        <w:t> </w:t>
      </w:r>
      <w:r>
        <w:rPr>
          <w:sz w:val="24"/>
        </w:rPr>
        <w:t>the</w:t>
      </w:r>
      <w:r>
        <w:rPr>
          <w:spacing w:val="-1"/>
          <w:sz w:val="24"/>
        </w:rPr>
        <w:t> </w:t>
      </w:r>
      <w:r>
        <w:rPr>
          <w:sz w:val="24"/>
        </w:rPr>
        <w:t>effect</w:t>
      </w:r>
      <w:r>
        <w:rPr>
          <w:spacing w:val="-1"/>
          <w:sz w:val="24"/>
        </w:rPr>
        <w:t> </w:t>
      </w:r>
      <w:r>
        <w:rPr>
          <w:sz w:val="24"/>
        </w:rPr>
        <w:t>of</w:t>
      </w:r>
      <w:r>
        <w:rPr>
          <w:spacing w:val="-1"/>
          <w:sz w:val="24"/>
        </w:rPr>
        <w:t> </w:t>
      </w:r>
      <w:r>
        <w:rPr>
          <w:sz w:val="24"/>
        </w:rPr>
        <w:t>capital</w:t>
      </w:r>
      <w:r>
        <w:rPr>
          <w:spacing w:val="-1"/>
          <w:sz w:val="24"/>
        </w:rPr>
        <w:t> </w:t>
      </w:r>
      <w:r>
        <w:rPr>
          <w:sz w:val="24"/>
        </w:rPr>
        <w:t>flight</w:t>
      </w:r>
      <w:r>
        <w:rPr>
          <w:spacing w:val="-1"/>
          <w:sz w:val="24"/>
        </w:rPr>
        <w:t> </w:t>
      </w:r>
      <w:r>
        <w:rPr>
          <w:sz w:val="24"/>
        </w:rPr>
        <w:t>on</w:t>
      </w:r>
      <w:r>
        <w:rPr>
          <w:spacing w:val="-1"/>
          <w:sz w:val="24"/>
        </w:rPr>
        <w:t> </w:t>
      </w:r>
      <w:r>
        <w:rPr>
          <w:sz w:val="24"/>
        </w:rPr>
        <w:t>Nigeria’s</w:t>
      </w:r>
      <w:r>
        <w:rPr>
          <w:spacing w:val="-2"/>
          <w:sz w:val="24"/>
        </w:rPr>
        <w:t> </w:t>
      </w:r>
      <w:r>
        <w:rPr>
          <w:sz w:val="24"/>
        </w:rPr>
        <w:t>economic</w:t>
      </w:r>
      <w:r>
        <w:rPr>
          <w:spacing w:val="1"/>
          <w:sz w:val="24"/>
        </w:rPr>
        <w:t> </w:t>
      </w:r>
      <w:r>
        <w:rPr>
          <w:spacing w:val="-2"/>
          <w:sz w:val="24"/>
        </w:rPr>
        <w:t>growth;</w:t>
      </w:r>
    </w:p>
    <w:p>
      <w:pPr>
        <w:pStyle w:val="BodyText"/>
      </w:pPr>
    </w:p>
    <w:p>
      <w:pPr>
        <w:pStyle w:val="ListParagraph"/>
        <w:numPr>
          <w:ilvl w:val="0"/>
          <w:numId w:val="8"/>
        </w:numPr>
        <w:tabs>
          <w:tab w:pos="1431" w:val="left" w:leader="none"/>
        </w:tabs>
        <w:spacing w:line="240" w:lineRule="auto" w:before="0" w:after="0"/>
        <w:ind w:left="1431" w:right="0" w:hanging="720"/>
        <w:jc w:val="left"/>
        <w:rPr>
          <w:sz w:val="24"/>
        </w:rPr>
      </w:pPr>
      <w:r>
        <w:rPr>
          <w:sz w:val="24"/>
        </w:rPr>
        <w:t>identify</w:t>
      </w:r>
      <w:r>
        <w:rPr>
          <w:spacing w:val="-8"/>
          <w:sz w:val="24"/>
        </w:rPr>
        <w:t> </w:t>
      </w:r>
      <w:r>
        <w:rPr>
          <w:sz w:val="24"/>
        </w:rPr>
        <w:t>factors influencing</w:t>
      </w:r>
      <w:r>
        <w:rPr>
          <w:spacing w:val="-4"/>
          <w:sz w:val="24"/>
        </w:rPr>
        <w:t> </w:t>
      </w:r>
      <w:r>
        <w:rPr>
          <w:sz w:val="24"/>
        </w:rPr>
        <w:t>portfolio choice</w:t>
      </w:r>
      <w:r>
        <w:rPr>
          <w:spacing w:val="-1"/>
          <w:sz w:val="24"/>
        </w:rPr>
        <w:t> </w:t>
      </w:r>
      <w:r>
        <w:rPr>
          <w:sz w:val="24"/>
        </w:rPr>
        <w:t>of</w:t>
      </w:r>
      <w:r>
        <w:rPr>
          <w:spacing w:val="-1"/>
          <w:sz w:val="24"/>
        </w:rPr>
        <w:t> </w:t>
      </w:r>
      <w:r>
        <w:rPr>
          <w:sz w:val="24"/>
        </w:rPr>
        <w:t>private wealth</w:t>
      </w:r>
      <w:r>
        <w:rPr>
          <w:spacing w:val="-1"/>
          <w:sz w:val="24"/>
        </w:rPr>
        <w:t> </w:t>
      </w:r>
      <w:r>
        <w:rPr>
          <w:sz w:val="24"/>
        </w:rPr>
        <w:t>holders in </w:t>
      </w:r>
      <w:r>
        <w:rPr>
          <w:spacing w:val="-2"/>
          <w:sz w:val="24"/>
        </w:rPr>
        <w:t>Nigeria;</w:t>
      </w:r>
    </w:p>
    <w:p>
      <w:pPr>
        <w:pStyle w:val="BodyText"/>
      </w:pPr>
    </w:p>
    <w:p>
      <w:pPr>
        <w:pStyle w:val="ListParagraph"/>
        <w:numPr>
          <w:ilvl w:val="0"/>
          <w:numId w:val="8"/>
        </w:numPr>
        <w:tabs>
          <w:tab w:pos="1431" w:val="left" w:leader="none"/>
        </w:tabs>
        <w:spacing w:line="240" w:lineRule="auto" w:before="0" w:after="0"/>
        <w:ind w:left="1431" w:right="0" w:hanging="720"/>
        <w:jc w:val="left"/>
        <w:rPr>
          <w:sz w:val="24"/>
        </w:rPr>
      </w:pPr>
      <w:r>
        <w:rPr>
          <w:sz w:val="24"/>
        </w:rPr>
        <w:t>determine</w:t>
      </w:r>
      <w:r>
        <w:rPr>
          <w:spacing w:val="-2"/>
          <w:sz w:val="24"/>
        </w:rPr>
        <w:t> </w:t>
      </w:r>
      <w:r>
        <w:rPr>
          <w:sz w:val="24"/>
        </w:rPr>
        <w:t>how</w:t>
      </w:r>
      <w:r>
        <w:rPr>
          <w:spacing w:val="-2"/>
          <w:sz w:val="24"/>
        </w:rPr>
        <w:t> </w:t>
      </w:r>
      <w:r>
        <w:rPr>
          <w:sz w:val="24"/>
        </w:rPr>
        <w:t>to</w:t>
      </w:r>
      <w:r>
        <w:rPr>
          <w:spacing w:val="-1"/>
          <w:sz w:val="24"/>
        </w:rPr>
        <w:t> </w:t>
      </w:r>
      <w:r>
        <w:rPr>
          <w:sz w:val="24"/>
        </w:rPr>
        <w:t>stem and</w:t>
      </w:r>
      <w:r>
        <w:rPr>
          <w:spacing w:val="-1"/>
          <w:sz w:val="24"/>
        </w:rPr>
        <w:t> </w:t>
      </w:r>
      <w:r>
        <w:rPr>
          <w:sz w:val="24"/>
        </w:rPr>
        <w:t>recapture</w:t>
      </w:r>
      <w:r>
        <w:rPr>
          <w:spacing w:val="-3"/>
          <w:sz w:val="24"/>
        </w:rPr>
        <w:t> </w:t>
      </w:r>
      <w:r>
        <w:rPr>
          <w:sz w:val="24"/>
        </w:rPr>
        <w:t>the capital</w:t>
      </w:r>
      <w:r>
        <w:rPr>
          <w:spacing w:val="1"/>
          <w:sz w:val="24"/>
        </w:rPr>
        <w:t> </w:t>
      </w:r>
      <w:r>
        <w:rPr>
          <w:spacing w:val="-2"/>
          <w:sz w:val="24"/>
        </w:rPr>
        <w:t>flight;</w:t>
      </w:r>
    </w:p>
    <w:p>
      <w:pPr>
        <w:pStyle w:val="BodyText"/>
      </w:pPr>
    </w:p>
    <w:p>
      <w:pPr>
        <w:pStyle w:val="BodyText"/>
      </w:pPr>
    </w:p>
    <w:p>
      <w:pPr>
        <w:pStyle w:val="BodyText"/>
      </w:pPr>
    </w:p>
    <w:p>
      <w:pPr>
        <w:pStyle w:val="Heading6"/>
        <w:numPr>
          <w:ilvl w:val="1"/>
          <w:numId w:val="7"/>
        </w:numPr>
        <w:tabs>
          <w:tab w:pos="1311" w:val="left" w:leader="none"/>
        </w:tabs>
        <w:spacing w:line="240" w:lineRule="auto" w:before="1" w:after="0"/>
        <w:ind w:left="1311" w:right="0" w:hanging="600"/>
        <w:jc w:val="left"/>
      </w:pPr>
      <w:r>
        <w:rPr/>
        <w:t>Research</w:t>
      </w:r>
      <w:r>
        <w:rPr>
          <w:spacing w:val="-1"/>
        </w:rPr>
        <w:t> </w:t>
      </w:r>
      <w:r>
        <w:rPr/>
        <w:t>Questions</w:t>
      </w:r>
      <w:r>
        <w:rPr>
          <w:spacing w:val="-1"/>
        </w:rPr>
        <w:t> </w:t>
      </w:r>
      <w:r>
        <w:rPr/>
        <w:t>and </w:t>
      </w:r>
      <w:r>
        <w:rPr>
          <w:spacing w:val="-2"/>
        </w:rPr>
        <w:t>Hypotheses</w:t>
      </w:r>
    </w:p>
    <w:p>
      <w:pPr>
        <w:pStyle w:val="ListParagraph"/>
        <w:numPr>
          <w:ilvl w:val="2"/>
          <w:numId w:val="7"/>
        </w:numPr>
        <w:tabs>
          <w:tab w:pos="1431" w:val="left" w:leader="none"/>
        </w:tabs>
        <w:spacing w:line="240" w:lineRule="auto" w:before="276" w:after="0"/>
        <w:ind w:left="1431" w:right="0" w:hanging="720"/>
        <w:jc w:val="left"/>
        <w:rPr>
          <w:b/>
          <w:sz w:val="24"/>
        </w:rPr>
      </w:pPr>
      <w:r>
        <w:rPr>
          <w:b/>
          <w:sz w:val="24"/>
        </w:rPr>
        <w:t>Research</w:t>
      </w:r>
      <w:r>
        <w:rPr>
          <w:b/>
          <w:spacing w:val="-3"/>
          <w:sz w:val="24"/>
        </w:rPr>
        <w:t> </w:t>
      </w:r>
      <w:r>
        <w:rPr>
          <w:b/>
          <w:spacing w:val="-2"/>
          <w:sz w:val="24"/>
        </w:rPr>
        <w:t>Questions</w:t>
      </w:r>
    </w:p>
    <w:p>
      <w:pPr>
        <w:pStyle w:val="BodyText"/>
        <w:spacing w:before="276"/>
        <w:ind w:left="711"/>
      </w:pPr>
      <w:r>
        <w:rPr/>
        <w:t>This</w:t>
      </w:r>
      <w:r>
        <w:rPr>
          <w:spacing w:val="58"/>
        </w:rPr>
        <w:t> </w:t>
      </w:r>
      <w:r>
        <w:rPr/>
        <w:t>following</w:t>
      </w:r>
      <w:r>
        <w:rPr>
          <w:spacing w:val="56"/>
        </w:rPr>
        <w:t> </w:t>
      </w:r>
      <w:r>
        <w:rPr/>
        <w:t>research</w:t>
      </w:r>
      <w:r>
        <w:rPr>
          <w:spacing w:val="2"/>
        </w:rPr>
        <w:t> </w:t>
      </w:r>
      <w:r>
        <w:rPr/>
        <w:t>questions are</w:t>
      </w:r>
      <w:r>
        <w:rPr>
          <w:spacing w:val="-2"/>
        </w:rPr>
        <w:t> </w:t>
      </w:r>
      <w:r>
        <w:rPr/>
        <w:t>to be answered</w:t>
      </w:r>
      <w:r>
        <w:rPr>
          <w:spacing w:val="-1"/>
        </w:rPr>
        <w:t> </w:t>
      </w:r>
      <w:r>
        <w:rPr/>
        <w:t>in the</w:t>
      </w:r>
      <w:r>
        <w:rPr>
          <w:spacing w:val="-1"/>
        </w:rPr>
        <w:t> </w:t>
      </w:r>
      <w:r>
        <w:rPr/>
        <w:t>course</w:t>
      </w:r>
      <w:r>
        <w:rPr>
          <w:spacing w:val="-3"/>
        </w:rPr>
        <w:t> </w:t>
      </w:r>
      <w:r>
        <w:rPr/>
        <w:t>of this</w:t>
      </w:r>
      <w:r>
        <w:rPr>
          <w:spacing w:val="2"/>
        </w:rPr>
        <w:t> </w:t>
      </w:r>
      <w:r>
        <w:rPr>
          <w:spacing w:val="-2"/>
        </w:rPr>
        <w:t>study:</w:t>
      </w:r>
    </w:p>
    <w:p>
      <w:pPr>
        <w:pStyle w:val="ListParagraph"/>
        <w:numPr>
          <w:ilvl w:val="3"/>
          <w:numId w:val="7"/>
        </w:numPr>
        <w:tabs>
          <w:tab w:pos="2151" w:val="left" w:leader="none"/>
        </w:tabs>
        <w:spacing w:line="240" w:lineRule="auto" w:before="276" w:after="0"/>
        <w:ind w:left="2151" w:right="0" w:hanging="720"/>
        <w:jc w:val="left"/>
        <w:rPr>
          <w:sz w:val="24"/>
        </w:rPr>
      </w:pPr>
      <w:r>
        <w:rPr>
          <w:sz w:val="24"/>
        </w:rPr>
        <w:t>What</w:t>
      </w:r>
      <w:r>
        <w:rPr>
          <w:spacing w:val="-2"/>
          <w:sz w:val="24"/>
        </w:rPr>
        <w:t> </w:t>
      </w:r>
      <w:r>
        <w:rPr>
          <w:sz w:val="24"/>
        </w:rPr>
        <w:t>are</w:t>
      </w:r>
      <w:r>
        <w:rPr>
          <w:spacing w:val="-2"/>
          <w:sz w:val="24"/>
        </w:rPr>
        <w:t> </w:t>
      </w:r>
      <w:r>
        <w:rPr>
          <w:sz w:val="24"/>
        </w:rPr>
        <w:t>the</w:t>
      </w:r>
      <w:r>
        <w:rPr>
          <w:spacing w:val="-1"/>
          <w:sz w:val="24"/>
        </w:rPr>
        <w:t> </w:t>
      </w:r>
      <w:r>
        <w:rPr>
          <w:sz w:val="24"/>
        </w:rPr>
        <w:t>determinants of</w:t>
      </w:r>
      <w:r>
        <w:rPr>
          <w:spacing w:val="-2"/>
          <w:sz w:val="24"/>
        </w:rPr>
        <w:t> </w:t>
      </w:r>
      <w:r>
        <w:rPr>
          <w:sz w:val="24"/>
        </w:rPr>
        <w:t>capital</w:t>
      </w:r>
      <w:r>
        <w:rPr>
          <w:spacing w:val="-1"/>
          <w:sz w:val="24"/>
        </w:rPr>
        <w:t> </w:t>
      </w:r>
      <w:r>
        <w:rPr>
          <w:sz w:val="24"/>
        </w:rPr>
        <w:t>flight from</w:t>
      </w:r>
      <w:r>
        <w:rPr>
          <w:spacing w:val="-1"/>
          <w:sz w:val="24"/>
        </w:rPr>
        <w:t> </w:t>
      </w:r>
      <w:r>
        <w:rPr>
          <w:spacing w:val="-2"/>
          <w:sz w:val="24"/>
        </w:rPr>
        <w:t>Nigeria?</w:t>
      </w:r>
    </w:p>
    <w:p>
      <w:pPr>
        <w:pStyle w:val="BodyText"/>
      </w:pPr>
    </w:p>
    <w:p>
      <w:pPr>
        <w:pStyle w:val="ListParagraph"/>
        <w:numPr>
          <w:ilvl w:val="3"/>
          <w:numId w:val="7"/>
        </w:numPr>
        <w:tabs>
          <w:tab w:pos="2151" w:val="left" w:leader="none"/>
        </w:tabs>
        <w:spacing w:line="240" w:lineRule="auto" w:before="0" w:after="0"/>
        <w:ind w:left="2151" w:right="0" w:hanging="720"/>
        <w:jc w:val="left"/>
        <w:rPr>
          <w:sz w:val="24"/>
        </w:rPr>
      </w:pPr>
      <w:r>
        <w:rPr>
          <w:sz w:val="24"/>
        </w:rPr>
        <w:t>What</w:t>
      </w:r>
      <w:r>
        <w:rPr>
          <w:spacing w:val="-3"/>
          <w:sz w:val="24"/>
        </w:rPr>
        <w:t> </w:t>
      </w:r>
      <w:r>
        <w:rPr>
          <w:sz w:val="24"/>
        </w:rPr>
        <w:t>are</w:t>
      </w:r>
      <w:r>
        <w:rPr>
          <w:spacing w:val="-2"/>
          <w:sz w:val="24"/>
        </w:rPr>
        <w:t> </w:t>
      </w:r>
      <w:r>
        <w:rPr>
          <w:sz w:val="24"/>
        </w:rPr>
        <w:t>the</w:t>
      </w:r>
      <w:r>
        <w:rPr>
          <w:spacing w:val="-1"/>
          <w:sz w:val="24"/>
        </w:rPr>
        <w:t> </w:t>
      </w:r>
      <w:r>
        <w:rPr>
          <w:sz w:val="24"/>
        </w:rPr>
        <w:t>effects</w:t>
      </w:r>
      <w:r>
        <w:rPr>
          <w:spacing w:val="-1"/>
          <w:sz w:val="24"/>
        </w:rPr>
        <w:t> </w:t>
      </w:r>
      <w:r>
        <w:rPr>
          <w:sz w:val="24"/>
        </w:rPr>
        <w:t>of capital</w:t>
      </w:r>
      <w:r>
        <w:rPr>
          <w:spacing w:val="-2"/>
          <w:sz w:val="24"/>
        </w:rPr>
        <w:t> </w:t>
      </w:r>
      <w:r>
        <w:rPr>
          <w:sz w:val="24"/>
        </w:rPr>
        <w:t>flight</w:t>
      </w:r>
      <w:r>
        <w:rPr>
          <w:spacing w:val="-1"/>
          <w:sz w:val="24"/>
        </w:rPr>
        <w:t> </w:t>
      </w:r>
      <w:r>
        <w:rPr>
          <w:sz w:val="24"/>
        </w:rPr>
        <w:t>on</w:t>
      </w:r>
      <w:r>
        <w:rPr>
          <w:spacing w:val="-1"/>
          <w:sz w:val="24"/>
        </w:rPr>
        <w:t> </w:t>
      </w:r>
      <w:r>
        <w:rPr>
          <w:sz w:val="24"/>
        </w:rPr>
        <w:t>the</w:t>
      </w:r>
      <w:r>
        <w:rPr>
          <w:spacing w:val="-1"/>
          <w:sz w:val="24"/>
        </w:rPr>
        <w:t> </w:t>
      </w:r>
      <w:r>
        <w:rPr>
          <w:sz w:val="24"/>
        </w:rPr>
        <w:t>Nigerian</w:t>
      </w:r>
      <w:r>
        <w:rPr>
          <w:spacing w:val="-1"/>
          <w:sz w:val="24"/>
        </w:rPr>
        <w:t> </w:t>
      </w:r>
      <w:r>
        <w:rPr>
          <w:spacing w:val="-2"/>
          <w:sz w:val="24"/>
        </w:rPr>
        <w:t>economy?</w:t>
      </w:r>
    </w:p>
    <w:p>
      <w:pPr>
        <w:pStyle w:val="BodyText"/>
      </w:pPr>
    </w:p>
    <w:p>
      <w:pPr>
        <w:pStyle w:val="ListParagraph"/>
        <w:numPr>
          <w:ilvl w:val="3"/>
          <w:numId w:val="7"/>
        </w:numPr>
        <w:tabs>
          <w:tab w:pos="2151" w:val="left" w:leader="none"/>
        </w:tabs>
        <w:spacing w:line="480" w:lineRule="auto" w:before="0" w:after="0"/>
        <w:ind w:left="1431" w:right="476" w:firstLine="0"/>
        <w:jc w:val="left"/>
        <w:rPr>
          <w:sz w:val="24"/>
        </w:rPr>
      </w:pPr>
      <w:r>
        <w:rPr>
          <w:sz w:val="24"/>
        </w:rPr>
        <w:t>What</w:t>
      </w:r>
      <w:r>
        <w:rPr>
          <w:spacing w:val="80"/>
          <w:sz w:val="24"/>
        </w:rPr>
        <w:t> </w:t>
      </w:r>
      <w:r>
        <w:rPr>
          <w:sz w:val="24"/>
        </w:rPr>
        <w:t>are</w:t>
      </w:r>
      <w:r>
        <w:rPr>
          <w:spacing w:val="80"/>
          <w:sz w:val="24"/>
        </w:rPr>
        <w:t> </w:t>
      </w:r>
      <w:r>
        <w:rPr>
          <w:sz w:val="24"/>
        </w:rPr>
        <w:t>the</w:t>
      </w:r>
      <w:r>
        <w:rPr>
          <w:spacing w:val="80"/>
          <w:sz w:val="24"/>
        </w:rPr>
        <w:t> </w:t>
      </w:r>
      <w:r>
        <w:rPr>
          <w:sz w:val="24"/>
        </w:rPr>
        <w:t>main</w:t>
      </w:r>
      <w:r>
        <w:rPr>
          <w:spacing w:val="80"/>
          <w:sz w:val="24"/>
        </w:rPr>
        <w:t> </w:t>
      </w:r>
      <w:r>
        <w:rPr>
          <w:sz w:val="24"/>
        </w:rPr>
        <w:t>factors</w:t>
      </w:r>
      <w:r>
        <w:rPr>
          <w:spacing w:val="80"/>
          <w:sz w:val="24"/>
        </w:rPr>
        <w:t> </w:t>
      </w:r>
      <w:r>
        <w:rPr>
          <w:sz w:val="24"/>
        </w:rPr>
        <w:t>influencing</w:t>
      </w:r>
      <w:r>
        <w:rPr>
          <w:spacing w:val="80"/>
          <w:sz w:val="24"/>
        </w:rPr>
        <w:t> </w:t>
      </w:r>
      <w:r>
        <w:rPr>
          <w:sz w:val="24"/>
        </w:rPr>
        <w:t>portfolio</w:t>
      </w:r>
      <w:r>
        <w:rPr>
          <w:spacing w:val="80"/>
          <w:sz w:val="24"/>
        </w:rPr>
        <w:t> </w:t>
      </w:r>
      <w:r>
        <w:rPr>
          <w:sz w:val="24"/>
        </w:rPr>
        <w:t>choice</w:t>
      </w:r>
      <w:r>
        <w:rPr>
          <w:spacing w:val="80"/>
          <w:sz w:val="24"/>
        </w:rPr>
        <w:t> </w:t>
      </w:r>
      <w:r>
        <w:rPr>
          <w:sz w:val="24"/>
        </w:rPr>
        <w:t>of</w:t>
      </w:r>
      <w:r>
        <w:rPr>
          <w:spacing w:val="80"/>
          <w:sz w:val="24"/>
        </w:rPr>
        <w:t> </w:t>
      </w:r>
      <w:r>
        <w:rPr>
          <w:sz w:val="24"/>
        </w:rPr>
        <w:t>private</w:t>
      </w:r>
      <w:r>
        <w:rPr>
          <w:spacing w:val="80"/>
          <w:sz w:val="24"/>
        </w:rPr>
        <w:t> </w:t>
      </w:r>
      <w:r>
        <w:rPr>
          <w:sz w:val="24"/>
        </w:rPr>
        <w:t>wealth</w:t>
      </w:r>
      <w:r>
        <w:rPr>
          <w:spacing w:val="80"/>
          <w:sz w:val="24"/>
        </w:rPr>
        <w:t> </w:t>
      </w:r>
      <w:r>
        <w:rPr>
          <w:sz w:val="24"/>
        </w:rPr>
        <w:t>holders</w:t>
      </w:r>
      <w:r>
        <w:rPr>
          <w:spacing w:val="80"/>
          <w:sz w:val="24"/>
        </w:rPr>
        <w:t> </w:t>
      </w:r>
      <w:r>
        <w:rPr>
          <w:sz w:val="24"/>
        </w:rPr>
        <w:t>in </w:t>
      </w:r>
      <w:r>
        <w:rPr>
          <w:spacing w:val="-2"/>
          <w:sz w:val="24"/>
        </w:rPr>
        <w:t>Nigeria?</w:t>
      </w:r>
    </w:p>
    <w:p>
      <w:pPr>
        <w:pStyle w:val="ListParagraph"/>
        <w:numPr>
          <w:ilvl w:val="3"/>
          <w:numId w:val="7"/>
        </w:numPr>
        <w:tabs>
          <w:tab w:pos="2151" w:val="left" w:leader="none"/>
        </w:tabs>
        <w:spacing w:line="240" w:lineRule="auto" w:before="0" w:after="0"/>
        <w:ind w:left="2151" w:right="0" w:hanging="720"/>
        <w:jc w:val="left"/>
        <w:rPr>
          <w:sz w:val="24"/>
        </w:rPr>
      </w:pPr>
      <w:r>
        <w:rPr>
          <w:sz w:val="24"/>
        </w:rPr>
        <w:t>How</w:t>
      </w:r>
      <w:r>
        <w:rPr>
          <w:spacing w:val="-5"/>
          <w:sz w:val="24"/>
        </w:rPr>
        <w:t> </w:t>
      </w:r>
      <w:r>
        <w:rPr>
          <w:sz w:val="24"/>
        </w:rPr>
        <w:t>can</w:t>
      </w:r>
      <w:r>
        <w:rPr>
          <w:spacing w:val="1"/>
          <w:sz w:val="24"/>
        </w:rPr>
        <w:t> </w:t>
      </w:r>
      <w:r>
        <w:rPr>
          <w:sz w:val="24"/>
        </w:rPr>
        <w:t>capital</w:t>
      </w:r>
      <w:r>
        <w:rPr>
          <w:spacing w:val="-1"/>
          <w:sz w:val="24"/>
        </w:rPr>
        <w:t> </w:t>
      </w:r>
      <w:r>
        <w:rPr>
          <w:sz w:val="24"/>
        </w:rPr>
        <w:t>flight</w:t>
      </w:r>
      <w:r>
        <w:rPr>
          <w:spacing w:val="-1"/>
          <w:sz w:val="24"/>
        </w:rPr>
        <w:t> </w:t>
      </w:r>
      <w:r>
        <w:rPr>
          <w:sz w:val="24"/>
        </w:rPr>
        <w:t>be</w:t>
      </w:r>
      <w:r>
        <w:rPr>
          <w:spacing w:val="-1"/>
          <w:sz w:val="24"/>
        </w:rPr>
        <w:t> </w:t>
      </w:r>
      <w:r>
        <w:rPr>
          <w:sz w:val="24"/>
        </w:rPr>
        <w:t>stemmed</w:t>
      </w:r>
      <w:r>
        <w:rPr>
          <w:spacing w:val="-1"/>
          <w:sz w:val="24"/>
        </w:rPr>
        <w:t> </w:t>
      </w:r>
      <w:r>
        <w:rPr>
          <w:sz w:val="24"/>
        </w:rPr>
        <w:t>and</w:t>
      </w:r>
      <w:r>
        <w:rPr>
          <w:spacing w:val="-1"/>
          <w:sz w:val="24"/>
        </w:rPr>
        <w:t> </w:t>
      </w:r>
      <w:r>
        <w:rPr>
          <w:sz w:val="24"/>
        </w:rPr>
        <w:t>reversed</w:t>
      </w:r>
      <w:r>
        <w:rPr>
          <w:spacing w:val="-1"/>
          <w:sz w:val="24"/>
        </w:rPr>
        <w:t> </w:t>
      </w:r>
      <w:r>
        <w:rPr>
          <w:sz w:val="24"/>
        </w:rPr>
        <w:t>in</w:t>
      </w:r>
      <w:r>
        <w:rPr>
          <w:spacing w:val="1"/>
          <w:sz w:val="24"/>
        </w:rPr>
        <w:t> </w:t>
      </w:r>
      <w:r>
        <w:rPr>
          <w:spacing w:val="-2"/>
          <w:sz w:val="24"/>
        </w:rPr>
        <w:t>Nigeria?</w:t>
      </w:r>
    </w:p>
    <w:p>
      <w:pPr>
        <w:spacing w:after="0" w:line="240" w:lineRule="auto"/>
        <w:jc w:val="left"/>
        <w:rPr>
          <w:sz w:val="24"/>
        </w:rPr>
        <w:sectPr>
          <w:pgSz w:w="11910" w:h="16840"/>
          <w:pgMar w:header="0" w:footer="979" w:top="1360" w:bottom="1240" w:left="280" w:right="0"/>
        </w:sectPr>
      </w:pPr>
    </w:p>
    <w:p>
      <w:pPr>
        <w:pStyle w:val="Heading6"/>
        <w:numPr>
          <w:ilvl w:val="2"/>
          <w:numId w:val="7"/>
        </w:numPr>
        <w:tabs>
          <w:tab w:pos="1431" w:val="left" w:leader="none"/>
        </w:tabs>
        <w:spacing w:line="240" w:lineRule="auto" w:before="60" w:after="0"/>
        <w:ind w:left="1431" w:right="0" w:hanging="720"/>
        <w:jc w:val="left"/>
      </w:pPr>
      <w:r>
        <w:rPr/>
        <w:t>Research</w:t>
      </w:r>
      <w:r>
        <w:rPr>
          <w:spacing w:val="-2"/>
        </w:rPr>
        <w:t> Hypotheses</w:t>
      </w:r>
    </w:p>
    <w:p>
      <w:pPr>
        <w:pStyle w:val="BodyText"/>
        <w:spacing w:before="1"/>
        <w:rPr>
          <w:b/>
        </w:rPr>
      </w:pPr>
    </w:p>
    <w:p>
      <w:pPr>
        <w:pStyle w:val="BodyText"/>
        <w:spacing w:line="480" w:lineRule="auto"/>
        <w:ind w:left="711" w:right="475"/>
      </w:pPr>
      <w:r>
        <w:rPr/>
        <w:t>In</w:t>
      </w:r>
      <w:r>
        <w:rPr>
          <w:spacing w:val="-2"/>
        </w:rPr>
        <w:t> </w:t>
      </w:r>
      <w:r>
        <w:rPr/>
        <w:t>order</w:t>
      </w:r>
      <w:r>
        <w:rPr>
          <w:spacing w:val="-2"/>
        </w:rPr>
        <w:t> </w:t>
      </w:r>
      <w:r>
        <w:rPr/>
        <w:t>to</w:t>
      </w:r>
      <w:r>
        <w:rPr>
          <w:spacing w:val="-2"/>
        </w:rPr>
        <w:t> </w:t>
      </w:r>
      <w:r>
        <w:rPr/>
        <w:t>achieve</w:t>
      </w:r>
      <w:r>
        <w:rPr>
          <w:spacing w:val="-4"/>
        </w:rPr>
        <w:t> </w:t>
      </w:r>
      <w:r>
        <w:rPr/>
        <w:t>the</w:t>
      </w:r>
      <w:r>
        <w:rPr>
          <w:spacing w:val="-3"/>
        </w:rPr>
        <w:t> </w:t>
      </w:r>
      <w:r>
        <w:rPr/>
        <w:t>above</w:t>
      </w:r>
      <w:r>
        <w:rPr>
          <w:spacing w:val="-3"/>
        </w:rPr>
        <w:t> </w:t>
      </w:r>
      <w:r>
        <w:rPr/>
        <w:t>stated</w:t>
      </w:r>
      <w:r>
        <w:rPr>
          <w:spacing w:val="-2"/>
        </w:rPr>
        <w:t> </w:t>
      </w:r>
      <w:r>
        <w:rPr/>
        <w:t>objectives,</w:t>
      </w:r>
      <w:r>
        <w:rPr>
          <w:spacing w:val="-2"/>
        </w:rPr>
        <w:t> </w:t>
      </w:r>
      <w:r>
        <w:rPr/>
        <w:t>the</w:t>
      </w:r>
      <w:r>
        <w:rPr>
          <w:spacing w:val="-1"/>
        </w:rPr>
        <w:t> </w:t>
      </w:r>
      <w:r>
        <w:rPr/>
        <w:t>following</w:t>
      </w:r>
      <w:r>
        <w:rPr>
          <w:spacing w:val="-5"/>
        </w:rPr>
        <w:t> </w:t>
      </w:r>
      <w:r>
        <w:rPr/>
        <w:t>five</w:t>
      </w:r>
      <w:r>
        <w:rPr>
          <w:spacing w:val="-4"/>
        </w:rPr>
        <w:t> </w:t>
      </w:r>
      <w:r>
        <w:rPr/>
        <w:t>null</w:t>
      </w:r>
      <w:r>
        <w:rPr>
          <w:spacing w:val="-2"/>
        </w:rPr>
        <w:t> </w:t>
      </w:r>
      <w:r>
        <w:rPr/>
        <w:t>hypotheses</w:t>
      </w:r>
      <w:r>
        <w:rPr>
          <w:spacing w:val="-2"/>
        </w:rPr>
        <w:t> </w:t>
      </w:r>
      <w:r>
        <w:rPr/>
        <w:t>are</w:t>
      </w:r>
      <w:r>
        <w:rPr>
          <w:spacing w:val="-2"/>
        </w:rPr>
        <w:t> </w:t>
      </w:r>
      <w:r>
        <w:rPr/>
        <w:t>formulated</w:t>
      </w:r>
      <w:r>
        <w:rPr>
          <w:spacing w:val="-1"/>
        </w:rPr>
        <w:t> </w:t>
      </w:r>
      <w:r>
        <w:rPr/>
        <w:t>for</w:t>
      </w:r>
      <w:r>
        <w:rPr>
          <w:spacing w:val="-2"/>
        </w:rPr>
        <w:t> </w:t>
      </w:r>
      <w:r>
        <w:rPr/>
        <w:t>testing: </w:t>
      </w:r>
      <w:r>
        <w:rPr>
          <w:position w:val="2"/>
        </w:rPr>
        <w:t>H</w:t>
      </w:r>
      <w:r>
        <w:rPr>
          <w:sz w:val="16"/>
        </w:rPr>
        <w:t>01</w:t>
      </w:r>
      <w:r>
        <w:rPr>
          <w:position w:val="2"/>
        </w:rPr>
        <w:t>:</w:t>
      </w:r>
      <w:r>
        <w:rPr>
          <w:spacing w:val="80"/>
          <w:position w:val="2"/>
        </w:rPr>
        <w:t> </w:t>
      </w:r>
      <w:r>
        <w:rPr>
          <w:position w:val="2"/>
        </w:rPr>
        <w:t>Macroeconomic, Political and Institutional factors do not cause capital flight in Nigeria.</w:t>
      </w:r>
    </w:p>
    <w:p>
      <w:pPr>
        <w:pStyle w:val="BodyText"/>
        <w:tabs>
          <w:tab w:pos="1352" w:val="left" w:leader="none"/>
        </w:tabs>
        <w:spacing w:line="275" w:lineRule="exact"/>
        <w:ind w:left="711"/>
      </w:pPr>
      <w:r>
        <w:rPr>
          <w:spacing w:val="-4"/>
          <w:position w:val="2"/>
        </w:rPr>
        <w:t>H</w:t>
      </w:r>
      <w:r>
        <w:rPr>
          <w:spacing w:val="-4"/>
          <w:sz w:val="16"/>
        </w:rPr>
        <w:t>02</w:t>
      </w:r>
      <w:r>
        <w:rPr>
          <w:spacing w:val="-4"/>
          <w:position w:val="2"/>
        </w:rPr>
        <w:t>:</w:t>
      </w:r>
      <w:r>
        <w:rPr>
          <w:position w:val="2"/>
        </w:rPr>
        <w:tab/>
        <w:t>Capital</w:t>
      </w:r>
      <w:r>
        <w:rPr>
          <w:spacing w:val="-4"/>
          <w:position w:val="2"/>
        </w:rPr>
        <w:t> </w:t>
      </w:r>
      <w:r>
        <w:rPr>
          <w:position w:val="2"/>
        </w:rPr>
        <w:t>flight</w:t>
      </w:r>
      <w:r>
        <w:rPr>
          <w:spacing w:val="-1"/>
          <w:position w:val="2"/>
        </w:rPr>
        <w:t> </w:t>
      </w:r>
      <w:r>
        <w:rPr>
          <w:position w:val="2"/>
        </w:rPr>
        <w:t>has</w:t>
      </w:r>
      <w:r>
        <w:rPr>
          <w:spacing w:val="-1"/>
          <w:position w:val="2"/>
        </w:rPr>
        <w:t> </w:t>
      </w:r>
      <w:r>
        <w:rPr>
          <w:position w:val="2"/>
        </w:rPr>
        <w:t>no</w:t>
      </w:r>
      <w:r>
        <w:rPr>
          <w:spacing w:val="-1"/>
          <w:position w:val="2"/>
        </w:rPr>
        <w:t> </w:t>
      </w:r>
      <w:r>
        <w:rPr>
          <w:position w:val="2"/>
        </w:rPr>
        <w:t>significant effect</w:t>
      </w:r>
      <w:r>
        <w:rPr>
          <w:spacing w:val="-1"/>
          <w:position w:val="2"/>
        </w:rPr>
        <w:t> </w:t>
      </w:r>
      <w:r>
        <w:rPr>
          <w:position w:val="2"/>
        </w:rPr>
        <w:t>on</w:t>
      </w:r>
      <w:r>
        <w:rPr>
          <w:spacing w:val="1"/>
          <w:position w:val="2"/>
        </w:rPr>
        <w:t> </w:t>
      </w:r>
      <w:r>
        <w:rPr>
          <w:position w:val="2"/>
        </w:rPr>
        <w:t>the</w:t>
      </w:r>
      <w:r>
        <w:rPr>
          <w:spacing w:val="-2"/>
          <w:position w:val="2"/>
        </w:rPr>
        <w:t> </w:t>
      </w:r>
      <w:r>
        <w:rPr>
          <w:position w:val="2"/>
        </w:rPr>
        <w:t>Nigeria’s</w:t>
      </w:r>
      <w:r>
        <w:rPr>
          <w:spacing w:val="-3"/>
          <w:position w:val="2"/>
        </w:rPr>
        <w:t> </w:t>
      </w:r>
      <w:r>
        <w:rPr>
          <w:position w:val="2"/>
        </w:rPr>
        <w:t>economic</w:t>
      </w:r>
      <w:r>
        <w:rPr>
          <w:spacing w:val="1"/>
          <w:position w:val="2"/>
        </w:rPr>
        <w:t> </w:t>
      </w:r>
      <w:r>
        <w:rPr>
          <w:spacing w:val="-2"/>
          <w:position w:val="2"/>
        </w:rPr>
        <w:t>growth.</w:t>
      </w:r>
    </w:p>
    <w:p>
      <w:pPr>
        <w:pStyle w:val="BodyText"/>
        <w:tabs>
          <w:tab w:pos="1352" w:val="left" w:leader="none"/>
        </w:tabs>
        <w:spacing w:line="477" w:lineRule="auto" w:before="273"/>
        <w:ind w:left="711" w:right="475"/>
      </w:pPr>
      <w:r>
        <w:rPr>
          <w:spacing w:val="-4"/>
          <w:position w:val="2"/>
        </w:rPr>
        <w:t>H</w:t>
      </w:r>
      <w:r>
        <w:rPr>
          <w:spacing w:val="-4"/>
          <w:sz w:val="16"/>
        </w:rPr>
        <w:t>03</w:t>
      </w:r>
      <w:r>
        <w:rPr>
          <w:spacing w:val="-4"/>
          <w:position w:val="2"/>
        </w:rPr>
        <w:t>:</w:t>
      </w:r>
      <w:r>
        <w:rPr>
          <w:position w:val="2"/>
        </w:rPr>
        <w:tab/>
        <w:t>Political,</w:t>
      </w:r>
      <w:r>
        <w:rPr>
          <w:spacing w:val="-2"/>
          <w:position w:val="2"/>
        </w:rPr>
        <w:t> </w:t>
      </w:r>
      <w:r>
        <w:rPr>
          <w:position w:val="2"/>
        </w:rPr>
        <w:t>Economic</w:t>
      </w:r>
      <w:r>
        <w:rPr>
          <w:spacing w:val="-4"/>
          <w:position w:val="2"/>
        </w:rPr>
        <w:t> </w:t>
      </w:r>
      <w:r>
        <w:rPr>
          <w:position w:val="2"/>
        </w:rPr>
        <w:t>and</w:t>
      </w:r>
      <w:r>
        <w:rPr>
          <w:spacing w:val="-1"/>
          <w:position w:val="2"/>
        </w:rPr>
        <w:t> </w:t>
      </w:r>
      <w:r>
        <w:rPr>
          <w:position w:val="2"/>
        </w:rPr>
        <w:t>Institutional</w:t>
      </w:r>
      <w:r>
        <w:rPr>
          <w:spacing w:val="-2"/>
          <w:position w:val="2"/>
        </w:rPr>
        <w:t> </w:t>
      </w:r>
      <w:r>
        <w:rPr>
          <w:position w:val="2"/>
        </w:rPr>
        <w:t>factors</w:t>
      </w:r>
      <w:r>
        <w:rPr>
          <w:spacing w:val="-1"/>
          <w:position w:val="2"/>
        </w:rPr>
        <w:t> </w:t>
      </w:r>
      <w:r>
        <w:rPr>
          <w:position w:val="2"/>
        </w:rPr>
        <w:t>do</w:t>
      </w:r>
      <w:r>
        <w:rPr>
          <w:spacing w:val="-3"/>
          <w:position w:val="2"/>
        </w:rPr>
        <w:t> </w:t>
      </w:r>
      <w:r>
        <w:rPr>
          <w:position w:val="2"/>
        </w:rPr>
        <w:t>not</w:t>
      </w:r>
      <w:r>
        <w:rPr>
          <w:spacing w:val="-3"/>
          <w:position w:val="2"/>
        </w:rPr>
        <w:t> </w:t>
      </w:r>
      <w:r>
        <w:rPr>
          <w:position w:val="2"/>
        </w:rPr>
        <w:t>influence</w:t>
      </w:r>
      <w:r>
        <w:rPr>
          <w:spacing w:val="-4"/>
          <w:position w:val="2"/>
        </w:rPr>
        <w:t> </w:t>
      </w:r>
      <w:r>
        <w:rPr>
          <w:position w:val="2"/>
        </w:rPr>
        <w:t>the</w:t>
      </w:r>
      <w:r>
        <w:rPr>
          <w:spacing w:val="-3"/>
          <w:position w:val="2"/>
        </w:rPr>
        <w:t> </w:t>
      </w:r>
      <w:r>
        <w:rPr>
          <w:position w:val="2"/>
        </w:rPr>
        <w:t>choice</w:t>
      </w:r>
      <w:r>
        <w:rPr>
          <w:spacing w:val="-4"/>
          <w:position w:val="2"/>
        </w:rPr>
        <w:t> </w:t>
      </w:r>
      <w:r>
        <w:rPr>
          <w:position w:val="2"/>
        </w:rPr>
        <w:t>of</w:t>
      </w:r>
      <w:r>
        <w:rPr>
          <w:spacing w:val="-3"/>
          <w:position w:val="2"/>
        </w:rPr>
        <w:t> </w:t>
      </w:r>
      <w:r>
        <w:rPr>
          <w:position w:val="2"/>
        </w:rPr>
        <w:t>private</w:t>
      </w:r>
      <w:r>
        <w:rPr>
          <w:spacing w:val="-3"/>
          <w:position w:val="2"/>
        </w:rPr>
        <w:t> </w:t>
      </w:r>
      <w:r>
        <w:rPr>
          <w:position w:val="2"/>
        </w:rPr>
        <w:t>wealth</w:t>
      </w:r>
      <w:r>
        <w:rPr>
          <w:spacing w:val="80"/>
          <w:position w:val="2"/>
        </w:rPr>
        <w:t> </w:t>
      </w:r>
      <w:r>
        <w:rPr>
          <w:position w:val="2"/>
        </w:rPr>
        <w:t>holders</w:t>
      </w:r>
      <w:r>
        <w:rPr>
          <w:spacing w:val="80"/>
          <w:position w:val="2"/>
        </w:rPr>
        <w:t> </w:t>
      </w:r>
      <w:r>
        <w:rPr>
          <w:position w:val="2"/>
        </w:rPr>
        <w:t>in </w:t>
      </w:r>
      <w:r>
        <w:rPr>
          <w:spacing w:val="-2"/>
        </w:rPr>
        <w:t>Nigeria.</w:t>
      </w:r>
    </w:p>
    <w:p>
      <w:pPr>
        <w:pStyle w:val="BodyText"/>
        <w:tabs>
          <w:tab w:pos="1287" w:val="left" w:leader="none"/>
        </w:tabs>
        <w:spacing w:before="3"/>
        <w:ind w:left="711"/>
      </w:pPr>
      <w:r>
        <w:rPr>
          <w:spacing w:val="-5"/>
          <w:position w:val="2"/>
        </w:rPr>
        <w:t>H</w:t>
      </w:r>
      <w:r>
        <w:rPr>
          <w:spacing w:val="-5"/>
          <w:sz w:val="16"/>
        </w:rPr>
        <w:t>04</w:t>
      </w:r>
      <w:r>
        <w:rPr>
          <w:sz w:val="16"/>
        </w:rPr>
        <w:tab/>
      </w:r>
      <w:r>
        <w:rPr>
          <w:position w:val="2"/>
        </w:rPr>
        <w:t>Capital</w:t>
      </w:r>
      <w:r>
        <w:rPr>
          <w:spacing w:val="-4"/>
          <w:position w:val="2"/>
        </w:rPr>
        <w:t> </w:t>
      </w:r>
      <w:r>
        <w:rPr>
          <w:position w:val="2"/>
        </w:rPr>
        <w:t>flight</w:t>
      </w:r>
      <w:r>
        <w:rPr>
          <w:spacing w:val="-1"/>
          <w:position w:val="2"/>
        </w:rPr>
        <w:t> </w:t>
      </w:r>
      <w:r>
        <w:rPr>
          <w:position w:val="2"/>
        </w:rPr>
        <w:t>cannot</w:t>
      </w:r>
      <w:r>
        <w:rPr>
          <w:spacing w:val="-1"/>
          <w:position w:val="2"/>
        </w:rPr>
        <w:t> </w:t>
      </w:r>
      <w:r>
        <w:rPr>
          <w:position w:val="2"/>
        </w:rPr>
        <w:t>be</w:t>
      </w:r>
      <w:r>
        <w:rPr>
          <w:spacing w:val="-2"/>
          <w:position w:val="2"/>
        </w:rPr>
        <w:t> </w:t>
      </w:r>
      <w:r>
        <w:rPr>
          <w:position w:val="2"/>
        </w:rPr>
        <w:t>stemmed</w:t>
      </w:r>
      <w:r>
        <w:rPr>
          <w:spacing w:val="-1"/>
          <w:position w:val="2"/>
        </w:rPr>
        <w:t> </w:t>
      </w:r>
      <w:r>
        <w:rPr>
          <w:position w:val="2"/>
        </w:rPr>
        <w:t>nor</w:t>
      </w:r>
      <w:r>
        <w:rPr>
          <w:spacing w:val="-2"/>
          <w:position w:val="2"/>
        </w:rPr>
        <w:t> </w:t>
      </w:r>
      <w:r>
        <w:rPr>
          <w:position w:val="2"/>
        </w:rPr>
        <w:t>reversed</w:t>
      </w:r>
      <w:r>
        <w:rPr>
          <w:spacing w:val="-1"/>
          <w:position w:val="2"/>
        </w:rPr>
        <w:t> </w:t>
      </w:r>
      <w:r>
        <w:rPr>
          <w:position w:val="2"/>
        </w:rPr>
        <w:t>in</w:t>
      </w:r>
      <w:r>
        <w:rPr>
          <w:spacing w:val="-1"/>
          <w:position w:val="2"/>
        </w:rPr>
        <w:t> </w:t>
      </w:r>
      <w:r>
        <w:rPr>
          <w:spacing w:val="-2"/>
          <w:position w:val="2"/>
        </w:rPr>
        <w:t>Nigeria.</w:t>
      </w:r>
    </w:p>
    <w:p>
      <w:pPr>
        <w:pStyle w:val="BodyText"/>
      </w:pPr>
    </w:p>
    <w:p>
      <w:pPr>
        <w:pStyle w:val="BodyText"/>
        <w:spacing w:before="275"/>
      </w:pPr>
    </w:p>
    <w:p>
      <w:pPr>
        <w:pStyle w:val="Heading6"/>
        <w:numPr>
          <w:ilvl w:val="1"/>
          <w:numId w:val="7"/>
        </w:numPr>
        <w:tabs>
          <w:tab w:pos="1431" w:val="left" w:leader="none"/>
        </w:tabs>
        <w:spacing w:line="240" w:lineRule="auto" w:before="0" w:after="0"/>
        <w:ind w:left="1431" w:right="0" w:hanging="720"/>
        <w:jc w:val="left"/>
      </w:pPr>
      <w:r>
        <w:rPr/>
        <w:t>Significance</w:t>
      </w:r>
      <w:r>
        <w:rPr>
          <w:spacing w:val="-3"/>
        </w:rPr>
        <w:t> </w:t>
      </w:r>
      <w:r>
        <w:rPr/>
        <w:t>of</w:t>
      </w:r>
      <w:r>
        <w:rPr>
          <w:spacing w:val="1"/>
        </w:rPr>
        <w:t> </w:t>
      </w:r>
      <w:r>
        <w:rPr/>
        <w:t>the</w:t>
      </w:r>
      <w:r>
        <w:rPr>
          <w:spacing w:val="-1"/>
        </w:rPr>
        <w:t> </w:t>
      </w:r>
      <w:r>
        <w:rPr>
          <w:spacing w:val="-4"/>
        </w:rPr>
        <w:t>Study</w:t>
      </w:r>
    </w:p>
    <w:p>
      <w:pPr>
        <w:pStyle w:val="BodyText"/>
        <w:rPr>
          <w:b/>
        </w:rPr>
      </w:pPr>
    </w:p>
    <w:p>
      <w:pPr>
        <w:pStyle w:val="BodyText"/>
        <w:spacing w:line="480" w:lineRule="auto"/>
        <w:ind w:left="711" w:right="473"/>
        <w:jc w:val="both"/>
      </w:pPr>
      <w:r>
        <w:rPr/>
        <w:t>In view of the adverse implications of capital flight, providing insight into possible strategies to effect</w:t>
      </w:r>
      <w:r>
        <w:rPr>
          <w:spacing w:val="40"/>
        </w:rPr>
        <w:t> </w:t>
      </w:r>
      <w:r>
        <w:rPr/>
        <w:t>capital flight reversal is crucial at this time. Given the perspectives from which capital flight can be viewed, it is important to study it for any economy in order to ascertain which of the perspectives of capital flight really holds for the country. The economic arguments against capital flight from developing countries are not only convincing but are often too strong to be ignored. First, the outflow of capital can cause a shortage of liquidity in the economy and thereby create a shortfall in the amount of funds that are needed for the importation of productive goods, as well as, intermediate goods which are needed for development. In addition, the shortage of liquidity in the economy can lead to the exertion of upward pressure on interest </w:t>
      </w:r>
      <w:r>
        <w:rPr>
          <w:spacing w:val="-2"/>
        </w:rPr>
        <w:t>rates.</w:t>
      </w:r>
    </w:p>
    <w:p>
      <w:pPr>
        <w:pStyle w:val="BodyText"/>
        <w:spacing w:line="480" w:lineRule="auto" w:before="1"/>
        <w:ind w:left="711" w:right="473"/>
        <w:jc w:val="both"/>
      </w:pPr>
      <w:r>
        <w:rPr/>
        <w:t>Furthermore, given the fact that capital outflow is a diversion of domestic savings away from domestic real investment,</w:t>
      </w:r>
      <w:r>
        <w:rPr>
          <w:spacing w:val="-2"/>
        </w:rPr>
        <w:t> </w:t>
      </w:r>
      <w:r>
        <w:rPr/>
        <w:t>the</w:t>
      </w:r>
      <w:r>
        <w:rPr>
          <w:spacing w:val="-3"/>
        </w:rPr>
        <w:t> </w:t>
      </w:r>
      <w:r>
        <w:rPr/>
        <w:t>pace</w:t>
      </w:r>
      <w:r>
        <w:rPr>
          <w:spacing w:val="-3"/>
        </w:rPr>
        <w:t> </w:t>
      </w:r>
      <w:r>
        <w:rPr/>
        <w:t>of growth</w:t>
      </w:r>
      <w:r>
        <w:rPr>
          <w:spacing w:val="-2"/>
        </w:rPr>
        <w:t> </w:t>
      </w:r>
      <w:r>
        <w:rPr/>
        <w:t>and</w:t>
      </w:r>
      <w:r>
        <w:rPr>
          <w:spacing w:val="-2"/>
        </w:rPr>
        <w:t> </w:t>
      </w:r>
      <w:r>
        <w:rPr/>
        <w:t>development</w:t>
      </w:r>
      <w:r>
        <w:rPr>
          <w:spacing w:val="-2"/>
        </w:rPr>
        <w:t> </w:t>
      </w:r>
      <w:r>
        <w:rPr/>
        <w:t>is</w:t>
      </w:r>
      <w:r>
        <w:rPr>
          <w:spacing w:val="-2"/>
        </w:rPr>
        <w:t> </w:t>
      </w:r>
      <w:r>
        <w:rPr/>
        <w:t>retarded</w:t>
      </w:r>
      <w:r>
        <w:rPr>
          <w:spacing w:val="-2"/>
        </w:rPr>
        <w:t> </w:t>
      </w:r>
      <w:r>
        <w:rPr/>
        <w:t>from</w:t>
      </w:r>
      <w:r>
        <w:rPr>
          <w:spacing w:val="-2"/>
        </w:rPr>
        <w:t> </w:t>
      </w:r>
      <w:r>
        <w:rPr/>
        <w:t>what</w:t>
      </w:r>
      <w:r>
        <w:rPr>
          <w:spacing w:val="-2"/>
        </w:rPr>
        <w:t> </w:t>
      </w:r>
      <w:r>
        <w:rPr/>
        <w:t>it</w:t>
      </w:r>
      <w:r>
        <w:rPr>
          <w:spacing w:val="-2"/>
        </w:rPr>
        <w:t> </w:t>
      </w:r>
      <w:r>
        <w:rPr/>
        <w:t>would</w:t>
      </w:r>
      <w:r>
        <w:rPr>
          <w:spacing w:val="-2"/>
        </w:rPr>
        <w:t> </w:t>
      </w:r>
      <w:r>
        <w:rPr/>
        <w:t>have</w:t>
      </w:r>
      <w:r>
        <w:rPr>
          <w:spacing w:val="-4"/>
        </w:rPr>
        <w:t> </w:t>
      </w:r>
      <w:r>
        <w:rPr/>
        <w:t>been</w:t>
      </w:r>
      <w:r>
        <w:rPr>
          <w:spacing w:val="-2"/>
        </w:rPr>
        <w:t> </w:t>
      </w:r>
      <w:r>
        <w:rPr/>
        <w:t>otherwise.</w:t>
      </w:r>
      <w:r>
        <w:rPr>
          <w:spacing w:val="-2"/>
        </w:rPr>
        <w:t> </w:t>
      </w:r>
      <w:r>
        <w:rPr/>
        <w:t>Again, the income that is generated abroad and the wealth that are held abroad are outside the purview of domestic authorities and therefore cannot be taxed. Thus, potential government revenue is reduced and hence the</w:t>
      </w:r>
      <w:r>
        <w:rPr>
          <w:spacing w:val="40"/>
        </w:rPr>
        <w:t> </w:t>
      </w:r>
      <w:r>
        <w:rPr/>
        <w:t>debt-servicing capacity</w:t>
      </w:r>
      <w:r>
        <w:rPr>
          <w:spacing w:val="-1"/>
        </w:rPr>
        <w:t> </w:t>
      </w:r>
      <w:r>
        <w:rPr/>
        <w:t>of government’s debt is affected. The aforementioned consequences of capital flight call for prompt attention and the findings of this study will be of high significance to the government, the academic community, future researchers, local and foreign investors and the entire public.</w:t>
      </w:r>
    </w:p>
    <w:p>
      <w:pPr>
        <w:spacing w:after="0" w:line="480" w:lineRule="auto"/>
        <w:jc w:val="both"/>
        <w:sectPr>
          <w:pgSz w:w="11910" w:h="16840"/>
          <w:pgMar w:header="0" w:footer="979" w:top="1360" w:bottom="1240" w:left="280" w:right="0"/>
        </w:sectPr>
      </w:pPr>
    </w:p>
    <w:p>
      <w:pPr>
        <w:pStyle w:val="BodyText"/>
        <w:spacing w:line="480" w:lineRule="auto" w:before="60"/>
        <w:ind w:left="711" w:right="471"/>
        <w:jc w:val="both"/>
      </w:pPr>
      <w:r>
        <w:rPr/>
        <w:t>Despite the pronounced occurrence of capital flight in Nigeria, previous studies have focus mainly on the economic and political dimensions of the causes of capital flight, however,</w:t>
      </w:r>
      <w:r>
        <w:rPr>
          <w:spacing w:val="40"/>
        </w:rPr>
        <w:t> </w:t>
      </w:r>
      <w:r>
        <w:rPr/>
        <w:t>recent occurrence of Financial institutions</w:t>
      </w:r>
      <w:r>
        <w:rPr>
          <w:spacing w:val="-1"/>
        </w:rPr>
        <w:t> </w:t>
      </w:r>
      <w:r>
        <w:rPr/>
        <w:t>instability</w:t>
      </w:r>
      <w:r>
        <w:rPr>
          <w:spacing w:val="40"/>
        </w:rPr>
        <w:t> </w:t>
      </w:r>
      <w:r>
        <w:rPr/>
        <w:t>reveal that institutional factors could play</w:t>
      </w:r>
      <w:r>
        <w:rPr>
          <w:spacing w:val="-4"/>
        </w:rPr>
        <w:t> </w:t>
      </w:r>
      <w:r>
        <w:rPr/>
        <w:t>a very</w:t>
      </w:r>
      <w:r>
        <w:rPr>
          <w:spacing w:val="-4"/>
        </w:rPr>
        <w:t> </w:t>
      </w:r>
      <w:r>
        <w:rPr/>
        <w:t>critical role</w:t>
      </w:r>
      <w:r>
        <w:rPr>
          <w:spacing w:val="-1"/>
        </w:rPr>
        <w:t> </w:t>
      </w:r>
      <w:r>
        <w:rPr/>
        <w:t>in stemming</w:t>
      </w:r>
      <w:r>
        <w:rPr>
          <w:spacing w:val="-2"/>
        </w:rPr>
        <w:t> </w:t>
      </w:r>
      <w:r>
        <w:rPr/>
        <w:t>or boosting the</w:t>
      </w:r>
      <w:r>
        <w:rPr>
          <w:spacing w:val="-1"/>
        </w:rPr>
        <w:t> </w:t>
      </w:r>
      <w:r>
        <w:rPr/>
        <w:t>incidence</w:t>
      </w:r>
      <w:r>
        <w:rPr>
          <w:spacing w:val="-1"/>
        </w:rPr>
        <w:t> </w:t>
      </w:r>
      <w:r>
        <w:rPr/>
        <w:t>of</w:t>
      </w:r>
      <w:r>
        <w:rPr>
          <w:spacing w:val="-1"/>
        </w:rPr>
        <w:t> </w:t>
      </w:r>
      <w:r>
        <w:rPr/>
        <w:t>capital flight from the</w:t>
      </w:r>
      <w:r>
        <w:rPr>
          <w:spacing w:val="-1"/>
        </w:rPr>
        <w:t> </w:t>
      </w:r>
      <w:r>
        <w:rPr/>
        <w:t>domestic economies of</w:t>
      </w:r>
      <w:r>
        <w:rPr>
          <w:spacing w:val="-1"/>
        </w:rPr>
        <w:t> </w:t>
      </w:r>
      <w:r>
        <w:rPr/>
        <w:t>developing</w:t>
      </w:r>
      <w:r>
        <w:rPr>
          <w:spacing w:val="-3"/>
        </w:rPr>
        <w:t> </w:t>
      </w:r>
      <w:r>
        <w:rPr/>
        <w:t>nation. Hence, this research fills a crucial gap in literature in that it examines the economic, political and institutional determinants of capital flight</w:t>
      </w:r>
      <w:r>
        <w:rPr>
          <w:spacing w:val="-1"/>
        </w:rPr>
        <w:t> </w:t>
      </w:r>
      <w:r>
        <w:rPr/>
        <w:t>in</w:t>
      </w:r>
      <w:r>
        <w:rPr>
          <w:spacing w:val="-1"/>
        </w:rPr>
        <w:t> </w:t>
      </w:r>
      <w:r>
        <w:rPr/>
        <w:t>Nigeria</w:t>
      </w:r>
      <w:r>
        <w:rPr>
          <w:spacing w:val="-3"/>
        </w:rPr>
        <w:t> </w:t>
      </w:r>
      <w:r>
        <w:rPr/>
        <w:t>as well</w:t>
      </w:r>
      <w:r>
        <w:rPr>
          <w:spacing w:val="-1"/>
        </w:rPr>
        <w:t> </w:t>
      </w:r>
      <w:r>
        <w:rPr/>
        <w:t>as</w:t>
      </w:r>
      <w:r>
        <w:rPr>
          <w:spacing w:val="-1"/>
        </w:rPr>
        <w:t> </w:t>
      </w:r>
      <w:r>
        <w:rPr/>
        <w:t>the effect</w:t>
      </w:r>
      <w:r>
        <w:rPr>
          <w:spacing w:val="-1"/>
        </w:rPr>
        <w:t> </w:t>
      </w:r>
      <w:r>
        <w:rPr/>
        <w:t>of</w:t>
      </w:r>
      <w:r>
        <w:rPr>
          <w:spacing w:val="-1"/>
        </w:rPr>
        <w:t> </w:t>
      </w:r>
      <w:r>
        <w:rPr/>
        <w:t>these variables</w:t>
      </w:r>
      <w:r>
        <w:rPr>
          <w:spacing w:val="-1"/>
        </w:rPr>
        <w:t> </w:t>
      </w:r>
      <w:r>
        <w:rPr/>
        <w:t>on</w:t>
      </w:r>
      <w:r>
        <w:rPr>
          <w:spacing w:val="-1"/>
        </w:rPr>
        <w:t> </w:t>
      </w:r>
      <w:r>
        <w:rPr/>
        <w:t>the</w:t>
      </w:r>
      <w:r>
        <w:rPr>
          <w:spacing w:val="-2"/>
        </w:rPr>
        <w:t> </w:t>
      </w:r>
      <w:r>
        <w:rPr/>
        <w:t>economy</w:t>
      </w:r>
      <w:r>
        <w:rPr>
          <w:spacing w:val="-6"/>
        </w:rPr>
        <w:t> </w:t>
      </w:r>
      <w:r>
        <w:rPr/>
        <w:t>in</w:t>
      </w:r>
      <w:r>
        <w:rPr>
          <w:spacing w:val="-1"/>
        </w:rPr>
        <w:t> </w:t>
      </w:r>
      <w:r>
        <w:rPr/>
        <w:t>order</w:t>
      </w:r>
      <w:r>
        <w:rPr>
          <w:spacing w:val="-1"/>
        </w:rPr>
        <w:t> </w:t>
      </w:r>
      <w:r>
        <w:rPr/>
        <w:t>to</w:t>
      </w:r>
      <w:r>
        <w:rPr>
          <w:spacing w:val="-1"/>
        </w:rPr>
        <w:t> </w:t>
      </w:r>
      <w:r>
        <w:rPr/>
        <w:t>provide</w:t>
      </w:r>
      <w:r>
        <w:rPr>
          <w:spacing w:val="-3"/>
        </w:rPr>
        <w:t> </w:t>
      </w:r>
      <w:r>
        <w:rPr/>
        <w:t>reliable</w:t>
      </w:r>
      <w:r>
        <w:rPr>
          <w:spacing w:val="-1"/>
        </w:rPr>
        <w:t> </w:t>
      </w:r>
      <w:r>
        <w:rPr/>
        <w:t>empirical </w:t>
      </w:r>
      <w:r>
        <w:rPr>
          <w:spacing w:val="-2"/>
        </w:rPr>
        <w:t>evidence.</w:t>
      </w:r>
    </w:p>
    <w:p>
      <w:pPr>
        <w:pStyle w:val="Heading6"/>
        <w:numPr>
          <w:ilvl w:val="1"/>
          <w:numId w:val="7"/>
        </w:numPr>
        <w:tabs>
          <w:tab w:pos="1431" w:val="left" w:leader="none"/>
        </w:tabs>
        <w:spacing w:line="240" w:lineRule="auto" w:before="2" w:after="0"/>
        <w:ind w:left="1431" w:right="0" w:hanging="720"/>
        <w:jc w:val="both"/>
      </w:pPr>
      <w:r>
        <w:rPr/>
        <w:t>Scope</w:t>
      </w:r>
      <w:r>
        <w:rPr>
          <w:spacing w:val="-3"/>
        </w:rPr>
        <w:t> </w:t>
      </w:r>
      <w:r>
        <w:rPr/>
        <w:t>and</w:t>
      </w:r>
      <w:r>
        <w:rPr>
          <w:spacing w:val="-2"/>
        </w:rPr>
        <w:t> </w:t>
      </w:r>
      <w:r>
        <w:rPr/>
        <w:t>Delimitation</w:t>
      </w:r>
      <w:r>
        <w:rPr>
          <w:spacing w:val="2"/>
        </w:rPr>
        <w:t> </w:t>
      </w:r>
      <w:r>
        <w:rPr/>
        <w:t>of</w:t>
      </w:r>
      <w:r>
        <w:rPr>
          <w:spacing w:val="-1"/>
        </w:rPr>
        <w:t> </w:t>
      </w:r>
      <w:r>
        <w:rPr/>
        <w:t>the</w:t>
      </w:r>
      <w:r>
        <w:rPr>
          <w:spacing w:val="-1"/>
        </w:rPr>
        <w:t> </w:t>
      </w:r>
      <w:r>
        <w:rPr>
          <w:spacing w:val="-2"/>
        </w:rPr>
        <w:t>Study</w:t>
      </w:r>
    </w:p>
    <w:p>
      <w:pPr>
        <w:pStyle w:val="BodyText"/>
        <w:rPr>
          <w:b/>
        </w:rPr>
      </w:pPr>
    </w:p>
    <w:p>
      <w:pPr>
        <w:pStyle w:val="BodyText"/>
        <w:spacing w:line="480" w:lineRule="auto"/>
        <w:ind w:left="711" w:right="472"/>
        <w:jc w:val="both"/>
      </w:pPr>
      <w:r>
        <w:rPr/>
        <w:t>The focus of this thesis is the determinant and effect of capital flight on Nigeria’s Economic Growth between 1970 and</w:t>
      </w:r>
      <w:r>
        <w:rPr>
          <w:spacing w:val="-2"/>
        </w:rPr>
        <w:t> </w:t>
      </w:r>
      <w:r>
        <w:rPr/>
        <w:t>2011; this</w:t>
      </w:r>
      <w:r>
        <w:rPr>
          <w:spacing w:val="-2"/>
        </w:rPr>
        <w:t> </w:t>
      </w:r>
      <w:r>
        <w:rPr/>
        <w:t>makes</w:t>
      </w:r>
      <w:r>
        <w:rPr>
          <w:spacing w:val="-2"/>
        </w:rPr>
        <w:t> </w:t>
      </w:r>
      <w:r>
        <w:rPr/>
        <w:t>a</w:t>
      </w:r>
      <w:r>
        <w:rPr>
          <w:spacing w:val="-1"/>
        </w:rPr>
        <w:t> </w:t>
      </w:r>
      <w:r>
        <w:rPr/>
        <w:t>time</w:t>
      </w:r>
      <w:r>
        <w:rPr>
          <w:spacing w:val="-2"/>
        </w:rPr>
        <w:t> </w:t>
      </w:r>
      <w:r>
        <w:rPr/>
        <w:t>horizon</w:t>
      </w:r>
      <w:r>
        <w:rPr>
          <w:spacing w:val="-2"/>
        </w:rPr>
        <w:t> </w:t>
      </w:r>
      <w:r>
        <w:rPr/>
        <w:t>of</w:t>
      </w:r>
      <w:r>
        <w:rPr>
          <w:spacing w:val="-2"/>
        </w:rPr>
        <w:t> </w:t>
      </w:r>
      <w:r>
        <w:rPr/>
        <w:t>42 years.</w:t>
      </w:r>
      <w:r>
        <w:rPr>
          <w:spacing w:val="-2"/>
        </w:rPr>
        <w:t> </w:t>
      </w:r>
      <w:r>
        <w:rPr/>
        <w:t>The</w:t>
      </w:r>
      <w:r>
        <w:rPr>
          <w:spacing w:val="-3"/>
        </w:rPr>
        <w:t> </w:t>
      </w:r>
      <w:r>
        <w:rPr/>
        <w:t>period was further</w:t>
      </w:r>
      <w:r>
        <w:rPr>
          <w:spacing w:val="-2"/>
        </w:rPr>
        <w:t> </w:t>
      </w:r>
      <w:r>
        <w:rPr/>
        <w:t>broken</w:t>
      </w:r>
      <w:r>
        <w:rPr>
          <w:spacing w:val="-2"/>
        </w:rPr>
        <w:t> </w:t>
      </w:r>
      <w:r>
        <w:rPr/>
        <w:t>to the</w:t>
      </w:r>
      <w:r>
        <w:rPr>
          <w:spacing w:val="-2"/>
        </w:rPr>
        <w:t> </w:t>
      </w:r>
      <w:r>
        <w:rPr/>
        <w:t>pre</w:t>
      </w:r>
      <w:r>
        <w:rPr>
          <w:spacing w:val="-3"/>
        </w:rPr>
        <w:t> </w:t>
      </w:r>
      <w:r>
        <w:rPr/>
        <w:t>and post SAP era so as to capture the effect of policy change with the introduction of Structural Adjustment Programme</w:t>
      </w:r>
      <w:r>
        <w:rPr>
          <w:spacing w:val="-4"/>
        </w:rPr>
        <w:t> </w:t>
      </w:r>
      <w:r>
        <w:rPr/>
        <w:t>of</w:t>
      </w:r>
      <w:r>
        <w:rPr>
          <w:spacing w:val="-3"/>
        </w:rPr>
        <w:t> </w:t>
      </w:r>
      <w:r>
        <w:rPr/>
        <w:t>the</w:t>
      </w:r>
      <w:r>
        <w:rPr>
          <w:spacing w:val="-3"/>
        </w:rPr>
        <w:t> </w:t>
      </w:r>
      <w:r>
        <w:rPr/>
        <w:t>Federeal</w:t>
      </w:r>
      <w:r>
        <w:rPr>
          <w:spacing w:val="-3"/>
        </w:rPr>
        <w:t> </w:t>
      </w:r>
      <w:r>
        <w:rPr/>
        <w:t>Government</w:t>
      </w:r>
      <w:r>
        <w:rPr>
          <w:spacing w:val="-3"/>
        </w:rPr>
        <w:t> </w:t>
      </w:r>
      <w:r>
        <w:rPr/>
        <w:t>in</w:t>
      </w:r>
      <w:r>
        <w:rPr>
          <w:spacing w:val="-3"/>
        </w:rPr>
        <w:t> </w:t>
      </w:r>
      <w:r>
        <w:rPr/>
        <w:t>1986. The</w:t>
      </w:r>
      <w:r>
        <w:rPr>
          <w:spacing w:val="-5"/>
        </w:rPr>
        <w:t> </w:t>
      </w:r>
      <w:r>
        <w:rPr/>
        <w:t>period</w:t>
      </w:r>
      <w:r>
        <w:rPr>
          <w:spacing w:val="-3"/>
        </w:rPr>
        <w:t> </w:t>
      </w:r>
      <w:r>
        <w:rPr/>
        <w:t>under</w:t>
      </w:r>
      <w:r>
        <w:rPr>
          <w:spacing w:val="-3"/>
        </w:rPr>
        <w:t> </w:t>
      </w:r>
      <w:r>
        <w:rPr/>
        <w:t>consideration</w:t>
      </w:r>
      <w:r>
        <w:rPr>
          <w:spacing w:val="-3"/>
        </w:rPr>
        <w:t> </w:t>
      </w:r>
      <w:r>
        <w:rPr/>
        <w:t>is</w:t>
      </w:r>
      <w:r>
        <w:rPr>
          <w:spacing w:val="-3"/>
        </w:rPr>
        <w:t> </w:t>
      </w:r>
      <w:r>
        <w:rPr/>
        <w:t>chosen</w:t>
      </w:r>
      <w:r>
        <w:rPr>
          <w:spacing w:val="-3"/>
        </w:rPr>
        <w:t> </w:t>
      </w:r>
      <w:r>
        <w:rPr/>
        <w:t>because of</w:t>
      </w:r>
      <w:r>
        <w:rPr>
          <w:spacing w:val="-3"/>
        </w:rPr>
        <w:t> </w:t>
      </w:r>
      <w:r>
        <w:rPr/>
        <w:t>major economic and political events during the period. For instance, 1970 marked the period of Oil boom in Nigeria; this period witnessed mass movement of domestic capital due to political uncertainty and risk. The period under consideration equally witnessed the introduction of various economic policies which substantially impacted capital outflow from the country.</w:t>
      </w:r>
    </w:p>
    <w:p>
      <w:pPr>
        <w:pStyle w:val="Heading6"/>
        <w:numPr>
          <w:ilvl w:val="1"/>
          <w:numId w:val="7"/>
        </w:numPr>
        <w:tabs>
          <w:tab w:pos="1611" w:val="left" w:leader="none"/>
        </w:tabs>
        <w:spacing w:line="240" w:lineRule="auto" w:before="1" w:after="0"/>
        <w:ind w:left="1611" w:right="0" w:hanging="900"/>
        <w:jc w:val="both"/>
      </w:pPr>
      <w:r>
        <w:rPr/>
        <w:t>Limitation</w:t>
      </w:r>
      <w:r>
        <w:rPr>
          <w:spacing w:val="-3"/>
        </w:rPr>
        <w:t> </w:t>
      </w:r>
      <w:r>
        <w:rPr/>
        <w:t>of the</w:t>
      </w:r>
      <w:r>
        <w:rPr>
          <w:spacing w:val="-1"/>
        </w:rPr>
        <w:t> </w:t>
      </w:r>
      <w:r>
        <w:rPr>
          <w:spacing w:val="-4"/>
        </w:rPr>
        <w:t>Study</w:t>
      </w:r>
    </w:p>
    <w:p>
      <w:pPr>
        <w:pStyle w:val="BodyText"/>
        <w:spacing w:line="480" w:lineRule="auto" w:before="276"/>
        <w:ind w:left="711" w:right="470"/>
        <w:jc w:val="both"/>
      </w:pPr>
      <w:r>
        <w:rPr/>
        <w:t>The main limitation of this study is that there are various concepts and method of estimating capital flight; this includes the Balance of payment approach, the Residual approach, Bank deposit approach, Dooley approach and Hot money approach. These approaches view the estimation of capital flight from different dimensions; however, this study employs the residual approach because it is more accurate and data for its components are easily gotten from montly, quarterly or annual published reports of accredited local and national institutions like the Central Bank of Nigeria, World Trade Reports and World Bank. The residual Approach measures capital flight as the difference between sources and uses of fund. Another major problem is the descrepnnces noticed in the published data of major institutions of referenced.</w:t>
      </w:r>
    </w:p>
    <w:p>
      <w:pPr>
        <w:spacing w:after="0" w:line="480" w:lineRule="auto"/>
        <w:jc w:val="both"/>
        <w:sectPr>
          <w:pgSz w:w="11910" w:h="16840"/>
          <w:pgMar w:header="0" w:footer="979" w:top="1360" w:bottom="1240" w:left="280" w:right="0"/>
        </w:sectPr>
      </w:pPr>
    </w:p>
    <w:p>
      <w:pPr>
        <w:pStyle w:val="Heading6"/>
        <w:numPr>
          <w:ilvl w:val="1"/>
          <w:numId w:val="7"/>
        </w:numPr>
        <w:tabs>
          <w:tab w:pos="1431" w:val="left" w:leader="none"/>
        </w:tabs>
        <w:spacing w:line="240" w:lineRule="auto" w:before="60" w:after="0"/>
        <w:ind w:left="1431" w:right="0" w:hanging="720"/>
        <w:jc w:val="both"/>
      </w:pPr>
      <w:r>
        <w:rPr/>
        <w:t>Organization</w:t>
      </w:r>
      <w:r>
        <w:rPr>
          <w:spacing w:val="-1"/>
        </w:rPr>
        <w:t> </w:t>
      </w:r>
      <w:r>
        <w:rPr/>
        <w:t>of</w:t>
      </w:r>
      <w:r>
        <w:rPr>
          <w:spacing w:val="1"/>
        </w:rPr>
        <w:t> </w:t>
      </w:r>
      <w:r>
        <w:rPr/>
        <w:t>the </w:t>
      </w:r>
      <w:r>
        <w:rPr>
          <w:spacing w:val="-2"/>
        </w:rPr>
        <w:t>Study</w:t>
      </w:r>
    </w:p>
    <w:p>
      <w:pPr>
        <w:pStyle w:val="BodyText"/>
        <w:spacing w:line="360" w:lineRule="auto" w:before="138"/>
        <w:ind w:left="711" w:right="472"/>
        <w:jc w:val="both"/>
      </w:pPr>
      <w:r>
        <w:rPr/>
        <w:t>This sthesis comprises of six comprehensive chapters. The first chapter is concerned with the background and introduction to the topic. It also explains the objectives and the hypotheses intended to be tested.</w:t>
      </w:r>
      <w:r>
        <w:rPr>
          <w:spacing w:val="40"/>
        </w:rPr>
        <w:t> </w:t>
      </w:r>
      <w:r>
        <w:rPr/>
        <w:t>Chapter two examines critically the conceptual framework and literature review, studying exhaustively the various concepts, theoretical reviews and various reviews of empirical studies</w:t>
      </w:r>
      <w:r>
        <w:rPr>
          <w:spacing w:val="-1"/>
        </w:rPr>
        <w:t> </w:t>
      </w:r>
      <w:r>
        <w:rPr/>
        <w:t>on the determinants of capital flight in</w:t>
      </w:r>
      <w:r>
        <w:rPr>
          <w:spacing w:val="-1"/>
        </w:rPr>
        <w:t> </w:t>
      </w:r>
      <w:r>
        <w:rPr/>
        <w:t>Nigeria.</w:t>
      </w:r>
      <w:r>
        <w:rPr>
          <w:spacing w:val="-1"/>
        </w:rPr>
        <w:t> </w:t>
      </w:r>
      <w:r>
        <w:rPr/>
        <w:t>Chapter three examines the</w:t>
      </w:r>
      <w:r>
        <w:rPr>
          <w:spacing w:val="-2"/>
        </w:rPr>
        <w:t> </w:t>
      </w:r>
      <w:r>
        <w:rPr/>
        <w:t>method</w:t>
      </w:r>
      <w:r>
        <w:rPr>
          <w:spacing w:val="-1"/>
        </w:rPr>
        <w:t> </w:t>
      </w:r>
      <w:r>
        <w:rPr/>
        <w:t>adopted</w:t>
      </w:r>
      <w:r>
        <w:rPr>
          <w:spacing w:val="-2"/>
        </w:rPr>
        <w:t> </w:t>
      </w:r>
      <w:r>
        <w:rPr/>
        <w:t>in</w:t>
      </w:r>
      <w:r>
        <w:rPr>
          <w:spacing w:val="-1"/>
        </w:rPr>
        <w:t> </w:t>
      </w:r>
      <w:r>
        <w:rPr/>
        <w:t>the</w:t>
      </w:r>
      <w:r>
        <w:rPr>
          <w:spacing w:val="-2"/>
        </w:rPr>
        <w:t> </w:t>
      </w:r>
      <w:r>
        <w:rPr/>
        <w:t>study. This</w:t>
      </w:r>
      <w:r>
        <w:rPr>
          <w:spacing w:val="-1"/>
        </w:rPr>
        <w:t> </w:t>
      </w:r>
      <w:r>
        <w:rPr/>
        <w:t>also</w:t>
      </w:r>
      <w:r>
        <w:rPr>
          <w:spacing w:val="-1"/>
        </w:rPr>
        <w:t> </w:t>
      </w:r>
      <w:r>
        <w:rPr/>
        <w:t>examines</w:t>
      </w:r>
      <w:r>
        <w:rPr>
          <w:spacing w:val="-1"/>
        </w:rPr>
        <w:t> </w:t>
      </w:r>
      <w:r>
        <w:rPr/>
        <w:t>the</w:t>
      </w:r>
      <w:r>
        <w:rPr>
          <w:spacing w:val="-2"/>
        </w:rPr>
        <w:t> </w:t>
      </w:r>
      <w:r>
        <w:rPr/>
        <w:t>method</w:t>
      </w:r>
      <w:r>
        <w:rPr>
          <w:spacing w:val="-1"/>
        </w:rPr>
        <w:t> </w:t>
      </w:r>
      <w:r>
        <w:rPr/>
        <w:t>of analysis and various statistical test carried out in the study. Chapter four is about the presentation and analysis of the data while chapter five examines the discussion and summary of findings and chapter six treats the conclusion, recommendations and contribution to knowledge.</w:t>
      </w:r>
    </w:p>
    <w:p>
      <w:pPr>
        <w:pStyle w:val="BodyText"/>
        <w:spacing w:before="140"/>
      </w:pPr>
    </w:p>
    <w:p>
      <w:pPr>
        <w:pStyle w:val="Heading6"/>
        <w:numPr>
          <w:ilvl w:val="1"/>
          <w:numId w:val="7"/>
        </w:numPr>
        <w:tabs>
          <w:tab w:pos="1431" w:val="left" w:leader="none"/>
        </w:tabs>
        <w:spacing w:line="240" w:lineRule="auto" w:before="0" w:after="0"/>
        <w:ind w:left="1431" w:right="0" w:hanging="720"/>
        <w:jc w:val="both"/>
      </w:pPr>
      <w:r>
        <w:rPr/>
        <w:t>Operational Definition</w:t>
      </w:r>
      <w:r>
        <w:rPr>
          <w:spacing w:val="-2"/>
        </w:rPr>
        <w:t> </w:t>
      </w:r>
      <w:r>
        <w:rPr/>
        <w:t>of</w:t>
      </w:r>
      <w:r>
        <w:rPr>
          <w:spacing w:val="1"/>
        </w:rPr>
        <w:t> </w:t>
      </w:r>
      <w:r>
        <w:rPr>
          <w:spacing w:val="-4"/>
        </w:rPr>
        <w:t>Terms</w:t>
      </w:r>
    </w:p>
    <w:p>
      <w:pPr>
        <w:pStyle w:val="BodyText"/>
        <w:rPr>
          <w:b/>
        </w:rPr>
      </w:pPr>
    </w:p>
    <w:p>
      <w:pPr>
        <w:pStyle w:val="BodyText"/>
        <w:ind w:left="1431"/>
      </w:pPr>
      <w:r>
        <w:rPr/>
        <w:t>In</w:t>
      </w:r>
      <w:r>
        <w:rPr>
          <w:spacing w:val="-4"/>
        </w:rPr>
        <w:t> </w:t>
      </w:r>
      <w:r>
        <w:rPr/>
        <w:t>the context</w:t>
      </w:r>
      <w:r>
        <w:rPr>
          <w:spacing w:val="-1"/>
        </w:rPr>
        <w:t> </w:t>
      </w:r>
      <w:r>
        <w:rPr/>
        <w:t>of</w:t>
      </w:r>
      <w:r>
        <w:rPr>
          <w:spacing w:val="-1"/>
        </w:rPr>
        <w:t> </w:t>
      </w:r>
      <w:r>
        <w:rPr/>
        <w:t>this</w:t>
      </w:r>
      <w:r>
        <w:rPr>
          <w:spacing w:val="-2"/>
        </w:rPr>
        <w:t> </w:t>
      </w:r>
      <w:r>
        <w:rPr/>
        <w:t>study,</w:t>
      </w:r>
      <w:r>
        <w:rPr>
          <w:spacing w:val="3"/>
        </w:rPr>
        <w:t> </w:t>
      </w:r>
      <w:r>
        <w:rPr/>
        <w:t>the</w:t>
      </w:r>
      <w:r>
        <w:rPr>
          <w:spacing w:val="-1"/>
        </w:rPr>
        <w:t> </w:t>
      </w:r>
      <w:r>
        <w:rPr/>
        <w:t>following</w:t>
      </w:r>
      <w:r>
        <w:rPr>
          <w:spacing w:val="-4"/>
        </w:rPr>
        <w:t> </w:t>
      </w:r>
      <w:r>
        <w:rPr/>
        <w:t>terms</w:t>
      </w:r>
      <w:r>
        <w:rPr>
          <w:spacing w:val="-1"/>
        </w:rPr>
        <w:t> </w:t>
      </w:r>
      <w:r>
        <w:rPr/>
        <w:t>are</w:t>
      </w:r>
      <w:r>
        <w:rPr>
          <w:spacing w:val="-2"/>
        </w:rPr>
        <w:t> </w:t>
      </w:r>
      <w:r>
        <w:rPr/>
        <w:t>defined</w:t>
      </w:r>
      <w:r>
        <w:rPr>
          <w:spacing w:val="1"/>
        </w:rPr>
        <w:t> </w:t>
      </w:r>
      <w:r>
        <w:rPr/>
        <w:t>as</w:t>
      </w:r>
      <w:r>
        <w:rPr>
          <w:spacing w:val="-1"/>
        </w:rPr>
        <w:t> </w:t>
      </w:r>
      <w:r>
        <w:rPr/>
        <w:t>stated</w:t>
      </w:r>
      <w:r>
        <w:rPr>
          <w:spacing w:val="-1"/>
        </w:rPr>
        <w:t> </w:t>
      </w:r>
      <w:r>
        <w:rPr>
          <w:spacing w:val="-2"/>
        </w:rPr>
        <w:t>below:</w:t>
      </w:r>
    </w:p>
    <w:p>
      <w:pPr>
        <w:pStyle w:val="BodyText"/>
        <w:spacing w:before="2"/>
      </w:pPr>
    </w:p>
    <w:p>
      <w:pPr>
        <w:pStyle w:val="ListParagraph"/>
        <w:numPr>
          <w:ilvl w:val="0"/>
          <w:numId w:val="9"/>
        </w:numPr>
        <w:tabs>
          <w:tab w:pos="1431" w:val="left" w:leader="none"/>
        </w:tabs>
        <w:spacing w:line="487" w:lineRule="auto" w:before="0" w:after="0"/>
        <w:ind w:left="711" w:right="472" w:firstLine="0"/>
        <w:jc w:val="left"/>
        <w:rPr>
          <w:sz w:val="24"/>
        </w:rPr>
      </w:pPr>
      <w:r>
        <w:rPr>
          <w:b/>
          <w:sz w:val="24"/>
        </w:rPr>
        <w:t>Capital Flight</w:t>
      </w:r>
      <w:r>
        <w:rPr>
          <w:sz w:val="24"/>
        </w:rPr>
        <w:t>: This connotes illegal movement of capital or funds from one country</w:t>
      </w:r>
      <w:r>
        <w:rPr>
          <w:spacing w:val="-1"/>
          <w:sz w:val="24"/>
        </w:rPr>
        <w:t> </w:t>
      </w:r>
      <w:r>
        <w:rPr>
          <w:sz w:val="24"/>
        </w:rPr>
        <w:t>to another as a result of political, economic and institutional unvertainties.</w:t>
      </w:r>
    </w:p>
    <w:p>
      <w:pPr>
        <w:pStyle w:val="ListParagraph"/>
        <w:numPr>
          <w:ilvl w:val="0"/>
          <w:numId w:val="9"/>
        </w:numPr>
        <w:tabs>
          <w:tab w:pos="1431" w:val="left" w:leader="none"/>
        </w:tabs>
        <w:spacing w:line="480" w:lineRule="auto" w:before="0" w:after="0"/>
        <w:ind w:left="711" w:right="475" w:firstLine="0"/>
        <w:jc w:val="left"/>
        <w:rPr>
          <w:sz w:val="24"/>
        </w:rPr>
      </w:pPr>
      <w:r>
        <w:rPr>
          <w:b/>
          <w:sz w:val="24"/>
        </w:rPr>
        <w:t>Money</w:t>
      </w:r>
      <w:r>
        <w:rPr>
          <w:b/>
          <w:spacing w:val="38"/>
          <w:sz w:val="24"/>
        </w:rPr>
        <w:t> </w:t>
      </w:r>
      <w:r>
        <w:rPr>
          <w:b/>
          <w:sz w:val="24"/>
        </w:rPr>
        <w:t>Laundering</w:t>
      </w:r>
      <w:r>
        <w:rPr>
          <w:sz w:val="24"/>
        </w:rPr>
        <w:t>:</w:t>
      </w:r>
      <w:r>
        <w:rPr>
          <w:spacing w:val="38"/>
          <w:sz w:val="24"/>
        </w:rPr>
        <w:t> </w:t>
      </w:r>
      <w:r>
        <w:rPr>
          <w:sz w:val="24"/>
        </w:rPr>
        <w:t>This</w:t>
      </w:r>
      <w:r>
        <w:rPr>
          <w:spacing w:val="38"/>
          <w:sz w:val="24"/>
        </w:rPr>
        <w:t> </w:t>
      </w:r>
      <w:r>
        <w:rPr>
          <w:sz w:val="24"/>
        </w:rPr>
        <w:t>refers</w:t>
      </w:r>
      <w:r>
        <w:rPr>
          <w:spacing w:val="37"/>
          <w:sz w:val="24"/>
        </w:rPr>
        <w:t> </w:t>
      </w:r>
      <w:r>
        <w:rPr>
          <w:sz w:val="24"/>
        </w:rPr>
        <w:t>to</w:t>
      </w:r>
      <w:r>
        <w:rPr>
          <w:spacing w:val="40"/>
          <w:sz w:val="24"/>
        </w:rPr>
        <w:t> </w:t>
      </w:r>
      <w:r>
        <w:rPr>
          <w:sz w:val="24"/>
        </w:rPr>
        <w:t>an</w:t>
      </w:r>
      <w:r>
        <w:rPr>
          <w:spacing w:val="40"/>
          <w:sz w:val="24"/>
        </w:rPr>
        <w:t> </w:t>
      </w:r>
      <w:r>
        <w:rPr>
          <w:sz w:val="24"/>
        </w:rPr>
        <w:t>act</w:t>
      </w:r>
      <w:r>
        <w:rPr>
          <w:spacing w:val="38"/>
          <w:sz w:val="24"/>
        </w:rPr>
        <w:t> </w:t>
      </w:r>
      <w:r>
        <w:rPr>
          <w:sz w:val="24"/>
        </w:rPr>
        <w:t>of</w:t>
      </w:r>
      <w:r>
        <w:rPr>
          <w:spacing w:val="39"/>
          <w:sz w:val="24"/>
        </w:rPr>
        <w:t> </w:t>
      </w:r>
      <w:r>
        <w:rPr>
          <w:sz w:val="24"/>
        </w:rPr>
        <w:t>converting</w:t>
      </w:r>
      <w:r>
        <w:rPr>
          <w:spacing w:val="37"/>
          <w:sz w:val="24"/>
        </w:rPr>
        <w:t> </w:t>
      </w:r>
      <w:r>
        <w:rPr>
          <w:sz w:val="24"/>
        </w:rPr>
        <w:t>financial</w:t>
      </w:r>
      <w:r>
        <w:rPr>
          <w:spacing w:val="39"/>
          <w:sz w:val="24"/>
        </w:rPr>
        <w:t> </w:t>
      </w:r>
      <w:r>
        <w:rPr>
          <w:sz w:val="24"/>
        </w:rPr>
        <w:t>proceeds</w:t>
      </w:r>
      <w:r>
        <w:rPr>
          <w:spacing w:val="37"/>
          <w:sz w:val="24"/>
        </w:rPr>
        <w:t> </w:t>
      </w:r>
      <w:r>
        <w:rPr>
          <w:sz w:val="24"/>
        </w:rPr>
        <w:t>realized</w:t>
      </w:r>
      <w:r>
        <w:rPr>
          <w:spacing w:val="37"/>
          <w:sz w:val="24"/>
        </w:rPr>
        <w:t> </w:t>
      </w:r>
      <w:r>
        <w:rPr>
          <w:sz w:val="24"/>
        </w:rPr>
        <w:t>from</w:t>
      </w:r>
      <w:r>
        <w:rPr>
          <w:spacing w:val="37"/>
          <w:sz w:val="24"/>
        </w:rPr>
        <w:t> </w:t>
      </w:r>
      <w:r>
        <w:rPr>
          <w:sz w:val="24"/>
        </w:rPr>
        <w:t>illegal dealings such as hard drugs into legal investment.</w:t>
      </w:r>
    </w:p>
    <w:p>
      <w:pPr>
        <w:pStyle w:val="ListParagraph"/>
        <w:numPr>
          <w:ilvl w:val="0"/>
          <w:numId w:val="9"/>
        </w:numPr>
        <w:tabs>
          <w:tab w:pos="1431" w:val="left" w:leader="none"/>
        </w:tabs>
        <w:spacing w:line="240" w:lineRule="auto" w:before="0" w:after="0"/>
        <w:ind w:left="1431" w:right="0" w:hanging="720"/>
        <w:jc w:val="left"/>
        <w:rPr>
          <w:sz w:val="24"/>
        </w:rPr>
      </w:pPr>
      <w:r>
        <w:rPr>
          <w:b/>
          <w:sz w:val="24"/>
        </w:rPr>
        <w:t>Corruption</w:t>
      </w:r>
      <w:r>
        <w:rPr>
          <w:sz w:val="24"/>
        </w:rPr>
        <w:t>:</w:t>
      </w:r>
      <w:r>
        <w:rPr>
          <w:spacing w:val="-2"/>
          <w:sz w:val="24"/>
        </w:rPr>
        <w:t> </w:t>
      </w:r>
      <w:r>
        <w:rPr>
          <w:sz w:val="24"/>
        </w:rPr>
        <w:t>It</w:t>
      </w:r>
      <w:r>
        <w:rPr>
          <w:spacing w:val="-1"/>
          <w:sz w:val="24"/>
        </w:rPr>
        <w:t> </w:t>
      </w:r>
      <w:r>
        <w:rPr>
          <w:sz w:val="24"/>
        </w:rPr>
        <w:t>is</w:t>
      </w:r>
      <w:r>
        <w:rPr>
          <w:spacing w:val="-1"/>
          <w:sz w:val="24"/>
        </w:rPr>
        <w:t> </w:t>
      </w:r>
      <w:r>
        <w:rPr>
          <w:sz w:val="24"/>
        </w:rPr>
        <w:t>an</w:t>
      </w:r>
      <w:r>
        <w:rPr>
          <w:spacing w:val="-1"/>
          <w:sz w:val="24"/>
        </w:rPr>
        <w:t> </w:t>
      </w:r>
      <w:r>
        <w:rPr>
          <w:sz w:val="24"/>
        </w:rPr>
        <w:t>act</w:t>
      </w:r>
      <w:r>
        <w:rPr>
          <w:spacing w:val="-1"/>
          <w:sz w:val="24"/>
        </w:rPr>
        <w:t> </w:t>
      </w:r>
      <w:r>
        <w:rPr>
          <w:sz w:val="24"/>
        </w:rPr>
        <w:t>of</w:t>
      </w:r>
      <w:r>
        <w:rPr>
          <w:spacing w:val="-1"/>
          <w:sz w:val="24"/>
        </w:rPr>
        <w:t> </w:t>
      </w:r>
      <w:r>
        <w:rPr>
          <w:sz w:val="24"/>
        </w:rPr>
        <w:t>misuse</w:t>
      </w:r>
      <w:r>
        <w:rPr>
          <w:spacing w:val="-1"/>
          <w:sz w:val="24"/>
        </w:rPr>
        <w:t> </w:t>
      </w:r>
      <w:r>
        <w:rPr>
          <w:sz w:val="24"/>
        </w:rPr>
        <w:t>of</w:t>
      </w:r>
      <w:r>
        <w:rPr>
          <w:spacing w:val="-3"/>
          <w:sz w:val="24"/>
        </w:rPr>
        <w:t> </w:t>
      </w:r>
      <w:r>
        <w:rPr>
          <w:sz w:val="24"/>
        </w:rPr>
        <w:t>power for</w:t>
      </w:r>
      <w:r>
        <w:rPr>
          <w:spacing w:val="-3"/>
          <w:sz w:val="24"/>
        </w:rPr>
        <w:t> </w:t>
      </w:r>
      <w:r>
        <w:rPr>
          <w:sz w:val="24"/>
        </w:rPr>
        <w:t>personal</w:t>
      </w:r>
      <w:r>
        <w:rPr>
          <w:spacing w:val="-1"/>
          <w:sz w:val="24"/>
        </w:rPr>
        <w:t> </w:t>
      </w:r>
      <w:r>
        <w:rPr>
          <w:sz w:val="24"/>
        </w:rPr>
        <w:t>economic</w:t>
      </w:r>
      <w:r>
        <w:rPr>
          <w:spacing w:val="-1"/>
          <w:sz w:val="24"/>
        </w:rPr>
        <w:t> </w:t>
      </w:r>
      <w:r>
        <w:rPr>
          <w:spacing w:val="-2"/>
          <w:sz w:val="24"/>
        </w:rPr>
        <w:t>benefits.</w:t>
      </w:r>
    </w:p>
    <w:p>
      <w:pPr>
        <w:pStyle w:val="ListParagraph"/>
        <w:numPr>
          <w:ilvl w:val="0"/>
          <w:numId w:val="9"/>
        </w:numPr>
        <w:tabs>
          <w:tab w:pos="1431" w:val="left" w:leader="none"/>
        </w:tabs>
        <w:spacing w:line="480" w:lineRule="auto" w:before="268" w:after="0"/>
        <w:ind w:left="711" w:right="473" w:firstLine="0"/>
        <w:jc w:val="left"/>
        <w:rPr>
          <w:sz w:val="24"/>
        </w:rPr>
      </w:pPr>
      <w:r>
        <w:rPr>
          <w:b/>
          <w:sz w:val="24"/>
        </w:rPr>
        <w:t>The</w:t>
      </w:r>
      <w:r>
        <w:rPr>
          <w:b/>
          <w:spacing w:val="-4"/>
          <w:sz w:val="24"/>
        </w:rPr>
        <w:t> </w:t>
      </w:r>
      <w:r>
        <w:rPr>
          <w:b/>
          <w:sz w:val="24"/>
        </w:rPr>
        <w:t>Dutch</w:t>
      </w:r>
      <w:r>
        <w:rPr>
          <w:b/>
          <w:spacing w:val="-3"/>
          <w:sz w:val="24"/>
        </w:rPr>
        <w:t> </w:t>
      </w:r>
      <w:r>
        <w:rPr>
          <w:b/>
          <w:sz w:val="24"/>
        </w:rPr>
        <w:t>Disease</w:t>
      </w:r>
      <w:r>
        <w:rPr>
          <w:b/>
          <w:spacing w:val="-4"/>
          <w:sz w:val="24"/>
        </w:rPr>
        <w:t> </w:t>
      </w:r>
      <w:r>
        <w:rPr>
          <w:b/>
          <w:sz w:val="24"/>
        </w:rPr>
        <w:t>Theory</w:t>
      </w:r>
      <w:r>
        <w:rPr>
          <w:sz w:val="24"/>
        </w:rPr>
        <w:t>:</w:t>
      </w:r>
      <w:r>
        <w:rPr>
          <w:spacing w:val="-3"/>
          <w:sz w:val="24"/>
        </w:rPr>
        <w:t> </w:t>
      </w:r>
      <w:r>
        <w:rPr>
          <w:sz w:val="24"/>
        </w:rPr>
        <w:t>The</w:t>
      </w:r>
      <w:r>
        <w:rPr>
          <w:spacing w:val="-5"/>
          <w:sz w:val="24"/>
        </w:rPr>
        <w:t> </w:t>
      </w:r>
      <w:r>
        <w:rPr>
          <w:sz w:val="24"/>
        </w:rPr>
        <w:t>Dutch</w:t>
      </w:r>
      <w:r>
        <w:rPr>
          <w:spacing w:val="-3"/>
          <w:sz w:val="24"/>
        </w:rPr>
        <w:t> </w:t>
      </w:r>
      <w:r>
        <w:rPr>
          <w:sz w:val="24"/>
        </w:rPr>
        <w:t>disease</w:t>
      </w:r>
      <w:r>
        <w:rPr>
          <w:spacing w:val="-4"/>
          <w:sz w:val="24"/>
        </w:rPr>
        <w:t> </w:t>
      </w:r>
      <w:r>
        <w:rPr>
          <w:sz w:val="24"/>
        </w:rPr>
        <w:t>effect</w:t>
      </w:r>
      <w:r>
        <w:rPr>
          <w:spacing w:val="-3"/>
          <w:sz w:val="24"/>
        </w:rPr>
        <w:t> </w:t>
      </w:r>
      <w:r>
        <w:rPr>
          <w:sz w:val="24"/>
        </w:rPr>
        <w:t>refers</w:t>
      </w:r>
      <w:r>
        <w:rPr>
          <w:spacing w:val="-3"/>
          <w:sz w:val="24"/>
        </w:rPr>
        <w:t> </w:t>
      </w:r>
      <w:r>
        <w:rPr>
          <w:sz w:val="24"/>
        </w:rPr>
        <w:t>to</w:t>
      </w:r>
      <w:r>
        <w:rPr>
          <w:spacing w:val="-3"/>
          <w:sz w:val="24"/>
        </w:rPr>
        <w:t> </w:t>
      </w:r>
      <w:r>
        <w:rPr>
          <w:sz w:val="24"/>
        </w:rPr>
        <w:t>economic</w:t>
      </w:r>
      <w:r>
        <w:rPr>
          <w:spacing w:val="75"/>
          <w:sz w:val="24"/>
        </w:rPr>
        <w:t> </w:t>
      </w:r>
      <w:r>
        <w:rPr>
          <w:sz w:val="24"/>
        </w:rPr>
        <w:t>misfortune</w:t>
      </w:r>
      <w:r>
        <w:rPr>
          <w:spacing w:val="40"/>
          <w:sz w:val="24"/>
        </w:rPr>
        <w:t> </w:t>
      </w:r>
      <w:r>
        <w:rPr>
          <w:sz w:val="24"/>
        </w:rPr>
        <w:t>after</w:t>
      </w:r>
      <w:r>
        <w:rPr>
          <w:spacing w:val="40"/>
          <w:sz w:val="24"/>
        </w:rPr>
        <w:t> </w:t>
      </w:r>
      <w:r>
        <w:rPr>
          <w:sz w:val="24"/>
        </w:rPr>
        <w:t>apparent good fortune.</w:t>
      </w:r>
    </w:p>
    <w:p>
      <w:pPr>
        <w:pStyle w:val="ListParagraph"/>
        <w:numPr>
          <w:ilvl w:val="0"/>
          <w:numId w:val="9"/>
        </w:numPr>
        <w:tabs>
          <w:tab w:pos="1431" w:val="left" w:leader="none"/>
        </w:tabs>
        <w:spacing w:line="480" w:lineRule="auto" w:before="0" w:after="0"/>
        <w:ind w:left="711" w:right="469" w:firstLine="0"/>
        <w:jc w:val="left"/>
        <w:rPr>
          <w:sz w:val="24"/>
        </w:rPr>
      </w:pPr>
      <w:r>
        <w:rPr>
          <w:b/>
          <w:sz w:val="24"/>
        </w:rPr>
        <w:t>Volatility</w:t>
      </w:r>
      <w:r>
        <w:rPr>
          <w:sz w:val="24"/>
        </w:rPr>
        <w:t>: This is the probability that borrowed funds will be illegally transferred out of a country</w:t>
      </w:r>
      <w:r>
        <w:rPr>
          <w:spacing w:val="80"/>
          <w:sz w:val="24"/>
        </w:rPr>
        <w:t> </w:t>
      </w:r>
      <w:r>
        <w:rPr>
          <w:sz w:val="24"/>
        </w:rPr>
        <w:t>due to political uncertainty.</w:t>
      </w:r>
    </w:p>
    <w:p>
      <w:pPr>
        <w:pStyle w:val="ListParagraph"/>
        <w:numPr>
          <w:ilvl w:val="0"/>
          <w:numId w:val="9"/>
        </w:numPr>
        <w:tabs>
          <w:tab w:pos="1431" w:val="left" w:leader="none"/>
        </w:tabs>
        <w:spacing w:line="480" w:lineRule="auto" w:before="0" w:after="0"/>
        <w:ind w:left="711" w:right="474" w:firstLine="0"/>
        <w:jc w:val="left"/>
        <w:rPr>
          <w:sz w:val="24"/>
        </w:rPr>
      </w:pPr>
      <w:r>
        <w:rPr>
          <w:b/>
          <w:sz w:val="24"/>
        </w:rPr>
        <w:t>Capital Outflow</w:t>
      </w:r>
      <w:r>
        <w:rPr>
          <w:sz w:val="24"/>
        </w:rPr>
        <w:t>:</w:t>
      </w:r>
      <w:r>
        <w:rPr>
          <w:spacing w:val="80"/>
          <w:sz w:val="24"/>
        </w:rPr>
        <w:t> </w:t>
      </w:r>
      <w:r>
        <w:rPr>
          <w:sz w:val="24"/>
        </w:rPr>
        <w:t>This is the legal conveyance of capital abroad, which is in full compliance with</w:t>
      </w:r>
      <w:r>
        <w:rPr>
          <w:spacing w:val="40"/>
          <w:sz w:val="24"/>
        </w:rPr>
        <w:t> </w:t>
      </w:r>
      <w:r>
        <w:rPr>
          <w:sz w:val="24"/>
        </w:rPr>
        <w:t>all requirements of the law.</w:t>
      </w:r>
    </w:p>
    <w:p>
      <w:pPr>
        <w:spacing w:after="0" w:line="480" w:lineRule="auto"/>
        <w:jc w:val="left"/>
        <w:rPr>
          <w:sz w:val="24"/>
        </w:rPr>
        <w:sectPr>
          <w:pgSz w:w="11910" w:h="16840"/>
          <w:pgMar w:header="0" w:footer="979" w:top="1360" w:bottom="1240" w:left="280" w:right="0"/>
        </w:sectPr>
      </w:pPr>
    </w:p>
    <w:p>
      <w:pPr>
        <w:pStyle w:val="Heading5"/>
        <w:ind w:right="2108"/>
      </w:pPr>
      <w:r>
        <w:rPr>
          <w:spacing w:val="-2"/>
        </w:rPr>
        <w:t>REFERENCES</w:t>
      </w:r>
    </w:p>
    <w:p>
      <w:pPr>
        <w:pStyle w:val="BodyText"/>
        <w:spacing w:before="1"/>
        <w:rPr>
          <w:b/>
        </w:rPr>
      </w:pPr>
    </w:p>
    <w:p>
      <w:pPr>
        <w:spacing w:before="0"/>
        <w:ind w:left="711" w:right="469" w:firstLine="0"/>
        <w:jc w:val="both"/>
        <w:rPr>
          <w:sz w:val="24"/>
        </w:rPr>
      </w:pPr>
      <w:r>
        <w:rPr>
          <w:sz w:val="24"/>
        </w:rPr>
        <w:t>Ajayi,</w:t>
      </w:r>
      <w:r>
        <w:rPr>
          <w:spacing w:val="-1"/>
          <w:sz w:val="24"/>
        </w:rPr>
        <w:t> </w:t>
      </w:r>
      <w:r>
        <w:rPr>
          <w:sz w:val="24"/>
        </w:rPr>
        <w:t>S.I,</w:t>
      </w:r>
      <w:r>
        <w:rPr>
          <w:spacing w:val="-3"/>
          <w:sz w:val="24"/>
        </w:rPr>
        <w:t> </w:t>
      </w:r>
      <w:r>
        <w:rPr>
          <w:sz w:val="24"/>
        </w:rPr>
        <w:t>(1992).</w:t>
      </w:r>
      <w:r>
        <w:rPr>
          <w:spacing w:val="-2"/>
          <w:sz w:val="24"/>
        </w:rPr>
        <w:t> </w:t>
      </w:r>
      <w:r>
        <w:rPr>
          <w:sz w:val="24"/>
        </w:rPr>
        <w:t>An</w:t>
      </w:r>
      <w:r>
        <w:rPr>
          <w:spacing w:val="-2"/>
          <w:sz w:val="24"/>
        </w:rPr>
        <w:t> </w:t>
      </w:r>
      <w:r>
        <w:rPr>
          <w:sz w:val="24"/>
        </w:rPr>
        <w:t>Economic</w:t>
      </w:r>
      <w:r>
        <w:rPr>
          <w:spacing w:val="-3"/>
          <w:sz w:val="24"/>
        </w:rPr>
        <w:t> </w:t>
      </w:r>
      <w:r>
        <w:rPr>
          <w:sz w:val="24"/>
        </w:rPr>
        <w:t>Analysis</w:t>
      </w:r>
      <w:r>
        <w:rPr>
          <w:spacing w:val="-2"/>
          <w:sz w:val="24"/>
        </w:rPr>
        <w:t> </w:t>
      </w:r>
      <w:r>
        <w:rPr>
          <w:sz w:val="24"/>
        </w:rPr>
        <w:t>of</w:t>
      </w:r>
      <w:r>
        <w:rPr>
          <w:spacing w:val="-2"/>
          <w:sz w:val="24"/>
        </w:rPr>
        <w:t> </w:t>
      </w:r>
      <w:r>
        <w:rPr>
          <w:sz w:val="24"/>
        </w:rPr>
        <w:t>Capital</w:t>
      </w:r>
      <w:r>
        <w:rPr>
          <w:spacing w:val="-2"/>
          <w:sz w:val="24"/>
        </w:rPr>
        <w:t> </w:t>
      </w:r>
      <w:r>
        <w:rPr>
          <w:sz w:val="24"/>
        </w:rPr>
        <w:t>Flight</w:t>
      </w:r>
      <w:r>
        <w:rPr>
          <w:spacing w:val="-2"/>
          <w:sz w:val="24"/>
        </w:rPr>
        <w:t> </w:t>
      </w:r>
      <w:r>
        <w:rPr>
          <w:sz w:val="24"/>
        </w:rPr>
        <w:t>from</w:t>
      </w:r>
      <w:r>
        <w:rPr>
          <w:spacing w:val="-2"/>
          <w:sz w:val="24"/>
        </w:rPr>
        <w:t> </w:t>
      </w:r>
      <w:r>
        <w:rPr>
          <w:sz w:val="24"/>
        </w:rPr>
        <w:t>Nigeria. </w:t>
      </w:r>
      <w:r>
        <w:rPr>
          <w:i/>
          <w:sz w:val="24"/>
        </w:rPr>
        <w:t>World</w:t>
      </w:r>
      <w:r>
        <w:rPr>
          <w:i/>
          <w:spacing w:val="-2"/>
          <w:sz w:val="24"/>
        </w:rPr>
        <w:t> </w:t>
      </w:r>
      <w:r>
        <w:rPr>
          <w:i/>
          <w:sz w:val="24"/>
        </w:rPr>
        <w:t>Bank</w:t>
      </w:r>
      <w:r>
        <w:rPr>
          <w:i/>
          <w:spacing w:val="-1"/>
          <w:sz w:val="24"/>
        </w:rPr>
        <w:t> </w:t>
      </w:r>
      <w:r>
        <w:rPr>
          <w:i/>
          <w:sz w:val="24"/>
        </w:rPr>
        <w:t>Working</w:t>
      </w:r>
      <w:r>
        <w:rPr>
          <w:i/>
          <w:spacing w:val="80"/>
          <w:sz w:val="24"/>
        </w:rPr>
        <w:t> </w:t>
      </w:r>
      <w:r>
        <w:rPr>
          <w:i/>
          <w:sz w:val="24"/>
        </w:rPr>
        <w:t>Paper</w:t>
      </w:r>
      <w:r>
        <w:rPr>
          <w:i/>
          <w:spacing w:val="-2"/>
          <w:sz w:val="24"/>
        </w:rPr>
        <w:t> </w:t>
      </w:r>
      <w:r>
        <w:rPr>
          <w:sz w:val="24"/>
        </w:rPr>
        <w:t>993. Ajayi, L.B. (2012). Capital Flight and Nigeria Economic Growth. </w:t>
      </w:r>
      <w:r>
        <w:rPr>
          <w:i/>
          <w:sz w:val="24"/>
        </w:rPr>
        <w:t>Asian Journal of Finance &amp; Accounting.Vol.4 </w:t>
      </w:r>
      <w:r>
        <w:rPr>
          <w:sz w:val="24"/>
        </w:rPr>
        <w:t>No2.</w:t>
      </w:r>
      <w:r>
        <w:rPr>
          <w:spacing w:val="40"/>
          <w:sz w:val="24"/>
        </w:rPr>
        <w:t> </w:t>
      </w:r>
      <w:r>
        <w:rPr>
          <w:sz w:val="24"/>
        </w:rPr>
        <w:t>277-289</w:t>
      </w:r>
    </w:p>
    <w:p>
      <w:pPr>
        <w:tabs>
          <w:tab w:pos="7912" w:val="left" w:leader="none"/>
          <w:tab w:pos="10073" w:val="left" w:leader="none"/>
        </w:tabs>
        <w:spacing w:before="0"/>
        <w:ind w:left="711" w:right="1032" w:firstLine="0"/>
        <w:jc w:val="left"/>
        <w:rPr>
          <w:sz w:val="24"/>
        </w:rPr>
      </w:pPr>
      <w:r>
        <w:rPr>
          <w:sz w:val="24"/>
        </w:rPr>
        <w:t>Ajayi S.I. (1997). An Analysis of External Debt and Capital Flight in the</w:t>
        <w:tab/>
      </w:r>
      <w:r>
        <w:rPr>
          <w:spacing w:val="-2"/>
          <w:sz w:val="24"/>
        </w:rPr>
        <w:t>SeverelyIndebted</w:t>
      </w:r>
      <w:r>
        <w:rPr>
          <w:sz w:val="24"/>
        </w:rPr>
        <w:tab/>
      </w:r>
      <w:r>
        <w:rPr>
          <w:spacing w:val="-4"/>
          <w:sz w:val="24"/>
        </w:rPr>
        <w:t>Low- </w:t>
      </w:r>
      <w:r>
        <w:rPr>
          <w:sz w:val="24"/>
        </w:rPr>
        <w:t>Income Countries in Sub-Saharan Africa.</w:t>
      </w:r>
      <w:r>
        <w:rPr>
          <w:i/>
          <w:sz w:val="24"/>
        </w:rPr>
        <w:t>International Monetary Fund</w:t>
        <w:tab/>
        <w:t>Working Paper </w:t>
      </w:r>
      <w:r>
        <w:rPr>
          <w:sz w:val="24"/>
        </w:rPr>
        <w:t>97/68.</w:t>
      </w:r>
    </w:p>
    <w:p>
      <w:pPr>
        <w:tabs>
          <w:tab w:pos="5032" w:val="left" w:leader="none"/>
          <w:tab w:pos="5752" w:val="left" w:leader="none"/>
          <w:tab w:pos="7912" w:val="left" w:leader="none"/>
          <w:tab w:pos="10073" w:val="left" w:leader="none"/>
        </w:tabs>
        <w:spacing w:before="0"/>
        <w:ind w:left="711" w:right="475" w:firstLine="0"/>
        <w:jc w:val="left"/>
        <w:rPr>
          <w:sz w:val="24"/>
        </w:rPr>
      </w:pPr>
      <w:r>
        <w:rPr>
          <w:sz w:val="24"/>
        </w:rPr>
        <w:t>Ajayi S. I. (2005). Managing Capital flight: Issues and Challenges.</w:t>
      </w:r>
      <w:r>
        <w:rPr>
          <w:spacing w:val="40"/>
          <w:sz w:val="24"/>
        </w:rPr>
        <w:t> </w:t>
      </w:r>
      <w:r>
        <w:rPr>
          <w:i/>
          <w:sz w:val="24"/>
        </w:rPr>
        <w:t>Paper Presented at a</w:t>
        <w:tab/>
      </w:r>
      <w:r>
        <w:rPr>
          <w:i/>
          <w:spacing w:val="-2"/>
          <w:sz w:val="24"/>
        </w:rPr>
        <w:t>seminar </w:t>
      </w:r>
      <w:r>
        <w:rPr>
          <w:i/>
          <w:sz w:val="24"/>
        </w:rPr>
        <w:t>titled; Capital Flows and Economic Transformation in Nigeria</w:t>
      </w:r>
      <w:r>
        <w:rPr>
          <w:sz w:val="24"/>
        </w:rPr>
        <w:t>, </w:t>
      </w:r>
      <w:r>
        <w:rPr>
          <w:i/>
          <w:sz w:val="24"/>
        </w:rPr>
        <w:t>at the</w:t>
        <w:tab/>
        <w:t>Central</w:t>
      </w:r>
      <w:r>
        <w:rPr>
          <w:i/>
          <w:spacing w:val="80"/>
          <w:sz w:val="24"/>
        </w:rPr>
        <w:t> </w:t>
      </w:r>
      <w:r>
        <w:rPr>
          <w:i/>
          <w:sz w:val="24"/>
        </w:rPr>
        <w:t>Bank</w:t>
      </w:r>
      <w:r>
        <w:rPr>
          <w:i/>
          <w:spacing w:val="80"/>
          <w:sz w:val="24"/>
        </w:rPr>
        <w:t> </w:t>
      </w:r>
      <w:r>
        <w:rPr>
          <w:i/>
          <w:sz w:val="24"/>
        </w:rPr>
        <w:t>of</w:t>
      </w:r>
      <w:r>
        <w:rPr>
          <w:i/>
          <w:spacing w:val="80"/>
          <w:sz w:val="24"/>
        </w:rPr>
        <w:t> </w:t>
      </w:r>
      <w:r>
        <w:rPr>
          <w:i/>
          <w:sz w:val="24"/>
        </w:rPr>
        <w:t>Nigeria’s</w:t>
      </w:r>
      <w:r>
        <w:rPr>
          <w:i/>
          <w:spacing w:val="80"/>
          <w:sz w:val="24"/>
        </w:rPr>
        <w:t> </w:t>
      </w:r>
      <w:r>
        <w:rPr>
          <w:i/>
          <w:sz w:val="24"/>
        </w:rPr>
        <w:t>5</w:t>
      </w:r>
      <w:r>
        <w:rPr>
          <w:i/>
          <w:sz w:val="24"/>
          <w:vertAlign w:val="superscript"/>
        </w:rPr>
        <w:t>th</w:t>
      </w:r>
      <w:r>
        <w:rPr>
          <w:i/>
          <w:sz w:val="24"/>
          <w:vertAlign w:val="baseline"/>
        </w:rPr>
        <w:t> Annual Monetary Policy Conference</w:t>
      </w:r>
      <w:r>
        <w:rPr>
          <w:sz w:val="24"/>
          <w:vertAlign w:val="baseline"/>
        </w:rPr>
        <w:t>,</w:t>
        <w:tab/>
      </w:r>
      <w:r>
        <w:rPr>
          <w:spacing w:val="-4"/>
          <w:sz w:val="24"/>
          <w:vertAlign w:val="baseline"/>
        </w:rPr>
        <w:t>CBN</w:t>
      </w:r>
      <w:r>
        <w:rPr>
          <w:sz w:val="24"/>
          <w:vertAlign w:val="baseline"/>
        </w:rPr>
        <w:tab/>
        <w:t>Conference Hall, Abuja 10-11</w:t>
      </w:r>
    </w:p>
    <w:p>
      <w:pPr>
        <w:tabs>
          <w:tab w:pos="9353" w:val="left" w:leader="none"/>
        </w:tabs>
        <w:spacing w:line="240" w:lineRule="auto" w:before="1"/>
        <w:ind w:left="711" w:right="475" w:firstLine="0"/>
        <w:jc w:val="left"/>
        <w:rPr>
          <w:i/>
          <w:sz w:val="24"/>
        </w:rPr>
      </w:pPr>
      <w:r>
        <w:rPr>
          <w:rFonts w:ascii="Arial MT" w:hAnsi="Arial MT"/>
          <w:color w:val="221F1F"/>
          <w:sz w:val="24"/>
        </w:rPr>
        <w:t>Akanni, O. L</w:t>
      </w:r>
      <w:r>
        <w:rPr>
          <w:rFonts w:ascii="Arial MT" w:hAnsi="Arial MT"/>
          <w:sz w:val="24"/>
        </w:rPr>
        <w:t>. </w:t>
      </w:r>
      <w:r>
        <w:rPr>
          <w:sz w:val="24"/>
        </w:rPr>
        <w:t>(2007). An Econometric Analysis of Capital Flight from Nigeria: A</w:t>
        <w:tab/>
      </w:r>
      <w:r>
        <w:rPr>
          <w:spacing w:val="-2"/>
          <w:sz w:val="24"/>
        </w:rPr>
        <w:t>Portfolio </w:t>
      </w:r>
      <w:r>
        <w:rPr>
          <w:sz w:val="24"/>
        </w:rPr>
        <w:t>Approach.</w:t>
      </w:r>
      <w:r>
        <w:rPr>
          <w:spacing w:val="40"/>
          <w:sz w:val="24"/>
        </w:rPr>
        <w:t> </w:t>
      </w:r>
      <w:r>
        <w:rPr>
          <w:i/>
          <w:sz w:val="24"/>
        </w:rPr>
        <w:t>African</w:t>
      </w:r>
      <w:r>
        <w:rPr>
          <w:i/>
          <w:spacing w:val="40"/>
          <w:sz w:val="24"/>
        </w:rPr>
        <w:t> </w:t>
      </w:r>
      <w:r>
        <w:rPr>
          <w:i/>
          <w:sz w:val="24"/>
        </w:rPr>
        <w:t>Economic</w:t>
      </w:r>
      <w:r>
        <w:rPr>
          <w:i/>
          <w:spacing w:val="40"/>
          <w:sz w:val="24"/>
        </w:rPr>
        <w:t> </w:t>
      </w:r>
      <w:r>
        <w:rPr>
          <w:i/>
          <w:sz w:val="24"/>
        </w:rPr>
        <w:t>Reseach</w:t>
      </w:r>
      <w:r>
        <w:rPr>
          <w:i/>
          <w:spacing w:val="40"/>
          <w:sz w:val="24"/>
        </w:rPr>
        <w:t> </w:t>
      </w:r>
      <w:r>
        <w:rPr>
          <w:i/>
          <w:sz w:val="24"/>
        </w:rPr>
        <w:t>Consortium</w:t>
      </w:r>
      <w:r>
        <w:rPr>
          <w:sz w:val="24"/>
        </w:rPr>
        <w:t>.</w:t>
      </w:r>
      <w:r>
        <w:rPr>
          <w:spacing w:val="40"/>
          <w:sz w:val="24"/>
        </w:rPr>
        <w:t> </w:t>
      </w:r>
      <w:r>
        <w:rPr>
          <w:sz w:val="24"/>
        </w:rPr>
        <w:t>Paper</w:t>
      </w:r>
      <w:r>
        <w:rPr>
          <w:spacing w:val="40"/>
          <w:sz w:val="24"/>
        </w:rPr>
        <w:t> </w:t>
      </w:r>
      <w:r>
        <w:rPr>
          <w:sz w:val="24"/>
        </w:rPr>
        <w:t>16</w:t>
      </w:r>
      <w:r>
        <w:rPr>
          <w:spacing w:val="40"/>
          <w:sz w:val="24"/>
        </w:rPr>
        <w:t> </w:t>
      </w:r>
      <w:r>
        <w:rPr>
          <w:sz w:val="24"/>
        </w:rPr>
        <w:t>Central</w:t>
      </w:r>
      <w:r>
        <w:rPr>
          <w:spacing w:val="40"/>
          <w:sz w:val="24"/>
        </w:rPr>
        <w:t> </w:t>
      </w:r>
      <w:r>
        <w:rPr>
          <w:sz w:val="24"/>
        </w:rPr>
        <w:t>Bank</w:t>
      </w:r>
      <w:r>
        <w:rPr>
          <w:spacing w:val="40"/>
          <w:sz w:val="24"/>
        </w:rPr>
        <w:t> </w:t>
      </w:r>
      <w:r>
        <w:rPr>
          <w:sz w:val="24"/>
        </w:rPr>
        <w:t>of</w:t>
      </w:r>
      <w:r>
        <w:rPr>
          <w:spacing w:val="40"/>
          <w:sz w:val="24"/>
        </w:rPr>
        <w:t> </w:t>
      </w:r>
      <w:r>
        <w:rPr>
          <w:sz w:val="24"/>
        </w:rPr>
        <w:t>Nigeria</w:t>
      </w:r>
      <w:r>
        <w:rPr>
          <w:spacing w:val="40"/>
          <w:sz w:val="24"/>
        </w:rPr>
        <w:t> </w:t>
      </w:r>
      <w:r>
        <w:rPr>
          <w:sz w:val="24"/>
        </w:rPr>
        <w:t>(2011).</w:t>
      </w:r>
      <w:r>
        <w:rPr>
          <w:spacing w:val="40"/>
          <w:sz w:val="24"/>
        </w:rPr>
        <w:t> </w:t>
      </w:r>
      <w:r>
        <w:rPr>
          <w:sz w:val="24"/>
        </w:rPr>
        <w:t>Nigeria’s External and Domestic Debt.</w:t>
      </w:r>
      <w:r>
        <w:rPr>
          <w:spacing w:val="40"/>
          <w:sz w:val="24"/>
        </w:rPr>
        <w:t> </w:t>
      </w:r>
      <w:r>
        <w:rPr>
          <w:i/>
          <w:sz w:val="24"/>
        </w:rPr>
        <w:t>CBN publication</w:t>
      </w:r>
    </w:p>
    <w:p>
      <w:pPr>
        <w:pStyle w:val="BodyText"/>
        <w:spacing w:before="275"/>
        <w:ind w:left="711"/>
        <w:rPr>
          <w:i/>
        </w:rPr>
      </w:pPr>
      <w:r>
        <w:rPr/>
        <w:t>Central</w:t>
      </w:r>
      <w:r>
        <w:rPr>
          <w:spacing w:val="-1"/>
        </w:rPr>
        <w:t> </w:t>
      </w:r>
      <w:r>
        <w:rPr/>
        <w:t>Bank</w:t>
      </w:r>
      <w:r>
        <w:rPr>
          <w:spacing w:val="-1"/>
        </w:rPr>
        <w:t> </w:t>
      </w:r>
      <w:r>
        <w:rPr/>
        <w:t>of</w:t>
      </w:r>
      <w:r>
        <w:rPr>
          <w:spacing w:val="-1"/>
        </w:rPr>
        <w:t> </w:t>
      </w:r>
      <w:r>
        <w:rPr/>
        <w:t>Nigeria</w:t>
      </w:r>
      <w:r>
        <w:rPr>
          <w:spacing w:val="-2"/>
        </w:rPr>
        <w:t> </w:t>
      </w:r>
      <w:r>
        <w:rPr/>
        <w:t>(2011).</w:t>
      </w:r>
      <w:r>
        <w:rPr>
          <w:spacing w:val="-1"/>
        </w:rPr>
        <w:t> </w:t>
      </w:r>
      <w:r>
        <w:rPr/>
        <w:t>Nigeria’s</w:t>
      </w:r>
      <w:r>
        <w:rPr>
          <w:spacing w:val="-2"/>
        </w:rPr>
        <w:t> </w:t>
      </w:r>
      <w:r>
        <w:rPr/>
        <w:t>External</w:t>
      </w:r>
      <w:r>
        <w:rPr>
          <w:spacing w:val="-1"/>
        </w:rPr>
        <w:t> </w:t>
      </w:r>
      <w:r>
        <w:rPr/>
        <w:t>and</w:t>
      </w:r>
      <w:r>
        <w:rPr>
          <w:spacing w:val="-1"/>
        </w:rPr>
        <w:t> </w:t>
      </w:r>
      <w:r>
        <w:rPr/>
        <w:t>Domestic</w:t>
      </w:r>
      <w:r>
        <w:rPr>
          <w:spacing w:val="-2"/>
        </w:rPr>
        <w:t> </w:t>
      </w:r>
      <w:r>
        <w:rPr/>
        <w:t>Debt.</w:t>
      </w:r>
      <w:r>
        <w:rPr>
          <w:spacing w:val="61"/>
        </w:rPr>
        <w:t> </w:t>
      </w:r>
      <w:r>
        <w:rPr>
          <w:i/>
        </w:rPr>
        <w:t>CBN</w:t>
      </w:r>
      <w:r>
        <w:rPr>
          <w:i/>
          <w:spacing w:val="-1"/>
        </w:rPr>
        <w:t> </w:t>
      </w:r>
      <w:r>
        <w:rPr>
          <w:i/>
          <w:spacing w:val="-2"/>
        </w:rPr>
        <w:t>Publication</w:t>
      </w:r>
    </w:p>
    <w:p>
      <w:pPr>
        <w:pStyle w:val="BodyText"/>
        <w:rPr>
          <w:i/>
        </w:rPr>
      </w:pPr>
    </w:p>
    <w:p>
      <w:pPr>
        <w:pStyle w:val="BodyText"/>
        <w:ind w:left="1431" w:hanging="721"/>
        <w:rPr>
          <w:i/>
        </w:rPr>
      </w:pPr>
      <w:r>
        <w:rPr/>
        <w:t>Cooper</w:t>
      </w:r>
      <w:r>
        <w:rPr>
          <w:spacing w:val="23"/>
        </w:rPr>
        <w:t> </w:t>
      </w:r>
      <w:r>
        <w:rPr/>
        <w:t>H.</w:t>
      </w:r>
      <w:r>
        <w:rPr>
          <w:spacing w:val="80"/>
        </w:rPr>
        <w:t> </w:t>
      </w:r>
      <w:r>
        <w:rPr/>
        <w:t>W.</w:t>
      </w:r>
      <w:r>
        <w:rPr>
          <w:spacing w:val="21"/>
        </w:rPr>
        <w:t> </w:t>
      </w:r>
      <w:r>
        <w:rPr/>
        <w:t>&amp;</w:t>
      </w:r>
      <w:r>
        <w:rPr>
          <w:spacing w:val="22"/>
        </w:rPr>
        <w:t> </w:t>
      </w:r>
      <w:r>
        <w:rPr/>
        <w:t>Hardt,</w:t>
      </w:r>
      <w:r>
        <w:rPr>
          <w:spacing w:val="21"/>
        </w:rPr>
        <w:t> </w:t>
      </w:r>
      <w:r>
        <w:rPr/>
        <w:t>J.</w:t>
      </w:r>
      <w:r>
        <w:rPr>
          <w:spacing w:val="24"/>
        </w:rPr>
        <w:t> </w:t>
      </w:r>
      <w:r>
        <w:rPr/>
        <w:t>P.</w:t>
      </w:r>
      <w:r>
        <w:rPr>
          <w:spacing w:val="21"/>
        </w:rPr>
        <w:t> </w:t>
      </w:r>
      <w:r>
        <w:rPr/>
        <w:t>(2000).</w:t>
      </w:r>
      <w:r>
        <w:rPr>
          <w:spacing w:val="26"/>
        </w:rPr>
        <w:t> </w:t>
      </w:r>
      <w:r>
        <w:rPr/>
        <w:t>Russian</w:t>
      </w:r>
      <w:r>
        <w:rPr>
          <w:spacing w:val="21"/>
        </w:rPr>
        <w:t> </w:t>
      </w:r>
      <w:r>
        <w:rPr/>
        <w:t>Capital</w:t>
      </w:r>
      <w:r>
        <w:rPr>
          <w:spacing w:val="24"/>
        </w:rPr>
        <w:t> </w:t>
      </w:r>
      <w:r>
        <w:rPr/>
        <w:t>flight,</w:t>
      </w:r>
      <w:r>
        <w:rPr>
          <w:spacing w:val="24"/>
        </w:rPr>
        <w:t> </w:t>
      </w:r>
      <w:r>
        <w:rPr/>
        <w:t>Economic</w:t>
      </w:r>
      <w:r>
        <w:rPr>
          <w:spacing w:val="23"/>
        </w:rPr>
        <w:t> </w:t>
      </w:r>
      <w:r>
        <w:rPr/>
        <w:t>Reforms,</w:t>
      </w:r>
      <w:r>
        <w:rPr>
          <w:spacing w:val="24"/>
        </w:rPr>
        <w:t> </w:t>
      </w:r>
      <w:r>
        <w:rPr/>
        <w:t>and</w:t>
      </w:r>
      <w:r>
        <w:rPr>
          <w:spacing w:val="24"/>
        </w:rPr>
        <w:t> </w:t>
      </w:r>
      <w:r>
        <w:rPr/>
        <w:t>U.S.</w:t>
      </w:r>
      <w:r>
        <w:rPr>
          <w:spacing w:val="30"/>
        </w:rPr>
        <w:t> </w:t>
      </w:r>
      <w:r>
        <w:rPr/>
        <w:t>Interests:</w:t>
      </w:r>
      <w:r>
        <w:rPr>
          <w:spacing w:val="80"/>
        </w:rPr>
        <w:t> </w:t>
      </w:r>
      <w:r>
        <w:rPr/>
        <w:t>An Analysis. Congressional Research Service (CRS).</w:t>
      </w:r>
      <w:r>
        <w:rPr>
          <w:spacing w:val="40"/>
        </w:rPr>
        <w:t> </w:t>
      </w:r>
      <w:r>
        <w:rPr>
          <w:i/>
        </w:rPr>
        <w:t>Report for Congress.</w:t>
      </w:r>
    </w:p>
    <w:p>
      <w:pPr>
        <w:spacing w:before="0"/>
        <w:ind w:left="711" w:right="0" w:firstLine="0"/>
        <w:jc w:val="left"/>
        <w:rPr>
          <w:i/>
          <w:sz w:val="24"/>
        </w:rPr>
      </w:pPr>
      <w:r>
        <w:rPr>
          <w:sz w:val="24"/>
        </w:rPr>
        <w:t>Cuddington,</w:t>
      </w:r>
      <w:r>
        <w:rPr>
          <w:spacing w:val="-1"/>
          <w:sz w:val="24"/>
        </w:rPr>
        <w:t> </w:t>
      </w:r>
      <w:r>
        <w:rPr>
          <w:sz w:val="24"/>
        </w:rPr>
        <w:t>John</w:t>
      </w:r>
      <w:r>
        <w:rPr>
          <w:spacing w:val="-1"/>
          <w:sz w:val="24"/>
        </w:rPr>
        <w:t> </w:t>
      </w:r>
      <w:r>
        <w:rPr>
          <w:sz w:val="24"/>
        </w:rPr>
        <w:t>T.</w:t>
      </w:r>
      <w:r>
        <w:rPr>
          <w:spacing w:val="-1"/>
          <w:sz w:val="24"/>
        </w:rPr>
        <w:t> </w:t>
      </w:r>
      <w:r>
        <w:rPr>
          <w:sz w:val="24"/>
        </w:rPr>
        <w:t>(1986). </w:t>
      </w:r>
      <w:r>
        <w:rPr>
          <w:i/>
          <w:sz w:val="24"/>
        </w:rPr>
        <w:t>Capital</w:t>
      </w:r>
      <w:r>
        <w:rPr>
          <w:i/>
          <w:spacing w:val="-1"/>
          <w:sz w:val="24"/>
        </w:rPr>
        <w:t> </w:t>
      </w:r>
      <w:r>
        <w:rPr>
          <w:i/>
          <w:sz w:val="24"/>
        </w:rPr>
        <w:t>Flight:</w:t>
      </w:r>
      <w:r>
        <w:rPr>
          <w:i/>
          <w:spacing w:val="-1"/>
          <w:sz w:val="24"/>
        </w:rPr>
        <w:t> </w:t>
      </w:r>
      <w:r>
        <w:rPr>
          <w:i/>
          <w:sz w:val="24"/>
        </w:rPr>
        <w:t>Estimates,</w:t>
      </w:r>
      <w:r>
        <w:rPr>
          <w:i/>
          <w:spacing w:val="-1"/>
          <w:sz w:val="24"/>
        </w:rPr>
        <w:t> </w:t>
      </w:r>
      <w:r>
        <w:rPr>
          <w:i/>
          <w:sz w:val="24"/>
        </w:rPr>
        <w:t>Issues </w:t>
      </w:r>
      <w:r>
        <w:rPr>
          <w:i/>
          <w:spacing w:val="-5"/>
          <w:sz w:val="24"/>
        </w:rPr>
        <w:t>and</w:t>
      </w:r>
    </w:p>
    <w:p>
      <w:pPr>
        <w:pStyle w:val="BodyText"/>
        <w:tabs>
          <w:tab w:pos="7912" w:val="left" w:leader="none"/>
          <w:tab w:pos="10232" w:val="left" w:leader="none"/>
        </w:tabs>
        <w:ind w:left="711" w:right="475" w:firstLine="720"/>
      </w:pPr>
      <w:r>
        <w:rPr>
          <w:i/>
        </w:rPr>
        <w:t>Explanations. </w:t>
      </w:r>
      <w:r>
        <w:rPr/>
        <w:t>Princeton Studies in International Finance, No: 58,</w:t>
        <w:tab/>
      </w:r>
      <w:r>
        <w:rPr>
          <w:spacing w:val="-2"/>
        </w:rPr>
        <w:t>Princeton,NJ.,</w:t>
      </w:r>
      <w:r>
        <w:rPr/>
        <w:tab/>
      </w:r>
      <w:r>
        <w:rPr>
          <w:spacing w:val="-2"/>
        </w:rPr>
        <w:t>Princeton </w:t>
      </w:r>
      <w:r>
        <w:rPr/>
        <w:t>University, International Finance Section, Princeton, New Jersey.</w:t>
      </w:r>
    </w:p>
    <w:p>
      <w:pPr>
        <w:spacing w:before="0"/>
        <w:ind w:left="711" w:right="0" w:firstLine="0"/>
        <w:jc w:val="left"/>
        <w:rPr>
          <w:i/>
          <w:sz w:val="24"/>
        </w:rPr>
      </w:pPr>
      <w:r>
        <w:rPr>
          <w:sz w:val="24"/>
        </w:rPr>
        <w:t>Cuddington,</w:t>
      </w:r>
      <w:r>
        <w:rPr>
          <w:spacing w:val="-3"/>
          <w:sz w:val="24"/>
        </w:rPr>
        <w:t> </w:t>
      </w:r>
      <w:r>
        <w:rPr>
          <w:sz w:val="24"/>
        </w:rPr>
        <w:t>John T.</w:t>
      </w:r>
      <w:r>
        <w:rPr>
          <w:spacing w:val="-1"/>
          <w:sz w:val="24"/>
        </w:rPr>
        <w:t> </w:t>
      </w:r>
      <w:r>
        <w:rPr>
          <w:sz w:val="24"/>
        </w:rPr>
        <w:t>(1987).</w:t>
      </w:r>
      <w:r>
        <w:rPr>
          <w:spacing w:val="-1"/>
          <w:sz w:val="24"/>
        </w:rPr>
        <w:t> </w:t>
      </w:r>
      <w:r>
        <w:rPr>
          <w:i/>
          <w:sz w:val="24"/>
        </w:rPr>
        <w:t>Macroeconomic</w:t>
      </w:r>
      <w:r>
        <w:rPr>
          <w:i/>
          <w:spacing w:val="-2"/>
          <w:sz w:val="24"/>
        </w:rPr>
        <w:t> </w:t>
      </w:r>
      <w:r>
        <w:rPr>
          <w:i/>
          <w:sz w:val="24"/>
        </w:rPr>
        <w:t>Determinants of</w:t>
      </w:r>
      <w:r>
        <w:rPr>
          <w:i/>
          <w:spacing w:val="-1"/>
          <w:sz w:val="24"/>
        </w:rPr>
        <w:t> </w:t>
      </w:r>
      <w:r>
        <w:rPr>
          <w:i/>
          <w:sz w:val="24"/>
        </w:rPr>
        <w:t>Capital Flight: </w:t>
      </w:r>
      <w:r>
        <w:rPr>
          <w:i/>
          <w:spacing w:val="-5"/>
          <w:sz w:val="24"/>
        </w:rPr>
        <w:t>An</w:t>
      </w:r>
    </w:p>
    <w:p>
      <w:pPr>
        <w:pStyle w:val="BodyText"/>
        <w:ind w:left="711" w:right="475" w:firstLine="720"/>
      </w:pPr>
      <w:r>
        <w:rPr>
          <w:i/>
        </w:rPr>
        <w:t>Econometric</w:t>
      </w:r>
      <w:r>
        <w:rPr>
          <w:i/>
          <w:spacing w:val="28"/>
        </w:rPr>
        <w:t> </w:t>
      </w:r>
      <w:r>
        <w:rPr>
          <w:i/>
        </w:rPr>
        <w:t>Investigation.</w:t>
      </w:r>
      <w:r>
        <w:rPr>
          <w:i/>
          <w:spacing w:val="34"/>
        </w:rPr>
        <w:t> </w:t>
      </w:r>
      <w:r>
        <w:rPr/>
        <w:t>In</w:t>
      </w:r>
      <w:r>
        <w:rPr>
          <w:spacing w:val="32"/>
        </w:rPr>
        <w:t> </w:t>
      </w:r>
      <w:r>
        <w:rPr/>
        <w:t>Lessard</w:t>
      </w:r>
      <w:r>
        <w:rPr>
          <w:spacing w:val="31"/>
        </w:rPr>
        <w:t> </w:t>
      </w:r>
      <w:r>
        <w:rPr/>
        <w:t>and</w:t>
      </w:r>
      <w:r>
        <w:rPr>
          <w:spacing w:val="29"/>
        </w:rPr>
        <w:t> </w:t>
      </w:r>
      <w:r>
        <w:rPr/>
        <w:t>Williamson,</w:t>
      </w:r>
      <w:r>
        <w:rPr>
          <w:spacing w:val="29"/>
        </w:rPr>
        <w:t> </w:t>
      </w:r>
      <w:r>
        <w:rPr/>
        <w:t>Edition.,</w:t>
      </w:r>
      <w:r>
        <w:rPr>
          <w:spacing w:val="29"/>
        </w:rPr>
        <w:t> </w:t>
      </w:r>
      <w:r>
        <w:rPr/>
        <w:t>Capital</w:t>
      </w:r>
      <w:r>
        <w:rPr>
          <w:spacing w:val="28"/>
        </w:rPr>
        <w:t> </w:t>
      </w:r>
      <w:r>
        <w:rPr/>
        <w:t>Flight</w:t>
      </w:r>
      <w:r>
        <w:rPr>
          <w:spacing w:val="80"/>
        </w:rPr>
        <w:t> </w:t>
      </w:r>
      <w:r>
        <w:rPr/>
        <w:t>and</w:t>
      </w:r>
      <w:r>
        <w:rPr>
          <w:spacing w:val="29"/>
        </w:rPr>
        <w:t> </w:t>
      </w:r>
      <w:r>
        <w:rPr/>
        <w:t>Third</w:t>
      </w:r>
      <w:r>
        <w:rPr>
          <w:spacing w:val="28"/>
        </w:rPr>
        <w:t> </w:t>
      </w:r>
      <w:r>
        <w:rPr/>
        <w:t>World Debt. Washington, D.C.: Institute forInternational</w:t>
      </w:r>
    </w:p>
    <w:p>
      <w:pPr>
        <w:pStyle w:val="BodyText"/>
        <w:ind w:left="1431"/>
      </w:pPr>
      <w:r>
        <w:rPr>
          <w:spacing w:val="-2"/>
        </w:rPr>
        <w:t>Economics.</w:t>
      </w:r>
    </w:p>
    <w:p>
      <w:pPr>
        <w:tabs>
          <w:tab w:pos="8633" w:val="left" w:leader="none"/>
          <w:tab w:pos="9353" w:val="left" w:leader="none"/>
        </w:tabs>
        <w:spacing w:before="0"/>
        <w:ind w:left="711" w:right="1007" w:firstLine="0"/>
        <w:jc w:val="left"/>
        <w:rPr>
          <w:sz w:val="24"/>
        </w:rPr>
      </w:pPr>
      <w:r>
        <w:rPr>
          <w:sz w:val="24"/>
        </w:rPr>
        <w:t>Debt Management Office (2011). </w:t>
      </w:r>
      <w:r>
        <w:rPr>
          <w:i/>
          <w:sz w:val="24"/>
        </w:rPr>
        <w:t>International Conference on Sustainable Debt</w:t>
        <w:tab/>
      </w:r>
      <w:r>
        <w:rPr>
          <w:i/>
          <w:spacing w:val="-4"/>
          <w:sz w:val="24"/>
        </w:rPr>
        <w:t>and</w:t>
      </w:r>
      <w:r>
        <w:rPr>
          <w:i/>
          <w:sz w:val="24"/>
        </w:rPr>
        <w:tab/>
      </w:r>
      <w:r>
        <w:rPr>
          <w:i/>
          <w:spacing w:val="-2"/>
          <w:sz w:val="24"/>
        </w:rPr>
        <w:t>Development </w:t>
      </w:r>
      <w:r>
        <w:rPr>
          <w:i/>
          <w:sz w:val="24"/>
        </w:rPr>
        <w:t>Strategy. </w:t>
      </w:r>
      <w:r>
        <w:rPr>
          <w:sz w:val="24"/>
        </w:rPr>
        <w:t>Abuja.</w:t>
      </w:r>
    </w:p>
    <w:p>
      <w:pPr>
        <w:pStyle w:val="BodyText"/>
        <w:ind w:left="711" w:right="2704"/>
      </w:pPr>
      <w:r>
        <w:rPr/>
        <w:t>Debt</w:t>
      </w:r>
      <w:r>
        <w:rPr>
          <w:spacing w:val="-4"/>
        </w:rPr>
        <w:t> </w:t>
      </w:r>
      <w:r>
        <w:rPr/>
        <w:t>Management</w:t>
      </w:r>
      <w:r>
        <w:rPr>
          <w:spacing w:val="-4"/>
        </w:rPr>
        <w:t> </w:t>
      </w:r>
      <w:r>
        <w:rPr/>
        <w:t>Office,</w:t>
      </w:r>
      <w:r>
        <w:rPr>
          <w:spacing w:val="-4"/>
        </w:rPr>
        <w:t> </w:t>
      </w:r>
      <w:r>
        <w:rPr/>
        <w:t>(2013);</w:t>
      </w:r>
      <w:r>
        <w:rPr>
          <w:spacing w:val="-4"/>
        </w:rPr>
        <w:t> </w:t>
      </w:r>
      <w:r>
        <w:rPr/>
        <w:t>Periodic</w:t>
      </w:r>
      <w:r>
        <w:rPr>
          <w:spacing w:val="-5"/>
        </w:rPr>
        <w:t> </w:t>
      </w:r>
      <w:r>
        <w:rPr/>
        <w:t>Release</w:t>
      </w:r>
      <w:r>
        <w:rPr>
          <w:spacing w:val="-5"/>
        </w:rPr>
        <w:t> </w:t>
      </w:r>
      <w:r>
        <w:rPr/>
        <w:t>of</w:t>
      </w:r>
      <w:r>
        <w:rPr>
          <w:spacing w:val="-4"/>
        </w:rPr>
        <w:t> </w:t>
      </w:r>
      <w:r>
        <w:rPr/>
        <w:t>the</w:t>
      </w:r>
      <w:r>
        <w:rPr>
          <w:spacing w:val="-6"/>
        </w:rPr>
        <w:t> </w:t>
      </w:r>
      <w:r>
        <w:rPr/>
        <w:t>Central</w:t>
      </w:r>
      <w:r>
        <w:rPr>
          <w:spacing w:val="-2"/>
        </w:rPr>
        <w:t> </w:t>
      </w:r>
      <w:r>
        <w:rPr/>
        <w:t>Bank</w:t>
      </w:r>
      <w:r>
        <w:rPr>
          <w:spacing w:val="-4"/>
        </w:rPr>
        <w:t> </w:t>
      </w:r>
      <w:r>
        <w:rPr/>
        <w:t>of</w:t>
      </w:r>
      <w:r>
        <w:rPr>
          <w:spacing w:val="-3"/>
        </w:rPr>
        <w:t> </w:t>
      </w:r>
      <w:r>
        <w:rPr/>
        <w:t>Nigeria. Dooley, M. P. (1986). Country-Specific Risk Premiums, Capital Flight and Net</w:t>
      </w:r>
    </w:p>
    <w:p>
      <w:pPr>
        <w:pStyle w:val="BodyText"/>
        <w:tabs>
          <w:tab w:pos="10133" w:val="left" w:leader="none"/>
        </w:tabs>
        <w:ind w:left="1431"/>
      </w:pPr>
      <w:r>
        <w:rPr/>
        <w:t>Investment</w:t>
      </w:r>
      <w:r>
        <w:rPr>
          <w:spacing w:val="-3"/>
        </w:rPr>
        <w:t> </w:t>
      </w:r>
      <w:r>
        <w:rPr/>
        <w:t>Income</w:t>
      </w:r>
      <w:r>
        <w:rPr>
          <w:spacing w:val="-2"/>
        </w:rPr>
        <w:t> </w:t>
      </w:r>
      <w:r>
        <w:rPr/>
        <w:t>Payments</w:t>
      </w:r>
      <w:r>
        <w:rPr>
          <w:spacing w:val="-2"/>
        </w:rPr>
        <w:t> </w:t>
      </w:r>
      <w:r>
        <w:rPr/>
        <w:t>in</w:t>
      </w:r>
      <w:r>
        <w:rPr>
          <w:spacing w:val="-2"/>
        </w:rPr>
        <w:t> </w:t>
      </w:r>
      <w:r>
        <w:rPr/>
        <w:t>Selected</w:t>
      </w:r>
      <w:r>
        <w:rPr>
          <w:spacing w:val="-2"/>
        </w:rPr>
        <w:t> </w:t>
      </w:r>
      <w:r>
        <w:rPr/>
        <w:t>Developing</w:t>
      </w:r>
      <w:r>
        <w:rPr>
          <w:spacing w:val="-5"/>
        </w:rPr>
        <w:t> </w:t>
      </w:r>
      <w:r>
        <w:rPr>
          <w:spacing w:val="-2"/>
        </w:rPr>
        <w:t>Countries.Washington</w:t>
      </w:r>
      <w:r>
        <w:rPr/>
        <w:tab/>
      </w:r>
      <w:r>
        <w:rPr>
          <w:spacing w:val="-5"/>
        </w:rPr>
        <w:t>DC:</w:t>
      </w:r>
    </w:p>
    <w:p>
      <w:pPr>
        <w:spacing w:before="0"/>
        <w:ind w:left="711" w:right="0" w:firstLine="0"/>
        <w:jc w:val="left"/>
        <w:rPr>
          <w:i/>
          <w:sz w:val="24"/>
        </w:rPr>
      </w:pPr>
      <w:r>
        <w:rPr>
          <w:i/>
          <w:sz w:val="24"/>
        </w:rPr>
        <w:t>International</w:t>
      </w:r>
      <w:r>
        <w:rPr>
          <w:i/>
          <w:spacing w:val="-2"/>
          <w:sz w:val="24"/>
        </w:rPr>
        <w:t> </w:t>
      </w:r>
      <w:r>
        <w:rPr>
          <w:i/>
          <w:sz w:val="24"/>
        </w:rPr>
        <w:t>Monetary</w:t>
      </w:r>
      <w:r>
        <w:rPr>
          <w:i/>
          <w:spacing w:val="-1"/>
          <w:sz w:val="24"/>
        </w:rPr>
        <w:t> </w:t>
      </w:r>
      <w:r>
        <w:rPr>
          <w:i/>
          <w:spacing w:val="-2"/>
          <w:sz w:val="24"/>
        </w:rPr>
        <w:t>Fund.</w:t>
      </w:r>
    </w:p>
    <w:p>
      <w:pPr>
        <w:spacing w:before="0"/>
        <w:ind w:left="711" w:right="475" w:firstLine="0"/>
        <w:jc w:val="left"/>
        <w:rPr>
          <w:i/>
          <w:sz w:val="24"/>
        </w:rPr>
      </w:pPr>
      <w:r>
        <w:rPr>
          <w:sz w:val="24"/>
        </w:rPr>
        <w:t>Erbe, S. (1985). The Flight of Capital from Developing Countries, </w:t>
      </w:r>
      <w:r>
        <w:rPr>
          <w:i/>
          <w:sz w:val="24"/>
        </w:rPr>
        <w:t>Intereconomics</w:t>
      </w:r>
      <w:r>
        <w:rPr>
          <w:sz w:val="24"/>
        </w:rPr>
        <w:t>(November/December). Grigoryev L., A. Kosarev (2000). Capital Flight: Scale and Nature.</w:t>
      </w:r>
      <w:r>
        <w:rPr>
          <w:spacing w:val="40"/>
          <w:sz w:val="24"/>
        </w:rPr>
        <w:t> </w:t>
      </w:r>
      <w:r>
        <w:rPr>
          <w:i/>
          <w:sz w:val="24"/>
        </w:rPr>
        <w:t>The Russian School</w:t>
      </w:r>
      <w:r>
        <w:rPr>
          <w:sz w:val="24"/>
        </w:rPr>
        <w:t>, </w:t>
      </w:r>
      <w:r>
        <w:rPr>
          <w:i/>
          <w:sz w:val="24"/>
        </w:rPr>
        <w:t>61(2), </w:t>
      </w:r>
      <w:r>
        <w:rPr>
          <w:sz w:val="24"/>
        </w:rPr>
        <w:t>144–166. Husted,</w:t>
      </w:r>
      <w:r>
        <w:rPr>
          <w:spacing w:val="61"/>
          <w:sz w:val="24"/>
        </w:rPr>
        <w:t> </w:t>
      </w:r>
      <w:r>
        <w:rPr>
          <w:sz w:val="24"/>
        </w:rPr>
        <w:t>S.L</w:t>
      </w:r>
      <w:r>
        <w:rPr>
          <w:spacing w:val="58"/>
          <w:sz w:val="24"/>
        </w:rPr>
        <w:t> </w:t>
      </w:r>
      <w:r>
        <w:rPr>
          <w:sz w:val="24"/>
        </w:rPr>
        <w:t>and</w:t>
      </w:r>
      <w:r>
        <w:rPr>
          <w:spacing w:val="61"/>
          <w:sz w:val="24"/>
        </w:rPr>
        <w:t> </w:t>
      </w:r>
      <w:r>
        <w:rPr>
          <w:sz w:val="24"/>
        </w:rPr>
        <w:t>Melvin.</w:t>
      </w:r>
      <w:r>
        <w:rPr>
          <w:spacing w:val="61"/>
          <w:sz w:val="24"/>
        </w:rPr>
        <w:t> </w:t>
      </w:r>
      <w:r>
        <w:rPr>
          <w:sz w:val="24"/>
        </w:rPr>
        <w:t>(1990).</w:t>
      </w:r>
      <w:r>
        <w:rPr>
          <w:spacing w:val="63"/>
          <w:sz w:val="24"/>
        </w:rPr>
        <w:t> </w:t>
      </w:r>
      <w:r>
        <w:rPr>
          <w:i/>
          <w:sz w:val="24"/>
        </w:rPr>
        <w:t>United</w:t>
      </w:r>
      <w:r>
        <w:rPr>
          <w:i/>
          <w:spacing w:val="61"/>
          <w:sz w:val="24"/>
        </w:rPr>
        <w:t> </w:t>
      </w:r>
      <w:r>
        <w:rPr>
          <w:i/>
          <w:sz w:val="24"/>
        </w:rPr>
        <w:t>State,</w:t>
      </w:r>
      <w:r>
        <w:rPr>
          <w:i/>
          <w:spacing w:val="63"/>
          <w:sz w:val="24"/>
        </w:rPr>
        <w:t> </w:t>
      </w:r>
      <w:r>
        <w:rPr>
          <w:i/>
          <w:sz w:val="24"/>
        </w:rPr>
        <w:t>Commercial</w:t>
      </w:r>
      <w:r>
        <w:rPr>
          <w:i/>
          <w:spacing w:val="64"/>
          <w:sz w:val="24"/>
        </w:rPr>
        <w:t> </w:t>
      </w:r>
      <w:r>
        <w:rPr>
          <w:i/>
          <w:sz w:val="24"/>
        </w:rPr>
        <w:t>Policy,</w:t>
      </w:r>
      <w:r>
        <w:rPr>
          <w:i/>
          <w:spacing w:val="61"/>
          <w:sz w:val="24"/>
        </w:rPr>
        <w:t> </w:t>
      </w:r>
      <w:r>
        <w:rPr>
          <w:i/>
          <w:sz w:val="24"/>
        </w:rPr>
        <w:t>International</w:t>
      </w:r>
      <w:r>
        <w:rPr>
          <w:i/>
          <w:spacing w:val="62"/>
          <w:sz w:val="24"/>
        </w:rPr>
        <w:t> </w:t>
      </w:r>
      <w:r>
        <w:rPr>
          <w:i/>
          <w:sz w:val="24"/>
        </w:rPr>
        <w:t>Economic</w:t>
      </w:r>
      <w:r>
        <w:rPr>
          <w:i/>
          <w:spacing w:val="60"/>
          <w:sz w:val="24"/>
        </w:rPr>
        <w:t> </w:t>
      </w:r>
      <w:r>
        <w:rPr>
          <w:i/>
          <w:sz w:val="24"/>
        </w:rPr>
        <w:t>Relations</w:t>
      </w:r>
    </w:p>
    <w:p>
      <w:pPr>
        <w:pStyle w:val="BodyText"/>
        <w:spacing w:before="1"/>
        <w:ind w:right="1667"/>
        <w:jc w:val="center"/>
      </w:pPr>
      <w:r>
        <w:rPr>
          <w:i/>
        </w:rPr>
        <w:t>Finance.</w:t>
      </w:r>
      <w:r>
        <w:rPr>
          <w:i/>
          <w:spacing w:val="-5"/>
        </w:rPr>
        <w:t> </w:t>
      </w:r>
      <w:r>
        <w:rPr/>
        <w:t>Addison</w:t>
      </w:r>
      <w:r>
        <w:rPr>
          <w:spacing w:val="-3"/>
        </w:rPr>
        <w:t> </w:t>
      </w:r>
      <w:r>
        <w:rPr/>
        <w:t>Wesley.</w:t>
      </w:r>
      <w:r>
        <w:rPr>
          <w:spacing w:val="-1"/>
        </w:rPr>
        <w:t> </w:t>
      </w:r>
      <w:r>
        <w:rPr/>
        <w:t>Educational</w:t>
      </w:r>
      <w:r>
        <w:rPr>
          <w:spacing w:val="-1"/>
        </w:rPr>
        <w:t> </w:t>
      </w:r>
      <w:r>
        <w:rPr/>
        <w:t>Publishers,</w:t>
      </w:r>
      <w:r>
        <w:rPr>
          <w:spacing w:val="-2"/>
        </w:rPr>
        <w:t> </w:t>
      </w:r>
      <w:r>
        <w:rPr/>
        <w:t>Incorporated.</w:t>
      </w:r>
      <w:r>
        <w:rPr>
          <w:spacing w:val="-2"/>
        </w:rPr>
        <w:t> London.</w:t>
      </w:r>
    </w:p>
    <w:p>
      <w:pPr>
        <w:pStyle w:val="BodyText"/>
        <w:ind w:left="678" w:right="2398"/>
        <w:jc w:val="center"/>
      </w:pPr>
      <w:r>
        <w:rPr/>
        <w:t>Jeffrey</w:t>
      </w:r>
      <w:r>
        <w:rPr>
          <w:spacing w:val="-8"/>
        </w:rPr>
        <w:t> </w:t>
      </w:r>
      <w:r>
        <w:rPr/>
        <w:t>S.</w:t>
      </w:r>
      <w:r>
        <w:rPr>
          <w:spacing w:val="60"/>
        </w:rPr>
        <w:t> </w:t>
      </w:r>
      <w:r>
        <w:rPr/>
        <w:t>(1996).</w:t>
      </w:r>
      <w:r>
        <w:rPr>
          <w:spacing w:val="-1"/>
        </w:rPr>
        <w:t> </w:t>
      </w:r>
      <w:r>
        <w:rPr/>
        <w:t>Niger</w:t>
      </w:r>
      <w:r>
        <w:rPr>
          <w:spacing w:val="1"/>
        </w:rPr>
        <w:t> </w:t>
      </w:r>
      <w:r>
        <w:rPr/>
        <w:t>Delta</w:t>
      </w:r>
      <w:r>
        <w:rPr>
          <w:spacing w:val="-1"/>
        </w:rPr>
        <w:t> </w:t>
      </w:r>
      <w:r>
        <w:rPr/>
        <w:t>Crisis</w:t>
      </w:r>
      <w:r>
        <w:rPr>
          <w:spacing w:val="-1"/>
        </w:rPr>
        <w:t> </w:t>
      </w:r>
      <w:r>
        <w:rPr/>
        <w:t>and the</w:t>
      </w:r>
      <w:r>
        <w:rPr>
          <w:spacing w:val="-1"/>
        </w:rPr>
        <w:t> </w:t>
      </w:r>
      <w:r>
        <w:rPr/>
        <w:t>Nigeria</w:t>
      </w:r>
      <w:r>
        <w:rPr>
          <w:spacing w:val="-3"/>
        </w:rPr>
        <w:t> </w:t>
      </w:r>
      <w:r>
        <w:rPr/>
        <w:t>Economy.</w:t>
      </w:r>
      <w:r>
        <w:rPr>
          <w:spacing w:val="63"/>
        </w:rPr>
        <w:t> </w:t>
      </w:r>
      <w:r>
        <w:rPr>
          <w:i/>
        </w:rPr>
        <w:t>The</w:t>
      </w:r>
      <w:r>
        <w:rPr>
          <w:i/>
          <w:spacing w:val="-2"/>
        </w:rPr>
        <w:t> </w:t>
      </w:r>
      <w:r>
        <w:rPr>
          <w:i/>
        </w:rPr>
        <w:t>Economist</w:t>
      </w:r>
      <w:r>
        <w:rPr>
          <w:i/>
          <w:spacing w:val="1"/>
        </w:rPr>
        <w:t> </w:t>
      </w:r>
      <w:r>
        <w:rPr/>
        <w:t>, 19-</w:t>
      </w:r>
      <w:r>
        <w:rPr>
          <w:spacing w:val="-5"/>
        </w:rPr>
        <w:t>21.</w:t>
      </w:r>
    </w:p>
    <w:p>
      <w:pPr>
        <w:spacing w:before="0"/>
        <w:ind w:left="1431" w:right="0" w:hanging="721"/>
        <w:jc w:val="left"/>
        <w:rPr>
          <w:sz w:val="24"/>
        </w:rPr>
      </w:pPr>
      <w:r>
        <w:rPr>
          <w:sz w:val="24"/>
        </w:rPr>
        <w:t>Khan,</w:t>
      </w:r>
      <w:r>
        <w:rPr>
          <w:spacing w:val="36"/>
          <w:sz w:val="24"/>
        </w:rPr>
        <w:t>  </w:t>
      </w:r>
      <w:r>
        <w:rPr>
          <w:sz w:val="24"/>
        </w:rPr>
        <w:t>M.</w:t>
      </w:r>
      <w:r>
        <w:rPr>
          <w:spacing w:val="36"/>
          <w:sz w:val="24"/>
        </w:rPr>
        <w:t>  </w:t>
      </w:r>
      <w:r>
        <w:rPr>
          <w:sz w:val="24"/>
        </w:rPr>
        <w:t>&amp;</w:t>
      </w:r>
      <w:r>
        <w:rPr>
          <w:spacing w:val="80"/>
          <w:w w:val="150"/>
          <w:sz w:val="24"/>
        </w:rPr>
        <w:t> </w:t>
      </w:r>
      <w:r>
        <w:rPr>
          <w:sz w:val="24"/>
        </w:rPr>
        <w:t>Ul</w:t>
      </w:r>
      <w:r>
        <w:rPr>
          <w:spacing w:val="36"/>
          <w:sz w:val="24"/>
        </w:rPr>
        <w:t>  </w:t>
      </w:r>
      <w:r>
        <w:rPr>
          <w:sz w:val="24"/>
        </w:rPr>
        <w:t>Haque,</w:t>
      </w:r>
      <w:r>
        <w:rPr>
          <w:spacing w:val="37"/>
          <w:sz w:val="24"/>
        </w:rPr>
        <w:t>  </w:t>
      </w:r>
      <w:r>
        <w:rPr>
          <w:sz w:val="24"/>
        </w:rPr>
        <w:t>N.</w:t>
      </w:r>
      <w:r>
        <w:rPr>
          <w:spacing w:val="36"/>
          <w:sz w:val="24"/>
        </w:rPr>
        <w:t>  </w:t>
      </w:r>
      <w:r>
        <w:rPr>
          <w:sz w:val="24"/>
        </w:rPr>
        <w:t>(1987).</w:t>
      </w:r>
      <w:r>
        <w:rPr>
          <w:spacing w:val="36"/>
          <w:sz w:val="24"/>
        </w:rPr>
        <w:t>  </w:t>
      </w:r>
      <w:r>
        <w:rPr>
          <w:sz w:val="24"/>
        </w:rPr>
        <w:t>Capital</w:t>
      </w:r>
      <w:r>
        <w:rPr>
          <w:spacing w:val="37"/>
          <w:sz w:val="24"/>
        </w:rPr>
        <w:t>  </w:t>
      </w:r>
      <w:r>
        <w:rPr>
          <w:sz w:val="24"/>
        </w:rPr>
        <w:t>Flight</w:t>
      </w:r>
      <w:r>
        <w:rPr>
          <w:spacing w:val="37"/>
          <w:sz w:val="24"/>
        </w:rPr>
        <w:t>  </w:t>
      </w:r>
      <w:r>
        <w:rPr>
          <w:sz w:val="24"/>
        </w:rPr>
        <w:t>from</w:t>
      </w:r>
      <w:r>
        <w:rPr>
          <w:spacing w:val="37"/>
          <w:sz w:val="24"/>
        </w:rPr>
        <w:t>  </w:t>
      </w:r>
      <w:r>
        <w:rPr>
          <w:sz w:val="24"/>
        </w:rPr>
        <w:t>Developing</w:t>
      </w:r>
      <w:r>
        <w:rPr>
          <w:spacing w:val="80"/>
          <w:w w:val="150"/>
          <w:sz w:val="24"/>
        </w:rPr>
        <w:t> </w:t>
      </w:r>
      <w:r>
        <w:rPr>
          <w:sz w:val="24"/>
        </w:rPr>
        <w:t>Countries.</w:t>
      </w:r>
      <w:r>
        <w:rPr>
          <w:spacing w:val="36"/>
          <w:sz w:val="24"/>
        </w:rPr>
        <w:t>  </w:t>
      </w:r>
      <w:r>
        <w:rPr>
          <w:i/>
          <w:sz w:val="24"/>
        </w:rPr>
        <w:t>Finance</w:t>
      </w:r>
      <w:r>
        <w:rPr>
          <w:i/>
          <w:spacing w:val="80"/>
          <w:w w:val="150"/>
          <w:sz w:val="24"/>
        </w:rPr>
        <w:t> </w:t>
      </w:r>
      <w:r>
        <w:rPr>
          <w:i/>
          <w:sz w:val="24"/>
        </w:rPr>
        <w:t>and Development, </w:t>
      </w:r>
      <w:r>
        <w:rPr>
          <w:sz w:val="24"/>
        </w:rPr>
        <w:t>March, 2-5.</w:t>
      </w:r>
    </w:p>
    <w:p>
      <w:pPr>
        <w:tabs>
          <w:tab w:pos="10073" w:val="left" w:leader="none"/>
        </w:tabs>
        <w:spacing w:before="0"/>
        <w:ind w:left="711" w:right="472" w:firstLine="0"/>
        <w:jc w:val="left"/>
        <w:rPr>
          <w:sz w:val="24"/>
        </w:rPr>
      </w:pPr>
      <w:r>
        <w:rPr>
          <w:sz w:val="24"/>
        </w:rPr>
        <w:t>Morgan Guaranty Trust Company, (1986). LDC Capital Flight. </w:t>
      </w:r>
      <w:r>
        <w:rPr>
          <w:i/>
          <w:sz w:val="24"/>
        </w:rPr>
        <w:t>World Financial</w:t>
      </w:r>
      <w:r>
        <w:rPr>
          <w:i/>
          <w:spacing w:val="80"/>
          <w:sz w:val="24"/>
        </w:rPr>
        <w:t> </w:t>
      </w:r>
      <w:r>
        <w:rPr>
          <w:i/>
          <w:sz w:val="24"/>
        </w:rPr>
        <w:t>Markets</w:t>
      </w:r>
      <w:r>
        <w:rPr>
          <w:sz w:val="24"/>
        </w:rPr>
        <w:t>,</w:t>
        <w:tab/>
        <w:t>March,</w:t>
      </w:r>
      <w:r>
        <w:rPr>
          <w:spacing w:val="-12"/>
          <w:sz w:val="24"/>
        </w:rPr>
        <w:t> </w:t>
      </w:r>
      <w:r>
        <w:rPr>
          <w:sz w:val="24"/>
        </w:rPr>
        <w:t>13- </w:t>
      </w:r>
      <w:r>
        <w:rPr>
          <w:spacing w:val="-4"/>
          <w:sz w:val="24"/>
        </w:rPr>
        <w:t>15.</w:t>
      </w:r>
    </w:p>
    <w:p>
      <w:pPr>
        <w:pStyle w:val="BodyText"/>
        <w:tabs>
          <w:tab w:pos="7912" w:val="left" w:leader="none"/>
          <w:tab w:pos="9353" w:val="left" w:leader="none"/>
        </w:tabs>
        <w:ind w:left="711"/>
      </w:pPr>
      <w:r>
        <w:rPr/>
        <w:t>MurindeV.,N</w:t>
      </w:r>
      <w:r>
        <w:rPr>
          <w:spacing w:val="-3"/>
        </w:rPr>
        <w:t> </w:t>
      </w:r>
      <w:r>
        <w:rPr/>
        <w:t>Hermes &amp;</w:t>
      </w:r>
      <w:r>
        <w:rPr>
          <w:spacing w:val="-1"/>
        </w:rPr>
        <w:t> </w:t>
      </w:r>
      <w:r>
        <w:rPr/>
        <w:t>Lensink, L. (1996).</w:t>
      </w:r>
      <w:r>
        <w:rPr>
          <w:spacing w:val="-2"/>
        </w:rPr>
        <w:t> </w:t>
      </w:r>
      <w:r>
        <w:rPr/>
        <w:t>Comparative</w:t>
      </w:r>
      <w:r>
        <w:rPr>
          <w:spacing w:val="-2"/>
        </w:rPr>
        <w:t> </w:t>
      </w:r>
      <w:r>
        <w:rPr/>
        <w:t>Aspects</w:t>
      </w:r>
      <w:r>
        <w:rPr>
          <w:spacing w:val="-2"/>
        </w:rPr>
        <w:t> </w:t>
      </w:r>
      <w:r>
        <w:rPr/>
        <w:t>of</w:t>
      </w:r>
      <w:r>
        <w:rPr>
          <w:spacing w:val="-1"/>
        </w:rPr>
        <w:t> </w:t>
      </w:r>
      <w:r>
        <w:rPr>
          <w:spacing w:val="-5"/>
        </w:rPr>
        <w:t>the</w:t>
      </w:r>
      <w:r>
        <w:rPr/>
        <w:tab/>
      </w:r>
      <w:r>
        <w:rPr>
          <w:spacing w:val="-2"/>
        </w:rPr>
        <w:t>Magnitude</w:t>
      </w:r>
      <w:r>
        <w:rPr/>
        <w:tab/>
      </w:r>
      <w:r>
        <w:rPr>
          <w:spacing w:val="-5"/>
        </w:rPr>
        <w:t>and</w:t>
      </w:r>
    </w:p>
    <w:p>
      <w:pPr>
        <w:tabs>
          <w:tab w:pos="8633" w:val="left" w:leader="none"/>
          <w:tab w:pos="10793" w:val="left" w:leader="none"/>
        </w:tabs>
        <w:spacing w:before="0"/>
        <w:ind w:left="1431" w:right="471" w:firstLine="0"/>
        <w:jc w:val="left"/>
        <w:rPr>
          <w:sz w:val="24"/>
        </w:rPr>
      </w:pPr>
      <w:r>
        <w:rPr>
          <w:sz w:val="24"/>
        </w:rPr>
        <w:t>Determinants of Capital Flight in Six Sub-Saharan African</w:t>
      </w:r>
      <w:r>
        <w:rPr>
          <w:spacing w:val="40"/>
          <w:sz w:val="24"/>
        </w:rPr>
        <w:t> </w:t>
      </w:r>
      <w:r>
        <w:rPr>
          <w:sz w:val="24"/>
        </w:rPr>
        <w:t>Countries.</w:t>
        <w:tab/>
      </w:r>
      <w:r>
        <w:rPr>
          <w:i/>
          <w:spacing w:val="-2"/>
          <w:sz w:val="24"/>
        </w:rPr>
        <w:t>Saving</w:t>
      </w:r>
      <w:r>
        <w:rPr>
          <w:i/>
          <w:sz w:val="24"/>
        </w:rPr>
        <w:tab/>
      </w:r>
      <w:r>
        <w:rPr>
          <w:i/>
          <w:spacing w:val="-4"/>
          <w:sz w:val="24"/>
        </w:rPr>
        <w:t>and </w:t>
      </w:r>
      <w:r>
        <w:rPr>
          <w:i/>
          <w:sz w:val="24"/>
        </w:rPr>
        <w:t>Development</w:t>
      </w:r>
      <w:r>
        <w:rPr>
          <w:sz w:val="24"/>
        </w:rPr>
        <w:t>, 20(1).</w:t>
      </w:r>
    </w:p>
    <w:p>
      <w:pPr>
        <w:pStyle w:val="BodyText"/>
        <w:ind w:left="1431" w:hanging="721"/>
      </w:pPr>
      <w:r>
        <w:rPr/>
        <w:t>Ndikumana, L. &amp;</w:t>
      </w:r>
      <w:r>
        <w:rPr>
          <w:spacing w:val="80"/>
        </w:rPr>
        <w:t> </w:t>
      </w:r>
      <w:r>
        <w:rPr/>
        <w:t>Boyce, J.</w:t>
      </w:r>
      <w:r>
        <w:rPr>
          <w:spacing w:val="80"/>
        </w:rPr>
        <w:t> </w:t>
      </w:r>
      <w:r>
        <w:rPr/>
        <w:t>(2003). Public Debt and Private Assets: Explaining Capital Flight from Sub-</w:t>
      </w:r>
      <w:r>
        <w:rPr>
          <w:spacing w:val="40"/>
        </w:rPr>
        <w:t> </w:t>
      </w:r>
      <w:r>
        <w:rPr/>
        <w:t>Saharan African Countries. </w:t>
      </w:r>
      <w:r>
        <w:rPr>
          <w:i/>
        </w:rPr>
        <w:t>World Development</w:t>
      </w:r>
      <w:r>
        <w:rPr/>
        <w:t>, </w:t>
      </w:r>
      <w:r>
        <w:rPr>
          <w:i/>
        </w:rPr>
        <w:t>Vol. 31</w:t>
      </w:r>
      <w:r>
        <w:rPr/>
        <w:t>, No. 1, 107-130.</w:t>
      </w:r>
    </w:p>
    <w:p>
      <w:pPr>
        <w:pStyle w:val="BodyText"/>
        <w:tabs>
          <w:tab w:pos="5752" w:val="left" w:leader="none"/>
        </w:tabs>
        <w:spacing w:line="223" w:lineRule="auto" w:before="16"/>
        <w:ind w:left="711" w:right="487"/>
        <w:rPr>
          <w:rFonts w:ascii="Yu Gothic" w:hAnsi="Yu Gothic"/>
        </w:rPr>
      </w:pPr>
      <w:r>
        <w:rPr/>
        <w:t>Nyong</w:t>
      </w:r>
      <w:r>
        <w:rPr>
          <w:spacing w:val="40"/>
        </w:rPr>
        <w:t> </w:t>
      </w:r>
      <w:r>
        <w:rPr/>
        <w:t>M.O.</w:t>
      </w:r>
      <w:r>
        <w:rPr>
          <w:spacing w:val="64"/>
        </w:rPr>
        <w:t> </w:t>
      </w:r>
      <w:r>
        <w:rPr/>
        <w:t>(2003).</w:t>
      </w:r>
      <w:r>
        <w:rPr>
          <w:spacing w:val="66"/>
        </w:rPr>
        <w:t> </w:t>
      </w:r>
      <w:r>
        <w:rPr/>
        <w:t>Capital</w:t>
      </w:r>
      <w:r>
        <w:rPr>
          <w:spacing w:val="65"/>
        </w:rPr>
        <w:t> </w:t>
      </w:r>
      <w:r>
        <w:rPr/>
        <w:t>Flight</w:t>
      </w:r>
      <w:r>
        <w:rPr>
          <w:spacing w:val="65"/>
        </w:rPr>
        <w:t> </w:t>
      </w:r>
      <w:r>
        <w:rPr/>
        <w:t>and</w:t>
      </w:r>
      <w:r>
        <w:rPr>
          <w:spacing w:val="64"/>
        </w:rPr>
        <w:t> </w:t>
      </w:r>
      <w:r>
        <w:rPr/>
        <w:t>Economic</w:t>
      </w:r>
      <w:r>
        <w:rPr>
          <w:spacing w:val="64"/>
        </w:rPr>
        <w:t> </w:t>
      </w:r>
      <w:r>
        <w:rPr/>
        <w:t>Growth</w:t>
      </w:r>
      <w:r>
        <w:rPr>
          <w:spacing w:val="65"/>
        </w:rPr>
        <w:t> </w:t>
      </w:r>
      <w:r>
        <w:rPr/>
        <w:t>in</w:t>
      </w:r>
      <w:r>
        <w:rPr>
          <w:spacing w:val="67"/>
        </w:rPr>
        <w:t> </w:t>
      </w:r>
      <w:r>
        <w:rPr/>
        <w:t>Four</w:t>
      </w:r>
      <w:r>
        <w:rPr>
          <w:spacing w:val="64"/>
        </w:rPr>
        <w:t> </w:t>
      </w:r>
      <w:r>
        <w:rPr/>
        <w:t>African</w:t>
      </w:r>
      <w:r>
        <w:rPr>
          <w:spacing w:val="64"/>
        </w:rPr>
        <w:t> </w:t>
      </w:r>
      <w:r>
        <w:rPr/>
        <w:t>Countries.</w:t>
      </w:r>
      <w:r>
        <w:rPr>
          <w:spacing w:val="67"/>
        </w:rPr>
        <w:t> </w:t>
      </w:r>
      <w:r>
        <w:rPr/>
        <w:t>Nigeria,</w:t>
      </w:r>
      <w:r>
        <w:rPr>
          <w:spacing w:val="64"/>
        </w:rPr>
        <w:t> </w:t>
      </w:r>
      <w:r>
        <w:rPr/>
        <w:t>Cote D’ivoire, Morroco and Ghana, DMO Monthly</w:t>
        <w:tab/>
        <w:t>Seminar Series N°2, February</w:t>
      </w:r>
      <w:r>
        <w:rPr>
          <w:rFonts w:ascii="Yu Gothic" w:hAnsi="Yu Gothic"/>
        </w:rPr>
        <w:t>.</w:t>
      </w:r>
    </w:p>
    <w:p>
      <w:pPr>
        <w:pStyle w:val="BodyText"/>
        <w:spacing w:line="258" w:lineRule="exact"/>
        <w:ind w:left="711"/>
      </w:pPr>
      <w:r>
        <w:rPr/>
        <w:t>Okonta</w:t>
      </w:r>
      <w:r>
        <w:rPr>
          <w:spacing w:val="59"/>
          <w:w w:val="150"/>
        </w:rPr>
        <w:t> </w:t>
      </w:r>
      <w:r>
        <w:rPr/>
        <w:t>and</w:t>
      </w:r>
      <w:r>
        <w:rPr>
          <w:spacing w:val="63"/>
          <w:w w:val="150"/>
        </w:rPr>
        <w:t> </w:t>
      </w:r>
      <w:r>
        <w:rPr/>
        <w:t>Douglas,</w:t>
      </w:r>
      <w:r>
        <w:rPr>
          <w:spacing w:val="59"/>
          <w:w w:val="150"/>
        </w:rPr>
        <w:t> </w:t>
      </w:r>
      <w:r>
        <w:rPr/>
        <w:t>(2001).</w:t>
      </w:r>
      <w:r>
        <w:rPr>
          <w:spacing w:val="63"/>
          <w:w w:val="150"/>
        </w:rPr>
        <w:t> </w:t>
      </w:r>
      <w:r>
        <w:rPr/>
        <w:t>Where</w:t>
      </w:r>
      <w:r>
        <w:rPr>
          <w:spacing w:val="60"/>
          <w:w w:val="150"/>
        </w:rPr>
        <w:t> </w:t>
      </w:r>
      <w:r>
        <w:rPr/>
        <w:t>Vultures</w:t>
      </w:r>
      <w:r>
        <w:rPr>
          <w:spacing w:val="63"/>
          <w:w w:val="150"/>
        </w:rPr>
        <w:t> </w:t>
      </w:r>
      <w:r>
        <w:rPr/>
        <w:t>Feast</w:t>
      </w:r>
      <w:r>
        <w:rPr>
          <w:i/>
        </w:rPr>
        <w:t>.</w:t>
      </w:r>
      <w:r>
        <w:rPr>
          <w:i/>
          <w:spacing w:val="60"/>
          <w:w w:val="150"/>
        </w:rPr>
        <w:t> </w:t>
      </w:r>
      <w:r>
        <w:rPr/>
        <w:t>Petroleum</w:t>
      </w:r>
      <w:r>
        <w:rPr>
          <w:spacing w:val="63"/>
          <w:w w:val="150"/>
        </w:rPr>
        <w:t> </w:t>
      </w:r>
      <w:r>
        <w:rPr/>
        <w:t>Industry</w:t>
      </w:r>
      <w:r>
        <w:rPr>
          <w:spacing w:val="55"/>
          <w:w w:val="150"/>
        </w:rPr>
        <w:t> </w:t>
      </w:r>
      <w:r>
        <w:rPr/>
        <w:t>in</w:t>
      </w:r>
      <w:r>
        <w:rPr>
          <w:spacing w:val="63"/>
          <w:w w:val="150"/>
        </w:rPr>
        <w:t> </w:t>
      </w:r>
      <w:r>
        <w:rPr/>
        <w:t>Nigeria.</w:t>
      </w:r>
      <w:r>
        <w:rPr>
          <w:spacing w:val="62"/>
          <w:w w:val="150"/>
        </w:rPr>
        <w:t> </w:t>
      </w:r>
      <w:hyperlink r:id="rId13">
        <w:r>
          <w:rPr/>
          <w:t>The</w:t>
        </w:r>
        <w:r>
          <w:rPr>
            <w:spacing w:val="59"/>
            <w:w w:val="150"/>
          </w:rPr>
          <w:t> </w:t>
        </w:r>
        <w:r>
          <w:rPr/>
          <w:t>Price</w:t>
        </w:r>
        <w:r>
          <w:rPr>
            <w:spacing w:val="60"/>
            <w:w w:val="150"/>
          </w:rPr>
          <w:t> </w:t>
        </w:r>
        <w:r>
          <w:rPr>
            <w:spacing w:val="-5"/>
          </w:rPr>
          <w:t>of</w:t>
        </w:r>
      </w:hyperlink>
    </w:p>
    <w:p>
      <w:pPr>
        <w:pStyle w:val="BodyText"/>
        <w:tabs>
          <w:tab w:pos="6472" w:val="left" w:leader="none"/>
          <w:tab w:pos="7808" w:val="left" w:leader="none"/>
          <w:tab w:pos="8331" w:val="left" w:leader="none"/>
          <w:tab w:pos="9519" w:val="left" w:leader="none"/>
          <w:tab w:pos="10162" w:val="left" w:leader="none"/>
        </w:tabs>
        <w:ind w:left="1431" w:right="473"/>
      </w:pPr>
      <w:hyperlink r:id="rId13">
        <w:r>
          <w:rPr/>
          <w:t>Oil:Corporate Responsibility and Human Rights</w:t>
          <w:tab/>
        </w:r>
        <w:r>
          <w:rPr>
            <w:spacing w:val="-2"/>
          </w:rPr>
          <w:t>Violations</w:t>
        </w:r>
        <w:r>
          <w:rPr/>
          <w:tab/>
        </w:r>
        <w:r>
          <w:rPr>
            <w:spacing w:val="-6"/>
          </w:rPr>
          <w:t>in</w:t>
        </w:r>
        <w:r>
          <w:rPr/>
          <w:tab/>
        </w:r>
        <w:r>
          <w:rPr>
            <w:spacing w:val="-2"/>
          </w:rPr>
          <w:t>Nigeria's</w:t>
        </w:r>
        <w:r>
          <w:rPr/>
          <w:tab/>
        </w:r>
        <w:r>
          <w:rPr>
            <w:spacing w:val="-4"/>
          </w:rPr>
          <w:t>Oil</w:t>
        </w:r>
        <w:r>
          <w:rPr/>
          <w:tab/>
        </w:r>
        <w:r>
          <w:rPr>
            <w:spacing w:val="-2"/>
          </w:rPr>
          <w:t>Producing</w:t>
        </w:r>
      </w:hyperlink>
      <w:r>
        <w:rPr>
          <w:spacing w:val="-2"/>
        </w:rPr>
        <w:t> </w:t>
      </w:r>
      <w:hyperlink r:id="rId13">
        <w:r>
          <w:rPr>
            <w:spacing w:val="-2"/>
          </w:rPr>
          <w:t>Communities</w:t>
        </w:r>
      </w:hyperlink>
    </w:p>
    <w:p>
      <w:pPr>
        <w:spacing w:after="0"/>
        <w:sectPr>
          <w:pgSz w:w="11910" w:h="16840"/>
          <w:pgMar w:header="0" w:footer="979" w:top="1360" w:bottom="1240" w:left="280" w:right="0"/>
        </w:sectPr>
      </w:pPr>
    </w:p>
    <w:p>
      <w:pPr>
        <w:tabs>
          <w:tab w:pos="7912" w:val="left" w:leader="none"/>
          <w:tab w:pos="10073" w:val="left" w:leader="none"/>
        </w:tabs>
        <w:spacing w:before="60"/>
        <w:ind w:left="711" w:right="831" w:firstLine="0"/>
        <w:jc w:val="left"/>
        <w:rPr>
          <w:sz w:val="24"/>
        </w:rPr>
      </w:pPr>
      <w:r>
        <w:rPr>
          <w:sz w:val="24"/>
        </w:rPr>
        <w:t>Onwioduokit E.A(2007). Capital Flight from Nigeria; An Empirical Re-</w:t>
        <w:tab/>
        <w:t>Examination. </w:t>
      </w:r>
      <w:r>
        <w:rPr>
          <w:i/>
          <w:sz w:val="24"/>
        </w:rPr>
        <w:t>West</w:t>
        <w:tab/>
      </w:r>
      <w:r>
        <w:rPr>
          <w:i/>
          <w:spacing w:val="-2"/>
          <w:sz w:val="24"/>
        </w:rPr>
        <w:t>African </w:t>
      </w:r>
      <w:r>
        <w:rPr>
          <w:i/>
          <w:sz w:val="24"/>
        </w:rPr>
        <w:t>Monetary Institute </w:t>
      </w:r>
      <w:r>
        <w:rPr>
          <w:sz w:val="24"/>
        </w:rPr>
        <w:t>Accra, Ghana. (2007)</w:t>
      </w:r>
    </w:p>
    <w:p>
      <w:pPr>
        <w:pStyle w:val="BodyText"/>
        <w:spacing w:before="126"/>
      </w:pPr>
    </w:p>
    <w:p>
      <w:pPr>
        <w:spacing w:before="0"/>
        <w:ind w:left="1522" w:right="0" w:hanging="812"/>
        <w:jc w:val="left"/>
        <w:rPr>
          <w:sz w:val="24"/>
        </w:rPr>
      </w:pPr>
      <w:r>
        <w:rPr>
          <w:sz w:val="24"/>
        </w:rPr>
        <w:t>Pastor,</w:t>
      </w:r>
      <w:r>
        <w:rPr>
          <w:spacing w:val="40"/>
          <w:sz w:val="24"/>
        </w:rPr>
        <w:t> </w:t>
      </w:r>
      <w:r>
        <w:rPr>
          <w:sz w:val="24"/>
        </w:rPr>
        <w:t>M.</w:t>
      </w:r>
      <w:r>
        <w:rPr>
          <w:spacing w:val="40"/>
          <w:sz w:val="24"/>
        </w:rPr>
        <w:t> </w:t>
      </w:r>
      <w:r>
        <w:rPr>
          <w:sz w:val="24"/>
        </w:rPr>
        <w:t>(1989).</w:t>
      </w:r>
      <w:r>
        <w:rPr>
          <w:spacing w:val="40"/>
          <w:sz w:val="24"/>
        </w:rPr>
        <w:t> </w:t>
      </w:r>
      <w:r>
        <w:rPr>
          <w:sz w:val="24"/>
        </w:rPr>
        <w:t>Capital</w:t>
      </w:r>
      <w:r>
        <w:rPr>
          <w:spacing w:val="40"/>
          <w:sz w:val="24"/>
        </w:rPr>
        <w:t> </w:t>
      </w:r>
      <w:r>
        <w:rPr>
          <w:sz w:val="24"/>
        </w:rPr>
        <w:t>Flight</w:t>
      </w:r>
      <w:r>
        <w:rPr>
          <w:spacing w:val="40"/>
          <w:sz w:val="24"/>
        </w:rPr>
        <w:t> </w:t>
      </w:r>
      <w:r>
        <w:rPr>
          <w:sz w:val="24"/>
        </w:rPr>
        <w:t>and</w:t>
      </w:r>
      <w:r>
        <w:rPr>
          <w:spacing w:val="40"/>
          <w:sz w:val="24"/>
        </w:rPr>
        <w:t> </w:t>
      </w:r>
      <w:r>
        <w:rPr>
          <w:sz w:val="24"/>
        </w:rPr>
        <w:t>the</w:t>
      </w:r>
      <w:r>
        <w:rPr>
          <w:spacing w:val="40"/>
          <w:sz w:val="24"/>
        </w:rPr>
        <w:t> </w:t>
      </w:r>
      <w:r>
        <w:rPr>
          <w:sz w:val="24"/>
        </w:rPr>
        <w:t>Latin</w:t>
      </w:r>
      <w:r>
        <w:rPr>
          <w:spacing w:val="40"/>
          <w:sz w:val="24"/>
        </w:rPr>
        <w:t> </w:t>
      </w:r>
      <w:r>
        <w:rPr>
          <w:sz w:val="24"/>
        </w:rPr>
        <w:t>American</w:t>
      </w:r>
      <w:r>
        <w:rPr>
          <w:spacing w:val="40"/>
          <w:sz w:val="24"/>
        </w:rPr>
        <w:t> </w:t>
      </w:r>
      <w:r>
        <w:rPr>
          <w:sz w:val="24"/>
        </w:rPr>
        <w:t>Debt</w:t>
      </w:r>
      <w:r>
        <w:rPr>
          <w:spacing w:val="40"/>
          <w:sz w:val="24"/>
        </w:rPr>
        <w:t> </w:t>
      </w:r>
      <w:r>
        <w:rPr>
          <w:sz w:val="24"/>
        </w:rPr>
        <w:t>Crisis.</w:t>
      </w:r>
      <w:r>
        <w:rPr>
          <w:spacing w:val="64"/>
          <w:sz w:val="24"/>
        </w:rPr>
        <w:t> </w:t>
      </w:r>
      <w:r>
        <w:rPr>
          <w:i/>
          <w:sz w:val="24"/>
        </w:rPr>
        <w:t>Washington:</w:t>
      </w:r>
      <w:r>
        <w:rPr>
          <w:i/>
          <w:spacing w:val="40"/>
          <w:sz w:val="24"/>
        </w:rPr>
        <w:t> </w:t>
      </w:r>
      <w:r>
        <w:rPr>
          <w:i/>
          <w:sz w:val="24"/>
        </w:rPr>
        <w:t>Economic</w:t>
      </w:r>
      <w:r>
        <w:rPr>
          <w:i/>
          <w:spacing w:val="40"/>
          <w:sz w:val="24"/>
        </w:rPr>
        <w:t> </w:t>
      </w:r>
      <w:r>
        <w:rPr>
          <w:i/>
          <w:sz w:val="24"/>
        </w:rPr>
        <w:t>Policy</w:t>
      </w:r>
      <w:r>
        <w:rPr>
          <w:i/>
          <w:spacing w:val="40"/>
          <w:sz w:val="24"/>
        </w:rPr>
        <w:t> </w:t>
      </w:r>
      <w:r>
        <w:rPr>
          <w:i/>
          <w:sz w:val="24"/>
        </w:rPr>
        <w:t>Institute. (1990). </w:t>
      </w:r>
      <w:r>
        <w:rPr>
          <w:sz w:val="24"/>
        </w:rPr>
        <w:t>Capital Flight from Latin America. </w:t>
      </w:r>
      <w:r>
        <w:rPr>
          <w:i/>
          <w:sz w:val="24"/>
        </w:rPr>
        <w:t>World Development</w:t>
      </w:r>
      <w:r>
        <w:rPr>
          <w:sz w:val="24"/>
        </w:rPr>
        <w:t>, </w:t>
      </w:r>
      <w:r>
        <w:rPr>
          <w:i/>
          <w:sz w:val="24"/>
        </w:rPr>
        <w:t>18(1), </w:t>
      </w:r>
      <w:r>
        <w:rPr>
          <w:sz w:val="24"/>
        </w:rPr>
        <w:t>1–18.</w:t>
      </w:r>
    </w:p>
    <w:p>
      <w:pPr>
        <w:spacing w:before="0"/>
        <w:ind w:left="711" w:right="0" w:firstLine="0"/>
        <w:jc w:val="left"/>
        <w:rPr>
          <w:sz w:val="24"/>
        </w:rPr>
      </w:pPr>
      <w:r>
        <w:rPr>
          <w:sz w:val="24"/>
        </w:rPr>
        <w:t>Pastor,</w:t>
      </w:r>
      <w:r>
        <w:rPr>
          <w:spacing w:val="-2"/>
          <w:sz w:val="24"/>
        </w:rPr>
        <w:t> </w:t>
      </w:r>
      <w:r>
        <w:rPr>
          <w:sz w:val="24"/>
        </w:rPr>
        <w:t>M.</w:t>
      </w:r>
      <w:r>
        <w:rPr>
          <w:spacing w:val="-2"/>
          <w:sz w:val="24"/>
        </w:rPr>
        <w:t> </w:t>
      </w:r>
      <w:r>
        <w:rPr>
          <w:sz w:val="24"/>
        </w:rPr>
        <w:t>(1990).</w:t>
      </w:r>
      <w:r>
        <w:rPr>
          <w:spacing w:val="-1"/>
          <w:sz w:val="24"/>
        </w:rPr>
        <w:t> </w:t>
      </w:r>
      <w:r>
        <w:rPr>
          <w:sz w:val="24"/>
        </w:rPr>
        <w:t>Capital</w:t>
      </w:r>
      <w:r>
        <w:rPr>
          <w:spacing w:val="-2"/>
          <w:sz w:val="24"/>
        </w:rPr>
        <w:t> </w:t>
      </w:r>
      <w:r>
        <w:rPr>
          <w:sz w:val="24"/>
        </w:rPr>
        <w:t>Flight</w:t>
      </w:r>
      <w:r>
        <w:rPr>
          <w:spacing w:val="1"/>
          <w:sz w:val="24"/>
        </w:rPr>
        <w:t> </w:t>
      </w:r>
      <w:r>
        <w:rPr>
          <w:sz w:val="24"/>
        </w:rPr>
        <w:t>from Latin</w:t>
      </w:r>
      <w:r>
        <w:rPr>
          <w:spacing w:val="-2"/>
          <w:sz w:val="24"/>
        </w:rPr>
        <w:t> </w:t>
      </w:r>
      <w:r>
        <w:rPr>
          <w:sz w:val="24"/>
        </w:rPr>
        <w:t>America’,</w:t>
      </w:r>
      <w:r>
        <w:rPr>
          <w:spacing w:val="1"/>
          <w:sz w:val="24"/>
        </w:rPr>
        <w:t> </w:t>
      </w:r>
      <w:r>
        <w:rPr>
          <w:i/>
          <w:sz w:val="24"/>
        </w:rPr>
        <w:t>World</w:t>
      </w:r>
      <w:r>
        <w:rPr>
          <w:i/>
          <w:spacing w:val="-2"/>
          <w:sz w:val="24"/>
        </w:rPr>
        <w:t> </w:t>
      </w:r>
      <w:r>
        <w:rPr>
          <w:i/>
          <w:sz w:val="24"/>
        </w:rPr>
        <w:t>Development</w:t>
      </w:r>
      <w:r>
        <w:rPr>
          <w:sz w:val="24"/>
        </w:rPr>
        <w:t>,</w:t>
      </w:r>
      <w:r>
        <w:rPr>
          <w:spacing w:val="-1"/>
          <w:sz w:val="24"/>
        </w:rPr>
        <w:t> </w:t>
      </w:r>
      <w:r>
        <w:rPr>
          <w:spacing w:val="-4"/>
          <w:sz w:val="24"/>
        </w:rPr>
        <w:t>Vol:</w:t>
      </w:r>
    </w:p>
    <w:p>
      <w:pPr>
        <w:spacing w:before="0"/>
        <w:ind w:left="1431" w:right="0" w:firstLine="0"/>
        <w:jc w:val="left"/>
        <w:rPr>
          <w:sz w:val="24"/>
        </w:rPr>
      </w:pPr>
      <w:r>
        <w:rPr>
          <w:i/>
          <w:sz w:val="24"/>
        </w:rPr>
        <w:t>18,</w:t>
      </w:r>
      <w:r>
        <w:rPr>
          <w:i/>
          <w:spacing w:val="-1"/>
          <w:sz w:val="24"/>
        </w:rPr>
        <w:t> </w:t>
      </w:r>
      <w:r>
        <w:rPr>
          <w:i/>
          <w:sz w:val="24"/>
        </w:rPr>
        <w:t>No.1</w:t>
      </w:r>
      <w:r>
        <w:rPr>
          <w:sz w:val="24"/>
        </w:rPr>
        <w:t>, 1-</w:t>
      </w:r>
      <w:r>
        <w:rPr>
          <w:spacing w:val="-5"/>
          <w:sz w:val="24"/>
        </w:rPr>
        <w:t>18</w:t>
      </w:r>
    </w:p>
    <w:p>
      <w:pPr>
        <w:tabs>
          <w:tab w:pos="10073" w:val="left" w:leader="none"/>
        </w:tabs>
        <w:spacing w:before="0"/>
        <w:ind w:left="711" w:right="585" w:firstLine="0"/>
        <w:jc w:val="left"/>
        <w:rPr>
          <w:i/>
          <w:sz w:val="24"/>
        </w:rPr>
      </w:pPr>
      <w:r>
        <w:rPr>
          <w:sz w:val="24"/>
        </w:rPr>
        <w:t>Paul, C. &amp; Anke, H. (2004). Public Debts and Private Assets: Explaining Capital</w:t>
      </w:r>
      <w:r>
        <w:rPr>
          <w:spacing w:val="80"/>
          <w:sz w:val="24"/>
        </w:rPr>
        <w:t> </w:t>
      </w:r>
      <w:r>
        <w:rPr>
          <w:sz w:val="24"/>
        </w:rPr>
        <w:t>Flight from</w:t>
        <w:tab/>
      </w:r>
      <w:r>
        <w:rPr>
          <w:spacing w:val="-4"/>
          <w:sz w:val="24"/>
        </w:rPr>
        <w:t>Sub- </w:t>
      </w:r>
      <w:r>
        <w:rPr>
          <w:sz w:val="24"/>
        </w:rPr>
        <w:t>Saharan African Countries. </w:t>
      </w:r>
      <w:r>
        <w:rPr>
          <w:i/>
          <w:sz w:val="24"/>
        </w:rPr>
        <w:t>World Development, Elsevier, Vol. 31(1), </w:t>
      </w:r>
      <w:r>
        <w:rPr>
          <w:sz w:val="24"/>
        </w:rPr>
        <w:t>107-130</w:t>
      </w:r>
      <w:r>
        <w:rPr>
          <w:i/>
          <w:sz w:val="24"/>
        </w:rPr>
        <w:t>. </w:t>
      </w:r>
      <w:r>
        <w:rPr>
          <w:sz w:val="24"/>
        </w:rPr>
        <w:t>World Bank (1985). World Development Report 1985. </w:t>
      </w:r>
      <w:r>
        <w:rPr>
          <w:i/>
          <w:sz w:val="24"/>
        </w:rPr>
        <w:t>World Bank.</w:t>
      </w:r>
    </w:p>
    <w:p>
      <w:pPr>
        <w:spacing w:after="0"/>
        <w:jc w:val="left"/>
        <w:rPr>
          <w:sz w:val="24"/>
        </w:rPr>
        <w:sectPr>
          <w:pgSz w:w="11910" w:h="16840"/>
          <w:pgMar w:header="0" w:footer="979" w:top="1360" w:bottom="1240" w:left="280" w:right="0"/>
        </w:sectPr>
      </w:pPr>
    </w:p>
    <w:p>
      <w:pPr>
        <w:pStyle w:val="Heading5"/>
        <w:spacing w:line="480" w:lineRule="auto" w:before="73"/>
        <w:ind w:left="3652" w:right="4778" w:firstLine="480"/>
        <w:jc w:val="left"/>
      </w:pPr>
      <w:r>
        <w:rPr/>
        <w:t>CHAPTER TWO LITERATURE</w:t>
      </w:r>
      <w:r>
        <w:rPr>
          <w:spacing w:val="-15"/>
        </w:rPr>
        <w:t> </w:t>
      </w:r>
      <w:r>
        <w:rPr/>
        <w:t>REVIEW</w:t>
      </w:r>
    </w:p>
    <w:p>
      <w:pPr>
        <w:pStyle w:val="Heading6"/>
        <w:numPr>
          <w:ilvl w:val="1"/>
          <w:numId w:val="10"/>
        </w:numPr>
        <w:tabs>
          <w:tab w:pos="1431" w:val="left" w:leader="none"/>
        </w:tabs>
        <w:spacing w:line="240" w:lineRule="auto" w:before="0" w:after="0"/>
        <w:ind w:left="1431" w:right="0" w:hanging="600"/>
        <w:jc w:val="left"/>
      </w:pPr>
      <w:bookmarkStart w:name="_TOC_250026" w:id="1"/>
      <w:r>
        <w:rPr/>
        <w:t>The</w:t>
      </w:r>
      <w:r>
        <w:rPr>
          <w:spacing w:val="-2"/>
        </w:rPr>
        <w:t> </w:t>
      </w:r>
      <w:r>
        <w:rPr/>
        <w:t>Concept of</w:t>
      </w:r>
      <w:r>
        <w:rPr>
          <w:spacing w:val="-1"/>
        </w:rPr>
        <w:t> </w:t>
      </w:r>
      <w:r>
        <w:rPr/>
        <w:t>Capital </w:t>
      </w:r>
      <w:bookmarkEnd w:id="1"/>
      <w:r>
        <w:rPr>
          <w:spacing w:val="-2"/>
        </w:rPr>
        <w:t>Flight</w:t>
      </w:r>
    </w:p>
    <w:p>
      <w:pPr>
        <w:pStyle w:val="BodyText"/>
        <w:rPr>
          <w:b/>
        </w:rPr>
      </w:pPr>
    </w:p>
    <w:p>
      <w:pPr>
        <w:pStyle w:val="BodyText"/>
        <w:spacing w:line="480" w:lineRule="auto"/>
        <w:ind w:left="711" w:right="470"/>
        <w:jc w:val="both"/>
      </w:pPr>
      <w:r>
        <w:rPr/>
        <w:t>Studies on capital movement from the African continent and Latin American countries have revealed that capital flight, as well as, any outward movement of capital from countries has a harmful effect on the economy of such countries. Capital flight has existed since the 1970s, Cuddington (1986) and Conesa</w:t>
      </w:r>
      <w:r>
        <w:rPr>
          <w:spacing w:val="40"/>
        </w:rPr>
        <w:t> </w:t>
      </w:r>
      <w:r>
        <w:rPr/>
        <w:t>(1987)</w:t>
      </w:r>
      <w:r>
        <w:rPr>
          <w:spacing w:val="-3"/>
        </w:rPr>
        <w:t> </w:t>
      </w:r>
      <w:r>
        <w:rPr/>
        <w:t>in</w:t>
      </w:r>
      <w:r>
        <w:rPr>
          <w:spacing w:val="-2"/>
        </w:rPr>
        <w:t> </w:t>
      </w:r>
      <w:r>
        <w:rPr/>
        <w:t>these</w:t>
      </w:r>
      <w:r>
        <w:rPr>
          <w:spacing w:val="-1"/>
        </w:rPr>
        <w:t> </w:t>
      </w:r>
      <w:r>
        <w:rPr/>
        <w:t>countries. Although, there</w:t>
      </w:r>
      <w:r>
        <w:rPr>
          <w:spacing w:val="-3"/>
        </w:rPr>
        <w:t> </w:t>
      </w:r>
      <w:r>
        <w:rPr/>
        <w:t>is</w:t>
      </w:r>
      <w:r>
        <w:rPr>
          <w:spacing w:val="-2"/>
        </w:rPr>
        <w:t> </w:t>
      </w:r>
      <w:r>
        <w:rPr/>
        <w:t>no generally</w:t>
      </w:r>
      <w:r>
        <w:rPr>
          <w:spacing w:val="-5"/>
        </w:rPr>
        <w:t> </w:t>
      </w:r>
      <w:r>
        <w:rPr/>
        <w:t>acceptable definition</w:t>
      </w:r>
      <w:r>
        <w:rPr>
          <w:spacing w:val="-2"/>
        </w:rPr>
        <w:t> </w:t>
      </w:r>
      <w:r>
        <w:rPr/>
        <w:t>of</w:t>
      </w:r>
      <w:r>
        <w:rPr>
          <w:spacing w:val="-2"/>
        </w:rPr>
        <w:t> </w:t>
      </w:r>
      <w:r>
        <w:rPr/>
        <w:t>capital</w:t>
      </w:r>
      <w:r>
        <w:rPr>
          <w:spacing w:val="-2"/>
        </w:rPr>
        <w:t> </w:t>
      </w:r>
      <w:r>
        <w:rPr/>
        <w:t>flight,</w:t>
      </w:r>
      <w:r>
        <w:rPr>
          <w:spacing w:val="-2"/>
        </w:rPr>
        <w:t> </w:t>
      </w:r>
      <w:r>
        <w:rPr/>
        <w:t>the literature has postulated three major reasons for the existence of capital flight; these are investment, money laundering, and/or tax evasion. For capital flight to be accredited to money laundering, the sources of funds or the money</w:t>
      </w:r>
      <w:r>
        <w:rPr>
          <w:spacing w:val="-4"/>
        </w:rPr>
        <w:t> </w:t>
      </w:r>
      <w:r>
        <w:rPr/>
        <w:t>moved has to be illegal in origin. Few studies, mainly</w:t>
      </w:r>
      <w:r>
        <w:rPr>
          <w:spacing w:val="-4"/>
        </w:rPr>
        <w:t> </w:t>
      </w:r>
      <w:r>
        <w:rPr/>
        <w:t>those of Walker</w:t>
      </w:r>
      <w:r>
        <w:rPr>
          <w:spacing w:val="-1"/>
        </w:rPr>
        <w:t> </w:t>
      </w:r>
      <w:r>
        <w:rPr/>
        <w:t>(2002) and Unger </w:t>
      </w:r>
      <w:r>
        <w:rPr>
          <w:i/>
        </w:rPr>
        <w:t>et al. </w:t>
      </w:r>
      <w:r>
        <w:rPr/>
        <w:t>(2006),</w:t>
      </w:r>
      <w:r>
        <w:rPr>
          <w:spacing w:val="-2"/>
        </w:rPr>
        <w:t> </w:t>
      </w:r>
      <w:r>
        <w:rPr/>
        <w:t>were</w:t>
      </w:r>
      <w:r>
        <w:rPr>
          <w:spacing w:val="-4"/>
        </w:rPr>
        <w:t> </w:t>
      </w:r>
      <w:r>
        <w:rPr/>
        <w:t>able</w:t>
      </w:r>
      <w:r>
        <w:rPr>
          <w:spacing w:val="-3"/>
        </w:rPr>
        <w:t> </w:t>
      </w:r>
      <w:r>
        <w:rPr/>
        <w:t>to</w:t>
      </w:r>
      <w:r>
        <w:rPr>
          <w:spacing w:val="-2"/>
        </w:rPr>
        <w:t> </w:t>
      </w:r>
      <w:r>
        <w:rPr/>
        <w:t>determine</w:t>
      </w:r>
      <w:r>
        <w:rPr>
          <w:spacing w:val="-3"/>
        </w:rPr>
        <w:t> </w:t>
      </w:r>
      <w:r>
        <w:rPr/>
        <w:t>the</w:t>
      </w:r>
      <w:r>
        <w:rPr>
          <w:spacing w:val="-2"/>
        </w:rPr>
        <w:t> </w:t>
      </w:r>
      <w:r>
        <w:rPr/>
        <w:t>sources</w:t>
      </w:r>
      <w:r>
        <w:rPr>
          <w:spacing w:val="-2"/>
        </w:rPr>
        <w:t> </w:t>
      </w:r>
      <w:r>
        <w:rPr/>
        <w:t>of</w:t>
      </w:r>
      <w:r>
        <w:rPr>
          <w:spacing w:val="-2"/>
        </w:rPr>
        <w:t> </w:t>
      </w:r>
      <w:r>
        <w:rPr/>
        <w:t>funds.</w:t>
      </w:r>
      <w:r>
        <w:rPr>
          <w:spacing w:val="-2"/>
        </w:rPr>
        <w:t> </w:t>
      </w:r>
      <w:r>
        <w:rPr/>
        <w:t>Of</w:t>
      </w:r>
      <w:r>
        <w:rPr>
          <w:spacing w:val="-3"/>
        </w:rPr>
        <w:t> </w:t>
      </w:r>
      <w:r>
        <w:rPr/>
        <w:t>the</w:t>
      </w:r>
      <w:r>
        <w:rPr>
          <w:spacing w:val="-2"/>
        </w:rPr>
        <w:t> </w:t>
      </w:r>
      <w:r>
        <w:rPr/>
        <w:t>studies</w:t>
      </w:r>
      <w:r>
        <w:rPr>
          <w:spacing w:val="-2"/>
        </w:rPr>
        <w:t> </w:t>
      </w:r>
      <w:r>
        <w:rPr/>
        <w:t>that</w:t>
      </w:r>
      <w:r>
        <w:rPr>
          <w:spacing w:val="-2"/>
        </w:rPr>
        <w:t> </w:t>
      </w:r>
      <w:r>
        <w:rPr/>
        <w:t>included tax</w:t>
      </w:r>
      <w:r>
        <w:rPr>
          <w:spacing w:val="-1"/>
        </w:rPr>
        <w:t> </w:t>
      </w:r>
      <w:r>
        <w:rPr/>
        <w:t>rates</w:t>
      </w:r>
      <w:r>
        <w:rPr>
          <w:spacing w:val="-2"/>
        </w:rPr>
        <w:t> </w:t>
      </w:r>
      <w:r>
        <w:rPr/>
        <w:t>in</w:t>
      </w:r>
      <w:r>
        <w:rPr>
          <w:spacing w:val="-2"/>
        </w:rPr>
        <w:t> </w:t>
      </w:r>
      <w:r>
        <w:rPr/>
        <w:t>their</w:t>
      </w:r>
      <w:r>
        <w:rPr>
          <w:spacing w:val="-2"/>
        </w:rPr>
        <w:t> </w:t>
      </w:r>
      <w:r>
        <w:rPr/>
        <w:t>study</w:t>
      </w:r>
      <w:r>
        <w:rPr>
          <w:spacing w:val="-7"/>
        </w:rPr>
        <w:t> </w:t>
      </w:r>
      <w:r>
        <w:rPr/>
        <w:t>(e.g., Dooley, 1986; Dooley and Kletzer, 1994), none were able to conclude that capital was moved from a country to avoid paying taxes.</w:t>
      </w:r>
    </w:p>
    <w:p>
      <w:pPr>
        <w:pStyle w:val="BodyText"/>
        <w:spacing w:line="480" w:lineRule="auto" w:before="1"/>
        <w:ind w:left="711" w:right="470"/>
        <w:jc w:val="both"/>
      </w:pPr>
      <w:r>
        <w:rPr/>
        <w:t>Even though researchers have long recognized trade misinvoicing as a major channel for illegal flows of money through the over-invoicing or under invoicing of imports or exports, research has not determined whether such activity constitutes a component of capital flight (Ajayi, 1992, 1997; Ndikumana and Boyce, 1998; Patnaik and Vasudevan, 2000; Almounsor, 2005; Salisu, 2005; Beja </w:t>
      </w:r>
      <w:r>
        <w:rPr>
          <w:i/>
        </w:rPr>
        <w:t>et al</w:t>
      </w:r>
      <w:r>
        <w:rPr/>
        <w:t>, 2005; Zhu, </w:t>
      </w:r>
      <w:r>
        <w:rPr>
          <w:i/>
        </w:rPr>
        <w:t>et al</w:t>
      </w:r>
      <w:r>
        <w:rPr/>
        <w:t>, 2005), a cause of capital flight (Claessens and Naudé, 1993; Rustomjee, 1991), or simply a means to evade taxes. Although Chang and Cumby (1991) estimated that $12 billion from the Sub-Saharan region and $17 billion from other African countries were moved to the U.S. between 1976 and 1987 through trade misinvoicing, they</w:t>
      </w:r>
      <w:r>
        <w:rPr>
          <w:spacing w:val="-5"/>
        </w:rPr>
        <w:t> </w:t>
      </w:r>
      <w:r>
        <w:rPr/>
        <w:t>argued</w:t>
      </w:r>
      <w:r>
        <w:rPr>
          <w:spacing w:val="-2"/>
        </w:rPr>
        <w:t> </w:t>
      </w:r>
      <w:r>
        <w:rPr/>
        <w:t>that</w:t>
      </w:r>
      <w:r>
        <w:rPr>
          <w:spacing w:val="-1"/>
        </w:rPr>
        <w:t> </w:t>
      </w:r>
      <w:r>
        <w:rPr/>
        <w:t>the</w:t>
      </w:r>
      <w:r>
        <w:rPr>
          <w:spacing w:val="-2"/>
        </w:rPr>
        <w:t> </w:t>
      </w:r>
      <w:r>
        <w:rPr/>
        <w:t>systemic</w:t>
      </w:r>
      <w:r>
        <w:rPr>
          <w:spacing w:val="-3"/>
        </w:rPr>
        <w:t> </w:t>
      </w:r>
      <w:r>
        <w:rPr/>
        <w:t>under</w:t>
      </w:r>
      <w:r>
        <w:rPr>
          <w:spacing w:val="-2"/>
        </w:rPr>
        <w:t> </w:t>
      </w:r>
      <w:r>
        <w:rPr/>
        <w:t>reporting</w:t>
      </w:r>
      <w:r>
        <w:rPr>
          <w:spacing w:val="-5"/>
        </w:rPr>
        <w:t> </w:t>
      </w:r>
      <w:r>
        <w:rPr/>
        <w:t>of</w:t>
      </w:r>
      <w:r>
        <w:rPr>
          <w:spacing w:val="-1"/>
        </w:rPr>
        <w:t> </w:t>
      </w:r>
      <w:r>
        <w:rPr/>
        <w:t>trade</w:t>
      </w:r>
      <w:r>
        <w:rPr>
          <w:spacing w:val="-3"/>
        </w:rPr>
        <w:t> </w:t>
      </w:r>
      <w:r>
        <w:rPr/>
        <w:t>figures</w:t>
      </w:r>
      <w:r>
        <w:rPr>
          <w:spacing w:val="-2"/>
        </w:rPr>
        <w:t> </w:t>
      </w:r>
      <w:r>
        <w:rPr/>
        <w:t>in</w:t>
      </w:r>
      <w:r>
        <w:rPr>
          <w:spacing w:val="-2"/>
        </w:rPr>
        <w:t> </w:t>
      </w:r>
      <w:r>
        <w:rPr/>
        <w:t>both</w:t>
      </w:r>
      <w:r>
        <w:rPr>
          <w:spacing w:val="-2"/>
        </w:rPr>
        <w:t> </w:t>
      </w:r>
      <w:r>
        <w:rPr/>
        <w:t>directions</w:t>
      </w:r>
      <w:r>
        <w:rPr>
          <w:spacing w:val="-2"/>
        </w:rPr>
        <w:t> </w:t>
      </w:r>
      <w:r>
        <w:rPr/>
        <w:t>to</w:t>
      </w:r>
      <w:r>
        <w:rPr>
          <w:spacing w:val="-2"/>
        </w:rPr>
        <w:t> </w:t>
      </w:r>
      <w:r>
        <w:rPr/>
        <w:t>avoid</w:t>
      </w:r>
      <w:r>
        <w:rPr>
          <w:spacing w:val="-2"/>
        </w:rPr>
        <w:t> </w:t>
      </w:r>
      <w:r>
        <w:rPr/>
        <w:t>trade barriers</w:t>
      </w:r>
      <w:r>
        <w:rPr>
          <w:spacing w:val="-2"/>
        </w:rPr>
        <w:t> </w:t>
      </w:r>
      <w:r>
        <w:rPr/>
        <w:t>seems to overwhelm any discernible capital flight through misinvoicing. Gibson and Tsakalotos (1993) made the argument that trade misinvoicing may be unrelated to the phenomenon of capital flight, which was</w:t>
      </w:r>
      <w:r>
        <w:rPr>
          <w:spacing w:val="40"/>
        </w:rPr>
        <w:t> </w:t>
      </w:r>
      <w:r>
        <w:rPr/>
        <w:t>supported</w:t>
      </w:r>
      <w:r>
        <w:rPr>
          <w:spacing w:val="23"/>
        </w:rPr>
        <w:t> </w:t>
      </w:r>
      <w:r>
        <w:rPr/>
        <w:t>by</w:t>
      </w:r>
      <w:r>
        <w:rPr>
          <w:spacing w:val="23"/>
        </w:rPr>
        <w:t> </w:t>
      </w:r>
      <w:r>
        <w:rPr/>
        <w:t>Hermes,</w:t>
      </w:r>
      <w:r>
        <w:rPr>
          <w:spacing w:val="28"/>
        </w:rPr>
        <w:t> </w:t>
      </w:r>
      <w:r>
        <w:rPr/>
        <w:t>Lensink,</w:t>
      </w:r>
      <w:r>
        <w:rPr>
          <w:spacing w:val="26"/>
        </w:rPr>
        <w:t> </w:t>
      </w:r>
      <w:r>
        <w:rPr/>
        <w:t>and</w:t>
      </w:r>
      <w:r>
        <w:rPr>
          <w:spacing w:val="25"/>
        </w:rPr>
        <w:t> </w:t>
      </w:r>
      <w:r>
        <w:rPr/>
        <w:t>Murinde</w:t>
      </w:r>
      <w:r>
        <w:rPr>
          <w:spacing w:val="25"/>
        </w:rPr>
        <w:t> </w:t>
      </w:r>
      <w:r>
        <w:rPr/>
        <w:t>(2002).</w:t>
      </w:r>
      <w:r>
        <w:rPr>
          <w:spacing w:val="29"/>
        </w:rPr>
        <w:t> </w:t>
      </w:r>
      <w:r>
        <w:rPr/>
        <w:t>Although,</w:t>
      </w:r>
      <w:r>
        <w:rPr>
          <w:spacing w:val="26"/>
        </w:rPr>
        <w:t> </w:t>
      </w:r>
      <w:r>
        <w:rPr/>
        <w:t>the</w:t>
      </w:r>
      <w:r>
        <w:rPr>
          <w:spacing w:val="25"/>
        </w:rPr>
        <w:t> </w:t>
      </w:r>
      <w:r>
        <w:rPr/>
        <w:t>study</w:t>
      </w:r>
      <w:r>
        <w:rPr>
          <w:spacing w:val="22"/>
        </w:rPr>
        <w:t> </w:t>
      </w:r>
      <w:r>
        <w:rPr/>
        <w:t>of</w:t>
      </w:r>
      <w:r>
        <w:rPr>
          <w:spacing w:val="25"/>
        </w:rPr>
        <w:t> </w:t>
      </w:r>
      <w:r>
        <w:rPr/>
        <w:t>Obadan</w:t>
      </w:r>
      <w:r>
        <w:rPr>
          <w:spacing w:val="28"/>
        </w:rPr>
        <w:t> </w:t>
      </w:r>
      <w:r>
        <w:rPr/>
        <w:t>(2008)</w:t>
      </w:r>
      <w:r>
        <w:rPr>
          <w:spacing w:val="25"/>
        </w:rPr>
        <w:t> </w:t>
      </w:r>
      <w:r>
        <w:rPr/>
        <w:t>assertes</w:t>
      </w:r>
      <w:r>
        <w:rPr>
          <w:spacing w:val="26"/>
        </w:rPr>
        <w:t> </w:t>
      </w:r>
      <w:r>
        <w:rPr>
          <w:spacing w:val="-2"/>
        </w:rPr>
        <w:t>that,</w:t>
      </w:r>
    </w:p>
    <w:p>
      <w:pPr>
        <w:pStyle w:val="BodyText"/>
        <w:spacing w:before="1"/>
        <w:ind w:left="711"/>
        <w:jc w:val="both"/>
      </w:pPr>
      <w:r>
        <w:rPr/>
        <w:t>trade</w:t>
      </w:r>
      <w:r>
        <w:rPr>
          <w:spacing w:val="57"/>
        </w:rPr>
        <w:t> </w:t>
      </w:r>
      <w:r>
        <w:rPr/>
        <w:t>misinvoicing</w:t>
      </w:r>
      <w:r>
        <w:rPr>
          <w:spacing w:val="56"/>
        </w:rPr>
        <w:t> </w:t>
      </w:r>
      <w:r>
        <w:rPr/>
        <w:t>can</w:t>
      </w:r>
      <w:r>
        <w:rPr>
          <w:spacing w:val="61"/>
        </w:rPr>
        <w:t> </w:t>
      </w:r>
      <w:r>
        <w:rPr/>
        <w:t>be</w:t>
      </w:r>
      <w:r>
        <w:rPr>
          <w:spacing w:val="57"/>
        </w:rPr>
        <w:t> </w:t>
      </w:r>
      <w:r>
        <w:rPr/>
        <w:t>correctly</w:t>
      </w:r>
      <w:r>
        <w:rPr>
          <w:spacing w:val="56"/>
        </w:rPr>
        <w:t> </w:t>
      </w:r>
      <w:r>
        <w:rPr/>
        <w:t>regarded</w:t>
      </w:r>
      <w:r>
        <w:rPr>
          <w:spacing w:val="58"/>
        </w:rPr>
        <w:t> </w:t>
      </w:r>
      <w:r>
        <w:rPr/>
        <w:t>as</w:t>
      </w:r>
      <w:r>
        <w:rPr>
          <w:spacing w:val="59"/>
        </w:rPr>
        <w:t> </w:t>
      </w:r>
      <w:r>
        <w:rPr/>
        <w:t>capital</w:t>
      </w:r>
      <w:r>
        <w:rPr>
          <w:spacing w:val="59"/>
        </w:rPr>
        <w:t> </w:t>
      </w:r>
      <w:r>
        <w:rPr/>
        <w:t>flight.</w:t>
      </w:r>
      <w:r>
        <w:rPr>
          <w:spacing w:val="59"/>
        </w:rPr>
        <w:t> </w:t>
      </w:r>
      <w:r>
        <w:rPr/>
        <w:t>Cerra,</w:t>
      </w:r>
      <w:r>
        <w:rPr>
          <w:spacing w:val="61"/>
        </w:rPr>
        <w:t> </w:t>
      </w:r>
      <w:r>
        <w:rPr>
          <w:i/>
        </w:rPr>
        <w:t>et</w:t>
      </w:r>
      <w:r>
        <w:rPr>
          <w:i/>
          <w:spacing w:val="59"/>
        </w:rPr>
        <w:t> </w:t>
      </w:r>
      <w:r>
        <w:rPr>
          <w:i/>
        </w:rPr>
        <w:t>al</w:t>
      </w:r>
      <w:r>
        <w:rPr>
          <w:i/>
          <w:spacing w:val="60"/>
        </w:rPr>
        <w:t> </w:t>
      </w:r>
      <w:r>
        <w:rPr/>
        <w:t>(2008)</w:t>
      </w:r>
      <w:r>
        <w:rPr>
          <w:spacing w:val="58"/>
        </w:rPr>
        <w:t> </w:t>
      </w:r>
      <w:r>
        <w:rPr/>
        <w:t>find</w:t>
      </w:r>
      <w:r>
        <w:rPr>
          <w:spacing w:val="59"/>
        </w:rPr>
        <w:t> </w:t>
      </w:r>
      <w:r>
        <w:rPr/>
        <w:t>out</w:t>
      </w:r>
      <w:r>
        <w:rPr>
          <w:spacing w:val="59"/>
        </w:rPr>
        <w:t> </w:t>
      </w:r>
      <w:r>
        <w:rPr/>
        <w:t>that</w:t>
      </w:r>
      <w:r>
        <w:rPr>
          <w:spacing w:val="59"/>
        </w:rPr>
        <w:t> </w:t>
      </w:r>
      <w:r>
        <w:rPr>
          <w:spacing w:val="-2"/>
        </w:rPr>
        <w:t>trade</w:t>
      </w:r>
    </w:p>
    <w:p>
      <w:pPr>
        <w:spacing w:after="0"/>
        <w:jc w:val="both"/>
        <w:sectPr>
          <w:pgSz w:w="11910" w:h="16840"/>
          <w:pgMar w:header="0" w:footer="979" w:top="1900" w:bottom="1240" w:left="280" w:right="0"/>
        </w:sectPr>
      </w:pPr>
    </w:p>
    <w:p>
      <w:pPr>
        <w:pStyle w:val="BodyText"/>
        <w:spacing w:line="480" w:lineRule="auto" w:before="60"/>
        <w:ind w:left="711" w:right="472"/>
        <w:jc w:val="both"/>
      </w:pPr>
      <w:r>
        <w:rPr/>
        <w:t>misinvoicing ―as a mechanism of capital flight, appears to behave differently from other components of capital flight. The enormous differences in the definition of capital flight and the difficulty in determining</w:t>
      </w:r>
      <w:r>
        <w:rPr>
          <w:spacing w:val="80"/>
        </w:rPr>
        <w:t> </w:t>
      </w:r>
      <w:r>
        <w:rPr/>
        <w:t>an accurate measure of trade misinvoicing prevents an easy answer.</w:t>
      </w:r>
    </w:p>
    <w:p>
      <w:pPr>
        <w:pStyle w:val="BodyText"/>
        <w:spacing w:line="480" w:lineRule="auto" w:before="1"/>
        <w:ind w:left="711" w:right="470"/>
        <w:jc w:val="both"/>
      </w:pPr>
      <w:r>
        <w:rPr/>
        <w:t>Capital flight has also been argued to stem from many</w:t>
      </w:r>
      <w:r>
        <w:rPr>
          <w:spacing w:val="-1"/>
        </w:rPr>
        <w:t> </w:t>
      </w:r>
      <w:r>
        <w:rPr/>
        <w:t>factors, classified into political and economic factors Ajayi (1992). Ajayi argued that the political aspect of capital flight is often ignored in most analysis on capital flight, and this is predicated</w:t>
      </w:r>
      <w:r>
        <w:rPr>
          <w:spacing w:val="-1"/>
        </w:rPr>
        <w:t> </w:t>
      </w:r>
      <w:r>
        <w:rPr/>
        <w:t>on corruption (a</w:t>
      </w:r>
      <w:r>
        <w:rPr>
          <w:spacing w:val="-1"/>
        </w:rPr>
        <w:t> </w:t>
      </w:r>
      <w:r>
        <w:rPr/>
        <w:t>problem which is hardly</w:t>
      </w:r>
      <w:r>
        <w:rPr>
          <w:spacing w:val="-5"/>
        </w:rPr>
        <w:t> </w:t>
      </w:r>
      <w:r>
        <w:rPr/>
        <w:t>limited</w:t>
      </w:r>
      <w:r>
        <w:rPr>
          <w:spacing w:val="-1"/>
        </w:rPr>
        <w:t> </w:t>
      </w:r>
      <w:r>
        <w:rPr/>
        <w:t>to LDCs)</w:t>
      </w:r>
      <w:r>
        <w:rPr>
          <w:spacing w:val="-1"/>
        </w:rPr>
        <w:t> </w:t>
      </w:r>
      <w:r>
        <w:rPr/>
        <w:t>and access to foreign funds by political leaders. Beginning in the mid-1980’s, the phenomenon of capital flight from developing countries received considerable attention in the literature. A number of country-specific case studies and cross-country studies have examined the magnitude of capital flight, its causes, and its effects (Ajayi 1997). Until recently, however, sub-sahara Africa has received less attention than other developing regions, yet capital outflows from African economies deserve serious attention for several reasons away from domestic investment and other productive activities. In recent decades, African economies have achieved significantly low investment levels than other developing countries (International Finance Corporation, 1998; Ndikumana and Borce, 2003). These low levels of domestic investment are attributable, in part, to the apparent scarcity of domestic savings, weak and shallow financial systems, and high country risk</w:t>
      </w:r>
      <w:r>
        <w:rPr>
          <w:spacing w:val="-2"/>
        </w:rPr>
        <w:t> </w:t>
      </w:r>
      <w:r>
        <w:rPr/>
        <w:t>due</w:t>
      </w:r>
      <w:r>
        <w:rPr>
          <w:spacing w:val="-3"/>
        </w:rPr>
        <w:t> </w:t>
      </w:r>
      <w:r>
        <w:rPr/>
        <w:t>to</w:t>
      </w:r>
      <w:r>
        <w:rPr>
          <w:spacing w:val="-2"/>
        </w:rPr>
        <w:t> </w:t>
      </w:r>
      <w:r>
        <w:rPr/>
        <w:t>unstable</w:t>
      </w:r>
      <w:r>
        <w:rPr>
          <w:spacing w:val="-3"/>
        </w:rPr>
        <w:t> </w:t>
      </w:r>
      <w:r>
        <w:rPr/>
        <w:t>macroeconomic</w:t>
      </w:r>
      <w:r>
        <w:rPr>
          <w:spacing w:val="-1"/>
        </w:rPr>
        <w:t> </w:t>
      </w:r>
      <w:r>
        <w:rPr/>
        <w:t>and</w:t>
      </w:r>
      <w:r>
        <w:rPr>
          <w:spacing w:val="-2"/>
        </w:rPr>
        <w:t> </w:t>
      </w:r>
      <w:r>
        <w:rPr/>
        <w:t>political conditions.</w:t>
      </w:r>
      <w:r>
        <w:rPr>
          <w:spacing w:val="-2"/>
        </w:rPr>
        <w:t> </w:t>
      </w:r>
      <w:r>
        <w:rPr/>
        <w:t>Capital</w:t>
      </w:r>
      <w:r>
        <w:rPr>
          <w:spacing w:val="-2"/>
        </w:rPr>
        <w:t> </w:t>
      </w:r>
      <w:r>
        <w:rPr/>
        <w:t>flight is</w:t>
      </w:r>
      <w:r>
        <w:rPr>
          <w:spacing w:val="-2"/>
        </w:rPr>
        <w:t> </w:t>
      </w:r>
      <w:r>
        <w:rPr/>
        <w:t>both</w:t>
      </w:r>
      <w:r>
        <w:rPr>
          <w:spacing w:val="-2"/>
        </w:rPr>
        <w:t> </w:t>
      </w:r>
      <w:r>
        <w:rPr/>
        <w:t>a</w:t>
      </w:r>
      <w:r>
        <w:rPr>
          <w:spacing w:val="-3"/>
        </w:rPr>
        <w:t> </w:t>
      </w:r>
      <w:r>
        <w:rPr/>
        <w:t>cause</w:t>
      </w:r>
      <w:r>
        <w:rPr>
          <w:spacing w:val="-1"/>
        </w:rPr>
        <w:t> </w:t>
      </w:r>
      <w:r>
        <w:rPr/>
        <w:t>and a</w:t>
      </w:r>
      <w:r>
        <w:rPr>
          <w:spacing w:val="-3"/>
        </w:rPr>
        <w:t> </w:t>
      </w:r>
      <w:r>
        <w:rPr/>
        <w:t>symptom</w:t>
      </w:r>
      <w:r>
        <w:rPr>
          <w:spacing w:val="-2"/>
        </w:rPr>
        <w:t> </w:t>
      </w:r>
      <w:r>
        <w:rPr/>
        <w:t>of this weak investment performance.</w:t>
      </w:r>
      <w:r>
        <w:rPr>
          <w:spacing w:val="80"/>
        </w:rPr>
        <w:t> </w:t>
      </w:r>
      <w:r>
        <w:rPr/>
        <w:t>Secondly, capital flight is likely to have pronounced regressive effects on the</w:t>
      </w:r>
      <w:r>
        <w:rPr>
          <w:spacing w:val="-1"/>
        </w:rPr>
        <w:t> </w:t>
      </w:r>
      <w:r>
        <w:rPr/>
        <w:t>distribution of</w:t>
      </w:r>
      <w:r>
        <w:rPr>
          <w:spacing w:val="-1"/>
        </w:rPr>
        <w:t> </w:t>
      </w:r>
      <w:r>
        <w:rPr/>
        <w:t>wealth. The</w:t>
      </w:r>
      <w:r>
        <w:rPr>
          <w:spacing w:val="-2"/>
        </w:rPr>
        <w:t> </w:t>
      </w:r>
      <w:r>
        <w:rPr/>
        <w:t>individuals who engage</w:t>
      </w:r>
      <w:r>
        <w:rPr>
          <w:spacing w:val="-1"/>
        </w:rPr>
        <w:t> </w:t>
      </w:r>
      <w:r>
        <w:rPr/>
        <w:t>in capital flight generally</w:t>
      </w:r>
      <w:r>
        <w:rPr>
          <w:spacing w:val="-5"/>
        </w:rPr>
        <w:t> </w:t>
      </w:r>
      <w:r>
        <w:rPr/>
        <w:t>are</w:t>
      </w:r>
      <w:r>
        <w:rPr>
          <w:spacing w:val="-1"/>
        </w:rPr>
        <w:t> </w:t>
      </w:r>
      <w:r>
        <w:rPr/>
        <w:t>members</w:t>
      </w:r>
      <w:r>
        <w:rPr>
          <w:spacing w:val="-1"/>
        </w:rPr>
        <w:t> </w:t>
      </w:r>
      <w:r>
        <w:rPr/>
        <w:t>of the</w:t>
      </w:r>
      <w:r>
        <w:rPr>
          <w:spacing w:val="-1"/>
        </w:rPr>
        <w:t> </w:t>
      </w:r>
      <w:r>
        <w:rPr/>
        <w:t>sub- continent’s economic and political elites, who take advantage of their privileged positions to acquire and channel funds abroad. Both the acquisition and the transfer of funds often involve legally questionable practices, including</w:t>
      </w:r>
      <w:r>
        <w:rPr>
          <w:spacing w:val="-2"/>
        </w:rPr>
        <w:t> </w:t>
      </w:r>
      <w:r>
        <w:rPr/>
        <w:t>the</w:t>
      </w:r>
      <w:r>
        <w:rPr>
          <w:spacing w:val="-1"/>
        </w:rPr>
        <w:t> </w:t>
      </w:r>
      <w:r>
        <w:rPr/>
        <w:t>falsification of</w:t>
      </w:r>
      <w:r>
        <w:rPr>
          <w:spacing w:val="-1"/>
        </w:rPr>
        <w:t> </w:t>
      </w:r>
      <w:r>
        <w:rPr/>
        <w:t>trade</w:t>
      </w:r>
      <w:r>
        <w:rPr>
          <w:spacing w:val="-1"/>
        </w:rPr>
        <w:t> </w:t>
      </w:r>
      <w:r>
        <w:rPr/>
        <w:t>documents (trade</w:t>
      </w:r>
      <w:r>
        <w:rPr>
          <w:spacing w:val="-1"/>
        </w:rPr>
        <w:t> </w:t>
      </w:r>
      <w:r>
        <w:rPr/>
        <w:t>misinvoicing</w:t>
      </w:r>
      <w:r>
        <w:rPr>
          <w:spacing w:val="-3"/>
        </w:rPr>
        <w:t> </w:t>
      </w:r>
      <w:r>
        <w:rPr/>
        <w:t>or faking), the</w:t>
      </w:r>
      <w:r>
        <w:rPr>
          <w:spacing w:val="-1"/>
        </w:rPr>
        <w:t> </w:t>
      </w:r>
      <w:r>
        <w:rPr/>
        <w:t>embezzlement of export revenues and kickbacks on public and private sector contracts (Ndikumana and Boyce, 1998). The negative effect of the resulting shortages of revenue and foreign exchange fall disproportionately on the shoulders of the less wealthy</w:t>
      </w:r>
      <w:r>
        <w:rPr>
          <w:spacing w:val="-2"/>
        </w:rPr>
        <w:t> </w:t>
      </w:r>
      <w:r>
        <w:rPr/>
        <w:t>members of the society. The regressive impact of capital flight is compounded when</w:t>
      </w:r>
      <w:r>
        <w:rPr>
          <w:spacing w:val="1"/>
        </w:rPr>
        <w:t> </w:t>
      </w:r>
      <w:r>
        <w:rPr/>
        <w:t>financial</w:t>
      </w:r>
      <w:r>
        <w:rPr>
          <w:spacing w:val="3"/>
        </w:rPr>
        <w:t> </w:t>
      </w:r>
      <w:r>
        <w:rPr/>
        <w:t>imbalances</w:t>
      </w:r>
      <w:r>
        <w:rPr>
          <w:spacing w:val="4"/>
        </w:rPr>
        <w:t> </w:t>
      </w:r>
      <w:r>
        <w:rPr/>
        <w:t>results</w:t>
      </w:r>
      <w:r>
        <w:rPr>
          <w:spacing w:val="3"/>
        </w:rPr>
        <w:t> </w:t>
      </w:r>
      <w:r>
        <w:rPr/>
        <w:t>in</w:t>
      </w:r>
      <w:r>
        <w:rPr>
          <w:spacing w:val="5"/>
        </w:rPr>
        <w:t> </w:t>
      </w:r>
      <w:r>
        <w:rPr/>
        <w:t>devaluation,</w:t>
      </w:r>
      <w:r>
        <w:rPr>
          <w:spacing w:val="6"/>
        </w:rPr>
        <w:t> </w:t>
      </w:r>
      <w:r>
        <w:rPr/>
        <w:t>the</w:t>
      </w:r>
      <w:r>
        <w:rPr>
          <w:spacing w:val="4"/>
        </w:rPr>
        <w:t> </w:t>
      </w:r>
      <w:r>
        <w:rPr/>
        <w:t>wealthy</w:t>
      </w:r>
      <w:r>
        <w:rPr>
          <w:spacing w:val="5"/>
        </w:rPr>
        <w:t> </w:t>
      </w:r>
      <w:r>
        <w:rPr/>
        <w:t>that</w:t>
      </w:r>
      <w:r>
        <w:rPr>
          <w:spacing w:val="5"/>
        </w:rPr>
        <w:t> </w:t>
      </w:r>
      <w:r>
        <w:rPr/>
        <w:t>hold</w:t>
      </w:r>
      <w:r>
        <w:rPr>
          <w:spacing w:val="4"/>
        </w:rPr>
        <w:t> </w:t>
      </w:r>
      <w:r>
        <w:rPr/>
        <w:t>external</w:t>
      </w:r>
      <w:r>
        <w:rPr>
          <w:spacing w:val="7"/>
        </w:rPr>
        <w:t> </w:t>
      </w:r>
      <w:r>
        <w:rPr/>
        <w:t>assets</w:t>
      </w:r>
      <w:r>
        <w:rPr>
          <w:spacing w:val="3"/>
        </w:rPr>
        <w:t> </w:t>
      </w:r>
      <w:r>
        <w:rPr/>
        <w:t>are</w:t>
      </w:r>
      <w:r>
        <w:rPr>
          <w:spacing w:val="2"/>
        </w:rPr>
        <w:t> </w:t>
      </w:r>
      <w:r>
        <w:rPr/>
        <w:t>insulated</w:t>
      </w:r>
      <w:r>
        <w:rPr>
          <w:spacing w:val="5"/>
        </w:rPr>
        <w:t> </w:t>
      </w:r>
      <w:r>
        <w:rPr/>
        <w:t>from</w:t>
      </w:r>
      <w:r>
        <w:rPr>
          <w:spacing w:val="5"/>
        </w:rPr>
        <w:t> </w:t>
      </w:r>
      <w:r>
        <w:rPr>
          <w:spacing w:val="-5"/>
        </w:rPr>
        <w:t>its</w:t>
      </w:r>
    </w:p>
    <w:p>
      <w:pPr>
        <w:pStyle w:val="BodyText"/>
        <w:spacing w:before="3"/>
        <w:ind w:left="711"/>
        <w:jc w:val="both"/>
      </w:pPr>
      <w:r>
        <w:rPr/>
        <w:t>effects,</w:t>
      </w:r>
      <w:r>
        <w:rPr>
          <w:spacing w:val="-1"/>
        </w:rPr>
        <w:t> </w:t>
      </w:r>
      <w:r>
        <w:rPr/>
        <w:t>while the</w:t>
      </w:r>
      <w:r>
        <w:rPr>
          <w:spacing w:val="-1"/>
        </w:rPr>
        <w:t> </w:t>
      </w:r>
      <w:r>
        <w:rPr/>
        <w:t>poor</w:t>
      </w:r>
      <w:r>
        <w:rPr>
          <w:spacing w:val="1"/>
        </w:rPr>
        <w:t> </w:t>
      </w:r>
      <w:r>
        <w:rPr/>
        <w:t>enjoy</w:t>
      </w:r>
      <w:r>
        <w:rPr>
          <w:spacing w:val="-5"/>
        </w:rPr>
        <w:t> </w:t>
      </w:r>
      <w:r>
        <w:rPr/>
        <w:t>no such</w:t>
      </w:r>
      <w:r>
        <w:rPr>
          <w:spacing w:val="2"/>
        </w:rPr>
        <w:t> </w:t>
      </w:r>
      <w:r>
        <w:rPr>
          <w:spacing w:val="-2"/>
        </w:rPr>
        <w:t>cushion.</w:t>
      </w:r>
    </w:p>
    <w:p>
      <w:pPr>
        <w:spacing w:after="0"/>
        <w:jc w:val="both"/>
        <w:sectPr>
          <w:pgSz w:w="11910" w:h="16840"/>
          <w:pgMar w:header="0" w:footer="979" w:top="1360" w:bottom="1240" w:left="280" w:right="0"/>
        </w:sectPr>
      </w:pPr>
    </w:p>
    <w:p>
      <w:pPr>
        <w:pStyle w:val="BodyText"/>
        <w:spacing w:line="480" w:lineRule="auto" w:before="60"/>
        <w:ind w:left="711" w:right="471"/>
        <w:jc w:val="both"/>
      </w:pPr>
      <w:r>
        <w:rPr/>
        <w:t>A third reason for greater attention to African capital flight is that most developing countries remain in the grip of severe external debt crises. Debt service today absorbs a sum equivalent to more than 60% of developing country’s GDP. In so far as the proceeds of external borrowing are used not to the benefit of the African public, but rather to finance the accumulation of private external assets by the ruling elites, the</w:t>
      </w:r>
      <w:r>
        <w:rPr>
          <w:spacing w:val="40"/>
        </w:rPr>
        <w:t> </w:t>
      </w:r>
      <w:r>
        <w:rPr/>
        <w:t>moral and legal legitimacy of these debt-service obligations is open to challenge.</w:t>
      </w:r>
    </w:p>
    <w:p>
      <w:pPr>
        <w:pStyle w:val="BodyText"/>
        <w:spacing w:line="480" w:lineRule="auto" w:before="1"/>
        <w:ind w:left="711" w:right="469" w:firstLine="60"/>
        <w:jc w:val="both"/>
      </w:pPr>
      <w:r>
        <w:rPr/>
        <w:t>This section of the study deals with several issues on capital flight such issues cover those on prior studies, issue of measurement, causes and effects, political and macro-economic developments in Nigeria as they have a bearing on capital flight. A detailed analysis of trade-faking, that is, the under-invoicing/over- invoicing of exports and imports, definitions of the concept and others that can increase the flight of capital from Nigerian economy were faked.</w:t>
      </w:r>
    </w:p>
    <w:p>
      <w:pPr>
        <w:pStyle w:val="BodyText"/>
      </w:pPr>
    </w:p>
    <w:p>
      <w:pPr>
        <w:pStyle w:val="BodyText"/>
        <w:spacing w:before="1"/>
      </w:pPr>
    </w:p>
    <w:p>
      <w:pPr>
        <w:pStyle w:val="Heading6"/>
        <w:numPr>
          <w:ilvl w:val="1"/>
          <w:numId w:val="10"/>
        </w:numPr>
        <w:tabs>
          <w:tab w:pos="1191" w:val="left" w:leader="none"/>
        </w:tabs>
        <w:spacing w:line="240" w:lineRule="auto" w:before="0" w:after="0"/>
        <w:ind w:left="1191" w:right="0" w:hanging="480"/>
        <w:jc w:val="both"/>
        <w:rPr>
          <w:b w:val="0"/>
        </w:rPr>
      </w:pPr>
      <w:r>
        <w:rPr/>
        <w:t>Operationalisation</w:t>
      </w:r>
      <w:r>
        <w:rPr>
          <w:spacing w:val="-4"/>
        </w:rPr>
        <w:t> </w:t>
      </w:r>
      <w:r>
        <w:rPr/>
        <w:t>and</w:t>
      </w:r>
      <w:r>
        <w:rPr>
          <w:spacing w:val="-2"/>
        </w:rPr>
        <w:t> </w:t>
      </w:r>
      <w:r>
        <w:rPr/>
        <w:t>Measurement</w:t>
      </w:r>
      <w:r>
        <w:rPr>
          <w:spacing w:val="-1"/>
        </w:rPr>
        <w:t> </w:t>
      </w:r>
      <w:r>
        <w:rPr/>
        <w:t>of</w:t>
      </w:r>
      <w:r>
        <w:rPr>
          <w:spacing w:val="-2"/>
        </w:rPr>
        <w:t> </w:t>
      </w:r>
      <w:r>
        <w:rPr/>
        <w:t>Capital</w:t>
      </w:r>
      <w:r>
        <w:rPr>
          <w:spacing w:val="-1"/>
        </w:rPr>
        <w:t> </w:t>
      </w:r>
      <w:r>
        <w:rPr>
          <w:spacing w:val="-2"/>
        </w:rPr>
        <w:t>Flight</w:t>
      </w:r>
    </w:p>
    <w:p>
      <w:pPr>
        <w:pStyle w:val="BodyText"/>
        <w:rPr>
          <w:b/>
        </w:rPr>
      </w:pPr>
    </w:p>
    <w:p>
      <w:pPr>
        <w:pStyle w:val="BodyText"/>
        <w:spacing w:line="360" w:lineRule="auto"/>
        <w:ind w:left="711" w:right="472"/>
        <w:jc w:val="both"/>
      </w:pPr>
      <w:r>
        <w:rPr/>
        <w:t>Capital flight represents the transfer abroad and out of reach of domestic law enforcement and national tax administrations, of illegally acquired income or assets. Money laundering which connotes the transfer of illegal earnings and assets into legal earnings and assets falls into this category. Capital flight also includes the transfer abroad of legal, legitimately acquired income or assets, motivated by the desire to escape either legitimate domestic tax authorities in collusion with corrupt government officials.</w:t>
      </w:r>
      <w:r>
        <w:rPr>
          <w:spacing w:val="40"/>
        </w:rPr>
        <w:t> </w:t>
      </w:r>
      <w:r>
        <w:rPr/>
        <w:t>Generally, the following schools of taught represent the various perspectives of the concept of capital flight in the literature (Eggerstedt </w:t>
      </w:r>
      <w:r>
        <w:rPr>
          <w:i/>
        </w:rPr>
        <w:t>et al., </w:t>
      </w:r>
      <w:r>
        <w:rPr/>
        <w:t>1995)):</w:t>
      </w:r>
    </w:p>
    <w:p>
      <w:pPr>
        <w:pStyle w:val="Heading6"/>
        <w:numPr>
          <w:ilvl w:val="0"/>
          <w:numId w:val="11"/>
        </w:numPr>
        <w:tabs>
          <w:tab w:pos="1430" w:val="left" w:leader="none"/>
        </w:tabs>
        <w:spacing w:line="275" w:lineRule="exact" w:before="0" w:after="0"/>
        <w:ind w:left="1430" w:right="0" w:hanging="719"/>
        <w:jc w:val="both"/>
      </w:pPr>
      <w:r>
        <w:rPr/>
        <w:t>The</w:t>
      </w:r>
      <w:r>
        <w:rPr>
          <w:spacing w:val="-3"/>
        </w:rPr>
        <w:t> </w:t>
      </w:r>
      <w:r>
        <w:rPr/>
        <w:t>Balance</w:t>
      </w:r>
      <w:r>
        <w:rPr>
          <w:spacing w:val="-3"/>
        </w:rPr>
        <w:t> </w:t>
      </w:r>
      <w:r>
        <w:rPr/>
        <w:t>of</w:t>
      </w:r>
      <w:r>
        <w:rPr>
          <w:spacing w:val="-1"/>
        </w:rPr>
        <w:t> </w:t>
      </w:r>
      <w:r>
        <w:rPr/>
        <w:t>Payment</w:t>
      </w:r>
      <w:r>
        <w:rPr>
          <w:spacing w:val="-2"/>
        </w:rPr>
        <w:t> </w:t>
      </w:r>
      <w:r>
        <w:rPr/>
        <w:t>Account</w:t>
      </w:r>
      <w:r>
        <w:rPr>
          <w:spacing w:val="-1"/>
        </w:rPr>
        <w:t> </w:t>
      </w:r>
      <w:r>
        <w:rPr>
          <w:spacing w:val="-2"/>
        </w:rPr>
        <w:t>Approach</w:t>
      </w:r>
    </w:p>
    <w:p>
      <w:pPr>
        <w:pStyle w:val="BodyText"/>
        <w:spacing w:line="432" w:lineRule="auto" w:before="221"/>
        <w:ind w:left="711" w:right="474"/>
        <w:jc w:val="both"/>
      </w:pPr>
      <w:r>
        <w:rPr/>
        <w:t>In the pioneering studies on capital flight; the phenomenon relies on using the balance of payment account (Cuddington, 1986). In the balance of payment approach, capital flight is defined as the sum of recorded short term capital outflows (K) and unrecorded net flows or net errors and omission (M)</w:t>
      </w:r>
    </w:p>
    <w:p>
      <w:pPr>
        <w:tabs>
          <w:tab w:pos="9179" w:val="left" w:leader="dot"/>
        </w:tabs>
        <w:spacing w:line="266" w:lineRule="exact" w:before="0"/>
        <w:ind w:left="756" w:right="0" w:firstLine="0"/>
        <w:jc w:val="both"/>
        <w:rPr>
          <w:sz w:val="23"/>
        </w:rPr>
      </w:pPr>
      <w:r>
        <w:rPr>
          <w:i/>
          <w:w w:val="105"/>
          <w:sz w:val="23"/>
        </w:rPr>
        <w:t>KF</w:t>
      </w:r>
      <w:r>
        <w:rPr>
          <w:w w:val="105"/>
          <w:sz w:val="23"/>
        </w:rPr>
        <w:t>(</w:t>
      </w:r>
      <w:r>
        <w:rPr>
          <w:i/>
          <w:w w:val="105"/>
          <w:sz w:val="23"/>
        </w:rPr>
        <w:t>BOP</w:t>
      </w:r>
      <w:r>
        <w:rPr>
          <w:i/>
          <w:spacing w:val="-37"/>
          <w:w w:val="105"/>
          <w:sz w:val="23"/>
        </w:rPr>
        <w:t> </w:t>
      </w:r>
      <w:r>
        <w:rPr>
          <w:w w:val="105"/>
          <w:sz w:val="23"/>
        </w:rPr>
        <w:t>)</w:t>
      </w:r>
      <w:r>
        <w:rPr>
          <w:spacing w:val="4"/>
          <w:w w:val="105"/>
          <w:sz w:val="23"/>
        </w:rPr>
        <w:t> </w:t>
      </w:r>
      <w:r>
        <w:rPr>
          <w:rFonts w:ascii="Symbol" w:hAnsi="Symbol"/>
          <w:w w:val="105"/>
          <w:sz w:val="23"/>
        </w:rPr>
        <w:t></w:t>
      </w:r>
      <w:r>
        <w:rPr>
          <w:spacing w:val="10"/>
          <w:w w:val="105"/>
          <w:sz w:val="23"/>
        </w:rPr>
        <w:t> </w:t>
      </w:r>
      <w:r>
        <w:rPr>
          <w:i/>
          <w:w w:val="105"/>
          <w:sz w:val="23"/>
        </w:rPr>
        <w:t>K</w:t>
      </w:r>
      <w:r>
        <w:rPr>
          <w:i/>
          <w:spacing w:val="11"/>
          <w:w w:val="105"/>
          <w:sz w:val="23"/>
        </w:rPr>
        <w:t> </w:t>
      </w:r>
      <w:r>
        <w:rPr>
          <w:rFonts w:ascii="Symbol" w:hAnsi="Symbol"/>
          <w:w w:val="105"/>
          <w:sz w:val="23"/>
        </w:rPr>
        <w:t></w:t>
      </w:r>
      <w:r>
        <w:rPr>
          <w:spacing w:val="-5"/>
          <w:w w:val="105"/>
          <w:sz w:val="23"/>
        </w:rPr>
        <w:t> </w:t>
      </w:r>
      <w:r>
        <w:rPr>
          <w:i/>
          <w:spacing w:val="-10"/>
          <w:w w:val="105"/>
          <w:sz w:val="23"/>
        </w:rPr>
        <w:t>M</w:t>
      </w:r>
      <w:r>
        <w:rPr>
          <w:i/>
          <w:sz w:val="23"/>
        </w:rPr>
        <w:tab/>
      </w:r>
      <w:r>
        <w:rPr>
          <w:spacing w:val="-2"/>
          <w:w w:val="105"/>
          <w:sz w:val="23"/>
        </w:rPr>
        <w:t>(2.1)</w:t>
      </w:r>
    </w:p>
    <w:p>
      <w:pPr>
        <w:pStyle w:val="BodyText"/>
        <w:spacing w:before="269"/>
        <w:ind w:left="711"/>
      </w:pPr>
      <w:r>
        <w:rPr>
          <w:spacing w:val="-2"/>
        </w:rPr>
        <w:t>Where:</w:t>
      </w:r>
    </w:p>
    <w:p>
      <w:pPr>
        <w:pStyle w:val="BodyText"/>
        <w:tabs>
          <w:tab w:pos="1431" w:val="left" w:leader="none"/>
          <w:tab w:pos="2151" w:val="left" w:leader="none"/>
          <w:tab w:pos="2871" w:val="left" w:leader="none"/>
        </w:tabs>
        <w:spacing w:line="432" w:lineRule="auto" w:before="221"/>
        <w:ind w:left="711" w:right="2704"/>
      </w:pPr>
      <w:r>
        <w:rPr/>
        <w:t>KF (BOP)</w:t>
        <w:tab/>
      </w:r>
      <w:r>
        <w:rPr>
          <w:spacing w:val="-10"/>
        </w:rPr>
        <w:t>=</w:t>
      </w:r>
      <w:r>
        <w:rPr/>
        <w:tab/>
        <w:t>Capital</w:t>
      </w:r>
      <w:r>
        <w:rPr>
          <w:spacing w:val="-5"/>
        </w:rPr>
        <w:t> </w:t>
      </w:r>
      <w:r>
        <w:rPr/>
        <w:t>Flight</w:t>
      </w:r>
      <w:r>
        <w:rPr>
          <w:spacing w:val="-5"/>
        </w:rPr>
        <w:t> </w:t>
      </w:r>
      <w:r>
        <w:rPr/>
        <w:t>measured</w:t>
      </w:r>
      <w:r>
        <w:rPr>
          <w:spacing w:val="-3"/>
        </w:rPr>
        <w:t> </w:t>
      </w:r>
      <w:r>
        <w:rPr/>
        <w:t>by</w:t>
      </w:r>
      <w:r>
        <w:rPr>
          <w:spacing w:val="-9"/>
        </w:rPr>
        <w:t> </w:t>
      </w:r>
      <w:r>
        <w:rPr/>
        <w:t>the</w:t>
      </w:r>
      <w:r>
        <w:rPr>
          <w:spacing w:val="-4"/>
        </w:rPr>
        <w:t> </w:t>
      </w:r>
      <w:r>
        <w:rPr/>
        <w:t>Balance</w:t>
      </w:r>
      <w:r>
        <w:rPr>
          <w:spacing w:val="-6"/>
        </w:rPr>
        <w:t> </w:t>
      </w:r>
      <w:r>
        <w:rPr/>
        <w:t>of</w:t>
      </w:r>
      <w:r>
        <w:rPr>
          <w:spacing w:val="-5"/>
        </w:rPr>
        <w:t> </w:t>
      </w:r>
      <w:r>
        <w:rPr/>
        <w:t>Payments</w:t>
      </w:r>
      <w:r>
        <w:rPr>
          <w:spacing w:val="-5"/>
        </w:rPr>
        <w:t> </w:t>
      </w:r>
      <w:r>
        <w:rPr/>
        <w:t>Approach </w:t>
      </w:r>
      <w:r>
        <w:rPr>
          <w:spacing w:val="-10"/>
        </w:rPr>
        <w:t>K</w:t>
      </w:r>
      <w:r>
        <w:rPr/>
        <w:tab/>
      </w:r>
      <w:r>
        <w:rPr>
          <w:spacing w:val="-10"/>
        </w:rPr>
        <w:t>=</w:t>
      </w:r>
      <w:r>
        <w:rPr/>
        <w:tab/>
        <w:t>Sum of recorded short term capital outflows</w:t>
      </w:r>
    </w:p>
    <w:p>
      <w:pPr>
        <w:pStyle w:val="BodyText"/>
        <w:tabs>
          <w:tab w:pos="1431" w:val="left" w:leader="none"/>
          <w:tab w:pos="2151" w:val="left" w:leader="none"/>
        </w:tabs>
        <w:ind w:left="711"/>
      </w:pPr>
      <w:r>
        <w:rPr>
          <w:spacing w:val="-10"/>
        </w:rPr>
        <w:t>M</w:t>
      </w:r>
      <w:r>
        <w:rPr/>
        <w:tab/>
      </w:r>
      <w:r>
        <w:rPr>
          <w:spacing w:val="-10"/>
        </w:rPr>
        <w:t>=</w:t>
      </w:r>
      <w:r>
        <w:rPr/>
        <w:tab/>
        <w:t>Sum</w:t>
      </w:r>
      <w:r>
        <w:rPr>
          <w:spacing w:val="-3"/>
        </w:rPr>
        <w:t> </w:t>
      </w:r>
      <w:r>
        <w:rPr/>
        <w:t>of</w:t>
      </w:r>
      <w:r>
        <w:rPr>
          <w:spacing w:val="-1"/>
        </w:rPr>
        <w:t> </w:t>
      </w:r>
      <w:r>
        <w:rPr/>
        <w:t>unrecorded net</w:t>
      </w:r>
      <w:r>
        <w:rPr>
          <w:spacing w:val="-1"/>
        </w:rPr>
        <w:t> </w:t>
      </w:r>
      <w:r>
        <w:rPr/>
        <w:t>flows</w:t>
      </w:r>
      <w:r>
        <w:rPr>
          <w:spacing w:val="-1"/>
        </w:rPr>
        <w:t> </w:t>
      </w:r>
      <w:r>
        <w:rPr/>
        <w:t>or</w:t>
      </w:r>
      <w:r>
        <w:rPr>
          <w:spacing w:val="-1"/>
        </w:rPr>
        <w:t> </w:t>
      </w:r>
      <w:r>
        <w:rPr/>
        <w:t>net</w:t>
      </w:r>
      <w:r>
        <w:rPr>
          <w:spacing w:val="-1"/>
        </w:rPr>
        <w:t> </w:t>
      </w:r>
      <w:r>
        <w:rPr/>
        <w:t>errors</w:t>
      </w:r>
      <w:r>
        <w:rPr>
          <w:spacing w:val="-1"/>
        </w:rPr>
        <w:t> </w:t>
      </w:r>
      <w:r>
        <w:rPr/>
        <w:t>and </w:t>
      </w:r>
      <w:r>
        <w:rPr>
          <w:spacing w:val="-2"/>
        </w:rPr>
        <w:t>omission</w:t>
      </w:r>
    </w:p>
    <w:p>
      <w:pPr>
        <w:spacing w:after="0"/>
        <w:sectPr>
          <w:pgSz w:w="11910" w:h="16840"/>
          <w:pgMar w:header="0" w:footer="979" w:top="1360" w:bottom="1240" w:left="280" w:right="0"/>
        </w:sectPr>
      </w:pPr>
    </w:p>
    <w:p>
      <w:pPr>
        <w:pStyle w:val="BodyText"/>
        <w:spacing w:line="432" w:lineRule="auto" w:before="60"/>
        <w:ind w:left="711" w:right="472" w:firstLine="60"/>
        <w:jc w:val="both"/>
      </w:pPr>
      <w:r>
        <w:rPr/>
        <w:t>Cuddington (1986) observed that private short-term capital movement is either imprecisely reported or not reported at all especially in countries which impose capital controls. The failure to precisely record short- term flows show up in net errors and omissions of the countries balance of payments.</w:t>
      </w:r>
    </w:p>
    <w:p>
      <w:pPr>
        <w:pStyle w:val="Heading6"/>
        <w:numPr>
          <w:ilvl w:val="0"/>
          <w:numId w:val="11"/>
        </w:numPr>
        <w:tabs>
          <w:tab w:pos="1431" w:val="left" w:leader="none"/>
        </w:tabs>
        <w:spacing w:line="240" w:lineRule="auto" w:before="1" w:after="0"/>
        <w:ind w:left="1431" w:right="0" w:hanging="720"/>
        <w:jc w:val="both"/>
        <w:rPr>
          <w:b w:val="0"/>
        </w:rPr>
      </w:pPr>
      <w:r>
        <w:rPr/>
        <w:t>The</w:t>
      </w:r>
      <w:r>
        <w:rPr>
          <w:spacing w:val="-2"/>
        </w:rPr>
        <w:t> </w:t>
      </w:r>
      <w:r>
        <w:rPr/>
        <w:t>Residual </w:t>
      </w:r>
      <w:r>
        <w:rPr>
          <w:spacing w:val="-2"/>
        </w:rPr>
        <w:t>Approach</w:t>
      </w:r>
    </w:p>
    <w:p>
      <w:pPr>
        <w:pStyle w:val="BodyText"/>
        <w:spacing w:line="432" w:lineRule="auto" w:before="221"/>
        <w:ind w:left="711" w:right="468"/>
        <w:jc w:val="both"/>
      </w:pPr>
      <w:r>
        <w:rPr/>
        <w:t>The residual approach consists of two versions namely: the World Bank and Erbe (1985) version and the Morgan Guaranty Trust (1986) version. In the World Bank and Erbe (1985) version of the residual</w:t>
      </w:r>
      <w:r>
        <w:rPr>
          <w:spacing w:val="40"/>
        </w:rPr>
        <w:t> </w:t>
      </w:r>
      <w:r>
        <w:rPr/>
        <w:t>approach, capital flight is defined as the difference between sources and uses of capital inflows and the source of capital inflows are increases in external debt and foreign direct investment. These capital inflows are used to finance either current account deficits or increase in official reserves. The inflows that finance neither current account deficits nor increases in reserve constitute capital flight. In essence, capital flight in the World Bank and Erbe (1985) version of the residual approach is measure as:</w:t>
      </w:r>
    </w:p>
    <w:p>
      <w:pPr>
        <w:tabs>
          <w:tab w:pos="9863" w:val="left" w:leader="dot"/>
        </w:tabs>
        <w:spacing w:line="270" w:lineRule="exact" w:before="0"/>
        <w:ind w:left="755" w:right="0" w:firstLine="0"/>
        <w:jc w:val="both"/>
        <w:rPr>
          <w:sz w:val="23"/>
        </w:rPr>
      </w:pPr>
      <w:r>
        <w:rPr>
          <w:i/>
          <w:w w:val="105"/>
          <w:sz w:val="23"/>
        </w:rPr>
        <w:t>KF</w:t>
      </w:r>
      <w:r>
        <w:rPr>
          <w:w w:val="105"/>
          <w:sz w:val="23"/>
        </w:rPr>
        <w:t>(</w:t>
      </w:r>
      <w:r>
        <w:rPr>
          <w:i/>
          <w:w w:val="105"/>
          <w:sz w:val="23"/>
        </w:rPr>
        <w:t>WB</w:t>
      </w:r>
      <w:r>
        <w:rPr>
          <w:w w:val="105"/>
          <w:sz w:val="23"/>
        </w:rPr>
        <w:t>)</w:t>
      </w:r>
      <w:r>
        <w:rPr>
          <w:spacing w:val="-10"/>
          <w:w w:val="105"/>
          <w:sz w:val="23"/>
        </w:rPr>
        <w:t> </w:t>
      </w:r>
      <w:r>
        <w:rPr>
          <w:rFonts w:ascii="Symbol" w:hAnsi="Symbol"/>
          <w:w w:val="105"/>
          <w:sz w:val="23"/>
        </w:rPr>
        <w:t></w:t>
      </w:r>
      <w:r>
        <w:rPr>
          <w:spacing w:val="-15"/>
          <w:w w:val="105"/>
          <w:sz w:val="23"/>
        </w:rPr>
        <w:t> </w:t>
      </w:r>
      <w:r>
        <w:rPr>
          <w:rFonts w:ascii="Symbol" w:hAnsi="Symbol"/>
          <w:w w:val="105"/>
          <w:sz w:val="24"/>
        </w:rPr>
        <w:t></w:t>
      </w:r>
      <w:r>
        <w:rPr>
          <w:i/>
          <w:w w:val="105"/>
          <w:sz w:val="23"/>
        </w:rPr>
        <w:t>EXDEBT</w:t>
      </w:r>
      <w:r>
        <w:rPr>
          <w:i/>
          <w:spacing w:val="16"/>
          <w:w w:val="105"/>
          <w:sz w:val="23"/>
        </w:rPr>
        <w:t> </w:t>
      </w:r>
      <w:r>
        <w:rPr>
          <w:rFonts w:ascii="Symbol" w:hAnsi="Symbol"/>
          <w:w w:val="105"/>
          <w:sz w:val="23"/>
        </w:rPr>
        <w:t></w:t>
      </w:r>
      <w:r>
        <w:rPr>
          <w:spacing w:val="-19"/>
          <w:w w:val="105"/>
          <w:sz w:val="23"/>
        </w:rPr>
        <w:t> </w:t>
      </w:r>
      <w:r>
        <w:rPr>
          <w:i/>
          <w:w w:val="105"/>
          <w:sz w:val="23"/>
        </w:rPr>
        <w:t>G</w:t>
      </w:r>
      <w:r>
        <w:rPr>
          <w:i/>
          <w:spacing w:val="-12"/>
          <w:w w:val="105"/>
          <w:sz w:val="23"/>
        </w:rPr>
        <w:t> </w:t>
      </w:r>
      <w:r>
        <w:rPr>
          <w:rFonts w:ascii="Symbol" w:hAnsi="Symbol"/>
          <w:w w:val="105"/>
          <w:sz w:val="23"/>
        </w:rPr>
        <w:t></w:t>
      </w:r>
      <w:r>
        <w:rPr>
          <w:spacing w:val="-7"/>
          <w:w w:val="105"/>
          <w:sz w:val="23"/>
        </w:rPr>
        <w:t> </w:t>
      </w:r>
      <w:r>
        <w:rPr>
          <w:i/>
          <w:w w:val="105"/>
          <w:sz w:val="23"/>
        </w:rPr>
        <w:t>F</w:t>
      </w:r>
      <w:r>
        <w:rPr>
          <w:i/>
          <w:spacing w:val="3"/>
          <w:w w:val="105"/>
          <w:sz w:val="23"/>
        </w:rPr>
        <w:t> </w:t>
      </w:r>
      <w:r>
        <w:rPr>
          <w:rFonts w:ascii="Symbol" w:hAnsi="Symbol"/>
          <w:w w:val="105"/>
          <w:sz w:val="23"/>
        </w:rPr>
        <w:t></w:t>
      </w:r>
      <w:r>
        <w:rPr>
          <w:spacing w:val="-6"/>
          <w:w w:val="105"/>
          <w:sz w:val="23"/>
        </w:rPr>
        <w:t> </w:t>
      </w:r>
      <w:r>
        <w:rPr>
          <w:i/>
          <w:spacing w:val="-10"/>
          <w:w w:val="105"/>
          <w:sz w:val="23"/>
        </w:rPr>
        <w:t>N</w:t>
      </w:r>
      <w:r>
        <w:rPr>
          <w:i/>
          <w:sz w:val="23"/>
        </w:rPr>
        <w:tab/>
      </w:r>
      <w:r>
        <w:rPr>
          <w:spacing w:val="-2"/>
          <w:w w:val="105"/>
          <w:sz w:val="23"/>
        </w:rPr>
        <w:t>(2.2)</w:t>
      </w:r>
    </w:p>
    <w:p>
      <w:pPr>
        <w:pStyle w:val="BodyText"/>
        <w:spacing w:before="46"/>
        <w:rPr>
          <w:sz w:val="20"/>
        </w:rPr>
      </w:pPr>
    </w:p>
    <w:tbl>
      <w:tblPr>
        <w:tblW w:w="0" w:type="auto"/>
        <w:jc w:val="left"/>
        <w:tblInd w:w="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69"/>
        <w:gridCol w:w="650"/>
        <w:gridCol w:w="5599"/>
      </w:tblGrid>
      <w:tr>
        <w:trPr>
          <w:trHeight w:val="381" w:hRule="atLeast"/>
        </w:trPr>
        <w:tc>
          <w:tcPr>
            <w:tcW w:w="1269" w:type="dxa"/>
          </w:tcPr>
          <w:p>
            <w:pPr>
              <w:pStyle w:val="TableParagraph"/>
              <w:spacing w:line="266" w:lineRule="exact"/>
              <w:ind w:left="50"/>
              <w:rPr>
                <w:sz w:val="24"/>
              </w:rPr>
            </w:pPr>
            <w:r>
              <w:rPr>
                <w:spacing w:val="-2"/>
                <w:sz w:val="24"/>
              </w:rPr>
              <w:t>Where:</w:t>
            </w:r>
          </w:p>
        </w:tc>
        <w:tc>
          <w:tcPr>
            <w:tcW w:w="6249" w:type="dxa"/>
            <w:gridSpan w:val="2"/>
          </w:tcPr>
          <w:p>
            <w:pPr>
              <w:pStyle w:val="TableParagraph"/>
              <w:rPr>
                <w:sz w:val="24"/>
              </w:rPr>
            </w:pPr>
          </w:p>
        </w:tc>
      </w:tr>
      <w:tr>
        <w:trPr>
          <w:trHeight w:val="474" w:hRule="atLeast"/>
        </w:trPr>
        <w:tc>
          <w:tcPr>
            <w:tcW w:w="1269" w:type="dxa"/>
          </w:tcPr>
          <w:p>
            <w:pPr>
              <w:pStyle w:val="TableParagraph"/>
              <w:spacing w:before="105"/>
              <w:ind w:left="50"/>
              <w:rPr>
                <w:sz w:val="24"/>
              </w:rPr>
            </w:pPr>
            <w:r>
              <w:rPr>
                <w:sz w:val="24"/>
              </w:rPr>
              <w:t>KF</w:t>
            </w:r>
            <w:r>
              <w:rPr>
                <w:spacing w:val="-2"/>
                <w:sz w:val="24"/>
              </w:rPr>
              <w:t> </w:t>
            </w:r>
            <w:r>
              <w:rPr>
                <w:spacing w:val="-4"/>
                <w:sz w:val="24"/>
              </w:rPr>
              <w:t>(WB)</w:t>
            </w:r>
          </w:p>
        </w:tc>
        <w:tc>
          <w:tcPr>
            <w:tcW w:w="650" w:type="dxa"/>
          </w:tcPr>
          <w:p>
            <w:pPr>
              <w:pStyle w:val="TableParagraph"/>
              <w:spacing w:before="105"/>
              <w:ind w:left="221"/>
              <w:rPr>
                <w:sz w:val="24"/>
              </w:rPr>
            </w:pPr>
            <w:r>
              <w:rPr>
                <w:spacing w:val="-10"/>
                <w:sz w:val="24"/>
              </w:rPr>
              <w:t>=</w:t>
            </w:r>
          </w:p>
        </w:tc>
        <w:tc>
          <w:tcPr>
            <w:tcW w:w="5599" w:type="dxa"/>
          </w:tcPr>
          <w:p>
            <w:pPr>
              <w:pStyle w:val="TableParagraph"/>
              <w:spacing w:before="105"/>
              <w:ind w:left="351"/>
              <w:rPr>
                <w:sz w:val="24"/>
              </w:rPr>
            </w:pPr>
            <w:r>
              <w:rPr>
                <w:sz w:val="24"/>
              </w:rPr>
              <w:t>Capital</w:t>
            </w:r>
            <w:r>
              <w:rPr>
                <w:spacing w:val="-1"/>
                <w:sz w:val="24"/>
              </w:rPr>
              <w:t> </w:t>
            </w:r>
            <w:r>
              <w:rPr>
                <w:sz w:val="24"/>
              </w:rPr>
              <w:t>Flight</w:t>
            </w:r>
            <w:r>
              <w:rPr>
                <w:spacing w:val="-1"/>
                <w:sz w:val="24"/>
              </w:rPr>
              <w:t> </w:t>
            </w:r>
            <w:r>
              <w:rPr>
                <w:sz w:val="24"/>
              </w:rPr>
              <w:t>measured by</w:t>
            </w:r>
            <w:r>
              <w:rPr>
                <w:spacing w:val="-5"/>
                <w:sz w:val="24"/>
              </w:rPr>
              <w:t> </w:t>
            </w:r>
            <w:r>
              <w:rPr>
                <w:sz w:val="24"/>
              </w:rPr>
              <w:t>the</w:t>
            </w:r>
            <w:r>
              <w:rPr>
                <w:spacing w:val="-1"/>
                <w:sz w:val="24"/>
              </w:rPr>
              <w:t> </w:t>
            </w:r>
            <w:r>
              <w:rPr>
                <w:sz w:val="24"/>
              </w:rPr>
              <w:t>World</w:t>
            </w:r>
            <w:r>
              <w:rPr>
                <w:spacing w:val="2"/>
                <w:sz w:val="24"/>
              </w:rPr>
              <w:t> </w:t>
            </w:r>
            <w:r>
              <w:rPr>
                <w:sz w:val="24"/>
              </w:rPr>
              <w:t>Bank</w:t>
            </w:r>
            <w:r>
              <w:rPr>
                <w:spacing w:val="-1"/>
                <w:sz w:val="24"/>
              </w:rPr>
              <w:t> </w:t>
            </w:r>
            <w:r>
              <w:rPr>
                <w:spacing w:val="-2"/>
                <w:sz w:val="24"/>
              </w:rPr>
              <w:t>approach,</w:t>
            </w:r>
          </w:p>
        </w:tc>
      </w:tr>
      <w:tr>
        <w:trPr>
          <w:trHeight w:val="529" w:hRule="atLeast"/>
        </w:trPr>
        <w:tc>
          <w:tcPr>
            <w:tcW w:w="1269" w:type="dxa"/>
          </w:tcPr>
          <w:p>
            <w:pPr>
              <w:pStyle w:val="TableParagraph"/>
              <w:spacing w:before="95"/>
              <w:ind w:left="73"/>
              <w:rPr>
                <w:sz w:val="24"/>
              </w:rPr>
            </w:pPr>
            <w:r>
              <w:rPr>
                <w:rFonts w:ascii="Symbol" w:hAnsi="Symbol"/>
                <w:sz w:val="26"/>
              </w:rPr>
              <w:t></w:t>
            </w:r>
            <w:r>
              <w:rPr>
                <w:spacing w:val="7"/>
                <w:sz w:val="26"/>
              </w:rPr>
              <w:t> </w:t>
            </w:r>
            <w:r>
              <w:rPr>
                <w:spacing w:val="-2"/>
                <w:sz w:val="24"/>
              </w:rPr>
              <w:t>EDEBT</w:t>
            </w:r>
          </w:p>
        </w:tc>
        <w:tc>
          <w:tcPr>
            <w:tcW w:w="650" w:type="dxa"/>
          </w:tcPr>
          <w:p>
            <w:pPr>
              <w:pStyle w:val="TableParagraph"/>
              <w:spacing w:before="130"/>
              <w:ind w:left="221"/>
              <w:rPr>
                <w:sz w:val="24"/>
              </w:rPr>
            </w:pPr>
            <w:r>
              <w:rPr>
                <w:spacing w:val="-10"/>
                <w:sz w:val="24"/>
              </w:rPr>
              <w:t>=</w:t>
            </w:r>
          </w:p>
        </w:tc>
        <w:tc>
          <w:tcPr>
            <w:tcW w:w="5599" w:type="dxa"/>
          </w:tcPr>
          <w:p>
            <w:pPr>
              <w:pStyle w:val="TableParagraph"/>
              <w:spacing w:before="130"/>
              <w:ind w:left="291"/>
              <w:rPr>
                <w:sz w:val="24"/>
              </w:rPr>
            </w:pPr>
            <w:r>
              <w:rPr>
                <w:sz w:val="24"/>
              </w:rPr>
              <w:t>Changes</w:t>
            </w:r>
            <w:r>
              <w:rPr>
                <w:spacing w:val="-4"/>
                <w:sz w:val="24"/>
              </w:rPr>
              <w:t> </w:t>
            </w:r>
            <w:r>
              <w:rPr>
                <w:sz w:val="24"/>
              </w:rPr>
              <w:t>in</w:t>
            </w:r>
            <w:r>
              <w:rPr>
                <w:spacing w:val="-2"/>
                <w:sz w:val="24"/>
              </w:rPr>
              <w:t> </w:t>
            </w:r>
            <w:r>
              <w:rPr>
                <w:sz w:val="24"/>
              </w:rPr>
              <w:t>External</w:t>
            </w:r>
            <w:r>
              <w:rPr>
                <w:spacing w:val="-2"/>
                <w:sz w:val="24"/>
              </w:rPr>
              <w:t> </w:t>
            </w:r>
            <w:r>
              <w:rPr>
                <w:spacing w:val="-4"/>
                <w:sz w:val="24"/>
              </w:rPr>
              <w:t>Debt.</w:t>
            </w:r>
          </w:p>
        </w:tc>
      </w:tr>
      <w:tr>
        <w:trPr>
          <w:trHeight w:val="507" w:hRule="atLeast"/>
        </w:trPr>
        <w:tc>
          <w:tcPr>
            <w:tcW w:w="1269" w:type="dxa"/>
          </w:tcPr>
          <w:p>
            <w:pPr>
              <w:pStyle w:val="TableParagraph"/>
              <w:spacing w:before="104"/>
              <w:ind w:left="50"/>
              <w:rPr>
                <w:sz w:val="24"/>
              </w:rPr>
            </w:pPr>
            <w:r>
              <w:rPr>
                <w:spacing w:val="-10"/>
                <w:sz w:val="24"/>
              </w:rPr>
              <w:t>G</w:t>
            </w:r>
          </w:p>
        </w:tc>
        <w:tc>
          <w:tcPr>
            <w:tcW w:w="650" w:type="dxa"/>
          </w:tcPr>
          <w:p>
            <w:pPr>
              <w:pStyle w:val="TableParagraph"/>
              <w:spacing w:before="104"/>
              <w:ind w:left="221"/>
              <w:rPr>
                <w:sz w:val="24"/>
              </w:rPr>
            </w:pPr>
            <w:r>
              <w:rPr>
                <w:spacing w:val="-10"/>
                <w:sz w:val="24"/>
              </w:rPr>
              <w:t>=</w:t>
            </w:r>
          </w:p>
        </w:tc>
        <w:tc>
          <w:tcPr>
            <w:tcW w:w="5599" w:type="dxa"/>
          </w:tcPr>
          <w:p>
            <w:pPr>
              <w:pStyle w:val="TableParagraph"/>
              <w:spacing w:before="104"/>
              <w:ind w:left="291"/>
              <w:rPr>
                <w:sz w:val="24"/>
              </w:rPr>
            </w:pPr>
            <w:r>
              <w:rPr>
                <w:sz w:val="24"/>
              </w:rPr>
              <w:t>Foreign</w:t>
            </w:r>
            <w:r>
              <w:rPr>
                <w:spacing w:val="-3"/>
                <w:sz w:val="24"/>
              </w:rPr>
              <w:t> </w:t>
            </w:r>
            <w:r>
              <w:rPr>
                <w:sz w:val="24"/>
              </w:rPr>
              <w:t>Direct</w:t>
            </w:r>
            <w:r>
              <w:rPr>
                <w:spacing w:val="-1"/>
                <w:sz w:val="24"/>
              </w:rPr>
              <w:t> </w:t>
            </w:r>
            <w:r>
              <w:rPr>
                <w:spacing w:val="-2"/>
                <w:sz w:val="24"/>
              </w:rPr>
              <w:t>Investment</w:t>
            </w:r>
          </w:p>
        </w:tc>
      </w:tr>
      <w:tr>
        <w:trPr>
          <w:trHeight w:val="531" w:hRule="atLeast"/>
        </w:trPr>
        <w:tc>
          <w:tcPr>
            <w:tcW w:w="1269" w:type="dxa"/>
          </w:tcPr>
          <w:p>
            <w:pPr>
              <w:pStyle w:val="TableParagraph"/>
              <w:spacing w:before="116"/>
              <w:ind w:left="50"/>
              <w:rPr>
                <w:sz w:val="24"/>
              </w:rPr>
            </w:pPr>
            <w:r>
              <w:rPr>
                <w:spacing w:val="-10"/>
                <w:sz w:val="24"/>
              </w:rPr>
              <w:t>F</w:t>
            </w:r>
          </w:p>
        </w:tc>
        <w:tc>
          <w:tcPr>
            <w:tcW w:w="650" w:type="dxa"/>
          </w:tcPr>
          <w:p>
            <w:pPr>
              <w:pStyle w:val="TableParagraph"/>
              <w:spacing w:before="116"/>
              <w:ind w:left="221"/>
              <w:rPr>
                <w:sz w:val="24"/>
              </w:rPr>
            </w:pPr>
            <w:r>
              <w:rPr>
                <w:spacing w:val="-10"/>
                <w:sz w:val="24"/>
              </w:rPr>
              <w:t>=</w:t>
            </w:r>
          </w:p>
        </w:tc>
        <w:tc>
          <w:tcPr>
            <w:tcW w:w="5599" w:type="dxa"/>
          </w:tcPr>
          <w:p>
            <w:pPr>
              <w:pStyle w:val="TableParagraph"/>
              <w:spacing w:before="116"/>
              <w:ind w:left="291"/>
              <w:rPr>
                <w:sz w:val="24"/>
              </w:rPr>
            </w:pPr>
            <w:r>
              <w:rPr>
                <w:sz w:val="24"/>
              </w:rPr>
              <w:t>Current</w:t>
            </w:r>
            <w:r>
              <w:rPr>
                <w:spacing w:val="-2"/>
                <w:sz w:val="24"/>
              </w:rPr>
              <w:t> </w:t>
            </w:r>
            <w:r>
              <w:rPr>
                <w:sz w:val="24"/>
              </w:rPr>
              <w:t>Account</w:t>
            </w:r>
            <w:r>
              <w:rPr>
                <w:spacing w:val="-1"/>
                <w:sz w:val="24"/>
              </w:rPr>
              <w:t> </w:t>
            </w:r>
            <w:r>
              <w:rPr>
                <w:spacing w:val="-2"/>
                <w:sz w:val="24"/>
              </w:rPr>
              <w:t>Balance</w:t>
            </w:r>
          </w:p>
        </w:tc>
      </w:tr>
      <w:tr>
        <w:trPr>
          <w:trHeight w:val="405" w:hRule="atLeast"/>
        </w:trPr>
        <w:tc>
          <w:tcPr>
            <w:tcW w:w="1269" w:type="dxa"/>
          </w:tcPr>
          <w:p>
            <w:pPr>
              <w:pStyle w:val="TableParagraph"/>
              <w:spacing w:line="256" w:lineRule="exact" w:before="129"/>
              <w:ind w:left="50"/>
              <w:rPr>
                <w:sz w:val="24"/>
              </w:rPr>
            </w:pPr>
            <w:r>
              <w:rPr>
                <w:spacing w:val="-10"/>
                <w:sz w:val="24"/>
              </w:rPr>
              <w:t>N</w:t>
            </w:r>
          </w:p>
        </w:tc>
        <w:tc>
          <w:tcPr>
            <w:tcW w:w="650" w:type="dxa"/>
          </w:tcPr>
          <w:p>
            <w:pPr>
              <w:pStyle w:val="TableParagraph"/>
              <w:spacing w:line="256" w:lineRule="exact" w:before="129"/>
              <w:ind w:left="221"/>
              <w:rPr>
                <w:sz w:val="24"/>
              </w:rPr>
            </w:pPr>
            <w:r>
              <w:rPr>
                <w:spacing w:val="-10"/>
                <w:sz w:val="24"/>
              </w:rPr>
              <w:t>=</w:t>
            </w:r>
          </w:p>
        </w:tc>
        <w:tc>
          <w:tcPr>
            <w:tcW w:w="5599" w:type="dxa"/>
          </w:tcPr>
          <w:p>
            <w:pPr>
              <w:pStyle w:val="TableParagraph"/>
              <w:spacing w:line="256" w:lineRule="exact" w:before="129"/>
              <w:ind w:left="291"/>
              <w:rPr>
                <w:sz w:val="24"/>
              </w:rPr>
            </w:pPr>
            <w:r>
              <w:rPr>
                <w:sz w:val="24"/>
              </w:rPr>
              <w:t>Change</w:t>
            </w:r>
            <w:r>
              <w:rPr>
                <w:spacing w:val="-3"/>
                <w:sz w:val="24"/>
              </w:rPr>
              <w:t> </w:t>
            </w:r>
            <w:r>
              <w:rPr>
                <w:sz w:val="24"/>
              </w:rPr>
              <w:t>in</w:t>
            </w:r>
            <w:r>
              <w:rPr>
                <w:spacing w:val="-1"/>
                <w:sz w:val="24"/>
              </w:rPr>
              <w:t> </w:t>
            </w:r>
            <w:r>
              <w:rPr>
                <w:spacing w:val="-2"/>
                <w:sz w:val="24"/>
              </w:rPr>
              <w:t>Reserve</w:t>
            </w:r>
          </w:p>
        </w:tc>
      </w:tr>
    </w:tbl>
    <w:p>
      <w:pPr>
        <w:pStyle w:val="BodyText"/>
        <w:spacing w:line="429" w:lineRule="auto" w:before="223"/>
        <w:ind w:left="711" w:right="471"/>
        <w:jc w:val="both"/>
      </w:pPr>
      <w:r>
        <w:rPr/>
        <w:t>Positive value of KF (WB) represents capital flight while negative value is capital re-flows or the reverse capital flight.</w:t>
      </w:r>
    </w:p>
    <w:p>
      <w:pPr>
        <w:pStyle w:val="BodyText"/>
        <w:spacing w:line="432" w:lineRule="auto" w:before="3"/>
        <w:ind w:left="711" w:right="472"/>
        <w:jc w:val="both"/>
      </w:pPr>
      <w:r>
        <w:rPr/>
        <w:t>Morgan Trust (1986) approach rose out of the feeling that the balance of payments accounts were not sufficient to estimate resident capital outflows. The approach adjusts the World Bank (1985) measure for changes in foreign assets held by</w:t>
      </w:r>
      <w:r>
        <w:rPr>
          <w:spacing w:val="-5"/>
        </w:rPr>
        <w:t> </w:t>
      </w:r>
      <w:r>
        <w:rPr/>
        <w:t>domestic</w:t>
      </w:r>
      <w:r>
        <w:rPr>
          <w:spacing w:val="-1"/>
        </w:rPr>
        <w:t> </w:t>
      </w:r>
      <w:r>
        <w:rPr/>
        <w:t>agents other</w:t>
      </w:r>
      <w:r>
        <w:rPr>
          <w:spacing w:val="-2"/>
        </w:rPr>
        <w:t> </w:t>
      </w:r>
      <w:r>
        <w:rPr/>
        <w:t>than</w:t>
      </w:r>
      <w:r>
        <w:rPr>
          <w:spacing w:val="-1"/>
        </w:rPr>
        <w:t> </w:t>
      </w:r>
      <w:r>
        <w:rPr/>
        <w:t>the</w:t>
      </w:r>
      <w:r>
        <w:rPr>
          <w:spacing w:val="-1"/>
        </w:rPr>
        <w:t> </w:t>
      </w:r>
      <w:r>
        <w:rPr/>
        <w:t>banking</w:t>
      </w:r>
      <w:r>
        <w:rPr>
          <w:spacing w:val="-3"/>
        </w:rPr>
        <w:t> </w:t>
      </w:r>
      <w:r>
        <w:rPr/>
        <w:t>system.</w:t>
      </w:r>
      <w:r>
        <w:rPr>
          <w:spacing w:val="40"/>
        </w:rPr>
        <w:t> </w:t>
      </w:r>
      <w:r>
        <w:rPr/>
        <w:t>It was further</w:t>
      </w:r>
      <w:r>
        <w:rPr>
          <w:spacing w:val="-1"/>
        </w:rPr>
        <w:t> </w:t>
      </w:r>
      <w:r>
        <w:rPr/>
        <w:t>modified by Morgan Guaranty Trust (1986).</w:t>
      </w:r>
    </w:p>
    <w:p>
      <w:pPr>
        <w:pStyle w:val="BodyText"/>
        <w:spacing w:before="1"/>
        <w:ind w:left="711"/>
        <w:jc w:val="both"/>
      </w:pPr>
      <w:r>
        <w:rPr/>
        <w:t>According</w:t>
      </w:r>
      <w:r>
        <w:rPr>
          <w:spacing w:val="-6"/>
        </w:rPr>
        <w:t> </w:t>
      </w:r>
      <w:r>
        <w:rPr/>
        <w:t>to</w:t>
      </w:r>
      <w:r>
        <w:rPr>
          <w:spacing w:val="-1"/>
        </w:rPr>
        <w:t> </w:t>
      </w:r>
      <w:r>
        <w:rPr/>
        <w:t>Morgan</w:t>
      </w:r>
      <w:r>
        <w:rPr>
          <w:spacing w:val="-1"/>
        </w:rPr>
        <w:t> </w:t>
      </w:r>
      <w:r>
        <w:rPr/>
        <w:t>Trust</w:t>
      </w:r>
      <w:r>
        <w:rPr>
          <w:spacing w:val="-1"/>
        </w:rPr>
        <w:t> </w:t>
      </w:r>
      <w:r>
        <w:rPr/>
        <w:t>(1986)</w:t>
      </w:r>
      <w:r>
        <w:rPr>
          <w:spacing w:val="-2"/>
        </w:rPr>
        <w:t> </w:t>
      </w:r>
      <w:r>
        <w:rPr/>
        <w:t>capital</w:t>
      </w:r>
      <w:r>
        <w:rPr>
          <w:spacing w:val="-1"/>
        </w:rPr>
        <w:t> </w:t>
      </w:r>
      <w:r>
        <w:rPr/>
        <w:t>flight</w:t>
      </w:r>
      <w:r>
        <w:rPr>
          <w:spacing w:val="-1"/>
        </w:rPr>
        <w:t> </w:t>
      </w:r>
      <w:r>
        <w:rPr/>
        <w:t>is</w:t>
      </w:r>
      <w:r>
        <w:rPr>
          <w:spacing w:val="-1"/>
        </w:rPr>
        <w:t> </w:t>
      </w:r>
      <w:r>
        <w:rPr/>
        <w:t>measured </w:t>
      </w:r>
      <w:r>
        <w:rPr>
          <w:spacing w:val="-5"/>
        </w:rPr>
        <w:t>as:</w:t>
      </w:r>
    </w:p>
    <w:p>
      <w:pPr>
        <w:tabs>
          <w:tab w:pos="10092" w:val="left" w:leader="dot"/>
        </w:tabs>
        <w:spacing w:before="192"/>
        <w:ind w:left="755" w:right="0" w:firstLine="0"/>
        <w:jc w:val="left"/>
        <w:rPr>
          <w:sz w:val="23"/>
        </w:rPr>
      </w:pPr>
      <w:r>
        <w:rPr>
          <w:i/>
          <w:w w:val="105"/>
          <w:sz w:val="23"/>
        </w:rPr>
        <w:t>KF</w:t>
      </w:r>
      <w:r>
        <w:rPr>
          <w:w w:val="105"/>
          <w:sz w:val="23"/>
        </w:rPr>
        <w:t>(</w:t>
      </w:r>
      <w:r>
        <w:rPr>
          <w:i/>
          <w:w w:val="105"/>
          <w:sz w:val="23"/>
        </w:rPr>
        <w:t>MORG</w:t>
      </w:r>
      <w:r>
        <w:rPr>
          <w:i/>
          <w:spacing w:val="-31"/>
          <w:w w:val="105"/>
          <w:sz w:val="23"/>
        </w:rPr>
        <w:t> </w:t>
      </w:r>
      <w:r>
        <w:rPr>
          <w:w w:val="105"/>
          <w:sz w:val="23"/>
        </w:rPr>
        <w:t>)</w:t>
      </w:r>
      <w:r>
        <w:rPr>
          <w:spacing w:val="-11"/>
          <w:w w:val="105"/>
          <w:sz w:val="23"/>
        </w:rPr>
        <w:t> </w:t>
      </w:r>
      <w:r>
        <w:rPr>
          <w:rFonts w:ascii="Symbol" w:hAnsi="Symbol"/>
          <w:w w:val="105"/>
          <w:sz w:val="23"/>
        </w:rPr>
        <w:t></w:t>
      </w:r>
      <w:r>
        <w:rPr>
          <w:spacing w:val="-15"/>
          <w:w w:val="105"/>
          <w:sz w:val="23"/>
        </w:rPr>
        <w:t> </w:t>
      </w:r>
      <w:r>
        <w:rPr>
          <w:rFonts w:ascii="Symbol" w:hAnsi="Symbol"/>
          <w:w w:val="105"/>
          <w:sz w:val="24"/>
        </w:rPr>
        <w:t></w:t>
      </w:r>
      <w:r>
        <w:rPr>
          <w:i/>
          <w:w w:val="105"/>
          <w:sz w:val="23"/>
        </w:rPr>
        <w:t>EXDEBT</w:t>
      </w:r>
      <w:r>
        <w:rPr>
          <w:i/>
          <w:spacing w:val="16"/>
          <w:w w:val="105"/>
          <w:sz w:val="23"/>
        </w:rPr>
        <w:t> </w:t>
      </w:r>
      <w:r>
        <w:rPr>
          <w:rFonts w:ascii="Symbol" w:hAnsi="Symbol"/>
          <w:w w:val="105"/>
          <w:sz w:val="23"/>
        </w:rPr>
        <w:t></w:t>
      </w:r>
      <w:r>
        <w:rPr>
          <w:spacing w:val="-19"/>
          <w:w w:val="105"/>
          <w:sz w:val="23"/>
        </w:rPr>
        <w:t> </w:t>
      </w:r>
      <w:r>
        <w:rPr>
          <w:i/>
          <w:w w:val="105"/>
          <w:sz w:val="23"/>
        </w:rPr>
        <w:t>G</w:t>
      </w:r>
      <w:r>
        <w:rPr>
          <w:i/>
          <w:spacing w:val="-11"/>
          <w:w w:val="105"/>
          <w:sz w:val="23"/>
        </w:rPr>
        <w:t> </w:t>
      </w:r>
      <w:r>
        <w:rPr>
          <w:rFonts w:ascii="Symbol" w:hAnsi="Symbol"/>
          <w:w w:val="105"/>
          <w:sz w:val="23"/>
        </w:rPr>
        <w:t></w:t>
      </w:r>
      <w:r>
        <w:rPr>
          <w:spacing w:val="-7"/>
          <w:w w:val="105"/>
          <w:sz w:val="23"/>
        </w:rPr>
        <w:t> </w:t>
      </w:r>
      <w:r>
        <w:rPr>
          <w:i/>
          <w:w w:val="105"/>
          <w:sz w:val="23"/>
        </w:rPr>
        <w:t>F</w:t>
      </w:r>
      <w:r>
        <w:rPr>
          <w:i/>
          <w:spacing w:val="4"/>
          <w:w w:val="105"/>
          <w:sz w:val="23"/>
        </w:rPr>
        <w:t> </w:t>
      </w:r>
      <w:r>
        <w:rPr>
          <w:rFonts w:ascii="Symbol" w:hAnsi="Symbol"/>
          <w:w w:val="105"/>
          <w:sz w:val="23"/>
        </w:rPr>
        <w:t></w:t>
      </w:r>
      <w:r>
        <w:rPr>
          <w:spacing w:val="-7"/>
          <w:w w:val="105"/>
          <w:sz w:val="23"/>
        </w:rPr>
        <w:t> </w:t>
      </w:r>
      <w:r>
        <w:rPr>
          <w:i/>
          <w:w w:val="105"/>
          <w:sz w:val="23"/>
        </w:rPr>
        <w:t>N</w:t>
      </w:r>
      <w:r>
        <w:rPr>
          <w:i/>
          <w:spacing w:val="5"/>
          <w:w w:val="105"/>
          <w:sz w:val="23"/>
        </w:rPr>
        <w:t> </w:t>
      </w:r>
      <w:r>
        <w:rPr>
          <w:rFonts w:ascii="Symbol" w:hAnsi="Symbol"/>
          <w:w w:val="105"/>
          <w:sz w:val="23"/>
        </w:rPr>
        <w:t></w:t>
      </w:r>
      <w:r>
        <w:rPr>
          <w:spacing w:val="-10"/>
          <w:w w:val="105"/>
          <w:sz w:val="23"/>
        </w:rPr>
        <w:t> </w:t>
      </w:r>
      <w:r>
        <w:rPr>
          <w:i/>
          <w:spacing w:val="-10"/>
          <w:w w:val="105"/>
          <w:sz w:val="23"/>
        </w:rPr>
        <w:t>I</w:t>
      </w:r>
      <w:r>
        <w:rPr>
          <w:i/>
          <w:sz w:val="23"/>
        </w:rPr>
        <w:tab/>
      </w:r>
      <w:r>
        <w:rPr>
          <w:spacing w:val="-2"/>
          <w:w w:val="105"/>
          <w:sz w:val="23"/>
        </w:rPr>
        <w:t>(2.3)</w:t>
      </w:r>
    </w:p>
    <w:p>
      <w:pPr>
        <w:pStyle w:val="BodyText"/>
        <w:spacing w:before="51"/>
        <w:ind w:left="711"/>
      </w:pPr>
      <w:r>
        <w:rPr>
          <w:spacing w:val="-2"/>
        </w:rPr>
        <w:t>Where:</w:t>
      </w:r>
    </w:p>
    <w:p>
      <w:pPr>
        <w:pStyle w:val="BodyText"/>
        <w:tabs>
          <w:tab w:pos="2871" w:val="left" w:leader="none"/>
        </w:tabs>
        <w:spacing w:before="221"/>
        <w:ind w:left="711"/>
      </w:pPr>
      <w:r>
        <w:rPr/>
        <w:t>KF</w:t>
      </w:r>
      <w:r>
        <w:rPr>
          <w:spacing w:val="-2"/>
        </w:rPr>
        <w:t> </w:t>
      </w:r>
      <w:r>
        <w:rPr/>
        <w:t>(MORG) </w:t>
      </w:r>
      <w:r>
        <w:rPr>
          <w:spacing w:val="-10"/>
        </w:rPr>
        <w:t>=</w:t>
      </w:r>
      <w:r>
        <w:rPr/>
        <w:tab/>
        <w:t>Morgan</w:t>
      </w:r>
      <w:r>
        <w:rPr>
          <w:spacing w:val="-3"/>
        </w:rPr>
        <w:t> </w:t>
      </w:r>
      <w:r>
        <w:rPr/>
        <w:t>Trust</w:t>
      </w:r>
      <w:r>
        <w:rPr>
          <w:spacing w:val="-1"/>
        </w:rPr>
        <w:t> </w:t>
      </w:r>
      <w:r>
        <w:rPr/>
        <w:t>(1986)</w:t>
      </w:r>
      <w:r>
        <w:rPr>
          <w:spacing w:val="-1"/>
        </w:rPr>
        <w:t> </w:t>
      </w:r>
      <w:r>
        <w:rPr/>
        <w:t>measure</w:t>
      </w:r>
      <w:r>
        <w:rPr>
          <w:spacing w:val="-3"/>
        </w:rPr>
        <w:t> </w:t>
      </w:r>
      <w:r>
        <w:rPr/>
        <w:t>of capital </w:t>
      </w:r>
      <w:r>
        <w:rPr>
          <w:spacing w:val="-2"/>
        </w:rPr>
        <w:t>flight</w:t>
      </w:r>
    </w:p>
    <w:p>
      <w:pPr>
        <w:pStyle w:val="BodyText"/>
        <w:tabs>
          <w:tab w:pos="1431" w:val="left" w:leader="none"/>
          <w:tab w:pos="2151" w:val="left" w:leader="none"/>
        </w:tabs>
        <w:spacing w:before="221"/>
        <w:ind w:left="711"/>
      </w:pPr>
      <w:r>
        <w:rPr>
          <w:spacing w:val="-10"/>
        </w:rPr>
        <w:t>I</w:t>
      </w:r>
      <w:r>
        <w:rPr/>
        <w:tab/>
      </w:r>
      <w:r>
        <w:rPr>
          <w:spacing w:val="-10"/>
        </w:rPr>
        <w:t>=</w:t>
      </w:r>
      <w:r>
        <w:rPr/>
        <w:tab/>
        <w:t>Increase</w:t>
      </w:r>
      <w:r>
        <w:rPr>
          <w:spacing w:val="-2"/>
        </w:rPr>
        <w:t> </w:t>
      </w:r>
      <w:r>
        <w:rPr/>
        <w:t>in</w:t>
      </w:r>
      <w:r>
        <w:rPr>
          <w:spacing w:val="-1"/>
        </w:rPr>
        <w:t> </w:t>
      </w:r>
      <w:r>
        <w:rPr/>
        <w:t>Foreign Assets</w:t>
      </w:r>
      <w:r>
        <w:rPr>
          <w:spacing w:val="-1"/>
        </w:rPr>
        <w:t> </w:t>
      </w:r>
      <w:r>
        <w:rPr/>
        <w:t>of</w:t>
      </w:r>
      <w:r>
        <w:rPr>
          <w:spacing w:val="-1"/>
        </w:rPr>
        <w:t> </w:t>
      </w:r>
      <w:r>
        <w:rPr/>
        <w:t>the</w:t>
      </w:r>
      <w:r>
        <w:rPr>
          <w:spacing w:val="-1"/>
        </w:rPr>
        <w:t> </w:t>
      </w:r>
      <w:r>
        <w:rPr/>
        <w:t>Domestic</w:t>
      </w:r>
      <w:r>
        <w:rPr>
          <w:spacing w:val="-2"/>
        </w:rPr>
        <w:t> </w:t>
      </w:r>
      <w:r>
        <w:rPr/>
        <w:t>Banking</w:t>
      </w:r>
      <w:r>
        <w:rPr>
          <w:spacing w:val="-3"/>
        </w:rPr>
        <w:t> </w:t>
      </w:r>
      <w:r>
        <w:rPr>
          <w:spacing w:val="-2"/>
        </w:rPr>
        <w:t>System</w:t>
      </w:r>
    </w:p>
    <w:p>
      <w:pPr>
        <w:spacing w:after="0"/>
        <w:sectPr>
          <w:pgSz w:w="11910" w:h="16840"/>
          <w:pgMar w:header="0" w:footer="979" w:top="1360" w:bottom="1180" w:left="280" w:right="0"/>
        </w:sectPr>
      </w:pPr>
    </w:p>
    <w:p>
      <w:pPr>
        <w:pStyle w:val="BodyText"/>
        <w:spacing w:before="60"/>
        <w:ind w:left="711"/>
        <w:jc w:val="both"/>
      </w:pPr>
      <w:r>
        <w:rPr/>
        <w:t>G,</w:t>
      </w:r>
      <w:r>
        <w:rPr>
          <w:spacing w:val="-1"/>
        </w:rPr>
        <w:t> </w:t>
      </w:r>
      <w:r>
        <w:rPr/>
        <w:t>F,</w:t>
      </w:r>
      <w:r>
        <w:rPr>
          <w:spacing w:val="-1"/>
        </w:rPr>
        <w:t> </w:t>
      </w:r>
      <w:r>
        <w:rPr/>
        <w:t>and N are</w:t>
      </w:r>
      <w:r>
        <w:rPr>
          <w:spacing w:val="-1"/>
        </w:rPr>
        <w:t> </w:t>
      </w:r>
      <w:r>
        <w:rPr/>
        <w:t>as</w:t>
      </w:r>
      <w:r>
        <w:rPr>
          <w:spacing w:val="-1"/>
        </w:rPr>
        <w:t> </w:t>
      </w:r>
      <w:r>
        <w:rPr/>
        <w:t>defined in</w:t>
      </w:r>
      <w:r>
        <w:rPr>
          <w:spacing w:val="-1"/>
        </w:rPr>
        <w:t> </w:t>
      </w:r>
      <w:r>
        <w:rPr/>
        <w:t>equation </w:t>
      </w:r>
      <w:r>
        <w:rPr>
          <w:spacing w:val="-5"/>
        </w:rPr>
        <w:t>(2)</w:t>
      </w:r>
    </w:p>
    <w:p>
      <w:pPr>
        <w:pStyle w:val="BodyText"/>
        <w:spacing w:line="432" w:lineRule="auto" w:before="222"/>
        <w:ind w:left="711" w:right="480"/>
        <w:jc w:val="both"/>
      </w:pPr>
      <w:r>
        <w:rPr/>
        <w:t>As usual in residual measures of capital flight, negative values of KF (MORG) are capital</w:t>
      </w:r>
      <w:r>
        <w:rPr>
          <w:spacing w:val="80"/>
          <w:w w:val="150"/>
        </w:rPr>
        <w:t> </w:t>
      </w:r>
      <w:r>
        <w:rPr/>
        <w:t>reflows while positive values are capital flight.</w:t>
      </w:r>
    </w:p>
    <w:p>
      <w:pPr>
        <w:pStyle w:val="Heading6"/>
        <w:numPr>
          <w:ilvl w:val="0"/>
          <w:numId w:val="11"/>
        </w:numPr>
        <w:tabs>
          <w:tab w:pos="1430" w:val="left" w:leader="none"/>
        </w:tabs>
        <w:spacing w:line="240" w:lineRule="auto" w:before="0" w:after="0"/>
        <w:ind w:left="1430" w:right="0" w:hanging="719"/>
        <w:jc w:val="both"/>
      </w:pPr>
      <w:r>
        <w:rPr/>
        <w:t>Bank</w:t>
      </w:r>
      <w:r>
        <w:rPr>
          <w:spacing w:val="-1"/>
        </w:rPr>
        <w:t> </w:t>
      </w:r>
      <w:r>
        <w:rPr/>
        <w:t>Deposits</w:t>
      </w:r>
      <w:r>
        <w:rPr>
          <w:spacing w:val="-1"/>
        </w:rPr>
        <w:t> </w:t>
      </w:r>
      <w:r>
        <w:rPr>
          <w:spacing w:val="-2"/>
        </w:rPr>
        <w:t>Approach</w:t>
      </w:r>
    </w:p>
    <w:p>
      <w:pPr>
        <w:pStyle w:val="BodyText"/>
        <w:spacing w:line="432" w:lineRule="auto" w:before="221"/>
        <w:ind w:left="711" w:right="471"/>
        <w:jc w:val="both"/>
      </w:pPr>
      <w:r>
        <w:rPr/>
        <w:t>The third approach to the definition and measurement of resident capital outflows involves measuring the increase</w:t>
      </w:r>
      <w:r>
        <w:rPr>
          <w:spacing w:val="-1"/>
        </w:rPr>
        <w:t> </w:t>
      </w:r>
      <w:r>
        <w:rPr/>
        <w:t>in recorded foreign bank deposits of</w:t>
      </w:r>
      <w:r>
        <w:rPr>
          <w:spacing w:val="-1"/>
        </w:rPr>
        <w:t> </w:t>
      </w:r>
      <w:r>
        <w:rPr/>
        <w:t>a country’s residents. However,</w:t>
      </w:r>
      <w:r>
        <w:rPr>
          <w:spacing w:val="-1"/>
        </w:rPr>
        <w:t> </w:t>
      </w:r>
      <w:r>
        <w:rPr/>
        <w:t>this is a controversial measure since even if there are statistical sources which distinguish between official and private holdings; it cannot be argued convincingly that all private funds held abroad are recorded by the relevant authorities. The difficulties in compiling the bank deposits data is compounded by the fact that some funds are deposited in bank which are not reported to the IMF or other relevant authorities while others may be held in non-bank foreign assets. Another problem arises from the desire of the depositors to conceal their nationality in order to minimize any potential risk they may perceive. Consequently, foreign bank deposits owned by a</w:t>
      </w:r>
      <w:r>
        <w:rPr>
          <w:spacing w:val="40"/>
        </w:rPr>
        <w:t> </w:t>
      </w:r>
      <w:r>
        <w:rPr/>
        <w:t>country’s residents are likely to under estimate resident capital outflows.</w:t>
      </w:r>
    </w:p>
    <w:p>
      <w:pPr>
        <w:pStyle w:val="Heading6"/>
        <w:numPr>
          <w:ilvl w:val="0"/>
          <w:numId w:val="11"/>
        </w:numPr>
        <w:tabs>
          <w:tab w:pos="1116" w:val="left" w:leader="none"/>
        </w:tabs>
        <w:spacing w:line="240" w:lineRule="auto" w:before="1" w:after="0"/>
        <w:ind w:left="1116" w:right="0" w:hanging="405"/>
        <w:jc w:val="both"/>
      </w:pPr>
      <w:r>
        <w:rPr/>
        <w:t>Dooley</w:t>
      </w:r>
      <w:r>
        <w:rPr>
          <w:spacing w:val="-3"/>
        </w:rPr>
        <w:t> </w:t>
      </w:r>
      <w:r>
        <w:rPr/>
        <w:t>Approach Method</w:t>
      </w:r>
      <w:r>
        <w:rPr>
          <w:spacing w:val="-2"/>
        </w:rPr>
        <w:t> (1986)</w:t>
      </w:r>
    </w:p>
    <w:p>
      <w:pPr>
        <w:pStyle w:val="BodyText"/>
        <w:spacing w:line="432" w:lineRule="auto" w:before="220"/>
        <w:ind w:left="711" w:right="472"/>
        <w:jc w:val="both"/>
      </w:pPr>
      <w:r>
        <w:rPr/>
        <w:t>The Dooley method defines capital flight as illegall capital outflows, or all capital outflows based on the desire</w:t>
      </w:r>
      <w:r>
        <w:rPr>
          <w:spacing w:val="-1"/>
        </w:rPr>
        <w:t> </w:t>
      </w:r>
      <w:r>
        <w:rPr/>
        <w:t>to place</w:t>
      </w:r>
      <w:r>
        <w:rPr>
          <w:spacing w:val="-1"/>
        </w:rPr>
        <w:t> </w:t>
      </w:r>
      <w:r>
        <w:rPr/>
        <w:t>assets beyond the</w:t>
      </w:r>
      <w:r>
        <w:rPr>
          <w:spacing w:val="-1"/>
        </w:rPr>
        <w:t> </w:t>
      </w:r>
      <w:r>
        <w:rPr/>
        <w:t>control of</w:t>
      </w:r>
      <w:r>
        <w:rPr>
          <w:spacing w:val="-1"/>
        </w:rPr>
        <w:t> </w:t>
      </w:r>
      <w:r>
        <w:rPr/>
        <w:t>domestic</w:t>
      </w:r>
      <w:r>
        <w:rPr>
          <w:spacing w:val="-1"/>
        </w:rPr>
        <w:t> </w:t>
      </w:r>
      <w:r>
        <w:rPr/>
        <w:t>authorities.</w:t>
      </w:r>
      <w:r>
        <w:rPr>
          <w:spacing w:val="-1"/>
        </w:rPr>
        <w:t> </w:t>
      </w:r>
      <w:r>
        <w:rPr/>
        <w:t>Following this concept of capital flight, the Dooley method considers all outflows that do not receive register interest payment as illegall capital outflows. The Dooley measure incorporates the net errors and omission, as well as the difference between the World Bank data on the annual change in the stock of external debt and debt flows as reported in the balance of payments statistics.</w:t>
      </w:r>
    </w:p>
    <w:p>
      <w:pPr>
        <w:pStyle w:val="Heading6"/>
        <w:numPr>
          <w:ilvl w:val="0"/>
          <w:numId w:val="11"/>
        </w:numPr>
        <w:tabs>
          <w:tab w:pos="1430" w:val="left" w:leader="none"/>
        </w:tabs>
        <w:spacing w:line="240" w:lineRule="auto" w:before="1" w:after="0"/>
        <w:ind w:left="1430" w:right="0" w:hanging="719"/>
        <w:jc w:val="both"/>
      </w:pPr>
      <w:r>
        <w:rPr/>
        <w:t>Hot</w:t>
      </w:r>
      <w:r>
        <w:rPr>
          <w:spacing w:val="-2"/>
        </w:rPr>
        <w:t> </w:t>
      </w:r>
      <w:r>
        <w:rPr/>
        <w:t>Money</w:t>
      </w:r>
      <w:r>
        <w:rPr>
          <w:spacing w:val="-1"/>
        </w:rPr>
        <w:t> </w:t>
      </w:r>
      <w:r>
        <w:rPr>
          <w:spacing w:val="-2"/>
        </w:rPr>
        <w:t>Approach</w:t>
      </w:r>
    </w:p>
    <w:p>
      <w:pPr>
        <w:pStyle w:val="BodyText"/>
        <w:spacing w:line="432" w:lineRule="auto" w:before="221"/>
        <w:ind w:left="711" w:right="470"/>
        <w:jc w:val="both"/>
      </w:pPr>
      <w:r>
        <w:rPr/>
        <w:t>The hot money measures capital flight as the capital outflows responding to short-term variations in the various domestic and international financial market conditions. In order to account for the non-registered short term capital flows, the net errors and omissions are included. This method measures capital flight as the sum of short-term capital outflows and the errors and omissions. Therefore, the hot money measure of capital flight can be stated as:</w:t>
      </w:r>
    </w:p>
    <w:p>
      <w:pPr>
        <w:tabs>
          <w:tab w:pos="9248" w:val="left" w:leader="dot"/>
        </w:tabs>
        <w:spacing w:line="317" w:lineRule="exact" w:before="0"/>
        <w:ind w:left="711" w:right="0" w:firstLine="0"/>
        <w:jc w:val="both"/>
        <w:rPr>
          <w:sz w:val="18"/>
        </w:rPr>
      </w:pPr>
      <w:r>
        <w:rPr>
          <w:i/>
          <w:position w:val="2"/>
          <w:sz w:val="24"/>
        </w:rPr>
        <w:t>CF</w:t>
      </w:r>
      <w:r>
        <w:rPr>
          <w:i/>
          <w:position w:val="11"/>
          <w:sz w:val="16"/>
        </w:rPr>
        <w:t>h</w:t>
      </w:r>
      <w:r>
        <w:rPr>
          <w:i/>
          <w:sz w:val="16"/>
        </w:rPr>
        <w:t>t</w:t>
      </w:r>
      <w:r>
        <w:rPr>
          <w:i/>
          <w:spacing w:val="-2"/>
          <w:sz w:val="16"/>
        </w:rPr>
        <w:t> </w:t>
      </w:r>
      <w:r>
        <w:rPr>
          <w:i/>
          <w:sz w:val="16"/>
        </w:rPr>
        <w:t>=</w:t>
      </w:r>
      <w:r>
        <w:rPr>
          <w:i/>
          <w:spacing w:val="19"/>
          <w:sz w:val="16"/>
        </w:rPr>
        <w:t> </w:t>
      </w:r>
      <w:r>
        <w:rPr>
          <w:i/>
          <w:position w:val="2"/>
          <w:sz w:val="24"/>
        </w:rPr>
        <w:t>STCt</w:t>
      </w:r>
      <w:r>
        <w:rPr>
          <w:i/>
          <w:spacing w:val="-19"/>
          <w:position w:val="2"/>
          <w:sz w:val="24"/>
        </w:rPr>
        <w:t> </w:t>
      </w:r>
      <w:r>
        <w:rPr>
          <w:i/>
          <w:sz w:val="16"/>
        </w:rPr>
        <w:t>-</w:t>
      </w:r>
      <w:r>
        <w:rPr>
          <w:i/>
          <w:spacing w:val="19"/>
          <w:sz w:val="16"/>
        </w:rPr>
        <w:t> </w:t>
      </w:r>
      <w:r>
        <w:rPr>
          <w:i/>
          <w:spacing w:val="-4"/>
          <w:position w:val="2"/>
          <w:sz w:val="24"/>
        </w:rPr>
        <w:t>NEO</w:t>
      </w:r>
      <w:r>
        <w:rPr>
          <w:i/>
          <w:spacing w:val="-4"/>
          <w:sz w:val="16"/>
        </w:rPr>
        <w:t>t</w:t>
      </w:r>
      <w:r>
        <w:rPr>
          <w:i/>
          <w:sz w:val="16"/>
        </w:rPr>
        <w:tab/>
      </w:r>
      <w:r>
        <w:rPr>
          <w:spacing w:val="-2"/>
          <w:position w:val="12"/>
          <w:sz w:val="18"/>
        </w:rPr>
        <w:t>(2.4)</w:t>
      </w:r>
    </w:p>
    <w:p>
      <w:pPr>
        <w:pStyle w:val="BodyText"/>
        <w:spacing w:before="262"/>
        <w:ind w:left="711"/>
      </w:pPr>
      <w:r>
        <w:rPr>
          <w:spacing w:val="-4"/>
        </w:rPr>
        <w:t>Where</w:t>
      </w:r>
    </w:p>
    <w:p>
      <w:pPr>
        <w:spacing w:after="0"/>
        <w:sectPr>
          <w:pgSz w:w="11910" w:h="16840"/>
          <w:pgMar w:header="0" w:footer="979" w:top="1360" w:bottom="1240" w:left="280" w:right="0"/>
        </w:sectPr>
      </w:pPr>
    </w:p>
    <w:p>
      <w:pPr>
        <w:pStyle w:val="BodyText"/>
        <w:tabs>
          <w:tab w:pos="2151" w:val="left" w:leader="none"/>
        </w:tabs>
        <w:spacing w:line="415" w:lineRule="auto" w:before="80"/>
        <w:ind w:left="711" w:right="5572"/>
        <w:jc w:val="both"/>
      </w:pPr>
      <w:r>
        <w:rPr>
          <w:position w:val="2"/>
        </w:rPr>
        <w:t>CF</w:t>
      </w:r>
      <w:r>
        <w:rPr>
          <w:position w:val="2"/>
          <w:vertAlign w:val="superscript"/>
        </w:rPr>
        <w:t>h</w:t>
      </w:r>
      <w:r>
        <w:rPr>
          <w:sz w:val="16"/>
          <w:vertAlign w:val="baseline"/>
        </w:rPr>
        <w:t>t</w:t>
      </w:r>
      <w:r>
        <w:rPr>
          <w:spacing w:val="80"/>
          <w:sz w:val="16"/>
          <w:vertAlign w:val="baseline"/>
        </w:rPr>
        <w:t>  </w:t>
      </w:r>
      <w:r>
        <w:rPr>
          <w:position w:val="2"/>
          <w:vertAlign w:val="baseline"/>
        </w:rPr>
        <w:t>=</w:t>
      </w:r>
      <w:r>
        <w:rPr>
          <w:spacing w:val="80"/>
          <w:w w:val="150"/>
          <w:position w:val="2"/>
          <w:vertAlign w:val="baseline"/>
        </w:rPr>
        <w:t>  </w:t>
      </w:r>
      <w:r>
        <w:rPr>
          <w:position w:val="2"/>
          <w:vertAlign w:val="baseline"/>
        </w:rPr>
        <w:t>Hot</w:t>
      </w:r>
      <w:r>
        <w:rPr>
          <w:spacing w:val="-2"/>
          <w:position w:val="2"/>
          <w:vertAlign w:val="baseline"/>
        </w:rPr>
        <w:t> </w:t>
      </w:r>
      <w:r>
        <w:rPr>
          <w:position w:val="2"/>
          <w:vertAlign w:val="baseline"/>
        </w:rPr>
        <w:t>money</w:t>
      </w:r>
      <w:r>
        <w:rPr>
          <w:spacing w:val="-5"/>
          <w:position w:val="2"/>
          <w:vertAlign w:val="baseline"/>
        </w:rPr>
        <w:t> </w:t>
      </w:r>
      <w:r>
        <w:rPr>
          <w:position w:val="2"/>
          <w:vertAlign w:val="baseline"/>
        </w:rPr>
        <w:t>capital</w:t>
      </w:r>
      <w:r>
        <w:rPr>
          <w:spacing w:val="-2"/>
          <w:position w:val="2"/>
          <w:vertAlign w:val="baseline"/>
        </w:rPr>
        <w:t> </w:t>
      </w:r>
      <w:r>
        <w:rPr>
          <w:position w:val="2"/>
          <w:vertAlign w:val="baseline"/>
        </w:rPr>
        <w:t>flight</w:t>
      </w:r>
      <w:r>
        <w:rPr>
          <w:spacing w:val="-2"/>
          <w:position w:val="2"/>
          <w:vertAlign w:val="baseline"/>
        </w:rPr>
        <w:t> </w:t>
      </w:r>
      <w:r>
        <w:rPr>
          <w:position w:val="2"/>
          <w:vertAlign w:val="baseline"/>
        </w:rPr>
        <w:t>in</w:t>
      </w:r>
      <w:r>
        <w:rPr>
          <w:spacing w:val="-2"/>
          <w:position w:val="2"/>
          <w:vertAlign w:val="baseline"/>
        </w:rPr>
        <w:t> </w:t>
      </w:r>
      <w:r>
        <w:rPr>
          <w:position w:val="2"/>
          <w:vertAlign w:val="baseline"/>
        </w:rPr>
        <w:t>a</w:t>
      </w:r>
      <w:r>
        <w:rPr>
          <w:spacing w:val="-3"/>
          <w:position w:val="2"/>
          <w:vertAlign w:val="baseline"/>
        </w:rPr>
        <w:t> </w:t>
      </w:r>
      <w:r>
        <w:rPr>
          <w:position w:val="2"/>
          <w:vertAlign w:val="baseline"/>
        </w:rPr>
        <w:t>given</w:t>
      </w:r>
      <w:r>
        <w:rPr>
          <w:spacing w:val="-2"/>
          <w:position w:val="2"/>
          <w:vertAlign w:val="baseline"/>
        </w:rPr>
        <w:t> </w:t>
      </w:r>
      <w:r>
        <w:rPr>
          <w:position w:val="2"/>
          <w:vertAlign w:val="baseline"/>
        </w:rPr>
        <w:t>time. STC</w:t>
      </w:r>
      <w:r>
        <w:rPr>
          <w:sz w:val="16"/>
          <w:vertAlign w:val="baseline"/>
        </w:rPr>
        <w:t>t </w:t>
      </w:r>
      <w:r>
        <w:rPr>
          <w:position w:val="2"/>
          <w:vertAlign w:val="baseline"/>
        </w:rPr>
        <w:t>=</w:t>
        <w:tab/>
        <w:t>Short-term capital outflows</w:t>
      </w:r>
    </w:p>
    <w:p>
      <w:pPr>
        <w:pStyle w:val="BodyText"/>
        <w:tabs>
          <w:tab w:pos="2151" w:val="left" w:leader="none"/>
        </w:tabs>
        <w:spacing w:before="16"/>
        <w:ind w:left="711"/>
        <w:jc w:val="both"/>
      </w:pPr>
      <w:r>
        <w:rPr>
          <w:position w:val="2"/>
        </w:rPr>
        <w:t>NEO</w:t>
      </w:r>
      <w:r>
        <w:rPr>
          <w:sz w:val="16"/>
        </w:rPr>
        <w:t>t</w:t>
      </w:r>
      <w:r>
        <w:rPr>
          <w:spacing w:val="18"/>
          <w:sz w:val="16"/>
        </w:rPr>
        <w:t> </w:t>
      </w:r>
      <w:r>
        <w:rPr>
          <w:spacing w:val="-12"/>
          <w:position w:val="2"/>
        </w:rPr>
        <w:t>=</w:t>
      </w:r>
      <w:r>
        <w:rPr>
          <w:position w:val="2"/>
        </w:rPr>
        <w:tab/>
        <w:t>Net</w:t>
      </w:r>
      <w:r>
        <w:rPr>
          <w:spacing w:val="-2"/>
          <w:position w:val="2"/>
        </w:rPr>
        <w:t> </w:t>
      </w:r>
      <w:r>
        <w:rPr>
          <w:position w:val="2"/>
        </w:rPr>
        <w:t>errors</w:t>
      </w:r>
      <w:r>
        <w:rPr>
          <w:spacing w:val="-2"/>
          <w:position w:val="2"/>
        </w:rPr>
        <w:t> </w:t>
      </w:r>
      <w:r>
        <w:rPr>
          <w:position w:val="2"/>
        </w:rPr>
        <w:t>and</w:t>
      </w:r>
      <w:r>
        <w:rPr>
          <w:spacing w:val="-1"/>
          <w:position w:val="2"/>
        </w:rPr>
        <w:t> </w:t>
      </w:r>
      <w:r>
        <w:rPr>
          <w:spacing w:val="-2"/>
          <w:position w:val="2"/>
        </w:rPr>
        <w:t>omissions</w:t>
      </w:r>
    </w:p>
    <w:p>
      <w:pPr>
        <w:pStyle w:val="BodyText"/>
        <w:spacing w:line="432" w:lineRule="auto" w:before="219"/>
        <w:ind w:left="711" w:right="467"/>
        <w:jc w:val="both"/>
      </w:pPr>
      <w:r>
        <w:rPr/>
        <w:t>Studies that have applied this method include Cuddington (1986) and Khan </w:t>
      </w:r>
      <w:r>
        <w:rPr>
          <w:i/>
        </w:rPr>
        <w:t>et .al </w:t>
      </w:r>
      <w:r>
        <w:rPr/>
        <w:t>(1987). One very</w:t>
      </w:r>
      <w:r>
        <w:rPr>
          <w:spacing w:val="40"/>
        </w:rPr>
        <w:t> </w:t>
      </w:r>
      <w:r>
        <w:rPr/>
        <w:t>important drawback of this method is that it fails to consider log-term capital outflows when capital flight is measured (Murinde et al., 1996). Against the background of its exception of “speculative” money, Ajayi (1992) argued that there is no justification for leaving out other parts of capital flight that can be considered as “speculative” money. However, for the purpose of this study, the operational definition and measurement of capital flight is in line with residual approach which defines capital flight as a net illegal outflow of capital</w:t>
      </w:r>
      <w:r>
        <w:rPr>
          <w:spacing w:val="-1"/>
        </w:rPr>
        <w:t> </w:t>
      </w:r>
      <w:r>
        <w:rPr/>
        <w:t>from</w:t>
      </w:r>
      <w:r>
        <w:rPr>
          <w:spacing w:val="-1"/>
        </w:rPr>
        <w:t> </w:t>
      </w:r>
      <w:r>
        <w:rPr/>
        <w:t>the</w:t>
      </w:r>
      <w:r>
        <w:rPr>
          <w:spacing w:val="-2"/>
        </w:rPr>
        <w:t> </w:t>
      </w:r>
      <w:r>
        <w:rPr/>
        <w:t>countries of</w:t>
      </w:r>
      <w:r>
        <w:rPr>
          <w:spacing w:val="-1"/>
        </w:rPr>
        <w:t> </w:t>
      </w:r>
      <w:r>
        <w:rPr/>
        <w:t>interest</w:t>
      </w:r>
      <w:r>
        <w:rPr>
          <w:spacing w:val="2"/>
        </w:rPr>
        <w:t> </w:t>
      </w:r>
      <w:r>
        <w:rPr/>
        <w:t>measured as</w:t>
      </w:r>
      <w:r>
        <w:rPr>
          <w:spacing w:val="1"/>
        </w:rPr>
        <w:t> </w:t>
      </w:r>
      <w:r>
        <w:rPr/>
        <w:t>the</w:t>
      </w:r>
      <w:r>
        <w:rPr>
          <w:spacing w:val="-2"/>
        </w:rPr>
        <w:t> </w:t>
      </w:r>
      <w:r>
        <w:rPr/>
        <w:t>difference</w:t>
      </w:r>
      <w:r>
        <w:rPr>
          <w:spacing w:val="-1"/>
        </w:rPr>
        <w:t> </w:t>
      </w:r>
      <w:r>
        <w:rPr/>
        <w:t>between</w:t>
      </w:r>
      <w:r>
        <w:rPr>
          <w:spacing w:val="-1"/>
        </w:rPr>
        <w:t> </w:t>
      </w:r>
      <w:r>
        <w:rPr/>
        <w:t>sources</w:t>
      </w:r>
      <w:r>
        <w:rPr>
          <w:spacing w:val="-1"/>
        </w:rPr>
        <w:t> </w:t>
      </w:r>
      <w:r>
        <w:rPr/>
        <w:t>and uses</w:t>
      </w:r>
      <w:r>
        <w:rPr>
          <w:spacing w:val="-1"/>
        </w:rPr>
        <w:t> </w:t>
      </w:r>
      <w:r>
        <w:rPr/>
        <w:t>of</w:t>
      </w:r>
      <w:r>
        <w:rPr>
          <w:spacing w:val="-1"/>
        </w:rPr>
        <w:t> </w:t>
      </w:r>
      <w:r>
        <w:rPr/>
        <w:t>capital </w:t>
      </w:r>
      <w:r>
        <w:rPr>
          <w:spacing w:val="-2"/>
        </w:rPr>
        <w:t>inflows.</w:t>
      </w:r>
    </w:p>
    <w:p>
      <w:pPr>
        <w:pStyle w:val="BodyText"/>
      </w:pPr>
    </w:p>
    <w:p>
      <w:pPr>
        <w:pStyle w:val="BodyText"/>
        <w:spacing w:before="10"/>
      </w:pPr>
    </w:p>
    <w:p>
      <w:pPr>
        <w:pStyle w:val="Heading6"/>
        <w:numPr>
          <w:ilvl w:val="1"/>
          <w:numId w:val="10"/>
        </w:numPr>
        <w:tabs>
          <w:tab w:pos="1431" w:val="left" w:leader="none"/>
        </w:tabs>
        <w:spacing w:line="240" w:lineRule="auto" w:before="1" w:after="0"/>
        <w:ind w:left="1431" w:right="0" w:hanging="720"/>
        <w:jc w:val="left"/>
      </w:pPr>
      <w:bookmarkStart w:name="_TOC_250025" w:id="2"/>
      <w:r>
        <w:rPr/>
        <w:t>Theoretical</w:t>
      </w:r>
      <w:r>
        <w:rPr>
          <w:spacing w:val="-4"/>
        </w:rPr>
        <w:t> </w:t>
      </w:r>
      <w:bookmarkEnd w:id="2"/>
      <w:r>
        <w:rPr>
          <w:spacing w:val="-2"/>
        </w:rPr>
        <w:t>Review</w:t>
      </w:r>
    </w:p>
    <w:p>
      <w:pPr>
        <w:pStyle w:val="BodyText"/>
        <w:spacing w:line="480" w:lineRule="auto" w:before="276"/>
        <w:ind w:left="711" w:right="471"/>
        <w:jc w:val="both"/>
      </w:pPr>
      <w:r>
        <w:rPr/>
        <w:t>Over the years, the deteriorating impact of capital flight on economic growth and development has received increasing attention from researchers, economists, analysts and policy makers, especially, in the developing world. These various views have been categorized into various theories or hypotheses that explain capital flight. Some of these theories and hypotheses are examined below:</w:t>
      </w:r>
    </w:p>
    <w:p>
      <w:pPr>
        <w:pStyle w:val="Heading6"/>
      </w:pPr>
      <w:r>
        <w:rPr/>
        <w:t>Portfolio-Choice</w:t>
      </w:r>
      <w:r>
        <w:rPr>
          <w:spacing w:val="-4"/>
        </w:rPr>
        <w:t> </w:t>
      </w:r>
      <w:r>
        <w:rPr>
          <w:spacing w:val="-2"/>
        </w:rPr>
        <w:t>Theory</w:t>
      </w:r>
    </w:p>
    <w:p>
      <w:pPr>
        <w:pStyle w:val="BodyText"/>
        <w:rPr>
          <w:b/>
        </w:rPr>
      </w:pPr>
    </w:p>
    <w:p>
      <w:pPr>
        <w:pStyle w:val="BodyText"/>
        <w:spacing w:line="480" w:lineRule="auto"/>
        <w:ind w:left="711" w:right="470" w:firstLine="60"/>
        <w:jc w:val="both"/>
      </w:pPr>
      <w:r>
        <w:rPr/>
        <w:t>This theory suggests that maximizing relative risk-adjusted expected return drives the choice between domestic assets and foreign assets (flight capital). The domestic determinants of relative expected return include risks, capital productivity, and their underlying determinants, notably the macroeconomic environment. The tax level determines net return to capital. Some researchers, including Ndikumana and Boyce (2003), Collier and Pattillo (2002), and Lensink et al (2000) report the debt stock to GDP ratio,</w:t>
      </w:r>
      <w:r>
        <w:rPr>
          <w:spacing w:val="80"/>
        </w:rPr>
        <w:t> </w:t>
      </w:r>
      <w:r>
        <w:rPr/>
        <w:t>which can be used to gauge future tax policy, as a significant positive determinant of capital flight. Ali and Bernard (2011) adopted a standard portfolio choice framework to explain the causes of capital flight from Africa. Based on this approach, Le and Zak (2006), Sheets (1995) and Ali and Bernard (2011)</w:t>
      </w:r>
      <w:r>
        <w:rPr>
          <w:spacing w:val="40"/>
        </w:rPr>
        <w:t> </w:t>
      </w:r>
      <w:r>
        <w:rPr/>
        <w:t>affirm that capital</w:t>
      </w:r>
      <w:r>
        <w:rPr>
          <w:spacing w:val="14"/>
        </w:rPr>
        <w:t> </w:t>
      </w:r>
      <w:r>
        <w:rPr/>
        <w:t>flight</w:t>
      </w:r>
      <w:r>
        <w:rPr>
          <w:spacing w:val="16"/>
        </w:rPr>
        <w:t> </w:t>
      </w:r>
      <w:r>
        <w:rPr/>
        <w:t>simply</w:t>
      </w:r>
      <w:r>
        <w:rPr>
          <w:spacing w:val="8"/>
        </w:rPr>
        <w:t> </w:t>
      </w:r>
      <w:r>
        <w:rPr/>
        <w:t>takes</w:t>
      </w:r>
      <w:r>
        <w:rPr>
          <w:spacing w:val="15"/>
        </w:rPr>
        <w:t> </w:t>
      </w:r>
      <w:r>
        <w:rPr/>
        <w:t>place</w:t>
      </w:r>
      <w:r>
        <w:rPr>
          <w:spacing w:val="14"/>
        </w:rPr>
        <w:t> </w:t>
      </w:r>
      <w:r>
        <w:rPr/>
        <w:t>in</w:t>
      </w:r>
      <w:r>
        <w:rPr>
          <w:spacing w:val="16"/>
        </w:rPr>
        <w:t> </w:t>
      </w:r>
      <w:r>
        <w:rPr/>
        <w:t>response</w:t>
      </w:r>
      <w:r>
        <w:rPr>
          <w:spacing w:val="15"/>
        </w:rPr>
        <w:t> </w:t>
      </w:r>
      <w:r>
        <w:rPr/>
        <w:t>to</w:t>
      </w:r>
      <w:r>
        <w:rPr>
          <w:spacing w:val="17"/>
        </w:rPr>
        <w:t> </w:t>
      </w:r>
      <w:r>
        <w:rPr/>
        <w:t>a</w:t>
      </w:r>
      <w:r>
        <w:rPr>
          <w:spacing w:val="12"/>
        </w:rPr>
        <w:t> </w:t>
      </w:r>
      <w:r>
        <w:rPr/>
        <w:t>deteriorating</w:t>
      </w:r>
      <w:r>
        <w:rPr>
          <w:spacing w:val="13"/>
        </w:rPr>
        <w:t> </w:t>
      </w:r>
      <w:r>
        <w:rPr/>
        <w:t>domestic</w:t>
      </w:r>
      <w:r>
        <w:rPr>
          <w:spacing w:val="14"/>
        </w:rPr>
        <w:t> </w:t>
      </w:r>
      <w:r>
        <w:rPr/>
        <w:t>investment</w:t>
      </w:r>
      <w:r>
        <w:rPr>
          <w:spacing w:val="16"/>
        </w:rPr>
        <w:t> </w:t>
      </w:r>
      <w:r>
        <w:rPr/>
        <w:t>climate</w:t>
      </w:r>
      <w:r>
        <w:rPr>
          <w:spacing w:val="14"/>
        </w:rPr>
        <w:t> </w:t>
      </w:r>
      <w:r>
        <w:rPr/>
        <w:t>where</w:t>
      </w:r>
      <w:r>
        <w:rPr>
          <w:spacing w:val="13"/>
        </w:rPr>
        <w:t> </w:t>
      </w:r>
      <w:r>
        <w:rPr/>
        <w:t>the</w:t>
      </w:r>
      <w:r>
        <w:rPr>
          <w:spacing w:val="16"/>
        </w:rPr>
        <w:t> </w:t>
      </w:r>
      <w:r>
        <w:rPr>
          <w:spacing w:val="-2"/>
        </w:rPr>
        <w:t>risk-</w:t>
      </w:r>
    </w:p>
    <w:p>
      <w:pPr>
        <w:pStyle w:val="BodyText"/>
        <w:spacing w:before="1"/>
        <w:ind w:left="711"/>
        <w:jc w:val="both"/>
      </w:pPr>
      <w:r>
        <w:rPr/>
        <w:t>adjusted</w:t>
      </w:r>
      <w:r>
        <w:rPr>
          <w:spacing w:val="-3"/>
        </w:rPr>
        <w:t> </w:t>
      </w:r>
      <w:r>
        <w:rPr/>
        <w:t>rate</w:t>
      </w:r>
      <w:r>
        <w:rPr>
          <w:spacing w:val="-1"/>
        </w:rPr>
        <w:t> </w:t>
      </w:r>
      <w:r>
        <w:rPr/>
        <w:t>of return</w:t>
      </w:r>
      <w:r>
        <w:rPr>
          <w:spacing w:val="-1"/>
        </w:rPr>
        <w:t> </w:t>
      </w:r>
      <w:r>
        <w:rPr/>
        <w:t>to investment is</w:t>
      </w:r>
      <w:r>
        <w:rPr>
          <w:spacing w:val="-1"/>
        </w:rPr>
        <w:t> </w:t>
      </w:r>
      <w:r>
        <w:rPr>
          <w:spacing w:val="-2"/>
        </w:rPr>
        <w:t>unfavourable.</w:t>
      </w:r>
    </w:p>
    <w:p>
      <w:pPr>
        <w:spacing w:after="0"/>
        <w:jc w:val="both"/>
        <w:sectPr>
          <w:pgSz w:w="11910" w:h="16840"/>
          <w:pgMar w:header="0" w:footer="979" w:top="1340" w:bottom="1220" w:left="280" w:right="0"/>
        </w:sectPr>
      </w:pPr>
    </w:p>
    <w:p>
      <w:pPr>
        <w:pStyle w:val="BodyText"/>
        <w:spacing w:line="480" w:lineRule="auto" w:before="60"/>
        <w:ind w:left="711" w:right="470" w:firstLine="60"/>
        <w:jc w:val="both"/>
      </w:pPr>
      <w:r>
        <w:rPr/>
        <w:t>External borrowing could provide the resources for capital flight while capital flight can also induce external borrowing by reducing tax revenues and foreign exchange. The institutional environment facing private investors affects capital productivity notably through transaction costs.</w:t>
      </w:r>
    </w:p>
    <w:p>
      <w:pPr>
        <w:pStyle w:val="BodyText"/>
        <w:spacing w:line="480" w:lineRule="auto" w:before="1"/>
        <w:ind w:left="711" w:right="468"/>
        <w:jc w:val="both"/>
      </w:pPr>
      <w:r>
        <w:rPr/>
        <w:t>Bureaucratic corruption operates as a tax on investment. Exchange rate overvaluation induces devaluation expectations which could induce capital flight for hedging purposes. Ndikumana and Boyce (2003), Mikkelson (1991) and Vos (1992) and others</w:t>
      </w:r>
      <w:r>
        <w:rPr>
          <w:spacing w:val="-1"/>
        </w:rPr>
        <w:t> </w:t>
      </w:r>
      <w:r>
        <w:rPr/>
        <w:t>have</w:t>
      </w:r>
      <w:r>
        <w:rPr>
          <w:spacing w:val="-1"/>
        </w:rPr>
        <w:t> </w:t>
      </w:r>
      <w:r>
        <w:rPr/>
        <w:t>reported path dependence</w:t>
      </w:r>
      <w:r>
        <w:rPr>
          <w:spacing w:val="-1"/>
        </w:rPr>
        <w:t> </w:t>
      </w:r>
      <w:r>
        <w:rPr/>
        <w:t>in capital flight: High levels of capital flight could generate expectations of a rise in taxes to offset the ensuing decline in tax revenues. Income growth might impact positively</w:t>
      </w:r>
      <w:r>
        <w:rPr>
          <w:spacing w:val="-5"/>
        </w:rPr>
        <w:t> </w:t>
      </w:r>
      <w:r>
        <w:rPr/>
        <w:t>on expectations of</w:t>
      </w:r>
      <w:r>
        <w:rPr>
          <w:spacing w:val="-1"/>
        </w:rPr>
        <w:t> </w:t>
      </w:r>
      <w:r>
        <w:rPr/>
        <w:t>the</w:t>
      </w:r>
      <w:r>
        <w:rPr>
          <w:spacing w:val="-1"/>
        </w:rPr>
        <w:t> </w:t>
      </w:r>
      <w:r>
        <w:rPr/>
        <w:t>return</w:t>
      </w:r>
      <w:r>
        <w:rPr>
          <w:spacing w:val="-1"/>
        </w:rPr>
        <w:t> </w:t>
      </w:r>
      <w:r>
        <w:rPr/>
        <w:t>to investment. The</w:t>
      </w:r>
      <w:r>
        <w:rPr>
          <w:spacing w:val="-2"/>
        </w:rPr>
        <w:t> </w:t>
      </w:r>
      <w:r>
        <w:rPr/>
        <w:t>flight capital base – the quantity</w:t>
      </w:r>
      <w:r>
        <w:rPr>
          <w:spacing w:val="-2"/>
        </w:rPr>
        <w:t> </w:t>
      </w:r>
      <w:r>
        <w:rPr/>
        <w:t>of capital that could potentially</w:t>
      </w:r>
      <w:r>
        <w:rPr>
          <w:spacing w:val="-2"/>
        </w:rPr>
        <w:t> </w:t>
      </w:r>
      <w:r>
        <w:rPr/>
        <w:t>flee the economy – also matters. This could depend on external resource inflows and income levels. Lastly, sometimes the motivation for capital flight may be safekeeping of embezzled funds especially under some kleptocratic (i.e. compulsive stealing) governments (Ndikumana and Boyce1992,). Social unrest and crisis could stimulate capital flight directly by increasing political risk; and indirectly, through other variables that induce capital flight such as inflation and public debt termination/cancellation could</w:t>
      </w:r>
      <w:r>
        <w:rPr>
          <w:spacing w:val="-2"/>
        </w:rPr>
        <w:t> </w:t>
      </w:r>
      <w:r>
        <w:rPr/>
        <w:t>reduce</w:t>
      </w:r>
      <w:r>
        <w:rPr>
          <w:spacing w:val="-3"/>
        </w:rPr>
        <w:t> </w:t>
      </w:r>
      <w:r>
        <w:rPr/>
        <w:t>capital</w:t>
      </w:r>
      <w:r>
        <w:rPr>
          <w:spacing w:val="-2"/>
        </w:rPr>
        <w:t> </w:t>
      </w:r>
      <w:r>
        <w:rPr/>
        <w:t>flight</w:t>
      </w:r>
      <w:r>
        <w:rPr>
          <w:spacing w:val="-2"/>
        </w:rPr>
        <w:t> </w:t>
      </w:r>
      <w:r>
        <w:rPr/>
        <w:t>by</w:t>
      </w:r>
      <w:r>
        <w:rPr>
          <w:spacing w:val="-7"/>
        </w:rPr>
        <w:t> </w:t>
      </w:r>
      <w:r>
        <w:rPr/>
        <w:t>reducing</w:t>
      </w:r>
      <w:r>
        <w:rPr>
          <w:spacing w:val="-5"/>
        </w:rPr>
        <w:t> </w:t>
      </w:r>
      <w:r>
        <w:rPr/>
        <w:t>political</w:t>
      </w:r>
      <w:r>
        <w:rPr>
          <w:spacing w:val="-2"/>
        </w:rPr>
        <w:t> </w:t>
      </w:r>
      <w:r>
        <w:rPr/>
        <w:t>risks</w:t>
      </w:r>
      <w:r>
        <w:rPr>
          <w:spacing w:val="-2"/>
        </w:rPr>
        <w:t> </w:t>
      </w:r>
      <w:r>
        <w:rPr/>
        <w:t>and</w:t>
      </w:r>
      <w:r>
        <w:rPr>
          <w:spacing w:val="-2"/>
        </w:rPr>
        <w:t> </w:t>
      </w:r>
      <w:r>
        <w:rPr/>
        <w:t>providing</w:t>
      </w:r>
      <w:r>
        <w:rPr>
          <w:spacing w:val="-2"/>
        </w:rPr>
        <w:t> </w:t>
      </w:r>
      <w:r>
        <w:rPr/>
        <w:t>new</w:t>
      </w:r>
      <w:r>
        <w:rPr>
          <w:spacing w:val="-2"/>
        </w:rPr>
        <w:t> </w:t>
      </w:r>
      <w:r>
        <w:rPr/>
        <w:t>investment opportunities. However, fears of war resumption could heighten perceived risks. Aid inflows could also provide resources for capital flight. War termination’s effect on capital flight is therefore unpredictable. However, as peace endures, capital flight is likely to decrease as perceived risks diminish.</w:t>
      </w:r>
    </w:p>
    <w:p>
      <w:pPr>
        <w:pStyle w:val="Heading6"/>
        <w:spacing w:before="2"/>
      </w:pPr>
      <w:r>
        <w:rPr/>
        <w:t>Corruption</w:t>
      </w:r>
      <w:r>
        <w:rPr>
          <w:spacing w:val="-3"/>
        </w:rPr>
        <w:t> </w:t>
      </w:r>
      <w:r>
        <w:rPr>
          <w:spacing w:val="-2"/>
        </w:rPr>
        <w:t>Theory</w:t>
      </w:r>
    </w:p>
    <w:p>
      <w:pPr>
        <w:pStyle w:val="BodyText"/>
        <w:spacing w:line="480" w:lineRule="auto" w:before="276"/>
        <w:ind w:left="711" w:right="470" w:firstLine="60"/>
        <w:jc w:val="both"/>
      </w:pPr>
      <w:r>
        <w:rPr/>
        <w:t>This theory considers corruption as the main factor encouraging capital flight. The proponents of this</w:t>
      </w:r>
      <w:r>
        <w:rPr>
          <w:spacing w:val="80"/>
        </w:rPr>
        <w:t> </w:t>
      </w:r>
      <w:r>
        <w:rPr/>
        <w:t>theory view corruption as a result of poor governance and weak economic bases (Quan and Meenakshi, 2006). The main thrust of this theory is that, without corruption there will not be capital flight and without capital flight, the problem of debt crises (Debt volatility</w:t>
      </w:r>
      <w:r>
        <w:rPr>
          <w:spacing w:val="-2"/>
        </w:rPr>
        <w:t> </w:t>
      </w:r>
      <w:r>
        <w:rPr/>
        <w:t>and Dutch Disease Theories) and worsen economic condition will not arise.</w:t>
      </w:r>
    </w:p>
    <w:p>
      <w:pPr>
        <w:pStyle w:val="Heading6"/>
      </w:pPr>
      <w:r>
        <w:rPr/>
        <w:t>The</w:t>
      </w:r>
      <w:r>
        <w:rPr>
          <w:spacing w:val="-1"/>
        </w:rPr>
        <w:t> </w:t>
      </w:r>
      <w:r>
        <w:rPr/>
        <w:t>Volatility </w:t>
      </w:r>
      <w:r>
        <w:rPr>
          <w:spacing w:val="-2"/>
        </w:rPr>
        <w:t>Theory</w:t>
      </w:r>
    </w:p>
    <w:p>
      <w:pPr>
        <w:pStyle w:val="BodyText"/>
        <w:spacing w:line="550" w:lineRule="atLeast" w:before="2"/>
        <w:ind w:left="711" w:right="475" w:firstLine="60"/>
        <w:jc w:val="both"/>
      </w:pPr>
      <w:r>
        <w:rPr/>
        <w:t>Various authors have accused aid and external debt of being volatile (Bulir and Hamann, 2003). Donors may</w:t>
      </w:r>
      <w:r>
        <w:rPr>
          <w:spacing w:val="-3"/>
        </w:rPr>
        <w:t> </w:t>
      </w:r>
      <w:r>
        <w:rPr/>
        <w:t>be</w:t>
      </w:r>
      <w:r>
        <w:rPr>
          <w:spacing w:val="3"/>
        </w:rPr>
        <w:t> </w:t>
      </w:r>
      <w:r>
        <w:rPr/>
        <w:t>‘fickle’,</w:t>
      </w:r>
      <w:r>
        <w:rPr>
          <w:spacing w:val="4"/>
        </w:rPr>
        <w:t> </w:t>
      </w:r>
      <w:r>
        <w:rPr/>
        <w:t>or</w:t>
      </w:r>
      <w:r>
        <w:rPr>
          <w:spacing w:val="3"/>
        </w:rPr>
        <w:t> </w:t>
      </w:r>
      <w:r>
        <w:rPr/>
        <w:t>due</w:t>
      </w:r>
      <w:r>
        <w:rPr>
          <w:spacing w:val="3"/>
        </w:rPr>
        <w:t> </w:t>
      </w:r>
      <w:r>
        <w:rPr/>
        <w:t>to</w:t>
      </w:r>
      <w:r>
        <w:rPr>
          <w:spacing w:val="4"/>
        </w:rPr>
        <w:t> </w:t>
      </w:r>
      <w:r>
        <w:rPr/>
        <w:t>the</w:t>
      </w:r>
      <w:r>
        <w:rPr>
          <w:spacing w:val="4"/>
        </w:rPr>
        <w:t> </w:t>
      </w:r>
      <w:r>
        <w:rPr/>
        <w:t>increasing</w:t>
      </w:r>
      <w:r>
        <w:rPr>
          <w:spacing w:val="5"/>
        </w:rPr>
        <w:t> </w:t>
      </w:r>
      <w:r>
        <w:rPr/>
        <w:t>use</w:t>
      </w:r>
      <w:r>
        <w:rPr>
          <w:spacing w:val="3"/>
        </w:rPr>
        <w:t> </w:t>
      </w:r>
      <w:r>
        <w:rPr/>
        <w:t>of</w:t>
      </w:r>
      <w:r>
        <w:rPr>
          <w:spacing w:val="6"/>
        </w:rPr>
        <w:t> </w:t>
      </w:r>
      <w:r>
        <w:rPr/>
        <w:t>governance</w:t>
      </w:r>
      <w:r>
        <w:rPr>
          <w:spacing w:val="3"/>
        </w:rPr>
        <w:t> </w:t>
      </w:r>
      <w:r>
        <w:rPr/>
        <w:t>conditionalities,</w:t>
      </w:r>
      <w:r>
        <w:rPr>
          <w:spacing w:val="4"/>
        </w:rPr>
        <w:t> </w:t>
      </w:r>
      <w:r>
        <w:rPr/>
        <w:t>relatively</w:t>
      </w:r>
      <w:r>
        <w:rPr>
          <w:spacing w:val="-1"/>
        </w:rPr>
        <w:t> </w:t>
      </w:r>
      <w:r>
        <w:rPr/>
        <w:t>minor</w:t>
      </w:r>
      <w:r>
        <w:rPr>
          <w:spacing w:val="3"/>
        </w:rPr>
        <w:t> </w:t>
      </w:r>
      <w:r>
        <w:rPr/>
        <w:t>political</w:t>
      </w:r>
      <w:r>
        <w:rPr>
          <w:spacing w:val="5"/>
        </w:rPr>
        <w:t> </w:t>
      </w:r>
      <w:r>
        <w:rPr>
          <w:spacing w:val="-2"/>
        </w:rPr>
        <w:t>events</w:t>
      </w:r>
    </w:p>
    <w:p>
      <w:pPr>
        <w:spacing w:after="0" w:line="550" w:lineRule="atLeast"/>
        <w:jc w:val="both"/>
        <w:sectPr>
          <w:pgSz w:w="11910" w:h="16840"/>
          <w:pgMar w:header="0" w:footer="979" w:top="1360" w:bottom="1240" w:left="280" w:right="0"/>
        </w:sectPr>
      </w:pPr>
    </w:p>
    <w:p>
      <w:pPr>
        <w:pStyle w:val="BodyText"/>
        <w:spacing w:line="480" w:lineRule="auto" w:before="60"/>
        <w:ind w:left="711" w:right="469"/>
        <w:jc w:val="both"/>
      </w:pPr>
      <w:r>
        <w:rPr/>
        <w:t>may</w:t>
      </w:r>
      <w:r>
        <w:rPr>
          <w:spacing w:val="-3"/>
        </w:rPr>
        <w:t> </w:t>
      </w:r>
      <w:r>
        <w:rPr/>
        <w:t>trigger coordinated interruptions in aid. To the extent that aid is volatile, it can increase capital flight in two different ways. Firstly, as it is well understood, macroeconomic volatility will tend to increase uncertainty and thereby reduce the risk-corrected returns on domestic investment. This will tend to increase the proportion of the wealth portfolio held abroad. This is not a phenomenon confined to developing countries, indeed it has recently been proposed as an important explanation for the relatively low rate of domestic investment and high rate of capital outflows even in the UK (Barrell and Weale, 2003). Secondly, aid volatility</w:t>
      </w:r>
      <w:r>
        <w:rPr>
          <w:spacing w:val="-4"/>
        </w:rPr>
        <w:t> </w:t>
      </w:r>
      <w:r>
        <w:rPr/>
        <w:t>may</w:t>
      </w:r>
      <w:r>
        <w:rPr>
          <w:spacing w:val="-2"/>
        </w:rPr>
        <w:t> </w:t>
      </w:r>
      <w:r>
        <w:rPr/>
        <w:t>induce capital flight for speculative purposes. If aid is perceived to be unsustainably</w:t>
      </w:r>
      <w:r>
        <w:rPr>
          <w:spacing w:val="-2"/>
        </w:rPr>
        <w:t> </w:t>
      </w:r>
      <w:r>
        <w:rPr/>
        <w:t>high, as might occur for example in the aftermath of civil war, or during the political honeymoon of a donor-wise government, the real exchange rate will be temporarily appreciated. Private agents can take speculative advantage of this temporary</w:t>
      </w:r>
      <w:r>
        <w:rPr>
          <w:spacing w:val="-4"/>
        </w:rPr>
        <w:t> </w:t>
      </w:r>
      <w:r>
        <w:rPr/>
        <w:t>price change both by</w:t>
      </w:r>
      <w:r>
        <w:rPr>
          <w:spacing w:val="-2"/>
        </w:rPr>
        <w:t> </w:t>
      </w:r>
      <w:r>
        <w:rPr/>
        <w:t>purchasing</w:t>
      </w:r>
      <w:r>
        <w:rPr>
          <w:spacing w:val="-2"/>
        </w:rPr>
        <w:t> </w:t>
      </w:r>
      <w:r>
        <w:rPr/>
        <w:t>durable imports and by</w:t>
      </w:r>
      <w:r>
        <w:rPr>
          <w:spacing w:val="-4"/>
        </w:rPr>
        <w:t> </w:t>
      </w:r>
      <w:r>
        <w:rPr/>
        <w:t>shifting capital abroad. The standard analysis of capital flight allows for some exchange rate incentive by</w:t>
      </w:r>
      <w:r>
        <w:rPr>
          <w:spacing w:val="-3"/>
        </w:rPr>
        <w:t> </w:t>
      </w:r>
      <w:r>
        <w:rPr/>
        <w:t>including</w:t>
      </w:r>
      <w:r>
        <w:rPr>
          <w:spacing w:val="-1"/>
        </w:rPr>
        <w:t> </w:t>
      </w:r>
      <w:r>
        <w:rPr/>
        <w:t>the premium on the</w:t>
      </w:r>
      <w:r>
        <w:rPr>
          <w:spacing w:val="-1"/>
        </w:rPr>
        <w:t> </w:t>
      </w:r>
      <w:r>
        <w:rPr/>
        <w:t>parallel</w:t>
      </w:r>
      <w:r>
        <w:rPr>
          <w:spacing w:val="-1"/>
        </w:rPr>
        <w:t> </w:t>
      </w:r>
      <w:r>
        <w:rPr/>
        <w:t>market</w:t>
      </w:r>
      <w:r>
        <w:rPr>
          <w:spacing w:val="-1"/>
        </w:rPr>
        <w:t> </w:t>
      </w:r>
      <w:r>
        <w:rPr/>
        <w:t>exchange rate as</w:t>
      </w:r>
      <w:r>
        <w:rPr>
          <w:spacing w:val="-1"/>
        </w:rPr>
        <w:t> </w:t>
      </w:r>
      <w:r>
        <w:rPr/>
        <w:t>an</w:t>
      </w:r>
      <w:r>
        <w:rPr>
          <w:spacing w:val="-1"/>
        </w:rPr>
        <w:t> </w:t>
      </w:r>
      <w:r>
        <w:rPr/>
        <w:t>explanatory</w:t>
      </w:r>
      <w:r>
        <w:rPr>
          <w:spacing w:val="-3"/>
        </w:rPr>
        <w:t> </w:t>
      </w:r>
      <w:r>
        <w:rPr/>
        <w:t>variable.</w:t>
      </w:r>
      <w:r>
        <w:rPr>
          <w:spacing w:val="-1"/>
        </w:rPr>
        <w:t> </w:t>
      </w:r>
      <w:r>
        <w:rPr/>
        <w:t>A</w:t>
      </w:r>
      <w:r>
        <w:rPr>
          <w:spacing w:val="-1"/>
        </w:rPr>
        <w:t> </w:t>
      </w:r>
      <w:r>
        <w:rPr/>
        <w:t>high</w:t>
      </w:r>
      <w:r>
        <w:rPr>
          <w:spacing w:val="-1"/>
        </w:rPr>
        <w:t> </w:t>
      </w:r>
      <w:r>
        <w:rPr/>
        <w:t>premium</w:t>
      </w:r>
      <w:r>
        <w:rPr>
          <w:spacing w:val="-1"/>
        </w:rPr>
        <w:t> </w:t>
      </w:r>
      <w:r>
        <w:rPr/>
        <w:t>indicates</w:t>
      </w:r>
      <w:r>
        <w:rPr>
          <w:spacing w:val="-1"/>
        </w:rPr>
        <w:t> </w:t>
      </w:r>
      <w:r>
        <w:rPr/>
        <w:t>a large and probably unsustainable subsidy for purchases of foreign exchange at the official rate and so provides a powerful incentive for capital flight. However, during a temporary influx of aid, the premium is likely to decline as official foreign exchange is more abundant, yet the incentive for flight remains.</w:t>
      </w:r>
    </w:p>
    <w:p>
      <w:pPr>
        <w:pStyle w:val="BodyText"/>
      </w:pPr>
    </w:p>
    <w:p>
      <w:pPr>
        <w:pStyle w:val="BodyText"/>
        <w:spacing w:before="2"/>
      </w:pPr>
    </w:p>
    <w:p>
      <w:pPr>
        <w:pStyle w:val="BodyText"/>
        <w:spacing w:line="480" w:lineRule="auto" w:before="1"/>
        <w:ind w:left="711" w:right="470"/>
        <w:jc w:val="both"/>
      </w:pPr>
      <w:r>
        <w:rPr/>
        <w:t>As with the corruption theory, the volatility hypothesis has some limitations: First, some measures of aid volatility,(such as that of Bulir and Hamann (2003), measure aid in domestic currency. Since aid accrues as foreign exchange, such a measure can be badly contaminated by exchange rate variability. Second, the volatility of aid must be assessed in terms of its co-variation with other sources of revenue and foreign exchange. For example, even if aids were to be more volatile than tax revenue, it may nevertheless be revenue-stabilizing as long as it is not highly co-variate with tax revenues. Collier and Gunning, (1999) found aid to be essentially uncorrelated with tax revenue and thereby overall stabilizing. Were aid to be stabilizing, the volatility argument would be stood on its head, with aid reducing capital flight by virtue of raising</w:t>
      </w:r>
      <w:r>
        <w:rPr>
          <w:spacing w:val="3"/>
        </w:rPr>
        <w:t> </w:t>
      </w:r>
      <w:r>
        <w:rPr/>
        <w:t>the</w:t>
      </w:r>
      <w:r>
        <w:rPr>
          <w:spacing w:val="6"/>
        </w:rPr>
        <w:t> </w:t>
      </w:r>
      <w:r>
        <w:rPr/>
        <w:t>risk-corrected</w:t>
      </w:r>
      <w:r>
        <w:rPr>
          <w:spacing w:val="8"/>
        </w:rPr>
        <w:t> </w:t>
      </w:r>
      <w:r>
        <w:rPr/>
        <w:t>returns</w:t>
      </w:r>
      <w:r>
        <w:rPr>
          <w:spacing w:val="6"/>
        </w:rPr>
        <w:t> </w:t>
      </w:r>
      <w:r>
        <w:rPr/>
        <w:t>on</w:t>
      </w:r>
      <w:r>
        <w:rPr>
          <w:spacing w:val="6"/>
        </w:rPr>
        <w:t> </w:t>
      </w:r>
      <w:r>
        <w:rPr/>
        <w:t>investment.</w:t>
      </w:r>
      <w:r>
        <w:rPr>
          <w:spacing w:val="7"/>
        </w:rPr>
        <w:t> </w:t>
      </w:r>
      <w:r>
        <w:rPr/>
        <w:t>Third,</w:t>
      </w:r>
      <w:r>
        <w:rPr>
          <w:spacing w:val="6"/>
        </w:rPr>
        <w:t> </w:t>
      </w:r>
      <w:r>
        <w:rPr/>
        <w:t>even</w:t>
      </w:r>
      <w:r>
        <w:rPr>
          <w:spacing w:val="10"/>
        </w:rPr>
        <w:t> </w:t>
      </w:r>
      <w:r>
        <w:rPr/>
        <w:t>if</w:t>
      </w:r>
      <w:r>
        <w:rPr>
          <w:spacing w:val="8"/>
        </w:rPr>
        <w:t> </w:t>
      </w:r>
      <w:r>
        <w:rPr/>
        <w:t>aid</w:t>
      </w:r>
      <w:r>
        <w:rPr>
          <w:spacing w:val="8"/>
        </w:rPr>
        <w:t> </w:t>
      </w:r>
      <w:r>
        <w:rPr/>
        <w:t>was</w:t>
      </w:r>
      <w:r>
        <w:rPr>
          <w:spacing w:val="7"/>
        </w:rPr>
        <w:t> </w:t>
      </w:r>
      <w:r>
        <w:rPr/>
        <w:t>volatile</w:t>
      </w:r>
      <w:r>
        <w:rPr>
          <w:spacing w:val="6"/>
        </w:rPr>
        <w:t> </w:t>
      </w:r>
      <w:r>
        <w:rPr/>
        <w:t>to</w:t>
      </w:r>
      <w:r>
        <w:rPr>
          <w:spacing w:val="7"/>
        </w:rPr>
        <w:t> </w:t>
      </w:r>
      <w:r>
        <w:rPr/>
        <w:t>induce</w:t>
      </w:r>
      <w:r>
        <w:rPr>
          <w:spacing w:val="5"/>
        </w:rPr>
        <w:t> </w:t>
      </w:r>
      <w:r>
        <w:rPr/>
        <w:t>speculative</w:t>
      </w:r>
      <w:r>
        <w:rPr>
          <w:spacing w:val="6"/>
        </w:rPr>
        <w:t> </w:t>
      </w:r>
      <w:r>
        <w:rPr>
          <w:spacing w:val="-2"/>
        </w:rPr>
        <w:t>capital</w:t>
      </w:r>
    </w:p>
    <w:p>
      <w:pPr>
        <w:spacing w:after="0" w:line="480" w:lineRule="auto"/>
        <w:jc w:val="both"/>
        <w:sectPr>
          <w:pgSz w:w="11910" w:h="16840"/>
          <w:pgMar w:header="0" w:footer="979" w:top="1360" w:bottom="1240" w:left="280" w:right="0"/>
        </w:sectPr>
      </w:pPr>
    </w:p>
    <w:p>
      <w:pPr>
        <w:pStyle w:val="BodyText"/>
        <w:spacing w:line="480" w:lineRule="auto" w:before="60"/>
        <w:ind w:left="711" w:right="482"/>
        <w:jc w:val="both"/>
      </w:pPr>
      <w:r>
        <w:rPr/>
        <w:t>flight this might be something to be welcomed. Such capital flight would, by its nature, be temporary: private agents would be smoothing the ‘fickle’ behaviour of donors.</w:t>
      </w:r>
    </w:p>
    <w:p>
      <w:pPr>
        <w:pStyle w:val="Heading6"/>
        <w:spacing w:before="1"/>
      </w:pPr>
      <w:r>
        <w:rPr/>
        <w:t>The</w:t>
      </w:r>
      <w:r>
        <w:rPr>
          <w:spacing w:val="-2"/>
        </w:rPr>
        <w:t> </w:t>
      </w:r>
      <w:r>
        <w:rPr/>
        <w:t>Dutch</w:t>
      </w:r>
      <w:r>
        <w:rPr>
          <w:spacing w:val="-1"/>
        </w:rPr>
        <w:t> </w:t>
      </w:r>
      <w:r>
        <w:rPr/>
        <w:t>Disease</w:t>
      </w:r>
      <w:r>
        <w:rPr>
          <w:spacing w:val="-2"/>
        </w:rPr>
        <w:t> Theory</w:t>
      </w:r>
    </w:p>
    <w:p>
      <w:pPr>
        <w:pStyle w:val="BodyText"/>
        <w:rPr>
          <w:b/>
        </w:rPr>
      </w:pPr>
    </w:p>
    <w:p>
      <w:pPr>
        <w:pStyle w:val="BodyText"/>
        <w:spacing w:line="480" w:lineRule="auto"/>
        <w:ind w:left="711" w:right="467" w:firstLine="60"/>
        <w:jc w:val="both"/>
      </w:pPr>
      <w:r>
        <w:rPr/>
        <w:t>Another theory that explains the basis for capital flight is Dutch disease (Corden, 1984). It is well- understood that aid will tend to appreciate the real exchange rate and thereby reduce the profitability of the tradable sector. The non-tradable sector may offer relatively few opportunities for the investment of private capital. The capital-intensive parts of the non-tradable sector, such as power, telecommunications and transport, may be in the hands of the public sector (or foreign privatizations). The private part of the non- tradable sector may be informal and so unable to absorb bank financing, and in any case is likely to be highly labour-intensive. A remarkable apparent example of such a phenomenon is Nigeria following the oil boom of the 1970s, oil revenue being somewhat analogous to a massive inflow of aid. As a result of the massive influx of oil revenue, Nigerian non-oil exports collapsed, and even more remarkably private investment collapsed (Bevan</w:t>
      </w:r>
      <w:r>
        <w:rPr>
          <w:i/>
        </w:rPr>
        <w:t>, et al</w:t>
      </w:r>
      <w:r>
        <w:rPr/>
        <w:t>, 1999). Such a decline in the opportunities for domestic investment</w:t>
      </w:r>
      <w:r>
        <w:rPr>
          <w:spacing w:val="40"/>
        </w:rPr>
        <w:t> </w:t>
      </w:r>
      <w:r>
        <w:rPr/>
        <w:t>would tend to shift portfolio allocations abroad and so induce capital flight.</w:t>
      </w:r>
    </w:p>
    <w:p>
      <w:pPr>
        <w:pStyle w:val="BodyText"/>
      </w:pPr>
    </w:p>
    <w:p>
      <w:pPr>
        <w:pStyle w:val="BodyText"/>
        <w:spacing w:before="1"/>
      </w:pPr>
    </w:p>
    <w:p>
      <w:pPr>
        <w:pStyle w:val="BodyText"/>
        <w:spacing w:line="480" w:lineRule="auto" w:before="1"/>
        <w:ind w:left="711" w:right="471"/>
        <w:jc w:val="both"/>
      </w:pPr>
      <w:r>
        <w:rPr/>
        <w:t>However, the Dutch disease theory has its limitations. As Bevan, Collier and Gunning (1999) show, Indonesia</w:t>
      </w:r>
      <w:r>
        <w:rPr>
          <w:spacing w:val="-1"/>
        </w:rPr>
        <w:t> </w:t>
      </w:r>
      <w:r>
        <w:rPr/>
        <w:t>received</w:t>
      </w:r>
      <w:r>
        <w:rPr>
          <w:spacing w:val="-1"/>
        </w:rPr>
        <w:t> </w:t>
      </w:r>
      <w:r>
        <w:rPr/>
        <w:t>much the</w:t>
      </w:r>
      <w:r>
        <w:rPr>
          <w:spacing w:val="-1"/>
        </w:rPr>
        <w:t> </w:t>
      </w:r>
      <w:r>
        <w:rPr/>
        <w:t>same</w:t>
      </w:r>
      <w:r>
        <w:rPr>
          <w:spacing w:val="-1"/>
        </w:rPr>
        <w:t> </w:t>
      </w:r>
      <w:r>
        <w:rPr/>
        <w:t>oil windfall but was able</w:t>
      </w:r>
      <w:r>
        <w:rPr>
          <w:spacing w:val="-1"/>
        </w:rPr>
        <w:t> </w:t>
      </w:r>
      <w:r>
        <w:rPr/>
        <w:t>to expand exports rapidly</w:t>
      </w:r>
      <w:r>
        <w:rPr>
          <w:spacing w:val="-5"/>
        </w:rPr>
        <w:t> </w:t>
      </w:r>
      <w:r>
        <w:rPr/>
        <w:t>and indeed attracted a large private investment inflow. The consequences of a foreign exchange windfall for capital flight might not follow automatically from Dutch disease, but rather depend upon the policy context. We should note</w:t>
      </w:r>
      <w:r>
        <w:rPr>
          <w:spacing w:val="40"/>
        </w:rPr>
        <w:t> </w:t>
      </w:r>
      <w:r>
        <w:rPr/>
        <w:t>that there is also a potential valuation effect arising from the appreciation of the real exchange rate. Flight capital is a foreign currency asset, whereas, domestic investment is a domestic currency asset. As the real exchange rate appreciates in response to aid then for a given configuration of assets flight capital will become relatively less valuable and so decline as a share of the portfolio. We abstract from this valuation effect by</w:t>
      </w:r>
      <w:r>
        <w:rPr>
          <w:spacing w:val="-4"/>
        </w:rPr>
        <w:t> </w:t>
      </w:r>
      <w:r>
        <w:rPr/>
        <w:t>valuing</w:t>
      </w:r>
      <w:r>
        <w:rPr>
          <w:spacing w:val="-2"/>
        </w:rPr>
        <w:t> </w:t>
      </w:r>
      <w:r>
        <w:rPr/>
        <w:t>domestic investment at international purchasing</w:t>
      </w:r>
      <w:r>
        <w:rPr>
          <w:spacing w:val="-2"/>
        </w:rPr>
        <w:t> </w:t>
      </w:r>
      <w:r>
        <w:rPr/>
        <w:t>power parity</w:t>
      </w:r>
      <w:r>
        <w:rPr>
          <w:spacing w:val="-4"/>
        </w:rPr>
        <w:t> </w:t>
      </w:r>
      <w:r>
        <w:rPr/>
        <w:t>prices, using</w:t>
      </w:r>
      <w:r>
        <w:rPr>
          <w:spacing w:val="-1"/>
        </w:rPr>
        <w:t> </w:t>
      </w:r>
      <w:r>
        <w:rPr/>
        <w:t>the Penn World </w:t>
      </w:r>
      <w:r>
        <w:rPr>
          <w:spacing w:val="-2"/>
        </w:rPr>
        <w:t>Tables.</w:t>
      </w:r>
    </w:p>
    <w:p>
      <w:pPr>
        <w:spacing w:after="0" w:line="480" w:lineRule="auto"/>
        <w:jc w:val="both"/>
        <w:sectPr>
          <w:pgSz w:w="11910" w:h="16840"/>
          <w:pgMar w:header="0" w:footer="979" w:top="1360" w:bottom="1240" w:left="280" w:right="0"/>
        </w:sectPr>
      </w:pPr>
    </w:p>
    <w:p>
      <w:pPr>
        <w:pStyle w:val="Heading6"/>
        <w:spacing w:before="60"/>
      </w:pPr>
      <w:r>
        <w:rPr/>
        <w:t>The</w:t>
      </w:r>
      <w:r>
        <w:rPr>
          <w:spacing w:val="-4"/>
        </w:rPr>
        <w:t> </w:t>
      </w:r>
      <w:r>
        <w:rPr/>
        <w:t>Public</w:t>
      </w:r>
      <w:r>
        <w:rPr>
          <w:spacing w:val="-3"/>
        </w:rPr>
        <w:t> </w:t>
      </w:r>
      <w:r>
        <w:rPr/>
        <w:t>Investment</w:t>
      </w:r>
      <w:r>
        <w:rPr>
          <w:spacing w:val="-1"/>
        </w:rPr>
        <w:t> </w:t>
      </w:r>
      <w:r>
        <w:rPr>
          <w:spacing w:val="-2"/>
        </w:rPr>
        <w:t>Theory</w:t>
      </w:r>
    </w:p>
    <w:p>
      <w:pPr>
        <w:pStyle w:val="BodyText"/>
        <w:spacing w:before="1"/>
        <w:rPr>
          <w:b/>
        </w:rPr>
      </w:pPr>
    </w:p>
    <w:p>
      <w:pPr>
        <w:pStyle w:val="BodyText"/>
        <w:spacing w:line="480" w:lineRule="auto"/>
        <w:ind w:left="711" w:right="472"/>
        <w:jc w:val="both"/>
      </w:pPr>
      <w:r>
        <w:rPr/>
        <w:t>While the first three theories have all implied that aid would increase capital flight, we now consider a theory by which it would have the opposite effect. The traditional view of aid was that it financed the ‘two gaps’ – savings and foreign exchange. As the scope for transforming output and consumption between tradables and non-tradables became better appreciated, the foreign exchange gap fell into abeyance, leaving the savings gap center stage: the role of aid was to finance investment. Once different roles are allowed for the public and private sector, the role of aid becomes further pronounced – it finances public investment, which</w:t>
      </w:r>
      <w:r>
        <w:rPr>
          <w:spacing w:val="-2"/>
        </w:rPr>
        <w:t> </w:t>
      </w:r>
      <w:r>
        <w:rPr/>
        <w:t>in</w:t>
      </w:r>
      <w:r>
        <w:rPr>
          <w:spacing w:val="-2"/>
        </w:rPr>
        <w:t> </w:t>
      </w:r>
      <w:r>
        <w:rPr/>
        <w:t>large</w:t>
      </w:r>
      <w:r>
        <w:rPr>
          <w:spacing w:val="-3"/>
        </w:rPr>
        <w:t> </w:t>
      </w:r>
      <w:r>
        <w:rPr/>
        <w:t>part</w:t>
      </w:r>
      <w:r>
        <w:rPr>
          <w:spacing w:val="-1"/>
        </w:rPr>
        <w:t> </w:t>
      </w:r>
      <w:r>
        <w:rPr/>
        <w:t>coincides with</w:t>
      </w:r>
      <w:r>
        <w:rPr>
          <w:spacing w:val="-2"/>
        </w:rPr>
        <w:t> </w:t>
      </w:r>
      <w:r>
        <w:rPr/>
        <w:t>infrastructure. By</w:t>
      </w:r>
      <w:r>
        <w:rPr>
          <w:spacing w:val="-5"/>
        </w:rPr>
        <w:t> </w:t>
      </w:r>
      <w:r>
        <w:rPr/>
        <w:t>the</w:t>
      </w:r>
      <w:r>
        <w:rPr>
          <w:spacing w:val="-1"/>
        </w:rPr>
        <w:t> </w:t>
      </w:r>
      <w:r>
        <w:rPr/>
        <w:t>1970s,</w:t>
      </w:r>
      <w:r>
        <w:rPr>
          <w:spacing w:val="-2"/>
        </w:rPr>
        <w:t> </w:t>
      </w:r>
      <w:r>
        <w:rPr/>
        <w:t>this</w:t>
      </w:r>
      <w:r>
        <w:rPr>
          <w:spacing w:val="-2"/>
        </w:rPr>
        <w:t> </w:t>
      </w:r>
      <w:r>
        <w:rPr/>
        <w:t>was</w:t>
      </w:r>
      <w:r>
        <w:rPr>
          <w:spacing w:val="-2"/>
        </w:rPr>
        <w:t> </w:t>
      </w:r>
      <w:r>
        <w:rPr/>
        <w:t>probably</w:t>
      </w:r>
      <w:r>
        <w:rPr>
          <w:spacing w:val="-7"/>
        </w:rPr>
        <w:t> </w:t>
      </w:r>
      <w:r>
        <w:rPr/>
        <w:t>the</w:t>
      </w:r>
      <w:r>
        <w:rPr>
          <w:spacing w:val="-3"/>
        </w:rPr>
        <w:t> </w:t>
      </w:r>
      <w:r>
        <w:rPr/>
        <w:t>main</w:t>
      </w:r>
      <w:r>
        <w:rPr>
          <w:spacing w:val="-2"/>
        </w:rPr>
        <w:t> </w:t>
      </w:r>
      <w:r>
        <w:rPr/>
        <w:t>conception</w:t>
      </w:r>
      <w:r>
        <w:rPr>
          <w:spacing w:val="-2"/>
        </w:rPr>
        <w:t> </w:t>
      </w:r>
      <w:r>
        <w:rPr/>
        <w:t>of</w:t>
      </w:r>
      <w:r>
        <w:rPr>
          <w:spacing w:val="-2"/>
        </w:rPr>
        <w:t> </w:t>
      </w:r>
      <w:r>
        <w:rPr/>
        <w:t>the role of aid. Although, the implications for capital flight were not considered, the link is relatively straightforward: aid should reduce capital flight because public and private capital is complementary. That is, the enhanced stock of public capital should raise the return on private capital and so reduce the incentive to shift portfolios abroad.</w:t>
      </w:r>
    </w:p>
    <w:p>
      <w:pPr>
        <w:pStyle w:val="BodyText"/>
        <w:spacing w:line="480" w:lineRule="auto" w:before="1"/>
        <w:ind w:left="711" w:right="473"/>
        <w:jc w:val="both"/>
      </w:pPr>
      <w:r>
        <w:rPr/>
        <w:t>Some of the limitations of the public investment theory are that aid is now seen as fungible, so that it does not necessarily finance the public investment projects that are its ostensible purpose. Furthermore, the importance</w:t>
      </w:r>
      <w:r>
        <w:rPr>
          <w:spacing w:val="-3"/>
        </w:rPr>
        <w:t> </w:t>
      </w:r>
      <w:r>
        <w:rPr/>
        <w:t>of</w:t>
      </w:r>
      <w:r>
        <w:rPr>
          <w:spacing w:val="-1"/>
        </w:rPr>
        <w:t> </w:t>
      </w:r>
      <w:r>
        <w:rPr/>
        <w:t>public</w:t>
      </w:r>
      <w:r>
        <w:rPr>
          <w:spacing w:val="-3"/>
        </w:rPr>
        <w:t> </w:t>
      </w:r>
      <w:r>
        <w:rPr/>
        <w:t>capital</w:t>
      </w:r>
      <w:r>
        <w:rPr>
          <w:spacing w:val="-2"/>
        </w:rPr>
        <w:t> </w:t>
      </w:r>
      <w:r>
        <w:rPr/>
        <w:t>formation</w:t>
      </w:r>
      <w:r>
        <w:rPr>
          <w:spacing w:val="-2"/>
        </w:rPr>
        <w:t> </w:t>
      </w:r>
      <w:r>
        <w:rPr/>
        <w:t>in</w:t>
      </w:r>
      <w:r>
        <w:rPr>
          <w:spacing w:val="-2"/>
        </w:rPr>
        <w:t> </w:t>
      </w:r>
      <w:r>
        <w:rPr/>
        <w:t>the</w:t>
      </w:r>
      <w:r>
        <w:rPr>
          <w:spacing w:val="-1"/>
        </w:rPr>
        <w:t> </w:t>
      </w:r>
      <w:r>
        <w:rPr/>
        <w:t>growth</w:t>
      </w:r>
      <w:r>
        <w:rPr>
          <w:spacing w:val="-2"/>
        </w:rPr>
        <w:t> </w:t>
      </w:r>
      <w:r>
        <w:rPr/>
        <w:t>process</w:t>
      </w:r>
      <w:r>
        <w:rPr>
          <w:spacing w:val="-2"/>
        </w:rPr>
        <w:t> </w:t>
      </w:r>
      <w:r>
        <w:rPr/>
        <w:t>has</w:t>
      </w:r>
      <w:r>
        <w:rPr>
          <w:spacing w:val="-2"/>
        </w:rPr>
        <w:t> </w:t>
      </w:r>
      <w:r>
        <w:rPr/>
        <w:t>been</w:t>
      </w:r>
      <w:r>
        <w:rPr>
          <w:spacing w:val="-2"/>
        </w:rPr>
        <w:t> </w:t>
      </w:r>
      <w:r>
        <w:rPr/>
        <w:t>questioned</w:t>
      </w:r>
      <w:r>
        <w:rPr>
          <w:spacing w:val="-1"/>
        </w:rPr>
        <w:t> </w:t>
      </w:r>
      <w:r>
        <w:rPr/>
        <w:t>–</w:t>
      </w:r>
      <w:r>
        <w:rPr>
          <w:spacing w:val="-2"/>
        </w:rPr>
        <w:t> </w:t>
      </w:r>
      <w:r>
        <w:rPr/>
        <w:t>it</w:t>
      </w:r>
      <w:r>
        <w:rPr>
          <w:spacing w:val="-2"/>
        </w:rPr>
        <w:t> </w:t>
      </w:r>
      <w:r>
        <w:rPr/>
        <w:t>has</w:t>
      </w:r>
      <w:r>
        <w:rPr>
          <w:spacing w:val="-2"/>
        </w:rPr>
        <w:t> </w:t>
      </w:r>
      <w:r>
        <w:rPr/>
        <w:t>come</w:t>
      </w:r>
      <w:r>
        <w:rPr>
          <w:spacing w:val="-2"/>
        </w:rPr>
        <w:t> </w:t>
      </w:r>
      <w:r>
        <w:rPr/>
        <w:t>to</w:t>
      </w:r>
      <w:r>
        <w:rPr>
          <w:spacing w:val="-2"/>
        </w:rPr>
        <w:t> </w:t>
      </w:r>
      <w:r>
        <w:rPr/>
        <w:t>be</w:t>
      </w:r>
      <w:r>
        <w:rPr>
          <w:spacing w:val="-3"/>
        </w:rPr>
        <w:t> </w:t>
      </w:r>
      <w:r>
        <w:rPr/>
        <w:t>seen as wasteful rather than complementary to private investment (Devarajan and Swaroop, 2000).</w:t>
      </w:r>
    </w:p>
    <w:p>
      <w:pPr>
        <w:pStyle w:val="Heading6"/>
        <w:spacing w:before="1"/>
      </w:pPr>
      <w:r>
        <w:rPr/>
        <w:t>The</w:t>
      </w:r>
      <w:r>
        <w:rPr>
          <w:spacing w:val="-3"/>
        </w:rPr>
        <w:t> </w:t>
      </w:r>
      <w:r>
        <w:rPr/>
        <w:t>Portfolio</w:t>
      </w:r>
      <w:r>
        <w:rPr>
          <w:spacing w:val="-2"/>
        </w:rPr>
        <w:t> </w:t>
      </w:r>
      <w:r>
        <w:rPr/>
        <w:t>Substitution </w:t>
      </w:r>
      <w:r>
        <w:rPr>
          <w:spacing w:val="-2"/>
        </w:rPr>
        <w:t>Theory</w:t>
      </w:r>
    </w:p>
    <w:p>
      <w:pPr>
        <w:pStyle w:val="BodyText"/>
        <w:spacing w:line="480" w:lineRule="auto" w:before="276"/>
        <w:ind w:left="711" w:right="467"/>
        <w:jc w:val="both"/>
      </w:pPr>
      <w:r>
        <w:rPr/>
        <w:t>The study on the effects of large, persistent aid inflows in “post-stabilization” countries where currency substitution is high suggests another theory whereby aid could reduce capital flight. A key feature of the Buffie </w:t>
      </w:r>
      <w:r>
        <w:rPr>
          <w:i/>
        </w:rPr>
        <w:t>et al </w:t>
      </w:r>
      <w:r>
        <w:rPr/>
        <w:t>(2004) model is that a portion of aid ends up reducing domestic budgetary financing rather than supporting an increase in government spending or a reduction in taxes. They show that, for example, in subSaharan Africa between 1990 and 2001, 21 cents of the aid dollar substituted, on the average, for domestic financing. A persistent aid inflow therefore reduces expected seigniorage and expected inflation. The fall in expected inflation is equivalent to a fall in the depreciation rate, i.e. the opportunity costs of holding</w:t>
      </w:r>
      <w:r>
        <w:rPr>
          <w:spacing w:val="-2"/>
        </w:rPr>
        <w:t> </w:t>
      </w:r>
      <w:r>
        <w:rPr/>
        <w:t>domestic</w:t>
      </w:r>
      <w:r>
        <w:rPr>
          <w:spacing w:val="2"/>
        </w:rPr>
        <w:t> </w:t>
      </w:r>
      <w:r>
        <w:rPr/>
        <w:t>currency</w:t>
      </w:r>
      <w:r>
        <w:rPr>
          <w:spacing w:val="2"/>
        </w:rPr>
        <w:t> </w:t>
      </w:r>
      <w:r>
        <w:rPr/>
        <w:t>rather than</w:t>
      </w:r>
      <w:r>
        <w:rPr>
          <w:spacing w:val="2"/>
        </w:rPr>
        <w:t> </w:t>
      </w:r>
      <w:r>
        <w:rPr/>
        <w:t>foreign</w:t>
      </w:r>
      <w:r>
        <w:rPr>
          <w:spacing w:val="4"/>
        </w:rPr>
        <w:t> </w:t>
      </w:r>
      <w:r>
        <w:rPr/>
        <w:t>currency.</w:t>
      </w:r>
      <w:r>
        <w:rPr>
          <w:spacing w:val="1"/>
        </w:rPr>
        <w:t> </w:t>
      </w:r>
      <w:r>
        <w:rPr/>
        <w:t>With</w:t>
      </w:r>
      <w:r>
        <w:rPr>
          <w:spacing w:val="1"/>
        </w:rPr>
        <w:t> </w:t>
      </w:r>
      <w:r>
        <w:rPr/>
        <w:t>even</w:t>
      </w:r>
      <w:r>
        <w:rPr>
          <w:spacing w:val="2"/>
        </w:rPr>
        <w:t> </w:t>
      </w:r>
      <w:r>
        <w:rPr/>
        <w:t>relative</w:t>
      </w:r>
      <w:r>
        <w:rPr>
          <w:spacing w:val="3"/>
        </w:rPr>
        <w:t> </w:t>
      </w:r>
      <w:r>
        <w:rPr/>
        <w:t>modest</w:t>
      </w:r>
      <w:r>
        <w:rPr>
          <w:spacing w:val="1"/>
        </w:rPr>
        <w:t> </w:t>
      </w:r>
      <w:r>
        <w:rPr/>
        <w:t>portfolio</w:t>
      </w:r>
      <w:r>
        <w:rPr>
          <w:spacing w:val="2"/>
        </w:rPr>
        <w:t> </w:t>
      </w:r>
      <w:r>
        <w:rPr>
          <w:spacing w:val="-2"/>
        </w:rPr>
        <w:t>substitutability,</w:t>
      </w:r>
    </w:p>
    <w:p>
      <w:pPr>
        <w:pStyle w:val="BodyText"/>
        <w:spacing w:before="1"/>
        <w:ind w:left="711"/>
        <w:jc w:val="both"/>
      </w:pPr>
      <w:r>
        <w:rPr/>
        <w:t>this</w:t>
      </w:r>
      <w:r>
        <w:rPr>
          <w:spacing w:val="8"/>
        </w:rPr>
        <w:t> </w:t>
      </w:r>
      <w:r>
        <w:rPr/>
        <w:t>triggers</w:t>
      </w:r>
      <w:r>
        <w:rPr>
          <w:spacing w:val="9"/>
        </w:rPr>
        <w:t> </w:t>
      </w:r>
      <w:r>
        <w:rPr/>
        <w:t>a</w:t>
      </w:r>
      <w:r>
        <w:rPr>
          <w:spacing w:val="8"/>
        </w:rPr>
        <w:t> </w:t>
      </w:r>
      <w:r>
        <w:rPr/>
        <w:t>portfolio</w:t>
      </w:r>
      <w:r>
        <w:rPr>
          <w:spacing w:val="9"/>
        </w:rPr>
        <w:t> </w:t>
      </w:r>
      <w:r>
        <w:rPr/>
        <w:t>adjustment</w:t>
      </w:r>
      <w:r>
        <w:rPr>
          <w:spacing w:val="9"/>
        </w:rPr>
        <w:t> </w:t>
      </w:r>
      <w:r>
        <w:rPr/>
        <w:t>generating</w:t>
      </w:r>
      <w:r>
        <w:rPr>
          <w:spacing w:val="7"/>
        </w:rPr>
        <w:t> </w:t>
      </w:r>
      <w:r>
        <w:rPr/>
        <w:t>an</w:t>
      </w:r>
      <w:r>
        <w:rPr>
          <w:spacing w:val="12"/>
        </w:rPr>
        <w:t> </w:t>
      </w:r>
      <w:r>
        <w:rPr/>
        <w:t>outright</w:t>
      </w:r>
      <w:r>
        <w:rPr>
          <w:spacing w:val="11"/>
        </w:rPr>
        <w:t> </w:t>
      </w:r>
      <w:r>
        <w:rPr/>
        <w:t>reduction</w:t>
      </w:r>
      <w:r>
        <w:rPr>
          <w:spacing w:val="9"/>
        </w:rPr>
        <w:t> </w:t>
      </w:r>
      <w:r>
        <w:rPr/>
        <w:t>in</w:t>
      </w:r>
      <w:r>
        <w:rPr>
          <w:spacing w:val="10"/>
        </w:rPr>
        <w:t> </w:t>
      </w:r>
      <w:r>
        <w:rPr/>
        <w:t>desired</w:t>
      </w:r>
      <w:r>
        <w:rPr>
          <w:spacing w:val="9"/>
        </w:rPr>
        <w:t> </w:t>
      </w:r>
      <w:r>
        <w:rPr/>
        <w:t>foreign</w:t>
      </w:r>
      <w:r>
        <w:rPr>
          <w:spacing w:val="9"/>
        </w:rPr>
        <w:t> </w:t>
      </w:r>
      <w:r>
        <w:rPr/>
        <w:t>balances,</w:t>
      </w:r>
      <w:r>
        <w:rPr>
          <w:spacing w:val="10"/>
        </w:rPr>
        <w:t> </w:t>
      </w:r>
      <w:r>
        <w:rPr/>
        <w:t>i.e.</w:t>
      </w:r>
      <w:r>
        <w:rPr>
          <w:spacing w:val="11"/>
        </w:rPr>
        <w:t> </w:t>
      </w:r>
      <w:r>
        <w:rPr/>
        <w:t>there</w:t>
      </w:r>
      <w:r>
        <w:rPr>
          <w:spacing w:val="9"/>
        </w:rPr>
        <w:t> </w:t>
      </w:r>
      <w:r>
        <w:rPr>
          <w:spacing w:val="-5"/>
        </w:rPr>
        <w:t>is</w:t>
      </w:r>
    </w:p>
    <w:p>
      <w:pPr>
        <w:spacing w:after="0"/>
        <w:jc w:val="both"/>
        <w:sectPr>
          <w:pgSz w:w="11910" w:h="16840"/>
          <w:pgMar w:header="0" w:footer="979" w:top="1360" w:bottom="1240" w:left="280" w:right="0"/>
        </w:sectPr>
      </w:pPr>
    </w:p>
    <w:p>
      <w:pPr>
        <w:pStyle w:val="BodyText"/>
        <w:spacing w:line="480" w:lineRule="auto" w:before="60"/>
        <w:ind w:left="711" w:right="475"/>
        <w:jc w:val="both"/>
      </w:pPr>
      <w:r>
        <w:rPr/>
        <w:t>a private capital inflow. The implication is that capital flight would fall or even turn from an outflow to an inflow, or repatriation of previous flight.</w:t>
      </w:r>
    </w:p>
    <w:p>
      <w:pPr>
        <w:pStyle w:val="BodyText"/>
        <w:spacing w:line="480" w:lineRule="auto" w:before="1"/>
        <w:ind w:left="711" w:right="470"/>
        <w:jc w:val="both"/>
      </w:pPr>
      <w:r>
        <w:rPr/>
        <w:t>The limitations of the theory include; large increases in aid inflows may not be highly persistent for many countries, but rather short-lived and volatile, as noted above. In some countries, aid may be fully spent, rather than substitute for domestic financing with subsequent effects on long-run inflation, depreciation and portfolio substitution. However, the Buffie </w:t>
      </w:r>
      <w:r>
        <w:rPr>
          <w:i/>
        </w:rPr>
        <w:t>et al </w:t>
      </w:r>
      <w:r>
        <w:rPr/>
        <w:t>(2004) model does not consider aid that finances public investment. This type of aid brings many new effects into play. Portfolio substitution towards domestic currency</w:t>
      </w:r>
      <w:r>
        <w:rPr>
          <w:spacing w:val="-4"/>
        </w:rPr>
        <w:t> </w:t>
      </w:r>
      <w:r>
        <w:rPr/>
        <w:t>and the private capital inflow could be strengthened by</w:t>
      </w:r>
      <w:r>
        <w:rPr>
          <w:spacing w:val="-4"/>
        </w:rPr>
        <w:t> </w:t>
      </w:r>
      <w:r>
        <w:rPr/>
        <w:t>higher rates of return on private capital due to complementary public investment.</w:t>
      </w:r>
    </w:p>
    <w:p>
      <w:pPr>
        <w:pStyle w:val="Heading6"/>
        <w:spacing w:before="1"/>
      </w:pPr>
      <w:r>
        <w:rPr/>
        <w:t>The</w:t>
      </w:r>
      <w:r>
        <w:rPr>
          <w:spacing w:val="-4"/>
        </w:rPr>
        <w:t> </w:t>
      </w:r>
      <w:r>
        <w:rPr/>
        <w:t>Hypothesis</w:t>
      </w:r>
      <w:r>
        <w:rPr>
          <w:spacing w:val="-1"/>
        </w:rPr>
        <w:t> </w:t>
      </w:r>
      <w:r>
        <w:rPr/>
        <w:t>of Contingent </w:t>
      </w:r>
      <w:r>
        <w:rPr>
          <w:spacing w:val="-2"/>
        </w:rPr>
        <w:t>Effects</w:t>
      </w:r>
    </w:p>
    <w:p>
      <w:pPr>
        <w:pStyle w:val="BodyText"/>
        <w:rPr>
          <w:b/>
        </w:rPr>
      </w:pPr>
    </w:p>
    <w:p>
      <w:pPr>
        <w:pStyle w:val="BodyText"/>
        <w:spacing w:line="480" w:lineRule="auto"/>
        <w:ind w:left="711" w:right="471"/>
        <w:jc w:val="both"/>
      </w:pPr>
      <w:r>
        <w:rPr/>
        <w:t>If both the public investment theory and, at least, one of the other theories are correct, then the net effect of aid on capital flight cannot be determined a priori.</w:t>
      </w:r>
      <w:r>
        <w:rPr>
          <w:spacing w:val="40"/>
        </w:rPr>
        <w:t> </w:t>
      </w:r>
      <w:r>
        <w:rPr/>
        <w:t>Collier and Dollar (2004) investigate the effect of aid on growth and on investment and find that the effects of aid are contingent both upon its volume and upon the policy environment. The volume effect follows from diminishing returns: beyond a certain level, aid ceases to raise growth and may begin to reduce it: Collier and Dollar term this the ‘saturation point’. In turn, the saturation point depends upon the policy environment. Collier and Dollar measure this using the Country Policy and Institutional Assessment of the World Bank, which is an annual rating of twenty different components of economic policy. Better policy increases aid absorption. They interpret their results as suggesting that aid has both favourable and detrimental effects such as might come about from the presence of</w:t>
      </w:r>
      <w:r>
        <w:rPr>
          <w:spacing w:val="-1"/>
        </w:rPr>
        <w:t> </w:t>
      </w:r>
      <w:r>
        <w:rPr/>
        <w:t>both a</w:t>
      </w:r>
      <w:r>
        <w:rPr>
          <w:spacing w:val="-1"/>
        </w:rPr>
        <w:t> </w:t>
      </w:r>
      <w:r>
        <w:rPr/>
        <w:t>public</w:t>
      </w:r>
      <w:r>
        <w:rPr>
          <w:spacing w:val="-1"/>
        </w:rPr>
        <w:t> </w:t>
      </w:r>
      <w:r>
        <w:rPr/>
        <w:t>investment theory</w:t>
      </w:r>
      <w:r>
        <w:rPr>
          <w:spacing w:val="-5"/>
        </w:rPr>
        <w:t> </w:t>
      </w:r>
      <w:r>
        <w:rPr/>
        <w:t>and a</w:t>
      </w:r>
      <w:r>
        <w:rPr>
          <w:spacing w:val="-1"/>
        </w:rPr>
        <w:t> </w:t>
      </w:r>
      <w:r>
        <w:rPr/>
        <w:t>Dutch disease</w:t>
      </w:r>
      <w:r>
        <w:rPr>
          <w:spacing w:val="-1"/>
        </w:rPr>
        <w:t> </w:t>
      </w:r>
      <w:r>
        <w:rPr/>
        <w:t>theory. With low volumes of</w:t>
      </w:r>
      <w:r>
        <w:rPr>
          <w:spacing w:val="-1"/>
        </w:rPr>
        <w:t> </w:t>
      </w:r>
      <w:r>
        <w:rPr/>
        <w:t>aid and good policy</w:t>
      </w:r>
      <w:r>
        <w:rPr>
          <w:spacing w:val="-5"/>
        </w:rPr>
        <w:t> </w:t>
      </w:r>
      <w:r>
        <w:rPr/>
        <w:t>the former theory predominates, so that aid enhances growth, and conversely, with high volumes of aid and</w:t>
      </w:r>
      <w:r>
        <w:rPr>
          <w:spacing w:val="40"/>
        </w:rPr>
        <w:t> </w:t>
      </w:r>
      <w:r>
        <w:rPr/>
        <w:t>poor policy Dutch disease predominates.</w:t>
      </w:r>
    </w:p>
    <w:p>
      <w:pPr>
        <w:pStyle w:val="BodyText"/>
        <w:spacing w:before="3"/>
      </w:pPr>
    </w:p>
    <w:p>
      <w:pPr>
        <w:pStyle w:val="BodyText"/>
        <w:spacing w:line="550" w:lineRule="atLeast"/>
        <w:ind w:left="711" w:right="472" w:firstLine="60"/>
        <w:jc w:val="both"/>
      </w:pPr>
      <w:r>
        <w:rPr/>
        <w:t>Collier and Dollar find that the saturation point is typically surprisingly high: in most aid-recipient countries, aid continues to be productive at the margin. While they do not consider the effect of aid on capital</w:t>
      </w:r>
      <w:r>
        <w:rPr>
          <w:spacing w:val="25"/>
        </w:rPr>
        <w:t> </w:t>
      </w:r>
      <w:r>
        <w:rPr/>
        <w:t>flight,</w:t>
      </w:r>
      <w:r>
        <w:rPr>
          <w:spacing w:val="25"/>
        </w:rPr>
        <w:t> </w:t>
      </w:r>
      <w:r>
        <w:rPr/>
        <w:t>their</w:t>
      </w:r>
      <w:r>
        <w:rPr>
          <w:spacing w:val="26"/>
        </w:rPr>
        <w:t> </w:t>
      </w:r>
      <w:r>
        <w:rPr/>
        <w:t>analysis</w:t>
      </w:r>
      <w:r>
        <w:rPr>
          <w:spacing w:val="25"/>
        </w:rPr>
        <w:t> </w:t>
      </w:r>
      <w:r>
        <w:rPr/>
        <w:t>has</w:t>
      </w:r>
      <w:r>
        <w:rPr>
          <w:spacing w:val="25"/>
        </w:rPr>
        <w:t> </w:t>
      </w:r>
      <w:r>
        <w:rPr/>
        <w:t>two</w:t>
      </w:r>
      <w:r>
        <w:rPr>
          <w:spacing w:val="26"/>
        </w:rPr>
        <w:t> </w:t>
      </w:r>
      <w:r>
        <w:rPr/>
        <w:t>implications</w:t>
      </w:r>
      <w:r>
        <w:rPr>
          <w:spacing w:val="23"/>
        </w:rPr>
        <w:t> </w:t>
      </w:r>
      <w:r>
        <w:rPr/>
        <w:t>for</w:t>
      </w:r>
      <w:r>
        <w:rPr>
          <w:spacing w:val="23"/>
        </w:rPr>
        <w:t> </w:t>
      </w:r>
      <w:r>
        <w:rPr/>
        <w:t>it.</w:t>
      </w:r>
      <w:r>
        <w:rPr>
          <w:spacing w:val="25"/>
        </w:rPr>
        <w:t> </w:t>
      </w:r>
      <w:r>
        <w:rPr/>
        <w:t>First,</w:t>
      </w:r>
      <w:r>
        <w:rPr>
          <w:spacing w:val="25"/>
        </w:rPr>
        <w:t> </w:t>
      </w:r>
      <w:r>
        <w:rPr/>
        <w:t>the</w:t>
      </w:r>
      <w:r>
        <w:rPr>
          <w:spacing w:val="24"/>
        </w:rPr>
        <w:t> </w:t>
      </w:r>
      <w:r>
        <w:rPr/>
        <w:t>effect</w:t>
      </w:r>
      <w:r>
        <w:rPr>
          <w:spacing w:val="26"/>
        </w:rPr>
        <w:t> </w:t>
      </w:r>
      <w:r>
        <w:rPr/>
        <w:t>of</w:t>
      </w:r>
      <w:r>
        <w:rPr>
          <w:spacing w:val="24"/>
        </w:rPr>
        <w:t> </w:t>
      </w:r>
      <w:r>
        <w:rPr/>
        <w:t>aid</w:t>
      </w:r>
      <w:r>
        <w:rPr>
          <w:spacing w:val="25"/>
        </w:rPr>
        <w:t> </w:t>
      </w:r>
      <w:r>
        <w:rPr/>
        <w:t>on</w:t>
      </w:r>
      <w:r>
        <w:rPr>
          <w:spacing w:val="25"/>
        </w:rPr>
        <w:t> </w:t>
      </w:r>
      <w:r>
        <w:rPr/>
        <w:t>private</w:t>
      </w:r>
      <w:r>
        <w:rPr>
          <w:spacing w:val="24"/>
        </w:rPr>
        <w:t> </w:t>
      </w:r>
      <w:r>
        <w:rPr/>
        <w:t>investment,</w:t>
      </w:r>
      <w:r>
        <w:rPr>
          <w:spacing w:val="26"/>
        </w:rPr>
        <w:t> </w:t>
      </w:r>
      <w:r>
        <w:rPr>
          <w:spacing w:val="-5"/>
        </w:rPr>
        <w:t>and</w:t>
      </w:r>
    </w:p>
    <w:p>
      <w:pPr>
        <w:spacing w:after="0" w:line="550" w:lineRule="atLeast"/>
        <w:jc w:val="both"/>
        <w:sectPr>
          <w:pgSz w:w="11910" w:h="16840"/>
          <w:pgMar w:header="0" w:footer="979" w:top="1360" w:bottom="1240" w:left="280" w:right="0"/>
        </w:sectPr>
      </w:pPr>
    </w:p>
    <w:p>
      <w:pPr>
        <w:pStyle w:val="BodyText"/>
        <w:spacing w:line="480" w:lineRule="auto" w:before="60"/>
        <w:ind w:left="711" w:right="469"/>
        <w:jc w:val="both"/>
      </w:pPr>
      <w:r>
        <w:rPr/>
        <w:t>hence on capital flight, would be contingent both upon its volume and upon policy. Second, in view of the high level of the saturation point, the normal case would probably be for aid to reduce capital flight. The concept of the saturation point is the point at which the marginal contribution of aid to growth is zero,</w:t>
      </w:r>
      <w:r>
        <w:rPr>
          <w:spacing w:val="40"/>
        </w:rPr>
        <w:t> </w:t>
      </w:r>
      <w:r>
        <w:rPr/>
        <w:t>carries over with modifications to the analysis of capital flight. One analogous concept is the point at which the net effect of aid on capital flight is zero. On one side of this point aid will be ‘scaled-up’ by private capital movements, on the other side it will be ‘scaled down’. We might term this the ‘no-scaling’ point. A second analogous concept is the point at which capital flight is sufficiently severe that it fully offsets the inflow of aid: as a public dollar flows into the economy, a private dollar flows out. We might term this the ‘full-offset’ point.</w:t>
      </w:r>
    </w:p>
    <w:p>
      <w:pPr>
        <w:pStyle w:val="Heading6"/>
        <w:spacing w:before="2"/>
      </w:pPr>
      <w:r>
        <w:rPr/>
        <w:t>The</w:t>
      </w:r>
      <w:r>
        <w:rPr>
          <w:spacing w:val="-2"/>
        </w:rPr>
        <w:t> </w:t>
      </w:r>
      <w:r>
        <w:rPr/>
        <w:t>Marginal</w:t>
      </w:r>
      <w:r>
        <w:rPr>
          <w:spacing w:val="-2"/>
        </w:rPr>
        <w:t> </w:t>
      </w:r>
      <w:r>
        <w:rPr/>
        <w:t>Income</w:t>
      </w:r>
      <w:r>
        <w:rPr>
          <w:spacing w:val="-1"/>
        </w:rPr>
        <w:t> </w:t>
      </w:r>
      <w:r>
        <w:rPr>
          <w:spacing w:val="-2"/>
        </w:rPr>
        <w:t>Theory</w:t>
      </w:r>
    </w:p>
    <w:p>
      <w:pPr>
        <w:pStyle w:val="BodyText"/>
        <w:rPr>
          <w:b/>
        </w:rPr>
      </w:pPr>
    </w:p>
    <w:p>
      <w:pPr>
        <w:pStyle w:val="BodyText"/>
        <w:spacing w:line="480" w:lineRule="auto"/>
        <w:ind w:left="711" w:right="471"/>
        <w:jc w:val="both"/>
      </w:pPr>
      <w:r>
        <w:rPr/>
        <w:t>Here, the pure</w:t>
      </w:r>
      <w:r>
        <w:rPr>
          <w:spacing w:val="-2"/>
        </w:rPr>
        <w:t> </w:t>
      </w:r>
      <w:r>
        <w:rPr/>
        <w:t>effect of</w:t>
      </w:r>
      <w:r>
        <w:rPr>
          <w:spacing w:val="-1"/>
        </w:rPr>
        <w:t> </w:t>
      </w:r>
      <w:r>
        <w:rPr/>
        <w:t>aid as an augmentation to income</w:t>
      </w:r>
      <w:r>
        <w:rPr>
          <w:spacing w:val="-1"/>
        </w:rPr>
        <w:t> </w:t>
      </w:r>
      <w:r>
        <w:rPr/>
        <w:t>should be</w:t>
      </w:r>
      <w:r>
        <w:rPr>
          <w:spacing w:val="-1"/>
        </w:rPr>
        <w:t> </w:t>
      </w:r>
      <w:r>
        <w:rPr/>
        <w:t>considered. In the conventional analysis of capital flight, income is measured by GDP. This of course controls any output effects of aid, but misses the fact that aid permits aggregate expenditure to exceed aggregate production. Were there no other effects of aid, how would this affect portfolio choice? There are two reasons to expect that the marginal propensity to acquire assets abroad exceeds the average. The first is that domestic investment is subject to diminishing returns, whereas there are essentially constant returns to foreign investment. The second is that with higher levels of wealth, there is a stronger incentive to diversify the portfolio.</w:t>
      </w:r>
    </w:p>
    <w:p>
      <w:pPr>
        <w:pStyle w:val="BodyText"/>
        <w:spacing w:line="480" w:lineRule="auto" w:before="1"/>
        <w:ind w:left="711" w:right="470"/>
        <w:jc w:val="both"/>
      </w:pPr>
      <w:r>
        <w:rPr/>
        <w:t>The</w:t>
      </w:r>
      <w:r>
        <w:rPr>
          <w:spacing w:val="-1"/>
        </w:rPr>
        <w:t> </w:t>
      </w:r>
      <w:r>
        <w:rPr/>
        <w:t>above</w:t>
      </w:r>
      <w:r>
        <w:rPr>
          <w:spacing w:val="-1"/>
        </w:rPr>
        <w:t> </w:t>
      </w:r>
      <w:r>
        <w:rPr/>
        <w:t>theories tend</w:t>
      </w:r>
      <w:r>
        <w:rPr>
          <w:spacing w:val="-1"/>
        </w:rPr>
        <w:t> </w:t>
      </w:r>
      <w:r>
        <w:rPr/>
        <w:t>to explain why</w:t>
      </w:r>
      <w:r>
        <w:rPr>
          <w:spacing w:val="-7"/>
        </w:rPr>
        <w:t> </w:t>
      </w:r>
      <w:r>
        <w:rPr/>
        <w:t>capital flight take</w:t>
      </w:r>
      <w:r>
        <w:rPr>
          <w:spacing w:val="-2"/>
        </w:rPr>
        <w:t> </w:t>
      </w:r>
      <w:r>
        <w:rPr/>
        <w:t>the</w:t>
      </w:r>
      <w:r>
        <w:rPr>
          <w:spacing w:val="-1"/>
        </w:rPr>
        <w:t> </w:t>
      </w:r>
      <w:r>
        <w:rPr/>
        <w:t>place</w:t>
      </w:r>
      <w:r>
        <w:rPr>
          <w:spacing w:val="-1"/>
        </w:rPr>
        <w:t> </w:t>
      </w:r>
      <w:r>
        <w:rPr/>
        <w:t>in most developing</w:t>
      </w:r>
      <w:r>
        <w:rPr>
          <w:spacing w:val="-3"/>
        </w:rPr>
        <w:t> </w:t>
      </w:r>
      <w:r>
        <w:rPr/>
        <w:t>economy. The</w:t>
      </w:r>
      <w:r>
        <w:rPr>
          <w:spacing w:val="-1"/>
        </w:rPr>
        <w:t> </w:t>
      </w:r>
      <w:r>
        <w:rPr/>
        <w:t>above theories can be classified as either economic or political theory, while the Portfolio-choice theory and the debt Volatility</w:t>
      </w:r>
      <w:r>
        <w:rPr>
          <w:spacing w:val="-8"/>
        </w:rPr>
        <w:t> </w:t>
      </w:r>
      <w:r>
        <w:rPr/>
        <w:t>theories are</w:t>
      </w:r>
      <w:r>
        <w:rPr>
          <w:spacing w:val="-2"/>
        </w:rPr>
        <w:t> </w:t>
      </w:r>
      <w:r>
        <w:rPr/>
        <w:t>regarded as economic</w:t>
      </w:r>
      <w:r>
        <w:rPr>
          <w:spacing w:val="-1"/>
        </w:rPr>
        <w:t> </w:t>
      </w:r>
      <w:r>
        <w:rPr/>
        <w:t>theories, Corruption and the</w:t>
      </w:r>
      <w:r>
        <w:rPr>
          <w:spacing w:val="-1"/>
        </w:rPr>
        <w:t> </w:t>
      </w:r>
      <w:r>
        <w:rPr/>
        <w:t>Dutch Disease</w:t>
      </w:r>
      <w:r>
        <w:rPr>
          <w:spacing w:val="-1"/>
        </w:rPr>
        <w:t> </w:t>
      </w:r>
      <w:r>
        <w:rPr/>
        <w:t>theor</w:t>
      </w:r>
      <w:r>
        <w:rPr>
          <w:b/>
        </w:rPr>
        <w:t>y </w:t>
      </w:r>
      <w:r>
        <w:rPr/>
        <w:t>theories are regarded as political theories. However, the Portfolio-choice theory, Debt Volatility theory and the Corruption theor</w:t>
      </w:r>
      <w:r>
        <w:rPr>
          <w:b/>
        </w:rPr>
        <w:t>y </w:t>
      </w:r>
      <w:r>
        <w:rPr/>
        <w:t>are relevant to this study. This is because studies on capital flight on developing economies suggest that both economic and political factors are responsible for the incidence of capital outflows from the domestic economies (Ojo, 1992, Ayadi, 2008 and Ajayi, 2005). Apart from these theoretical</w:t>
      </w:r>
      <w:r>
        <w:rPr>
          <w:spacing w:val="18"/>
        </w:rPr>
        <w:t> </w:t>
      </w:r>
      <w:r>
        <w:rPr/>
        <w:t>explanations,</w:t>
      </w:r>
      <w:r>
        <w:rPr>
          <w:spacing w:val="15"/>
        </w:rPr>
        <w:t> </w:t>
      </w:r>
      <w:r>
        <w:rPr/>
        <w:t>the</w:t>
      </w:r>
      <w:r>
        <w:rPr>
          <w:spacing w:val="15"/>
        </w:rPr>
        <w:t> </w:t>
      </w:r>
      <w:r>
        <w:rPr/>
        <w:t>study</w:t>
      </w:r>
      <w:r>
        <w:rPr>
          <w:spacing w:val="14"/>
        </w:rPr>
        <w:t> </w:t>
      </w:r>
      <w:r>
        <w:rPr/>
        <w:t>also</w:t>
      </w:r>
      <w:r>
        <w:rPr>
          <w:spacing w:val="16"/>
        </w:rPr>
        <w:t> </w:t>
      </w:r>
      <w:r>
        <w:rPr/>
        <w:t>relies</w:t>
      </w:r>
      <w:r>
        <w:rPr>
          <w:spacing w:val="15"/>
        </w:rPr>
        <w:t> </w:t>
      </w:r>
      <w:r>
        <w:rPr/>
        <w:t>on</w:t>
      </w:r>
      <w:r>
        <w:rPr>
          <w:spacing w:val="15"/>
        </w:rPr>
        <w:t> </w:t>
      </w:r>
      <w:r>
        <w:rPr/>
        <w:t>the</w:t>
      </w:r>
      <w:r>
        <w:rPr>
          <w:spacing w:val="15"/>
        </w:rPr>
        <w:t> </w:t>
      </w:r>
      <w:r>
        <w:rPr/>
        <w:t>residual</w:t>
      </w:r>
      <w:r>
        <w:rPr>
          <w:spacing w:val="18"/>
        </w:rPr>
        <w:t> </w:t>
      </w:r>
      <w:r>
        <w:rPr/>
        <w:t>estimation</w:t>
      </w:r>
      <w:r>
        <w:rPr>
          <w:spacing w:val="16"/>
        </w:rPr>
        <w:t> </w:t>
      </w:r>
      <w:r>
        <w:rPr/>
        <w:t>techniques</w:t>
      </w:r>
      <w:r>
        <w:rPr>
          <w:spacing w:val="15"/>
        </w:rPr>
        <w:t> </w:t>
      </w:r>
      <w:r>
        <w:rPr/>
        <w:t>of</w:t>
      </w:r>
      <w:r>
        <w:rPr>
          <w:spacing w:val="15"/>
        </w:rPr>
        <w:t> </w:t>
      </w:r>
      <w:r>
        <w:rPr/>
        <w:t>the</w:t>
      </w:r>
      <w:r>
        <w:rPr>
          <w:spacing w:val="15"/>
        </w:rPr>
        <w:t> </w:t>
      </w:r>
      <w:r>
        <w:rPr/>
        <w:t>World</w:t>
      </w:r>
      <w:r>
        <w:rPr>
          <w:spacing w:val="17"/>
        </w:rPr>
        <w:t> </w:t>
      </w:r>
      <w:r>
        <w:rPr/>
        <w:t>Bank</w:t>
      </w:r>
      <w:r>
        <w:rPr>
          <w:spacing w:val="16"/>
        </w:rPr>
        <w:t> </w:t>
      </w:r>
      <w:r>
        <w:rPr>
          <w:spacing w:val="-5"/>
        </w:rPr>
        <w:t>and</w:t>
      </w:r>
    </w:p>
    <w:p>
      <w:pPr>
        <w:pStyle w:val="BodyText"/>
        <w:spacing w:before="1"/>
        <w:ind w:left="711"/>
        <w:jc w:val="both"/>
      </w:pPr>
      <w:r>
        <w:rPr/>
        <w:t>Erbe</w:t>
      </w:r>
      <w:r>
        <w:rPr>
          <w:spacing w:val="-4"/>
        </w:rPr>
        <w:t> </w:t>
      </w:r>
      <w:r>
        <w:rPr/>
        <w:t>(1985) and that</w:t>
      </w:r>
      <w:r>
        <w:rPr>
          <w:spacing w:val="-1"/>
        </w:rPr>
        <w:t> </w:t>
      </w:r>
      <w:r>
        <w:rPr/>
        <w:t>of</w:t>
      </w:r>
      <w:r>
        <w:rPr>
          <w:spacing w:val="1"/>
        </w:rPr>
        <w:t> </w:t>
      </w:r>
      <w:r>
        <w:rPr/>
        <w:t>Morgan</w:t>
      </w:r>
      <w:r>
        <w:rPr>
          <w:spacing w:val="-1"/>
        </w:rPr>
        <w:t> </w:t>
      </w:r>
      <w:r>
        <w:rPr/>
        <w:t>Trust</w:t>
      </w:r>
      <w:r>
        <w:rPr>
          <w:spacing w:val="-1"/>
        </w:rPr>
        <w:t> </w:t>
      </w:r>
      <w:r>
        <w:rPr/>
        <w:t>(1986)</w:t>
      </w:r>
      <w:r>
        <w:rPr>
          <w:spacing w:val="-1"/>
        </w:rPr>
        <w:t> </w:t>
      </w:r>
      <w:r>
        <w:rPr/>
        <w:t>discussed</w:t>
      </w:r>
      <w:r>
        <w:rPr>
          <w:spacing w:val="-1"/>
        </w:rPr>
        <w:t> </w:t>
      </w:r>
      <w:r>
        <w:rPr/>
        <w:t>under</w:t>
      </w:r>
      <w:r>
        <w:rPr>
          <w:spacing w:val="1"/>
        </w:rPr>
        <w:t> </w:t>
      </w:r>
      <w:r>
        <w:rPr/>
        <w:t>conceptual</w:t>
      </w:r>
      <w:r>
        <w:rPr>
          <w:spacing w:val="-1"/>
        </w:rPr>
        <w:t> </w:t>
      </w:r>
      <w:r>
        <w:rPr/>
        <w:t>framework </w:t>
      </w:r>
      <w:r>
        <w:rPr>
          <w:spacing w:val="-2"/>
        </w:rPr>
        <w:t>below.</w:t>
      </w:r>
    </w:p>
    <w:p>
      <w:pPr>
        <w:spacing w:after="0"/>
        <w:jc w:val="both"/>
        <w:sectPr>
          <w:pgSz w:w="11910" w:h="16840"/>
          <w:pgMar w:header="0" w:footer="979" w:top="1360" w:bottom="1240" w:left="280" w:right="0"/>
        </w:sectPr>
      </w:pPr>
    </w:p>
    <w:p>
      <w:pPr>
        <w:pStyle w:val="Heading6"/>
        <w:numPr>
          <w:ilvl w:val="1"/>
          <w:numId w:val="10"/>
        </w:numPr>
        <w:tabs>
          <w:tab w:pos="1431" w:val="left" w:leader="none"/>
        </w:tabs>
        <w:spacing w:line="240" w:lineRule="auto" w:before="60" w:after="0"/>
        <w:ind w:left="1431" w:right="0" w:hanging="720"/>
        <w:jc w:val="left"/>
      </w:pPr>
      <w:bookmarkStart w:name="_TOC_250024" w:id="3"/>
      <w:r>
        <w:rPr/>
        <w:t>Normal</w:t>
      </w:r>
      <w:r>
        <w:rPr>
          <w:spacing w:val="-2"/>
        </w:rPr>
        <w:t> </w:t>
      </w:r>
      <w:r>
        <w:rPr/>
        <w:t>and</w:t>
      </w:r>
      <w:r>
        <w:rPr>
          <w:spacing w:val="-2"/>
        </w:rPr>
        <w:t> </w:t>
      </w:r>
      <w:r>
        <w:rPr/>
        <w:t>Abnormal Capital</w:t>
      </w:r>
      <w:r>
        <w:rPr>
          <w:spacing w:val="-1"/>
        </w:rPr>
        <w:t> </w:t>
      </w:r>
      <w:bookmarkEnd w:id="3"/>
      <w:r>
        <w:rPr>
          <w:spacing w:val="-4"/>
        </w:rPr>
        <w:t>Flows</w:t>
      </w:r>
    </w:p>
    <w:p>
      <w:pPr>
        <w:pStyle w:val="BodyText"/>
        <w:spacing w:before="1"/>
        <w:rPr>
          <w:b/>
        </w:rPr>
      </w:pPr>
    </w:p>
    <w:p>
      <w:pPr>
        <w:pStyle w:val="BodyText"/>
        <w:spacing w:line="480" w:lineRule="auto"/>
        <w:ind w:left="711" w:right="467"/>
        <w:jc w:val="both"/>
      </w:pPr>
      <w:r>
        <w:rPr/>
        <w:t>There</w:t>
      </w:r>
      <w:r>
        <w:rPr>
          <w:spacing w:val="-2"/>
        </w:rPr>
        <w:t> </w:t>
      </w:r>
      <w:r>
        <w:rPr/>
        <w:t>are</w:t>
      </w:r>
      <w:r>
        <w:rPr>
          <w:spacing w:val="-2"/>
        </w:rPr>
        <w:t> </w:t>
      </w:r>
      <w:r>
        <w:rPr/>
        <w:t>various definitions of</w:t>
      </w:r>
      <w:r>
        <w:rPr>
          <w:spacing w:val="-1"/>
        </w:rPr>
        <w:t> </w:t>
      </w:r>
      <w:r>
        <w:rPr/>
        <w:t>capital flight. The use</w:t>
      </w:r>
      <w:r>
        <w:rPr>
          <w:spacing w:val="-1"/>
        </w:rPr>
        <w:t> </w:t>
      </w:r>
      <w:r>
        <w:rPr/>
        <w:t>of</w:t>
      </w:r>
      <w:r>
        <w:rPr>
          <w:spacing w:val="-1"/>
        </w:rPr>
        <w:t> </w:t>
      </w:r>
      <w:r>
        <w:rPr/>
        <w:t>the</w:t>
      </w:r>
      <w:r>
        <w:rPr>
          <w:spacing w:val="-1"/>
        </w:rPr>
        <w:t> </w:t>
      </w:r>
      <w:r>
        <w:rPr/>
        <w:t>term “capital flight”</w:t>
      </w:r>
      <w:r>
        <w:rPr>
          <w:spacing w:val="-1"/>
        </w:rPr>
        <w:t> </w:t>
      </w:r>
      <w:r>
        <w:rPr/>
        <w:t>arouses strong emotions in some quarters. The controversy surrounding the term is due partly to the lack of a precise and universally accepted definition for it in economic theory and partly because of the way the term is used between developed and developing countries. It is usual amongst some economists to refer to capital outflow from developed countries as foreign investments while the same activity when undertaken by the residents of the developing countries is referred to as capital flight. One of the distinctions that are often made, however, is that exchange rate control regimes exist in many developing countries. One of the reasons for this</w:t>
      </w:r>
      <w:r>
        <w:rPr>
          <w:spacing w:val="40"/>
        </w:rPr>
        <w:t> </w:t>
      </w:r>
      <w:r>
        <w:rPr/>
        <w:t>dichotomy is the belief that the investors from developed countries are responding to better opportunities abroad. The investors from the developing countries on the other hand are said to be escaping the high risks which they perceive at home. This interpretation makes it very obvious why a lot of economists are “ill-at- ease” with the definition of capital flight. In general, it is believed that the investors from all countries, whether developed or developing, will base their investments decisions on the relative returns and risks of such investments at home and abroad.</w:t>
      </w:r>
    </w:p>
    <w:p>
      <w:pPr>
        <w:pStyle w:val="BodyText"/>
      </w:pPr>
    </w:p>
    <w:p>
      <w:pPr>
        <w:pStyle w:val="BodyText"/>
        <w:spacing w:before="1"/>
      </w:pPr>
    </w:p>
    <w:p>
      <w:pPr>
        <w:pStyle w:val="BodyText"/>
        <w:spacing w:line="480" w:lineRule="auto" w:before="1"/>
        <w:ind w:left="711" w:right="467"/>
        <w:jc w:val="both"/>
      </w:pPr>
      <w:r>
        <w:rPr/>
        <w:t>There</w:t>
      </w:r>
      <w:r>
        <w:rPr>
          <w:spacing w:val="-1"/>
        </w:rPr>
        <w:t> </w:t>
      </w:r>
      <w:r>
        <w:rPr/>
        <w:t>are</w:t>
      </w:r>
      <w:r>
        <w:rPr>
          <w:spacing w:val="-1"/>
        </w:rPr>
        <w:t> </w:t>
      </w:r>
      <w:r>
        <w:rPr/>
        <w:t>possibly</w:t>
      </w:r>
      <w:r>
        <w:rPr>
          <w:spacing w:val="-4"/>
        </w:rPr>
        <w:t> </w:t>
      </w:r>
      <w:r>
        <w:rPr/>
        <w:t>a number of valid reasons why</w:t>
      </w:r>
      <w:r>
        <w:rPr>
          <w:spacing w:val="-2"/>
        </w:rPr>
        <w:t> </w:t>
      </w:r>
      <w:r>
        <w:rPr/>
        <w:t>capital flows from developing</w:t>
      </w:r>
      <w:r>
        <w:rPr>
          <w:spacing w:val="-1"/>
        </w:rPr>
        <w:t> </w:t>
      </w:r>
      <w:r>
        <w:rPr/>
        <w:t>countries should be labeled as “capital flight”. The first is the general presumption in economics that capital should flow towards</w:t>
      </w:r>
      <w:r>
        <w:rPr>
          <w:spacing w:val="40"/>
        </w:rPr>
        <w:t> </w:t>
      </w:r>
      <w:r>
        <w:rPr/>
        <w:t>capital-scarce countries. There is scarcity of capital in developing countries. Any flows in the opposite direction, that is, from developing to developed countries as mentioned in the introduction are not only unusual but abnormal. The second reason is related to a policy issue. What is important is the extent to which those assets held abroad could be utilized at home to reduce the level of external indebtedness and relieve the inherent liquidity problems brought about by debt service obligations (Pastor 1990). In distinguishing between capital flight and normal capital flows, two broad approaches are taken in the literature. The first is an identification of specific episodes (or countries) that are characterized by abnormally</w:t>
      </w:r>
      <w:r>
        <w:rPr>
          <w:spacing w:val="37"/>
        </w:rPr>
        <w:t> </w:t>
      </w:r>
      <w:r>
        <w:rPr/>
        <w:t>adverse</w:t>
      </w:r>
      <w:r>
        <w:rPr>
          <w:spacing w:val="39"/>
        </w:rPr>
        <w:t> </w:t>
      </w:r>
      <w:r>
        <w:rPr/>
        <w:t>economic</w:t>
      </w:r>
      <w:r>
        <w:rPr>
          <w:spacing w:val="39"/>
        </w:rPr>
        <w:t> </w:t>
      </w:r>
      <w:r>
        <w:rPr/>
        <w:t>conditions</w:t>
      </w:r>
      <w:r>
        <w:rPr>
          <w:spacing w:val="40"/>
        </w:rPr>
        <w:t> </w:t>
      </w:r>
      <w:r>
        <w:rPr/>
        <w:t>for</w:t>
      </w:r>
      <w:r>
        <w:rPr>
          <w:spacing w:val="39"/>
        </w:rPr>
        <w:t> </w:t>
      </w:r>
      <w:r>
        <w:rPr/>
        <w:t>investment</w:t>
      </w:r>
      <w:r>
        <w:rPr>
          <w:spacing w:val="41"/>
        </w:rPr>
        <w:t> </w:t>
      </w:r>
      <w:r>
        <w:rPr/>
        <w:t>and</w:t>
      </w:r>
      <w:r>
        <w:rPr>
          <w:spacing w:val="39"/>
        </w:rPr>
        <w:t> </w:t>
      </w:r>
      <w:r>
        <w:rPr/>
        <w:t>consider</w:t>
      </w:r>
      <w:r>
        <w:rPr>
          <w:spacing w:val="42"/>
        </w:rPr>
        <w:t> </w:t>
      </w:r>
      <w:r>
        <w:rPr/>
        <w:t>all</w:t>
      </w:r>
      <w:r>
        <w:rPr>
          <w:spacing w:val="41"/>
        </w:rPr>
        <w:t> </w:t>
      </w:r>
      <w:r>
        <w:rPr/>
        <w:t>estimates</w:t>
      </w:r>
      <w:r>
        <w:rPr>
          <w:spacing w:val="39"/>
        </w:rPr>
        <w:t> </w:t>
      </w:r>
      <w:r>
        <w:rPr/>
        <w:t>of</w:t>
      </w:r>
      <w:r>
        <w:rPr>
          <w:spacing w:val="39"/>
        </w:rPr>
        <w:t> </w:t>
      </w:r>
      <w:r>
        <w:rPr/>
        <w:t>the</w:t>
      </w:r>
      <w:r>
        <w:rPr>
          <w:spacing w:val="40"/>
        </w:rPr>
        <w:t> </w:t>
      </w:r>
      <w:r>
        <w:rPr/>
        <w:t>acquisition</w:t>
      </w:r>
      <w:r>
        <w:rPr>
          <w:spacing w:val="41"/>
        </w:rPr>
        <w:t> </w:t>
      </w:r>
      <w:r>
        <w:rPr>
          <w:spacing w:val="-5"/>
        </w:rPr>
        <w:t>of</w:t>
      </w:r>
    </w:p>
    <w:p>
      <w:pPr>
        <w:pStyle w:val="BodyText"/>
        <w:spacing w:before="1"/>
        <w:ind w:left="711"/>
        <w:jc w:val="both"/>
      </w:pPr>
      <w:r>
        <w:rPr/>
        <w:t>external</w:t>
      </w:r>
      <w:r>
        <w:rPr>
          <w:spacing w:val="25"/>
        </w:rPr>
        <w:t> </w:t>
      </w:r>
      <w:r>
        <w:rPr/>
        <w:t>claims</w:t>
      </w:r>
      <w:r>
        <w:rPr>
          <w:spacing w:val="25"/>
        </w:rPr>
        <w:t> </w:t>
      </w:r>
      <w:r>
        <w:rPr/>
        <w:t>that</w:t>
      </w:r>
      <w:r>
        <w:rPr>
          <w:spacing w:val="25"/>
        </w:rPr>
        <w:t> </w:t>
      </w:r>
      <w:r>
        <w:rPr/>
        <w:t>are</w:t>
      </w:r>
      <w:r>
        <w:rPr>
          <w:spacing w:val="21"/>
        </w:rPr>
        <w:t> </w:t>
      </w:r>
      <w:r>
        <w:rPr/>
        <w:t>not</w:t>
      </w:r>
      <w:r>
        <w:rPr>
          <w:spacing w:val="25"/>
        </w:rPr>
        <w:t> </w:t>
      </w:r>
      <w:r>
        <w:rPr/>
        <w:t>reported</w:t>
      </w:r>
      <w:r>
        <w:rPr>
          <w:spacing w:val="26"/>
        </w:rPr>
        <w:t> </w:t>
      </w:r>
      <w:r>
        <w:rPr/>
        <w:t>to</w:t>
      </w:r>
      <w:r>
        <w:rPr>
          <w:spacing w:val="25"/>
        </w:rPr>
        <w:t> </w:t>
      </w:r>
      <w:r>
        <w:rPr/>
        <w:t>the</w:t>
      </w:r>
      <w:r>
        <w:rPr>
          <w:spacing w:val="24"/>
        </w:rPr>
        <w:t> </w:t>
      </w:r>
      <w:r>
        <w:rPr/>
        <w:t>domestic</w:t>
      </w:r>
      <w:r>
        <w:rPr>
          <w:spacing w:val="24"/>
        </w:rPr>
        <w:t> </w:t>
      </w:r>
      <w:r>
        <w:rPr/>
        <w:t>authorities.</w:t>
      </w:r>
      <w:r>
        <w:rPr>
          <w:spacing w:val="26"/>
        </w:rPr>
        <w:t>  </w:t>
      </w:r>
      <w:r>
        <w:rPr/>
        <w:t>On</w:t>
      </w:r>
      <w:r>
        <w:rPr>
          <w:spacing w:val="24"/>
        </w:rPr>
        <w:t> </w:t>
      </w:r>
      <w:r>
        <w:rPr/>
        <w:t>the</w:t>
      </w:r>
      <w:r>
        <w:rPr>
          <w:spacing w:val="23"/>
        </w:rPr>
        <w:t> </w:t>
      </w:r>
      <w:r>
        <w:rPr/>
        <w:t>other</w:t>
      </w:r>
      <w:r>
        <w:rPr>
          <w:spacing w:val="23"/>
        </w:rPr>
        <w:t> </w:t>
      </w:r>
      <w:r>
        <w:rPr/>
        <w:t>hand,</w:t>
      </w:r>
      <w:r>
        <w:rPr>
          <w:spacing w:val="25"/>
        </w:rPr>
        <w:t> </w:t>
      </w:r>
      <w:r>
        <w:rPr/>
        <w:t>capital</w:t>
      </w:r>
      <w:r>
        <w:rPr>
          <w:spacing w:val="25"/>
        </w:rPr>
        <w:t> </w:t>
      </w:r>
      <w:r>
        <w:rPr/>
        <w:t>flight</w:t>
      </w:r>
      <w:r>
        <w:rPr>
          <w:spacing w:val="25"/>
        </w:rPr>
        <w:t> </w:t>
      </w:r>
      <w:r>
        <w:rPr/>
        <w:t>can</w:t>
      </w:r>
      <w:r>
        <w:rPr>
          <w:spacing w:val="26"/>
        </w:rPr>
        <w:t> </w:t>
      </w:r>
      <w:r>
        <w:rPr>
          <w:spacing w:val="-5"/>
        </w:rPr>
        <w:t>be</w:t>
      </w:r>
    </w:p>
    <w:p>
      <w:pPr>
        <w:spacing w:after="0"/>
        <w:jc w:val="both"/>
        <w:sectPr>
          <w:pgSz w:w="11910" w:h="16840"/>
          <w:pgMar w:header="0" w:footer="979" w:top="1360" w:bottom="1240" w:left="280" w:right="0"/>
        </w:sectPr>
      </w:pPr>
    </w:p>
    <w:p>
      <w:pPr>
        <w:pStyle w:val="BodyText"/>
        <w:spacing w:line="480" w:lineRule="auto" w:before="60"/>
        <w:ind w:left="711" w:right="472"/>
        <w:jc w:val="both"/>
      </w:pPr>
      <w:r>
        <w:rPr/>
        <w:t>considered as those capital outflows which are in excess of “normal flows”. One problem with this</w:t>
      </w:r>
      <w:r>
        <w:rPr>
          <w:spacing w:val="40"/>
        </w:rPr>
        <w:t> </w:t>
      </w:r>
      <w:r>
        <w:rPr/>
        <w:t>definition lies in what constitutes “normal” capital outflows in this content (Anthony and Hallett, 1990).</w:t>
      </w:r>
    </w:p>
    <w:p>
      <w:pPr>
        <w:pStyle w:val="BodyText"/>
      </w:pPr>
    </w:p>
    <w:p>
      <w:pPr>
        <w:pStyle w:val="BodyText"/>
        <w:spacing w:before="1"/>
      </w:pPr>
    </w:p>
    <w:p>
      <w:pPr>
        <w:pStyle w:val="BodyText"/>
        <w:spacing w:line="480" w:lineRule="auto"/>
        <w:ind w:left="711" w:right="469"/>
        <w:jc w:val="both"/>
      </w:pPr>
      <w:r>
        <w:rPr/>
        <w:t>These various difficulties essentially lie at the heart of the varying definitions and computation methodologies in which have been employed to quantify the capital flight phenomenon (Anthony and Hallett, 1990). Thus, the possibility of multiple definitional terms is one of the quandaries in this area in a sense and perhaps one of the strong points. One cannot but therefore agree with Chang and Cumby (1991) that there exists more than one viable definition of capital flight and the appropriate choice will depend on the policy question most pertinent on capital flight and the so called “normal” capital flows. Since illegal transactions are not reported, it is therefore not only difficult, but almost impossible to measure it as a component of capital flight. “Capital flight is capital that flees” (Kindleberger; 1987). Alternatively, capital flows in response to economic or political crisis are capital flight. Normal capital flows on the other hand, refers to flows that correspond to ordinary portfolio diversification of domestic residents.</w:t>
      </w:r>
      <w:r>
        <w:rPr>
          <w:spacing w:val="40"/>
        </w:rPr>
        <w:t> </w:t>
      </w:r>
      <w:r>
        <w:rPr/>
        <w:t>According to Cuddington (1986), capital flight refers to short terms private capital outflows. It involves “hot money” that responds to political or financial crisis, heavier taxes, a prospective tightening of capital or a major devaluation of domestic currency arising from high misalignment of the currency. In the Morgan Guaranty Trust Company (1986), an expansive definition is adopted. Capital flight is “the reported and unreported acquisition of foreign assets by the non-bank private sector and elements of the public sector”.</w:t>
      </w:r>
    </w:p>
    <w:p>
      <w:pPr>
        <w:pStyle w:val="BodyText"/>
      </w:pPr>
    </w:p>
    <w:p>
      <w:pPr>
        <w:pStyle w:val="BodyText"/>
        <w:spacing w:before="2"/>
      </w:pPr>
    </w:p>
    <w:p>
      <w:pPr>
        <w:pStyle w:val="Heading6"/>
        <w:numPr>
          <w:ilvl w:val="1"/>
          <w:numId w:val="10"/>
        </w:numPr>
        <w:tabs>
          <w:tab w:pos="1131" w:val="left" w:leader="none"/>
        </w:tabs>
        <w:spacing w:line="240" w:lineRule="auto" w:before="0" w:after="0"/>
        <w:ind w:left="1131" w:right="0" w:hanging="420"/>
        <w:jc w:val="left"/>
      </w:pPr>
      <w:bookmarkStart w:name="_TOC_250023" w:id="4"/>
      <w:r>
        <w:rPr/>
        <w:t>Capital</w:t>
      </w:r>
      <w:r>
        <w:rPr>
          <w:spacing w:val="-2"/>
        </w:rPr>
        <w:t> </w:t>
      </w:r>
      <w:r>
        <w:rPr/>
        <w:t>Flight</w:t>
      </w:r>
      <w:r>
        <w:rPr>
          <w:spacing w:val="-1"/>
        </w:rPr>
        <w:t> </w:t>
      </w:r>
      <w:r>
        <w:rPr/>
        <w:t>and</w:t>
      </w:r>
      <w:r>
        <w:rPr>
          <w:spacing w:val="-1"/>
        </w:rPr>
        <w:t> </w:t>
      </w:r>
      <w:r>
        <w:rPr/>
        <w:t>Foreign Direct</w:t>
      </w:r>
      <w:r>
        <w:rPr>
          <w:spacing w:val="-1"/>
        </w:rPr>
        <w:t> </w:t>
      </w:r>
      <w:bookmarkEnd w:id="4"/>
      <w:r>
        <w:rPr>
          <w:spacing w:val="-2"/>
        </w:rPr>
        <w:t>Investment</w:t>
      </w:r>
    </w:p>
    <w:p>
      <w:pPr>
        <w:pStyle w:val="BodyText"/>
        <w:rPr>
          <w:b/>
        </w:rPr>
      </w:pPr>
    </w:p>
    <w:p>
      <w:pPr>
        <w:pStyle w:val="BodyText"/>
        <w:spacing w:line="480" w:lineRule="auto"/>
        <w:ind w:left="711" w:right="472"/>
        <w:jc w:val="both"/>
      </w:pPr>
      <w:r>
        <w:rPr/>
        <w:t>During the debt crisis of the 1980s, it was feared that providing external funds to cash-starved developing countries would be futile if a large part of the increased lending were to flow right back out as capital flight. An erosion of debt inflows by capital flight during this period is, indeed, confirmed by both Cuddington (1987) and Pastor (1990). In the 1990s, however, the main sources of external finance to developing countries</w:t>
      </w:r>
      <w:r>
        <w:rPr>
          <w:spacing w:val="11"/>
        </w:rPr>
        <w:t> </w:t>
      </w:r>
      <w:r>
        <w:rPr/>
        <w:t>are</w:t>
      </w:r>
      <w:r>
        <w:rPr>
          <w:spacing w:val="12"/>
        </w:rPr>
        <w:t> </w:t>
      </w:r>
      <w:r>
        <w:rPr/>
        <w:t>non-guaranteed</w:t>
      </w:r>
      <w:r>
        <w:rPr>
          <w:spacing w:val="13"/>
        </w:rPr>
        <w:t> </w:t>
      </w:r>
      <w:r>
        <w:rPr/>
        <w:t>private</w:t>
      </w:r>
      <w:r>
        <w:rPr>
          <w:spacing w:val="13"/>
        </w:rPr>
        <w:t> </w:t>
      </w:r>
      <w:r>
        <w:rPr/>
        <w:t>inflows;</w:t>
      </w:r>
      <w:r>
        <w:rPr>
          <w:spacing w:val="13"/>
        </w:rPr>
        <w:t> </w:t>
      </w:r>
      <w:r>
        <w:rPr/>
        <w:t>the</w:t>
      </w:r>
      <w:r>
        <w:rPr>
          <w:spacing w:val="17"/>
        </w:rPr>
        <w:t> </w:t>
      </w:r>
      <w:r>
        <w:rPr/>
        <w:t>most</w:t>
      </w:r>
      <w:r>
        <w:rPr>
          <w:spacing w:val="15"/>
        </w:rPr>
        <w:t> </w:t>
      </w:r>
      <w:r>
        <w:rPr/>
        <w:t>important</w:t>
      </w:r>
      <w:r>
        <w:rPr>
          <w:spacing w:val="13"/>
        </w:rPr>
        <w:t> </w:t>
      </w:r>
      <w:r>
        <w:rPr/>
        <w:t>among</w:t>
      </w:r>
      <w:r>
        <w:rPr>
          <w:spacing w:val="11"/>
        </w:rPr>
        <w:t> </w:t>
      </w:r>
      <w:r>
        <w:rPr/>
        <w:t>these</w:t>
      </w:r>
      <w:r>
        <w:rPr>
          <w:spacing w:val="13"/>
        </w:rPr>
        <w:t> </w:t>
      </w:r>
      <w:r>
        <w:rPr/>
        <w:t>is</w:t>
      </w:r>
      <w:r>
        <w:rPr>
          <w:spacing w:val="13"/>
        </w:rPr>
        <w:t> </w:t>
      </w:r>
      <w:r>
        <w:rPr/>
        <w:t>foreign</w:t>
      </w:r>
      <w:r>
        <w:rPr>
          <w:spacing w:val="13"/>
        </w:rPr>
        <w:t> </w:t>
      </w:r>
      <w:r>
        <w:rPr/>
        <w:t>direct</w:t>
      </w:r>
      <w:r>
        <w:rPr>
          <w:spacing w:val="14"/>
        </w:rPr>
        <w:t> </w:t>
      </w:r>
      <w:r>
        <w:rPr>
          <w:spacing w:val="-2"/>
        </w:rPr>
        <w:t>investment.</w:t>
      </w:r>
    </w:p>
    <w:p>
      <w:pPr>
        <w:spacing w:after="0" w:line="480" w:lineRule="auto"/>
        <w:jc w:val="both"/>
        <w:sectPr>
          <w:pgSz w:w="11910" w:h="16840"/>
          <w:pgMar w:header="0" w:footer="979" w:top="1360" w:bottom="1240" w:left="280" w:right="0"/>
        </w:sectPr>
      </w:pPr>
    </w:p>
    <w:p>
      <w:pPr>
        <w:pStyle w:val="BodyText"/>
        <w:spacing w:line="480" w:lineRule="auto" w:before="60"/>
        <w:ind w:left="711" w:right="480"/>
        <w:jc w:val="both"/>
      </w:pPr>
      <w:r>
        <w:rPr/>
        <w:t>Whether FDI inflows also facilitate capital flight or whether they inhibit it is a question generally examined from one of two perspectives? These perspectives are:</w:t>
      </w:r>
    </w:p>
    <w:p>
      <w:pPr>
        <w:pStyle w:val="BodyText"/>
        <w:spacing w:line="480" w:lineRule="auto" w:before="1"/>
        <w:ind w:left="711" w:right="470" w:firstLine="60"/>
        <w:jc w:val="both"/>
      </w:pPr>
      <w:r>
        <w:rPr>
          <w:b/>
        </w:rPr>
        <w:t>The Investment-Climate Perspective: </w:t>
      </w:r>
      <w:r>
        <w:rPr/>
        <w:t>From the investment-climate perspective, capital flight depends on the</w:t>
      </w:r>
      <w:r>
        <w:rPr>
          <w:spacing w:val="-2"/>
        </w:rPr>
        <w:t> </w:t>
      </w:r>
      <w:r>
        <w:rPr/>
        <w:t>rate-of-return</w:t>
      </w:r>
      <w:r>
        <w:rPr>
          <w:spacing w:val="-2"/>
        </w:rPr>
        <w:t> </w:t>
      </w:r>
      <w:r>
        <w:rPr/>
        <w:t>appeal of</w:t>
      </w:r>
      <w:r>
        <w:rPr>
          <w:spacing w:val="-2"/>
        </w:rPr>
        <w:t> </w:t>
      </w:r>
      <w:r>
        <w:rPr/>
        <w:t>foreign</w:t>
      </w:r>
      <w:r>
        <w:rPr>
          <w:spacing w:val="-1"/>
        </w:rPr>
        <w:t> </w:t>
      </w:r>
      <w:r>
        <w:rPr/>
        <w:t>as</w:t>
      </w:r>
      <w:r>
        <w:rPr>
          <w:spacing w:val="-1"/>
        </w:rPr>
        <w:t> </w:t>
      </w:r>
      <w:r>
        <w:rPr/>
        <w:t>compared</w:t>
      </w:r>
      <w:r>
        <w:rPr>
          <w:spacing w:val="-1"/>
        </w:rPr>
        <w:t> </w:t>
      </w:r>
      <w:r>
        <w:rPr/>
        <w:t>to</w:t>
      </w:r>
      <w:r>
        <w:rPr>
          <w:spacing w:val="-1"/>
        </w:rPr>
        <w:t> </w:t>
      </w:r>
      <w:r>
        <w:rPr/>
        <w:t>domestic</w:t>
      </w:r>
      <w:r>
        <w:rPr>
          <w:spacing w:val="-2"/>
        </w:rPr>
        <w:t> </w:t>
      </w:r>
      <w:r>
        <w:rPr/>
        <w:t>assets</w:t>
      </w:r>
      <w:r>
        <w:rPr>
          <w:spacing w:val="-1"/>
        </w:rPr>
        <w:t> </w:t>
      </w:r>
      <w:r>
        <w:rPr/>
        <w:t>when</w:t>
      </w:r>
      <w:r>
        <w:rPr>
          <w:spacing w:val="-1"/>
        </w:rPr>
        <w:t> </w:t>
      </w:r>
      <w:r>
        <w:rPr/>
        <w:t>adjusted</w:t>
      </w:r>
      <w:r>
        <w:rPr>
          <w:spacing w:val="-1"/>
        </w:rPr>
        <w:t> </w:t>
      </w:r>
      <w:r>
        <w:rPr/>
        <w:t>for</w:t>
      </w:r>
      <w:r>
        <w:rPr>
          <w:spacing w:val="-3"/>
        </w:rPr>
        <w:t> </w:t>
      </w:r>
      <w:r>
        <w:rPr/>
        <w:t>the</w:t>
      </w:r>
      <w:r>
        <w:rPr>
          <w:spacing w:val="-2"/>
        </w:rPr>
        <w:t> </w:t>
      </w:r>
      <w:r>
        <w:rPr/>
        <w:t>exchange rate.</w:t>
      </w:r>
      <w:r>
        <w:rPr>
          <w:spacing w:val="-2"/>
        </w:rPr>
        <w:t> </w:t>
      </w:r>
      <w:r>
        <w:rPr/>
        <w:t>The comparison is between returns attainable in the foreign country as opposed to those attainable at home; it is based on the location of the assets. Cuddington (1987) emphasizes this approach. Cuddington employs a standard three-asset portfolio-adjustment model using domestic financial assets, domestic inflation hedges (such as land and buildings), and foreign financial assets. He defines capital flight as the year-to-year increase in domestic holdings of foreign financial assets. Amounts allocated to the different assets depend</w:t>
      </w:r>
      <w:r>
        <w:rPr>
          <w:spacing w:val="40"/>
        </w:rPr>
        <w:t> </w:t>
      </w:r>
      <w:r>
        <w:rPr/>
        <w:t>on the domestic interest rate, the foreign interest rate augmented by the rate of expected depreciation of the domestic currency, and the domestic inflation rate. In addition, he includes foreign lending to the country</w:t>
      </w:r>
      <w:r>
        <w:rPr>
          <w:spacing w:val="-2"/>
        </w:rPr>
        <w:t> </w:t>
      </w:r>
      <w:r>
        <w:rPr/>
        <w:t>as a factor explaining capital flight. Cuddington estimates his model using Ordinary Least-Squares (OLS) regressions. He then reruns the regressions after deleting the insignificant variables and adding a lagged dependent variable on the right - hand side. For Mexico, Cuddington finds out that foreign loan disbursements are a significant explanatory variable. In fact, the relevant coefficient value suggests that roughly $0.31 of each additional dollar of new long-term loans to Mexico from 1974 to 1984 flowed back out in the form of capital flight.</w:t>
      </w:r>
    </w:p>
    <w:p>
      <w:pPr>
        <w:pStyle w:val="BodyText"/>
        <w:spacing w:line="480" w:lineRule="auto" w:before="2"/>
        <w:ind w:left="711" w:right="472"/>
        <w:jc w:val="both"/>
      </w:pPr>
      <w:r>
        <w:rPr/>
        <w:t>In another empirical study that finds a similar relation between foreign lending and capital flight, Pastor (1990) runs OLS regressions of capital flight (scaled by exports) from eight Latin American countries from 1973 to 1986. He uses the usual variables (the rate-of-return differential between U.S. and domestic</w:t>
      </w:r>
      <w:r>
        <w:rPr>
          <w:spacing w:val="40"/>
        </w:rPr>
        <w:t> </w:t>
      </w:r>
      <w:r>
        <w:rPr/>
        <w:t>financial assets and the domestic inflation rate) augmented by the degree of over valuation of the exchange rate. Pastor (1990) analyzes the conclusions for robustness and searches for specification by adding one by one</w:t>
      </w:r>
      <w:r>
        <w:rPr>
          <w:spacing w:val="-1"/>
        </w:rPr>
        <w:t> </w:t>
      </w:r>
      <w:r>
        <w:rPr/>
        <w:t>to the</w:t>
      </w:r>
      <w:r>
        <w:rPr>
          <w:spacing w:val="-1"/>
        </w:rPr>
        <w:t> </w:t>
      </w:r>
      <w:r>
        <w:rPr/>
        <w:t>base</w:t>
      </w:r>
      <w:r>
        <w:rPr>
          <w:spacing w:val="-1"/>
        </w:rPr>
        <w:t> </w:t>
      </w:r>
      <w:r>
        <w:rPr/>
        <w:t>regression the</w:t>
      </w:r>
      <w:r>
        <w:rPr>
          <w:spacing w:val="-1"/>
        </w:rPr>
        <w:t> </w:t>
      </w:r>
      <w:r>
        <w:rPr/>
        <w:t>following</w:t>
      </w:r>
      <w:r>
        <w:rPr>
          <w:spacing w:val="-2"/>
        </w:rPr>
        <w:t> </w:t>
      </w:r>
      <w:r>
        <w:rPr/>
        <w:t>structural (or</w:t>
      </w:r>
      <w:r>
        <w:rPr>
          <w:spacing w:val="-2"/>
        </w:rPr>
        <w:t> </w:t>
      </w:r>
      <w:r>
        <w:rPr/>
        <w:t>real)</w:t>
      </w:r>
      <w:r>
        <w:rPr>
          <w:spacing w:val="-1"/>
        </w:rPr>
        <w:t> </w:t>
      </w:r>
      <w:r>
        <w:rPr/>
        <w:t>variables: the</w:t>
      </w:r>
      <w:r>
        <w:rPr>
          <w:spacing w:val="-1"/>
        </w:rPr>
        <w:t> </w:t>
      </w:r>
      <w:r>
        <w:rPr/>
        <w:t>ratio of</w:t>
      </w:r>
      <w:r>
        <w:rPr>
          <w:spacing w:val="-1"/>
        </w:rPr>
        <w:t> </w:t>
      </w:r>
      <w:r>
        <w:rPr/>
        <w:t>net long-term borrowing</w:t>
      </w:r>
      <w:r>
        <w:rPr>
          <w:spacing w:val="-2"/>
        </w:rPr>
        <w:t> </w:t>
      </w:r>
      <w:r>
        <w:rPr/>
        <w:t>to GDP (the capital-availability measure), the difference between the current year’s and previous year’s ratio</w:t>
      </w:r>
      <w:r>
        <w:rPr>
          <w:spacing w:val="40"/>
        </w:rPr>
        <w:t> </w:t>
      </w:r>
      <w:r>
        <w:rPr/>
        <w:t>of</w:t>
      </w:r>
      <w:r>
        <w:rPr>
          <w:spacing w:val="23"/>
        </w:rPr>
        <w:t> </w:t>
      </w:r>
      <w:r>
        <w:rPr/>
        <w:t>taxes</w:t>
      </w:r>
      <w:r>
        <w:rPr>
          <w:spacing w:val="26"/>
        </w:rPr>
        <w:t> </w:t>
      </w:r>
      <w:r>
        <w:rPr/>
        <w:t>to</w:t>
      </w:r>
      <w:r>
        <w:rPr>
          <w:spacing w:val="28"/>
        </w:rPr>
        <w:t> </w:t>
      </w:r>
      <w:r>
        <w:rPr/>
        <w:t>GDP,</w:t>
      </w:r>
      <w:r>
        <w:rPr>
          <w:spacing w:val="24"/>
        </w:rPr>
        <w:t> </w:t>
      </w:r>
      <w:r>
        <w:rPr/>
        <w:t>the</w:t>
      </w:r>
      <w:r>
        <w:rPr>
          <w:spacing w:val="26"/>
        </w:rPr>
        <w:t> </w:t>
      </w:r>
      <w:r>
        <w:rPr/>
        <w:t>difference</w:t>
      </w:r>
      <w:r>
        <w:rPr>
          <w:spacing w:val="26"/>
        </w:rPr>
        <w:t> </w:t>
      </w:r>
      <w:r>
        <w:rPr/>
        <w:t>between</w:t>
      </w:r>
      <w:r>
        <w:rPr>
          <w:spacing w:val="26"/>
        </w:rPr>
        <w:t> </w:t>
      </w:r>
      <w:r>
        <w:rPr/>
        <w:t>the</w:t>
      </w:r>
      <w:r>
        <w:rPr>
          <w:spacing w:val="27"/>
        </w:rPr>
        <w:t> </w:t>
      </w:r>
      <w:r>
        <w:rPr/>
        <w:t>country’s</w:t>
      </w:r>
      <w:r>
        <w:rPr>
          <w:spacing w:val="28"/>
        </w:rPr>
        <w:t> </w:t>
      </w:r>
      <w:r>
        <w:rPr/>
        <w:t>growth</w:t>
      </w:r>
      <w:r>
        <w:rPr>
          <w:spacing w:val="26"/>
        </w:rPr>
        <w:t> </w:t>
      </w:r>
      <w:r>
        <w:rPr/>
        <w:t>rate</w:t>
      </w:r>
      <w:r>
        <w:rPr>
          <w:spacing w:val="27"/>
        </w:rPr>
        <w:t> </w:t>
      </w:r>
      <w:r>
        <w:rPr/>
        <w:t>and</w:t>
      </w:r>
      <w:r>
        <w:rPr>
          <w:spacing w:val="26"/>
        </w:rPr>
        <w:t> </w:t>
      </w:r>
      <w:r>
        <w:rPr/>
        <w:t>the</w:t>
      </w:r>
      <w:r>
        <w:rPr>
          <w:spacing w:val="27"/>
        </w:rPr>
        <w:t> </w:t>
      </w:r>
      <w:r>
        <w:rPr/>
        <w:t>lagged</w:t>
      </w:r>
      <w:r>
        <w:rPr>
          <w:spacing w:val="26"/>
        </w:rPr>
        <w:t> </w:t>
      </w:r>
      <w:r>
        <w:rPr/>
        <w:t>U.S.</w:t>
      </w:r>
      <w:r>
        <w:rPr>
          <w:spacing w:val="27"/>
        </w:rPr>
        <w:t> </w:t>
      </w:r>
      <w:r>
        <w:rPr/>
        <w:t>growth</w:t>
      </w:r>
      <w:r>
        <w:rPr>
          <w:spacing w:val="28"/>
        </w:rPr>
        <w:t> </w:t>
      </w:r>
      <w:r>
        <w:rPr/>
        <w:t>rate</w:t>
      </w:r>
      <w:r>
        <w:rPr>
          <w:spacing w:val="26"/>
        </w:rPr>
        <w:t> </w:t>
      </w:r>
      <w:r>
        <w:rPr/>
        <w:t>(as</w:t>
      </w:r>
      <w:r>
        <w:rPr>
          <w:spacing w:val="27"/>
        </w:rPr>
        <w:t> </w:t>
      </w:r>
      <w:r>
        <w:rPr>
          <w:spacing w:val="-10"/>
        </w:rPr>
        <w:t>a</w:t>
      </w:r>
    </w:p>
    <w:p>
      <w:pPr>
        <w:pStyle w:val="BodyText"/>
        <w:spacing w:before="1"/>
        <w:ind w:left="711"/>
        <w:jc w:val="both"/>
      </w:pPr>
      <w:r>
        <w:rPr/>
        <w:t>proxy</w:t>
      </w:r>
      <w:r>
        <w:rPr>
          <w:spacing w:val="23"/>
        </w:rPr>
        <w:t> </w:t>
      </w:r>
      <w:r>
        <w:rPr/>
        <w:t>for</w:t>
      </w:r>
      <w:r>
        <w:rPr>
          <w:spacing w:val="27"/>
        </w:rPr>
        <w:t> </w:t>
      </w:r>
      <w:r>
        <w:rPr/>
        <w:t>relative</w:t>
      </w:r>
      <w:r>
        <w:rPr>
          <w:spacing w:val="29"/>
        </w:rPr>
        <w:t> </w:t>
      </w:r>
      <w:r>
        <w:rPr/>
        <w:t>profitability</w:t>
      </w:r>
      <w:r>
        <w:rPr>
          <w:spacing w:val="23"/>
        </w:rPr>
        <w:t> </w:t>
      </w:r>
      <w:r>
        <w:rPr/>
        <w:t>of</w:t>
      </w:r>
      <w:r>
        <w:rPr>
          <w:spacing w:val="28"/>
        </w:rPr>
        <w:t> </w:t>
      </w:r>
      <w:r>
        <w:rPr/>
        <w:t>investment</w:t>
      </w:r>
      <w:r>
        <w:rPr>
          <w:spacing w:val="29"/>
        </w:rPr>
        <w:t> </w:t>
      </w:r>
      <w:r>
        <w:rPr/>
        <w:t>in</w:t>
      </w:r>
      <w:r>
        <w:rPr>
          <w:spacing w:val="31"/>
        </w:rPr>
        <w:t> </w:t>
      </w:r>
      <w:r>
        <w:rPr/>
        <w:t>the</w:t>
      </w:r>
      <w:r>
        <w:rPr>
          <w:spacing w:val="29"/>
        </w:rPr>
        <w:t> </w:t>
      </w:r>
      <w:r>
        <w:rPr/>
        <w:t>domestic</w:t>
      </w:r>
      <w:r>
        <w:rPr>
          <w:spacing w:val="27"/>
        </w:rPr>
        <w:t> </w:t>
      </w:r>
      <w:r>
        <w:rPr/>
        <w:t>real</w:t>
      </w:r>
      <w:r>
        <w:rPr>
          <w:spacing w:val="30"/>
        </w:rPr>
        <w:t> </w:t>
      </w:r>
      <w:r>
        <w:rPr/>
        <w:t>sector—lagged</w:t>
      </w:r>
      <w:r>
        <w:rPr>
          <w:spacing w:val="28"/>
        </w:rPr>
        <w:t> </w:t>
      </w:r>
      <w:r>
        <w:rPr/>
        <w:t>because</w:t>
      </w:r>
      <w:r>
        <w:rPr>
          <w:spacing w:val="28"/>
        </w:rPr>
        <w:t> </w:t>
      </w:r>
      <w:r>
        <w:rPr/>
        <w:t>capital</w:t>
      </w:r>
      <w:r>
        <w:rPr>
          <w:spacing w:val="29"/>
        </w:rPr>
        <w:t> </w:t>
      </w:r>
      <w:r>
        <w:rPr/>
        <w:t>flight</w:t>
      </w:r>
      <w:r>
        <w:rPr>
          <w:spacing w:val="30"/>
        </w:rPr>
        <w:t> </w:t>
      </w:r>
      <w:r>
        <w:rPr>
          <w:spacing w:val="-5"/>
        </w:rPr>
        <w:t>is</w:t>
      </w:r>
    </w:p>
    <w:p>
      <w:pPr>
        <w:spacing w:after="0"/>
        <w:jc w:val="both"/>
        <w:sectPr>
          <w:pgSz w:w="11910" w:h="16840"/>
          <w:pgMar w:header="0" w:footer="979" w:top="1360" w:bottom="1240" w:left="280" w:right="0"/>
        </w:sectPr>
      </w:pPr>
    </w:p>
    <w:p>
      <w:pPr>
        <w:pStyle w:val="BodyText"/>
        <w:spacing w:line="480" w:lineRule="auto" w:before="60"/>
        <w:ind w:left="711" w:right="473"/>
        <w:jc w:val="both"/>
      </w:pPr>
      <w:r>
        <w:rPr/>
        <w:t>itself thought to affect growth), and labour’s share of GDP for the previous year (on the hypothesis that increase in this share dampens profitability and encourages capital flight). He finds out that the ratio of net long-term borrowing to GDP is, at the 10 percent level, a statistically significant variable explaining capital </w:t>
      </w:r>
      <w:r>
        <w:rPr>
          <w:spacing w:val="-2"/>
        </w:rPr>
        <w:t>flight</w:t>
      </w:r>
    </w:p>
    <w:p>
      <w:pPr>
        <w:pStyle w:val="BodyText"/>
        <w:spacing w:line="480" w:lineRule="auto" w:before="1"/>
        <w:ind w:left="711" w:right="472"/>
        <w:jc w:val="both"/>
      </w:pPr>
      <w:r>
        <w:rPr/>
        <w:t>The Discriminatory Treatment Perspective does not relate capital flight to the usual determinants of net international capital movements, such as international-yield differentials. It highlights, instead, the fact that host countries often favour non-resident investment (and, by implication, discriminates against resident investment) in the form of differential taxation, investment or exchange-rate guarantees, and priority over resident claims in the event of a financial crisis.</w:t>
      </w:r>
    </w:p>
    <w:p>
      <w:pPr>
        <w:pStyle w:val="BodyText"/>
        <w:spacing w:line="480" w:lineRule="auto" w:before="1"/>
        <w:ind w:left="711" w:right="472"/>
        <w:jc w:val="both"/>
      </w:pPr>
      <w:r>
        <w:rPr/>
        <w:t>It is this discriminatory treatment, and the resulting differences in the actual or perceived risk by residents and</w:t>
      </w:r>
      <w:r>
        <w:rPr>
          <w:spacing w:val="-2"/>
        </w:rPr>
        <w:t> </w:t>
      </w:r>
      <w:r>
        <w:rPr/>
        <w:t>non-residents</w:t>
      </w:r>
      <w:r>
        <w:rPr>
          <w:spacing w:val="-2"/>
        </w:rPr>
        <w:t> </w:t>
      </w:r>
      <w:r>
        <w:rPr/>
        <w:t>in</w:t>
      </w:r>
      <w:r>
        <w:rPr>
          <w:spacing w:val="-2"/>
        </w:rPr>
        <w:t> </w:t>
      </w:r>
      <w:r>
        <w:rPr/>
        <w:t>holding</w:t>
      </w:r>
      <w:r>
        <w:rPr>
          <w:spacing w:val="-5"/>
        </w:rPr>
        <w:t> </w:t>
      </w:r>
      <w:r>
        <w:rPr/>
        <w:t>claims</w:t>
      </w:r>
      <w:r>
        <w:rPr>
          <w:spacing w:val="-2"/>
        </w:rPr>
        <w:t> </w:t>
      </w:r>
      <w:r>
        <w:rPr/>
        <w:t>on</w:t>
      </w:r>
      <w:r>
        <w:rPr>
          <w:spacing w:val="-2"/>
        </w:rPr>
        <w:t> </w:t>
      </w:r>
      <w:r>
        <w:rPr/>
        <w:t>residents,</w:t>
      </w:r>
      <w:r>
        <w:rPr>
          <w:spacing w:val="-2"/>
        </w:rPr>
        <w:t> </w:t>
      </w:r>
      <w:r>
        <w:rPr/>
        <w:t>that</w:t>
      </w:r>
      <w:r>
        <w:rPr>
          <w:spacing w:val="-2"/>
        </w:rPr>
        <w:t> </w:t>
      </w:r>
      <w:r>
        <w:rPr/>
        <w:t>explains</w:t>
      </w:r>
      <w:r>
        <w:rPr>
          <w:spacing w:val="-2"/>
        </w:rPr>
        <w:t> </w:t>
      </w:r>
      <w:r>
        <w:rPr/>
        <w:t>capital</w:t>
      </w:r>
      <w:r>
        <w:rPr>
          <w:spacing w:val="-2"/>
        </w:rPr>
        <w:t> </w:t>
      </w:r>
      <w:r>
        <w:rPr/>
        <w:t>flight.</w:t>
      </w:r>
      <w:r>
        <w:rPr>
          <w:spacing w:val="-2"/>
        </w:rPr>
        <w:t> </w:t>
      </w:r>
      <w:r>
        <w:rPr/>
        <w:t>This</w:t>
      </w:r>
      <w:r>
        <w:rPr>
          <w:spacing w:val="-2"/>
        </w:rPr>
        <w:t> </w:t>
      </w:r>
      <w:r>
        <w:rPr/>
        <w:t>approach</w:t>
      </w:r>
      <w:r>
        <w:rPr>
          <w:spacing w:val="-2"/>
        </w:rPr>
        <w:t> </w:t>
      </w:r>
      <w:r>
        <w:rPr/>
        <w:t>has</w:t>
      </w:r>
      <w:r>
        <w:rPr>
          <w:spacing w:val="-2"/>
        </w:rPr>
        <w:t> </w:t>
      </w:r>
      <w:r>
        <w:rPr/>
        <w:t>been used</w:t>
      </w:r>
      <w:r>
        <w:rPr>
          <w:spacing w:val="-2"/>
        </w:rPr>
        <w:t> </w:t>
      </w:r>
      <w:r>
        <w:rPr/>
        <w:t>by Dooley (1986), Khan and Ul Haque (1987), Eaton (1987), and Rojas-Suarez (1991), among others. Their models and analyses are briefly described below. Khan and Ul Haque (1987) start with the standard intertemporal optimizing model of external borrowing and investment. At the beginning of the first period, households are endowed with a stock of domestic capital; this is used up during the first period and is transformed into output. The household may consume the first period’s output; it may also invest that</w:t>
      </w:r>
      <w:r>
        <w:rPr>
          <w:spacing w:val="40"/>
        </w:rPr>
        <w:t> </w:t>
      </w:r>
      <w:r>
        <w:rPr/>
        <w:t>output, either</w:t>
      </w:r>
      <w:r>
        <w:rPr>
          <w:spacing w:val="-1"/>
        </w:rPr>
        <w:t> </w:t>
      </w:r>
      <w:r>
        <w:rPr/>
        <w:t>at home</w:t>
      </w:r>
      <w:r>
        <w:rPr>
          <w:spacing w:val="-1"/>
        </w:rPr>
        <w:t> </w:t>
      </w:r>
      <w:r>
        <w:rPr/>
        <w:t>or abroad. Investment abroad is risk free. Foreign borrowing</w:t>
      </w:r>
      <w:r>
        <w:rPr>
          <w:spacing w:val="-2"/>
        </w:rPr>
        <w:t> </w:t>
      </w:r>
      <w:r>
        <w:rPr/>
        <w:t>is allowed, but it may</w:t>
      </w:r>
      <w:r>
        <w:rPr>
          <w:spacing w:val="-5"/>
        </w:rPr>
        <w:t> </w:t>
      </w:r>
      <w:r>
        <w:rPr/>
        <w:t>be used only for domestic investment and may not be repudiated. Domestic uncertainty is also permitted in the form of the possible expropriation of the domestic firm and its debt obligations with no compensation offered to the domestic owners of the expropriated assets, or, equivalently, domestic instability that reduces the firm to bankruptcy. Khan and Ul Haque (1987) show that positive values for both domestic and foreign investment are possible because of this uncertainty, even with positive levels of debt accumulation. Foreign lenders lend to the country because foreign debt may not be repudiated. At the same time, the risk of expropriation or of bankruptcy in the home country encourages capital flight.</w:t>
      </w:r>
    </w:p>
    <w:p>
      <w:pPr>
        <w:spacing w:after="0" w:line="480" w:lineRule="auto"/>
        <w:jc w:val="both"/>
        <w:sectPr>
          <w:pgSz w:w="11910" w:h="16840"/>
          <w:pgMar w:header="0" w:footer="979" w:top="1360" w:bottom="1240" w:left="280" w:right="0"/>
        </w:sectPr>
      </w:pPr>
    </w:p>
    <w:p>
      <w:pPr>
        <w:pStyle w:val="BodyText"/>
        <w:spacing w:line="480" w:lineRule="auto" w:before="60"/>
        <w:ind w:left="711" w:right="473"/>
        <w:jc w:val="both"/>
      </w:pPr>
      <w:r>
        <w:rPr/>
        <w:t>Eaton (1987) builds on this work by first emphasizing that the risk of expropriation may also mean the</w:t>
      </w:r>
      <w:r>
        <w:rPr>
          <w:spacing w:val="40"/>
        </w:rPr>
        <w:t> </w:t>
      </w:r>
      <w:r>
        <w:rPr/>
        <w:t>threat of high levels of domestic taxation in the future. In addition, because foreign lenders generally have little ability to assess the solvency of a particular private borrower in a developing country, at least relative to the ability of the government of that country, loans for private borrowers may be channeled through the government, or lenders may require that such loans be guaranteed by the government of the borrower. In contrast to Khan and Ul Haque, Eaton allows for the possibility that borrowers may invest borrowed funds abroad (foreign lenders may not, however, use these deposits as collateral against outstanding loans). The potential national takeover</w:t>
      </w:r>
      <w:r>
        <w:rPr>
          <w:spacing w:val="-1"/>
        </w:rPr>
        <w:t> </w:t>
      </w:r>
      <w:r>
        <w:rPr/>
        <w:t>of</w:t>
      </w:r>
      <w:r>
        <w:rPr>
          <w:spacing w:val="-1"/>
        </w:rPr>
        <w:t> </w:t>
      </w:r>
      <w:r>
        <w:rPr/>
        <w:t>private</w:t>
      </w:r>
      <w:r>
        <w:rPr>
          <w:spacing w:val="-1"/>
        </w:rPr>
        <w:t> </w:t>
      </w:r>
      <w:r>
        <w:rPr/>
        <w:t>debt encourages a</w:t>
      </w:r>
      <w:r>
        <w:rPr>
          <w:spacing w:val="-1"/>
        </w:rPr>
        <w:t> </w:t>
      </w:r>
      <w:r>
        <w:rPr/>
        <w:t>low level of</w:t>
      </w:r>
      <w:r>
        <w:rPr>
          <w:spacing w:val="-1"/>
        </w:rPr>
        <w:t> </w:t>
      </w:r>
      <w:r>
        <w:rPr/>
        <w:t>effort by</w:t>
      </w:r>
      <w:r>
        <w:rPr>
          <w:spacing w:val="-8"/>
        </w:rPr>
        <w:t> </w:t>
      </w:r>
      <w:r>
        <w:rPr/>
        <w:t>borrowers</w:t>
      </w:r>
      <w:r>
        <w:rPr>
          <w:spacing w:val="-1"/>
        </w:rPr>
        <w:t> </w:t>
      </w:r>
      <w:r>
        <w:rPr/>
        <w:t>to service</w:t>
      </w:r>
      <w:r>
        <w:rPr>
          <w:spacing w:val="-1"/>
        </w:rPr>
        <w:t> </w:t>
      </w:r>
      <w:r>
        <w:rPr/>
        <w:t>their</w:t>
      </w:r>
      <w:r>
        <w:rPr>
          <w:spacing w:val="-1"/>
        </w:rPr>
        <w:t> </w:t>
      </w:r>
      <w:r>
        <w:rPr/>
        <w:t>debt and may even induce outright fraud. Because one borrower’s default increases the expected value of the future tax obligations of other borrowers, the other borrowers’ incentive to repay their debt diminishes and their incentive to place their funds abroad increases. Capital flight thus becomes contagious.</w:t>
      </w:r>
    </w:p>
    <w:p>
      <w:pPr>
        <w:pStyle w:val="BodyText"/>
        <w:spacing w:line="480" w:lineRule="auto" w:before="2"/>
        <w:ind w:left="711" w:right="470"/>
        <w:jc w:val="both"/>
      </w:pPr>
      <w:r>
        <w:rPr/>
        <w:t>Dooley (1990) also uses the differences in the guarantees given by governments to foreign and domestic investments</w:t>
      </w:r>
      <w:r>
        <w:rPr>
          <w:spacing w:val="-2"/>
        </w:rPr>
        <w:t> </w:t>
      </w:r>
      <w:r>
        <w:rPr/>
        <w:t>to</w:t>
      </w:r>
      <w:r>
        <w:rPr>
          <w:spacing w:val="-2"/>
        </w:rPr>
        <w:t> </w:t>
      </w:r>
      <w:r>
        <w:rPr/>
        <w:t>explain</w:t>
      </w:r>
      <w:r>
        <w:rPr>
          <w:spacing w:val="-2"/>
        </w:rPr>
        <w:t> </w:t>
      </w:r>
      <w:r>
        <w:rPr/>
        <w:t>the</w:t>
      </w:r>
      <w:r>
        <w:rPr>
          <w:spacing w:val="-2"/>
        </w:rPr>
        <w:t> </w:t>
      </w:r>
      <w:r>
        <w:rPr/>
        <w:t>differences in</w:t>
      </w:r>
      <w:r>
        <w:rPr>
          <w:spacing w:val="-2"/>
        </w:rPr>
        <w:t> </w:t>
      </w:r>
      <w:r>
        <w:rPr/>
        <w:t>the</w:t>
      </w:r>
      <w:r>
        <w:rPr>
          <w:spacing w:val="-1"/>
        </w:rPr>
        <w:t> </w:t>
      </w:r>
      <w:r>
        <w:rPr/>
        <w:t>perceptions</w:t>
      </w:r>
      <w:r>
        <w:rPr>
          <w:spacing w:val="-2"/>
        </w:rPr>
        <w:t> </w:t>
      </w:r>
      <w:r>
        <w:rPr/>
        <w:t>residents</w:t>
      </w:r>
      <w:r>
        <w:rPr>
          <w:spacing w:val="-2"/>
        </w:rPr>
        <w:t> </w:t>
      </w:r>
      <w:r>
        <w:rPr/>
        <w:t>and</w:t>
      </w:r>
      <w:r>
        <w:rPr>
          <w:spacing w:val="-1"/>
        </w:rPr>
        <w:t> </w:t>
      </w:r>
      <w:r>
        <w:rPr/>
        <w:t>non-residents</w:t>
      </w:r>
      <w:r>
        <w:rPr>
          <w:spacing w:val="-2"/>
        </w:rPr>
        <w:t> </w:t>
      </w:r>
      <w:r>
        <w:rPr/>
        <w:t>have</w:t>
      </w:r>
      <w:r>
        <w:rPr>
          <w:spacing w:val="-1"/>
        </w:rPr>
        <w:t> </w:t>
      </w:r>
      <w:r>
        <w:rPr/>
        <w:t>regarding</w:t>
      </w:r>
      <w:r>
        <w:rPr>
          <w:spacing w:val="-1"/>
        </w:rPr>
        <w:t> </w:t>
      </w:r>
      <w:r>
        <w:rPr/>
        <w:t>the</w:t>
      </w:r>
      <w:r>
        <w:rPr>
          <w:spacing w:val="-2"/>
        </w:rPr>
        <w:t> </w:t>
      </w:r>
      <w:r>
        <w:rPr/>
        <w:t>risk- adjusted returns for claims held on residents. For non-residents, the risk of default is the main concern. For residents, default is of less concern, because contracts between residents are better protected by the</w:t>
      </w:r>
      <w:r>
        <w:rPr>
          <w:spacing w:val="40"/>
        </w:rPr>
        <w:t> </w:t>
      </w:r>
      <w:r>
        <w:rPr/>
        <w:t>country’s legal system than the contracts between residents and non-residents. Fears of domestic inflation and exchange – rate depreciation, however, are of greater importance to residents than to non-residents. Nonresident claims on debtor countries are typically denominated in foreign currencies, and although this fact alone does not make them immune to inflation and exchange-rate risk, they are less affected by these factors than they are claimed by residents. Rojas-Suarez (1990) also refers to government guarantees to explain the simultaneous flight of capital from small and large foreign loans to developing countries during the 1970s and early 1980s. She explains, in addition, that the debt crisis of the mid-1980s reduced, and perhaps eliminated, differences in risks faced by residents and non-residents, so that domestic debt was no longer considered “junior.” The Hypotheses as Lessard and Williamson (1987) point out, the investment- climate</w:t>
      </w:r>
      <w:r>
        <w:rPr>
          <w:spacing w:val="24"/>
        </w:rPr>
        <w:t> </w:t>
      </w:r>
      <w:r>
        <w:rPr/>
        <w:t>perspective</w:t>
      </w:r>
      <w:r>
        <w:rPr>
          <w:spacing w:val="24"/>
        </w:rPr>
        <w:t> </w:t>
      </w:r>
      <w:r>
        <w:rPr/>
        <w:t>cannot</w:t>
      </w:r>
      <w:r>
        <w:rPr>
          <w:spacing w:val="25"/>
        </w:rPr>
        <w:t> </w:t>
      </w:r>
      <w:r>
        <w:rPr/>
        <w:t>explain</w:t>
      </w:r>
      <w:r>
        <w:rPr>
          <w:spacing w:val="25"/>
        </w:rPr>
        <w:t> </w:t>
      </w:r>
      <w:r>
        <w:rPr/>
        <w:t>the</w:t>
      </w:r>
      <w:r>
        <w:rPr>
          <w:spacing w:val="24"/>
        </w:rPr>
        <w:t> </w:t>
      </w:r>
      <w:r>
        <w:rPr/>
        <w:t>simultaneous</w:t>
      </w:r>
      <w:r>
        <w:rPr>
          <w:spacing w:val="25"/>
        </w:rPr>
        <w:t> </w:t>
      </w:r>
      <w:r>
        <w:rPr/>
        <w:t>movement</w:t>
      </w:r>
      <w:r>
        <w:rPr>
          <w:spacing w:val="25"/>
        </w:rPr>
        <w:t> </w:t>
      </w:r>
      <w:r>
        <w:rPr/>
        <w:t>of</w:t>
      </w:r>
      <w:r>
        <w:rPr>
          <w:spacing w:val="24"/>
        </w:rPr>
        <w:t> </w:t>
      </w:r>
      <w:r>
        <w:rPr/>
        <w:t>capital</w:t>
      </w:r>
      <w:r>
        <w:rPr>
          <w:spacing w:val="25"/>
        </w:rPr>
        <w:t> </w:t>
      </w:r>
      <w:r>
        <w:rPr/>
        <w:t>into</w:t>
      </w:r>
      <w:r>
        <w:rPr>
          <w:spacing w:val="25"/>
        </w:rPr>
        <w:t> </w:t>
      </w:r>
      <w:r>
        <w:rPr/>
        <w:t>and</w:t>
      </w:r>
      <w:r>
        <w:rPr>
          <w:spacing w:val="25"/>
        </w:rPr>
        <w:t> </w:t>
      </w:r>
      <w:r>
        <w:rPr/>
        <w:t>out</w:t>
      </w:r>
      <w:r>
        <w:rPr>
          <w:spacing w:val="25"/>
        </w:rPr>
        <w:t> </w:t>
      </w:r>
      <w:r>
        <w:rPr/>
        <w:t>of</w:t>
      </w:r>
      <w:r>
        <w:rPr>
          <w:spacing w:val="24"/>
        </w:rPr>
        <w:t> </w:t>
      </w:r>
      <w:r>
        <w:rPr/>
        <w:t>the</w:t>
      </w:r>
      <w:r>
        <w:rPr>
          <w:spacing w:val="24"/>
        </w:rPr>
        <w:t> </w:t>
      </w:r>
      <w:r>
        <w:rPr/>
        <w:t>country.</w:t>
      </w:r>
      <w:r>
        <w:rPr>
          <w:spacing w:val="27"/>
        </w:rPr>
        <w:t> </w:t>
      </w:r>
      <w:r>
        <w:rPr>
          <w:spacing w:val="-5"/>
        </w:rPr>
        <w:t>By</w:t>
      </w:r>
    </w:p>
    <w:p>
      <w:pPr>
        <w:pStyle w:val="BodyText"/>
        <w:spacing w:before="2"/>
        <w:ind w:left="711"/>
        <w:jc w:val="both"/>
      </w:pPr>
      <w:r>
        <w:rPr/>
        <w:t>this</w:t>
      </w:r>
      <w:r>
        <w:rPr>
          <w:spacing w:val="24"/>
        </w:rPr>
        <w:t> </w:t>
      </w:r>
      <w:r>
        <w:rPr/>
        <w:t>explanation,</w:t>
      </w:r>
      <w:r>
        <w:rPr>
          <w:spacing w:val="26"/>
        </w:rPr>
        <w:t> </w:t>
      </w:r>
      <w:r>
        <w:rPr/>
        <w:t>capital</w:t>
      </w:r>
      <w:r>
        <w:rPr>
          <w:spacing w:val="28"/>
        </w:rPr>
        <w:t> </w:t>
      </w:r>
      <w:r>
        <w:rPr/>
        <w:t>flight</w:t>
      </w:r>
      <w:r>
        <w:rPr>
          <w:spacing w:val="27"/>
        </w:rPr>
        <w:t> </w:t>
      </w:r>
      <w:r>
        <w:rPr/>
        <w:t>depends</w:t>
      </w:r>
      <w:r>
        <w:rPr>
          <w:spacing w:val="27"/>
        </w:rPr>
        <w:t> </w:t>
      </w:r>
      <w:r>
        <w:rPr/>
        <w:t>on</w:t>
      </w:r>
      <w:r>
        <w:rPr>
          <w:spacing w:val="26"/>
        </w:rPr>
        <w:t> </w:t>
      </w:r>
      <w:r>
        <w:rPr/>
        <w:t>the</w:t>
      </w:r>
      <w:r>
        <w:rPr>
          <w:spacing w:val="27"/>
        </w:rPr>
        <w:t> </w:t>
      </w:r>
      <w:r>
        <w:rPr/>
        <w:t>attractiveness</w:t>
      </w:r>
      <w:r>
        <w:rPr>
          <w:spacing w:val="27"/>
        </w:rPr>
        <w:t> </w:t>
      </w:r>
      <w:r>
        <w:rPr/>
        <w:t>of</w:t>
      </w:r>
      <w:r>
        <w:rPr>
          <w:spacing w:val="25"/>
        </w:rPr>
        <w:t> </w:t>
      </w:r>
      <w:r>
        <w:rPr/>
        <w:t>foreign</w:t>
      </w:r>
      <w:r>
        <w:rPr>
          <w:spacing w:val="27"/>
        </w:rPr>
        <w:t> </w:t>
      </w:r>
      <w:r>
        <w:rPr/>
        <w:t>as</w:t>
      </w:r>
      <w:r>
        <w:rPr>
          <w:spacing w:val="28"/>
        </w:rPr>
        <w:t> </w:t>
      </w:r>
      <w:r>
        <w:rPr/>
        <w:t>compared</w:t>
      </w:r>
      <w:r>
        <w:rPr>
          <w:spacing w:val="27"/>
        </w:rPr>
        <w:t> </w:t>
      </w:r>
      <w:r>
        <w:rPr/>
        <w:t>to</w:t>
      </w:r>
      <w:r>
        <w:rPr>
          <w:spacing w:val="27"/>
        </w:rPr>
        <w:t> </w:t>
      </w:r>
      <w:r>
        <w:rPr/>
        <w:t>domestic</w:t>
      </w:r>
      <w:r>
        <w:rPr>
          <w:spacing w:val="26"/>
        </w:rPr>
        <w:t> </w:t>
      </w:r>
      <w:r>
        <w:rPr>
          <w:spacing w:val="-2"/>
        </w:rPr>
        <w:t>assets—</w:t>
      </w:r>
    </w:p>
    <w:p>
      <w:pPr>
        <w:spacing w:after="0"/>
        <w:jc w:val="both"/>
        <w:sectPr>
          <w:pgSz w:w="11910" w:h="16840"/>
          <w:pgMar w:header="0" w:footer="979" w:top="1360" w:bottom="1240" w:left="280" w:right="0"/>
        </w:sectPr>
      </w:pPr>
    </w:p>
    <w:p>
      <w:pPr>
        <w:pStyle w:val="BodyText"/>
        <w:spacing w:line="480" w:lineRule="auto" w:before="60"/>
        <w:ind w:left="711" w:right="475"/>
        <w:jc w:val="both"/>
      </w:pPr>
      <w:r>
        <w:rPr/>
        <w:t>once the rate of return is adjusted for the exchange rate. Assets in the host country are either more or less attractive than assets in the foreign country, so that flows in both directions do not occur. The discriminatory-treatment perspective, however, can explain simultaneous flows. In fact, this explanation</w:t>
      </w:r>
      <w:r>
        <w:rPr>
          <w:spacing w:val="80"/>
        </w:rPr>
        <w:t> </w:t>
      </w:r>
      <w:r>
        <w:rPr/>
        <w:t>was specifically put forward to explain the coexistence of private foreign lending (implicitly or explicitly guaranteed by governments) and capital flight.</w:t>
      </w:r>
    </w:p>
    <w:p>
      <w:pPr>
        <w:pStyle w:val="BodyText"/>
      </w:pPr>
    </w:p>
    <w:p>
      <w:pPr>
        <w:pStyle w:val="BodyText"/>
        <w:spacing w:before="1"/>
      </w:pPr>
    </w:p>
    <w:p>
      <w:pPr>
        <w:pStyle w:val="BodyText"/>
        <w:spacing w:line="480" w:lineRule="auto"/>
        <w:ind w:left="711" w:right="470"/>
        <w:jc w:val="both"/>
      </w:pPr>
      <w:r>
        <w:rPr/>
        <w:t>As remarked above, the major capital inflow to developing countries in recent years has not been international lending, but private foreign investment, in which the foreign investor faces the additional risk of variability in the nominal value of his return. The factors affecting international lending, however, are</w:t>
      </w:r>
      <w:r>
        <w:rPr>
          <w:spacing w:val="40"/>
        </w:rPr>
        <w:t> </w:t>
      </w:r>
      <w:r>
        <w:rPr/>
        <w:t>also</w:t>
      </w:r>
      <w:r>
        <w:rPr>
          <w:spacing w:val="-1"/>
        </w:rPr>
        <w:t> </w:t>
      </w:r>
      <w:r>
        <w:rPr/>
        <w:t>applicable</w:t>
      </w:r>
      <w:r>
        <w:rPr>
          <w:spacing w:val="-2"/>
        </w:rPr>
        <w:t> </w:t>
      </w:r>
      <w:r>
        <w:rPr/>
        <w:t>to</w:t>
      </w:r>
      <w:r>
        <w:rPr>
          <w:spacing w:val="-1"/>
        </w:rPr>
        <w:t> </w:t>
      </w:r>
      <w:r>
        <w:rPr/>
        <w:t>private</w:t>
      </w:r>
      <w:r>
        <w:rPr>
          <w:spacing w:val="-2"/>
        </w:rPr>
        <w:t> </w:t>
      </w:r>
      <w:r>
        <w:rPr/>
        <w:t>foreign</w:t>
      </w:r>
      <w:r>
        <w:rPr>
          <w:spacing w:val="-1"/>
        </w:rPr>
        <w:t> </w:t>
      </w:r>
      <w:r>
        <w:rPr/>
        <w:t>investment.</w:t>
      </w:r>
      <w:r>
        <w:rPr>
          <w:spacing w:val="-1"/>
        </w:rPr>
        <w:t> </w:t>
      </w:r>
      <w:r>
        <w:rPr/>
        <w:t>Both</w:t>
      </w:r>
      <w:r>
        <w:rPr>
          <w:spacing w:val="-1"/>
        </w:rPr>
        <w:t> </w:t>
      </w:r>
      <w:r>
        <w:rPr/>
        <w:t>foreign</w:t>
      </w:r>
      <w:r>
        <w:rPr>
          <w:spacing w:val="-1"/>
        </w:rPr>
        <w:t> </w:t>
      </w:r>
      <w:r>
        <w:rPr/>
        <w:t>lenders</w:t>
      </w:r>
      <w:r>
        <w:rPr>
          <w:spacing w:val="-2"/>
        </w:rPr>
        <w:t> </w:t>
      </w:r>
      <w:r>
        <w:rPr/>
        <w:t>and</w:t>
      </w:r>
      <w:r>
        <w:rPr>
          <w:spacing w:val="-1"/>
        </w:rPr>
        <w:t> </w:t>
      </w:r>
      <w:r>
        <w:rPr/>
        <w:t>investors</w:t>
      </w:r>
      <w:r>
        <w:rPr>
          <w:spacing w:val="-2"/>
        </w:rPr>
        <w:t> </w:t>
      </w:r>
      <w:r>
        <w:rPr/>
        <w:t>find</w:t>
      </w:r>
      <w:r>
        <w:rPr>
          <w:spacing w:val="-2"/>
        </w:rPr>
        <w:t> </w:t>
      </w:r>
      <w:r>
        <w:rPr/>
        <w:t>it</w:t>
      </w:r>
      <w:r>
        <w:rPr>
          <w:spacing w:val="-1"/>
        </w:rPr>
        <w:t> </w:t>
      </w:r>
      <w:r>
        <w:rPr/>
        <w:t>difficult</w:t>
      </w:r>
      <w:r>
        <w:rPr>
          <w:spacing w:val="-3"/>
        </w:rPr>
        <w:t> </w:t>
      </w:r>
      <w:r>
        <w:rPr/>
        <w:t>to</w:t>
      </w:r>
      <w:r>
        <w:rPr>
          <w:spacing w:val="-1"/>
        </w:rPr>
        <w:t> </w:t>
      </w:r>
      <w:r>
        <w:rPr/>
        <w:t>assess</w:t>
      </w:r>
      <w:r>
        <w:rPr>
          <w:spacing w:val="-1"/>
        </w:rPr>
        <w:t> </w:t>
      </w:r>
      <w:r>
        <w:rPr/>
        <w:t>the solvency (or profitability) of a particular private borrower (or project) in a developing country, and both are subject to a far greater risk of market failure resulting from the relative non enforceability of contracts for foreign as</w:t>
      </w:r>
      <w:r>
        <w:rPr>
          <w:spacing w:val="-2"/>
        </w:rPr>
        <w:t> </w:t>
      </w:r>
      <w:r>
        <w:rPr/>
        <w:t>compared to domestic</w:t>
      </w:r>
      <w:r>
        <w:rPr>
          <w:spacing w:val="-3"/>
        </w:rPr>
        <w:t> </w:t>
      </w:r>
      <w:r>
        <w:rPr/>
        <w:t>lending</w:t>
      </w:r>
      <w:r>
        <w:rPr>
          <w:spacing w:val="-2"/>
        </w:rPr>
        <w:t> </w:t>
      </w:r>
      <w:r>
        <w:rPr/>
        <w:t>or</w:t>
      </w:r>
      <w:r>
        <w:rPr>
          <w:spacing w:val="-1"/>
        </w:rPr>
        <w:t> </w:t>
      </w:r>
      <w:r>
        <w:rPr/>
        <w:t>investment.</w:t>
      </w:r>
      <w:r>
        <w:rPr>
          <w:spacing w:val="-2"/>
        </w:rPr>
        <w:t> </w:t>
      </w:r>
      <w:r>
        <w:rPr/>
        <w:t>Private</w:t>
      </w:r>
      <w:r>
        <w:rPr>
          <w:spacing w:val="-2"/>
        </w:rPr>
        <w:t> </w:t>
      </w:r>
      <w:r>
        <w:rPr/>
        <w:t>foreign</w:t>
      </w:r>
      <w:r>
        <w:rPr>
          <w:spacing w:val="-2"/>
        </w:rPr>
        <w:t> </w:t>
      </w:r>
      <w:r>
        <w:rPr/>
        <w:t>investors</w:t>
      </w:r>
      <w:r>
        <w:rPr>
          <w:spacing w:val="-2"/>
        </w:rPr>
        <w:t> </w:t>
      </w:r>
      <w:r>
        <w:rPr/>
        <w:t>(as well as foreign lenders) may</w:t>
      </w:r>
      <w:r>
        <w:rPr>
          <w:spacing w:val="-6"/>
        </w:rPr>
        <w:t> </w:t>
      </w:r>
      <w:r>
        <w:rPr/>
        <w:t>therefore</w:t>
      </w:r>
      <w:r>
        <w:rPr>
          <w:spacing w:val="-2"/>
        </w:rPr>
        <w:t> </w:t>
      </w:r>
      <w:r>
        <w:rPr/>
        <w:t>require</w:t>
      </w:r>
      <w:r>
        <w:rPr>
          <w:spacing w:val="-1"/>
        </w:rPr>
        <w:t> </w:t>
      </w:r>
      <w:r>
        <w:rPr/>
        <w:t>that</w:t>
      </w:r>
      <w:r>
        <w:rPr>
          <w:spacing w:val="-1"/>
        </w:rPr>
        <w:t> </w:t>
      </w:r>
      <w:r>
        <w:rPr/>
        <w:t>their</w:t>
      </w:r>
      <w:r>
        <w:rPr>
          <w:spacing w:val="-1"/>
        </w:rPr>
        <w:t> </w:t>
      </w:r>
      <w:r>
        <w:rPr/>
        <w:t>investments</w:t>
      </w:r>
      <w:r>
        <w:rPr>
          <w:spacing w:val="-1"/>
        </w:rPr>
        <w:t> </w:t>
      </w:r>
      <w:r>
        <w:rPr/>
        <w:t>be guaranteed</w:t>
      </w:r>
      <w:r>
        <w:rPr>
          <w:spacing w:val="-1"/>
        </w:rPr>
        <w:t> </w:t>
      </w:r>
      <w:r>
        <w:rPr/>
        <w:t>or at least</w:t>
      </w:r>
      <w:r>
        <w:rPr>
          <w:spacing w:val="-1"/>
        </w:rPr>
        <w:t> </w:t>
      </w:r>
      <w:r>
        <w:rPr/>
        <w:t>be</w:t>
      </w:r>
      <w:r>
        <w:rPr>
          <w:spacing w:val="-2"/>
        </w:rPr>
        <w:t> </w:t>
      </w:r>
      <w:r>
        <w:rPr/>
        <w:t>favourably</w:t>
      </w:r>
      <w:r>
        <w:rPr>
          <w:spacing w:val="-4"/>
        </w:rPr>
        <w:t> </w:t>
      </w:r>
      <w:r>
        <w:rPr/>
        <w:t>treated</w:t>
      </w:r>
      <w:r>
        <w:rPr>
          <w:spacing w:val="-1"/>
        </w:rPr>
        <w:t> </w:t>
      </w:r>
      <w:r>
        <w:rPr/>
        <w:t>by</w:t>
      </w:r>
      <w:r>
        <w:rPr>
          <w:spacing w:val="-4"/>
        </w:rPr>
        <w:t> </w:t>
      </w:r>
      <w:r>
        <w:rPr/>
        <w:t>the recipient’s government. Many developing-country governments do, as mentioned, offer private investors favourable treatment in the form of differential taxation, investment or exchange-rate guarantees, or priority over resident claims in the event of financial crisis. Generally, rather than borrowing themselves from the private external market, governments give implicit or explicit guarantees to borrowings by private entities. As discussed above, Eaton (1987) argues that by guaranteeing external, but not internal, borrowing, governments encourage round trip flows in the form of capital flight the investment-climate perspective suggests that capital flight ought to decrease if the investment climate improves and foreign direct investment increases; the relationship between FDI inflows and capital flight will therefore be negative. If, however, foreign direct investment is the result of preferential treatment given to foreign as compared to domestic investment, FDI inflows will likely be accompanied by continued and</w:t>
      </w:r>
      <w:r>
        <w:rPr>
          <w:spacing w:val="32"/>
        </w:rPr>
        <w:t> </w:t>
      </w:r>
      <w:r>
        <w:rPr/>
        <w:t>accelerated capital flight; the relationship between the two will therefore be positive.</w:t>
      </w:r>
    </w:p>
    <w:p>
      <w:pPr>
        <w:spacing w:after="0" w:line="480" w:lineRule="auto"/>
        <w:jc w:val="both"/>
        <w:sectPr>
          <w:pgSz w:w="11910" w:h="16840"/>
          <w:pgMar w:header="0" w:footer="979" w:top="1360" w:bottom="1240" w:left="280" w:right="0"/>
        </w:sectPr>
      </w:pPr>
    </w:p>
    <w:p>
      <w:pPr>
        <w:pStyle w:val="BodyText"/>
        <w:spacing w:line="480" w:lineRule="auto" w:before="60"/>
        <w:ind w:left="711" w:right="470"/>
        <w:jc w:val="both"/>
      </w:pPr>
      <w:r>
        <w:rPr/>
        <w:t>If the discriminatory – treatment view over-rides the investment - climate perspective and FDI inflows occur, a capital inflow of one kind will be accompanied by an outflow of another kind, so that the net effect of the inflow will be minimal. In this event, specific policies, such as tax amnesties or treaties, the offering of domestic instruments denominated in foreign currencies and capital-control programs may be needed to restrain outflows of capital and to induce repatriation of flight capital. If the investment-climate explanation is dominant, however, and the relation between capital flight and FDI inflows is negative, the policies that stimulate investment in general will also entice flight capital to return and capital flight to decrease, so that the effect of FDI inflows on the economy will be magnified. Although, this question has important policy implications, it has not been studied in the</w:t>
      </w:r>
      <w:r>
        <w:rPr>
          <w:spacing w:val="-1"/>
        </w:rPr>
        <w:t> </w:t>
      </w:r>
      <w:r>
        <w:rPr/>
        <w:t>literature. Numerous</w:t>
      </w:r>
      <w:r>
        <w:rPr>
          <w:spacing w:val="-1"/>
        </w:rPr>
        <w:t> </w:t>
      </w:r>
      <w:r>
        <w:rPr/>
        <w:t>studies have</w:t>
      </w:r>
      <w:r>
        <w:rPr>
          <w:spacing w:val="-1"/>
        </w:rPr>
        <w:t> </w:t>
      </w:r>
      <w:r>
        <w:rPr/>
        <w:t>analyzed the</w:t>
      </w:r>
      <w:r>
        <w:rPr>
          <w:spacing w:val="-1"/>
        </w:rPr>
        <w:t> </w:t>
      </w:r>
      <w:r>
        <w:rPr/>
        <w:t>relation of foreign direct investment to real variables such as technology</w:t>
      </w:r>
      <w:r>
        <w:rPr>
          <w:spacing w:val="-3"/>
        </w:rPr>
        <w:t> </w:t>
      </w:r>
      <w:r>
        <w:rPr/>
        <w:t>transfers and exports, but there have been virtually no inquiries into the financial or monetary effects of foreign direct investment (Kant,1996) discusses only its fiscal or budgetary effects). Because many developing countries are only now emerging from the debt crisis (partly caused by capital flight) following the 1978–81 boom in commercial bank loans, their wariness regarding the short- and long-term financial implications of the current spurt in private FDI (as well as portfolio) investment is not surprising. This study attempts to determine whether such inflows themselves facilitate capital flight or whether they reduce it.</w:t>
      </w:r>
    </w:p>
    <w:p>
      <w:pPr>
        <w:pStyle w:val="Heading6"/>
        <w:numPr>
          <w:ilvl w:val="1"/>
          <w:numId w:val="10"/>
        </w:numPr>
        <w:tabs>
          <w:tab w:pos="1431" w:val="left" w:leader="none"/>
        </w:tabs>
        <w:spacing w:line="240" w:lineRule="auto" w:before="3" w:after="0"/>
        <w:ind w:left="1431" w:right="0" w:hanging="720"/>
        <w:jc w:val="both"/>
      </w:pPr>
      <w:bookmarkStart w:name="_TOC_250022" w:id="5"/>
      <w:r>
        <w:rPr/>
        <w:t>Foreign</w:t>
      </w:r>
      <w:r>
        <w:rPr>
          <w:spacing w:val="-2"/>
        </w:rPr>
        <w:t> </w:t>
      </w:r>
      <w:r>
        <w:rPr/>
        <w:t>Lending</w:t>
      </w:r>
      <w:r>
        <w:rPr>
          <w:spacing w:val="-2"/>
        </w:rPr>
        <w:t> </w:t>
      </w:r>
      <w:r>
        <w:rPr/>
        <w:t>and</w:t>
      </w:r>
      <w:r>
        <w:rPr>
          <w:spacing w:val="-1"/>
        </w:rPr>
        <w:t> </w:t>
      </w:r>
      <w:r>
        <w:rPr/>
        <w:t>Capital</w:t>
      </w:r>
      <w:bookmarkEnd w:id="5"/>
      <w:r>
        <w:rPr>
          <w:spacing w:val="-2"/>
        </w:rPr>
        <w:t> Outflow</w:t>
      </w:r>
    </w:p>
    <w:p>
      <w:pPr>
        <w:pStyle w:val="BodyText"/>
        <w:spacing w:line="480" w:lineRule="auto" w:before="276"/>
        <w:ind w:left="711" w:right="470"/>
        <w:jc w:val="both"/>
      </w:pPr>
      <w:r>
        <w:rPr/>
        <w:t>The estimations of Gajdeezka and Oks (2009) show a very strong correlation between capital outflows and foreign lending. However, they believe that the high correlation does not necessarily reveal conclusive causality linkages in either direction. They argued that the nature of the relationship between net lending</w:t>
      </w:r>
      <w:r>
        <w:rPr>
          <w:spacing w:val="80"/>
        </w:rPr>
        <w:t> </w:t>
      </w:r>
      <w:r>
        <w:rPr/>
        <w:t>and capital flight has changed over time. They also discussed the relationship between net lending and capital flight in the context of risk asymmetric and scarce investment opportunities in developing countries. Their estimates revealed a close relationship between foreign lending and capital flight. During the 1980- 1987 period, the total value of capital outflow from highly indebted countries (HICs) was $84 billion and which</w:t>
      </w:r>
      <w:r>
        <w:rPr>
          <w:spacing w:val="29"/>
        </w:rPr>
        <w:t> </w:t>
      </w:r>
      <w:r>
        <w:rPr/>
        <w:t>corresponded</w:t>
      </w:r>
      <w:r>
        <w:rPr>
          <w:spacing w:val="29"/>
        </w:rPr>
        <w:t> </w:t>
      </w:r>
      <w:r>
        <w:rPr/>
        <w:t>to</w:t>
      </w:r>
      <w:r>
        <w:rPr>
          <w:spacing w:val="31"/>
        </w:rPr>
        <w:t> </w:t>
      </w:r>
      <w:r>
        <w:rPr/>
        <w:t>roughly</w:t>
      </w:r>
      <w:r>
        <w:rPr>
          <w:spacing w:val="22"/>
        </w:rPr>
        <w:t> </w:t>
      </w:r>
      <w:r>
        <w:rPr/>
        <w:t>40%</w:t>
      </w:r>
      <w:r>
        <w:rPr>
          <w:spacing w:val="30"/>
        </w:rPr>
        <w:t> </w:t>
      </w:r>
      <w:r>
        <w:rPr/>
        <w:t>of</w:t>
      </w:r>
      <w:r>
        <w:rPr>
          <w:spacing w:val="29"/>
        </w:rPr>
        <w:t> </w:t>
      </w:r>
      <w:r>
        <w:rPr/>
        <w:t>the</w:t>
      </w:r>
      <w:r>
        <w:rPr>
          <w:spacing w:val="30"/>
        </w:rPr>
        <w:t> </w:t>
      </w:r>
      <w:r>
        <w:rPr/>
        <w:t>total</w:t>
      </w:r>
      <w:r>
        <w:rPr>
          <w:spacing w:val="30"/>
        </w:rPr>
        <w:t> </w:t>
      </w:r>
      <w:r>
        <w:rPr/>
        <w:t>net</w:t>
      </w:r>
      <w:r>
        <w:rPr>
          <w:spacing w:val="31"/>
        </w:rPr>
        <w:t> </w:t>
      </w:r>
      <w:r>
        <w:rPr/>
        <w:t>long</w:t>
      </w:r>
      <w:r>
        <w:rPr>
          <w:spacing w:val="28"/>
        </w:rPr>
        <w:t> </w:t>
      </w:r>
      <w:r>
        <w:rPr/>
        <w:t>term</w:t>
      </w:r>
      <w:r>
        <w:rPr>
          <w:spacing w:val="31"/>
        </w:rPr>
        <w:t> </w:t>
      </w:r>
      <w:r>
        <w:rPr/>
        <w:t>resource</w:t>
      </w:r>
      <w:r>
        <w:rPr>
          <w:spacing w:val="29"/>
        </w:rPr>
        <w:t> </w:t>
      </w:r>
      <w:r>
        <w:rPr/>
        <w:t>inflows</w:t>
      </w:r>
      <w:r>
        <w:rPr>
          <w:spacing w:val="30"/>
        </w:rPr>
        <w:t> </w:t>
      </w:r>
      <w:r>
        <w:rPr/>
        <w:t>to</w:t>
      </w:r>
      <w:r>
        <w:rPr>
          <w:spacing w:val="30"/>
        </w:rPr>
        <w:t> </w:t>
      </w:r>
      <w:r>
        <w:rPr/>
        <w:t>these</w:t>
      </w:r>
      <w:r>
        <w:rPr>
          <w:spacing w:val="29"/>
        </w:rPr>
        <w:t> </w:t>
      </w:r>
      <w:r>
        <w:rPr/>
        <w:t>countries</w:t>
      </w:r>
      <w:r>
        <w:rPr>
          <w:spacing w:val="30"/>
        </w:rPr>
        <w:t> </w:t>
      </w:r>
      <w:r>
        <w:rPr/>
        <w:t>in</w:t>
      </w:r>
      <w:r>
        <w:rPr>
          <w:spacing w:val="31"/>
        </w:rPr>
        <w:t> </w:t>
      </w:r>
      <w:r>
        <w:rPr>
          <w:spacing w:val="-5"/>
        </w:rPr>
        <w:t>the</w:t>
      </w:r>
    </w:p>
    <w:p>
      <w:pPr>
        <w:pStyle w:val="BodyText"/>
        <w:spacing w:before="1"/>
        <w:ind w:left="711"/>
        <w:jc w:val="both"/>
      </w:pPr>
      <w:r>
        <w:rPr/>
        <w:t>group</w:t>
      </w:r>
      <w:r>
        <w:rPr>
          <w:spacing w:val="9"/>
        </w:rPr>
        <w:t> </w:t>
      </w:r>
      <w:r>
        <w:rPr/>
        <w:t>of</w:t>
      </w:r>
      <w:r>
        <w:rPr>
          <w:spacing w:val="12"/>
        </w:rPr>
        <w:t> </w:t>
      </w:r>
      <w:r>
        <w:rPr/>
        <w:t>high</w:t>
      </w:r>
      <w:r>
        <w:rPr>
          <w:spacing w:val="12"/>
        </w:rPr>
        <w:t> </w:t>
      </w:r>
      <w:r>
        <w:rPr/>
        <w:t>capital</w:t>
      </w:r>
      <w:r>
        <w:rPr>
          <w:spacing w:val="13"/>
        </w:rPr>
        <w:t> </w:t>
      </w:r>
      <w:r>
        <w:rPr/>
        <w:t>flight</w:t>
      </w:r>
      <w:r>
        <w:rPr>
          <w:spacing w:val="13"/>
        </w:rPr>
        <w:t> </w:t>
      </w:r>
      <w:r>
        <w:rPr/>
        <w:t>countries</w:t>
      </w:r>
      <w:r>
        <w:rPr>
          <w:spacing w:val="12"/>
        </w:rPr>
        <w:t> </w:t>
      </w:r>
      <w:r>
        <w:rPr/>
        <w:t>(Argentina,</w:t>
      </w:r>
      <w:r>
        <w:rPr>
          <w:spacing w:val="15"/>
        </w:rPr>
        <w:t> </w:t>
      </w:r>
      <w:r>
        <w:rPr/>
        <w:t>Brazil,</w:t>
      </w:r>
      <w:r>
        <w:rPr>
          <w:spacing w:val="12"/>
        </w:rPr>
        <w:t> </w:t>
      </w:r>
      <w:r>
        <w:rPr/>
        <w:t>Colombia,</w:t>
      </w:r>
      <w:r>
        <w:rPr>
          <w:spacing w:val="12"/>
        </w:rPr>
        <w:t> </w:t>
      </w:r>
      <w:r>
        <w:rPr/>
        <w:t>Mexico,</w:t>
      </w:r>
      <w:r>
        <w:rPr>
          <w:spacing w:val="13"/>
        </w:rPr>
        <w:t> </w:t>
      </w:r>
      <w:r>
        <w:rPr/>
        <w:t>Nigeria,</w:t>
      </w:r>
      <w:r>
        <w:rPr>
          <w:spacing w:val="12"/>
        </w:rPr>
        <w:t> </w:t>
      </w:r>
      <w:r>
        <w:rPr/>
        <w:t>Peru,</w:t>
      </w:r>
      <w:r>
        <w:rPr>
          <w:spacing w:val="12"/>
        </w:rPr>
        <w:t> </w:t>
      </w:r>
      <w:r>
        <w:rPr/>
        <w:t>Philippines</w:t>
      </w:r>
      <w:r>
        <w:rPr>
          <w:spacing w:val="13"/>
        </w:rPr>
        <w:t> </w:t>
      </w:r>
      <w:r>
        <w:rPr>
          <w:spacing w:val="-5"/>
        </w:rPr>
        <w:t>and</w:t>
      </w:r>
    </w:p>
    <w:p>
      <w:pPr>
        <w:spacing w:after="0"/>
        <w:jc w:val="both"/>
        <w:sectPr>
          <w:pgSz w:w="11910" w:h="16840"/>
          <w:pgMar w:header="0" w:footer="979" w:top="1360" w:bottom="1240" w:left="280" w:right="0"/>
        </w:sectPr>
      </w:pPr>
    </w:p>
    <w:p>
      <w:pPr>
        <w:pStyle w:val="BodyText"/>
        <w:spacing w:line="480" w:lineRule="auto" w:before="60"/>
        <w:ind w:left="711" w:right="472"/>
        <w:jc w:val="both"/>
      </w:pPr>
      <w:r>
        <w:rPr/>
        <w:t>Venezuela), for each dollar in net lending, approximately 60% was expatriated as capital outflows. They argued that this is an important observation given that foreign lending was a major source of exchange reserves financing and that these reserves were a source of foreign exchange for capital flight. They added that the correlation between foreign lending and capital out flows can be explained in several ways. Prior to 1982, the most straight forward explanation is that governments borrowed to replenish foreign exchange reserves and thus enabled capital outflows. External lending and capital showed when voluntary lending to developing debtor countries stopped in 1982.</w:t>
      </w:r>
    </w:p>
    <w:p>
      <w:pPr>
        <w:pStyle w:val="BodyText"/>
        <w:spacing w:line="480" w:lineRule="auto" w:before="2"/>
        <w:ind w:left="711" w:right="470"/>
        <w:jc w:val="both"/>
      </w:pPr>
      <w:r>
        <w:rPr/>
        <w:t>However, they</w:t>
      </w:r>
      <w:r>
        <w:rPr>
          <w:spacing w:val="-3"/>
        </w:rPr>
        <w:t> </w:t>
      </w:r>
      <w:r>
        <w:rPr/>
        <w:t>observed that the linkage between capital flight and borrowing changed after the outbreak of payments difficulties in 1982, in particular the large foreign debt meant that foreign creditors faced much higher levels of risk than before. They explained that the disbursement of additional loans was made condition in the implementation of policies which by themselves required less external funding. Therefore, the resulting</w:t>
      </w:r>
      <w:r>
        <w:rPr>
          <w:spacing w:val="-1"/>
        </w:rPr>
        <w:t> </w:t>
      </w:r>
      <w:r>
        <w:rPr/>
        <w:t>contraction in lending</w:t>
      </w:r>
      <w:r>
        <w:rPr>
          <w:spacing w:val="-2"/>
        </w:rPr>
        <w:t> </w:t>
      </w:r>
      <w:r>
        <w:rPr/>
        <w:t>by</w:t>
      </w:r>
      <w:r>
        <w:rPr>
          <w:spacing w:val="-4"/>
        </w:rPr>
        <w:t> </w:t>
      </w:r>
      <w:r>
        <w:rPr/>
        <w:t>1986 was accompanied by</w:t>
      </w:r>
      <w:r>
        <w:rPr>
          <w:spacing w:val="-4"/>
        </w:rPr>
        <w:t> </w:t>
      </w:r>
      <w:r>
        <w:rPr/>
        <w:t>the conspicuous reduction in capital flight. On this note, Gagdeezka and Oks suggested that the decline in capital outflows until 1986 was achieved by better</w:t>
      </w:r>
      <w:r>
        <w:rPr>
          <w:spacing w:val="-2"/>
        </w:rPr>
        <w:t> </w:t>
      </w:r>
      <w:r>
        <w:rPr/>
        <w:t>economic</w:t>
      </w:r>
      <w:r>
        <w:rPr>
          <w:spacing w:val="-2"/>
        </w:rPr>
        <w:t> </w:t>
      </w:r>
      <w:r>
        <w:rPr/>
        <w:t>policies negotiated</w:t>
      </w:r>
      <w:r>
        <w:rPr>
          <w:spacing w:val="-1"/>
        </w:rPr>
        <w:t> </w:t>
      </w:r>
      <w:r>
        <w:rPr/>
        <w:t>in</w:t>
      </w:r>
      <w:r>
        <w:rPr>
          <w:spacing w:val="-1"/>
        </w:rPr>
        <w:t> </w:t>
      </w:r>
      <w:r>
        <w:rPr/>
        <w:t>conjunction</w:t>
      </w:r>
      <w:r>
        <w:rPr>
          <w:spacing w:val="-1"/>
        </w:rPr>
        <w:t> </w:t>
      </w:r>
      <w:r>
        <w:rPr/>
        <w:t>with</w:t>
      </w:r>
      <w:r>
        <w:rPr>
          <w:spacing w:val="-1"/>
        </w:rPr>
        <w:t> </w:t>
      </w:r>
      <w:r>
        <w:rPr/>
        <w:t>lower</w:t>
      </w:r>
      <w:r>
        <w:rPr>
          <w:spacing w:val="-2"/>
        </w:rPr>
        <w:t> </w:t>
      </w:r>
      <w:r>
        <w:rPr/>
        <w:t>borrowing</w:t>
      </w:r>
      <w:r>
        <w:rPr>
          <w:spacing w:val="-4"/>
        </w:rPr>
        <w:t> </w:t>
      </w:r>
      <w:r>
        <w:rPr/>
        <w:t>requirements</w:t>
      </w:r>
      <w:r>
        <w:rPr>
          <w:spacing w:val="-1"/>
        </w:rPr>
        <w:t> </w:t>
      </w:r>
      <w:r>
        <w:rPr/>
        <w:t>and</w:t>
      </w:r>
      <w:r>
        <w:rPr>
          <w:spacing w:val="-1"/>
        </w:rPr>
        <w:t> </w:t>
      </w:r>
      <w:r>
        <w:rPr/>
        <w:t>the</w:t>
      </w:r>
      <w:r>
        <w:rPr>
          <w:spacing w:val="-2"/>
        </w:rPr>
        <w:t> </w:t>
      </w:r>
      <w:r>
        <w:rPr/>
        <w:t>imposition</w:t>
      </w:r>
      <w:r>
        <w:rPr>
          <w:spacing w:val="-1"/>
        </w:rPr>
        <w:t> </w:t>
      </w:r>
      <w:r>
        <w:rPr/>
        <w:t>of capital controls.</w:t>
      </w:r>
    </w:p>
    <w:p>
      <w:pPr>
        <w:pStyle w:val="Heading6"/>
        <w:numPr>
          <w:ilvl w:val="1"/>
          <w:numId w:val="10"/>
        </w:numPr>
        <w:tabs>
          <w:tab w:pos="1431" w:val="left" w:leader="none"/>
        </w:tabs>
        <w:spacing w:line="240" w:lineRule="auto" w:before="1" w:after="0"/>
        <w:ind w:left="1431" w:right="0" w:hanging="720"/>
        <w:jc w:val="both"/>
      </w:pPr>
      <w:bookmarkStart w:name="_TOC_250021" w:id="6"/>
      <w:r>
        <w:rPr/>
        <w:t>Domestic</w:t>
      </w:r>
      <w:r>
        <w:rPr>
          <w:spacing w:val="-2"/>
        </w:rPr>
        <w:t> </w:t>
      </w:r>
      <w:r>
        <w:rPr/>
        <w:t>Policy Distortions,</w:t>
      </w:r>
      <w:r>
        <w:rPr>
          <w:spacing w:val="-2"/>
        </w:rPr>
        <w:t> </w:t>
      </w:r>
      <w:r>
        <w:rPr/>
        <w:t>Debt</w:t>
      </w:r>
      <w:r>
        <w:rPr>
          <w:spacing w:val="-2"/>
        </w:rPr>
        <w:t> </w:t>
      </w:r>
      <w:r>
        <w:rPr/>
        <w:t>Accumulation</w:t>
      </w:r>
      <w:r>
        <w:rPr>
          <w:spacing w:val="1"/>
        </w:rPr>
        <w:t> </w:t>
      </w:r>
      <w:r>
        <w:rPr/>
        <w:t>and</w:t>
      </w:r>
      <w:r>
        <w:rPr>
          <w:spacing w:val="-2"/>
        </w:rPr>
        <w:t> </w:t>
      </w:r>
      <w:r>
        <w:rPr/>
        <w:t>Capital</w:t>
      </w:r>
      <w:r>
        <w:rPr>
          <w:spacing w:val="-2"/>
        </w:rPr>
        <w:t> </w:t>
      </w:r>
      <w:r>
        <w:rPr/>
        <w:t>Flight</w:t>
      </w:r>
      <w:r>
        <w:rPr>
          <w:spacing w:val="-2"/>
        </w:rPr>
        <w:t> </w:t>
      </w:r>
      <w:r>
        <w:rPr/>
        <w:t>in</w:t>
      </w:r>
      <w:bookmarkEnd w:id="6"/>
      <w:r>
        <w:rPr>
          <w:spacing w:val="-2"/>
        </w:rPr>
        <w:t> Nigeria</w:t>
      </w:r>
    </w:p>
    <w:p>
      <w:pPr>
        <w:pStyle w:val="BodyText"/>
        <w:spacing w:line="480" w:lineRule="auto" w:before="276"/>
        <w:ind w:left="711" w:right="472"/>
        <w:jc w:val="both"/>
      </w:pPr>
      <w:r>
        <w:rPr/>
        <w:t>Domestic policy distortions were an integral part of the growth and stabilization policies pursued by most Latin American countries. Policy distortions led to a loss of government’s credit-worthiness, exchange rate over valuation and financial instability, which in turn generated incentives for capital flight (Adegbite and Ayadi, 2008). These factors are examined below:</w:t>
      </w:r>
    </w:p>
    <w:p>
      <w:pPr>
        <w:pStyle w:val="Heading6"/>
        <w:numPr>
          <w:ilvl w:val="0"/>
          <w:numId w:val="12"/>
        </w:numPr>
        <w:tabs>
          <w:tab w:pos="1430" w:val="left" w:leader="none"/>
        </w:tabs>
        <w:spacing w:line="240" w:lineRule="auto" w:before="0" w:after="0"/>
        <w:ind w:left="1430" w:right="0" w:hanging="719"/>
        <w:jc w:val="both"/>
      </w:pPr>
      <w:r>
        <w:rPr/>
        <w:t>Loss</w:t>
      </w:r>
      <w:r>
        <w:rPr>
          <w:spacing w:val="-1"/>
        </w:rPr>
        <w:t> </w:t>
      </w:r>
      <w:r>
        <w:rPr/>
        <w:t>of Credit </w:t>
      </w:r>
      <w:r>
        <w:rPr>
          <w:spacing w:val="-2"/>
        </w:rPr>
        <w:t>Worthiness</w:t>
      </w:r>
    </w:p>
    <w:p>
      <w:pPr>
        <w:pStyle w:val="BodyText"/>
        <w:spacing w:line="550" w:lineRule="atLeast" w:before="2"/>
        <w:ind w:left="711" w:right="474"/>
        <w:jc w:val="both"/>
      </w:pPr>
      <w:r>
        <w:rPr/>
        <w:t>During</w:t>
      </w:r>
      <w:r>
        <w:rPr>
          <w:spacing w:val="-1"/>
        </w:rPr>
        <w:t> </w:t>
      </w:r>
      <w:r>
        <w:rPr/>
        <w:t>the 1970s, governments of large Latin American countries for example pursued expansive fiscal and monetary policies associated with relatively fast rates of growth and received massive financial support</w:t>
      </w:r>
      <w:r>
        <w:rPr>
          <w:spacing w:val="40"/>
        </w:rPr>
        <w:t> </w:t>
      </w:r>
      <w:r>
        <w:rPr/>
        <w:t>from foreign commercial banks. Foreign lending helped avert the short-term inflationary consequence of large domestic deficits but as foreign debt accumulated, both the foreign and domestic credit worthiness of these</w:t>
      </w:r>
      <w:r>
        <w:rPr>
          <w:spacing w:val="30"/>
        </w:rPr>
        <w:t> </w:t>
      </w:r>
      <w:r>
        <w:rPr/>
        <w:t>governments</w:t>
      </w:r>
      <w:r>
        <w:rPr>
          <w:spacing w:val="34"/>
        </w:rPr>
        <w:t> </w:t>
      </w:r>
      <w:r>
        <w:rPr/>
        <w:t>was</w:t>
      </w:r>
      <w:r>
        <w:rPr>
          <w:spacing w:val="35"/>
        </w:rPr>
        <w:t> </w:t>
      </w:r>
      <w:r>
        <w:rPr/>
        <w:t>impaired.</w:t>
      </w:r>
      <w:r>
        <w:rPr>
          <w:spacing w:val="32"/>
        </w:rPr>
        <w:t> </w:t>
      </w:r>
      <w:r>
        <w:rPr/>
        <w:t>As</w:t>
      </w:r>
      <w:r>
        <w:rPr>
          <w:spacing w:val="34"/>
        </w:rPr>
        <w:t> </w:t>
      </w:r>
      <w:r>
        <w:rPr/>
        <w:t>the</w:t>
      </w:r>
      <w:r>
        <w:rPr>
          <w:spacing w:val="30"/>
        </w:rPr>
        <w:t> </w:t>
      </w:r>
      <w:r>
        <w:rPr/>
        <w:t>internal</w:t>
      </w:r>
      <w:r>
        <w:rPr>
          <w:spacing w:val="32"/>
        </w:rPr>
        <w:t> </w:t>
      </w:r>
      <w:r>
        <w:rPr/>
        <w:t>perception</w:t>
      </w:r>
      <w:r>
        <w:rPr>
          <w:spacing w:val="32"/>
        </w:rPr>
        <w:t> </w:t>
      </w:r>
      <w:r>
        <w:rPr/>
        <w:t>of</w:t>
      </w:r>
      <w:r>
        <w:rPr>
          <w:spacing w:val="36"/>
        </w:rPr>
        <w:t> </w:t>
      </w:r>
      <w:r>
        <w:rPr/>
        <w:t>government’s</w:t>
      </w:r>
      <w:r>
        <w:rPr>
          <w:spacing w:val="32"/>
        </w:rPr>
        <w:t> </w:t>
      </w:r>
      <w:r>
        <w:rPr/>
        <w:t>solvency</w:t>
      </w:r>
      <w:r>
        <w:rPr>
          <w:spacing w:val="29"/>
        </w:rPr>
        <w:t> </w:t>
      </w:r>
      <w:r>
        <w:rPr/>
        <w:t>deteriorated,</w:t>
      </w:r>
      <w:r>
        <w:rPr>
          <w:spacing w:val="32"/>
        </w:rPr>
        <w:t> </w:t>
      </w:r>
      <w:r>
        <w:rPr>
          <w:spacing w:val="-4"/>
        </w:rPr>
        <w:t>thus</w:t>
      </w:r>
    </w:p>
    <w:p>
      <w:pPr>
        <w:spacing w:after="0" w:line="550" w:lineRule="atLeast"/>
        <w:jc w:val="both"/>
        <w:sectPr>
          <w:pgSz w:w="11910" w:h="16840"/>
          <w:pgMar w:header="0" w:footer="979" w:top="1360" w:bottom="1240" w:left="280" w:right="0"/>
        </w:sectPr>
      </w:pPr>
    </w:p>
    <w:p>
      <w:pPr>
        <w:pStyle w:val="BodyText"/>
        <w:spacing w:line="480" w:lineRule="auto" w:before="60"/>
        <w:ind w:left="711" w:right="470"/>
        <w:jc w:val="both"/>
      </w:pPr>
      <w:r>
        <w:rPr/>
        <w:t>raising inflationary risks and devaluation expectations, even extremely high interest rates could not prevent capital flight. The reason was that the risk involved in holding domestic debt grew faster than their nominal interest rate and when corrected for risk factors (including unexpected devaluation risk) foreign asset remained a better choice capital flows in and out of a country arbitraged differentials between these risk- adjusting domestic and foreign rates of return.</w:t>
      </w:r>
    </w:p>
    <w:p>
      <w:pPr>
        <w:pStyle w:val="Heading6"/>
        <w:numPr>
          <w:ilvl w:val="0"/>
          <w:numId w:val="12"/>
        </w:numPr>
        <w:tabs>
          <w:tab w:pos="1431" w:val="left" w:leader="none"/>
        </w:tabs>
        <w:spacing w:line="240" w:lineRule="auto" w:before="1" w:after="0"/>
        <w:ind w:left="1431" w:right="0" w:hanging="720"/>
        <w:jc w:val="both"/>
      </w:pPr>
      <w:r>
        <w:rPr/>
        <w:t>Exchange</w:t>
      </w:r>
      <w:r>
        <w:rPr>
          <w:spacing w:val="-2"/>
        </w:rPr>
        <w:t> </w:t>
      </w:r>
      <w:r>
        <w:rPr/>
        <w:t>Rate</w:t>
      </w:r>
      <w:r>
        <w:rPr>
          <w:spacing w:val="-3"/>
        </w:rPr>
        <w:t> </w:t>
      </w:r>
      <w:r>
        <w:rPr/>
        <w:t>Over-</w:t>
      </w:r>
      <w:r>
        <w:rPr>
          <w:spacing w:val="-2"/>
        </w:rPr>
        <w:t>Valuation</w:t>
      </w:r>
    </w:p>
    <w:p>
      <w:pPr>
        <w:pStyle w:val="BodyText"/>
        <w:rPr>
          <w:b/>
        </w:rPr>
      </w:pPr>
    </w:p>
    <w:p>
      <w:pPr>
        <w:pStyle w:val="BodyText"/>
        <w:spacing w:line="480" w:lineRule="auto"/>
        <w:ind w:left="711" w:right="469"/>
        <w:jc w:val="both"/>
      </w:pPr>
      <w:r>
        <w:rPr/>
        <w:t>Exchange rate policy was often aimed at fighting inflation rather than at preventing future balance of payments difficulties. For example in Argentina, Chile and Uruguay, a pre-announced path of decreasing exchange rate devaluations was deliberately enforced to contain inflation. These policies, which were conducted without controls on capital movements, were facilitated by favourable terms of trade, low real foreign interest rates and massive foreign lending. These anti-inflation policies led to exchange rate over valuation and fueled capital outflows as speculators brought foreign assets when the real exchange rate became unsustainably overvalued. In this way, central banks financial capital flight, thus re-channeling abroad a substantial portion of foreign lending to governments, with controls on capital movements unlike</w:t>
      </w:r>
      <w:r>
        <w:rPr>
          <w:spacing w:val="40"/>
        </w:rPr>
        <w:t> </w:t>
      </w:r>
      <w:r>
        <w:rPr/>
        <w:t>in the open capital account situation described above, currency</w:t>
      </w:r>
      <w:r>
        <w:rPr>
          <w:spacing w:val="-2"/>
        </w:rPr>
        <w:t> </w:t>
      </w:r>
      <w:r>
        <w:rPr/>
        <w:t>over-valuation is reflected in a premium, the black market offers above the official exchange rate. This tends to raise the unofficial surplus, an alternative source of capital flight, because the black market premium creates an economic incentives for smuggling, export under-invoicing, import-over-voicing and unofficial trade transactions related to tourism. Capital flight</w:t>
      </w:r>
      <w:r>
        <w:rPr>
          <w:spacing w:val="-2"/>
        </w:rPr>
        <w:t> </w:t>
      </w:r>
      <w:r>
        <w:rPr/>
        <w:t>through</w:t>
      </w:r>
      <w:r>
        <w:rPr>
          <w:spacing w:val="-2"/>
        </w:rPr>
        <w:t> </w:t>
      </w:r>
      <w:r>
        <w:rPr/>
        <w:t>smuggling</w:t>
      </w:r>
      <w:r>
        <w:rPr>
          <w:spacing w:val="-2"/>
        </w:rPr>
        <w:t> </w:t>
      </w:r>
      <w:r>
        <w:rPr/>
        <w:t>and</w:t>
      </w:r>
      <w:r>
        <w:rPr>
          <w:spacing w:val="-2"/>
        </w:rPr>
        <w:t> </w:t>
      </w:r>
      <w:r>
        <w:rPr/>
        <w:t>under-voicing</w:t>
      </w:r>
      <w:r>
        <w:rPr>
          <w:spacing w:val="-2"/>
        </w:rPr>
        <w:t> </w:t>
      </w:r>
      <w:r>
        <w:rPr/>
        <w:t>of</w:t>
      </w:r>
      <w:r>
        <w:rPr>
          <w:spacing w:val="-3"/>
        </w:rPr>
        <w:t> </w:t>
      </w:r>
      <w:r>
        <w:rPr/>
        <w:t>exports</w:t>
      </w:r>
      <w:r>
        <w:rPr>
          <w:spacing w:val="-2"/>
        </w:rPr>
        <w:t> </w:t>
      </w:r>
      <w:r>
        <w:rPr/>
        <w:t>is</w:t>
      </w:r>
      <w:r>
        <w:rPr>
          <w:spacing w:val="-2"/>
        </w:rPr>
        <w:t> </w:t>
      </w:r>
      <w:r>
        <w:rPr/>
        <w:t>also</w:t>
      </w:r>
      <w:r>
        <w:rPr>
          <w:spacing w:val="-2"/>
        </w:rPr>
        <w:t> </w:t>
      </w:r>
      <w:r>
        <w:rPr/>
        <w:t>induced</w:t>
      </w:r>
      <w:r>
        <w:rPr>
          <w:spacing w:val="-2"/>
        </w:rPr>
        <w:t> </w:t>
      </w:r>
      <w:r>
        <w:rPr/>
        <w:t>by</w:t>
      </w:r>
      <w:r>
        <w:rPr>
          <w:spacing w:val="-7"/>
        </w:rPr>
        <w:t> </w:t>
      </w:r>
      <w:r>
        <w:rPr/>
        <w:t>export</w:t>
      </w:r>
      <w:r>
        <w:rPr>
          <w:spacing w:val="-2"/>
        </w:rPr>
        <w:t> </w:t>
      </w:r>
      <w:r>
        <w:rPr/>
        <w:t>taxes</w:t>
      </w:r>
      <w:r>
        <w:rPr>
          <w:spacing w:val="-2"/>
        </w:rPr>
        <w:t> </w:t>
      </w:r>
      <w:r>
        <w:rPr/>
        <w:t>or</w:t>
      </w:r>
      <w:r>
        <w:rPr>
          <w:spacing w:val="-2"/>
        </w:rPr>
        <w:t> </w:t>
      </w:r>
      <w:r>
        <w:rPr/>
        <w:t>in</w:t>
      </w:r>
      <w:r>
        <w:rPr>
          <w:spacing w:val="-2"/>
        </w:rPr>
        <w:t> </w:t>
      </w:r>
      <w:r>
        <w:rPr/>
        <w:t>the</w:t>
      </w:r>
      <w:r>
        <w:rPr>
          <w:spacing w:val="-2"/>
        </w:rPr>
        <w:t> </w:t>
      </w:r>
      <w:r>
        <w:rPr/>
        <w:t>case</w:t>
      </w:r>
      <w:r>
        <w:rPr>
          <w:spacing w:val="-1"/>
        </w:rPr>
        <w:t> </w:t>
      </w:r>
      <w:r>
        <w:rPr/>
        <w:t>of</w:t>
      </w:r>
      <w:r>
        <w:rPr>
          <w:spacing w:val="-2"/>
        </w:rPr>
        <w:t> </w:t>
      </w:r>
      <w:r>
        <w:rPr/>
        <w:t>drugs by legal restrictions. On the other hand, import tariffs induce import under-invoicing (as importers seek to avoid trade taxes) that tends to reverse capital flight.</w:t>
      </w:r>
    </w:p>
    <w:p>
      <w:pPr>
        <w:pStyle w:val="Heading6"/>
        <w:numPr>
          <w:ilvl w:val="0"/>
          <w:numId w:val="12"/>
        </w:numPr>
        <w:tabs>
          <w:tab w:pos="1430" w:val="left" w:leader="none"/>
        </w:tabs>
        <w:spacing w:line="240" w:lineRule="auto" w:before="2" w:after="0"/>
        <w:ind w:left="1430" w:right="0" w:hanging="719"/>
        <w:jc w:val="both"/>
      </w:pPr>
      <w:r>
        <w:rPr/>
        <w:t>Financial</w:t>
      </w:r>
      <w:r>
        <w:rPr>
          <w:spacing w:val="-2"/>
        </w:rPr>
        <w:t> Instability</w:t>
      </w:r>
    </w:p>
    <w:p>
      <w:pPr>
        <w:pStyle w:val="BodyText"/>
        <w:spacing w:line="550" w:lineRule="atLeast" w:before="2"/>
        <w:ind w:left="711" w:right="471"/>
        <w:jc w:val="both"/>
      </w:pPr>
      <w:r>
        <w:rPr/>
        <w:t>Although, financial instability was partly a consequence of fiscal deficits and exchange rate policies, in many countries it was also a by-product of financial repression, that is, interest rate fixed below inflation rates, high legal reserve requirements of banks the other institution rigidities imposed on financial systems. Financial</w:t>
      </w:r>
      <w:r>
        <w:rPr>
          <w:spacing w:val="-1"/>
        </w:rPr>
        <w:t> </w:t>
      </w:r>
      <w:r>
        <w:rPr/>
        <w:t>repression</w:t>
      </w:r>
      <w:r>
        <w:rPr>
          <w:spacing w:val="-1"/>
        </w:rPr>
        <w:t> </w:t>
      </w:r>
      <w:r>
        <w:rPr/>
        <w:t>encouraged</w:t>
      </w:r>
      <w:r>
        <w:rPr>
          <w:spacing w:val="1"/>
        </w:rPr>
        <w:t> </w:t>
      </w:r>
      <w:r>
        <w:rPr/>
        <w:t>capital</w:t>
      </w:r>
      <w:r>
        <w:rPr>
          <w:spacing w:val="1"/>
        </w:rPr>
        <w:t> </w:t>
      </w:r>
      <w:r>
        <w:rPr/>
        <w:t>flight</w:t>
      </w:r>
      <w:r>
        <w:rPr>
          <w:spacing w:val="-1"/>
        </w:rPr>
        <w:t> </w:t>
      </w:r>
      <w:r>
        <w:rPr/>
        <w:t>both</w:t>
      </w:r>
      <w:r>
        <w:rPr>
          <w:spacing w:val="1"/>
        </w:rPr>
        <w:t> </w:t>
      </w:r>
      <w:r>
        <w:rPr/>
        <w:t>by</w:t>
      </w:r>
      <w:r>
        <w:rPr>
          <w:spacing w:val="-6"/>
        </w:rPr>
        <w:t> </w:t>
      </w:r>
      <w:r>
        <w:rPr/>
        <w:t>lowering</w:t>
      </w:r>
      <w:r>
        <w:rPr>
          <w:spacing w:val="-2"/>
        </w:rPr>
        <w:t> </w:t>
      </w:r>
      <w:r>
        <w:rPr/>
        <w:t>returns</w:t>
      </w:r>
      <w:r>
        <w:rPr>
          <w:spacing w:val="-1"/>
        </w:rPr>
        <w:t> </w:t>
      </w:r>
      <w:r>
        <w:rPr/>
        <w:t>on</w:t>
      </w:r>
      <w:r>
        <w:rPr>
          <w:spacing w:val="1"/>
        </w:rPr>
        <w:t> </w:t>
      </w:r>
      <w:r>
        <w:rPr/>
        <w:t>domestic</w:t>
      </w:r>
      <w:r>
        <w:rPr>
          <w:spacing w:val="-2"/>
        </w:rPr>
        <w:t> </w:t>
      </w:r>
      <w:r>
        <w:rPr/>
        <w:t>investments</w:t>
      </w:r>
      <w:r>
        <w:rPr>
          <w:spacing w:val="-1"/>
        </w:rPr>
        <w:t> </w:t>
      </w:r>
      <w:r>
        <w:rPr/>
        <w:t>and</w:t>
      </w:r>
      <w:r>
        <w:rPr>
          <w:spacing w:val="1"/>
        </w:rPr>
        <w:t> </w:t>
      </w:r>
      <w:r>
        <w:rPr>
          <w:spacing w:val="-2"/>
        </w:rPr>
        <w:t>feeding</w:t>
      </w:r>
    </w:p>
    <w:p>
      <w:pPr>
        <w:spacing w:after="0" w:line="550" w:lineRule="atLeast"/>
        <w:jc w:val="both"/>
        <w:sectPr>
          <w:pgSz w:w="11910" w:h="16840"/>
          <w:pgMar w:header="0" w:footer="979" w:top="1360" w:bottom="1240" w:left="280" w:right="0"/>
        </w:sectPr>
      </w:pPr>
    </w:p>
    <w:p>
      <w:pPr>
        <w:pStyle w:val="BodyText"/>
        <w:spacing w:line="480" w:lineRule="auto" w:before="60"/>
        <w:ind w:left="711" w:right="474"/>
        <w:jc w:val="both"/>
      </w:pPr>
      <w:r>
        <w:rPr/>
        <w:t>overall financial instability, for example, through its potential impact on financial disintermediation when inflation rises.</w:t>
      </w:r>
    </w:p>
    <w:p>
      <w:pPr>
        <w:pStyle w:val="BodyText"/>
        <w:spacing w:line="480" w:lineRule="auto" w:before="1"/>
        <w:ind w:left="711" w:right="470"/>
        <w:jc w:val="both"/>
      </w:pPr>
      <w:r>
        <w:rPr/>
        <w:t>In countries with more liberal financial systems, for example with market determined interest rates, large fiscal deficits and exchange rate over-valuation resulted in high real domestic interest rates thus creating a different type of financial instability as firms and governments became highly indebted domestically. Domestic firms that took advantage of relatively cheap foreign credit experienced financial instability after corrective devaluations were implemented. Financial instability also activates what can be regarded as a secondary</w:t>
      </w:r>
      <w:r>
        <w:rPr>
          <w:spacing w:val="-4"/>
        </w:rPr>
        <w:t> </w:t>
      </w:r>
      <w:r>
        <w:rPr/>
        <w:t>source</w:t>
      </w:r>
      <w:r>
        <w:rPr>
          <w:spacing w:val="-2"/>
        </w:rPr>
        <w:t> </w:t>
      </w:r>
      <w:r>
        <w:rPr/>
        <w:t>of capital</w:t>
      </w:r>
      <w:r>
        <w:rPr>
          <w:spacing w:val="-1"/>
        </w:rPr>
        <w:t> </w:t>
      </w:r>
      <w:r>
        <w:rPr/>
        <w:t>flight – the</w:t>
      </w:r>
      <w:r>
        <w:rPr>
          <w:spacing w:val="-1"/>
        </w:rPr>
        <w:t> </w:t>
      </w:r>
      <w:r>
        <w:rPr/>
        <w:t>stock</w:t>
      </w:r>
      <w:r>
        <w:rPr>
          <w:spacing w:val="-1"/>
        </w:rPr>
        <w:t> </w:t>
      </w:r>
      <w:r>
        <w:rPr/>
        <w:t>of</w:t>
      </w:r>
      <w:r>
        <w:rPr>
          <w:spacing w:val="-1"/>
        </w:rPr>
        <w:t> </w:t>
      </w:r>
      <w:r>
        <w:rPr/>
        <w:t>assets</w:t>
      </w:r>
      <w:r>
        <w:rPr>
          <w:spacing w:val="-1"/>
        </w:rPr>
        <w:t> </w:t>
      </w:r>
      <w:r>
        <w:rPr/>
        <w:t>held</w:t>
      </w:r>
      <w:r>
        <w:rPr>
          <w:spacing w:val="-1"/>
        </w:rPr>
        <w:t> </w:t>
      </w:r>
      <w:r>
        <w:rPr/>
        <w:t>by</w:t>
      </w:r>
      <w:r>
        <w:rPr>
          <w:spacing w:val="-6"/>
        </w:rPr>
        <w:t> </w:t>
      </w:r>
      <w:r>
        <w:rPr/>
        <w:t>residents</w:t>
      </w:r>
      <w:r>
        <w:rPr>
          <w:spacing w:val="-1"/>
        </w:rPr>
        <w:t> </w:t>
      </w:r>
      <w:r>
        <w:rPr/>
        <w:t>abroad.</w:t>
      </w:r>
      <w:r>
        <w:rPr>
          <w:spacing w:val="-1"/>
        </w:rPr>
        <w:t> </w:t>
      </w:r>
      <w:r>
        <w:rPr/>
        <w:t>Financial</w:t>
      </w:r>
      <w:r>
        <w:rPr>
          <w:spacing w:val="-1"/>
        </w:rPr>
        <w:t> </w:t>
      </w:r>
      <w:r>
        <w:rPr/>
        <w:t>instability</w:t>
      </w:r>
      <w:r>
        <w:rPr>
          <w:spacing w:val="-4"/>
        </w:rPr>
        <w:t> </w:t>
      </w:r>
      <w:r>
        <w:rPr/>
        <w:t>induced foreign asset holders to reinvest abroad the returns on their assets such as interest, dividends and capital gains. While policy distortions tend to have an immediate effect on capital flight, reversing them may only have positive results in the long run. In the short-run, trade and fiscal reforms may promote rather than reverse capital flight as they pose a threat to heavily protected sectors, privileged tax loopholes and tax evasion. However, a substantial reduction of fiscal imbalance could accelerate the beneficial effects of removing other policy distortions.</w:t>
      </w:r>
    </w:p>
    <w:p>
      <w:pPr>
        <w:pStyle w:val="Heading6"/>
        <w:numPr>
          <w:ilvl w:val="1"/>
          <w:numId w:val="10"/>
        </w:numPr>
        <w:tabs>
          <w:tab w:pos="1431" w:val="left" w:leader="none"/>
        </w:tabs>
        <w:spacing w:line="240" w:lineRule="auto" w:before="1" w:after="0"/>
        <w:ind w:left="1431" w:right="0" w:hanging="720"/>
        <w:jc w:val="both"/>
      </w:pPr>
      <w:bookmarkStart w:name="_TOC_250020" w:id="7"/>
      <w:r>
        <w:rPr/>
        <w:t>Basis for</w:t>
      </w:r>
      <w:r>
        <w:rPr>
          <w:spacing w:val="-1"/>
        </w:rPr>
        <w:t> </w:t>
      </w:r>
      <w:r>
        <w:rPr/>
        <w:t>Capital</w:t>
      </w:r>
      <w:r>
        <w:rPr>
          <w:spacing w:val="1"/>
        </w:rPr>
        <w:t> </w:t>
      </w:r>
      <w:bookmarkEnd w:id="7"/>
      <w:r>
        <w:rPr>
          <w:spacing w:val="-2"/>
        </w:rPr>
        <w:t>Flight</w:t>
      </w:r>
    </w:p>
    <w:p>
      <w:pPr>
        <w:pStyle w:val="BodyText"/>
        <w:rPr>
          <w:b/>
        </w:rPr>
      </w:pPr>
    </w:p>
    <w:p>
      <w:pPr>
        <w:pStyle w:val="BodyText"/>
        <w:spacing w:line="480" w:lineRule="auto" w:before="1"/>
        <w:ind w:left="711" w:right="472"/>
        <w:jc w:val="both"/>
      </w:pPr>
      <w:r>
        <w:rPr/>
        <w:t>The causes of capital flight are many; these various causes can be grouped under relative risks, exchange rate misalignment, financial sector constraints and/or repressions, fiscal deficits and external incentives and disbursement of new loans to LDCs (Cuddingtom, 1987). These are no doubt economic causes of capital flight. There are, however, other non-economic causes which though important are often ignored. These include the corruption of political leaders and extraordinary access to government funds. Some of these factors are now discuss below:</w:t>
      </w:r>
    </w:p>
    <w:p>
      <w:pPr>
        <w:pStyle w:val="Heading6"/>
      </w:pPr>
      <w:r>
        <w:rPr/>
        <w:t>Investment</w:t>
      </w:r>
      <w:r>
        <w:rPr>
          <w:spacing w:val="-4"/>
        </w:rPr>
        <w:t> </w:t>
      </w:r>
      <w:r>
        <w:rPr>
          <w:spacing w:val="-2"/>
        </w:rPr>
        <w:t>Climate</w:t>
      </w:r>
    </w:p>
    <w:p>
      <w:pPr>
        <w:pStyle w:val="BodyText"/>
        <w:rPr>
          <w:b/>
        </w:rPr>
      </w:pPr>
    </w:p>
    <w:p>
      <w:pPr>
        <w:pStyle w:val="BodyText"/>
        <w:spacing w:line="480" w:lineRule="auto"/>
        <w:ind w:left="711" w:right="470"/>
        <w:jc w:val="both"/>
      </w:pPr>
      <w:r>
        <w:rPr/>
        <w:t>A poor</w:t>
      </w:r>
      <w:r>
        <w:rPr>
          <w:spacing w:val="40"/>
        </w:rPr>
        <w:t> </w:t>
      </w:r>
      <w:r>
        <w:rPr/>
        <w:t>domestic</w:t>
      </w:r>
      <w:r>
        <w:rPr>
          <w:spacing w:val="80"/>
        </w:rPr>
        <w:t> </w:t>
      </w:r>
      <w:r>
        <w:rPr/>
        <w:t>investment climate will affect the returns of domestic held assets while a good and favourable domestic environment will boost the returns on dometically held assets. A favourable domestic investment</w:t>
      </w:r>
      <w:r>
        <w:rPr>
          <w:spacing w:val="35"/>
        </w:rPr>
        <w:t>  </w:t>
      </w:r>
      <w:r>
        <w:rPr/>
        <w:t>climate</w:t>
      </w:r>
      <w:r>
        <w:rPr>
          <w:spacing w:val="37"/>
        </w:rPr>
        <w:t>  </w:t>
      </w:r>
      <w:r>
        <w:rPr/>
        <w:t>will</w:t>
      </w:r>
      <w:r>
        <w:rPr>
          <w:spacing w:val="38"/>
        </w:rPr>
        <w:t> </w:t>
      </w:r>
      <w:r>
        <w:rPr/>
        <w:t>encourage</w:t>
      </w:r>
      <w:r>
        <w:rPr>
          <w:spacing w:val="39"/>
        </w:rPr>
        <w:t> </w:t>
      </w:r>
      <w:r>
        <w:rPr/>
        <w:t>capital</w:t>
      </w:r>
      <w:r>
        <w:rPr>
          <w:spacing w:val="42"/>
        </w:rPr>
        <w:t> </w:t>
      </w:r>
      <w:r>
        <w:rPr/>
        <w:t>inflows</w:t>
      </w:r>
      <w:r>
        <w:rPr>
          <w:spacing w:val="36"/>
        </w:rPr>
        <w:t> </w:t>
      </w:r>
      <w:r>
        <w:rPr/>
        <w:t>and</w:t>
      </w:r>
      <w:r>
        <w:rPr>
          <w:spacing w:val="38"/>
        </w:rPr>
        <w:t> </w:t>
      </w:r>
      <w:r>
        <w:rPr/>
        <w:t>a</w:t>
      </w:r>
      <w:r>
        <w:rPr>
          <w:spacing w:val="36"/>
        </w:rPr>
        <w:t> </w:t>
      </w:r>
      <w:r>
        <w:rPr/>
        <w:t>poor</w:t>
      </w:r>
      <w:r>
        <w:rPr>
          <w:spacing w:val="37"/>
        </w:rPr>
        <w:t> </w:t>
      </w:r>
      <w:r>
        <w:rPr/>
        <w:t>domestic</w:t>
      </w:r>
      <w:r>
        <w:rPr>
          <w:spacing w:val="37"/>
        </w:rPr>
        <w:t> </w:t>
      </w:r>
      <w:r>
        <w:rPr/>
        <w:t>investment</w:t>
      </w:r>
      <w:r>
        <w:rPr>
          <w:spacing w:val="37"/>
        </w:rPr>
        <w:t> </w:t>
      </w:r>
      <w:r>
        <w:rPr/>
        <w:t>enmvironment</w:t>
      </w:r>
      <w:r>
        <w:rPr>
          <w:spacing w:val="38"/>
        </w:rPr>
        <w:t> </w:t>
      </w:r>
      <w:r>
        <w:rPr>
          <w:spacing w:val="-4"/>
        </w:rPr>
        <w:t>will</w:t>
      </w:r>
    </w:p>
    <w:p>
      <w:pPr>
        <w:spacing w:after="0" w:line="480" w:lineRule="auto"/>
        <w:jc w:val="both"/>
        <w:sectPr>
          <w:pgSz w:w="11910" w:h="16840"/>
          <w:pgMar w:header="0" w:footer="979" w:top="1360" w:bottom="1240" w:left="280" w:right="0"/>
        </w:sectPr>
      </w:pPr>
    </w:p>
    <w:p>
      <w:pPr>
        <w:pStyle w:val="BodyText"/>
        <w:spacing w:line="480" w:lineRule="auto" w:before="60"/>
        <w:ind w:left="711" w:right="473"/>
        <w:jc w:val="both"/>
      </w:pPr>
      <w:r>
        <w:rPr/>
        <w:t>encourage capital outflows. Various factors in turn affect the</w:t>
      </w:r>
      <w:r>
        <w:rPr>
          <w:spacing w:val="40"/>
        </w:rPr>
        <w:t> </w:t>
      </w:r>
      <w:r>
        <w:rPr/>
        <w:t>condition of the domestic environment. These include (Ali and Bernard Walters,2011)</w:t>
      </w:r>
    </w:p>
    <w:p>
      <w:pPr>
        <w:pStyle w:val="Heading6"/>
        <w:numPr>
          <w:ilvl w:val="0"/>
          <w:numId w:val="13"/>
        </w:numPr>
        <w:tabs>
          <w:tab w:pos="1430" w:val="left" w:leader="none"/>
        </w:tabs>
        <w:spacing w:line="240" w:lineRule="auto" w:before="1" w:after="0"/>
        <w:ind w:left="1430" w:right="0" w:hanging="719"/>
        <w:jc w:val="both"/>
      </w:pPr>
      <w:r>
        <w:rPr/>
        <w:t>Risks</w:t>
      </w:r>
      <w:r>
        <w:rPr>
          <w:spacing w:val="-1"/>
        </w:rPr>
        <w:t> </w:t>
      </w:r>
      <w:r>
        <w:rPr/>
        <w:t>and</w:t>
      </w:r>
      <w:r>
        <w:rPr>
          <w:spacing w:val="-1"/>
        </w:rPr>
        <w:t> </w:t>
      </w:r>
      <w:r>
        <w:rPr/>
        <w:t>Return</w:t>
      </w:r>
      <w:r>
        <w:rPr>
          <w:spacing w:val="-1"/>
        </w:rPr>
        <w:t> </w:t>
      </w:r>
      <w:r>
        <w:rPr>
          <w:spacing w:val="-2"/>
        </w:rPr>
        <w:t>Features</w:t>
      </w:r>
    </w:p>
    <w:p>
      <w:pPr>
        <w:pStyle w:val="BodyText"/>
        <w:rPr>
          <w:b/>
        </w:rPr>
      </w:pPr>
    </w:p>
    <w:p>
      <w:pPr>
        <w:pStyle w:val="BodyText"/>
        <w:spacing w:line="480" w:lineRule="auto"/>
        <w:ind w:left="711" w:right="470"/>
        <w:jc w:val="both"/>
      </w:pPr>
      <w:r>
        <w:rPr/>
        <w:t>The relative riskiness and profitability of domestic investments will determine whether or not capital will flow in or out of an economy. In decision making process, the wealth holder looks at the various risks confronting him. There are certain inherent characteristics of developing countries which make risks attached to investments larger than those of developed countries. An increase in risk in a rational</w:t>
      </w:r>
      <w:r>
        <w:rPr>
          <w:spacing w:val="40"/>
        </w:rPr>
        <w:t> </w:t>
      </w:r>
      <w:r>
        <w:rPr/>
        <w:t>expectation setting would tend to increase the outflow of private capital from the domestic economy into foreign countries where investment is less risky. Thus, domestic investors will prefer to transfer funds and hold foreign assets (Hermes andLensiink, 2001; Cerra </w:t>
      </w:r>
      <w:r>
        <w:rPr>
          <w:i/>
        </w:rPr>
        <w:t>et al</w:t>
      </w:r>
      <w:r>
        <w:rPr/>
        <w:t>, 2008).</w:t>
      </w:r>
    </w:p>
    <w:p>
      <w:pPr>
        <w:pStyle w:val="Heading6"/>
        <w:numPr>
          <w:ilvl w:val="0"/>
          <w:numId w:val="13"/>
        </w:numPr>
        <w:tabs>
          <w:tab w:pos="1431" w:val="left" w:leader="none"/>
        </w:tabs>
        <w:spacing w:line="240" w:lineRule="auto" w:before="1" w:after="0"/>
        <w:ind w:left="1431" w:right="0" w:hanging="720"/>
        <w:jc w:val="both"/>
      </w:pPr>
      <w:r>
        <w:rPr/>
        <w:t>Policy</w:t>
      </w:r>
      <w:r>
        <w:rPr>
          <w:spacing w:val="-4"/>
        </w:rPr>
        <w:t> </w:t>
      </w:r>
      <w:r>
        <w:rPr>
          <w:spacing w:val="-2"/>
        </w:rPr>
        <w:t>Distortions</w:t>
      </w:r>
    </w:p>
    <w:p>
      <w:pPr>
        <w:pStyle w:val="BodyText"/>
        <w:rPr>
          <w:b/>
        </w:rPr>
      </w:pPr>
    </w:p>
    <w:p>
      <w:pPr>
        <w:pStyle w:val="BodyText"/>
        <w:spacing w:line="480" w:lineRule="auto"/>
        <w:ind w:left="711" w:right="470"/>
        <w:jc w:val="both"/>
      </w:pPr>
      <w:r>
        <w:rPr/>
        <w:t>The specific macroeconomic policies a country pursues will directly affect the domestic climate. Macroeconomic instability such as high and volatile inflation rate will erode the real value of domestic assets and this will result in lower economic growth and lower returns to the investors. Apart from this currency,</w:t>
      </w:r>
      <w:r>
        <w:rPr>
          <w:spacing w:val="-1"/>
        </w:rPr>
        <w:t> </w:t>
      </w:r>
      <w:r>
        <w:rPr/>
        <w:t>overvaluation</w:t>
      </w:r>
      <w:r>
        <w:rPr>
          <w:spacing w:val="-1"/>
        </w:rPr>
        <w:t> </w:t>
      </w:r>
      <w:r>
        <w:rPr/>
        <w:t>has</w:t>
      </w:r>
      <w:r>
        <w:rPr>
          <w:spacing w:val="-1"/>
        </w:rPr>
        <w:t> </w:t>
      </w:r>
      <w:r>
        <w:rPr/>
        <w:t>also</w:t>
      </w:r>
      <w:r>
        <w:rPr>
          <w:spacing w:val="-1"/>
        </w:rPr>
        <w:t> </w:t>
      </w:r>
      <w:r>
        <w:rPr/>
        <w:t>been</w:t>
      </w:r>
      <w:r>
        <w:rPr>
          <w:spacing w:val="-1"/>
        </w:rPr>
        <w:t> </w:t>
      </w:r>
      <w:r>
        <w:rPr/>
        <w:t>suggested as</w:t>
      </w:r>
      <w:r>
        <w:rPr>
          <w:spacing w:val="-1"/>
        </w:rPr>
        <w:t> </w:t>
      </w:r>
      <w:r>
        <w:rPr/>
        <w:t>one</w:t>
      </w:r>
      <w:r>
        <w:rPr>
          <w:spacing w:val="-2"/>
        </w:rPr>
        <w:t> </w:t>
      </w:r>
      <w:r>
        <w:rPr/>
        <w:t>important</w:t>
      </w:r>
      <w:r>
        <w:rPr>
          <w:spacing w:val="-1"/>
        </w:rPr>
        <w:t> </w:t>
      </w:r>
      <w:r>
        <w:rPr/>
        <w:t>variable</w:t>
      </w:r>
      <w:r>
        <w:rPr>
          <w:spacing w:val="-2"/>
        </w:rPr>
        <w:t> </w:t>
      </w:r>
      <w:r>
        <w:rPr/>
        <w:t>that</w:t>
      </w:r>
      <w:r>
        <w:rPr>
          <w:spacing w:val="-1"/>
        </w:rPr>
        <w:t> </w:t>
      </w:r>
      <w:r>
        <w:rPr/>
        <w:t>is</w:t>
      </w:r>
      <w:r>
        <w:rPr>
          <w:spacing w:val="-3"/>
        </w:rPr>
        <w:t> </w:t>
      </w:r>
      <w:r>
        <w:rPr/>
        <w:t>responsible</w:t>
      </w:r>
      <w:r>
        <w:rPr>
          <w:spacing w:val="-2"/>
        </w:rPr>
        <w:t> </w:t>
      </w:r>
      <w:r>
        <w:rPr/>
        <w:t>for</w:t>
      </w:r>
      <w:r>
        <w:rPr>
          <w:spacing w:val="-3"/>
        </w:rPr>
        <w:t> </w:t>
      </w:r>
      <w:r>
        <w:rPr/>
        <w:t>high</w:t>
      </w:r>
      <w:r>
        <w:rPr>
          <w:spacing w:val="-1"/>
        </w:rPr>
        <w:t> </w:t>
      </w:r>
      <w:r>
        <w:rPr/>
        <w:t>rate</w:t>
      </w:r>
      <w:r>
        <w:rPr>
          <w:spacing w:val="-2"/>
        </w:rPr>
        <w:t> </w:t>
      </w:r>
      <w:r>
        <w:rPr/>
        <w:t>of capital outflows from a country. This is because currency overvaluation will result in lower economic growth, higher probability of speculative attacks, increase current account deficits, shortage of foreign exchange, balance of payment crises and corruption (Frait </w:t>
      </w:r>
      <w:r>
        <w:rPr>
          <w:i/>
        </w:rPr>
        <w:t>et al </w:t>
      </w:r>
      <w:r>
        <w:rPr/>
        <w:t>2006 </w:t>
      </w:r>
      <w:r>
        <w:rPr>
          <w:i/>
        </w:rPr>
        <w:t>, </w:t>
      </w:r>
      <w:r>
        <w:rPr/>
        <w:t>Rodic,2008)</w:t>
      </w:r>
    </w:p>
    <w:p>
      <w:pPr>
        <w:pStyle w:val="Heading6"/>
        <w:numPr>
          <w:ilvl w:val="0"/>
          <w:numId w:val="13"/>
        </w:numPr>
        <w:tabs>
          <w:tab w:pos="1490" w:val="left" w:leader="none"/>
        </w:tabs>
        <w:spacing w:line="240" w:lineRule="auto" w:before="1" w:after="0"/>
        <w:ind w:left="1490" w:right="0" w:hanging="779"/>
        <w:jc w:val="both"/>
      </w:pPr>
      <w:r>
        <w:rPr/>
        <w:t>Institutions</w:t>
      </w:r>
      <w:r>
        <w:rPr>
          <w:spacing w:val="-3"/>
        </w:rPr>
        <w:t> </w:t>
      </w:r>
      <w:r>
        <w:rPr/>
        <w:t>and</w:t>
      </w:r>
      <w:r>
        <w:rPr>
          <w:spacing w:val="-2"/>
        </w:rPr>
        <w:t> </w:t>
      </w:r>
      <w:r>
        <w:rPr/>
        <w:t>Political</w:t>
      </w:r>
      <w:r>
        <w:rPr>
          <w:spacing w:val="-1"/>
        </w:rPr>
        <w:t> </w:t>
      </w:r>
      <w:r>
        <w:rPr>
          <w:spacing w:val="-2"/>
        </w:rPr>
        <w:t>Instability</w:t>
      </w:r>
    </w:p>
    <w:p>
      <w:pPr>
        <w:pStyle w:val="BodyText"/>
        <w:rPr>
          <w:b/>
        </w:rPr>
      </w:pPr>
    </w:p>
    <w:p>
      <w:pPr>
        <w:pStyle w:val="BodyText"/>
        <w:spacing w:line="480" w:lineRule="auto"/>
        <w:ind w:left="711" w:right="476"/>
        <w:jc w:val="both"/>
      </w:pPr>
      <w:r>
        <w:rPr/>
        <w:t>Good quality financial institutions are very vital to ensure favourable domestic investment climate. The study of Acemoglu and Robinson 2001, Acemoglu </w:t>
      </w:r>
      <w:r>
        <w:rPr>
          <w:i/>
        </w:rPr>
        <w:t>et al</w:t>
      </w:r>
      <w:r>
        <w:rPr>
          <w:i/>
          <w:spacing w:val="40"/>
        </w:rPr>
        <w:t> </w:t>
      </w:r>
      <w:r>
        <w:rPr/>
        <w:t>2005 show that institutions directly affect whether investors will engage in productive investments or not. Hence,</w:t>
      </w:r>
      <w:r>
        <w:rPr>
          <w:spacing w:val="40"/>
        </w:rPr>
        <w:t> </w:t>
      </w:r>
      <w:r>
        <w:rPr/>
        <w:t>the decision to invest locally</w:t>
      </w:r>
      <w:r>
        <w:rPr>
          <w:spacing w:val="-3"/>
        </w:rPr>
        <w:t> </w:t>
      </w:r>
      <w:r>
        <w:rPr/>
        <w:t>or not depends on the availability or otherwise of investment-friendly financial institutions in the economy (North,1990).</w:t>
      </w:r>
    </w:p>
    <w:p>
      <w:pPr>
        <w:pStyle w:val="Heading6"/>
        <w:numPr>
          <w:ilvl w:val="0"/>
          <w:numId w:val="13"/>
        </w:numPr>
        <w:tabs>
          <w:tab w:pos="1429" w:val="left" w:leader="none"/>
        </w:tabs>
        <w:spacing w:line="240" w:lineRule="auto" w:before="1" w:after="0"/>
        <w:ind w:left="1429" w:right="0" w:hanging="718"/>
        <w:jc w:val="both"/>
      </w:pPr>
      <w:r>
        <w:rPr/>
        <w:t>Exchange</w:t>
      </w:r>
      <w:r>
        <w:rPr>
          <w:spacing w:val="-3"/>
        </w:rPr>
        <w:t> </w:t>
      </w:r>
      <w:r>
        <w:rPr/>
        <w:t>Rate</w:t>
      </w:r>
      <w:r>
        <w:rPr>
          <w:spacing w:val="-2"/>
        </w:rPr>
        <w:t> Misalignment</w:t>
      </w:r>
    </w:p>
    <w:p>
      <w:pPr>
        <w:pStyle w:val="BodyText"/>
        <w:spacing w:line="550" w:lineRule="atLeast" w:before="1"/>
        <w:ind w:left="711" w:right="474"/>
        <w:jc w:val="both"/>
      </w:pPr>
      <w:r>
        <w:rPr/>
        <w:t>The importance of this variable has amply been demonstrated in several empirical analyses including the studies</w:t>
      </w:r>
      <w:r>
        <w:rPr>
          <w:spacing w:val="6"/>
        </w:rPr>
        <w:t> </w:t>
      </w:r>
      <w:r>
        <w:rPr/>
        <w:t>by</w:t>
      </w:r>
      <w:r>
        <w:rPr>
          <w:spacing w:val="4"/>
        </w:rPr>
        <w:t> </w:t>
      </w:r>
      <w:r>
        <w:rPr/>
        <w:t>Dornbusch</w:t>
      </w:r>
      <w:r>
        <w:rPr>
          <w:spacing w:val="9"/>
        </w:rPr>
        <w:t> </w:t>
      </w:r>
      <w:r>
        <w:rPr/>
        <w:t>(1985),</w:t>
      </w:r>
      <w:r>
        <w:rPr>
          <w:spacing w:val="7"/>
        </w:rPr>
        <w:t> </w:t>
      </w:r>
      <w:r>
        <w:rPr/>
        <w:t>Cuddington</w:t>
      </w:r>
      <w:r>
        <w:rPr>
          <w:spacing w:val="9"/>
        </w:rPr>
        <w:t> </w:t>
      </w:r>
      <w:r>
        <w:rPr/>
        <w:t>(1986),</w:t>
      </w:r>
      <w:r>
        <w:rPr>
          <w:spacing w:val="11"/>
        </w:rPr>
        <w:t> </w:t>
      </w:r>
      <w:r>
        <w:rPr/>
        <w:t>Lessard</w:t>
      </w:r>
      <w:r>
        <w:rPr>
          <w:spacing w:val="10"/>
        </w:rPr>
        <w:t> </w:t>
      </w:r>
      <w:r>
        <w:rPr/>
        <w:t>and</w:t>
      </w:r>
      <w:r>
        <w:rPr>
          <w:spacing w:val="9"/>
        </w:rPr>
        <w:t> </w:t>
      </w:r>
      <w:r>
        <w:rPr/>
        <w:t>Williamson</w:t>
      </w:r>
      <w:r>
        <w:rPr>
          <w:spacing w:val="9"/>
        </w:rPr>
        <w:t> </w:t>
      </w:r>
      <w:r>
        <w:rPr/>
        <w:t>(1987)</w:t>
      </w:r>
      <w:r>
        <w:rPr>
          <w:spacing w:val="7"/>
        </w:rPr>
        <w:t> </w:t>
      </w:r>
      <w:r>
        <w:rPr/>
        <w:t>and</w:t>
      </w:r>
      <w:r>
        <w:rPr>
          <w:spacing w:val="9"/>
        </w:rPr>
        <w:t> </w:t>
      </w:r>
      <w:r>
        <w:rPr/>
        <w:t>Pastor</w:t>
      </w:r>
      <w:r>
        <w:rPr>
          <w:spacing w:val="11"/>
        </w:rPr>
        <w:t> </w:t>
      </w:r>
      <w:r>
        <w:rPr/>
        <w:t>(1989,</w:t>
      </w:r>
      <w:r>
        <w:rPr>
          <w:spacing w:val="9"/>
        </w:rPr>
        <w:t> </w:t>
      </w:r>
      <w:r>
        <w:rPr>
          <w:spacing w:val="-2"/>
        </w:rPr>
        <w:t>1990).</w:t>
      </w:r>
    </w:p>
    <w:p>
      <w:pPr>
        <w:spacing w:after="0" w:line="550" w:lineRule="atLeast"/>
        <w:jc w:val="both"/>
        <w:sectPr>
          <w:pgSz w:w="11910" w:h="16840"/>
          <w:pgMar w:header="0" w:footer="979" w:top="1360" w:bottom="1240" w:left="280" w:right="0"/>
        </w:sectPr>
      </w:pPr>
    </w:p>
    <w:p>
      <w:pPr>
        <w:pStyle w:val="BodyText"/>
        <w:spacing w:line="480" w:lineRule="auto" w:before="60"/>
        <w:ind w:left="711" w:right="472"/>
        <w:jc w:val="both"/>
      </w:pPr>
      <w:r>
        <w:rPr/>
        <w:t>The real exchange rate plays a significant role in the direction and magnitude of capital flight from highly- indebted developing countries. Under normal circumstances, if a currency appreciation is expected,</w:t>
      </w:r>
      <w:r>
        <w:rPr>
          <w:spacing w:val="40"/>
        </w:rPr>
        <w:t> </w:t>
      </w:r>
      <w:r>
        <w:rPr/>
        <w:t>domestic wealth owners would shift out of domestic assets into foreign assets. In general, it is difficult to measure</w:t>
      </w:r>
      <w:r>
        <w:rPr>
          <w:spacing w:val="-2"/>
        </w:rPr>
        <w:t> </w:t>
      </w:r>
      <w:r>
        <w:rPr/>
        <w:t>precisely</w:t>
      </w:r>
      <w:r>
        <w:rPr>
          <w:spacing w:val="-6"/>
        </w:rPr>
        <w:t> </w:t>
      </w:r>
      <w:r>
        <w:rPr/>
        <w:t>exchange</w:t>
      </w:r>
      <w:r>
        <w:rPr>
          <w:spacing w:val="-1"/>
        </w:rPr>
        <w:t> </w:t>
      </w:r>
      <w:r>
        <w:rPr/>
        <w:t>rate</w:t>
      </w:r>
      <w:r>
        <w:rPr>
          <w:spacing w:val="-1"/>
        </w:rPr>
        <w:t> </w:t>
      </w:r>
      <w:r>
        <w:rPr/>
        <w:t>expectations. It</w:t>
      </w:r>
      <w:r>
        <w:rPr>
          <w:spacing w:val="-2"/>
        </w:rPr>
        <w:t> </w:t>
      </w:r>
      <w:r>
        <w:rPr/>
        <w:t>is</w:t>
      </w:r>
      <w:r>
        <w:rPr>
          <w:spacing w:val="-2"/>
        </w:rPr>
        <w:t> </w:t>
      </w:r>
      <w:r>
        <w:rPr/>
        <w:t>safe, however,</w:t>
      </w:r>
      <w:r>
        <w:rPr>
          <w:spacing w:val="-1"/>
        </w:rPr>
        <w:t> </w:t>
      </w:r>
      <w:r>
        <w:rPr/>
        <w:t>to</w:t>
      </w:r>
      <w:r>
        <w:rPr>
          <w:spacing w:val="-2"/>
        </w:rPr>
        <w:t> </w:t>
      </w:r>
      <w:r>
        <w:rPr/>
        <w:t>assume</w:t>
      </w:r>
      <w:r>
        <w:rPr>
          <w:spacing w:val="-2"/>
        </w:rPr>
        <w:t> </w:t>
      </w:r>
      <w:r>
        <w:rPr/>
        <w:t>that</w:t>
      </w:r>
      <w:r>
        <w:rPr>
          <w:spacing w:val="-2"/>
        </w:rPr>
        <w:t> </w:t>
      </w:r>
      <w:r>
        <w:rPr/>
        <w:t>if</w:t>
      </w:r>
      <w:r>
        <w:rPr>
          <w:spacing w:val="-1"/>
        </w:rPr>
        <w:t> </w:t>
      </w:r>
      <w:r>
        <w:rPr/>
        <w:t>a</w:t>
      </w:r>
      <w:r>
        <w:rPr>
          <w:spacing w:val="-1"/>
        </w:rPr>
        <w:t> </w:t>
      </w:r>
      <w:r>
        <w:rPr/>
        <w:t>currency</w:t>
      </w:r>
      <w:r>
        <w:rPr>
          <w:spacing w:val="-6"/>
        </w:rPr>
        <w:t> </w:t>
      </w:r>
      <w:r>
        <w:rPr/>
        <w:t>is overvalued, economic agents would expect the currency to be devalued in the future. Holding firmly to this expectation would cause residents to avoid the potential capital loss by converting into foreign claims.</w:t>
      </w:r>
    </w:p>
    <w:p>
      <w:pPr>
        <w:pStyle w:val="Heading6"/>
        <w:numPr>
          <w:ilvl w:val="0"/>
          <w:numId w:val="13"/>
        </w:numPr>
        <w:tabs>
          <w:tab w:pos="1291" w:val="left" w:leader="none"/>
        </w:tabs>
        <w:spacing w:line="240" w:lineRule="auto" w:before="1" w:after="0"/>
        <w:ind w:left="1291" w:right="0" w:hanging="580"/>
        <w:jc w:val="both"/>
      </w:pPr>
      <w:r>
        <w:rPr/>
        <w:t>Financial</w:t>
      </w:r>
      <w:r>
        <w:rPr>
          <w:spacing w:val="-3"/>
        </w:rPr>
        <w:t> </w:t>
      </w:r>
      <w:r>
        <w:rPr/>
        <w:t>Sector</w:t>
      </w:r>
      <w:r>
        <w:rPr>
          <w:spacing w:val="-2"/>
        </w:rPr>
        <w:t> Constraints</w:t>
      </w:r>
    </w:p>
    <w:p>
      <w:pPr>
        <w:pStyle w:val="BodyText"/>
        <w:spacing w:before="1"/>
        <w:rPr>
          <w:b/>
        </w:rPr>
      </w:pPr>
    </w:p>
    <w:p>
      <w:pPr>
        <w:pStyle w:val="BodyText"/>
        <w:spacing w:line="480" w:lineRule="auto"/>
        <w:ind w:left="711" w:right="471"/>
        <w:jc w:val="both"/>
      </w:pPr>
      <w:r>
        <w:rPr/>
        <w:t>This can also lead to capital flight. It is well known that narrowness of the capital and money market is a feature of developing economies. Financial markets in these countries provide only a limited variety of financial instrument in which wealth can be held. There</w:t>
      </w:r>
      <w:r>
        <w:rPr>
          <w:spacing w:val="-1"/>
        </w:rPr>
        <w:t> </w:t>
      </w:r>
      <w:r>
        <w:rPr/>
        <w:t>is also in many</w:t>
      </w:r>
      <w:r>
        <w:rPr>
          <w:spacing w:val="-4"/>
        </w:rPr>
        <w:t> </w:t>
      </w:r>
      <w:r>
        <w:rPr/>
        <w:t>developing countries the lack of full or credible deposit insurance on assets that are held in the domestic banking sector. This deficiency is, however, being increasingly remedied by many developing countries. Additionally, there are extensive controls on interest rates and on other aspects of financial market behaviour in developing countries. Government policies in the financial sector have resulted in normal interest rates that are far below the rates on comparable foreign financial instruments. In most cases, the real rates of return on domestic financial assets are negative.</w:t>
      </w:r>
    </w:p>
    <w:p>
      <w:pPr>
        <w:pStyle w:val="Heading6"/>
        <w:numPr>
          <w:ilvl w:val="1"/>
          <w:numId w:val="10"/>
        </w:numPr>
        <w:tabs>
          <w:tab w:pos="1071" w:val="left" w:leader="none"/>
        </w:tabs>
        <w:spacing w:line="240" w:lineRule="auto" w:before="1" w:after="0"/>
        <w:ind w:left="1071" w:right="0" w:hanging="360"/>
        <w:jc w:val="both"/>
      </w:pPr>
      <w:r>
        <w:rPr/>
        <w:t>The</w:t>
      </w:r>
      <w:r>
        <w:rPr>
          <w:spacing w:val="-3"/>
        </w:rPr>
        <w:t> </w:t>
      </w:r>
      <w:r>
        <w:rPr/>
        <w:t>Structural</w:t>
      </w:r>
      <w:r>
        <w:rPr>
          <w:spacing w:val="-2"/>
        </w:rPr>
        <w:t> </w:t>
      </w:r>
      <w:r>
        <w:rPr/>
        <w:t>Adjustment</w:t>
      </w:r>
      <w:r>
        <w:rPr>
          <w:spacing w:val="-1"/>
        </w:rPr>
        <w:t> </w:t>
      </w:r>
      <w:r>
        <w:rPr>
          <w:spacing w:val="-2"/>
        </w:rPr>
        <w:t>Programme</w:t>
      </w:r>
    </w:p>
    <w:p>
      <w:pPr>
        <w:pStyle w:val="BodyText"/>
        <w:spacing w:line="480" w:lineRule="auto" w:before="276"/>
        <w:ind w:left="711" w:right="470"/>
        <w:jc w:val="both"/>
        <w:rPr>
          <w:i/>
        </w:rPr>
      </w:pPr>
      <w:r>
        <w:rPr/>
        <w:t>The years in the 1980s witnessed steady economic deterioration and seemingly</w:t>
      </w:r>
      <w:r>
        <w:rPr>
          <w:spacing w:val="-2"/>
        </w:rPr>
        <w:t> </w:t>
      </w:r>
      <w:r>
        <w:rPr/>
        <w:t>faulty economic policies. At the beginning</w:t>
      </w:r>
      <w:r>
        <w:rPr>
          <w:spacing w:val="-2"/>
        </w:rPr>
        <w:t> </w:t>
      </w:r>
      <w:r>
        <w:rPr/>
        <w:t>of the 1980s, the country</w:t>
      </w:r>
      <w:r>
        <w:rPr>
          <w:spacing w:val="-4"/>
        </w:rPr>
        <w:t> </w:t>
      </w:r>
      <w:r>
        <w:rPr/>
        <w:t>had entered into difficult times. Scarcity</w:t>
      </w:r>
      <w:r>
        <w:rPr>
          <w:spacing w:val="-4"/>
        </w:rPr>
        <w:t> </w:t>
      </w:r>
      <w:r>
        <w:rPr/>
        <w:t>of foreign exchange had set in. By the mid-1980s, reality had dawned on the nation’s economy. Retrenchment of workers was rampant</w:t>
      </w:r>
      <w:r>
        <w:rPr>
          <w:spacing w:val="40"/>
        </w:rPr>
        <w:t> </w:t>
      </w:r>
      <w:r>
        <w:rPr/>
        <w:t>in both private and public sectors. There were inflation, very high levels of unemployment affecting both skilled and unskilled workers, and low levels of plant capacity utilization. The origin of the socio-economic difficulties was generally traced to the global economic recession which opened with the decade of the 1980s. Earlier, these socio-economic problems had forced the Federal Government of Nigeria, under President</w:t>
      </w:r>
      <w:r>
        <w:rPr>
          <w:spacing w:val="12"/>
        </w:rPr>
        <w:t> </w:t>
      </w:r>
      <w:r>
        <w:rPr/>
        <w:t>Shehu</w:t>
      </w:r>
      <w:r>
        <w:rPr>
          <w:spacing w:val="13"/>
        </w:rPr>
        <w:t> </w:t>
      </w:r>
      <w:r>
        <w:rPr/>
        <w:t>Shagari,</w:t>
      </w:r>
      <w:r>
        <w:rPr>
          <w:spacing w:val="15"/>
        </w:rPr>
        <w:t> </w:t>
      </w:r>
      <w:r>
        <w:rPr/>
        <w:t>to</w:t>
      </w:r>
      <w:r>
        <w:rPr>
          <w:spacing w:val="13"/>
        </w:rPr>
        <w:t> </w:t>
      </w:r>
      <w:r>
        <w:rPr/>
        <w:t>embark</w:t>
      </w:r>
      <w:r>
        <w:rPr>
          <w:spacing w:val="13"/>
        </w:rPr>
        <w:t> </w:t>
      </w:r>
      <w:r>
        <w:rPr/>
        <w:t>on</w:t>
      </w:r>
      <w:r>
        <w:rPr>
          <w:spacing w:val="13"/>
        </w:rPr>
        <w:t> </w:t>
      </w:r>
      <w:r>
        <w:rPr/>
        <w:t>an</w:t>
      </w:r>
      <w:r>
        <w:rPr>
          <w:spacing w:val="15"/>
        </w:rPr>
        <w:t> </w:t>
      </w:r>
      <w:r>
        <w:rPr/>
        <w:t>economic</w:t>
      </w:r>
      <w:r>
        <w:rPr>
          <w:spacing w:val="12"/>
        </w:rPr>
        <w:t> </w:t>
      </w:r>
      <w:r>
        <w:rPr/>
        <w:t>stabilization</w:t>
      </w:r>
      <w:r>
        <w:rPr>
          <w:spacing w:val="13"/>
        </w:rPr>
        <w:t> </w:t>
      </w:r>
      <w:r>
        <w:rPr/>
        <w:t>programme</w:t>
      </w:r>
      <w:r>
        <w:rPr>
          <w:spacing w:val="12"/>
        </w:rPr>
        <w:t> </w:t>
      </w:r>
      <w:r>
        <w:rPr/>
        <w:t>(Aboyade,</w:t>
      </w:r>
      <w:r>
        <w:rPr>
          <w:spacing w:val="14"/>
        </w:rPr>
        <w:t> </w:t>
      </w:r>
      <w:r>
        <w:rPr/>
        <w:t>1974,</w:t>
      </w:r>
      <w:r>
        <w:rPr>
          <w:spacing w:val="15"/>
        </w:rPr>
        <w:t> </w:t>
      </w:r>
      <w:r>
        <w:rPr/>
        <w:t>Adegbite</w:t>
      </w:r>
      <w:r>
        <w:rPr>
          <w:spacing w:val="16"/>
        </w:rPr>
        <w:t> </w:t>
      </w:r>
      <w:r>
        <w:rPr>
          <w:i/>
          <w:spacing w:val="-5"/>
        </w:rPr>
        <w:t>et</w:t>
      </w:r>
    </w:p>
    <w:p>
      <w:pPr>
        <w:pStyle w:val="BodyText"/>
        <w:spacing w:before="1"/>
        <w:ind w:left="711"/>
        <w:jc w:val="both"/>
      </w:pPr>
      <w:r>
        <w:rPr>
          <w:i/>
        </w:rPr>
        <w:t>al</w:t>
      </w:r>
      <w:r>
        <w:rPr/>
        <w:t>, </w:t>
      </w:r>
      <w:r>
        <w:rPr>
          <w:spacing w:val="-2"/>
        </w:rPr>
        <w:t>2008).</w:t>
      </w:r>
    </w:p>
    <w:p>
      <w:pPr>
        <w:spacing w:after="0"/>
        <w:jc w:val="both"/>
        <w:sectPr>
          <w:pgSz w:w="11910" w:h="16840"/>
          <w:pgMar w:header="0" w:footer="979" w:top="1360" w:bottom="1240" w:left="280" w:right="0"/>
        </w:sectPr>
      </w:pPr>
    </w:p>
    <w:p>
      <w:pPr>
        <w:pStyle w:val="BodyText"/>
        <w:spacing w:line="480" w:lineRule="auto" w:before="60"/>
        <w:ind w:left="711" w:right="468"/>
        <w:jc w:val="both"/>
      </w:pPr>
      <w:r>
        <w:rPr/>
        <w:t>The problems of performance of the public sector enterprises in Nigeria were further complicated by the downturn in socio-economic development in the country due to the global economic recession and the collapse of the oil market. Thus, Nigeria’s precarious fiscal and monetary posture could no longer sustain</w:t>
      </w:r>
      <w:r>
        <w:rPr>
          <w:spacing w:val="40"/>
        </w:rPr>
        <w:t> </w:t>
      </w:r>
      <w:r>
        <w:rPr/>
        <w:t>the requirements of its public sector enterprises, particularly, since they performed below expectations in terms of their returns on investments and quality of services. Towards the end of 1980s, the public enterprises, which had grown too large, began to suffer from fundamental problems of defective capital structures, excessive bureaucratic control and intervention, inappropriate technologies, gross incompetence, and blatant corruption. With the</w:t>
      </w:r>
      <w:r>
        <w:rPr>
          <w:spacing w:val="-1"/>
        </w:rPr>
        <w:t> </w:t>
      </w:r>
      <w:r>
        <w:rPr/>
        <w:t>deep internal crises that included high rates</w:t>
      </w:r>
      <w:r>
        <w:rPr>
          <w:spacing w:val="-1"/>
        </w:rPr>
        <w:t> </w:t>
      </w:r>
      <w:r>
        <w:rPr/>
        <w:t>of</w:t>
      </w:r>
      <w:r>
        <w:rPr>
          <w:spacing w:val="-1"/>
        </w:rPr>
        <w:t> </w:t>
      </w:r>
      <w:r>
        <w:rPr/>
        <w:t>inflation and unemployment, external debt obligations, and foreign exchange misalignment, Nigeria and many other African countries were strongly advised by the worldwide lending agencies, particularly, IMF and the World Bank, to divest their public enterprises as one of the conditions for economic assistance. With the intensified push for economic liberalization, Nigerian and other African leaders were told that privatization as an economic reform would help cut public sector inefficiency and waste, provide greater scope to the private sector, attract more investments, bring in new technologies, and hence revive economic growth. Thus many countries, including Nigeria, embarked on privatization and other market oriented reforms to pull them out of the structural imbalances (Nwoye, 1997).</w:t>
      </w:r>
    </w:p>
    <w:p>
      <w:pPr>
        <w:pStyle w:val="BodyText"/>
        <w:spacing w:line="480" w:lineRule="auto" w:before="3"/>
        <w:ind w:left="711" w:right="468"/>
        <w:jc w:val="both"/>
      </w:pPr>
      <w:r>
        <w:rPr/>
        <w:t>It is against this background that the Structural Adjustment Programme (SAP), proposed a kind of reform which would affect the goals, administration, and management of most of the public sector enterprises for purposes of efficiency (Federal Republic of Nigeria, 1986). The major objective of SAP was to boost economic growth by enhancing domestic production. This was to be done through deregulation and privatization of main economic sectors by the removal of subsidies, reduction in wage expenses, and retrenchment in the public sector ostensibly to trim the state down to size. However, the Structural Adjustment Programme could not achieve the set objectives not only because of the conditionalities of the creditors but also because of various political and economic challenges in the country. These challenges</w:t>
      </w:r>
      <w:r>
        <w:rPr>
          <w:spacing w:val="40"/>
        </w:rPr>
        <w:t> </w:t>
      </w:r>
      <w:r>
        <w:rPr/>
        <w:t>have</w:t>
      </w:r>
      <w:r>
        <w:rPr>
          <w:spacing w:val="48"/>
        </w:rPr>
        <w:t> </w:t>
      </w:r>
      <w:r>
        <w:rPr/>
        <w:t>led</w:t>
      </w:r>
      <w:r>
        <w:rPr>
          <w:spacing w:val="51"/>
        </w:rPr>
        <w:t> </w:t>
      </w:r>
      <w:r>
        <w:rPr/>
        <w:t>to</w:t>
      </w:r>
      <w:r>
        <w:rPr>
          <w:spacing w:val="50"/>
        </w:rPr>
        <w:t> </w:t>
      </w:r>
      <w:r>
        <w:rPr/>
        <w:t>the</w:t>
      </w:r>
      <w:r>
        <w:rPr>
          <w:spacing w:val="51"/>
        </w:rPr>
        <w:t> </w:t>
      </w:r>
      <w:r>
        <w:rPr/>
        <w:t>massive</w:t>
      </w:r>
      <w:r>
        <w:rPr>
          <w:spacing w:val="51"/>
        </w:rPr>
        <w:t> </w:t>
      </w:r>
      <w:r>
        <w:rPr/>
        <w:t>outflow</w:t>
      </w:r>
      <w:r>
        <w:rPr>
          <w:spacing w:val="49"/>
        </w:rPr>
        <w:t> </w:t>
      </w:r>
      <w:r>
        <w:rPr/>
        <w:t>of</w:t>
      </w:r>
      <w:r>
        <w:rPr>
          <w:spacing w:val="51"/>
        </w:rPr>
        <w:t> </w:t>
      </w:r>
      <w:r>
        <w:rPr/>
        <w:t>domestic</w:t>
      </w:r>
      <w:r>
        <w:rPr>
          <w:spacing w:val="51"/>
        </w:rPr>
        <w:t> </w:t>
      </w:r>
      <w:r>
        <w:rPr/>
        <w:t>capital</w:t>
      </w:r>
      <w:r>
        <w:rPr>
          <w:spacing w:val="49"/>
        </w:rPr>
        <w:t> </w:t>
      </w:r>
      <w:r>
        <w:rPr/>
        <w:t>to</w:t>
      </w:r>
      <w:r>
        <w:rPr>
          <w:spacing w:val="50"/>
        </w:rPr>
        <w:t> </w:t>
      </w:r>
      <w:r>
        <w:rPr/>
        <w:t>other</w:t>
      </w:r>
      <w:r>
        <w:rPr>
          <w:spacing w:val="57"/>
        </w:rPr>
        <w:t> </w:t>
      </w:r>
      <w:r>
        <w:rPr/>
        <w:t>countries</w:t>
      </w:r>
      <w:r>
        <w:rPr>
          <w:spacing w:val="52"/>
        </w:rPr>
        <w:t> </w:t>
      </w:r>
      <w:r>
        <w:rPr/>
        <w:t>of</w:t>
      </w:r>
      <w:r>
        <w:rPr>
          <w:spacing w:val="49"/>
        </w:rPr>
        <w:t> </w:t>
      </w:r>
      <w:r>
        <w:rPr/>
        <w:t>the</w:t>
      </w:r>
      <w:r>
        <w:rPr>
          <w:spacing w:val="51"/>
        </w:rPr>
        <w:t> </w:t>
      </w:r>
      <w:r>
        <w:rPr/>
        <w:t>world</w:t>
      </w:r>
      <w:r>
        <w:rPr>
          <w:spacing w:val="52"/>
        </w:rPr>
        <w:t> </w:t>
      </w:r>
      <w:r>
        <w:rPr/>
        <w:t>with</w:t>
      </w:r>
      <w:r>
        <w:rPr>
          <w:spacing w:val="50"/>
        </w:rPr>
        <w:t> </w:t>
      </w:r>
      <w:r>
        <w:rPr/>
        <w:t>more</w:t>
      </w:r>
      <w:r>
        <w:rPr>
          <w:spacing w:val="49"/>
        </w:rPr>
        <w:t> </w:t>
      </w:r>
      <w:r>
        <w:rPr>
          <w:spacing w:val="-2"/>
        </w:rPr>
        <w:t>stable</w:t>
      </w:r>
    </w:p>
    <w:p>
      <w:pPr>
        <w:pStyle w:val="BodyText"/>
        <w:spacing w:before="1"/>
        <w:ind w:left="711"/>
      </w:pPr>
      <w:r>
        <w:rPr>
          <w:spacing w:val="-2"/>
        </w:rPr>
        <w:t>economies.</w:t>
      </w:r>
    </w:p>
    <w:p>
      <w:pPr>
        <w:spacing w:after="0"/>
        <w:sectPr>
          <w:pgSz w:w="11910" w:h="16840"/>
          <w:pgMar w:header="0" w:footer="979" w:top="1360" w:bottom="1240" w:left="280" w:right="0"/>
        </w:sectPr>
      </w:pPr>
    </w:p>
    <w:p>
      <w:pPr>
        <w:pStyle w:val="Heading2"/>
        <w:numPr>
          <w:ilvl w:val="1"/>
          <w:numId w:val="10"/>
        </w:numPr>
        <w:tabs>
          <w:tab w:pos="1429" w:val="left" w:leader="none"/>
        </w:tabs>
        <w:spacing w:line="240" w:lineRule="auto" w:before="62" w:after="0"/>
        <w:ind w:left="1429" w:right="0" w:hanging="718"/>
        <w:jc w:val="both"/>
      </w:pPr>
      <w:r>
        <w:rPr/>
        <w:t>Review</w:t>
      </w:r>
      <w:r>
        <w:rPr>
          <w:spacing w:val="-7"/>
        </w:rPr>
        <w:t> </w:t>
      </w:r>
      <w:r>
        <w:rPr/>
        <w:t>of</w:t>
      </w:r>
      <w:r>
        <w:rPr>
          <w:spacing w:val="-4"/>
        </w:rPr>
        <w:t> </w:t>
      </w:r>
      <w:r>
        <w:rPr/>
        <w:t>Empirical</w:t>
      </w:r>
      <w:r>
        <w:rPr>
          <w:spacing w:val="-5"/>
        </w:rPr>
        <w:t> </w:t>
      </w:r>
      <w:r>
        <w:rPr>
          <w:spacing w:val="-2"/>
        </w:rPr>
        <w:t>Studies</w:t>
      </w:r>
    </w:p>
    <w:p>
      <w:pPr>
        <w:pStyle w:val="BodyText"/>
        <w:spacing w:line="480" w:lineRule="auto" w:before="255"/>
        <w:ind w:left="711" w:right="469"/>
        <w:jc w:val="both"/>
      </w:pPr>
      <w:r>
        <w:rPr/>
        <w:t>By its very nature, it is difficult to measure capital flight. The difficulties involved not withstanding, a number of capital flight estimates have been made over the last several years. The proponents of these studies</w:t>
      </w:r>
      <w:r>
        <w:rPr>
          <w:spacing w:val="-2"/>
        </w:rPr>
        <w:t> </w:t>
      </w:r>
      <w:r>
        <w:rPr/>
        <w:t>cover</w:t>
      </w:r>
      <w:r>
        <w:rPr>
          <w:spacing w:val="-1"/>
        </w:rPr>
        <w:t> </w:t>
      </w:r>
      <w:r>
        <w:rPr/>
        <w:t>a</w:t>
      </w:r>
      <w:r>
        <w:rPr>
          <w:spacing w:val="-3"/>
        </w:rPr>
        <w:t> </w:t>
      </w:r>
      <w:r>
        <w:rPr/>
        <w:t>number</w:t>
      </w:r>
      <w:r>
        <w:rPr>
          <w:spacing w:val="-2"/>
        </w:rPr>
        <w:t> </w:t>
      </w:r>
      <w:r>
        <w:rPr/>
        <w:t>of</w:t>
      </w:r>
      <w:r>
        <w:rPr>
          <w:spacing w:val="-2"/>
        </w:rPr>
        <w:t> </w:t>
      </w:r>
      <w:r>
        <w:rPr/>
        <w:t>countries,</w:t>
      </w:r>
      <w:r>
        <w:rPr>
          <w:spacing w:val="-2"/>
        </w:rPr>
        <w:t> </w:t>
      </w:r>
      <w:r>
        <w:rPr/>
        <w:t>including</w:t>
      </w:r>
      <w:r>
        <w:rPr>
          <w:spacing w:val="-3"/>
        </w:rPr>
        <w:t> </w:t>
      </w:r>
      <w:r>
        <w:rPr/>
        <w:t>Argentina, Brazil,</w:t>
      </w:r>
      <w:r>
        <w:rPr>
          <w:spacing w:val="-2"/>
        </w:rPr>
        <w:t> </w:t>
      </w:r>
      <w:r>
        <w:rPr/>
        <w:t>Chile,</w:t>
      </w:r>
      <w:r>
        <w:rPr>
          <w:spacing w:val="-2"/>
        </w:rPr>
        <w:t> </w:t>
      </w:r>
      <w:r>
        <w:rPr/>
        <w:t>Korea,</w:t>
      </w:r>
      <w:r>
        <w:rPr>
          <w:spacing w:val="-2"/>
        </w:rPr>
        <w:t> </w:t>
      </w:r>
      <w:r>
        <w:rPr/>
        <w:t>Mexico,</w:t>
      </w:r>
      <w:r>
        <w:rPr>
          <w:spacing w:val="-2"/>
        </w:rPr>
        <w:t> </w:t>
      </w:r>
      <w:r>
        <w:rPr/>
        <w:t>Peru,</w:t>
      </w:r>
      <w:r>
        <w:rPr>
          <w:spacing w:val="-2"/>
        </w:rPr>
        <w:t> </w:t>
      </w:r>
      <w:r>
        <w:rPr/>
        <w:t>the</w:t>
      </w:r>
      <w:r>
        <w:rPr>
          <w:spacing w:val="-2"/>
        </w:rPr>
        <w:t> </w:t>
      </w:r>
      <w:r>
        <w:rPr/>
        <w:t>Phillipines and Venezuela. Studies by Chang and Cumby (1991), Hermes and Lensink (2000), Ojo (1992), Nyatepe- Coo (1994), Ajayi (1997), Ndikumana and Boyce (1998, 2003), Boyce and Ndikumana (2001), and Mohamed and Finnoff (2004) concentrate on the estimation of capital flight from different African</w:t>
      </w:r>
      <w:r>
        <w:rPr>
          <w:spacing w:val="40"/>
        </w:rPr>
        <w:t> </w:t>
      </w:r>
      <w:r>
        <w:rPr/>
        <w:t>countries. Chang and Cumby (1991) studied 36 African countries during 1976–1987 and found that the amount</w:t>
      </w:r>
      <w:r>
        <w:rPr>
          <w:spacing w:val="-2"/>
        </w:rPr>
        <w:t> </w:t>
      </w:r>
      <w:r>
        <w:rPr/>
        <w:t>of</w:t>
      </w:r>
      <w:r>
        <w:rPr>
          <w:spacing w:val="-3"/>
        </w:rPr>
        <w:t> </w:t>
      </w:r>
      <w:r>
        <w:rPr/>
        <w:t>capital</w:t>
      </w:r>
      <w:r>
        <w:rPr>
          <w:spacing w:val="-2"/>
        </w:rPr>
        <w:t> </w:t>
      </w:r>
      <w:r>
        <w:rPr/>
        <w:t>flight</w:t>
      </w:r>
      <w:r>
        <w:rPr>
          <w:spacing w:val="-2"/>
        </w:rPr>
        <w:t> </w:t>
      </w:r>
      <w:r>
        <w:rPr/>
        <w:t>in</w:t>
      </w:r>
      <w:r>
        <w:rPr>
          <w:spacing w:val="-3"/>
        </w:rPr>
        <w:t> </w:t>
      </w:r>
      <w:r>
        <w:rPr/>
        <w:t>terms</w:t>
      </w:r>
      <w:r>
        <w:rPr>
          <w:spacing w:val="-2"/>
        </w:rPr>
        <w:t> </w:t>
      </w:r>
      <w:r>
        <w:rPr/>
        <w:t>of</w:t>
      </w:r>
      <w:r>
        <w:rPr>
          <w:spacing w:val="-1"/>
        </w:rPr>
        <w:t> </w:t>
      </w:r>
      <w:r>
        <w:rPr/>
        <w:t>gross</w:t>
      </w:r>
      <w:r>
        <w:rPr>
          <w:spacing w:val="-2"/>
        </w:rPr>
        <w:t> </w:t>
      </w:r>
      <w:r>
        <w:rPr/>
        <w:t>domestic</w:t>
      </w:r>
      <w:r>
        <w:rPr>
          <w:spacing w:val="-2"/>
        </w:rPr>
        <w:t> </w:t>
      </w:r>
      <w:r>
        <w:rPr/>
        <w:t>product</w:t>
      </w:r>
      <w:r>
        <w:rPr>
          <w:spacing w:val="-1"/>
        </w:rPr>
        <w:t> </w:t>
      </w:r>
      <w:r>
        <w:rPr/>
        <w:t>(GDP)</w:t>
      </w:r>
      <w:r>
        <w:rPr>
          <w:spacing w:val="-2"/>
        </w:rPr>
        <w:t> </w:t>
      </w:r>
      <w:r>
        <w:rPr/>
        <w:t>exceeded</w:t>
      </w:r>
      <w:r>
        <w:rPr>
          <w:spacing w:val="-2"/>
        </w:rPr>
        <w:t> </w:t>
      </w:r>
      <w:r>
        <w:rPr/>
        <w:t>that</w:t>
      </w:r>
      <w:r>
        <w:rPr>
          <w:spacing w:val="-2"/>
        </w:rPr>
        <w:t> </w:t>
      </w:r>
      <w:r>
        <w:rPr/>
        <w:t>of</w:t>
      </w:r>
      <w:r>
        <w:rPr>
          <w:spacing w:val="-2"/>
        </w:rPr>
        <w:t> </w:t>
      </w:r>
      <w:r>
        <w:rPr/>
        <w:t>Latin America</w:t>
      </w:r>
      <w:r>
        <w:rPr>
          <w:spacing w:val="-3"/>
        </w:rPr>
        <w:t> </w:t>
      </w:r>
      <w:r>
        <w:rPr/>
        <w:t>countries. The amount of capital flight was calculated by</w:t>
      </w:r>
      <w:r>
        <w:rPr>
          <w:spacing w:val="-4"/>
        </w:rPr>
        <w:t> </w:t>
      </w:r>
      <w:r>
        <w:rPr/>
        <w:t>Hermes and Lensink (1992) for the period between 1976 and 1989 for six African countries.</w:t>
      </w:r>
    </w:p>
    <w:p>
      <w:pPr>
        <w:pStyle w:val="BodyText"/>
        <w:spacing w:line="480" w:lineRule="auto" w:before="1"/>
        <w:ind w:left="711" w:right="473"/>
        <w:jc w:val="both"/>
      </w:pPr>
      <w:r>
        <w:rPr/>
        <w:t>They</w:t>
      </w:r>
      <w:r>
        <w:rPr>
          <w:spacing w:val="-3"/>
        </w:rPr>
        <w:t> </w:t>
      </w:r>
      <w:r>
        <w:rPr/>
        <w:t>concluded that Nigeria experienced the largest amount of capital flight with most of</w:t>
      </w:r>
      <w:r>
        <w:rPr>
          <w:spacing w:val="-1"/>
        </w:rPr>
        <w:t> </w:t>
      </w:r>
      <w:r>
        <w:rPr/>
        <w:t>it taking</w:t>
      </w:r>
      <w:r>
        <w:rPr>
          <w:spacing w:val="-3"/>
        </w:rPr>
        <w:t> </w:t>
      </w:r>
      <w:r>
        <w:rPr/>
        <w:t>place via public external borrowing. Ojo (1992) calculated the amount of capital flight from Côte d’Ivoire, Morocco, and Nigeria for 1975–1991 and attributes it to changes in external reserves and governmental budget deficits. Capital flight from 1970 to 1992 was estimated by Nyatepe-Coo (1994) for seven sub-Saharan African countries. The results showed that the amount of capital flight from Nigeria, Ghana, Congo-Zaïre, and Zambia were 91, 58, 35, and 32 percent of external borrowing, respectively. This study linked the</w:t>
      </w:r>
      <w:r>
        <w:rPr>
          <w:spacing w:val="40"/>
        </w:rPr>
        <w:t> </w:t>
      </w:r>
      <w:r>
        <w:rPr/>
        <w:t>results to the unreliability of the governments’ actions in terms of capital expenditures. Trade misinvoicing can be an important factor in the calculation of capital flight. Rustomjee (1991), Wood and Moll (1994), Boyce and Ndikumana (2001), Mohamed and Finnoff (2004), and Almounsor (2005) estimates and include trade misinvoicing in their calculations of capital flight from Africa with different results.</w:t>
      </w:r>
    </w:p>
    <w:p>
      <w:pPr>
        <w:pStyle w:val="BodyText"/>
        <w:spacing w:line="480" w:lineRule="auto" w:before="2"/>
        <w:ind w:left="711" w:right="476"/>
        <w:jc w:val="both"/>
      </w:pPr>
      <w:r>
        <w:rPr/>
        <w:t>A study by Rojasuarez (1991) covers Argentina, Bolivia, Chile, Columbia, Ecuador, Gabon, Jamaica, Mexico, Nigeria, Peru, the Philippines, Venezuela and Yugoslavia. These various studies differ from one another in terms of the methodological approaches of measurement, country coverage and lifespan. The most</w:t>
      </w:r>
      <w:r>
        <w:rPr>
          <w:spacing w:val="14"/>
        </w:rPr>
        <w:t> </w:t>
      </w:r>
      <w:r>
        <w:rPr/>
        <w:t>significant</w:t>
      </w:r>
      <w:r>
        <w:rPr>
          <w:spacing w:val="13"/>
        </w:rPr>
        <w:t> </w:t>
      </w:r>
      <w:r>
        <w:rPr/>
        <w:t>of</w:t>
      </w:r>
      <w:r>
        <w:rPr>
          <w:spacing w:val="12"/>
        </w:rPr>
        <w:t> </w:t>
      </w:r>
      <w:r>
        <w:rPr/>
        <w:t>these</w:t>
      </w:r>
      <w:r>
        <w:rPr>
          <w:spacing w:val="14"/>
        </w:rPr>
        <w:t> </w:t>
      </w:r>
      <w:r>
        <w:rPr/>
        <w:t>studies</w:t>
      </w:r>
      <w:r>
        <w:rPr>
          <w:spacing w:val="13"/>
        </w:rPr>
        <w:t> </w:t>
      </w:r>
      <w:r>
        <w:rPr/>
        <w:t>which</w:t>
      </w:r>
      <w:r>
        <w:rPr>
          <w:spacing w:val="14"/>
        </w:rPr>
        <w:t> </w:t>
      </w:r>
      <w:r>
        <w:rPr/>
        <w:t>have</w:t>
      </w:r>
      <w:r>
        <w:rPr>
          <w:spacing w:val="12"/>
        </w:rPr>
        <w:t> </w:t>
      </w:r>
      <w:r>
        <w:rPr/>
        <w:t>made</w:t>
      </w:r>
      <w:r>
        <w:rPr>
          <w:spacing w:val="12"/>
        </w:rPr>
        <w:t> </w:t>
      </w:r>
      <w:r>
        <w:rPr/>
        <w:t>impact</w:t>
      </w:r>
      <w:r>
        <w:rPr>
          <w:spacing w:val="13"/>
        </w:rPr>
        <w:t> </w:t>
      </w:r>
      <w:r>
        <w:rPr/>
        <w:t>on</w:t>
      </w:r>
      <w:r>
        <w:rPr>
          <w:spacing w:val="13"/>
        </w:rPr>
        <w:t> </w:t>
      </w:r>
      <w:r>
        <w:rPr/>
        <w:t>capital</w:t>
      </w:r>
      <w:r>
        <w:rPr>
          <w:spacing w:val="14"/>
        </w:rPr>
        <w:t> </w:t>
      </w:r>
      <w:r>
        <w:rPr/>
        <w:t>flight</w:t>
      </w:r>
      <w:r>
        <w:rPr>
          <w:spacing w:val="13"/>
        </w:rPr>
        <w:t> </w:t>
      </w:r>
      <w:r>
        <w:rPr/>
        <w:t>estimates</w:t>
      </w:r>
      <w:r>
        <w:rPr>
          <w:spacing w:val="13"/>
        </w:rPr>
        <w:t> </w:t>
      </w:r>
      <w:r>
        <w:rPr/>
        <w:t>include</w:t>
      </w:r>
      <w:r>
        <w:rPr>
          <w:spacing w:val="12"/>
        </w:rPr>
        <w:t> </w:t>
      </w:r>
      <w:r>
        <w:rPr/>
        <w:t>the</w:t>
      </w:r>
      <w:r>
        <w:rPr>
          <w:spacing w:val="12"/>
        </w:rPr>
        <w:t> </w:t>
      </w:r>
      <w:r>
        <w:rPr/>
        <w:t>studies</w:t>
      </w:r>
      <w:r>
        <w:rPr>
          <w:spacing w:val="14"/>
        </w:rPr>
        <w:t> </w:t>
      </w:r>
      <w:r>
        <w:rPr>
          <w:spacing w:val="-5"/>
        </w:rPr>
        <w:t>by</w:t>
      </w:r>
    </w:p>
    <w:p>
      <w:pPr>
        <w:pStyle w:val="BodyText"/>
        <w:ind w:left="711"/>
        <w:jc w:val="both"/>
      </w:pPr>
      <w:r>
        <w:rPr/>
        <w:t>Dooley</w:t>
      </w:r>
      <w:r>
        <w:rPr>
          <w:spacing w:val="13"/>
        </w:rPr>
        <w:t> </w:t>
      </w:r>
      <w:r>
        <w:rPr/>
        <w:t>(1986),</w:t>
      </w:r>
      <w:r>
        <w:rPr>
          <w:spacing w:val="18"/>
        </w:rPr>
        <w:t> </w:t>
      </w:r>
      <w:r>
        <w:rPr/>
        <w:t>(1986),</w:t>
      </w:r>
      <w:r>
        <w:rPr>
          <w:spacing w:val="18"/>
        </w:rPr>
        <w:t> </w:t>
      </w:r>
      <w:r>
        <w:rPr/>
        <w:t>Worldbank</w:t>
      </w:r>
      <w:r>
        <w:rPr>
          <w:spacing w:val="16"/>
        </w:rPr>
        <w:t> </w:t>
      </w:r>
      <w:r>
        <w:rPr/>
        <w:t>(1985),</w:t>
      </w:r>
      <w:r>
        <w:rPr>
          <w:spacing w:val="15"/>
        </w:rPr>
        <w:t> </w:t>
      </w:r>
      <w:r>
        <w:rPr/>
        <w:t>Morgan</w:t>
      </w:r>
      <w:r>
        <w:rPr>
          <w:spacing w:val="18"/>
        </w:rPr>
        <w:t> </w:t>
      </w:r>
      <w:r>
        <w:rPr/>
        <w:t>Guaranty</w:t>
      </w:r>
      <w:r>
        <w:rPr>
          <w:spacing w:val="10"/>
        </w:rPr>
        <w:t> </w:t>
      </w:r>
      <w:r>
        <w:rPr/>
        <w:t>Trust</w:t>
      </w:r>
      <w:r>
        <w:rPr>
          <w:spacing w:val="17"/>
        </w:rPr>
        <w:t> </w:t>
      </w:r>
      <w:r>
        <w:rPr/>
        <w:t>Company</w:t>
      </w:r>
      <w:r>
        <w:rPr>
          <w:spacing w:val="14"/>
        </w:rPr>
        <w:t> </w:t>
      </w:r>
      <w:r>
        <w:rPr/>
        <w:t>(1986),</w:t>
      </w:r>
      <w:r>
        <w:rPr>
          <w:spacing w:val="64"/>
          <w:w w:val="150"/>
        </w:rPr>
        <w:t> </w:t>
      </w:r>
      <w:r>
        <w:rPr/>
        <w:t>Cuddington</w:t>
      </w:r>
      <w:r>
        <w:rPr>
          <w:spacing w:val="16"/>
        </w:rPr>
        <w:t> </w:t>
      </w:r>
      <w:r>
        <w:rPr>
          <w:spacing w:val="-2"/>
        </w:rPr>
        <w:t>(1986),</w:t>
      </w:r>
    </w:p>
    <w:p>
      <w:pPr>
        <w:spacing w:after="0"/>
        <w:jc w:val="both"/>
        <w:sectPr>
          <w:pgSz w:w="11910" w:h="16840"/>
          <w:pgMar w:header="0" w:footer="979" w:top="1360" w:bottom="1200" w:left="280" w:right="0"/>
        </w:sectPr>
      </w:pPr>
    </w:p>
    <w:p>
      <w:pPr>
        <w:pStyle w:val="BodyText"/>
        <w:spacing w:line="480" w:lineRule="auto" w:before="60"/>
        <w:ind w:left="711" w:right="472"/>
        <w:jc w:val="both"/>
      </w:pPr>
      <w:r>
        <w:rPr/>
        <w:t>Cumby and Levich (1987), Lessard and Williamson (1987),</w:t>
      </w:r>
      <w:r>
        <w:rPr>
          <w:spacing w:val="40"/>
        </w:rPr>
        <w:t> </w:t>
      </w:r>
      <w:r>
        <w:rPr/>
        <w:t>Khan and Ul Haque (1987) and Verna – Schneider (1991). In the Cuddington (1986) approach, capital flight is defined as a short term speculative outflows which according to him is the typical meaning of capital flight. It is defined as short term external assets by the non-bank private sector plus the errors and omissions in the balance of payments. This approach is concentrated on what is popularly referred to as “hot money flows” method because of the fact that funds</w:t>
      </w:r>
      <w:r>
        <w:rPr>
          <w:spacing w:val="-1"/>
        </w:rPr>
        <w:t> </w:t>
      </w:r>
      <w:r>
        <w:rPr/>
        <w:t>are</w:t>
      </w:r>
      <w:r>
        <w:rPr>
          <w:spacing w:val="-2"/>
        </w:rPr>
        <w:t> </w:t>
      </w:r>
      <w:r>
        <w:rPr/>
        <w:t>expected</w:t>
      </w:r>
      <w:r>
        <w:rPr>
          <w:spacing w:val="-1"/>
        </w:rPr>
        <w:t> </w:t>
      </w:r>
      <w:r>
        <w:rPr/>
        <w:t>to respond quickly</w:t>
      </w:r>
      <w:r>
        <w:rPr>
          <w:spacing w:val="-5"/>
        </w:rPr>
        <w:t> </w:t>
      </w:r>
      <w:r>
        <w:rPr/>
        <w:t>to changes in expected</w:t>
      </w:r>
      <w:r>
        <w:rPr>
          <w:spacing w:val="-1"/>
        </w:rPr>
        <w:t> </w:t>
      </w:r>
      <w:r>
        <w:rPr/>
        <w:t>returns or</w:t>
      </w:r>
      <w:r>
        <w:rPr>
          <w:spacing w:val="-1"/>
        </w:rPr>
        <w:t> </w:t>
      </w:r>
      <w:r>
        <w:rPr/>
        <w:t>to changes in risk. Variations in economic conditions are likely to affect the magnitude of such flows. These in essence are funds “on the wings” that are expected to return very quickly to the country of origin when economic conditions are favourable, that is, when appropriate macroeconomic policy stance is adopted.</w:t>
      </w:r>
    </w:p>
    <w:p>
      <w:pPr>
        <w:pStyle w:val="BodyText"/>
      </w:pPr>
    </w:p>
    <w:p>
      <w:pPr>
        <w:pStyle w:val="BodyText"/>
        <w:spacing w:before="2"/>
      </w:pPr>
    </w:p>
    <w:p>
      <w:pPr>
        <w:pStyle w:val="BodyText"/>
        <w:spacing w:line="480" w:lineRule="auto"/>
        <w:ind w:left="711" w:right="471"/>
        <w:jc w:val="both"/>
      </w:pPr>
      <w:r>
        <w:rPr/>
        <w:t>Khan and UI Haque (1987) calculate capital flight for eighty highly-indebted developing countries for the period</w:t>
      </w:r>
      <w:r>
        <w:rPr>
          <w:spacing w:val="-2"/>
        </w:rPr>
        <w:t> </w:t>
      </w:r>
      <w:r>
        <w:rPr/>
        <w:t>1974</w:t>
      </w:r>
      <w:r>
        <w:rPr>
          <w:spacing w:val="-2"/>
        </w:rPr>
        <w:t> </w:t>
      </w:r>
      <w:r>
        <w:rPr/>
        <w:t>and</w:t>
      </w:r>
      <w:r>
        <w:rPr>
          <w:spacing w:val="-2"/>
        </w:rPr>
        <w:t> </w:t>
      </w:r>
      <w:r>
        <w:rPr/>
        <w:t>1982. Accordinly,</w:t>
      </w:r>
      <w:r>
        <w:rPr>
          <w:spacing w:val="-2"/>
        </w:rPr>
        <w:t> </w:t>
      </w:r>
      <w:r>
        <w:rPr/>
        <w:t>they</w:t>
      </w:r>
      <w:r>
        <w:rPr>
          <w:spacing w:val="-7"/>
        </w:rPr>
        <w:t> </w:t>
      </w:r>
      <w:r>
        <w:rPr/>
        <w:t>difined</w:t>
      </w:r>
      <w:r>
        <w:rPr>
          <w:spacing w:val="-1"/>
        </w:rPr>
        <w:t> </w:t>
      </w:r>
      <w:r>
        <w:rPr/>
        <w:t>Capital</w:t>
      </w:r>
      <w:r>
        <w:rPr>
          <w:spacing w:val="-2"/>
        </w:rPr>
        <w:t> </w:t>
      </w:r>
      <w:r>
        <w:rPr/>
        <w:t>flight</w:t>
      </w:r>
      <w:r>
        <w:rPr>
          <w:spacing w:val="-2"/>
        </w:rPr>
        <w:t> </w:t>
      </w:r>
      <w:r>
        <w:rPr/>
        <w:t>in</w:t>
      </w:r>
      <w:r>
        <w:rPr>
          <w:spacing w:val="-2"/>
        </w:rPr>
        <w:t> </w:t>
      </w:r>
      <w:r>
        <w:rPr/>
        <w:t>two ways: first,</w:t>
      </w:r>
      <w:r>
        <w:rPr>
          <w:spacing w:val="-2"/>
        </w:rPr>
        <w:t> </w:t>
      </w:r>
      <w:r>
        <w:rPr/>
        <w:t>it</w:t>
      </w:r>
      <w:r>
        <w:rPr>
          <w:spacing w:val="-2"/>
        </w:rPr>
        <w:t> </w:t>
      </w:r>
      <w:r>
        <w:rPr/>
        <w:t>is</w:t>
      </w:r>
      <w:r>
        <w:rPr>
          <w:spacing w:val="-2"/>
        </w:rPr>
        <w:t> </w:t>
      </w:r>
      <w:r>
        <w:rPr/>
        <w:t>defined</w:t>
      </w:r>
      <w:r>
        <w:rPr>
          <w:spacing w:val="-2"/>
        </w:rPr>
        <w:t> </w:t>
      </w:r>
      <w:r>
        <w:rPr/>
        <w:t>simply</w:t>
      </w:r>
      <w:r>
        <w:rPr>
          <w:spacing w:val="-5"/>
        </w:rPr>
        <w:t> </w:t>
      </w:r>
      <w:r>
        <w:rPr/>
        <w:t>as gross private short term capital flows plus net errors and omissions in the country’s balance of payment accounts. This is the same as the Cuddington estimate. The second method tries to take account for normal capital flows. Capital flight is defined as that part of the increase in external claims that yields no recorded investment income; this in essence is the Dooley (1986) approach. Cuddington (1986) also estimates the economic determinants of resident’s capital outflow of four countries (Argentina, Mexico, Uruguay and Venezuela). His empirical findings differ from country to country. In Mexico, capital flight was highly related with over-valuation of the exchange rate, while in Venezuela, there were over-valuation and foreign interest rates. In Argentina and Uruguay it lagged effective exchange rate and error of the model were related to capital flight. Conesa (1987) has similar results except that it has 16 annual observations while Cuddington (1986) has 91. Conesa (1987) has growth as an additional explanatory factor and does not attempt to estimate over-valuation of the real or effective exchange rates but uses level of government borrowing in his study of seven developing countries (Argentina, Mexico, Brazil, Chile, Peru, Venezuela and</w:t>
      </w:r>
      <w:r>
        <w:rPr>
          <w:spacing w:val="28"/>
        </w:rPr>
        <w:t> </w:t>
      </w:r>
      <w:r>
        <w:rPr/>
        <w:t>Philippines).</w:t>
      </w:r>
      <w:r>
        <w:rPr>
          <w:spacing w:val="28"/>
        </w:rPr>
        <w:t> </w:t>
      </w:r>
      <w:r>
        <w:rPr/>
        <w:t>Dooley</w:t>
      </w:r>
      <w:r>
        <w:rPr>
          <w:spacing w:val="26"/>
        </w:rPr>
        <w:t> </w:t>
      </w:r>
      <w:r>
        <w:rPr/>
        <w:t>(1986)</w:t>
      </w:r>
      <w:r>
        <w:rPr>
          <w:spacing w:val="27"/>
        </w:rPr>
        <w:t> </w:t>
      </w:r>
      <w:r>
        <w:rPr/>
        <w:t>discovers</w:t>
      </w:r>
      <w:r>
        <w:rPr>
          <w:spacing w:val="28"/>
        </w:rPr>
        <w:t> </w:t>
      </w:r>
      <w:r>
        <w:rPr/>
        <w:t>that</w:t>
      </w:r>
      <w:r>
        <w:rPr>
          <w:spacing w:val="30"/>
        </w:rPr>
        <w:t> </w:t>
      </w:r>
      <w:r>
        <w:rPr/>
        <w:t>capital</w:t>
      </w:r>
      <w:r>
        <w:rPr>
          <w:spacing w:val="30"/>
        </w:rPr>
        <w:t> </w:t>
      </w:r>
      <w:r>
        <w:rPr/>
        <w:t>flight</w:t>
      </w:r>
      <w:r>
        <w:rPr>
          <w:spacing w:val="29"/>
        </w:rPr>
        <w:t> </w:t>
      </w:r>
      <w:r>
        <w:rPr/>
        <w:t>is</w:t>
      </w:r>
      <w:r>
        <w:rPr>
          <w:spacing w:val="29"/>
        </w:rPr>
        <w:t> </w:t>
      </w:r>
      <w:r>
        <w:rPr/>
        <w:t>significantly</w:t>
      </w:r>
      <w:r>
        <w:rPr>
          <w:spacing w:val="23"/>
        </w:rPr>
        <w:t> </w:t>
      </w:r>
      <w:r>
        <w:rPr/>
        <w:t>related</w:t>
      </w:r>
      <w:r>
        <w:rPr>
          <w:spacing w:val="28"/>
        </w:rPr>
        <w:t> </w:t>
      </w:r>
      <w:r>
        <w:rPr/>
        <w:t>to</w:t>
      </w:r>
      <w:r>
        <w:rPr>
          <w:spacing w:val="29"/>
        </w:rPr>
        <w:t> </w:t>
      </w:r>
      <w:r>
        <w:rPr/>
        <w:t>domestic</w:t>
      </w:r>
      <w:r>
        <w:rPr>
          <w:spacing w:val="28"/>
        </w:rPr>
        <w:t> </w:t>
      </w:r>
      <w:r>
        <w:rPr>
          <w:spacing w:val="-2"/>
        </w:rPr>
        <w:t>inflation,</w:t>
      </w:r>
    </w:p>
    <w:p>
      <w:pPr>
        <w:pStyle w:val="BodyText"/>
        <w:spacing w:before="2"/>
        <w:ind w:left="711"/>
        <w:jc w:val="both"/>
      </w:pPr>
      <w:r>
        <w:rPr/>
        <w:t>financial</w:t>
      </w:r>
      <w:r>
        <w:rPr>
          <w:spacing w:val="-1"/>
        </w:rPr>
        <w:t> </w:t>
      </w:r>
      <w:r>
        <w:rPr/>
        <w:t>repression</w:t>
      </w:r>
      <w:r>
        <w:rPr>
          <w:spacing w:val="-1"/>
        </w:rPr>
        <w:t> </w:t>
      </w:r>
      <w:r>
        <w:rPr/>
        <w:t>and</w:t>
      </w:r>
      <w:r>
        <w:rPr>
          <w:spacing w:val="2"/>
        </w:rPr>
        <w:t> </w:t>
      </w:r>
      <w:r>
        <w:rPr/>
        <w:t>a</w:t>
      </w:r>
      <w:r>
        <w:rPr>
          <w:spacing w:val="-2"/>
        </w:rPr>
        <w:t> </w:t>
      </w:r>
      <w:r>
        <w:rPr/>
        <w:t>measure</w:t>
      </w:r>
      <w:r>
        <w:rPr>
          <w:spacing w:val="-2"/>
        </w:rPr>
        <w:t> </w:t>
      </w:r>
      <w:r>
        <w:rPr/>
        <w:t>of country</w:t>
      </w:r>
      <w:r>
        <w:rPr>
          <w:spacing w:val="-4"/>
        </w:rPr>
        <w:t> </w:t>
      </w:r>
      <w:r>
        <w:rPr/>
        <w:t>risk </w:t>
      </w:r>
      <w:r>
        <w:rPr>
          <w:spacing w:val="-2"/>
        </w:rPr>
        <w:t>premium.</w:t>
      </w:r>
    </w:p>
    <w:p>
      <w:pPr>
        <w:spacing w:after="0"/>
        <w:jc w:val="both"/>
        <w:sectPr>
          <w:pgSz w:w="11910" w:h="16840"/>
          <w:pgMar w:header="0" w:footer="979" w:top="1360" w:bottom="1240" w:left="280" w:right="0"/>
        </w:sectPr>
      </w:pPr>
    </w:p>
    <w:p>
      <w:pPr>
        <w:pStyle w:val="BodyText"/>
        <w:spacing w:line="480" w:lineRule="auto" w:before="73"/>
        <w:ind w:left="711" w:right="468"/>
        <w:jc w:val="both"/>
      </w:pPr>
      <w:r>
        <w:rPr/>
        <w:t>Chang and Cumby (1991), in their sample of 36 African countries discovered that, with the exception of Nigeria, the absolute levels of capital flight from the individual African countries were smaller than Latin American countries. But in relation to external debt and Gross Domestic product (GDP) many African countries experienced higher capital flight than their Latin American counterparts. Hermes and Lensuk (1992), estimate capital flight from six-sub-Saharan African countries (Congo, Zaire, Cote d ivore, Nigeria, Sudan, Tanzania and Uganda) from 1976 to 1989, using their estimates, capital flight may seem small compared to Latin American countries but the burden as a percentage of GDP is higher by 61% of sub- Saharan compared to 22% for Latin American. Also, by their calculation, Murinde and Lensink</w:t>
      </w:r>
      <w:r>
        <w:rPr>
          <w:i/>
        </w:rPr>
        <w:t>, </w:t>
      </w:r>
      <w:r>
        <w:rPr/>
        <w:t>(1996) discover</w:t>
      </w:r>
      <w:r>
        <w:rPr>
          <w:spacing w:val="-2"/>
        </w:rPr>
        <w:t> </w:t>
      </w:r>
      <w:r>
        <w:rPr/>
        <w:t>that</w:t>
      </w:r>
      <w:r>
        <w:rPr>
          <w:spacing w:val="-1"/>
        </w:rPr>
        <w:t> </w:t>
      </w:r>
      <w:r>
        <w:rPr/>
        <w:t>Nigeria experienced</w:t>
      </w:r>
      <w:r>
        <w:rPr>
          <w:spacing w:val="-1"/>
        </w:rPr>
        <w:t> </w:t>
      </w:r>
      <w:r>
        <w:rPr/>
        <w:t>the</w:t>
      </w:r>
      <w:r>
        <w:rPr>
          <w:spacing w:val="-2"/>
        </w:rPr>
        <w:t> </w:t>
      </w:r>
      <w:r>
        <w:rPr/>
        <w:t>biggest</w:t>
      </w:r>
      <w:r>
        <w:rPr>
          <w:spacing w:val="-1"/>
        </w:rPr>
        <w:t> </w:t>
      </w:r>
      <w:r>
        <w:rPr/>
        <w:t>capital</w:t>
      </w:r>
      <w:r>
        <w:rPr>
          <w:spacing w:val="-1"/>
        </w:rPr>
        <w:t> </w:t>
      </w:r>
      <w:r>
        <w:rPr/>
        <w:t>flight</w:t>
      </w:r>
      <w:r>
        <w:rPr>
          <w:spacing w:val="-1"/>
        </w:rPr>
        <w:t> </w:t>
      </w:r>
      <w:r>
        <w:rPr/>
        <w:t>over</w:t>
      </w:r>
      <w:r>
        <w:rPr>
          <w:spacing w:val="-2"/>
        </w:rPr>
        <w:t> </w:t>
      </w:r>
      <w:r>
        <w:rPr/>
        <w:t>the</w:t>
      </w:r>
      <w:r>
        <w:rPr>
          <w:spacing w:val="-2"/>
        </w:rPr>
        <w:t> </w:t>
      </w:r>
      <w:r>
        <w:rPr/>
        <w:t>period with</w:t>
      </w:r>
      <w:r>
        <w:rPr>
          <w:spacing w:val="-1"/>
        </w:rPr>
        <w:t> </w:t>
      </w:r>
      <w:r>
        <w:rPr/>
        <w:t>$21billion</w:t>
      </w:r>
      <w:r>
        <w:rPr>
          <w:spacing w:val="-1"/>
        </w:rPr>
        <w:t> </w:t>
      </w:r>
      <w:r>
        <w:rPr/>
        <w:t>representing</w:t>
      </w:r>
      <w:r>
        <w:rPr>
          <w:spacing w:val="-3"/>
        </w:rPr>
        <w:t> </w:t>
      </w:r>
      <w:r>
        <w:rPr/>
        <w:t>60% of the combined total of the six countries in the sample. Their econometric analysis of the determinant of capital flight indicated that the most explanatory variable is public external borrowing. The results implied that capital flight and external debt are closely dependent.</w:t>
      </w:r>
    </w:p>
    <w:p>
      <w:pPr>
        <w:pStyle w:val="BodyText"/>
      </w:pPr>
    </w:p>
    <w:p>
      <w:pPr>
        <w:pStyle w:val="BodyText"/>
        <w:spacing w:before="1"/>
      </w:pPr>
    </w:p>
    <w:p>
      <w:pPr>
        <w:pStyle w:val="BodyText"/>
        <w:spacing w:line="480" w:lineRule="auto"/>
        <w:ind w:left="711" w:right="471"/>
        <w:jc w:val="both"/>
      </w:pPr>
      <w:r>
        <w:rPr/>
        <w:t>In the study</w:t>
      </w:r>
      <w:r>
        <w:rPr>
          <w:spacing w:val="-2"/>
        </w:rPr>
        <w:t> </w:t>
      </w:r>
      <w:r>
        <w:rPr/>
        <w:t>of three countries (Cote d’ivore, Nigeria and Morocco,), Ojo (1992) opines that Nigeria had the largest capital flight of $35billion and emphasizes the importance of domestic economic environment including policy related variables as government budget deficit and changes in external debt. Ajayi (1992) discovers in his study that cumulative capital flight in the period of 1980 to 1991 averaged 40% of external debt to run 18 countries sampled. The ratio was as high as 94% for Nigeria, 74% for Kenya and 60% for Sudan. He also discovers that countries that exhibited the greatest capital flight often are the most highly indebted and referred to them as “twin problems”.</w:t>
      </w:r>
      <w:r>
        <w:rPr>
          <w:spacing w:val="80"/>
        </w:rPr>
        <w:t> </w:t>
      </w:r>
      <w:r>
        <w:rPr/>
        <w:t>Ajayi (1992) estimates capital flight from Nigeria in 1972</w:t>
      </w:r>
      <w:r>
        <w:rPr>
          <w:spacing w:val="-2"/>
        </w:rPr>
        <w:t> </w:t>
      </w:r>
      <w:r>
        <w:rPr/>
        <w:t>to</w:t>
      </w:r>
      <w:r>
        <w:rPr>
          <w:spacing w:val="-2"/>
        </w:rPr>
        <w:t> </w:t>
      </w:r>
      <w:r>
        <w:rPr/>
        <w:t>1989,</w:t>
      </w:r>
      <w:r>
        <w:rPr>
          <w:spacing w:val="-2"/>
        </w:rPr>
        <w:t> </w:t>
      </w:r>
      <w:r>
        <w:rPr/>
        <w:t>drawing</w:t>
      </w:r>
      <w:r>
        <w:rPr>
          <w:spacing w:val="-3"/>
        </w:rPr>
        <w:t> </w:t>
      </w:r>
      <w:r>
        <w:rPr/>
        <w:t>attention</w:t>
      </w:r>
      <w:r>
        <w:rPr>
          <w:spacing w:val="-2"/>
        </w:rPr>
        <w:t> </w:t>
      </w:r>
      <w:r>
        <w:rPr/>
        <w:t>to</w:t>
      </w:r>
      <w:r>
        <w:rPr>
          <w:spacing w:val="-2"/>
        </w:rPr>
        <w:t> </w:t>
      </w:r>
      <w:r>
        <w:rPr/>
        <w:t>the</w:t>
      </w:r>
      <w:r>
        <w:rPr>
          <w:spacing w:val="-2"/>
        </w:rPr>
        <w:t> </w:t>
      </w:r>
      <w:r>
        <w:rPr/>
        <w:t>role</w:t>
      </w:r>
      <w:r>
        <w:rPr>
          <w:spacing w:val="-2"/>
        </w:rPr>
        <w:t> </w:t>
      </w:r>
      <w:r>
        <w:rPr/>
        <w:t>of</w:t>
      </w:r>
      <w:r>
        <w:rPr>
          <w:spacing w:val="-2"/>
        </w:rPr>
        <w:t> </w:t>
      </w:r>
      <w:r>
        <w:rPr/>
        <w:t>“trade</w:t>
      </w:r>
      <w:r>
        <w:rPr>
          <w:spacing w:val="-3"/>
        </w:rPr>
        <w:t> </w:t>
      </w:r>
      <w:r>
        <w:rPr/>
        <w:t>faking”</w:t>
      </w:r>
      <w:r>
        <w:rPr>
          <w:spacing w:val="-1"/>
        </w:rPr>
        <w:t> </w:t>
      </w:r>
      <w:r>
        <w:rPr/>
        <w:t>(misinvoicing)</w:t>
      </w:r>
      <w:r>
        <w:rPr>
          <w:spacing w:val="-3"/>
        </w:rPr>
        <w:t> </w:t>
      </w:r>
      <w:r>
        <w:rPr/>
        <w:t>in</w:t>
      </w:r>
      <w:r>
        <w:rPr>
          <w:spacing w:val="-2"/>
        </w:rPr>
        <w:t> </w:t>
      </w:r>
      <w:r>
        <w:rPr/>
        <w:t>the</w:t>
      </w:r>
      <w:r>
        <w:rPr>
          <w:spacing w:val="-3"/>
        </w:rPr>
        <w:t> </w:t>
      </w:r>
      <w:r>
        <w:rPr/>
        <w:t>country’s</w:t>
      </w:r>
      <w:r>
        <w:rPr>
          <w:spacing w:val="-3"/>
        </w:rPr>
        <w:t> </w:t>
      </w:r>
      <w:r>
        <w:rPr/>
        <w:t>oil</w:t>
      </w:r>
      <w:r>
        <w:rPr>
          <w:spacing w:val="-2"/>
        </w:rPr>
        <w:t> </w:t>
      </w:r>
      <w:r>
        <w:rPr/>
        <w:t>sector</w:t>
      </w:r>
      <w:r>
        <w:rPr>
          <w:spacing w:val="-2"/>
        </w:rPr>
        <w:t> </w:t>
      </w:r>
      <w:r>
        <w:rPr/>
        <w:t>and</w:t>
      </w:r>
      <w:r>
        <w:rPr>
          <w:spacing w:val="-2"/>
        </w:rPr>
        <w:t> </w:t>
      </w:r>
      <w:r>
        <w:rPr/>
        <w:t>to the link between capital flight, corruption and governance failure. He concludes that most of the capital flight from Nigeria is recorded in the BOP and debt statistics and that is not only explained by economic factor</w:t>
      </w:r>
      <w:r>
        <w:rPr>
          <w:spacing w:val="79"/>
        </w:rPr>
        <w:t> </w:t>
      </w:r>
      <w:r>
        <w:rPr/>
        <w:t>but</w:t>
      </w:r>
      <w:r>
        <w:rPr>
          <w:spacing w:val="79"/>
        </w:rPr>
        <w:t> </w:t>
      </w:r>
      <w:r>
        <w:rPr/>
        <w:t>also</w:t>
      </w:r>
      <w:r>
        <w:rPr>
          <w:spacing w:val="79"/>
        </w:rPr>
        <w:t> </w:t>
      </w:r>
      <w:r>
        <w:rPr/>
        <w:t>political</w:t>
      </w:r>
      <w:r>
        <w:rPr>
          <w:spacing w:val="79"/>
        </w:rPr>
        <w:t> </w:t>
      </w:r>
      <w:r>
        <w:rPr/>
        <w:t>factor</w:t>
      </w:r>
      <w:r>
        <w:rPr>
          <w:spacing w:val="50"/>
          <w:w w:val="150"/>
        </w:rPr>
        <w:t> </w:t>
      </w:r>
      <w:r>
        <w:rPr/>
        <w:t>or</w:t>
      </w:r>
      <w:r>
        <w:rPr>
          <w:spacing w:val="78"/>
        </w:rPr>
        <w:t> </w:t>
      </w:r>
      <w:r>
        <w:rPr/>
        <w:t>uncertainty.</w:t>
      </w:r>
      <w:r>
        <w:rPr>
          <w:spacing w:val="51"/>
          <w:w w:val="150"/>
        </w:rPr>
        <w:t> </w:t>
      </w:r>
      <w:r>
        <w:rPr/>
        <w:t>Owiodukit</w:t>
      </w:r>
      <w:r>
        <w:rPr>
          <w:spacing w:val="78"/>
        </w:rPr>
        <w:t> </w:t>
      </w:r>
      <w:r>
        <w:rPr/>
        <w:t>(2007)</w:t>
      </w:r>
      <w:r>
        <w:rPr>
          <w:spacing w:val="50"/>
          <w:w w:val="150"/>
        </w:rPr>
        <w:t> </w:t>
      </w:r>
      <w:r>
        <w:rPr/>
        <w:t>in</w:t>
      </w:r>
      <w:r>
        <w:rPr>
          <w:spacing w:val="51"/>
          <w:w w:val="150"/>
        </w:rPr>
        <w:t> </w:t>
      </w:r>
      <w:r>
        <w:rPr/>
        <w:t>his</w:t>
      </w:r>
      <w:r>
        <w:rPr>
          <w:spacing w:val="79"/>
        </w:rPr>
        <w:t> </w:t>
      </w:r>
      <w:r>
        <w:rPr/>
        <w:t>study</w:t>
      </w:r>
      <w:r>
        <w:rPr>
          <w:spacing w:val="74"/>
        </w:rPr>
        <w:t> </w:t>
      </w:r>
      <w:r>
        <w:rPr/>
        <w:t>states</w:t>
      </w:r>
      <w:r>
        <w:rPr>
          <w:spacing w:val="51"/>
          <w:w w:val="150"/>
        </w:rPr>
        <w:t> </w:t>
      </w:r>
      <w:r>
        <w:rPr/>
        <w:t>that</w:t>
      </w:r>
      <w:r>
        <w:rPr>
          <w:spacing w:val="78"/>
        </w:rPr>
        <w:t> </w:t>
      </w:r>
      <w:r>
        <w:rPr/>
        <w:t>the</w:t>
      </w:r>
      <w:r>
        <w:rPr>
          <w:spacing w:val="78"/>
        </w:rPr>
        <w:t> </w:t>
      </w:r>
      <w:r>
        <w:rPr>
          <w:spacing w:val="-2"/>
        </w:rPr>
        <w:t>major</w:t>
      </w:r>
    </w:p>
    <w:p>
      <w:pPr>
        <w:pStyle w:val="BodyText"/>
        <w:spacing w:before="1"/>
        <w:ind w:left="711"/>
        <w:jc w:val="both"/>
      </w:pPr>
      <w:r>
        <w:rPr/>
        <w:t>determinants</w:t>
      </w:r>
      <w:r>
        <w:rPr>
          <w:spacing w:val="13"/>
        </w:rPr>
        <w:t> </w:t>
      </w:r>
      <w:r>
        <w:rPr/>
        <w:t>of</w:t>
      </w:r>
      <w:r>
        <w:rPr>
          <w:spacing w:val="15"/>
        </w:rPr>
        <w:t> </w:t>
      </w:r>
      <w:r>
        <w:rPr/>
        <w:t>capital</w:t>
      </w:r>
      <w:r>
        <w:rPr>
          <w:spacing w:val="15"/>
        </w:rPr>
        <w:t> </w:t>
      </w:r>
      <w:r>
        <w:rPr/>
        <w:t>flight</w:t>
      </w:r>
      <w:r>
        <w:rPr>
          <w:spacing w:val="16"/>
        </w:rPr>
        <w:t> </w:t>
      </w:r>
      <w:r>
        <w:rPr/>
        <w:t>from</w:t>
      </w:r>
      <w:r>
        <w:rPr>
          <w:spacing w:val="16"/>
        </w:rPr>
        <w:t> </w:t>
      </w:r>
      <w:r>
        <w:rPr/>
        <w:t>Nigeria</w:t>
      </w:r>
      <w:r>
        <w:rPr>
          <w:spacing w:val="16"/>
        </w:rPr>
        <w:t> </w:t>
      </w:r>
      <w:r>
        <w:rPr/>
        <w:t>are</w:t>
      </w:r>
      <w:r>
        <w:rPr>
          <w:spacing w:val="13"/>
        </w:rPr>
        <w:t> </w:t>
      </w:r>
      <w:r>
        <w:rPr/>
        <w:t>domestic</w:t>
      </w:r>
      <w:r>
        <w:rPr>
          <w:spacing w:val="18"/>
        </w:rPr>
        <w:t> </w:t>
      </w:r>
      <w:r>
        <w:rPr/>
        <w:t>inflation,</w:t>
      </w:r>
      <w:r>
        <w:rPr>
          <w:spacing w:val="15"/>
        </w:rPr>
        <w:t> </w:t>
      </w:r>
      <w:r>
        <w:rPr/>
        <w:t>availability</w:t>
      </w:r>
      <w:r>
        <w:rPr>
          <w:spacing w:val="9"/>
        </w:rPr>
        <w:t> </w:t>
      </w:r>
      <w:r>
        <w:rPr/>
        <w:t>of</w:t>
      </w:r>
      <w:r>
        <w:rPr>
          <w:spacing w:val="14"/>
        </w:rPr>
        <w:t> </w:t>
      </w:r>
      <w:r>
        <w:rPr/>
        <w:t>foreign</w:t>
      </w:r>
      <w:r>
        <w:rPr>
          <w:spacing w:val="15"/>
        </w:rPr>
        <w:t> </w:t>
      </w:r>
      <w:r>
        <w:rPr/>
        <w:t>exchange</w:t>
      </w:r>
      <w:r>
        <w:rPr>
          <w:spacing w:val="17"/>
        </w:rPr>
        <w:t> </w:t>
      </w:r>
      <w:r>
        <w:rPr>
          <w:spacing w:val="-2"/>
        </w:rPr>
        <w:t>reserve,</w:t>
      </w:r>
    </w:p>
    <w:p>
      <w:pPr>
        <w:spacing w:after="0"/>
        <w:jc w:val="both"/>
        <w:sectPr>
          <w:pgSz w:w="11910" w:h="16840"/>
          <w:pgMar w:header="0" w:footer="979" w:top="1900" w:bottom="1240" w:left="280" w:right="0"/>
        </w:sectPr>
      </w:pPr>
    </w:p>
    <w:p>
      <w:pPr>
        <w:pStyle w:val="BodyText"/>
        <w:spacing w:line="480" w:lineRule="auto" w:before="60"/>
        <w:ind w:left="711" w:right="473"/>
        <w:jc w:val="both"/>
      </w:pPr>
      <w:r>
        <w:rPr/>
        <w:t>comparative growth rate of the economy and parallel market premium. Using empirical evidence of the magnitude of capital flight from debtor countries in the 1980s, Gaydeezka and Oks (2009) of the IMF and the World Bank respectively looks for satisfactory explanations of this phenomenon. The study argues that the nature of capital flight pre-1982 can be explained by poor domestic policies resulting in adverse economic incentives for domestic investors and facilitated by large inflows from foreign creditors. The authors then search for an explanation for the resurgence in capital flight since 1986, and argue that debtor governments not only lost external credit worthiness (in 1982-1983) but have now also lost domestic credit worthiness. As confidence in governments has been eroded, the perceived risk of domestic assets rises and residents have sought to diversify through investing abroad. While this still continues at the core of the problem of capital flight, the authors also looked at several other explanations of the problem, for example, continuing policy distortions, debt overhang and uncertainty over debt negotiations.</w:t>
      </w:r>
    </w:p>
    <w:p>
      <w:pPr>
        <w:pStyle w:val="BodyText"/>
        <w:spacing w:line="480" w:lineRule="auto" w:before="2"/>
        <w:ind w:left="711" w:right="467"/>
        <w:jc w:val="both"/>
      </w:pPr>
      <w:r>
        <w:rPr/>
        <w:t>According to the authors, large capital flows out of developing countries have ample evidence of high</w:t>
      </w:r>
      <w:r>
        <w:rPr>
          <w:spacing w:val="40"/>
        </w:rPr>
        <w:t> </w:t>
      </w:r>
      <w:r>
        <w:rPr/>
        <w:t>capital mobility between LDC’s and the outside world and of private capitals stronger responsiveness to changes in both domestic and foreign economic incentives. They also hold the view that because LDC governments largely ignored capital mobility and allowed policy distortions to persist, capital flight continued until external credit was denied and some corrective measures were undertaken. They concluded that the price LDCs paid for capital flight was already high. They argued further that massive foreign</w:t>
      </w:r>
      <w:r>
        <w:rPr>
          <w:spacing w:val="40"/>
        </w:rPr>
        <w:t> </w:t>
      </w:r>
      <w:r>
        <w:rPr/>
        <w:t>lending played instrumental role in facilitating private capital outflows and that the deeper roots of capital flight is traceable to their economic disincentives created by</w:t>
      </w:r>
      <w:r>
        <w:rPr>
          <w:spacing w:val="-2"/>
        </w:rPr>
        <w:t> </w:t>
      </w:r>
      <w:r>
        <w:rPr/>
        <w:t>domestic policy</w:t>
      </w:r>
      <w:r>
        <w:rPr>
          <w:spacing w:val="-2"/>
        </w:rPr>
        <w:t> </w:t>
      </w:r>
      <w:r>
        <w:rPr/>
        <w:t>distortions. They</w:t>
      </w:r>
      <w:r>
        <w:rPr>
          <w:spacing w:val="-2"/>
        </w:rPr>
        <w:t> </w:t>
      </w:r>
      <w:r>
        <w:rPr/>
        <w:t>observed that the decline in outflows from the early 1980s through 1986 can be ascribed in part to the correction of some distortions, such as the reduction in exchange rate. The study by Ajayi (1997) provides a link between capital flight and external debt in Nigeria. He concludes that most of the capital flight from Nigeria is recorded in the balance of payment and debt statistics and that capital flow is explained not only by economic factor but also political instability.</w:t>
      </w:r>
    </w:p>
    <w:p>
      <w:pPr>
        <w:pStyle w:val="BodyText"/>
        <w:spacing w:before="1"/>
        <w:ind w:left="711"/>
        <w:jc w:val="both"/>
      </w:pPr>
      <w:r>
        <w:rPr/>
        <w:t>Econometrics</w:t>
      </w:r>
      <w:r>
        <w:rPr>
          <w:spacing w:val="37"/>
        </w:rPr>
        <w:t> </w:t>
      </w:r>
      <w:r>
        <w:rPr/>
        <w:t>studies</w:t>
      </w:r>
      <w:r>
        <w:rPr>
          <w:spacing w:val="39"/>
        </w:rPr>
        <w:t> </w:t>
      </w:r>
      <w:r>
        <w:rPr/>
        <w:t>on</w:t>
      </w:r>
      <w:r>
        <w:rPr>
          <w:spacing w:val="42"/>
        </w:rPr>
        <w:t> </w:t>
      </w:r>
      <w:r>
        <w:rPr/>
        <w:t>Africa</w:t>
      </w:r>
      <w:r>
        <w:rPr>
          <w:spacing w:val="38"/>
        </w:rPr>
        <w:t> </w:t>
      </w:r>
      <w:r>
        <w:rPr/>
        <w:t>seem</w:t>
      </w:r>
      <w:r>
        <w:rPr>
          <w:spacing w:val="41"/>
        </w:rPr>
        <w:t> </w:t>
      </w:r>
      <w:r>
        <w:rPr/>
        <w:t>to</w:t>
      </w:r>
      <w:r>
        <w:rPr>
          <w:spacing w:val="40"/>
        </w:rPr>
        <w:t> </w:t>
      </w:r>
      <w:r>
        <w:rPr/>
        <w:t>suggest</w:t>
      </w:r>
      <w:r>
        <w:rPr>
          <w:spacing w:val="43"/>
        </w:rPr>
        <w:t> </w:t>
      </w:r>
      <w:r>
        <w:rPr/>
        <w:t>that</w:t>
      </w:r>
      <w:r>
        <w:rPr>
          <w:spacing w:val="39"/>
        </w:rPr>
        <w:t> </w:t>
      </w:r>
      <w:r>
        <w:rPr/>
        <w:t>capital</w:t>
      </w:r>
      <w:r>
        <w:rPr>
          <w:spacing w:val="41"/>
        </w:rPr>
        <w:t> </w:t>
      </w:r>
      <w:r>
        <w:rPr/>
        <w:t>flight</w:t>
      </w:r>
      <w:r>
        <w:rPr>
          <w:spacing w:val="40"/>
        </w:rPr>
        <w:t> </w:t>
      </w:r>
      <w:r>
        <w:rPr/>
        <w:t>results</w:t>
      </w:r>
      <w:r>
        <w:rPr>
          <w:spacing w:val="40"/>
        </w:rPr>
        <w:t> </w:t>
      </w:r>
      <w:r>
        <w:rPr/>
        <w:t>mainly</w:t>
      </w:r>
      <w:r>
        <w:rPr>
          <w:spacing w:val="34"/>
        </w:rPr>
        <w:t> </w:t>
      </w:r>
      <w:r>
        <w:rPr/>
        <w:t>from</w:t>
      </w:r>
      <w:r>
        <w:rPr>
          <w:spacing w:val="41"/>
        </w:rPr>
        <w:t> </w:t>
      </w:r>
      <w:r>
        <w:rPr/>
        <w:t>macro-</w:t>
      </w:r>
      <w:r>
        <w:rPr>
          <w:spacing w:val="-2"/>
        </w:rPr>
        <w:t>economic</w:t>
      </w:r>
    </w:p>
    <w:p>
      <w:pPr>
        <w:pStyle w:val="BodyText"/>
      </w:pPr>
    </w:p>
    <w:p>
      <w:pPr>
        <w:pStyle w:val="BodyText"/>
        <w:spacing w:before="1"/>
        <w:ind w:left="711"/>
        <w:jc w:val="both"/>
      </w:pPr>
      <w:r>
        <w:rPr/>
        <w:t>mismanagement,</w:t>
      </w:r>
      <w:r>
        <w:rPr>
          <w:spacing w:val="58"/>
        </w:rPr>
        <w:t> </w:t>
      </w:r>
      <w:r>
        <w:rPr/>
        <w:t>especially,</w:t>
      </w:r>
      <w:r>
        <w:rPr>
          <w:spacing w:val="60"/>
        </w:rPr>
        <w:t> </w:t>
      </w:r>
      <w:r>
        <w:rPr/>
        <w:t>domestic</w:t>
      </w:r>
      <w:r>
        <w:rPr>
          <w:spacing w:val="60"/>
        </w:rPr>
        <w:t> </w:t>
      </w:r>
      <w:r>
        <w:rPr/>
        <w:t>inflation.</w:t>
      </w:r>
      <w:r>
        <w:rPr>
          <w:spacing w:val="62"/>
        </w:rPr>
        <w:t> </w:t>
      </w:r>
      <w:r>
        <w:rPr/>
        <w:t>Ng’eno</w:t>
      </w:r>
      <w:r>
        <w:rPr>
          <w:spacing w:val="63"/>
        </w:rPr>
        <w:t> </w:t>
      </w:r>
      <w:r>
        <w:rPr/>
        <w:t>(1994)</w:t>
      </w:r>
      <w:r>
        <w:rPr>
          <w:spacing w:val="59"/>
        </w:rPr>
        <w:t> </w:t>
      </w:r>
      <w:r>
        <w:rPr/>
        <w:t>for</w:t>
      </w:r>
      <w:r>
        <w:rPr>
          <w:spacing w:val="62"/>
        </w:rPr>
        <w:t> </w:t>
      </w:r>
      <w:r>
        <w:rPr/>
        <w:t>example,</w:t>
      </w:r>
      <w:r>
        <w:rPr>
          <w:spacing w:val="60"/>
        </w:rPr>
        <w:t> </w:t>
      </w:r>
      <w:r>
        <w:rPr/>
        <w:t>finds</w:t>
      </w:r>
      <w:r>
        <w:rPr>
          <w:spacing w:val="62"/>
        </w:rPr>
        <w:t> </w:t>
      </w:r>
      <w:r>
        <w:rPr/>
        <w:t>capital</w:t>
      </w:r>
      <w:r>
        <w:rPr>
          <w:spacing w:val="72"/>
        </w:rPr>
        <w:t> </w:t>
      </w:r>
      <w:r>
        <w:rPr/>
        <w:t>flight</w:t>
      </w:r>
      <w:r>
        <w:rPr>
          <w:spacing w:val="61"/>
        </w:rPr>
        <w:t> </w:t>
      </w:r>
      <w:r>
        <w:rPr/>
        <w:t>to</w:t>
      </w:r>
      <w:r>
        <w:rPr>
          <w:spacing w:val="63"/>
        </w:rPr>
        <w:t> </w:t>
      </w:r>
      <w:r>
        <w:rPr>
          <w:spacing w:val="-5"/>
        </w:rPr>
        <w:t>be</w:t>
      </w:r>
    </w:p>
    <w:p>
      <w:pPr>
        <w:spacing w:after="0"/>
        <w:jc w:val="both"/>
        <w:sectPr>
          <w:pgSz w:w="11910" w:h="16840"/>
          <w:pgMar w:header="0" w:footer="979" w:top="1360" w:bottom="1240" w:left="280" w:right="0"/>
        </w:sectPr>
      </w:pPr>
    </w:p>
    <w:p>
      <w:pPr>
        <w:pStyle w:val="BodyText"/>
        <w:spacing w:line="480" w:lineRule="auto" w:before="60"/>
        <w:ind w:left="711" w:right="475"/>
        <w:jc w:val="both"/>
      </w:pPr>
      <w:r>
        <w:rPr/>
        <w:t>positively correlated to domestic inflation and lagged capital flight. Olopoenia (1995) study for Uganda showes unsatisfactory results. In fact the R</w:t>
      </w:r>
      <w:r>
        <w:rPr>
          <w:vertAlign w:val="superscript"/>
        </w:rPr>
        <w:t>2</w:t>
      </w:r>
      <w:r>
        <w:rPr>
          <w:spacing w:val="-13"/>
          <w:vertAlign w:val="baseline"/>
        </w:rPr>
        <w:t> </w:t>
      </w:r>
      <w:r>
        <w:rPr>
          <w:vertAlign w:val="baseline"/>
        </w:rPr>
        <w:t>was less than 0.30. The explanatory power in Olopoenia (1995) raises concern on the difficulty of estimating capital flight in African countries which arises mainly from poor quality of data.</w:t>
      </w:r>
    </w:p>
    <w:p>
      <w:pPr>
        <w:pStyle w:val="BodyText"/>
        <w:spacing w:line="480" w:lineRule="auto" w:before="1"/>
        <w:ind w:left="711" w:right="466"/>
        <w:jc w:val="both"/>
      </w:pPr>
      <w:r>
        <w:rPr/>
        <w:t>The poor results of empirical studies on capital flight from Africa may not be unconnected to the use of estimated statistics of capital flight as a dependent varaiable. Attempts to empirically determine the factors that affect an estimated statistics on capital flight is suspected and is bound to produce spurious results, as none of the methods of estimation discussed can capture the very nature and character of the developing countries, including</w:t>
      </w:r>
      <w:r>
        <w:rPr>
          <w:spacing w:val="-2"/>
        </w:rPr>
        <w:t> </w:t>
      </w:r>
      <w:r>
        <w:rPr/>
        <w:t>Nigeria. The</w:t>
      </w:r>
      <w:r>
        <w:rPr>
          <w:spacing w:val="-2"/>
        </w:rPr>
        <w:t> </w:t>
      </w:r>
      <w:r>
        <w:rPr/>
        <w:t>relative</w:t>
      </w:r>
      <w:r>
        <w:rPr>
          <w:spacing w:val="-1"/>
        </w:rPr>
        <w:t> </w:t>
      </w:r>
      <w:r>
        <w:rPr/>
        <w:t>under</w:t>
      </w:r>
      <w:r>
        <w:rPr>
          <w:spacing w:val="-1"/>
        </w:rPr>
        <w:t> </w:t>
      </w:r>
      <w:r>
        <w:rPr/>
        <w:t>developed</w:t>
      </w:r>
      <w:r>
        <w:rPr>
          <w:spacing w:val="-1"/>
        </w:rPr>
        <w:t> </w:t>
      </w:r>
      <w:r>
        <w:rPr/>
        <w:t>nature</w:t>
      </w:r>
      <w:r>
        <w:rPr>
          <w:spacing w:val="-2"/>
        </w:rPr>
        <w:t> </w:t>
      </w:r>
      <w:r>
        <w:rPr/>
        <w:t>of</w:t>
      </w:r>
      <w:r>
        <w:rPr>
          <w:spacing w:val="-1"/>
        </w:rPr>
        <w:t> </w:t>
      </w:r>
      <w:r>
        <w:rPr/>
        <w:t>statistical gathering, as well as, the very nature of the applied concept of capital flight makes the adoption of any model developed for the industrial economies for the purpose of measuring capital flight in the developing country like Nigeria, irrelevant. In the</w:t>
      </w:r>
      <w:r>
        <w:rPr>
          <w:spacing w:val="-1"/>
        </w:rPr>
        <w:t> </w:t>
      </w:r>
      <w:r>
        <w:rPr/>
        <w:t>light of</w:t>
      </w:r>
      <w:r>
        <w:rPr>
          <w:spacing w:val="-1"/>
        </w:rPr>
        <w:t> </w:t>
      </w:r>
      <w:r>
        <w:rPr/>
        <w:t>the</w:t>
      </w:r>
      <w:r>
        <w:rPr>
          <w:spacing w:val="-1"/>
        </w:rPr>
        <w:t> </w:t>
      </w:r>
      <w:r>
        <w:rPr/>
        <w:t>above, and given the earlier</w:t>
      </w:r>
      <w:r>
        <w:rPr>
          <w:spacing w:val="-1"/>
        </w:rPr>
        <w:t> </w:t>
      </w:r>
      <w:r>
        <w:rPr/>
        <w:t>discussion on the</w:t>
      </w:r>
      <w:r>
        <w:rPr>
          <w:spacing w:val="-1"/>
        </w:rPr>
        <w:t> </w:t>
      </w:r>
      <w:r>
        <w:rPr/>
        <w:t>consequences of</w:t>
      </w:r>
      <w:r>
        <w:rPr>
          <w:spacing w:val="-1"/>
        </w:rPr>
        <w:t> </w:t>
      </w:r>
      <w:r>
        <w:rPr/>
        <w:t>capital flight on the</w:t>
      </w:r>
      <w:r>
        <w:rPr>
          <w:spacing w:val="-1"/>
        </w:rPr>
        <w:t> </w:t>
      </w:r>
      <w:r>
        <w:rPr/>
        <w:t>economy, which cannot be separated from the impact of genuine capital movement, I adopted for this study the Gross Domestic Product as the dependent variable in model 2, 5 and 6. In an alternative model, I adopted the</w:t>
      </w:r>
      <w:r>
        <w:rPr>
          <w:spacing w:val="40"/>
        </w:rPr>
        <w:t> </w:t>
      </w:r>
      <w:r>
        <w:rPr/>
        <w:t>Gross Domestic Product as proxy for the dependent variable. Ng’eno in (1994) the use of the three capital flight estimate model in Nigeria since illegality of the so-called “capital flight” cannot be modeled.</w:t>
      </w:r>
    </w:p>
    <w:p>
      <w:pPr>
        <w:pStyle w:val="BodyText"/>
        <w:spacing w:line="480" w:lineRule="auto" w:before="2"/>
        <w:ind w:left="711" w:right="470"/>
        <w:jc w:val="both"/>
      </w:pPr>
      <w:r>
        <w:rPr/>
        <w:t>As noted earlier, the only known empirical study on capital flight in Nigeria is that of Ajayi (1992). However, the author did not test for unit roots in the regression models before running the econometrics model with the variables in levels. In order to avoid spurious regression, the author should have first established the levels of the variables. In addition Ajayi (1992) empirical work was based on estimated capital flight figure as the dependent variable. The problem of attempting to determine the determinants of an estimated dependent variable is very obvious as the result of the regression can best be interpreted with caution. To adequately</w:t>
      </w:r>
      <w:r>
        <w:rPr>
          <w:spacing w:val="-1"/>
        </w:rPr>
        <w:t> </w:t>
      </w:r>
      <w:r>
        <w:rPr/>
        <w:t>take care of the shortcomings of Ajayi (1992), based on the problems identified with the previous methos, he tested for statistical properties of the variables used in six formulated models, as well</w:t>
      </w:r>
      <w:r>
        <w:rPr>
          <w:spacing w:val="54"/>
        </w:rPr>
        <w:t> </w:t>
      </w:r>
      <w:r>
        <w:rPr/>
        <w:t>as,</w:t>
      </w:r>
      <w:r>
        <w:rPr>
          <w:spacing w:val="55"/>
        </w:rPr>
        <w:t> </w:t>
      </w:r>
      <w:r>
        <w:rPr/>
        <w:t>use</w:t>
      </w:r>
      <w:r>
        <w:rPr>
          <w:spacing w:val="54"/>
        </w:rPr>
        <w:t> </w:t>
      </w:r>
      <w:r>
        <w:rPr/>
        <w:t>firm</w:t>
      </w:r>
      <w:r>
        <w:rPr>
          <w:spacing w:val="55"/>
        </w:rPr>
        <w:t> </w:t>
      </w:r>
      <w:r>
        <w:rPr/>
        <w:t>figure</w:t>
      </w:r>
      <w:r>
        <w:rPr>
          <w:spacing w:val="55"/>
        </w:rPr>
        <w:t> </w:t>
      </w:r>
      <w:r>
        <w:rPr/>
        <w:t>of</w:t>
      </w:r>
      <w:r>
        <w:rPr>
          <w:spacing w:val="54"/>
        </w:rPr>
        <w:t> </w:t>
      </w:r>
      <w:r>
        <w:rPr/>
        <w:t>capital</w:t>
      </w:r>
      <w:r>
        <w:rPr>
          <w:spacing w:val="55"/>
        </w:rPr>
        <w:t> </w:t>
      </w:r>
      <w:r>
        <w:rPr/>
        <w:t>outflow</w:t>
      </w:r>
      <w:r>
        <w:rPr>
          <w:spacing w:val="54"/>
        </w:rPr>
        <w:t> </w:t>
      </w:r>
      <w:r>
        <w:rPr/>
        <w:t>as</w:t>
      </w:r>
      <w:r>
        <w:rPr>
          <w:spacing w:val="57"/>
        </w:rPr>
        <w:t> </w:t>
      </w:r>
      <w:r>
        <w:rPr/>
        <w:t>a</w:t>
      </w:r>
      <w:r>
        <w:rPr>
          <w:spacing w:val="53"/>
        </w:rPr>
        <w:t> </w:t>
      </w:r>
      <w:r>
        <w:rPr/>
        <w:t>proxy</w:t>
      </w:r>
      <w:r>
        <w:rPr>
          <w:spacing w:val="50"/>
        </w:rPr>
        <w:t> </w:t>
      </w:r>
      <w:r>
        <w:rPr/>
        <w:t>for</w:t>
      </w:r>
      <w:r>
        <w:rPr>
          <w:spacing w:val="55"/>
        </w:rPr>
        <w:t> </w:t>
      </w:r>
      <w:r>
        <w:rPr/>
        <w:t>capital</w:t>
      </w:r>
      <w:r>
        <w:rPr>
          <w:spacing w:val="55"/>
        </w:rPr>
        <w:t> </w:t>
      </w:r>
      <w:r>
        <w:rPr/>
        <w:t>flight,</w:t>
      </w:r>
      <w:r>
        <w:rPr>
          <w:spacing w:val="55"/>
        </w:rPr>
        <w:t> </w:t>
      </w:r>
      <w:r>
        <w:rPr/>
        <w:t>the</w:t>
      </w:r>
      <w:r>
        <w:rPr>
          <w:spacing w:val="53"/>
        </w:rPr>
        <w:t> </w:t>
      </w:r>
      <w:r>
        <w:rPr/>
        <w:t>reason</w:t>
      </w:r>
      <w:r>
        <w:rPr>
          <w:spacing w:val="55"/>
        </w:rPr>
        <w:t> </w:t>
      </w:r>
      <w:r>
        <w:rPr/>
        <w:t>for</w:t>
      </w:r>
      <w:r>
        <w:rPr>
          <w:spacing w:val="54"/>
        </w:rPr>
        <w:t> </w:t>
      </w:r>
      <w:r>
        <w:rPr/>
        <w:t>this</w:t>
      </w:r>
      <w:r>
        <w:rPr>
          <w:spacing w:val="55"/>
        </w:rPr>
        <w:t> </w:t>
      </w:r>
      <w:r>
        <w:rPr/>
        <w:t>has</w:t>
      </w:r>
      <w:r>
        <w:rPr>
          <w:spacing w:val="55"/>
        </w:rPr>
        <w:t> </w:t>
      </w:r>
      <w:r>
        <w:rPr>
          <w:spacing w:val="-4"/>
        </w:rPr>
        <w:t>been</w:t>
      </w:r>
    </w:p>
    <w:p>
      <w:pPr>
        <w:pStyle w:val="BodyText"/>
        <w:spacing w:before="1"/>
        <w:ind w:left="711"/>
        <w:jc w:val="both"/>
      </w:pPr>
      <w:r>
        <w:rPr/>
        <w:t>adumbrated</w:t>
      </w:r>
      <w:r>
        <w:rPr>
          <w:spacing w:val="72"/>
        </w:rPr>
        <w:t> </w:t>
      </w:r>
      <w:r>
        <w:rPr/>
        <w:t>earlier.</w:t>
      </w:r>
      <w:r>
        <w:rPr>
          <w:spacing w:val="73"/>
        </w:rPr>
        <w:t>  </w:t>
      </w:r>
      <w:r>
        <w:rPr/>
        <w:t>A</w:t>
      </w:r>
      <w:r>
        <w:rPr>
          <w:spacing w:val="76"/>
        </w:rPr>
        <w:t> </w:t>
      </w:r>
      <w:r>
        <w:rPr/>
        <w:t>study</w:t>
      </w:r>
      <w:r>
        <w:rPr>
          <w:spacing w:val="65"/>
        </w:rPr>
        <w:t> </w:t>
      </w:r>
      <w:r>
        <w:rPr/>
        <w:t>on</w:t>
      </w:r>
      <w:r>
        <w:rPr>
          <w:spacing w:val="75"/>
        </w:rPr>
        <w:t> </w:t>
      </w:r>
      <w:r>
        <w:rPr/>
        <w:t>econometric</w:t>
      </w:r>
      <w:r>
        <w:rPr>
          <w:spacing w:val="74"/>
        </w:rPr>
        <w:t> </w:t>
      </w:r>
      <w:r>
        <w:rPr/>
        <w:t>analysis</w:t>
      </w:r>
      <w:r>
        <w:rPr>
          <w:spacing w:val="74"/>
        </w:rPr>
        <w:t> </w:t>
      </w:r>
      <w:r>
        <w:rPr/>
        <w:t>of</w:t>
      </w:r>
      <w:r>
        <w:rPr>
          <w:spacing w:val="72"/>
        </w:rPr>
        <w:t> </w:t>
      </w:r>
      <w:r>
        <w:rPr/>
        <w:t>capital</w:t>
      </w:r>
      <w:r>
        <w:rPr>
          <w:spacing w:val="73"/>
        </w:rPr>
        <w:t> </w:t>
      </w:r>
      <w:r>
        <w:rPr/>
        <w:t>flight</w:t>
      </w:r>
      <w:r>
        <w:rPr>
          <w:spacing w:val="73"/>
        </w:rPr>
        <w:t> </w:t>
      </w:r>
      <w:r>
        <w:rPr/>
        <w:t>in</w:t>
      </w:r>
      <w:r>
        <w:rPr>
          <w:spacing w:val="74"/>
        </w:rPr>
        <w:t> </w:t>
      </w:r>
      <w:r>
        <w:rPr/>
        <w:t>Nigeria</w:t>
      </w:r>
      <w:r>
        <w:rPr>
          <w:spacing w:val="71"/>
        </w:rPr>
        <w:t> </w:t>
      </w:r>
      <w:r>
        <w:rPr/>
        <w:t>by</w:t>
      </w:r>
      <w:r>
        <w:rPr>
          <w:spacing w:val="68"/>
        </w:rPr>
        <w:t> </w:t>
      </w:r>
      <w:r>
        <w:rPr/>
        <w:t>Ayadi</w:t>
      </w:r>
      <w:r>
        <w:rPr>
          <w:spacing w:val="74"/>
        </w:rPr>
        <w:t> </w:t>
      </w:r>
      <w:r>
        <w:rPr>
          <w:spacing w:val="-2"/>
        </w:rPr>
        <w:t>(2008)</w:t>
      </w:r>
    </w:p>
    <w:p>
      <w:pPr>
        <w:spacing w:after="0"/>
        <w:jc w:val="both"/>
        <w:sectPr>
          <w:pgSz w:w="11910" w:h="16840"/>
          <w:pgMar w:header="0" w:footer="979" w:top="1360" w:bottom="1240" w:left="280" w:right="0"/>
        </w:sectPr>
      </w:pPr>
    </w:p>
    <w:p>
      <w:pPr>
        <w:pStyle w:val="BodyText"/>
        <w:spacing w:line="480" w:lineRule="auto" w:before="60"/>
        <w:ind w:left="711" w:right="471"/>
        <w:jc w:val="both"/>
      </w:pPr>
      <w:r>
        <w:rPr/>
        <w:t>investigates the determinants of huge capital flight (with its constraints on economic growth) so as to make meaningful policy contributions on strategies of minimizing capital flight and its attendant impacts. His study investigates the linear determinants of capital flight in Nigeria utilizing the Ordinary Least Squares (OLS) and the Error Correction Mechanism (ECM). The study</w:t>
      </w:r>
      <w:r>
        <w:rPr>
          <w:spacing w:val="-2"/>
        </w:rPr>
        <w:t> </w:t>
      </w:r>
      <w:r>
        <w:rPr/>
        <w:t>found among other things, the validity</w:t>
      </w:r>
      <w:r>
        <w:rPr>
          <w:spacing w:val="-4"/>
        </w:rPr>
        <w:t> </w:t>
      </w:r>
      <w:r>
        <w:rPr/>
        <w:t>of the portfolio theory which postulates how risk-averse investors can build portfolios in order to optimize or maximize expected returns given a level of market risk. This is confirmed in the international realm as private</w:t>
      </w:r>
      <w:r>
        <w:rPr>
          <w:spacing w:val="-2"/>
        </w:rPr>
        <w:t> </w:t>
      </w:r>
      <w:r>
        <w:rPr/>
        <w:t>sector</w:t>
      </w:r>
      <w:r>
        <w:rPr>
          <w:spacing w:val="-1"/>
        </w:rPr>
        <w:t> </w:t>
      </w:r>
      <w:r>
        <w:rPr/>
        <w:t>engaged</w:t>
      </w:r>
      <w:r>
        <w:rPr>
          <w:spacing w:val="-2"/>
        </w:rPr>
        <w:t> </w:t>
      </w:r>
      <w:r>
        <w:rPr/>
        <w:t>in international arbitrage. Capital</w:t>
      </w:r>
      <w:r>
        <w:rPr>
          <w:spacing w:val="-2"/>
        </w:rPr>
        <w:t> </w:t>
      </w:r>
      <w:r>
        <w:rPr/>
        <w:t>flight</w:t>
      </w:r>
      <w:r>
        <w:rPr>
          <w:spacing w:val="-2"/>
        </w:rPr>
        <w:t> </w:t>
      </w:r>
      <w:r>
        <w:rPr/>
        <w:t>is caused</w:t>
      </w:r>
      <w:r>
        <w:rPr>
          <w:spacing w:val="-2"/>
        </w:rPr>
        <w:t> </w:t>
      </w:r>
      <w:r>
        <w:rPr/>
        <w:t>by</w:t>
      </w:r>
      <w:r>
        <w:rPr>
          <w:spacing w:val="-5"/>
        </w:rPr>
        <w:t> </w:t>
      </w:r>
      <w:r>
        <w:rPr/>
        <w:t>the</w:t>
      </w:r>
      <w:r>
        <w:rPr>
          <w:spacing w:val="-3"/>
        </w:rPr>
        <w:t> </w:t>
      </w:r>
      <w:r>
        <w:rPr/>
        <w:t>interest</w:t>
      </w:r>
      <w:r>
        <w:rPr>
          <w:spacing w:val="-2"/>
        </w:rPr>
        <w:t> </w:t>
      </w:r>
      <w:r>
        <w:rPr/>
        <w:t>rates</w:t>
      </w:r>
      <w:r>
        <w:rPr>
          <w:spacing w:val="-2"/>
        </w:rPr>
        <w:t> </w:t>
      </w:r>
      <w:r>
        <w:rPr/>
        <w:t>deferential</w:t>
      </w:r>
      <w:r>
        <w:rPr>
          <w:spacing w:val="-2"/>
        </w:rPr>
        <w:t> </w:t>
      </w:r>
      <w:r>
        <w:rPr/>
        <w:t>both in the short and in the long run. In addition, exchange rate depreciation significantly increases capital flight in Nigeria. Output growth which measures the domestic opportunity</w:t>
      </w:r>
      <w:r>
        <w:rPr>
          <w:spacing w:val="-3"/>
        </w:rPr>
        <w:t> </w:t>
      </w:r>
      <w:r>
        <w:rPr/>
        <w:t>cost of flight in Nigeria is negative and significant in the short-run indicating that nonperformance of domestic resources can trigger capital flight.</w:t>
      </w:r>
    </w:p>
    <w:p>
      <w:pPr>
        <w:pStyle w:val="BodyText"/>
      </w:pPr>
    </w:p>
    <w:p>
      <w:pPr>
        <w:pStyle w:val="BodyText"/>
        <w:spacing w:before="2"/>
      </w:pPr>
    </w:p>
    <w:p>
      <w:pPr>
        <w:pStyle w:val="BodyText"/>
        <w:spacing w:line="480" w:lineRule="auto"/>
        <w:ind w:left="711" w:right="469"/>
        <w:jc w:val="both"/>
      </w:pPr>
      <w:r>
        <w:rPr/>
        <w:t>De Boyrie (2011) in his study of the determinants of capital flight and capital movement through trade mispricing</w:t>
      </w:r>
      <w:r>
        <w:rPr>
          <w:spacing w:val="-4"/>
        </w:rPr>
        <w:t> </w:t>
      </w:r>
      <w:r>
        <w:rPr/>
        <w:t>in</w:t>
      </w:r>
      <w:r>
        <w:rPr>
          <w:spacing w:val="-2"/>
        </w:rPr>
        <w:t> </w:t>
      </w:r>
      <w:r>
        <w:rPr/>
        <w:t>African countries</w:t>
      </w:r>
      <w:r>
        <w:rPr>
          <w:spacing w:val="-2"/>
        </w:rPr>
        <w:t> </w:t>
      </w:r>
      <w:r>
        <w:rPr/>
        <w:t>attempts</w:t>
      </w:r>
      <w:r>
        <w:rPr>
          <w:spacing w:val="-2"/>
        </w:rPr>
        <w:t> </w:t>
      </w:r>
      <w:r>
        <w:rPr/>
        <w:t>to</w:t>
      </w:r>
      <w:r>
        <w:rPr>
          <w:spacing w:val="-2"/>
        </w:rPr>
        <w:t> </w:t>
      </w:r>
      <w:r>
        <w:rPr/>
        <w:t>accomplish</w:t>
      </w:r>
      <w:r>
        <w:rPr>
          <w:spacing w:val="-2"/>
        </w:rPr>
        <w:t> </w:t>
      </w:r>
      <w:r>
        <w:rPr/>
        <w:t>two</w:t>
      </w:r>
      <w:r>
        <w:rPr>
          <w:spacing w:val="-2"/>
        </w:rPr>
        <w:t> </w:t>
      </w:r>
      <w:r>
        <w:rPr/>
        <w:t>things.</w:t>
      </w:r>
      <w:r>
        <w:rPr>
          <w:spacing w:val="-2"/>
        </w:rPr>
        <w:t> </w:t>
      </w:r>
      <w:r>
        <w:rPr/>
        <w:t>First, it</w:t>
      </w:r>
      <w:r>
        <w:rPr>
          <w:spacing w:val="-2"/>
        </w:rPr>
        <w:t> </w:t>
      </w:r>
      <w:r>
        <w:rPr/>
        <w:t>tries</w:t>
      </w:r>
      <w:r>
        <w:rPr>
          <w:spacing w:val="-2"/>
        </w:rPr>
        <w:t> </w:t>
      </w:r>
      <w:r>
        <w:rPr/>
        <w:t>to</w:t>
      </w:r>
      <w:r>
        <w:rPr>
          <w:spacing w:val="-2"/>
        </w:rPr>
        <w:t> </w:t>
      </w:r>
      <w:r>
        <w:rPr/>
        <w:t>establish</w:t>
      </w:r>
      <w:r>
        <w:rPr>
          <w:spacing w:val="-2"/>
        </w:rPr>
        <w:t> </w:t>
      </w:r>
      <w:r>
        <w:rPr/>
        <w:t>the</w:t>
      </w:r>
      <w:r>
        <w:rPr>
          <w:spacing w:val="-2"/>
        </w:rPr>
        <w:t> </w:t>
      </w:r>
      <w:r>
        <w:rPr/>
        <w:t>determinants of capital flight and capital movement through trade misinvoicing from selected African countries in order</w:t>
      </w:r>
      <w:r>
        <w:rPr>
          <w:spacing w:val="40"/>
        </w:rPr>
        <w:t> </w:t>
      </w:r>
      <w:r>
        <w:rPr/>
        <w:t>to ascertain whether the same factors could explain both types of capital movement. Second, it attempts to determine whether Granger causation exists between capital movement through trade misinvoicing and capital</w:t>
      </w:r>
      <w:r>
        <w:rPr>
          <w:spacing w:val="-1"/>
        </w:rPr>
        <w:t> </w:t>
      </w:r>
      <w:r>
        <w:rPr/>
        <w:t>flight.</w:t>
      </w:r>
      <w:r>
        <w:rPr>
          <w:spacing w:val="-1"/>
        </w:rPr>
        <w:t> </w:t>
      </w:r>
      <w:r>
        <w:rPr/>
        <w:t>Data</w:t>
      </w:r>
      <w:r>
        <w:rPr>
          <w:spacing w:val="-2"/>
        </w:rPr>
        <w:t> </w:t>
      </w:r>
      <w:r>
        <w:rPr/>
        <w:t>for</w:t>
      </w:r>
      <w:r>
        <w:rPr>
          <w:spacing w:val="-3"/>
        </w:rPr>
        <w:t> </w:t>
      </w:r>
      <w:r>
        <w:rPr/>
        <w:t>selected</w:t>
      </w:r>
      <w:r>
        <w:rPr>
          <w:spacing w:val="-2"/>
        </w:rPr>
        <w:t> </w:t>
      </w:r>
      <w:r>
        <w:rPr/>
        <w:t>countries</w:t>
      </w:r>
      <w:r>
        <w:rPr>
          <w:spacing w:val="-1"/>
        </w:rPr>
        <w:t> </w:t>
      </w:r>
      <w:r>
        <w:rPr/>
        <w:t>were</w:t>
      </w:r>
      <w:r>
        <w:rPr>
          <w:spacing w:val="-2"/>
        </w:rPr>
        <w:t> </w:t>
      </w:r>
      <w:r>
        <w:rPr/>
        <w:t>combined</w:t>
      </w:r>
      <w:r>
        <w:rPr>
          <w:spacing w:val="-1"/>
        </w:rPr>
        <w:t> </w:t>
      </w:r>
      <w:r>
        <w:rPr/>
        <w:t>into</w:t>
      </w:r>
      <w:r>
        <w:rPr>
          <w:spacing w:val="-1"/>
        </w:rPr>
        <w:t> </w:t>
      </w:r>
      <w:r>
        <w:rPr/>
        <w:t>geographical,</w:t>
      </w:r>
      <w:r>
        <w:rPr>
          <w:spacing w:val="-1"/>
        </w:rPr>
        <w:t> </w:t>
      </w:r>
      <w:r>
        <w:rPr/>
        <w:t>economic,</w:t>
      </w:r>
      <w:r>
        <w:rPr>
          <w:spacing w:val="-1"/>
        </w:rPr>
        <w:t> </w:t>
      </w:r>
      <w:r>
        <w:rPr/>
        <w:t>and</w:t>
      </w:r>
      <w:r>
        <w:rPr>
          <w:spacing w:val="-1"/>
        </w:rPr>
        <w:t> </w:t>
      </w:r>
      <w:r>
        <w:rPr/>
        <w:t>monetary</w:t>
      </w:r>
      <w:r>
        <w:rPr>
          <w:spacing w:val="-4"/>
        </w:rPr>
        <w:t> </w:t>
      </w:r>
      <w:r>
        <w:rPr/>
        <w:t>regions using, 21 explanatory variables, the results showed that variables that explain capital flight do not always explain capital movement and vice versa. The independent variables tended to explain the dependent variables in a few cases, implying that the reason for capital flight and capital movement was other than for investment purposes. Overall causality was found to exist between the dependent variables, mostly in the form of feedback. Yet, the relationship was mostly transitory with a long-term relationship existing in only few cases.</w:t>
      </w:r>
    </w:p>
    <w:p>
      <w:pPr>
        <w:pStyle w:val="BodyText"/>
        <w:spacing w:line="480" w:lineRule="auto" w:before="2"/>
        <w:ind w:left="711" w:right="471"/>
        <w:jc w:val="both"/>
      </w:pPr>
      <w:r>
        <w:rPr/>
        <w:t>Ali and Walters (2011) investigate the causes of capital flight from Sub-Saharan Africa. The study drawing on</w:t>
      </w:r>
      <w:r>
        <w:rPr>
          <w:spacing w:val="49"/>
        </w:rPr>
        <w:t> </w:t>
      </w:r>
      <w:r>
        <w:rPr/>
        <w:t>insights</w:t>
      </w:r>
      <w:r>
        <w:rPr>
          <w:spacing w:val="54"/>
        </w:rPr>
        <w:t> </w:t>
      </w:r>
      <w:r>
        <w:rPr/>
        <w:t>from</w:t>
      </w:r>
      <w:r>
        <w:rPr>
          <w:spacing w:val="53"/>
        </w:rPr>
        <w:t> </w:t>
      </w:r>
      <w:r>
        <w:rPr/>
        <w:t>portfolio</w:t>
      </w:r>
      <w:r>
        <w:rPr>
          <w:spacing w:val="52"/>
        </w:rPr>
        <w:t> </w:t>
      </w:r>
      <w:r>
        <w:rPr/>
        <w:t>theory,</w:t>
      </w:r>
      <w:r>
        <w:rPr>
          <w:spacing w:val="51"/>
        </w:rPr>
        <w:t> </w:t>
      </w:r>
      <w:r>
        <w:rPr/>
        <w:t>presents</w:t>
      </w:r>
      <w:r>
        <w:rPr>
          <w:spacing w:val="55"/>
        </w:rPr>
        <w:t> </w:t>
      </w:r>
      <w:r>
        <w:rPr/>
        <w:t>empirical</w:t>
      </w:r>
      <w:r>
        <w:rPr>
          <w:spacing w:val="52"/>
        </w:rPr>
        <w:t> </w:t>
      </w:r>
      <w:r>
        <w:rPr/>
        <w:t>evidence</w:t>
      </w:r>
      <w:r>
        <w:rPr>
          <w:spacing w:val="52"/>
        </w:rPr>
        <w:t> </w:t>
      </w:r>
      <w:r>
        <w:rPr/>
        <w:t>that</w:t>
      </w:r>
      <w:r>
        <w:rPr>
          <w:spacing w:val="52"/>
        </w:rPr>
        <w:t> </w:t>
      </w:r>
      <w:r>
        <w:rPr/>
        <w:t>links</w:t>
      </w:r>
      <w:r>
        <w:rPr>
          <w:spacing w:val="51"/>
        </w:rPr>
        <w:t> </w:t>
      </w:r>
      <w:r>
        <w:rPr/>
        <w:t>capital</w:t>
      </w:r>
      <w:r>
        <w:rPr>
          <w:spacing w:val="54"/>
        </w:rPr>
        <w:t> </w:t>
      </w:r>
      <w:r>
        <w:rPr/>
        <w:t>flight</w:t>
      </w:r>
      <w:r>
        <w:rPr>
          <w:spacing w:val="55"/>
        </w:rPr>
        <w:t> </w:t>
      </w:r>
      <w:r>
        <w:rPr/>
        <w:t>to</w:t>
      </w:r>
      <w:r>
        <w:rPr>
          <w:spacing w:val="52"/>
        </w:rPr>
        <w:t> </w:t>
      </w:r>
      <w:r>
        <w:rPr/>
        <w:t>the</w:t>
      </w:r>
      <w:r>
        <w:rPr>
          <w:spacing w:val="54"/>
        </w:rPr>
        <w:t> </w:t>
      </w:r>
      <w:r>
        <w:rPr>
          <w:spacing w:val="-2"/>
        </w:rPr>
        <w:t>domestic</w:t>
      </w:r>
    </w:p>
    <w:p>
      <w:pPr>
        <w:pStyle w:val="BodyText"/>
        <w:ind w:left="711"/>
        <w:jc w:val="both"/>
      </w:pPr>
      <w:r>
        <w:rPr/>
        <w:t>investment</w:t>
      </w:r>
      <w:r>
        <w:rPr>
          <w:spacing w:val="23"/>
        </w:rPr>
        <w:t> </w:t>
      </w:r>
      <w:r>
        <w:rPr/>
        <w:t>climate.</w:t>
      </w:r>
      <w:r>
        <w:rPr>
          <w:spacing w:val="26"/>
        </w:rPr>
        <w:t> </w:t>
      </w:r>
      <w:r>
        <w:rPr/>
        <w:t>Using</w:t>
      </w:r>
      <w:r>
        <w:rPr>
          <w:spacing w:val="24"/>
        </w:rPr>
        <w:t> </w:t>
      </w:r>
      <w:r>
        <w:rPr/>
        <w:t>a</w:t>
      </w:r>
      <w:r>
        <w:rPr>
          <w:spacing w:val="25"/>
        </w:rPr>
        <w:t> </w:t>
      </w:r>
      <w:r>
        <w:rPr/>
        <w:t>panel</w:t>
      </w:r>
      <w:r>
        <w:rPr>
          <w:spacing w:val="26"/>
        </w:rPr>
        <w:t> </w:t>
      </w:r>
      <w:r>
        <w:rPr/>
        <w:t>data</w:t>
      </w:r>
      <w:r>
        <w:rPr>
          <w:spacing w:val="24"/>
        </w:rPr>
        <w:t> </w:t>
      </w:r>
      <w:r>
        <w:rPr/>
        <w:t>set</w:t>
      </w:r>
      <w:r>
        <w:rPr>
          <w:spacing w:val="26"/>
        </w:rPr>
        <w:t> </w:t>
      </w:r>
      <w:r>
        <w:rPr/>
        <w:t>for</w:t>
      </w:r>
      <w:r>
        <w:rPr>
          <w:spacing w:val="24"/>
        </w:rPr>
        <w:t> </w:t>
      </w:r>
      <w:r>
        <w:rPr/>
        <w:t>37</w:t>
      </w:r>
      <w:r>
        <w:rPr>
          <w:spacing w:val="28"/>
        </w:rPr>
        <w:t> </w:t>
      </w:r>
      <w:r>
        <w:rPr/>
        <w:t>African</w:t>
      </w:r>
      <w:r>
        <w:rPr>
          <w:spacing w:val="26"/>
        </w:rPr>
        <w:t> </w:t>
      </w:r>
      <w:r>
        <w:rPr/>
        <w:t>countries</w:t>
      </w:r>
      <w:r>
        <w:rPr>
          <w:spacing w:val="25"/>
        </w:rPr>
        <w:t> </w:t>
      </w:r>
      <w:r>
        <w:rPr/>
        <w:t>over</w:t>
      </w:r>
      <w:r>
        <w:rPr>
          <w:spacing w:val="25"/>
        </w:rPr>
        <w:t> </w:t>
      </w:r>
      <w:r>
        <w:rPr/>
        <w:t>the</w:t>
      </w:r>
      <w:r>
        <w:rPr>
          <w:spacing w:val="25"/>
        </w:rPr>
        <w:t> </w:t>
      </w:r>
      <w:r>
        <w:rPr/>
        <w:t>1980-2005</w:t>
      </w:r>
      <w:r>
        <w:rPr>
          <w:spacing w:val="26"/>
        </w:rPr>
        <w:t> </w:t>
      </w:r>
      <w:r>
        <w:rPr/>
        <w:t>period,</w:t>
      </w:r>
      <w:r>
        <w:rPr>
          <w:spacing w:val="25"/>
        </w:rPr>
        <w:t> </w:t>
      </w:r>
      <w:r>
        <w:rPr/>
        <w:t>the</w:t>
      </w:r>
      <w:r>
        <w:rPr>
          <w:spacing w:val="25"/>
        </w:rPr>
        <w:t> </w:t>
      </w:r>
      <w:r>
        <w:rPr>
          <w:spacing w:val="-2"/>
        </w:rPr>
        <w:t>study</w:t>
      </w:r>
    </w:p>
    <w:p>
      <w:pPr>
        <w:spacing w:after="0"/>
        <w:jc w:val="both"/>
        <w:sectPr>
          <w:pgSz w:w="11910" w:h="16840"/>
          <w:pgMar w:header="0" w:footer="979" w:top="1360" w:bottom="1240" w:left="280" w:right="0"/>
        </w:sectPr>
      </w:pPr>
    </w:p>
    <w:p>
      <w:pPr>
        <w:pStyle w:val="BodyText"/>
        <w:spacing w:line="480" w:lineRule="auto" w:before="60"/>
        <w:ind w:left="711" w:right="470"/>
        <w:jc w:val="both"/>
      </w:pPr>
      <w:r>
        <w:rPr/>
        <w:t>finds out that once account is taken of the region’s structural and institutional features, private capital outflows from Africa are explained by policy distortions, long with the relative riskiness and poor</w:t>
      </w:r>
      <w:r>
        <w:rPr>
          <w:spacing w:val="40"/>
        </w:rPr>
        <w:t> </w:t>
      </w:r>
      <w:r>
        <w:rPr/>
        <w:t>protability of investments. In addition, the study finds evidence that the type and composition of resource flows to the region are important for capital flight: foreign aid generally discourages capital flight while short term borrowing and FDI contribute to it. The findings of the paper are robust to endogeneity, outliers, sub-samples, and to different econometric methods.</w:t>
      </w:r>
    </w:p>
    <w:p>
      <w:pPr>
        <w:pStyle w:val="BodyText"/>
      </w:pPr>
    </w:p>
    <w:p>
      <w:pPr>
        <w:pStyle w:val="BodyText"/>
        <w:spacing w:before="2"/>
      </w:pPr>
    </w:p>
    <w:p>
      <w:pPr>
        <w:pStyle w:val="Heading6"/>
        <w:jc w:val="left"/>
      </w:pPr>
      <w:r>
        <w:rPr/>
        <w:t>2.11</w:t>
      </w:r>
      <w:r>
        <w:rPr>
          <w:spacing w:val="-2"/>
        </w:rPr>
        <w:t> </w:t>
      </w:r>
      <w:r>
        <w:rPr/>
        <w:t>Summary</w:t>
      </w:r>
      <w:r>
        <w:rPr>
          <w:spacing w:val="-2"/>
        </w:rPr>
        <w:t> </w:t>
      </w:r>
      <w:r>
        <w:rPr/>
        <w:t>of</w:t>
      </w:r>
      <w:r>
        <w:rPr>
          <w:spacing w:val="-1"/>
        </w:rPr>
        <w:t> </w:t>
      </w:r>
      <w:r>
        <w:rPr>
          <w:spacing w:val="-2"/>
        </w:rPr>
        <w:t>Litrature</w:t>
      </w:r>
    </w:p>
    <w:p>
      <w:pPr>
        <w:pStyle w:val="BodyText"/>
        <w:rPr>
          <w:b/>
        </w:rPr>
      </w:pPr>
    </w:p>
    <w:p>
      <w:pPr>
        <w:pStyle w:val="BodyText"/>
        <w:spacing w:line="480" w:lineRule="auto"/>
        <w:ind w:left="711" w:right="466"/>
        <w:jc w:val="both"/>
      </w:pPr>
      <w:r>
        <w:rPr/>
        <w:t>The implication of the above empirical and literature review is that capital flight is prevalent in Nigeria and various economic and political factors are responsible for the occurrence. Specifically, the literature review reveals that findings from existing theoretical and empirical studies on capital flight suggest that both economic and political factors are responsible for the incidence of capital outflows from the developing economies to the developed economies.</w:t>
      </w:r>
      <w:r>
        <w:rPr>
          <w:spacing w:val="40"/>
        </w:rPr>
        <w:t> </w:t>
      </w:r>
      <w:r>
        <w:rPr/>
        <w:t>However, most studies on the Nigerian economy concentrate more on the economic determinants and effect of capital flight while very few studies consider the correlation of political</w:t>
      </w:r>
      <w:r>
        <w:rPr>
          <w:spacing w:val="-3"/>
        </w:rPr>
        <w:t> </w:t>
      </w:r>
      <w:r>
        <w:rPr/>
        <w:t>regimes/</w:t>
      </w:r>
      <w:r>
        <w:rPr>
          <w:spacing w:val="-3"/>
        </w:rPr>
        <w:t> </w:t>
      </w:r>
      <w:r>
        <w:rPr/>
        <w:t>political</w:t>
      </w:r>
      <w:r>
        <w:rPr>
          <w:spacing w:val="-3"/>
        </w:rPr>
        <w:t> </w:t>
      </w:r>
      <w:r>
        <w:rPr/>
        <w:t>uncertainties</w:t>
      </w:r>
      <w:r>
        <w:rPr>
          <w:spacing w:val="-3"/>
        </w:rPr>
        <w:t> </w:t>
      </w:r>
      <w:r>
        <w:rPr/>
        <w:t>with</w:t>
      </w:r>
      <w:r>
        <w:rPr>
          <w:spacing w:val="-3"/>
        </w:rPr>
        <w:t> </w:t>
      </w:r>
      <w:r>
        <w:rPr/>
        <w:t>capital</w:t>
      </w:r>
      <w:r>
        <w:rPr>
          <w:spacing w:val="-3"/>
        </w:rPr>
        <w:t> </w:t>
      </w:r>
      <w:r>
        <w:rPr/>
        <w:t>flight. Again,</w:t>
      </w:r>
      <w:r>
        <w:rPr>
          <w:spacing w:val="-3"/>
        </w:rPr>
        <w:t> </w:t>
      </w:r>
      <w:r>
        <w:rPr/>
        <w:t>recent</w:t>
      </w:r>
      <w:r>
        <w:rPr>
          <w:spacing w:val="-3"/>
        </w:rPr>
        <w:t> </w:t>
      </w:r>
      <w:r>
        <w:rPr/>
        <w:t>occurrence</w:t>
      </w:r>
      <w:r>
        <w:rPr>
          <w:spacing w:val="-3"/>
        </w:rPr>
        <w:t> </w:t>
      </w:r>
      <w:r>
        <w:rPr/>
        <w:t>of</w:t>
      </w:r>
      <w:r>
        <w:rPr>
          <w:spacing w:val="-3"/>
        </w:rPr>
        <w:t> </w:t>
      </w:r>
      <w:r>
        <w:rPr/>
        <w:t>Financial</w:t>
      </w:r>
      <w:r>
        <w:rPr>
          <w:spacing w:val="-3"/>
        </w:rPr>
        <w:t> </w:t>
      </w:r>
      <w:r>
        <w:rPr/>
        <w:t>institutions instability reveal that institutional factors could play a very critical role in stemming or boosting the incidence of capital flight from the domestic economies of developing nation, however, there are not many empirical evidence of this in Nigeria. Thus, the research fills a crucial gap in literature in that it examines</w:t>
      </w:r>
      <w:r>
        <w:rPr>
          <w:spacing w:val="40"/>
        </w:rPr>
        <w:t> </w:t>
      </w:r>
      <w:r>
        <w:rPr/>
        <w:t>the</w:t>
      </w:r>
      <w:r>
        <w:rPr>
          <w:spacing w:val="-2"/>
        </w:rPr>
        <w:t> </w:t>
      </w:r>
      <w:r>
        <w:rPr/>
        <w:t>economic,</w:t>
      </w:r>
      <w:r>
        <w:rPr>
          <w:spacing w:val="-2"/>
        </w:rPr>
        <w:t> </w:t>
      </w:r>
      <w:r>
        <w:rPr/>
        <w:t>political</w:t>
      </w:r>
      <w:r>
        <w:rPr>
          <w:spacing w:val="-1"/>
        </w:rPr>
        <w:t> </w:t>
      </w:r>
      <w:r>
        <w:rPr/>
        <w:t>and</w:t>
      </w:r>
      <w:r>
        <w:rPr>
          <w:spacing w:val="-2"/>
        </w:rPr>
        <w:t> </w:t>
      </w:r>
      <w:r>
        <w:rPr/>
        <w:t>institutional</w:t>
      </w:r>
      <w:r>
        <w:rPr>
          <w:spacing w:val="-2"/>
        </w:rPr>
        <w:t> </w:t>
      </w:r>
      <w:r>
        <w:rPr/>
        <w:t>determinants</w:t>
      </w:r>
      <w:r>
        <w:rPr>
          <w:spacing w:val="-2"/>
        </w:rPr>
        <w:t> </w:t>
      </w:r>
      <w:r>
        <w:rPr/>
        <w:t>of</w:t>
      </w:r>
      <w:r>
        <w:rPr>
          <w:spacing w:val="-2"/>
        </w:rPr>
        <w:t> </w:t>
      </w:r>
      <w:r>
        <w:rPr/>
        <w:t>capital</w:t>
      </w:r>
      <w:r>
        <w:rPr>
          <w:spacing w:val="-2"/>
        </w:rPr>
        <w:t> </w:t>
      </w:r>
      <w:r>
        <w:rPr/>
        <w:t>flight</w:t>
      </w:r>
      <w:r>
        <w:rPr>
          <w:spacing w:val="-2"/>
        </w:rPr>
        <w:t> </w:t>
      </w:r>
      <w:r>
        <w:rPr/>
        <w:t>in</w:t>
      </w:r>
      <w:r>
        <w:rPr>
          <w:spacing w:val="-2"/>
        </w:rPr>
        <w:t> </w:t>
      </w:r>
      <w:r>
        <w:rPr/>
        <w:t>Nigeria</w:t>
      </w:r>
      <w:r>
        <w:rPr>
          <w:spacing w:val="-3"/>
        </w:rPr>
        <w:t> </w:t>
      </w:r>
      <w:r>
        <w:rPr/>
        <w:t>as</w:t>
      </w:r>
      <w:r>
        <w:rPr>
          <w:spacing w:val="-2"/>
        </w:rPr>
        <w:t> </w:t>
      </w:r>
      <w:r>
        <w:rPr/>
        <w:t>well</w:t>
      </w:r>
      <w:r>
        <w:rPr>
          <w:spacing w:val="-2"/>
        </w:rPr>
        <w:t> </w:t>
      </w:r>
      <w:r>
        <w:rPr/>
        <w:t>as</w:t>
      </w:r>
      <w:r>
        <w:rPr>
          <w:spacing w:val="-2"/>
        </w:rPr>
        <w:t> </w:t>
      </w:r>
      <w:r>
        <w:rPr/>
        <w:t>the</w:t>
      </w:r>
      <w:r>
        <w:rPr>
          <w:spacing w:val="-2"/>
        </w:rPr>
        <w:t> </w:t>
      </w:r>
      <w:r>
        <w:rPr/>
        <w:t>effect</w:t>
      </w:r>
      <w:r>
        <w:rPr>
          <w:spacing w:val="-2"/>
        </w:rPr>
        <w:t> </w:t>
      </w:r>
      <w:r>
        <w:rPr/>
        <w:t>of</w:t>
      </w:r>
      <w:r>
        <w:rPr>
          <w:spacing w:val="-2"/>
        </w:rPr>
        <w:t> </w:t>
      </w:r>
      <w:r>
        <w:rPr/>
        <w:t>these variables on the economy in order to provide reliable empirical evidence.</w:t>
      </w:r>
    </w:p>
    <w:p>
      <w:pPr>
        <w:spacing w:after="0" w:line="480" w:lineRule="auto"/>
        <w:jc w:val="both"/>
        <w:sectPr>
          <w:pgSz w:w="11910" w:h="16840"/>
          <w:pgMar w:header="0" w:footer="979" w:top="1360" w:bottom="1240" w:left="280" w:right="0"/>
        </w:sectPr>
      </w:pPr>
    </w:p>
    <w:p>
      <w:pPr>
        <w:pStyle w:val="Heading5"/>
        <w:ind w:right="1628"/>
      </w:pPr>
      <w:r>
        <w:rPr>
          <w:spacing w:val="-2"/>
        </w:rPr>
        <w:t>REFERENCES</w:t>
      </w:r>
    </w:p>
    <w:p>
      <w:pPr>
        <w:pStyle w:val="BodyText"/>
        <w:spacing w:before="1"/>
        <w:rPr>
          <w:b/>
        </w:rPr>
      </w:pPr>
    </w:p>
    <w:p>
      <w:pPr>
        <w:spacing w:before="0"/>
        <w:ind w:left="711" w:right="0" w:firstLine="0"/>
        <w:jc w:val="left"/>
        <w:rPr>
          <w:sz w:val="24"/>
        </w:rPr>
      </w:pPr>
      <w:r>
        <w:rPr>
          <w:sz w:val="24"/>
        </w:rPr>
        <w:t>Aboyade,</w:t>
      </w:r>
      <w:r>
        <w:rPr>
          <w:spacing w:val="-3"/>
          <w:sz w:val="24"/>
        </w:rPr>
        <w:t> </w:t>
      </w:r>
      <w:r>
        <w:rPr>
          <w:sz w:val="24"/>
        </w:rPr>
        <w:t>O.</w:t>
      </w:r>
      <w:r>
        <w:rPr>
          <w:spacing w:val="-2"/>
          <w:sz w:val="24"/>
        </w:rPr>
        <w:t> </w:t>
      </w:r>
      <w:r>
        <w:rPr>
          <w:sz w:val="24"/>
        </w:rPr>
        <w:t>(1974</w:t>
      </w:r>
      <w:r>
        <w:rPr>
          <w:i/>
          <w:sz w:val="24"/>
        </w:rPr>
        <w:t>).</w:t>
      </w:r>
      <w:r>
        <w:rPr>
          <w:i/>
          <w:spacing w:val="-3"/>
          <w:sz w:val="24"/>
        </w:rPr>
        <w:t> </w:t>
      </w:r>
      <w:r>
        <w:rPr>
          <w:i/>
          <w:sz w:val="24"/>
        </w:rPr>
        <w:t>Nigerian</w:t>
      </w:r>
      <w:r>
        <w:rPr>
          <w:i/>
          <w:spacing w:val="-3"/>
          <w:sz w:val="24"/>
        </w:rPr>
        <w:t> </w:t>
      </w:r>
      <w:r>
        <w:rPr>
          <w:i/>
          <w:sz w:val="24"/>
        </w:rPr>
        <w:t>Public</w:t>
      </w:r>
      <w:r>
        <w:rPr>
          <w:i/>
          <w:spacing w:val="-4"/>
          <w:sz w:val="24"/>
        </w:rPr>
        <w:t> </w:t>
      </w:r>
      <w:r>
        <w:rPr>
          <w:i/>
          <w:sz w:val="24"/>
        </w:rPr>
        <w:t>Enterprises</w:t>
      </w:r>
      <w:r>
        <w:rPr>
          <w:i/>
          <w:spacing w:val="-3"/>
          <w:sz w:val="24"/>
        </w:rPr>
        <w:t> </w:t>
      </w:r>
      <w:r>
        <w:rPr>
          <w:i/>
          <w:sz w:val="24"/>
        </w:rPr>
        <w:t>as</w:t>
      </w:r>
      <w:r>
        <w:rPr>
          <w:i/>
          <w:spacing w:val="-3"/>
          <w:sz w:val="24"/>
        </w:rPr>
        <w:t> </w:t>
      </w:r>
      <w:r>
        <w:rPr>
          <w:i/>
          <w:sz w:val="24"/>
        </w:rPr>
        <w:t>an</w:t>
      </w:r>
      <w:r>
        <w:rPr>
          <w:i/>
          <w:spacing w:val="-3"/>
          <w:sz w:val="24"/>
        </w:rPr>
        <w:t> </w:t>
      </w:r>
      <w:r>
        <w:rPr>
          <w:i/>
          <w:sz w:val="24"/>
        </w:rPr>
        <w:t>Organizational</w:t>
      </w:r>
      <w:r>
        <w:rPr>
          <w:i/>
          <w:spacing w:val="-3"/>
          <w:sz w:val="24"/>
        </w:rPr>
        <w:t> </w:t>
      </w:r>
      <w:r>
        <w:rPr>
          <w:i/>
          <w:sz w:val="24"/>
        </w:rPr>
        <w:t>Dilemma</w:t>
      </w:r>
      <w:r>
        <w:rPr>
          <w:i/>
          <w:spacing w:val="73"/>
          <w:sz w:val="24"/>
        </w:rPr>
        <w:t> </w:t>
      </w:r>
      <w:r>
        <w:rPr>
          <w:i/>
          <w:sz w:val="24"/>
        </w:rPr>
        <w:t>in</w:t>
      </w:r>
      <w:r>
        <w:rPr>
          <w:i/>
          <w:spacing w:val="-3"/>
          <w:sz w:val="24"/>
        </w:rPr>
        <w:t> </w:t>
      </w:r>
      <w:r>
        <w:rPr>
          <w:i/>
          <w:sz w:val="24"/>
        </w:rPr>
        <w:t>Public</w:t>
      </w:r>
      <w:r>
        <w:rPr>
          <w:i/>
          <w:spacing w:val="-4"/>
          <w:sz w:val="24"/>
        </w:rPr>
        <w:t> </w:t>
      </w:r>
      <w:r>
        <w:rPr>
          <w:i/>
          <w:sz w:val="24"/>
        </w:rPr>
        <w:t>Enterprises</w:t>
      </w:r>
      <w:r>
        <w:rPr>
          <w:i/>
          <w:spacing w:val="-3"/>
          <w:sz w:val="24"/>
        </w:rPr>
        <w:t> </w:t>
      </w:r>
      <w:r>
        <w:rPr>
          <w:i/>
          <w:sz w:val="24"/>
        </w:rPr>
        <w:t>in Nigeria. </w:t>
      </w:r>
      <w:r>
        <w:rPr>
          <w:sz w:val="24"/>
        </w:rPr>
        <w:t>Proceedings of the 1973 Annual Conference of the Nigerian Economic Society.</w:t>
      </w:r>
    </w:p>
    <w:p>
      <w:pPr>
        <w:spacing w:before="0"/>
        <w:ind w:left="711" w:right="0" w:firstLine="0"/>
        <w:jc w:val="left"/>
        <w:rPr>
          <w:sz w:val="24"/>
        </w:rPr>
      </w:pPr>
      <w:r>
        <w:rPr>
          <w:sz w:val="24"/>
        </w:rPr>
        <w:t>Adegbite,</w:t>
      </w:r>
      <w:r>
        <w:rPr>
          <w:spacing w:val="-3"/>
          <w:sz w:val="24"/>
        </w:rPr>
        <w:t> </w:t>
      </w:r>
      <w:r>
        <w:rPr>
          <w:sz w:val="24"/>
        </w:rPr>
        <w:t>E.O.</w:t>
      </w:r>
      <w:r>
        <w:rPr>
          <w:spacing w:val="-1"/>
          <w:sz w:val="24"/>
        </w:rPr>
        <w:t> </w:t>
      </w:r>
      <w:r>
        <w:rPr>
          <w:sz w:val="24"/>
        </w:rPr>
        <w:t>(2007).</w:t>
      </w:r>
      <w:r>
        <w:rPr>
          <w:spacing w:val="-1"/>
          <w:sz w:val="24"/>
        </w:rPr>
        <w:t> </w:t>
      </w:r>
      <w:r>
        <w:rPr>
          <w:i/>
          <w:sz w:val="24"/>
        </w:rPr>
        <w:t>Essential</w:t>
      </w:r>
      <w:r>
        <w:rPr>
          <w:i/>
          <w:spacing w:val="-1"/>
          <w:sz w:val="24"/>
        </w:rPr>
        <w:t> </w:t>
      </w:r>
      <w:r>
        <w:rPr>
          <w:i/>
          <w:sz w:val="24"/>
        </w:rPr>
        <w:t>of</w:t>
      </w:r>
      <w:r>
        <w:rPr>
          <w:i/>
          <w:spacing w:val="-1"/>
          <w:sz w:val="24"/>
        </w:rPr>
        <w:t> </w:t>
      </w:r>
      <w:r>
        <w:rPr>
          <w:i/>
          <w:sz w:val="24"/>
        </w:rPr>
        <w:t>Money</w:t>
      </w:r>
      <w:r>
        <w:rPr>
          <w:i/>
          <w:spacing w:val="-2"/>
          <w:sz w:val="24"/>
        </w:rPr>
        <w:t> </w:t>
      </w:r>
      <w:r>
        <w:rPr>
          <w:i/>
          <w:sz w:val="24"/>
        </w:rPr>
        <w:t>and</w:t>
      </w:r>
      <w:r>
        <w:rPr>
          <w:i/>
          <w:spacing w:val="-1"/>
          <w:sz w:val="24"/>
        </w:rPr>
        <w:t> </w:t>
      </w:r>
      <w:r>
        <w:rPr>
          <w:i/>
          <w:sz w:val="24"/>
        </w:rPr>
        <w:t>Banking.</w:t>
      </w:r>
      <w:r>
        <w:rPr>
          <w:i/>
          <w:spacing w:val="1"/>
          <w:sz w:val="24"/>
        </w:rPr>
        <w:t> </w:t>
      </w:r>
      <w:r>
        <w:rPr>
          <w:sz w:val="24"/>
        </w:rPr>
        <w:t>Chumek</w:t>
      </w:r>
      <w:r>
        <w:rPr>
          <w:spacing w:val="-1"/>
          <w:sz w:val="24"/>
        </w:rPr>
        <w:t> </w:t>
      </w:r>
      <w:r>
        <w:rPr>
          <w:sz w:val="24"/>
        </w:rPr>
        <w:t>Ventures,</w:t>
      </w:r>
      <w:r>
        <w:rPr>
          <w:spacing w:val="4"/>
          <w:sz w:val="24"/>
        </w:rPr>
        <w:t> </w:t>
      </w:r>
      <w:r>
        <w:rPr>
          <w:spacing w:val="-2"/>
          <w:sz w:val="24"/>
        </w:rPr>
        <w:t>Lagos</w:t>
      </w:r>
    </w:p>
    <w:p>
      <w:pPr>
        <w:spacing w:before="0"/>
        <w:ind w:left="1431" w:right="0" w:hanging="721"/>
        <w:jc w:val="left"/>
        <w:rPr>
          <w:sz w:val="24"/>
        </w:rPr>
      </w:pPr>
      <w:r>
        <w:rPr>
          <w:sz w:val="24"/>
        </w:rPr>
        <w:t>Adegbite,</w:t>
      </w:r>
      <w:r>
        <w:rPr>
          <w:spacing w:val="-3"/>
          <w:sz w:val="24"/>
        </w:rPr>
        <w:t> </w:t>
      </w:r>
      <w:r>
        <w:rPr>
          <w:sz w:val="24"/>
        </w:rPr>
        <w:t>E.O.,</w:t>
      </w:r>
      <w:r>
        <w:rPr>
          <w:spacing w:val="-3"/>
          <w:sz w:val="24"/>
        </w:rPr>
        <w:t> </w:t>
      </w:r>
      <w:r>
        <w:rPr>
          <w:sz w:val="24"/>
        </w:rPr>
        <w:t>Ayadi,</w:t>
      </w:r>
      <w:r>
        <w:rPr>
          <w:spacing w:val="-3"/>
          <w:sz w:val="24"/>
        </w:rPr>
        <w:t> </w:t>
      </w:r>
      <w:r>
        <w:rPr>
          <w:sz w:val="24"/>
        </w:rPr>
        <w:t>F.S.</w:t>
      </w:r>
      <w:r>
        <w:rPr>
          <w:spacing w:val="-3"/>
          <w:sz w:val="24"/>
        </w:rPr>
        <w:t> </w:t>
      </w:r>
      <w:r>
        <w:rPr>
          <w:sz w:val="24"/>
        </w:rPr>
        <w:t>&amp;</w:t>
      </w:r>
      <w:r>
        <w:rPr>
          <w:spacing w:val="-4"/>
          <w:sz w:val="24"/>
        </w:rPr>
        <w:t> </w:t>
      </w:r>
      <w:r>
        <w:rPr>
          <w:sz w:val="24"/>
        </w:rPr>
        <w:t>Ayadi,</w:t>
      </w:r>
      <w:r>
        <w:rPr>
          <w:spacing w:val="-3"/>
          <w:sz w:val="24"/>
        </w:rPr>
        <w:t> </w:t>
      </w:r>
      <w:r>
        <w:rPr>
          <w:sz w:val="24"/>
        </w:rPr>
        <w:t>O.F.</w:t>
      </w:r>
      <w:r>
        <w:rPr>
          <w:spacing w:val="40"/>
          <w:sz w:val="24"/>
        </w:rPr>
        <w:t> </w:t>
      </w:r>
      <w:r>
        <w:rPr>
          <w:sz w:val="24"/>
        </w:rPr>
        <w:t>(2008).</w:t>
      </w:r>
      <w:r>
        <w:rPr>
          <w:spacing w:val="-3"/>
          <w:sz w:val="24"/>
        </w:rPr>
        <w:t> </w:t>
      </w:r>
      <w:r>
        <w:rPr>
          <w:sz w:val="24"/>
        </w:rPr>
        <w:t>The</w:t>
      </w:r>
      <w:r>
        <w:rPr>
          <w:spacing w:val="-2"/>
          <w:sz w:val="24"/>
        </w:rPr>
        <w:t> </w:t>
      </w:r>
      <w:r>
        <w:rPr>
          <w:sz w:val="24"/>
        </w:rPr>
        <w:t>Impact</w:t>
      </w:r>
      <w:r>
        <w:rPr>
          <w:spacing w:val="-3"/>
          <w:sz w:val="24"/>
        </w:rPr>
        <w:t> </w:t>
      </w:r>
      <w:r>
        <w:rPr>
          <w:sz w:val="24"/>
        </w:rPr>
        <w:t>of</w:t>
      </w:r>
      <w:r>
        <w:rPr>
          <w:spacing w:val="-2"/>
          <w:sz w:val="24"/>
        </w:rPr>
        <w:t> </w:t>
      </w:r>
      <w:r>
        <w:rPr>
          <w:sz w:val="24"/>
        </w:rPr>
        <w:t>Nigeria’s</w:t>
      </w:r>
      <w:r>
        <w:rPr>
          <w:spacing w:val="-2"/>
          <w:sz w:val="24"/>
        </w:rPr>
        <w:t> </w:t>
      </w:r>
      <w:r>
        <w:rPr>
          <w:sz w:val="24"/>
        </w:rPr>
        <w:t>External</w:t>
      </w:r>
      <w:r>
        <w:rPr>
          <w:spacing w:val="-3"/>
          <w:sz w:val="24"/>
        </w:rPr>
        <w:t> </w:t>
      </w:r>
      <w:r>
        <w:rPr>
          <w:sz w:val="24"/>
        </w:rPr>
        <w:t>Debt</w:t>
      </w:r>
      <w:r>
        <w:rPr>
          <w:spacing w:val="-3"/>
          <w:sz w:val="24"/>
        </w:rPr>
        <w:t> </w:t>
      </w:r>
      <w:r>
        <w:rPr>
          <w:sz w:val="24"/>
        </w:rPr>
        <w:t>on</w:t>
      </w:r>
      <w:r>
        <w:rPr>
          <w:spacing w:val="-3"/>
          <w:sz w:val="24"/>
        </w:rPr>
        <w:t> </w:t>
      </w:r>
      <w:r>
        <w:rPr>
          <w:sz w:val="24"/>
        </w:rPr>
        <w:t>Economic Development.</w:t>
      </w:r>
      <w:r>
        <w:rPr>
          <w:spacing w:val="40"/>
          <w:sz w:val="24"/>
        </w:rPr>
        <w:t> </w:t>
      </w:r>
      <w:r>
        <w:rPr>
          <w:i/>
          <w:sz w:val="24"/>
        </w:rPr>
        <w:t>International Journal of Emerging Markets, Vol. 3, </w:t>
      </w:r>
      <w:r>
        <w:rPr>
          <w:sz w:val="24"/>
        </w:rPr>
        <w:t>285-301.</w:t>
      </w:r>
    </w:p>
    <w:p>
      <w:pPr>
        <w:pStyle w:val="BodyText"/>
        <w:tabs>
          <w:tab w:pos="7912" w:val="left" w:leader="none"/>
        </w:tabs>
        <w:ind w:left="711" w:right="627"/>
      </w:pPr>
      <w:r>
        <w:rPr/>
        <w:t>Acemoglu,</w:t>
      </w:r>
      <w:r>
        <w:rPr>
          <w:spacing w:val="-3"/>
        </w:rPr>
        <w:t> </w:t>
      </w:r>
      <w:r>
        <w:rPr/>
        <w:t>D.,</w:t>
      </w:r>
      <w:r>
        <w:rPr>
          <w:spacing w:val="-3"/>
        </w:rPr>
        <w:t> </w:t>
      </w:r>
      <w:r>
        <w:rPr/>
        <w:t>Johnson,</w:t>
      </w:r>
      <w:r>
        <w:rPr>
          <w:spacing w:val="-3"/>
        </w:rPr>
        <w:t> </w:t>
      </w:r>
      <w:r>
        <w:rPr/>
        <w:t>S.</w:t>
      </w:r>
      <w:r>
        <w:rPr>
          <w:spacing w:val="-2"/>
        </w:rPr>
        <w:t> </w:t>
      </w:r>
      <w:r>
        <w:rPr/>
        <w:t>&amp;</w:t>
      </w:r>
      <w:r>
        <w:rPr>
          <w:spacing w:val="-4"/>
        </w:rPr>
        <w:t> </w:t>
      </w:r>
      <w:r>
        <w:rPr/>
        <w:t>Robinson,</w:t>
      </w:r>
      <w:r>
        <w:rPr>
          <w:spacing w:val="-3"/>
        </w:rPr>
        <w:t> </w:t>
      </w:r>
      <w:r>
        <w:rPr/>
        <w:t>J.</w:t>
      </w:r>
      <w:r>
        <w:rPr>
          <w:spacing w:val="-3"/>
        </w:rPr>
        <w:t> </w:t>
      </w:r>
      <w:r>
        <w:rPr/>
        <w:t>(2001).</w:t>
      </w:r>
      <w:r>
        <w:rPr>
          <w:spacing w:val="-6"/>
        </w:rPr>
        <w:t> </w:t>
      </w:r>
      <w:r>
        <w:rPr/>
        <w:t>The</w:t>
      </w:r>
      <w:r>
        <w:rPr>
          <w:spacing w:val="-3"/>
        </w:rPr>
        <w:t> </w:t>
      </w:r>
      <w:r>
        <w:rPr/>
        <w:t>Colonial</w:t>
      </w:r>
      <w:r>
        <w:rPr>
          <w:spacing w:val="-3"/>
        </w:rPr>
        <w:t> </w:t>
      </w:r>
      <w:r>
        <w:rPr/>
        <w:t>Origins</w:t>
      </w:r>
      <w:r>
        <w:rPr>
          <w:spacing w:val="-3"/>
        </w:rPr>
        <w:t> </w:t>
      </w:r>
      <w:r>
        <w:rPr/>
        <w:t>of</w:t>
      </w:r>
      <w:r>
        <w:rPr>
          <w:spacing w:val="-1"/>
        </w:rPr>
        <w:t> </w:t>
      </w:r>
      <w:r>
        <w:rPr/>
        <w:t>Comparative</w:t>
      </w:r>
      <w:r>
        <w:rPr>
          <w:spacing w:val="80"/>
        </w:rPr>
        <w:t> </w:t>
      </w:r>
      <w:r>
        <w:rPr/>
        <w:t>Development:</w:t>
      </w:r>
      <w:r>
        <w:rPr>
          <w:spacing w:val="-3"/>
        </w:rPr>
        <w:t> </w:t>
      </w:r>
      <w:r>
        <w:rPr/>
        <w:t>an Empirical Investigation.</w:t>
      </w:r>
      <w:r>
        <w:rPr>
          <w:spacing w:val="40"/>
        </w:rPr>
        <w:t> </w:t>
      </w:r>
      <w:r>
        <w:rPr>
          <w:i/>
        </w:rPr>
        <w:t>American Economic Review, 91(5),</w:t>
      </w:r>
      <w:r>
        <w:rPr>
          <w:i/>
          <w:spacing w:val="40"/>
        </w:rPr>
        <w:t> </w:t>
      </w:r>
      <w:r>
        <w:rPr/>
        <w:t>1369–</w:t>
        <w:tab/>
      </w:r>
      <w:r>
        <w:rPr>
          <w:spacing w:val="-4"/>
        </w:rPr>
        <w:t>401.</w:t>
      </w:r>
    </w:p>
    <w:p>
      <w:pPr>
        <w:pStyle w:val="BodyText"/>
        <w:ind w:left="1431" w:hanging="721"/>
      </w:pPr>
      <w:r>
        <w:rPr/>
        <w:t>Acemoglu,</w:t>
      </w:r>
      <w:r>
        <w:rPr>
          <w:spacing w:val="-4"/>
        </w:rPr>
        <w:t> </w:t>
      </w:r>
      <w:r>
        <w:rPr/>
        <w:t>D.,</w:t>
      </w:r>
      <w:r>
        <w:rPr>
          <w:spacing w:val="-4"/>
        </w:rPr>
        <w:t> </w:t>
      </w:r>
      <w:r>
        <w:rPr/>
        <w:t>Johnson,</w:t>
      </w:r>
      <w:r>
        <w:rPr>
          <w:spacing w:val="-4"/>
        </w:rPr>
        <w:t> </w:t>
      </w:r>
      <w:r>
        <w:rPr/>
        <w:t>S.,</w:t>
      </w:r>
      <w:r>
        <w:rPr>
          <w:spacing w:val="-4"/>
        </w:rPr>
        <w:t> </w:t>
      </w:r>
      <w:r>
        <w:rPr/>
        <w:t>Robinson,</w:t>
      </w:r>
      <w:r>
        <w:rPr>
          <w:spacing w:val="-7"/>
        </w:rPr>
        <w:t> </w:t>
      </w:r>
      <w:r>
        <w:rPr/>
        <w:t>J.</w:t>
      </w:r>
      <w:r>
        <w:rPr>
          <w:spacing w:val="-4"/>
        </w:rPr>
        <w:t> </w:t>
      </w:r>
      <w:r>
        <w:rPr/>
        <w:t>and</w:t>
      </w:r>
      <w:r>
        <w:rPr>
          <w:spacing w:val="-4"/>
        </w:rPr>
        <w:t> </w:t>
      </w:r>
      <w:r>
        <w:rPr/>
        <w:t>Thaicharoen,</w:t>
      </w:r>
      <w:r>
        <w:rPr>
          <w:spacing w:val="-2"/>
        </w:rPr>
        <w:t> </w:t>
      </w:r>
      <w:r>
        <w:rPr/>
        <w:t>Y.(2005). Institutional</w:t>
      </w:r>
      <w:r>
        <w:rPr>
          <w:spacing w:val="-3"/>
        </w:rPr>
        <w:t> </w:t>
      </w:r>
      <w:r>
        <w:rPr/>
        <w:t>Causes,</w:t>
      </w:r>
      <w:r>
        <w:rPr>
          <w:spacing w:val="-4"/>
        </w:rPr>
        <w:t> </w:t>
      </w:r>
      <w:r>
        <w:rPr/>
        <w:t>Macroeconomic Symptoms: Volatility, Crises and Growth. </w:t>
      </w:r>
      <w:r>
        <w:rPr>
          <w:i/>
        </w:rPr>
        <w:t>Journal of Monetary Economics</w:t>
      </w:r>
      <w:r>
        <w:rPr/>
        <w:t>, </w:t>
      </w:r>
      <w:r>
        <w:rPr>
          <w:i/>
        </w:rPr>
        <w:t>50(1</w:t>
      </w:r>
      <w:r>
        <w:rPr/>
        <w:t>),</w:t>
      </w:r>
      <w:r>
        <w:rPr>
          <w:spacing w:val="40"/>
        </w:rPr>
        <w:t> </w:t>
      </w:r>
      <w:r>
        <w:rPr/>
        <w:t>49-123.</w:t>
      </w:r>
    </w:p>
    <w:p>
      <w:pPr>
        <w:tabs>
          <w:tab w:pos="2151" w:val="left" w:leader="none"/>
          <w:tab w:pos="4312" w:val="left" w:leader="none"/>
          <w:tab w:pos="9353" w:val="left" w:leader="none"/>
        </w:tabs>
        <w:spacing w:before="0"/>
        <w:ind w:left="711" w:right="487" w:firstLine="0"/>
        <w:jc w:val="left"/>
        <w:rPr>
          <w:sz w:val="24"/>
        </w:rPr>
      </w:pPr>
      <w:r>
        <w:rPr>
          <w:sz w:val="24"/>
        </w:rPr>
        <w:t>Ajayi, S. I. (1996). Capital flight and External Debt in Nigeria,</w:t>
      </w:r>
      <w:r>
        <w:rPr>
          <w:spacing w:val="19"/>
          <w:sz w:val="24"/>
        </w:rPr>
        <w:t> </w:t>
      </w:r>
      <w:r>
        <w:rPr>
          <w:i/>
          <w:sz w:val="24"/>
        </w:rPr>
        <w:t>World Research Paper No.35</w:t>
      </w:r>
      <w:r>
        <w:rPr>
          <w:sz w:val="24"/>
        </w:rPr>
        <w:t>, Nairobi</w:t>
      </w:r>
      <w:r>
        <w:rPr>
          <w:spacing w:val="40"/>
          <w:sz w:val="24"/>
        </w:rPr>
        <w:t> </w:t>
      </w:r>
      <w:r>
        <w:rPr>
          <w:sz w:val="24"/>
        </w:rPr>
        <w:t>Ajayi,</w:t>
      </w:r>
      <w:r>
        <w:rPr>
          <w:spacing w:val="-1"/>
          <w:sz w:val="24"/>
        </w:rPr>
        <w:t> </w:t>
      </w:r>
      <w:r>
        <w:rPr>
          <w:sz w:val="24"/>
        </w:rPr>
        <w:t>I.</w:t>
      </w:r>
      <w:r>
        <w:rPr>
          <w:spacing w:val="-3"/>
          <w:sz w:val="24"/>
        </w:rPr>
        <w:t> </w:t>
      </w:r>
      <w:r>
        <w:rPr>
          <w:sz w:val="24"/>
        </w:rPr>
        <w:t>S.</w:t>
      </w:r>
      <w:r>
        <w:rPr>
          <w:spacing w:val="-3"/>
          <w:sz w:val="24"/>
        </w:rPr>
        <w:t> </w:t>
      </w:r>
      <w:r>
        <w:rPr>
          <w:sz w:val="24"/>
        </w:rPr>
        <w:t>(1992).</w:t>
      </w:r>
      <w:r>
        <w:rPr>
          <w:spacing w:val="-3"/>
          <w:sz w:val="24"/>
        </w:rPr>
        <w:t> </w:t>
      </w:r>
      <w:r>
        <w:rPr>
          <w:sz w:val="24"/>
        </w:rPr>
        <w:t>An</w:t>
      </w:r>
      <w:r>
        <w:rPr>
          <w:spacing w:val="-3"/>
          <w:sz w:val="24"/>
        </w:rPr>
        <w:t> </w:t>
      </w:r>
      <w:r>
        <w:rPr>
          <w:sz w:val="24"/>
        </w:rPr>
        <w:t>Economic</w:t>
      </w:r>
      <w:r>
        <w:rPr>
          <w:spacing w:val="-4"/>
          <w:sz w:val="24"/>
        </w:rPr>
        <w:t> </w:t>
      </w:r>
      <w:r>
        <w:rPr>
          <w:sz w:val="24"/>
        </w:rPr>
        <w:t>Analysis</w:t>
      </w:r>
      <w:r>
        <w:rPr>
          <w:spacing w:val="-3"/>
          <w:sz w:val="24"/>
        </w:rPr>
        <w:t> </w:t>
      </w:r>
      <w:r>
        <w:rPr>
          <w:sz w:val="24"/>
        </w:rPr>
        <w:t>of</w:t>
      </w:r>
      <w:r>
        <w:rPr>
          <w:spacing w:val="-3"/>
          <w:sz w:val="24"/>
        </w:rPr>
        <w:t> </w:t>
      </w:r>
      <w:r>
        <w:rPr>
          <w:sz w:val="24"/>
        </w:rPr>
        <w:t>Capital</w:t>
      </w:r>
      <w:r>
        <w:rPr>
          <w:spacing w:val="-3"/>
          <w:sz w:val="24"/>
        </w:rPr>
        <w:t> </w:t>
      </w:r>
      <w:r>
        <w:rPr>
          <w:sz w:val="24"/>
        </w:rPr>
        <w:t>Flight</w:t>
      </w:r>
      <w:r>
        <w:rPr>
          <w:spacing w:val="-3"/>
          <w:sz w:val="24"/>
        </w:rPr>
        <w:t> </w:t>
      </w:r>
      <w:r>
        <w:rPr>
          <w:sz w:val="24"/>
        </w:rPr>
        <w:t>from</w:t>
      </w:r>
      <w:r>
        <w:rPr>
          <w:spacing w:val="-3"/>
          <w:sz w:val="24"/>
        </w:rPr>
        <w:t> </w:t>
      </w:r>
      <w:r>
        <w:rPr>
          <w:sz w:val="24"/>
        </w:rPr>
        <w:t>Nigeria.</w:t>
      </w:r>
      <w:r>
        <w:rPr>
          <w:spacing w:val="-1"/>
          <w:sz w:val="24"/>
        </w:rPr>
        <w:t> </w:t>
      </w:r>
      <w:r>
        <w:rPr>
          <w:i/>
          <w:sz w:val="24"/>
        </w:rPr>
        <w:t>World</w:t>
      </w:r>
      <w:r>
        <w:rPr>
          <w:i/>
          <w:spacing w:val="-3"/>
          <w:sz w:val="24"/>
        </w:rPr>
        <w:t> </w:t>
      </w:r>
      <w:r>
        <w:rPr>
          <w:i/>
          <w:sz w:val="24"/>
        </w:rPr>
        <w:t>Bank</w:t>
      </w:r>
      <w:r>
        <w:rPr>
          <w:i/>
          <w:spacing w:val="-2"/>
          <w:sz w:val="24"/>
        </w:rPr>
        <w:t> </w:t>
      </w:r>
      <w:r>
        <w:rPr>
          <w:i/>
          <w:sz w:val="24"/>
        </w:rPr>
        <w:t>Working</w:t>
      </w:r>
      <w:r>
        <w:rPr>
          <w:i/>
          <w:spacing w:val="80"/>
          <w:sz w:val="24"/>
        </w:rPr>
        <w:t> </w:t>
      </w:r>
      <w:r>
        <w:rPr>
          <w:i/>
          <w:sz w:val="24"/>
        </w:rPr>
        <w:t>Paper</w:t>
      </w:r>
      <w:r>
        <w:rPr>
          <w:i/>
          <w:spacing w:val="-3"/>
          <w:sz w:val="24"/>
        </w:rPr>
        <w:t> </w:t>
      </w:r>
      <w:r>
        <w:rPr>
          <w:sz w:val="24"/>
        </w:rPr>
        <w:t>993. Ajayi S. I. (2005). Managing capital flight: Ajayi I. S. (1997). An Analysis of External Debt and Capital Flight in the</w:t>
        <w:tab/>
        <w:t>Severely Indebted</w:t>
        <w:tab/>
        <w:t>Low-Income Countries in Sub-Saharan Africa.</w:t>
        <w:tab/>
      </w:r>
      <w:r>
        <w:rPr>
          <w:i/>
          <w:spacing w:val="-2"/>
          <w:sz w:val="24"/>
        </w:rPr>
        <w:t>International </w:t>
      </w:r>
      <w:r>
        <w:rPr>
          <w:i/>
          <w:sz w:val="24"/>
        </w:rPr>
        <w:t>Monetary Fund Working Paper </w:t>
      </w:r>
      <w:r>
        <w:rPr>
          <w:sz w:val="24"/>
        </w:rPr>
        <w:t>97/68.</w:t>
      </w:r>
    </w:p>
    <w:p>
      <w:pPr>
        <w:tabs>
          <w:tab w:pos="6472" w:val="left" w:leader="none"/>
        </w:tabs>
        <w:spacing w:before="1"/>
        <w:ind w:left="711" w:right="1193" w:firstLine="0"/>
        <w:jc w:val="left"/>
        <w:rPr>
          <w:sz w:val="24"/>
        </w:rPr>
      </w:pPr>
      <w:r>
        <w:rPr>
          <w:sz w:val="24"/>
        </w:rPr>
        <w:t>Issues and challenges.</w:t>
      </w:r>
      <w:r>
        <w:rPr>
          <w:spacing w:val="40"/>
          <w:sz w:val="24"/>
        </w:rPr>
        <w:t> </w:t>
      </w:r>
      <w:r>
        <w:rPr>
          <w:i/>
          <w:sz w:val="24"/>
        </w:rPr>
        <w:t>Paper presented at a Seminar</w:t>
        <w:tab/>
        <w:t>Titled; Capital flows and Economic Transformation</w:t>
      </w:r>
      <w:r>
        <w:rPr>
          <w:i/>
          <w:spacing w:val="-2"/>
          <w:sz w:val="24"/>
        </w:rPr>
        <w:t> </w:t>
      </w:r>
      <w:r>
        <w:rPr>
          <w:i/>
          <w:sz w:val="24"/>
        </w:rPr>
        <w:t>in</w:t>
      </w:r>
      <w:r>
        <w:rPr>
          <w:i/>
          <w:spacing w:val="-4"/>
          <w:sz w:val="24"/>
        </w:rPr>
        <w:t> </w:t>
      </w:r>
      <w:r>
        <w:rPr>
          <w:i/>
          <w:sz w:val="24"/>
        </w:rPr>
        <w:t>Nigeria</w:t>
      </w:r>
      <w:r>
        <w:rPr>
          <w:sz w:val="24"/>
        </w:rPr>
        <w:t>,</w:t>
      </w:r>
      <w:r>
        <w:rPr>
          <w:spacing w:val="-2"/>
          <w:sz w:val="24"/>
        </w:rPr>
        <w:t> </w:t>
      </w:r>
      <w:r>
        <w:rPr>
          <w:i/>
          <w:sz w:val="24"/>
        </w:rPr>
        <w:t>at</w:t>
      </w:r>
      <w:r>
        <w:rPr>
          <w:i/>
          <w:spacing w:val="-2"/>
          <w:sz w:val="24"/>
        </w:rPr>
        <w:t> </w:t>
      </w:r>
      <w:r>
        <w:rPr>
          <w:i/>
          <w:sz w:val="24"/>
        </w:rPr>
        <w:t>the</w:t>
      </w:r>
      <w:r>
        <w:rPr>
          <w:i/>
          <w:spacing w:val="-3"/>
          <w:sz w:val="24"/>
        </w:rPr>
        <w:t> </w:t>
      </w:r>
      <w:r>
        <w:rPr>
          <w:i/>
          <w:sz w:val="24"/>
        </w:rPr>
        <w:t>Central</w:t>
      </w:r>
      <w:r>
        <w:rPr>
          <w:i/>
          <w:spacing w:val="-2"/>
          <w:sz w:val="24"/>
        </w:rPr>
        <w:t> </w:t>
      </w:r>
      <w:r>
        <w:rPr>
          <w:i/>
          <w:sz w:val="24"/>
        </w:rPr>
        <w:t>Bank</w:t>
      </w:r>
      <w:r>
        <w:rPr>
          <w:i/>
          <w:spacing w:val="-3"/>
          <w:sz w:val="24"/>
        </w:rPr>
        <w:t> </w:t>
      </w:r>
      <w:r>
        <w:rPr>
          <w:i/>
          <w:sz w:val="24"/>
        </w:rPr>
        <w:t>of</w:t>
      </w:r>
      <w:r>
        <w:rPr>
          <w:i/>
          <w:spacing w:val="-2"/>
          <w:sz w:val="24"/>
        </w:rPr>
        <w:t> </w:t>
      </w:r>
      <w:r>
        <w:rPr>
          <w:i/>
          <w:sz w:val="24"/>
        </w:rPr>
        <w:t>Nigeria’s</w:t>
      </w:r>
      <w:r>
        <w:rPr>
          <w:i/>
          <w:spacing w:val="-3"/>
          <w:sz w:val="24"/>
        </w:rPr>
        <w:t> </w:t>
      </w:r>
      <w:r>
        <w:rPr>
          <w:i/>
          <w:sz w:val="24"/>
        </w:rPr>
        <w:t>5</w:t>
      </w:r>
      <w:r>
        <w:rPr>
          <w:i/>
          <w:sz w:val="24"/>
          <w:vertAlign w:val="superscript"/>
        </w:rPr>
        <w:t>th</w:t>
      </w:r>
      <w:r>
        <w:rPr>
          <w:i/>
          <w:spacing w:val="-1"/>
          <w:sz w:val="24"/>
          <w:vertAlign w:val="baseline"/>
        </w:rPr>
        <w:t> </w:t>
      </w:r>
      <w:r>
        <w:rPr>
          <w:i/>
          <w:sz w:val="24"/>
          <w:vertAlign w:val="baseline"/>
        </w:rPr>
        <w:t>Annual</w:t>
      </w:r>
      <w:r>
        <w:rPr>
          <w:i/>
          <w:spacing w:val="-2"/>
          <w:sz w:val="24"/>
          <w:vertAlign w:val="baseline"/>
        </w:rPr>
        <w:t> </w:t>
      </w:r>
      <w:r>
        <w:rPr>
          <w:i/>
          <w:sz w:val="24"/>
          <w:vertAlign w:val="baseline"/>
        </w:rPr>
        <w:t>Monetary</w:t>
      </w:r>
      <w:r>
        <w:rPr>
          <w:i/>
          <w:spacing w:val="-2"/>
          <w:sz w:val="24"/>
          <w:vertAlign w:val="baseline"/>
        </w:rPr>
        <w:t> </w:t>
      </w:r>
      <w:r>
        <w:rPr>
          <w:i/>
          <w:sz w:val="24"/>
          <w:vertAlign w:val="baseline"/>
        </w:rPr>
        <w:t>Policy</w:t>
      </w:r>
      <w:r>
        <w:rPr>
          <w:i/>
          <w:spacing w:val="-4"/>
          <w:sz w:val="24"/>
          <w:vertAlign w:val="baseline"/>
        </w:rPr>
        <w:t> </w:t>
      </w:r>
      <w:r>
        <w:rPr>
          <w:i/>
          <w:sz w:val="24"/>
          <w:vertAlign w:val="baseline"/>
        </w:rPr>
        <w:t>Conference</w:t>
      </w:r>
      <w:r>
        <w:rPr>
          <w:sz w:val="24"/>
          <w:vertAlign w:val="baseline"/>
        </w:rPr>
        <w:t>,</w:t>
      </w:r>
    </w:p>
    <w:p>
      <w:pPr>
        <w:pStyle w:val="BodyText"/>
        <w:ind w:left="1431"/>
      </w:pPr>
      <w:r>
        <w:rPr/>
        <w:t>CBN</w:t>
      </w:r>
      <w:r>
        <w:rPr>
          <w:spacing w:val="-1"/>
        </w:rPr>
        <w:t> </w:t>
      </w:r>
      <w:r>
        <w:rPr/>
        <w:t>Conference</w:t>
      </w:r>
      <w:r>
        <w:rPr>
          <w:spacing w:val="-2"/>
        </w:rPr>
        <w:t> </w:t>
      </w:r>
      <w:r>
        <w:rPr/>
        <w:t>Hall,</w:t>
      </w:r>
      <w:r>
        <w:rPr>
          <w:spacing w:val="-1"/>
        </w:rPr>
        <w:t> </w:t>
      </w:r>
      <w:r>
        <w:rPr/>
        <w:t>Abuja</w:t>
      </w:r>
      <w:r>
        <w:rPr>
          <w:spacing w:val="-1"/>
        </w:rPr>
        <w:t> </w:t>
      </w:r>
      <w:r>
        <w:rPr/>
        <w:t>10-</w:t>
      </w:r>
      <w:r>
        <w:rPr>
          <w:spacing w:val="-5"/>
        </w:rPr>
        <w:t>11</w:t>
      </w:r>
    </w:p>
    <w:p>
      <w:pPr>
        <w:spacing w:before="0"/>
        <w:ind w:left="711" w:right="585" w:firstLine="0"/>
        <w:jc w:val="left"/>
        <w:rPr>
          <w:sz w:val="24"/>
        </w:rPr>
      </w:pPr>
      <w:r>
        <w:rPr>
          <w:sz w:val="24"/>
        </w:rPr>
        <w:t>Ali</w:t>
      </w:r>
      <w:r>
        <w:rPr>
          <w:spacing w:val="-4"/>
          <w:sz w:val="24"/>
        </w:rPr>
        <w:t> </w:t>
      </w:r>
      <w:r>
        <w:rPr>
          <w:sz w:val="24"/>
        </w:rPr>
        <w:t>and</w:t>
      </w:r>
      <w:r>
        <w:rPr>
          <w:spacing w:val="-4"/>
          <w:sz w:val="24"/>
        </w:rPr>
        <w:t> </w:t>
      </w:r>
      <w:r>
        <w:rPr>
          <w:sz w:val="24"/>
        </w:rPr>
        <w:t>Benard</w:t>
      </w:r>
      <w:r>
        <w:rPr>
          <w:spacing w:val="-4"/>
          <w:sz w:val="24"/>
        </w:rPr>
        <w:t> </w:t>
      </w:r>
      <w:r>
        <w:rPr>
          <w:sz w:val="24"/>
        </w:rPr>
        <w:t>Walter,</w:t>
      </w:r>
      <w:r>
        <w:rPr>
          <w:spacing w:val="-4"/>
          <w:sz w:val="24"/>
        </w:rPr>
        <w:t> </w:t>
      </w:r>
      <w:r>
        <w:rPr>
          <w:sz w:val="24"/>
        </w:rPr>
        <w:t>(2011).</w:t>
      </w:r>
      <w:r>
        <w:rPr>
          <w:spacing w:val="-4"/>
          <w:sz w:val="24"/>
        </w:rPr>
        <w:t> </w:t>
      </w:r>
      <w:r>
        <w:rPr>
          <w:sz w:val="24"/>
        </w:rPr>
        <w:t>Causes</w:t>
      </w:r>
      <w:r>
        <w:rPr>
          <w:spacing w:val="-4"/>
          <w:sz w:val="24"/>
        </w:rPr>
        <w:t> </w:t>
      </w:r>
      <w:r>
        <w:rPr>
          <w:sz w:val="24"/>
        </w:rPr>
        <w:t>of</w:t>
      </w:r>
      <w:r>
        <w:rPr>
          <w:spacing w:val="-4"/>
          <w:sz w:val="24"/>
        </w:rPr>
        <w:t> </w:t>
      </w:r>
      <w:r>
        <w:rPr>
          <w:sz w:val="24"/>
        </w:rPr>
        <w:t>Capital</w:t>
      </w:r>
      <w:r>
        <w:rPr>
          <w:spacing w:val="-2"/>
          <w:sz w:val="24"/>
        </w:rPr>
        <w:t> </w:t>
      </w:r>
      <w:r>
        <w:rPr>
          <w:sz w:val="24"/>
        </w:rPr>
        <w:t>Flight</w:t>
      </w:r>
      <w:r>
        <w:rPr>
          <w:spacing w:val="-4"/>
          <w:sz w:val="24"/>
        </w:rPr>
        <w:t> </w:t>
      </w:r>
      <w:r>
        <w:rPr>
          <w:sz w:val="24"/>
        </w:rPr>
        <w:t>from</w:t>
      </w:r>
      <w:r>
        <w:rPr>
          <w:spacing w:val="-4"/>
          <w:sz w:val="24"/>
        </w:rPr>
        <w:t> </w:t>
      </w:r>
      <w:r>
        <w:rPr>
          <w:sz w:val="24"/>
        </w:rPr>
        <w:t>Sub-Saharan</w:t>
      </w:r>
      <w:r>
        <w:rPr>
          <w:spacing w:val="-2"/>
          <w:sz w:val="24"/>
        </w:rPr>
        <w:t> </w:t>
      </w:r>
      <w:r>
        <w:rPr>
          <w:sz w:val="24"/>
        </w:rPr>
        <w:t>Africa.</w:t>
      </w:r>
      <w:r>
        <w:rPr>
          <w:spacing w:val="-2"/>
          <w:sz w:val="24"/>
        </w:rPr>
        <w:t> </w:t>
      </w:r>
      <w:r>
        <w:rPr>
          <w:i/>
          <w:sz w:val="24"/>
        </w:rPr>
        <w:t>University</w:t>
      </w:r>
      <w:r>
        <w:rPr>
          <w:i/>
          <w:spacing w:val="-4"/>
          <w:sz w:val="24"/>
        </w:rPr>
        <w:t> </w:t>
      </w:r>
      <w:r>
        <w:rPr>
          <w:i/>
          <w:sz w:val="24"/>
        </w:rPr>
        <w:t>of Manchester; </w:t>
      </w:r>
      <w:r>
        <w:rPr>
          <w:sz w:val="24"/>
        </w:rPr>
        <w:t>F20, E6, G11, 055</w:t>
      </w:r>
    </w:p>
    <w:p>
      <w:pPr>
        <w:spacing w:before="0"/>
        <w:ind w:left="711" w:right="585" w:firstLine="0"/>
        <w:jc w:val="left"/>
        <w:rPr>
          <w:sz w:val="24"/>
        </w:rPr>
      </w:pPr>
      <w:r>
        <w:rPr>
          <w:sz w:val="24"/>
        </w:rPr>
        <w:t>Almounsor,</w:t>
      </w:r>
      <w:r>
        <w:rPr>
          <w:spacing w:val="-3"/>
          <w:sz w:val="24"/>
        </w:rPr>
        <w:t> </w:t>
      </w:r>
      <w:r>
        <w:rPr>
          <w:sz w:val="24"/>
        </w:rPr>
        <w:t>A.</w:t>
      </w:r>
      <w:r>
        <w:rPr>
          <w:spacing w:val="-3"/>
          <w:sz w:val="24"/>
        </w:rPr>
        <w:t> </w:t>
      </w:r>
      <w:r>
        <w:rPr>
          <w:sz w:val="24"/>
        </w:rPr>
        <w:t>(2005).</w:t>
      </w:r>
      <w:r>
        <w:rPr>
          <w:spacing w:val="-4"/>
          <w:sz w:val="24"/>
        </w:rPr>
        <w:t> </w:t>
      </w:r>
      <w:r>
        <w:rPr>
          <w:i/>
          <w:sz w:val="24"/>
        </w:rPr>
        <w:t>A</w:t>
      </w:r>
      <w:r>
        <w:rPr>
          <w:i/>
          <w:spacing w:val="-2"/>
          <w:sz w:val="24"/>
        </w:rPr>
        <w:t> </w:t>
      </w:r>
      <w:r>
        <w:rPr>
          <w:i/>
          <w:sz w:val="24"/>
        </w:rPr>
        <w:t>Development</w:t>
      </w:r>
      <w:r>
        <w:rPr>
          <w:i/>
          <w:spacing w:val="-3"/>
          <w:sz w:val="24"/>
        </w:rPr>
        <w:t> </w:t>
      </w:r>
      <w:r>
        <w:rPr>
          <w:i/>
          <w:sz w:val="24"/>
        </w:rPr>
        <w:t>Comparative</w:t>
      </w:r>
      <w:r>
        <w:rPr>
          <w:i/>
          <w:spacing w:val="-4"/>
          <w:sz w:val="24"/>
        </w:rPr>
        <w:t> </w:t>
      </w:r>
      <w:r>
        <w:rPr>
          <w:i/>
          <w:sz w:val="24"/>
        </w:rPr>
        <w:t>Approach</w:t>
      </w:r>
      <w:r>
        <w:rPr>
          <w:i/>
          <w:spacing w:val="-3"/>
          <w:sz w:val="24"/>
        </w:rPr>
        <w:t> </w:t>
      </w:r>
      <w:r>
        <w:rPr>
          <w:i/>
          <w:sz w:val="24"/>
        </w:rPr>
        <w:t>to</w:t>
      </w:r>
      <w:r>
        <w:rPr>
          <w:i/>
          <w:spacing w:val="-3"/>
          <w:sz w:val="24"/>
        </w:rPr>
        <w:t> </w:t>
      </w:r>
      <w:r>
        <w:rPr>
          <w:i/>
          <w:sz w:val="24"/>
        </w:rPr>
        <w:t>Capital</w:t>
      </w:r>
      <w:r>
        <w:rPr>
          <w:i/>
          <w:spacing w:val="-3"/>
          <w:sz w:val="24"/>
        </w:rPr>
        <w:t> </w:t>
      </w:r>
      <w:r>
        <w:rPr>
          <w:i/>
          <w:sz w:val="24"/>
        </w:rPr>
        <w:t>Flight:</w:t>
      </w:r>
      <w:r>
        <w:rPr>
          <w:i/>
          <w:spacing w:val="-3"/>
          <w:sz w:val="24"/>
        </w:rPr>
        <w:t> </w:t>
      </w:r>
      <w:r>
        <w:rPr>
          <w:i/>
          <w:sz w:val="24"/>
        </w:rPr>
        <w:t>the</w:t>
      </w:r>
      <w:r>
        <w:rPr>
          <w:i/>
          <w:spacing w:val="-5"/>
          <w:sz w:val="24"/>
        </w:rPr>
        <w:t> </w:t>
      </w:r>
      <w:r>
        <w:rPr>
          <w:i/>
          <w:sz w:val="24"/>
        </w:rPr>
        <w:t>Case</w:t>
      </w:r>
      <w:r>
        <w:rPr>
          <w:i/>
          <w:spacing w:val="-4"/>
          <w:sz w:val="24"/>
        </w:rPr>
        <w:t> </w:t>
      </w:r>
      <w:r>
        <w:rPr>
          <w:i/>
          <w:sz w:val="24"/>
        </w:rPr>
        <w:t>of</w:t>
      </w:r>
      <w:r>
        <w:rPr>
          <w:i/>
          <w:spacing w:val="-3"/>
          <w:sz w:val="24"/>
        </w:rPr>
        <w:t> </w:t>
      </w:r>
      <w:r>
        <w:rPr>
          <w:i/>
          <w:sz w:val="24"/>
        </w:rPr>
        <w:t>the</w:t>
      </w:r>
      <w:r>
        <w:rPr>
          <w:i/>
          <w:spacing w:val="-4"/>
          <w:sz w:val="24"/>
        </w:rPr>
        <w:t> </w:t>
      </w:r>
      <w:r>
        <w:rPr>
          <w:i/>
          <w:sz w:val="24"/>
        </w:rPr>
        <w:t>Middle East and North Africa</w:t>
      </w:r>
      <w:r>
        <w:rPr>
          <w:sz w:val="24"/>
        </w:rPr>
        <w:t>, </w:t>
      </w:r>
      <w:r>
        <w:rPr>
          <w:i/>
          <w:sz w:val="24"/>
        </w:rPr>
        <w:t>1970-2002. </w:t>
      </w:r>
      <w:r>
        <w:rPr>
          <w:sz w:val="24"/>
        </w:rPr>
        <w:t>In Gerald Epstein Edition), Capital Flight and Capital Controls in Developing Countries, 234–261. Northampton, MA: Edward Elgar.</w:t>
      </w:r>
    </w:p>
    <w:p>
      <w:pPr>
        <w:tabs>
          <w:tab w:pos="5032" w:val="left" w:leader="none"/>
        </w:tabs>
        <w:spacing w:before="0"/>
        <w:ind w:left="711" w:right="726" w:firstLine="0"/>
        <w:jc w:val="left"/>
        <w:rPr>
          <w:sz w:val="24"/>
        </w:rPr>
      </w:pPr>
      <w:r>
        <w:rPr>
          <w:sz w:val="24"/>
        </w:rPr>
        <w:t>Anthony</w:t>
      </w:r>
      <w:r>
        <w:rPr>
          <w:spacing w:val="-4"/>
          <w:sz w:val="24"/>
        </w:rPr>
        <w:t> </w:t>
      </w:r>
      <w:r>
        <w:rPr>
          <w:sz w:val="24"/>
        </w:rPr>
        <w:t>&amp;</w:t>
      </w:r>
      <w:r>
        <w:rPr>
          <w:spacing w:val="-4"/>
          <w:sz w:val="24"/>
        </w:rPr>
        <w:t> </w:t>
      </w:r>
      <w:r>
        <w:rPr>
          <w:sz w:val="24"/>
        </w:rPr>
        <w:t>Hallet</w:t>
      </w:r>
      <w:r>
        <w:rPr>
          <w:spacing w:val="-3"/>
          <w:sz w:val="24"/>
        </w:rPr>
        <w:t> </w:t>
      </w:r>
      <w:r>
        <w:rPr>
          <w:sz w:val="24"/>
        </w:rPr>
        <w:t>(1990).</w:t>
      </w:r>
      <w:r>
        <w:rPr>
          <w:spacing w:val="-3"/>
          <w:sz w:val="24"/>
        </w:rPr>
        <w:t> </w:t>
      </w:r>
      <w:r>
        <w:rPr>
          <w:sz w:val="24"/>
        </w:rPr>
        <w:t>How</w:t>
      </w:r>
      <w:r>
        <w:rPr>
          <w:spacing w:val="-3"/>
          <w:sz w:val="24"/>
        </w:rPr>
        <w:t> </w:t>
      </w:r>
      <w:r>
        <w:rPr>
          <w:sz w:val="24"/>
        </w:rPr>
        <w:t>Successfully</w:t>
      </w:r>
      <w:r>
        <w:rPr>
          <w:spacing w:val="-7"/>
          <w:sz w:val="24"/>
        </w:rPr>
        <w:t> </w:t>
      </w:r>
      <w:r>
        <w:rPr>
          <w:sz w:val="24"/>
        </w:rPr>
        <w:t>Do</w:t>
      </w:r>
      <w:r>
        <w:rPr>
          <w:spacing w:val="-2"/>
          <w:sz w:val="24"/>
        </w:rPr>
        <w:t> </w:t>
      </w:r>
      <w:r>
        <w:rPr>
          <w:sz w:val="24"/>
        </w:rPr>
        <w:t>We</w:t>
      </w:r>
      <w:r>
        <w:rPr>
          <w:spacing w:val="-3"/>
          <w:sz w:val="24"/>
        </w:rPr>
        <w:t> </w:t>
      </w:r>
      <w:r>
        <w:rPr>
          <w:sz w:val="24"/>
        </w:rPr>
        <w:t>Measure</w:t>
      </w:r>
      <w:r>
        <w:rPr>
          <w:spacing w:val="-4"/>
          <w:sz w:val="24"/>
        </w:rPr>
        <w:t> </w:t>
      </w:r>
      <w:r>
        <w:rPr>
          <w:sz w:val="24"/>
        </w:rPr>
        <w:t>Capital</w:t>
      </w:r>
      <w:r>
        <w:rPr>
          <w:spacing w:val="-1"/>
          <w:sz w:val="24"/>
        </w:rPr>
        <w:t> </w:t>
      </w:r>
      <w:r>
        <w:rPr>
          <w:sz w:val="24"/>
        </w:rPr>
        <w:t>Flight? The</w:t>
      </w:r>
      <w:r>
        <w:rPr>
          <w:spacing w:val="-4"/>
          <w:sz w:val="24"/>
        </w:rPr>
        <w:t> </w:t>
      </w:r>
      <w:r>
        <w:rPr>
          <w:sz w:val="24"/>
        </w:rPr>
        <w:t>Empical</w:t>
      </w:r>
      <w:r>
        <w:rPr>
          <w:spacing w:val="-3"/>
          <w:sz w:val="24"/>
        </w:rPr>
        <w:t> </w:t>
      </w:r>
      <w:r>
        <w:rPr>
          <w:sz w:val="24"/>
        </w:rPr>
        <w:t>Evidence</w:t>
      </w:r>
      <w:r>
        <w:rPr>
          <w:spacing w:val="-3"/>
          <w:sz w:val="24"/>
        </w:rPr>
        <w:t> </w:t>
      </w:r>
      <w:r>
        <w:rPr>
          <w:sz w:val="24"/>
        </w:rPr>
        <w:t>from Five Developing Countries. </w:t>
      </w:r>
      <w:r>
        <w:rPr>
          <w:i/>
          <w:sz w:val="24"/>
        </w:rPr>
        <w:t>Journal of</w:t>
        <w:tab/>
        <w:t>Development Studies, 28(3), </w:t>
      </w:r>
      <w:r>
        <w:rPr>
          <w:sz w:val="24"/>
        </w:rPr>
        <w:t>538-556.</w:t>
      </w:r>
    </w:p>
    <w:p>
      <w:pPr>
        <w:tabs>
          <w:tab w:pos="8633" w:val="left" w:leader="none"/>
        </w:tabs>
        <w:spacing w:before="0"/>
        <w:ind w:left="711" w:right="604" w:firstLine="0"/>
        <w:jc w:val="left"/>
        <w:rPr>
          <w:sz w:val="24"/>
        </w:rPr>
      </w:pPr>
      <w:r>
        <w:rPr>
          <w:sz w:val="24"/>
        </w:rPr>
        <w:t>Ayadi, (2008). Econometric Analysis of Capital Flight in Developing Countries.</w:t>
        <w:tab/>
      </w:r>
      <w:r>
        <w:rPr>
          <w:i/>
          <w:sz w:val="24"/>
        </w:rPr>
        <w:t>8</w:t>
      </w:r>
      <w:r>
        <w:rPr>
          <w:i/>
          <w:sz w:val="24"/>
          <w:vertAlign w:val="superscript"/>
        </w:rPr>
        <w:t>th</w:t>
      </w:r>
      <w:r>
        <w:rPr>
          <w:i/>
          <w:spacing w:val="-11"/>
          <w:sz w:val="24"/>
          <w:vertAlign w:val="baseline"/>
        </w:rPr>
        <w:t> </w:t>
      </w:r>
      <w:r>
        <w:rPr>
          <w:i/>
          <w:sz w:val="24"/>
          <w:vertAlign w:val="baseline"/>
        </w:rPr>
        <w:t>Global</w:t>
      </w:r>
      <w:r>
        <w:rPr>
          <w:i/>
          <w:spacing w:val="-13"/>
          <w:sz w:val="24"/>
          <w:vertAlign w:val="baseline"/>
        </w:rPr>
        <w:t> </w:t>
      </w:r>
      <w:r>
        <w:rPr>
          <w:i/>
          <w:sz w:val="24"/>
          <w:vertAlign w:val="baseline"/>
        </w:rPr>
        <w:t>Conference</w:t>
      </w:r>
      <w:r>
        <w:rPr>
          <w:i/>
          <w:spacing w:val="-9"/>
          <w:sz w:val="24"/>
          <w:vertAlign w:val="baseline"/>
        </w:rPr>
        <w:t> </w:t>
      </w:r>
      <w:r>
        <w:rPr>
          <w:i/>
          <w:sz w:val="24"/>
          <w:vertAlign w:val="baseline"/>
        </w:rPr>
        <w:t>&amp; Economics</w:t>
      </w:r>
      <w:r>
        <w:rPr>
          <w:sz w:val="24"/>
          <w:vertAlign w:val="baseline"/>
        </w:rPr>
        <w:t>. 978-09742114-5-9</w:t>
      </w:r>
    </w:p>
    <w:p>
      <w:pPr>
        <w:tabs>
          <w:tab w:pos="4312" w:val="left" w:leader="none"/>
          <w:tab w:pos="7912" w:val="left" w:leader="none"/>
        </w:tabs>
        <w:spacing w:before="0"/>
        <w:ind w:left="711" w:right="554" w:firstLine="0"/>
        <w:jc w:val="left"/>
        <w:rPr>
          <w:sz w:val="24"/>
        </w:rPr>
      </w:pPr>
      <w:r>
        <w:rPr>
          <w:sz w:val="24"/>
        </w:rPr>
        <w:t>Ayadi,</w:t>
      </w:r>
      <w:r>
        <w:rPr>
          <w:spacing w:val="-3"/>
          <w:sz w:val="24"/>
        </w:rPr>
        <w:t> </w:t>
      </w:r>
      <w:r>
        <w:rPr>
          <w:sz w:val="24"/>
        </w:rPr>
        <w:t>O.F.</w:t>
      </w:r>
      <w:r>
        <w:rPr>
          <w:spacing w:val="-3"/>
          <w:sz w:val="24"/>
        </w:rPr>
        <w:t> </w:t>
      </w:r>
      <w:r>
        <w:rPr>
          <w:sz w:val="24"/>
        </w:rPr>
        <w:t>Adegbite,</w:t>
      </w:r>
      <w:r>
        <w:rPr>
          <w:spacing w:val="-3"/>
          <w:sz w:val="24"/>
        </w:rPr>
        <w:t> </w:t>
      </w:r>
      <w:r>
        <w:rPr>
          <w:sz w:val="24"/>
        </w:rPr>
        <w:t>E.O.</w:t>
      </w:r>
      <w:r>
        <w:rPr>
          <w:spacing w:val="-3"/>
          <w:sz w:val="24"/>
        </w:rPr>
        <w:t> </w:t>
      </w:r>
      <w:r>
        <w:rPr>
          <w:sz w:val="24"/>
        </w:rPr>
        <w:t>&amp;</w:t>
      </w:r>
      <w:r>
        <w:rPr>
          <w:spacing w:val="-6"/>
          <w:sz w:val="24"/>
        </w:rPr>
        <w:t> </w:t>
      </w:r>
      <w:r>
        <w:rPr>
          <w:sz w:val="24"/>
        </w:rPr>
        <w:t>Ayadi,</w:t>
      </w:r>
      <w:r>
        <w:rPr>
          <w:spacing w:val="-3"/>
          <w:sz w:val="24"/>
        </w:rPr>
        <w:t> </w:t>
      </w:r>
      <w:r>
        <w:rPr>
          <w:sz w:val="24"/>
        </w:rPr>
        <w:t>F.S.</w:t>
      </w:r>
      <w:r>
        <w:rPr>
          <w:spacing w:val="-3"/>
          <w:sz w:val="24"/>
        </w:rPr>
        <w:t> </w:t>
      </w:r>
      <w:r>
        <w:rPr>
          <w:sz w:val="24"/>
        </w:rPr>
        <w:t>(2008)</w:t>
      </w:r>
      <w:r>
        <w:rPr>
          <w:spacing w:val="-2"/>
          <w:sz w:val="24"/>
        </w:rPr>
        <w:t> </w:t>
      </w:r>
      <w:r>
        <w:rPr>
          <w:sz w:val="24"/>
        </w:rPr>
        <w:t>Structural</w:t>
      </w:r>
      <w:r>
        <w:rPr>
          <w:spacing w:val="-3"/>
          <w:sz w:val="24"/>
        </w:rPr>
        <w:t> </w:t>
      </w:r>
      <w:r>
        <w:rPr>
          <w:sz w:val="24"/>
        </w:rPr>
        <w:t>Adjustment,</w:t>
      </w:r>
      <w:r>
        <w:rPr>
          <w:spacing w:val="-3"/>
          <w:sz w:val="24"/>
        </w:rPr>
        <w:t> </w:t>
      </w:r>
      <w:r>
        <w:rPr>
          <w:sz w:val="24"/>
        </w:rPr>
        <w:t>Financial</w:t>
      </w:r>
      <w:r>
        <w:rPr>
          <w:spacing w:val="-3"/>
          <w:sz w:val="24"/>
        </w:rPr>
        <w:t> </w:t>
      </w:r>
      <w:r>
        <w:rPr>
          <w:sz w:val="24"/>
        </w:rPr>
        <w:t>Sector</w:t>
      </w:r>
      <w:r>
        <w:rPr>
          <w:spacing w:val="-3"/>
          <w:sz w:val="24"/>
        </w:rPr>
        <w:t> </w:t>
      </w:r>
      <w:r>
        <w:rPr>
          <w:sz w:val="24"/>
        </w:rPr>
        <w:t>Development</w:t>
      </w:r>
      <w:r>
        <w:rPr>
          <w:spacing w:val="-3"/>
          <w:sz w:val="24"/>
        </w:rPr>
        <w:t> </w:t>
      </w:r>
      <w:r>
        <w:rPr>
          <w:sz w:val="24"/>
        </w:rPr>
        <w:t>and Economic Prosperity in Nigeria.</w:t>
        <w:tab/>
      </w:r>
      <w:r>
        <w:rPr>
          <w:i/>
          <w:sz w:val="24"/>
        </w:rPr>
        <w:t>International</w:t>
      </w:r>
      <w:r>
        <w:rPr>
          <w:i/>
          <w:spacing w:val="80"/>
          <w:sz w:val="24"/>
        </w:rPr>
        <w:t> </w:t>
      </w:r>
      <w:r>
        <w:rPr>
          <w:i/>
          <w:sz w:val="24"/>
        </w:rPr>
        <w:t>Research Journal of</w:t>
        <w:tab/>
        <w:t>Finance and Economics</w:t>
      </w:r>
      <w:r>
        <w:rPr>
          <w:sz w:val="24"/>
        </w:rPr>
        <w:t>, Issue 15, 318-331.</w:t>
      </w:r>
    </w:p>
    <w:p>
      <w:pPr>
        <w:tabs>
          <w:tab w:pos="5032" w:val="left" w:leader="none"/>
        </w:tabs>
        <w:spacing w:before="1"/>
        <w:ind w:left="711" w:right="565" w:firstLine="0"/>
        <w:jc w:val="left"/>
        <w:rPr>
          <w:sz w:val="24"/>
        </w:rPr>
      </w:pPr>
      <w:r>
        <w:rPr>
          <w:sz w:val="24"/>
        </w:rPr>
        <w:t>Barrell,</w:t>
      </w:r>
      <w:r>
        <w:rPr>
          <w:spacing w:val="-3"/>
          <w:sz w:val="24"/>
        </w:rPr>
        <w:t> </w:t>
      </w:r>
      <w:r>
        <w:rPr>
          <w:sz w:val="24"/>
        </w:rPr>
        <w:t>R.</w:t>
      </w:r>
      <w:r>
        <w:rPr>
          <w:spacing w:val="-2"/>
          <w:sz w:val="24"/>
        </w:rPr>
        <w:t> </w:t>
      </w:r>
      <w:r>
        <w:rPr>
          <w:sz w:val="24"/>
        </w:rPr>
        <w:t>&amp;</w:t>
      </w:r>
      <w:r>
        <w:rPr>
          <w:spacing w:val="-4"/>
          <w:sz w:val="24"/>
        </w:rPr>
        <w:t> </w:t>
      </w:r>
      <w:r>
        <w:rPr>
          <w:sz w:val="24"/>
        </w:rPr>
        <w:t>Weale,</w:t>
      </w:r>
      <w:r>
        <w:rPr>
          <w:spacing w:val="-3"/>
          <w:sz w:val="24"/>
        </w:rPr>
        <w:t> </w:t>
      </w:r>
      <w:r>
        <w:rPr>
          <w:sz w:val="24"/>
        </w:rPr>
        <w:t>M.</w:t>
      </w:r>
      <w:r>
        <w:rPr>
          <w:spacing w:val="-3"/>
          <w:sz w:val="24"/>
        </w:rPr>
        <w:t> </w:t>
      </w:r>
      <w:r>
        <w:rPr>
          <w:sz w:val="24"/>
        </w:rPr>
        <w:t>(2003).</w:t>
      </w:r>
      <w:r>
        <w:rPr>
          <w:spacing w:val="-3"/>
          <w:sz w:val="24"/>
        </w:rPr>
        <w:t> </w:t>
      </w:r>
      <w:r>
        <w:rPr>
          <w:sz w:val="24"/>
        </w:rPr>
        <w:t>Designing</w:t>
      </w:r>
      <w:r>
        <w:rPr>
          <w:spacing w:val="-5"/>
          <w:sz w:val="24"/>
        </w:rPr>
        <w:t> </w:t>
      </w:r>
      <w:r>
        <w:rPr>
          <w:sz w:val="24"/>
        </w:rPr>
        <w:t>and</w:t>
      </w:r>
      <w:r>
        <w:rPr>
          <w:spacing w:val="-3"/>
          <w:sz w:val="24"/>
        </w:rPr>
        <w:t> </w:t>
      </w:r>
      <w:r>
        <w:rPr>
          <w:sz w:val="24"/>
        </w:rPr>
        <w:t>Choosing</w:t>
      </w:r>
      <w:r>
        <w:rPr>
          <w:spacing w:val="-5"/>
          <w:sz w:val="24"/>
        </w:rPr>
        <w:t> </w:t>
      </w:r>
      <w:r>
        <w:rPr>
          <w:sz w:val="24"/>
        </w:rPr>
        <w:t>Macroeconomic</w:t>
      </w:r>
      <w:r>
        <w:rPr>
          <w:spacing w:val="-4"/>
          <w:sz w:val="24"/>
        </w:rPr>
        <w:t> </w:t>
      </w:r>
      <w:r>
        <w:rPr>
          <w:sz w:val="24"/>
        </w:rPr>
        <w:t>Frameworks:</w:t>
      </w:r>
      <w:r>
        <w:rPr>
          <w:spacing w:val="-3"/>
          <w:sz w:val="24"/>
        </w:rPr>
        <w:t> </w:t>
      </w:r>
      <w:r>
        <w:rPr>
          <w:sz w:val="24"/>
        </w:rPr>
        <w:t>The</w:t>
      </w:r>
      <w:r>
        <w:rPr>
          <w:spacing w:val="-3"/>
          <w:sz w:val="24"/>
        </w:rPr>
        <w:t> </w:t>
      </w:r>
      <w:r>
        <w:rPr>
          <w:sz w:val="24"/>
        </w:rPr>
        <w:t>Position</w:t>
      </w:r>
      <w:r>
        <w:rPr>
          <w:spacing w:val="-3"/>
          <w:sz w:val="24"/>
        </w:rPr>
        <w:t> </w:t>
      </w:r>
      <w:r>
        <w:rPr>
          <w:sz w:val="24"/>
        </w:rPr>
        <w:t>of</w:t>
      </w:r>
      <w:r>
        <w:rPr>
          <w:spacing w:val="-4"/>
          <w:sz w:val="24"/>
        </w:rPr>
        <w:t> </w:t>
      </w:r>
      <w:r>
        <w:rPr>
          <w:sz w:val="24"/>
        </w:rPr>
        <w:t>the UK after Four Years of the Euro</w:t>
      </w:r>
      <w:r>
        <w:rPr>
          <w:i/>
          <w:sz w:val="24"/>
        </w:rPr>
        <w:t>. Oxford</w:t>
        <w:tab/>
        <w:t>Review of Economic Policy, 19</w:t>
      </w:r>
      <w:r>
        <w:rPr>
          <w:sz w:val="24"/>
        </w:rPr>
        <w:t>, 132-148.</w:t>
      </w:r>
    </w:p>
    <w:p>
      <w:pPr>
        <w:pStyle w:val="BodyText"/>
        <w:tabs>
          <w:tab w:pos="5032" w:val="left" w:leader="none"/>
        </w:tabs>
        <w:ind w:left="711" w:right="686"/>
      </w:pPr>
      <w:r>
        <w:rPr/>
        <w:t>Bevan,</w:t>
      </w:r>
      <w:r>
        <w:rPr>
          <w:spacing w:val="-1"/>
        </w:rPr>
        <w:t> </w:t>
      </w:r>
      <w:r>
        <w:rPr/>
        <w:t>D.</w:t>
      </w:r>
      <w:r>
        <w:rPr>
          <w:spacing w:val="-1"/>
        </w:rPr>
        <w:t> </w:t>
      </w:r>
      <w:r>
        <w:rPr/>
        <w:t>L.,</w:t>
      </w:r>
      <w:r>
        <w:rPr>
          <w:spacing w:val="-2"/>
        </w:rPr>
        <w:t> </w:t>
      </w:r>
      <w:r>
        <w:rPr/>
        <w:t>Collier,</w:t>
      </w:r>
      <w:r>
        <w:rPr>
          <w:spacing w:val="-2"/>
        </w:rPr>
        <w:t> </w:t>
      </w:r>
      <w:r>
        <w:rPr/>
        <w:t>P.</w:t>
      </w:r>
      <w:r>
        <w:rPr>
          <w:spacing w:val="-1"/>
        </w:rPr>
        <w:t> </w:t>
      </w:r>
      <w:r>
        <w:rPr/>
        <w:t>&amp;</w:t>
      </w:r>
      <w:r>
        <w:rPr>
          <w:spacing w:val="-4"/>
        </w:rPr>
        <w:t> </w:t>
      </w:r>
      <w:r>
        <w:rPr/>
        <w:t>Gunning,</w:t>
      </w:r>
      <w:r>
        <w:rPr>
          <w:spacing w:val="-2"/>
        </w:rPr>
        <w:t> </w:t>
      </w:r>
      <w:r>
        <w:rPr/>
        <w:t>J.W.</w:t>
      </w:r>
      <w:r>
        <w:rPr>
          <w:spacing w:val="-2"/>
        </w:rPr>
        <w:t> </w:t>
      </w:r>
      <w:r>
        <w:rPr/>
        <w:t>(1999).</w:t>
      </w:r>
      <w:r>
        <w:rPr>
          <w:spacing w:val="-2"/>
        </w:rPr>
        <w:t> </w:t>
      </w:r>
      <w:r>
        <w:rPr/>
        <w:t>The</w:t>
      </w:r>
      <w:r>
        <w:rPr>
          <w:spacing w:val="-3"/>
        </w:rPr>
        <w:t> </w:t>
      </w:r>
      <w:r>
        <w:rPr/>
        <w:t>Political</w:t>
      </w:r>
      <w:r>
        <w:rPr>
          <w:spacing w:val="-2"/>
        </w:rPr>
        <w:t> </w:t>
      </w:r>
      <w:r>
        <w:rPr/>
        <w:t>Economy</w:t>
      </w:r>
      <w:r>
        <w:rPr>
          <w:spacing w:val="-7"/>
        </w:rPr>
        <w:t> </w:t>
      </w:r>
      <w:r>
        <w:rPr/>
        <w:t>of</w:t>
      </w:r>
      <w:r>
        <w:rPr>
          <w:spacing w:val="40"/>
        </w:rPr>
        <w:t> </w:t>
      </w:r>
      <w:r>
        <w:rPr/>
        <w:t>Poverty,Equity,</w:t>
      </w:r>
      <w:r>
        <w:rPr>
          <w:spacing w:val="-2"/>
        </w:rPr>
        <w:t> </w:t>
      </w:r>
      <w:r>
        <w:rPr/>
        <w:t>and</w:t>
      </w:r>
      <w:r>
        <w:rPr>
          <w:spacing w:val="-1"/>
        </w:rPr>
        <w:t> </w:t>
      </w:r>
      <w:r>
        <w:rPr/>
        <w:t>Growth: Nigeria and Indonesia.</w:t>
      </w:r>
      <w:r>
        <w:rPr>
          <w:spacing w:val="40"/>
        </w:rPr>
        <w:t> </w:t>
      </w:r>
      <w:r>
        <w:rPr>
          <w:i/>
        </w:rPr>
        <w:t>A World Bank</w:t>
        <w:tab/>
        <w:t>Comparative Study</w:t>
      </w:r>
      <w:r>
        <w:rPr/>
        <w:t>. Oxford: Oxford</w:t>
      </w:r>
      <w:r>
        <w:rPr>
          <w:spacing w:val="40"/>
        </w:rPr>
        <w:t> </w:t>
      </w:r>
      <w:r>
        <w:rPr/>
        <w:t>University Press.</w:t>
      </w:r>
    </w:p>
    <w:p>
      <w:pPr>
        <w:pStyle w:val="BodyText"/>
        <w:tabs>
          <w:tab w:pos="5752" w:val="left" w:leader="none"/>
        </w:tabs>
        <w:ind w:left="711" w:right="930"/>
        <w:jc w:val="both"/>
      </w:pPr>
      <w:r>
        <w:rPr/>
        <w:t>Boyce, J. K. &amp; Ndikumana, L.</w:t>
      </w:r>
      <w:r>
        <w:rPr>
          <w:spacing w:val="40"/>
        </w:rPr>
        <w:t> </w:t>
      </w:r>
      <w:r>
        <w:rPr/>
        <w:t>(2001). Is Africa a Net Creditor? New Estimates of Capital Flight from Severely</w:t>
      </w:r>
      <w:r>
        <w:rPr>
          <w:spacing w:val="-1"/>
        </w:rPr>
        <w:t> </w:t>
      </w:r>
      <w:r>
        <w:rPr/>
        <w:t>Indebted Sub-Saharan African Countries, 1970-1996. Journal </w:t>
      </w:r>
      <w:r>
        <w:rPr>
          <w:i/>
        </w:rPr>
        <w:t>of</w:t>
      </w:r>
      <w:r>
        <w:rPr>
          <w:i/>
          <w:spacing w:val="40"/>
        </w:rPr>
        <w:t> </w:t>
      </w:r>
      <w:r>
        <w:rPr>
          <w:i/>
        </w:rPr>
        <w:t>Development Studies, </w:t>
      </w:r>
      <w:r>
        <w:rPr/>
        <w:t>38(2). Buffie,</w:t>
      </w:r>
      <w:r>
        <w:rPr>
          <w:spacing w:val="-1"/>
        </w:rPr>
        <w:t> </w:t>
      </w:r>
      <w:r>
        <w:rPr/>
        <w:t>E.,</w:t>
      </w:r>
      <w:r>
        <w:rPr>
          <w:spacing w:val="-2"/>
        </w:rPr>
        <w:t> </w:t>
      </w:r>
      <w:r>
        <w:rPr/>
        <w:t>C.</w:t>
      </w:r>
      <w:r>
        <w:rPr>
          <w:spacing w:val="-2"/>
        </w:rPr>
        <w:t> </w:t>
      </w:r>
      <w:r>
        <w:rPr/>
        <w:t>Adam,</w:t>
      </w:r>
      <w:r>
        <w:rPr>
          <w:spacing w:val="-2"/>
        </w:rPr>
        <w:t> </w:t>
      </w:r>
      <w:r>
        <w:rPr/>
        <w:t>S.</w:t>
      </w:r>
      <w:r>
        <w:rPr>
          <w:spacing w:val="-2"/>
        </w:rPr>
        <w:t> </w:t>
      </w:r>
      <w:r>
        <w:rPr/>
        <w:t>O’Connell</w:t>
      </w:r>
      <w:r>
        <w:rPr>
          <w:spacing w:val="-2"/>
        </w:rPr>
        <w:t> </w:t>
      </w:r>
      <w:r>
        <w:rPr/>
        <w:t>&amp;</w:t>
      </w:r>
      <w:r>
        <w:rPr>
          <w:spacing w:val="-4"/>
        </w:rPr>
        <w:t> </w:t>
      </w:r>
      <w:r>
        <w:rPr/>
        <w:t>Pattillo,</w:t>
      </w:r>
      <w:r>
        <w:rPr>
          <w:spacing w:val="-2"/>
        </w:rPr>
        <w:t> </w:t>
      </w:r>
      <w:r>
        <w:rPr/>
        <w:t>C. (2004).</w:t>
      </w:r>
      <w:r>
        <w:rPr>
          <w:spacing w:val="40"/>
        </w:rPr>
        <w:t> </w:t>
      </w:r>
      <w:r>
        <w:rPr/>
        <w:t>Exchange</w:t>
      </w:r>
      <w:r>
        <w:rPr>
          <w:spacing w:val="-3"/>
        </w:rPr>
        <w:t> </w:t>
      </w:r>
      <w:r>
        <w:rPr/>
        <w:t>Rate</w:t>
      </w:r>
      <w:r>
        <w:rPr>
          <w:spacing w:val="-1"/>
        </w:rPr>
        <w:t> </w:t>
      </w:r>
      <w:r>
        <w:rPr/>
        <w:t>Policy</w:t>
      </w:r>
      <w:r>
        <w:rPr>
          <w:spacing w:val="-7"/>
        </w:rPr>
        <w:t> </w:t>
      </w:r>
      <w:r>
        <w:rPr/>
        <w:t>and</w:t>
      </w:r>
      <w:r>
        <w:rPr>
          <w:spacing w:val="-2"/>
        </w:rPr>
        <w:t> </w:t>
      </w:r>
      <w:r>
        <w:rPr/>
        <w:t>the</w:t>
      </w:r>
      <w:r>
        <w:rPr>
          <w:spacing w:val="-2"/>
        </w:rPr>
        <w:t> </w:t>
      </w:r>
      <w:r>
        <w:rPr/>
        <w:t>Management</w:t>
      </w:r>
      <w:r>
        <w:rPr>
          <w:spacing w:val="-2"/>
        </w:rPr>
        <w:t> </w:t>
      </w:r>
      <w:r>
        <w:rPr/>
        <w:t>of Official and Private Capital Flows in Africa.</w:t>
        <w:tab/>
      </w:r>
      <w:r>
        <w:rPr>
          <w:i/>
        </w:rPr>
        <w:t>IMF Staff Papers 5, </w:t>
      </w:r>
      <w:r>
        <w:rPr/>
        <w:t>126160.</w:t>
      </w:r>
    </w:p>
    <w:p>
      <w:pPr>
        <w:pStyle w:val="BodyText"/>
        <w:ind w:left="711" w:right="585"/>
        <w:rPr>
          <w:i/>
        </w:rPr>
      </w:pPr>
      <w:r>
        <w:rPr/>
        <w:t>Bulir,</w:t>
      </w:r>
      <w:r>
        <w:rPr>
          <w:spacing w:val="-3"/>
        </w:rPr>
        <w:t> </w:t>
      </w:r>
      <w:r>
        <w:rPr/>
        <w:t>A.</w:t>
      </w:r>
      <w:r>
        <w:rPr>
          <w:spacing w:val="-1"/>
        </w:rPr>
        <w:t> </w:t>
      </w:r>
      <w:r>
        <w:rPr/>
        <w:t>&amp;</w:t>
      </w:r>
      <w:r>
        <w:rPr>
          <w:spacing w:val="-5"/>
        </w:rPr>
        <w:t> </w:t>
      </w:r>
      <w:r>
        <w:rPr/>
        <w:t>Hamann,</w:t>
      </w:r>
      <w:r>
        <w:rPr>
          <w:spacing w:val="-2"/>
        </w:rPr>
        <w:t> </w:t>
      </w:r>
      <w:r>
        <w:rPr/>
        <w:t>A.</w:t>
      </w:r>
      <w:r>
        <w:rPr>
          <w:spacing w:val="-2"/>
        </w:rPr>
        <w:t> </w:t>
      </w:r>
      <w:r>
        <w:rPr/>
        <w:t>J.</w:t>
      </w:r>
      <w:r>
        <w:rPr>
          <w:spacing w:val="-2"/>
        </w:rPr>
        <w:t> </w:t>
      </w:r>
      <w:r>
        <w:rPr/>
        <w:t>(2003).</w:t>
      </w:r>
      <w:r>
        <w:rPr>
          <w:spacing w:val="-3"/>
        </w:rPr>
        <w:t> </w:t>
      </w:r>
      <w:r>
        <w:rPr/>
        <w:t>Aid</w:t>
      </w:r>
      <w:r>
        <w:rPr>
          <w:spacing w:val="-3"/>
        </w:rPr>
        <w:t> </w:t>
      </w:r>
      <w:r>
        <w:rPr/>
        <w:t>Volatility:</w:t>
      </w:r>
      <w:r>
        <w:rPr>
          <w:spacing w:val="-1"/>
        </w:rPr>
        <w:t> </w:t>
      </w:r>
      <w:r>
        <w:rPr/>
        <w:t>An</w:t>
      </w:r>
      <w:r>
        <w:rPr>
          <w:spacing w:val="-3"/>
        </w:rPr>
        <w:t> </w:t>
      </w:r>
      <w:r>
        <w:rPr/>
        <w:t>Empirical</w:t>
      </w:r>
      <w:r>
        <w:rPr>
          <w:spacing w:val="-3"/>
        </w:rPr>
        <w:t> </w:t>
      </w:r>
      <w:r>
        <w:rPr/>
        <w:t>Assessment.</w:t>
      </w:r>
      <w:r>
        <w:rPr>
          <w:spacing w:val="-3"/>
        </w:rPr>
        <w:t> </w:t>
      </w:r>
      <w:r>
        <w:rPr>
          <w:i/>
        </w:rPr>
        <w:t>IMF</w:t>
      </w:r>
      <w:r>
        <w:rPr>
          <w:i/>
          <w:spacing w:val="-3"/>
        </w:rPr>
        <w:t> </w:t>
      </w:r>
      <w:r>
        <w:rPr>
          <w:i/>
        </w:rPr>
        <w:t>Staff</w:t>
      </w:r>
      <w:r>
        <w:rPr>
          <w:i/>
          <w:spacing w:val="-3"/>
        </w:rPr>
        <w:t> </w:t>
      </w:r>
      <w:r>
        <w:rPr>
          <w:i/>
        </w:rPr>
        <w:t>Papers</w:t>
      </w:r>
      <w:r>
        <w:rPr>
          <w:i/>
          <w:spacing w:val="-2"/>
        </w:rPr>
        <w:t> </w:t>
      </w:r>
      <w:r>
        <w:rPr>
          <w:i/>
        </w:rPr>
        <w:t>50</w:t>
      </w:r>
      <w:r>
        <w:rPr/>
        <w:t>,</w:t>
      </w:r>
      <w:r>
        <w:rPr>
          <w:spacing w:val="-3"/>
        </w:rPr>
        <w:t> </w:t>
      </w:r>
      <w:r>
        <w:rPr/>
        <w:t>64-90. Central Bank of Nigeria (2011). Nigeria’s External and Domestic Debt.</w:t>
      </w:r>
      <w:r>
        <w:rPr>
          <w:spacing w:val="40"/>
        </w:rPr>
        <w:t> </w:t>
      </w:r>
      <w:r>
        <w:rPr>
          <w:i/>
        </w:rPr>
        <w:t>CBN Publication</w:t>
      </w:r>
    </w:p>
    <w:p>
      <w:pPr>
        <w:spacing w:before="0"/>
        <w:ind w:left="711" w:right="0" w:firstLine="0"/>
        <w:jc w:val="left"/>
        <w:rPr>
          <w:sz w:val="24"/>
        </w:rPr>
      </w:pPr>
      <w:r>
        <w:rPr>
          <w:sz w:val="24"/>
        </w:rPr>
        <w:t>Cerra,V.,</w:t>
      </w:r>
      <w:r>
        <w:rPr>
          <w:spacing w:val="-3"/>
          <w:sz w:val="24"/>
        </w:rPr>
        <w:t> </w:t>
      </w:r>
      <w:r>
        <w:rPr>
          <w:sz w:val="24"/>
        </w:rPr>
        <w:t>Rishi,</w:t>
      </w:r>
      <w:r>
        <w:rPr>
          <w:spacing w:val="-3"/>
          <w:sz w:val="24"/>
        </w:rPr>
        <w:t> </w:t>
      </w:r>
      <w:r>
        <w:rPr>
          <w:sz w:val="24"/>
        </w:rPr>
        <w:t>M.</w:t>
      </w:r>
      <w:r>
        <w:rPr>
          <w:spacing w:val="-2"/>
          <w:sz w:val="24"/>
        </w:rPr>
        <w:t> </w:t>
      </w:r>
      <w:r>
        <w:rPr>
          <w:sz w:val="24"/>
        </w:rPr>
        <w:t>&amp;</w:t>
      </w:r>
      <w:r>
        <w:rPr>
          <w:spacing w:val="-5"/>
          <w:sz w:val="24"/>
        </w:rPr>
        <w:t> </w:t>
      </w:r>
      <w:r>
        <w:rPr>
          <w:sz w:val="24"/>
        </w:rPr>
        <w:t>Saxena,</w:t>
      </w:r>
      <w:r>
        <w:rPr>
          <w:spacing w:val="-3"/>
          <w:sz w:val="24"/>
        </w:rPr>
        <w:t> </w:t>
      </w:r>
      <w:r>
        <w:rPr>
          <w:sz w:val="24"/>
        </w:rPr>
        <w:t>S.(2008).</w:t>
      </w:r>
      <w:r>
        <w:rPr>
          <w:spacing w:val="-3"/>
          <w:sz w:val="24"/>
        </w:rPr>
        <w:t> </w:t>
      </w:r>
      <w:r>
        <w:rPr>
          <w:sz w:val="24"/>
        </w:rPr>
        <w:t>Robbing</w:t>
      </w:r>
      <w:r>
        <w:rPr>
          <w:spacing w:val="-3"/>
          <w:sz w:val="24"/>
        </w:rPr>
        <w:t> </w:t>
      </w:r>
      <w:r>
        <w:rPr>
          <w:sz w:val="24"/>
        </w:rPr>
        <w:t>the</w:t>
      </w:r>
      <w:r>
        <w:rPr>
          <w:spacing w:val="-3"/>
          <w:sz w:val="24"/>
        </w:rPr>
        <w:t> </w:t>
      </w:r>
      <w:r>
        <w:rPr>
          <w:sz w:val="24"/>
        </w:rPr>
        <w:t>Riches,</w:t>
      </w:r>
      <w:r>
        <w:rPr>
          <w:spacing w:val="-3"/>
          <w:sz w:val="24"/>
        </w:rPr>
        <w:t> </w:t>
      </w:r>
      <w:r>
        <w:rPr>
          <w:sz w:val="24"/>
        </w:rPr>
        <w:t>Capital</w:t>
      </w:r>
      <w:r>
        <w:rPr>
          <w:spacing w:val="-3"/>
          <w:sz w:val="24"/>
        </w:rPr>
        <w:t> </w:t>
      </w:r>
      <w:r>
        <w:rPr>
          <w:sz w:val="24"/>
        </w:rPr>
        <w:t>Flight, Institution</w:t>
      </w:r>
      <w:r>
        <w:rPr>
          <w:spacing w:val="-3"/>
          <w:sz w:val="24"/>
        </w:rPr>
        <w:t> </w:t>
      </w:r>
      <w:r>
        <w:rPr>
          <w:sz w:val="24"/>
        </w:rPr>
        <w:t>and</w:t>
      </w:r>
      <w:r>
        <w:rPr>
          <w:spacing w:val="-3"/>
          <w:sz w:val="24"/>
        </w:rPr>
        <w:t> </w:t>
      </w:r>
      <w:r>
        <w:rPr>
          <w:sz w:val="24"/>
        </w:rPr>
        <w:t>Debt</w:t>
      </w:r>
      <w:r>
        <w:rPr>
          <w:i/>
          <w:sz w:val="24"/>
        </w:rPr>
        <w:t>.</w:t>
      </w:r>
      <w:r>
        <w:rPr>
          <w:i/>
          <w:spacing w:val="-3"/>
          <w:sz w:val="24"/>
        </w:rPr>
        <w:t> </w:t>
      </w:r>
      <w:r>
        <w:rPr>
          <w:i/>
          <w:sz w:val="24"/>
        </w:rPr>
        <w:t>Journal</w:t>
      </w:r>
      <w:r>
        <w:rPr>
          <w:i/>
          <w:spacing w:val="-3"/>
          <w:sz w:val="24"/>
        </w:rPr>
        <w:t> </w:t>
      </w:r>
      <w:r>
        <w:rPr>
          <w:i/>
          <w:sz w:val="24"/>
        </w:rPr>
        <w:t>of Development Studies</w:t>
      </w:r>
      <w:r>
        <w:rPr>
          <w:sz w:val="24"/>
        </w:rPr>
        <w:t>, </w:t>
      </w:r>
      <w:r>
        <w:rPr>
          <w:i/>
          <w:sz w:val="24"/>
        </w:rPr>
        <w:t>44(8), </w:t>
      </w:r>
      <w:r>
        <w:rPr>
          <w:sz w:val="24"/>
        </w:rPr>
        <w:t>1190-1213.</w:t>
      </w:r>
    </w:p>
    <w:p>
      <w:pPr>
        <w:spacing w:before="0"/>
        <w:ind w:left="711" w:right="633" w:firstLine="0"/>
        <w:jc w:val="both"/>
        <w:rPr>
          <w:sz w:val="24"/>
        </w:rPr>
      </w:pPr>
      <w:r>
        <w:rPr>
          <w:sz w:val="24"/>
        </w:rPr>
        <w:t>Chang,</w:t>
      </w:r>
      <w:r>
        <w:rPr>
          <w:spacing w:val="-3"/>
          <w:sz w:val="24"/>
        </w:rPr>
        <w:t> </w:t>
      </w:r>
      <w:r>
        <w:rPr>
          <w:sz w:val="24"/>
        </w:rPr>
        <w:t>P.H.</w:t>
      </w:r>
      <w:r>
        <w:rPr>
          <w:spacing w:val="-3"/>
          <w:sz w:val="24"/>
        </w:rPr>
        <w:t> </w:t>
      </w:r>
      <w:r>
        <w:rPr>
          <w:sz w:val="24"/>
        </w:rPr>
        <w:t>K.,</w:t>
      </w:r>
      <w:r>
        <w:rPr>
          <w:spacing w:val="-1"/>
          <w:sz w:val="24"/>
        </w:rPr>
        <w:t> </w:t>
      </w:r>
      <w:r>
        <w:rPr>
          <w:sz w:val="24"/>
        </w:rPr>
        <w:t>&amp;</w:t>
      </w:r>
      <w:r>
        <w:rPr>
          <w:spacing w:val="-5"/>
          <w:sz w:val="24"/>
        </w:rPr>
        <w:t> </w:t>
      </w:r>
      <w:r>
        <w:rPr>
          <w:sz w:val="24"/>
        </w:rPr>
        <w:t>Cumby,</w:t>
      </w:r>
      <w:r>
        <w:rPr>
          <w:spacing w:val="-1"/>
          <w:sz w:val="24"/>
        </w:rPr>
        <w:t> </w:t>
      </w:r>
      <w:r>
        <w:rPr>
          <w:sz w:val="24"/>
        </w:rPr>
        <w:t>R.E.</w:t>
      </w:r>
      <w:r>
        <w:rPr>
          <w:spacing w:val="-2"/>
          <w:sz w:val="24"/>
        </w:rPr>
        <w:t> </w:t>
      </w:r>
      <w:r>
        <w:rPr>
          <w:sz w:val="24"/>
        </w:rPr>
        <w:t>(1991).</w:t>
      </w:r>
      <w:r>
        <w:rPr>
          <w:spacing w:val="-3"/>
          <w:sz w:val="24"/>
        </w:rPr>
        <w:t> </w:t>
      </w:r>
      <w:r>
        <w:rPr>
          <w:i/>
          <w:sz w:val="24"/>
        </w:rPr>
        <w:t>Capital</w:t>
      </w:r>
      <w:r>
        <w:rPr>
          <w:i/>
          <w:spacing w:val="-3"/>
          <w:sz w:val="24"/>
        </w:rPr>
        <w:t> </w:t>
      </w:r>
      <w:r>
        <w:rPr>
          <w:i/>
          <w:sz w:val="24"/>
        </w:rPr>
        <w:t>Flight</w:t>
      </w:r>
      <w:r>
        <w:rPr>
          <w:i/>
          <w:spacing w:val="-3"/>
          <w:sz w:val="24"/>
        </w:rPr>
        <w:t> </w:t>
      </w:r>
      <w:r>
        <w:rPr>
          <w:i/>
          <w:sz w:val="24"/>
        </w:rPr>
        <w:t>in</w:t>
      </w:r>
      <w:r>
        <w:rPr>
          <w:i/>
          <w:spacing w:val="-3"/>
          <w:sz w:val="24"/>
        </w:rPr>
        <w:t> </w:t>
      </w:r>
      <w:r>
        <w:rPr>
          <w:i/>
          <w:sz w:val="24"/>
        </w:rPr>
        <w:t>Sub-Saharan</w:t>
      </w:r>
      <w:r>
        <w:rPr>
          <w:i/>
          <w:spacing w:val="-3"/>
          <w:sz w:val="24"/>
        </w:rPr>
        <w:t> </w:t>
      </w:r>
      <w:r>
        <w:rPr>
          <w:i/>
          <w:sz w:val="24"/>
        </w:rPr>
        <w:t>African</w:t>
      </w:r>
      <w:r>
        <w:rPr>
          <w:i/>
          <w:spacing w:val="-3"/>
          <w:sz w:val="24"/>
        </w:rPr>
        <w:t> </w:t>
      </w:r>
      <w:r>
        <w:rPr>
          <w:i/>
          <w:sz w:val="24"/>
        </w:rPr>
        <w:t>Countries,</w:t>
      </w:r>
      <w:r>
        <w:rPr>
          <w:i/>
          <w:spacing w:val="-2"/>
          <w:sz w:val="24"/>
        </w:rPr>
        <w:t> </w:t>
      </w:r>
      <w:r>
        <w:rPr>
          <w:sz w:val="24"/>
        </w:rPr>
        <w:t>in</w:t>
      </w:r>
      <w:r>
        <w:rPr>
          <w:spacing w:val="-1"/>
          <w:sz w:val="24"/>
        </w:rPr>
        <w:t> </w:t>
      </w:r>
      <w:r>
        <w:rPr>
          <w:sz w:val="24"/>
        </w:rPr>
        <w:t>Ishrat</w:t>
      </w:r>
      <w:r>
        <w:rPr>
          <w:spacing w:val="-3"/>
          <w:sz w:val="24"/>
        </w:rPr>
        <w:t> </w:t>
      </w:r>
      <w:r>
        <w:rPr>
          <w:sz w:val="24"/>
        </w:rPr>
        <w:t>Husain and</w:t>
      </w:r>
      <w:r>
        <w:rPr>
          <w:spacing w:val="-3"/>
          <w:sz w:val="24"/>
        </w:rPr>
        <w:t> </w:t>
      </w:r>
      <w:r>
        <w:rPr>
          <w:sz w:val="24"/>
        </w:rPr>
        <w:t>John</w:t>
      </w:r>
      <w:r>
        <w:rPr>
          <w:spacing w:val="-3"/>
          <w:sz w:val="24"/>
        </w:rPr>
        <w:t> </w:t>
      </w:r>
      <w:r>
        <w:rPr>
          <w:sz w:val="24"/>
        </w:rPr>
        <w:t>Underwood,</w:t>
      </w:r>
      <w:r>
        <w:rPr>
          <w:spacing w:val="-3"/>
          <w:sz w:val="24"/>
        </w:rPr>
        <w:t> </w:t>
      </w:r>
      <w:r>
        <w:rPr>
          <w:sz w:val="24"/>
        </w:rPr>
        <w:t>Edition.</w:t>
      </w:r>
      <w:r>
        <w:rPr>
          <w:spacing w:val="-3"/>
          <w:sz w:val="24"/>
        </w:rPr>
        <w:t> </w:t>
      </w:r>
      <w:r>
        <w:rPr>
          <w:sz w:val="24"/>
        </w:rPr>
        <w:t>African</w:t>
      </w:r>
      <w:r>
        <w:rPr>
          <w:spacing w:val="40"/>
          <w:sz w:val="24"/>
        </w:rPr>
        <w:t> </w:t>
      </w:r>
      <w:r>
        <w:rPr>
          <w:sz w:val="24"/>
        </w:rPr>
        <w:t>External</w:t>
      </w:r>
      <w:r>
        <w:rPr>
          <w:spacing w:val="-3"/>
          <w:sz w:val="24"/>
        </w:rPr>
        <w:t> </w:t>
      </w:r>
      <w:r>
        <w:rPr>
          <w:sz w:val="24"/>
        </w:rPr>
        <w:t>Finance</w:t>
      </w:r>
      <w:r>
        <w:rPr>
          <w:spacing w:val="-4"/>
          <w:sz w:val="24"/>
        </w:rPr>
        <w:t> </w:t>
      </w:r>
      <w:r>
        <w:rPr>
          <w:sz w:val="24"/>
        </w:rPr>
        <w:t>in</w:t>
      </w:r>
      <w:r>
        <w:rPr>
          <w:spacing w:val="-3"/>
          <w:sz w:val="24"/>
        </w:rPr>
        <w:t> </w:t>
      </w:r>
      <w:r>
        <w:rPr>
          <w:sz w:val="24"/>
        </w:rPr>
        <w:t>the</w:t>
      </w:r>
      <w:r>
        <w:rPr>
          <w:spacing w:val="-4"/>
          <w:sz w:val="24"/>
        </w:rPr>
        <w:t> </w:t>
      </w:r>
      <w:r>
        <w:rPr>
          <w:sz w:val="24"/>
        </w:rPr>
        <w:t>1990s,</w:t>
      </w:r>
      <w:r>
        <w:rPr>
          <w:spacing w:val="-3"/>
          <w:sz w:val="24"/>
        </w:rPr>
        <w:t> </w:t>
      </w:r>
      <w:r>
        <w:rPr>
          <w:sz w:val="24"/>
        </w:rPr>
        <w:t>World</w:t>
      </w:r>
      <w:r>
        <w:rPr>
          <w:spacing w:val="-3"/>
          <w:sz w:val="24"/>
        </w:rPr>
        <w:t> </w:t>
      </w:r>
      <w:r>
        <w:rPr>
          <w:sz w:val="24"/>
        </w:rPr>
        <w:t>Bank,</w:t>
      </w:r>
      <w:r>
        <w:rPr>
          <w:spacing w:val="-3"/>
          <w:sz w:val="24"/>
        </w:rPr>
        <w:t> </w:t>
      </w:r>
      <w:r>
        <w:rPr>
          <w:sz w:val="24"/>
        </w:rPr>
        <w:t>162-184,</w:t>
      </w:r>
      <w:r>
        <w:rPr>
          <w:spacing w:val="-3"/>
          <w:sz w:val="24"/>
        </w:rPr>
        <w:t> </w:t>
      </w:r>
      <w:r>
        <w:rPr>
          <w:sz w:val="24"/>
        </w:rPr>
        <w:t>Washington, </w:t>
      </w:r>
      <w:r>
        <w:rPr>
          <w:spacing w:val="-4"/>
          <w:sz w:val="24"/>
        </w:rPr>
        <w:t>DC.</w:t>
      </w:r>
    </w:p>
    <w:p>
      <w:pPr>
        <w:spacing w:before="1"/>
        <w:ind w:left="711" w:right="0" w:firstLine="0"/>
        <w:jc w:val="left"/>
        <w:rPr>
          <w:sz w:val="24"/>
        </w:rPr>
      </w:pPr>
      <w:r>
        <w:rPr>
          <w:sz w:val="24"/>
        </w:rPr>
        <w:t>Claessens,</w:t>
      </w:r>
      <w:r>
        <w:rPr>
          <w:spacing w:val="-1"/>
          <w:sz w:val="24"/>
        </w:rPr>
        <w:t> </w:t>
      </w:r>
      <w:r>
        <w:rPr>
          <w:sz w:val="24"/>
        </w:rPr>
        <w:t>S., and D.</w:t>
      </w:r>
      <w:r>
        <w:rPr>
          <w:spacing w:val="-1"/>
          <w:sz w:val="24"/>
        </w:rPr>
        <w:t> </w:t>
      </w:r>
      <w:r>
        <w:rPr>
          <w:sz w:val="24"/>
        </w:rPr>
        <w:t>Naude.</w:t>
      </w:r>
      <w:r>
        <w:rPr>
          <w:spacing w:val="1"/>
          <w:sz w:val="24"/>
        </w:rPr>
        <w:t> </w:t>
      </w:r>
      <w:r>
        <w:rPr>
          <w:sz w:val="24"/>
        </w:rPr>
        <w:t>(</w:t>
      </w:r>
      <w:r>
        <w:rPr>
          <w:spacing w:val="-1"/>
          <w:sz w:val="24"/>
        </w:rPr>
        <w:t> </w:t>
      </w:r>
      <w:r>
        <w:rPr>
          <w:sz w:val="24"/>
        </w:rPr>
        <w:t>1993). </w:t>
      </w:r>
      <w:r>
        <w:rPr>
          <w:i/>
          <w:sz w:val="24"/>
        </w:rPr>
        <w:t>Recent</w:t>
      </w:r>
      <w:r>
        <w:rPr>
          <w:i/>
          <w:spacing w:val="-1"/>
          <w:sz w:val="24"/>
        </w:rPr>
        <w:t> </w:t>
      </w:r>
      <w:r>
        <w:rPr>
          <w:i/>
          <w:sz w:val="24"/>
        </w:rPr>
        <w:t>Estimates of Capital Flight</w:t>
      </w:r>
      <w:r>
        <w:rPr>
          <w:sz w:val="24"/>
        </w:rPr>
        <w:t>.</w:t>
      </w:r>
      <w:r>
        <w:rPr>
          <w:spacing w:val="-4"/>
          <w:sz w:val="24"/>
        </w:rPr>
        <w:t> </w:t>
      </w:r>
      <w:r>
        <w:rPr>
          <w:i/>
          <w:sz w:val="24"/>
        </w:rPr>
        <w:t>World Bank</w:t>
      </w:r>
      <w:r>
        <w:rPr>
          <w:i/>
          <w:spacing w:val="-1"/>
          <w:sz w:val="24"/>
        </w:rPr>
        <w:t> </w:t>
      </w:r>
      <w:r>
        <w:rPr>
          <w:sz w:val="24"/>
        </w:rPr>
        <w:t>WPS </w:t>
      </w:r>
      <w:r>
        <w:rPr>
          <w:spacing w:val="-4"/>
          <w:sz w:val="24"/>
        </w:rPr>
        <w:t>1186.</w:t>
      </w:r>
    </w:p>
    <w:p>
      <w:pPr>
        <w:tabs>
          <w:tab w:pos="10073" w:val="left" w:leader="none"/>
        </w:tabs>
        <w:spacing w:before="0"/>
        <w:ind w:left="711" w:right="592" w:firstLine="0"/>
        <w:jc w:val="left"/>
        <w:rPr>
          <w:sz w:val="24"/>
        </w:rPr>
      </w:pPr>
      <w:r>
        <w:rPr>
          <w:sz w:val="24"/>
        </w:rPr>
        <w:t>Collier, P. and Gunning, J. W. (1999). Explaining African Economic Performance. .</w:t>
      </w:r>
      <w:r>
        <w:rPr>
          <w:i/>
          <w:sz w:val="24"/>
        </w:rPr>
        <w:t>Journal of</w:t>
        <w:tab/>
      </w:r>
      <w:r>
        <w:rPr>
          <w:i/>
          <w:spacing w:val="-2"/>
          <w:sz w:val="24"/>
        </w:rPr>
        <w:t>Economic </w:t>
      </w:r>
      <w:r>
        <w:rPr>
          <w:i/>
          <w:sz w:val="24"/>
        </w:rPr>
        <w:t>Literature</w:t>
      </w:r>
      <w:r>
        <w:rPr>
          <w:sz w:val="24"/>
        </w:rPr>
        <w:t>, </w:t>
      </w:r>
      <w:r>
        <w:rPr>
          <w:i/>
          <w:sz w:val="24"/>
        </w:rPr>
        <w:t>37 (1</w:t>
      </w:r>
      <w:r>
        <w:rPr>
          <w:sz w:val="24"/>
        </w:rPr>
        <w:t>), 64–111.</w:t>
      </w:r>
    </w:p>
    <w:p>
      <w:pPr>
        <w:spacing w:before="0"/>
        <w:ind w:left="1522" w:right="0" w:hanging="812"/>
        <w:jc w:val="left"/>
        <w:rPr>
          <w:sz w:val="24"/>
        </w:rPr>
      </w:pPr>
      <w:r>
        <w:rPr>
          <w:sz w:val="24"/>
        </w:rPr>
        <w:t>Collier,</w:t>
      </w:r>
      <w:r>
        <w:rPr>
          <w:spacing w:val="40"/>
          <w:sz w:val="24"/>
        </w:rPr>
        <w:t> </w:t>
      </w:r>
      <w:r>
        <w:rPr>
          <w:sz w:val="24"/>
        </w:rPr>
        <w:t>P.,</w:t>
      </w:r>
      <w:r>
        <w:rPr>
          <w:spacing w:val="40"/>
          <w:sz w:val="24"/>
        </w:rPr>
        <w:t> </w:t>
      </w:r>
      <w:r>
        <w:rPr>
          <w:sz w:val="24"/>
        </w:rPr>
        <w:t>Hoeffler</w:t>
      </w:r>
      <w:r>
        <w:rPr>
          <w:spacing w:val="40"/>
          <w:sz w:val="24"/>
        </w:rPr>
        <w:t> </w:t>
      </w:r>
      <w:r>
        <w:rPr>
          <w:sz w:val="24"/>
        </w:rPr>
        <w:t>A.</w:t>
      </w:r>
      <w:r>
        <w:rPr>
          <w:spacing w:val="40"/>
          <w:sz w:val="24"/>
        </w:rPr>
        <w:t> </w:t>
      </w:r>
      <w:r>
        <w:rPr>
          <w:sz w:val="24"/>
        </w:rPr>
        <w:t>&amp;</w:t>
      </w:r>
      <w:r>
        <w:rPr>
          <w:spacing w:val="40"/>
          <w:sz w:val="24"/>
        </w:rPr>
        <w:t> </w:t>
      </w:r>
      <w:r>
        <w:rPr>
          <w:sz w:val="24"/>
        </w:rPr>
        <w:t>C.</w:t>
      </w:r>
      <w:r>
        <w:rPr>
          <w:spacing w:val="40"/>
          <w:sz w:val="24"/>
        </w:rPr>
        <w:t> </w:t>
      </w:r>
      <w:r>
        <w:rPr>
          <w:sz w:val="24"/>
        </w:rPr>
        <w:t>Pattillo</w:t>
      </w:r>
      <w:r>
        <w:rPr>
          <w:spacing w:val="40"/>
          <w:sz w:val="24"/>
        </w:rPr>
        <w:t> </w:t>
      </w:r>
      <w:r>
        <w:rPr>
          <w:sz w:val="24"/>
        </w:rPr>
        <w:t>(2002.).</w:t>
      </w:r>
      <w:r>
        <w:rPr>
          <w:spacing w:val="40"/>
          <w:sz w:val="24"/>
        </w:rPr>
        <w:t> </w:t>
      </w:r>
      <w:r>
        <w:rPr>
          <w:i/>
          <w:sz w:val="24"/>
        </w:rPr>
        <w:t>Africa's</w:t>
      </w:r>
      <w:r>
        <w:rPr>
          <w:i/>
          <w:spacing w:val="40"/>
          <w:sz w:val="24"/>
        </w:rPr>
        <w:t> </w:t>
      </w:r>
      <w:r>
        <w:rPr>
          <w:i/>
          <w:sz w:val="24"/>
        </w:rPr>
        <w:t>Exodus</w:t>
      </w:r>
      <w:r>
        <w:rPr>
          <w:sz w:val="24"/>
        </w:rPr>
        <w:t>:</w:t>
      </w:r>
      <w:r>
        <w:rPr>
          <w:spacing w:val="40"/>
          <w:sz w:val="24"/>
        </w:rPr>
        <w:t> </w:t>
      </w:r>
      <w:r>
        <w:rPr>
          <w:i/>
          <w:sz w:val="24"/>
        </w:rPr>
        <w:t>Capital</w:t>
      </w:r>
      <w:r>
        <w:rPr>
          <w:i/>
          <w:spacing w:val="40"/>
          <w:sz w:val="24"/>
        </w:rPr>
        <w:t> </w:t>
      </w:r>
      <w:r>
        <w:rPr>
          <w:i/>
          <w:sz w:val="24"/>
        </w:rPr>
        <w:t>Flight</w:t>
      </w:r>
      <w:r>
        <w:rPr>
          <w:i/>
          <w:spacing w:val="40"/>
          <w:sz w:val="24"/>
        </w:rPr>
        <w:t> </w:t>
      </w:r>
      <w:r>
        <w:rPr>
          <w:i/>
          <w:sz w:val="24"/>
        </w:rPr>
        <w:t>and</w:t>
      </w:r>
      <w:r>
        <w:rPr>
          <w:i/>
          <w:spacing w:val="40"/>
          <w:sz w:val="24"/>
        </w:rPr>
        <w:t> </w:t>
      </w:r>
      <w:r>
        <w:rPr>
          <w:i/>
          <w:sz w:val="24"/>
        </w:rPr>
        <w:t>the</w:t>
      </w:r>
      <w:r>
        <w:rPr>
          <w:i/>
          <w:spacing w:val="40"/>
          <w:sz w:val="24"/>
        </w:rPr>
        <w:t> </w:t>
      </w:r>
      <w:r>
        <w:rPr>
          <w:i/>
          <w:sz w:val="24"/>
        </w:rPr>
        <w:t>Brain</w:t>
      </w:r>
      <w:r>
        <w:rPr>
          <w:i/>
          <w:spacing w:val="40"/>
          <w:sz w:val="24"/>
        </w:rPr>
        <w:t> </w:t>
      </w:r>
      <w:r>
        <w:rPr>
          <w:i/>
          <w:sz w:val="24"/>
        </w:rPr>
        <w:t>Drain</w:t>
      </w:r>
      <w:r>
        <w:rPr>
          <w:i/>
          <w:spacing w:val="40"/>
          <w:sz w:val="24"/>
        </w:rPr>
        <w:t> </w:t>
      </w:r>
      <w:r>
        <w:rPr>
          <w:i/>
          <w:sz w:val="24"/>
        </w:rPr>
        <w:t>as Portfolio Decisions</w:t>
      </w:r>
      <w:r>
        <w:rPr>
          <w:sz w:val="24"/>
        </w:rPr>
        <w:t>. Mimeo. Centre for the Study of African Economies, Oxford University.</w:t>
      </w:r>
    </w:p>
    <w:p>
      <w:pPr>
        <w:spacing w:after="0"/>
        <w:jc w:val="left"/>
        <w:rPr>
          <w:sz w:val="24"/>
        </w:rPr>
        <w:sectPr>
          <w:pgSz w:w="11910" w:h="16840"/>
          <w:pgMar w:header="0" w:footer="979" w:top="1360" w:bottom="1240" w:left="280" w:right="0"/>
        </w:sectPr>
      </w:pPr>
    </w:p>
    <w:p>
      <w:pPr>
        <w:spacing w:before="60"/>
        <w:ind w:left="1611" w:right="471" w:hanging="901"/>
        <w:jc w:val="both"/>
        <w:rPr>
          <w:sz w:val="24"/>
        </w:rPr>
      </w:pPr>
      <w:r>
        <w:rPr>
          <w:sz w:val="24"/>
        </w:rPr>
        <w:t>Collier, P. &amp; Dollar,</w:t>
      </w:r>
      <w:r>
        <w:rPr>
          <w:spacing w:val="-1"/>
          <w:sz w:val="24"/>
        </w:rPr>
        <w:t> </w:t>
      </w:r>
      <w:r>
        <w:rPr>
          <w:sz w:val="24"/>
        </w:rPr>
        <w:t>D. (2004). Development Effectiveness: What have we Learnt?’</w:t>
      </w:r>
      <w:r>
        <w:rPr>
          <w:spacing w:val="-1"/>
          <w:sz w:val="24"/>
        </w:rPr>
        <w:t> </w:t>
      </w:r>
      <w:r>
        <w:rPr>
          <w:i/>
          <w:sz w:val="24"/>
        </w:rPr>
        <w:t>Economic</w:t>
      </w:r>
      <w:r>
        <w:rPr>
          <w:i/>
          <w:spacing w:val="-1"/>
          <w:sz w:val="24"/>
        </w:rPr>
        <w:t> </w:t>
      </w:r>
      <w:r>
        <w:rPr>
          <w:i/>
          <w:sz w:val="24"/>
        </w:rPr>
        <w:t>Journal</w:t>
      </w:r>
      <w:r>
        <w:rPr>
          <w:sz w:val="24"/>
        </w:rPr>
        <w:t>, </w:t>
      </w:r>
      <w:r>
        <w:rPr>
          <w:i/>
          <w:sz w:val="24"/>
        </w:rPr>
        <w:t>114 (496)</w:t>
      </w:r>
      <w:r>
        <w:rPr>
          <w:sz w:val="24"/>
        </w:rPr>
        <w:t>, F244-F271.</w:t>
      </w:r>
    </w:p>
    <w:p>
      <w:pPr>
        <w:spacing w:before="1"/>
        <w:ind w:left="711" w:right="470" w:firstLine="0"/>
        <w:jc w:val="both"/>
        <w:rPr>
          <w:sz w:val="24"/>
        </w:rPr>
      </w:pPr>
      <w:r>
        <w:rPr>
          <w:sz w:val="24"/>
        </w:rPr>
        <w:t>Conesa,</w:t>
      </w:r>
      <w:r>
        <w:rPr>
          <w:spacing w:val="-2"/>
          <w:sz w:val="24"/>
        </w:rPr>
        <w:t> </w:t>
      </w:r>
      <w:r>
        <w:rPr>
          <w:sz w:val="24"/>
        </w:rPr>
        <w:t>Eduardo.</w:t>
      </w:r>
      <w:r>
        <w:rPr>
          <w:spacing w:val="-2"/>
          <w:sz w:val="24"/>
        </w:rPr>
        <w:t> </w:t>
      </w:r>
      <w:r>
        <w:rPr>
          <w:sz w:val="24"/>
        </w:rPr>
        <w:t>R.</w:t>
      </w:r>
      <w:r>
        <w:rPr>
          <w:spacing w:val="-2"/>
          <w:sz w:val="24"/>
        </w:rPr>
        <w:t> </w:t>
      </w:r>
      <w:r>
        <w:rPr>
          <w:sz w:val="24"/>
        </w:rPr>
        <w:t>(1987).</w:t>
      </w:r>
      <w:r>
        <w:rPr>
          <w:spacing w:val="-2"/>
          <w:sz w:val="24"/>
        </w:rPr>
        <w:t> </w:t>
      </w:r>
      <w:r>
        <w:rPr>
          <w:sz w:val="24"/>
        </w:rPr>
        <w:t>The</w:t>
      </w:r>
      <w:r>
        <w:rPr>
          <w:spacing w:val="-4"/>
          <w:sz w:val="24"/>
        </w:rPr>
        <w:t> </w:t>
      </w:r>
      <w:r>
        <w:rPr>
          <w:sz w:val="24"/>
        </w:rPr>
        <w:t>Flight</w:t>
      </w:r>
      <w:r>
        <w:rPr>
          <w:spacing w:val="-2"/>
          <w:sz w:val="24"/>
        </w:rPr>
        <w:t> </w:t>
      </w:r>
      <w:r>
        <w:rPr>
          <w:sz w:val="24"/>
        </w:rPr>
        <w:t>of</w:t>
      </w:r>
      <w:r>
        <w:rPr>
          <w:spacing w:val="-2"/>
          <w:sz w:val="24"/>
        </w:rPr>
        <w:t> </w:t>
      </w:r>
      <w:r>
        <w:rPr>
          <w:sz w:val="24"/>
        </w:rPr>
        <w:t>Capital</w:t>
      </w:r>
      <w:r>
        <w:rPr>
          <w:spacing w:val="-1"/>
          <w:sz w:val="24"/>
        </w:rPr>
        <w:t> </w:t>
      </w:r>
      <w:r>
        <w:rPr>
          <w:sz w:val="24"/>
        </w:rPr>
        <w:t>from Latin</w:t>
      </w:r>
      <w:r>
        <w:rPr>
          <w:spacing w:val="-2"/>
          <w:sz w:val="24"/>
        </w:rPr>
        <w:t> </w:t>
      </w:r>
      <w:r>
        <w:rPr>
          <w:sz w:val="24"/>
        </w:rPr>
        <w:t>America:</w:t>
      </w:r>
      <w:r>
        <w:rPr>
          <w:spacing w:val="-2"/>
          <w:sz w:val="24"/>
        </w:rPr>
        <w:t> </w:t>
      </w:r>
      <w:r>
        <w:rPr>
          <w:sz w:val="24"/>
        </w:rPr>
        <w:t>Causes</w:t>
      </w:r>
      <w:r>
        <w:rPr>
          <w:spacing w:val="40"/>
          <w:sz w:val="24"/>
        </w:rPr>
        <w:t>  </w:t>
      </w:r>
      <w:r>
        <w:rPr>
          <w:sz w:val="24"/>
        </w:rPr>
        <w:t>and Cures. Mimeo. </w:t>
      </w:r>
      <w:r>
        <w:rPr>
          <w:i/>
          <w:sz w:val="24"/>
        </w:rPr>
        <w:t>Inter- American Development Bank</w:t>
      </w:r>
      <w:r>
        <w:rPr>
          <w:sz w:val="24"/>
        </w:rPr>
        <w:t>.</w:t>
      </w:r>
    </w:p>
    <w:p>
      <w:pPr>
        <w:spacing w:before="0"/>
        <w:ind w:left="711" w:right="0" w:firstLine="0"/>
        <w:jc w:val="both"/>
        <w:rPr>
          <w:sz w:val="24"/>
        </w:rPr>
      </w:pPr>
      <w:r>
        <w:rPr>
          <w:sz w:val="24"/>
        </w:rPr>
        <w:t>Corden,</w:t>
      </w:r>
      <w:r>
        <w:rPr>
          <w:spacing w:val="-3"/>
          <w:sz w:val="24"/>
        </w:rPr>
        <w:t> </w:t>
      </w:r>
      <w:r>
        <w:rPr>
          <w:sz w:val="24"/>
        </w:rPr>
        <w:t>M.W.</w:t>
      </w:r>
      <w:r>
        <w:rPr>
          <w:spacing w:val="-1"/>
          <w:sz w:val="24"/>
        </w:rPr>
        <w:t> </w:t>
      </w:r>
      <w:r>
        <w:rPr>
          <w:sz w:val="24"/>
        </w:rPr>
        <w:t>(1984).</w:t>
      </w:r>
      <w:r>
        <w:rPr>
          <w:spacing w:val="-1"/>
          <w:sz w:val="24"/>
        </w:rPr>
        <w:t> </w:t>
      </w:r>
      <w:r>
        <w:rPr>
          <w:sz w:val="24"/>
        </w:rPr>
        <w:t>Dutch Disease:</w:t>
      </w:r>
      <w:r>
        <w:rPr>
          <w:spacing w:val="-1"/>
          <w:sz w:val="24"/>
        </w:rPr>
        <w:t> </w:t>
      </w:r>
      <w:r>
        <w:rPr>
          <w:sz w:val="24"/>
        </w:rPr>
        <w:t>Survey</w:t>
      </w:r>
      <w:r>
        <w:rPr>
          <w:spacing w:val="-4"/>
          <w:sz w:val="24"/>
        </w:rPr>
        <w:t> </w:t>
      </w:r>
      <w:r>
        <w:rPr>
          <w:sz w:val="24"/>
        </w:rPr>
        <w:t>and</w:t>
      </w:r>
      <w:r>
        <w:rPr>
          <w:spacing w:val="2"/>
          <w:sz w:val="24"/>
        </w:rPr>
        <w:t> </w:t>
      </w:r>
      <w:r>
        <w:rPr>
          <w:sz w:val="24"/>
        </w:rPr>
        <w:t>Consolidation.</w:t>
      </w:r>
      <w:r>
        <w:rPr>
          <w:spacing w:val="2"/>
          <w:sz w:val="24"/>
        </w:rPr>
        <w:t> </w:t>
      </w:r>
      <w:r>
        <w:rPr>
          <w:i/>
          <w:sz w:val="24"/>
        </w:rPr>
        <w:t>Oxford</w:t>
      </w:r>
      <w:r>
        <w:rPr>
          <w:i/>
          <w:spacing w:val="-1"/>
          <w:sz w:val="24"/>
        </w:rPr>
        <w:t> </w:t>
      </w:r>
      <w:r>
        <w:rPr>
          <w:i/>
          <w:sz w:val="24"/>
        </w:rPr>
        <w:t>Economic </w:t>
      </w:r>
      <w:r>
        <w:rPr>
          <w:i/>
          <w:spacing w:val="-2"/>
          <w:sz w:val="24"/>
        </w:rPr>
        <w:t>Papers</w:t>
      </w:r>
      <w:r>
        <w:rPr>
          <w:spacing w:val="-2"/>
          <w:sz w:val="24"/>
        </w:rPr>
        <w:t>.</w:t>
      </w:r>
    </w:p>
    <w:p>
      <w:pPr>
        <w:spacing w:before="0"/>
        <w:ind w:left="1431" w:right="471" w:hanging="721"/>
        <w:jc w:val="both"/>
        <w:rPr>
          <w:sz w:val="24"/>
        </w:rPr>
      </w:pPr>
      <w:r>
        <w:rPr>
          <w:sz w:val="24"/>
        </w:rPr>
        <w:t>Cuddington, J.</w:t>
      </w:r>
      <w:r>
        <w:rPr>
          <w:spacing w:val="40"/>
          <w:sz w:val="24"/>
        </w:rPr>
        <w:t> </w:t>
      </w:r>
      <w:r>
        <w:rPr>
          <w:sz w:val="24"/>
        </w:rPr>
        <w:t>T. (1986). </w:t>
      </w:r>
      <w:r>
        <w:rPr>
          <w:i/>
          <w:sz w:val="24"/>
        </w:rPr>
        <w:t>Capital Flight: Estimates, Issues and Explanations.</w:t>
      </w:r>
      <w:r>
        <w:rPr>
          <w:i/>
          <w:spacing w:val="40"/>
          <w:sz w:val="24"/>
        </w:rPr>
        <w:t> </w:t>
      </w:r>
      <w:r>
        <w:rPr>
          <w:sz w:val="24"/>
        </w:rPr>
        <w:t>Princeton Studies in International Finance, No: 58, Princeton, N. J., Princeton University, International Finance Section, Princeton, New Jersey.</w:t>
      </w:r>
    </w:p>
    <w:p>
      <w:pPr>
        <w:spacing w:before="0"/>
        <w:ind w:left="711" w:right="473" w:firstLine="0"/>
        <w:jc w:val="both"/>
        <w:rPr>
          <w:sz w:val="24"/>
        </w:rPr>
      </w:pPr>
      <w:r>
        <w:rPr>
          <w:sz w:val="24"/>
        </w:rPr>
        <w:t>Cuddington, J.</w:t>
      </w:r>
      <w:r>
        <w:rPr>
          <w:spacing w:val="40"/>
          <w:sz w:val="24"/>
        </w:rPr>
        <w:t> </w:t>
      </w:r>
      <w:r>
        <w:rPr>
          <w:sz w:val="24"/>
        </w:rPr>
        <w:t>T. (1987). </w:t>
      </w:r>
      <w:r>
        <w:rPr>
          <w:i/>
          <w:sz w:val="24"/>
        </w:rPr>
        <w:t>Macroeconomic Determinants of Capital Flight: An EconometricInvestigation.</w:t>
      </w:r>
      <w:r>
        <w:rPr>
          <w:sz w:val="24"/>
        </w:rPr>
        <w:t>In Lessard and Williamson, eds., Capital Flight</w:t>
      </w:r>
    </w:p>
    <w:p>
      <w:pPr>
        <w:pStyle w:val="BodyText"/>
        <w:ind w:left="1431"/>
        <w:jc w:val="both"/>
      </w:pPr>
      <w:r>
        <w:rPr/>
        <w:t>and</w:t>
      </w:r>
      <w:r>
        <w:rPr>
          <w:spacing w:val="-4"/>
        </w:rPr>
        <w:t> </w:t>
      </w:r>
      <w:r>
        <w:rPr/>
        <w:t>Third</w:t>
      </w:r>
      <w:r>
        <w:rPr>
          <w:spacing w:val="-2"/>
        </w:rPr>
        <w:t> </w:t>
      </w:r>
      <w:r>
        <w:rPr/>
        <w:t>World</w:t>
      </w:r>
      <w:r>
        <w:rPr>
          <w:spacing w:val="-2"/>
        </w:rPr>
        <w:t> </w:t>
      </w:r>
      <w:r>
        <w:rPr/>
        <w:t>Debt.</w:t>
      </w:r>
      <w:r>
        <w:rPr>
          <w:spacing w:val="-2"/>
        </w:rPr>
        <w:t> </w:t>
      </w:r>
      <w:r>
        <w:rPr/>
        <w:t>Washington,</w:t>
      </w:r>
      <w:r>
        <w:rPr>
          <w:spacing w:val="-2"/>
        </w:rPr>
        <w:t> </w:t>
      </w:r>
      <w:r>
        <w:rPr/>
        <w:t>D.C.:</w:t>
      </w:r>
      <w:r>
        <w:rPr>
          <w:spacing w:val="-1"/>
        </w:rPr>
        <w:t> </w:t>
      </w:r>
      <w:r>
        <w:rPr/>
        <w:t>Institute</w:t>
      </w:r>
      <w:r>
        <w:rPr>
          <w:spacing w:val="-1"/>
        </w:rPr>
        <w:t> </w:t>
      </w:r>
      <w:r>
        <w:rPr/>
        <w:t>forInternational</w:t>
      </w:r>
      <w:r>
        <w:rPr>
          <w:spacing w:val="-2"/>
        </w:rPr>
        <w:t> Economics.</w:t>
      </w:r>
    </w:p>
    <w:p>
      <w:pPr>
        <w:spacing w:before="0"/>
        <w:ind w:left="1522" w:right="472" w:hanging="812"/>
        <w:jc w:val="both"/>
        <w:rPr>
          <w:sz w:val="24"/>
        </w:rPr>
      </w:pPr>
      <w:r>
        <w:rPr>
          <w:sz w:val="24"/>
        </w:rPr>
        <w:t>Cumby: Robert E. and Richard M. Levich (1987). </w:t>
      </w:r>
      <w:r>
        <w:rPr>
          <w:i/>
          <w:sz w:val="24"/>
        </w:rPr>
        <w:t>On the Definition and Magnitude of Recent Capital Flight</w:t>
      </w:r>
      <w:r>
        <w:rPr>
          <w:sz w:val="24"/>
        </w:rPr>
        <w:t>. Forthcoming in Lessard and Williamson, eds. Capital Flight and Third World Debt. Washington, D.C.:</w:t>
      </w:r>
      <w:r>
        <w:rPr>
          <w:spacing w:val="80"/>
          <w:sz w:val="24"/>
        </w:rPr>
        <w:t> </w:t>
      </w:r>
      <w:r>
        <w:rPr>
          <w:sz w:val="24"/>
        </w:rPr>
        <w:t>Institute for International Economics.</w:t>
      </w:r>
    </w:p>
    <w:p>
      <w:pPr>
        <w:pStyle w:val="BodyText"/>
        <w:spacing w:before="1"/>
        <w:ind w:left="711" w:right="470"/>
        <w:jc w:val="both"/>
      </w:pPr>
      <w:r>
        <w:rPr/>
        <w:t>De Boyrie, M. (2011). Money Laundering and Income Tax Evasion: The Determination of Optimal Audits and</w:t>
      </w:r>
      <w:r>
        <w:rPr>
          <w:spacing w:val="-1"/>
        </w:rPr>
        <w:t> </w:t>
      </w:r>
      <w:r>
        <w:rPr/>
        <w:t>Inspections</w:t>
      </w:r>
      <w:r>
        <w:rPr>
          <w:spacing w:val="-3"/>
        </w:rPr>
        <w:t> </w:t>
      </w:r>
      <w:r>
        <w:rPr/>
        <w:t>to</w:t>
      </w:r>
      <w:r>
        <w:rPr>
          <w:spacing w:val="-3"/>
        </w:rPr>
        <w:t> </w:t>
      </w:r>
      <w:r>
        <w:rPr/>
        <w:t>Detect</w:t>
      </w:r>
      <w:r>
        <w:rPr>
          <w:spacing w:val="-1"/>
        </w:rPr>
        <w:t> </w:t>
      </w:r>
      <w:r>
        <w:rPr/>
        <w:t>Abnormal</w:t>
      </w:r>
      <w:r>
        <w:rPr>
          <w:spacing w:val="-3"/>
        </w:rPr>
        <w:t> </w:t>
      </w:r>
      <w:r>
        <w:rPr/>
        <w:t>Prices</w:t>
      </w:r>
      <w:r>
        <w:rPr>
          <w:spacing w:val="80"/>
        </w:rPr>
        <w:t> </w:t>
      </w:r>
      <w:r>
        <w:rPr/>
        <w:t>in</w:t>
      </w:r>
      <w:r>
        <w:rPr>
          <w:spacing w:val="37"/>
        </w:rPr>
        <w:t> </w:t>
      </w:r>
      <w:r>
        <w:rPr/>
        <w:t>International Trade. </w:t>
      </w:r>
      <w:r>
        <w:rPr>
          <w:i/>
        </w:rPr>
        <w:t>Journal of Financial Crime, 12</w:t>
      </w:r>
      <w:r>
        <w:rPr/>
        <w:t>, 123– </w:t>
      </w:r>
      <w:r>
        <w:rPr>
          <w:spacing w:val="-4"/>
        </w:rPr>
        <w:t>130.</w:t>
      </w:r>
    </w:p>
    <w:p>
      <w:pPr>
        <w:pStyle w:val="BodyText"/>
        <w:ind w:left="711" w:right="475"/>
        <w:jc w:val="both"/>
        <w:rPr>
          <w:i/>
        </w:rPr>
      </w:pPr>
      <w:r>
        <w:rPr/>
        <w:t>Devarajan, S.</w:t>
      </w:r>
      <w:r>
        <w:rPr>
          <w:spacing w:val="40"/>
        </w:rPr>
        <w:t> </w:t>
      </w:r>
      <w:r>
        <w:rPr/>
        <w:t>Swaroop, V. (2000).</w:t>
      </w:r>
      <w:r>
        <w:rPr>
          <w:spacing w:val="40"/>
        </w:rPr>
        <w:t> </w:t>
      </w:r>
      <w:r>
        <w:rPr/>
        <w:t>The Implications of Foreign Aid Fungibility for Development Assistance. In Gilbert, C.L. and D. Vines (eds.) </w:t>
      </w:r>
      <w:r>
        <w:rPr>
          <w:i/>
        </w:rPr>
        <w:t>The World Bank.</w:t>
      </w:r>
    </w:p>
    <w:p>
      <w:pPr>
        <w:pStyle w:val="BodyText"/>
        <w:tabs>
          <w:tab w:pos="5752" w:val="left" w:leader="none"/>
        </w:tabs>
        <w:ind w:left="711" w:right="479"/>
        <w:jc w:val="both"/>
        <w:rPr>
          <w:i/>
        </w:rPr>
      </w:pPr>
      <w:r>
        <w:rPr/>
        <w:t>Dooley, M. P. (1986). Country-Specific Risk Premiums, Capital Flight and Net Investment Income Payments in Selected Developing Countries.</w:t>
        <w:tab/>
        <w:t>Washington DC: </w:t>
      </w:r>
      <w:r>
        <w:rPr>
          <w:i/>
        </w:rPr>
        <w:t>International Monetary Fund</w:t>
      </w:r>
    </w:p>
    <w:p>
      <w:pPr>
        <w:spacing w:before="0"/>
        <w:ind w:left="711" w:right="474" w:firstLine="0"/>
        <w:jc w:val="both"/>
        <w:rPr>
          <w:sz w:val="24"/>
        </w:rPr>
      </w:pPr>
      <w:r>
        <w:rPr>
          <w:sz w:val="24"/>
        </w:rPr>
        <w:t>Dooley, M. P.,</w:t>
      </w:r>
      <w:r>
        <w:rPr>
          <w:spacing w:val="40"/>
          <w:sz w:val="24"/>
        </w:rPr>
        <w:t> </w:t>
      </w:r>
      <w:r>
        <w:rPr>
          <w:sz w:val="24"/>
        </w:rPr>
        <w:t>William H., Ralph, T. &amp;John U.(1990).</w:t>
      </w:r>
      <w:r>
        <w:rPr>
          <w:spacing w:val="40"/>
          <w:sz w:val="24"/>
        </w:rPr>
        <w:t> </w:t>
      </w:r>
      <w:r>
        <w:rPr>
          <w:sz w:val="24"/>
        </w:rPr>
        <w:t>An Analysis of Externa Debt ositions, Eight Developing Countries through 1990. </w:t>
      </w:r>
      <w:r>
        <w:rPr>
          <w:i/>
          <w:sz w:val="24"/>
        </w:rPr>
        <w:t>Journal of</w:t>
      </w:r>
      <w:r>
        <w:rPr>
          <w:i/>
          <w:spacing w:val="80"/>
          <w:sz w:val="24"/>
        </w:rPr>
        <w:t>   </w:t>
      </w:r>
      <w:r>
        <w:rPr>
          <w:i/>
          <w:sz w:val="24"/>
        </w:rPr>
        <w:t>Development Economics. Vol 2, </w:t>
      </w:r>
      <w:r>
        <w:rPr>
          <w:sz w:val="24"/>
        </w:rPr>
        <w:t>1986.</w:t>
      </w:r>
    </w:p>
    <w:p>
      <w:pPr>
        <w:tabs>
          <w:tab w:pos="5752" w:val="left" w:leader="none"/>
        </w:tabs>
        <w:spacing w:before="0"/>
        <w:ind w:left="711" w:right="473" w:firstLine="0"/>
        <w:jc w:val="both"/>
        <w:rPr>
          <w:sz w:val="24"/>
        </w:rPr>
      </w:pPr>
      <w:r>
        <w:rPr>
          <w:sz w:val="24"/>
        </w:rPr>
        <w:t>Dooley M.</w:t>
      </w:r>
      <w:r>
        <w:rPr>
          <w:spacing w:val="40"/>
          <w:sz w:val="24"/>
        </w:rPr>
        <w:t> </w:t>
      </w:r>
      <w:r>
        <w:rPr>
          <w:sz w:val="24"/>
        </w:rPr>
        <w:t>&amp; Kletzer, K.M.</w:t>
      </w:r>
      <w:r>
        <w:rPr>
          <w:spacing w:val="40"/>
          <w:sz w:val="24"/>
        </w:rPr>
        <w:t> </w:t>
      </w:r>
      <w:r>
        <w:rPr>
          <w:sz w:val="24"/>
        </w:rPr>
        <w:t>(1994). Capital Flight, External Debt and Domestic Policies. </w:t>
      </w:r>
      <w:r>
        <w:rPr>
          <w:i/>
          <w:sz w:val="24"/>
        </w:rPr>
        <w:t>Federal Reserve Bank of San Francisco Economic</w:t>
      </w:r>
      <w:r>
        <w:rPr>
          <w:i/>
          <w:spacing w:val="80"/>
          <w:sz w:val="24"/>
        </w:rPr>
        <w:t>  </w:t>
      </w:r>
      <w:r>
        <w:rPr>
          <w:i/>
          <w:sz w:val="24"/>
        </w:rPr>
        <w:t>Review,</w:t>
        <w:tab/>
        <w:t>No.3</w:t>
      </w:r>
      <w:r>
        <w:rPr>
          <w:sz w:val="24"/>
        </w:rPr>
        <w:t>,</w:t>
      </w:r>
      <w:r>
        <w:rPr>
          <w:spacing w:val="40"/>
          <w:sz w:val="24"/>
        </w:rPr>
        <w:t> </w:t>
      </w:r>
      <w:r>
        <w:rPr>
          <w:sz w:val="24"/>
        </w:rPr>
        <w:t>29-37.</w:t>
      </w:r>
    </w:p>
    <w:p>
      <w:pPr>
        <w:pStyle w:val="BodyText"/>
        <w:ind w:left="711"/>
        <w:jc w:val="both"/>
      </w:pPr>
      <w:r>
        <w:rPr/>
        <w:t>Dornbusch,</w:t>
      </w:r>
      <w:r>
        <w:rPr>
          <w:spacing w:val="62"/>
        </w:rPr>
        <w:t> </w:t>
      </w:r>
      <w:r>
        <w:rPr/>
        <w:t>R.</w:t>
      </w:r>
      <w:r>
        <w:rPr>
          <w:spacing w:val="65"/>
        </w:rPr>
        <w:t> </w:t>
      </w:r>
      <w:r>
        <w:rPr/>
        <w:t>(1985).</w:t>
      </w:r>
      <w:r>
        <w:rPr>
          <w:spacing w:val="67"/>
        </w:rPr>
        <w:t> </w:t>
      </w:r>
      <w:r>
        <w:rPr/>
        <w:t>Policy</w:t>
      </w:r>
      <w:r>
        <w:rPr>
          <w:spacing w:val="59"/>
        </w:rPr>
        <w:t> </w:t>
      </w:r>
      <w:r>
        <w:rPr/>
        <w:t>and</w:t>
      </w:r>
      <w:r>
        <w:rPr>
          <w:spacing w:val="64"/>
        </w:rPr>
        <w:t> </w:t>
      </w:r>
      <w:r>
        <w:rPr/>
        <w:t>Performance</w:t>
      </w:r>
      <w:r>
        <w:rPr>
          <w:spacing w:val="68"/>
        </w:rPr>
        <w:t> </w:t>
      </w:r>
      <w:r>
        <w:rPr/>
        <w:t>Links</w:t>
      </w:r>
      <w:r>
        <w:rPr>
          <w:spacing w:val="64"/>
        </w:rPr>
        <w:t> </w:t>
      </w:r>
      <w:r>
        <w:rPr/>
        <w:t>Between</w:t>
      </w:r>
      <w:r>
        <w:rPr>
          <w:spacing w:val="67"/>
        </w:rPr>
        <w:t> </w:t>
      </w:r>
      <w:r>
        <w:rPr/>
        <w:t>LDC</w:t>
      </w:r>
      <w:r>
        <w:rPr>
          <w:spacing w:val="67"/>
        </w:rPr>
        <w:t> </w:t>
      </w:r>
      <w:r>
        <w:rPr/>
        <w:t>Debtors</w:t>
      </w:r>
      <w:r>
        <w:rPr>
          <w:spacing w:val="63"/>
        </w:rPr>
        <w:t> </w:t>
      </w:r>
      <w:r>
        <w:rPr/>
        <w:t>and</w:t>
      </w:r>
      <w:r>
        <w:rPr>
          <w:spacing w:val="67"/>
        </w:rPr>
        <w:t> </w:t>
      </w:r>
      <w:r>
        <w:rPr/>
        <w:t>Industrial</w:t>
      </w:r>
      <w:r>
        <w:rPr>
          <w:spacing w:val="67"/>
        </w:rPr>
        <w:t> </w:t>
      </w:r>
      <w:r>
        <w:rPr>
          <w:spacing w:val="-2"/>
        </w:rPr>
        <w:t>Nations.</w:t>
      </w:r>
    </w:p>
    <w:p>
      <w:pPr>
        <w:spacing w:before="0"/>
        <w:ind w:left="711" w:right="0" w:firstLine="0"/>
        <w:jc w:val="both"/>
        <w:rPr>
          <w:sz w:val="24"/>
        </w:rPr>
      </w:pPr>
      <w:r>
        <w:rPr>
          <w:i/>
          <w:sz w:val="24"/>
        </w:rPr>
        <w:t>Brookings</w:t>
      </w:r>
      <w:r>
        <w:rPr>
          <w:i/>
          <w:spacing w:val="-1"/>
          <w:sz w:val="24"/>
        </w:rPr>
        <w:t> </w:t>
      </w:r>
      <w:r>
        <w:rPr>
          <w:i/>
          <w:sz w:val="24"/>
        </w:rPr>
        <w:t>Papers on</w:t>
      </w:r>
      <w:r>
        <w:rPr>
          <w:i/>
          <w:spacing w:val="-1"/>
          <w:sz w:val="24"/>
        </w:rPr>
        <w:t> </w:t>
      </w:r>
      <w:r>
        <w:rPr>
          <w:i/>
          <w:sz w:val="24"/>
        </w:rPr>
        <w:t>Economic</w:t>
      </w:r>
      <w:r>
        <w:rPr>
          <w:i/>
          <w:spacing w:val="-1"/>
          <w:sz w:val="24"/>
        </w:rPr>
        <w:t> </w:t>
      </w:r>
      <w:r>
        <w:rPr>
          <w:i/>
          <w:sz w:val="24"/>
        </w:rPr>
        <w:t>Activity.</w:t>
      </w:r>
      <w:r>
        <w:rPr>
          <w:i/>
          <w:spacing w:val="-1"/>
          <w:sz w:val="24"/>
        </w:rPr>
        <w:t> </w:t>
      </w:r>
      <w:r>
        <w:rPr>
          <w:i/>
          <w:sz w:val="24"/>
        </w:rPr>
        <w:t>2, </w:t>
      </w:r>
      <w:r>
        <w:rPr>
          <w:spacing w:val="-2"/>
          <w:sz w:val="24"/>
        </w:rPr>
        <w:t>1985.</w:t>
      </w:r>
    </w:p>
    <w:p>
      <w:pPr>
        <w:spacing w:before="0"/>
        <w:ind w:left="711" w:right="592" w:firstLine="0"/>
        <w:jc w:val="both"/>
        <w:rPr>
          <w:sz w:val="24"/>
        </w:rPr>
      </w:pPr>
      <w:r>
        <w:rPr>
          <w:sz w:val="24"/>
        </w:rPr>
        <w:t>Eaton,</w:t>
      </w:r>
      <w:r>
        <w:rPr>
          <w:spacing w:val="-3"/>
          <w:sz w:val="24"/>
        </w:rPr>
        <w:t> </w:t>
      </w:r>
      <w:r>
        <w:rPr>
          <w:sz w:val="24"/>
        </w:rPr>
        <w:t>Jonathon,</w:t>
      </w:r>
      <w:r>
        <w:rPr>
          <w:spacing w:val="-2"/>
          <w:sz w:val="24"/>
        </w:rPr>
        <w:t> </w:t>
      </w:r>
      <w:r>
        <w:rPr>
          <w:sz w:val="24"/>
        </w:rPr>
        <w:t>(1987).</w:t>
      </w:r>
      <w:r>
        <w:rPr>
          <w:spacing w:val="-3"/>
          <w:sz w:val="24"/>
        </w:rPr>
        <w:t> </w:t>
      </w:r>
      <w:r>
        <w:rPr>
          <w:sz w:val="24"/>
        </w:rPr>
        <w:t>Public</w:t>
      </w:r>
      <w:r>
        <w:rPr>
          <w:spacing w:val="-4"/>
          <w:sz w:val="24"/>
        </w:rPr>
        <w:t> </w:t>
      </w:r>
      <w:r>
        <w:rPr>
          <w:sz w:val="24"/>
        </w:rPr>
        <w:t>Debt</w:t>
      </w:r>
      <w:r>
        <w:rPr>
          <w:spacing w:val="-3"/>
          <w:sz w:val="24"/>
        </w:rPr>
        <w:t> </w:t>
      </w:r>
      <w:r>
        <w:rPr>
          <w:sz w:val="24"/>
        </w:rPr>
        <w:t>Guarantees</w:t>
      </w:r>
      <w:r>
        <w:rPr>
          <w:spacing w:val="-3"/>
          <w:sz w:val="24"/>
        </w:rPr>
        <w:t> </w:t>
      </w:r>
      <w:r>
        <w:rPr>
          <w:sz w:val="24"/>
        </w:rPr>
        <w:t>and</w:t>
      </w:r>
      <w:r>
        <w:rPr>
          <w:spacing w:val="-3"/>
          <w:sz w:val="24"/>
        </w:rPr>
        <w:t> </w:t>
      </w:r>
      <w:r>
        <w:rPr>
          <w:sz w:val="24"/>
        </w:rPr>
        <w:t>Private</w:t>
      </w:r>
      <w:r>
        <w:rPr>
          <w:spacing w:val="-3"/>
          <w:sz w:val="24"/>
        </w:rPr>
        <w:t> </w:t>
      </w:r>
      <w:r>
        <w:rPr>
          <w:sz w:val="24"/>
        </w:rPr>
        <w:t>Capital</w:t>
      </w:r>
      <w:r>
        <w:rPr>
          <w:spacing w:val="-3"/>
          <w:sz w:val="24"/>
        </w:rPr>
        <w:t> </w:t>
      </w:r>
      <w:r>
        <w:rPr>
          <w:sz w:val="24"/>
        </w:rPr>
        <w:t>Flight.</w:t>
      </w:r>
      <w:r>
        <w:rPr>
          <w:spacing w:val="40"/>
          <w:sz w:val="24"/>
        </w:rPr>
        <w:t> </w:t>
      </w:r>
      <w:r>
        <w:rPr>
          <w:i/>
          <w:sz w:val="24"/>
        </w:rPr>
        <w:t>The</w:t>
      </w:r>
      <w:r>
        <w:rPr>
          <w:i/>
          <w:spacing w:val="-2"/>
          <w:sz w:val="24"/>
        </w:rPr>
        <w:t> </w:t>
      </w:r>
      <w:r>
        <w:rPr>
          <w:i/>
          <w:sz w:val="24"/>
        </w:rPr>
        <w:t>World</w:t>
      </w:r>
      <w:r>
        <w:rPr>
          <w:i/>
          <w:spacing w:val="-3"/>
          <w:sz w:val="24"/>
        </w:rPr>
        <w:t> </w:t>
      </w:r>
      <w:r>
        <w:rPr>
          <w:i/>
          <w:sz w:val="24"/>
        </w:rPr>
        <w:t>Bank</w:t>
      </w:r>
      <w:r>
        <w:rPr>
          <w:i/>
          <w:spacing w:val="40"/>
          <w:sz w:val="24"/>
        </w:rPr>
        <w:t>  </w:t>
      </w:r>
      <w:r>
        <w:rPr>
          <w:i/>
          <w:sz w:val="24"/>
        </w:rPr>
        <w:t>Economic Review, Vol. 1</w:t>
      </w:r>
      <w:r>
        <w:rPr>
          <w:sz w:val="24"/>
        </w:rPr>
        <w:t>, No. 3, 377–95.</w:t>
      </w:r>
    </w:p>
    <w:p>
      <w:pPr>
        <w:tabs>
          <w:tab w:pos="7912" w:val="left" w:leader="none"/>
          <w:tab w:pos="10525" w:val="left" w:leader="none"/>
        </w:tabs>
        <w:spacing w:before="1"/>
        <w:ind w:left="711" w:right="471" w:firstLine="0"/>
        <w:jc w:val="left"/>
        <w:rPr>
          <w:i/>
          <w:sz w:val="24"/>
        </w:rPr>
      </w:pPr>
      <w:r>
        <w:rPr>
          <w:sz w:val="24"/>
        </w:rPr>
        <w:t>Erbe, S. (1985).</w:t>
      </w:r>
      <w:r>
        <w:rPr>
          <w:spacing w:val="40"/>
          <w:sz w:val="24"/>
        </w:rPr>
        <w:t> </w:t>
      </w:r>
      <w:r>
        <w:rPr>
          <w:sz w:val="24"/>
        </w:rPr>
        <w:t>The Flight of Capital from Developing</w:t>
      </w:r>
      <w:r>
        <w:rPr>
          <w:spacing w:val="-1"/>
          <w:sz w:val="24"/>
        </w:rPr>
        <w:t> </w:t>
      </w:r>
      <w:r>
        <w:rPr>
          <w:sz w:val="24"/>
        </w:rPr>
        <w:t>Countries.</w:t>
      </w:r>
      <w:r>
        <w:rPr>
          <w:spacing w:val="40"/>
          <w:sz w:val="24"/>
        </w:rPr>
        <w:t> </w:t>
      </w:r>
      <w:r>
        <w:rPr>
          <w:i/>
          <w:sz w:val="24"/>
        </w:rPr>
        <w:t>Intereconomics </w:t>
      </w:r>
      <w:r>
        <w:rPr>
          <w:sz w:val="24"/>
        </w:rPr>
        <w:t>(November/December). Federal Republic of Nigeria, (1996).</w:t>
      </w:r>
      <w:r>
        <w:rPr>
          <w:spacing w:val="40"/>
          <w:sz w:val="24"/>
        </w:rPr>
        <w:t> </w:t>
      </w:r>
      <w:r>
        <w:rPr>
          <w:sz w:val="24"/>
        </w:rPr>
        <w:t>Structural Adjustment programme.</w:t>
        <w:tab/>
      </w:r>
      <w:r>
        <w:rPr>
          <w:i/>
          <w:spacing w:val="-2"/>
          <w:sz w:val="24"/>
        </w:rPr>
        <w:t>Privatizationof</w:t>
      </w:r>
      <w:r>
        <w:rPr>
          <w:i/>
          <w:sz w:val="24"/>
        </w:rPr>
        <w:tab/>
      </w:r>
      <w:r>
        <w:rPr>
          <w:i/>
          <w:spacing w:val="-2"/>
          <w:sz w:val="24"/>
        </w:rPr>
        <w:t>Public </w:t>
      </w:r>
      <w:r>
        <w:rPr>
          <w:i/>
          <w:sz w:val="24"/>
        </w:rPr>
        <w:t>Enterprises in Nigeria.</w:t>
      </w:r>
    </w:p>
    <w:p>
      <w:pPr>
        <w:pStyle w:val="BodyText"/>
        <w:tabs>
          <w:tab w:pos="5752" w:val="left" w:leader="none"/>
          <w:tab w:pos="10073" w:val="left" w:leader="none"/>
        </w:tabs>
        <w:ind w:left="711" w:right="487"/>
      </w:pPr>
      <w:r>
        <w:rPr/>
        <w:t>Frait, J.,Komarek, L. &amp; Melecky, M.M.(2006). “The Real Exchange Rate Misaligment in the</w:t>
        <w:tab/>
      </w:r>
      <w:r>
        <w:rPr>
          <w:spacing w:val="-4"/>
        </w:rPr>
        <w:t>Five </w:t>
      </w:r>
      <w:r>
        <w:rPr/>
        <w:t>Central</w:t>
      </w:r>
      <w:r>
        <w:rPr>
          <w:spacing w:val="40"/>
        </w:rPr>
        <w:t> </w:t>
      </w:r>
      <w:r>
        <w:rPr/>
        <w:t>European Countries.” </w:t>
      </w:r>
      <w:r>
        <w:rPr>
          <w:i/>
        </w:rPr>
        <w:t>Warwick Economic</w:t>
        <w:tab/>
        <w:t>Research Paper </w:t>
      </w:r>
      <w:r>
        <w:rPr/>
        <w:t>No. 739, University Of Warwick Gajdeezka</w:t>
      </w:r>
      <w:r>
        <w:rPr>
          <w:spacing w:val="29"/>
        </w:rPr>
        <w:t> </w:t>
      </w:r>
      <w:r>
        <w:rPr/>
        <w:t>and</w:t>
      </w:r>
      <w:r>
        <w:rPr>
          <w:spacing w:val="27"/>
        </w:rPr>
        <w:t> </w:t>
      </w:r>
      <w:r>
        <w:rPr/>
        <w:t>Oks</w:t>
      </w:r>
      <w:r>
        <w:rPr>
          <w:spacing w:val="27"/>
        </w:rPr>
        <w:t> </w:t>
      </w:r>
      <w:r>
        <w:rPr/>
        <w:t>2009.</w:t>
      </w:r>
      <w:r>
        <w:rPr>
          <w:spacing w:val="27"/>
        </w:rPr>
        <w:t> </w:t>
      </w:r>
      <w:r>
        <w:rPr/>
        <w:t>Vector</w:t>
      </w:r>
      <w:r>
        <w:rPr>
          <w:spacing w:val="29"/>
        </w:rPr>
        <w:t> </w:t>
      </w:r>
      <w:r>
        <w:rPr/>
        <w:t>Autoregression</w:t>
      </w:r>
      <w:r>
        <w:rPr>
          <w:spacing w:val="27"/>
        </w:rPr>
        <w:t> </w:t>
      </w:r>
      <w:r>
        <w:rPr/>
        <w:t>and</w:t>
      </w:r>
      <w:r>
        <w:rPr>
          <w:spacing w:val="27"/>
        </w:rPr>
        <w:t> </w:t>
      </w:r>
      <w:r>
        <w:rPr/>
        <w:t>Causality:</w:t>
      </w:r>
      <w:r>
        <w:rPr>
          <w:spacing w:val="28"/>
        </w:rPr>
        <w:t> </w:t>
      </w:r>
      <w:r>
        <w:rPr/>
        <w:t>A</w:t>
      </w:r>
      <w:r>
        <w:rPr>
          <w:spacing w:val="27"/>
        </w:rPr>
        <w:t> </w:t>
      </w:r>
      <w:r>
        <w:rPr/>
        <w:t>Theoretical</w:t>
      </w:r>
      <w:r>
        <w:rPr>
          <w:spacing w:val="28"/>
        </w:rPr>
        <w:t> </w:t>
      </w:r>
      <w:r>
        <w:rPr/>
        <w:t>Overview</w:t>
      </w:r>
      <w:r>
        <w:rPr>
          <w:spacing w:val="29"/>
        </w:rPr>
        <w:t> </w:t>
      </w:r>
      <w:r>
        <w:rPr/>
        <w:t>and</w:t>
      </w:r>
      <w:r>
        <w:rPr>
          <w:spacing w:val="27"/>
        </w:rPr>
        <w:t> </w:t>
      </w:r>
      <w:r>
        <w:rPr/>
        <w:t>Simulation Study.</w:t>
      </w:r>
      <w:r>
        <w:rPr>
          <w:spacing w:val="40"/>
        </w:rPr>
        <w:t> </w:t>
      </w:r>
      <w:r>
        <w:rPr>
          <w:i/>
        </w:rPr>
        <w:t>Econometric Review, 13(2), </w:t>
      </w:r>
      <w:r>
        <w:rPr/>
        <w:t>259-285.</w:t>
      </w:r>
    </w:p>
    <w:p>
      <w:pPr>
        <w:pStyle w:val="BodyText"/>
        <w:ind w:left="711"/>
      </w:pPr>
      <w:r>
        <w:rPr/>
        <w:t>Gibson,</w:t>
      </w:r>
      <w:r>
        <w:rPr>
          <w:spacing w:val="24"/>
        </w:rPr>
        <w:t> </w:t>
      </w:r>
      <w:r>
        <w:rPr/>
        <w:t>H.</w:t>
      </w:r>
      <w:r>
        <w:rPr>
          <w:spacing w:val="27"/>
        </w:rPr>
        <w:t> </w:t>
      </w:r>
      <w:r>
        <w:rPr/>
        <w:t>D.,</w:t>
      </w:r>
      <w:r>
        <w:rPr>
          <w:spacing w:val="27"/>
        </w:rPr>
        <w:t> </w:t>
      </w:r>
      <w:r>
        <w:rPr/>
        <w:t>&amp;</w:t>
      </w:r>
      <w:r>
        <w:rPr>
          <w:spacing w:val="25"/>
        </w:rPr>
        <w:t> </w:t>
      </w:r>
      <w:r>
        <w:rPr/>
        <w:t>Euclid</w:t>
      </w:r>
      <w:r>
        <w:rPr>
          <w:spacing w:val="27"/>
        </w:rPr>
        <w:t> </w:t>
      </w:r>
      <w:r>
        <w:rPr/>
        <w:t>T.</w:t>
      </w:r>
      <w:r>
        <w:rPr>
          <w:spacing w:val="28"/>
        </w:rPr>
        <w:t> </w:t>
      </w:r>
      <w:r>
        <w:rPr/>
        <w:t>(1993).</w:t>
      </w:r>
      <w:r>
        <w:rPr>
          <w:spacing w:val="27"/>
        </w:rPr>
        <w:t> </w:t>
      </w:r>
      <w:r>
        <w:rPr/>
        <w:t>Testing</w:t>
      </w:r>
      <w:r>
        <w:rPr>
          <w:spacing w:val="25"/>
        </w:rPr>
        <w:t> </w:t>
      </w:r>
      <w:r>
        <w:rPr/>
        <w:t>a</w:t>
      </w:r>
      <w:r>
        <w:rPr>
          <w:spacing w:val="28"/>
        </w:rPr>
        <w:t> </w:t>
      </w:r>
      <w:r>
        <w:rPr/>
        <w:t>Flow</w:t>
      </w:r>
      <w:r>
        <w:rPr>
          <w:spacing w:val="27"/>
        </w:rPr>
        <w:t> </w:t>
      </w:r>
      <w:r>
        <w:rPr/>
        <w:t>Model</w:t>
      </w:r>
      <w:r>
        <w:rPr>
          <w:spacing w:val="28"/>
        </w:rPr>
        <w:t> </w:t>
      </w:r>
      <w:r>
        <w:rPr/>
        <w:t>of</w:t>
      </w:r>
      <w:r>
        <w:rPr>
          <w:spacing w:val="26"/>
        </w:rPr>
        <w:t> </w:t>
      </w:r>
      <w:r>
        <w:rPr/>
        <w:t>Capital</w:t>
      </w:r>
      <w:r>
        <w:rPr>
          <w:spacing w:val="28"/>
        </w:rPr>
        <w:t> </w:t>
      </w:r>
      <w:r>
        <w:rPr/>
        <w:t>Flight</w:t>
      </w:r>
      <w:r>
        <w:rPr>
          <w:spacing w:val="28"/>
        </w:rPr>
        <w:t> </w:t>
      </w:r>
      <w:r>
        <w:rPr/>
        <w:t>in</w:t>
      </w:r>
      <w:r>
        <w:rPr>
          <w:spacing w:val="28"/>
        </w:rPr>
        <w:t> </w:t>
      </w:r>
      <w:r>
        <w:rPr/>
        <w:t>Five</w:t>
      </w:r>
      <w:r>
        <w:rPr>
          <w:spacing w:val="27"/>
        </w:rPr>
        <w:t> </w:t>
      </w:r>
      <w:r>
        <w:rPr/>
        <w:t>European</w:t>
      </w:r>
      <w:r>
        <w:rPr>
          <w:spacing w:val="27"/>
        </w:rPr>
        <w:t> </w:t>
      </w:r>
      <w:r>
        <w:rPr>
          <w:spacing w:val="-2"/>
        </w:rPr>
        <w:t>Countries.</w:t>
      </w:r>
    </w:p>
    <w:p>
      <w:pPr>
        <w:spacing w:before="0"/>
        <w:ind w:left="711" w:right="0" w:firstLine="0"/>
        <w:jc w:val="left"/>
        <w:rPr>
          <w:sz w:val="24"/>
        </w:rPr>
      </w:pPr>
      <w:r>
        <w:rPr>
          <w:i/>
          <w:sz w:val="24"/>
        </w:rPr>
        <w:t>Manchester</w:t>
      </w:r>
      <w:r>
        <w:rPr>
          <w:i/>
          <w:spacing w:val="-1"/>
          <w:sz w:val="24"/>
        </w:rPr>
        <w:t> </w:t>
      </w:r>
      <w:r>
        <w:rPr>
          <w:i/>
          <w:sz w:val="24"/>
        </w:rPr>
        <w:t>School of Economic</w:t>
      </w:r>
      <w:r>
        <w:rPr>
          <w:i/>
          <w:spacing w:val="-2"/>
          <w:sz w:val="24"/>
        </w:rPr>
        <w:t> </w:t>
      </w:r>
      <w:r>
        <w:rPr>
          <w:i/>
          <w:sz w:val="24"/>
        </w:rPr>
        <w:t>and Social</w:t>
      </w:r>
      <w:r>
        <w:rPr>
          <w:i/>
          <w:spacing w:val="69"/>
          <w:sz w:val="24"/>
        </w:rPr>
        <w:t> </w:t>
      </w:r>
      <w:r>
        <w:rPr>
          <w:i/>
          <w:sz w:val="24"/>
        </w:rPr>
        <w:t>Studies</w:t>
      </w:r>
      <w:r>
        <w:rPr>
          <w:sz w:val="24"/>
        </w:rPr>
        <w:t>, </w:t>
      </w:r>
      <w:r>
        <w:rPr>
          <w:i/>
          <w:sz w:val="24"/>
        </w:rPr>
        <w:t>Vol.</w:t>
      </w:r>
      <w:r>
        <w:rPr>
          <w:i/>
          <w:spacing w:val="-1"/>
          <w:sz w:val="24"/>
        </w:rPr>
        <w:t> </w:t>
      </w:r>
      <w:r>
        <w:rPr>
          <w:i/>
          <w:sz w:val="24"/>
        </w:rPr>
        <w:t>61</w:t>
      </w:r>
      <w:r>
        <w:rPr>
          <w:sz w:val="24"/>
        </w:rPr>
        <w:t>, No. 2, </w:t>
      </w:r>
      <w:r>
        <w:rPr>
          <w:spacing w:val="-2"/>
          <w:sz w:val="24"/>
        </w:rPr>
        <w:t>144–66.</w:t>
      </w:r>
    </w:p>
    <w:p>
      <w:pPr>
        <w:pStyle w:val="BodyText"/>
        <w:tabs>
          <w:tab w:pos="5752" w:val="left" w:leader="none"/>
          <w:tab w:pos="10292" w:val="left" w:leader="none"/>
          <w:tab w:pos="10831" w:val="left" w:leader="none"/>
        </w:tabs>
        <w:ind w:left="711" w:right="471"/>
      </w:pPr>
      <w:r>
        <w:rPr/>
        <w:t>Hermes, N., &amp; Robert L. (1992). The Magnitude and Determinants of Capital Flight: (The Case</w:t>
      </w:r>
      <w:r>
        <w:rPr>
          <w:spacing w:val="80"/>
        </w:rPr>
        <w:t> </w:t>
      </w:r>
      <w:r>
        <w:rPr/>
        <w:t>for</w:t>
        <w:tab/>
      </w:r>
      <w:r>
        <w:rPr>
          <w:spacing w:val="-4"/>
        </w:rPr>
        <w:t>Six </w:t>
      </w:r>
      <w:r>
        <w:rPr/>
        <w:t>SubSaharan</w:t>
      </w:r>
      <w:r>
        <w:rPr>
          <w:spacing w:val="-2"/>
        </w:rPr>
        <w:t> </w:t>
      </w:r>
      <w:r>
        <w:rPr/>
        <w:t>African</w:t>
      </w:r>
      <w:r>
        <w:rPr>
          <w:spacing w:val="-1"/>
        </w:rPr>
        <w:t> </w:t>
      </w:r>
      <w:r>
        <w:rPr/>
        <w:t>Countries. </w:t>
      </w:r>
      <w:r>
        <w:rPr>
          <w:i/>
        </w:rPr>
        <w:t>De</w:t>
      </w:r>
      <w:r>
        <w:rPr>
          <w:i/>
          <w:spacing w:val="-3"/>
        </w:rPr>
        <w:t> </w:t>
      </w:r>
      <w:r>
        <w:rPr>
          <w:spacing w:val="-2"/>
        </w:rPr>
        <w:t>Economist,</w:t>
      </w:r>
      <w:r>
        <w:rPr/>
        <w:tab/>
      </w:r>
      <w:r>
        <w:rPr>
          <w:i/>
        </w:rPr>
        <w:t>Vol.</w:t>
      </w:r>
      <w:r>
        <w:rPr>
          <w:i/>
          <w:spacing w:val="-3"/>
        </w:rPr>
        <w:t> </w:t>
      </w:r>
      <w:r>
        <w:rPr>
          <w:i/>
        </w:rPr>
        <w:t>140</w:t>
      </w:r>
      <w:r>
        <w:rPr/>
        <w:t>, No. 4, 515–</w:t>
      </w:r>
      <w:r>
        <w:rPr>
          <w:spacing w:val="33"/>
        </w:rPr>
        <w:t> </w:t>
      </w:r>
      <w:r>
        <w:rPr>
          <w:spacing w:val="-2"/>
        </w:rPr>
        <w:t>530.Policies:</w:t>
      </w:r>
      <w:r>
        <w:rPr/>
        <w:tab/>
      </w:r>
      <w:r>
        <w:rPr>
          <w:spacing w:val="-3"/>
        </w:rPr>
        <w:t>196-</w:t>
      </w:r>
      <w:r>
        <w:rPr>
          <w:spacing w:val="-4"/>
        </w:rPr>
        <w:t>209.</w:t>
      </w:r>
    </w:p>
    <w:p>
      <w:pPr>
        <w:pStyle w:val="BodyText"/>
        <w:ind w:left="711"/>
      </w:pPr>
      <w:r>
        <w:rPr/>
        <w:t>Cambridge:</w:t>
      </w:r>
      <w:r>
        <w:rPr>
          <w:spacing w:val="59"/>
        </w:rPr>
        <w:t> </w:t>
      </w:r>
      <w:r>
        <w:rPr/>
        <w:t>Cambridge University</w:t>
      </w:r>
      <w:r>
        <w:rPr>
          <w:spacing w:val="-5"/>
        </w:rPr>
        <w:t> </w:t>
      </w:r>
      <w:r>
        <w:rPr>
          <w:spacing w:val="-2"/>
        </w:rPr>
        <w:t>Press.</w:t>
      </w:r>
    </w:p>
    <w:p>
      <w:pPr>
        <w:pStyle w:val="BodyText"/>
        <w:ind w:left="1522" w:right="585" w:hanging="812"/>
      </w:pPr>
      <w:r>
        <w:rPr/>
        <w:t>Hermes, N. &amp; Lensink, R. (2001). Capital Flight and the Uncertainty of Governrment Policies. </w:t>
      </w:r>
      <w:r>
        <w:rPr>
          <w:i/>
        </w:rPr>
        <w:t>Economics Letters, 71 (3</w:t>
      </w:r>
      <w:r>
        <w:rPr/>
        <w:t>),</w:t>
      </w:r>
      <w:r>
        <w:rPr>
          <w:spacing w:val="40"/>
        </w:rPr>
        <w:t> </w:t>
      </w:r>
      <w:r>
        <w:rPr/>
        <w:t>377-381</w:t>
      </w:r>
    </w:p>
    <w:p>
      <w:pPr>
        <w:pStyle w:val="BodyText"/>
        <w:ind w:left="711" w:right="474"/>
        <w:jc w:val="both"/>
      </w:pPr>
      <w:r>
        <w:rPr/>
        <w:t>Hermes, N., Lensink, R., &amp; Murinde, V. (2002). Capital Flight: The Key is Light: The Key Issues. In A. Mullineux</w:t>
      </w:r>
      <w:r>
        <w:rPr>
          <w:spacing w:val="-2"/>
        </w:rPr>
        <w:t> </w:t>
      </w:r>
      <w:r>
        <w:rPr/>
        <w:t>and</w:t>
      </w:r>
      <w:r>
        <w:rPr>
          <w:spacing w:val="-3"/>
        </w:rPr>
        <w:t> </w:t>
      </w:r>
      <w:r>
        <w:rPr/>
        <w:t>V.</w:t>
      </w:r>
      <w:r>
        <w:rPr>
          <w:spacing w:val="-3"/>
        </w:rPr>
        <w:t> </w:t>
      </w:r>
      <w:r>
        <w:rPr/>
        <w:t>Murinde</w:t>
      </w:r>
      <w:r>
        <w:rPr>
          <w:spacing w:val="-4"/>
        </w:rPr>
        <w:t> </w:t>
      </w:r>
      <w:r>
        <w:rPr/>
        <w:t>(Eds.),</w:t>
      </w:r>
      <w:r>
        <w:rPr>
          <w:spacing w:val="-2"/>
        </w:rPr>
        <w:t> </w:t>
      </w:r>
      <w:r>
        <w:rPr>
          <w:i/>
        </w:rPr>
        <w:t>Handbook</w:t>
      </w:r>
      <w:r>
        <w:rPr>
          <w:i/>
          <w:spacing w:val="-4"/>
        </w:rPr>
        <w:t> </w:t>
      </w:r>
      <w:r>
        <w:rPr>
          <w:i/>
        </w:rPr>
        <w:t>of</w:t>
      </w:r>
      <w:r>
        <w:rPr>
          <w:i/>
          <w:spacing w:val="40"/>
        </w:rPr>
        <w:t>  </w:t>
      </w:r>
      <w:r>
        <w:rPr>
          <w:i/>
        </w:rPr>
        <w:t>International Banking </w:t>
      </w:r>
      <w:r>
        <w:rPr/>
        <w:t>(516-545). Cheltenham: Edward </w:t>
      </w:r>
      <w:r>
        <w:rPr>
          <w:spacing w:val="-2"/>
        </w:rPr>
        <w:t>Elgar.</w:t>
      </w:r>
    </w:p>
    <w:p>
      <w:pPr>
        <w:pStyle w:val="BodyText"/>
        <w:tabs>
          <w:tab w:pos="9353" w:val="left" w:leader="none"/>
        </w:tabs>
        <w:spacing w:before="1"/>
        <w:ind w:left="711" w:right="487"/>
      </w:pPr>
      <w:r>
        <w:rPr/>
        <w:t>Hermes</w:t>
      </w:r>
      <w:r>
        <w:rPr>
          <w:spacing w:val="-1"/>
        </w:rPr>
        <w:t> </w:t>
      </w:r>
      <w:r>
        <w:rPr/>
        <w:t>&amp;</w:t>
      </w:r>
      <w:r>
        <w:rPr>
          <w:spacing w:val="-3"/>
        </w:rPr>
        <w:t> </w:t>
      </w:r>
      <w:r>
        <w:rPr/>
        <w:t>Bernard,</w:t>
      </w:r>
      <w:r>
        <w:rPr>
          <w:spacing w:val="-3"/>
        </w:rPr>
        <w:t> </w:t>
      </w:r>
      <w:r>
        <w:rPr/>
        <w:t>(2011).</w:t>
      </w:r>
      <w:r>
        <w:rPr>
          <w:spacing w:val="-3"/>
        </w:rPr>
        <w:t> </w:t>
      </w:r>
      <w:r>
        <w:rPr/>
        <w:t>Causes</w:t>
      </w:r>
      <w:r>
        <w:rPr>
          <w:spacing w:val="-3"/>
        </w:rPr>
        <w:t> </w:t>
      </w:r>
      <w:r>
        <w:rPr/>
        <w:t>of</w:t>
      </w:r>
      <w:r>
        <w:rPr>
          <w:spacing w:val="-2"/>
        </w:rPr>
        <w:t> </w:t>
      </w:r>
      <w:r>
        <w:rPr/>
        <w:t>Capital</w:t>
      </w:r>
      <w:r>
        <w:rPr>
          <w:spacing w:val="-3"/>
        </w:rPr>
        <w:t> </w:t>
      </w:r>
      <w:r>
        <w:rPr/>
        <w:t>Flight</w:t>
      </w:r>
      <w:r>
        <w:rPr>
          <w:spacing w:val="-3"/>
        </w:rPr>
        <w:t> </w:t>
      </w:r>
      <w:r>
        <w:rPr/>
        <w:t>from</w:t>
      </w:r>
      <w:r>
        <w:rPr>
          <w:spacing w:val="-3"/>
        </w:rPr>
        <w:t> </w:t>
      </w:r>
      <w:r>
        <w:rPr/>
        <w:t>Sub-</w:t>
      </w:r>
      <w:r>
        <w:rPr>
          <w:spacing w:val="-4"/>
        </w:rPr>
        <w:t> </w:t>
      </w:r>
      <w:r>
        <w:rPr/>
        <w:t>Saharan</w:t>
      </w:r>
      <w:r>
        <w:rPr>
          <w:spacing w:val="-3"/>
        </w:rPr>
        <w:t> </w:t>
      </w:r>
      <w:r>
        <w:rPr/>
        <w:t>Africa</w:t>
      </w:r>
      <w:r>
        <w:rPr>
          <w:spacing w:val="-5"/>
        </w:rPr>
        <w:t> </w:t>
      </w:r>
      <w:hyperlink r:id="rId14">
        <w:r>
          <w:rPr/>
          <w:t>www.csae.ox.uk/679-Ali.pdf</w:t>
        </w:r>
      </w:hyperlink>
      <w:r>
        <w:rPr/>
        <w:t> International Finance Corporation (1998). Trends in Private Investment in</w:t>
      </w:r>
      <w:r>
        <w:rPr>
          <w:spacing w:val="40"/>
        </w:rPr>
        <w:t> </w:t>
      </w:r>
      <w:r>
        <w:rPr/>
        <w:t>Developing</w:t>
        <w:tab/>
      </w:r>
      <w:r>
        <w:rPr>
          <w:spacing w:val="-2"/>
        </w:rPr>
        <w:t>Countries, </w:t>
      </w:r>
      <w:r>
        <w:rPr/>
        <w:t>Statistics for 1970-96 </w:t>
      </w:r>
      <w:r>
        <w:rPr>
          <w:i/>
        </w:rPr>
        <w:t>Discussion paper </w:t>
      </w:r>
      <w:r>
        <w:rPr/>
        <w:t>34.</w:t>
      </w:r>
    </w:p>
    <w:p>
      <w:pPr>
        <w:pStyle w:val="BodyText"/>
        <w:ind w:left="711" w:right="2082"/>
        <w:rPr>
          <w:i/>
        </w:rPr>
      </w:pPr>
      <w:r>
        <w:rPr/>
        <w:t>Jeffrey</w:t>
      </w:r>
      <w:r>
        <w:rPr>
          <w:spacing w:val="-7"/>
        </w:rPr>
        <w:t> </w:t>
      </w:r>
      <w:r>
        <w:rPr/>
        <w:t>S.</w:t>
      </w:r>
      <w:r>
        <w:rPr>
          <w:spacing w:val="40"/>
        </w:rPr>
        <w:t> </w:t>
      </w:r>
      <w:r>
        <w:rPr/>
        <w:t>(1996).</w:t>
      </w:r>
      <w:r>
        <w:rPr>
          <w:spacing w:val="-3"/>
        </w:rPr>
        <w:t> </w:t>
      </w:r>
      <w:r>
        <w:rPr/>
        <w:t>Niger</w:t>
      </w:r>
      <w:r>
        <w:rPr>
          <w:spacing w:val="-1"/>
        </w:rPr>
        <w:t> </w:t>
      </w:r>
      <w:r>
        <w:rPr/>
        <w:t>Delta</w:t>
      </w:r>
      <w:r>
        <w:rPr>
          <w:spacing w:val="-3"/>
        </w:rPr>
        <w:t> </w:t>
      </w:r>
      <w:r>
        <w:rPr/>
        <w:t>Crisis</w:t>
      </w:r>
      <w:r>
        <w:rPr>
          <w:spacing w:val="-2"/>
        </w:rPr>
        <w:t> </w:t>
      </w:r>
      <w:r>
        <w:rPr/>
        <w:t>and</w:t>
      </w:r>
      <w:r>
        <w:rPr>
          <w:spacing w:val="-2"/>
        </w:rPr>
        <w:t> </w:t>
      </w:r>
      <w:r>
        <w:rPr/>
        <w:t>the</w:t>
      </w:r>
      <w:r>
        <w:rPr>
          <w:spacing w:val="-1"/>
        </w:rPr>
        <w:t> </w:t>
      </w:r>
      <w:r>
        <w:rPr/>
        <w:t>Nigeria</w:t>
      </w:r>
      <w:r>
        <w:rPr>
          <w:spacing w:val="-4"/>
        </w:rPr>
        <w:t> </w:t>
      </w:r>
      <w:r>
        <w:rPr/>
        <w:t>Economy.</w:t>
      </w:r>
      <w:r>
        <w:rPr>
          <w:spacing w:val="40"/>
        </w:rPr>
        <w:t> </w:t>
      </w:r>
      <w:r>
        <w:rPr>
          <w:i/>
        </w:rPr>
        <w:t>The</w:t>
      </w:r>
      <w:r>
        <w:rPr>
          <w:i/>
          <w:spacing w:val="-3"/>
        </w:rPr>
        <w:t> </w:t>
      </w:r>
      <w:r>
        <w:rPr>
          <w:i/>
        </w:rPr>
        <w:t>Economist</w:t>
      </w:r>
      <w:r>
        <w:rPr>
          <w:i/>
          <w:spacing w:val="-1"/>
        </w:rPr>
        <w:t> </w:t>
      </w:r>
      <w:r>
        <w:rPr/>
        <w:t>,</w:t>
      </w:r>
      <w:r>
        <w:rPr>
          <w:spacing w:val="-2"/>
        </w:rPr>
        <w:t> </w:t>
      </w:r>
      <w:r>
        <w:rPr/>
        <w:t>19-21. John I.</w:t>
      </w:r>
      <w:r>
        <w:rPr>
          <w:spacing w:val="40"/>
        </w:rPr>
        <w:t> </w:t>
      </w:r>
      <w:r>
        <w:rPr/>
        <w:t>(2006). Another Oil Firm Robbed, N40m Carted Away.</w:t>
      </w:r>
      <w:r>
        <w:rPr>
          <w:spacing w:val="40"/>
        </w:rPr>
        <w:t> </w:t>
      </w:r>
      <w:r>
        <w:rPr>
          <w:i/>
        </w:rPr>
        <w:t>ThisDay</w:t>
      </w:r>
    </w:p>
    <w:p>
      <w:pPr>
        <w:spacing w:after="0"/>
        <w:sectPr>
          <w:pgSz w:w="11910" w:h="16840"/>
          <w:pgMar w:header="0" w:footer="979" w:top="1360" w:bottom="1240" w:left="280" w:right="0"/>
        </w:sectPr>
      </w:pPr>
    </w:p>
    <w:p>
      <w:pPr>
        <w:spacing w:before="60"/>
        <w:ind w:left="711" w:right="0" w:firstLine="0"/>
        <w:jc w:val="left"/>
        <w:rPr>
          <w:sz w:val="24"/>
        </w:rPr>
      </w:pPr>
      <w:r>
        <w:rPr>
          <w:sz w:val="24"/>
        </w:rPr>
        <w:t>Kant,</w:t>
      </w:r>
      <w:r>
        <w:rPr>
          <w:spacing w:val="-3"/>
          <w:sz w:val="24"/>
        </w:rPr>
        <w:t> </w:t>
      </w:r>
      <w:r>
        <w:rPr>
          <w:sz w:val="24"/>
        </w:rPr>
        <w:t>C.</w:t>
      </w:r>
      <w:r>
        <w:rPr>
          <w:spacing w:val="-1"/>
          <w:sz w:val="24"/>
        </w:rPr>
        <w:t> </w:t>
      </w:r>
      <w:r>
        <w:rPr>
          <w:sz w:val="24"/>
        </w:rPr>
        <w:t>(1996).</w:t>
      </w:r>
      <w:r>
        <w:rPr>
          <w:spacing w:val="59"/>
          <w:sz w:val="24"/>
        </w:rPr>
        <w:t> </w:t>
      </w:r>
      <w:r>
        <w:rPr>
          <w:i/>
          <w:sz w:val="24"/>
        </w:rPr>
        <w:t>Foreign Direct</w:t>
      </w:r>
      <w:r>
        <w:rPr>
          <w:i/>
          <w:spacing w:val="-1"/>
          <w:sz w:val="24"/>
        </w:rPr>
        <w:t> </w:t>
      </w:r>
      <w:r>
        <w:rPr>
          <w:i/>
          <w:sz w:val="24"/>
        </w:rPr>
        <w:t>Investment</w:t>
      </w:r>
      <w:r>
        <w:rPr>
          <w:i/>
          <w:spacing w:val="-1"/>
          <w:sz w:val="24"/>
        </w:rPr>
        <w:t> </w:t>
      </w:r>
      <w:r>
        <w:rPr>
          <w:i/>
          <w:sz w:val="24"/>
        </w:rPr>
        <w:t>and</w:t>
      </w:r>
      <w:r>
        <w:rPr>
          <w:i/>
          <w:spacing w:val="2"/>
          <w:sz w:val="24"/>
        </w:rPr>
        <w:t> </w:t>
      </w:r>
      <w:r>
        <w:rPr>
          <w:i/>
          <w:sz w:val="24"/>
        </w:rPr>
        <w:t>Capital</w:t>
      </w:r>
      <w:r>
        <w:rPr>
          <w:i/>
          <w:spacing w:val="-1"/>
          <w:sz w:val="24"/>
        </w:rPr>
        <w:t> </w:t>
      </w:r>
      <w:r>
        <w:rPr>
          <w:i/>
          <w:sz w:val="24"/>
        </w:rPr>
        <w:t>Flight</w:t>
      </w:r>
      <w:r>
        <w:rPr>
          <w:sz w:val="24"/>
        </w:rPr>
        <w:t>,</w:t>
      </w:r>
      <w:r>
        <w:rPr>
          <w:spacing w:val="-3"/>
          <w:sz w:val="24"/>
        </w:rPr>
        <w:t> </w:t>
      </w:r>
      <w:r>
        <w:rPr>
          <w:sz w:val="24"/>
        </w:rPr>
        <w:t>Princeton,</w:t>
      </w:r>
      <w:r>
        <w:rPr>
          <w:spacing w:val="-1"/>
          <w:sz w:val="24"/>
        </w:rPr>
        <w:t> </w:t>
      </w:r>
      <w:r>
        <w:rPr>
          <w:sz w:val="24"/>
        </w:rPr>
        <w:t>New </w:t>
      </w:r>
      <w:r>
        <w:rPr>
          <w:spacing w:val="-2"/>
          <w:sz w:val="24"/>
        </w:rPr>
        <w:t>Jersey.</w:t>
      </w:r>
    </w:p>
    <w:p>
      <w:pPr>
        <w:spacing w:before="1"/>
        <w:ind w:left="1522" w:right="0" w:hanging="812"/>
        <w:jc w:val="left"/>
        <w:rPr>
          <w:sz w:val="24"/>
        </w:rPr>
      </w:pPr>
      <w:r>
        <w:rPr>
          <w:sz w:val="24"/>
        </w:rPr>
        <w:t>Khan,</w:t>
      </w:r>
      <w:r>
        <w:rPr>
          <w:spacing w:val="63"/>
          <w:sz w:val="24"/>
        </w:rPr>
        <w:t> </w:t>
      </w:r>
      <w:r>
        <w:rPr>
          <w:sz w:val="24"/>
        </w:rPr>
        <w:t>Mohsin</w:t>
      </w:r>
      <w:r>
        <w:rPr>
          <w:spacing w:val="63"/>
          <w:sz w:val="24"/>
        </w:rPr>
        <w:t> </w:t>
      </w:r>
      <w:r>
        <w:rPr>
          <w:sz w:val="24"/>
        </w:rPr>
        <w:t>S.,</w:t>
      </w:r>
      <w:r>
        <w:rPr>
          <w:spacing w:val="63"/>
          <w:sz w:val="24"/>
        </w:rPr>
        <w:t> </w:t>
      </w:r>
      <w:r>
        <w:rPr>
          <w:sz w:val="24"/>
        </w:rPr>
        <w:t>and</w:t>
      </w:r>
      <w:r>
        <w:rPr>
          <w:spacing w:val="40"/>
          <w:sz w:val="24"/>
        </w:rPr>
        <w:t> </w:t>
      </w:r>
      <w:r>
        <w:rPr>
          <w:sz w:val="24"/>
        </w:rPr>
        <w:t>Nadeem</w:t>
      </w:r>
      <w:r>
        <w:rPr>
          <w:spacing w:val="64"/>
          <w:sz w:val="24"/>
        </w:rPr>
        <w:t> </w:t>
      </w:r>
      <w:r>
        <w:rPr>
          <w:sz w:val="24"/>
        </w:rPr>
        <w:t>Ul</w:t>
      </w:r>
      <w:r>
        <w:rPr>
          <w:spacing w:val="63"/>
          <w:sz w:val="24"/>
        </w:rPr>
        <w:t> </w:t>
      </w:r>
      <w:r>
        <w:rPr>
          <w:sz w:val="24"/>
        </w:rPr>
        <w:t>Haque,</w:t>
      </w:r>
      <w:r>
        <w:rPr>
          <w:spacing w:val="67"/>
          <w:sz w:val="24"/>
        </w:rPr>
        <w:t> </w:t>
      </w:r>
      <w:r>
        <w:rPr>
          <w:sz w:val="24"/>
        </w:rPr>
        <w:t>(1987).</w:t>
      </w:r>
      <w:r>
        <w:rPr>
          <w:spacing w:val="64"/>
          <w:sz w:val="24"/>
        </w:rPr>
        <w:t> </w:t>
      </w:r>
      <w:r>
        <w:rPr>
          <w:sz w:val="24"/>
        </w:rPr>
        <w:t>Foreign</w:t>
      </w:r>
      <w:r>
        <w:rPr>
          <w:spacing w:val="63"/>
          <w:sz w:val="24"/>
        </w:rPr>
        <w:t> </w:t>
      </w:r>
      <w:r>
        <w:rPr>
          <w:sz w:val="24"/>
        </w:rPr>
        <w:t>Borrowing</w:t>
      </w:r>
      <w:r>
        <w:rPr>
          <w:spacing w:val="63"/>
          <w:sz w:val="24"/>
        </w:rPr>
        <w:t> </w:t>
      </w:r>
      <w:r>
        <w:rPr>
          <w:sz w:val="24"/>
        </w:rPr>
        <w:t>and</w:t>
      </w:r>
      <w:r>
        <w:rPr>
          <w:spacing w:val="63"/>
          <w:sz w:val="24"/>
        </w:rPr>
        <w:t> </w:t>
      </w:r>
      <w:r>
        <w:rPr>
          <w:sz w:val="24"/>
        </w:rPr>
        <w:t>Capital</w:t>
      </w:r>
      <w:r>
        <w:rPr>
          <w:spacing w:val="64"/>
          <w:sz w:val="24"/>
        </w:rPr>
        <w:t> </w:t>
      </w:r>
      <w:r>
        <w:rPr>
          <w:sz w:val="24"/>
        </w:rPr>
        <w:t>Flight:</w:t>
      </w:r>
      <w:r>
        <w:rPr>
          <w:spacing w:val="64"/>
          <w:sz w:val="24"/>
        </w:rPr>
        <w:t> </w:t>
      </w:r>
      <w:r>
        <w:rPr>
          <w:sz w:val="24"/>
        </w:rPr>
        <w:t>A</w:t>
      </w:r>
      <w:r>
        <w:rPr>
          <w:spacing w:val="63"/>
          <w:sz w:val="24"/>
        </w:rPr>
        <w:t> </w:t>
      </w:r>
      <w:r>
        <w:rPr>
          <w:sz w:val="24"/>
        </w:rPr>
        <w:t>Formal Analysis.</w:t>
      </w:r>
      <w:r>
        <w:rPr>
          <w:spacing w:val="40"/>
          <w:sz w:val="24"/>
        </w:rPr>
        <w:t> </w:t>
      </w:r>
      <w:r>
        <w:rPr>
          <w:i/>
          <w:sz w:val="24"/>
        </w:rPr>
        <w:t>Staff Papers, International Monetary Fund</w:t>
      </w:r>
      <w:r>
        <w:rPr>
          <w:sz w:val="24"/>
        </w:rPr>
        <w:t>, </w:t>
      </w:r>
      <w:r>
        <w:rPr>
          <w:i/>
          <w:sz w:val="24"/>
        </w:rPr>
        <w:t>Vol.</w:t>
      </w:r>
      <w:r>
        <w:rPr>
          <w:i/>
          <w:spacing w:val="40"/>
          <w:sz w:val="24"/>
        </w:rPr>
        <w:t> </w:t>
      </w:r>
      <w:r>
        <w:rPr>
          <w:i/>
          <w:sz w:val="24"/>
        </w:rPr>
        <w:t>32 </w:t>
      </w:r>
      <w:r>
        <w:rPr>
          <w:sz w:val="24"/>
        </w:rPr>
        <w:t>(December).</w:t>
      </w:r>
    </w:p>
    <w:p>
      <w:pPr>
        <w:spacing w:before="0"/>
        <w:ind w:left="711" w:right="0" w:firstLine="0"/>
        <w:jc w:val="left"/>
        <w:rPr>
          <w:i/>
          <w:sz w:val="24"/>
        </w:rPr>
      </w:pPr>
      <w:r>
        <w:rPr>
          <w:sz w:val="24"/>
        </w:rPr>
        <w:t>Khan,</w:t>
      </w:r>
      <w:r>
        <w:rPr>
          <w:spacing w:val="18"/>
          <w:sz w:val="24"/>
        </w:rPr>
        <w:t> </w:t>
      </w:r>
      <w:r>
        <w:rPr>
          <w:sz w:val="24"/>
        </w:rPr>
        <w:t>M.</w:t>
      </w:r>
      <w:r>
        <w:rPr>
          <w:spacing w:val="20"/>
          <w:sz w:val="24"/>
        </w:rPr>
        <w:t> </w:t>
      </w:r>
      <w:r>
        <w:rPr>
          <w:sz w:val="24"/>
        </w:rPr>
        <w:t>&amp;</w:t>
      </w:r>
      <w:r>
        <w:rPr>
          <w:spacing w:val="69"/>
          <w:w w:val="150"/>
          <w:sz w:val="24"/>
        </w:rPr>
        <w:t> </w:t>
      </w:r>
      <w:r>
        <w:rPr>
          <w:sz w:val="24"/>
        </w:rPr>
        <w:t>Ul</w:t>
      </w:r>
      <w:r>
        <w:rPr>
          <w:spacing w:val="21"/>
          <w:sz w:val="24"/>
        </w:rPr>
        <w:t> </w:t>
      </w:r>
      <w:r>
        <w:rPr>
          <w:sz w:val="24"/>
        </w:rPr>
        <w:t>Haque,</w:t>
      </w:r>
      <w:r>
        <w:rPr>
          <w:spacing w:val="23"/>
          <w:sz w:val="24"/>
        </w:rPr>
        <w:t> </w:t>
      </w:r>
      <w:r>
        <w:rPr>
          <w:sz w:val="24"/>
        </w:rPr>
        <w:t>N.</w:t>
      </w:r>
      <w:r>
        <w:rPr>
          <w:spacing w:val="21"/>
          <w:sz w:val="24"/>
        </w:rPr>
        <w:t> </w:t>
      </w:r>
      <w:r>
        <w:rPr>
          <w:sz w:val="24"/>
        </w:rPr>
        <w:t>(1987).</w:t>
      </w:r>
      <w:r>
        <w:rPr>
          <w:spacing w:val="20"/>
          <w:sz w:val="24"/>
        </w:rPr>
        <w:t> </w:t>
      </w:r>
      <w:r>
        <w:rPr>
          <w:sz w:val="24"/>
        </w:rPr>
        <w:t>Capital</w:t>
      </w:r>
      <w:r>
        <w:rPr>
          <w:spacing w:val="20"/>
          <w:sz w:val="24"/>
        </w:rPr>
        <w:t> </w:t>
      </w:r>
      <w:r>
        <w:rPr>
          <w:sz w:val="24"/>
        </w:rPr>
        <w:t>Flight</w:t>
      </w:r>
      <w:r>
        <w:rPr>
          <w:spacing w:val="23"/>
          <w:sz w:val="24"/>
        </w:rPr>
        <w:t> </w:t>
      </w:r>
      <w:r>
        <w:rPr>
          <w:sz w:val="24"/>
        </w:rPr>
        <w:t>from</w:t>
      </w:r>
      <w:r>
        <w:rPr>
          <w:spacing w:val="21"/>
          <w:sz w:val="24"/>
        </w:rPr>
        <w:t> </w:t>
      </w:r>
      <w:r>
        <w:rPr>
          <w:sz w:val="24"/>
        </w:rPr>
        <w:t>Developing</w:t>
      </w:r>
      <w:r>
        <w:rPr>
          <w:spacing w:val="17"/>
          <w:sz w:val="24"/>
        </w:rPr>
        <w:t> </w:t>
      </w:r>
      <w:r>
        <w:rPr>
          <w:sz w:val="24"/>
        </w:rPr>
        <w:t>Countries.</w:t>
      </w:r>
      <w:r>
        <w:rPr>
          <w:spacing w:val="21"/>
          <w:sz w:val="24"/>
        </w:rPr>
        <w:t> </w:t>
      </w:r>
      <w:r>
        <w:rPr>
          <w:i/>
          <w:sz w:val="24"/>
        </w:rPr>
        <w:t>Finance</w:t>
      </w:r>
      <w:r>
        <w:rPr>
          <w:i/>
          <w:spacing w:val="19"/>
          <w:sz w:val="24"/>
        </w:rPr>
        <w:t> </w:t>
      </w:r>
      <w:r>
        <w:rPr>
          <w:i/>
          <w:sz w:val="24"/>
        </w:rPr>
        <w:t>and</w:t>
      </w:r>
      <w:r>
        <w:rPr>
          <w:i/>
          <w:spacing w:val="21"/>
          <w:sz w:val="24"/>
        </w:rPr>
        <w:t> </w:t>
      </w:r>
      <w:r>
        <w:rPr>
          <w:i/>
          <w:spacing w:val="-2"/>
          <w:sz w:val="24"/>
        </w:rPr>
        <w:t>Development,</w:t>
      </w:r>
    </w:p>
    <w:p>
      <w:pPr>
        <w:pStyle w:val="BodyText"/>
        <w:ind w:left="711"/>
      </w:pPr>
      <w:r>
        <w:rPr/>
        <w:t>March,</w:t>
      </w:r>
      <w:r>
        <w:rPr>
          <w:spacing w:val="-4"/>
        </w:rPr>
        <w:t> </w:t>
      </w:r>
      <w:r>
        <w:rPr/>
        <w:t>2-</w:t>
      </w:r>
      <w:r>
        <w:rPr>
          <w:spacing w:val="-5"/>
        </w:rPr>
        <w:t>5.</w:t>
      </w:r>
    </w:p>
    <w:p>
      <w:pPr>
        <w:tabs>
          <w:tab w:pos="5032" w:val="left" w:leader="none"/>
        </w:tabs>
        <w:spacing w:before="0"/>
        <w:ind w:left="711" w:right="475" w:firstLine="0"/>
        <w:jc w:val="left"/>
        <w:rPr>
          <w:i/>
          <w:sz w:val="24"/>
        </w:rPr>
      </w:pPr>
      <w:r>
        <w:rPr>
          <w:sz w:val="24"/>
        </w:rPr>
        <w:t>Kindleberger</w:t>
      </w:r>
      <w:r>
        <w:rPr>
          <w:spacing w:val="-3"/>
          <w:sz w:val="24"/>
        </w:rPr>
        <w:t> </w:t>
      </w:r>
      <w:r>
        <w:rPr>
          <w:sz w:val="24"/>
        </w:rPr>
        <w:t>C.P</w:t>
      </w:r>
      <w:r>
        <w:rPr>
          <w:spacing w:val="-3"/>
          <w:sz w:val="24"/>
        </w:rPr>
        <w:t> </w:t>
      </w:r>
      <w:r>
        <w:rPr>
          <w:sz w:val="24"/>
        </w:rPr>
        <w:t>(1987).</w:t>
      </w:r>
      <w:r>
        <w:rPr>
          <w:spacing w:val="-2"/>
          <w:sz w:val="24"/>
        </w:rPr>
        <w:t> </w:t>
      </w:r>
      <w:r>
        <w:rPr>
          <w:sz w:val="24"/>
        </w:rPr>
        <w:t>Capital</w:t>
      </w:r>
      <w:r>
        <w:rPr>
          <w:spacing w:val="-3"/>
          <w:sz w:val="24"/>
        </w:rPr>
        <w:t> </w:t>
      </w:r>
      <w:r>
        <w:rPr>
          <w:sz w:val="24"/>
        </w:rPr>
        <w:t>Flight-</w:t>
      </w:r>
      <w:r>
        <w:rPr>
          <w:spacing w:val="-4"/>
          <w:sz w:val="24"/>
        </w:rPr>
        <w:t> </w:t>
      </w:r>
      <w:r>
        <w:rPr>
          <w:sz w:val="24"/>
        </w:rPr>
        <w:t>A</w:t>
      </w:r>
      <w:r>
        <w:rPr>
          <w:spacing w:val="-2"/>
          <w:sz w:val="24"/>
        </w:rPr>
        <w:t> </w:t>
      </w:r>
      <w:r>
        <w:rPr>
          <w:sz w:val="24"/>
        </w:rPr>
        <w:t>Historical</w:t>
      </w:r>
      <w:r>
        <w:rPr>
          <w:spacing w:val="-3"/>
          <w:sz w:val="24"/>
        </w:rPr>
        <w:t> </w:t>
      </w:r>
      <w:r>
        <w:rPr>
          <w:sz w:val="24"/>
        </w:rPr>
        <w:t>Perspective.</w:t>
      </w:r>
      <w:r>
        <w:rPr>
          <w:spacing w:val="-1"/>
          <w:sz w:val="24"/>
        </w:rPr>
        <w:t> </w:t>
      </w:r>
      <w:r>
        <w:rPr>
          <w:sz w:val="24"/>
        </w:rPr>
        <w:t>In</w:t>
      </w:r>
      <w:r>
        <w:rPr>
          <w:spacing w:val="-1"/>
          <w:sz w:val="24"/>
        </w:rPr>
        <w:t> </w:t>
      </w:r>
      <w:r>
        <w:rPr>
          <w:sz w:val="24"/>
        </w:rPr>
        <w:t>Lessard</w:t>
      </w:r>
      <w:r>
        <w:rPr>
          <w:spacing w:val="-3"/>
          <w:sz w:val="24"/>
        </w:rPr>
        <w:t> </w:t>
      </w:r>
      <w:r>
        <w:rPr>
          <w:sz w:val="24"/>
        </w:rPr>
        <w:t>and Williamson</w:t>
      </w:r>
      <w:r>
        <w:rPr>
          <w:spacing w:val="40"/>
          <w:sz w:val="24"/>
        </w:rPr>
        <w:t> </w:t>
      </w:r>
      <w:r>
        <w:rPr>
          <w:sz w:val="24"/>
        </w:rPr>
        <w:t>(eds)</w:t>
      </w:r>
      <w:r>
        <w:rPr>
          <w:spacing w:val="40"/>
          <w:sz w:val="24"/>
        </w:rPr>
        <w:t> </w:t>
      </w:r>
      <w:r>
        <w:rPr>
          <w:sz w:val="24"/>
        </w:rPr>
        <w:t>Capital Flight and Third World Debt Washington</w:t>
        <w:tab/>
        <w:t>D.C. </w:t>
      </w:r>
      <w:r>
        <w:rPr>
          <w:i/>
          <w:sz w:val="24"/>
        </w:rPr>
        <w:t>Institute for International Economics.</w:t>
      </w:r>
    </w:p>
    <w:p>
      <w:pPr>
        <w:spacing w:before="0"/>
        <w:ind w:left="711" w:right="0" w:firstLine="0"/>
        <w:jc w:val="left"/>
        <w:rPr>
          <w:sz w:val="24"/>
        </w:rPr>
      </w:pPr>
      <w:r>
        <w:rPr>
          <w:sz w:val="24"/>
        </w:rPr>
        <w:t>Lessard,</w:t>
      </w:r>
      <w:r>
        <w:rPr>
          <w:spacing w:val="33"/>
          <w:sz w:val="24"/>
        </w:rPr>
        <w:t> </w:t>
      </w:r>
      <w:r>
        <w:rPr>
          <w:sz w:val="24"/>
        </w:rPr>
        <w:t>D.</w:t>
      </w:r>
      <w:r>
        <w:rPr>
          <w:spacing w:val="33"/>
          <w:sz w:val="24"/>
        </w:rPr>
        <w:t> </w:t>
      </w:r>
      <w:r>
        <w:rPr>
          <w:sz w:val="24"/>
        </w:rPr>
        <w:t>R.</w:t>
      </w:r>
      <w:r>
        <w:rPr>
          <w:spacing w:val="36"/>
          <w:sz w:val="24"/>
        </w:rPr>
        <w:t> </w:t>
      </w:r>
      <w:r>
        <w:rPr>
          <w:sz w:val="24"/>
        </w:rPr>
        <w:t>and</w:t>
      </w:r>
      <w:r>
        <w:rPr>
          <w:spacing w:val="33"/>
          <w:sz w:val="24"/>
        </w:rPr>
        <w:t> </w:t>
      </w:r>
      <w:r>
        <w:rPr>
          <w:sz w:val="24"/>
        </w:rPr>
        <w:t>John</w:t>
      </w:r>
      <w:r>
        <w:rPr>
          <w:spacing w:val="33"/>
          <w:sz w:val="24"/>
        </w:rPr>
        <w:t> </w:t>
      </w:r>
      <w:r>
        <w:rPr>
          <w:sz w:val="24"/>
        </w:rPr>
        <w:t>Williamson,</w:t>
      </w:r>
      <w:r>
        <w:rPr>
          <w:spacing w:val="36"/>
          <w:sz w:val="24"/>
        </w:rPr>
        <w:t> </w:t>
      </w:r>
      <w:r>
        <w:rPr>
          <w:sz w:val="24"/>
        </w:rPr>
        <w:t>(1987).</w:t>
      </w:r>
      <w:r>
        <w:rPr>
          <w:spacing w:val="34"/>
          <w:sz w:val="24"/>
        </w:rPr>
        <w:t> </w:t>
      </w:r>
      <w:r>
        <w:rPr>
          <w:sz w:val="24"/>
        </w:rPr>
        <w:t>Capital</w:t>
      </w:r>
      <w:r>
        <w:rPr>
          <w:spacing w:val="34"/>
          <w:sz w:val="24"/>
        </w:rPr>
        <w:t> </w:t>
      </w:r>
      <w:r>
        <w:rPr>
          <w:sz w:val="24"/>
        </w:rPr>
        <w:t>Flight</w:t>
      </w:r>
      <w:r>
        <w:rPr>
          <w:spacing w:val="34"/>
          <w:sz w:val="24"/>
        </w:rPr>
        <w:t> </w:t>
      </w:r>
      <w:r>
        <w:rPr>
          <w:sz w:val="24"/>
        </w:rPr>
        <w:t>and</w:t>
      </w:r>
      <w:r>
        <w:rPr>
          <w:spacing w:val="35"/>
          <w:sz w:val="24"/>
        </w:rPr>
        <w:t> </w:t>
      </w:r>
      <w:r>
        <w:rPr>
          <w:sz w:val="24"/>
        </w:rPr>
        <w:t>Third</w:t>
      </w:r>
      <w:r>
        <w:rPr>
          <w:spacing w:val="35"/>
          <w:sz w:val="24"/>
        </w:rPr>
        <w:t> </w:t>
      </w:r>
      <w:r>
        <w:rPr>
          <w:sz w:val="24"/>
        </w:rPr>
        <w:t>World”</w:t>
      </w:r>
      <w:r>
        <w:rPr>
          <w:spacing w:val="33"/>
          <w:sz w:val="24"/>
        </w:rPr>
        <w:t> </w:t>
      </w:r>
      <w:r>
        <w:rPr>
          <w:sz w:val="24"/>
        </w:rPr>
        <w:t>Washington.</w:t>
      </w:r>
      <w:r>
        <w:rPr>
          <w:spacing w:val="34"/>
          <w:sz w:val="24"/>
        </w:rPr>
        <w:t> </w:t>
      </w:r>
      <w:r>
        <w:rPr>
          <w:i/>
          <w:sz w:val="24"/>
        </w:rPr>
        <w:t>Institute</w:t>
      </w:r>
      <w:r>
        <w:rPr>
          <w:i/>
          <w:spacing w:val="32"/>
          <w:sz w:val="24"/>
        </w:rPr>
        <w:t> </w:t>
      </w:r>
      <w:r>
        <w:rPr>
          <w:i/>
          <w:sz w:val="24"/>
        </w:rPr>
        <w:t>for International Economics</w:t>
      </w:r>
      <w:r>
        <w:rPr>
          <w:sz w:val="24"/>
        </w:rPr>
        <w:t>.</w:t>
      </w:r>
    </w:p>
    <w:p>
      <w:pPr>
        <w:pStyle w:val="BodyText"/>
        <w:ind w:left="711"/>
      </w:pPr>
      <w:r>
        <w:rPr/>
        <w:t>Lensink,</w:t>
      </w:r>
      <w:r>
        <w:rPr>
          <w:spacing w:val="40"/>
        </w:rPr>
        <w:t> </w:t>
      </w:r>
      <w:r>
        <w:rPr/>
        <w:t>Robert,</w:t>
      </w:r>
      <w:r>
        <w:rPr>
          <w:spacing w:val="40"/>
        </w:rPr>
        <w:t> </w:t>
      </w:r>
      <w:r>
        <w:rPr/>
        <w:t>Niels</w:t>
      </w:r>
      <w:r>
        <w:rPr>
          <w:spacing w:val="40"/>
        </w:rPr>
        <w:t> </w:t>
      </w:r>
      <w:r>
        <w:rPr/>
        <w:t>Hermes,</w:t>
      </w:r>
      <w:r>
        <w:rPr>
          <w:spacing w:val="40"/>
        </w:rPr>
        <w:t> </w:t>
      </w:r>
      <w:r>
        <w:rPr/>
        <w:t>and</w:t>
      </w:r>
      <w:r>
        <w:rPr>
          <w:spacing w:val="40"/>
        </w:rPr>
        <w:t> </w:t>
      </w:r>
      <w:r>
        <w:rPr/>
        <w:t>Victor</w:t>
      </w:r>
      <w:r>
        <w:rPr>
          <w:spacing w:val="40"/>
        </w:rPr>
        <w:t> </w:t>
      </w:r>
      <w:r>
        <w:rPr/>
        <w:t>Murinde,</w:t>
      </w:r>
      <w:r>
        <w:rPr>
          <w:spacing w:val="40"/>
        </w:rPr>
        <w:t> </w:t>
      </w:r>
      <w:r>
        <w:rPr/>
        <w:t>(2002).</w:t>
      </w:r>
      <w:r>
        <w:rPr>
          <w:spacing w:val="40"/>
        </w:rPr>
        <w:t> </w:t>
      </w:r>
      <w:r>
        <w:rPr/>
        <w:t>The</w:t>
      </w:r>
      <w:r>
        <w:rPr>
          <w:spacing w:val="40"/>
        </w:rPr>
        <w:t> </w:t>
      </w:r>
      <w:r>
        <w:rPr/>
        <w:t>Effect</w:t>
      </w:r>
      <w:r>
        <w:rPr>
          <w:spacing w:val="40"/>
        </w:rPr>
        <w:t> </w:t>
      </w:r>
      <w:r>
        <w:rPr/>
        <w:t>of</w:t>
      </w:r>
      <w:r>
        <w:rPr>
          <w:spacing w:val="40"/>
        </w:rPr>
        <w:t> </w:t>
      </w:r>
      <w:r>
        <w:rPr/>
        <w:t>Financial</w:t>
      </w:r>
      <w:r>
        <w:rPr>
          <w:spacing w:val="40"/>
        </w:rPr>
        <w:t> </w:t>
      </w:r>
      <w:r>
        <w:rPr/>
        <w:t>Liberalization</w:t>
      </w:r>
      <w:r>
        <w:rPr>
          <w:spacing w:val="40"/>
        </w:rPr>
        <w:t> </w:t>
      </w:r>
      <w:r>
        <w:rPr/>
        <w:t>on Capital Flight in African Economies. </w:t>
      </w:r>
      <w:r>
        <w:rPr>
          <w:i/>
        </w:rPr>
        <w:t>World</w:t>
      </w:r>
      <w:r>
        <w:rPr>
          <w:i/>
          <w:spacing w:val="40"/>
        </w:rPr>
        <w:t> </w:t>
      </w:r>
      <w:r>
        <w:rPr>
          <w:i/>
        </w:rPr>
        <w:t>Development</w:t>
      </w:r>
      <w:r>
        <w:rPr/>
        <w:t>, </w:t>
      </w:r>
      <w:r>
        <w:rPr>
          <w:i/>
        </w:rPr>
        <w:t>Vol. 26</w:t>
      </w:r>
      <w:r>
        <w:rPr/>
        <w:t>, No. 7, 1349–68.</w:t>
      </w:r>
    </w:p>
    <w:p>
      <w:pPr>
        <w:spacing w:before="0"/>
        <w:ind w:left="711" w:right="475" w:firstLine="0"/>
        <w:jc w:val="left"/>
        <w:rPr>
          <w:sz w:val="24"/>
        </w:rPr>
      </w:pPr>
      <w:r>
        <w:rPr>
          <w:sz w:val="24"/>
        </w:rPr>
        <w:t>Lensink, R., Niels H. &amp; Victor M. ( 2000). Capital flight and Political Risk. </w:t>
      </w:r>
      <w:r>
        <w:rPr>
          <w:i/>
          <w:sz w:val="24"/>
        </w:rPr>
        <w:t>Journal of International Money and Finance</w:t>
      </w:r>
      <w:r>
        <w:rPr>
          <w:sz w:val="24"/>
        </w:rPr>
        <w:t>, </w:t>
      </w:r>
      <w:r>
        <w:rPr>
          <w:i/>
          <w:sz w:val="24"/>
        </w:rPr>
        <w:t>19</w:t>
      </w:r>
      <w:r>
        <w:rPr>
          <w:sz w:val="24"/>
        </w:rPr>
        <w:t>,. 73–92.</w:t>
      </w:r>
    </w:p>
    <w:p>
      <w:pPr>
        <w:tabs>
          <w:tab w:pos="10073" w:val="left" w:leader="none"/>
        </w:tabs>
        <w:spacing w:before="1"/>
        <w:ind w:left="711" w:right="473" w:firstLine="0"/>
        <w:jc w:val="left"/>
        <w:rPr>
          <w:sz w:val="24"/>
        </w:rPr>
      </w:pPr>
      <w:r>
        <w:rPr>
          <w:sz w:val="24"/>
        </w:rPr>
        <w:t>Lensink R. (2000). Capital Flight and Political Risk.</w:t>
      </w:r>
      <w:r>
        <w:rPr>
          <w:spacing w:val="40"/>
          <w:sz w:val="24"/>
        </w:rPr>
        <w:t> </w:t>
      </w:r>
      <w:r>
        <w:rPr>
          <w:i/>
          <w:sz w:val="24"/>
        </w:rPr>
        <w:t>Journal of International Money and Finance,</w:t>
      </w:r>
      <w:r>
        <w:rPr>
          <w:i/>
          <w:spacing w:val="80"/>
          <w:sz w:val="24"/>
        </w:rPr>
        <w:t> </w:t>
      </w:r>
      <w:r>
        <w:rPr>
          <w:sz w:val="24"/>
        </w:rPr>
        <w:t>19 (1). LE, Q. V. and ZAK. P. J. (2006). Political Risk and Capital Flight. </w:t>
      </w:r>
      <w:r>
        <w:rPr>
          <w:i/>
          <w:sz w:val="24"/>
        </w:rPr>
        <w:t>Journal of International</w:t>
        <w:tab/>
        <w:t>Money</w:t>
      </w:r>
      <w:r>
        <w:rPr>
          <w:i/>
          <w:spacing w:val="-17"/>
          <w:sz w:val="24"/>
        </w:rPr>
        <w:t> </w:t>
      </w:r>
      <w:r>
        <w:rPr>
          <w:i/>
          <w:sz w:val="24"/>
        </w:rPr>
        <w:t>and Finance, 25 (2): </w:t>
      </w:r>
      <w:r>
        <w:rPr>
          <w:sz w:val="24"/>
        </w:rPr>
        <w:t>308-329.</w:t>
      </w:r>
    </w:p>
    <w:p>
      <w:pPr>
        <w:tabs>
          <w:tab w:pos="5752" w:val="left" w:leader="none"/>
          <w:tab w:pos="6971" w:val="left" w:leader="none"/>
        </w:tabs>
        <w:spacing w:before="0"/>
        <w:ind w:left="711" w:right="475" w:firstLine="0"/>
        <w:jc w:val="left"/>
        <w:rPr>
          <w:sz w:val="24"/>
        </w:rPr>
      </w:pPr>
      <w:r>
        <w:rPr>
          <w:sz w:val="24"/>
        </w:rPr>
        <w:t>Mats B. &amp; David M. (eds.) (2000). Greed and Grievance: Economic Agendas.</w:t>
      </w:r>
      <w:r>
        <w:rPr>
          <w:spacing w:val="40"/>
          <w:sz w:val="24"/>
        </w:rPr>
        <w:t> </w:t>
      </w:r>
      <w:r>
        <w:rPr>
          <w:i/>
          <w:sz w:val="24"/>
        </w:rPr>
        <w:t>Civil Wars IDRC/ Rienner </w:t>
      </w:r>
      <w:r>
        <w:rPr>
          <w:sz w:val="24"/>
        </w:rPr>
        <w:t>Mikkelsen,</w:t>
      </w:r>
      <w:r>
        <w:rPr>
          <w:spacing w:val="27"/>
          <w:sz w:val="24"/>
        </w:rPr>
        <w:t> </w:t>
      </w:r>
      <w:r>
        <w:rPr>
          <w:sz w:val="24"/>
        </w:rPr>
        <w:t>J.</w:t>
      </w:r>
      <w:r>
        <w:rPr>
          <w:spacing w:val="25"/>
          <w:sz w:val="24"/>
        </w:rPr>
        <w:t> </w:t>
      </w:r>
      <w:r>
        <w:rPr>
          <w:sz w:val="24"/>
        </w:rPr>
        <w:t>G.</w:t>
      </w:r>
      <w:r>
        <w:rPr>
          <w:spacing w:val="27"/>
          <w:sz w:val="24"/>
        </w:rPr>
        <w:t> </w:t>
      </w:r>
      <w:r>
        <w:rPr>
          <w:sz w:val="24"/>
        </w:rPr>
        <w:t>(1991),</w:t>
      </w:r>
      <w:r>
        <w:rPr>
          <w:spacing w:val="27"/>
          <w:sz w:val="24"/>
        </w:rPr>
        <w:t> </w:t>
      </w:r>
      <w:r>
        <w:rPr>
          <w:sz w:val="24"/>
        </w:rPr>
        <w:t>An</w:t>
      </w:r>
      <w:r>
        <w:rPr>
          <w:spacing w:val="27"/>
          <w:sz w:val="24"/>
        </w:rPr>
        <w:t> </w:t>
      </w:r>
      <w:r>
        <w:rPr>
          <w:sz w:val="24"/>
        </w:rPr>
        <w:t>Econometric</w:t>
      </w:r>
      <w:r>
        <w:rPr>
          <w:spacing w:val="29"/>
          <w:sz w:val="24"/>
        </w:rPr>
        <w:t> </w:t>
      </w:r>
      <w:r>
        <w:rPr>
          <w:sz w:val="24"/>
        </w:rPr>
        <w:t>Investigation</w:t>
      </w:r>
      <w:r>
        <w:rPr>
          <w:spacing w:val="27"/>
          <w:sz w:val="24"/>
        </w:rPr>
        <w:t> </w:t>
      </w:r>
      <w:r>
        <w:rPr>
          <w:sz w:val="24"/>
        </w:rPr>
        <w:t>of</w:t>
      </w:r>
      <w:r>
        <w:rPr>
          <w:spacing w:val="27"/>
          <w:sz w:val="24"/>
        </w:rPr>
        <w:t> </w:t>
      </w:r>
      <w:r>
        <w:rPr>
          <w:sz w:val="24"/>
        </w:rPr>
        <w:t>Capital</w:t>
      </w:r>
      <w:r>
        <w:rPr>
          <w:spacing w:val="28"/>
          <w:sz w:val="24"/>
        </w:rPr>
        <w:t> </w:t>
      </w:r>
      <w:r>
        <w:rPr>
          <w:sz w:val="24"/>
        </w:rPr>
        <w:t>Flight.</w:t>
      </w:r>
      <w:r>
        <w:rPr>
          <w:spacing w:val="80"/>
          <w:sz w:val="24"/>
        </w:rPr>
        <w:t> </w:t>
      </w:r>
      <w:r>
        <w:rPr>
          <w:i/>
          <w:sz w:val="24"/>
        </w:rPr>
        <w:t>Applied</w:t>
      </w:r>
      <w:r>
        <w:rPr>
          <w:i/>
          <w:spacing w:val="27"/>
          <w:sz w:val="24"/>
        </w:rPr>
        <w:t> </w:t>
      </w:r>
      <w:r>
        <w:rPr>
          <w:i/>
          <w:sz w:val="24"/>
        </w:rPr>
        <w:t>Economics,</w:t>
      </w:r>
      <w:r>
        <w:rPr>
          <w:i/>
          <w:spacing w:val="28"/>
          <w:sz w:val="24"/>
        </w:rPr>
        <w:t> </w:t>
      </w:r>
      <w:r>
        <w:rPr>
          <w:i/>
          <w:sz w:val="24"/>
        </w:rPr>
        <w:t>23,</w:t>
      </w:r>
      <w:r>
        <w:rPr>
          <w:i/>
          <w:spacing w:val="29"/>
          <w:sz w:val="24"/>
        </w:rPr>
        <w:t> </w:t>
      </w:r>
      <w:r>
        <w:rPr>
          <w:sz w:val="24"/>
        </w:rPr>
        <w:t>73-85 </w:t>
      </w:r>
      <w:r>
        <w:rPr>
          <w:i/>
          <w:sz w:val="24"/>
        </w:rPr>
        <w:t>Milken Institute, Capital Market Access (Santa</w:t>
        <w:tab/>
      </w:r>
      <w:r>
        <w:rPr>
          <w:i/>
          <w:spacing w:val="-2"/>
          <w:sz w:val="24"/>
        </w:rPr>
        <w:t>Monica,</w:t>
      </w:r>
      <w:r>
        <w:rPr>
          <w:i/>
          <w:sz w:val="24"/>
        </w:rPr>
        <w:tab/>
      </w:r>
      <w:r>
        <w:rPr>
          <w:i/>
          <w:spacing w:val="-2"/>
          <w:sz w:val="24"/>
        </w:rPr>
        <w:t>California)</w:t>
      </w:r>
      <w:hyperlink r:id="rId15">
        <w:r>
          <w:rPr>
            <w:i/>
            <w:spacing w:val="-2"/>
            <w:sz w:val="24"/>
          </w:rPr>
          <w:t>.</w:t>
        </w:r>
        <w:r>
          <w:rPr>
            <w:spacing w:val="-2"/>
            <w:sz w:val="24"/>
            <w:u w:val="single"/>
          </w:rPr>
          <w:t>http://www.milkeninstitute.org/</w:t>
        </w:r>
      </w:hyperlink>
      <w:r>
        <w:rPr>
          <w:spacing w:val="-2"/>
          <w:sz w:val="24"/>
        </w:rPr>
        <w:t> </w:t>
      </w:r>
      <w:r>
        <w:rPr>
          <w:sz w:val="24"/>
        </w:rPr>
        <w:t>capital market access.</w:t>
      </w:r>
    </w:p>
    <w:p>
      <w:pPr>
        <w:spacing w:before="0"/>
        <w:ind w:left="711" w:right="0" w:firstLine="0"/>
        <w:jc w:val="left"/>
        <w:rPr>
          <w:sz w:val="24"/>
        </w:rPr>
      </w:pPr>
      <w:r>
        <w:rPr>
          <w:sz w:val="24"/>
        </w:rPr>
        <w:t>Mohamed,</w:t>
      </w:r>
      <w:r>
        <w:rPr>
          <w:spacing w:val="-2"/>
          <w:sz w:val="24"/>
        </w:rPr>
        <w:t> </w:t>
      </w:r>
      <w:r>
        <w:rPr>
          <w:sz w:val="24"/>
        </w:rPr>
        <w:t>S.</w:t>
      </w:r>
      <w:r>
        <w:rPr>
          <w:spacing w:val="-1"/>
          <w:sz w:val="24"/>
        </w:rPr>
        <w:t> </w:t>
      </w:r>
      <w:r>
        <w:rPr>
          <w:sz w:val="24"/>
        </w:rPr>
        <w:t>&amp;</w:t>
      </w:r>
      <w:r>
        <w:rPr>
          <w:spacing w:val="-3"/>
          <w:sz w:val="24"/>
        </w:rPr>
        <w:t> </w:t>
      </w:r>
      <w:r>
        <w:rPr>
          <w:sz w:val="24"/>
        </w:rPr>
        <w:t>Finnoff, K.</w:t>
      </w:r>
      <w:r>
        <w:rPr>
          <w:spacing w:val="-2"/>
          <w:sz w:val="24"/>
        </w:rPr>
        <w:t> </w:t>
      </w:r>
      <w:r>
        <w:rPr>
          <w:sz w:val="24"/>
        </w:rPr>
        <w:t>(2004). </w:t>
      </w:r>
      <w:r>
        <w:rPr>
          <w:i/>
          <w:sz w:val="24"/>
        </w:rPr>
        <w:t>Capital</w:t>
      </w:r>
      <w:r>
        <w:rPr>
          <w:i/>
          <w:spacing w:val="-1"/>
          <w:sz w:val="24"/>
        </w:rPr>
        <w:t> </w:t>
      </w:r>
      <w:r>
        <w:rPr>
          <w:i/>
          <w:sz w:val="24"/>
        </w:rPr>
        <w:t>Flight</w:t>
      </w:r>
      <w:r>
        <w:rPr>
          <w:i/>
          <w:spacing w:val="-3"/>
          <w:sz w:val="24"/>
        </w:rPr>
        <w:t> </w:t>
      </w:r>
      <w:r>
        <w:rPr>
          <w:i/>
          <w:sz w:val="24"/>
        </w:rPr>
        <w:t>and</w:t>
      </w:r>
      <w:r>
        <w:rPr>
          <w:i/>
          <w:spacing w:val="-1"/>
          <w:sz w:val="24"/>
        </w:rPr>
        <w:t> </w:t>
      </w:r>
      <w:r>
        <w:rPr>
          <w:i/>
          <w:sz w:val="24"/>
        </w:rPr>
        <w:t>Capital</w:t>
      </w:r>
      <w:r>
        <w:rPr>
          <w:i/>
          <w:spacing w:val="-3"/>
          <w:sz w:val="24"/>
        </w:rPr>
        <w:t> </w:t>
      </w:r>
      <w:r>
        <w:rPr>
          <w:i/>
          <w:sz w:val="24"/>
        </w:rPr>
        <w:t>Controls</w:t>
      </w:r>
      <w:r>
        <w:rPr>
          <w:i/>
          <w:spacing w:val="-1"/>
          <w:sz w:val="24"/>
        </w:rPr>
        <w:t> </w:t>
      </w:r>
      <w:r>
        <w:rPr>
          <w:i/>
          <w:sz w:val="24"/>
        </w:rPr>
        <w:t>in Developing</w:t>
      </w:r>
      <w:r>
        <w:rPr>
          <w:i/>
          <w:spacing w:val="-1"/>
          <w:sz w:val="24"/>
        </w:rPr>
        <w:t> </w:t>
      </w:r>
      <w:r>
        <w:rPr>
          <w:i/>
          <w:sz w:val="24"/>
        </w:rPr>
        <w:t>Countries </w:t>
      </w:r>
      <w:r>
        <w:rPr>
          <w:sz w:val="24"/>
        </w:rPr>
        <w:t>.</w:t>
      </w:r>
      <w:r>
        <w:rPr>
          <w:spacing w:val="-1"/>
          <w:sz w:val="24"/>
        </w:rPr>
        <w:t> </w:t>
      </w:r>
      <w:r>
        <w:rPr>
          <w:sz w:val="24"/>
        </w:rPr>
        <w:t>85–115). Cheltenham: Edward Elgar.</w:t>
      </w:r>
    </w:p>
    <w:p>
      <w:pPr>
        <w:pStyle w:val="BodyText"/>
        <w:ind w:left="711"/>
      </w:pPr>
      <w:r>
        <w:rPr/>
        <w:t>Morgan Guaranty Trust Company, (1986). LDC Capital Flight. </w:t>
      </w:r>
      <w:r>
        <w:rPr>
          <w:i/>
        </w:rPr>
        <w:t>World Financial Markets</w:t>
      </w:r>
      <w:r>
        <w:rPr/>
        <w:t>, March,</w:t>
      </w:r>
      <w:r>
        <w:rPr>
          <w:spacing w:val="40"/>
        </w:rPr>
        <w:t> </w:t>
      </w:r>
      <w:r>
        <w:rPr/>
        <w:t>13-15. MurindeV.,N</w:t>
      </w:r>
      <w:r>
        <w:rPr>
          <w:spacing w:val="20"/>
        </w:rPr>
        <w:t> </w:t>
      </w:r>
      <w:r>
        <w:rPr/>
        <w:t>Hermes</w:t>
      </w:r>
      <w:r>
        <w:rPr>
          <w:spacing w:val="23"/>
        </w:rPr>
        <w:t> </w:t>
      </w:r>
      <w:r>
        <w:rPr/>
        <w:t>&amp;</w:t>
      </w:r>
      <w:r>
        <w:rPr>
          <w:spacing w:val="23"/>
        </w:rPr>
        <w:t> </w:t>
      </w:r>
      <w:r>
        <w:rPr/>
        <w:t>Lensink,</w:t>
      </w:r>
      <w:r>
        <w:rPr>
          <w:spacing w:val="23"/>
        </w:rPr>
        <w:t> </w:t>
      </w:r>
      <w:r>
        <w:rPr/>
        <w:t>L.</w:t>
      </w:r>
      <w:r>
        <w:rPr>
          <w:spacing w:val="23"/>
        </w:rPr>
        <w:t> </w:t>
      </w:r>
      <w:r>
        <w:rPr/>
        <w:t>(1996).</w:t>
      </w:r>
      <w:r>
        <w:rPr>
          <w:spacing w:val="21"/>
        </w:rPr>
        <w:t> </w:t>
      </w:r>
      <w:r>
        <w:rPr/>
        <w:t>Comparative</w:t>
      </w:r>
      <w:r>
        <w:rPr>
          <w:spacing w:val="19"/>
        </w:rPr>
        <w:t> </w:t>
      </w:r>
      <w:r>
        <w:rPr/>
        <w:t>Aspects</w:t>
      </w:r>
      <w:r>
        <w:rPr>
          <w:spacing w:val="21"/>
        </w:rPr>
        <w:t> </w:t>
      </w:r>
      <w:r>
        <w:rPr/>
        <w:t>of</w:t>
      </w:r>
      <w:r>
        <w:rPr>
          <w:spacing w:val="22"/>
        </w:rPr>
        <w:t> </w:t>
      </w:r>
      <w:r>
        <w:rPr/>
        <w:t>the</w:t>
      </w:r>
      <w:r>
        <w:rPr>
          <w:spacing w:val="19"/>
        </w:rPr>
        <w:t> </w:t>
      </w:r>
      <w:r>
        <w:rPr/>
        <w:t>Magnitude</w:t>
      </w:r>
      <w:r>
        <w:rPr>
          <w:spacing w:val="26"/>
        </w:rPr>
        <w:t> </w:t>
      </w:r>
      <w:r>
        <w:rPr/>
        <w:t>and</w:t>
      </w:r>
      <w:r>
        <w:rPr>
          <w:spacing w:val="20"/>
        </w:rPr>
        <w:t> </w:t>
      </w:r>
      <w:r>
        <w:rPr/>
        <w:t>Determinants</w:t>
      </w:r>
      <w:r>
        <w:rPr>
          <w:spacing w:val="21"/>
        </w:rPr>
        <w:t> </w:t>
      </w:r>
      <w:r>
        <w:rPr/>
        <w:t>of</w:t>
      </w:r>
    </w:p>
    <w:p>
      <w:pPr>
        <w:spacing w:before="0"/>
        <w:ind w:left="1431" w:right="0" w:firstLine="0"/>
        <w:jc w:val="left"/>
        <w:rPr>
          <w:sz w:val="24"/>
        </w:rPr>
      </w:pPr>
      <w:r>
        <w:rPr>
          <w:sz w:val="24"/>
        </w:rPr>
        <w:t>Capital</w:t>
      </w:r>
      <w:r>
        <w:rPr>
          <w:spacing w:val="-2"/>
          <w:sz w:val="24"/>
        </w:rPr>
        <w:t> </w:t>
      </w:r>
      <w:r>
        <w:rPr>
          <w:sz w:val="24"/>
        </w:rPr>
        <w:t>Flight</w:t>
      </w:r>
      <w:r>
        <w:rPr>
          <w:spacing w:val="-1"/>
          <w:sz w:val="24"/>
        </w:rPr>
        <w:t> </w:t>
      </w:r>
      <w:r>
        <w:rPr>
          <w:sz w:val="24"/>
        </w:rPr>
        <w:t>in</w:t>
      </w:r>
      <w:r>
        <w:rPr>
          <w:spacing w:val="-2"/>
          <w:sz w:val="24"/>
        </w:rPr>
        <w:t> </w:t>
      </w:r>
      <w:r>
        <w:rPr>
          <w:sz w:val="24"/>
        </w:rPr>
        <w:t>Six</w:t>
      </w:r>
      <w:r>
        <w:rPr>
          <w:spacing w:val="1"/>
          <w:sz w:val="24"/>
        </w:rPr>
        <w:t> </w:t>
      </w:r>
      <w:r>
        <w:rPr>
          <w:sz w:val="24"/>
        </w:rPr>
        <w:t>Sub-Saharan</w:t>
      </w:r>
      <w:r>
        <w:rPr>
          <w:spacing w:val="1"/>
          <w:sz w:val="24"/>
        </w:rPr>
        <w:t> </w:t>
      </w:r>
      <w:r>
        <w:rPr>
          <w:sz w:val="24"/>
        </w:rPr>
        <w:t>African</w:t>
      </w:r>
      <w:r>
        <w:rPr>
          <w:spacing w:val="-2"/>
          <w:sz w:val="24"/>
        </w:rPr>
        <w:t> </w:t>
      </w:r>
      <w:r>
        <w:rPr>
          <w:sz w:val="24"/>
        </w:rPr>
        <w:t>Countries.</w:t>
      </w:r>
      <w:r>
        <w:rPr>
          <w:spacing w:val="58"/>
          <w:sz w:val="24"/>
        </w:rPr>
        <w:t> </w:t>
      </w:r>
      <w:r>
        <w:rPr>
          <w:i/>
          <w:sz w:val="24"/>
        </w:rPr>
        <w:t>Saving</w:t>
      </w:r>
      <w:r>
        <w:rPr>
          <w:i/>
          <w:spacing w:val="-2"/>
          <w:sz w:val="24"/>
        </w:rPr>
        <w:t> </w:t>
      </w:r>
      <w:r>
        <w:rPr>
          <w:i/>
          <w:sz w:val="24"/>
        </w:rPr>
        <w:t>and</w:t>
      </w:r>
      <w:r>
        <w:rPr>
          <w:i/>
          <w:spacing w:val="-1"/>
          <w:sz w:val="24"/>
        </w:rPr>
        <w:t> </w:t>
      </w:r>
      <w:r>
        <w:rPr>
          <w:i/>
          <w:sz w:val="24"/>
        </w:rPr>
        <w:t>Development</w:t>
      </w:r>
      <w:r>
        <w:rPr>
          <w:sz w:val="24"/>
        </w:rPr>
        <w:t>,</w:t>
      </w:r>
      <w:r>
        <w:rPr>
          <w:spacing w:val="-1"/>
          <w:sz w:val="24"/>
        </w:rPr>
        <w:t> </w:t>
      </w:r>
      <w:r>
        <w:rPr>
          <w:spacing w:val="-2"/>
          <w:sz w:val="24"/>
        </w:rPr>
        <w:t>20(1).</w:t>
      </w:r>
    </w:p>
    <w:p>
      <w:pPr>
        <w:spacing w:before="0"/>
        <w:ind w:left="1431" w:right="471" w:hanging="721"/>
        <w:jc w:val="both"/>
        <w:rPr>
          <w:sz w:val="24"/>
        </w:rPr>
      </w:pPr>
      <w:r>
        <w:rPr>
          <w:sz w:val="24"/>
        </w:rPr>
        <w:t>Ndikumana,</w:t>
      </w:r>
      <w:r>
        <w:rPr>
          <w:spacing w:val="40"/>
          <w:sz w:val="24"/>
        </w:rPr>
        <w:t> </w:t>
      </w:r>
      <w:r>
        <w:rPr>
          <w:sz w:val="24"/>
        </w:rPr>
        <w:t>L. &amp;</w:t>
      </w:r>
      <w:r>
        <w:rPr>
          <w:spacing w:val="40"/>
          <w:sz w:val="24"/>
        </w:rPr>
        <w:t> </w:t>
      </w:r>
      <w:r>
        <w:rPr>
          <w:sz w:val="24"/>
        </w:rPr>
        <w:t>Boyce, J.</w:t>
      </w:r>
      <w:r>
        <w:rPr>
          <w:spacing w:val="40"/>
          <w:sz w:val="24"/>
        </w:rPr>
        <w:t> </w:t>
      </w:r>
      <w:r>
        <w:rPr>
          <w:sz w:val="24"/>
        </w:rPr>
        <w:t>(1992). Is Africa a Net Creditor? New</w:t>
      </w:r>
      <w:r>
        <w:rPr>
          <w:spacing w:val="40"/>
          <w:sz w:val="24"/>
        </w:rPr>
        <w:t> </w:t>
      </w:r>
      <w:r>
        <w:rPr>
          <w:sz w:val="24"/>
        </w:rPr>
        <w:t>Estimates of Capital Flight from Severely</w:t>
      </w:r>
      <w:r>
        <w:rPr>
          <w:spacing w:val="-4"/>
          <w:sz w:val="24"/>
        </w:rPr>
        <w:t> </w:t>
      </w:r>
      <w:r>
        <w:rPr>
          <w:sz w:val="24"/>
        </w:rPr>
        <w:t>Indebted</w:t>
      </w:r>
      <w:r>
        <w:rPr>
          <w:spacing w:val="-2"/>
          <w:sz w:val="24"/>
        </w:rPr>
        <w:t> </w:t>
      </w:r>
      <w:r>
        <w:rPr>
          <w:sz w:val="24"/>
        </w:rPr>
        <w:t>Sub-Saharan African</w:t>
      </w:r>
      <w:r>
        <w:rPr>
          <w:spacing w:val="-1"/>
          <w:sz w:val="24"/>
        </w:rPr>
        <w:t> </w:t>
      </w:r>
      <w:r>
        <w:rPr>
          <w:sz w:val="24"/>
        </w:rPr>
        <w:t>Countries.</w:t>
      </w:r>
      <w:r>
        <w:rPr>
          <w:spacing w:val="-1"/>
          <w:sz w:val="24"/>
        </w:rPr>
        <w:t> </w:t>
      </w:r>
      <w:r>
        <w:rPr>
          <w:i/>
          <w:sz w:val="24"/>
        </w:rPr>
        <w:t>Department</w:t>
      </w:r>
      <w:r>
        <w:rPr>
          <w:i/>
          <w:spacing w:val="-1"/>
          <w:sz w:val="24"/>
        </w:rPr>
        <w:t> </w:t>
      </w:r>
      <w:r>
        <w:rPr>
          <w:i/>
          <w:sz w:val="24"/>
        </w:rPr>
        <w:t>of</w:t>
      </w:r>
      <w:r>
        <w:rPr>
          <w:i/>
          <w:spacing w:val="-1"/>
          <w:sz w:val="24"/>
        </w:rPr>
        <w:t> </w:t>
      </w:r>
      <w:r>
        <w:rPr>
          <w:i/>
          <w:sz w:val="24"/>
        </w:rPr>
        <w:t>Economics</w:t>
      </w:r>
      <w:r>
        <w:rPr>
          <w:i/>
          <w:spacing w:val="-1"/>
          <w:sz w:val="24"/>
        </w:rPr>
        <w:t> </w:t>
      </w:r>
      <w:r>
        <w:rPr>
          <w:i/>
          <w:sz w:val="24"/>
        </w:rPr>
        <w:t>and</w:t>
      </w:r>
      <w:r>
        <w:rPr>
          <w:i/>
          <w:spacing w:val="-1"/>
          <w:sz w:val="24"/>
        </w:rPr>
        <w:t> </w:t>
      </w:r>
      <w:r>
        <w:rPr>
          <w:i/>
          <w:sz w:val="24"/>
        </w:rPr>
        <w:t>Political</w:t>
      </w:r>
      <w:r>
        <w:rPr>
          <w:i/>
          <w:spacing w:val="-1"/>
          <w:sz w:val="24"/>
        </w:rPr>
        <w:t> </w:t>
      </w:r>
      <w:r>
        <w:rPr>
          <w:i/>
          <w:sz w:val="24"/>
        </w:rPr>
        <w:t>Economy Reseach Institute</w:t>
      </w:r>
      <w:r>
        <w:rPr>
          <w:i/>
          <w:spacing w:val="40"/>
          <w:sz w:val="24"/>
        </w:rPr>
        <w:t> </w:t>
      </w:r>
      <w:r>
        <w:rPr>
          <w:sz w:val="24"/>
        </w:rPr>
        <w:t>Amherst, MA 01003</w:t>
      </w:r>
    </w:p>
    <w:p>
      <w:pPr>
        <w:pStyle w:val="BodyText"/>
        <w:ind w:left="711"/>
        <w:jc w:val="both"/>
      </w:pPr>
      <w:r>
        <w:rPr/>
        <w:t>Ndikumana,</w:t>
      </w:r>
      <w:r>
        <w:rPr>
          <w:spacing w:val="71"/>
        </w:rPr>
        <w:t> </w:t>
      </w:r>
      <w:r>
        <w:rPr/>
        <w:t>L.</w:t>
      </w:r>
      <w:r>
        <w:rPr>
          <w:spacing w:val="8"/>
        </w:rPr>
        <w:t> </w:t>
      </w:r>
      <w:r>
        <w:rPr/>
        <w:t>&amp;</w:t>
      </w:r>
      <w:r>
        <w:rPr>
          <w:spacing w:val="4"/>
        </w:rPr>
        <w:t> </w:t>
      </w:r>
      <w:r>
        <w:rPr/>
        <w:t>Boyce,</w:t>
      </w:r>
      <w:r>
        <w:rPr>
          <w:spacing w:val="5"/>
        </w:rPr>
        <w:t> </w:t>
      </w:r>
      <w:r>
        <w:rPr/>
        <w:t>J.</w:t>
      </w:r>
      <w:r>
        <w:rPr>
          <w:spacing w:val="71"/>
        </w:rPr>
        <w:t> </w:t>
      </w:r>
      <w:r>
        <w:rPr/>
        <w:t>(1998).</w:t>
      </w:r>
      <w:r>
        <w:rPr>
          <w:spacing w:val="5"/>
        </w:rPr>
        <w:t> </w:t>
      </w:r>
      <w:r>
        <w:rPr/>
        <w:t>Congo’s</w:t>
      </w:r>
      <w:r>
        <w:rPr>
          <w:spacing w:val="5"/>
        </w:rPr>
        <w:t> </w:t>
      </w:r>
      <w:r>
        <w:rPr/>
        <w:t>Odius</w:t>
      </w:r>
      <w:r>
        <w:rPr>
          <w:spacing w:val="5"/>
        </w:rPr>
        <w:t> </w:t>
      </w:r>
      <w:r>
        <w:rPr/>
        <w:t>Debt:</w:t>
      </w:r>
      <w:r>
        <w:rPr>
          <w:spacing w:val="6"/>
        </w:rPr>
        <w:t> </w:t>
      </w:r>
      <w:r>
        <w:rPr/>
        <w:t>External</w:t>
      </w:r>
      <w:r>
        <w:rPr>
          <w:spacing w:val="8"/>
        </w:rPr>
        <w:t> </w:t>
      </w:r>
      <w:r>
        <w:rPr/>
        <w:t>Borrowing</w:t>
      </w:r>
      <w:r>
        <w:rPr>
          <w:spacing w:val="3"/>
        </w:rPr>
        <w:t> </w:t>
      </w:r>
      <w:r>
        <w:rPr/>
        <w:t>and</w:t>
      </w:r>
      <w:r>
        <w:rPr>
          <w:spacing w:val="73"/>
        </w:rPr>
        <w:t> </w:t>
      </w:r>
      <w:r>
        <w:rPr/>
        <w:t>Capital</w:t>
      </w:r>
      <w:r>
        <w:rPr>
          <w:spacing w:val="6"/>
        </w:rPr>
        <w:t> </w:t>
      </w:r>
      <w:r>
        <w:rPr/>
        <w:t>Flight</w:t>
      </w:r>
      <w:r>
        <w:rPr>
          <w:spacing w:val="6"/>
        </w:rPr>
        <w:t> </w:t>
      </w:r>
      <w:r>
        <w:rPr/>
        <w:t>in</w:t>
      </w:r>
      <w:r>
        <w:rPr>
          <w:spacing w:val="6"/>
        </w:rPr>
        <w:t> </w:t>
      </w:r>
      <w:r>
        <w:rPr>
          <w:spacing w:val="-2"/>
        </w:rPr>
        <w:t>Zaire.</w:t>
      </w:r>
    </w:p>
    <w:p>
      <w:pPr>
        <w:spacing w:before="1"/>
        <w:ind w:left="711" w:right="0" w:firstLine="0"/>
        <w:jc w:val="both"/>
        <w:rPr>
          <w:sz w:val="24"/>
        </w:rPr>
      </w:pPr>
      <w:r>
        <w:rPr>
          <w:i/>
          <w:sz w:val="24"/>
        </w:rPr>
        <w:t>Development</w:t>
      </w:r>
      <w:r>
        <w:rPr>
          <w:i/>
          <w:spacing w:val="-3"/>
          <w:sz w:val="24"/>
        </w:rPr>
        <w:t> </w:t>
      </w:r>
      <w:r>
        <w:rPr>
          <w:i/>
          <w:sz w:val="24"/>
        </w:rPr>
        <w:t>and</w:t>
      </w:r>
      <w:r>
        <w:rPr>
          <w:i/>
          <w:spacing w:val="-1"/>
          <w:sz w:val="24"/>
        </w:rPr>
        <w:t> </w:t>
      </w:r>
      <w:r>
        <w:rPr>
          <w:i/>
          <w:sz w:val="24"/>
        </w:rPr>
        <w:t>Change</w:t>
      </w:r>
      <w:r>
        <w:rPr>
          <w:i/>
          <w:spacing w:val="-1"/>
          <w:sz w:val="24"/>
        </w:rPr>
        <w:t> </w:t>
      </w:r>
      <w:r>
        <w:rPr>
          <w:sz w:val="24"/>
        </w:rPr>
        <w:t>29,2,</w:t>
      </w:r>
      <w:r>
        <w:rPr>
          <w:spacing w:val="-1"/>
          <w:sz w:val="24"/>
        </w:rPr>
        <w:t> </w:t>
      </w:r>
      <w:r>
        <w:rPr>
          <w:sz w:val="24"/>
        </w:rPr>
        <w:t>195-</w:t>
      </w:r>
      <w:r>
        <w:rPr>
          <w:spacing w:val="-4"/>
          <w:sz w:val="24"/>
        </w:rPr>
        <w:t>217.</w:t>
      </w:r>
    </w:p>
    <w:p>
      <w:pPr>
        <w:pStyle w:val="BodyText"/>
        <w:ind w:left="711" w:right="467"/>
        <w:jc w:val="both"/>
      </w:pPr>
      <w:r>
        <w:rPr/>
        <w:t>Ndikumana, L. &amp; Boyce, J.</w:t>
      </w:r>
      <w:r>
        <w:rPr>
          <w:spacing w:val="40"/>
        </w:rPr>
        <w:t> </w:t>
      </w:r>
      <w:r>
        <w:rPr/>
        <w:t>(2003). Public Debt and Private Assets: Explaining Capital Flight from Sub- Saharan African Countries. </w:t>
      </w:r>
      <w:r>
        <w:rPr>
          <w:i/>
        </w:rPr>
        <w:t>World Development</w:t>
      </w:r>
      <w:r>
        <w:rPr/>
        <w:t>,</w:t>
      </w:r>
      <w:r>
        <w:rPr>
          <w:spacing w:val="80"/>
          <w:w w:val="150"/>
        </w:rPr>
        <w:t>  </w:t>
      </w:r>
      <w:r>
        <w:rPr>
          <w:i/>
        </w:rPr>
        <w:t>Vol. 31</w:t>
      </w:r>
      <w:r>
        <w:rPr/>
        <w:t>, No. 1, 107-130.</w:t>
      </w:r>
    </w:p>
    <w:p>
      <w:pPr>
        <w:pStyle w:val="BodyText"/>
        <w:ind w:left="1431" w:right="471" w:hanging="721"/>
        <w:jc w:val="both"/>
      </w:pPr>
      <w:r>
        <w:rPr/>
        <w:t>Ndikumana, L. and James B. (2008). New Estimates of Capital Flight from Sub-Saharan African Countries: Linkages</w:t>
      </w:r>
      <w:r>
        <w:rPr>
          <w:spacing w:val="-2"/>
        </w:rPr>
        <w:t> </w:t>
      </w:r>
      <w:r>
        <w:rPr/>
        <w:t>with</w:t>
      </w:r>
      <w:r>
        <w:rPr>
          <w:spacing w:val="-2"/>
        </w:rPr>
        <w:t> </w:t>
      </w:r>
      <w:r>
        <w:rPr/>
        <w:t>External</w:t>
      </w:r>
      <w:r>
        <w:rPr>
          <w:spacing w:val="-2"/>
        </w:rPr>
        <w:t> </w:t>
      </w:r>
      <w:r>
        <w:rPr/>
        <w:t>Borrowing</w:t>
      </w:r>
      <w:r>
        <w:rPr>
          <w:spacing w:val="40"/>
        </w:rPr>
        <w:t> </w:t>
      </w:r>
      <w:r>
        <w:rPr/>
        <w:t>and Policy Options. </w:t>
      </w:r>
      <w:r>
        <w:rPr>
          <w:i/>
        </w:rPr>
        <w:t>PERI Working Paper Series</w:t>
      </w:r>
      <w:r>
        <w:rPr/>
        <w:t>. No. 166, University of Massachusetts Amherst, USA.</w:t>
      </w:r>
    </w:p>
    <w:p>
      <w:pPr>
        <w:tabs>
          <w:tab w:pos="5032" w:val="left" w:leader="none"/>
        </w:tabs>
        <w:spacing w:before="0"/>
        <w:ind w:left="711" w:right="473" w:firstLine="0"/>
        <w:jc w:val="both"/>
        <w:rPr>
          <w:i/>
          <w:sz w:val="24"/>
        </w:rPr>
      </w:pPr>
      <w:r>
        <w:rPr>
          <w:sz w:val="24"/>
        </w:rPr>
        <w:t>Ndikumana, L. (2000). Financial Determinants of Domestic Investment in Sub-Saharan Africa: Evidence from Panel Data. </w:t>
      </w:r>
      <w:r>
        <w:rPr>
          <w:i/>
          <w:sz w:val="24"/>
        </w:rPr>
        <w:t>World Development,</w:t>
        <w:tab/>
        <w:t>Elsevier, Vol. 28 (2), </w:t>
      </w:r>
      <w:r>
        <w:rPr>
          <w:sz w:val="24"/>
        </w:rPr>
        <w:t>381-400</w:t>
      </w:r>
      <w:r>
        <w:rPr>
          <w:i/>
          <w:sz w:val="24"/>
        </w:rPr>
        <w:t>.</w:t>
      </w:r>
    </w:p>
    <w:p>
      <w:pPr>
        <w:spacing w:before="0"/>
        <w:ind w:left="711" w:right="471" w:firstLine="0"/>
        <w:jc w:val="both"/>
        <w:rPr>
          <w:sz w:val="24"/>
        </w:rPr>
      </w:pPr>
      <w:r>
        <w:rPr>
          <w:sz w:val="24"/>
        </w:rPr>
        <w:t>N’geno N.K. (1994). Capital Flight in Kenya.</w:t>
      </w:r>
      <w:r>
        <w:rPr>
          <w:spacing w:val="40"/>
          <w:sz w:val="24"/>
        </w:rPr>
        <w:t> </w:t>
      </w:r>
      <w:r>
        <w:rPr>
          <w:i/>
          <w:sz w:val="24"/>
        </w:rPr>
        <w:t>Paper Presented at the AERC Workshop in Nairob</w:t>
      </w:r>
      <w:r>
        <w:rPr>
          <w:sz w:val="24"/>
        </w:rPr>
        <w:t>i </w:t>
      </w:r>
      <w:r>
        <w:rPr>
          <w:spacing w:val="-2"/>
          <w:sz w:val="24"/>
        </w:rPr>
        <w:t>(may/june).</w:t>
      </w:r>
    </w:p>
    <w:p>
      <w:pPr>
        <w:spacing w:before="0"/>
        <w:ind w:left="711" w:right="474" w:firstLine="0"/>
        <w:jc w:val="both"/>
        <w:rPr>
          <w:sz w:val="24"/>
        </w:rPr>
      </w:pPr>
      <w:r>
        <w:rPr>
          <w:sz w:val="24"/>
        </w:rPr>
        <w:t>North, D.(1990). </w:t>
      </w:r>
      <w:r>
        <w:rPr>
          <w:i/>
          <w:sz w:val="24"/>
        </w:rPr>
        <w:t>Institutions, Institutional Change, and Economic Performance</w:t>
      </w:r>
      <w:r>
        <w:rPr>
          <w:sz w:val="24"/>
        </w:rPr>
        <w:t>. New York: Cambridge University Press.</w:t>
      </w:r>
    </w:p>
    <w:p>
      <w:pPr>
        <w:pStyle w:val="BodyText"/>
        <w:tabs>
          <w:tab w:pos="7192" w:val="left" w:leader="none"/>
        </w:tabs>
        <w:ind w:left="711" w:right="472"/>
        <w:jc w:val="both"/>
      </w:pPr>
      <w:r>
        <w:rPr/>
        <w:t>Nyatepe-Coo (1994). Estimation of Capital Flight Management Techniques in Developing Countries. </w:t>
      </w:r>
      <w:r>
        <w:rPr>
          <w:i/>
        </w:rPr>
        <w:t>PERI Working Paper </w:t>
      </w:r>
      <w:r>
        <w:rPr/>
        <w:t>Nº56, Political Economy Research Institute,</w:t>
        <w:tab/>
        <w:t>University of Massachusetts, Amherst, </w:t>
      </w:r>
      <w:r>
        <w:rPr>
          <w:spacing w:val="-4"/>
        </w:rPr>
        <w:t>MA.</w:t>
      </w:r>
    </w:p>
    <w:p>
      <w:pPr>
        <w:pStyle w:val="BodyText"/>
        <w:tabs>
          <w:tab w:pos="5032" w:val="left" w:leader="none"/>
          <w:tab w:pos="7912" w:val="left" w:leader="none"/>
        </w:tabs>
        <w:ind w:left="711" w:right="475"/>
      </w:pPr>
      <w:r>
        <w:rPr/>
        <w:t>Nwoye,</w:t>
      </w:r>
      <w:r>
        <w:rPr>
          <w:spacing w:val="31"/>
        </w:rPr>
        <w:t> </w:t>
      </w:r>
      <w:r>
        <w:rPr/>
        <w:t>M.I.</w:t>
      </w:r>
      <w:r>
        <w:rPr>
          <w:spacing w:val="30"/>
        </w:rPr>
        <w:t> </w:t>
      </w:r>
      <w:r>
        <w:rPr/>
        <w:t>(1997).</w:t>
      </w:r>
      <w:r>
        <w:rPr>
          <w:spacing w:val="29"/>
        </w:rPr>
        <w:t> </w:t>
      </w:r>
      <w:r>
        <w:rPr/>
        <w:t>Management</w:t>
      </w:r>
      <w:r>
        <w:rPr>
          <w:spacing w:val="32"/>
        </w:rPr>
        <w:t> </w:t>
      </w:r>
      <w:r>
        <w:rPr/>
        <w:t>Practices</w:t>
      </w:r>
      <w:r>
        <w:rPr>
          <w:spacing w:val="30"/>
        </w:rPr>
        <w:t> </w:t>
      </w:r>
      <w:r>
        <w:rPr/>
        <w:t>and</w:t>
      </w:r>
      <w:r>
        <w:rPr>
          <w:spacing w:val="32"/>
        </w:rPr>
        <w:t> </w:t>
      </w:r>
      <w:r>
        <w:rPr/>
        <w:t>Performance</w:t>
      </w:r>
      <w:r>
        <w:rPr>
          <w:spacing w:val="31"/>
        </w:rPr>
        <w:t> </w:t>
      </w:r>
      <w:r>
        <w:rPr/>
        <w:t>Determinants</w:t>
      </w:r>
      <w:r>
        <w:rPr>
          <w:spacing w:val="31"/>
        </w:rPr>
        <w:t> </w:t>
      </w:r>
      <w:r>
        <w:rPr/>
        <w:t>of</w:t>
      </w:r>
      <w:r>
        <w:rPr>
          <w:spacing w:val="29"/>
        </w:rPr>
        <w:t> </w:t>
      </w:r>
      <w:r>
        <w:rPr/>
        <w:t>Public</w:t>
      </w:r>
      <w:r>
        <w:rPr>
          <w:spacing w:val="37"/>
        </w:rPr>
        <w:t> </w:t>
      </w:r>
      <w:r>
        <w:rPr/>
        <w:t>and</w:t>
      </w:r>
      <w:r>
        <w:rPr>
          <w:spacing w:val="32"/>
        </w:rPr>
        <w:t> </w:t>
      </w:r>
      <w:r>
        <w:rPr/>
        <w:t>Private</w:t>
      </w:r>
      <w:r>
        <w:rPr>
          <w:spacing w:val="29"/>
        </w:rPr>
        <w:t> </w:t>
      </w:r>
      <w:r>
        <w:rPr/>
        <w:t>Sector Enterprises in Anambra, Edo and Delta</w:t>
        <w:tab/>
        <w:t>States of Nigeria: A Factor</w:t>
        <w:tab/>
      </w:r>
      <w:r>
        <w:rPr>
          <w:spacing w:val="-2"/>
        </w:rPr>
        <w:t>Analysis.</w:t>
      </w:r>
    </w:p>
    <w:p>
      <w:pPr>
        <w:pStyle w:val="BodyText"/>
        <w:tabs>
          <w:tab w:pos="5752" w:val="left" w:leader="none"/>
          <w:tab w:pos="10860" w:val="left" w:leader="none"/>
        </w:tabs>
        <w:spacing w:before="1"/>
        <w:ind w:left="711" w:right="470"/>
      </w:pPr>
      <w:r>
        <w:rPr/>
        <w:t>Obadan, M (2008). Economic Globalization, Markets and National Development: How Sensibly</w:t>
      </w:r>
      <w:r>
        <w:rPr>
          <w:spacing w:val="40"/>
        </w:rPr>
        <w:t> </w:t>
      </w:r>
      <w:r>
        <w:rPr/>
        <w:t>does</w:t>
        <w:tab/>
      </w:r>
      <w:r>
        <w:rPr>
          <w:spacing w:val="-4"/>
        </w:rPr>
        <w:t>the </w:t>
      </w:r>
      <w:r>
        <w:rPr/>
        <w:t>Poor Countries (Nigeria Included) stand? 98</w:t>
      </w:r>
      <w:r>
        <w:rPr>
          <w:vertAlign w:val="superscript"/>
        </w:rPr>
        <w:t>th</w:t>
      </w:r>
      <w:r>
        <w:rPr>
          <w:vertAlign w:val="baseline"/>
        </w:rPr>
        <w:tab/>
        <w:t>Inaugural Lecture, University of Benin</w:t>
      </w:r>
    </w:p>
    <w:p>
      <w:pPr>
        <w:tabs>
          <w:tab w:pos="5752" w:val="left" w:leader="none"/>
        </w:tabs>
        <w:spacing w:before="0"/>
        <w:ind w:left="711" w:right="475" w:firstLine="0"/>
        <w:jc w:val="left"/>
        <w:rPr>
          <w:sz w:val="24"/>
        </w:rPr>
      </w:pPr>
      <w:r>
        <w:rPr>
          <w:sz w:val="24"/>
        </w:rPr>
        <w:t>Ojo,</w:t>
      </w:r>
      <w:r>
        <w:rPr>
          <w:spacing w:val="39"/>
          <w:sz w:val="24"/>
        </w:rPr>
        <w:t> </w:t>
      </w:r>
      <w:r>
        <w:rPr>
          <w:sz w:val="24"/>
        </w:rPr>
        <w:t>O.</w:t>
      </w:r>
      <w:r>
        <w:rPr>
          <w:spacing w:val="39"/>
          <w:sz w:val="24"/>
        </w:rPr>
        <w:t> </w:t>
      </w:r>
      <w:r>
        <w:rPr>
          <w:sz w:val="24"/>
        </w:rPr>
        <w:t>O.</w:t>
      </w:r>
      <w:r>
        <w:rPr>
          <w:spacing w:val="39"/>
          <w:sz w:val="24"/>
        </w:rPr>
        <w:t> </w:t>
      </w:r>
      <w:r>
        <w:rPr>
          <w:sz w:val="24"/>
        </w:rPr>
        <w:t>(1992).</w:t>
      </w:r>
      <w:r>
        <w:rPr>
          <w:spacing w:val="40"/>
          <w:sz w:val="24"/>
        </w:rPr>
        <w:t> </w:t>
      </w:r>
      <w:r>
        <w:rPr>
          <w:sz w:val="24"/>
        </w:rPr>
        <w:t>An</w:t>
      </w:r>
      <w:r>
        <w:rPr>
          <w:spacing w:val="40"/>
          <w:sz w:val="24"/>
        </w:rPr>
        <w:t> </w:t>
      </w:r>
      <w:r>
        <w:rPr>
          <w:sz w:val="24"/>
        </w:rPr>
        <w:t>Empirical</w:t>
      </w:r>
      <w:r>
        <w:rPr>
          <w:spacing w:val="40"/>
          <w:sz w:val="24"/>
        </w:rPr>
        <w:t> </w:t>
      </w:r>
      <w:r>
        <w:rPr>
          <w:sz w:val="24"/>
        </w:rPr>
        <w:t>Investigation</w:t>
      </w:r>
      <w:r>
        <w:rPr>
          <w:spacing w:val="40"/>
          <w:sz w:val="24"/>
        </w:rPr>
        <w:t> </w:t>
      </w:r>
      <w:r>
        <w:rPr>
          <w:sz w:val="24"/>
        </w:rPr>
        <w:t>of</w:t>
      </w:r>
      <w:r>
        <w:rPr>
          <w:spacing w:val="39"/>
          <w:sz w:val="24"/>
        </w:rPr>
        <w:t> </w:t>
      </w:r>
      <w:r>
        <w:rPr>
          <w:sz w:val="24"/>
        </w:rPr>
        <w:t>Capital</w:t>
      </w:r>
      <w:r>
        <w:rPr>
          <w:spacing w:val="40"/>
          <w:sz w:val="24"/>
        </w:rPr>
        <w:t> </w:t>
      </w:r>
      <w:r>
        <w:rPr>
          <w:sz w:val="24"/>
        </w:rPr>
        <w:t>Flight</w:t>
      </w:r>
      <w:r>
        <w:rPr>
          <w:spacing w:val="40"/>
          <w:sz w:val="24"/>
        </w:rPr>
        <w:t> </w:t>
      </w:r>
      <w:r>
        <w:rPr>
          <w:sz w:val="24"/>
        </w:rPr>
        <w:t>in</w:t>
      </w:r>
      <w:r>
        <w:rPr>
          <w:spacing w:val="40"/>
          <w:sz w:val="24"/>
        </w:rPr>
        <w:t> </w:t>
      </w:r>
      <w:r>
        <w:rPr>
          <w:sz w:val="24"/>
        </w:rPr>
        <w:t>Selected</w:t>
      </w:r>
      <w:r>
        <w:rPr>
          <w:spacing w:val="39"/>
          <w:sz w:val="24"/>
        </w:rPr>
        <w:t> </w:t>
      </w:r>
      <w:r>
        <w:rPr>
          <w:sz w:val="24"/>
        </w:rPr>
        <w:t>African</w:t>
      </w:r>
      <w:r>
        <w:rPr>
          <w:spacing w:val="40"/>
          <w:sz w:val="24"/>
        </w:rPr>
        <w:t> </w:t>
      </w:r>
      <w:r>
        <w:rPr>
          <w:sz w:val="24"/>
        </w:rPr>
        <w:t>Countries.</w:t>
      </w:r>
      <w:r>
        <w:rPr>
          <w:spacing w:val="40"/>
          <w:sz w:val="24"/>
        </w:rPr>
        <w:t> </w:t>
      </w:r>
      <w:r>
        <w:rPr>
          <w:i/>
          <w:sz w:val="24"/>
        </w:rPr>
        <w:t>African Development Bank, Economic Research Paper</w:t>
        <w:tab/>
      </w:r>
      <w:r>
        <w:rPr>
          <w:sz w:val="24"/>
        </w:rPr>
        <w:t>No. 17.</w:t>
      </w:r>
    </w:p>
    <w:p>
      <w:pPr>
        <w:spacing w:before="0"/>
        <w:ind w:left="711" w:right="0" w:firstLine="0"/>
        <w:jc w:val="left"/>
        <w:rPr>
          <w:sz w:val="24"/>
        </w:rPr>
      </w:pPr>
      <w:r>
        <w:rPr>
          <w:sz w:val="24"/>
        </w:rPr>
        <w:t>Ojo,</w:t>
      </w:r>
      <w:r>
        <w:rPr>
          <w:spacing w:val="-1"/>
          <w:sz w:val="24"/>
        </w:rPr>
        <w:t> </w:t>
      </w:r>
      <w:r>
        <w:rPr>
          <w:sz w:val="24"/>
        </w:rPr>
        <w:t>A.T</w:t>
      </w:r>
      <w:r>
        <w:rPr>
          <w:spacing w:val="-1"/>
          <w:sz w:val="24"/>
        </w:rPr>
        <w:t> </w:t>
      </w:r>
      <w:r>
        <w:rPr>
          <w:sz w:val="24"/>
        </w:rPr>
        <w:t>and Wole,</w:t>
      </w:r>
      <w:r>
        <w:rPr>
          <w:spacing w:val="-1"/>
          <w:sz w:val="24"/>
        </w:rPr>
        <w:t> </w:t>
      </w:r>
      <w:r>
        <w:rPr>
          <w:sz w:val="24"/>
        </w:rPr>
        <w:t>A. (1982).</w:t>
      </w:r>
      <w:r>
        <w:rPr>
          <w:spacing w:val="1"/>
          <w:sz w:val="24"/>
        </w:rPr>
        <w:t> </w:t>
      </w:r>
      <w:r>
        <w:rPr>
          <w:i/>
          <w:sz w:val="24"/>
        </w:rPr>
        <w:t>Banking</w:t>
      </w:r>
      <w:r>
        <w:rPr>
          <w:i/>
          <w:spacing w:val="-1"/>
          <w:sz w:val="24"/>
        </w:rPr>
        <w:t> </w:t>
      </w:r>
      <w:r>
        <w:rPr>
          <w:i/>
          <w:sz w:val="24"/>
        </w:rPr>
        <w:t>and Finance</w:t>
      </w:r>
      <w:r>
        <w:rPr>
          <w:i/>
          <w:spacing w:val="-1"/>
          <w:sz w:val="24"/>
        </w:rPr>
        <w:t> </w:t>
      </w:r>
      <w:r>
        <w:rPr>
          <w:i/>
          <w:sz w:val="24"/>
        </w:rPr>
        <w:t>in</w:t>
      </w:r>
      <w:r>
        <w:rPr>
          <w:i/>
          <w:spacing w:val="-1"/>
          <w:sz w:val="24"/>
        </w:rPr>
        <w:t> </w:t>
      </w:r>
      <w:r>
        <w:rPr>
          <w:i/>
          <w:sz w:val="24"/>
        </w:rPr>
        <w:t>Nigeria</w:t>
      </w:r>
      <w:r>
        <w:rPr>
          <w:sz w:val="24"/>
        </w:rPr>
        <w:t>, UK, Graham </w:t>
      </w:r>
      <w:r>
        <w:rPr>
          <w:spacing w:val="-4"/>
          <w:sz w:val="24"/>
        </w:rPr>
        <w:t>Burn</w:t>
      </w:r>
    </w:p>
    <w:p>
      <w:pPr>
        <w:spacing w:after="0"/>
        <w:jc w:val="left"/>
        <w:rPr>
          <w:sz w:val="24"/>
        </w:rPr>
        <w:sectPr>
          <w:pgSz w:w="11910" w:h="16840"/>
          <w:pgMar w:header="0" w:footer="979" w:top="1360" w:bottom="1240" w:left="280" w:right="0"/>
        </w:sectPr>
      </w:pPr>
    </w:p>
    <w:p>
      <w:pPr>
        <w:pStyle w:val="BodyText"/>
        <w:tabs>
          <w:tab w:pos="6472" w:val="left" w:leader="none"/>
          <w:tab w:pos="7808" w:val="left" w:leader="none"/>
          <w:tab w:pos="8331" w:val="left" w:leader="none"/>
          <w:tab w:pos="9519" w:val="left" w:leader="none"/>
          <w:tab w:pos="10162" w:val="left" w:leader="none"/>
        </w:tabs>
        <w:spacing w:before="60"/>
        <w:ind w:left="1431" w:right="473" w:hanging="721"/>
      </w:pPr>
      <w:r>
        <w:rPr/>
        <w:t>Okonta</w:t>
      </w:r>
      <w:r>
        <w:rPr>
          <w:spacing w:val="80"/>
        </w:rPr>
        <w:t> </w:t>
      </w:r>
      <w:r>
        <w:rPr/>
        <w:t>and</w:t>
      </w:r>
      <w:r>
        <w:rPr>
          <w:spacing w:val="80"/>
        </w:rPr>
        <w:t> </w:t>
      </w:r>
      <w:r>
        <w:rPr/>
        <w:t>Douglas,</w:t>
      </w:r>
      <w:r>
        <w:rPr>
          <w:spacing w:val="80"/>
        </w:rPr>
        <w:t> </w:t>
      </w:r>
      <w:r>
        <w:rPr/>
        <w:t>(2001).</w:t>
      </w:r>
      <w:r>
        <w:rPr>
          <w:spacing w:val="80"/>
        </w:rPr>
        <w:t> </w:t>
      </w:r>
      <w:r>
        <w:rPr/>
        <w:t>Where</w:t>
      </w:r>
      <w:r>
        <w:rPr>
          <w:spacing w:val="80"/>
        </w:rPr>
        <w:t> </w:t>
      </w:r>
      <w:r>
        <w:rPr/>
        <w:t>Vultures</w:t>
      </w:r>
      <w:r>
        <w:rPr>
          <w:spacing w:val="80"/>
        </w:rPr>
        <w:t> </w:t>
      </w:r>
      <w:r>
        <w:rPr/>
        <w:t>Feast</w:t>
      </w:r>
      <w:r>
        <w:rPr>
          <w:i/>
        </w:rPr>
        <w:t>.</w:t>
      </w:r>
      <w:r>
        <w:rPr>
          <w:i/>
          <w:spacing w:val="80"/>
        </w:rPr>
        <w:t> </w:t>
      </w:r>
      <w:r>
        <w:rPr/>
        <w:t>Petroleum</w:t>
      </w:r>
      <w:r>
        <w:rPr>
          <w:spacing w:val="80"/>
        </w:rPr>
        <w:t> </w:t>
      </w:r>
      <w:r>
        <w:rPr/>
        <w:t>Industry</w:t>
      </w:r>
      <w:r>
        <w:rPr>
          <w:spacing w:val="80"/>
        </w:rPr>
        <w:t> </w:t>
      </w:r>
      <w:r>
        <w:rPr/>
        <w:t>in</w:t>
      </w:r>
      <w:r>
        <w:rPr>
          <w:spacing w:val="80"/>
        </w:rPr>
        <w:t> </w:t>
      </w:r>
      <w:r>
        <w:rPr/>
        <w:t>Nigeria.</w:t>
      </w:r>
      <w:r>
        <w:rPr>
          <w:spacing w:val="80"/>
        </w:rPr>
        <w:t> </w:t>
      </w:r>
      <w:hyperlink r:id="rId13">
        <w:r>
          <w:rPr/>
          <w:t>The</w:t>
        </w:r>
        <w:r>
          <w:rPr>
            <w:spacing w:val="80"/>
          </w:rPr>
          <w:t> </w:t>
        </w:r>
        <w:r>
          <w:rPr/>
          <w:t>Price</w:t>
        </w:r>
        <w:r>
          <w:rPr>
            <w:spacing w:val="80"/>
          </w:rPr>
          <w:t> </w:t>
        </w:r>
        <w:r>
          <w:rPr/>
          <w:t>of</w:t>
        </w:r>
      </w:hyperlink>
      <w:r>
        <w:rPr/>
        <w:t> </w:t>
      </w:r>
      <w:hyperlink r:id="rId13">
        <w:r>
          <w:rPr/>
          <w:t>Oil:Corporate</w:t>
        </w:r>
        <w:r>
          <w:rPr>
            <w:spacing w:val="-1"/>
          </w:rPr>
          <w:t> </w:t>
        </w:r>
        <w:r>
          <w:rPr/>
          <w:t>Responsibility</w:t>
        </w:r>
        <w:r>
          <w:rPr>
            <w:spacing w:val="-5"/>
          </w:rPr>
          <w:t> </w:t>
        </w:r>
        <w:r>
          <w:rPr/>
          <w:t>and</w:t>
        </w:r>
        <w:r>
          <w:rPr>
            <w:spacing w:val="-1"/>
          </w:rPr>
          <w:t> </w:t>
        </w:r>
        <w:r>
          <w:rPr/>
          <w:t>Human </w:t>
        </w:r>
        <w:r>
          <w:rPr>
            <w:spacing w:val="-2"/>
          </w:rPr>
          <w:t>Rights</w:t>
        </w:r>
        <w:r>
          <w:rPr/>
          <w:tab/>
        </w:r>
        <w:r>
          <w:rPr>
            <w:spacing w:val="-2"/>
          </w:rPr>
          <w:t>Violations</w:t>
        </w:r>
        <w:r>
          <w:rPr/>
          <w:tab/>
        </w:r>
        <w:r>
          <w:rPr>
            <w:spacing w:val="-5"/>
          </w:rPr>
          <w:t>in</w:t>
        </w:r>
        <w:r>
          <w:rPr/>
          <w:tab/>
        </w:r>
        <w:r>
          <w:rPr>
            <w:spacing w:val="-2"/>
          </w:rPr>
          <w:t>Nigeria's</w:t>
        </w:r>
        <w:r>
          <w:rPr/>
          <w:tab/>
        </w:r>
        <w:r>
          <w:rPr>
            <w:spacing w:val="-5"/>
          </w:rPr>
          <w:t>Oil</w:t>
        </w:r>
        <w:r>
          <w:rPr/>
          <w:tab/>
        </w:r>
        <w:r>
          <w:rPr>
            <w:spacing w:val="-2"/>
          </w:rPr>
          <w:t>Producing</w:t>
        </w:r>
      </w:hyperlink>
    </w:p>
    <w:p>
      <w:pPr>
        <w:pStyle w:val="BodyText"/>
        <w:spacing w:before="1"/>
        <w:ind w:left="711"/>
      </w:pPr>
      <w:hyperlink r:id="rId13">
        <w:r>
          <w:rPr>
            <w:spacing w:val="-2"/>
          </w:rPr>
          <w:t>Communities</w:t>
        </w:r>
      </w:hyperlink>
    </w:p>
    <w:p>
      <w:pPr>
        <w:pStyle w:val="BodyText"/>
        <w:tabs>
          <w:tab w:pos="9353" w:val="left" w:leader="none"/>
        </w:tabs>
        <w:ind w:left="711"/>
      </w:pPr>
      <w:r>
        <w:rPr/>
        <w:t>Olopoenia</w:t>
      </w:r>
      <w:r>
        <w:rPr>
          <w:spacing w:val="-3"/>
        </w:rPr>
        <w:t> </w:t>
      </w:r>
      <w:r>
        <w:rPr/>
        <w:t>R.</w:t>
      </w:r>
      <w:r>
        <w:rPr>
          <w:spacing w:val="-1"/>
        </w:rPr>
        <w:t> </w:t>
      </w:r>
      <w:r>
        <w:rPr/>
        <w:t>A.</w:t>
      </w:r>
      <w:r>
        <w:rPr>
          <w:spacing w:val="-1"/>
        </w:rPr>
        <w:t> </w:t>
      </w:r>
      <w:r>
        <w:rPr/>
        <w:t>(1995). Capital</w:t>
      </w:r>
      <w:r>
        <w:rPr>
          <w:spacing w:val="-1"/>
        </w:rPr>
        <w:t> </w:t>
      </w:r>
      <w:r>
        <w:rPr/>
        <w:t>Flight</w:t>
      </w:r>
      <w:r>
        <w:rPr>
          <w:spacing w:val="-1"/>
        </w:rPr>
        <w:t> </w:t>
      </w:r>
      <w:r>
        <w:rPr/>
        <w:t>from</w:t>
      </w:r>
      <w:r>
        <w:rPr>
          <w:spacing w:val="-1"/>
        </w:rPr>
        <w:t> </w:t>
      </w:r>
      <w:r>
        <w:rPr/>
        <w:t>Uganda,</w:t>
      </w:r>
      <w:r>
        <w:rPr>
          <w:spacing w:val="-1"/>
        </w:rPr>
        <w:t> </w:t>
      </w:r>
      <w:r>
        <w:rPr/>
        <w:t>1971-1994.</w:t>
      </w:r>
      <w:r>
        <w:rPr>
          <w:spacing w:val="-1"/>
        </w:rPr>
        <w:t> </w:t>
      </w:r>
      <w:r>
        <w:rPr/>
        <w:t>Estimates</w:t>
      </w:r>
      <w:r>
        <w:rPr>
          <w:spacing w:val="1"/>
        </w:rPr>
        <w:t> </w:t>
      </w:r>
      <w:r>
        <w:rPr/>
        <w:t>causes </w:t>
      </w:r>
      <w:r>
        <w:rPr>
          <w:spacing w:val="-5"/>
        </w:rPr>
        <w:t>and</w:t>
      </w:r>
      <w:r>
        <w:rPr/>
        <w:tab/>
      </w:r>
      <w:r>
        <w:rPr>
          <w:spacing w:val="-2"/>
        </w:rPr>
        <w:t>consequences.</w:t>
      </w:r>
    </w:p>
    <w:p>
      <w:pPr>
        <w:tabs>
          <w:tab w:pos="5032" w:val="left" w:leader="none"/>
        </w:tabs>
        <w:spacing w:before="0"/>
        <w:ind w:left="711" w:right="0" w:firstLine="0"/>
        <w:jc w:val="left"/>
        <w:rPr>
          <w:sz w:val="24"/>
        </w:rPr>
      </w:pPr>
      <w:r>
        <w:rPr>
          <w:i/>
          <w:sz w:val="24"/>
        </w:rPr>
        <w:t>Paper</w:t>
      </w:r>
      <w:r>
        <w:rPr>
          <w:i/>
          <w:spacing w:val="-3"/>
          <w:sz w:val="24"/>
        </w:rPr>
        <w:t> </w:t>
      </w:r>
      <w:r>
        <w:rPr>
          <w:i/>
          <w:sz w:val="24"/>
        </w:rPr>
        <w:t>Presnted at</w:t>
      </w:r>
      <w:r>
        <w:rPr>
          <w:i/>
          <w:spacing w:val="-1"/>
          <w:sz w:val="24"/>
        </w:rPr>
        <w:t> </w:t>
      </w:r>
      <w:r>
        <w:rPr>
          <w:i/>
          <w:sz w:val="24"/>
        </w:rPr>
        <w:t>the</w:t>
      </w:r>
      <w:r>
        <w:rPr>
          <w:i/>
          <w:spacing w:val="-1"/>
          <w:sz w:val="24"/>
        </w:rPr>
        <w:t> </w:t>
      </w:r>
      <w:r>
        <w:rPr>
          <w:i/>
          <w:sz w:val="24"/>
        </w:rPr>
        <w:t>AERC</w:t>
      </w:r>
      <w:r>
        <w:rPr>
          <w:i/>
          <w:spacing w:val="-1"/>
          <w:sz w:val="24"/>
        </w:rPr>
        <w:t> </w:t>
      </w:r>
      <w:r>
        <w:rPr>
          <w:i/>
          <w:sz w:val="24"/>
        </w:rPr>
        <w:t>workshop </w:t>
      </w:r>
      <w:r>
        <w:rPr>
          <w:i/>
          <w:spacing w:val="-5"/>
          <w:sz w:val="24"/>
        </w:rPr>
        <w:t>in</w:t>
      </w:r>
      <w:r>
        <w:rPr>
          <w:i/>
          <w:sz w:val="24"/>
        </w:rPr>
        <w:tab/>
        <w:t>Nairobi</w:t>
      </w:r>
      <w:r>
        <w:rPr>
          <w:i/>
          <w:spacing w:val="-3"/>
          <w:sz w:val="24"/>
        </w:rPr>
        <w:t> </w:t>
      </w:r>
      <w:r>
        <w:rPr>
          <w:i/>
          <w:sz w:val="24"/>
        </w:rPr>
        <w:t>Kenya </w:t>
      </w:r>
      <w:r>
        <w:rPr>
          <w:spacing w:val="-2"/>
          <w:sz w:val="24"/>
        </w:rPr>
        <w:t>(May/June)</w:t>
      </w:r>
    </w:p>
    <w:p>
      <w:pPr>
        <w:tabs>
          <w:tab w:pos="7912" w:val="left" w:leader="none"/>
          <w:tab w:pos="10073" w:val="left" w:leader="none"/>
        </w:tabs>
        <w:spacing w:before="0"/>
        <w:ind w:left="711" w:right="831" w:firstLine="0"/>
        <w:jc w:val="left"/>
        <w:rPr>
          <w:sz w:val="24"/>
        </w:rPr>
      </w:pPr>
      <w:r>
        <w:rPr>
          <w:sz w:val="24"/>
        </w:rPr>
        <w:t>Onwioduokit E.A(2007). Capital Flight from Nigeria; An Empirical Re-</w:t>
        <w:tab/>
        <w:t>Examination. </w:t>
      </w:r>
      <w:r>
        <w:rPr>
          <w:i/>
          <w:sz w:val="24"/>
        </w:rPr>
        <w:t>West</w:t>
        <w:tab/>
      </w:r>
      <w:r>
        <w:rPr>
          <w:i/>
          <w:spacing w:val="-2"/>
          <w:sz w:val="24"/>
        </w:rPr>
        <w:t>African </w:t>
      </w:r>
      <w:r>
        <w:rPr>
          <w:i/>
          <w:sz w:val="24"/>
        </w:rPr>
        <w:t>Monetary Institute </w:t>
      </w:r>
      <w:r>
        <w:rPr>
          <w:sz w:val="24"/>
        </w:rPr>
        <w:t>Accra, Ghana. (2007)</w:t>
      </w:r>
    </w:p>
    <w:p>
      <w:pPr>
        <w:tabs>
          <w:tab w:pos="4372" w:val="left" w:leader="none"/>
          <w:tab w:pos="5752" w:val="left" w:leader="none"/>
        </w:tabs>
        <w:spacing w:before="0"/>
        <w:ind w:left="711" w:right="475" w:firstLine="0"/>
        <w:jc w:val="left"/>
        <w:rPr>
          <w:sz w:val="24"/>
        </w:rPr>
      </w:pPr>
      <w:r>
        <w:rPr>
          <w:sz w:val="24"/>
        </w:rPr>
        <w:t>Pastor.,</w:t>
      </w:r>
      <w:r>
        <w:rPr>
          <w:spacing w:val="-3"/>
          <w:sz w:val="24"/>
        </w:rPr>
        <w:t> </w:t>
      </w:r>
      <w:r>
        <w:rPr>
          <w:sz w:val="24"/>
        </w:rPr>
        <w:t>M.</w:t>
      </w:r>
      <w:r>
        <w:rPr>
          <w:spacing w:val="-3"/>
          <w:sz w:val="24"/>
        </w:rPr>
        <w:t> </w:t>
      </w:r>
      <w:r>
        <w:rPr>
          <w:sz w:val="24"/>
        </w:rPr>
        <w:t>(1989).</w:t>
      </w:r>
      <w:r>
        <w:rPr>
          <w:spacing w:val="-1"/>
          <w:sz w:val="24"/>
        </w:rPr>
        <w:t> </w:t>
      </w:r>
      <w:r>
        <w:rPr>
          <w:sz w:val="24"/>
        </w:rPr>
        <w:t>Capital</w:t>
      </w:r>
      <w:r>
        <w:rPr>
          <w:spacing w:val="-3"/>
          <w:sz w:val="24"/>
        </w:rPr>
        <w:t> </w:t>
      </w:r>
      <w:r>
        <w:rPr>
          <w:sz w:val="24"/>
        </w:rPr>
        <w:t>Flight</w:t>
      </w:r>
      <w:r>
        <w:rPr>
          <w:spacing w:val="-3"/>
          <w:sz w:val="24"/>
        </w:rPr>
        <w:t> </w:t>
      </w:r>
      <w:r>
        <w:rPr>
          <w:sz w:val="24"/>
        </w:rPr>
        <w:t>and</w:t>
      </w:r>
      <w:r>
        <w:rPr>
          <w:spacing w:val="-2"/>
          <w:sz w:val="24"/>
        </w:rPr>
        <w:t> </w:t>
      </w:r>
      <w:r>
        <w:rPr>
          <w:sz w:val="24"/>
        </w:rPr>
        <w:t>the Latin</w:t>
      </w:r>
      <w:r>
        <w:rPr>
          <w:spacing w:val="-3"/>
          <w:sz w:val="24"/>
        </w:rPr>
        <w:t> </w:t>
      </w:r>
      <w:r>
        <w:rPr>
          <w:sz w:val="24"/>
        </w:rPr>
        <w:t>American</w:t>
      </w:r>
      <w:r>
        <w:rPr>
          <w:spacing w:val="-1"/>
          <w:sz w:val="24"/>
        </w:rPr>
        <w:t> </w:t>
      </w:r>
      <w:r>
        <w:rPr>
          <w:sz w:val="24"/>
        </w:rPr>
        <w:t>Debt</w:t>
      </w:r>
      <w:r>
        <w:rPr>
          <w:spacing w:val="-3"/>
          <w:sz w:val="24"/>
        </w:rPr>
        <w:t> </w:t>
      </w:r>
      <w:r>
        <w:rPr>
          <w:sz w:val="24"/>
        </w:rPr>
        <w:t>Crisis. </w:t>
      </w:r>
      <w:r>
        <w:rPr>
          <w:i/>
          <w:sz w:val="24"/>
        </w:rPr>
        <w:t>ashington:</w:t>
      </w:r>
      <w:r>
        <w:rPr>
          <w:i/>
          <w:spacing w:val="-3"/>
          <w:sz w:val="24"/>
        </w:rPr>
        <w:t> </w:t>
      </w:r>
      <w:r>
        <w:rPr>
          <w:i/>
          <w:sz w:val="24"/>
        </w:rPr>
        <w:t>Economic</w:t>
      </w:r>
      <w:r>
        <w:rPr>
          <w:i/>
          <w:spacing w:val="-2"/>
          <w:sz w:val="24"/>
        </w:rPr>
        <w:t> </w:t>
      </w:r>
      <w:r>
        <w:rPr>
          <w:i/>
          <w:sz w:val="24"/>
        </w:rPr>
        <w:t>Policy Institute. (1990). </w:t>
      </w:r>
      <w:r>
        <w:rPr>
          <w:sz w:val="24"/>
        </w:rPr>
        <w:t>Capital Flight from Latin</w:t>
        <w:tab/>
      </w:r>
      <w:r>
        <w:rPr>
          <w:spacing w:val="-2"/>
          <w:sz w:val="24"/>
        </w:rPr>
        <w:t>America.</w:t>
      </w:r>
      <w:r>
        <w:rPr>
          <w:sz w:val="24"/>
        </w:rPr>
        <w:tab/>
      </w:r>
      <w:r>
        <w:rPr>
          <w:i/>
          <w:sz w:val="24"/>
        </w:rPr>
        <w:t>World Development</w:t>
      </w:r>
      <w:r>
        <w:rPr>
          <w:sz w:val="24"/>
        </w:rPr>
        <w:t>,</w:t>
      </w:r>
      <w:r>
        <w:rPr>
          <w:spacing w:val="80"/>
          <w:sz w:val="24"/>
        </w:rPr>
        <w:t> </w:t>
      </w:r>
      <w:r>
        <w:rPr>
          <w:i/>
          <w:sz w:val="24"/>
        </w:rPr>
        <w:t>18(1), </w:t>
      </w:r>
      <w:r>
        <w:rPr>
          <w:sz w:val="24"/>
        </w:rPr>
        <w:t>1–18.</w:t>
      </w:r>
    </w:p>
    <w:p>
      <w:pPr>
        <w:spacing w:before="0"/>
        <w:ind w:left="711" w:right="0" w:firstLine="0"/>
        <w:jc w:val="left"/>
        <w:rPr>
          <w:sz w:val="24"/>
        </w:rPr>
      </w:pPr>
      <w:r>
        <w:rPr>
          <w:sz w:val="24"/>
        </w:rPr>
        <w:t>Pastor,</w:t>
      </w:r>
      <w:r>
        <w:rPr>
          <w:spacing w:val="-2"/>
          <w:sz w:val="24"/>
        </w:rPr>
        <w:t> </w:t>
      </w:r>
      <w:r>
        <w:rPr>
          <w:sz w:val="24"/>
        </w:rPr>
        <w:t>M.</w:t>
      </w:r>
      <w:r>
        <w:rPr>
          <w:spacing w:val="-1"/>
          <w:sz w:val="24"/>
        </w:rPr>
        <w:t> </w:t>
      </w:r>
      <w:r>
        <w:rPr>
          <w:sz w:val="24"/>
        </w:rPr>
        <w:t>(1990).</w:t>
      </w:r>
      <w:r>
        <w:rPr>
          <w:spacing w:val="-2"/>
          <w:sz w:val="24"/>
        </w:rPr>
        <w:t> </w:t>
      </w:r>
      <w:r>
        <w:rPr>
          <w:sz w:val="24"/>
        </w:rPr>
        <w:t>Capital</w:t>
      </w:r>
      <w:r>
        <w:rPr>
          <w:spacing w:val="-1"/>
          <w:sz w:val="24"/>
        </w:rPr>
        <w:t> </w:t>
      </w:r>
      <w:r>
        <w:rPr>
          <w:sz w:val="24"/>
        </w:rPr>
        <w:t>Flight</w:t>
      </w:r>
      <w:r>
        <w:rPr>
          <w:spacing w:val="1"/>
          <w:sz w:val="24"/>
        </w:rPr>
        <w:t> </w:t>
      </w:r>
      <w:r>
        <w:rPr>
          <w:sz w:val="24"/>
        </w:rPr>
        <w:t>from Latin</w:t>
      </w:r>
      <w:r>
        <w:rPr>
          <w:spacing w:val="-1"/>
          <w:sz w:val="24"/>
        </w:rPr>
        <w:t> </w:t>
      </w:r>
      <w:r>
        <w:rPr>
          <w:sz w:val="24"/>
        </w:rPr>
        <w:t>America’, </w:t>
      </w:r>
      <w:r>
        <w:rPr>
          <w:i/>
          <w:sz w:val="24"/>
        </w:rPr>
        <w:t>World</w:t>
      </w:r>
      <w:r>
        <w:rPr>
          <w:i/>
          <w:spacing w:val="-1"/>
          <w:sz w:val="24"/>
        </w:rPr>
        <w:t> </w:t>
      </w:r>
      <w:r>
        <w:rPr>
          <w:i/>
          <w:sz w:val="24"/>
        </w:rPr>
        <w:t>Development</w:t>
      </w:r>
      <w:r>
        <w:rPr>
          <w:sz w:val="24"/>
        </w:rPr>
        <w:t>,</w:t>
      </w:r>
      <w:r>
        <w:rPr>
          <w:spacing w:val="-1"/>
          <w:sz w:val="24"/>
        </w:rPr>
        <w:t> </w:t>
      </w:r>
      <w:r>
        <w:rPr>
          <w:sz w:val="24"/>
        </w:rPr>
        <w:t>Vol:</w:t>
      </w:r>
      <w:r>
        <w:rPr>
          <w:spacing w:val="-1"/>
          <w:sz w:val="24"/>
        </w:rPr>
        <w:t> </w:t>
      </w:r>
      <w:r>
        <w:rPr>
          <w:i/>
          <w:sz w:val="24"/>
        </w:rPr>
        <w:t>18,</w:t>
      </w:r>
      <w:r>
        <w:rPr>
          <w:i/>
          <w:spacing w:val="-1"/>
          <w:sz w:val="24"/>
        </w:rPr>
        <w:t> </w:t>
      </w:r>
      <w:r>
        <w:rPr>
          <w:i/>
          <w:sz w:val="24"/>
        </w:rPr>
        <w:t>No.1</w:t>
      </w:r>
      <w:r>
        <w:rPr>
          <w:sz w:val="24"/>
        </w:rPr>
        <w:t>,</w:t>
      </w:r>
      <w:r>
        <w:rPr>
          <w:spacing w:val="-1"/>
          <w:sz w:val="24"/>
        </w:rPr>
        <w:t> </w:t>
      </w:r>
      <w:r>
        <w:rPr>
          <w:sz w:val="24"/>
        </w:rPr>
        <w:t>1-</w:t>
      </w:r>
      <w:r>
        <w:rPr>
          <w:spacing w:val="-5"/>
          <w:sz w:val="24"/>
        </w:rPr>
        <w:t>18</w:t>
      </w:r>
    </w:p>
    <w:p>
      <w:pPr>
        <w:tabs>
          <w:tab w:pos="5032" w:val="left" w:leader="none"/>
        </w:tabs>
        <w:spacing w:before="0"/>
        <w:ind w:left="711" w:right="475" w:firstLine="0"/>
        <w:jc w:val="left"/>
        <w:rPr>
          <w:i/>
          <w:sz w:val="24"/>
        </w:rPr>
      </w:pPr>
      <w:r>
        <w:rPr>
          <w:sz w:val="24"/>
        </w:rPr>
        <w:t>Paul,</w:t>
      </w:r>
      <w:r>
        <w:rPr>
          <w:spacing w:val="-2"/>
          <w:sz w:val="24"/>
        </w:rPr>
        <w:t> </w:t>
      </w:r>
      <w:r>
        <w:rPr>
          <w:sz w:val="24"/>
        </w:rPr>
        <w:t>C.</w:t>
      </w:r>
      <w:r>
        <w:rPr>
          <w:spacing w:val="-2"/>
          <w:sz w:val="24"/>
        </w:rPr>
        <w:t> </w:t>
      </w:r>
      <w:r>
        <w:rPr>
          <w:sz w:val="24"/>
        </w:rPr>
        <w:t>&amp;</w:t>
      </w:r>
      <w:r>
        <w:rPr>
          <w:spacing w:val="-4"/>
          <w:sz w:val="24"/>
        </w:rPr>
        <w:t> </w:t>
      </w:r>
      <w:r>
        <w:rPr>
          <w:sz w:val="24"/>
        </w:rPr>
        <w:t>Anke,</w:t>
      </w:r>
      <w:r>
        <w:rPr>
          <w:spacing w:val="-2"/>
          <w:sz w:val="24"/>
        </w:rPr>
        <w:t> </w:t>
      </w:r>
      <w:r>
        <w:rPr>
          <w:sz w:val="24"/>
        </w:rPr>
        <w:t>H.</w:t>
      </w:r>
      <w:r>
        <w:rPr>
          <w:spacing w:val="-2"/>
          <w:sz w:val="24"/>
        </w:rPr>
        <w:t> </w:t>
      </w:r>
      <w:r>
        <w:rPr>
          <w:sz w:val="24"/>
        </w:rPr>
        <w:t>(2004).</w:t>
      </w:r>
      <w:r>
        <w:rPr>
          <w:spacing w:val="-2"/>
          <w:sz w:val="24"/>
        </w:rPr>
        <w:t> </w:t>
      </w:r>
      <w:r>
        <w:rPr>
          <w:sz w:val="24"/>
        </w:rPr>
        <w:t>Public</w:t>
      </w:r>
      <w:r>
        <w:rPr>
          <w:spacing w:val="-2"/>
          <w:sz w:val="24"/>
        </w:rPr>
        <w:t> </w:t>
      </w:r>
      <w:r>
        <w:rPr>
          <w:sz w:val="24"/>
        </w:rPr>
        <w:t>Debts</w:t>
      </w:r>
      <w:r>
        <w:rPr>
          <w:spacing w:val="-2"/>
          <w:sz w:val="24"/>
        </w:rPr>
        <w:t> </w:t>
      </w:r>
      <w:r>
        <w:rPr>
          <w:sz w:val="24"/>
        </w:rPr>
        <w:t>and</w:t>
      </w:r>
      <w:r>
        <w:rPr>
          <w:spacing w:val="-2"/>
          <w:sz w:val="24"/>
        </w:rPr>
        <w:t> </w:t>
      </w:r>
      <w:r>
        <w:rPr>
          <w:sz w:val="24"/>
        </w:rPr>
        <w:t>Private</w:t>
      </w:r>
      <w:r>
        <w:rPr>
          <w:spacing w:val="-3"/>
          <w:sz w:val="24"/>
        </w:rPr>
        <w:t> </w:t>
      </w:r>
      <w:r>
        <w:rPr>
          <w:sz w:val="24"/>
        </w:rPr>
        <w:t>Assets:</w:t>
      </w:r>
      <w:r>
        <w:rPr>
          <w:spacing w:val="-2"/>
          <w:sz w:val="24"/>
        </w:rPr>
        <w:t> </w:t>
      </w:r>
      <w:r>
        <w:rPr>
          <w:sz w:val="24"/>
        </w:rPr>
        <w:t>Explaining</w:t>
      </w:r>
      <w:r>
        <w:rPr>
          <w:spacing w:val="-4"/>
          <w:sz w:val="24"/>
        </w:rPr>
        <w:t> </w:t>
      </w:r>
      <w:r>
        <w:rPr>
          <w:sz w:val="24"/>
        </w:rPr>
        <w:t>Capital</w:t>
      </w:r>
      <w:r>
        <w:rPr>
          <w:spacing w:val="80"/>
          <w:sz w:val="24"/>
        </w:rPr>
        <w:t> </w:t>
      </w:r>
      <w:r>
        <w:rPr>
          <w:sz w:val="24"/>
        </w:rPr>
        <w:t>Flight</w:t>
      </w:r>
      <w:r>
        <w:rPr>
          <w:spacing w:val="24"/>
          <w:sz w:val="24"/>
        </w:rPr>
        <w:t> </w:t>
      </w:r>
      <w:r>
        <w:rPr>
          <w:sz w:val="24"/>
        </w:rPr>
        <w:t>from</w:t>
      </w:r>
      <w:r>
        <w:rPr>
          <w:spacing w:val="21"/>
          <w:sz w:val="24"/>
        </w:rPr>
        <w:t> </w:t>
      </w:r>
      <w:r>
        <w:rPr>
          <w:sz w:val="24"/>
        </w:rPr>
        <w:t>Sub- Saharan African Countries.</w:t>
      </w:r>
      <w:r>
        <w:rPr>
          <w:i/>
          <w:sz w:val="24"/>
        </w:rPr>
        <w:t>World Development,</w:t>
        <w:tab/>
        <w:t>Elsevier, Vol. 31(1), </w:t>
      </w:r>
      <w:r>
        <w:rPr>
          <w:sz w:val="24"/>
        </w:rPr>
        <w:t>107-130</w:t>
      </w:r>
      <w:r>
        <w:rPr>
          <w:i/>
          <w:sz w:val="24"/>
        </w:rPr>
        <w:t>.</w:t>
      </w:r>
    </w:p>
    <w:p>
      <w:pPr>
        <w:spacing w:before="0"/>
        <w:ind w:left="711" w:right="585" w:firstLine="0"/>
        <w:jc w:val="left"/>
        <w:rPr>
          <w:sz w:val="24"/>
        </w:rPr>
      </w:pPr>
      <w:r>
        <w:rPr>
          <w:sz w:val="24"/>
        </w:rPr>
        <w:t>Patnaik,</w:t>
      </w:r>
      <w:r>
        <w:rPr>
          <w:spacing w:val="-1"/>
          <w:sz w:val="24"/>
        </w:rPr>
        <w:t> </w:t>
      </w:r>
      <w:r>
        <w:rPr>
          <w:sz w:val="24"/>
        </w:rPr>
        <w:t>I.,</w:t>
      </w:r>
      <w:r>
        <w:rPr>
          <w:spacing w:val="-1"/>
          <w:sz w:val="24"/>
        </w:rPr>
        <w:t> </w:t>
      </w:r>
      <w:r>
        <w:rPr>
          <w:sz w:val="24"/>
        </w:rPr>
        <w:t>&amp;</w:t>
      </w:r>
      <w:r>
        <w:rPr>
          <w:spacing w:val="-5"/>
          <w:sz w:val="24"/>
        </w:rPr>
        <w:t> </w:t>
      </w:r>
      <w:r>
        <w:rPr>
          <w:sz w:val="24"/>
        </w:rPr>
        <w:t>Vasudevan,</w:t>
      </w:r>
      <w:r>
        <w:rPr>
          <w:spacing w:val="-3"/>
          <w:sz w:val="24"/>
        </w:rPr>
        <w:t> </w:t>
      </w:r>
      <w:r>
        <w:rPr>
          <w:sz w:val="24"/>
        </w:rPr>
        <w:t>D.</w:t>
      </w:r>
      <w:r>
        <w:rPr>
          <w:spacing w:val="-3"/>
          <w:sz w:val="24"/>
        </w:rPr>
        <w:t> </w:t>
      </w:r>
      <w:r>
        <w:rPr>
          <w:sz w:val="24"/>
        </w:rPr>
        <w:t>(2000).</w:t>
      </w:r>
      <w:r>
        <w:rPr>
          <w:spacing w:val="-3"/>
          <w:sz w:val="24"/>
        </w:rPr>
        <w:t> </w:t>
      </w:r>
      <w:r>
        <w:rPr>
          <w:sz w:val="24"/>
        </w:rPr>
        <w:t>Trade</w:t>
      </w:r>
      <w:r>
        <w:rPr>
          <w:spacing w:val="-4"/>
          <w:sz w:val="24"/>
        </w:rPr>
        <w:t> </w:t>
      </w:r>
      <w:r>
        <w:rPr>
          <w:sz w:val="24"/>
        </w:rPr>
        <w:t>Misinvoicing</w:t>
      </w:r>
      <w:r>
        <w:rPr>
          <w:spacing w:val="-5"/>
          <w:sz w:val="24"/>
        </w:rPr>
        <w:t> </w:t>
      </w:r>
      <w:r>
        <w:rPr>
          <w:sz w:val="24"/>
        </w:rPr>
        <w:t>and</w:t>
      </w:r>
      <w:r>
        <w:rPr>
          <w:spacing w:val="-3"/>
          <w:sz w:val="24"/>
        </w:rPr>
        <w:t> </w:t>
      </w:r>
      <w:r>
        <w:rPr>
          <w:sz w:val="24"/>
        </w:rPr>
        <w:t>Capital</w:t>
      </w:r>
      <w:r>
        <w:rPr>
          <w:spacing w:val="-1"/>
          <w:sz w:val="24"/>
        </w:rPr>
        <w:t> </w:t>
      </w:r>
      <w:r>
        <w:rPr>
          <w:sz w:val="24"/>
        </w:rPr>
        <w:t>Flight</w:t>
      </w:r>
      <w:r>
        <w:rPr>
          <w:spacing w:val="-3"/>
          <w:sz w:val="24"/>
        </w:rPr>
        <w:t> </w:t>
      </w:r>
      <w:r>
        <w:rPr>
          <w:sz w:val="24"/>
        </w:rPr>
        <w:t>from</w:t>
      </w:r>
      <w:r>
        <w:rPr>
          <w:spacing w:val="40"/>
          <w:sz w:val="24"/>
        </w:rPr>
        <w:t> </w:t>
      </w:r>
      <w:r>
        <w:rPr>
          <w:sz w:val="24"/>
        </w:rPr>
        <w:t>India.</w:t>
      </w:r>
      <w:r>
        <w:rPr>
          <w:spacing w:val="-1"/>
          <w:sz w:val="24"/>
        </w:rPr>
        <w:t> </w:t>
      </w:r>
      <w:r>
        <w:rPr>
          <w:i/>
          <w:sz w:val="24"/>
        </w:rPr>
        <w:t>Journal of International Economic Studies</w:t>
      </w:r>
      <w:r>
        <w:rPr>
          <w:sz w:val="24"/>
        </w:rPr>
        <w:t>, </w:t>
      </w:r>
      <w:r>
        <w:rPr>
          <w:i/>
          <w:sz w:val="24"/>
        </w:rPr>
        <w:t>14</w:t>
      </w:r>
      <w:r>
        <w:rPr>
          <w:sz w:val="24"/>
        </w:rPr>
        <w:t>, 99–108.</w:t>
      </w:r>
    </w:p>
    <w:p>
      <w:pPr>
        <w:tabs>
          <w:tab w:pos="5752" w:val="left" w:leader="none"/>
          <w:tab w:pos="6634" w:val="left" w:leader="none"/>
          <w:tab w:pos="7455" w:val="left" w:leader="none"/>
          <w:tab w:pos="8969" w:val="left" w:leader="none"/>
          <w:tab w:pos="9789" w:val="left" w:leader="none"/>
          <w:tab w:pos="10073" w:val="left" w:leader="none"/>
          <w:tab w:pos="10871" w:val="left" w:leader="none"/>
        </w:tabs>
        <w:spacing w:before="1"/>
        <w:ind w:left="711" w:right="472" w:firstLine="0"/>
        <w:jc w:val="left"/>
        <w:rPr>
          <w:sz w:val="24"/>
        </w:rPr>
      </w:pPr>
      <w:r>
        <w:rPr>
          <w:sz w:val="24"/>
        </w:rPr>
        <w:t>Rodrik, D.(2008). The real exchange rate and economic growth. </w:t>
      </w:r>
      <w:r>
        <w:rPr>
          <w:i/>
          <w:sz w:val="24"/>
        </w:rPr>
        <w:t>Brookings papers on Economic</w:t>
      </w:r>
      <w:r>
        <w:rPr>
          <w:i/>
          <w:spacing w:val="40"/>
          <w:sz w:val="24"/>
        </w:rPr>
        <w:t> </w:t>
      </w:r>
      <w:r>
        <w:rPr>
          <w:i/>
          <w:sz w:val="24"/>
        </w:rPr>
        <w:t>Activity</w:t>
      </w:r>
      <w:r>
        <w:rPr>
          <w:sz w:val="24"/>
        </w:rPr>
        <w:t>, Rojas-Suarez (1991) . Consequences of Capital Flight for Latin American Debtor Countries. In</w:t>
        <w:tab/>
      </w:r>
      <w:r>
        <w:rPr>
          <w:spacing w:val="-2"/>
          <w:sz w:val="24"/>
        </w:rPr>
        <w:t>Lessard </w:t>
      </w:r>
      <w:r>
        <w:rPr>
          <w:sz w:val="24"/>
        </w:rPr>
        <w:t>and Williamson, eds., Capital Flight and Third</w:t>
        <w:tab/>
      </w:r>
      <w:r>
        <w:rPr>
          <w:spacing w:val="-4"/>
          <w:sz w:val="24"/>
        </w:rPr>
        <w:t>Wwld</w:t>
      </w:r>
      <w:r>
        <w:rPr>
          <w:sz w:val="24"/>
        </w:rPr>
        <w:tab/>
      </w:r>
      <w:r>
        <w:rPr>
          <w:spacing w:val="-2"/>
          <w:sz w:val="24"/>
        </w:rPr>
        <w:t>Debt.</w:t>
      </w:r>
      <w:r>
        <w:rPr>
          <w:sz w:val="24"/>
        </w:rPr>
        <w:tab/>
      </w:r>
      <w:r>
        <w:rPr>
          <w:spacing w:val="-2"/>
          <w:sz w:val="24"/>
        </w:rPr>
        <w:t>Washington,</w:t>
      </w:r>
      <w:r>
        <w:rPr>
          <w:sz w:val="24"/>
        </w:rPr>
        <w:tab/>
      </w:r>
      <w:r>
        <w:rPr>
          <w:spacing w:val="-2"/>
          <w:sz w:val="24"/>
        </w:rPr>
        <w:t>D.C.:</w:t>
      </w:r>
      <w:r>
        <w:rPr>
          <w:sz w:val="24"/>
        </w:rPr>
        <w:tab/>
      </w:r>
      <w:r>
        <w:rPr>
          <w:i/>
          <w:spacing w:val="-2"/>
          <w:sz w:val="24"/>
        </w:rPr>
        <w:t>Institute</w:t>
      </w:r>
      <w:r>
        <w:rPr>
          <w:i/>
          <w:sz w:val="24"/>
        </w:rPr>
        <w:tab/>
      </w:r>
      <w:r>
        <w:rPr>
          <w:i/>
          <w:spacing w:val="-4"/>
          <w:sz w:val="24"/>
        </w:rPr>
        <w:t>for </w:t>
      </w:r>
      <w:r>
        <w:rPr>
          <w:i/>
          <w:sz w:val="24"/>
        </w:rPr>
        <w:t>International Economics</w:t>
      </w:r>
      <w:r>
        <w:rPr>
          <w:sz w:val="24"/>
        </w:rPr>
        <w:t>, 1987.</w:t>
      </w:r>
    </w:p>
    <w:p>
      <w:pPr>
        <w:pStyle w:val="BodyText"/>
        <w:ind w:left="711"/>
      </w:pPr>
      <w:r>
        <w:rPr/>
        <w:t>Rustomjee,</w:t>
      </w:r>
      <w:r>
        <w:rPr>
          <w:spacing w:val="-1"/>
        </w:rPr>
        <w:t> </w:t>
      </w:r>
      <w:r>
        <w:rPr/>
        <w:t>Z.</w:t>
      </w:r>
      <w:r>
        <w:rPr>
          <w:spacing w:val="-1"/>
        </w:rPr>
        <w:t> </w:t>
      </w:r>
      <w:r>
        <w:rPr/>
        <w:t>(1991).</w:t>
      </w:r>
      <w:r>
        <w:rPr>
          <w:spacing w:val="-1"/>
        </w:rPr>
        <w:t> </w:t>
      </w:r>
      <w:r>
        <w:rPr/>
        <w:t>Capital Flight</w:t>
      </w:r>
      <w:r>
        <w:rPr>
          <w:spacing w:val="-1"/>
        </w:rPr>
        <w:t> </w:t>
      </w:r>
      <w:r>
        <w:rPr/>
        <w:t>under Apartheid”</w:t>
      </w:r>
      <w:r>
        <w:rPr>
          <w:spacing w:val="-1"/>
        </w:rPr>
        <w:t> </w:t>
      </w:r>
      <w:r>
        <w:rPr>
          <w:i/>
        </w:rPr>
        <w:t>Transformation</w:t>
      </w:r>
      <w:r>
        <w:rPr/>
        <w:t>,</w:t>
      </w:r>
      <w:r>
        <w:rPr>
          <w:spacing w:val="-1"/>
        </w:rPr>
        <w:t> </w:t>
      </w:r>
      <w:r>
        <w:rPr>
          <w:i/>
        </w:rPr>
        <w:t>15</w:t>
      </w:r>
      <w:r>
        <w:rPr/>
        <w:t>,</w:t>
      </w:r>
      <w:r>
        <w:rPr>
          <w:spacing w:val="-1"/>
        </w:rPr>
        <w:t> </w:t>
      </w:r>
      <w:r>
        <w:rPr/>
        <w:t>89 </w:t>
      </w:r>
      <w:r>
        <w:rPr>
          <w:spacing w:val="-2"/>
        </w:rPr>
        <w:t>–103.</w:t>
      </w:r>
    </w:p>
    <w:p>
      <w:pPr>
        <w:tabs>
          <w:tab w:pos="5032" w:val="left" w:leader="none"/>
        </w:tabs>
        <w:spacing w:before="0"/>
        <w:ind w:left="711" w:right="475" w:firstLine="0"/>
        <w:jc w:val="left"/>
        <w:rPr>
          <w:sz w:val="24"/>
        </w:rPr>
      </w:pPr>
      <w:r>
        <w:rPr>
          <w:sz w:val="24"/>
        </w:rPr>
        <w:t>Salisu,</w:t>
      </w:r>
      <w:r>
        <w:rPr>
          <w:spacing w:val="24"/>
          <w:sz w:val="24"/>
        </w:rPr>
        <w:t> </w:t>
      </w:r>
      <w:r>
        <w:rPr>
          <w:sz w:val="24"/>
        </w:rPr>
        <w:t>M.</w:t>
      </w:r>
      <w:r>
        <w:rPr>
          <w:spacing w:val="24"/>
          <w:sz w:val="24"/>
        </w:rPr>
        <w:t> </w:t>
      </w:r>
      <w:r>
        <w:rPr>
          <w:sz w:val="24"/>
        </w:rPr>
        <w:t>(2005).</w:t>
      </w:r>
      <w:r>
        <w:rPr>
          <w:spacing w:val="23"/>
          <w:sz w:val="24"/>
        </w:rPr>
        <w:t> </w:t>
      </w:r>
      <w:r>
        <w:rPr>
          <w:sz w:val="24"/>
        </w:rPr>
        <w:t>The</w:t>
      </w:r>
      <w:r>
        <w:rPr>
          <w:spacing w:val="25"/>
          <w:sz w:val="24"/>
        </w:rPr>
        <w:t> </w:t>
      </w:r>
      <w:r>
        <w:rPr>
          <w:sz w:val="24"/>
        </w:rPr>
        <w:t>Role</w:t>
      </w:r>
      <w:r>
        <w:rPr>
          <w:spacing w:val="23"/>
          <w:sz w:val="24"/>
        </w:rPr>
        <w:t> </w:t>
      </w:r>
      <w:r>
        <w:rPr>
          <w:sz w:val="24"/>
        </w:rPr>
        <w:t>of</w:t>
      </w:r>
      <w:r>
        <w:rPr>
          <w:spacing w:val="23"/>
          <w:sz w:val="24"/>
        </w:rPr>
        <w:t> </w:t>
      </w:r>
      <w:r>
        <w:rPr>
          <w:sz w:val="24"/>
        </w:rPr>
        <w:t>Capital</w:t>
      </w:r>
      <w:r>
        <w:rPr>
          <w:spacing w:val="24"/>
          <w:sz w:val="24"/>
        </w:rPr>
        <w:t> </w:t>
      </w:r>
      <w:r>
        <w:rPr>
          <w:sz w:val="24"/>
        </w:rPr>
        <w:t>Flight</w:t>
      </w:r>
      <w:r>
        <w:rPr>
          <w:spacing w:val="24"/>
          <w:sz w:val="24"/>
        </w:rPr>
        <w:t> </w:t>
      </w:r>
      <w:r>
        <w:rPr>
          <w:sz w:val="24"/>
        </w:rPr>
        <w:t>and</w:t>
      </w:r>
      <w:r>
        <w:rPr>
          <w:spacing w:val="24"/>
          <w:sz w:val="24"/>
        </w:rPr>
        <w:t> </w:t>
      </w:r>
      <w:r>
        <w:rPr>
          <w:sz w:val="24"/>
        </w:rPr>
        <w:t>Remittances</w:t>
      </w:r>
      <w:r>
        <w:rPr>
          <w:spacing w:val="24"/>
          <w:sz w:val="24"/>
        </w:rPr>
        <w:t> </w:t>
      </w:r>
      <w:r>
        <w:rPr>
          <w:sz w:val="24"/>
        </w:rPr>
        <w:t>in</w:t>
      </w:r>
      <w:r>
        <w:rPr>
          <w:spacing w:val="24"/>
          <w:sz w:val="24"/>
        </w:rPr>
        <w:t> </w:t>
      </w:r>
      <w:r>
        <w:rPr>
          <w:sz w:val="24"/>
        </w:rPr>
        <w:t>Current</w:t>
      </w:r>
      <w:r>
        <w:rPr>
          <w:spacing w:val="24"/>
          <w:sz w:val="24"/>
        </w:rPr>
        <w:t> </w:t>
      </w:r>
      <w:r>
        <w:rPr>
          <w:sz w:val="24"/>
        </w:rPr>
        <w:t>Account</w:t>
      </w:r>
      <w:r>
        <w:rPr>
          <w:spacing w:val="24"/>
          <w:sz w:val="24"/>
        </w:rPr>
        <w:t> </w:t>
      </w:r>
      <w:r>
        <w:rPr>
          <w:sz w:val="24"/>
        </w:rPr>
        <w:t>Sustainability</w:t>
      </w:r>
      <w:r>
        <w:rPr>
          <w:spacing w:val="21"/>
          <w:sz w:val="24"/>
        </w:rPr>
        <w:t> </w:t>
      </w:r>
      <w:r>
        <w:rPr>
          <w:sz w:val="24"/>
        </w:rPr>
        <w:t>in</w:t>
      </w:r>
      <w:r>
        <w:rPr>
          <w:spacing w:val="24"/>
          <w:sz w:val="24"/>
        </w:rPr>
        <w:t> </w:t>
      </w:r>
      <w:r>
        <w:rPr>
          <w:sz w:val="24"/>
        </w:rPr>
        <w:t>Sub- Saharan Africa. </w:t>
      </w:r>
      <w:r>
        <w:rPr>
          <w:i/>
          <w:sz w:val="24"/>
        </w:rPr>
        <w:t>African Development</w:t>
        <w:tab/>
        <w:t>Review</w:t>
      </w:r>
      <w:r>
        <w:rPr>
          <w:sz w:val="24"/>
        </w:rPr>
        <w:t>, </w:t>
      </w:r>
      <w:r>
        <w:rPr>
          <w:i/>
          <w:sz w:val="24"/>
        </w:rPr>
        <w:t>17(3), </w:t>
      </w:r>
      <w:r>
        <w:rPr>
          <w:sz w:val="24"/>
        </w:rPr>
        <w:t>382–404.</w:t>
      </w:r>
    </w:p>
    <w:p>
      <w:pPr>
        <w:pStyle w:val="BodyText"/>
        <w:ind w:left="711" w:right="473"/>
        <w:jc w:val="both"/>
      </w:pPr>
      <w:r>
        <w:rPr/>
        <w:t>Sheets,N.(1995). Capital Flight from the Countries Intransition: Some Theory and Empirical Evidence. </w:t>
      </w:r>
      <w:r>
        <w:rPr>
          <w:i/>
        </w:rPr>
        <w:t>International</w:t>
      </w:r>
      <w:r>
        <w:rPr>
          <w:i/>
          <w:spacing w:val="-2"/>
        </w:rPr>
        <w:t> </w:t>
      </w:r>
      <w:r>
        <w:rPr>
          <w:i/>
        </w:rPr>
        <w:t>Finance</w:t>
      </w:r>
      <w:r>
        <w:rPr>
          <w:i/>
          <w:spacing w:val="-3"/>
        </w:rPr>
        <w:t> </w:t>
      </w:r>
      <w:r>
        <w:rPr>
          <w:i/>
        </w:rPr>
        <w:t>Discussion</w:t>
      </w:r>
      <w:r>
        <w:rPr>
          <w:i/>
          <w:spacing w:val="-2"/>
        </w:rPr>
        <w:t> </w:t>
      </w:r>
      <w:r>
        <w:rPr>
          <w:i/>
        </w:rPr>
        <w:t>Paper </w:t>
      </w:r>
      <w:r>
        <w:rPr/>
        <w:t>No.</w:t>
      </w:r>
      <w:r>
        <w:rPr>
          <w:spacing w:val="-2"/>
        </w:rPr>
        <w:t> </w:t>
      </w:r>
      <w:r>
        <w:rPr/>
        <w:t>514.</w:t>
      </w:r>
      <w:r>
        <w:rPr>
          <w:spacing w:val="80"/>
        </w:rPr>
        <w:t> </w:t>
      </w:r>
      <w:r>
        <w:rPr/>
        <w:t>Board</w:t>
      </w:r>
      <w:r>
        <w:rPr>
          <w:spacing w:val="-2"/>
        </w:rPr>
        <w:t> </w:t>
      </w:r>
      <w:r>
        <w:rPr/>
        <w:t>of</w:t>
      </w:r>
      <w:r>
        <w:rPr>
          <w:spacing w:val="-2"/>
        </w:rPr>
        <w:t> </w:t>
      </w:r>
      <w:r>
        <w:rPr/>
        <w:t>Governors</w:t>
      </w:r>
      <w:r>
        <w:rPr>
          <w:spacing w:val="-2"/>
        </w:rPr>
        <w:t> </w:t>
      </w:r>
      <w:r>
        <w:rPr/>
        <w:t>of</w:t>
      </w:r>
      <w:r>
        <w:rPr>
          <w:spacing w:val="-2"/>
        </w:rPr>
        <w:t> </w:t>
      </w:r>
      <w:r>
        <w:rPr/>
        <w:t>the</w:t>
      </w:r>
      <w:r>
        <w:rPr>
          <w:spacing w:val="80"/>
          <w:w w:val="150"/>
        </w:rPr>
        <w:t> </w:t>
      </w:r>
      <w:r>
        <w:rPr/>
        <w:t>Federal Reserve System, Washington, DC.</w:t>
      </w:r>
    </w:p>
    <w:p>
      <w:pPr>
        <w:tabs>
          <w:tab w:pos="5032" w:val="left" w:leader="none"/>
          <w:tab w:pos="6071" w:val="left" w:leader="none"/>
          <w:tab w:pos="7338" w:val="left" w:leader="none"/>
          <w:tab w:pos="8435" w:val="left" w:leader="none"/>
          <w:tab w:pos="9736" w:val="left" w:leader="none"/>
          <w:tab w:pos="10609" w:val="left" w:leader="none"/>
        </w:tabs>
        <w:spacing w:before="0"/>
        <w:ind w:left="711" w:right="473" w:firstLine="0"/>
        <w:jc w:val="left"/>
        <w:rPr>
          <w:sz w:val="24"/>
        </w:rPr>
      </w:pPr>
      <w:r>
        <w:rPr>
          <w:sz w:val="24"/>
        </w:rPr>
        <w:t>The Punch (2006). Militants Blow Up another oil Boat.</w:t>
      </w:r>
      <w:r>
        <w:rPr>
          <w:spacing w:val="79"/>
          <w:sz w:val="24"/>
        </w:rPr>
        <w:t> </w:t>
      </w:r>
      <w:r>
        <w:rPr>
          <w:i/>
          <w:sz w:val="24"/>
        </w:rPr>
        <w:t>Niger Delta Crisis and the Nigeria Economy</w:t>
      </w:r>
      <w:r>
        <w:rPr>
          <w:i/>
          <w:spacing w:val="40"/>
          <w:sz w:val="24"/>
        </w:rPr>
        <w:t> </w:t>
      </w:r>
      <w:r>
        <w:rPr>
          <w:sz w:val="24"/>
        </w:rPr>
        <w:t>Unger,</w:t>
      </w:r>
      <w:r>
        <w:rPr>
          <w:spacing w:val="-2"/>
          <w:sz w:val="24"/>
        </w:rPr>
        <w:t> </w:t>
      </w:r>
      <w:r>
        <w:rPr>
          <w:sz w:val="24"/>
        </w:rPr>
        <w:t>B.,</w:t>
      </w:r>
      <w:r>
        <w:rPr>
          <w:spacing w:val="-3"/>
          <w:sz w:val="24"/>
        </w:rPr>
        <w:t> </w:t>
      </w:r>
      <w:r>
        <w:rPr>
          <w:sz w:val="24"/>
        </w:rPr>
        <w:t>Ferwerda,</w:t>
      </w:r>
      <w:r>
        <w:rPr>
          <w:spacing w:val="-3"/>
          <w:sz w:val="24"/>
        </w:rPr>
        <w:t> </w:t>
      </w:r>
      <w:r>
        <w:rPr>
          <w:sz w:val="24"/>
        </w:rPr>
        <w:t>J.,</w:t>
      </w:r>
      <w:r>
        <w:rPr>
          <w:spacing w:val="-3"/>
          <w:sz w:val="24"/>
        </w:rPr>
        <w:t> </w:t>
      </w:r>
      <w:r>
        <w:rPr>
          <w:sz w:val="24"/>
        </w:rPr>
        <w:t>de</w:t>
      </w:r>
      <w:r>
        <w:rPr>
          <w:spacing w:val="-4"/>
          <w:sz w:val="24"/>
        </w:rPr>
        <w:t> </w:t>
      </w:r>
      <w:r>
        <w:rPr>
          <w:sz w:val="24"/>
        </w:rPr>
        <w:t>Kruijf,</w:t>
      </w:r>
      <w:r>
        <w:rPr>
          <w:spacing w:val="-3"/>
          <w:sz w:val="24"/>
        </w:rPr>
        <w:t> </w:t>
      </w:r>
      <w:r>
        <w:rPr>
          <w:sz w:val="24"/>
        </w:rPr>
        <w:t>W.,</w:t>
      </w:r>
      <w:r>
        <w:rPr>
          <w:spacing w:val="-3"/>
          <w:sz w:val="24"/>
        </w:rPr>
        <w:t> </w:t>
      </w:r>
      <w:r>
        <w:rPr>
          <w:sz w:val="24"/>
        </w:rPr>
        <w:t>Rawlings,</w:t>
      </w:r>
      <w:r>
        <w:rPr>
          <w:spacing w:val="-1"/>
          <w:sz w:val="24"/>
        </w:rPr>
        <w:t> </w:t>
      </w:r>
      <w:r>
        <w:rPr>
          <w:sz w:val="24"/>
        </w:rPr>
        <w:t>G.,</w:t>
      </w:r>
      <w:r>
        <w:rPr>
          <w:spacing w:val="-3"/>
          <w:sz w:val="24"/>
        </w:rPr>
        <w:t> </w:t>
      </w:r>
      <w:r>
        <w:rPr>
          <w:sz w:val="24"/>
        </w:rPr>
        <w:t>Siegel,</w:t>
      </w:r>
      <w:r>
        <w:rPr>
          <w:spacing w:val="-3"/>
          <w:sz w:val="24"/>
        </w:rPr>
        <w:t> </w:t>
      </w:r>
      <w:r>
        <w:rPr>
          <w:sz w:val="24"/>
        </w:rPr>
        <w:t>M.,</w:t>
      </w:r>
      <w:r>
        <w:rPr>
          <w:spacing w:val="-1"/>
          <w:sz w:val="24"/>
        </w:rPr>
        <w:t> </w:t>
      </w:r>
      <w:r>
        <w:rPr>
          <w:sz w:val="24"/>
        </w:rPr>
        <w:t>&amp;</w:t>
      </w:r>
      <w:r>
        <w:rPr>
          <w:spacing w:val="-5"/>
          <w:sz w:val="24"/>
        </w:rPr>
        <w:t> </w:t>
      </w:r>
      <w:r>
        <w:rPr>
          <w:sz w:val="24"/>
        </w:rPr>
        <w:t>Wokke,</w:t>
      </w:r>
      <w:r>
        <w:rPr>
          <w:spacing w:val="-3"/>
          <w:sz w:val="24"/>
        </w:rPr>
        <w:t> </w:t>
      </w:r>
      <w:r>
        <w:rPr>
          <w:sz w:val="24"/>
        </w:rPr>
        <w:t>K. (2006).</w:t>
      </w:r>
      <w:r>
        <w:rPr>
          <w:spacing w:val="-3"/>
          <w:sz w:val="24"/>
        </w:rPr>
        <w:t> </w:t>
      </w:r>
      <w:r>
        <w:rPr>
          <w:sz w:val="24"/>
        </w:rPr>
        <w:t>The</w:t>
      </w:r>
      <w:r>
        <w:rPr>
          <w:spacing w:val="-2"/>
          <w:sz w:val="24"/>
        </w:rPr>
        <w:t> </w:t>
      </w:r>
      <w:r>
        <w:rPr>
          <w:sz w:val="24"/>
        </w:rPr>
        <w:t>Amounts</w:t>
      </w:r>
      <w:r>
        <w:rPr>
          <w:spacing w:val="-3"/>
          <w:sz w:val="24"/>
        </w:rPr>
        <w:t> </w:t>
      </w:r>
      <w:r>
        <w:rPr>
          <w:sz w:val="24"/>
        </w:rPr>
        <w:t>and</w:t>
      </w:r>
      <w:r>
        <w:rPr>
          <w:spacing w:val="-3"/>
          <w:sz w:val="24"/>
        </w:rPr>
        <w:t> </w:t>
      </w:r>
      <w:r>
        <w:rPr>
          <w:sz w:val="24"/>
        </w:rPr>
        <w:t>the Effects of Money Laundering”. </w:t>
      </w:r>
      <w:r>
        <w:rPr>
          <w:i/>
          <w:sz w:val="24"/>
        </w:rPr>
        <w:t>Report for</w:t>
        <w:tab/>
      </w:r>
      <w:r>
        <w:rPr>
          <w:i/>
          <w:spacing w:val="-2"/>
          <w:sz w:val="24"/>
        </w:rPr>
        <w:t>Dutch</w:t>
      </w:r>
      <w:r>
        <w:rPr>
          <w:i/>
          <w:sz w:val="24"/>
        </w:rPr>
        <w:tab/>
      </w:r>
      <w:r>
        <w:rPr>
          <w:i/>
          <w:spacing w:val="-2"/>
          <w:sz w:val="24"/>
        </w:rPr>
        <w:t>Ministry</w:t>
      </w:r>
      <w:r>
        <w:rPr>
          <w:i/>
          <w:sz w:val="24"/>
        </w:rPr>
        <w:tab/>
      </w:r>
      <w:r>
        <w:rPr>
          <w:i/>
          <w:spacing w:val="-6"/>
          <w:sz w:val="24"/>
        </w:rPr>
        <w:t>of</w:t>
      </w:r>
      <w:r>
        <w:rPr>
          <w:i/>
          <w:sz w:val="24"/>
        </w:rPr>
        <w:tab/>
      </w:r>
      <w:r>
        <w:rPr>
          <w:i/>
          <w:spacing w:val="-2"/>
          <w:sz w:val="24"/>
        </w:rPr>
        <w:t>Finance</w:t>
      </w:r>
      <w:r>
        <w:rPr>
          <w:spacing w:val="-2"/>
          <w:sz w:val="24"/>
        </w:rPr>
        <w:t>,</w:t>
      </w:r>
      <w:r>
        <w:rPr>
          <w:sz w:val="24"/>
        </w:rPr>
        <w:tab/>
      </w:r>
      <w:r>
        <w:rPr>
          <w:spacing w:val="-4"/>
          <w:sz w:val="24"/>
        </w:rPr>
        <w:t>Feb.</w:t>
      </w:r>
      <w:r>
        <w:rPr>
          <w:sz w:val="24"/>
        </w:rPr>
        <w:tab/>
      </w:r>
      <w:r>
        <w:rPr>
          <w:spacing w:val="-2"/>
          <w:sz w:val="24"/>
        </w:rPr>
        <w:t>2006, </w:t>
      </w:r>
      <w:hyperlink r:id="rId16">
        <w:r>
          <w:rPr>
            <w:sz w:val="24"/>
            <w:u w:val="single"/>
          </w:rPr>
          <w:t>http://www.minfin.nl/binaries/</w:t>
        </w:r>
      </w:hyperlink>
      <w:r>
        <w:rPr>
          <w:sz w:val="24"/>
          <w:u w:val="single"/>
        </w:rPr>
        <w:t> </w:t>
      </w:r>
      <w:r>
        <w:rPr>
          <w:sz w:val="24"/>
        </w:rPr>
        <w:t>minfin/assets/pdf/old/06_011a.pdf.</w:t>
      </w:r>
    </w:p>
    <w:p>
      <w:pPr>
        <w:tabs>
          <w:tab w:pos="10245" w:val="left" w:leader="none"/>
        </w:tabs>
        <w:spacing w:before="0"/>
        <w:ind w:left="1431" w:right="474" w:hanging="721"/>
        <w:jc w:val="left"/>
        <w:rPr>
          <w:i/>
          <w:sz w:val="24"/>
        </w:rPr>
      </w:pPr>
      <w:r>
        <w:rPr>
          <w:sz w:val="24"/>
        </w:rPr>
        <w:t>Varman-Schneider, B. (1991). Capital Flight from Developing Countries.</w:t>
      </w:r>
      <w:r>
        <w:rPr>
          <w:spacing w:val="80"/>
          <w:sz w:val="24"/>
        </w:rPr>
        <w:t> </w:t>
      </w:r>
      <w:r>
        <w:rPr>
          <w:i/>
          <w:sz w:val="24"/>
        </w:rPr>
        <w:t>BoulderCO:</w:t>
        <w:tab/>
      </w:r>
      <w:r>
        <w:rPr>
          <w:i/>
          <w:spacing w:val="-2"/>
          <w:sz w:val="24"/>
        </w:rPr>
        <w:t>Westview Press.</w:t>
      </w:r>
    </w:p>
    <w:p>
      <w:pPr>
        <w:pStyle w:val="BodyText"/>
        <w:spacing w:before="1"/>
        <w:ind w:left="711"/>
      </w:pPr>
      <w:r>
        <w:rPr/>
        <w:t>Vos</w:t>
      </w:r>
      <w:r>
        <w:rPr>
          <w:spacing w:val="27"/>
        </w:rPr>
        <w:t> </w:t>
      </w:r>
      <w:r>
        <w:rPr/>
        <w:t>(1992).</w:t>
      </w:r>
      <w:r>
        <w:rPr>
          <w:spacing w:val="30"/>
        </w:rPr>
        <w:t> </w:t>
      </w:r>
      <w:r>
        <w:rPr/>
        <w:t>Private</w:t>
      </w:r>
      <w:r>
        <w:rPr>
          <w:spacing w:val="31"/>
        </w:rPr>
        <w:t> </w:t>
      </w:r>
      <w:r>
        <w:rPr/>
        <w:t>Foreign</w:t>
      </w:r>
      <w:r>
        <w:rPr>
          <w:spacing w:val="31"/>
        </w:rPr>
        <w:t> </w:t>
      </w:r>
      <w:r>
        <w:rPr/>
        <w:t>Asset</w:t>
      </w:r>
      <w:r>
        <w:rPr>
          <w:spacing w:val="30"/>
        </w:rPr>
        <w:t> </w:t>
      </w:r>
      <w:r>
        <w:rPr/>
        <w:t>Accumulation,</w:t>
      </w:r>
      <w:r>
        <w:rPr>
          <w:spacing w:val="30"/>
        </w:rPr>
        <w:t> </w:t>
      </w:r>
      <w:r>
        <w:rPr/>
        <w:t>not</w:t>
      </w:r>
      <w:r>
        <w:rPr>
          <w:spacing w:val="30"/>
        </w:rPr>
        <w:t> </w:t>
      </w:r>
      <w:r>
        <w:rPr/>
        <w:t>just</w:t>
      </w:r>
      <w:r>
        <w:rPr>
          <w:spacing w:val="30"/>
        </w:rPr>
        <w:t> </w:t>
      </w:r>
      <w:r>
        <w:rPr/>
        <w:t>Capital</w:t>
      </w:r>
      <w:r>
        <w:rPr>
          <w:spacing w:val="30"/>
        </w:rPr>
        <w:t> </w:t>
      </w:r>
      <w:r>
        <w:rPr/>
        <w:t>Flight:</w:t>
      </w:r>
      <w:r>
        <w:rPr>
          <w:spacing w:val="30"/>
        </w:rPr>
        <w:t> </w:t>
      </w:r>
      <w:r>
        <w:rPr/>
        <w:t>Evidence</w:t>
      </w:r>
      <w:r>
        <w:rPr>
          <w:spacing w:val="30"/>
        </w:rPr>
        <w:t> </w:t>
      </w:r>
      <w:r>
        <w:rPr/>
        <w:t>from</w:t>
      </w:r>
      <w:r>
        <w:rPr>
          <w:spacing w:val="30"/>
        </w:rPr>
        <w:t> </w:t>
      </w:r>
      <w:r>
        <w:rPr/>
        <w:t>the</w:t>
      </w:r>
      <w:r>
        <w:rPr>
          <w:spacing w:val="30"/>
        </w:rPr>
        <w:t> </w:t>
      </w:r>
      <w:r>
        <w:rPr>
          <w:spacing w:val="-2"/>
        </w:rPr>
        <w:t>Philippines.</w:t>
      </w:r>
    </w:p>
    <w:p>
      <w:pPr>
        <w:spacing w:before="0"/>
        <w:ind w:left="711" w:right="0" w:firstLine="0"/>
        <w:jc w:val="left"/>
        <w:rPr>
          <w:sz w:val="24"/>
        </w:rPr>
      </w:pPr>
      <w:r>
        <w:rPr>
          <w:i/>
          <w:sz w:val="24"/>
        </w:rPr>
        <w:t>Journal</w:t>
      </w:r>
      <w:r>
        <w:rPr>
          <w:i/>
          <w:spacing w:val="-1"/>
          <w:sz w:val="24"/>
        </w:rPr>
        <w:t> </w:t>
      </w:r>
      <w:r>
        <w:rPr>
          <w:i/>
          <w:sz w:val="24"/>
        </w:rPr>
        <w:t>of</w:t>
      </w:r>
      <w:r>
        <w:rPr>
          <w:i/>
          <w:spacing w:val="-1"/>
          <w:sz w:val="24"/>
        </w:rPr>
        <w:t> </w:t>
      </w:r>
      <w:r>
        <w:rPr>
          <w:i/>
          <w:sz w:val="24"/>
        </w:rPr>
        <w:t>Development Studies</w:t>
      </w:r>
      <w:r>
        <w:rPr>
          <w:sz w:val="24"/>
        </w:rPr>
        <w:t>,</w:t>
      </w:r>
      <w:r>
        <w:rPr>
          <w:spacing w:val="-1"/>
          <w:sz w:val="24"/>
        </w:rPr>
        <w:t> </w:t>
      </w:r>
      <w:r>
        <w:rPr>
          <w:i/>
          <w:sz w:val="24"/>
        </w:rPr>
        <w:t>28,3</w:t>
      </w:r>
      <w:r>
        <w:rPr>
          <w:sz w:val="24"/>
        </w:rPr>
        <w:t>, 500-</w:t>
      </w:r>
      <w:r>
        <w:rPr>
          <w:spacing w:val="-4"/>
          <w:sz w:val="24"/>
        </w:rPr>
        <w:t>537.</w:t>
      </w:r>
    </w:p>
    <w:p>
      <w:pPr>
        <w:pStyle w:val="BodyText"/>
        <w:ind w:left="711"/>
      </w:pPr>
      <w:r>
        <w:rPr/>
        <w:t>Quan</w:t>
      </w:r>
      <w:r>
        <w:rPr>
          <w:spacing w:val="48"/>
        </w:rPr>
        <w:t> </w:t>
      </w:r>
      <w:r>
        <w:rPr/>
        <w:t>and</w:t>
      </w:r>
      <w:r>
        <w:rPr>
          <w:spacing w:val="50"/>
        </w:rPr>
        <w:t> </w:t>
      </w:r>
      <w:r>
        <w:rPr/>
        <w:t>Meenakshi</w:t>
      </w:r>
      <w:r>
        <w:rPr>
          <w:spacing w:val="51"/>
        </w:rPr>
        <w:t> </w:t>
      </w:r>
      <w:r>
        <w:rPr/>
        <w:t>(2006).</w:t>
      </w:r>
      <w:r>
        <w:rPr>
          <w:spacing w:val="52"/>
        </w:rPr>
        <w:t> </w:t>
      </w:r>
      <w:r>
        <w:rPr/>
        <w:t>Illicit</w:t>
      </w:r>
      <w:r>
        <w:rPr>
          <w:spacing w:val="52"/>
        </w:rPr>
        <w:t> </w:t>
      </w:r>
      <w:r>
        <w:rPr/>
        <w:t>Financial</w:t>
      </w:r>
      <w:r>
        <w:rPr>
          <w:spacing w:val="52"/>
        </w:rPr>
        <w:t> </w:t>
      </w:r>
      <w:r>
        <w:rPr/>
        <w:t>Flows</w:t>
      </w:r>
      <w:r>
        <w:rPr>
          <w:spacing w:val="50"/>
        </w:rPr>
        <w:t> </w:t>
      </w:r>
      <w:r>
        <w:rPr/>
        <w:t>from</w:t>
      </w:r>
      <w:r>
        <w:rPr>
          <w:spacing w:val="51"/>
        </w:rPr>
        <w:t> </w:t>
      </w:r>
      <w:r>
        <w:rPr/>
        <w:t>Africa;</w:t>
      </w:r>
      <w:r>
        <w:rPr>
          <w:spacing w:val="52"/>
        </w:rPr>
        <w:t> </w:t>
      </w:r>
      <w:r>
        <w:rPr/>
        <w:t>Hidden</w:t>
      </w:r>
      <w:r>
        <w:rPr>
          <w:spacing w:val="50"/>
        </w:rPr>
        <w:t> </w:t>
      </w:r>
      <w:r>
        <w:rPr/>
        <w:t>Resources</w:t>
      </w:r>
      <w:r>
        <w:rPr>
          <w:spacing w:val="50"/>
        </w:rPr>
        <w:t> </w:t>
      </w:r>
      <w:r>
        <w:rPr/>
        <w:t>for</w:t>
      </w:r>
      <w:r>
        <w:rPr>
          <w:spacing w:val="50"/>
        </w:rPr>
        <w:t> </w:t>
      </w:r>
      <w:r>
        <w:rPr>
          <w:spacing w:val="-2"/>
        </w:rPr>
        <w:t>Development.</w:t>
      </w:r>
    </w:p>
    <w:p>
      <w:pPr>
        <w:spacing w:before="0"/>
        <w:ind w:left="1431" w:right="0" w:firstLine="0"/>
        <w:jc w:val="left"/>
        <w:rPr>
          <w:sz w:val="24"/>
        </w:rPr>
      </w:pPr>
      <w:r>
        <w:rPr>
          <w:i/>
          <w:sz w:val="24"/>
        </w:rPr>
        <w:t>International</w:t>
      </w:r>
      <w:r>
        <w:rPr>
          <w:i/>
          <w:spacing w:val="-1"/>
          <w:sz w:val="24"/>
        </w:rPr>
        <w:t> </w:t>
      </w:r>
      <w:r>
        <w:rPr>
          <w:i/>
          <w:sz w:val="24"/>
        </w:rPr>
        <w:t>Economic</w:t>
      </w:r>
      <w:r>
        <w:rPr>
          <w:i/>
          <w:spacing w:val="-2"/>
          <w:sz w:val="24"/>
        </w:rPr>
        <w:t> </w:t>
      </w:r>
      <w:r>
        <w:rPr>
          <w:i/>
          <w:sz w:val="24"/>
        </w:rPr>
        <w:t>Journal</w:t>
      </w:r>
      <w:r>
        <w:rPr>
          <w:sz w:val="24"/>
        </w:rPr>
        <w:t>.</w:t>
      </w:r>
      <w:r>
        <w:rPr>
          <w:spacing w:val="-1"/>
          <w:sz w:val="24"/>
        </w:rPr>
        <w:t> </w:t>
      </w:r>
      <w:r>
        <w:rPr>
          <w:i/>
          <w:sz w:val="24"/>
        </w:rPr>
        <w:t>12</w:t>
      </w:r>
      <w:r>
        <w:rPr>
          <w:sz w:val="24"/>
        </w:rPr>
        <w:t>. 1-</w:t>
      </w:r>
      <w:r>
        <w:rPr>
          <w:spacing w:val="-5"/>
          <w:sz w:val="24"/>
        </w:rPr>
        <w:t>40</w:t>
      </w:r>
    </w:p>
    <w:p>
      <w:pPr>
        <w:spacing w:before="0"/>
        <w:ind w:left="1431" w:right="0" w:hanging="721"/>
        <w:jc w:val="left"/>
        <w:rPr>
          <w:sz w:val="24"/>
        </w:rPr>
      </w:pPr>
      <w:r>
        <w:rPr>
          <w:sz w:val="24"/>
        </w:rPr>
        <w:t>Walker,</w:t>
      </w:r>
      <w:r>
        <w:rPr>
          <w:spacing w:val="73"/>
          <w:w w:val="150"/>
          <w:sz w:val="24"/>
        </w:rPr>
        <w:t> </w:t>
      </w:r>
      <w:r>
        <w:rPr>
          <w:sz w:val="24"/>
        </w:rPr>
        <w:t>J.</w:t>
      </w:r>
      <w:r>
        <w:rPr>
          <w:spacing w:val="73"/>
          <w:w w:val="150"/>
          <w:sz w:val="24"/>
        </w:rPr>
        <w:t> </w:t>
      </w:r>
      <w:r>
        <w:rPr>
          <w:sz w:val="24"/>
        </w:rPr>
        <w:t>(2002).</w:t>
      </w:r>
      <w:r>
        <w:rPr>
          <w:spacing w:val="80"/>
          <w:sz w:val="24"/>
        </w:rPr>
        <w:t> </w:t>
      </w:r>
      <w:r>
        <w:rPr>
          <w:sz w:val="24"/>
        </w:rPr>
        <w:t>Just</w:t>
      </w:r>
      <w:r>
        <w:rPr>
          <w:spacing w:val="73"/>
          <w:w w:val="150"/>
          <w:sz w:val="24"/>
        </w:rPr>
        <w:t> </w:t>
      </w:r>
      <w:r>
        <w:rPr>
          <w:sz w:val="24"/>
        </w:rPr>
        <w:t>How</w:t>
      </w:r>
      <w:r>
        <w:rPr>
          <w:spacing w:val="80"/>
          <w:sz w:val="24"/>
        </w:rPr>
        <w:t> </w:t>
      </w:r>
      <w:r>
        <w:rPr>
          <w:sz w:val="24"/>
        </w:rPr>
        <w:t>Big</w:t>
      </w:r>
      <w:r>
        <w:rPr>
          <w:spacing w:val="73"/>
          <w:w w:val="150"/>
          <w:sz w:val="24"/>
        </w:rPr>
        <w:t> </w:t>
      </w:r>
      <w:r>
        <w:rPr>
          <w:sz w:val="24"/>
        </w:rPr>
        <w:t>is</w:t>
      </w:r>
      <w:r>
        <w:rPr>
          <w:spacing w:val="74"/>
          <w:w w:val="150"/>
          <w:sz w:val="24"/>
        </w:rPr>
        <w:t> </w:t>
      </w:r>
      <w:r>
        <w:rPr>
          <w:sz w:val="24"/>
        </w:rPr>
        <w:t>Global</w:t>
      </w:r>
      <w:r>
        <w:rPr>
          <w:spacing w:val="76"/>
          <w:w w:val="150"/>
          <w:sz w:val="24"/>
        </w:rPr>
        <w:t> </w:t>
      </w:r>
      <w:r>
        <w:rPr>
          <w:sz w:val="24"/>
        </w:rPr>
        <w:t>Money</w:t>
      </w:r>
      <w:r>
        <w:rPr>
          <w:spacing w:val="80"/>
          <w:sz w:val="24"/>
        </w:rPr>
        <w:t> </w:t>
      </w:r>
      <w:r>
        <w:rPr>
          <w:sz w:val="24"/>
        </w:rPr>
        <w:t>Laundering?</w:t>
      </w:r>
      <w:r>
        <w:rPr>
          <w:spacing w:val="74"/>
          <w:w w:val="150"/>
          <w:sz w:val="24"/>
        </w:rPr>
        <w:t> </w:t>
      </w:r>
      <w:r>
        <w:rPr>
          <w:sz w:val="24"/>
        </w:rPr>
        <w:t>Sydney.</w:t>
      </w:r>
      <w:r>
        <w:rPr>
          <w:spacing w:val="73"/>
          <w:w w:val="150"/>
          <w:sz w:val="24"/>
        </w:rPr>
        <w:t> </w:t>
      </w:r>
      <w:r>
        <w:rPr>
          <w:i/>
          <w:sz w:val="24"/>
        </w:rPr>
        <w:t>Australian</w:t>
      </w:r>
      <w:r>
        <w:rPr>
          <w:i/>
          <w:spacing w:val="73"/>
          <w:w w:val="150"/>
          <w:sz w:val="24"/>
        </w:rPr>
        <w:t> </w:t>
      </w:r>
      <w:r>
        <w:rPr>
          <w:i/>
          <w:sz w:val="24"/>
        </w:rPr>
        <w:t>Institute</w:t>
      </w:r>
      <w:r>
        <w:rPr>
          <w:i/>
          <w:spacing w:val="80"/>
          <w:sz w:val="24"/>
        </w:rPr>
        <w:t> </w:t>
      </w:r>
      <w:r>
        <w:rPr>
          <w:i/>
          <w:sz w:val="24"/>
        </w:rPr>
        <w:t>of Criminology Seminar</w:t>
      </w:r>
      <w:r>
        <w:rPr>
          <w:sz w:val="24"/>
        </w:rPr>
        <w:t>.</w:t>
      </w:r>
    </w:p>
    <w:p>
      <w:pPr>
        <w:spacing w:before="0"/>
        <w:ind w:left="711" w:right="0" w:firstLine="0"/>
        <w:jc w:val="left"/>
        <w:rPr>
          <w:sz w:val="24"/>
        </w:rPr>
      </w:pPr>
      <w:r>
        <w:rPr>
          <w:sz w:val="24"/>
        </w:rPr>
        <w:t>Wood,</w:t>
      </w:r>
      <w:r>
        <w:rPr>
          <w:spacing w:val="-2"/>
          <w:sz w:val="24"/>
        </w:rPr>
        <w:t> </w:t>
      </w:r>
      <w:r>
        <w:rPr>
          <w:sz w:val="24"/>
        </w:rPr>
        <w:t>E.</w:t>
      </w:r>
      <w:r>
        <w:rPr>
          <w:spacing w:val="-2"/>
          <w:sz w:val="24"/>
        </w:rPr>
        <w:t> </w:t>
      </w:r>
      <w:r>
        <w:rPr>
          <w:sz w:val="24"/>
        </w:rPr>
        <w:t>&amp;</w:t>
      </w:r>
      <w:r>
        <w:rPr>
          <w:spacing w:val="-5"/>
          <w:sz w:val="24"/>
        </w:rPr>
        <w:t> </w:t>
      </w:r>
      <w:r>
        <w:rPr>
          <w:sz w:val="24"/>
        </w:rPr>
        <w:t>Moll,</w:t>
      </w:r>
      <w:r>
        <w:rPr>
          <w:spacing w:val="-2"/>
          <w:sz w:val="24"/>
        </w:rPr>
        <w:t> </w:t>
      </w:r>
      <w:r>
        <w:rPr>
          <w:sz w:val="24"/>
        </w:rPr>
        <w:t>T.</w:t>
      </w:r>
      <w:r>
        <w:rPr>
          <w:spacing w:val="-2"/>
          <w:sz w:val="24"/>
        </w:rPr>
        <w:t> </w:t>
      </w:r>
      <w:r>
        <w:rPr>
          <w:sz w:val="24"/>
        </w:rPr>
        <w:t>(1994).</w:t>
      </w:r>
      <w:r>
        <w:rPr>
          <w:spacing w:val="-2"/>
          <w:sz w:val="24"/>
        </w:rPr>
        <w:t> </w:t>
      </w:r>
      <w:r>
        <w:rPr>
          <w:sz w:val="24"/>
        </w:rPr>
        <w:t>Capital</w:t>
      </w:r>
      <w:r>
        <w:rPr>
          <w:spacing w:val="-2"/>
          <w:sz w:val="24"/>
        </w:rPr>
        <w:t> </w:t>
      </w:r>
      <w:r>
        <w:rPr>
          <w:sz w:val="24"/>
        </w:rPr>
        <w:t>flight</w:t>
      </w:r>
      <w:r>
        <w:rPr>
          <w:spacing w:val="-2"/>
          <w:sz w:val="24"/>
        </w:rPr>
        <w:t> </w:t>
      </w:r>
      <w:r>
        <w:rPr>
          <w:sz w:val="24"/>
        </w:rPr>
        <w:t>from</w:t>
      </w:r>
      <w:r>
        <w:rPr>
          <w:spacing w:val="-2"/>
          <w:sz w:val="24"/>
        </w:rPr>
        <w:t> </w:t>
      </w:r>
      <w:r>
        <w:rPr>
          <w:sz w:val="24"/>
        </w:rPr>
        <w:t>South</w:t>
      </w:r>
      <w:r>
        <w:rPr>
          <w:spacing w:val="-2"/>
          <w:sz w:val="24"/>
        </w:rPr>
        <w:t> </w:t>
      </w:r>
      <w:r>
        <w:rPr>
          <w:sz w:val="24"/>
        </w:rPr>
        <w:t>Africa: Is</w:t>
      </w:r>
      <w:r>
        <w:rPr>
          <w:spacing w:val="-2"/>
          <w:sz w:val="24"/>
        </w:rPr>
        <w:t> </w:t>
      </w:r>
      <w:r>
        <w:rPr>
          <w:sz w:val="24"/>
        </w:rPr>
        <w:t>Underinvoicing</w:t>
      </w:r>
      <w:r>
        <w:rPr>
          <w:spacing w:val="40"/>
          <w:sz w:val="24"/>
        </w:rPr>
        <w:t> </w:t>
      </w:r>
      <w:r>
        <w:rPr>
          <w:sz w:val="24"/>
        </w:rPr>
        <w:t>Exaggerated?,</w:t>
      </w:r>
      <w:r>
        <w:rPr>
          <w:spacing w:val="80"/>
          <w:sz w:val="24"/>
        </w:rPr>
        <w:t> </w:t>
      </w:r>
      <w:r>
        <w:rPr>
          <w:i/>
          <w:sz w:val="24"/>
        </w:rPr>
        <w:t>The South African Journal of Economics</w:t>
      </w:r>
      <w:r>
        <w:rPr>
          <w:sz w:val="24"/>
        </w:rPr>
        <w:t>, </w:t>
      </w:r>
      <w:r>
        <w:rPr>
          <w:i/>
          <w:sz w:val="24"/>
        </w:rPr>
        <w:t>62 (1</w:t>
      </w:r>
      <w:r>
        <w:rPr>
          <w:sz w:val="24"/>
        </w:rPr>
        <w:t>), 28-45.</w:t>
      </w:r>
    </w:p>
    <w:p>
      <w:pPr>
        <w:pStyle w:val="BodyText"/>
        <w:ind w:left="711"/>
        <w:rPr>
          <w:i/>
        </w:rPr>
      </w:pPr>
      <w:r>
        <w:rPr/>
        <w:t>World</w:t>
      </w:r>
      <w:r>
        <w:rPr>
          <w:spacing w:val="-2"/>
        </w:rPr>
        <w:t> </w:t>
      </w:r>
      <w:r>
        <w:rPr/>
        <w:t>Bank</w:t>
      </w:r>
      <w:r>
        <w:rPr>
          <w:spacing w:val="-1"/>
        </w:rPr>
        <w:t> </w:t>
      </w:r>
      <w:r>
        <w:rPr/>
        <w:t>(1985).</w:t>
      </w:r>
      <w:r>
        <w:rPr>
          <w:spacing w:val="-2"/>
        </w:rPr>
        <w:t> </w:t>
      </w:r>
      <w:r>
        <w:rPr/>
        <w:t>World</w:t>
      </w:r>
      <w:r>
        <w:rPr>
          <w:spacing w:val="-1"/>
        </w:rPr>
        <w:t> </w:t>
      </w:r>
      <w:r>
        <w:rPr/>
        <w:t>Development</w:t>
      </w:r>
      <w:r>
        <w:rPr>
          <w:spacing w:val="-2"/>
        </w:rPr>
        <w:t> </w:t>
      </w:r>
      <w:r>
        <w:rPr/>
        <w:t>Report</w:t>
      </w:r>
      <w:r>
        <w:rPr>
          <w:spacing w:val="-1"/>
        </w:rPr>
        <w:t> </w:t>
      </w:r>
      <w:r>
        <w:rPr/>
        <w:t>1985.</w:t>
      </w:r>
      <w:r>
        <w:rPr>
          <w:spacing w:val="4"/>
        </w:rPr>
        <w:t> </w:t>
      </w:r>
      <w:r>
        <w:rPr>
          <w:i/>
        </w:rPr>
        <w:t>World</w:t>
      </w:r>
      <w:r>
        <w:rPr>
          <w:i/>
          <w:spacing w:val="-1"/>
        </w:rPr>
        <w:t> </w:t>
      </w:r>
      <w:r>
        <w:rPr>
          <w:i/>
          <w:spacing w:val="-2"/>
        </w:rPr>
        <w:t>Bank.</w:t>
      </w:r>
    </w:p>
    <w:p>
      <w:pPr>
        <w:pStyle w:val="BodyText"/>
        <w:ind w:left="1431" w:right="474" w:hanging="721"/>
        <w:jc w:val="both"/>
      </w:pPr>
      <w:r>
        <w:rPr/>
        <w:t>Zhu, A., Li, C. &amp; Epstein, G. (2005). </w:t>
      </w:r>
      <w:r>
        <w:rPr>
          <w:i/>
        </w:rPr>
        <w:t>Capital Flight from China, 1982-2001</w:t>
      </w:r>
      <w:r>
        <w:rPr/>
        <w:t>, Capital Flight and Capital Controls in Developing Countries, ed. Gerald A.Epstein, 234-61.EdwardElgar, Cheltenham, United </w:t>
      </w:r>
      <w:r>
        <w:rPr>
          <w:spacing w:val="-2"/>
        </w:rPr>
        <w:t>Kingdom.</w:t>
      </w:r>
    </w:p>
    <w:p>
      <w:pPr>
        <w:spacing w:after="0"/>
        <w:jc w:val="both"/>
        <w:sectPr>
          <w:pgSz w:w="11910" w:h="16840"/>
          <w:pgMar w:header="0" w:footer="979" w:top="1360" w:bottom="1240" w:left="280" w:right="0"/>
        </w:sectPr>
      </w:pPr>
    </w:p>
    <w:p>
      <w:pPr>
        <w:spacing w:before="60"/>
        <w:ind w:left="0" w:right="925" w:firstLine="0"/>
        <w:jc w:val="center"/>
        <w:rPr>
          <w:b/>
          <w:sz w:val="24"/>
        </w:rPr>
      </w:pPr>
      <w:r>
        <w:rPr>
          <w:b/>
          <w:sz w:val="24"/>
        </w:rPr>
        <w:t>CHAPTER</w:t>
      </w:r>
      <w:r>
        <w:rPr>
          <w:b/>
          <w:spacing w:val="-3"/>
          <w:sz w:val="24"/>
        </w:rPr>
        <w:t> </w:t>
      </w:r>
      <w:r>
        <w:rPr>
          <w:b/>
          <w:spacing w:val="-2"/>
          <w:sz w:val="24"/>
        </w:rPr>
        <w:t>THREE</w:t>
      </w:r>
    </w:p>
    <w:p>
      <w:pPr>
        <w:pStyle w:val="BodyText"/>
        <w:spacing w:before="3"/>
        <w:rPr>
          <w:b/>
          <w:sz w:val="16"/>
        </w:rPr>
      </w:pPr>
    </w:p>
    <w:p>
      <w:pPr>
        <w:spacing w:after="0"/>
        <w:rPr>
          <w:sz w:val="16"/>
        </w:rPr>
        <w:sectPr>
          <w:pgSz w:w="11910" w:h="16840"/>
          <w:pgMar w:header="0" w:footer="979" w:top="1360" w:bottom="1240" w:left="280" w:right="0"/>
        </w:sectPr>
      </w:pPr>
    </w:p>
    <w:p>
      <w:pPr>
        <w:pStyle w:val="BodyText"/>
        <w:spacing w:before="321"/>
        <w:rPr>
          <w:b/>
          <w:sz w:val="28"/>
        </w:rPr>
      </w:pPr>
    </w:p>
    <w:p>
      <w:pPr>
        <w:pStyle w:val="Heading2"/>
        <w:numPr>
          <w:ilvl w:val="1"/>
          <w:numId w:val="14"/>
        </w:numPr>
        <w:tabs>
          <w:tab w:pos="1550" w:val="left" w:leader="none"/>
        </w:tabs>
        <w:spacing w:line="240" w:lineRule="auto" w:before="0" w:after="0"/>
        <w:ind w:left="1550" w:right="0" w:hanging="839"/>
        <w:jc w:val="left"/>
      </w:pPr>
      <w:bookmarkStart w:name="_TOC_250019" w:id="8"/>
      <w:r>
        <w:rPr/>
        <w:t>Research</w:t>
      </w:r>
      <w:r>
        <w:rPr>
          <w:spacing w:val="-3"/>
        </w:rPr>
        <w:t> </w:t>
      </w:r>
      <w:bookmarkEnd w:id="8"/>
      <w:r>
        <w:rPr>
          <w:spacing w:val="-2"/>
        </w:rPr>
        <w:t>Design</w:t>
      </w:r>
    </w:p>
    <w:p>
      <w:pPr>
        <w:pStyle w:val="Heading5"/>
        <w:spacing w:before="90"/>
        <w:ind w:left="662"/>
        <w:jc w:val="left"/>
      </w:pPr>
      <w:r>
        <w:rPr>
          <w:b w:val="0"/>
        </w:rPr>
        <w:br w:type="column"/>
      </w:r>
      <w:r>
        <w:rPr/>
        <w:t>RESEARCH</w:t>
      </w:r>
      <w:r>
        <w:rPr>
          <w:spacing w:val="-1"/>
        </w:rPr>
        <w:t> </w:t>
      </w:r>
      <w:r>
        <w:rPr>
          <w:spacing w:val="-2"/>
        </w:rPr>
        <w:t>METHODOLOGY</w:t>
      </w:r>
    </w:p>
    <w:p>
      <w:pPr>
        <w:spacing w:after="0"/>
        <w:jc w:val="left"/>
        <w:sectPr>
          <w:type w:val="continuous"/>
          <w:pgSz w:w="11910" w:h="16840"/>
          <w:pgMar w:header="0" w:footer="979" w:top="1340" w:bottom="1220" w:left="280" w:right="0"/>
          <w:cols w:num="2" w:equalWidth="0">
            <w:col w:w="3538" w:space="40"/>
            <w:col w:w="8052"/>
          </w:cols>
        </w:sectPr>
      </w:pPr>
    </w:p>
    <w:p>
      <w:pPr>
        <w:pStyle w:val="BodyText"/>
        <w:spacing w:line="480" w:lineRule="auto" w:before="255"/>
        <w:ind w:left="711" w:right="469"/>
        <w:jc w:val="both"/>
      </w:pPr>
      <w:r>
        <w:rPr/>
        <w:t>The primary objective of this research work as stated in chapter one is to investigate the effects of capital flight</w:t>
      </w:r>
      <w:r>
        <w:rPr>
          <w:spacing w:val="-1"/>
        </w:rPr>
        <w:t> </w:t>
      </w:r>
      <w:r>
        <w:rPr/>
        <w:t>on</w:t>
      </w:r>
      <w:r>
        <w:rPr>
          <w:spacing w:val="-1"/>
        </w:rPr>
        <w:t> </w:t>
      </w:r>
      <w:r>
        <w:rPr/>
        <w:t>Nigeria’s</w:t>
      </w:r>
      <w:r>
        <w:rPr>
          <w:spacing w:val="-1"/>
        </w:rPr>
        <w:t> </w:t>
      </w:r>
      <w:r>
        <w:rPr/>
        <w:t>economic</w:t>
      </w:r>
      <w:r>
        <w:rPr>
          <w:spacing w:val="-1"/>
        </w:rPr>
        <w:t> </w:t>
      </w:r>
      <w:r>
        <w:rPr/>
        <w:t>growth</w:t>
      </w:r>
      <w:r>
        <w:rPr>
          <w:spacing w:val="-1"/>
        </w:rPr>
        <w:t> </w:t>
      </w:r>
      <w:r>
        <w:rPr/>
        <w:t>between</w:t>
      </w:r>
      <w:r>
        <w:rPr>
          <w:spacing w:val="-1"/>
        </w:rPr>
        <w:t> </w:t>
      </w:r>
      <w:r>
        <w:rPr/>
        <w:t>1970</w:t>
      </w:r>
      <w:r>
        <w:rPr>
          <w:spacing w:val="-1"/>
        </w:rPr>
        <w:t> </w:t>
      </w:r>
      <w:r>
        <w:rPr/>
        <w:t>and</w:t>
      </w:r>
      <w:r>
        <w:rPr>
          <w:spacing w:val="-1"/>
        </w:rPr>
        <w:t> </w:t>
      </w:r>
      <w:r>
        <w:rPr/>
        <w:t>2011. In</w:t>
      </w:r>
      <w:r>
        <w:rPr>
          <w:spacing w:val="-1"/>
        </w:rPr>
        <w:t> </w:t>
      </w:r>
      <w:r>
        <w:rPr/>
        <w:t>order</w:t>
      </w:r>
      <w:r>
        <w:rPr>
          <w:spacing w:val="-2"/>
        </w:rPr>
        <w:t> </w:t>
      </w:r>
      <w:r>
        <w:rPr/>
        <w:t>to</w:t>
      </w:r>
      <w:r>
        <w:rPr>
          <w:spacing w:val="-1"/>
        </w:rPr>
        <w:t> </w:t>
      </w:r>
      <w:r>
        <w:rPr/>
        <w:t>effectively</w:t>
      </w:r>
      <w:r>
        <w:rPr>
          <w:spacing w:val="-5"/>
        </w:rPr>
        <w:t> </w:t>
      </w:r>
      <w:r>
        <w:rPr/>
        <w:t>realize</w:t>
      </w:r>
      <w:r>
        <w:rPr>
          <w:spacing w:val="-2"/>
        </w:rPr>
        <w:t> </w:t>
      </w:r>
      <w:r>
        <w:rPr/>
        <w:t>the</w:t>
      </w:r>
      <w:r>
        <w:rPr>
          <w:spacing w:val="-2"/>
        </w:rPr>
        <w:t> </w:t>
      </w:r>
      <w:r>
        <w:rPr/>
        <w:t>objectives</w:t>
      </w:r>
      <w:r>
        <w:rPr>
          <w:spacing w:val="-1"/>
        </w:rPr>
        <w:t> </w:t>
      </w:r>
      <w:r>
        <w:rPr/>
        <w:t>of the study, relevant variables were adopted to measure the time series characteristics of the variables in the models. The study is empirical and analytical in nature; it is an ex-post factor research in that it relies</w:t>
      </w:r>
      <w:r>
        <w:rPr>
          <w:spacing w:val="40"/>
        </w:rPr>
        <w:t> </w:t>
      </w:r>
      <w:r>
        <w:rPr/>
        <w:t>heavily on already computed data. The variables adopted</w:t>
      </w:r>
      <w:r>
        <w:rPr>
          <w:spacing w:val="80"/>
        </w:rPr>
        <w:t> </w:t>
      </w:r>
      <w:r>
        <w:rPr/>
        <w:t>are Gross Domestic Product (GDP), Capital</w:t>
      </w:r>
      <w:r>
        <w:rPr>
          <w:spacing w:val="40"/>
        </w:rPr>
        <w:t> </w:t>
      </w:r>
      <w:r>
        <w:rPr/>
        <w:t>Flight (KF), Gross Capital Formation (GCF), Direct Foreigh Investment (DFI), Current Account Balance (CAB), Inflation Rate (INF), Degree of Openess (DOP), Change in External Reserves (δRES),</w:t>
      </w:r>
      <w:r>
        <w:rPr>
          <w:spacing w:val="80"/>
        </w:rPr>
        <w:t> </w:t>
      </w:r>
      <w:r>
        <w:rPr/>
        <w:t>Deposit</w:t>
      </w:r>
      <w:r>
        <w:rPr>
          <w:spacing w:val="40"/>
        </w:rPr>
        <w:t> </w:t>
      </w:r>
      <w:r>
        <w:rPr/>
        <w:t>Rate (DR), Credit to Private Sector (PRIVCR),</w:t>
      </w:r>
      <w:r>
        <w:rPr>
          <w:spacing w:val="40"/>
        </w:rPr>
        <w:t> </w:t>
      </w:r>
      <w:r>
        <w:rPr/>
        <w:t>Interest Rate differential (USIRD), Government Current Expenditure (GOCE), Change in External Debt (δEXDEBT), and Change in</w:t>
      </w:r>
      <w:r>
        <w:rPr>
          <w:spacing w:val="80"/>
        </w:rPr>
        <w:t> </w:t>
      </w:r>
      <w:r>
        <w:rPr/>
        <w:t>Foreign assets held by domestic banks (δNEXTAS).</w:t>
      </w:r>
      <w:r>
        <w:rPr>
          <w:spacing w:val="80"/>
        </w:rPr>
        <w:t> </w:t>
      </w:r>
      <w:r>
        <w:rPr/>
        <w:t>Two models with each consisting of two equations were formulated to test</w:t>
      </w:r>
      <w:r>
        <w:rPr>
          <w:spacing w:val="40"/>
        </w:rPr>
        <w:t> </w:t>
      </w:r>
      <w:r>
        <w:rPr/>
        <w:t>the determinants and effects of capital flight on the Nigerian economy between 1970 and 2011 while four other models with each consisting of two equations each were formulated to test the determinants and</w:t>
      </w:r>
      <w:r>
        <w:rPr>
          <w:spacing w:val="40"/>
        </w:rPr>
        <w:t> </w:t>
      </w:r>
      <w:r>
        <w:rPr/>
        <w:t>effects of capital flight on the Nigerian economy in the Pre and Post SAP era. The two equations under each model represent the World Bank and Erbe (1985) approach and the Morgan Trust (1986) approach of the residual method respectively.</w:t>
      </w:r>
      <w:r>
        <w:rPr>
          <w:spacing w:val="80"/>
        </w:rPr>
        <w:t> </w:t>
      </w:r>
      <w:r>
        <w:rPr/>
        <w:t>In model 1, Capital Flight (KF) is the dependent variable while Gross Domestic Product is the dependent variable in model 2. In the same vain, Capital Flight (KF) is the dependent variables in model 3 and 4 while Gross Domestic Product is the dependent variables in model 5 and 6. Major macro economic variables</w:t>
      </w:r>
      <w:r>
        <w:rPr>
          <w:spacing w:val="40"/>
        </w:rPr>
        <w:t> </w:t>
      </w:r>
      <w:r>
        <w:rPr/>
        <w:t>such as the degree of openness (DOP), inflation rate (INF), gross capital formation (GCF), change in external debt (δEXDEBT), change in external reserve (δRES), deposit rate (DR), credit to private sector (PRIVCR) and foreign asset of domestic banking system (δNEXTAS) stand for the</w:t>
      </w:r>
      <w:r>
        <w:rPr>
          <w:spacing w:val="80"/>
        </w:rPr>
        <w:t> </w:t>
      </w:r>
      <w:r>
        <w:rPr/>
        <w:t>independent variables in models 1, 3, and 5 while change in External Debt (δEXDEBT),</w:t>
      </w:r>
      <w:r>
        <w:rPr>
          <w:spacing w:val="40"/>
        </w:rPr>
        <w:t> </w:t>
      </w:r>
      <w:r>
        <w:rPr/>
        <w:t>Direct</w:t>
      </w:r>
      <w:r>
        <w:rPr>
          <w:spacing w:val="5"/>
        </w:rPr>
        <w:t> </w:t>
      </w:r>
      <w:r>
        <w:rPr/>
        <w:t>Foreign</w:t>
      </w:r>
      <w:r>
        <w:rPr>
          <w:spacing w:val="10"/>
        </w:rPr>
        <w:t> </w:t>
      </w:r>
      <w:r>
        <w:rPr/>
        <w:t>Investment</w:t>
      </w:r>
      <w:r>
        <w:rPr>
          <w:spacing w:val="5"/>
        </w:rPr>
        <w:t> </w:t>
      </w:r>
      <w:r>
        <w:rPr/>
        <w:t>(DFI),</w:t>
      </w:r>
      <w:r>
        <w:rPr>
          <w:spacing w:val="7"/>
        </w:rPr>
        <w:t> </w:t>
      </w:r>
      <w:r>
        <w:rPr/>
        <w:t>Current</w:t>
      </w:r>
      <w:r>
        <w:rPr>
          <w:spacing w:val="8"/>
        </w:rPr>
        <w:t> </w:t>
      </w:r>
      <w:r>
        <w:rPr/>
        <w:t>Account</w:t>
      </w:r>
      <w:r>
        <w:rPr>
          <w:spacing w:val="5"/>
        </w:rPr>
        <w:t> </w:t>
      </w:r>
      <w:r>
        <w:rPr/>
        <w:t>Balance</w:t>
      </w:r>
      <w:r>
        <w:rPr>
          <w:spacing w:val="7"/>
        </w:rPr>
        <w:t> </w:t>
      </w:r>
      <w:r>
        <w:rPr/>
        <w:t>(CAB),</w:t>
      </w:r>
      <w:r>
        <w:rPr>
          <w:spacing w:val="76"/>
        </w:rPr>
        <w:t> </w:t>
      </w:r>
      <w:r>
        <w:rPr/>
        <w:t>change</w:t>
      </w:r>
      <w:r>
        <w:rPr>
          <w:spacing w:val="7"/>
        </w:rPr>
        <w:t> </w:t>
      </w:r>
      <w:r>
        <w:rPr/>
        <w:t>in</w:t>
      </w:r>
      <w:r>
        <w:rPr>
          <w:spacing w:val="6"/>
        </w:rPr>
        <w:t> </w:t>
      </w:r>
      <w:r>
        <w:rPr/>
        <w:t>External</w:t>
      </w:r>
      <w:r>
        <w:rPr>
          <w:spacing w:val="7"/>
        </w:rPr>
        <w:t> </w:t>
      </w:r>
      <w:r>
        <w:rPr/>
        <w:t>reserve</w:t>
      </w:r>
      <w:r>
        <w:rPr>
          <w:spacing w:val="6"/>
        </w:rPr>
        <w:t> </w:t>
      </w:r>
      <w:r>
        <w:rPr/>
        <w:t>(δRES)</w:t>
      </w:r>
      <w:r>
        <w:rPr>
          <w:spacing w:val="5"/>
        </w:rPr>
        <w:t> </w:t>
      </w:r>
      <w:r>
        <w:rPr>
          <w:spacing w:val="-5"/>
        </w:rPr>
        <w:t>and</w:t>
      </w:r>
    </w:p>
    <w:p>
      <w:pPr>
        <w:spacing w:after="0" w:line="480" w:lineRule="auto"/>
        <w:jc w:val="both"/>
        <w:sectPr>
          <w:type w:val="continuous"/>
          <w:pgSz w:w="11910" w:h="16840"/>
          <w:pgMar w:header="0" w:footer="979" w:top="1340" w:bottom="1220" w:left="280" w:right="0"/>
        </w:sectPr>
      </w:pPr>
    </w:p>
    <w:p>
      <w:pPr>
        <w:pStyle w:val="BodyText"/>
        <w:spacing w:line="480" w:lineRule="auto" w:before="60"/>
        <w:ind w:left="711" w:right="471"/>
        <w:jc w:val="both"/>
      </w:pPr>
      <w:r>
        <w:rPr/>
        <w:t>change foreign asset of domestic banking system (δNEXTAS) are the independent variables in models 2, 4 and 6.</w:t>
      </w:r>
    </w:p>
    <w:p>
      <w:pPr>
        <w:pStyle w:val="BodyText"/>
        <w:spacing w:line="480" w:lineRule="auto" w:before="1"/>
        <w:ind w:left="711" w:right="470"/>
        <w:jc w:val="both"/>
      </w:pPr>
      <w:r>
        <w:rPr/>
        <w:t>The residual approach wich the study</w:t>
      </w:r>
      <w:r>
        <w:rPr>
          <w:spacing w:val="-3"/>
        </w:rPr>
        <w:t> </w:t>
      </w:r>
      <w:r>
        <w:rPr/>
        <w:t>employs was developed by</w:t>
      </w:r>
      <w:r>
        <w:rPr>
          <w:spacing w:val="-3"/>
        </w:rPr>
        <w:t> </w:t>
      </w:r>
      <w:r>
        <w:rPr/>
        <w:t>the World bank</w:t>
      </w:r>
      <w:r>
        <w:rPr>
          <w:spacing w:val="40"/>
        </w:rPr>
        <w:t> </w:t>
      </w:r>
      <w:r>
        <w:rPr/>
        <w:t>and Erbe (1985) and later modified by Morgan Guaranty Trust (1986). The Morgan Trust version arose out of the feelings that the balance of payments account was not sufficient to estimate resident capital outflows. The World Bank and Erbe (1985) version regard capital flights as the difference between sources and uses of capital inflows. Capital inflows are</w:t>
      </w:r>
      <w:r>
        <w:rPr>
          <w:spacing w:val="-2"/>
        </w:rPr>
        <w:t> </w:t>
      </w:r>
      <w:r>
        <w:rPr/>
        <w:t>increases in external debt/foreign aid and foreign direct investment which are</w:t>
      </w:r>
      <w:r>
        <w:rPr>
          <w:spacing w:val="-2"/>
        </w:rPr>
        <w:t> </w:t>
      </w:r>
      <w:r>
        <w:rPr/>
        <w:t>being</w:t>
      </w:r>
      <w:r>
        <w:rPr>
          <w:spacing w:val="-2"/>
        </w:rPr>
        <w:t> </w:t>
      </w:r>
      <w:r>
        <w:rPr/>
        <w:t>used in financing</w:t>
      </w:r>
      <w:r>
        <w:rPr>
          <w:spacing w:val="-3"/>
        </w:rPr>
        <w:t> </w:t>
      </w:r>
      <w:r>
        <w:rPr/>
        <w:t>current account deficits or</w:t>
      </w:r>
      <w:r>
        <w:rPr>
          <w:spacing w:val="-1"/>
        </w:rPr>
        <w:t> </w:t>
      </w:r>
      <w:r>
        <w:rPr/>
        <w:t>increase</w:t>
      </w:r>
      <w:r>
        <w:rPr>
          <w:spacing w:val="-1"/>
        </w:rPr>
        <w:t> </w:t>
      </w:r>
      <w:r>
        <w:rPr/>
        <w:t>in official reserve. From</w:t>
      </w:r>
      <w:r>
        <w:rPr>
          <w:spacing w:val="-1"/>
        </w:rPr>
        <w:t> </w:t>
      </w:r>
      <w:r>
        <w:rPr/>
        <w:t>the</w:t>
      </w:r>
      <w:r>
        <w:rPr>
          <w:spacing w:val="-1"/>
        </w:rPr>
        <w:t> </w:t>
      </w:r>
      <w:r>
        <w:rPr/>
        <w:t>variables,</w:t>
      </w:r>
      <w:r>
        <w:rPr>
          <w:spacing w:val="-1"/>
        </w:rPr>
        <w:t> </w:t>
      </w:r>
      <w:r>
        <w:rPr/>
        <w:t>deposit rate, credit to private sector and change in foreign asset of domestic banking system represent institutional factors while government</w:t>
      </w:r>
      <w:r>
        <w:rPr>
          <w:spacing w:val="40"/>
        </w:rPr>
        <w:t> </w:t>
      </w:r>
      <w:r>
        <w:rPr/>
        <w:t>expenditures</w:t>
      </w:r>
      <w:r>
        <w:rPr>
          <w:spacing w:val="40"/>
        </w:rPr>
        <w:t> </w:t>
      </w:r>
      <w:r>
        <w:rPr/>
        <w:t>and debt volatility due to political crises and instability represent political variables. The remaning variables are the macroeconomic variables.</w:t>
      </w:r>
    </w:p>
    <w:p>
      <w:pPr>
        <w:pStyle w:val="BodyText"/>
      </w:pPr>
    </w:p>
    <w:p>
      <w:pPr>
        <w:pStyle w:val="BodyText"/>
        <w:spacing w:before="1"/>
      </w:pPr>
    </w:p>
    <w:p>
      <w:pPr>
        <w:pStyle w:val="Heading6"/>
        <w:numPr>
          <w:ilvl w:val="1"/>
          <w:numId w:val="14"/>
        </w:numPr>
        <w:tabs>
          <w:tab w:pos="1311" w:val="left" w:leader="none"/>
        </w:tabs>
        <w:spacing w:line="240" w:lineRule="auto" w:before="0" w:after="0"/>
        <w:ind w:left="1311" w:right="0" w:hanging="600"/>
        <w:jc w:val="both"/>
      </w:pPr>
      <w:bookmarkStart w:name="_TOC_250018" w:id="9"/>
      <w:r>
        <w:rPr/>
        <w:t>Research</w:t>
      </w:r>
      <w:r>
        <w:rPr>
          <w:spacing w:val="-3"/>
        </w:rPr>
        <w:t> </w:t>
      </w:r>
      <w:bookmarkEnd w:id="9"/>
      <w:r>
        <w:rPr>
          <w:spacing w:val="-2"/>
        </w:rPr>
        <w:t>Instrument</w:t>
      </w:r>
    </w:p>
    <w:p>
      <w:pPr>
        <w:pStyle w:val="BodyText"/>
        <w:rPr>
          <w:b/>
        </w:rPr>
      </w:pPr>
    </w:p>
    <w:p>
      <w:pPr>
        <w:pStyle w:val="BodyText"/>
        <w:spacing w:line="480" w:lineRule="auto"/>
        <w:ind w:left="711" w:right="470"/>
        <w:jc w:val="both"/>
      </w:pPr>
      <w:r>
        <w:rPr/>
        <w:t>Since</w:t>
      </w:r>
      <w:r>
        <w:rPr>
          <w:spacing w:val="-1"/>
        </w:rPr>
        <w:t> </w:t>
      </w:r>
      <w:r>
        <w:rPr/>
        <w:t>the study</w:t>
      </w:r>
      <w:r>
        <w:rPr>
          <w:spacing w:val="-2"/>
        </w:rPr>
        <w:t> </w:t>
      </w:r>
      <w:r>
        <w:rPr/>
        <w:t>is quantitative and empirical in nature, it adopts the use of an econometric package called E- View</w:t>
      </w:r>
      <w:r>
        <w:rPr>
          <w:spacing w:val="-1"/>
        </w:rPr>
        <w:t> </w:t>
      </w:r>
      <w:r>
        <w:rPr/>
        <w:t>to analyse</w:t>
      </w:r>
      <w:r>
        <w:rPr>
          <w:spacing w:val="-1"/>
        </w:rPr>
        <w:t> </w:t>
      </w:r>
      <w:r>
        <w:rPr/>
        <w:t>the</w:t>
      </w:r>
      <w:r>
        <w:rPr>
          <w:spacing w:val="-1"/>
        </w:rPr>
        <w:t> </w:t>
      </w:r>
      <w:r>
        <w:rPr/>
        <w:t>short and long run</w:t>
      </w:r>
      <w:r>
        <w:rPr>
          <w:spacing w:val="-1"/>
        </w:rPr>
        <w:t> </w:t>
      </w:r>
      <w:r>
        <w:rPr/>
        <w:t>relation between the</w:t>
      </w:r>
      <w:r>
        <w:rPr>
          <w:spacing w:val="-1"/>
        </w:rPr>
        <w:t> </w:t>
      </w:r>
      <w:r>
        <w:rPr/>
        <w:t>dependent and independent variables adopted</w:t>
      </w:r>
      <w:r>
        <w:rPr>
          <w:spacing w:val="-1"/>
        </w:rPr>
        <w:t> </w:t>
      </w:r>
      <w:r>
        <w:rPr/>
        <w:t>in the study.</w:t>
      </w:r>
    </w:p>
    <w:p>
      <w:pPr>
        <w:pStyle w:val="Heading6"/>
        <w:numPr>
          <w:ilvl w:val="1"/>
          <w:numId w:val="14"/>
        </w:numPr>
        <w:tabs>
          <w:tab w:pos="1431" w:val="left" w:leader="none"/>
        </w:tabs>
        <w:spacing w:line="240" w:lineRule="auto" w:before="1" w:after="0"/>
        <w:ind w:left="1431" w:right="0" w:hanging="720"/>
        <w:jc w:val="both"/>
      </w:pPr>
      <w:bookmarkStart w:name="_TOC_250017" w:id="10"/>
      <w:r>
        <w:rPr/>
        <w:t>Conceptual</w:t>
      </w:r>
      <w:bookmarkEnd w:id="10"/>
      <w:r>
        <w:rPr>
          <w:spacing w:val="-2"/>
        </w:rPr>
        <w:t> Framework</w:t>
      </w:r>
    </w:p>
    <w:p>
      <w:pPr>
        <w:pStyle w:val="BodyText"/>
        <w:spacing w:line="480" w:lineRule="auto" w:before="276"/>
        <w:ind w:left="711" w:right="477"/>
        <w:jc w:val="both"/>
      </w:pPr>
      <w:r>
        <w:rPr/>
        <w:t>To be able to formulate an effective and reliable conceptual framework for this study, there is need to provide a theoretical basis and link between the dependent and independent variables. From the literature reviewed, the various determinants of capital flight could be grouped into political and economic factors. Although these factors vary from country to country and from region to region, the phenomenon of capital flight is more associated with the developing economies than developed economies, Pastor (1990).</w:t>
      </w:r>
      <w:r>
        <w:rPr>
          <w:spacing w:val="40"/>
        </w:rPr>
        <w:t> </w:t>
      </w:r>
      <w:r>
        <w:rPr/>
        <w:t>To be able to formulate a conceptual framework for the study, the researcher</w:t>
      </w:r>
      <w:r>
        <w:rPr>
          <w:spacing w:val="40"/>
        </w:rPr>
        <w:t> </w:t>
      </w:r>
      <w:r>
        <w:rPr/>
        <w:t>adopts the following variables: Degree of Openness (DOP), Inflation rate (INF), Gross capital formation (GCF), Change in External debt (ðEXDEBT),</w:t>
      </w:r>
      <w:r>
        <w:rPr>
          <w:spacing w:val="19"/>
        </w:rPr>
        <w:t> </w:t>
      </w:r>
      <w:r>
        <w:rPr/>
        <w:t>Deposit</w:t>
      </w:r>
      <w:r>
        <w:rPr>
          <w:spacing w:val="23"/>
        </w:rPr>
        <w:t> </w:t>
      </w:r>
      <w:r>
        <w:rPr/>
        <w:t>rate</w:t>
      </w:r>
      <w:r>
        <w:rPr>
          <w:spacing w:val="22"/>
        </w:rPr>
        <w:t> </w:t>
      </w:r>
      <w:r>
        <w:rPr/>
        <w:t>(DR),</w:t>
      </w:r>
      <w:r>
        <w:rPr>
          <w:spacing w:val="22"/>
        </w:rPr>
        <w:t> </w:t>
      </w:r>
      <w:r>
        <w:rPr/>
        <w:t>Credit</w:t>
      </w:r>
      <w:r>
        <w:rPr>
          <w:spacing w:val="23"/>
        </w:rPr>
        <w:t> </w:t>
      </w:r>
      <w:r>
        <w:rPr/>
        <w:t>to</w:t>
      </w:r>
      <w:r>
        <w:rPr>
          <w:spacing w:val="23"/>
        </w:rPr>
        <w:t> </w:t>
      </w:r>
      <w:r>
        <w:rPr/>
        <w:t>Private</w:t>
      </w:r>
      <w:r>
        <w:rPr>
          <w:spacing w:val="22"/>
        </w:rPr>
        <w:t> </w:t>
      </w:r>
      <w:r>
        <w:rPr/>
        <w:t>sector</w:t>
      </w:r>
      <w:r>
        <w:rPr>
          <w:spacing w:val="22"/>
        </w:rPr>
        <w:t> </w:t>
      </w:r>
      <w:r>
        <w:rPr/>
        <w:t>(PRVCR),</w:t>
      </w:r>
      <w:r>
        <w:rPr>
          <w:spacing w:val="22"/>
        </w:rPr>
        <w:t> </w:t>
      </w:r>
      <w:r>
        <w:rPr/>
        <w:t>United</w:t>
      </w:r>
      <w:r>
        <w:rPr>
          <w:spacing w:val="22"/>
        </w:rPr>
        <w:t> </w:t>
      </w:r>
      <w:r>
        <w:rPr/>
        <w:t>State</w:t>
      </w:r>
      <w:r>
        <w:rPr>
          <w:spacing w:val="21"/>
        </w:rPr>
        <w:t> </w:t>
      </w:r>
      <w:r>
        <w:rPr/>
        <w:t>interest</w:t>
      </w:r>
      <w:r>
        <w:rPr>
          <w:spacing w:val="23"/>
        </w:rPr>
        <w:t> </w:t>
      </w:r>
      <w:r>
        <w:rPr/>
        <w:t>rate</w:t>
      </w:r>
      <w:r>
        <w:rPr>
          <w:spacing w:val="22"/>
        </w:rPr>
        <w:t> </w:t>
      </w:r>
      <w:r>
        <w:rPr>
          <w:spacing w:val="-2"/>
        </w:rPr>
        <w:t>differentials</w:t>
      </w:r>
    </w:p>
    <w:p>
      <w:pPr>
        <w:pStyle w:val="BodyText"/>
        <w:spacing w:before="1"/>
        <w:ind w:left="711"/>
        <w:jc w:val="both"/>
      </w:pPr>
      <w:r>
        <w:rPr/>
        <w:t>(USIRD)</w:t>
      </w:r>
      <w:r>
        <w:rPr>
          <w:spacing w:val="34"/>
        </w:rPr>
        <w:t> </w:t>
      </w:r>
      <w:r>
        <w:rPr/>
        <w:t>and</w:t>
      </w:r>
      <w:r>
        <w:rPr>
          <w:spacing w:val="37"/>
        </w:rPr>
        <w:t> </w:t>
      </w:r>
      <w:r>
        <w:rPr/>
        <w:t>Government</w:t>
      </w:r>
      <w:r>
        <w:rPr>
          <w:spacing w:val="37"/>
        </w:rPr>
        <w:t> </w:t>
      </w:r>
      <w:r>
        <w:rPr/>
        <w:t>consumption</w:t>
      </w:r>
      <w:r>
        <w:rPr>
          <w:spacing w:val="36"/>
        </w:rPr>
        <w:t> </w:t>
      </w:r>
      <w:r>
        <w:rPr/>
        <w:t>expenditure</w:t>
      </w:r>
      <w:r>
        <w:rPr>
          <w:spacing w:val="36"/>
        </w:rPr>
        <w:t> </w:t>
      </w:r>
      <w:r>
        <w:rPr/>
        <w:t>(GOCE)</w:t>
      </w:r>
      <w:r>
        <w:rPr>
          <w:spacing w:val="36"/>
        </w:rPr>
        <w:t>  </w:t>
      </w:r>
      <w:r>
        <w:rPr/>
        <w:t>as</w:t>
      </w:r>
      <w:r>
        <w:rPr>
          <w:spacing w:val="38"/>
        </w:rPr>
        <w:t> </w:t>
      </w:r>
      <w:r>
        <w:rPr/>
        <w:t>proxies</w:t>
      </w:r>
      <w:r>
        <w:rPr>
          <w:spacing w:val="36"/>
        </w:rPr>
        <w:t> </w:t>
      </w:r>
      <w:r>
        <w:rPr/>
        <w:t>for</w:t>
      </w:r>
      <w:r>
        <w:rPr>
          <w:spacing w:val="35"/>
        </w:rPr>
        <w:t> </w:t>
      </w:r>
      <w:r>
        <w:rPr/>
        <w:t>capital</w:t>
      </w:r>
      <w:r>
        <w:rPr>
          <w:spacing w:val="37"/>
        </w:rPr>
        <w:t> </w:t>
      </w:r>
      <w:r>
        <w:rPr/>
        <w:t>flight</w:t>
      </w:r>
      <w:r>
        <w:rPr>
          <w:spacing w:val="37"/>
        </w:rPr>
        <w:t> </w:t>
      </w:r>
      <w:r>
        <w:rPr>
          <w:spacing w:val="-2"/>
        </w:rPr>
        <w:t>determinants.</w:t>
      </w:r>
    </w:p>
    <w:p>
      <w:pPr>
        <w:spacing w:after="0"/>
        <w:jc w:val="both"/>
        <w:sectPr>
          <w:pgSz w:w="11910" w:h="16840"/>
          <w:pgMar w:header="0" w:footer="979" w:top="1360" w:bottom="1240" w:left="280" w:right="0"/>
        </w:sectPr>
      </w:pPr>
    </w:p>
    <w:p>
      <w:pPr>
        <w:pStyle w:val="BodyText"/>
        <w:spacing w:line="480" w:lineRule="auto" w:before="60"/>
        <w:ind w:left="711" w:right="468"/>
        <w:jc w:val="both"/>
      </w:pPr>
      <w:r>
        <w:rPr/>
        <w:t>Two other models that examine the effect of capital flight on economic growth adopt the Gross Domestic Product (GDP) as the</w:t>
      </w:r>
      <w:r>
        <w:rPr>
          <w:spacing w:val="40"/>
        </w:rPr>
        <w:t> </w:t>
      </w:r>
      <w:r>
        <w:rPr/>
        <w:t>economic growth index while</w:t>
      </w:r>
      <w:r>
        <w:rPr>
          <w:spacing w:val="40"/>
        </w:rPr>
        <w:t> </w:t>
      </w:r>
      <w:r>
        <w:rPr/>
        <w:t>Change in External debt (ðEXDEBT), Direct Foreign Investment (DFI), Current Account Balance (CAB), change in External Reserve (δRES) and Change in Net Foreign</w:t>
      </w:r>
      <w:r>
        <w:rPr>
          <w:spacing w:val="40"/>
        </w:rPr>
        <w:t> </w:t>
      </w:r>
      <w:r>
        <w:rPr/>
        <w:t>Asset of Domestic Financial Institutions (δNEXTAS). A diagrammatic relationship between the variables and economic growth can be express diagrammatically as follows: A diagrammatic illustration of the conceptual framework of the dependents and independent variables is shown below:</w:t>
      </w:r>
    </w:p>
    <w:p>
      <w:pPr>
        <w:spacing w:before="2"/>
        <w:ind w:left="711" w:right="0" w:firstLine="0"/>
        <w:jc w:val="both"/>
        <w:rPr>
          <w:b/>
          <w:sz w:val="26"/>
        </w:rPr>
      </w:pPr>
      <w:r>
        <w:rPr/>
        <mc:AlternateContent>
          <mc:Choice Requires="wps">
            <w:drawing>
              <wp:anchor distT="0" distB="0" distL="0" distR="0" allowOverlap="1" layoutInCell="1" locked="0" behindDoc="1" simplePos="0" relativeHeight="464152576">
                <wp:simplePos x="0" y="0"/>
                <wp:positionH relativeFrom="page">
                  <wp:posOffset>5986017</wp:posOffset>
                </wp:positionH>
                <wp:positionV relativeFrom="paragraph">
                  <wp:posOffset>1289609</wp:posOffset>
                </wp:positionV>
                <wp:extent cx="1146175" cy="3033395"/>
                <wp:effectExtent l="0" t="0" r="0" b="0"/>
                <wp:wrapNone/>
                <wp:docPr id="4" name="Group 4"/>
                <wp:cNvGraphicFramePr>
                  <a:graphicFrameLocks/>
                </wp:cNvGraphicFramePr>
                <a:graphic>
                  <a:graphicData uri="http://schemas.microsoft.com/office/word/2010/wordprocessingGroup">
                    <wpg:wgp>
                      <wpg:cNvPr id="4" name="Group 4"/>
                      <wpg:cNvGrpSpPr/>
                      <wpg:grpSpPr>
                        <a:xfrm>
                          <a:off x="0" y="0"/>
                          <a:ext cx="1146175" cy="3033395"/>
                          <a:chExt cx="1146175" cy="3033395"/>
                        </a:xfrm>
                      </wpg:grpSpPr>
                      <wps:wsp>
                        <wps:cNvPr id="5" name="Graphic 5"/>
                        <wps:cNvSpPr/>
                        <wps:spPr>
                          <a:xfrm>
                            <a:off x="0" y="0"/>
                            <a:ext cx="1146175" cy="3033395"/>
                          </a:xfrm>
                          <a:custGeom>
                            <a:avLst/>
                            <a:gdLst/>
                            <a:ahLst/>
                            <a:cxnLst/>
                            <a:rect l="l" t="t" r="r" b="b"/>
                            <a:pathLst>
                              <a:path w="1146175" h="3033395">
                                <a:moveTo>
                                  <a:pt x="1146035" y="3026930"/>
                                </a:moveTo>
                                <a:lnTo>
                                  <a:pt x="1139952" y="3026930"/>
                                </a:lnTo>
                                <a:lnTo>
                                  <a:pt x="6096" y="3026930"/>
                                </a:lnTo>
                                <a:lnTo>
                                  <a:pt x="0" y="3026930"/>
                                </a:lnTo>
                                <a:lnTo>
                                  <a:pt x="0" y="3033014"/>
                                </a:lnTo>
                                <a:lnTo>
                                  <a:pt x="6096" y="3033014"/>
                                </a:lnTo>
                                <a:lnTo>
                                  <a:pt x="1139952" y="3033014"/>
                                </a:lnTo>
                                <a:lnTo>
                                  <a:pt x="1146035" y="3033014"/>
                                </a:lnTo>
                                <a:lnTo>
                                  <a:pt x="1146035" y="3026930"/>
                                </a:lnTo>
                                <a:close/>
                              </a:path>
                              <a:path w="1146175" h="3033395">
                                <a:moveTo>
                                  <a:pt x="1146035" y="0"/>
                                </a:moveTo>
                                <a:lnTo>
                                  <a:pt x="1139952" y="0"/>
                                </a:lnTo>
                                <a:lnTo>
                                  <a:pt x="6096" y="0"/>
                                </a:lnTo>
                                <a:lnTo>
                                  <a:pt x="0" y="0"/>
                                </a:lnTo>
                                <a:lnTo>
                                  <a:pt x="0" y="6096"/>
                                </a:lnTo>
                                <a:lnTo>
                                  <a:pt x="0" y="3026918"/>
                                </a:lnTo>
                                <a:lnTo>
                                  <a:pt x="6096" y="3026918"/>
                                </a:lnTo>
                                <a:lnTo>
                                  <a:pt x="6096" y="6096"/>
                                </a:lnTo>
                                <a:lnTo>
                                  <a:pt x="1139952" y="6096"/>
                                </a:lnTo>
                                <a:lnTo>
                                  <a:pt x="1139952" y="3026918"/>
                                </a:lnTo>
                                <a:lnTo>
                                  <a:pt x="1146035" y="3026918"/>
                                </a:lnTo>
                                <a:lnTo>
                                  <a:pt x="1146035" y="6096"/>
                                </a:lnTo>
                                <a:lnTo>
                                  <a:pt x="1146035" y="0"/>
                                </a:lnTo>
                                <a:close/>
                              </a:path>
                            </a:pathLst>
                          </a:custGeom>
                          <a:solidFill>
                            <a:srgbClr val="000000"/>
                          </a:solidFill>
                        </wps:spPr>
                        <wps:bodyPr wrap="square" lIns="0" tIns="0" rIns="0" bIns="0" rtlCol="0">
                          <a:prstTxWarp prst="textNoShape">
                            <a:avLst/>
                          </a:prstTxWarp>
                          <a:noAutofit/>
                        </wps:bodyPr>
                      </wps:wsp>
                      <wps:wsp>
                        <wps:cNvPr id="6" name="Textbox 6"/>
                        <wps:cNvSpPr txBox="1"/>
                        <wps:spPr>
                          <a:xfrm>
                            <a:off x="71627" y="161178"/>
                            <a:ext cx="561340" cy="182880"/>
                          </a:xfrm>
                          <a:prstGeom prst="rect">
                            <a:avLst/>
                          </a:prstGeom>
                        </wps:spPr>
                        <wps:txbx>
                          <w:txbxContent>
                            <w:p>
                              <w:pPr>
                                <w:spacing w:line="287" w:lineRule="exact" w:before="0"/>
                                <w:ind w:left="0" w:right="0" w:firstLine="0"/>
                                <w:jc w:val="left"/>
                                <w:rPr>
                                  <w:sz w:val="26"/>
                                </w:rPr>
                              </w:pPr>
                              <w:r>
                                <w:rPr>
                                  <w:spacing w:val="-2"/>
                                  <w:sz w:val="26"/>
                                </w:rPr>
                                <w:t>Increase</w:t>
                              </w:r>
                            </w:p>
                          </w:txbxContent>
                        </wps:txbx>
                        <wps:bodyPr wrap="square" lIns="0" tIns="0" rIns="0" bIns="0" rtlCol="0">
                          <a:noAutofit/>
                        </wps:bodyPr>
                      </wps:wsp>
                      <wps:wsp>
                        <wps:cNvPr id="7" name="Textbox 7"/>
                        <wps:cNvSpPr txBox="1"/>
                        <wps:spPr>
                          <a:xfrm>
                            <a:off x="934018" y="161178"/>
                            <a:ext cx="151765" cy="182880"/>
                          </a:xfrm>
                          <a:prstGeom prst="rect">
                            <a:avLst/>
                          </a:prstGeom>
                        </wps:spPr>
                        <wps:txbx>
                          <w:txbxContent>
                            <w:p>
                              <w:pPr>
                                <w:spacing w:line="287" w:lineRule="exact" w:before="0"/>
                                <w:ind w:left="0" w:right="0" w:firstLine="0"/>
                                <w:jc w:val="left"/>
                                <w:rPr>
                                  <w:sz w:val="26"/>
                                </w:rPr>
                              </w:pPr>
                              <w:r>
                                <w:rPr>
                                  <w:spacing w:val="-5"/>
                                  <w:sz w:val="26"/>
                                </w:rPr>
                                <w:t>or</w:t>
                              </w:r>
                            </w:p>
                          </w:txbxContent>
                        </wps:txbx>
                        <wps:bodyPr wrap="square" lIns="0" tIns="0" rIns="0" bIns="0" rtlCol="0">
                          <a:noAutofit/>
                        </wps:bodyPr>
                      </wps:wsp>
                      <wps:wsp>
                        <wps:cNvPr id="8" name="Textbox 8"/>
                        <wps:cNvSpPr txBox="1"/>
                        <wps:spPr>
                          <a:xfrm>
                            <a:off x="71627" y="350154"/>
                            <a:ext cx="1013460" cy="2081530"/>
                          </a:xfrm>
                          <a:prstGeom prst="rect">
                            <a:avLst/>
                          </a:prstGeom>
                        </wps:spPr>
                        <wps:txbx>
                          <w:txbxContent>
                            <w:p>
                              <w:pPr>
                                <w:tabs>
                                  <w:tab w:pos="1314" w:val="left" w:leader="none"/>
                                  <w:tab w:pos="1357" w:val="left" w:leader="none"/>
                                </w:tabs>
                                <w:spacing w:line="240" w:lineRule="auto" w:before="0"/>
                                <w:ind w:left="0" w:right="18" w:firstLine="0"/>
                                <w:jc w:val="left"/>
                                <w:rPr>
                                  <w:sz w:val="26"/>
                                </w:rPr>
                              </w:pPr>
                              <w:r>
                                <w:rPr>
                                  <w:sz w:val="26"/>
                                </w:rPr>
                                <w:t>decrease</w:t>
                              </w:r>
                              <w:r>
                                <w:rPr>
                                  <w:spacing w:val="-4"/>
                                  <w:sz w:val="26"/>
                                </w:rPr>
                                <w:t> </w:t>
                              </w:r>
                              <w:r>
                                <w:rPr>
                                  <w:sz w:val="26"/>
                                </w:rPr>
                                <w:t>in</w:t>
                              </w:r>
                              <w:r>
                                <w:rPr>
                                  <w:spacing w:val="-4"/>
                                  <w:sz w:val="26"/>
                                </w:rPr>
                                <w:t> </w:t>
                              </w:r>
                              <w:r>
                                <w:rPr>
                                  <w:sz w:val="26"/>
                                </w:rPr>
                                <w:t>the </w:t>
                              </w:r>
                              <w:r>
                                <w:rPr>
                                  <w:spacing w:val="-2"/>
                                  <w:sz w:val="26"/>
                                </w:rPr>
                                <w:t>independent variables </w:t>
                              </w:r>
                              <w:r>
                                <w:rPr>
                                  <w:sz w:val="26"/>
                                </w:rPr>
                                <w:t>determines</w:t>
                              </w:r>
                              <w:r>
                                <w:rPr>
                                  <w:spacing w:val="14"/>
                                  <w:sz w:val="26"/>
                                </w:rPr>
                                <w:t> </w:t>
                              </w:r>
                              <w:r>
                                <w:rPr>
                                  <w:sz w:val="26"/>
                                </w:rPr>
                                <w:t>the </w:t>
                              </w:r>
                              <w:r>
                                <w:rPr>
                                  <w:spacing w:val="-2"/>
                                  <w:sz w:val="26"/>
                                </w:rPr>
                                <w:t>behaviours</w:t>
                              </w:r>
                              <w:r>
                                <w:rPr>
                                  <w:sz w:val="26"/>
                                </w:rPr>
                                <w:tab/>
                                <w:tab/>
                              </w:r>
                              <w:r>
                                <w:rPr>
                                  <w:spacing w:val="-65"/>
                                  <w:sz w:val="26"/>
                                </w:rPr>
                                <w:t> </w:t>
                              </w:r>
                              <w:r>
                                <w:rPr>
                                  <w:spacing w:val="-6"/>
                                  <w:sz w:val="26"/>
                                </w:rPr>
                                <w:t>of </w:t>
                              </w:r>
                              <w:r>
                                <w:rPr>
                                  <w:sz w:val="26"/>
                                </w:rPr>
                                <w:t>the</w:t>
                              </w:r>
                              <w:r>
                                <w:rPr>
                                  <w:spacing w:val="-7"/>
                                  <w:sz w:val="26"/>
                                </w:rPr>
                                <w:t> </w:t>
                              </w:r>
                              <w:r>
                                <w:rPr>
                                  <w:sz w:val="26"/>
                                </w:rPr>
                                <w:t>dependents variables.</w:t>
                              </w:r>
                              <w:r>
                                <w:rPr>
                                  <w:spacing w:val="7"/>
                                  <w:sz w:val="26"/>
                                </w:rPr>
                                <w:t> </w:t>
                              </w:r>
                              <w:r>
                                <w:rPr>
                                  <w:sz w:val="26"/>
                                </w:rPr>
                                <w:t>This in</w:t>
                              </w:r>
                              <w:r>
                                <w:rPr>
                                  <w:spacing w:val="-11"/>
                                  <w:sz w:val="26"/>
                                </w:rPr>
                                <w:t> </w:t>
                              </w:r>
                              <w:r>
                                <w:rPr>
                                  <w:sz w:val="26"/>
                                </w:rPr>
                                <w:t>turn</w:t>
                              </w:r>
                              <w:r>
                                <w:rPr>
                                  <w:spacing w:val="-11"/>
                                  <w:sz w:val="26"/>
                                </w:rPr>
                                <w:t> </w:t>
                              </w:r>
                              <w:r>
                                <w:rPr>
                                  <w:sz w:val="26"/>
                                </w:rPr>
                                <w:t>impacts </w:t>
                              </w:r>
                              <w:r>
                                <w:rPr>
                                  <w:spacing w:val="-2"/>
                                  <w:sz w:val="26"/>
                                </w:rPr>
                                <w:t>positively</w:t>
                              </w:r>
                              <w:r>
                                <w:rPr>
                                  <w:sz w:val="26"/>
                                </w:rPr>
                                <w:tab/>
                                <w:tab/>
                              </w:r>
                              <w:r>
                                <w:rPr>
                                  <w:spacing w:val="-6"/>
                                  <w:sz w:val="26"/>
                                </w:rPr>
                                <w:t>or </w:t>
                              </w:r>
                              <w:r>
                                <w:rPr>
                                  <w:spacing w:val="-2"/>
                                  <w:sz w:val="26"/>
                                </w:rPr>
                                <w:t>negatively</w:t>
                              </w:r>
                              <w:r>
                                <w:rPr>
                                  <w:sz w:val="26"/>
                                </w:rPr>
                                <w:tab/>
                              </w:r>
                              <w:r>
                                <w:rPr>
                                  <w:spacing w:val="-6"/>
                                  <w:sz w:val="26"/>
                                </w:rPr>
                                <w:t>on </w:t>
                              </w:r>
                              <w:r>
                                <w:rPr>
                                  <w:sz w:val="26"/>
                                </w:rPr>
                                <w:t>the economy</w:t>
                              </w:r>
                            </w:p>
                          </w:txbxContent>
                        </wps:txbx>
                        <wps:bodyPr wrap="square" lIns="0" tIns="0" rIns="0" bIns="0" rtlCol="0">
                          <a:noAutofit/>
                        </wps:bodyPr>
                      </wps:wsp>
                    </wpg:wgp>
                  </a:graphicData>
                </a:graphic>
              </wp:anchor>
            </w:drawing>
          </mc:Choice>
          <mc:Fallback>
            <w:pict>
              <v:group style="position:absolute;margin-left:471.339996pt;margin-top:101.544052pt;width:90.25pt;height:238.85pt;mso-position-horizontal-relative:page;mso-position-vertical-relative:paragraph;z-index:-39163904" id="docshapegroup4" coordorigin="9427,2031" coordsize="1805,4777">
                <v:shape style="position:absolute;left:9426;top:2030;width:1805;height:4777" id="docshape5" coordorigin="9427,2031" coordsize="1805,4777" path="m11232,6798l11222,6798,9436,6798,9427,6798,9427,6807,9436,6807,11222,6807,11232,6807,11232,6798xm11232,2031l11222,2031,9436,2031,9427,2031,9427,2040,9427,6798,9436,6798,9436,2040,11222,2040,11222,6798,11232,6798,11232,2040,11232,2031xe" filled="true" fillcolor="#000000" stroked="false">
                  <v:path arrowok="t"/>
                  <v:fill type="solid"/>
                </v:shape>
                <v:shape style="position:absolute;left:9539;top:2284;width:884;height:288" type="#_x0000_t202" id="docshape6" filled="false" stroked="false">
                  <v:textbox inset="0,0,0,0">
                    <w:txbxContent>
                      <w:p>
                        <w:pPr>
                          <w:spacing w:line="287" w:lineRule="exact" w:before="0"/>
                          <w:ind w:left="0" w:right="0" w:firstLine="0"/>
                          <w:jc w:val="left"/>
                          <w:rPr>
                            <w:sz w:val="26"/>
                          </w:rPr>
                        </w:pPr>
                        <w:r>
                          <w:rPr>
                            <w:spacing w:val="-2"/>
                            <w:sz w:val="26"/>
                          </w:rPr>
                          <w:t>Increase</w:t>
                        </w:r>
                      </w:p>
                    </w:txbxContent>
                  </v:textbox>
                  <w10:wrap type="none"/>
                </v:shape>
                <v:shape style="position:absolute;left:10897;top:2284;width:239;height:288" type="#_x0000_t202" id="docshape7" filled="false" stroked="false">
                  <v:textbox inset="0,0,0,0">
                    <w:txbxContent>
                      <w:p>
                        <w:pPr>
                          <w:spacing w:line="287" w:lineRule="exact" w:before="0"/>
                          <w:ind w:left="0" w:right="0" w:firstLine="0"/>
                          <w:jc w:val="left"/>
                          <w:rPr>
                            <w:sz w:val="26"/>
                          </w:rPr>
                        </w:pPr>
                        <w:r>
                          <w:rPr>
                            <w:spacing w:val="-5"/>
                            <w:sz w:val="26"/>
                          </w:rPr>
                          <w:t>or</w:t>
                        </w:r>
                      </w:p>
                    </w:txbxContent>
                  </v:textbox>
                  <w10:wrap type="none"/>
                </v:shape>
                <v:shape style="position:absolute;left:9539;top:2582;width:1596;height:3278" type="#_x0000_t202" id="docshape8" filled="false" stroked="false">
                  <v:textbox inset="0,0,0,0">
                    <w:txbxContent>
                      <w:p>
                        <w:pPr>
                          <w:tabs>
                            <w:tab w:pos="1314" w:val="left" w:leader="none"/>
                            <w:tab w:pos="1357" w:val="left" w:leader="none"/>
                          </w:tabs>
                          <w:spacing w:line="240" w:lineRule="auto" w:before="0"/>
                          <w:ind w:left="0" w:right="18" w:firstLine="0"/>
                          <w:jc w:val="left"/>
                          <w:rPr>
                            <w:sz w:val="26"/>
                          </w:rPr>
                        </w:pPr>
                        <w:r>
                          <w:rPr>
                            <w:sz w:val="26"/>
                          </w:rPr>
                          <w:t>decrease</w:t>
                        </w:r>
                        <w:r>
                          <w:rPr>
                            <w:spacing w:val="-4"/>
                            <w:sz w:val="26"/>
                          </w:rPr>
                          <w:t> </w:t>
                        </w:r>
                        <w:r>
                          <w:rPr>
                            <w:sz w:val="26"/>
                          </w:rPr>
                          <w:t>in</w:t>
                        </w:r>
                        <w:r>
                          <w:rPr>
                            <w:spacing w:val="-4"/>
                            <w:sz w:val="26"/>
                          </w:rPr>
                          <w:t> </w:t>
                        </w:r>
                        <w:r>
                          <w:rPr>
                            <w:sz w:val="26"/>
                          </w:rPr>
                          <w:t>the </w:t>
                        </w:r>
                        <w:r>
                          <w:rPr>
                            <w:spacing w:val="-2"/>
                            <w:sz w:val="26"/>
                          </w:rPr>
                          <w:t>independent variables </w:t>
                        </w:r>
                        <w:r>
                          <w:rPr>
                            <w:sz w:val="26"/>
                          </w:rPr>
                          <w:t>determines</w:t>
                        </w:r>
                        <w:r>
                          <w:rPr>
                            <w:spacing w:val="14"/>
                            <w:sz w:val="26"/>
                          </w:rPr>
                          <w:t> </w:t>
                        </w:r>
                        <w:r>
                          <w:rPr>
                            <w:sz w:val="26"/>
                          </w:rPr>
                          <w:t>the </w:t>
                        </w:r>
                        <w:r>
                          <w:rPr>
                            <w:spacing w:val="-2"/>
                            <w:sz w:val="26"/>
                          </w:rPr>
                          <w:t>behaviours</w:t>
                        </w:r>
                        <w:r>
                          <w:rPr>
                            <w:sz w:val="26"/>
                          </w:rPr>
                          <w:tab/>
                          <w:tab/>
                        </w:r>
                        <w:r>
                          <w:rPr>
                            <w:spacing w:val="-65"/>
                            <w:sz w:val="26"/>
                          </w:rPr>
                          <w:t> </w:t>
                        </w:r>
                        <w:r>
                          <w:rPr>
                            <w:spacing w:val="-6"/>
                            <w:sz w:val="26"/>
                          </w:rPr>
                          <w:t>of </w:t>
                        </w:r>
                        <w:r>
                          <w:rPr>
                            <w:sz w:val="26"/>
                          </w:rPr>
                          <w:t>the</w:t>
                        </w:r>
                        <w:r>
                          <w:rPr>
                            <w:spacing w:val="-7"/>
                            <w:sz w:val="26"/>
                          </w:rPr>
                          <w:t> </w:t>
                        </w:r>
                        <w:r>
                          <w:rPr>
                            <w:sz w:val="26"/>
                          </w:rPr>
                          <w:t>dependents variables.</w:t>
                        </w:r>
                        <w:r>
                          <w:rPr>
                            <w:spacing w:val="7"/>
                            <w:sz w:val="26"/>
                          </w:rPr>
                          <w:t> </w:t>
                        </w:r>
                        <w:r>
                          <w:rPr>
                            <w:sz w:val="26"/>
                          </w:rPr>
                          <w:t>This in</w:t>
                        </w:r>
                        <w:r>
                          <w:rPr>
                            <w:spacing w:val="-11"/>
                            <w:sz w:val="26"/>
                          </w:rPr>
                          <w:t> </w:t>
                        </w:r>
                        <w:r>
                          <w:rPr>
                            <w:sz w:val="26"/>
                          </w:rPr>
                          <w:t>turn</w:t>
                        </w:r>
                        <w:r>
                          <w:rPr>
                            <w:spacing w:val="-11"/>
                            <w:sz w:val="26"/>
                          </w:rPr>
                          <w:t> </w:t>
                        </w:r>
                        <w:r>
                          <w:rPr>
                            <w:sz w:val="26"/>
                          </w:rPr>
                          <w:t>impacts </w:t>
                        </w:r>
                        <w:r>
                          <w:rPr>
                            <w:spacing w:val="-2"/>
                            <w:sz w:val="26"/>
                          </w:rPr>
                          <w:t>positively</w:t>
                        </w:r>
                        <w:r>
                          <w:rPr>
                            <w:sz w:val="26"/>
                          </w:rPr>
                          <w:tab/>
                          <w:tab/>
                        </w:r>
                        <w:r>
                          <w:rPr>
                            <w:spacing w:val="-6"/>
                            <w:sz w:val="26"/>
                          </w:rPr>
                          <w:t>or </w:t>
                        </w:r>
                        <w:r>
                          <w:rPr>
                            <w:spacing w:val="-2"/>
                            <w:sz w:val="26"/>
                          </w:rPr>
                          <w:t>negatively</w:t>
                        </w:r>
                        <w:r>
                          <w:rPr>
                            <w:sz w:val="26"/>
                          </w:rPr>
                          <w:tab/>
                        </w:r>
                        <w:r>
                          <w:rPr>
                            <w:spacing w:val="-6"/>
                            <w:sz w:val="26"/>
                          </w:rPr>
                          <w:t>on </w:t>
                        </w:r>
                        <w:r>
                          <w:rPr>
                            <w:sz w:val="26"/>
                          </w:rPr>
                          <w:t>the economy</w:t>
                        </w:r>
                      </w:p>
                    </w:txbxContent>
                  </v:textbox>
                  <w10:wrap type="none"/>
                </v:shape>
                <w10:wrap type="none"/>
              </v:group>
            </w:pict>
          </mc:Fallback>
        </mc:AlternateContent>
      </w:r>
      <w:r>
        <w:rPr>
          <w:b/>
          <w:sz w:val="26"/>
        </w:rPr>
        <w:t>Figure</w:t>
      </w:r>
      <w:r>
        <w:rPr>
          <w:b/>
          <w:spacing w:val="-9"/>
          <w:sz w:val="26"/>
        </w:rPr>
        <w:t> </w:t>
      </w:r>
      <w:r>
        <w:rPr>
          <w:b/>
          <w:sz w:val="26"/>
        </w:rPr>
        <w:t>3.1</w:t>
      </w:r>
      <w:r>
        <w:rPr>
          <w:b/>
          <w:spacing w:val="-5"/>
          <w:sz w:val="26"/>
        </w:rPr>
        <w:t> </w:t>
      </w:r>
      <w:r>
        <w:rPr>
          <w:b/>
          <w:sz w:val="26"/>
        </w:rPr>
        <w:t>Conceptual</w:t>
      </w:r>
      <w:r>
        <w:rPr>
          <w:b/>
          <w:spacing w:val="-7"/>
          <w:sz w:val="26"/>
        </w:rPr>
        <w:t> </w:t>
      </w:r>
      <w:r>
        <w:rPr>
          <w:b/>
          <w:sz w:val="26"/>
        </w:rPr>
        <w:t>Frameworks</w:t>
      </w:r>
      <w:r>
        <w:rPr>
          <w:b/>
          <w:spacing w:val="-7"/>
          <w:sz w:val="26"/>
        </w:rPr>
        <w:t> </w:t>
      </w:r>
      <w:r>
        <w:rPr>
          <w:b/>
          <w:sz w:val="26"/>
        </w:rPr>
        <w:t>for</w:t>
      </w:r>
      <w:r>
        <w:rPr>
          <w:b/>
          <w:spacing w:val="-8"/>
          <w:sz w:val="26"/>
        </w:rPr>
        <w:t> </w:t>
      </w:r>
      <w:r>
        <w:rPr>
          <w:b/>
          <w:sz w:val="26"/>
        </w:rPr>
        <w:t>Capital</w:t>
      </w:r>
      <w:r>
        <w:rPr>
          <w:b/>
          <w:spacing w:val="-7"/>
          <w:sz w:val="26"/>
        </w:rPr>
        <w:t> </w:t>
      </w:r>
      <w:r>
        <w:rPr>
          <w:b/>
          <w:sz w:val="26"/>
        </w:rPr>
        <w:t>Flight</w:t>
      </w:r>
      <w:r>
        <w:rPr>
          <w:b/>
          <w:spacing w:val="-8"/>
          <w:sz w:val="26"/>
        </w:rPr>
        <w:t> </w:t>
      </w:r>
      <w:r>
        <w:rPr>
          <w:b/>
          <w:sz w:val="26"/>
        </w:rPr>
        <w:t>Determinants</w:t>
      </w:r>
      <w:r>
        <w:rPr>
          <w:b/>
          <w:spacing w:val="-8"/>
          <w:sz w:val="26"/>
        </w:rPr>
        <w:t> </w:t>
      </w:r>
      <w:r>
        <w:rPr>
          <w:b/>
          <w:sz w:val="26"/>
        </w:rPr>
        <w:t>and</w:t>
      </w:r>
      <w:r>
        <w:rPr>
          <w:b/>
          <w:spacing w:val="-4"/>
          <w:sz w:val="26"/>
        </w:rPr>
        <w:t> </w:t>
      </w:r>
      <w:r>
        <w:rPr>
          <w:b/>
          <w:sz w:val="26"/>
        </w:rPr>
        <w:t>Economic</w:t>
      </w:r>
      <w:r>
        <w:rPr>
          <w:b/>
          <w:spacing w:val="-7"/>
          <w:sz w:val="26"/>
        </w:rPr>
        <w:t> </w:t>
      </w:r>
      <w:r>
        <w:rPr>
          <w:b/>
          <w:spacing w:val="-2"/>
          <w:sz w:val="26"/>
        </w:rPr>
        <w:t>Growth.</w:t>
      </w:r>
    </w:p>
    <w:p>
      <w:pPr>
        <w:pStyle w:val="BodyText"/>
        <w:spacing w:before="201"/>
        <w:rPr>
          <w:b/>
          <w:sz w:val="20"/>
        </w:rPr>
      </w:pPr>
      <w:r>
        <w:rPr/>
        <mc:AlternateContent>
          <mc:Choice Requires="wps">
            <w:drawing>
              <wp:anchor distT="0" distB="0" distL="0" distR="0" allowOverlap="1" layoutInCell="1" locked="0" behindDoc="1" simplePos="0" relativeHeight="487588352">
                <wp:simplePos x="0" y="0"/>
                <wp:positionH relativeFrom="page">
                  <wp:posOffset>557783</wp:posOffset>
                </wp:positionH>
                <wp:positionV relativeFrom="paragraph">
                  <wp:posOffset>289818</wp:posOffset>
                </wp:positionV>
                <wp:extent cx="6017260" cy="4429125"/>
                <wp:effectExtent l="0" t="0" r="0" b="0"/>
                <wp:wrapTopAndBottom/>
                <wp:docPr id="9" name="Group 9"/>
                <wp:cNvGraphicFramePr>
                  <a:graphicFrameLocks/>
                </wp:cNvGraphicFramePr>
                <a:graphic>
                  <a:graphicData uri="http://schemas.microsoft.com/office/word/2010/wordprocessingGroup">
                    <wpg:wgp>
                      <wpg:cNvPr id="9" name="Group 9"/>
                      <wpg:cNvGrpSpPr/>
                      <wpg:grpSpPr>
                        <a:xfrm>
                          <a:off x="0" y="0"/>
                          <a:ext cx="6017260" cy="4429125"/>
                          <a:chExt cx="6017260" cy="4429125"/>
                        </a:xfrm>
                      </wpg:grpSpPr>
                      <wps:wsp>
                        <wps:cNvPr id="10" name="Graphic 10"/>
                        <wps:cNvSpPr/>
                        <wps:spPr>
                          <a:xfrm>
                            <a:off x="0" y="456628"/>
                            <a:ext cx="5157470" cy="2880995"/>
                          </a:xfrm>
                          <a:custGeom>
                            <a:avLst/>
                            <a:gdLst/>
                            <a:ahLst/>
                            <a:cxnLst/>
                            <a:rect l="l" t="t" r="r" b="b"/>
                            <a:pathLst>
                              <a:path w="5157470" h="2880995">
                                <a:moveTo>
                                  <a:pt x="1358125" y="0"/>
                                </a:moveTo>
                                <a:lnTo>
                                  <a:pt x="6096" y="0"/>
                                </a:lnTo>
                                <a:lnTo>
                                  <a:pt x="0" y="0"/>
                                </a:lnTo>
                                <a:lnTo>
                                  <a:pt x="0" y="6096"/>
                                </a:lnTo>
                                <a:lnTo>
                                  <a:pt x="0" y="1021080"/>
                                </a:lnTo>
                                <a:lnTo>
                                  <a:pt x="0" y="1027176"/>
                                </a:lnTo>
                                <a:lnTo>
                                  <a:pt x="6096" y="1027176"/>
                                </a:lnTo>
                                <a:lnTo>
                                  <a:pt x="1358125" y="1027176"/>
                                </a:lnTo>
                                <a:lnTo>
                                  <a:pt x="1358125" y="1021080"/>
                                </a:lnTo>
                                <a:lnTo>
                                  <a:pt x="6096" y="1021080"/>
                                </a:lnTo>
                                <a:lnTo>
                                  <a:pt x="6096" y="6096"/>
                                </a:lnTo>
                                <a:lnTo>
                                  <a:pt x="1358125" y="6096"/>
                                </a:lnTo>
                                <a:lnTo>
                                  <a:pt x="1358125" y="0"/>
                                </a:lnTo>
                                <a:close/>
                              </a:path>
                              <a:path w="5157470" h="2880995">
                                <a:moveTo>
                                  <a:pt x="1364234" y="0"/>
                                </a:moveTo>
                                <a:lnTo>
                                  <a:pt x="1358138" y="0"/>
                                </a:lnTo>
                                <a:lnTo>
                                  <a:pt x="1358138" y="6096"/>
                                </a:lnTo>
                                <a:lnTo>
                                  <a:pt x="1358138" y="1021080"/>
                                </a:lnTo>
                                <a:lnTo>
                                  <a:pt x="1358138" y="1027176"/>
                                </a:lnTo>
                                <a:lnTo>
                                  <a:pt x="1364234" y="1027176"/>
                                </a:lnTo>
                                <a:lnTo>
                                  <a:pt x="1364234" y="1021080"/>
                                </a:lnTo>
                                <a:lnTo>
                                  <a:pt x="1364234" y="6096"/>
                                </a:lnTo>
                                <a:lnTo>
                                  <a:pt x="1364234" y="0"/>
                                </a:lnTo>
                                <a:close/>
                              </a:path>
                              <a:path w="5157470" h="2880995">
                                <a:moveTo>
                                  <a:pt x="4423524" y="2874530"/>
                                </a:moveTo>
                                <a:lnTo>
                                  <a:pt x="4417441" y="2874530"/>
                                </a:lnTo>
                                <a:lnTo>
                                  <a:pt x="1983359" y="2874530"/>
                                </a:lnTo>
                                <a:lnTo>
                                  <a:pt x="1977263" y="2874530"/>
                                </a:lnTo>
                                <a:lnTo>
                                  <a:pt x="1977263" y="2880614"/>
                                </a:lnTo>
                                <a:lnTo>
                                  <a:pt x="1983359" y="2880614"/>
                                </a:lnTo>
                                <a:lnTo>
                                  <a:pt x="4417441" y="2880614"/>
                                </a:lnTo>
                                <a:lnTo>
                                  <a:pt x="4423524" y="2880614"/>
                                </a:lnTo>
                                <a:lnTo>
                                  <a:pt x="4423524" y="2874530"/>
                                </a:lnTo>
                                <a:close/>
                              </a:path>
                              <a:path w="5157470" h="2880995">
                                <a:moveTo>
                                  <a:pt x="4423524" y="118872"/>
                                </a:moveTo>
                                <a:lnTo>
                                  <a:pt x="4417441" y="118872"/>
                                </a:lnTo>
                                <a:lnTo>
                                  <a:pt x="1983359" y="118872"/>
                                </a:lnTo>
                                <a:lnTo>
                                  <a:pt x="1977263" y="118872"/>
                                </a:lnTo>
                                <a:lnTo>
                                  <a:pt x="1977263" y="124968"/>
                                </a:lnTo>
                                <a:lnTo>
                                  <a:pt x="1977263" y="2874518"/>
                                </a:lnTo>
                                <a:lnTo>
                                  <a:pt x="1983359" y="2874518"/>
                                </a:lnTo>
                                <a:lnTo>
                                  <a:pt x="1983359" y="124968"/>
                                </a:lnTo>
                                <a:lnTo>
                                  <a:pt x="4417441" y="124968"/>
                                </a:lnTo>
                                <a:lnTo>
                                  <a:pt x="4417441" y="2874518"/>
                                </a:lnTo>
                                <a:lnTo>
                                  <a:pt x="4423524" y="2874518"/>
                                </a:lnTo>
                                <a:lnTo>
                                  <a:pt x="4423524" y="124968"/>
                                </a:lnTo>
                                <a:lnTo>
                                  <a:pt x="4423524" y="118872"/>
                                </a:lnTo>
                                <a:close/>
                              </a:path>
                              <a:path w="5157470" h="2880995">
                                <a:moveTo>
                                  <a:pt x="5157216" y="1067689"/>
                                </a:moveTo>
                                <a:lnTo>
                                  <a:pt x="5147818" y="1062990"/>
                                </a:lnTo>
                                <a:lnTo>
                                  <a:pt x="5081016" y="1029589"/>
                                </a:lnTo>
                                <a:lnTo>
                                  <a:pt x="5081016" y="1062990"/>
                                </a:lnTo>
                                <a:lnTo>
                                  <a:pt x="4709541" y="1062990"/>
                                </a:lnTo>
                                <a:lnTo>
                                  <a:pt x="4709541" y="1029589"/>
                                </a:lnTo>
                                <a:lnTo>
                                  <a:pt x="4633341" y="1067689"/>
                                </a:lnTo>
                                <a:lnTo>
                                  <a:pt x="4709541" y="1105789"/>
                                </a:lnTo>
                                <a:lnTo>
                                  <a:pt x="4709541" y="1072515"/>
                                </a:lnTo>
                                <a:lnTo>
                                  <a:pt x="5081016" y="1072515"/>
                                </a:lnTo>
                                <a:lnTo>
                                  <a:pt x="5081016" y="1105789"/>
                                </a:lnTo>
                                <a:lnTo>
                                  <a:pt x="5147564" y="1072515"/>
                                </a:lnTo>
                                <a:lnTo>
                                  <a:pt x="5157216" y="1067689"/>
                                </a:lnTo>
                                <a:close/>
                              </a:path>
                            </a:pathLst>
                          </a:custGeom>
                          <a:solidFill>
                            <a:srgbClr val="000000"/>
                          </a:solidFill>
                        </wps:spPr>
                        <wps:bodyPr wrap="square" lIns="0" tIns="0" rIns="0" bIns="0" rtlCol="0">
                          <a:prstTxWarp prst="textNoShape">
                            <a:avLst/>
                          </a:prstTxWarp>
                          <a:noAutofit/>
                        </wps:bodyPr>
                      </wps:wsp>
                      <wps:wsp>
                        <wps:cNvPr id="11" name="Graphic 11"/>
                        <wps:cNvSpPr/>
                        <wps:spPr>
                          <a:xfrm>
                            <a:off x="528066" y="2240851"/>
                            <a:ext cx="1266825" cy="100330"/>
                          </a:xfrm>
                          <a:custGeom>
                            <a:avLst/>
                            <a:gdLst/>
                            <a:ahLst/>
                            <a:cxnLst/>
                            <a:rect l="l" t="t" r="r" b="b"/>
                            <a:pathLst>
                              <a:path w="1266825" h="100330">
                                <a:moveTo>
                                  <a:pt x="1181354" y="0"/>
                                </a:moveTo>
                                <a:lnTo>
                                  <a:pt x="1178433" y="762"/>
                                </a:lnTo>
                                <a:lnTo>
                                  <a:pt x="1177036" y="3048"/>
                                </a:lnTo>
                                <a:lnTo>
                                  <a:pt x="1175766" y="5334"/>
                                </a:lnTo>
                                <a:lnTo>
                                  <a:pt x="1176527" y="8255"/>
                                </a:lnTo>
                                <a:lnTo>
                                  <a:pt x="1178814" y="9525"/>
                                </a:lnTo>
                                <a:lnTo>
                                  <a:pt x="1239988" y="45210"/>
                                </a:lnTo>
                                <a:lnTo>
                                  <a:pt x="1257427" y="45212"/>
                                </a:lnTo>
                                <a:lnTo>
                                  <a:pt x="1257427" y="54737"/>
                                </a:lnTo>
                                <a:lnTo>
                                  <a:pt x="1239774" y="54737"/>
                                </a:lnTo>
                                <a:lnTo>
                                  <a:pt x="1178814" y="90297"/>
                                </a:lnTo>
                                <a:lnTo>
                                  <a:pt x="1176527" y="91567"/>
                                </a:lnTo>
                                <a:lnTo>
                                  <a:pt x="1175766" y="94487"/>
                                </a:lnTo>
                                <a:lnTo>
                                  <a:pt x="1177036" y="96774"/>
                                </a:lnTo>
                                <a:lnTo>
                                  <a:pt x="1178433" y="99060"/>
                                </a:lnTo>
                                <a:lnTo>
                                  <a:pt x="1181354" y="99822"/>
                                </a:lnTo>
                                <a:lnTo>
                                  <a:pt x="1183639" y="98425"/>
                                </a:lnTo>
                                <a:lnTo>
                                  <a:pt x="1258550" y="54737"/>
                                </a:lnTo>
                                <a:lnTo>
                                  <a:pt x="1257427" y="54737"/>
                                </a:lnTo>
                                <a:lnTo>
                                  <a:pt x="1258553" y="54735"/>
                                </a:lnTo>
                                <a:lnTo>
                                  <a:pt x="1266825" y="49911"/>
                                </a:lnTo>
                                <a:lnTo>
                                  <a:pt x="1183639" y="1397"/>
                                </a:lnTo>
                                <a:lnTo>
                                  <a:pt x="1181354" y="0"/>
                                </a:lnTo>
                                <a:close/>
                              </a:path>
                              <a:path w="1266825" h="100330">
                                <a:moveTo>
                                  <a:pt x="1248047" y="49911"/>
                                </a:moveTo>
                                <a:lnTo>
                                  <a:pt x="1239777" y="54735"/>
                                </a:lnTo>
                                <a:lnTo>
                                  <a:pt x="1257427" y="54737"/>
                                </a:lnTo>
                                <a:lnTo>
                                  <a:pt x="1257427" y="53975"/>
                                </a:lnTo>
                                <a:lnTo>
                                  <a:pt x="1255014" y="53975"/>
                                </a:lnTo>
                                <a:lnTo>
                                  <a:pt x="1248047" y="49911"/>
                                </a:lnTo>
                                <a:close/>
                              </a:path>
                              <a:path w="1266825" h="100330">
                                <a:moveTo>
                                  <a:pt x="0" y="45085"/>
                                </a:moveTo>
                                <a:lnTo>
                                  <a:pt x="0" y="54610"/>
                                </a:lnTo>
                                <a:lnTo>
                                  <a:pt x="1239777" y="54735"/>
                                </a:lnTo>
                                <a:lnTo>
                                  <a:pt x="1248047" y="49911"/>
                                </a:lnTo>
                                <a:lnTo>
                                  <a:pt x="1239988" y="45210"/>
                                </a:lnTo>
                                <a:lnTo>
                                  <a:pt x="0" y="45085"/>
                                </a:lnTo>
                                <a:close/>
                              </a:path>
                              <a:path w="1266825" h="100330">
                                <a:moveTo>
                                  <a:pt x="1255014" y="45847"/>
                                </a:moveTo>
                                <a:lnTo>
                                  <a:pt x="1248047" y="49911"/>
                                </a:lnTo>
                                <a:lnTo>
                                  <a:pt x="1255014" y="53975"/>
                                </a:lnTo>
                                <a:lnTo>
                                  <a:pt x="1255014" y="45847"/>
                                </a:lnTo>
                                <a:close/>
                              </a:path>
                              <a:path w="1266825" h="100330">
                                <a:moveTo>
                                  <a:pt x="1257427" y="45847"/>
                                </a:moveTo>
                                <a:lnTo>
                                  <a:pt x="1255014" y="45847"/>
                                </a:lnTo>
                                <a:lnTo>
                                  <a:pt x="1255014" y="53975"/>
                                </a:lnTo>
                                <a:lnTo>
                                  <a:pt x="1257427" y="53975"/>
                                </a:lnTo>
                                <a:lnTo>
                                  <a:pt x="1257427" y="45847"/>
                                </a:lnTo>
                                <a:close/>
                              </a:path>
                              <a:path w="1266825" h="100330">
                                <a:moveTo>
                                  <a:pt x="1239988" y="45210"/>
                                </a:moveTo>
                                <a:lnTo>
                                  <a:pt x="1248047" y="49911"/>
                                </a:lnTo>
                                <a:lnTo>
                                  <a:pt x="1255014" y="45847"/>
                                </a:lnTo>
                                <a:lnTo>
                                  <a:pt x="1257427" y="45847"/>
                                </a:lnTo>
                                <a:lnTo>
                                  <a:pt x="1257427" y="45212"/>
                                </a:lnTo>
                                <a:lnTo>
                                  <a:pt x="1239988" y="45210"/>
                                </a:lnTo>
                                <a:close/>
                              </a:path>
                            </a:pathLst>
                          </a:custGeom>
                          <a:solidFill>
                            <a:srgbClr val="497DBA"/>
                          </a:solidFill>
                        </wps:spPr>
                        <wps:bodyPr wrap="square" lIns="0" tIns="0" rIns="0" bIns="0" rtlCol="0">
                          <a:prstTxWarp prst="textNoShape">
                            <a:avLst/>
                          </a:prstTxWarp>
                          <a:noAutofit/>
                        </wps:bodyPr>
                      </wps:wsp>
                      <wps:wsp>
                        <wps:cNvPr id="12" name="Graphic 12"/>
                        <wps:cNvSpPr/>
                        <wps:spPr>
                          <a:xfrm>
                            <a:off x="528066" y="4762"/>
                            <a:ext cx="2695575" cy="9525"/>
                          </a:xfrm>
                          <a:custGeom>
                            <a:avLst/>
                            <a:gdLst/>
                            <a:ahLst/>
                            <a:cxnLst/>
                            <a:rect l="l" t="t" r="r" b="b"/>
                            <a:pathLst>
                              <a:path w="2695575" h="9525">
                                <a:moveTo>
                                  <a:pt x="0" y="0"/>
                                </a:moveTo>
                                <a:lnTo>
                                  <a:pt x="2695575" y="9525"/>
                                </a:lnTo>
                              </a:path>
                            </a:pathLst>
                          </a:custGeom>
                          <a:ln w="9525">
                            <a:solidFill>
                              <a:srgbClr val="497DBA"/>
                            </a:solidFill>
                            <a:prstDash val="solid"/>
                          </a:ln>
                        </wps:spPr>
                        <wps:bodyPr wrap="square" lIns="0" tIns="0" rIns="0" bIns="0" rtlCol="0">
                          <a:prstTxWarp prst="textNoShape">
                            <a:avLst/>
                          </a:prstTxWarp>
                          <a:noAutofit/>
                        </wps:bodyPr>
                      </wps:wsp>
                      <wps:wsp>
                        <wps:cNvPr id="13" name="Graphic 13"/>
                        <wps:cNvSpPr/>
                        <wps:spPr>
                          <a:xfrm>
                            <a:off x="478180" y="14287"/>
                            <a:ext cx="2795905" cy="543560"/>
                          </a:xfrm>
                          <a:custGeom>
                            <a:avLst/>
                            <a:gdLst/>
                            <a:ahLst/>
                            <a:cxnLst/>
                            <a:rect l="l" t="t" r="r" b="b"/>
                            <a:pathLst>
                              <a:path w="2795905" h="543560">
                                <a:moveTo>
                                  <a:pt x="99771" y="371729"/>
                                </a:moveTo>
                                <a:lnTo>
                                  <a:pt x="99009" y="368808"/>
                                </a:lnTo>
                                <a:lnTo>
                                  <a:pt x="96735" y="367411"/>
                                </a:lnTo>
                                <a:lnTo>
                                  <a:pt x="94462" y="366141"/>
                                </a:lnTo>
                                <a:lnTo>
                                  <a:pt x="91541" y="366903"/>
                                </a:lnTo>
                                <a:lnTo>
                                  <a:pt x="54648" y="430174"/>
                                </a:lnTo>
                                <a:lnTo>
                                  <a:pt x="54648" y="0"/>
                                </a:lnTo>
                                <a:lnTo>
                                  <a:pt x="45123" y="0"/>
                                </a:lnTo>
                                <a:lnTo>
                                  <a:pt x="45123" y="430174"/>
                                </a:lnTo>
                                <a:lnTo>
                                  <a:pt x="8229" y="366903"/>
                                </a:lnTo>
                                <a:lnTo>
                                  <a:pt x="5308" y="366141"/>
                                </a:lnTo>
                                <a:lnTo>
                                  <a:pt x="3035" y="367411"/>
                                </a:lnTo>
                                <a:lnTo>
                                  <a:pt x="762" y="368808"/>
                                </a:lnTo>
                                <a:lnTo>
                                  <a:pt x="0" y="371729"/>
                                </a:lnTo>
                                <a:lnTo>
                                  <a:pt x="49885" y="457200"/>
                                </a:lnTo>
                                <a:lnTo>
                                  <a:pt x="55372" y="447802"/>
                                </a:lnTo>
                                <a:lnTo>
                                  <a:pt x="99771" y="371729"/>
                                </a:lnTo>
                                <a:close/>
                              </a:path>
                              <a:path w="2795905" h="543560">
                                <a:moveTo>
                                  <a:pt x="2795371" y="457454"/>
                                </a:moveTo>
                                <a:lnTo>
                                  <a:pt x="2794609" y="454533"/>
                                </a:lnTo>
                                <a:lnTo>
                                  <a:pt x="2792323" y="453136"/>
                                </a:lnTo>
                                <a:lnTo>
                                  <a:pt x="2790037" y="451866"/>
                                </a:lnTo>
                                <a:lnTo>
                                  <a:pt x="2787116" y="452628"/>
                                </a:lnTo>
                                <a:lnTo>
                                  <a:pt x="2785846" y="454914"/>
                                </a:lnTo>
                                <a:lnTo>
                                  <a:pt x="2750274" y="515874"/>
                                </a:lnTo>
                                <a:lnTo>
                                  <a:pt x="2750159" y="533539"/>
                                </a:lnTo>
                                <a:lnTo>
                                  <a:pt x="2750159" y="531114"/>
                                </a:lnTo>
                                <a:lnTo>
                                  <a:pt x="2750159" y="516102"/>
                                </a:lnTo>
                                <a:lnTo>
                                  <a:pt x="2750159" y="0"/>
                                </a:lnTo>
                                <a:lnTo>
                                  <a:pt x="2740634" y="0"/>
                                </a:lnTo>
                                <a:lnTo>
                                  <a:pt x="2740736" y="516077"/>
                                </a:lnTo>
                                <a:lnTo>
                                  <a:pt x="2740634" y="515874"/>
                                </a:lnTo>
                                <a:lnTo>
                                  <a:pt x="2705074" y="454914"/>
                                </a:lnTo>
                                <a:lnTo>
                                  <a:pt x="2703804" y="452628"/>
                                </a:lnTo>
                                <a:lnTo>
                                  <a:pt x="2700883" y="451866"/>
                                </a:lnTo>
                                <a:lnTo>
                                  <a:pt x="2698597" y="453136"/>
                                </a:lnTo>
                                <a:lnTo>
                                  <a:pt x="2696311" y="454533"/>
                                </a:lnTo>
                                <a:lnTo>
                                  <a:pt x="2695549" y="457454"/>
                                </a:lnTo>
                                <a:lnTo>
                                  <a:pt x="2696946" y="459740"/>
                                </a:lnTo>
                                <a:lnTo>
                                  <a:pt x="2745460" y="542937"/>
                                </a:lnTo>
                                <a:lnTo>
                                  <a:pt x="2750934" y="533539"/>
                                </a:lnTo>
                                <a:lnTo>
                                  <a:pt x="2793974" y="459740"/>
                                </a:lnTo>
                                <a:lnTo>
                                  <a:pt x="2795371" y="457454"/>
                                </a:lnTo>
                                <a:close/>
                              </a:path>
                            </a:pathLst>
                          </a:custGeom>
                          <a:solidFill>
                            <a:srgbClr val="497DBA"/>
                          </a:solidFill>
                        </wps:spPr>
                        <wps:bodyPr wrap="square" lIns="0" tIns="0" rIns="0" bIns="0" rtlCol="0">
                          <a:prstTxWarp prst="textNoShape">
                            <a:avLst/>
                          </a:prstTxWarp>
                          <a:noAutofit/>
                        </wps:bodyPr>
                      </wps:wsp>
                      <wps:wsp>
                        <wps:cNvPr id="14" name="Graphic 14"/>
                        <wps:cNvSpPr/>
                        <wps:spPr>
                          <a:xfrm>
                            <a:off x="3223641" y="14287"/>
                            <a:ext cx="2676525" cy="1270"/>
                          </a:xfrm>
                          <a:custGeom>
                            <a:avLst/>
                            <a:gdLst/>
                            <a:ahLst/>
                            <a:cxnLst/>
                            <a:rect l="l" t="t" r="r" b="b"/>
                            <a:pathLst>
                              <a:path w="2676525" h="0">
                                <a:moveTo>
                                  <a:pt x="0" y="0"/>
                                </a:moveTo>
                                <a:lnTo>
                                  <a:pt x="2676525" y="0"/>
                                </a:lnTo>
                              </a:path>
                            </a:pathLst>
                          </a:custGeom>
                          <a:ln w="9525">
                            <a:solidFill>
                              <a:srgbClr val="497DBA"/>
                            </a:solidFill>
                            <a:prstDash val="solid"/>
                          </a:ln>
                        </wps:spPr>
                        <wps:bodyPr wrap="square" lIns="0" tIns="0" rIns="0" bIns="0" rtlCol="0">
                          <a:prstTxWarp prst="textNoShape">
                            <a:avLst/>
                          </a:prstTxWarp>
                          <a:noAutofit/>
                        </wps:bodyPr>
                      </wps:wsp>
                      <wps:wsp>
                        <wps:cNvPr id="15" name="Graphic 15"/>
                        <wps:cNvSpPr/>
                        <wps:spPr>
                          <a:xfrm>
                            <a:off x="5850254" y="14287"/>
                            <a:ext cx="100330" cy="542925"/>
                          </a:xfrm>
                          <a:custGeom>
                            <a:avLst/>
                            <a:gdLst/>
                            <a:ahLst/>
                            <a:cxnLst/>
                            <a:rect l="l" t="t" r="r" b="b"/>
                            <a:pathLst>
                              <a:path w="100330" h="542925">
                                <a:moveTo>
                                  <a:pt x="5334" y="451865"/>
                                </a:moveTo>
                                <a:lnTo>
                                  <a:pt x="3048" y="453135"/>
                                </a:lnTo>
                                <a:lnTo>
                                  <a:pt x="762" y="454532"/>
                                </a:lnTo>
                                <a:lnTo>
                                  <a:pt x="0" y="457453"/>
                                </a:lnTo>
                                <a:lnTo>
                                  <a:pt x="1397" y="459739"/>
                                </a:lnTo>
                                <a:lnTo>
                                  <a:pt x="49911" y="542925"/>
                                </a:lnTo>
                                <a:lnTo>
                                  <a:pt x="55391" y="533526"/>
                                </a:lnTo>
                                <a:lnTo>
                                  <a:pt x="45085" y="533526"/>
                                </a:lnTo>
                                <a:lnTo>
                                  <a:pt x="45085" y="515874"/>
                                </a:lnTo>
                                <a:lnTo>
                                  <a:pt x="9525" y="454913"/>
                                </a:lnTo>
                                <a:lnTo>
                                  <a:pt x="8255" y="452627"/>
                                </a:lnTo>
                                <a:lnTo>
                                  <a:pt x="5334" y="451865"/>
                                </a:lnTo>
                                <a:close/>
                              </a:path>
                              <a:path w="100330" h="542925">
                                <a:moveTo>
                                  <a:pt x="45085" y="515874"/>
                                </a:moveTo>
                                <a:lnTo>
                                  <a:pt x="45085" y="533526"/>
                                </a:lnTo>
                                <a:lnTo>
                                  <a:pt x="54610" y="533526"/>
                                </a:lnTo>
                                <a:lnTo>
                                  <a:pt x="54610" y="531113"/>
                                </a:lnTo>
                                <a:lnTo>
                                  <a:pt x="45847" y="531113"/>
                                </a:lnTo>
                                <a:lnTo>
                                  <a:pt x="49911" y="524147"/>
                                </a:lnTo>
                                <a:lnTo>
                                  <a:pt x="45085" y="515874"/>
                                </a:lnTo>
                                <a:close/>
                              </a:path>
                              <a:path w="100330" h="542925">
                                <a:moveTo>
                                  <a:pt x="94487" y="451865"/>
                                </a:moveTo>
                                <a:lnTo>
                                  <a:pt x="91566" y="452627"/>
                                </a:lnTo>
                                <a:lnTo>
                                  <a:pt x="90297" y="454913"/>
                                </a:lnTo>
                                <a:lnTo>
                                  <a:pt x="54736" y="515874"/>
                                </a:lnTo>
                                <a:lnTo>
                                  <a:pt x="54610" y="533526"/>
                                </a:lnTo>
                                <a:lnTo>
                                  <a:pt x="55391" y="533526"/>
                                </a:lnTo>
                                <a:lnTo>
                                  <a:pt x="98425" y="459739"/>
                                </a:lnTo>
                                <a:lnTo>
                                  <a:pt x="99821" y="457453"/>
                                </a:lnTo>
                                <a:lnTo>
                                  <a:pt x="99060" y="454532"/>
                                </a:lnTo>
                                <a:lnTo>
                                  <a:pt x="96774" y="453135"/>
                                </a:lnTo>
                                <a:lnTo>
                                  <a:pt x="94487" y="451865"/>
                                </a:lnTo>
                                <a:close/>
                              </a:path>
                              <a:path w="100330" h="542925">
                                <a:moveTo>
                                  <a:pt x="49911" y="524147"/>
                                </a:moveTo>
                                <a:lnTo>
                                  <a:pt x="45847" y="531113"/>
                                </a:lnTo>
                                <a:lnTo>
                                  <a:pt x="53975" y="531113"/>
                                </a:lnTo>
                                <a:lnTo>
                                  <a:pt x="49911" y="524147"/>
                                </a:lnTo>
                                <a:close/>
                              </a:path>
                              <a:path w="100330" h="542925">
                                <a:moveTo>
                                  <a:pt x="54610" y="516091"/>
                                </a:moveTo>
                                <a:lnTo>
                                  <a:pt x="49911" y="524147"/>
                                </a:lnTo>
                                <a:lnTo>
                                  <a:pt x="53975" y="531113"/>
                                </a:lnTo>
                                <a:lnTo>
                                  <a:pt x="54610" y="531113"/>
                                </a:lnTo>
                                <a:lnTo>
                                  <a:pt x="54610" y="516091"/>
                                </a:lnTo>
                                <a:close/>
                              </a:path>
                              <a:path w="100330" h="542925">
                                <a:moveTo>
                                  <a:pt x="54610" y="0"/>
                                </a:moveTo>
                                <a:lnTo>
                                  <a:pt x="45085" y="0"/>
                                </a:lnTo>
                                <a:lnTo>
                                  <a:pt x="45211" y="516091"/>
                                </a:lnTo>
                                <a:lnTo>
                                  <a:pt x="49911" y="524147"/>
                                </a:lnTo>
                                <a:lnTo>
                                  <a:pt x="54610" y="516091"/>
                                </a:lnTo>
                                <a:lnTo>
                                  <a:pt x="54610" y="0"/>
                                </a:lnTo>
                                <a:close/>
                              </a:path>
                            </a:pathLst>
                          </a:custGeom>
                          <a:solidFill>
                            <a:srgbClr val="497DBA"/>
                          </a:solidFill>
                        </wps:spPr>
                        <wps:bodyPr wrap="square" lIns="0" tIns="0" rIns="0" bIns="0" rtlCol="0">
                          <a:prstTxWarp prst="textNoShape">
                            <a:avLst/>
                          </a:prstTxWarp>
                          <a:noAutofit/>
                        </wps:bodyPr>
                      </wps:wsp>
                      <wps:wsp>
                        <wps:cNvPr id="16" name="Graphic 16"/>
                        <wps:cNvSpPr/>
                        <wps:spPr>
                          <a:xfrm>
                            <a:off x="528066" y="1433512"/>
                            <a:ext cx="5438775" cy="2990850"/>
                          </a:xfrm>
                          <a:custGeom>
                            <a:avLst/>
                            <a:gdLst/>
                            <a:ahLst/>
                            <a:cxnLst/>
                            <a:rect l="l" t="t" r="r" b="b"/>
                            <a:pathLst>
                              <a:path w="5438775" h="2990850">
                                <a:moveTo>
                                  <a:pt x="0" y="0"/>
                                </a:moveTo>
                                <a:lnTo>
                                  <a:pt x="0" y="2981325"/>
                                </a:lnTo>
                              </a:path>
                              <a:path w="5438775" h="2990850">
                                <a:moveTo>
                                  <a:pt x="0" y="2990850"/>
                                </a:moveTo>
                                <a:lnTo>
                                  <a:pt x="5438775" y="2943225"/>
                                </a:lnTo>
                              </a:path>
                            </a:pathLst>
                          </a:custGeom>
                          <a:ln w="9525">
                            <a:solidFill>
                              <a:srgbClr val="497DBA"/>
                            </a:solidFill>
                            <a:prstDash val="solid"/>
                          </a:ln>
                        </wps:spPr>
                        <wps:bodyPr wrap="square" lIns="0" tIns="0" rIns="0" bIns="0" rtlCol="0">
                          <a:prstTxWarp prst="textNoShape">
                            <a:avLst/>
                          </a:prstTxWarp>
                          <a:noAutofit/>
                        </wps:bodyPr>
                      </wps:wsp>
                      <pic:pic>
                        <pic:nvPicPr>
                          <pic:cNvPr id="17" name="Image 17"/>
                          <pic:cNvPicPr/>
                        </pic:nvPicPr>
                        <pic:blipFill>
                          <a:blip r:embed="rId17" cstate="print"/>
                          <a:stretch>
                            <a:fillRect/>
                          </a:stretch>
                        </pic:blipFill>
                        <pic:spPr>
                          <a:xfrm>
                            <a:off x="5916929" y="4157662"/>
                            <a:ext cx="99821" cy="171450"/>
                          </a:xfrm>
                          <a:prstGeom prst="rect">
                            <a:avLst/>
                          </a:prstGeom>
                        </pic:spPr>
                      </pic:pic>
                      <wps:wsp>
                        <wps:cNvPr id="18" name="Textbox 18"/>
                        <wps:cNvSpPr txBox="1"/>
                        <wps:spPr>
                          <a:xfrm>
                            <a:off x="2048891" y="588850"/>
                            <a:ext cx="2313305" cy="563880"/>
                          </a:xfrm>
                          <a:prstGeom prst="rect">
                            <a:avLst/>
                          </a:prstGeom>
                        </wps:spPr>
                        <wps:txbx>
                          <w:txbxContent>
                            <w:p>
                              <w:pPr>
                                <w:tabs>
                                  <w:tab w:pos="1117" w:val="left" w:leader="none"/>
                                  <w:tab w:pos="1582" w:val="left" w:leader="none"/>
                                  <w:tab w:pos="1926" w:val="left" w:leader="none"/>
                                </w:tabs>
                                <w:spacing w:line="240" w:lineRule="auto" w:before="0"/>
                                <w:ind w:left="0" w:right="18" w:firstLine="0"/>
                                <w:jc w:val="left"/>
                                <w:rPr>
                                  <w:sz w:val="26"/>
                                </w:rPr>
                              </w:pPr>
                              <w:r>
                                <w:rPr>
                                  <w:sz w:val="26"/>
                                </w:rPr>
                                <w:t>Independent</w:t>
                              </w:r>
                              <w:r>
                                <w:rPr>
                                  <w:spacing w:val="32"/>
                                  <w:sz w:val="26"/>
                                </w:rPr>
                                <w:t> </w:t>
                              </w:r>
                              <w:r>
                                <w:rPr>
                                  <w:sz w:val="26"/>
                                </w:rPr>
                                <w:t>variables:</w:t>
                              </w:r>
                              <w:r>
                                <w:rPr>
                                  <w:spacing w:val="32"/>
                                  <w:sz w:val="26"/>
                                </w:rPr>
                                <w:t> </w:t>
                              </w:r>
                              <w:r>
                                <w:rPr>
                                  <w:sz w:val="26"/>
                                </w:rPr>
                                <w:t>Change</w:t>
                              </w:r>
                              <w:r>
                                <w:rPr>
                                  <w:spacing w:val="33"/>
                                  <w:sz w:val="26"/>
                                </w:rPr>
                                <w:t> </w:t>
                              </w:r>
                              <w:r>
                                <w:rPr>
                                  <w:sz w:val="26"/>
                                </w:rPr>
                                <w:t>in </w:t>
                              </w:r>
                              <w:r>
                                <w:rPr>
                                  <w:spacing w:val="-2"/>
                                  <w:sz w:val="26"/>
                                </w:rPr>
                                <w:t>External</w:t>
                              </w:r>
                              <w:r>
                                <w:rPr>
                                  <w:sz w:val="26"/>
                                </w:rPr>
                                <w:tab/>
                              </w:r>
                              <w:r>
                                <w:rPr>
                                  <w:spacing w:val="-2"/>
                                  <w:sz w:val="26"/>
                                </w:rPr>
                                <w:t>Debt,</w:t>
                              </w:r>
                              <w:r>
                                <w:rPr>
                                  <w:sz w:val="26"/>
                                </w:rPr>
                                <w:tab/>
                              </w:r>
                              <w:r>
                                <w:rPr>
                                  <w:spacing w:val="-2"/>
                                  <w:sz w:val="26"/>
                                </w:rPr>
                                <w:t>Direct Investment,</w:t>
                              </w:r>
                              <w:r>
                                <w:rPr>
                                  <w:sz w:val="26"/>
                                </w:rPr>
                                <w:tab/>
                              </w:r>
                              <w:r>
                                <w:rPr>
                                  <w:spacing w:val="-2"/>
                                  <w:sz w:val="26"/>
                                </w:rPr>
                                <w:t>Current</w:t>
                              </w:r>
                            </w:p>
                          </w:txbxContent>
                        </wps:txbx>
                        <wps:bodyPr wrap="square" lIns="0" tIns="0" rIns="0" bIns="0" rtlCol="0">
                          <a:noAutofit/>
                        </wps:bodyPr>
                      </wps:wsp>
                      <wps:wsp>
                        <wps:cNvPr id="19" name="Textbox 19"/>
                        <wps:cNvSpPr txBox="1"/>
                        <wps:spPr>
                          <a:xfrm>
                            <a:off x="2048891" y="1158826"/>
                            <a:ext cx="1441450" cy="182880"/>
                          </a:xfrm>
                          <a:prstGeom prst="rect">
                            <a:avLst/>
                          </a:prstGeom>
                        </wps:spPr>
                        <wps:txbx>
                          <w:txbxContent>
                            <w:p>
                              <w:pPr>
                                <w:tabs>
                                  <w:tab w:pos="1369" w:val="left" w:leader="none"/>
                                </w:tabs>
                                <w:spacing w:line="287" w:lineRule="exact" w:before="0"/>
                                <w:ind w:left="0" w:right="0" w:firstLine="0"/>
                                <w:jc w:val="left"/>
                                <w:rPr>
                                  <w:sz w:val="26"/>
                                </w:rPr>
                              </w:pPr>
                              <w:r>
                                <w:rPr>
                                  <w:spacing w:val="-2"/>
                                  <w:sz w:val="26"/>
                                </w:rPr>
                                <w:t>Balance,</w:t>
                              </w:r>
                              <w:r>
                                <w:rPr>
                                  <w:sz w:val="26"/>
                                </w:rPr>
                                <w:tab/>
                              </w:r>
                              <w:r>
                                <w:rPr>
                                  <w:spacing w:val="-2"/>
                                  <w:sz w:val="26"/>
                                </w:rPr>
                                <w:t>External</w:t>
                              </w:r>
                            </w:p>
                          </w:txbxContent>
                        </wps:txbx>
                        <wps:bodyPr wrap="square" lIns="0" tIns="0" rIns="0" bIns="0" rtlCol="0">
                          <a:noAutofit/>
                        </wps:bodyPr>
                      </wps:wsp>
                      <wps:wsp>
                        <wps:cNvPr id="20" name="Textbox 20"/>
                        <wps:cNvSpPr txBox="1"/>
                        <wps:spPr>
                          <a:xfrm>
                            <a:off x="3778884" y="779350"/>
                            <a:ext cx="584200" cy="561975"/>
                          </a:xfrm>
                          <a:prstGeom prst="rect">
                            <a:avLst/>
                          </a:prstGeom>
                        </wps:spPr>
                        <wps:txbx>
                          <w:txbxContent>
                            <w:p>
                              <w:pPr>
                                <w:spacing w:line="240" w:lineRule="auto" w:before="0"/>
                                <w:ind w:left="0" w:right="18" w:firstLine="89"/>
                                <w:jc w:val="both"/>
                                <w:rPr>
                                  <w:sz w:val="26"/>
                                </w:rPr>
                              </w:pPr>
                              <w:r>
                                <w:rPr>
                                  <w:spacing w:val="-2"/>
                                  <w:sz w:val="26"/>
                                </w:rPr>
                                <w:t>Foreign Account Reserve,</w:t>
                              </w:r>
                            </w:p>
                          </w:txbxContent>
                        </wps:txbx>
                        <wps:bodyPr wrap="square" lIns="0" tIns="0" rIns="0" bIns="0" rtlCol="0">
                          <a:noAutofit/>
                        </wps:bodyPr>
                      </wps:wsp>
                      <wps:wsp>
                        <wps:cNvPr id="21" name="Textbox 21"/>
                        <wps:cNvSpPr txBox="1"/>
                        <wps:spPr>
                          <a:xfrm>
                            <a:off x="2048891" y="1349326"/>
                            <a:ext cx="2313305" cy="1321435"/>
                          </a:xfrm>
                          <a:prstGeom prst="rect">
                            <a:avLst/>
                          </a:prstGeom>
                        </wps:spPr>
                        <wps:txbx>
                          <w:txbxContent>
                            <w:p>
                              <w:pPr>
                                <w:spacing w:line="240" w:lineRule="auto" w:before="0"/>
                                <w:ind w:left="0" w:right="18" w:firstLine="0"/>
                                <w:jc w:val="both"/>
                                <w:rPr>
                                  <w:sz w:val="20"/>
                                </w:rPr>
                              </w:pPr>
                              <w:r>
                                <w:rPr>
                                  <w:sz w:val="26"/>
                                </w:rPr>
                                <w:t>Change in Foreign Asset of </w:t>
                              </w:r>
                              <w:r>
                                <w:rPr>
                                  <w:sz w:val="26"/>
                                </w:rPr>
                                <w:t>Local Banks, Degree of Openness, Nigeria and United State Interest rates differential, Inflation rate, Gross Capital Formation, Deposit rate, Credit to Private Sector, and Government Current Expenditure</w:t>
                              </w:r>
                              <w:r>
                                <w:rPr>
                                  <w:sz w:val="20"/>
                                </w:rPr>
                                <w:t>.</w:t>
                              </w:r>
                            </w:p>
                          </w:txbxContent>
                        </wps:txbx>
                        <wps:bodyPr wrap="square" lIns="0" tIns="0" rIns="0" bIns="0" rtlCol="0">
                          <a:noAutofit/>
                        </wps:bodyPr>
                      </wps:wsp>
                      <wps:wsp>
                        <wps:cNvPr id="22" name="Textbox 22"/>
                        <wps:cNvSpPr txBox="1"/>
                        <wps:spPr>
                          <a:xfrm>
                            <a:off x="6095" y="462724"/>
                            <a:ext cx="1352550" cy="1015365"/>
                          </a:xfrm>
                          <a:prstGeom prst="rect">
                            <a:avLst/>
                          </a:prstGeom>
                        </wps:spPr>
                        <wps:txbx>
                          <w:txbxContent>
                            <w:p>
                              <w:pPr>
                                <w:tabs>
                                  <w:tab w:pos="933" w:val="left" w:leader="none"/>
                                  <w:tab w:pos="1027" w:val="left" w:leader="none"/>
                                  <w:tab w:pos="1648" w:val="left" w:leader="none"/>
                                </w:tabs>
                                <w:spacing w:before="2"/>
                                <w:ind w:left="103" w:right="104" w:firstLine="0"/>
                                <w:jc w:val="left"/>
                                <w:rPr>
                                  <w:sz w:val="20"/>
                                </w:rPr>
                              </w:pPr>
                              <w:r>
                                <w:rPr>
                                  <w:spacing w:val="-2"/>
                                  <w:sz w:val="26"/>
                                </w:rPr>
                                <w:t>Independent </w:t>
                              </w:r>
                              <w:r>
                                <w:rPr>
                                  <w:sz w:val="26"/>
                                </w:rPr>
                                <w:t>variables:</w:t>
                              </w:r>
                              <w:r>
                                <w:rPr>
                                  <w:spacing w:val="56"/>
                                  <w:sz w:val="26"/>
                                </w:rPr>
                                <w:t> </w:t>
                              </w:r>
                              <w:r>
                                <w:rPr>
                                  <w:sz w:val="26"/>
                                </w:rPr>
                                <w:t>Capital </w:t>
                              </w:r>
                              <w:r>
                                <w:rPr>
                                  <w:spacing w:val="-2"/>
                                  <w:sz w:val="26"/>
                                </w:rPr>
                                <w:t>Flight</w:t>
                              </w:r>
                              <w:r>
                                <w:rPr>
                                  <w:sz w:val="26"/>
                                </w:rPr>
                                <w:tab/>
                              </w:r>
                              <w:r>
                                <w:rPr>
                                  <w:spacing w:val="-4"/>
                                  <w:sz w:val="26"/>
                                </w:rPr>
                                <w:t>(KF)</w:t>
                              </w:r>
                              <w:r>
                                <w:rPr>
                                  <w:sz w:val="26"/>
                                </w:rPr>
                                <w:tab/>
                              </w:r>
                              <w:r>
                                <w:rPr>
                                  <w:spacing w:val="-4"/>
                                  <w:sz w:val="26"/>
                                </w:rPr>
                                <w:t>and </w:t>
                              </w:r>
                              <w:r>
                                <w:rPr>
                                  <w:spacing w:val="-2"/>
                                  <w:sz w:val="26"/>
                                </w:rPr>
                                <w:t>Gross</w:t>
                              </w:r>
                              <w:r>
                                <w:rPr>
                                  <w:sz w:val="26"/>
                                </w:rPr>
                                <w:tab/>
                                <w:tab/>
                              </w:r>
                              <w:r>
                                <w:rPr>
                                  <w:spacing w:val="-2"/>
                                  <w:sz w:val="26"/>
                                </w:rPr>
                                <w:t>Domestic </w:t>
                              </w:r>
                              <w:r>
                                <w:rPr>
                                  <w:sz w:val="26"/>
                                </w:rPr>
                                <w:t>Product (GDP</w:t>
                              </w:r>
                              <w:r>
                                <w:rPr>
                                  <w:sz w:val="20"/>
                                </w:rPr>
                                <w:t>)</w:t>
                              </w:r>
                            </w:p>
                          </w:txbxContent>
                        </wps:txbx>
                        <wps:bodyPr wrap="square" lIns="0" tIns="0" rIns="0" bIns="0" rtlCol="0">
                          <a:noAutofit/>
                        </wps:bodyPr>
                      </wps:wsp>
                    </wpg:wgp>
                  </a:graphicData>
                </a:graphic>
              </wp:anchor>
            </w:drawing>
          </mc:Choice>
          <mc:Fallback>
            <w:pict>
              <v:group style="position:absolute;margin-left:43.919998pt;margin-top:22.820332pt;width:473.8pt;height:348.75pt;mso-position-horizontal-relative:page;mso-position-vertical-relative:paragraph;z-index:-15728128;mso-wrap-distance-left:0;mso-wrap-distance-right:0" id="docshapegroup9" coordorigin="878,456" coordsize="9476,6975">
                <v:shape style="position:absolute;left:878;top:1175;width:8122;height:4537" id="docshape10" coordorigin="878,1176" coordsize="8122,4537" path="m3017,1176l888,1176,878,1176,878,1185,878,2784,878,2793,888,2793,3017,2793,3017,2784,888,2784,888,1185,3017,1185,3017,1176xm3027,1176l3017,1176,3017,1185,3017,2784,3017,2793,3027,2793,3027,2784,3027,1185,3027,1176xm7845,5702l7835,5702,4002,5702,3992,5702,3992,5712,4002,5712,7835,5712,7845,5712,7845,5702xm7845,1363l7835,1363,4002,1363,3992,1363,3992,1372,3992,5702,4002,5702,4002,1372,7835,1372,7835,5702,7845,5702,7845,1372,7845,1363xm9000,2857l8985,2850,8880,2797,8880,2850,8295,2850,8295,2797,8175,2857,8295,2917,8295,2865,8880,2865,8880,2917,8985,2865,9000,2857xe" filled="true" fillcolor="#000000" stroked="false">
                  <v:path arrowok="t"/>
                  <v:fill type="solid"/>
                </v:shape>
                <v:shape style="position:absolute;left:1710;top:3985;width:1995;height:158" id="docshape11" coordorigin="1710,3985" coordsize="1995,158" path="m3570,3985l3566,3987,3564,3990,3562,3994,3563,3998,3566,4000,3663,4057,3690,4057,3690,4072,3662,4072,3566,4128,3563,4130,3562,4134,3564,4138,3566,4141,3570,4143,3574,4140,3692,4072,3690,4072,3692,4072,3705,4064,3574,3988,3570,3985xm3675,4064l3662,4072,3690,4072,3690,4070,3686,4070,3675,4064xm1710,4056l1710,4071,3662,4072,3675,4064,3663,4057,1710,4056xm3686,4058l3675,4064,3686,4070,3686,4058xm3690,4058l3686,4058,3686,4070,3690,4070,3690,4058xm3663,4057l3675,4064,3686,4058,3690,4058,3690,4057,3663,4057xe" filled="true" fillcolor="#497dba" stroked="false">
                  <v:path arrowok="t"/>
                  <v:fill type="solid"/>
                </v:shape>
                <v:line style="position:absolute" from="1710,464" to="5955,479" stroked="true" strokeweight=".75pt" strokecolor="#497dba">
                  <v:stroke dashstyle="solid"/>
                </v:line>
                <v:shape style="position:absolute;left:1631;top:478;width:4403;height:856" id="docshape12" coordorigin="1631,479" coordsize="4403,856" path="m1789,1064l1787,1060,1784,1058,1780,1056,1776,1057,1718,1156,1718,479,1703,479,1703,1156,1644,1057,1640,1056,1636,1058,1633,1060,1631,1064,1710,1199,1719,1184,1789,1064xm6034,1199l6032,1195,6029,1193,6025,1191,6021,1192,6019,1195,5963,1291,5962,1319,5962,1315,5962,1292,5962,479,5947,479,5948,1292,5947,1291,5891,1195,5889,1192,5885,1191,5881,1193,5878,1195,5876,1199,5879,1203,5955,1334,5964,1319,6031,1203,6034,1199xe" filled="true" fillcolor="#497dba" stroked="false">
                  <v:path arrowok="t"/>
                  <v:fill type="solid"/>
                </v:shape>
                <v:line style="position:absolute" from="5955,479" to="10170,479" stroked="true" strokeweight=".75pt" strokecolor="#497dba">
                  <v:stroke dashstyle="solid"/>
                </v:line>
                <v:shape style="position:absolute;left:10091;top:478;width:158;height:855" id="docshape13" coordorigin="10091,479" coordsize="158,855" path="m10100,1191l10096,1193,10093,1195,10091,1199,10094,1203,10170,1334,10179,1319,10162,1319,10162,1291,10106,1195,10104,1192,10100,1191xm10162,1291l10162,1319,10177,1319,10177,1315,10164,1315,10170,1304,10162,1291xm10240,1191l10236,1192,10234,1195,10178,1291,10177,1319,10179,1319,10246,1203,10249,1199,10247,1195,10244,1193,10240,1191xm10170,1304l10164,1315,10176,1315,10170,1304xm10177,1292l10170,1304,10176,1315,10177,1315,10177,1292xm10177,479l10162,479,10163,1292,10170,1304,10177,1292,10177,479xe" filled="true" fillcolor="#497dba" stroked="false">
                  <v:path arrowok="t"/>
                  <v:fill type="solid"/>
                </v:shape>
                <v:shape style="position:absolute;left:1710;top:2713;width:8565;height:4710" id="docshape14" coordorigin="1710,2714" coordsize="8565,4710" path="m1710,2714l1710,7409m1710,7424l10275,7349e" filled="false" stroked="true" strokeweight=".75pt" strokecolor="#497dba">
                  <v:path arrowok="t"/>
                  <v:stroke dashstyle="solid"/>
                </v:shape>
                <v:shape style="position:absolute;left:10196;top:7003;width:158;height:270" type="#_x0000_t75" id="docshape15" stroked="false">
                  <v:imagedata r:id="rId17" o:title=""/>
                </v:shape>
                <v:shape style="position:absolute;left:4105;top:1383;width:3643;height:888" type="#_x0000_t202" id="docshape16" filled="false" stroked="false">
                  <v:textbox inset="0,0,0,0">
                    <w:txbxContent>
                      <w:p>
                        <w:pPr>
                          <w:tabs>
                            <w:tab w:pos="1117" w:val="left" w:leader="none"/>
                            <w:tab w:pos="1582" w:val="left" w:leader="none"/>
                            <w:tab w:pos="1926" w:val="left" w:leader="none"/>
                          </w:tabs>
                          <w:spacing w:line="240" w:lineRule="auto" w:before="0"/>
                          <w:ind w:left="0" w:right="18" w:firstLine="0"/>
                          <w:jc w:val="left"/>
                          <w:rPr>
                            <w:sz w:val="26"/>
                          </w:rPr>
                        </w:pPr>
                        <w:r>
                          <w:rPr>
                            <w:sz w:val="26"/>
                          </w:rPr>
                          <w:t>Independent</w:t>
                        </w:r>
                        <w:r>
                          <w:rPr>
                            <w:spacing w:val="32"/>
                            <w:sz w:val="26"/>
                          </w:rPr>
                          <w:t> </w:t>
                        </w:r>
                        <w:r>
                          <w:rPr>
                            <w:sz w:val="26"/>
                          </w:rPr>
                          <w:t>variables:</w:t>
                        </w:r>
                        <w:r>
                          <w:rPr>
                            <w:spacing w:val="32"/>
                            <w:sz w:val="26"/>
                          </w:rPr>
                          <w:t> </w:t>
                        </w:r>
                        <w:r>
                          <w:rPr>
                            <w:sz w:val="26"/>
                          </w:rPr>
                          <w:t>Change</w:t>
                        </w:r>
                        <w:r>
                          <w:rPr>
                            <w:spacing w:val="33"/>
                            <w:sz w:val="26"/>
                          </w:rPr>
                          <w:t> </w:t>
                        </w:r>
                        <w:r>
                          <w:rPr>
                            <w:sz w:val="26"/>
                          </w:rPr>
                          <w:t>in </w:t>
                        </w:r>
                        <w:r>
                          <w:rPr>
                            <w:spacing w:val="-2"/>
                            <w:sz w:val="26"/>
                          </w:rPr>
                          <w:t>External</w:t>
                        </w:r>
                        <w:r>
                          <w:rPr>
                            <w:sz w:val="26"/>
                          </w:rPr>
                          <w:tab/>
                        </w:r>
                        <w:r>
                          <w:rPr>
                            <w:spacing w:val="-2"/>
                            <w:sz w:val="26"/>
                          </w:rPr>
                          <w:t>Debt,</w:t>
                        </w:r>
                        <w:r>
                          <w:rPr>
                            <w:sz w:val="26"/>
                          </w:rPr>
                          <w:tab/>
                        </w:r>
                        <w:r>
                          <w:rPr>
                            <w:spacing w:val="-2"/>
                            <w:sz w:val="26"/>
                          </w:rPr>
                          <w:t>Direct Investment,</w:t>
                        </w:r>
                        <w:r>
                          <w:rPr>
                            <w:sz w:val="26"/>
                          </w:rPr>
                          <w:tab/>
                        </w:r>
                        <w:r>
                          <w:rPr>
                            <w:spacing w:val="-2"/>
                            <w:sz w:val="26"/>
                          </w:rPr>
                          <w:t>Current</w:t>
                        </w:r>
                      </w:p>
                    </w:txbxContent>
                  </v:textbox>
                  <w10:wrap type="none"/>
                </v:shape>
                <v:shape style="position:absolute;left:4105;top:2281;width:2270;height:288" type="#_x0000_t202" id="docshape17" filled="false" stroked="false">
                  <v:textbox inset="0,0,0,0">
                    <w:txbxContent>
                      <w:p>
                        <w:pPr>
                          <w:tabs>
                            <w:tab w:pos="1369" w:val="left" w:leader="none"/>
                          </w:tabs>
                          <w:spacing w:line="287" w:lineRule="exact" w:before="0"/>
                          <w:ind w:left="0" w:right="0" w:firstLine="0"/>
                          <w:jc w:val="left"/>
                          <w:rPr>
                            <w:sz w:val="26"/>
                          </w:rPr>
                        </w:pPr>
                        <w:r>
                          <w:rPr>
                            <w:spacing w:val="-2"/>
                            <w:sz w:val="26"/>
                          </w:rPr>
                          <w:t>Balance,</w:t>
                        </w:r>
                        <w:r>
                          <w:rPr>
                            <w:sz w:val="26"/>
                          </w:rPr>
                          <w:tab/>
                        </w:r>
                        <w:r>
                          <w:rPr>
                            <w:spacing w:val="-2"/>
                            <w:sz w:val="26"/>
                          </w:rPr>
                          <w:t>External</w:t>
                        </w:r>
                      </w:p>
                    </w:txbxContent>
                  </v:textbox>
                  <w10:wrap type="none"/>
                </v:shape>
                <v:shape style="position:absolute;left:6829;top:1683;width:920;height:885" type="#_x0000_t202" id="docshape18" filled="false" stroked="false">
                  <v:textbox inset="0,0,0,0">
                    <w:txbxContent>
                      <w:p>
                        <w:pPr>
                          <w:spacing w:line="240" w:lineRule="auto" w:before="0"/>
                          <w:ind w:left="0" w:right="18" w:firstLine="89"/>
                          <w:jc w:val="both"/>
                          <w:rPr>
                            <w:sz w:val="26"/>
                          </w:rPr>
                        </w:pPr>
                        <w:r>
                          <w:rPr>
                            <w:spacing w:val="-2"/>
                            <w:sz w:val="26"/>
                          </w:rPr>
                          <w:t>Foreign Account Reserve,</w:t>
                        </w:r>
                      </w:p>
                    </w:txbxContent>
                  </v:textbox>
                  <w10:wrap type="none"/>
                </v:shape>
                <v:shape style="position:absolute;left:4105;top:2581;width:3643;height:2081" type="#_x0000_t202" id="docshape19" filled="false" stroked="false">
                  <v:textbox inset="0,0,0,0">
                    <w:txbxContent>
                      <w:p>
                        <w:pPr>
                          <w:spacing w:line="240" w:lineRule="auto" w:before="0"/>
                          <w:ind w:left="0" w:right="18" w:firstLine="0"/>
                          <w:jc w:val="both"/>
                          <w:rPr>
                            <w:sz w:val="20"/>
                          </w:rPr>
                        </w:pPr>
                        <w:r>
                          <w:rPr>
                            <w:sz w:val="26"/>
                          </w:rPr>
                          <w:t>Change in Foreign Asset of </w:t>
                        </w:r>
                        <w:r>
                          <w:rPr>
                            <w:sz w:val="26"/>
                          </w:rPr>
                          <w:t>Local Banks, Degree of Openness, Nigeria and United State Interest rates differential, Inflation rate, Gross Capital Formation, Deposit rate, Credit to Private Sector, and Government Current Expenditure</w:t>
                        </w:r>
                        <w:r>
                          <w:rPr>
                            <w:sz w:val="20"/>
                          </w:rPr>
                          <w:t>.</w:t>
                        </w:r>
                      </w:p>
                    </w:txbxContent>
                  </v:textbox>
                  <w10:wrap type="none"/>
                </v:shape>
                <v:shape style="position:absolute;left:888;top:1185;width:2130;height:1599" type="#_x0000_t202" id="docshape20" filled="false" stroked="false">
                  <v:textbox inset="0,0,0,0">
                    <w:txbxContent>
                      <w:p>
                        <w:pPr>
                          <w:tabs>
                            <w:tab w:pos="933" w:val="left" w:leader="none"/>
                            <w:tab w:pos="1027" w:val="left" w:leader="none"/>
                            <w:tab w:pos="1648" w:val="left" w:leader="none"/>
                          </w:tabs>
                          <w:spacing w:before="2"/>
                          <w:ind w:left="103" w:right="104" w:firstLine="0"/>
                          <w:jc w:val="left"/>
                          <w:rPr>
                            <w:sz w:val="20"/>
                          </w:rPr>
                        </w:pPr>
                        <w:r>
                          <w:rPr>
                            <w:spacing w:val="-2"/>
                            <w:sz w:val="26"/>
                          </w:rPr>
                          <w:t>Independent </w:t>
                        </w:r>
                        <w:r>
                          <w:rPr>
                            <w:sz w:val="26"/>
                          </w:rPr>
                          <w:t>variables:</w:t>
                        </w:r>
                        <w:r>
                          <w:rPr>
                            <w:spacing w:val="56"/>
                            <w:sz w:val="26"/>
                          </w:rPr>
                          <w:t> </w:t>
                        </w:r>
                        <w:r>
                          <w:rPr>
                            <w:sz w:val="26"/>
                          </w:rPr>
                          <w:t>Capital </w:t>
                        </w:r>
                        <w:r>
                          <w:rPr>
                            <w:spacing w:val="-2"/>
                            <w:sz w:val="26"/>
                          </w:rPr>
                          <w:t>Flight</w:t>
                        </w:r>
                        <w:r>
                          <w:rPr>
                            <w:sz w:val="26"/>
                          </w:rPr>
                          <w:tab/>
                        </w:r>
                        <w:r>
                          <w:rPr>
                            <w:spacing w:val="-4"/>
                            <w:sz w:val="26"/>
                          </w:rPr>
                          <w:t>(KF)</w:t>
                        </w:r>
                        <w:r>
                          <w:rPr>
                            <w:sz w:val="26"/>
                          </w:rPr>
                          <w:tab/>
                        </w:r>
                        <w:r>
                          <w:rPr>
                            <w:spacing w:val="-4"/>
                            <w:sz w:val="26"/>
                          </w:rPr>
                          <w:t>and </w:t>
                        </w:r>
                        <w:r>
                          <w:rPr>
                            <w:spacing w:val="-2"/>
                            <w:sz w:val="26"/>
                          </w:rPr>
                          <w:t>Gross</w:t>
                        </w:r>
                        <w:r>
                          <w:rPr>
                            <w:sz w:val="26"/>
                          </w:rPr>
                          <w:tab/>
                          <w:tab/>
                        </w:r>
                        <w:r>
                          <w:rPr>
                            <w:spacing w:val="-2"/>
                            <w:sz w:val="26"/>
                          </w:rPr>
                          <w:t>Domestic </w:t>
                        </w:r>
                        <w:r>
                          <w:rPr>
                            <w:sz w:val="26"/>
                          </w:rPr>
                          <w:t>Product (GDP</w:t>
                        </w:r>
                        <w:r>
                          <w:rPr>
                            <w:sz w:val="20"/>
                          </w:rPr>
                          <w:t>)</w:t>
                        </w:r>
                      </w:p>
                    </w:txbxContent>
                  </v:textbox>
                  <w10:wrap type="none"/>
                </v:shape>
                <w10:wrap type="topAndBottom"/>
              </v:group>
            </w:pict>
          </mc:Fallback>
        </mc:AlternateContent>
      </w:r>
    </w:p>
    <w:p>
      <w:pPr>
        <w:pStyle w:val="BodyText"/>
        <w:spacing w:before="201"/>
        <w:rPr>
          <w:b/>
          <w:sz w:val="26"/>
        </w:rPr>
      </w:pPr>
    </w:p>
    <w:p>
      <w:pPr>
        <w:pStyle w:val="BodyText"/>
        <w:ind w:left="1431"/>
      </w:pPr>
      <w:r>
        <w:rPr/>
        <w:t>(Source:</w:t>
      </w:r>
      <w:r>
        <w:rPr>
          <w:spacing w:val="-2"/>
        </w:rPr>
        <w:t> </w:t>
      </w:r>
      <w:r>
        <w:rPr/>
        <w:t>Designed for the</w:t>
      </w:r>
      <w:r>
        <w:rPr>
          <w:spacing w:val="-1"/>
        </w:rPr>
        <w:t> </w:t>
      </w:r>
      <w:r>
        <w:rPr/>
        <w:t>current study</w:t>
      </w:r>
      <w:r>
        <w:rPr>
          <w:spacing w:val="-4"/>
        </w:rPr>
        <w:t> </w:t>
      </w:r>
      <w:r>
        <w:rPr/>
        <w:t>by</w:t>
      </w:r>
      <w:r>
        <w:rPr>
          <w:spacing w:val="-5"/>
        </w:rPr>
        <w:t> </w:t>
      </w:r>
      <w:r>
        <w:rPr/>
        <w:t>the</w:t>
      </w:r>
      <w:r>
        <w:rPr>
          <w:spacing w:val="1"/>
        </w:rPr>
        <w:t> </w:t>
      </w:r>
      <w:r>
        <w:rPr/>
        <w:t>author,</w:t>
      </w:r>
      <w:r>
        <w:rPr>
          <w:spacing w:val="1"/>
        </w:rPr>
        <w:t> </w:t>
      </w:r>
      <w:r>
        <w:rPr>
          <w:spacing w:val="-2"/>
        </w:rPr>
        <w:t>2013)</w:t>
      </w:r>
    </w:p>
    <w:p>
      <w:pPr>
        <w:pStyle w:val="BodyText"/>
        <w:ind w:left="711" w:right="478"/>
        <w:jc w:val="both"/>
      </w:pPr>
      <w:r>
        <w:rPr/>
        <w:t>Figure 1 above shows the Interaction between dependents and independent variables and their effect on Economic Growth.</w:t>
      </w:r>
    </w:p>
    <w:p>
      <w:pPr>
        <w:spacing w:after="0"/>
        <w:jc w:val="both"/>
        <w:sectPr>
          <w:pgSz w:w="11910" w:h="16840"/>
          <w:pgMar w:header="0" w:footer="979" w:top="1360" w:bottom="1240" w:left="280" w:right="0"/>
        </w:sectPr>
      </w:pPr>
    </w:p>
    <w:p>
      <w:pPr>
        <w:pStyle w:val="Heading6"/>
        <w:numPr>
          <w:ilvl w:val="1"/>
          <w:numId w:val="14"/>
        </w:numPr>
        <w:tabs>
          <w:tab w:pos="1431" w:val="left" w:leader="none"/>
        </w:tabs>
        <w:spacing w:line="240" w:lineRule="auto" w:before="60" w:after="0"/>
        <w:ind w:left="1431" w:right="0" w:hanging="720"/>
        <w:jc w:val="left"/>
      </w:pPr>
      <w:bookmarkStart w:name="_TOC_250016" w:id="11"/>
      <w:r>
        <w:rPr/>
        <w:t>Theoretical</w:t>
      </w:r>
      <w:r>
        <w:rPr>
          <w:spacing w:val="-1"/>
        </w:rPr>
        <w:t> </w:t>
      </w:r>
      <w:r>
        <w:rPr/>
        <w:t>Framework</w:t>
      </w:r>
      <w:r>
        <w:rPr>
          <w:spacing w:val="-3"/>
        </w:rPr>
        <w:t> </w:t>
      </w:r>
      <w:r>
        <w:rPr/>
        <w:t>for</w:t>
      </w:r>
      <w:r>
        <w:rPr>
          <w:spacing w:val="-3"/>
        </w:rPr>
        <w:t> </w:t>
      </w:r>
      <w:r>
        <w:rPr/>
        <w:t>Model</w:t>
      </w:r>
      <w:bookmarkEnd w:id="11"/>
      <w:r>
        <w:rPr>
          <w:spacing w:val="-2"/>
        </w:rPr>
        <w:t> Formulation</w:t>
      </w:r>
    </w:p>
    <w:p>
      <w:pPr>
        <w:pStyle w:val="BodyText"/>
        <w:spacing w:before="1"/>
        <w:rPr>
          <w:b/>
        </w:rPr>
      </w:pPr>
    </w:p>
    <w:p>
      <w:pPr>
        <w:pStyle w:val="BodyText"/>
        <w:spacing w:line="480" w:lineRule="auto"/>
        <w:ind w:left="711" w:right="469"/>
        <w:jc w:val="both"/>
      </w:pPr>
      <w:r>
        <w:rPr/>
        <w:t>To be able to formulate an effective and reliable model for this study, there is need to provide a theoretical basis.</w:t>
      </w:r>
      <w:r>
        <w:rPr>
          <w:spacing w:val="40"/>
        </w:rPr>
        <w:t> </w:t>
      </w:r>
      <w:r>
        <w:rPr/>
        <w:t>From the literature reviewed, the Portfolio-choice theory, Debt Volatility theory and the Corruption theor</w:t>
      </w:r>
      <w:r>
        <w:rPr>
          <w:b/>
        </w:rPr>
        <w:t>y </w:t>
      </w:r>
      <w:r>
        <w:rPr/>
        <w:t>are relevant in explaining the basis of capital outflow from Nigeria. Although, the various determinants of capital flight have been widely grouped into political and economic factors, these factors vary</w:t>
      </w:r>
      <w:r>
        <w:rPr>
          <w:spacing w:val="-4"/>
        </w:rPr>
        <w:t> </w:t>
      </w:r>
      <w:r>
        <w:rPr/>
        <w:t>from country</w:t>
      </w:r>
      <w:r>
        <w:rPr>
          <w:spacing w:val="-2"/>
        </w:rPr>
        <w:t> </w:t>
      </w:r>
      <w:r>
        <w:rPr/>
        <w:t>to country</w:t>
      </w:r>
      <w:r>
        <w:rPr>
          <w:spacing w:val="-2"/>
        </w:rPr>
        <w:t> </w:t>
      </w:r>
      <w:r>
        <w:rPr/>
        <w:t>and from region to region, the phenomenon of capital flight is more associated with the developing economies than developed economies (Cuddington and Pastor 1990). The review of literature in chapter two revealed that the main determinants of capital flight in Nigeria and in other developing economies include: risk perception/investment climate, fiscal deficits, weak institutions, policies distortions, corruption and money laundering, exchange rate misalignment, financial sector constraints and/or repressions, fiscal deficits and external incentives and disbursement of new loans to LDCs, shortage of foreign exchange and balance of payment crises. (Cuddingtom, (1987) (Ajayi, (2005); (Ali and Bernard Walters,(2011); (Hermes and Lensiink (2011); Cerra </w:t>
      </w:r>
      <w:r>
        <w:rPr>
          <w:i/>
        </w:rPr>
        <w:t>et al</w:t>
      </w:r>
      <w:r>
        <w:rPr/>
        <w:t>, (2008); (Frait </w:t>
      </w:r>
      <w:r>
        <w:rPr>
          <w:i/>
        </w:rPr>
        <w:t>et al (</w:t>
      </w:r>
      <w:r>
        <w:rPr/>
        <w:t>2006</w:t>
      </w:r>
      <w:r>
        <w:rPr>
          <w:i/>
        </w:rPr>
        <w:t>,</w:t>
      </w:r>
      <w:r>
        <w:rPr>
          <w:i/>
          <w:spacing w:val="40"/>
        </w:rPr>
        <w:t> </w:t>
      </w:r>
      <w:r>
        <w:rPr>
          <w:i/>
        </w:rPr>
        <w:t>and </w:t>
      </w:r>
      <w:r>
        <w:rPr/>
        <w:t>Rodic ( 2008).</w:t>
      </w:r>
    </w:p>
    <w:p>
      <w:pPr>
        <w:pStyle w:val="BodyText"/>
      </w:pPr>
    </w:p>
    <w:p>
      <w:pPr>
        <w:pStyle w:val="BodyText"/>
        <w:spacing w:before="1"/>
      </w:pPr>
    </w:p>
    <w:p>
      <w:pPr>
        <w:pStyle w:val="BodyText"/>
        <w:spacing w:line="480" w:lineRule="auto"/>
        <w:ind w:left="711" w:right="472"/>
        <w:jc w:val="both"/>
      </w:pPr>
      <w:r>
        <w:rPr/>
        <w:t>As</w:t>
      </w:r>
      <w:r>
        <w:rPr>
          <w:spacing w:val="-1"/>
        </w:rPr>
        <w:t> </w:t>
      </w:r>
      <w:r>
        <w:rPr/>
        <w:t>observed from</w:t>
      </w:r>
      <w:r>
        <w:rPr>
          <w:spacing w:val="-1"/>
        </w:rPr>
        <w:t> </w:t>
      </w:r>
      <w:r>
        <w:rPr/>
        <w:t>various studies in the literature review, capital flight has both short and long run effect on the economic growth of developing economies. Some of these effects are: destabilizing effects on domestic reserve position, reduction in available resource to finance</w:t>
      </w:r>
      <w:r>
        <w:rPr>
          <w:spacing w:val="80"/>
        </w:rPr>
        <w:t> </w:t>
      </w:r>
      <w:r>
        <w:rPr/>
        <w:t>domestic investment, decline in the rate of capital formation, reduction in</w:t>
      </w:r>
      <w:r>
        <w:rPr>
          <w:spacing w:val="40"/>
        </w:rPr>
        <w:t> </w:t>
      </w:r>
      <w:r>
        <w:rPr/>
        <w:t>the countries growth rate, reduction in government ability to tax all the income of its residents, increase</w:t>
      </w:r>
      <w:r>
        <w:rPr>
          <w:spacing w:val="40"/>
        </w:rPr>
        <w:t> </w:t>
      </w:r>
      <w:r>
        <w:rPr/>
        <w:t>in the need to borrow from abroad thereby increasing the foreign debt burden, regressive effects on the distribution of wealth, as well as, diversion of scare resources away from domestic investment and other productive activities (IFC, 1998; Ndikuma, 2000, Lessard and Williamson (1987). Generally, capital flight leads to a net loss in the total resources which are available to an economy for the purpose of investments and growth. Hence, the pace of growth and development in the economy is retarded from what it would have otherwise been. From the above, the main assumptions of the model formulation are discussed in the following section.</w:t>
      </w:r>
    </w:p>
    <w:p>
      <w:pPr>
        <w:spacing w:after="0" w:line="480" w:lineRule="auto"/>
        <w:jc w:val="both"/>
        <w:sectPr>
          <w:pgSz w:w="11910" w:h="16840"/>
          <w:pgMar w:header="0" w:footer="979" w:top="1360" w:bottom="1240" w:left="280" w:right="0"/>
        </w:sectPr>
      </w:pPr>
    </w:p>
    <w:p>
      <w:pPr>
        <w:pStyle w:val="Heading6"/>
        <w:numPr>
          <w:ilvl w:val="1"/>
          <w:numId w:val="14"/>
        </w:numPr>
        <w:tabs>
          <w:tab w:pos="1431" w:val="left" w:leader="none"/>
        </w:tabs>
        <w:spacing w:line="240" w:lineRule="auto" w:before="60" w:after="0"/>
        <w:ind w:left="1431" w:right="0" w:hanging="720"/>
        <w:jc w:val="both"/>
      </w:pPr>
      <w:bookmarkStart w:name="_TOC_250015" w:id="12"/>
      <w:r>
        <w:rPr/>
        <w:t>Assumptions</w:t>
      </w:r>
      <w:r>
        <w:rPr>
          <w:spacing w:val="-3"/>
        </w:rPr>
        <w:t> </w:t>
      </w:r>
      <w:r>
        <w:rPr/>
        <w:t>of</w:t>
      </w:r>
      <w:r>
        <w:rPr>
          <w:spacing w:val="-1"/>
        </w:rPr>
        <w:t> </w:t>
      </w:r>
      <w:r>
        <w:rPr/>
        <w:t>the</w:t>
      </w:r>
      <w:r>
        <w:rPr>
          <w:spacing w:val="-3"/>
        </w:rPr>
        <w:t> </w:t>
      </w:r>
      <w:r>
        <w:rPr/>
        <w:t>formulated</w:t>
      </w:r>
      <w:r>
        <w:rPr>
          <w:spacing w:val="-1"/>
        </w:rPr>
        <w:t> </w:t>
      </w:r>
      <w:bookmarkEnd w:id="12"/>
      <w:r>
        <w:rPr>
          <w:spacing w:val="-2"/>
        </w:rPr>
        <w:t>Models</w:t>
      </w:r>
    </w:p>
    <w:p>
      <w:pPr>
        <w:pStyle w:val="BodyText"/>
        <w:spacing w:before="1"/>
        <w:rPr>
          <w:b/>
        </w:rPr>
      </w:pPr>
    </w:p>
    <w:p>
      <w:pPr>
        <w:pStyle w:val="BodyText"/>
        <w:spacing w:line="480" w:lineRule="auto"/>
        <w:ind w:left="711" w:right="471"/>
        <w:jc w:val="both"/>
      </w:pPr>
      <w:r>
        <w:rPr/>
        <w:t>The</w:t>
      </w:r>
      <w:r>
        <w:rPr>
          <w:spacing w:val="-1"/>
        </w:rPr>
        <w:t> </w:t>
      </w:r>
      <w:r>
        <w:rPr/>
        <w:t>following assumptions were made base on the theoretical relationship that exists among</w:t>
      </w:r>
      <w:r>
        <w:rPr>
          <w:spacing w:val="-1"/>
        </w:rPr>
        <w:t> </w:t>
      </w:r>
      <w:r>
        <w:rPr/>
        <w:t>the variables in the literature. Hypotheses 1A and 1B were tested in line with the following underlined assumptions and decisions were made.</w:t>
      </w:r>
    </w:p>
    <w:p>
      <w:pPr>
        <w:pStyle w:val="ListParagraph"/>
        <w:numPr>
          <w:ilvl w:val="0"/>
          <w:numId w:val="15"/>
        </w:numPr>
        <w:tabs>
          <w:tab w:pos="1004" w:val="left" w:leader="none"/>
        </w:tabs>
        <w:spacing w:line="480" w:lineRule="auto" w:before="0" w:after="0"/>
        <w:ind w:left="711" w:right="476" w:firstLine="0"/>
        <w:jc w:val="both"/>
        <w:rPr>
          <w:sz w:val="24"/>
        </w:rPr>
      </w:pPr>
      <w:r>
        <w:rPr>
          <w:sz w:val="24"/>
        </w:rPr>
        <w:t>It is assumed that capital flight can be caused by the following variables: Inflation rate, Degree of openness in the economy, Gross capital formation, Change in external debt, Deposit rate, Credit to private sector, United State and Nigeria interest rate differential (USIRD) and Government Current Expenditure </w:t>
      </w:r>
      <w:r>
        <w:rPr>
          <w:spacing w:val="-2"/>
          <w:sz w:val="24"/>
        </w:rPr>
        <w:t>(GOCE).</w:t>
      </w:r>
    </w:p>
    <w:p>
      <w:pPr>
        <w:pStyle w:val="ListParagraph"/>
        <w:numPr>
          <w:ilvl w:val="1"/>
          <w:numId w:val="15"/>
        </w:numPr>
        <w:tabs>
          <w:tab w:pos="1431" w:val="left" w:leader="none"/>
        </w:tabs>
        <w:spacing w:line="463" w:lineRule="auto" w:before="3" w:after="0"/>
        <w:ind w:left="1431" w:right="478" w:hanging="360"/>
        <w:jc w:val="both"/>
        <w:rPr>
          <w:sz w:val="24"/>
        </w:rPr>
      </w:pPr>
      <w:r>
        <w:rPr>
          <w:sz w:val="24"/>
        </w:rPr>
        <w:t>The researcher contends that when inflation rate is high and real return on domestic investment is low, then capital has the tendency to fly.</w:t>
      </w:r>
    </w:p>
    <w:p>
      <w:pPr>
        <w:pStyle w:val="ListParagraph"/>
        <w:numPr>
          <w:ilvl w:val="1"/>
          <w:numId w:val="15"/>
        </w:numPr>
        <w:tabs>
          <w:tab w:pos="1431" w:val="left" w:leader="none"/>
        </w:tabs>
        <w:spacing w:line="463" w:lineRule="auto" w:before="20" w:after="0"/>
        <w:ind w:left="1431" w:right="476" w:hanging="360"/>
        <w:jc w:val="both"/>
        <w:rPr>
          <w:sz w:val="24"/>
        </w:rPr>
      </w:pPr>
      <w:r>
        <w:rPr>
          <w:sz w:val="24"/>
        </w:rPr>
        <w:t>It is expected</w:t>
      </w:r>
      <w:r>
        <w:rPr>
          <w:spacing w:val="40"/>
          <w:sz w:val="24"/>
        </w:rPr>
        <w:t> </w:t>
      </w:r>
      <w:r>
        <w:rPr>
          <w:sz w:val="24"/>
        </w:rPr>
        <w:t>that if the ratio of</w:t>
      </w:r>
      <w:r>
        <w:rPr>
          <w:spacing w:val="40"/>
          <w:sz w:val="24"/>
        </w:rPr>
        <w:t> </w:t>
      </w:r>
      <w:r>
        <w:rPr>
          <w:sz w:val="24"/>
        </w:rPr>
        <w:t>the summation of import and export values to the gross Domestic Product is negative or if there are more import than export, capital</w:t>
      </w:r>
      <w:r>
        <w:rPr>
          <w:spacing w:val="40"/>
          <w:sz w:val="24"/>
        </w:rPr>
        <w:t> </w:t>
      </w:r>
      <w:r>
        <w:rPr>
          <w:sz w:val="24"/>
        </w:rPr>
        <w:t>flight may be induced.</w:t>
      </w:r>
    </w:p>
    <w:p>
      <w:pPr>
        <w:pStyle w:val="ListParagraph"/>
        <w:numPr>
          <w:ilvl w:val="1"/>
          <w:numId w:val="15"/>
        </w:numPr>
        <w:tabs>
          <w:tab w:pos="1431" w:val="left" w:leader="none"/>
        </w:tabs>
        <w:spacing w:line="463" w:lineRule="auto" w:before="21" w:after="0"/>
        <w:ind w:left="1431" w:right="471" w:hanging="360"/>
        <w:jc w:val="both"/>
        <w:rPr>
          <w:sz w:val="24"/>
        </w:rPr>
      </w:pPr>
      <w:r>
        <w:rPr>
          <w:sz w:val="24"/>
        </w:rPr>
        <w:t>High stock of Gross capital formation with unfavourable investment climate and high political risk have the tendency to cause capital flight</w:t>
      </w:r>
    </w:p>
    <w:p>
      <w:pPr>
        <w:pStyle w:val="ListParagraph"/>
        <w:numPr>
          <w:ilvl w:val="1"/>
          <w:numId w:val="15"/>
        </w:numPr>
        <w:tabs>
          <w:tab w:pos="1431" w:val="left" w:leader="none"/>
        </w:tabs>
        <w:spacing w:line="470" w:lineRule="auto" w:before="21" w:after="0"/>
        <w:ind w:left="1431" w:right="475" w:hanging="360"/>
        <w:jc w:val="both"/>
        <w:rPr>
          <w:sz w:val="24"/>
        </w:rPr>
      </w:pPr>
      <w:r>
        <w:rPr>
          <w:sz w:val="24"/>
        </w:rPr>
        <w:t>It is postulated that an increase in the proportion of change in external debt with high probability of volatility, corruption, money laundering, mis- management and diversion is likely to increase the</w:t>
      </w:r>
      <w:r>
        <w:rPr>
          <w:spacing w:val="40"/>
          <w:sz w:val="24"/>
        </w:rPr>
        <w:t> </w:t>
      </w:r>
      <w:r>
        <w:rPr>
          <w:sz w:val="24"/>
        </w:rPr>
        <w:t>rate of capital flight.</w:t>
      </w:r>
    </w:p>
    <w:p>
      <w:pPr>
        <w:pStyle w:val="ListParagraph"/>
        <w:numPr>
          <w:ilvl w:val="1"/>
          <w:numId w:val="15"/>
        </w:numPr>
        <w:tabs>
          <w:tab w:pos="1431" w:val="left" w:leader="none"/>
        </w:tabs>
        <w:spacing w:line="475" w:lineRule="auto" w:before="15" w:after="0"/>
        <w:ind w:left="1431" w:right="472" w:hanging="360"/>
        <w:jc w:val="both"/>
        <w:rPr>
          <w:sz w:val="24"/>
        </w:rPr>
      </w:pPr>
      <w:r>
        <w:rPr>
          <w:sz w:val="24"/>
        </w:rPr>
        <w:t>This study contends that when the domestic interest rate is high and the cost of investment to the domestic investor is high, the returns on domestic will be reduced. This may</w:t>
      </w:r>
      <w:r>
        <w:rPr>
          <w:spacing w:val="80"/>
          <w:sz w:val="24"/>
        </w:rPr>
        <w:t> </w:t>
      </w:r>
      <w:r>
        <w:rPr>
          <w:sz w:val="24"/>
        </w:rPr>
        <w:t>prompt domestic investors to move their capital to other economies where they can get higher returns on their </w:t>
      </w:r>
      <w:r>
        <w:rPr>
          <w:spacing w:val="-2"/>
          <w:sz w:val="24"/>
        </w:rPr>
        <w:t>investments.</w:t>
      </w:r>
    </w:p>
    <w:p>
      <w:pPr>
        <w:pStyle w:val="ListParagraph"/>
        <w:numPr>
          <w:ilvl w:val="1"/>
          <w:numId w:val="15"/>
        </w:numPr>
        <w:tabs>
          <w:tab w:pos="1431" w:val="left" w:leader="none"/>
        </w:tabs>
        <w:spacing w:line="472" w:lineRule="auto" w:before="4" w:after="0"/>
        <w:ind w:left="1431" w:right="478" w:hanging="360"/>
        <w:jc w:val="both"/>
        <w:rPr>
          <w:sz w:val="24"/>
        </w:rPr>
      </w:pPr>
      <w:r>
        <w:rPr>
          <w:sz w:val="24"/>
        </w:rPr>
        <w:t>It is assumed that an increase in the volume of capital availability</w:t>
      </w:r>
      <w:r>
        <w:rPr>
          <w:spacing w:val="-4"/>
          <w:sz w:val="24"/>
        </w:rPr>
        <w:t> </w:t>
      </w:r>
      <w:r>
        <w:rPr>
          <w:sz w:val="24"/>
        </w:rPr>
        <w:t>to the private investors to invest in the domestic economies with unfavourable environment, inadequate infrastructural facilities and</w:t>
      </w:r>
      <w:r>
        <w:rPr>
          <w:spacing w:val="40"/>
          <w:sz w:val="24"/>
        </w:rPr>
        <w:t> </w:t>
      </w:r>
      <w:r>
        <w:rPr>
          <w:sz w:val="24"/>
        </w:rPr>
        <w:t>high political risk may induce capital flight.</w:t>
      </w:r>
    </w:p>
    <w:p>
      <w:pPr>
        <w:spacing w:after="0" w:line="472" w:lineRule="auto"/>
        <w:jc w:val="both"/>
        <w:rPr>
          <w:sz w:val="24"/>
        </w:rPr>
        <w:sectPr>
          <w:pgSz w:w="11910" w:h="16840"/>
          <w:pgMar w:header="0" w:footer="979" w:top="1360" w:bottom="1240" w:left="280" w:right="0"/>
        </w:sectPr>
      </w:pPr>
    </w:p>
    <w:p>
      <w:pPr>
        <w:pStyle w:val="ListParagraph"/>
        <w:numPr>
          <w:ilvl w:val="1"/>
          <w:numId w:val="15"/>
        </w:numPr>
        <w:tabs>
          <w:tab w:pos="1431" w:val="left" w:leader="none"/>
        </w:tabs>
        <w:spacing w:line="470" w:lineRule="auto" w:before="83" w:after="0"/>
        <w:ind w:left="1431" w:right="469" w:hanging="360"/>
        <w:jc w:val="both"/>
        <w:rPr>
          <w:sz w:val="24"/>
        </w:rPr>
      </w:pPr>
      <w:r>
        <w:rPr>
          <w:sz w:val="24"/>
        </w:rPr>
        <w:t>It is assumed that the difference in the domestic interest rate and that of developed economies like</w:t>
      </w:r>
      <w:r>
        <w:rPr>
          <w:spacing w:val="40"/>
          <w:sz w:val="24"/>
        </w:rPr>
        <w:t> </w:t>
      </w:r>
      <w:r>
        <w:rPr>
          <w:sz w:val="24"/>
        </w:rPr>
        <w:t>the United State of American in favour of the latter will influence the movement of capital from the domestic to foreign economy.</w:t>
      </w:r>
    </w:p>
    <w:p>
      <w:pPr>
        <w:pStyle w:val="ListParagraph"/>
        <w:numPr>
          <w:ilvl w:val="1"/>
          <w:numId w:val="15"/>
        </w:numPr>
        <w:tabs>
          <w:tab w:pos="1430" w:val="left" w:leader="none"/>
        </w:tabs>
        <w:spacing w:line="240" w:lineRule="auto" w:before="14" w:after="0"/>
        <w:ind w:left="1430" w:right="0" w:hanging="359"/>
        <w:jc w:val="both"/>
        <w:rPr>
          <w:sz w:val="24"/>
        </w:rPr>
      </w:pPr>
      <w:r>
        <w:rPr>
          <w:sz w:val="24"/>
        </w:rPr>
        <w:t>An</w:t>
      </w:r>
      <w:r>
        <w:rPr>
          <w:spacing w:val="-4"/>
          <w:sz w:val="24"/>
        </w:rPr>
        <w:t> </w:t>
      </w:r>
      <w:r>
        <w:rPr>
          <w:sz w:val="24"/>
        </w:rPr>
        <w:t>abuse</w:t>
      </w:r>
      <w:r>
        <w:rPr>
          <w:spacing w:val="-2"/>
          <w:sz w:val="24"/>
        </w:rPr>
        <w:t> </w:t>
      </w:r>
      <w:r>
        <w:rPr>
          <w:sz w:val="24"/>
        </w:rPr>
        <w:t>of</w:t>
      </w:r>
      <w:r>
        <w:rPr>
          <w:spacing w:val="-1"/>
          <w:sz w:val="24"/>
        </w:rPr>
        <w:t> </w:t>
      </w:r>
      <w:r>
        <w:rPr>
          <w:sz w:val="24"/>
        </w:rPr>
        <w:t>government</w:t>
      </w:r>
      <w:r>
        <w:rPr>
          <w:spacing w:val="1"/>
          <w:sz w:val="24"/>
        </w:rPr>
        <w:t> </w:t>
      </w:r>
      <w:r>
        <w:rPr>
          <w:sz w:val="24"/>
        </w:rPr>
        <w:t>current expenditure</w:t>
      </w:r>
      <w:r>
        <w:rPr>
          <w:spacing w:val="-3"/>
          <w:sz w:val="24"/>
        </w:rPr>
        <w:t> </w:t>
      </w:r>
      <w:r>
        <w:rPr>
          <w:sz w:val="24"/>
        </w:rPr>
        <w:t>is</w:t>
      </w:r>
      <w:r>
        <w:rPr>
          <w:spacing w:val="-2"/>
          <w:sz w:val="24"/>
        </w:rPr>
        <w:t> </w:t>
      </w:r>
      <w:r>
        <w:rPr>
          <w:sz w:val="24"/>
        </w:rPr>
        <w:t>expected</w:t>
      </w:r>
      <w:r>
        <w:rPr>
          <w:spacing w:val="-1"/>
          <w:sz w:val="24"/>
        </w:rPr>
        <w:t> </w:t>
      </w:r>
      <w:r>
        <w:rPr>
          <w:sz w:val="24"/>
        </w:rPr>
        <w:t>to</w:t>
      </w:r>
      <w:r>
        <w:rPr>
          <w:spacing w:val="-2"/>
          <w:sz w:val="24"/>
        </w:rPr>
        <w:t> </w:t>
      </w:r>
      <w:r>
        <w:rPr>
          <w:sz w:val="24"/>
        </w:rPr>
        <w:t>fuel</w:t>
      </w:r>
      <w:r>
        <w:rPr>
          <w:spacing w:val="1"/>
          <w:sz w:val="24"/>
        </w:rPr>
        <w:t> </w:t>
      </w:r>
      <w:r>
        <w:rPr>
          <w:sz w:val="24"/>
        </w:rPr>
        <w:t>capital</w:t>
      </w:r>
      <w:r>
        <w:rPr>
          <w:spacing w:val="-1"/>
          <w:sz w:val="24"/>
        </w:rPr>
        <w:t> </w:t>
      </w:r>
      <w:r>
        <w:rPr>
          <w:spacing w:val="-2"/>
          <w:sz w:val="24"/>
        </w:rPr>
        <w:t>flight.</w:t>
      </w:r>
    </w:p>
    <w:p>
      <w:pPr>
        <w:pStyle w:val="ListParagraph"/>
        <w:numPr>
          <w:ilvl w:val="0"/>
          <w:numId w:val="16"/>
        </w:numPr>
        <w:tabs>
          <w:tab w:pos="1265" w:val="left" w:leader="none"/>
        </w:tabs>
        <w:spacing w:line="480" w:lineRule="auto" w:before="273" w:after="0"/>
        <w:ind w:left="711" w:right="470" w:firstLine="0"/>
        <w:jc w:val="both"/>
        <w:rPr>
          <w:sz w:val="24"/>
        </w:rPr>
      </w:pPr>
      <w:r>
        <w:rPr>
          <w:sz w:val="24"/>
        </w:rPr>
        <w:t>This study also assumes that the major capital flight variables that influence economic growth are: (Gross</w:t>
      </w:r>
      <w:r>
        <w:rPr>
          <w:spacing w:val="-1"/>
          <w:sz w:val="24"/>
        </w:rPr>
        <w:t> </w:t>
      </w:r>
      <w:r>
        <w:rPr>
          <w:sz w:val="24"/>
        </w:rPr>
        <w:t>Domestic</w:t>
      </w:r>
      <w:r>
        <w:rPr>
          <w:spacing w:val="-2"/>
          <w:sz w:val="24"/>
        </w:rPr>
        <w:t> </w:t>
      </w:r>
      <w:r>
        <w:rPr>
          <w:sz w:val="24"/>
        </w:rPr>
        <w:t>Product)</w:t>
      </w:r>
      <w:r>
        <w:rPr>
          <w:spacing w:val="-1"/>
          <w:sz w:val="24"/>
        </w:rPr>
        <w:t> </w:t>
      </w:r>
      <w:r>
        <w:rPr>
          <w:sz w:val="24"/>
        </w:rPr>
        <w:t>are</w:t>
      </w:r>
      <w:r>
        <w:rPr>
          <w:spacing w:val="-3"/>
          <w:sz w:val="24"/>
        </w:rPr>
        <w:t> </w:t>
      </w:r>
      <w:r>
        <w:rPr>
          <w:sz w:val="24"/>
        </w:rPr>
        <w:t>Change</w:t>
      </w:r>
      <w:r>
        <w:rPr>
          <w:spacing w:val="-2"/>
          <w:sz w:val="24"/>
        </w:rPr>
        <w:t> </w:t>
      </w:r>
      <w:r>
        <w:rPr>
          <w:sz w:val="24"/>
        </w:rPr>
        <w:t>in</w:t>
      </w:r>
      <w:r>
        <w:rPr>
          <w:spacing w:val="-1"/>
          <w:sz w:val="24"/>
        </w:rPr>
        <w:t> </w:t>
      </w:r>
      <w:r>
        <w:rPr>
          <w:sz w:val="24"/>
        </w:rPr>
        <w:t>external</w:t>
      </w:r>
      <w:r>
        <w:rPr>
          <w:spacing w:val="80"/>
          <w:w w:val="150"/>
          <w:sz w:val="24"/>
        </w:rPr>
        <w:t> </w:t>
      </w:r>
      <w:r>
        <w:rPr>
          <w:sz w:val="24"/>
        </w:rPr>
        <w:t>debt,</w:t>
      </w:r>
      <w:r>
        <w:rPr>
          <w:spacing w:val="80"/>
          <w:sz w:val="24"/>
        </w:rPr>
        <w:t> </w:t>
      </w:r>
      <w:r>
        <w:rPr>
          <w:sz w:val="24"/>
        </w:rPr>
        <w:t>direct</w:t>
      </w:r>
      <w:r>
        <w:rPr>
          <w:spacing w:val="80"/>
          <w:sz w:val="24"/>
        </w:rPr>
        <w:t> </w:t>
      </w:r>
      <w:r>
        <w:rPr>
          <w:sz w:val="24"/>
        </w:rPr>
        <w:t>foreign</w:t>
      </w:r>
      <w:r>
        <w:rPr>
          <w:spacing w:val="80"/>
          <w:sz w:val="24"/>
        </w:rPr>
        <w:t> </w:t>
      </w:r>
      <w:r>
        <w:rPr>
          <w:sz w:val="24"/>
        </w:rPr>
        <w:t>investment,</w:t>
      </w:r>
      <w:r>
        <w:rPr>
          <w:spacing w:val="80"/>
          <w:sz w:val="24"/>
        </w:rPr>
        <w:t> </w:t>
      </w:r>
      <w:r>
        <w:rPr>
          <w:sz w:val="24"/>
        </w:rPr>
        <w:t>Current</w:t>
      </w:r>
      <w:r>
        <w:rPr>
          <w:spacing w:val="80"/>
          <w:sz w:val="24"/>
        </w:rPr>
        <w:t> </w:t>
      </w:r>
      <w:r>
        <w:rPr>
          <w:sz w:val="24"/>
        </w:rPr>
        <w:t>account balance,</w:t>
      </w:r>
      <w:r>
        <w:rPr>
          <w:spacing w:val="-2"/>
          <w:sz w:val="24"/>
        </w:rPr>
        <w:t> </w:t>
      </w:r>
      <w:r>
        <w:rPr>
          <w:sz w:val="24"/>
        </w:rPr>
        <w:t>Change</w:t>
      </w:r>
      <w:r>
        <w:rPr>
          <w:spacing w:val="-3"/>
          <w:sz w:val="24"/>
        </w:rPr>
        <w:t> </w:t>
      </w:r>
      <w:r>
        <w:rPr>
          <w:sz w:val="24"/>
        </w:rPr>
        <w:t>in</w:t>
      </w:r>
      <w:r>
        <w:rPr>
          <w:spacing w:val="-2"/>
          <w:sz w:val="24"/>
        </w:rPr>
        <w:t> </w:t>
      </w:r>
      <w:r>
        <w:rPr>
          <w:sz w:val="24"/>
        </w:rPr>
        <w:t>external</w:t>
      </w:r>
      <w:r>
        <w:rPr>
          <w:spacing w:val="-2"/>
          <w:sz w:val="24"/>
        </w:rPr>
        <w:t> </w:t>
      </w:r>
      <w:r>
        <w:rPr>
          <w:sz w:val="24"/>
        </w:rPr>
        <w:t>reserve</w:t>
      </w:r>
      <w:r>
        <w:rPr>
          <w:spacing w:val="-3"/>
          <w:sz w:val="24"/>
        </w:rPr>
        <w:t> </w:t>
      </w:r>
      <w:r>
        <w:rPr>
          <w:sz w:val="24"/>
        </w:rPr>
        <w:t>and</w:t>
      </w:r>
      <w:r>
        <w:rPr>
          <w:spacing w:val="-2"/>
          <w:sz w:val="24"/>
        </w:rPr>
        <w:t> </w:t>
      </w:r>
      <w:r>
        <w:rPr>
          <w:sz w:val="24"/>
        </w:rPr>
        <w:t>Change</w:t>
      </w:r>
      <w:r>
        <w:rPr>
          <w:spacing w:val="-3"/>
          <w:sz w:val="24"/>
        </w:rPr>
        <w:t> </w:t>
      </w:r>
      <w:r>
        <w:rPr>
          <w:sz w:val="24"/>
        </w:rPr>
        <w:t>in</w:t>
      </w:r>
      <w:r>
        <w:rPr>
          <w:spacing w:val="-2"/>
          <w:sz w:val="24"/>
        </w:rPr>
        <w:t> </w:t>
      </w:r>
      <w:r>
        <w:rPr>
          <w:sz w:val="24"/>
        </w:rPr>
        <w:t>foreign</w:t>
      </w:r>
      <w:r>
        <w:rPr>
          <w:spacing w:val="-2"/>
          <w:sz w:val="24"/>
        </w:rPr>
        <w:t> </w:t>
      </w:r>
      <w:r>
        <w:rPr>
          <w:sz w:val="24"/>
        </w:rPr>
        <w:t>asset</w:t>
      </w:r>
      <w:r>
        <w:rPr>
          <w:spacing w:val="-2"/>
          <w:sz w:val="24"/>
        </w:rPr>
        <w:t> </w:t>
      </w:r>
      <w:r>
        <w:rPr>
          <w:sz w:val="24"/>
        </w:rPr>
        <w:t>of</w:t>
      </w:r>
      <w:r>
        <w:rPr>
          <w:spacing w:val="-2"/>
          <w:sz w:val="24"/>
        </w:rPr>
        <w:t> </w:t>
      </w:r>
      <w:r>
        <w:rPr>
          <w:sz w:val="24"/>
        </w:rPr>
        <w:t>domestic</w:t>
      </w:r>
      <w:r>
        <w:rPr>
          <w:spacing w:val="-3"/>
          <w:sz w:val="24"/>
        </w:rPr>
        <w:t> </w:t>
      </w:r>
      <w:r>
        <w:rPr>
          <w:sz w:val="24"/>
        </w:rPr>
        <w:t>banking</w:t>
      </w:r>
      <w:r>
        <w:rPr>
          <w:spacing w:val="-4"/>
          <w:sz w:val="24"/>
        </w:rPr>
        <w:t> </w:t>
      </w:r>
      <w:r>
        <w:rPr>
          <w:sz w:val="24"/>
        </w:rPr>
        <w:t>system.</w:t>
      </w:r>
      <w:r>
        <w:rPr>
          <w:spacing w:val="75"/>
          <w:sz w:val="24"/>
        </w:rPr>
        <w:t>   </w:t>
      </w:r>
      <w:r>
        <w:rPr>
          <w:sz w:val="24"/>
        </w:rPr>
        <w:t>Models</w:t>
      </w:r>
      <w:r>
        <w:rPr>
          <w:spacing w:val="80"/>
          <w:w w:val="150"/>
          <w:sz w:val="24"/>
        </w:rPr>
        <w:t> </w:t>
      </w:r>
      <w:r>
        <w:rPr>
          <w:sz w:val="24"/>
        </w:rPr>
        <w:t>2, 5 and 6 were tested in line with the following underlined assumptions.</w:t>
      </w:r>
    </w:p>
    <w:p>
      <w:pPr>
        <w:pStyle w:val="ListParagraph"/>
        <w:numPr>
          <w:ilvl w:val="1"/>
          <w:numId w:val="16"/>
        </w:numPr>
        <w:tabs>
          <w:tab w:pos="1431" w:val="left" w:leader="none"/>
        </w:tabs>
        <w:spacing w:line="475" w:lineRule="auto" w:before="3" w:after="0"/>
        <w:ind w:left="1431" w:right="472" w:hanging="360"/>
        <w:jc w:val="both"/>
        <w:rPr>
          <w:sz w:val="24"/>
        </w:rPr>
      </w:pPr>
      <w:r>
        <w:rPr>
          <w:sz w:val="24"/>
        </w:rPr>
        <w:t>It is postulated that an increase in the proportion of change in external debt with effective utilization and adequate management may boost economic growth, whereas ineffective management, high probability</w:t>
      </w:r>
      <w:r>
        <w:rPr>
          <w:spacing w:val="-5"/>
          <w:sz w:val="24"/>
        </w:rPr>
        <w:t> </w:t>
      </w:r>
      <w:r>
        <w:rPr>
          <w:sz w:val="24"/>
        </w:rPr>
        <w:t>of</w:t>
      </w:r>
      <w:r>
        <w:rPr>
          <w:spacing w:val="-1"/>
          <w:sz w:val="24"/>
        </w:rPr>
        <w:t> </w:t>
      </w:r>
      <w:r>
        <w:rPr>
          <w:sz w:val="24"/>
        </w:rPr>
        <w:t>volatility, corruption, money</w:t>
      </w:r>
      <w:r>
        <w:rPr>
          <w:spacing w:val="-7"/>
          <w:sz w:val="24"/>
        </w:rPr>
        <w:t> </w:t>
      </w:r>
      <w:r>
        <w:rPr>
          <w:sz w:val="24"/>
        </w:rPr>
        <w:t>laundering</w:t>
      </w:r>
      <w:r>
        <w:rPr>
          <w:spacing w:val="-1"/>
          <w:sz w:val="24"/>
        </w:rPr>
        <w:t> </w:t>
      </w:r>
      <w:r>
        <w:rPr>
          <w:sz w:val="24"/>
        </w:rPr>
        <w:t>and diversion are</w:t>
      </w:r>
      <w:r>
        <w:rPr>
          <w:spacing w:val="-2"/>
          <w:sz w:val="24"/>
        </w:rPr>
        <w:t> </w:t>
      </w:r>
      <w:r>
        <w:rPr>
          <w:sz w:val="24"/>
        </w:rPr>
        <w:t>likely</w:t>
      </w:r>
      <w:r>
        <w:rPr>
          <w:spacing w:val="-2"/>
          <w:sz w:val="24"/>
        </w:rPr>
        <w:t> </w:t>
      </w:r>
      <w:r>
        <w:rPr>
          <w:sz w:val="24"/>
        </w:rPr>
        <w:t>to have</w:t>
      </w:r>
      <w:r>
        <w:rPr>
          <w:spacing w:val="-1"/>
          <w:sz w:val="24"/>
        </w:rPr>
        <w:t> </w:t>
      </w:r>
      <w:r>
        <w:rPr>
          <w:sz w:val="24"/>
        </w:rPr>
        <w:t>adverse effect on the economic growth.</w:t>
      </w:r>
    </w:p>
    <w:p>
      <w:pPr>
        <w:pStyle w:val="ListParagraph"/>
        <w:numPr>
          <w:ilvl w:val="1"/>
          <w:numId w:val="16"/>
        </w:numPr>
        <w:tabs>
          <w:tab w:pos="1431" w:val="left" w:leader="none"/>
        </w:tabs>
        <w:spacing w:line="470" w:lineRule="auto" w:before="3" w:after="0"/>
        <w:ind w:left="1431" w:right="470" w:hanging="360"/>
        <w:jc w:val="both"/>
        <w:rPr>
          <w:sz w:val="24"/>
        </w:rPr>
      </w:pPr>
      <w:r>
        <w:rPr>
          <w:sz w:val="24"/>
        </w:rPr>
        <w:t>The researcher contends that an increase in the level of direct foreign investment with a</w:t>
      </w:r>
      <w:r>
        <w:rPr>
          <w:spacing w:val="40"/>
          <w:sz w:val="24"/>
        </w:rPr>
        <w:t> </w:t>
      </w:r>
      <w:r>
        <w:rPr>
          <w:sz w:val="24"/>
        </w:rPr>
        <w:t>proportionate good investment climate and political stability may improve the level of economic </w:t>
      </w:r>
      <w:r>
        <w:rPr>
          <w:spacing w:val="-2"/>
          <w:sz w:val="24"/>
        </w:rPr>
        <w:t>growth.</w:t>
      </w:r>
    </w:p>
    <w:p>
      <w:pPr>
        <w:pStyle w:val="ListParagraph"/>
        <w:numPr>
          <w:ilvl w:val="1"/>
          <w:numId w:val="16"/>
        </w:numPr>
        <w:tabs>
          <w:tab w:pos="1431" w:val="left" w:leader="none"/>
        </w:tabs>
        <w:spacing w:line="465" w:lineRule="auto" w:before="15" w:after="0"/>
        <w:ind w:left="1431" w:right="467" w:hanging="360"/>
        <w:jc w:val="both"/>
        <w:rPr>
          <w:sz w:val="24"/>
        </w:rPr>
      </w:pPr>
      <w:r>
        <w:rPr>
          <w:sz w:val="24"/>
        </w:rPr>
        <w:t>This study contends that a surplus current account balance has the tendency of boosting the</w:t>
      </w:r>
      <w:r>
        <w:rPr>
          <w:spacing w:val="40"/>
          <w:sz w:val="24"/>
        </w:rPr>
        <w:t> </w:t>
      </w:r>
      <w:r>
        <w:rPr>
          <w:sz w:val="24"/>
        </w:rPr>
        <w:t>economic growth while a deficit current account balance may adversely affect the economy.</w:t>
      </w:r>
    </w:p>
    <w:p>
      <w:pPr>
        <w:pStyle w:val="ListParagraph"/>
        <w:numPr>
          <w:ilvl w:val="1"/>
          <w:numId w:val="16"/>
        </w:numPr>
        <w:tabs>
          <w:tab w:pos="1431" w:val="left" w:leader="none"/>
        </w:tabs>
        <w:spacing w:line="475" w:lineRule="auto" w:before="18" w:after="0"/>
        <w:ind w:left="1431" w:right="474" w:hanging="360"/>
        <w:jc w:val="both"/>
        <w:rPr>
          <w:sz w:val="24"/>
        </w:rPr>
      </w:pPr>
      <w:r>
        <w:rPr>
          <w:sz w:val="24"/>
        </w:rPr>
        <w:t>Another underlined assumption of the model in this study is that an increase in the volume or</w:t>
      </w:r>
      <w:r>
        <w:rPr>
          <w:spacing w:val="80"/>
          <w:sz w:val="24"/>
        </w:rPr>
        <w:t> </w:t>
      </w:r>
      <w:r>
        <w:rPr>
          <w:sz w:val="24"/>
        </w:rPr>
        <w:t>amount of change in external reserve will increase the ability of the country to meet her obligations to the International communities and as such boost the domestic economy. This will invariably lead to improved economy growth.</w:t>
      </w:r>
    </w:p>
    <w:p>
      <w:pPr>
        <w:pStyle w:val="ListParagraph"/>
        <w:numPr>
          <w:ilvl w:val="1"/>
          <w:numId w:val="16"/>
        </w:numPr>
        <w:tabs>
          <w:tab w:pos="1431" w:val="left" w:leader="none"/>
        </w:tabs>
        <w:spacing w:line="475" w:lineRule="auto" w:before="4" w:after="0"/>
        <w:ind w:left="1431" w:right="469" w:hanging="360"/>
        <w:jc w:val="both"/>
        <w:rPr>
          <w:sz w:val="24"/>
        </w:rPr>
      </w:pPr>
      <w:r>
        <w:rPr>
          <w:sz w:val="24"/>
        </w:rPr>
        <w:t>The researcher contends that a reduction in the volume or amount of change in external reserve will reduce the</w:t>
      </w:r>
      <w:r>
        <w:rPr>
          <w:spacing w:val="-1"/>
          <w:sz w:val="24"/>
        </w:rPr>
        <w:t> </w:t>
      </w:r>
      <w:r>
        <w:rPr>
          <w:sz w:val="24"/>
        </w:rPr>
        <w:t>ability</w:t>
      </w:r>
      <w:r>
        <w:rPr>
          <w:spacing w:val="-3"/>
          <w:sz w:val="24"/>
        </w:rPr>
        <w:t> </w:t>
      </w:r>
      <w:r>
        <w:rPr>
          <w:sz w:val="24"/>
        </w:rPr>
        <w:t>of</w:t>
      </w:r>
      <w:r>
        <w:rPr>
          <w:spacing w:val="-1"/>
          <w:sz w:val="24"/>
        </w:rPr>
        <w:t> </w:t>
      </w:r>
      <w:r>
        <w:rPr>
          <w:sz w:val="24"/>
        </w:rPr>
        <w:t>the country</w:t>
      </w:r>
      <w:r>
        <w:rPr>
          <w:spacing w:val="-5"/>
          <w:sz w:val="24"/>
        </w:rPr>
        <w:t> </w:t>
      </w:r>
      <w:r>
        <w:rPr>
          <w:sz w:val="24"/>
        </w:rPr>
        <w:t>to meet her obligations to the</w:t>
      </w:r>
      <w:r>
        <w:rPr>
          <w:spacing w:val="-1"/>
          <w:sz w:val="24"/>
        </w:rPr>
        <w:t> </w:t>
      </w:r>
      <w:r>
        <w:rPr>
          <w:sz w:val="24"/>
        </w:rPr>
        <w:t>international communities</w:t>
      </w:r>
      <w:r>
        <w:rPr>
          <w:spacing w:val="-1"/>
          <w:sz w:val="24"/>
        </w:rPr>
        <w:t> </w:t>
      </w:r>
      <w:r>
        <w:rPr>
          <w:sz w:val="24"/>
        </w:rPr>
        <w:t>and as such puts pressure on the domestic economy. This can invariably lead to capital flight to other economies with stable economic enviromen</w:t>
      </w:r>
    </w:p>
    <w:p>
      <w:pPr>
        <w:spacing w:after="0" w:line="475" w:lineRule="auto"/>
        <w:jc w:val="both"/>
        <w:rPr>
          <w:sz w:val="24"/>
        </w:rPr>
        <w:sectPr>
          <w:pgSz w:w="11910" w:h="16840"/>
          <w:pgMar w:header="0" w:footer="979" w:top="1340" w:bottom="1240" w:left="280" w:right="0"/>
        </w:sectPr>
      </w:pPr>
    </w:p>
    <w:p>
      <w:pPr>
        <w:pStyle w:val="ListParagraph"/>
        <w:numPr>
          <w:ilvl w:val="1"/>
          <w:numId w:val="16"/>
        </w:numPr>
        <w:tabs>
          <w:tab w:pos="1431" w:val="left" w:leader="none"/>
        </w:tabs>
        <w:spacing w:line="477" w:lineRule="auto" w:before="83" w:after="0"/>
        <w:ind w:left="1431" w:right="471" w:hanging="360"/>
        <w:jc w:val="both"/>
        <w:rPr>
          <w:sz w:val="24"/>
        </w:rPr>
      </w:pPr>
      <w:r>
        <w:rPr>
          <w:sz w:val="24"/>
        </w:rPr>
        <w:t>Finally, it is assumed in this study that the amount of change in the asset of domestic bank kept in another country will affect the economic growth of the domestic economy. Moderate increase in foreign</w:t>
      </w:r>
      <w:r>
        <w:rPr>
          <w:spacing w:val="-2"/>
          <w:sz w:val="24"/>
        </w:rPr>
        <w:t> </w:t>
      </w:r>
      <w:r>
        <w:rPr>
          <w:sz w:val="24"/>
        </w:rPr>
        <w:t>asset</w:t>
      </w:r>
      <w:r>
        <w:rPr>
          <w:spacing w:val="-2"/>
          <w:sz w:val="24"/>
        </w:rPr>
        <w:t> </w:t>
      </w:r>
      <w:r>
        <w:rPr>
          <w:sz w:val="24"/>
        </w:rPr>
        <w:t>of</w:t>
      </w:r>
      <w:r>
        <w:rPr>
          <w:spacing w:val="-2"/>
          <w:sz w:val="24"/>
        </w:rPr>
        <w:t> </w:t>
      </w:r>
      <w:r>
        <w:rPr>
          <w:sz w:val="24"/>
        </w:rPr>
        <w:t>domestic</w:t>
      </w:r>
      <w:r>
        <w:rPr>
          <w:spacing w:val="-2"/>
          <w:sz w:val="24"/>
        </w:rPr>
        <w:t> </w:t>
      </w:r>
      <w:r>
        <w:rPr>
          <w:sz w:val="24"/>
        </w:rPr>
        <w:t>bank</w:t>
      </w:r>
      <w:r>
        <w:rPr>
          <w:spacing w:val="-2"/>
          <w:sz w:val="24"/>
        </w:rPr>
        <w:t> </w:t>
      </w:r>
      <w:r>
        <w:rPr>
          <w:sz w:val="24"/>
        </w:rPr>
        <w:t>in</w:t>
      </w:r>
      <w:r>
        <w:rPr>
          <w:spacing w:val="-2"/>
          <w:sz w:val="24"/>
        </w:rPr>
        <w:t> </w:t>
      </w:r>
      <w:r>
        <w:rPr>
          <w:sz w:val="24"/>
        </w:rPr>
        <w:t>another</w:t>
      </w:r>
      <w:r>
        <w:rPr>
          <w:spacing w:val="-2"/>
          <w:sz w:val="24"/>
        </w:rPr>
        <w:t> </w:t>
      </w:r>
      <w:r>
        <w:rPr>
          <w:sz w:val="24"/>
        </w:rPr>
        <w:t>economy</w:t>
      </w:r>
      <w:r>
        <w:rPr>
          <w:spacing w:val="-5"/>
          <w:sz w:val="24"/>
        </w:rPr>
        <w:t> </w:t>
      </w:r>
      <w:r>
        <w:rPr>
          <w:sz w:val="24"/>
        </w:rPr>
        <w:t>will</w:t>
      </w:r>
      <w:r>
        <w:rPr>
          <w:spacing w:val="-2"/>
          <w:sz w:val="24"/>
        </w:rPr>
        <w:t> </w:t>
      </w:r>
      <w:r>
        <w:rPr>
          <w:sz w:val="24"/>
        </w:rPr>
        <w:t>make</w:t>
      </w:r>
      <w:r>
        <w:rPr>
          <w:spacing w:val="-2"/>
          <w:sz w:val="24"/>
        </w:rPr>
        <w:t> </w:t>
      </w:r>
      <w:r>
        <w:rPr>
          <w:sz w:val="24"/>
        </w:rPr>
        <w:t>available</w:t>
      </w:r>
      <w:r>
        <w:rPr>
          <w:spacing w:val="-2"/>
          <w:sz w:val="24"/>
        </w:rPr>
        <w:t> </w:t>
      </w:r>
      <w:r>
        <w:rPr>
          <w:sz w:val="24"/>
        </w:rPr>
        <w:t>adequate</w:t>
      </w:r>
      <w:r>
        <w:rPr>
          <w:spacing w:val="-2"/>
          <w:sz w:val="24"/>
        </w:rPr>
        <w:t> </w:t>
      </w:r>
      <w:r>
        <w:rPr>
          <w:sz w:val="24"/>
        </w:rPr>
        <w:t>capital</w:t>
      </w:r>
      <w:r>
        <w:rPr>
          <w:spacing w:val="-1"/>
          <w:sz w:val="24"/>
        </w:rPr>
        <w:t> </w:t>
      </w:r>
      <w:r>
        <w:rPr>
          <w:sz w:val="24"/>
        </w:rPr>
        <w:t>for</w:t>
      </w:r>
      <w:r>
        <w:rPr>
          <w:spacing w:val="-4"/>
          <w:sz w:val="24"/>
        </w:rPr>
        <w:t> </w:t>
      </w:r>
      <w:r>
        <w:rPr>
          <w:sz w:val="24"/>
        </w:rPr>
        <w:t>domestic economy, as well as, yield returns from foreign investment, this will boost economic growth. On the other hand, too much investment in foreign asset may deprive the domestic economy from the needed capital to boost economic growth.</w:t>
      </w:r>
    </w:p>
    <w:p>
      <w:pPr>
        <w:pStyle w:val="Heading6"/>
        <w:numPr>
          <w:ilvl w:val="1"/>
          <w:numId w:val="14"/>
        </w:numPr>
        <w:tabs>
          <w:tab w:pos="1251" w:val="left" w:leader="none"/>
        </w:tabs>
        <w:spacing w:line="272" w:lineRule="exact" w:before="0" w:after="0"/>
        <w:ind w:left="1251" w:right="0" w:hanging="540"/>
        <w:jc w:val="left"/>
      </w:pPr>
      <w:bookmarkStart w:name="_TOC_250014" w:id="13"/>
      <w:r>
        <w:rPr/>
        <w:t>Models</w:t>
      </w:r>
      <w:bookmarkEnd w:id="13"/>
      <w:r>
        <w:rPr>
          <w:spacing w:val="-2"/>
        </w:rPr>
        <w:t> Specification</w:t>
      </w:r>
    </w:p>
    <w:p>
      <w:pPr>
        <w:pStyle w:val="BodyText"/>
        <w:rPr>
          <w:b/>
        </w:rPr>
      </w:pPr>
    </w:p>
    <w:p>
      <w:pPr>
        <w:pStyle w:val="BodyText"/>
        <w:spacing w:line="480" w:lineRule="auto"/>
        <w:ind w:left="711" w:right="468"/>
        <w:jc w:val="both"/>
      </w:pPr>
      <w:r>
        <w:rPr/>
        <w:t>Sequel to the above, the following models are adopted for the purpose of this study. Two models with each consisting of two equations were formulated to test the determinants and effects of capital flight on the Nigerian economy between 1970 and 2011 while four other models with each consisting of two equations each were formulated to test the determinants and effects of capital flight on the Nigerian economy in the</w:t>
      </w:r>
      <w:r>
        <w:rPr>
          <w:spacing w:val="40"/>
        </w:rPr>
        <w:t> </w:t>
      </w:r>
      <w:r>
        <w:rPr/>
        <w:t>Pre and Post SAP era. The two equations under each model (A and B) represent the World Bank and Erbe (1985) approach and the Morgan Trust (1986) approach of the residual method respectively.</w:t>
      </w:r>
      <w:r>
        <w:rPr>
          <w:spacing w:val="80"/>
        </w:rPr>
        <w:t> </w:t>
      </w:r>
      <w:r>
        <w:rPr/>
        <w:t>In model 1, Capital Flight (KF) is the dependent variable while Gross Domestic Product is the dependent variable in model 2. In the same vain, Capital Flight (KF) is the dependent variable in model 3 and 4 while the Gross Domestic Product is the dependent variable in model 5 and 6. Major macro economic variables</w:t>
      </w:r>
      <w:r>
        <w:rPr>
          <w:spacing w:val="40"/>
        </w:rPr>
        <w:t> </w:t>
      </w:r>
      <w:r>
        <w:rPr/>
        <w:t>such as the degree of openness (DOP), inflation rate (INF), gross capital formation (GCF), change in external debt (δEXDEBT), change in external reserve (δRES), deposit rate (DR), credit to private sector (PRIVCR) and foreign asset of domestic banking system (δNEXTAS) stand for the</w:t>
      </w:r>
      <w:r>
        <w:rPr>
          <w:spacing w:val="40"/>
        </w:rPr>
        <w:t> </w:t>
      </w:r>
      <w:r>
        <w:rPr/>
        <w:t>independent variables in models 1, 3, and 5 while change in External Debt (δEXDEBT), Direct Foreign Investment (DFI), Current Account Balance (CAB),</w:t>
      </w:r>
      <w:r>
        <w:rPr>
          <w:spacing w:val="40"/>
        </w:rPr>
        <w:t> </w:t>
      </w:r>
      <w:r>
        <w:rPr/>
        <w:t>change in External reserve (δRES) and change foreign asset of domestic banking system (δNEXTAS) are the independent variables in models 2, 4 and 6. Given the above models, the stated hypotheses in chapter one was tested under the residual model of capital flight estimates. Hypotheses 1, 3 and 4 will be tested under model 1, 3 and 4 while hypothesis 2 was tested under model 2, 5 and 6.</w:t>
      </w:r>
    </w:p>
    <w:p>
      <w:pPr>
        <w:spacing w:after="0" w:line="480" w:lineRule="auto"/>
        <w:jc w:val="both"/>
        <w:sectPr>
          <w:pgSz w:w="11910" w:h="16840"/>
          <w:pgMar w:header="0" w:footer="979" w:top="1340" w:bottom="1240" w:left="280" w:right="0"/>
        </w:sectPr>
      </w:pPr>
    </w:p>
    <w:p>
      <w:pPr>
        <w:pStyle w:val="BodyText"/>
        <w:spacing w:line="432" w:lineRule="auto" w:before="60"/>
        <w:ind w:left="711" w:right="475"/>
      </w:pPr>
      <w:r>
        <w:rPr/>
        <w:t>Recall</w:t>
      </w:r>
      <w:r>
        <w:rPr>
          <w:spacing w:val="26"/>
        </w:rPr>
        <w:t> </w:t>
      </w:r>
      <w:r>
        <w:rPr/>
        <w:t>from</w:t>
      </w:r>
      <w:r>
        <w:rPr>
          <w:spacing w:val="28"/>
        </w:rPr>
        <w:t> </w:t>
      </w:r>
      <w:r>
        <w:rPr/>
        <w:t>equations</w:t>
      </w:r>
      <w:r>
        <w:rPr>
          <w:spacing w:val="25"/>
        </w:rPr>
        <w:t> </w:t>
      </w:r>
      <w:r>
        <w:rPr/>
        <w:t>2</w:t>
      </w:r>
      <w:r>
        <w:rPr>
          <w:spacing w:val="27"/>
        </w:rPr>
        <w:t> </w:t>
      </w:r>
      <w:r>
        <w:rPr/>
        <w:t>2.2</w:t>
      </w:r>
      <w:r>
        <w:rPr>
          <w:spacing w:val="25"/>
        </w:rPr>
        <w:t> </w:t>
      </w:r>
      <w:r>
        <w:rPr/>
        <w:t>and</w:t>
      </w:r>
      <w:r>
        <w:rPr>
          <w:spacing w:val="25"/>
        </w:rPr>
        <w:t> </w:t>
      </w:r>
      <w:r>
        <w:rPr/>
        <w:t>2.3</w:t>
      </w:r>
      <w:r>
        <w:rPr>
          <w:spacing w:val="27"/>
        </w:rPr>
        <w:t> </w:t>
      </w:r>
      <w:r>
        <w:rPr/>
        <w:t>where</w:t>
      </w:r>
      <w:r>
        <w:rPr>
          <w:spacing w:val="24"/>
        </w:rPr>
        <w:t> </w:t>
      </w:r>
      <w:r>
        <w:rPr/>
        <w:t>the</w:t>
      </w:r>
      <w:r>
        <w:rPr>
          <w:spacing w:val="27"/>
        </w:rPr>
        <w:t> </w:t>
      </w:r>
      <w:r>
        <w:rPr/>
        <w:t>original</w:t>
      </w:r>
      <w:r>
        <w:rPr>
          <w:spacing w:val="27"/>
        </w:rPr>
        <w:t> </w:t>
      </w:r>
      <w:r>
        <w:rPr/>
        <w:t>residual</w:t>
      </w:r>
      <w:r>
        <w:rPr>
          <w:spacing w:val="28"/>
        </w:rPr>
        <w:t> </w:t>
      </w:r>
      <w:r>
        <w:rPr/>
        <w:t>approach</w:t>
      </w:r>
      <w:r>
        <w:rPr>
          <w:spacing w:val="25"/>
        </w:rPr>
        <w:t> </w:t>
      </w:r>
      <w:r>
        <w:rPr/>
        <w:t>was</w:t>
      </w:r>
      <w:r>
        <w:rPr>
          <w:spacing w:val="25"/>
        </w:rPr>
        <w:t> </w:t>
      </w:r>
      <w:r>
        <w:rPr/>
        <w:t>stated</w:t>
      </w:r>
      <w:r>
        <w:rPr>
          <w:spacing w:val="27"/>
        </w:rPr>
        <w:t> </w:t>
      </w:r>
      <w:r>
        <w:rPr/>
        <w:t>in</w:t>
      </w:r>
      <w:r>
        <w:rPr>
          <w:spacing w:val="35"/>
        </w:rPr>
        <w:t> </w:t>
      </w:r>
      <w:r>
        <w:rPr/>
        <w:t>World</w:t>
      </w:r>
      <w:r>
        <w:rPr>
          <w:spacing w:val="27"/>
        </w:rPr>
        <w:t> </w:t>
      </w:r>
      <w:r>
        <w:rPr/>
        <w:t>Bank</w:t>
      </w:r>
      <w:r>
        <w:rPr>
          <w:spacing w:val="27"/>
        </w:rPr>
        <w:t> </w:t>
      </w:r>
      <w:r>
        <w:rPr/>
        <w:t>and Erbe (1985) and Morgan Guaranty Trust (1986) as:</w:t>
      </w:r>
    </w:p>
    <w:p>
      <w:pPr>
        <w:spacing w:line="270" w:lineRule="exact" w:before="0"/>
        <w:ind w:left="756" w:right="0" w:firstLine="0"/>
        <w:jc w:val="left"/>
        <w:rPr>
          <w:sz w:val="23"/>
        </w:rPr>
      </w:pPr>
      <w:r>
        <w:rPr>
          <w:i/>
          <w:w w:val="105"/>
          <w:sz w:val="23"/>
        </w:rPr>
        <w:t>KF</w:t>
      </w:r>
      <w:r>
        <w:rPr>
          <w:w w:val="105"/>
          <w:sz w:val="23"/>
        </w:rPr>
        <w:t>(</w:t>
      </w:r>
      <w:r>
        <w:rPr>
          <w:i/>
          <w:w w:val="105"/>
          <w:sz w:val="23"/>
        </w:rPr>
        <w:t>WB</w:t>
      </w:r>
      <w:r>
        <w:rPr>
          <w:w w:val="105"/>
          <w:sz w:val="23"/>
        </w:rPr>
        <w:t>)</w:t>
      </w:r>
      <w:r>
        <w:rPr>
          <w:spacing w:val="-4"/>
          <w:w w:val="105"/>
          <w:sz w:val="23"/>
        </w:rPr>
        <w:t> </w:t>
      </w:r>
      <w:r>
        <w:rPr>
          <w:rFonts w:ascii="Symbol" w:hAnsi="Symbol"/>
          <w:w w:val="105"/>
          <w:sz w:val="23"/>
        </w:rPr>
        <w:t></w:t>
      </w:r>
      <w:r>
        <w:rPr>
          <w:spacing w:val="-15"/>
          <w:w w:val="105"/>
          <w:sz w:val="23"/>
        </w:rPr>
        <w:t> </w:t>
      </w:r>
      <w:r>
        <w:rPr>
          <w:rFonts w:ascii="Symbol" w:hAnsi="Symbol"/>
          <w:w w:val="105"/>
          <w:sz w:val="24"/>
        </w:rPr>
        <w:t></w:t>
      </w:r>
      <w:r>
        <w:rPr>
          <w:i/>
          <w:w w:val="105"/>
          <w:sz w:val="23"/>
        </w:rPr>
        <w:t>EXDEBT</w:t>
      </w:r>
      <w:r>
        <w:rPr>
          <w:i/>
          <w:spacing w:val="20"/>
          <w:w w:val="105"/>
          <w:sz w:val="23"/>
        </w:rPr>
        <w:t> </w:t>
      </w:r>
      <w:r>
        <w:rPr>
          <w:rFonts w:ascii="Symbol" w:hAnsi="Symbol"/>
          <w:w w:val="105"/>
          <w:sz w:val="23"/>
        </w:rPr>
        <w:t></w:t>
      </w:r>
      <w:r>
        <w:rPr>
          <w:spacing w:val="-17"/>
          <w:w w:val="105"/>
          <w:sz w:val="23"/>
        </w:rPr>
        <w:t> </w:t>
      </w:r>
      <w:r>
        <w:rPr>
          <w:i/>
          <w:w w:val="105"/>
          <w:sz w:val="23"/>
        </w:rPr>
        <w:t>G</w:t>
      </w:r>
      <w:r>
        <w:rPr>
          <w:i/>
          <w:spacing w:val="-10"/>
          <w:w w:val="105"/>
          <w:sz w:val="23"/>
        </w:rPr>
        <w:t> </w:t>
      </w:r>
      <w:r>
        <w:rPr>
          <w:rFonts w:ascii="Symbol" w:hAnsi="Symbol"/>
          <w:w w:val="105"/>
          <w:sz w:val="23"/>
        </w:rPr>
        <w:t></w:t>
      </w:r>
      <w:r>
        <w:rPr>
          <w:spacing w:val="-5"/>
          <w:w w:val="105"/>
          <w:sz w:val="23"/>
        </w:rPr>
        <w:t> </w:t>
      </w:r>
      <w:r>
        <w:rPr>
          <w:i/>
          <w:w w:val="105"/>
          <w:sz w:val="23"/>
        </w:rPr>
        <w:t>F</w:t>
      </w:r>
      <w:r>
        <w:rPr>
          <w:i/>
          <w:spacing w:val="6"/>
          <w:w w:val="105"/>
          <w:sz w:val="23"/>
        </w:rPr>
        <w:t> </w:t>
      </w:r>
      <w:r>
        <w:rPr>
          <w:rFonts w:ascii="Symbol" w:hAnsi="Symbol"/>
          <w:w w:val="105"/>
          <w:sz w:val="23"/>
        </w:rPr>
        <w:t></w:t>
      </w:r>
      <w:r>
        <w:rPr>
          <w:spacing w:val="-4"/>
          <w:w w:val="105"/>
          <w:sz w:val="23"/>
        </w:rPr>
        <w:t> </w:t>
      </w:r>
      <w:r>
        <w:rPr>
          <w:i/>
          <w:spacing w:val="-5"/>
          <w:w w:val="105"/>
          <w:sz w:val="23"/>
        </w:rPr>
        <w:t>N</w:t>
      </w:r>
      <w:r>
        <w:rPr>
          <w:spacing w:val="-5"/>
          <w:w w:val="105"/>
          <w:sz w:val="23"/>
        </w:rPr>
        <w:t>.</w:t>
      </w:r>
    </w:p>
    <w:p>
      <w:pPr>
        <w:spacing w:before="242"/>
        <w:ind w:left="756" w:right="0" w:firstLine="0"/>
        <w:jc w:val="left"/>
        <w:rPr>
          <w:sz w:val="23"/>
        </w:rPr>
      </w:pPr>
      <w:r>
        <w:rPr>
          <w:i/>
          <w:w w:val="105"/>
          <w:sz w:val="23"/>
        </w:rPr>
        <w:t>KF</w:t>
      </w:r>
      <w:r>
        <w:rPr>
          <w:w w:val="105"/>
          <w:sz w:val="23"/>
        </w:rPr>
        <w:t>(</w:t>
      </w:r>
      <w:r>
        <w:rPr>
          <w:i/>
          <w:w w:val="105"/>
          <w:sz w:val="23"/>
        </w:rPr>
        <w:t>MORG</w:t>
      </w:r>
      <w:r>
        <w:rPr>
          <w:i/>
          <w:spacing w:val="-29"/>
          <w:w w:val="105"/>
          <w:sz w:val="23"/>
        </w:rPr>
        <w:t> </w:t>
      </w:r>
      <w:r>
        <w:rPr>
          <w:w w:val="105"/>
          <w:sz w:val="23"/>
        </w:rPr>
        <w:t>)</w:t>
      </w:r>
      <w:r>
        <w:rPr>
          <w:spacing w:val="-6"/>
          <w:w w:val="105"/>
          <w:sz w:val="23"/>
        </w:rPr>
        <w:t> </w:t>
      </w:r>
      <w:r>
        <w:rPr>
          <w:rFonts w:ascii="Symbol" w:hAnsi="Symbol"/>
          <w:w w:val="105"/>
          <w:sz w:val="23"/>
        </w:rPr>
        <w:t></w:t>
      </w:r>
      <w:r>
        <w:rPr>
          <w:spacing w:val="-15"/>
          <w:w w:val="105"/>
          <w:sz w:val="23"/>
        </w:rPr>
        <w:t> </w:t>
      </w:r>
      <w:r>
        <w:rPr>
          <w:rFonts w:ascii="Symbol" w:hAnsi="Symbol"/>
          <w:w w:val="105"/>
          <w:sz w:val="24"/>
        </w:rPr>
        <w:t></w:t>
      </w:r>
      <w:r>
        <w:rPr>
          <w:i/>
          <w:w w:val="105"/>
          <w:sz w:val="23"/>
        </w:rPr>
        <w:t>EXDEBT</w:t>
      </w:r>
      <w:r>
        <w:rPr>
          <w:i/>
          <w:spacing w:val="20"/>
          <w:w w:val="105"/>
          <w:sz w:val="23"/>
        </w:rPr>
        <w:t> </w:t>
      </w:r>
      <w:r>
        <w:rPr>
          <w:rFonts w:ascii="Symbol" w:hAnsi="Symbol"/>
          <w:w w:val="105"/>
          <w:sz w:val="23"/>
        </w:rPr>
        <w:t></w:t>
      </w:r>
      <w:r>
        <w:rPr>
          <w:spacing w:val="-18"/>
          <w:w w:val="105"/>
          <w:sz w:val="23"/>
        </w:rPr>
        <w:t> </w:t>
      </w:r>
      <w:r>
        <w:rPr>
          <w:i/>
          <w:w w:val="105"/>
          <w:sz w:val="23"/>
        </w:rPr>
        <w:t>G</w:t>
      </w:r>
      <w:r>
        <w:rPr>
          <w:i/>
          <w:spacing w:val="-9"/>
          <w:w w:val="105"/>
          <w:sz w:val="23"/>
        </w:rPr>
        <w:t> </w:t>
      </w:r>
      <w:r>
        <w:rPr>
          <w:rFonts w:ascii="Symbol" w:hAnsi="Symbol"/>
          <w:w w:val="105"/>
          <w:sz w:val="23"/>
        </w:rPr>
        <w:t></w:t>
      </w:r>
      <w:r>
        <w:rPr>
          <w:spacing w:val="-5"/>
          <w:w w:val="105"/>
          <w:sz w:val="23"/>
        </w:rPr>
        <w:t> </w:t>
      </w:r>
      <w:r>
        <w:rPr>
          <w:i/>
          <w:w w:val="105"/>
          <w:sz w:val="23"/>
        </w:rPr>
        <w:t>F</w:t>
      </w:r>
      <w:r>
        <w:rPr>
          <w:i/>
          <w:spacing w:val="6"/>
          <w:w w:val="105"/>
          <w:sz w:val="23"/>
        </w:rPr>
        <w:t> </w:t>
      </w:r>
      <w:r>
        <w:rPr>
          <w:rFonts w:ascii="Symbol" w:hAnsi="Symbol"/>
          <w:w w:val="105"/>
          <w:sz w:val="23"/>
        </w:rPr>
        <w:t></w:t>
      </w:r>
      <w:r>
        <w:rPr>
          <w:spacing w:val="-6"/>
          <w:w w:val="105"/>
          <w:sz w:val="23"/>
        </w:rPr>
        <w:t> </w:t>
      </w:r>
      <w:r>
        <w:rPr>
          <w:i/>
          <w:w w:val="105"/>
          <w:sz w:val="23"/>
        </w:rPr>
        <w:t>N</w:t>
      </w:r>
      <w:r>
        <w:rPr>
          <w:i/>
          <w:spacing w:val="8"/>
          <w:w w:val="105"/>
          <w:sz w:val="23"/>
        </w:rPr>
        <w:t> </w:t>
      </w:r>
      <w:r>
        <w:rPr>
          <w:rFonts w:ascii="Symbol" w:hAnsi="Symbol"/>
          <w:w w:val="105"/>
          <w:sz w:val="23"/>
        </w:rPr>
        <w:t></w:t>
      </w:r>
      <w:r>
        <w:rPr>
          <w:spacing w:val="-8"/>
          <w:w w:val="105"/>
          <w:sz w:val="23"/>
        </w:rPr>
        <w:t> </w:t>
      </w:r>
      <w:r>
        <w:rPr>
          <w:i/>
          <w:spacing w:val="-5"/>
          <w:w w:val="105"/>
          <w:sz w:val="23"/>
        </w:rPr>
        <w:t>I</w:t>
      </w:r>
      <w:r>
        <w:rPr>
          <w:spacing w:val="-5"/>
          <w:w w:val="105"/>
          <w:sz w:val="23"/>
        </w:rPr>
        <w:t>.</w:t>
      </w:r>
    </w:p>
    <w:p>
      <w:pPr>
        <w:pStyle w:val="BodyText"/>
        <w:spacing w:before="46"/>
        <w:rPr>
          <w:sz w:val="20"/>
        </w:rPr>
      </w:pPr>
    </w:p>
    <w:tbl>
      <w:tblPr>
        <w:tblW w:w="0" w:type="auto"/>
        <w:jc w:val="left"/>
        <w:tblInd w:w="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69"/>
        <w:gridCol w:w="650"/>
        <w:gridCol w:w="5596"/>
      </w:tblGrid>
      <w:tr>
        <w:trPr>
          <w:trHeight w:val="381" w:hRule="atLeast"/>
        </w:trPr>
        <w:tc>
          <w:tcPr>
            <w:tcW w:w="1269" w:type="dxa"/>
          </w:tcPr>
          <w:p>
            <w:pPr>
              <w:pStyle w:val="TableParagraph"/>
              <w:spacing w:line="266" w:lineRule="exact"/>
              <w:ind w:left="50"/>
              <w:rPr>
                <w:sz w:val="24"/>
              </w:rPr>
            </w:pPr>
            <w:r>
              <w:rPr>
                <w:spacing w:val="-2"/>
                <w:sz w:val="24"/>
              </w:rPr>
              <w:t>Where:</w:t>
            </w:r>
          </w:p>
        </w:tc>
        <w:tc>
          <w:tcPr>
            <w:tcW w:w="6246" w:type="dxa"/>
            <w:gridSpan w:val="2"/>
          </w:tcPr>
          <w:p>
            <w:pPr>
              <w:pStyle w:val="TableParagraph"/>
              <w:rPr>
                <w:sz w:val="24"/>
              </w:rPr>
            </w:pPr>
          </w:p>
        </w:tc>
      </w:tr>
      <w:tr>
        <w:trPr>
          <w:trHeight w:val="474" w:hRule="atLeast"/>
        </w:trPr>
        <w:tc>
          <w:tcPr>
            <w:tcW w:w="1269" w:type="dxa"/>
          </w:tcPr>
          <w:p>
            <w:pPr>
              <w:pStyle w:val="TableParagraph"/>
              <w:spacing w:before="105"/>
              <w:ind w:left="50"/>
              <w:rPr>
                <w:sz w:val="24"/>
              </w:rPr>
            </w:pPr>
            <w:r>
              <w:rPr>
                <w:sz w:val="24"/>
              </w:rPr>
              <w:t>KF</w:t>
            </w:r>
            <w:r>
              <w:rPr>
                <w:spacing w:val="-2"/>
                <w:sz w:val="24"/>
              </w:rPr>
              <w:t> </w:t>
            </w:r>
            <w:r>
              <w:rPr>
                <w:spacing w:val="-4"/>
                <w:sz w:val="24"/>
              </w:rPr>
              <w:t>(WB)</w:t>
            </w:r>
          </w:p>
        </w:tc>
        <w:tc>
          <w:tcPr>
            <w:tcW w:w="650" w:type="dxa"/>
          </w:tcPr>
          <w:p>
            <w:pPr>
              <w:pStyle w:val="TableParagraph"/>
              <w:spacing w:before="105"/>
              <w:ind w:left="221"/>
              <w:rPr>
                <w:sz w:val="24"/>
              </w:rPr>
            </w:pPr>
            <w:r>
              <w:rPr>
                <w:spacing w:val="-10"/>
                <w:sz w:val="24"/>
              </w:rPr>
              <w:t>=</w:t>
            </w:r>
          </w:p>
        </w:tc>
        <w:tc>
          <w:tcPr>
            <w:tcW w:w="5596" w:type="dxa"/>
          </w:tcPr>
          <w:p>
            <w:pPr>
              <w:pStyle w:val="TableParagraph"/>
              <w:spacing w:before="105"/>
              <w:ind w:left="351"/>
              <w:rPr>
                <w:sz w:val="24"/>
              </w:rPr>
            </w:pPr>
            <w:r>
              <w:rPr>
                <w:sz w:val="24"/>
              </w:rPr>
              <w:t>Capital</w:t>
            </w:r>
            <w:r>
              <w:rPr>
                <w:spacing w:val="-1"/>
                <w:sz w:val="24"/>
              </w:rPr>
              <w:t> </w:t>
            </w:r>
            <w:r>
              <w:rPr>
                <w:sz w:val="24"/>
              </w:rPr>
              <w:t>Flight</w:t>
            </w:r>
            <w:r>
              <w:rPr>
                <w:spacing w:val="-1"/>
                <w:sz w:val="24"/>
              </w:rPr>
              <w:t> </w:t>
            </w:r>
            <w:r>
              <w:rPr>
                <w:sz w:val="24"/>
              </w:rPr>
              <w:t>measured</w:t>
            </w:r>
            <w:r>
              <w:rPr>
                <w:spacing w:val="1"/>
                <w:sz w:val="24"/>
              </w:rPr>
              <w:t> </w:t>
            </w:r>
            <w:r>
              <w:rPr>
                <w:sz w:val="24"/>
              </w:rPr>
              <w:t>by</w:t>
            </w:r>
            <w:r>
              <w:rPr>
                <w:spacing w:val="-6"/>
                <w:sz w:val="24"/>
              </w:rPr>
              <w:t> </w:t>
            </w:r>
            <w:r>
              <w:rPr>
                <w:sz w:val="24"/>
              </w:rPr>
              <w:t>the</w:t>
            </w:r>
            <w:r>
              <w:rPr>
                <w:spacing w:val="-1"/>
                <w:sz w:val="24"/>
              </w:rPr>
              <w:t> </w:t>
            </w:r>
            <w:r>
              <w:rPr>
                <w:sz w:val="24"/>
              </w:rPr>
              <w:t>World</w:t>
            </w:r>
            <w:r>
              <w:rPr>
                <w:spacing w:val="-1"/>
                <w:sz w:val="24"/>
              </w:rPr>
              <w:t> </w:t>
            </w:r>
            <w:r>
              <w:rPr>
                <w:sz w:val="24"/>
              </w:rPr>
              <w:t>Bank </w:t>
            </w:r>
            <w:r>
              <w:rPr>
                <w:spacing w:val="-2"/>
                <w:sz w:val="24"/>
              </w:rPr>
              <w:t>approach,</w:t>
            </w:r>
          </w:p>
        </w:tc>
      </w:tr>
      <w:tr>
        <w:trPr>
          <w:trHeight w:val="529" w:hRule="atLeast"/>
        </w:trPr>
        <w:tc>
          <w:tcPr>
            <w:tcW w:w="1269" w:type="dxa"/>
          </w:tcPr>
          <w:p>
            <w:pPr>
              <w:pStyle w:val="TableParagraph"/>
              <w:spacing w:before="96"/>
              <w:ind w:left="73"/>
              <w:rPr>
                <w:sz w:val="24"/>
              </w:rPr>
            </w:pPr>
            <w:r>
              <w:rPr>
                <w:rFonts w:ascii="Symbol" w:hAnsi="Symbol"/>
                <w:sz w:val="26"/>
              </w:rPr>
              <w:t></w:t>
            </w:r>
            <w:r>
              <w:rPr>
                <w:spacing w:val="7"/>
                <w:sz w:val="26"/>
              </w:rPr>
              <w:t> </w:t>
            </w:r>
            <w:r>
              <w:rPr>
                <w:spacing w:val="-2"/>
                <w:sz w:val="24"/>
              </w:rPr>
              <w:t>EDEBT</w:t>
            </w:r>
          </w:p>
        </w:tc>
        <w:tc>
          <w:tcPr>
            <w:tcW w:w="650" w:type="dxa"/>
          </w:tcPr>
          <w:p>
            <w:pPr>
              <w:pStyle w:val="TableParagraph"/>
              <w:spacing w:before="129"/>
              <w:ind w:left="221"/>
              <w:rPr>
                <w:sz w:val="24"/>
              </w:rPr>
            </w:pPr>
            <w:r>
              <w:rPr>
                <w:spacing w:val="-10"/>
                <w:sz w:val="24"/>
              </w:rPr>
              <w:t>=</w:t>
            </w:r>
          </w:p>
        </w:tc>
        <w:tc>
          <w:tcPr>
            <w:tcW w:w="5596" w:type="dxa"/>
          </w:tcPr>
          <w:p>
            <w:pPr>
              <w:pStyle w:val="TableParagraph"/>
              <w:spacing w:before="129"/>
              <w:ind w:left="291"/>
              <w:rPr>
                <w:sz w:val="24"/>
              </w:rPr>
            </w:pPr>
            <w:r>
              <w:rPr>
                <w:sz w:val="24"/>
              </w:rPr>
              <w:t>Changes</w:t>
            </w:r>
            <w:r>
              <w:rPr>
                <w:spacing w:val="-4"/>
                <w:sz w:val="24"/>
              </w:rPr>
              <w:t> </w:t>
            </w:r>
            <w:r>
              <w:rPr>
                <w:sz w:val="24"/>
              </w:rPr>
              <w:t>in</w:t>
            </w:r>
            <w:r>
              <w:rPr>
                <w:spacing w:val="-2"/>
                <w:sz w:val="24"/>
              </w:rPr>
              <w:t> </w:t>
            </w:r>
            <w:r>
              <w:rPr>
                <w:sz w:val="24"/>
              </w:rPr>
              <w:t>External</w:t>
            </w:r>
            <w:r>
              <w:rPr>
                <w:spacing w:val="-2"/>
                <w:sz w:val="24"/>
              </w:rPr>
              <w:t> </w:t>
            </w:r>
            <w:r>
              <w:rPr>
                <w:spacing w:val="-4"/>
                <w:sz w:val="24"/>
              </w:rPr>
              <w:t>Debt.</w:t>
            </w:r>
          </w:p>
        </w:tc>
      </w:tr>
      <w:tr>
        <w:trPr>
          <w:trHeight w:val="506" w:hRule="atLeast"/>
        </w:trPr>
        <w:tc>
          <w:tcPr>
            <w:tcW w:w="1269" w:type="dxa"/>
          </w:tcPr>
          <w:p>
            <w:pPr>
              <w:pStyle w:val="TableParagraph"/>
              <w:spacing w:before="104"/>
              <w:ind w:left="50"/>
              <w:rPr>
                <w:sz w:val="24"/>
              </w:rPr>
            </w:pPr>
            <w:r>
              <w:rPr>
                <w:spacing w:val="-10"/>
                <w:sz w:val="24"/>
              </w:rPr>
              <w:t>G</w:t>
            </w:r>
          </w:p>
        </w:tc>
        <w:tc>
          <w:tcPr>
            <w:tcW w:w="650" w:type="dxa"/>
          </w:tcPr>
          <w:p>
            <w:pPr>
              <w:pStyle w:val="TableParagraph"/>
              <w:spacing w:before="104"/>
              <w:ind w:left="221"/>
              <w:rPr>
                <w:sz w:val="24"/>
              </w:rPr>
            </w:pPr>
            <w:r>
              <w:rPr>
                <w:spacing w:val="-10"/>
                <w:sz w:val="24"/>
              </w:rPr>
              <w:t>=</w:t>
            </w:r>
          </w:p>
        </w:tc>
        <w:tc>
          <w:tcPr>
            <w:tcW w:w="5596" w:type="dxa"/>
          </w:tcPr>
          <w:p>
            <w:pPr>
              <w:pStyle w:val="TableParagraph"/>
              <w:spacing w:before="104"/>
              <w:ind w:left="291"/>
              <w:rPr>
                <w:sz w:val="24"/>
              </w:rPr>
            </w:pPr>
            <w:r>
              <w:rPr>
                <w:sz w:val="24"/>
              </w:rPr>
              <w:t>Foreign</w:t>
            </w:r>
            <w:r>
              <w:rPr>
                <w:spacing w:val="-3"/>
                <w:sz w:val="24"/>
              </w:rPr>
              <w:t> </w:t>
            </w:r>
            <w:r>
              <w:rPr>
                <w:sz w:val="24"/>
              </w:rPr>
              <w:t>Direct</w:t>
            </w:r>
            <w:r>
              <w:rPr>
                <w:spacing w:val="-1"/>
                <w:sz w:val="24"/>
              </w:rPr>
              <w:t> </w:t>
            </w:r>
            <w:r>
              <w:rPr>
                <w:spacing w:val="-2"/>
                <w:sz w:val="24"/>
              </w:rPr>
              <w:t>Investment</w:t>
            </w:r>
          </w:p>
        </w:tc>
      </w:tr>
      <w:tr>
        <w:trPr>
          <w:trHeight w:val="531" w:hRule="atLeast"/>
        </w:trPr>
        <w:tc>
          <w:tcPr>
            <w:tcW w:w="1269" w:type="dxa"/>
          </w:tcPr>
          <w:p>
            <w:pPr>
              <w:pStyle w:val="TableParagraph"/>
              <w:spacing w:before="116"/>
              <w:ind w:left="50"/>
              <w:rPr>
                <w:sz w:val="24"/>
              </w:rPr>
            </w:pPr>
            <w:r>
              <w:rPr>
                <w:spacing w:val="-10"/>
                <w:sz w:val="24"/>
              </w:rPr>
              <w:t>F</w:t>
            </w:r>
          </w:p>
        </w:tc>
        <w:tc>
          <w:tcPr>
            <w:tcW w:w="650" w:type="dxa"/>
          </w:tcPr>
          <w:p>
            <w:pPr>
              <w:pStyle w:val="TableParagraph"/>
              <w:spacing w:before="116"/>
              <w:ind w:left="221"/>
              <w:rPr>
                <w:sz w:val="24"/>
              </w:rPr>
            </w:pPr>
            <w:r>
              <w:rPr>
                <w:spacing w:val="-10"/>
                <w:sz w:val="24"/>
              </w:rPr>
              <w:t>=</w:t>
            </w:r>
          </w:p>
        </w:tc>
        <w:tc>
          <w:tcPr>
            <w:tcW w:w="5596" w:type="dxa"/>
          </w:tcPr>
          <w:p>
            <w:pPr>
              <w:pStyle w:val="TableParagraph"/>
              <w:spacing w:before="116"/>
              <w:ind w:left="291"/>
              <w:rPr>
                <w:sz w:val="24"/>
              </w:rPr>
            </w:pPr>
            <w:r>
              <w:rPr>
                <w:sz w:val="24"/>
              </w:rPr>
              <w:t>Current</w:t>
            </w:r>
            <w:r>
              <w:rPr>
                <w:spacing w:val="-2"/>
                <w:sz w:val="24"/>
              </w:rPr>
              <w:t> </w:t>
            </w:r>
            <w:r>
              <w:rPr>
                <w:sz w:val="24"/>
              </w:rPr>
              <w:t>Account</w:t>
            </w:r>
            <w:r>
              <w:rPr>
                <w:spacing w:val="-1"/>
                <w:sz w:val="24"/>
              </w:rPr>
              <w:t> </w:t>
            </w:r>
            <w:r>
              <w:rPr>
                <w:spacing w:val="-2"/>
                <w:sz w:val="24"/>
              </w:rPr>
              <w:t>Balance</w:t>
            </w:r>
          </w:p>
        </w:tc>
      </w:tr>
      <w:tr>
        <w:trPr>
          <w:trHeight w:val="405" w:hRule="atLeast"/>
        </w:trPr>
        <w:tc>
          <w:tcPr>
            <w:tcW w:w="1269" w:type="dxa"/>
          </w:tcPr>
          <w:p>
            <w:pPr>
              <w:pStyle w:val="TableParagraph"/>
              <w:spacing w:line="256" w:lineRule="exact" w:before="129"/>
              <w:ind w:left="50"/>
              <w:rPr>
                <w:sz w:val="24"/>
              </w:rPr>
            </w:pPr>
            <w:r>
              <w:rPr>
                <w:spacing w:val="-10"/>
                <w:sz w:val="24"/>
              </w:rPr>
              <w:t>N</w:t>
            </w:r>
          </w:p>
        </w:tc>
        <w:tc>
          <w:tcPr>
            <w:tcW w:w="650" w:type="dxa"/>
          </w:tcPr>
          <w:p>
            <w:pPr>
              <w:pStyle w:val="TableParagraph"/>
              <w:spacing w:line="256" w:lineRule="exact" w:before="129"/>
              <w:ind w:left="221"/>
              <w:rPr>
                <w:sz w:val="24"/>
              </w:rPr>
            </w:pPr>
            <w:r>
              <w:rPr>
                <w:spacing w:val="-10"/>
                <w:sz w:val="24"/>
              </w:rPr>
              <w:t>=</w:t>
            </w:r>
          </w:p>
        </w:tc>
        <w:tc>
          <w:tcPr>
            <w:tcW w:w="5596" w:type="dxa"/>
          </w:tcPr>
          <w:p>
            <w:pPr>
              <w:pStyle w:val="TableParagraph"/>
              <w:spacing w:line="256" w:lineRule="exact" w:before="129"/>
              <w:ind w:left="291"/>
              <w:rPr>
                <w:sz w:val="24"/>
              </w:rPr>
            </w:pPr>
            <w:r>
              <w:rPr>
                <w:sz w:val="24"/>
              </w:rPr>
              <w:t>Change</w:t>
            </w:r>
            <w:r>
              <w:rPr>
                <w:spacing w:val="-3"/>
                <w:sz w:val="24"/>
              </w:rPr>
              <w:t> </w:t>
            </w:r>
            <w:r>
              <w:rPr>
                <w:sz w:val="24"/>
              </w:rPr>
              <w:t>in</w:t>
            </w:r>
            <w:r>
              <w:rPr>
                <w:spacing w:val="-1"/>
                <w:sz w:val="24"/>
              </w:rPr>
              <w:t> </w:t>
            </w:r>
            <w:r>
              <w:rPr>
                <w:spacing w:val="-2"/>
                <w:sz w:val="24"/>
              </w:rPr>
              <w:t>Reserve</w:t>
            </w:r>
          </w:p>
        </w:tc>
      </w:tr>
    </w:tbl>
    <w:p>
      <w:pPr>
        <w:pStyle w:val="BodyText"/>
        <w:tabs>
          <w:tab w:pos="1431" w:val="left" w:leader="none"/>
          <w:tab w:pos="2151" w:val="left" w:leader="none"/>
        </w:tabs>
        <w:spacing w:before="224"/>
        <w:ind w:left="711"/>
      </w:pPr>
      <w:r>
        <w:rPr>
          <w:spacing w:val="-10"/>
        </w:rPr>
        <w:t>I</w:t>
      </w:r>
      <w:r>
        <w:rPr/>
        <w:tab/>
      </w:r>
      <w:r>
        <w:rPr>
          <w:spacing w:val="-10"/>
        </w:rPr>
        <w:t>=</w:t>
      </w:r>
      <w:r>
        <w:rPr/>
        <w:tab/>
        <w:t>Increase</w:t>
      </w:r>
      <w:r>
        <w:rPr>
          <w:spacing w:val="-2"/>
        </w:rPr>
        <w:t> </w:t>
      </w:r>
      <w:r>
        <w:rPr/>
        <w:t>in</w:t>
      </w:r>
      <w:r>
        <w:rPr>
          <w:spacing w:val="-1"/>
        </w:rPr>
        <w:t> </w:t>
      </w:r>
      <w:r>
        <w:rPr/>
        <w:t>Foreign Assets</w:t>
      </w:r>
      <w:r>
        <w:rPr>
          <w:spacing w:val="-1"/>
        </w:rPr>
        <w:t> </w:t>
      </w:r>
      <w:r>
        <w:rPr/>
        <w:t>of</w:t>
      </w:r>
      <w:r>
        <w:rPr>
          <w:spacing w:val="-1"/>
        </w:rPr>
        <w:t> </w:t>
      </w:r>
      <w:r>
        <w:rPr/>
        <w:t>the</w:t>
      </w:r>
      <w:r>
        <w:rPr>
          <w:spacing w:val="-1"/>
        </w:rPr>
        <w:t> </w:t>
      </w:r>
      <w:r>
        <w:rPr/>
        <w:t>Domestic</w:t>
      </w:r>
      <w:r>
        <w:rPr>
          <w:spacing w:val="-2"/>
        </w:rPr>
        <w:t> </w:t>
      </w:r>
      <w:r>
        <w:rPr/>
        <w:t>Banking</w:t>
      </w:r>
      <w:r>
        <w:rPr>
          <w:spacing w:val="-3"/>
        </w:rPr>
        <w:t> </w:t>
      </w:r>
      <w:r>
        <w:rPr>
          <w:spacing w:val="-2"/>
        </w:rPr>
        <w:t>System</w:t>
      </w:r>
    </w:p>
    <w:p>
      <w:pPr>
        <w:pStyle w:val="BodyText"/>
        <w:spacing w:line="432" w:lineRule="auto" w:before="221"/>
        <w:ind w:left="711" w:right="475"/>
      </w:pPr>
      <w:r>
        <w:rPr/>
        <w:t>The above residual approach expressed in World Bank and Erbe (1985) and Morgan Guaranty Trust (1986) was adopted for capital flight estimation</w:t>
      </w:r>
    </w:p>
    <w:p>
      <w:pPr>
        <w:pStyle w:val="Heading6"/>
        <w:jc w:val="left"/>
      </w:pPr>
      <w:r>
        <w:rPr/>
        <w:t>Model</w:t>
      </w:r>
      <w:r>
        <w:rPr>
          <w:spacing w:val="-3"/>
        </w:rPr>
        <w:t> </w:t>
      </w:r>
      <w:r>
        <w:rPr>
          <w:spacing w:val="-10"/>
        </w:rPr>
        <w:t>1</w:t>
      </w:r>
    </w:p>
    <w:p>
      <w:pPr>
        <w:pStyle w:val="BodyText"/>
        <w:rPr>
          <w:b/>
        </w:rPr>
      </w:pPr>
    </w:p>
    <w:p>
      <w:pPr>
        <w:pStyle w:val="BodyText"/>
        <w:spacing w:line="432" w:lineRule="auto"/>
        <w:ind w:left="711" w:right="472"/>
        <w:jc w:val="both"/>
      </w:pPr>
      <w:r>
        <w:rPr/>
        <w:t>This model examines the determinants of capital flight in Nigheria between 1970 and 2011. The Model consists of two equations representing the two components of the residual approach for estimating capital </w:t>
      </w:r>
      <w:r>
        <w:rPr>
          <w:spacing w:val="-2"/>
        </w:rPr>
        <w:t>flight.</w:t>
      </w:r>
    </w:p>
    <w:p>
      <w:pPr>
        <w:pStyle w:val="BodyText"/>
        <w:spacing w:before="219"/>
      </w:pPr>
    </w:p>
    <w:p>
      <w:pPr>
        <w:pStyle w:val="BodyText"/>
        <w:spacing w:line="480" w:lineRule="auto"/>
        <w:ind w:left="711" w:right="470"/>
        <w:jc w:val="both"/>
      </w:pPr>
      <w:r>
        <w:rPr/>
        <w:t>The</w:t>
      </w:r>
      <w:r>
        <w:rPr>
          <w:spacing w:val="-2"/>
        </w:rPr>
        <w:t> </w:t>
      </w:r>
      <w:r>
        <w:rPr/>
        <w:t>first equation evaluates</w:t>
      </w:r>
      <w:r>
        <w:rPr>
          <w:spacing w:val="-1"/>
        </w:rPr>
        <w:t> </w:t>
      </w:r>
      <w:r>
        <w:rPr/>
        <w:t>the</w:t>
      </w:r>
      <w:r>
        <w:rPr>
          <w:spacing w:val="-1"/>
        </w:rPr>
        <w:t> </w:t>
      </w:r>
      <w:r>
        <w:rPr/>
        <w:t>determinants of</w:t>
      </w:r>
      <w:r>
        <w:rPr>
          <w:spacing w:val="-1"/>
        </w:rPr>
        <w:t> </w:t>
      </w:r>
      <w:r>
        <w:rPr/>
        <w:t>capital flight in Nigeria betwee</w:t>
      </w:r>
      <w:r>
        <w:rPr>
          <w:spacing w:val="-1"/>
        </w:rPr>
        <w:t> </w:t>
      </w:r>
      <w:r>
        <w:rPr/>
        <w:t>1970 and 2011 using</w:t>
      </w:r>
      <w:r>
        <w:rPr>
          <w:spacing w:val="-3"/>
        </w:rPr>
        <w:t> </w:t>
      </w:r>
      <w:r>
        <w:rPr/>
        <w:t>the the World Bank and Erbe (1985) method of capital flight estimates of the residual approach while the second equation evaluates the determinants of capital flight in Nigeria betwee 1970 and 2011 using the Morgan</w:t>
      </w:r>
      <w:r>
        <w:rPr>
          <w:spacing w:val="40"/>
        </w:rPr>
        <w:t> </w:t>
      </w:r>
      <w:r>
        <w:rPr/>
        <w:t>trust (1986) approach of the residual approach. The two equations are specified as:</w:t>
      </w:r>
    </w:p>
    <w:p>
      <w:pPr>
        <w:spacing w:after="0" w:line="480" w:lineRule="auto"/>
        <w:jc w:val="both"/>
        <w:sectPr>
          <w:pgSz w:w="11910" w:h="16840"/>
          <w:pgMar w:header="0" w:footer="979" w:top="1360" w:bottom="1240" w:left="280" w:right="0"/>
        </w:sectPr>
      </w:pPr>
    </w:p>
    <w:p>
      <w:pPr>
        <w:spacing w:before="16"/>
        <w:ind w:left="936" w:right="0" w:firstLine="0"/>
        <w:jc w:val="left"/>
        <w:rPr>
          <w:rFonts w:ascii="Symbol" w:hAnsi="Symbol"/>
          <w:sz w:val="23"/>
        </w:rPr>
      </w:pPr>
      <w:r>
        <w:rPr>
          <w:i/>
          <w:w w:val="105"/>
          <w:sz w:val="23"/>
        </w:rPr>
        <w:t>KFW</w:t>
      </w:r>
      <w:r>
        <w:rPr>
          <w:i/>
          <w:spacing w:val="27"/>
          <w:w w:val="105"/>
          <w:sz w:val="23"/>
        </w:rPr>
        <w:t> </w:t>
      </w:r>
      <w:r>
        <w:rPr>
          <w:rFonts w:ascii="Symbol" w:hAnsi="Symbol"/>
          <w:spacing w:val="-10"/>
          <w:w w:val="105"/>
          <w:sz w:val="23"/>
        </w:rPr>
        <w:t></w:t>
      </w:r>
    </w:p>
    <w:p>
      <w:pPr>
        <w:spacing w:before="6"/>
        <w:ind w:left="66" w:right="0" w:firstLine="0"/>
        <w:jc w:val="left"/>
        <w:rPr>
          <w:sz w:val="23"/>
        </w:rPr>
      </w:pPr>
      <w:r>
        <w:rPr/>
        <w:br w:type="column"/>
      </w:r>
      <w:r>
        <w:rPr>
          <w:i/>
          <w:w w:val="105"/>
          <w:sz w:val="23"/>
        </w:rPr>
        <w:t>f</w:t>
      </w:r>
      <w:r>
        <w:rPr>
          <w:i/>
          <w:spacing w:val="-8"/>
          <w:w w:val="105"/>
          <w:sz w:val="23"/>
        </w:rPr>
        <w:t> </w:t>
      </w:r>
      <w:r>
        <w:rPr>
          <w:w w:val="105"/>
          <w:sz w:val="23"/>
        </w:rPr>
        <w:t>(</w:t>
      </w:r>
      <w:r>
        <w:rPr>
          <w:i/>
          <w:w w:val="105"/>
          <w:sz w:val="23"/>
        </w:rPr>
        <w:t>DOP</w:t>
      </w:r>
      <w:r>
        <w:rPr>
          <w:w w:val="105"/>
          <w:sz w:val="23"/>
        </w:rPr>
        <w:t>,</w:t>
      </w:r>
      <w:r>
        <w:rPr>
          <w:spacing w:val="-24"/>
          <w:w w:val="105"/>
          <w:sz w:val="23"/>
        </w:rPr>
        <w:t> </w:t>
      </w:r>
      <w:r>
        <w:rPr>
          <w:i/>
          <w:w w:val="105"/>
          <w:sz w:val="23"/>
        </w:rPr>
        <w:t>INF</w:t>
      </w:r>
      <w:r>
        <w:rPr>
          <w:w w:val="105"/>
          <w:sz w:val="23"/>
        </w:rPr>
        <w:t>,</w:t>
      </w:r>
      <w:r>
        <w:rPr>
          <w:spacing w:val="-39"/>
          <w:w w:val="105"/>
          <w:sz w:val="23"/>
        </w:rPr>
        <w:t> </w:t>
      </w:r>
      <w:r>
        <w:rPr>
          <w:i/>
          <w:w w:val="105"/>
          <w:sz w:val="23"/>
        </w:rPr>
        <w:t>GCF</w:t>
      </w:r>
      <w:r>
        <w:rPr>
          <w:w w:val="105"/>
          <w:sz w:val="23"/>
        </w:rPr>
        <w:t>,</w:t>
      </w:r>
      <w:r>
        <w:rPr>
          <w:rFonts w:ascii="Symbol" w:hAnsi="Symbol"/>
          <w:w w:val="105"/>
          <w:sz w:val="24"/>
        </w:rPr>
        <w:t></w:t>
      </w:r>
      <w:r>
        <w:rPr>
          <w:i/>
          <w:w w:val="105"/>
          <w:sz w:val="23"/>
        </w:rPr>
        <w:t>EXDEBT</w:t>
      </w:r>
      <w:r>
        <w:rPr>
          <w:i/>
          <w:spacing w:val="-27"/>
          <w:w w:val="105"/>
          <w:sz w:val="23"/>
        </w:rPr>
        <w:t> </w:t>
      </w:r>
      <w:r>
        <w:rPr>
          <w:w w:val="105"/>
          <w:sz w:val="23"/>
        </w:rPr>
        <w:t>,</w:t>
      </w:r>
      <w:r>
        <w:rPr>
          <w:spacing w:val="-24"/>
          <w:w w:val="105"/>
          <w:sz w:val="23"/>
        </w:rPr>
        <w:t> </w:t>
      </w:r>
      <w:r>
        <w:rPr>
          <w:i/>
          <w:w w:val="105"/>
          <w:sz w:val="23"/>
        </w:rPr>
        <w:t>DR</w:t>
      </w:r>
      <w:r>
        <w:rPr>
          <w:w w:val="105"/>
          <w:sz w:val="23"/>
        </w:rPr>
        <w:t>,</w:t>
      </w:r>
      <w:r>
        <w:rPr>
          <w:spacing w:val="-23"/>
          <w:w w:val="105"/>
          <w:sz w:val="23"/>
        </w:rPr>
        <w:t> </w:t>
      </w:r>
      <w:r>
        <w:rPr>
          <w:i/>
          <w:w w:val="105"/>
          <w:sz w:val="23"/>
        </w:rPr>
        <w:t>PRIVCR</w:t>
      </w:r>
      <w:r>
        <w:rPr>
          <w:w w:val="105"/>
          <w:sz w:val="23"/>
        </w:rPr>
        <w:t>,</w:t>
      </w:r>
      <w:r>
        <w:rPr>
          <w:i/>
          <w:w w:val="105"/>
          <w:sz w:val="23"/>
        </w:rPr>
        <w:t>USIRD</w:t>
      </w:r>
      <w:r>
        <w:rPr>
          <w:w w:val="105"/>
          <w:sz w:val="23"/>
        </w:rPr>
        <w:t>,</w:t>
      </w:r>
      <w:r>
        <w:rPr>
          <w:spacing w:val="-39"/>
          <w:w w:val="105"/>
          <w:sz w:val="23"/>
        </w:rPr>
        <w:t> </w:t>
      </w:r>
      <w:r>
        <w:rPr>
          <w:i/>
          <w:w w:val="105"/>
          <w:sz w:val="23"/>
        </w:rPr>
        <w:t>GOCE</w:t>
      </w:r>
      <w:r>
        <w:rPr>
          <w:w w:val="105"/>
          <w:sz w:val="23"/>
        </w:rPr>
        <w:t>,</w:t>
      </w:r>
      <w:r>
        <w:rPr>
          <w:spacing w:val="-28"/>
          <w:w w:val="105"/>
          <w:sz w:val="23"/>
        </w:rPr>
        <w:t> </w:t>
      </w:r>
      <w:r>
        <w:rPr>
          <w:rFonts w:ascii="Symbol" w:hAnsi="Symbol"/>
          <w:spacing w:val="-5"/>
          <w:w w:val="105"/>
          <w:sz w:val="24"/>
        </w:rPr>
        <w:t></w:t>
      </w:r>
      <w:r>
        <w:rPr>
          <w:spacing w:val="-5"/>
          <w:w w:val="105"/>
          <w:sz w:val="23"/>
        </w:rPr>
        <w:t>)</w:t>
      </w:r>
    </w:p>
    <w:p>
      <w:pPr>
        <w:tabs>
          <w:tab w:pos="1562" w:val="left" w:leader="dot"/>
        </w:tabs>
        <w:spacing w:before="32"/>
        <w:ind w:left="66" w:right="0" w:firstLine="0"/>
        <w:jc w:val="left"/>
        <w:rPr>
          <w:sz w:val="23"/>
        </w:rPr>
      </w:pPr>
      <w:r>
        <w:rPr/>
        <w:br w:type="column"/>
      </w:r>
      <w:r>
        <w:rPr>
          <w:spacing w:val="-10"/>
          <w:w w:val="105"/>
          <w:sz w:val="23"/>
        </w:rPr>
        <w:t>.</w:t>
      </w:r>
      <w:r>
        <w:rPr>
          <w:sz w:val="23"/>
        </w:rPr>
        <w:tab/>
      </w:r>
      <w:r>
        <w:rPr>
          <w:spacing w:val="-2"/>
          <w:w w:val="105"/>
          <w:sz w:val="23"/>
        </w:rPr>
        <w:t>(3.1)</w:t>
      </w:r>
    </w:p>
    <w:p>
      <w:pPr>
        <w:spacing w:after="0"/>
        <w:jc w:val="left"/>
        <w:rPr>
          <w:sz w:val="23"/>
        </w:rPr>
        <w:sectPr>
          <w:type w:val="continuous"/>
          <w:pgSz w:w="11910" w:h="16840"/>
          <w:pgMar w:header="0" w:footer="979" w:top="1340" w:bottom="1220" w:left="280" w:right="0"/>
          <w:cols w:num="3" w:equalWidth="0">
            <w:col w:w="1672" w:space="40"/>
            <w:col w:w="6153" w:space="39"/>
            <w:col w:w="3726"/>
          </w:cols>
        </w:sectPr>
      </w:pPr>
    </w:p>
    <w:p>
      <w:pPr>
        <w:pStyle w:val="BodyText"/>
        <w:spacing w:before="46"/>
      </w:pPr>
    </w:p>
    <w:p>
      <w:pPr>
        <w:tabs>
          <w:tab w:pos="9667" w:val="left" w:leader="hyphen"/>
        </w:tabs>
        <w:spacing w:before="0"/>
        <w:ind w:left="711" w:right="0" w:firstLine="0"/>
        <w:jc w:val="left"/>
        <w:rPr>
          <w:sz w:val="24"/>
        </w:rPr>
      </w:pPr>
      <w:r>
        <w:rPr>
          <w:i/>
          <w:sz w:val="24"/>
        </w:rPr>
        <w:t>KFM</w:t>
      </w:r>
      <w:r>
        <w:rPr>
          <w:i/>
          <w:spacing w:val="-3"/>
          <w:sz w:val="24"/>
        </w:rPr>
        <w:t> </w:t>
      </w:r>
      <w:r>
        <w:rPr>
          <w:i/>
          <w:sz w:val="24"/>
        </w:rPr>
        <w:t>=</w:t>
      </w:r>
      <w:r>
        <w:rPr>
          <w:i/>
          <w:spacing w:val="-1"/>
          <w:sz w:val="24"/>
        </w:rPr>
        <w:t> </w:t>
      </w:r>
      <w:r>
        <w:rPr>
          <w:i/>
          <w:sz w:val="24"/>
        </w:rPr>
        <w:t>(DOP, INF,</w:t>
      </w:r>
      <w:r>
        <w:rPr>
          <w:i/>
          <w:spacing w:val="-1"/>
          <w:sz w:val="24"/>
        </w:rPr>
        <w:t> </w:t>
      </w:r>
      <w:r>
        <w:rPr>
          <w:i/>
          <w:sz w:val="24"/>
        </w:rPr>
        <w:t>GCF,</w:t>
      </w:r>
      <w:r>
        <w:rPr>
          <w:i/>
          <w:spacing w:val="-1"/>
          <w:sz w:val="24"/>
        </w:rPr>
        <w:t> </w:t>
      </w:r>
      <w:r>
        <w:rPr>
          <w:i/>
          <w:sz w:val="24"/>
        </w:rPr>
        <w:t>δEXDEBT,</w:t>
      </w:r>
      <w:r>
        <w:rPr>
          <w:i/>
          <w:spacing w:val="-1"/>
          <w:sz w:val="24"/>
        </w:rPr>
        <w:t> </w:t>
      </w:r>
      <w:r>
        <w:rPr>
          <w:i/>
          <w:sz w:val="24"/>
        </w:rPr>
        <w:t>DR,</w:t>
      </w:r>
      <w:r>
        <w:rPr>
          <w:i/>
          <w:spacing w:val="-2"/>
          <w:sz w:val="24"/>
        </w:rPr>
        <w:t> </w:t>
      </w:r>
      <w:r>
        <w:rPr>
          <w:i/>
          <w:sz w:val="24"/>
        </w:rPr>
        <w:t>PRIVCR,</w:t>
      </w:r>
      <w:r>
        <w:rPr>
          <w:i/>
          <w:spacing w:val="-1"/>
          <w:sz w:val="24"/>
        </w:rPr>
        <w:t> </w:t>
      </w:r>
      <w:r>
        <w:rPr>
          <w:i/>
          <w:sz w:val="24"/>
        </w:rPr>
        <w:t>GOCE,</w:t>
      </w:r>
      <w:r>
        <w:rPr>
          <w:i/>
          <w:spacing w:val="-1"/>
          <w:sz w:val="24"/>
        </w:rPr>
        <w:t> </w:t>
      </w:r>
      <w:r>
        <w:rPr>
          <w:i/>
          <w:sz w:val="24"/>
        </w:rPr>
        <w:t>δNEXTAS,</w:t>
      </w:r>
      <w:r>
        <w:rPr>
          <w:i/>
          <w:spacing w:val="-1"/>
          <w:sz w:val="24"/>
        </w:rPr>
        <w:t> </w:t>
      </w:r>
      <w:r>
        <w:rPr>
          <w:i/>
          <w:spacing w:val="-5"/>
          <w:sz w:val="24"/>
        </w:rPr>
        <w:t>µ)</w:t>
      </w:r>
      <w:r>
        <w:rPr>
          <w:i/>
          <w:sz w:val="24"/>
        </w:rPr>
        <w:tab/>
      </w:r>
      <w:r>
        <w:rPr>
          <w:spacing w:val="-2"/>
          <w:sz w:val="24"/>
        </w:rPr>
        <w:t>(3.2)</w:t>
      </w:r>
    </w:p>
    <w:p>
      <w:pPr>
        <w:pStyle w:val="BodyText"/>
      </w:pPr>
    </w:p>
    <w:p>
      <w:pPr>
        <w:pStyle w:val="BodyText"/>
        <w:ind w:left="831"/>
      </w:pPr>
      <w:r>
        <w:rPr>
          <w:spacing w:val="-2"/>
        </w:rPr>
        <w:t>Where:</w:t>
      </w:r>
    </w:p>
    <w:p>
      <w:pPr>
        <w:pStyle w:val="BodyText"/>
        <w:spacing w:before="56" w:after="1"/>
        <w:rPr>
          <w:sz w:val="20"/>
        </w:rPr>
      </w:pPr>
    </w:p>
    <w:tbl>
      <w:tblPr>
        <w:tblW w:w="0" w:type="auto"/>
        <w:jc w:val="left"/>
        <w:tblInd w:w="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25"/>
        <w:gridCol w:w="902"/>
        <w:gridCol w:w="5430"/>
      </w:tblGrid>
      <w:tr>
        <w:trPr>
          <w:trHeight w:val="409" w:hRule="atLeast"/>
        </w:trPr>
        <w:tc>
          <w:tcPr>
            <w:tcW w:w="1025" w:type="dxa"/>
          </w:tcPr>
          <w:p>
            <w:pPr>
              <w:pStyle w:val="TableParagraph"/>
              <w:spacing w:line="266" w:lineRule="exact"/>
              <w:ind w:left="50"/>
              <w:rPr>
                <w:sz w:val="24"/>
              </w:rPr>
            </w:pPr>
            <w:r>
              <w:rPr>
                <w:spacing w:val="-5"/>
                <w:sz w:val="24"/>
              </w:rPr>
              <w:t>KFW</w:t>
            </w:r>
          </w:p>
        </w:tc>
        <w:tc>
          <w:tcPr>
            <w:tcW w:w="902" w:type="dxa"/>
          </w:tcPr>
          <w:p>
            <w:pPr>
              <w:pStyle w:val="TableParagraph"/>
              <w:spacing w:before="83"/>
              <w:ind w:left="120" w:right="1"/>
              <w:jc w:val="center"/>
              <w:rPr>
                <w:sz w:val="16"/>
              </w:rPr>
            </w:pPr>
            <w:r>
              <w:rPr>
                <w:spacing w:val="-10"/>
                <w:sz w:val="16"/>
              </w:rPr>
              <w:t>=</w:t>
            </w:r>
          </w:p>
        </w:tc>
        <w:tc>
          <w:tcPr>
            <w:tcW w:w="5430" w:type="dxa"/>
          </w:tcPr>
          <w:p>
            <w:pPr>
              <w:pStyle w:val="TableParagraph"/>
              <w:spacing w:line="266" w:lineRule="exact"/>
              <w:ind w:left="324"/>
              <w:rPr>
                <w:sz w:val="24"/>
              </w:rPr>
            </w:pPr>
            <w:r>
              <w:rPr>
                <w:sz w:val="24"/>
              </w:rPr>
              <w:t>World</w:t>
            </w:r>
            <w:r>
              <w:rPr>
                <w:spacing w:val="-3"/>
                <w:sz w:val="24"/>
              </w:rPr>
              <w:t> </w:t>
            </w:r>
            <w:r>
              <w:rPr>
                <w:sz w:val="24"/>
              </w:rPr>
              <w:t>Bank</w:t>
            </w:r>
            <w:r>
              <w:rPr>
                <w:spacing w:val="59"/>
                <w:sz w:val="24"/>
              </w:rPr>
              <w:t> </w:t>
            </w:r>
            <w:r>
              <w:rPr>
                <w:sz w:val="24"/>
              </w:rPr>
              <w:t>and</w:t>
            </w:r>
            <w:r>
              <w:rPr>
                <w:spacing w:val="-1"/>
                <w:sz w:val="24"/>
              </w:rPr>
              <w:t> </w:t>
            </w:r>
            <w:r>
              <w:rPr>
                <w:sz w:val="24"/>
              </w:rPr>
              <w:t>Erbe (1985)</w:t>
            </w:r>
            <w:r>
              <w:rPr>
                <w:spacing w:val="58"/>
                <w:sz w:val="24"/>
              </w:rPr>
              <w:t> </w:t>
            </w:r>
            <w:r>
              <w:rPr>
                <w:sz w:val="24"/>
              </w:rPr>
              <w:t>capital</w:t>
            </w:r>
            <w:r>
              <w:rPr>
                <w:spacing w:val="-1"/>
                <w:sz w:val="24"/>
              </w:rPr>
              <w:t> </w:t>
            </w:r>
            <w:r>
              <w:rPr>
                <w:sz w:val="24"/>
              </w:rPr>
              <w:t>flight </w:t>
            </w:r>
            <w:r>
              <w:rPr>
                <w:spacing w:val="-2"/>
                <w:sz w:val="24"/>
              </w:rPr>
              <w:t>estimate</w:t>
            </w:r>
          </w:p>
        </w:tc>
      </w:tr>
      <w:tr>
        <w:trPr>
          <w:trHeight w:val="407" w:hRule="atLeast"/>
        </w:trPr>
        <w:tc>
          <w:tcPr>
            <w:tcW w:w="1025" w:type="dxa"/>
          </w:tcPr>
          <w:p>
            <w:pPr>
              <w:pStyle w:val="TableParagraph"/>
              <w:spacing w:line="256" w:lineRule="exact" w:before="132"/>
              <w:ind w:left="50"/>
              <w:rPr>
                <w:sz w:val="24"/>
              </w:rPr>
            </w:pPr>
            <w:r>
              <w:rPr>
                <w:spacing w:val="-5"/>
                <w:sz w:val="24"/>
              </w:rPr>
              <w:t>MKF</w:t>
            </w:r>
          </w:p>
        </w:tc>
        <w:tc>
          <w:tcPr>
            <w:tcW w:w="902" w:type="dxa"/>
          </w:tcPr>
          <w:p>
            <w:pPr>
              <w:pStyle w:val="TableParagraph"/>
              <w:spacing w:line="256" w:lineRule="exact" w:before="132"/>
              <w:ind w:left="120"/>
              <w:jc w:val="center"/>
              <w:rPr>
                <w:sz w:val="24"/>
              </w:rPr>
            </w:pPr>
            <w:r>
              <w:rPr>
                <w:spacing w:val="-10"/>
                <w:sz w:val="24"/>
              </w:rPr>
              <w:t>=</w:t>
            </w:r>
          </w:p>
        </w:tc>
        <w:tc>
          <w:tcPr>
            <w:tcW w:w="5430" w:type="dxa"/>
          </w:tcPr>
          <w:p>
            <w:pPr>
              <w:pStyle w:val="TableParagraph"/>
              <w:spacing w:line="256" w:lineRule="exact" w:before="132"/>
              <w:ind w:left="398"/>
              <w:rPr>
                <w:sz w:val="24"/>
              </w:rPr>
            </w:pPr>
            <w:r>
              <w:rPr>
                <w:sz w:val="24"/>
              </w:rPr>
              <w:t>Morgan</w:t>
            </w:r>
            <w:r>
              <w:rPr>
                <w:spacing w:val="-3"/>
                <w:sz w:val="24"/>
              </w:rPr>
              <w:t> </w:t>
            </w:r>
            <w:r>
              <w:rPr>
                <w:sz w:val="24"/>
              </w:rPr>
              <w:t>trust</w:t>
            </w:r>
            <w:r>
              <w:rPr>
                <w:spacing w:val="-1"/>
                <w:sz w:val="24"/>
              </w:rPr>
              <w:t> </w:t>
            </w:r>
            <w:r>
              <w:rPr>
                <w:sz w:val="24"/>
              </w:rPr>
              <w:t>(1986)</w:t>
            </w:r>
            <w:r>
              <w:rPr>
                <w:spacing w:val="-1"/>
                <w:sz w:val="24"/>
              </w:rPr>
              <w:t> </w:t>
            </w:r>
            <w:r>
              <w:rPr>
                <w:sz w:val="24"/>
              </w:rPr>
              <w:t>capital</w:t>
            </w:r>
            <w:r>
              <w:rPr>
                <w:spacing w:val="-1"/>
                <w:sz w:val="24"/>
              </w:rPr>
              <w:t> </w:t>
            </w:r>
            <w:r>
              <w:rPr>
                <w:sz w:val="24"/>
              </w:rPr>
              <w:t>flight </w:t>
            </w:r>
            <w:r>
              <w:rPr>
                <w:spacing w:val="-2"/>
                <w:sz w:val="24"/>
              </w:rPr>
              <w:t>estimate</w:t>
            </w:r>
          </w:p>
        </w:tc>
      </w:tr>
    </w:tbl>
    <w:p>
      <w:pPr>
        <w:spacing w:after="0" w:line="256" w:lineRule="exact"/>
        <w:rPr>
          <w:sz w:val="24"/>
        </w:rPr>
        <w:sectPr>
          <w:type w:val="continuous"/>
          <w:pgSz w:w="11910" w:h="16840"/>
          <w:pgMar w:header="0" w:footer="979" w:top="1340" w:bottom="1220" w:left="280" w:right="0"/>
        </w:sectPr>
      </w:pPr>
    </w:p>
    <w:tbl>
      <w:tblPr>
        <w:tblW w:w="0" w:type="auto"/>
        <w:jc w:val="left"/>
        <w:tblInd w:w="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10"/>
        <w:gridCol w:w="909"/>
        <w:gridCol w:w="2713"/>
      </w:tblGrid>
      <w:tr>
        <w:trPr>
          <w:trHeight w:val="409" w:hRule="atLeast"/>
        </w:trPr>
        <w:tc>
          <w:tcPr>
            <w:tcW w:w="1010" w:type="dxa"/>
          </w:tcPr>
          <w:p>
            <w:pPr>
              <w:pStyle w:val="TableParagraph"/>
              <w:spacing w:line="266" w:lineRule="exact"/>
              <w:ind w:left="50"/>
              <w:rPr>
                <w:sz w:val="24"/>
              </w:rPr>
            </w:pPr>
            <w:r>
              <w:rPr>
                <w:spacing w:val="-5"/>
                <w:sz w:val="24"/>
              </w:rPr>
              <w:t>DOP</w:t>
            </w:r>
          </w:p>
        </w:tc>
        <w:tc>
          <w:tcPr>
            <w:tcW w:w="909" w:type="dxa"/>
          </w:tcPr>
          <w:p>
            <w:pPr>
              <w:pStyle w:val="TableParagraph"/>
              <w:spacing w:line="266" w:lineRule="exact"/>
              <w:ind w:right="291"/>
              <w:jc w:val="right"/>
              <w:rPr>
                <w:sz w:val="24"/>
              </w:rPr>
            </w:pPr>
            <w:r>
              <w:rPr>
                <w:spacing w:val="-10"/>
                <w:sz w:val="24"/>
              </w:rPr>
              <w:t>=</w:t>
            </w:r>
          </w:p>
        </w:tc>
        <w:tc>
          <w:tcPr>
            <w:tcW w:w="2713" w:type="dxa"/>
          </w:tcPr>
          <w:p>
            <w:pPr>
              <w:pStyle w:val="TableParagraph"/>
              <w:spacing w:line="266" w:lineRule="exact"/>
              <w:ind w:left="351"/>
              <w:rPr>
                <w:sz w:val="24"/>
              </w:rPr>
            </w:pPr>
            <w:r>
              <w:rPr>
                <w:sz w:val="24"/>
              </w:rPr>
              <w:t>Degree</w:t>
            </w:r>
            <w:r>
              <w:rPr>
                <w:spacing w:val="-3"/>
                <w:sz w:val="24"/>
              </w:rPr>
              <w:t> </w:t>
            </w:r>
            <w:r>
              <w:rPr>
                <w:sz w:val="24"/>
              </w:rPr>
              <w:t>of</w:t>
            </w:r>
            <w:r>
              <w:rPr>
                <w:spacing w:val="-1"/>
                <w:sz w:val="24"/>
              </w:rPr>
              <w:t> </w:t>
            </w:r>
            <w:r>
              <w:rPr>
                <w:spacing w:val="-2"/>
                <w:sz w:val="24"/>
              </w:rPr>
              <w:t>openness</w:t>
            </w:r>
          </w:p>
        </w:tc>
      </w:tr>
      <w:tr>
        <w:trPr>
          <w:trHeight w:val="552" w:hRule="atLeast"/>
        </w:trPr>
        <w:tc>
          <w:tcPr>
            <w:tcW w:w="1010" w:type="dxa"/>
          </w:tcPr>
          <w:p>
            <w:pPr>
              <w:pStyle w:val="TableParagraph"/>
              <w:spacing w:before="133"/>
              <w:ind w:left="50"/>
              <w:rPr>
                <w:sz w:val="24"/>
              </w:rPr>
            </w:pPr>
            <w:r>
              <w:rPr>
                <w:spacing w:val="-5"/>
                <w:sz w:val="24"/>
              </w:rPr>
              <w:t>INF</w:t>
            </w:r>
          </w:p>
        </w:tc>
        <w:tc>
          <w:tcPr>
            <w:tcW w:w="909" w:type="dxa"/>
          </w:tcPr>
          <w:p>
            <w:pPr>
              <w:pStyle w:val="TableParagraph"/>
              <w:spacing w:before="133"/>
              <w:ind w:right="291"/>
              <w:jc w:val="right"/>
              <w:rPr>
                <w:sz w:val="24"/>
              </w:rPr>
            </w:pPr>
            <w:r>
              <w:rPr>
                <w:spacing w:val="-10"/>
                <w:sz w:val="24"/>
              </w:rPr>
              <w:t>=</w:t>
            </w:r>
          </w:p>
        </w:tc>
        <w:tc>
          <w:tcPr>
            <w:tcW w:w="2713" w:type="dxa"/>
          </w:tcPr>
          <w:p>
            <w:pPr>
              <w:pStyle w:val="TableParagraph"/>
              <w:spacing w:before="133"/>
              <w:ind w:left="291"/>
              <w:rPr>
                <w:sz w:val="24"/>
              </w:rPr>
            </w:pPr>
            <w:r>
              <w:rPr>
                <w:sz w:val="24"/>
              </w:rPr>
              <w:t>Inflation</w:t>
            </w:r>
            <w:r>
              <w:rPr>
                <w:spacing w:val="-6"/>
                <w:sz w:val="24"/>
              </w:rPr>
              <w:t> </w:t>
            </w:r>
            <w:r>
              <w:rPr>
                <w:spacing w:val="-4"/>
                <w:sz w:val="24"/>
              </w:rPr>
              <w:t>rate</w:t>
            </w:r>
          </w:p>
        </w:tc>
      </w:tr>
      <w:tr>
        <w:trPr>
          <w:trHeight w:val="408" w:hRule="atLeast"/>
        </w:trPr>
        <w:tc>
          <w:tcPr>
            <w:tcW w:w="1010" w:type="dxa"/>
          </w:tcPr>
          <w:p>
            <w:pPr>
              <w:pStyle w:val="TableParagraph"/>
              <w:spacing w:line="256" w:lineRule="exact" w:before="133"/>
              <w:ind w:left="50"/>
              <w:rPr>
                <w:sz w:val="24"/>
              </w:rPr>
            </w:pPr>
            <w:r>
              <w:rPr>
                <w:spacing w:val="-5"/>
                <w:sz w:val="24"/>
              </w:rPr>
              <w:t>GCF</w:t>
            </w:r>
          </w:p>
        </w:tc>
        <w:tc>
          <w:tcPr>
            <w:tcW w:w="909" w:type="dxa"/>
          </w:tcPr>
          <w:p>
            <w:pPr>
              <w:pStyle w:val="TableParagraph"/>
              <w:spacing w:line="256" w:lineRule="exact" w:before="133"/>
              <w:ind w:right="291"/>
              <w:jc w:val="right"/>
              <w:rPr>
                <w:sz w:val="24"/>
              </w:rPr>
            </w:pPr>
            <w:r>
              <w:rPr>
                <w:spacing w:val="-10"/>
                <w:sz w:val="24"/>
              </w:rPr>
              <w:t>=</w:t>
            </w:r>
          </w:p>
        </w:tc>
        <w:tc>
          <w:tcPr>
            <w:tcW w:w="2713" w:type="dxa"/>
          </w:tcPr>
          <w:p>
            <w:pPr>
              <w:pStyle w:val="TableParagraph"/>
              <w:spacing w:line="256" w:lineRule="exact" w:before="133"/>
              <w:ind w:left="291"/>
              <w:rPr>
                <w:sz w:val="24"/>
              </w:rPr>
            </w:pPr>
            <w:r>
              <w:rPr>
                <w:sz w:val="24"/>
              </w:rPr>
              <w:t>Gross</w:t>
            </w:r>
            <w:r>
              <w:rPr>
                <w:spacing w:val="-2"/>
                <w:sz w:val="24"/>
              </w:rPr>
              <w:t> </w:t>
            </w:r>
            <w:r>
              <w:rPr>
                <w:sz w:val="24"/>
              </w:rPr>
              <w:t>Capital</w:t>
            </w:r>
            <w:r>
              <w:rPr>
                <w:spacing w:val="-2"/>
                <w:sz w:val="24"/>
              </w:rPr>
              <w:t> Formation</w:t>
            </w:r>
          </w:p>
        </w:tc>
      </w:tr>
    </w:tbl>
    <w:p>
      <w:pPr>
        <w:pStyle w:val="BodyText"/>
        <w:spacing w:before="12"/>
      </w:pPr>
    </w:p>
    <w:p>
      <w:pPr>
        <w:pStyle w:val="BodyText"/>
        <w:ind w:left="711"/>
      </w:pPr>
      <w:r>
        <w:rPr/>
        <w:t>δEXDEBT</w:t>
      </w:r>
      <w:r>
        <w:rPr>
          <w:spacing w:val="57"/>
        </w:rPr>
        <w:t> </w:t>
      </w:r>
      <w:r>
        <w:rPr/>
        <w:t>=</w:t>
      </w:r>
      <w:r>
        <w:rPr>
          <w:spacing w:val="63"/>
        </w:rPr>
        <w:t> </w:t>
      </w:r>
      <w:r>
        <w:rPr/>
        <w:t>Change</w:t>
      </w:r>
      <w:r>
        <w:rPr>
          <w:spacing w:val="-2"/>
        </w:rPr>
        <w:t> </w:t>
      </w:r>
      <w:r>
        <w:rPr/>
        <w:t>in</w:t>
      </w:r>
      <w:r>
        <w:rPr>
          <w:spacing w:val="-1"/>
        </w:rPr>
        <w:t> </w:t>
      </w:r>
      <w:r>
        <w:rPr/>
        <w:t>External</w:t>
      </w:r>
      <w:r>
        <w:rPr>
          <w:spacing w:val="-1"/>
        </w:rPr>
        <w:t> </w:t>
      </w:r>
      <w:r>
        <w:rPr>
          <w:spacing w:val="-4"/>
        </w:rPr>
        <w:t>Debt</w:t>
      </w:r>
    </w:p>
    <w:p>
      <w:pPr>
        <w:pStyle w:val="BodyText"/>
      </w:pPr>
    </w:p>
    <w:p>
      <w:pPr>
        <w:pStyle w:val="BodyText"/>
        <w:tabs>
          <w:tab w:pos="2151" w:val="left" w:leader="none"/>
          <w:tab w:pos="2249" w:val="left" w:leader="none"/>
          <w:tab w:pos="2749" w:val="left" w:leader="none"/>
          <w:tab w:pos="2871" w:val="left" w:leader="none"/>
        </w:tabs>
        <w:spacing w:line="480" w:lineRule="auto"/>
        <w:ind w:left="711" w:right="3485"/>
      </w:pPr>
      <w:r>
        <w:rPr>
          <w:spacing w:val="-2"/>
        </w:rPr>
        <w:t>δNEXTAS</w:t>
      </w:r>
      <w:r>
        <w:rPr/>
        <w:tab/>
        <w:tab/>
      </w:r>
      <w:r>
        <w:rPr>
          <w:b/>
          <w:spacing w:val="-10"/>
        </w:rPr>
        <w:t>=</w:t>
      </w:r>
      <w:r>
        <w:rPr>
          <w:b/>
        </w:rPr>
        <w:tab/>
      </w:r>
      <w:r>
        <w:rPr/>
        <w:t>Increase</w:t>
      </w:r>
      <w:r>
        <w:rPr>
          <w:spacing w:val="-5"/>
        </w:rPr>
        <w:t> </w:t>
      </w:r>
      <w:r>
        <w:rPr/>
        <w:t>In</w:t>
      </w:r>
      <w:r>
        <w:rPr>
          <w:spacing w:val="-4"/>
        </w:rPr>
        <w:t> </w:t>
      </w:r>
      <w:r>
        <w:rPr/>
        <w:t>Foreign</w:t>
      </w:r>
      <w:r>
        <w:rPr>
          <w:spacing w:val="-6"/>
        </w:rPr>
        <w:t> </w:t>
      </w:r>
      <w:r>
        <w:rPr/>
        <w:t>Asset</w:t>
      </w:r>
      <w:r>
        <w:rPr>
          <w:spacing w:val="-6"/>
        </w:rPr>
        <w:t> </w:t>
      </w:r>
      <w:r>
        <w:rPr/>
        <w:t>Of</w:t>
      </w:r>
      <w:r>
        <w:rPr>
          <w:spacing w:val="-6"/>
        </w:rPr>
        <w:t> </w:t>
      </w:r>
      <w:r>
        <w:rPr/>
        <w:t>Domestic</w:t>
      </w:r>
      <w:r>
        <w:rPr>
          <w:spacing w:val="-6"/>
        </w:rPr>
        <w:t> </w:t>
      </w:r>
      <w:r>
        <w:rPr/>
        <w:t>Banking</w:t>
      </w:r>
      <w:r>
        <w:rPr>
          <w:spacing w:val="-8"/>
        </w:rPr>
        <w:t> </w:t>
      </w:r>
      <w:r>
        <w:rPr/>
        <w:t>System </w:t>
      </w:r>
      <w:r>
        <w:rPr>
          <w:spacing w:val="-6"/>
        </w:rPr>
        <w:t>DR</w:t>
      </w:r>
      <w:r>
        <w:rPr/>
        <w:tab/>
      </w:r>
      <w:r>
        <w:rPr>
          <w:spacing w:val="-10"/>
        </w:rPr>
        <w:t>=</w:t>
      </w:r>
      <w:r>
        <w:rPr/>
        <w:tab/>
        <w:tab/>
        <w:t>Deposit rate</w:t>
      </w:r>
    </w:p>
    <w:p>
      <w:pPr>
        <w:pStyle w:val="BodyText"/>
        <w:ind w:left="711"/>
        <w:jc w:val="both"/>
      </w:pPr>
      <w:r>
        <w:rPr/>
        <w:t>PRIVCR</w:t>
      </w:r>
      <w:r>
        <w:rPr>
          <w:spacing w:val="52"/>
          <w:w w:val="150"/>
        </w:rPr>
        <w:t>    </w:t>
      </w:r>
      <w:r>
        <w:rPr/>
        <w:t>=</w:t>
      </w:r>
      <w:r>
        <w:rPr>
          <w:spacing w:val="56"/>
          <w:w w:val="150"/>
        </w:rPr>
        <w:t>    </w:t>
      </w:r>
      <w:r>
        <w:rPr/>
        <w:t>Credit to private</w:t>
      </w:r>
      <w:r>
        <w:rPr>
          <w:spacing w:val="-1"/>
        </w:rPr>
        <w:t> </w:t>
      </w:r>
      <w:r>
        <w:rPr>
          <w:spacing w:val="-2"/>
        </w:rPr>
        <w:t>sector</w:t>
      </w:r>
    </w:p>
    <w:p>
      <w:pPr>
        <w:pStyle w:val="BodyText"/>
      </w:pPr>
    </w:p>
    <w:p>
      <w:pPr>
        <w:pStyle w:val="BodyText"/>
        <w:tabs>
          <w:tab w:pos="2151" w:val="left" w:leader="none"/>
          <w:tab w:pos="2871" w:val="left" w:leader="none"/>
        </w:tabs>
        <w:spacing w:line="480" w:lineRule="auto" w:before="1"/>
        <w:ind w:left="711" w:right="4778"/>
      </w:pPr>
      <w:r>
        <w:rPr>
          <w:spacing w:val="-2"/>
        </w:rPr>
        <w:t>USIRD</w:t>
      </w:r>
      <w:r>
        <w:rPr/>
        <w:tab/>
      </w:r>
      <w:r>
        <w:rPr>
          <w:spacing w:val="-10"/>
        </w:rPr>
        <w:t>=</w:t>
      </w:r>
      <w:r>
        <w:rPr/>
        <w:tab/>
        <w:t>USA</w:t>
      </w:r>
      <w:r>
        <w:rPr>
          <w:spacing w:val="-8"/>
        </w:rPr>
        <w:t> </w:t>
      </w:r>
      <w:r>
        <w:rPr/>
        <w:t>and</w:t>
      </w:r>
      <w:r>
        <w:rPr>
          <w:spacing w:val="-8"/>
        </w:rPr>
        <w:t> </w:t>
      </w:r>
      <w:r>
        <w:rPr/>
        <w:t>Nigeria</w:t>
      </w:r>
      <w:r>
        <w:rPr>
          <w:spacing w:val="-10"/>
        </w:rPr>
        <w:t> </w:t>
      </w:r>
      <w:r>
        <w:rPr/>
        <w:t>interest</w:t>
      </w:r>
      <w:r>
        <w:rPr>
          <w:spacing w:val="-6"/>
        </w:rPr>
        <w:t> </w:t>
      </w:r>
      <w:r>
        <w:rPr/>
        <w:t>rate</w:t>
      </w:r>
      <w:r>
        <w:rPr>
          <w:spacing w:val="-8"/>
        </w:rPr>
        <w:t> </w:t>
      </w:r>
      <w:r>
        <w:rPr/>
        <w:t>differential </w:t>
      </w:r>
      <w:r>
        <w:rPr>
          <w:spacing w:val="-4"/>
        </w:rPr>
        <w:t>GOCE</w:t>
      </w:r>
      <w:r>
        <w:rPr/>
        <w:tab/>
      </w:r>
      <w:r>
        <w:rPr>
          <w:spacing w:val="-10"/>
        </w:rPr>
        <w:t>=</w:t>
      </w:r>
      <w:r>
        <w:rPr/>
        <w:tab/>
        <w:t>Government Current Expenditure</w:t>
      </w:r>
    </w:p>
    <w:p>
      <w:pPr>
        <w:pStyle w:val="BodyText"/>
        <w:tabs>
          <w:tab w:pos="2151" w:val="left" w:leader="none"/>
          <w:tab w:pos="2871" w:val="left" w:leader="none"/>
        </w:tabs>
        <w:spacing w:line="296" w:lineRule="exact"/>
        <w:ind w:left="752"/>
        <w:jc w:val="both"/>
      </w:pPr>
      <w:r>
        <w:rPr>
          <w:rFonts w:ascii="Symbol" w:hAnsi="Symbol"/>
          <w:spacing w:val="-10"/>
        </w:rPr>
        <w:t></w:t>
      </w:r>
      <w:r>
        <w:rPr/>
        <w:tab/>
      </w:r>
      <w:r>
        <w:rPr>
          <w:spacing w:val="-10"/>
          <w:sz w:val="16"/>
        </w:rPr>
        <w:t>=</w:t>
      </w:r>
      <w:r>
        <w:rPr>
          <w:sz w:val="16"/>
        </w:rPr>
        <w:tab/>
      </w:r>
      <w:r>
        <w:rPr>
          <w:position w:val="2"/>
        </w:rPr>
        <w:t>Stochastic</w:t>
      </w:r>
      <w:r>
        <w:rPr>
          <w:spacing w:val="-4"/>
          <w:position w:val="2"/>
        </w:rPr>
        <w:t> </w:t>
      </w:r>
      <w:r>
        <w:rPr>
          <w:position w:val="2"/>
        </w:rPr>
        <w:t>error</w:t>
      </w:r>
      <w:r>
        <w:rPr>
          <w:spacing w:val="-2"/>
          <w:position w:val="2"/>
        </w:rPr>
        <w:t> </w:t>
      </w:r>
      <w:r>
        <w:rPr>
          <w:spacing w:val="-4"/>
          <w:position w:val="2"/>
        </w:rPr>
        <w:t>term</w:t>
      </w:r>
    </w:p>
    <w:p>
      <w:pPr>
        <w:pStyle w:val="BodyText"/>
        <w:spacing w:before="26"/>
      </w:pPr>
    </w:p>
    <w:p>
      <w:pPr>
        <w:pStyle w:val="BodyText"/>
        <w:tabs>
          <w:tab w:pos="2151" w:val="left" w:leader="none"/>
          <w:tab w:pos="2871" w:val="left" w:leader="none"/>
        </w:tabs>
        <w:spacing w:line="477" w:lineRule="auto" w:before="1"/>
        <w:ind w:left="2151" w:right="1768" w:hanging="1441"/>
        <w:jc w:val="both"/>
      </w:pPr>
      <w:r>
        <w:rPr>
          <w:spacing w:val="-10"/>
          <w:position w:val="2"/>
        </w:rPr>
        <w:t>F</w:t>
      </w:r>
      <w:r>
        <w:rPr>
          <w:position w:val="2"/>
        </w:rPr>
        <w:tab/>
      </w:r>
      <w:r>
        <w:rPr>
          <w:spacing w:val="-10"/>
          <w:sz w:val="16"/>
        </w:rPr>
        <w:t>=</w:t>
      </w:r>
      <w:r>
        <w:rPr>
          <w:sz w:val="16"/>
        </w:rPr>
        <w:tab/>
      </w:r>
      <w:r>
        <w:rPr>
          <w:position w:val="2"/>
        </w:rPr>
        <w:t>Functional</w:t>
      </w:r>
      <w:r>
        <w:rPr>
          <w:spacing w:val="-3"/>
          <w:position w:val="2"/>
        </w:rPr>
        <w:t> </w:t>
      </w:r>
      <w:r>
        <w:rPr>
          <w:position w:val="2"/>
        </w:rPr>
        <w:t>relationship</w:t>
      </w:r>
      <w:r>
        <w:rPr>
          <w:spacing w:val="-3"/>
          <w:position w:val="2"/>
        </w:rPr>
        <w:t> </w:t>
      </w:r>
      <w:r>
        <w:rPr>
          <w:position w:val="2"/>
        </w:rPr>
        <w:t>between</w:t>
      </w:r>
      <w:r>
        <w:rPr>
          <w:spacing w:val="-3"/>
          <w:position w:val="2"/>
        </w:rPr>
        <w:t> </w:t>
      </w:r>
      <w:r>
        <w:rPr>
          <w:position w:val="2"/>
        </w:rPr>
        <w:t>the</w:t>
      </w:r>
      <w:r>
        <w:rPr>
          <w:spacing w:val="-3"/>
          <w:position w:val="2"/>
        </w:rPr>
        <w:t> </w:t>
      </w:r>
      <w:r>
        <w:rPr>
          <w:position w:val="2"/>
        </w:rPr>
        <w:t>dependent</w:t>
      </w:r>
      <w:r>
        <w:rPr>
          <w:spacing w:val="-3"/>
          <w:position w:val="2"/>
        </w:rPr>
        <w:t> </w:t>
      </w:r>
      <w:r>
        <w:rPr>
          <w:position w:val="2"/>
        </w:rPr>
        <w:t>Variable</w:t>
      </w:r>
      <w:r>
        <w:rPr>
          <w:spacing w:val="40"/>
          <w:position w:val="2"/>
        </w:rPr>
        <w:t>  </w:t>
      </w:r>
      <w:r>
        <w:rPr>
          <w:position w:val="2"/>
        </w:rPr>
        <w:t>(KF)</w:t>
      </w:r>
      <w:r>
        <w:rPr>
          <w:spacing w:val="-2"/>
          <w:position w:val="2"/>
        </w:rPr>
        <w:t> </w:t>
      </w:r>
      <w:r>
        <w:rPr>
          <w:position w:val="2"/>
        </w:rPr>
        <w:t>and</w:t>
      </w:r>
      <w:r>
        <w:rPr>
          <w:spacing w:val="-3"/>
          <w:position w:val="2"/>
        </w:rPr>
        <w:t> </w:t>
      </w:r>
      <w:r>
        <w:rPr>
          <w:position w:val="2"/>
        </w:rPr>
        <w:t>the </w:t>
      </w:r>
      <w:r>
        <w:rPr/>
        <w:t>independent variables.</w:t>
      </w:r>
    </w:p>
    <w:p>
      <w:pPr>
        <w:pStyle w:val="BodyText"/>
        <w:spacing w:line="480" w:lineRule="auto" w:before="3"/>
        <w:ind w:left="711" w:right="471"/>
        <w:jc w:val="both"/>
      </w:pPr>
      <w:r>
        <w:rPr/>
        <w:t>The two equations are denoted as equation equation 3.1 and 3.2 respectively. Equation 3.1 explains the World</w:t>
      </w:r>
      <w:r>
        <w:rPr>
          <w:spacing w:val="-2"/>
        </w:rPr>
        <w:t> </w:t>
      </w:r>
      <w:r>
        <w:rPr/>
        <w:t>Bank</w:t>
      </w:r>
      <w:r>
        <w:rPr>
          <w:spacing w:val="-2"/>
        </w:rPr>
        <w:t> </w:t>
      </w:r>
      <w:r>
        <w:rPr/>
        <w:t>and Erbe</w:t>
      </w:r>
      <w:r>
        <w:rPr>
          <w:spacing w:val="-3"/>
        </w:rPr>
        <w:t> </w:t>
      </w:r>
      <w:r>
        <w:rPr/>
        <w:t>(1985)</w:t>
      </w:r>
      <w:r>
        <w:rPr>
          <w:spacing w:val="-3"/>
        </w:rPr>
        <w:t> </w:t>
      </w:r>
      <w:r>
        <w:rPr/>
        <w:t>method</w:t>
      </w:r>
      <w:r>
        <w:rPr>
          <w:spacing w:val="-2"/>
        </w:rPr>
        <w:t> </w:t>
      </w:r>
      <w:r>
        <w:rPr/>
        <w:t>of</w:t>
      </w:r>
      <w:r>
        <w:rPr>
          <w:spacing w:val="-1"/>
        </w:rPr>
        <w:t> </w:t>
      </w:r>
      <w:r>
        <w:rPr/>
        <w:t>capital</w:t>
      </w:r>
      <w:r>
        <w:rPr>
          <w:spacing w:val="-2"/>
        </w:rPr>
        <w:t> </w:t>
      </w:r>
      <w:r>
        <w:rPr/>
        <w:t>flight</w:t>
      </w:r>
      <w:r>
        <w:rPr>
          <w:spacing w:val="-2"/>
        </w:rPr>
        <w:t> </w:t>
      </w:r>
      <w:r>
        <w:rPr/>
        <w:t>estimates while equation</w:t>
      </w:r>
      <w:r>
        <w:rPr>
          <w:spacing w:val="-2"/>
        </w:rPr>
        <w:t> </w:t>
      </w:r>
      <w:r>
        <w:rPr/>
        <w:t>3.2</w:t>
      </w:r>
      <w:r>
        <w:rPr>
          <w:spacing w:val="-2"/>
        </w:rPr>
        <w:t> </w:t>
      </w:r>
      <w:r>
        <w:rPr/>
        <w:t>explains</w:t>
      </w:r>
      <w:r>
        <w:rPr>
          <w:spacing w:val="-2"/>
        </w:rPr>
        <w:t> </w:t>
      </w:r>
      <w:r>
        <w:rPr/>
        <w:t>the</w:t>
      </w:r>
      <w:r>
        <w:rPr>
          <w:spacing w:val="-3"/>
        </w:rPr>
        <w:t> </w:t>
      </w:r>
      <w:r>
        <w:rPr/>
        <w:t>Morgan trust (1986) method of calculating capital flight and both determinants of capital flight in Nigeria between 1970 and 2011.</w:t>
      </w:r>
    </w:p>
    <w:p>
      <w:pPr>
        <w:pStyle w:val="BodyText"/>
        <w:spacing w:before="1"/>
        <w:ind w:left="711"/>
        <w:jc w:val="both"/>
      </w:pPr>
      <w:r>
        <w:rPr/>
        <w:t>The</w:t>
      </w:r>
      <w:r>
        <w:rPr>
          <w:spacing w:val="-5"/>
        </w:rPr>
        <w:t> </w:t>
      </w:r>
      <w:r>
        <w:rPr/>
        <w:t>World Bank</w:t>
      </w:r>
      <w:r>
        <w:rPr>
          <w:spacing w:val="-1"/>
        </w:rPr>
        <w:t> </w:t>
      </w:r>
      <w:r>
        <w:rPr/>
        <w:t>and Morgan</w:t>
      </w:r>
      <w:r>
        <w:rPr>
          <w:spacing w:val="-1"/>
        </w:rPr>
        <w:t> </w:t>
      </w:r>
      <w:r>
        <w:rPr/>
        <w:t>Trust approaches</w:t>
      </w:r>
      <w:r>
        <w:rPr>
          <w:spacing w:val="-1"/>
        </w:rPr>
        <w:t> </w:t>
      </w:r>
      <w:r>
        <w:rPr/>
        <w:t>are stated</w:t>
      </w:r>
      <w:r>
        <w:rPr>
          <w:spacing w:val="-1"/>
        </w:rPr>
        <w:t> </w:t>
      </w:r>
      <w:r>
        <w:rPr/>
        <w:t>explicitly</w:t>
      </w:r>
      <w:r>
        <w:rPr>
          <w:spacing w:val="-6"/>
        </w:rPr>
        <w:t> </w:t>
      </w:r>
      <w:r>
        <w:rPr/>
        <w:t>as </w:t>
      </w:r>
      <w:r>
        <w:rPr>
          <w:spacing w:val="-2"/>
        </w:rPr>
        <w:t>below:</w:t>
      </w:r>
    </w:p>
    <w:p>
      <w:pPr>
        <w:pStyle w:val="BodyText"/>
      </w:pPr>
    </w:p>
    <w:p>
      <w:pPr>
        <w:pStyle w:val="ListParagraph"/>
        <w:numPr>
          <w:ilvl w:val="0"/>
          <w:numId w:val="17"/>
        </w:numPr>
        <w:tabs>
          <w:tab w:pos="1034" w:val="left" w:leader="none"/>
        </w:tabs>
        <w:spacing w:line="240" w:lineRule="auto" w:before="0" w:after="0"/>
        <w:ind w:left="1034" w:right="0" w:hanging="323"/>
        <w:jc w:val="left"/>
        <w:rPr>
          <w:sz w:val="24"/>
        </w:rPr>
      </w:pPr>
      <w:r>
        <w:rPr>
          <w:sz w:val="24"/>
        </w:rPr>
        <w:t>The</w:t>
      </w:r>
      <w:r>
        <w:rPr>
          <w:spacing w:val="-4"/>
          <w:sz w:val="24"/>
        </w:rPr>
        <w:t> </w:t>
      </w:r>
      <w:r>
        <w:rPr>
          <w:sz w:val="24"/>
        </w:rPr>
        <w:t>Morgan Trust estimate</w:t>
      </w:r>
      <w:r>
        <w:rPr>
          <w:spacing w:val="-1"/>
          <w:sz w:val="24"/>
        </w:rPr>
        <w:t> </w:t>
      </w:r>
      <w:r>
        <w:rPr>
          <w:sz w:val="24"/>
        </w:rPr>
        <w:t>is stated explicitly</w:t>
      </w:r>
      <w:r>
        <w:rPr>
          <w:spacing w:val="-6"/>
          <w:sz w:val="24"/>
        </w:rPr>
        <w:t> </w:t>
      </w:r>
      <w:r>
        <w:rPr>
          <w:spacing w:val="-2"/>
          <w:sz w:val="24"/>
        </w:rPr>
        <w:t>below:</w:t>
      </w:r>
    </w:p>
    <w:p>
      <w:pPr>
        <w:pStyle w:val="BodyText"/>
        <w:spacing w:before="8"/>
        <w:rPr>
          <w:sz w:val="11"/>
        </w:rPr>
      </w:pPr>
    </w:p>
    <w:p>
      <w:pPr>
        <w:spacing w:after="0"/>
        <w:rPr>
          <w:sz w:val="11"/>
        </w:rPr>
        <w:sectPr>
          <w:type w:val="continuous"/>
          <w:pgSz w:w="11910" w:h="16840"/>
          <w:pgMar w:header="0" w:footer="979" w:top="1420" w:bottom="1240" w:left="280" w:right="0"/>
        </w:sectPr>
      </w:pPr>
    </w:p>
    <w:p>
      <w:pPr>
        <w:pStyle w:val="Heading4"/>
        <w:spacing w:line="296" w:lineRule="exact" w:before="139"/>
        <w:ind w:left="749"/>
      </w:pPr>
      <w:r>
        <w:rPr>
          <w:spacing w:val="-5"/>
          <w:w w:val="110"/>
        </w:rPr>
        <w:t>KFW</w:t>
      </w:r>
    </w:p>
    <w:p>
      <w:pPr>
        <w:spacing w:line="333" w:lineRule="exact" w:before="103"/>
        <w:ind w:left="95" w:right="0" w:firstLine="0"/>
        <w:jc w:val="left"/>
        <w:rPr>
          <w:i/>
          <w:sz w:val="27"/>
        </w:rPr>
      </w:pPr>
      <w:r>
        <w:rPr/>
        <w:br w:type="column"/>
      </w:r>
      <w:r>
        <w:rPr>
          <w:rFonts w:ascii="Symbol" w:hAnsi="Symbol"/>
          <w:w w:val="110"/>
          <w:position w:val="7"/>
          <w:sz w:val="18"/>
        </w:rPr>
        <w:t></w:t>
      </w:r>
      <w:r>
        <w:rPr>
          <w:spacing w:val="-32"/>
          <w:w w:val="110"/>
          <w:position w:val="7"/>
          <w:sz w:val="18"/>
        </w:rPr>
        <w:t> </w:t>
      </w:r>
      <w:r>
        <w:rPr>
          <w:rFonts w:ascii="Symbol" w:hAnsi="Symbol"/>
          <w:w w:val="110"/>
          <w:position w:val="1"/>
          <w:sz w:val="29"/>
        </w:rPr>
        <w:t></w:t>
      </w:r>
      <w:r>
        <w:rPr>
          <w:spacing w:val="-47"/>
          <w:w w:val="110"/>
          <w:position w:val="1"/>
          <w:sz w:val="29"/>
        </w:rPr>
        <w:t> </w:t>
      </w:r>
      <w:r>
        <w:rPr>
          <w:w w:val="110"/>
          <w:sz w:val="10"/>
        </w:rPr>
        <w:t>0</w:t>
      </w:r>
      <w:r>
        <w:rPr>
          <w:spacing w:val="-3"/>
          <w:w w:val="110"/>
          <w:sz w:val="10"/>
        </w:rPr>
        <w:t> </w:t>
      </w:r>
      <w:r>
        <w:rPr>
          <w:rFonts w:ascii="Symbol" w:hAnsi="Symbol"/>
          <w:spacing w:val="9"/>
          <w:w w:val="110"/>
          <w:position w:val="7"/>
          <w:sz w:val="18"/>
        </w:rPr>
        <w:t></w:t>
      </w:r>
      <w:r>
        <w:rPr>
          <w:rFonts w:ascii="Symbol" w:hAnsi="Symbol"/>
          <w:spacing w:val="9"/>
          <w:w w:val="110"/>
          <w:position w:val="1"/>
          <w:sz w:val="29"/>
        </w:rPr>
        <w:t></w:t>
      </w:r>
      <w:r>
        <w:rPr>
          <w:spacing w:val="9"/>
          <w:w w:val="110"/>
          <w:sz w:val="10"/>
        </w:rPr>
        <w:t>1</w:t>
      </w:r>
      <w:r>
        <w:rPr>
          <w:spacing w:val="3"/>
          <w:w w:val="110"/>
          <w:sz w:val="10"/>
        </w:rPr>
        <w:t> </w:t>
      </w:r>
      <w:r>
        <w:rPr>
          <w:i/>
          <w:w w:val="110"/>
          <w:position w:val="1"/>
          <w:sz w:val="27"/>
        </w:rPr>
        <w:t>DOP</w:t>
      </w:r>
      <w:r>
        <w:rPr>
          <w:i/>
          <w:spacing w:val="13"/>
          <w:w w:val="110"/>
          <w:position w:val="1"/>
          <w:sz w:val="27"/>
        </w:rPr>
        <w:t> </w:t>
      </w:r>
      <w:r>
        <w:rPr>
          <w:rFonts w:ascii="Symbol" w:hAnsi="Symbol"/>
          <w:w w:val="110"/>
          <w:position w:val="7"/>
          <w:sz w:val="18"/>
        </w:rPr>
        <w:t></w:t>
      </w:r>
      <w:r>
        <w:rPr>
          <w:rFonts w:ascii="Symbol" w:hAnsi="Symbol"/>
          <w:w w:val="110"/>
          <w:position w:val="1"/>
          <w:sz w:val="29"/>
        </w:rPr>
        <w:t></w:t>
      </w:r>
      <w:r>
        <w:rPr>
          <w:spacing w:val="-45"/>
          <w:w w:val="110"/>
          <w:position w:val="1"/>
          <w:sz w:val="29"/>
        </w:rPr>
        <w:t> </w:t>
      </w:r>
      <w:r>
        <w:rPr>
          <w:w w:val="110"/>
          <w:sz w:val="10"/>
        </w:rPr>
        <w:t>2</w:t>
      </w:r>
      <w:r>
        <w:rPr>
          <w:spacing w:val="12"/>
          <w:w w:val="110"/>
          <w:sz w:val="10"/>
        </w:rPr>
        <w:t> </w:t>
      </w:r>
      <w:r>
        <w:rPr>
          <w:i/>
          <w:spacing w:val="-5"/>
          <w:w w:val="110"/>
          <w:position w:val="1"/>
          <w:sz w:val="27"/>
        </w:rPr>
        <w:t>INF</w:t>
      </w:r>
    </w:p>
    <w:p>
      <w:pPr>
        <w:spacing w:line="333" w:lineRule="exact" w:before="103"/>
        <w:ind w:left="74" w:right="0" w:firstLine="0"/>
        <w:jc w:val="left"/>
        <w:rPr>
          <w:i/>
          <w:sz w:val="27"/>
        </w:rPr>
      </w:pPr>
      <w:r>
        <w:rPr/>
        <w:br w:type="column"/>
      </w:r>
      <w:r>
        <w:rPr>
          <w:rFonts w:ascii="Symbol" w:hAnsi="Symbol"/>
          <w:position w:val="7"/>
          <w:sz w:val="18"/>
        </w:rPr>
        <w:t></w:t>
      </w:r>
      <w:r>
        <w:rPr>
          <w:rFonts w:ascii="Symbol" w:hAnsi="Symbol"/>
          <w:position w:val="1"/>
          <w:sz w:val="29"/>
        </w:rPr>
        <w:t></w:t>
      </w:r>
      <w:r>
        <w:rPr>
          <w:spacing w:val="-23"/>
          <w:position w:val="1"/>
          <w:sz w:val="29"/>
        </w:rPr>
        <w:t> </w:t>
      </w:r>
      <w:r>
        <w:rPr>
          <w:sz w:val="10"/>
        </w:rPr>
        <w:t>3</w:t>
      </w:r>
      <w:r>
        <w:rPr>
          <w:spacing w:val="8"/>
          <w:sz w:val="10"/>
        </w:rPr>
        <w:t> </w:t>
      </w:r>
      <w:r>
        <w:rPr>
          <w:i/>
          <w:spacing w:val="-5"/>
          <w:position w:val="1"/>
          <w:sz w:val="27"/>
        </w:rPr>
        <w:t>GCF</w:t>
      </w:r>
    </w:p>
    <w:p>
      <w:pPr>
        <w:spacing w:line="333" w:lineRule="exact" w:before="103"/>
        <w:ind w:left="77" w:right="0" w:firstLine="0"/>
        <w:jc w:val="left"/>
        <w:rPr>
          <w:i/>
          <w:sz w:val="27"/>
        </w:rPr>
      </w:pPr>
      <w:r>
        <w:rPr/>
        <w:br w:type="column"/>
      </w:r>
      <w:r>
        <w:rPr>
          <w:rFonts w:ascii="Symbol" w:hAnsi="Symbol"/>
          <w:position w:val="7"/>
          <w:sz w:val="18"/>
        </w:rPr>
        <w:t></w:t>
      </w:r>
      <w:r>
        <w:rPr>
          <w:rFonts w:ascii="Symbol" w:hAnsi="Symbol"/>
          <w:position w:val="1"/>
          <w:sz w:val="29"/>
        </w:rPr>
        <w:t></w:t>
      </w:r>
      <w:r>
        <w:rPr>
          <w:spacing w:val="-17"/>
          <w:position w:val="1"/>
          <w:sz w:val="29"/>
        </w:rPr>
        <w:t> </w:t>
      </w:r>
      <w:r>
        <w:rPr>
          <w:sz w:val="10"/>
        </w:rPr>
        <w:t>4</w:t>
      </w:r>
      <w:r>
        <w:rPr>
          <w:spacing w:val="-1"/>
          <w:sz w:val="10"/>
        </w:rPr>
        <w:t> </w:t>
      </w:r>
      <w:r>
        <w:rPr>
          <w:rFonts w:ascii="Symbol" w:hAnsi="Symbol"/>
          <w:spacing w:val="-2"/>
          <w:position w:val="1"/>
          <w:sz w:val="29"/>
        </w:rPr>
        <w:t></w:t>
      </w:r>
      <w:r>
        <w:rPr>
          <w:i/>
          <w:spacing w:val="-2"/>
          <w:position w:val="1"/>
          <w:sz w:val="27"/>
        </w:rPr>
        <w:t>EXDEBT</w:t>
      </w:r>
    </w:p>
    <w:p>
      <w:pPr>
        <w:spacing w:line="333" w:lineRule="exact" w:before="103"/>
        <w:ind w:left="63" w:right="0" w:firstLine="0"/>
        <w:jc w:val="left"/>
        <w:rPr>
          <w:i/>
          <w:sz w:val="27"/>
        </w:rPr>
      </w:pPr>
      <w:r>
        <w:rPr/>
        <w:br w:type="column"/>
      </w:r>
      <w:r>
        <w:rPr>
          <w:rFonts w:ascii="Symbol" w:hAnsi="Symbol"/>
          <w:w w:val="110"/>
          <w:position w:val="7"/>
          <w:sz w:val="18"/>
        </w:rPr>
        <w:t></w:t>
      </w:r>
      <w:r>
        <w:rPr>
          <w:rFonts w:ascii="Symbol" w:hAnsi="Symbol"/>
          <w:w w:val="110"/>
          <w:position w:val="1"/>
          <w:sz w:val="29"/>
        </w:rPr>
        <w:t></w:t>
      </w:r>
      <w:r>
        <w:rPr>
          <w:spacing w:val="-49"/>
          <w:w w:val="110"/>
          <w:position w:val="1"/>
          <w:sz w:val="29"/>
        </w:rPr>
        <w:t> </w:t>
      </w:r>
      <w:r>
        <w:rPr>
          <w:w w:val="110"/>
          <w:sz w:val="10"/>
        </w:rPr>
        <w:t>5</w:t>
      </w:r>
      <w:r>
        <w:rPr>
          <w:spacing w:val="14"/>
          <w:w w:val="110"/>
          <w:sz w:val="10"/>
        </w:rPr>
        <w:t> </w:t>
      </w:r>
      <w:r>
        <w:rPr>
          <w:i/>
          <w:spacing w:val="-12"/>
          <w:w w:val="110"/>
          <w:position w:val="1"/>
          <w:sz w:val="27"/>
        </w:rPr>
        <w:t>DR</w:t>
      </w:r>
    </w:p>
    <w:p>
      <w:pPr>
        <w:spacing w:line="333" w:lineRule="exact" w:before="103"/>
        <w:ind w:left="62" w:right="0" w:firstLine="0"/>
        <w:jc w:val="left"/>
        <w:rPr>
          <w:i/>
          <w:sz w:val="27"/>
        </w:rPr>
      </w:pPr>
      <w:r>
        <w:rPr/>
        <w:br w:type="column"/>
      </w:r>
      <w:r>
        <w:rPr>
          <w:rFonts w:ascii="Symbol" w:hAnsi="Symbol"/>
          <w:w w:val="110"/>
          <w:position w:val="7"/>
          <w:sz w:val="18"/>
        </w:rPr>
        <w:t></w:t>
      </w:r>
      <w:r>
        <w:rPr>
          <w:rFonts w:ascii="Symbol" w:hAnsi="Symbol"/>
          <w:w w:val="110"/>
          <w:position w:val="1"/>
          <w:sz w:val="29"/>
        </w:rPr>
        <w:t></w:t>
      </w:r>
      <w:r>
        <w:rPr>
          <w:spacing w:val="-48"/>
          <w:w w:val="110"/>
          <w:position w:val="1"/>
          <w:sz w:val="29"/>
        </w:rPr>
        <w:t> </w:t>
      </w:r>
      <w:r>
        <w:rPr>
          <w:w w:val="110"/>
          <w:sz w:val="10"/>
        </w:rPr>
        <w:t>6</w:t>
      </w:r>
      <w:r>
        <w:rPr>
          <w:spacing w:val="16"/>
          <w:w w:val="110"/>
          <w:sz w:val="10"/>
        </w:rPr>
        <w:t> </w:t>
      </w:r>
      <w:r>
        <w:rPr>
          <w:i/>
          <w:spacing w:val="-2"/>
          <w:w w:val="110"/>
          <w:position w:val="1"/>
          <w:sz w:val="27"/>
        </w:rPr>
        <w:t>PRIVCR</w:t>
      </w:r>
    </w:p>
    <w:p>
      <w:pPr>
        <w:spacing w:after="0" w:line="333" w:lineRule="exact"/>
        <w:jc w:val="left"/>
        <w:rPr>
          <w:sz w:val="27"/>
        </w:rPr>
        <w:sectPr>
          <w:type w:val="continuous"/>
          <w:pgSz w:w="11910" w:h="16840"/>
          <w:pgMar w:header="0" w:footer="979" w:top="1340" w:bottom="1220" w:left="280" w:right="0"/>
          <w:cols w:num="6" w:equalWidth="0">
            <w:col w:w="1379" w:space="40"/>
            <w:col w:w="2480" w:space="39"/>
            <w:col w:w="1047" w:space="39"/>
            <w:col w:w="1710" w:space="39"/>
            <w:col w:w="851" w:space="40"/>
            <w:col w:w="3966"/>
          </w:cols>
        </w:sectPr>
      </w:pPr>
    </w:p>
    <w:p>
      <w:pPr>
        <w:spacing w:before="2"/>
        <w:ind w:left="1656" w:right="0" w:firstLine="0"/>
        <w:jc w:val="left"/>
        <w:rPr>
          <w:rFonts w:ascii="Symbol" w:hAnsi="Symbol"/>
          <w:sz w:val="19"/>
        </w:rPr>
      </w:pPr>
      <w:r>
        <w:rPr>
          <w:rFonts w:ascii="Symbol" w:hAnsi="Symbol"/>
          <w:w w:val="110"/>
          <w:position w:val="7"/>
          <w:sz w:val="18"/>
        </w:rPr>
        <w:t></w:t>
      </w:r>
      <w:r>
        <w:rPr>
          <w:rFonts w:ascii="Symbol" w:hAnsi="Symbol"/>
          <w:w w:val="110"/>
          <w:position w:val="1"/>
          <w:sz w:val="29"/>
        </w:rPr>
        <w:t></w:t>
      </w:r>
      <w:r>
        <w:rPr>
          <w:spacing w:val="-48"/>
          <w:w w:val="110"/>
          <w:position w:val="1"/>
          <w:sz w:val="29"/>
        </w:rPr>
        <w:t> </w:t>
      </w:r>
      <w:r>
        <w:rPr>
          <w:w w:val="110"/>
          <w:sz w:val="10"/>
        </w:rPr>
        <w:t>7</w:t>
      </w:r>
      <w:r>
        <w:rPr>
          <w:i/>
          <w:w w:val="110"/>
          <w:position w:val="1"/>
          <w:sz w:val="27"/>
        </w:rPr>
        <w:t>USIRD</w:t>
      </w:r>
      <w:r>
        <w:rPr>
          <w:i/>
          <w:spacing w:val="1"/>
          <w:w w:val="110"/>
          <w:position w:val="1"/>
          <w:sz w:val="27"/>
        </w:rPr>
        <w:t> </w:t>
      </w:r>
      <w:r>
        <w:rPr>
          <w:rFonts w:ascii="Symbol" w:hAnsi="Symbol"/>
          <w:w w:val="110"/>
          <w:position w:val="7"/>
          <w:sz w:val="18"/>
        </w:rPr>
        <w:t></w:t>
      </w:r>
      <w:r>
        <w:rPr>
          <w:rFonts w:ascii="Symbol" w:hAnsi="Symbol"/>
          <w:w w:val="110"/>
          <w:position w:val="1"/>
          <w:sz w:val="29"/>
        </w:rPr>
        <w:t></w:t>
      </w:r>
      <w:r>
        <w:rPr>
          <w:spacing w:val="-50"/>
          <w:w w:val="110"/>
          <w:position w:val="1"/>
          <w:sz w:val="29"/>
        </w:rPr>
        <w:t> </w:t>
      </w:r>
      <w:r>
        <w:rPr>
          <w:w w:val="110"/>
          <w:sz w:val="10"/>
        </w:rPr>
        <w:t>8</w:t>
      </w:r>
      <w:r>
        <w:rPr>
          <w:spacing w:val="-6"/>
          <w:w w:val="110"/>
          <w:sz w:val="10"/>
        </w:rPr>
        <w:t> </w:t>
      </w:r>
      <w:r>
        <w:rPr>
          <w:i/>
          <w:w w:val="110"/>
          <w:position w:val="1"/>
          <w:sz w:val="27"/>
        </w:rPr>
        <w:t>GOCE</w:t>
      </w:r>
      <w:r>
        <w:rPr>
          <w:i/>
          <w:spacing w:val="25"/>
          <w:w w:val="110"/>
          <w:position w:val="1"/>
          <w:sz w:val="27"/>
        </w:rPr>
        <w:t> </w:t>
      </w:r>
      <w:r>
        <w:rPr>
          <w:rFonts w:ascii="Symbol" w:hAnsi="Symbol"/>
          <w:w w:val="110"/>
          <w:position w:val="7"/>
          <w:sz w:val="18"/>
        </w:rPr>
        <w:t></w:t>
      </w:r>
      <w:r>
        <w:rPr>
          <w:spacing w:val="-13"/>
          <w:w w:val="110"/>
          <w:position w:val="7"/>
          <w:sz w:val="18"/>
        </w:rPr>
        <w:t> </w:t>
      </w:r>
      <w:r>
        <w:rPr>
          <w:rFonts w:ascii="Symbol" w:hAnsi="Symbol"/>
          <w:spacing w:val="-10"/>
          <w:w w:val="110"/>
          <w:position w:val="7"/>
          <w:sz w:val="19"/>
        </w:rPr>
        <w:t></w:t>
      </w:r>
    </w:p>
    <w:p>
      <w:pPr>
        <w:tabs>
          <w:tab w:pos="5692" w:val="left" w:leader="dot"/>
        </w:tabs>
        <w:spacing w:before="66"/>
        <w:ind w:left="85" w:right="0" w:firstLine="0"/>
        <w:jc w:val="left"/>
        <w:rPr>
          <w:sz w:val="18"/>
        </w:rPr>
      </w:pPr>
      <w:r>
        <w:rPr/>
        <w:br w:type="column"/>
      </w:r>
      <w:r>
        <w:rPr>
          <w:spacing w:val="-10"/>
          <w:w w:val="110"/>
          <w:sz w:val="18"/>
        </w:rPr>
        <w:t>.</w:t>
      </w:r>
      <w:r>
        <w:rPr>
          <w:sz w:val="18"/>
        </w:rPr>
        <w:tab/>
      </w:r>
      <w:r>
        <w:rPr>
          <w:spacing w:val="-4"/>
          <w:w w:val="110"/>
          <w:sz w:val="18"/>
        </w:rPr>
        <w:t>(3.3)</w:t>
      </w:r>
    </w:p>
    <w:p>
      <w:pPr>
        <w:spacing w:after="0"/>
        <w:jc w:val="left"/>
        <w:rPr>
          <w:sz w:val="18"/>
        </w:rPr>
        <w:sectPr>
          <w:type w:val="continuous"/>
          <w:pgSz w:w="11910" w:h="16840"/>
          <w:pgMar w:header="0" w:footer="979" w:top="1340" w:bottom="1220" w:left="280" w:right="0"/>
          <w:cols w:num="2" w:equalWidth="0">
            <w:col w:w="4518" w:space="40"/>
            <w:col w:w="7072"/>
          </w:cols>
        </w:sectPr>
      </w:pPr>
    </w:p>
    <w:p>
      <w:pPr>
        <w:pStyle w:val="BodyText"/>
        <w:spacing w:before="8"/>
      </w:pPr>
    </w:p>
    <w:p>
      <w:pPr>
        <w:pStyle w:val="BodyText"/>
        <w:tabs>
          <w:tab w:pos="2211" w:val="left" w:leader="none"/>
        </w:tabs>
        <w:spacing w:line="477" w:lineRule="auto"/>
        <w:ind w:left="711" w:right="7009"/>
      </w:pPr>
      <w:r>
        <w:rPr>
          <w:position w:val="2"/>
        </w:rPr>
        <w:t>Where θ</w:t>
      </w:r>
      <w:r>
        <w:rPr>
          <w:sz w:val="16"/>
        </w:rPr>
        <w:t>0</w:t>
      </w:r>
      <w:r>
        <w:rPr>
          <w:spacing w:val="80"/>
          <w:sz w:val="16"/>
        </w:rPr>
        <w:t> </w:t>
      </w:r>
      <w:r>
        <w:rPr>
          <w:position w:val="2"/>
        </w:rPr>
        <w:t>=</w:t>
        <w:tab/>
        <w:t>intercept of the equation </w:t>
      </w:r>
      <w:r>
        <w:rPr/>
        <w:t>By</w:t>
      </w:r>
      <w:r>
        <w:rPr>
          <w:spacing w:val="-5"/>
        </w:rPr>
        <w:t> </w:t>
      </w:r>
      <w:r>
        <w:rPr/>
        <w:t>log-linearising</w:t>
      </w:r>
      <w:r>
        <w:rPr>
          <w:spacing w:val="-3"/>
        </w:rPr>
        <w:t> </w:t>
      </w:r>
      <w:r>
        <w:rPr/>
        <w:t>the</w:t>
      </w:r>
      <w:r>
        <w:rPr>
          <w:spacing w:val="1"/>
        </w:rPr>
        <w:t> </w:t>
      </w:r>
      <w:r>
        <w:rPr/>
        <w:t>model, it</w:t>
      </w:r>
      <w:r>
        <w:rPr>
          <w:spacing w:val="1"/>
        </w:rPr>
        <w:t> </w:t>
      </w:r>
      <w:r>
        <w:rPr>
          <w:spacing w:val="-2"/>
        </w:rPr>
        <w:t>becomes</w:t>
      </w:r>
    </w:p>
    <w:p>
      <w:pPr>
        <w:pStyle w:val="BodyText"/>
        <w:spacing w:before="2"/>
        <w:rPr>
          <w:sz w:val="17"/>
        </w:rPr>
      </w:pPr>
    </w:p>
    <w:p>
      <w:pPr>
        <w:spacing w:after="0"/>
        <w:rPr>
          <w:sz w:val="17"/>
        </w:rPr>
        <w:sectPr>
          <w:type w:val="continuous"/>
          <w:pgSz w:w="11910" w:h="16840"/>
          <w:pgMar w:header="0" w:footer="979" w:top="1340" w:bottom="1220" w:left="280" w:right="0"/>
        </w:sectPr>
      </w:pPr>
    </w:p>
    <w:p>
      <w:pPr>
        <w:spacing w:before="137"/>
        <w:ind w:left="744" w:right="0" w:firstLine="0"/>
        <w:jc w:val="left"/>
        <w:rPr>
          <w:i/>
          <w:sz w:val="27"/>
        </w:rPr>
      </w:pPr>
      <w:r>
        <w:rPr>
          <w:i/>
          <w:position w:val="3"/>
          <w:sz w:val="18"/>
        </w:rPr>
        <w:t>LogKFW</w:t>
      </w:r>
      <w:r>
        <w:rPr>
          <w:i/>
          <w:spacing w:val="17"/>
          <w:position w:val="3"/>
          <w:sz w:val="18"/>
        </w:rPr>
        <w:t> </w:t>
      </w:r>
      <w:r>
        <w:rPr>
          <w:rFonts w:ascii="Symbol" w:hAnsi="Symbol"/>
          <w:position w:val="3"/>
          <w:sz w:val="18"/>
        </w:rPr>
        <w:t></w:t>
      </w:r>
      <w:r>
        <w:rPr>
          <w:spacing w:val="-22"/>
          <w:position w:val="3"/>
          <w:sz w:val="18"/>
        </w:rPr>
        <w:t> </w:t>
      </w:r>
      <w:r>
        <w:rPr>
          <w:rFonts w:ascii="Symbol" w:hAnsi="Symbol"/>
          <w:position w:val="-2"/>
          <w:sz w:val="28"/>
        </w:rPr>
        <w:t></w:t>
      </w:r>
      <w:r>
        <w:rPr>
          <w:spacing w:val="-39"/>
          <w:position w:val="-2"/>
          <w:sz w:val="28"/>
        </w:rPr>
        <w:t> </w:t>
      </w:r>
      <w:r>
        <w:rPr>
          <w:position w:val="-3"/>
          <w:sz w:val="10"/>
        </w:rPr>
        <w:t>0</w:t>
      </w:r>
      <w:r>
        <w:rPr>
          <w:spacing w:val="11"/>
          <w:position w:val="-3"/>
          <w:sz w:val="10"/>
        </w:rPr>
        <w:t> </w:t>
      </w:r>
      <w:r>
        <w:rPr>
          <w:rFonts w:ascii="Symbol" w:hAnsi="Symbol"/>
          <w:spacing w:val="11"/>
          <w:position w:val="3"/>
          <w:sz w:val="18"/>
        </w:rPr>
        <w:t></w:t>
      </w:r>
      <w:r>
        <w:rPr>
          <w:rFonts w:ascii="Symbol" w:hAnsi="Symbol"/>
          <w:spacing w:val="11"/>
          <w:position w:val="-2"/>
          <w:sz w:val="28"/>
        </w:rPr>
        <w:t></w:t>
      </w:r>
      <w:r>
        <w:rPr>
          <w:spacing w:val="11"/>
          <w:position w:val="-3"/>
          <w:sz w:val="10"/>
        </w:rPr>
        <w:t>1</w:t>
      </w:r>
      <w:r>
        <w:rPr>
          <w:spacing w:val="-6"/>
          <w:position w:val="-3"/>
          <w:sz w:val="10"/>
        </w:rPr>
        <w:t> </w:t>
      </w:r>
      <w:r>
        <w:rPr>
          <w:i/>
          <w:sz w:val="27"/>
        </w:rPr>
        <w:t>LogDOP</w:t>
      </w:r>
      <w:r>
        <w:rPr>
          <w:i/>
          <w:spacing w:val="28"/>
          <w:sz w:val="27"/>
        </w:rPr>
        <w:t> </w:t>
      </w:r>
      <w:r>
        <w:rPr>
          <w:rFonts w:ascii="Symbol" w:hAnsi="Symbol"/>
          <w:position w:val="3"/>
          <w:sz w:val="18"/>
        </w:rPr>
        <w:t></w:t>
      </w:r>
      <w:r>
        <w:rPr>
          <w:rFonts w:ascii="Symbol" w:hAnsi="Symbol"/>
          <w:position w:val="-2"/>
          <w:sz w:val="28"/>
        </w:rPr>
        <w:t></w:t>
      </w:r>
      <w:r>
        <w:rPr>
          <w:spacing w:val="-37"/>
          <w:position w:val="-2"/>
          <w:sz w:val="28"/>
        </w:rPr>
        <w:t> </w:t>
      </w:r>
      <w:r>
        <w:rPr>
          <w:position w:val="-3"/>
          <w:sz w:val="10"/>
        </w:rPr>
        <w:t>2</w:t>
      </w:r>
      <w:r>
        <w:rPr>
          <w:spacing w:val="2"/>
          <w:position w:val="-3"/>
          <w:sz w:val="10"/>
        </w:rPr>
        <w:t> </w:t>
      </w:r>
      <w:r>
        <w:rPr>
          <w:i/>
          <w:spacing w:val="-2"/>
          <w:sz w:val="27"/>
        </w:rPr>
        <w:t>LogINF</w:t>
      </w:r>
    </w:p>
    <w:p>
      <w:pPr>
        <w:spacing w:before="137"/>
        <w:ind w:left="75" w:right="0" w:firstLine="0"/>
        <w:jc w:val="left"/>
        <w:rPr>
          <w:i/>
          <w:sz w:val="27"/>
        </w:rPr>
      </w:pPr>
      <w:r>
        <w:rPr/>
        <w:br w:type="column"/>
      </w:r>
      <w:r>
        <w:rPr>
          <w:rFonts w:ascii="Symbol" w:hAnsi="Symbol"/>
          <w:position w:val="3"/>
          <w:sz w:val="18"/>
        </w:rPr>
        <w:t></w:t>
      </w:r>
      <w:r>
        <w:rPr>
          <w:rFonts w:ascii="Symbol" w:hAnsi="Symbol"/>
          <w:position w:val="-2"/>
          <w:sz w:val="28"/>
        </w:rPr>
        <w:t></w:t>
      </w:r>
      <w:r>
        <w:rPr>
          <w:spacing w:val="-34"/>
          <w:position w:val="-2"/>
          <w:sz w:val="28"/>
        </w:rPr>
        <w:t> </w:t>
      </w:r>
      <w:r>
        <w:rPr>
          <w:position w:val="-3"/>
          <w:sz w:val="10"/>
        </w:rPr>
        <w:t>3</w:t>
      </w:r>
      <w:r>
        <w:rPr>
          <w:spacing w:val="5"/>
          <w:position w:val="-3"/>
          <w:sz w:val="10"/>
        </w:rPr>
        <w:t> </w:t>
      </w:r>
      <w:r>
        <w:rPr>
          <w:i/>
          <w:spacing w:val="-4"/>
          <w:sz w:val="27"/>
        </w:rPr>
        <w:t>LogGCF</w:t>
      </w:r>
    </w:p>
    <w:p>
      <w:pPr>
        <w:spacing w:before="107"/>
        <w:ind w:left="79" w:right="0" w:firstLine="0"/>
        <w:jc w:val="left"/>
        <w:rPr>
          <w:i/>
          <w:sz w:val="27"/>
        </w:rPr>
      </w:pPr>
      <w:r>
        <w:rPr/>
        <w:br w:type="column"/>
      </w:r>
      <w:r>
        <w:rPr>
          <w:rFonts w:ascii="Symbol" w:hAnsi="Symbol"/>
          <w:position w:val="3"/>
          <w:sz w:val="18"/>
        </w:rPr>
        <w:t></w:t>
      </w:r>
      <w:r>
        <w:rPr>
          <w:rFonts w:ascii="Symbol" w:hAnsi="Symbol"/>
          <w:position w:val="-2"/>
          <w:sz w:val="28"/>
        </w:rPr>
        <w:t></w:t>
      </w:r>
      <w:r>
        <w:rPr>
          <w:spacing w:val="-31"/>
          <w:position w:val="-2"/>
          <w:sz w:val="28"/>
        </w:rPr>
        <w:t> </w:t>
      </w:r>
      <w:r>
        <w:rPr>
          <w:position w:val="-3"/>
          <w:sz w:val="10"/>
        </w:rPr>
        <w:t>4</w:t>
      </w:r>
      <w:r>
        <w:rPr>
          <w:spacing w:val="9"/>
          <w:position w:val="-3"/>
          <w:sz w:val="10"/>
        </w:rPr>
        <w:t> </w:t>
      </w:r>
      <w:r>
        <w:rPr>
          <w:i/>
          <w:spacing w:val="-2"/>
          <w:sz w:val="27"/>
        </w:rPr>
        <w:t>Log</w:t>
      </w:r>
      <w:r>
        <w:rPr>
          <w:rFonts w:ascii="Symbol" w:hAnsi="Symbol"/>
          <w:spacing w:val="-2"/>
          <w:sz w:val="28"/>
        </w:rPr>
        <w:t></w:t>
      </w:r>
      <w:r>
        <w:rPr>
          <w:i/>
          <w:spacing w:val="-2"/>
          <w:sz w:val="27"/>
        </w:rPr>
        <w:t>EXDEBT</w:t>
      </w:r>
    </w:p>
    <w:p>
      <w:pPr>
        <w:spacing w:before="137"/>
        <w:ind w:left="60" w:right="0" w:firstLine="0"/>
        <w:jc w:val="left"/>
        <w:rPr>
          <w:i/>
          <w:sz w:val="27"/>
        </w:rPr>
      </w:pPr>
      <w:r>
        <w:rPr/>
        <w:br w:type="column"/>
      </w:r>
      <w:r>
        <w:rPr>
          <w:rFonts w:ascii="Symbol" w:hAnsi="Symbol"/>
          <w:position w:val="3"/>
          <w:sz w:val="18"/>
        </w:rPr>
        <w:t></w:t>
      </w:r>
      <w:r>
        <w:rPr>
          <w:rFonts w:ascii="Symbol" w:hAnsi="Symbol"/>
          <w:position w:val="-2"/>
          <w:sz w:val="28"/>
        </w:rPr>
        <w:t></w:t>
      </w:r>
      <w:r>
        <w:rPr>
          <w:spacing w:val="-34"/>
          <w:position w:val="-2"/>
          <w:sz w:val="28"/>
        </w:rPr>
        <w:t> </w:t>
      </w:r>
      <w:r>
        <w:rPr>
          <w:position w:val="-3"/>
          <w:sz w:val="10"/>
        </w:rPr>
        <w:t>5</w:t>
      </w:r>
      <w:r>
        <w:rPr>
          <w:spacing w:val="8"/>
          <w:position w:val="-3"/>
          <w:sz w:val="10"/>
        </w:rPr>
        <w:t> </w:t>
      </w:r>
      <w:r>
        <w:rPr>
          <w:i/>
          <w:spacing w:val="-2"/>
          <w:sz w:val="27"/>
        </w:rPr>
        <w:t>LogDR</w:t>
      </w:r>
    </w:p>
    <w:p>
      <w:pPr>
        <w:spacing w:after="0"/>
        <w:jc w:val="left"/>
        <w:rPr>
          <w:sz w:val="27"/>
        </w:rPr>
        <w:sectPr>
          <w:type w:val="continuous"/>
          <w:pgSz w:w="11910" w:h="16840"/>
          <w:pgMar w:header="0" w:footer="979" w:top="1340" w:bottom="1220" w:left="280" w:right="0"/>
          <w:cols w:num="4" w:equalWidth="0">
            <w:col w:w="4505" w:space="40"/>
            <w:col w:w="1392" w:space="39"/>
            <w:col w:w="2015" w:space="40"/>
            <w:col w:w="3599"/>
          </w:cols>
        </w:sectPr>
      </w:pPr>
    </w:p>
    <w:p>
      <w:pPr>
        <w:spacing w:before="47"/>
        <w:ind w:left="1723" w:right="0" w:firstLine="0"/>
        <w:jc w:val="left"/>
        <w:rPr>
          <w:i/>
          <w:sz w:val="27"/>
        </w:rPr>
      </w:pPr>
      <w:r>
        <w:rPr>
          <w:rFonts w:ascii="Symbol" w:hAnsi="Symbol"/>
          <w:position w:val="3"/>
          <w:sz w:val="18"/>
        </w:rPr>
        <w:t></w:t>
      </w:r>
      <w:r>
        <w:rPr>
          <w:rFonts w:ascii="Symbol" w:hAnsi="Symbol"/>
          <w:position w:val="-2"/>
          <w:sz w:val="28"/>
        </w:rPr>
        <w:t></w:t>
      </w:r>
      <w:r>
        <w:rPr>
          <w:spacing w:val="-39"/>
          <w:position w:val="-2"/>
          <w:sz w:val="28"/>
        </w:rPr>
        <w:t> </w:t>
      </w:r>
      <w:r>
        <w:rPr>
          <w:position w:val="-3"/>
          <w:sz w:val="10"/>
        </w:rPr>
        <w:t>6</w:t>
      </w:r>
      <w:r>
        <w:rPr>
          <w:spacing w:val="4"/>
          <w:position w:val="-3"/>
          <w:sz w:val="10"/>
        </w:rPr>
        <w:t> </w:t>
      </w:r>
      <w:r>
        <w:rPr>
          <w:i/>
          <w:sz w:val="27"/>
        </w:rPr>
        <w:t>LogPRIVCR</w:t>
      </w:r>
      <w:r>
        <w:rPr>
          <w:i/>
          <w:spacing w:val="-2"/>
          <w:sz w:val="27"/>
        </w:rPr>
        <w:t> </w:t>
      </w:r>
      <w:r>
        <w:rPr>
          <w:rFonts w:ascii="Symbol" w:hAnsi="Symbol"/>
          <w:position w:val="3"/>
          <w:sz w:val="18"/>
        </w:rPr>
        <w:t></w:t>
      </w:r>
      <w:r>
        <w:rPr>
          <w:rFonts w:ascii="Symbol" w:hAnsi="Symbol"/>
          <w:position w:val="-2"/>
          <w:sz w:val="28"/>
        </w:rPr>
        <w:t></w:t>
      </w:r>
      <w:r>
        <w:rPr>
          <w:spacing w:val="-37"/>
          <w:position w:val="-2"/>
          <w:sz w:val="28"/>
        </w:rPr>
        <w:t> </w:t>
      </w:r>
      <w:r>
        <w:rPr>
          <w:position w:val="-3"/>
          <w:sz w:val="10"/>
        </w:rPr>
        <w:t>7</w:t>
      </w:r>
      <w:r>
        <w:rPr>
          <w:spacing w:val="5"/>
          <w:position w:val="-3"/>
          <w:sz w:val="10"/>
        </w:rPr>
        <w:t> </w:t>
      </w:r>
      <w:r>
        <w:rPr>
          <w:i/>
          <w:sz w:val="27"/>
        </w:rPr>
        <w:t>LogUSIRD</w:t>
      </w:r>
      <w:r>
        <w:rPr>
          <w:i/>
          <w:spacing w:val="23"/>
          <w:sz w:val="27"/>
        </w:rPr>
        <w:t> </w:t>
      </w:r>
      <w:r>
        <w:rPr>
          <w:rFonts w:ascii="Symbol" w:hAnsi="Symbol"/>
          <w:position w:val="3"/>
          <w:sz w:val="18"/>
        </w:rPr>
        <w:t></w:t>
      </w:r>
      <w:r>
        <w:rPr>
          <w:rFonts w:ascii="Symbol" w:hAnsi="Symbol"/>
          <w:position w:val="-2"/>
          <w:sz w:val="28"/>
        </w:rPr>
        <w:t></w:t>
      </w:r>
      <w:r>
        <w:rPr>
          <w:spacing w:val="-41"/>
          <w:position w:val="-2"/>
          <w:sz w:val="28"/>
        </w:rPr>
        <w:t> </w:t>
      </w:r>
      <w:r>
        <w:rPr>
          <w:position w:val="-3"/>
          <w:sz w:val="10"/>
        </w:rPr>
        <w:t>8</w:t>
      </w:r>
      <w:r>
        <w:rPr>
          <w:spacing w:val="1"/>
          <w:position w:val="-3"/>
          <w:sz w:val="10"/>
        </w:rPr>
        <w:t> </w:t>
      </w:r>
      <w:r>
        <w:rPr>
          <w:i/>
          <w:spacing w:val="-2"/>
          <w:sz w:val="27"/>
        </w:rPr>
        <w:t>LogGOCE</w:t>
      </w:r>
    </w:p>
    <w:p>
      <w:pPr>
        <w:tabs>
          <w:tab w:pos="3095" w:val="left" w:leader="dot"/>
        </w:tabs>
        <w:spacing w:before="79"/>
        <w:ind w:left="68" w:right="0" w:firstLine="0"/>
        <w:jc w:val="left"/>
        <w:rPr>
          <w:sz w:val="18"/>
        </w:rPr>
      </w:pPr>
      <w:r>
        <w:rPr/>
        <w:br w:type="column"/>
      </w:r>
      <w:r>
        <w:rPr>
          <w:rFonts w:ascii="Symbol" w:hAnsi="Symbol"/>
          <w:sz w:val="18"/>
        </w:rPr>
        <w:t></w:t>
      </w:r>
      <w:r>
        <w:rPr>
          <w:spacing w:val="-5"/>
          <w:sz w:val="18"/>
        </w:rPr>
        <w:t> </w:t>
      </w:r>
      <w:r>
        <w:rPr>
          <w:rFonts w:ascii="Symbol" w:hAnsi="Symbol"/>
          <w:spacing w:val="-10"/>
          <w:sz w:val="19"/>
        </w:rPr>
        <w:t></w:t>
      </w:r>
      <w:r>
        <w:rPr>
          <w:sz w:val="19"/>
        </w:rPr>
        <w:tab/>
      </w:r>
      <w:r>
        <w:rPr>
          <w:spacing w:val="-2"/>
          <w:sz w:val="18"/>
        </w:rPr>
        <w:t>(3.4)</w:t>
      </w:r>
    </w:p>
    <w:p>
      <w:pPr>
        <w:spacing w:after="0"/>
        <w:jc w:val="left"/>
        <w:rPr>
          <w:sz w:val="18"/>
        </w:rPr>
        <w:sectPr>
          <w:type w:val="continuous"/>
          <w:pgSz w:w="11910" w:h="16840"/>
          <w:pgMar w:header="0" w:footer="979" w:top="1340" w:bottom="1220" w:left="280" w:right="0"/>
          <w:cols w:num="2" w:equalWidth="0">
            <w:col w:w="6674" w:space="40"/>
            <w:col w:w="4916"/>
          </w:cols>
        </w:sectPr>
      </w:pPr>
    </w:p>
    <w:p>
      <w:pPr>
        <w:pStyle w:val="BodyText"/>
        <w:spacing w:before="29"/>
      </w:pPr>
    </w:p>
    <w:p>
      <w:pPr>
        <w:pStyle w:val="BodyText"/>
        <w:tabs>
          <w:tab w:pos="1777" w:val="left" w:leader="none"/>
          <w:tab w:pos="3592" w:val="left" w:leader="none"/>
        </w:tabs>
        <w:spacing w:before="1"/>
        <w:ind w:left="711"/>
      </w:pPr>
      <w:r>
        <w:rPr>
          <w:spacing w:val="-2"/>
        </w:rPr>
        <w:t>Where:</w:t>
      </w:r>
      <w:r>
        <w:rPr/>
        <w:tab/>
        <w:t>Where:</w:t>
      </w:r>
      <w:r>
        <w:rPr>
          <w:spacing w:val="61"/>
        </w:rPr>
        <w:t> </w:t>
      </w:r>
      <w:r>
        <w:rPr>
          <w:spacing w:val="-5"/>
        </w:rPr>
        <w:t>Log</w:t>
      </w:r>
      <w:r>
        <w:rPr/>
        <w:tab/>
        <w:t>=</w:t>
      </w:r>
      <w:r>
        <w:rPr>
          <w:spacing w:val="-3"/>
        </w:rPr>
        <w:t> </w:t>
      </w:r>
      <w:r>
        <w:rPr/>
        <w:t>Natural </w:t>
      </w:r>
      <w:r>
        <w:rPr>
          <w:spacing w:val="-2"/>
        </w:rPr>
        <w:t>Logarithm</w:t>
      </w:r>
    </w:p>
    <w:p>
      <w:pPr>
        <w:spacing w:after="0"/>
        <w:sectPr>
          <w:type w:val="continuous"/>
          <w:pgSz w:w="11910" w:h="16840"/>
          <w:pgMar w:header="0" w:footer="979" w:top="1340" w:bottom="1220" w:left="280" w:right="0"/>
        </w:sectPr>
      </w:pPr>
    </w:p>
    <w:p>
      <w:pPr>
        <w:tabs>
          <w:tab w:pos="3154" w:val="left" w:leader="none"/>
        </w:tabs>
        <w:spacing w:line="477" w:lineRule="auto" w:before="60"/>
        <w:ind w:left="711" w:right="5671" w:firstLine="0"/>
        <w:jc w:val="left"/>
        <w:rPr>
          <w:sz w:val="24"/>
        </w:rPr>
      </w:pPr>
      <w:r>
        <w:rPr>
          <w:position w:val="2"/>
          <w:sz w:val="24"/>
        </w:rPr>
        <w:t>θ</w:t>
      </w:r>
      <w:r>
        <w:rPr>
          <w:sz w:val="16"/>
        </w:rPr>
        <w:t>1,</w:t>
      </w:r>
      <w:r>
        <w:rPr>
          <w:position w:val="2"/>
          <w:sz w:val="24"/>
        </w:rPr>
        <w:t>θ</w:t>
      </w:r>
      <w:r>
        <w:rPr>
          <w:sz w:val="16"/>
        </w:rPr>
        <w:t>2, </w:t>
      </w:r>
      <w:r>
        <w:rPr>
          <w:position w:val="2"/>
          <w:sz w:val="24"/>
        </w:rPr>
        <w:t>θ</w:t>
      </w:r>
      <w:r>
        <w:rPr>
          <w:sz w:val="16"/>
        </w:rPr>
        <w:t>3, --------</w:t>
      </w:r>
      <w:r>
        <w:rPr>
          <w:spacing w:val="40"/>
          <w:sz w:val="16"/>
        </w:rPr>
        <w:t> </w:t>
      </w:r>
      <w:r>
        <w:rPr>
          <w:position w:val="2"/>
          <w:sz w:val="24"/>
        </w:rPr>
        <w:t>θ</w:t>
      </w:r>
      <w:r>
        <w:rPr>
          <w:sz w:val="16"/>
        </w:rPr>
        <w:t>8</w:t>
        <w:tab/>
      </w:r>
      <w:r>
        <w:rPr>
          <w:position w:val="2"/>
          <w:sz w:val="24"/>
        </w:rPr>
        <w:t>=</w:t>
      </w:r>
      <w:r>
        <w:rPr>
          <w:spacing w:val="80"/>
          <w:position w:val="2"/>
          <w:sz w:val="24"/>
        </w:rPr>
        <w:t> </w:t>
      </w:r>
      <w:r>
        <w:rPr>
          <w:position w:val="2"/>
          <w:sz w:val="24"/>
        </w:rPr>
        <w:t>Coefficients</w:t>
      </w:r>
      <w:r>
        <w:rPr>
          <w:spacing w:val="-6"/>
          <w:position w:val="2"/>
          <w:sz w:val="24"/>
        </w:rPr>
        <w:t> </w:t>
      </w:r>
      <w:r>
        <w:rPr>
          <w:position w:val="2"/>
          <w:sz w:val="24"/>
        </w:rPr>
        <w:t>of</w:t>
      </w:r>
      <w:r>
        <w:rPr>
          <w:spacing w:val="40"/>
          <w:position w:val="2"/>
          <w:sz w:val="24"/>
        </w:rPr>
        <w:t> </w:t>
      </w:r>
      <w:r>
        <w:rPr>
          <w:position w:val="2"/>
          <w:sz w:val="24"/>
        </w:rPr>
        <w:t>Estimates </w:t>
      </w:r>
      <w:r>
        <w:rPr>
          <w:sz w:val="24"/>
        </w:rPr>
        <w:t>µ = Error term</w:t>
      </w:r>
    </w:p>
    <w:p>
      <w:pPr>
        <w:pStyle w:val="ListParagraph"/>
        <w:numPr>
          <w:ilvl w:val="0"/>
          <w:numId w:val="17"/>
        </w:numPr>
        <w:tabs>
          <w:tab w:pos="1049" w:val="left" w:leader="none"/>
        </w:tabs>
        <w:spacing w:line="240" w:lineRule="auto" w:before="4" w:after="0"/>
        <w:ind w:left="1049" w:right="0" w:hanging="338"/>
        <w:jc w:val="left"/>
        <w:rPr>
          <w:sz w:val="24"/>
        </w:rPr>
      </w:pPr>
      <w:r>
        <w:rPr>
          <w:sz w:val="24"/>
        </w:rPr>
        <w:t>The</w:t>
      </w:r>
      <w:r>
        <w:rPr>
          <w:spacing w:val="-4"/>
          <w:sz w:val="24"/>
        </w:rPr>
        <w:t> </w:t>
      </w:r>
      <w:r>
        <w:rPr>
          <w:sz w:val="24"/>
        </w:rPr>
        <w:t>Morgan Trust estimate is stated explicitly</w:t>
      </w:r>
      <w:r>
        <w:rPr>
          <w:spacing w:val="-6"/>
          <w:sz w:val="24"/>
        </w:rPr>
        <w:t> </w:t>
      </w:r>
      <w:r>
        <w:rPr>
          <w:spacing w:val="-2"/>
          <w:sz w:val="24"/>
        </w:rPr>
        <w:t>below:</w:t>
      </w:r>
    </w:p>
    <w:p>
      <w:pPr>
        <w:spacing w:before="275"/>
        <w:ind w:left="711" w:right="0" w:firstLine="0"/>
        <w:jc w:val="left"/>
        <w:rPr>
          <w:i/>
          <w:sz w:val="24"/>
        </w:rPr>
      </w:pPr>
      <w:r>
        <w:rPr>
          <w:i/>
          <w:spacing w:val="-2"/>
          <w:position w:val="2"/>
          <w:sz w:val="24"/>
        </w:rPr>
        <w:t>KFM=λ</w:t>
      </w:r>
      <w:r>
        <w:rPr>
          <w:i/>
          <w:spacing w:val="-2"/>
          <w:sz w:val="16"/>
        </w:rPr>
        <w:t>0+</w:t>
      </w:r>
      <w:r>
        <w:rPr>
          <w:i/>
          <w:spacing w:val="-2"/>
          <w:position w:val="2"/>
          <w:sz w:val="24"/>
        </w:rPr>
        <w:t>λ</w:t>
      </w:r>
      <w:r>
        <w:rPr>
          <w:i/>
          <w:spacing w:val="-2"/>
          <w:sz w:val="16"/>
        </w:rPr>
        <w:t>1</w:t>
      </w:r>
      <w:r>
        <w:rPr>
          <w:i/>
          <w:spacing w:val="-2"/>
          <w:position w:val="2"/>
          <w:sz w:val="24"/>
        </w:rPr>
        <w:t>DOP+λ</w:t>
      </w:r>
      <w:r>
        <w:rPr>
          <w:i/>
          <w:spacing w:val="-2"/>
          <w:sz w:val="16"/>
        </w:rPr>
        <w:t>2</w:t>
      </w:r>
      <w:r>
        <w:rPr>
          <w:i/>
          <w:spacing w:val="-2"/>
          <w:position w:val="2"/>
          <w:sz w:val="24"/>
        </w:rPr>
        <w:t>INF+λ</w:t>
      </w:r>
      <w:r>
        <w:rPr>
          <w:i/>
          <w:spacing w:val="-2"/>
          <w:sz w:val="16"/>
        </w:rPr>
        <w:t>3</w:t>
      </w:r>
      <w:r>
        <w:rPr>
          <w:i/>
          <w:spacing w:val="-2"/>
          <w:position w:val="2"/>
          <w:sz w:val="24"/>
        </w:rPr>
        <w:t>GCF+λ</w:t>
      </w:r>
      <w:r>
        <w:rPr>
          <w:i/>
          <w:spacing w:val="-2"/>
          <w:sz w:val="16"/>
        </w:rPr>
        <w:t>4</w:t>
      </w:r>
      <w:r>
        <w:rPr>
          <w:i/>
          <w:spacing w:val="-2"/>
          <w:position w:val="2"/>
          <w:sz w:val="24"/>
        </w:rPr>
        <w:t>δEXDEBT+λ</w:t>
      </w:r>
      <w:r>
        <w:rPr>
          <w:i/>
          <w:spacing w:val="-2"/>
          <w:sz w:val="16"/>
        </w:rPr>
        <w:t>5</w:t>
      </w:r>
      <w:r>
        <w:rPr>
          <w:i/>
          <w:spacing w:val="-2"/>
          <w:position w:val="2"/>
          <w:sz w:val="24"/>
        </w:rPr>
        <w:t>DR+λ</w:t>
      </w:r>
      <w:r>
        <w:rPr>
          <w:i/>
          <w:spacing w:val="-2"/>
          <w:sz w:val="16"/>
        </w:rPr>
        <w:t>6</w:t>
      </w:r>
      <w:r>
        <w:rPr>
          <w:i/>
          <w:spacing w:val="-2"/>
          <w:position w:val="2"/>
          <w:sz w:val="24"/>
        </w:rPr>
        <w:t>PRIVCR+λ</w:t>
      </w:r>
      <w:r>
        <w:rPr>
          <w:i/>
          <w:spacing w:val="-2"/>
          <w:sz w:val="16"/>
        </w:rPr>
        <w:t>7</w:t>
      </w:r>
      <w:r>
        <w:rPr>
          <w:i/>
          <w:spacing w:val="-2"/>
          <w:position w:val="2"/>
          <w:sz w:val="24"/>
        </w:rPr>
        <w:t>USIRD+λ</w:t>
      </w:r>
      <w:r>
        <w:rPr>
          <w:i/>
          <w:spacing w:val="-2"/>
          <w:sz w:val="16"/>
        </w:rPr>
        <w:t>8</w:t>
      </w:r>
      <w:r>
        <w:rPr>
          <w:i/>
          <w:spacing w:val="-2"/>
          <w:position w:val="2"/>
          <w:sz w:val="24"/>
        </w:rPr>
        <w:t>GOCE+</w:t>
      </w:r>
    </w:p>
    <w:p>
      <w:pPr>
        <w:pStyle w:val="BodyText"/>
        <w:tabs>
          <w:tab w:pos="4967" w:val="left" w:leader="dot"/>
        </w:tabs>
        <w:spacing w:before="274"/>
        <w:ind w:left="711"/>
      </w:pPr>
      <w:r>
        <w:rPr>
          <w:i/>
          <w:spacing w:val="-10"/>
        </w:rPr>
        <w:t>µ</w:t>
      </w:r>
      <w:r>
        <w:rPr/>
        <w:tab/>
      </w:r>
      <w:r>
        <w:rPr>
          <w:spacing w:val="-2"/>
        </w:rPr>
        <w:t>(3.5)</w:t>
      </w:r>
    </w:p>
    <w:p>
      <w:pPr>
        <w:pStyle w:val="BodyText"/>
      </w:pPr>
    </w:p>
    <w:p>
      <w:pPr>
        <w:pStyle w:val="BodyText"/>
        <w:ind w:left="711"/>
      </w:pPr>
      <w:r>
        <w:rPr>
          <w:spacing w:val="-2"/>
        </w:rPr>
        <w:t>Where;</w:t>
      </w:r>
    </w:p>
    <w:p>
      <w:pPr>
        <w:pStyle w:val="BodyText"/>
      </w:pPr>
    </w:p>
    <w:p>
      <w:pPr>
        <w:pStyle w:val="BodyText"/>
        <w:spacing w:line="480" w:lineRule="auto"/>
        <w:ind w:left="711" w:right="4936" w:firstLine="60"/>
      </w:pPr>
      <w:r>
        <w:rPr/>
        <w:t>KFM</w:t>
      </w:r>
      <w:r>
        <w:rPr>
          <w:spacing w:val="72"/>
        </w:rPr>
        <w:t> </w:t>
      </w:r>
      <w:r>
        <w:rPr/>
        <w:t>=</w:t>
      </w:r>
      <w:r>
        <w:rPr>
          <w:spacing w:val="-5"/>
        </w:rPr>
        <w:t> </w:t>
      </w:r>
      <w:r>
        <w:rPr/>
        <w:t>Morgan</w:t>
      </w:r>
      <w:r>
        <w:rPr>
          <w:spacing w:val="-4"/>
        </w:rPr>
        <w:t> </w:t>
      </w:r>
      <w:r>
        <w:rPr/>
        <w:t>Trust</w:t>
      </w:r>
      <w:r>
        <w:rPr>
          <w:spacing w:val="-4"/>
        </w:rPr>
        <w:t> </w:t>
      </w:r>
      <w:r>
        <w:rPr/>
        <w:t>(1986)</w:t>
      </w:r>
      <w:r>
        <w:rPr>
          <w:spacing w:val="-4"/>
        </w:rPr>
        <w:t> </w:t>
      </w:r>
      <w:r>
        <w:rPr/>
        <w:t>estimate</w:t>
      </w:r>
      <w:r>
        <w:rPr>
          <w:spacing w:val="-5"/>
        </w:rPr>
        <w:t> </w:t>
      </w:r>
      <w:r>
        <w:rPr/>
        <w:t>of</w:t>
      </w:r>
      <w:r>
        <w:rPr>
          <w:spacing w:val="-4"/>
        </w:rPr>
        <w:t> </w:t>
      </w:r>
      <w:r>
        <w:rPr/>
        <w:t>capital</w:t>
      </w:r>
      <w:r>
        <w:rPr>
          <w:spacing w:val="-4"/>
        </w:rPr>
        <w:t> </w:t>
      </w:r>
      <w:r>
        <w:rPr/>
        <w:t>flight. </w:t>
      </w:r>
      <w:r>
        <w:rPr>
          <w:position w:val="2"/>
        </w:rPr>
        <w:t>Where λ</w:t>
      </w:r>
      <w:r>
        <w:rPr>
          <w:sz w:val="16"/>
        </w:rPr>
        <w:t>0</w:t>
      </w:r>
      <w:r>
        <w:rPr>
          <w:position w:val="2"/>
        </w:rPr>
        <w:t>= intercept of the equation</w:t>
      </w:r>
    </w:p>
    <w:p>
      <w:pPr>
        <w:spacing w:after="0" w:line="480" w:lineRule="auto"/>
        <w:sectPr>
          <w:pgSz w:w="11910" w:h="16840"/>
          <w:pgMar w:header="0" w:footer="979" w:top="1360" w:bottom="1240" w:left="280" w:right="0"/>
        </w:sectPr>
      </w:pPr>
    </w:p>
    <w:p>
      <w:pPr>
        <w:pStyle w:val="BodyText"/>
        <w:spacing w:line="274" w:lineRule="exact"/>
        <w:ind w:left="711"/>
      </w:pPr>
      <w:r>
        <w:rPr/>
        <w:t>By</w:t>
      </w:r>
      <w:r>
        <w:rPr>
          <w:spacing w:val="-5"/>
        </w:rPr>
        <w:t> </w:t>
      </w:r>
      <w:r>
        <w:rPr/>
        <w:t>log-linearising</w:t>
      </w:r>
      <w:r>
        <w:rPr>
          <w:spacing w:val="-3"/>
        </w:rPr>
        <w:t> </w:t>
      </w:r>
      <w:r>
        <w:rPr/>
        <w:t>the</w:t>
      </w:r>
      <w:r>
        <w:rPr>
          <w:spacing w:val="1"/>
        </w:rPr>
        <w:t> </w:t>
      </w:r>
      <w:r>
        <w:rPr/>
        <w:t>model, it</w:t>
      </w:r>
      <w:r>
        <w:rPr>
          <w:spacing w:val="1"/>
        </w:rPr>
        <w:t> </w:t>
      </w:r>
      <w:r>
        <w:rPr>
          <w:spacing w:val="-2"/>
        </w:rPr>
        <w:t>becomes</w:t>
      </w:r>
    </w:p>
    <w:p>
      <w:pPr>
        <w:spacing w:before="264"/>
        <w:ind w:left="1644" w:right="0" w:firstLine="0"/>
        <w:jc w:val="left"/>
        <w:rPr>
          <w:i/>
          <w:sz w:val="27"/>
        </w:rPr>
      </w:pPr>
      <w:r>
        <w:rPr>
          <w:i/>
          <w:position w:val="3"/>
          <w:sz w:val="18"/>
        </w:rPr>
        <w:t>LogKFM</w:t>
      </w:r>
      <w:r>
        <w:rPr>
          <w:i/>
          <w:spacing w:val="29"/>
          <w:position w:val="3"/>
          <w:sz w:val="18"/>
        </w:rPr>
        <w:t> </w:t>
      </w:r>
      <w:r>
        <w:rPr>
          <w:rFonts w:ascii="Symbol" w:hAnsi="Symbol"/>
          <w:position w:val="3"/>
          <w:sz w:val="18"/>
        </w:rPr>
        <w:t></w:t>
      </w:r>
      <w:r>
        <w:rPr>
          <w:spacing w:val="1"/>
          <w:position w:val="3"/>
          <w:sz w:val="18"/>
        </w:rPr>
        <w:t> </w:t>
      </w:r>
      <w:r>
        <w:rPr>
          <w:rFonts w:ascii="Symbol" w:hAnsi="Symbol"/>
          <w:position w:val="-2"/>
          <w:sz w:val="28"/>
        </w:rPr>
        <w:t></w:t>
      </w:r>
      <w:r>
        <w:rPr>
          <w:position w:val="-3"/>
          <w:sz w:val="10"/>
        </w:rPr>
        <w:t>0</w:t>
      </w:r>
      <w:r>
        <w:rPr>
          <w:spacing w:val="13"/>
          <w:position w:val="-3"/>
          <w:sz w:val="10"/>
        </w:rPr>
        <w:t> </w:t>
      </w:r>
      <w:r>
        <w:rPr>
          <w:rFonts w:ascii="Symbol" w:hAnsi="Symbol"/>
          <w:position w:val="3"/>
          <w:sz w:val="18"/>
        </w:rPr>
        <w:t></w:t>
      </w:r>
      <w:r>
        <w:rPr>
          <w:spacing w:val="-11"/>
          <w:position w:val="3"/>
          <w:sz w:val="18"/>
        </w:rPr>
        <w:t> </w:t>
      </w:r>
      <w:r>
        <w:rPr>
          <w:rFonts w:ascii="Symbol" w:hAnsi="Symbol"/>
          <w:position w:val="-2"/>
          <w:sz w:val="28"/>
        </w:rPr>
        <w:t></w:t>
      </w:r>
      <w:r>
        <w:rPr>
          <w:position w:val="-3"/>
          <w:sz w:val="10"/>
        </w:rPr>
        <w:t>1</w:t>
      </w:r>
      <w:r>
        <w:rPr>
          <w:spacing w:val="-4"/>
          <w:position w:val="-3"/>
          <w:sz w:val="10"/>
        </w:rPr>
        <w:t> </w:t>
      </w:r>
      <w:r>
        <w:rPr>
          <w:i/>
          <w:sz w:val="27"/>
        </w:rPr>
        <w:t>LogDOP</w:t>
      </w:r>
      <w:r>
        <w:rPr>
          <w:i/>
          <w:spacing w:val="37"/>
          <w:sz w:val="27"/>
        </w:rPr>
        <w:t> </w:t>
      </w:r>
      <w:r>
        <w:rPr>
          <w:rFonts w:ascii="Symbol" w:hAnsi="Symbol"/>
          <w:position w:val="3"/>
          <w:sz w:val="18"/>
        </w:rPr>
        <w:t></w:t>
      </w:r>
      <w:r>
        <w:rPr>
          <w:spacing w:val="-12"/>
          <w:position w:val="3"/>
          <w:sz w:val="18"/>
        </w:rPr>
        <w:t> </w:t>
      </w:r>
      <w:r>
        <w:rPr>
          <w:rFonts w:ascii="Symbol" w:hAnsi="Symbol"/>
          <w:position w:val="-2"/>
          <w:sz w:val="28"/>
        </w:rPr>
        <w:t></w:t>
      </w:r>
      <w:r>
        <w:rPr>
          <w:position w:val="-3"/>
          <w:sz w:val="10"/>
        </w:rPr>
        <w:t>2</w:t>
      </w:r>
      <w:r>
        <w:rPr>
          <w:spacing w:val="5"/>
          <w:position w:val="-3"/>
          <w:sz w:val="10"/>
        </w:rPr>
        <w:t> </w:t>
      </w:r>
      <w:r>
        <w:rPr>
          <w:i/>
          <w:spacing w:val="-2"/>
          <w:sz w:val="27"/>
        </w:rPr>
        <w:t>LogINF</w:t>
      </w:r>
    </w:p>
    <w:p>
      <w:pPr>
        <w:spacing w:line="240" w:lineRule="auto" w:before="228"/>
        <w:rPr>
          <w:i/>
          <w:sz w:val="27"/>
        </w:rPr>
      </w:pPr>
      <w:r>
        <w:rPr/>
        <w:br w:type="column"/>
      </w:r>
      <w:r>
        <w:rPr>
          <w:i/>
          <w:sz w:val="27"/>
        </w:rPr>
      </w:r>
    </w:p>
    <w:p>
      <w:pPr>
        <w:spacing w:before="0"/>
        <w:ind w:left="76" w:right="0" w:firstLine="0"/>
        <w:jc w:val="left"/>
        <w:rPr>
          <w:i/>
          <w:sz w:val="27"/>
        </w:rPr>
      </w:pPr>
      <w:r>
        <w:rPr>
          <w:rFonts w:ascii="Symbol" w:hAnsi="Symbol"/>
          <w:position w:val="3"/>
          <w:sz w:val="18"/>
        </w:rPr>
        <w:t></w:t>
      </w:r>
      <w:r>
        <w:rPr>
          <w:spacing w:val="-5"/>
          <w:position w:val="3"/>
          <w:sz w:val="18"/>
        </w:rPr>
        <w:t> </w:t>
      </w:r>
      <w:r>
        <w:rPr>
          <w:rFonts w:ascii="Symbol" w:hAnsi="Symbol"/>
          <w:position w:val="-2"/>
          <w:sz w:val="28"/>
        </w:rPr>
        <w:t></w:t>
      </w:r>
      <w:r>
        <w:rPr>
          <w:position w:val="-3"/>
          <w:sz w:val="10"/>
        </w:rPr>
        <w:t>3</w:t>
      </w:r>
      <w:r>
        <w:rPr>
          <w:spacing w:val="6"/>
          <w:position w:val="-3"/>
          <w:sz w:val="10"/>
        </w:rPr>
        <w:t> </w:t>
      </w:r>
      <w:r>
        <w:rPr>
          <w:i/>
          <w:spacing w:val="-4"/>
          <w:sz w:val="27"/>
        </w:rPr>
        <w:t>LogGCF</w:t>
      </w:r>
    </w:p>
    <w:p>
      <w:pPr>
        <w:spacing w:line="240" w:lineRule="auto" w:before="198"/>
        <w:rPr>
          <w:i/>
          <w:sz w:val="27"/>
        </w:rPr>
      </w:pPr>
      <w:r>
        <w:rPr/>
        <w:br w:type="column"/>
      </w:r>
      <w:r>
        <w:rPr>
          <w:i/>
          <w:sz w:val="27"/>
        </w:rPr>
      </w:r>
    </w:p>
    <w:p>
      <w:pPr>
        <w:spacing w:before="1"/>
        <w:ind w:left="79" w:right="0" w:firstLine="0"/>
        <w:jc w:val="left"/>
        <w:rPr>
          <w:i/>
          <w:sz w:val="27"/>
        </w:rPr>
      </w:pPr>
      <w:r>
        <w:rPr>
          <w:rFonts w:ascii="Symbol" w:hAnsi="Symbol"/>
          <w:position w:val="3"/>
          <w:sz w:val="18"/>
        </w:rPr>
        <w:t></w:t>
      </w:r>
      <w:r>
        <w:rPr>
          <w:spacing w:val="-4"/>
          <w:position w:val="3"/>
          <w:sz w:val="18"/>
        </w:rPr>
        <w:t> </w:t>
      </w:r>
      <w:r>
        <w:rPr>
          <w:rFonts w:ascii="Symbol" w:hAnsi="Symbol"/>
          <w:position w:val="-2"/>
          <w:sz w:val="28"/>
        </w:rPr>
        <w:t></w:t>
      </w:r>
      <w:r>
        <w:rPr>
          <w:position w:val="-3"/>
          <w:sz w:val="10"/>
        </w:rPr>
        <w:t>4</w:t>
      </w:r>
      <w:r>
        <w:rPr>
          <w:spacing w:val="11"/>
          <w:position w:val="-3"/>
          <w:sz w:val="10"/>
        </w:rPr>
        <w:t> </w:t>
      </w:r>
      <w:r>
        <w:rPr>
          <w:i/>
          <w:spacing w:val="-2"/>
          <w:sz w:val="27"/>
        </w:rPr>
        <w:t>Log</w:t>
      </w:r>
      <w:r>
        <w:rPr>
          <w:rFonts w:ascii="Symbol" w:hAnsi="Symbol"/>
          <w:spacing w:val="-2"/>
          <w:sz w:val="28"/>
        </w:rPr>
        <w:t></w:t>
      </w:r>
      <w:r>
        <w:rPr>
          <w:i/>
          <w:spacing w:val="-2"/>
          <w:sz w:val="27"/>
        </w:rPr>
        <w:t>EXDEBT</w:t>
      </w:r>
    </w:p>
    <w:p>
      <w:pPr>
        <w:spacing w:line="240" w:lineRule="auto" w:before="228"/>
        <w:rPr>
          <w:i/>
          <w:sz w:val="27"/>
        </w:rPr>
      </w:pPr>
      <w:r>
        <w:rPr/>
        <w:br w:type="column"/>
      </w:r>
      <w:r>
        <w:rPr>
          <w:i/>
          <w:sz w:val="27"/>
        </w:rPr>
      </w:r>
    </w:p>
    <w:p>
      <w:pPr>
        <w:spacing w:before="0"/>
        <w:ind w:left="61" w:right="0" w:firstLine="0"/>
        <w:jc w:val="left"/>
        <w:rPr>
          <w:i/>
          <w:sz w:val="27"/>
        </w:rPr>
      </w:pPr>
      <w:r>
        <w:rPr>
          <w:rFonts w:ascii="Symbol" w:hAnsi="Symbol"/>
          <w:position w:val="3"/>
          <w:sz w:val="18"/>
        </w:rPr>
        <w:t></w:t>
      </w:r>
      <w:r>
        <w:rPr>
          <w:spacing w:val="-5"/>
          <w:position w:val="3"/>
          <w:sz w:val="18"/>
        </w:rPr>
        <w:t> </w:t>
      </w:r>
      <w:r>
        <w:rPr>
          <w:rFonts w:ascii="Symbol" w:hAnsi="Symbol"/>
          <w:position w:val="-2"/>
          <w:sz w:val="28"/>
        </w:rPr>
        <w:t></w:t>
      </w:r>
      <w:r>
        <w:rPr>
          <w:position w:val="-3"/>
          <w:sz w:val="10"/>
        </w:rPr>
        <w:t>5</w:t>
      </w:r>
      <w:r>
        <w:rPr>
          <w:spacing w:val="8"/>
          <w:position w:val="-3"/>
          <w:sz w:val="10"/>
        </w:rPr>
        <w:t> </w:t>
      </w:r>
      <w:r>
        <w:rPr>
          <w:i/>
          <w:spacing w:val="-2"/>
          <w:sz w:val="27"/>
        </w:rPr>
        <w:t>LogDR</w:t>
      </w:r>
    </w:p>
    <w:p>
      <w:pPr>
        <w:spacing w:after="0"/>
        <w:jc w:val="left"/>
        <w:rPr>
          <w:sz w:val="27"/>
        </w:rPr>
        <w:sectPr>
          <w:type w:val="continuous"/>
          <w:pgSz w:w="11910" w:h="16840"/>
          <w:pgMar w:header="0" w:footer="979" w:top="1340" w:bottom="1220" w:left="280" w:right="0"/>
          <w:cols w:num="4" w:equalWidth="0">
            <w:col w:w="5441" w:space="40"/>
            <w:col w:w="1403" w:space="39"/>
            <w:col w:w="2025" w:space="40"/>
            <w:col w:w="2642"/>
          </w:cols>
        </w:sectPr>
      </w:pPr>
    </w:p>
    <w:p>
      <w:pPr>
        <w:spacing w:before="47"/>
        <w:ind w:left="2622" w:right="0" w:firstLine="0"/>
        <w:jc w:val="left"/>
        <w:rPr>
          <w:rFonts w:ascii="Symbol" w:hAnsi="Symbol"/>
          <w:sz w:val="19"/>
        </w:rPr>
      </w:pPr>
      <w:r>
        <w:rPr>
          <w:rFonts w:ascii="Symbol" w:hAnsi="Symbol"/>
          <w:position w:val="3"/>
          <w:sz w:val="18"/>
        </w:rPr>
        <w:t></w:t>
      </w:r>
      <w:r>
        <w:rPr>
          <w:spacing w:val="-13"/>
          <w:position w:val="3"/>
          <w:sz w:val="18"/>
        </w:rPr>
        <w:t> </w:t>
      </w:r>
      <w:r>
        <w:rPr>
          <w:rFonts w:ascii="Symbol" w:hAnsi="Symbol"/>
          <w:position w:val="-2"/>
          <w:sz w:val="28"/>
        </w:rPr>
        <w:t></w:t>
      </w:r>
      <w:r>
        <w:rPr>
          <w:position w:val="-3"/>
          <w:sz w:val="10"/>
        </w:rPr>
        <w:t>6</w:t>
      </w:r>
      <w:r>
        <w:rPr>
          <w:spacing w:val="1"/>
          <w:position w:val="-3"/>
          <w:sz w:val="10"/>
        </w:rPr>
        <w:t> </w:t>
      </w:r>
      <w:r>
        <w:rPr>
          <w:i/>
          <w:sz w:val="27"/>
        </w:rPr>
        <w:t>LogPRIVCR</w:t>
      </w:r>
      <w:r>
        <w:rPr>
          <w:i/>
          <w:spacing w:val="-2"/>
          <w:sz w:val="27"/>
        </w:rPr>
        <w:t> </w:t>
      </w:r>
      <w:r>
        <w:rPr>
          <w:rFonts w:ascii="Symbol" w:hAnsi="Symbol"/>
          <w:position w:val="3"/>
          <w:sz w:val="18"/>
        </w:rPr>
        <w:t></w:t>
      </w:r>
      <w:r>
        <w:rPr>
          <w:spacing w:val="-13"/>
          <w:position w:val="3"/>
          <w:sz w:val="18"/>
        </w:rPr>
        <w:t> </w:t>
      </w:r>
      <w:r>
        <w:rPr>
          <w:rFonts w:ascii="Symbol" w:hAnsi="Symbol"/>
          <w:position w:val="-2"/>
          <w:sz w:val="28"/>
        </w:rPr>
        <w:t></w:t>
      </w:r>
      <w:r>
        <w:rPr>
          <w:position w:val="-3"/>
          <w:sz w:val="10"/>
        </w:rPr>
        <w:t>7</w:t>
      </w:r>
      <w:r>
        <w:rPr>
          <w:spacing w:val="3"/>
          <w:position w:val="-3"/>
          <w:sz w:val="10"/>
        </w:rPr>
        <w:t> </w:t>
      </w:r>
      <w:r>
        <w:rPr>
          <w:i/>
          <w:sz w:val="27"/>
        </w:rPr>
        <w:t>LogUSIRD</w:t>
      </w:r>
      <w:r>
        <w:rPr>
          <w:i/>
          <w:spacing w:val="21"/>
          <w:sz w:val="27"/>
        </w:rPr>
        <w:t> </w:t>
      </w:r>
      <w:r>
        <w:rPr>
          <w:rFonts w:ascii="Symbol" w:hAnsi="Symbol"/>
          <w:position w:val="3"/>
          <w:sz w:val="18"/>
        </w:rPr>
        <w:t></w:t>
      </w:r>
      <w:r>
        <w:rPr>
          <w:spacing w:val="-13"/>
          <w:position w:val="3"/>
          <w:sz w:val="18"/>
        </w:rPr>
        <w:t> </w:t>
      </w:r>
      <w:r>
        <w:rPr>
          <w:rFonts w:ascii="Symbol" w:hAnsi="Symbol"/>
          <w:position w:val="-2"/>
          <w:sz w:val="28"/>
        </w:rPr>
        <w:t></w:t>
      </w:r>
      <w:r>
        <w:rPr>
          <w:position w:val="-3"/>
          <w:sz w:val="10"/>
        </w:rPr>
        <w:t>8</w:t>
      </w:r>
      <w:r>
        <w:rPr>
          <w:spacing w:val="2"/>
          <w:position w:val="-3"/>
          <w:sz w:val="10"/>
        </w:rPr>
        <w:t> </w:t>
      </w:r>
      <w:r>
        <w:rPr>
          <w:i/>
          <w:sz w:val="27"/>
        </w:rPr>
        <w:t>LogGOCE</w:t>
      </w:r>
      <w:r>
        <w:rPr>
          <w:i/>
          <w:spacing w:val="39"/>
          <w:sz w:val="27"/>
        </w:rPr>
        <w:t> </w:t>
      </w:r>
      <w:r>
        <w:rPr>
          <w:rFonts w:ascii="Symbol" w:hAnsi="Symbol"/>
          <w:position w:val="3"/>
          <w:sz w:val="18"/>
        </w:rPr>
        <w:t></w:t>
      </w:r>
      <w:r>
        <w:rPr>
          <w:spacing w:val="-6"/>
          <w:position w:val="3"/>
          <w:sz w:val="18"/>
        </w:rPr>
        <w:t> </w:t>
      </w:r>
      <w:r>
        <w:rPr>
          <w:rFonts w:ascii="Symbol" w:hAnsi="Symbol"/>
          <w:spacing w:val="-10"/>
          <w:position w:val="3"/>
          <w:sz w:val="19"/>
        </w:rPr>
        <w:t></w:t>
      </w:r>
    </w:p>
    <w:p>
      <w:pPr>
        <w:tabs>
          <w:tab w:pos="2724" w:val="left" w:leader="dot"/>
        </w:tabs>
        <w:spacing w:before="102"/>
        <w:ind w:left="133" w:right="0" w:firstLine="0"/>
        <w:jc w:val="left"/>
        <w:rPr>
          <w:sz w:val="18"/>
        </w:rPr>
      </w:pPr>
      <w:r>
        <w:rPr/>
        <w:br w:type="column"/>
      </w:r>
      <w:r>
        <w:rPr>
          <w:spacing w:val="-10"/>
          <w:sz w:val="18"/>
        </w:rPr>
        <w:t>.</w:t>
      </w:r>
      <w:r>
        <w:rPr>
          <w:sz w:val="18"/>
        </w:rPr>
        <w:tab/>
      </w:r>
      <w:r>
        <w:rPr>
          <w:spacing w:val="-4"/>
          <w:sz w:val="18"/>
        </w:rPr>
        <w:t>(3.6)</w:t>
      </w:r>
    </w:p>
    <w:p>
      <w:pPr>
        <w:spacing w:after="0"/>
        <w:jc w:val="left"/>
        <w:rPr>
          <w:sz w:val="18"/>
        </w:rPr>
        <w:sectPr>
          <w:type w:val="continuous"/>
          <w:pgSz w:w="11910" w:h="16840"/>
          <w:pgMar w:header="0" w:footer="979" w:top="1340" w:bottom="1220" w:left="280" w:right="0"/>
          <w:cols w:num="2" w:equalWidth="0">
            <w:col w:w="7960" w:space="40"/>
            <w:col w:w="3630"/>
          </w:cols>
        </w:sectPr>
      </w:pPr>
    </w:p>
    <w:p>
      <w:pPr>
        <w:pStyle w:val="BodyText"/>
        <w:spacing w:before="25"/>
      </w:pPr>
    </w:p>
    <w:p>
      <w:pPr>
        <w:pStyle w:val="BodyText"/>
        <w:spacing w:line="477" w:lineRule="auto"/>
        <w:ind w:left="711" w:firstLine="360"/>
      </w:pPr>
      <w:r>
        <w:rPr>
          <w:position w:val="2"/>
        </w:rPr>
        <w:t>λ</w:t>
      </w:r>
      <w:r>
        <w:rPr>
          <w:sz w:val="16"/>
        </w:rPr>
        <w:t>0 </w:t>
      </w:r>
      <w:r>
        <w:rPr>
          <w:position w:val="2"/>
        </w:rPr>
        <w:t>is</w:t>
      </w:r>
      <w:r>
        <w:rPr>
          <w:spacing w:val="-2"/>
          <w:position w:val="2"/>
        </w:rPr>
        <w:t> </w:t>
      </w:r>
      <w:r>
        <w:rPr>
          <w:position w:val="2"/>
        </w:rPr>
        <w:t>the</w:t>
      </w:r>
      <w:r>
        <w:rPr>
          <w:spacing w:val="-3"/>
          <w:position w:val="2"/>
        </w:rPr>
        <w:t> </w:t>
      </w:r>
      <w:r>
        <w:rPr>
          <w:position w:val="2"/>
        </w:rPr>
        <w:t>intercept</w:t>
      </w:r>
      <w:r>
        <w:rPr>
          <w:spacing w:val="-2"/>
          <w:position w:val="2"/>
        </w:rPr>
        <w:t> </w:t>
      </w:r>
      <w:r>
        <w:rPr>
          <w:position w:val="2"/>
        </w:rPr>
        <w:t>and λ</w:t>
      </w:r>
      <w:r>
        <w:rPr>
          <w:sz w:val="16"/>
        </w:rPr>
        <w:t>1</w:t>
      </w:r>
      <w:r>
        <w:rPr>
          <w:position w:val="2"/>
        </w:rPr>
        <w:t>,</w:t>
      </w:r>
      <w:r>
        <w:rPr>
          <w:spacing w:val="-2"/>
          <w:position w:val="2"/>
        </w:rPr>
        <w:t> </w:t>
      </w:r>
      <w:r>
        <w:rPr>
          <w:position w:val="2"/>
        </w:rPr>
        <w:t>λ</w:t>
      </w:r>
      <w:r>
        <w:rPr>
          <w:sz w:val="16"/>
        </w:rPr>
        <w:t>2, </w:t>
      </w:r>
      <w:r>
        <w:rPr>
          <w:position w:val="2"/>
        </w:rPr>
        <w:t>λ</w:t>
      </w:r>
      <w:r>
        <w:rPr>
          <w:sz w:val="16"/>
        </w:rPr>
        <w:t>3</w:t>
      </w:r>
      <w:r>
        <w:rPr>
          <w:spacing w:val="-2"/>
          <w:sz w:val="16"/>
        </w:rPr>
        <w:t> </w:t>
      </w:r>
      <w:r>
        <w:rPr>
          <w:position w:val="2"/>
        </w:rPr>
        <w:t>--------</w:t>
      </w:r>
      <w:r>
        <w:rPr>
          <w:spacing w:val="-4"/>
          <w:position w:val="2"/>
        </w:rPr>
        <w:t> </w:t>
      </w:r>
      <w:r>
        <w:rPr>
          <w:position w:val="2"/>
        </w:rPr>
        <w:t>λ</w:t>
      </w:r>
      <w:r>
        <w:rPr>
          <w:sz w:val="16"/>
        </w:rPr>
        <w:t>8</w:t>
      </w:r>
      <w:r>
        <w:rPr>
          <w:spacing w:val="78"/>
          <w:sz w:val="16"/>
        </w:rPr>
        <w:t> </w:t>
      </w:r>
      <w:r>
        <w:rPr>
          <w:position w:val="2"/>
        </w:rPr>
        <w:t>=</w:t>
      </w:r>
      <w:r>
        <w:rPr>
          <w:spacing w:val="31"/>
          <w:position w:val="2"/>
        </w:rPr>
        <w:t> </w:t>
      </w:r>
      <w:r>
        <w:rPr>
          <w:position w:val="2"/>
        </w:rPr>
        <w:t>Coefficient</w:t>
      </w:r>
      <w:r>
        <w:rPr>
          <w:spacing w:val="33"/>
          <w:position w:val="2"/>
        </w:rPr>
        <w:t> </w:t>
      </w:r>
      <w:r>
        <w:rPr>
          <w:position w:val="2"/>
        </w:rPr>
        <w:t>of</w:t>
      </w:r>
      <w:r>
        <w:rPr>
          <w:spacing w:val="80"/>
          <w:w w:val="150"/>
          <w:position w:val="2"/>
        </w:rPr>
        <w:t> </w:t>
      </w:r>
      <w:r>
        <w:rPr>
          <w:position w:val="2"/>
        </w:rPr>
        <w:t>Estimates</w:t>
      </w:r>
      <w:r>
        <w:rPr>
          <w:spacing w:val="33"/>
          <w:position w:val="2"/>
        </w:rPr>
        <w:t> </w:t>
      </w:r>
      <w:r>
        <w:rPr>
          <w:position w:val="2"/>
        </w:rPr>
        <w:t>and</w:t>
      </w:r>
      <w:r>
        <w:rPr>
          <w:spacing w:val="32"/>
          <w:position w:val="2"/>
        </w:rPr>
        <w:t> </w:t>
      </w:r>
      <w:r>
        <w:rPr>
          <w:position w:val="2"/>
        </w:rPr>
        <w:t>other</w:t>
      </w:r>
      <w:r>
        <w:rPr>
          <w:spacing w:val="31"/>
          <w:position w:val="2"/>
        </w:rPr>
        <w:t> </w:t>
      </w:r>
      <w:r>
        <w:rPr>
          <w:position w:val="2"/>
        </w:rPr>
        <w:t>variables</w:t>
      </w:r>
      <w:r>
        <w:rPr>
          <w:spacing w:val="34"/>
          <w:position w:val="2"/>
        </w:rPr>
        <w:t> </w:t>
      </w:r>
      <w:r>
        <w:rPr>
          <w:position w:val="2"/>
        </w:rPr>
        <w:t>as</w:t>
      </w:r>
      <w:r>
        <w:rPr>
          <w:spacing w:val="33"/>
          <w:position w:val="2"/>
        </w:rPr>
        <w:t> </w:t>
      </w:r>
      <w:r>
        <w:rPr>
          <w:position w:val="2"/>
        </w:rPr>
        <w:t>defined</w:t>
      </w:r>
      <w:r>
        <w:rPr>
          <w:spacing w:val="32"/>
          <w:position w:val="2"/>
        </w:rPr>
        <w:t> </w:t>
      </w:r>
      <w:r>
        <w:rPr>
          <w:position w:val="2"/>
        </w:rPr>
        <w:t>in </w:t>
      </w:r>
      <w:r>
        <w:rPr/>
        <w:t>equation 3.1 and 3.2</w:t>
      </w:r>
    </w:p>
    <w:p>
      <w:pPr>
        <w:pStyle w:val="Heading6"/>
        <w:spacing w:before="4"/>
      </w:pPr>
      <w:r>
        <w:rPr/>
        <w:t>Model</w:t>
      </w:r>
      <w:r>
        <w:rPr>
          <w:spacing w:val="-3"/>
        </w:rPr>
        <w:t> </w:t>
      </w:r>
      <w:r>
        <w:rPr>
          <w:spacing w:val="-10"/>
        </w:rPr>
        <w:t>2</w:t>
      </w:r>
    </w:p>
    <w:p>
      <w:pPr>
        <w:pStyle w:val="BodyText"/>
        <w:rPr>
          <w:b/>
        </w:rPr>
      </w:pPr>
    </w:p>
    <w:p>
      <w:pPr>
        <w:pStyle w:val="BodyText"/>
        <w:spacing w:line="480" w:lineRule="auto"/>
        <w:ind w:left="711" w:right="472"/>
        <w:jc w:val="both"/>
      </w:pPr>
      <w:r>
        <w:rPr/>
        <w:t>This model examines the impact of capital flight on economic growth in Nigheria between 1970 and 2011.</w:t>
      </w:r>
      <w:r>
        <w:rPr>
          <w:spacing w:val="40"/>
        </w:rPr>
        <w:t> </w:t>
      </w:r>
      <w:r>
        <w:rPr/>
        <w:t>It consists of two equations representing the two components of the residual approach for estimating capital flight namely the World Bank and Erbe (1985) approach and the Morgan trust (1986). The two equations</w:t>
      </w:r>
      <w:r>
        <w:rPr>
          <w:spacing w:val="40"/>
        </w:rPr>
        <w:t> </w:t>
      </w:r>
      <w:r>
        <w:rPr/>
        <w:t>are specified as:</w:t>
      </w:r>
    </w:p>
    <w:p>
      <w:pPr>
        <w:pStyle w:val="Heading6"/>
        <w:numPr>
          <w:ilvl w:val="0"/>
          <w:numId w:val="18"/>
        </w:numPr>
        <w:tabs>
          <w:tab w:pos="991" w:val="left" w:leader="none"/>
        </w:tabs>
        <w:spacing w:line="240" w:lineRule="auto" w:before="2" w:after="0"/>
        <w:ind w:left="991" w:right="0" w:hanging="280"/>
        <w:jc w:val="both"/>
        <w:rPr>
          <w:sz w:val="28"/>
        </w:rPr>
      </w:pPr>
      <w:r>
        <w:rPr/>
        <w:t>World Bank and</w:t>
      </w:r>
      <w:r>
        <w:rPr>
          <w:spacing w:val="-3"/>
        </w:rPr>
        <w:t> </w:t>
      </w:r>
      <w:r>
        <w:rPr/>
        <w:t>Erbe</w:t>
      </w:r>
      <w:r>
        <w:rPr>
          <w:spacing w:val="-1"/>
        </w:rPr>
        <w:t> </w:t>
      </w:r>
      <w:r>
        <w:rPr/>
        <w:t>(1985)</w:t>
      </w:r>
      <w:r>
        <w:rPr>
          <w:spacing w:val="-2"/>
        </w:rPr>
        <w:t> </w:t>
      </w:r>
      <w:r>
        <w:rPr/>
        <w:t>capital flight</w:t>
      </w:r>
      <w:r>
        <w:rPr>
          <w:spacing w:val="-4"/>
        </w:rPr>
        <w:t> </w:t>
      </w:r>
      <w:r>
        <w:rPr>
          <w:spacing w:val="-2"/>
        </w:rPr>
        <w:t>estimate</w:t>
      </w:r>
    </w:p>
    <w:p>
      <w:pPr>
        <w:pStyle w:val="BodyText"/>
        <w:spacing w:before="7"/>
        <w:rPr>
          <w:b/>
          <w:sz w:val="16"/>
        </w:rPr>
      </w:pPr>
    </w:p>
    <w:p>
      <w:pPr>
        <w:spacing w:after="0"/>
        <w:rPr>
          <w:sz w:val="16"/>
        </w:rPr>
        <w:sectPr>
          <w:type w:val="continuous"/>
          <w:pgSz w:w="11910" w:h="16840"/>
          <w:pgMar w:header="0" w:footer="979" w:top="1340" w:bottom="1220" w:left="280" w:right="0"/>
        </w:sectPr>
      </w:pPr>
    </w:p>
    <w:p>
      <w:pPr>
        <w:spacing w:before="115"/>
        <w:ind w:left="741" w:right="0" w:firstLine="0"/>
        <w:jc w:val="left"/>
        <w:rPr>
          <w:rFonts w:ascii="Symbol" w:hAnsi="Symbol"/>
          <w:sz w:val="23"/>
        </w:rPr>
      </w:pPr>
      <w:r>
        <w:rPr>
          <w:i/>
          <w:w w:val="105"/>
          <w:sz w:val="23"/>
        </w:rPr>
        <w:t>GDP</w:t>
      </w:r>
      <w:r>
        <w:rPr>
          <w:i/>
          <w:spacing w:val="-2"/>
          <w:w w:val="105"/>
          <w:sz w:val="23"/>
        </w:rPr>
        <w:t> </w:t>
      </w:r>
      <w:r>
        <w:rPr>
          <w:rFonts w:ascii="Symbol" w:hAnsi="Symbol"/>
          <w:spacing w:val="-10"/>
          <w:w w:val="105"/>
          <w:sz w:val="23"/>
        </w:rPr>
        <w:t></w:t>
      </w:r>
    </w:p>
    <w:p>
      <w:pPr>
        <w:pStyle w:val="BodyText"/>
        <w:spacing w:before="43"/>
        <w:rPr>
          <w:rFonts w:ascii="Symbol" w:hAnsi="Symbol"/>
          <w:sz w:val="23"/>
        </w:rPr>
      </w:pPr>
    </w:p>
    <w:p>
      <w:pPr>
        <w:pStyle w:val="BodyText"/>
        <w:spacing w:before="1"/>
        <w:ind w:left="711"/>
      </w:pPr>
      <w:r>
        <w:rPr>
          <w:spacing w:val="-4"/>
        </w:rPr>
        <w:t>Where</w:t>
      </w:r>
    </w:p>
    <w:p>
      <w:pPr>
        <w:tabs>
          <w:tab w:pos="7528" w:val="left" w:leader="dot"/>
        </w:tabs>
        <w:spacing w:before="105"/>
        <w:ind w:left="67" w:right="0" w:firstLine="0"/>
        <w:jc w:val="left"/>
        <w:rPr>
          <w:sz w:val="23"/>
        </w:rPr>
      </w:pPr>
      <w:r>
        <w:rPr/>
        <w:br w:type="column"/>
      </w:r>
      <w:r>
        <w:rPr>
          <w:i/>
          <w:spacing w:val="-4"/>
          <w:w w:val="105"/>
          <w:sz w:val="23"/>
        </w:rPr>
        <w:t>f</w:t>
      </w:r>
      <w:r>
        <w:rPr>
          <w:i/>
          <w:spacing w:val="2"/>
          <w:w w:val="105"/>
          <w:sz w:val="23"/>
        </w:rPr>
        <w:t> </w:t>
      </w:r>
      <w:r>
        <w:rPr>
          <w:spacing w:val="-4"/>
          <w:w w:val="105"/>
          <w:sz w:val="23"/>
        </w:rPr>
        <w:t>(</w:t>
      </w:r>
      <w:r>
        <w:rPr>
          <w:rFonts w:ascii="Symbol" w:hAnsi="Symbol"/>
          <w:spacing w:val="-4"/>
          <w:w w:val="105"/>
          <w:sz w:val="24"/>
        </w:rPr>
        <w:t></w:t>
      </w:r>
      <w:r>
        <w:rPr>
          <w:i/>
          <w:spacing w:val="-4"/>
          <w:w w:val="105"/>
          <w:sz w:val="23"/>
        </w:rPr>
        <w:t>EXDEBT</w:t>
      </w:r>
      <w:r>
        <w:rPr>
          <w:i/>
          <w:spacing w:val="-22"/>
          <w:w w:val="105"/>
          <w:sz w:val="23"/>
        </w:rPr>
        <w:t> </w:t>
      </w:r>
      <w:r>
        <w:rPr>
          <w:spacing w:val="-4"/>
          <w:w w:val="105"/>
          <w:sz w:val="23"/>
        </w:rPr>
        <w:t>,</w:t>
      </w:r>
      <w:r>
        <w:rPr>
          <w:spacing w:val="-19"/>
          <w:w w:val="105"/>
          <w:sz w:val="23"/>
        </w:rPr>
        <w:t> </w:t>
      </w:r>
      <w:r>
        <w:rPr>
          <w:i/>
          <w:spacing w:val="-4"/>
          <w:w w:val="105"/>
          <w:sz w:val="23"/>
        </w:rPr>
        <w:t>DFI</w:t>
      </w:r>
      <w:r>
        <w:rPr>
          <w:i/>
          <w:spacing w:val="-29"/>
          <w:w w:val="105"/>
          <w:sz w:val="23"/>
        </w:rPr>
        <w:t> </w:t>
      </w:r>
      <w:r>
        <w:rPr>
          <w:spacing w:val="-4"/>
          <w:w w:val="105"/>
          <w:sz w:val="23"/>
        </w:rPr>
        <w:t>,</w:t>
      </w:r>
      <w:r>
        <w:rPr>
          <w:spacing w:val="-37"/>
          <w:w w:val="105"/>
          <w:sz w:val="23"/>
        </w:rPr>
        <w:t> </w:t>
      </w:r>
      <w:r>
        <w:rPr>
          <w:i/>
          <w:spacing w:val="-4"/>
          <w:w w:val="105"/>
          <w:sz w:val="23"/>
        </w:rPr>
        <w:t>CAB</w:t>
      </w:r>
      <w:r>
        <w:rPr>
          <w:spacing w:val="-4"/>
          <w:w w:val="105"/>
          <w:sz w:val="23"/>
        </w:rPr>
        <w:t>,</w:t>
      </w:r>
      <w:r>
        <w:rPr>
          <w:rFonts w:ascii="Symbol" w:hAnsi="Symbol"/>
          <w:spacing w:val="-4"/>
          <w:w w:val="105"/>
          <w:sz w:val="24"/>
        </w:rPr>
        <w:t></w:t>
      </w:r>
      <w:r>
        <w:rPr>
          <w:i/>
          <w:spacing w:val="-4"/>
          <w:w w:val="105"/>
          <w:sz w:val="23"/>
        </w:rPr>
        <w:t>RES</w:t>
      </w:r>
      <w:r>
        <w:rPr>
          <w:i/>
          <w:spacing w:val="-32"/>
          <w:w w:val="105"/>
          <w:sz w:val="23"/>
        </w:rPr>
        <w:t> </w:t>
      </w:r>
      <w:r>
        <w:rPr>
          <w:spacing w:val="-4"/>
          <w:w w:val="105"/>
          <w:sz w:val="23"/>
        </w:rPr>
        <w:t>,</w:t>
      </w:r>
      <w:r>
        <w:rPr>
          <w:spacing w:val="-24"/>
          <w:w w:val="105"/>
          <w:sz w:val="23"/>
        </w:rPr>
        <w:t> </w:t>
      </w:r>
      <w:r>
        <w:rPr>
          <w:rFonts w:ascii="Symbol" w:hAnsi="Symbol"/>
          <w:spacing w:val="-5"/>
          <w:w w:val="105"/>
          <w:sz w:val="24"/>
        </w:rPr>
        <w:t></w:t>
      </w:r>
      <w:r>
        <w:rPr>
          <w:spacing w:val="-5"/>
          <w:w w:val="105"/>
          <w:sz w:val="23"/>
        </w:rPr>
        <w:t>)</w:t>
      </w:r>
      <w:r>
        <w:rPr>
          <w:sz w:val="23"/>
        </w:rPr>
        <w:tab/>
      </w:r>
      <w:r>
        <w:rPr>
          <w:spacing w:val="-2"/>
          <w:w w:val="105"/>
          <w:sz w:val="23"/>
        </w:rPr>
        <w:t>(3.7)</w:t>
      </w:r>
    </w:p>
    <w:p>
      <w:pPr>
        <w:spacing w:after="0"/>
        <w:jc w:val="left"/>
        <w:rPr>
          <w:sz w:val="23"/>
        </w:rPr>
        <w:sectPr>
          <w:type w:val="continuous"/>
          <w:pgSz w:w="11910" w:h="16840"/>
          <w:pgMar w:header="0" w:footer="979" w:top="1340" w:bottom="1220" w:left="280" w:right="0"/>
          <w:cols w:num="2" w:equalWidth="0">
            <w:col w:w="1433" w:space="40"/>
            <w:col w:w="10157"/>
          </w:cols>
        </w:sectPr>
      </w:pPr>
    </w:p>
    <w:p>
      <w:pPr>
        <w:pStyle w:val="BodyText"/>
        <w:tabs>
          <w:tab w:pos="2151" w:val="left" w:leader="none"/>
          <w:tab w:pos="2871" w:val="left" w:leader="none"/>
        </w:tabs>
        <w:spacing w:line="480" w:lineRule="auto" w:before="276"/>
        <w:ind w:left="711" w:right="4078"/>
      </w:pPr>
      <w:r>
        <w:rPr>
          <w:spacing w:val="-4"/>
        </w:rPr>
        <w:t>GDP</w:t>
      </w:r>
      <w:r>
        <w:rPr/>
        <w:tab/>
      </w:r>
      <w:r>
        <w:rPr>
          <w:spacing w:val="-10"/>
        </w:rPr>
        <w:t>-</w:t>
      </w:r>
      <w:r>
        <w:rPr/>
        <w:tab/>
        <w:t>Gross</w:t>
      </w:r>
      <w:r>
        <w:rPr>
          <w:spacing w:val="-7"/>
        </w:rPr>
        <w:t> </w:t>
      </w:r>
      <w:r>
        <w:rPr/>
        <w:t>domestic</w:t>
      </w:r>
      <w:r>
        <w:rPr>
          <w:spacing w:val="-7"/>
        </w:rPr>
        <w:t> </w:t>
      </w:r>
      <w:r>
        <w:rPr/>
        <w:t>product</w:t>
      </w:r>
      <w:r>
        <w:rPr>
          <w:spacing w:val="-7"/>
        </w:rPr>
        <w:t> </w:t>
      </w:r>
      <w:r>
        <w:rPr/>
        <w:t>(at</w:t>
      </w:r>
      <w:r>
        <w:rPr>
          <w:spacing w:val="-7"/>
        </w:rPr>
        <w:t> </w:t>
      </w:r>
      <w:r>
        <w:rPr/>
        <w:t>current</w:t>
      </w:r>
      <w:r>
        <w:rPr>
          <w:spacing w:val="-7"/>
        </w:rPr>
        <w:t> </w:t>
      </w:r>
      <w:r>
        <w:rPr/>
        <w:t>market</w:t>
      </w:r>
      <w:r>
        <w:rPr>
          <w:spacing w:val="-7"/>
        </w:rPr>
        <w:t> </w:t>
      </w:r>
      <w:r>
        <w:rPr/>
        <w:t>price) </w:t>
      </w:r>
      <w:r>
        <w:rPr>
          <w:spacing w:val="-4"/>
        </w:rPr>
        <w:t>DFI</w:t>
      </w:r>
      <w:r>
        <w:rPr/>
        <w:tab/>
      </w:r>
      <w:r>
        <w:rPr>
          <w:spacing w:val="-10"/>
        </w:rPr>
        <w:t>-</w:t>
      </w:r>
      <w:r>
        <w:rPr/>
        <w:tab/>
        <w:t>Direct foreign investment</w:t>
      </w:r>
    </w:p>
    <w:p>
      <w:pPr>
        <w:pStyle w:val="BodyText"/>
        <w:tabs>
          <w:tab w:pos="2151" w:val="left" w:leader="none"/>
          <w:tab w:pos="2871" w:val="left" w:leader="none"/>
        </w:tabs>
        <w:spacing w:line="480" w:lineRule="auto"/>
        <w:ind w:left="711" w:right="6069"/>
      </w:pPr>
      <w:r>
        <w:rPr>
          <w:spacing w:val="-4"/>
        </w:rPr>
        <w:t>CAB</w:t>
      </w:r>
      <w:r>
        <w:rPr/>
        <w:tab/>
      </w:r>
      <w:r>
        <w:rPr>
          <w:spacing w:val="-10"/>
        </w:rPr>
        <w:t>-</w:t>
      </w:r>
      <w:r>
        <w:rPr/>
        <w:tab/>
        <w:t>Current accout Balance </w:t>
      </w:r>
      <w:r>
        <w:rPr>
          <w:spacing w:val="-4"/>
        </w:rPr>
        <w:t>δRES</w:t>
      </w:r>
      <w:r>
        <w:rPr/>
        <w:tab/>
      </w:r>
      <w:r>
        <w:rPr>
          <w:spacing w:val="-10"/>
        </w:rPr>
        <w:t>-</w:t>
      </w:r>
      <w:r>
        <w:rPr/>
        <w:tab/>
        <w:t>Change</w:t>
      </w:r>
      <w:r>
        <w:rPr>
          <w:spacing w:val="-13"/>
        </w:rPr>
        <w:t> </w:t>
      </w:r>
      <w:r>
        <w:rPr/>
        <w:t>in</w:t>
      </w:r>
      <w:r>
        <w:rPr>
          <w:spacing w:val="-12"/>
        </w:rPr>
        <w:t> </w:t>
      </w:r>
      <w:r>
        <w:rPr/>
        <w:t>External</w:t>
      </w:r>
      <w:r>
        <w:rPr>
          <w:spacing w:val="-12"/>
        </w:rPr>
        <w:t> </w:t>
      </w:r>
      <w:r>
        <w:rPr/>
        <w:t>Reserve</w:t>
      </w:r>
    </w:p>
    <w:p>
      <w:pPr>
        <w:spacing w:after="0" w:line="480" w:lineRule="auto"/>
        <w:sectPr>
          <w:type w:val="continuous"/>
          <w:pgSz w:w="11910" w:h="16840"/>
          <w:pgMar w:header="0" w:footer="979" w:top="1340" w:bottom="1220" w:left="280" w:right="0"/>
        </w:sectPr>
      </w:pPr>
    </w:p>
    <w:p>
      <w:pPr>
        <w:pStyle w:val="BodyText"/>
        <w:tabs>
          <w:tab w:pos="1431" w:val="left" w:leader="none"/>
        </w:tabs>
        <w:spacing w:before="80"/>
        <w:ind w:left="752"/>
      </w:pPr>
      <w:r>
        <w:rPr>
          <w:rFonts w:ascii="Symbol" w:hAnsi="Symbol"/>
          <w:position w:val="-1"/>
        </w:rPr>
        <w:t></w:t>
      </w:r>
      <w:r>
        <w:rPr>
          <w:spacing w:val="-1"/>
          <w:position w:val="-1"/>
        </w:rPr>
        <w:t> </w:t>
      </w:r>
      <w:r>
        <w:rPr>
          <w:spacing w:val="-10"/>
        </w:rPr>
        <w:t>-</w:t>
      </w:r>
      <w:r>
        <w:rPr/>
        <w:tab/>
        <w:t>Stochastic</w:t>
      </w:r>
      <w:r>
        <w:rPr>
          <w:spacing w:val="-4"/>
        </w:rPr>
        <w:t> </w:t>
      </w:r>
      <w:r>
        <w:rPr/>
        <w:t>error</w:t>
      </w:r>
      <w:r>
        <w:rPr>
          <w:spacing w:val="-2"/>
        </w:rPr>
        <w:t> </w:t>
      </w:r>
      <w:r>
        <w:rPr>
          <w:spacing w:val="-4"/>
        </w:rPr>
        <w:t>term</w:t>
      </w:r>
    </w:p>
    <w:p>
      <w:pPr>
        <w:pStyle w:val="BodyText"/>
        <w:spacing w:before="28"/>
      </w:pPr>
    </w:p>
    <w:p>
      <w:pPr>
        <w:pStyle w:val="BodyText"/>
        <w:tabs>
          <w:tab w:pos="1431" w:val="left" w:leader="none"/>
        </w:tabs>
        <w:ind w:left="711"/>
      </w:pPr>
      <w:r>
        <w:rPr>
          <w:spacing w:val="-5"/>
        </w:rPr>
        <w:t>F-</w:t>
      </w:r>
      <w:r>
        <w:rPr/>
        <w:tab/>
        <w:t>Functional</w:t>
      </w:r>
      <w:r>
        <w:rPr>
          <w:spacing w:val="-4"/>
        </w:rPr>
        <w:t> </w:t>
      </w:r>
      <w:r>
        <w:rPr/>
        <w:t>relationship</w:t>
      </w:r>
      <w:r>
        <w:rPr>
          <w:spacing w:val="-1"/>
        </w:rPr>
        <w:t> </w:t>
      </w:r>
      <w:r>
        <w:rPr/>
        <w:t>between</w:t>
      </w:r>
      <w:r>
        <w:rPr>
          <w:spacing w:val="-1"/>
        </w:rPr>
        <w:t> </w:t>
      </w:r>
      <w:r>
        <w:rPr/>
        <w:t>the</w:t>
      </w:r>
      <w:r>
        <w:rPr>
          <w:spacing w:val="-1"/>
        </w:rPr>
        <w:t> </w:t>
      </w:r>
      <w:r>
        <w:rPr/>
        <w:t>dependent</w:t>
      </w:r>
      <w:r>
        <w:rPr>
          <w:spacing w:val="57"/>
        </w:rPr>
        <w:t> </w:t>
      </w:r>
      <w:r>
        <w:rPr/>
        <w:t>Variable</w:t>
      </w:r>
      <w:r>
        <w:rPr>
          <w:spacing w:val="-1"/>
        </w:rPr>
        <w:t> </w:t>
      </w:r>
      <w:r>
        <w:rPr/>
        <w:t>(GDP)</w:t>
      </w:r>
      <w:r>
        <w:rPr>
          <w:spacing w:val="2"/>
        </w:rPr>
        <w:t> </w:t>
      </w:r>
      <w:r>
        <w:rPr/>
        <w:t>and</w:t>
      </w:r>
      <w:r>
        <w:rPr>
          <w:spacing w:val="-1"/>
        </w:rPr>
        <w:t> </w:t>
      </w:r>
      <w:r>
        <w:rPr/>
        <w:t>independent</w:t>
      </w:r>
      <w:r>
        <w:rPr>
          <w:spacing w:val="-1"/>
        </w:rPr>
        <w:t> </w:t>
      </w:r>
      <w:r>
        <w:rPr>
          <w:spacing w:val="-2"/>
        </w:rPr>
        <w:t>variable.</w:t>
      </w:r>
    </w:p>
    <w:p>
      <w:pPr>
        <w:pStyle w:val="BodyText"/>
      </w:pPr>
    </w:p>
    <w:p>
      <w:pPr>
        <w:pStyle w:val="BodyText"/>
        <w:ind w:left="1431"/>
      </w:pPr>
      <w:r>
        <w:rPr/>
        <w:t>Stating</w:t>
      </w:r>
      <w:r>
        <w:rPr>
          <w:spacing w:val="-2"/>
        </w:rPr>
        <w:t> </w:t>
      </w:r>
      <w:r>
        <w:rPr/>
        <w:t>the Model</w:t>
      </w:r>
      <w:r>
        <w:rPr>
          <w:spacing w:val="1"/>
        </w:rPr>
        <w:t> </w:t>
      </w:r>
      <w:r>
        <w:rPr/>
        <w:t>explicitly</w:t>
      </w:r>
      <w:r>
        <w:rPr>
          <w:spacing w:val="-4"/>
        </w:rPr>
        <w:t> </w:t>
      </w:r>
      <w:r>
        <w:rPr>
          <w:spacing w:val="-10"/>
        </w:rPr>
        <w:t>:</w:t>
      </w:r>
    </w:p>
    <w:p>
      <w:pPr>
        <w:pStyle w:val="BodyText"/>
        <w:spacing w:before="4"/>
        <w:rPr>
          <w:sz w:val="11"/>
        </w:rPr>
      </w:pPr>
    </w:p>
    <w:p>
      <w:pPr>
        <w:spacing w:after="0"/>
        <w:rPr>
          <w:sz w:val="11"/>
        </w:rPr>
        <w:sectPr>
          <w:pgSz w:w="11910" w:h="16840"/>
          <w:pgMar w:header="0" w:footer="979" w:top="1340" w:bottom="1240" w:left="280" w:right="0"/>
        </w:sectPr>
      </w:pPr>
    </w:p>
    <w:p>
      <w:pPr>
        <w:pStyle w:val="Heading4"/>
        <w:spacing w:before="161"/>
      </w:pPr>
      <w:r>
        <w:rPr>
          <w:spacing w:val="-9"/>
        </w:rPr>
        <w:t>GDP</w:t>
      </w:r>
    </w:p>
    <w:p>
      <w:pPr>
        <w:spacing w:before="106"/>
        <w:ind w:left="77" w:right="0" w:firstLine="0"/>
        <w:jc w:val="left"/>
        <w:rPr>
          <w:i/>
          <w:sz w:val="27"/>
        </w:rPr>
      </w:pPr>
      <w:r>
        <w:rPr/>
        <w:br w:type="column"/>
      </w:r>
      <w:r>
        <w:rPr>
          <w:rFonts w:ascii="Symbol" w:hAnsi="Symbol"/>
          <w:position w:val="3"/>
          <w:sz w:val="18"/>
        </w:rPr>
        <w:t></w:t>
      </w:r>
      <w:r>
        <w:rPr>
          <w:spacing w:val="-20"/>
          <w:position w:val="3"/>
          <w:sz w:val="18"/>
        </w:rPr>
        <w:t> </w:t>
      </w:r>
      <w:r>
        <w:rPr>
          <w:rFonts w:ascii="Symbol" w:hAnsi="Symbol"/>
          <w:position w:val="-2"/>
          <w:sz w:val="28"/>
        </w:rPr>
        <w:t></w:t>
      </w:r>
      <w:r>
        <w:rPr>
          <w:spacing w:val="-44"/>
          <w:position w:val="-2"/>
          <w:sz w:val="28"/>
        </w:rPr>
        <w:t> </w:t>
      </w:r>
      <w:r>
        <w:rPr>
          <w:position w:val="-3"/>
          <w:sz w:val="10"/>
        </w:rPr>
        <w:t>0</w:t>
      </w:r>
      <w:r>
        <w:rPr>
          <w:spacing w:val="10"/>
          <w:position w:val="-3"/>
          <w:sz w:val="10"/>
        </w:rPr>
        <w:t> </w:t>
      </w:r>
      <w:r>
        <w:rPr>
          <w:rFonts w:ascii="Symbol" w:hAnsi="Symbol"/>
          <w:spacing w:val="-2"/>
          <w:position w:val="3"/>
          <w:sz w:val="18"/>
        </w:rPr>
        <w:t></w:t>
      </w:r>
      <w:r>
        <w:rPr>
          <w:rFonts w:ascii="Symbol" w:hAnsi="Symbol"/>
          <w:spacing w:val="-2"/>
          <w:position w:val="-2"/>
          <w:sz w:val="28"/>
        </w:rPr>
        <w:t></w:t>
      </w:r>
      <w:r>
        <w:rPr>
          <w:spacing w:val="-2"/>
          <w:position w:val="-5"/>
          <w:sz w:val="18"/>
        </w:rPr>
        <w:t>1</w:t>
      </w:r>
      <w:r>
        <w:rPr>
          <w:rFonts w:ascii="Symbol" w:hAnsi="Symbol"/>
          <w:spacing w:val="-2"/>
          <w:sz w:val="28"/>
        </w:rPr>
        <w:t></w:t>
      </w:r>
      <w:r>
        <w:rPr>
          <w:i/>
          <w:spacing w:val="-2"/>
          <w:sz w:val="27"/>
        </w:rPr>
        <w:t>EXDEBT</w:t>
      </w:r>
    </w:p>
    <w:p>
      <w:pPr>
        <w:spacing w:before="135"/>
        <w:ind w:left="61" w:right="0" w:firstLine="0"/>
        <w:jc w:val="left"/>
        <w:rPr>
          <w:i/>
          <w:sz w:val="27"/>
        </w:rPr>
      </w:pPr>
      <w:r>
        <w:rPr/>
        <w:br w:type="column"/>
      </w:r>
      <w:r>
        <w:rPr>
          <w:rFonts w:ascii="Symbol" w:hAnsi="Symbol"/>
          <w:position w:val="7"/>
          <w:sz w:val="18"/>
        </w:rPr>
        <w:t></w:t>
      </w:r>
      <w:r>
        <w:rPr>
          <w:rFonts w:ascii="Symbol" w:hAnsi="Symbol"/>
          <w:position w:val="1"/>
          <w:sz w:val="28"/>
        </w:rPr>
        <w:t></w:t>
      </w:r>
      <w:r>
        <w:rPr>
          <w:spacing w:val="-36"/>
          <w:position w:val="1"/>
          <w:sz w:val="28"/>
        </w:rPr>
        <w:t> </w:t>
      </w:r>
      <w:r>
        <w:rPr>
          <w:sz w:val="10"/>
        </w:rPr>
        <w:t>2</w:t>
      </w:r>
      <w:r>
        <w:rPr>
          <w:spacing w:val="9"/>
          <w:sz w:val="10"/>
        </w:rPr>
        <w:t> </w:t>
      </w:r>
      <w:r>
        <w:rPr>
          <w:i/>
          <w:spacing w:val="-5"/>
          <w:position w:val="1"/>
          <w:sz w:val="27"/>
        </w:rPr>
        <w:t>DFI</w:t>
      </w:r>
    </w:p>
    <w:p>
      <w:pPr>
        <w:tabs>
          <w:tab w:pos="5339" w:val="left" w:leader="dot"/>
        </w:tabs>
        <w:spacing w:before="135"/>
        <w:ind w:left="72" w:right="0" w:firstLine="0"/>
        <w:jc w:val="left"/>
        <w:rPr>
          <w:sz w:val="18"/>
        </w:rPr>
      </w:pPr>
      <w:r>
        <w:rPr/>
        <w:br w:type="column"/>
      </w:r>
      <w:r>
        <w:rPr>
          <w:rFonts w:ascii="Symbol" w:hAnsi="Symbol"/>
          <w:position w:val="7"/>
          <w:sz w:val="18"/>
        </w:rPr>
        <w:t></w:t>
      </w:r>
      <w:r>
        <w:rPr>
          <w:rFonts w:ascii="Symbol" w:hAnsi="Symbol"/>
          <w:position w:val="1"/>
          <w:sz w:val="28"/>
        </w:rPr>
        <w:t></w:t>
      </w:r>
      <w:r>
        <w:rPr>
          <w:spacing w:val="-44"/>
          <w:position w:val="1"/>
          <w:sz w:val="28"/>
        </w:rPr>
        <w:t> </w:t>
      </w:r>
      <w:r>
        <w:rPr>
          <w:sz w:val="10"/>
        </w:rPr>
        <w:t>3</w:t>
      </w:r>
      <w:r>
        <w:rPr>
          <w:i/>
          <w:position w:val="1"/>
          <w:sz w:val="27"/>
        </w:rPr>
        <w:t>CAB</w:t>
      </w:r>
      <w:r>
        <w:rPr>
          <w:i/>
          <w:spacing w:val="38"/>
          <w:position w:val="1"/>
          <w:sz w:val="27"/>
        </w:rPr>
        <w:t> </w:t>
      </w:r>
      <w:r>
        <w:rPr>
          <w:rFonts w:ascii="Symbol" w:hAnsi="Symbol"/>
          <w:position w:val="7"/>
          <w:sz w:val="18"/>
        </w:rPr>
        <w:t></w:t>
      </w:r>
      <w:r>
        <w:rPr>
          <w:rFonts w:ascii="Symbol" w:hAnsi="Symbol"/>
          <w:position w:val="1"/>
          <w:sz w:val="28"/>
        </w:rPr>
        <w:t></w:t>
      </w:r>
      <w:r>
        <w:rPr>
          <w:spacing w:val="-40"/>
          <w:position w:val="1"/>
          <w:sz w:val="28"/>
        </w:rPr>
        <w:t> </w:t>
      </w:r>
      <w:r>
        <w:rPr>
          <w:sz w:val="10"/>
        </w:rPr>
        <w:t>4</w:t>
      </w:r>
      <w:r>
        <w:rPr>
          <w:rFonts w:ascii="Symbol" w:hAnsi="Symbol"/>
          <w:position w:val="1"/>
          <w:sz w:val="28"/>
        </w:rPr>
        <w:t></w:t>
      </w:r>
      <w:r>
        <w:rPr>
          <w:i/>
          <w:position w:val="1"/>
          <w:sz w:val="27"/>
        </w:rPr>
        <w:t>RES</w:t>
      </w:r>
      <w:r>
        <w:rPr>
          <w:i/>
          <w:spacing w:val="22"/>
          <w:position w:val="1"/>
          <w:sz w:val="27"/>
        </w:rPr>
        <w:t> </w:t>
      </w:r>
      <w:r>
        <w:rPr>
          <w:rFonts w:ascii="Symbol" w:hAnsi="Symbol"/>
          <w:position w:val="7"/>
          <w:sz w:val="18"/>
        </w:rPr>
        <w:t></w:t>
      </w:r>
      <w:r>
        <w:rPr>
          <w:spacing w:val="-3"/>
          <w:position w:val="7"/>
          <w:sz w:val="18"/>
        </w:rPr>
        <w:t> </w:t>
      </w:r>
      <w:r>
        <w:rPr>
          <w:rFonts w:ascii="Symbol" w:hAnsi="Symbol"/>
          <w:spacing w:val="-10"/>
          <w:position w:val="7"/>
          <w:sz w:val="19"/>
        </w:rPr>
        <w:t></w:t>
      </w:r>
      <w:r>
        <w:rPr>
          <w:position w:val="7"/>
          <w:sz w:val="19"/>
        </w:rPr>
        <w:tab/>
      </w:r>
      <w:r>
        <w:rPr>
          <w:spacing w:val="-2"/>
          <w:position w:val="7"/>
          <w:sz w:val="18"/>
        </w:rPr>
        <w:t>(3.8)</w:t>
      </w:r>
    </w:p>
    <w:p>
      <w:pPr>
        <w:spacing w:after="0"/>
        <w:jc w:val="left"/>
        <w:rPr>
          <w:sz w:val="18"/>
        </w:rPr>
        <w:sectPr>
          <w:type w:val="continuous"/>
          <w:pgSz w:w="11910" w:h="16840"/>
          <w:pgMar w:header="0" w:footer="979" w:top="1340" w:bottom="1220" w:left="280" w:right="0"/>
          <w:cols w:num="4" w:equalWidth="0">
            <w:col w:w="1270" w:space="40"/>
            <w:col w:w="2011" w:space="39"/>
            <w:col w:w="909" w:space="39"/>
            <w:col w:w="7322"/>
          </w:cols>
        </w:sectPr>
      </w:pPr>
    </w:p>
    <w:p>
      <w:pPr>
        <w:pStyle w:val="BodyText"/>
        <w:spacing w:before="18"/>
      </w:pPr>
    </w:p>
    <w:p>
      <w:pPr>
        <w:pStyle w:val="BodyText"/>
        <w:spacing w:line="477" w:lineRule="auto"/>
        <w:ind w:left="711"/>
      </w:pPr>
      <w:r>
        <w:rPr>
          <w:position w:val="2"/>
        </w:rPr>
        <w:t>Where</w:t>
      </w:r>
      <w:r>
        <w:rPr>
          <w:spacing w:val="15"/>
          <w:position w:val="2"/>
        </w:rPr>
        <w:t> </w:t>
      </w:r>
      <w:r>
        <w:rPr>
          <w:position w:val="2"/>
        </w:rPr>
        <w:t>α</w:t>
      </w:r>
      <w:r>
        <w:rPr>
          <w:sz w:val="16"/>
        </w:rPr>
        <w:t>0</w:t>
      </w:r>
      <w:r>
        <w:rPr>
          <w:spacing w:val="19"/>
          <w:sz w:val="16"/>
        </w:rPr>
        <w:t> </w:t>
      </w:r>
      <w:r>
        <w:rPr>
          <w:position w:val="2"/>
        </w:rPr>
        <w:t>is</w:t>
      </w:r>
      <w:r>
        <w:rPr>
          <w:spacing w:val="17"/>
          <w:position w:val="2"/>
        </w:rPr>
        <w:t> </w:t>
      </w:r>
      <w:r>
        <w:rPr>
          <w:position w:val="2"/>
        </w:rPr>
        <w:t>the</w:t>
      </w:r>
      <w:r>
        <w:rPr>
          <w:spacing w:val="16"/>
          <w:position w:val="2"/>
        </w:rPr>
        <w:t> </w:t>
      </w:r>
      <w:r>
        <w:rPr>
          <w:position w:val="2"/>
        </w:rPr>
        <w:t>intercept</w:t>
      </w:r>
      <w:r>
        <w:rPr>
          <w:spacing w:val="19"/>
          <w:position w:val="2"/>
        </w:rPr>
        <w:t> </w:t>
      </w:r>
      <w:r>
        <w:rPr>
          <w:position w:val="2"/>
        </w:rPr>
        <w:t>and</w:t>
      </w:r>
      <w:r>
        <w:rPr>
          <w:spacing w:val="40"/>
          <w:position w:val="2"/>
        </w:rPr>
        <w:t> </w:t>
      </w:r>
      <w:r>
        <w:rPr>
          <w:position w:val="2"/>
        </w:rPr>
        <w:t>α</w:t>
      </w:r>
      <w:r>
        <w:rPr>
          <w:sz w:val="16"/>
        </w:rPr>
        <w:t>1----</w:t>
      </w:r>
      <w:r>
        <w:rPr>
          <w:spacing w:val="17"/>
          <w:sz w:val="16"/>
        </w:rPr>
        <w:t> </w:t>
      </w:r>
      <w:r>
        <w:rPr>
          <w:sz w:val="16"/>
        </w:rPr>
        <w:t>-</w:t>
      </w:r>
      <w:r>
        <w:rPr>
          <w:spacing w:val="17"/>
          <w:sz w:val="16"/>
        </w:rPr>
        <w:t> </w:t>
      </w:r>
      <w:r>
        <w:rPr>
          <w:position w:val="2"/>
        </w:rPr>
        <w:t>α</w:t>
      </w:r>
      <w:r>
        <w:rPr>
          <w:spacing w:val="16"/>
          <w:position w:val="2"/>
        </w:rPr>
        <w:t> </w:t>
      </w:r>
      <w:r>
        <w:rPr>
          <w:sz w:val="16"/>
        </w:rPr>
        <w:t>4</w:t>
      </w:r>
      <w:r>
        <w:rPr>
          <w:spacing w:val="19"/>
          <w:sz w:val="16"/>
        </w:rPr>
        <w:t> </w:t>
      </w:r>
      <w:r>
        <w:rPr>
          <w:position w:val="2"/>
        </w:rPr>
        <w:t>=</w:t>
      </w:r>
      <w:r>
        <w:rPr>
          <w:spacing w:val="16"/>
          <w:position w:val="2"/>
        </w:rPr>
        <w:t> </w:t>
      </w:r>
      <w:r>
        <w:rPr>
          <w:position w:val="2"/>
        </w:rPr>
        <w:t>intercept</w:t>
      </w:r>
      <w:r>
        <w:rPr>
          <w:spacing w:val="17"/>
          <w:position w:val="2"/>
        </w:rPr>
        <w:t> </w:t>
      </w:r>
      <w:r>
        <w:rPr>
          <w:position w:val="2"/>
        </w:rPr>
        <w:t>of</w:t>
      </w:r>
      <w:r>
        <w:rPr>
          <w:spacing w:val="16"/>
          <w:position w:val="2"/>
        </w:rPr>
        <w:t> </w:t>
      </w:r>
      <w:r>
        <w:rPr>
          <w:position w:val="2"/>
        </w:rPr>
        <w:t>the</w:t>
      </w:r>
      <w:r>
        <w:rPr>
          <w:spacing w:val="16"/>
          <w:position w:val="2"/>
        </w:rPr>
        <w:t> </w:t>
      </w:r>
      <w:r>
        <w:rPr>
          <w:position w:val="2"/>
        </w:rPr>
        <w:t>equation</w:t>
      </w:r>
      <w:r>
        <w:rPr>
          <w:spacing w:val="19"/>
          <w:position w:val="2"/>
        </w:rPr>
        <w:t> </w:t>
      </w:r>
      <w:r>
        <w:rPr>
          <w:position w:val="2"/>
        </w:rPr>
        <w:t>in</w:t>
      </w:r>
      <w:r>
        <w:rPr>
          <w:spacing w:val="17"/>
          <w:position w:val="2"/>
        </w:rPr>
        <w:t> </w:t>
      </w:r>
      <w:r>
        <w:rPr>
          <w:position w:val="2"/>
        </w:rPr>
        <w:t>the</w:t>
      </w:r>
      <w:r>
        <w:rPr>
          <w:spacing w:val="18"/>
          <w:position w:val="2"/>
        </w:rPr>
        <w:t> </w:t>
      </w:r>
      <w:r>
        <w:rPr>
          <w:position w:val="2"/>
        </w:rPr>
        <w:t>model</w:t>
      </w:r>
      <w:r>
        <w:rPr>
          <w:spacing w:val="16"/>
          <w:position w:val="2"/>
        </w:rPr>
        <w:t> </w:t>
      </w:r>
      <w:r>
        <w:rPr>
          <w:position w:val="2"/>
        </w:rPr>
        <w:t>and</w:t>
      </w:r>
      <w:r>
        <w:rPr>
          <w:spacing w:val="16"/>
          <w:position w:val="2"/>
        </w:rPr>
        <w:t> </w:t>
      </w:r>
      <w:r>
        <w:rPr>
          <w:position w:val="2"/>
        </w:rPr>
        <w:t>other</w:t>
      </w:r>
      <w:r>
        <w:rPr>
          <w:spacing w:val="15"/>
          <w:position w:val="2"/>
        </w:rPr>
        <w:t> </w:t>
      </w:r>
      <w:r>
        <w:rPr>
          <w:position w:val="2"/>
        </w:rPr>
        <w:t>variables</w:t>
      </w:r>
      <w:r>
        <w:rPr>
          <w:spacing w:val="20"/>
          <w:position w:val="2"/>
        </w:rPr>
        <w:t> </w:t>
      </w:r>
      <w:r>
        <w:rPr>
          <w:position w:val="2"/>
        </w:rPr>
        <w:t>are</w:t>
      </w:r>
      <w:r>
        <w:rPr>
          <w:spacing w:val="17"/>
          <w:position w:val="2"/>
        </w:rPr>
        <w:t> </w:t>
      </w:r>
      <w:r>
        <w:rPr>
          <w:position w:val="2"/>
        </w:rPr>
        <w:t>as </w:t>
      </w:r>
      <w:r>
        <w:rPr/>
        <w:t>difined in equation 3.7</w:t>
      </w:r>
    </w:p>
    <w:p>
      <w:pPr>
        <w:pStyle w:val="BodyText"/>
        <w:spacing w:before="4"/>
        <w:ind w:left="1431"/>
      </w:pPr>
      <w:r>
        <w:rPr/>
        <w:t>By</w:t>
      </w:r>
      <w:r>
        <w:rPr>
          <w:spacing w:val="-5"/>
        </w:rPr>
        <w:t> </w:t>
      </w:r>
      <w:r>
        <w:rPr/>
        <w:t>log-linearising</w:t>
      </w:r>
      <w:r>
        <w:rPr>
          <w:spacing w:val="-3"/>
        </w:rPr>
        <w:t> </w:t>
      </w:r>
      <w:r>
        <w:rPr/>
        <w:t>the</w:t>
      </w:r>
      <w:r>
        <w:rPr>
          <w:spacing w:val="1"/>
        </w:rPr>
        <w:t> </w:t>
      </w:r>
      <w:r>
        <w:rPr/>
        <w:t>model, it</w:t>
      </w:r>
      <w:r>
        <w:rPr>
          <w:spacing w:val="1"/>
        </w:rPr>
        <w:t> </w:t>
      </w:r>
      <w:r>
        <w:rPr>
          <w:spacing w:val="-2"/>
        </w:rPr>
        <w:t>becomes</w:t>
      </w:r>
    </w:p>
    <w:p>
      <w:pPr>
        <w:pStyle w:val="BodyText"/>
        <w:spacing w:before="2"/>
        <w:rPr>
          <w:sz w:val="11"/>
        </w:rPr>
      </w:pPr>
    </w:p>
    <w:p>
      <w:pPr>
        <w:spacing w:after="0"/>
        <w:rPr>
          <w:sz w:val="11"/>
        </w:rPr>
        <w:sectPr>
          <w:type w:val="continuous"/>
          <w:pgSz w:w="11910" w:h="16840"/>
          <w:pgMar w:header="0" w:footer="979" w:top="1340" w:bottom="1220" w:left="280" w:right="0"/>
        </w:sectPr>
      </w:pPr>
    </w:p>
    <w:p>
      <w:pPr>
        <w:pStyle w:val="Heading4"/>
        <w:ind w:left="746"/>
      </w:pPr>
      <w:r>
        <w:rPr>
          <w:spacing w:val="-5"/>
        </w:rPr>
        <w:t>LogGDP</w:t>
      </w:r>
    </w:p>
    <w:p>
      <w:pPr>
        <w:spacing w:before="107"/>
        <w:ind w:left="74" w:right="0" w:firstLine="0"/>
        <w:jc w:val="left"/>
        <w:rPr>
          <w:i/>
          <w:sz w:val="27"/>
        </w:rPr>
      </w:pPr>
      <w:r>
        <w:rPr/>
        <w:br w:type="column"/>
      </w:r>
      <w:r>
        <w:rPr>
          <w:rFonts w:ascii="Symbol" w:hAnsi="Symbol"/>
          <w:position w:val="3"/>
          <w:sz w:val="18"/>
        </w:rPr>
        <w:t></w:t>
      </w:r>
      <w:r>
        <w:rPr>
          <w:spacing w:val="-17"/>
          <w:position w:val="3"/>
          <w:sz w:val="18"/>
        </w:rPr>
        <w:t> </w:t>
      </w:r>
      <w:r>
        <w:rPr>
          <w:rFonts w:ascii="Symbol" w:hAnsi="Symbol"/>
          <w:position w:val="-2"/>
          <w:sz w:val="28"/>
        </w:rPr>
        <w:t></w:t>
      </w:r>
      <w:r>
        <w:rPr>
          <w:spacing w:val="-42"/>
          <w:position w:val="-2"/>
          <w:sz w:val="28"/>
        </w:rPr>
        <w:t> </w:t>
      </w:r>
      <w:r>
        <w:rPr>
          <w:position w:val="-3"/>
          <w:sz w:val="10"/>
        </w:rPr>
        <w:t>0</w:t>
      </w:r>
      <w:r>
        <w:rPr>
          <w:spacing w:val="12"/>
          <w:position w:val="-3"/>
          <w:sz w:val="10"/>
        </w:rPr>
        <w:t> </w:t>
      </w:r>
      <w:r>
        <w:rPr>
          <w:rFonts w:ascii="Symbol" w:hAnsi="Symbol"/>
          <w:spacing w:val="-2"/>
          <w:position w:val="3"/>
          <w:sz w:val="18"/>
        </w:rPr>
        <w:t></w:t>
      </w:r>
      <w:r>
        <w:rPr>
          <w:rFonts w:ascii="Symbol" w:hAnsi="Symbol"/>
          <w:spacing w:val="-2"/>
          <w:position w:val="-2"/>
          <w:sz w:val="28"/>
        </w:rPr>
        <w:t></w:t>
      </w:r>
      <w:r>
        <w:rPr>
          <w:spacing w:val="-2"/>
          <w:position w:val="-5"/>
          <w:sz w:val="18"/>
        </w:rPr>
        <w:t>1</w:t>
      </w:r>
      <w:r>
        <w:rPr>
          <w:i/>
          <w:spacing w:val="-2"/>
          <w:sz w:val="27"/>
        </w:rPr>
        <w:t>Log</w:t>
      </w:r>
      <w:r>
        <w:rPr>
          <w:rFonts w:ascii="Symbol" w:hAnsi="Symbol"/>
          <w:spacing w:val="-2"/>
          <w:sz w:val="28"/>
        </w:rPr>
        <w:t></w:t>
      </w:r>
      <w:r>
        <w:rPr>
          <w:i/>
          <w:spacing w:val="-2"/>
          <w:sz w:val="27"/>
        </w:rPr>
        <w:t>EXDEBT</w:t>
      </w:r>
    </w:p>
    <w:p>
      <w:pPr>
        <w:pStyle w:val="ListParagraph"/>
        <w:numPr>
          <w:ilvl w:val="0"/>
          <w:numId w:val="19"/>
        </w:numPr>
        <w:tabs>
          <w:tab w:pos="175" w:val="left" w:leader="none"/>
        </w:tabs>
        <w:spacing w:line="240" w:lineRule="auto" w:before="137" w:after="0"/>
        <w:ind w:left="175" w:right="0" w:hanging="115"/>
        <w:jc w:val="left"/>
        <w:rPr>
          <w:i/>
          <w:sz w:val="27"/>
        </w:rPr>
      </w:pPr>
      <w:r>
        <w:rPr/>
        <w:br w:type="column"/>
      </w:r>
      <w:r>
        <w:rPr>
          <w:rFonts w:ascii="Symbol" w:hAnsi="Symbol"/>
          <w:position w:val="-2"/>
          <w:sz w:val="28"/>
        </w:rPr>
        <w:t></w:t>
      </w:r>
      <w:r>
        <w:rPr>
          <w:spacing w:val="-41"/>
          <w:position w:val="-2"/>
          <w:sz w:val="28"/>
        </w:rPr>
        <w:t> </w:t>
      </w:r>
      <w:r>
        <w:rPr>
          <w:position w:val="-3"/>
          <w:sz w:val="10"/>
        </w:rPr>
        <w:t>2</w:t>
      </w:r>
      <w:r>
        <w:rPr>
          <w:spacing w:val="2"/>
          <w:position w:val="-3"/>
          <w:sz w:val="10"/>
        </w:rPr>
        <w:t> </w:t>
      </w:r>
      <w:r>
        <w:rPr>
          <w:i/>
          <w:spacing w:val="-2"/>
          <w:sz w:val="27"/>
        </w:rPr>
        <w:t>LogDFI</w:t>
      </w:r>
    </w:p>
    <w:p>
      <w:pPr>
        <w:pStyle w:val="ListParagraph"/>
        <w:numPr>
          <w:ilvl w:val="0"/>
          <w:numId w:val="19"/>
        </w:numPr>
        <w:tabs>
          <w:tab w:pos="193" w:val="left" w:leader="none"/>
        </w:tabs>
        <w:spacing w:line="240" w:lineRule="auto" w:before="137" w:after="0"/>
        <w:ind w:left="193" w:right="0" w:hanging="115"/>
        <w:jc w:val="left"/>
        <w:rPr>
          <w:i/>
          <w:sz w:val="27"/>
        </w:rPr>
      </w:pPr>
      <w:r>
        <w:rPr/>
        <w:br w:type="column"/>
      </w:r>
      <w:r>
        <w:rPr>
          <w:rFonts w:ascii="Symbol" w:hAnsi="Symbol"/>
          <w:position w:val="-2"/>
          <w:sz w:val="28"/>
        </w:rPr>
        <w:t></w:t>
      </w:r>
      <w:r>
        <w:rPr>
          <w:spacing w:val="-45"/>
          <w:position w:val="-2"/>
          <w:sz w:val="28"/>
        </w:rPr>
        <w:t> </w:t>
      </w:r>
      <w:r>
        <w:rPr>
          <w:position w:val="-3"/>
          <w:sz w:val="10"/>
        </w:rPr>
        <w:t>3</w:t>
      </w:r>
      <w:r>
        <w:rPr>
          <w:spacing w:val="-1"/>
          <w:position w:val="-3"/>
          <w:sz w:val="10"/>
        </w:rPr>
        <w:t> </w:t>
      </w:r>
      <w:r>
        <w:rPr>
          <w:i/>
          <w:spacing w:val="-2"/>
          <w:sz w:val="27"/>
        </w:rPr>
        <w:t>LogCAB</w:t>
      </w:r>
    </w:p>
    <w:p>
      <w:pPr>
        <w:spacing w:after="0" w:line="240" w:lineRule="auto"/>
        <w:jc w:val="left"/>
        <w:rPr>
          <w:sz w:val="27"/>
        </w:rPr>
        <w:sectPr>
          <w:type w:val="continuous"/>
          <w:pgSz w:w="11910" w:h="16840"/>
          <w:pgMar w:header="0" w:footer="979" w:top="1340" w:bottom="1220" w:left="280" w:right="0"/>
          <w:cols w:num="4" w:equalWidth="0">
            <w:col w:w="1712" w:space="40"/>
            <w:col w:w="2465" w:space="39"/>
            <w:col w:w="1330" w:space="40"/>
            <w:col w:w="6004"/>
          </w:cols>
        </w:sectPr>
      </w:pPr>
    </w:p>
    <w:p>
      <w:pPr>
        <w:pStyle w:val="ListParagraph"/>
        <w:numPr>
          <w:ilvl w:val="1"/>
          <w:numId w:val="19"/>
        </w:numPr>
        <w:tabs>
          <w:tab w:pos="1841" w:val="left" w:leader="none"/>
        </w:tabs>
        <w:spacing w:line="240" w:lineRule="auto" w:before="11" w:after="0"/>
        <w:ind w:left="1841" w:right="0" w:hanging="115"/>
        <w:jc w:val="left"/>
        <w:rPr>
          <w:rFonts w:ascii="Symbol" w:hAnsi="Symbol"/>
          <w:sz w:val="19"/>
        </w:rPr>
      </w:pPr>
      <w:r>
        <w:rPr>
          <w:rFonts w:ascii="Symbol" w:hAnsi="Symbol"/>
          <w:position w:val="-2"/>
          <w:sz w:val="28"/>
        </w:rPr>
        <w:t></w:t>
      </w:r>
      <w:r>
        <w:rPr>
          <w:spacing w:val="-41"/>
          <w:position w:val="-2"/>
          <w:sz w:val="28"/>
        </w:rPr>
        <w:t> </w:t>
      </w:r>
      <w:r>
        <w:rPr>
          <w:position w:val="-3"/>
          <w:sz w:val="10"/>
        </w:rPr>
        <w:t>4</w:t>
      </w:r>
      <w:r>
        <w:rPr>
          <w:spacing w:val="3"/>
          <w:position w:val="-3"/>
          <w:sz w:val="10"/>
        </w:rPr>
        <w:t> </w:t>
      </w:r>
      <w:r>
        <w:rPr>
          <w:i/>
          <w:sz w:val="27"/>
        </w:rPr>
        <w:t>Log</w:t>
      </w:r>
      <w:r>
        <w:rPr>
          <w:rFonts w:ascii="Symbol" w:hAnsi="Symbol"/>
          <w:sz w:val="28"/>
        </w:rPr>
        <w:t></w:t>
      </w:r>
      <w:r>
        <w:rPr>
          <w:i/>
          <w:sz w:val="27"/>
        </w:rPr>
        <w:t>RES</w:t>
      </w:r>
      <w:r>
        <w:rPr>
          <w:i/>
          <w:spacing w:val="15"/>
          <w:sz w:val="27"/>
        </w:rPr>
        <w:t> </w:t>
      </w:r>
      <w:r>
        <w:rPr>
          <w:rFonts w:ascii="Symbol" w:hAnsi="Symbol"/>
          <w:position w:val="3"/>
          <w:sz w:val="18"/>
        </w:rPr>
        <w:t></w:t>
      </w:r>
      <w:r>
        <w:rPr>
          <w:spacing w:val="-5"/>
          <w:position w:val="3"/>
          <w:sz w:val="18"/>
        </w:rPr>
        <w:t> </w:t>
      </w:r>
      <w:r>
        <w:rPr>
          <w:rFonts w:ascii="Symbol" w:hAnsi="Symbol"/>
          <w:spacing w:val="-10"/>
          <w:position w:val="3"/>
          <w:sz w:val="19"/>
        </w:rPr>
        <w:t></w:t>
      </w:r>
    </w:p>
    <w:p>
      <w:pPr>
        <w:tabs>
          <w:tab w:pos="5813" w:val="left" w:leader="dot"/>
        </w:tabs>
        <w:spacing w:before="95"/>
        <w:ind w:left="72" w:right="0" w:firstLine="0"/>
        <w:jc w:val="left"/>
        <w:rPr>
          <w:sz w:val="18"/>
        </w:rPr>
      </w:pPr>
      <w:r>
        <w:rPr/>
        <w:br w:type="column"/>
      </w:r>
      <w:r>
        <w:rPr>
          <w:spacing w:val="-10"/>
          <w:sz w:val="18"/>
        </w:rPr>
        <w:t>.</w:t>
      </w:r>
      <w:r>
        <w:rPr>
          <w:sz w:val="18"/>
        </w:rPr>
        <w:tab/>
      </w:r>
      <w:r>
        <w:rPr>
          <w:spacing w:val="-2"/>
          <w:sz w:val="18"/>
        </w:rPr>
        <w:t>(3.9)</w:t>
      </w:r>
    </w:p>
    <w:p>
      <w:pPr>
        <w:spacing w:after="0"/>
        <w:jc w:val="left"/>
        <w:rPr>
          <w:sz w:val="18"/>
        </w:rPr>
        <w:sectPr>
          <w:type w:val="continuous"/>
          <w:pgSz w:w="11910" w:h="16840"/>
          <w:pgMar w:header="0" w:footer="979" w:top="1340" w:bottom="1220" w:left="280" w:right="0"/>
          <w:cols w:num="2" w:equalWidth="0">
            <w:col w:w="3484" w:space="40"/>
            <w:col w:w="8106"/>
          </w:cols>
        </w:sectPr>
      </w:pPr>
    </w:p>
    <w:p>
      <w:pPr>
        <w:pStyle w:val="BodyText"/>
        <w:spacing w:before="28"/>
      </w:pPr>
    </w:p>
    <w:p>
      <w:pPr>
        <w:pStyle w:val="Heading6"/>
        <w:numPr>
          <w:ilvl w:val="0"/>
          <w:numId w:val="18"/>
        </w:numPr>
        <w:tabs>
          <w:tab w:pos="951" w:val="left" w:leader="none"/>
        </w:tabs>
        <w:spacing w:line="240" w:lineRule="auto" w:before="0" w:after="0"/>
        <w:ind w:left="951" w:right="0" w:hanging="240"/>
        <w:jc w:val="left"/>
        <w:rPr>
          <w:b w:val="0"/>
        </w:rPr>
      </w:pPr>
      <w:r>
        <w:rPr/>
        <w:t>Morgan</w:t>
      </w:r>
      <w:r>
        <w:rPr>
          <w:spacing w:val="-2"/>
        </w:rPr>
        <w:t> </w:t>
      </w:r>
      <w:r>
        <w:rPr/>
        <w:t>trust</w:t>
      </w:r>
      <w:r>
        <w:rPr>
          <w:spacing w:val="-2"/>
        </w:rPr>
        <w:t> </w:t>
      </w:r>
      <w:r>
        <w:rPr/>
        <w:t>(1986) capital</w:t>
      </w:r>
      <w:r>
        <w:rPr>
          <w:spacing w:val="-1"/>
        </w:rPr>
        <w:t> </w:t>
      </w:r>
      <w:r>
        <w:rPr/>
        <w:t>flight</w:t>
      </w:r>
      <w:r>
        <w:rPr>
          <w:spacing w:val="-1"/>
        </w:rPr>
        <w:t> </w:t>
      </w:r>
      <w:r>
        <w:rPr>
          <w:spacing w:val="-2"/>
        </w:rPr>
        <w:t>estimate</w:t>
      </w:r>
    </w:p>
    <w:p>
      <w:pPr>
        <w:pStyle w:val="BodyText"/>
        <w:spacing w:before="4"/>
        <w:rPr>
          <w:b/>
          <w:sz w:val="12"/>
        </w:rPr>
      </w:pPr>
    </w:p>
    <w:p>
      <w:pPr>
        <w:spacing w:after="0"/>
        <w:rPr>
          <w:sz w:val="12"/>
        </w:rPr>
        <w:sectPr>
          <w:type w:val="continuous"/>
          <w:pgSz w:w="11910" w:h="16840"/>
          <w:pgMar w:header="0" w:footer="979" w:top="1340" w:bottom="1220" w:left="280" w:right="0"/>
        </w:sectPr>
      </w:pPr>
    </w:p>
    <w:p>
      <w:pPr>
        <w:spacing w:before="117"/>
        <w:ind w:left="741" w:right="0" w:firstLine="0"/>
        <w:jc w:val="left"/>
        <w:rPr>
          <w:rFonts w:ascii="Symbol" w:hAnsi="Symbol"/>
          <w:sz w:val="23"/>
        </w:rPr>
      </w:pPr>
      <w:r>
        <w:rPr>
          <w:i/>
          <w:w w:val="105"/>
          <w:sz w:val="23"/>
        </w:rPr>
        <w:t>GDP</w:t>
      </w:r>
      <w:r>
        <w:rPr>
          <w:i/>
          <w:spacing w:val="-3"/>
          <w:w w:val="105"/>
          <w:sz w:val="23"/>
        </w:rPr>
        <w:t> </w:t>
      </w:r>
      <w:r>
        <w:rPr>
          <w:rFonts w:ascii="Symbol" w:hAnsi="Symbol"/>
          <w:spacing w:val="-10"/>
          <w:w w:val="105"/>
          <w:sz w:val="23"/>
        </w:rPr>
        <w:t></w:t>
      </w:r>
    </w:p>
    <w:p>
      <w:pPr>
        <w:pStyle w:val="BodyText"/>
        <w:spacing w:before="44"/>
        <w:rPr>
          <w:rFonts w:ascii="Symbol" w:hAnsi="Symbol"/>
          <w:sz w:val="23"/>
        </w:rPr>
      </w:pPr>
    </w:p>
    <w:p>
      <w:pPr>
        <w:pStyle w:val="BodyText"/>
        <w:ind w:left="711"/>
      </w:pPr>
      <w:r>
        <w:rPr>
          <w:spacing w:val="-2"/>
        </w:rPr>
        <w:t>Where:</w:t>
      </w:r>
    </w:p>
    <w:p>
      <w:pPr>
        <w:spacing w:before="107"/>
        <w:ind w:left="66" w:right="0" w:firstLine="0"/>
        <w:jc w:val="left"/>
        <w:rPr>
          <w:sz w:val="23"/>
        </w:rPr>
      </w:pPr>
      <w:r>
        <w:rPr/>
        <w:br w:type="column"/>
      </w:r>
      <w:r>
        <w:rPr>
          <w:i/>
          <w:spacing w:val="-2"/>
          <w:w w:val="105"/>
          <w:sz w:val="23"/>
        </w:rPr>
        <w:t>f</w:t>
      </w:r>
      <w:r>
        <w:rPr>
          <w:i/>
          <w:spacing w:val="-4"/>
          <w:w w:val="105"/>
          <w:sz w:val="23"/>
        </w:rPr>
        <w:t> </w:t>
      </w:r>
      <w:r>
        <w:rPr>
          <w:spacing w:val="-2"/>
          <w:w w:val="105"/>
          <w:sz w:val="23"/>
        </w:rPr>
        <w:t>(</w:t>
      </w:r>
      <w:r>
        <w:rPr>
          <w:rFonts w:ascii="Symbol" w:hAnsi="Symbol"/>
          <w:spacing w:val="-2"/>
          <w:w w:val="105"/>
          <w:sz w:val="24"/>
        </w:rPr>
        <w:t></w:t>
      </w:r>
      <w:r>
        <w:rPr>
          <w:i/>
          <w:spacing w:val="-2"/>
          <w:w w:val="105"/>
          <w:sz w:val="23"/>
        </w:rPr>
        <w:t>EXDEBT</w:t>
      </w:r>
      <w:r>
        <w:rPr>
          <w:i/>
          <w:spacing w:val="-26"/>
          <w:w w:val="105"/>
          <w:sz w:val="23"/>
        </w:rPr>
        <w:t> </w:t>
      </w:r>
      <w:r>
        <w:rPr>
          <w:spacing w:val="-2"/>
          <w:w w:val="105"/>
          <w:sz w:val="23"/>
        </w:rPr>
        <w:t>,</w:t>
      </w:r>
      <w:r>
        <w:rPr>
          <w:spacing w:val="-24"/>
          <w:w w:val="105"/>
          <w:sz w:val="23"/>
        </w:rPr>
        <w:t> </w:t>
      </w:r>
      <w:r>
        <w:rPr>
          <w:i/>
          <w:spacing w:val="-2"/>
          <w:w w:val="105"/>
          <w:sz w:val="23"/>
        </w:rPr>
        <w:t>DFI</w:t>
      </w:r>
      <w:r>
        <w:rPr>
          <w:i/>
          <w:spacing w:val="-32"/>
          <w:w w:val="105"/>
          <w:sz w:val="23"/>
        </w:rPr>
        <w:t> </w:t>
      </w:r>
      <w:r>
        <w:rPr>
          <w:spacing w:val="-2"/>
          <w:w w:val="105"/>
          <w:sz w:val="23"/>
        </w:rPr>
        <w:t>,</w:t>
      </w:r>
      <w:r>
        <w:rPr>
          <w:spacing w:val="-38"/>
          <w:w w:val="105"/>
          <w:sz w:val="23"/>
        </w:rPr>
        <w:t> </w:t>
      </w:r>
      <w:r>
        <w:rPr>
          <w:i/>
          <w:spacing w:val="-2"/>
          <w:w w:val="105"/>
          <w:sz w:val="23"/>
        </w:rPr>
        <w:t>CAB</w:t>
      </w:r>
      <w:r>
        <w:rPr>
          <w:spacing w:val="-2"/>
          <w:w w:val="105"/>
          <w:sz w:val="23"/>
        </w:rPr>
        <w:t>,</w:t>
      </w:r>
      <w:r>
        <w:rPr>
          <w:rFonts w:ascii="Symbol" w:hAnsi="Symbol"/>
          <w:spacing w:val="-2"/>
          <w:w w:val="105"/>
          <w:sz w:val="24"/>
        </w:rPr>
        <w:t></w:t>
      </w:r>
      <w:r>
        <w:rPr>
          <w:i/>
          <w:spacing w:val="-2"/>
          <w:w w:val="105"/>
          <w:sz w:val="23"/>
        </w:rPr>
        <w:t>RES</w:t>
      </w:r>
      <w:r>
        <w:rPr>
          <w:i/>
          <w:spacing w:val="-36"/>
          <w:w w:val="105"/>
          <w:sz w:val="23"/>
        </w:rPr>
        <w:t> </w:t>
      </w:r>
      <w:r>
        <w:rPr>
          <w:spacing w:val="-2"/>
          <w:w w:val="105"/>
          <w:sz w:val="23"/>
        </w:rPr>
        <w:t>,</w:t>
      </w:r>
      <w:r>
        <w:rPr>
          <w:spacing w:val="-19"/>
          <w:w w:val="105"/>
          <w:sz w:val="23"/>
        </w:rPr>
        <w:t> </w:t>
      </w:r>
      <w:r>
        <w:rPr>
          <w:i/>
          <w:spacing w:val="-2"/>
          <w:w w:val="105"/>
          <w:sz w:val="23"/>
        </w:rPr>
        <w:t>NEXTAS</w:t>
      </w:r>
      <w:r>
        <w:rPr>
          <w:spacing w:val="-2"/>
          <w:w w:val="105"/>
          <w:sz w:val="23"/>
        </w:rPr>
        <w:t>,</w:t>
      </w:r>
      <w:r>
        <w:rPr>
          <w:spacing w:val="-27"/>
          <w:w w:val="105"/>
          <w:sz w:val="23"/>
        </w:rPr>
        <w:t> </w:t>
      </w:r>
      <w:r>
        <w:rPr>
          <w:rFonts w:ascii="Symbol" w:hAnsi="Symbol"/>
          <w:spacing w:val="-5"/>
          <w:w w:val="105"/>
          <w:sz w:val="24"/>
        </w:rPr>
        <w:t></w:t>
      </w:r>
      <w:r>
        <w:rPr>
          <w:spacing w:val="-5"/>
          <w:w w:val="105"/>
          <w:sz w:val="23"/>
        </w:rPr>
        <w:t>)</w:t>
      </w:r>
    </w:p>
    <w:p>
      <w:pPr>
        <w:tabs>
          <w:tab w:pos="3359" w:val="left" w:leader="dot"/>
        </w:tabs>
        <w:spacing w:before="133"/>
        <w:ind w:left="112" w:right="0" w:firstLine="0"/>
        <w:jc w:val="left"/>
        <w:rPr>
          <w:sz w:val="23"/>
        </w:rPr>
      </w:pPr>
      <w:r>
        <w:rPr/>
        <w:br w:type="column"/>
      </w:r>
      <w:r>
        <w:rPr>
          <w:spacing w:val="-10"/>
          <w:w w:val="105"/>
          <w:sz w:val="23"/>
        </w:rPr>
        <w:t>.</w:t>
      </w:r>
      <w:r>
        <w:rPr>
          <w:sz w:val="23"/>
        </w:rPr>
        <w:tab/>
      </w:r>
      <w:r>
        <w:rPr>
          <w:spacing w:val="-2"/>
          <w:w w:val="105"/>
          <w:sz w:val="23"/>
        </w:rPr>
        <w:t>(3.10)</w:t>
      </w:r>
    </w:p>
    <w:p>
      <w:pPr>
        <w:spacing w:after="0"/>
        <w:jc w:val="left"/>
        <w:rPr>
          <w:sz w:val="23"/>
        </w:rPr>
        <w:sectPr>
          <w:type w:val="continuous"/>
          <w:pgSz w:w="11910" w:h="16840"/>
          <w:pgMar w:header="0" w:footer="979" w:top="1340" w:bottom="1220" w:left="280" w:right="0"/>
          <w:cols w:num="3" w:equalWidth="0">
            <w:col w:w="1435" w:space="40"/>
            <w:col w:w="4298" w:space="39"/>
            <w:col w:w="5818"/>
          </w:cols>
        </w:sectPr>
      </w:pPr>
    </w:p>
    <w:p>
      <w:pPr>
        <w:pStyle w:val="BodyText"/>
      </w:pPr>
    </w:p>
    <w:p>
      <w:pPr>
        <w:pStyle w:val="BodyText"/>
        <w:spacing w:line="480" w:lineRule="auto"/>
        <w:ind w:left="711"/>
      </w:pPr>
      <w:r>
        <w:rPr/>
        <w:t>δNEXTAS</w:t>
      </w:r>
      <w:r>
        <w:rPr>
          <w:spacing w:val="-1"/>
        </w:rPr>
        <w:t> </w:t>
      </w:r>
      <w:r>
        <w:rPr/>
        <w:t>=</w:t>
      </w:r>
      <w:r>
        <w:rPr>
          <w:spacing w:val="80"/>
        </w:rPr>
        <w:t> </w:t>
      </w:r>
      <w:r>
        <w:rPr/>
        <w:t>Change in foreign asset of domestic banking system,</w:t>
      </w:r>
      <w:r>
        <w:rPr>
          <w:spacing w:val="80"/>
        </w:rPr>
        <w:t> </w:t>
      </w:r>
      <w:r>
        <w:rPr/>
        <w:t>other variableremained</w:t>
      </w:r>
      <w:r>
        <w:rPr>
          <w:spacing w:val="80"/>
        </w:rPr>
        <w:t> </w:t>
      </w:r>
      <w:r>
        <w:rPr/>
        <w:t>as defined in</w:t>
      </w:r>
      <w:r>
        <w:rPr>
          <w:spacing w:val="40"/>
        </w:rPr>
        <w:t> </w:t>
      </w:r>
      <w:r>
        <w:rPr/>
        <w:t>equation 3.7</w:t>
      </w:r>
    </w:p>
    <w:p>
      <w:pPr>
        <w:pStyle w:val="BodyText"/>
        <w:ind w:left="711"/>
      </w:pPr>
      <w:r>
        <w:rPr/>
        <w:t>Stating</w:t>
      </w:r>
      <w:r>
        <w:rPr>
          <w:spacing w:val="-3"/>
        </w:rPr>
        <w:t> </w:t>
      </w:r>
      <w:r>
        <w:rPr/>
        <w:t>the model </w:t>
      </w:r>
      <w:r>
        <w:rPr>
          <w:spacing w:val="-2"/>
        </w:rPr>
        <w:t>explicitly:</w:t>
      </w:r>
    </w:p>
    <w:p>
      <w:pPr>
        <w:pStyle w:val="BodyText"/>
        <w:spacing w:before="5"/>
        <w:rPr>
          <w:sz w:val="11"/>
        </w:rPr>
      </w:pPr>
    </w:p>
    <w:p>
      <w:pPr>
        <w:spacing w:after="0"/>
        <w:rPr>
          <w:sz w:val="11"/>
        </w:rPr>
        <w:sectPr>
          <w:type w:val="continuous"/>
          <w:pgSz w:w="11910" w:h="16840"/>
          <w:pgMar w:header="0" w:footer="979" w:top="1340" w:bottom="1220" w:left="280" w:right="0"/>
        </w:sectPr>
      </w:pPr>
    </w:p>
    <w:p>
      <w:pPr>
        <w:pStyle w:val="Heading3"/>
        <w:spacing w:before="179"/>
        <w:ind w:left="729"/>
      </w:pPr>
      <w:r>
        <w:rPr>
          <w:spacing w:val="-12"/>
        </w:rPr>
        <w:t>GDP</w:t>
      </w:r>
    </w:p>
    <w:p>
      <w:pPr>
        <w:spacing w:before="103"/>
        <w:ind w:left="79" w:right="0" w:firstLine="0"/>
        <w:jc w:val="left"/>
        <w:rPr>
          <w:i/>
          <w:sz w:val="28"/>
        </w:rPr>
      </w:pPr>
      <w:r>
        <w:rPr/>
        <w:br w:type="column"/>
      </w:r>
      <w:r>
        <w:rPr>
          <w:rFonts w:ascii="Symbol" w:hAnsi="Symbol"/>
          <w:position w:val="3"/>
          <w:sz w:val="19"/>
        </w:rPr>
        <w:t></w:t>
      </w:r>
      <w:r>
        <w:rPr>
          <w:spacing w:val="-1"/>
          <w:position w:val="3"/>
          <w:sz w:val="19"/>
        </w:rPr>
        <w:t> </w:t>
      </w:r>
      <w:r>
        <w:rPr>
          <w:rFonts w:ascii="Symbol" w:hAnsi="Symbol"/>
          <w:sz w:val="30"/>
        </w:rPr>
        <w:t></w:t>
      </w:r>
      <w:r>
        <w:rPr>
          <w:spacing w:val="39"/>
          <w:sz w:val="30"/>
        </w:rPr>
        <w:t> </w:t>
      </w:r>
      <w:r>
        <w:rPr>
          <w:rFonts w:ascii="Symbol" w:hAnsi="Symbol"/>
          <w:position w:val="3"/>
          <w:sz w:val="19"/>
        </w:rPr>
        <w:t></w:t>
      </w:r>
      <w:r>
        <w:rPr>
          <w:spacing w:val="-12"/>
          <w:position w:val="3"/>
          <w:sz w:val="19"/>
        </w:rPr>
        <w:t> </w:t>
      </w:r>
      <w:r>
        <w:rPr>
          <w:rFonts w:ascii="Symbol" w:hAnsi="Symbol"/>
          <w:position w:val="1"/>
          <w:sz w:val="30"/>
        </w:rPr>
        <w:t></w:t>
      </w:r>
      <w:r>
        <w:rPr>
          <w:spacing w:val="7"/>
          <w:position w:val="1"/>
          <w:sz w:val="30"/>
        </w:rPr>
        <w:t> </w:t>
      </w:r>
      <w:r>
        <w:rPr>
          <w:rFonts w:ascii="Symbol" w:hAnsi="Symbol"/>
          <w:spacing w:val="-4"/>
          <w:position w:val="1"/>
          <w:sz w:val="30"/>
        </w:rPr>
        <w:t></w:t>
      </w:r>
      <w:r>
        <w:rPr>
          <w:i/>
          <w:spacing w:val="-4"/>
          <w:position w:val="1"/>
          <w:sz w:val="28"/>
        </w:rPr>
        <w:t>EXDEBT</w:t>
      </w:r>
    </w:p>
    <w:p>
      <w:pPr>
        <w:spacing w:before="112"/>
        <w:ind w:left="60" w:right="0" w:firstLine="0"/>
        <w:jc w:val="left"/>
        <w:rPr>
          <w:i/>
          <w:sz w:val="28"/>
        </w:rPr>
      </w:pPr>
      <w:r>
        <w:rPr/>
        <w:br w:type="column"/>
      </w:r>
      <w:r>
        <w:rPr>
          <w:rFonts w:ascii="Symbol" w:hAnsi="Symbol"/>
          <w:position w:val="6"/>
          <w:sz w:val="19"/>
        </w:rPr>
        <w:t></w:t>
      </w:r>
      <w:r>
        <w:rPr>
          <w:spacing w:val="-12"/>
          <w:position w:val="6"/>
          <w:sz w:val="19"/>
        </w:rPr>
        <w:t> </w:t>
      </w:r>
      <w:r>
        <w:rPr>
          <w:rFonts w:ascii="Symbol" w:hAnsi="Symbol"/>
          <w:position w:val="3"/>
          <w:sz w:val="30"/>
        </w:rPr>
        <w:t></w:t>
      </w:r>
      <w:r>
        <w:rPr>
          <w:spacing w:val="-44"/>
          <w:position w:val="3"/>
          <w:sz w:val="30"/>
        </w:rPr>
        <w:t> </w:t>
      </w:r>
      <w:r>
        <w:rPr>
          <w:position w:val="-3"/>
          <w:sz w:val="11"/>
        </w:rPr>
        <w:t>2</w:t>
      </w:r>
      <w:r>
        <w:rPr>
          <w:spacing w:val="-7"/>
          <w:position w:val="-3"/>
          <w:sz w:val="11"/>
        </w:rPr>
        <w:t> </w:t>
      </w:r>
      <w:r>
        <w:rPr>
          <w:i/>
          <w:spacing w:val="-5"/>
          <w:sz w:val="28"/>
        </w:rPr>
        <w:t>DFI</w:t>
      </w:r>
    </w:p>
    <w:p>
      <w:pPr>
        <w:tabs>
          <w:tab w:pos="4862" w:val="left" w:leader="dot"/>
        </w:tabs>
        <w:spacing w:before="110"/>
        <w:ind w:left="73" w:right="0" w:firstLine="0"/>
        <w:jc w:val="left"/>
        <w:rPr>
          <w:sz w:val="19"/>
        </w:rPr>
      </w:pPr>
      <w:r>
        <w:rPr/>
        <w:br w:type="column"/>
      </w:r>
      <w:r>
        <w:rPr>
          <w:rFonts w:ascii="Symbol" w:hAnsi="Symbol"/>
          <w:sz w:val="19"/>
        </w:rPr>
        <w:t></w:t>
      </w:r>
      <w:r>
        <w:rPr>
          <w:spacing w:val="-12"/>
          <w:sz w:val="19"/>
        </w:rPr>
        <w:t> </w:t>
      </w:r>
      <w:r>
        <w:rPr>
          <w:rFonts w:ascii="Symbol" w:hAnsi="Symbol"/>
          <w:position w:val="-2"/>
          <w:sz w:val="30"/>
        </w:rPr>
        <w:t></w:t>
      </w:r>
      <w:r>
        <w:rPr>
          <w:spacing w:val="-47"/>
          <w:position w:val="-2"/>
          <w:sz w:val="30"/>
        </w:rPr>
        <w:t> </w:t>
      </w:r>
      <w:r>
        <w:rPr>
          <w:position w:val="-9"/>
          <w:sz w:val="11"/>
        </w:rPr>
        <w:t>3</w:t>
      </w:r>
      <w:r>
        <w:rPr>
          <w:i/>
          <w:position w:val="-5"/>
          <w:sz w:val="28"/>
        </w:rPr>
        <w:t>CAB </w:t>
      </w:r>
      <w:r>
        <w:rPr>
          <w:rFonts w:ascii="Symbol" w:hAnsi="Symbol"/>
          <w:sz w:val="19"/>
        </w:rPr>
        <w:t></w:t>
      </w:r>
      <w:r>
        <w:rPr>
          <w:spacing w:val="-12"/>
          <w:sz w:val="19"/>
        </w:rPr>
        <w:t> </w:t>
      </w:r>
      <w:r>
        <w:rPr>
          <w:rFonts w:ascii="Symbol" w:hAnsi="Symbol"/>
          <w:position w:val="-2"/>
          <w:sz w:val="30"/>
        </w:rPr>
        <w:t></w:t>
      </w:r>
      <w:r>
        <w:rPr>
          <w:spacing w:val="-44"/>
          <w:position w:val="-2"/>
          <w:sz w:val="30"/>
        </w:rPr>
        <w:t> </w:t>
      </w:r>
      <w:r>
        <w:rPr>
          <w:position w:val="-9"/>
          <w:sz w:val="11"/>
        </w:rPr>
        <w:t>4</w:t>
      </w:r>
      <w:r>
        <w:rPr>
          <w:rFonts w:ascii="Symbol" w:hAnsi="Symbol"/>
          <w:position w:val="-5"/>
          <w:sz w:val="30"/>
        </w:rPr>
        <w:t></w:t>
      </w:r>
      <w:r>
        <w:rPr>
          <w:i/>
          <w:position w:val="-5"/>
          <w:sz w:val="28"/>
        </w:rPr>
        <w:t>RES</w:t>
      </w:r>
      <w:r>
        <w:rPr>
          <w:i/>
          <w:spacing w:val="1"/>
          <w:position w:val="-5"/>
          <w:sz w:val="28"/>
        </w:rPr>
        <w:t> </w:t>
      </w:r>
      <w:r>
        <w:rPr>
          <w:rFonts w:ascii="Symbol" w:hAnsi="Symbol"/>
          <w:spacing w:val="-10"/>
          <w:sz w:val="19"/>
        </w:rPr>
        <w:t></w:t>
      </w:r>
      <w:r>
        <w:rPr>
          <w:sz w:val="19"/>
        </w:rPr>
        <w:tab/>
      </w:r>
      <w:r>
        <w:rPr>
          <w:spacing w:val="-2"/>
          <w:sz w:val="19"/>
        </w:rPr>
        <w:t>(3.11)</w:t>
      </w:r>
    </w:p>
    <w:p>
      <w:pPr>
        <w:spacing w:after="0"/>
        <w:jc w:val="left"/>
        <w:rPr>
          <w:sz w:val="19"/>
        </w:rPr>
        <w:sectPr>
          <w:type w:val="continuous"/>
          <w:pgSz w:w="11910" w:h="16840"/>
          <w:pgMar w:header="0" w:footer="979" w:top="1340" w:bottom="1220" w:left="280" w:right="0"/>
          <w:cols w:num="4" w:equalWidth="0">
            <w:col w:w="1283" w:space="40"/>
            <w:col w:w="2078" w:space="39"/>
            <w:col w:w="938" w:space="39"/>
            <w:col w:w="7213"/>
          </w:cols>
        </w:sectPr>
      </w:pPr>
    </w:p>
    <w:p>
      <w:pPr>
        <w:pStyle w:val="BodyText"/>
        <w:spacing w:before="41"/>
      </w:pPr>
    </w:p>
    <w:p>
      <w:pPr>
        <w:pStyle w:val="BodyText"/>
        <w:ind w:left="711"/>
      </w:pPr>
      <w:r>
        <w:rPr/>
        <mc:AlternateContent>
          <mc:Choice Requires="wps">
            <w:drawing>
              <wp:anchor distT="0" distB="0" distL="0" distR="0" allowOverlap="1" layoutInCell="1" locked="0" behindDoc="1" simplePos="0" relativeHeight="464153088">
                <wp:simplePos x="0" y="0"/>
                <wp:positionH relativeFrom="page">
                  <wp:posOffset>1285885</wp:posOffset>
                </wp:positionH>
                <wp:positionV relativeFrom="paragraph">
                  <wp:posOffset>-321841</wp:posOffset>
                </wp:positionV>
                <wp:extent cx="316230" cy="133350"/>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316230" cy="133350"/>
                        </a:xfrm>
                        <a:prstGeom prst="rect">
                          <a:avLst/>
                        </a:prstGeom>
                      </wps:spPr>
                      <wps:txbx>
                        <w:txbxContent>
                          <w:p>
                            <w:pPr>
                              <w:tabs>
                                <w:tab w:pos="401" w:val="left" w:leader="none"/>
                              </w:tabs>
                              <w:spacing w:line="209" w:lineRule="exact" w:before="0"/>
                              <w:ind w:left="0" w:right="0" w:firstLine="0"/>
                              <w:jc w:val="left"/>
                              <w:rPr>
                                <w:sz w:val="19"/>
                              </w:rPr>
                            </w:pPr>
                            <w:r>
                              <w:rPr>
                                <w:spacing w:val="-10"/>
                                <w:position w:val="1"/>
                                <w:sz w:val="11"/>
                              </w:rPr>
                              <w:t>0</w:t>
                            </w:r>
                            <w:r>
                              <w:rPr>
                                <w:position w:val="1"/>
                                <w:sz w:val="11"/>
                              </w:rPr>
                              <w:tab/>
                            </w:r>
                            <w:r>
                              <w:rPr>
                                <w:spacing w:val="-10"/>
                                <w:sz w:val="19"/>
                              </w:rPr>
                              <w:t>1</w:t>
                            </w:r>
                          </w:p>
                        </w:txbxContent>
                      </wps:txbx>
                      <wps:bodyPr wrap="square" lIns="0" tIns="0" rIns="0" bIns="0" rtlCol="0">
                        <a:noAutofit/>
                      </wps:bodyPr>
                    </wps:wsp>
                  </a:graphicData>
                </a:graphic>
              </wp:anchor>
            </w:drawing>
          </mc:Choice>
          <mc:Fallback>
            <w:pict>
              <v:shape style="position:absolute;margin-left:101.250862pt;margin-top:-25.341822pt;width:24.9pt;height:10.5pt;mso-position-horizontal-relative:page;mso-position-vertical-relative:paragraph;z-index:-39163392" type="#_x0000_t202" id="docshape21" filled="false" stroked="false">
                <v:textbox inset="0,0,0,0">
                  <w:txbxContent>
                    <w:p>
                      <w:pPr>
                        <w:tabs>
                          <w:tab w:pos="401" w:val="left" w:leader="none"/>
                        </w:tabs>
                        <w:spacing w:line="209" w:lineRule="exact" w:before="0"/>
                        <w:ind w:left="0" w:right="0" w:firstLine="0"/>
                        <w:jc w:val="left"/>
                        <w:rPr>
                          <w:sz w:val="19"/>
                        </w:rPr>
                      </w:pPr>
                      <w:r>
                        <w:rPr>
                          <w:spacing w:val="-10"/>
                          <w:position w:val="1"/>
                          <w:sz w:val="11"/>
                        </w:rPr>
                        <w:t>0</w:t>
                      </w:r>
                      <w:r>
                        <w:rPr>
                          <w:position w:val="1"/>
                          <w:sz w:val="11"/>
                        </w:rPr>
                        <w:tab/>
                      </w:r>
                      <w:r>
                        <w:rPr>
                          <w:spacing w:val="-10"/>
                          <w:sz w:val="19"/>
                        </w:rPr>
                        <w:t>1</w:t>
                      </w:r>
                    </w:p>
                  </w:txbxContent>
                </v:textbox>
                <w10:wrap type="none"/>
              </v:shape>
            </w:pict>
          </mc:Fallback>
        </mc:AlternateContent>
      </w:r>
      <w:r>
        <w:rPr>
          <w:spacing w:val="-2"/>
        </w:rPr>
        <w:t>Where:</w:t>
      </w:r>
    </w:p>
    <w:p>
      <w:pPr>
        <w:pStyle w:val="BodyText"/>
        <w:tabs>
          <w:tab w:pos="1431" w:val="left" w:leader="none"/>
          <w:tab w:pos="2151" w:val="left" w:leader="none"/>
        </w:tabs>
        <w:spacing w:before="275"/>
        <w:ind w:left="711"/>
      </w:pPr>
      <w:r>
        <w:rPr>
          <w:spacing w:val="-5"/>
          <w:position w:val="2"/>
        </w:rPr>
        <w:t>β</w:t>
      </w:r>
      <w:r>
        <w:rPr>
          <w:spacing w:val="-5"/>
          <w:sz w:val="16"/>
        </w:rPr>
        <w:t>0</w:t>
      </w:r>
      <w:r>
        <w:rPr>
          <w:sz w:val="16"/>
        </w:rPr>
        <w:tab/>
      </w:r>
      <w:r>
        <w:rPr>
          <w:spacing w:val="-10"/>
          <w:position w:val="2"/>
        </w:rPr>
        <w:t>=</w:t>
      </w:r>
      <w:r>
        <w:rPr>
          <w:position w:val="2"/>
        </w:rPr>
        <w:tab/>
        <w:t>Intercept</w:t>
      </w:r>
      <w:r>
        <w:rPr>
          <w:spacing w:val="-2"/>
          <w:position w:val="2"/>
        </w:rPr>
        <w:t> </w:t>
      </w:r>
      <w:r>
        <w:rPr>
          <w:position w:val="2"/>
        </w:rPr>
        <w:t>of</w:t>
      </w:r>
      <w:r>
        <w:rPr>
          <w:spacing w:val="-1"/>
          <w:position w:val="2"/>
        </w:rPr>
        <w:t> </w:t>
      </w:r>
      <w:r>
        <w:rPr>
          <w:position w:val="2"/>
        </w:rPr>
        <w:t>the</w:t>
      </w:r>
      <w:r>
        <w:rPr>
          <w:spacing w:val="-1"/>
          <w:position w:val="2"/>
        </w:rPr>
        <w:t> </w:t>
      </w:r>
      <w:r>
        <w:rPr>
          <w:spacing w:val="-2"/>
          <w:position w:val="2"/>
        </w:rPr>
        <w:t>equation</w:t>
      </w:r>
    </w:p>
    <w:p>
      <w:pPr>
        <w:pStyle w:val="BodyText"/>
        <w:spacing w:before="274"/>
        <w:ind w:left="1431"/>
      </w:pPr>
      <w:r>
        <w:rPr/>
        <w:t>By</w:t>
      </w:r>
      <w:r>
        <w:rPr>
          <w:spacing w:val="-5"/>
        </w:rPr>
        <w:t> </w:t>
      </w:r>
      <w:r>
        <w:rPr/>
        <w:t>log-linearising</w:t>
      </w:r>
      <w:r>
        <w:rPr>
          <w:spacing w:val="-3"/>
        </w:rPr>
        <w:t> </w:t>
      </w:r>
      <w:r>
        <w:rPr/>
        <w:t>the</w:t>
      </w:r>
      <w:r>
        <w:rPr>
          <w:spacing w:val="1"/>
        </w:rPr>
        <w:t> </w:t>
      </w:r>
      <w:r>
        <w:rPr/>
        <w:t>model, it</w:t>
      </w:r>
      <w:r>
        <w:rPr>
          <w:spacing w:val="1"/>
        </w:rPr>
        <w:t> </w:t>
      </w:r>
      <w:r>
        <w:rPr>
          <w:spacing w:val="-2"/>
        </w:rPr>
        <w:t>becomes</w:t>
      </w:r>
    </w:p>
    <w:p>
      <w:pPr>
        <w:pStyle w:val="BodyText"/>
      </w:pPr>
    </w:p>
    <w:p>
      <w:pPr>
        <w:spacing w:before="0"/>
        <w:ind w:left="711" w:right="0" w:firstLine="0"/>
        <w:jc w:val="left"/>
        <w:rPr>
          <w:rFonts w:ascii="Symbol" w:hAnsi="Symbol"/>
          <w:sz w:val="24"/>
        </w:rPr>
      </w:pPr>
      <w:r>
        <w:rPr>
          <w:i/>
          <w:position w:val="2"/>
          <w:sz w:val="24"/>
        </w:rPr>
        <w:t>Log</w:t>
      </w:r>
      <w:r>
        <w:rPr>
          <w:i/>
          <w:spacing w:val="-7"/>
          <w:position w:val="2"/>
          <w:sz w:val="24"/>
        </w:rPr>
        <w:t> </w:t>
      </w:r>
      <w:r>
        <w:rPr>
          <w:i/>
          <w:position w:val="2"/>
          <w:sz w:val="24"/>
        </w:rPr>
        <w:t>GDP</w:t>
      </w:r>
      <w:r>
        <w:rPr>
          <w:i/>
          <w:spacing w:val="-2"/>
          <w:position w:val="2"/>
          <w:sz w:val="24"/>
        </w:rPr>
        <w:t> </w:t>
      </w:r>
      <w:r>
        <w:rPr>
          <w:i/>
          <w:position w:val="2"/>
          <w:sz w:val="24"/>
        </w:rPr>
        <w:t>=</w:t>
      </w:r>
      <w:r>
        <w:rPr>
          <w:i/>
          <w:spacing w:val="-3"/>
          <w:position w:val="2"/>
          <w:sz w:val="24"/>
        </w:rPr>
        <w:t> </w:t>
      </w:r>
      <w:r>
        <w:rPr>
          <w:i/>
          <w:position w:val="2"/>
          <w:sz w:val="24"/>
        </w:rPr>
        <w:t>β</w:t>
      </w:r>
      <w:r>
        <w:rPr>
          <w:i/>
          <w:sz w:val="16"/>
        </w:rPr>
        <w:t>0</w:t>
      </w:r>
      <w:r>
        <w:rPr>
          <w:i/>
          <w:position w:val="2"/>
          <w:sz w:val="24"/>
        </w:rPr>
        <w:t>+β</w:t>
      </w:r>
      <w:r>
        <w:rPr>
          <w:i/>
          <w:sz w:val="16"/>
        </w:rPr>
        <w:t>1</w:t>
      </w:r>
      <w:r>
        <w:rPr>
          <w:i/>
          <w:position w:val="2"/>
          <w:sz w:val="24"/>
        </w:rPr>
        <w:t>LogδEXDEBT+β</w:t>
      </w:r>
      <w:r>
        <w:rPr>
          <w:i/>
          <w:sz w:val="16"/>
        </w:rPr>
        <w:t>2</w:t>
      </w:r>
      <w:r>
        <w:rPr>
          <w:i/>
          <w:position w:val="2"/>
          <w:sz w:val="24"/>
        </w:rPr>
        <w:t>LogDFI+β</w:t>
      </w:r>
      <w:r>
        <w:rPr>
          <w:i/>
          <w:sz w:val="16"/>
        </w:rPr>
        <w:t>3</w:t>
      </w:r>
      <w:r>
        <w:rPr>
          <w:i/>
          <w:position w:val="2"/>
          <w:sz w:val="24"/>
        </w:rPr>
        <w:t>LogCAB</w:t>
      </w:r>
      <w:r>
        <w:rPr>
          <w:i/>
          <w:spacing w:val="-19"/>
          <w:position w:val="2"/>
          <w:sz w:val="24"/>
        </w:rPr>
        <w:t> </w:t>
      </w:r>
      <w:r>
        <w:rPr>
          <w:i/>
          <w:position w:val="2"/>
          <w:sz w:val="24"/>
        </w:rPr>
        <w:t>+</w:t>
      </w:r>
      <w:r>
        <w:rPr>
          <w:i/>
          <w:spacing w:val="-4"/>
          <w:position w:val="2"/>
          <w:sz w:val="24"/>
        </w:rPr>
        <w:t> </w:t>
      </w:r>
      <w:r>
        <w:rPr>
          <w:i/>
          <w:position w:val="2"/>
          <w:sz w:val="24"/>
        </w:rPr>
        <w:t>β</w:t>
      </w:r>
      <w:r>
        <w:rPr>
          <w:i/>
          <w:sz w:val="16"/>
        </w:rPr>
        <w:t>4</w:t>
      </w:r>
      <w:r>
        <w:rPr>
          <w:i/>
          <w:spacing w:val="19"/>
          <w:sz w:val="16"/>
        </w:rPr>
        <w:t> </w:t>
      </w:r>
      <w:r>
        <w:rPr>
          <w:i/>
          <w:position w:val="2"/>
          <w:sz w:val="24"/>
        </w:rPr>
        <w:t>Log</w:t>
      </w:r>
      <w:r>
        <w:rPr>
          <w:i/>
          <w:spacing w:val="47"/>
          <w:position w:val="2"/>
          <w:sz w:val="24"/>
        </w:rPr>
        <w:t> </w:t>
      </w:r>
      <w:r>
        <w:rPr>
          <w:i/>
          <w:position w:val="2"/>
          <w:sz w:val="24"/>
        </w:rPr>
        <w:t>δRES+β</w:t>
      </w:r>
      <w:r>
        <w:rPr>
          <w:i/>
          <w:sz w:val="16"/>
        </w:rPr>
        <w:t>5</w:t>
      </w:r>
      <w:r>
        <w:rPr>
          <w:i/>
          <w:position w:val="2"/>
          <w:sz w:val="24"/>
        </w:rPr>
        <w:t>LogδNEXTAS+</w:t>
      </w:r>
      <w:r>
        <w:rPr>
          <w:i/>
          <w:spacing w:val="-21"/>
          <w:position w:val="2"/>
          <w:sz w:val="24"/>
        </w:rPr>
        <w:t> </w:t>
      </w:r>
      <w:r>
        <w:rPr>
          <w:rFonts w:ascii="Symbol" w:hAnsi="Symbol"/>
          <w:spacing w:val="-10"/>
          <w:sz w:val="24"/>
        </w:rPr>
        <w:t></w:t>
      </w:r>
    </w:p>
    <w:p>
      <w:pPr>
        <w:pStyle w:val="BodyText"/>
        <w:spacing w:before="9"/>
        <w:rPr>
          <w:rFonts w:ascii="Symbol" w:hAnsi="Symbol"/>
        </w:rPr>
      </w:pPr>
    </w:p>
    <w:p>
      <w:pPr>
        <w:spacing w:before="0"/>
        <w:ind w:left="711" w:right="0" w:firstLine="0"/>
        <w:jc w:val="left"/>
        <w:rPr>
          <w:sz w:val="24"/>
        </w:rPr>
      </w:pPr>
      <w:r>
        <w:rPr>
          <w:i/>
          <w:spacing w:val="-2"/>
          <w:sz w:val="16"/>
        </w:rPr>
        <w:t>…………………………………………………………</w:t>
      </w:r>
      <w:r>
        <w:rPr>
          <w:i/>
          <w:spacing w:val="33"/>
          <w:sz w:val="16"/>
        </w:rPr>
        <w:t> </w:t>
      </w:r>
      <w:r>
        <w:rPr>
          <w:spacing w:val="-2"/>
          <w:position w:val="2"/>
          <w:sz w:val="24"/>
        </w:rPr>
        <w:t>(3.12)</w:t>
      </w:r>
    </w:p>
    <w:p>
      <w:pPr>
        <w:pStyle w:val="BodyText"/>
        <w:spacing w:before="89"/>
        <w:rPr>
          <w:sz w:val="16"/>
        </w:rPr>
      </w:pPr>
    </w:p>
    <w:p>
      <w:pPr>
        <w:tabs>
          <w:tab w:pos="3592" w:val="left" w:leader="none"/>
        </w:tabs>
        <w:spacing w:before="0"/>
        <w:ind w:left="711" w:right="0" w:firstLine="0"/>
        <w:jc w:val="left"/>
        <w:rPr>
          <w:sz w:val="24"/>
        </w:rPr>
      </w:pPr>
      <w:r>
        <w:rPr>
          <w:position w:val="2"/>
          <w:sz w:val="24"/>
        </w:rPr>
        <w:t>Where:</w:t>
      </w:r>
      <w:r>
        <w:rPr>
          <w:spacing w:val="-6"/>
          <w:position w:val="2"/>
          <w:sz w:val="24"/>
        </w:rPr>
        <w:t> </w:t>
      </w:r>
      <w:r>
        <w:rPr>
          <w:position w:val="2"/>
          <w:sz w:val="24"/>
        </w:rPr>
        <w:t>β</w:t>
      </w:r>
      <w:r>
        <w:rPr>
          <w:sz w:val="16"/>
        </w:rPr>
        <w:t>1,</w:t>
      </w:r>
      <w:r>
        <w:rPr>
          <w:spacing w:val="-4"/>
          <w:sz w:val="16"/>
        </w:rPr>
        <w:t> </w:t>
      </w:r>
      <w:r>
        <w:rPr>
          <w:position w:val="2"/>
          <w:sz w:val="24"/>
        </w:rPr>
        <w:t>β</w:t>
      </w:r>
      <w:r>
        <w:rPr>
          <w:sz w:val="16"/>
        </w:rPr>
        <w:t>2</w:t>
      </w:r>
      <w:r>
        <w:rPr>
          <w:spacing w:val="-2"/>
          <w:sz w:val="16"/>
        </w:rPr>
        <w:t> </w:t>
      </w:r>
      <w:r>
        <w:rPr>
          <w:position w:val="2"/>
          <w:sz w:val="24"/>
        </w:rPr>
        <w:t>β</w:t>
      </w:r>
      <w:r>
        <w:rPr>
          <w:sz w:val="16"/>
        </w:rPr>
        <w:t>3,----------</w:t>
      </w:r>
      <w:r>
        <w:rPr>
          <w:spacing w:val="-5"/>
          <w:position w:val="2"/>
          <w:sz w:val="24"/>
        </w:rPr>
        <w:t>β</w:t>
      </w:r>
      <w:r>
        <w:rPr>
          <w:spacing w:val="-5"/>
          <w:sz w:val="16"/>
        </w:rPr>
        <w:t>5</w:t>
      </w:r>
      <w:r>
        <w:rPr>
          <w:sz w:val="16"/>
        </w:rPr>
        <w:tab/>
      </w:r>
      <w:r>
        <w:rPr>
          <w:position w:val="2"/>
          <w:sz w:val="24"/>
        </w:rPr>
        <w:t>=</w:t>
      </w:r>
      <w:r>
        <w:rPr>
          <w:spacing w:val="-2"/>
          <w:position w:val="2"/>
          <w:sz w:val="24"/>
        </w:rPr>
        <w:t> </w:t>
      </w:r>
      <w:r>
        <w:rPr>
          <w:position w:val="2"/>
          <w:sz w:val="24"/>
        </w:rPr>
        <w:t>Coefficients</w:t>
      </w:r>
      <w:r>
        <w:rPr>
          <w:spacing w:val="-1"/>
          <w:position w:val="2"/>
          <w:sz w:val="24"/>
        </w:rPr>
        <w:t> </w:t>
      </w:r>
      <w:r>
        <w:rPr>
          <w:position w:val="2"/>
          <w:sz w:val="24"/>
        </w:rPr>
        <w:t>of</w:t>
      </w:r>
      <w:r>
        <w:rPr>
          <w:spacing w:val="59"/>
          <w:position w:val="2"/>
          <w:sz w:val="24"/>
        </w:rPr>
        <w:t> </w:t>
      </w:r>
      <w:r>
        <w:rPr>
          <w:spacing w:val="-2"/>
          <w:position w:val="2"/>
          <w:sz w:val="24"/>
        </w:rPr>
        <w:t>Estimates.</w:t>
      </w:r>
    </w:p>
    <w:p>
      <w:pPr>
        <w:pStyle w:val="Heading6"/>
        <w:spacing w:before="275"/>
        <w:jc w:val="left"/>
      </w:pPr>
      <w:r>
        <w:rPr/>
        <w:t>Model</w:t>
      </w:r>
      <w:r>
        <w:rPr>
          <w:spacing w:val="-3"/>
        </w:rPr>
        <w:t> </w:t>
      </w:r>
      <w:r>
        <w:rPr>
          <w:spacing w:val="-10"/>
        </w:rPr>
        <w:t>3</w:t>
      </w:r>
    </w:p>
    <w:p>
      <w:pPr>
        <w:pStyle w:val="BodyText"/>
        <w:spacing w:line="480" w:lineRule="auto" w:before="276"/>
        <w:ind w:left="711" w:right="474"/>
      </w:pPr>
      <w:r>
        <w:rPr/>
        <w:t>This model examines the determinants of capital flight in Nigheria</w:t>
      </w:r>
      <w:r>
        <w:rPr>
          <w:spacing w:val="-2"/>
        </w:rPr>
        <w:t> </w:t>
      </w:r>
      <w:r>
        <w:rPr/>
        <w:t>between 1970 and 1986 which marks the Pre-SAP</w:t>
      </w:r>
      <w:r>
        <w:rPr>
          <w:spacing w:val="5"/>
        </w:rPr>
        <w:t> </w:t>
      </w:r>
      <w:r>
        <w:rPr/>
        <w:t>era.</w:t>
      </w:r>
      <w:r>
        <w:rPr>
          <w:spacing w:val="8"/>
        </w:rPr>
        <w:t> </w:t>
      </w:r>
      <w:r>
        <w:rPr/>
        <w:t>It</w:t>
      </w:r>
      <w:r>
        <w:rPr>
          <w:spacing w:val="5"/>
        </w:rPr>
        <w:t> </w:t>
      </w:r>
      <w:r>
        <w:rPr/>
        <w:t>also</w:t>
      </w:r>
      <w:r>
        <w:rPr>
          <w:spacing w:val="6"/>
        </w:rPr>
        <w:t> </w:t>
      </w:r>
      <w:r>
        <w:rPr/>
        <w:t>consists</w:t>
      </w:r>
      <w:r>
        <w:rPr>
          <w:spacing w:val="6"/>
        </w:rPr>
        <w:t> </w:t>
      </w:r>
      <w:r>
        <w:rPr/>
        <w:t>of</w:t>
      </w:r>
      <w:r>
        <w:rPr>
          <w:spacing w:val="4"/>
        </w:rPr>
        <w:t> </w:t>
      </w:r>
      <w:r>
        <w:rPr/>
        <w:t>two</w:t>
      </w:r>
      <w:r>
        <w:rPr>
          <w:spacing w:val="7"/>
        </w:rPr>
        <w:t> </w:t>
      </w:r>
      <w:r>
        <w:rPr/>
        <w:t>equations</w:t>
      </w:r>
      <w:r>
        <w:rPr>
          <w:spacing w:val="5"/>
        </w:rPr>
        <w:t> </w:t>
      </w:r>
      <w:r>
        <w:rPr/>
        <w:t>representing</w:t>
      </w:r>
      <w:r>
        <w:rPr>
          <w:spacing w:val="3"/>
        </w:rPr>
        <w:t> </w:t>
      </w:r>
      <w:r>
        <w:rPr/>
        <w:t>the</w:t>
      </w:r>
      <w:r>
        <w:rPr>
          <w:spacing w:val="5"/>
        </w:rPr>
        <w:t> </w:t>
      </w:r>
      <w:r>
        <w:rPr/>
        <w:t>two</w:t>
      </w:r>
      <w:r>
        <w:rPr>
          <w:spacing w:val="4"/>
        </w:rPr>
        <w:t> </w:t>
      </w:r>
      <w:r>
        <w:rPr/>
        <w:t>components</w:t>
      </w:r>
      <w:r>
        <w:rPr>
          <w:spacing w:val="6"/>
        </w:rPr>
        <w:t> </w:t>
      </w:r>
      <w:r>
        <w:rPr/>
        <w:t>of</w:t>
      </w:r>
      <w:r>
        <w:rPr>
          <w:spacing w:val="5"/>
        </w:rPr>
        <w:t> </w:t>
      </w:r>
      <w:r>
        <w:rPr/>
        <w:t>the</w:t>
      </w:r>
      <w:r>
        <w:rPr>
          <w:spacing w:val="4"/>
        </w:rPr>
        <w:t> </w:t>
      </w:r>
      <w:r>
        <w:rPr/>
        <w:t>residual</w:t>
      </w:r>
      <w:r>
        <w:rPr>
          <w:spacing w:val="6"/>
        </w:rPr>
        <w:t> </w:t>
      </w:r>
      <w:r>
        <w:rPr/>
        <w:t>approach</w:t>
      </w:r>
      <w:r>
        <w:rPr>
          <w:spacing w:val="5"/>
        </w:rPr>
        <w:t> </w:t>
      </w:r>
      <w:r>
        <w:rPr>
          <w:spacing w:val="-5"/>
        </w:rPr>
        <w:t>for</w:t>
      </w:r>
    </w:p>
    <w:p>
      <w:pPr>
        <w:spacing w:after="0" w:line="480" w:lineRule="auto"/>
        <w:sectPr>
          <w:type w:val="continuous"/>
          <w:pgSz w:w="11910" w:h="16840"/>
          <w:pgMar w:header="0" w:footer="979" w:top="1340" w:bottom="1220" w:left="280" w:right="0"/>
        </w:sectPr>
      </w:pPr>
    </w:p>
    <w:p>
      <w:pPr>
        <w:pStyle w:val="BodyText"/>
        <w:spacing w:line="480" w:lineRule="auto" w:before="60"/>
        <w:ind w:left="711" w:right="471"/>
      </w:pPr>
      <w:r>
        <w:rPr/>
        <w:t>estimating</w:t>
      </w:r>
      <w:r>
        <w:rPr>
          <w:spacing w:val="23"/>
        </w:rPr>
        <w:t> </w:t>
      </w:r>
      <w:r>
        <w:rPr/>
        <w:t>capital</w:t>
      </w:r>
      <w:r>
        <w:rPr>
          <w:spacing w:val="26"/>
        </w:rPr>
        <w:t> </w:t>
      </w:r>
      <w:r>
        <w:rPr/>
        <w:t>flight</w:t>
      </w:r>
      <w:r>
        <w:rPr>
          <w:spacing w:val="28"/>
        </w:rPr>
        <w:t> </w:t>
      </w:r>
      <w:r>
        <w:rPr/>
        <w:t>namely</w:t>
      </w:r>
      <w:r>
        <w:rPr>
          <w:spacing w:val="22"/>
        </w:rPr>
        <w:t> </w:t>
      </w:r>
      <w:r>
        <w:rPr/>
        <w:t>the</w:t>
      </w:r>
      <w:r>
        <w:rPr>
          <w:spacing w:val="25"/>
        </w:rPr>
        <w:t> </w:t>
      </w:r>
      <w:r>
        <w:rPr/>
        <w:t>World</w:t>
      </w:r>
      <w:r>
        <w:rPr>
          <w:spacing w:val="25"/>
        </w:rPr>
        <w:t> </w:t>
      </w:r>
      <w:r>
        <w:rPr/>
        <w:t>Bank</w:t>
      </w:r>
      <w:r>
        <w:rPr>
          <w:spacing w:val="27"/>
        </w:rPr>
        <w:t> </w:t>
      </w:r>
      <w:r>
        <w:rPr/>
        <w:t>and</w:t>
      </w:r>
      <w:r>
        <w:rPr>
          <w:spacing w:val="25"/>
        </w:rPr>
        <w:t> </w:t>
      </w:r>
      <w:r>
        <w:rPr/>
        <w:t>Erbe</w:t>
      </w:r>
      <w:r>
        <w:rPr>
          <w:spacing w:val="24"/>
        </w:rPr>
        <w:t> </w:t>
      </w:r>
      <w:r>
        <w:rPr/>
        <w:t>(1985)</w:t>
      </w:r>
      <w:r>
        <w:rPr>
          <w:spacing w:val="27"/>
        </w:rPr>
        <w:t> </w:t>
      </w:r>
      <w:r>
        <w:rPr/>
        <w:t>approach</w:t>
      </w:r>
      <w:r>
        <w:rPr>
          <w:spacing w:val="25"/>
        </w:rPr>
        <w:t> </w:t>
      </w:r>
      <w:r>
        <w:rPr/>
        <w:t>and</w:t>
      </w:r>
      <w:r>
        <w:rPr>
          <w:spacing w:val="25"/>
        </w:rPr>
        <w:t> </w:t>
      </w:r>
      <w:r>
        <w:rPr/>
        <w:t>the</w:t>
      </w:r>
      <w:r>
        <w:rPr>
          <w:spacing w:val="26"/>
        </w:rPr>
        <w:t> </w:t>
      </w:r>
      <w:r>
        <w:rPr/>
        <w:t>Morgan</w:t>
      </w:r>
      <w:r>
        <w:rPr>
          <w:spacing w:val="25"/>
        </w:rPr>
        <w:t> </w:t>
      </w:r>
      <w:r>
        <w:rPr/>
        <w:t>trust</w:t>
      </w:r>
      <w:r>
        <w:rPr>
          <w:spacing w:val="28"/>
        </w:rPr>
        <w:t> </w:t>
      </w:r>
      <w:r>
        <w:rPr/>
        <w:t>(1986). The two equations are specified as:</w:t>
      </w:r>
    </w:p>
    <w:p>
      <w:pPr>
        <w:tabs>
          <w:tab w:pos="9537" w:val="left" w:leader="dot"/>
        </w:tabs>
        <w:spacing w:line="278" w:lineRule="exact" w:before="0"/>
        <w:ind w:left="711" w:right="0" w:firstLine="0"/>
        <w:jc w:val="left"/>
        <w:rPr>
          <w:sz w:val="24"/>
        </w:rPr>
      </w:pPr>
      <w:r>
        <w:rPr>
          <w:i/>
          <w:position w:val="2"/>
          <w:sz w:val="24"/>
        </w:rPr>
        <w:t>KFW</w:t>
      </w:r>
      <w:r>
        <w:rPr>
          <w:i/>
          <w:sz w:val="16"/>
        </w:rPr>
        <w:t>PRESAP</w:t>
      </w:r>
      <w:r>
        <w:rPr>
          <w:i/>
          <w:spacing w:val="18"/>
          <w:sz w:val="16"/>
        </w:rPr>
        <w:t> </w:t>
      </w:r>
      <w:r>
        <w:rPr>
          <w:i/>
          <w:position w:val="2"/>
          <w:sz w:val="24"/>
        </w:rPr>
        <w:t>=f(DOP,</w:t>
      </w:r>
      <w:r>
        <w:rPr>
          <w:i/>
          <w:spacing w:val="-2"/>
          <w:position w:val="2"/>
          <w:sz w:val="24"/>
        </w:rPr>
        <w:t> </w:t>
      </w:r>
      <w:r>
        <w:rPr>
          <w:i/>
          <w:position w:val="2"/>
          <w:sz w:val="24"/>
        </w:rPr>
        <w:t>INF,</w:t>
      </w:r>
      <w:r>
        <w:rPr>
          <w:i/>
          <w:spacing w:val="-2"/>
          <w:position w:val="2"/>
          <w:sz w:val="24"/>
        </w:rPr>
        <w:t> </w:t>
      </w:r>
      <w:r>
        <w:rPr>
          <w:i/>
          <w:position w:val="2"/>
          <w:sz w:val="24"/>
        </w:rPr>
        <w:t>GCF,</w:t>
      </w:r>
      <w:r>
        <w:rPr>
          <w:i/>
          <w:spacing w:val="-2"/>
          <w:position w:val="2"/>
          <w:sz w:val="24"/>
        </w:rPr>
        <w:t> </w:t>
      </w:r>
      <w:r>
        <w:rPr>
          <w:i/>
          <w:position w:val="2"/>
          <w:sz w:val="24"/>
        </w:rPr>
        <w:t>δEXDEBT,</w:t>
      </w:r>
      <w:r>
        <w:rPr>
          <w:i/>
          <w:spacing w:val="-2"/>
          <w:position w:val="2"/>
          <w:sz w:val="24"/>
        </w:rPr>
        <w:t> </w:t>
      </w:r>
      <w:r>
        <w:rPr>
          <w:i/>
          <w:position w:val="2"/>
          <w:sz w:val="24"/>
        </w:rPr>
        <w:t>DR,</w:t>
      </w:r>
      <w:r>
        <w:rPr>
          <w:i/>
          <w:spacing w:val="-2"/>
          <w:position w:val="2"/>
          <w:sz w:val="24"/>
        </w:rPr>
        <w:t> </w:t>
      </w:r>
      <w:r>
        <w:rPr>
          <w:i/>
          <w:position w:val="2"/>
          <w:sz w:val="24"/>
        </w:rPr>
        <w:t>PRIVCR,</w:t>
      </w:r>
      <w:r>
        <w:rPr>
          <w:i/>
          <w:spacing w:val="-2"/>
          <w:position w:val="2"/>
          <w:sz w:val="24"/>
        </w:rPr>
        <w:t> </w:t>
      </w:r>
      <w:r>
        <w:rPr>
          <w:i/>
          <w:position w:val="2"/>
          <w:sz w:val="24"/>
        </w:rPr>
        <w:t>GOCE, ,</w:t>
      </w:r>
      <w:r>
        <w:rPr>
          <w:i/>
          <w:spacing w:val="-1"/>
          <w:position w:val="2"/>
          <w:sz w:val="24"/>
        </w:rPr>
        <w:t> </w:t>
      </w:r>
      <w:r>
        <w:rPr>
          <w:i/>
          <w:spacing w:val="-5"/>
          <w:position w:val="2"/>
          <w:sz w:val="24"/>
        </w:rPr>
        <w:t>µ</w:t>
      </w:r>
      <w:r>
        <w:rPr>
          <w:spacing w:val="-5"/>
          <w:position w:val="2"/>
          <w:sz w:val="24"/>
        </w:rPr>
        <w:t>)…</w:t>
      </w:r>
      <w:r>
        <w:rPr>
          <w:position w:val="2"/>
          <w:sz w:val="24"/>
        </w:rPr>
        <w:tab/>
      </w:r>
      <w:r>
        <w:rPr>
          <w:spacing w:val="-2"/>
          <w:position w:val="2"/>
          <w:sz w:val="24"/>
        </w:rPr>
        <w:t>(3.13)</w:t>
      </w:r>
    </w:p>
    <w:p>
      <w:pPr>
        <w:tabs>
          <w:tab w:pos="9451" w:val="left" w:leader="dot"/>
        </w:tabs>
        <w:spacing w:before="274"/>
        <w:ind w:left="711" w:right="0" w:firstLine="0"/>
        <w:jc w:val="left"/>
        <w:rPr>
          <w:sz w:val="24"/>
        </w:rPr>
      </w:pPr>
      <w:r>
        <w:rPr>
          <w:i/>
          <w:position w:val="2"/>
          <w:sz w:val="24"/>
        </w:rPr>
        <w:t>KFM</w:t>
      </w:r>
      <w:r>
        <w:rPr>
          <w:i/>
          <w:sz w:val="16"/>
        </w:rPr>
        <w:t>PRESAP</w:t>
      </w:r>
      <w:r>
        <w:rPr>
          <w:i/>
          <w:spacing w:val="18"/>
          <w:sz w:val="16"/>
        </w:rPr>
        <w:t> </w:t>
      </w:r>
      <w:r>
        <w:rPr>
          <w:i/>
          <w:position w:val="2"/>
          <w:sz w:val="24"/>
        </w:rPr>
        <w:t>=f(DOP,</w:t>
      </w:r>
      <w:r>
        <w:rPr>
          <w:i/>
          <w:spacing w:val="-2"/>
          <w:position w:val="2"/>
          <w:sz w:val="24"/>
        </w:rPr>
        <w:t> </w:t>
      </w:r>
      <w:r>
        <w:rPr>
          <w:i/>
          <w:position w:val="2"/>
          <w:sz w:val="24"/>
        </w:rPr>
        <w:t>INF,</w:t>
      </w:r>
      <w:r>
        <w:rPr>
          <w:i/>
          <w:spacing w:val="-2"/>
          <w:position w:val="2"/>
          <w:sz w:val="24"/>
        </w:rPr>
        <w:t> </w:t>
      </w:r>
      <w:r>
        <w:rPr>
          <w:i/>
          <w:position w:val="2"/>
          <w:sz w:val="24"/>
        </w:rPr>
        <w:t>GCF,</w:t>
      </w:r>
      <w:r>
        <w:rPr>
          <w:i/>
          <w:spacing w:val="-2"/>
          <w:position w:val="2"/>
          <w:sz w:val="24"/>
        </w:rPr>
        <w:t> </w:t>
      </w:r>
      <w:r>
        <w:rPr>
          <w:i/>
          <w:position w:val="2"/>
          <w:sz w:val="24"/>
        </w:rPr>
        <w:t>δEXDEBT,</w:t>
      </w:r>
      <w:r>
        <w:rPr>
          <w:i/>
          <w:spacing w:val="-1"/>
          <w:position w:val="2"/>
          <w:sz w:val="24"/>
        </w:rPr>
        <w:t> </w:t>
      </w:r>
      <w:r>
        <w:rPr>
          <w:i/>
          <w:position w:val="2"/>
          <w:sz w:val="24"/>
        </w:rPr>
        <w:t>DR,</w:t>
      </w:r>
      <w:r>
        <w:rPr>
          <w:i/>
          <w:spacing w:val="-2"/>
          <w:position w:val="2"/>
          <w:sz w:val="24"/>
        </w:rPr>
        <w:t> </w:t>
      </w:r>
      <w:r>
        <w:rPr>
          <w:i/>
          <w:position w:val="2"/>
          <w:sz w:val="24"/>
        </w:rPr>
        <w:t>PRIVCR,</w:t>
      </w:r>
      <w:r>
        <w:rPr>
          <w:i/>
          <w:spacing w:val="-2"/>
          <w:position w:val="2"/>
          <w:sz w:val="24"/>
        </w:rPr>
        <w:t> </w:t>
      </w:r>
      <w:r>
        <w:rPr>
          <w:i/>
          <w:position w:val="2"/>
          <w:sz w:val="24"/>
        </w:rPr>
        <w:t>GOCE, δNEXTAX,</w:t>
      </w:r>
      <w:r>
        <w:rPr>
          <w:i/>
          <w:spacing w:val="-1"/>
          <w:position w:val="2"/>
          <w:sz w:val="24"/>
        </w:rPr>
        <w:t> </w:t>
      </w:r>
      <w:r>
        <w:rPr>
          <w:i/>
          <w:spacing w:val="-5"/>
          <w:position w:val="2"/>
          <w:sz w:val="24"/>
        </w:rPr>
        <w:t>µ</w:t>
      </w:r>
      <w:r>
        <w:rPr>
          <w:spacing w:val="-5"/>
          <w:position w:val="2"/>
          <w:sz w:val="24"/>
        </w:rPr>
        <w:t>)…</w:t>
      </w:r>
      <w:r>
        <w:rPr>
          <w:position w:val="2"/>
          <w:sz w:val="24"/>
        </w:rPr>
        <w:tab/>
      </w:r>
      <w:r>
        <w:rPr>
          <w:spacing w:val="-2"/>
          <w:position w:val="2"/>
          <w:sz w:val="24"/>
        </w:rPr>
        <w:t>(3.14)</w:t>
      </w:r>
    </w:p>
    <w:p>
      <w:pPr>
        <w:pStyle w:val="BodyText"/>
      </w:pPr>
    </w:p>
    <w:p>
      <w:pPr>
        <w:pStyle w:val="BodyText"/>
        <w:ind w:left="711"/>
      </w:pPr>
      <w:r>
        <w:rPr>
          <w:spacing w:val="-2"/>
        </w:rPr>
        <w:t>Where:</w:t>
      </w:r>
    </w:p>
    <w:p>
      <w:pPr>
        <w:pStyle w:val="BodyText"/>
        <w:spacing w:before="273"/>
        <w:ind w:left="711"/>
      </w:pPr>
      <w:r>
        <w:rPr>
          <w:i/>
          <w:position w:val="2"/>
        </w:rPr>
        <w:t>KFW</w:t>
      </w:r>
      <w:r>
        <w:rPr>
          <w:i/>
          <w:sz w:val="16"/>
        </w:rPr>
        <w:t>PRESAP</w:t>
      </w:r>
      <w:r>
        <w:rPr>
          <w:i/>
          <w:spacing w:val="19"/>
          <w:sz w:val="16"/>
        </w:rPr>
        <w:t> </w:t>
      </w:r>
      <w:r>
        <w:rPr>
          <w:i/>
          <w:position w:val="2"/>
        </w:rPr>
        <w:t>=</w:t>
      </w:r>
      <w:r>
        <w:rPr>
          <w:i/>
          <w:spacing w:val="-3"/>
          <w:position w:val="2"/>
        </w:rPr>
        <w:t> </w:t>
      </w:r>
      <w:r>
        <w:rPr>
          <w:position w:val="2"/>
        </w:rPr>
        <w:t>World Bank</w:t>
      </w:r>
      <w:r>
        <w:rPr>
          <w:spacing w:val="-1"/>
          <w:position w:val="2"/>
        </w:rPr>
        <w:t> </w:t>
      </w:r>
      <w:r>
        <w:rPr>
          <w:position w:val="2"/>
        </w:rPr>
        <w:t>and</w:t>
      </w:r>
      <w:r>
        <w:rPr>
          <w:spacing w:val="-1"/>
          <w:position w:val="2"/>
        </w:rPr>
        <w:t> </w:t>
      </w:r>
      <w:r>
        <w:rPr>
          <w:position w:val="2"/>
        </w:rPr>
        <w:t>Erbe</w:t>
      </w:r>
      <w:r>
        <w:rPr>
          <w:spacing w:val="-1"/>
          <w:position w:val="2"/>
        </w:rPr>
        <w:t> </w:t>
      </w:r>
      <w:r>
        <w:rPr>
          <w:position w:val="2"/>
        </w:rPr>
        <w:t>(1985)</w:t>
      </w:r>
      <w:r>
        <w:rPr>
          <w:spacing w:val="-2"/>
          <w:position w:val="2"/>
        </w:rPr>
        <w:t> </w:t>
      </w:r>
      <w:r>
        <w:rPr>
          <w:position w:val="2"/>
        </w:rPr>
        <w:t>capital</w:t>
      </w:r>
      <w:r>
        <w:rPr>
          <w:spacing w:val="-1"/>
          <w:position w:val="2"/>
        </w:rPr>
        <w:t> </w:t>
      </w:r>
      <w:r>
        <w:rPr>
          <w:position w:val="2"/>
        </w:rPr>
        <w:t>flight estimate</w:t>
      </w:r>
      <w:r>
        <w:rPr>
          <w:spacing w:val="-1"/>
          <w:position w:val="2"/>
        </w:rPr>
        <w:t> </w:t>
      </w:r>
      <w:r>
        <w:rPr>
          <w:position w:val="2"/>
        </w:rPr>
        <w:t>in</w:t>
      </w:r>
      <w:r>
        <w:rPr>
          <w:spacing w:val="-1"/>
          <w:position w:val="2"/>
        </w:rPr>
        <w:t> </w:t>
      </w:r>
      <w:r>
        <w:rPr>
          <w:position w:val="2"/>
        </w:rPr>
        <w:t>the</w:t>
      </w:r>
      <w:r>
        <w:rPr>
          <w:spacing w:val="-1"/>
          <w:position w:val="2"/>
        </w:rPr>
        <w:t> </w:t>
      </w:r>
      <w:r>
        <w:rPr>
          <w:position w:val="2"/>
        </w:rPr>
        <w:t>Pre</w:t>
      </w:r>
      <w:r>
        <w:rPr>
          <w:spacing w:val="-1"/>
          <w:position w:val="2"/>
        </w:rPr>
        <w:t> </w:t>
      </w:r>
      <w:r>
        <w:rPr>
          <w:position w:val="2"/>
        </w:rPr>
        <w:t>SAP </w:t>
      </w:r>
      <w:r>
        <w:rPr>
          <w:spacing w:val="-5"/>
          <w:position w:val="2"/>
        </w:rPr>
        <w:t>era</w:t>
      </w:r>
    </w:p>
    <w:p>
      <w:pPr>
        <w:pStyle w:val="BodyText"/>
        <w:spacing w:line="480" w:lineRule="auto" w:before="273"/>
        <w:ind w:left="711" w:right="3485"/>
      </w:pPr>
      <w:r>
        <w:rPr>
          <w:i/>
          <w:position w:val="2"/>
        </w:rPr>
        <w:t>KFM</w:t>
      </w:r>
      <w:r>
        <w:rPr>
          <w:i/>
          <w:sz w:val="16"/>
        </w:rPr>
        <w:t>PRESAP</w:t>
      </w:r>
      <w:r>
        <w:rPr>
          <w:i/>
          <w:spacing w:val="17"/>
          <w:sz w:val="16"/>
        </w:rPr>
        <w:t> </w:t>
      </w:r>
      <w:r>
        <w:rPr>
          <w:i/>
          <w:position w:val="2"/>
        </w:rPr>
        <w:t>=</w:t>
      </w:r>
      <w:r>
        <w:rPr>
          <w:i/>
          <w:spacing w:val="-5"/>
          <w:position w:val="2"/>
        </w:rPr>
        <w:t> </w:t>
      </w:r>
      <w:r>
        <w:rPr>
          <w:position w:val="2"/>
        </w:rPr>
        <w:t>Morgan</w:t>
      </w:r>
      <w:r>
        <w:rPr>
          <w:spacing w:val="-3"/>
          <w:position w:val="2"/>
        </w:rPr>
        <w:t> </w:t>
      </w:r>
      <w:r>
        <w:rPr>
          <w:position w:val="2"/>
        </w:rPr>
        <w:t>trust</w:t>
      </w:r>
      <w:r>
        <w:rPr>
          <w:spacing w:val="-3"/>
          <w:position w:val="2"/>
        </w:rPr>
        <w:t> </w:t>
      </w:r>
      <w:r>
        <w:rPr>
          <w:position w:val="2"/>
        </w:rPr>
        <w:t>(1986)</w:t>
      </w:r>
      <w:r>
        <w:rPr>
          <w:spacing w:val="-3"/>
          <w:position w:val="2"/>
        </w:rPr>
        <w:t> </w:t>
      </w:r>
      <w:r>
        <w:rPr>
          <w:position w:val="2"/>
        </w:rPr>
        <w:t>capital</w:t>
      </w:r>
      <w:r>
        <w:rPr>
          <w:spacing w:val="-3"/>
          <w:position w:val="2"/>
        </w:rPr>
        <w:t> </w:t>
      </w:r>
      <w:r>
        <w:rPr>
          <w:position w:val="2"/>
        </w:rPr>
        <w:t>flight</w:t>
      </w:r>
      <w:r>
        <w:rPr>
          <w:spacing w:val="-3"/>
          <w:position w:val="2"/>
        </w:rPr>
        <w:t> </w:t>
      </w:r>
      <w:r>
        <w:rPr>
          <w:position w:val="2"/>
        </w:rPr>
        <w:t>estimate</w:t>
      </w:r>
      <w:r>
        <w:rPr>
          <w:spacing w:val="-3"/>
          <w:position w:val="2"/>
        </w:rPr>
        <w:t> </w:t>
      </w:r>
      <w:r>
        <w:rPr>
          <w:position w:val="2"/>
        </w:rPr>
        <w:t>in</w:t>
      </w:r>
      <w:r>
        <w:rPr>
          <w:spacing w:val="-3"/>
          <w:position w:val="2"/>
        </w:rPr>
        <w:t> </w:t>
      </w:r>
      <w:r>
        <w:rPr>
          <w:position w:val="2"/>
        </w:rPr>
        <w:t>the</w:t>
      </w:r>
      <w:r>
        <w:rPr>
          <w:spacing w:val="-4"/>
          <w:position w:val="2"/>
        </w:rPr>
        <w:t> </w:t>
      </w:r>
      <w:r>
        <w:rPr>
          <w:position w:val="2"/>
        </w:rPr>
        <w:t>Pre</w:t>
      </w:r>
      <w:r>
        <w:rPr>
          <w:spacing w:val="-5"/>
          <w:position w:val="2"/>
        </w:rPr>
        <w:t> </w:t>
      </w:r>
      <w:r>
        <w:rPr>
          <w:position w:val="2"/>
        </w:rPr>
        <w:t>SAP</w:t>
      </w:r>
      <w:r>
        <w:rPr>
          <w:spacing w:val="-3"/>
          <w:position w:val="2"/>
        </w:rPr>
        <w:t> </w:t>
      </w:r>
      <w:r>
        <w:rPr>
          <w:position w:val="2"/>
        </w:rPr>
        <w:t>era </w:t>
      </w:r>
      <w:r>
        <w:rPr/>
        <w:t>Other variables are as difined in equation 3.1 and 3.2</w:t>
      </w:r>
    </w:p>
    <w:p>
      <w:pPr>
        <w:pStyle w:val="BodyText"/>
        <w:spacing w:line="275" w:lineRule="exact"/>
        <w:ind w:left="711"/>
      </w:pPr>
      <w:r>
        <w:rPr/>
        <w:t>Equation</w:t>
      </w:r>
      <w:r>
        <w:rPr>
          <w:spacing w:val="-2"/>
        </w:rPr>
        <w:t> </w:t>
      </w:r>
      <w:r>
        <w:rPr/>
        <w:t>3.13 and 3.14 can explicitly</w:t>
      </w:r>
      <w:r>
        <w:rPr>
          <w:spacing w:val="-8"/>
        </w:rPr>
        <w:t> </w:t>
      </w:r>
      <w:r>
        <w:rPr/>
        <w:t>be</w:t>
      </w:r>
      <w:r>
        <w:rPr>
          <w:spacing w:val="-1"/>
        </w:rPr>
        <w:t> </w:t>
      </w:r>
      <w:r>
        <w:rPr/>
        <w:t>stated </w:t>
      </w:r>
      <w:r>
        <w:rPr>
          <w:spacing w:val="-5"/>
        </w:rPr>
        <w:t>as:</w:t>
      </w:r>
    </w:p>
    <w:p>
      <w:pPr>
        <w:pStyle w:val="BodyText"/>
        <w:spacing w:before="1"/>
      </w:pPr>
    </w:p>
    <w:p>
      <w:pPr>
        <w:pStyle w:val="ListParagraph"/>
        <w:numPr>
          <w:ilvl w:val="0"/>
          <w:numId w:val="20"/>
        </w:numPr>
        <w:tabs>
          <w:tab w:pos="974" w:val="left" w:leader="none"/>
        </w:tabs>
        <w:spacing w:line="240" w:lineRule="auto" w:before="1" w:after="0"/>
        <w:ind w:left="974" w:right="0" w:hanging="263"/>
        <w:jc w:val="left"/>
        <w:rPr>
          <w:sz w:val="24"/>
        </w:rPr>
      </w:pPr>
      <w:r>
        <w:rPr>
          <w:sz w:val="24"/>
        </w:rPr>
        <w:t>World</w:t>
      </w:r>
      <w:r>
        <w:rPr>
          <w:spacing w:val="-3"/>
          <w:sz w:val="24"/>
        </w:rPr>
        <w:t> </w:t>
      </w:r>
      <w:r>
        <w:rPr>
          <w:sz w:val="24"/>
        </w:rPr>
        <w:t>Bank</w:t>
      </w:r>
      <w:r>
        <w:rPr>
          <w:spacing w:val="-1"/>
          <w:sz w:val="24"/>
        </w:rPr>
        <w:t> </w:t>
      </w:r>
      <w:r>
        <w:rPr>
          <w:sz w:val="24"/>
        </w:rPr>
        <w:t>and</w:t>
      </w:r>
      <w:r>
        <w:rPr>
          <w:spacing w:val="-1"/>
          <w:sz w:val="24"/>
        </w:rPr>
        <w:t> </w:t>
      </w:r>
      <w:r>
        <w:rPr>
          <w:sz w:val="24"/>
        </w:rPr>
        <w:t>Erbe</w:t>
      </w:r>
      <w:r>
        <w:rPr>
          <w:spacing w:val="-1"/>
          <w:sz w:val="24"/>
        </w:rPr>
        <w:t> </w:t>
      </w:r>
      <w:r>
        <w:rPr>
          <w:sz w:val="24"/>
        </w:rPr>
        <w:t>(1985)</w:t>
      </w:r>
      <w:r>
        <w:rPr>
          <w:spacing w:val="-2"/>
          <w:sz w:val="24"/>
        </w:rPr>
        <w:t> </w:t>
      </w:r>
      <w:r>
        <w:rPr>
          <w:sz w:val="24"/>
        </w:rPr>
        <w:t>capital</w:t>
      </w:r>
      <w:r>
        <w:rPr>
          <w:spacing w:val="-1"/>
          <w:sz w:val="24"/>
        </w:rPr>
        <w:t> </w:t>
      </w:r>
      <w:r>
        <w:rPr>
          <w:sz w:val="24"/>
        </w:rPr>
        <w:t>flight </w:t>
      </w:r>
      <w:r>
        <w:rPr>
          <w:spacing w:val="-2"/>
          <w:sz w:val="24"/>
        </w:rPr>
        <w:t>estimate</w:t>
      </w:r>
    </w:p>
    <w:p>
      <w:pPr>
        <w:pStyle w:val="BodyText"/>
        <w:spacing w:before="43"/>
      </w:pPr>
    </w:p>
    <w:p>
      <w:pPr>
        <w:spacing w:before="0"/>
        <w:ind w:left="711" w:right="0" w:firstLine="0"/>
        <w:jc w:val="left"/>
        <w:rPr>
          <w:i/>
          <w:sz w:val="24"/>
        </w:rPr>
      </w:pPr>
      <w:r>
        <w:rPr>
          <w:i/>
          <w:position w:val="2"/>
          <w:sz w:val="24"/>
        </w:rPr>
        <w:t>KFW</w:t>
      </w:r>
      <w:r>
        <w:rPr>
          <w:i/>
          <w:sz w:val="16"/>
        </w:rPr>
        <w:t>PRESAP</w:t>
      </w:r>
      <w:r>
        <w:rPr>
          <w:i/>
          <w:spacing w:val="34"/>
          <w:sz w:val="16"/>
        </w:rPr>
        <w:t> </w:t>
      </w:r>
      <w:r>
        <w:rPr>
          <w:i/>
          <w:position w:val="2"/>
          <w:sz w:val="24"/>
        </w:rPr>
        <w:t>=</w:t>
      </w:r>
      <w:r>
        <w:rPr>
          <w:i/>
          <w:spacing w:val="-23"/>
          <w:position w:val="2"/>
          <w:sz w:val="24"/>
        </w:rPr>
        <w:t> </w:t>
      </w:r>
      <w:r>
        <w:rPr>
          <w:i/>
          <w:spacing w:val="-2"/>
          <w:position w:val="2"/>
          <w:sz w:val="24"/>
        </w:rPr>
        <w:t>∞</w:t>
      </w:r>
      <w:r>
        <w:rPr>
          <w:i/>
          <w:spacing w:val="-2"/>
          <w:sz w:val="16"/>
        </w:rPr>
        <w:t>0</w:t>
      </w:r>
      <w:r>
        <w:rPr>
          <w:i/>
          <w:spacing w:val="-2"/>
          <w:position w:val="2"/>
          <w:sz w:val="24"/>
        </w:rPr>
        <w:t>+∞</w:t>
      </w:r>
      <w:r>
        <w:rPr>
          <w:i/>
          <w:spacing w:val="-2"/>
          <w:sz w:val="16"/>
        </w:rPr>
        <w:t>1</w:t>
      </w:r>
      <w:r>
        <w:rPr>
          <w:i/>
          <w:spacing w:val="-2"/>
          <w:position w:val="2"/>
          <w:sz w:val="24"/>
        </w:rPr>
        <w:t>DOP+∞</w:t>
      </w:r>
      <w:r>
        <w:rPr>
          <w:i/>
          <w:spacing w:val="-2"/>
          <w:sz w:val="16"/>
        </w:rPr>
        <w:t>2</w:t>
      </w:r>
      <w:r>
        <w:rPr>
          <w:i/>
          <w:spacing w:val="-2"/>
          <w:position w:val="2"/>
          <w:sz w:val="24"/>
        </w:rPr>
        <w:t>INF+∞</w:t>
      </w:r>
      <w:r>
        <w:rPr>
          <w:i/>
          <w:spacing w:val="-2"/>
          <w:sz w:val="16"/>
        </w:rPr>
        <w:t>3</w:t>
      </w:r>
      <w:r>
        <w:rPr>
          <w:i/>
          <w:spacing w:val="-2"/>
          <w:position w:val="2"/>
          <w:sz w:val="24"/>
        </w:rPr>
        <w:t>GCF+∞</w:t>
      </w:r>
      <w:r>
        <w:rPr>
          <w:i/>
          <w:spacing w:val="-2"/>
          <w:sz w:val="16"/>
        </w:rPr>
        <w:t>4</w:t>
      </w:r>
      <w:r>
        <w:rPr>
          <w:i/>
          <w:spacing w:val="-2"/>
          <w:position w:val="2"/>
          <w:sz w:val="24"/>
        </w:rPr>
        <w:t>δEXDEBT</w:t>
      </w:r>
      <w:r>
        <w:rPr>
          <w:i/>
          <w:spacing w:val="-2"/>
          <w:sz w:val="16"/>
        </w:rPr>
        <w:t>+</w:t>
      </w:r>
      <w:r>
        <w:rPr>
          <w:i/>
          <w:spacing w:val="-2"/>
          <w:position w:val="2"/>
          <w:sz w:val="24"/>
        </w:rPr>
        <w:t>∞</w:t>
      </w:r>
      <w:r>
        <w:rPr>
          <w:i/>
          <w:spacing w:val="-2"/>
          <w:sz w:val="16"/>
        </w:rPr>
        <w:t>5</w:t>
      </w:r>
      <w:r>
        <w:rPr>
          <w:i/>
          <w:spacing w:val="-2"/>
          <w:position w:val="2"/>
          <w:sz w:val="24"/>
        </w:rPr>
        <w:t>DR</w:t>
      </w:r>
    </w:p>
    <w:p>
      <w:pPr>
        <w:tabs>
          <w:tab w:pos="9821" w:val="left" w:leader="dot"/>
        </w:tabs>
        <w:spacing w:before="273"/>
        <w:ind w:left="711" w:right="0" w:firstLine="0"/>
        <w:jc w:val="left"/>
        <w:rPr>
          <w:sz w:val="24"/>
        </w:rPr>
      </w:pPr>
      <w:r>
        <w:rPr>
          <w:i/>
          <w:spacing w:val="-2"/>
          <w:position w:val="2"/>
          <w:sz w:val="24"/>
        </w:rPr>
        <w:t>+∞</w:t>
      </w:r>
      <w:r>
        <w:rPr>
          <w:i/>
          <w:spacing w:val="-2"/>
          <w:sz w:val="16"/>
        </w:rPr>
        <w:t>6</w:t>
      </w:r>
      <w:r>
        <w:rPr>
          <w:i/>
          <w:spacing w:val="-2"/>
          <w:position w:val="2"/>
          <w:sz w:val="24"/>
        </w:rPr>
        <w:t>PRIVCR+∞</w:t>
      </w:r>
      <w:r>
        <w:rPr>
          <w:i/>
          <w:spacing w:val="-2"/>
          <w:sz w:val="16"/>
        </w:rPr>
        <w:t>7</w:t>
      </w:r>
      <w:r>
        <w:rPr>
          <w:i/>
          <w:spacing w:val="-2"/>
          <w:position w:val="2"/>
          <w:sz w:val="24"/>
        </w:rPr>
        <w:t>USIRD+∞</w:t>
      </w:r>
      <w:r>
        <w:rPr>
          <w:i/>
          <w:spacing w:val="-2"/>
          <w:sz w:val="16"/>
        </w:rPr>
        <w:t>8</w:t>
      </w:r>
      <w:r>
        <w:rPr>
          <w:i/>
          <w:spacing w:val="-2"/>
          <w:position w:val="2"/>
          <w:sz w:val="24"/>
        </w:rPr>
        <w:t>GOCE+µ</w:t>
      </w:r>
      <w:r>
        <w:rPr>
          <w:position w:val="2"/>
          <w:sz w:val="24"/>
        </w:rPr>
        <w:tab/>
      </w:r>
      <w:r>
        <w:rPr>
          <w:i/>
          <w:spacing w:val="-2"/>
          <w:position w:val="2"/>
          <w:sz w:val="24"/>
        </w:rPr>
        <w:t>(</w:t>
      </w:r>
      <w:r>
        <w:rPr>
          <w:spacing w:val="-2"/>
          <w:position w:val="2"/>
          <w:sz w:val="24"/>
        </w:rPr>
        <w:t>3.15)</w:t>
      </w:r>
    </w:p>
    <w:p>
      <w:pPr>
        <w:tabs>
          <w:tab w:pos="2151" w:val="left" w:leader="none"/>
          <w:tab w:pos="6839" w:val="left" w:leader="none"/>
        </w:tabs>
        <w:spacing w:line="477" w:lineRule="auto" w:before="274"/>
        <w:ind w:left="771" w:right="1983" w:hanging="60"/>
        <w:jc w:val="left"/>
        <w:rPr>
          <w:sz w:val="24"/>
        </w:rPr>
      </w:pPr>
      <w:r>
        <w:rPr>
          <w:position w:val="2"/>
          <w:sz w:val="24"/>
        </w:rPr>
        <w:t>Where </w:t>
      </w:r>
      <w:r>
        <w:rPr>
          <w:i/>
          <w:position w:val="2"/>
          <w:sz w:val="24"/>
        </w:rPr>
        <w:t>∞</w:t>
      </w:r>
      <w:r>
        <w:rPr>
          <w:i/>
          <w:sz w:val="16"/>
        </w:rPr>
        <w:t>0</w:t>
        <w:tab/>
      </w:r>
      <w:r>
        <w:rPr>
          <w:position w:val="2"/>
          <w:sz w:val="24"/>
        </w:rPr>
        <w:t>=</w:t>
      </w:r>
      <w:r>
        <w:rPr>
          <w:spacing w:val="80"/>
          <w:position w:val="2"/>
          <w:sz w:val="24"/>
        </w:rPr>
        <w:t> </w:t>
      </w:r>
      <w:r>
        <w:rPr>
          <w:position w:val="2"/>
          <w:sz w:val="24"/>
        </w:rPr>
        <w:t>intercept of the equation </w:t>
      </w:r>
      <w:r>
        <w:rPr>
          <w:i/>
          <w:position w:val="2"/>
          <w:sz w:val="24"/>
        </w:rPr>
        <w:t>∞</w:t>
      </w:r>
      <w:r>
        <w:rPr>
          <w:i/>
          <w:sz w:val="16"/>
        </w:rPr>
        <w:t>0</w:t>
      </w:r>
      <w:r>
        <w:rPr>
          <w:sz w:val="16"/>
        </w:rPr>
        <w:t>1 </w:t>
      </w:r>
      <w:r>
        <w:rPr>
          <w:i/>
          <w:position w:val="2"/>
          <w:sz w:val="24"/>
        </w:rPr>
        <w:t>∞</w:t>
      </w:r>
      <w:r>
        <w:rPr>
          <w:sz w:val="16"/>
        </w:rPr>
        <w:t>2, </w:t>
      </w:r>
      <w:r>
        <w:rPr>
          <w:i/>
          <w:position w:val="2"/>
          <w:sz w:val="24"/>
        </w:rPr>
        <w:t>∞</w:t>
      </w:r>
      <w:r>
        <w:rPr>
          <w:sz w:val="16"/>
        </w:rPr>
        <w:t>3, --------</w:t>
      </w:r>
      <w:r>
        <w:rPr>
          <w:spacing w:val="40"/>
          <w:sz w:val="16"/>
        </w:rPr>
        <w:t> </w:t>
      </w:r>
      <w:r>
        <w:rPr>
          <w:i/>
          <w:position w:val="2"/>
          <w:sz w:val="24"/>
        </w:rPr>
        <w:t>∞</w:t>
        <w:tab/>
      </w:r>
      <w:r>
        <w:rPr>
          <w:position w:val="2"/>
          <w:sz w:val="24"/>
        </w:rPr>
        <w:t>=</w:t>
      </w:r>
      <w:r>
        <w:rPr>
          <w:spacing w:val="80"/>
          <w:position w:val="2"/>
          <w:sz w:val="24"/>
        </w:rPr>
        <w:t> </w:t>
      </w:r>
      <w:r>
        <w:rPr>
          <w:position w:val="2"/>
          <w:sz w:val="24"/>
        </w:rPr>
        <w:t>Coefficients</w:t>
      </w:r>
      <w:r>
        <w:rPr>
          <w:spacing w:val="-6"/>
          <w:position w:val="2"/>
          <w:sz w:val="24"/>
        </w:rPr>
        <w:t> </w:t>
      </w:r>
      <w:r>
        <w:rPr>
          <w:position w:val="2"/>
          <w:sz w:val="24"/>
        </w:rPr>
        <w:t>of</w:t>
      </w:r>
      <w:r>
        <w:rPr>
          <w:spacing w:val="40"/>
          <w:position w:val="2"/>
          <w:sz w:val="24"/>
        </w:rPr>
        <w:t> </w:t>
      </w:r>
      <w:r>
        <w:rPr>
          <w:position w:val="2"/>
          <w:sz w:val="24"/>
        </w:rPr>
        <w:t>Estimates </w:t>
      </w:r>
      <w:r>
        <w:rPr>
          <w:sz w:val="24"/>
        </w:rPr>
        <w:t>µ = Error term.</w:t>
      </w:r>
    </w:p>
    <w:p>
      <w:pPr>
        <w:pStyle w:val="BodyText"/>
        <w:spacing w:before="4"/>
        <w:ind w:left="711"/>
      </w:pPr>
      <w:r>
        <w:rPr/>
        <w:t>By</w:t>
      </w:r>
      <w:r>
        <w:rPr>
          <w:spacing w:val="-5"/>
        </w:rPr>
        <w:t> </w:t>
      </w:r>
      <w:r>
        <w:rPr/>
        <w:t>log-linearising</w:t>
      </w:r>
      <w:r>
        <w:rPr>
          <w:spacing w:val="-3"/>
        </w:rPr>
        <w:t> </w:t>
      </w:r>
      <w:r>
        <w:rPr/>
        <w:t>the</w:t>
      </w:r>
      <w:r>
        <w:rPr>
          <w:spacing w:val="1"/>
        </w:rPr>
        <w:t> </w:t>
      </w:r>
      <w:r>
        <w:rPr/>
        <w:t>model, it</w:t>
      </w:r>
      <w:r>
        <w:rPr>
          <w:spacing w:val="1"/>
        </w:rPr>
        <w:t> </w:t>
      </w:r>
      <w:r>
        <w:rPr>
          <w:spacing w:val="-2"/>
        </w:rPr>
        <w:t>becomes</w:t>
      </w:r>
    </w:p>
    <w:p>
      <w:pPr>
        <w:pStyle w:val="BodyText"/>
        <w:spacing w:before="1"/>
      </w:pPr>
    </w:p>
    <w:p>
      <w:pPr>
        <w:pStyle w:val="Heading3"/>
      </w:pPr>
      <w:r>
        <w:rPr>
          <w:spacing w:val="-2"/>
        </w:rPr>
        <w:t>LogKFW</w:t>
      </w:r>
      <w:r>
        <w:rPr>
          <w:spacing w:val="-2"/>
          <w:vertAlign w:val="subscript"/>
        </w:rPr>
        <w:t>PRESAP=</w:t>
      </w:r>
      <w:r>
        <w:rPr>
          <w:spacing w:val="-2"/>
          <w:vertAlign w:val="baseline"/>
        </w:rPr>
        <w:t>∞</w:t>
      </w:r>
      <w:r>
        <w:rPr>
          <w:spacing w:val="-2"/>
          <w:vertAlign w:val="subscript"/>
        </w:rPr>
        <w:t>0</w:t>
      </w:r>
      <w:r>
        <w:rPr>
          <w:spacing w:val="-2"/>
          <w:vertAlign w:val="baseline"/>
        </w:rPr>
        <w:t>+∞</w:t>
      </w:r>
      <w:r>
        <w:rPr>
          <w:spacing w:val="-2"/>
          <w:vertAlign w:val="subscript"/>
        </w:rPr>
        <w:t>1</w:t>
      </w:r>
      <w:r>
        <w:rPr>
          <w:spacing w:val="-2"/>
          <w:vertAlign w:val="baseline"/>
        </w:rPr>
        <w:t>LogDOP+∞</w:t>
      </w:r>
      <w:r>
        <w:rPr>
          <w:spacing w:val="-2"/>
          <w:vertAlign w:val="subscript"/>
        </w:rPr>
        <w:t>2</w:t>
      </w:r>
      <w:r>
        <w:rPr>
          <w:spacing w:val="-2"/>
          <w:vertAlign w:val="baseline"/>
        </w:rPr>
        <w:t>LogINF+∞</w:t>
      </w:r>
      <w:r>
        <w:rPr>
          <w:spacing w:val="-2"/>
          <w:vertAlign w:val="subscript"/>
        </w:rPr>
        <w:t>3</w:t>
      </w:r>
      <w:r>
        <w:rPr>
          <w:spacing w:val="-2"/>
          <w:vertAlign w:val="baseline"/>
        </w:rPr>
        <w:t>LogGCF+∞</w:t>
      </w:r>
      <w:r>
        <w:rPr>
          <w:spacing w:val="-2"/>
          <w:vertAlign w:val="subscript"/>
        </w:rPr>
        <w:t>4</w:t>
      </w:r>
      <w:r>
        <w:rPr>
          <w:spacing w:val="-2"/>
          <w:vertAlign w:val="baseline"/>
        </w:rPr>
        <w:t>LogδEXDEBT</w:t>
      </w:r>
      <w:r>
        <w:rPr>
          <w:spacing w:val="-2"/>
          <w:vertAlign w:val="subscript"/>
        </w:rPr>
        <w:t>+</w:t>
      </w:r>
      <w:r>
        <w:rPr>
          <w:spacing w:val="-2"/>
          <w:vertAlign w:val="baseline"/>
        </w:rPr>
        <w:t>∞</w:t>
      </w:r>
      <w:r>
        <w:rPr>
          <w:spacing w:val="-2"/>
          <w:vertAlign w:val="subscript"/>
        </w:rPr>
        <w:t>5</w:t>
      </w:r>
      <w:r>
        <w:rPr>
          <w:spacing w:val="-2"/>
          <w:vertAlign w:val="baseline"/>
        </w:rPr>
        <w:t>LogDR</w:t>
      </w:r>
    </w:p>
    <w:p>
      <w:pPr>
        <w:tabs>
          <w:tab w:pos="9789" w:val="left" w:leader="dot"/>
        </w:tabs>
        <w:spacing w:before="321"/>
        <w:ind w:left="711" w:right="0" w:firstLine="0"/>
        <w:jc w:val="left"/>
        <w:rPr>
          <w:sz w:val="24"/>
        </w:rPr>
      </w:pPr>
      <w:r>
        <w:rPr>
          <w:i/>
          <w:spacing w:val="-2"/>
          <w:sz w:val="28"/>
        </w:rPr>
        <w:t>+∞</w:t>
      </w:r>
      <w:r>
        <w:rPr>
          <w:i/>
          <w:spacing w:val="-2"/>
          <w:sz w:val="28"/>
          <w:vertAlign w:val="subscript"/>
        </w:rPr>
        <w:t>6</w:t>
      </w:r>
      <w:r>
        <w:rPr>
          <w:i/>
          <w:spacing w:val="-2"/>
          <w:sz w:val="28"/>
          <w:vertAlign w:val="baseline"/>
        </w:rPr>
        <w:t>LogPRIVCR+∞</w:t>
      </w:r>
      <w:r>
        <w:rPr>
          <w:i/>
          <w:spacing w:val="-2"/>
          <w:sz w:val="28"/>
          <w:vertAlign w:val="subscript"/>
        </w:rPr>
        <w:t>7</w:t>
      </w:r>
      <w:r>
        <w:rPr>
          <w:i/>
          <w:spacing w:val="-2"/>
          <w:sz w:val="28"/>
          <w:vertAlign w:val="baseline"/>
        </w:rPr>
        <w:t>LogUSIRD+∞</w:t>
      </w:r>
      <w:r>
        <w:rPr>
          <w:i/>
          <w:spacing w:val="-2"/>
          <w:sz w:val="28"/>
          <w:vertAlign w:val="subscript"/>
        </w:rPr>
        <w:t>8</w:t>
      </w:r>
      <w:r>
        <w:rPr>
          <w:i/>
          <w:spacing w:val="-2"/>
          <w:sz w:val="28"/>
          <w:vertAlign w:val="baseline"/>
        </w:rPr>
        <w:t>LogGOCE+µ</w:t>
      </w:r>
      <w:r>
        <w:rPr>
          <w:sz w:val="28"/>
          <w:vertAlign w:val="baseline"/>
        </w:rPr>
        <w:tab/>
      </w:r>
      <w:r>
        <w:rPr>
          <w:i/>
          <w:spacing w:val="-2"/>
          <w:sz w:val="28"/>
          <w:vertAlign w:val="baseline"/>
        </w:rPr>
        <w:t>(</w:t>
      </w:r>
      <w:r>
        <w:rPr>
          <w:spacing w:val="-2"/>
          <w:sz w:val="24"/>
          <w:vertAlign w:val="baseline"/>
        </w:rPr>
        <w:t>3.16)</w:t>
      </w:r>
    </w:p>
    <w:p>
      <w:pPr>
        <w:pStyle w:val="BodyText"/>
        <w:rPr>
          <w:sz w:val="28"/>
        </w:rPr>
      </w:pPr>
    </w:p>
    <w:p>
      <w:pPr>
        <w:pStyle w:val="BodyText"/>
        <w:tabs>
          <w:tab w:pos="2151" w:val="left" w:leader="none"/>
        </w:tabs>
        <w:spacing w:before="1"/>
        <w:ind w:left="711"/>
      </w:pPr>
      <w:r>
        <w:rPr/>
        <w:t>Where:</w:t>
      </w:r>
      <w:r>
        <w:rPr>
          <w:spacing w:val="61"/>
        </w:rPr>
        <w:t> </w:t>
      </w:r>
      <w:r>
        <w:rPr>
          <w:spacing w:val="-5"/>
        </w:rPr>
        <w:t>Log</w:t>
      </w:r>
      <w:r>
        <w:rPr/>
        <w:tab/>
        <w:t>=</w:t>
      </w:r>
      <w:r>
        <w:rPr>
          <w:spacing w:val="-3"/>
        </w:rPr>
        <w:t> </w:t>
      </w:r>
      <w:r>
        <w:rPr/>
        <w:t>Natural</w:t>
      </w:r>
      <w:r>
        <w:rPr>
          <w:spacing w:val="1"/>
        </w:rPr>
        <w:t> </w:t>
      </w:r>
      <w:r>
        <w:rPr/>
        <w:t>Logarithm and</w:t>
      </w:r>
      <w:r>
        <w:rPr>
          <w:spacing w:val="1"/>
        </w:rPr>
        <w:t> </w:t>
      </w:r>
      <w:r>
        <w:rPr/>
        <w:t>other</w:t>
      </w:r>
      <w:r>
        <w:rPr>
          <w:spacing w:val="-4"/>
        </w:rPr>
        <w:t> </w:t>
      </w:r>
      <w:r>
        <w:rPr/>
        <w:t>variables</w:t>
      </w:r>
      <w:r>
        <w:rPr>
          <w:spacing w:val="-1"/>
        </w:rPr>
        <w:t> </w:t>
      </w:r>
      <w:r>
        <w:rPr/>
        <w:t>as</w:t>
      </w:r>
      <w:r>
        <w:rPr>
          <w:spacing w:val="-1"/>
        </w:rPr>
        <w:t> </w:t>
      </w:r>
      <w:r>
        <w:rPr/>
        <w:t>difined in</w:t>
      </w:r>
      <w:r>
        <w:rPr>
          <w:spacing w:val="-1"/>
        </w:rPr>
        <w:t> </w:t>
      </w:r>
      <w:r>
        <w:rPr/>
        <w:t>equation</w:t>
      </w:r>
      <w:r>
        <w:rPr>
          <w:spacing w:val="-1"/>
        </w:rPr>
        <w:t> </w:t>
      </w:r>
      <w:r>
        <w:rPr>
          <w:spacing w:val="-4"/>
        </w:rPr>
        <w:t>3.15</w:t>
      </w:r>
    </w:p>
    <w:p>
      <w:pPr>
        <w:pStyle w:val="BodyText"/>
      </w:pPr>
    </w:p>
    <w:p>
      <w:pPr>
        <w:pStyle w:val="Heading6"/>
        <w:jc w:val="left"/>
        <w:rPr>
          <w:b w:val="0"/>
        </w:rPr>
      </w:pPr>
      <w:r>
        <w:rPr/>
        <w:t>(b)</w:t>
      </w:r>
      <w:r>
        <w:rPr>
          <w:spacing w:val="-3"/>
        </w:rPr>
        <w:t> </w:t>
      </w:r>
      <w:r>
        <w:rPr/>
        <w:t>The</w:t>
      </w:r>
      <w:r>
        <w:rPr>
          <w:spacing w:val="-2"/>
        </w:rPr>
        <w:t> </w:t>
      </w:r>
      <w:r>
        <w:rPr/>
        <w:t>Morgan</w:t>
      </w:r>
      <w:r>
        <w:rPr>
          <w:spacing w:val="-1"/>
        </w:rPr>
        <w:t> </w:t>
      </w:r>
      <w:r>
        <w:rPr/>
        <w:t>Trust</w:t>
      </w:r>
      <w:r>
        <w:rPr>
          <w:spacing w:val="-1"/>
        </w:rPr>
        <w:t> </w:t>
      </w:r>
      <w:r>
        <w:rPr/>
        <w:t>estimate</w:t>
      </w:r>
      <w:r>
        <w:rPr>
          <w:spacing w:val="-3"/>
        </w:rPr>
        <w:t> </w:t>
      </w:r>
      <w:r>
        <w:rPr/>
        <w:t>is</w:t>
      </w:r>
      <w:r>
        <w:rPr>
          <w:spacing w:val="-1"/>
        </w:rPr>
        <w:t> </w:t>
      </w:r>
      <w:r>
        <w:rPr/>
        <w:t>stated</w:t>
      </w:r>
      <w:r>
        <w:rPr>
          <w:spacing w:val="-1"/>
        </w:rPr>
        <w:t> </w:t>
      </w:r>
      <w:r>
        <w:rPr/>
        <w:t>explicitly</w:t>
      </w:r>
      <w:r>
        <w:rPr>
          <w:spacing w:val="-1"/>
        </w:rPr>
        <w:t> </w:t>
      </w:r>
      <w:r>
        <w:rPr>
          <w:spacing w:val="-2"/>
        </w:rPr>
        <w:t>below</w:t>
      </w:r>
      <w:r>
        <w:rPr>
          <w:b w:val="0"/>
          <w:spacing w:val="-2"/>
        </w:rPr>
        <w:t>:</w:t>
      </w:r>
    </w:p>
    <w:p>
      <w:pPr>
        <w:spacing w:before="276"/>
        <w:ind w:left="711" w:right="0" w:firstLine="0"/>
        <w:jc w:val="left"/>
        <w:rPr>
          <w:i/>
          <w:sz w:val="24"/>
        </w:rPr>
      </w:pPr>
      <w:r>
        <w:rPr>
          <w:i/>
          <w:position w:val="2"/>
          <w:sz w:val="24"/>
        </w:rPr>
        <w:t>KFM</w:t>
      </w:r>
      <w:r>
        <w:rPr>
          <w:i/>
          <w:sz w:val="16"/>
        </w:rPr>
        <w:t>PRESAP</w:t>
      </w:r>
      <w:r>
        <w:rPr>
          <w:i/>
          <w:spacing w:val="31"/>
          <w:sz w:val="16"/>
        </w:rPr>
        <w:t> </w:t>
      </w:r>
      <w:r>
        <w:rPr>
          <w:i/>
          <w:position w:val="2"/>
          <w:sz w:val="24"/>
        </w:rPr>
        <w:t>=</w:t>
      </w:r>
      <w:r>
        <w:rPr>
          <w:i/>
          <w:spacing w:val="-21"/>
          <w:position w:val="2"/>
          <w:sz w:val="24"/>
        </w:rPr>
        <w:t> </w:t>
      </w:r>
      <w:r>
        <w:rPr>
          <w:i/>
          <w:position w:val="2"/>
          <w:sz w:val="24"/>
        </w:rPr>
        <w:t>Ɛ</w:t>
      </w:r>
      <w:r>
        <w:rPr>
          <w:i/>
          <w:sz w:val="16"/>
        </w:rPr>
        <w:t>0</w:t>
      </w:r>
      <w:r>
        <w:rPr>
          <w:i/>
          <w:position w:val="2"/>
          <w:sz w:val="24"/>
        </w:rPr>
        <w:t>+</w:t>
      </w:r>
      <w:r>
        <w:rPr>
          <w:i/>
          <w:spacing w:val="-3"/>
          <w:position w:val="2"/>
          <w:sz w:val="24"/>
        </w:rPr>
        <w:t> </w:t>
      </w:r>
      <w:r>
        <w:rPr>
          <w:i/>
          <w:position w:val="2"/>
          <w:sz w:val="24"/>
        </w:rPr>
        <w:t>Ɛ</w:t>
      </w:r>
      <w:r>
        <w:rPr>
          <w:i/>
          <w:spacing w:val="-21"/>
          <w:position w:val="2"/>
          <w:sz w:val="24"/>
        </w:rPr>
        <w:t> </w:t>
      </w:r>
      <w:r>
        <w:rPr>
          <w:i/>
          <w:sz w:val="16"/>
        </w:rPr>
        <w:t>1</w:t>
      </w:r>
      <w:r>
        <w:rPr>
          <w:i/>
          <w:position w:val="2"/>
          <w:sz w:val="24"/>
        </w:rPr>
        <w:t>DOP+</w:t>
      </w:r>
      <w:r>
        <w:rPr>
          <w:i/>
          <w:spacing w:val="-2"/>
          <w:position w:val="2"/>
          <w:sz w:val="24"/>
        </w:rPr>
        <w:t> </w:t>
      </w:r>
      <w:r>
        <w:rPr>
          <w:i/>
          <w:position w:val="2"/>
          <w:sz w:val="24"/>
        </w:rPr>
        <w:t>Ɛ</w:t>
      </w:r>
      <w:r>
        <w:rPr>
          <w:i/>
          <w:spacing w:val="-19"/>
          <w:position w:val="2"/>
          <w:sz w:val="24"/>
        </w:rPr>
        <w:t> </w:t>
      </w:r>
      <w:r>
        <w:rPr>
          <w:i/>
          <w:sz w:val="16"/>
        </w:rPr>
        <w:t>2</w:t>
      </w:r>
      <w:r>
        <w:rPr>
          <w:i/>
          <w:position w:val="2"/>
          <w:sz w:val="24"/>
        </w:rPr>
        <w:t>INF+</w:t>
      </w:r>
      <w:r>
        <w:rPr>
          <w:i/>
          <w:spacing w:val="-3"/>
          <w:position w:val="2"/>
          <w:sz w:val="24"/>
        </w:rPr>
        <w:t> </w:t>
      </w:r>
      <w:r>
        <w:rPr>
          <w:i/>
          <w:position w:val="2"/>
          <w:sz w:val="24"/>
        </w:rPr>
        <w:t>Ɛ</w:t>
      </w:r>
      <w:r>
        <w:rPr>
          <w:i/>
          <w:spacing w:val="-21"/>
          <w:position w:val="2"/>
          <w:sz w:val="24"/>
        </w:rPr>
        <w:t> </w:t>
      </w:r>
      <w:r>
        <w:rPr>
          <w:i/>
          <w:sz w:val="16"/>
        </w:rPr>
        <w:t>3</w:t>
      </w:r>
      <w:r>
        <w:rPr>
          <w:i/>
          <w:position w:val="2"/>
          <w:sz w:val="24"/>
        </w:rPr>
        <w:t>GCF+</w:t>
      </w:r>
      <w:r>
        <w:rPr>
          <w:i/>
          <w:spacing w:val="-3"/>
          <w:position w:val="2"/>
          <w:sz w:val="24"/>
        </w:rPr>
        <w:t> </w:t>
      </w:r>
      <w:r>
        <w:rPr>
          <w:i/>
          <w:position w:val="2"/>
          <w:sz w:val="24"/>
        </w:rPr>
        <w:t>Ɛ</w:t>
      </w:r>
      <w:r>
        <w:rPr>
          <w:i/>
          <w:spacing w:val="-21"/>
          <w:position w:val="2"/>
          <w:sz w:val="24"/>
        </w:rPr>
        <w:t> </w:t>
      </w:r>
      <w:r>
        <w:rPr>
          <w:i/>
          <w:sz w:val="16"/>
        </w:rPr>
        <w:t>4</w:t>
      </w:r>
      <w:r>
        <w:rPr>
          <w:i/>
          <w:position w:val="2"/>
          <w:sz w:val="24"/>
        </w:rPr>
        <w:t>δEXDEBT</w:t>
      </w:r>
      <w:r>
        <w:rPr>
          <w:i/>
          <w:sz w:val="16"/>
        </w:rPr>
        <w:t>+</w:t>
      </w:r>
      <w:r>
        <w:rPr>
          <w:i/>
          <w:spacing w:val="18"/>
          <w:sz w:val="16"/>
        </w:rPr>
        <w:t> </w:t>
      </w:r>
      <w:r>
        <w:rPr>
          <w:i/>
          <w:position w:val="2"/>
          <w:sz w:val="24"/>
        </w:rPr>
        <w:t>Ɛ</w:t>
      </w:r>
      <w:r>
        <w:rPr>
          <w:i/>
          <w:spacing w:val="-19"/>
          <w:position w:val="2"/>
          <w:sz w:val="24"/>
        </w:rPr>
        <w:t> </w:t>
      </w:r>
      <w:r>
        <w:rPr>
          <w:i/>
          <w:sz w:val="16"/>
        </w:rPr>
        <w:t>5</w:t>
      </w:r>
      <w:r>
        <w:rPr>
          <w:i/>
          <w:position w:val="2"/>
          <w:sz w:val="24"/>
        </w:rPr>
        <w:t>DR</w:t>
      </w:r>
      <w:r>
        <w:rPr>
          <w:i/>
          <w:sz w:val="16"/>
        </w:rPr>
        <w:t>+ </w:t>
      </w:r>
      <w:r>
        <w:rPr>
          <w:i/>
          <w:position w:val="2"/>
          <w:sz w:val="24"/>
        </w:rPr>
        <w:t>Ɛ</w:t>
      </w:r>
      <w:r>
        <w:rPr>
          <w:i/>
          <w:spacing w:val="-21"/>
          <w:position w:val="2"/>
          <w:sz w:val="24"/>
        </w:rPr>
        <w:t> </w:t>
      </w:r>
      <w:r>
        <w:rPr>
          <w:i/>
          <w:sz w:val="16"/>
        </w:rPr>
        <w:t>6</w:t>
      </w:r>
      <w:r>
        <w:rPr>
          <w:i/>
          <w:position w:val="2"/>
          <w:sz w:val="24"/>
        </w:rPr>
        <w:t>PRIVCR+</w:t>
      </w:r>
      <w:r>
        <w:rPr>
          <w:i/>
          <w:spacing w:val="-2"/>
          <w:position w:val="2"/>
          <w:sz w:val="24"/>
        </w:rPr>
        <w:t> </w:t>
      </w:r>
      <w:r>
        <w:rPr>
          <w:i/>
          <w:position w:val="2"/>
          <w:sz w:val="24"/>
        </w:rPr>
        <w:t>Ɛ</w:t>
      </w:r>
      <w:r>
        <w:rPr>
          <w:i/>
          <w:spacing w:val="-19"/>
          <w:position w:val="2"/>
          <w:sz w:val="24"/>
        </w:rPr>
        <w:t> </w:t>
      </w:r>
      <w:r>
        <w:rPr>
          <w:i/>
          <w:sz w:val="16"/>
        </w:rPr>
        <w:t>7</w:t>
      </w:r>
      <w:r>
        <w:rPr>
          <w:i/>
          <w:position w:val="2"/>
          <w:sz w:val="24"/>
        </w:rPr>
        <w:t>USIRD+</w:t>
      </w:r>
      <w:r>
        <w:rPr>
          <w:i/>
          <w:spacing w:val="-3"/>
          <w:position w:val="2"/>
          <w:sz w:val="24"/>
        </w:rPr>
        <w:t> </w:t>
      </w:r>
      <w:r>
        <w:rPr>
          <w:i/>
          <w:spacing w:val="-10"/>
          <w:position w:val="2"/>
          <w:sz w:val="24"/>
        </w:rPr>
        <w:t>Ɛ</w:t>
      </w:r>
    </w:p>
    <w:p>
      <w:pPr>
        <w:tabs>
          <w:tab w:pos="9489" w:val="left" w:leader="dot"/>
        </w:tabs>
        <w:spacing w:before="273"/>
        <w:ind w:left="711" w:right="0" w:firstLine="0"/>
        <w:jc w:val="left"/>
        <w:rPr>
          <w:sz w:val="24"/>
        </w:rPr>
      </w:pPr>
      <w:r>
        <w:rPr>
          <w:i/>
          <w:spacing w:val="-2"/>
          <w:sz w:val="16"/>
        </w:rPr>
        <w:t>8</w:t>
      </w:r>
      <w:r>
        <w:rPr>
          <w:i/>
          <w:spacing w:val="-2"/>
          <w:position w:val="2"/>
          <w:sz w:val="24"/>
        </w:rPr>
        <w:t>GOCE+µ</w:t>
      </w:r>
      <w:r>
        <w:rPr>
          <w:position w:val="2"/>
          <w:sz w:val="24"/>
        </w:rPr>
        <w:tab/>
      </w:r>
      <w:r>
        <w:rPr>
          <w:i/>
          <w:spacing w:val="-2"/>
          <w:position w:val="2"/>
          <w:sz w:val="24"/>
        </w:rPr>
        <w:t>(</w:t>
      </w:r>
      <w:r>
        <w:rPr>
          <w:spacing w:val="-2"/>
          <w:position w:val="2"/>
          <w:sz w:val="24"/>
        </w:rPr>
        <w:t>3.17)</w:t>
      </w:r>
    </w:p>
    <w:p>
      <w:pPr>
        <w:tabs>
          <w:tab w:pos="2151" w:val="left" w:leader="none"/>
          <w:tab w:pos="7029" w:val="left" w:leader="none"/>
        </w:tabs>
        <w:spacing w:line="477" w:lineRule="auto" w:before="273"/>
        <w:ind w:left="771" w:right="1811" w:hanging="60"/>
        <w:jc w:val="left"/>
        <w:rPr>
          <w:sz w:val="24"/>
        </w:rPr>
      </w:pPr>
      <w:r>
        <w:rPr>
          <w:position w:val="2"/>
          <w:sz w:val="24"/>
        </w:rPr>
        <w:t>Where </w:t>
      </w:r>
      <w:r>
        <w:rPr>
          <w:i/>
          <w:position w:val="2"/>
          <w:sz w:val="24"/>
        </w:rPr>
        <w:t>Ɛ </w:t>
      </w:r>
      <w:r>
        <w:rPr>
          <w:i/>
          <w:sz w:val="16"/>
        </w:rPr>
        <w:t>0</w:t>
        <w:tab/>
      </w:r>
      <w:r>
        <w:rPr>
          <w:position w:val="2"/>
          <w:sz w:val="24"/>
        </w:rPr>
        <w:t>=</w:t>
      </w:r>
      <w:r>
        <w:rPr>
          <w:spacing w:val="80"/>
          <w:position w:val="2"/>
          <w:sz w:val="24"/>
        </w:rPr>
        <w:t> </w:t>
      </w:r>
      <w:r>
        <w:rPr>
          <w:position w:val="2"/>
          <w:sz w:val="24"/>
        </w:rPr>
        <w:t>intercept of the equation </w:t>
      </w:r>
      <w:r>
        <w:rPr>
          <w:i/>
          <w:position w:val="2"/>
          <w:sz w:val="24"/>
        </w:rPr>
        <w:t>Ɛ</w:t>
      </w:r>
      <w:r>
        <w:rPr>
          <w:i/>
          <w:sz w:val="16"/>
        </w:rPr>
        <w:t>0, </w:t>
      </w:r>
      <w:r>
        <w:rPr>
          <w:i/>
          <w:position w:val="2"/>
          <w:sz w:val="24"/>
        </w:rPr>
        <w:t>Ɛ</w:t>
      </w:r>
      <w:r>
        <w:rPr>
          <w:i/>
          <w:spacing w:val="-8"/>
          <w:position w:val="2"/>
          <w:sz w:val="24"/>
        </w:rPr>
        <w:t> </w:t>
      </w:r>
      <w:r>
        <w:rPr>
          <w:sz w:val="16"/>
        </w:rPr>
        <w:t>1, </w:t>
      </w:r>
      <w:r>
        <w:rPr>
          <w:i/>
          <w:position w:val="2"/>
          <w:sz w:val="24"/>
        </w:rPr>
        <w:t>Ɛ</w:t>
      </w:r>
      <w:r>
        <w:rPr>
          <w:sz w:val="16"/>
        </w:rPr>
        <w:t>2, </w:t>
      </w:r>
      <w:r>
        <w:rPr>
          <w:i/>
          <w:position w:val="2"/>
          <w:sz w:val="24"/>
        </w:rPr>
        <w:t>Ɛ</w:t>
      </w:r>
      <w:r>
        <w:rPr>
          <w:i/>
          <w:spacing w:val="-8"/>
          <w:position w:val="2"/>
          <w:sz w:val="24"/>
        </w:rPr>
        <w:t> </w:t>
      </w:r>
      <w:r>
        <w:rPr>
          <w:sz w:val="16"/>
        </w:rPr>
        <w:t>3, --------</w:t>
      </w:r>
      <w:r>
        <w:rPr>
          <w:spacing w:val="39"/>
          <w:sz w:val="16"/>
        </w:rPr>
        <w:t> </w:t>
      </w:r>
      <w:r>
        <w:rPr>
          <w:i/>
          <w:position w:val="2"/>
          <w:sz w:val="24"/>
        </w:rPr>
        <w:t>Ɛ</w:t>
      </w:r>
      <w:r>
        <w:rPr>
          <w:i/>
          <w:sz w:val="16"/>
        </w:rPr>
        <w:t>8</w:t>
        <w:tab/>
      </w:r>
      <w:r>
        <w:rPr>
          <w:position w:val="2"/>
          <w:sz w:val="24"/>
        </w:rPr>
        <w:t>=</w:t>
      </w:r>
      <w:r>
        <w:rPr>
          <w:spacing w:val="80"/>
          <w:position w:val="2"/>
          <w:sz w:val="24"/>
        </w:rPr>
        <w:t> </w:t>
      </w:r>
      <w:r>
        <w:rPr>
          <w:position w:val="2"/>
          <w:sz w:val="24"/>
        </w:rPr>
        <w:t>Coefficients</w:t>
      </w:r>
      <w:r>
        <w:rPr>
          <w:spacing w:val="-6"/>
          <w:position w:val="2"/>
          <w:sz w:val="24"/>
        </w:rPr>
        <w:t> </w:t>
      </w:r>
      <w:r>
        <w:rPr>
          <w:position w:val="2"/>
          <w:sz w:val="24"/>
        </w:rPr>
        <w:t>of</w:t>
      </w:r>
      <w:r>
        <w:rPr>
          <w:spacing w:val="40"/>
          <w:position w:val="2"/>
          <w:sz w:val="24"/>
        </w:rPr>
        <w:t> </w:t>
      </w:r>
      <w:r>
        <w:rPr>
          <w:position w:val="2"/>
          <w:sz w:val="24"/>
        </w:rPr>
        <w:t>Estimates </w:t>
      </w:r>
      <w:r>
        <w:rPr>
          <w:sz w:val="24"/>
        </w:rPr>
        <w:t>µ = Error term.</w:t>
      </w:r>
    </w:p>
    <w:p>
      <w:pPr>
        <w:pStyle w:val="BodyText"/>
        <w:spacing w:before="4"/>
        <w:ind w:left="711"/>
      </w:pPr>
      <w:r>
        <w:rPr/>
        <w:t>By</w:t>
      </w:r>
      <w:r>
        <w:rPr>
          <w:spacing w:val="-5"/>
        </w:rPr>
        <w:t> </w:t>
      </w:r>
      <w:r>
        <w:rPr/>
        <w:t>log-linearising</w:t>
      </w:r>
      <w:r>
        <w:rPr>
          <w:spacing w:val="-3"/>
        </w:rPr>
        <w:t> </w:t>
      </w:r>
      <w:r>
        <w:rPr/>
        <w:t>the</w:t>
      </w:r>
      <w:r>
        <w:rPr>
          <w:spacing w:val="1"/>
        </w:rPr>
        <w:t> </w:t>
      </w:r>
      <w:r>
        <w:rPr/>
        <w:t>model,</w:t>
      </w:r>
      <w:r>
        <w:rPr>
          <w:spacing w:val="2"/>
        </w:rPr>
        <w:t> </w:t>
      </w:r>
      <w:r>
        <w:rPr/>
        <w:t>we</w:t>
      </w:r>
      <w:r>
        <w:rPr>
          <w:spacing w:val="-1"/>
        </w:rPr>
        <w:t> </w:t>
      </w:r>
      <w:r>
        <w:rPr>
          <w:spacing w:val="-4"/>
        </w:rPr>
        <w:t>have:</w:t>
      </w:r>
    </w:p>
    <w:p>
      <w:pPr>
        <w:spacing w:after="0"/>
        <w:sectPr>
          <w:pgSz w:w="11910" w:h="16840"/>
          <w:pgMar w:header="0" w:footer="979" w:top="1360" w:bottom="1240" w:left="280" w:right="0"/>
        </w:sectPr>
      </w:pPr>
    </w:p>
    <w:p>
      <w:pPr>
        <w:spacing w:before="62"/>
        <w:ind w:left="711" w:right="0" w:firstLine="0"/>
        <w:jc w:val="left"/>
        <w:rPr>
          <w:i/>
          <w:sz w:val="24"/>
        </w:rPr>
      </w:pPr>
      <w:r>
        <w:rPr>
          <w:i/>
          <w:sz w:val="28"/>
        </w:rPr>
        <w:t>LogKFM</w:t>
      </w:r>
      <w:r>
        <w:rPr>
          <w:i/>
          <w:sz w:val="28"/>
          <w:vertAlign w:val="subscript"/>
        </w:rPr>
        <w:t>PRESAP=</w:t>
      </w:r>
      <w:r>
        <w:rPr>
          <w:i/>
          <w:spacing w:val="1"/>
          <w:sz w:val="28"/>
          <w:vertAlign w:val="baseline"/>
        </w:rPr>
        <w:t> </w:t>
      </w:r>
      <w:r>
        <w:rPr>
          <w:i/>
          <w:sz w:val="24"/>
          <w:vertAlign w:val="baseline"/>
        </w:rPr>
        <w:t>Ɛ</w:t>
      </w:r>
      <w:r>
        <w:rPr>
          <w:i/>
          <w:spacing w:val="-7"/>
          <w:sz w:val="24"/>
          <w:vertAlign w:val="baseline"/>
        </w:rPr>
        <w:t> </w:t>
      </w:r>
      <w:r>
        <w:rPr>
          <w:i/>
          <w:sz w:val="24"/>
          <w:vertAlign w:val="subscript"/>
        </w:rPr>
        <w:t>0</w:t>
      </w:r>
      <w:r>
        <w:rPr>
          <w:i/>
          <w:sz w:val="28"/>
          <w:vertAlign w:val="baseline"/>
        </w:rPr>
        <w:t>+</w:t>
      </w:r>
      <w:r>
        <w:rPr>
          <w:i/>
          <w:spacing w:val="-2"/>
          <w:sz w:val="28"/>
          <w:vertAlign w:val="baseline"/>
        </w:rPr>
        <w:t> </w:t>
      </w:r>
      <w:r>
        <w:rPr>
          <w:i/>
          <w:sz w:val="24"/>
          <w:vertAlign w:val="baseline"/>
        </w:rPr>
        <w:t>Ɛ</w:t>
      </w:r>
      <w:r>
        <w:rPr>
          <w:i/>
          <w:spacing w:val="-3"/>
          <w:sz w:val="24"/>
          <w:vertAlign w:val="baseline"/>
        </w:rPr>
        <w:t> </w:t>
      </w:r>
      <w:r>
        <w:rPr>
          <w:i/>
          <w:sz w:val="24"/>
          <w:vertAlign w:val="subscript"/>
        </w:rPr>
        <w:t>1</w:t>
      </w:r>
      <w:r>
        <w:rPr>
          <w:i/>
          <w:sz w:val="28"/>
          <w:vertAlign w:val="baseline"/>
        </w:rPr>
        <w:t>LogDOP+</w:t>
      </w:r>
      <w:r>
        <w:rPr>
          <w:i/>
          <w:spacing w:val="1"/>
          <w:sz w:val="28"/>
          <w:vertAlign w:val="baseline"/>
        </w:rPr>
        <w:t> </w:t>
      </w:r>
      <w:r>
        <w:rPr>
          <w:i/>
          <w:sz w:val="24"/>
          <w:vertAlign w:val="baseline"/>
        </w:rPr>
        <w:t>Ɛ</w:t>
      </w:r>
      <w:r>
        <w:rPr>
          <w:i/>
          <w:spacing w:val="-6"/>
          <w:sz w:val="24"/>
          <w:vertAlign w:val="baseline"/>
        </w:rPr>
        <w:t> </w:t>
      </w:r>
      <w:r>
        <w:rPr>
          <w:i/>
          <w:sz w:val="24"/>
          <w:vertAlign w:val="subscript"/>
        </w:rPr>
        <w:t>2</w:t>
      </w:r>
      <w:r>
        <w:rPr>
          <w:i/>
          <w:sz w:val="28"/>
          <w:vertAlign w:val="baseline"/>
        </w:rPr>
        <w:t>LogINF+</w:t>
      </w:r>
      <w:r>
        <w:rPr>
          <w:i/>
          <w:spacing w:val="1"/>
          <w:sz w:val="28"/>
          <w:vertAlign w:val="baseline"/>
        </w:rPr>
        <w:t> </w:t>
      </w:r>
      <w:r>
        <w:rPr>
          <w:i/>
          <w:sz w:val="24"/>
          <w:vertAlign w:val="baseline"/>
        </w:rPr>
        <w:t>Ɛ</w:t>
      </w:r>
      <w:r>
        <w:rPr>
          <w:i/>
          <w:spacing w:val="-3"/>
          <w:sz w:val="24"/>
          <w:vertAlign w:val="baseline"/>
        </w:rPr>
        <w:t> </w:t>
      </w:r>
      <w:r>
        <w:rPr>
          <w:i/>
          <w:sz w:val="24"/>
          <w:vertAlign w:val="subscript"/>
        </w:rPr>
        <w:t>3</w:t>
      </w:r>
      <w:r>
        <w:rPr>
          <w:i/>
          <w:sz w:val="28"/>
          <w:vertAlign w:val="baseline"/>
        </w:rPr>
        <w:t>LogGCF+</w:t>
      </w:r>
      <w:r>
        <w:rPr>
          <w:i/>
          <w:spacing w:val="1"/>
          <w:sz w:val="28"/>
          <w:vertAlign w:val="baseline"/>
        </w:rPr>
        <w:t> </w:t>
      </w:r>
      <w:r>
        <w:rPr>
          <w:i/>
          <w:sz w:val="24"/>
          <w:vertAlign w:val="baseline"/>
        </w:rPr>
        <w:t>Ɛ</w:t>
      </w:r>
      <w:r>
        <w:rPr>
          <w:i/>
          <w:spacing w:val="-6"/>
          <w:sz w:val="24"/>
          <w:vertAlign w:val="baseline"/>
        </w:rPr>
        <w:t> </w:t>
      </w:r>
      <w:r>
        <w:rPr>
          <w:i/>
          <w:sz w:val="24"/>
          <w:vertAlign w:val="subscript"/>
        </w:rPr>
        <w:t>4</w:t>
      </w:r>
      <w:r>
        <w:rPr>
          <w:i/>
          <w:sz w:val="28"/>
          <w:vertAlign w:val="baseline"/>
        </w:rPr>
        <w:t>LogδEXDEBT</w:t>
      </w:r>
      <w:r>
        <w:rPr>
          <w:i/>
          <w:sz w:val="28"/>
          <w:vertAlign w:val="subscript"/>
        </w:rPr>
        <w:t>+</w:t>
      </w:r>
      <w:r>
        <w:rPr>
          <w:i/>
          <w:spacing w:val="1"/>
          <w:sz w:val="28"/>
          <w:vertAlign w:val="baseline"/>
        </w:rPr>
        <w:t> </w:t>
      </w:r>
      <w:r>
        <w:rPr>
          <w:i/>
          <w:sz w:val="24"/>
          <w:vertAlign w:val="baseline"/>
        </w:rPr>
        <w:t>Ɛ</w:t>
      </w:r>
      <w:r>
        <w:rPr>
          <w:i/>
          <w:spacing w:val="-3"/>
          <w:sz w:val="24"/>
          <w:vertAlign w:val="baseline"/>
        </w:rPr>
        <w:t> </w:t>
      </w:r>
      <w:r>
        <w:rPr>
          <w:i/>
          <w:sz w:val="24"/>
          <w:vertAlign w:val="subscript"/>
        </w:rPr>
        <w:t>5</w:t>
      </w:r>
      <w:r>
        <w:rPr>
          <w:i/>
          <w:sz w:val="28"/>
          <w:vertAlign w:val="baseline"/>
        </w:rPr>
        <w:t>LogDR</w:t>
      </w:r>
      <w:r>
        <w:rPr>
          <w:i/>
          <w:spacing w:val="8"/>
          <w:sz w:val="28"/>
          <w:vertAlign w:val="baseline"/>
        </w:rPr>
        <w:t> </w:t>
      </w:r>
      <w:r>
        <w:rPr>
          <w:i/>
          <w:sz w:val="28"/>
          <w:vertAlign w:val="baseline"/>
        </w:rPr>
        <w:t>+</w:t>
      </w:r>
      <w:r>
        <w:rPr>
          <w:i/>
          <w:spacing w:val="1"/>
          <w:sz w:val="28"/>
          <w:vertAlign w:val="baseline"/>
        </w:rPr>
        <w:t> </w:t>
      </w:r>
      <w:r>
        <w:rPr>
          <w:i/>
          <w:spacing w:val="-10"/>
          <w:sz w:val="24"/>
          <w:vertAlign w:val="baseline"/>
        </w:rPr>
        <w:t>Ɛ</w:t>
      </w:r>
    </w:p>
    <w:p>
      <w:pPr>
        <w:tabs>
          <w:tab w:pos="9377" w:val="left" w:leader="dot"/>
        </w:tabs>
        <w:spacing w:before="321"/>
        <w:ind w:left="711" w:right="0" w:firstLine="0"/>
        <w:jc w:val="left"/>
        <w:rPr>
          <w:sz w:val="24"/>
        </w:rPr>
      </w:pPr>
      <w:r>
        <w:rPr>
          <w:i/>
          <w:sz w:val="28"/>
          <w:vertAlign w:val="subscript"/>
        </w:rPr>
        <w:t>6</w:t>
      </w:r>
      <w:r>
        <w:rPr>
          <w:i/>
          <w:sz w:val="28"/>
          <w:vertAlign w:val="baseline"/>
        </w:rPr>
        <w:t>LogPRIVCR+</w:t>
      </w:r>
      <w:r>
        <w:rPr>
          <w:i/>
          <w:spacing w:val="-16"/>
          <w:sz w:val="28"/>
          <w:vertAlign w:val="baseline"/>
        </w:rPr>
        <w:t> </w:t>
      </w:r>
      <w:r>
        <w:rPr>
          <w:i/>
          <w:sz w:val="24"/>
          <w:vertAlign w:val="baseline"/>
        </w:rPr>
        <w:t>Ɛ</w:t>
      </w:r>
      <w:r>
        <w:rPr>
          <w:i/>
          <w:spacing w:val="-16"/>
          <w:sz w:val="24"/>
          <w:vertAlign w:val="baseline"/>
        </w:rPr>
        <w:t> </w:t>
      </w:r>
      <w:r>
        <w:rPr>
          <w:i/>
          <w:sz w:val="24"/>
          <w:vertAlign w:val="subscript"/>
        </w:rPr>
        <w:t>7</w:t>
      </w:r>
      <w:r>
        <w:rPr>
          <w:i/>
          <w:sz w:val="28"/>
          <w:vertAlign w:val="baseline"/>
        </w:rPr>
        <w:t>LogUSIRD+</w:t>
      </w:r>
      <w:r>
        <w:rPr>
          <w:i/>
          <w:spacing w:val="-12"/>
          <w:sz w:val="28"/>
          <w:vertAlign w:val="baseline"/>
        </w:rPr>
        <w:t> </w:t>
      </w:r>
      <w:r>
        <w:rPr>
          <w:i/>
          <w:sz w:val="24"/>
          <w:vertAlign w:val="baseline"/>
        </w:rPr>
        <w:t>Ɛ</w:t>
      </w:r>
      <w:r>
        <w:rPr>
          <w:i/>
          <w:spacing w:val="-16"/>
          <w:sz w:val="24"/>
          <w:vertAlign w:val="baseline"/>
        </w:rPr>
        <w:t> </w:t>
      </w:r>
      <w:r>
        <w:rPr>
          <w:i/>
          <w:spacing w:val="-2"/>
          <w:sz w:val="24"/>
          <w:vertAlign w:val="subscript"/>
        </w:rPr>
        <w:t>8</w:t>
      </w:r>
      <w:r>
        <w:rPr>
          <w:i/>
          <w:spacing w:val="-2"/>
          <w:sz w:val="28"/>
          <w:vertAlign w:val="baseline"/>
        </w:rPr>
        <w:t>LogGOCE+µ</w:t>
      </w:r>
      <w:r>
        <w:rPr>
          <w:sz w:val="28"/>
          <w:vertAlign w:val="baseline"/>
        </w:rPr>
        <w:tab/>
      </w:r>
      <w:r>
        <w:rPr>
          <w:i/>
          <w:spacing w:val="-2"/>
          <w:sz w:val="28"/>
          <w:vertAlign w:val="baseline"/>
        </w:rPr>
        <w:t>(</w:t>
      </w:r>
      <w:r>
        <w:rPr>
          <w:spacing w:val="-2"/>
          <w:sz w:val="24"/>
          <w:vertAlign w:val="baseline"/>
        </w:rPr>
        <w:t>3.18)</w:t>
      </w:r>
    </w:p>
    <w:p>
      <w:pPr>
        <w:pStyle w:val="BodyText"/>
        <w:spacing w:before="1"/>
        <w:rPr>
          <w:sz w:val="28"/>
        </w:rPr>
      </w:pPr>
    </w:p>
    <w:p>
      <w:pPr>
        <w:pStyle w:val="BodyText"/>
        <w:tabs>
          <w:tab w:pos="2151" w:val="left" w:leader="none"/>
        </w:tabs>
        <w:ind w:left="711"/>
      </w:pPr>
      <w:r>
        <w:rPr/>
        <w:t>Where:</w:t>
      </w:r>
      <w:r>
        <w:rPr>
          <w:spacing w:val="61"/>
        </w:rPr>
        <w:t> </w:t>
      </w:r>
      <w:r>
        <w:rPr>
          <w:spacing w:val="-5"/>
        </w:rPr>
        <w:t>Log</w:t>
      </w:r>
      <w:r>
        <w:rPr/>
        <w:tab/>
        <w:t>=</w:t>
      </w:r>
      <w:r>
        <w:rPr>
          <w:spacing w:val="-3"/>
        </w:rPr>
        <w:t> </w:t>
      </w:r>
      <w:r>
        <w:rPr/>
        <w:t>Natural</w:t>
      </w:r>
      <w:r>
        <w:rPr>
          <w:spacing w:val="1"/>
        </w:rPr>
        <w:t> </w:t>
      </w:r>
      <w:r>
        <w:rPr/>
        <w:t>Logarithm and</w:t>
      </w:r>
      <w:r>
        <w:rPr>
          <w:spacing w:val="1"/>
        </w:rPr>
        <w:t> </w:t>
      </w:r>
      <w:r>
        <w:rPr/>
        <w:t>other</w:t>
      </w:r>
      <w:r>
        <w:rPr>
          <w:spacing w:val="-4"/>
        </w:rPr>
        <w:t> </w:t>
      </w:r>
      <w:r>
        <w:rPr/>
        <w:t>variables</w:t>
      </w:r>
      <w:r>
        <w:rPr>
          <w:spacing w:val="-1"/>
        </w:rPr>
        <w:t> </w:t>
      </w:r>
      <w:r>
        <w:rPr/>
        <w:t>as</w:t>
      </w:r>
      <w:r>
        <w:rPr>
          <w:spacing w:val="-1"/>
        </w:rPr>
        <w:t> </w:t>
      </w:r>
      <w:r>
        <w:rPr/>
        <w:t>difined in</w:t>
      </w:r>
      <w:r>
        <w:rPr>
          <w:spacing w:val="-1"/>
        </w:rPr>
        <w:t> </w:t>
      </w:r>
      <w:r>
        <w:rPr/>
        <w:t>equation</w:t>
      </w:r>
      <w:r>
        <w:rPr>
          <w:spacing w:val="-1"/>
        </w:rPr>
        <w:t> </w:t>
      </w:r>
      <w:r>
        <w:rPr>
          <w:spacing w:val="-4"/>
        </w:rPr>
        <w:t>3.15</w:t>
      </w:r>
    </w:p>
    <w:p>
      <w:pPr>
        <w:pStyle w:val="BodyText"/>
      </w:pPr>
    </w:p>
    <w:p>
      <w:pPr>
        <w:pStyle w:val="Heading6"/>
        <w:jc w:val="left"/>
      </w:pPr>
      <w:r>
        <w:rPr/>
        <w:t>Model</w:t>
      </w:r>
      <w:r>
        <w:rPr>
          <w:spacing w:val="-3"/>
        </w:rPr>
        <w:t> </w:t>
      </w:r>
      <w:r>
        <w:rPr>
          <w:spacing w:val="-10"/>
        </w:rPr>
        <w:t>4</w:t>
      </w:r>
    </w:p>
    <w:p>
      <w:pPr>
        <w:pStyle w:val="BodyText"/>
        <w:rPr>
          <w:b/>
        </w:rPr>
      </w:pPr>
    </w:p>
    <w:p>
      <w:pPr>
        <w:pStyle w:val="BodyText"/>
        <w:spacing w:line="480" w:lineRule="auto"/>
        <w:ind w:left="711" w:right="471"/>
        <w:jc w:val="both"/>
      </w:pPr>
      <w:r>
        <w:rPr/>
        <w:t>The model examines the determinants of capital flight in Nigeria between 1987 and 2011; this period marks the Post-SAP era. The model consists of two equations representing the two components of the residual approach for estimating capital flight namely the World Bank and Erbe (1985) approach and the Morgan trust (1986). The two equations are specified as:</w:t>
      </w:r>
    </w:p>
    <w:p>
      <w:pPr>
        <w:tabs>
          <w:tab w:pos="9569" w:val="left" w:leader="dot"/>
        </w:tabs>
        <w:spacing w:before="0"/>
        <w:ind w:left="711" w:right="0" w:firstLine="0"/>
        <w:jc w:val="left"/>
        <w:rPr>
          <w:sz w:val="24"/>
        </w:rPr>
      </w:pPr>
      <w:r>
        <w:rPr>
          <w:i/>
          <w:position w:val="2"/>
          <w:sz w:val="24"/>
        </w:rPr>
        <w:t>KFW</w:t>
      </w:r>
      <w:r>
        <w:rPr>
          <w:i/>
          <w:sz w:val="16"/>
        </w:rPr>
        <w:t>POSTSAP</w:t>
      </w:r>
      <w:r>
        <w:rPr>
          <w:i/>
          <w:spacing w:val="14"/>
          <w:sz w:val="16"/>
        </w:rPr>
        <w:t> </w:t>
      </w:r>
      <w:r>
        <w:rPr>
          <w:i/>
          <w:position w:val="2"/>
          <w:sz w:val="24"/>
        </w:rPr>
        <w:t>=f(DOP,INF,GCF,δEXDEBT,</w:t>
      </w:r>
      <w:r>
        <w:rPr>
          <w:i/>
          <w:spacing w:val="-3"/>
          <w:position w:val="2"/>
          <w:sz w:val="24"/>
        </w:rPr>
        <w:t> </w:t>
      </w:r>
      <w:r>
        <w:rPr>
          <w:i/>
          <w:position w:val="2"/>
          <w:sz w:val="24"/>
        </w:rPr>
        <w:t>DR,</w:t>
      </w:r>
      <w:r>
        <w:rPr>
          <w:i/>
          <w:spacing w:val="-3"/>
          <w:position w:val="2"/>
          <w:sz w:val="24"/>
        </w:rPr>
        <w:t> </w:t>
      </w:r>
      <w:r>
        <w:rPr>
          <w:i/>
          <w:position w:val="2"/>
          <w:sz w:val="24"/>
        </w:rPr>
        <w:t>PRIVCR,</w:t>
      </w:r>
      <w:r>
        <w:rPr>
          <w:i/>
          <w:spacing w:val="-3"/>
          <w:position w:val="2"/>
          <w:sz w:val="24"/>
        </w:rPr>
        <w:t> </w:t>
      </w:r>
      <w:r>
        <w:rPr>
          <w:i/>
          <w:position w:val="2"/>
          <w:sz w:val="24"/>
        </w:rPr>
        <w:t>GOCE,</w:t>
      </w:r>
      <w:r>
        <w:rPr>
          <w:i/>
          <w:spacing w:val="-3"/>
          <w:position w:val="2"/>
          <w:sz w:val="24"/>
        </w:rPr>
        <w:t> </w:t>
      </w:r>
      <w:r>
        <w:rPr>
          <w:i/>
          <w:position w:val="2"/>
          <w:sz w:val="24"/>
        </w:rPr>
        <w:t>,</w:t>
      </w:r>
      <w:r>
        <w:rPr>
          <w:i/>
          <w:spacing w:val="-3"/>
          <w:position w:val="2"/>
          <w:sz w:val="24"/>
        </w:rPr>
        <w:t> </w:t>
      </w:r>
      <w:r>
        <w:rPr>
          <w:i/>
          <w:spacing w:val="-5"/>
          <w:position w:val="2"/>
          <w:sz w:val="24"/>
        </w:rPr>
        <w:t>µ</w:t>
      </w:r>
      <w:r>
        <w:rPr>
          <w:spacing w:val="-5"/>
          <w:position w:val="2"/>
          <w:sz w:val="24"/>
        </w:rPr>
        <w:t>)…</w:t>
      </w:r>
      <w:r>
        <w:rPr>
          <w:position w:val="2"/>
          <w:sz w:val="24"/>
        </w:rPr>
        <w:tab/>
      </w:r>
      <w:r>
        <w:rPr>
          <w:spacing w:val="-2"/>
          <w:position w:val="2"/>
          <w:sz w:val="24"/>
        </w:rPr>
        <w:t>(3.19)</w:t>
      </w:r>
    </w:p>
    <w:p>
      <w:pPr>
        <w:tabs>
          <w:tab w:pos="9566" w:val="left" w:leader="dot"/>
        </w:tabs>
        <w:spacing w:before="271"/>
        <w:ind w:left="711" w:right="0" w:firstLine="0"/>
        <w:jc w:val="left"/>
        <w:rPr>
          <w:sz w:val="24"/>
        </w:rPr>
      </w:pPr>
      <w:r>
        <w:rPr>
          <w:i/>
          <w:spacing w:val="-2"/>
          <w:position w:val="2"/>
          <w:sz w:val="24"/>
        </w:rPr>
        <w:t>KFMP</w:t>
      </w:r>
      <w:r>
        <w:rPr>
          <w:i/>
          <w:spacing w:val="-2"/>
          <w:sz w:val="16"/>
        </w:rPr>
        <w:t>POSTSAP</w:t>
      </w:r>
      <w:r>
        <w:rPr>
          <w:i/>
          <w:spacing w:val="-2"/>
          <w:position w:val="2"/>
          <w:sz w:val="24"/>
        </w:rPr>
        <w:t>=f(DOP,INF,GCF,δEXDEBT,DR,PRIVCR,GOCE,δNEXTAX,</w:t>
      </w:r>
      <w:r>
        <w:rPr>
          <w:i/>
          <w:spacing w:val="55"/>
          <w:w w:val="150"/>
          <w:position w:val="2"/>
          <w:sz w:val="24"/>
        </w:rPr>
        <w:t> </w:t>
      </w:r>
      <w:r>
        <w:rPr>
          <w:i/>
          <w:spacing w:val="-5"/>
          <w:position w:val="2"/>
          <w:sz w:val="24"/>
        </w:rPr>
        <w:t>µ</w:t>
      </w:r>
      <w:r>
        <w:rPr>
          <w:spacing w:val="-5"/>
          <w:position w:val="2"/>
          <w:sz w:val="24"/>
        </w:rPr>
        <w:t>)…</w:t>
      </w:r>
      <w:r>
        <w:rPr>
          <w:position w:val="2"/>
          <w:sz w:val="24"/>
        </w:rPr>
        <w:tab/>
      </w:r>
      <w:r>
        <w:rPr>
          <w:spacing w:val="-2"/>
          <w:position w:val="2"/>
          <w:sz w:val="24"/>
        </w:rPr>
        <w:t>(3.20)</w:t>
      </w:r>
    </w:p>
    <w:p>
      <w:pPr>
        <w:pStyle w:val="BodyText"/>
      </w:pPr>
    </w:p>
    <w:p>
      <w:pPr>
        <w:pStyle w:val="BodyText"/>
        <w:ind w:left="711"/>
      </w:pPr>
      <w:r>
        <w:rPr>
          <w:spacing w:val="-2"/>
        </w:rPr>
        <w:t>Where:</w:t>
      </w:r>
    </w:p>
    <w:p>
      <w:pPr>
        <w:pStyle w:val="BodyText"/>
        <w:spacing w:before="273"/>
        <w:ind w:left="711"/>
      </w:pPr>
      <w:r>
        <w:rPr>
          <w:i/>
          <w:position w:val="2"/>
        </w:rPr>
        <w:t>KFW</w:t>
      </w:r>
      <w:r>
        <w:rPr>
          <w:i/>
          <w:sz w:val="16"/>
        </w:rPr>
        <w:t>POSTSAP</w:t>
      </w:r>
      <w:r>
        <w:rPr>
          <w:i/>
          <w:spacing w:val="19"/>
          <w:sz w:val="16"/>
        </w:rPr>
        <w:t> </w:t>
      </w:r>
      <w:r>
        <w:rPr>
          <w:i/>
          <w:position w:val="2"/>
        </w:rPr>
        <w:t>=</w:t>
      </w:r>
      <w:r>
        <w:rPr>
          <w:i/>
          <w:spacing w:val="-3"/>
          <w:position w:val="2"/>
        </w:rPr>
        <w:t> </w:t>
      </w:r>
      <w:r>
        <w:rPr>
          <w:position w:val="2"/>
        </w:rPr>
        <w:t>World</w:t>
      </w:r>
      <w:r>
        <w:rPr>
          <w:spacing w:val="-1"/>
          <w:position w:val="2"/>
        </w:rPr>
        <w:t> </w:t>
      </w:r>
      <w:r>
        <w:rPr>
          <w:position w:val="2"/>
        </w:rPr>
        <w:t>Bank</w:t>
      </w:r>
      <w:r>
        <w:rPr>
          <w:spacing w:val="-1"/>
          <w:position w:val="2"/>
        </w:rPr>
        <w:t> </w:t>
      </w:r>
      <w:r>
        <w:rPr>
          <w:position w:val="2"/>
        </w:rPr>
        <w:t>and Erbe</w:t>
      </w:r>
      <w:r>
        <w:rPr>
          <w:spacing w:val="-2"/>
          <w:position w:val="2"/>
        </w:rPr>
        <w:t> </w:t>
      </w:r>
      <w:r>
        <w:rPr>
          <w:position w:val="2"/>
        </w:rPr>
        <w:t>(1985)</w:t>
      </w:r>
      <w:r>
        <w:rPr>
          <w:spacing w:val="-2"/>
          <w:position w:val="2"/>
        </w:rPr>
        <w:t> </w:t>
      </w:r>
      <w:r>
        <w:rPr>
          <w:position w:val="2"/>
        </w:rPr>
        <w:t>capital</w:t>
      </w:r>
      <w:r>
        <w:rPr>
          <w:spacing w:val="-1"/>
          <w:position w:val="2"/>
        </w:rPr>
        <w:t> </w:t>
      </w:r>
      <w:r>
        <w:rPr>
          <w:position w:val="2"/>
        </w:rPr>
        <w:t>flight estimate</w:t>
      </w:r>
      <w:r>
        <w:rPr>
          <w:spacing w:val="-1"/>
          <w:position w:val="2"/>
        </w:rPr>
        <w:t> </w:t>
      </w:r>
      <w:r>
        <w:rPr>
          <w:position w:val="2"/>
        </w:rPr>
        <w:t>in</w:t>
      </w:r>
      <w:r>
        <w:rPr>
          <w:spacing w:val="-1"/>
          <w:position w:val="2"/>
        </w:rPr>
        <w:t> </w:t>
      </w:r>
      <w:r>
        <w:rPr>
          <w:position w:val="2"/>
        </w:rPr>
        <w:t>the</w:t>
      </w:r>
      <w:r>
        <w:rPr>
          <w:spacing w:val="-2"/>
          <w:position w:val="2"/>
        </w:rPr>
        <w:t> </w:t>
      </w:r>
      <w:r>
        <w:rPr>
          <w:position w:val="2"/>
        </w:rPr>
        <w:t>POST-SAP </w:t>
      </w:r>
      <w:r>
        <w:rPr>
          <w:spacing w:val="-5"/>
          <w:position w:val="2"/>
        </w:rPr>
        <w:t>era</w:t>
      </w:r>
    </w:p>
    <w:p>
      <w:pPr>
        <w:pStyle w:val="BodyText"/>
        <w:spacing w:line="480" w:lineRule="auto" w:before="273"/>
        <w:ind w:left="711" w:right="2741"/>
      </w:pPr>
      <w:r>
        <w:rPr>
          <w:i/>
          <w:position w:val="2"/>
        </w:rPr>
        <w:t>KFM</w:t>
      </w:r>
      <w:r>
        <w:rPr>
          <w:i/>
          <w:sz w:val="16"/>
        </w:rPr>
        <w:t>POSTSAP</w:t>
      </w:r>
      <w:r>
        <w:rPr>
          <w:i/>
          <w:spacing w:val="17"/>
          <w:sz w:val="16"/>
        </w:rPr>
        <w:t> </w:t>
      </w:r>
      <w:r>
        <w:rPr>
          <w:i/>
          <w:position w:val="2"/>
        </w:rPr>
        <w:t>=</w:t>
      </w:r>
      <w:r>
        <w:rPr>
          <w:i/>
          <w:spacing w:val="-5"/>
          <w:position w:val="2"/>
        </w:rPr>
        <w:t> </w:t>
      </w:r>
      <w:r>
        <w:rPr>
          <w:position w:val="2"/>
        </w:rPr>
        <w:t>Morgan</w:t>
      </w:r>
      <w:r>
        <w:rPr>
          <w:spacing w:val="-3"/>
          <w:position w:val="2"/>
        </w:rPr>
        <w:t> </w:t>
      </w:r>
      <w:r>
        <w:rPr>
          <w:position w:val="2"/>
        </w:rPr>
        <w:t>trust</w:t>
      </w:r>
      <w:r>
        <w:rPr>
          <w:spacing w:val="-3"/>
          <w:position w:val="2"/>
        </w:rPr>
        <w:t> </w:t>
      </w:r>
      <w:r>
        <w:rPr>
          <w:position w:val="2"/>
        </w:rPr>
        <w:t>(1986)</w:t>
      </w:r>
      <w:r>
        <w:rPr>
          <w:spacing w:val="-3"/>
          <w:position w:val="2"/>
        </w:rPr>
        <w:t> </w:t>
      </w:r>
      <w:r>
        <w:rPr>
          <w:position w:val="2"/>
        </w:rPr>
        <w:t>capital</w:t>
      </w:r>
      <w:r>
        <w:rPr>
          <w:spacing w:val="-3"/>
          <w:position w:val="2"/>
        </w:rPr>
        <w:t> </w:t>
      </w:r>
      <w:r>
        <w:rPr>
          <w:position w:val="2"/>
        </w:rPr>
        <w:t>flight</w:t>
      </w:r>
      <w:r>
        <w:rPr>
          <w:spacing w:val="-3"/>
          <w:position w:val="2"/>
        </w:rPr>
        <w:t> </w:t>
      </w:r>
      <w:r>
        <w:rPr>
          <w:position w:val="2"/>
        </w:rPr>
        <w:t>estimate</w:t>
      </w:r>
      <w:r>
        <w:rPr>
          <w:spacing w:val="-3"/>
          <w:position w:val="2"/>
        </w:rPr>
        <w:t> </w:t>
      </w:r>
      <w:r>
        <w:rPr>
          <w:position w:val="2"/>
        </w:rPr>
        <w:t>in</w:t>
      </w:r>
      <w:r>
        <w:rPr>
          <w:spacing w:val="-3"/>
          <w:position w:val="2"/>
        </w:rPr>
        <w:t> </w:t>
      </w:r>
      <w:r>
        <w:rPr>
          <w:position w:val="2"/>
        </w:rPr>
        <w:t>the</w:t>
      </w:r>
      <w:r>
        <w:rPr>
          <w:spacing w:val="-4"/>
          <w:position w:val="2"/>
        </w:rPr>
        <w:t> </w:t>
      </w:r>
      <w:r>
        <w:rPr>
          <w:position w:val="2"/>
        </w:rPr>
        <w:t>POST-</w:t>
      </w:r>
      <w:r>
        <w:rPr>
          <w:spacing w:val="-4"/>
          <w:position w:val="2"/>
        </w:rPr>
        <w:t> </w:t>
      </w:r>
      <w:r>
        <w:rPr>
          <w:position w:val="2"/>
        </w:rPr>
        <w:t>SAP</w:t>
      </w:r>
      <w:r>
        <w:rPr>
          <w:spacing w:val="-3"/>
          <w:position w:val="2"/>
        </w:rPr>
        <w:t> </w:t>
      </w:r>
      <w:r>
        <w:rPr>
          <w:position w:val="2"/>
        </w:rPr>
        <w:t>era </w:t>
      </w:r>
      <w:r>
        <w:rPr/>
        <w:t>Other variables are as difined in equation 3.15 and 3.16.</w:t>
      </w:r>
    </w:p>
    <w:p>
      <w:pPr>
        <w:pStyle w:val="BodyText"/>
        <w:spacing w:line="275" w:lineRule="exact"/>
        <w:ind w:left="711"/>
        <w:jc w:val="both"/>
      </w:pPr>
      <w:r>
        <w:rPr/>
        <w:t>Equation</w:t>
      </w:r>
      <w:r>
        <w:rPr>
          <w:spacing w:val="-1"/>
        </w:rPr>
        <w:t> </w:t>
      </w:r>
      <w:r>
        <w:rPr/>
        <w:t>3.19</w:t>
      </w:r>
      <w:r>
        <w:rPr>
          <w:spacing w:val="-2"/>
        </w:rPr>
        <w:t> </w:t>
      </w:r>
      <w:r>
        <w:rPr/>
        <w:t>and</w:t>
      </w:r>
      <w:r>
        <w:rPr>
          <w:spacing w:val="-1"/>
        </w:rPr>
        <w:t> </w:t>
      </w:r>
      <w:r>
        <w:rPr/>
        <w:t>3.20 can</w:t>
      </w:r>
      <w:r>
        <w:rPr>
          <w:spacing w:val="-1"/>
        </w:rPr>
        <w:t> </w:t>
      </w:r>
      <w:r>
        <w:rPr/>
        <w:t>be</w:t>
      </w:r>
      <w:r>
        <w:rPr>
          <w:spacing w:val="-2"/>
        </w:rPr>
        <w:t> </w:t>
      </w:r>
      <w:r>
        <w:rPr/>
        <w:t>further</w:t>
      </w:r>
      <w:r>
        <w:rPr>
          <w:spacing w:val="-1"/>
        </w:rPr>
        <w:t> </w:t>
      </w:r>
      <w:r>
        <w:rPr/>
        <w:t>expressed</w:t>
      </w:r>
      <w:r>
        <w:rPr>
          <w:spacing w:val="3"/>
        </w:rPr>
        <w:t> </w:t>
      </w:r>
      <w:r>
        <w:rPr>
          <w:spacing w:val="-5"/>
        </w:rPr>
        <w:t>as:</w:t>
      </w:r>
    </w:p>
    <w:p>
      <w:pPr>
        <w:pStyle w:val="BodyText"/>
        <w:spacing w:before="1"/>
      </w:pPr>
    </w:p>
    <w:p>
      <w:pPr>
        <w:pStyle w:val="Heading6"/>
        <w:spacing w:before="1"/>
        <w:jc w:val="left"/>
      </w:pPr>
      <w:r>
        <w:rPr>
          <w:sz w:val="28"/>
        </w:rPr>
        <w:t>(a).</w:t>
      </w:r>
      <w:r>
        <w:rPr>
          <w:spacing w:val="-2"/>
          <w:sz w:val="28"/>
        </w:rPr>
        <w:t> </w:t>
      </w:r>
      <w:r>
        <w:rPr/>
        <w:t>World Bank</w:t>
      </w:r>
      <w:r>
        <w:rPr>
          <w:spacing w:val="-1"/>
        </w:rPr>
        <w:t> </w:t>
      </w:r>
      <w:r>
        <w:rPr/>
        <w:t>and</w:t>
      </w:r>
      <w:r>
        <w:rPr>
          <w:spacing w:val="-1"/>
        </w:rPr>
        <w:t> </w:t>
      </w:r>
      <w:r>
        <w:rPr/>
        <w:t>Erbe</w:t>
      </w:r>
      <w:r>
        <w:rPr>
          <w:spacing w:val="-2"/>
        </w:rPr>
        <w:t> </w:t>
      </w:r>
      <w:r>
        <w:rPr/>
        <w:t>(1985)</w:t>
      </w:r>
      <w:r>
        <w:rPr>
          <w:spacing w:val="-2"/>
        </w:rPr>
        <w:t> </w:t>
      </w:r>
      <w:r>
        <w:rPr/>
        <w:t>capital</w:t>
      </w:r>
      <w:r>
        <w:rPr>
          <w:spacing w:val="-1"/>
        </w:rPr>
        <w:t> </w:t>
      </w:r>
      <w:r>
        <w:rPr/>
        <w:t>flight </w:t>
      </w:r>
      <w:r>
        <w:rPr>
          <w:spacing w:val="-2"/>
        </w:rPr>
        <w:t>estimate</w:t>
      </w:r>
    </w:p>
    <w:p>
      <w:pPr>
        <w:pStyle w:val="BodyText"/>
        <w:spacing w:before="46"/>
        <w:rPr>
          <w:b/>
        </w:rPr>
      </w:pPr>
    </w:p>
    <w:p>
      <w:pPr>
        <w:spacing w:before="0"/>
        <w:ind w:left="711" w:right="0" w:firstLine="0"/>
        <w:jc w:val="left"/>
        <w:rPr>
          <w:i/>
          <w:sz w:val="24"/>
        </w:rPr>
      </w:pPr>
      <w:r>
        <w:rPr>
          <w:i/>
          <w:position w:val="2"/>
          <w:sz w:val="24"/>
        </w:rPr>
        <w:t>KFW</w:t>
      </w:r>
      <w:r>
        <w:rPr>
          <w:i/>
          <w:spacing w:val="-26"/>
          <w:position w:val="2"/>
          <w:sz w:val="24"/>
        </w:rPr>
        <w:t> </w:t>
      </w:r>
      <w:r>
        <w:rPr>
          <w:i/>
          <w:sz w:val="16"/>
        </w:rPr>
        <w:t>POSTSAP </w:t>
      </w:r>
      <w:r>
        <w:rPr>
          <w:i/>
          <w:position w:val="2"/>
          <w:sz w:val="24"/>
        </w:rPr>
        <w:t>=</w:t>
      </w:r>
      <w:r>
        <w:rPr>
          <w:i/>
          <w:spacing w:val="-23"/>
          <w:position w:val="2"/>
          <w:sz w:val="24"/>
        </w:rPr>
        <w:t> </w:t>
      </w:r>
      <w:r>
        <w:rPr>
          <w:spacing w:val="-2"/>
          <w:position w:val="2"/>
          <w:sz w:val="28"/>
        </w:rPr>
        <w:t>ƻ</w:t>
      </w:r>
      <w:r>
        <w:rPr>
          <w:i/>
          <w:spacing w:val="-2"/>
          <w:sz w:val="16"/>
        </w:rPr>
        <w:t>0</w:t>
      </w:r>
      <w:r>
        <w:rPr>
          <w:i/>
          <w:spacing w:val="-2"/>
          <w:position w:val="2"/>
          <w:sz w:val="24"/>
        </w:rPr>
        <w:t>+</w:t>
      </w:r>
      <w:r>
        <w:rPr>
          <w:spacing w:val="-2"/>
          <w:position w:val="2"/>
          <w:sz w:val="28"/>
        </w:rPr>
        <w:t>ƻ</w:t>
      </w:r>
      <w:r>
        <w:rPr>
          <w:i/>
          <w:spacing w:val="-2"/>
          <w:sz w:val="16"/>
        </w:rPr>
        <w:t>1</w:t>
      </w:r>
      <w:r>
        <w:rPr>
          <w:i/>
          <w:spacing w:val="-2"/>
          <w:position w:val="2"/>
          <w:sz w:val="24"/>
        </w:rPr>
        <w:t>DOP+</w:t>
      </w:r>
      <w:r>
        <w:rPr>
          <w:spacing w:val="-2"/>
          <w:position w:val="2"/>
          <w:sz w:val="28"/>
        </w:rPr>
        <w:t>ƻ</w:t>
      </w:r>
      <w:r>
        <w:rPr>
          <w:i/>
          <w:spacing w:val="-2"/>
          <w:sz w:val="16"/>
        </w:rPr>
        <w:t>2</w:t>
      </w:r>
      <w:r>
        <w:rPr>
          <w:i/>
          <w:spacing w:val="-2"/>
          <w:position w:val="2"/>
          <w:sz w:val="24"/>
        </w:rPr>
        <w:t>INF+</w:t>
      </w:r>
      <w:r>
        <w:rPr>
          <w:spacing w:val="-2"/>
          <w:position w:val="2"/>
          <w:sz w:val="28"/>
        </w:rPr>
        <w:t>ƻ</w:t>
      </w:r>
      <w:r>
        <w:rPr>
          <w:i/>
          <w:spacing w:val="-2"/>
          <w:sz w:val="16"/>
        </w:rPr>
        <w:t>3</w:t>
      </w:r>
      <w:r>
        <w:rPr>
          <w:i/>
          <w:spacing w:val="-2"/>
          <w:position w:val="2"/>
          <w:sz w:val="24"/>
        </w:rPr>
        <w:t>GCF+</w:t>
      </w:r>
      <w:r>
        <w:rPr>
          <w:spacing w:val="-2"/>
          <w:position w:val="2"/>
          <w:sz w:val="28"/>
        </w:rPr>
        <w:t>ƻ</w:t>
      </w:r>
      <w:r>
        <w:rPr>
          <w:i/>
          <w:spacing w:val="-2"/>
          <w:sz w:val="16"/>
        </w:rPr>
        <w:t>4</w:t>
      </w:r>
      <w:r>
        <w:rPr>
          <w:i/>
          <w:spacing w:val="-2"/>
          <w:position w:val="2"/>
          <w:sz w:val="24"/>
        </w:rPr>
        <w:t>δEXDEBT</w:t>
      </w:r>
      <w:r>
        <w:rPr>
          <w:i/>
          <w:spacing w:val="-2"/>
          <w:sz w:val="16"/>
        </w:rPr>
        <w:t>+</w:t>
      </w:r>
      <w:r>
        <w:rPr>
          <w:spacing w:val="-2"/>
          <w:position w:val="2"/>
          <w:sz w:val="28"/>
        </w:rPr>
        <w:t>ƻ</w:t>
      </w:r>
      <w:r>
        <w:rPr>
          <w:i/>
          <w:spacing w:val="-2"/>
          <w:sz w:val="16"/>
        </w:rPr>
        <w:t>5</w:t>
      </w:r>
      <w:r>
        <w:rPr>
          <w:i/>
          <w:spacing w:val="-2"/>
          <w:position w:val="2"/>
          <w:sz w:val="24"/>
        </w:rPr>
        <w:t>DR</w:t>
      </w:r>
    </w:p>
    <w:p>
      <w:pPr>
        <w:pStyle w:val="BodyText"/>
        <w:spacing w:before="45"/>
        <w:rPr>
          <w:i/>
        </w:rPr>
      </w:pPr>
    </w:p>
    <w:p>
      <w:pPr>
        <w:tabs>
          <w:tab w:pos="9025" w:val="left" w:leader="dot"/>
        </w:tabs>
        <w:spacing w:before="1"/>
        <w:ind w:left="711" w:right="0" w:firstLine="0"/>
        <w:jc w:val="left"/>
        <w:rPr>
          <w:sz w:val="24"/>
        </w:rPr>
      </w:pPr>
      <w:r>
        <w:rPr>
          <w:i/>
          <w:spacing w:val="-2"/>
          <w:position w:val="2"/>
          <w:sz w:val="24"/>
        </w:rPr>
        <w:t>+</w:t>
      </w:r>
      <w:r>
        <w:rPr>
          <w:spacing w:val="-2"/>
          <w:position w:val="2"/>
          <w:sz w:val="28"/>
        </w:rPr>
        <w:t>ƻ</w:t>
      </w:r>
      <w:r>
        <w:rPr>
          <w:i/>
          <w:spacing w:val="-2"/>
          <w:sz w:val="16"/>
        </w:rPr>
        <w:t>6</w:t>
      </w:r>
      <w:r>
        <w:rPr>
          <w:i/>
          <w:spacing w:val="-2"/>
          <w:position w:val="2"/>
          <w:sz w:val="24"/>
        </w:rPr>
        <w:t>PRIVCR+</w:t>
      </w:r>
      <w:r>
        <w:rPr>
          <w:spacing w:val="-2"/>
          <w:position w:val="2"/>
          <w:sz w:val="28"/>
        </w:rPr>
        <w:t>ƻ</w:t>
      </w:r>
      <w:r>
        <w:rPr>
          <w:i/>
          <w:spacing w:val="-2"/>
          <w:sz w:val="16"/>
        </w:rPr>
        <w:t>7</w:t>
      </w:r>
      <w:r>
        <w:rPr>
          <w:i/>
          <w:spacing w:val="-2"/>
          <w:position w:val="2"/>
          <w:sz w:val="24"/>
        </w:rPr>
        <w:t>USIRD+</w:t>
      </w:r>
      <w:r>
        <w:rPr>
          <w:spacing w:val="-2"/>
          <w:position w:val="2"/>
          <w:sz w:val="28"/>
        </w:rPr>
        <w:t>ƻ</w:t>
      </w:r>
      <w:r>
        <w:rPr>
          <w:i/>
          <w:spacing w:val="-2"/>
          <w:sz w:val="16"/>
        </w:rPr>
        <w:t>8</w:t>
      </w:r>
      <w:r>
        <w:rPr>
          <w:i/>
          <w:spacing w:val="-2"/>
          <w:position w:val="2"/>
          <w:sz w:val="24"/>
        </w:rPr>
        <w:t>GOCE+µ</w:t>
      </w:r>
      <w:r>
        <w:rPr>
          <w:position w:val="2"/>
          <w:sz w:val="24"/>
        </w:rPr>
        <w:tab/>
      </w:r>
      <w:r>
        <w:rPr>
          <w:i/>
          <w:spacing w:val="-2"/>
          <w:position w:val="2"/>
          <w:sz w:val="24"/>
        </w:rPr>
        <w:t>(</w:t>
      </w:r>
      <w:r>
        <w:rPr>
          <w:spacing w:val="-2"/>
          <w:position w:val="2"/>
          <w:sz w:val="24"/>
        </w:rPr>
        <w:t>3.21)</w:t>
      </w:r>
    </w:p>
    <w:p>
      <w:pPr>
        <w:pStyle w:val="BodyText"/>
        <w:spacing w:before="45"/>
      </w:pPr>
    </w:p>
    <w:p>
      <w:pPr>
        <w:tabs>
          <w:tab w:pos="2151" w:val="left" w:leader="none"/>
          <w:tab w:pos="7012" w:val="left" w:leader="none"/>
        </w:tabs>
        <w:spacing w:line="482" w:lineRule="auto" w:before="0"/>
        <w:ind w:left="771" w:right="1811" w:hanging="60"/>
        <w:jc w:val="left"/>
        <w:rPr>
          <w:sz w:val="24"/>
        </w:rPr>
      </w:pPr>
      <w:r>
        <w:rPr>
          <w:position w:val="2"/>
          <w:sz w:val="24"/>
        </w:rPr>
        <w:t>Where </w:t>
      </w:r>
      <w:r>
        <w:rPr>
          <w:position w:val="2"/>
          <w:sz w:val="28"/>
        </w:rPr>
        <w:t>ƻ</w:t>
      </w:r>
      <w:r>
        <w:rPr>
          <w:i/>
          <w:sz w:val="16"/>
        </w:rPr>
        <w:t>0</w:t>
        <w:tab/>
      </w:r>
      <w:r>
        <w:rPr>
          <w:position w:val="2"/>
          <w:sz w:val="24"/>
        </w:rPr>
        <w:t>=</w:t>
      </w:r>
      <w:r>
        <w:rPr>
          <w:spacing w:val="80"/>
          <w:position w:val="2"/>
          <w:sz w:val="24"/>
        </w:rPr>
        <w:t> </w:t>
      </w:r>
      <w:r>
        <w:rPr>
          <w:position w:val="2"/>
          <w:sz w:val="24"/>
        </w:rPr>
        <w:t>intercept of the equation </w:t>
      </w:r>
      <w:r>
        <w:rPr>
          <w:position w:val="2"/>
          <w:sz w:val="28"/>
        </w:rPr>
        <w:t>ƻ</w:t>
      </w:r>
      <w:r>
        <w:rPr>
          <w:i/>
          <w:sz w:val="16"/>
        </w:rPr>
        <w:t>0, </w:t>
      </w:r>
      <w:r>
        <w:rPr>
          <w:position w:val="2"/>
          <w:sz w:val="28"/>
        </w:rPr>
        <w:t>ƻ</w:t>
      </w:r>
      <w:r>
        <w:rPr>
          <w:sz w:val="16"/>
        </w:rPr>
        <w:t>1 </w:t>
      </w:r>
      <w:r>
        <w:rPr>
          <w:position w:val="2"/>
          <w:sz w:val="28"/>
        </w:rPr>
        <w:t>ƻ</w:t>
      </w:r>
      <w:r>
        <w:rPr>
          <w:sz w:val="16"/>
        </w:rPr>
        <w:t>2, </w:t>
      </w:r>
      <w:r>
        <w:rPr>
          <w:position w:val="2"/>
          <w:sz w:val="28"/>
        </w:rPr>
        <w:t>ƻ</w:t>
      </w:r>
      <w:r>
        <w:rPr>
          <w:sz w:val="16"/>
        </w:rPr>
        <w:t>3, --------</w:t>
      </w:r>
      <w:r>
        <w:rPr>
          <w:spacing w:val="40"/>
          <w:sz w:val="16"/>
        </w:rPr>
        <w:t> </w:t>
      </w:r>
      <w:r>
        <w:rPr>
          <w:position w:val="2"/>
          <w:sz w:val="28"/>
        </w:rPr>
        <w:t>ƻ</w:t>
      </w:r>
      <w:r>
        <w:rPr>
          <w:i/>
          <w:sz w:val="16"/>
        </w:rPr>
        <w:t>8</w:t>
        <w:tab/>
      </w:r>
      <w:r>
        <w:rPr>
          <w:position w:val="2"/>
          <w:sz w:val="24"/>
        </w:rPr>
        <w:t>=</w:t>
      </w:r>
      <w:r>
        <w:rPr>
          <w:spacing w:val="80"/>
          <w:position w:val="2"/>
          <w:sz w:val="24"/>
        </w:rPr>
        <w:t> </w:t>
      </w:r>
      <w:r>
        <w:rPr>
          <w:position w:val="2"/>
          <w:sz w:val="24"/>
        </w:rPr>
        <w:t>Coefficients</w:t>
      </w:r>
      <w:r>
        <w:rPr>
          <w:spacing w:val="-6"/>
          <w:position w:val="2"/>
          <w:sz w:val="24"/>
        </w:rPr>
        <w:t> </w:t>
      </w:r>
      <w:r>
        <w:rPr>
          <w:position w:val="2"/>
          <w:sz w:val="24"/>
        </w:rPr>
        <w:t>of</w:t>
      </w:r>
      <w:r>
        <w:rPr>
          <w:spacing w:val="40"/>
          <w:position w:val="2"/>
          <w:sz w:val="24"/>
        </w:rPr>
        <w:t> </w:t>
      </w:r>
      <w:r>
        <w:rPr>
          <w:position w:val="2"/>
          <w:sz w:val="24"/>
        </w:rPr>
        <w:t>Estimates </w:t>
      </w:r>
      <w:r>
        <w:rPr>
          <w:sz w:val="24"/>
        </w:rPr>
        <w:t>µ = Error term.</w:t>
      </w:r>
    </w:p>
    <w:p>
      <w:pPr>
        <w:pStyle w:val="BodyText"/>
        <w:spacing w:line="272" w:lineRule="exact"/>
        <w:ind w:left="711"/>
        <w:jc w:val="both"/>
      </w:pPr>
      <w:r>
        <w:rPr/>
        <w:t>By</w:t>
      </w:r>
      <w:r>
        <w:rPr>
          <w:spacing w:val="-5"/>
        </w:rPr>
        <w:t> </w:t>
      </w:r>
      <w:r>
        <w:rPr/>
        <w:t>log-linearising</w:t>
      </w:r>
      <w:r>
        <w:rPr>
          <w:spacing w:val="-3"/>
        </w:rPr>
        <w:t> </w:t>
      </w:r>
      <w:r>
        <w:rPr/>
        <w:t>the</w:t>
      </w:r>
      <w:r>
        <w:rPr>
          <w:spacing w:val="1"/>
        </w:rPr>
        <w:t> </w:t>
      </w:r>
      <w:r>
        <w:rPr/>
        <w:t>model, it</w:t>
      </w:r>
      <w:r>
        <w:rPr>
          <w:spacing w:val="1"/>
        </w:rPr>
        <w:t> </w:t>
      </w:r>
      <w:r>
        <w:rPr>
          <w:spacing w:val="-2"/>
        </w:rPr>
        <w:t>becomes</w:t>
      </w:r>
    </w:p>
    <w:p>
      <w:pPr>
        <w:pStyle w:val="BodyText"/>
        <w:spacing w:before="1"/>
      </w:pPr>
    </w:p>
    <w:p>
      <w:pPr>
        <w:pStyle w:val="Heading3"/>
      </w:pPr>
      <w:r>
        <w:rPr>
          <w:spacing w:val="-2"/>
        </w:rPr>
        <w:t>LogKFW</w:t>
      </w:r>
      <w:r>
        <w:rPr>
          <w:spacing w:val="-2"/>
          <w:vertAlign w:val="subscript"/>
        </w:rPr>
        <w:t>PRESAP=</w:t>
      </w:r>
      <w:r>
        <w:rPr>
          <w:i w:val="0"/>
          <w:spacing w:val="-2"/>
          <w:vertAlign w:val="baseline"/>
        </w:rPr>
        <w:t>ƻ</w:t>
      </w:r>
      <w:r>
        <w:rPr>
          <w:spacing w:val="-2"/>
          <w:vertAlign w:val="subscript"/>
        </w:rPr>
        <w:t>0</w:t>
      </w:r>
      <w:r>
        <w:rPr>
          <w:spacing w:val="-2"/>
          <w:vertAlign w:val="baseline"/>
        </w:rPr>
        <w:t>+</w:t>
      </w:r>
      <w:r>
        <w:rPr>
          <w:i w:val="0"/>
          <w:spacing w:val="-2"/>
          <w:vertAlign w:val="baseline"/>
        </w:rPr>
        <w:t>ƻ</w:t>
      </w:r>
      <w:r>
        <w:rPr>
          <w:spacing w:val="-2"/>
          <w:vertAlign w:val="subscript"/>
        </w:rPr>
        <w:t>1</w:t>
      </w:r>
      <w:r>
        <w:rPr>
          <w:spacing w:val="-2"/>
          <w:vertAlign w:val="baseline"/>
        </w:rPr>
        <w:t>LogDOP+</w:t>
      </w:r>
      <w:r>
        <w:rPr>
          <w:i w:val="0"/>
          <w:spacing w:val="-2"/>
          <w:vertAlign w:val="baseline"/>
        </w:rPr>
        <w:t>ƻ</w:t>
      </w:r>
      <w:r>
        <w:rPr>
          <w:spacing w:val="-2"/>
          <w:vertAlign w:val="subscript"/>
        </w:rPr>
        <w:t>2</w:t>
      </w:r>
      <w:r>
        <w:rPr>
          <w:spacing w:val="-2"/>
          <w:vertAlign w:val="baseline"/>
        </w:rPr>
        <w:t>LogINF+</w:t>
      </w:r>
      <w:r>
        <w:rPr>
          <w:i w:val="0"/>
          <w:spacing w:val="-2"/>
          <w:vertAlign w:val="baseline"/>
        </w:rPr>
        <w:t>ƻ</w:t>
      </w:r>
      <w:r>
        <w:rPr>
          <w:spacing w:val="-2"/>
          <w:vertAlign w:val="subscript"/>
        </w:rPr>
        <w:t>3</w:t>
      </w:r>
      <w:r>
        <w:rPr>
          <w:spacing w:val="-2"/>
          <w:vertAlign w:val="baseline"/>
        </w:rPr>
        <w:t>LogGCF+</w:t>
      </w:r>
      <w:r>
        <w:rPr>
          <w:i w:val="0"/>
          <w:spacing w:val="-2"/>
          <w:vertAlign w:val="baseline"/>
        </w:rPr>
        <w:t>ƻ</w:t>
      </w:r>
      <w:r>
        <w:rPr>
          <w:spacing w:val="-2"/>
          <w:vertAlign w:val="subscript"/>
        </w:rPr>
        <w:t>4</w:t>
      </w:r>
      <w:r>
        <w:rPr>
          <w:spacing w:val="-2"/>
          <w:vertAlign w:val="baseline"/>
        </w:rPr>
        <w:t>LogδEXDEBT</w:t>
      </w:r>
      <w:r>
        <w:rPr>
          <w:spacing w:val="-2"/>
          <w:vertAlign w:val="subscript"/>
        </w:rPr>
        <w:t>+</w:t>
      </w:r>
      <w:r>
        <w:rPr>
          <w:i w:val="0"/>
          <w:spacing w:val="-2"/>
          <w:vertAlign w:val="baseline"/>
        </w:rPr>
        <w:t>ƻ</w:t>
      </w:r>
      <w:r>
        <w:rPr>
          <w:spacing w:val="-2"/>
          <w:vertAlign w:val="subscript"/>
        </w:rPr>
        <w:t>5</w:t>
      </w:r>
      <w:r>
        <w:rPr>
          <w:spacing w:val="-2"/>
          <w:vertAlign w:val="baseline"/>
        </w:rPr>
        <w:t>LogDR</w:t>
      </w:r>
    </w:p>
    <w:p>
      <w:pPr>
        <w:tabs>
          <w:tab w:pos="9180" w:val="left" w:leader="dot"/>
        </w:tabs>
        <w:spacing w:before="321"/>
        <w:ind w:left="711" w:right="0" w:firstLine="0"/>
        <w:jc w:val="left"/>
        <w:rPr>
          <w:sz w:val="24"/>
        </w:rPr>
      </w:pPr>
      <w:r>
        <w:rPr>
          <w:i/>
          <w:spacing w:val="-2"/>
          <w:sz w:val="28"/>
        </w:rPr>
        <w:t>+</w:t>
      </w:r>
      <w:r>
        <w:rPr>
          <w:spacing w:val="-2"/>
          <w:sz w:val="28"/>
        </w:rPr>
        <w:t>ƻ</w:t>
      </w:r>
      <w:r>
        <w:rPr>
          <w:i/>
          <w:spacing w:val="-2"/>
          <w:sz w:val="28"/>
          <w:vertAlign w:val="subscript"/>
        </w:rPr>
        <w:t>6</w:t>
      </w:r>
      <w:r>
        <w:rPr>
          <w:i/>
          <w:spacing w:val="-2"/>
          <w:sz w:val="28"/>
          <w:vertAlign w:val="baseline"/>
        </w:rPr>
        <w:t>LogPRIVCR+</w:t>
      </w:r>
      <w:r>
        <w:rPr>
          <w:spacing w:val="-2"/>
          <w:sz w:val="28"/>
          <w:vertAlign w:val="baseline"/>
        </w:rPr>
        <w:t>ƻ</w:t>
      </w:r>
      <w:r>
        <w:rPr>
          <w:i/>
          <w:spacing w:val="-2"/>
          <w:sz w:val="28"/>
          <w:vertAlign w:val="subscript"/>
        </w:rPr>
        <w:t>7</w:t>
      </w:r>
      <w:r>
        <w:rPr>
          <w:i/>
          <w:spacing w:val="-2"/>
          <w:sz w:val="28"/>
          <w:vertAlign w:val="baseline"/>
        </w:rPr>
        <w:t>LogUSIRD+</w:t>
      </w:r>
      <w:r>
        <w:rPr>
          <w:spacing w:val="-2"/>
          <w:sz w:val="28"/>
          <w:vertAlign w:val="baseline"/>
        </w:rPr>
        <w:t>ƻ</w:t>
      </w:r>
      <w:r>
        <w:rPr>
          <w:i/>
          <w:spacing w:val="-2"/>
          <w:sz w:val="28"/>
          <w:vertAlign w:val="subscript"/>
        </w:rPr>
        <w:t>8</w:t>
      </w:r>
      <w:r>
        <w:rPr>
          <w:i/>
          <w:spacing w:val="-2"/>
          <w:sz w:val="28"/>
          <w:vertAlign w:val="baseline"/>
        </w:rPr>
        <w:t>LogGOCE+µ</w:t>
      </w:r>
      <w:r>
        <w:rPr>
          <w:sz w:val="28"/>
          <w:vertAlign w:val="baseline"/>
        </w:rPr>
        <w:tab/>
      </w:r>
      <w:r>
        <w:rPr>
          <w:i/>
          <w:spacing w:val="-2"/>
          <w:sz w:val="28"/>
          <w:vertAlign w:val="baseline"/>
        </w:rPr>
        <w:t>(</w:t>
      </w:r>
      <w:r>
        <w:rPr>
          <w:spacing w:val="-2"/>
          <w:sz w:val="24"/>
          <w:vertAlign w:val="baseline"/>
        </w:rPr>
        <w:t>3.22)</w:t>
      </w:r>
    </w:p>
    <w:p>
      <w:pPr>
        <w:pStyle w:val="BodyText"/>
        <w:tabs>
          <w:tab w:pos="2151" w:val="left" w:leader="none"/>
        </w:tabs>
        <w:spacing w:before="320"/>
        <w:ind w:left="711"/>
      </w:pPr>
      <w:r>
        <w:rPr/>
        <w:t>Where:</w:t>
      </w:r>
      <w:r>
        <w:rPr>
          <w:spacing w:val="61"/>
        </w:rPr>
        <w:t> </w:t>
      </w:r>
      <w:r>
        <w:rPr>
          <w:spacing w:val="-5"/>
        </w:rPr>
        <w:t>Log</w:t>
      </w:r>
      <w:r>
        <w:rPr/>
        <w:tab/>
        <w:t>=</w:t>
      </w:r>
      <w:r>
        <w:rPr>
          <w:spacing w:val="-3"/>
        </w:rPr>
        <w:t> </w:t>
      </w:r>
      <w:r>
        <w:rPr/>
        <w:t>Natural</w:t>
      </w:r>
      <w:r>
        <w:rPr>
          <w:spacing w:val="1"/>
        </w:rPr>
        <w:t> </w:t>
      </w:r>
      <w:r>
        <w:rPr/>
        <w:t>Logarithm and</w:t>
      </w:r>
      <w:r>
        <w:rPr>
          <w:spacing w:val="1"/>
        </w:rPr>
        <w:t> </w:t>
      </w:r>
      <w:r>
        <w:rPr/>
        <w:t>other</w:t>
      </w:r>
      <w:r>
        <w:rPr>
          <w:spacing w:val="-4"/>
        </w:rPr>
        <w:t> </w:t>
      </w:r>
      <w:r>
        <w:rPr/>
        <w:t>variables</w:t>
      </w:r>
      <w:r>
        <w:rPr>
          <w:spacing w:val="-1"/>
        </w:rPr>
        <w:t> </w:t>
      </w:r>
      <w:r>
        <w:rPr/>
        <w:t>as</w:t>
      </w:r>
      <w:r>
        <w:rPr>
          <w:spacing w:val="-1"/>
        </w:rPr>
        <w:t> </w:t>
      </w:r>
      <w:r>
        <w:rPr/>
        <w:t>difined in</w:t>
      </w:r>
      <w:r>
        <w:rPr>
          <w:spacing w:val="-1"/>
        </w:rPr>
        <w:t> </w:t>
      </w:r>
      <w:r>
        <w:rPr/>
        <w:t>equation</w:t>
      </w:r>
      <w:r>
        <w:rPr>
          <w:spacing w:val="-1"/>
        </w:rPr>
        <w:t> </w:t>
      </w:r>
      <w:r>
        <w:rPr>
          <w:spacing w:val="-4"/>
        </w:rPr>
        <w:t>3.19</w:t>
      </w:r>
    </w:p>
    <w:p>
      <w:pPr>
        <w:spacing w:after="0"/>
        <w:sectPr>
          <w:pgSz w:w="11910" w:h="16840"/>
          <w:pgMar w:header="0" w:footer="979" w:top="1360" w:bottom="1240" w:left="280" w:right="0"/>
        </w:sectPr>
      </w:pPr>
    </w:p>
    <w:p>
      <w:pPr>
        <w:pStyle w:val="Heading6"/>
        <w:spacing w:before="60"/>
        <w:ind w:left="771"/>
        <w:rPr>
          <w:b w:val="0"/>
        </w:rPr>
      </w:pPr>
      <w:r>
        <w:rPr/>
        <w:t>(b)</w:t>
      </w:r>
      <w:r>
        <w:rPr>
          <w:spacing w:val="-1"/>
        </w:rPr>
        <w:t> </w:t>
      </w:r>
      <w:r>
        <w:rPr/>
        <w:t>The</w:t>
      </w:r>
      <w:r>
        <w:rPr>
          <w:spacing w:val="-2"/>
        </w:rPr>
        <w:t> </w:t>
      </w:r>
      <w:r>
        <w:rPr/>
        <w:t>Morgan</w:t>
      </w:r>
      <w:r>
        <w:rPr>
          <w:spacing w:val="-1"/>
        </w:rPr>
        <w:t> </w:t>
      </w:r>
      <w:r>
        <w:rPr/>
        <w:t>Trust</w:t>
      </w:r>
      <w:r>
        <w:rPr>
          <w:spacing w:val="-1"/>
        </w:rPr>
        <w:t> </w:t>
      </w:r>
      <w:r>
        <w:rPr/>
        <w:t>estimate</w:t>
      </w:r>
      <w:r>
        <w:rPr>
          <w:spacing w:val="-3"/>
        </w:rPr>
        <w:t> </w:t>
      </w:r>
      <w:r>
        <w:rPr/>
        <w:t>is</w:t>
      </w:r>
      <w:r>
        <w:rPr>
          <w:spacing w:val="-1"/>
        </w:rPr>
        <w:t> </w:t>
      </w:r>
      <w:r>
        <w:rPr/>
        <w:t>stated</w:t>
      </w:r>
      <w:r>
        <w:rPr>
          <w:spacing w:val="-1"/>
        </w:rPr>
        <w:t> </w:t>
      </w:r>
      <w:r>
        <w:rPr/>
        <w:t>explicitly</w:t>
      </w:r>
      <w:r>
        <w:rPr>
          <w:spacing w:val="-1"/>
        </w:rPr>
        <w:t> </w:t>
      </w:r>
      <w:r>
        <w:rPr>
          <w:spacing w:val="-2"/>
        </w:rPr>
        <w:t>below</w:t>
      </w:r>
      <w:r>
        <w:rPr>
          <w:b w:val="0"/>
          <w:spacing w:val="-2"/>
        </w:rPr>
        <w:t>:</w:t>
      </w:r>
    </w:p>
    <w:p>
      <w:pPr>
        <w:pStyle w:val="BodyText"/>
        <w:spacing w:before="1"/>
      </w:pPr>
    </w:p>
    <w:p>
      <w:pPr>
        <w:spacing w:before="0"/>
        <w:ind w:left="711" w:right="0" w:firstLine="0"/>
        <w:jc w:val="left"/>
        <w:rPr>
          <w:i/>
          <w:sz w:val="28"/>
        </w:rPr>
      </w:pPr>
      <w:r>
        <w:rPr>
          <w:i/>
          <w:position w:val="2"/>
          <w:sz w:val="24"/>
        </w:rPr>
        <w:t>KFM</w:t>
      </w:r>
      <w:r>
        <w:rPr>
          <w:i/>
          <w:spacing w:val="-20"/>
          <w:position w:val="2"/>
          <w:sz w:val="24"/>
        </w:rPr>
        <w:t> </w:t>
      </w:r>
      <w:r>
        <w:rPr>
          <w:i/>
          <w:sz w:val="16"/>
        </w:rPr>
        <w:t>POSTSAP</w:t>
      </w:r>
      <w:r>
        <w:rPr>
          <w:i/>
          <w:spacing w:val="14"/>
          <w:sz w:val="16"/>
        </w:rPr>
        <w:t> </w:t>
      </w:r>
      <w:r>
        <w:rPr>
          <w:i/>
          <w:position w:val="2"/>
          <w:sz w:val="24"/>
        </w:rPr>
        <w:t>=</w:t>
      </w:r>
      <w:r>
        <w:rPr>
          <w:i/>
          <w:spacing w:val="-23"/>
          <w:position w:val="2"/>
          <w:sz w:val="24"/>
        </w:rPr>
        <w:t> </w:t>
      </w:r>
      <w:r>
        <w:rPr>
          <w:i/>
          <w:position w:val="2"/>
          <w:sz w:val="28"/>
        </w:rPr>
        <w:t>ɗ</w:t>
      </w:r>
      <w:r>
        <w:rPr>
          <w:i/>
          <w:sz w:val="16"/>
        </w:rPr>
        <w:t>0</w:t>
      </w:r>
      <w:r>
        <w:rPr>
          <w:i/>
          <w:position w:val="2"/>
          <w:sz w:val="24"/>
        </w:rPr>
        <w:t>+</w:t>
      </w:r>
      <w:r>
        <w:rPr>
          <w:i/>
          <w:spacing w:val="-4"/>
          <w:position w:val="2"/>
          <w:sz w:val="24"/>
        </w:rPr>
        <w:t> </w:t>
      </w:r>
      <w:r>
        <w:rPr>
          <w:i/>
          <w:position w:val="2"/>
          <w:sz w:val="28"/>
        </w:rPr>
        <w:t>ɗ</w:t>
      </w:r>
      <w:r>
        <w:rPr>
          <w:i/>
          <w:sz w:val="16"/>
        </w:rPr>
        <w:t>1</w:t>
      </w:r>
      <w:r>
        <w:rPr>
          <w:i/>
          <w:position w:val="2"/>
          <w:sz w:val="24"/>
        </w:rPr>
        <w:t>DOP+</w:t>
      </w:r>
      <w:r>
        <w:rPr>
          <w:i/>
          <w:spacing w:val="-2"/>
          <w:position w:val="2"/>
          <w:sz w:val="24"/>
        </w:rPr>
        <w:t> </w:t>
      </w:r>
      <w:r>
        <w:rPr>
          <w:i/>
          <w:position w:val="2"/>
          <w:sz w:val="28"/>
        </w:rPr>
        <w:t>ɗ</w:t>
      </w:r>
      <w:r>
        <w:rPr>
          <w:i/>
          <w:sz w:val="16"/>
        </w:rPr>
        <w:t>2</w:t>
      </w:r>
      <w:r>
        <w:rPr>
          <w:i/>
          <w:position w:val="2"/>
          <w:sz w:val="24"/>
        </w:rPr>
        <w:t>INF+</w:t>
      </w:r>
      <w:r>
        <w:rPr>
          <w:i/>
          <w:spacing w:val="-3"/>
          <w:position w:val="2"/>
          <w:sz w:val="24"/>
        </w:rPr>
        <w:t> </w:t>
      </w:r>
      <w:r>
        <w:rPr>
          <w:i/>
          <w:position w:val="2"/>
          <w:sz w:val="28"/>
        </w:rPr>
        <w:t>ɗ</w:t>
      </w:r>
      <w:r>
        <w:rPr>
          <w:i/>
          <w:sz w:val="16"/>
        </w:rPr>
        <w:t>3</w:t>
      </w:r>
      <w:r>
        <w:rPr>
          <w:i/>
          <w:position w:val="2"/>
          <w:sz w:val="24"/>
        </w:rPr>
        <w:t>GCF+</w:t>
      </w:r>
      <w:r>
        <w:rPr>
          <w:i/>
          <w:spacing w:val="-4"/>
          <w:position w:val="2"/>
          <w:sz w:val="24"/>
        </w:rPr>
        <w:t> </w:t>
      </w:r>
      <w:r>
        <w:rPr>
          <w:i/>
          <w:position w:val="2"/>
          <w:sz w:val="28"/>
        </w:rPr>
        <w:t>ɗ</w:t>
      </w:r>
      <w:r>
        <w:rPr>
          <w:i/>
          <w:spacing w:val="-31"/>
          <w:position w:val="2"/>
          <w:sz w:val="28"/>
        </w:rPr>
        <w:t> </w:t>
      </w:r>
      <w:r>
        <w:rPr>
          <w:i/>
          <w:sz w:val="16"/>
        </w:rPr>
        <w:t>4</w:t>
      </w:r>
      <w:r>
        <w:rPr>
          <w:i/>
          <w:position w:val="2"/>
          <w:sz w:val="24"/>
        </w:rPr>
        <w:t>δEXDEBT</w:t>
      </w:r>
      <w:r>
        <w:rPr>
          <w:i/>
          <w:sz w:val="16"/>
        </w:rPr>
        <w:t>+</w:t>
      </w:r>
      <w:r>
        <w:rPr>
          <w:i/>
          <w:spacing w:val="18"/>
          <w:sz w:val="16"/>
        </w:rPr>
        <w:t> </w:t>
      </w:r>
      <w:r>
        <w:rPr>
          <w:i/>
          <w:position w:val="2"/>
          <w:sz w:val="28"/>
        </w:rPr>
        <w:t>ɗ</w:t>
      </w:r>
      <w:r>
        <w:rPr>
          <w:i/>
          <w:sz w:val="16"/>
        </w:rPr>
        <w:t>5</w:t>
      </w:r>
      <w:r>
        <w:rPr>
          <w:i/>
          <w:position w:val="2"/>
          <w:sz w:val="24"/>
        </w:rPr>
        <w:t>DR</w:t>
      </w:r>
      <w:r>
        <w:rPr>
          <w:i/>
          <w:sz w:val="16"/>
        </w:rPr>
        <w:t>+</w:t>
      </w:r>
      <w:r>
        <w:rPr>
          <w:i/>
          <w:spacing w:val="-1"/>
          <w:sz w:val="16"/>
        </w:rPr>
        <w:t> </w:t>
      </w:r>
      <w:r>
        <w:rPr>
          <w:i/>
          <w:position w:val="2"/>
          <w:sz w:val="28"/>
        </w:rPr>
        <w:t>ɗ</w:t>
      </w:r>
      <w:r>
        <w:rPr>
          <w:i/>
          <w:spacing w:val="-31"/>
          <w:position w:val="2"/>
          <w:sz w:val="28"/>
        </w:rPr>
        <w:t> </w:t>
      </w:r>
      <w:r>
        <w:rPr>
          <w:i/>
          <w:sz w:val="16"/>
        </w:rPr>
        <w:t>6</w:t>
      </w:r>
      <w:r>
        <w:rPr>
          <w:i/>
          <w:position w:val="2"/>
          <w:sz w:val="24"/>
        </w:rPr>
        <w:t>PRIVCR+</w:t>
      </w:r>
      <w:r>
        <w:rPr>
          <w:i/>
          <w:spacing w:val="-2"/>
          <w:position w:val="2"/>
          <w:sz w:val="24"/>
        </w:rPr>
        <w:t> </w:t>
      </w:r>
      <w:r>
        <w:rPr>
          <w:i/>
          <w:position w:val="2"/>
          <w:sz w:val="28"/>
        </w:rPr>
        <w:t>ɗ</w:t>
      </w:r>
      <w:r>
        <w:rPr>
          <w:i/>
          <w:spacing w:val="-28"/>
          <w:position w:val="2"/>
          <w:sz w:val="28"/>
        </w:rPr>
        <w:t> </w:t>
      </w:r>
      <w:r>
        <w:rPr>
          <w:i/>
          <w:sz w:val="16"/>
        </w:rPr>
        <w:t>7</w:t>
      </w:r>
      <w:r>
        <w:rPr>
          <w:i/>
          <w:position w:val="2"/>
          <w:sz w:val="24"/>
        </w:rPr>
        <w:t>USIRD+</w:t>
      </w:r>
      <w:r>
        <w:rPr>
          <w:i/>
          <w:spacing w:val="-3"/>
          <w:position w:val="2"/>
          <w:sz w:val="24"/>
        </w:rPr>
        <w:t> </w:t>
      </w:r>
      <w:r>
        <w:rPr>
          <w:i/>
          <w:spacing w:val="-10"/>
          <w:position w:val="2"/>
          <w:sz w:val="28"/>
        </w:rPr>
        <w:t>ɗ</w:t>
      </w:r>
    </w:p>
    <w:p>
      <w:pPr>
        <w:pStyle w:val="BodyText"/>
        <w:spacing w:before="44"/>
        <w:rPr>
          <w:i/>
        </w:rPr>
      </w:pPr>
    </w:p>
    <w:p>
      <w:pPr>
        <w:tabs>
          <w:tab w:pos="9425" w:val="left" w:leader="dot"/>
        </w:tabs>
        <w:spacing w:before="0"/>
        <w:ind w:left="711" w:right="0" w:firstLine="0"/>
        <w:jc w:val="left"/>
        <w:rPr>
          <w:sz w:val="24"/>
        </w:rPr>
      </w:pPr>
      <w:r>
        <w:rPr>
          <w:i/>
          <w:spacing w:val="-2"/>
          <w:sz w:val="16"/>
        </w:rPr>
        <w:t>8</w:t>
      </w:r>
      <w:r>
        <w:rPr>
          <w:i/>
          <w:spacing w:val="-2"/>
          <w:position w:val="2"/>
          <w:sz w:val="24"/>
        </w:rPr>
        <w:t>GOCE+µ</w:t>
      </w:r>
      <w:r>
        <w:rPr>
          <w:position w:val="2"/>
          <w:sz w:val="24"/>
        </w:rPr>
        <w:tab/>
      </w:r>
      <w:r>
        <w:rPr>
          <w:i/>
          <w:spacing w:val="-2"/>
          <w:position w:val="2"/>
          <w:sz w:val="24"/>
        </w:rPr>
        <w:t>(</w:t>
      </w:r>
      <w:r>
        <w:rPr>
          <w:spacing w:val="-2"/>
          <w:position w:val="2"/>
          <w:sz w:val="24"/>
        </w:rPr>
        <w:t>3.23)</w:t>
      </w:r>
    </w:p>
    <w:p>
      <w:pPr>
        <w:tabs>
          <w:tab w:pos="2151" w:val="left" w:leader="none"/>
          <w:tab w:pos="6834" w:val="left" w:leader="none"/>
        </w:tabs>
        <w:spacing w:line="480" w:lineRule="auto" w:before="275"/>
        <w:ind w:left="771" w:right="2082" w:hanging="60"/>
        <w:jc w:val="left"/>
        <w:rPr>
          <w:sz w:val="24"/>
        </w:rPr>
      </w:pPr>
      <w:r>
        <w:rPr>
          <w:position w:val="2"/>
          <w:sz w:val="24"/>
        </w:rPr>
        <w:t>Where </w:t>
      </w:r>
      <w:r>
        <w:rPr>
          <w:i/>
          <w:position w:val="2"/>
          <w:sz w:val="28"/>
        </w:rPr>
        <w:t>ɗ</w:t>
      </w:r>
      <w:r>
        <w:rPr>
          <w:i/>
          <w:spacing w:val="-3"/>
          <w:position w:val="2"/>
          <w:sz w:val="28"/>
        </w:rPr>
        <w:t> </w:t>
      </w:r>
      <w:r>
        <w:rPr>
          <w:i/>
          <w:sz w:val="16"/>
        </w:rPr>
        <w:t>0</w:t>
        <w:tab/>
      </w:r>
      <w:r>
        <w:rPr>
          <w:position w:val="2"/>
          <w:sz w:val="24"/>
        </w:rPr>
        <w:t>=</w:t>
      </w:r>
      <w:r>
        <w:rPr>
          <w:spacing w:val="80"/>
          <w:position w:val="2"/>
          <w:sz w:val="24"/>
        </w:rPr>
        <w:t> </w:t>
      </w:r>
      <w:r>
        <w:rPr>
          <w:position w:val="2"/>
          <w:sz w:val="24"/>
        </w:rPr>
        <w:t>intercept of the equation </w:t>
      </w:r>
      <w:r>
        <w:rPr>
          <w:i/>
          <w:position w:val="2"/>
          <w:sz w:val="28"/>
        </w:rPr>
        <w:t>ɗ</w:t>
      </w:r>
      <w:r>
        <w:rPr>
          <w:i/>
          <w:spacing w:val="-17"/>
          <w:position w:val="2"/>
          <w:sz w:val="28"/>
        </w:rPr>
        <w:t> </w:t>
      </w:r>
      <w:r>
        <w:rPr>
          <w:sz w:val="16"/>
        </w:rPr>
        <w:t>1, </w:t>
      </w:r>
      <w:r>
        <w:rPr>
          <w:i/>
          <w:position w:val="2"/>
          <w:sz w:val="28"/>
        </w:rPr>
        <w:t>ɗ</w:t>
      </w:r>
      <w:r>
        <w:rPr>
          <w:sz w:val="16"/>
        </w:rPr>
        <w:t>2, </w:t>
      </w:r>
      <w:r>
        <w:rPr>
          <w:i/>
          <w:position w:val="2"/>
          <w:sz w:val="28"/>
        </w:rPr>
        <w:t>ɗ</w:t>
      </w:r>
      <w:r>
        <w:rPr>
          <w:i/>
          <w:spacing w:val="-17"/>
          <w:position w:val="2"/>
          <w:sz w:val="28"/>
        </w:rPr>
        <w:t> </w:t>
      </w:r>
      <w:r>
        <w:rPr>
          <w:sz w:val="16"/>
        </w:rPr>
        <w:t>3, --------</w:t>
      </w:r>
      <w:r>
        <w:rPr>
          <w:spacing w:val="40"/>
          <w:sz w:val="16"/>
        </w:rPr>
        <w:t> </w:t>
      </w:r>
      <w:r>
        <w:rPr>
          <w:i/>
          <w:position w:val="2"/>
          <w:sz w:val="28"/>
        </w:rPr>
        <w:t>ɗ</w:t>
      </w:r>
      <w:r>
        <w:rPr>
          <w:i/>
          <w:sz w:val="16"/>
        </w:rPr>
        <w:t>8</w:t>
        <w:tab/>
      </w:r>
      <w:r>
        <w:rPr>
          <w:position w:val="2"/>
          <w:sz w:val="24"/>
        </w:rPr>
        <w:t>=</w:t>
      </w:r>
      <w:r>
        <w:rPr>
          <w:spacing w:val="80"/>
          <w:position w:val="2"/>
          <w:sz w:val="24"/>
        </w:rPr>
        <w:t> </w:t>
      </w:r>
      <w:r>
        <w:rPr>
          <w:position w:val="2"/>
          <w:sz w:val="24"/>
        </w:rPr>
        <w:t>Coefficient</w:t>
      </w:r>
      <w:r>
        <w:rPr>
          <w:spacing w:val="-6"/>
          <w:position w:val="2"/>
          <w:sz w:val="24"/>
        </w:rPr>
        <w:t> </w:t>
      </w:r>
      <w:r>
        <w:rPr>
          <w:position w:val="2"/>
          <w:sz w:val="24"/>
        </w:rPr>
        <w:t>of</w:t>
      </w:r>
      <w:r>
        <w:rPr>
          <w:spacing w:val="40"/>
          <w:position w:val="2"/>
          <w:sz w:val="24"/>
        </w:rPr>
        <w:t> </w:t>
      </w:r>
      <w:r>
        <w:rPr>
          <w:position w:val="2"/>
          <w:sz w:val="24"/>
        </w:rPr>
        <w:t>Estimates </w:t>
      </w:r>
      <w:r>
        <w:rPr>
          <w:sz w:val="24"/>
        </w:rPr>
        <w:t>µ = Error term.</w:t>
      </w:r>
    </w:p>
    <w:p>
      <w:pPr>
        <w:pStyle w:val="BodyText"/>
        <w:spacing w:before="1"/>
        <w:ind w:left="711"/>
      </w:pPr>
      <w:r>
        <w:rPr/>
        <w:t>By</w:t>
      </w:r>
      <w:r>
        <w:rPr>
          <w:spacing w:val="-5"/>
        </w:rPr>
        <w:t> </w:t>
      </w:r>
      <w:r>
        <w:rPr/>
        <w:t>log-linearising</w:t>
      </w:r>
      <w:r>
        <w:rPr>
          <w:spacing w:val="-3"/>
        </w:rPr>
        <w:t> </w:t>
      </w:r>
      <w:r>
        <w:rPr/>
        <w:t>the</w:t>
      </w:r>
      <w:r>
        <w:rPr>
          <w:spacing w:val="1"/>
        </w:rPr>
        <w:t> </w:t>
      </w:r>
      <w:r>
        <w:rPr/>
        <w:t>model,</w:t>
      </w:r>
      <w:r>
        <w:rPr>
          <w:spacing w:val="2"/>
        </w:rPr>
        <w:t> </w:t>
      </w:r>
      <w:r>
        <w:rPr/>
        <w:t>we</w:t>
      </w:r>
      <w:r>
        <w:rPr>
          <w:spacing w:val="-1"/>
        </w:rPr>
        <w:t> </w:t>
      </w:r>
      <w:r>
        <w:rPr>
          <w:spacing w:val="-4"/>
        </w:rPr>
        <w:t>have:</w:t>
      </w:r>
    </w:p>
    <w:p>
      <w:pPr>
        <w:pStyle w:val="BodyText"/>
        <w:spacing w:before="1"/>
      </w:pPr>
    </w:p>
    <w:p>
      <w:pPr>
        <w:pStyle w:val="Heading3"/>
      </w:pPr>
      <w:r>
        <w:rPr/>
        <w:t>LogKFM</w:t>
      </w:r>
      <w:r>
        <w:rPr>
          <w:vertAlign w:val="subscript"/>
        </w:rPr>
        <w:t>PRESAP=</w:t>
      </w:r>
      <w:r>
        <w:rPr>
          <w:spacing w:val="73"/>
          <w:w w:val="150"/>
          <w:vertAlign w:val="baseline"/>
        </w:rPr>
        <w:t> </w:t>
      </w:r>
      <w:r>
        <w:rPr>
          <w:vertAlign w:val="baseline"/>
        </w:rPr>
        <w:t>ɗ</w:t>
      </w:r>
      <w:r>
        <w:rPr>
          <w:spacing w:val="65"/>
          <w:w w:val="150"/>
          <w:vertAlign w:val="baseline"/>
        </w:rPr>
        <w:t> </w:t>
      </w:r>
      <w:r>
        <w:rPr>
          <w:vertAlign w:val="subscript"/>
        </w:rPr>
        <w:t>0</w:t>
      </w:r>
      <w:r>
        <w:rPr>
          <w:vertAlign w:val="baseline"/>
        </w:rPr>
        <w:t>+</w:t>
      </w:r>
      <w:r>
        <w:rPr>
          <w:spacing w:val="78"/>
          <w:w w:val="150"/>
          <w:vertAlign w:val="baseline"/>
        </w:rPr>
        <w:t> </w:t>
      </w:r>
      <w:r>
        <w:rPr>
          <w:vertAlign w:val="baseline"/>
        </w:rPr>
        <w:t>ɗ</w:t>
      </w:r>
      <w:r>
        <w:rPr>
          <w:spacing w:val="62"/>
          <w:w w:val="150"/>
          <w:vertAlign w:val="baseline"/>
        </w:rPr>
        <w:t> </w:t>
      </w:r>
      <w:r>
        <w:rPr>
          <w:vertAlign w:val="subscript"/>
        </w:rPr>
        <w:t>1</w:t>
      </w:r>
      <w:r>
        <w:rPr>
          <w:vertAlign w:val="baseline"/>
        </w:rPr>
        <w:t>LogDOP+</w:t>
      </w:r>
      <w:r>
        <w:rPr>
          <w:spacing w:val="77"/>
          <w:w w:val="150"/>
          <w:vertAlign w:val="baseline"/>
        </w:rPr>
        <w:t> </w:t>
      </w:r>
      <w:r>
        <w:rPr>
          <w:vertAlign w:val="baseline"/>
        </w:rPr>
        <w:t>ɗ</w:t>
      </w:r>
      <w:r>
        <w:rPr>
          <w:spacing w:val="62"/>
          <w:w w:val="150"/>
          <w:vertAlign w:val="baseline"/>
        </w:rPr>
        <w:t> </w:t>
      </w:r>
      <w:r>
        <w:rPr>
          <w:vertAlign w:val="subscript"/>
        </w:rPr>
        <w:t>2</w:t>
      </w:r>
      <w:r>
        <w:rPr>
          <w:vertAlign w:val="baseline"/>
        </w:rPr>
        <w:t>LogINF+</w:t>
      </w:r>
      <w:r>
        <w:rPr>
          <w:spacing w:val="79"/>
          <w:w w:val="150"/>
          <w:vertAlign w:val="baseline"/>
        </w:rPr>
        <w:t> </w:t>
      </w:r>
      <w:r>
        <w:rPr>
          <w:vertAlign w:val="baseline"/>
        </w:rPr>
        <w:t>ɗ</w:t>
      </w:r>
      <w:r>
        <w:rPr>
          <w:spacing w:val="62"/>
          <w:w w:val="150"/>
          <w:vertAlign w:val="baseline"/>
        </w:rPr>
        <w:t> </w:t>
      </w:r>
      <w:r>
        <w:rPr>
          <w:vertAlign w:val="subscript"/>
        </w:rPr>
        <w:t>3</w:t>
      </w:r>
      <w:r>
        <w:rPr>
          <w:vertAlign w:val="baseline"/>
        </w:rPr>
        <w:t>LogGCF+</w:t>
      </w:r>
      <w:r>
        <w:rPr>
          <w:spacing w:val="78"/>
          <w:w w:val="150"/>
          <w:vertAlign w:val="baseline"/>
        </w:rPr>
        <w:t> </w:t>
      </w:r>
      <w:r>
        <w:rPr>
          <w:vertAlign w:val="baseline"/>
        </w:rPr>
        <w:t>ɗ</w:t>
      </w:r>
      <w:r>
        <w:rPr>
          <w:spacing w:val="65"/>
          <w:w w:val="150"/>
          <w:vertAlign w:val="baseline"/>
        </w:rPr>
        <w:t> </w:t>
      </w:r>
      <w:r>
        <w:rPr>
          <w:vertAlign w:val="subscript"/>
        </w:rPr>
        <w:t>4</w:t>
      </w:r>
      <w:r>
        <w:rPr>
          <w:vertAlign w:val="baseline"/>
        </w:rPr>
        <w:t>LogδEXDEBT</w:t>
      </w:r>
      <w:r>
        <w:rPr>
          <w:vertAlign w:val="subscript"/>
        </w:rPr>
        <w:t>+</w:t>
      </w:r>
      <w:r>
        <w:rPr>
          <w:spacing w:val="77"/>
          <w:w w:val="150"/>
          <w:vertAlign w:val="baseline"/>
        </w:rPr>
        <w:t> </w:t>
      </w:r>
      <w:r>
        <w:rPr>
          <w:spacing w:val="-10"/>
          <w:vertAlign w:val="baseline"/>
        </w:rPr>
        <w:t>ɗ</w:t>
      </w:r>
    </w:p>
    <w:p>
      <w:pPr>
        <w:pStyle w:val="BodyText"/>
        <w:rPr>
          <w:i/>
          <w:sz w:val="28"/>
        </w:rPr>
      </w:pPr>
    </w:p>
    <w:p>
      <w:pPr>
        <w:tabs>
          <w:tab w:pos="9530" w:val="left" w:leader="dot"/>
        </w:tabs>
        <w:spacing w:before="0"/>
        <w:ind w:left="711" w:right="0" w:firstLine="0"/>
        <w:jc w:val="left"/>
        <w:rPr>
          <w:sz w:val="24"/>
        </w:rPr>
      </w:pPr>
      <w:r>
        <w:rPr>
          <w:i/>
          <w:spacing w:val="-2"/>
          <w:sz w:val="28"/>
          <w:vertAlign w:val="subscript"/>
        </w:rPr>
        <w:t>5</w:t>
      </w:r>
      <w:r>
        <w:rPr>
          <w:i/>
          <w:spacing w:val="-2"/>
          <w:sz w:val="28"/>
          <w:vertAlign w:val="baseline"/>
        </w:rPr>
        <w:t>LogDR+ɗ</w:t>
      </w:r>
      <w:r>
        <w:rPr>
          <w:i/>
          <w:spacing w:val="-2"/>
          <w:sz w:val="28"/>
          <w:vertAlign w:val="subscript"/>
        </w:rPr>
        <w:t>6</w:t>
      </w:r>
      <w:r>
        <w:rPr>
          <w:i/>
          <w:spacing w:val="-2"/>
          <w:sz w:val="28"/>
          <w:vertAlign w:val="baseline"/>
        </w:rPr>
        <w:t>LogPRIVCR+ɗ</w:t>
      </w:r>
      <w:r>
        <w:rPr>
          <w:i/>
          <w:spacing w:val="-2"/>
          <w:sz w:val="28"/>
          <w:vertAlign w:val="subscript"/>
        </w:rPr>
        <w:t>7</w:t>
      </w:r>
      <w:r>
        <w:rPr>
          <w:i/>
          <w:spacing w:val="-2"/>
          <w:sz w:val="28"/>
          <w:vertAlign w:val="baseline"/>
        </w:rPr>
        <w:t>LogUSIRD+ɗLogGOCE+µ</w:t>
      </w:r>
      <w:r>
        <w:rPr>
          <w:sz w:val="28"/>
          <w:vertAlign w:val="baseline"/>
        </w:rPr>
        <w:tab/>
      </w:r>
      <w:r>
        <w:rPr>
          <w:i/>
          <w:spacing w:val="-2"/>
          <w:sz w:val="28"/>
          <w:vertAlign w:val="baseline"/>
        </w:rPr>
        <w:t>(</w:t>
      </w:r>
      <w:r>
        <w:rPr>
          <w:spacing w:val="-2"/>
          <w:sz w:val="24"/>
          <w:vertAlign w:val="baseline"/>
        </w:rPr>
        <w:t>3.24)</w:t>
      </w:r>
    </w:p>
    <w:p>
      <w:pPr>
        <w:pStyle w:val="BodyText"/>
        <w:spacing w:before="320"/>
        <w:ind w:left="771"/>
      </w:pPr>
      <w:r>
        <w:rPr/>
        <w:t>Where:</w:t>
      </w:r>
      <w:r>
        <w:rPr>
          <w:spacing w:val="60"/>
        </w:rPr>
        <w:t> </w:t>
      </w:r>
      <w:r>
        <w:rPr/>
        <w:t>Log</w:t>
      </w:r>
      <w:r>
        <w:rPr>
          <w:spacing w:val="74"/>
          <w:w w:val="150"/>
        </w:rPr>
        <w:t> </w:t>
      </w:r>
      <w:r>
        <w:rPr/>
        <w:t>=</w:t>
      </w:r>
      <w:r>
        <w:rPr>
          <w:spacing w:val="-2"/>
        </w:rPr>
        <w:t> </w:t>
      </w:r>
      <w:r>
        <w:rPr/>
        <w:t>Natural Logarithm</w:t>
      </w:r>
      <w:r>
        <w:rPr>
          <w:spacing w:val="1"/>
        </w:rPr>
        <w:t> </w:t>
      </w:r>
      <w:r>
        <w:rPr/>
        <w:t>and</w:t>
      </w:r>
      <w:r>
        <w:rPr>
          <w:spacing w:val="1"/>
        </w:rPr>
        <w:t> </w:t>
      </w:r>
      <w:r>
        <w:rPr/>
        <w:t>other</w:t>
      </w:r>
      <w:r>
        <w:rPr>
          <w:spacing w:val="-4"/>
        </w:rPr>
        <w:t> </w:t>
      </w:r>
      <w:r>
        <w:rPr/>
        <w:t>variables</w:t>
      </w:r>
      <w:r>
        <w:rPr>
          <w:spacing w:val="-1"/>
        </w:rPr>
        <w:t> </w:t>
      </w:r>
      <w:r>
        <w:rPr/>
        <w:t>as</w:t>
      </w:r>
      <w:r>
        <w:rPr>
          <w:spacing w:val="-1"/>
        </w:rPr>
        <w:t> </w:t>
      </w:r>
      <w:r>
        <w:rPr/>
        <w:t>difined in</w:t>
      </w:r>
      <w:r>
        <w:rPr>
          <w:spacing w:val="-1"/>
        </w:rPr>
        <w:t> </w:t>
      </w:r>
      <w:r>
        <w:rPr/>
        <w:t>equation</w:t>
      </w:r>
      <w:r>
        <w:rPr>
          <w:spacing w:val="-1"/>
        </w:rPr>
        <w:t> </w:t>
      </w:r>
      <w:r>
        <w:rPr>
          <w:spacing w:val="-4"/>
        </w:rPr>
        <w:t>3.19</w:t>
      </w:r>
    </w:p>
    <w:p>
      <w:pPr>
        <w:pStyle w:val="BodyText"/>
      </w:pPr>
    </w:p>
    <w:p>
      <w:pPr>
        <w:pStyle w:val="Heading6"/>
        <w:jc w:val="left"/>
      </w:pPr>
      <w:r>
        <w:rPr/>
        <w:t>Model</w:t>
      </w:r>
      <w:r>
        <w:rPr>
          <w:spacing w:val="-3"/>
        </w:rPr>
        <w:t> </w:t>
      </w:r>
      <w:r>
        <w:rPr>
          <w:spacing w:val="-10"/>
        </w:rPr>
        <w:t>5</w:t>
      </w:r>
    </w:p>
    <w:p>
      <w:pPr>
        <w:pStyle w:val="BodyText"/>
        <w:rPr>
          <w:b/>
        </w:rPr>
      </w:pPr>
    </w:p>
    <w:p>
      <w:pPr>
        <w:pStyle w:val="BodyText"/>
        <w:spacing w:line="480" w:lineRule="auto"/>
        <w:ind w:left="711" w:right="475"/>
        <w:jc w:val="both"/>
      </w:pPr>
      <w:r>
        <w:rPr/>
        <w:t>This model examines the effect of capital flight on the Nigeria economic growth in the Pre-SAP era (1970- 1986). It is made up of two equations which represent the two components of the residual approach for estimating capital flight (World Bank and Erbe (1985) and Morgan trust (1986)). The two equations are specified as:</w:t>
      </w:r>
    </w:p>
    <w:p>
      <w:pPr>
        <w:pStyle w:val="Heading6"/>
        <w:spacing w:before="2"/>
      </w:pPr>
      <w:r>
        <w:rPr>
          <w:sz w:val="28"/>
        </w:rPr>
        <w:t>a.</w:t>
      </w:r>
      <w:r>
        <w:rPr>
          <w:spacing w:val="-4"/>
          <w:sz w:val="28"/>
        </w:rPr>
        <w:t> </w:t>
      </w:r>
      <w:r>
        <w:rPr/>
        <w:t>World</w:t>
      </w:r>
      <w:r>
        <w:rPr>
          <w:spacing w:val="1"/>
        </w:rPr>
        <w:t> </w:t>
      </w:r>
      <w:r>
        <w:rPr/>
        <w:t>Bank</w:t>
      </w:r>
      <w:r>
        <w:rPr>
          <w:spacing w:val="-1"/>
        </w:rPr>
        <w:t> </w:t>
      </w:r>
      <w:r>
        <w:rPr/>
        <w:t>and</w:t>
      </w:r>
      <w:r>
        <w:rPr>
          <w:spacing w:val="-2"/>
        </w:rPr>
        <w:t> </w:t>
      </w:r>
      <w:r>
        <w:rPr/>
        <w:t>Erbe</w:t>
      </w:r>
      <w:r>
        <w:rPr>
          <w:spacing w:val="-1"/>
        </w:rPr>
        <w:t> </w:t>
      </w:r>
      <w:r>
        <w:rPr/>
        <w:t>(1985)</w:t>
      </w:r>
      <w:r>
        <w:rPr>
          <w:spacing w:val="-2"/>
        </w:rPr>
        <w:t> </w:t>
      </w:r>
      <w:r>
        <w:rPr/>
        <w:t>capital flight</w:t>
      </w:r>
      <w:r>
        <w:rPr>
          <w:spacing w:val="-4"/>
        </w:rPr>
        <w:t> </w:t>
      </w:r>
      <w:r>
        <w:rPr>
          <w:spacing w:val="-2"/>
        </w:rPr>
        <w:t>estimate</w:t>
      </w:r>
    </w:p>
    <w:p>
      <w:pPr>
        <w:pStyle w:val="BodyText"/>
        <w:spacing w:before="43"/>
        <w:rPr>
          <w:b/>
        </w:rPr>
      </w:pPr>
    </w:p>
    <w:p>
      <w:pPr>
        <w:tabs>
          <w:tab w:pos="9523" w:val="left" w:leader="dot"/>
        </w:tabs>
        <w:spacing w:before="0"/>
        <w:ind w:left="711" w:right="0" w:firstLine="0"/>
        <w:jc w:val="left"/>
        <w:rPr>
          <w:sz w:val="24"/>
        </w:rPr>
      </w:pPr>
      <w:r>
        <w:rPr>
          <w:i/>
          <w:position w:val="2"/>
          <w:sz w:val="24"/>
        </w:rPr>
        <w:t>GDP</w:t>
      </w:r>
      <w:r>
        <w:rPr>
          <w:i/>
          <w:sz w:val="16"/>
        </w:rPr>
        <w:t>PRESAP</w:t>
      </w:r>
      <w:r>
        <w:rPr>
          <w:i/>
          <w:spacing w:val="-4"/>
          <w:sz w:val="16"/>
        </w:rPr>
        <w:t> </w:t>
      </w:r>
      <w:r>
        <w:rPr>
          <w:i/>
          <w:position w:val="2"/>
          <w:sz w:val="24"/>
        </w:rPr>
        <w:t>=f(δEXDEBT,DFI,</w:t>
      </w:r>
      <w:r>
        <w:rPr>
          <w:i/>
          <w:spacing w:val="-5"/>
          <w:position w:val="2"/>
          <w:sz w:val="24"/>
        </w:rPr>
        <w:t> </w:t>
      </w:r>
      <w:r>
        <w:rPr>
          <w:i/>
          <w:position w:val="2"/>
          <w:sz w:val="24"/>
        </w:rPr>
        <w:t>CAB,</w:t>
      </w:r>
      <w:r>
        <w:rPr>
          <w:i/>
          <w:spacing w:val="-4"/>
          <w:position w:val="2"/>
          <w:sz w:val="24"/>
        </w:rPr>
        <w:t> </w:t>
      </w:r>
      <w:r>
        <w:rPr>
          <w:i/>
          <w:position w:val="2"/>
          <w:sz w:val="24"/>
        </w:rPr>
        <w:t>δRES,</w:t>
      </w:r>
      <w:r>
        <w:rPr>
          <w:i/>
          <w:spacing w:val="-4"/>
          <w:position w:val="2"/>
          <w:sz w:val="24"/>
        </w:rPr>
        <w:t> </w:t>
      </w:r>
      <w:r>
        <w:rPr>
          <w:i/>
          <w:spacing w:val="-5"/>
          <w:position w:val="2"/>
          <w:sz w:val="24"/>
        </w:rPr>
        <w:t>µ)</w:t>
      </w:r>
      <w:r>
        <w:rPr>
          <w:i/>
          <w:position w:val="2"/>
          <w:sz w:val="24"/>
        </w:rPr>
        <w:tab/>
      </w:r>
      <w:r>
        <w:rPr>
          <w:spacing w:val="-2"/>
          <w:position w:val="2"/>
          <w:sz w:val="24"/>
        </w:rPr>
        <w:t>(3.25)</w:t>
      </w:r>
    </w:p>
    <w:p>
      <w:pPr>
        <w:pStyle w:val="BodyText"/>
        <w:spacing w:before="275"/>
        <w:ind w:left="711"/>
      </w:pPr>
      <w:r>
        <w:rPr>
          <w:spacing w:val="-2"/>
        </w:rPr>
        <w:t>Where:</w:t>
      </w:r>
    </w:p>
    <w:p>
      <w:pPr>
        <w:pStyle w:val="BodyText"/>
        <w:spacing w:line="477" w:lineRule="auto" w:before="275"/>
        <w:ind w:left="711" w:right="476"/>
        <w:jc w:val="both"/>
      </w:pPr>
      <w:r>
        <w:rPr>
          <w:i/>
          <w:position w:val="2"/>
        </w:rPr>
        <w:t>GDP</w:t>
      </w:r>
      <w:r>
        <w:rPr>
          <w:i/>
          <w:sz w:val="16"/>
        </w:rPr>
        <w:t>PRESAP</w:t>
      </w:r>
      <w:r>
        <w:rPr>
          <w:i/>
          <w:spacing w:val="-1"/>
          <w:sz w:val="16"/>
        </w:rPr>
        <w:t> </w:t>
      </w:r>
      <w:r>
        <w:rPr>
          <w:position w:val="2"/>
        </w:rPr>
        <w:t>--</w:t>
      </w:r>
      <w:r>
        <w:rPr>
          <w:spacing w:val="80"/>
          <w:position w:val="2"/>
        </w:rPr>
        <w:t> </w:t>
      </w:r>
      <w:r>
        <w:rPr>
          <w:position w:val="2"/>
        </w:rPr>
        <w:t>Gross</w:t>
      </w:r>
      <w:r>
        <w:rPr>
          <w:spacing w:val="-2"/>
          <w:position w:val="2"/>
        </w:rPr>
        <w:t> </w:t>
      </w:r>
      <w:r>
        <w:rPr>
          <w:position w:val="2"/>
        </w:rPr>
        <w:t>domestic</w:t>
      </w:r>
      <w:r>
        <w:rPr>
          <w:spacing w:val="-3"/>
          <w:position w:val="2"/>
        </w:rPr>
        <w:t> </w:t>
      </w:r>
      <w:r>
        <w:rPr>
          <w:position w:val="2"/>
        </w:rPr>
        <w:t>product</w:t>
      </w:r>
      <w:r>
        <w:rPr>
          <w:spacing w:val="-2"/>
          <w:position w:val="2"/>
        </w:rPr>
        <w:t> </w:t>
      </w:r>
      <w:r>
        <w:rPr>
          <w:position w:val="2"/>
        </w:rPr>
        <w:t>(at</w:t>
      </w:r>
      <w:r>
        <w:rPr>
          <w:spacing w:val="-2"/>
          <w:position w:val="2"/>
        </w:rPr>
        <w:t> </w:t>
      </w:r>
      <w:r>
        <w:rPr>
          <w:position w:val="2"/>
        </w:rPr>
        <w:t>current market</w:t>
      </w:r>
      <w:r>
        <w:rPr>
          <w:spacing w:val="-2"/>
          <w:position w:val="2"/>
        </w:rPr>
        <w:t> </w:t>
      </w:r>
      <w:r>
        <w:rPr>
          <w:position w:val="2"/>
        </w:rPr>
        <w:t>price)</w:t>
      </w:r>
      <w:r>
        <w:rPr>
          <w:spacing w:val="-2"/>
          <w:position w:val="2"/>
        </w:rPr>
        <w:t> </w:t>
      </w:r>
      <w:r>
        <w:rPr>
          <w:position w:val="2"/>
        </w:rPr>
        <w:t>before</w:t>
      </w:r>
      <w:r>
        <w:rPr>
          <w:spacing w:val="-1"/>
          <w:position w:val="2"/>
        </w:rPr>
        <w:t> </w:t>
      </w:r>
      <w:r>
        <w:rPr>
          <w:position w:val="2"/>
        </w:rPr>
        <w:t>SAP,</w:t>
      </w:r>
      <w:r>
        <w:rPr>
          <w:spacing w:val="-2"/>
          <w:position w:val="2"/>
        </w:rPr>
        <w:t> </w:t>
      </w:r>
      <w:r>
        <w:rPr>
          <w:position w:val="2"/>
        </w:rPr>
        <w:t>other</w:t>
      </w:r>
      <w:r>
        <w:rPr>
          <w:spacing w:val="-4"/>
          <w:position w:val="2"/>
        </w:rPr>
        <w:t> </w:t>
      </w:r>
      <w:r>
        <w:rPr>
          <w:position w:val="2"/>
        </w:rPr>
        <w:t>variables</w:t>
      </w:r>
      <w:r>
        <w:rPr>
          <w:spacing w:val="-2"/>
          <w:position w:val="2"/>
        </w:rPr>
        <w:t> </w:t>
      </w:r>
      <w:r>
        <w:rPr>
          <w:position w:val="2"/>
        </w:rPr>
        <w:t>are</w:t>
      </w:r>
      <w:r>
        <w:rPr>
          <w:spacing w:val="-2"/>
          <w:position w:val="2"/>
        </w:rPr>
        <w:t> </w:t>
      </w:r>
      <w:r>
        <w:rPr>
          <w:position w:val="2"/>
        </w:rPr>
        <w:t>as</w:t>
      </w:r>
      <w:r>
        <w:rPr>
          <w:spacing w:val="-2"/>
          <w:position w:val="2"/>
        </w:rPr>
        <w:t> </w:t>
      </w:r>
      <w:r>
        <w:rPr>
          <w:position w:val="2"/>
        </w:rPr>
        <w:t>difined in </w:t>
      </w:r>
      <w:r>
        <w:rPr/>
        <w:t>equation 3.11</w:t>
      </w:r>
    </w:p>
    <w:p>
      <w:pPr>
        <w:pStyle w:val="BodyText"/>
        <w:spacing w:before="4"/>
        <w:ind w:left="711"/>
      </w:pPr>
      <w:r>
        <w:rPr/>
        <w:t>Stating</w:t>
      </w:r>
      <w:r>
        <w:rPr>
          <w:spacing w:val="-2"/>
        </w:rPr>
        <w:t> </w:t>
      </w:r>
      <w:r>
        <w:rPr/>
        <w:t>the</w:t>
      </w:r>
      <w:r>
        <w:rPr>
          <w:spacing w:val="-1"/>
        </w:rPr>
        <w:t> </w:t>
      </w:r>
      <w:r>
        <w:rPr/>
        <w:t>Model explicitly</w:t>
      </w:r>
      <w:r>
        <w:rPr>
          <w:spacing w:val="-2"/>
        </w:rPr>
        <w:t> </w:t>
      </w:r>
      <w:r>
        <w:rPr>
          <w:spacing w:val="-10"/>
        </w:rPr>
        <w:t>:</w:t>
      </w:r>
    </w:p>
    <w:p>
      <w:pPr>
        <w:pStyle w:val="BodyText"/>
        <w:spacing w:before="38"/>
      </w:pPr>
    </w:p>
    <w:p>
      <w:pPr>
        <w:tabs>
          <w:tab w:pos="9573" w:val="left" w:leader="dot"/>
        </w:tabs>
        <w:spacing w:before="1"/>
        <w:ind w:left="711" w:right="0" w:firstLine="0"/>
        <w:jc w:val="left"/>
        <w:rPr>
          <w:i/>
          <w:sz w:val="24"/>
        </w:rPr>
      </w:pPr>
      <w:r>
        <w:rPr>
          <w:i/>
          <w:sz w:val="24"/>
        </w:rPr>
        <w:t>GDP</w:t>
      </w:r>
      <w:r>
        <w:rPr>
          <w:i/>
          <w:sz w:val="24"/>
          <w:vertAlign w:val="subscript"/>
        </w:rPr>
        <w:t>PRESAP</w:t>
      </w:r>
      <w:r>
        <w:rPr>
          <w:i/>
          <w:spacing w:val="-18"/>
          <w:sz w:val="24"/>
          <w:vertAlign w:val="baseline"/>
        </w:rPr>
        <w:t> </w:t>
      </w:r>
      <w:r>
        <w:rPr>
          <w:i/>
          <w:sz w:val="24"/>
          <w:vertAlign w:val="baseline"/>
        </w:rPr>
        <w:t>= </w:t>
      </w:r>
      <w:r>
        <w:rPr>
          <w:i/>
          <w:sz w:val="24"/>
          <w:vertAlign w:val="subscript"/>
        </w:rPr>
        <w:t>=</w:t>
      </w:r>
      <w:r>
        <w:rPr>
          <w:i/>
          <w:spacing w:val="-19"/>
          <w:sz w:val="24"/>
          <w:vertAlign w:val="baseline"/>
        </w:rPr>
        <w:t> </w:t>
      </w:r>
      <w:r>
        <w:rPr>
          <w:i/>
          <w:sz w:val="24"/>
          <w:vertAlign w:val="baseline"/>
        </w:rPr>
        <w:t>ɸ</w:t>
      </w:r>
      <w:r>
        <w:rPr>
          <w:i/>
          <w:sz w:val="24"/>
          <w:vertAlign w:val="subscript"/>
        </w:rPr>
        <w:t>0</w:t>
      </w:r>
      <w:r>
        <w:rPr>
          <w:i/>
          <w:spacing w:val="-17"/>
          <w:sz w:val="24"/>
          <w:vertAlign w:val="baseline"/>
        </w:rPr>
        <w:t> </w:t>
      </w:r>
      <w:r>
        <w:rPr>
          <w:i/>
          <w:sz w:val="24"/>
          <w:vertAlign w:val="subscript"/>
        </w:rPr>
        <w:t>+</w:t>
      </w:r>
      <w:r>
        <w:rPr>
          <w:i/>
          <w:spacing w:val="21"/>
          <w:sz w:val="24"/>
          <w:vertAlign w:val="baseline"/>
        </w:rPr>
        <w:t> </w:t>
      </w:r>
      <w:r>
        <w:rPr>
          <w:i/>
          <w:sz w:val="24"/>
          <w:vertAlign w:val="baseline"/>
        </w:rPr>
        <w:t>ɸ</w:t>
      </w:r>
      <w:r>
        <w:rPr>
          <w:i/>
          <w:sz w:val="24"/>
          <w:vertAlign w:val="subscript"/>
        </w:rPr>
        <w:t>1</w:t>
      </w:r>
      <w:r>
        <w:rPr>
          <w:i/>
          <w:sz w:val="24"/>
          <w:vertAlign w:val="baseline"/>
        </w:rPr>
        <w:t>δEXDEBT</w:t>
      </w:r>
      <w:r>
        <w:rPr>
          <w:i/>
          <w:spacing w:val="3"/>
          <w:sz w:val="24"/>
          <w:vertAlign w:val="baseline"/>
        </w:rPr>
        <w:t> </w:t>
      </w:r>
      <w:r>
        <w:rPr>
          <w:i/>
          <w:sz w:val="24"/>
          <w:vertAlign w:val="baseline"/>
        </w:rPr>
        <w:t>+ ɸ</w:t>
      </w:r>
      <w:r>
        <w:rPr>
          <w:i/>
          <w:sz w:val="24"/>
          <w:vertAlign w:val="subscript"/>
        </w:rPr>
        <w:t>2</w:t>
      </w:r>
      <w:r>
        <w:rPr>
          <w:i/>
          <w:spacing w:val="2"/>
          <w:sz w:val="24"/>
          <w:vertAlign w:val="baseline"/>
        </w:rPr>
        <w:t> </w:t>
      </w:r>
      <w:r>
        <w:rPr>
          <w:i/>
          <w:sz w:val="24"/>
          <w:vertAlign w:val="baseline"/>
        </w:rPr>
        <w:t>DFI</w:t>
      </w:r>
      <w:r>
        <w:rPr>
          <w:i/>
          <w:spacing w:val="2"/>
          <w:sz w:val="24"/>
          <w:vertAlign w:val="baseline"/>
        </w:rPr>
        <w:t> </w:t>
      </w:r>
      <w:r>
        <w:rPr>
          <w:i/>
          <w:sz w:val="24"/>
          <w:vertAlign w:val="baseline"/>
        </w:rPr>
        <w:t>+ </w:t>
      </w:r>
      <w:r>
        <w:rPr>
          <w:i/>
          <w:sz w:val="24"/>
          <w:vertAlign w:val="subscript"/>
        </w:rPr>
        <w:t>=</w:t>
      </w:r>
      <w:r>
        <w:rPr>
          <w:i/>
          <w:spacing w:val="-19"/>
          <w:sz w:val="24"/>
          <w:vertAlign w:val="baseline"/>
        </w:rPr>
        <w:t> </w:t>
      </w:r>
      <w:r>
        <w:rPr>
          <w:i/>
          <w:sz w:val="24"/>
          <w:vertAlign w:val="baseline"/>
        </w:rPr>
        <w:t>ɸ</w:t>
      </w:r>
      <w:r>
        <w:rPr>
          <w:i/>
          <w:sz w:val="24"/>
          <w:vertAlign w:val="subscript"/>
        </w:rPr>
        <w:t>3</w:t>
      </w:r>
      <w:r>
        <w:rPr>
          <w:i/>
          <w:spacing w:val="-16"/>
          <w:sz w:val="24"/>
          <w:vertAlign w:val="baseline"/>
        </w:rPr>
        <w:t> </w:t>
      </w:r>
      <w:r>
        <w:rPr>
          <w:i/>
          <w:sz w:val="24"/>
          <w:vertAlign w:val="baseline"/>
        </w:rPr>
        <w:t>CAB</w:t>
      </w:r>
      <w:r>
        <w:rPr>
          <w:i/>
          <w:spacing w:val="2"/>
          <w:sz w:val="24"/>
          <w:vertAlign w:val="baseline"/>
        </w:rPr>
        <w:t> </w:t>
      </w:r>
      <w:r>
        <w:rPr>
          <w:i/>
          <w:sz w:val="24"/>
          <w:vertAlign w:val="baseline"/>
        </w:rPr>
        <w:t>+ ɸ</w:t>
      </w:r>
      <w:r>
        <w:rPr>
          <w:i/>
          <w:sz w:val="24"/>
          <w:vertAlign w:val="subscript"/>
        </w:rPr>
        <w:t>4</w:t>
      </w:r>
      <w:r>
        <w:rPr>
          <w:i/>
          <w:spacing w:val="-17"/>
          <w:sz w:val="24"/>
          <w:vertAlign w:val="baseline"/>
        </w:rPr>
        <w:t> </w:t>
      </w:r>
      <w:r>
        <w:rPr>
          <w:i/>
          <w:sz w:val="24"/>
          <w:vertAlign w:val="baseline"/>
        </w:rPr>
        <w:t>δRES</w:t>
      </w:r>
      <w:r>
        <w:rPr>
          <w:i/>
          <w:spacing w:val="2"/>
          <w:sz w:val="24"/>
          <w:vertAlign w:val="baseline"/>
        </w:rPr>
        <w:t> </w:t>
      </w:r>
      <w:r>
        <w:rPr>
          <w:i/>
          <w:sz w:val="24"/>
          <w:vertAlign w:val="baseline"/>
        </w:rPr>
        <w:t>+ </w:t>
      </w:r>
      <w:r>
        <w:rPr>
          <w:i/>
          <w:spacing w:val="-10"/>
          <w:sz w:val="24"/>
          <w:vertAlign w:val="baseline"/>
        </w:rPr>
        <w:t>µ</w:t>
      </w:r>
      <w:r>
        <w:rPr>
          <w:i/>
          <w:sz w:val="24"/>
          <w:vertAlign w:val="baseline"/>
        </w:rPr>
        <w:tab/>
      </w:r>
      <w:r>
        <w:rPr>
          <w:i/>
          <w:spacing w:val="-2"/>
          <w:sz w:val="24"/>
          <w:vertAlign w:val="baseline"/>
        </w:rPr>
        <w:t>(</w:t>
      </w:r>
      <w:r>
        <w:rPr>
          <w:spacing w:val="-2"/>
          <w:sz w:val="24"/>
          <w:vertAlign w:val="baseline"/>
        </w:rPr>
        <w:t>3.26</w:t>
      </w:r>
      <w:r>
        <w:rPr>
          <w:i/>
          <w:spacing w:val="-2"/>
          <w:sz w:val="24"/>
          <w:vertAlign w:val="baseline"/>
        </w:rPr>
        <w:t>)</w:t>
      </w:r>
    </w:p>
    <w:p>
      <w:pPr>
        <w:pStyle w:val="BodyText"/>
        <w:spacing w:before="54"/>
        <w:rPr>
          <w:i/>
        </w:rPr>
      </w:pPr>
    </w:p>
    <w:p>
      <w:pPr>
        <w:tabs>
          <w:tab w:pos="3851" w:val="left" w:leader="hyphen"/>
        </w:tabs>
        <w:spacing w:before="0"/>
        <w:ind w:left="711" w:right="0" w:firstLine="0"/>
        <w:jc w:val="left"/>
        <w:rPr>
          <w:sz w:val="24"/>
        </w:rPr>
      </w:pPr>
      <w:r>
        <w:rPr>
          <w:position w:val="2"/>
          <w:sz w:val="24"/>
        </w:rPr>
        <w:t>Where</w:t>
      </w:r>
      <w:r>
        <w:rPr>
          <w:spacing w:val="10"/>
          <w:position w:val="2"/>
          <w:sz w:val="24"/>
        </w:rPr>
        <w:t> </w:t>
      </w:r>
      <w:r>
        <w:rPr>
          <w:i/>
          <w:position w:val="2"/>
          <w:sz w:val="24"/>
        </w:rPr>
        <w:t>ɸ</w:t>
      </w:r>
      <w:r>
        <w:rPr>
          <w:i/>
          <w:sz w:val="16"/>
        </w:rPr>
        <w:t>0</w:t>
      </w:r>
      <w:r>
        <w:rPr>
          <w:i/>
          <w:spacing w:val="13"/>
          <w:sz w:val="16"/>
        </w:rPr>
        <w:t> </w:t>
      </w:r>
      <w:r>
        <w:rPr>
          <w:i/>
          <w:sz w:val="16"/>
        </w:rPr>
        <w:t>=</w:t>
      </w:r>
      <w:r>
        <w:rPr>
          <w:i/>
          <w:spacing w:val="11"/>
          <w:sz w:val="16"/>
        </w:rPr>
        <w:t> </w:t>
      </w:r>
      <w:r>
        <w:rPr>
          <w:i/>
          <w:position w:val="2"/>
          <w:sz w:val="24"/>
        </w:rPr>
        <w:t>Intercept</w:t>
      </w:r>
      <w:r>
        <w:rPr>
          <w:i/>
          <w:spacing w:val="11"/>
          <w:position w:val="2"/>
          <w:sz w:val="24"/>
        </w:rPr>
        <w:t> </w:t>
      </w:r>
      <w:r>
        <w:rPr>
          <w:i/>
          <w:position w:val="2"/>
          <w:sz w:val="24"/>
        </w:rPr>
        <w:t>and</w:t>
      </w:r>
      <w:r>
        <w:rPr>
          <w:i/>
          <w:spacing w:val="66"/>
          <w:position w:val="2"/>
          <w:sz w:val="24"/>
        </w:rPr>
        <w:t> </w:t>
      </w:r>
      <w:r>
        <w:rPr>
          <w:i/>
          <w:spacing w:val="-5"/>
          <w:position w:val="2"/>
          <w:sz w:val="24"/>
        </w:rPr>
        <w:t>ɸ</w:t>
      </w:r>
      <w:r>
        <w:rPr>
          <w:spacing w:val="-5"/>
          <w:sz w:val="16"/>
        </w:rPr>
        <w:t>1</w:t>
      </w:r>
      <w:r>
        <w:rPr>
          <w:sz w:val="16"/>
        </w:rPr>
        <w:tab/>
      </w:r>
      <w:r>
        <w:rPr>
          <w:i/>
          <w:position w:val="2"/>
          <w:sz w:val="24"/>
        </w:rPr>
        <w:t>ɸ</w:t>
      </w:r>
      <w:r>
        <w:rPr>
          <w:sz w:val="16"/>
        </w:rPr>
        <w:t>4</w:t>
      </w:r>
      <w:r>
        <w:rPr>
          <w:spacing w:val="11"/>
          <w:sz w:val="16"/>
        </w:rPr>
        <w:t> </w:t>
      </w:r>
      <w:r>
        <w:rPr>
          <w:position w:val="2"/>
          <w:sz w:val="24"/>
        </w:rPr>
        <w:t>are</w:t>
      </w:r>
      <w:r>
        <w:rPr>
          <w:spacing w:val="10"/>
          <w:position w:val="2"/>
          <w:sz w:val="24"/>
        </w:rPr>
        <w:t> </w:t>
      </w:r>
      <w:r>
        <w:rPr>
          <w:position w:val="2"/>
          <w:sz w:val="24"/>
        </w:rPr>
        <w:t>the</w:t>
      </w:r>
      <w:r>
        <w:rPr>
          <w:spacing w:val="11"/>
          <w:position w:val="2"/>
          <w:sz w:val="24"/>
        </w:rPr>
        <w:t> </w:t>
      </w:r>
      <w:r>
        <w:rPr>
          <w:position w:val="2"/>
          <w:sz w:val="24"/>
        </w:rPr>
        <w:t>coefficients</w:t>
      </w:r>
      <w:r>
        <w:rPr>
          <w:spacing w:val="12"/>
          <w:position w:val="2"/>
          <w:sz w:val="24"/>
        </w:rPr>
        <w:t> </w:t>
      </w:r>
      <w:r>
        <w:rPr>
          <w:position w:val="2"/>
          <w:sz w:val="24"/>
        </w:rPr>
        <w:t>of</w:t>
      </w:r>
      <w:r>
        <w:rPr>
          <w:spacing w:val="11"/>
          <w:position w:val="2"/>
          <w:sz w:val="24"/>
        </w:rPr>
        <w:t> </w:t>
      </w:r>
      <w:r>
        <w:rPr>
          <w:position w:val="2"/>
          <w:sz w:val="24"/>
        </w:rPr>
        <w:t>the</w:t>
      </w:r>
      <w:r>
        <w:rPr>
          <w:spacing w:val="11"/>
          <w:position w:val="2"/>
          <w:sz w:val="24"/>
        </w:rPr>
        <w:t> </w:t>
      </w:r>
      <w:r>
        <w:rPr>
          <w:position w:val="2"/>
          <w:sz w:val="24"/>
        </w:rPr>
        <w:t>estimates</w:t>
      </w:r>
      <w:r>
        <w:rPr>
          <w:spacing w:val="13"/>
          <w:position w:val="2"/>
          <w:sz w:val="24"/>
        </w:rPr>
        <w:t> </w:t>
      </w:r>
      <w:r>
        <w:rPr>
          <w:position w:val="2"/>
          <w:sz w:val="24"/>
        </w:rPr>
        <w:t>in</w:t>
      </w:r>
      <w:r>
        <w:rPr>
          <w:spacing w:val="12"/>
          <w:position w:val="2"/>
          <w:sz w:val="24"/>
        </w:rPr>
        <w:t> </w:t>
      </w:r>
      <w:r>
        <w:rPr>
          <w:position w:val="2"/>
          <w:sz w:val="24"/>
        </w:rPr>
        <w:t>the</w:t>
      </w:r>
      <w:r>
        <w:rPr>
          <w:spacing w:val="10"/>
          <w:position w:val="2"/>
          <w:sz w:val="24"/>
        </w:rPr>
        <w:t> </w:t>
      </w:r>
      <w:r>
        <w:rPr>
          <w:position w:val="2"/>
          <w:sz w:val="24"/>
        </w:rPr>
        <w:t>model</w:t>
      </w:r>
      <w:r>
        <w:rPr>
          <w:spacing w:val="11"/>
          <w:position w:val="2"/>
          <w:sz w:val="24"/>
        </w:rPr>
        <w:t> </w:t>
      </w:r>
      <w:r>
        <w:rPr>
          <w:position w:val="2"/>
          <w:sz w:val="24"/>
        </w:rPr>
        <w:t>and</w:t>
      </w:r>
      <w:r>
        <w:rPr>
          <w:spacing w:val="11"/>
          <w:position w:val="2"/>
          <w:sz w:val="24"/>
        </w:rPr>
        <w:t> </w:t>
      </w:r>
      <w:r>
        <w:rPr>
          <w:position w:val="2"/>
          <w:sz w:val="24"/>
        </w:rPr>
        <w:t>other</w:t>
      </w:r>
      <w:r>
        <w:rPr>
          <w:spacing w:val="11"/>
          <w:position w:val="2"/>
          <w:sz w:val="24"/>
        </w:rPr>
        <w:t> </w:t>
      </w:r>
      <w:r>
        <w:rPr>
          <w:position w:val="2"/>
          <w:sz w:val="24"/>
        </w:rPr>
        <w:t>variables</w:t>
      </w:r>
      <w:r>
        <w:rPr>
          <w:spacing w:val="15"/>
          <w:position w:val="2"/>
          <w:sz w:val="24"/>
        </w:rPr>
        <w:t> </w:t>
      </w:r>
      <w:r>
        <w:rPr>
          <w:spacing w:val="-5"/>
          <w:position w:val="2"/>
          <w:sz w:val="24"/>
        </w:rPr>
        <w:t>are</w:t>
      </w:r>
    </w:p>
    <w:p>
      <w:pPr>
        <w:pStyle w:val="BodyText"/>
        <w:spacing w:before="274"/>
        <w:ind w:left="711"/>
      </w:pPr>
      <w:r>
        <w:rPr/>
        <w:t>as</w:t>
      </w:r>
      <w:r>
        <w:rPr>
          <w:spacing w:val="-4"/>
        </w:rPr>
        <w:t> </w:t>
      </w:r>
      <w:r>
        <w:rPr/>
        <w:t>difined</w:t>
      </w:r>
      <w:r>
        <w:rPr>
          <w:spacing w:val="-1"/>
        </w:rPr>
        <w:t> </w:t>
      </w:r>
      <w:r>
        <w:rPr/>
        <w:t>in</w:t>
      </w:r>
      <w:r>
        <w:rPr>
          <w:spacing w:val="-1"/>
        </w:rPr>
        <w:t> </w:t>
      </w:r>
      <w:r>
        <w:rPr/>
        <w:t>equation</w:t>
      </w:r>
      <w:r>
        <w:rPr>
          <w:spacing w:val="-1"/>
        </w:rPr>
        <w:t> </w:t>
      </w:r>
      <w:r>
        <w:rPr>
          <w:spacing w:val="-5"/>
        </w:rPr>
        <w:t>3.7</w:t>
      </w:r>
    </w:p>
    <w:p>
      <w:pPr>
        <w:pStyle w:val="BodyText"/>
      </w:pPr>
    </w:p>
    <w:p>
      <w:pPr>
        <w:pStyle w:val="BodyText"/>
        <w:ind w:left="711"/>
      </w:pPr>
      <w:r>
        <w:rPr/>
        <w:t>By</w:t>
      </w:r>
      <w:r>
        <w:rPr>
          <w:spacing w:val="-7"/>
        </w:rPr>
        <w:t> </w:t>
      </w:r>
      <w:r>
        <w:rPr/>
        <w:t>log-linearising</w:t>
      </w:r>
      <w:r>
        <w:rPr>
          <w:spacing w:val="-2"/>
        </w:rPr>
        <w:t> </w:t>
      </w:r>
      <w:r>
        <w:rPr/>
        <w:t>equation 3.30</w:t>
      </w:r>
      <w:r>
        <w:rPr>
          <w:spacing w:val="1"/>
        </w:rPr>
        <w:t> </w:t>
      </w:r>
      <w:r>
        <w:rPr>
          <w:spacing w:val="-2"/>
        </w:rPr>
        <w:t>becomes:</w:t>
      </w:r>
    </w:p>
    <w:p>
      <w:pPr>
        <w:pStyle w:val="BodyText"/>
        <w:spacing w:before="38"/>
      </w:pPr>
    </w:p>
    <w:p>
      <w:pPr>
        <w:tabs>
          <w:tab w:pos="9300" w:val="left" w:leader="dot"/>
        </w:tabs>
        <w:spacing w:before="1"/>
        <w:ind w:left="711" w:right="0" w:firstLine="0"/>
        <w:jc w:val="left"/>
        <w:rPr>
          <w:sz w:val="24"/>
        </w:rPr>
      </w:pPr>
      <w:r>
        <w:rPr>
          <w:i/>
          <w:sz w:val="24"/>
        </w:rPr>
        <w:t>LogGDP</w:t>
      </w:r>
      <w:r>
        <w:rPr>
          <w:i/>
          <w:sz w:val="24"/>
          <w:vertAlign w:val="subscript"/>
        </w:rPr>
        <w:t>PRESAP</w:t>
      </w:r>
      <w:r>
        <w:rPr>
          <w:i/>
          <w:sz w:val="24"/>
          <w:vertAlign w:val="baseline"/>
        </w:rPr>
        <w:t>=ɸ</w:t>
      </w:r>
      <w:r>
        <w:rPr>
          <w:i/>
          <w:sz w:val="24"/>
          <w:vertAlign w:val="subscript"/>
        </w:rPr>
        <w:t>0+</w:t>
      </w:r>
      <w:r>
        <w:rPr>
          <w:i/>
          <w:sz w:val="24"/>
          <w:vertAlign w:val="baseline"/>
        </w:rPr>
        <w:t>ɸ</w:t>
      </w:r>
      <w:r>
        <w:rPr>
          <w:i/>
          <w:sz w:val="24"/>
          <w:vertAlign w:val="subscript"/>
        </w:rPr>
        <w:t>1</w:t>
      </w:r>
      <w:r>
        <w:rPr>
          <w:i/>
          <w:sz w:val="24"/>
          <w:vertAlign w:val="baseline"/>
        </w:rPr>
        <w:t>LogδEXDEBT+ɸ</w:t>
      </w:r>
      <w:r>
        <w:rPr>
          <w:i/>
          <w:sz w:val="24"/>
          <w:vertAlign w:val="subscript"/>
        </w:rPr>
        <w:t>2</w:t>
      </w:r>
      <w:r>
        <w:rPr>
          <w:i/>
          <w:sz w:val="24"/>
          <w:vertAlign w:val="baseline"/>
        </w:rPr>
        <w:t>LogDFI+ɸ</w:t>
      </w:r>
      <w:r>
        <w:rPr>
          <w:i/>
          <w:sz w:val="24"/>
          <w:vertAlign w:val="subscript"/>
        </w:rPr>
        <w:t>3</w:t>
      </w:r>
      <w:r>
        <w:rPr>
          <w:i/>
          <w:sz w:val="24"/>
          <w:vertAlign w:val="baseline"/>
        </w:rPr>
        <w:t>LogCAB+ɸ</w:t>
      </w:r>
      <w:r>
        <w:rPr>
          <w:i/>
          <w:sz w:val="24"/>
          <w:vertAlign w:val="subscript"/>
        </w:rPr>
        <w:t>4</w:t>
      </w:r>
      <w:r>
        <w:rPr>
          <w:i/>
          <w:sz w:val="24"/>
          <w:vertAlign w:val="baseline"/>
        </w:rPr>
        <w:t>LogδRES+</w:t>
      </w:r>
      <w:r>
        <w:rPr>
          <w:i/>
          <w:spacing w:val="20"/>
          <w:sz w:val="24"/>
          <w:vertAlign w:val="baseline"/>
        </w:rPr>
        <w:t> </w:t>
      </w:r>
      <w:r>
        <w:rPr>
          <w:i/>
          <w:spacing w:val="-10"/>
          <w:sz w:val="24"/>
          <w:vertAlign w:val="baseline"/>
        </w:rPr>
        <w:t>µ</w:t>
      </w:r>
      <w:r>
        <w:rPr>
          <w:i/>
          <w:sz w:val="24"/>
          <w:vertAlign w:val="baseline"/>
        </w:rPr>
        <w:tab/>
      </w:r>
      <w:r>
        <w:rPr>
          <w:i/>
          <w:spacing w:val="-2"/>
          <w:sz w:val="24"/>
          <w:vertAlign w:val="baseline"/>
        </w:rPr>
        <w:t>(</w:t>
      </w:r>
      <w:r>
        <w:rPr>
          <w:spacing w:val="-2"/>
          <w:sz w:val="24"/>
          <w:vertAlign w:val="baseline"/>
        </w:rPr>
        <w:t>3.27)</w:t>
      </w:r>
    </w:p>
    <w:p>
      <w:pPr>
        <w:spacing w:after="0"/>
        <w:jc w:val="left"/>
        <w:rPr>
          <w:sz w:val="24"/>
        </w:rPr>
        <w:sectPr>
          <w:pgSz w:w="11910" w:h="16840"/>
          <w:pgMar w:header="0" w:footer="979" w:top="1360" w:bottom="1180" w:left="280" w:right="0"/>
        </w:sectPr>
      </w:pPr>
    </w:p>
    <w:p>
      <w:pPr>
        <w:pStyle w:val="Heading6"/>
        <w:spacing w:before="60"/>
        <w:jc w:val="left"/>
      </w:pPr>
      <w:r>
        <w:rPr/>
        <w:t>For Morgan</w:t>
      </w:r>
      <w:r>
        <w:rPr>
          <w:spacing w:val="-1"/>
        </w:rPr>
        <w:t> </w:t>
      </w:r>
      <w:r>
        <w:rPr/>
        <w:t>trust</w:t>
      </w:r>
      <w:r>
        <w:rPr>
          <w:spacing w:val="-1"/>
        </w:rPr>
        <w:t> </w:t>
      </w:r>
      <w:r>
        <w:rPr/>
        <w:t>(1986)</w:t>
      </w:r>
      <w:r>
        <w:rPr>
          <w:spacing w:val="-2"/>
        </w:rPr>
        <w:t> </w:t>
      </w:r>
      <w:r>
        <w:rPr/>
        <w:t>capital</w:t>
      </w:r>
      <w:r>
        <w:rPr>
          <w:spacing w:val="-1"/>
        </w:rPr>
        <w:t> </w:t>
      </w:r>
      <w:r>
        <w:rPr/>
        <w:t>flight estimate</w:t>
      </w:r>
      <w:r>
        <w:rPr>
          <w:spacing w:val="-1"/>
        </w:rPr>
        <w:t> </w:t>
      </w:r>
      <w:r>
        <w:rPr/>
        <w:t>we</w:t>
      </w:r>
      <w:r>
        <w:rPr>
          <w:spacing w:val="-2"/>
        </w:rPr>
        <w:t> have:</w:t>
      </w:r>
    </w:p>
    <w:p>
      <w:pPr>
        <w:pStyle w:val="BodyText"/>
        <w:rPr>
          <w:b/>
        </w:rPr>
      </w:pPr>
    </w:p>
    <w:p>
      <w:pPr>
        <w:tabs>
          <w:tab w:pos="8700" w:val="left" w:leader="dot"/>
        </w:tabs>
        <w:spacing w:before="0"/>
        <w:ind w:left="711" w:right="0" w:firstLine="0"/>
        <w:jc w:val="left"/>
        <w:rPr>
          <w:i/>
          <w:sz w:val="24"/>
        </w:rPr>
      </w:pPr>
      <w:r>
        <w:rPr>
          <w:i/>
          <w:spacing w:val="-2"/>
          <w:position w:val="2"/>
          <w:sz w:val="24"/>
        </w:rPr>
        <w:t>GDP</w:t>
      </w:r>
      <w:r>
        <w:rPr>
          <w:i/>
          <w:spacing w:val="-2"/>
          <w:sz w:val="16"/>
        </w:rPr>
        <w:t>PRESAP</w:t>
      </w:r>
      <w:r>
        <w:rPr>
          <w:i/>
          <w:spacing w:val="-2"/>
          <w:position w:val="2"/>
          <w:sz w:val="24"/>
        </w:rPr>
        <w:t>=f(δEXDEBT,,DFI,CAB,ɗRES,δNEXTAS,µ)</w:t>
      </w:r>
      <w:r>
        <w:rPr>
          <w:i/>
          <w:position w:val="2"/>
          <w:sz w:val="24"/>
        </w:rPr>
        <w:tab/>
      </w:r>
      <w:r>
        <w:rPr>
          <w:i/>
          <w:spacing w:val="-2"/>
          <w:position w:val="2"/>
          <w:sz w:val="24"/>
        </w:rPr>
        <w:t>(</w:t>
      </w:r>
      <w:r>
        <w:rPr>
          <w:spacing w:val="-2"/>
          <w:position w:val="2"/>
          <w:sz w:val="24"/>
        </w:rPr>
        <w:t>3.28</w:t>
      </w:r>
      <w:r>
        <w:rPr>
          <w:i/>
          <w:spacing w:val="-2"/>
          <w:position w:val="2"/>
          <w:sz w:val="24"/>
        </w:rPr>
        <w:t>)</w:t>
      </w:r>
    </w:p>
    <w:p>
      <w:pPr>
        <w:pStyle w:val="BodyText"/>
        <w:spacing w:before="274"/>
        <w:ind w:left="711"/>
      </w:pPr>
      <w:r>
        <w:rPr>
          <w:spacing w:val="-2"/>
        </w:rPr>
        <w:t>Where:</w:t>
      </w:r>
    </w:p>
    <w:p>
      <w:pPr>
        <w:pStyle w:val="BodyText"/>
      </w:pPr>
    </w:p>
    <w:p>
      <w:pPr>
        <w:pStyle w:val="BodyText"/>
        <w:spacing w:line="480" w:lineRule="auto"/>
        <w:ind w:left="711"/>
      </w:pPr>
      <w:r>
        <w:rPr/>
        <w:t>δNEXTAS</w:t>
      </w:r>
      <w:r>
        <w:rPr>
          <w:spacing w:val="-1"/>
        </w:rPr>
        <w:t> </w:t>
      </w:r>
      <w:r>
        <w:rPr/>
        <w:t>=</w:t>
      </w:r>
      <w:r>
        <w:rPr>
          <w:spacing w:val="80"/>
        </w:rPr>
        <w:t> </w:t>
      </w:r>
      <w:r>
        <w:rPr/>
        <w:t>Change in foreign asset of domestic banking system,</w:t>
      </w:r>
      <w:r>
        <w:rPr>
          <w:spacing w:val="80"/>
        </w:rPr>
        <w:t> </w:t>
      </w:r>
      <w:r>
        <w:rPr/>
        <w:t>other variableremained</w:t>
      </w:r>
      <w:r>
        <w:rPr>
          <w:spacing w:val="80"/>
        </w:rPr>
        <w:t> </w:t>
      </w:r>
      <w:r>
        <w:rPr/>
        <w:t>as defined in</w:t>
      </w:r>
      <w:r>
        <w:rPr>
          <w:spacing w:val="40"/>
        </w:rPr>
        <w:t> </w:t>
      </w:r>
      <w:r>
        <w:rPr/>
        <w:t>equation 3.7</w:t>
      </w:r>
    </w:p>
    <w:p>
      <w:pPr>
        <w:pStyle w:val="BodyText"/>
        <w:ind w:left="711"/>
      </w:pPr>
      <w:r>
        <w:rPr/>
        <w:t>Stating</w:t>
      </w:r>
      <w:r>
        <w:rPr>
          <w:spacing w:val="-3"/>
        </w:rPr>
        <w:t> </w:t>
      </w:r>
      <w:r>
        <w:rPr/>
        <w:t>the</w:t>
      </w:r>
      <w:r>
        <w:rPr>
          <w:spacing w:val="-1"/>
        </w:rPr>
        <w:t> </w:t>
      </w:r>
      <w:r>
        <w:rPr/>
        <w:t>model</w:t>
      </w:r>
      <w:r>
        <w:rPr>
          <w:spacing w:val="-1"/>
        </w:rPr>
        <w:t> </w:t>
      </w:r>
      <w:r>
        <w:rPr/>
        <w:t>explicitly,</w:t>
      </w:r>
      <w:r>
        <w:rPr>
          <w:spacing w:val="-1"/>
        </w:rPr>
        <w:t> </w:t>
      </w:r>
      <w:r>
        <w:rPr/>
        <w:t>we</w:t>
      </w:r>
      <w:r>
        <w:rPr>
          <w:spacing w:val="-2"/>
        </w:rPr>
        <w:t> </w:t>
      </w:r>
      <w:r>
        <w:rPr>
          <w:spacing w:val="-4"/>
        </w:rPr>
        <w:t>have:</w:t>
      </w:r>
    </w:p>
    <w:p>
      <w:pPr>
        <w:pStyle w:val="BodyText"/>
        <w:spacing w:before="39"/>
      </w:pPr>
    </w:p>
    <w:p>
      <w:pPr>
        <w:tabs>
          <w:tab w:pos="9554" w:val="left" w:leader="dot"/>
        </w:tabs>
        <w:spacing w:before="0"/>
        <w:ind w:left="711" w:right="0" w:firstLine="0"/>
        <w:jc w:val="left"/>
        <w:rPr>
          <w:sz w:val="24"/>
          <w:szCs w:val="24"/>
        </w:rPr>
      </w:pPr>
      <w:r>
        <w:rPr>
          <w:i/>
          <w:iCs/>
          <w:spacing w:val="-2"/>
          <w:sz w:val="24"/>
          <w:szCs w:val="24"/>
        </w:rPr>
        <w:t>GDP</w:t>
      </w:r>
      <w:r>
        <w:rPr>
          <w:i/>
          <w:iCs/>
          <w:spacing w:val="-2"/>
          <w:sz w:val="24"/>
          <w:szCs w:val="24"/>
          <w:vertAlign w:val="subscript"/>
        </w:rPr>
        <w:t>PRESAP</w:t>
      </w:r>
      <w:r>
        <w:rPr>
          <w:i/>
          <w:iCs/>
          <w:spacing w:val="-2"/>
          <w:sz w:val="24"/>
          <w:szCs w:val="24"/>
          <w:vertAlign w:val="baseline"/>
        </w:rPr>
        <w:t>=Ϙ</w:t>
      </w:r>
      <w:r>
        <w:rPr>
          <w:i/>
          <w:iCs/>
          <w:spacing w:val="-2"/>
          <w:sz w:val="24"/>
          <w:szCs w:val="24"/>
          <w:vertAlign w:val="subscript"/>
        </w:rPr>
        <w:t>0</w:t>
      </w:r>
      <w:r>
        <w:rPr>
          <w:i/>
          <w:iCs/>
          <w:spacing w:val="-2"/>
          <w:sz w:val="24"/>
          <w:szCs w:val="24"/>
          <w:vertAlign w:val="baseline"/>
        </w:rPr>
        <w:t>+Ϙ</w:t>
      </w:r>
      <w:r>
        <w:rPr>
          <w:i/>
          <w:iCs/>
          <w:spacing w:val="-2"/>
          <w:sz w:val="24"/>
          <w:szCs w:val="24"/>
          <w:vertAlign w:val="subscript"/>
        </w:rPr>
        <w:t>1</w:t>
      </w:r>
      <w:r>
        <w:rPr>
          <w:i/>
          <w:iCs/>
          <w:spacing w:val="-2"/>
          <w:sz w:val="24"/>
          <w:szCs w:val="24"/>
          <w:vertAlign w:val="baseline"/>
        </w:rPr>
        <w:t>δEXDEBT+Ϙ</w:t>
      </w:r>
      <w:r>
        <w:rPr>
          <w:i/>
          <w:iCs/>
          <w:spacing w:val="-2"/>
          <w:sz w:val="24"/>
          <w:szCs w:val="24"/>
          <w:vertAlign w:val="subscript"/>
        </w:rPr>
        <w:t>2</w:t>
      </w:r>
      <w:r>
        <w:rPr>
          <w:i/>
          <w:iCs/>
          <w:spacing w:val="-2"/>
          <w:sz w:val="24"/>
          <w:szCs w:val="24"/>
          <w:vertAlign w:val="baseline"/>
        </w:rPr>
        <w:t>DFI+Ϙ</w:t>
      </w:r>
      <w:r>
        <w:rPr>
          <w:i/>
          <w:iCs/>
          <w:spacing w:val="-2"/>
          <w:sz w:val="24"/>
          <w:szCs w:val="24"/>
          <w:vertAlign w:val="subscript"/>
        </w:rPr>
        <w:t>3</w:t>
      </w:r>
      <w:r>
        <w:rPr>
          <w:i/>
          <w:iCs/>
          <w:spacing w:val="-2"/>
          <w:sz w:val="24"/>
          <w:szCs w:val="24"/>
          <w:vertAlign w:val="baseline"/>
        </w:rPr>
        <w:t>CAB+Ϙ</w:t>
      </w:r>
      <w:r>
        <w:rPr>
          <w:i/>
          <w:iCs/>
          <w:spacing w:val="-2"/>
          <w:sz w:val="24"/>
          <w:szCs w:val="24"/>
          <w:vertAlign w:val="subscript"/>
        </w:rPr>
        <w:t>4</w:t>
      </w:r>
      <w:r>
        <w:rPr>
          <w:i/>
          <w:iCs/>
          <w:spacing w:val="-2"/>
          <w:sz w:val="24"/>
          <w:szCs w:val="24"/>
          <w:vertAlign w:val="baseline"/>
        </w:rPr>
        <w:t>δRES+Ϙ</w:t>
      </w:r>
      <w:r>
        <w:rPr>
          <w:i/>
          <w:iCs/>
          <w:spacing w:val="-2"/>
          <w:sz w:val="24"/>
          <w:szCs w:val="24"/>
          <w:vertAlign w:val="subscript"/>
        </w:rPr>
        <w:t>5</w:t>
      </w:r>
      <w:r>
        <w:rPr>
          <w:i/>
          <w:iCs/>
          <w:spacing w:val="-2"/>
          <w:sz w:val="24"/>
          <w:szCs w:val="24"/>
          <w:vertAlign w:val="baseline"/>
        </w:rPr>
        <w:t>δNEXTAS+</w:t>
      </w:r>
      <w:r>
        <w:rPr>
          <w:i/>
          <w:iCs/>
          <w:sz w:val="24"/>
          <w:szCs w:val="24"/>
          <w:vertAlign w:val="baseline"/>
        </w:rPr>
        <w:tab/>
      </w:r>
      <w:r>
        <w:rPr>
          <w:spacing w:val="-2"/>
          <w:sz w:val="24"/>
          <w:szCs w:val="24"/>
          <w:vertAlign w:val="baseline"/>
        </w:rPr>
        <w:t>(3.29)</w:t>
      </w:r>
    </w:p>
    <w:p>
      <w:pPr>
        <w:pStyle w:val="BodyText"/>
        <w:spacing w:before="52"/>
      </w:pPr>
    </w:p>
    <w:p>
      <w:pPr>
        <w:pStyle w:val="BodyText"/>
        <w:ind w:left="711"/>
      </w:pPr>
      <w:r>
        <w:rPr>
          <w:position w:val="2"/>
        </w:rPr>
        <w:t>Where:</w:t>
      </w:r>
      <w:r>
        <w:rPr>
          <w:spacing w:val="-1"/>
          <w:position w:val="2"/>
        </w:rPr>
        <w:t> </w:t>
      </w:r>
      <w:r>
        <w:rPr>
          <w:i/>
          <w:iCs/>
          <w:position w:val="2"/>
        </w:rPr>
        <w:t>Ϙ</w:t>
      </w:r>
      <w:r>
        <w:rPr>
          <w:i/>
          <w:iCs/>
          <w:sz w:val="16"/>
          <w:szCs w:val="16"/>
        </w:rPr>
        <w:t>0</w:t>
      </w:r>
      <w:r>
        <w:rPr>
          <w:sz w:val="16"/>
          <w:szCs w:val="16"/>
        </w:rPr>
        <w:t>,</w:t>
      </w:r>
      <w:r>
        <w:rPr>
          <w:spacing w:val="1"/>
          <w:sz w:val="16"/>
          <w:szCs w:val="16"/>
        </w:rPr>
        <w:t> </w:t>
      </w:r>
      <w:r>
        <w:rPr>
          <w:position w:val="2"/>
        </w:rPr>
        <w:t>is</w:t>
      </w:r>
      <w:r>
        <w:rPr>
          <w:spacing w:val="-1"/>
          <w:position w:val="2"/>
        </w:rPr>
        <w:t> </w:t>
      </w:r>
      <w:r>
        <w:rPr>
          <w:position w:val="2"/>
        </w:rPr>
        <w:t>the</w:t>
      </w:r>
      <w:r>
        <w:rPr>
          <w:spacing w:val="36"/>
          <w:position w:val="2"/>
        </w:rPr>
        <w:t> </w:t>
      </w:r>
      <w:r>
        <w:rPr>
          <w:position w:val="2"/>
        </w:rPr>
        <w:t>intercept</w:t>
      </w:r>
      <w:r>
        <w:rPr>
          <w:spacing w:val="-1"/>
          <w:position w:val="2"/>
        </w:rPr>
        <w:t> </w:t>
      </w:r>
      <w:r>
        <w:rPr>
          <w:position w:val="2"/>
        </w:rPr>
        <w:t>of the</w:t>
      </w:r>
      <w:r>
        <w:rPr>
          <w:spacing w:val="-1"/>
          <w:position w:val="2"/>
        </w:rPr>
        <w:t> </w:t>
      </w:r>
      <w:r>
        <w:rPr>
          <w:position w:val="2"/>
        </w:rPr>
        <w:t>equation</w:t>
      </w:r>
      <w:r>
        <w:rPr>
          <w:spacing w:val="1"/>
          <w:position w:val="2"/>
        </w:rPr>
        <w:t> </w:t>
      </w:r>
      <w:r>
        <w:rPr>
          <w:position w:val="2"/>
        </w:rPr>
        <w:t>in</w:t>
      </w:r>
      <w:r>
        <w:rPr>
          <w:spacing w:val="-1"/>
          <w:position w:val="2"/>
        </w:rPr>
        <w:t> </w:t>
      </w:r>
      <w:r>
        <w:rPr>
          <w:position w:val="2"/>
        </w:rPr>
        <w:t>the</w:t>
      </w:r>
      <w:r>
        <w:rPr>
          <w:spacing w:val="1"/>
          <w:position w:val="2"/>
        </w:rPr>
        <w:t> </w:t>
      </w:r>
      <w:r>
        <w:rPr>
          <w:spacing w:val="-2"/>
          <w:position w:val="2"/>
        </w:rPr>
        <w:t>model</w:t>
      </w:r>
    </w:p>
    <w:p>
      <w:pPr>
        <w:pStyle w:val="BodyText"/>
        <w:tabs>
          <w:tab w:pos="1311" w:val="left" w:leader="hyphen"/>
        </w:tabs>
        <w:spacing w:before="274"/>
        <w:ind w:left="711"/>
      </w:pPr>
      <w:r>
        <w:rPr>
          <w:i/>
          <w:iCs/>
          <w:spacing w:val="-5"/>
          <w:position w:val="2"/>
        </w:rPr>
        <w:t>Ϙ</w:t>
      </w:r>
      <w:r>
        <w:rPr>
          <w:spacing w:val="-5"/>
          <w:sz w:val="16"/>
          <w:szCs w:val="16"/>
        </w:rPr>
        <w:t>1</w:t>
      </w:r>
      <w:r>
        <w:rPr>
          <w:sz w:val="16"/>
          <w:szCs w:val="16"/>
        </w:rPr>
        <w:tab/>
      </w:r>
      <w:r>
        <w:rPr>
          <w:i/>
          <w:iCs/>
          <w:position w:val="2"/>
        </w:rPr>
        <w:t>Ϙ</w:t>
      </w:r>
      <w:r>
        <w:rPr>
          <w:i/>
          <w:iCs/>
          <w:sz w:val="16"/>
          <w:szCs w:val="16"/>
        </w:rPr>
        <w:t>5</w:t>
      </w:r>
      <w:r>
        <w:rPr>
          <w:i/>
          <w:iCs/>
          <w:spacing w:val="1"/>
          <w:sz w:val="16"/>
          <w:szCs w:val="16"/>
        </w:rPr>
        <w:t> </w:t>
      </w:r>
      <w:r>
        <w:rPr>
          <w:position w:val="2"/>
        </w:rPr>
        <w:t>are</w:t>
      </w:r>
      <w:r>
        <w:rPr>
          <w:spacing w:val="-3"/>
          <w:position w:val="2"/>
        </w:rPr>
        <w:t> </w:t>
      </w:r>
      <w:r>
        <w:rPr>
          <w:position w:val="2"/>
        </w:rPr>
        <w:t>the</w:t>
      </w:r>
      <w:r>
        <w:rPr>
          <w:spacing w:val="-1"/>
          <w:position w:val="2"/>
        </w:rPr>
        <w:t> </w:t>
      </w:r>
      <w:r>
        <w:rPr>
          <w:position w:val="2"/>
        </w:rPr>
        <w:t>coefficients</w:t>
      </w:r>
      <w:r>
        <w:rPr>
          <w:spacing w:val="-1"/>
          <w:position w:val="2"/>
        </w:rPr>
        <w:t> </w:t>
      </w:r>
      <w:r>
        <w:rPr>
          <w:position w:val="2"/>
        </w:rPr>
        <w:t>of</w:t>
      </w:r>
      <w:r>
        <w:rPr>
          <w:spacing w:val="-1"/>
          <w:position w:val="2"/>
        </w:rPr>
        <w:t> </w:t>
      </w:r>
      <w:r>
        <w:rPr>
          <w:position w:val="2"/>
        </w:rPr>
        <w:t>the </w:t>
      </w:r>
      <w:r>
        <w:rPr>
          <w:spacing w:val="-2"/>
          <w:position w:val="2"/>
        </w:rPr>
        <w:t>estimates.</w:t>
      </w:r>
    </w:p>
    <w:p>
      <w:pPr>
        <w:pStyle w:val="BodyText"/>
        <w:spacing w:line="480" w:lineRule="auto" w:before="274"/>
        <w:ind w:left="711"/>
      </w:pPr>
      <w:r>
        <w:rPr/>
        <w:t>δNEXTAS</w:t>
      </w:r>
      <w:r>
        <w:rPr>
          <w:spacing w:val="-1"/>
        </w:rPr>
        <w:t> </w:t>
      </w:r>
      <w:r>
        <w:rPr/>
        <w:t>=</w:t>
      </w:r>
      <w:r>
        <w:rPr>
          <w:spacing w:val="80"/>
        </w:rPr>
        <w:t> </w:t>
      </w:r>
      <w:r>
        <w:rPr/>
        <w:t>Change in foreign asset of domestic banking system,</w:t>
      </w:r>
      <w:r>
        <w:rPr>
          <w:spacing w:val="80"/>
        </w:rPr>
        <w:t> </w:t>
      </w:r>
      <w:r>
        <w:rPr/>
        <w:t>other variable remained</w:t>
      </w:r>
      <w:r>
        <w:rPr>
          <w:spacing w:val="80"/>
        </w:rPr>
        <w:t> </w:t>
      </w:r>
      <w:r>
        <w:rPr/>
        <w:t>as defined in equation 3.7</w:t>
      </w:r>
    </w:p>
    <w:p>
      <w:pPr>
        <w:pStyle w:val="BodyText"/>
        <w:ind w:left="711"/>
      </w:pPr>
      <w:r>
        <w:rPr/>
        <w:t>By</w:t>
      </w:r>
      <w:r>
        <w:rPr>
          <w:spacing w:val="-5"/>
        </w:rPr>
        <w:t> </w:t>
      </w:r>
      <w:r>
        <w:rPr/>
        <w:t>log-linearising</w:t>
      </w:r>
      <w:r>
        <w:rPr>
          <w:spacing w:val="-3"/>
        </w:rPr>
        <w:t> </w:t>
      </w:r>
      <w:r>
        <w:rPr/>
        <w:t>equation</w:t>
      </w:r>
      <w:r>
        <w:rPr>
          <w:spacing w:val="1"/>
        </w:rPr>
        <w:t> </w:t>
      </w:r>
      <w:r>
        <w:rPr/>
        <w:t>3.29, we</w:t>
      </w:r>
      <w:r>
        <w:rPr>
          <w:spacing w:val="-1"/>
        </w:rPr>
        <w:t> </w:t>
      </w:r>
      <w:r>
        <w:rPr>
          <w:spacing w:val="-4"/>
        </w:rPr>
        <w:t>have:</w:t>
      </w:r>
    </w:p>
    <w:p>
      <w:pPr>
        <w:pStyle w:val="BodyText"/>
        <w:spacing w:before="38"/>
      </w:pPr>
    </w:p>
    <w:p>
      <w:pPr>
        <w:tabs>
          <w:tab w:pos="6662" w:val="left" w:leader="none"/>
        </w:tabs>
        <w:spacing w:before="0"/>
        <w:ind w:left="711" w:right="0" w:firstLine="0"/>
        <w:jc w:val="left"/>
        <w:rPr>
          <w:i/>
          <w:iCs/>
          <w:sz w:val="24"/>
          <w:szCs w:val="24"/>
        </w:rPr>
      </w:pPr>
      <w:r>
        <w:rPr>
          <w:i/>
          <w:iCs/>
          <w:spacing w:val="-2"/>
          <w:sz w:val="24"/>
          <w:szCs w:val="24"/>
        </w:rPr>
        <w:t>LogGDP</w:t>
      </w:r>
      <w:r>
        <w:rPr>
          <w:i/>
          <w:iCs/>
          <w:spacing w:val="-2"/>
          <w:sz w:val="24"/>
          <w:szCs w:val="24"/>
          <w:vertAlign w:val="subscript"/>
        </w:rPr>
        <w:t>PRESAP</w:t>
      </w:r>
      <w:r>
        <w:rPr>
          <w:i/>
          <w:iCs/>
          <w:spacing w:val="-2"/>
          <w:sz w:val="24"/>
          <w:szCs w:val="24"/>
          <w:vertAlign w:val="baseline"/>
        </w:rPr>
        <w:t>=Ϙ</w:t>
      </w:r>
      <w:r>
        <w:rPr>
          <w:i/>
          <w:iCs/>
          <w:spacing w:val="-2"/>
          <w:sz w:val="24"/>
          <w:szCs w:val="24"/>
          <w:vertAlign w:val="subscript"/>
        </w:rPr>
        <w:t>0</w:t>
      </w:r>
      <w:r>
        <w:rPr>
          <w:i/>
          <w:iCs/>
          <w:spacing w:val="-2"/>
          <w:sz w:val="24"/>
          <w:szCs w:val="24"/>
          <w:vertAlign w:val="baseline"/>
        </w:rPr>
        <w:t>+Ϙ</w:t>
      </w:r>
      <w:r>
        <w:rPr>
          <w:i/>
          <w:iCs/>
          <w:spacing w:val="-2"/>
          <w:sz w:val="24"/>
          <w:szCs w:val="24"/>
          <w:vertAlign w:val="subscript"/>
        </w:rPr>
        <w:t>1</w:t>
      </w:r>
      <w:r>
        <w:rPr>
          <w:i/>
          <w:iCs/>
          <w:spacing w:val="-2"/>
          <w:sz w:val="24"/>
          <w:szCs w:val="24"/>
          <w:vertAlign w:val="baseline"/>
        </w:rPr>
        <w:t>LogδEXDEBT+Ϙ</w:t>
      </w:r>
      <w:r>
        <w:rPr>
          <w:i/>
          <w:iCs/>
          <w:spacing w:val="-2"/>
          <w:sz w:val="24"/>
          <w:szCs w:val="24"/>
          <w:vertAlign w:val="subscript"/>
        </w:rPr>
        <w:t>2</w:t>
      </w:r>
      <w:r>
        <w:rPr>
          <w:i/>
          <w:iCs/>
          <w:spacing w:val="-2"/>
          <w:sz w:val="24"/>
          <w:szCs w:val="24"/>
          <w:vertAlign w:val="baseline"/>
        </w:rPr>
        <w:t>LogDFI</w:t>
      </w:r>
      <w:r>
        <w:rPr>
          <w:i/>
          <w:iCs/>
          <w:sz w:val="24"/>
          <w:szCs w:val="24"/>
          <w:vertAlign w:val="baseline"/>
        </w:rPr>
        <w:tab/>
      </w:r>
      <w:r>
        <w:rPr>
          <w:i/>
          <w:iCs/>
          <w:spacing w:val="-2"/>
          <w:sz w:val="24"/>
          <w:szCs w:val="24"/>
          <w:vertAlign w:val="baseline"/>
        </w:rPr>
        <w:t>+Ϙ</w:t>
      </w:r>
      <w:r>
        <w:rPr>
          <w:i/>
          <w:iCs/>
          <w:spacing w:val="-2"/>
          <w:sz w:val="24"/>
          <w:szCs w:val="24"/>
          <w:vertAlign w:val="subscript"/>
        </w:rPr>
        <w:t>3</w:t>
      </w:r>
      <w:r>
        <w:rPr>
          <w:i/>
          <w:iCs/>
          <w:spacing w:val="-2"/>
          <w:sz w:val="24"/>
          <w:szCs w:val="24"/>
          <w:vertAlign w:val="baseline"/>
        </w:rPr>
        <w:t>LogCAB+Ϙ</w:t>
      </w:r>
      <w:r>
        <w:rPr>
          <w:i/>
          <w:iCs/>
          <w:spacing w:val="-2"/>
          <w:sz w:val="24"/>
          <w:szCs w:val="24"/>
          <w:vertAlign w:val="subscript"/>
        </w:rPr>
        <w:t>4</w:t>
      </w:r>
      <w:r>
        <w:rPr>
          <w:i/>
          <w:iCs/>
          <w:spacing w:val="-2"/>
          <w:sz w:val="24"/>
          <w:szCs w:val="24"/>
          <w:vertAlign w:val="baseline"/>
        </w:rPr>
        <w:t>LogδRES+Ϙ</w:t>
      </w:r>
      <w:r>
        <w:rPr>
          <w:i/>
          <w:iCs/>
          <w:spacing w:val="-2"/>
          <w:sz w:val="24"/>
          <w:szCs w:val="24"/>
          <w:vertAlign w:val="subscript"/>
        </w:rPr>
        <w:t>5</w:t>
      </w:r>
      <w:r>
        <w:rPr>
          <w:i/>
          <w:iCs/>
          <w:spacing w:val="-2"/>
          <w:sz w:val="24"/>
          <w:szCs w:val="24"/>
          <w:vertAlign w:val="baseline"/>
        </w:rPr>
        <w:t>LogδNEXTAS+</w:t>
      </w:r>
    </w:p>
    <w:p>
      <w:pPr>
        <w:pStyle w:val="BodyText"/>
        <w:spacing w:before="54"/>
        <w:rPr>
          <w:i/>
        </w:rPr>
      </w:pPr>
    </w:p>
    <w:p>
      <w:pPr>
        <w:tabs>
          <w:tab w:pos="4052" w:val="left" w:leader="dot"/>
        </w:tabs>
        <w:spacing w:before="0"/>
        <w:ind w:left="711" w:right="0" w:firstLine="0"/>
        <w:jc w:val="left"/>
        <w:rPr>
          <w:i/>
          <w:sz w:val="24"/>
        </w:rPr>
      </w:pPr>
      <w:r>
        <w:rPr>
          <w:i/>
          <w:spacing w:val="-10"/>
          <w:sz w:val="24"/>
        </w:rPr>
        <w:t>µ</w:t>
      </w:r>
      <w:r>
        <w:rPr>
          <w:i/>
          <w:sz w:val="24"/>
        </w:rPr>
        <w:tab/>
      </w:r>
      <w:r>
        <w:rPr>
          <w:i/>
          <w:spacing w:val="-2"/>
          <w:sz w:val="24"/>
        </w:rPr>
        <w:t>(3.30)</w:t>
      </w:r>
    </w:p>
    <w:p>
      <w:pPr>
        <w:pStyle w:val="BodyText"/>
        <w:rPr>
          <w:i/>
        </w:rPr>
      </w:pPr>
    </w:p>
    <w:p>
      <w:pPr>
        <w:pStyle w:val="BodyText"/>
        <w:tabs>
          <w:tab w:pos="2151" w:val="left" w:leader="none"/>
        </w:tabs>
        <w:ind w:left="711"/>
      </w:pPr>
      <w:r>
        <w:rPr/>
        <w:t>Where:</w:t>
      </w:r>
      <w:r>
        <w:rPr>
          <w:spacing w:val="61"/>
        </w:rPr>
        <w:t> </w:t>
      </w:r>
      <w:r>
        <w:rPr>
          <w:spacing w:val="-5"/>
        </w:rPr>
        <w:t>Log</w:t>
      </w:r>
      <w:r>
        <w:rPr/>
        <w:tab/>
        <w:t>=</w:t>
      </w:r>
      <w:r>
        <w:rPr>
          <w:spacing w:val="-3"/>
        </w:rPr>
        <w:t> </w:t>
      </w:r>
      <w:r>
        <w:rPr/>
        <w:t>Natural</w:t>
      </w:r>
      <w:r>
        <w:rPr>
          <w:spacing w:val="1"/>
        </w:rPr>
        <w:t> </w:t>
      </w:r>
      <w:r>
        <w:rPr/>
        <w:t>Logarithm and</w:t>
      </w:r>
      <w:r>
        <w:rPr>
          <w:spacing w:val="1"/>
        </w:rPr>
        <w:t> </w:t>
      </w:r>
      <w:r>
        <w:rPr/>
        <w:t>other</w:t>
      </w:r>
      <w:r>
        <w:rPr>
          <w:spacing w:val="-4"/>
        </w:rPr>
        <w:t> </w:t>
      </w:r>
      <w:r>
        <w:rPr/>
        <w:t>variables</w:t>
      </w:r>
      <w:r>
        <w:rPr>
          <w:spacing w:val="-1"/>
        </w:rPr>
        <w:t> </w:t>
      </w:r>
      <w:r>
        <w:rPr/>
        <w:t>as</w:t>
      </w:r>
      <w:r>
        <w:rPr>
          <w:spacing w:val="-1"/>
        </w:rPr>
        <w:t> </w:t>
      </w:r>
      <w:r>
        <w:rPr/>
        <w:t>difined in</w:t>
      </w:r>
      <w:r>
        <w:rPr>
          <w:spacing w:val="-1"/>
        </w:rPr>
        <w:t> </w:t>
      </w:r>
      <w:r>
        <w:rPr/>
        <w:t>equation</w:t>
      </w:r>
      <w:r>
        <w:rPr>
          <w:spacing w:val="-1"/>
        </w:rPr>
        <w:t> </w:t>
      </w:r>
      <w:r>
        <w:rPr>
          <w:spacing w:val="-4"/>
        </w:rPr>
        <w:t>3.17</w:t>
      </w:r>
    </w:p>
    <w:p>
      <w:pPr>
        <w:pStyle w:val="BodyText"/>
      </w:pPr>
    </w:p>
    <w:p>
      <w:pPr>
        <w:pStyle w:val="BodyText"/>
        <w:tabs>
          <w:tab w:pos="2511" w:val="left" w:leader="none"/>
          <w:tab w:pos="8137" w:val="left" w:leader="none"/>
          <w:tab w:pos="9842" w:val="left" w:leader="none"/>
          <w:tab w:pos="10953" w:val="left" w:leader="none"/>
        </w:tabs>
        <w:spacing w:line="480" w:lineRule="auto"/>
        <w:ind w:left="711" w:right="472"/>
      </w:pPr>
      <w:r>
        <w:rPr/>
        <w:t>δNEXTAS =</w:t>
        <w:tab/>
        <w:t>Change</w:t>
      </w:r>
      <w:r>
        <w:rPr>
          <w:spacing w:val="40"/>
        </w:rPr>
        <w:t> </w:t>
      </w:r>
      <w:r>
        <w:rPr/>
        <w:t>in</w:t>
      </w:r>
      <w:r>
        <w:rPr>
          <w:spacing w:val="40"/>
        </w:rPr>
        <w:t> </w:t>
      </w:r>
      <w:r>
        <w:rPr/>
        <w:t>foreign</w:t>
      </w:r>
      <w:r>
        <w:rPr>
          <w:spacing w:val="40"/>
        </w:rPr>
        <w:t> </w:t>
      </w:r>
      <w:r>
        <w:rPr/>
        <w:t>asset</w:t>
      </w:r>
      <w:r>
        <w:rPr>
          <w:spacing w:val="40"/>
        </w:rPr>
        <w:t> </w:t>
      </w:r>
      <w:r>
        <w:rPr/>
        <w:t>of</w:t>
      </w:r>
      <w:r>
        <w:rPr>
          <w:spacing w:val="40"/>
        </w:rPr>
        <w:t> </w:t>
      </w:r>
      <w:r>
        <w:rPr/>
        <w:t>domestic</w:t>
      </w:r>
      <w:r>
        <w:rPr>
          <w:spacing w:val="40"/>
        </w:rPr>
        <w:t> </w:t>
      </w:r>
      <w:r>
        <w:rPr/>
        <w:t>banking</w:t>
      </w:r>
      <w:r>
        <w:rPr>
          <w:spacing w:val="40"/>
        </w:rPr>
        <w:t> </w:t>
      </w:r>
      <w:r>
        <w:rPr/>
        <w:t>system,</w:t>
        <w:tab/>
        <w:t>other</w:t>
      </w:r>
      <w:r>
        <w:rPr>
          <w:spacing w:val="40"/>
        </w:rPr>
        <w:t> </w:t>
      </w:r>
      <w:r>
        <w:rPr/>
        <w:t>variable</w:t>
        <w:tab/>
      </w:r>
      <w:r>
        <w:rPr>
          <w:spacing w:val="-2"/>
        </w:rPr>
        <w:t>remained</w:t>
      </w:r>
      <w:r>
        <w:rPr/>
        <w:tab/>
      </w:r>
      <w:r>
        <w:rPr>
          <w:spacing w:val="-6"/>
        </w:rPr>
        <w:t>as </w:t>
      </w:r>
      <w:r>
        <w:rPr/>
        <w:t>defined in equation 3.7</w:t>
      </w:r>
    </w:p>
    <w:p>
      <w:pPr>
        <w:pStyle w:val="Heading6"/>
        <w:jc w:val="left"/>
      </w:pPr>
      <w:r>
        <w:rPr/>
        <w:t>Model</w:t>
      </w:r>
      <w:r>
        <w:rPr>
          <w:spacing w:val="-3"/>
        </w:rPr>
        <w:t> </w:t>
      </w:r>
      <w:r>
        <w:rPr>
          <w:spacing w:val="-10"/>
        </w:rPr>
        <w:t>6</w:t>
      </w:r>
    </w:p>
    <w:p>
      <w:pPr>
        <w:pStyle w:val="BodyText"/>
        <w:rPr>
          <w:b/>
        </w:rPr>
      </w:pPr>
    </w:p>
    <w:p>
      <w:pPr>
        <w:pStyle w:val="BodyText"/>
        <w:spacing w:line="480" w:lineRule="auto"/>
        <w:ind w:left="711" w:right="472"/>
        <w:jc w:val="both"/>
      </w:pPr>
      <w:r>
        <w:rPr/>
        <w:t>This last model examines the effect of capital flight on the Nigeria economic growth in the Pos-SAP era (1987-2011). It is made up of two equations which represent the two components of the residual approach for estimating capital flight (World Bank and Erbe (1985) and Morgan trust (1986)). The two equations are specified as:</w:t>
      </w:r>
    </w:p>
    <w:p>
      <w:pPr>
        <w:pStyle w:val="Heading6"/>
        <w:spacing w:before="2"/>
      </w:pPr>
      <w:r>
        <w:rPr>
          <w:sz w:val="28"/>
        </w:rPr>
        <w:t>a.</w:t>
      </w:r>
      <w:r>
        <w:rPr>
          <w:spacing w:val="-4"/>
          <w:sz w:val="28"/>
        </w:rPr>
        <w:t> </w:t>
      </w:r>
      <w:r>
        <w:rPr/>
        <w:t>World</w:t>
      </w:r>
      <w:r>
        <w:rPr>
          <w:spacing w:val="1"/>
        </w:rPr>
        <w:t> </w:t>
      </w:r>
      <w:r>
        <w:rPr/>
        <w:t>Bank</w:t>
      </w:r>
      <w:r>
        <w:rPr>
          <w:spacing w:val="-1"/>
        </w:rPr>
        <w:t> </w:t>
      </w:r>
      <w:r>
        <w:rPr/>
        <w:t>and</w:t>
      </w:r>
      <w:r>
        <w:rPr>
          <w:spacing w:val="-2"/>
        </w:rPr>
        <w:t> </w:t>
      </w:r>
      <w:r>
        <w:rPr/>
        <w:t>Erbe</w:t>
      </w:r>
      <w:r>
        <w:rPr>
          <w:spacing w:val="-1"/>
        </w:rPr>
        <w:t> </w:t>
      </w:r>
      <w:r>
        <w:rPr/>
        <w:t>(1985)</w:t>
      </w:r>
      <w:r>
        <w:rPr>
          <w:spacing w:val="-2"/>
        </w:rPr>
        <w:t> </w:t>
      </w:r>
      <w:r>
        <w:rPr/>
        <w:t>capital flight</w:t>
      </w:r>
      <w:r>
        <w:rPr>
          <w:spacing w:val="-4"/>
        </w:rPr>
        <w:t> </w:t>
      </w:r>
      <w:r>
        <w:rPr>
          <w:spacing w:val="-2"/>
        </w:rPr>
        <w:t>estimate</w:t>
      </w:r>
    </w:p>
    <w:p>
      <w:pPr>
        <w:pStyle w:val="BodyText"/>
        <w:spacing w:before="45"/>
        <w:rPr>
          <w:b/>
        </w:rPr>
      </w:pPr>
    </w:p>
    <w:p>
      <w:pPr>
        <w:tabs>
          <w:tab w:pos="9573" w:val="left" w:leader="dot"/>
        </w:tabs>
        <w:spacing w:before="1"/>
        <w:ind w:left="711" w:right="0" w:firstLine="0"/>
        <w:jc w:val="left"/>
        <w:rPr>
          <w:sz w:val="24"/>
        </w:rPr>
      </w:pPr>
      <w:r>
        <w:rPr>
          <w:i/>
          <w:position w:val="2"/>
          <w:sz w:val="24"/>
        </w:rPr>
        <w:t>GDP</w:t>
      </w:r>
      <w:r>
        <w:rPr>
          <w:i/>
          <w:sz w:val="16"/>
        </w:rPr>
        <w:t>POSTSAP</w:t>
      </w:r>
      <w:r>
        <w:rPr>
          <w:i/>
          <w:position w:val="2"/>
          <w:sz w:val="24"/>
        </w:rPr>
        <w:t>=f(δEXDEBT,DFI,CAB,</w:t>
      </w:r>
      <w:r>
        <w:rPr>
          <w:i/>
          <w:spacing w:val="-9"/>
          <w:position w:val="2"/>
          <w:sz w:val="24"/>
        </w:rPr>
        <w:t> </w:t>
      </w:r>
      <w:r>
        <w:rPr>
          <w:i/>
          <w:position w:val="2"/>
          <w:sz w:val="24"/>
        </w:rPr>
        <w:t>δRES,</w:t>
      </w:r>
      <w:r>
        <w:rPr>
          <w:i/>
          <w:spacing w:val="-7"/>
          <w:position w:val="2"/>
          <w:sz w:val="24"/>
        </w:rPr>
        <w:t> </w:t>
      </w:r>
      <w:r>
        <w:rPr>
          <w:i/>
          <w:spacing w:val="-5"/>
          <w:position w:val="2"/>
          <w:sz w:val="24"/>
        </w:rPr>
        <w:t>µ)</w:t>
      </w:r>
      <w:r>
        <w:rPr>
          <w:i/>
          <w:position w:val="2"/>
          <w:sz w:val="24"/>
        </w:rPr>
        <w:tab/>
      </w:r>
      <w:r>
        <w:rPr>
          <w:spacing w:val="-2"/>
          <w:position w:val="2"/>
          <w:sz w:val="24"/>
        </w:rPr>
        <w:t>(3.31)</w:t>
      </w:r>
    </w:p>
    <w:p>
      <w:pPr>
        <w:pStyle w:val="BodyText"/>
        <w:spacing w:before="274"/>
        <w:ind w:left="711"/>
      </w:pPr>
      <w:r>
        <w:rPr>
          <w:spacing w:val="-2"/>
        </w:rPr>
        <w:t>Where:</w:t>
      </w:r>
    </w:p>
    <w:p>
      <w:pPr>
        <w:spacing w:after="0"/>
        <w:sectPr>
          <w:pgSz w:w="11910" w:h="16840"/>
          <w:pgMar w:header="0" w:footer="979" w:top="1360" w:bottom="1240" w:left="280" w:right="0"/>
        </w:sectPr>
      </w:pPr>
    </w:p>
    <w:p>
      <w:pPr>
        <w:pStyle w:val="BodyText"/>
        <w:spacing w:line="477" w:lineRule="auto" w:before="60"/>
        <w:ind w:left="711"/>
      </w:pPr>
      <w:r>
        <w:rPr>
          <w:i/>
          <w:position w:val="2"/>
        </w:rPr>
        <w:t>GDP</w:t>
      </w:r>
      <w:r>
        <w:rPr>
          <w:i/>
          <w:spacing w:val="-19"/>
          <w:position w:val="2"/>
        </w:rPr>
        <w:t> </w:t>
      </w:r>
      <w:r>
        <w:rPr>
          <w:i/>
          <w:sz w:val="16"/>
        </w:rPr>
        <w:t>POSTSAP</w:t>
      </w:r>
      <w:r>
        <w:rPr>
          <w:i/>
          <w:spacing w:val="-2"/>
          <w:sz w:val="16"/>
        </w:rPr>
        <w:t> </w:t>
      </w:r>
      <w:r>
        <w:rPr>
          <w:position w:val="2"/>
        </w:rPr>
        <w:t>--</w:t>
      </w:r>
      <w:r>
        <w:rPr>
          <w:spacing w:val="-15"/>
          <w:position w:val="2"/>
        </w:rPr>
        <w:t> </w:t>
      </w:r>
      <w:r>
        <w:rPr>
          <w:position w:val="2"/>
        </w:rPr>
        <w:t>Gross domestic product (at current market price) after SAP, other variables are as difined in </w:t>
      </w:r>
      <w:r>
        <w:rPr/>
        <w:t>equation 3.7</w:t>
      </w:r>
    </w:p>
    <w:p>
      <w:pPr>
        <w:pStyle w:val="BodyText"/>
        <w:spacing w:before="4"/>
        <w:ind w:left="711"/>
      </w:pPr>
      <w:r>
        <w:rPr/>
        <w:t>Stating</w:t>
      </w:r>
      <w:r>
        <w:rPr>
          <w:spacing w:val="-2"/>
        </w:rPr>
        <w:t> </w:t>
      </w:r>
      <w:r>
        <w:rPr/>
        <w:t>the</w:t>
      </w:r>
      <w:r>
        <w:rPr>
          <w:spacing w:val="-1"/>
        </w:rPr>
        <w:t> </w:t>
      </w:r>
      <w:r>
        <w:rPr/>
        <w:t>Model explicitly</w:t>
      </w:r>
      <w:r>
        <w:rPr>
          <w:spacing w:val="-2"/>
        </w:rPr>
        <w:t> </w:t>
      </w:r>
      <w:r>
        <w:rPr>
          <w:spacing w:val="-10"/>
        </w:rPr>
        <w:t>:</w:t>
      </w:r>
    </w:p>
    <w:p>
      <w:pPr>
        <w:pStyle w:val="BodyText"/>
        <w:spacing w:before="38"/>
      </w:pPr>
    </w:p>
    <w:p>
      <w:pPr>
        <w:tabs>
          <w:tab w:pos="9204" w:val="left" w:leader="dot"/>
        </w:tabs>
        <w:spacing w:before="0"/>
        <w:ind w:left="711" w:right="0" w:firstLine="0"/>
        <w:jc w:val="left"/>
        <w:rPr>
          <w:i/>
          <w:sz w:val="24"/>
        </w:rPr>
      </w:pPr>
      <w:r>
        <w:rPr>
          <w:i/>
          <w:sz w:val="24"/>
        </w:rPr>
        <w:t>GDP</w:t>
      </w:r>
      <w:r>
        <w:rPr>
          <w:i/>
          <w:sz w:val="24"/>
          <w:vertAlign w:val="subscript"/>
        </w:rPr>
        <w:t>POSTSAP</w:t>
      </w:r>
      <w:r>
        <w:rPr>
          <w:i/>
          <w:spacing w:val="-21"/>
          <w:sz w:val="24"/>
          <w:vertAlign w:val="baseline"/>
        </w:rPr>
        <w:t> </w:t>
      </w:r>
      <w:r>
        <w:rPr>
          <w:i/>
          <w:sz w:val="24"/>
          <w:vertAlign w:val="baseline"/>
        </w:rPr>
        <w:t>=</w:t>
      </w:r>
      <w:r>
        <w:rPr>
          <w:i/>
          <w:sz w:val="24"/>
          <w:vertAlign w:val="subscript"/>
        </w:rPr>
        <w:t>χ0</w:t>
      </w:r>
      <w:r>
        <w:rPr>
          <w:i/>
          <w:spacing w:val="-17"/>
          <w:sz w:val="24"/>
          <w:vertAlign w:val="baseline"/>
        </w:rPr>
        <w:t> </w:t>
      </w:r>
      <w:r>
        <w:rPr>
          <w:i/>
          <w:sz w:val="24"/>
          <w:vertAlign w:val="subscript"/>
        </w:rPr>
        <w:t>+</w:t>
      </w:r>
      <w:r>
        <w:rPr>
          <w:i/>
          <w:spacing w:val="-19"/>
          <w:sz w:val="24"/>
          <w:vertAlign w:val="baseline"/>
        </w:rPr>
        <w:t> </w:t>
      </w:r>
      <w:r>
        <w:rPr>
          <w:i/>
          <w:sz w:val="24"/>
          <w:vertAlign w:val="subscript"/>
        </w:rPr>
        <w:t>χ1</w:t>
      </w:r>
      <w:r>
        <w:rPr>
          <w:i/>
          <w:sz w:val="24"/>
          <w:vertAlign w:val="baseline"/>
        </w:rPr>
        <w:t>δEXDEBT+</w:t>
      </w:r>
      <w:r>
        <w:rPr>
          <w:i/>
          <w:sz w:val="24"/>
          <w:vertAlign w:val="subscript"/>
        </w:rPr>
        <w:t>χ2</w:t>
      </w:r>
      <w:r>
        <w:rPr>
          <w:i/>
          <w:sz w:val="24"/>
          <w:vertAlign w:val="baseline"/>
        </w:rPr>
        <w:t>DFI+</w:t>
      </w:r>
      <w:r>
        <w:rPr>
          <w:i/>
          <w:spacing w:val="2"/>
          <w:sz w:val="24"/>
          <w:vertAlign w:val="baseline"/>
        </w:rPr>
        <w:t> </w:t>
      </w:r>
      <w:r>
        <w:rPr>
          <w:i/>
          <w:sz w:val="24"/>
          <w:vertAlign w:val="subscript"/>
        </w:rPr>
        <w:t>χ3</w:t>
      </w:r>
      <w:r>
        <w:rPr>
          <w:i/>
          <w:spacing w:val="-17"/>
          <w:sz w:val="24"/>
          <w:vertAlign w:val="baseline"/>
        </w:rPr>
        <w:t> </w:t>
      </w:r>
      <w:r>
        <w:rPr>
          <w:i/>
          <w:sz w:val="24"/>
          <w:vertAlign w:val="baseline"/>
        </w:rPr>
        <w:t>CAB</w:t>
      </w:r>
      <w:r>
        <w:rPr>
          <w:i/>
          <w:spacing w:val="1"/>
          <w:sz w:val="24"/>
          <w:vertAlign w:val="baseline"/>
        </w:rPr>
        <w:t> </w:t>
      </w:r>
      <w:r>
        <w:rPr>
          <w:i/>
          <w:sz w:val="24"/>
          <w:vertAlign w:val="baseline"/>
        </w:rPr>
        <w:t>+ </w:t>
      </w:r>
      <w:r>
        <w:rPr>
          <w:i/>
          <w:sz w:val="24"/>
          <w:vertAlign w:val="subscript"/>
        </w:rPr>
        <w:t>χ4</w:t>
      </w:r>
      <w:r>
        <w:rPr>
          <w:i/>
          <w:spacing w:val="-17"/>
          <w:sz w:val="24"/>
          <w:vertAlign w:val="baseline"/>
        </w:rPr>
        <w:t> </w:t>
      </w:r>
      <w:r>
        <w:rPr>
          <w:i/>
          <w:sz w:val="24"/>
          <w:vertAlign w:val="baseline"/>
        </w:rPr>
        <w:t>δRES</w:t>
      </w:r>
      <w:r>
        <w:rPr>
          <w:i/>
          <w:spacing w:val="2"/>
          <w:sz w:val="24"/>
          <w:vertAlign w:val="baseline"/>
        </w:rPr>
        <w:t> </w:t>
      </w:r>
      <w:r>
        <w:rPr>
          <w:i/>
          <w:sz w:val="24"/>
          <w:vertAlign w:val="baseline"/>
        </w:rPr>
        <w:t>+ </w:t>
      </w:r>
      <w:r>
        <w:rPr>
          <w:i/>
          <w:spacing w:val="-10"/>
          <w:sz w:val="24"/>
          <w:vertAlign w:val="baseline"/>
        </w:rPr>
        <w:t>µ</w:t>
      </w:r>
      <w:r>
        <w:rPr>
          <w:i/>
          <w:sz w:val="24"/>
          <w:vertAlign w:val="baseline"/>
        </w:rPr>
        <w:tab/>
      </w:r>
      <w:r>
        <w:rPr>
          <w:i/>
          <w:spacing w:val="-2"/>
          <w:sz w:val="24"/>
          <w:vertAlign w:val="baseline"/>
        </w:rPr>
        <w:t>(</w:t>
      </w:r>
      <w:r>
        <w:rPr>
          <w:spacing w:val="-2"/>
          <w:sz w:val="24"/>
          <w:vertAlign w:val="baseline"/>
        </w:rPr>
        <w:t>3.32</w:t>
      </w:r>
      <w:r>
        <w:rPr>
          <w:i/>
          <w:spacing w:val="-2"/>
          <w:sz w:val="24"/>
          <w:vertAlign w:val="baseline"/>
        </w:rPr>
        <w:t>)</w:t>
      </w:r>
    </w:p>
    <w:p>
      <w:pPr>
        <w:pStyle w:val="BodyText"/>
        <w:spacing w:before="52"/>
        <w:rPr>
          <w:i/>
        </w:rPr>
      </w:pPr>
    </w:p>
    <w:p>
      <w:pPr>
        <w:pStyle w:val="BodyText"/>
        <w:spacing w:line="477" w:lineRule="auto"/>
        <w:ind w:left="711" w:right="475"/>
      </w:pPr>
      <w:r>
        <w:rPr>
          <w:position w:val="2"/>
        </w:rPr>
        <w:t>Where</w:t>
      </w:r>
      <w:r>
        <w:rPr>
          <w:spacing w:val="16"/>
          <w:position w:val="2"/>
        </w:rPr>
        <w:t> </w:t>
      </w:r>
      <w:r>
        <w:rPr>
          <w:i/>
          <w:sz w:val="16"/>
        </w:rPr>
        <w:t>χ0</w:t>
      </w:r>
      <w:r>
        <w:rPr>
          <w:position w:val="2"/>
        </w:rPr>
        <w:t>,</w:t>
      </w:r>
      <w:r>
        <w:rPr>
          <w:spacing w:val="17"/>
          <w:position w:val="2"/>
        </w:rPr>
        <w:t> </w:t>
      </w:r>
      <w:r>
        <w:rPr>
          <w:position w:val="2"/>
        </w:rPr>
        <w:t>is</w:t>
      </w:r>
      <w:r>
        <w:rPr>
          <w:spacing w:val="17"/>
          <w:position w:val="2"/>
        </w:rPr>
        <w:t> </w:t>
      </w:r>
      <w:r>
        <w:rPr>
          <w:position w:val="2"/>
        </w:rPr>
        <w:t>the</w:t>
      </w:r>
      <w:r>
        <w:rPr>
          <w:spacing w:val="16"/>
          <w:position w:val="2"/>
        </w:rPr>
        <w:t> </w:t>
      </w:r>
      <w:r>
        <w:rPr>
          <w:position w:val="2"/>
        </w:rPr>
        <w:t>intercept</w:t>
      </w:r>
      <w:r>
        <w:rPr>
          <w:spacing w:val="17"/>
          <w:position w:val="2"/>
        </w:rPr>
        <w:t> </w:t>
      </w:r>
      <w:r>
        <w:rPr>
          <w:position w:val="2"/>
        </w:rPr>
        <w:t>of</w:t>
      </w:r>
      <w:r>
        <w:rPr>
          <w:spacing w:val="16"/>
          <w:position w:val="2"/>
        </w:rPr>
        <w:t> </w:t>
      </w:r>
      <w:r>
        <w:rPr>
          <w:position w:val="2"/>
        </w:rPr>
        <w:t>the</w:t>
      </w:r>
      <w:r>
        <w:rPr>
          <w:spacing w:val="16"/>
          <w:position w:val="2"/>
        </w:rPr>
        <w:t> </w:t>
      </w:r>
      <w:r>
        <w:rPr>
          <w:position w:val="2"/>
        </w:rPr>
        <w:t>equation</w:t>
      </w:r>
      <w:r>
        <w:rPr>
          <w:spacing w:val="80"/>
          <w:position w:val="2"/>
        </w:rPr>
        <w:t> </w:t>
      </w:r>
      <w:r>
        <w:rPr>
          <w:position w:val="2"/>
        </w:rPr>
        <w:t>while</w:t>
      </w:r>
      <w:r>
        <w:rPr>
          <w:spacing w:val="19"/>
          <w:position w:val="2"/>
        </w:rPr>
        <w:t> </w:t>
      </w:r>
      <w:r>
        <w:rPr>
          <w:i/>
          <w:sz w:val="16"/>
        </w:rPr>
        <w:t>χ</w:t>
      </w:r>
      <w:r>
        <w:rPr>
          <w:sz w:val="16"/>
        </w:rPr>
        <w:t>1----</w:t>
      </w:r>
      <w:r>
        <w:rPr>
          <w:spacing w:val="18"/>
          <w:sz w:val="16"/>
        </w:rPr>
        <w:t> </w:t>
      </w:r>
      <w:r>
        <w:rPr>
          <w:sz w:val="16"/>
        </w:rPr>
        <w:t>-</w:t>
      </w:r>
      <w:r>
        <w:rPr>
          <w:spacing w:val="18"/>
          <w:sz w:val="16"/>
        </w:rPr>
        <w:t> </w:t>
      </w:r>
      <w:r>
        <w:rPr>
          <w:i/>
          <w:sz w:val="16"/>
        </w:rPr>
        <w:t>χ</w:t>
      </w:r>
      <w:r>
        <w:rPr>
          <w:sz w:val="16"/>
        </w:rPr>
        <w:t>4</w:t>
      </w:r>
      <w:r>
        <w:rPr>
          <w:spacing w:val="79"/>
          <w:sz w:val="16"/>
        </w:rPr>
        <w:t> </w:t>
      </w:r>
      <w:r>
        <w:rPr>
          <w:position w:val="2"/>
        </w:rPr>
        <w:t>are</w:t>
      </w:r>
      <w:r>
        <w:rPr>
          <w:spacing w:val="15"/>
          <w:position w:val="2"/>
        </w:rPr>
        <w:t> </w:t>
      </w:r>
      <w:r>
        <w:rPr>
          <w:position w:val="2"/>
        </w:rPr>
        <w:t>the</w:t>
      </w:r>
      <w:r>
        <w:rPr>
          <w:spacing w:val="18"/>
          <w:position w:val="2"/>
        </w:rPr>
        <w:t> </w:t>
      </w:r>
      <w:r>
        <w:rPr>
          <w:position w:val="2"/>
        </w:rPr>
        <w:t>coefficients</w:t>
      </w:r>
      <w:r>
        <w:rPr>
          <w:spacing w:val="17"/>
          <w:position w:val="2"/>
        </w:rPr>
        <w:t> </w:t>
      </w:r>
      <w:r>
        <w:rPr>
          <w:position w:val="2"/>
        </w:rPr>
        <w:t>of</w:t>
      </w:r>
      <w:r>
        <w:rPr>
          <w:spacing w:val="18"/>
          <w:position w:val="2"/>
        </w:rPr>
        <w:t> </w:t>
      </w:r>
      <w:r>
        <w:rPr>
          <w:position w:val="2"/>
        </w:rPr>
        <w:t>estimates</w:t>
      </w:r>
      <w:r>
        <w:rPr>
          <w:spacing w:val="-1"/>
          <w:position w:val="2"/>
        </w:rPr>
        <w:t> </w:t>
      </w:r>
      <w:r>
        <w:rPr>
          <w:position w:val="2"/>
        </w:rPr>
        <w:t>in</w:t>
      </w:r>
      <w:r>
        <w:rPr>
          <w:spacing w:val="17"/>
          <w:position w:val="2"/>
        </w:rPr>
        <w:t> </w:t>
      </w:r>
      <w:r>
        <w:rPr>
          <w:position w:val="2"/>
        </w:rPr>
        <w:t>the</w:t>
      </w:r>
      <w:r>
        <w:rPr>
          <w:spacing w:val="16"/>
          <w:position w:val="2"/>
        </w:rPr>
        <w:t> </w:t>
      </w:r>
      <w:r>
        <w:rPr>
          <w:position w:val="2"/>
        </w:rPr>
        <w:t>model</w:t>
      </w:r>
      <w:r>
        <w:rPr>
          <w:spacing w:val="17"/>
          <w:position w:val="2"/>
        </w:rPr>
        <w:t> </w:t>
      </w:r>
      <w:r>
        <w:rPr>
          <w:position w:val="2"/>
        </w:rPr>
        <w:t>and </w:t>
      </w:r>
      <w:r>
        <w:rPr/>
        <w:t>other variables are as difined in equation 3.7</w:t>
      </w:r>
    </w:p>
    <w:p>
      <w:pPr>
        <w:pStyle w:val="BodyText"/>
        <w:spacing w:before="4"/>
        <w:ind w:left="711"/>
      </w:pPr>
      <w:r>
        <w:rPr/>
        <w:t>By</w:t>
      </w:r>
      <w:r>
        <w:rPr>
          <w:spacing w:val="-7"/>
        </w:rPr>
        <w:t> </w:t>
      </w:r>
      <w:r>
        <w:rPr/>
        <w:t>log-linearising</w:t>
      </w:r>
      <w:r>
        <w:rPr>
          <w:spacing w:val="-2"/>
        </w:rPr>
        <w:t> </w:t>
      </w:r>
      <w:r>
        <w:rPr/>
        <w:t>equation</w:t>
      </w:r>
      <w:r>
        <w:rPr>
          <w:spacing w:val="1"/>
        </w:rPr>
        <w:t> </w:t>
      </w:r>
      <w:r>
        <w:rPr/>
        <w:t>3.36</w:t>
      </w:r>
      <w:r>
        <w:rPr>
          <w:spacing w:val="1"/>
        </w:rPr>
        <w:t> </w:t>
      </w:r>
      <w:r>
        <w:rPr>
          <w:spacing w:val="-2"/>
        </w:rPr>
        <w:t>becomes:</w:t>
      </w:r>
    </w:p>
    <w:p>
      <w:pPr>
        <w:pStyle w:val="BodyText"/>
        <w:spacing w:before="39"/>
      </w:pPr>
    </w:p>
    <w:p>
      <w:pPr>
        <w:tabs>
          <w:tab w:pos="9305" w:val="left" w:leader="dot"/>
        </w:tabs>
        <w:spacing w:before="0"/>
        <w:ind w:left="711" w:right="0" w:firstLine="0"/>
        <w:jc w:val="left"/>
        <w:rPr>
          <w:i/>
          <w:sz w:val="24"/>
        </w:rPr>
      </w:pPr>
      <w:r>
        <w:rPr>
          <w:i/>
          <w:sz w:val="24"/>
        </w:rPr>
        <w:t>LogGDP</w:t>
      </w:r>
      <w:r>
        <w:rPr>
          <w:i/>
          <w:sz w:val="24"/>
          <w:vertAlign w:val="subscript"/>
        </w:rPr>
        <w:t>POSTSAP</w:t>
      </w:r>
      <w:r>
        <w:rPr>
          <w:i/>
          <w:sz w:val="24"/>
          <w:vertAlign w:val="baseline"/>
        </w:rPr>
        <w:t>=</w:t>
      </w:r>
      <w:r>
        <w:rPr>
          <w:i/>
          <w:sz w:val="24"/>
          <w:vertAlign w:val="subscript"/>
        </w:rPr>
        <w:t>χ0+χ1</w:t>
      </w:r>
      <w:r>
        <w:rPr>
          <w:i/>
          <w:sz w:val="24"/>
          <w:vertAlign w:val="baseline"/>
        </w:rPr>
        <w:t>LogδEXDEBT+</w:t>
      </w:r>
      <w:r>
        <w:rPr>
          <w:i/>
          <w:sz w:val="24"/>
          <w:vertAlign w:val="subscript"/>
        </w:rPr>
        <w:t>χ2</w:t>
      </w:r>
      <w:r>
        <w:rPr>
          <w:i/>
          <w:sz w:val="24"/>
          <w:vertAlign w:val="baseline"/>
        </w:rPr>
        <w:t>LogDFI+</w:t>
      </w:r>
      <w:r>
        <w:rPr>
          <w:i/>
          <w:sz w:val="24"/>
          <w:vertAlign w:val="subscript"/>
        </w:rPr>
        <w:t>χ3</w:t>
      </w:r>
      <w:r>
        <w:rPr>
          <w:i/>
          <w:sz w:val="24"/>
          <w:vertAlign w:val="baseline"/>
        </w:rPr>
        <w:t>LogCAB+</w:t>
      </w:r>
      <w:r>
        <w:rPr>
          <w:i/>
          <w:sz w:val="24"/>
          <w:vertAlign w:val="subscript"/>
        </w:rPr>
        <w:t>χ4</w:t>
      </w:r>
      <w:r>
        <w:rPr>
          <w:i/>
          <w:sz w:val="24"/>
          <w:vertAlign w:val="baseline"/>
        </w:rPr>
        <w:t>LogδRES+</w:t>
      </w:r>
      <w:r>
        <w:rPr>
          <w:i/>
          <w:spacing w:val="21"/>
          <w:sz w:val="24"/>
          <w:vertAlign w:val="baseline"/>
        </w:rPr>
        <w:t> </w:t>
      </w:r>
      <w:r>
        <w:rPr>
          <w:i/>
          <w:spacing w:val="-10"/>
          <w:sz w:val="24"/>
          <w:vertAlign w:val="baseline"/>
        </w:rPr>
        <w:t>µ</w:t>
      </w:r>
      <w:r>
        <w:rPr>
          <w:i/>
          <w:sz w:val="24"/>
          <w:vertAlign w:val="baseline"/>
        </w:rPr>
        <w:tab/>
      </w:r>
      <w:r>
        <w:rPr>
          <w:i/>
          <w:spacing w:val="-2"/>
          <w:sz w:val="24"/>
          <w:vertAlign w:val="baseline"/>
        </w:rPr>
        <w:t>(</w:t>
      </w:r>
      <w:r>
        <w:rPr>
          <w:spacing w:val="-2"/>
          <w:sz w:val="24"/>
          <w:vertAlign w:val="baseline"/>
        </w:rPr>
        <w:t>3.33</w:t>
      </w:r>
      <w:r>
        <w:rPr>
          <w:i/>
          <w:spacing w:val="-2"/>
          <w:sz w:val="24"/>
          <w:vertAlign w:val="baseline"/>
        </w:rPr>
        <w:t>)</w:t>
      </w:r>
    </w:p>
    <w:p>
      <w:pPr>
        <w:pStyle w:val="BodyText"/>
        <w:spacing w:before="55"/>
        <w:rPr>
          <w:i/>
        </w:rPr>
      </w:pPr>
    </w:p>
    <w:p>
      <w:pPr>
        <w:pStyle w:val="Heading6"/>
        <w:jc w:val="left"/>
      </w:pPr>
      <w:r>
        <w:rPr/>
        <w:t>For Morgan</w:t>
      </w:r>
      <w:r>
        <w:rPr>
          <w:spacing w:val="-1"/>
        </w:rPr>
        <w:t> </w:t>
      </w:r>
      <w:r>
        <w:rPr/>
        <w:t>trust</w:t>
      </w:r>
      <w:r>
        <w:rPr>
          <w:spacing w:val="-2"/>
        </w:rPr>
        <w:t> </w:t>
      </w:r>
      <w:r>
        <w:rPr/>
        <w:t>(1986)</w:t>
      </w:r>
      <w:r>
        <w:rPr>
          <w:spacing w:val="-1"/>
        </w:rPr>
        <w:t> </w:t>
      </w:r>
      <w:r>
        <w:rPr/>
        <w:t>capital</w:t>
      </w:r>
      <w:r>
        <w:rPr>
          <w:spacing w:val="-1"/>
        </w:rPr>
        <w:t> </w:t>
      </w:r>
      <w:r>
        <w:rPr/>
        <w:t>flight</w:t>
      </w:r>
      <w:r>
        <w:rPr>
          <w:spacing w:val="-2"/>
        </w:rPr>
        <w:t> </w:t>
      </w:r>
      <w:r>
        <w:rPr/>
        <w:t>estimate</w:t>
      </w:r>
      <w:r>
        <w:rPr>
          <w:spacing w:val="2"/>
        </w:rPr>
        <w:t> </w:t>
      </w:r>
      <w:r>
        <w:rPr/>
        <w:t>we</w:t>
      </w:r>
      <w:r>
        <w:rPr>
          <w:spacing w:val="-2"/>
        </w:rPr>
        <w:t> have:</w:t>
      </w:r>
    </w:p>
    <w:p>
      <w:pPr>
        <w:tabs>
          <w:tab w:pos="9549" w:val="left" w:leader="dot"/>
        </w:tabs>
        <w:spacing w:before="273"/>
        <w:ind w:left="711" w:right="0" w:firstLine="0"/>
        <w:jc w:val="left"/>
        <w:rPr>
          <w:i/>
          <w:sz w:val="24"/>
        </w:rPr>
      </w:pPr>
      <w:r>
        <w:rPr>
          <w:i/>
          <w:spacing w:val="-2"/>
          <w:position w:val="2"/>
          <w:sz w:val="24"/>
        </w:rPr>
        <w:t>GDP</w:t>
      </w:r>
      <w:r>
        <w:rPr>
          <w:i/>
          <w:spacing w:val="-2"/>
          <w:sz w:val="16"/>
        </w:rPr>
        <w:t>POSTSAP</w:t>
      </w:r>
      <w:r>
        <w:rPr>
          <w:i/>
          <w:spacing w:val="-2"/>
          <w:position w:val="2"/>
          <w:sz w:val="24"/>
        </w:rPr>
        <w:t>=f(δEXDEBT,,DFI,CAB,ɗRES,δNEXTAS,µ)</w:t>
      </w:r>
      <w:r>
        <w:rPr>
          <w:i/>
          <w:position w:val="2"/>
          <w:sz w:val="24"/>
        </w:rPr>
        <w:tab/>
      </w:r>
      <w:r>
        <w:rPr>
          <w:i/>
          <w:spacing w:val="-2"/>
          <w:position w:val="2"/>
          <w:sz w:val="24"/>
        </w:rPr>
        <w:t>(</w:t>
      </w:r>
      <w:r>
        <w:rPr>
          <w:spacing w:val="-2"/>
          <w:position w:val="2"/>
          <w:sz w:val="24"/>
        </w:rPr>
        <w:t>3.34</w:t>
      </w:r>
      <w:r>
        <w:rPr>
          <w:i/>
          <w:spacing w:val="-2"/>
          <w:position w:val="2"/>
          <w:sz w:val="24"/>
        </w:rPr>
        <w:t>)</w:t>
      </w:r>
    </w:p>
    <w:p>
      <w:pPr>
        <w:pStyle w:val="BodyText"/>
        <w:spacing w:before="274"/>
        <w:ind w:left="711"/>
      </w:pPr>
      <w:r>
        <w:rPr>
          <w:spacing w:val="-2"/>
        </w:rPr>
        <w:t>Where:</w:t>
      </w:r>
    </w:p>
    <w:p>
      <w:pPr>
        <w:pStyle w:val="BodyText"/>
        <w:spacing w:before="275"/>
        <w:ind w:left="711"/>
      </w:pPr>
      <w:r>
        <w:rPr>
          <w:i/>
          <w:position w:val="2"/>
        </w:rPr>
        <w:t>GDP</w:t>
      </w:r>
      <w:r>
        <w:rPr>
          <w:i/>
          <w:spacing w:val="-21"/>
          <w:position w:val="2"/>
        </w:rPr>
        <w:t> </w:t>
      </w:r>
      <w:r>
        <w:rPr>
          <w:i/>
          <w:sz w:val="16"/>
        </w:rPr>
        <w:t>POSTSAP</w:t>
      </w:r>
      <w:r>
        <w:rPr>
          <w:i/>
          <w:spacing w:val="-2"/>
          <w:sz w:val="16"/>
        </w:rPr>
        <w:t> </w:t>
      </w:r>
      <w:r>
        <w:rPr>
          <w:position w:val="2"/>
        </w:rPr>
        <w:t>--</w:t>
      </w:r>
      <w:r>
        <w:rPr>
          <w:spacing w:val="-14"/>
          <w:position w:val="2"/>
        </w:rPr>
        <w:t> </w:t>
      </w:r>
      <w:r>
        <w:rPr>
          <w:position w:val="2"/>
        </w:rPr>
        <w:t>Gross</w:t>
      </w:r>
      <w:r>
        <w:rPr>
          <w:spacing w:val="-2"/>
          <w:position w:val="2"/>
        </w:rPr>
        <w:t> </w:t>
      </w:r>
      <w:r>
        <w:rPr>
          <w:position w:val="2"/>
        </w:rPr>
        <w:t>domestic</w:t>
      </w:r>
      <w:r>
        <w:rPr>
          <w:spacing w:val="-3"/>
          <w:position w:val="2"/>
        </w:rPr>
        <w:t> </w:t>
      </w:r>
      <w:r>
        <w:rPr>
          <w:position w:val="2"/>
        </w:rPr>
        <w:t>product</w:t>
      </w:r>
      <w:r>
        <w:rPr>
          <w:spacing w:val="-2"/>
          <w:position w:val="2"/>
        </w:rPr>
        <w:t> </w:t>
      </w:r>
      <w:r>
        <w:rPr>
          <w:position w:val="2"/>
        </w:rPr>
        <w:t>(at</w:t>
      </w:r>
      <w:r>
        <w:rPr>
          <w:spacing w:val="-2"/>
          <w:position w:val="2"/>
        </w:rPr>
        <w:t> </w:t>
      </w:r>
      <w:r>
        <w:rPr>
          <w:position w:val="2"/>
        </w:rPr>
        <w:t>current</w:t>
      </w:r>
      <w:r>
        <w:rPr>
          <w:spacing w:val="-2"/>
          <w:position w:val="2"/>
        </w:rPr>
        <w:t> </w:t>
      </w:r>
      <w:r>
        <w:rPr>
          <w:position w:val="2"/>
        </w:rPr>
        <w:t>market</w:t>
      </w:r>
      <w:r>
        <w:rPr>
          <w:spacing w:val="-2"/>
          <w:position w:val="2"/>
        </w:rPr>
        <w:t> </w:t>
      </w:r>
      <w:r>
        <w:rPr>
          <w:position w:val="2"/>
        </w:rPr>
        <w:t>price)</w:t>
      </w:r>
      <w:r>
        <w:rPr>
          <w:spacing w:val="2"/>
          <w:position w:val="2"/>
        </w:rPr>
        <w:t> </w:t>
      </w:r>
      <w:r>
        <w:rPr>
          <w:position w:val="2"/>
        </w:rPr>
        <w:t>after</w:t>
      </w:r>
      <w:r>
        <w:rPr>
          <w:spacing w:val="-1"/>
          <w:position w:val="2"/>
        </w:rPr>
        <w:t> </w:t>
      </w:r>
      <w:r>
        <w:rPr>
          <w:spacing w:val="-5"/>
          <w:position w:val="2"/>
        </w:rPr>
        <w:t>SAP</w:t>
      </w:r>
    </w:p>
    <w:p>
      <w:pPr>
        <w:pStyle w:val="BodyText"/>
        <w:spacing w:line="480" w:lineRule="auto" w:before="275"/>
        <w:ind w:left="711"/>
      </w:pPr>
      <w:r>
        <w:rPr/>
        <w:t>δNEXTAS</w:t>
      </w:r>
      <w:r>
        <w:rPr>
          <w:spacing w:val="-1"/>
        </w:rPr>
        <w:t> </w:t>
      </w:r>
      <w:r>
        <w:rPr/>
        <w:t>=</w:t>
      </w:r>
      <w:r>
        <w:rPr>
          <w:spacing w:val="80"/>
        </w:rPr>
        <w:t> </w:t>
      </w:r>
      <w:r>
        <w:rPr/>
        <w:t>Change in foreign asset of domestic banking system,</w:t>
      </w:r>
      <w:r>
        <w:rPr>
          <w:spacing w:val="80"/>
        </w:rPr>
        <w:t> </w:t>
      </w:r>
      <w:r>
        <w:rPr/>
        <w:t>other variableremained</w:t>
      </w:r>
      <w:r>
        <w:rPr>
          <w:spacing w:val="80"/>
        </w:rPr>
        <w:t> </w:t>
      </w:r>
      <w:r>
        <w:rPr/>
        <w:t>as defined in</w:t>
      </w:r>
      <w:r>
        <w:rPr>
          <w:spacing w:val="40"/>
        </w:rPr>
        <w:t> </w:t>
      </w:r>
      <w:r>
        <w:rPr/>
        <w:t>equation 3.7</w:t>
      </w:r>
    </w:p>
    <w:p>
      <w:pPr>
        <w:pStyle w:val="BodyText"/>
        <w:ind w:left="711"/>
      </w:pPr>
      <w:r>
        <w:rPr/>
        <w:t>Stating</w:t>
      </w:r>
      <w:r>
        <w:rPr>
          <w:spacing w:val="-3"/>
        </w:rPr>
        <w:t> </w:t>
      </w:r>
      <w:r>
        <w:rPr/>
        <w:t>the</w:t>
      </w:r>
      <w:r>
        <w:rPr>
          <w:spacing w:val="-1"/>
        </w:rPr>
        <w:t> </w:t>
      </w:r>
      <w:r>
        <w:rPr/>
        <w:t>model</w:t>
      </w:r>
      <w:r>
        <w:rPr>
          <w:spacing w:val="-1"/>
        </w:rPr>
        <w:t> </w:t>
      </w:r>
      <w:r>
        <w:rPr/>
        <w:t>explicitly,</w:t>
      </w:r>
      <w:r>
        <w:rPr>
          <w:spacing w:val="-1"/>
        </w:rPr>
        <w:t> </w:t>
      </w:r>
      <w:r>
        <w:rPr/>
        <w:t>we</w:t>
      </w:r>
      <w:r>
        <w:rPr>
          <w:spacing w:val="-2"/>
        </w:rPr>
        <w:t> </w:t>
      </w:r>
      <w:r>
        <w:rPr>
          <w:spacing w:val="-4"/>
        </w:rPr>
        <w:t>have:</w:t>
      </w:r>
    </w:p>
    <w:p>
      <w:pPr>
        <w:pStyle w:val="BodyText"/>
        <w:spacing w:before="38"/>
      </w:pPr>
    </w:p>
    <w:p>
      <w:pPr>
        <w:tabs>
          <w:tab w:pos="8942" w:val="left" w:leader="dot"/>
        </w:tabs>
        <w:spacing w:before="1"/>
        <w:ind w:left="711" w:right="0" w:firstLine="0"/>
        <w:jc w:val="left"/>
        <w:rPr>
          <w:sz w:val="24"/>
          <w:szCs w:val="24"/>
        </w:rPr>
      </w:pPr>
      <w:r>
        <w:rPr>
          <w:i/>
          <w:iCs/>
          <w:sz w:val="24"/>
          <w:szCs w:val="24"/>
        </w:rPr>
        <w:t>GDP</w:t>
      </w:r>
      <w:r>
        <w:rPr>
          <w:i/>
          <w:iCs/>
          <w:sz w:val="24"/>
          <w:szCs w:val="24"/>
          <w:vertAlign w:val="subscript"/>
        </w:rPr>
        <w:t>POSTSAP</w:t>
      </w:r>
      <w:r>
        <w:rPr>
          <w:i/>
          <w:iCs/>
          <w:sz w:val="24"/>
          <w:szCs w:val="24"/>
          <w:vertAlign w:val="baseline"/>
        </w:rPr>
        <w:t>=ϸ</w:t>
      </w:r>
      <w:r>
        <w:rPr>
          <w:i/>
          <w:iCs/>
          <w:sz w:val="24"/>
          <w:szCs w:val="24"/>
          <w:vertAlign w:val="subscript"/>
        </w:rPr>
        <w:t>0</w:t>
      </w:r>
      <w:r>
        <w:rPr>
          <w:i/>
          <w:iCs/>
          <w:sz w:val="24"/>
          <w:szCs w:val="24"/>
          <w:vertAlign w:val="baseline"/>
        </w:rPr>
        <w:t>+ϸ</w:t>
      </w:r>
      <w:r>
        <w:rPr>
          <w:i/>
          <w:iCs/>
          <w:sz w:val="24"/>
          <w:szCs w:val="24"/>
          <w:vertAlign w:val="subscript"/>
        </w:rPr>
        <w:t>1</w:t>
      </w:r>
      <w:r>
        <w:rPr>
          <w:i/>
          <w:iCs/>
          <w:sz w:val="24"/>
          <w:szCs w:val="24"/>
          <w:vertAlign w:val="baseline"/>
        </w:rPr>
        <w:t>δEXDEBT+ϸ</w:t>
      </w:r>
      <w:r>
        <w:rPr>
          <w:i/>
          <w:iCs/>
          <w:sz w:val="24"/>
          <w:szCs w:val="24"/>
          <w:vertAlign w:val="subscript"/>
        </w:rPr>
        <w:t>2</w:t>
      </w:r>
      <w:r>
        <w:rPr>
          <w:i/>
          <w:iCs/>
          <w:sz w:val="24"/>
          <w:szCs w:val="24"/>
          <w:vertAlign w:val="baseline"/>
        </w:rPr>
        <w:t>DFI+ϸ</w:t>
      </w:r>
      <w:r>
        <w:rPr>
          <w:i/>
          <w:iCs/>
          <w:sz w:val="24"/>
          <w:szCs w:val="24"/>
          <w:vertAlign w:val="subscript"/>
        </w:rPr>
        <w:t>3</w:t>
      </w:r>
      <w:r>
        <w:rPr>
          <w:i/>
          <w:iCs/>
          <w:sz w:val="24"/>
          <w:szCs w:val="24"/>
          <w:vertAlign w:val="baseline"/>
        </w:rPr>
        <w:t>CAB+ϸ</w:t>
      </w:r>
      <w:r>
        <w:rPr>
          <w:i/>
          <w:iCs/>
          <w:sz w:val="24"/>
          <w:szCs w:val="24"/>
          <w:vertAlign w:val="subscript"/>
        </w:rPr>
        <w:t>4</w:t>
      </w:r>
      <w:r>
        <w:rPr>
          <w:i/>
          <w:iCs/>
          <w:sz w:val="24"/>
          <w:szCs w:val="24"/>
          <w:vertAlign w:val="baseline"/>
        </w:rPr>
        <w:t>δRESϸ</w:t>
      </w:r>
      <w:r>
        <w:rPr>
          <w:i/>
          <w:iCs/>
          <w:sz w:val="24"/>
          <w:szCs w:val="24"/>
          <w:vertAlign w:val="subscript"/>
        </w:rPr>
        <w:t>5</w:t>
      </w:r>
      <w:r>
        <w:rPr>
          <w:i/>
          <w:iCs/>
          <w:sz w:val="24"/>
          <w:szCs w:val="24"/>
          <w:vertAlign w:val="baseline"/>
        </w:rPr>
        <w:t>δNEXTAS</w:t>
      </w:r>
      <w:r>
        <w:rPr>
          <w:i/>
          <w:iCs/>
          <w:spacing w:val="10"/>
          <w:sz w:val="24"/>
          <w:szCs w:val="24"/>
          <w:vertAlign w:val="baseline"/>
        </w:rPr>
        <w:t> </w:t>
      </w:r>
      <w:r>
        <w:rPr>
          <w:i/>
          <w:iCs/>
          <w:sz w:val="24"/>
          <w:szCs w:val="24"/>
          <w:vertAlign w:val="baseline"/>
        </w:rPr>
        <w:t>+</w:t>
      </w:r>
      <w:r>
        <w:rPr>
          <w:i/>
          <w:iCs/>
          <w:spacing w:val="10"/>
          <w:sz w:val="24"/>
          <w:szCs w:val="24"/>
          <w:vertAlign w:val="baseline"/>
        </w:rPr>
        <w:t> </w:t>
      </w:r>
      <w:r>
        <w:rPr>
          <w:i/>
          <w:iCs/>
          <w:spacing w:val="-10"/>
          <w:sz w:val="24"/>
          <w:szCs w:val="24"/>
          <w:vertAlign w:val="baseline"/>
        </w:rPr>
        <w:t>µ</w:t>
      </w:r>
      <w:r>
        <w:rPr>
          <w:i/>
          <w:iCs/>
          <w:sz w:val="24"/>
          <w:szCs w:val="24"/>
          <w:vertAlign w:val="baseline"/>
        </w:rPr>
        <w:tab/>
      </w:r>
      <w:r>
        <w:rPr>
          <w:spacing w:val="-2"/>
          <w:sz w:val="24"/>
          <w:szCs w:val="24"/>
          <w:vertAlign w:val="baseline"/>
        </w:rPr>
        <w:t>(3.35)</w:t>
      </w:r>
    </w:p>
    <w:p>
      <w:pPr>
        <w:pStyle w:val="BodyText"/>
        <w:spacing w:before="54"/>
      </w:pPr>
    </w:p>
    <w:p>
      <w:pPr>
        <w:spacing w:before="0"/>
        <w:ind w:left="711" w:right="0" w:firstLine="0"/>
        <w:jc w:val="left"/>
        <w:rPr>
          <w:sz w:val="24"/>
          <w:szCs w:val="24"/>
        </w:rPr>
      </w:pPr>
      <w:r>
        <w:rPr>
          <w:position w:val="2"/>
          <w:sz w:val="24"/>
          <w:szCs w:val="24"/>
        </w:rPr>
        <w:t>Where:</w:t>
      </w:r>
      <w:r>
        <w:rPr>
          <w:spacing w:val="-4"/>
          <w:position w:val="2"/>
          <w:sz w:val="24"/>
          <w:szCs w:val="24"/>
        </w:rPr>
        <w:t> </w:t>
      </w:r>
      <w:r>
        <w:rPr>
          <w:i/>
          <w:iCs/>
          <w:position w:val="2"/>
          <w:sz w:val="24"/>
          <w:szCs w:val="24"/>
        </w:rPr>
        <w:t>ϸ</w:t>
      </w:r>
      <w:r>
        <w:rPr>
          <w:i/>
          <w:iCs/>
          <w:sz w:val="16"/>
          <w:szCs w:val="16"/>
        </w:rPr>
        <w:t>0</w:t>
      </w:r>
      <w:r>
        <w:rPr>
          <w:i/>
          <w:iCs/>
          <w:spacing w:val="1"/>
          <w:sz w:val="16"/>
          <w:szCs w:val="16"/>
        </w:rPr>
        <w:t> </w:t>
      </w:r>
      <w:r>
        <w:rPr>
          <w:i/>
          <w:iCs/>
          <w:position w:val="2"/>
          <w:sz w:val="24"/>
          <w:szCs w:val="24"/>
        </w:rPr>
        <w:t>is</w:t>
      </w:r>
      <w:r>
        <w:rPr>
          <w:i/>
          <w:iCs/>
          <w:spacing w:val="-1"/>
          <w:position w:val="2"/>
          <w:sz w:val="24"/>
          <w:szCs w:val="24"/>
        </w:rPr>
        <w:t> </w:t>
      </w:r>
      <w:r>
        <w:rPr>
          <w:i/>
          <w:iCs/>
          <w:position w:val="2"/>
          <w:sz w:val="24"/>
          <w:szCs w:val="24"/>
        </w:rPr>
        <w:t>the</w:t>
      </w:r>
      <w:r>
        <w:rPr>
          <w:i/>
          <w:iCs/>
          <w:spacing w:val="18"/>
          <w:position w:val="2"/>
          <w:sz w:val="24"/>
          <w:szCs w:val="24"/>
        </w:rPr>
        <w:t> </w:t>
      </w:r>
      <w:r>
        <w:rPr>
          <w:position w:val="2"/>
          <w:sz w:val="24"/>
          <w:szCs w:val="24"/>
        </w:rPr>
        <w:t>intercept</w:t>
      </w:r>
      <w:r>
        <w:rPr>
          <w:sz w:val="16"/>
          <w:szCs w:val="16"/>
        </w:rPr>
        <w:t>,</w:t>
      </w:r>
      <w:r>
        <w:rPr>
          <w:spacing w:val="41"/>
          <w:sz w:val="16"/>
          <w:szCs w:val="16"/>
        </w:rPr>
        <w:t> </w:t>
      </w:r>
      <w:r>
        <w:rPr>
          <w:i/>
          <w:iCs/>
          <w:position w:val="2"/>
          <w:sz w:val="24"/>
          <w:szCs w:val="24"/>
        </w:rPr>
        <w:t>ϸ</w:t>
      </w:r>
      <w:r>
        <w:rPr>
          <w:sz w:val="16"/>
          <w:szCs w:val="16"/>
        </w:rPr>
        <w:t>1----</w:t>
      </w:r>
      <w:r>
        <w:rPr>
          <w:spacing w:val="-1"/>
          <w:sz w:val="16"/>
          <w:szCs w:val="16"/>
        </w:rPr>
        <w:t> </w:t>
      </w:r>
      <w:r>
        <w:rPr>
          <w:sz w:val="16"/>
          <w:szCs w:val="16"/>
        </w:rPr>
        <w:t>-</w:t>
      </w:r>
      <w:r>
        <w:rPr>
          <w:spacing w:val="-1"/>
          <w:sz w:val="16"/>
          <w:szCs w:val="16"/>
        </w:rPr>
        <w:t> </w:t>
      </w:r>
      <w:r>
        <w:rPr>
          <w:i/>
          <w:iCs/>
          <w:position w:val="2"/>
          <w:sz w:val="24"/>
          <w:szCs w:val="24"/>
        </w:rPr>
        <w:t>ϸ</w:t>
      </w:r>
      <w:r>
        <w:rPr>
          <w:i/>
          <w:iCs/>
          <w:sz w:val="16"/>
          <w:szCs w:val="16"/>
        </w:rPr>
        <w:t>5</w:t>
      </w:r>
      <w:r>
        <w:rPr>
          <w:i/>
          <w:iCs/>
          <w:spacing w:val="1"/>
          <w:sz w:val="16"/>
          <w:szCs w:val="16"/>
        </w:rPr>
        <w:t> </w:t>
      </w:r>
      <w:r>
        <w:rPr>
          <w:position w:val="2"/>
          <w:sz w:val="24"/>
          <w:szCs w:val="24"/>
        </w:rPr>
        <w:t>are</w:t>
      </w:r>
      <w:r>
        <w:rPr>
          <w:spacing w:val="-3"/>
          <w:position w:val="2"/>
          <w:sz w:val="24"/>
          <w:szCs w:val="24"/>
        </w:rPr>
        <w:t> </w:t>
      </w:r>
      <w:r>
        <w:rPr>
          <w:position w:val="2"/>
          <w:sz w:val="24"/>
          <w:szCs w:val="24"/>
        </w:rPr>
        <w:t>the</w:t>
      </w:r>
      <w:r>
        <w:rPr>
          <w:spacing w:val="-2"/>
          <w:position w:val="2"/>
          <w:sz w:val="24"/>
          <w:szCs w:val="24"/>
        </w:rPr>
        <w:t> </w:t>
      </w:r>
      <w:r>
        <w:rPr>
          <w:position w:val="2"/>
          <w:sz w:val="24"/>
          <w:szCs w:val="24"/>
        </w:rPr>
        <w:t>coefficients</w:t>
      </w:r>
      <w:r>
        <w:rPr>
          <w:spacing w:val="1"/>
          <w:position w:val="2"/>
          <w:sz w:val="24"/>
          <w:szCs w:val="24"/>
        </w:rPr>
        <w:t> </w:t>
      </w:r>
      <w:r>
        <w:rPr>
          <w:position w:val="2"/>
          <w:sz w:val="24"/>
          <w:szCs w:val="24"/>
        </w:rPr>
        <w:t>of</w:t>
      </w:r>
      <w:r>
        <w:rPr>
          <w:spacing w:val="57"/>
          <w:position w:val="2"/>
          <w:sz w:val="24"/>
          <w:szCs w:val="24"/>
        </w:rPr>
        <w:t> </w:t>
      </w:r>
      <w:r>
        <w:rPr>
          <w:position w:val="2"/>
          <w:sz w:val="24"/>
          <w:szCs w:val="24"/>
        </w:rPr>
        <w:t>erstimates</w:t>
      </w:r>
      <w:r>
        <w:rPr>
          <w:spacing w:val="-2"/>
          <w:position w:val="2"/>
          <w:sz w:val="24"/>
          <w:szCs w:val="24"/>
        </w:rPr>
        <w:t> </w:t>
      </w:r>
      <w:r>
        <w:rPr>
          <w:position w:val="2"/>
          <w:sz w:val="24"/>
          <w:szCs w:val="24"/>
        </w:rPr>
        <w:t>in</w:t>
      </w:r>
      <w:r>
        <w:rPr>
          <w:spacing w:val="-1"/>
          <w:position w:val="2"/>
          <w:sz w:val="24"/>
          <w:szCs w:val="24"/>
        </w:rPr>
        <w:t> </w:t>
      </w:r>
      <w:r>
        <w:rPr>
          <w:position w:val="2"/>
          <w:sz w:val="24"/>
          <w:szCs w:val="24"/>
        </w:rPr>
        <w:t>the</w:t>
      </w:r>
      <w:r>
        <w:rPr>
          <w:spacing w:val="-1"/>
          <w:position w:val="2"/>
          <w:sz w:val="24"/>
          <w:szCs w:val="24"/>
        </w:rPr>
        <w:t> </w:t>
      </w:r>
      <w:r>
        <w:rPr>
          <w:position w:val="2"/>
          <w:sz w:val="24"/>
          <w:szCs w:val="24"/>
        </w:rPr>
        <w:t>equation </w:t>
      </w:r>
      <w:r>
        <w:rPr>
          <w:spacing w:val="-10"/>
          <w:position w:val="2"/>
          <w:sz w:val="24"/>
          <w:szCs w:val="24"/>
        </w:rPr>
        <w:t>,</w:t>
      </w:r>
    </w:p>
    <w:p>
      <w:pPr>
        <w:pStyle w:val="BodyText"/>
        <w:spacing w:line="480" w:lineRule="auto" w:before="274"/>
        <w:ind w:left="711"/>
      </w:pPr>
      <w:r>
        <w:rPr/>
        <w:t>δNEXTAS</w:t>
      </w:r>
      <w:r>
        <w:rPr>
          <w:spacing w:val="-1"/>
        </w:rPr>
        <w:t> </w:t>
      </w:r>
      <w:r>
        <w:rPr/>
        <w:t>=</w:t>
      </w:r>
      <w:r>
        <w:rPr>
          <w:spacing w:val="80"/>
        </w:rPr>
        <w:t> </w:t>
      </w:r>
      <w:r>
        <w:rPr/>
        <w:t>Change in foreign asset of domestic banking system,</w:t>
      </w:r>
      <w:r>
        <w:rPr>
          <w:spacing w:val="80"/>
        </w:rPr>
        <w:t> </w:t>
      </w:r>
      <w:r>
        <w:rPr/>
        <w:t>other variable remained</w:t>
      </w:r>
      <w:r>
        <w:rPr>
          <w:spacing w:val="80"/>
        </w:rPr>
        <w:t> </w:t>
      </w:r>
      <w:r>
        <w:rPr/>
        <w:t>as defined in equation 3.7</w:t>
      </w:r>
    </w:p>
    <w:p>
      <w:pPr>
        <w:pStyle w:val="BodyText"/>
        <w:spacing w:before="1"/>
        <w:ind w:left="711"/>
      </w:pPr>
      <w:r>
        <w:rPr/>
        <w:t>By</w:t>
      </w:r>
      <w:r>
        <w:rPr>
          <w:spacing w:val="-6"/>
        </w:rPr>
        <w:t> </w:t>
      </w:r>
      <w:r>
        <w:rPr/>
        <w:t>log-linearising, equation 3.35 </w:t>
      </w:r>
      <w:r>
        <w:rPr>
          <w:spacing w:val="-2"/>
        </w:rPr>
        <w:t>becomes:</w:t>
      </w:r>
    </w:p>
    <w:p>
      <w:pPr>
        <w:pStyle w:val="BodyText"/>
        <w:spacing w:before="38"/>
      </w:pPr>
    </w:p>
    <w:p>
      <w:pPr>
        <w:tabs>
          <w:tab w:pos="10994" w:val="left" w:leader="none"/>
        </w:tabs>
        <w:spacing w:before="0"/>
        <w:ind w:left="711" w:right="0" w:firstLine="0"/>
        <w:jc w:val="left"/>
        <w:rPr>
          <w:i/>
          <w:iCs/>
          <w:sz w:val="24"/>
          <w:szCs w:val="24"/>
        </w:rPr>
      </w:pPr>
      <w:r>
        <w:rPr>
          <w:i/>
          <w:iCs/>
          <w:spacing w:val="-2"/>
          <w:sz w:val="24"/>
          <w:szCs w:val="24"/>
        </w:rPr>
        <w:t>LogGDP</w:t>
      </w:r>
      <w:r>
        <w:rPr>
          <w:i/>
          <w:iCs/>
          <w:spacing w:val="-2"/>
          <w:sz w:val="24"/>
          <w:szCs w:val="24"/>
          <w:vertAlign w:val="subscript"/>
        </w:rPr>
        <w:t>POSTSAP</w:t>
      </w:r>
      <w:r>
        <w:rPr>
          <w:i/>
          <w:iCs/>
          <w:spacing w:val="-2"/>
          <w:sz w:val="24"/>
          <w:szCs w:val="24"/>
          <w:vertAlign w:val="baseline"/>
        </w:rPr>
        <w:t>=ϸ</w:t>
      </w:r>
      <w:r>
        <w:rPr>
          <w:i/>
          <w:iCs/>
          <w:spacing w:val="-2"/>
          <w:sz w:val="24"/>
          <w:szCs w:val="24"/>
          <w:vertAlign w:val="subscript"/>
        </w:rPr>
        <w:t>0</w:t>
      </w:r>
      <w:r>
        <w:rPr>
          <w:i/>
          <w:iCs/>
          <w:spacing w:val="-2"/>
          <w:sz w:val="24"/>
          <w:szCs w:val="24"/>
          <w:vertAlign w:val="baseline"/>
        </w:rPr>
        <w:t>+ϸ</w:t>
      </w:r>
      <w:r>
        <w:rPr>
          <w:i/>
          <w:iCs/>
          <w:spacing w:val="-2"/>
          <w:sz w:val="24"/>
          <w:szCs w:val="24"/>
          <w:vertAlign w:val="subscript"/>
        </w:rPr>
        <w:t>1</w:t>
      </w:r>
      <w:r>
        <w:rPr>
          <w:i/>
          <w:iCs/>
          <w:spacing w:val="-2"/>
          <w:sz w:val="24"/>
          <w:szCs w:val="24"/>
          <w:vertAlign w:val="baseline"/>
        </w:rPr>
        <w:t>LogδEXDEBT+ϸ</w:t>
      </w:r>
      <w:r>
        <w:rPr>
          <w:i/>
          <w:iCs/>
          <w:spacing w:val="-2"/>
          <w:sz w:val="24"/>
          <w:szCs w:val="24"/>
          <w:vertAlign w:val="subscript"/>
        </w:rPr>
        <w:t>2</w:t>
      </w:r>
      <w:r>
        <w:rPr>
          <w:i/>
          <w:iCs/>
          <w:spacing w:val="-2"/>
          <w:sz w:val="24"/>
          <w:szCs w:val="24"/>
          <w:vertAlign w:val="baseline"/>
        </w:rPr>
        <w:t>LogDFI+ϸ</w:t>
      </w:r>
      <w:r>
        <w:rPr>
          <w:i/>
          <w:iCs/>
          <w:spacing w:val="-2"/>
          <w:sz w:val="24"/>
          <w:szCs w:val="24"/>
          <w:vertAlign w:val="subscript"/>
        </w:rPr>
        <w:t>3</w:t>
      </w:r>
      <w:r>
        <w:rPr>
          <w:i/>
          <w:iCs/>
          <w:spacing w:val="-2"/>
          <w:sz w:val="24"/>
          <w:szCs w:val="24"/>
          <w:vertAlign w:val="baseline"/>
        </w:rPr>
        <w:t>LogCAB+ϸ</w:t>
      </w:r>
      <w:r>
        <w:rPr>
          <w:i/>
          <w:iCs/>
          <w:spacing w:val="-2"/>
          <w:sz w:val="24"/>
          <w:szCs w:val="24"/>
          <w:vertAlign w:val="subscript"/>
        </w:rPr>
        <w:t>4</w:t>
      </w:r>
      <w:r>
        <w:rPr>
          <w:i/>
          <w:iCs/>
          <w:spacing w:val="-2"/>
          <w:sz w:val="24"/>
          <w:szCs w:val="24"/>
          <w:vertAlign w:val="baseline"/>
        </w:rPr>
        <w:t>LogδRES+ϸ</w:t>
      </w:r>
      <w:r>
        <w:rPr>
          <w:i/>
          <w:iCs/>
          <w:spacing w:val="-2"/>
          <w:sz w:val="24"/>
          <w:szCs w:val="24"/>
          <w:vertAlign w:val="subscript"/>
        </w:rPr>
        <w:t>5</w:t>
      </w:r>
      <w:r>
        <w:rPr>
          <w:i/>
          <w:iCs/>
          <w:spacing w:val="-2"/>
          <w:sz w:val="24"/>
          <w:szCs w:val="24"/>
          <w:vertAlign w:val="baseline"/>
        </w:rPr>
        <w:t>LogδNEXTAS</w:t>
      </w:r>
      <w:r>
        <w:rPr>
          <w:i/>
          <w:iCs/>
          <w:sz w:val="24"/>
          <w:szCs w:val="24"/>
          <w:vertAlign w:val="baseline"/>
        </w:rPr>
        <w:tab/>
      </w:r>
      <w:r>
        <w:rPr>
          <w:i/>
          <w:iCs/>
          <w:spacing w:val="-10"/>
          <w:sz w:val="24"/>
          <w:szCs w:val="24"/>
          <w:vertAlign w:val="baseline"/>
        </w:rPr>
        <w:t>+</w:t>
      </w:r>
    </w:p>
    <w:p>
      <w:pPr>
        <w:pStyle w:val="BodyText"/>
        <w:spacing w:before="53"/>
        <w:rPr>
          <w:i/>
        </w:rPr>
      </w:pPr>
    </w:p>
    <w:p>
      <w:pPr>
        <w:tabs>
          <w:tab w:pos="3839" w:val="left" w:leader="dot"/>
        </w:tabs>
        <w:spacing w:before="0"/>
        <w:ind w:left="711" w:right="0" w:firstLine="0"/>
        <w:jc w:val="left"/>
        <w:rPr>
          <w:i/>
          <w:sz w:val="24"/>
        </w:rPr>
      </w:pPr>
      <w:r>
        <w:rPr>
          <w:i/>
          <w:spacing w:val="-10"/>
          <w:sz w:val="24"/>
        </w:rPr>
        <w:t>µ</w:t>
      </w:r>
      <w:r>
        <w:rPr>
          <w:i/>
          <w:sz w:val="24"/>
        </w:rPr>
        <w:tab/>
      </w:r>
      <w:r>
        <w:rPr>
          <w:i/>
          <w:spacing w:val="-2"/>
          <w:sz w:val="24"/>
        </w:rPr>
        <w:t>(</w:t>
      </w:r>
      <w:r>
        <w:rPr>
          <w:spacing w:val="-2"/>
          <w:sz w:val="24"/>
        </w:rPr>
        <w:t>3.36</w:t>
      </w:r>
      <w:r>
        <w:rPr>
          <w:i/>
          <w:spacing w:val="-2"/>
          <w:sz w:val="24"/>
        </w:rPr>
        <w:t>)</w:t>
      </w:r>
    </w:p>
    <w:p>
      <w:pPr>
        <w:pStyle w:val="BodyText"/>
        <w:rPr>
          <w:i/>
        </w:rPr>
      </w:pPr>
    </w:p>
    <w:p>
      <w:pPr>
        <w:pStyle w:val="BodyText"/>
        <w:tabs>
          <w:tab w:pos="2151" w:val="left" w:leader="none"/>
        </w:tabs>
        <w:ind w:left="711"/>
      </w:pPr>
      <w:r>
        <w:rPr/>
        <w:t>Where:</w:t>
      </w:r>
      <w:r>
        <w:rPr>
          <w:spacing w:val="61"/>
        </w:rPr>
        <w:t> </w:t>
      </w:r>
      <w:r>
        <w:rPr>
          <w:spacing w:val="-5"/>
        </w:rPr>
        <w:t>Log</w:t>
      </w:r>
      <w:r>
        <w:rPr/>
        <w:tab/>
        <w:t>=</w:t>
      </w:r>
      <w:r>
        <w:rPr>
          <w:spacing w:val="-5"/>
        </w:rPr>
        <w:t> </w:t>
      </w:r>
      <w:r>
        <w:rPr/>
        <w:t>Natural</w:t>
      </w:r>
      <w:r>
        <w:rPr>
          <w:spacing w:val="1"/>
        </w:rPr>
        <w:t> </w:t>
      </w:r>
      <w:r>
        <w:rPr/>
        <w:t>Logarithm</w:t>
      </w:r>
      <w:r>
        <w:rPr>
          <w:spacing w:val="1"/>
        </w:rPr>
        <w:t> </w:t>
      </w:r>
      <w:r>
        <w:rPr/>
        <w:t>and</w:t>
      </w:r>
      <w:r>
        <w:rPr>
          <w:spacing w:val="1"/>
        </w:rPr>
        <w:t> </w:t>
      </w:r>
      <w:r>
        <w:rPr/>
        <w:t>other</w:t>
      </w:r>
      <w:r>
        <w:rPr>
          <w:spacing w:val="-3"/>
        </w:rPr>
        <w:t> </w:t>
      </w:r>
      <w:r>
        <w:rPr/>
        <w:t>variables</w:t>
      </w:r>
      <w:r>
        <w:rPr>
          <w:spacing w:val="-2"/>
        </w:rPr>
        <w:t> </w:t>
      </w:r>
      <w:r>
        <w:rPr/>
        <w:t>as</w:t>
      </w:r>
      <w:r>
        <w:rPr>
          <w:spacing w:val="-1"/>
        </w:rPr>
        <w:t> </w:t>
      </w:r>
      <w:r>
        <w:rPr/>
        <w:t>difined</w:t>
      </w:r>
      <w:r>
        <w:rPr>
          <w:spacing w:val="1"/>
        </w:rPr>
        <w:t> </w:t>
      </w:r>
      <w:r>
        <w:rPr/>
        <w:t>in</w:t>
      </w:r>
      <w:r>
        <w:rPr>
          <w:spacing w:val="-1"/>
        </w:rPr>
        <w:t> </w:t>
      </w:r>
      <w:r>
        <w:rPr/>
        <w:t>equation</w:t>
      </w:r>
      <w:r>
        <w:rPr>
          <w:spacing w:val="-1"/>
        </w:rPr>
        <w:t> </w:t>
      </w:r>
      <w:r>
        <w:rPr>
          <w:spacing w:val="-5"/>
        </w:rPr>
        <w:t>3.7</w:t>
      </w:r>
    </w:p>
    <w:p>
      <w:pPr>
        <w:spacing w:after="0"/>
        <w:sectPr>
          <w:pgSz w:w="11910" w:h="16840"/>
          <w:pgMar w:header="0" w:footer="979" w:top="1360" w:bottom="1240" w:left="280" w:right="0"/>
        </w:sectPr>
      </w:pPr>
    </w:p>
    <w:p>
      <w:pPr>
        <w:pStyle w:val="ListParagraph"/>
        <w:numPr>
          <w:ilvl w:val="1"/>
          <w:numId w:val="14"/>
        </w:numPr>
        <w:tabs>
          <w:tab w:pos="1431" w:val="left" w:leader="none"/>
        </w:tabs>
        <w:spacing w:line="240" w:lineRule="auto" w:before="60" w:after="0"/>
        <w:ind w:left="1431" w:right="0" w:hanging="720"/>
        <w:jc w:val="left"/>
        <w:rPr>
          <w:b/>
          <w:sz w:val="24"/>
        </w:rPr>
      </w:pPr>
      <w:r>
        <w:rPr>
          <w:b/>
          <w:i/>
          <w:sz w:val="24"/>
        </w:rPr>
        <w:t>A Priori </w:t>
      </w:r>
      <w:r>
        <w:rPr>
          <w:b/>
          <w:spacing w:val="-2"/>
          <w:sz w:val="24"/>
        </w:rPr>
        <w:t>Expectations</w:t>
      </w:r>
    </w:p>
    <w:p>
      <w:pPr>
        <w:pStyle w:val="BodyText"/>
        <w:spacing w:before="1"/>
        <w:rPr>
          <w:b/>
        </w:rPr>
      </w:pPr>
    </w:p>
    <w:p>
      <w:pPr>
        <w:pStyle w:val="BodyText"/>
        <w:spacing w:line="480" w:lineRule="auto"/>
        <w:ind w:left="711" w:right="585"/>
      </w:pPr>
      <w:r>
        <w:rPr/>
        <w:t>Based on theoretical</w:t>
      </w:r>
      <w:r>
        <w:rPr>
          <w:spacing w:val="80"/>
        </w:rPr>
        <w:t> </w:t>
      </w:r>
      <w:r>
        <w:rPr/>
        <w:t>assumptions of model formulated, the following</w:t>
      </w:r>
      <w:r>
        <w:rPr>
          <w:spacing w:val="80"/>
        </w:rPr>
        <w:t> </w:t>
      </w:r>
      <w:r>
        <w:rPr/>
        <w:t>relationships are expected between the variables in the following models:</w:t>
      </w:r>
    </w:p>
    <w:p>
      <w:pPr>
        <w:pStyle w:val="Heading6"/>
        <w:jc w:val="left"/>
      </w:pPr>
      <w:r>
        <w:rPr/>
        <w:t>Models</w:t>
      </w:r>
      <w:r>
        <w:rPr>
          <w:spacing w:val="-1"/>
        </w:rPr>
        <w:t> </w:t>
      </w:r>
      <w:r>
        <w:rPr/>
        <w:t>1, 3</w:t>
      </w:r>
      <w:r>
        <w:rPr>
          <w:spacing w:val="-1"/>
        </w:rPr>
        <w:t> </w:t>
      </w:r>
      <w:r>
        <w:rPr/>
        <w:t>and </w:t>
      </w:r>
      <w:r>
        <w:rPr>
          <w:spacing w:val="-10"/>
        </w:rPr>
        <w:t>4</w:t>
      </w:r>
    </w:p>
    <w:p>
      <w:pPr>
        <w:pStyle w:val="BodyText"/>
        <w:rPr>
          <w:b/>
        </w:rPr>
      </w:pPr>
    </w:p>
    <w:p>
      <w:pPr>
        <w:pStyle w:val="ListParagraph"/>
        <w:numPr>
          <w:ilvl w:val="0"/>
          <w:numId w:val="21"/>
        </w:numPr>
        <w:tabs>
          <w:tab w:pos="951" w:val="left" w:leader="none"/>
        </w:tabs>
        <w:spacing w:line="240" w:lineRule="auto" w:before="0" w:after="0"/>
        <w:ind w:left="951" w:right="0" w:hanging="240"/>
        <w:jc w:val="left"/>
        <w:rPr>
          <w:sz w:val="24"/>
        </w:rPr>
      </w:pPr>
      <w:r>
        <w:rPr>
          <w:sz w:val="24"/>
        </w:rPr>
        <w:t>Model1.</w:t>
      </w:r>
      <w:r>
        <w:rPr>
          <w:spacing w:val="-2"/>
          <w:sz w:val="24"/>
        </w:rPr>
        <w:t> </w:t>
      </w:r>
      <w:r>
        <w:rPr>
          <w:sz w:val="24"/>
        </w:rPr>
        <w:t>The</w:t>
      </w:r>
      <w:r>
        <w:rPr>
          <w:spacing w:val="-2"/>
          <w:sz w:val="24"/>
        </w:rPr>
        <w:t> </w:t>
      </w:r>
      <w:r>
        <w:rPr>
          <w:sz w:val="24"/>
        </w:rPr>
        <w:t>determinants</w:t>
      </w:r>
      <w:r>
        <w:rPr>
          <w:spacing w:val="-1"/>
          <w:sz w:val="24"/>
        </w:rPr>
        <w:t> </w:t>
      </w:r>
      <w:r>
        <w:rPr>
          <w:sz w:val="24"/>
        </w:rPr>
        <w:t>of</w:t>
      </w:r>
      <w:r>
        <w:rPr>
          <w:spacing w:val="-1"/>
          <w:sz w:val="24"/>
        </w:rPr>
        <w:t> </w:t>
      </w:r>
      <w:r>
        <w:rPr>
          <w:sz w:val="24"/>
        </w:rPr>
        <w:t>capital</w:t>
      </w:r>
      <w:r>
        <w:rPr>
          <w:spacing w:val="-1"/>
          <w:sz w:val="24"/>
        </w:rPr>
        <w:t> </w:t>
      </w:r>
      <w:r>
        <w:rPr>
          <w:sz w:val="24"/>
        </w:rPr>
        <w:t>flight</w:t>
      </w:r>
      <w:r>
        <w:rPr>
          <w:spacing w:val="-1"/>
          <w:sz w:val="24"/>
        </w:rPr>
        <w:t> </w:t>
      </w:r>
      <w:r>
        <w:rPr>
          <w:sz w:val="24"/>
        </w:rPr>
        <w:t>in</w:t>
      </w:r>
      <w:r>
        <w:rPr>
          <w:spacing w:val="-1"/>
          <w:sz w:val="24"/>
        </w:rPr>
        <w:t> </w:t>
      </w:r>
      <w:r>
        <w:rPr>
          <w:sz w:val="24"/>
        </w:rPr>
        <w:t>Nigeria</w:t>
      </w:r>
      <w:r>
        <w:rPr>
          <w:spacing w:val="-2"/>
          <w:sz w:val="24"/>
        </w:rPr>
        <w:t> </w:t>
      </w:r>
      <w:r>
        <w:rPr>
          <w:sz w:val="24"/>
        </w:rPr>
        <w:t>between</w:t>
      </w:r>
      <w:r>
        <w:rPr>
          <w:spacing w:val="-1"/>
          <w:sz w:val="24"/>
        </w:rPr>
        <w:t> </w:t>
      </w:r>
      <w:r>
        <w:rPr>
          <w:sz w:val="24"/>
        </w:rPr>
        <w:t>1970</w:t>
      </w:r>
      <w:r>
        <w:rPr>
          <w:spacing w:val="-1"/>
          <w:sz w:val="24"/>
        </w:rPr>
        <w:t> </w:t>
      </w:r>
      <w:r>
        <w:rPr>
          <w:sz w:val="24"/>
        </w:rPr>
        <w:t>and</w:t>
      </w:r>
      <w:r>
        <w:rPr>
          <w:spacing w:val="1"/>
          <w:sz w:val="24"/>
        </w:rPr>
        <w:t> </w:t>
      </w:r>
      <w:r>
        <w:rPr>
          <w:spacing w:val="-4"/>
          <w:sz w:val="24"/>
        </w:rPr>
        <w:t>2011</w:t>
      </w:r>
    </w:p>
    <w:p>
      <w:pPr>
        <w:pStyle w:val="BodyText"/>
      </w:pPr>
    </w:p>
    <w:p>
      <w:pPr>
        <w:pStyle w:val="ListParagraph"/>
        <w:numPr>
          <w:ilvl w:val="0"/>
          <w:numId w:val="21"/>
        </w:numPr>
        <w:tabs>
          <w:tab w:pos="951" w:val="left" w:leader="none"/>
        </w:tabs>
        <w:spacing w:line="240" w:lineRule="auto" w:before="0" w:after="0"/>
        <w:ind w:left="951" w:right="0" w:hanging="240"/>
        <w:jc w:val="left"/>
        <w:rPr>
          <w:sz w:val="24"/>
        </w:rPr>
      </w:pPr>
      <w:r>
        <w:rPr>
          <w:sz w:val="24"/>
        </w:rPr>
        <w:t>Model</w:t>
      </w:r>
      <w:r>
        <w:rPr>
          <w:spacing w:val="-1"/>
          <w:sz w:val="24"/>
        </w:rPr>
        <w:t> </w:t>
      </w:r>
      <w:r>
        <w:rPr>
          <w:sz w:val="24"/>
        </w:rPr>
        <w:t>3.</w:t>
      </w:r>
      <w:r>
        <w:rPr>
          <w:spacing w:val="-1"/>
          <w:sz w:val="24"/>
        </w:rPr>
        <w:t> </w:t>
      </w:r>
      <w:r>
        <w:rPr>
          <w:sz w:val="24"/>
        </w:rPr>
        <w:t>The</w:t>
      </w:r>
      <w:r>
        <w:rPr>
          <w:spacing w:val="-2"/>
          <w:sz w:val="24"/>
        </w:rPr>
        <w:t> </w:t>
      </w:r>
      <w:r>
        <w:rPr>
          <w:sz w:val="24"/>
        </w:rPr>
        <w:t>determinants</w:t>
      </w:r>
      <w:r>
        <w:rPr>
          <w:spacing w:val="-1"/>
          <w:sz w:val="24"/>
        </w:rPr>
        <w:t> </w:t>
      </w:r>
      <w:r>
        <w:rPr>
          <w:sz w:val="24"/>
        </w:rPr>
        <w:t>of</w:t>
      </w:r>
      <w:r>
        <w:rPr>
          <w:spacing w:val="-1"/>
          <w:sz w:val="24"/>
        </w:rPr>
        <w:t> </w:t>
      </w:r>
      <w:r>
        <w:rPr>
          <w:sz w:val="24"/>
        </w:rPr>
        <w:t>capital</w:t>
      </w:r>
      <w:r>
        <w:rPr>
          <w:spacing w:val="-1"/>
          <w:sz w:val="24"/>
        </w:rPr>
        <w:t> </w:t>
      </w:r>
      <w:r>
        <w:rPr>
          <w:sz w:val="24"/>
        </w:rPr>
        <w:t>flight in</w:t>
      </w:r>
      <w:r>
        <w:rPr>
          <w:spacing w:val="-1"/>
          <w:sz w:val="24"/>
        </w:rPr>
        <w:t> </w:t>
      </w:r>
      <w:r>
        <w:rPr>
          <w:sz w:val="24"/>
        </w:rPr>
        <w:t>Nigeria</w:t>
      </w:r>
      <w:r>
        <w:rPr>
          <w:spacing w:val="1"/>
          <w:sz w:val="24"/>
        </w:rPr>
        <w:t> </w:t>
      </w:r>
      <w:r>
        <w:rPr>
          <w:sz w:val="24"/>
        </w:rPr>
        <w:t>in</w:t>
      </w:r>
      <w:r>
        <w:rPr>
          <w:spacing w:val="-1"/>
          <w:sz w:val="24"/>
        </w:rPr>
        <w:t> </w:t>
      </w:r>
      <w:r>
        <w:rPr>
          <w:sz w:val="24"/>
        </w:rPr>
        <w:t>Pre-</w:t>
      </w:r>
      <w:r>
        <w:rPr>
          <w:spacing w:val="-2"/>
          <w:sz w:val="24"/>
        </w:rPr>
        <w:t> </w:t>
      </w:r>
      <w:r>
        <w:rPr>
          <w:sz w:val="24"/>
        </w:rPr>
        <w:t>SAP</w:t>
      </w:r>
      <w:r>
        <w:rPr>
          <w:spacing w:val="-1"/>
          <w:sz w:val="24"/>
        </w:rPr>
        <w:t> </w:t>
      </w:r>
      <w:r>
        <w:rPr>
          <w:sz w:val="24"/>
        </w:rPr>
        <w:t>era</w:t>
      </w:r>
      <w:r>
        <w:rPr>
          <w:spacing w:val="-2"/>
          <w:sz w:val="24"/>
        </w:rPr>
        <w:t> </w:t>
      </w:r>
      <w:r>
        <w:rPr>
          <w:sz w:val="24"/>
        </w:rPr>
        <w:t>(1970 -</w:t>
      </w:r>
      <w:r>
        <w:rPr>
          <w:spacing w:val="-2"/>
          <w:sz w:val="24"/>
        </w:rPr>
        <w:t>1986).</w:t>
      </w:r>
    </w:p>
    <w:p>
      <w:pPr>
        <w:pStyle w:val="BodyText"/>
      </w:pPr>
    </w:p>
    <w:p>
      <w:pPr>
        <w:pStyle w:val="ListParagraph"/>
        <w:numPr>
          <w:ilvl w:val="0"/>
          <w:numId w:val="21"/>
        </w:numPr>
        <w:tabs>
          <w:tab w:pos="951" w:val="left" w:leader="none"/>
        </w:tabs>
        <w:spacing w:line="240" w:lineRule="auto" w:before="0" w:after="0"/>
        <w:ind w:left="951" w:right="0" w:hanging="240"/>
        <w:jc w:val="left"/>
        <w:rPr>
          <w:sz w:val="24"/>
        </w:rPr>
      </w:pPr>
      <w:r>
        <w:rPr>
          <w:sz w:val="24"/>
        </w:rPr>
        <w:t>Model</w:t>
      </w:r>
      <w:r>
        <w:rPr>
          <w:spacing w:val="-1"/>
          <w:sz w:val="24"/>
        </w:rPr>
        <w:t> </w:t>
      </w:r>
      <w:r>
        <w:rPr>
          <w:sz w:val="24"/>
        </w:rPr>
        <w:t>4.</w:t>
      </w:r>
      <w:r>
        <w:rPr>
          <w:spacing w:val="57"/>
          <w:sz w:val="24"/>
        </w:rPr>
        <w:t> </w:t>
      </w:r>
      <w:r>
        <w:rPr>
          <w:sz w:val="24"/>
        </w:rPr>
        <w:t>The</w:t>
      </w:r>
      <w:r>
        <w:rPr>
          <w:spacing w:val="-1"/>
          <w:sz w:val="24"/>
        </w:rPr>
        <w:t> </w:t>
      </w:r>
      <w:r>
        <w:rPr>
          <w:sz w:val="24"/>
        </w:rPr>
        <w:t>determinants</w:t>
      </w:r>
      <w:r>
        <w:rPr>
          <w:spacing w:val="-1"/>
          <w:sz w:val="24"/>
        </w:rPr>
        <w:t> </w:t>
      </w:r>
      <w:r>
        <w:rPr>
          <w:sz w:val="24"/>
        </w:rPr>
        <w:t>of</w:t>
      </w:r>
      <w:r>
        <w:rPr>
          <w:spacing w:val="-1"/>
          <w:sz w:val="24"/>
        </w:rPr>
        <w:t> </w:t>
      </w:r>
      <w:r>
        <w:rPr>
          <w:sz w:val="24"/>
        </w:rPr>
        <w:t>capital</w:t>
      </w:r>
      <w:r>
        <w:rPr>
          <w:spacing w:val="-1"/>
          <w:sz w:val="24"/>
        </w:rPr>
        <w:t> </w:t>
      </w:r>
      <w:r>
        <w:rPr>
          <w:sz w:val="24"/>
        </w:rPr>
        <w:t>flight in</w:t>
      </w:r>
      <w:r>
        <w:rPr>
          <w:spacing w:val="-1"/>
          <w:sz w:val="24"/>
        </w:rPr>
        <w:t> </w:t>
      </w:r>
      <w:r>
        <w:rPr>
          <w:sz w:val="24"/>
        </w:rPr>
        <w:t>Nigeria in</w:t>
      </w:r>
      <w:r>
        <w:rPr>
          <w:spacing w:val="-1"/>
          <w:sz w:val="24"/>
        </w:rPr>
        <w:t> </w:t>
      </w:r>
      <w:r>
        <w:rPr>
          <w:sz w:val="24"/>
        </w:rPr>
        <w:t>the</w:t>
      </w:r>
      <w:r>
        <w:rPr>
          <w:spacing w:val="-1"/>
          <w:sz w:val="24"/>
        </w:rPr>
        <w:t> </w:t>
      </w:r>
      <w:r>
        <w:rPr>
          <w:sz w:val="24"/>
        </w:rPr>
        <w:t>Post-SAP</w:t>
      </w:r>
      <w:r>
        <w:rPr>
          <w:spacing w:val="-1"/>
          <w:sz w:val="24"/>
        </w:rPr>
        <w:t> </w:t>
      </w:r>
      <w:r>
        <w:rPr>
          <w:sz w:val="24"/>
        </w:rPr>
        <w:t>era</w:t>
      </w:r>
      <w:r>
        <w:rPr>
          <w:spacing w:val="-2"/>
          <w:sz w:val="24"/>
        </w:rPr>
        <w:t> </w:t>
      </w:r>
      <w:r>
        <w:rPr>
          <w:sz w:val="24"/>
        </w:rPr>
        <w:t>(1987</w:t>
      </w:r>
      <w:r>
        <w:rPr>
          <w:spacing w:val="-1"/>
          <w:sz w:val="24"/>
        </w:rPr>
        <w:t> </w:t>
      </w:r>
      <w:r>
        <w:rPr>
          <w:sz w:val="24"/>
        </w:rPr>
        <w:t>– </w:t>
      </w:r>
      <w:r>
        <w:rPr>
          <w:spacing w:val="-2"/>
          <w:sz w:val="24"/>
        </w:rPr>
        <w:t>2011).</w:t>
      </w:r>
    </w:p>
    <w:p>
      <w:pPr>
        <w:pStyle w:val="BodyText"/>
        <w:spacing w:before="1"/>
      </w:pPr>
    </w:p>
    <w:p>
      <w:pPr>
        <w:pStyle w:val="ListParagraph"/>
        <w:numPr>
          <w:ilvl w:val="1"/>
          <w:numId w:val="21"/>
        </w:numPr>
        <w:tabs>
          <w:tab w:pos="1431" w:val="left" w:leader="none"/>
          <w:tab w:pos="3652" w:val="left" w:leader="none"/>
          <w:tab w:pos="9264" w:val="left" w:leader="none"/>
          <w:tab w:pos="9813" w:val="left" w:leader="none"/>
        </w:tabs>
        <w:spacing w:line="480" w:lineRule="auto" w:before="0" w:after="0"/>
        <w:ind w:left="711" w:right="474" w:firstLine="0"/>
        <w:jc w:val="left"/>
        <w:rPr>
          <w:sz w:val="24"/>
        </w:rPr>
      </w:pPr>
      <w:r>
        <w:rPr>
          <w:sz w:val="24"/>
        </w:rPr>
        <w:t>It</w:t>
      </w:r>
      <w:r>
        <w:rPr>
          <w:spacing w:val="40"/>
          <w:sz w:val="24"/>
        </w:rPr>
        <w:t> </w:t>
      </w:r>
      <w:r>
        <w:rPr>
          <w:sz w:val="24"/>
        </w:rPr>
        <w:t>is</w:t>
      </w:r>
      <w:r>
        <w:rPr>
          <w:spacing w:val="40"/>
          <w:sz w:val="24"/>
        </w:rPr>
        <w:t> </w:t>
      </w:r>
      <w:r>
        <w:rPr>
          <w:sz w:val="24"/>
        </w:rPr>
        <w:t>expected</w:t>
      </w:r>
      <w:r>
        <w:rPr>
          <w:spacing w:val="40"/>
          <w:sz w:val="24"/>
        </w:rPr>
        <w:t> </w:t>
      </w:r>
      <w:r>
        <w:rPr>
          <w:sz w:val="24"/>
        </w:rPr>
        <w:t>that</w:t>
      </w:r>
      <w:r>
        <w:rPr>
          <w:spacing w:val="40"/>
          <w:sz w:val="24"/>
        </w:rPr>
        <w:t> </w:t>
      </w:r>
      <w:r>
        <w:rPr>
          <w:sz w:val="24"/>
        </w:rPr>
        <w:t>a</w:t>
      </w:r>
      <w:r>
        <w:rPr>
          <w:spacing w:val="40"/>
          <w:sz w:val="24"/>
        </w:rPr>
        <w:t> </w:t>
      </w:r>
      <w:r>
        <w:rPr>
          <w:sz w:val="24"/>
        </w:rPr>
        <w:t>positive</w:t>
      </w:r>
      <w:r>
        <w:rPr>
          <w:spacing w:val="40"/>
          <w:sz w:val="24"/>
        </w:rPr>
        <w:t> </w:t>
      </w:r>
      <w:r>
        <w:rPr>
          <w:sz w:val="24"/>
        </w:rPr>
        <w:t>relationship</w:t>
      </w:r>
      <w:r>
        <w:rPr>
          <w:spacing w:val="40"/>
          <w:sz w:val="24"/>
        </w:rPr>
        <w:t> </w:t>
      </w:r>
      <w:r>
        <w:rPr>
          <w:sz w:val="24"/>
        </w:rPr>
        <w:t>exists</w:t>
      </w:r>
      <w:r>
        <w:rPr>
          <w:spacing w:val="40"/>
          <w:sz w:val="24"/>
        </w:rPr>
        <w:t> </w:t>
      </w:r>
      <w:r>
        <w:rPr>
          <w:sz w:val="24"/>
        </w:rPr>
        <w:t>between</w:t>
      </w:r>
      <w:r>
        <w:rPr>
          <w:spacing w:val="40"/>
          <w:sz w:val="24"/>
        </w:rPr>
        <w:t> </w:t>
      </w:r>
      <w:r>
        <w:rPr>
          <w:sz w:val="24"/>
        </w:rPr>
        <w:t>capital</w:t>
      </w:r>
      <w:r>
        <w:rPr>
          <w:spacing w:val="40"/>
          <w:sz w:val="24"/>
        </w:rPr>
        <w:t> </w:t>
      </w:r>
      <w:r>
        <w:rPr>
          <w:sz w:val="24"/>
        </w:rPr>
        <w:t>flight</w:t>
      </w:r>
      <w:r>
        <w:rPr>
          <w:spacing w:val="40"/>
          <w:sz w:val="24"/>
        </w:rPr>
        <w:t> </w:t>
      </w:r>
      <w:r>
        <w:rPr>
          <w:sz w:val="24"/>
        </w:rPr>
        <w:t>(</w:t>
      </w:r>
      <w:r>
        <w:rPr>
          <w:spacing w:val="40"/>
          <w:sz w:val="24"/>
        </w:rPr>
        <w:t> </w:t>
      </w:r>
      <w:r>
        <w:rPr>
          <w:sz w:val="24"/>
        </w:rPr>
        <w:t>KF</w:t>
        <w:tab/>
      </w:r>
      <w:r>
        <w:rPr>
          <w:spacing w:val="-4"/>
          <w:sz w:val="24"/>
        </w:rPr>
        <w:t>and</w:t>
      </w:r>
      <w:r>
        <w:rPr>
          <w:sz w:val="24"/>
        </w:rPr>
        <w:tab/>
        <w:t>the</w:t>
      </w:r>
      <w:r>
        <w:rPr>
          <w:spacing w:val="26"/>
          <w:sz w:val="24"/>
        </w:rPr>
        <w:t> </w:t>
      </w:r>
      <w:r>
        <w:rPr>
          <w:sz w:val="24"/>
        </w:rPr>
        <w:t>degree</w:t>
      </w:r>
      <w:r>
        <w:rPr>
          <w:spacing w:val="23"/>
          <w:sz w:val="24"/>
        </w:rPr>
        <w:t> </w:t>
      </w:r>
      <w:r>
        <w:rPr>
          <w:sz w:val="24"/>
        </w:rPr>
        <w:t>of openness (DOP). That is,</w:t>
        <w:tab/>
        <w:t>δKF/δDOP &gt; 0</w:t>
      </w:r>
    </w:p>
    <w:p>
      <w:pPr>
        <w:pStyle w:val="ListParagraph"/>
        <w:numPr>
          <w:ilvl w:val="1"/>
          <w:numId w:val="21"/>
        </w:numPr>
        <w:tabs>
          <w:tab w:pos="1431" w:val="left" w:leader="none"/>
        </w:tabs>
        <w:spacing w:line="240" w:lineRule="auto" w:before="0" w:after="0"/>
        <w:ind w:left="1431" w:right="0" w:hanging="720"/>
        <w:jc w:val="left"/>
        <w:rPr>
          <w:sz w:val="24"/>
        </w:rPr>
      </w:pPr>
      <w:r>
        <w:rPr>
          <w:sz w:val="24"/>
        </w:rPr>
        <w:t>it</w:t>
      </w:r>
      <w:r>
        <w:rPr>
          <w:spacing w:val="6"/>
          <w:sz w:val="24"/>
        </w:rPr>
        <w:t> </w:t>
      </w:r>
      <w:r>
        <w:rPr>
          <w:sz w:val="24"/>
        </w:rPr>
        <w:t>is</w:t>
      </w:r>
      <w:r>
        <w:rPr>
          <w:spacing w:val="6"/>
          <w:sz w:val="24"/>
        </w:rPr>
        <w:t> </w:t>
      </w:r>
      <w:r>
        <w:rPr>
          <w:sz w:val="24"/>
        </w:rPr>
        <w:t>expected</w:t>
      </w:r>
      <w:r>
        <w:rPr>
          <w:spacing w:val="6"/>
          <w:sz w:val="24"/>
        </w:rPr>
        <w:t> </w:t>
      </w:r>
      <w:r>
        <w:rPr>
          <w:sz w:val="24"/>
        </w:rPr>
        <w:t>that</w:t>
      </w:r>
      <w:r>
        <w:rPr>
          <w:spacing w:val="8"/>
          <w:sz w:val="24"/>
        </w:rPr>
        <w:t> </w:t>
      </w:r>
      <w:r>
        <w:rPr>
          <w:sz w:val="24"/>
        </w:rPr>
        <w:t>a</w:t>
      </w:r>
      <w:r>
        <w:rPr>
          <w:spacing w:val="7"/>
          <w:sz w:val="24"/>
        </w:rPr>
        <w:t> </w:t>
      </w:r>
      <w:r>
        <w:rPr>
          <w:sz w:val="24"/>
        </w:rPr>
        <w:t>positive</w:t>
      </w:r>
      <w:r>
        <w:rPr>
          <w:spacing w:val="6"/>
          <w:sz w:val="24"/>
        </w:rPr>
        <w:t> </w:t>
      </w:r>
      <w:r>
        <w:rPr>
          <w:sz w:val="24"/>
        </w:rPr>
        <w:t>relationship</w:t>
      </w:r>
      <w:r>
        <w:rPr>
          <w:spacing w:val="8"/>
          <w:sz w:val="24"/>
        </w:rPr>
        <w:t> </w:t>
      </w:r>
      <w:r>
        <w:rPr>
          <w:sz w:val="24"/>
        </w:rPr>
        <w:t>should</w:t>
      </w:r>
      <w:r>
        <w:rPr>
          <w:spacing w:val="8"/>
          <w:sz w:val="24"/>
        </w:rPr>
        <w:t> </w:t>
      </w:r>
      <w:r>
        <w:rPr>
          <w:sz w:val="24"/>
        </w:rPr>
        <w:t>exist</w:t>
      </w:r>
      <w:r>
        <w:rPr>
          <w:spacing w:val="7"/>
          <w:sz w:val="24"/>
        </w:rPr>
        <w:t> </w:t>
      </w:r>
      <w:r>
        <w:rPr>
          <w:sz w:val="24"/>
        </w:rPr>
        <w:t>between</w:t>
      </w:r>
      <w:r>
        <w:rPr>
          <w:spacing w:val="10"/>
          <w:sz w:val="24"/>
        </w:rPr>
        <w:t> </w:t>
      </w:r>
      <w:r>
        <w:rPr>
          <w:sz w:val="24"/>
        </w:rPr>
        <w:t>capital</w:t>
      </w:r>
      <w:r>
        <w:rPr>
          <w:spacing w:val="7"/>
          <w:sz w:val="24"/>
        </w:rPr>
        <w:t> </w:t>
      </w:r>
      <w:r>
        <w:rPr>
          <w:sz w:val="24"/>
        </w:rPr>
        <w:t>flight</w:t>
      </w:r>
      <w:r>
        <w:rPr>
          <w:spacing w:val="79"/>
          <w:sz w:val="24"/>
        </w:rPr>
        <w:t> </w:t>
      </w:r>
      <w:r>
        <w:rPr>
          <w:sz w:val="24"/>
        </w:rPr>
        <w:t>(KF)</w:t>
      </w:r>
      <w:r>
        <w:rPr>
          <w:spacing w:val="6"/>
          <w:sz w:val="24"/>
        </w:rPr>
        <w:t> </w:t>
      </w:r>
      <w:r>
        <w:rPr>
          <w:sz w:val="24"/>
        </w:rPr>
        <w:t>and</w:t>
      </w:r>
      <w:r>
        <w:rPr>
          <w:spacing w:val="8"/>
          <w:sz w:val="24"/>
        </w:rPr>
        <w:t> </w:t>
      </w:r>
      <w:r>
        <w:rPr>
          <w:sz w:val="24"/>
        </w:rPr>
        <w:t>inflation</w:t>
      </w:r>
      <w:r>
        <w:rPr>
          <w:spacing w:val="8"/>
          <w:sz w:val="24"/>
        </w:rPr>
        <w:t> </w:t>
      </w:r>
      <w:r>
        <w:rPr>
          <w:spacing w:val="-2"/>
          <w:sz w:val="24"/>
        </w:rPr>
        <w:t>rate(</w:t>
      </w:r>
    </w:p>
    <w:p>
      <w:pPr>
        <w:pStyle w:val="BodyText"/>
      </w:pPr>
    </w:p>
    <w:p>
      <w:pPr>
        <w:pStyle w:val="BodyText"/>
        <w:ind w:left="711"/>
      </w:pPr>
      <w:r>
        <w:rPr/>
        <w:t>INF).</w:t>
      </w:r>
      <w:r>
        <w:rPr>
          <w:spacing w:val="-1"/>
        </w:rPr>
        <w:t> </w:t>
      </w:r>
      <w:r>
        <w:rPr/>
        <w:t>That</w:t>
      </w:r>
      <w:r>
        <w:rPr>
          <w:spacing w:val="-3"/>
        </w:rPr>
        <w:t> </w:t>
      </w:r>
      <w:r>
        <w:rPr/>
        <w:t>is</w:t>
      </w:r>
      <w:r>
        <w:rPr>
          <w:spacing w:val="-2"/>
        </w:rPr>
        <w:t> </w:t>
      </w:r>
      <w:r>
        <w:rPr/>
        <w:t>δKF/δINF</w:t>
      </w:r>
      <w:r>
        <w:rPr>
          <w:spacing w:val="-3"/>
        </w:rPr>
        <w:t> </w:t>
      </w:r>
      <w:r>
        <w:rPr/>
        <w:t>&gt;</w:t>
      </w:r>
      <w:r>
        <w:rPr>
          <w:spacing w:val="-3"/>
        </w:rPr>
        <w:t> </w:t>
      </w:r>
      <w:r>
        <w:rPr>
          <w:spacing w:val="-10"/>
        </w:rPr>
        <w:t>0</w:t>
      </w:r>
    </w:p>
    <w:p>
      <w:pPr>
        <w:pStyle w:val="BodyText"/>
      </w:pPr>
    </w:p>
    <w:p>
      <w:pPr>
        <w:pStyle w:val="ListParagraph"/>
        <w:numPr>
          <w:ilvl w:val="1"/>
          <w:numId w:val="21"/>
        </w:numPr>
        <w:tabs>
          <w:tab w:pos="1431" w:val="left" w:leader="none"/>
          <w:tab w:pos="9547" w:val="left" w:leader="none"/>
        </w:tabs>
        <w:spacing w:line="480" w:lineRule="auto" w:before="0" w:after="0"/>
        <w:ind w:left="711" w:right="472" w:firstLine="0"/>
        <w:jc w:val="left"/>
        <w:rPr>
          <w:sz w:val="24"/>
        </w:rPr>
      </w:pPr>
      <w:r>
        <w:rPr>
          <w:sz w:val="24"/>
        </w:rPr>
        <w:t>it</w:t>
      </w:r>
      <w:r>
        <w:rPr>
          <w:spacing w:val="40"/>
          <w:sz w:val="24"/>
        </w:rPr>
        <w:t> </w:t>
      </w:r>
      <w:r>
        <w:rPr>
          <w:sz w:val="24"/>
        </w:rPr>
        <w:t>is</w:t>
      </w:r>
      <w:r>
        <w:rPr>
          <w:spacing w:val="40"/>
          <w:sz w:val="24"/>
        </w:rPr>
        <w:t> </w:t>
      </w:r>
      <w:r>
        <w:rPr>
          <w:sz w:val="24"/>
        </w:rPr>
        <w:t>expected</w:t>
      </w:r>
      <w:r>
        <w:rPr>
          <w:spacing w:val="40"/>
          <w:sz w:val="24"/>
        </w:rPr>
        <w:t> </w:t>
      </w:r>
      <w:r>
        <w:rPr>
          <w:sz w:val="24"/>
        </w:rPr>
        <w:t>that</w:t>
      </w:r>
      <w:r>
        <w:rPr>
          <w:spacing w:val="40"/>
          <w:sz w:val="24"/>
        </w:rPr>
        <w:t> </w:t>
      </w:r>
      <w:r>
        <w:rPr>
          <w:sz w:val="24"/>
        </w:rPr>
        <w:t>a</w:t>
      </w:r>
      <w:r>
        <w:rPr>
          <w:spacing w:val="40"/>
          <w:sz w:val="24"/>
        </w:rPr>
        <w:t> </w:t>
      </w:r>
      <w:r>
        <w:rPr>
          <w:sz w:val="24"/>
        </w:rPr>
        <w:t>negative</w:t>
      </w:r>
      <w:r>
        <w:rPr>
          <w:spacing w:val="40"/>
          <w:sz w:val="24"/>
        </w:rPr>
        <w:t> </w:t>
      </w:r>
      <w:r>
        <w:rPr>
          <w:sz w:val="24"/>
        </w:rPr>
        <w:t>relationship</w:t>
      </w:r>
      <w:r>
        <w:rPr>
          <w:spacing w:val="40"/>
          <w:sz w:val="24"/>
        </w:rPr>
        <w:t> </w:t>
      </w:r>
      <w:r>
        <w:rPr>
          <w:sz w:val="24"/>
        </w:rPr>
        <w:t>should</w:t>
      </w:r>
      <w:r>
        <w:rPr>
          <w:spacing w:val="40"/>
          <w:sz w:val="24"/>
        </w:rPr>
        <w:t> </w:t>
      </w:r>
      <w:r>
        <w:rPr>
          <w:sz w:val="24"/>
        </w:rPr>
        <w:t>exist</w:t>
      </w:r>
      <w:r>
        <w:rPr>
          <w:spacing w:val="40"/>
          <w:sz w:val="24"/>
        </w:rPr>
        <w:t> </w:t>
      </w:r>
      <w:r>
        <w:rPr>
          <w:sz w:val="24"/>
        </w:rPr>
        <w:t>between</w:t>
      </w:r>
      <w:r>
        <w:rPr>
          <w:spacing w:val="40"/>
          <w:sz w:val="24"/>
        </w:rPr>
        <w:t> </w:t>
      </w:r>
      <w:r>
        <w:rPr>
          <w:sz w:val="24"/>
        </w:rPr>
        <w:t>capital</w:t>
      </w:r>
      <w:r>
        <w:rPr>
          <w:spacing w:val="40"/>
          <w:sz w:val="24"/>
        </w:rPr>
        <w:t> </w:t>
      </w:r>
      <w:r>
        <w:rPr>
          <w:sz w:val="24"/>
        </w:rPr>
        <w:t>flight</w:t>
        <w:tab/>
        <w:t>(KF)</w:t>
      </w:r>
      <w:r>
        <w:rPr>
          <w:spacing w:val="37"/>
          <w:sz w:val="24"/>
        </w:rPr>
        <w:t> </w:t>
      </w:r>
      <w:r>
        <w:rPr>
          <w:sz w:val="24"/>
        </w:rPr>
        <w:t>and</w:t>
      </w:r>
      <w:r>
        <w:rPr>
          <w:spacing w:val="40"/>
          <w:sz w:val="24"/>
        </w:rPr>
        <w:t> </w:t>
      </w:r>
      <w:r>
        <w:rPr>
          <w:sz w:val="24"/>
        </w:rPr>
        <w:t>Gross domestic formation (GCF) That is, δKF/δGCF &lt; 0</w:t>
      </w:r>
    </w:p>
    <w:p>
      <w:pPr>
        <w:pStyle w:val="ListParagraph"/>
        <w:numPr>
          <w:ilvl w:val="1"/>
          <w:numId w:val="21"/>
        </w:numPr>
        <w:tabs>
          <w:tab w:pos="1431" w:val="left" w:leader="none"/>
        </w:tabs>
        <w:spacing w:line="480" w:lineRule="auto" w:before="0" w:after="0"/>
        <w:ind w:left="711" w:right="472" w:firstLine="0"/>
        <w:jc w:val="left"/>
        <w:rPr>
          <w:sz w:val="24"/>
        </w:rPr>
      </w:pPr>
      <w:r>
        <w:rPr>
          <w:sz w:val="24"/>
        </w:rPr>
        <w:t>it is</w:t>
      </w:r>
      <w:r>
        <w:rPr>
          <w:spacing w:val="18"/>
          <w:sz w:val="24"/>
        </w:rPr>
        <w:t> </w:t>
      </w:r>
      <w:r>
        <w:rPr>
          <w:sz w:val="24"/>
        </w:rPr>
        <w:t>expected that an increase</w:t>
      </w:r>
      <w:r>
        <w:rPr>
          <w:spacing w:val="18"/>
          <w:sz w:val="24"/>
        </w:rPr>
        <w:t> </w:t>
      </w:r>
      <w:r>
        <w:rPr>
          <w:sz w:val="24"/>
        </w:rPr>
        <w:t>in change</w:t>
      </w:r>
      <w:r>
        <w:rPr>
          <w:spacing w:val="80"/>
          <w:sz w:val="24"/>
        </w:rPr>
        <w:t> </w:t>
      </w:r>
      <w:r>
        <w:rPr>
          <w:sz w:val="24"/>
        </w:rPr>
        <w:t>external debt (δEXDEBT) should</w:t>
      </w:r>
      <w:r>
        <w:rPr>
          <w:spacing w:val="18"/>
          <w:sz w:val="24"/>
        </w:rPr>
        <w:t> </w:t>
      </w:r>
      <w:r>
        <w:rPr>
          <w:sz w:val="24"/>
        </w:rPr>
        <w:t>reduce the</w:t>
      </w:r>
      <w:r>
        <w:rPr>
          <w:spacing w:val="80"/>
          <w:sz w:val="24"/>
        </w:rPr>
        <w:t> </w:t>
      </w:r>
      <w:r>
        <w:rPr>
          <w:sz w:val="24"/>
        </w:rPr>
        <w:t>rate capital</w:t>
      </w:r>
      <w:r>
        <w:rPr>
          <w:spacing w:val="40"/>
          <w:sz w:val="24"/>
        </w:rPr>
        <w:t> </w:t>
      </w:r>
      <w:r>
        <w:rPr>
          <w:sz w:val="24"/>
        </w:rPr>
        <w:t>flight ( KF) . That is, δKF/δEXDEBT &lt;</w:t>
      </w:r>
      <w:r>
        <w:rPr>
          <w:spacing w:val="40"/>
          <w:sz w:val="24"/>
        </w:rPr>
        <w:t> </w:t>
      </w:r>
      <w:r>
        <w:rPr>
          <w:sz w:val="24"/>
        </w:rPr>
        <w:t>0</w:t>
      </w:r>
    </w:p>
    <w:p>
      <w:pPr>
        <w:pStyle w:val="ListParagraph"/>
        <w:numPr>
          <w:ilvl w:val="1"/>
          <w:numId w:val="21"/>
        </w:numPr>
        <w:tabs>
          <w:tab w:pos="1431" w:val="left" w:leader="none"/>
        </w:tabs>
        <w:spacing w:line="480" w:lineRule="auto" w:before="1" w:after="0"/>
        <w:ind w:left="711" w:right="472" w:firstLine="0"/>
        <w:jc w:val="left"/>
        <w:rPr>
          <w:sz w:val="24"/>
        </w:rPr>
      </w:pPr>
      <w:r>
        <w:rPr>
          <w:sz w:val="24"/>
        </w:rPr>
        <w:t>it</w:t>
      </w:r>
      <w:r>
        <w:rPr>
          <w:spacing w:val="40"/>
          <w:sz w:val="24"/>
        </w:rPr>
        <w:t> </w:t>
      </w:r>
      <w:r>
        <w:rPr>
          <w:sz w:val="24"/>
        </w:rPr>
        <w:t>is</w:t>
      </w:r>
      <w:r>
        <w:rPr>
          <w:spacing w:val="40"/>
          <w:sz w:val="24"/>
        </w:rPr>
        <w:t> </w:t>
      </w:r>
      <w:r>
        <w:rPr>
          <w:sz w:val="24"/>
        </w:rPr>
        <w:t>also</w:t>
      </w:r>
      <w:r>
        <w:rPr>
          <w:spacing w:val="40"/>
          <w:sz w:val="24"/>
        </w:rPr>
        <w:t> </w:t>
      </w:r>
      <w:r>
        <w:rPr>
          <w:sz w:val="24"/>
        </w:rPr>
        <w:t>expected</w:t>
      </w:r>
      <w:r>
        <w:rPr>
          <w:spacing w:val="40"/>
          <w:sz w:val="24"/>
        </w:rPr>
        <w:t> </w:t>
      </w:r>
      <w:r>
        <w:rPr>
          <w:sz w:val="24"/>
        </w:rPr>
        <w:t>that</w:t>
      </w:r>
      <w:r>
        <w:rPr>
          <w:spacing w:val="40"/>
          <w:sz w:val="24"/>
        </w:rPr>
        <w:t> </w:t>
      </w:r>
      <w:r>
        <w:rPr>
          <w:sz w:val="24"/>
        </w:rPr>
        <w:t>an</w:t>
      </w:r>
      <w:r>
        <w:rPr>
          <w:spacing w:val="40"/>
          <w:sz w:val="24"/>
        </w:rPr>
        <w:t> </w:t>
      </w:r>
      <w:r>
        <w:rPr>
          <w:sz w:val="24"/>
        </w:rPr>
        <w:t>increase</w:t>
      </w:r>
      <w:r>
        <w:rPr>
          <w:spacing w:val="40"/>
          <w:sz w:val="24"/>
        </w:rPr>
        <w:t> </w:t>
      </w:r>
      <w:r>
        <w:rPr>
          <w:sz w:val="24"/>
        </w:rPr>
        <w:t>in</w:t>
      </w:r>
      <w:r>
        <w:rPr>
          <w:spacing w:val="60"/>
          <w:sz w:val="24"/>
        </w:rPr>
        <w:t> </w:t>
      </w:r>
      <w:r>
        <w:rPr>
          <w:sz w:val="24"/>
        </w:rPr>
        <w:t>domestic</w:t>
      </w:r>
      <w:r>
        <w:rPr>
          <w:spacing w:val="40"/>
          <w:sz w:val="24"/>
        </w:rPr>
        <w:t> </w:t>
      </w:r>
      <w:r>
        <w:rPr>
          <w:sz w:val="24"/>
        </w:rPr>
        <w:t>deposit</w:t>
      </w:r>
      <w:r>
        <w:rPr>
          <w:spacing w:val="40"/>
          <w:sz w:val="24"/>
        </w:rPr>
        <w:t> </w:t>
      </w:r>
      <w:r>
        <w:rPr>
          <w:sz w:val="24"/>
        </w:rPr>
        <w:t>rate</w:t>
      </w:r>
      <w:r>
        <w:rPr>
          <w:spacing w:val="40"/>
          <w:sz w:val="24"/>
        </w:rPr>
        <w:t> </w:t>
      </w:r>
      <w:r>
        <w:rPr>
          <w:sz w:val="24"/>
        </w:rPr>
        <w:t>(DR)</w:t>
      </w:r>
      <w:r>
        <w:rPr>
          <w:spacing w:val="40"/>
          <w:sz w:val="24"/>
        </w:rPr>
        <w:t> </w:t>
      </w:r>
      <w:r>
        <w:rPr>
          <w:sz w:val="24"/>
        </w:rPr>
        <w:t>should</w:t>
      </w:r>
      <w:r>
        <w:rPr>
          <w:spacing w:val="40"/>
          <w:sz w:val="24"/>
        </w:rPr>
        <w:t> </w:t>
      </w:r>
      <w:r>
        <w:rPr>
          <w:sz w:val="24"/>
        </w:rPr>
        <w:t>reduce</w:t>
      </w:r>
      <w:r>
        <w:rPr>
          <w:spacing w:val="40"/>
          <w:sz w:val="24"/>
        </w:rPr>
        <w:t> </w:t>
      </w:r>
      <w:r>
        <w:rPr>
          <w:sz w:val="24"/>
        </w:rPr>
        <w:t>KF.</w:t>
      </w:r>
      <w:r>
        <w:rPr>
          <w:spacing w:val="40"/>
          <w:sz w:val="24"/>
        </w:rPr>
        <w:t> </w:t>
      </w:r>
      <w:r>
        <w:rPr>
          <w:sz w:val="24"/>
        </w:rPr>
        <w:t>That</w:t>
      </w:r>
      <w:r>
        <w:rPr>
          <w:spacing w:val="40"/>
          <w:sz w:val="24"/>
        </w:rPr>
        <w:t> </w:t>
      </w:r>
      <w:r>
        <w:rPr>
          <w:sz w:val="24"/>
        </w:rPr>
        <w:t>is,</w:t>
      </w:r>
      <w:r>
        <w:rPr>
          <w:spacing w:val="80"/>
          <w:sz w:val="24"/>
        </w:rPr>
        <w:t> </w:t>
      </w:r>
      <w:r>
        <w:rPr>
          <w:sz w:val="24"/>
        </w:rPr>
        <w:t>δKF/δDR &lt; 0</w:t>
      </w:r>
    </w:p>
    <w:p>
      <w:pPr>
        <w:pStyle w:val="ListParagraph"/>
        <w:numPr>
          <w:ilvl w:val="1"/>
          <w:numId w:val="21"/>
        </w:numPr>
        <w:tabs>
          <w:tab w:pos="1431" w:val="left" w:leader="none"/>
        </w:tabs>
        <w:spacing w:line="240" w:lineRule="auto" w:before="0" w:after="0"/>
        <w:ind w:left="1431" w:right="0" w:hanging="720"/>
        <w:jc w:val="left"/>
        <w:rPr>
          <w:sz w:val="24"/>
        </w:rPr>
      </w:pPr>
      <w:r>
        <w:rPr>
          <w:sz w:val="24"/>
        </w:rPr>
        <w:t>it</w:t>
      </w:r>
      <w:r>
        <w:rPr>
          <w:spacing w:val="20"/>
          <w:sz w:val="24"/>
        </w:rPr>
        <w:t> </w:t>
      </w:r>
      <w:r>
        <w:rPr>
          <w:sz w:val="24"/>
        </w:rPr>
        <w:t>is</w:t>
      </w:r>
      <w:r>
        <w:rPr>
          <w:spacing w:val="21"/>
          <w:sz w:val="24"/>
        </w:rPr>
        <w:t> </w:t>
      </w:r>
      <w:r>
        <w:rPr>
          <w:sz w:val="24"/>
        </w:rPr>
        <w:t>also</w:t>
      </w:r>
      <w:r>
        <w:rPr>
          <w:spacing w:val="21"/>
          <w:sz w:val="24"/>
        </w:rPr>
        <w:t> </w:t>
      </w:r>
      <w:r>
        <w:rPr>
          <w:sz w:val="24"/>
        </w:rPr>
        <w:t>expected</w:t>
      </w:r>
      <w:r>
        <w:rPr>
          <w:spacing w:val="19"/>
          <w:sz w:val="24"/>
        </w:rPr>
        <w:t> </w:t>
      </w:r>
      <w:r>
        <w:rPr>
          <w:sz w:val="24"/>
        </w:rPr>
        <w:t>that</w:t>
      </w:r>
      <w:r>
        <w:rPr>
          <w:spacing w:val="20"/>
          <w:sz w:val="24"/>
        </w:rPr>
        <w:t> </w:t>
      </w:r>
      <w:r>
        <w:rPr>
          <w:sz w:val="24"/>
        </w:rPr>
        <w:t>an</w:t>
      </w:r>
      <w:r>
        <w:rPr>
          <w:spacing w:val="19"/>
          <w:sz w:val="24"/>
        </w:rPr>
        <w:t> </w:t>
      </w:r>
      <w:r>
        <w:rPr>
          <w:sz w:val="24"/>
        </w:rPr>
        <w:t>increase</w:t>
      </w:r>
      <w:r>
        <w:rPr>
          <w:spacing w:val="19"/>
          <w:sz w:val="24"/>
        </w:rPr>
        <w:t> </w:t>
      </w:r>
      <w:r>
        <w:rPr>
          <w:sz w:val="24"/>
        </w:rPr>
        <w:t>in</w:t>
      </w:r>
      <w:r>
        <w:rPr>
          <w:spacing w:val="23"/>
          <w:sz w:val="24"/>
        </w:rPr>
        <w:t> </w:t>
      </w:r>
      <w:r>
        <w:rPr>
          <w:sz w:val="24"/>
        </w:rPr>
        <w:t>private</w:t>
      </w:r>
      <w:r>
        <w:rPr>
          <w:spacing w:val="19"/>
          <w:sz w:val="24"/>
        </w:rPr>
        <w:t> </w:t>
      </w:r>
      <w:r>
        <w:rPr>
          <w:sz w:val="24"/>
        </w:rPr>
        <w:t>sector</w:t>
      </w:r>
      <w:r>
        <w:rPr>
          <w:spacing w:val="20"/>
          <w:sz w:val="24"/>
        </w:rPr>
        <w:t> </w:t>
      </w:r>
      <w:r>
        <w:rPr>
          <w:sz w:val="24"/>
        </w:rPr>
        <w:t>credit</w:t>
      </w:r>
      <w:r>
        <w:rPr>
          <w:spacing w:val="20"/>
          <w:sz w:val="24"/>
        </w:rPr>
        <w:t> </w:t>
      </w:r>
      <w:r>
        <w:rPr>
          <w:sz w:val="24"/>
        </w:rPr>
        <w:t>(PRIVCR)</w:t>
      </w:r>
      <w:r>
        <w:rPr>
          <w:spacing w:val="19"/>
          <w:sz w:val="24"/>
        </w:rPr>
        <w:t> </w:t>
      </w:r>
      <w:r>
        <w:rPr>
          <w:sz w:val="24"/>
        </w:rPr>
        <w:t>should</w:t>
      </w:r>
      <w:r>
        <w:rPr>
          <w:spacing w:val="20"/>
          <w:sz w:val="24"/>
        </w:rPr>
        <w:t> </w:t>
      </w:r>
      <w:r>
        <w:rPr>
          <w:sz w:val="24"/>
        </w:rPr>
        <w:t>reduce</w:t>
      </w:r>
      <w:r>
        <w:rPr>
          <w:spacing w:val="20"/>
          <w:sz w:val="24"/>
        </w:rPr>
        <w:t> </w:t>
      </w:r>
      <w:r>
        <w:rPr>
          <w:sz w:val="24"/>
        </w:rPr>
        <w:t>capital</w:t>
      </w:r>
      <w:r>
        <w:rPr>
          <w:spacing w:val="20"/>
          <w:sz w:val="24"/>
        </w:rPr>
        <w:t> </w:t>
      </w:r>
      <w:r>
        <w:rPr>
          <w:sz w:val="24"/>
        </w:rPr>
        <w:t>flight</w:t>
      </w:r>
      <w:r>
        <w:rPr>
          <w:spacing w:val="23"/>
          <w:sz w:val="24"/>
        </w:rPr>
        <w:t> </w:t>
      </w:r>
      <w:r>
        <w:rPr>
          <w:spacing w:val="-10"/>
          <w:sz w:val="24"/>
        </w:rPr>
        <w:t>(</w:t>
      </w:r>
    </w:p>
    <w:p>
      <w:pPr>
        <w:pStyle w:val="BodyText"/>
        <w:spacing w:before="276"/>
        <w:ind w:left="711"/>
      </w:pPr>
      <w:r>
        <w:rPr/>
        <w:t>KF).</w:t>
      </w:r>
      <w:r>
        <w:rPr>
          <w:spacing w:val="-5"/>
        </w:rPr>
        <w:t> </w:t>
      </w:r>
      <w:r>
        <w:rPr/>
        <w:t>That</w:t>
      </w:r>
      <w:r>
        <w:rPr>
          <w:spacing w:val="-2"/>
        </w:rPr>
        <w:t> </w:t>
      </w:r>
      <w:r>
        <w:rPr/>
        <w:t>is,</w:t>
      </w:r>
      <w:r>
        <w:rPr>
          <w:spacing w:val="-2"/>
        </w:rPr>
        <w:t> </w:t>
      </w:r>
      <w:r>
        <w:rPr/>
        <w:t>δKF/δPRIVCR</w:t>
      </w:r>
      <w:r>
        <w:rPr>
          <w:spacing w:val="-2"/>
        </w:rPr>
        <w:t> </w:t>
      </w:r>
      <w:r>
        <w:rPr/>
        <w:t>&lt;</w:t>
      </w:r>
      <w:r>
        <w:rPr>
          <w:spacing w:val="-3"/>
        </w:rPr>
        <w:t> </w:t>
      </w:r>
      <w:r>
        <w:rPr>
          <w:spacing w:val="-10"/>
        </w:rPr>
        <w:t>0</w:t>
      </w:r>
    </w:p>
    <w:p>
      <w:pPr>
        <w:pStyle w:val="BodyText"/>
      </w:pPr>
    </w:p>
    <w:p>
      <w:pPr>
        <w:pStyle w:val="ListParagraph"/>
        <w:numPr>
          <w:ilvl w:val="1"/>
          <w:numId w:val="21"/>
        </w:numPr>
        <w:tabs>
          <w:tab w:pos="1431" w:val="left" w:leader="none"/>
          <w:tab w:pos="9353" w:val="left" w:leader="none"/>
        </w:tabs>
        <w:spacing w:line="480" w:lineRule="auto" w:before="0" w:after="0"/>
        <w:ind w:left="711" w:right="999" w:firstLine="0"/>
        <w:jc w:val="left"/>
        <w:rPr>
          <w:sz w:val="24"/>
        </w:rPr>
      </w:pPr>
      <w:r>
        <w:rPr>
          <w:sz w:val="24"/>
        </w:rPr>
        <w:t>it is expected that a higher cost of funds in domestic economy will</w:t>
      </w:r>
      <w:r>
        <w:rPr>
          <w:spacing w:val="40"/>
          <w:sz w:val="24"/>
        </w:rPr>
        <w:t> </w:t>
      </w:r>
      <w:r>
        <w:rPr>
          <w:sz w:val="24"/>
        </w:rPr>
        <w:t>encourag the</w:t>
        <w:tab/>
        <w:t>movement</w:t>
      </w:r>
      <w:r>
        <w:rPr>
          <w:spacing w:val="-15"/>
          <w:sz w:val="24"/>
        </w:rPr>
        <w:t> </w:t>
      </w:r>
      <w:r>
        <w:rPr>
          <w:sz w:val="24"/>
        </w:rPr>
        <w:t>of capital abroad. That is, δKF/δUSIRD &gt; 0</w:t>
      </w:r>
    </w:p>
    <w:p>
      <w:pPr>
        <w:pStyle w:val="ListParagraph"/>
        <w:numPr>
          <w:ilvl w:val="1"/>
          <w:numId w:val="21"/>
        </w:numPr>
        <w:tabs>
          <w:tab w:pos="1431" w:val="left" w:leader="none"/>
          <w:tab w:pos="8633" w:val="left" w:leader="none"/>
        </w:tabs>
        <w:spacing w:line="480" w:lineRule="auto" w:before="0" w:after="0"/>
        <w:ind w:left="711" w:right="901" w:firstLine="0"/>
        <w:jc w:val="left"/>
        <w:rPr>
          <w:b/>
          <w:sz w:val="24"/>
        </w:rPr>
      </w:pPr>
      <w:r>
        <w:rPr>
          <w:sz w:val="24"/>
        </w:rPr>
        <w:t>A</w:t>
      </w:r>
      <w:r>
        <w:rPr>
          <w:spacing w:val="-3"/>
          <w:sz w:val="24"/>
        </w:rPr>
        <w:t> </w:t>
      </w:r>
      <w:r>
        <w:rPr>
          <w:sz w:val="24"/>
        </w:rPr>
        <w:t>change</w:t>
      </w:r>
      <w:r>
        <w:rPr>
          <w:spacing w:val="-4"/>
          <w:sz w:val="24"/>
        </w:rPr>
        <w:t> </w:t>
      </w:r>
      <w:r>
        <w:rPr>
          <w:sz w:val="24"/>
        </w:rPr>
        <w:t>in</w:t>
      </w:r>
      <w:r>
        <w:rPr>
          <w:spacing w:val="-1"/>
          <w:sz w:val="24"/>
        </w:rPr>
        <w:t> </w:t>
      </w:r>
      <w:r>
        <w:rPr>
          <w:sz w:val="24"/>
        </w:rPr>
        <w:t>government expenditure</w:t>
      </w:r>
      <w:r>
        <w:rPr>
          <w:spacing w:val="-5"/>
          <w:sz w:val="24"/>
        </w:rPr>
        <w:t> </w:t>
      </w:r>
      <w:r>
        <w:rPr>
          <w:sz w:val="24"/>
        </w:rPr>
        <w:t>is</w:t>
      </w:r>
      <w:r>
        <w:rPr>
          <w:spacing w:val="-3"/>
          <w:sz w:val="24"/>
        </w:rPr>
        <w:t> </w:t>
      </w:r>
      <w:r>
        <w:rPr>
          <w:sz w:val="24"/>
        </w:rPr>
        <w:t>expected</w:t>
      </w:r>
      <w:r>
        <w:rPr>
          <w:spacing w:val="-3"/>
          <w:sz w:val="24"/>
        </w:rPr>
        <w:t> </w:t>
      </w:r>
      <w:r>
        <w:rPr>
          <w:sz w:val="24"/>
        </w:rPr>
        <w:t>to</w:t>
      </w:r>
      <w:r>
        <w:rPr>
          <w:spacing w:val="-3"/>
          <w:sz w:val="24"/>
        </w:rPr>
        <w:t> </w:t>
      </w:r>
      <w:r>
        <w:rPr>
          <w:sz w:val="24"/>
        </w:rPr>
        <w:t>have</w:t>
      </w:r>
      <w:r>
        <w:rPr>
          <w:spacing w:val="-4"/>
          <w:sz w:val="24"/>
        </w:rPr>
        <w:t> </w:t>
      </w:r>
      <w:r>
        <w:rPr>
          <w:sz w:val="24"/>
        </w:rPr>
        <w:t>either</w:t>
      </w:r>
      <w:r>
        <w:rPr>
          <w:spacing w:val="-2"/>
          <w:sz w:val="24"/>
        </w:rPr>
        <w:t> </w:t>
      </w:r>
      <w:r>
        <w:rPr>
          <w:sz w:val="24"/>
        </w:rPr>
        <w:t>a</w:t>
      </w:r>
      <w:r>
        <w:rPr>
          <w:spacing w:val="-4"/>
          <w:sz w:val="24"/>
        </w:rPr>
        <w:t> </w:t>
      </w:r>
      <w:r>
        <w:rPr>
          <w:sz w:val="24"/>
        </w:rPr>
        <w:t>negative</w:t>
      </w:r>
      <w:r>
        <w:rPr>
          <w:spacing w:val="40"/>
          <w:sz w:val="24"/>
        </w:rPr>
        <w:t> </w:t>
      </w:r>
      <w:r>
        <w:rPr>
          <w:sz w:val="24"/>
        </w:rPr>
        <w:t>impact</w:t>
      </w:r>
      <w:r>
        <w:rPr>
          <w:spacing w:val="-3"/>
          <w:sz w:val="24"/>
        </w:rPr>
        <w:t> </w:t>
      </w:r>
      <w:r>
        <w:rPr>
          <w:sz w:val="24"/>
        </w:rPr>
        <w:t>on</w:t>
      </w:r>
      <w:r>
        <w:rPr>
          <w:spacing w:val="-3"/>
          <w:sz w:val="24"/>
        </w:rPr>
        <w:t> </w:t>
      </w:r>
      <w:r>
        <w:rPr>
          <w:sz w:val="24"/>
        </w:rPr>
        <w:t>the</w:t>
      </w:r>
      <w:r>
        <w:rPr>
          <w:spacing w:val="-4"/>
          <w:sz w:val="24"/>
        </w:rPr>
        <w:t> </w:t>
      </w:r>
      <w:r>
        <w:rPr>
          <w:sz w:val="24"/>
        </w:rPr>
        <w:t>level</w:t>
      </w:r>
      <w:r>
        <w:rPr>
          <w:spacing w:val="-3"/>
          <w:sz w:val="24"/>
        </w:rPr>
        <w:t> </w:t>
      </w:r>
      <w:r>
        <w:rPr>
          <w:sz w:val="24"/>
        </w:rPr>
        <w:t>of capital flight (KF) depending on appropriate or inappropriate use. KF. That is,</w:t>
        <w:tab/>
        <w:t>KF/GOCE&gt; or &lt; 0 </w:t>
      </w:r>
      <w:r>
        <w:rPr>
          <w:b/>
          <w:sz w:val="24"/>
        </w:rPr>
        <w:t>Models 2, 5 and 6</w:t>
      </w:r>
    </w:p>
    <w:p>
      <w:pPr>
        <w:pStyle w:val="ListParagraph"/>
        <w:numPr>
          <w:ilvl w:val="2"/>
          <w:numId w:val="21"/>
        </w:numPr>
        <w:tabs>
          <w:tab w:pos="951" w:val="left" w:leader="none"/>
        </w:tabs>
        <w:spacing w:line="240" w:lineRule="auto" w:before="0" w:after="0"/>
        <w:ind w:left="951" w:right="0" w:hanging="240"/>
        <w:jc w:val="left"/>
        <w:rPr>
          <w:b/>
          <w:sz w:val="24"/>
        </w:rPr>
      </w:pPr>
      <w:r>
        <w:rPr>
          <w:sz w:val="24"/>
        </w:rPr>
        <w:t>Model</w:t>
      </w:r>
      <w:r>
        <w:rPr>
          <w:spacing w:val="-4"/>
          <w:sz w:val="24"/>
        </w:rPr>
        <w:t> </w:t>
      </w:r>
      <w:r>
        <w:rPr>
          <w:sz w:val="24"/>
        </w:rPr>
        <w:t>2.</w:t>
      </w:r>
      <w:r>
        <w:rPr>
          <w:spacing w:val="-2"/>
          <w:sz w:val="24"/>
        </w:rPr>
        <w:t> </w:t>
      </w:r>
      <w:r>
        <w:rPr>
          <w:sz w:val="24"/>
        </w:rPr>
        <w:t>The</w:t>
      </w:r>
      <w:r>
        <w:rPr>
          <w:spacing w:val="-3"/>
          <w:sz w:val="24"/>
        </w:rPr>
        <w:t> </w:t>
      </w:r>
      <w:r>
        <w:rPr>
          <w:sz w:val="24"/>
        </w:rPr>
        <w:t>effect</w:t>
      </w:r>
      <w:r>
        <w:rPr>
          <w:spacing w:val="-1"/>
          <w:sz w:val="24"/>
        </w:rPr>
        <w:t> </w:t>
      </w:r>
      <w:r>
        <w:rPr>
          <w:sz w:val="24"/>
        </w:rPr>
        <w:t>of</w:t>
      </w:r>
      <w:r>
        <w:rPr>
          <w:spacing w:val="-1"/>
          <w:sz w:val="24"/>
        </w:rPr>
        <w:t> </w:t>
      </w:r>
      <w:r>
        <w:rPr>
          <w:sz w:val="24"/>
        </w:rPr>
        <w:t>capital</w:t>
      </w:r>
      <w:r>
        <w:rPr>
          <w:spacing w:val="-1"/>
          <w:sz w:val="24"/>
        </w:rPr>
        <w:t> </w:t>
      </w:r>
      <w:r>
        <w:rPr>
          <w:sz w:val="24"/>
        </w:rPr>
        <w:t>flight on</w:t>
      </w:r>
      <w:r>
        <w:rPr>
          <w:spacing w:val="-1"/>
          <w:sz w:val="24"/>
        </w:rPr>
        <w:t> </w:t>
      </w:r>
      <w:r>
        <w:rPr>
          <w:sz w:val="24"/>
        </w:rPr>
        <w:t>the Nigerian</w:t>
      </w:r>
      <w:r>
        <w:rPr>
          <w:spacing w:val="-1"/>
          <w:sz w:val="24"/>
        </w:rPr>
        <w:t> </w:t>
      </w:r>
      <w:r>
        <w:rPr>
          <w:sz w:val="24"/>
        </w:rPr>
        <w:t>Economic</w:t>
      </w:r>
      <w:r>
        <w:rPr>
          <w:spacing w:val="-1"/>
          <w:sz w:val="24"/>
        </w:rPr>
        <w:t> </w:t>
      </w:r>
      <w:r>
        <w:rPr>
          <w:sz w:val="24"/>
        </w:rPr>
        <w:t>Growth</w:t>
      </w:r>
      <w:r>
        <w:rPr>
          <w:spacing w:val="2"/>
          <w:sz w:val="24"/>
        </w:rPr>
        <w:t> </w:t>
      </w:r>
      <w:r>
        <w:rPr>
          <w:sz w:val="24"/>
        </w:rPr>
        <w:t>between</w:t>
      </w:r>
      <w:r>
        <w:rPr>
          <w:spacing w:val="-2"/>
          <w:sz w:val="24"/>
        </w:rPr>
        <w:t> </w:t>
      </w:r>
      <w:r>
        <w:rPr>
          <w:sz w:val="24"/>
        </w:rPr>
        <w:t>1970</w:t>
      </w:r>
      <w:r>
        <w:rPr>
          <w:spacing w:val="1"/>
          <w:sz w:val="24"/>
        </w:rPr>
        <w:t> </w:t>
      </w:r>
      <w:r>
        <w:rPr>
          <w:sz w:val="24"/>
        </w:rPr>
        <w:t>and</w:t>
      </w:r>
      <w:r>
        <w:rPr>
          <w:spacing w:val="-1"/>
          <w:sz w:val="24"/>
        </w:rPr>
        <w:t> </w:t>
      </w:r>
      <w:r>
        <w:rPr>
          <w:spacing w:val="-2"/>
          <w:sz w:val="24"/>
        </w:rPr>
        <w:t>2011.</w:t>
      </w:r>
    </w:p>
    <w:p>
      <w:pPr>
        <w:pStyle w:val="BodyText"/>
      </w:pPr>
    </w:p>
    <w:p>
      <w:pPr>
        <w:pStyle w:val="ListParagraph"/>
        <w:numPr>
          <w:ilvl w:val="2"/>
          <w:numId w:val="21"/>
        </w:numPr>
        <w:tabs>
          <w:tab w:pos="951" w:val="left" w:leader="none"/>
        </w:tabs>
        <w:spacing w:line="240" w:lineRule="auto" w:before="1" w:after="0"/>
        <w:ind w:left="951" w:right="0" w:hanging="240"/>
        <w:jc w:val="left"/>
        <w:rPr>
          <w:sz w:val="24"/>
        </w:rPr>
      </w:pPr>
      <w:r>
        <w:rPr>
          <w:sz w:val="24"/>
        </w:rPr>
        <w:t>Model</w:t>
      </w:r>
      <w:r>
        <w:rPr>
          <w:spacing w:val="-2"/>
          <w:sz w:val="24"/>
        </w:rPr>
        <w:t> </w:t>
      </w:r>
      <w:r>
        <w:rPr>
          <w:sz w:val="24"/>
        </w:rPr>
        <w:t>5.</w:t>
      </w:r>
      <w:r>
        <w:rPr>
          <w:spacing w:val="-1"/>
          <w:sz w:val="24"/>
        </w:rPr>
        <w:t> </w:t>
      </w:r>
      <w:r>
        <w:rPr>
          <w:sz w:val="24"/>
        </w:rPr>
        <w:t>The</w:t>
      </w:r>
      <w:r>
        <w:rPr>
          <w:spacing w:val="-2"/>
          <w:sz w:val="24"/>
        </w:rPr>
        <w:t> </w:t>
      </w:r>
      <w:r>
        <w:rPr>
          <w:sz w:val="24"/>
        </w:rPr>
        <w:t>effect</w:t>
      </w:r>
      <w:r>
        <w:rPr>
          <w:spacing w:val="-1"/>
          <w:sz w:val="24"/>
        </w:rPr>
        <w:t> </w:t>
      </w:r>
      <w:r>
        <w:rPr>
          <w:sz w:val="24"/>
        </w:rPr>
        <w:t>of capital</w:t>
      </w:r>
      <w:r>
        <w:rPr>
          <w:spacing w:val="-1"/>
          <w:sz w:val="24"/>
        </w:rPr>
        <w:t> </w:t>
      </w:r>
      <w:r>
        <w:rPr>
          <w:sz w:val="24"/>
        </w:rPr>
        <w:t>flight</w:t>
      </w:r>
      <w:r>
        <w:rPr>
          <w:spacing w:val="1"/>
          <w:sz w:val="24"/>
        </w:rPr>
        <w:t> </w:t>
      </w:r>
      <w:r>
        <w:rPr>
          <w:sz w:val="24"/>
        </w:rPr>
        <w:t>on</w:t>
      </w:r>
      <w:r>
        <w:rPr>
          <w:spacing w:val="-1"/>
          <w:sz w:val="24"/>
        </w:rPr>
        <w:t> </w:t>
      </w:r>
      <w:r>
        <w:rPr>
          <w:sz w:val="24"/>
        </w:rPr>
        <w:t>the</w:t>
      </w:r>
      <w:r>
        <w:rPr>
          <w:spacing w:val="1"/>
          <w:sz w:val="24"/>
        </w:rPr>
        <w:t> </w:t>
      </w:r>
      <w:r>
        <w:rPr>
          <w:sz w:val="24"/>
        </w:rPr>
        <w:t>Nigerian</w:t>
      </w:r>
      <w:r>
        <w:rPr>
          <w:spacing w:val="-2"/>
          <w:sz w:val="24"/>
        </w:rPr>
        <w:t> </w:t>
      </w:r>
      <w:r>
        <w:rPr>
          <w:sz w:val="24"/>
        </w:rPr>
        <w:t>Economic Growth</w:t>
      </w:r>
      <w:r>
        <w:rPr>
          <w:spacing w:val="-1"/>
          <w:sz w:val="24"/>
        </w:rPr>
        <w:t> </w:t>
      </w:r>
      <w:r>
        <w:rPr>
          <w:sz w:val="24"/>
        </w:rPr>
        <w:t>in</w:t>
      </w:r>
      <w:r>
        <w:rPr>
          <w:spacing w:val="-1"/>
          <w:sz w:val="24"/>
        </w:rPr>
        <w:t> </w:t>
      </w:r>
      <w:r>
        <w:rPr>
          <w:sz w:val="24"/>
        </w:rPr>
        <w:t>the</w:t>
      </w:r>
      <w:r>
        <w:rPr>
          <w:spacing w:val="-1"/>
          <w:sz w:val="24"/>
        </w:rPr>
        <w:t> </w:t>
      </w:r>
      <w:r>
        <w:rPr>
          <w:sz w:val="24"/>
        </w:rPr>
        <w:t>Pre-SAP</w:t>
      </w:r>
      <w:r>
        <w:rPr>
          <w:spacing w:val="-1"/>
          <w:sz w:val="24"/>
        </w:rPr>
        <w:t> </w:t>
      </w:r>
      <w:r>
        <w:rPr>
          <w:sz w:val="24"/>
        </w:rPr>
        <w:t>era (1970</w:t>
      </w:r>
      <w:r>
        <w:rPr>
          <w:spacing w:val="1"/>
          <w:sz w:val="24"/>
        </w:rPr>
        <w:t> </w:t>
      </w:r>
      <w:r>
        <w:rPr>
          <w:sz w:val="24"/>
        </w:rPr>
        <w:t>–</w:t>
      </w:r>
      <w:r>
        <w:rPr>
          <w:spacing w:val="-1"/>
          <w:sz w:val="24"/>
        </w:rPr>
        <w:t> </w:t>
      </w:r>
      <w:r>
        <w:rPr>
          <w:spacing w:val="-2"/>
          <w:sz w:val="24"/>
        </w:rPr>
        <w:t>1986).</w:t>
      </w:r>
    </w:p>
    <w:p>
      <w:pPr>
        <w:spacing w:after="0" w:line="240" w:lineRule="auto"/>
        <w:jc w:val="left"/>
        <w:rPr>
          <w:sz w:val="24"/>
        </w:rPr>
        <w:sectPr>
          <w:pgSz w:w="11910" w:h="16840"/>
          <w:pgMar w:header="0" w:footer="979" w:top="1360" w:bottom="1240" w:left="280" w:right="0"/>
        </w:sectPr>
      </w:pPr>
    </w:p>
    <w:p>
      <w:pPr>
        <w:pStyle w:val="ListParagraph"/>
        <w:numPr>
          <w:ilvl w:val="2"/>
          <w:numId w:val="21"/>
        </w:numPr>
        <w:tabs>
          <w:tab w:pos="1011" w:val="left" w:leader="none"/>
        </w:tabs>
        <w:spacing w:line="240" w:lineRule="auto" w:before="60" w:after="0"/>
        <w:ind w:left="1011" w:right="0" w:hanging="300"/>
        <w:jc w:val="both"/>
        <w:rPr>
          <w:sz w:val="24"/>
        </w:rPr>
      </w:pPr>
      <w:r>
        <w:rPr>
          <w:sz w:val="24"/>
        </w:rPr>
        <w:t>Model</w:t>
      </w:r>
      <w:r>
        <w:rPr>
          <w:spacing w:val="-1"/>
          <w:sz w:val="24"/>
        </w:rPr>
        <w:t> </w:t>
      </w:r>
      <w:r>
        <w:rPr>
          <w:sz w:val="24"/>
        </w:rPr>
        <w:t>6</w:t>
      </w:r>
      <w:r>
        <w:rPr>
          <w:spacing w:val="-1"/>
          <w:sz w:val="24"/>
        </w:rPr>
        <w:t> </w:t>
      </w:r>
      <w:r>
        <w:rPr>
          <w:sz w:val="24"/>
        </w:rPr>
        <w:t>The</w:t>
      </w:r>
      <w:r>
        <w:rPr>
          <w:spacing w:val="-2"/>
          <w:sz w:val="24"/>
        </w:rPr>
        <w:t> </w:t>
      </w:r>
      <w:r>
        <w:rPr>
          <w:sz w:val="24"/>
        </w:rPr>
        <w:t>effect</w:t>
      </w:r>
      <w:r>
        <w:rPr>
          <w:spacing w:val="-1"/>
          <w:sz w:val="24"/>
        </w:rPr>
        <w:t> </w:t>
      </w:r>
      <w:r>
        <w:rPr>
          <w:sz w:val="24"/>
        </w:rPr>
        <w:t>of capital</w:t>
      </w:r>
      <w:r>
        <w:rPr>
          <w:spacing w:val="-1"/>
          <w:sz w:val="24"/>
        </w:rPr>
        <w:t> </w:t>
      </w:r>
      <w:r>
        <w:rPr>
          <w:sz w:val="24"/>
        </w:rPr>
        <w:t>flight</w:t>
      </w:r>
      <w:r>
        <w:rPr>
          <w:spacing w:val="1"/>
          <w:sz w:val="24"/>
        </w:rPr>
        <w:t> </w:t>
      </w:r>
      <w:r>
        <w:rPr>
          <w:sz w:val="24"/>
        </w:rPr>
        <w:t>on</w:t>
      </w:r>
      <w:r>
        <w:rPr>
          <w:spacing w:val="-1"/>
          <w:sz w:val="24"/>
        </w:rPr>
        <w:t> </w:t>
      </w:r>
      <w:r>
        <w:rPr>
          <w:sz w:val="24"/>
        </w:rPr>
        <w:t>the Nigerian</w:t>
      </w:r>
      <w:r>
        <w:rPr>
          <w:spacing w:val="-1"/>
          <w:sz w:val="24"/>
        </w:rPr>
        <w:t> </w:t>
      </w:r>
      <w:r>
        <w:rPr>
          <w:sz w:val="24"/>
        </w:rPr>
        <w:t>Economic Growth</w:t>
      </w:r>
      <w:r>
        <w:rPr>
          <w:spacing w:val="-1"/>
          <w:sz w:val="24"/>
        </w:rPr>
        <w:t> </w:t>
      </w:r>
      <w:r>
        <w:rPr>
          <w:sz w:val="24"/>
        </w:rPr>
        <w:t>in</w:t>
      </w:r>
      <w:r>
        <w:rPr>
          <w:spacing w:val="-1"/>
          <w:sz w:val="24"/>
        </w:rPr>
        <w:t> </w:t>
      </w:r>
      <w:r>
        <w:rPr>
          <w:sz w:val="24"/>
        </w:rPr>
        <w:t>the</w:t>
      </w:r>
      <w:r>
        <w:rPr>
          <w:spacing w:val="-1"/>
          <w:sz w:val="24"/>
        </w:rPr>
        <w:t> </w:t>
      </w:r>
      <w:r>
        <w:rPr>
          <w:sz w:val="24"/>
        </w:rPr>
        <w:t>Post-SAP</w:t>
      </w:r>
      <w:r>
        <w:rPr>
          <w:spacing w:val="-1"/>
          <w:sz w:val="24"/>
        </w:rPr>
        <w:t> </w:t>
      </w:r>
      <w:r>
        <w:rPr>
          <w:sz w:val="24"/>
        </w:rPr>
        <w:t>era</w:t>
      </w:r>
      <w:r>
        <w:rPr>
          <w:spacing w:val="-1"/>
          <w:sz w:val="24"/>
        </w:rPr>
        <w:t> </w:t>
      </w:r>
      <w:r>
        <w:rPr>
          <w:sz w:val="24"/>
        </w:rPr>
        <w:t>(1987-</w:t>
      </w:r>
      <w:r>
        <w:rPr>
          <w:spacing w:val="-2"/>
          <w:sz w:val="24"/>
        </w:rPr>
        <w:t>2011).</w:t>
      </w:r>
    </w:p>
    <w:p>
      <w:pPr>
        <w:pStyle w:val="BodyText"/>
        <w:spacing w:before="1"/>
      </w:pPr>
    </w:p>
    <w:p>
      <w:pPr>
        <w:pStyle w:val="BodyText"/>
        <w:spacing w:line="480" w:lineRule="auto"/>
        <w:ind w:left="711" w:right="469"/>
        <w:jc w:val="both"/>
      </w:pPr>
      <w:r>
        <w:rPr/>
        <w:t>It is expected that a positive relationship should exist between change in</w:t>
      </w:r>
      <w:r>
        <w:rPr>
          <w:spacing w:val="80"/>
        </w:rPr>
        <w:t> </w:t>
      </w:r>
      <w:r>
        <w:rPr/>
        <w:t>Gross Domestic Product (δGDP and</w:t>
      </w:r>
      <w:r>
        <w:rPr>
          <w:spacing w:val="40"/>
        </w:rPr>
        <w:t> </w:t>
      </w:r>
      <w:r>
        <w:rPr/>
        <w:t>Direct foreign investment (DFI). That is,</w:t>
      </w:r>
      <w:r>
        <w:rPr>
          <w:spacing w:val="40"/>
        </w:rPr>
        <w:t> </w:t>
      </w:r>
      <w:r>
        <w:rPr/>
        <w:t>δGDP/δDFI &gt; 0</w:t>
      </w:r>
    </w:p>
    <w:p>
      <w:pPr>
        <w:pStyle w:val="ListParagraph"/>
        <w:numPr>
          <w:ilvl w:val="3"/>
          <w:numId w:val="21"/>
        </w:numPr>
        <w:tabs>
          <w:tab w:pos="1430" w:val="left" w:leader="none"/>
          <w:tab w:pos="5752" w:val="left" w:leader="none"/>
        </w:tabs>
        <w:spacing w:line="480" w:lineRule="auto" w:before="0" w:after="0"/>
        <w:ind w:left="711" w:right="470" w:firstLine="0"/>
        <w:jc w:val="both"/>
        <w:rPr>
          <w:sz w:val="24"/>
        </w:rPr>
      </w:pPr>
      <w:r>
        <w:rPr>
          <w:sz w:val="24"/>
        </w:rPr>
        <w:t>It</w:t>
      </w:r>
      <w:r>
        <w:rPr>
          <w:spacing w:val="-2"/>
          <w:sz w:val="24"/>
        </w:rPr>
        <w:t> </w:t>
      </w:r>
      <w:r>
        <w:rPr>
          <w:sz w:val="24"/>
        </w:rPr>
        <w:t>is</w:t>
      </w:r>
      <w:r>
        <w:rPr>
          <w:spacing w:val="-2"/>
          <w:sz w:val="24"/>
        </w:rPr>
        <w:t> </w:t>
      </w:r>
      <w:r>
        <w:rPr>
          <w:sz w:val="24"/>
        </w:rPr>
        <w:t>also</w:t>
      </w:r>
      <w:r>
        <w:rPr>
          <w:spacing w:val="-2"/>
          <w:sz w:val="24"/>
        </w:rPr>
        <w:t> </w:t>
      </w:r>
      <w:r>
        <w:rPr>
          <w:sz w:val="24"/>
        </w:rPr>
        <w:t>expected</w:t>
      </w:r>
      <w:r>
        <w:rPr>
          <w:spacing w:val="-2"/>
          <w:sz w:val="24"/>
        </w:rPr>
        <w:t> </w:t>
      </w:r>
      <w:r>
        <w:rPr>
          <w:sz w:val="24"/>
        </w:rPr>
        <w:t>that a</w:t>
      </w:r>
      <w:r>
        <w:rPr>
          <w:spacing w:val="-1"/>
          <w:sz w:val="24"/>
        </w:rPr>
        <w:t> </w:t>
      </w:r>
      <w:r>
        <w:rPr>
          <w:sz w:val="24"/>
        </w:rPr>
        <w:t>positive</w:t>
      </w:r>
      <w:r>
        <w:rPr>
          <w:spacing w:val="40"/>
          <w:sz w:val="24"/>
        </w:rPr>
        <w:t> </w:t>
      </w:r>
      <w:r>
        <w:rPr>
          <w:sz w:val="24"/>
        </w:rPr>
        <w:t>relationship</w:t>
      </w:r>
      <w:r>
        <w:rPr>
          <w:spacing w:val="-2"/>
          <w:sz w:val="24"/>
        </w:rPr>
        <w:t> </w:t>
      </w:r>
      <w:r>
        <w:rPr>
          <w:sz w:val="24"/>
        </w:rPr>
        <w:t>should</w:t>
      </w:r>
      <w:r>
        <w:rPr>
          <w:spacing w:val="-2"/>
          <w:sz w:val="24"/>
        </w:rPr>
        <w:t> </w:t>
      </w:r>
      <w:r>
        <w:rPr>
          <w:sz w:val="24"/>
        </w:rPr>
        <w:t>exist</w:t>
      </w:r>
      <w:r>
        <w:rPr>
          <w:spacing w:val="-2"/>
          <w:sz w:val="24"/>
        </w:rPr>
        <w:t> </w:t>
      </w:r>
      <w:r>
        <w:rPr>
          <w:sz w:val="24"/>
        </w:rPr>
        <w:t>between</w:t>
      </w:r>
      <w:r>
        <w:rPr>
          <w:spacing w:val="-1"/>
          <w:sz w:val="24"/>
        </w:rPr>
        <w:t> </w:t>
      </w:r>
      <w:r>
        <w:rPr>
          <w:sz w:val="24"/>
        </w:rPr>
        <w:t>Gross</w:t>
      </w:r>
      <w:r>
        <w:rPr>
          <w:spacing w:val="40"/>
          <w:sz w:val="24"/>
        </w:rPr>
        <w:t> </w:t>
      </w:r>
      <w:r>
        <w:rPr>
          <w:sz w:val="24"/>
        </w:rPr>
        <w:t>Domestic</w:t>
      </w:r>
      <w:r>
        <w:rPr>
          <w:spacing w:val="40"/>
          <w:sz w:val="24"/>
        </w:rPr>
        <w:t> </w:t>
      </w:r>
      <w:r>
        <w:rPr>
          <w:sz w:val="24"/>
        </w:rPr>
        <w:t>Product</w:t>
      </w:r>
      <w:r>
        <w:rPr>
          <w:spacing w:val="40"/>
          <w:sz w:val="24"/>
        </w:rPr>
        <w:t> </w:t>
      </w:r>
      <w:r>
        <w:rPr>
          <w:sz w:val="24"/>
        </w:rPr>
        <w:t>(GDP) and Current account balance (CAB). That is,</w:t>
        <w:tab/>
        <w:t>δGDP/δCAB &gt;0</w:t>
      </w:r>
    </w:p>
    <w:p>
      <w:pPr>
        <w:pStyle w:val="ListParagraph"/>
        <w:numPr>
          <w:ilvl w:val="0"/>
          <w:numId w:val="22"/>
        </w:numPr>
        <w:tabs>
          <w:tab w:pos="1430" w:val="left" w:leader="none"/>
          <w:tab w:pos="5752" w:val="left" w:leader="none"/>
        </w:tabs>
        <w:spacing w:line="480" w:lineRule="auto" w:before="0" w:after="0"/>
        <w:ind w:left="711" w:right="471" w:firstLine="0"/>
        <w:jc w:val="both"/>
        <w:rPr>
          <w:sz w:val="24"/>
        </w:rPr>
      </w:pPr>
      <w:r>
        <w:rPr>
          <w:sz w:val="24"/>
        </w:rPr>
        <w:t>A positive or negative relationship is also expected between Gross Domestic Product and</w:t>
      </w:r>
      <w:r>
        <w:rPr>
          <w:spacing w:val="40"/>
          <w:sz w:val="24"/>
        </w:rPr>
        <w:t> </w:t>
      </w:r>
      <w:r>
        <w:rPr>
          <w:sz w:val="24"/>
        </w:rPr>
        <w:t>Foreign exchange reserve (RES) That is, δGDP/δRES</w:t>
        <w:tab/>
        <w:t>&gt; 0</w:t>
      </w:r>
    </w:p>
    <w:p>
      <w:pPr>
        <w:pStyle w:val="ListParagraph"/>
        <w:numPr>
          <w:ilvl w:val="0"/>
          <w:numId w:val="22"/>
        </w:numPr>
        <w:tabs>
          <w:tab w:pos="1431" w:val="left" w:leader="none"/>
        </w:tabs>
        <w:spacing w:line="480" w:lineRule="auto" w:before="1" w:after="0"/>
        <w:ind w:left="711" w:right="472" w:firstLine="0"/>
        <w:jc w:val="both"/>
        <w:rPr>
          <w:sz w:val="24"/>
        </w:rPr>
      </w:pPr>
      <w:r>
        <w:rPr>
          <w:sz w:val="24"/>
        </w:rPr>
        <w:t>It is expected that a positive or negative relationship should exist between between Gross Domestic Product</w:t>
      </w:r>
      <w:r>
        <w:rPr>
          <w:spacing w:val="-1"/>
          <w:sz w:val="24"/>
        </w:rPr>
        <w:t> </w:t>
      </w:r>
      <w:r>
        <w:rPr>
          <w:sz w:val="24"/>
        </w:rPr>
        <w:t>(GDP)</w:t>
      </w:r>
      <w:r>
        <w:rPr>
          <w:spacing w:val="-1"/>
          <w:sz w:val="24"/>
        </w:rPr>
        <w:t> </w:t>
      </w:r>
      <w:r>
        <w:rPr>
          <w:sz w:val="24"/>
        </w:rPr>
        <w:t>change</w:t>
      </w:r>
      <w:r>
        <w:rPr>
          <w:spacing w:val="-2"/>
          <w:sz w:val="24"/>
        </w:rPr>
        <w:t> </w:t>
      </w:r>
      <w:r>
        <w:rPr>
          <w:sz w:val="24"/>
        </w:rPr>
        <w:t>in foreign</w:t>
      </w:r>
      <w:r>
        <w:rPr>
          <w:spacing w:val="-1"/>
          <w:sz w:val="24"/>
        </w:rPr>
        <w:t> </w:t>
      </w:r>
      <w:r>
        <w:rPr>
          <w:sz w:val="24"/>
        </w:rPr>
        <w:t>asset</w:t>
      </w:r>
      <w:r>
        <w:rPr>
          <w:spacing w:val="-1"/>
          <w:sz w:val="24"/>
        </w:rPr>
        <w:t> </w:t>
      </w:r>
      <w:r>
        <w:rPr>
          <w:sz w:val="24"/>
        </w:rPr>
        <w:t>of</w:t>
      </w:r>
      <w:r>
        <w:rPr>
          <w:spacing w:val="80"/>
          <w:sz w:val="24"/>
        </w:rPr>
        <w:t> </w:t>
      </w:r>
      <w:r>
        <w:rPr>
          <w:sz w:val="24"/>
        </w:rPr>
        <w:t>domestic</w:t>
      </w:r>
      <w:r>
        <w:rPr>
          <w:spacing w:val="80"/>
          <w:sz w:val="24"/>
        </w:rPr>
        <w:t> </w:t>
      </w:r>
      <w:r>
        <w:rPr>
          <w:sz w:val="24"/>
        </w:rPr>
        <w:t>banking</w:t>
      </w:r>
      <w:r>
        <w:rPr>
          <w:spacing w:val="80"/>
          <w:sz w:val="24"/>
        </w:rPr>
        <w:t> </w:t>
      </w:r>
      <w:r>
        <w:rPr>
          <w:sz w:val="24"/>
        </w:rPr>
        <w:t>system(</w:t>
      </w:r>
      <w:r>
        <w:rPr>
          <w:spacing w:val="80"/>
          <w:sz w:val="24"/>
        </w:rPr>
        <w:t> </w:t>
      </w:r>
      <w:r>
        <w:rPr>
          <w:sz w:val="24"/>
        </w:rPr>
        <w:t>δNEXTAS)</w:t>
      </w:r>
      <w:r>
        <w:rPr>
          <w:spacing w:val="80"/>
          <w:sz w:val="24"/>
        </w:rPr>
        <w:t> </w:t>
      </w:r>
      <w:r>
        <w:rPr>
          <w:sz w:val="24"/>
        </w:rPr>
        <w:t>That</w:t>
      </w:r>
      <w:r>
        <w:rPr>
          <w:spacing w:val="80"/>
          <w:sz w:val="24"/>
        </w:rPr>
        <w:t> </w:t>
      </w:r>
      <w:r>
        <w:rPr>
          <w:sz w:val="24"/>
        </w:rPr>
        <w:t>is, δGDP/δNEXTAS &gt;0. From the above, &gt; 0 signifies a positive relationship, implying that an increase in the explanatory variable will result into an increase in the explained variable while &lt; 0 signifies a negative relationship among the variables, implying that an increase in the explanatory variable will result into reduction in the explained variable.</w:t>
      </w:r>
    </w:p>
    <w:p>
      <w:pPr>
        <w:pStyle w:val="BodyText"/>
        <w:spacing w:line="480" w:lineRule="auto"/>
        <w:ind w:left="711" w:right="471"/>
        <w:jc w:val="both"/>
      </w:pPr>
      <w:r>
        <w:rPr/>
        <w:t>Models 1, 3 and 4 (on determinant of capital flight in Nigeria) were evaluated separately while model 2, 5 and 6 (on</w:t>
      </w:r>
      <w:r>
        <w:rPr>
          <w:spacing w:val="-1"/>
        </w:rPr>
        <w:t> </w:t>
      </w:r>
      <w:r>
        <w:rPr/>
        <w:t>the</w:t>
      </w:r>
      <w:r>
        <w:rPr>
          <w:spacing w:val="-1"/>
        </w:rPr>
        <w:t> </w:t>
      </w:r>
      <w:r>
        <w:rPr/>
        <w:t>effect of</w:t>
      </w:r>
      <w:r>
        <w:rPr>
          <w:spacing w:val="-1"/>
        </w:rPr>
        <w:t> </w:t>
      </w:r>
      <w:r>
        <w:rPr/>
        <w:t>capital flight in Nigeria)</w:t>
      </w:r>
      <w:r>
        <w:rPr>
          <w:spacing w:val="-1"/>
        </w:rPr>
        <w:t> </w:t>
      </w:r>
      <w:r>
        <w:rPr/>
        <w:t>were</w:t>
      </w:r>
      <w:r>
        <w:rPr>
          <w:spacing w:val="-2"/>
        </w:rPr>
        <w:t> </w:t>
      </w:r>
      <w:r>
        <w:rPr/>
        <w:t>also evaluated</w:t>
      </w:r>
      <w:r>
        <w:rPr>
          <w:spacing w:val="-1"/>
        </w:rPr>
        <w:t> </w:t>
      </w:r>
      <w:r>
        <w:rPr/>
        <w:t>separately. Thus, the</w:t>
      </w:r>
      <w:r>
        <w:rPr>
          <w:spacing w:val="-1"/>
        </w:rPr>
        <w:t> </w:t>
      </w:r>
      <w:r>
        <w:rPr/>
        <w:t>link among</w:t>
      </w:r>
      <w:r>
        <w:rPr>
          <w:spacing w:val="-2"/>
        </w:rPr>
        <w:t> </w:t>
      </w:r>
      <w:r>
        <w:rPr/>
        <w:t>models 1, 3, 4 and models 2, 5 and 6 were not examined in this study</w:t>
      </w:r>
    </w:p>
    <w:p>
      <w:pPr>
        <w:pStyle w:val="BodyText"/>
      </w:pPr>
    </w:p>
    <w:p>
      <w:pPr>
        <w:pStyle w:val="BodyText"/>
      </w:pPr>
    </w:p>
    <w:p>
      <w:pPr>
        <w:pStyle w:val="Heading6"/>
        <w:numPr>
          <w:ilvl w:val="1"/>
          <w:numId w:val="14"/>
        </w:numPr>
        <w:tabs>
          <w:tab w:pos="1431" w:val="left" w:leader="none"/>
        </w:tabs>
        <w:spacing w:line="240" w:lineRule="auto" w:before="1" w:after="0"/>
        <w:ind w:left="1431" w:right="0" w:hanging="720"/>
        <w:jc w:val="both"/>
      </w:pPr>
      <w:bookmarkStart w:name="_TOC_250013" w:id="14"/>
      <w:r>
        <w:rPr/>
        <w:t>Nature</w:t>
      </w:r>
      <w:r>
        <w:rPr>
          <w:spacing w:val="-3"/>
        </w:rPr>
        <w:t> </w:t>
      </w:r>
      <w:r>
        <w:rPr/>
        <w:t>and</w:t>
      </w:r>
      <w:r>
        <w:rPr>
          <w:spacing w:val="-1"/>
        </w:rPr>
        <w:t> </w:t>
      </w:r>
      <w:r>
        <w:rPr/>
        <w:t>Sources</w:t>
      </w:r>
      <w:r>
        <w:rPr>
          <w:spacing w:val="-2"/>
        </w:rPr>
        <w:t> </w:t>
      </w:r>
      <w:r>
        <w:rPr/>
        <w:t>of </w:t>
      </w:r>
      <w:bookmarkEnd w:id="14"/>
      <w:r>
        <w:rPr>
          <w:spacing w:val="-4"/>
        </w:rPr>
        <w:t>Data</w:t>
      </w:r>
    </w:p>
    <w:p>
      <w:pPr>
        <w:pStyle w:val="BodyText"/>
        <w:spacing w:line="480" w:lineRule="auto" w:before="276"/>
        <w:ind w:left="711" w:right="470"/>
        <w:jc w:val="both"/>
      </w:pPr>
      <w:r>
        <w:rPr/>
        <w:t>For the purpose of this study, time series data were used. These data were secondary, mainly the Central Bank of Nigeria (CBN), Federal Office</w:t>
      </w:r>
      <w:r>
        <w:rPr>
          <w:spacing w:val="-1"/>
        </w:rPr>
        <w:t> </w:t>
      </w:r>
      <w:r>
        <w:rPr/>
        <w:t>of Statistics</w:t>
      </w:r>
      <w:r>
        <w:rPr>
          <w:spacing w:val="-1"/>
        </w:rPr>
        <w:t> </w:t>
      </w:r>
      <w:r>
        <w:rPr/>
        <w:t>(FOS), World Bank Statistical Information, World</w:t>
      </w:r>
      <w:r>
        <w:rPr>
          <w:spacing w:val="-1"/>
        </w:rPr>
        <w:t> </w:t>
      </w:r>
      <w:r>
        <w:rPr/>
        <w:t>Debt Tables, IMF International Financial Statistics and the United State Federal Reserve.</w:t>
      </w:r>
    </w:p>
    <w:p>
      <w:pPr>
        <w:pStyle w:val="Heading6"/>
        <w:numPr>
          <w:ilvl w:val="1"/>
          <w:numId w:val="14"/>
        </w:numPr>
        <w:tabs>
          <w:tab w:pos="1431" w:val="left" w:leader="none"/>
        </w:tabs>
        <w:spacing w:line="240" w:lineRule="auto" w:before="0" w:after="0"/>
        <w:ind w:left="1431" w:right="0" w:hanging="720"/>
        <w:jc w:val="both"/>
      </w:pPr>
      <w:bookmarkStart w:name="_TOC_250012" w:id="15"/>
      <w:r>
        <w:rPr/>
        <w:t>Description</w:t>
      </w:r>
      <w:r>
        <w:rPr>
          <w:spacing w:val="-4"/>
        </w:rPr>
        <w:t> </w:t>
      </w:r>
      <w:r>
        <w:rPr/>
        <w:t>of</w:t>
      </w:r>
      <w:r>
        <w:rPr>
          <w:spacing w:val="1"/>
        </w:rPr>
        <w:t> </w:t>
      </w:r>
      <w:bookmarkEnd w:id="15"/>
      <w:r>
        <w:rPr>
          <w:spacing w:val="-2"/>
        </w:rPr>
        <w:t>Variables</w:t>
      </w:r>
    </w:p>
    <w:p>
      <w:pPr>
        <w:pStyle w:val="BodyText"/>
        <w:rPr>
          <w:b/>
        </w:rPr>
      </w:pPr>
    </w:p>
    <w:p>
      <w:pPr>
        <w:pStyle w:val="BodyText"/>
        <w:ind w:left="711"/>
        <w:jc w:val="both"/>
      </w:pPr>
      <w:r>
        <w:rPr/>
        <w:t>Below</w:t>
      </w:r>
      <w:r>
        <w:rPr>
          <w:spacing w:val="-3"/>
        </w:rPr>
        <w:t> </w:t>
      </w:r>
      <w:r>
        <w:rPr/>
        <w:t>are</w:t>
      </w:r>
      <w:r>
        <w:rPr>
          <w:spacing w:val="-1"/>
        </w:rPr>
        <w:t> </w:t>
      </w:r>
      <w:r>
        <w:rPr/>
        <w:t>short descriptions</w:t>
      </w:r>
      <w:r>
        <w:rPr>
          <w:spacing w:val="1"/>
        </w:rPr>
        <w:t> </w:t>
      </w:r>
      <w:r>
        <w:rPr/>
        <w:t>of</w:t>
      </w:r>
      <w:r>
        <w:rPr>
          <w:spacing w:val="59"/>
        </w:rPr>
        <w:t> </w:t>
      </w:r>
      <w:r>
        <w:rPr/>
        <w:t>the various</w:t>
      </w:r>
      <w:r>
        <w:rPr>
          <w:spacing w:val="-1"/>
        </w:rPr>
        <w:t> </w:t>
      </w:r>
      <w:r>
        <w:rPr/>
        <w:t>variables adopted as proxies in this</w:t>
      </w:r>
      <w:r>
        <w:rPr>
          <w:spacing w:val="61"/>
        </w:rPr>
        <w:t> </w:t>
      </w:r>
      <w:r>
        <w:rPr>
          <w:spacing w:val="-2"/>
        </w:rPr>
        <w:t>study:</w:t>
      </w:r>
    </w:p>
    <w:p>
      <w:pPr>
        <w:pStyle w:val="ListParagraph"/>
        <w:numPr>
          <w:ilvl w:val="0"/>
          <w:numId w:val="23"/>
        </w:numPr>
        <w:tabs>
          <w:tab w:pos="1431" w:val="left" w:leader="none"/>
        </w:tabs>
        <w:spacing w:line="550" w:lineRule="atLeast" w:before="2" w:after="0"/>
        <w:ind w:left="711" w:right="472" w:firstLine="0"/>
        <w:jc w:val="both"/>
        <w:rPr>
          <w:sz w:val="24"/>
        </w:rPr>
      </w:pPr>
      <w:r>
        <w:rPr>
          <w:b/>
          <w:sz w:val="24"/>
        </w:rPr>
        <w:t>Gross</w:t>
      </w:r>
      <w:r>
        <w:rPr>
          <w:b/>
          <w:spacing w:val="-2"/>
          <w:sz w:val="24"/>
        </w:rPr>
        <w:t> </w:t>
      </w:r>
      <w:r>
        <w:rPr>
          <w:b/>
          <w:sz w:val="24"/>
        </w:rPr>
        <w:t>Domestic</w:t>
      </w:r>
      <w:r>
        <w:rPr>
          <w:b/>
          <w:spacing w:val="-1"/>
          <w:sz w:val="24"/>
        </w:rPr>
        <w:t> </w:t>
      </w:r>
      <w:r>
        <w:rPr>
          <w:b/>
          <w:sz w:val="24"/>
        </w:rPr>
        <w:t>Product</w:t>
      </w:r>
      <w:r>
        <w:rPr>
          <w:b/>
          <w:spacing w:val="-2"/>
          <w:sz w:val="24"/>
        </w:rPr>
        <w:t> </w:t>
      </w:r>
      <w:r>
        <w:rPr>
          <w:sz w:val="24"/>
        </w:rPr>
        <w:t>(GDP):</w:t>
      </w:r>
      <w:r>
        <w:rPr>
          <w:spacing w:val="-2"/>
          <w:sz w:val="24"/>
        </w:rPr>
        <w:t> </w:t>
      </w:r>
      <w:r>
        <w:rPr>
          <w:sz w:val="24"/>
        </w:rPr>
        <w:t>This</w:t>
      </w:r>
      <w:r>
        <w:rPr>
          <w:spacing w:val="-2"/>
          <w:sz w:val="24"/>
        </w:rPr>
        <w:t> </w:t>
      </w:r>
      <w:r>
        <w:rPr>
          <w:sz w:val="24"/>
        </w:rPr>
        <w:t>is</w:t>
      </w:r>
      <w:r>
        <w:rPr>
          <w:spacing w:val="-2"/>
          <w:sz w:val="24"/>
        </w:rPr>
        <w:t> </w:t>
      </w:r>
      <w:r>
        <w:rPr>
          <w:sz w:val="24"/>
        </w:rPr>
        <w:t>the</w:t>
      </w:r>
      <w:r>
        <w:rPr>
          <w:spacing w:val="-2"/>
          <w:sz w:val="24"/>
        </w:rPr>
        <w:t> </w:t>
      </w:r>
      <w:r>
        <w:rPr>
          <w:sz w:val="24"/>
        </w:rPr>
        <w:t>money</w:t>
      </w:r>
      <w:r>
        <w:rPr>
          <w:spacing w:val="-7"/>
          <w:sz w:val="24"/>
        </w:rPr>
        <w:t> </w:t>
      </w:r>
      <w:r>
        <w:rPr>
          <w:sz w:val="24"/>
        </w:rPr>
        <w:t>value</w:t>
      </w:r>
      <w:r>
        <w:rPr>
          <w:spacing w:val="-2"/>
          <w:sz w:val="24"/>
        </w:rPr>
        <w:t> </w:t>
      </w:r>
      <w:r>
        <w:rPr>
          <w:sz w:val="24"/>
        </w:rPr>
        <w:t>of</w:t>
      </w:r>
      <w:r>
        <w:rPr>
          <w:spacing w:val="-2"/>
          <w:sz w:val="24"/>
        </w:rPr>
        <w:t> </w:t>
      </w:r>
      <w:r>
        <w:rPr>
          <w:sz w:val="24"/>
        </w:rPr>
        <w:t>goods and</w:t>
      </w:r>
      <w:r>
        <w:rPr>
          <w:spacing w:val="80"/>
          <w:w w:val="150"/>
          <w:sz w:val="24"/>
        </w:rPr>
        <w:t> </w:t>
      </w:r>
      <w:r>
        <w:rPr>
          <w:sz w:val="24"/>
        </w:rPr>
        <w:t>services</w:t>
      </w:r>
      <w:r>
        <w:rPr>
          <w:spacing w:val="40"/>
          <w:sz w:val="24"/>
        </w:rPr>
        <w:t> </w:t>
      </w:r>
      <w:r>
        <w:rPr>
          <w:sz w:val="24"/>
        </w:rPr>
        <w:t>produced</w:t>
      </w:r>
      <w:r>
        <w:rPr>
          <w:spacing w:val="40"/>
          <w:sz w:val="24"/>
        </w:rPr>
        <w:t> </w:t>
      </w:r>
      <w:r>
        <w:rPr>
          <w:sz w:val="24"/>
        </w:rPr>
        <w:t>in</w:t>
      </w:r>
      <w:r>
        <w:rPr>
          <w:spacing w:val="40"/>
          <w:sz w:val="24"/>
        </w:rPr>
        <w:t> </w:t>
      </w:r>
      <w:r>
        <w:rPr>
          <w:sz w:val="24"/>
        </w:rPr>
        <w:t>an economy during a period of time irrespective of the nationality of the people who produced the goods and services. GDP at current market prices as used in this study equals GDP at current basic prices</w:t>
      </w:r>
      <w:r>
        <w:rPr>
          <w:spacing w:val="80"/>
          <w:sz w:val="24"/>
        </w:rPr>
        <w:t>  </w:t>
      </w:r>
      <w:r>
        <w:rPr>
          <w:sz w:val="24"/>
        </w:rPr>
        <w:t>plus</w:t>
      </w:r>
    </w:p>
    <w:p>
      <w:pPr>
        <w:spacing w:after="0" w:line="550" w:lineRule="atLeast"/>
        <w:jc w:val="both"/>
        <w:rPr>
          <w:sz w:val="24"/>
        </w:rPr>
        <w:sectPr>
          <w:pgSz w:w="11910" w:h="16840"/>
          <w:pgMar w:header="0" w:footer="979" w:top="1360" w:bottom="1240" w:left="280" w:right="0"/>
        </w:sectPr>
      </w:pPr>
    </w:p>
    <w:p>
      <w:pPr>
        <w:pStyle w:val="BodyText"/>
        <w:spacing w:line="480" w:lineRule="auto" w:before="60"/>
        <w:ind w:left="711" w:right="472"/>
        <w:jc w:val="both"/>
      </w:pPr>
      <w:r>
        <w:rPr/>
        <w:t>indirect taxes net of subsidies. This is GDP value at the market prices which purchasers pay for the good</w:t>
      </w:r>
      <w:r>
        <w:rPr>
          <w:spacing w:val="40"/>
        </w:rPr>
        <w:t> </w:t>
      </w:r>
      <w:r>
        <w:rPr/>
        <w:t>and services they acquire or use. The GDP is generally taken as a measure of economic growth since it measures the total value created in an economy in a given period.</w:t>
      </w:r>
    </w:p>
    <w:p>
      <w:pPr>
        <w:pStyle w:val="ListParagraph"/>
        <w:numPr>
          <w:ilvl w:val="0"/>
          <w:numId w:val="23"/>
        </w:numPr>
        <w:tabs>
          <w:tab w:pos="1431" w:val="left" w:leader="none"/>
        </w:tabs>
        <w:spacing w:line="240" w:lineRule="auto" w:before="1" w:after="0"/>
        <w:ind w:left="1431" w:right="0" w:hanging="720"/>
        <w:jc w:val="both"/>
        <w:rPr>
          <w:sz w:val="24"/>
        </w:rPr>
      </w:pPr>
      <w:r>
        <w:rPr>
          <w:b/>
          <w:sz w:val="24"/>
        </w:rPr>
        <w:t>Change</w:t>
      </w:r>
      <w:r>
        <w:rPr>
          <w:b/>
          <w:spacing w:val="-4"/>
          <w:sz w:val="24"/>
        </w:rPr>
        <w:t> </w:t>
      </w:r>
      <w:r>
        <w:rPr>
          <w:b/>
          <w:sz w:val="24"/>
        </w:rPr>
        <w:t>in External</w:t>
      </w:r>
      <w:r>
        <w:rPr>
          <w:b/>
          <w:spacing w:val="-1"/>
          <w:sz w:val="24"/>
        </w:rPr>
        <w:t> </w:t>
      </w:r>
      <w:r>
        <w:rPr>
          <w:b/>
          <w:sz w:val="24"/>
        </w:rPr>
        <w:t>Debt </w:t>
      </w:r>
      <w:r>
        <w:rPr>
          <w:sz w:val="24"/>
        </w:rPr>
        <w:t>(δEXDEBT): This</w:t>
      </w:r>
      <w:r>
        <w:rPr>
          <w:spacing w:val="-1"/>
          <w:sz w:val="24"/>
        </w:rPr>
        <w:t> </w:t>
      </w:r>
      <w:r>
        <w:rPr>
          <w:sz w:val="24"/>
        </w:rPr>
        <w:t>is debt that</w:t>
      </w:r>
      <w:r>
        <w:rPr>
          <w:spacing w:val="-1"/>
          <w:sz w:val="24"/>
        </w:rPr>
        <w:t> </w:t>
      </w:r>
      <w:r>
        <w:rPr>
          <w:sz w:val="24"/>
        </w:rPr>
        <w:t>is owed by</w:t>
      </w:r>
      <w:r>
        <w:rPr>
          <w:spacing w:val="-4"/>
          <w:sz w:val="24"/>
        </w:rPr>
        <w:t> </w:t>
      </w:r>
      <w:r>
        <w:rPr>
          <w:sz w:val="24"/>
        </w:rPr>
        <w:t>a</w:t>
      </w:r>
      <w:r>
        <w:rPr>
          <w:spacing w:val="55"/>
          <w:w w:val="150"/>
          <w:sz w:val="24"/>
        </w:rPr>
        <w:t>   </w:t>
      </w:r>
      <w:r>
        <w:rPr>
          <w:sz w:val="24"/>
        </w:rPr>
        <w:t>country</w:t>
      </w:r>
      <w:r>
        <w:rPr>
          <w:spacing w:val="52"/>
          <w:sz w:val="24"/>
        </w:rPr>
        <w:t> </w:t>
      </w:r>
      <w:r>
        <w:rPr>
          <w:sz w:val="24"/>
        </w:rPr>
        <w:t>to</w:t>
      </w:r>
      <w:r>
        <w:rPr>
          <w:spacing w:val="59"/>
          <w:sz w:val="24"/>
        </w:rPr>
        <w:t> </w:t>
      </w:r>
      <w:r>
        <w:rPr>
          <w:sz w:val="24"/>
        </w:rPr>
        <w:t>other</w:t>
      </w:r>
      <w:r>
        <w:rPr>
          <w:spacing w:val="57"/>
          <w:sz w:val="24"/>
        </w:rPr>
        <w:t> </w:t>
      </w:r>
      <w:r>
        <w:rPr>
          <w:spacing w:val="-2"/>
          <w:sz w:val="24"/>
        </w:rPr>
        <w:t>nations.</w:t>
      </w:r>
    </w:p>
    <w:p>
      <w:pPr>
        <w:pStyle w:val="BodyText"/>
      </w:pPr>
    </w:p>
    <w:p>
      <w:pPr>
        <w:pStyle w:val="BodyText"/>
        <w:spacing w:line="480" w:lineRule="auto"/>
        <w:ind w:left="711" w:right="472"/>
        <w:jc w:val="both"/>
      </w:pPr>
      <w:r>
        <w:rPr/>
        <w:t>External</w:t>
      </w:r>
      <w:r>
        <w:rPr>
          <w:spacing w:val="-3"/>
        </w:rPr>
        <w:t> </w:t>
      </w:r>
      <w:r>
        <w:rPr/>
        <w:t>loans</w:t>
      </w:r>
      <w:r>
        <w:rPr>
          <w:spacing w:val="-3"/>
        </w:rPr>
        <w:t> </w:t>
      </w:r>
      <w:r>
        <w:rPr/>
        <w:t>become</w:t>
      </w:r>
      <w:r>
        <w:rPr>
          <w:spacing w:val="-3"/>
        </w:rPr>
        <w:t> </w:t>
      </w:r>
      <w:r>
        <w:rPr/>
        <w:t>inevitable</w:t>
      </w:r>
      <w:r>
        <w:rPr>
          <w:spacing w:val="-3"/>
        </w:rPr>
        <w:t> </w:t>
      </w:r>
      <w:r>
        <w:rPr/>
        <w:t>for government when economy faces financial crisis. Change in external debt</w:t>
      </w:r>
      <w:r>
        <w:rPr>
          <w:spacing w:val="-1"/>
        </w:rPr>
        <w:t> </w:t>
      </w:r>
      <w:r>
        <w:rPr/>
        <w:t>is</w:t>
      </w:r>
      <w:r>
        <w:rPr>
          <w:spacing w:val="40"/>
        </w:rPr>
        <w:t> </w:t>
      </w:r>
      <w:r>
        <w:rPr/>
        <w:t>difference</w:t>
      </w:r>
      <w:r>
        <w:rPr>
          <w:spacing w:val="-3"/>
        </w:rPr>
        <w:t> </w:t>
      </w:r>
      <w:r>
        <w:rPr/>
        <w:t>between</w:t>
      </w:r>
      <w:r>
        <w:rPr>
          <w:spacing w:val="-2"/>
        </w:rPr>
        <w:t> </w:t>
      </w:r>
      <w:r>
        <w:rPr/>
        <w:t>the</w:t>
      </w:r>
      <w:r>
        <w:rPr>
          <w:spacing w:val="-2"/>
        </w:rPr>
        <w:t> </w:t>
      </w:r>
      <w:r>
        <w:rPr/>
        <w:t>ccurrent and</w:t>
      </w:r>
      <w:r>
        <w:rPr>
          <w:spacing w:val="-2"/>
        </w:rPr>
        <w:t> </w:t>
      </w:r>
      <w:r>
        <w:rPr/>
        <w:t>previous</w:t>
      </w:r>
      <w:r>
        <w:rPr>
          <w:spacing w:val="-2"/>
        </w:rPr>
        <w:t> </w:t>
      </w:r>
      <w:r>
        <w:rPr/>
        <w:t>value</w:t>
      </w:r>
      <w:r>
        <w:rPr>
          <w:spacing w:val="-2"/>
        </w:rPr>
        <w:t> </w:t>
      </w:r>
      <w:r>
        <w:rPr/>
        <w:t>or</w:t>
      </w:r>
      <w:r>
        <w:rPr>
          <w:spacing w:val="-4"/>
        </w:rPr>
        <w:t> </w:t>
      </w:r>
      <w:r>
        <w:rPr/>
        <w:t>variation</w:t>
      </w:r>
      <w:r>
        <w:rPr>
          <w:spacing w:val="-2"/>
        </w:rPr>
        <w:t> </w:t>
      </w:r>
      <w:r>
        <w:rPr/>
        <w:t>in</w:t>
      </w:r>
      <w:r>
        <w:rPr>
          <w:spacing w:val="61"/>
        </w:rPr>
        <w:t> </w:t>
      </w:r>
      <w:r>
        <w:rPr/>
        <w:t>the</w:t>
      </w:r>
      <w:r>
        <w:rPr>
          <w:spacing w:val="79"/>
        </w:rPr>
        <w:t>   </w:t>
      </w:r>
      <w:r>
        <w:rPr/>
        <w:t>value of debt that is owed to other nations or external organisations.</w:t>
      </w:r>
    </w:p>
    <w:p>
      <w:pPr>
        <w:pStyle w:val="ListParagraph"/>
        <w:numPr>
          <w:ilvl w:val="0"/>
          <w:numId w:val="23"/>
        </w:numPr>
        <w:tabs>
          <w:tab w:pos="1431" w:val="left" w:leader="none"/>
          <w:tab w:pos="5752" w:val="left" w:leader="none"/>
        </w:tabs>
        <w:spacing w:line="480" w:lineRule="auto" w:before="1" w:after="0"/>
        <w:ind w:left="711" w:right="469" w:firstLine="0"/>
        <w:jc w:val="both"/>
        <w:rPr>
          <w:sz w:val="24"/>
        </w:rPr>
      </w:pPr>
      <w:r>
        <w:rPr>
          <w:b/>
          <w:sz w:val="24"/>
        </w:rPr>
        <w:t>Direct Foreign Investment </w:t>
      </w:r>
      <w:r>
        <w:rPr>
          <w:sz w:val="24"/>
        </w:rPr>
        <w:t>(DFI): This involves investment made to acquire a lasting management interest, usually at least 10% of voting stocks,</w:t>
        <w:tab/>
        <w:t>in an enterprise operating</w:t>
      </w:r>
      <w:r>
        <w:rPr>
          <w:spacing w:val="-1"/>
          <w:sz w:val="24"/>
        </w:rPr>
        <w:t> </w:t>
      </w:r>
      <w:r>
        <w:rPr>
          <w:sz w:val="24"/>
        </w:rPr>
        <w:t>in a country</w:t>
      </w:r>
      <w:r>
        <w:rPr>
          <w:spacing w:val="-4"/>
          <w:sz w:val="24"/>
        </w:rPr>
        <w:t> </w:t>
      </w:r>
      <w:r>
        <w:rPr>
          <w:sz w:val="24"/>
        </w:rPr>
        <w:t>other than that of the investor. It also involves investment in real asset, where real assets consist of physical items, such as factors, land, capital goods, infrastructure and inventories operating in another country. Multinational corporations are the chief source of direct</w:t>
      </w:r>
      <w:r>
        <w:rPr>
          <w:spacing w:val="80"/>
          <w:sz w:val="24"/>
        </w:rPr>
        <w:t>  </w:t>
      </w:r>
      <w:r>
        <w:rPr>
          <w:sz w:val="24"/>
        </w:rPr>
        <w:t>foriegn investment.</w:t>
      </w:r>
    </w:p>
    <w:p>
      <w:pPr>
        <w:pStyle w:val="ListParagraph"/>
        <w:numPr>
          <w:ilvl w:val="0"/>
          <w:numId w:val="23"/>
        </w:numPr>
        <w:tabs>
          <w:tab w:pos="1431" w:val="left" w:leader="none"/>
        </w:tabs>
        <w:spacing w:line="480" w:lineRule="auto" w:before="0" w:after="0"/>
        <w:ind w:left="711" w:right="468" w:firstLine="0"/>
        <w:jc w:val="both"/>
        <w:rPr>
          <w:sz w:val="24"/>
        </w:rPr>
      </w:pPr>
      <w:r>
        <w:rPr>
          <w:b/>
          <w:sz w:val="24"/>
        </w:rPr>
        <w:t>Current Account Balance </w:t>
      </w:r>
      <w:r>
        <w:rPr>
          <w:sz w:val="24"/>
        </w:rPr>
        <w:t>(CAB): The current account balance on the BOP is divided into two major sectors; visible and invisible. The visible account consists of goods account (Export and Imports) which</w:t>
      </w:r>
      <w:r>
        <w:rPr>
          <w:spacing w:val="-2"/>
          <w:sz w:val="24"/>
        </w:rPr>
        <w:t> </w:t>
      </w:r>
      <w:r>
        <w:rPr>
          <w:sz w:val="24"/>
        </w:rPr>
        <w:t>are</w:t>
      </w:r>
      <w:r>
        <w:rPr>
          <w:spacing w:val="-3"/>
          <w:sz w:val="24"/>
        </w:rPr>
        <w:t> </w:t>
      </w:r>
      <w:r>
        <w:rPr>
          <w:sz w:val="24"/>
        </w:rPr>
        <w:t>tangible</w:t>
      </w:r>
      <w:r>
        <w:rPr>
          <w:spacing w:val="-1"/>
          <w:sz w:val="24"/>
        </w:rPr>
        <w:t> </w:t>
      </w:r>
      <w:r>
        <w:rPr>
          <w:sz w:val="24"/>
        </w:rPr>
        <w:t>physical</w:t>
      </w:r>
      <w:r>
        <w:rPr>
          <w:spacing w:val="-2"/>
          <w:sz w:val="24"/>
        </w:rPr>
        <w:t> </w:t>
      </w:r>
      <w:r>
        <w:rPr>
          <w:sz w:val="24"/>
        </w:rPr>
        <w:t>commodities.</w:t>
      </w:r>
      <w:r>
        <w:rPr>
          <w:spacing w:val="-2"/>
          <w:sz w:val="24"/>
        </w:rPr>
        <w:t> </w:t>
      </w:r>
      <w:r>
        <w:rPr>
          <w:sz w:val="24"/>
        </w:rPr>
        <w:t>Exports</w:t>
      </w:r>
      <w:r>
        <w:rPr>
          <w:spacing w:val="-2"/>
          <w:sz w:val="24"/>
        </w:rPr>
        <w:t> </w:t>
      </w:r>
      <w:r>
        <w:rPr>
          <w:sz w:val="24"/>
        </w:rPr>
        <w:t>are</w:t>
      </w:r>
      <w:r>
        <w:rPr>
          <w:spacing w:val="-2"/>
          <w:sz w:val="24"/>
        </w:rPr>
        <w:t> </w:t>
      </w:r>
      <w:r>
        <w:rPr>
          <w:sz w:val="24"/>
        </w:rPr>
        <w:t>credit</w:t>
      </w:r>
      <w:r>
        <w:rPr>
          <w:spacing w:val="-2"/>
          <w:sz w:val="24"/>
        </w:rPr>
        <w:t> </w:t>
      </w:r>
      <w:r>
        <w:rPr>
          <w:sz w:val="24"/>
        </w:rPr>
        <w:t>entries as</w:t>
      </w:r>
      <w:r>
        <w:rPr>
          <w:spacing w:val="-2"/>
          <w:sz w:val="24"/>
        </w:rPr>
        <w:t> </w:t>
      </w:r>
      <w:r>
        <w:rPr>
          <w:sz w:val="24"/>
        </w:rPr>
        <w:t>non-residents</w:t>
      </w:r>
      <w:r>
        <w:rPr>
          <w:spacing w:val="-2"/>
          <w:sz w:val="24"/>
        </w:rPr>
        <w:t> </w:t>
      </w:r>
      <w:r>
        <w:rPr>
          <w:sz w:val="24"/>
        </w:rPr>
        <w:t>acquiring goods have</w:t>
      </w:r>
      <w:r>
        <w:rPr>
          <w:spacing w:val="-3"/>
          <w:sz w:val="24"/>
        </w:rPr>
        <w:t> </w:t>
      </w:r>
      <w:r>
        <w:rPr>
          <w:sz w:val="24"/>
        </w:rPr>
        <w:t>to pay</w:t>
      </w:r>
      <w:r>
        <w:rPr>
          <w:spacing w:val="-7"/>
          <w:sz w:val="24"/>
        </w:rPr>
        <w:t> </w:t>
      </w:r>
      <w:r>
        <w:rPr>
          <w:sz w:val="24"/>
        </w:rPr>
        <w:t>the</w:t>
      </w:r>
      <w:r>
        <w:rPr>
          <w:spacing w:val="-3"/>
          <w:sz w:val="24"/>
        </w:rPr>
        <w:t> </w:t>
      </w:r>
      <w:r>
        <w:rPr>
          <w:sz w:val="24"/>
        </w:rPr>
        <w:t>exporting</w:t>
      </w:r>
      <w:r>
        <w:rPr>
          <w:spacing w:val="-5"/>
          <w:sz w:val="24"/>
        </w:rPr>
        <w:t> </w:t>
      </w:r>
      <w:r>
        <w:rPr>
          <w:sz w:val="24"/>
        </w:rPr>
        <w:t>country. Imports are</w:t>
      </w:r>
      <w:r>
        <w:rPr>
          <w:spacing w:val="-2"/>
          <w:sz w:val="24"/>
        </w:rPr>
        <w:t> </w:t>
      </w:r>
      <w:r>
        <w:rPr>
          <w:sz w:val="24"/>
        </w:rPr>
        <w:t>‘debit’</w:t>
      </w:r>
      <w:r>
        <w:rPr>
          <w:spacing w:val="-2"/>
          <w:sz w:val="24"/>
        </w:rPr>
        <w:t> </w:t>
      </w:r>
      <w:r>
        <w:rPr>
          <w:sz w:val="24"/>
        </w:rPr>
        <w:t>entries</w:t>
      </w:r>
      <w:r>
        <w:rPr>
          <w:spacing w:val="-3"/>
          <w:sz w:val="24"/>
        </w:rPr>
        <w:t> </w:t>
      </w:r>
      <w:r>
        <w:rPr>
          <w:sz w:val="24"/>
        </w:rPr>
        <w:t>as</w:t>
      </w:r>
      <w:r>
        <w:rPr>
          <w:spacing w:val="-3"/>
          <w:sz w:val="24"/>
        </w:rPr>
        <w:t> </w:t>
      </w:r>
      <w:r>
        <w:rPr>
          <w:sz w:val="24"/>
        </w:rPr>
        <w:t>the</w:t>
      </w:r>
      <w:r>
        <w:rPr>
          <w:spacing w:val="40"/>
          <w:sz w:val="24"/>
        </w:rPr>
        <w:t> </w:t>
      </w:r>
      <w:r>
        <w:rPr>
          <w:sz w:val="24"/>
        </w:rPr>
        <w:t>importers have to use up his stock of foreign currencies to pay</w:t>
      </w:r>
      <w:r>
        <w:rPr>
          <w:spacing w:val="-4"/>
          <w:sz w:val="24"/>
        </w:rPr>
        <w:t> </w:t>
      </w:r>
      <w:r>
        <w:rPr>
          <w:sz w:val="24"/>
        </w:rPr>
        <w:t>for</w:t>
      </w:r>
      <w:r>
        <w:rPr>
          <w:spacing w:val="-1"/>
          <w:sz w:val="24"/>
        </w:rPr>
        <w:t> </w:t>
      </w:r>
      <w:r>
        <w:rPr>
          <w:sz w:val="24"/>
        </w:rPr>
        <w:t>the imported</w:t>
      </w:r>
      <w:r>
        <w:rPr>
          <w:spacing w:val="40"/>
          <w:sz w:val="24"/>
        </w:rPr>
        <w:t> </w:t>
      </w:r>
      <w:r>
        <w:rPr>
          <w:sz w:val="24"/>
        </w:rPr>
        <w:t>goods. The</w:t>
      </w:r>
      <w:r>
        <w:rPr>
          <w:spacing w:val="-1"/>
          <w:sz w:val="24"/>
        </w:rPr>
        <w:t> </w:t>
      </w:r>
      <w:r>
        <w:rPr>
          <w:sz w:val="24"/>
        </w:rPr>
        <w:t>invisible section includes the value of export and import such as</w:t>
      </w:r>
      <w:r>
        <w:rPr>
          <w:spacing w:val="-2"/>
          <w:sz w:val="24"/>
        </w:rPr>
        <w:t> </w:t>
      </w:r>
      <w:r>
        <w:rPr>
          <w:sz w:val="24"/>
        </w:rPr>
        <w:t>transport,</w:t>
      </w:r>
      <w:r>
        <w:rPr>
          <w:spacing w:val="-2"/>
          <w:sz w:val="24"/>
        </w:rPr>
        <w:t> </w:t>
      </w:r>
      <w:r>
        <w:rPr>
          <w:sz w:val="24"/>
        </w:rPr>
        <w:t>freight,</w:t>
      </w:r>
      <w:r>
        <w:rPr>
          <w:spacing w:val="-2"/>
          <w:sz w:val="24"/>
        </w:rPr>
        <w:t> </w:t>
      </w:r>
      <w:r>
        <w:rPr>
          <w:sz w:val="24"/>
        </w:rPr>
        <w:t>travels,</w:t>
      </w:r>
      <w:r>
        <w:rPr>
          <w:spacing w:val="-2"/>
          <w:sz w:val="24"/>
        </w:rPr>
        <w:t> </w:t>
      </w:r>
      <w:r>
        <w:rPr>
          <w:sz w:val="24"/>
        </w:rPr>
        <w:t>insurance</w:t>
      </w:r>
      <w:r>
        <w:rPr>
          <w:spacing w:val="-1"/>
          <w:sz w:val="24"/>
        </w:rPr>
        <w:t> </w:t>
      </w:r>
      <w:r>
        <w:rPr>
          <w:sz w:val="24"/>
        </w:rPr>
        <w:t>and</w:t>
      </w:r>
      <w:r>
        <w:rPr>
          <w:spacing w:val="-2"/>
          <w:sz w:val="24"/>
        </w:rPr>
        <w:t> </w:t>
      </w:r>
      <w:r>
        <w:rPr>
          <w:sz w:val="24"/>
        </w:rPr>
        <w:t>other</w:t>
      </w:r>
      <w:r>
        <w:rPr>
          <w:spacing w:val="-4"/>
          <w:sz w:val="24"/>
        </w:rPr>
        <w:t> </w:t>
      </w:r>
      <w:r>
        <w:rPr>
          <w:sz w:val="24"/>
        </w:rPr>
        <w:t>business</w:t>
      </w:r>
      <w:r>
        <w:rPr>
          <w:spacing w:val="80"/>
          <w:sz w:val="24"/>
        </w:rPr>
        <w:t> </w:t>
      </w:r>
      <w:r>
        <w:rPr>
          <w:sz w:val="24"/>
        </w:rPr>
        <w:t>services</w:t>
      </w:r>
      <w:r>
        <w:rPr>
          <w:spacing w:val="40"/>
          <w:sz w:val="24"/>
        </w:rPr>
        <w:t> </w:t>
      </w:r>
      <w:r>
        <w:rPr>
          <w:sz w:val="24"/>
        </w:rPr>
        <w:t>which</w:t>
      </w:r>
      <w:r>
        <w:rPr>
          <w:spacing w:val="40"/>
          <w:sz w:val="24"/>
        </w:rPr>
        <w:t> </w:t>
      </w:r>
      <w:r>
        <w:rPr>
          <w:sz w:val="24"/>
        </w:rPr>
        <w:t>are</w:t>
      </w:r>
      <w:r>
        <w:rPr>
          <w:spacing w:val="40"/>
          <w:sz w:val="24"/>
        </w:rPr>
        <w:t> </w:t>
      </w:r>
      <w:r>
        <w:rPr>
          <w:sz w:val="24"/>
        </w:rPr>
        <w:t>recorded</w:t>
      </w:r>
      <w:r>
        <w:rPr>
          <w:spacing w:val="40"/>
          <w:sz w:val="24"/>
        </w:rPr>
        <w:t> </w:t>
      </w:r>
      <w:r>
        <w:rPr>
          <w:sz w:val="24"/>
        </w:rPr>
        <w:t>‘free-on-board’ (F.O.B) to show the actual costs of the goods without insurance and freight.</w:t>
      </w:r>
    </w:p>
    <w:p>
      <w:pPr>
        <w:pStyle w:val="ListParagraph"/>
        <w:numPr>
          <w:ilvl w:val="0"/>
          <w:numId w:val="23"/>
        </w:numPr>
        <w:tabs>
          <w:tab w:pos="1431" w:val="left" w:leader="none"/>
        </w:tabs>
        <w:spacing w:line="480" w:lineRule="auto" w:before="1" w:after="0"/>
        <w:ind w:left="711" w:right="472" w:firstLine="0"/>
        <w:jc w:val="both"/>
        <w:rPr>
          <w:sz w:val="24"/>
        </w:rPr>
      </w:pPr>
      <w:r>
        <w:rPr>
          <w:b/>
          <w:sz w:val="24"/>
        </w:rPr>
        <w:t>Change In External Reserve </w:t>
      </w:r>
      <w:r>
        <w:rPr>
          <w:sz w:val="24"/>
        </w:rPr>
        <w:t>(δRES): These are funds or natural resources (raw materials) of a country set aside for emergencies or other future needs in another country.</w:t>
      </w:r>
    </w:p>
    <w:p>
      <w:pPr>
        <w:pStyle w:val="ListParagraph"/>
        <w:numPr>
          <w:ilvl w:val="0"/>
          <w:numId w:val="23"/>
        </w:numPr>
        <w:tabs>
          <w:tab w:pos="1431" w:val="left" w:leader="none"/>
        </w:tabs>
        <w:spacing w:line="240" w:lineRule="auto" w:before="0" w:after="0"/>
        <w:ind w:left="1431" w:right="0" w:hanging="720"/>
        <w:jc w:val="both"/>
        <w:rPr>
          <w:sz w:val="24"/>
        </w:rPr>
      </w:pPr>
      <w:r>
        <w:rPr>
          <w:b/>
          <w:sz w:val="24"/>
        </w:rPr>
        <w:t>Degree</w:t>
      </w:r>
      <w:r>
        <w:rPr>
          <w:b/>
          <w:spacing w:val="3"/>
          <w:sz w:val="24"/>
        </w:rPr>
        <w:t> </w:t>
      </w:r>
      <w:r>
        <w:rPr>
          <w:b/>
          <w:sz w:val="24"/>
        </w:rPr>
        <w:t>Of</w:t>
      </w:r>
      <w:r>
        <w:rPr>
          <w:b/>
          <w:spacing w:val="7"/>
          <w:sz w:val="24"/>
        </w:rPr>
        <w:t> </w:t>
      </w:r>
      <w:r>
        <w:rPr>
          <w:b/>
          <w:sz w:val="24"/>
        </w:rPr>
        <w:t>Openness</w:t>
      </w:r>
      <w:r>
        <w:rPr>
          <w:b/>
          <w:spacing w:val="8"/>
          <w:sz w:val="24"/>
        </w:rPr>
        <w:t> </w:t>
      </w:r>
      <w:r>
        <w:rPr>
          <w:sz w:val="24"/>
        </w:rPr>
        <w:t>(DOP):</w:t>
      </w:r>
      <w:r>
        <w:rPr>
          <w:spacing w:val="73"/>
          <w:sz w:val="24"/>
        </w:rPr>
        <w:t> </w:t>
      </w:r>
      <w:r>
        <w:rPr>
          <w:sz w:val="24"/>
        </w:rPr>
        <w:t>This</w:t>
      </w:r>
      <w:r>
        <w:rPr>
          <w:spacing w:val="6"/>
          <w:sz w:val="24"/>
        </w:rPr>
        <w:t> </w:t>
      </w:r>
      <w:r>
        <w:rPr>
          <w:sz w:val="24"/>
        </w:rPr>
        <w:t>measures</w:t>
      </w:r>
      <w:r>
        <w:rPr>
          <w:spacing w:val="6"/>
          <w:sz w:val="24"/>
        </w:rPr>
        <w:t> </w:t>
      </w:r>
      <w:r>
        <w:rPr>
          <w:sz w:val="24"/>
        </w:rPr>
        <w:t>the</w:t>
      </w:r>
      <w:r>
        <w:rPr>
          <w:spacing w:val="10"/>
          <w:sz w:val="24"/>
        </w:rPr>
        <w:t> </w:t>
      </w:r>
      <w:r>
        <w:rPr>
          <w:sz w:val="24"/>
        </w:rPr>
        <w:t>rate</w:t>
      </w:r>
      <w:r>
        <w:rPr>
          <w:spacing w:val="8"/>
          <w:sz w:val="24"/>
        </w:rPr>
        <w:t> </w:t>
      </w:r>
      <w:r>
        <w:rPr>
          <w:sz w:val="24"/>
        </w:rPr>
        <w:t>at</w:t>
      </w:r>
      <w:r>
        <w:rPr>
          <w:spacing w:val="6"/>
          <w:sz w:val="24"/>
        </w:rPr>
        <w:t> </w:t>
      </w:r>
      <w:r>
        <w:rPr>
          <w:sz w:val="24"/>
        </w:rPr>
        <w:t>which</w:t>
      </w:r>
      <w:r>
        <w:rPr>
          <w:spacing w:val="8"/>
          <w:sz w:val="24"/>
        </w:rPr>
        <w:t> </w:t>
      </w:r>
      <w:r>
        <w:rPr>
          <w:sz w:val="24"/>
        </w:rPr>
        <w:t>an</w:t>
      </w:r>
      <w:r>
        <w:rPr>
          <w:spacing w:val="8"/>
          <w:sz w:val="24"/>
        </w:rPr>
        <w:t> </w:t>
      </w:r>
      <w:r>
        <w:rPr>
          <w:sz w:val="24"/>
        </w:rPr>
        <w:t>economy</w:t>
      </w:r>
      <w:r>
        <w:rPr>
          <w:spacing w:val="8"/>
          <w:sz w:val="24"/>
        </w:rPr>
        <w:t> </w:t>
      </w:r>
      <w:r>
        <w:rPr>
          <w:sz w:val="24"/>
        </w:rPr>
        <w:t>is</w:t>
      </w:r>
      <w:r>
        <w:rPr>
          <w:spacing w:val="6"/>
          <w:sz w:val="24"/>
        </w:rPr>
        <w:t> </w:t>
      </w:r>
      <w:r>
        <w:rPr>
          <w:sz w:val="24"/>
        </w:rPr>
        <w:t>open</w:t>
      </w:r>
      <w:r>
        <w:rPr>
          <w:spacing w:val="5"/>
          <w:sz w:val="24"/>
        </w:rPr>
        <w:t> </w:t>
      </w:r>
      <w:r>
        <w:rPr>
          <w:sz w:val="24"/>
        </w:rPr>
        <w:t>to</w:t>
      </w:r>
      <w:r>
        <w:rPr>
          <w:spacing w:val="8"/>
          <w:sz w:val="24"/>
        </w:rPr>
        <w:t> </w:t>
      </w:r>
      <w:r>
        <w:rPr>
          <w:sz w:val="24"/>
        </w:rPr>
        <w:t>foreign</w:t>
      </w:r>
      <w:r>
        <w:rPr>
          <w:spacing w:val="6"/>
          <w:sz w:val="24"/>
        </w:rPr>
        <w:t> </w:t>
      </w:r>
      <w:r>
        <w:rPr>
          <w:spacing w:val="-2"/>
          <w:sz w:val="24"/>
        </w:rPr>
        <w:t>trade.</w:t>
      </w:r>
    </w:p>
    <w:p>
      <w:pPr>
        <w:pStyle w:val="BodyText"/>
      </w:pPr>
    </w:p>
    <w:p>
      <w:pPr>
        <w:pStyle w:val="BodyText"/>
        <w:tabs>
          <w:tab w:pos="6472" w:val="left" w:leader="none"/>
        </w:tabs>
        <w:ind w:left="711"/>
        <w:jc w:val="both"/>
      </w:pPr>
      <w:r>
        <w:rPr/>
        <w:t>It</w:t>
      </w:r>
      <w:r>
        <w:rPr>
          <w:spacing w:val="-1"/>
        </w:rPr>
        <w:t> </w:t>
      </w:r>
      <w:r>
        <w:rPr/>
        <w:t>is the</w:t>
      </w:r>
      <w:r>
        <w:rPr>
          <w:spacing w:val="-1"/>
        </w:rPr>
        <w:t> </w:t>
      </w:r>
      <w:r>
        <w:rPr/>
        <w:t>ratio of</w:t>
      </w:r>
      <w:r>
        <w:rPr>
          <w:spacing w:val="-1"/>
        </w:rPr>
        <w:t> </w:t>
      </w:r>
      <w:r>
        <w:rPr/>
        <w:t>the</w:t>
      </w:r>
      <w:r>
        <w:rPr>
          <w:spacing w:val="-3"/>
        </w:rPr>
        <w:t> </w:t>
      </w:r>
      <w:r>
        <w:rPr/>
        <w:t>summation of</w:t>
      </w:r>
      <w:r>
        <w:rPr>
          <w:spacing w:val="-1"/>
        </w:rPr>
        <w:t> </w:t>
      </w:r>
      <w:r>
        <w:rPr/>
        <w:t>export</w:t>
      </w:r>
      <w:r>
        <w:rPr>
          <w:spacing w:val="-1"/>
        </w:rPr>
        <w:t> </w:t>
      </w:r>
      <w:r>
        <w:rPr/>
        <w:t>and </w:t>
      </w:r>
      <w:r>
        <w:rPr>
          <w:spacing w:val="-2"/>
        </w:rPr>
        <w:t>import</w:t>
      </w:r>
      <w:r>
        <w:rPr/>
        <w:tab/>
        <w:t>values</w:t>
      </w:r>
      <w:r>
        <w:rPr>
          <w:spacing w:val="-1"/>
        </w:rPr>
        <w:t> </w:t>
      </w:r>
      <w:r>
        <w:rPr/>
        <w:t>to </w:t>
      </w:r>
      <w:r>
        <w:rPr>
          <w:spacing w:val="-4"/>
        </w:rPr>
        <w:t>GDP.</w:t>
      </w:r>
    </w:p>
    <w:p>
      <w:pPr>
        <w:pStyle w:val="ListParagraph"/>
        <w:numPr>
          <w:ilvl w:val="0"/>
          <w:numId w:val="23"/>
        </w:numPr>
        <w:tabs>
          <w:tab w:pos="1431" w:val="left" w:leader="none"/>
          <w:tab w:pos="3592" w:val="left" w:leader="none"/>
        </w:tabs>
        <w:spacing w:line="550" w:lineRule="atLeast" w:before="2" w:after="0"/>
        <w:ind w:left="711" w:right="469" w:firstLine="0"/>
        <w:jc w:val="both"/>
        <w:rPr>
          <w:sz w:val="24"/>
        </w:rPr>
      </w:pPr>
      <w:r>
        <w:rPr>
          <w:b/>
          <w:sz w:val="24"/>
        </w:rPr>
        <w:t>Inflation Rate </w:t>
      </w:r>
      <w:r>
        <w:rPr>
          <w:sz w:val="24"/>
        </w:rPr>
        <w:t>(INF):</w:t>
      </w:r>
      <w:r>
        <w:rPr>
          <w:spacing w:val="40"/>
          <w:sz w:val="24"/>
        </w:rPr>
        <w:t> </w:t>
      </w:r>
      <w:r>
        <w:rPr>
          <w:sz w:val="24"/>
        </w:rPr>
        <w:t>Inflation is the persistent increase in prices of goods and services. This is a control variable that is used to measure the cause of capital flight in Nigeria. It is an economic situation whereby money chases</w:t>
        <w:tab/>
        <w:t>fewer goods.</w:t>
      </w:r>
    </w:p>
    <w:p>
      <w:pPr>
        <w:spacing w:after="0" w:line="550" w:lineRule="atLeast"/>
        <w:jc w:val="both"/>
        <w:rPr>
          <w:sz w:val="24"/>
        </w:rPr>
        <w:sectPr>
          <w:pgSz w:w="11910" w:h="16840"/>
          <w:pgMar w:header="0" w:footer="979" w:top="1360" w:bottom="1240" w:left="280" w:right="0"/>
        </w:sectPr>
      </w:pPr>
    </w:p>
    <w:p>
      <w:pPr>
        <w:pStyle w:val="ListParagraph"/>
        <w:numPr>
          <w:ilvl w:val="0"/>
          <w:numId w:val="23"/>
        </w:numPr>
        <w:tabs>
          <w:tab w:pos="1431" w:val="left" w:leader="none"/>
        </w:tabs>
        <w:spacing w:line="480" w:lineRule="auto" w:before="60" w:after="0"/>
        <w:ind w:left="711" w:right="471" w:firstLine="0"/>
        <w:jc w:val="both"/>
        <w:rPr>
          <w:sz w:val="24"/>
        </w:rPr>
      </w:pPr>
      <w:r>
        <w:rPr>
          <w:b/>
          <w:sz w:val="24"/>
        </w:rPr>
        <w:t>Deposit Rate </w:t>
      </w:r>
      <w:r>
        <w:rPr>
          <w:sz w:val="24"/>
        </w:rPr>
        <w:t>(DR):</w:t>
      </w:r>
      <w:r>
        <w:rPr>
          <w:spacing w:val="40"/>
          <w:sz w:val="24"/>
        </w:rPr>
        <w:t> </w:t>
      </w:r>
      <w:r>
        <w:rPr>
          <w:sz w:val="24"/>
        </w:rPr>
        <w:t>Deposit may</w:t>
      </w:r>
      <w:r>
        <w:rPr>
          <w:spacing w:val="-3"/>
          <w:sz w:val="24"/>
        </w:rPr>
        <w:t> </w:t>
      </w:r>
      <w:r>
        <w:rPr>
          <w:sz w:val="24"/>
        </w:rPr>
        <w:t>be in form of cash, cheque or valuables. Deposit rate refers to the minimum rates that can be paid on savings and time deposits at commercial banks, mutual savings banks, loan association and credit unions.</w:t>
      </w:r>
    </w:p>
    <w:p>
      <w:pPr>
        <w:pStyle w:val="ListParagraph"/>
        <w:numPr>
          <w:ilvl w:val="0"/>
          <w:numId w:val="23"/>
        </w:numPr>
        <w:tabs>
          <w:tab w:pos="1431" w:val="left" w:leader="none"/>
        </w:tabs>
        <w:spacing w:line="480" w:lineRule="auto" w:before="1" w:after="0"/>
        <w:ind w:left="711" w:right="468" w:firstLine="0"/>
        <w:jc w:val="both"/>
        <w:rPr>
          <w:sz w:val="24"/>
        </w:rPr>
      </w:pPr>
      <w:r>
        <w:rPr>
          <w:b/>
          <w:sz w:val="24"/>
        </w:rPr>
        <w:t>Credit To Private</w:t>
      </w:r>
      <w:r>
        <w:rPr>
          <w:b/>
          <w:spacing w:val="-2"/>
          <w:sz w:val="24"/>
        </w:rPr>
        <w:t> </w:t>
      </w:r>
      <w:r>
        <w:rPr>
          <w:b/>
          <w:sz w:val="24"/>
        </w:rPr>
        <w:t>Sector </w:t>
      </w:r>
      <w:r>
        <w:rPr>
          <w:sz w:val="24"/>
        </w:rPr>
        <w:t>(PRIVCR): These</w:t>
      </w:r>
      <w:r>
        <w:rPr>
          <w:spacing w:val="-1"/>
          <w:sz w:val="24"/>
        </w:rPr>
        <w:t> </w:t>
      </w:r>
      <w:r>
        <w:rPr>
          <w:sz w:val="24"/>
        </w:rPr>
        <w:t>are</w:t>
      </w:r>
      <w:r>
        <w:rPr>
          <w:spacing w:val="-1"/>
          <w:sz w:val="24"/>
        </w:rPr>
        <w:t> </w:t>
      </w:r>
      <w:r>
        <w:rPr>
          <w:sz w:val="24"/>
        </w:rPr>
        <w:t>funds given</w:t>
      </w:r>
      <w:r>
        <w:rPr>
          <w:spacing w:val="-1"/>
          <w:sz w:val="24"/>
        </w:rPr>
        <w:t> </w:t>
      </w:r>
      <w:r>
        <w:rPr>
          <w:sz w:val="24"/>
        </w:rPr>
        <w:t>by</w:t>
      </w:r>
      <w:r>
        <w:rPr>
          <w:spacing w:val="-3"/>
          <w:sz w:val="24"/>
        </w:rPr>
        <w:t> </w:t>
      </w:r>
      <w:r>
        <w:rPr>
          <w:sz w:val="24"/>
        </w:rPr>
        <w:t>government to the</w:t>
      </w:r>
      <w:r>
        <w:rPr>
          <w:spacing w:val="-1"/>
          <w:sz w:val="24"/>
        </w:rPr>
        <w:t> </w:t>
      </w:r>
      <w:r>
        <w:rPr>
          <w:sz w:val="24"/>
        </w:rPr>
        <w:t>organized private sector through the commercial banks or any other financial institution saddled with the responsibility of intermidiating between the suplus and the deficit units in Nigeria economy.</w:t>
      </w:r>
    </w:p>
    <w:p>
      <w:pPr>
        <w:pStyle w:val="ListParagraph"/>
        <w:numPr>
          <w:ilvl w:val="0"/>
          <w:numId w:val="23"/>
        </w:numPr>
        <w:tabs>
          <w:tab w:pos="1491" w:val="left" w:leader="none"/>
          <w:tab w:pos="9501" w:val="left" w:leader="none"/>
          <w:tab w:pos="10073" w:val="left" w:leader="none"/>
          <w:tab w:pos="10950" w:val="left" w:leader="none"/>
        </w:tabs>
        <w:spacing w:line="480" w:lineRule="auto" w:before="0" w:after="0"/>
        <w:ind w:left="711" w:right="470" w:firstLine="0"/>
        <w:jc w:val="left"/>
        <w:rPr>
          <w:sz w:val="24"/>
        </w:rPr>
      </w:pPr>
      <w:r>
        <w:rPr>
          <w:b/>
          <w:sz w:val="24"/>
        </w:rPr>
        <w:t>Increase In Foreign Asset Of Domestic Banking System </w:t>
      </w:r>
      <w:r>
        <w:rPr>
          <w:sz w:val="24"/>
        </w:rPr>
        <w:t>(δNEXTAS):</w:t>
      </w:r>
      <w:r>
        <w:rPr>
          <w:spacing w:val="40"/>
          <w:sz w:val="24"/>
        </w:rPr>
        <w:t> </w:t>
      </w:r>
      <w:r>
        <w:rPr>
          <w:sz w:val="24"/>
        </w:rPr>
        <w:t>These</w:t>
        <w:tab/>
      </w:r>
      <w:r>
        <w:rPr>
          <w:spacing w:val="-4"/>
          <w:sz w:val="24"/>
        </w:rPr>
        <w:t>are</w:t>
      </w:r>
      <w:r>
        <w:rPr>
          <w:sz w:val="24"/>
        </w:rPr>
        <w:tab/>
      </w:r>
      <w:r>
        <w:rPr>
          <w:spacing w:val="-39"/>
          <w:sz w:val="24"/>
        </w:rPr>
        <w:t> </w:t>
      </w:r>
      <w:r>
        <w:rPr>
          <w:sz w:val="24"/>
        </w:rPr>
        <w:t>assets</w:t>
        <w:tab/>
      </w:r>
      <w:r>
        <w:rPr>
          <w:spacing w:val="-6"/>
          <w:sz w:val="24"/>
        </w:rPr>
        <w:t>of </w:t>
      </w:r>
      <w:r>
        <w:rPr>
          <w:sz w:val="24"/>
        </w:rPr>
        <w:t>domestic banks in another country, this is in form of investments of a bank in another country other than its own country. This investment can be in real assets or financial securities abroad. This variable</w:t>
        <w:tab/>
      </w:r>
      <w:r>
        <w:rPr>
          <w:spacing w:val="-2"/>
          <w:sz w:val="24"/>
        </w:rPr>
        <w:t>measures </w:t>
      </w:r>
      <w:r>
        <w:rPr>
          <w:sz w:val="24"/>
        </w:rPr>
        <w:t>the modification of World Bank (1985) and Erbe (1985) by Morgan (1986).</w:t>
      </w:r>
    </w:p>
    <w:p>
      <w:pPr>
        <w:pStyle w:val="ListParagraph"/>
        <w:numPr>
          <w:ilvl w:val="0"/>
          <w:numId w:val="23"/>
        </w:numPr>
        <w:tabs>
          <w:tab w:pos="1431" w:val="left" w:leader="none"/>
          <w:tab w:pos="7192" w:val="left" w:leader="none"/>
        </w:tabs>
        <w:spacing w:line="480" w:lineRule="auto" w:before="1" w:after="0"/>
        <w:ind w:left="711" w:right="473" w:firstLine="0"/>
        <w:jc w:val="both"/>
        <w:rPr>
          <w:sz w:val="24"/>
        </w:rPr>
      </w:pPr>
      <w:r>
        <w:rPr>
          <w:b/>
          <w:sz w:val="24"/>
        </w:rPr>
        <w:t>Capital Flight </w:t>
      </w:r>
      <w:r>
        <w:rPr>
          <w:sz w:val="24"/>
        </w:rPr>
        <w:t>(KF):</w:t>
      </w:r>
      <w:r>
        <w:rPr>
          <w:spacing w:val="40"/>
          <w:sz w:val="24"/>
        </w:rPr>
        <w:t> </w:t>
      </w:r>
      <w:r>
        <w:rPr>
          <w:sz w:val="24"/>
        </w:rPr>
        <w:t>The term capital flight as used in this study connotes illegal movement of capital or funds from one country</w:t>
      </w:r>
      <w:r>
        <w:rPr>
          <w:spacing w:val="-3"/>
          <w:sz w:val="24"/>
        </w:rPr>
        <w:t> </w:t>
      </w:r>
      <w:r>
        <w:rPr>
          <w:sz w:val="24"/>
        </w:rPr>
        <w:t>to another usually</w:t>
      </w:r>
      <w:r>
        <w:rPr>
          <w:spacing w:val="-3"/>
          <w:sz w:val="24"/>
        </w:rPr>
        <w:t> </w:t>
      </w:r>
      <w:r>
        <w:rPr>
          <w:sz w:val="24"/>
        </w:rPr>
        <w:t>from developing countries to developed countries. This connotation implies that there may be “normal” or “legal” and “abnormal” or “illegal” flows. This variable as used in the study is the estimate according to World Bank</w:t>
        <w:tab/>
        <w:t>(1985) and Erbe (1985).</w:t>
      </w:r>
    </w:p>
    <w:p>
      <w:pPr>
        <w:pStyle w:val="ListParagraph"/>
        <w:numPr>
          <w:ilvl w:val="0"/>
          <w:numId w:val="23"/>
        </w:numPr>
        <w:tabs>
          <w:tab w:pos="1491" w:val="left" w:leader="none"/>
        </w:tabs>
        <w:spacing w:line="480" w:lineRule="auto" w:before="0" w:after="0"/>
        <w:ind w:left="711" w:right="474" w:firstLine="0"/>
        <w:jc w:val="both"/>
        <w:rPr>
          <w:sz w:val="24"/>
        </w:rPr>
      </w:pPr>
      <w:r>
        <w:rPr>
          <w:b/>
          <w:sz w:val="24"/>
        </w:rPr>
        <w:t>Gross Capital Formation (Gross Domestic Investment): </w:t>
      </w:r>
      <w:r>
        <w:rPr>
          <w:sz w:val="24"/>
        </w:rPr>
        <w:t>This is the total change in the value of fixed assets plus change in stocks.</w:t>
      </w:r>
    </w:p>
    <w:p>
      <w:pPr>
        <w:pStyle w:val="ListParagraph"/>
        <w:numPr>
          <w:ilvl w:val="0"/>
          <w:numId w:val="23"/>
        </w:numPr>
        <w:tabs>
          <w:tab w:pos="1491" w:val="left" w:leader="none"/>
        </w:tabs>
        <w:spacing w:line="480" w:lineRule="auto" w:before="1" w:after="0"/>
        <w:ind w:left="711" w:right="470" w:firstLine="0"/>
        <w:jc w:val="both"/>
        <w:rPr>
          <w:sz w:val="24"/>
        </w:rPr>
      </w:pPr>
      <w:r>
        <w:rPr>
          <w:b/>
          <w:sz w:val="24"/>
        </w:rPr>
        <w:t>United State of America Interest Rate Differential (USIRD): </w:t>
      </w:r>
      <w:r>
        <w:rPr>
          <w:sz w:val="24"/>
        </w:rPr>
        <w:t>This is the difference between the interest rate of home economy (Nigeria) and that of U.S.A. The United State of American Dollar is chosen because it is one of the most acceptable high currencies. It is expected that interest rate differential will encourage movement of capital from one economy to another.</w:t>
      </w:r>
    </w:p>
    <w:p>
      <w:pPr>
        <w:pStyle w:val="ListParagraph"/>
        <w:numPr>
          <w:ilvl w:val="0"/>
          <w:numId w:val="23"/>
        </w:numPr>
        <w:tabs>
          <w:tab w:pos="1431" w:val="left" w:leader="none"/>
          <w:tab w:pos="5752" w:val="left" w:leader="none"/>
        </w:tabs>
        <w:spacing w:line="480" w:lineRule="auto" w:before="0" w:after="0"/>
        <w:ind w:left="711" w:right="471" w:firstLine="0"/>
        <w:jc w:val="both"/>
        <w:rPr>
          <w:sz w:val="24"/>
        </w:rPr>
      </w:pPr>
      <w:r>
        <w:rPr>
          <w:b/>
          <w:sz w:val="24"/>
        </w:rPr>
        <w:t>Government Current Expenditure (GOCE): </w:t>
      </w:r>
      <w:r>
        <w:rPr>
          <w:sz w:val="24"/>
        </w:rPr>
        <w:t>Government current expenditure is an outflow of financial resources from government to other</w:t>
        <w:tab/>
        <w:t>sectors of the economy. Particularly, it </w:t>
      </w:r>
      <w:r>
        <w:rPr>
          <w:sz w:val="24"/>
        </w:rPr>
        <w:t>involves payment</w:t>
      </w:r>
      <w:r>
        <w:rPr>
          <w:spacing w:val="-1"/>
          <w:sz w:val="24"/>
        </w:rPr>
        <w:t> </w:t>
      </w:r>
      <w:r>
        <w:rPr>
          <w:sz w:val="24"/>
        </w:rPr>
        <w:t>for</w:t>
      </w:r>
      <w:r>
        <w:rPr>
          <w:spacing w:val="-2"/>
          <w:sz w:val="24"/>
        </w:rPr>
        <w:t> </w:t>
      </w:r>
      <w:r>
        <w:rPr>
          <w:sz w:val="24"/>
        </w:rPr>
        <w:t>transaction</w:t>
      </w:r>
      <w:r>
        <w:rPr>
          <w:spacing w:val="80"/>
          <w:sz w:val="24"/>
        </w:rPr>
        <w:t>   </w:t>
      </w:r>
      <w:r>
        <w:rPr>
          <w:sz w:val="24"/>
        </w:rPr>
        <w:t>within</w:t>
      </w:r>
      <w:r>
        <w:rPr>
          <w:spacing w:val="40"/>
          <w:sz w:val="24"/>
        </w:rPr>
        <w:t> </w:t>
      </w:r>
      <w:r>
        <w:rPr>
          <w:sz w:val="24"/>
        </w:rPr>
        <w:t>one</w:t>
      </w:r>
      <w:r>
        <w:rPr>
          <w:spacing w:val="40"/>
          <w:sz w:val="24"/>
        </w:rPr>
        <w:t> </w:t>
      </w:r>
      <w:r>
        <w:rPr>
          <w:sz w:val="24"/>
        </w:rPr>
        <w:t>year;</w:t>
      </w:r>
      <w:r>
        <w:rPr>
          <w:spacing w:val="40"/>
          <w:sz w:val="24"/>
        </w:rPr>
        <w:t> </w:t>
      </w:r>
      <w:r>
        <w:rPr>
          <w:sz w:val="24"/>
        </w:rPr>
        <w:t>a</w:t>
      </w:r>
      <w:r>
        <w:rPr>
          <w:spacing w:val="40"/>
          <w:sz w:val="24"/>
        </w:rPr>
        <w:t> </w:t>
      </w:r>
      <w:r>
        <w:rPr>
          <w:sz w:val="24"/>
        </w:rPr>
        <w:t>larger</w:t>
      </w:r>
      <w:r>
        <w:rPr>
          <w:spacing w:val="40"/>
          <w:sz w:val="24"/>
        </w:rPr>
        <w:t> </w:t>
      </w:r>
      <w:r>
        <w:rPr>
          <w:sz w:val="24"/>
        </w:rPr>
        <w:t>proportion</w:t>
      </w:r>
      <w:r>
        <w:rPr>
          <w:spacing w:val="40"/>
          <w:sz w:val="24"/>
        </w:rPr>
        <w:t> </w:t>
      </w:r>
      <w:r>
        <w:rPr>
          <w:sz w:val="24"/>
        </w:rPr>
        <w:t>of</w:t>
      </w:r>
      <w:r>
        <w:rPr>
          <w:spacing w:val="40"/>
          <w:sz w:val="24"/>
        </w:rPr>
        <w:t> </w:t>
      </w:r>
      <w:r>
        <w:rPr>
          <w:sz w:val="24"/>
        </w:rPr>
        <w:t>national</w:t>
      </w:r>
      <w:r>
        <w:rPr>
          <w:spacing w:val="40"/>
          <w:sz w:val="24"/>
        </w:rPr>
        <w:t> </w:t>
      </w:r>
      <w:r>
        <w:rPr>
          <w:sz w:val="24"/>
        </w:rPr>
        <w:t>budget</w:t>
      </w:r>
      <w:r>
        <w:rPr>
          <w:spacing w:val="40"/>
          <w:sz w:val="24"/>
        </w:rPr>
        <w:t> </w:t>
      </w:r>
      <w:r>
        <w:rPr>
          <w:sz w:val="24"/>
        </w:rPr>
        <w:t>in</w:t>
      </w:r>
      <w:r>
        <w:rPr>
          <w:spacing w:val="40"/>
          <w:sz w:val="24"/>
        </w:rPr>
        <w:t> </w:t>
      </w:r>
      <w:r>
        <w:rPr>
          <w:sz w:val="24"/>
        </w:rPr>
        <w:t>Nigeria</w:t>
      </w:r>
      <w:r>
        <w:rPr>
          <w:spacing w:val="40"/>
          <w:sz w:val="24"/>
        </w:rPr>
        <w:t> </w:t>
      </w:r>
      <w:r>
        <w:rPr>
          <w:sz w:val="24"/>
        </w:rPr>
        <w:t>is</w:t>
      </w:r>
      <w:r>
        <w:rPr>
          <w:spacing w:val="40"/>
          <w:sz w:val="24"/>
        </w:rPr>
        <w:t> </w:t>
      </w:r>
      <w:r>
        <w:rPr>
          <w:sz w:val="24"/>
        </w:rPr>
        <w:t>into current and recurrent expenditure. A judicious use of current expenditure will promote societal welfare</w:t>
      </w:r>
      <w:r>
        <w:rPr>
          <w:spacing w:val="40"/>
          <w:sz w:val="24"/>
        </w:rPr>
        <w:t> </w:t>
      </w:r>
      <w:r>
        <w:rPr>
          <w:sz w:val="24"/>
        </w:rPr>
        <w:t>while a diversion by political office holders through capital flight could spell doom for the country.</w:t>
      </w:r>
    </w:p>
    <w:p>
      <w:pPr>
        <w:spacing w:after="0" w:line="480" w:lineRule="auto"/>
        <w:jc w:val="both"/>
        <w:rPr>
          <w:sz w:val="24"/>
        </w:rPr>
        <w:sectPr>
          <w:pgSz w:w="11910" w:h="16840"/>
          <w:pgMar w:header="0" w:footer="979" w:top="1360" w:bottom="1240" w:left="280" w:right="0"/>
        </w:sectPr>
      </w:pPr>
    </w:p>
    <w:p>
      <w:pPr>
        <w:pStyle w:val="Heading6"/>
        <w:numPr>
          <w:ilvl w:val="1"/>
          <w:numId w:val="14"/>
        </w:numPr>
        <w:tabs>
          <w:tab w:pos="1431" w:val="left" w:leader="none"/>
        </w:tabs>
        <w:spacing w:line="240" w:lineRule="auto" w:before="60" w:after="0"/>
        <w:ind w:left="1431" w:right="0" w:hanging="720"/>
        <w:jc w:val="both"/>
      </w:pPr>
      <w:bookmarkStart w:name="_TOC_250011" w:id="16"/>
      <w:r>
        <w:rPr/>
        <w:t>Estimation</w:t>
      </w:r>
      <w:r>
        <w:rPr>
          <w:spacing w:val="-4"/>
        </w:rPr>
        <w:t> </w:t>
      </w:r>
      <w:bookmarkEnd w:id="16"/>
      <w:r>
        <w:rPr>
          <w:spacing w:val="-2"/>
        </w:rPr>
        <w:t>Technique</w:t>
      </w:r>
    </w:p>
    <w:p>
      <w:pPr>
        <w:pStyle w:val="BodyText"/>
        <w:spacing w:before="1"/>
        <w:rPr>
          <w:b/>
        </w:rPr>
      </w:pPr>
    </w:p>
    <w:p>
      <w:pPr>
        <w:pStyle w:val="BodyText"/>
        <w:spacing w:line="480" w:lineRule="auto"/>
        <w:ind w:left="711" w:right="467"/>
        <w:jc w:val="both"/>
      </w:pPr>
      <w:r>
        <w:rPr/>
        <w:t>In the study, two (2) analytical techniques are adopted in testing for both short and long run equilibrum relationships among the specified variables in the model. The technique adopted in testing for the short-run linear relationship is the Ordinary Least Square technique of Regression analysis. This involves the use of the student T-distribution test and F-test in testing for the significance of the parameters and the model. The co-integration analysis and the Error correction mechanism (ECM) techniques were used for estimation of the long-run equilibrium relationships among the specified variables in the models. The co-integrating analytical technique</w:t>
      </w:r>
      <w:r>
        <w:rPr>
          <w:spacing w:val="-2"/>
        </w:rPr>
        <w:t> </w:t>
      </w:r>
      <w:r>
        <w:rPr/>
        <w:t>is used</w:t>
      </w:r>
      <w:r>
        <w:rPr>
          <w:spacing w:val="-1"/>
        </w:rPr>
        <w:t> </w:t>
      </w:r>
      <w:r>
        <w:rPr/>
        <w:t>to analyse</w:t>
      </w:r>
      <w:r>
        <w:rPr>
          <w:spacing w:val="-2"/>
        </w:rPr>
        <w:t> </w:t>
      </w:r>
      <w:r>
        <w:rPr/>
        <w:t>the</w:t>
      </w:r>
      <w:r>
        <w:rPr>
          <w:spacing w:val="-1"/>
        </w:rPr>
        <w:t> </w:t>
      </w:r>
      <w:r>
        <w:rPr/>
        <w:t>formulated</w:t>
      </w:r>
      <w:r>
        <w:rPr>
          <w:spacing w:val="-2"/>
        </w:rPr>
        <w:t> </w:t>
      </w:r>
      <w:r>
        <w:rPr/>
        <w:t>models in</w:t>
      </w:r>
      <w:r>
        <w:rPr>
          <w:spacing w:val="-2"/>
        </w:rPr>
        <w:t> </w:t>
      </w:r>
      <w:r>
        <w:rPr/>
        <w:t>this</w:t>
      </w:r>
      <w:r>
        <w:rPr>
          <w:spacing w:val="-3"/>
        </w:rPr>
        <w:t> </w:t>
      </w:r>
      <w:r>
        <w:rPr/>
        <w:t>study. This</w:t>
      </w:r>
      <w:r>
        <w:rPr>
          <w:spacing w:val="-1"/>
        </w:rPr>
        <w:t> </w:t>
      </w:r>
      <w:r>
        <w:rPr/>
        <w:t>involves</w:t>
      </w:r>
      <w:r>
        <w:rPr>
          <w:spacing w:val="-2"/>
        </w:rPr>
        <w:t> </w:t>
      </w:r>
      <w:r>
        <w:rPr/>
        <w:t>the</w:t>
      </w:r>
      <w:r>
        <w:rPr>
          <w:spacing w:val="-2"/>
        </w:rPr>
        <w:t> </w:t>
      </w:r>
      <w:r>
        <w:rPr/>
        <w:t>use</w:t>
      </w:r>
      <w:r>
        <w:rPr>
          <w:spacing w:val="-2"/>
        </w:rPr>
        <w:t> </w:t>
      </w:r>
      <w:r>
        <w:rPr/>
        <w:t>of</w:t>
      </w:r>
      <w:r>
        <w:rPr>
          <w:spacing w:val="-2"/>
        </w:rPr>
        <w:t> </w:t>
      </w:r>
      <w:r>
        <w:rPr/>
        <w:t>unit</w:t>
      </w:r>
      <w:r>
        <w:rPr>
          <w:spacing w:val="-1"/>
        </w:rPr>
        <w:t> </w:t>
      </w:r>
      <w:r>
        <w:rPr/>
        <w:t>root test, co-integration test and error correction model. As stated earlier, the test of hypothesis for each parameter is conducted using</w:t>
      </w:r>
      <w:r>
        <w:rPr>
          <w:spacing w:val="-2"/>
        </w:rPr>
        <w:t> </w:t>
      </w:r>
      <w:r>
        <w:rPr/>
        <w:t>the</w:t>
      </w:r>
      <w:r>
        <w:rPr>
          <w:spacing w:val="-1"/>
        </w:rPr>
        <w:t> </w:t>
      </w:r>
      <w:r>
        <w:rPr/>
        <w:t>standard</w:t>
      </w:r>
      <w:r>
        <w:rPr>
          <w:spacing w:val="-1"/>
        </w:rPr>
        <w:t> </w:t>
      </w:r>
      <w:r>
        <w:rPr/>
        <w:t>error</w:t>
      </w:r>
      <w:r>
        <w:rPr>
          <w:spacing w:val="-1"/>
        </w:rPr>
        <w:t> </w:t>
      </w:r>
      <w:r>
        <w:rPr/>
        <w:t>test. The</w:t>
      </w:r>
      <w:r>
        <w:rPr>
          <w:spacing w:val="-4"/>
        </w:rPr>
        <w:t> </w:t>
      </w:r>
      <w:r>
        <w:rPr/>
        <w:t>Johansen co-integration test</w:t>
      </w:r>
      <w:r>
        <w:rPr>
          <w:spacing w:val="40"/>
        </w:rPr>
        <w:t> </w:t>
      </w:r>
      <w:r>
        <w:rPr/>
        <w:t>is</w:t>
      </w:r>
      <w:r>
        <w:rPr>
          <w:spacing w:val="-2"/>
        </w:rPr>
        <w:t> </w:t>
      </w:r>
      <w:r>
        <w:rPr/>
        <w:t>employed in testing for</w:t>
      </w:r>
      <w:r>
        <w:rPr>
          <w:spacing w:val="-2"/>
        </w:rPr>
        <w:t> </w:t>
      </w:r>
      <w:r>
        <w:rPr/>
        <w:t>co-integration among the</w:t>
      </w:r>
      <w:r>
        <w:rPr>
          <w:spacing w:val="-1"/>
        </w:rPr>
        <w:t> </w:t>
      </w:r>
      <w:r>
        <w:rPr/>
        <w:t>variables</w:t>
      </w:r>
      <w:r>
        <w:rPr>
          <w:spacing w:val="-1"/>
        </w:rPr>
        <w:t> </w:t>
      </w:r>
      <w:r>
        <w:rPr/>
        <w:t>while</w:t>
      </w:r>
      <w:r>
        <w:rPr>
          <w:spacing w:val="-1"/>
        </w:rPr>
        <w:t> </w:t>
      </w:r>
      <w:r>
        <w:rPr/>
        <w:t>Augmented Dickey</w:t>
      </w:r>
      <w:r>
        <w:rPr>
          <w:spacing w:val="-5"/>
        </w:rPr>
        <w:t> </w:t>
      </w:r>
      <w:r>
        <w:rPr/>
        <w:t>Fuller</w:t>
      </w:r>
      <w:r>
        <w:rPr>
          <w:spacing w:val="-1"/>
        </w:rPr>
        <w:t> </w:t>
      </w:r>
      <w:r>
        <w:rPr/>
        <w:t>test (ADF)</w:t>
      </w:r>
      <w:r>
        <w:rPr>
          <w:spacing w:val="40"/>
        </w:rPr>
        <w:t> </w:t>
      </w:r>
      <w:r>
        <w:rPr/>
        <w:t>unit root</w:t>
      </w:r>
      <w:r>
        <w:rPr>
          <w:spacing w:val="-1"/>
        </w:rPr>
        <w:t> </w:t>
      </w:r>
      <w:r>
        <w:rPr/>
        <w:t>tests</w:t>
      </w:r>
      <w:r>
        <w:rPr>
          <w:spacing w:val="-2"/>
        </w:rPr>
        <w:t> </w:t>
      </w:r>
      <w:r>
        <w:rPr/>
        <w:t>is</w:t>
      </w:r>
      <w:r>
        <w:rPr>
          <w:spacing w:val="-2"/>
        </w:rPr>
        <w:t> </w:t>
      </w:r>
      <w:r>
        <w:rPr/>
        <w:t>used for determining the stationarity of</w:t>
      </w:r>
      <w:r>
        <w:rPr>
          <w:spacing w:val="40"/>
        </w:rPr>
        <w:t> </w:t>
      </w:r>
      <w:r>
        <w:rPr/>
        <w:t>the variables series. Therefore, the short and long-run relationships are compared in making necessary conclusions and recommendations.</w:t>
      </w:r>
    </w:p>
    <w:p>
      <w:pPr>
        <w:pStyle w:val="Heading6"/>
        <w:numPr>
          <w:ilvl w:val="2"/>
          <w:numId w:val="14"/>
        </w:numPr>
        <w:tabs>
          <w:tab w:pos="1671" w:val="left" w:leader="none"/>
        </w:tabs>
        <w:spacing w:line="240" w:lineRule="auto" w:before="1" w:after="0"/>
        <w:ind w:left="1671" w:right="0" w:hanging="960"/>
        <w:jc w:val="both"/>
      </w:pPr>
      <w:bookmarkStart w:name="_TOC_250010" w:id="17"/>
      <w:r>
        <w:rPr/>
        <w:t>Co-Integration</w:t>
      </w:r>
      <w:r>
        <w:rPr>
          <w:spacing w:val="-8"/>
        </w:rPr>
        <w:t> </w:t>
      </w:r>
      <w:bookmarkEnd w:id="17"/>
      <w:r>
        <w:rPr>
          <w:spacing w:val="-2"/>
        </w:rPr>
        <w:t>Analysis</w:t>
      </w:r>
    </w:p>
    <w:p>
      <w:pPr>
        <w:pStyle w:val="BodyText"/>
        <w:rPr>
          <w:b/>
        </w:rPr>
      </w:pPr>
    </w:p>
    <w:p>
      <w:pPr>
        <w:pStyle w:val="BodyText"/>
        <w:spacing w:line="480" w:lineRule="auto"/>
        <w:ind w:left="711" w:right="470"/>
        <w:jc w:val="both"/>
      </w:pPr>
      <w:r>
        <w:rPr/>
        <w:t>The concept of co-integration relates to the existence of a long-run equilibrium relationship to which an economic</w:t>
      </w:r>
      <w:r>
        <w:rPr>
          <w:spacing w:val="-1"/>
        </w:rPr>
        <w:t> </w:t>
      </w:r>
      <w:r>
        <w:rPr/>
        <w:t>system converges overtime</w:t>
      </w:r>
      <w:r>
        <w:rPr>
          <w:spacing w:val="-1"/>
        </w:rPr>
        <w:t> </w:t>
      </w:r>
      <w:r>
        <w:rPr/>
        <w:t>and equilibrium relationship among</w:t>
      </w:r>
      <w:r>
        <w:rPr>
          <w:spacing w:val="-2"/>
        </w:rPr>
        <w:t> </w:t>
      </w:r>
      <w:r>
        <w:rPr/>
        <w:t>the</w:t>
      </w:r>
      <w:r>
        <w:rPr>
          <w:spacing w:val="-1"/>
        </w:rPr>
        <w:t> </w:t>
      </w:r>
      <w:r>
        <w:rPr/>
        <w:t>set of</w:t>
      </w:r>
      <w:r>
        <w:rPr>
          <w:spacing w:val="-1"/>
        </w:rPr>
        <w:t> </w:t>
      </w:r>
      <w:r>
        <w:rPr/>
        <w:t>non-stationary</w:t>
      </w:r>
      <w:r>
        <w:rPr>
          <w:spacing w:val="-5"/>
        </w:rPr>
        <w:t> </w:t>
      </w:r>
      <w:r>
        <w:rPr/>
        <w:t>variables influencing it, and this implies that their stochastic trends must be linked. It is necessary to assess whether the series in a time series data are stationary or not. The reason is that regression of a non-stationary series on another non-stationary series may</w:t>
      </w:r>
      <w:r>
        <w:rPr>
          <w:spacing w:val="-2"/>
        </w:rPr>
        <w:t> </w:t>
      </w:r>
      <w:r>
        <w:rPr/>
        <w:t>lead to what is known as spurious regression. Thus, implicit in the co- integration theory is that, there exists a linear combination of these non-stationary variables that is</w:t>
      </w:r>
      <w:r>
        <w:rPr>
          <w:spacing w:val="40"/>
        </w:rPr>
        <w:t> </w:t>
      </w:r>
      <w:r>
        <w:rPr/>
        <w:t>stationary. If two series are non-stationary but their linear combination is, the two series are said to be co- integrated series. To be co-integrated means that the variables- series move together in the long run at same rate (Davidson and Mackinon, 1993). In this study, we test for the stationarity of the variables through the Augmented Dickey Fuller (ADF) unit root test.</w:t>
      </w:r>
    </w:p>
    <w:p>
      <w:pPr>
        <w:spacing w:after="0" w:line="480" w:lineRule="auto"/>
        <w:jc w:val="both"/>
        <w:sectPr>
          <w:pgSz w:w="11910" w:h="16840"/>
          <w:pgMar w:header="0" w:footer="979" w:top="1360" w:bottom="1240" w:left="280" w:right="0"/>
        </w:sectPr>
      </w:pPr>
    </w:p>
    <w:p>
      <w:pPr>
        <w:pStyle w:val="Heading6"/>
        <w:numPr>
          <w:ilvl w:val="2"/>
          <w:numId w:val="14"/>
        </w:numPr>
        <w:tabs>
          <w:tab w:pos="1371" w:val="left" w:leader="none"/>
        </w:tabs>
        <w:spacing w:line="240" w:lineRule="auto" w:before="60" w:after="0"/>
        <w:ind w:left="1371" w:right="0" w:hanging="660"/>
        <w:jc w:val="left"/>
      </w:pPr>
      <w:r>
        <w:rPr/>
        <w:t>Unit</w:t>
      </w:r>
      <w:r>
        <w:rPr>
          <w:spacing w:val="-3"/>
        </w:rPr>
        <w:t> </w:t>
      </w:r>
      <w:r>
        <w:rPr/>
        <w:t>Root</w:t>
      </w:r>
      <w:r>
        <w:rPr>
          <w:spacing w:val="-2"/>
        </w:rPr>
        <w:t> </w:t>
      </w:r>
      <w:r>
        <w:rPr>
          <w:spacing w:val="-4"/>
        </w:rPr>
        <w:t>Test</w:t>
      </w:r>
    </w:p>
    <w:p>
      <w:pPr>
        <w:pStyle w:val="BodyText"/>
        <w:spacing w:before="1"/>
        <w:rPr>
          <w:b/>
        </w:rPr>
      </w:pPr>
    </w:p>
    <w:p>
      <w:pPr>
        <w:pStyle w:val="BodyText"/>
        <w:spacing w:line="480" w:lineRule="auto"/>
        <w:ind w:left="711" w:right="466"/>
        <w:jc w:val="both"/>
      </w:pPr>
      <w:r>
        <w:rPr/>
        <w:t>This is the first step in co-integration analysis and it is the standard approach to investigate the stationarity</w:t>
      </w:r>
      <w:r>
        <w:rPr>
          <w:spacing w:val="40"/>
        </w:rPr>
        <w:t> </w:t>
      </w:r>
      <w:r>
        <w:rPr/>
        <w:t>of a time series. This test is relevant because statistical test of the parameter resulting from spurious regression, sequel to regression of a non-stationary series on another non-stationary series may be biased</w:t>
      </w:r>
      <w:r>
        <w:rPr>
          <w:spacing w:val="40"/>
        </w:rPr>
        <w:t> </w:t>
      </w:r>
      <w:r>
        <w:rPr/>
        <w:t>and inconsistent (Engle and Granger, 1987). The Augmented Dickey-Fuller (ADF) unit root equation is specified below:</w:t>
      </w:r>
    </w:p>
    <w:p>
      <w:pPr>
        <w:pStyle w:val="Heading6"/>
      </w:pPr>
      <w:r>
        <w:rPr/>
        <w:t>ADF</w:t>
      </w:r>
      <w:r>
        <w:rPr>
          <w:spacing w:val="-2"/>
        </w:rPr>
        <w:t> Equation:</w:t>
      </w:r>
    </w:p>
    <w:p>
      <w:pPr>
        <w:pStyle w:val="BodyText"/>
        <w:rPr>
          <w:b/>
        </w:rPr>
      </w:pPr>
    </w:p>
    <w:p>
      <w:pPr>
        <w:tabs>
          <w:tab w:pos="6614" w:val="left" w:leader="none"/>
          <w:tab w:pos="9470" w:val="left" w:leader="dot"/>
        </w:tabs>
        <w:spacing w:before="0"/>
        <w:ind w:left="711" w:right="0" w:firstLine="0"/>
        <w:jc w:val="left"/>
        <w:rPr>
          <w:sz w:val="24"/>
        </w:rPr>
      </w:pPr>
      <w:r>
        <w:rPr>
          <w:i/>
          <w:position w:val="2"/>
          <w:sz w:val="24"/>
        </w:rPr>
        <w:t>δy</w:t>
      </w:r>
      <w:r>
        <w:rPr>
          <w:i/>
          <w:sz w:val="16"/>
        </w:rPr>
        <w:t>t</w:t>
      </w:r>
      <w:r>
        <w:rPr>
          <w:i/>
          <w:spacing w:val="18"/>
          <w:sz w:val="16"/>
        </w:rPr>
        <w:t> </w:t>
      </w:r>
      <w:r>
        <w:rPr>
          <w:i/>
          <w:position w:val="2"/>
          <w:sz w:val="24"/>
        </w:rPr>
        <w:t>=</w:t>
      </w:r>
      <w:r>
        <w:rPr>
          <w:i/>
          <w:spacing w:val="-4"/>
          <w:position w:val="2"/>
          <w:sz w:val="24"/>
        </w:rPr>
        <w:t> </w:t>
      </w:r>
      <w:r>
        <w:rPr>
          <w:i/>
          <w:position w:val="2"/>
          <w:sz w:val="24"/>
        </w:rPr>
        <w:t>β</w:t>
      </w:r>
      <w:r>
        <w:rPr>
          <w:i/>
          <w:sz w:val="16"/>
        </w:rPr>
        <w:t>1</w:t>
      </w:r>
      <w:r>
        <w:rPr>
          <w:i/>
          <w:position w:val="2"/>
          <w:sz w:val="24"/>
        </w:rPr>
        <w:t>δy</w:t>
      </w:r>
      <w:r>
        <w:rPr>
          <w:i/>
          <w:sz w:val="16"/>
        </w:rPr>
        <w:t>t -1</w:t>
      </w:r>
      <w:r>
        <w:rPr>
          <w:i/>
          <w:spacing w:val="19"/>
          <w:sz w:val="16"/>
        </w:rPr>
        <w:t> </w:t>
      </w:r>
      <w:r>
        <w:rPr>
          <w:i/>
          <w:position w:val="2"/>
          <w:sz w:val="24"/>
        </w:rPr>
        <w:t>+</w:t>
      </w:r>
      <w:r>
        <w:rPr>
          <w:i/>
          <w:spacing w:val="-4"/>
          <w:position w:val="2"/>
          <w:sz w:val="24"/>
        </w:rPr>
        <w:t> </w:t>
      </w:r>
      <w:r>
        <w:rPr>
          <w:i/>
          <w:position w:val="2"/>
          <w:sz w:val="24"/>
        </w:rPr>
        <w:t>β</w:t>
      </w:r>
      <w:r>
        <w:rPr>
          <w:i/>
          <w:sz w:val="16"/>
        </w:rPr>
        <w:t>2</w:t>
      </w:r>
      <w:r>
        <w:rPr>
          <w:i/>
          <w:position w:val="2"/>
          <w:sz w:val="24"/>
        </w:rPr>
        <w:t>δy</w:t>
      </w:r>
      <w:r>
        <w:rPr>
          <w:i/>
          <w:sz w:val="16"/>
        </w:rPr>
        <w:t>t -2</w:t>
      </w:r>
      <w:r>
        <w:rPr>
          <w:i/>
          <w:spacing w:val="19"/>
          <w:sz w:val="16"/>
        </w:rPr>
        <w:t> </w:t>
      </w:r>
      <w:r>
        <w:rPr>
          <w:i/>
          <w:position w:val="2"/>
          <w:sz w:val="24"/>
        </w:rPr>
        <w:t>+</w:t>
      </w:r>
      <w:r>
        <w:rPr>
          <w:i/>
          <w:spacing w:val="-6"/>
          <w:position w:val="2"/>
          <w:sz w:val="24"/>
        </w:rPr>
        <w:t> </w:t>
      </w:r>
      <w:r>
        <w:rPr>
          <w:i/>
          <w:position w:val="2"/>
          <w:sz w:val="24"/>
        </w:rPr>
        <w:t>β</w:t>
      </w:r>
      <w:r>
        <w:rPr>
          <w:i/>
          <w:sz w:val="16"/>
        </w:rPr>
        <w:t>3</w:t>
      </w:r>
      <w:r>
        <w:rPr>
          <w:i/>
          <w:position w:val="2"/>
          <w:sz w:val="24"/>
        </w:rPr>
        <w:t>δy</w:t>
      </w:r>
      <w:r>
        <w:rPr>
          <w:i/>
          <w:sz w:val="16"/>
        </w:rPr>
        <w:t>t -3</w:t>
      </w:r>
      <w:r>
        <w:rPr>
          <w:i/>
          <w:spacing w:val="19"/>
          <w:sz w:val="16"/>
        </w:rPr>
        <w:t> </w:t>
      </w:r>
      <w:r>
        <w:rPr>
          <w:i/>
          <w:position w:val="2"/>
          <w:sz w:val="24"/>
        </w:rPr>
        <w:t>+</w:t>
      </w:r>
      <w:r>
        <w:rPr>
          <w:i/>
          <w:spacing w:val="-4"/>
          <w:position w:val="2"/>
          <w:sz w:val="24"/>
        </w:rPr>
        <w:t> </w:t>
      </w:r>
      <w:r>
        <w:rPr>
          <w:i/>
          <w:position w:val="2"/>
          <w:sz w:val="24"/>
        </w:rPr>
        <w:t>β</w:t>
      </w:r>
      <w:r>
        <w:rPr>
          <w:i/>
          <w:sz w:val="16"/>
        </w:rPr>
        <w:t>4</w:t>
      </w:r>
      <w:r>
        <w:rPr>
          <w:i/>
          <w:position w:val="2"/>
          <w:sz w:val="24"/>
        </w:rPr>
        <w:t>δy</w:t>
      </w:r>
      <w:r>
        <w:rPr>
          <w:i/>
          <w:sz w:val="16"/>
        </w:rPr>
        <w:t>t -4+</w:t>
      </w:r>
      <w:r>
        <w:rPr>
          <w:i/>
          <w:spacing w:val="17"/>
          <w:sz w:val="16"/>
        </w:rPr>
        <w:t> </w:t>
      </w:r>
      <w:r>
        <w:rPr>
          <w:i/>
          <w:position w:val="2"/>
          <w:sz w:val="24"/>
        </w:rPr>
        <w:t>β</w:t>
      </w:r>
      <w:r>
        <w:rPr>
          <w:i/>
          <w:sz w:val="16"/>
        </w:rPr>
        <w:t>5</w:t>
      </w:r>
      <w:r>
        <w:rPr>
          <w:i/>
          <w:position w:val="2"/>
          <w:sz w:val="24"/>
        </w:rPr>
        <w:t>δy</w:t>
      </w:r>
      <w:r>
        <w:rPr>
          <w:i/>
          <w:sz w:val="16"/>
        </w:rPr>
        <w:t>t -5+</w:t>
      </w:r>
      <w:r>
        <w:rPr>
          <w:i/>
          <w:spacing w:val="17"/>
          <w:sz w:val="16"/>
        </w:rPr>
        <w:t> </w:t>
      </w:r>
      <w:r>
        <w:rPr>
          <w:i/>
          <w:position w:val="2"/>
          <w:sz w:val="24"/>
        </w:rPr>
        <w:t>β</w:t>
      </w:r>
      <w:r>
        <w:rPr>
          <w:i/>
          <w:sz w:val="16"/>
        </w:rPr>
        <w:t>6</w:t>
      </w:r>
      <w:r>
        <w:rPr>
          <w:i/>
          <w:position w:val="2"/>
          <w:sz w:val="24"/>
        </w:rPr>
        <w:t>δy</w:t>
      </w:r>
      <w:r>
        <w:rPr>
          <w:i/>
          <w:sz w:val="16"/>
        </w:rPr>
        <w:t>t -</w:t>
      </w:r>
      <w:r>
        <w:rPr>
          <w:i/>
          <w:spacing w:val="-10"/>
          <w:sz w:val="16"/>
        </w:rPr>
        <w:t>6</w:t>
      </w:r>
      <w:r>
        <w:rPr>
          <w:i/>
          <w:sz w:val="16"/>
        </w:rPr>
        <w:tab/>
      </w:r>
      <w:r>
        <w:rPr>
          <w:i/>
          <w:position w:val="2"/>
          <w:sz w:val="24"/>
        </w:rPr>
        <w:t>…..+</w:t>
      </w:r>
      <w:r>
        <w:rPr>
          <w:i/>
          <w:spacing w:val="-6"/>
          <w:position w:val="2"/>
          <w:sz w:val="24"/>
        </w:rPr>
        <w:t> </w:t>
      </w:r>
      <w:r>
        <w:rPr>
          <w:i/>
          <w:position w:val="2"/>
          <w:sz w:val="24"/>
        </w:rPr>
        <w:t>β</w:t>
      </w:r>
      <w:r>
        <w:rPr>
          <w:i/>
          <w:sz w:val="16"/>
        </w:rPr>
        <w:t>n</w:t>
      </w:r>
      <w:r>
        <w:rPr>
          <w:i/>
          <w:position w:val="2"/>
          <w:sz w:val="24"/>
        </w:rPr>
        <w:t>δy</w:t>
      </w:r>
      <w:r>
        <w:rPr>
          <w:i/>
          <w:sz w:val="16"/>
        </w:rPr>
        <w:t>t</w:t>
      </w:r>
      <w:r>
        <w:rPr>
          <w:i/>
          <w:spacing w:val="1"/>
          <w:sz w:val="16"/>
        </w:rPr>
        <w:t> </w:t>
      </w:r>
      <w:r>
        <w:rPr>
          <w:i/>
          <w:sz w:val="16"/>
        </w:rPr>
        <w:t>-n</w:t>
      </w:r>
      <w:r>
        <w:rPr>
          <w:i/>
          <w:spacing w:val="76"/>
          <w:sz w:val="16"/>
        </w:rPr>
        <w:t> </w:t>
      </w:r>
      <w:r>
        <w:rPr>
          <w:i/>
          <w:position w:val="2"/>
          <w:sz w:val="24"/>
        </w:rPr>
        <w:t>+</w:t>
      </w:r>
      <w:r>
        <w:rPr>
          <w:i/>
          <w:spacing w:val="-3"/>
          <w:position w:val="2"/>
          <w:sz w:val="24"/>
        </w:rPr>
        <w:t> </w:t>
      </w:r>
      <w:r>
        <w:rPr>
          <w:i/>
          <w:spacing w:val="-10"/>
          <w:sz w:val="16"/>
        </w:rPr>
        <w:t>t</w:t>
      </w:r>
      <w:r>
        <w:rPr>
          <w:i/>
          <w:sz w:val="16"/>
        </w:rPr>
        <w:tab/>
      </w:r>
      <w:r>
        <w:rPr>
          <w:spacing w:val="-2"/>
          <w:position w:val="2"/>
          <w:sz w:val="24"/>
        </w:rPr>
        <w:t>(3.37)</w:t>
      </w:r>
    </w:p>
    <w:p>
      <w:pPr>
        <w:pStyle w:val="BodyText"/>
        <w:spacing w:line="477" w:lineRule="auto" w:before="273"/>
        <w:ind w:left="711" w:right="475"/>
      </w:pPr>
      <w:r>
        <w:rPr>
          <w:position w:val="2"/>
        </w:rPr>
        <w:t>where</w:t>
      </w:r>
      <w:r>
        <w:rPr>
          <w:spacing w:val="-4"/>
          <w:position w:val="2"/>
        </w:rPr>
        <w:t> </w:t>
      </w:r>
      <w:r>
        <w:rPr>
          <w:position w:val="2"/>
        </w:rPr>
        <w:t>δy</w:t>
      </w:r>
      <w:r>
        <w:rPr>
          <w:sz w:val="16"/>
        </w:rPr>
        <w:t>t</w:t>
      </w:r>
      <w:r>
        <w:rPr>
          <w:spacing w:val="40"/>
          <w:sz w:val="16"/>
        </w:rPr>
        <w:t> </w:t>
      </w:r>
      <w:r>
        <w:rPr>
          <w:position w:val="2"/>
        </w:rPr>
        <w:t>is</w:t>
      </w:r>
      <w:r>
        <w:rPr>
          <w:spacing w:val="-2"/>
          <w:position w:val="2"/>
        </w:rPr>
        <w:t> </w:t>
      </w:r>
      <w:r>
        <w:rPr>
          <w:position w:val="2"/>
        </w:rPr>
        <w:t>dependent</w:t>
      </w:r>
      <w:r>
        <w:rPr>
          <w:spacing w:val="-2"/>
          <w:position w:val="2"/>
        </w:rPr>
        <w:t> </w:t>
      </w:r>
      <w:r>
        <w:rPr>
          <w:position w:val="2"/>
        </w:rPr>
        <w:t>variable</w:t>
      </w:r>
      <w:r>
        <w:rPr>
          <w:spacing w:val="-2"/>
          <w:position w:val="2"/>
        </w:rPr>
        <w:t> </w:t>
      </w:r>
      <w:r>
        <w:rPr>
          <w:position w:val="2"/>
        </w:rPr>
        <w:t>in</w:t>
      </w:r>
      <w:r>
        <w:rPr>
          <w:spacing w:val="-2"/>
          <w:position w:val="2"/>
        </w:rPr>
        <w:t> </w:t>
      </w:r>
      <w:r>
        <w:rPr>
          <w:position w:val="2"/>
        </w:rPr>
        <w:t>model</w:t>
      </w:r>
      <w:r>
        <w:rPr>
          <w:spacing w:val="-2"/>
          <w:position w:val="2"/>
        </w:rPr>
        <w:t> </w:t>
      </w:r>
      <w:r>
        <w:rPr>
          <w:position w:val="2"/>
        </w:rPr>
        <w:t>1A,</w:t>
      </w:r>
      <w:r>
        <w:rPr>
          <w:spacing w:val="-2"/>
          <w:position w:val="2"/>
        </w:rPr>
        <w:t> </w:t>
      </w:r>
      <w:r>
        <w:rPr>
          <w:position w:val="2"/>
        </w:rPr>
        <w:t>1B, 2A</w:t>
      </w:r>
      <w:r>
        <w:rPr>
          <w:spacing w:val="-3"/>
          <w:position w:val="2"/>
        </w:rPr>
        <w:t> </w:t>
      </w:r>
      <w:r>
        <w:rPr>
          <w:position w:val="2"/>
        </w:rPr>
        <w:t>and</w:t>
      </w:r>
      <w:r>
        <w:rPr>
          <w:spacing w:val="-2"/>
          <w:position w:val="2"/>
        </w:rPr>
        <w:t> </w:t>
      </w:r>
      <w:r>
        <w:rPr>
          <w:position w:val="2"/>
        </w:rPr>
        <w:t>2B</w:t>
      </w:r>
      <w:r>
        <w:rPr>
          <w:spacing w:val="-4"/>
          <w:position w:val="2"/>
        </w:rPr>
        <w:t> </w:t>
      </w:r>
      <w:r>
        <w:rPr>
          <w:position w:val="2"/>
        </w:rPr>
        <w:t>β</w:t>
      </w:r>
      <w:r>
        <w:rPr>
          <w:sz w:val="16"/>
        </w:rPr>
        <w:t>1</w:t>
      </w:r>
      <w:r>
        <w:rPr>
          <w:position w:val="2"/>
        </w:rPr>
        <w:t>δy</w:t>
      </w:r>
      <w:r>
        <w:rPr>
          <w:sz w:val="16"/>
        </w:rPr>
        <w:t>t</w:t>
      </w:r>
      <w:r>
        <w:rPr>
          <w:spacing w:val="-1"/>
          <w:sz w:val="16"/>
        </w:rPr>
        <w:t> </w:t>
      </w:r>
      <w:r>
        <w:rPr>
          <w:sz w:val="16"/>
        </w:rPr>
        <w:t>-1,</w:t>
      </w:r>
      <w:r>
        <w:rPr>
          <w:spacing w:val="-1"/>
          <w:sz w:val="16"/>
        </w:rPr>
        <w:t> </w:t>
      </w:r>
      <w:r>
        <w:rPr>
          <w:position w:val="2"/>
        </w:rPr>
        <w:t>β</w:t>
      </w:r>
      <w:r>
        <w:rPr>
          <w:sz w:val="16"/>
        </w:rPr>
        <w:t>2</w:t>
      </w:r>
      <w:r>
        <w:rPr>
          <w:position w:val="2"/>
        </w:rPr>
        <w:t>δy</w:t>
      </w:r>
      <w:r>
        <w:rPr>
          <w:sz w:val="16"/>
        </w:rPr>
        <w:t>t</w:t>
      </w:r>
      <w:r>
        <w:rPr>
          <w:spacing w:val="-1"/>
          <w:sz w:val="16"/>
        </w:rPr>
        <w:t> </w:t>
      </w:r>
      <w:r>
        <w:rPr>
          <w:sz w:val="16"/>
        </w:rPr>
        <w:t>-2,</w:t>
      </w:r>
      <w:r>
        <w:rPr>
          <w:spacing w:val="-1"/>
          <w:sz w:val="16"/>
        </w:rPr>
        <w:t> </w:t>
      </w:r>
      <w:r>
        <w:rPr>
          <w:position w:val="2"/>
        </w:rPr>
        <w:t>β</w:t>
      </w:r>
      <w:r>
        <w:rPr>
          <w:sz w:val="16"/>
        </w:rPr>
        <w:t>3</w:t>
      </w:r>
      <w:r>
        <w:rPr>
          <w:position w:val="2"/>
        </w:rPr>
        <w:t>δy</w:t>
      </w:r>
      <w:r>
        <w:rPr>
          <w:sz w:val="16"/>
        </w:rPr>
        <w:t>t</w:t>
      </w:r>
      <w:r>
        <w:rPr>
          <w:spacing w:val="-1"/>
          <w:sz w:val="16"/>
        </w:rPr>
        <w:t> </w:t>
      </w:r>
      <w:r>
        <w:rPr>
          <w:sz w:val="16"/>
        </w:rPr>
        <w:t>-3,</w:t>
      </w:r>
      <w:r>
        <w:rPr>
          <w:spacing w:val="-1"/>
          <w:sz w:val="16"/>
        </w:rPr>
        <w:t> </w:t>
      </w:r>
      <w:r>
        <w:rPr>
          <w:position w:val="2"/>
        </w:rPr>
        <w:t>β</w:t>
      </w:r>
      <w:r>
        <w:rPr>
          <w:sz w:val="16"/>
        </w:rPr>
        <w:t>4</w:t>
      </w:r>
      <w:r>
        <w:rPr>
          <w:position w:val="2"/>
        </w:rPr>
        <w:t>δy</w:t>
      </w:r>
      <w:r>
        <w:rPr>
          <w:sz w:val="16"/>
        </w:rPr>
        <w:t>t</w:t>
      </w:r>
      <w:r>
        <w:rPr>
          <w:spacing w:val="-1"/>
          <w:sz w:val="16"/>
        </w:rPr>
        <w:t> </w:t>
      </w:r>
      <w:r>
        <w:rPr>
          <w:sz w:val="16"/>
        </w:rPr>
        <w:t>-4</w:t>
      </w:r>
      <w:r>
        <w:rPr>
          <w:position w:val="2"/>
        </w:rPr>
        <w:t>,</w:t>
      </w:r>
      <w:r>
        <w:rPr>
          <w:spacing w:val="-2"/>
          <w:position w:val="2"/>
        </w:rPr>
        <w:t> </w:t>
      </w:r>
      <w:r>
        <w:rPr>
          <w:position w:val="2"/>
        </w:rPr>
        <w:t>β</w:t>
      </w:r>
      <w:r>
        <w:rPr>
          <w:sz w:val="16"/>
        </w:rPr>
        <w:t>5</w:t>
      </w:r>
      <w:r>
        <w:rPr>
          <w:position w:val="2"/>
        </w:rPr>
        <w:t>δy</w:t>
      </w:r>
      <w:r>
        <w:rPr>
          <w:sz w:val="16"/>
        </w:rPr>
        <w:t>t</w:t>
      </w:r>
      <w:r>
        <w:rPr>
          <w:spacing w:val="-1"/>
          <w:sz w:val="16"/>
        </w:rPr>
        <w:t> </w:t>
      </w:r>
      <w:r>
        <w:rPr>
          <w:sz w:val="16"/>
        </w:rPr>
        <w:t>-5</w:t>
      </w:r>
      <w:r>
        <w:rPr>
          <w:position w:val="2"/>
        </w:rPr>
        <w:t>,</w:t>
      </w:r>
      <w:r>
        <w:rPr>
          <w:spacing w:val="-2"/>
          <w:position w:val="2"/>
        </w:rPr>
        <w:t> </w:t>
      </w:r>
      <w:r>
        <w:rPr>
          <w:position w:val="2"/>
        </w:rPr>
        <w:t>β</w:t>
      </w:r>
      <w:r>
        <w:rPr>
          <w:sz w:val="16"/>
        </w:rPr>
        <w:t>6</w:t>
      </w:r>
      <w:r>
        <w:rPr>
          <w:position w:val="2"/>
        </w:rPr>
        <w:t>δy</w:t>
      </w:r>
      <w:r>
        <w:rPr>
          <w:sz w:val="16"/>
        </w:rPr>
        <w:t>t</w:t>
      </w:r>
      <w:r>
        <w:rPr>
          <w:spacing w:val="-1"/>
          <w:sz w:val="16"/>
        </w:rPr>
        <w:t> </w:t>
      </w:r>
      <w:r>
        <w:rPr>
          <w:sz w:val="16"/>
        </w:rPr>
        <w:t>-6</w:t>
      </w:r>
      <w:r>
        <w:rPr>
          <w:position w:val="2"/>
        </w:rPr>
        <w:t>, β</w:t>
      </w:r>
      <w:r>
        <w:rPr>
          <w:sz w:val="16"/>
        </w:rPr>
        <w:t>n</w:t>
      </w:r>
      <w:r>
        <w:rPr>
          <w:position w:val="2"/>
        </w:rPr>
        <w:t>δy</w:t>
      </w:r>
      <w:r>
        <w:rPr>
          <w:sz w:val="16"/>
        </w:rPr>
        <w:t>t –n</w:t>
      </w:r>
      <w:r>
        <w:rPr>
          <w:spacing w:val="27"/>
          <w:sz w:val="16"/>
        </w:rPr>
        <w:t> </w:t>
      </w:r>
      <w:r>
        <w:rPr>
          <w:position w:val="2"/>
        </w:rPr>
        <w:t>is assumed to represent the idependent variables in Model 1,2, 3, 4, 5,</w:t>
      </w:r>
      <w:r>
        <w:rPr>
          <w:spacing w:val="40"/>
          <w:position w:val="2"/>
        </w:rPr>
        <w:t> </w:t>
      </w:r>
      <w:r>
        <w:rPr>
          <w:position w:val="2"/>
        </w:rPr>
        <w:t>and 6 ∑</w:t>
      </w:r>
      <w:r>
        <w:rPr>
          <w:sz w:val="16"/>
        </w:rPr>
        <w:t>t </w:t>
      </w:r>
      <w:r>
        <w:rPr>
          <w:position w:val="2"/>
        </w:rPr>
        <w:t>is the white noise </w:t>
      </w:r>
      <w:r>
        <w:rPr>
          <w:spacing w:val="-2"/>
        </w:rPr>
        <w:t>residual.</w:t>
      </w:r>
    </w:p>
    <w:p>
      <w:pPr>
        <w:pStyle w:val="Heading6"/>
        <w:numPr>
          <w:ilvl w:val="2"/>
          <w:numId w:val="14"/>
        </w:numPr>
        <w:tabs>
          <w:tab w:pos="1611" w:val="left" w:leader="none"/>
        </w:tabs>
        <w:spacing w:line="240" w:lineRule="auto" w:before="4" w:after="0"/>
        <w:ind w:left="1611" w:right="0" w:hanging="900"/>
        <w:jc w:val="left"/>
      </w:pPr>
      <w:r>
        <w:rPr/>
        <w:t>Co-Integration</w:t>
      </w:r>
      <w:r>
        <w:rPr>
          <w:spacing w:val="-3"/>
        </w:rPr>
        <w:t> </w:t>
      </w:r>
      <w:r>
        <w:rPr/>
        <w:t>Test</w:t>
      </w:r>
      <w:r>
        <w:rPr>
          <w:spacing w:val="-2"/>
        </w:rPr>
        <w:t> </w:t>
      </w:r>
      <w:r>
        <w:rPr/>
        <w:t>and Error</w:t>
      </w:r>
      <w:r>
        <w:rPr>
          <w:spacing w:val="-3"/>
        </w:rPr>
        <w:t> </w:t>
      </w:r>
      <w:r>
        <w:rPr/>
        <w:t>Correction</w:t>
      </w:r>
      <w:r>
        <w:rPr>
          <w:spacing w:val="-2"/>
        </w:rPr>
        <w:t> Mechanism</w:t>
      </w:r>
    </w:p>
    <w:p>
      <w:pPr>
        <w:pStyle w:val="BodyText"/>
        <w:rPr>
          <w:b/>
        </w:rPr>
      </w:pPr>
    </w:p>
    <w:p>
      <w:pPr>
        <w:pStyle w:val="BodyText"/>
        <w:spacing w:line="480" w:lineRule="auto"/>
        <w:ind w:left="711" w:right="469"/>
        <w:jc w:val="both"/>
      </w:pPr>
      <w:r>
        <w:rPr/>
        <w:t>Having established stationarity of the variables, I proceeded to investigate whether or not there is such a relationship labeled “co-integration among the variables. This is sequel to the fact that, although economic variables may not be stationary individually, a mechanism could still exist that prevents some of the variables from diverging significantly from one another. The number of co-integration equation which is </w:t>
      </w:r>
      <w:r>
        <w:rPr>
          <w:position w:val="2"/>
        </w:rPr>
        <w:t>known as “co-integration rank” can be</w:t>
      </w:r>
      <w:r>
        <w:rPr>
          <w:spacing w:val="-1"/>
          <w:position w:val="2"/>
        </w:rPr>
        <w:t> </w:t>
      </w:r>
      <w:r>
        <w:rPr>
          <w:position w:val="2"/>
        </w:rPr>
        <w:t>decided</w:t>
      </w:r>
      <w:r>
        <w:rPr>
          <w:spacing w:val="-1"/>
          <w:position w:val="2"/>
        </w:rPr>
        <w:t> </w:t>
      </w:r>
      <w:r>
        <w:rPr>
          <w:position w:val="2"/>
        </w:rPr>
        <w:t>through the</w:t>
      </w:r>
      <w:r>
        <w:rPr>
          <w:spacing w:val="-1"/>
          <w:position w:val="2"/>
        </w:rPr>
        <w:t> </w:t>
      </w:r>
      <w:r>
        <w:rPr>
          <w:position w:val="2"/>
        </w:rPr>
        <w:t>Johansen tests. The</w:t>
      </w:r>
      <w:r>
        <w:rPr>
          <w:spacing w:val="-2"/>
          <w:position w:val="2"/>
        </w:rPr>
        <w:t> </w:t>
      </w:r>
      <w:r>
        <w:rPr>
          <w:position w:val="2"/>
        </w:rPr>
        <w:t>hypothesis of</w:t>
      </w:r>
      <w:r>
        <w:rPr>
          <w:spacing w:val="-1"/>
          <w:position w:val="2"/>
        </w:rPr>
        <w:t> </w:t>
      </w:r>
      <w:r>
        <w:rPr>
          <w:position w:val="2"/>
        </w:rPr>
        <w:t>the</w:t>
      </w:r>
      <w:r>
        <w:rPr>
          <w:spacing w:val="-1"/>
          <w:position w:val="2"/>
        </w:rPr>
        <w:t> </w:t>
      </w:r>
      <w:r>
        <w:rPr>
          <w:position w:val="2"/>
        </w:rPr>
        <w:t>(H</w:t>
      </w:r>
      <w:r>
        <w:rPr>
          <w:sz w:val="16"/>
        </w:rPr>
        <w:t>0</w:t>
      </w:r>
      <w:r>
        <w:rPr>
          <w:position w:val="2"/>
        </w:rPr>
        <w:t>)</w:t>
      </w:r>
      <w:r>
        <w:rPr>
          <w:spacing w:val="-1"/>
          <w:position w:val="2"/>
        </w:rPr>
        <w:t> </w:t>
      </w:r>
      <w:r>
        <w:rPr>
          <w:position w:val="2"/>
        </w:rPr>
        <w:t>is that </w:t>
      </w:r>
      <w:r>
        <w:rPr/>
        <w:t>there is no-cointegrating vector or there is one co-integration vector. This implies that the variables in the model have no equilibrium condition that keeps them in proportion to one another in the long run. To this hypothesis, compare the likelihood ratio in each of the row of the upper table of the output of the Johansen co-integration test to their corresponding critical values. If the likelihood ratio is greater than the critical value, then reject the null hypothesis and accept the alternative hypothesis of the existence of co-integration and vice-versa. The issues of error correction model (ECM) series arises when the various statistical tests performed supports the existence of co-integrating relationship between the dependent variable and any (or</w:t>
      </w:r>
      <w:r>
        <w:rPr>
          <w:spacing w:val="80"/>
        </w:rPr>
        <w:t> </w:t>
      </w:r>
      <w:r>
        <w:rPr/>
        <w:t>a</w:t>
      </w:r>
      <w:r>
        <w:rPr>
          <w:spacing w:val="14"/>
        </w:rPr>
        <w:t> </w:t>
      </w:r>
      <w:r>
        <w:rPr/>
        <w:t>combination)</w:t>
      </w:r>
      <w:r>
        <w:rPr>
          <w:spacing w:val="53"/>
        </w:rPr>
        <w:t>  </w:t>
      </w:r>
      <w:r>
        <w:rPr/>
        <w:t>of</w:t>
      </w:r>
      <w:r>
        <w:rPr>
          <w:spacing w:val="16"/>
        </w:rPr>
        <w:t> </w:t>
      </w:r>
      <w:r>
        <w:rPr/>
        <w:t>its</w:t>
      </w:r>
      <w:r>
        <w:rPr>
          <w:spacing w:val="14"/>
        </w:rPr>
        <w:t> </w:t>
      </w:r>
      <w:r>
        <w:rPr/>
        <w:t>explanatory</w:t>
      </w:r>
      <w:r>
        <w:rPr>
          <w:spacing w:val="8"/>
        </w:rPr>
        <w:t> </w:t>
      </w:r>
      <w:r>
        <w:rPr/>
        <w:t>variables.</w:t>
      </w:r>
      <w:r>
        <w:rPr>
          <w:spacing w:val="16"/>
        </w:rPr>
        <w:t> </w:t>
      </w:r>
      <w:r>
        <w:rPr/>
        <w:t>The</w:t>
      </w:r>
      <w:r>
        <w:rPr>
          <w:spacing w:val="15"/>
        </w:rPr>
        <w:t> </w:t>
      </w:r>
      <w:r>
        <w:rPr/>
        <w:t>first</w:t>
      </w:r>
      <w:r>
        <w:rPr>
          <w:spacing w:val="17"/>
        </w:rPr>
        <w:t> </w:t>
      </w:r>
      <w:r>
        <w:rPr/>
        <w:t>error</w:t>
      </w:r>
      <w:r>
        <w:rPr>
          <w:spacing w:val="14"/>
        </w:rPr>
        <w:t> </w:t>
      </w:r>
      <w:r>
        <w:rPr/>
        <w:t>correction</w:t>
      </w:r>
      <w:r>
        <w:rPr>
          <w:spacing w:val="16"/>
        </w:rPr>
        <w:t> </w:t>
      </w:r>
      <w:r>
        <w:rPr/>
        <w:t>model</w:t>
      </w:r>
      <w:r>
        <w:rPr>
          <w:spacing w:val="16"/>
        </w:rPr>
        <w:t> </w:t>
      </w:r>
      <w:r>
        <w:rPr/>
        <w:t>(ECM1)</w:t>
      </w:r>
      <w:r>
        <w:rPr>
          <w:spacing w:val="15"/>
        </w:rPr>
        <w:t> </w:t>
      </w:r>
      <w:r>
        <w:rPr/>
        <w:t>known</w:t>
      </w:r>
      <w:r>
        <w:rPr>
          <w:spacing w:val="16"/>
        </w:rPr>
        <w:t> </w:t>
      </w:r>
      <w:r>
        <w:rPr/>
        <w:t>as</w:t>
      </w:r>
      <w:r>
        <w:rPr>
          <w:spacing w:val="16"/>
        </w:rPr>
        <w:t> </w:t>
      </w:r>
      <w:r>
        <w:rPr/>
        <w:t>the</w:t>
      </w:r>
      <w:r>
        <w:rPr>
          <w:spacing w:val="15"/>
        </w:rPr>
        <w:t> </w:t>
      </w:r>
      <w:r>
        <w:rPr>
          <w:spacing w:val="-2"/>
        </w:rPr>
        <w:t>“over</w:t>
      </w:r>
    </w:p>
    <w:p>
      <w:pPr>
        <w:spacing w:after="0" w:line="480" w:lineRule="auto"/>
        <w:jc w:val="both"/>
        <w:sectPr>
          <w:pgSz w:w="11910" w:h="16840"/>
          <w:pgMar w:header="0" w:footer="979" w:top="1360" w:bottom="1240" w:left="280" w:right="0"/>
        </w:sectPr>
      </w:pPr>
    </w:p>
    <w:p>
      <w:pPr>
        <w:pStyle w:val="BodyText"/>
        <w:spacing w:line="480" w:lineRule="auto" w:before="60"/>
        <w:ind w:left="711" w:right="474"/>
        <w:jc w:val="both"/>
      </w:pPr>
      <w:r>
        <w:rPr/>
        <w:t>parameterized” ECM involves lagging of variable in the regression equation Gujarati (2005). The lead and the lag variables can be expressed as:</w:t>
      </w:r>
    </w:p>
    <w:p>
      <w:pPr>
        <w:pStyle w:val="BodyText"/>
        <w:tabs>
          <w:tab w:pos="6668" w:val="left" w:leader="dot"/>
        </w:tabs>
        <w:spacing w:before="1"/>
        <w:ind w:left="711"/>
      </w:pPr>
      <w:r>
        <w:rPr/>
        <w:t>i.e</w:t>
      </w:r>
      <w:r>
        <w:rPr>
          <w:spacing w:val="-14"/>
        </w:rPr>
        <w:t> </w:t>
      </w:r>
      <w:r>
        <w:rPr/>
        <w:t>D(A,2)D(A(-1),2)D(B,2)D(B(-1),2D(C,2)D(-</w:t>
      </w:r>
      <w:r>
        <w:rPr>
          <w:spacing w:val="-2"/>
        </w:rPr>
        <w:t>1),2)…</w:t>
      </w:r>
      <w:r>
        <w:rPr/>
        <w:tab/>
        <w:t>D(N,2)D(-1),2)</w:t>
      </w:r>
      <w:r>
        <w:rPr>
          <w:spacing w:val="-7"/>
        </w:rPr>
        <w:t> </w:t>
      </w:r>
      <w:r>
        <w:rPr/>
        <w:t>D(ECM(-</w:t>
      </w:r>
      <w:r>
        <w:rPr>
          <w:spacing w:val="-5"/>
        </w:rPr>
        <w:t>1)</w:t>
      </w:r>
    </w:p>
    <w:p>
      <w:pPr>
        <w:pStyle w:val="BodyText"/>
      </w:pPr>
    </w:p>
    <w:p>
      <w:pPr>
        <w:pStyle w:val="BodyText"/>
        <w:spacing w:line="480" w:lineRule="auto"/>
        <w:ind w:left="711" w:right="473"/>
        <w:jc w:val="both"/>
      </w:pPr>
      <w:r>
        <w:rPr/>
        <w:t>Where D means change, A………….N, means number of variables, -1 means lag period, 2 means lead period and (ECM (-1) value denotes the rate of adjustment from short to long run equilibrium.</w:t>
      </w:r>
    </w:p>
    <w:p>
      <w:pPr>
        <w:pStyle w:val="BodyText"/>
        <w:spacing w:line="480" w:lineRule="auto"/>
        <w:ind w:left="711" w:right="475"/>
        <w:jc w:val="both"/>
      </w:pPr>
      <w:r>
        <w:rPr/>
        <w:t>However, “parsimonious” error correction model (ECM) is simply to introduce dynamism into the model. The selection of this final vector error correction model (ECM) should be based on economic as well as statistic criteria of evaluation put differently, only the variables that are statistically significant are reported in ECM2.</w:t>
      </w:r>
    </w:p>
    <w:p>
      <w:pPr>
        <w:pStyle w:val="BodyText"/>
        <w:spacing w:before="1"/>
        <w:ind w:left="711"/>
      </w:pPr>
      <w:r>
        <w:rPr/>
        <w:t>Specifying</w:t>
      </w:r>
      <w:r>
        <w:rPr>
          <w:spacing w:val="-7"/>
        </w:rPr>
        <w:t> </w:t>
      </w:r>
      <w:r>
        <w:rPr/>
        <w:t>the</w:t>
      </w:r>
      <w:r>
        <w:rPr>
          <w:spacing w:val="-1"/>
        </w:rPr>
        <w:t> </w:t>
      </w:r>
      <w:r>
        <w:rPr/>
        <w:t>models</w:t>
      </w:r>
      <w:r>
        <w:rPr>
          <w:spacing w:val="-1"/>
        </w:rPr>
        <w:t> </w:t>
      </w:r>
      <w:r>
        <w:rPr/>
        <w:t>in</w:t>
      </w:r>
      <w:r>
        <w:rPr>
          <w:spacing w:val="-1"/>
        </w:rPr>
        <w:t> </w:t>
      </w:r>
      <w:r>
        <w:rPr/>
        <w:t>a</w:t>
      </w:r>
      <w:r>
        <w:rPr>
          <w:spacing w:val="-2"/>
        </w:rPr>
        <w:t> </w:t>
      </w:r>
      <w:r>
        <w:rPr/>
        <w:t>general</w:t>
      </w:r>
      <w:r>
        <w:rPr>
          <w:spacing w:val="-1"/>
        </w:rPr>
        <w:t> </w:t>
      </w:r>
      <w:r>
        <w:rPr/>
        <w:t>ECM</w:t>
      </w:r>
      <w:r>
        <w:rPr>
          <w:spacing w:val="-1"/>
        </w:rPr>
        <w:t> </w:t>
      </w:r>
      <w:r>
        <w:rPr/>
        <w:t>(Error</w:t>
      </w:r>
      <w:r>
        <w:rPr>
          <w:spacing w:val="-1"/>
        </w:rPr>
        <w:t> </w:t>
      </w:r>
      <w:r>
        <w:rPr/>
        <w:t>Correction</w:t>
      </w:r>
      <w:r>
        <w:rPr>
          <w:spacing w:val="-1"/>
        </w:rPr>
        <w:t> </w:t>
      </w:r>
      <w:r>
        <w:rPr>
          <w:spacing w:val="-2"/>
        </w:rPr>
        <w:t>Mechanism)</w:t>
      </w:r>
    </w:p>
    <w:p>
      <w:pPr>
        <w:pStyle w:val="BodyText"/>
      </w:pPr>
    </w:p>
    <w:p>
      <w:pPr>
        <w:pStyle w:val="Heading6"/>
      </w:pPr>
      <w:r>
        <w:rPr/>
        <w:t>MODEL</w:t>
      </w:r>
      <w:r>
        <w:rPr>
          <w:spacing w:val="-1"/>
        </w:rPr>
        <w:t> </w:t>
      </w:r>
      <w:r>
        <w:rPr/>
        <w:t>IA</w:t>
      </w:r>
      <w:r>
        <w:rPr>
          <w:spacing w:val="-1"/>
        </w:rPr>
        <w:t> </w:t>
      </w:r>
      <w:r>
        <w:rPr/>
        <w:t>(World Bank and</w:t>
      </w:r>
      <w:r>
        <w:rPr>
          <w:spacing w:val="-1"/>
        </w:rPr>
        <w:t> </w:t>
      </w:r>
      <w:r>
        <w:rPr/>
        <w:t>Erbe</w:t>
      </w:r>
      <w:r>
        <w:rPr>
          <w:spacing w:val="-1"/>
        </w:rPr>
        <w:t> </w:t>
      </w:r>
      <w:r>
        <w:rPr>
          <w:spacing w:val="-2"/>
        </w:rPr>
        <w:t>Approach)</w:t>
      </w:r>
    </w:p>
    <w:p>
      <w:pPr>
        <w:spacing w:before="275"/>
        <w:ind w:left="711" w:right="0" w:firstLine="0"/>
        <w:jc w:val="left"/>
        <w:rPr>
          <w:i/>
          <w:sz w:val="16"/>
        </w:rPr>
      </w:pPr>
      <w:r>
        <w:rPr>
          <w:i/>
          <w:position w:val="2"/>
          <w:sz w:val="24"/>
        </w:rPr>
        <w:t>₰</w:t>
      </w:r>
      <w:r>
        <w:rPr>
          <w:i/>
          <w:spacing w:val="26"/>
          <w:position w:val="2"/>
          <w:sz w:val="24"/>
        </w:rPr>
        <w:t> </w:t>
      </w:r>
      <w:r>
        <w:rPr>
          <w:i/>
          <w:position w:val="2"/>
          <w:sz w:val="24"/>
        </w:rPr>
        <w:t>log</w:t>
      </w:r>
      <w:r>
        <w:rPr>
          <w:i/>
          <w:spacing w:val="29"/>
          <w:position w:val="2"/>
          <w:sz w:val="24"/>
        </w:rPr>
        <w:t> </w:t>
      </w:r>
      <w:r>
        <w:rPr>
          <w:i/>
          <w:position w:val="2"/>
          <w:sz w:val="24"/>
        </w:rPr>
        <w:t>(KFW)=</w:t>
      </w:r>
      <w:r>
        <w:rPr>
          <w:i/>
          <w:spacing w:val="27"/>
          <w:position w:val="2"/>
          <w:sz w:val="24"/>
        </w:rPr>
        <w:t> </w:t>
      </w:r>
      <w:r>
        <w:rPr>
          <w:i/>
          <w:position w:val="2"/>
          <w:sz w:val="24"/>
        </w:rPr>
        <w:t>θ</w:t>
      </w:r>
      <w:r>
        <w:rPr>
          <w:i/>
          <w:spacing w:val="9"/>
          <w:position w:val="2"/>
          <w:sz w:val="24"/>
        </w:rPr>
        <w:t> </w:t>
      </w:r>
      <w:r>
        <w:rPr>
          <w:i/>
          <w:sz w:val="16"/>
        </w:rPr>
        <w:t>0</w:t>
      </w:r>
      <w:r>
        <w:rPr>
          <w:i/>
          <w:spacing w:val="48"/>
          <w:sz w:val="16"/>
        </w:rPr>
        <w:t> </w:t>
      </w:r>
      <w:r>
        <w:rPr>
          <w:i/>
          <w:position w:val="2"/>
          <w:sz w:val="24"/>
        </w:rPr>
        <w:t>+</w:t>
      </w:r>
      <w:r>
        <w:rPr>
          <w:i/>
          <w:spacing w:val="26"/>
          <w:position w:val="2"/>
          <w:sz w:val="24"/>
        </w:rPr>
        <w:t> </w:t>
      </w:r>
      <w:r>
        <w:rPr>
          <w:i/>
          <w:sz w:val="16"/>
        </w:rPr>
        <w:t>1</w:t>
      </w:r>
      <w:r>
        <w:rPr>
          <w:position w:val="2"/>
          <w:sz w:val="24"/>
        </w:rPr>
        <w:t>δ</w:t>
      </w:r>
      <w:r>
        <w:rPr>
          <w:i/>
          <w:position w:val="2"/>
          <w:sz w:val="24"/>
        </w:rPr>
        <w:t>log</w:t>
      </w:r>
      <w:r>
        <w:rPr>
          <w:i/>
          <w:spacing w:val="29"/>
          <w:position w:val="2"/>
          <w:sz w:val="24"/>
        </w:rPr>
        <w:t> </w:t>
      </w:r>
      <w:r>
        <w:rPr>
          <w:i/>
          <w:position w:val="2"/>
          <w:sz w:val="24"/>
        </w:rPr>
        <w:t>(DOP)</w:t>
      </w:r>
      <w:r>
        <w:rPr>
          <w:i/>
          <w:sz w:val="16"/>
        </w:rPr>
        <w:t>t-1</w:t>
      </w:r>
      <w:r>
        <w:rPr>
          <w:i/>
          <w:spacing w:val="50"/>
          <w:sz w:val="16"/>
        </w:rPr>
        <w:t> </w:t>
      </w:r>
      <w:r>
        <w:rPr>
          <w:i/>
          <w:position w:val="2"/>
          <w:sz w:val="24"/>
        </w:rPr>
        <w:t>+</w:t>
      </w:r>
      <w:r>
        <w:rPr>
          <w:i/>
          <w:spacing w:val="25"/>
          <w:position w:val="2"/>
          <w:sz w:val="24"/>
        </w:rPr>
        <w:t> </w:t>
      </w:r>
      <w:r>
        <w:rPr>
          <w:i/>
          <w:sz w:val="16"/>
        </w:rPr>
        <w:t>2</w:t>
      </w:r>
      <w:r>
        <w:rPr>
          <w:position w:val="2"/>
          <w:sz w:val="24"/>
        </w:rPr>
        <w:t>δ</w:t>
      </w:r>
      <w:r>
        <w:rPr>
          <w:spacing w:val="26"/>
          <w:position w:val="2"/>
          <w:sz w:val="24"/>
        </w:rPr>
        <w:t> </w:t>
      </w:r>
      <w:r>
        <w:rPr>
          <w:i/>
          <w:position w:val="2"/>
          <w:sz w:val="24"/>
        </w:rPr>
        <w:t>log</w:t>
      </w:r>
      <w:r>
        <w:rPr>
          <w:i/>
          <w:spacing w:val="29"/>
          <w:position w:val="2"/>
          <w:sz w:val="24"/>
        </w:rPr>
        <w:t> </w:t>
      </w:r>
      <w:r>
        <w:rPr>
          <w:i/>
          <w:position w:val="2"/>
          <w:sz w:val="24"/>
        </w:rPr>
        <w:t>(INF)</w:t>
      </w:r>
      <w:r>
        <w:rPr>
          <w:i/>
          <w:sz w:val="16"/>
        </w:rPr>
        <w:t>t-1</w:t>
      </w:r>
      <w:r>
        <w:rPr>
          <w:i/>
          <w:spacing w:val="48"/>
          <w:sz w:val="16"/>
        </w:rPr>
        <w:t> </w:t>
      </w:r>
      <w:r>
        <w:rPr>
          <w:i/>
          <w:position w:val="2"/>
          <w:sz w:val="24"/>
        </w:rPr>
        <w:t>+</w:t>
      </w:r>
      <w:r>
        <w:rPr>
          <w:i/>
          <w:spacing w:val="28"/>
          <w:position w:val="2"/>
          <w:sz w:val="24"/>
        </w:rPr>
        <w:t> </w:t>
      </w:r>
      <w:r>
        <w:rPr>
          <w:i/>
          <w:sz w:val="16"/>
        </w:rPr>
        <w:t>3</w:t>
      </w:r>
      <w:r>
        <w:rPr>
          <w:position w:val="2"/>
          <w:sz w:val="24"/>
        </w:rPr>
        <w:t>δ</w:t>
      </w:r>
      <w:r>
        <w:rPr>
          <w:i/>
          <w:position w:val="2"/>
          <w:sz w:val="24"/>
        </w:rPr>
        <w:t>log(GCF)</w:t>
      </w:r>
      <w:r>
        <w:rPr>
          <w:i/>
          <w:sz w:val="16"/>
        </w:rPr>
        <w:t>t-1</w:t>
      </w:r>
      <w:r>
        <w:rPr>
          <w:i/>
          <w:spacing w:val="50"/>
          <w:sz w:val="16"/>
        </w:rPr>
        <w:t> </w:t>
      </w:r>
      <w:r>
        <w:rPr>
          <w:i/>
          <w:position w:val="2"/>
          <w:sz w:val="24"/>
        </w:rPr>
        <w:t>+</w:t>
      </w:r>
      <w:r>
        <w:rPr>
          <w:i/>
          <w:spacing w:val="25"/>
          <w:position w:val="2"/>
          <w:sz w:val="24"/>
        </w:rPr>
        <w:t> </w:t>
      </w:r>
      <w:r>
        <w:rPr>
          <w:i/>
          <w:sz w:val="16"/>
        </w:rPr>
        <w:t>4</w:t>
      </w:r>
      <w:r>
        <w:rPr>
          <w:position w:val="2"/>
          <w:sz w:val="24"/>
        </w:rPr>
        <w:t>δ</w:t>
      </w:r>
      <w:r>
        <w:rPr>
          <w:i/>
          <w:position w:val="2"/>
          <w:sz w:val="24"/>
        </w:rPr>
        <w:t>log(EXDEBT)</w:t>
      </w:r>
      <w:r>
        <w:rPr>
          <w:i/>
          <w:sz w:val="16"/>
        </w:rPr>
        <w:t>t-1</w:t>
      </w:r>
      <w:r>
        <w:rPr>
          <w:i/>
          <w:position w:val="2"/>
          <w:sz w:val="24"/>
        </w:rPr>
        <w:t>+</w:t>
      </w:r>
      <w:r>
        <w:rPr>
          <w:i/>
          <w:sz w:val="16"/>
        </w:rPr>
        <w:t>5</w:t>
      </w:r>
      <w:r>
        <w:rPr>
          <w:position w:val="2"/>
          <w:sz w:val="24"/>
        </w:rPr>
        <w:t>δ</w:t>
      </w:r>
      <w:r>
        <w:rPr>
          <w:spacing w:val="27"/>
          <w:position w:val="2"/>
          <w:sz w:val="24"/>
        </w:rPr>
        <w:t> </w:t>
      </w:r>
      <w:r>
        <w:rPr>
          <w:i/>
          <w:position w:val="2"/>
          <w:sz w:val="24"/>
        </w:rPr>
        <w:t>log(DR)</w:t>
      </w:r>
      <w:r>
        <w:rPr>
          <w:i/>
          <w:sz w:val="16"/>
        </w:rPr>
        <w:t>t-</w:t>
      </w:r>
      <w:r>
        <w:rPr>
          <w:i/>
          <w:spacing w:val="-10"/>
          <w:sz w:val="16"/>
        </w:rPr>
        <w:t>1</w:t>
      </w:r>
    </w:p>
    <w:p>
      <w:pPr>
        <w:pStyle w:val="BodyText"/>
        <w:spacing w:before="36"/>
        <w:rPr>
          <w:i/>
        </w:rPr>
      </w:pPr>
    </w:p>
    <w:p>
      <w:pPr>
        <w:tabs>
          <w:tab w:pos="8825" w:val="left" w:leader="dot"/>
        </w:tabs>
        <w:spacing w:before="1"/>
        <w:ind w:left="711" w:right="0" w:firstLine="0"/>
        <w:jc w:val="left"/>
        <w:rPr>
          <w:i/>
          <w:sz w:val="24"/>
        </w:rPr>
      </w:pPr>
      <w:r>
        <w:rPr>
          <w:i/>
          <w:sz w:val="24"/>
        </w:rPr>
        <w:t>+</w:t>
      </w:r>
      <w:r>
        <w:rPr>
          <w:i/>
          <w:sz w:val="24"/>
          <w:vertAlign w:val="subscript"/>
        </w:rPr>
        <w:t>6</w:t>
      </w:r>
      <w:r>
        <w:rPr>
          <w:sz w:val="24"/>
          <w:vertAlign w:val="baseline"/>
        </w:rPr>
        <w:t>δ</w:t>
      </w:r>
      <w:r>
        <w:rPr>
          <w:i/>
          <w:sz w:val="24"/>
          <w:vertAlign w:val="baseline"/>
        </w:rPr>
        <w:t>log(PRIVCR)</w:t>
      </w:r>
      <w:r>
        <w:rPr>
          <w:i/>
          <w:sz w:val="24"/>
          <w:vertAlign w:val="subscript"/>
        </w:rPr>
        <w:t>t-1</w:t>
      </w:r>
      <w:r>
        <w:rPr>
          <w:i/>
          <w:spacing w:val="-3"/>
          <w:sz w:val="24"/>
          <w:vertAlign w:val="baseline"/>
        </w:rPr>
        <w:t> </w:t>
      </w:r>
      <w:r>
        <w:rPr>
          <w:i/>
          <w:sz w:val="24"/>
          <w:vertAlign w:val="baseline"/>
        </w:rPr>
        <w:t>+</w:t>
      </w:r>
      <w:r>
        <w:rPr>
          <w:i/>
          <w:sz w:val="24"/>
          <w:vertAlign w:val="subscript"/>
        </w:rPr>
        <w:t>7</w:t>
      </w:r>
      <w:r>
        <w:rPr>
          <w:sz w:val="24"/>
          <w:vertAlign w:val="baseline"/>
        </w:rPr>
        <w:t>δ</w:t>
      </w:r>
      <w:r>
        <w:rPr>
          <w:i/>
          <w:sz w:val="24"/>
          <w:vertAlign w:val="baseline"/>
        </w:rPr>
        <w:t>log(USIRD)</w:t>
      </w:r>
      <w:r>
        <w:rPr>
          <w:i/>
          <w:sz w:val="24"/>
          <w:vertAlign w:val="subscript"/>
        </w:rPr>
        <w:t>t-1</w:t>
      </w:r>
      <w:r>
        <w:rPr>
          <w:i/>
          <w:sz w:val="24"/>
          <w:vertAlign w:val="baseline"/>
        </w:rPr>
        <w:t>+</w:t>
      </w:r>
      <w:r>
        <w:rPr>
          <w:i/>
          <w:spacing w:val="-4"/>
          <w:sz w:val="24"/>
          <w:vertAlign w:val="baseline"/>
        </w:rPr>
        <w:t> </w:t>
      </w:r>
      <w:r>
        <w:rPr>
          <w:i/>
          <w:sz w:val="24"/>
          <w:vertAlign w:val="subscript"/>
        </w:rPr>
        <w:t>8</w:t>
      </w:r>
      <w:r>
        <w:rPr>
          <w:sz w:val="24"/>
          <w:vertAlign w:val="baseline"/>
        </w:rPr>
        <w:t>δ</w:t>
      </w:r>
      <w:r>
        <w:rPr>
          <w:i/>
          <w:sz w:val="24"/>
          <w:vertAlign w:val="baseline"/>
        </w:rPr>
        <w:t>log(GOCE)</w:t>
      </w:r>
      <w:r>
        <w:rPr>
          <w:i/>
          <w:sz w:val="24"/>
          <w:vertAlign w:val="subscript"/>
        </w:rPr>
        <w:t>t-1</w:t>
      </w:r>
      <w:r>
        <w:rPr>
          <w:i/>
          <w:spacing w:val="-2"/>
          <w:sz w:val="24"/>
          <w:vertAlign w:val="baseline"/>
        </w:rPr>
        <w:t> </w:t>
      </w:r>
      <w:r>
        <w:rPr>
          <w:i/>
          <w:sz w:val="24"/>
          <w:vertAlign w:val="baseline"/>
        </w:rPr>
        <w:t>+∑</w:t>
      </w:r>
      <w:r>
        <w:rPr>
          <w:i/>
          <w:sz w:val="24"/>
          <w:vertAlign w:val="subscript"/>
        </w:rPr>
        <w:t>t</w:t>
      </w:r>
      <w:r>
        <w:rPr>
          <w:i/>
          <w:spacing w:val="19"/>
          <w:sz w:val="24"/>
          <w:vertAlign w:val="baseline"/>
        </w:rPr>
        <w:t> </w:t>
      </w:r>
      <w:r>
        <w:rPr>
          <w:i/>
          <w:sz w:val="24"/>
          <w:vertAlign w:val="subscript"/>
        </w:rPr>
        <w:t>8</w:t>
      </w:r>
      <w:r>
        <w:rPr>
          <w:i/>
          <w:spacing w:val="-1"/>
          <w:sz w:val="24"/>
          <w:vertAlign w:val="baseline"/>
        </w:rPr>
        <w:t> </w:t>
      </w:r>
      <w:r>
        <w:rPr>
          <w:sz w:val="24"/>
          <w:vertAlign w:val="baseline"/>
        </w:rPr>
        <w:t>δ</w:t>
      </w:r>
      <w:r>
        <w:rPr>
          <w:i/>
          <w:sz w:val="24"/>
          <w:vertAlign w:val="baseline"/>
        </w:rPr>
        <w:t>log(GOCE)</w:t>
      </w:r>
      <w:r>
        <w:rPr>
          <w:i/>
          <w:sz w:val="24"/>
          <w:vertAlign w:val="subscript"/>
        </w:rPr>
        <w:t>t-1</w:t>
      </w:r>
      <w:r>
        <w:rPr>
          <w:i/>
          <w:spacing w:val="-21"/>
          <w:sz w:val="24"/>
          <w:vertAlign w:val="baseline"/>
        </w:rPr>
        <w:t> </w:t>
      </w:r>
      <w:r>
        <w:rPr>
          <w:sz w:val="24"/>
          <w:vertAlign w:val="subscript"/>
        </w:rPr>
        <w:t>+</w:t>
      </w:r>
      <w:r>
        <w:rPr>
          <w:spacing w:val="19"/>
          <w:sz w:val="24"/>
          <w:vertAlign w:val="baseline"/>
        </w:rPr>
        <w:t> </w:t>
      </w:r>
      <w:r>
        <w:rPr>
          <w:i/>
          <w:spacing w:val="-5"/>
          <w:sz w:val="24"/>
          <w:vertAlign w:val="baseline"/>
        </w:rPr>
        <w:t>∑</w:t>
      </w:r>
      <w:r>
        <w:rPr>
          <w:i/>
          <w:spacing w:val="-5"/>
          <w:sz w:val="24"/>
          <w:vertAlign w:val="subscript"/>
        </w:rPr>
        <w:t>t</w:t>
      </w:r>
      <w:r>
        <w:rPr>
          <w:i/>
          <w:position w:val="-1"/>
          <w:sz w:val="16"/>
          <w:vertAlign w:val="baseline"/>
        </w:rPr>
        <w:tab/>
      </w:r>
      <w:r>
        <w:rPr>
          <w:i/>
          <w:spacing w:val="-4"/>
          <w:position w:val="-1"/>
          <w:sz w:val="24"/>
          <w:vertAlign w:val="subscript"/>
        </w:rPr>
        <w:t>3.38</w:t>
      </w:r>
    </w:p>
    <w:p>
      <w:pPr>
        <w:pStyle w:val="BodyText"/>
        <w:spacing w:before="53"/>
        <w:rPr>
          <w:i/>
        </w:rPr>
      </w:pPr>
    </w:p>
    <w:p>
      <w:pPr>
        <w:pStyle w:val="BodyText"/>
        <w:ind w:left="711"/>
      </w:pPr>
      <w:r>
        <w:rPr>
          <w:spacing w:val="-2"/>
        </w:rPr>
        <w:t>Where:</w:t>
      </w:r>
    </w:p>
    <w:p>
      <w:pPr>
        <w:pStyle w:val="BodyText"/>
      </w:pPr>
    </w:p>
    <w:p>
      <w:pPr>
        <w:pStyle w:val="BodyText"/>
        <w:ind w:left="1191"/>
      </w:pPr>
      <w:r>
        <w:rPr/>
        <w:t>t-1 = Meaning</w:t>
      </w:r>
      <w:r>
        <w:rPr>
          <w:spacing w:val="-3"/>
        </w:rPr>
        <w:t> </w:t>
      </w:r>
      <w:r>
        <w:rPr/>
        <w:t>they</w:t>
      </w:r>
      <w:r>
        <w:rPr>
          <w:spacing w:val="-2"/>
        </w:rPr>
        <w:t> </w:t>
      </w:r>
      <w:r>
        <w:rPr/>
        <w:t>were</w:t>
      </w:r>
      <w:r>
        <w:rPr>
          <w:spacing w:val="-1"/>
        </w:rPr>
        <w:t> </w:t>
      </w:r>
      <w:r>
        <w:rPr/>
        <w:t>lagged by</w:t>
      </w:r>
      <w:r>
        <w:rPr>
          <w:spacing w:val="-4"/>
        </w:rPr>
        <w:t> </w:t>
      </w:r>
      <w:r>
        <w:rPr/>
        <w:t>one </w:t>
      </w:r>
      <w:r>
        <w:rPr>
          <w:spacing w:val="-2"/>
        </w:rPr>
        <w:t>period</w:t>
      </w:r>
    </w:p>
    <w:p>
      <w:pPr>
        <w:pStyle w:val="BodyText"/>
        <w:spacing w:before="275"/>
        <w:ind w:left="1491"/>
      </w:pPr>
      <w:r>
        <w:rPr>
          <w:sz w:val="16"/>
        </w:rPr>
        <w:t>t </w:t>
      </w:r>
      <w:r>
        <w:rPr>
          <w:position w:val="2"/>
        </w:rPr>
        <w:t>=</w:t>
      </w:r>
      <w:r>
        <w:rPr>
          <w:spacing w:val="-2"/>
          <w:position w:val="2"/>
        </w:rPr>
        <w:t> </w:t>
      </w:r>
      <w:r>
        <w:rPr>
          <w:position w:val="2"/>
        </w:rPr>
        <w:t>Error</w:t>
      </w:r>
      <w:r>
        <w:rPr>
          <w:spacing w:val="-3"/>
          <w:position w:val="2"/>
        </w:rPr>
        <w:t> </w:t>
      </w:r>
      <w:r>
        <w:rPr>
          <w:position w:val="2"/>
        </w:rPr>
        <w:t>Correction </w:t>
      </w:r>
      <w:r>
        <w:rPr>
          <w:spacing w:val="-2"/>
          <w:position w:val="2"/>
        </w:rPr>
        <w:t>Mechanism</w:t>
      </w:r>
    </w:p>
    <w:p>
      <w:pPr>
        <w:pStyle w:val="BodyText"/>
        <w:spacing w:before="274"/>
        <w:ind w:left="1431"/>
      </w:pPr>
      <w:r>
        <w:rPr>
          <w:position w:val="2"/>
        </w:rPr>
        <w:t>∑</w:t>
      </w:r>
      <w:r>
        <w:rPr>
          <w:sz w:val="16"/>
        </w:rPr>
        <w:t>t</w:t>
      </w:r>
      <w:r>
        <w:rPr>
          <w:spacing w:val="20"/>
          <w:sz w:val="16"/>
        </w:rPr>
        <w:t> </w:t>
      </w:r>
      <w:r>
        <w:rPr>
          <w:position w:val="2"/>
        </w:rPr>
        <w:t>=</w:t>
      </w:r>
      <w:r>
        <w:rPr>
          <w:spacing w:val="-1"/>
          <w:position w:val="2"/>
        </w:rPr>
        <w:t> </w:t>
      </w:r>
      <w:r>
        <w:rPr>
          <w:position w:val="2"/>
        </w:rPr>
        <w:t>White</w:t>
      </w:r>
      <w:r>
        <w:rPr>
          <w:spacing w:val="-1"/>
          <w:position w:val="2"/>
        </w:rPr>
        <w:t> </w:t>
      </w:r>
      <w:r>
        <w:rPr>
          <w:position w:val="2"/>
        </w:rPr>
        <w:t>Noise</w:t>
      </w:r>
      <w:r>
        <w:rPr>
          <w:spacing w:val="-1"/>
          <w:position w:val="2"/>
        </w:rPr>
        <w:t> </w:t>
      </w:r>
      <w:r>
        <w:rPr>
          <w:spacing w:val="-2"/>
          <w:position w:val="2"/>
        </w:rPr>
        <w:t>Residual</w:t>
      </w:r>
    </w:p>
    <w:p>
      <w:pPr>
        <w:pStyle w:val="BodyText"/>
      </w:pPr>
    </w:p>
    <w:p>
      <w:pPr>
        <w:pStyle w:val="BodyText"/>
      </w:pPr>
    </w:p>
    <w:p>
      <w:pPr>
        <w:pStyle w:val="BodyText"/>
      </w:pPr>
    </w:p>
    <w:p>
      <w:pPr>
        <w:pStyle w:val="BodyText"/>
        <w:spacing w:before="274"/>
      </w:pPr>
    </w:p>
    <w:p>
      <w:pPr>
        <w:pStyle w:val="Heading6"/>
        <w:jc w:val="left"/>
      </w:pPr>
      <w:r>
        <w:rPr/>
        <w:t>MODEL</w:t>
      </w:r>
      <w:r>
        <w:rPr>
          <w:spacing w:val="-1"/>
        </w:rPr>
        <w:t> </w:t>
      </w:r>
      <w:r>
        <w:rPr/>
        <w:t>IB</w:t>
      </w:r>
      <w:r>
        <w:rPr>
          <w:spacing w:val="-1"/>
        </w:rPr>
        <w:t> </w:t>
      </w:r>
      <w:r>
        <w:rPr/>
        <w:t>(Morgan</w:t>
      </w:r>
      <w:r>
        <w:rPr>
          <w:spacing w:val="-2"/>
        </w:rPr>
        <w:t> </w:t>
      </w:r>
      <w:r>
        <w:rPr/>
        <w:t>Trust</w:t>
      </w:r>
      <w:r>
        <w:rPr>
          <w:spacing w:val="-1"/>
        </w:rPr>
        <w:t> </w:t>
      </w:r>
      <w:r>
        <w:rPr/>
        <w:t>(1986)</w:t>
      </w:r>
      <w:r>
        <w:rPr>
          <w:spacing w:val="-2"/>
        </w:rPr>
        <w:t> Approach)</w:t>
      </w:r>
    </w:p>
    <w:p>
      <w:pPr>
        <w:tabs>
          <w:tab w:pos="7634" w:val="left" w:leader="dot"/>
        </w:tabs>
        <w:spacing w:line="477" w:lineRule="auto" w:before="276"/>
        <w:ind w:left="711" w:right="472" w:firstLine="0"/>
        <w:jc w:val="left"/>
        <w:rPr>
          <w:i/>
          <w:sz w:val="24"/>
        </w:rPr>
      </w:pPr>
      <w:r>
        <w:rPr>
          <w:i/>
          <w:position w:val="2"/>
          <w:sz w:val="24"/>
        </w:rPr>
        <w:t>₰log</w:t>
      </w:r>
      <w:r>
        <w:rPr>
          <w:position w:val="2"/>
          <w:sz w:val="24"/>
        </w:rPr>
        <w:t>δ</w:t>
      </w:r>
      <w:r>
        <w:rPr>
          <w:spacing w:val="-3"/>
          <w:position w:val="2"/>
          <w:sz w:val="24"/>
        </w:rPr>
        <w:t> </w:t>
      </w:r>
      <w:r>
        <w:rPr>
          <w:i/>
          <w:position w:val="2"/>
          <w:sz w:val="24"/>
        </w:rPr>
        <w:t>(KFM)=</w:t>
      </w:r>
      <w:r>
        <w:rPr>
          <w:i/>
          <w:spacing w:val="40"/>
          <w:position w:val="2"/>
          <w:sz w:val="24"/>
        </w:rPr>
        <w:t> </w:t>
      </w:r>
      <w:r>
        <w:rPr>
          <w:i/>
          <w:position w:val="2"/>
          <w:sz w:val="24"/>
        </w:rPr>
        <w:t>λ</w:t>
      </w:r>
      <w:r>
        <w:rPr>
          <w:i/>
          <w:sz w:val="16"/>
        </w:rPr>
        <w:t>0</w:t>
      </w:r>
      <w:r>
        <w:rPr>
          <w:i/>
          <w:position w:val="2"/>
          <w:sz w:val="24"/>
        </w:rPr>
        <w:t>+</w:t>
      </w:r>
      <w:r>
        <w:rPr>
          <w:i/>
          <w:spacing w:val="40"/>
          <w:position w:val="2"/>
          <w:sz w:val="24"/>
        </w:rPr>
        <w:t> </w:t>
      </w:r>
      <w:r>
        <w:rPr>
          <w:i/>
          <w:sz w:val="16"/>
        </w:rPr>
        <w:t>1</w:t>
      </w:r>
      <w:r>
        <w:rPr>
          <w:i/>
          <w:spacing w:val="19"/>
          <w:sz w:val="16"/>
        </w:rPr>
        <w:t> </w:t>
      </w:r>
      <w:r>
        <w:rPr>
          <w:i/>
          <w:position w:val="2"/>
          <w:sz w:val="24"/>
        </w:rPr>
        <w:t>log</w:t>
      </w:r>
      <w:r>
        <w:rPr>
          <w:i/>
          <w:spacing w:val="-2"/>
          <w:position w:val="2"/>
          <w:sz w:val="24"/>
        </w:rPr>
        <w:t> </w:t>
      </w:r>
      <w:r>
        <w:rPr>
          <w:position w:val="2"/>
          <w:sz w:val="24"/>
        </w:rPr>
        <w:t>δ</w:t>
      </w:r>
      <w:r>
        <w:rPr>
          <w:i/>
          <w:position w:val="2"/>
          <w:sz w:val="24"/>
        </w:rPr>
        <w:t>(DOP)</w:t>
      </w:r>
      <w:r>
        <w:rPr>
          <w:i/>
          <w:sz w:val="16"/>
        </w:rPr>
        <w:t>t-1</w:t>
      </w:r>
      <w:r>
        <w:rPr>
          <w:i/>
          <w:spacing w:val="19"/>
          <w:sz w:val="16"/>
        </w:rPr>
        <w:t> </w:t>
      </w:r>
      <w:r>
        <w:rPr>
          <w:i/>
          <w:position w:val="2"/>
          <w:sz w:val="24"/>
        </w:rPr>
        <w:t>+</w:t>
      </w:r>
      <w:r>
        <w:rPr>
          <w:i/>
          <w:spacing w:val="40"/>
          <w:position w:val="2"/>
          <w:sz w:val="24"/>
        </w:rPr>
        <w:t> </w:t>
      </w:r>
      <w:r>
        <w:rPr>
          <w:i/>
          <w:sz w:val="16"/>
        </w:rPr>
        <w:t>2</w:t>
      </w:r>
      <w:r>
        <w:rPr>
          <w:position w:val="2"/>
          <w:sz w:val="24"/>
        </w:rPr>
        <w:t>δ</w:t>
      </w:r>
      <w:r>
        <w:rPr>
          <w:spacing w:val="-3"/>
          <w:position w:val="2"/>
          <w:sz w:val="24"/>
        </w:rPr>
        <w:t> </w:t>
      </w:r>
      <w:r>
        <w:rPr>
          <w:i/>
          <w:position w:val="2"/>
          <w:sz w:val="24"/>
        </w:rPr>
        <w:t>log</w:t>
      </w:r>
      <w:r>
        <w:rPr>
          <w:i/>
          <w:spacing w:val="-2"/>
          <w:position w:val="2"/>
          <w:sz w:val="24"/>
        </w:rPr>
        <w:t> </w:t>
      </w:r>
      <w:r>
        <w:rPr>
          <w:i/>
          <w:position w:val="2"/>
          <w:sz w:val="24"/>
        </w:rPr>
        <w:t>(INF)</w:t>
      </w:r>
      <w:r>
        <w:rPr>
          <w:i/>
          <w:sz w:val="16"/>
        </w:rPr>
        <w:t>t-1</w:t>
      </w:r>
      <w:r>
        <w:rPr>
          <w:i/>
          <w:spacing w:val="19"/>
          <w:sz w:val="16"/>
        </w:rPr>
        <w:t> </w:t>
      </w:r>
      <w:r>
        <w:rPr>
          <w:i/>
          <w:position w:val="2"/>
          <w:sz w:val="24"/>
        </w:rPr>
        <w:t>+</w:t>
      </w:r>
      <w:r>
        <w:rPr>
          <w:i/>
          <w:spacing w:val="40"/>
          <w:position w:val="2"/>
          <w:sz w:val="24"/>
        </w:rPr>
        <w:t> </w:t>
      </w:r>
      <w:r>
        <w:rPr>
          <w:i/>
          <w:sz w:val="16"/>
        </w:rPr>
        <w:t>3</w:t>
      </w:r>
      <w:r>
        <w:rPr>
          <w:position w:val="2"/>
          <w:sz w:val="24"/>
        </w:rPr>
        <w:t>δ</w:t>
      </w:r>
      <w:r>
        <w:rPr>
          <w:i/>
          <w:position w:val="2"/>
          <w:sz w:val="24"/>
        </w:rPr>
        <w:t>log(GCF)</w:t>
      </w:r>
      <w:r>
        <w:rPr>
          <w:i/>
          <w:sz w:val="16"/>
        </w:rPr>
        <w:t>t-1</w:t>
      </w:r>
      <w:r>
        <w:rPr>
          <w:i/>
          <w:spacing w:val="19"/>
          <w:sz w:val="16"/>
        </w:rPr>
        <w:t> </w:t>
      </w:r>
      <w:r>
        <w:rPr>
          <w:i/>
          <w:position w:val="2"/>
          <w:sz w:val="24"/>
        </w:rPr>
        <w:t>+</w:t>
      </w:r>
      <w:r>
        <w:rPr>
          <w:i/>
          <w:spacing w:val="80"/>
          <w:position w:val="2"/>
          <w:sz w:val="24"/>
        </w:rPr>
        <w:t> </w:t>
      </w:r>
      <w:r>
        <w:rPr>
          <w:i/>
          <w:sz w:val="16"/>
        </w:rPr>
        <w:t>4</w:t>
      </w:r>
      <w:r>
        <w:rPr>
          <w:position w:val="2"/>
          <w:sz w:val="24"/>
        </w:rPr>
        <w:t>δ</w:t>
      </w:r>
      <w:r>
        <w:rPr>
          <w:i/>
          <w:position w:val="2"/>
          <w:sz w:val="24"/>
        </w:rPr>
        <w:t>log(EXDEBT)</w:t>
      </w:r>
      <w:r>
        <w:rPr>
          <w:i/>
          <w:sz w:val="16"/>
        </w:rPr>
        <w:t>t-1</w:t>
      </w:r>
      <w:r>
        <w:rPr>
          <w:i/>
          <w:spacing w:val="80"/>
          <w:sz w:val="16"/>
        </w:rPr>
        <w:t> </w:t>
      </w:r>
      <w:r>
        <w:rPr>
          <w:i/>
          <w:position w:val="2"/>
          <w:sz w:val="24"/>
        </w:rPr>
        <w:t>+</w:t>
      </w:r>
      <w:r>
        <w:rPr>
          <w:i/>
          <w:spacing w:val="70"/>
          <w:position w:val="2"/>
          <w:sz w:val="24"/>
        </w:rPr>
        <w:t> </w:t>
      </w:r>
      <w:r>
        <w:rPr>
          <w:i/>
          <w:sz w:val="16"/>
        </w:rPr>
        <w:t>5</w:t>
      </w:r>
      <w:r>
        <w:rPr>
          <w:position w:val="2"/>
          <w:sz w:val="24"/>
        </w:rPr>
        <w:t>δ</w:t>
      </w:r>
      <w:r>
        <w:rPr>
          <w:i/>
          <w:position w:val="2"/>
          <w:sz w:val="24"/>
        </w:rPr>
        <w:t>log(DR)</w:t>
      </w:r>
      <w:r>
        <w:rPr>
          <w:i/>
          <w:sz w:val="16"/>
        </w:rPr>
        <w:t>t-</w:t>
      </w:r>
      <w:r>
        <w:rPr>
          <w:i/>
          <w:spacing w:val="40"/>
          <w:sz w:val="16"/>
        </w:rPr>
        <w:t> </w:t>
      </w:r>
      <w:r>
        <w:rPr>
          <w:i/>
          <w:spacing w:val="-2"/>
          <w:sz w:val="16"/>
        </w:rPr>
        <w:t>1</w:t>
      </w:r>
      <w:r>
        <w:rPr>
          <w:i/>
          <w:spacing w:val="-2"/>
          <w:position w:val="2"/>
          <w:sz w:val="24"/>
        </w:rPr>
        <w:t>+</w:t>
      </w:r>
      <w:r>
        <w:rPr>
          <w:i/>
          <w:spacing w:val="-2"/>
          <w:sz w:val="16"/>
        </w:rPr>
        <w:t>6</w:t>
      </w:r>
      <w:r>
        <w:rPr>
          <w:spacing w:val="-2"/>
          <w:position w:val="2"/>
          <w:sz w:val="24"/>
        </w:rPr>
        <w:t>δ</w:t>
      </w:r>
      <w:r>
        <w:rPr>
          <w:i/>
          <w:spacing w:val="-2"/>
          <w:position w:val="2"/>
          <w:sz w:val="24"/>
        </w:rPr>
        <w:t>log(PRIVCR)</w:t>
      </w:r>
      <w:r>
        <w:rPr>
          <w:i/>
          <w:spacing w:val="-2"/>
          <w:sz w:val="16"/>
        </w:rPr>
        <w:t>t-1</w:t>
      </w:r>
      <w:r>
        <w:rPr>
          <w:i/>
          <w:spacing w:val="-2"/>
          <w:position w:val="2"/>
          <w:sz w:val="24"/>
        </w:rPr>
        <w:t>+</w:t>
      </w:r>
      <w:r>
        <w:rPr>
          <w:i/>
          <w:spacing w:val="-2"/>
          <w:sz w:val="16"/>
        </w:rPr>
        <w:t>7</w:t>
      </w:r>
      <w:r>
        <w:rPr>
          <w:spacing w:val="-2"/>
          <w:position w:val="2"/>
          <w:sz w:val="24"/>
        </w:rPr>
        <w:t>δ</w:t>
      </w:r>
      <w:r>
        <w:rPr>
          <w:i/>
          <w:spacing w:val="-2"/>
          <w:position w:val="2"/>
          <w:sz w:val="24"/>
        </w:rPr>
        <w:t>log(USIRD)</w:t>
      </w:r>
      <w:r>
        <w:rPr>
          <w:i/>
          <w:spacing w:val="-2"/>
          <w:sz w:val="16"/>
        </w:rPr>
        <w:t>t-1</w:t>
      </w:r>
      <w:r>
        <w:rPr>
          <w:i/>
          <w:spacing w:val="-2"/>
          <w:position w:val="2"/>
          <w:sz w:val="24"/>
        </w:rPr>
        <w:t>+</w:t>
      </w:r>
      <w:r>
        <w:rPr>
          <w:i/>
          <w:spacing w:val="-2"/>
          <w:sz w:val="16"/>
        </w:rPr>
        <w:t>8</w:t>
      </w:r>
      <w:r>
        <w:rPr>
          <w:spacing w:val="-2"/>
          <w:position w:val="2"/>
          <w:sz w:val="24"/>
        </w:rPr>
        <w:t>δ</w:t>
      </w:r>
      <w:r>
        <w:rPr>
          <w:i/>
          <w:spacing w:val="-2"/>
          <w:position w:val="2"/>
          <w:sz w:val="24"/>
        </w:rPr>
        <w:t>log(GOCE)</w:t>
      </w:r>
      <w:r>
        <w:rPr>
          <w:i/>
          <w:spacing w:val="-2"/>
          <w:sz w:val="16"/>
        </w:rPr>
        <w:t>t</w:t>
      </w:r>
      <w:r>
        <w:rPr>
          <w:i/>
          <w:sz w:val="16"/>
        </w:rPr>
        <w:tab/>
      </w:r>
      <w:r>
        <w:rPr>
          <w:i/>
          <w:spacing w:val="-2"/>
          <w:position w:val="2"/>
          <w:sz w:val="24"/>
        </w:rPr>
        <w:t>(3.39)</w:t>
      </w:r>
    </w:p>
    <w:p>
      <w:pPr>
        <w:pStyle w:val="BodyText"/>
        <w:spacing w:before="1"/>
        <w:ind w:left="1431"/>
      </w:pPr>
      <w:r>
        <w:rPr>
          <w:spacing w:val="-2"/>
        </w:rPr>
        <w:t>Where:</w:t>
      </w:r>
    </w:p>
    <w:p>
      <w:pPr>
        <w:pStyle w:val="BodyText"/>
        <w:spacing w:before="276"/>
        <w:ind w:left="1431"/>
      </w:pPr>
      <w:r>
        <w:rPr/>
        <w:t>t-1</w:t>
      </w:r>
      <w:r>
        <w:rPr>
          <w:spacing w:val="-2"/>
        </w:rPr>
        <w:t> </w:t>
      </w:r>
      <w:r>
        <w:rPr/>
        <w:t>=</w:t>
      </w:r>
      <w:r>
        <w:rPr>
          <w:spacing w:val="-1"/>
        </w:rPr>
        <w:t> </w:t>
      </w:r>
      <w:r>
        <w:rPr/>
        <w:t>Meaning</w:t>
      </w:r>
      <w:r>
        <w:rPr>
          <w:spacing w:val="-2"/>
        </w:rPr>
        <w:t> </w:t>
      </w:r>
      <w:r>
        <w:rPr/>
        <w:t>the were</w:t>
      </w:r>
      <w:r>
        <w:rPr>
          <w:spacing w:val="-2"/>
        </w:rPr>
        <w:t> </w:t>
      </w:r>
      <w:r>
        <w:rPr/>
        <w:t>lagged</w:t>
      </w:r>
      <w:r>
        <w:rPr>
          <w:spacing w:val="1"/>
        </w:rPr>
        <w:t> </w:t>
      </w:r>
      <w:r>
        <w:rPr/>
        <w:t>by</w:t>
      </w:r>
      <w:r>
        <w:rPr>
          <w:spacing w:val="-5"/>
        </w:rPr>
        <w:t> </w:t>
      </w:r>
      <w:r>
        <w:rPr/>
        <w:t>one </w:t>
      </w:r>
      <w:r>
        <w:rPr>
          <w:spacing w:val="-2"/>
        </w:rPr>
        <w:t>period</w:t>
      </w:r>
    </w:p>
    <w:p>
      <w:pPr>
        <w:pStyle w:val="BodyText"/>
        <w:spacing w:before="275"/>
        <w:ind w:left="1491"/>
      </w:pPr>
      <w:r>
        <w:rPr>
          <w:sz w:val="16"/>
        </w:rPr>
        <w:t>t </w:t>
      </w:r>
      <w:r>
        <w:rPr>
          <w:position w:val="2"/>
        </w:rPr>
        <w:t>=</w:t>
      </w:r>
      <w:r>
        <w:rPr>
          <w:spacing w:val="-2"/>
          <w:position w:val="2"/>
        </w:rPr>
        <w:t> </w:t>
      </w:r>
      <w:r>
        <w:rPr>
          <w:position w:val="2"/>
        </w:rPr>
        <w:t>Error</w:t>
      </w:r>
      <w:r>
        <w:rPr>
          <w:spacing w:val="-3"/>
          <w:position w:val="2"/>
        </w:rPr>
        <w:t> </w:t>
      </w:r>
      <w:r>
        <w:rPr>
          <w:position w:val="2"/>
        </w:rPr>
        <w:t>Correction </w:t>
      </w:r>
      <w:r>
        <w:rPr>
          <w:spacing w:val="-2"/>
          <w:position w:val="2"/>
        </w:rPr>
        <w:t>Mechanism</w:t>
      </w:r>
    </w:p>
    <w:p>
      <w:pPr>
        <w:spacing w:after="0"/>
        <w:sectPr>
          <w:pgSz w:w="11910" w:h="16840"/>
          <w:pgMar w:header="0" w:footer="979" w:top="1360" w:bottom="1240" w:left="280" w:right="0"/>
        </w:sectPr>
      </w:pPr>
    </w:p>
    <w:p>
      <w:pPr>
        <w:pStyle w:val="BodyText"/>
        <w:spacing w:before="60"/>
        <w:ind w:left="1431"/>
      </w:pPr>
      <w:r>
        <w:rPr>
          <w:position w:val="2"/>
        </w:rPr>
        <w:t>∑</w:t>
      </w:r>
      <w:r>
        <w:rPr>
          <w:sz w:val="16"/>
        </w:rPr>
        <w:t>t</w:t>
      </w:r>
      <w:r>
        <w:rPr>
          <w:spacing w:val="20"/>
          <w:sz w:val="16"/>
        </w:rPr>
        <w:t> </w:t>
      </w:r>
      <w:r>
        <w:rPr>
          <w:position w:val="2"/>
        </w:rPr>
        <w:t>=</w:t>
      </w:r>
      <w:r>
        <w:rPr>
          <w:spacing w:val="-1"/>
          <w:position w:val="2"/>
        </w:rPr>
        <w:t> </w:t>
      </w:r>
      <w:r>
        <w:rPr>
          <w:position w:val="2"/>
        </w:rPr>
        <w:t>White</w:t>
      </w:r>
      <w:r>
        <w:rPr>
          <w:spacing w:val="-1"/>
          <w:position w:val="2"/>
        </w:rPr>
        <w:t> </w:t>
      </w:r>
      <w:r>
        <w:rPr>
          <w:position w:val="2"/>
        </w:rPr>
        <w:t>Noise</w:t>
      </w:r>
      <w:r>
        <w:rPr>
          <w:spacing w:val="-1"/>
          <w:position w:val="2"/>
        </w:rPr>
        <w:t> </w:t>
      </w:r>
      <w:r>
        <w:rPr>
          <w:spacing w:val="-2"/>
          <w:position w:val="2"/>
        </w:rPr>
        <w:t>Residual</w:t>
      </w:r>
    </w:p>
    <w:p>
      <w:pPr>
        <w:pStyle w:val="Heading6"/>
        <w:spacing w:before="274"/>
        <w:ind w:left="1251"/>
        <w:jc w:val="left"/>
      </w:pPr>
      <w:r>
        <w:rPr/>
        <w:t>MODEL</w:t>
      </w:r>
      <w:r>
        <w:rPr>
          <w:spacing w:val="-1"/>
        </w:rPr>
        <w:t> </w:t>
      </w:r>
      <w:r>
        <w:rPr/>
        <w:t>2A</w:t>
      </w:r>
      <w:r>
        <w:rPr>
          <w:spacing w:val="-2"/>
        </w:rPr>
        <w:t> </w:t>
      </w:r>
      <w:r>
        <w:rPr/>
        <w:t>(World Bank and</w:t>
      </w:r>
      <w:r>
        <w:rPr>
          <w:spacing w:val="-3"/>
        </w:rPr>
        <w:t> </w:t>
      </w:r>
      <w:r>
        <w:rPr/>
        <w:t>Erbe</w:t>
      </w:r>
      <w:r>
        <w:rPr>
          <w:spacing w:val="-1"/>
        </w:rPr>
        <w:t> </w:t>
      </w:r>
      <w:r>
        <w:rPr>
          <w:spacing w:val="-2"/>
        </w:rPr>
        <w:t>Approach)</w:t>
      </w:r>
    </w:p>
    <w:p>
      <w:pPr>
        <w:spacing w:line="477" w:lineRule="auto" w:before="275"/>
        <w:ind w:left="2151" w:right="1193" w:hanging="1441"/>
        <w:jc w:val="left"/>
        <w:rPr>
          <w:sz w:val="24"/>
        </w:rPr>
      </w:pPr>
      <w:r>
        <w:rPr>
          <w:i/>
          <w:position w:val="2"/>
          <w:sz w:val="24"/>
        </w:rPr>
        <w:t>₰</w:t>
      </w:r>
      <w:r>
        <w:rPr>
          <w:position w:val="2"/>
          <w:sz w:val="24"/>
        </w:rPr>
        <w:t>δ</w:t>
      </w:r>
      <w:r>
        <w:rPr>
          <w:i/>
          <w:position w:val="2"/>
          <w:sz w:val="24"/>
        </w:rPr>
        <w:t>log(GDP)=α</w:t>
      </w:r>
      <w:r>
        <w:rPr>
          <w:i/>
          <w:sz w:val="16"/>
        </w:rPr>
        <w:t>0</w:t>
      </w:r>
      <w:r>
        <w:rPr>
          <w:i/>
          <w:position w:val="2"/>
          <w:sz w:val="24"/>
        </w:rPr>
        <w:t>+</w:t>
      </w:r>
      <w:r>
        <w:rPr>
          <w:i/>
          <w:sz w:val="16"/>
        </w:rPr>
        <w:t>1</w:t>
      </w:r>
      <w:r>
        <w:rPr>
          <w:position w:val="2"/>
          <w:sz w:val="24"/>
        </w:rPr>
        <w:t>δ</w:t>
      </w:r>
      <w:r>
        <w:rPr>
          <w:i/>
          <w:position w:val="2"/>
          <w:sz w:val="24"/>
        </w:rPr>
        <w:t>log(EXDEBT)</w:t>
      </w:r>
      <w:r>
        <w:rPr>
          <w:i/>
          <w:sz w:val="16"/>
        </w:rPr>
        <w:t>t-1</w:t>
      </w:r>
      <w:r>
        <w:rPr>
          <w:i/>
          <w:position w:val="2"/>
          <w:sz w:val="24"/>
        </w:rPr>
        <w:t>+</w:t>
      </w:r>
      <w:r>
        <w:rPr>
          <w:i/>
          <w:sz w:val="16"/>
        </w:rPr>
        <w:t>2</w:t>
      </w:r>
      <w:r>
        <w:rPr>
          <w:position w:val="2"/>
          <w:sz w:val="24"/>
        </w:rPr>
        <w:t>δ</w:t>
      </w:r>
      <w:r>
        <w:rPr>
          <w:i/>
          <w:position w:val="2"/>
          <w:sz w:val="24"/>
        </w:rPr>
        <w:t>log(DFI)</w:t>
      </w:r>
      <w:r>
        <w:rPr>
          <w:i/>
          <w:sz w:val="16"/>
        </w:rPr>
        <w:t>t-1</w:t>
      </w:r>
      <w:r>
        <w:rPr>
          <w:i/>
          <w:position w:val="2"/>
          <w:sz w:val="24"/>
        </w:rPr>
        <w:t>+</w:t>
      </w:r>
      <w:r>
        <w:rPr>
          <w:i/>
          <w:sz w:val="16"/>
        </w:rPr>
        <w:t>3</w:t>
      </w:r>
      <w:r>
        <w:rPr>
          <w:position w:val="2"/>
          <w:sz w:val="24"/>
        </w:rPr>
        <w:t>δ</w:t>
      </w:r>
      <w:r>
        <w:rPr>
          <w:i/>
          <w:position w:val="2"/>
          <w:sz w:val="24"/>
        </w:rPr>
        <w:t>log(CAB)</w:t>
      </w:r>
      <w:r>
        <w:rPr>
          <w:i/>
          <w:sz w:val="16"/>
        </w:rPr>
        <w:t>t-1</w:t>
      </w:r>
      <w:r>
        <w:rPr>
          <w:position w:val="2"/>
          <w:sz w:val="24"/>
        </w:rPr>
        <w:t>δ</w:t>
      </w:r>
      <w:r>
        <w:rPr>
          <w:i/>
          <w:position w:val="2"/>
          <w:sz w:val="24"/>
        </w:rPr>
        <w:t>log(RES)</w:t>
      </w:r>
      <w:r>
        <w:rPr>
          <w:i/>
          <w:sz w:val="16"/>
        </w:rPr>
        <w:t>t-1</w:t>
      </w:r>
      <w:r>
        <w:rPr>
          <w:i/>
          <w:position w:val="2"/>
          <w:sz w:val="24"/>
        </w:rPr>
        <w:t>+</w:t>
      </w:r>
      <w:r>
        <w:rPr>
          <w:i/>
          <w:sz w:val="16"/>
        </w:rPr>
        <w:t>t-1</w:t>
      </w:r>
      <w:r>
        <w:rPr>
          <w:i/>
          <w:position w:val="2"/>
          <w:sz w:val="24"/>
        </w:rPr>
        <w:t>+∑</w:t>
      </w:r>
      <w:r>
        <w:rPr>
          <w:i/>
          <w:sz w:val="16"/>
        </w:rPr>
        <w:t>t</w:t>
      </w:r>
      <w:r>
        <w:rPr>
          <w:i/>
          <w:spacing w:val="14"/>
          <w:sz w:val="16"/>
        </w:rPr>
        <w:t> </w:t>
      </w:r>
      <w:r>
        <w:rPr>
          <w:position w:val="2"/>
          <w:sz w:val="24"/>
        </w:rPr>
        <w:t>.</w:t>
      </w:r>
      <w:r>
        <w:rPr>
          <w:spacing w:val="80"/>
          <w:position w:val="2"/>
          <w:sz w:val="24"/>
        </w:rPr>
        <w:t> </w:t>
      </w:r>
      <w:r>
        <w:rPr>
          <w:position w:val="2"/>
          <w:sz w:val="24"/>
        </w:rPr>
        <w:t>….</w:t>
      </w:r>
      <w:r>
        <w:rPr>
          <w:spacing w:val="-6"/>
          <w:position w:val="2"/>
          <w:sz w:val="24"/>
        </w:rPr>
        <w:t> </w:t>
      </w:r>
      <w:r>
        <w:rPr>
          <w:position w:val="2"/>
          <w:sz w:val="24"/>
        </w:rPr>
        <w:t>(3.40) </w:t>
      </w:r>
      <w:r>
        <w:rPr>
          <w:spacing w:val="-2"/>
          <w:sz w:val="24"/>
        </w:rPr>
        <w:t>Where:</w:t>
      </w:r>
    </w:p>
    <w:p>
      <w:pPr>
        <w:pStyle w:val="BodyText"/>
        <w:spacing w:before="4"/>
        <w:ind w:left="2151"/>
      </w:pPr>
      <w:r>
        <w:rPr/>
        <w:t>t-1</w:t>
      </w:r>
      <w:r>
        <w:rPr>
          <w:spacing w:val="-2"/>
        </w:rPr>
        <w:t> </w:t>
      </w:r>
      <w:r>
        <w:rPr/>
        <w:t>=</w:t>
      </w:r>
      <w:r>
        <w:rPr>
          <w:spacing w:val="-1"/>
        </w:rPr>
        <w:t> </w:t>
      </w:r>
      <w:r>
        <w:rPr/>
        <w:t>Meaning</w:t>
      </w:r>
      <w:r>
        <w:rPr>
          <w:spacing w:val="-2"/>
        </w:rPr>
        <w:t> </w:t>
      </w:r>
      <w:r>
        <w:rPr/>
        <w:t>the were</w:t>
      </w:r>
      <w:r>
        <w:rPr>
          <w:spacing w:val="-2"/>
        </w:rPr>
        <w:t> </w:t>
      </w:r>
      <w:r>
        <w:rPr/>
        <w:t>lagged</w:t>
      </w:r>
      <w:r>
        <w:rPr>
          <w:spacing w:val="1"/>
        </w:rPr>
        <w:t> </w:t>
      </w:r>
      <w:r>
        <w:rPr/>
        <w:t>by</w:t>
      </w:r>
      <w:r>
        <w:rPr>
          <w:spacing w:val="-5"/>
        </w:rPr>
        <w:t> </w:t>
      </w:r>
      <w:r>
        <w:rPr/>
        <w:t>one </w:t>
      </w:r>
      <w:r>
        <w:rPr>
          <w:spacing w:val="-2"/>
        </w:rPr>
        <w:t>period</w:t>
      </w:r>
    </w:p>
    <w:p>
      <w:pPr>
        <w:pStyle w:val="BodyText"/>
        <w:spacing w:before="275"/>
        <w:ind w:left="2211"/>
      </w:pPr>
      <w:r>
        <w:rPr>
          <w:sz w:val="16"/>
        </w:rPr>
        <w:t>t </w:t>
      </w:r>
      <w:r>
        <w:rPr>
          <w:position w:val="2"/>
        </w:rPr>
        <w:t>=</w:t>
      </w:r>
      <w:r>
        <w:rPr>
          <w:spacing w:val="-2"/>
          <w:position w:val="2"/>
        </w:rPr>
        <w:t> </w:t>
      </w:r>
      <w:r>
        <w:rPr>
          <w:position w:val="2"/>
        </w:rPr>
        <w:t>Error</w:t>
      </w:r>
      <w:r>
        <w:rPr>
          <w:spacing w:val="-3"/>
          <w:position w:val="2"/>
        </w:rPr>
        <w:t> </w:t>
      </w:r>
      <w:r>
        <w:rPr>
          <w:position w:val="2"/>
        </w:rPr>
        <w:t>Correction </w:t>
      </w:r>
      <w:r>
        <w:rPr>
          <w:spacing w:val="-2"/>
          <w:position w:val="2"/>
        </w:rPr>
        <w:t>Mechanism</w:t>
      </w:r>
    </w:p>
    <w:p>
      <w:pPr>
        <w:pStyle w:val="BodyText"/>
        <w:spacing w:before="274"/>
        <w:ind w:left="2151"/>
      </w:pPr>
      <w:r>
        <w:rPr>
          <w:position w:val="2"/>
        </w:rPr>
        <w:t>∑</w:t>
      </w:r>
      <w:r>
        <w:rPr>
          <w:sz w:val="16"/>
        </w:rPr>
        <w:t>t</w:t>
      </w:r>
      <w:r>
        <w:rPr>
          <w:spacing w:val="20"/>
          <w:sz w:val="16"/>
        </w:rPr>
        <w:t> </w:t>
      </w:r>
      <w:r>
        <w:rPr>
          <w:position w:val="2"/>
        </w:rPr>
        <w:t>=</w:t>
      </w:r>
      <w:r>
        <w:rPr>
          <w:spacing w:val="-1"/>
          <w:position w:val="2"/>
        </w:rPr>
        <w:t> </w:t>
      </w:r>
      <w:r>
        <w:rPr>
          <w:position w:val="2"/>
        </w:rPr>
        <w:t>White</w:t>
      </w:r>
      <w:r>
        <w:rPr>
          <w:spacing w:val="-1"/>
          <w:position w:val="2"/>
        </w:rPr>
        <w:t> </w:t>
      </w:r>
      <w:r>
        <w:rPr>
          <w:position w:val="2"/>
        </w:rPr>
        <w:t>Noise</w:t>
      </w:r>
      <w:r>
        <w:rPr>
          <w:spacing w:val="-1"/>
          <w:position w:val="2"/>
        </w:rPr>
        <w:t> </w:t>
      </w:r>
      <w:r>
        <w:rPr>
          <w:spacing w:val="-2"/>
          <w:position w:val="2"/>
        </w:rPr>
        <w:t>Residual</w:t>
      </w:r>
    </w:p>
    <w:p>
      <w:pPr>
        <w:pStyle w:val="Heading6"/>
        <w:spacing w:before="274"/>
        <w:jc w:val="left"/>
      </w:pPr>
      <w:r>
        <w:rPr/>
        <w:t>MODEL</w:t>
      </w:r>
      <w:r>
        <w:rPr>
          <w:spacing w:val="-1"/>
        </w:rPr>
        <w:t> </w:t>
      </w:r>
      <w:r>
        <w:rPr/>
        <w:t>2B</w:t>
      </w:r>
      <w:r>
        <w:rPr>
          <w:spacing w:val="-1"/>
        </w:rPr>
        <w:t> </w:t>
      </w:r>
      <w:r>
        <w:rPr/>
        <w:t>(Morgan</w:t>
      </w:r>
      <w:r>
        <w:rPr>
          <w:spacing w:val="-2"/>
        </w:rPr>
        <w:t> </w:t>
      </w:r>
      <w:r>
        <w:rPr/>
        <w:t>Trust</w:t>
      </w:r>
      <w:r>
        <w:rPr>
          <w:spacing w:val="-1"/>
        </w:rPr>
        <w:t> </w:t>
      </w:r>
      <w:r>
        <w:rPr/>
        <w:t>(1986)</w:t>
      </w:r>
      <w:r>
        <w:rPr>
          <w:spacing w:val="-2"/>
        </w:rPr>
        <w:t> Approach)</w:t>
      </w:r>
    </w:p>
    <w:p>
      <w:pPr>
        <w:spacing w:before="276"/>
        <w:ind w:left="711" w:right="0" w:firstLine="0"/>
        <w:jc w:val="left"/>
        <w:rPr>
          <w:i/>
          <w:sz w:val="16"/>
        </w:rPr>
      </w:pPr>
      <w:r>
        <w:rPr>
          <w:spacing w:val="-2"/>
          <w:position w:val="2"/>
          <w:sz w:val="24"/>
        </w:rPr>
        <w:t>₰logδ(GDP)=β</w:t>
      </w:r>
      <w:r>
        <w:rPr>
          <w:spacing w:val="-2"/>
          <w:sz w:val="16"/>
        </w:rPr>
        <w:t>0</w:t>
      </w:r>
      <w:r>
        <w:rPr>
          <w:spacing w:val="-2"/>
          <w:position w:val="2"/>
          <w:sz w:val="24"/>
        </w:rPr>
        <w:t>+</w:t>
      </w:r>
      <w:r>
        <w:rPr>
          <w:spacing w:val="-2"/>
          <w:sz w:val="16"/>
        </w:rPr>
        <w:t>1</w:t>
      </w:r>
      <w:r>
        <w:rPr>
          <w:spacing w:val="-2"/>
          <w:position w:val="2"/>
          <w:sz w:val="24"/>
        </w:rPr>
        <w:t>δlog(EXDEBT)</w:t>
      </w:r>
      <w:r>
        <w:rPr>
          <w:spacing w:val="-2"/>
          <w:sz w:val="16"/>
        </w:rPr>
        <w:t>t-1</w:t>
      </w:r>
      <w:r>
        <w:rPr>
          <w:spacing w:val="-2"/>
          <w:position w:val="2"/>
          <w:sz w:val="24"/>
        </w:rPr>
        <w:t>+</w:t>
      </w:r>
      <w:r>
        <w:rPr>
          <w:spacing w:val="-2"/>
          <w:sz w:val="16"/>
        </w:rPr>
        <w:t>2</w:t>
      </w:r>
      <w:r>
        <w:rPr>
          <w:spacing w:val="-2"/>
          <w:position w:val="2"/>
          <w:sz w:val="24"/>
        </w:rPr>
        <w:t>δlog(DFI)</w:t>
      </w:r>
      <w:r>
        <w:rPr>
          <w:spacing w:val="-2"/>
          <w:sz w:val="16"/>
        </w:rPr>
        <w:t>t-1</w:t>
      </w:r>
      <w:r>
        <w:rPr>
          <w:spacing w:val="-2"/>
          <w:position w:val="2"/>
          <w:sz w:val="24"/>
        </w:rPr>
        <w:t>+</w:t>
      </w:r>
      <w:r>
        <w:rPr>
          <w:spacing w:val="-2"/>
          <w:sz w:val="16"/>
        </w:rPr>
        <w:t>3</w:t>
      </w:r>
      <w:r>
        <w:rPr>
          <w:spacing w:val="-2"/>
          <w:position w:val="2"/>
          <w:sz w:val="24"/>
        </w:rPr>
        <w:t>δlog(CAB)</w:t>
      </w:r>
      <w:r>
        <w:rPr>
          <w:spacing w:val="-2"/>
          <w:sz w:val="16"/>
        </w:rPr>
        <w:t>t-1</w:t>
      </w:r>
      <w:r>
        <w:rPr>
          <w:spacing w:val="-2"/>
          <w:position w:val="2"/>
          <w:sz w:val="24"/>
        </w:rPr>
        <w:t>+</w:t>
      </w:r>
      <w:r>
        <w:rPr>
          <w:i/>
          <w:spacing w:val="-2"/>
          <w:sz w:val="16"/>
        </w:rPr>
        <w:t>4</w:t>
      </w:r>
      <w:r>
        <w:rPr>
          <w:spacing w:val="-2"/>
          <w:position w:val="2"/>
          <w:sz w:val="24"/>
        </w:rPr>
        <w:t>δ</w:t>
      </w:r>
      <w:r>
        <w:rPr>
          <w:i/>
          <w:spacing w:val="-2"/>
          <w:position w:val="2"/>
          <w:sz w:val="24"/>
        </w:rPr>
        <w:t>log(RES)</w:t>
      </w:r>
      <w:r>
        <w:rPr>
          <w:i/>
          <w:spacing w:val="-2"/>
          <w:sz w:val="16"/>
        </w:rPr>
        <w:t>t-1</w:t>
      </w:r>
      <w:r>
        <w:rPr>
          <w:i/>
          <w:spacing w:val="-2"/>
          <w:position w:val="2"/>
          <w:sz w:val="24"/>
        </w:rPr>
        <w:t>+</w:t>
      </w:r>
      <w:r>
        <w:rPr>
          <w:i/>
          <w:spacing w:val="-2"/>
          <w:sz w:val="16"/>
        </w:rPr>
        <w:t>5</w:t>
      </w:r>
      <w:r>
        <w:rPr>
          <w:spacing w:val="-2"/>
          <w:position w:val="2"/>
          <w:sz w:val="24"/>
        </w:rPr>
        <w:t>δ</w:t>
      </w:r>
      <w:r>
        <w:rPr>
          <w:i/>
          <w:spacing w:val="-2"/>
          <w:position w:val="2"/>
          <w:sz w:val="24"/>
        </w:rPr>
        <w:t>log(NEXTAS)</w:t>
      </w:r>
      <w:r>
        <w:rPr>
          <w:i/>
          <w:spacing w:val="-2"/>
          <w:sz w:val="16"/>
        </w:rPr>
        <w:t>t-1</w:t>
      </w:r>
      <w:r>
        <w:rPr>
          <w:i/>
          <w:spacing w:val="-2"/>
          <w:position w:val="2"/>
          <w:sz w:val="24"/>
        </w:rPr>
        <w:t>+</w:t>
      </w:r>
      <w:r>
        <w:rPr>
          <w:i/>
          <w:spacing w:val="-2"/>
          <w:sz w:val="16"/>
        </w:rPr>
        <w:t>t-</w:t>
      </w:r>
      <w:r>
        <w:rPr>
          <w:i/>
          <w:spacing w:val="-4"/>
          <w:sz w:val="16"/>
        </w:rPr>
        <w:t>1</w:t>
      </w:r>
      <w:r>
        <w:rPr>
          <w:i/>
          <w:spacing w:val="-4"/>
          <w:position w:val="2"/>
          <w:sz w:val="24"/>
        </w:rPr>
        <w:t>+∑</w:t>
      </w:r>
      <w:r>
        <w:rPr>
          <w:i/>
          <w:spacing w:val="-4"/>
          <w:sz w:val="16"/>
        </w:rPr>
        <w:t>t</w:t>
      </w:r>
    </w:p>
    <w:p>
      <w:pPr>
        <w:tabs>
          <w:tab w:pos="7972" w:val="left" w:leader="dot"/>
        </w:tabs>
        <w:spacing w:before="274"/>
        <w:ind w:left="711" w:right="0" w:firstLine="0"/>
        <w:jc w:val="left"/>
        <w:rPr>
          <w:sz w:val="24"/>
        </w:rPr>
      </w:pPr>
      <w:r>
        <w:rPr>
          <w:i/>
          <w:spacing w:val="-10"/>
          <w:sz w:val="24"/>
        </w:rPr>
        <w:t>.</w:t>
      </w:r>
      <w:r>
        <w:rPr>
          <w:i/>
          <w:sz w:val="24"/>
        </w:rPr>
        <w:tab/>
      </w:r>
      <w:r>
        <w:rPr>
          <w:spacing w:val="-2"/>
          <w:sz w:val="24"/>
        </w:rPr>
        <w:t>(3.41)</w:t>
      </w:r>
    </w:p>
    <w:p>
      <w:pPr>
        <w:pStyle w:val="BodyText"/>
      </w:pPr>
    </w:p>
    <w:p>
      <w:pPr>
        <w:pStyle w:val="BodyText"/>
        <w:ind w:left="1431"/>
      </w:pPr>
      <w:r>
        <w:rPr>
          <w:spacing w:val="-2"/>
        </w:rPr>
        <w:t>Where:</w:t>
      </w:r>
    </w:p>
    <w:p>
      <w:pPr>
        <w:pStyle w:val="BodyText"/>
      </w:pPr>
    </w:p>
    <w:p>
      <w:pPr>
        <w:pStyle w:val="BodyText"/>
        <w:ind w:left="1431"/>
      </w:pPr>
      <w:r>
        <w:rPr/>
        <w:t>t-1</w:t>
      </w:r>
      <w:r>
        <w:rPr>
          <w:spacing w:val="-2"/>
        </w:rPr>
        <w:t> </w:t>
      </w:r>
      <w:r>
        <w:rPr/>
        <w:t>=</w:t>
      </w:r>
      <w:r>
        <w:rPr>
          <w:spacing w:val="-1"/>
        </w:rPr>
        <w:t> </w:t>
      </w:r>
      <w:r>
        <w:rPr/>
        <w:t>Meaning</w:t>
      </w:r>
      <w:r>
        <w:rPr>
          <w:spacing w:val="-2"/>
        </w:rPr>
        <w:t> </w:t>
      </w:r>
      <w:r>
        <w:rPr/>
        <w:t>the were</w:t>
      </w:r>
      <w:r>
        <w:rPr>
          <w:spacing w:val="-2"/>
        </w:rPr>
        <w:t> </w:t>
      </w:r>
      <w:r>
        <w:rPr/>
        <w:t>lagged</w:t>
      </w:r>
      <w:r>
        <w:rPr>
          <w:spacing w:val="1"/>
        </w:rPr>
        <w:t> </w:t>
      </w:r>
      <w:r>
        <w:rPr/>
        <w:t>by</w:t>
      </w:r>
      <w:r>
        <w:rPr>
          <w:spacing w:val="-5"/>
        </w:rPr>
        <w:t> </w:t>
      </w:r>
      <w:r>
        <w:rPr/>
        <w:t>one </w:t>
      </w:r>
      <w:r>
        <w:rPr>
          <w:spacing w:val="-2"/>
        </w:rPr>
        <w:t>period</w:t>
      </w:r>
    </w:p>
    <w:p>
      <w:pPr>
        <w:pStyle w:val="BodyText"/>
        <w:spacing w:before="275"/>
        <w:ind w:left="1491"/>
      </w:pPr>
      <w:r>
        <w:rPr>
          <w:sz w:val="16"/>
        </w:rPr>
        <w:t>t </w:t>
      </w:r>
      <w:r>
        <w:rPr>
          <w:position w:val="2"/>
        </w:rPr>
        <w:t>=</w:t>
      </w:r>
      <w:r>
        <w:rPr>
          <w:spacing w:val="-2"/>
          <w:position w:val="2"/>
        </w:rPr>
        <w:t> </w:t>
      </w:r>
      <w:r>
        <w:rPr>
          <w:position w:val="2"/>
        </w:rPr>
        <w:t>Error</w:t>
      </w:r>
      <w:r>
        <w:rPr>
          <w:spacing w:val="-3"/>
          <w:position w:val="2"/>
        </w:rPr>
        <w:t> </w:t>
      </w:r>
      <w:r>
        <w:rPr>
          <w:position w:val="2"/>
        </w:rPr>
        <w:t>Correction </w:t>
      </w:r>
      <w:r>
        <w:rPr>
          <w:spacing w:val="-2"/>
          <w:position w:val="2"/>
        </w:rPr>
        <w:t>Mechanism</w:t>
      </w:r>
    </w:p>
    <w:p>
      <w:pPr>
        <w:pStyle w:val="BodyText"/>
        <w:spacing w:before="274"/>
        <w:ind w:left="1431"/>
      </w:pPr>
      <w:r>
        <w:rPr>
          <w:position w:val="2"/>
        </w:rPr>
        <w:t>∑</w:t>
      </w:r>
      <w:r>
        <w:rPr>
          <w:sz w:val="16"/>
        </w:rPr>
        <w:t>t</w:t>
      </w:r>
      <w:r>
        <w:rPr>
          <w:spacing w:val="20"/>
          <w:sz w:val="16"/>
        </w:rPr>
        <w:t> </w:t>
      </w:r>
      <w:r>
        <w:rPr>
          <w:position w:val="2"/>
        </w:rPr>
        <w:t>=</w:t>
      </w:r>
      <w:r>
        <w:rPr>
          <w:spacing w:val="-1"/>
          <w:position w:val="2"/>
        </w:rPr>
        <w:t> </w:t>
      </w:r>
      <w:r>
        <w:rPr>
          <w:position w:val="2"/>
        </w:rPr>
        <w:t>White</w:t>
      </w:r>
      <w:r>
        <w:rPr>
          <w:spacing w:val="-1"/>
          <w:position w:val="2"/>
        </w:rPr>
        <w:t> </w:t>
      </w:r>
      <w:r>
        <w:rPr>
          <w:position w:val="2"/>
        </w:rPr>
        <w:t>Noise</w:t>
      </w:r>
      <w:r>
        <w:rPr>
          <w:spacing w:val="-1"/>
          <w:position w:val="2"/>
        </w:rPr>
        <w:t> </w:t>
      </w:r>
      <w:r>
        <w:rPr>
          <w:spacing w:val="-2"/>
          <w:position w:val="2"/>
        </w:rPr>
        <w:t>Residual</w:t>
      </w:r>
    </w:p>
    <w:p>
      <w:pPr>
        <w:pStyle w:val="Heading6"/>
        <w:spacing w:before="274"/>
        <w:jc w:val="left"/>
      </w:pPr>
      <w:r>
        <w:rPr/>
        <w:t>MODEL</w:t>
      </w:r>
      <w:r>
        <w:rPr>
          <w:spacing w:val="-1"/>
        </w:rPr>
        <w:t> </w:t>
      </w:r>
      <w:r>
        <w:rPr/>
        <w:t>3A</w:t>
      </w:r>
      <w:r>
        <w:rPr>
          <w:spacing w:val="-1"/>
        </w:rPr>
        <w:t> </w:t>
      </w:r>
      <w:r>
        <w:rPr/>
        <w:t>(World</w:t>
      </w:r>
      <w:r>
        <w:rPr>
          <w:spacing w:val="-1"/>
        </w:rPr>
        <w:t> </w:t>
      </w:r>
      <w:r>
        <w:rPr/>
        <w:t>Bank</w:t>
      </w:r>
      <w:r>
        <w:rPr>
          <w:spacing w:val="-1"/>
        </w:rPr>
        <w:t> </w:t>
      </w:r>
      <w:r>
        <w:rPr/>
        <w:t>and</w:t>
      </w:r>
      <w:r>
        <w:rPr>
          <w:spacing w:val="-1"/>
        </w:rPr>
        <w:t> </w:t>
      </w:r>
      <w:r>
        <w:rPr/>
        <w:t>Erbe</w:t>
      </w:r>
      <w:r>
        <w:rPr>
          <w:spacing w:val="-1"/>
        </w:rPr>
        <w:t> </w:t>
      </w:r>
      <w:r>
        <w:rPr>
          <w:spacing w:val="-2"/>
        </w:rPr>
        <w:t>Approach)</w:t>
      </w:r>
    </w:p>
    <w:p>
      <w:pPr>
        <w:spacing w:before="275"/>
        <w:ind w:left="711" w:right="0" w:firstLine="0"/>
        <w:jc w:val="left"/>
        <w:rPr>
          <w:i/>
          <w:sz w:val="16"/>
        </w:rPr>
      </w:pPr>
      <w:r>
        <w:rPr>
          <w:i/>
          <w:position w:val="2"/>
          <w:sz w:val="24"/>
        </w:rPr>
        <w:t>₰</w:t>
      </w:r>
      <w:r>
        <w:rPr>
          <w:i/>
          <w:spacing w:val="-1"/>
          <w:position w:val="2"/>
          <w:sz w:val="24"/>
        </w:rPr>
        <w:t> </w:t>
      </w:r>
      <w:r>
        <w:rPr>
          <w:i/>
          <w:position w:val="2"/>
          <w:sz w:val="24"/>
        </w:rPr>
        <w:t>log (KFW</w:t>
      </w:r>
      <w:r>
        <w:rPr>
          <w:i/>
          <w:sz w:val="16"/>
        </w:rPr>
        <w:t>PRESAP</w:t>
      </w:r>
      <w:r>
        <w:rPr>
          <w:i/>
          <w:position w:val="2"/>
          <w:sz w:val="24"/>
        </w:rPr>
        <w:t>)=</w:t>
      </w:r>
      <w:r>
        <w:rPr>
          <w:i/>
          <w:spacing w:val="-1"/>
          <w:position w:val="2"/>
          <w:sz w:val="24"/>
        </w:rPr>
        <w:t> </w:t>
      </w:r>
      <w:r>
        <w:rPr>
          <w:i/>
          <w:position w:val="2"/>
          <w:sz w:val="24"/>
        </w:rPr>
        <w:t>∞</w:t>
      </w:r>
      <w:r>
        <w:rPr>
          <w:i/>
          <w:sz w:val="16"/>
        </w:rPr>
        <w:t>0</w:t>
      </w:r>
      <w:r>
        <w:rPr>
          <w:i/>
          <w:position w:val="2"/>
          <w:sz w:val="24"/>
        </w:rPr>
        <w:t>+</w:t>
      </w:r>
      <w:r>
        <w:rPr>
          <w:i/>
          <w:sz w:val="16"/>
        </w:rPr>
        <w:t>1</w:t>
      </w:r>
      <w:r>
        <w:rPr>
          <w:i/>
          <w:spacing w:val="21"/>
          <w:sz w:val="16"/>
        </w:rPr>
        <w:t> </w:t>
      </w:r>
      <w:r>
        <w:rPr>
          <w:position w:val="2"/>
          <w:sz w:val="24"/>
        </w:rPr>
        <w:t>δ</w:t>
      </w:r>
      <w:r>
        <w:rPr>
          <w:i/>
          <w:position w:val="2"/>
          <w:sz w:val="24"/>
        </w:rPr>
        <w:t>log (DOP)</w:t>
      </w:r>
      <w:r>
        <w:rPr>
          <w:i/>
          <w:sz w:val="16"/>
        </w:rPr>
        <w:t>t-1</w:t>
      </w:r>
      <w:r>
        <w:rPr>
          <w:i/>
          <w:spacing w:val="21"/>
          <w:sz w:val="16"/>
        </w:rPr>
        <w:t> </w:t>
      </w:r>
      <w:r>
        <w:rPr>
          <w:i/>
          <w:position w:val="2"/>
          <w:sz w:val="24"/>
        </w:rPr>
        <w:t>+</w:t>
      </w:r>
      <w:r>
        <w:rPr>
          <w:i/>
          <w:spacing w:val="-1"/>
          <w:position w:val="2"/>
          <w:sz w:val="24"/>
        </w:rPr>
        <w:t> </w:t>
      </w:r>
      <w:r>
        <w:rPr>
          <w:i/>
          <w:sz w:val="16"/>
        </w:rPr>
        <w:t>2</w:t>
      </w:r>
      <w:r>
        <w:rPr>
          <w:position w:val="2"/>
          <w:sz w:val="24"/>
        </w:rPr>
        <w:t>δ </w:t>
      </w:r>
      <w:r>
        <w:rPr>
          <w:i/>
          <w:position w:val="2"/>
          <w:sz w:val="24"/>
        </w:rPr>
        <w:t>log</w:t>
      </w:r>
      <w:r>
        <w:rPr>
          <w:i/>
          <w:spacing w:val="3"/>
          <w:position w:val="2"/>
          <w:sz w:val="24"/>
        </w:rPr>
        <w:t> </w:t>
      </w:r>
      <w:r>
        <w:rPr>
          <w:i/>
          <w:position w:val="2"/>
          <w:sz w:val="24"/>
        </w:rPr>
        <w:t>(INF)</w:t>
      </w:r>
      <w:r>
        <w:rPr>
          <w:i/>
          <w:sz w:val="16"/>
        </w:rPr>
        <w:t>t-1</w:t>
      </w:r>
      <w:r>
        <w:rPr>
          <w:i/>
          <w:spacing w:val="21"/>
          <w:sz w:val="16"/>
        </w:rPr>
        <w:t> </w:t>
      </w:r>
      <w:r>
        <w:rPr>
          <w:i/>
          <w:position w:val="2"/>
          <w:sz w:val="24"/>
        </w:rPr>
        <w:t>+</w:t>
      </w:r>
      <w:r>
        <w:rPr>
          <w:i/>
          <w:spacing w:val="-1"/>
          <w:position w:val="2"/>
          <w:sz w:val="24"/>
        </w:rPr>
        <w:t> </w:t>
      </w:r>
      <w:r>
        <w:rPr>
          <w:i/>
          <w:sz w:val="16"/>
        </w:rPr>
        <w:t>3</w:t>
      </w:r>
      <w:r>
        <w:rPr>
          <w:position w:val="2"/>
          <w:sz w:val="24"/>
        </w:rPr>
        <w:t>δ</w:t>
      </w:r>
      <w:r>
        <w:rPr>
          <w:i/>
          <w:position w:val="2"/>
          <w:sz w:val="24"/>
        </w:rPr>
        <w:t>log(GCF)</w:t>
      </w:r>
      <w:r>
        <w:rPr>
          <w:i/>
          <w:sz w:val="16"/>
        </w:rPr>
        <w:t>t-1</w:t>
      </w:r>
      <w:r>
        <w:rPr>
          <w:i/>
          <w:spacing w:val="21"/>
          <w:sz w:val="16"/>
        </w:rPr>
        <w:t> </w:t>
      </w:r>
      <w:r>
        <w:rPr>
          <w:i/>
          <w:position w:val="2"/>
          <w:sz w:val="24"/>
        </w:rPr>
        <w:t>+</w:t>
      </w:r>
      <w:r>
        <w:rPr>
          <w:i/>
          <w:spacing w:val="-1"/>
          <w:position w:val="2"/>
          <w:sz w:val="24"/>
        </w:rPr>
        <w:t> </w:t>
      </w:r>
      <w:r>
        <w:rPr>
          <w:i/>
          <w:sz w:val="16"/>
        </w:rPr>
        <w:t>4</w:t>
      </w:r>
      <w:r>
        <w:rPr>
          <w:position w:val="2"/>
          <w:sz w:val="24"/>
        </w:rPr>
        <w:t>δ</w:t>
      </w:r>
      <w:r>
        <w:rPr>
          <w:i/>
          <w:position w:val="2"/>
          <w:sz w:val="24"/>
        </w:rPr>
        <w:t>log(EXDEBT)</w:t>
      </w:r>
      <w:r>
        <w:rPr>
          <w:i/>
          <w:sz w:val="16"/>
        </w:rPr>
        <w:t>t-1</w:t>
      </w:r>
      <w:r>
        <w:rPr>
          <w:i/>
          <w:position w:val="2"/>
          <w:sz w:val="24"/>
        </w:rPr>
        <w:t>+</w:t>
      </w:r>
      <w:r>
        <w:rPr>
          <w:i/>
          <w:sz w:val="16"/>
        </w:rPr>
        <w:t>5</w:t>
      </w:r>
      <w:r>
        <w:rPr>
          <w:position w:val="2"/>
          <w:sz w:val="24"/>
        </w:rPr>
        <w:t>δ </w:t>
      </w:r>
      <w:r>
        <w:rPr>
          <w:i/>
          <w:spacing w:val="-2"/>
          <w:position w:val="2"/>
          <w:sz w:val="24"/>
        </w:rPr>
        <w:t>log(DR)</w:t>
      </w:r>
      <w:r>
        <w:rPr>
          <w:i/>
          <w:spacing w:val="-2"/>
          <w:sz w:val="16"/>
        </w:rPr>
        <w:t>t-</w:t>
      </w:r>
    </w:p>
    <w:p>
      <w:pPr>
        <w:pStyle w:val="BodyText"/>
        <w:spacing w:before="36"/>
        <w:rPr>
          <w:i/>
        </w:rPr>
      </w:pPr>
    </w:p>
    <w:p>
      <w:pPr>
        <w:tabs>
          <w:tab w:pos="8832" w:val="left" w:leader="dot"/>
        </w:tabs>
        <w:spacing w:before="1"/>
        <w:ind w:left="711" w:right="0" w:firstLine="0"/>
        <w:jc w:val="left"/>
        <w:rPr>
          <w:sz w:val="24"/>
        </w:rPr>
      </w:pPr>
      <w:r>
        <w:rPr>
          <w:i/>
          <w:spacing w:val="-2"/>
          <w:sz w:val="24"/>
          <w:vertAlign w:val="subscript"/>
        </w:rPr>
        <w:t>1</w:t>
      </w:r>
      <w:r>
        <w:rPr>
          <w:i/>
          <w:spacing w:val="-2"/>
          <w:sz w:val="24"/>
          <w:vertAlign w:val="baseline"/>
        </w:rPr>
        <w:t>+</w:t>
      </w:r>
      <w:r>
        <w:rPr>
          <w:i/>
          <w:spacing w:val="-2"/>
          <w:sz w:val="24"/>
          <w:vertAlign w:val="subscript"/>
        </w:rPr>
        <w:t>6</w:t>
      </w:r>
      <w:r>
        <w:rPr>
          <w:spacing w:val="-2"/>
          <w:sz w:val="24"/>
          <w:vertAlign w:val="baseline"/>
        </w:rPr>
        <w:t>δ</w:t>
      </w:r>
      <w:r>
        <w:rPr>
          <w:i/>
          <w:spacing w:val="-2"/>
          <w:sz w:val="24"/>
          <w:vertAlign w:val="baseline"/>
        </w:rPr>
        <w:t>log(PRIVCR)</w:t>
      </w:r>
      <w:r>
        <w:rPr>
          <w:i/>
          <w:spacing w:val="-2"/>
          <w:sz w:val="24"/>
          <w:vertAlign w:val="subscript"/>
        </w:rPr>
        <w:t>t-1</w:t>
      </w:r>
      <w:r>
        <w:rPr>
          <w:i/>
          <w:spacing w:val="-2"/>
          <w:sz w:val="24"/>
          <w:vertAlign w:val="baseline"/>
        </w:rPr>
        <w:t>+</w:t>
      </w:r>
      <w:r>
        <w:rPr>
          <w:i/>
          <w:spacing w:val="-2"/>
          <w:sz w:val="24"/>
          <w:vertAlign w:val="subscript"/>
        </w:rPr>
        <w:t>7</w:t>
      </w:r>
      <w:r>
        <w:rPr>
          <w:spacing w:val="-2"/>
          <w:sz w:val="24"/>
          <w:vertAlign w:val="baseline"/>
        </w:rPr>
        <w:t>δ</w:t>
      </w:r>
      <w:r>
        <w:rPr>
          <w:i/>
          <w:spacing w:val="-2"/>
          <w:sz w:val="24"/>
          <w:vertAlign w:val="baseline"/>
        </w:rPr>
        <w:t>log(USIRD)</w:t>
      </w:r>
      <w:r>
        <w:rPr>
          <w:i/>
          <w:spacing w:val="-2"/>
          <w:sz w:val="24"/>
          <w:vertAlign w:val="subscript"/>
        </w:rPr>
        <w:t>t-1</w:t>
      </w:r>
      <w:r>
        <w:rPr>
          <w:i/>
          <w:spacing w:val="-2"/>
          <w:sz w:val="24"/>
          <w:vertAlign w:val="baseline"/>
        </w:rPr>
        <w:t>+</w:t>
      </w:r>
      <w:r>
        <w:rPr>
          <w:i/>
          <w:spacing w:val="-2"/>
          <w:sz w:val="24"/>
          <w:vertAlign w:val="subscript"/>
        </w:rPr>
        <w:t>8</w:t>
      </w:r>
      <w:r>
        <w:rPr>
          <w:spacing w:val="-2"/>
          <w:sz w:val="24"/>
          <w:vertAlign w:val="baseline"/>
        </w:rPr>
        <w:t>δ</w:t>
      </w:r>
      <w:r>
        <w:rPr>
          <w:i/>
          <w:spacing w:val="-2"/>
          <w:sz w:val="24"/>
          <w:vertAlign w:val="baseline"/>
        </w:rPr>
        <w:t>log(GOCE)</w:t>
      </w:r>
      <w:r>
        <w:rPr>
          <w:i/>
          <w:spacing w:val="-2"/>
          <w:sz w:val="24"/>
          <w:vertAlign w:val="subscript"/>
        </w:rPr>
        <w:t>t-1</w:t>
      </w:r>
      <w:r>
        <w:rPr>
          <w:i/>
          <w:spacing w:val="-2"/>
          <w:sz w:val="24"/>
          <w:vertAlign w:val="baseline"/>
        </w:rPr>
        <w:t>+∑</w:t>
      </w:r>
      <w:r>
        <w:rPr>
          <w:i/>
          <w:spacing w:val="-2"/>
          <w:sz w:val="24"/>
          <w:vertAlign w:val="subscript"/>
        </w:rPr>
        <w:t>t8</w:t>
      </w:r>
      <w:r>
        <w:rPr>
          <w:spacing w:val="-2"/>
          <w:sz w:val="24"/>
          <w:vertAlign w:val="baseline"/>
        </w:rPr>
        <w:t>δ</w:t>
      </w:r>
      <w:r>
        <w:rPr>
          <w:i/>
          <w:spacing w:val="-2"/>
          <w:sz w:val="24"/>
          <w:vertAlign w:val="baseline"/>
        </w:rPr>
        <w:t>log(GOCE)</w:t>
      </w:r>
      <w:r>
        <w:rPr>
          <w:i/>
          <w:spacing w:val="-2"/>
          <w:sz w:val="24"/>
          <w:vertAlign w:val="subscript"/>
        </w:rPr>
        <w:t>t-</w:t>
      </w:r>
      <w:r>
        <w:rPr>
          <w:i/>
          <w:spacing w:val="-4"/>
          <w:sz w:val="24"/>
          <w:vertAlign w:val="subscript"/>
        </w:rPr>
        <w:t>1</w:t>
      </w:r>
      <w:r>
        <w:rPr>
          <w:spacing w:val="-4"/>
          <w:sz w:val="24"/>
          <w:vertAlign w:val="subscript"/>
        </w:rPr>
        <w:t>+</w:t>
      </w:r>
      <w:r>
        <w:rPr>
          <w:i/>
          <w:spacing w:val="-4"/>
          <w:sz w:val="24"/>
          <w:vertAlign w:val="baseline"/>
        </w:rPr>
        <w:t>∑</w:t>
      </w:r>
      <w:r>
        <w:rPr>
          <w:i/>
          <w:spacing w:val="-4"/>
          <w:sz w:val="24"/>
          <w:vertAlign w:val="subscript"/>
        </w:rPr>
        <w:t>t</w:t>
      </w:r>
      <w:r>
        <w:rPr>
          <w:i/>
          <w:position w:val="-1"/>
          <w:sz w:val="16"/>
          <w:vertAlign w:val="baseline"/>
        </w:rPr>
        <w:tab/>
      </w:r>
      <w:r>
        <w:rPr>
          <w:spacing w:val="-2"/>
          <w:position w:val="-1"/>
          <w:sz w:val="24"/>
          <w:vertAlign w:val="subscript"/>
        </w:rPr>
        <w:t>(3.42)</w:t>
      </w:r>
    </w:p>
    <w:p>
      <w:pPr>
        <w:pStyle w:val="BodyText"/>
        <w:spacing w:before="52"/>
      </w:pPr>
    </w:p>
    <w:p>
      <w:pPr>
        <w:pStyle w:val="BodyText"/>
        <w:spacing w:before="1"/>
        <w:ind w:left="711"/>
      </w:pPr>
      <w:r>
        <w:rPr>
          <w:spacing w:val="-2"/>
        </w:rPr>
        <w:t>Where:</w:t>
      </w:r>
    </w:p>
    <w:p>
      <w:pPr>
        <w:pStyle w:val="BodyText"/>
        <w:spacing w:before="276"/>
        <w:ind w:right="6102"/>
        <w:jc w:val="right"/>
      </w:pPr>
      <w:r>
        <w:rPr/>
        <w:t>t-1</w:t>
      </w:r>
      <w:r>
        <w:rPr>
          <w:spacing w:val="-2"/>
        </w:rPr>
        <w:t> </w:t>
      </w:r>
      <w:r>
        <w:rPr/>
        <w:t>=</w:t>
      </w:r>
      <w:r>
        <w:rPr>
          <w:spacing w:val="-1"/>
        </w:rPr>
        <w:t> </w:t>
      </w:r>
      <w:r>
        <w:rPr/>
        <w:t>Meaning</w:t>
      </w:r>
      <w:r>
        <w:rPr>
          <w:spacing w:val="-2"/>
        </w:rPr>
        <w:t> </w:t>
      </w:r>
      <w:r>
        <w:rPr/>
        <w:t>the were</w:t>
      </w:r>
      <w:r>
        <w:rPr>
          <w:spacing w:val="-2"/>
        </w:rPr>
        <w:t> </w:t>
      </w:r>
      <w:r>
        <w:rPr/>
        <w:t>lagged</w:t>
      </w:r>
      <w:r>
        <w:rPr>
          <w:spacing w:val="1"/>
        </w:rPr>
        <w:t> </w:t>
      </w:r>
      <w:r>
        <w:rPr/>
        <w:t>by</w:t>
      </w:r>
      <w:r>
        <w:rPr>
          <w:spacing w:val="-5"/>
        </w:rPr>
        <w:t> </w:t>
      </w:r>
      <w:r>
        <w:rPr/>
        <w:t>one </w:t>
      </w:r>
      <w:r>
        <w:rPr>
          <w:spacing w:val="-2"/>
        </w:rPr>
        <w:t>period</w:t>
      </w:r>
    </w:p>
    <w:p>
      <w:pPr>
        <w:pStyle w:val="BodyText"/>
        <w:spacing w:before="275"/>
        <w:ind w:left="1491"/>
      </w:pPr>
      <w:r>
        <w:rPr>
          <w:sz w:val="16"/>
        </w:rPr>
        <w:t>t </w:t>
      </w:r>
      <w:r>
        <w:rPr>
          <w:position w:val="2"/>
        </w:rPr>
        <w:t>=</w:t>
      </w:r>
      <w:r>
        <w:rPr>
          <w:spacing w:val="-2"/>
          <w:position w:val="2"/>
        </w:rPr>
        <w:t> </w:t>
      </w:r>
      <w:r>
        <w:rPr>
          <w:position w:val="2"/>
        </w:rPr>
        <w:t>Error</w:t>
      </w:r>
      <w:r>
        <w:rPr>
          <w:spacing w:val="-3"/>
          <w:position w:val="2"/>
        </w:rPr>
        <w:t> </w:t>
      </w:r>
      <w:r>
        <w:rPr>
          <w:position w:val="2"/>
        </w:rPr>
        <w:t>Correction </w:t>
      </w:r>
      <w:r>
        <w:rPr>
          <w:spacing w:val="-2"/>
          <w:position w:val="2"/>
        </w:rPr>
        <w:t>Mechanism</w:t>
      </w:r>
    </w:p>
    <w:p>
      <w:pPr>
        <w:pStyle w:val="BodyText"/>
        <w:spacing w:before="274"/>
        <w:ind w:left="1431"/>
      </w:pPr>
      <w:r>
        <w:rPr>
          <w:position w:val="2"/>
        </w:rPr>
        <w:t>∑</w:t>
      </w:r>
      <w:r>
        <w:rPr>
          <w:sz w:val="16"/>
        </w:rPr>
        <w:t>t</w:t>
      </w:r>
      <w:r>
        <w:rPr>
          <w:spacing w:val="20"/>
          <w:sz w:val="16"/>
        </w:rPr>
        <w:t> </w:t>
      </w:r>
      <w:r>
        <w:rPr>
          <w:position w:val="2"/>
        </w:rPr>
        <w:t>=</w:t>
      </w:r>
      <w:r>
        <w:rPr>
          <w:spacing w:val="-1"/>
          <w:position w:val="2"/>
        </w:rPr>
        <w:t> </w:t>
      </w:r>
      <w:r>
        <w:rPr>
          <w:position w:val="2"/>
        </w:rPr>
        <w:t>White</w:t>
      </w:r>
      <w:r>
        <w:rPr>
          <w:spacing w:val="-1"/>
          <w:position w:val="2"/>
        </w:rPr>
        <w:t> </w:t>
      </w:r>
      <w:r>
        <w:rPr>
          <w:position w:val="2"/>
        </w:rPr>
        <w:t>Noise</w:t>
      </w:r>
      <w:r>
        <w:rPr>
          <w:spacing w:val="-1"/>
          <w:position w:val="2"/>
        </w:rPr>
        <w:t> </w:t>
      </w:r>
      <w:r>
        <w:rPr>
          <w:spacing w:val="-2"/>
          <w:position w:val="2"/>
        </w:rPr>
        <w:t>Residual</w:t>
      </w:r>
    </w:p>
    <w:p>
      <w:pPr>
        <w:pStyle w:val="Heading6"/>
        <w:spacing w:before="274"/>
        <w:ind w:left="0" w:right="6203"/>
        <w:jc w:val="right"/>
      </w:pPr>
      <w:r>
        <w:rPr/>
        <w:t>MODEL</w:t>
      </w:r>
      <w:r>
        <w:rPr>
          <w:spacing w:val="-1"/>
        </w:rPr>
        <w:t> </w:t>
      </w:r>
      <w:r>
        <w:rPr/>
        <w:t>3B</w:t>
      </w:r>
      <w:r>
        <w:rPr>
          <w:spacing w:val="-1"/>
        </w:rPr>
        <w:t> </w:t>
      </w:r>
      <w:r>
        <w:rPr/>
        <w:t>(Morgan</w:t>
      </w:r>
      <w:r>
        <w:rPr>
          <w:spacing w:val="-2"/>
        </w:rPr>
        <w:t> </w:t>
      </w:r>
      <w:r>
        <w:rPr/>
        <w:t>Trust</w:t>
      </w:r>
      <w:r>
        <w:rPr>
          <w:spacing w:val="-1"/>
        </w:rPr>
        <w:t> </w:t>
      </w:r>
      <w:r>
        <w:rPr/>
        <w:t>(1986)</w:t>
      </w:r>
      <w:r>
        <w:rPr>
          <w:spacing w:val="-2"/>
        </w:rPr>
        <w:t> Approach)</w:t>
      </w:r>
    </w:p>
    <w:p>
      <w:pPr>
        <w:pStyle w:val="BodyText"/>
        <w:spacing w:before="38"/>
        <w:rPr>
          <w:b/>
        </w:rPr>
      </w:pPr>
    </w:p>
    <w:p>
      <w:pPr>
        <w:tabs>
          <w:tab w:pos="8426" w:val="left" w:leader="dot"/>
        </w:tabs>
        <w:spacing w:line="525" w:lineRule="auto" w:before="0"/>
        <w:ind w:left="711" w:right="472" w:firstLine="0"/>
        <w:jc w:val="left"/>
        <w:rPr>
          <w:i/>
          <w:sz w:val="24"/>
        </w:rPr>
      </w:pPr>
      <w:r>
        <w:rPr>
          <w:i/>
          <w:sz w:val="24"/>
        </w:rPr>
        <w:t>₰log</w:t>
      </w:r>
      <w:r>
        <w:rPr>
          <w:sz w:val="24"/>
        </w:rPr>
        <w:t>δ</w:t>
      </w:r>
      <w:r>
        <w:rPr>
          <w:spacing w:val="-3"/>
          <w:sz w:val="24"/>
        </w:rPr>
        <w:t> </w:t>
      </w:r>
      <w:r>
        <w:rPr>
          <w:i/>
          <w:sz w:val="24"/>
        </w:rPr>
        <w:t>(KFM</w:t>
      </w:r>
      <w:r>
        <w:rPr>
          <w:i/>
          <w:sz w:val="24"/>
          <w:vertAlign w:val="subscript"/>
        </w:rPr>
        <w:t>PRESAP</w:t>
      </w:r>
      <w:r>
        <w:rPr>
          <w:i/>
          <w:sz w:val="24"/>
          <w:vertAlign w:val="baseline"/>
        </w:rPr>
        <w:t>)=Ɛ</w:t>
      </w:r>
      <w:r>
        <w:rPr>
          <w:i/>
          <w:sz w:val="24"/>
          <w:vertAlign w:val="subscript"/>
        </w:rPr>
        <w:t>0</w:t>
      </w:r>
      <w:r>
        <w:rPr>
          <w:i/>
          <w:sz w:val="24"/>
          <w:vertAlign w:val="baseline"/>
        </w:rPr>
        <w:t>+</w:t>
      </w:r>
      <w:r>
        <w:rPr>
          <w:i/>
          <w:sz w:val="24"/>
          <w:vertAlign w:val="subscript"/>
        </w:rPr>
        <w:t>1</w:t>
      </w:r>
      <w:r>
        <w:rPr>
          <w:i/>
          <w:sz w:val="24"/>
          <w:vertAlign w:val="baseline"/>
        </w:rPr>
        <w:t>log</w:t>
      </w:r>
      <w:r>
        <w:rPr>
          <w:sz w:val="24"/>
          <w:vertAlign w:val="baseline"/>
        </w:rPr>
        <w:t>δ</w:t>
      </w:r>
      <w:r>
        <w:rPr>
          <w:i/>
          <w:sz w:val="24"/>
          <w:vertAlign w:val="baseline"/>
        </w:rPr>
        <w:t>(DOP)</w:t>
      </w:r>
      <w:r>
        <w:rPr>
          <w:i/>
          <w:sz w:val="24"/>
          <w:vertAlign w:val="subscript"/>
        </w:rPr>
        <w:t>t-1</w:t>
      </w:r>
      <w:r>
        <w:rPr>
          <w:i/>
          <w:sz w:val="24"/>
          <w:vertAlign w:val="baseline"/>
        </w:rPr>
        <w:t>+</w:t>
      </w:r>
      <w:r>
        <w:rPr>
          <w:i/>
          <w:sz w:val="24"/>
          <w:vertAlign w:val="subscript"/>
        </w:rPr>
        <w:t>2</w:t>
      </w:r>
      <w:r>
        <w:rPr>
          <w:sz w:val="24"/>
          <w:vertAlign w:val="baseline"/>
        </w:rPr>
        <w:t>δ</w:t>
      </w:r>
      <w:r>
        <w:rPr>
          <w:spacing w:val="-3"/>
          <w:sz w:val="24"/>
          <w:vertAlign w:val="baseline"/>
        </w:rPr>
        <w:t> </w:t>
      </w:r>
      <w:r>
        <w:rPr>
          <w:i/>
          <w:sz w:val="24"/>
          <w:vertAlign w:val="baseline"/>
        </w:rPr>
        <w:t>log</w:t>
      </w:r>
      <w:r>
        <w:rPr>
          <w:i/>
          <w:spacing w:val="-2"/>
          <w:sz w:val="24"/>
          <w:vertAlign w:val="baseline"/>
        </w:rPr>
        <w:t> </w:t>
      </w:r>
      <w:r>
        <w:rPr>
          <w:i/>
          <w:sz w:val="24"/>
          <w:vertAlign w:val="baseline"/>
        </w:rPr>
        <w:t>(INF)</w:t>
      </w:r>
      <w:r>
        <w:rPr>
          <w:i/>
          <w:sz w:val="24"/>
          <w:vertAlign w:val="subscript"/>
        </w:rPr>
        <w:t>t-1</w:t>
      </w:r>
      <w:r>
        <w:rPr>
          <w:i/>
          <w:spacing w:val="-1"/>
          <w:sz w:val="24"/>
          <w:vertAlign w:val="baseline"/>
        </w:rPr>
        <w:t> </w:t>
      </w:r>
      <w:r>
        <w:rPr>
          <w:i/>
          <w:sz w:val="24"/>
          <w:vertAlign w:val="baseline"/>
        </w:rPr>
        <w:t>+</w:t>
      </w:r>
      <w:r>
        <w:rPr>
          <w:i/>
          <w:spacing w:val="40"/>
          <w:sz w:val="24"/>
          <w:vertAlign w:val="baseline"/>
        </w:rPr>
        <w:t> </w:t>
      </w:r>
      <w:r>
        <w:rPr>
          <w:i/>
          <w:sz w:val="24"/>
          <w:vertAlign w:val="subscript"/>
        </w:rPr>
        <w:t>3</w:t>
      </w:r>
      <w:r>
        <w:rPr>
          <w:sz w:val="24"/>
          <w:vertAlign w:val="baseline"/>
        </w:rPr>
        <w:t>δ</w:t>
      </w:r>
      <w:r>
        <w:rPr>
          <w:i/>
          <w:sz w:val="24"/>
          <w:vertAlign w:val="baseline"/>
        </w:rPr>
        <w:t>log(GCF)</w:t>
      </w:r>
      <w:r>
        <w:rPr>
          <w:i/>
          <w:sz w:val="24"/>
          <w:vertAlign w:val="subscript"/>
        </w:rPr>
        <w:t>t-1</w:t>
      </w:r>
      <w:r>
        <w:rPr>
          <w:i/>
          <w:spacing w:val="-1"/>
          <w:sz w:val="24"/>
          <w:vertAlign w:val="baseline"/>
        </w:rPr>
        <w:t> </w:t>
      </w:r>
      <w:r>
        <w:rPr>
          <w:i/>
          <w:sz w:val="24"/>
          <w:vertAlign w:val="baseline"/>
        </w:rPr>
        <w:t>+</w:t>
      </w:r>
      <w:r>
        <w:rPr>
          <w:i/>
          <w:spacing w:val="40"/>
          <w:sz w:val="24"/>
          <w:vertAlign w:val="baseline"/>
        </w:rPr>
        <w:t> </w:t>
      </w:r>
      <w:r>
        <w:rPr>
          <w:i/>
          <w:sz w:val="24"/>
          <w:vertAlign w:val="subscript"/>
        </w:rPr>
        <w:t>4</w:t>
      </w:r>
      <w:r>
        <w:rPr>
          <w:sz w:val="24"/>
          <w:vertAlign w:val="baseline"/>
        </w:rPr>
        <w:t>δ</w:t>
      </w:r>
      <w:r>
        <w:rPr>
          <w:i/>
          <w:sz w:val="24"/>
          <w:vertAlign w:val="baseline"/>
        </w:rPr>
        <w:t>log(EXDEBT)</w:t>
      </w:r>
      <w:r>
        <w:rPr>
          <w:i/>
          <w:sz w:val="24"/>
          <w:vertAlign w:val="subscript"/>
        </w:rPr>
        <w:t>t-1</w:t>
      </w:r>
      <w:r>
        <w:rPr>
          <w:i/>
          <w:spacing w:val="40"/>
          <w:sz w:val="24"/>
          <w:vertAlign w:val="baseline"/>
        </w:rPr>
        <w:t> </w:t>
      </w:r>
      <w:r>
        <w:rPr>
          <w:i/>
          <w:sz w:val="24"/>
          <w:vertAlign w:val="baseline"/>
        </w:rPr>
        <w:t>+</w:t>
      </w:r>
      <w:r>
        <w:rPr>
          <w:i/>
          <w:spacing w:val="40"/>
          <w:sz w:val="24"/>
          <w:vertAlign w:val="baseline"/>
        </w:rPr>
        <w:t> </w:t>
      </w:r>
      <w:r>
        <w:rPr>
          <w:i/>
          <w:sz w:val="24"/>
          <w:vertAlign w:val="subscript"/>
        </w:rPr>
        <w:t>5</w:t>
      </w:r>
      <w:r>
        <w:rPr>
          <w:sz w:val="24"/>
          <w:vertAlign w:val="baseline"/>
        </w:rPr>
        <w:t>δ</w:t>
      </w:r>
      <w:r>
        <w:rPr>
          <w:i/>
          <w:sz w:val="24"/>
          <w:vertAlign w:val="baseline"/>
        </w:rPr>
        <w:t>log(DR)</w:t>
      </w:r>
      <w:r>
        <w:rPr>
          <w:i/>
          <w:sz w:val="24"/>
          <w:vertAlign w:val="subscript"/>
        </w:rPr>
        <w:t>t-</w:t>
      </w:r>
      <w:r>
        <w:rPr>
          <w:i/>
          <w:sz w:val="24"/>
          <w:vertAlign w:val="baseline"/>
        </w:rPr>
        <w:t> </w:t>
      </w:r>
      <w:r>
        <w:rPr>
          <w:i/>
          <w:spacing w:val="-2"/>
          <w:sz w:val="16"/>
          <w:vertAlign w:val="baseline"/>
        </w:rPr>
        <w:t>1</w:t>
      </w:r>
      <w:r>
        <w:rPr>
          <w:i/>
          <w:spacing w:val="-2"/>
          <w:position w:val="2"/>
          <w:sz w:val="24"/>
          <w:vertAlign w:val="baseline"/>
        </w:rPr>
        <w:t>+</w:t>
      </w:r>
      <w:r>
        <w:rPr>
          <w:i/>
          <w:spacing w:val="-2"/>
          <w:sz w:val="16"/>
          <w:vertAlign w:val="baseline"/>
        </w:rPr>
        <w:t>6</w:t>
      </w:r>
      <w:r>
        <w:rPr>
          <w:spacing w:val="-2"/>
          <w:position w:val="2"/>
          <w:sz w:val="24"/>
          <w:vertAlign w:val="baseline"/>
        </w:rPr>
        <w:t>δ</w:t>
      </w:r>
      <w:r>
        <w:rPr>
          <w:i/>
          <w:spacing w:val="-2"/>
          <w:position w:val="2"/>
          <w:sz w:val="24"/>
          <w:vertAlign w:val="baseline"/>
        </w:rPr>
        <w:t>log(PRIVCR)</w:t>
      </w:r>
      <w:r>
        <w:rPr>
          <w:i/>
          <w:spacing w:val="-2"/>
          <w:sz w:val="16"/>
          <w:vertAlign w:val="baseline"/>
        </w:rPr>
        <w:t>t-1</w:t>
      </w:r>
      <w:r>
        <w:rPr>
          <w:i/>
          <w:spacing w:val="-2"/>
          <w:position w:val="2"/>
          <w:sz w:val="24"/>
          <w:vertAlign w:val="baseline"/>
        </w:rPr>
        <w:t>+</w:t>
      </w:r>
      <w:r>
        <w:rPr>
          <w:i/>
          <w:spacing w:val="-2"/>
          <w:sz w:val="16"/>
          <w:vertAlign w:val="baseline"/>
        </w:rPr>
        <w:t>7</w:t>
      </w:r>
      <w:r>
        <w:rPr>
          <w:spacing w:val="-2"/>
          <w:position w:val="2"/>
          <w:sz w:val="24"/>
          <w:vertAlign w:val="baseline"/>
        </w:rPr>
        <w:t>δ</w:t>
      </w:r>
      <w:r>
        <w:rPr>
          <w:i/>
          <w:spacing w:val="-2"/>
          <w:position w:val="2"/>
          <w:sz w:val="24"/>
          <w:vertAlign w:val="baseline"/>
        </w:rPr>
        <w:t>log(USIRD)</w:t>
      </w:r>
      <w:r>
        <w:rPr>
          <w:i/>
          <w:spacing w:val="-2"/>
          <w:sz w:val="16"/>
          <w:vertAlign w:val="baseline"/>
        </w:rPr>
        <w:t>t-1</w:t>
      </w:r>
      <w:r>
        <w:rPr>
          <w:i/>
          <w:spacing w:val="-2"/>
          <w:position w:val="2"/>
          <w:sz w:val="24"/>
          <w:vertAlign w:val="baseline"/>
        </w:rPr>
        <w:t>+</w:t>
      </w:r>
      <w:r>
        <w:rPr>
          <w:i/>
          <w:spacing w:val="-2"/>
          <w:sz w:val="16"/>
          <w:vertAlign w:val="baseline"/>
        </w:rPr>
        <w:t>8</w:t>
      </w:r>
      <w:r>
        <w:rPr>
          <w:spacing w:val="-2"/>
          <w:position w:val="2"/>
          <w:sz w:val="24"/>
          <w:vertAlign w:val="baseline"/>
        </w:rPr>
        <w:t>δ</w:t>
      </w:r>
      <w:r>
        <w:rPr>
          <w:i/>
          <w:spacing w:val="-2"/>
          <w:position w:val="2"/>
          <w:sz w:val="24"/>
          <w:vertAlign w:val="baseline"/>
        </w:rPr>
        <w:t>log(GOCE)</w:t>
      </w:r>
      <w:r>
        <w:rPr>
          <w:i/>
          <w:spacing w:val="-2"/>
          <w:sz w:val="16"/>
          <w:vertAlign w:val="baseline"/>
        </w:rPr>
        <w:t>t</w:t>
      </w:r>
      <w:r>
        <w:rPr>
          <w:i/>
          <w:sz w:val="16"/>
          <w:vertAlign w:val="baseline"/>
        </w:rPr>
        <w:tab/>
      </w:r>
      <w:r>
        <w:rPr>
          <w:i/>
          <w:spacing w:val="-2"/>
          <w:position w:val="2"/>
          <w:sz w:val="24"/>
          <w:vertAlign w:val="baseline"/>
        </w:rPr>
        <w:t>(3.43)</w:t>
      </w:r>
    </w:p>
    <w:p>
      <w:pPr>
        <w:pStyle w:val="BodyText"/>
        <w:spacing w:line="221" w:lineRule="exact"/>
        <w:ind w:left="1431"/>
      </w:pPr>
      <w:r>
        <w:rPr>
          <w:spacing w:val="-2"/>
        </w:rPr>
        <w:t>Where:</w:t>
      </w:r>
    </w:p>
    <w:p>
      <w:pPr>
        <w:spacing w:after="0" w:line="221" w:lineRule="exact"/>
        <w:sectPr>
          <w:pgSz w:w="11910" w:h="16840"/>
          <w:pgMar w:header="0" w:footer="979" w:top="1360" w:bottom="1240" w:left="280" w:right="0"/>
        </w:sectPr>
      </w:pPr>
    </w:p>
    <w:p>
      <w:pPr>
        <w:pStyle w:val="BodyText"/>
        <w:spacing w:before="60"/>
        <w:ind w:left="1431"/>
      </w:pPr>
      <w:r>
        <w:rPr/>
        <w:t>t-1</w:t>
      </w:r>
      <w:r>
        <w:rPr>
          <w:spacing w:val="-2"/>
        </w:rPr>
        <w:t> </w:t>
      </w:r>
      <w:r>
        <w:rPr/>
        <w:t>=</w:t>
      </w:r>
      <w:r>
        <w:rPr>
          <w:spacing w:val="-1"/>
        </w:rPr>
        <w:t> </w:t>
      </w:r>
      <w:r>
        <w:rPr/>
        <w:t>Meaning</w:t>
      </w:r>
      <w:r>
        <w:rPr>
          <w:spacing w:val="-2"/>
        </w:rPr>
        <w:t> </w:t>
      </w:r>
      <w:r>
        <w:rPr/>
        <w:t>the were</w:t>
      </w:r>
      <w:r>
        <w:rPr>
          <w:spacing w:val="-2"/>
        </w:rPr>
        <w:t> </w:t>
      </w:r>
      <w:r>
        <w:rPr/>
        <w:t>lagged</w:t>
      </w:r>
      <w:r>
        <w:rPr>
          <w:spacing w:val="1"/>
        </w:rPr>
        <w:t> </w:t>
      </w:r>
      <w:r>
        <w:rPr/>
        <w:t>by</w:t>
      </w:r>
      <w:r>
        <w:rPr>
          <w:spacing w:val="-5"/>
        </w:rPr>
        <w:t> </w:t>
      </w:r>
      <w:r>
        <w:rPr/>
        <w:t>one </w:t>
      </w:r>
      <w:r>
        <w:rPr>
          <w:spacing w:val="-2"/>
        </w:rPr>
        <w:t>period</w:t>
      </w:r>
    </w:p>
    <w:p>
      <w:pPr>
        <w:pStyle w:val="BodyText"/>
      </w:pPr>
    </w:p>
    <w:p>
      <w:pPr>
        <w:pStyle w:val="BodyText"/>
        <w:ind w:left="1491"/>
      </w:pPr>
      <w:r>
        <w:rPr>
          <w:sz w:val="16"/>
        </w:rPr>
        <w:t>t </w:t>
      </w:r>
      <w:r>
        <w:rPr>
          <w:position w:val="2"/>
        </w:rPr>
        <w:t>=</w:t>
      </w:r>
      <w:r>
        <w:rPr>
          <w:spacing w:val="-2"/>
          <w:position w:val="2"/>
        </w:rPr>
        <w:t> </w:t>
      </w:r>
      <w:r>
        <w:rPr>
          <w:position w:val="2"/>
        </w:rPr>
        <w:t>Error</w:t>
      </w:r>
      <w:r>
        <w:rPr>
          <w:spacing w:val="-3"/>
          <w:position w:val="2"/>
        </w:rPr>
        <w:t> </w:t>
      </w:r>
      <w:r>
        <w:rPr>
          <w:position w:val="2"/>
        </w:rPr>
        <w:t>Correction </w:t>
      </w:r>
      <w:r>
        <w:rPr>
          <w:spacing w:val="-2"/>
          <w:position w:val="2"/>
        </w:rPr>
        <w:t>Mechanism</w:t>
      </w:r>
    </w:p>
    <w:p>
      <w:pPr>
        <w:pStyle w:val="BodyText"/>
        <w:spacing w:before="273"/>
        <w:ind w:left="1431"/>
      </w:pPr>
      <w:r>
        <w:rPr>
          <w:position w:val="2"/>
        </w:rPr>
        <w:t>∑</w:t>
      </w:r>
      <w:r>
        <w:rPr>
          <w:sz w:val="16"/>
        </w:rPr>
        <w:t>t</w:t>
      </w:r>
      <w:r>
        <w:rPr>
          <w:spacing w:val="20"/>
          <w:sz w:val="16"/>
        </w:rPr>
        <w:t> </w:t>
      </w:r>
      <w:r>
        <w:rPr>
          <w:position w:val="2"/>
        </w:rPr>
        <w:t>=</w:t>
      </w:r>
      <w:r>
        <w:rPr>
          <w:spacing w:val="-1"/>
          <w:position w:val="2"/>
        </w:rPr>
        <w:t> </w:t>
      </w:r>
      <w:r>
        <w:rPr>
          <w:position w:val="2"/>
        </w:rPr>
        <w:t>White</w:t>
      </w:r>
      <w:r>
        <w:rPr>
          <w:spacing w:val="-1"/>
          <w:position w:val="2"/>
        </w:rPr>
        <w:t> </w:t>
      </w:r>
      <w:r>
        <w:rPr>
          <w:position w:val="2"/>
        </w:rPr>
        <w:t>Noise</w:t>
      </w:r>
      <w:r>
        <w:rPr>
          <w:spacing w:val="-1"/>
          <w:position w:val="2"/>
        </w:rPr>
        <w:t> </w:t>
      </w:r>
      <w:r>
        <w:rPr>
          <w:spacing w:val="-2"/>
          <w:position w:val="2"/>
        </w:rPr>
        <w:t>Residual</w:t>
      </w:r>
    </w:p>
    <w:p>
      <w:pPr>
        <w:pStyle w:val="Heading6"/>
        <w:spacing w:before="275"/>
        <w:jc w:val="left"/>
      </w:pPr>
      <w:r>
        <w:rPr/>
        <w:t>MODEL</w:t>
      </w:r>
      <w:r>
        <w:rPr>
          <w:spacing w:val="-1"/>
        </w:rPr>
        <w:t> </w:t>
      </w:r>
      <w:r>
        <w:rPr/>
        <w:t>4A</w:t>
      </w:r>
      <w:r>
        <w:rPr>
          <w:spacing w:val="-1"/>
        </w:rPr>
        <w:t> </w:t>
      </w:r>
      <w:r>
        <w:rPr/>
        <w:t>(World</w:t>
      </w:r>
      <w:r>
        <w:rPr>
          <w:spacing w:val="-1"/>
        </w:rPr>
        <w:t> </w:t>
      </w:r>
      <w:r>
        <w:rPr/>
        <w:t>Bank</w:t>
      </w:r>
      <w:r>
        <w:rPr>
          <w:spacing w:val="-1"/>
        </w:rPr>
        <w:t> </w:t>
      </w:r>
      <w:r>
        <w:rPr/>
        <w:t>and</w:t>
      </w:r>
      <w:r>
        <w:rPr>
          <w:spacing w:val="-1"/>
        </w:rPr>
        <w:t> </w:t>
      </w:r>
      <w:r>
        <w:rPr/>
        <w:t>Erbe</w:t>
      </w:r>
      <w:r>
        <w:rPr>
          <w:spacing w:val="-1"/>
        </w:rPr>
        <w:t> </w:t>
      </w:r>
      <w:r>
        <w:rPr>
          <w:spacing w:val="-2"/>
        </w:rPr>
        <w:t>Approach)</w:t>
      </w:r>
    </w:p>
    <w:p>
      <w:pPr>
        <w:pStyle w:val="BodyText"/>
        <w:rPr>
          <w:b/>
        </w:rPr>
      </w:pPr>
    </w:p>
    <w:p>
      <w:pPr>
        <w:spacing w:before="0"/>
        <w:ind w:left="711" w:right="0" w:firstLine="0"/>
        <w:jc w:val="left"/>
        <w:rPr>
          <w:i/>
          <w:sz w:val="16"/>
        </w:rPr>
      </w:pPr>
      <w:r>
        <w:rPr>
          <w:i/>
          <w:position w:val="2"/>
          <w:sz w:val="24"/>
        </w:rPr>
        <w:t>₰log</w:t>
      </w:r>
      <w:r>
        <w:rPr>
          <w:i/>
          <w:spacing w:val="4"/>
          <w:position w:val="2"/>
          <w:sz w:val="24"/>
        </w:rPr>
        <w:t> </w:t>
      </w:r>
      <w:r>
        <w:rPr>
          <w:i/>
          <w:position w:val="2"/>
          <w:sz w:val="24"/>
        </w:rPr>
        <w:t>(KFW</w:t>
      </w:r>
      <w:r>
        <w:rPr>
          <w:i/>
          <w:sz w:val="16"/>
        </w:rPr>
        <w:t>POSTSAP</w:t>
      </w:r>
      <w:r>
        <w:rPr>
          <w:i/>
          <w:position w:val="2"/>
          <w:sz w:val="24"/>
        </w:rPr>
        <w:t>)=</w:t>
      </w:r>
      <w:r>
        <w:rPr>
          <w:i/>
          <w:spacing w:val="6"/>
          <w:position w:val="2"/>
          <w:sz w:val="24"/>
        </w:rPr>
        <w:t> </w:t>
      </w:r>
      <w:r>
        <w:rPr>
          <w:position w:val="2"/>
          <w:sz w:val="28"/>
        </w:rPr>
        <w:t>ƻ</w:t>
      </w:r>
      <w:r>
        <w:rPr>
          <w:i/>
          <w:sz w:val="16"/>
        </w:rPr>
        <w:t>0</w:t>
      </w:r>
      <w:r>
        <w:rPr>
          <w:i/>
          <w:position w:val="2"/>
          <w:sz w:val="24"/>
        </w:rPr>
        <w:t>+</w:t>
      </w:r>
      <w:r>
        <w:rPr>
          <w:i/>
          <w:sz w:val="16"/>
        </w:rPr>
        <w:t>1</w:t>
      </w:r>
      <w:r>
        <w:rPr>
          <w:i/>
          <w:spacing w:val="25"/>
          <w:sz w:val="16"/>
        </w:rPr>
        <w:t> </w:t>
      </w:r>
      <w:r>
        <w:rPr>
          <w:position w:val="2"/>
          <w:sz w:val="24"/>
        </w:rPr>
        <w:t>δ</w:t>
      </w:r>
      <w:r>
        <w:rPr>
          <w:i/>
          <w:position w:val="2"/>
          <w:sz w:val="24"/>
        </w:rPr>
        <w:t>log</w:t>
      </w:r>
      <w:r>
        <w:rPr>
          <w:i/>
          <w:spacing w:val="5"/>
          <w:position w:val="2"/>
          <w:sz w:val="24"/>
        </w:rPr>
        <w:t> </w:t>
      </w:r>
      <w:r>
        <w:rPr>
          <w:i/>
          <w:position w:val="2"/>
          <w:sz w:val="24"/>
        </w:rPr>
        <w:t>(DOP)</w:t>
      </w:r>
      <w:r>
        <w:rPr>
          <w:i/>
          <w:sz w:val="16"/>
        </w:rPr>
        <w:t>t-1</w:t>
      </w:r>
      <w:r>
        <w:rPr>
          <w:i/>
          <w:position w:val="2"/>
          <w:sz w:val="24"/>
        </w:rPr>
        <w:t>+</w:t>
      </w:r>
      <w:r>
        <w:rPr>
          <w:i/>
          <w:spacing w:val="3"/>
          <w:position w:val="2"/>
          <w:sz w:val="24"/>
        </w:rPr>
        <w:t> </w:t>
      </w:r>
      <w:r>
        <w:rPr>
          <w:i/>
          <w:sz w:val="16"/>
        </w:rPr>
        <w:t>2</w:t>
      </w:r>
      <w:r>
        <w:rPr>
          <w:position w:val="2"/>
          <w:sz w:val="24"/>
        </w:rPr>
        <w:t>δ</w:t>
      </w:r>
      <w:r>
        <w:rPr>
          <w:spacing w:val="4"/>
          <w:position w:val="2"/>
          <w:sz w:val="24"/>
        </w:rPr>
        <w:t> </w:t>
      </w:r>
      <w:r>
        <w:rPr>
          <w:i/>
          <w:position w:val="2"/>
          <w:sz w:val="24"/>
        </w:rPr>
        <w:t>log</w:t>
      </w:r>
      <w:r>
        <w:rPr>
          <w:i/>
          <w:spacing w:val="7"/>
          <w:position w:val="2"/>
          <w:sz w:val="24"/>
        </w:rPr>
        <w:t> </w:t>
      </w:r>
      <w:r>
        <w:rPr>
          <w:i/>
          <w:position w:val="2"/>
          <w:sz w:val="24"/>
        </w:rPr>
        <w:t>(INF)</w:t>
      </w:r>
      <w:r>
        <w:rPr>
          <w:i/>
          <w:sz w:val="16"/>
        </w:rPr>
        <w:t>t-1</w:t>
      </w:r>
      <w:r>
        <w:rPr>
          <w:i/>
          <w:spacing w:val="25"/>
          <w:sz w:val="16"/>
        </w:rPr>
        <w:t> </w:t>
      </w:r>
      <w:r>
        <w:rPr>
          <w:i/>
          <w:position w:val="2"/>
          <w:sz w:val="24"/>
        </w:rPr>
        <w:t>+</w:t>
      </w:r>
      <w:r>
        <w:rPr>
          <w:i/>
          <w:spacing w:val="6"/>
          <w:position w:val="2"/>
          <w:sz w:val="24"/>
        </w:rPr>
        <w:t> </w:t>
      </w:r>
      <w:r>
        <w:rPr>
          <w:i/>
          <w:sz w:val="16"/>
        </w:rPr>
        <w:t>3</w:t>
      </w:r>
      <w:r>
        <w:rPr>
          <w:position w:val="2"/>
          <w:sz w:val="24"/>
        </w:rPr>
        <w:t>δ</w:t>
      </w:r>
      <w:r>
        <w:rPr>
          <w:i/>
          <w:position w:val="2"/>
          <w:sz w:val="24"/>
        </w:rPr>
        <w:t>log(GCF)</w:t>
      </w:r>
      <w:r>
        <w:rPr>
          <w:i/>
          <w:sz w:val="16"/>
        </w:rPr>
        <w:t>t-1</w:t>
      </w:r>
      <w:r>
        <w:rPr>
          <w:i/>
          <w:spacing w:val="25"/>
          <w:sz w:val="16"/>
        </w:rPr>
        <w:t> </w:t>
      </w:r>
      <w:r>
        <w:rPr>
          <w:i/>
          <w:position w:val="2"/>
          <w:sz w:val="24"/>
        </w:rPr>
        <w:t>+</w:t>
      </w:r>
      <w:r>
        <w:rPr>
          <w:i/>
          <w:spacing w:val="4"/>
          <w:position w:val="2"/>
          <w:sz w:val="24"/>
        </w:rPr>
        <w:t> </w:t>
      </w:r>
      <w:r>
        <w:rPr>
          <w:i/>
          <w:sz w:val="16"/>
        </w:rPr>
        <w:t>4</w:t>
      </w:r>
      <w:r>
        <w:rPr>
          <w:position w:val="2"/>
          <w:sz w:val="24"/>
        </w:rPr>
        <w:t>δ</w:t>
      </w:r>
      <w:r>
        <w:rPr>
          <w:i/>
          <w:position w:val="2"/>
          <w:sz w:val="24"/>
        </w:rPr>
        <w:t>log(EXDEBT)</w:t>
      </w:r>
      <w:r>
        <w:rPr>
          <w:i/>
          <w:sz w:val="16"/>
        </w:rPr>
        <w:t>t-1</w:t>
      </w:r>
      <w:r>
        <w:rPr>
          <w:i/>
          <w:position w:val="2"/>
          <w:sz w:val="24"/>
        </w:rPr>
        <w:t>+</w:t>
      </w:r>
      <w:r>
        <w:rPr>
          <w:i/>
          <w:sz w:val="16"/>
        </w:rPr>
        <w:t>5</w:t>
      </w:r>
      <w:r>
        <w:rPr>
          <w:position w:val="2"/>
          <w:sz w:val="24"/>
        </w:rPr>
        <w:t>δ</w:t>
      </w:r>
      <w:r>
        <w:rPr>
          <w:spacing w:val="4"/>
          <w:position w:val="2"/>
          <w:sz w:val="24"/>
        </w:rPr>
        <w:t> </w:t>
      </w:r>
      <w:r>
        <w:rPr>
          <w:i/>
          <w:spacing w:val="-2"/>
          <w:position w:val="2"/>
          <w:sz w:val="24"/>
        </w:rPr>
        <w:t>log(DR)</w:t>
      </w:r>
      <w:r>
        <w:rPr>
          <w:i/>
          <w:spacing w:val="-2"/>
          <w:sz w:val="16"/>
        </w:rPr>
        <w:t>t-</w:t>
      </w:r>
    </w:p>
    <w:p>
      <w:pPr>
        <w:pStyle w:val="BodyText"/>
        <w:spacing w:before="83"/>
        <w:rPr>
          <w:i/>
        </w:rPr>
      </w:pPr>
    </w:p>
    <w:p>
      <w:pPr>
        <w:tabs>
          <w:tab w:pos="8676" w:val="left" w:leader="dot"/>
        </w:tabs>
        <w:spacing w:before="0"/>
        <w:ind w:left="711" w:right="0" w:firstLine="0"/>
        <w:jc w:val="left"/>
        <w:rPr>
          <w:b/>
          <w:sz w:val="24"/>
        </w:rPr>
      </w:pPr>
      <w:r>
        <w:rPr>
          <w:i/>
          <w:spacing w:val="-2"/>
          <w:sz w:val="24"/>
          <w:vertAlign w:val="subscript"/>
        </w:rPr>
        <w:t>1</w:t>
      </w:r>
      <w:r>
        <w:rPr>
          <w:i/>
          <w:spacing w:val="-2"/>
          <w:sz w:val="24"/>
          <w:vertAlign w:val="baseline"/>
        </w:rPr>
        <w:t>+</w:t>
      </w:r>
      <w:r>
        <w:rPr>
          <w:i/>
          <w:spacing w:val="-2"/>
          <w:sz w:val="24"/>
          <w:vertAlign w:val="subscript"/>
        </w:rPr>
        <w:t>6</w:t>
      </w:r>
      <w:r>
        <w:rPr>
          <w:spacing w:val="-2"/>
          <w:sz w:val="24"/>
          <w:vertAlign w:val="baseline"/>
        </w:rPr>
        <w:t>δ</w:t>
      </w:r>
      <w:r>
        <w:rPr>
          <w:i/>
          <w:spacing w:val="-2"/>
          <w:sz w:val="24"/>
          <w:vertAlign w:val="baseline"/>
        </w:rPr>
        <w:t>log(PRIVCR)</w:t>
      </w:r>
      <w:r>
        <w:rPr>
          <w:i/>
          <w:spacing w:val="-2"/>
          <w:sz w:val="24"/>
          <w:vertAlign w:val="subscript"/>
        </w:rPr>
        <w:t>t-1</w:t>
      </w:r>
      <w:r>
        <w:rPr>
          <w:i/>
          <w:spacing w:val="-2"/>
          <w:sz w:val="24"/>
          <w:vertAlign w:val="baseline"/>
        </w:rPr>
        <w:t>+</w:t>
      </w:r>
      <w:r>
        <w:rPr>
          <w:i/>
          <w:spacing w:val="-2"/>
          <w:sz w:val="24"/>
          <w:vertAlign w:val="subscript"/>
        </w:rPr>
        <w:t>7</w:t>
      </w:r>
      <w:r>
        <w:rPr>
          <w:spacing w:val="-2"/>
          <w:sz w:val="24"/>
          <w:vertAlign w:val="baseline"/>
        </w:rPr>
        <w:t>δ</w:t>
      </w:r>
      <w:r>
        <w:rPr>
          <w:i/>
          <w:spacing w:val="-2"/>
          <w:sz w:val="24"/>
          <w:vertAlign w:val="baseline"/>
        </w:rPr>
        <w:t>log(USIRD)</w:t>
      </w:r>
      <w:r>
        <w:rPr>
          <w:i/>
          <w:spacing w:val="-2"/>
          <w:sz w:val="24"/>
          <w:vertAlign w:val="subscript"/>
        </w:rPr>
        <w:t>t-1</w:t>
      </w:r>
      <w:r>
        <w:rPr>
          <w:i/>
          <w:spacing w:val="-2"/>
          <w:sz w:val="24"/>
          <w:vertAlign w:val="baseline"/>
        </w:rPr>
        <w:t>+</w:t>
      </w:r>
      <w:r>
        <w:rPr>
          <w:i/>
          <w:spacing w:val="-2"/>
          <w:sz w:val="24"/>
          <w:vertAlign w:val="subscript"/>
        </w:rPr>
        <w:t>8</w:t>
      </w:r>
      <w:r>
        <w:rPr>
          <w:spacing w:val="-2"/>
          <w:sz w:val="24"/>
          <w:vertAlign w:val="baseline"/>
        </w:rPr>
        <w:t>δ</w:t>
      </w:r>
      <w:r>
        <w:rPr>
          <w:i/>
          <w:spacing w:val="-2"/>
          <w:sz w:val="24"/>
          <w:vertAlign w:val="baseline"/>
        </w:rPr>
        <w:t>log(GOCE)</w:t>
      </w:r>
      <w:r>
        <w:rPr>
          <w:i/>
          <w:spacing w:val="-2"/>
          <w:sz w:val="24"/>
          <w:vertAlign w:val="subscript"/>
        </w:rPr>
        <w:t>t-1</w:t>
      </w:r>
      <w:r>
        <w:rPr>
          <w:i/>
          <w:spacing w:val="-2"/>
          <w:sz w:val="24"/>
          <w:vertAlign w:val="baseline"/>
        </w:rPr>
        <w:t>+∑</w:t>
      </w:r>
      <w:r>
        <w:rPr>
          <w:i/>
          <w:spacing w:val="-2"/>
          <w:sz w:val="24"/>
          <w:vertAlign w:val="subscript"/>
        </w:rPr>
        <w:t>t8</w:t>
      </w:r>
      <w:r>
        <w:rPr>
          <w:spacing w:val="-2"/>
          <w:sz w:val="24"/>
          <w:vertAlign w:val="baseline"/>
        </w:rPr>
        <w:t>δ</w:t>
      </w:r>
      <w:r>
        <w:rPr>
          <w:i/>
          <w:spacing w:val="-2"/>
          <w:sz w:val="24"/>
          <w:vertAlign w:val="baseline"/>
        </w:rPr>
        <w:t>log(GOCE)</w:t>
      </w:r>
      <w:r>
        <w:rPr>
          <w:i/>
          <w:spacing w:val="-2"/>
          <w:sz w:val="24"/>
          <w:vertAlign w:val="subscript"/>
        </w:rPr>
        <w:t>t-</w:t>
      </w:r>
      <w:r>
        <w:rPr>
          <w:i/>
          <w:spacing w:val="-5"/>
          <w:sz w:val="24"/>
          <w:vertAlign w:val="subscript"/>
        </w:rPr>
        <w:t>1</w:t>
      </w:r>
      <w:r>
        <w:rPr>
          <w:spacing w:val="-5"/>
          <w:sz w:val="24"/>
          <w:vertAlign w:val="subscript"/>
        </w:rPr>
        <w:t>+</w:t>
      </w:r>
      <w:r>
        <w:rPr>
          <w:position w:val="-1"/>
          <w:sz w:val="16"/>
          <w:vertAlign w:val="baseline"/>
        </w:rPr>
        <w:tab/>
      </w:r>
      <w:r>
        <w:rPr>
          <w:spacing w:val="-2"/>
          <w:position w:val="-1"/>
          <w:sz w:val="24"/>
          <w:vertAlign w:val="subscript"/>
        </w:rPr>
        <w:t>(</w:t>
      </w:r>
      <w:r>
        <w:rPr>
          <w:b/>
          <w:spacing w:val="-2"/>
          <w:position w:val="-1"/>
          <w:sz w:val="24"/>
          <w:vertAlign w:val="subscript"/>
        </w:rPr>
        <w:t>3.44)</w:t>
      </w:r>
    </w:p>
    <w:p>
      <w:pPr>
        <w:pStyle w:val="BodyText"/>
        <w:spacing w:before="55"/>
        <w:rPr>
          <w:b/>
        </w:rPr>
      </w:pPr>
    </w:p>
    <w:p>
      <w:pPr>
        <w:pStyle w:val="BodyText"/>
        <w:ind w:left="711"/>
      </w:pPr>
      <w:r>
        <w:rPr>
          <w:spacing w:val="-2"/>
        </w:rPr>
        <w:t>Where:</w:t>
      </w:r>
    </w:p>
    <w:p>
      <w:pPr>
        <w:pStyle w:val="BodyText"/>
        <w:spacing w:before="1"/>
      </w:pPr>
    </w:p>
    <w:p>
      <w:pPr>
        <w:pStyle w:val="BodyText"/>
        <w:ind w:right="6102"/>
        <w:jc w:val="right"/>
      </w:pPr>
      <w:r>
        <w:rPr/>
        <w:t>t-1</w:t>
      </w:r>
      <w:r>
        <w:rPr>
          <w:spacing w:val="-2"/>
        </w:rPr>
        <w:t> </w:t>
      </w:r>
      <w:r>
        <w:rPr/>
        <w:t>=</w:t>
      </w:r>
      <w:r>
        <w:rPr>
          <w:spacing w:val="-1"/>
        </w:rPr>
        <w:t> </w:t>
      </w:r>
      <w:r>
        <w:rPr/>
        <w:t>Meaning</w:t>
      </w:r>
      <w:r>
        <w:rPr>
          <w:spacing w:val="-2"/>
        </w:rPr>
        <w:t> </w:t>
      </w:r>
      <w:r>
        <w:rPr/>
        <w:t>the were</w:t>
      </w:r>
      <w:r>
        <w:rPr>
          <w:spacing w:val="-2"/>
        </w:rPr>
        <w:t> </w:t>
      </w:r>
      <w:r>
        <w:rPr/>
        <w:t>lagged</w:t>
      </w:r>
      <w:r>
        <w:rPr>
          <w:spacing w:val="1"/>
        </w:rPr>
        <w:t> </w:t>
      </w:r>
      <w:r>
        <w:rPr/>
        <w:t>by</w:t>
      </w:r>
      <w:r>
        <w:rPr>
          <w:spacing w:val="-5"/>
        </w:rPr>
        <w:t> </w:t>
      </w:r>
      <w:r>
        <w:rPr/>
        <w:t>one </w:t>
      </w:r>
      <w:r>
        <w:rPr>
          <w:spacing w:val="-2"/>
        </w:rPr>
        <w:t>period</w:t>
      </w:r>
    </w:p>
    <w:p>
      <w:pPr>
        <w:pStyle w:val="BodyText"/>
        <w:spacing w:before="275"/>
        <w:ind w:left="1491"/>
      </w:pPr>
      <w:r>
        <w:rPr>
          <w:sz w:val="16"/>
        </w:rPr>
        <w:t>t </w:t>
      </w:r>
      <w:r>
        <w:rPr>
          <w:position w:val="2"/>
        </w:rPr>
        <w:t>=</w:t>
      </w:r>
      <w:r>
        <w:rPr>
          <w:spacing w:val="-2"/>
          <w:position w:val="2"/>
        </w:rPr>
        <w:t> </w:t>
      </w:r>
      <w:r>
        <w:rPr>
          <w:position w:val="2"/>
        </w:rPr>
        <w:t>Error</w:t>
      </w:r>
      <w:r>
        <w:rPr>
          <w:spacing w:val="-3"/>
          <w:position w:val="2"/>
        </w:rPr>
        <w:t> </w:t>
      </w:r>
      <w:r>
        <w:rPr>
          <w:position w:val="2"/>
        </w:rPr>
        <w:t>Correction </w:t>
      </w:r>
      <w:r>
        <w:rPr>
          <w:spacing w:val="-2"/>
          <w:position w:val="2"/>
        </w:rPr>
        <w:t>Mechanism</w:t>
      </w:r>
    </w:p>
    <w:p>
      <w:pPr>
        <w:pStyle w:val="BodyText"/>
        <w:spacing w:before="271"/>
        <w:ind w:left="1431"/>
      </w:pPr>
      <w:r>
        <w:rPr>
          <w:position w:val="2"/>
        </w:rPr>
        <w:t>∑</w:t>
      </w:r>
      <w:r>
        <w:rPr>
          <w:sz w:val="16"/>
        </w:rPr>
        <w:t>t</w:t>
      </w:r>
      <w:r>
        <w:rPr>
          <w:spacing w:val="20"/>
          <w:sz w:val="16"/>
        </w:rPr>
        <w:t> </w:t>
      </w:r>
      <w:r>
        <w:rPr>
          <w:position w:val="2"/>
        </w:rPr>
        <w:t>=</w:t>
      </w:r>
      <w:r>
        <w:rPr>
          <w:spacing w:val="-1"/>
          <w:position w:val="2"/>
        </w:rPr>
        <w:t> </w:t>
      </w:r>
      <w:r>
        <w:rPr>
          <w:position w:val="2"/>
        </w:rPr>
        <w:t>White</w:t>
      </w:r>
      <w:r>
        <w:rPr>
          <w:spacing w:val="-1"/>
          <w:position w:val="2"/>
        </w:rPr>
        <w:t> </w:t>
      </w:r>
      <w:r>
        <w:rPr>
          <w:position w:val="2"/>
        </w:rPr>
        <w:t>Noise</w:t>
      </w:r>
      <w:r>
        <w:rPr>
          <w:spacing w:val="-1"/>
          <w:position w:val="2"/>
        </w:rPr>
        <w:t> </w:t>
      </w:r>
      <w:r>
        <w:rPr>
          <w:spacing w:val="-2"/>
          <w:position w:val="2"/>
        </w:rPr>
        <w:t>Residual</w:t>
      </w:r>
    </w:p>
    <w:p>
      <w:pPr>
        <w:pStyle w:val="Heading6"/>
        <w:spacing w:before="274"/>
        <w:ind w:left="0" w:right="6203"/>
        <w:jc w:val="right"/>
      </w:pPr>
      <w:r>
        <w:rPr/>
        <w:t>MODEL</w:t>
      </w:r>
      <w:r>
        <w:rPr>
          <w:spacing w:val="-1"/>
        </w:rPr>
        <w:t> </w:t>
      </w:r>
      <w:r>
        <w:rPr/>
        <w:t>4B</w:t>
      </w:r>
      <w:r>
        <w:rPr>
          <w:spacing w:val="-1"/>
        </w:rPr>
        <w:t> </w:t>
      </w:r>
      <w:r>
        <w:rPr/>
        <w:t>(Morgan</w:t>
      </w:r>
      <w:r>
        <w:rPr>
          <w:spacing w:val="-2"/>
        </w:rPr>
        <w:t> </w:t>
      </w:r>
      <w:r>
        <w:rPr/>
        <w:t>Trust</w:t>
      </w:r>
      <w:r>
        <w:rPr>
          <w:spacing w:val="-1"/>
        </w:rPr>
        <w:t> </w:t>
      </w:r>
      <w:r>
        <w:rPr/>
        <w:t>(1986)</w:t>
      </w:r>
      <w:r>
        <w:rPr>
          <w:spacing w:val="-2"/>
        </w:rPr>
        <w:t> Approach)</w:t>
      </w:r>
    </w:p>
    <w:p>
      <w:pPr>
        <w:pStyle w:val="BodyText"/>
        <w:spacing w:before="1"/>
        <w:rPr>
          <w:b/>
        </w:rPr>
      </w:pPr>
    </w:p>
    <w:p>
      <w:pPr>
        <w:tabs>
          <w:tab w:pos="7624" w:val="left" w:leader="dot"/>
          <w:tab w:pos="10075" w:val="left" w:leader="none"/>
        </w:tabs>
        <w:spacing w:line="480" w:lineRule="auto" w:before="1"/>
        <w:ind w:left="711" w:right="472" w:firstLine="0"/>
        <w:jc w:val="left"/>
        <w:rPr>
          <w:i/>
          <w:sz w:val="24"/>
        </w:rPr>
      </w:pPr>
      <w:r>
        <w:rPr>
          <w:i/>
          <w:sz w:val="24"/>
        </w:rPr>
        <w:t>₰log</w:t>
      </w:r>
      <w:r>
        <w:rPr>
          <w:sz w:val="24"/>
        </w:rPr>
        <w:t>δ</w:t>
      </w:r>
      <w:r>
        <w:rPr>
          <w:i/>
          <w:sz w:val="24"/>
        </w:rPr>
        <w:t>(KFM</w:t>
      </w:r>
      <w:r>
        <w:rPr>
          <w:i/>
          <w:sz w:val="24"/>
          <w:vertAlign w:val="subscript"/>
        </w:rPr>
        <w:t>POSTSAP</w:t>
      </w:r>
      <w:r>
        <w:rPr>
          <w:i/>
          <w:sz w:val="24"/>
          <w:vertAlign w:val="baseline"/>
        </w:rPr>
        <w:t>)=</w:t>
      </w:r>
      <w:r>
        <w:rPr>
          <w:i/>
          <w:sz w:val="28"/>
          <w:vertAlign w:val="baseline"/>
        </w:rPr>
        <w:t>ɗ</w:t>
      </w:r>
      <w:r>
        <w:rPr>
          <w:i/>
          <w:sz w:val="28"/>
          <w:vertAlign w:val="subscript"/>
        </w:rPr>
        <w:t>0</w:t>
      </w:r>
      <w:r>
        <w:rPr>
          <w:i/>
          <w:sz w:val="24"/>
          <w:vertAlign w:val="baseline"/>
        </w:rPr>
        <w:t>+</w:t>
      </w:r>
      <w:r>
        <w:rPr>
          <w:i/>
          <w:sz w:val="24"/>
          <w:vertAlign w:val="subscript"/>
        </w:rPr>
        <w:t>1</w:t>
      </w:r>
      <w:r>
        <w:rPr>
          <w:i/>
          <w:sz w:val="24"/>
          <w:vertAlign w:val="baseline"/>
        </w:rPr>
        <w:t>log</w:t>
      </w:r>
      <w:r>
        <w:rPr>
          <w:sz w:val="24"/>
          <w:vertAlign w:val="baseline"/>
        </w:rPr>
        <w:t>δ</w:t>
      </w:r>
      <w:r>
        <w:rPr>
          <w:i/>
          <w:sz w:val="24"/>
          <w:vertAlign w:val="baseline"/>
        </w:rPr>
        <w:t>(DOP)</w:t>
      </w:r>
      <w:r>
        <w:rPr>
          <w:i/>
          <w:sz w:val="24"/>
          <w:vertAlign w:val="subscript"/>
        </w:rPr>
        <w:t>t-1</w:t>
      </w:r>
      <w:r>
        <w:rPr>
          <w:i/>
          <w:sz w:val="24"/>
          <w:vertAlign w:val="baseline"/>
        </w:rPr>
        <w:t>+</w:t>
      </w:r>
      <w:r>
        <w:rPr>
          <w:i/>
          <w:sz w:val="24"/>
          <w:vertAlign w:val="subscript"/>
        </w:rPr>
        <w:t>2</w:t>
      </w:r>
      <w:r>
        <w:rPr>
          <w:sz w:val="24"/>
          <w:vertAlign w:val="baseline"/>
        </w:rPr>
        <w:t>δ </w:t>
      </w:r>
      <w:r>
        <w:rPr>
          <w:i/>
          <w:sz w:val="24"/>
          <w:vertAlign w:val="baseline"/>
        </w:rPr>
        <w:t>log (INF)</w:t>
      </w:r>
      <w:r>
        <w:rPr>
          <w:i/>
          <w:sz w:val="24"/>
          <w:vertAlign w:val="subscript"/>
        </w:rPr>
        <w:t>t-1</w:t>
      </w:r>
      <w:r>
        <w:rPr>
          <w:i/>
          <w:sz w:val="24"/>
          <w:vertAlign w:val="baseline"/>
        </w:rPr>
        <w:t> +</w:t>
      </w:r>
      <w:r>
        <w:rPr>
          <w:i/>
          <w:sz w:val="24"/>
          <w:vertAlign w:val="subscript"/>
        </w:rPr>
        <w:t>3</w:t>
      </w:r>
      <w:r>
        <w:rPr>
          <w:sz w:val="24"/>
          <w:vertAlign w:val="baseline"/>
        </w:rPr>
        <w:t>δ</w:t>
      </w:r>
      <w:r>
        <w:rPr>
          <w:i/>
          <w:sz w:val="24"/>
          <w:vertAlign w:val="baseline"/>
        </w:rPr>
        <w:t>log(GCF)</w:t>
      </w:r>
      <w:r>
        <w:rPr>
          <w:i/>
          <w:sz w:val="24"/>
          <w:vertAlign w:val="subscript"/>
        </w:rPr>
        <w:t>t-1</w:t>
      </w:r>
      <w:r>
        <w:rPr>
          <w:i/>
          <w:sz w:val="24"/>
          <w:vertAlign w:val="baseline"/>
        </w:rPr>
        <w:t> +</w:t>
      </w:r>
      <w:r>
        <w:rPr>
          <w:i/>
          <w:spacing w:val="80"/>
          <w:sz w:val="24"/>
          <w:vertAlign w:val="baseline"/>
        </w:rPr>
        <w:t> </w:t>
      </w:r>
      <w:r>
        <w:rPr>
          <w:i/>
          <w:sz w:val="24"/>
          <w:vertAlign w:val="subscript"/>
        </w:rPr>
        <w:t>4</w:t>
      </w:r>
      <w:r>
        <w:rPr>
          <w:sz w:val="24"/>
          <w:vertAlign w:val="baseline"/>
        </w:rPr>
        <w:t>δ</w:t>
      </w:r>
      <w:r>
        <w:rPr>
          <w:i/>
          <w:sz w:val="24"/>
          <w:vertAlign w:val="baseline"/>
        </w:rPr>
        <w:t>log(EXDEBT)</w:t>
      </w:r>
      <w:r>
        <w:rPr>
          <w:i/>
          <w:sz w:val="24"/>
          <w:vertAlign w:val="subscript"/>
        </w:rPr>
        <w:t>t-1</w:t>
      </w:r>
      <w:r>
        <w:rPr>
          <w:i/>
          <w:sz w:val="24"/>
          <w:vertAlign w:val="baseline"/>
        </w:rPr>
        <w:t>+</w:t>
        <w:tab/>
      </w:r>
      <w:r>
        <w:rPr>
          <w:i/>
          <w:spacing w:val="-2"/>
          <w:sz w:val="24"/>
          <w:vertAlign w:val="subscript"/>
        </w:rPr>
        <w:t>5</w:t>
      </w:r>
      <w:r>
        <w:rPr>
          <w:spacing w:val="-2"/>
          <w:sz w:val="24"/>
          <w:vertAlign w:val="baseline"/>
        </w:rPr>
        <w:t>δ</w:t>
      </w:r>
      <w:r>
        <w:rPr>
          <w:i/>
          <w:spacing w:val="-2"/>
          <w:sz w:val="24"/>
          <w:vertAlign w:val="baseline"/>
        </w:rPr>
        <w:t>log(DR)</w:t>
      </w:r>
      <w:r>
        <w:rPr>
          <w:i/>
          <w:spacing w:val="-2"/>
          <w:sz w:val="24"/>
          <w:vertAlign w:val="subscript"/>
        </w:rPr>
        <w:t>t-</w:t>
      </w:r>
      <w:r>
        <w:rPr>
          <w:i/>
          <w:spacing w:val="-2"/>
          <w:sz w:val="24"/>
          <w:vertAlign w:val="baseline"/>
        </w:rPr>
        <w:t> </w:t>
      </w:r>
      <w:r>
        <w:rPr>
          <w:i/>
          <w:spacing w:val="-2"/>
          <w:sz w:val="16"/>
          <w:vertAlign w:val="baseline"/>
        </w:rPr>
        <w:t>1</w:t>
      </w:r>
      <w:r>
        <w:rPr>
          <w:i/>
          <w:spacing w:val="-2"/>
          <w:position w:val="2"/>
          <w:sz w:val="24"/>
          <w:vertAlign w:val="baseline"/>
        </w:rPr>
        <w:t>+</w:t>
      </w:r>
      <w:r>
        <w:rPr>
          <w:i/>
          <w:spacing w:val="-2"/>
          <w:sz w:val="16"/>
          <w:vertAlign w:val="baseline"/>
        </w:rPr>
        <w:t>6</w:t>
      </w:r>
      <w:r>
        <w:rPr>
          <w:spacing w:val="-2"/>
          <w:position w:val="2"/>
          <w:sz w:val="24"/>
          <w:vertAlign w:val="baseline"/>
        </w:rPr>
        <w:t>δ</w:t>
      </w:r>
      <w:r>
        <w:rPr>
          <w:i/>
          <w:spacing w:val="-2"/>
          <w:position w:val="2"/>
          <w:sz w:val="24"/>
          <w:vertAlign w:val="baseline"/>
        </w:rPr>
        <w:t>log(PRIVCR)</w:t>
      </w:r>
      <w:r>
        <w:rPr>
          <w:i/>
          <w:spacing w:val="-2"/>
          <w:sz w:val="16"/>
          <w:vertAlign w:val="baseline"/>
        </w:rPr>
        <w:t>t-1</w:t>
      </w:r>
      <w:r>
        <w:rPr>
          <w:i/>
          <w:spacing w:val="-2"/>
          <w:position w:val="2"/>
          <w:sz w:val="24"/>
          <w:vertAlign w:val="baseline"/>
        </w:rPr>
        <w:t>+</w:t>
      </w:r>
      <w:r>
        <w:rPr>
          <w:i/>
          <w:spacing w:val="-2"/>
          <w:sz w:val="16"/>
          <w:vertAlign w:val="baseline"/>
        </w:rPr>
        <w:t>7</w:t>
      </w:r>
      <w:r>
        <w:rPr>
          <w:spacing w:val="-2"/>
          <w:position w:val="2"/>
          <w:sz w:val="24"/>
          <w:vertAlign w:val="baseline"/>
        </w:rPr>
        <w:t>δ</w:t>
      </w:r>
      <w:r>
        <w:rPr>
          <w:i/>
          <w:spacing w:val="-2"/>
          <w:position w:val="2"/>
          <w:sz w:val="24"/>
          <w:vertAlign w:val="baseline"/>
        </w:rPr>
        <w:t>log(USIRD)</w:t>
      </w:r>
      <w:r>
        <w:rPr>
          <w:i/>
          <w:spacing w:val="-2"/>
          <w:sz w:val="16"/>
          <w:vertAlign w:val="baseline"/>
        </w:rPr>
        <w:t>t-1</w:t>
      </w:r>
      <w:r>
        <w:rPr>
          <w:i/>
          <w:spacing w:val="-2"/>
          <w:position w:val="2"/>
          <w:sz w:val="24"/>
          <w:vertAlign w:val="baseline"/>
        </w:rPr>
        <w:t>+</w:t>
      </w:r>
      <w:r>
        <w:rPr>
          <w:i/>
          <w:spacing w:val="-2"/>
          <w:sz w:val="16"/>
          <w:vertAlign w:val="baseline"/>
        </w:rPr>
        <w:t>8</w:t>
      </w:r>
      <w:r>
        <w:rPr>
          <w:spacing w:val="-2"/>
          <w:position w:val="2"/>
          <w:sz w:val="24"/>
          <w:vertAlign w:val="baseline"/>
        </w:rPr>
        <w:t>δ</w:t>
      </w:r>
      <w:r>
        <w:rPr>
          <w:i/>
          <w:spacing w:val="-2"/>
          <w:position w:val="2"/>
          <w:sz w:val="24"/>
          <w:vertAlign w:val="baseline"/>
        </w:rPr>
        <w:t>log(GOCE)</w:t>
      </w:r>
      <w:r>
        <w:rPr>
          <w:i/>
          <w:spacing w:val="-2"/>
          <w:sz w:val="16"/>
          <w:vertAlign w:val="baseline"/>
        </w:rPr>
        <w:t>t-1</w:t>
      </w:r>
      <w:r>
        <w:rPr>
          <w:i/>
          <w:spacing w:val="-2"/>
          <w:position w:val="2"/>
          <w:sz w:val="24"/>
          <w:vertAlign w:val="baseline"/>
        </w:rPr>
        <w:t>+∑</w:t>
      </w:r>
      <w:r>
        <w:rPr>
          <w:i/>
          <w:spacing w:val="-2"/>
          <w:sz w:val="16"/>
          <w:vertAlign w:val="baseline"/>
        </w:rPr>
        <w:t>t</w:t>
      </w:r>
      <w:r>
        <w:rPr>
          <w:i/>
          <w:sz w:val="16"/>
          <w:vertAlign w:val="baseline"/>
        </w:rPr>
        <w:tab/>
      </w:r>
      <w:r>
        <w:rPr>
          <w:i/>
          <w:spacing w:val="-2"/>
          <w:position w:val="2"/>
          <w:sz w:val="24"/>
          <w:vertAlign w:val="baseline"/>
        </w:rPr>
        <w:t>(3.45)</w:t>
      </w:r>
    </w:p>
    <w:p>
      <w:pPr>
        <w:pStyle w:val="BodyText"/>
        <w:spacing w:line="274" w:lineRule="exact"/>
        <w:ind w:left="1431"/>
      </w:pPr>
      <w:r>
        <w:rPr>
          <w:spacing w:val="-2"/>
        </w:rPr>
        <w:t>Where:</w:t>
      </w:r>
    </w:p>
    <w:p>
      <w:pPr>
        <w:pStyle w:val="BodyText"/>
        <w:spacing w:before="276"/>
        <w:ind w:left="1431"/>
      </w:pPr>
      <w:r>
        <w:rPr/>
        <w:t>t-1</w:t>
      </w:r>
      <w:r>
        <w:rPr>
          <w:spacing w:val="-2"/>
        </w:rPr>
        <w:t> </w:t>
      </w:r>
      <w:r>
        <w:rPr/>
        <w:t>=</w:t>
      </w:r>
      <w:r>
        <w:rPr>
          <w:spacing w:val="-1"/>
        </w:rPr>
        <w:t> </w:t>
      </w:r>
      <w:r>
        <w:rPr/>
        <w:t>Meaning</w:t>
      </w:r>
      <w:r>
        <w:rPr>
          <w:spacing w:val="-2"/>
        </w:rPr>
        <w:t> </w:t>
      </w:r>
      <w:r>
        <w:rPr/>
        <w:t>the were</w:t>
      </w:r>
      <w:r>
        <w:rPr>
          <w:spacing w:val="-2"/>
        </w:rPr>
        <w:t> </w:t>
      </w:r>
      <w:r>
        <w:rPr/>
        <w:t>lagged</w:t>
      </w:r>
      <w:r>
        <w:rPr>
          <w:spacing w:val="1"/>
        </w:rPr>
        <w:t> </w:t>
      </w:r>
      <w:r>
        <w:rPr/>
        <w:t>by</w:t>
      </w:r>
      <w:r>
        <w:rPr>
          <w:spacing w:val="-5"/>
        </w:rPr>
        <w:t> </w:t>
      </w:r>
      <w:r>
        <w:rPr/>
        <w:t>one </w:t>
      </w:r>
      <w:r>
        <w:rPr>
          <w:spacing w:val="-2"/>
        </w:rPr>
        <w:t>period</w:t>
      </w:r>
    </w:p>
    <w:p>
      <w:pPr>
        <w:pStyle w:val="BodyText"/>
        <w:spacing w:before="275"/>
        <w:ind w:left="1491"/>
      </w:pPr>
      <w:r>
        <w:rPr>
          <w:sz w:val="16"/>
        </w:rPr>
        <w:t>t </w:t>
      </w:r>
      <w:r>
        <w:rPr>
          <w:position w:val="2"/>
        </w:rPr>
        <w:t>=</w:t>
      </w:r>
      <w:r>
        <w:rPr>
          <w:spacing w:val="-2"/>
          <w:position w:val="2"/>
        </w:rPr>
        <w:t> </w:t>
      </w:r>
      <w:r>
        <w:rPr>
          <w:position w:val="2"/>
        </w:rPr>
        <w:t>Error</w:t>
      </w:r>
      <w:r>
        <w:rPr>
          <w:spacing w:val="-3"/>
          <w:position w:val="2"/>
        </w:rPr>
        <w:t> </w:t>
      </w:r>
      <w:r>
        <w:rPr>
          <w:position w:val="2"/>
        </w:rPr>
        <w:t>Correction </w:t>
      </w:r>
      <w:r>
        <w:rPr>
          <w:spacing w:val="-2"/>
          <w:position w:val="2"/>
        </w:rPr>
        <w:t>Mechanism</w:t>
      </w:r>
    </w:p>
    <w:p>
      <w:pPr>
        <w:pStyle w:val="BodyText"/>
        <w:spacing w:before="273"/>
        <w:ind w:left="1431"/>
      </w:pPr>
      <w:r>
        <w:rPr>
          <w:position w:val="2"/>
        </w:rPr>
        <w:t>∑</w:t>
      </w:r>
      <w:r>
        <w:rPr>
          <w:sz w:val="16"/>
        </w:rPr>
        <w:t>t</w:t>
      </w:r>
      <w:r>
        <w:rPr>
          <w:spacing w:val="20"/>
          <w:sz w:val="16"/>
        </w:rPr>
        <w:t> </w:t>
      </w:r>
      <w:r>
        <w:rPr>
          <w:position w:val="2"/>
        </w:rPr>
        <w:t>=</w:t>
      </w:r>
      <w:r>
        <w:rPr>
          <w:spacing w:val="-1"/>
          <w:position w:val="2"/>
        </w:rPr>
        <w:t> </w:t>
      </w:r>
      <w:r>
        <w:rPr>
          <w:position w:val="2"/>
        </w:rPr>
        <w:t>White</w:t>
      </w:r>
      <w:r>
        <w:rPr>
          <w:spacing w:val="-1"/>
          <w:position w:val="2"/>
        </w:rPr>
        <w:t> </w:t>
      </w:r>
      <w:r>
        <w:rPr>
          <w:position w:val="2"/>
        </w:rPr>
        <w:t>Noise</w:t>
      </w:r>
      <w:r>
        <w:rPr>
          <w:spacing w:val="-1"/>
          <w:position w:val="2"/>
        </w:rPr>
        <w:t> </w:t>
      </w:r>
      <w:r>
        <w:rPr>
          <w:spacing w:val="-2"/>
          <w:position w:val="2"/>
        </w:rPr>
        <w:t>Residual</w:t>
      </w:r>
    </w:p>
    <w:p>
      <w:pPr>
        <w:pStyle w:val="Heading6"/>
        <w:spacing w:before="274"/>
        <w:jc w:val="left"/>
      </w:pPr>
      <w:r>
        <w:rPr/>
        <w:t>MODEL</w:t>
      </w:r>
      <w:r>
        <w:rPr>
          <w:spacing w:val="-1"/>
        </w:rPr>
        <w:t> </w:t>
      </w:r>
      <w:r>
        <w:rPr/>
        <w:t>5A</w:t>
      </w:r>
      <w:r>
        <w:rPr>
          <w:spacing w:val="-2"/>
        </w:rPr>
        <w:t> </w:t>
      </w:r>
      <w:r>
        <w:rPr/>
        <w:t>(World Bank</w:t>
      </w:r>
      <w:r>
        <w:rPr>
          <w:spacing w:val="-1"/>
        </w:rPr>
        <w:t> </w:t>
      </w:r>
      <w:r>
        <w:rPr/>
        <w:t>and</w:t>
      </w:r>
      <w:r>
        <w:rPr>
          <w:spacing w:val="-1"/>
        </w:rPr>
        <w:t> </w:t>
      </w:r>
      <w:r>
        <w:rPr/>
        <w:t>Erbe</w:t>
      </w:r>
      <w:r>
        <w:rPr>
          <w:spacing w:val="-2"/>
        </w:rPr>
        <w:t> Approach)</w:t>
      </w:r>
    </w:p>
    <w:p>
      <w:pPr>
        <w:spacing w:before="275"/>
        <w:ind w:left="711" w:right="0" w:firstLine="0"/>
        <w:jc w:val="left"/>
        <w:rPr>
          <w:i/>
          <w:sz w:val="24"/>
        </w:rPr>
      </w:pPr>
      <w:r>
        <w:rPr>
          <w:i/>
          <w:position w:val="2"/>
          <w:sz w:val="24"/>
        </w:rPr>
        <w:t>₰</w:t>
      </w:r>
      <w:r>
        <w:rPr>
          <w:position w:val="2"/>
          <w:sz w:val="24"/>
        </w:rPr>
        <w:t>δ</w:t>
      </w:r>
      <w:r>
        <w:rPr>
          <w:i/>
          <w:position w:val="2"/>
          <w:sz w:val="24"/>
        </w:rPr>
        <w:t>log(GDP</w:t>
      </w:r>
      <w:r>
        <w:rPr>
          <w:i/>
          <w:sz w:val="16"/>
        </w:rPr>
        <w:t>PRESAP</w:t>
      </w:r>
      <w:r>
        <w:rPr>
          <w:i/>
          <w:position w:val="2"/>
          <w:sz w:val="24"/>
        </w:rPr>
        <w:t>)=</w:t>
      </w:r>
      <w:r>
        <w:rPr>
          <w:i/>
          <w:spacing w:val="-9"/>
          <w:position w:val="2"/>
          <w:sz w:val="24"/>
        </w:rPr>
        <w:t> </w:t>
      </w:r>
      <w:r>
        <w:rPr>
          <w:i/>
          <w:position w:val="2"/>
          <w:sz w:val="24"/>
        </w:rPr>
        <w:t>ɸ</w:t>
      </w:r>
      <w:r>
        <w:rPr>
          <w:i/>
          <w:sz w:val="16"/>
        </w:rPr>
        <w:t>0</w:t>
      </w:r>
      <w:r>
        <w:rPr>
          <w:i/>
          <w:spacing w:val="-4"/>
          <w:sz w:val="16"/>
        </w:rPr>
        <w:t> </w:t>
      </w:r>
      <w:r>
        <w:rPr>
          <w:i/>
          <w:position w:val="2"/>
          <w:sz w:val="24"/>
        </w:rPr>
        <w:t>+</w:t>
      </w:r>
      <w:r>
        <w:rPr>
          <w:i/>
          <w:sz w:val="16"/>
        </w:rPr>
        <w:t>1</w:t>
      </w:r>
      <w:r>
        <w:rPr>
          <w:position w:val="2"/>
          <w:sz w:val="24"/>
        </w:rPr>
        <w:t>δ</w:t>
      </w:r>
      <w:r>
        <w:rPr>
          <w:i/>
          <w:position w:val="2"/>
          <w:sz w:val="24"/>
        </w:rPr>
        <w:t>log(EXDEBT)</w:t>
      </w:r>
      <w:r>
        <w:rPr>
          <w:i/>
          <w:sz w:val="16"/>
        </w:rPr>
        <w:t>t-1</w:t>
      </w:r>
      <w:r>
        <w:rPr>
          <w:i/>
          <w:position w:val="2"/>
          <w:sz w:val="24"/>
        </w:rPr>
        <w:t>+</w:t>
      </w:r>
      <w:r>
        <w:rPr>
          <w:i/>
          <w:sz w:val="16"/>
        </w:rPr>
        <w:t>2</w:t>
      </w:r>
      <w:r>
        <w:rPr>
          <w:position w:val="2"/>
          <w:sz w:val="24"/>
        </w:rPr>
        <w:t>δ</w:t>
      </w:r>
      <w:r>
        <w:rPr>
          <w:i/>
          <w:position w:val="2"/>
          <w:sz w:val="24"/>
        </w:rPr>
        <w:t>log(DFI)</w:t>
      </w:r>
      <w:r>
        <w:rPr>
          <w:i/>
          <w:sz w:val="16"/>
        </w:rPr>
        <w:t>t-1</w:t>
      </w:r>
      <w:r>
        <w:rPr>
          <w:i/>
          <w:position w:val="2"/>
          <w:sz w:val="24"/>
        </w:rPr>
        <w:t>+</w:t>
      </w:r>
      <w:r>
        <w:rPr>
          <w:i/>
          <w:sz w:val="16"/>
        </w:rPr>
        <w:t>3</w:t>
      </w:r>
      <w:r>
        <w:rPr>
          <w:position w:val="2"/>
          <w:sz w:val="24"/>
        </w:rPr>
        <w:t>δ</w:t>
      </w:r>
      <w:r>
        <w:rPr>
          <w:i/>
          <w:position w:val="2"/>
          <w:sz w:val="24"/>
        </w:rPr>
        <w:t>log(CAB)</w:t>
      </w:r>
      <w:r>
        <w:rPr>
          <w:i/>
          <w:sz w:val="16"/>
        </w:rPr>
        <w:t>t-1</w:t>
      </w:r>
      <w:r>
        <w:rPr>
          <w:i/>
          <w:spacing w:val="14"/>
          <w:sz w:val="16"/>
        </w:rPr>
        <w:t> </w:t>
      </w:r>
      <w:r>
        <w:rPr>
          <w:i/>
          <w:position w:val="2"/>
          <w:sz w:val="24"/>
        </w:rPr>
        <w:t>+</w:t>
      </w:r>
      <w:r>
        <w:rPr>
          <w:i/>
          <w:spacing w:val="-6"/>
          <w:position w:val="2"/>
          <w:sz w:val="24"/>
        </w:rPr>
        <w:t> </w:t>
      </w:r>
      <w:r>
        <w:rPr>
          <w:i/>
          <w:sz w:val="16"/>
        </w:rPr>
        <w:t>4</w:t>
      </w:r>
      <w:r>
        <w:rPr>
          <w:position w:val="2"/>
          <w:sz w:val="24"/>
        </w:rPr>
        <w:t>δ</w:t>
      </w:r>
      <w:r>
        <w:rPr>
          <w:i/>
          <w:position w:val="2"/>
          <w:sz w:val="24"/>
        </w:rPr>
        <w:t>log(RES)</w:t>
      </w:r>
      <w:r>
        <w:rPr>
          <w:i/>
          <w:sz w:val="16"/>
        </w:rPr>
        <w:t>t-1</w:t>
      </w:r>
      <w:r>
        <w:rPr>
          <w:i/>
          <w:spacing w:val="14"/>
          <w:sz w:val="16"/>
        </w:rPr>
        <w:t> </w:t>
      </w:r>
      <w:r>
        <w:rPr>
          <w:i/>
          <w:spacing w:val="-10"/>
          <w:position w:val="2"/>
          <w:sz w:val="24"/>
        </w:rPr>
        <w:t>+</w:t>
      </w:r>
    </w:p>
    <w:p>
      <w:pPr>
        <w:tabs>
          <w:tab w:pos="9547" w:val="left" w:leader="dot"/>
        </w:tabs>
        <w:spacing w:before="274"/>
        <w:ind w:left="711" w:right="0" w:firstLine="0"/>
        <w:jc w:val="left"/>
        <w:rPr>
          <w:sz w:val="24"/>
        </w:rPr>
      </w:pPr>
      <w:r>
        <w:rPr>
          <w:i/>
          <w:sz w:val="16"/>
        </w:rPr>
        <w:t>t-1</w:t>
      </w:r>
      <w:r>
        <w:rPr>
          <w:i/>
          <w:spacing w:val="18"/>
          <w:sz w:val="16"/>
        </w:rPr>
        <w:t> </w:t>
      </w:r>
      <w:r>
        <w:rPr>
          <w:i/>
          <w:position w:val="2"/>
          <w:sz w:val="24"/>
        </w:rPr>
        <w:t>+</w:t>
      </w:r>
      <w:r>
        <w:rPr>
          <w:i/>
          <w:spacing w:val="-3"/>
          <w:position w:val="2"/>
          <w:sz w:val="24"/>
        </w:rPr>
        <w:t> </w:t>
      </w:r>
      <w:r>
        <w:rPr>
          <w:i/>
          <w:position w:val="2"/>
          <w:sz w:val="24"/>
        </w:rPr>
        <w:t>∑</w:t>
      </w:r>
      <w:r>
        <w:rPr>
          <w:i/>
          <w:sz w:val="16"/>
        </w:rPr>
        <w:t>t</w:t>
      </w:r>
      <w:r>
        <w:rPr>
          <w:i/>
          <w:spacing w:val="20"/>
          <w:sz w:val="16"/>
        </w:rPr>
        <w:t> </w:t>
      </w:r>
      <w:r>
        <w:rPr>
          <w:spacing w:val="-10"/>
          <w:position w:val="2"/>
          <w:sz w:val="24"/>
        </w:rPr>
        <w:t>.</w:t>
      </w:r>
      <w:r>
        <w:rPr>
          <w:position w:val="2"/>
          <w:sz w:val="24"/>
        </w:rPr>
        <w:tab/>
      </w:r>
      <w:r>
        <w:rPr>
          <w:spacing w:val="-2"/>
          <w:position w:val="2"/>
          <w:sz w:val="24"/>
        </w:rPr>
        <w:t>(3.46)</w:t>
      </w:r>
    </w:p>
    <w:p>
      <w:pPr>
        <w:pStyle w:val="BodyText"/>
        <w:spacing w:before="274"/>
        <w:ind w:left="2151"/>
      </w:pPr>
      <w:r>
        <w:rPr>
          <w:spacing w:val="-2"/>
        </w:rPr>
        <w:t>Where:</w:t>
      </w:r>
    </w:p>
    <w:p>
      <w:pPr>
        <w:pStyle w:val="BodyText"/>
      </w:pPr>
    </w:p>
    <w:p>
      <w:pPr>
        <w:pStyle w:val="BodyText"/>
        <w:spacing w:before="1"/>
        <w:ind w:left="2151"/>
      </w:pPr>
      <w:r>
        <w:rPr/>
        <w:t>t-1</w:t>
      </w:r>
      <w:r>
        <w:rPr>
          <w:spacing w:val="-2"/>
        </w:rPr>
        <w:t> </w:t>
      </w:r>
      <w:r>
        <w:rPr/>
        <w:t>=</w:t>
      </w:r>
      <w:r>
        <w:rPr>
          <w:spacing w:val="-1"/>
        </w:rPr>
        <w:t> </w:t>
      </w:r>
      <w:r>
        <w:rPr/>
        <w:t>Meaning</w:t>
      </w:r>
      <w:r>
        <w:rPr>
          <w:spacing w:val="-2"/>
        </w:rPr>
        <w:t> </w:t>
      </w:r>
      <w:r>
        <w:rPr/>
        <w:t>the were</w:t>
      </w:r>
      <w:r>
        <w:rPr>
          <w:spacing w:val="-2"/>
        </w:rPr>
        <w:t> </w:t>
      </w:r>
      <w:r>
        <w:rPr/>
        <w:t>lagged</w:t>
      </w:r>
      <w:r>
        <w:rPr>
          <w:spacing w:val="1"/>
        </w:rPr>
        <w:t> </w:t>
      </w:r>
      <w:r>
        <w:rPr/>
        <w:t>by</w:t>
      </w:r>
      <w:r>
        <w:rPr>
          <w:spacing w:val="-5"/>
        </w:rPr>
        <w:t> </w:t>
      </w:r>
      <w:r>
        <w:rPr/>
        <w:t>one </w:t>
      </w:r>
      <w:r>
        <w:rPr>
          <w:spacing w:val="-2"/>
        </w:rPr>
        <w:t>period</w:t>
      </w:r>
    </w:p>
    <w:p>
      <w:pPr>
        <w:pStyle w:val="BodyText"/>
        <w:spacing w:before="275"/>
        <w:ind w:left="2211"/>
      </w:pPr>
      <w:r>
        <w:rPr>
          <w:sz w:val="16"/>
        </w:rPr>
        <w:t>t </w:t>
      </w:r>
      <w:r>
        <w:rPr>
          <w:position w:val="2"/>
        </w:rPr>
        <w:t>=</w:t>
      </w:r>
      <w:r>
        <w:rPr>
          <w:spacing w:val="-2"/>
          <w:position w:val="2"/>
        </w:rPr>
        <w:t> </w:t>
      </w:r>
      <w:r>
        <w:rPr>
          <w:position w:val="2"/>
        </w:rPr>
        <w:t>Error</w:t>
      </w:r>
      <w:r>
        <w:rPr>
          <w:spacing w:val="-3"/>
          <w:position w:val="2"/>
        </w:rPr>
        <w:t> </w:t>
      </w:r>
      <w:r>
        <w:rPr>
          <w:position w:val="2"/>
        </w:rPr>
        <w:t>Correction </w:t>
      </w:r>
      <w:r>
        <w:rPr>
          <w:spacing w:val="-2"/>
          <w:position w:val="2"/>
        </w:rPr>
        <w:t>Mechanism</w:t>
      </w:r>
    </w:p>
    <w:p>
      <w:pPr>
        <w:pStyle w:val="BodyText"/>
        <w:spacing w:before="273"/>
        <w:ind w:left="2151"/>
      </w:pPr>
      <w:r>
        <w:rPr>
          <w:position w:val="2"/>
        </w:rPr>
        <w:t>∑</w:t>
      </w:r>
      <w:r>
        <w:rPr>
          <w:sz w:val="16"/>
        </w:rPr>
        <w:t>t</w:t>
      </w:r>
      <w:r>
        <w:rPr>
          <w:spacing w:val="20"/>
          <w:sz w:val="16"/>
        </w:rPr>
        <w:t> </w:t>
      </w:r>
      <w:r>
        <w:rPr>
          <w:position w:val="2"/>
        </w:rPr>
        <w:t>=</w:t>
      </w:r>
      <w:r>
        <w:rPr>
          <w:spacing w:val="-1"/>
          <w:position w:val="2"/>
        </w:rPr>
        <w:t> </w:t>
      </w:r>
      <w:r>
        <w:rPr>
          <w:position w:val="2"/>
        </w:rPr>
        <w:t>White</w:t>
      </w:r>
      <w:r>
        <w:rPr>
          <w:spacing w:val="-1"/>
          <w:position w:val="2"/>
        </w:rPr>
        <w:t> </w:t>
      </w:r>
      <w:r>
        <w:rPr>
          <w:position w:val="2"/>
        </w:rPr>
        <w:t>Noise</w:t>
      </w:r>
      <w:r>
        <w:rPr>
          <w:spacing w:val="-1"/>
          <w:position w:val="2"/>
        </w:rPr>
        <w:t> </w:t>
      </w:r>
      <w:r>
        <w:rPr>
          <w:spacing w:val="-2"/>
          <w:position w:val="2"/>
        </w:rPr>
        <w:t>Residual</w:t>
      </w:r>
    </w:p>
    <w:p>
      <w:pPr>
        <w:spacing w:after="0"/>
        <w:sectPr>
          <w:pgSz w:w="11910" w:h="16840"/>
          <w:pgMar w:header="0" w:footer="979" w:top="1360" w:bottom="1240" w:left="280" w:right="0"/>
        </w:sectPr>
      </w:pPr>
    </w:p>
    <w:p>
      <w:pPr>
        <w:pStyle w:val="Heading6"/>
        <w:spacing w:before="60"/>
        <w:jc w:val="left"/>
      </w:pPr>
      <w:r>
        <w:rPr/>
        <w:t>MODEL</w:t>
      </w:r>
      <w:r>
        <w:rPr>
          <w:spacing w:val="-1"/>
        </w:rPr>
        <w:t> </w:t>
      </w:r>
      <w:r>
        <w:rPr/>
        <w:t>5B</w:t>
      </w:r>
      <w:r>
        <w:rPr>
          <w:spacing w:val="-2"/>
        </w:rPr>
        <w:t> </w:t>
      </w:r>
      <w:r>
        <w:rPr/>
        <w:t>(Morgan</w:t>
      </w:r>
      <w:r>
        <w:rPr>
          <w:spacing w:val="-1"/>
        </w:rPr>
        <w:t> </w:t>
      </w:r>
      <w:r>
        <w:rPr/>
        <w:t>Trust</w:t>
      </w:r>
      <w:r>
        <w:rPr>
          <w:spacing w:val="-2"/>
        </w:rPr>
        <w:t> </w:t>
      </w:r>
      <w:r>
        <w:rPr/>
        <w:t>(1986)</w:t>
      </w:r>
      <w:r>
        <w:rPr>
          <w:spacing w:val="-2"/>
        </w:rPr>
        <w:t> Approach)</w:t>
      </w:r>
    </w:p>
    <w:p>
      <w:pPr>
        <w:pStyle w:val="BodyText"/>
        <w:rPr>
          <w:b/>
        </w:rPr>
      </w:pPr>
    </w:p>
    <w:p>
      <w:pPr>
        <w:tabs>
          <w:tab w:pos="5670" w:val="left" w:leader="dot"/>
        </w:tabs>
        <w:spacing w:line="477" w:lineRule="auto" w:before="0"/>
        <w:ind w:left="711" w:right="585" w:firstLine="0"/>
        <w:jc w:val="left"/>
        <w:rPr>
          <w:sz w:val="24"/>
          <w:szCs w:val="24"/>
        </w:rPr>
      </w:pPr>
      <w:r>
        <w:rPr>
          <w:spacing w:val="-2"/>
          <w:position w:val="2"/>
          <w:sz w:val="24"/>
          <w:szCs w:val="24"/>
        </w:rPr>
        <w:t>₰logδ(GDP</w:t>
      </w:r>
      <w:r>
        <w:rPr>
          <w:i/>
          <w:iCs/>
          <w:spacing w:val="-2"/>
          <w:sz w:val="16"/>
          <w:szCs w:val="16"/>
        </w:rPr>
        <w:t>PRESAP</w:t>
      </w:r>
      <w:r>
        <w:rPr>
          <w:spacing w:val="-2"/>
          <w:position w:val="2"/>
          <w:sz w:val="24"/>
          <w:szCs w:val="24"/>
        </w:rPr>
        <w:t>)=</w:t>
      </w:r>
      <w:r>
        <w:rPr>
          <w:i/>
          <w:iCs/>
          <w:spacing w:val="-2"/>
          <w:position w:val="2"/>
          <w:sz w:val="24"/>
          <w:szCs w:val="24"/>
        </w:rPr>
        <w:t>Ϙ</w:t>
      </w:r>
      <w:r>
        <w:rPr>
          <w:i/>
          <w:iCs/>
          <w:spacing w:val="-2"/>
          <w:sz w:val="16"/>
          <w:szCs w:val="16"/>
        </w:rPr>
        <w:t>0</w:t>
      </w:r>
      <w:r>
        <w:rPr>
          <w:spacing w:val="-2"/>
          <w:position w:val="2"/>
          <w:sz w:val="24"/>
          <w:szCs w:val="24"/>
        </w:rPr>
        <w:t>+</w:t>
      </w:r>
      <w:r>
        <w:rPr>
          <w:spacing w:val="-2"/>
          <w:sz w:val="16"/>
          <w:szCs w:val="16"/>
        </w:rPr>
        <w:t>1</w:t>
      </w:r>
      <w:r>
        <w:rPr>
          <w:spacing w:val="-2"/>
          <w:position w:val="2"/>
          <w:sz w:val="24"/>
          <w:szCs w:val="24"/>
        </w:rPr>
        <w:t>δlog(EXDEBT)</w:t>
      </w:r>
      <w:r>
        <w:rPr>
          <w:spacing w:val="-2"/>
          <w:sz w:val="16"/>
          <w:szCs w:val="16"/>
        </w:rPr>
        <w:t>t-1</w:t>
      </w:r>
      <w:r>
        <w:rPr>
          <w:spacing w:val="-2"/>
          <w:position w:val="2"/>
          <w:sz w:val="24"/>
          <w:szCs w:val="24"/>
        </w:rPr>
        <w:t>+</w:t>
      </w:r>
      <w:r>
        <w:rPr>
          <w:spacing w:val="-2"/>
          <w:sz w:val="16"/>
          <w:szCs w:val="16"/>
        </w:rPr>
        <w:t>2</w:t>
      </w:r>
      <w:r>
        <w:rPr>
          <w:spacing w:val="-2"/>
          <w:position w:val="2"/>
          <w:sz w:val="24"/>
          <w:szCs w:val="24"/>
        </w:rPr>
        <w:t>δlog(DFI)</w:t>
      </w:r>
      <w:r>
        <w:rPr>
          <w:spacing w:val="-2"/>
          <w:sz w:val="16"/>
          <w:szCs w:val="16"/>
        </w:rPr>
        <w:t>t-1</w:t>
      </w:r>
      <w:r>
        <w:rPr>
          <w:spacing w:val="-2"/>
          <w:position w:val="2"/>
          <w:sz w:val="24"/>
          <w:szCs w:val="24"/>
        </w:rPr>
        <w:t>+</w:t>
      </w:r>
      <w:r>
        <w:rPr>
          <w:spacing w:val="-2"/>
          <w:sz w:val="16"/>
          <w:szCs w:val="16"/>
        </w:rPr>
        <w:t>3</w:t>
      </w:r>
      <w:r>
        <w:rPr>
          <w:spacing w:val="-2"/>
          <w:position w:val="2"/>
          <w:sz w:val="24"/>
          <w:szCs w:val="24"/>
        </w:rPr>
        <w:t>δlog(CAB)</w:t>
      </w:r>
      <w:r>
        <w:rPr>
          <w:spacing w:val="-2"/>
          <w:sz w:val="16"/>
          <w:szCs w:val="16"/>
        </w:rPr>
        <w:t>t-1</w:t>
      </w:r>
      <w:r>
        <w:rPr>
          <w:spacing w:val="-2"/>
          <w:position w:val="2"/>
          <w:sz w:val="24"/>
          <w:szCs w:val="24"/>
        </w:rPr>
        <w:t>+</w:t>
      </w:r>
      <w:r>
        <w:rPr>
          <w:i/>
          <w:iCs/>
          <w:spacing w:val="-2"/>
          <w:sz w:val="16"/>
          <w:szCs w:val="16"/>
        </w:rPr>
        <w:t>4</w:t>
      </w:r>
      <w:r>
        <w:rPr>
          <w:spacing w:val="-2"/>
          <w:position w:val="2"/>
          <w:sz w:val="24"/>
          <w:szCs w:val="24"/>
        </w:rPr>
        <w:t>δ</w:t>
      </w:r>
      <w:r>
        <w:rPr>
          <w:i/>
          <w:iCs/>
          <w:spacing w:val="-2"/>
          <w:position w:val="2"/>
          <w:sz w:val="24"/>
          <w:szCs w:val="24"/>
        </w:rPr>
        <w:t>log(RES)</w:t>
      </w:r>
      <w:r>
        <w:rPr>
          <w:i/>
          <w:iCs/>
          <w:spacing w:val="-2"/>
          <w:sz w:val="16"/>
          <w:szCs w:val="16"/>
        </w:rPr>
        <w:t>t-1</w:t>
      </w:r>
      <w:r>
        <w:rPr>
          <w:i/>
          <w:iCs/>
          <w:spacing w:val="-2"/>
          <w:position w:val="2"/>
          <w:sz w:val="24"/>
          <w:szCs w:val="24"/>
        </w:rPr>
        <w:t>+</w:t>
      </w:r>
      <w:r>
        <w:rPr>
          <w:i/>
          <w:iCs/>
          <w:spacing w:val="-2"/>
          <w:sz w:val="16"/>
          <w:szCs w:val="16"/>
        </w:rPr>
        <w:t>5</w:t>
      </w:r>
      <w:r>
        <w:rPr>
          <w:spacing w:val="-2"/>
          <w:position w:val="2"/>
          <w:sz w:val="24"/>
          <w:szCs w:val="24"/>
        </w:rPr>
        <w:t>δ</w:t>
      </w:r>
      <w:r>
        <w:rPr>
          <w:i/>
          <w:iCs/>
          <w:spacing w:val="-2"/>
          <w:position w:val="2"/>
          <w:sz w:val="24"/>
          <w:szCs w:val="24"/>
        </w:rPr>
        <w:t>log(NEXTAS)</w:t>
      </w:r>
      <w:r>
        <w:rPr>
          <w:i/>
          <w:iCs/>
          <w:spacing w:val="-2"/>
          <w:sz w:val="16"/>
          <w:szCs w:val="16"/>
        </w:rPr>
        <w:t>t-1</w:t>
      </w:r>
      <w:r>
        <w:rPr>
          <w:i/>
          <w:iCs/>
          <w:spacing w:val="-2"/>
          <w:position w:val="2"/>
          <w:sz w:val="24"/>
          <w:szCs w:val="24"/>
        </w:rPr>
        <w:t>+</w:t>
      </w:r>
      <w:r>
        <w:rPr>
          <w:i/>
          <w:iCs/>
          <w:spacing w:val="-2"/>
          <w:sz w:val="16"/>
          <w:szCs w:val="16"/>
        </w:rPr>
        <w:t>t-</w:t>
      </w:r>
      <w:r>
        <w:rPr>
          <w:i/>
          <w:iCs/>
          <w:spacing w:val="40"/>
          <w:sz w:val="16"/>
          <w:szCs w:val="16"/>
        </w:rPr>
        <w:t> </w:t>
      </w:r>
      <w:r>
        <w:rPr>
          <w:i/>
          <w:iCs/>
          <w:spacing w:val="-4"/>
          <w:sz w:val="16"/>
          <w:szCs w:val="16"/>
        </w:rPr>
        <w:t>1</w:t>
      </w:r>
      <w:r>
        <w:rPr>
          <w:i/>
          <w:iCs/>
          <w:spacing w:val="-4"/>
          <w:position w:val="2"/>
          <w:sz w:val="24"/>
          <w:szCs w:val="24"/>
        </w:rPr>
        <w:t>+∑</w:t>
      </w:r>
      <w:r>
        <w:rPr>
          <w:i/>
          <w:iCs/>
          <w:spacing w:val="-4"/>
          <w:sz w:val="16"/>
          <w:szCs w:val="16"/>
        </w:rPr>
        <w:t>t</w:t>
      </w:r>
      <w:r>
        <w:rPr>
          <w:i/>
          <w:iCs/>
          <w:sz w:val="16"/>
          <w:szCs w:val="16"/>
        </w:rPr>
        <w:tab/>
      </w:r>
      <w:r>
        <w:rPr>
          <w:spacing w:val="-2"/>
          <w:position w:val="2"/>
          <w:sz w:val="24"/>
          <w:szCs w:val="24"/>
        </w:rPr>
        <w:t>(3.47)</w:t>
      </w:r>
    </w:p>
    <w:p>
      <w:pPr>
        <w:pStyle w:val="BodyText"/>
        <w:spacing w:before="1"/>
        <w:ind w:left="1431"/>
      </w:pPr>
      <w:r>
        <w:rPr>
          <w:spacing w:val="-2"/>
        </w:rPr>
        <w:t>Where:</w:t>
      </w:r>
    </w:p>
    <w:p>
      <w:pPr>
        <w:pStyle w:val="BodyText"/>
      </w:pPr>
    </w:p>
    <w:p>
      <w:pPr>
        <w:pStyle w:val="BodyText"/>
        <w:ind w:left="1431"/>
      </w:pPr>
      <w:r>
        <w:rPr/>
        <w:t>t-1</w:t>
      </w:r>
      <w:r>
        <w:rPr>
          <w:spacing w:val="-2"/>
        </w:rPr>
        <w:t> </w:t>
      </w:r>
      <w:r>
        <w:rPr/>
        <w:t>=</w:t>
      </w:r>
      <w:r>
        <w:rPr>
          <w:spacing w:val="-1"/>
        </w:rPr>
        <w:t> </w:t>
      </w:r>
      <w:r>
        <w:rPr/>
        <w:t>Meaning</w:t>
      </w:r>
      <w:r>
        <w:rPr>
          <w:spacing w:val="-2"/>
        </w:rPr>
        <w:t> </w:t>
      </w:r>
      <w:r>
        <w:rPr/>
        <w:t>the were</w:t>
      </w:r>
      <w:r>
        <w:rPr>
          <w:spacing w:val="-2"/>
        </w:rPr>
        <w:t> </w:t>
      </w:r>
      <w:r>
        <w:rPr/>
        <w:t>lagged</w:t>
      </w:r>
      <w:r>
        <w:rPr>
          <w:spacing w:val="1"/>
        </w:rPr>
        <w:t> </w:t>
      </w:r>
      <w:r>
        <w:rPr/>
        <w:t>by</w:t>
      </w:r>
      <w:r>
        <w:rPr>
          <w:spacing w:val="-5"/>
        </w:rPr>
        <w:t> </w:t>
      </w:r>
      <w:r>
        <w:rPr/>
        <w:t>one </w:t>
      </w:r>
      <w:r>
        <w:rPr>
          <w:spacing w:val="-2"/>
        </w:rPr>
        <w:t>period</w:t>
      </w:r>
    </w:p>
    <w:p>
      <w:pPr>
        <w:pStyle w:val="BodyText"/>
        <w:spacing w:before="275"/>
        <w:ind w:left="1491"/>
      </w:pPr>
      <w:r>
        <w:rPr>
          <w:sz w:val="16"/>
        </w:rPr>
        <w:t>t </w:t>
      </w:r>
      <w:r>
        <w:rPr>
          <w:position w:val="2"/>
        </w:rPr>
        <w:t>=</w:t>
      </w:r>
      <w:r>
        <w:rPr>
          <w:spacing w:val="-2"/>
          <w:position w:val="2"/>
        </w:rPr>
        <w:t> </w:t>
      </w:r>
      <w:r>
        <w:rPr>
          <w:position w:val="2"/>
        </w:rPr>
        <w:t>Error</w:t>
      </w:r>
      <w:r>
        <w:rPr>
          <w:spacing w:val="-3"/>
          <w:position w:val="2"/>
        </w:rPr>
        <w:t> </w:t>
      </w:r>
      <w:r>
        <w:rPr>
          <w:position w:val="2"/>
        </w:rPr>
        <w:t>Correction </w:t>
      </w:r>
      <w:r>
        <w:rPr>
          <w:spacing w:val="-2"/>
          <w:position w:val="2"/>
        </w:rPr>
        <w:t>Mechanism</w:t>
      </w:r>
    </w:p>
    <w:p>
      <w:pPr>
        <w:pStyle w:val="BodyText"/>
        <w:spacing w:before="274"/>
        <w:ind w:left="1431"/>
      </w:pPr>
      <w:r>
        <w:rPr>
          <w:position w:val="2"/>
        </w:rPr>
        <w:t>∑</w:t>
      </w:r>
      <w:r>
        <w:rPr>
          <w:sz w:val="16"/>
        </w:rPr>
        <w:t>t</w:t>
      </w:r>
      <w:r>
        <w:rPr>
          <w:spacing w:val="20"/>
          <w:sz w:val="16"/>
        </w:rPr>
        <w:t> </w:t>
      </w:r>
      <w:r>
        <w:rPr>
          <w:position w:val="2"/>
        </w:rPr>
        <w:t>=</w:t>
      </w:r>
      <w:r>
        <w:rPr>
          <w:spacing w:val="-1"/>
          <w:position w:val="2"/>
        </w:rPr>
        <w:t> </w:t>
      </w:r>
      <w:r>
        <w:rPr>
          <w:position w:val="2"/>
        </w:rPr>
        <w:t>White</w:t>
      </w:r>
      <w:r>
        <w:rPr>
          <w:spacing w:val="-1"/>
          <w:position w:val="2"/>
        </w:rPr>
        <w:t> </w:t>
      </w:r>
      <w:r>
        <w:rPr>
          <w:position w:val="2"/>
        </w:rPr>
        <w:t>Noise</w:t>
      </w:r>
      <w:r>
        <w:rPr>
          <w:spacing w:val="-1"/>
          <w:position w:val="2"/>
        </w:rPr>
        <w:t> </w:t>
      </w:r>
      <w:r>
        <w:rPr>
          <w:spacing w:val="-2"/>
          <w:position w:val="2"/>
        </w:rPr>
        <w:t>Residual</w:t>
      </w:r>
    </w:p>
    <w:p>
      <w:pPr>
        <w:pStyle w:val="Heading6"/>
        <w:spacing w:before="274"/>
        <w:jc w:val="left"/>
      </w:pPr>
      <w:r>
        <w:rPr/>
        <w:t>MODEL</w:t>
      </w:r>
      <w:r>
        <w:rPr>
          <w:spacing w:val="-1"/>
        </w:rPr>
        <w:t> </w:t>
      </w:r>
      <w:r>
        <w:rPr/>
        <w:t>6A</w:t>
      </w:r>
      <w:r>
        <w:rPr>
          <w:spacing w:val="-2"/>
        </w:rPr>
        <w:t> </w:t>
      </w:r>
      <w:r>
        <w:rPr/>
        <w:t>(World Bank</w:t>
      </w:r>
      <w:r>
        <w:rPr>
          <w:spacing w:val="-1"/>
        </w:rPr>
        <w:t> </w:t>
      </w:r>
      <w:r>
        <w:rPr/>
        <w:t>and</w:t>
      </w:r>
      <w:r>
        <w:rPr>
          <w:spacing w:val="-1"/>
        </w:rPr>
        <w:t> </w:t>
      </w:r>
      <w:r>
        <w:rPr/>
        <w:t>Erbe</w:t>
      </w:r>
      <w:r>
        <w:rPr>
          <w:spacing w:val="-2"/>
        </w:rPr>
        <w:t> Approach)</w:t>
      </w:r>
    </w:p>
    <w:p>
      <w:pPr>
        <w:spacing w:before="276"/>
        <w:ind w:left="711" w:right="0" w:firstLine="0"/>
        <w:jc w:val="left"/>
        <w:rPr>
          <w:i/>
          <w:sz w:val="24"/>
        </w:rPr>
      </w:pPr>
      <w:r>
        <w:rPr>
          <w:i/>
          <w:position w:val="2"/>
          <w:sz w:val="24"/>
        </w:rPr>
        <w:t>₰</w:t>
      </w:r>
      <w:r>
        <w:rPr>
          <w:position w:val="2"/>
          <w:sz w:val="24"/>
        </w:rPr>
        <w:t>δ</w:t>
      </w:r>
      <w:r>
        <w:rPr>
          <w:i/>
          <w:position w:val="2"/>
          <w:sz w:val="24"/>
        </w:rPr>
        <w:t>log(GDP</w:t>
      </w:r>
      <w:r>
        <w:rPr>
          <w:i/>
          <w:sz w:val="16"/>
        </w:rPr>
        <w:t>PRESAP</w:t>
      </w:r>
      <w:r>
        <w:rPr>
          <w:i/>
          <w:position w:val="2"/>
          <w:sz w:val="24"/>
        </w:rPr>
        <w:t>=</w:t>
      </w:r>
      <w:r>
        <w:rPr>
          <w:i/>
          <w:spacing w:val="-11"/>
          <w:position w:val="2"/>
          <w:sz w:val="24"/>
        </w:rPr>
        <w:t> </w:t>
      </w:r>
      <w:r>
        <w:rPr>
          <w:i/>
          <w:sz w:val="16"/>
        </w:rPr>
        <w:t>χ0</w:t>
      </w:r>
      <w:r>
        <w:rPr>
          <w:i/>
          <w:spacing w:val="-3"/>
          <w:sz w:val="16"/>
        </w:rPr>
        <w:t> </w:t>
      </w:r>
      <w:r>
        <w:rPr>
          <w:i/>
          <w:position w:val="2"/>
          <w:sz w:val="24"/>
        </w:rPr>
        <w:t>+</w:t>
      </w:r>
      <w:r>
        <w:rPr>
          <w:i/>
          <w:sz w:val="16"/>
        </w:rPr>
        <w:t>1</w:t>
      </w:r>
      <w:r>
        <w:rPr>
          <w:position w:val="2"/>
          <w:sz w:val="24"/>
        </w:rPr>
        <w:t>δ</w:t>
      </w:r>
      <w:r>
        <w:rPr>
          <w:i/>
          <w:position w:val="2"/>
          <w:sz w:val="24"/>
        </w:rPr>
        <w:t>log(EXDEBT)</w:t>
      </w:r>
      <w:r>
        <w:rPr>
          <w:i/>
          <w:sz w:val="16"/>
        </w:rPr>
        <w:t>t-1</w:t>
      </w:r>
      <w:r>
        <w:rPr>
          <w:i/>
          <w:position w:val="2"/>
          <w:sz w:val="24"/>
        </w:rPr>
        <w:t>+</w:t>
      </w:r>
      <w:r>
        <w:rPr>
          <w:i/>
          <w:sz w:val="16"/>
        </w:rPr>
        <w:t>2</w:t>
      </w:r>
      <w:r>
        <w:rPr>
          <w:position w:val="2"/>
          <w:sz w:val="24"/>
        </w:rPr>
        <w:t>δ</w:t>
      </w:r>
      <w:r>
        <w:rPr>
          <w:i/>
          <w:position w:val="2"/>
          <w:sz w:val="24"/>
        </w:rPr>
        <w:t>log(DFI)</w:t>
      </w:r>
      <w:r>
        <w:rPr>
          <w:i/>
          <w:sz w:val="16"/>
        </w:rPr>
        <w:t>t-1</w:t>
      </w:r>
      <w:r>
        <w:rPr>
          <w:i/>
          <w:position w:val="2"/>
          <w:sz w:val="24"/>
        </w:rPr>
        <w:t>+</w:t>
      </w:r>
      <w:r>
        <w:rPr>
          <w:i/>
          <w:sz w:val="16"/>
        </w:rPr>
        <w:t>3</w:t>
      </w:r>
      <w:r>
        <w:rPr>
          <w:position w:val="2"/>
          <w:sz w:val="24"/>
        </w:rPr>
        <w:t>δ</w:t>
      </w:r>
      <w:r>
        <w:rPr>
          <w:i/>
          <w:position w:val="2"/>
          <w:sz w:val="24"/>
        </w:rPr>
        <w:t>log(CAB)</w:t>
      </w:r>
      <w:r>
        <w:rPr>
          <w:i/>
          <w:sz w:val="16"/>
        </w:rPr>
        <w:t>t-1</w:t>
      </w:r>
      <w:r>
        <w:rPr>
          <w:i/>
          <w:spacing w:val="12"/>
          <w:sz w:val="16"/>
        </w:rPr>
        <w:t> </w:t>
      </w:r>
      <w:r>
        <w:rPr>
          <w:i/>
          <w:position w:val="2"/>
          <w:sz w:val="24"/>
        </w:rPr>
        <w:t>+</w:t>
      </w:r>
      <w:r>
        <w:rPr>
          <w:i/>
          <w:sz w:val="16"/>
        </w:rPr>
        <w:t>4</w:t>
      </w:r>
      <w:r>
        <w:rPr>
          <w:position w:val="2"/>
          <w:sz w:val="24"/>
        </w:rPr>
        <w:t>δ</w:t>
      </w:r>
      <w:r>
        <w:rPr>
          <w:i/>
          <w:position w:val="2"/>
          <w:sz w:val="24"/>
        </w:rPr>
        <w:t>log(RES)</w:t>
      </w:r>
      <w:r>
        <w:rPr>
          <w:i/>
          <w:sz w:val="16"/>
        </w:rPr>
        <w:t>t-1</w:t>
      </w:r>
      <w:r>
        <w:rPr>
          <w:i/>
          <w:spacing w:val="13"/>
          <w:sz w:val="16"/>
        </w:rPr>
        <w:t> </w:t>
      </w:r>
      <w:r>
        <w:rPr>
          <w:i/>
          <w:spacing w:val="-10"/>
          <w:position w:val="2"/>
          <w:sz w:val="24"/>
        </w:rPr>
        <w:t>+</w:t>
      </w:r>
    </w:p>
    <w:p>
      <w:pPr>
        <w:tabs>
          <w:tab w:pos="7026" w:val="left" w:leader="dot"/>
        </w:tabs>
        <w:spacing w:before="273"/>
        <w:ind w:left="711" w:right="0" w:firstLine="0"/>
        <w:jc w:val="left"/>
        <w:rPr>
          <w:sz w:val="24"/>
        </w:rPr>
      </w:pPr>
      <w:r>
        <w:rPr>
          <w:i/>
          <w:sz w:val="16"/>
        </w:rPr>
        <w:t>t-1</w:t>
      </w:r>
      <w:r>
        <w:rPr>
          <w:i/>
          <w:spacing w:val="18"/>
          <w:sz w:val="16"/>
        </w:rPr>
        <w:t> </w:t>
      </w:r>
      <w:r>
        <w:rPr>
          <w:i/>
          <w:position w:val="2"/>
          <w:sz w:val="24"/>
        </w:rPr>
        <w:t>+</w:t>
      </w:r>
      <w:r>
        <w:rPr>
          <w:i/>
          <w:spacing w:val="-3"/>
          <w:position w:val="2"/>
          <w:sz w:val="24"/>
        </w:rPr>
        <w:t> </w:t>
      </w:r>
      <w:r>
        <w:rPr>
          <w:i/>
          <w:position w:val="2"/>
          <w:sz w:val="24"/>
        </w:rPr>
        <w:t>∑</w:t>
      </w:r>
      <w:r>
        <w:rPr>
          <w:i/>
          <w:sz w:val="16"/>
        </w:rPr>
        <w:t>t</w:t>
      </w:r>
      <w:r>
        <w:rPr>
          <w:i/>
          <w:spacing w:val="20"/>
          <w:sz w:val="16"/>
        </w:rPr>
        <w:t> </w:t>
      </w:r>
      <w:r>
        <w:rPr>
          <w:spacing w:val="-10"/>
          <w:position w:val="2"/>
          <w:sz w:val="24"/>
        </w:rPr>
        <w:t>.</w:t>
      </w:r>
      <w:r>
        <w:rPr>
          <w:position w:val="2"/>
          <w:sz w:val="24"/>
        </w:rPr>
        <w:tab/>
      </w:r>
      <w:r>
        <w:rPr>
          <w:spacing w:val="-2"/>
          <w:position w:val="2"/>
          <w:sz w:val="24"/>
        </w:rPr>
        <w:t>(3.48)</w:t>
      </w:r>
    </w:p>
    <w:p>
      <w:pPr>
        <w:pStyle w:val="BodyText"/>
        <w:spacing w:before="274"/>
        <w:ind w:left="2151"/>
      </w:pPr>
      <w:r>
        <w:rPr>
          <w:spacing w:val="-2"/>
        </w:rPr>
        <w:t>Where:</w:t>
      </w:r>
    </w:p>
    <w:p>
      <w:pPr>
        <w:pStyle w:val="BodyText"/>
      </w:pPr>
    </w:p>
    <w:p>
      <w:pPr>
        <w:pStyle w:val="BodyText"/>
        <w:ind w:left="2151"/>
      </w:pPr>
      <w:r>
        <w:rPr/>
        <w:t>t-1</w:t>
      </w:r>
      <w:r>
        <w:rPr>
          <w:spacing w:val="-2"/>
        </w:rPr>
        <w:t> </w:t>
      </w:r>
      <w:r>
        <w:rPr/>
        <w:t>=</w:t>
      </w:r>
      <w:r>
        <w:rPr>
          <w:spacing w:val="-1"/>
        </w:rPr>
        <w:t> </w:t>
      </w:r>
      <w:r>
        <w:rPr/>
        <w:t>Meaning</w:t>
      </w:r>
      <w:r>
        <w:rPr>
          <w:spacing w:val="-2"/>
        </w:rPr>
        <w:t> </w:t>
      </w:r>
      <w:r>
        <w:rPr/>
        <w:t>the were</w:t>
      </w:r>
      <w:r>
        <w:rPr>
          <w:spacing w:val="-2"/>
        </w:rPr>
        <w:t> </w:t>
      </w:r>
      <w:r>
        <w:rPr/>
        <w:t>lagged</w:t>
      </w:r>
      <w:r>
        <w:rPr>
          <w:spacing w:val="1"/>
        </w:rPr>
        <w:t> </w:t>
      </w:r>
      <w:r>
        <w:rPr/>
        <w:t>by</w:t>
      </w:r>
      <w:r>
        <w:rPr>
          <w:spacing w:val="-5"/>
        </w:rPr>
        <w:t> </w:t>
      </w:r>
      <w:r>
        <w:rPr/>
        <w:t>one </w:t>
      </w:r>
      <w:r>
        <w:rPr>
          <w:spacing w:val="-2"/>
        </w:rPr>
        <w:t>period</w:t>
      </w:r>
    </w:p>
    <w:p>
      <w:pPr>
        <w:pStyle w:val="BodyText"/>
        <w:spacing w:before="275"/>
        <w:ind w:left="2211"/>
      </w:pPr>
      <w:r>
        <w:rPr>
          <w:sz w:val="16"/>
        </w:rPr>
        <w:t>t </w:t>
      </w:r>
      <w:r>
        <w:rPr>
          <w:position w:val="2"/>
        </w:rPr>
        <w:t>=</w:t>
      </w:r>
      <w:r>
        <w:rPr>
          <w:spacing w:val="-2"/>
          <w:position w:val="2"/>
        </w:rPr>
        <w:t> </w:t>
      </w:r>
      <w:r>
        <w:rPr>
          <w:position w:val="2"/>
        </w:rPr>
        <w:t>Error</w:t>
      </w:r>
      <w:r>
        <w:rPr>
          <w:spacing w:val="-3"/>
          <w:position w:val="2"/>
        </w:rPr>
        <w:t> </w:t>
      </w:r>
      <w:r>
        <w:rPr>
          <w:position w:val="2"/>
        </w:rPr>
        <w:t>Correction </w:t>
      </w:r>
      <w:r>
        <w:rPr>
          <w:spacing w:val="-2"/>
          <w:position w:val="2"/>
        </w:rPr>
        <w:t>Mechanism</w:t>
      </w:r>
    </w:p>
    <w:p>
      <w:pPr>
        <w:pStyle w:val="BodyText"/>
        <w:spacing w:before="274"/>
        <w:ind w:left="2151"/>
      </w:pPr>
      <w:r>
        <w:rPr>
          <w:position w:val="2"/>
        </w:rPr>
        <w:t>∑</w:t>
      </w:r>
      <w:r>
        <w:rPr>
          <w:sz w:val="16"/>
        </w:rPr>
        <w:t>t</w:t>
      </w:r>
      <w:r>
        <w:rPr>
          <w:spacing w:val="20"/>
          <w:sz w:val="16"/>
        </w:rPr>
        <w:t> </w:t>
      </w:r>
      <w:r>
        <w:rPr>
          <w:position w:val="2"/>
        </w:rPr>
        <w:t>=</w:t>
      </w:r>
      <w:r>
        <w:rPr>
          <w:spacing w:val="-1"/>
          <w:position w:val="2"/>
        </w:rPr>
        <w:t> </w:t>
      </w:r>
      <w:r>
        <w:rPr>
          <w:position w:val="2"/>
        </w:rPr>
        <w:t>White</w:t>
      </w:r>
      <w:r>
        <w:rPr>
          <w:spacing w:val="-1"/>
          <w:position w:val="2"/>
        </w:rPr>
        <w:t> </w:t>
      </w:r>
      <w:r>
        <w:rPr>
          <w:position w:val="2"/>
        </w:rPr>
        <w:t>Noise</w:t>
      </w:r>
      <w:r>
        <w:rPr>
          <w:spacing w:val="-1"/>
          <w:position w:val="2"/>
        </w:rPr>
        <w:t> </w:t>
      </w:r>
      <w:r>
        <w:rPr>
          <w:spacing w:val="-2"/>
          <w:position w:val="2"/>
        </w:rPr>
        <w:t>Residual</w:t>
      </w:r>
    </w:p>
    <w:p>
      <w:pPr>
        <w:pStyle w:val="Heading6"/>
        <w:spacing w:before="274"/>
        <w:jc w:val="left"/>
      </w:pPr>
      <w:r>
        <w:rPr/>
        <w:t>MODEL</w:t>
      </w:r>
      <w:r>
        <w:rPr>
          <w:spacing w:val="-1"/>
        </w:rPr>
        <w:t> </w:t>
      </w:r>
      <w:r>
        <w:rPr/>
        <w:t>6B</w:t>
      </w:r>
      <w:r>
        <w:rPr>
          <w:spacing w:val="-2"/>
        </w:rPr>
        <w:t> </w:t>
      </w:r>
      <w:r>
        <w:rPr/>
        <w:t>(Morgan</w:t>
      </w:r>
      <w:r>
        <w:rPr>
          <w:spacing w:val="-1"/>
        </w:rPr>
        <w:t> </w:t>
      </w:r>
      <w:r>
        <w:rPr/>
        <w:t>Trust</w:t>
      </w:r>
      <w:r>
        <w:rPr>
          <w:spacing w:val="-2"/>
        </w:rPr>
        <w:t> </w:t>
      </w:r>
      <w:r>
        <w:rPr/>
        <w:t>(1986)</w:t>
      </w:r>
      <w:r>
        <w:rPr>
          <w:spacing w:val="-2"/>
        </w:rPr>
        <w:t> Approach)</w:t>
      </w:r>
    </w:p>
    <w:p>
      <w:pPr>
        <w:tabs>
          <w:tab w:pos="7290" w:val="left" w:leader="dot"/>
        </w:tabs>
        <w:spacing w:line="477" w:lineRule="auto" w:before="275"/>
        <w:ind w:left="711" w:right="585" w:firstLine="0"/>
        <w:jc w:val="left"/>
        <w:rPr>
          <w:sz w:val="24"/>
          <w:szCs w:val="24"/>
        </w:rPr>
      </w:pPr>
      <w:r>
        <w:rPr>
          <w:spacing w:val="-2"/>
          <w:position w:val="2"/>
          <w:sz w:val="24"/>
          <w:szCs w:val="24"/>
        </w:rPr>
        <w:t>₰logδ(GDP</w:t>
      </w:r>
      <w:r>
        <w:rPr>
          <w:i/>
          <w:iCs/>
          <w:spacing w:val="-2"/>
          <w:sz w:val="16"/>
          <w:szCs w:val="16"/>
        </w:rPr>
        <w:t>PRESAP</w:t>
      </w:r>
      <w:r>
        <w:rPr>
          <w:spacing w:val="-2"/>
          <w:position w:val="2"/>
          <w:sz w:val="24"/>
          <w:szCs w:val="24"/>
        </w:rPr>
        <w:t>)=</w:t>
      </w:r>
      <w:r>
        <w:rPr>
          <w:i/>
          <w:iCs/>
          <w:spacing w:val="-2"/>
          <w:position w:val="2"/>
          <w:sz w:val="24"/>
          <w:szCs w:val="24"/>
        </w:rPr>
        <w:t>ϸ</w:t>
      </w:r>
      <w:r>
        <w:rPr>
          <w:i/>
          <w:iCs/>
          <w:spacing w:val="-2"/>
          <w:sz w:val="16"/>
          <w:szCs w:val="16"/>
        </w:rPr>
        <w:t>0</w:t>
      </w:r>
      <w:r>
        <w:rPr>
          <w:spacing w:val="-2"/>
          <w:position w:val="2"/>
          <w:sz w:val="24"/>
          <w:szCs w:val="24"/>
        </w:rPr>
        <w:t>+</w:t>
      </w:r>
      <w:r>
        <w:rPr>
          <w:spacing w:val="-2"/>
          <w:sz w:val="16"/>
          <w:szCs w:val="16"/>
        </w:rPr>
        <w:t>1</w:t>
      </w:r>
      <w:r>
        <w:rPr>
          <w:spacing w:val="-2"/>
          <w:position w:val="2"/>
          <w:sz w:val="24"/>
          <w:szCs w:val="24"/>
        </w:rPr>
        <w:t>δlog(EXDEBT)</w:t>
      </w:r>
      <w:r>
        <w:rPr>
          <w:spacing w:val="-2"/>
          <w:sz w:val="16"/>
          <w:szCs w:val="16"/>
        </w:rPr>
        <w:t>t-1</w:t>
      </w:r>
      <w:r>
        <w:rPr>
          <w:spacing w:val="-2"/>
          <w:position w:val="2"/>
          <w:sz w:val="24"/>
          <w:szCs w:val="24"/>
        </w:rPr>
        <w:t>+</w:t>
      </w:r>
      <w:r>
        <w:rPr>
          <w:spacing w:val="-2"/>
          <w:sz w:val="16"/>
          <w:szCs w:val="16"/>
        </w:rPr>
        <w:t>2</w:t>
      </w:r>
      <w:r>
        <w:rPr>
          <w:spacing w:val="-2"/>
          <w:position w:val="2"/>
          <w:sz w:val="24"/>
          <w:szCs w:val="24"/>
        </w:rPr>
        <w:t>δlog(DFI)</w:t>
      </w:r>
      <w:r>
        <w:rPr>
          <w:spacing w:val="-2"/>
          <w:sz w:val="16"/>
          <w:szCs w:val="16"/>
        </w:rPr>
        <w:t>t-1</w:t>
      </w:r>
      <w:r>
        <w:rPr>
          <w:spacing w:val="-2"/>
          <w:position w:val="2"/>
          <w:sz w:val="24"/>
          <w:szCs w:val="24"/>
        </w:rPr>
        <w:t>+</w:t>
      </w:r>
      <w:r>
        <w:rPr>
          <w:spacing w:val="-2"/>
          <w:sz w:val="16"/>
          <w:szCs w:val="16"/>
        </w:rPr>
        <w:t>3</w:t>
      </w:r>
      <w:r>
        <w:rPr>
          <w:spacing w:val="-2"/>
          <w:position w:val="2"/>
          <w:sz w:val="24"/>
          <w:szCs w:val="24"/>
        </w:rPr>
        <w:t>δlog(CAB)</w:t>
      </w:r>
      <w:r>
        <w:rPr>
          <w:spacing w:val="-2"/>
          <w:sz w:val="16"/>
          <w:szCs w:val="16"/>
        </w:rPr>
        <w:t>t-1</w:t>
      </w:r>
      <w:r>
        <w:rPr>
          <w:spacing w:val="-2"/>
          <w:position w:val="2"/>
          <w:sz w:val="24"/>
          <w:szCs w:val="24"/>
        </w:rPr>
        <w:t>+</w:t>
      </w:r>
      <w:r>
        <w:rPr>
          <w:i/>
          <w:iCs/>
          <w:spacing w:val="-2"/>
          <w:sz w:val="16"/>
          <w:szCs w:val="16"/>
        </w:rPr>
        <w:t>4</w:t>
      </w:r>
      <w:r>
        <w:rPr>
          <w:spacing w:val="-2"/>
          <w:position w:val="2"/>
          <w:sz w:val="24"/>
          <w:szCs w:val="24"/>
        </w:rPr>
        <w:t>δ</w:t>
      </w:r>
      <w:r>
        <w:rPr>
          <w:i/>
          <w:iCs/>
          <w:spacing w:val="-2"/>
          <w:position w:val="2"/>
          <w:sz w:val="24"/>
          <w:szCs w:val="24"/>
        </w:rPr>
        <w:t>log(RES)</w:t>
      </w:r>
      <w:r>
        <w:rPr>
          <w:i/>
          <w:iCs/>
          <w:spacing w:val="-2"/>
          <w:sz w:val="16"/>
          <w:szCs w:val="16"/>
        </w:rPr>
        <w:t>t-1</w:t>
      </w:r>
      <w:r>
        <w:rPr>
          <w:i/>
          <w:iCs/>
          <w:spacing w:val="-2"/>
          <w:position w:val="2"/>
          <w:sz w:val="24"/>
          <w:szCs w:val="24"/>
        </w:rPr>
        <w:t>+</w:t>
      </w:r>
      <w:r>
        <w:rPr>
          <w:i/>
          <w:iCs/>
          <w:spacing w:val="-2"/>
          <w:sz w:val="16"/>
          <w:szCs w:val="16"/>
        </w:rPr>
        <w:t>5</w:t>
      </w:r>
      <w:r>
        <w:rPr>
          <w:spacing w:val="-2"/>
          <w:position w:val="2"/>
          <w:sz w:val="24"/>
          <w:szCs w:val="24"/>
        </w:rPr>
        <w:t>δ</w:t>
      </w:r>
      <w:r>
        <w:rPr>
          <w:i/>
          <w:iCs/>
          <w:spacing w:val="-2"/>
          <w:position w:val="2"/>
          <w:sz w:val="24"/>
          <w:szCs w:val="24"/>
        </w:rPr>
        <w:t>log(NEXTAS)</w:t>
      </w:r>
      <w:r>
        <w:rPr>
          <w:i/>
          <w:iCs/>
          <w:spacing w:val="-2"/>
          <w:sz w:val="16"/>
          <w:szCs w:val="16"/>
        </w:rPr>
        <w:t>t-1</w:t>
      </w:r>
      <w:r>
        <w:rPr>
          <w:i/>
          <w:iCs/>
          <w:spacing w:val="-2"/>
          <w:position w:val="2"/>
          <w:sz w:val="24"/>
          <w:szCs w:val="24"/>
        </w:rPr>
        <w:t>+</w:t>
      </w:r>
      <w:r>
        <w:rPr>
          <w:i/>
          <w:iCs/>
          <w:spacing w:val="-2"/>
          <w:sz w:val="16"/>
          <w:szCs w:val="16"/>
        </w:rPr>
        <w:t>t-</w:t>
      </w:r>
      <w:r>
        <w:rPr>
          <w:i/>
          <w:iCs/>
          <w:spacing w:val="40"/>
          <w:sz w:val="16"/>
          <w:szCs w:val="16"/>
        </w:rPr>
        <w:t> </w:t>
      </w:r>
      <w:r>
        <w:rPr>
          <w:i/>
          <w:iCs/>
          <w:spacing w:val="-4"/>
          <w:sz w:val="16"/>
          <w:szCs w:val="16"/>
        </w:rPr>
        <w:t>1</w:t>
      </w:r>
      <w:r>
        <w:rPr>
          <w:i/>
          <w:iCs/>
          <w:spacing w:val="-4"/>
          <w:position w:val="2"/>
          <w:sz w:val="24"/>
          <w:szCs w:val="24"/>
        </w:rPr>
        <w:t>+∑</w:t>
      </w:r>
      <w:r>
        <w:rPr>
          <w:i/>
          <w:iCs/>
          <w:spacing w:val="-4"/>
          <w:sz w:val="16"/>
          <w:szCs w:val="16"/>
        </w:rPr>
        <w:t>t</w:t>
      </w:r>
      <w:r>
        <w:rPr>
          <w:i/>
          <w:iCs/>
          <w:sz w:val="16"/>
          <w:szCs w:val="16"/>
        </w:rPr>
        <w:tab/>
      </w:r>
      <w:r>
        <w:rPr>
          <w:spacing w:val="-2"/>
          <w:position w:val="2"/>
          <w:sz w:val="24"/>
          <w:szCs w:val="24"/>
        </w:rPr>
        <w:t>(3.49)</w:t>
      </w:r>
    </w:p>
    <w:p>
      <w:pPr>
        <w:pStyle w:val="BodyText"/>
        <w:spacing w:before="1"/>
        <w:ind w:left="1431"/>
      </w:pPr>
      <w:r>
        <w:rPr>
          <w:spacing w:val="-2"/>
        </w:rPr>
        <w:t>Where:</w:t>
      </w:r>
    </w:p>
    <w:p>
      <w:pPr>
        <w:pStyle w:val="BodyText"/>
      </w:pPr>
    </w:p>
    <w:p>
      <w:pPr>
        <w:pStyle w:val="BodyText"/>
        <w:spacing w:before="1"/>
        <w:ind w:left="1431"/>
      </w:pPr>
      <w:r>
        <w:rPr/>
        <w:t>t-1</w:t>
      </w:r>
      <w:r>
        <w:rPr>
          <w:spacing w:val="-2"/>
        </w:rPr>
        <w:t> </w:t>
      </w:r>
      <w:r>
        <w:rPr/>
        <w:t>=</w:t>
      </w:r>
      <w:r>
        <w:rPr>
          <w:spacing w:val="-1"/>
        </w:rPr>
        <w:t> </w:t>
      </w:r>
      <w:r>
        <w:rPr/>
        <w:t>Meaning</w:t>
      </w:r>
      <w:r>
        <w:rPr>
          <w:spacing w:val="-2"/>
        </w:rPr>
        <w:t> </w:t>
      </w:r>
      <w:r>
        <w:rPr/>
        <w:t>the were</w:t>
      </w:r>
      <w:r>
        <w:rPr>
          <w:spacing w:val="-2"/>
        </w:rPr>
        <w:t> </w:t>
      </w:r>
      <w:r>
        <w:rPr/>
        <w:t>lagged</w:t>
      </w:r>
      <w:r>
        <w:rPr>
          <w:spacing w:val="1"/>
        </w:rPr>
        <w:t> </w:t>
      </w:r>
      <w:r>
        <w:rPr/>
        <w:t>by</w:t>
      </w:r>
      <w:r>
        <w:rPr>
          <w:spacing w:val="-5"/>
        </w:rPr>
        <w:t> </w:t>
      </w:r>
      <w:r>
        <w:rPr/>
        <w:t>one </w:t>
      </w:r>
      <w:r>
        <w:rPr>
          <w:spacing w:val="-2"/>
        </w:rPr>
        <w:t>period</w:t>
      </w:r>
    </w:p>
    <w:p>
      <w:pPr>
        <w:pStyle w:val="BodyText"/>
        <w:spacing w:before="275"/>
        <w:ind w:left="1491"/>
      </w:pPr>
      <w:r>
        <w:rPr>
          <w:sz w:val="16"/>
        </w:rPr>
        <w:t>t </w:t>
      </w:r>
      <w:r>
        <w:rPr>
          <w:position w:val="2"/>
        </w:rPr>
        <w:t>=</w:t>
      </w:r>
      <w:r>
        <w:rPr>
          <w:spacing w:val="-2"/>
          <w:position w:val="2"/>
        </w:rPr>
        <w:t> </w:t>
      </w:r>
      <w:r>
        <w:rPr>
          <w:position w:val="2"/>
        </w:rPr>
        <w:t>Error</w:t>
      </w:r>
      <w:r>
        <w:rPr>
          <w:spacing w:val="-3"/>
          <w:position w:val="2"/>
        </w:rPr>
        <w:t> </w:t>
      </w:r>
      <w:r>
        <w:rPr>
          <w:position w:val="2"/>
        </w:rPr>
        <w:t>Correction </w:t>
      </w:r>
      <w:r>
        <w:rPr>
          <w:spacing w:val="-2"/>
          <w:position w:val="2"/>
        </w:rPr>
        <w:t>Mechanism</w:t>
      </w:r>
    </w:p>
    <w:p>
      <w:pPr>
        <w:pStyle w:val="BodyText"/>
        <w:spacing w:before="274"/>
        <w:ind w:left="1431"/>
      </w:pPr>
      <w:r>
        <w:rPr>
          <w:position w:val="2"/>
        </w:rPr>
        <w:t>∑</w:t>
      </w:r>
      <w:r>
        <w:rPr>
          <w:sz w:val="16"/>
        </w:rPr>
        <w:t>t</w:t>
      </w:r>
      <w:r>
        <w:rPr>
          <w:spacing w:val="20"/>
          <w:sz w:val="16"/>
        </w:rPr>
        <w:t> </w:t>
      </w:r>
      <w:r>
        <w:rPr>
          <w:position w:val="2"/>
        </w:rPr>
        <w:t>=</w:t>
      </w:r>
      <w:r>
        <w:rPr>
          <w:spacing w:val="-1"/>
          <w:position w:val="2"/>
        </w:rPr>
        <w:t> </w:t>
      </w:r>
      <w:r>
        <w:rPr>
          <w:position w:val="2"/>
        </w:rPr>
        <w:t>White</w:t>
      </w:r>
      <w:r>
        <w:rPr>
          <w:spacing w:val="-1"/>
          <w:position w:val="2"/>
        </w:rPr>
        <w:t> </w:t>
      </w:r>
      <w:r>
        <w:rPr>
          <w:position w:val="2"/>
        </w:rPr>
        <w:t>Noise</w:t>
      </w:r>
      <w:r>
        <w:rPr>
          <w:spacing w:val="-1"/>
          <w:position w:val="2"/>
        </w:rPr>
        <w:t> </w:t>
      </w:r>
      <w:r>
        <w:rPr>
          <w:spacing w:val="-2"/>
          <w:position w:val="2"/>
        </w:rPr>
        <w:t>Residual</w:t>
      </w:r>
    </w:p>
    <w:p>
      <w:pPr>
        <w:pStyle w:val="BodyText"/>
      </w:pPr>
    </w:p>
    <w:p>
      <w:pPr>
        <w:pStyle w:val="BodyText"/>
        <w:spacing w:before="274"/>
      </w:pPr>
    </w:p>
    <w:p>
      <w:pPr>
        <w:pStyle w:val="Heading6"/>
        <w:numPr>
          <w:ilvl w:val="1"/>
          <w:numId w:val="14"/>
        </w:numPr>
        <w:tabs>
          <w:tab w:pos="1311" w:val="left" w:leader="none"/>
        </w:tabs>
        <w:spacing w:line="240" w:lineRule="auto" w:before="0" w:after="0"/>
        <w:ind w:left="1311" w:right="0" w:hanging="600"/>
        <w:jc w:val="both"/>
      </w:pPr>
      <w:r>
        <w:rPr/>
        <w:t>Correlation</w:t>
      </w:r>
      <w:r>
        <w:rPr>
          <w:spacing w:val="-2"/>
        </w:rPr>
        <w:t> Matrix</w:t>
      </w:r>
    </w:p>
    <w:p>
      <w:pPr>
        <w:pStyle w:val="BodyText"/>
        <w:spacing w:line="550" w:lineRule="atLeast" w:before="2"/>
        <w:ind w:left="711" w:right="470"/>
        <w:jc w:val="both"/>
      </w:pPr>
      <w:r>
        <w:rPr/>
        <w:t>In addition to the Durbin</w:t>
      </w:r>
      <w:r>
        <w:rPr>
          <w:b/>
        </w:rPr>
        <w:t>–</w:t>
      </w:r>
      <w:r>
        <w:rPr/>
        <w:t>Watson statistics, the study also employed the use of correlation matrix to test for the presence of </w:t>
      </w:r>
      <w:hyperlink r:id="rId18">
        <w:r>
          <w:rPr/>
          <w:t>autocorrelation</w:t>
        </w:r>
      </w:hyperlink>
      <w:r>
        <w:rPr/>
        <w:t> among the variables of the formulated model and shows the coefficient of correlation</w:t>
      </w:r>
      <w:r>
        <w:rPr>
          <w:spacing w:val="16"/>
        </w:rPr>
        <w:t> </w:t>
      </w:r>
      <w:r>
        <w:rPr/>
        <w:t>between</w:t>
      </w:r>
      <w:r>
        <w:rPr>
          <w:spacing w:val="17"/>
        </w:rPr>
        <w:t> </w:t>
      </w:r>
      <w:r>
        <w:rPr/>
        <w:t>pairs</w:t>
      </w:r>
      <w:r>
        <w:rPr>
          <w:spacing w:val="18"/>
        </w:rPr>
        <w:t> </w:t>
      </w:r>
      <w:r>
        <w:rPr/>
        <w:t>of</w:t>
      </w:r>
      <w:r>
        <w:rPr>
          <w:spacing w:val="17"/>
        </w:rPr>
        <w:t> </w:t>
      </w:r>
      <w:r>
        <w:rPr/>
        <w:t>variables.</w:t>
      </w:r>
      <w:r>
        <w:rPr>
          <w:spacing w:val="24"/>
        </w:rPr>
        <w:t> </w:t>
      </w:r>
      <w:r>
        <w:rPr/>
        <w:t>Correlation</w:t>
      </w:r>
      <w:r>
        <w:rPr>
          <w:spacing w:val="17"/>
        </w:rPr>
        <w:t> </w:t>
      </w:r>
      <w:r>
        <w:rPr/>
        <w:t>Matrix</w:t>
      </w:r>
      <w:r>
        <w:rPr>
          <w:spacing w:val="22"/>
        </w:rPr>
        <w:t> </w:t>
      </w:r>
      <w:r>
        <w:rPr/>
        <w:t>describes</w:t>
      </w:r>
      <w:r>
        <w:rPr>
          <w:spacing w:val="19"/>
        </w:rPr>
        <w:t> </w:t>
      </w:r>
      <w:r>
        <w:rPr/>
        <w:t>correlation</w:t>
      </w:r>
      <w:r>
        <w:rPr>
          <w:spacing w:val="20"/>
        </w:rPr>
        <w:t> </w:t>
      </w:r>
      <w:r>
        <w:rPr/>
        <w:t>among</w:t>
      </w:r>
      <w:r>
        <w:rPr>
          <w:spacing w:val="18"/>
        </w:rPr>
        <w:t> </w:t>
      </w:r>
      <w:r>
        <w:rPr/>
        <w:t>M</w:t>
      </w:r>
      <w:r>
        <w:rPr>
          <w:spacing w:val="18"/>
        </w:rPr>
        <w:t> </w:t>
      </w:r>
      <w:r>
        <w:rPr/>
        <w:t>variables.</w:t>
      </w:r>
      <w:r>
        <w:rPr>
          <w:spacing w:val="20"/>
        </w:rPr>
        <w:t> </w:t>
      </w:r>
      <w:r>
        <w:rPr/>
        <w:t>It</w:t>
      </w:r>
      <w:r>
        <w:rPr>
          <w:spacing w:val="20"/>
        </w:rPr>
        <w:t> </w:t>
      </w:r>
      <w:r>
        <w:rPr/>
        <w:t>is</w:t>
      </w:r>
      <w:r>
        <w:rPr>
          <w:spacing w:val="18"/>
        </w:rPr>
        <w:t> </w:t>
      </w:r>
      <w:r>
        <w:rPr>
          <w:spacing w:val="-10"/>
        </w:rPr>
        <w:t>a</w:t>
      </w:r>
    </w:p>
    <w:p>
      <w:pPr>
        <w:spacing w:after="0" w:line="550" w:lineRule="atLeast"/>
        <w:jc w:val="both"/>
        <w:sectPr>
          <w:pgSz w:w="11910" w:h="16840"/>
          <w:pgMar w:header="0" w:footer="979" w:top="1360" w:bottom="1240" w:left="280" w:right="0"/>
        </w:sectPr>
      </w:pPr>
    </w:p>
    <w:p>
      <w:pPr>
        <w:pStyle w:val="BodyText"/>
        <w:spacing w:line="480" w:lineRule="auto" w:before="60"/>
        <w:ind w:left="711" w:right="469"/>
        <w:jc w:val="both"/>
      </w:pPr>
      <w:r>
        <w:rPr/>
        <w:t>square symmetrical MxM matrix with the (ij)th element equal to the </w:t>
      </w:r>
      <w:hyperlink r:id="rId19">
        <w:r>
          <w:rPr/>
          <w:t>correlation</w:t>
        </w:r>
        <w:r>
          <w:rPr>
            <w:spacing w:val="40"/>
          </w:rPr>
          <w:t> </w:t>
        </w:r>
        <w:r>
          <w:rPr/>
          <w:t>coefficient</w:t>
        </w:r>
      </w:hyperlink>
      <w:r>
        <w:rPr/>
        <w:t> r-ij between the (i)th and the (j)th variable. The diagonal elements (correlations of variables with themselves) are always equal to 1.00. It is of particular interest in empirical analysis to examine if independent variables have</w:t>
      </w:r>
      <w:r>
        <w:rPr>
          <w:spacing w:val="80"/>
        </w:rPr>
        <w:t> </w:t>
      </w:r>
      <w:r>
        <w:rPr/>
        <w:t>strong correlation with the dependent variable, thus correlation matrix helps to identify which of the independent variables may be relatively more important and those that are not important. Multicollinearity correlation</w:t>
      </w:r>
      <w:r>
        <w:rPr>
          <w:spacing w:val="-2"/>
        </w:rPr>
        <w:t> </w:t>
      </w:r>
      <w:r>
        <w:rPr/>
        <w:t>among</w:t>
      </w:r>
      <w:r>
        <w:rPr>
          <w:spacing w:val="-5"/>
        </w:rPr>
        <w:t> </w:t>
      </w:r>
      <w:r>
        <w:rPr/>
        <w:t>the</w:t>
      </w:r>
      <w:r>
        <w:rPr>
          <w:spacing w:val="-2"/>
        </w:rPr>
        <w:t> </w:t>
      </w:r>
      <w:r>
        <w:rPr/>
        <w:t>independent</w:t>
      </w:r>
      <w:r>
        <w:rPr>
          <w:spacing w:val="-2"/>
        </w:rPr>
        <w:t> </w:t>
      </w:r>
      <w:r>
        <w:rPr/>
        <w:t>variables</w:t>
      </w:r>
      <w:r>
        <w:rPr>
          <w:spacing w:val="-1"/>
        </w:rPr>
        <w:t> </w:t>
      </w:r>
      <w:r>
        <w:rPr/>
        <w:t>can distort</w:t>
      </w:r>
      <w:r>
        <w:rPr>
          <w:spacing w:val="-2"/>
        </w:rPr>
        <w:t> </w:t>
      </w:r>
      <w:r>
        <w:rPr/>
        <w:t>the</w:t>
      </w:r>
      <w:r>
        <w:rPr>
          <w:spacing w:val="-3"/>
        </w:rPr>
        <w:t> </w:t>
      </w:r>
      <w:r>
        <w:rPr/>
        <w:t>standard</w:t>
      </w:r>
      <w:r>
        <w:rPr>
          <w:spacing w:val="-1"/>
        </w:rPr>
        <w:t> </w:t>
      </w:r>
      <w:r>
        <w:rPr/>
        <w:t>error</w:t>
      </w:r>
      <w:r>
        <w:rPr>
          <w:spacing w:val="-1"/>
        </w:rPr>
        <w:t> </w:t>
      </w:r>
      <w:r>
        <w:rPr/>
        <w:t>of</w:t>
      </w:r>
      <w:r>
        <w:rPr>
          <w:spacing w:val="-2"/>
        </w:rPr>
        <w:t> </w:t>
      </w:r>
      <w:r>
        <w:rPr/>
        <w:t>the</w:t>
      </w:r>
      <w:r>
        <w:rPr>
          <w:spacing w:val="-4"/>
        </w:rPr>
        <w:t> </w:t>
      </w:r>
      <w:r>
        <w:rPr/>
        <w:t>estimate</w:t>
      </w:r>
      <w:r>
        <w:rPr>
          <w:spacing w:val="-1"/>
        </w:rPr>
        <w:t> </w:t>
      </w:r>
      <w:r>
        <w:rPr/>
        <w:t>and as</w:t>
      </w:r>
      <w:r>
        <w:rPr>
          <w:spacing w:val="-2"/>
        </w:rPr>
        <w:t> </w:t>
      </w:r>
      <w:r>
        <w:rPr/>
        <w:t>such</w:t>
      </w:r>
      <w:r>
        <w:rPr>
          <w:spacing w:val="-2"/>
        </w:rPr>
        <w:t> </w:t>
      </w:r>
      <w:r>
        <w:rPr/>
        <w:t>lead</w:t>
      </w:r>
      <w:r>
        <w:rPr>
          <w:spacing w:val="-2"/>
        </w:rPr>
        <w:t> </w:t>
      </w:r>
      <w:r>
        <w:rPr/>
        <w:t>to incorrect</w:t>
      </w:r>
      <w:r>
        <w:rPr>
          <w:spacing w:val="-3"/>
        </w:rPr>
        <w:t> </w:t>
      </w:r>
      <w:r>
        <w:rPr/>
        <w:t>conclusion. A</w:t>
      </w:r>
      <w:r>
        <w:rPr>
          <w:spacing w:val="1"/>
        </w:rPr>
        <w:t> </w:t>
      </w:r>
      <w:r>
        <w:rPr/>
        <w:t>common rule of</w:t>
      </w:r>
      <w:r>
        <w:rPr>
          <w:spacing w:val="-2"/>
        </w:rPr>
        <w:t> </w:t>
      </w:r>
      <w:r>
        <w:rPr/>
        <w:t>thumb is</w:t>
      </w:r>
      <w:r>
        <w:rPr>
          <w:spacing w:val="-1"/>
        </w:rPr>
        <w:t> </w:t>
      </w:r>
      <w:r>
        <w:rPr/>
        <w:t>that correlations among</w:t>
      </w:r>
      <w:r>
        <w:rPr>
          <w:spacing w:val="-3"/>
        </w:rPr>
        <w:t> </w:t>
      </w:r>
      <w:r>
        <w:rPr/>
        <w:t>the</w:t>
      </w:r>
      <w:r>
        <w:rPr>
          <w:spacing w:val="-1"/>
        </w:rPr>
        <w:t> </w:t>
      </w:r>
      <w:r>
        <w:rPr/>
        <w:t>independent variables </w:t>
      </w:r>
      <w:r>
        <w:rPr>
          <w:spacing w:val="-2"/>
        </w:rPr>
        <w:t>between</w:t>
      </w:r>
    </w:p>
    <w:p>
      <w:pPr>
        <w:pStyle w:val="BodyText"/>
        <w:spacing w:line="480" w:lineRule="auto" w:before="2"/>
        <w:ind w:left="711" w:right="469"/>
        <w:jc w:val="both"/>
      </w:pPr>
      <w:r>
        <w:rPr/>
        <w:t>-0.70 and 0.70 do not cause difficulties. The usual remedy for multicollinearity is to drop one of the independent variables that are strongly correlated and recomputed the regression equation, (Robert, </w:t>
      </w:r>
      <w:r>
        <w:rPr>
          <w:i/>
        </w:rPr>
        <w:t>et al, </w:t>
      </w:r>
      <w:r>
        <w:rPr>
          <w:spacing w:val="-2"/>
        </w:rPr>
        <w:t>1999).</w:t>
      </w:r>
    </w:p>
    <w:p>
      <w:pPr>
        <w:spacing w:after="0" w:line="480" w:lineRule="auto"/>
        <w:jc w:val="both"/>
        <w:sectPr>
          <w:pgSz w:w="11910" w:h="16840"/>
          <w:pgMar w:header="0" w:footer="979" w:top="1360" w:bottom="1240" w:left="280" w:right="0"/>
        </w:sectPr>
      </w:pPr>
    </w:p>
    <w:p>
      <w:pPr>
        <w:pStyle w:val="Heading5"/>
        <w:ind w:left="956"/>
      </w:pPr>
      <w:r>
        <w:rPr>
          <w:spacing w:val="-2"/>
        </w:rPr>
        <w:t>REFERENCES</w:t>
      </w:r>
    </w:p>
    <w:p>
      <w:pPr>
        <w:pStyle w:val="BodyText"/>
        <w:spacing w:before="1"/>
        <w:rPr>
          <w:b/>
        </w:rPr>
      </w:pPr>
    </w:p>
    <w:p>
      <w:pPr>
        <w:spacing w:before="0"/>
        <w:ind w:left="1431" w:right="468" w:hanging="721"/>
        <w:jc w:val="both"/>
        <w:rPr>
          <w:sz w:val="24"/>
        </w:rPr>
      </w:pPr>
      <w:r>
        <w:rPr>
          <w:sz w:val="24"/>
        </w:rPr>
        <w:t>Ajayi S. I. (2005). Managing capital flight: Issues and Challenges.</w:t>
      </w:r>
      <w:r>
        <w:rPr>
          <w:spacing w:val="40"/>
          <w:sz w:val="24"/>
        </w:rPr>
        <w:t> </w:t>
      </w:r>
      <w:r>
        <w:rPr>
          <w:i/>
          <w:sz w:val="24"/>
        </w:rPr>
        <w:t>Paperpresented at a Seminar Titled; Capital Flows and Economic Transformation</w:t>
      </w:r>
      <w:r>
        <w:rPr>
          <w:i/>
          <w:spacing w:val="80"/>
          <w:sz w:val="24"/>
        </w:rPr>
        <w:t> </w:t>
      </w:r>
      <w:r>
        <w:rPr>
          <w:i/>
          <w:sz w:val="24"/>
        </w:rPr>
        <w:t>in Nigeria</w:t>
      </w:r>
      <w:r>
        <w:rPr>
          <w:sz w:val="24"/>
        </w:rPr>
        <w:t>, </w:t>
      </w:r>
      <w:r>
        <w:rPr>
          <w:i/>
          <w:sz w:val="24"/>
        </w:rPr>
        <w:t>at the Central Bank of Nigeria’s 5</w:t>
      </w:r>
      <w:r>
        <w:rPr>
          <w:i/>
          <w:sz w:val="24"/>
          <w:vertAlign w:val="superscript"/>
        </w:rPr>
        <w:t>th</w:t>
      </w:r>
      <w:r>
        <w:rPr>
          <w:i/>
          <w:spacing w:val="40"/>
          <w:sz w:val="24"/>
          <w:vertAlign w:val="baseline"/>
        </w:rPr>
        <w:t> </w:t>
      </w:r>
      <w:r>
        <w:rPr>
          <w:i/>
          <w:sz w:val="24"/>
          <w:vertAlign w:val="baseline"/>
        </w:rPr>
        <w:t>Annual Monetary</w:t>
      </w:r>
      <w:r>
        <w:rPr>
          <w:i/>
          <w:spacing w:val="80"/>
          <w:sz w:val="24"/>
          <w:vertAlign w:val="baseline"/>
        </w:rPr>
        <w:t>   </w:t>
      </w:r>
      <w:r>
        <w:rPr>
          <w:i/>
          <w:sz w:val="24"/>
          <w:vertAlign w:val="baseline"/>
        </w:rPr>
        <w:t>Policy Conference</w:t>
      </w:r>
      <w:r>
        <w:rPr>
          <w:sz w:val="24"/>
          <w:vertAlign w:val="baseline"/>
        </w:rPr>
        <w:t>, CBN Conference Hall, Abuja 10-11</w:t>
      </w:r>
    </w:p>
    <w:p>
      <w:pPr>
        <w:spacing w:before="0"/>
        <w:ind w:left="711" w:right="471" w:firstLine="0"/>
        <w:jc w:val="both"/>
        <w:rPr>
          <w:sz w:val="24"/>
        </w:rPr>
      </w:pPr>
      <w:r>
        <w:rPr>
          <w:sz w:val="24"/>
        </w:rPr>
        <w:t>Ali &amp;</w:t>
      </w:r>
      <w:r>
        <w:rPr>
          <w:spacing w:val="-3"/>
          <w:sz w:val="24"/>
        </w:rPr>
        <w:t> </w:t>
      </w:r>
      <w:r>
        <w:rPr>
          <w:sz w:val="24"/>
        </w:rPr>
        <w:t>Benard</w:t>
      </w:r>
      <w:r>
        <w:rPr>
          <w:spacing w:val="-2"/>
          <w:sz w:val="24"/>
        </w:rPr>
        <w:t> </w:t>
      </w:r>
      <w:r>
        <w:rPr>
          <w:sz w:val="24"/>
        </w:rPr>
        <w:t>W.</w:t>
      </w:r>
      <w:r>
        <w:rPr>
          <w:spacing w:val="-1"/>
          <w:sz w:val="24"/>
        </w:rPr>
        <w:t> </w:t>
      </w:r>
      <w:r>
        <w:rPr>
          <w:sz w:val="24"/>
        </w:rPr>
        <w:t>(2011).</w:t>
      </w:r>
      <w:r>
        <w:rPr>
          <w:spacing w:val="-2"/>
          <w:sz w:val="24"/>
        </w:rPr>
        <w:t> </w:t>
      </w:r>
      <w:r>
        <w:rPr>
          <w:sz w:val="24"/>
        </w:rPr>
        <w:t>Causes</w:t>
      </w:r>
      <w:r>
        <w:rPr>
          <w:spacing w:val="-1"/>
          <w:sz w:val="24"/>
        </w:rPr>
        <w:t> </w:t>
      </w:r>
      <w:r>
        <w:rPr>
          <w:sz w:val="24"/>
        </w:rPr>
        <w:t>of</w:t>
      </w:r>
      <w:r>
        <w:rPr>
          <w:spacing w:val="-2"/>
          <w:sz w:val="24"/>
        </w:rPr>
        <w:t> </w:t>
      </w:r>
      <w:r>
        <w:rPr>
          <w:sz w:val="24"/>
        </w:rPr>
        <w:t>Capital</w:t>
      </w:r>
      <w:r>
        <w:rPr>
          <w:spacing w:val="-1"/>
          <w:sz w:val="24"/>
        </w:rPr>
        <w:t> </w:t>
      </w:r>
      <w:r>
        <w:rPr>
          <w:sz w:val="24"/>
        </w:rPr>
        <w:t>Flight</w:t>
      </w:r>
      <w:r>
        <w:rPr>
          <w:spacing w:val="-1"/>
          <w:sz w:val="24"/>
        </w:rPr>
        <w:t> </w:t>
      </w:r>
      <w:r>
        <w:rPr>
          <w:sz w:val="24"/>
        </w:rPr>
        <w:t>from</w:t>
      </w:r>
      <w:r>
        <w:rPr>
          <w:spacing w:val="-1"/>
          <w:sz w:val="24"/>
        </w:rPr>
        <w:t> </w:t>
      </w:r>
      <w:r>
        <w:rPr>
          <w:sz w:val="24"/>
        </w:rPr>
        <w:t>Sub-Saharan</w:t>
      </w:r>
      <w:r>
        <w:rPr>
          <w:spacing w:val="-1"/>
          <w:sz w:val="24"/>
        </w:rPr>
        <w:t> </w:t>
      </w:r>
      <w:r>
        <w:rPr>
          <w:sz w:val="24"/>
        </w:rPr>
        <w:t>Africa.</w:t>
      </w:r>
      <w:r>
        <w:rPr>
          <w:spacing w:val="-1"/>
          <w:sz w:val="24"/>
        </w:rPr>
        <w:t> </w:t>
      </w:r>
      <w:r>
        <w:rPr>
          <w:i/>
          <w:sz w:val="24"/>
        </w:rPr>
        <w:t>University</w:t>
      </w:r>
      <w:r>
        <w:rPr>
          <w:i/>
          <w:spacing w:val="-2"/>
          <w:sz w:val="24"/>
        </w:rPr>
        <w:t> </w:t>
      </w:r>
      <w:r>
        <w:rPr>
          <w:i/>
          <w:sz w:val="24"/>
        </w:rPr>
        <w:t>of</w:t>
      </w:r>
      <w:r>
        <w:rPr>
          <w:i/>
          <w:spacing w:val="-1"/>
          <w:sz w:val="24"/>
        </w:rPr>
        <w:t> </w:t>
      </w:r>
      <w:r>
        <w:rPr>
          <w:i/>
          <w:sz w:val="24"/>
        </w:rPr>
        <w:t>Manchester; </w:t>
      </w:r>
      <w:r>
        <w:rPr>
          <w:sz w:val="24"/>
        </w:rPr>
        <w:t>F20, E6, G11, 055</w:t>
      </w:r>
    </w:p>
    <w:p>
      <w:pPr>
        <w:spacing w:before="0"/>
        <w:ind w:left="711" w:right="471" w:firstLine="0"/>
        <w:jc w:val="both"/>
        <w:rPr>
          <w:sz w:val="24"/>
        </w:rPr>
      </w:pPr>
      <w:r>
        <w:rPr>
          <w:sz w:val="24"/>
        </w:rPr>
        <w:t>Cerra,V., Rishi, M. &amp; Saxena, S. (2008). Robbing the Riches, Capital Flight, Institution and Debt</w:t>
      </w:r>
      <w:r>
        <w:rPr>
          <w:i/>
          <w:sz w:val="24"/>
        </w:rPr>
        <w:t>. Journal</w:t>
      </w:r>
      <w:r>
        <w:rPr>
          <w:i/>
          <w:spacing w:val="40"/>
          <w:sz w:val="24"/>
        </w:rPr>
        <w:t> </w:t>
      </w:r>
      <w:r>
        <w:rPr>
          <w:i/>
          <w:sz w:val="24"/>
        </w:rPr>
        <w:t>of Development Studies</w:t>
      </w:r>
      <w:r>
        <w:rPr>
          <w:sz w:val="24"/>
        </w:rPr>
        <w:t>, </w:t>
      </w:r>
      <w:r>
        <w:rPr>
          <w:i/>
          <w:sz w:val="24"/>
        </w:rPr>
        <w:t>44(8), </w:t>
      </w:r>
      <w:r>
        <w:rPr>
          <w:sz w:val="24"/>
        </w:rPr>
        <w:t>1190-1213.</w:t>
      </w:r>
    </w:p>
    <w:p>
      <w:pPr>
        <w:tabs>
          <w:tab w:pos="7192" w:val="left" w:leader="none"/>
          <w:tab w:pos="8106" w:val="left" w:leader="none"/>
          <w:tab w:pos="8793" w:val="left" w:leader="none"/>
          <w:tab w:pos="9668" w:val="left" w:leader="none"/>
          <w:tab w:pos="10623" w:val="left" w:leader="none"/>
        </w:tabs>
        <w:spacing w:before="0"/>
        <w:ind w:left="1431" w:right="475" w:hanging="721"/>
        <w:jc w:val="left"/>
        <w:rPr>
          <w:sz w:val="24"/>
        </w:rPr>
      </w:pPr>
      <w:r>
        <w:rPr>
          <w:sz w:val="24"/>
        </w:rPr>
        <w:t>Cuddington,</w:t>
      </w:r>
      <w:r>
        <w:rPr>
          <w:spacing w:val="80"/>
          <w:w w:val="150"/>
          <w:sz w:val="24"/>
        </w:rPr>
        <w:t> </w:t>
      </w:r>
      <w:r>
        <w:rPr>
          <w:sz w:val="24"/>
        </w:rPr>
        <w:t>John</w:t>
      </w:r>
      <w:r>
        <w:rPr>
          <w:spacing w:val="80"/>
          <w:w w:val="150"/>
          <w:sz w:val="24"/>
        </w:rPr>
        <w:t> </w:t>
      </w:r>
      <w:r>
        <w:rPr>
          <w:sz w:val="24"/>
        </w:rPr>
        <w:t>T.</w:t>
      </w:r>
      <w:r>
        <w:rPr>
          <w:spacing w:val="80"/>
          <w:w w:val="150"/>
          <w:sz w:val="24"/>
        </w:rPr>
        <w:t> </w:t>
      </w:r>
      <w:r>
        <w:rPr>
          <w:sz w:val="24"/>
        </w:rPr>
        <w:t>(1987).</w:t>
      </w:r>
      <w:r>
        <w:rPr>
          <w:spacing w:val="80"/>
          <w:w w:val="150"/>
          <w:sz w:val="24"/>
        </w:rPr>
        <w:t> </w:t>
      </w:r>
      <w:r>
        <w:rPr>
          <w:i/>
          <w:sz w:val="24"/>
        </w:rPr>
        <w:t>Macroeconomic</w:t>
      </w:r>
      <w:r>
        <w:rPr>
          <w:i/>
          <w:spacing w:val="80"/>
          <w:w w:val="150"/>
          <w:sz w:val="24"/>
        </w:rPr>
        <w:t> </w:t>
      </w:r>
      <w:r>
        <w:rPr>
          <w:i/>
          <w:sz w:val="24"/>
        </w:rPr>
        <w:t>Determinants</w:t>
      </w:r>
      <w:r>
        <w:rPr>
          <w:i/>
          <w:spacing w:val="80"/>
          <w:w w:val="150"/>
          <w:sz w:val="24"/>
        </w:rPr>
        <w:t> </w:t>
      </w:r>
      <w:r>
        <w:rPr>
          <w:i/>
          <w:sz w:val="24"/>
        </w:rPr>
        <w:t>of</w:t>
      </w:r>
      <w:r>
        <w:rPr>
          <w:i/>
          <w:spacing w:val="80"/>
          <w:w w:val="150"/>
          <w:sz w:val="24"/>
        </w:rPr>
        <w:t> </w:t>
      </w:r>
      <w:r>
        <w:rPr>
          <w:i/>
          <w:sz w:val="24"/>
        </w:rPr>
        <w:t>Capital</w:t>
      </w:r>
      <w:r>
        <w:rPr>
          <w:i/>
          <w:spacing w:val="80"/>
          <w:w w:val="150"/>
          <w:sz w:val="24"/>
        </w:rPr>
        <w:t> </w:t>
      </w:r>
      <w:r>
        <w:rPr>
          <w:i/>
          <w:sz w:val="24"/>
        </w:rPr>
        <w:t>Flight:</w:t>
      </w:r>
      <w:r>
        <w:rPr>
          <w:i/>
          <w:spacing w:val="80"/>
          <w:w w:val="150"/>
          <w:sz w:val="24"/>
        </w:rPr>
        <w:t> </w:t>
      </w:r>
      <w:r>
        <w:rPr>
          <w:i/>
          <w:sz w:val="24"/>
        </w:rPr>
        <w:t>An</w:t>
      </w:r>
      <w:r>
        <w:rPr>
          <w:i/>
          <w:spacing w:val="80"/>
          <w:w w:val="150"/>
          <w:sz w:val="24"/>
        </w:rPr>
        <w:t> </w:t>
      </w:r>
      <w:r>
        <w:rPr>
          <w:i/>
          <w:sz w:val="24"/>
        </w:rPr>
        <w:t>Econometric</w:t>
      </w:r>
      <w:r>
        <w:rPr>
          <w:i/>
          <w:spacing w:val="40"/>
          <w:sz w:val="24"/>
        </w:rPr>
        <w:t> </w:t>
      </w:r>
      <w:r>
        <w:rPr>
          <w:i/>
          <w:sz w:val="24"/>
        </w:rPr>
        <w:t>Investigation.</w:t>
      </w:r>
      <w:r>
        <w:rPr>
          <w:i/>
          <w:spacing w:val="-2"/>
          <w:sz w:val="24"/>
        </w:rPr>
        <w:t> </w:t>
      </w:r>
      <w:r>
        <w:rPr>
          <w:sz w:val="24"/>
        </w:rPr>
        <w:t>In</w:t>
      </w:r>
      <w:r>
        <w:rPr>
          <w:spacing w:val="1"/>
          <w:sz w:val="24"/>
        </w:rPr>
        <w:t> </w:t>
      </w:r>
      <w:r>
        <w:rPr>
          <w:sz w:val="24"/>
        </w:rPr>
        <w:t>Lessard and</w:t>
      </w:r>
      <w:r>
        <w:rPr>
          <w:spacing w:val="-3"/>
          <w:sz w:val="24"/>
        </w:rPr>
        <w:t> </w:t>
      </w:r>
      <w:r>
        <w:rPr>
          <w:sz w:val="24"/>
        </w:rPr>
        <w:t>Williamson,</w:t>
      </w:r>
      <w:r>
        <w:rPr>
          <w:spacing w:val="-2"/>
          <w:sz w:val="24"/>
        </w:rPr>
        <w:t> </w:t>
      </w:r>
      <w:r>
        <w:rPr>
          <w:sz w:val="24"/>
        </w:rPr>
        <w:t>eds.,</w:t>
      </w:r>
      <w:r>
        <w:rPr>
          <w:spacing w:val="-2"/>
          <w:sz w:val="24"/>
        </w:rPr>
        <w:t> Capital</w:t>
      </w:r>
      <w:r>
        <w:rPr>
          <w:sz w:val="24"/>
        </w:rPr>
        <w:tab/>
      </w:r>
      <w:r>
        <w:rPr>
          <w:spacing w:val="-2"/>
          <w:sz w:val="24"/>
        </w:rPr>
        <w:t>Flight</w:t>
      </w:r>
      <w:r>
        <w:rPr>
          <w:sz w:val="24"/>
        </w:rPr>
        <w:tab/>
      </w:r>
      <w:r>
        <w:rPr>
          <w:spacing w:val="-5"/>
          <w:sz w:val="24"/>
        </w:rPr>
        <w:t>and</w:t>
      </w:r>
      <w:r>
        <w:rPr>
          <w:sz w:val="24"/>
        </w:rPr>
        <w:tab/>
      </w:r>
      <w:r>
        <w:rPr>
          <w:spacing w:val="-2"/>
          <w:sz w:val="24"/>
        </w:rPr>
        <w:t>Third</w:t>
      </w:r>
      <w:r>
        <w:rPr>
          <w:sz w:val="24"/>
        </w:rPr>
        <w:tab/>
      </w:r>
      <w:r>
        <w:rPr>
          <w:spacing w:val="-2"/>
          <w:sz w:val="24"/>
        </w:rPr>
        <w:t>World</w:t>
      </w:r>
      <w:r>
        <w:rPr>
          <w:sz w:val="24"/>
        </w:rPr>
        <w:tab/>
      </w:r>
      <w:r>
        <w:rPr>
          <w:spacing w:val="-2"/>
          <w:sz w:val="24"/>
        </w:rPr>
        <w:t>Debt.</w:t>
      </w:r>
    </w:p>
    <w:p>
      <w:pPr>
        <w:pStyle w:val="BodyText"/>
        <w:ind w:left="711"/>
      </w:pPr>
      <w:r>
        <w:rPr/>
        <w:t>Washington,</w:t>
      </w:r>
      <w:r>
        <w:rPr>
          <w:spacing w:val="-4"/>
        </w:rPr>
        <w:t> </w:t>
      </w:r>
      <w:r>
        <w:rPr/>
        <w:t>D.C.:</w:t>
      </w:r>
      <w:r>
        <w:rPr>
          <w:spacing w:val="-1"/>
        </w:rPr>
        <w:t> </w:t>
      </w:r>
      <w:r>
        <w:rPr/>
        <w:t>Institute</w:t>
      </w:r>
      <w:r>
        <w:rPr>
          <w:spacing w:val="-3"/>
        </w:rPr>
        <w:t> </w:t>
      </w:r>
      <w:r>
        <w:rPr/>
        <w:t>forInternational</w:t>
      </w:r>
      <w:r>
        <w:rPr>
          <w:spacing w:val="-3"/>
        </w:rPr>
        <w:t> </w:t>
      </w:r>
      <w:r>
        <w:rPr>
          <w:spacing w:val="-2"/>
        </w:rPr>
        <w:t>Economics.</w:t>
      </w:r>
    </w:p>
    <w:p>
      <w:pPr>
        <w:spacing w:before="0"/>
        <w:ind w:left="711" w:right="475" w:firstLine="0"/>
        <w:jc w:val="left"/>
        <w:rPr>
          <w:sz w:val="24"/>
        </w:rPr>
      </w:pPr>
      <w:r>
        <w:rPr>
          <w:sz w:val="24"/>
        </w:rPr>
        <w:t>Davidson,</w:t>
      </w:r>
      <w:r>
        <w:rPr>
          <w:spacing w:val="40"/>
          <w:sz w:val="24"/>
        </w:rPr>
        <w:t> </w:t>
      </w:r>
      <w:r>
        <w:rPr>
          <w:sz w:val="24"/>
        </w:rPr>
        <w:t>R.</w:t>
      </w:r>
      <w:r>
        <w:rPr>
          <w:spacing w:val="40"/>
          <w:sz w:val="24"/>
        </w:rPr>
        <w:t> </w:t>
      </w:r>
      <w:r>
        <w:rPr>
          <w:sz w:val="24"/>
        </w:rPr>
        <w:t>&amp;</w:t>
      </w:r>
      <w:r>
        <w:rPr>
          <w:spacing w:val="40"/>
          <w:sz w:val="24"/>
        </w:rPr>
        <w:t> </w:t>
      </w:r>
      <w:r>
        <w:rPr>
          <w:sz w:val="24"/>
        </w:rPr>
        <w:t>McKinnon,</w:t>
      </w:r>
      <w:r>
        <w:rPr>
          <w:spacing w:val="40"/>
          <w:sz w:val="24"/>
        </w:rPr>
        <w:t> </w:t>
      </w:r>
      <w:r>
        <w:rPr>
          <w:sz w:val="24"/>
        </w:rPr>
        <w:t>J.G.</w:t>
      </w:r>
      <w:r>
        <w:rPr>
          <w:spacing w:val="40"/>
          <w:sz w:val="24"/>
        </w:rPr>
        <w:t> </w:t>
      </w:r>
      <w:r>
        <w:rPr>
          <w:sz w:val="24"/>
        </w:rPr>
        <w:t>(1993).</w:t>
      </w:r>
      <w:r>
        <w:rPr>
          <w:spacing w:val="40"/>
          <w:sz w:val="24"/>
        </w:rPr>
        <w:t> </w:t>
      </w:r>
      <w:r>
        <w:rPr>
          <w:i/>
          <w:sz w:val="24"/>
        </w:rPr>
        <w:t>Estimation</w:t>
      </w:r>
      <w:r>
        <w:rPr>
          <w:i/>
          <w:spacing w:val="40"/>
          <w:sz w:val="24"/>
        </w:rPr>
        <w:t> </w:t>
      </w:r>
      <w:r>
        <w:rPr>
          <w:i/>
          <w:sz w:val="24"/>
        </w:rPr>
        <w:t>and</w:t>
      </w:r>
      <w:r>
        <w:rPr>
          <w:i/>
          <w:spacing w:val="40"/>
          <w:sz w:val="24"/>
        </w:rPr>
        <w:t> </w:t>
      </w:r>
      <w:r>
        <w:rPr>
          <w:i/>
          <w:sz w:val="24"/>
        </w:rPr>
        <w:t>Inference</w:t>
      </w:r>
      <w:r>
        <w:rPr>
          <w:i/>
          <w:spacing w:val="40"/>
          <w:sz w:val="24"/>
        </w:rPr>
        <w:t> </w:t>
      </w:r>
      <w:r>
        <w:rPr>
          <w:i/>
          <w:sz w:val="24"/>
        </w:rPr>
        <w:t>in</w:t>
      </w:r>
      <w:r>
        <w:rPr>
          <w:i/>
          <w:spacing w:val="40"/>
          <w:sz w:val="24"/>
        </w:rPr>
        <w:t> </w:t>
      </w:r>
      <w:r>
        <w:rPr>
          <w:i/>
          <w:sz w:val="24"/>
        </w:rPr>
        <w:t>Econometrics</w:t>
      </w:r>
      <w:r>
        <w:rPr>
          <w:sz w:val="24"/>
        </w:rPr>
        <w:t>,</w:t>
      </w:r>
      <w:r>
        <w:rPr>
          <w:spacing w:val="40"/>
          <w:sz w:val="24"/>
        </w:rPr>
        <w:t> </w:t>
      </w:r>
      <w:r>
        <w:rPr>
          <w:sz w:val="24"/>
        </w:rPr>
        <w:t>Oxford</w:t>
      </w:r>
      <w:r>
        <w:rPr>
          <w:spacing w:val="40"/>
          <w:sz w:val="24"/>
        </w:rPr>
        <w:t> </w:t>
      </w:r>
      <w:r>
        <w:rPr>
          <w:sz w:val="24"/>
        </w:rPr>
        <w:t>University </w:t>
      </w:r>
      <w:r>
        <w:rPr>
          <w:spacing w:val="-2"/>
          <w:sz w:val="24"/>
        </w:rPr>
        <w:t>Press.</w:t>
      </w:r>
    </w:p>
    <w:p>
      <w:pPr>
        <w:pStyle w:val="BodyText"/>
        <w:tabs>
          <w:tab w:pos="2350" w:val="left" w:leader="none"/>
          <w:tab w:pos="8877" w:val="left" w:leader="none"/>
        </w:tabs>
        <w:spacing w:before="1"/>
        <w:ind w:left="711"/>
      </w:pPr>
      <w:r>
        <w:rPr/>
        <w:t>Durbin,</w:t>
      </w:r>
      <w:r>
        <w:rPr>
          <w:spacing w:val="65"/>
        </w:rPr>
        <w:t> </w:t>
      </w:r>
      <w:r>
        <w:rPr/>
        <w:t>J.,</w:t>
      </w:r>
      <w:r>
        <w:rPr>
          <w:spacing w:val="65"/>
        </w:rPr>
        <w:t> </w:t>
      </w:r>
      <w:r>
        <w:rPr>
          <w:spacing w:val="-10"/>
        </w:rPr>
        <w:t>&amp;</w:t>
      </w:r>
      <w:r>
        <w:rPr/>
        <w:tab/>
        <w:t>Watson,</w:t>
      </w:r>
      <w:r>
        <w:rPr>
          <w:spacing w:val="59"/>
        </w:rPr>
        <w:t> </w:t>
      </w:r>
      <w:r>
        <w:rPr/>
        <w:t>G.</w:t>
      </w:r>
      <w:r>
        <w:rPr>
          <w:spacing w:val="63"/>
        </w:rPr>
        <w:t> </w:t>
      </w:r>
      <w:r>
        <w:rPr/>
        <w:t>S.</w:t>
      </w:r>
      <w:r>
        <w:rPr>
          <w:spacing w:val="63"/>
        </w:rPr>
        <w:t> </w:t>
      </w:r>
      <w:r>
        <w:rPr/>
        <w:t>(1950).Testing</w:t>
      </w:r>
      <w:r>
        <w:rPr>
          <w:spacing w:val="63"/>
        </w:rPr>
        <w:t> </w:t>
      </w:r>
      <w:r>
        <w:rPr/>
        <w:t>for</w:t>
      </w:r>
      <w:r>
        <w:rPr>
          <w:spacing w:val="65"/>
        </w:rPr>
        <w:t> </w:t>
      </w:r>
      <w:r>
        <w:rPr/>
        <w:t>Serial</w:t>
      </w:r>
      <w:r>
        <w:rPr>
          <w:spacing w:val="64"/>
        </w:rPr>
        <w:t> </w:t>
      </w:r>
      <w:r>
        <w:rPr/>
        <w:t>Correlation</w:t>
      </w:r>
      <w:r>
        <w:rPr>
          <w:spacing w:val="64"/>
        </w:rPr>
        <w:t> </w:t>
      </w:r>
      <w:r>
        <w:rPr/>
        <w:t>in</w:t>
      </w:r>
      <w:r>
        <w:rPr>
          <w:spacing w:val="68"/>
        </w:rPr>
        <w:t> </w:t>
      </w:r>
      <w:r>
        <w:rPr>
          <w:spacing w:val="-2"/>
        </w:rPr>
        <w:t>Least</w:t>
      </w:r>
      <w:r>
        <w:rPr/>
        <w:tab/>
        <w:t>Squares</w:t>
      </w:r>
      <w:r>
        <w:rPr>
          <w:spacing w:val="62"/>
        </w:rPr>
        <w:t> </w:t>
      </w:r>
      <w:r>
        <w:rPr/>
        <w:t>Regression,</w:t>
      </w:r>
      <w:r>
        <w:rPr>
          <w:spacing w:val="66"/>
        </w:rPr>
        <w:t> </w:t>
      </w:r>
      <w:r>
        <w:rPr>
          <w:spacing w:val="-5"/>
        </w:rPr>
        <w:t>I.</w:t>
      </w:r>
    </w:p>
    <w:p>
      <w:pPr>
        <w:spacing w:before="0"/>
        <w:ind w:left="1431" w:right="0" w:firstLine="0"/>
        <w:jc w:val="left"/>
        <w:rPr>
          <w:sz w:val="24"/>
        </w:rPr>
      </w:pPr>
      <w:hyperlink r:id="rId20">
        <w:r>
          <w:rPr>
            <w:i/>
            <w:sz w:val="24"/>
          </w:rPr>
          <w:t>Biometrika</w:t>
        </w:r>
      </w:hyperlink>
      <w:r>
        <w:rPr>
          <w:i/>
          <w:spacing w:val="-4"/>
          <w:sz w:val="24"/>
        </w:rPr>
        <w:t> </w:t>
      </w:r>
      <w:r>
        <w:rPr>
          <w:sz w:val="24"/>
        </w:rPr>
        <w:t>37,</w:t>
      </w:r>
      <w:r>
        <w:rPr>
          <w:spacing w:val="-1"/>
          <w:sz w:val="24"/>
        </w:rPr>
        <w:t> </w:t>
      </w:r>
      <w:r>
        <w:rPr>
          <w:spacing w:val="-2"/>
          <w:sz w:val="24"/>
        </w:rPr>
        <w:t>409–428.</w:t>
      </w:r>
    </w:p>
    <w:p>
      <w:pPr>
        <w:pStyle w:val="BodyText"/>
        <w:ind w:left="711"/>
        <w:rPr>
          <w:i/>
        </w:rPr>
      </w:pPr>
      <w:r>
        <w:rPr/>
        <w:t>Durbin,</w:t>
      </w:r>
      <w:r>
        <w:rPr>
          <w:spacing w:val="-4"/>
        </w:rPr>
        <w:t> </w:t>
      </w:r>
      <w:r>
        <w:rPr/>
        <w:t>J.</w:t>
      </w:r>
      <w:r>
        <w:rPr>
          <w:spacing w:val="-1"/>
        </w:rPr>
        <w:t> </w:t>
      </w:r>
      <w:r>
        <w:rPr/>
        <w:t>&amp;</w:t>
      </w:r>
      <w:r>
        <w:rPr>
          <w:spacing w:val="-3"/>
        </w:rPr>
        <w:t> </w:t>
      </w:r>
      <w:r>
        <w:rPr/>
        <w:t>Watson,</w:t>
      </w:r>
      <w:r>
        <w:rPr>
          <w:spacing w:val="-1"/>
        </w:rPr>
        <w:t> </w:t>
      </w:r>
      <w:r>
        <w:rPr/>
        <w:t>G. S.</w:t>
      </w:r>
      <w:r>
        <w:rPr>
          <w:spacing w:val="-1"/>
        </w:rPr>
        <w:t> </w:t>
      </w:r>
      <w:r>
        <w:rPr/>
        <w:t>(1951).Testing</w:t>
      </w:r>
      <w:r>
        <w:rPr>
          <w:spacing w:val="-1"/>
        </w:rPr>
        <w:t> </w:t>
      </w:r>
      <w:r>
        <w:rPr/>
        <w:t>for Serial</w:t>
      </w:r>
      <w:r>
        <w:rPr>
          <w:spacing w:val="-2"/>
        </w:rPr>
        <w:t> </w:t>
      </w:r>
      <w:r>
        <w:rPr/>
        <w:t>Correlation</w:t>
      </w:r>
      <w:r>
        <w:rPr>
          <w:spacing w:val="-1"/>
        </w:rPr>
        <w:t> </w:t>
      </w:r>
      <w:r>
        <w:rPr/>
        <w:t>in</w:t>
      </w:r>
      <w:r>
        <w:rPr>
          <w:spacing w:val="1"/>
        </w:rPr>
        <w:t> </w:t>
      </w:r>
      <w:r>
        <w:rPr/>
        <w:t>Least</w:t>
      </w:r>
      <w:r>
        <w:rPr>
          <w:spacing w:val="-1"/>
        </w:rPr>
        <w:t> </w:t>
      </w:r>
      <w:r>
        <w:rPr/>
        <w:t>Squares</w:t>
      </w:r>
      <w:r>
        <w:rPr>
          <w:spacing w:val="-1"/>
        </w:rPr>
        <w:t> </w:t>
      </w:r>
      <w:r>
        <w:rPr/>
        <w:t>Regression,</w:t>
      </w:r>
      <w:r>
        <w:rPr>
          <w:spacing w:val="1"/>
        </w:rPr>
        <w:t> </w:t>
      </w:r>
      <w:r>
        <w:rPr/>
        <w:t>II.</w:t>
      </w:r>
      <w:r>
        <w:rPr>
          <w:spacing w:val="7"/>
        </w:rPr>
        <w:t> </w:t>
      </w:r>
      <w:r>
        <w:rPr>
          <w:i/>
          <w:spacing w:val="-2"/>
        </w:rPr>
        <w:t>Biometrika</w:t>
      </w:r>
    </w:p>
    <w:p>
      <w:pPr>
        <w:pStyle w:val="BodyText"/>
        <w:ind w:left="1431"/>
      </w:pPr>
      <w:r>
        <w:rPr/>
        <w:t>38, </w:t>
      </w:r>
      <w:r>
        <w:rPr>
          <w:spacing w:val="-2"/>
        </w:rPr>
        <w:t>159–179.</w:t>
      </w:r>
    </w:p>
    <w:p>
      <w:pPr>
        <w:pStyle w:val="BodyText"/>
        <w:ind w:left="711"/>
      </w:pPr>
      <w:r>
        <w:rPr/>
        <w:t>Erbe, S. (1985).</w:t>
      </w:r>
      <w:r>
        <w:rPr>
          <w:spacing w:val="40"/>
        </w:rPr>
        <w:t> </w:t>
      </w:r>
      <w:r>
        <w:rPr/>
        <w:t>The Flight of Capital from Developing</w:t>
      </w:r>
      <w:r>
        <w:rPr>
          <w:spacing w:val="-1"/>
        </w:rPr>
        <w:t> </w:t>
      </w:r>
      <w:r>
        <w:rPr/>
        <w:t>Countries.</w:t>
      </w:r>
      <w:r>
        <w:rPr>
          <w:spacing w:val="40"/>
        </w:rPr>
        <w:t> </w:t>
      </w:r>
      <w:r>
        <w:rPr>
          <w:i/>
        </w:rPr>
        <w:t>Intereconomics </w:t>
      </w:r>
      <w:r>
        <w:rPr/>
        <w:t>(November/December). Engle,</w:t>
      </w:r>
      <w:r>
        <w:rPr>
          <w:spacing w:val="17"/>
        </w:rPr>
        <w:t> </w:t>
      </w:r>
      <w:r>
        <w:rPr/>
        <w:t>R.</w:t>
      </w:r>
      <w:r>
        <w:rPr>
          <w:spacing w:val="18"/>
        </w:rPr>
        <w:t> </w:t>
      </w:r>
      <w:r>
        <w:rPr/>
        <w:t>F</w:t>
      </w:r>
      <w:r>
        <w:rPr>
          <w:spacing w:val="16"/>
        </w:rPr>
        <w:t> </w:t>
      </w:r>
      <w:r>
        <w:rPr/>
        <w:t>and</w:t>
      </w:r>
      <w:r>
        <w:rPr>
          <w:spacing w:val="18"/>
        </w:rPr>
        <w:t> </w:t>
      </w:r>
      <w:r>
        <w:rPr/>
        <w:t>Granger,</w:t>
      </w:r>
      <w:r>
        <w:rPr>
          <w:spacing w:val="18"/>
        </w:rPr>
        <w:t> </w:t>
      </w:r>
      <w:r>
        <w:rPr/>
        <w:t>C.W.J.</w:t>
      </w:r>
      <w:r>
        <w:rPr>
          <w:spacing w:val="15"/>
        </w:rPr>
        <w:t> </w:t>
      </w:r>
      <w:r>
        <w:rPr/>
        <w:t>(1987).</w:t>
      </w:r>
      <w:r>
        <w:rPr>
          <w:spacing w:val="17"/>
        </w:rPr>
        <w:t> </w:t>
      </w:r>
      <w:r>
        <w:rPr/>
        <w:t>Co-integration</w:t>
      </w:r>
      <w:r>
        <w:rPr>
          <w:spacing w:val="18"/>
        </w:rPr>
        <w:t> </w:t>
      </w:r>
      <w:r>
        <w:rPr/>
        <w:t>and</w:t>
      </w:r>
      <w:r>
        <w:rPr>
          <w:spacing w:val="18"/>
        </w:rPr>
        <w:t> </w:t>
      </w:r>
      <w:r>
        <w:rPr/>
        <w:t>Error</w:t>
      </w:r>
      <w:r>
        <w:rPr>
          <w:spacing w:val="16"/>
        </w:rPr>
        <w:t> </w:t>
      </w:r>
      <w:r>
        <w:rPr/>
        <w:t>Correction:</w:t>
      </w:r>
      <w:r>
        <w:rPr>
          <w:spacing w:val="18"/>
        </w:rPr>
        <w:t> </w:t>
      </w:r>
      <w:r>
        <w:rPr/>
        <w:t>Representation,</w:t>
      </w:r>
      <w:r>
        <w:rPr>
          <w:spacing w:val="18"/>
        </w:rPr>
        <w:t> </w:t>
      </w:r>
      <w:r>
        <w:rPr/>
        <w:t>Estimation,</w:t>
      </w:r>
    </w:p>
    <w:p>
      <w:pPr>
        <w:spacing w:before="0"/>
        <w:ind w:left="1431" w:right="0" w:firstLine="0"/>
        <w:jc w:val="left"/>
        <w:rPr>
          <w:sz w:val="24"/>
        </w:rPr>
      </w:pPr>
      <w:r>
        <w:rPr>
          <w:sz w:val="24"/>
        </w:rPr>
        <w:t>and</w:t>
      </w:r>
      <w:r>
        <w:rPr>
          <w:spacing w:val="-2"/>
          <w:sz w:val="24"/>
        </w:rPr>
        <w:t> </w:t>
      </w:r>
      <w:r>
        <w:rPr>
          <w:sz w:val="24"/>
        </w:rPr>
        <w:t>Testing.</w:t>
      </w:r>
      <w:r>
        <w:rPr>
          <w:spacing w:val="-1"/>
          <w:sz w:val="24"/>
        </w:rPr>
        <w:t> </w:t>
      </w:r>
      <w:r>
        <w:rPr>
          <w:i/>
          <w:sz w:val="24"/>
        </w:rPr>
        <w:t>Econometrica</w:t>
      </w:r>
      <w:r>
        <w:rPr>
          <w:sz w:val="24"/>
        </w:rPr>
        <w:t>,</w:t>
      </w:r>
      <w:r>
        <w:rPr>
          <w:spacing w:val="-2"/>
          <w:sz w:val="24"/>
        </w:rPr>
        <w:t> </w:t>
      </w:r>
      <w:r>
        <w:rPr>
          <w:i/>
          <w:sz w:val="24"/>
        </w:rPr>
        <w:t>55,</w:t>
      </w:r>
      <w:r>
        <w:rPr>
          <w:i/>
          <w:spacing w:val="-1"/>
          <w:sz w:val="24"/>
        </w:rPr>
        <w:t> </w:t>
      </w:r>
      <w:r>
        <w:rPr>
          <w:sz w:val="24"/>
        </w:rPr>
        <w:t>251-</w:t>
      </w:r>
      <w:r>
        <w:rPr>
          <w:spacing w:val="-5"/>
          <w:sz w:val="24"/>
        </w:rPr>
        <w:t>276</w:t>
      </w:r>
    </w:p>
    <w:p>
      <w:pPr>
        <w:pStyle w:val="BodyText"/>
        <w:ind w:left="1431" w:hanging="721"/>
        <w:rPr>
          <w:i/>
        </w:rPr>
      </w:pPr>
      <w:r>
        <w:rPr/>
        <w:t>Frait, J.,Komarek, L.and Melecky, M.M.(2006). “The Real Exchange Rate</w:t>
      </w:r>
      <w:r>
        <w:rPr>
          <w:spacing w:val="40"/>
        </w:rPr>
        <w:t> </w:t>
      </w:r>
      <w:r>
        <w:rPr/>
        <w:t>Misaligment in the Five Central European Countries.” </w:t>
      </w:r>
      <w:r>
        <w:rPr>
          <w:i/>
        </w:rPr>
        <w:t>Warwick Economic</w:t>
      </w:r>
    </w:p>
    <w:p>
      <w:pPr>
        <w:spacing w:before="0"/>
        <w:ind w:left="1431" w:right="0" w:firstLine="0"/>
        <w:jc w:val="left"/>
        <w:rPr>
          <w:sz w:val="24"/>
        </w:rPr>
      </w:pPr>
      <w:r>
        <w:rPr>
          <w:i/>
          <w:sz w:val="24"/>
        </w:rPr>
        <w:t>Research</w:t>
      </w:r>
      <w:r>
        <w:rPr>
          <w:i/>
          <w:spacing w:val="-3"/>
          <w:sz w:val="24"/>
        </w:rPr>
        <w:t> </w:t>
      </w:r>
      <w:r>
        <w:rPr>
          <w:i/>
          <w:sz w:val="24"/>
        </w:rPr>
        <w:t>Paper </w:t>
      </w:r>
      <w:r>
        <w:rPr>
          <w:sz w:val="24"/>
        </w:rPr>
        <w:t>No. 739,</w:t>
      </w:r>
      <w:r>
        <w:rPr>
          <w:spacing w:val="1"/>
          <w:sz w:val="24"/>
        </w:rPr>
        <w:t> </w:t>
      </w:r>
      <w:r>
        <w:rPr>
          <w:sz w:val="24"/>
        </w:rPr>
        <w:t>University</w:t>
      </w:r>
      <w:r>
        <w:rPr>
          <w:spacing w:val="-4"/>
          <w:sz w:val="24"/>
        </w:rPr>
        <w:t> </w:t>
      </w:r>
      <w:r>
        <w:rPr>
          <w:sz w:val="24"/>
        </w:rPr>
        <w:t>of </w:t>
      </w:r>
      <w:r>
        <w:rPr>
          <w:spacing w:val="-2"/>
          <w:sz w:val="24"/>
        </w:rPr>
        <w:t>Warwick</w:t>
      </w:r>
    </w:p>
    <w:p>
      <w:pPr>
        <w:pStyle w:val="BodyText"/>
        <w:ind w:left="1522" w:right="475" w:hanging="812"/>
      </w:pPr>
      <w:r>
        <w:rPr/>
        <w:t>Gujarati,</w:t>
      </w:r>
      <w:r>
        <w:rPr>
          <w:spacing w:val="23"/>
        </w:rPr>
        <w:t> </w:t>
      </w:r>
      <w:r>
        <w:rPr/>
        <w:t>Damodar</w:t>
      </w:r>
      <w:r>
        <w:rPr>
          <w:spacing w:val="21"/>
        </w:rPr>
        <w:t> </w:t>
      </w:r>
      <w:r>
        <w:rPr/>
        <w:t>N.</w:t>
      </w:r>
      <w:r>
        <w:rPr>
          <w:spacing w:val="22"/>
        </w:rPr>
        <w:t> </w:t>
      </w:r>
      <w:r>
        <w:rPr/>
        <w:t>(2005).</w:t>
      </w:r>
      <w:r>
        <w:rPr>
          <w:spacing w:val="80"/>
        </w:rPr>
        <w:t> </w:t>
      </w:r>
      <w:r>
        <w:rPr/>
        <w:t>Basic</w:t>
      </w:r>
      <w:r>
        <w:rPr>
          <w:spacing w:val="22"/>
        </w:rPr>
        <w:t> </w:t>
      </w:r>
      <w:r>
        <w:rPr/>
        <w:t>Econometrics,</w:t>
      </w:r>
      <w:r>
        <w:rPr>
          <w:spacing w:val="27"/>
        </w:rPr>
        <w:t> </w:t>
      </w:r>
      <w:r>
        <w:rPr/>
        <w:t>Fifth</w:t>
      </w:r>
      <w:r>
        <w:rPr>
          <w:spacing w:val="24"/>
        </w:rPr>
        <w:t> </w:t>
      </w:r>
      <w:r>
        <w:rPr/>
        <w:t>Edition.,</w:t>
      </w:r>
      <w:r>
        <w:rPr>
          <w:spacing w:val="23"/>
        </w:rPr>
        <w:t> </w:t>
      </w:r>
      <w:r>
        <w:rPr/>
        <w:t>New York</w:t>
      </w:r>
      <w:r>
        <w:rPr>
          <w:spacing w:val="23"/>
        </w:rPr>
        <w:t> </w:t>
      </w:r>
      <w:r>
        <w:rPr/>
        <w:t>et</w:t>
      </w:r>
      <w:r>
        <w:rPr>
          <w:spacing w:val="23"/>
        </w:rPr>
        <w:t> </w:t>
      </w:r>
      <w:r>
        <w:rPr/>
        <w:t>al.:</w:t>
      </w:r>
      <w:r>
        <w:rPr>
          <w:spacing w:val="23"/>
        </w:rPr>
        <w:t> </w:t>
      </w:r>
      <w:r>
        <w:rPr/>
        <w:t>McGraw–Hill,</w:t>
      </w:r>
      <w:r>
        <w:rPr>
          <w:spacing w:val="23"/>
        </w:rPr>
        <w:t> </w:t>
      </w:r>
      <w:r>
        <w:rPr/>
        <w:t>1995, page 605f.</w:t>
      </w:r>
    </w:p>
    <w:p>
      <w:pPr>
        <w:pStyle w:val="BodyText"/>
        <w:tabs>
          <w:tab w:pos="9353" w:val="left" w:leader="none"/>
        </w:tabs>
        <w:ind w:left="711" w:right="487"/>
      </w:pPr>
      <w:r>
        <w:rPr/>
        <w:t>Hermes</w:t>
      </w:r>
      <w:r>
        <w:rPr>
          <w:spacing w:val="-1"/>
        </w:rPr>
        <w:t> </w:t>
      </w:r>
      <w:r>
        <w:rPr/>
        <w:t>&amp;</w:t>
      </w:r>
      <w:r>
        <w:rPr>
          <w:spacing w:val="-3"/>
        </w:rPr>
        <w:t> </w:t>
      </w:r>
      <w:r>
        <w:rPr/>
        <w:t>Bernard,</w:t>
      </w:r>
      <w:r>
        <w:rPr>
          <w:spacing w:val="-3"/>
        </w:rPr>
        <w:t> </w:t>
      </w:r>
      <w:r>
        <w:rPr/>
        <w:t>(2011).</w:t>
      </w:r>
      <w:r>
        <w:rPr>
          <w:spacing w:val="-3"/>
        </w:rPr>
        <w:t> </w:t>
      </w:r>
      <w:r>
        <w:rPr/>
        <w:t>Causes</w:t>
      </w:r>
      <w:r>
        <w:rPr>
          <w:spacing w:val="-3"/>
        </w:rPr>
        <w:t> </w:t>
      </w:r>
      <w:r>
        <w:rPr/>
        <w:t>of</w:t>
      </w:r>
      <w:r>
        <w:rPr>
          <w:spacing w:val="-3"/>
        </w:rPr>
        <w:t> </w:t>
      </w:r>
      <w:r>
        <w:rPr/>
        <w:t>Capital</w:t>
      </w:r>
      <w:r>
        <w:rPr>
          <w:spacing w:val="-3"/>
        </w:rPr>
        <w:t> </w:t>
      </w:r>
      <w:r>
        <w:rPr/>
        <w:t>Flight</w:t>
      </w:r>
      <w:r>
        <w:rPr>
          <w:spacing w:val="-3"/>
        </w:rPr>
        <w:t> </w:t>
      </w:r>
      <w:r>
        <w:rPr/>
        <w:t>from</w:t>
      </w:r>
      <w:r>
        <w:rPr>
          <w:spacing w:val="-3"/>
        </w:rPr>
        <w:t> </w:t>
      </w:r>
      <w:r>
        <w:rPr/>
        <w:t>Sub-</w:t>
      </w:r>
      <w:r>
        <w:rPr>
          <w:spacing w:val="-4"/>
        </w:rPr>
        <w:t> </w:t>
      </w:r>
      <w:r>
        <w:rPr/>
        <w:t>Saharan</w:t>
      </w:r>
      <w:r>
        <w:rPr>
          <w:spacing w:val="-3"/>
        </w:rPr>
        <w:t> </w:t>
      </w:r>
      <w:r>
        <w:rPr/>
        <w:t>Africa</w:t>
      </w:r>
      <w:r>
        <w:rPr>
          <w:spacing w:val="-5"/>
        </w:rPr>
        <w:t> </w:t>
      </w:r>
      <w:hyperlink r:id="rId14">
        <w:r>
          <w:rPr/>
          <w:t>www.csae.ox.uk/679-Ali.pdf</w:t>
        </w:r>
      </w:hyperlink>
      <w:r>
        <w:rPr/>
        <w:t> International Finance Corporation (1998). Trends in Private Investment in</w:t>
      </w:r>
      <w:r>
        <w:rPr>
          <w:spacing w:val="40"/>
        </w:rPr>
        <w:t> </w:t>
      </w:r>
      <w:r>
        <w:rPr/>
        <w:t>Developing</w:t>
        <w:tab/>
      </w:r>
      <w:r>
        <w:rPr>
          <w:spacing w:val="-2"/>
        </w:rPr>
        <w:t>Countries, </w:t>
      </w:r>
      <w:r>
        <w:rPr/>
        <w:t>Statistics for 1970-96 </w:t>
      </w:r>
      <w:r>
        <w:rPr>
          <w:i/>
        </w:rPr>
        <w:t>Discussion paper </w:t>
      </w:r>
      <w:r>
        <w:rPr/>
        <w:t>34.</w:t>
      </w:r>
    </w:p>
    <w:p>
      <w:pPr>
        <w:spacing w:before="1"/>
        <w:ind w:left="711" w:right="0" w:firstLine="0"/>
        <w:jc w:val="left"/>
        <w:rPr>
          <w:sz w:val="24"/>
        </w:rPr>
      </w:pPr>
      <w:r>
        <w:rPr>
          <w:sz w:val="24"/>
        </w:rPr>
        <w:t>Lessard,</w:t>
      </w:r>
      <w:r>
        <w:rPr>
          <w:spacing w:val="40"/>
          <w:sz w:val="24"/>
        </w:rPr>
        <w:t> </w:t>
      </w:r>
      <w:r>
        <w:rPr>
          <w:sz w:val="24"/>
        </w:rPr>
        <w:t>D.</w:t>
      </w:r>
      <w:r>
        <w:rPr>
          <w:spacing w:val="40"/>
          <w:sz w:val="24"/>
        </w:rPr>
        <w:t> </w:t>
      </w:r>
      <w:r>
        <w:rPr>
          <w:sz w:val="24"/>
        </w:rPr>
        <w:t>R.,</w:t>
      </w:r>
      <w:r>
        <w:rPr>
          <w:spacing w:val="40"/>
          <w:sz w:val="24"/>
        </w:rPr>
        <w:t> </w:t>
      </w:r>
      <w:r>
        <w:rPr>
          <w:sz w:val="24"/>
        </w:rPr>
        <w:t>&amp;</w:t>
      </w:r>
      <w:r>
        <w:rPr>
          <w:spacing w:val="40"/>
          <w:sz w:val="24"/>
        </w:rPr>
        <w:t> </w:t>
      </w:r>
      <w:r>
        <w:rPr>
          <w:sz w:val="24"/>
        </w:rPr>
        <w:t>John</w:t>
      </w:r>
      <w:r>
        <w:rPr>
          <w:spacing w:val="40"/>
          <w:sz w:val="24"/>
        </w:rPr>
        <w:t> </w:t>
      </w:r>
      <w:r>
        <w:rPr>
          <w:sz w:val="24"/>
        </w:rPr>
        <w:t>Williamson,</w:t>
      </w:r>
      <w:r>
        <w:rPr>
          <w:spacing w:val="40"/>
          <w:sz w:val="24"/>
        </w:rPr>
        <w:t> </w:t>
      </w:r>
      <w:r>
        <w:rPr>
          <w:sz w:val="24"/>
        </w:rPr>
        <w:t>(1987).</w:t>
      </w:r>
      <w:r>
        <w:rPr>
          <w:spacing w:val="40"/>
          <w:sz w:val="24"/>
        </w:rPr>
        <w:t> </w:t>
      </w:r>
      <w:r>
        <w:rPr>
          <w:sz w:val="24"/>
        </w:rPr>
        <w:t>Capital</w:t>
      </w:r>
      <w:r>
        <w:rPr>
          <w:spacing w:val="40"/>
          <w:sz w:val="24"/>
        </w:rPr>
        <w:t> </w:t>
      </w:r>
      <w:r>
        <w:rPr>
          <w:sz w:val="24"/>
        </w:rPr>
        <w:t>Flight</w:t>
      </w:r>
      <w:r>
        <w:rPr>
          <w:spacing w:val="40"/>
          <w:sz w:val="24"/>
        </w:rPr>
        <w:t> </w:t>
      </w:r>
      <w:r>
        <w:rPr>
          <w:sz w:val="24"/>
        </w:rPr>
        <w:t>and</w:t>
      </w:r>
      <w:r>
        <w:rPr>
          <w:spacing w:val="40"/>
          <w:sz w:val="24"/>
        </w:rPr>
        <w:t> </w:t>
      </w:r>
      <w:r>
        <w:rPr>
          <w:sz w:val="24"/>
        </w:rPr>
        <w:t>Third</w:t>
      </w:r>
      <w:r>
        <w:rPr>
          <w:spacing w:val="40"/>
          <w:sz w:val="24"/>
        </w:rPr>
        <w:t> </w:t>
      </w:r>
      <w:r>
        <w:rPr>
          <w:sz w:val="24"/>
        </w:rPr>
        <w:t>World”</w:t>
      </w:r>
      <w:r>
        <w:rPr>
          <w:spacing w:val="40"/>
          <w:sz w:val="24"/>
        </w:rPr>
        <w:t> </w:t>
      </w:r>
      <w:r>
        <w:rPr>
          <w:sz w:val="24"/>
        </w:rPr>
        <w:t>Washington.</w:t>
      </w:r>
      <w:r>
        <w:rPr>
          <w:spacing w:val="40"/>
          <w:sz w:val="24"/>
        </w:rPr>
        <w:t> </w:t>
      </w:r>
      <w:r>
        <w:rPr>
          <w:i/>
          <w:sz w:val="24"/>
        </w:rPr>
        <w:t>Institute</w:t>
      </w:r>
      <w:r>
        <w:rPr>
          <w:i/>
          <w:spacing w:val="40"/>
          <w:sz w:val="24"/>
        </w:rPr>
        <w:t> </w:t>
      </w:r>
      <w:r>
        <w:rPr>
          <w:i/>
          <w:sz w:val="24"/>
        </w:rPr>
        <w:t>for International Economics</w:t>
      </w:r>
      <w:r>
        <w:rPr>
          <w:sz w:val="24"/>
        </w:rPr>
        <w:t>.</w:t>
      </w:r>
    </w:p>
    <w:p>
      <w:pPr>
        <w:tabs>
          <w:tab w:pos="5032" w:val="left" w:leader="none"/>
        </w:tabs>
        <w:spacing w:before="240"/>
        <w:ind w:left="711" w:right="585" w:firstLine="0"/>
        <w:jc w:val="left"/>
        <w:rPr>
          <w:i/>
          <w:sz w:val="24"/>
        </w:rPr>
      </w:pPr>
      <w:r>
        <w:rPr>
          <w:sz w:val="24"/>
        </w:rPr>
        <w:t>Morgan Guaranty Trust Company, (1986). LDC Capital Flight. </w:t>
      </w:r>
      <w:r>
        <w:rPr>
          <w:i/>
          <w:sz w:val="24"/>
        </w:rPr>
        <w:t>World Financial Markets</w:t>
      </w:r>
      <w:r>
        <w:rPr>
          <w:sz w:val="24"/>
        </w:rPr>
        <w:t>, March, 13-15. Ndikumana,</w:t>
      </w:r>
      <w:r>
        <w:rPr>
          <w:spacing w:val="28"/>
          <w:sz w:val="24"/>
        </w:rPr>
        <w:t> </w:t>
      </w:r>
      <w:r>
        <w:rPr>
          <w:sz w:val="24"/>
        </w:rPr>
        <w:t>L. (2000).</w:t>
      </w:r>
      <w:r>
        <w:rPr>
          <w:spacing w:val="27"/>
          <w:sz w:val="24"/>
        </w:rPr>
        <w:t> </w:t>
      </w:r>
      <w:r>
        <w:rPr>
          <w:sz w:val="24"/>
        </w:rPr>
        <w:t>Financial Determinants</w:t>
      </w:r>
      <w:r>
        <w:rPr>
          <w:spacing w:val="29"/>
          <w:sz w:val="24"/>
        </w:rPr>
        <w:t> </w:t>
      </w:r>
      <w:r>
        <w:rPr>
          <w:sz w:val="24"/>
        </w:rPr>
        <w:t>of Domestic</w:t>
      </w:r>
      <w:r>
        <w:rPr>
          <w:spacing w:val="27"/>
          <w:sz w:val="24"/>
        </w:rPr>
        <w:t> </w:t>
      </w:r>
      <w:r>
        <w:rPr>
          <w:sz w:val="24"/>
        </w:rPr>
        <w:t>Investment in Sub-Saharan Africa:</w:t>
      </w:r>
      <w:r>
        <w:rPr>
          <w:spacing w:val="28"/>
          <w:sz w:val="24"/>
        </w:rPr>
        <w:t> </w:t>
      </w:r>
      <w:r>
        <w:rPr>
          <w:sz w:val="24"/>
        </w:rPr>
        <w:t>Evidence from Panel Data. </w:t>
      </w:r>
      <w:r>
        <w:rPr>
          <w:i/>
          <w:sz w:val="24"/>
        </w:rPr>
        <w:t>World Development,</w:t>
        <w:tab/>
        <w:t>Elsevier, Vol. 28 (2), </w:t>
      </w:r>
      <w:r>
        <w:rPr>
          <w:sz w:val="24"/>
        </w:rPr>
        <w:t>381-400</w:t>
      </w:r>
      <w:r>
        <w:rPr>
          <w:i/>
          <w:sz w:val="24"/>
        </w:rPr>
        <w:t>.</w:t>
      </w:r>
    </w:p>
    <w:p>
      <w:pPr>
        <w:spacing w:before="0"/>
        <w:ind w:left="711" w:right="1193" w:firstLine="0"/>
        <w:jc w:val="left"/>
        <w:rPr>
          <w:sz w:val="24"/>
        </w:rPr>
      </w:pPr>
      <w:r>
        <w:rPr>
          <w:sz w:val="24"/>
        </w:rPr>
        <w:t>Pastor, M. (1990). Capital Flight from Latin America’, </w:t>
      </w:r>
      <w:r>
        <w:rPr>
          <w:i/>
          <w:sz w:val="24"/>
        </w:rPr>
        <w:t>World Development</w:t>
      </w:r>
      <w:r>
        <w:rPr>
          <w:sz w:val="24"/>
        </w:rPr>
        <w:t>, Vol: </w:t>
      </w:r>
      <w:r>
        <w:rPr>
          <w:i/>
          <w:sz w:val="24"/>
        </w:rPr>
        <w:t>18, No.1</w:t>
      </w:r>
      <w:r>
        <w:rPr>
          <w:sz w:val="24"/>
        </w:rPr>
        <w:t>, 1-18 Rodrik,</w:t>
      </w:r>
      <w:r>
        <w:rPr>
          <w:spacing w:val="-3"/>
          <w:sz w:val="24"/>
        </w:rPr>
        <w:t> </w:t>
      </w:r>
      <w:r>
        <w:rPr>
          <w:sz w:val="24"/>
        </w:rPr>
        <w:t>D.(2008).</w:t>
      </w:r>
      <w:r>
        <w:rPr>
          <w:spacing w:val="-4"/>
          <w:sz w:val="24"/>
        </w:rPr>
        <w:t> </w:t>
      </w:r>
      <w:r>
        <w:rPr>
          <w:sz w:val="24"/>
        </w:rPr>
        <w:t>The</w:t>
      </w:r>
      <w:r>
        <w:rPr>
          <w:spacing w:val="-5"/>
          <w:sz w:val="24"/>
        </w:rPr>
        <w:t> </w:t>
      </w:r>
      <w:r>
        <w:rPr>
          <w:sz w:val="24"/>
        </w:rPr>
        <w:t>Real</w:t>
      </w:r>
      <w:r>
        <w:rPr>
          <w:spacing w:val="-2"/>
          <w:sz w:val="24"/>
        </w:rPr>
        <w:t> </w:t>
      </w:r>
      <w:r>
        <w:rPr>
          <w:sz w:val="24"/>
        </w:rPr>
        <w:t>Exchange</w:t>
      </w:r>
      <w:r>
        <w:rPr>
          <w:spacing w:val="-4"/>
          <w:sz w:val="24"/>
        </w:rPr>
        <w:t> </w:t>
      </w:r>
      <w:r>
        <w:rPr>
          <w:sz w:val="24"/>
        </w:rPr>
        <w:t>Rate</w:t>
      </w:r>
      <w:r>
        <w:rPr>
          <w:spacing w:val="-3"/>
          <w:sz w:val="24"/>
        </w:rPr>
        <w:t> </w:t>
      </w:r>
      <w:r>
        <w:rPr>
          <w:sz w:val="24"/>
        </w:rPr>
        <w:t>and</w:t>
      </w:r>
      <w:r>
        <w:rPr>
          <w:spacing w:val="-1"/>
          <w:sz w:val="24"/>
        </w:rPr>
        <w:t> </w:t>
      </w:r>
      <w:r>
        <w:rPr>
          <w:sz w:val="24"/>
        </w:rPr>
        <w:t>Economic</w:t>
      </w:r>
      <w:r>
        <w:rPr>
          <w:spacing w:val="-4"/>
          <w:sz w:val="24"/>
        </w:rPr>
        <w:t> </w:t>
      </w:r>
      <w:r>
        <w:rPr>
          <w:sz w:val="24"/>
        </w:rPr>
        <w:t>Growth.</w:t>
      </w:r>
      <w:r>
        <w:rPr>
          <w:spacing w:val="-3"/>
          <w:sz w:val="24"/>
        </w:rPr>
        <w:t> </w:t>
      </w:r>
      <w:r>
        <w:rPr>
          <w:i/>
          <w:sz w:val="24"/>
        </w:rPr>
        <w:t>Brookings</w:t>
      </w:r>
      <w:r>
        <w:rPr>
          <w:i/>
          <w:spacing w:val="-3"/>
          <w:sz w:val="24"/>
        </w:rPr>
        <w:t> </w:t>
      </w:r>
      <w:r>
        <w:rPr>
          <w:i/>
          <w:sz w:val="24"/>
        </w:rPr>
        <w:t>Papers</w:t>
      </w:r>
      <w:r>
        <w:rPr>
          <w:i/>
          <w:spacing w:val="-3"/>
          <w:sz w:val="24"/>
        </w:rPr>
        <w:t> </w:t>
      </w:r>
      <w:r>
        <w:rPr>
          <w:i/>
          <w:sz w:val="24"/>
        </w:rPr>
        <w:t>on</w:t>
      </w:r>
      <w:r>
        <w:rPr>
          <w:i/>
          <w:spacing w:val="37"/>
          <w:sz w:val="24"/>
        </w:rPr>
        <w:t> </w:t>
      </w:r>
      <w:r>
        <w:rPr>
          <w:i/>
          <w:sz w:val="24"/>
        </w:rPr>
        <w:t>Economic </w:t>
      </w:r>
      <w:r>
        <w:rPr>
          <w:i/>
          <w:spacing w:val="-2"/>
          <w:sz w:val="24"/>
        </w:rPr>
        <w:t>Activity</w:t>
      </w:r>
      <w:r>
        <w:rPr>
          <w:spacing w:val="-2"/>
          <w:sz w:val="24"/>
        </w:rPr>
        <w:t>.</w:t>
      </w:r>
    </w:p>
    <w:p>
      <w:pPr>
        <w:spacing w:before="0"/>
        <w:ind w:left="1431" w:right="0" w:hanging="661"/>
        <w:jc w:val="left"/>
        <w:rPr>
          <w:sz w:val="24"/>
        </w:rPr>
      </w:pPr>
      <w:r>
        <w:rPr>
          <w:sz w:val="24"/>
        </w:rPr>
        <w:t>Robert,</w:t>
      </w:r>
      <w:r>
        <w:rPr>
          <w:spacing w:val="80"/>
          <w:sz w:val="24"/>
        </w:rPr>
        <w:t> </w:t>
      </w:r>
      <w:r>
        <w:rPr>
          <w:sz w:val="24"/>
        </w:rPr>
        <w:t>D.</w:t>
      </w:r>
      <w:r>
        <w:rPr>
          <w:spacing w:val="80"/>
          <w:sz w:val="24"/>
        </w:rPr>
        <w:t> </w:t>
      </w:r>
      <w:r>
        <w:rPr>
          <w:sz w:val="24"/>
        </w:rPr>
        <w:t>M.,</w:t>
      </w:r>
      <w:r>
        <w:rPr>
          <w:spacing w:val="80"/>
          <w:sz w:val="24"/>
        </w:rPr>
        <w:t> </w:t>
      </w:r>
      <w:r>
        <w:rPr>
          <w:sz w:val="24"/>
        </w:rPr>
        <w:t>Douglas,</w:t>
      </w:r>
      <w:r>
        <w:rPr>
          <w:spacing w:val="80"/>
          <w:sz w:val="24"/>
        </w:rPr>
        <w:t> </w:t>
      </w:r>
      <w:r>
        <w:rPr>
          <w:sz w:val="24"/>
        </w:rPr>
        <w:t>A.L.,</w:t>
      </w:r>
      <w:r>
        <w:rPr>
          <w:spacing w:val="80"/>
          <w:sz w:val="24"/>
        </w:rPr>
        <w:t> </w:t>
      </w:r>
      <w:r>
        <w:rPr>
          <w:sz w:val="24"/>
        </w:rPr>
        <w:t>&amp;</w:t>
      </w:r>
      <w:r>
        <w:rPr>
          <w:spacing w:val="80"/>
          <w:sz w:val="24"/>
        </w:rPr>
        <w:t> </w:t>
      </w:r>
      <w:r>
        <w:rPr>
          <w:sz w:val="24"/>
        </w:rPr>
        <w:t>William,</w:t>
      </w:r>
      <w:r>
        <w:rPr>
          <w:spacing w:val="80"/>
          <w:sz w:val="24"/>
        </w:rPr>
        <w:t> </w:t>
      </w:r>
      <w:r>
        <w:rPr>
          <w:sz w:val="24"/>
        </w:rPr>
        <w:t>G.M.</w:t>
      </w:r>
      <w:r>
        <w:rPr>
          <w:spacing w:val="80"/>
          <w:sz w:val="24"/>
        </w:rPr>
        <w:t> </w:t>
      </w:r>
      <w:r>
        <w:rPr>
          <w:sz w:val="24"/>
        </w:rPr>
        <w:t>(1999).</w:t>
      </w:r>
      <w:r>
        <w:rPr>
          <w:spacing w:val="80"/>
          <w:sz w:val="24"/>
        </w:rPr>
        <w:t> </w:t>
      </w:r>
      <w:r>
        <w:rPr>
          <w:i/>
          <w:sz w:val="24"/>
        </w:rPr>
        <w:t>Statistical</w:t>
      </w:r>
      <w:r>
        <w:rPr>
          <w:i/>
          <w:spacing w:val="80"/>
          <w:sz w:val="24"/>
        </w:rPr>
        <w:t> </w:t>
      </w:r>
      <w:r>
        <w:rPr>
          <w:i/>
          <w:sz w:val="24"/>
        </w:rPr>
        <w:t>Techniques</w:t>
      </w:r>
      <w:r>
        <w:rPr>
          <w:i/>
          <w:spacing w:val="80"/>
          <w:sz w:val="24"/>
        </w:rPr>
        <w:t> </w:t>
      </w:r>
      <w:r>
        <w:rPr>
          <w:i/>
          <w:sz w:val="24"/>
        </w:rPr>
        <w:t>In</w:t>
      </w:r>
      <w:r>
        <w:rPr>
          <w:i/>
          <w:spacing w:val="80"/>
          <w:sz w:val="24"/>
        </w:rPr>
        <w:t> </w:t>
      </w:r>
      <w:r>
        <w:rPr>
          <w:i/>
          <w:sz w:val="24"/>
        </w:rPr>
        <w:t>Business</w:t>
      </w:r>
      <w:r>
        <w:rPr>
          <w:i/>
          <w:spacing w:val="80"/>
          <w:sz w:val="24"/>
        </w:rPr>
        <w:t> </w:t>
      </w:r>
      <w:r>
        <w:rPr>
          <w:i/>
          <w:sz w:val="24"/>
        </w:rPr>
        <w:t>and Economics,</w:t>
      </w:r>
      <w:r>
        <w:rPr>
          <w:sz w:val="24"/>
        </w:rPr>
        <w:t>Tenth Edition.Irwin McGraw-Hil, New</w:t>
      </w:r>
      <w:r>
        <w:rPr>
          <w:spacing w:val="80"/>
          <w:sz w:val="24"/>
        </w:rPr>
        <w:t> </w:t>
      </w:r>
      <w:r>
        <w:rPr>
          <w:sz w:val="24"/>
        </w:rPr>
        <w:t>York</w:t>
      </w:r>
    </w:p>
    <w:p>
      <w:pPr>
        <w:pStyle w:val="BodyText"/>
        <w:ind w:left="711"/>
        <w:rPr>
          <w:i/>
        </w:rPr>
      </w:pPr>
      <w:r>
        <w:rPr/>
        <w:t>World</w:t>
      </w:r>
      <w:r>
        <w:rPr>
          <w:spacing w:val="-1"/>
        </w:rPr>
        <w:t> </w:t>
      </w:r>
      <w:r>
        <w:rPr/>
        <w:t>Bank</w:t>
      </w:r>
      <w:r>
        <w:rPr>
          <w:spacing w:val="-1"/>
        </w:rPr>
        <w:t> </w:t>
      </w:r>
      <w:r>
        <w:rPr/>
        <w:t>and</w:t>
      </w:r>
      <w:r>
        <w:rPr>
          <w:spacing w:val="-1"/>
        </w:rPr>
        <w:t> </w:t>
      </w:r>
      <w:r>
        <w:rPr/>
        <w:t>Erbe</w:t>
      </w:r>
      <w:r>
        <w:rPr>
          <w:spacing w:val="-2"/>
        </w:rPr>
        <w:t> </w:t>
      </w:r>
      <w:r>
        <w:rPr/>
        <w:t>(1985).</w:t>
      </w:r>
      <w:r>
        <w:rPr>
          <w:spacing w:val="-2"/>
        </w:rPr>
        <w:t> </w:t>
      </w:r>
      <w:r>
        <w:rPr/>
        <w:t>World</w:t>
      </w:r>
      <w:r>
        <w:rPr>
          <w:spacing w:val="-1"/>
        </w:rPr>
        <w:t> </w:t>
      </w:r>
      <w:r>
        <w:rPr/>
        <w:t>Development</w:t>
      </w:r>
      <w:r>
        <w:rPr>
          <w:spacing w:val="-1"/>
        </w:rPr>
        <w:t> </w:t>
      </w:r>
      <w:r>
        <w:rPr/>
        <w:t>Report</w:t>
      </w:r>
      <w:r>
        <w:rPr>
          <w:spacing w:val="-1"/>
        </w:rPr>
        <w:t> </w:t>
      </w:r>
      <w:r>
        <w:rPr/>
        <w:t>1985.</w:t>
      </w:r>
      <w:r>
        <w:rPr>
          <w:spacing w:val="3"/>
        </w:rPr>
        <w:t> </w:t>
      </w:r>
      <w:r>
        <w:rPr>
          <w:i/>
        </w:rPr>
        <w:t>World </w:t>
      </w:r>
      <w:r>
        <w:rPr>
          <w:i/>
          <w:spacing w:val="-2"/>
        </w:rPr>
        <w:t>Bank.</w:t>
      </w:r>
    </w:p>
    <w:p>
      <w:pPr>
        <w:pStyle w:val="BodyText"/>
        <w:spacing w:before="240"/>
        <w:ind w:left="1431" w:hanging="721"/>
      </w:pPr>
      <w:r>
        <w:rPr/>
        <w:t>Sargan,</w:t>
      </w:r>
      <w:r>
        <w:rPr>
          <w:spacing w:val="40"/>
        </w:rPr>
        <w:t> </w:t>
      </w:r>
      <w:r>
        <w:rPr/>
        <w:t>J.D.</w:t>
      </w:r>
      <w:r>
        <w:rPr>
          <w:spacing w:val="40"/>
        </w:rPr>
        <w:t> </w:t>
      </w:r>
      <w:r>
        <w:rPr/>
        <w:t>and</w:t>
      </w:r>
      <w:r>
        <w:rPr>
          <w:spacing w:val="40"/>
        </w:rPr>
        <w:t> </w:t>
      </w:r>
      <w:hyperlink r:id="rId21">
        <w:r>
          <w:rPr>
            <w:u w:val="single"/>
          </w:rPr>
          <w:t>Alok</w:t>
        </w:r>
        <w:r>
          <w:rPr>
            <w:spacing w:val="40"/>
            <w:u w:val="single"/>
          </w:rPr>
          <w:t> </w:t>
        </w:r>
        <w:r>
          <w:rPr>
            <w:u w:val="single"/>
          </w:rPr>
          <w:t>Bhargava</w:t>
        </w:r>
      </w:hyperlink>
      <w:r>
        <w:rPr>
          <w:spacing w:val="40"/>
        </w:rPr>
        <w:t> </w:t>
      </w:r>
      <w:r>
        <w:rPr/>
        <w:t>(1983).</w:t>
      </w:r>
      <w:r>
        <w:rPr>
          <w:spacing w:val="40"/>
        </w:rPr>
        <w:t> </w:t>
      </w:r>
      <w:r>
        <w:rPr/>
        <w:t>Testing</w:t>
      </w:r>
      <w:r>
        <w:rPr>
          <w:spacing w:val="40"/>
        </w:rPr>
        <w:t> </w:t>
      </w:r>
      <w:r>
        <w:rPr/>
        <w:t>Residuals</w:t>
      </w:r>
      <w:r>
        <w:rPr>
          <w:spacing w:val="40"/>
        </w:rPr>
        <w:t> </w:t>
      </w:r>
      <w:r>
        <w:rPr/>
        <w:t>from</w:t>
      </w:r>
      <w:r>
        <w:rPr>
          <w:spacing w:val="40"/>
        </w:rPr>
        <w:t> </w:t>
      </w:r>
      <w:r>
        <w:rPr/>
        <w:t>Least</w:t>
      </w:r>
      <w:r>
        <w:rPr>
          <w:spacing w:val="40"/>
        </w:rPr>
        <w:t> </w:t>
      </w:r>
      <w:r>
        <w:rPr/>
        <w:t>Squares</w:t>
      </w:r>
      <w:r>
        <w:rPr>
          <w:spacing w:val="40"/>
        </w:rPr>
        <w:t> </w:t>
      </w:r>
      <w:r>
        <w:rPr/>
        <w:t>Regression</w:t>
      </w:r>
      <w:r>
        <w:rPr>
          <w:spacing w:val="40"/>
        </w:rPr>
        <w:t> </w:t>
      </w:r>
      <w:r>
        <w:rPr/>
        <w:t>for</w:t>
      </w:r>
      <w:r>
        <w:rPr>
          <w:spacing w:val="40"/>
        </w:rPr>
        <w:t> </w:t>
      </w:r>
      <w:r>
        <w:rPr/>
        <w:t>Being</w:t>
      </w:r>
      <w:r>
        <w:rPr>
          <w:spacing w:val="40"/>
        </w:rPr>
        <w:t> </w:t>
      </w:r>
      <w:r>
        <w:rPr/>
        <w:t>Generated by the Gaussian Random Walk. Econometrica, 51, p. 153–174.</w:t>
      </w:r>
    </w:p>
    <w:p>
      <w:pPr>
        <w:pStyle w:val="BodyText"/>
        <w:spacing w:before="3"/>
      </w:pPr>
    </w:p>
    <w:p>
      <w:pPr>
        <w:pStyle w:val="BodyText"/>
        <w:ind w:left="1431" w:hanging="721"/>
      </w:pPr>
      <w:r>
        <w:rPr/>
        <w:t>Von</w:t>
      </w:r>
      <w:r>
        <w:rPr>
          <w:spacing w:val="28"/>
        </w:rPr>
        <w:t> </w:t>
      </w:r>
      <w:r>
        <w:rPr/>
        <w:t>Neumann,</w:t>
      </w:r>
      <w:r>
        <w:rPr>
          <w:spacing w:val="30"/>
        </w:rPr>
        <w:t> </w:t>
      </w:r>
      <w:r>
        <w:rPr/>
        <w:t>John.</w:t>
      </w:r>
      <w:r>
        <w:rPr>
          <w:spacing w:val="28"/>
        </w:rPr>
        <w:t> </w:t>
      </w:r>
      <w:r>
        <w:rPr/>
        <w:t>(1941).</w:t>
      </w:r>
      <w:r>
        <w:rPr>
          <w:spacing w:val="28"/>
        </w:rPr>
        <w:t> </w:t>
      </w:r>
      <w:r>
        <w:rPr/>
        <w:t>Distribution</w:t>
      </w:r>
      <w:r>
        <w:rPr>
          <w:spacing w:val="32"/>
        </w:rPr>
        <w:t> </w:t>
      </w:r>
      <w:r>
        <w:rPr/>
        <w:t>of</w:t>
      </w:r>
      <w:r>
        <w:rPr>
          <w:spacing w:val="28"/>
        </w:rPr>
        <w:t> </w:t>
      </w:r>
      <w:r>
        <w:rPr/>
        <w:t>the</w:t>
      </w:r>
      <w:r>
        <w:rPr>
          <w:spacing w:val="30"/>
        </w:rPr>
        <w:t> </w:t>
      </w:r>
      <w:r>
        <w:rPr/>
        <w:t>Ratio</w:t>
      </w:r>
      <w:r>
        <w:rPr>
          <w:spacing w:val="28"/>
        </w:rPr>
        <w:t> </w:t>
      </w:r>
      <w:r>
        <w:rPr/>
        <w:t>of</w:t>
      </w:r>
      <w:r>
        <w:rPr>
          <w:spacing w:val="28"/>
        </w:rPr>
        <w:t> </w:t>
      </w:r>
      <w:r>
        <w:rPr/>
        <w:t>the</w:t>
      </w:r>
      <w:r>
        <w:rPr>
          <w:spacing w:val="30"/>
        </w:rPr>
        <w:t> </w:t>
      </w:r>
      <w:r>
        <w:rPr/>
        <w:t>Mean</w:t>
      </w:r>
      <w:r>
        <w:rPr>
          <w:spacing w:val="31"/>
        </w:rPr>
        <w:t> </w:t>
      </w:r>
      <w:r>
        <w:rPr/>
        <w:t>Square</w:t>
      </w:r>
      <w:r>
        <w:rPr>
          <w:spacing w:val="27"/>
        </w:rPr>
        <w:t> </w:t>
      </w:r>
      <w:r>
        <w:rPr/>
        <w:t>Successive</w:t>
      </w:r>
      <w:r>
        <w:rPr>
          <w:spacing w:val="30"/>
        </w:rPr>
        <w:t> </w:t>
      </w:r>
      <w:r>
        <w:rPr/>
        <w:t>Difference</w:t>
      </w:r>
      <w:r>
        <w:rPr>
          <w:spacing w:val="28"/>
        </w:rPr>
        <w:t> </w:t>
      </w:r>
      <w:r>
        <w:rPr/>
        <w:t>to</w:t>
      </w:r>
      <w:r>
        <w:rPr>
          <w:spacing w:val="29"/>
        </w:rPr>
        <w:t> </w:t>
      </w:r>
      <w:r>
        <w:rPr/>
        <w:t>the Variance. Annals of Mathematical Statistics, 12, 367–395.</w:t>
      </w:r>
    </w:p>
    <w:p>
      <w:pPr>
        <w:spacing w:after="0"/>
        <w:sectPr>
          <w:pgSz w:w="11910" w:h="16840"/>
          <w:pgMar w:header="0" w:footer="979" w:top="1360" w:bottom="1240" w:left="280" w:right="0"/>
        </w:sectPr>
      </w:pPr>
    </w:p>
    <w:p>
      <w:pPr>
        <w:pStyle w:val="Heading1"/>
        <w:ind w:left="3861"/>
        <w:jc w:val="left"/>
      </w:pPr>
      <w:r>
        <w:rPr/>
        <w:t>CHAPTER</w:t>
      </w:r>
      <w:r>
        <w:rPr>
          <w:spacing w:val="-8"/>
        </w:rPr>
        <w:t> </w:t>
      </w:r>
      <w:r>
        <w:rPr>
          <w:spacing w:val="-4"/>
        </w:rPr>
        <w:t>FOUR</w:t>
      </w:r>
    </w:p>
    <w:p>
      <w:pPr>
        <w:spacing w:before="321"/>
        <w:ind w:left="0" w:right="504" w:firstLine="0"/>
        <w:jc w:val="center"/>
        <w:rPr>
          <w:b/>
          <w:sz w:val="28"/>
        </w:rPr>
      </w:pPr>
      <w:r>
        <w:rPr>
          <w:b/>
          <w:sz w:val="28"/>
        </w:rPr>
        <w:t>DATA</w:t>
      </w:r>
      <w:r>
        <w:rPr>
          <w:b/>
          <w:spacing w:val="-6"/>
          <w:sz w:val="28"/>
        </w:rPr>
        <w:t> </w:t>
      </w:r>
      <w:r>
        <w:rPr>
          <w:b/>
          <w:sz w:val="28"/>
        </w:rPr>
        <w:t>PRESENTATION</w:t>
      </w:r>
      <w:r>
        <w:rPr>
          <w:b/>
          <w:spacing w:val="-6"/>
          <w:sz w:val="28"/>
        </w:rPr>
        <w:t> </w:t>
      </w:r>
      <w:r>
        <w:rPr>
          <w:b/>
          <w:sz w:val="28"/>
        </w:rPr>
        <w:t>AND</w:t>
      </w:r>
      <w:r>
        <w:rPr>
          <w:b/>
          <w:spacing w:val="-5"/>
          <w:sz w:val="28"/>
        </w:rPr>
        <w:t> </w:t>
      </w:r>
      <w:r>
        <w:rPr>
          <w:b/>
          <w:spacing w:val="-2"/>
          <w:sz w:val="28"/>
        </w:rPr>
        <w:t>ANALYSIS</w:t>
      </w:r>
    </w:p>
    <w:p>
      <w:pPr>
        <w:pStyle w:val="BodyText"/>
        <w:spacing w:before="2"/>
        <w:rPr>
          <w:b/>
          <w:sz w:val="28"/>
        </w:rPr>
      </w:pPr>
    </w:p>
    <w:p>
      <w:pPr>
        <w:pStyle w:val="Heading2"/>
        <w:numPr>
          <w:ilvl w:val="1"/>
          <w:numId w:val="24"/>
        </w:numPr>
        <w:tabs>
          <w:tab w:pos="1430" w:val="left" w:leader="none"/>
        </w:tabs>
        <w:spacing w:line="240" w:lineRule="auto" w:before="0" w:after="0"/>
        <w:ind w:left="1430" w:right="0" w:hanging="719"/>
        <w:jc w:val="both"/>
      </w:pPr>
      <w:r>
        <w:rPr/>
        <w:t>Data</w:t>
      </w:r>
      <w:r>
        <w:rPr>
          <w:spacing w:val="-1"/>
        </w:rPr>
        <w:t> </w:t>
      </w:r>
      <w:r>
        <w:rPr>
          <w:spacing w:val="-2"/>
        </w:rPr>
        <w:t>Presentation</w:t>
      </w:r>
    </w:p>
    <w:p>
      <w:pPr>
        <w:pStyle w:val="BodyText"/>
        <w:spacing w:line="480" w:lineRule="auto" w:before="159"/>
        <w:ind w:left="711" w:right="471"/>
        <w:jc w:val="both"/>
      </w:pPr>
      <w:r>
        <w:rPr/>
        <w:t>This section of the research deals extensively with the data presentation, interpretation and the discussions</w:t>
      </w:r>
      <w:r>
        <w:rPr>
          <w:spacing w:val="40"/>
        </w:rPr>
        <w:t> </w:t>
      </w:r>
      <w:r>
        <w:rPr/>
        <w:t>of findings. The estimated techniques outlined in the methodology were used.</w:t>
      </w:r>
      <w:r>
        <w:rPr>
          <w:spacing w:val="40"/>
        </w:rPr>
        <w:t> </w:t>
      </w:r>
      <w:r>
        <w:rPr/>
        <w:t>The study</w:t>
      </w:r>
      <w:r>
        <w:rPr>
          <w:spacing w:val="40"/>
        </w:rPr>
        <w:t> </w:t>
      </w:r>
      <w:r>
        <w:rPr/>
        <w:t>first tests for the short-run relationship in the models by</w:t>
      </w:r>
      <w:r>
        <w:rPr>
          <w:spacing w:val="-4"/>
        </w:rPr>
        <w:t> </w:t>
      </w:r>
      <w:r>
        <w:rPr/>
        <w:t>the use of ordinary</w:t>
      </w:r>
      <w:r>
        <w:rPr>
          <w:spacing w:val="-2"/>
        </w:rPr>
        <w:t> </w:t>
      </w:r>
      <w:r>
        <w:rPr/>
        <w:t>least square (OLS) method of regression analysis and also test for spuriousity</w:t>
      </w:r>
      <w:r>
        <w:rPr>
          <w:spacing w:val="-5"/>
        </w:rPr>
        <w:t> </w:t>
      </w:r>
      <w:r>
        <w:rPr/>
        <w:t>of the OLS estimate using the unit root test, co-integration and Error Correction Mechanism. The Augmented Dickey Fuller (ADF) unit root tests of 1979 were employed to determine the stationarity of the variables by establishing the time properties of the variables in the models. The Johansen co-integration test is employed to test for the long-run relationship that exists among the variables and the error correction mechanism (ECM) to know the short-run adjustment dynamism of the models. The various sets of variables collated for analyses in this study are presented in the appendix (Appendix A1, page 172)</w:t>
      </w:r>
    </w:p>
    <w:p>
      <w:pPr>
        <w:pStyle w:val="Heading5"/>
        <w:numPr>
          <w:ilvl w:val="1"/>
          <w:numId w:val="24"/>
        </w:numPr>
        <w:tabs>
          <w:tab w:pos="1429" w:val="left" w:leader="none"/>
        </w:tabs>
        <w:spacing w:line="240" w:lineRule="auto" w:before="2" w:after="0"/>
        <w:ind w:left="1429" w:right="0" w:hanging="718"/>
        <w:jc w:val="both"/>
        <w:rPr>
          <w:rFonts w:ascii="Cambria"/>
        </w:rPr>
      </w:pPr>
      <w:r>
        <w:rPr/>
        <w:t>TREND</w:t>
      </w:r>
      <w:r>
        <w:rPr>
          <w:spacing w:val="-3"/>
        </w:rPr>
        <w:t> </w:t>
      </w:r>
      <w:r>
        <w:rPr>
          <w:spacing w:val="-2"/>
        </w:rPr>
        <w:t>ANALYSIS</w:t>
      </w:r>
    </w:p>
    <w:p>
      <w:pPr>
        <w:pStyle w:val="BodyText"/>
        <w:spacing w:before="4"/>
        <w:rPr>
          <w:b/>
        </w:rPr>
      </w:pPr>
    </w:p>
    <w:p>
      <w:pPr>
        <w:pStyle w:val="BodyText"/>
        <w:spacing w:line="480" w:lineRule="auto"/>
        <w:ind w:left="711" w:right="468"/>
        <w:jc w:val="both"/>
      </w:pPr>
      <w:r>
        <w:rPr/>
        <w:t>The graphical representation that shows the direction of movement of each variable as well as the relationship between each independent variable and the dependent variable are presented below. This is to show the trend and the nature of relationship which each variable exhibits with the dependent variable. The graphs show the trend of the time series variable over time; this gives the graphical illustration of how the variables behave over time.</w:t>
      </w:r>
    </w:p>
    <w:p>
      <w:pPr>
        <w:pStyle w:val="BodyText"/>
        <w:spacing w:before="1"/>
      </w:pPr>
    </w:p>
    <w:p>
      <w:pPr>
        <w:pStyle w:val="Heading2"/>
        <w:spacing w:line="321" w:lineRule="exact"/>
      </w:pPr>
      <w:r>
        <w:rPr>
          <w:sz w:val="24"/>
        </w:rPr>
        <w:t>Figure</w:t>
      </w:r>
      <w:r>
        <w:rPr>
          <w:spacing w:val="-3"/>
          <w:sz w:val="24"/>
        </w:rPr>
        <w:t> </w:t>
      </w:r>
      <w:r>
        <w:rPr>
          <w:sz w:val="24"/>
        </w:rPr>
        <w:t>4.1</w:t>
      </w:r>
      <w:r>
        <w:rPr>
          <w:spacing w:val="-3"/>
          <w:sz w:val="24"/>
        </w:rPr>
        <w:t> </w:t>
      </w:r>
      <w:r>
        <w:rPr/>
        <w:t>Graphical</w:t>
      </w:r>
      <w:r>
        <w:rPr>
          <w:spacing w:val="-6"/>
        </w:rPr>
        <w:t> </w:t>
      </w:r>
      <w:r>
        <w:rPr/>
        <w:t>Illustration</w:t>
      </w:r>
      <w:r>
        <w:rPr>
          <w:spacing w:val="-2"/>
        </w:rPr>
        <w:t> </w:t>
      </w:r>
      <w:r>
        <w:rPr/>
        <w:t>of</w:t>
      </w:r>
      <w:r>
        <w:rPr>
          <w:spacing w:val="-2"/>
        </w:rPr>
        <w:t> </w:t>
      </w:r>
      <w:r>
        <w:rPr/>
        <w:t>trend</w:t>
      </w:r>
      <w:r>
        <w:rPr>
          <w:spacing w:val="-6"/>
        </w:rPr>
        <w:t> </w:t>
      </w:r>
      <w:r>
        <w:rPr/>
        <w:t>in</w:t>
      </w:r>
      <w:r>
        <w:rPr>
          <w:spacing w:val="-3"/>
        </w:rPr>
        <w:t> </w:t>
      </w:r>
      <w:r>
        <w:rPr/>
        <w:t>each</w:t>
      </w:r>
      <w:r>
        <w:rPr>
          <w:spacing w:val="-2"/>
        </w:rPr>
        <w:t> </w:t>
      </w:r>
      <w:r>
        <w:rPr/>
        <w:t>variable</w:t>
      </w:r>
      <w:r>
        <w:rPr>
          <w:spacing w:val="-2"/>
        </w:rPr>
        <w:t> </w:t>
      </w:r>
      <w:r>
        <w:rPr/>
        <w:t>for</w:t>
      </w:r>
      <w:r>
        <w:rPr>
          <w:spacing w:val="-5"/>
        </w:rPr>
        <w:t> </w:t>
      </w:r>
      <w:r>
        <w:rPr/>
        <w:t>the</w:t>
      </w:r>
      <w:r>
        <w:rPr>
          <w:spacing w:val="-3"/>
        </w:rPr>
        <w:t> </w:t>
      </w:r>
      <w:r>
        <w:rPr>
          <w:spacing w:val="-2"/>
        </w:rPr>
        <w:t>Models</w:t>
      </w:r>
    </w:p>
    <w:p>
      <w:pPr>
        <w:pStyle w:val="Heading5"/>
        <w:tabs>
          <w:tab w:pos="3573" w:val="left" w:leader="none"/>
        </w:tabs>
        <w:spacing w:line="275" w:lineRule="exact" w:before="0"/>
        <w:ind w:right="119"/>
      </w:pPr>
      <w:r>
        <w:rPr>
          <w:spacing w:val="-5"/>
        </w:rPr>
        <w:t>KF</w:t>
      </w:r>
      <w:r>
        <w:rPr/>
        <w:tab/>
      </w:r>
      <w:r>
        <w:rPr>
          <w:spacing w:val="-5"/>
        </w:rPr>
        <w:t>DOP</w:t>
      </w:r>
    </w:p>
    <w:p>
      <w:pPr>
        <w:spacing w:after="0" w:line="275" w:lineRule="exact"/>
        <w:sectPr>
          <w:pgSz w:w="11910" w:h="16840"/>
          <w:pgMar w:header="0" w:footer="979" w:top="1360" w:bottom="1240" w:left="280" w:right="0"/>
        </w:sectPr>
      </w:pPr>
    </w:p>
    <w:p>
      <w:pPr>
        <w:pStyle w:val="BodyText"/>
        <w:rPr>
          <w:b/>
          <w:sz w:val="4"/>
        </w:rPr>
      </w:pPr>
    </w:p>
    <w:p>
      <w:pPr>
        <w:pStyle w:val="BodyText"/>
        <w:rPr>
          <w:b/>
          <w:sz w:val="4"/>
        </w:rPr>
      </w:pPr>
    </w:p>
    <w:p>
      <w:pPr>
        <w:pStyle w:val="BodyText"/>
        <w:spacing w:before="19"/>
        <w:rPr>
          <w:b/>
          <w:sz w:val="4"/>
        </w:rPr>
      </w:pPr>
    </w:p>
    <w:p>
      <w:pPr>
        <w:spacing w:before="1"/>
        <w:ind w:left="886" w:right="0" w:firstLine="0"/>
        <w:jc w:val="left"/>
        <w:rPr>
          <w:rFonts w:ascii="Arial MT"/>
          <w:sz w:val="4"/>
        </w:rPr>
      </w:pPr>
      <w:r>
        <w:rPr/>
        <mc:AlternateContent>
          <mc:Choice Requires="wps">
            <w:drawing>
              <wp:anchor distT="0" distB="0" distL="0" distR="0" allowOverlap="1" layoutInCell="1" locked="0" behindDoc="0" simplePos="0" relativeHeight="15731200">
                <wp:simplePos x="0" y="0"/>
                <wp:positionH relativeFrom="page">
                  <wp:posOffset>862470</wp:posOffset>
                </wp:positionH>
                <wp:positionV relativeFrom="paragraph">
                  <wp:posOffset>16899</wp:posOffset>
                </wp:positionV>
                <wp:extent cx="2185035" cy="554355"/>
                <wp:effectExtent l="0" t="0" r="0" b="0"/>
                <wp:wrapNone/>
                <wp:docPr id="24" name="Graphic 24"/>
                <wp:cNvGraphicFramePr>
                  <a:graphicFrameLocks/>
                </wp:cNvGraphicFramePr>
                <a:graphic>
                  <a:graphicData uri="http://schemas.microsoft.com/office/word/2010/wordprocessingShape">
                    <wps:wsp>
                      <wps:cNvPr id="24" name="Graphic 24"/>
                      <wps:cNvSpPr/>
                      <wps:spPr>
                        <a:xfrm>
                          <a:off x="0" y="0"/>
                          <a:ext cx="2185035" cy="554355"/>
                        </a:xfrm>
                        <a:custGeom>
                          <a:avLst/>
                          <a:gdLst/>
                          <a:ahLst/>
                          <a:cxnLst/>
                          <a:rect l="l" t="t" r="r" b="b"/>
                          <a:pathLst>
                            <a:path w="2185035" h="554355">
                              <a:moveTo>
                                <a:pt x="0" y="541224"/>
                              </a:moveTo>
                              <a:lnTo>
                                <a:pt x="32077" y="541224"/>
                              </a:lnTo>
                            </a:path>
                            <a:path w="2185035" h="554355">
                              <a:moveTo>
                                <a:pt x="0" y="463762"/>
                              </a:moveTo>
                              <a:lnTo>
                                <a:pt x="32077" y="463762"/>
                              </a:lnTo>
                            </a:path>
                            <a:path w="2185035" h="554355">
                              <a:moveTo>
                                <a:pt x="0" y="386268"/>
                              </a:moveTo>
                              <a:lnTo>
                                <a:pt x="32077" y="386268"/>
                              </a:lnTo>
                            </a:path>
                            <a:path w="2185035" h="554355">
                              <a:moveTo>
                                <a:pt x="0" y="308795"/>
                              </a:moveTo>
                              <a:lnTo>
                                <a:pt x="32077" y="308795"/>
                              </a:lnTo>
                            </a:path>
                            <a:path w="2185035" h="554355">
                              <a:moveTo>
                                <a:pt x="0" y="232407"/>
                              </a:moveTo>
                              <a:lnTo>
                                <a:pt x="32077" y="232407"/>
                              </a:lnTo>
                            </a:path>
                            <a:path w="2185035" h="554355">
                              <a:moveTo>
                                <a:pt x="0" y="154934"/>
                              </a:moveTo>
                              <a:lnTo>
                                <a:pt x="32077" y="154934"/>
                              </a:lnTo>
                            </a:path>
                            <a:path w="2185035" h="554355">
                              <a:moveTo>
                                <a:pt x="0" y="77472"/>
                              </a:moveTo>
                              <a:lnTo>
                                <a:pt x="32077" y="77472"/>
                              </a:lnTo>
                            </a:path>
                            <a:path w="2185035" h="554355">
                              <a:moveTo>
                                <a:pt x="0" y="1074"/>
                              </a:moveTo>
                              <a:lnTo>
                                <a:pt x="32077" y="1074"/>
                              </a:lnTo>
                            </a:path>
                            <a:path w="2185035" h="554355">
                              <a:moveTo>
                                <a:pt x="35276" y="542299"/>
                              </a:moveTo>
                              <a:lnTo>
                                <a:pt x="35276" y="548744"/>
                              </a:lnTo>
                            </a:path>
                            <a:path w="2185035" h="554355">
                              <a:moveTo>
                                <a:pt x="86539" y="542299"/>
                              </a:moveTo>
                              <a:lnTo>
                                <a:pt x="86539" y="548744"/>
                              </a:lnTo>
                            </a:path>
                            <a:path w="2185035" h="554355">
                              <a:moveTo>
                                <a:pt x="137757" y="542299"/>
                              </a:moveTo>
                              <a:lnTo>
                                <a:pt x="137757" y="548744"/>
                              </a:lnTo>
                            </a:path>
                            <a:path w="2185035" h="554355">
                              <a:moveTo>
                                <a:pt x="192238" y="542299"/>
                              </a:moveTo>
                              <a:lnTo>
                                <a:pt x="192238" y="548744"/>
                              </a:lnTo>
                            </a:path>
                            <a:path w="2185035" h="554355">
                              <a:moveTo>
                                <a:pt x="243488" y="542299"/>
                              </a:moveTo>
                              <a:lnTo>
                                <a:pt x="243488" y="548744"/>
                              </a:lnTo>
                            </a:path>
                            <a:path w="2185035" h="554355">
                              <a:moveTo>
                                <a:pt x="294770" y="542299"/>
                              </a:moveTo>
                              <a:lnTo>
                                <a:pt x="294770" y="548744"/>
                              </a:lnTo>
                            </a:path>
                            <a:path w="2185035" h="554355">
                              <a:moveTo>
                                <a:pt x="349250" y="542299"/>
                              </a:moveTo>
                              <a:lnTo>
                                <a:pt x="349250" y="548744"/>
                              </a:lnTo>
                            </a:path>
                            <a:path w="2185035" h="554355">
                              <a:moveTo>
                                <a:pt x="400532" y="542299"/>
                              </a:moveTo>
                              <a:lnTo>
                                <a:pt x="400532" y="548744"/>
                              </a:lnTo>
                            </a:path>
                            <a:path w="2185035" h="554355">
                              <a:moveTo>
                                <a:pt x="451718" y="542299"/>
                              </a:moveTo>
                              <a:lnTo>
                                <a:pt x="451718" y="548744"/>
                              </a:lnTo>
                            </a:path>
                            <a:path w="2185035" h="554355">
                              <a:moveTo>
                                <a:pt x="506199" y="542299"/>
                              </a:moveTo>
                              <a:lnTo>
                                <a:pt x="506199" y="548744"/>
                              </a:lnTo>
                            </a:path>
                            <a:path w="2185035" h="554355">
                              <a:moveTo>
                                <a:pt x="557481" y="542299"/>
                              </a:moveTo>
                              <a:lnTo>
                                <a:pt x="557481" y="548744"/>
                              </a:lnTo>
                            </a:path>
                            <a:path w="2185035" h="554355">
                              <a:moveTo>
                                <a:pt x="611962" y="542299"/>
                              </a:moveTo>
                              <a:lnTo>
                                <a:pt x="611962" y="548744"/>
                              </a:lnTo>
                            </a:path>
                            <a:path w="2185035" h="554355">
                              <a:moveTo>
                                <a:pt x="663212" y="542299"/>
                              </a:moveTo>
                              <a:lnTo>
                                <a:pt x="663212" y="548744"/>
                              </a:lnTo>
                            </a:path>
                            <a:path w="2185035" h="554355">
                              <a:moveTo>
                                <a:pt x="714494" y="542299"/>
                              </a:moveTo>
                              <a:lnTo>
                                <a:pt x="714494" y="548744"/>
                              </a:lnTo>
                            </a:path>
                            <a:path w="2185035" h="554355">
                              <a:moveTo>
                                <a:pt x="768879" y="542299"/>
                              </a:moveTo>
                              <a:lnTo>
                                <a:pt x="768879" y="548744"/>
                              </a:lnTo>
                            </a:path>
                            <a:path w="2185035" h="554355">
                              <a:moveTo>
                                <a:pt x="820161" y="542299"/>
                              </a:moveTo>
                              <a:lnTo>
                                <a:pt x="820161" y="548744"/>
                              </a:lnTo>
                            </a:path>
                            <a:path w="2185035" h="554355">
                              <a:moveTo>
                                <a:pt x="871443" y="542299"/>
                              </a:moveTo>
                              <a:lnTo>
                                <a:pt x="871443" y="548744"/>
                              </a:lnTo>
                            </a:path>
                            <a:path w="2185035" h="554355">
                              <a:moveTo>
                                <a:pt x="925924" y="542299"/>
                              </a:moveTo>
                              <a:lnTo>
                                <a:pt x="925924" y="548744"/>
                              </a:lnTo>
                            </a:path>
                            <a:path w="2185035" h="554355">
                              <a:moveTo>
                                <a:pt x="977205" y="542299"/>
                              </a:moveTo>
                              <a:lnTo>
                                <a:pt x="977205" y="548744"/>
                              </a:lnTo>
                            </a:path>
                            <a:path w="2185035" h="554355">
                              <a:moveTo>
                                <a:pt x="1028455" y="542299"/>
                              </a:moveTo>
                              <a:lnTo>
                                <a:pt x="1028455" y="548744"/>
                              </a:lnTo>
                            </a:path>
                            <a:path w="2185035" h="554355">
                              <a:moveTo>
                                <a:pt x="1082872" y="542299"/>
                              </a:moveTo>
                              <a:lnTo>
                                <a:pt x="1082872" y="548744"/>
                              </a:lnTo>
                            </a:path>
                            <a:path w="2185035" h="554355">
                              <a:moveTo>
                                <a:pt x="1134154" y="542299"/>
                              </a:moveTo>
                              <a:lnTo>
                                <a:pt x="1134154" y="548744"/>
                              </a:lnTo>
                            </a:path>
                            <a:path w="2185035" h="554355">
                              <a:moveTo>
                                <a:pt x="1188603" y="542299"/>
                              </a:moveTo>
                              <a:lnTo>
                                <a:pt x="1188603" y="548744"/>
                              </a:lnTo>
                            </a:path>
                            <a:path w="2185035" h="554355">
                              <a:moveTo>
                                <a:pt x="1239885" y="542299"/>
                              </a:moveTo>
                              <a:lnTo>
                                <a:pt x="1239885" y="548744"/>
                              </a:lnTo>
                            </a:path>
                            <a:path w="2185035" h="554355">
                              <a:moveTo>
                                <a:pt x="1291167" y="542299"/>
                              </a:moveTo>
                              <a:lnTo>
                                <a:pt x="1291167" y="548744"/>
                              </a:lnTo>
                            </a:path>
                            <a:path w="2185035" h="554355">
                              <a:moveTo>
                                <a:pt x="1345648" y="542299"/>
                              </a:moveTo>
                              <a:lnTo>
                                <a:pt x="1345648" y="548744"/>
                              </a:lnTo>
                            </a:path>
                            <a:path w="2185035" h="554355">
                              <a:moveTo>
                                <a:pt x="1396834" y="542299"/>
                              </a:moveTo>
                              <a:lnTo>
                                <a:pt x="1396834" y="548744"/>
                              </a:lnTo>
                            </a:path>
                            <a:path w="2185035" h="554355">
                              <a:moveTo>
                                <a:pt x="1448116" y="542299"/>
                              </a:moveTo>
                              <a:lnTo>
                                <a:pt x="1448116" y="548744"/>
                              </a:lnTo>
                            </a:path>
                            <a:path w="2185035" h="554355">
                              <a:moveTo>
                                <a:pt x="1502597" y="542299"/>
                              </a:moveTo>
                              <a:lnTo>
                                <a:pt x="1502597" y="548744"/>
                              </a:lnTo>
                            </a:path>
                            <a:path w="2185035" h="554355">
                              <a:moveTo>
                                <a:pt x="1553879" y="542299"/>
                              </a:moveTo>
                              <a:lnTo>
                                <a:pt x="1553879" y="548744"/>
                              </a:lnTo>
                            </a:path>
                            <a:path w="2185035" h="554355">
                              <a:moveTo>
                                <a:pt x="1605128" y="542299"/>
                              </a:moveTo>
                              <a:lnTo>
                                <a:pt x="1605128" y="548744"/>
                              </a:lnTo>
                            </a:path>
                            <a:path w="2185035" h="554355">
                              <a:moveTo>
                                <a:pt x="1659609" y="542299"/>
                              </a:moveTo>
                              <a:lnTo>
                                <a:pt x="1659609" y="548744"/>
                              </a:lnTo>
                            </a:path>
                            <a:path w="2185035" h="554355">
                              <a:moveTo>
                                <a:pt x="1710795" y="542299"/>
                              </a:moveTo>
                              <a:lnTo>
                                <a:pt x="1710795" y="548744"/>
                              </a:lnTo>
                            </a:path>
                            <a:path w="2185035" h="554355">
                              <a:moveTo>
                                <a:pt x="1765276" y="542299"/>
                              </a:moveTo>
                              <a:lnTo>
                                <a:pt x="1765276" y="548744"/>
                              </a:lnTo>
                            </a:path>
                            <a:path w="2185035" h="554355">
                              <a:moveTo>
                                <a:pt x="1816558" y="542299"/>
                              </a:moveTo>
                              <a:lnTo>
                                <a:pt x="1816558" y="548744"/>
                              </a:lnTo>
                            </a:path>
                            <a:path w="2185035" h="554355">
                              <a:moveTo>
                                <a:pt x="1867840" y="542299"/>
                              </a:moveTo>
                              <a:lnTo>
                                <a:pt x="1867840" y="548744"/>
                              </a:lnTo>
                            </a:path>
                            <a:path w="2185035" h="554355">
                              <a:moveTo>
                                <a:pt x="1922321" y="542299"/>
                              </a:moveTo>
                              <a:lnTo>
                                <a:pt x="1922321" y="548744"/>
                              </a:lnTo>
                            </a:path>
                            <a:path w="2185035" h="554355">
                              <a:moveTo>
                                <a:pt x="1973571" y="542299"/>
                              </a:moveTo>
                              <a:lnTo>
                                <a:pt x="1973571" y="548744"/>
                              </a:lnTo>
                            </a:path>
                            <a:path w="2185035" h="554355">
                              <a:moveTo>
                                <a:pt x="2024789" y="542299"/>
                              </a:moveTo>
                              <a:lnTo>
                                <a:pt x="2024789" y="548744"/>
                              </a:lnTo>
                            </a:path>
                            <a:path w="2185035" h="554355">
                              <a:moveTo>
                                <a:pt x="2079270" y="542299"/>
                              </a:moveTo>
                              <a:lnTo>
                                <a:pt x="2079270" y="548744"/>
                              </a:lnTo>
                            </a:path>
                            <a:path w="2185035" h="554355">
                              <a:moveTo>
                                <a:pt x="2130520" y="542299"/>
                              </a:moveTo>
                              <a:lnTo>
                                <a:pt x="2130520" y="548744"/>
                              </a:lnTo>
                            </a:path>
                            <a:path w="2185035" h="554355">
                              <a:moveTo>
                                <a:pt x="2181802" y="542299"/>
                              </a:moveTo>
                              <a:lnTo>
                                <a:pt x="2181802" y="548744"/>
                              </a:lnTo>
                            </a:path>
                            <a:path w="2185035" h="554355">
                              <a:moveTo>
                                <a:pt x="35276" y="542299"/>
                              </a:moveTo>
                              <a:lnTo>
                                <a:pt x="35276" y="554126"/>
                              </a:lnTo>
                            </a:path>
                            <a:path w="2185035" h="554355">
                              <a:moveTo>
                                <a:pt x="294770" y="542299"/>
                              </a:moveTo>
                              <a:lnTo>
                                <a:pt x="294770" y="554126"/>
                              </a:lnTo>
                            </a:path>
                            <a:path w="2185035" h="554355">
                              <a:moveTo>
                                <a:pt x="557481" y="542299"/>
                              </a:moveTo>
                              <a:lnTo>
                                <a:pt x="557481" y="554126"/>
                              </a:lnTo>
                            </a:path>
                            <a:path w="2185035" h="554355">
                              <a:moveTo>
                                <a:pt x="820161" y="542299"/>
                              </a:moveTo>
                              <a:lnTo>
                                <a:pt x="820161" y="554126"/>
                              </a:lnTo>
                            </a:path>
                            <a:path w="2185035" h="554355">
                              <a:moveTo>
                                <a:pt x="1082872" y="542299"/>
                              </a:moveTo>
                              <a:lnTo>
                                <a:pt x="1082872" y="554126"/>
                              </a:lnTo>
                            </a:path>
                            <a:path w="2185035" h="554355">
                              <a:moveTo>
                                <a:pt x="1345648" y="542299"/>
                              </a:moveTo>
                              <a:lnTo>
                                <a:pt x="1345648" y="554126"/>
                              </a:lnTo>
                            </a:path>
                            <a:path w="2185035" h="554355">
                              <a:moveTo>
                                <a:pt x="1605128" y="542299"/>
                              </a:moveTo>
                              <a:lnTo>
                                <a:pt x="1605128" y="554126"/>
                              </a:lnTo>
                            </a:path>
                            <a:path w="2185035" h="554355">
                              <a:moveTo>
                                <a:pt x="1867840" y="542299"/>
                              </a:moveTo>
                              <a:lnTo>
                                <a:pt x="1867840" y="554126"/>
                              </a:lnTo>
                            </a:path>
                            <a:path w="2185035" h="554355">
                              <a:moveTo>
                                <a:pt x="2130520" y="542299"/>
                              </a:moveTo>
                              <a:lnTo>
                                <a:pt x="2130520" y="554126"/>
                              </a:lnTo>
                            </a:path>
                            <a:path w="2185035" h="554355">
                              <a:moveTo>
                                <a:pt x="35276" y="511092"/>
                              </a:moveTo>
                              <a:lnTo>
                                <a:pt x="86539" y="501414"/>
                              </a:lnTo>
                              <a:lnTo>
                                <a:pt x="137757" y="497095"/>
                              </a:lnTo>
                              <a:lnTo>
                                <a:pt x="192238" y="492798"/>
                              </a:lnTo>
                              <a:lnTo>
                                <a:pt x="243488" y="441139"/>
                              </a:lnTo>
                              <a:lnTo>
                                <a:pt x="294770" y="460507"/>
                              </a:lnTo>
                              <a:lnTo>
                                <a:pt x="349250" y="452988"/>
                              </a:lnTo>
                              <a:lnTo>
                                <a:pt x="400532" y="446543"/>
                              </a:lnTo>
                              <a:lnTo>
                                <a:pt x="451718" y="442213"/>
                              </a:lnTo>
                              <a:lnTo>
                                <a:pt x="506199" y="429323"/>
                              </a:lnTo>
                              <a:lnTo>
                                <a:pt x="557481" y="421771"/>
                              </a:lnTo>
                              <a:lnTo>
                                <a:pt x="608731" y="425026"/>
                              </a:lnTo>
                              <a:lnTo>
                                <a:pt x="663212" y="420697"/>
                              </a:lnTo>
                              <a:lnTo>
                                <a:pt x="714494" y="420697"/>
                              </a:lnTo>
                              <a:lnTo>
                                <a:pt x="765680" y="414251"/>
                              </a:lnTo>
                              <a:lnTo>
                                <a:pt x="820161" y="405636"/>
                              </a:lnTo>
                              <a:lnTo>
                                <a:pt x="871443" y="402414"/>
                              </a:lnTo>
                              <a:lnTo>
                                <a:pt x="922724" y="379823"/>
                              </a:lnTo>
                              <a:lnTo>
                                <a:pt x="977205" y="375526"/>
                              </a:lnTo>
                              <a:lnTo>
                                <a:pt x="1028455" y="352935"/>
                              </a:lnTo>
                              <a:lnTo>
                                <a:pt x="1079673" y="351861"/>
                              </a:lnTo>
                              <a:lnTo>
                                <a:pt x="1134154" y="351861"/>
                              </a:lnTo>
                              <a:lnTo>
                                <a:pt x="1185404" y="323866"/>
                              </a:lnTo>
                              <a:lnTo>
                                <a:pt x="1236686" y="323866"/>
                              </a:lnTo>
                              <a:lnTo>
                                <a:pt x="1291167" y="316347"/>
                              </a:lnTo>
                              <a:lnTo>
                                <a:pt x="1342449" y="284056"/>
                              </a:lnTo>
                              <a:lnTo>
                                <a:pt x="1393635" y="273292"/>
                              </a:lnTo>
                              <a:lnTo>
                                <a:pt x="1448116" y="272218"/>
                              </a:lnTo>
                              <a:lnTo>
                                <a:pt x="1499398" y="271133"/>
                              </a:lnTo>
                              <a:lnTo>
                                <a:pt x="1550679" y="253924"/>
                              </a:lnTo>
                              <a:lnTo>
                                <a:pt x="1605128" y="250701"/>
                              </a:lnTo>
                              <a:lnTo>
                                <a:pt x="1656410" y="254998"/>
                              </a:lnTo>
                              <a:lnTo>
                                <a:pt x="1707596" y="236704"/>
                              </a:lnTo>
                              <a:lnTo>
                                <a:pt x="1762077" y="228110"/>
                              </a:lnTo>
                              <a:lnTo>
                                <a:pt x="1813359" y="217336"/>
                              </a:lnTo>
                              <a:lnTo>
                                <a:pt x="1864641" y="201190"/>
                              </a:lnTo>
                              <a:lnTo>
                                <a:pt x="1919122" y="195819"/>
                              </a:lnTo>
                              <a:lnTo>
                                <a:pt x="1970372" y="194745"/>
                              </a:lnTo>
                              <a:lnTo>
                                <a:pt x="2021590" y="197968"/>
                              </a:lnTo>
                              <a:lnTo>
                                <a:pt x="2076071" y="190448"/>
                              </a:lnTo>
                              <a:lnTo>
                                <a:pt x="2127321" y="186151"/>
                              </a:lnTo>
                              <a:lnTo>
                                <a:pt x="2181802" y="36587"/>
                              </a:lnTo>
                            </a:path>
                            <a:path w="2185035" h="554355">
                              <a:moveTo>
                                <a:pt x="32077" y="0"/>
                              </a:moveTo>
                              <a:lnTo>
                                <a:pt x="32077" y="542299"/>
                              </a:lnTo>
                              <a:lnTo>
                                <a:pt x="2185001" y="542299"/>
                              </a:lnTo>
                              <a:lnTo>
                                <a:pt x="2185001" y="0"/>
                              </a:lnTo>
                              <a:lnTo>
                                <a:pt x="32077" y="0"/>
                              </a:lnTo>
                            </a:path>
                          </a:pathLst>
                        </a:custGeom>
                        <a:ln w="427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7.911049pt;margin-top:1.330658pt;width:172.05pt;height:43.65pt;mso-position-horizontal-relative:page;mso-position-vertical-relative:paragraph;z-index:15731200" id="docshape22" coordorigin="1358,27" coordsize="3441,873" path="m1358,879l1409,879m1358,757l1409,757m1358,635l1409,635m1358,513l1409,513m1358,393l1409,393m1358,271l1409,271m1358,149l1409,149m1358,28l1409,28m1414,881l1414,891m1495,881l1495,891m1575,881l1575,891m1661,881l1661,891m1742,881l1742,891m1822,881l1822,891m1908,881l1908,891m1989,881l1989,891m2070,881l2070,891m2155,881l2155,891m2236,881l2236,891m2322,881l2322,891m2403,881l2403,891m2483,881l2483,891m2569,881l2569,891m2650,881l2650,891m2731,881l2731,891m2816,881l2816,891m2897,881l2897,891m2978,881l2978,891m3064,881l3064,891m3144,881l3144,891m3230,881l3230,891m3311,881l3311,891m3392,881l3392,891m3477,881l3477,891m3558,881l3558,891m3639,881l3639,891m3725,881l3725,891m3805,881l3805,891m3886,881l3886,891m3972,881l3972,891m4052,881l4052,891m4138,881l4138,891m4219,881l4219,891m4300,881l4300,891m4385,881l4385,891m4466,881l4466,891m4547,881l4547,891m4633,881l4633,891m4713,881l4713,891m4794,881l4794,891m1414,881l1414,899m1822,881l1822,899m2236,881l2236,899m2650,881l2650,899m3064,881l3064,899m3477,881l3477,899m3886,881l3886,899m4300,881l4300,899m4713,881l4713,899m1414,831l1495,816,1575,809,1661,803,1742,721,1822,752,1908,740,1989,730,2070,723,2155,703,2236,691,2317,696,2403,689,2483,689,2564,679,2650,665,2731,660,2811,625,2897,618,2978,582,3058,581,3144,581,3225,537,3306,537,3392,525,3472,474,3553,457,3639,455,3719,454,3800,426,3886,421,3967,428,4047,399,4133,386,4214,369,4295,343,4380,335,4461,333,4542,338,4628,327,4708,320,4794,84m1409,27l1409,881,4799,881,4799,27,1409,27e" filled="false" stroked="true" strokeweight=".336551pt" strokecolor="#000000">
                <v:path arrowok="t"/>
                <v:stroke dashstyle="solid"/>
                <w10:wrap type="none"/>
              </v:shape>
            </w:pict>
          </mc:Fallback>
        </mc:AlternateContent>
      </w:r>
      <w:r>
        <w:rPr>
          <w:rFonts w:ascii="Arial MT"/>
          <w:spacing w:val="-5"/>
          <w:w w:val="350"/>
          <w:sz w:val="4"/>
        </w:rPr>
        <w:t>22</w:t>
      </w:r>
    </w:p>
    <w:p>
      <w:pPr>
        <w:pStyle w:val="BodyText"/>
        <w:spacing w:before="28"/>
        <w:rPr>
          <w:rFonts w:ascii="Arial MT"/>
          <w:sz w:val="4"/>
        </w:rPr>
      </w:pPr>
    </w:p>
    <w:p>
      <w:pPr>
        <w:spacing w:before="0"/>
        <w:ind w:left="886" w:right="0" w:firstLine="0"/>
        <w:jc w:val="left"/>
        <w:rPr>
          <w:rFonts w:ascii="Arial MT"/>
          <w:sz w:val="4"/>
        </w:rPr>
      </w:pPr>
      <w:r>
        <w:rPr>
          <w:rFonts w:ascii="Arial MT"/>
          <w:spacing w:val="-5"/>
          <w:w w:val="350"/>
          <w:sz w:val="4"/>
        </w:rPr>
        <w:t>20</w:t>
      </w:r>
    </w:p>
    <w:p>
      <w:pPr>
        <w:pStyle w:val="BodyText"/>
        <w:spacing w:before="30"/>
        <w:rPr>
          <w:rFonts w:ascii="Arial MT"/>
          <w:sz w:val="4"/>
        </w:rPr>
      </w:pPr>
    </w:p>
    <w:p>
      <w:pPr>
        <w:spacing w:before="0"/>
        <w:ind w:left="886" w:right="0" w:firstLine="0"/>
        <w:jc w:val="left"/>
        <w:rPr>
          <w:rFonts w:ascii="Arial MT"/>
          <w:sz w:val="4"/>
        </w:rPr>
      </w:pPr>
      <w:r>
        <w:rPr>
          <w:rFonts w:ascii="Arial MT"/>
          <w:spacing w:val="-5"/>
          <w:w w:val="350"/>
          <w:sz w:val="4"/>
        </w:rPr>
        <w:t>18</w:t>
      </w:r>
    </w:p>
    <w:p>
      <w:pPr>
        <w:pStyle w:val="BodyText"/>
        <w:spacing w:before="30"/>
        <w:rPr>
          <w:rFonts w:ascii="Arial MT"/>
          <w:sz w:val="4"/>
        </w:rPr>
      </w:pPr>
    </w:p>
    <w:p>
      <w:pPr>
        <w:spacing w:before="0"/>
        <w:ind w:left="886" w:right="0" w:firstLine="0"/>
        <w:jc w:val="left"/>
        <w:rPr>
          <w:rFonts w:ascii="Arial MT"/>
          <w:sz w:val="4"/>
        </w:rPr>
      </w:pPr>
      <w:r>
        <w:rPr>
          <w:rFonts w:ascii="Arial MT"/>
          <w:spacing w:val="-5"/>
          <w:w w:val="350"/>
          <w:sz w:val="4"/>
        </w:rPr>
        <w:t>16</w:t>
      </w:r>
    </w:p>
    <w:p>
      <w:pPr>
        <w:pStyle w:val="BodyText"/>
        <w:spacing w:before="28"/>
        <w:rPr>
          <w:rFonts w:ascii="Arial MT"/>
          <w:sz w:val="4"/>
        </w:rPr>
      </w:pPr>
    </w:p>
    <w:p>
      <w:pPr>
        <w:spacing w:before="0"/>
        <w:ind w:left="886" w:right="0" w:firstLine="0"/>
        <w:jc w:val="left"/>
        <w:rPr>
          <w:rFonts w:ascii="Arial MT"/>
          <w:sz w:val="4"/>
        </w:rPr>
      </w:pPr>
      <w:r>
        <w:rPr>
          <w:rFonts w:ascii="Arial MT"/>
          <w:spacing w:val="-5"/>
          <w:w w:val="350"/>
          <w:sz w:val="4"/>
        </w:rPr>
        <w:t>14</w:t>
      </w:r>
    </w:p>
    <w:p>
      <w:pPr>
        <w:pStyle w:val="BodyText"/>
        <w:spacing w:before="30"/>
        <w:rPr>
          <w:rFonts w:ascii="Arial MT"/>
          <w:sz w:val="4"/>
        </w:rPr>
      </w:pPr>
    </w:p>
    <w:p>
      <w:pPr>
        <w:spacing w:before="0"/>
        <w:ind w:left="886" w:right="0" w:firstLine="0"/>
        <w:jc w:val="left"/>
        <w:rPr>
          <w:rFonts w:ascii="Arial MT"/>
          <w:sz w:val="4"/>
        </w:rPr>
      </w:pPr>
      <w:r>
        <w:rPr>
          <w:rFonts w:ascii="Arial MT"/>
          <w:spacing w:val="-5"/>
          <w:w w:val="350"/>
          <w:sz w:val="4"/>
        </w:rPr>
        <w:t>12</w:t>
      </w:r>
    </w:p>
    <w:p>
      <w:pPr>
        <w:pStyle w:val="BodyText"/>
        <w:spacing w:before="30"/>
        <w:rPr>
          <w:rFonts w:ascii="Arial MT"/>
          <w:sz w:val="4"/>
        </w:rPr>
      </w:pPr>
    </w:p>
    <w:p>
      <w:pPr>
        <w:spacing w:before="0"/>
        <w:ind w:left="886" w:right="0" w:firstLine="0"/>
        <w:jc w:val="left"/>
        <w:rPr>
          <w:rFonts w:ascii="Arial MT"/>
          <w:sz w:val="4"/>
        </w:rPr>
      </w:pPr>
      <w:r>
        <w:rPr>
          <w:rFonts w:ascii="Arial MT"/>
          <w:spacing w:val="-5"/>
          <w:w w:val="350"/>
          <w:sz w:val="4"/>
        </w:rPr>
        <w:t>10</w:t>
      </w:r>
    </w:p>
    <w:p>
      <w:pPr>
        <w:pStyle w:val="BodyText"/>
        <w:spacing w:before="30"/>
        <w:rPr>
          <w:rFonts w:ascii="Arial MT"/>
          <w:sz w:val="4"/>
        </w:rPr>
      </w:pPr>
    </w:p>
    <w:p>
      <w:pPr>
        <w:spacing w:before="0"/>
        <w:ind w:left="967" w:right="0" w:firstLine="0"/>
        <w:jc w:val="left"/>
        <w:rPr>
          <w:rFonts w:ascii="Arial MT"/>
          <w:sz w:val="4"/>
        </w:rPr>
      </w:pPr>
      <w:r>
        <w:rPr>
          <w:rFonts w:ascii="Arial MT"/>
          <w:spacing w:val="-10"/>
          <w:w w:val="350"/>
          <w:sz w:val="4"/>
        </w:rPr>
        <w:t>8</w:t>
      </w:r>
    </w:p>
    <w:p>
      <w:pPr>
        <w:tabs>
          <w:tab w:pos="1461" w:val="left" w:leader="none"/>
          <w:tab w:pos="1875" w:val="left" w:leader="none"/>
          <w:tab w:pos="2288" w:val="left" w:leader="none"/>
          <w:tab w:pos="2702" w:val="left" w:leader="none"/>
          <w:tab w:pos="3116" w:val="left" w:leader="none"/>
          <w:tab w:pos="3525" w:val="left" w:leader="none"/>
          <w:tab w:pos="3938" w:val="left" w:leader="none"/>
          <w:tab w:pos="4352" w:val="left" w:leader="none"/>
        </w:tabs>
        <w:spacing w:before="10"/>
        <w:ind w:left="1053" w:right="0" w:firstLine="0"/>
        <w:jc w:val="left"/>
        <w:rPr>
          <w:rFonts w:ascii="Arial MT"/>
          <w:sz w:val="4"/>
        </w:rPr>
      </w:pPr>
      <w:r>
        <w:rPr>
          <w:rFonts w:ascii="Arial MT"/>
          <w:spacing w:val="-5"/>
          <w:w w:val="350"/>
          <w:sz w:val="4"/>
        </w:rPr>
        <w:t>70</w:t>
      </w:r>
      <w:r>
        <w:rPr>
          <w:rFonts w:ascii="Arial MT"/>
          <w:sz w:val="4"/>
        </w:rPr>
        <w:tab/>
      </w:r>
      <w:r>
        <w:rPr>
          <w:rFonts w:ascii="Arial MT"/>
          <w:spacing w:val="-5"/>
          <w:w w:val="350"/>
          <w:sz w:val="4"/>
        </w:rPr>
        <w:t>75</w:t>
      </w:r>
      <w:r>
        <w:rPr>
          <w:rFonts w:ascii="Arial MT"/>
          <w:sz w:val="4"/>
        </w:rPr>
        <w:tab/>
      </w:r>
      <w:r>
        <w:rPr>
          <w:rFonts w:ascii="Arial MT"/>
          <w:spacing w:val="-5"/>
          <w:w w:val="350"/>
          <w:sz w:val="4"/>
        </w:rPr>
        <w:t>80</w:t>
      </w:r>
      <w:r>
        <w:rPr>
          <w:rFonts w:ascii="Arial MT"/>
          <w:sz w:val="4"/>
        </w:rPr>
        <w:tab/>
      </w:r>
      <w:r>
        <w:rPr>
          <w:rFonts w:ascii="Arial MT"/>
          <w:spacing w:val="-5"/>
          <w:w w:val="350"/>
          <w:sz w:val="4"/>
        </w:rPr>
        <w:t>85</w:t>
      </w:r>
      <w:r>
        <w:rPr>
          <w:rFonts w:ascii="Arial MT"/>
          <w:sz w:val="4"/>
        </w:rPr>
        <w:tab/>
      </w:r>
      <w:r>
        <w:rPr>
          <w:rFonts w:ascii="Arial MT"/>
          <w:spacing w:val="-5"/>
          <w:w w:val="350"/>
          <w:sz w:val="4"/>
        </w:rPr>
        <w:t>90</w:t>
      </w:r>
      <w:r>
        <w:rPr>
          <w:rFonts w:ascii="Arial MT"/>
          <w:sz w:val="4"/>
        </w:rPr>
        <w:tab/>
      </w:r>
      <w:r>
        <w:rPr>
          <w:rFonts w:ascii="Arial MT"/>
          <w:spacing w:val="-5"/>
          <w:w w:val="350"/>
          <w:sz w:val="4"/>
        </w:rPr>
        <w:t>95</w:t>
      </w:r>
      <w:r>
        <w:rPr>
          <w:rFonts w:ascii="Arial MT"/>
          <w:sz w:val="4"/>
        </w:rPr>
        <w:tab/>
      </w:r>
      <w:r>
        <w:rPr>
          <w:rFonts w:ascii="Arial MT"/>
          <w:spacing w:val="-5"/>
          <w:w w:val="350"/>
          <w:sz w:val="4"/>
        </w:rPr>
        <w:t>00</w:t>
      </w:r>
      <w:r>
        <w:rPr>
          <w:rFonts w:ascii="Arial MT"/>
          <w:sz w:val="4"/>
        </w:rPr>
        <w:tab/>
      </w:r>
      <w:r>
        <w:rPr>
          <w:rFonts w:ascii="Arial MT"/>
          <w:spacing w:val="-5"/>
          <w:w w:val="350"/>
          <w:sz w:val="4"/>
        </w:rPr>
        <w:t>05</w:t>
      </w:r>
      <w:r>
        <w:rPr>
          <w:rFonts w:ascii="Arial MT"/>
          <w:sz w:val="4"/>
        </w:rPr>
        <w:tab/>
      </w:r>
      <w:r>
        <w:rPr>
          <w:rFonts w:ascii="Arial MT"/>
          <w:spacing w:val="-5"/>
          <w:w w:val="350"/>
          <w:sz w:val="4"/>
        </w:rPr>
        <w:t>10</w:t>
      </w:r>
    </w:p>
    <w:p>
      <w:pPr>
        <w:pStyle w:val="BodyText"/>
        <w:spacing w:before="23"/>
        <w:rPr>
          <w:rFonts w:ascii="Arial MT"/>
          <w:sz w:val="4"/>
        </w:rPr>
      </w:pPr>
    </w:p>
    <w:p>
      <w:pPr>
        <w:tabs>
          <w:tab w:pos="2871" w:val="left" w:leader="none"/>
        </w:tabs>
        <w:spacing w:before="0"/>
        <w:ind w:left="2586" w:right="0" w:firstLine="0"/>
        <w:jc w:val="left"/>
        <w:rPr>
          <w:rFonts w:ascii="Arial MT"/>
          <w:sz w:val="4"/>
        </w:rPr>
      </w:pPr>
      <w:r>
        <w:rPr/>
        <mc:AlternateContent>
          <mc:Choice Requires="wps">
            <w:drawing>
              <wp:anchor distT="0" distB="0" distL="0" distR="0" allowOverlap="1" layoutInCell="1" locked="0" behindDoc="1" simplePos="0" relativeHeight="464154624">
                <wp:simplePos x="0" y="0"/>
                <wp:positionH relativeFrom="page">
                  <wp:posOffset>1781996</wp:posOffset>
                </wp:positionH>
                <wp:positionV relativeFrom="paragraph">
                  <wp:posOffset>-12257</wp:posOffset>
                </wp:positionV>
                <wp:extent cx="375285" cy="49530"/>
                <wp:effectExtent l="0" t="0" r="0" b="0"/>
                <wp:wrapNone/>
                <wp:docPr id="25" name="Graphic 25"/>
                <wp:cNvGraphicFramePr>
                  <a:graphicFrameLocks/>
                </wp:cNvGraphicFramePr>
                <a:graphic>
                  <a:graphicData uri="http://schemas.microsoft.com/office/word/2010/wordprocessingShape">
                    <wps:wsp>
                      <wps:cNvPr id="25" name="Graphic 25"/>
                      <wps:cNvSpPr/>
                      <wps:spPr>
                        <a:xfrm>
                          <a:off x="0" y="0"/>
                          <a:ext cx="375285" cy="49530"/>
                        </a:xfrm>
                        <a:custGeom>
                          <a:avLst/>
                          <a:gdLst/>
                          <a:ahLst/>
                          <a:cxnLst/>
                          <a:rect l="l" t="t" r="r" b="b"/>
                          <a:pathLst>
                            <a:path w="375285" h="49530">
                              <a:moveTo>
                                <a:pt x="0" y="49504"/>
                              </a:moveTo>
                              <a:lnTo>
                                <a:pt x="374840" y="49504"/>
                              </a:lnTo>
                              <a:lnTo>
                                <a:pt x="374840" y="0"/>
                              </a:lnTo>
                              <a:lnTo>
                                <a:pt x="0" y="0"/>
                              </a:lnTo>
                              <a:lnTo>
                                <a:pt x="0" y="49504"/>
                              </a:lnTo>
                              <a:close/>
                            </a:path>
                          </a:pathLst>
                        </a:custGeom>
                        <a:ln w="2221">
                          <a:solidFill>
                            <a:srgbClr val="000000"/>
                          </a:solidFill>
                          <a:prstDash val="solid"/>
                        </a:ln>
                      </wps:spPr>
                      <wps:bodyPr wrap="square" lIns="0" tIns="0" rIns="0" bIns="0" rtlCol="0">
                        <a:prstTxWarp prst="textNoShape">
                          <a:avLst/>
                        </a:prstTxWarp>
                        <a:noAutofit/>
                      </wps:bodyPr>
                    </wps:wsp>
                  </a:graphicData>
                </a:graphic>
              </wp:anchor>
            </w:drawing>
          </mc:Choice>
          <mc:Fallback>
            <w:pict>
              <v:rect style="position:absolute;margin-left:140.314667pt;margin-top:-.965167pt;width:29.515017pt;height:3.897985pt;mso-position-horizontal-relative:page;mso-position-vertical-relative:paragraph;z-index:-39161856" id="docshape23" filled="false" stroked="true" strokeweight=".17494pt" strokecolor="#000000">
                <v:stroke dashstyle="solid"/>
                <w10:wrap type="none"/>
              </v:rect>
            </w:pict>
          </mc:Fallback>
        </mc:AlternateContent>
      </w:r>
      <w:r>
        <w:rPr>
          <w:rFonts w:ascii="Arial MT"/>
          <w:sz w:val="4"/>
          <w:u w:val="single"/>
        </w:rPr>
        <w:tab/>
      </w:r>
      <w:r>
        <w:rPr>
          <w:rFonts w:ascii="Arial MT"/>
          <w:spacing w:val="-3"/>
          <w:sz w:val="4"/>
        </w:rPr>
        <w:t> </w:t>
      </w:r>
      <w:r>
        <w:rPr>
          <w:rFonts w:ascii="Arial MT"/>
          <w:w w:val="355"/>
          <w:sz w:val="4"/>
        </w:rPr>
        <w:t>KF</w:t>
      </w:r>
    </w:p>
    <w:p>
      <w:pPr>
        <w:spacing w:line="240" w:lineRule="auto" w:before="8"/>
        <w:rPr>
          <w:rFonts w:ascii="Arial MT"/>
          <w:sz w:val="5"/>
        </w:rPr>
      </w:pPr>
      <w:r>
        <w:rPr/>
        <w:br w:type="column"/>
      </w:r>
      <w:r>
        <w:rPr>
          <w:rFonts w:ascii="Arial MT"/>
          <w:sz w:val="5"/>
        </w:rPr>
      </w:r>
    </w:p>
    <w:p>
      <w:pPr>
        <w:spacing w:before="0"/>
        <w:ind w:left="0" w:right="0" w:firstLine="0"/>
        <w:jc w:val="right"/>
        <w:rPr>
          <w:rFonts w:ascii="Arial MT"/>
          <w:sz w:val="5"/>
        </w:rPr>
      </w:pPr>
      <w:r>
        <w:rPr>
          <w:rFonts w:ascii="Arial MT"/>
          <w:spacing w:val="-5"/>
          <w:w w:val="325"/>
          <w:sz w:val="5"/>
        </w:rPr>
        <w:t>0.0</w:t>
      </w:r>
    </w:p>
    <w:p>
      <w:pPr>
        <w:spacing w:before="56"/>
        <w:ind w:left="0" w:right="0" w:firstLine="0"/>
        <w:jc w:val="right"/>
        <w:rPr>
          <w:rFonts w:ascii="Arial MT"/>
          <w:sz w:val="5"/>
        </w:rPr>
      </w:pPr>
      <w:r>
        <w:rPr>
          <w:rFonts w:ascii="Arial MT"/>
          <w:spacing w:val="-2"/>
          <w:w w:val="325"/>
          <w:sz w:val="5"/>
        </w:rPr>
        <w:t>-</w:t>
      </w:r>
      <w:r>
        <w:rPr>
          <w:rFonts w:ascii="Arial MT"/>
          <w:spacing w:val="-5"/>
          <w:w w:val="325"/>
          <w:sz w:val="5"/>
        </w:rPr>
        <w:t>0.2</w:t>
      </w:r>
    </w:p>
    <w:p>
      <w:pPr>
        <w:spacing w:before="57"/>
        <w:ind w:left="0" w:right="0" w:firstLine="0"/>
        <w:jc w:val="right"/>
        <w:rPr>
          <w:rFonts w:ascii="Arial MT"/>
          <w:sz w:val="5"/>
        </w:rPr>
      </w:pPr>
      <w:r>
        <w:rPr>
          <w:rFonts w:ascii="Arial MT"/>
          <w:spacing w:val="-2"/>
          <w:w w:val="325"/>
          <w:sz w:val="5"/>
        </w:rPr>
        <w:t>-</w:t>
      </w:r>
      <w:r>
        <w:rPr>
          <w:rFonts w:ascii="Arial MT"/>
          <w:spacing w:val="-5"/>
          <w:w w:val="325"/>
          <w:sz w:val="5"/>
        </w:rPr>
        <w:t>0.4</w:t>
      </w:r>
    </w:p>
    <w:p>
      <w:pPr>
        <w:spacing w:before="57"/>
        <w:ind w:left="0" w:right="0" w:firstLine="0"/>
        <w:jc w:val="right"/>
        <w:rPr>
          <w:rFonts w:ascii="Arial MT"/>
          <w:sz w:val="5"/>
        </w:rPr>
      </w:pPr>
      <w:r>
        <w:rPr>
          <w:rFonts w:ascii="Arial MT"/>
          <w:spacing w:val="-2"/>
          <w:w w:val="325"/>
          <w:sz w:val="5"/>
        </w:rPr>
        <w:t>-</w:t>
      </w:r>
      <w:r>
        <w:rPr>
          <w:rFonts w:ascii="Arial MT"/>
          <w:spacing w:val="-5"/>
          <w:w w:val="325"/>
          <w:sz w:val="5"/>
        </w:rPr>
        <w:t>0.6</w:t>
      </w:r>
    </w:p>
    <w:p>
      <w:pPr>
        <w:pStyle w:val="BodyText"/>
        <w:rPr>
          <w:rFonts w:ascii="Arial MT"/>
          <w:sz w:val="5"/>
        </w:rPr>
      </w:pPr>
    </w:p>
    <w:p>
      <w:pPr>
        <w:spacing w:before="0"/>
        <w:ind w:left="0" w:right="0" w:firstLine="0"/>
        <w:jc w:val="right"/>
        <w:rPr>
          <w:rFonts w:ascii="Arial MT"/>
          <w:sz w:val="5"/>
        </w:rPr>
      </w:pPr>
      <w:r>
        <w:rPr>
          <w:rFonts w:ascii="Arial MT"/>
          <w:spacing w:val="-2"/>
          <w:w w:val="325"/>
          <w:sz w:val="5"/>
        </w:rPr>
        <w:t>-</w:t>
      </w:r>
      <w:r>
        <w:rPr>
          <w:rFonts w:ascii="Arial MT"/>
          <w:spacing w:val="-5"/>
          <w:w w:val="325"/>
          <w:sz w:val="5"/>
        </w:rPr>
        <w:t>0.8</w:t>
      </w:r>
    </w:p>
    <w:p>
      <w:pPr>
        <w:spacing w:before="57"/>
        <w:ind w:left="0" w:right="0" w:firstLine="0"/>
        <w:jc w:val="right"/>
        <w:rPr>
          <w:rFonts w:ascii="Arial MT"/>
          <w:sz w:val="5"/>
        </w:rPr>
      </w:pPr>
      <w:r>
        <w:rPr>
          <w:rFonts w:ascii="Arial MT"/>
          <w:spacing w:val="-2"/>
          <w:w w:val="325"/>
          <w:sz w:val="5"/>
        </w:rPr>
        <w:t>-</w:t>
      </w:r>
      <w:r>
        <w:rPr>
          <w:rFonts w:ascii="Arial MT"/>
          <w:spacing w:val="-5"/>
          <w:w w:val="325"/>
          <w:sz w:val="5"/>
        </w:rPr>
        <w:t>1.0</w:t>
      </w:r>
    </w:p>
    <w:p>
      <w:pPr>
        <w:pStyle w:val="BodyText"/>
        <w:rPr>
          <w:rFonts w:ascii="Arial MT"/>
          <w:sz w:val="5"/>
        </w:rPr>
      </w:pPr>
    </w:p>
    <w:p>
      <w:pPr>
        <w:spacing w:before="0"/>
        <w:ind w:left="0" w:right="0" w:firstLine="0"/>
        <w:jc w:val="right"/>
        <w:rPr>
          <w:rFonts w:ascii="Arial MT"/>
          <w:sz w:val="5"/>
        </w:rPr>
      </w:pPr>
      <w:r>
        <w:rPr>
          <w:rFonts w:ascii="Arial MT"/>
          <w:spacing w:val="-2"/>
          <w:w w:val="325"/>
          <w:sz w:val="5"/>
        </w:rPr>
        <w:t>-</w:t>
      </w:r>
      <w:r>
        <w:rPr>
          <w:rFonts w:ascii="Arial MT"/>
          <w:spacing w:val="-5"/>
          <w:w w:val="325"/>
          <w:sz w:val="5"/>
        </w:rPr>
        <w:t>1.2</w:t>
      </w:r>
    </w:p>
    <w:p>
      <w:pPr>
        <w:spacing w:before="57"/>
        <w:ind w:left="0" w:right="0" w:firstLine="0"/>
        <w:jc w:val="right"/>
        <w:rPr>
          <w:rFonts w:ascii="Arial MT"/>
          <w:sz w:val="5"/>
        </w:rPr>
      </w:pPr>
      <w:r>
        <w:rPr>
          <w:rFonts w:ascii="Arial MT"/>
          <w:spacing w:val="-2"/>
          <w:w w:val="325"/>
          <w:sz w:val="5"/>
        </w:rPr>
        <w:t>-</w:t>
      </w:r>
      <w:r>
        <w:rPr>
          <w:rFonts w:ascii="Arial MT"/>
          <w:spacing w:val="-5"/>
          <w:w w:val="325"/>
          <w:sz w:val="5"/>
        </w:rPr>
        <w:t>1.4</w:t>
      </w:r>
    </w:p>
    <w:p>
      <w:pPr>
        <w:spacing w:before="57"/>
        <w:ind w:left="0" w:right="0" w:firstLine="0"/>
        <w:jc w:val="right"/>
        <w:rPr>
          <w:rFonts w:ascii="Arial MT"/>
          <w:sz w:val="5"/>
        </w:rPr>
      </w:pPr>
      <w:r>
        <w:rPr>
          <w:rFonts w:ascii="Arial MT"/>
          <w:spacing w:val="-2"/>
          <w:w w:val="325"/>
          <w:sz w:val="5"/>
        </w:rPr>
        <w:t>-</w:t>
      </w:r>
      <w:r>
        <w:rPr>
          <w:rFonts w:ascii="Arial MT"/>
          <w:spacing w:val="-5"/>
          <w:w w:val="325"/>
          <w:sz w:val="5"/>
        </w:rPr>
        <w:t>1.6</w:t>
      </w:r>
    </w:p>
    <w:p>
      <w:pPr>
        <w:spacing w:line="240" w:lineRule="auto" w:before="3" w:after="24"/>
        <w:rPr>
          <w:rFonts w:ascii="Arial MT"/>
          <w:sz w:val="6"/>
        </w:rPr>
      </w:pPr>
      <w:r>
        <w:rPr/>
        <w:br w:type="column"/>
      </w:r>
      <w:r>
        <w:rPr>
          <w:rFonts w:ascii="Arial MT"/>
          <w:sz w:val="6"/>
        </w:rPr>
      </w:r>
    </w:p>
    <w:p>
      <w:pPr>
        <w:pStyle w:val="BodyText"/>
        <w:ind w:left="27"/>
        <w:rPr>
          <w:rFonts w:ascii="Arial MT"/>
          <w:sz w:val="20"/>
        </w:rPr>
      </w:pPr>
      <w:r>
        <w:rPr>
          <w:rFonts w:ascii="Arial MT"/>
          <w:sz w:val="20"/>
        </w:rPr>
        <mc:AlternateContent>
          <mc:Choice Requires="wps">
            <w:drawing>
              <wp:inline distT="0" distB="0" distL="0" distR="0">
                <wp:extent cx="2518410" cy="598805"/>
                <wp:effectExtent l="9525" t="0" r="0" b="10795"/>
                <wp:docPr id="26" name="Group 26"/>
                <wp:cNvGraphicFramePr>
                  <a:graphicFrameLocks/>
                </wp:cNvGraphicFramePr>
                <a:graphic>
                  <a:graphicData uri="http://schemas.microsoft.com/office/word/2010/wordprocessingGroup">
                    <wpg:wgp>
                      <wpg:cNvPr id="26" name="Group 26"/>
                      <wpg:cNvGrpSpPr/>
                      <wpg:grpSpPr>
                        <a:xfrm>
                          <a:off x="0" y="0"/>
                          <a:ext cx="2518410" cy="598805"/>
                          <a:chExt cx="2518410" cy="598805"/>
                        </a:xfrm>
                      </wpg:grpSpPr>
                      <wps:wsp>
                        <wps:cNvPr id="27" name="Graphic 27"/>
                        <wps:cNvSpPr/>
                        <wps:spPr>
                          <a:xfrm>
                            <a:off x="0" y="2092"/>
                            <a:ext cx="2516505" cy="596900"/>
                          </a:xfrm>
                          <a:custGeom>
                            <a:avLst/>
                            <a:gdLst/>
                            <a:ahLst/>
                            <a:cxnLst/>
                            <a:rect l="l" t="t" r="r" b="b"/>
                            <a:pathLst>
                              <a:path w="2516505" h="596900">
                                <a:moveTo>
                                  <a:pt x="0" y="582499"/>
                                </a:moveTo>
                                <a:lnTo>
                                  <a:pt x="36849" y="582499"/>
                                </a:lnTo>
                              </a:path>
                              <a:path w="2516505" h="596900">
                                <a:moveTo>
                                  <a:pt x="0" y="509680"/>
                                </a:moveTo>
                                <a:lnTo>
                                  <a:pt x="36849" y="509680"/>
                                </a:lnTo>
                              </a:path>
                              <a:path w="2516505" h="596900">
                                <a:moveTo>
                                  <a:pt x="0" y="436883"/>
                                </a:moveTo>
                                <a:lnTo>
                                  <a:pt x="36849" y="436883"/>
                                </a:lnTo>
                              </a:path>
                              <a:path w="2516505" h="596900">
                                <a:moveTo>
                                  <a:pt x="0" y="364063"/>
                                </a:moveTo>
                                <a:lnTo>
                                  <a:pt x="36849" y="364063"/>
                                </a:lnTo>
                              </a:path>
                              <a:path w="2516505" h="596900">
                                <a:moveTo>
                                  <a:pt x="0" y="291232"/>
                                </a:moveTo>
                                <a:lnTo>
                                  <a:pt x="36849" y="291232"/>
                                </a:lnTo>
                              </a:path>
                              <a:path w="2516505" h="596900">
                                <a:moveTo>
                                  <a:pt x="0" y="218447"/>
                                </a:moveTo>
                                <a:lnTo>
                                  <a:pt x="36849" y="218447"/>
                                </a:lnTo>
                              </a:path>
                              <a:path w="2516505" h="596900">
                                <a:moveTo>
                                  <a:pt x="0" y="145616"/>
                                </a:moveTo>
                                <a:lnTo>
                                  <a:pt x="36849" y="145616"/>
                                </a:lnTo>
                              </a:path>
                              <a:path w="2516505" h="596900">
                                <a:moveTo>
                                  <a:pt x="0" y="72796"/>
                                </a:moveTo>
                                <a:lnTo>
                                  <a:pt x="36849" y="72796"/>
                                </a:lnTo>
                              </a:path>
                              <a:path w="2516505" h="596900">
                                <a:moveTo>
                                  <a:pt x="0" y="1153"/>
                                </a:moveTo>
                                <a:lnTo>
                                  <a:pt x="36849" y="1153"/>
                                </a:lnTo>
                              </a:path>
                              <a:path w="2516505" h="596900">
                                <a:moveTo>
                                  <a:pt x="40533" y="583653"/>
                                </a:moveTo>
                                <a:lnTo>
                                  <a:pt x="40533" y="590576"/>
                                </a:lnTo>
                              </a:path>
                              <a:path w="2516505" h="596900">
                                <a:moveTo>
                                  <a:pt x="99594" y="583653"/>
                                </a:moveTo>
                                <a:lnTo>
                                  <a:pt x="99594" y="590576"/>
                                </a:lnTo>
                              </a:path>
                              <a:path w="2516505" h="596900">
                                <a:moveTo>
                                  <a:pt x="158652" y="583653"/>
                                </a:moveTo>
                                <a:lnTo>
                                  <a:pt x="158652" y="590576"/>
                                </a:lnTo>
                              </a:path>
                              <a:path w="2516505" h="596900">
                                <a:moveTo>
                                  <a:pt x="221356" y="583653"/>
                                </a:moveTo>
                                <a:lnTo>
                                  <a:pt x="221356" y="590576"/>
                                </a:lnTo>
                              </a:path>
                              <a:path w="2516505" h="596900">
                                <a:moveTo>
                                  <a:pt x="280414" y="583653"/>
                                </a:moveTo>
                                <a:lnTo>
                                  <a:pt x="280414" y="590576"/>
                                </a:lnTo>
                              </a:path>
                              <a:path w="2516505" h="596900">
                                <a:moveTo>
                                  <a:pt x="339361" y="583653"/>
                                </a:moveTo>
                                <a:lnTo>
                                  <a:pt x="339361" y="590576"/>
                                </a:lnTo>
                              </a:path>
                              <a:path w="2516505" h="596900">
                                <a:moveTo>
                                  <a:pt x="402102" y="583653"/>
                                </a:moveTo>
                                <a:lnTo>
                                  <a:pt x="402102" y="590576"/>
                                </a:lnTo>
                              </a:path>
                              <a:path w="2516505" h="596900">
                                <a:moveTo>
                                  <a:pt x="461160" y="583653"/>
                                </a:moveTo>
                                <a:lnTo>
                                  <a:pt x="461160" y="590576"/>
                                </a:lnTo>
                              </a:path>
                              <a:path w="2516505" h="596900">
                                <a:moveTo>
                                  <a:pt x="520217" y="583653"/>
                                </a:moveTo>
                                <a:lnTo>
                                  <a:pt x="520217" y="590576"/>
                                </a:lnTo>
                              </a:path>
                              <a:path w="2516505" h="596900">
                                <a:moveTo>
                                  <a:pt x="582959" y="583653"/>
                                </a:moveTo>
                                <a:lnTo>
                                  <a:pt x="582959" y="590576"/>
                                </a:lnTo>
                              </a:path>
                              <a:path w="2516505" h="596900">
                                <a:moveTo>
                                  <a:pt x="641905" y="583653"/>
                                </a:moveTo>
                                <a:lnTo>
                                  <a:pt x="641905" y="590576"/>
                                </a:lnTo>
                              </a:path>
                              <a:path w="2516505" h="596900">
                                <a:moveTo>
                                  <a:pt x="704647" y="583653"/>
                                </a:moveTo>
                                <a:lnTo>
                                  <a:pt x="704647" y="590576"/>
                                </a:lnTo>
                              </a:path>
                              <a:path w="2516505" h="596900">
                                <a:moveTo>
                                  <a:pt x="763704" y="583653"/>
                                </a:moveTo>
                                <a:lnTo>
                                  <a:pt x="763704" y="590576"/>
                                </a:lnTo>
                              </a:path>
                              <a:path w="2516505" h="596900">
                                <a:moveTo>
                                  <a:pt x="822725" y="583653"/>
                                </a:moveTo>
                                <a:lnTo>
                                  <a:pt x="822725" y="590576"/>
                                </a:lnTo>
                              </a:path>
                              <a:path w="2516505" h="596900">
                                <a:moveTo>
                                  <a:pt x="885467" y="583653"/>
                                </a:moveTo>
                                <a:lnTo>
                                  <a:pt x="885467" y="590576"/>
                                </a:lnTo>
                              </a:path>
                              <a:path w="2516505" h="596900">
                                <a:moveTo>
                                  <a:pt x="944450" y="583653"/>
                                </a:moveTo>
                                <a:lnTo>
                                  <a:pt x="944450" y="590576"/>
                                </a:lnTo>
                              </a:path>
                              <a:path w="2516505" h="596900">
                                <a:moveTo>
                                  <a:pt x="1003471" y="583653"/>
                                </a:moveTo>
                                <a:lnTo>
                                  <a:pt x="1003471" y="590576"/>
                                </a:lnTo>
                              </a:path>
                              <a:path w="2516505" h="596900">
                                <a:moveTo>
                                  <a:pt x="1066212" y="583653"/>
                                </a:moveTo>
                                <a:lnTo>
                                  <a:pt x="1066212" y="590576"/>
                                </a:lnTo>
                              </a:path>
                              <a:path w="2516505" h="596900">
                                <a:moveTo>
                                  <a:pt x="1125270" y="583653"/>
                                </a:moveTo>
                                <a:lnTo>
                                  <a:pt x="1125270" y="590576"/>
                                </a:lnTo>
                              </a:path>
                              <a:path w="2516505" h="596900">
                                <a:moveTo>
                                  <a:pt x="1184327" y="583653"/>
                                </a:moveTo>
                                <a:lnTo>
                                  <a:pt x="1184327" y="590576"/>
                                </a:lnTo>
                              </a:path>
                              <a:path w="2516505" h="596900">
                                <a:moveTo>
                                  <a:pt x="1246958" y="583653"/>
                                </a:moveTo>
                                <a:lnTo>
                                  <a:pt x="1246958" y="590576"/>
                                </a:lnTo>
                              </a:path>
                              <a:path w="2516505" h="596900">
                                <a:moveTo>
                                  <a:pt x="1306016" y="583653"/>
                                </a:moveTo>
                                <a:lnTo>
                                  <a:pt x="1306016" y="590576"/>
                                </a:lnTo>
                              </a:path>
                              <a:path w="2516505" h="596900">
                                <a:moveTo>
                                  <a:pt x="1368757" y="583653"/>
                                </a:moveTo>
                                <a:lnTo>
                                  <a:pt x="1368757" y="590576"/>
                                </a:lnTo>
                              </a:path>
                              <a:path w="2516505" h="596900">
                                <a:moveTo>
                                  <a:pt x="1427815" y="583653"/>
                                </a:moveTo>
                                <a:lnTo>
                                  <a:pt x="1427815" y="590576"/>
                                </a:lnTo>
                              </a:path>
                              <a:path w="2516505" h="596900">
                                <a:moveTo>
                                  <a:pt x="1486835" y="583653"/>
                                </a:moveTo>
                                <a:lnTo>
                                  <a:pt x="1486835" y="590576"/>
                                </a:lnTo>
                              </a:path>
                              <a:path w="2516505" h="596900">
                                <a:moveTo>
                                  <a:pt x="1549503" y="583653"/>
                                </a:moveTo>
                                <a:lnTo>
                                  <a:pt x="1549503" y="590576"/>
                                </a:lnTo>
                              </a:path>
                              <a:path w="2516505" h="596900">
                                <a:moveTo>
                                  <a:pt x="1608524" y="583653"/>
                                </a:moveTo>
                                <a:lnTo>
                                  <a:pt x="1608524" y="590576"/>
                                </a:lnTo>
                              </a:path>
                              <a:path w="2516505" h="596900">
                                <a:moveTo>
                                  <a:pt x="1667581" y="583653"/>
                                </a:moveTo>
                                <a:lnTo>
                                  <a:pt x="1667581" y="590576"/>
                                </a:lnTo>
                              </a:path>
                              <a:path w="2516505" h="596900">
                                <a:moveTo>
                                  <a:pt x="1730323" y="583653"/>
                                </a:moveTo>
                                <a:lnTo>
                                  <a:pt x="1730323" y="590576"/>
                                </a:lnTo>
                              </a:path>
                              <a:path w="2516505" h="596900">
                                <a:moveTo>
                                  <a:pt x="1789380" y="583653"/>
                                </a:moveTo>
                                <a:lnTo>
                                  <a:pt x="1789380" y="590576"/>
                                </a:lnTo>
                              </a:path>
                              <a:path w="2516505" h="596900">
                                <a:moveTo>
                                  <a:pt x="1848327" y="583653"/>
                                </a:moveTo>
                                <a:lnTo>
                                  <a:pt x="1848327" y="590576"/>
                                </a:lnTo>
                              </a:path>
                              <a:path w="2516505" h="596900">
                                <a:moveTo>
                                  <a:pt x="1911068" y="583653"/>
                                </a:moveTo>
                                <a:lnTo>
                                  <a:pt x="1911068" y="590576"/>
                                </a:lnTo>
                              </a:path>
                              <a:path w="2516505" h="596900">
                                <a:moveTo>
                                  <a:pt x="1970126" y="583653"/>
                                </a:moveTo>
                                <a:lnTo>
                                  <a:pt x="1970126" y="590576"/>
                                </a:lnTo>
                              </a:path>
                              <a:path w="2516505" h="596900">
                                <a:moveTo>
                                  <a:pt x="2032867" y="583653"/>
                                </a:moveTo>
                                <a:lnTo>
                                  <a:pt x="2032867" y="590576"/>
                                </a:lnTo>
                              </a:path>
                              <a:path w="2516505" h="596900">
                                <a:moveTo>
                                  <a:pt x="2091888" y="583653"/>
                                </a:moveTo>
                                <a:lnTo>
                                  <a:pt x="2091888" y="590576"/>
                                </a:lnTo>
                              </a:path>
                              <a:path w="2516505" h="596900">
                                <a:moveTo>
                                  <a:pt x="2150872" y="583653"/>
                                </a:moveTo>
                                <a:lnTo>
                                  <a:pt x="2150872" y="590576"/>
                                </a:lnTo>
                              </a:path>
                              <a:path w="2516505" h="596900">
                                <a:moveTo>
                                  <a:pt x="2213613" y="583653"/>
                                </a:moveTo>
                                <a:lnTo>
                                  <a:pt x="2213613" y="590576"/>
                                </a:lnTo>
                              </a:path>
                              <a:path w="2516505" h="596900">
                                <a:moveTo>
                                  <a:pt x="2272634" y="583653"/>
                                </a:moveTo>
                                <a:lnTo>
                                  <a:pt x="2272634" y="590576"/>
                                </a:lnTo>
                              </a:path>
                              <a:path w="2516505" h="596900">
                                <a:moveTo>
                                  <a:pt x="2331691" y="583653"/>
                                </a:moveTo>
                                <a:lnTo>
                                  <a:pt x="2331691" y="590576"/>
                                </a:lnTo>
                              </a:path>
                              <a:path w="2516505" h="596900">
                                <a:moveTo>
                                  <a:pt x="2394433" y="583653"/>
                                </a:moveTo>
                                <a:lnTo>
                                  <a:pt x="2394433" y="590576"/>
                                </a:lnTo>
                              </a:path>
                              <a:path w="2516505" h="596900">
                                <a:moveTo>
                                  <a:pt x="2453380" y="583653"/>
                                </a:moveTo>
                                <a:lnTo>
                                  <a:pt x="2453380" y="590576"/>
                                </a:lnTo>
                              </a:path>
                              <a:path w="2516505" h="596900">
                                <a:moveTo>
                                  <a:pt x="2512437" y="583653"/>
                                </a:moveTo>
                                <a:lnTo>
                                  <a:pt x="2512437" y="590576"/>
                                </a:lnTo>
                              </a:path>
                              <a:path w="2516505" h="596900">
                                <a:moveTo>
                                  <a:pt x="40533" y="583653"/>
                                </a:moveTo>
                                <a:lnTo>
                                  <a:pt x="40533" y="596380"/>
                                </a:lnTo>
                              </a:path>
                              <a:path w="2516505" h="596900">
                                <a:moveTo>
                                  <a:pt x="339361" y="583653"/>
                                </a:moveTo>
                                <a:lnTo>
                                  <a:pt x="339361" y="596380"/>
                                </a:lnTo>
                              </a:path>
                              <a:path w="2516505" h="596900">
                                <a:moveTo>
                                  <a:pt x="641905" y="583653"/>
                                </a:moveTo>
                                <a:lnTo>
                                  <a:pt x="641905" y="596380"/>
                                </a:lnTo>
                              </a:path>
                              <a:path w="2516505" h="596900">
                                <a:moveTo>
                                  <a:pt x="944450" y="583653"/>
                                </a:moveTo>
                                <a:lnTo>
                                  <a:pt x="944450" y="596380"/>
                                </a:lnTo>
                              </a:path>
                              <a:path w="2516505" h="596900">
                                <a:moveTo>
                                  <a:pt x="1246958" y="583653"/>
                                </a:moveTo>
                                <a:lnTo>
                                  <a:pt x="1246958" y="596380"/>
                                </a:lnTo>
                              </a:path>
                              <a:path w="2516505" h="596900">
                                <a:moveTo>
                                  <a:pt x="1549503" y="583653"/>
                                </a:moveTo>
                                <a:lnTo>
                                  <a:pt x="1549503" y="596380"/>
                                </a:lnTo>
                              </a:path>
                              <a:path w="2516505" h="596900">
                                <a:moveTo>
                                  <a:pt x="1848327" y="583653"/>
                                </a:moveTo>
                                <a:lnTo>
                                  <a:pt x="1848327" y="596380"/>
                                </a:lnTo>
                              </a:path>
                              <a:path w="2516505" h="596900">
                                <a:moveTo>
                                  <a:pt x="2150872" y="583653"/>
                                </a:moveTo>
                                <a:lnTo>
                                  <a:pt x="2150872" y="596380"/>
                                </a:lnTo>
                              </a:path>
                              <a:path w="2516505" h="596900">
                                <a:moveTo>
                                  <a:pt x="2453380" y="583653"/>
                                </a:moveTo>
                                <a:lnTo>
                                  <a:pt x="2453380" y="596380"/>
                                </a:lnTo>
                              </a:path>
                              <a:path w="2516505" h="596900">
                                <a:moveTo>
                                  <a:pt x="40533" y="414902"/>
                                </a:moveTo>
                                <a:lnTo>
                                  <a:pt x="99594" y="372140"/>
                                </a:lnTo>
                                <a:lnTo>
                                  <a:pt x="158651" y="392944"/>
                                </a:lnTo>
                                <a:lnTo>
                                  <a:pt x="221356" y="414902"/>
                                </a:lnTo>
                                <a:lnTo>
                                  <a:pt x="280414" y="324763"/>
                                </a:lnTo>
                                <a:lnTo>
                                  <a:pt x="339360" y="315498"/>
                                </a:lnTo>
                                <a:lnTo>
                                  <a:pt x="402102" y="291232"/>
                                </a:lnTo>
                                <a:lnTo>
                                  <a:pt x="461159" y="275055"/>
                                </a:lnTo>
                                <a:lnTo>
                                  <a:pt x="520217" y="324763"/>
                                </a:lnTo>
                                <a:lnTo>
                                  <a:pt x="582958" y="299344"/>
                                </a:lnTo>
                                <a:lnTo>
                                  <a:pt x="641905" y="251943"/>
                                </a:lnTo>
                                <a:lnTo>
                                  <a:pt x="700963" y="251943"/>
                                </a:lnTo>
                                <a:lnTo>
                                  <a:pt x="763704" y="343259"/>
                                </a:lnTo>
                                <a:lnTo>
                                  <a:pt x="822725" y="426464"/>
                                </a:lnTo>
                                <a:lnTo>
                                  <a:pt x="881782" y="476149"/>
                                </a:lnTo>
                                <a:lnTo>
                                  <a:pt x="944450" y="463456"/>
                                </a:lnTo>
                                <a:lnTo>
                                  <a:pt x="1003471" y="551288"/>
                                </a:lnTo>
                                <a:lnTo>
                                  <a:pt x="1062528" y="291232"/>
                                </a:lnTo>
                                <a:lnTo>
                                  <a:pt x="1125270" y="361756"/>
                                </a:lnTo>
                                <a:lnTo>
                                  <a:pt x="1184327" y="324763"/>
                                </a:lnTo>
                                <a:lnTo>
                                  <a:pt x="1243274" y="198797"/>
                                </a:lnTo>
                                <a:lnTo>
                                  <a:pt x="1306015" y="141000"/>
                                </a:lnTo>
                                <a:lnTo>
                                  <a:pt x="1365073" y="157189"/>
                                </a:lnTo>
                                <a:lnTo>
                                  <a:pt x="1424130" y="476149"/>
                                </a:lnTo>
                                <a:lnTo>
                                  <a:pt x="1486835" y="567476"/>
                                </a:lnTo>
                                <a:lnTo>
                                  <a:pt x="1545819" y="47377"/>
                                </a:lnTo>
                                <a:lnTo>
                                  <a:pt x="1604839" y="135208"/>
                                </a:lnTo>
                                <a:lnTo>
                                  <a:pt x="1667581" y="382560"/>
                                </a:lnTo>
                                <a:lnTo>
                                  <a:pt x="1726638" y="191839"/>
                                </a:lnTo>
                                <a:lnTo>
                                  <a:pt x="1785696" y="162958"/>
                                </a:lnTo>
                                <a:lnTo>
                                  <a:pt x="1848327" y="157189"/>
                                </a:lnTo>
                                <a:lnTo>
                                  <a:pt x="1907384" y="135208"/>
                                </a:lnTo>
                                <a:lnTo>
                                  <a:pt x="1966442" y="186070"/>
                                </a:lnTo>
                                <a:lnTo>
                                  <a:pt x="2029183" y="109789"/>
                                </a:lnTo>
                                <a:lnTo>
                                  <a:pt x="2088204" y="198797"/>
                                </a:lnTo>
                                <a:lnTo>
                                  <a:pt x="2147187" y="130593"/>
                                </a:lnTo>
                                <a:lnTo>
                                  <a:pt x="2209929" y="245020"/>
                                </a:lnTo>
                                <a:lnTo>
                                  <a:pt x="2268949" y="130593"/>
                                </a:lnTo>
                                <a:lnTo>
                                  <a:pt x="2328007" y="162958"/>
                                </a:lnTo>
                                <a:lnTo>
                                  <a:pt x="2390748" y="174497"/>
                                </a:lnTo>
                                <a:lnTo>
                                  <a:pt x="2449695" y="238086"/>
                                </a:lnTo>
                                <a:lnTo>
                                  <a:pt x="2512437" y="157189"/>
                                </a:lnTo>
                              </a:path>
                              <a:path w="2516505" h="596900">
                                <a:moveTo>
                                  <a:pt x="36849" y="0"/>
                                </a:moveTo>
                                <a:lnTo>
                                  <a:pt x="36849" y="583653"/>
                                </a:lnTo>
                                <a:lnTo>
                                  <a:pt x="2516121" y="583653"/>
                                </a:lnTo>
                                <a:lnTo>
                                  <a:pt x="2516121" y="0"/>
                                </a:lnTo>
                                <a:lnTo>
                                  <a:pt x="36849" y="0"/>
                                </a:lnTo>
                              </a:path>
                            </a:pathLst>
                          </a:custGeom>
                          <a:ln w="489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98.3pt;height:47.15pt;mso-position-horizontal-relative:char;mso-position-vertical-relative:line" id="docshapegroup24" coordorigin="0,0" coordsize="3966,943">
                <v:shape style="position:absolute;left:0;top:3;width:3963;height:940" id="docshape25" coordorigin="0,3" coordsize="3963,940" path="m0,921l58,921m0,806l58,806m0,691l58,691m0,577l58,577m0,462l58,462m0,347l58,347m0,233l58,233m0,118l58,118m0,5l58,5m64,922l64,933m157,922l157,933m250,922l250,933m349,922l349,933m442,922l442,933m534,922l534,933m633,922l633,933m726,922l726,933m819,922l819,933m918,922l918,933m1011,922l1011,933m1110,922l1110,933m1203,922l1203,933m1296,922l1296,933m1394,922l1394,933m1487,922l1487,933m1580,922l1580,933m1679,922l1679,933m1772,922l1772,933m1865,922l1865,933m1964,922l1964,933m2057,922l2057,933m2156,922l2156,933m2249,922l2249,933m2341,922l2341,933m2440,922l2440,933m2533,922l2533,933m2626,922l2626,933m2725,922l2725,933m2818,922l2818,933m2911,922l2911,933m3010,922l3010,933m3103,922l3103,933m3201,922l3201,933m3294,922l3294,933m3387,922l3387,933m3486,922l3486,933m3579,922l3579,933m3672,922l3672,933m3771,922l3771,933m3864,922l3864,933m3957,922l3957,933m64,922l64,942m534,922l534,942m1011,922l1011,942m1487,922l1487,942m1964,922l1964,942m2440,922l2440,942m2911,922l2911,942m3387,922l3387,942m3864,922l3864,942m64,657l157,589,250,622,349,657,442,515,534,500,633,462,726,436,819,515,918,475,1011,400,1104,400,1203,544,1296,675,1389,753,1487,733,1580,871,1673,462,1772,573,1865,515,1958,316,2057,225,2150,251,2243,753,2341,897,2434,78,2527,216,2626,606,2719,305,2812,260,2911,251,3004,216,3097,296,3196,176,3289,316,3381,209,3480,389,3573,209,3666,260,3765,278,3858,378,3957,251m58,3l58,922,3962,922,3962,3,58,3e" filled="false" stroked="true" strokeweight=".385671pt" strokecolor="#000000">
                  <v:path arrowok="t"/>
                  <v:stroke dashstyle="solid"/>
                </v:shape>
              </v:group>
            </w:pict>
          </mc:Fallback>
        </mc:AlternateContent>
      </w:r>
      <w:r>
        <w:rPr>
          <w:rFonts w:ascii="Arial MT"/>
          <w:sz w:val="20"/>
        </w:rPr>
      </w:r>
    </w:p>
    <w:p>
      <w:pPr>
        <w:tabs>
          <w:tab w:pos="470" w:val="left" w:leader="none"/>
          <w:tab w:pos="946" w:val="left" w:leader="none"/>
          <w:tab w:pos="1423" w:val="left" w:leader="none"/>
          <w:tab w:pos="1899" w:val="left" w:leader="none"/>
          <w:tab w:pos="2376" w:val="left" w:leader="none"/>
          <w:tab w:pos="2846" w:val="left" w:leader="none"/>
          <w:tab w:pos="3323" w:val="left" w:leader="none"/>
          <w:tab w:pos="3799" w:val="left" w:leader="none"/>
        </w:tabs>
        <w:spacing w:before="0"/>
        <w:ind w:left="0" w:right="0" w:firstLine="0"/>
        <w:jc w:val="left"/>
        <w:rPr>
          <w:rFonts w:ascii="Arial MT"/>
          <w:sz w:val="5"/>
        </w:rPr>
      </w:pPr>
      <w:r>
        <w:rPr>
          <w:rFonts w:ascii="Arial MT"/>
          <w:spacing w:val="-5"/>
          <w:w w:val="325"/>
          <w:sz w:val="5"/>
        </w:rPr>
        <w:t>70</w:t>
      </w:r>
      <w:r>
        <w:rPr>
          <w:rFonts w:ascii="Arial MT"/>
          <w:sz w:val="5"/>
        </w:rPr>
        <w:tab/>
      </w:r>
      <w:r>
        <w:rPr>
          <w:rFonts w:ascii="Arial MT"/>
          <w:spacing w:val="-5"/>
          <w:w w:val="325"/>
          <w:sz w:val="5"/>
        </w:rPr>
        <w:t>75</w:t>
      </w:r>
      <w:r>
        <w:rPr>
          <w:rFonts w:ascii="Arial MT"/>
          <w:sz w:val="5"/>
        </w:rPr>
        <w:tab/>
      </w:r>
      <w:r>
        <w:rPr>
          <w:rFonts w:ascii="Arial MT"/>
          <w:spacing w:val="-5"/>
          <w:w w:val="325"/>
          <w:sz w:val="5"/>
        </w:rPr>
        <w:t>80</w:t>
      </w:r>
      <w:r>
        <w:rPr>
          <w:rFonts w:ascii="Arial MT"/>
          <w:sz w:val="5"/>
        </w:rPr>
        <w:tab/>
      </w:r>
      <w:r>
        <w:rPr>
          <w:rFonts w:ascii="Arial MT"/>
          <w:spacing w:val="-5"/>
          <w:w w:val="325"/>
          <w:sz w:val="5"/>
        </w:rPr>
        <w:t>85</w:t>
      </w:r>
      <w:r>
        <w:rPr>
          <w:rFonts w:ascii="Arial MT"/>
          <w:sz w:val="5"/>
        </w:rPr>
        <w:tab/>
      </w:r>
      <w:r>
        <w:rPr>
          <w:rFonts w:ascii="Arial MT"/>
          <w:spacing w:val="-5"/>
          <w:w w:val="325"/>
          <w:sz w:val="5"/>
        </w:rPr>
        <w:t>90</w:t>
      </w:r>
      <w:r>
        <w:rPr>
          <w:rFonts w:ascii="Arial MT"/>
          <w:sz w:val="5"/>
        </w:rPr>
        <w:tab/>
      </w:r>
      <w:r>
        <w:rPr>
          <w:rFonts w:ascii="Arial MT"/>
          <w:spacing w:val="-5"/>
          <w:w w:val="325"/>
          <w:sz w:val="5"/>
        </w:rPr>
        <w:t>95</w:t>
      </w:r>
      <w:r>
        <w:rPr>
          <w:rFonts w:ascii="Arial MT"/>
          <w:sz w:val="5"/>
        </w:rPr>
        <w:tab/>
      </w:r>
      <w:r>
        <w:rPr>
          <w:rFonts w:ascii="Arial MT"/>
          <w:spacing w:val="-5"/>
          <w:w w:val="325"/>
          <w:sz w:val="5"/>
        </w:rPr>
        <w:t>00</w:t>
      </w:r>
      <w:r>
        <w:rPr>
          <w:rFonts w:ascii="Arial MT"/>
          <w:sz w:val="5"/>
        </w:rPr>
        <w:tab/>
      </w:r>
      <w:r>
        <w:rPr>
          <w:rFonts w:ascii="Arial MT"/>
          <w:spacing w:val="-5"/>
          <w:w w:val="325"/>
          <w:sz w:val="5"/>
        </w:rPr>
        <w:t>05</w:t>
      </w:r>
      <w:r>
        <w:rPr>
          <w:rFonts w:ascii="Arial MT"/>
          <w:sz w:val="5"/>
        </w:rPr>
        <w:tab/>
      </w:r>
      <w:r>
        <w:rPr>
          <w:rFonts w:ascii="Arial MT"/>
          <w:spacing w:val="-5"/>
          <w:w w:val="325"/>
          <w:sz w:val="5"/>
        </w:rPr>
        <w:t>10</w:t>
      </w:r>
    </w:p>
    <w:p>
      <w:pPr>
        <w:tabs>
          <w:tab w:pos="2024" w:val="left" w:leader="none"/>
        </w:tabs>
        <w:spacing w:before="22"/>
        <w:ind w:left="1702" w:right="0" w:firstLine="0"/>
        <w:jc w:val="left"/>
        <w:rPr>
          <w:rFonts w:ascii="Arial MT"/>
          <w:sz w:val="5"/>
        </w:rPr>
      </w:pPr>
      <w:r>
        <w:rPr/>
        <mc:AlternateContent>
          <mc:Choice Requires="wps">
            <w:drawing>
              <wp:anchor distT="0" distB="0" distL="0" distR="0" allowOverlap="1" layoutInCell="1" locked="0" behindDoc="1" simplePos="0" relativeHeight="464155136">
                <wp:simplePos x="0" y="0"/>
                <wp:positionH relativeFrom="page">
                  <wp:posOffset>4639257</wp:posOffset>
                </wp:positionH>
                <wp:positionV relativeFrom="paragraph">
                  <wp:posOffset>4818</wp:posOffset>
                </wp:positionV>
                <wp:extent cx="524510" cy="53340"/>
                <wp:effectExtent l="0" t="0" r="0" b="0"/>
                <wp:wrapNone/>
                <wp:docPr id="28" name="Graphic 28"/>
                <wp:cNvGraphicFramePr>
                  <a:graphicFrameLocks/>
                </wp:cNvGraphicFramePr>
                <a:graphic>
                  <a:graphicData uri="http://schemas.microsoft.com/office/word/2010/wordprocessingShape">
                    <wps:wsp>
                      <wps:cNvPr id="28" name="Graphic 28"/>
                      <wps:cNvSpPr/>
                      <wps:spPr>
                        <a:xfrm>
                          <a:off x="0" y="0"/>
                          <a:ext cx="524510" cy="53340"/>
                        </a:xfrm>
                        <a:custGeom>
                          <a:avLst/>
                          <a:gdLst/>
                          <a:ahLst/>
                          <a:cxnLst/>
                          <a:rect l="l" t="t" r="r" b="b"/>
                          <a:pathLst>
                            <a:path w="524510" h="53340">
                              <a:moveTo>
                                <a:pt x="0" y="53174"/>
                              </a:moveTo>
                              <a:lnTo>
                                <a:pt x="523890" y="53174"/>
                              </a:lnTo>
                              <a:lnTo>
                                <a:pt x="523890" y="0"/>
                              </a:lnTo>
                              <a:lnTo>
                                <a:pt x="0" y="0"/>
                              </a:lnTo>
                              <a:lnTo>
                                <a:pt x="0" y="53174"/>
                              </a:lnTo>
                              <a:close/>
                            </a:path>
                          </a:pathLst>
                        </a:custGeom>
                        <a:ln w="2388">
                          <a:solidFill>
                            <a:srgbClr val="000000"/>
                          </a:solidFill>
                          <a:prstDash val="solid"/>
                        </a:ln>
                      </wps:spPr>
                      <wps:bodyPr wrap="square" lIns="0" tIns="0" rIns="0" bIns="0" rtlCol="0">
                        <a:prstTxWarp prst="textNoShape">
                          <a:avLst/>
                        </a:prstTxWarp>
                        <a:noAutofit/>
                      </wps:bodyPr>
                    </wps:wsp>
                  </a:graphicData>
                </a:graphic>
              </wp:anchor>
            </w:drawing>
          </mc:Choice>
          <mc:Fallback>
            <w:pict>
              <v:rect style="position:absolute;margin-left:365.295868pt;margin-top:.379395pt;width:41.25121pt;height:4.186946pt;mso-position-horizontal-relative:page;mso-position-vertical-relative:paragraph;z-index:-39161344" id="docshape26" filled="false" stroked="true" strokeweight=".188076pt" strokecolor="#000000">
                <v:stroke dashstyle="solid"/>
                <w10:wrap type="none"/>
              </v:rect>
            </w:pict>
          </mc:Fallback>
        </mc:AlternateContent>
      </w:r>
      <w:r>
        <w:rPr>
          <w:rFonts w:ascii="Arial MT"/>
          <w:sz w:val="5"/>
          <w:u w:val="single"/>
        </w:rPr>
        <w:tab/>
      </w:r>
      <w:r>
        <w:rPr>
          <w:rFonts w:ascii="Arial MT"/>
          <w:spacing w:val="-1"/>
          <w:sz w:val="5"/>
        </w:rPr>
        <w:t> </w:t>
      </w:r>
      <w:r>
        <w:rPr>
          <w:rFonts w:ascii="Arial MT"/>
          <w:w w:val="325"/>
          <w:sz w:val="5"/>
        </w:rPr>
        <w:t>DOP</w:t>
      </w:r>
    </w:p>
    <w:p>
      <w:pPr>
        <w:spacing w:after="0"/>
        <w:jc w:val="left"/>
        <w:rPr>
          <w:rFonts w:ascii="Arial MT"/>
          <w:sz w:val="5"/>
        </w:rPr>
        <w:sectPr>
          <w:type w:val="continuous"/>
          <w:pgSz w:w="11910" w:h="16840"/>
          <w:pgMar w:header="0" w:footer="979" w:top="1340" w:bottom="1220" w:left="280" w:right="0"/>
          <w:cols w:num="3" w:equalWidth="0">
            <w:col w:w="4514" w:space="40"/>
            <w:col w:w="837" w:space="8"/>
            <w:col w:w="6231"/>
          </w:cols>
        </w:sectPr>
      </w:pPr>
    </w:p>
    <w:p>
      <w:pPr>
        <w:pStyle w:val="Heading6"/>
        <w:tabs>
          <w:tab w:pos="5764" w:val="left" w:leader="none"/>
        </w:tabs>
        <w:spacing w:before="83"/>
        <w:ind w:left="1431"/>
        <w:jc w:val="left"/>
      </w:pPr>
      <w:r>
        <w:rPr>
          <w:spacing w:val="-5"/>
        </w:rPr>
        <w:t>INF</w:t>
      </w:r>
      <w:r>
        <w:rPr/>
        <w:tab/>
      </w:r>
      <w:r>
        <w:rPr>
          <w:b w:val="0"/>
          <w:spacing w:val="-2"/>
          <w:sz w:val="28"/>
        </w:rPr>
        <w:t>δ</w:t>
      </w:r>
      <w:r>
        <w:rPr>
          <w:spacing w:val="-2"/>
        </w:rPr>
        <w:t>EXDEBT</w:t>
      </w:r>
    </w:p>
    <w:p>
      <w:pPr>
        <w:spacing w:after="0"/>
        <w:jc w:val="left"/>
        <w:sectPr>
          <w:type w:val="continuous"/>
          <w:pgSz w:w="11910" w:h="16840"/>
          <w:pgMar w:header="0" w:footer="979" w:top="1340" w:bottom="1220" w:left="280" w:right="0"/>
        </w:sectPr>
      </w:pPr>
    </w:p>
    <w:p>
      <w:pPr>
        <w:pStyle w:val="BodyText"/>
        <w:spacing w:before="26"/>
        <w:rPr>
          <w:b/>
          <w:sz w:val="5"/>
        </w:rPr>
      </w:pPr>
    </w:p>
    <w:p>
      <w:pPr>
        <w:tabs>
          <w:tab w:pos="5038" w:val="left" w:leader="none"/>
        </w:tabs>
        <w:spacing w:before="0"/>
        <w:ind w:left="908" w:right="0" w:firstLine="0"/>
        <w:jc w:val="left"/>
        <w:rPr>
          <w:rFonts w:ascii="Arial MT"/>
          <w:sz w:val="6"/>
        </w:rPr>
      </w:pPr>
      <w:r>
        <w:rPr/>
        <mc:AlternateContent>
          <mc:Choice Requires="wps">
            <w:drawing>
              <wp:anchor distT="0" distB="0" distL="0" distR="0" allowOverlap="1" layoutInCell="1" locked="0" behindDoc="0" simplePos="0" relativeHeight="15735296">
                <wp:simplePos x="0" y="0"/>
                <wp:positionH relativeFrom="page">
                  <wp:posOffset>3507713</wp:posOffset>
                </wp:positionH>
                <wp:positionV relativeFrom="paragraph">
                  <wp:posOffset>40961</wp:posOffset>
                </wp:positionV>
                <wp:extent cx="2338070" cy="752475"/>
                <wp:effectExtent l="0" t="0" r="0" b="0"/>
                <wp:wrapNone/>
                <wp:docPr id="29" name="Graphic 29"/>
                <wp:cNvGraphicFramePr>
                  <a:graphicFrameLocks/>
                </wp:cNvGraphicFramePr>
                <a:graphic>
                  <a:graphicData uri="http://schemas.microsoft.com/office/word/2010/wordprocessingShape">
                    <wps:wsp>
                      <wps:cNvPr id="29" name="Graphic 29"/>
                      <wps:cNvSpPr/>
                      <wps:spPr>
                        <a:xfrm>
                          <a:off x="0" y="0"/>
                          <a:ext cx="2338070" cy="752475"/>
                        </a:xfrm>
                        <a:custGeom>
                          <a:avLst/>
                          <a:gdLst/>
                          <a:ahLst/>
                          <a:cxnLst/>
                          <a:rect l="l" t="t" r="r" b="b"/>
                          <a:pathLst>
                            <a:path w="2338070" h="752475">
                              <a:moveTo>
                                <a:pt x="0" y="734934"/>
                              </a:moveTo>
                              <a:lnTo>
                                <a:pt x="34319" y="734934"/>
                              </a:lnTo>
                            </a:path>
                            <a:path w="2338070" h="752475">
                              <a:moveTo>
                                <a:pt x="0" y="587358"/>
                              </a:moveTo>
                              <a:lnTo>
                                <a:pt x="34319" y="587358"/>
                              </a:lnTo>
                            </a:path>
                            <a:path w="2338070" h="752475">
                              <a:moveTo>
                                <a:pt x="0" y="441240"/>
                              </a:moveTo>
                              <a:lnTo>
                                <a:pt x="34319" y="441240"/>
                              </a:lnTo>
                            </a:path>
                            <a:path w="2338070" h="752475">
                              <a:moveTo>
                                <a:pt x="0" y="293664"/>
                              </a:moveTo>
                              <a:lnTo>
                                <a:pt x="34319" y="293664"/>
                              </a:lnTo>
                            </a:path>
                            <a:path w="2338070" h="752475">
                              <a:moveTo>
                                <a:pt x="0" y="147576"/>
                              </a:moveTo>
                              <a:lnTo>
                                <a:pt x="34319" y="147576"/>
                              </a:lnTo>
                            </a:path>
                            <a:path w="2338070" h="752475">
                              <a:moveTo>
                                <a:pt x="0" y="1458"/>
                              </a:moveTo>
                              <a:lnTo>
                                <a:pt x="34319" y="1458"/>
                              </a:lnTo>
                            </a:path>
                            <a:path w="2338070" h="752475">
                              <a:moveTo>
                                <a:pt x="37742" y="736392"/>
                              </a:moveTo>
                              <a:lnTo>
                                <a:pt x="37742" y="745145"/>
                              </a:lnTo>
                            </a:path>
                            <a:path w="2338070" h="752475">
                              <a:moveTo>
                                <a:pt x="92588" y="736392"/>
                              </a:moveTo>
                              <a:lnTo>
                                <a:pt x="92588" y="745145"/>
                              </a:lnTo>
                            </a:path>
                            <a:path w="2338070" h="752475">
                              <a:moveTo>
                                <a:pt x="147386" y="736392"/>
                              </a:moveTo>
                              <a:lnTo>
                                <a:pt x="147386" y="745145"/>
                              </a:lnTo>
                            </a:path>
                            <a:path w="2338070" h="752475">
                              <a:moveTo>
                                <a:pt x="205675" y="736392"/>
                              </a:moveTo>
                              <a:lnTo>
                                <a:pt x="205675" y="745145"/>
                              </a:lnTo>
                            </a:path>
                            <a:path w="2338070" h="752475">
                              <a:moveTo>
                                <a:pt x="260507" y="736392"/>
                              </a:moveTo>
                              <a:lnTo>
                                <a:pt x="260507" y="745145"/>
                              </a:lnTo>
                            </a:path>
                            <a:path w="2338070" h="752475">
                              <a:moveTo>
                                <a:pt x="315374" y="736392"/>
                              </a:moveTo>
                              <a:lnTo>
                                <a:pt x="315374" y="745145"/>
                              </a:lnTo>
                            </a:path>
                            <a:path w="2338070" h="752475">
                              <a:moveTo>
                                <a:pt x="373663" y="736392"/>
                              </a:moveTo>
                              <a:lnTo>
                                <a:pt x="373663" y="745145"/>
                              </a:lnTo>
                            </a:path>
                            <a:path w="2338070" h="752475">
                              <a:moveTo>
                                <a:pt x="428529" y="736392"/>
                              </a:moveTo>
                              <a:lnTo>
                                <a:pt x="428529" y="745145"/>
                              </a:lnTo>
                            </a:path>
                            <a:path w="2338070" h="752475">
                              <a:moveTo>
                                <a:pt x="483293" y="736392"/>
                              </a:moveTo>
                              <a:lnTo>
                                <a:pt x="483293" y="745145"/>
                              </a:lnTo>
                            </a:path>
                            <a:path w="2338070" h="752475">
                              <a:moveTo>
                                <a:pt x="541582" y="736392"/>
                              </a:moveTo>
                              <a:lnTo>
                                <a:pt x="541582" y="745145"/>
                              </a:lnTo>
                            </a:path>
                            <a:path w="2338070" h="752475">
                              <a:moveTo>
                                <a:pt x="596448" y="736392"/>
                              </a:moveTo>
                              <a:lnTo>
                                <a:pt x="596448" y="745145"/>
                              </a:lnTo>
                            </a:path>
                            <a:path w="2338070" h="752475">
                              <a:moveTo>
                                <a:pt x="654737" y="736392"/>
                              </a:moveTo>
                              <a:lnTo>
                                <a:pt x="654737" y="745145"/>
                              </a:lnTo>
                            </a:path>
                            <a:path w="2338070" h="752475">
                              <a:moveTo>
                                <a:pt x="709570" y="736392"/>
                              </a:moveTo>
                              <a:lnTo>
                                <a:pt x="709570" y="745145"/>
                              </a:lnTo>
                            </a:path>
                            <a:path w="2338070" h="752475">
                              <a:moveTo>
                                <a:pt x="764436" y="736392"/>
                              </a:moveTo>
                              <a:lnTo>
                                <a:pt x="764436" y="745145"/>
                              </a:lnTo>
                            </a:path>
                            <a:path w="2338070" h="752475">
                              <a:moveTo>
                                <a:pt x="822622" y="736392"/>
                              </a:moveTo>
                              <a:lnTo>
                                <a:pt x="822622" y="745145"/>
                              </a:lnTo>
                            </a:path>
                            <a:path w="2338070" h="752475">
                              <a:moveTo>
                                <a:pt x="877489" y="736392"/>
                              </a:moveTo>
                              <a:lnTo>
                                <a:pt x="877489" y="745145"/>
                              </a:lnTo>
                            </a:path>
                            <a:path w="2338070" h="752475">
                              <a:moveTo>
                                <a:pt x="932355" y="736392"/>
                              </a:moveTo>
                              <a:lnTo>
                                <a:pt x="932355" y="745145"/>
                              </a:lnTo>
                            </a:path>
                            <a:path w="2338070" h="752475">
                              <a:moveTo>
                                <a:pt x="990644" y="736392"/>
                              </a:moveTo>
                              <a:lnTo>
                                <a:pt x="990644" y="745145"/>
                              </a:lnTo>
                            </a:path>
                            <a:path w="2338070" h="752475">
                              <a:moveTo>
                                <a:pt x="1045511" y="736392"/>
                              </a:moveTo>
                              <a:lnTo>
                                <a:pt x="1045511" y="745145"/>
                              </a:lnTo>
                            </a:path>
                            <a:path w="2338070" h="752475">
                              <a:moveTo>
                                <a:pt x="1100343" y="736392"/>
                              </a:moveTo>
                              <a:lnTo>
                                <a:pt x="1100343" y="745145"/>
                              </a:lnTo>
                            </a:path>
                            <a:path w="2338070" h="752475">
                              <a:moveTo>
                                <a:pt x="1158563" y="736392"/>
                              </a:moveTo>
                              <a:lnTo>
                                <a:pt x="1158563" y="745145"/>
                              </a:lnTo>
                            </a:path>
                            <a:path w="2338070" h="752475">
                              <a:moveTo>
                                <a:pt x="1213430" y="736392"/>
                              </a:moveTo>
                              <a:lnTo>
                                <a:pt x="1213430" y="745145"/>
                              </a:lnTo>
                            </a:path>
                            <a:path w="2338070" h="752475">
                              <a:moveTo>
                                <a:pt x="1271685" y="736392"/>
                              </a:moveTo>
                              <a:lnTo>
                                <a:pt x="1271685" y="745145"/>
                              </a:lnTo>
                            </a:path>
                            <a:path w="2338070" h="752475">
                              <a:moveTo>
                                <a:pt x="1326551" y="736392"/>
                              </a:moveTo>
                              <a:lnTo>
                                <a:pt x="1326551" y="745145"/>
                              </a:lnTo>
                            </a:path>
                            <a:path w="2338070" h="752475">
                              <a:moveTo>
                                <a:pt x="1381417" y="736392"/>
                              </a:moveTo>
                              <a:lnTo>
                                <a:pt x="1381417" y="745145"/>
                              </a:lnTo>
                            </a:path>
                            <a:path w="2338070" h="752475">
                              <a:moveTo>
                                <a:pt x="1439707" y="736392"/>
                              </a:moveTo>
                              <a:lnTo>
                                <a:pt x="1439707" y="745145"/>
                              </a:lnTo>
                            </a:path>
                            <a:path w="2338070" h="752475">
                              <a:moveTo>
                                <a:pt x="1494470" y="736392"/>
                              </a:moveTo>
                              <a:lnTo>
                                <a:pt x="1494470" y="745145"/>
                              </a:lnTo>
                            </a:path>
                            <a:path w="2338070" h="752475">
                              <a:moveTo>
                                <a:pt x="1549337" y="736392"/>
                              </a:moveTo>
                              <a:lnTo>
                                <a:pt x="1549337" y="745145"/>
                              </a:lnTo>
                            </a:path>
                            <a:path w="2338070" h="752475">
                              <a:moveTo>
                                <a:pt x="1607626" y="736392"/>
                              </a:moveTo>
                              <a:lnTo>
                                <a:pt x="1607626" y="745145"/>
                              </a:lnTo>
                            </a:path>
                            <a:path w="2338070" h="752475">
                              <a:moveTo>
                                <a:pt x="1662492" y="736392"/>
                              </a:moveTo>
                              <a:lnTo>
                                <a:pt x="1662492" y="745145"/>
                              </a:lnTo>
                            </a:path>
                            <a:path w="2338070" h="752475">
                              <a:moveTo>
                                <a:pt x="1717324" y="736392"/>
                              </a:moveTo>
                              <a:lnTo>
                                <a:pt x="1717324" y="745145"/>
                              </a:lnTo>
                            </a:path>
                            <a:path w="2338070" h="752475">
                              <a:moveTo>
                                <a:pt x="1775613" y="736392"/>
                              </a:moveTo>
                              <a:lnTo>
                                <a:pt x="1775613" y="745145"/>
                              </a:lnTo>
                            </a:path>
                            <a:path w="2338070" h="752475">
                              <a:moveTo>
                                <a:pt x="1830377" y="736392"/>
                              </a:moveTo>
                              <a:lnTo>
                                <a:pt x="1830377" y="745145"/>
                              </a:lnTo>
                            </a:path>
                            <a:path w="2338070" h="752475">
                              <a:moveTo>
                                <a:pt x="1888666" y="736392"/>
                              </a:moveTo>
                              <a:lnTo>
                                <a:pt x="1888666" y="745145"/>
                              </a:lnTo>
                            </a:path>
                            <a:path w="2338070" h="752475">
                              <a:moveTo>
                                <a:pt x="1943533" y="736392"/>
                              </a:moveTo>
                              <a:lnTo>
                                <a:pt x="1943533" y="745145"/>
                              </a:lnTo>
                            </a:path>
                            <a:path w="2338070" h="752475">
                              <a:moveTo>
                                <a:pt x="1998399" y="736392"/>
                              </a:moveTo>
                              <a:lnTo>
                                <a:pt x="1998399" y="745145"/>
                              </a:lnTo>
                            </a:path>
                            <a:path w="2338070" h="752475">
                              <a:moveTo>
                                <a:pt x="2056688" y="736392"/>
                              </a:moveTo>
                              <a:lnTo>
                                <a:pt x="2056688" y="745145"/>
                              </a:lnTo>
                            </a:path>
                            <a:path w="2338070" h="752475">
                              <a:moveTo>
                                <a:pt x="2111520" y="736392"/>
                              </a:moveTo>
                              <a:lnTo>
                                <a:pt x="2111520" y="745145"/>
                              </a:lnTo>
                            </a:path>
                            <a:path w="2338070" h="752475">
                              <a:moveTo>
                                <a:pt x="2166318" y="736392"/>
                              </a:moveTo>
                              <a:lnTo>
                                <a:pt x="2166318" y="745145"/>
                              </a:lnTo>
                            </a:path>
                            <a:path w="2338070" h="752475">
                              <a:moveTo>
                                <a:pt x="2224607" y="736392"/>
                              </a:moveTo>
                              <a:lnTo>
                                <a:pt x="2224607" y="745145"/>
                              </a:lnTo>
                            </a:path>
                            <a:path w="2338070" h="752475">
                              <a:moveTo>
                                <a:pt x="2279439" y="736392"/>
                              </a:moveTo>
                              <a:lnTo>
                                <a:pt x="2279439" y="745145"/>
                              </a:lnTo>
                            </a:path>
                            <a:path w="2338070" h="752475">
                              <a:moveTo>
                                <a:pt x="2334306" y="736392"/>
                              </a:moveTo>
                              <a:lnTo>
                                <a:pt x="2334306" y="745145"/>
                              </a:lnTo>
                            </a:path>
                            <a:path w="2338070" h="752475">
                              <a:moveTo>
                                <a:pt x="37742" y="736392"/>
                              </a:moveTo>
                              <a:lnTo>
                                <a:pt x="37742" y="752453"/>
                              </a:lnTo>
                            </a:path>
                            <a:path w="2338070" h="752475">
                              <a:moveTo>
                                <a:pt x="315374" y="736392"/>
                              </a:moveTo>
                              <a:lnTo>
                                <a:pt x="315374" y="752453"/>
                              </a:lnTo>
                            </a:path>
                            <a:path w="2338070" h="752475">
                              <a:moveTo>
                                <a:pt x="596448" y="736392"/>
                              </a:moveTo>
                              <a:lnTo>
                                <a:pt x="596448" y="752453"/>
                              </a:lnTo>
                            </a:path>
                            <a:path w="2338070" h="752475">
                              <a:moveTo>
                                <a:pt x="877489" y="736392"/>
                              </a:moveTo>
                              <a:lnTo>
                                <a:pt x="877489" y="752453"/>
                              </a:lnTo>
                            </a:path>
                            <a:path w="2338070" h="752475">
                              <a:moveTo>
                                <a:pt x="1158563" y="736392"/>
                              </a:moveTo>
                              <a:lnTo>
                                <a:pt x="1158563" y="752453"/>
                              </a:lnTo>
                            </a:path>
                            <a:path w="2338070" h="752475">
                              <a:moveTo>
                                <a:pt x="1439707" y="736392"/>
                              </a:moveTo>
                              <a:lnTo>
                                <a:pt x="1439707" y="752453"/>
                              </a:lnTo>
                            </a:path>
                            <a:path w="2338070" h="752475">
                              <a:moveTo>
                                <a:pt x="1717324" y="736392"/>
                              </a:moveTo>
                              <a:lnTo>
                                <a:pt x="1717324" y="752453"/>
                              </a:lnTo>
                            </a:path>
                            <a:path w="2338070" h="752475">
                              <a:moveTo>
                                <a:pt x="1998399" y="736392"/>
                              </a:moveTo>
                              <a:lnTo>
                                <a:pt x="1998399" y="752453"/>
                              </a:lnTo>
                            </a:path>
                            <a:path w="2338070" h="752475">
                              <a:moveTo>
                                <a:pt x="2279439" y="736392"/>
                              </a:moveTo>
                              <a:lnTo>
                                <a:pt x="2279439" y="752453"/>
                              </a:lnTo>
                            </a:path>
                            <a:path w="2338070" h="752475">
                              <a:moveTo>
                                <a:pt x="37742" y="566892"/>
                              </a:moveTo>
                              <a:lnTo>
                                <a:pt x="92588" y="568351"/>
                              </a:lnTo>
                              <a:lnTo>
                                <a:pt x="147386" y="584440"/>
                              </a:lnTo>
                              <a:lnTo>
                                <a:pt x="205675" y="584440"/>
                              </a:lnTo>
                              <a:lnTo>
                                <a:pt x="260507" y="539133"/>
                              </a:lnTo>
                              <a:lnTo>
                                <a:pt x="315374" y="534757"/>
                              </a:lnTo>
                              <a:lnTo>
                                <a:pt x="373663" y="473375"/>
                              </a:lnTo>
                              <a:lnTo>
                                <a:pt x="428529" y="468999"/>
                              </a:lnTo>
                              <a:lnTo>
                                <a:pt x="483293" y="488006"/>
                              </a:lnTo>
                              <a:lnTo>
                                <a:pt x="541582" y="449992"/>
                              </a:lnTo>
                              <a:lnTo>
                                <a:pt x="596448" y="599027"/>
                              </a:lnTo>
                              <a:lnTo>
                                <a:pt x="651280" y="311212"/>
                              </a:lnTo>
                              <a:lnTo>
                                <a:pt x="709569" y="461706"/>
                              </a:lnTo>
                              <a:lnTo>
                                <a:pt x="764436" y="410564"/>
                              </a:lnTo>
                              <a:lnTo>
                                <a:pt x="819200" y="397392"/>
                              </a:lnTo>
                              <a:lnTo>
                                <a:pt x="877489" y="537674"/>
                              </a:lnTo>
                              <a:lnTo>
                                <a:pt x="932355" y="441240"/>
                              </a:lnTo>
                              <a:lnTo>
                                <a:pt x="987221" y="444157"/>
                              </a:lnTo>
                              <a:lnTo>
                                <a:pt x="1045511" y="550817"/>
                              </a:lnTo>
                              <a:lnTo>
                                <a:pt x="1100343" y="357963"/>
                              </a:lnTo>
                              <a:lnTo>
                                <a:pt x="1155141" y="328746"/>
                              </a:lnTo>
                              <a:lnTo>
                                <a:pt x="1213430" y="398850"/>
                              </a:lnTo>
                              <a:lnTo>
                                <a:pt x="1268262" y="281994"/>
                              </a:lnTo>
                              <a:lnTo>
                                <a:pt x="1323128" y="280536"/>
                              </a:lnTo>
                              <a:lnTo>
                                <a:pt x="1381417" y="360881"/>
                              </a:lnTo>
                              <a:lnTo>
                                <a:pt x="1436284" y="257153"/>
                              </a:lnTo>
                              <a:lnTo>
                                <a:pt x="1491047" y="217681"/>
                              </a:lnTo>
                              <a:lnTo>
                                <a:pt x="1549337" y="251318"/>
                              </a:lnTo>
                              <a:lnTo>
                                <a:pt x="1604203" y="670634"/>
                              </a:lnTo>
                              <a:lnTo>
                                <a:pt x="1659069" y="352128"/>
                              </a:lnTo>
                              <a:lnTo>
                                <a:pt x="1717324" y="182628"/>
                              </a:lnTo>
                              <a:lnTo>
                                <a:pt x="1772191" y="246898"/>
                              </a:lnTo>
                              <a:lnTo>
                                <a:pt x="1826954" y="165095"/>
                              </a:lnTo>
                              <a:lnTo>
                                <a:pt x="1885243" y="87652"/>
                              </a:lnTo>
                              <a:lnTo>
                                <a:pt x="1940110" y="474834"/>
                              </a:lnTo>
                              <a:lnTo>
                                <a:pt x="1994976" y="223559"/>
                              </a:lnTo>
                              <a:lnTo>
                                <a:pt x="2053265" y="36511"/>
                              </a:lnTo>
                              <a:lnTo>
                                <a:pt x="2108097" y="83276"/>
                              </a:lnTo>
                              <a:lnTo>
                                <a:pt x="2162895" y="170929"/>
                              </a:lnTo>
                              <a:lnTo>
                                <a:pt x="2221184" y="14586"/>
                              </a:lnTo>
                              <a:lnTo>
                                <a:pt x="2276017" y="17504"/>
                              </a:lnTo>
                              <a:lnTo>
                                <a:pt x="2334306" y="134418"/>
                              </a:lnTo>
                            </a:path>
                            <a:path w="2338070" h="752475">
                              <a:moveTo>
                                <a:pt x="34319" y="0"/>
                              </a:moveTo>
                              <a:lnTo>
                                <a:pt x="34319" y="736392"/>
                              </a:lnTo>
                              <a:lnTo>
                                <a:pt x="2337729" y="736392"/>
                              </a:lnTo>
                              <a:lnTo>
                                <a:pt x="2337728" y="0"/>
                              </a:lnTo>
                              <a:lnTo>
                                <a:pt x="34319" y="0"/>
                              </a:lnTo>
                            </a:path>
                          </a:pathLst>
                        </a:custGeom>
                        <a:ln w="488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76.197937pt;margin-top:3.225299pt;width:184.1pt;height:59.25pt;mso-position-horizontal-relative:page;mso-position-vertical-relative:paragraph;z-index:15735296" id="docshape27" coordorigin="5524,65" coordsize="3682,1185" path="m5524,1222l5578,1222m5524,989l5578,989m5524,759l5578,759m5524,527l5578,527m5524,297l5578,297m5524,67l5578,67m5583,1224l5583,1238m5670,1224l5670,1238m5756,1224l5756,1238m5848,1224l5848,1238m5934,1224l5934,1238m6021,1224l6021,1238m6112,1224l6112,1238m6199,1224l6199,1238m6285,1224l6285,1238m6377,1224l6377,1238m6463,1224l6463,1238m6555,1224l6555,1238m6641,1224l6641,1238m6728,1224l6728,1238m6819,1224l6819,1238m6906,1224l6906,1238m6992,1224l6992,1238m7084,1224l7084,1238m7170,1224l7170,1238m7257,1224l7257,1238m7348,1224l7348,1238m7435,1224l7435,1238m7527,1224l7527,1238m7613,1224l7613,1238m7699,1224l7699,1238m7791,1224l7791,1238m7877,1224l7877,1238m7964,1224l7964,1238m8056,1224l8056,1238m8142,1224l8142,1238m8228,1224l8228,1238m8320,1224l8320,1238m8406,1224l8406,1238m8498,1224l8498,1238m8585,1224l8585,1238m8671,1224l8671,1238m8763,1224l8763,1238m8849,1224l8849,1238m8935,1224l8935,1238m9027,1224l9027,1238m9114,1224l9114,1238m9200,1224l9200,1238m5583,1224l5583,1249m6021,1224l6021,1249m6463,1224l6463,1249m6906,1224l6906,1249m7348,1224l7348,1249m7791,1224l7791,1249m8228,1224l8228,1249m8671,1224l8671,1249m9114,1224l9114,1249m5583,957l5670,960,5756,985,5848,985,5934,914,6021,907,6112,810,6199,803,6285,833,6377,773,6463,1008,6550,555,6641,792,6728,711,6814,690,6906,911,6992,759,7079,764,7170,932,7257,628,7343,582,7435,693,7521,509,7608,506,7699,633,7786,469,7872,407,7964,460,8050,1121,8137,619,8228,352,8315,453,8401,324,8493,203,8579,812,8666,417,8757,122,8844,196,8930,334,9022,87,9108,92,9200,276m5578,65l5578,1224,9205,1224,9205,65,5578,65e" filled="false" stroked="true" strokeweight=".384441pt" strokecolor="#000000">
                <v:path arrowok="t"/>
                <v:stroke dashstyle="solid"/>
                <w10:wrap type="none"/>
              </v:shape>
            </w:pict>
          </mc:Fallback>
        </mc:AlternateContent>
      </w:r>
      <w:r>
        <w:rPr/>
        <mc:AlternateContent>
          <mc:Choice Requires="wps">
            <w:drawing>
              <wp:anchor distT="0" distB="0" distL="0" distR="0" allowOverlap="1" layoutInCell="1" locked="0" behindDoc="1" simplePos="0" relativeHeight="464161792">
                <wp:simplePos x="0" y="0"/>
                <wp:positionH relativeFrom="page">
                  <wp:posOffset>892140</wp:posOffset>
                </wp:positionH>
                <wp:positionV relativeFrom="paragraph">
                  <wp:posOffset>22050</wp:posOffset>
                </wp:positionV>
                <wp:extent cx="2042795" cy="575945"/>
                <wp:effectExtent l="0" t="0" r="0" b="0"/>
                <wp:wrapNone/>
                <wp:docPr id="30" name="Graphic 30"/>
                <wp:cNvGraphicFramePr>
                  <a:graphicFrameLocks/>
                </wp:cNvGraphicFramePr>
                <a:graphic>
                  <a:graphicData uri="http://schemas.microsoft.com/office/word/2010/wordprocessingShape">
                    <wps:wsp>
                      <wps:cNvPr id="30" name="Graphic 30"/>
                      <wps:cNvSpPr/>
                      <wps:spPr>
                        <a:xfrm>
                          <a:off x="0" y="0"/>
                          <a:ext cx="2042795" cy="575945"/>
                        </a:xfrm>
                        <a:custGeom>
                          <a:avLst/>
                          <a:gdLst/>
                          <a:ahLst/>
                          <a:cxnLst/>
                          <a:rect l="l" t="t" r="r" b="b"/>
                          <a:pathLst>
                            <a:path w="2042795" h="575945">
                              <a:moveTo>
                                <a:pt x="0" y="562438"/>
                              </a:moveTo>
                              <a:lnTo>
                                <a:pt x="29908" y="562438"/>
                              </a:lnTo>
                            </a:path>
                            <a:path w="2042795" h="575945">
                              <a:moveTo>
                                <a:pt x="0" y="482099"/>
                              </a:moveTo>
                              <a:lnTo>
                                <a:pt x="29908" y="482099"/>
                              </a:lnTo>
                            </a:path>
                            <a:path w="2042795" h="575945">
                              <a:moveTo>
                                <a:pt x="0" y="401727"/>
                              </a:moveTo>
                              <a:lnTo>
                                <a:pt x="29908" y="401727"/>
                              </a:lnTo>
                            </a:path>
                            <a:path w="2042795" h="575945">
                              <a:moveTo>
                                <a:pt x="0" y="321377"/>
                              </a:moveTo>
                              <a:lnTo>
                                <a:pt x="29908" y="321377"/>
                              </a:lnTo>
                            </a:path>
                            <a:path w="2042795" h="575945">
                              <a:moveTo>
                                <a:pt x="0" y="241038"/>
                              </a:moveTo>
                              <a:lnTo>
                                <a:pt x="29908" y="241038"/>
                              </a:lnTo>
                            </a:path>
                            <a:path w="2042795" h="575945">
                              <a:moveTo>
                                <a:pt x="0" y="160688"/>
                              </a:moveTo>
                              <a:lnTo>
                                <a:pt x="29908" y="160688"/>
                              </a:lnTo>
                            </a:path>
                            <a:path w="2042795" h="575945">
                              <a:moveTo>
                                <a:pt x="0" y="80349"/>
                              </a:moveTo>
                              <a:lnTo>
                                <a:pt x="29908" y="80349"/>
                              </a:lnTo>
                            </a:path>
                            <a:path w="2042795" h="575945">
                              <a:moveTo>
                                <a:pt x="0" y="1114"/>
                              </a:moveTo>
                              <a:lnTo>
                                <a:pt x="29908" y="1114"/>
                              </a:lnTo>
                            </a:path>
                            <a:path w="2042795" h="575945">
                              <a:moveTo>
                                <a:pt x="32898" y="563552"/>
                              </a:moveTo>
                              <a:lnTo>
                                <a:pt x="32898" y="570236"/>
                              </a:lnTo>
                            </a:path>
                            <a:path w="2042795" h="575945">
                              <a:moveTo>
                                <a:pt x="80835" y="563552"/>
                              </a:moveTo>
                              <a:lnTo>
                                <a:pt x="80835" y="570236"/>
                              </a:lnTo>
                            </a:path>
                            <a:path w="2042795" h="575945">
                              <a:moveTo>
                                <a:pt x="128768" y="563552"/>
                              </a:moveTo>
                              <a:lnTo>
                                <a:pt x="128768" y="570236"/>
                              </a:lnTo>
                            </a:path>
                            <a:path w="2042795" h="575945">
                              <a:moveTo>
                                <a:pt x="179662" y="563552"/>
                              </a:moveTo>
                              <a:lnTo>
                                <a:pt x="179662" y="570236"/>
                              </a:lnTo>
                            </a:path>
                            <a:path w="2042795" h="575945">
                              <a:moveTo>
                                <a:pt x="227596" y="563552"/>
                              </a:moveTo>
                              <a:lnTo>
                                <a:pt x="227596" y="570236"/>
                              </a:lnTo>
                            </a:path>
                            <a:path w="2042795" h="575945">
                              <a:moveTo>
                                <a:pt x="275439" y="563552"/>
                              </a:moveTo>
                              <a:lnTo>
                                <a:pt x="275439" y="570236"/>
                              </a:lnTo>
                            </a:path>
                            <a:path w="2042795" h="575945">
                              <a:moveTo>
                                <a:pt x="326363" y="563552"/>
                              </a:moveTo>
                              <a:lnTo>
                                <a:pt x="326363" y="570236"/>
                              </a:lnTo>
                            </a:path>
                            <a:path w="2042795" h="575945">
                              <a:moveTo>
                                <a:pt x="374297" y="563552"/>
                              </a:moveTo>
                              <a:lnTo>
                                <a:pt x="374297" y="570236"/>
                              </a:lnTo>
                            </a:path>
                            <a:path w="2042795" h="575945">
                              <a:moveTo>
                                <a:pt x="422230" y="563552"/>
                              </a:moveTo>
                              <a:lnTo>
                                <a:pt x="422230" y="570236"/>
                              </a:lnTo>
                            </a:path>
                            <a:path w="2042795" h="575945">
                              <a:moveTo>
                                <a:pt x="473154" y="563552"/>
                              </a:moveTo>
                              <a:lnTo>
                                <a:pt x="473154" y="570236"/>
                              </a:lnTo>
                            </a:path>
                            <a:path w="2042795" h="575945">
                              <a:moveTo>
                                <a:pt x="520998" y="563552"/>
                              </a:moveTo>
                              <a:lnTo>
                                <a:pt x="520998" y="570236"/>
                              </a:lnTo>
                            </a:path>
                            <a:path w="2042795" h="575945">
                              <a:moveTo>
                                <a:pt x="571922" y="563552"/>
                              </a:moveTo>
                              <a:lnTo>
                                <a:pt x="571922" y="570236"/>
                              </a:lnTo>
                            </a:path>
                            <a:path w="2042795" h="575945">
                              <a:moveTo>
                                <a:pt x="619855" y="563552"/>
                              </a:moveTo>
                              <a:lnTo>
                                <a:pt x="619855" y="570236"/>
                              </a:lnTo>
                            </a:path>
                            <a:path w="2042795" h="575945">
                              <a:moveTo>
                                <a:pt x="667759" y="563552"/>
                              </a:moveTo>
                              <a:lnTo>
                                <a:pt x="667759" y="570237"/>
                              </a:lnTo>
                            </a:path>
                            <a:path w="2042795" h="575945">
                              <a:moveTo>
                                <a:pt x="718683" y="563552"/>
                              </a:moveTo>
                              <a:lnTo>
                                <a:pt x="718683" y="570237"/>
                              </a:lnTo>
                            </a:path>
                            <a:path w="2042795" h="575945">
                              <a:moveTo>
                                <a:pt x="766556" y="563552"/>
                              </a:moveTo>
                              <a:lnTo>
                                <a:pt x="766556" y="570237"/>
                              </a:lnTo>
                            </a:path>
                            <a:path w="2042795" h="575945">
                              <a:moveTo>
                                <a:pt x="814460" y="563552"/>
                              </a:moveTo>
                              <a:lnTo>
                                <a:pt x="814460" y="570237"/>
                              </a:lnTo>
                            </a:path>
                            <a:path w="2042795" h="575945">
                              <a:moveTo>
                                <a:pt x="865384" y="563552"/>
                              </a:moveTo>
                              <a:lnTo>
                                <a:pt x="865384" y="570237"/>
                              </a:lnTo>
                            </a:path>
                            <a:path w="2042795" h="575945">
                              <a:moveTo>
                                <a:pt x="913317" y="563552"/>
                              </a:moveTo>
                              <a:lnTo>
                                <a:pt x="913317" y="570237"/>
                              </a:lnTo>
                            </a:path>
                            <a:path w="2042795" h="575945">
                              <a:moveTo>
                                <a:pt x="961251" y="563552"/>
                              </a:moveTo>
                              <a:lnTo>
                                <a:pt x="961251" y="570237"/>
                              </a:lnTo>
                            </a:path>
                            <a:path w="2042795" h="575945">
                              <a:moveTo>
                                <a:pt x="1012085" y="563552"/>
                              </a:moveTo>
                              <a:lnTo>
                                <a:pt x="1012085" y="570237"/>
                              </a:lnTo>
                            </a:path>
                            <a:path w="2042795" h="575945">
                              <a:moveTo>
                                <a:pt x="1060018" y="563552"/>
                              </a:moveTo>
                              <a:lnTo>
                                <a:pt x="1060018" y="570237"/>
                              </a:lnTo>
                            </a:path>
                            <a:path w="2042795" h="575945">
                              <a:moveTo>
                                <a:pt x="1110942" y="563552"/>
                              </a:moveTo>
                              <a:lnTo>
                                <a:pt x="1110942" y="570237"/>
                              </a:lnTo>
                            </a:path>
                            <a:path w="2042795" h="575945">
                              <a:moveTo>
                                <a:pt x="1158876" y="563552"/>
                              </a:moveTo>
                              <a:lnTo>
                                <a:pt x="1158876" y="570237"/>
                              </a:lnTo>
                            </a:path>
                            <a:path w="2042795" h="575945">
                              <a:moveTo>
                                <a:pt x="1206779" y="563552"/>
                              </a:moveTo>
                              <a:lnTo>
                                <a:pt x="1206779" y="570237"/>
                              </a:lnTo>
                            </a:path>
                            <a:path w="2042795" h="575945">
                              <a:moveTo>
                                <a:pt x="1257643" y="563552"/>
                              </a:moveTo>
                              <a:lnTo>
                                <a:pt x="1257643" y="570237"/>
                              </a:lnTo>
                            </a:path>
                            <a:path w="2042795" h="575945">
                              <a:moveTo>
                                <a:pt x="1305547" y="563552"/>
                              </a:moveTo>
                              <a:lnTo>
                                <a:pt x="1305547" y="570237"/>
                              </a:lnTo>
                            </a:path>
                            <a:path w="2042795" h="575945">
                              <a:moveTo>
                                <a:pt x="1353480" y="563552"/>
                              </a:moveTo>
                              <a:lnTo>
                                <a:pt x="1353480" y="570237"/>
                              </a:lnTo>
                            </a:path>
                            <a:path w="2042795" h="575945">
                              <a:moveTo>
                                <a:pt x="1404404" y="563552"/>
                              </a:moveTo>
                              <a:lnTo>
                                <a:pt x="1404404" y="570237"/>
                              </a:lnTo>
                            </a:path>
                            <a:path w="2042795" h="575945">
                              <a:moveTo>
                                <a:pt x="1452338" y="563552"/>
                              </a:moveTo>
                              <a:lnTo>
                                <a:pt x="1452338" y="570237"/>
                              </a:lnTo>
                            </a:path>
                            <a:path w="2042795" h="575945">
                              <a:moveTo>
                                <a:pt x="1500182" y="563552"/>
                              </a:moveTo>
                              <a:lnTo>
                                <a:pt x="1500182" y="570237"/>
                              </a:lnTo>
                            </a:path>
                            <a:path w="2042795" h="575945">
                              <a:moveTo>
                                <a:pt x="1551105" y="563552"/>
                              </a:moveTo>
                              <a:lnTo>
                                <a:pt x="1551105" y="570237"/>
                              </a:lnTo>
                            </a:path>
                            <a:path w="2042795" h="575945">
                              <a:moveTo>
                                <a:pt x="1599039" y="563552"/>
                              </a:moveTo>
                              <a:lnTo>
                                <a:pt x="1599039" y="570237"/>
                              </a:lnTo>
                            </a:path>
                            <a:path w="2042795" h="575945">
                              <a:moveTo>
                                <a:pt x="1649963" y="563552"/>
                              </a:moveTo>
                              <a:lnTo>
                                <a:pt x="1649963" y="570237"/>
                              </a:lnTo>
                            </a:path>
                            <a:path w="2042795" h="575945">
                              <a:moveTo>
                                <a:pt x="1697866" y="563552"/>
                              </a:moveTo>
                              <a:lnTo>
                                <a:pt x="1697866" y="570237"/>
                              </a:lnTo>
                            </a:path>
                            <a:path w="2042795" h="575945">
                              <a:moveTo>
                                <a:pt x="1745740" y="563552"/>
                              </a:moveTo>
                              <a:lnTo>
                                <a:pt x="1745740" y="570237"/>
                              </a:lnTo>
                            </a:path>
                            <a:path w="2042795" h="575945">
                              <a:moveTo>
                                <a:pt x="1796664" y="563552"/>
                              </a:moveTo>
                              <a:lnTo>
                                <a:pt x="1796664" y="570237"/>
                              </a:lnTo>
                            </a:path>
                            <a:path w="2042795" h="575945">
                              <a:moveTo>
                                <a:pt x="1844567" y="563552"/>
                              </a:moveTo>
                              <a:lnTo>
                                <a:pt x="1844567" y="570237"/>
                              </a:lnTo>
                            </a:path>
                            <a:path w="2042795" h="575945">
                              <a:moveTo>
                                <a:pt x="1892501" y="563552"/>
                              </a:moveTo>
                              <a:lnTo>
                                <a:pt x="1892501" y="570237"/>
                              </a:lnTo>
                            </a:path>
                            <a:path w="2042795" h="575945">
                              <a:moveTo>
                                <a:pt x="1943425" y="563552"/>
                              </a:moveTo>
                              <a:lnTo>
                                <a:pt x="1943425" y="570237"/>
                              </a:lnTo>
                            </a:path>
                            <a:path w="2042795" h="575945">
                              <a:moveTo>
                                <a:pt x="1991269" y="563552"/>
                              </a:moveTo>
                              <a:lnTo>
                                <a:pt x="1991269" y="570237"/>
                              </a:lnTo>
                            </a:path>
                            <a:path w="2042795" h="575945">
                              <a:moveTo>
                                <a:pt x="2039202" y="563552"/>
                              </a:moveTo>
                              <a:lnTo>
                                <a:pt x="2039202" y="570237"/>
                              </a:lnTo>
                            </a:path>
                            <a:path w="2042795" h="575945">
                              <a:moveTo>
                                <a:pt x="32898" y="563552"/>
                              </a:moveTo>
                              <a:lnTo>
                                <a:pt x="32898" y="575840"/>
                              </a:lnTo>
                            </a:path>
                            <a:path w="2042795" h="575945">
                              <a:moveTo>
                                <a:pt x="275439" y="563552"/>
                              </a:moveTo>
                              <a:lnTo>
                                <a:pt x="275439" y="575840"/>
                              </a:lnTo>
                            </a:path>
                            <a:path w="2042795" h="575945">
                              <a:moveTo>
                                <a:pt x="520998" y="563552"/>
                              </a:moveTo>
                              <a:lnTo>
                                <a:pt x="520998" y="575840"/>
                              </a:lnTo>
                            </a:path>
                            <a:path w="2042795" h="575945">
                              <a:moveTo>
                                <a:pt x="766556" y="563552"/>
                              </a:moveTo>
                              <a:lnTo>
                                <a:pt x="766556" y="575841"/>
                              </a:lnTo>
                            </a:path>
                            <a:path w="2042795" h="575945">
                              <a:moveTo>
                                <a:pt x="1012085" y="563552"/>
                              </a:moveTo>
                              <a:lnTo>
                                <a:pt x="1012085" y="575841"/>
                              </a:lnTo>
                            </a:path>
                            <a:path w="2042795" h="575945">
                              <a:moveTo>
                                <a:pt x="1257643" y="563552"/>
                              </a:moveTo>
                              <a:lnTo>
                                <a:pt x="1257643" y="575841"/>
                              </a:lnTo>
                            </a:path>
                            <a:path w="2042795" h="575945">
                              <a:moveTo>
                                <a:pt x="1500182" y="563552"/>
                              </a:moveTo>
                              <a:lnTo>
                                <a:pt x="1500182" y="575841"/>
                              </a:lnTo>
                            </a:path>
                            <a:path w="2042795" h="575945">
                              <a:moveTo>
                                <a:pt x="1745740" y="563552"/>
                              </a:moveTo>
                              <a:lnTo>
                                <a:pt x="1745740" y="575841"/>
                              </a:lnTo>
                            </a:path>
                            <a:path w="2042795" h="575945">
                              <a:moveTo>
                                <a:pt x="1991269" y="563552"/>
                              </a:moveTo>
                              <a:lnTo>
                                <a:pt x="1991269" y="575841"/>
                              </a:lnTo>
                            </a:path>
                            <a:path w="2042795" h="575945">
                              <a:moveTo>
                                <a:pt x="32898" y="301289"/>
                              </a:moveTo>
                              <a:lnTo>
                                <a:pt x="80835" y="277859"/>
                              </a:lnTo>
                              <a:lnTo>
                                <a:pt x="128768" y="535643"/>
                              </a:lnTo>
                              <a:lnTo>
                                <a:pt x="179662" y="451951"/>
                              </a:lnTo>
                              <a:lnTo>
                                <a:pt x="227596" y="305779"/>
                              </a:lnTo>
                              <a:lnTo>
                                <a:pt x="275439" y="157346"/>
                              </a:lnTo>
                              <a:lnTo>
                                <a:pt x="326363" y="232125"/>
                              </a:lnTo>
                              <a:lnTo>
                                <a:pt x="374297" y="283441"/>
                              </a:lnTo>
                              <a:lnTo>
                                <a:pt x="422230" y="271175"/>
                              </a:lnTo>
                              <a:lnTo>
                                <a:pt x="473154" y="326981"/>
                              </a:lnTo>
                              <a:lnTo>
                                <a:pt x="520998" y="354867"/>
                              </a:lnTo>
                              <a:lnTo>
                                <a:pt x="568931" y="234353"/>
                              </a:lnTo>
                              <a:lnTo>
                                <a:pt x="619855" y="395042"/>
                              </a:lnTo>
                              <a:lnTo>
                                <a:pt x="667759" y="217608"/>
                              </a:lnTo>
                              <a:lnTo>
                                <a:pt x="715692" y="132802"/>
                              </a:lnTo>
                              <a:lnTo>
                                <a:pt x="766556" y="448609"/>
                              </a:lnTo>
                              <a:lnTo>
                                <a:pt x="814460" y="451951"/>
                              </a:lnTo>
                              <a:lnTo>
                                <a:pt x="862393" y="349297"/>
                              </a:lnTo>
                              <a:lnTo>
                                <a:pt x="913317" y="137259"/>
                              </a:lnTo>
                              <a:lnTo>
                                <a:pt x="961251" y="127209"/>
                              </a:lnTo>
                              <a:lnTo>
                                <a:pt x="1009095" y="399499"/>
                              </a:lnTo>
                              <a:lnTo>
                                <a:pt x="1060018" y="311350"/>
                              </a:lnTo>
                              <a:lnTo>
                                <a:pt x="1107952" y="113829"/>
                              </a:lnTo>
                              <a:lnTo>
                                <a:pt x="1155885" y="73632"/>
                              </a:lnTo>
                              <a:lnTo>
                                <a:pt x="1206779" y="73632"/>
                              </a:lnTo>
                              <a:lnTo>
                                <a:pt x="1254653" y="34571"/>
                              </a:lnTo>
                              <a:lnTo>
                                <a:pt x="1302557" y="180776"/>
                              </a:lnTo>
                              <a:lnTo>
                                <a:pt x="1353480" y="379411"/>
                              </a:lnTo>
                              <a:lnTo>
                                <a:pt x="1401414" y="352639"/>
                              </a:lnTo>
                              <a:lnTo>
                                <a:pt x="1449348" y="419586"/>
                              </a:lnTo>
                              <a:lnTo>
                                <a:pt x="1500182" y="412890"/>
                              </a:lnTo>
                              <a:lnTo>
                                <a:pt x="1548115" y="251088"/>
                              </a:lnTo>
                              <a:lnTo>
                                <a:pt x="1596049" y="312464"/>
                              </a:lnTo>
                              <a:lnTo>
                                <a:pt x="1646972" y="299061"/>
                              </a:lnTo>
                              <a:lnTo>
                                <a:pt x="1694876" y="287920"/>
                              </a:lnTo>
                              <a:lnTo>
                                <a:pt x="1742750" y="260012"/>
                              </a:lnTo>
                              <a:lnTo>
                                <a:pt x="1793674" y="385004"/>
                              </a:lnTo>
                              <a:lnTo>
                                <a:pt x="1841577" y="451951"/>
                              </a:lnTo>
                              <a:lnTo>
                                <a:pt x="1889511" y="415130"/>
                              </a:lnTo>
                              <a:lnTo>
                                <a:pt x="1940435" y="309122"/>
                              </a:lnTo>
                              <a:lnTo>
                                <a:pt x="1988278" y="302404"/>
                              </a:lnTo>
                              <a:lnTo>
                                <a:pt x="2039202" y="348183"/>
                              </a:lnTo>
                            </a:path>
                            <a:path w="2042795" h="575945">
                              <a:moveTo>
                                <a:pt x="29908" y="0"/>
                              </a:moveTo>
                              <a:lnTo>
                                <a:pt x="29908" y="563552"/>
                              </a:lnTo>
                              <a:lnTo>
                                <a:pt x="2042192" y="563552"/>
                              </a:lnTo>
                              <a:lnTo>
                                <a:pt x="2042192" y="0"/>
                              </a:lnTo>
                              <a:lnTo>
                                <a:pt x="29908" y="0"/>
                              </a:lnTo>
                            </a:path>
                          </a:pathLst>
                        </a:custGeom>
                        <a:ln w="415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247314pt;margin-top:1.736232pt;width:160.85pt;height:45.35pt;mso-position-horizontal-relative:page;mso-position-vertical-relative:paragraph;z-index:-39154688" id="docshape28" coordorigin="1405,35" coordsize="3217,907" path="m1405,920l1452,920m1405,794l1452,794m1405,667l1452,667m1405,541l1452,541m1405,414l1452,414m1405,288l1452,288m1405,161l1452,161m1405,36l1452,36m1457,922l1457,933m1532,922l1532,933m1608,922l1608,933m1688,922l1688,933m1763,922l1763,933m1839,922l1839,933m1919,922l1919,933m1994,922l1994,933m2070,922l2070,933m2150,922l2150,933m2225,922l2225,933m2306,922l2306,933m2381,922l2381,933m2457,922l2457,933m2537,922l2537,933m2612,922l2612,933m2688,922l2688,933m2768,922l2768,933m2843,922l2843,933m2919,922l2919,933m2999,922l2999,933m3074,922l3074,933m3154,922l3154,933m3230,922l3230,933m3305,922l3305,933m3385,922l3385,933m3461,922l3461,933m3536,922l3536,933m3617,922l3617,933m3692,922l3692,933m3767,922l3767,933m3848,922l3848,933m3923,922l3923,933m4003,922l4003,933m4079,922l4079,933m4154,922l4154,933m4234,922l4234,933m4310,922l4310,933m4385,922l4385,933m4465,922l4465,933m4541,922l4541,933m4616,922l4616,933m1457,922l1457,942m1839,922l1839,942m2225,922l2225,942m2612,922l2612,942m2999,922l2999,942m3385,922l3385,942m3767,922l3767,942m4154,922l4154,942m4541,922l4541,942m1457,509l1532,472,1608,878,1688,746,1763,516,1839,283,1919,400,1994,481,2070,462,2150,550,2225,594,2301,404,2381,657,2457,377,2532,244,2612,741,2688,746,2763,585,2843,251,2919,235,2994,664,3074,525,3150,214,3225,151,3305,151,3381,89,3456,319,3536,632,3612,590,3687,695,3767,685,3843,430,3918,527,3999,506,4074,488,4149,444,4230,641,4305,746,4381,688,4461,522,4536,511,4616,583m1452,35l1452,922,4621,922,4621,35,1452,35e" filled="false" stroked="true" strokeweight=".327185pt" strokecolor="#000000">
                <v:path arrowok="t"/>
                <v:stroke dashstyle="solid"/>
                <w10:wrap type="none"/>
              </v:shape>
            </w:pict>
          </mc:Fallback>
        </mc:AlternateContent>
      </w:r>
      <w:r>
        <w:rPr>
          <w:rFonts w:ascii="Arial MT"/>
          <w:spacing w:val="-5"/>
          <w:w w:val="260"/>
          <w:sz w:val="5"/>
        </w:rPr>
        <w:t>4.5</w:t>
      </w:r>
      <w:r>
        <w:rPr>
          <w:rFonts w:ascii="Arial MT"/>
          <w:sz w:val="5"/>
        </w:rPr>
        <w:tab/>
      </w:r>
      <w:r>
        <w:rPr>
          <w:rFonts w:ascii="Arial MT"/>
          <w:spacing w:val="-5"/>
          <w:w w:val="260"/>
          <w:position w:val="-2"/>
          <w:sz w:val="6"/>
        </w:rPr>
        <w:t>14</w:t>
      </w:r>
    </w:p>
    <w:p>
      <w:pPr>
        <w:spacing w:before="35"/>
        <w:ind w:left="908" w:right="0" w:firstLine="0"/>
        <w:jc w:val="left"/>
        <w:rPr>
          <w:rFonts w:ascii="Arial MT"/>
          <w:sz w:val="5"/>
        </w:rPr>
      </w:pPr>
      <w:r>
        <w:rPr>
          <w:rFonts w:ascii="Arial MT"/>
          <w:spacing w:val="-5"/>
          <w:w w:val="265"/>
          <w:sz w:val="5"/>
        </w:rPr>
        <w:t>4.0</w:t>
      </w:r>
    </w:p>
    <w:p>
      <w:pPr>
        <w:pStyle w:val="BodyText"/>
        <w:spacing w:before="14"/>
        <w:rPr>
          <w:rFonts w:ascii="Arial MT"/>
          <w:sz w:val="5"/>
        </w:rPr>
      </w:pPr>
    </w:p>
    <w:p>
      <w:pPr>
        <w:tabs>
          <w:tab w:pos="5038" w:val="left" w:leader="none"/>
        </w:tabs>
        <w:spacing w:before="0"/>
        <w:ind w:left="908" w:right="0" w:firstLine="0"/>
        <w:jc w:val="left"/>
        <w:rPr>
          <w:rFonts w:ascii="Arial MT"/>
          <w:sz w:val="6"/>
        </w:rPr>
      </w:pPr>
      <w:r>
        <w:rPr>
          <w:rFonts w:ascii="Arial MT"/>
          <w:spacing w:val="-5"/>
          <w:w w:val="260"/>
          <w:position w:val="1"/>
          <w:sz w:val="5"/>
        </w:rPr>
        <w:t>3.5</w:t>
      </w:r>
      <w:r>
        <w:rPr>
          <w:rFonts w:ascii="Arial MT"/>
          <w:position w:val="1"/>
          <w:sz w:val="5"/>
        </w:rPr>
        <w:tab/>
      </w:r>
      <w:r>
        <w:rPr>
          <w:rFonts w:ascii="Arial MT"/>
          <w:spacing w:val="-5"/>
          <w:w w:val="260"/>
          <w:sz w:val="6"/>
        </w:rPr>
        <w:t>12</w:t>
      </w:r>
    </w:p>
    <w:p>
      <w:pPr>
        <w:spacing w:before="54"/>
        <w:ind w:left="908" w:right="0" w:firstLine="0"/>
        <w:jc w:val="left"/>
        <w:rPr>
          <w:rFonts w:ascii="Arial MT"/>
          <w:sz w:val="5"/>
        </w:rPr>
      </w:pPr>
      <w:r>
        <w:rPr>
          <w:rFonts w:ascii="Arial MT"/>
          <w:spacing w:val="-5"/>
          <w:w w:val="265"/>
          <w:sz w:val="5"/>
        </w:rPr>
        <w:t>3.0</w:t>
      </w:r>
    </w:p>
    <w:p>
      <w:pPr>
        <w:tabs>
          <w:tab w:pos="5038" w:val="left" w:leader="none"/>
        </w:tabs>
        <w:spacing w:before="50"/>
        <w:ind w:left="908" w:right="0" w:firstLine="0"/>
        <w:jc w:val="left"/>
        <w:rPr>
          <w:rFonts w:ascii="Arial MT"/>
          <w:sz w:val="6"/>
        </w:rPr>
      </w:pPr>
      <w:r>
        <w:rPr>
          <w:rFonts w:ascii="Arial MT"/>
          <w:spacing w:val="-5"/>
          <w:w w:val="260"/>
          <w:sz w:val="5"/>
        </w:rPr>
        <w:t>2.5</w:t>
      </w:r>
      <w:r>
        <w:rPr>
          <w:rFonts w:ascii="Arial MT"/>
          <w:sz w:val="5"/>
        </w:rPr>
        <w:tab/>
      </w:r>
      <w:r>
        <w:rPr>
          <w:rFonts w:ascii="Arial MT"/>
          <w:spacing w:val="-5"/>
          <w:w w:val="260"/>
          <w:position w:val="1"/>
          <w:sz w:val="6"/>
        </w:rPr>
        <w:t>10</w:t>
      </w:r>
    </w:p>
    <w:p>
      <w:pPr>
        <w:pStyle w:val="BodyText"/>
        <w:spacing w:before="11"/>
        <w:rPr>
          <w:rFonts w:ascii="Arial MT"/>
          <w:sz w:val="5"/>
        </w:rPr>
      </w:pPr>
    </w:p>
    <w:p>
      <w:pPr>
        <w:spacing w:before="1"/>
        <w:ind w:left="908" w:right="0" w:firstLine="0"/>
        <w:jc w:val="left"/>
        <w:rPr>
          <w:rFonts w:ascii="Arial MT"/>
          <w:sz w:val="5"/>
        </w:rPr>
      </w:pPr>
      <w:r>
        <w:rPr>
          <w:rFonts w:ascii="Arial MT"/>
          <w:spacing w:val="-5"/>
          <w:w w:val="265"/>
          <w:sz w:val="5"/>
        </w:rPr>
        <w:t>2.0</w:t>
      </w:r>
    </w:p>
    <w:p>
      <w:pPr>
        <w:tabs>
          <w:tab w:pos="5125" w:val="left" w:leader="none"/>
        </w:tabs>
        <w:spacing w:before="29"/>
        <w:ind w:left="908" w:right="0" w:firstLine="0"/>
        <w:jc w:val="left"/>
        <w:rPr>
          <w:rFonts w:ascii="Arial MT"/>
          <w:sz w:val="6"/>
        </w:rPr>
      </w:pPr>
      <w:r>
        <w:rPr>
          <w:rFonts w:ascii="Arial MT"/>
          <w:spacing w:val="-5"/>
          <w:w w:val="260"/>
          <w:sz w:val="5"/>
        </w:rPr>
        <w:t>1.5</w:t>
      </w:r>
      <w:r>
        <w:rPr>
          <w:rFonts w:ascii="Arial MT"/>
          <w:sz w:val="5"/>
        </w:rPr>
        <w:tab/>
      </w:r>
      <w:r>
        <w:rPr>
          <w:rFonts w:ascii="Arial MT"/>
          <w:spacing w:val="-10"/>
          <w:w w:val="260"/>
          <w:position w:val="3"/>
          <w:sz w:val="6"/>
        </w:rPr>
        <w:t>8</w:t>
      </w:r>
    </w:p>
    <w:p>
      <w:pPr>
        <w:spacing w:after="0"/>
        <w:jc w:val="left"/>
        <w:rPr>
          <w:rFonts w:ascii="Arial MT"/>
          <w:sz w:val="6"/>
        </w:rPr>
        <w:sectPr>
          <w:pgSz w:w="11910" w:h="16840"/>
          <w:pgMar w:header="0" w:footer="979" w:top="1400" w:bottom="1240" w:left="280" w:right="0"/>
        </w:sectPr>
      </w:pPr>
    </w:p>
    <w:p>
      <w:pPr>
        <w:pStyle w:val="BodyText"/>
        <w:spacing w:before="12"/>
        <w:rPr>
          <w:rFonts w:ascii="Arial MT"/>
          <w:sz w:val="5"/>
        </w:rPr>
      </w:pPr>
    </w:p>
    <w:p>
      <w:pPr>
        <w:spacing w:before="0"/>
        <w:ind w:left="0" w:right="0" w:firstLine="0"/>
        <w:jc w:val="right"/>
        <w:rPr>
          <w:rFonts w:ascii="Arial MT"/>
          <w:sz w:val="5"/>
        </w:rPr>
      </w:pPr>
      <w:r>
        <w:rPr>
          <w:rFonts w:ascii="Arial MT"/>
          <w:spacing w:val="-5"/>
          <w:w w:val="265"/>
          <w:sz w:val="5"/>
        </w:rPr>
        <w:t>1.0</w:t>
      </w:r>
    </w:p>
    <w:p>
      <w:pPr>
        <w:spacing w:line="240" w:lineRule="auto" w:before="0"/>
        <w:rPr>
          <w:rFonts w:ascii="Arial MT"/>
          <w:sz w:val="5"/>
        </w:rPr>
      </w:pPr>
      <w:r>
        <w:rPr/>
        <w:br w:type="column"/>
      </w:r>
      <w:r>
        <w:rPr>
          <w:rFonts w:ascii="Arial MT"/>
          <w:sz w:val="5"/>
        </w:rPr>
      </w:r>
    </w:p>
    <w:p>
      <w:pPr>
        <w:pStyle w:val="BodyText"/>
        <w:spacing w:before="12"/>
        <w:rPr>
          <w:rFonts w:ascii="Arial MT"/>
          <w:sz w:val="5"/>
        </w:rPr>
      </w:pPr>
    </w:p>
    <w:p>
      <w:pPr>
        <w:tabs>
          <w:tab w:pos="381" w:val="left" w:leader="none"/>
          <w:tab w:pos="768" w:val="left" w:leader="none"/>
          <w:tab w:pos="1155" w:val="left" w:leader="none"/>
          <w:tab w:pos="1541" w:val="left" w:leader="none"/>
          <w:tab w:pos="1928" w:val="left" w:leader="none"/>
          <w:tab w:pos="2310" w:val="left" w:leader="none"/>
          <w:tab w:pos="2697" w:val="left" w:leader="none"/>
          <w:tab w:pos="3083" w:val="left" w:leader="none"/>
        </w:tabs>
        <w:spacing w:before="0"/>
        <w:ind w:left="0" w:right="0" w:firstLine="0"/>
        <w:jc w:val="left"/>
        <w:rPr>
          <w:rFonts w:ascii="Arial MT"/>
          <w:sz w:val="5"/>
        </w:rPr>
      </w:pPr>
      <w:r>
        <w:rPr>
          <w:rFonts w:ascii="Arial MT"/>
          <w:spacing w:val="-5"/>
          <w:w w:val="265"/>
          <w:sz w:val="5"/>
        </w:rPr>
        <w:t>70</w:t>
      </w:r>
      <w:r>
        <w:rPr>
          <w:rFonts w:ascii="Arial MT"/>
          <w:sz w:val="5"/>
        </w:rPr>
        <w:tab/>
      </w:r>
      <w:r>
        <w:rPr>
          <w:rFonts w:ascii="Arial MT"/>
          <w:spacing w:val="-5"/>
          <w:w w:val="265"/>
          <w:sz w:val="5"/>
        </w:rPr>
        <w:t>75</w:t>
      </w:r>
      <w:r>
        <w:rPr>
          <w:rFonts w:ascii="Arial MT"/>
          <w:sz w:val="5"/>
        </w:rPr>
        <w:tab/>
      </w:r>
      <w:r>
        <w:rPr>
          <w:rFonts w:ascii="Arial MT"/>
          <w:spacing w:val="-7"/>
          <w:w w:val="265"/>
          <w:sz w:val="5"/>
        </w:rPr>
        <w:t>80</w:t>
      </w:r>
      <w:r>
        <w:rPr>
          <w:rFonts w:ascii="Arial MT"/>
          <w:sz w:val="5"/>
        </w:rPr>
        <w:tab/>
      </w:r>
      <w:r>
        <w:rPr>
          <w:rFonts w:ascii="Arial MT"/>
          <w:spacing w:val="-5"/>
          <w:w w:val="265"/>
          <w:sz w:val="5"/>
        </w:rPr>
        <w:t>85</w:t>
      </w:r>
      <w:r>
        <w:rPr>
          <w:rFonts w:ascii="Arial MT"/>
          <w:sz w:val="5"/>
        </w:rPr>
        <w:tab/>
      </w:r>
      <w:r>
        <w:rPr>
          <w:rFonts w:ascii="Arial MT"/>
          <w:spacing w:val="-5"/>
          <w:w w:val="265"/>
          <w:sz w:val="5"/>
        </w:rPr>
        <w:t>90</w:t>
      </w:r>
      <w:r>
        <w:rPr>
          <w:rFonts w:ascii="Arial MT"/>
          <w:sz w:val="5"/>
        </w:rPr>
        <w:tab/>
      </w:r>
      <w:r>
        <w:rPr>
          <w:rFonts w:ascii="Arial MT"/>
          <w:spacing w:val="-5"/>
          <w:w w:val="265"/>
          <w:sz w:val="5"/>
        </w:rPr>
        <w:t>95</w:t>
      </w:r>
      <w:r>
        <w:rPr>
          <w:rFonts w:ascii="Arial MT"/>
          <w:sz w:val="5"/>
        </w:rPr>
        <w:tab/>
      </w:r>
      <w:r>
        <w:rPr>
          <w:rFonts w:ascii="Arial MT"/>
          <w:spacing w:val="-5"/>
          <w:w w:val="265"/>
          <w:sz w:val="5"/>
        </w:rPr>
        <w:t>00</w:t>
      </w:r>
      <w:r>
        <w:rPr>
          <w:rFonts w:ascii="Arial MT"/>
          <w:sz w:val="5"/>
        </w:rPr>
        <w:tab/>
      </w:r>
      <w:r>
        <w:rPr>
          <w:rFonts w:ascii="Arial MT"/>
          <w:spacing w:val="-5"/>
          <w:w w:val="265"/>
          <w:sz w:val="5"/>
        </w:rPr>
        <w:t>05</w:t>
      </w:r>
      <w:r>
        <w:rPr>
          <w:rFonts w:ascii="Arial MT"/>
          <w:sz w:val="5"/>
        </w:rPr>
        <w:tab/>
      </w:r>
      <w:r>
        <w:rPr>
          <w:rFonts w:ascii="Arial MT"/>
          <w:spacing w:val="-5"/>
          <w:w w:val="265"/>
          <w:sz w:val="5"/>
        </w:rPr>
        <w:t>10</w:t>
      </w:r>
    </w:p>
    <w:p>
      <w:pPr>
        <w:pStyle w:val="BodyText"/>
        <w:spacing w:before="3"/>
        <w:rPr>
          <w:rFonts w:ascii="Arial MT"/>
          <w:sz w:val="5"/>
        </w:rPr>
      </w:pPr>
    </w:p>
    <w:p>
      <w:pPr>
        <w:tabs>
          <w:tab w:pos="356" w:val="left" w:leader="none"/>
        </w:tabs>
        <w:spacing w:before="0"/>
        <w:ind w:left="94" w:right="0" w:firstLine="0"/>
        <w:jc w:val="center"/>
        <w:rPr>
          <w:rFonts w:ascii="Arial MT"/>
          <w:sz w:val="5"/>
        </w:rPr>
      </w:pPr>
      <w:r>
        <w:rPr/>
        <mc:AlternateContent>
          <mc:Choice Requires="wps">
            <w:drawing>
              <wp:anchor distT="0" distB="0" distL="0" distR="0" allowOverlap="1" layoutInCell="1" locked="0" behindDoc="1" simplePos="0" relativeHeight="464162304">
                <wp:simplePos x="0" y="0"/>
                <wp:positionH relativeFrom="page">
                  <wp:posOffset>1739583</wp:posOffset>
                </wp:positionH>
                <wp:positionV relativeFrom="paragraph">
                  <wp:posOffset>-7903</wp:posOffset>
                </wp:positionV>
                <wp:extent cx="377825" cy="51435"/>
                <wp:effectExtent l="0" t="0" r="0" b="0"/>
                <wp:wrapNone/>
                <wp:docPr id="31" name="Graphic 31"/>
                <wp:cNvGraphicFramePr>
                  <a:graphicFrameLocks/>
                </wp:cNvGraphicFramePr>
                <a:graphic>
                  <a:graphicData uri="http://schemas.microsoft.com/office/word/2010/wordprocessingShape">
                    <wps:wsp>
                      <wps:cNvPr id="31" name="Graphic 31"/>
                      <wps:cNvSpPr/>
                      <wps:spPr>
                        <a:xfrm>
                          <a:off x="0" y="0"/>
                          <a:ext cx="377825" cy="51435"/>
                        </a:xfrm>
                        <a:custGeom>
                          <a:avLst/>
                          <a:gdLst/>
                          <a:ahLst/>
                          <a:cxnLst/>
                          <a:rect l="l" t="t" r="r" b="b"/>
                          <a:pathLst>
                            <a:path w="377825" h="51435">
                              <a:moveTo>
                                <a:pt x="0" y="51342"/>
                              </a:moveTo>
                              <a:lnTo>
                                <a:pt x="377278" y="51342"/>
                              </a:lnTo>
                              <a:lnTo>
                                <a:pt x="377278" y="0"/>
                              </a:lnTo>
                              <a:lnTo>
                                <a:pt x="0" y="0"/>
                              </a:lnTo>
                              <a:lnTo>
                                <a:pt x="0" y="51342"/>
                              </a:lnTo>
                              <a:close/>
                            </a:path>
                          </a:pathLst>
                        </a:custGeom>
                        <a:ln w="2324">
                          <a:solidFill>
                            <a:srgbClr val="000000"/>
                          </a:solidFill>
                          <a:prstDash val="solid"/>
                        </a:ln>
                      </wps:spPr>
                      <wps:bodyPr wrap="square" lIns="0" tIns="0" rIns="0" bIns="0" rtlCol="0">
                        <a:prstTxWarp prst="textNoShape">
                          <a:avLst/>
                        </a:prstTxWarp>
                        <a:noAutofit/>
                      </wps:bodyPr>
                    </wps:wsp>
                  </a:graphicData>
                </a:graphic>
              </wp:anchor>
            </w:drawing>
          </mc:Choice>
          <mc:Fallback>
            <w:pict>
              <v:rect style="position:absolute;margin-left:136.975098pt;margin-top:-.622344pt;width:29.706967pt;height:4.04275pt;mso-position-horizontal-relative:page;mso-position-vertical-relative:paragraph;z-index:-39154176" id="docshape29" filled="false" stroked="true" strokeweight=".183065pt" strokecolor="#000000">
                <v:stroke dashstyle="solid"/>
                <w10:wrap type="none"/>
              </v:rect>
            </w:pict>
          </mc:Fallback>
        </mc:AlternateContent>
      </w:r>
      <w:r>
        <w:rPr>
          <w:rFonts w:ascii="Arial MT"/>
          <w:sz w:val="5"/>
          <w:u w:val="single"/>
        </w:rPr>
        <w:tab/>
      </w:r>
      <w:r>
        <w:rPr>
          <w:rFonts w:ascii="Arial MT"/>
          <w:spacing w:val="-4"/>
          <w:sz w:val="5"/>
        </w:rPr>
        <w:t> </w:t>
      </w:r>
      <w:r>
        <w:rPr>
          <w:rFonts w:ascii="Arial MT"/>
          <w:w w:val="265"/>
          <w:sz w:val="5"/>
        </w:rPr>
        <w:t>INF</w:t>
      </w:r>
    </w:p>
    <w:p>
      <w:pPr>
        <w:spacing w:line="240" w:lineRule="auto" w:before="63"/>
        <w:rPr>
          <w:rFonts w:ascii="Arial MT"/>
          <w:sz w:val="6"/>
        </w:rPr>
      </w:pPr>
      <w:r>
        <w:rPr/>
        <w:br w:type="column"/>
      </w:r>
      <w:r>
        <w:rPr>
          <w:rFonts w:ascii="Arial MT"/>
          <w:sz w:val="6"/>
        </w:rPr>
      </w:r>
    </w:p>
    <w:p>
      <w:pPr>
        <w:spacing w:before="0"/>
        <w:ind w:left="748" w:right="0" w:firstLine="0"/>
        <w:jc w:val="left"/>
        <w:rPr>
          <w:rFonts w:ascii="Arial MT"/>
          <w:sz w:val="6"/>
        </w:rPr>
      </w:pPr>
      <w:r>
        <w:rPr>
          <w:rFonts w:ascii="Arial MT"/>
          <w:spacing w:val="-10"/>
          <w:w w:val="250"/>
          <w:sz w:val="6"/>
        </w:rPr>
        <w:t>6</w:t>
      </w:r>
    </w:p>
    <w:p>
      <w:pPr>
        <w:pStyle w:val="BodyText"/>
        <w:rPr>
          <w:rFonts w:ascii="Arial MT"/>
          <w:sz w:val="6"/>
        </w:rPr>
      </w:pPr>
    </w:p>
    <w:p>
      <w:pPr>
        <w:pStyle w:val="BodyText"/>
        <w:spacing w:before="25"/>
        <w:rPr>
          <w:rFonts w:ascii="Arial MT"/>
          <w:sz w:val="6"/>
        </w:rPr>
      </w:pPr>
    </w:p>
    <w:p>
      <w:pPr>
        <w:spacing w:before="1"/>
        <w:ind w:left="748" w:right="0" w:firstLine="0"/>
        <w:jc w:val="left"/>
        <w:rPr>
          <w:rFonts w:ascii="Arial MT"/>
          <w:sz w:val="6"/>
        </w:rPr>
      </w:pPr>
      <w:r>
        <w:rPr>
          <w:rFonts w:ascii="Arial MT"/>
          <w:spacing w:val="-10"/>
          <w:w w:val="250"/>
          <w:sz w:val="6"/>
        </w:rPr>
        <w:t>4</w:t>
      </w:r>
    </w:p>
    <w:p>
      <w:pPr>
        <w:tabs>
          <w:tab w:pos="1277" w:val="left" w:leader="none"/>
          <w:tab w:pos="1720" w:val="left" w:leader="none"/>
          <w:tab w:pos="2162" w:val="left" w:leader="none"/>
          <w:tab w:pos="2605" w:val="left" w:leader="none"/>
          <w:tab w:pos="3048" w:val="left" w:leader="none"/>
          <w:tab w:pos="3485" w:val="left" w:leader="none"/>
          <w:tab w:pos="3928" w:val="left" w:leader="none"/>
          <w:tab w:pos="4370" w:val="left" w:leader="none"/>
        </w:tabs>
        <w:spacing w:before="7"/>
        <w:ind w:left="840" w:right="0" w:firstLine="0"/>
        <w:jc w:val="left"/>
        <w:rPr>
          <w:rFonts w:ascii="Arial MT"/>
          <w:sz w:val="6"/>
        </w:rPr>
      </w:pPr>
      <w:r>
        <w:rPr>
          <w:rFonts w:ascii="Arial MT"/>
          <w:spacing w:val="-5"/>
          <w:w w:val="250"/>
          <w:sz w:val="6"/>
        </w:rPr>
        <w:t>70</w:t>
      </w:r>
      <w:r>
        <w:rPr>
          <w:rFonts w:ascii="Arial MT"/>
          <w:sz w:val="6"/>
        </w:rPr>
        <w:tab/>
      </w:r>
      <w:r>
        <w:rPr>
          <w:rFonts w:ascii="Arial MT"/>
          <w:spacing w:val="-5"/>
          <w:w w:val="250"/>
          <w:sz w:val="6"/>
        </w:rPr>
        <w:t>75</w:t>
      </w:r>
      <w:r>
        <w:rPr>
          <w:rFonts w:ascii="Arial MT"/>
          <w:sz w:val="6"/>
        </w:rPr>
        <w:tab/>
      </w:r>
      <w:r>
        <w:rPr>
          <w:rFonts w:ascii="Arial MT"/>
          <w:spacing w:val="-5"/>
          <w:w w:val="250"/>
          <w:sz w:val="6"/>
        </w:rPr>
        <w:t>80</w:t>
      </w:r>
      <w:r>
        <w:rPr>
          <w:rFonts w:ascii="Arial MT"/>
          <w:sz w:val="6"/>
        </w:rPr>
        <w:tab/>
      </w:r>
      <w:r>
        <w:rPr>
          <w:rFonts w:ascii="Arial MT"/>
          <w:spacing w:val="-5"/>
          <w:w w:val="250"/>
          <w:sz w:val="6"/>
        </w:rPr>
        <w:t>85</w:t>
      </w:r>
      <w:r>
        <w:rPr>
          <w:rFonts w:ascii="Arial MT"/>
          <w:sz w:val="6"/>
        </w:rPr>
        <w:tab/>
      </w:r>
      <w:r>
        <w:rPr>
          <w:rFonts w:ascii="Arial MT"/>
          <w:spacing w:val="-5"/>
          <w:w w:val="250"/>
          <w:sz w:val="6"/>
        </w:rPr>
        <w:t>90</w:t>
      </w:r>
      <w:r>
        <w:rPr>
          <w:rFonts w:ascii="Arial MT"/>
          <w:sz w:val="6"/>
        </w:rPr>
        <w:tab/>
      </w:r>
      <w:r>
        <w:rPr>
          <w:rFonts w:ascii="Arial MT"/>
          <w:spacing w:val="-5"/>
          <w:w w:val="250"/>
          <w:sz w:val="6"/>
        </w:rPr>
        <w:t>95</w:t>
      </w:r>
      <w:r>
        <w:rPr>
          <w:rFonts w:ascii="Arial MT"/>
          <w:sz w:val="6"/>
        </w:rPr>
        <w:tab/>
      </w:r>
      <w:r>
        <w:rPr>
          <w:rFonts w:ascii="Arial MT"/>
          <w:spacing w:val="-5"/>
          <w:w w:val="250"/>
          <w:sz w:val="6"/>
        </w:rPr>
        <w:t>00</w:t>
      </w:r>
      <w:r>
        <w:rPr>
          <w:rFonts w:ascii="Arial MT"/>
          <w:sz w:val="6"/>
        </w:rPr>
        <w:tab/>
      </w:r>
      <w:r>
        <w:rPr>
          <w:rFonts w:ascii="Arial MT"/>
          <w:spacing w:val="-5"/>
          <w:w w:val="250"/>
          <w:sz w:val="6"/>
        </w:rPr>
        <w:t>05</w:t>
      </w:r>
      <w:r>
        <w:rPr>
          <w:rFonts w:ascii="Arial MT"/>
          <w:sz w:val="6"/>
        </w:rPr>
        <w:tab/>
      </w:r>
      <w:r>
        <w:rPr>
          <w:rFonts w:ascii="Arial MT"/>
          <w:spacing w:val="-5"/>
          <w:w w:val="250"/>
          <w:sz w:val="6"/>
        </w:rPr>
        <w:t>10</w:t>
      </w:r>
    </w:p>
    <w:p>
      <w:pPr>
        <w:spacing w:after="0"/>
        <w:jc w:val="left"/>
        <w:rPr>
          <w:rFonts w:ascii="Arial MT"/>
          <w:sz w:val="6"/>
        </w:rPr>
        <w:sectPr>
          <w:type w:val="continuous"/>
          <w:pgSz w:w="11910" w:h="16840"/>
          <w:pgMar w:header="0" w:footer="979" w:top="1340" w:bottom="1220" w:left="280" w:right="0"/>
          <w:cols w:num="3" w:equalWidth="0">
            <w:col w:w="1095" w:space="6"/>
            <w:col w:w="3236" w:space="40"/>
            <w:col w:w="7253"/>
          </w:cols>
        </w:sectPr>
      </w:pPr>
    </w:p>
    <w:p>
      <w:pPr>
        <w:pStyle w:val="BodyText"/>
        <w:spacing w:before="18"/>
        <w:rPr>
          <w:rFonts w:ascii="Arial MT"/>
          <w:sz w:val="6"/>
        </w:rPr>
      </w:pPr>
    </w:p>
    <w:p>
      <w:pPr>
        <w:tabs>
          <w:tab w:pos="2913" w:val="left" w:leader="none"/>
        </w:tabs>
        <w:spacing w:before="0"/>
        <w:ind w:left="2608" w:right="0" w:firstLine="0"/>
        <w:jc w:val="center"/>
        <w:rPr>
          <w:rFonts w:ascii="Arial MT"/>
          <w:sz w:val="6"/>
        </w:rPr>
      </w:pPr>
      <w:r>
        <w:rPr/>
        <mc:AlternateContent>
          <mc:Choice Requires="wps">
            <w:drawing>
              <wp:anchor distT="0" distB="0" distL="0" distR="0" allowOverlap="1" layoutInCell="1" locked="0" behindDoc="1" simplePos="0" relativeHeight="464158720">
                <wp:simplePos x="0" y="0"/>
                <wp:positionH relativeFrom="page">
                  <wp:posOffset>4361243</wp:posOffset>
                </wp:positionH>
                <wp:positionV relativeFrom="paragraph">
                  <wp:posOffset>-13693</wp:posOffset>
                </wp:positionV>
                <wp:extent cx="661670" cy="67310"/>
                <wp:effectExtent l="0" t="0" r="0" b="0"/>
                <wp:wrapNone/>
                <wp:docPr id="32" name="Graphic 32"/>
                <wp:cNvGraphicFramePr>
                  <a:graphicFrameLocks/>
                </wp:cNvGraphicFramePr>
                <a:graphic>
                  <a:graphicData uri="http://schemas.microsoft.com/office/word/2010/wordprocessingShape">
                    <wps:wsp>
                      <wps:cNvPr id="32" name="Graphic 32"/>
                      <wps:cNvSpPr/>
                      <wps:spPr>
                        <a:xfrm>
                          <a:off x="0" y="0"/>
                          <a:ext cx="661670" cy="67310"/>
                        </a:xfrm>
                        <a:custGeom>
                          <a:avLst/>
                          <a:gdLst/>
                          <a:ahLst/>
                          <a:cxnLst/>
                          <a:rect l="l" t="t" r="r" b="b"/>
                          <a:pathLst>
                            <a:path w="661670" h="67310">
                              <a:moveTo>
                                <a:pt x="0" y="67222"/>
                              </a:moveTo>
                              <a:lnTo>
                                <a:pt x="661579" y="67222"/>
                              </a:lnTo>
                              <a:lnTo>
                                <a:pt x="661579" y="0"/>
                              </a:lnTo>
                              <a:lnTo>
                                <a:pt x="0" y="0"/>
                              </a:lnTo>
                              <a:lnTo>
                                <a:pt x="0" y="67222"/>
                              </a:lnTo>
                              <a:close/>
                            </a:path>
                          </a:pathLst>
                        </a:custGeom>
                        <a:ln w="2958">
                          <a:solidFill>
                            <a:srgbClr val="000000"/>
                          </a:solidFill>
                          <a:prstDash val="solid"/>
                        </a:ln>
                      </wps:spPr>
                      <wps:bodyPr wrap="square" lIns="0" tIns="0" rIns="0" bIns="0" rtlCol="0">
                        <a:prstTxWarp prst="textNoShape">
                          <a:avLst/>
                        </a:prstTxWarp>
                        <a:noAutofit/>
                      </wps:bodyPr>
                    </wps:wsp>
                  </a:graphicData>
                </a:graphic>
              </wp:anchor>
            </w:drawing>
          </mc:Choice>
          <mc:Fallback>
            <w:pict>
              <v:rect style="position:absolute;margin-left:343.405029pt;margin-top:-1.078232pt;width:52.092893pt;height:5.293109pt;mso-position-horizontal-relative:page;mso-position-vertical-relative:paragraph;z-index:-39157760" id="docshape30" filled="false" stroked="true" strokeweight=".232923pt" strokecolor="#000000">
                <v:stroke dashstyle="solid"/>
                <w10:wrap type="none"/>
              </v:rect>
            </w:pict>
          </mc:Fallback>
        </mc:AlternateContent>
      </w:r>
      <w:r>
        <w:rPr>
          <w:rFonts w:ascii="Arial MT"/>
          <w:sz w:val="6"/>
          <w:u w:val="single"/>
        </w:rPr>
        <w:tab/>
      </w:r>
      <w:r>
        <w:rPr>
          <w:rFonts w:ascii="Arial MT"/>
          <w:spacing w:val="-5"/>
          <w:sz w:val="6"/>
        </w:rPr>
        <w:t> </w:t>
      </w:r>
      <w:r>
        <w:rPr>
          <w:rFonts w:ascii="Arial MT"/>
          <w:w w:val="250"/>
          <w:sz w:val="6"/>
        </w:rPr>
        <w:t>EXDEBT</w:t>
      </w:r>
    </w:p>
    <w:p>
      <w:pPr>
        <w:pStyle w:val="BodyText"/>
        <w:spacing w:before="37"/>
        <w:rPr>
          <w:rFonts w:ascii="Arial MT"/>
          <w:sz w:val="6"/>
        </w:rPr>
      </w:pPr>
    </w:p>
    <w:p>
      <w:pPr>
        <w:pStyle w:val="Heading5"/>
        <w:tabs>
          <w:tab w:pos="7038" w:val="left" w:leader="none"/>
        </w:tabs>
        <w:spacing w:before="0"/>
        <w:ind w:left="2271"/>
        <w:jc w:val="left"/>
      </w:pPr>
      <w:r>
        <w:rPr>
          <w:spacing w:val="-5"/>
        </w:rPr>
        <w:t>GCF</w:t>
      </w:r>
      <w:r>
        <w:rPr/>
        <w:tab/>
      </w:r>
      <w:r>
        <w:rPr>
          <w:spacing w:val="-5"/>
        </w:rPr>
        <w:t>DR</w:t>
      </w:r>
    </w:p>
    <w:p>
      <w:pPr>
        <w:pStyle w:val="BodyText"/>
        <w:rPr>
          <w:b/>
          <w:sz w:val="20"/>
        </w:rPr>
      </w:pPr>
    </w:p>
    <w:p>
      <w:pPr>
        <w:pStyle w:val="BodyText"/>
        <w:spacing w:before="107"/>
        <w:rPr>
          <w:b/>
          <w:sz w:val="20"/>
        </w:rPr>
      </w:pPr>
    </w:p>
    <w:p>
      <w:pPr>
        <w:spacing w:after="0"/>
        <w:rPr>
          <w:sz w:val="20"/>
        </w:rPr>
        <w:sectPr>
          <w:type w:val="continuous"/>
          <w:pgSz w:w="11910" w:h="16840"/>
          <w:pgMar w:header="0" w:footer="979" w:top="1340" w:bottom="1220" w:left="280" w:right="0"/>
        </w:sectPr>
      </w:pPr>
    </w:p>
    <w:p>
      <w:pPr>
        <w:pStyle w:val="BodyText"/>
        <w:spacing w:before="11"/>
        <w:rPr>
          <w:b/>
          <w:sz w:val="8"/>
        </w:rPr>
      </w:pPr>
    </w:p>
    <w:p>
      <w:pPr>
        <w:spacing w:before="0"/>
        <w:ind w:left="892" w:right="0" w:firstLine="0"/>
        <w:jc w:val="left"/>
        <w:rPr>
          <w:rFonts w:ascii="Arial MT"/>
          <w:sz w:val="8"/>
        </w:rPr>
      </w:pPr>
      <w:r>
        <w:rPr/>
        <mc:AlternateContent>
          <mc:Choice Requires="wps">
            <w:drawing>
              <wp:anchor distT="0" distB="0" distL="0" distR="0" allowOverlap="1" layoutInCell="1" locked="0" behindDoc="0" simplePos="0" relativeHeight="15736320">
                <wp:simplePos x="0" y="0"/>
                <wp:positionH relativeFrom="page">
                  <wp:posOffset>870418</wp:posOffset>
                </wp:positionH>
                <wp:positionV relativeFrom="paragraph">
                  <wp:posOffset>34194</wp:posOffset>
                </wp:positionV>
                <wp:extent cx="2259330" cy="1012825"/>
                <wp:effectExtent l="0" t="0" r="0" b="0"/>
                <wp:wrapNone/>
                <wp:docPr id="33" name="Graphic 33"/>
                <wp:cNvGraphicFramePr>
                  <a:graphicFrameLocks/>
                </wp:cNvGraphicFramePr>
                <a:graphic>
                  <a:graphicData uri="http://schemas.microsoft.com/office/word/2010/wordprocessingShape">
                    <wps:wsp>
                      <wps:cNvPr id="33" name="Graphic 33"/>
                      <wps:cNvSpPr/>
                      <wps:spPr>
                        <a:xfrm>
                          <a:off x="0" y="0"/>
                          <a:ext cx="2259330" cy="1012825"/>
                        </a:xfrm>
                        <a:custGeom>
                          <a:avLst/>
                          <a:gdLst/>
                          <a:ahLst/>
                          <a:cxnLst/>
                          <a:rect l="l" t="t" r="r" b="b"/>
                          <a:pathLst>
                            <a:path w="2259330" h="1012825">
                              <a:moveTo>
                                <a:pt x="0" y="988786"/>
                              </a:moveTo>
                              <a:lnTo>
                                <a:pt x="33168" y="988786"/>
                              </a:lnTo>
                            </a:path>
                            <a:path w="2259330" h="1012825">
                              <a:moveTo>
                                <a:pt x="0" y="864930"/>
                              </a:moveTo>
                              <a:lnTo>
                                <a:pt x="33168" y="864930"/>
                              </a:lnTo>
                            </a:path>
                            <a:path w="2259330" h="1012825">
                              <a:moveTo>
                                <a:pt x="0" y="741074"/>
                              </a:moveTo>
                              <a:lnTo>
                                <a:pt x="33168" y="741074"/>
                              </a:lnTo>
                            </a:path>
                            <a:path w="2259330" h="1012825">
                              <a:moveTo>
                                <a:pt x="0" y="617258"/>
                              </a:moveTo>
                              <a:lnTo>
                                <a:pt x="33168" y="617258"/>
                              </a:lnTo>
                            </a:path>
                            <a:path w="2259330" h="1012825">
                              <a:moveTo>
                                <a:pt x="0" y="495345"/>
                              </a:moveTo>
                              <a:lnTo>
                                <a:pt x="33168" y="495345"/>
                              </a:lnTo>
                            </a:path>
                            <a:path w="2259330" h="1012825">
                              <a:moveTo>
                                <a:pt x="0" y="371548"/>
                              </a:moveTo>
                              <a:lnTo>
                                <a:pt x="33168" y="371548"/>
                              </a:lnTo>
                            </a:path>
                            <a:path w="2259330" h="1012825">
                              <a:moveTo>
                                <a:pt x="0" y="247672"/>
                              </a:moveTo>
                              <a:lnTo>
                                <a:pt x="33168" y="247672"/>
                              </a:lnTo>
                            </a:path>
                            <a:path w="2259330" h="1012825">
                              <a:moveTo>
                                <a:pt x="0" y="123816"/>
                              </a:moveTo>
                              <a:lnTo>
                                <a:pt x="33168" y="123816"/>
                              </a:lnTo>
                            </a:path>
                            <a:path w="2259330" h="1012825">
                              <a:moveTo>
                                <a:pt x="0" y="1962"/>
                              </a:moveTo>
                              <a:lnTo>
                                <a:pt x="33168" y="1962"/>
                              </a:lnTo>
                            </a:path>
                            <a:path w="2259330" h="1012825">
                              <a:moveTo>
                                <a:pt x="36475" y="990749"/>
                              </a:moveTo>
                              <a:lnTo>
                                <a:pt x="36475" y="1002524"/>
                              </a:lnTo>
                            </a:path>
                            <a:path w="2259330" h="1012825">
                              <a:moveTo>
                                <a:pt x="89481" y="990749"/>
                              </a:moveTo>
                              <a:lnTo>
                                <a:pt x="89481" y="1002524"/>
                              </a:lnTo>
                            </a:path>
                            <a:path w="2259330" h="1012825">
                              <a:moveTo>
                                <a:pt x="142440" y="990749"/>
                              </a:moveTo>
                              <a:lnTo>
                                <a:pt x="142440" y="1002524"/>
                              </a:lnTo>
                            </a:path>
                            <a:path w="2259330" h="1012825">
                              <a:moveTo>
                                <a:pt x="198773" y="990749"/>
                              </a:moveTo>
                              <a:lnTo>
                                <a:pt x="198773" y="1002524"/>
                              </a:lnTo>
                            </a:path>
                            <a:path w="2259330" h="1012825">
                              <a:moveTo>
                                <a:pt x="251765" y="990749"/>
                              </a:moveTo>
                              <a:lnTo>
                                <a:pt x="251765" y="1002524"/>
                              </a:lnTo>
                            </a:path>
                            <a:path w="2259330" h="1012825">
                              <a:moveTo>
                                <a:pt x="304790" y="990749"/>
                              </a:moveTo>
                              <a:lnTo>
                                <a:pt x="304790" y="1002524"/>
                              </a:lnTo>
                            </a:path>
                            <a:path w="2259330" h="1012825">
                              <a:moveTo>
                                <a:pt x="361123" y="990749"/>
                              </a:moveTo>
                              <a:lnTo>
                                <a:pt x="361123" y="1002524"/>
                              </a:lnTo>
                            </a:path>
                            <a:path w="2259330" h="1012825">
                              <a:moveTo>
                                <a:pt x="414148" y="990749"/>
                              </a:moveTo>
                              <a:lnTo>
                                <a:pt x="414148" y="1002524"/>
                              </a:lnTo>
                            </a:path>
                            <a:path w="2259330" h="1012825">
                              <a:moveTo>
                                <a:pt x="467074" y="990749"/>
                              </a:moveTo>
                              <a:lnTo>
                                <a:pt x="467074" y="1002524"/>
                              </a:lnTo>
                            </a:path>
                            <a:path w="2259330" h="1012825">
                              <a:moveTo>
                                <a:pt x="523407" y="990749"/>
                              </a:moveTo>
                              <a:lnTo>
                                <a:pt x="523407" y="1002524"/>
                              </a:lnTo>
                            </a:path>
                            <a:path w="2259330" h="1012825">
                              <a:moveTo>
                                <a:pt x="576432" y="990749"/>
                              </a:moveTo>
                              <a:lnTo>
                                <a:pt x="576432" y="1002524"/>
                              </a:lnTo>
                            </a:path>
                            <a:path w="2259330" h="1012825">
                              <a:moveTo>
                                <a:pt x="632765" y="990749"/>
                              </a:moveTo>
                              <a:lnTo>
                                <a:pt x="632765" y="1002524"/>
                              </a:lnTo>
                            </a:path>
                            <a:path w="2259330" h="1012825">
                              <a:moveTo>
                                <a:pt x="685757" y="990749"/>
                              </a:moveTo>
                              <a:lnTo>
                                <a:pt x="685757" y="1002524"/>
                              </a:lnTo>
                            </a:path>
                            <a:path w="2259330" h="1012825">
                              <a:moveTo>
                                <a:pt x="738782" y="990749"/>
                              </a:moveTo>
                              <a:lnTo>
                                <a:pt x="738782" y="1002524"/>
                              </a:lnTo>
                            </a:path>
                            <a:path w="2259330" h="1012825">
                              <a:moveTo>
                                <a:pt x="795016" y="990749"/>
                              </a:moveTo>
                              <a:lnTo>
                                <a:pt x="795016" y="1002524"/>
                              </a:lnTo>
                            </a:path>
                            <a:path w="2259330" h="1012825">
                              <a:moveTo>
                                <a:pt x="848041" y="990749"/>
                              </a:moveTo>
                              <a:lnTo>
                                <a:pt x="848041" y="1002524"/>
                              </a:lnTo>
                            </a:path>
                            <a:path w="2259330" h="1012825">
                              <a:moveTo>
                                <a:pt x="901067" y="990749"/>
                              </a:moveTo>
                              <a:lnTo>
                                <a:pt x="901067" y="1002524"/>
                              </a:lnTo>
                            </a:path>
                            <a:path w="2259330" h="1012825">
                              <a:moveTo>
                                <a:pt x="957400" y="990749"/>
                              </a:moveTo>
                              <a:lnTo>
                                <a:pt x="957400" y="1002524"/>
                              </a:lnTo>
                            </a:path>
                            <a:path w="2259330" h="1012825">
                              <a:moveTo>
                                <a:pt x="1010425" y="990749"/>
                              </a:moveTo>
                              <a:lnTo>
                                <a:pt x="1010425" y="1002524"/>
                              </a:lnTo>
                            </a:path>
                            <a:path w="2259330" h="1012825">
                              <a:moveTo>
                                <a:pt x="1063417" y="990749"/>
                              </a:moveTo>
                              <a:lnTo>
                                <a:pt x="1063417" y="1002524"/>
                              </a:lnTo>
                            </a:path>
                            <a:path w="2259330" h="1012825">
                              <a:moveTo>
                                <a:pt x="1119684" y="990749"/>
                              </a:moveTo>
                              <a:lnTo>
                                <a:pt x="1119684" y="1002524"/>
                              </a:lnTo>
                            </a:path>
                            <a:path w="2259330" h="1012825">
                              <a:moveTo>
                                <a:pt x="1172709" y="990749"/>
                              </a:moveTo>
                              <a:lnTo>
                                <a:pt x="1172709" y="1002524"/>
                              </a:lnTo>
                            </a:path>
                            <a:path w="2259330" h="1012825">
                              <a:moveTo>
                                <a:pt x="1229009" y="990749"/>
                              </a:moveTo>
                              <a:lnTo>
                                <a:pt x="1229009" y="1002524"/>
                              </a:lnTo>
                            </a:path>
                            <a:path w="2259330" h="1012825">
                              <a:moveTo>
                                <a:pt x="1282034" y="990749"/>
                              </a:moveTo>
                              <a:lnTo>
                                <a:pt x="1282034" y="1002524"/>
                              </a:lnTo>
                            </a:path>
                            <a:path w="2259330" h="1012825">
                              <a:moveTo>
                                <a:pt x="1335059" y="990749"/>
                              </a:moveTo>
                              <a:lnTo>
                                <a:pt x="1335059" y="1002524"/>
                              </a:lnTo>
                            </a:path>
                            <a:path w="2259330" h="1012825">
                              <a:moveTo>
                                <a:pt x="1391392" y="990749"/>
                              </a:moveTo>
                              <a:lnTo>
                                <a:pt x="1391392" y="1002524"/>
                              </a:lnTo>
                            </a:path>
                            <a:path w="2259330" h="1012825">
                              <a:moveTo>
                                <a:pt x="1444318" y="990749"/>
                              </a:moveTo>
                              <a:lnTo>
                                <a:pt x="1444318" y="1002524"/>
                              </a:lnTo>
                            </a:path>
                            <a:path w="2259330" h="1012825">
                              <a:moveTo>
                                <a:pt x="1497343" y="990749"/>
                              </a:moveTo>
                              <a:lnTo>
                                <a:pt x="1497343" y="1002524"/>
                              </a:lnTo>
                            </a:path>
                            <a:path w="2259330" h="1012825">
                              <a:moveTo>
                                <a:pt x="1553676" y="990749"/>
                              </a:moveTo>
                              <a:lnTo>
                                <a:pt x="1553676" y="1002524"/>
                              </a:lnTo>
                            </a:path>
                            <a:path w="2259330" h="1012825">
                              <a:moveTo>
                                <a:pt x="1606701" y="990749"/>
                              </a:moveTo>
                              <a:lnTo>
                                <a:pt x="1606701" y="1002524"/>
                              </a:lnTo>
                            </a:path>
                            <a:path w="2259330" h="1012825">
                              <a:moveTo>
                                <a:pt x="1659693" y="990749"/>
                              </a:moveTo>
                              <a:lnTo>
                                <a:pt x="1659693" y="1002524"/>
                              </a:lnTo>
                            </a:path>
                            <a:path w="2259330" h="1012825">
                              <a:moveTo>
                                <a:pt x="1716026" y="990749"/>
                              </a:moveTo>
                              <a:lnTo>
                                <a:pt x="1716026" y="1002524"/>
                              </a:lnTo>
                            </a:path>
                            <a:path w="2259330" h="1012825">
                              <a:moveTo>
                                <a:pt x="1768952" y="990749"/>
                              </a:moveTo>
                              <a:lnTo>
                                <a:pt x="1768952" y="1002524"/>
                              </a:lnTo>
                            </a:path>
                            <a:path w="2259330" h="1012825">
                              <a:moveTo>
                                <a:pt x="1825285" y="990749"/>
                              </a:moveTo>
                              <a:lnTo>
                                <a:pt x="1825285" y="1002524"/>
                              </a:lnTo>
                            </a:path>
                            <a:path w="2259330" h="1012825">
                              <a:moveTo>
                                <a:pt x="1878311" y="990749"/>
                              </a:moveTo>
                              <a:lnTo>
                                <a:pt x="1878311" y="1002524"/>
                              </a:lnTo>
                            </a:path>
                            <a:path w="2259330" h="1012825">
                              <a:moveTo>
                                <a:pt x="1931336" y="990749"/>
                              </a:moveTo>
                              <a:lnTo>
                                <a:pt x="1931336" y="1002524"/>
                              </a:lnTo>
                            </a:path>
                            <a:path w="2259330" h="1012825">
                              <a:moveTo>
                                <a:pt x="1987669" y="990749"/>
                              </a:moveTo>
                              <a:lnTo>
                                <a:pt x="1987669" y="1002524"/>
                              </a:lnTo>
                            </a:path>
                            <a:path w="2259330" h="1012825">
                              <a:moveTo>
                                <a:pt x="2040661" y="990749"/>
                              </a:moveTo>
                              <a:lnTo>
                                <a:pt x="2040661" y="1002524"/>
                              </a:lnTo>
                            </a:path>
                            <a:path w="2259330" h="1012825">
                              <a:moveTo>
                                <a:pt x="2093620" y="990749"/>
                              </a:moveTo>
                              <a:lnTo>
                                <a:pt x="2093620" y="1002524"/>
                              </a:lnTo>
                            </a:path>
                            <a:path w="2259330" h="1012825">
                              <a:moveTo>
                                <a:pt x="2149953" y="990749"/>
                              </a:moveTo>
                              <a:lnTo>
                                <a:pt x="2149953" y="1002525"/>
                              </a:lnTo>
                            </a:path>
                            <a:path w="2259330" h="1012825">
                              <a:moveTo>
                                <a:pt x="2202945" y="990749"/>
                              </a:moveTo>
                              <a:lnTo>
                                <a:pt x="2202945" y="1002525"/>
                              </a:lnTo>
                            </a:path>
                            <a:path w="2259330" h="1012825">
                              <a:moveTo>
                                <a:pt x="2255970" y="990749"/>
                              </a:moveTo>
                              <a:lnTo>
                                <a:pt x="2255970" y="1002525"/>
                              </a:lnTo>
                            </a:path>
                            <a:path w="2259330" h="1012825">
                              <a:moveTo>
                                <a:pt x="36475" y="990749"/>
                              </a:moveTo>
                              <a:lnTo>
                                <a:pt x="36475" y="1012356"/>
                              </a:lnTo>
                            </a:path>
                            <a:path w="2259330" h="1012825">
                              <a:moveTo>
                                <a:pt x="304790" y="990749"/>
                              </a:moveTo>
                              <a:lnTo>
                                <a:pt x="304790" y="1012356"/>
                              </a:lnTo>
                            </a:path>
                            <a:path w="2259330" h="1012825">
                              <a:moveTo>
                                <a:pt x="576432" y="990749"/>
                              </a:moveTo>
                              <a:lnTo>
                                <a:pt x="576432" y="1012356"/>
                              </a:lnTo>
                            </a:path>
                            <a:path w="2259330" h="1012825">
                              <a:moveTo>
                                <a:pt x="848041" y="990749"/>
                              </a:moveTo>
                              <a:lnTo>
                                <a:pt x="848041" y="1012357"/>
                              </a:lnTo>
                            </a:path>
                            <a:path w="2259330" h="1012825">
                              <a:moveTo>
                                <a:pt x="1119684" y="990749"/>
                              </a:moveTo>
                              <a:lnTo>
                                <a:pt x="1119684" y="1012357"/>
                              </a:lnTo>
                            </a:path>
                            <a:path w="2259330" h="1012825">
                              <a:moveTo>
                                <a:pt x="1391392" y="990749"/>
                              </a:moveTo>
                              <a:lnTo>
                                <a:pt x="1391392" y="1012357"/>
                              </a:lnTo>
                            </a:path>
                            <a:path w="2259330" h="1012825">
                              <a:moveTo>
                                <a:pt x="1659693" y="990749"/>
                              </a:moveTo>
                              <a:lnTo>
                                <a:pt x="1659693" y="1012357"/>
                              </a:lnTo>
                            </a:path>
                            <a:path w="2259330" h="1012825">
                              <a:moveTo>
                                <a:pt x="1931336" y="990749"/>
                              </a:moveTo>
                              <a:lnTo>
                                <a:pt x="1931336" y="1012357"/>
                              </a:lnTo>
                            </a:path>
                            <a:path w="2259330" h="1012825">
                              <a:moveTo>
                                <a:pt x="2202945" y="990749"/>
                              </a:moveTo>
                              <a:lnTo>
                                <a:pt x="2202945" y="1012357"/>
                              </a:lnTo>
                            </a:path>
                            <a:path w="2259330" h="1012825">
                              <a:moveTo>
                                <a:pt x="36475" y="668343"/>
                              </a:moveTo>
                              <a:lnTo>
                                <a:pt x="89481" y="910128"/>
                              </a:lnTo>
                              <a:lnTo>
                                <a:pt x="142440" y="711617"/>
                              </a:lnTo>
                              <a:lnTo>
                                <a:pt x="198773" y="837396"/>
                              </a:lnTo>
                              <a:lnTo>
                                <a:pt x="251765" y="752889"/>
                              </a:lnTo>
                              <a:lnTo>
                                <a:pt x="304790" y="723392"/>
                              </a:lnTo>
                              <a:lnTo>
                                <a:pt x="361123" y="802011"/>
                              </a:lnTo>
                              <a:lnTo>
                                <a:pt x="414148" y="849230"/>
                              </a:lnTo>
                              <a:lnTo>
                                <a:pt x="467074" y="570039"/>
                              </a:lnTo>
                              <a:lnTo>
                                <a:pt x="523407" y="625108"/>
                              </a:lnTo>
                              <a:lnTo>
                                <a:pt x="576432" y="646755"/>
                              </a:lnTo>
                              <a:lnTo>
                                <a:pt x="629424" y="609408"/>
                              </a:lnTo>
                              <a:lnTo>
                                <a:pt x="685757" y="446222"/>
                              </a:lnTo>
                              <a:lnTo>
                                <a:pt x="738782" y="526804"/>
                              </a:lnTo>
                              <a:lnTo>
                                <a:pt x="791708" y="454092"/>
                              </a:lnTo>
                              <a:lnTo>
                                <a:pt x="848041" y="406913"/>
                              </a:lnTo>
                              <a:lnTo>
                                <a:pt x="901067" y="365601"/>
                              </a:lnTo>
                              <a:lnTo>
                                <a:pt x="954092" y="310591"/>
                              </a:lnTo>
                              <a:lnTo>
                                <a:pt x="1010425" y="345976"/>
                              </a:lnTo>
                              <a:lnTo>
                                <a:pt x="1063417" y="273244"/>
                              </a:lnTo>
                              <a:lnTo>
                                <a:pt x="1116376" y="310591"/>
                              </a:lnTo>
                              <a:lnTo>
                                <a:pt x="1172709" y="351864"/>
                              </a:lnTo>
                              <a:lnTo>
                                <a:pt x="1225701" y="229970"/>
                              </a:lnTo>
                              <a:lnTo>
                                <a:pt x="1278726" y="285020"/>
                              </a:lnTo>
                              <a:lnTo>
                                <a:pt x="1335059" y="391173"/>
                              </a:lnTo>
                              <a:lnTo>
                                <a:pt x="1388084" y="300779"/>
                              </a:lnTo>
                              <a:lnTo>
                                <a:pt x="1441010" y="277169"/>
                              </a:lnTo>
                              <a:lnTo>
                                <a:pt x="1497343" y="373511"/>
                              </a:lnTo>
                              <a:lnTo>
                                <a:pt x="1550368" y="338126"/>
                              </a:lnTo>
                              <a:lnTo>
                                <a:pt x="1603393" y="94320"/>
                              </a:lnTo>
                              <a:lnTo>
                                <a:pt x="1659693" y="176923"/>
                              </a:lnTo>
                              <a:lnTo>
                                <a:pt x="1712719" y="292870"/>
                              </a:lnTo>
                              <a:lnTo>
                                <a:pt x="1765645" y="153314"/>
                              </a:lnTo>
                              <a:lnTo>
                                <a:pt x="1821978" y="172978"/>
                              </a:lnTo>
                              <a:lnTo>
                                <a:pt x="1875003" y="190661"/>
                              </a:lnTo>
                              <a:lnTo>
                                <a:pt x="1928028" y="86470"/>
                              </a:lnTo>
                              <a:lnTo>
                                <a:pt x="1984361" y="86470"/>
                              </a:lnTo>
                              <a:lnTo>
                                <a:pt x="2037353" y="375473"/>
                              </a:lnTo>
                              <a:lnTo>
                                <a:pt x="2090312" y="306667"/>
                              </a:lnTo>
                              <a:lnTo>
                                <a:pt x="2146645" y="279132"/>
                              </a:lnTo>
                              <a:lnTo>
                                <a:pt x="2199637" y="277170"/>
                              </a:lnTo>
                            </a:path>
                            <a:path w="2259330" h="1012825">
                              <a:moveTo>
                                <a:pt x="33168" y="0"/>
                              </a:moveTo>
                              <a:lnTo>
                                <a:pt x="33168" y="990749"/>
                              </a:lnTo>
                              <a:lnTo>
                                <a:pt x="2259278" y="990749"/>
                              </a:lnTo>
                              <a:lnTo>
                                <a:pt x="2259278" y="0"/>
                              </a:lnTo>
                              <a:lnTo>
                                <a:pt x="33168" y="0"/>
                              </a:lnTo>
                            </a:path>
                          </a:pathLst>
                        </a:custGeom>
                        <a:ln w="527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8.536919pt;margin-top:2.692458pt;width:177.9pt;height:79.75pt;mso-position-horizontal-relative:page;mso-position-vertical-relative:paragraph;z-index:15736320" id="docshape31" coordorigin="1371,54" coordsize="3558,1595" path="m1371,1611l1423,1611m1371,1416l1423,1416m1371,1221l1423,1221m1371,1026l1423,1026m1371,834l1423,834m1371,639l1423,639m1371,444l1423,444m1371,249l1423,249m1371,57l1423,57m1428,1614l1428,1633m1512,1614l1512,1633m1595,1614l1595,1633m1684,1614l1684,1633m1767,1614l1767,1633m1851,1614l1851,1633m1939,1614l1939,1633m2023,1614l2023,1633m2106,1614l2106,1633m2195,1614l2195,1633m2279,1614l2279,1633m2367,1614l2367,1633m2451,1614l2451,1633m2534,1614l2534,1633m2623,1614l2623,1633m2706,1614l2706,1633m2790,1614l2790,1633m2878,1614l2878,1633m2962,1614l2962,1633m3045,1614l3045,1633m3134,1614l3134,1633m3218,1614l3218,1633m3306,1614l3306,1633m3390,1614l3390,1633m3473,1614l3473,1633m3562,1614l3562,1633m3645,1614l3645,1633m3729,1614l3729,1633m3817,1614l3817,1633m3901,1614l3901,1633m3984,1614l3984,1633m4073,1614l4073,1633m4156,1614l4156,1633m4245,1614l4245,1633m4329,1614l4329,1633m4412,1614l4412,1633m4501,1614l4501,1633m4584,1614l4584,1633m4668,1614l4668,1633m4756,1614l4756,1633m4840,1614l4840,1633m4923,1614l4923,1633m1428,1614l1428,1648m1851,1614l1851,1648m2279,1614l2279,1648m2706,1614l2706,1648m3134,1614l3134,1648m3562,1614l3562,1648m3984,1614l3984,1648m4412,1614l4412,1648m4840,1614l4840,1648m1428,1106l1512,1487,1595,1175,1684,1373,1767,1240,1851,1193,1939,1317,2023,1391,2106,952,2195,1038,2279,1072,2362,1014,2451,757,2534,883,2618,769,2706,695,2790,630,2873,543,2962,599,3045,484,3129,543,3218,608,3301,416,3384,503,3473,670,3557,528,3640,490,3729,642,3812,586,3896,202,3984,332,4068,515,4151,295,4240,326,4323,354,4407,190,4496,190,4579,645,4663,537,4751,493,4835,490m1423,54l1423,1614,4929,1614,4929,54,1423,54e" filled="false" stroked="true" strokeweight=".415076pt" strokecolor="#000000">
                <v:path arrowok="t"/>
                <v:stroke dashstyle="solid"/>
                <w10:wrap type="none"/>
              </v:shape>
            </w:pict>
          </mc:Fallback>
        </mc:AlternateContent>
      </w:r>
      <w:r>
        <w:rPr>
          <w:rFonts w:ascii="Arial MT"/>
          <w:spacing w:val="-5"/>
          <w:w w:val="180"/>
          <w:sz w:val="8"/>
        </w:rPr>
        <w:t>16</w:t>
      </w:r>
    </w:p>
    <w:p>
      <w:pPr>
        <w:pStyle w:val="BodyText"/>
        <w:spacing w:before="8"/>
        <w:rPr>
          <w:rFonts w:ascii="Arial MT"/>
          <w:sz w:val="8"/>
        </w:rPr>
      </w:pPr>
    </w:p>
    <w:p>
      <w:pPr>
        <w:spacing w:before="0"/>
        <w:ind w:left="892" w:right="0" w:firstLine="0"/>
        <w:jc w:val="left"/>
        <w:rPr>
          <w:rFonts w:ascii="Arial MT"/>
          <w:sz w:val="8"/>
        </w:rPr>
      </w:pPr>
      <w:r>
        <w:rPr>
          <w:rFonts w:ascii="Arial MT"/>
          <w:spacing w:val="-5"/>
          <w:w w:val="180"/>
          <w:sz w:val="8"/>
        </w:rPr>
        <w:t>14</w:t>
      </w:r>
    </w:p>
    <w:p>
      <w:pPr>
        <w:pStyle w:val="BodyText"/>
        <w:spacing w:before="11"/>
        <w:rPr>
          <w:rFonts w:ascii="Arial MT"/>
          <w:sz w:val="8"/>
        </w:rPr>
      </w:pPr>
    </w:p>
    <w:p>
      <w:pPr>
        <w:spacing w:before="0"/>
        <w:ind w:left="892" w:right="0" w:firstLine="0"/>
        <w:jc w:val="left"/>
        <w:rPr>
          <w:rFonts w:ascii="Arial MT"/>
          <w:sz w:val="8"/>
        </w:rPr>
      </w:pPr>
      <w:r>
        <w:rPr>
          <w:rFonts w:ascii="Arial MT"/>
          <w:spacing w:val="-5"/>
          <w:w w:val="180"/>
          <w:sz w:val="8"/>
        </w:rPr>
        <w:t>12</w:t>
      </w:r>
    </w:p>
    <w:p>
      <w:pPr>
        <w:pStyle w:val="BodyText"/>
        <w:spacing w:before="11"/>
        <w:rPr>
          <w:rFonts w:ascii="Arial MT"/>
          <w:sz w:val="8"/>
        </w:rPr>
      </w:pPr>
    </w:p>
    <w:p>
      <w:pPr>
        <w:spacing w:before="0"/>
        <w:ind w:left="892" w:right="0" w:firstLine="0"/>
        <w:jc w:val="left"/>
        <w:rPr>
          <w:rFonts w:ascii="Arial MT"/>
          <w:sz w:val="8"/>
        </w:rPr>
      </w:pPr>
      <w:r>
        <w:rPr>
          <w:rFonts w:ascii="Arial MT"/>
          <w:spacing w:val="-5"/>
          <w:w w:val="180"/>
          <w:sz w:val="8"/>
        </w:rPr>
        <w:t>10</w:t>
      </w:r>
    </w:p>
    <w:p>
      <w:pPr>
        <w:pStyle w:val="BodyText"/>
        <w:spacing w:before="11"/>
        <w:rPr>
          <w:rFonts w:ascii="Arial MT"/>
          <w:sz w:val="8"/>
        </w:rPr>
      </w:pPr>
    </w:p>
    <w:p>
      <w:pPr>
        <w:spacing w:before="0"/>
        <w:ind w:left="975" w:right="0" w:firstLine="0"/>
        <w:jc w:val="left"/>
        <w:rPr>
          <w:rFonts w:ascii="Arial MT"/>
          <w:sz w:val="8"/>
        </w:rPr>
      </w:pPr>
      <w:r>
        <w:rPr>
          <w:rFonts w:ascii="Arial MT"/>
          <w:spacing w:val="-10"/>
          <w:w w:val="180"/>
          <w:sz w:val="8"/>
        </w:rPr>
        <w:t>8</w:t>
      </w:r>
    </w:p>
    <w:p>
      <w:pPr>
        <w:pStyle w:val="BodyText"/>
        <w:spacing w:before="8"/>
        <w:rPr>
          <w:rFonts w:ascii="Arial MT"/>
          <w:sz w:val="8"/>
        </w:rPr>
      </w:pPr>
    </w:p>
    <w:p>
      <w:pPr>
        <w:spacing w:before="0"/>
        <w:ind w:left="975" w:right="0" w:firstLine="0"/>
        <w:jc w:val="left"/>
        <w:rPr>
          <w:rFonts w:ascii="Arial MT"/>
          <w:sz w:val="8"/>
        </w:rPr>
      </w:pPr>
      <w:r>
        <w:rPr>
          <w:rFonts w:ascii="Arial MT"/>
          <w:spacing w:val="-10"/>
          <w:w w:val="180"/>
          <w:sz w:val="8"/>
        </w:rPr>
        <w:t>6</w:t>
      </w:r>
    </w:p>
    <w:p>
      <w:pPr>
        <w:pStyle w:val="BodyText"/>
        <w:spacing w:before="11"/>
        <w:rPr>
          <w:rFonts w:ascii="Arial MT"/>
          <w:sz w:val="8"/>
        </w:rPr>
      </w:pPr>
    </w:p>
    <w:p>
      <w:pPr>
        <w:spacing w:before="0"/>
        <w:ind w:left="975" w:right="0" w:firstLine="0"/>
        <w:jc w:val="left"/>
        <w:rPr>
          <w:rFonts w:ascii="Arial MT"/>
          <w:sz w:val="8"/>
        </w:rPr>
      </w:pPr>
      <w:r>
        <w:rPr>
          <w:rFonts w:ascii="Arial MT"/>
          <w:spacing w:val="-10"/>
          <w:w w:val="180"/>
          <w:sz w:val="8"/>
        </w:rPr>
        <w:t>4</w:t>
      </w:r>
    </w:p>
    <w:p>
      <w:pPr>
        <w:pStyle w:val="BodyText"/>
        <w:spacing w:before="11"/>
        <w:rPr>
          <w:rFonts w:ascii="Arial MT"/>
          <w:sz w:val="8"/>
        </w:rPr>
      </w:pPr>
    </w:p>
    <w:p>
      <w:pPr>
        <w:spacing w:before="0"/>
        <w:ind w:left="975" w:right="0" w:firstLine="0"/>
        <w:jc w:val="left"/>
        <w:rPr>
          <w:rFonts w:ascii="Arial MT"/>
          <w:sz w:val="8"/>
        </w:rPr>
      </w:pPr>
      <w:r>
        <w:rPr>
          <w:rFonts w:ascii="Arial MT"/>
          <w:spacing w:val="-10"/>
          <w:w w:val="180"/>
          <w:sz w:val="8"/>
        </w:rPr>
        <w:t>2</w:t>
      </w:r>
    </w:p>
    <w:p>
      <w:pPr>
        <w:pStyle w:val="BodyText"/>
        <w:spacing w:before="11"/>
        <w:rPr>
          <w:rFonts w:ascii="Arial MT"/>
          <w:sz w:val="8"/>
        </w:rPr>
      </w:pPr>
    </w:p>
    <w:p>
      <w:pPr>
        <w:spacing w:before="0"/>
        <w:ind w:left="975" w:right="0" w:firstLine="0"/>
        <w:jc w:val="left"/>
        <w:rPr>
          <w:rFonts w:ascii="Arial MT"/>
          <w:sz w:val="8"/>
        </w:rPr>
      </w:pPr>
      <w:r>
        <w:rPr>
          <w:rFonts w:ascii="Arial MT"/>
          <w:spacing w:val="-10"/>
          <w:w w:val="180"/>
          <w:sz w:val="8"/>
        </w:rPr>
        <w:t>0</w:t>
      </w:r>
    </w:p>
    <w:p>
      <w:pPr>
        <w:tabs>
          <w:tab w:pos="1487" w:val="left" w:leader="none"/>
          <w:tab w:pos="1914" w:val="left" w:leader="none"/>
          <w:tab w:pos="2342" w:val="left" w:leader="none"/>
          <w:tab w:pos="2770" w:val="left" w:leader="none"/>
          <w:tab w:pos="3198" w:val="left" w:leader="none"/>
          <w:tab w:pos="3620" w:val="left" w:leader="none"/>
          <w:tab w:pos="4048" w:val="left" w:leader="none"/>
          <w:tab w:pos="4476" w:val="left" w:leader="none"/>
        </w:tabs>
        <w:spacing w:before="11"/>
        <w:ind w:left="1064" w:right="0" w:firstLine="0"/>
        <w:jc w:val="left"/>
        <w:rPr>
          <w:rFonts w:ascii="Arial MT"/>
          <w:sz w:val="8"/>
        </w:rPr>
      </w:pPr>
      <w:r>
        <w:rPr>
          <w:rFonts w:ascii="Arial MT"/>
          <w:spacing w:val="-5"/>
          <w:w w:val="180"/>
          <w:sz w:val="8"/>
        </w:rPr>
        <w:t>70</w:t>
      </w:r>
      <w:r>
        <w:rPr>
          <w:rFonts w:ascii="Arial MT"/>
          <w:sz w:val="8"/>
        </w:rPr>
        <w:tab/>
      </w:r>
      <w:r>
        <w:rPr>
          <w:rFonts w:ascii="Arial MT"/>
          <w:spacing w:val="-7"/>
          <w:w w:val="180"/>
          <w:sz w:val="8"/>
        </w:rPr>
        <w:t>75</w:t>
      </w:r>
      <w:r>
        <w:rPr>
          <w:rFonts w:ascii="Arial MT"/>
          <w:sz w:val="8"/>
        </w:rPr>
        <w:tab/>
      </w:r>
      <w:r>
        <w:rPr>
          <w:rFonts w:ascii="Arial MT"/>
          <w:spacing w:val="-5"/>
          <w:w w:val="180"/>
          <w:sz w:val="8"/>
        </w:rPr>
        <w:t>80</w:t>
      </w:r>
      <w:r>
        <w:rPr>
          <w:rFonts w:ascii="Arial MT"/>
          <w:sz w:val="8"/>
        </w:rPr>
        <w:tab/>
      </w:r>
      <w:r>
        <w:rPr>
          <w:rFonts w:ascii="Arial MT"/>
          <w:spacing w:val="-5"/>
          <w:w w:val="180"/>
          <w:sz w:val="8"/>
        </w:rPr>
        <w:t>85</w:t>
      </w:r>
      <w:r>
        <w:rPr>
          <w:rFonts w:ascii="Arial MT"/>
          <w:sz w:val="8"/>
        </w:rPr>
        <w:tab/>
      </w:r>
      <w:r>
        <w:rPr>
          <w:rFonts w:ascii="Arial MT"/>
          <w:spacing w:val="-5"/>
          <w:w w:val="180"/>
          <w:sz w:val="8"/>
        </w:rPr>
        <w:t>90</w:t>
      </w:r>
      <w:r>
        <w:rPr>
          <w:rFonts w:ascii="Arial MT"/>
          <w:sz w:val="8"/>
        </w:rPr>
        <w:tab/>
      </w:r>
      <w:r>
        <w:rPr>
          <w:rFonts w:ascii="Arial MT"/>
          <w:spacing w:val="-5"/>
          <w:w w:val="180"/>
          <w:sz w:val="8"/>
        </w:rPr>
        <w:t>95</w:t>
      </w:r>
      <w:r>
        <w:rPr>
          <w:rFonts w:ascii="Arial MT"/>
          <w:sz w:val="8"/>
        </w:rPr>
        <w:tab/>
      </w:r>
      <w:r>
        <w:rPr>
          <w:rFonts w:ascii="Arial MT"/>
          <w:spacing w:val="-5"/>
          <w:w w:val="180"/>
          <w:sz w:val="8"/>
        </w:rPr>
        <w:t>00</w:t>
      </w:r>
      <w:r>
        <w:rPr>
          <w:rFonts w:ascii="Arial MT"/>
          <w:sz w:val="8"/>
        </w:rPr>
        <w:tab/>
      </w:r>
      <w:r>
        <w:rPr>
          <w:rFonts w:ascii="Arial MT"/>
          <w:spacing w:val="-5"/>
          <w:w w:val="180"/>
          <w:sz w:val="8"/>
        </w:rPr>
        <w:t>05</w:t>
      </w:r>
      <w:r>
        <w:rPr>
          <w:rFonts w:ascii="Arial MT"/>
          <w:sz w:val="8"/>
        </w:rPr>
        <w:tab/>
      </w:r>
      <w:r>
        <w:rPr>
          <w:rFonts w:ascii="Arial MT"/>
          <w:spacing w:val="-5"/>
          <w:w w:val="180"/>
          <w:sz w:val="8"/>
        </w:rPr>
        <w:t>10</w:t>
      </w:r>
    </w:p>
    <w:p>
      <w:pPr>
        <w:spacing w:line="240" w:lineRule="auto" w:before="11"/>
        <w:rPr>
          <w:rFonts w:ascii="Arial MT"/>
          <w:sz w:val="8"/>
        </w:rPr>
      </w:pPr>
      <w:r>
        <w:rPr/>
        <w:br w:type="column"/>
      </w:r>
      <w:r>
        <w:rPr>
          <w:rFonts w:ascii="Arial MT"/>
          <w:sz w:val="8"/>
        </w:rPr>
      </w:r>
    </w:p>
    <w:p>
      <w:pPr>
        <w:spacing w:before="0"/>
        <w:ind w:left="552" w:right="0" w:firstLine="0"/>
        <w:jc w:val="left"/>
        <w:rPr>
          <w:rFonts w:ascii="Arial MT"/>
          <w:sz w:val="8"/>
        </w:rPr>
      </w:pPr>
      <w:r>
        <w:rPr>
          <w:rFonts w:ascii="Arial MT"/>
          <w:spacing w:val="-5"/>
          <w:w w:val="175"/>
          <w:sz w:val="8"/>
        </w:rPr>
        <w:t>16</w:t>
      </w:r>
    </w:p>
    <w:p>
      <w:pPr>
        <w:pStyle w:val="BodyText"/>
        <w:spacing w:before="36"/>
        <w:rPr>
          <w:rFonts w:ascii="Arial MT"/>
          <w:sz w:val="8"/>
        </w:rPr>
      </w:pPr>
    </w:p>
    <w:p>
      <w:pPr>
        <w:spacing w:before="0"/>
        <w:ind w:left="552" w:right="0" w:firstLine="0"/>
        <w:jc w:val="left"/>
        <w:rPr>
          <w:rFonts w:ascii="Arial MT"/>
          <w:sz w:val="8"/>
        </w:rPr>
      </w:pPr>
      <w:r>
        <w:rPr/>
        <mc:AlternateContent>
          <mc:Choice Requires="wps">
            <w:drawing>
              <wp:anchor distT="0" distB="0" distL="0" distR="0" allowOverlap="1" layoutInCell="1" locked="0" behindDoc="0" simplePos="0" relativeHeight="15736832">
                <wp:simplePos x="0" y="0"/>
                <wp:positionH relativeFrom="page">
                  <wp:posOffset>3624241</wp:posOffset>
                </wp:positionH>
                <wp:positionV relativeFrom="paragraph">
                  <wp:posOffset>-105540</wp:posOffset>
                </wp:positionV>
                <wp:extent cx="2180590" cy="1012190"/>
                <wp:effectExtent l="0" t="0" r="0" b="0"/>
                <wp:wrapNone/>
                <wp:docPr id="34" name="Graphic 34"/>
                <wp:cNvGraphicFramePr>
                  <a:graphicFrameLocks/>
                </wp:cNvGraphicFramePr>
                <a:graphic>
                  <a:graphicData uri="http://schemas.microsoft.com/office/word/2010/wordprocessingShape">
                    <wps:wsp>
                      <wps:cNvPr id="34" name="Graphic 34"/>
                      <wps:cNvSpPr/>
                      <wps:spPr>
                        <a:xfrm>
                          <a:off x="0" y="0"/>
                          <a:ext cx="2180590" cy="1012190"/>
                        </a:xfrm>
                        <a:custGeom>
                          <a:avLst/>
                          <a:gdLst/>
                          <a:ahLst/>
                          <a:cxnLst/>
                          <a:rect l="l" t="t" r="r" b="b"/>
                          <a:pathLst>
                            <a:path w="2180590" h="1012190">
                              <a:moveTo>
                                <a:pt x="0" y="988145"/>
                              </a:moveTo>
                              <a:lnTo>
                                <a:pt x="32012" y="988145"/>
                              </a:lnTo>
                            </a:path>
                            <a:path w="2180590" h="1012190">
                              <a:moveTo>
                                <a:pt x="0" y="846718"/>
                              </a:moveTo>
                              <a:lnTo>
                                <a:pt x="32012" y="846718"/>
                              </a:lnTo>
                            </a:path>
                            <a:path w="2180590" h="1012190">
                              <a:moveTo>
                                <a:pt x="0" y="705232"/>
                              </a:moveTo>
                              <a:lnTo>
                                <a:pt x="32012" y="705232"/>
                              </a:lnTo>
                            </a:path>
                            <a:path w="2180590" h="1012190">
                              <a:moveTo>
                                <a:pt x="0" y="563785"/>
                              </a:moveTo>
                              <a:lnTo>
                                <a:pt x="32011" y="563785"/>
                              </a:lnTo>
                            </a:path>
                            <a:path w="2180590" h="1012190">
                              <a:moveTo>
                                <a:pt x="0" y="424320"/>
                              </a:moveTo>
                              <a:lnTo>
                                <a:pt x="32011" y="424320"/>
                              </a:lnTo>
                            </a:path>
                            <a:path w="2180590" h="1012190">
                              <a:moveTo>
                                <a:pt x="0" y="282873"/>
                              </a:moveTo>
                              <a:lnTo>
                                <a:pt x="32011" y="282873"/>
                              </a:lnTo>
                            </a:path>
                            <a:path w="2180590" h="1012190">
                              <a:moveTo>
                                <a:pt x="0" y="141446"/>
                              </a:moveTo>
                              <a:lnTo>
                                <a:pt x="32011" y="141446"/>
                              </a:lnTo>
                            </a:path>
                            <a:path w="2180590" h="1012190">
                              <a:moveTo>
                                <a:pt x="0" y="1961"/>
                              </a:moveTo>
                              <a:lnTo>
                                <a:pt x="32011" y="1961"/>
                              </a:lnTo>
                            </a:path>
                            <a:path w="2180590" h="1012190">
                              <a:moveTo>
                                <a:pt x="35204" y="990106"/>
                              </a:moveTo>
                              <a:lnTo>
                                <a:pt x="35204" y="1001874"/>
                              </a:lnTo>
                            </a:path>
                            <a:path w="2180590" h="1012190">
                              <a:moveTo>
                                <a:pt x="86362" y="990106"/>
                              </a:moveTo>
                              <a:lnTo>
                                <a:pt x="86362" y="1001874"/>
                              </a:lnTo>
                            </a:path>
                            <a:path w="2180590" h="1012190">
                              <a:moveTo>
                                <a:pt x="137475" y="990106"/>
                              </a:moveTo>
                              <a:lnTo>
                                <a:pt x="137475" y="1001874"/>
                              </a:lnTo>
                            </a:path>
                            <a:path w="2180590" h="1012190">
                              <a:moveTo>
                                <a:pt x="191844" y="990106"/>
                              </a:moveTo>
                              <a:lnTo>
                                <a:pt x="191844" y="1001874"/>
                              </a:lnTo>
                            </a:path>
                            <a:path w="2180590" h="1012190">
                              <a:moveTo>
                                <a:pt x="242989" y="990106"/>
                              </a:moveTo>
                              <a:lnTo>
                                <a:pt x="242989" y="1001874"/>
                              </a:lnTo>
                            </a:path>
                            <a:path w="2180590" h="1012190">
                              <a:moveTo>
                                <a:pt x="294166" y="990106"/>
                              </a:moveTo>
                              <a:lnTo>
                                <a:pt x="294166" y="1001874"/>
                              </a:lnTo>
                            </a:path>
                            <a:path w="2180590" h="1012190">
                              <a:moveTo>
                                <a:pt x="348535" y="990106"/>
                              </a:moveTo>
                              <a:lnTo>
                                <a:pt x="348535" y="1001874"/>
                              </a:lnTo>
                            </a:path>
                            <a:path w="2180590" h="1012190">
                              <a:moveTo>
                                <a:pt x="399712" y="990106"/>
                              </a:moveTo>
                              <a:lnTo>
                                <a:pt x="399712" y="1001874"/>
                              </a:lnTo>
                            </a:path>
                            <a:path w="2180590" h="1012190">
                              <a:moveTo>
                                <a:pt x="450793" y="990106"/>
                              </a:moveTo>
                              <a:lnTo>
                                <a:pt x="450793" y="1001874"/>
                              </a:lnTo>
                            </a:path>
                            <a:path w="2180590" h="1012190">
                              <a:moveTo>
                                <a:pt x="505162" y="990106"/>
                              </a:moveTo>
                              <a:lnTo>
                                <a:pt x="505162" y="1001874"/>
                              </a:lnTo>
                            </a:path>
                            <a:path w="2180590" h="1012190">
                              <a:moveTo>
                                <a:pt x="556339" y="990106"/>
                              </a:moveTo>
                              <a:lnTo>
                                <a:pt x="556339" y="1001874"/>
                              </a:lnTo>
                            </a:path>
                            <a:path w="2180590" h="1012190">
                              <a:moveTo>
                                <a:pt x="610709" y="990106"/>
                              </a:moveTo>
                              <a:lnTo>
                                <a:pt x="610709" y="1001874"/>
                              </a:lnTo>
                            </a:path>
                            <a:path w="2180590" h="1012190">
                              <a:moveTo>
                                <a:pt x="661853" y="990106"/>
                              </a:moveTo>
                              <a:lnTo>
                                <a:pt x="661853" y="1001874"/>
                              </a:lnTo>
                            </a:path>
                            <a:path w="2180590" h="1012190">
                              <a:moveTo>
                                <a:pt x="713030" y="990106"/>
                              </a:moveTo>
                              <a:lnTo>
                                <a:pt x="713030" y="1001874"/>
                              </a:lnTo>
                            </a:path>
                            <a:path w="2180590" h="1012190">
                              <a:moveTo>
                                <a:pt x="767304" y="990106"/>
                              </a:moveTo>
                              <a:lnTo>
                                <a:pt x="767304" y="1001874"/>
                              </a:lnTo>
                            </a:path>
                            <a:path w="2180590" h="1012190">
                              <a:moveTo>
                                <a:pt x="818481" y="990106"/>
                              </a:moveTo>
                              <a:lnTo>
                                <a:pt x="818481" y="1001874"/>
                              </a:lnTo>
                            </a:path>
                            <a:path w="2180590" h="1012190">
                              <a:moveTo>
                                <a:pt x="869658" y="990106"/>
                              </a:moveTo>
                              <a:lnTo>
                                <a:pt x="869658" y="1001874"/>
                              </a:lnTo>
                            </a:path>
                            <a:path w="2180590" h="1012190">
                              <a:moveTo>
                                <a:pt x="924027" y="990106"/>
                              </a:moveTo>
                              <a:lnTo>
                                <a:pt x="924027" y="1001874"/>
                              </a:lnTo>
                            </a:path>
                            <a:path w="2180590" h="1012190">
                              <a:moveTo>
                                <a:pt x="975204" y="990106"/>
                              </a:moveTo>
                              <a:lnTo>
                                <a:pt x="975204" y="1001874"/>
                              </a:lnTo>
                            </a:path>
                            <a:path w="2180590" h="1012190">
                              <a:moveTo>
                                <a:pt x="1026349" y="990106"/>
                              </a:moveTo>
                              <a:lnTo>
                                <a:pt x="1026349" y="1001874"/>
                              </a:lnTo>
                            </a:path>
                            <a:path w="2180590" h="1012190">
                              <a:moveTo>
                                <a:pt x="1080654" y="990106"/>
                              </a:moveTo>
                              <a:lnTo>
                                <a:pt x="1080654" y="1001874"/>
                              </a:lnTo>
                            </a:path>
                            <a:path w="2180590" h="1012190">
                              <a:moveTo>
                                <a:pt x="1131831" y="990106"/>
                              </a:moveTo>
                              <a:lnTo>
                                <a:pt x="1131831" y="1001874"/>
                              </a:lnTo>
                            </a:path>
                            <a:path w="2180590" h="1012190">
                              <a:moveTo>
                                <a:pt x="1186168" y="990106"/>
                              </a:moveTo>
                              <a:lnTo>
                                <a:pt x="1186168" y="1001874"/>
                              </a:lnTo>
                            </a:path>
                            <a:path w="2180590" h="1012190">
                              <a:moveTo>
                                <a:pt x="1237345" y="990106"/>
                              </a:moveTo>
                              <a:lnTo>
                                <a:pt x="1237345" y="1001874"/>
                              </a:lnTo>
                            </a:path>
                            <a:path w="2180590" h="1012190">
                              <a:moveTo>
                                <a:pt x="1288522" y="990106"/>
                              </a:moveTo>
                              <a:lnTo>
                                <a:pt x="1288522" y="1001874"/>
                              </a:lnTo>
                            </a:path>
                            <a:path w="2180590" h="1012190">
                              <a:moveTo>
                                <a:pt x="1342891" y="990106"/>
                              </a:moveTo>
                              <a:lnTo>
                                <a:pt x="1342891" y="1001874"/>
                              </a:lnTo>
                            </a:path>
                            <a:path w="2180590" h="1012190">
                              <a:moveTo>
                                <a:pt x="1393972" y="990106"/>
                              </a:moveTo>
                              <a:lnTo>
                                <a:pt x="1393972" y="1001874"/>
                              </a:lnTo>
                            </a:path>
                            <a:path w="2180590" h="1012190">
                              <a:moveTo>
                                <a:pt x="1445149" y="990106"/>
                              </a:moveTo>
                              <a:lnTo>
                                <a:pt x="1445149" y="1001874"/>
                              </a:lnTo>
                            </a:path>
                            <a:path w="2180590" h="1012190">
                              <a:moveTo>
                                <a:pt x="1499519" y="990106"/>
                              </a:moveTo>
                              <a:lnTo>
                                <a:pt x="1499519" y="1001874"/>
                              </a:lnTo>
                            </a:path>
                            <a:path w="2180590" h="1012190">
                              <a:moveTo>
                                <a:pt x="1550695" y="990106"/>
                              </a:moveTo>
                              <a:lnTo>
                                <a:pt x="1550695" y="1001874"/>
                              </a:lnTo>
                            </a:path>
                            <a:path w="2180590" h="1012190">
                              <a:moveTo>
                                <a:pt x="1601840" y="990106"/>
                              </a:moveTo>
                              <a:lnTo>
                                <a:pt x="1601840" y="1001874"/>
                              </a:lnTo>
                            </a:path>
                            <a:path w="2180590" h="1012190">
                              <a:moveTo>
                                <a:pt x="1656210" y="990106"/>
                              </a:moveTo>
                              <a:lnTo>
                                <a:pt x="1656210" y="1001874"/>
                              </a:lnTo>
                            </a:path>
                            <a:path w="2180590" h="1012190">
                              <a:moveTo>
                                <a:pt x="1707291" y="990106"/>
                              </a:moveTo>
                              <a:lnTo>
                                <a:pt x="1707291" y="1001874"/>
                              </a:lnTo>
                            </a:path>
                            <a:path w="2180590" h="1012190">
                              <a:moveTo>
                                <a:pt x="1761660" y="990106"/>
                              </a:moveTo>
                              <a:lnTo>
                                <a:pt x="1761660" y="1001874"/>
                              </a:lnTo>
                            </a:path>
                            <a:path w="2180590" h="1012190">
                              <a:moveTo>
                                <a:pt x="1812837" y="990106"/>
                              </a:moveTo>
                              <a:lnTo>
                                <a:pt x="1812837" y="1001874"/>
                              </a:lnTo>
                            </a:path>
                            <a:path w="2180590" h="1012190">
                              <a:moveTo>
                                <a:pt x="1864014" y="990106"/>
                              </a:moveTo>
                              <a:lnTo>
                                <a:pt x="1864014" y="1001874"/>
                              </a:lnTo>
                            </a:path>
                            <a:path w="2180590" h="1012190">
                              <a:moveTo>
                                <a:pt x="1918383" y="990106"/>
                              </a:moveTo>
                              <a:lnTo>
                                <a:pt x="1918383" y="1001874"/>
                              </a:lnTo>
                            </a:path>
                            <a:path w="2180590" h="1012190">
                              <a:moveTo>
                                <a:pt x="1969528" y="990106"/>
                              </a:moveTo>
                              <a:lnTo>
                                <a:pt x="1969528" y="1001874"/>
                              </a:lnTo>
                            </a:path>
                            <a:path w="2180590" h="1012190">
                              <a:moveTo>
                                <a:pt x="2020641" y="990106"/>
                              </a:moveTo>
                              <a:lnTo>
                                <a:pt x="2020641" y="1001874"/>
                              </a:lnTo>
                            </a:path>
                            <a:path w="2180590" h="1012190">
                              <a:moveTo>
                                <a:pt x="2075010" y="990106"/>
                              </a:moveTo>
                              <a:lnTo>
                                <a:pt x="2075010" y="1001874"/>
                              </a:lnTo>
                            </a:path>
                            <a:path w="2180590" h="1012190">
                              <a:moveTo>
                                <a:pt x="2126155" y="990106"/>
                              </a:moveTo>
                              <a:lnTo>
                                <a:pt x="2126155" y="1001874"/>
                              </a:lnTo>
                            </a:path>
                            <a:path w="2180590" h="1012190">
                              <a:moveTo>
                                <a:pt x="2177332" y="990106"/>
                              </a:moveTo>
                              <a:lnTo>
                                <a:pt x="2177332" y="1001874"/>
                              </a:lnTo>
                            </a:path>
                            <a:path w="2180590" h="1012190">
                              <a:moveTo>
                                <a:pt x="35204" y="990106"/>
                              </a:moveTo>
                              <a:lnTo>
                                <a:pt x="35204" y="1011700"/>
                              </a:lnTo>
                            </a:path>
                            <a:path w="2180590" h="1012190">
                              <a:moveTo>
                                <a:pt x="294166" y="990106"/>
                              </a:moveTo>
                              <a:lnTo>
                                <a:pt x="294166" y="1011700"/>
                              </a:lnTo>
                            </a:path>
                            <a:path w="2180590" h="1012190">
                              <a:moveTo>
                                <a:pt x="556339" y="990106"/>
                              </a:moveTo>
                              <a:lnTo>
                                <a:pt x="556339" y="1011700"/>
                              </a:lnTo>
                            </a:path>
                            <a:path w="2180590" h="1012190">
                              <a:moveTo>
                                <a:pt x="818481" y="990106"/>
                              </a:moveTo>
                              <a:lnTo>
                                <a:pt x="818481" y="1011700"/>
                              </a:lnTo>
                            </a:path>
                            <a:path w="2180590" h="1012190">
                              <a:moveTo>
                                <a:pt x="1080654" y="990106"/>
                              </a:moveTo>
                              <a:lnTo>
                                <a:pt x="1080654" y="1011700"/>
                              </a:lnTo>
                            </a:path>
                            <a:path w="2180590" h="1012190">
                              <a:moveTo>
                                <a:pt x="1342891" y="990106"/>
                              </a:moveTo>
                              <a:lnTo>
                                <a:pt x="1342891" y="1011700"/>
                              </a:lnTo>
                            </a:path>
                            <a:path w="2180590" h="1012190">
                              <a:moveTo>
                                <a:pt x="1601840" y="990106"/>
                              </a:moveTo>
                              <a:lnTo>
                                <a:pt x="1601840" y="1011700"/>
                              </a:lnTo>
                            </a:path>
                            <a:path w="2180590" h="1012190">
                              <a:moveTo>
                                <a:pt x="1864014" y="990106"/>
                              </a:moveTo>
                              <a:lnTo>
                                <a:pt x="1864014" y="1011700"/>
                              </a:lnTo>
                            </a:path>
                            <a:path w="2180590" h="1012190">
                              <a:moveTo>
                                <a:pt x="2126155" y="990106"/>
                              </a:moveTo>
                              <a:lnTo>
                                <a:pt x="2126155" y="1011700"/>
                              </a:lnTo>
                            </a:path>
                            <a:path w="2180590" h="1012190">
                              <a:moveTo>
                                <a:pt x="35204" y="966532"/>
                              </a:moveTo>
                              <a:lnTo>
                                <a:pt x="86362" y="893847"/>
                              </a:lnTo>
                              <a:lnTo>
                                <a:pt x="137475" y="840775"/>
                              </a:lnTo>
                              <a:lnTo>
                                <a:pt x="191844" y="852602"/>
                              </a:lnTo>
                              <a:lnTo>
                                <a:pt x="242989" y="567708"/>
                              </a:lnTo>
                              <a:lnTo>
                                <a:pt x="294166" y="734710"/>
                              </a:lnTo>
                              <a:lnTo>
                                <a:pt x="348535" y="720961"/>
                              </a:lnTo>
                              <a:lnTo>
                                <a:pt x="399712" y="685619"/>
                              </a:lnTo>
                              <a:lnTo>
                                <a:pt x="450793" y="624702"/>
                              </a:lnTo>
                              <a:lnTo>
                                <a:pt x="505162" y="601108"/>
                              </a:lnTo>
                              <a:lnTo>
                                <a:pt x="556339" y="579534"/>
                              </a:lnTo>
                              <a:lnTo>
                                <a:pt x="607484" y="563785"/>
                              </a:lnTo>
                              <a:lnTo>
                                <a:pt x="661853" y="618818"/>
                              </a:lnTo>
                              <a:lnTo>
                                <a:pt x="713030" y="740594"/>
                              </a:lnTo>
                              <a:lnTo>
                                <a:pt x="764111" y="713116"/>
                              </a:lnTo>
                              <a:lnTo>
                                <a:pt x="818481" y="691503"/>
                              </a:lnTo>
                              <a:lnTo>
                                <a:pt x="869657" y="595224"/>
                              </a:lnTo>
                              <a:lnTo>
                                <a:pt x="920834" y="638431"/>
                              </a:lnTo>
                              <a:lnTo>
                                <a:pt x="975204" y="618818"/>
                              </a:lnTo>
                              <a:lnTo>
                                <a:pt x="1026348" y="477372"/>
                              </a:lnTo>
                              <a:lnTo>
                                <a:pt x="1077461" y="426281"/>
                              </a:lnTo>
                              <a:lnTo>
                                <a:pt x="1131831" y="485217"/>
                              </a:lnTo>
                              <a:lnTo>
                                <a:pt x="1182976" y="400726"/>
                              </a:lnTo>
                              <a:lnTo>
                                <a:pt x="1234152" y="361441"/>
                              </a:lnTo>
                              <a:lnTo>
                                <a:pt x="1288522" y="386997"/>
                              </a:lnTo>
                              <a:lnTo>
                                <a:pt x="1339699" y="479333"/>
                              </a:lnTo>
                              <a:lnTo>
                                <a:pt x="1390780" y="296602"/>
                              </a:lnTo>
                              <a:lnTo>
                                <a:pt x="1445149" y="326080"/>
                              </a:lnTo>
                              <a:lnTo>
                                <a:pt x="1496326" y="390919"/>
                              </a:lnTo>
                              <a:lnTo>
                                <a:pt x="1547503" y="235744"/>
                              </a:lnTo>
                              <a:lnTo>
                                <a:pt x="1601840" y="198421"/>
                              </a:lnTo>
                              <a:lnTo>
                                <a:pt x="1653017" y="324118"/>
                              </a:lnTo>
                              <a:lnTo>
                                <a:pt x="1704098" y="280912"/>
                              </a:lnTo>
                              <a:lnTo>
                                <a:pt x="1758467" y="363403"/>
                              </a:lnTo>
                              <a:lnTo>
                                <a:pt x="1809644" y="143407"/>
                              </a:lnTo>
                              <a:lnTo>
                                <a:pt x="1860821" y="129620"/>
                              </a:lnTo>
                              <a:lnTo>
                                <a:pt x="1915190" y="113930"/>
                              </a:lnTo>
                              <a:lnTo>
                                <a:pt x="1966335" y="186614"/>
                              </a:lnTo>
                              <a:lnTo>
                                <a:pt x="2017448" y="23535"/>
                              </a:lnTo>
                              <a:lnTo>
                                <a:pt x="2071818" y="165021"/>
                              </a:lnTo>
                              <a:lnTo>
                                <a:pt x="2122962" y="141446"/>
                              </a:lnTo>
                              <a:lnTo>
                                <a:pt x="2177332" y="41245"/>
                              </a:lnTo>
                            </a:path>
                            <a:path w="2180590" h="1012190">
                              <a:moveTo>
                                <a:pt x="32011" y="0"/>
                              </a:moveTo>
                              <a:lnTo>
                                <a:pt x="32012" y="990106"/>
                              </a:lnTo>
                              <a:lnTo>
                                <a:pt x="2180525" y="990106"/>
                              </a:lnTo>
                              <a:lnTo>
                                <a:pt x="2180524" y="0"/>
                              </a:lnTo>
                              <a:lnTo>
                                <a:pt x="32011" y="0"/>
                              </a:lnTo>
                            </a:path>
                          </a:pathLst>
                        </a:custGeom>
                        <a:ln w="51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85.373322pt;margin-top:-8.310289pt;width:171.7pt;height:79.7pt;mso-position-horizontal-relative:page;mso-position-vertical-relative:paragraph;z-index:15736832" id="docshape32" coordorigin="5707,-166" coordsize="3434,1594" path="m5707,1390l5758,1390m5707,1167l5758,1167m5707,944l5758,944m5707,722l5758,722m5707,502l5758,502m5707,279l5758,279m5707,57l5758,57m5707,-163l5758,-163m5763,1393l5763,1412m5843,1393l5843,1412m5924,1393l5924,1412m6010,1393l6010,1412m6090,1393l6090,1412m6171,1393l6171,1412m6256,1393l6256,1412m6337,1393l6337,1412m6417,1393l6417,1412m6503,1393l6503,1412m6584,1393l6584,1412m6669,1393l6669,1412m6750,1393l6750,1412m6830,1393l6830,1412m6916,1393l6916,1412m6996,1393l6996,1412m7077,1393l7077,1412m7163,1393l7163,1412m7243,1393l7243,1412m7324,1393l7324,1412m7409,1393l7409,1412m7490,1393l7490,1412m7575,1393l7575,1412m7656,1393l7656,1412m7737,1393l7737,1412m7822,1393l7822,1412m7903,1393l7903,1412m7983,1393l7983,1412m8069,1393l8069,1412m8150,1393l8150,1412m8230,1393l8230,1412m8316,1393l8316,1412m8396,1393l8396,1412m8482,1393l8482,1412m8562,1393l8562,1412m8643,1393l8643,1412m8729,1393l8729,1412m8809,1393l8809,1412m8890,1393l8890,1412m8975,1393l8975,1412m9056,1393l9056,1412m9136,1393l9136,1412m5763,1393l5763,1427m6171,1393l6171,1427m6584,1393l6584,1427m6996,1393l6996,1427m7409,1393l7409,1427m7822,1393l7822,1427m8230,1393l8230,1427m8643,1393l8643,1427m9056,1393l9056,1427m5763,1356l5843,1241,5924,1158,6010,1176,6090,728,6171,991,6256,969,6337,914,6417,818,6503,780,6584,746,6664,722,6750,808,6830,1000,6911,957,6996,923,7077,771,7158,839,7243,808,7324,586,7404,505,7490,598,7570,465,7651,403,7737,443,7817,589,7898,301,7983,347,8064,449,8144,205,8230,146,8311,344,8391,276,8477,406,8557,60,8638,38,8724,13,8804,128,8885,-129,8970,94,9051,57,9136,-101m5758,-166l5758,1393,9141,1393,9141,-166,5758,-166e" filled="false" stroked="true" strokeweight=".405895pt" strokecolor="#000000">
                <v:path arrowok="t"/>
                <v:stroke dashstyle="solid"/>
                <w10:wrap type="none"/>
              </v:shape>
            </w:pict>
          </mc:Fallback>
        </mc:AlternateContent>
      </w:r>
      <w:r>
        <w:rPr>
          <w:rFonts w:ascii="Arial MT"/>
          <w:spacing w:val="-5"/>
          <w:w w:val="175"/>
          <w:sz w:val="8"/>
        </w:rPr>
        <w:t>14</w:t>
      </w:r>
    </w:p>
    <w:p>
      <w:pPr>
        <w:pStyle w:val="BodyText"/>
        <w:spacing w:before="38"/>
        <w:rPr>
          <w:rFonts w:ascii="Arial MT"/>
          <w:sz w:val="8"/>
        </w:rPr>
      </w:pPr>
    </w:p>
    <w:p>
      <w:pPr>
        <w:spacing w:before="0"/>
        <w:ind w:left="552" w:right="0" w:firstLine="0"/>
        <w:jc w:val="left"/>
        <w:rPr>
          <w:rFonts w:ascii="Arial MT"/>
          <w:sz w:val="8"/>
        </w:rPr>
      </w:pPr>
      <w:r>
        <w:rPr>
          <w:rFonts w:ascii="Arial MT"/>
          <w:spacing w:val="-5"/>
          <w:w w:val="175"/>
          <w:sz w:val="8"/>
        </w:rPr>
        <w:t>12</w:t>
      </w:r>
    </w:p>
    <w:p>
      <w:pPr>
        <w:pStyle w:val="BodyText"/>
        <w:spacing w:before="39"/>
        <w:rPr>
          <w:rFonts w:ascii="Arial MT"/>
          <w:sz w:val="8"/>
        </w:rPr>
      </w:pPr>
    </w:p>
    <w:p>
      <w:pPr>
        <w:spacing w:before="0"/>
        <w:ind w:left="552" w:right="0" w:firstLine="0"/>
        <w:jc w:val="left"/>
        <w:rPr>
          <w:rFonts w:ascii="Arial MT"/>
          <w:sz w:val="8"/>
        </w:rPr>
      </w:pPr>
      <w:r>
        <w:rPr>
          <w:rFonts w:ascii="Arial MT"/>
          <w:spacing w:val="-5"/>
          <w:w w:val="175"/>
          <w:sz w:val="8"/>
        </w:rPr>
        <w:t>10</w:t>
      </w:r>
    </w:p>
    <w:p>
      <w:pPr>
        <w:pStyle w:val="BodyText"/>
        <w:spacing w:before="36"/>
        <w:rPr>
          <w:rFonts w:ascii="Arial MT"/>
          <w:sz w:val="8"/>
        </w:rPr>
      </w:pPr>
    </w:p>
    <w:p>
      <w:pPr>
        <w:spacing w:before="0"/>
        <w:ind w:left="633" w:right="0" w:firstLine="0"/>
        <w:jc w:val="left"/>
        <w:rPr>
          <w:rFonts w:ascii="Arial MT"/>
          <w:sz w:val="8"/>
        </w:rPr>
      </w:pPr>
      <w:r>
        <w:rPr>
          <w:rFonts w:ascii="Arial MT"/>
          <w:spacing w:val="-10"/>
          <w:w w:val="175"/>
          <w:sz w:val="8"/>
        </w:rPr>
        <w:t>8</w:t>
      </w:r>
    </w:p>
    <w:p>
      <w:pPr>
        <w:pStyle w:val="BodyText"/>
        <w:spacing w:before="39"/>
        <w:rPr>
          <w:rFonts w:ascii="Arial MT"/>
          <w:sz w:val="8"/>
        </w:rPr>
      </w:pPr>
    </w:p>
    <w:p>
      <w:pPr>
        <w:spacing w:before="0"/>
        <w:ind w:left="633" w:right="0" w:firstLine="0"/>
        <w:jc w:val="left"/>
        <w:rPr>
          <w:rFonts w:ascii="Arial MT"/>
          <w:sz w:val="8"/>
        </w:rPr>
      </w:pPr>
      <w:r>
        <w:rPr>
          <w:rFonts w:ascii="Arial MT"/>
          <w:spacing w:val="-10"/>
          <w:w w:val="175"/>
          <w:sz w:val="8"/>
        </w:rPr>
        <w:t>6</w:t>
      </w:r>
    </w:p>
    <w:p>
      <w:pPr>
        <w:pStyle w:val="BodyText"/>
        <w:spacing w:before="38"/>
        <w:rPr>
          <w:rFonts w:ascii="Arial MT"/>
          <w:sz w:val="8"/>
        </w:rPr>
      </w:pPr>
    </w:p>
    <w:p>
      <w:pPr>
        <w:spacing w:before="0"/>
        <w:ind w:left="633" w:right="0" w:firstLine="0"/>
        <w:jc w:val="left"/>
        <w:rPr>
          <w:rFonts w:ascii="Arial MT"/>
          <w:sz w:val="8"/>
        </w:rPr>
      </w:pPr>
      <w:r>
        <w:rPr>
          <w:rFonts w:ascii="Arial MT"/>
          <w:spacing w:val="-10"/>
          <w:w w:val="175"/>
          <w:sz w:val="8"/>
        </w:rPr>
        <w:t>4</w:t>
      </w:r>
    </w:p>
    <w:p>
      <w:pPr>
        <w:pStyle w:val="BodyText"/>
        <w:spacing w:before="39"/>
        <w:rPr>
          <w:rFonts w:ascii="Arial MT"/>
          <w:sz w:val="8"/>
        </w:rPr>
      </w:pPr>
    </w:p>
    <w:p>
      <w:pPr>
        <w:spacing w:before="0"/>
        <w:ind w:left="633" w:right="0" w:firstLine="0"/>
        <w:jc w:val="left"/>
        <w:rPr>
          <w:rFonts w:ascii="Arial MT"/>
          <w:sz w:val="8"/>
        </w:rPr>
      </w:pPr>
      <w:r>
        <w:rPr>
          <w:rFonts w:ascii="Arial MT"/>
          <w:spacing w:val="-10"/>
          <w:w w:val="175"/>
          <w:sz w:val="8"/>
        </w:rPr>
        <w:t>2</w:t>
      </w:r>
    </w:p>
    <w:p>
      <w:pPr>
        <w:tabs>
          <w:tab w:pos="1126" w:val="left" w:leader="none"/>
          <w:tab w:pos="1539" w:val="left" w:leader="none"/>
          <w:tab w:pos="1952" w:val="left" w:leader="none"/>
          <w:tab w:pos="2365" w:val="left" w:leader="none"/>
          <w:tab w:pos="2778" w:val="left" w:leader="none"/>
          <w:tab w:pos="3186" w:val="left" w:leader="none"/>
          <w:tab w:pos="3599" w:val="left" w:leader="none"/>
          <w:tab w:pos="4011" w:val="left" w:leader="none"/>
        </w:tabs>
        <w:spacing w:before="10"/>
        <w:ind w:left="719" w:right="0" w:firstLine="0"/>
        <w:jc w:val="left"/>
        <w:rPr>
          <w:rFonts w:ascii="Arial MT"/>
          <w:sz w:val="8"/>
        </w:rPr>
      </w:pPr>
      <w:r>
        <w:rPr>
          <w:rFonts w:ascii="Arial MT"/>
          <w:spacing w:val="-5"/>
          <w:w w:val="175"/>
          <w:sz w:val="8"/>
        </w:rPr>
        <w:t>70</w:t>
      </w:r>
      <w:r>
        <w:rPr>
          <w:rFonts w:ascii="Arial MT"/>
          <w:sz w:val="8"/>
        </w:rPr>
        <w:tab/>
      </w:r>
      <w:r>
        <w:rPr>
          <w:rFonts w:ascii="Arial MT"/>
          <w:spacing w:val="-5"/>
          <w:w w:val="175"/>
          <w:sz w:val="8"/>
        </w:rPr>
        <w:t>75</w:t>
      </w:r>
      <w:r>
        <w:rPr>
          <w:rFonts w:ascii="Arial MT"/>
          <w:sz w:val="8"/>
        </w:rPr>
        <w:tab/>
      </w:r>
      <w:r>
        <w:rPr>
          <w:rFonts w:ascii="Arial MT"/>
          <w:spacing w:val="-5"/>
          <w:w w:val="175"/>
          <w:sz w:val="8"/>
        </w:rPr>
        <w:t>80</w:t>
      </w:r>
      <w:r>
        <w:rPr>
          <w:rFonts w:ascii="Arial MT"/>
          <w:sz w:val="8"/>
        </w:rPr>
        <w:tab/>
      </w:r>
      <w:r>
        <w:rPr>
          <w:rFonts w:ascii="Arial MT"/>
          <w:spacing w:val="-5"/>
          <w:w w:val="175"/>
          <w:sz w:val="8"/>
        </w:rPr>
        <w:t>85</w:t>
      </w:r>
      <w:r>
        <w:rPr>
          <w:rFonts w:ascii="Arial MT"/>
          <w:sz w:val="8"/>
        </w:rPr>
        <w:tab/>
      </w:r>
      <w:r>
        <w:rPr>
          <w:rFonts w:ascii="Arial MT"/>
          <w:spacing w:val="-5"/>
          <w:w w:val="175"/>
          <w:sz w:val="8"/>
        </w:rPr>
        <w:t>90</w:t>
      </w:r>
      <w:r>
        <w:rPr>
          <w:rFonts w:ascii="Arial MT"/>
          <w:sz w:val="8"/>
        </w:rPr>
        <w:tab/>
      </w:r>
      <w:r>
        <w:rPr>
          <w:rFonts w:ascii="Arial MT"/>
          <w:spacing w:val="-5"/>
          <w:w w:val="175"/>
          <w:sz w:val="8"/>
        </w:rPr>
        <w:t>95</w:t>
      </w:r>
      <w:r>
        <w:rPr>
          <w:rFonts w:ascii="Arial MT"/>
          <w:sz w:val="8"/>
        </w:rPr>
        <w:tab/>
      </w:r>
      <w:r>
        <w:rPr>
          <w:rFonts w:ascii="Arial MT"/>
          <w:spacing w:val="-5"/>
          <w:w w:val="175"/>
          <w:sz w:val="8"/>
        </w:rPr>
        <w:t>00</w:t>
      </w:r>
      <w:r>
        <w:rPr>
          <w:rFonts w:ascii="Arial MT"/>
          <w:sz w:val="8"/>
        </w:rPr>
        <w:tab/>
      </w:r>
      <w:r>
        <w:rPr>
          <w:rFonts w:ascii="Arial MT"/>
          <w:spacing w:val="-5"/>
          <w:w w:val="175"/>
          <w:sz w:val="8"/>
        </w:rPr>
        <w:t>05</w:t>
      </w:r>
      <w:r>
        <w:rPr>
          <w:rFonts w:ascii="Arial MT"/>
          <w:sz w:val="8"/>
        </w:rPr>
        <w:tab/>
      </w:r>
      <w:r>
        <w:rPr>
          <w:rFonts w:ascii="Arial MT"/>
          <w:spacing w:val="-5"/>
          <w:w w:val="175"/>
          <w:sz w:val="8"/>
        </w:rPr>
        <w:t>10</w:t>
      </w:r>
    </w:p>
    <w:p>
      <w:pPr>
        <w:spacing w:after="0"/>
        <w:jc w:val="left"/>
        <w:rPr>
          <w:rFonts w:ascii="Arial MT"/>
          <w:sz w:val="8"/>
        </w:rPr>
        <w:sectPr>
          <w:type w:val="continuous"/>
          <w:pgSz w:w="11910" w:h="16840"/>
          <w:pgMar w:header="0" w:footer="979" w:top="1340" w:bottom="1220" w:left="280" w:right="0"/>
          <w:cols w:num="2" w:equalWidth="0">
            <w:col w:w="4644" w:space="40"/>
            <w:col w:w="6946"/>
          </w:cols>
        </w:sectPr>
      </w:pPr>
    </w:p>
    <w:p>
      <w:pPr>
        <w:pStyle w:val="BodyText"/>
        <w:spacing w:before="2"/>
        <w:rPr>
          <w:rFonts w:ascii="Arial MT"/>
          <w:sz w:val="7"/>
        </w:rPr>
      </w:pPr>
    </w:p>
    <w:p>
      <w:pPr>
        <w:tabs>
          <w:tab w:pos="6858" w:val="left" w:leader="none"/>
        </w:tabs>
        <w:spacing w:line="151" w:lineRule="exact"/>
        <w:ind w:left="2526" w:right="0" w:firstLine="0"/>
        <w:rPr>
          <w:rFonts w:ascii="Arial MT"/>
          <w:sz w:val="15"/>
        </w:rPr>
      </w:pPr>
      <w:r>
        <w:rPr>
          <w:rFonts w:ascii="Arial MT"/>
          <w:position w:val="-2"/>
          <w:sz w:val="15"/>
        </w:rPr>
        <mc:AlternateContent>
          <mc:Choice Requires="wps">
            <w:drawing>
              <wp:inline distT="0" distB="0" distL="0" distR="0">
                <wp:extent cx="464820" cy="95250"/>
                <wp:effectExtent l="9525" t="0" r="0" b="0"/>
                <wp:docPr id="35" name="Group 35"/>
                <wp:cNvGraphicFramePr>
                  <a:graphicFrameLocks/>
                </wp:cNvGraphicFramePr>
                <a:graphic>
                  <a:graphicData uri="http://schemas.microsoft.com/office/word/2010/wordprocessingGroup">
                    <wpg:wgp>
                      <wpg:cNvPr id="35" name="Group 35"/>
                      <wpg:cNvGrpSpPr/>
                      <wpg:grpSpPr>
                        <a:xfrm>
                          <a:off x="0" y="0"/>
                          <a:ext cx="464820" cy="95250"/>
                          <a:chExt cx="464820" cy="95250"/>
                        </a:xfrm>
                      </wpg:grpSpPr>
                      <wps:wsp>
                        <wps:cNvPr id="36" name="Graphic 36"/>
                        <wps:cNvSpPr/>
                        <wps:spPr>
                          <a:xfrm>
                            <a:off x="41889" y="49253"/>
                            <a:ext cx="162560" cy="1270"/>
                          </a:xfrm>
                          <a:custGeom>
                            <a:avLst/>
                            <a:gdLst/>
                            <a:ahLst/>
                            <a:cxnLst/>
                            <a:rect l="l" t="t" r="r" b="b"/>
                            <a:pathLst>
                              <a:path w="162560" h="0">
                                <a:moveTo>
                                  <a:pt x="0" y="0"/>
                                </a:moveTo>
                                <a:lnTo>
                                  <a:pt x="162284" y="0"/>
                                </a:lnTo>
                              </a:path>
                            </a:pathLst>
                          </a:custGeom>
                          <a:ln w="3925">
                            <a:solidFill>
                              <a:srgbClr val="000000"/>
                            </a:solidFill>
                            <a:prstDash val="solid"/>
                          </a:ln>
                        </wps:spPr>
                        <wps:bodyPr wrap="square" lIns="0" tIns="0" rIns="0" bIns="0" rtlCol="0">
                          <a:prstTxWarp prst="textNoShape">
                            <a:avLst/>
                          </a:prstTxWarp>
                          <a:noAutofit/>
                        </wps:bodyPr>
                      </wps:wsp>
                      <wps:wsp>
                        <wps:cNvPr id="37" name="Textbox 37"/>
                        <wps:cNvSpPr txBox="1"/>
                        <wps:spPr>
                          <a:xfrm>
                            <a:off x="2095" y="2095"/>
                            <a:ext cx="461009" cy="90805"/>
                          </a:xfrm>
                          <a:prstGeom prst="rect">
                            <a:avLst/>
                          </a:prstGeom>
                          <a:ln w="4191">
                            <a:solidFill>
                              <a:srgbClr val="000000"/>
                            </a:solidFill>
                            <a:prstDash val="solid"/>
                          </a:ln>
                        </wps:spPr>
                        <wps:txbx>
                          <w:txbxContent>
                            <w:p>
                              <w:pPr>
                                <w:spacing w:before="27"/>
                                <w:ind w:left="367" w:right="0" w:firstLine="0"/>
                                <w:jc w:val="left"/>
                                <w:rPr>
                                  <w:rFonts w:ascii="Arial MT"/>
                                  <w:sz w:val="8"/>
                                </w:rPr>
                              </w:pPr>
                              <w:r>
                                <w:rPr>
                                  <w:rFonts w:ascii="Arial MT"/>
                                  <w:spacing w:val="-5"/>
                                  <w:w w:val="180"/>
                                  <w:sz w:val="8"/>
                                </w:rPr>
                                <w:t>GCF</w:t>
                              </w:r>
                            </w:p>
                          </w:txbxContent>
                        </wps:txbx>
                        <wps:bodyPr wrap="square" lIns="0" tIns="0" rIns="0" bIns="0" rtlCol="0">
                          <a:noAutofit/>
                        </wps:bodyPr>
                      </wps:wsp>
                    </wpg:wgp>
                  </a:graphicData>
                </a:graphic>
              </wp:inline>
            </w:drawing>
          </mc:Choice>
          <mc:Fallback>
            <w:pict>
              <v:group style="width:36.6pt;height:7.5pt;mso-position-horizontal-relative:char;mso-position-vertical-relative:line" id="docshapegroup33" coordorigin="0,0" coordsize="732,150">
                <v:line style="position:absolute" from="66,78" to="322,78" stroked="true" strokeweight=".309123pt" strokecolor="#000000">
                  <v:stroke dashstyle="solid"/>
                </v:line>
                <v:shape style="position:absolute;left:3;top:3;width:726;height:143" type="#_x0000_t202" id="docshape34" filled="false" stroked="true" strokeweight=".330055pt" strokecolor="#000000">
                  <v:textbox inset="0,0,0,0">
                    <w:txbxContent>
                      <w:p>
                        <w:pPr>
                          <w:spacing w:before="27"/>
                          <w:ind w:left="367" w:right="0" w:firstLine="0"/>
                          <w:jc w:val="left"/>
                          <w:rPr>
                            <w:rFonts w:ascii="Arial MT"/>
                            <w:sz w:val="8"/>
                          </w:rPr>
                        </w:pPr>
                        <w:r>
                          <w:rPr>
                            <w:rFonts w:ascii="Arial MT"/>
                            <w:spacing w:val="-5"/>
                            <w:w w:val="180"/>
                            <w:sz w:val="8"/>
                          </w:rPr>
                          <w:t>GCF</w:t>
                        </w:r>
                      </w:p>
                    </w:txbxContent>
                  </v:textbox>
                  <v:stroke dashstyle="solid"/>
                  <w10:wrap type="none"/>
                </v:shape>
              </v:group>
            </w:pict>
          </mc:Fallback>
        </mc:AlternateContent>
      </w:r>
      <w:r>
        <w:rPr>
          <w:rFonts w:ascii="Arial MT"/>
          <w:position w:val="-2"/>
          <w:sz w:val="15"/>
        </w:rPr>
      </w:r>
      <w:r>
        <w:rPr>
          <w:rFonts w:ascii="Arial MT"/>
          <w:position w:val="-2"/>
          <w:sz w:val="15"/>
        </w:rPr>
        <w:tab/>
      </w:r>
      <w:r>
        <w:rPr>
          <w:rFonts w:ascii="Arial MT"/>
          <w:position w:val="-2"/>
          <w:sz w:val="15"/>
        </w:rPr>
        <mc:AlternateContent>
          <mc:Choice Requires="wps">
            <w:drawing>
              <wp:inline distT="0" distB="0" distL="0" distR="0">
                <wp:extent cx="391160" cy="94615"/>
                <wp:effectExtent l="0" t="0" r="0" b="634"/>
                <wp:docPr id="38" name="Group 38"/>
                <wp:cNvGraphicFramePr>
                  <a:graphicFrameLocks/>
                </wp:cNvGraphicFramePr>
                <a:graphic>
                  <a:graphicData uri="http://schemas.microsoft.com/office/word/2010/wordprocessingGroup">
                    <wpg:wgp>
                      <wpg:cNvPr id="38" name="Group 38"/>
                      <wpg:cNvGrpSpPr/>
                      <wpg:grpSpPr>
                        <a:xfrm>
                          <a:off x="0" y="0"/>
                          <a:ext cx="391160" cy="94615"/>
                          <a:chExt cx="391160" cy="94615"/>
                        </a:xfrm>
                      </wpg:grpSpPr>
                      <wps:wsp>
                        <wps:cNvPr id="39" name="Graphic 39"/>
                        <wps:cNvSpPr/>
                        <wps:spPr>
                          <a:xfrm>
                            <a:off x="40428" y="49244"/>
                            <a:ext cx="156845" cy="1270"/>
                          </a:xfrm>
                          <a:custGeom>
                            <a:avLst/>
                            <a:gdLst/>
                            <a:ahLst/>
                            <a:cxnLst/>
                            <a:rect l="l" t="t" r="r" b="b"/>
                            <a:pathLst>
                              <a:path w="156845" h="0">
                                <a:moveTo>
                                  <a:pt x="0" y="0"/>
                                </a:moveTo>
                                <a:lnTo>
                                  <a:pt x="156691" y="0"/>
                                </a:lnTo>
                              </a:path>
                            </a:pathLst>
                          </a:custGeom>
                          <a:ln w="3923">
                            <a:solidFill>
                              <a:srgbClr val="000000"/>
                            </a:solidFill>
                            <a:prstDash val="solid"/>
                          </a:ln>
                        </wps:spPr>
                        <wps:bodyPr wrap="square" lIns="0" tIns="0" rIns="0" bIns="0" rtlCol="0">
                          <a:prstTxWarp prst="textNoShape">
                            <a:avLst/>
                          </a:prstTxWarp>
                          <a:noAutofit/>
                        </wps:bodyPr>
                      </wps:wsp>
                      <wps:wsp>
                        <wps:cNvPr id="40" name="Textbox 40"/>
                        <wps:cNvSpPr txBox="1"/>
                        <wps:spPr>
                          <a:xfrm>
                            <a:off x="2117" y="2117"/>
                            <a:ext cx="387350" cy="90805"/>
                          </a:xfrm>
                          <a:prstGeom prst="rect">
                            <a:avLst/>
                          </a:prstGeom>
                          <a:ln w="4234">
                            <a:solidFill>
                              <a:srgbClr val="000000"/>
                            </a:solidFill>
                            <a:prstDash val="solid"/>
                          </a:ln>
                        </wps:spPr>
                        <wps:txbx>
                          <w:txbxContent>
                            <w:p>
                              <w:pPr>
                                <w:spacing w:before="27"/>
                                <w:ind w:left="354" w:right="0" w:firstLine="0"/>
                                <w:jc w:val="left"/>
                                <w:rPr>
                                  <w:rFonts w:ascii="Arial MT"/>
                                  <w:sz w:val="8"/>
                                </w:rPr>
                              </w:pPr>
                              <w:r>
                                <w:rPr>
                                  <w:rFonts w:ascii="Arial MT"/>
                                  <w:spacing w:val="-5"/>
                                  <w:w w:val="175"/>
                                  <w:sz w:val="8"/>
                                </w:rPr>
                                <w:t>DR</w:t>
                              </w:r>
                            </w:p>
                          </w:txbxContent>
                        </wps:txbx>
                        <wps:bodyPr wrap="square" lIns="0" tIns="0" rIns="0" bIns="0" rtlCol="0">
                          <a:noAutofit/>
                        </wps:bodyPr>
                      </wps:wsp>
                    </wpg:wgp>
                  </a:graphicData>
                </a:graphic>
              </wp:inline>
            </w:drawing>
          </mc:Choice>
          <mc:Fallback>
            <w:pict>
              <v:group style="width:30.8pt;height:7.45pt;mso-position-horizontal-relative:char;mso-position-vertical-relative:line" id="docshapegroup35" coordorigin="0,0" coordsize="616,149">
                <v:line style="position:absolute" from="64,78" to="310,78" stroked="true" strokeweight=".308923pt" strokecolor="#000000">
                  <v:stroke dashstyle="solid"/>
                </v:line>
                <v:shape style="position:absolute;left:3;top:3;width:610;height:143" type="#_x0000_t202" id="docshape36" filled="false" stroked="true" strokeweight=".333433pt" strokecolor="#000000">
                  <v:textbox inset="0,0,0,0">
                    <w:txbxContent>
                      <w:p>
                        <w:pPr>
                          <w:spacing w:before="27"/>
                          <w:ind w:left="354" w:right="0" w:firstLine="0"/>
                          <w:jc w:val="left"/>
                          <w:rPr>
                            <w:rFonts w:ascii="Arial MT"/>
                            <w:sz w:val="8"/>
                          </w:rPr>
                        </w:pPr>
                        <w:r>
                          <w:rPr>
                            <w:rFonts w:ascii="Arial MT"/>
                            <w:spacing w:val="-5"/>
                            <w:w w:val="175"/>
                            <w:sz w:val="8"/>
                          </w:rPr>
                          <w:t>DR</w:t>
                        </w:r>
                      </w:p>
                    </w:txbxContent>
                  </v:textbox>
                  <v:stroke dashstyle="solid"/>
                  <w10:wrap type="none"/>
                </v:shape>
              </v:group>
            </w:pict>
          </mc:Fallback>
        </mc:AlternateContent>
      </w:r>
      <w:r>
        <w:rPr>
          <w:rFonts w:ascii="Arial MT"/>
          <w:position w:val="-2"/>
          <w:sz w:val="15"/>
        </w:rPr>
      </w:r>
    </w:p>
    <w:p>
      <w:pPr>
        <w:pStyle w:val="BodyText"/>
        <w:rPr>
          <w:rFonts w:ascii="Arial MT"/>
        </w:rPr>
      </w:pPr>
    </w:p>
    <w:p>
      <w:pPr>
        <w:pStyle w:val="BodyText"/>
        <w:rPr>
          <w:rFonts w:ascii="Arial MT"/>
        </w:rPr>
      </w:pPr>
    </w:p>
    <w:p>
      <w:pPr>
        <w:pStyle w:val="BodyText"/>
        <w:spacing w:before="120"/>
        <w:rPr>
          <w:rFonts w:ascii="Arial MT"/>
        </w:rPr>
      </w:pPr>
    </w:p>
    <w:p>
      <w:pPr>
        <w:pStyle w:val="Heading5"/>
        <w:tabs>
          <w:tab w:pos="7499" w:val="left" w:leader="none"/>
        </w:tabs>
        <w:spacing w:before="0"/>
        <w:ind w:left="2391"/>
        <w:jc w:val="left"/>
      </w:pPr>
      <w:r>
        <w:rPr>
          <w:spacing w:val="-2"/>
        </w:rPr>
        <w:t>RIVCR</w:t>
      </w:r>
      <w:r>
        <w:rPr/>
        <w:tab/>
      </w:r>
      <w:r>
        <w:rPr>
          <w:spacing w:val="-2"/>
        </w:rPr>
        <w:t>USIRD</w:t>
      </w: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spacing w:before="49"/>
        <w:rPr>
          <w:b/>
          <w:sz w:val="10"/>
        </w:rPr>
      </w:pPr>
    </w:p>
    <w:p>
      <w:pPr>
        <w:tabs>
          <w:tab w:pos="5546" w:val="left" w:leader="none"/>
        </w:tabs>
        <w:spacing w:before="0"/>
        <w:ind w:left="940" w:right="0" w:firstLine="0"/>
        <w:jc w:val="left"/>
        <w:rPr>
          <w:rFonts w:ascii="Arial MT"/>
          <w:sz w:val="10"/>
        </w:rPr>
      </w:pPr>
      <w:r>
        <w:rPr/>
        <mc:AlternateContent>
          <mc:Choice Requires="wps">
            <w:drawing>
              <wp:anchor distT="0" distB="0" distL="0" distR="0" allowOverlap="1" layoutInCell="1" locked="0" behindDoc="1" simplePos="0" relativeHeight="464160256">
                <wp:simplePos x="0" y="0"/>
                <wp:positionH relativeFrom="page">
                  <wp:posOffset>935129</wp:posOffset>
                </wp:positionH>
                <wp:positionV relativeFrom="paragraph">
                  <wp:posOffset>43150</wp:posOffset>
                </wp:positionV>
                <wp:extent cx="2375535" cy="1240790"/>
                <wp:effectExtent l="0" t="0" r="0" b="0"/>
                <wp:wrapNone/>
                <wp:docPr id="41" name="Graphic 41"/>
                <wp:cNvGraphicFramePr>
                  <a:graphicFrameLocks/>
                </wp:cNvGraphicFramePr>
                <a:graphic>
                  <a:graphicData uri="http://schemas.microsoft.com/office/word/2010/wordprocessingShape">
                    <wps:wsp>
                      <wps:cNvPr id="41" name="Graphic 41"/>
                      <wps:cNvSpPr/>
                      <wps:spPr>
                        <a:xfrm>
                          <a:off x="0" y="0"/>
                          <a:ext cx="2375535" cy="1240790"/>
                        </a:xfrm>
                        <a:custGeom>
                          <a:avLst/>
                          <a:gdLst/>
                          <a:ahLst/>
                          <a:cxnLst/>
                          <a:rect l="l" t="t" r="r" b="b"/>
                          <a:pathLst>
                            <a:path w="2375535" h="1240790">
                              <a:moveTo>
                                <a:pt x="0" y="1211744"/>
                              </a:moveTo>
                              <a:lnTo>
                                <a:pt x="34788" y="1211744"/>
                              </a:lnTo>
                            </a:path>
                            <a:path w="2375535" h="1240790">
                              <a:moveTo>
                                <a:pt x="0" y="1009782"/>
                              </a:moveTo>
                              <a:lnTo>
                                <a:pt x="34788" y="1009782"/>
                              </a:lnTo>
                            </a:path>
                            <a:path w="2375535" h="1240790">
                              <a:moveTo>
                                <a:pt x="0" y="807821"/>
                              </a:moveTo>
                              <a:lnTo>
                                <a:pt x="34788" y="807821"/>
                              </a:lnTo>
                            </a:path>
                            <a:path w="2375535" h="1240790">
                              <a:moveTo>
                                <a:pt x="0" y="605836"/>
                              </a:moveTo>
                              <a:lnTo>
                                <a:pt x="34788" y="605836"/>
                              </a:lnTo>
                            </a:path>
                            <a:path w="2375535" h="1240790">
                              <a:moveTo>
                                <a:pt x="0" y="403874"/>
                              </a:moveTo>
                              <a:lnTo>
                                <a:pt x="34787" y="403874"/>
                              </a:lnTo>
                            </a:path>
                            <a:path w="2375535" h="1240790">
                              <a:moveTo>
                                <a:pt x="0" y="201961"/>
                              </a:moveTo>
                              <a:lnTo>
                                <a:pt x="34787" y="201961"/>
                              </a:lnTo>
                            </a:path>
                            <a:path w="2375535" h="1240790">
                              <a:moveTo>
                                <a:pt x="0" y="2400"/>
                              </a:moveTo>
                              <a:lnTo>
                                <a:pt x="34787" y="2400"/>
                              </a:lnTo>
                            </a:path>
                            <a:path w="2375535" h="1240790">
                              <a:moveTo>
                                <a:pt x="38266" y="1214144"/>
                              </a:moveTo>
                              <a:lnTo>
                                <a:pt x="38266" y="1228546"/>
                              </a:lnTo>
                            </a:path>
                            <a:path w="2375535" h="1240790">
                              <a:moveTo>
                                <a:pt x="94023" y="1214144"/>
                              </a:moveTo>
                              <a:lnTo>
                                <a:pt x="94023" y="1228546"/>
                              </a:lnTo>
                            </a:path>
                            <a:path w="2375535" h="1240790">
                              <a:moveTo>
                                <a:pt x="149777" y="1214144"/>
                              </a:moveTo>
                              <a:lnTo>
                                <a:pt x="149777" y="1228546"/>
                              </a:lnTo>
                            </a:path>
                            <a:path w="2375535" h="1240790">
                              <a:moveTo>
                                <a:pt x="208974" y="1214144"/>
                              </a:moveTo>
                              <a:lnTo>
                                <a:pt x="208974" y="1228546"/>
                              </a:lnTo>
                            </a:path>
                            <a:path w="2375535" h="1240790">
                              <a:moveTo>
                                <a:pt x="264728" y="1214144"/>
                              </a:moveTo>
                              <a:lnTo>
                                <a:pt x="264728" y="1228546"/>
                              </a:lnTo>
                            </a:path>
                            <a:path w="2375535" h="1240790">
                              <a:moveTo>
                                <a:pt x="320378" y="1214144"/>
                              </a:moveTo>
                              <a:lnTo>
                                <a:pt x="320378" y="1228546"/>
                              </a:lnTo>
                            </a:path>
                            <a:path w="2375535" h="1240790">
                              <a:moveTo>
                                <a:pt x="379610" y="1214144"/>
                              </a:moveTo>
                              <a:lnTo>
                                <a:pt x="379610" y="1228546"/>
                              </a:lnTo>
                            </a:path>
                            <a:path w="2375535" h="1240790">
                              <a:moveTo>
                                <a:pt x="435364" y="1214144"/>
                              </a:moveTo>
                              <a:lnTo>
                                <a:pt x="435364" y="1228546"/>
                              </a:lnTo>
                            </a:path>
                            <a:path w="2375535" h="1240790">
                              <a:moveTo>
                                <a:pt x="491118" y="1214144"/>
                              </a:moveTo>
                              <a:lnTo>
                                <a:pt x="491118" y="1228546"/>
                              </a:lnTo>
                            </a:path>
                            <a:path w="2375535" h="1240790">
                              <a:moveTo>
                                <a:pt x="550350" y="1214144"/>
                              </a:moveTo>
                              <a:lnTo>
                                <a:pt x="550350" y="1228546"/>
                              </a:lnTo>
                            </a:path>
                            <a:path w="2375535" h="1240790">
                              <a:moveTo>
                                <a:pt x="606000" y="1214144"/>
                              </a:moveTo>
                              <a:lnTo>
                                <a:pt x="606000" y="1228546"/>
                              </a:lnTo>
                            </a:path>
                            <a:path w="2375535" h="1240790">
                              <a:moveTo>
                                <a:pt x="665232" y="1214144"/>
                              </a:moveTo>
                              <a:lnTo>
                                <a:pt x="665232" y="1228546"/>
                              </a:lnTo>
                            </a:path>
                            <a:path w="2375535" h="1240790">
                              <a:moveTo>
                                <a:pt x="720986" y="1214144"/>
                              </a:moveTo>
                              <a:lnTo>
                                <a:pt x="720986" y="1228546"/>
                              </a:lnTo>
                            </a:path>
                            <a:path w="2375535" h="1240790">
                              <a:moveTo>
                                <a:pt x="776705" y="1214144"/>
                              </a:moveTo>
                              <a:lnTo>
                                <a:pt x="776705" y="1228546"/>
                              </a:lnTo>
                            </a:path>
                            <a:path w="2375535" h="1240790">
                              <a:moveTo>
                                <a:pt x="835937" y="1214144"/>
                              </a:moveTo>
                              <a:lnTo>
                                <a:pt x="835937" y="1228546"/>
                              </a:lnTo>
                            </a:path>
                            <a:path w="2375535" h="1240790">
                              <a:moveTo>
                                <a:pt x="891622" y="1214144"/>
                              </a:moveTo>
                              <a:lnTo>
                                <a:pt x="891622" y="1228546"/>
                              </a:lnTo>
                            </a:path>
                            <a:path w="2375535" h="1240790">
                              <a:moveTo>
                                <a:pt x="947341" y="1214144"/>
                              </a:moveTo>
                              <a:lnTo>
                                <a:pt x="947341" y="1228546"/>
                              </a:lnTo>
                            </a:path>
                            <a:path w="2375535" h="1240790">
                              <a:moveTo>
                                <a:pt x="1006573" y="1214144"/>
                              </a:moveTo>
                              <a:lnTo>
                                <a:pt x="1006573" y="1228546"/>
                              </a:lnTo>
                            </a:path>
                            <a:path w="2375535" h="1240790">
                              <a:moveTo>
                                <a:pt x="1062327" y="1214144"/>
                              </a:moveTo>
                              <a:lnTo>
                                <a:pt x="1062327" y="1228546"/>
                              </a:lnTo>
                            </a:path>
                            <a:path w="2375535" h="1240790">
                              <a:moveTo>
                                <a:pt x="1118081" y="1214144"/>
                              </a:moveTo>
                              <a:lnTo>
                                <a:pt x="1118081" y="1228546"/>
                              </a:lnTo>
                            </a:path>
                            <a:path w="2375535" h="1240790">
                              <a:moveTo>
                                <a:pt x="1177209" y="1214144"/>
                              </a:moveTo>
                              <a:lnTo>
                                <a:pt x="1177209" y="1228546"/>
                              </a:lnTo>
                            </a:path>
                            <a:path w="2375535" h="1240790">
                              <a:moveTo>
                                <a:pt x="1232963" y="1214144"/>
                              </a:moveTo>
                              <a:lnTo>
                                <a:pt x="1232963" y="1228546"/>
                              </a:lnTo>
                            </a:path>
                            <a:path w="2375535" h="1240790">
                              <a:moveTo>
                                <a:pt x="1292195" y="1214144"/>
                              </a:moveTo>
                              <a:lnTo>
                                <a:pt x="1292195" y="1228546"/>
                              </a:lnTo>
                            </a:path>
                            <a:path w="2375535" h="1240790">
                              <a:moveTo>
                                <a:pt x="1347949" y="1214144"/>
                              </a:moveTo>
                              <a:lnTo>
                                <a:pt x="1347949" y="1228546"/>
                              </a:lnTo>
                            </a:path>
                            <a:path w="2375535" h="1240790">
                              <a:moveTo>
                                <a:pt x="1403668" y="1214144"/>
                              </a:moveTo>
                              <a:lnTo>
                                <a:pt x="1403668" y="1228546"/>
                              </a:lnTo>
                            </a:path>
                            <a:path w="2375535" h="1240790">
                              <a:moveTo>
                                <a:pt x="1462831" y="1214144"/>
                              </a:moveTo>
                              <a:lnTo>
                                <a:pt x="1462831" y="1228546"/>
                              </a:lnTo>
                            </a:path>
                            <a:path w="2375535" h="1240790">
                              <a:moveTo>
                                <a:pt x="1518550" y="1214144"/>
                              </a:moveTo>
                              <a:lnTo>
                                <a:pt x="1518550" y="1228546"/>
                              </a:lnTo>
                            </a:path>
                            <a:path w="2375535" h="1240790">
                              <a:moveTo>
                                <a:pt x="1574304" y="1214144"/>
                              </a:moveTo>
                              <a:lnTo>
                                <a:pt x="1574304" y="1228546"/>
                              </a:lnTo>
                            </a:path>
                            <a:path w="2375535" h="1240790">
                              <a:moveTo>
                                <a:pt x="1633536" y="1214144"/>
                              </a:moveTo>
                              <a:lnTo>
                                <a:pt x="1633536" y="1228546"/>
                              </a:lnTo>
                            </a:path>
                            <a:path w="2375535" h="1240790">
                              <a:moveTo>
                                <a:pt x="1689290" y="1214144"/>
                              </a:moveTo>
                              <a:lnTo>
                                <a:pt x="1689290" y="1228546"/>
                              </a:lnTo>
                            </a:path>
                            <a:path w="2375535" h="1240790">
                              <a:moveTo>
                                <a:pt x="1744940" y="1214144"/>
                              </a:moveTo>
                              <a:lnTo>
                                <a:pt x="1744940" y="1228546"/>
                              </a:lnTo>
                            </a:path>
                            <a:path w="2375535" h="1240790">
                              <a:moveTo>
                                <a:pt x="1804172" y="1214144"/>
                              </a:moveTo>
                              <a:lnTo>
                                <a:pt x="1804172" y="1228546"/>
                              </a:lnTo>
                            </a:path>
                            <a:path w="2375535" h="1240790">
                              <a:moveTo>
                                <a:pt x="1859926" y="1214144"/>
                              </a:moveTo>
                              <a:lnTo>
                                <a:pt x="1859926" y="1228546"/>
                              </a:lnTo>
                            </a:path>
                            <a:path w="2375535" h="1240790">
                              <a:moveTo>
                                <a:pt x="1919158" y="1214144"/>
                              </a:moveTo>
                              <a:lnTo>
                                <a:pt x="1919158" y="1228546"/>
                              </a:lnTo>
                            </a:path>
                            <a:path w="2375535" h="1240790">
                              <a:moveTo>
                                <a:pt x="1974877" y="1214144"/>
                              </a:moveTo>
                              <a:lnTo>
                                <a:pt x="1974877" y="1228546"/>
                              </a:lnTo>
                            </a:path>
                            <a:path w="2375535" h="1240790">
                              <a:moveTo>
                                <a:pt x="2030561" y="1214144"/>
                              </a:moveTo>
                              <a:lnTo>
                                <a:pt x="2030561" y="1228546"/>
                              </a:lnTo>
                            </a:path>
                            <a:path w="2375535" h="1240790">
                              <a:moveTo>
                                <a:pt x="2089793" y="1214144"/>
                              </a:moveTo>
                              <a:lnTo>
                                <a:pt x="2089793" y="1228546"/>
                              </a:lnTo>
                            </a:path>
                            <a:path w="2375535" h="1240790">
                              <a:moveTo>
                                <a:pt x="2145513" y="1214144"/>
                              </a:moveTo>
                              <a:lnTo>
                                <a:pt x="2145513" y="1228546"/>
                              </a:lnTo>
                            </a:path>
                            <a:path w="2375535" h="1240790">
                              <a:moveTo>
                                <a:pt x="2201267" y="1214144"/>
                              </a:moveTo>
                              <a:lnTo>
                                <a:pt x="2201267" y="1228546"/>
                              </a:lnTo>
                            </a:path>
                            <a:path w="2375535" h="1240790">
                              <a:moveTo>
                                <a:pt x="2260499" y="1214144"/>
                              </a:moveTo>
                              <a:lnTo>
                                <a:pt x="2260499" y="1228546"/>
                              </a:lnTo>
                            </a:path>
                            <a:path w="2375535" h="1240790">
                              <a:moveTo>
                                <a:pt x="2316148" y="1214144"/>
                              </a:moveTo>
                              <a:lnTo>
                                <a:pt x="2316148" y="1228546"/>
                              </a:lnTo>
                            </a:path>
                            <a:path w="2375535" h="1240790">
                              <a:moveTo>
                                <a:pt x="2371902" y="1214144"/>
                              </a:moveTo>
                              <a:lnTo>
                                <a:pt x="2371902" y="1228546"/>
                              </a:lnTo>
                            </a:path>
                            <a:path w="2375535" h="1240790">
                              <a:moveTo>
                                <a:pt x="38266" y="1214144"/>
                              </a:moveTo>
                              <a:lnTo>
                                <a:pt x="38266" y="1240619"/>
                              </a:lnTo>
                            </a:path>
                            <a:path w="2375535" h="1240790">
                              <a:moveTo>
                                <a:pt x="320378" y="1214144"/>
                              </a:moveTo>
                              <a:lnTo>
                                <a:pt x="320378" y="1240619"/>
                              </a:lnTo>
                            </a:path>
                            <a:path w="2375535" h="1240790">
                              <a:moveTo>
                                <a:pt x="606000" y="1214144"/>
                              </a:moveTo>
                              <a:lnTo>
                                <a:pt x="606000" y="1240619"/>
                              </a:lnTo>
                            </a:path>
                            <a:path w="2375535" h="1240790">
                              <a:moveTo>
                                <a:pt x="891622" y="1214144"/>
                              </a:moveTo>
                              <a:lnTo>
                                <a:pt x="891622" y="1240619"/>
                              </a:lnTo>
                            </a:path>
                            <a:path w="2375535" h="1240790">
                              <a:moveTo>
                                <a:pt x="1177209" y="1214144"/>
                              </a:moveTo>
                              <a:lnTo>
                                <a:pt x="1177209" y="1240619"/>
                              </a:lnTo>
                            </a:path>
                            <a:path w="2375535" h="1240790">
                              <a:moveTo>
                                <a:pt x="1462831" y="1214144"/>
                              </a:moveTo>
                              <a:lnTo>
                                <a:pt x="1462831" y="1240619"/>
                              </a:lnTo>
                            </a:path>
                            <a:path w="2375535" h="1240790">
                              <a:moveTo>
                                <a:pt x="1744940" y="1214144"/>
                              </a:moveTo>
                              <a:lnTo>
                                <a:pt x="1744940" y="1240620"/>
                              </a:lnTo>
                            </a:path>
                            <a:path w="2375535" h="1240790">
                              <a:moveTo>
                                <a:pt x="2030561" y="1214144"/>
                              </a:moveTo>
                              <a:lnTo>
                                <a:pt x="2030561" y="1240620"/>
                              </a:lnTo>
                            </a:path>
                            <a:path w="2375535" h="1240790">
                              <a:moveTo>
                                <a:pt x="2316148" y="1214144"/>
                              </a:moveTo>
                              <a:lnTo>
                                <a:pt x="2316148" y="1240620"/>
                              </a:lnTo>
                            </a:path>
                            <a:path w="2375535" h="1240790">
                              <a:moveTo>
                                <a:pt x="38266" y="766944"/>
                              </a:moveTo>
                              <a:lnTo>
                                <a:pt x="94023" y="766944"/>
                              </a:lnTo>
                              <a:lnTo>
                                <a:pt x="149777" y="766944"/>
                              </a:lnTo>
                              <a:lnTo>
                                <a:pt x="208974" y="766944"/>
                              </a:lnTo>
                              <a:lnTo>
                                <a:pt x="264728" y="766944"/>
                              </a:lnTo>
                              <a:lnTo>
                                <a:pt x="320378" y="651513"/>
                              </a:lnTo>
                              <a:lnTo>
                                <a:pt x="379610" y="651513"/>
                              </a:lnTo>
                              <a:lnTo>
                                <a:pt x="435364" y="651513"/>
                              </a:lnTo>
                              <a:lnTo>
                                <a:pt x="491118" y="562582"/>
                              </a:lnTo>
                              <a:lnTo>
                                <a:pt x="550350" y="562582"/>
                              </a:lnTo>
                              <a:lnTo>
                                <a:pt x="606000" y="488029"/>
                              </a:lnTo>
                              <a:lnTo>
                                <a:pt x="661754" y="488029"/>
                              </a:lnTo>
                              <a:lnTo>
                                <a:pt x="720986" y="399074"/>
                              </a:lnTo>
                              <a:lnTo>
                                <a:pt x="776705" y="399074"/>
                              </a:lnTo>
                              <a:lnTo>
                                <a:pt x="832459" y="302918"/>
                              </a:lnTo>
                              <a:lnTo>
                                <a:pt x="891622" y="302918"/>
                              </a:lnTo>
                              <a:lnTo>
                                <a:pt x="947341" y="302918"/>
                              </a:lnTo>
                              <a:lnTo>
                                <a:pt x="1003095" y="146634"/>
                              </a:lnTo>
                              <a:lnTo>
                                <a:pt x="1062327" y="132232"/>
                              </a:lnTo>
                              <a:lnTo>
                                <a:pt x="1118081" y="81754"/>
                              </a:lnTo>
                              <a:lnTo>
                                <a:pt x="1173731" y="28803"/>
                              </a:lnTo>
                              <a:lnTo>
                                <a:pt x="1232963" y="139433"/>
                              </a:lnTo>
                              <a:lnTo>
                                <a:pt x="1288717" y="91355"/>
                              </a:lnTo>
                              <a:lnTo>
                                <a:pt x="1344471" y="76953"/>
                              </a:lnTo>
                              <a:lnTo>
                                <a:pt x="1403668" y="161108"/>
                              </a:lnTo>
                              <a:lnTo>
                                <a:pt x="1459352" y="189912"/>
                              </a:lnTo>
                              <a:lnTo>
                                <a:pt x="1515072" y="218787"/>
                              </a:lnTo>
                              <a:lnTo>
                                <a:pt x="1574304" y="577032"/>
                              </a:lnTo>
                              <a:lnTo>
                                <a:pt x="1630058" y="524106"/>
                              </a:lnTo>
                              <a:lnTo>
                                <a:pt x="1685812" y="536155"/>
                              </a:lnTo>
                              <a:lnTo>
                                <a:pt x="1744939" y="538555"/>
                              </a:lnTo>
                              <a:lnTo>
                                <a:pt x="1800693" y="524106"/>
                              </a:lnTo>
                              <a:lnTo>
                                <a:pt x="1856447" y="637112"/>
                              </a:lnTo>
                              <a:lnTo>
                                <a:pt x="1915680" y="641912"/>
                              </a:lnTo>
                              <a:lnTo>
                                <a:pt x="1971399" y="632311"/>
                              </a:lnTo>
                              <a:lnTo>
                                <a:pt x="2027083" y="668388"/>
                              </a:lnTo>
                              <a:lnTo>
                                <a:pt x="2086315" y="750142"/>
                              </a:lnTo>
                              <a:lnTo>
                                <a:pt x="2142035" y="699592"/>
                              </a:lnTo>
                              <a:lnTo>
                                <a:pt x="2197789" y="788619"/>
                              </a:lnTo>
                              <a:lnTo>
                                <a:pt x="2257021" y="776545"/>
                              </a:lnTo>
                              <a:lnTo>
                                <a:pt x="2312670" y="891952"/>
                              </a:lnTo>
                              <a:lnTo>
                                <a:pt x="2371902" y="1055460"/>
                              </a:lnTo>
                            </a:path>
                            <a:path w="2375535" h="1240790">
                              <a:moveTo>
                                <a:pt x="34787" y="0"/>
                              </a:moveTo>
                              <a:lnTo>
                                <a:pt x="34788" y="1214144"/>
                              </a:lnTo>
                              <a:lnTo>
                                <a:pt x="2375380" y="1214144"/>
                              </a:lnTo>
                              <a:lnTo>
                                <a:pt x="2375380" y="0"/>
                              </a:lnTo>
                              <a:lnTo>
                                <a:pt x="34787" y="0"/>
                              </a:lnTo>
                            </a:path>
                          </a:pathLst>
                        </a:custGeom>
                        <a:ln w="595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3.632278pt;margin-top:3.397652pt;width:187.05pt;height:97.7pt;mso-position-horizontal-relative:page;mso-position-vertical-relative:paragraph;z-index:-39156224" id="docshape37" coordorigin="1473,68" coordsize="3741,1954" path="m1473,1976l1527,1976m1473,1658l1527,1658m1473,1340l1527,1340m1473,1022l1527,1022m1473,704l1527,704m1473,386l1527,386m1473,72l1527,72m1533,1980l1533,2003m1621,1980l1621,2003m1709,1980l1709,2003m1802,1980l1802,2003m1890,1980l1890,2003m1977,1980l1977,2003m2070,1980l2070,2003m2158,1980l2158,2003m2246,1980l2246,2003m2339,1980l2339,2003m2427,1980l2427,2003m2520,1980l2520,2003m2608,1980l2608,2003m2696,1980l2696,2003m2789,1980l2789,2003m2877,1980l2877,2003m2965,1980l2965,2003m3058,1980l3058,2003m3146,1980l3146,2003m3233,1980l3233,2003m3327,1980l3327,2003m3414,1980l3414,2003m3508,1980l3508,2003m3595,1980l3595,2003m3683,1980l3683,2003m3776,1980l3776,2003m3864,1980l3864,2003m3952,1980l3952,2003m4045,1980l4045,2003m4133,1980l4133,2003m4221,1980l4221,2003m4314,1980l4314,2003m4402,1980l4402,2003m4495,1980l4495,2003m4583,1980l4583,2003m4670,1980l4670,2003m4764,1980l4764,2003m4851,1980l4851,2003m4939,1980l4939,2003m5032,1980l5032,2003m5120,1980l5120,2003m5208,1980l5208,2003m1533,1980l1533,2022m1977,1980l1977,2022m2427,1980l2427,2022m2877,1980l2877,2022m3327,1980l3327,2022m3776,1980l3776,2022m4221,1980l4221,2022m4670,1980l4670,2022m5120,1980l5120,2022m1533,1276l1621,1276,1709,1276,1802,1276,1890,1276,1977,1094,2070,1094,2158,1094,2246,954,2339,954,2427,837,2515,837,2608,696,2696,696,2784,545,2877,545,2965,545,3052,299,3146,276,3233,197,3321,113,3414,288,3502,212,3590,189,3683,322,3771,367,3859,413,3952,977,4040,893,4127,912,4221,916,4308,893,4396,1071,4489,1079,4577,1064,4665,1121,4758,1249,4846,1170,4934,1310,5027,1291,5115,1473,5208,1730m1527,68l1527,1980,5213,1980,5213,68,1527,68e" filled="false" stroked="true" strokeweight=".468606pt" strokecolor="#000000">
                <v:path arrowok="t"/>
                <v:stroke dashstyle="solid"/>
                <w10:wrap type="none"/>
              </v:shape>
            </w:pict>
          </mc:Fallback>
        </mc:AlternateContent>
      </w:r>
      <w:r>
        <w:rPr/>
        <mc:AlternateContent>
          <mc:Choice Requires="wps">
            <w:drawing>
              <wp:anchor distT="0" distB="0" distL="0" distR="0" allowOverlap="1" layoutInCell="1" locked="0" behindDoc="0" simplePos="0" relativeHeight="15737856">
                <wp:simplePos x="0" y="0"/>
                <wp:positionH relativeFrom="page">
                  <wp:posOffset>3827749</wp:posOffset>
                </wp:positionH>
                <wp:positionV relativeFrom="paragraph">
                  <wp:posOffset>43192</wp:posOffset>
                </wp:positionV>
                <wp:extent cx="2296160" cy="1238250"/>
                <wp:effectExtent l="0" t="0" r="0" b="0"/>
                <wp:wrapNone/>
                <wp:docPr id="42" name="Graphic 42"/>
                <wp:cNvGraphicFramePr>
                  <a:graphicFrameLocks/>
                </wp:cNvGraphicFramePr>
                <a:graphic>
                  <a:graphicData uri="http://schemas.microsoft.com/office/word/2010/wordprocessingShape">
                    <wps:wsp>
                      <wps:cNvPr id="42" name="Graphic 42"/>
                      <wps:cNvSpPr/>
                      <wps:spPr>
                        <a:xfrm>
                          <a:off x="0" y="0"/>
                          <a:ext cx="2296160" cy="1238250"/>
                        </a:xfrm>
                        <a:custGeom>
                          <a:avLst/>
                          <a:gdLst/>
                          <a:ahLst/>
                          <a:cxnLst/>
                          <a:rect l="l" t="t" r="r" b="b"/>
                          <a:pathLst>
                            <a:path w="2296160" h="1238250">
                              <a:moveTo>
                                <a:pt x="0" y="1209408"/>
                              </a:moveTo>
                              <a:lnTo>
                                <a:pt x="33709" y="1209408"/>
                              </a:lnTo>
                            </a:path>
                            <a:path w="2296160" h="1238250">
                              <a:moveTo>
                                <a:pt x="0" y="1036313"/>
                              </a:moveTo>
                              <a:lnTo>
                                <a:pt x="33709" y="1036313"/>
                              </a:lnTo>
                            </a:path>
                            <a:path w="2296160" h="1238250">
                              <a:moveTo>
                                <a:pt x="0" y="863146"/>
                              </a:moveTo>
                              <a:lnTo>
                                <a:pt x="33709" y="863146"/>
                              </a:lnTo>
                            </a:path>
                            <a:path w="2296160" h="1238250">
                              <a:moveTo>
                                <a:pt x="0" y="690027"/>
                              </a:moveTo>
                              <a:lnTo>
                                <a:pt x="33709" y="690027"/>
                              </a:lnTo>
                            </a:path>
                            <a:path w="2296160" h="1238250">
                              <a:moveTo>
                                <a:pt x="0" y="519332"/>
                              </a:moveTo>
                              <a:lnTo>
                                <a:pt x="33709" y="519332"/>
                              </a:lnTo>
                            </a:path>
                            <a:path w="2296160" h="1238250">
                              <a:moveTo>
                                <a:pt x="0" y="346213"/>
                              </a:moveTo>
                              <a:lnTo>
                                <a:pt x="33709" y="346213"/>
                              </a:lnTo>
                            </a:path>
                            <a:path w="2296160" h="1238250">
                              <a:moveTo>
                                <a:pt x="0" y="173118"/>
                              </a:moveTo>
                              <a:lnTo>
                                <a:pt x="33709" y="173118"/>
                              </a:lnTo>
                            </a:path>
                            <a:path w="2296160" h="1238250">
                              <a:moveTo>
                                <a:pt x="0" y="2400"/>
                              </a:moveTo>
                              <a:lnTo>
                                <a:pt x="33709" y="2400"/>
                              </a:lnTo>
                            </a:path>
                            <a:path w="2296160" h="1238250">
                              <a:moveTo>
                                <a:pt x="37071" y="1211808"/>
                              </a:moveTo>
                              <a:lnTo>
                                <a:pt x="37071" y="1226211"/>
                              </a:lnTo>
                            </a:path>
                            <a:path w="2296160" h="1238250">
                              <a:moveTo>
                                <a:pt x="90941" y="1211808"/>
                              </a:moveTo>
                              <a:lnTo>
                                <a:pt x="90941" y="1226211"/>
                              </a:lnTo>
                            </a:path>
                            <a:path w="2296160" h="1238250">
                              <a:moveTo>
                                <a:pt x="144764" y="1211808"/>
                              </a:moveTo>
                              <a:lnTo>
                                <a:pt x="144764" y="1226211"/>
                              </a:lnTo>
                            </a:path>
                            <a:path w="2296160" h="1238250">
                              <a:moveTo>
                                <a:pt x="202017" y="1211808"/>
                              </a:moveTo>
                              <a:lnTo>
                                <a:pt x="202017" y="1226211"/>
                              </a:lnTo>
                            </a:path>
                            <a:path w="2296160" h="1238250">
                              <a:moveTo>
                                <a:pt x="255874" y="1211808"/>
                              </a:moveTo>
                              <a:lnTo>
                                <a:pt x="255874" y="1226211"/>
                              </a:lnTo>
                            </a:path>
                            <a:path w="2296160" h="1238250">
                              <a:moveTo>
                                <a:pt x="309764" y="1211808"/>
                              </a:moveTo>
                              <a:lnTo>
                                <a:pt x="309764" y="1226211"/>
                              </a:lnTo>
                            </a:path>
                            <a:path w="2296160" h="1238250">
                              <a:moveTo>
                                <a:pt x="367017" y="1211808"/>
                              </a:moveTo>
                              <a:lnTo>
                                <a:pt x="367017" y="1226211"/>
                              </a:lnTo>
                            </a:path>
                            <a:path w="2296160" h="1238250">
                              <a:moveTo>
                                <a:pt x="420907" y="1211808"/>
                              </a:moveTo>
                              <a:lnTo>
                                <a:pt x="420907" y="1226211"/>
                              </a:lnTo>
                            </a:path>
                            <a:path w="2296160" h="1238250">
                              <a:moveTo>
                                <a:pt x="474697" y="1211808"/>
                              </a:moveTo>
                              <a:lnTo>
                                <a:pt x="474697" y="1226211"/>
                              </a:lnTo>
                            </a:path>
                            <a:path w="2296160" h="1238250">
                              <a:moveTo>
                                <a:pt x="531949" y="1211808"/>
                              </a:moveTo>
                              <a:lnTo>
                                <a:pt x="531949" y="1226211"/>
                              </a:lnTo>
                            </a:path>
                            <a:path w="2296160" h="1238250">
                              <a:moveTo>
                                <a:pt x="585840" y="1211808"/>
                              </a:moveTo>
                              <a:lnTo>
                                <a:pt x="585840" y="1226211"/>
                              </a:lnTo>
                            </a:path>
                            <a:path w="2296160" h="1238250">
                              <a:moveTo>
                                <a:pt x="643092" y="1211808"/>
                              </a:moveTo>
                              <a:lnTo>
                                <a:pt x="643092" y="1226211"/>
                              </a:lnTo>
                            </a:path>
                            <a:path w="2296160" h="1238250">
                              <a:moveTo>
                                <a:pt x="696949" y="1211808"/>
                              </a:moveTo>
                              <a:lnTo>
                                <a:pt x="696949" y="1226211"/>
                              </a:lnTo>
                            </a:path>
                            <a:path w="2296160" h="1238250">
                              <a:moveTo>
                                <a:pt x="750840" y="1211808"/>
                              </a:moveTo>
                              <a:lnTo>
                                <a:pt x="750840" y="1226211"/>
                              </a:lnTo>
                            </a:path>
                            <a:path w="2296160" h="1238250">
                              <a:moveTo>
                                <a:pt x="807992" y="1211808"/>
                              </a:moveTo>
                              <a:lnTo>
                                <a:pt x="807992" y="1226211"/>
                              </a:lnTo>
                            </a:path>
                            <a:path w="2296160" h="1238250">
                              <a:moveTo>
                                <a:pt x="861882" y="1211808"/>
                              </a:moveTo>
                              <a:lnTo>
                                <a:pt x="861882" y="1226211"/>
                              </a:lnTo>
                            </a:path>
                            <a:path w="2296160" h="1238250">
                              <a:moveTo>
                                <a:pt x="915773" y="1211808"/>
                              </a:moveTo>
                              <a:lnTo>
                                <a:pt x="915773" y="1226211"/>
                              </a:lnTo>
                            </a:path>
                            <a:path w="2296160" h="1238250">
                              <a:moveTo>
                                <a:pt x="973025" y="1211808"/>
                              </a:moveTo>
                              <a:lnTo>
                                <a:pt x="973025" y="1226211"/>
                              </a:lnTo>
                            </a:path>
                            <a:path w="2296160" h="1238250">
                              <a:moveTo>
                                <a:pt x="1026916" y="1211808"/>
                              </a:moveTo>
                              <a:lnTo>
                                <a:pt x="1026916" y="1226211"/>
                              </a:lnTo>
                            </a:path>
                            <a:path w="2296160" h="1238250">
                              <a:moveTo>
                                <a:pt x="1080773" y="1211808"/>
                              </a:moveTo>
                              <a:lnTo>
                                <a:pt x="1080773" y="1226211"/>
                              </a:lnTo>
                            </a:path>
                            <a:path w="2296160" h="1238250">
                              <a:moveTo>
                                <a:pt x="1137958" y="1211808"/>
                              </a:moveTo>
                              <a:lnTo>
                                <a:pt x="1137958" y="1226211"/>
                              </a:lnTo>
                            </a:path>
                            <a:path w="2296160" h="1238250">
                              <a:moveTo>
                                <a:pt x="1191848" y="1211808"/>
                              </a:moveTo>
                              <a:lnTo>
                                <a:pt x="1191848" y="1226211"/>
                              </a:lnTo>
                            </a:path>
                            <a:path w="2296160" h="1238250">
                              <a:moveTo>
                                <a:pt x="1249067" y="1211808"/>
                              </a:moveTo>
                              <a:lnTo>
                                <a:pt x="1249067" y="1226211"/>
                              </a:lnTo>
                            </a:path>
                            <a:path w="2296160" h="1238250">
                              <a:moveTo>
                                <a:pt x="1302958" y="1211808"/>
                              </a:moveTo>
                              <a:lnTo>
                                <a:pt x="1302958" y="1226211"/>
                              </a:lnTo>
                            </a:path>
                            <a:path w="2296160" h="1238250">
                              <a:moveTo>
                                <a:pt x="1356848" y="1211808"/>
                              </a:moveTo>
                              <a:lnTo>
                                <a:pt x="1356848" y="1226211"/>
                              </a:lnTo>
                            </a:path>
                            <a:path w="2296160" h="1238250">
                              <a:moveTo>
                                <a:pt x="1414101" y="1211808"/>
                              </a:moveTo>
                              <a:lnTo>
                                <a:pt x="1414101" y="1226211"/>
                              </a:lnTo>
                            </a:path>
                            <a:path w="2296160" h="1238250">
                              <a:moveTo>
                                <a:pt x="1467890" y="1211808"/>
                              </a:moveTo>
                              <a:lnTo>
                                <a:pt x="1467890" y="1226211"/>
                              </a:lnTo>
                            </a:path>
                            <a:path w="2296160" h="1238250">
                              <a:moveTo>
                                <a:pt x="1521781" y="1211808"/>
                              </a:moveTo>
                              <a:lnTo>
                                <a:pt x="1521781" y="1226211"/>
                              </a:lnTo>
                            </a:path>
                            <a:path w="2296160" h="1238250">
                              <a:moveTo>
                                <a:pt x="1579033" y="1211808"/>
                              </a:moveTo>
                              <a:lnTo>
                                <a:pt x="1579033" y="1226211"/>
                              </a:lnTo>
                            </a:path>
                            <a:path w="2296160" h="1238250">
                              <a:moveTo>
                                <a:pt x="1632924" y="1211808"/>
                              </a:moveTo>
                              <a:lnTo>
                                <a:pt x="1632924" y="1226211"/>
                              </a:lnTo>
                            </a:path>
                            <a:path w="2296160" h="1238250">
                              <a:moveTo>
                                <a:pt x="1686781" y="1211808"/>
                              </a:moveTo>
                              <a:lnTo>
                                <a:pt x="1686781" y="1226211"/>
                              </a:lnTo>
                            </a:path>
                            <a:path w="2296160" h="1238250">
                              <a:moveTo>
                                <a:pt x="1744033" y="1211808"/>
                              </a:moveTo>
                              <a:lnTo>
                                <a:pt x="1744033" y="1226211"/>
                              </a:lnTo>
                            </a:path>
                            <a:path w="2296160" h="1238250">
                              <a:moveTo>
                                <a:pt x="1797823" y="1211808"/>
                              </a:moveTo>
                              <a:lnTo>
                                <a:pt x="1797823" y="1226211"/>
                              </a:lnTo>
                            </a:path>
                            <a:path w="2296160" h="1238250">
                              <a:moveTo>
                                <a:pt x="1855075" y="1211808"/>
                              </a:moveTo>
                              <a:lnTo>
                                <a:pt x="1855075" y="1226211"/>
                              </a:lnTo>
                            </a:path>
                            <a:path w="2296160" h="1238250">
                              <a:moveTo>
                                <a:pt x="1908966" y="1211808"/>
                              </a:moveTo>
                              <a:lnTo>
                                <a:pt x="1908966" y="1226211"/>
                              </a:lnTo>
                            </a:path>
                            <a:path w="2296160" h="1238250">
                              <a:moveTo>
                                <a:pt x="1962857" y="1211808"/>
                              </a:moveTo>
                              <a:lnTo>
                                <a:pt x="1962857" y="1226211"/>
                              </a:lnTo>
                            </a:path>
                            <a:path w="2296160" h="1238250">
                              <a:moveTo>
                                <a:pt x="2020109" y="1211808"/>
                              </a:moveTo>
                              <a:lnTo>
                                <a:pt x="2020109" y="1226211"/>
                              </a:lnTo>
                            </a:path>
                            <a:path w="2296160" h="1238250">
                              <a:moveTo>
                                <a:pt x="2073966" y="1211808"/>
                              </a:moveTo>
                              <a:lnTo>
                                <a:pt x="2073966" y="1226211"/>
                              </a:lnTo>
                            </a:path>
                            <a:path w="2296160" h="1238250">
                              <a:moveTo>
                                <a:pt x="2127789" y="1211808"/>
                              </a:moveTo>
                              <a:lnTo>
                                <a:pt x="2127789" y="1226211"/>
                              </a:lnTo>
                            </a:path>
                            <a:path w="2296160" h="1238250">
                              <a:moveTo>
                                <a:pt x="2185042" y="1211808"/>
                              </a:moveTo>
                              <a:lnTo>
                                <a:pt x="2185042" y="1226211"/>
                              </a:lnTo>
                            </a:path>
                            <a:path w="2296160" h="1238250">
                              <a:moveTo>
                                <a:pt x="2238899" y="1211808"/>
                              </a:moveTo>
                              <a:lnTo>
                                <a:pt x="2238899" y="1226211"/>
                              </a:lnTo>
                            </a:path>
                            <a:path w="2296160" h="1238250">
                              <a:moveTo>
                                <a:pt x="2292789" y="1211808"/>
                              </a:moveTo>
                              <a:lnTo>
                                <a:pt x="2292789" y="1226211"/>
                              </a:lnTo>
                            </a:path>
                            <a:path w="2296160" h="1238250">
                              <a:moveTo>
                                <a:pt x="37071" y="1211808"/>
                              </a:moveTo>
                              <a:lnTo>
                                <a:pt x="37071" y="1238237"/>
                              </a:lnTo>
                            </a:path>
                            <a:path w="2296160" h="1238250">
                              <a:moveTo>
                                <a:pt x="309764" y="1211808"/>
                              </a:moveTo>
                              <a:lnTo>
                                <a:pt x="309764" y="1238237"/>
                              </a:lnTo>
                            </a:path>
                            <a:path w="2296160" h="1238250">
                              <a:moveTo>
                                <a:pt x="585840" y="1211808"/>
                              </a:moveTo>
                              <a:lnTo>
                                <a:pt x="585840" y="1238237"/>
                              </a:lnTo>
                            </a:path>
                            <a:path w="2296160" h="1238250">
                              <a:moveTo>
                                <a:pt x="861882" y="1211808"/>
                              </a:moveTo>
                              <a:lnTo>
                                <a:pt x="861882" y="1238237"/>
                              </a:lnTo>
                            </a:path>
                            <a:path w="2296160" h="1238250">
                              <a:moveTo>
                                <a:pt x="1137958" y="1211808"/>
                              </a:moveTo>
                              <a:lnTo>
                                <a:pt x="1137958" y="1238237"/>
                              </a:lnTo>
                            </a:path>
                            <a:path w="2296160" h="1238250">
                              <a:moveTo>
                                <a:pt x="1414101" y="1211808"/>
                              </a:moveTo>
                              <a:lnTo>
                                <a:pt x="1414101" y="1238237"/>
                              </a:lnTo>
                            </a:path>
                            <a:path w="2296160" h="1238250">
                              <a:moveTo>
                                <a:pt x="1686781" y="1211808"/>
                              </a:moveTo>
                              <a:lnTo>
                                <a:pt x="1686781" y="1238237"/>
                              </a:lnTo>
                            </a:path>
                            <a:path w="2296160" h="1238250">
                              <a:moveTo>
                                <a:pt x="1962857" y="1211808"/>
                              </a:moveTo>
                              <a:lnTo>
                                <a:pt x="1962857" y="1238237"/>
                              </a:lnTo>
                            </a:path>
                            <a:path w="2296160" h="1238250">
                              <a:moveTo>
                                <a:pt x="2238899" y="1211808"/>
                              </a:moveTo>
                              <a:lnTo>
                                <a:pt x="2238899" y="1238237"/>
                              </a:lnTo>
                            </a:path>
                            <a:path w="2296160" h="1238250">
                              <a:moveTo>
                                <a:pt x="37071" y="1048315"/>
                              </a:moveTo>
                              <a:lnTo>
                                <a:pt x="90941" y="1017037"/>
                              </a:lnTo>
                              <a:lnTo>
                                <a:pt x="144764" y="997834"/>
                              </a:lnTo>
                              <a:lnTo>
                                <a:pt x="202017" y="980959"/>
                              </a:lnTo>
                              <a:lnTo>
                                <a:pt x="255874" y="959355"/>
                              </a:lnTo>
                              <a:lnTo>
                                <a:pt x="309764" y="913675"/>
                              </a:lnTo>
                              <a:lnTo>
                                <a:pt x="367017" y="879997"/>
                              </a:lnTo>
                              <a:lnTo>
                                <a:pt x="420907" y="841542"/>
                              </a:lnTo>
                              <a:lnTo>
                                <a:pt x="474697" y="827115"/>
                              </a:lnTo>
                              <a:lnTo>
                                <a:pt x="531949" y="812665"/>
                              </a:lnTo>
                              <a:lnTo>
                                <a:pt x="585840" y="783860"/>
                              </a:lnTo>
                              <a:lnTo>
                                <a:pt x="639697" y="762184"/>
                              </a:lnTo>
                              <a:lnTo>
                                <a:pt x="696949" y="745381"/>
                              </a:lnTo>
                              <a:lnTo>
                                <a:pt x="750840" y="740508"/>
                              </a:lnTo>
                              <a:lnTo>
                                <a:pt x="804630" y="738107"/>
                              </a:lnTo>
                              <a:lnTo>
                                <a:pt x="861882" y="728506"/>
                              </a:lnTo>
                              <a:lnTo>
                                <a:pt x="915773" y="706902"/>
                              </a:lnTo>
                              <a:lnTo>
                                <a:pt x="969663" y="692427"/>
                              </a:lnTo>
                              <a:lnTo>
                                <a:pt x="1026916" y="678025"/>
                              </a:lnTo>
                              <a:lnTo>
                                <a:pt x="1080773" y="666023"/>
                              </a:lnTo>
                              <a:lnTo>
                                <a:pt x="1134596" y="649148"/>
                              </a:lnTo>
                              <a:lnTo>
                                <a:pt x="1191848" y="634745"/>
                              </a:lnTo>
                              <a:lnTo>
                                <a:pt x="1245705" y="579463"/>
                              </a:lnTo>
                              <a:lnTo>
                                <a:pt x="1299596" y="565013"/>
                              </a:lnTo>
                              <a:lnTo>
                                <a:pt x="1356848" y="524133"/>
                              </a:lnTo>
                              <a:lnTo>
                                <a:pt x="1410739" y="495304"/>
                              </a:lnTo>
                              <a:lnTo>
                                <a:pt x="1464529" y="478453"/>
                              </a:lnTo>
                              <a:lnTo>
                                <a:pt x="1521781" y="459250"/>
                              </a:lnTo>
                              <a:lnTo>
                                <a:pt x="1575672" y="447176"/>
                              </a:lnTo>
                              <a:lnTo>
                                <a:pt x="1629562" y="430373"/>
                              </a:lnTo>
                              <a:lnTo>
                                <a:pt x="1686781" y="406296"/>
                              </a:lnTo>
                              <a:lnTo>
                                <a:pt x="1740671" y="375091"/>
                              </a:lnTo>
                              <a:lnTo>
                                <a:pt x="1794461" y="365417"/>
                              </a:lnTo>
                              <a:lnTo>
                                <a:pt x="1851714" y="346214"/>
                              </a:lnTo>
                              <a:lnTo>
                                <a:pt x="1905604" y="324562"/>
                              </a:lnTo>
                              <a:lnTo>
                                <a:pt x="1959495" y="302934"/>
                              </a:lnTo>
                              <a:lnTo>
                                <a:pt x="2016747" y="278882"/>
                              </a:lnTo>
                              <a:lnTo>
                                <a:pt x="2070604" y="221199"/>
                              </a:lnTo>
                              <a:lnTo>
                                <a:pt x="2124427" y="182720"/>
                              </a:lnTo>
                              <a:lnTo>
                                <a:pt x="2181680" y="161117"/>
                              </a:lnTo>
                              <a:lnTo>
                                <a:pt x="2235537" y="161117"/>
                              </a:lnTo>
                              <a:lnTo>
                                <a:pt x="2292789" y="161117"/>
                              </a:lnTo>
                            </a:path>
                            <a:path w="2296160" h="1238250">
                              <a:moveTo>
                                <a:pt x="33709" y="0"/>
                              </a:moveTo>
                              <a:lnTo>
                                <a:pt x="33709" y="1211808"/>
                              </a:lnTo>
                              <a:lnTo>
                                <a:pt x="2296151" y="1211808"/>
                              </a:lnTo>
                              <a:lnTo>
                                <a:pt x="2296151" y="0"/>
                              </a:lnTo>
                              <a:lnTo>
                                <a:pt x="33709" y="0"/>
                              </a:lnTo>
                            </a:path>
                          </a:pathLst>
                        </a:custGeom>
                        <a:ln w="576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01.397614pt;margin-top:3.401002pt;width:180.8pt;height:97.5pt;mso-position-horizontal-relative:page;mso-position-vertical-relative:paragraph;z-index:15737856" id="docshape38" coordorigin="6028,68" coordsize="3616,1950" path="m6028,1973l6081,1973m6028,1700l6081,1700m6028,1427l6081,1427m6028,1155l6081,1155m6028,886l6081,886m6028,613l6081,613m6028,341l6081,341m6028,72l6081,72m6086,1976l6086,1999m6171,1976l6171,1999m6256,1976l6256,1999m6346,1976l6346,1999m6431,1976l6431,1999m6516,1976l6516,1999m6606,1976l6606,1999m6691,1976l6691,1999m6776,1976l6776,1999m6866,1976l6866,1999m6951,1976l6951,1999m7041,1976l7041,1999m7126,1976l7126,1999m7210,1976l7210,1999m7300,1976l7300,1999m7385,1976l7385,1999m7470,1976l7470,1999m7560,1976l7560,1999m7645,1976l7645,1999m7730,1976l7730,1999m7820,1976l7820,1999m7905,1976l7905,1999m7995,1976l7995,1999m8080,1976l8080,1999m8165,1976l8165,1999m8255,1976l8255,1999m8340,1976l8340,1999m8424,1976l8424,1999m8515,1976l8515,1999m8599,1976l8599,1999m8684,1976l8684,1999m8774,1976l8774,1999m8859,1976l8859,1999m8949,1976l8949,1999m9034,1976l9034,1999m9119,1976l9119,1999m9209,1976l9209,1999m9294,1976l9294,1999m9379,1976l9379,1999m9469,1976l9469,1999m9554,1976l9554,1999m9639,1976l9639,1999m6086,1976l6086,2018m6516,1976l6516,2018m6951,1976l6951,2018m7385,1976l7385,2018m7820,1976l7820,2018m8255,1976l8255,2018m8684,1976l8684,2018m9119,1976l9119,2018m9554,1976l9554,2018m6086,1719l6171,1670,6256,1639,6346,1613,6431,1579,6516,1507,6606,1454,6691,1393,6776,1371,6866,1348,6951,1302,7035,1268,7126,1242,7210,1234,7295,1230,7385,1215,7470,1181,7555,1158,7645,1136,7730,1117,7815,1090,7905,1068,7990,981,8075,958,8165,893,8250,848,8334,821,8424,791,8509,772,8594,746,8684,708,8769,659,8854,643,8944,613,9029,579,9114,545,9204,507,9289,416,9374,356,9464,322,9548,322,9639,322m6081,68l6081,1976,9644,1976,9644,68,6081,68e" filled="false" stroked="true" strokeweight=".453814pt" strokecolor="#000000">
                <v:path arrowok="t"/>
                <v:stroke dashstyle="solid"/>
                <w10:wrap type="none"/>
              </v:shape>
            </w:pict>
          </mc:Fallback>
        </mc:AlternateContent>
      </w:r>
      <w:r>
        <w:rPr>
          <w:rFonts w:ascii="Arial MT"/>
          <w:spacing w:val="-5"/>
          <w:w w:val="150"/>
          <w:sz w:val="10"/>
        </w:rPr>
        <w:t>3.0</w:t>
      </w:r>
      <w:r>
        <w:rPr>
          <w:rFonts w:ascii="Arial MT"/>
          <w:sz w:val="10"/>
        </w:rPr>
        <w:tab/>
      </w:r>
      <w:r>
        <w:rPr>
          <w:rFonts w:ascii="Arial MT"/>
          <w:spacing w:val="-5"/>
          <w:w w:val="150"/>
          <w:sz w:val="10"/>
        </w:rPr>
        <w:t>18</w:t>
      </w:r>
    </w:p>
    <w:p>
      <w:pPr>
        <w:pStyle w:val="BodyText"/>
        <w:spacing w:before="34"/>
        <w:rPr>
          <w:rFonts w:ascii="Arial MT"/>
          <w:sz w:val="10"/>
        </w:rPr>
      </w:pPr>
    </w:p>
    <w:p>
      <w:pPr>
        <w:tabs>
          <w:tab w:pos="5546" w:val="left" w:leader="none"/>
        </w:tabs>
        <w:spacing w:before="1"/>
        <w:ind w:left="940" w:right="0" w:firstLine="0"/>
        <w:jc w:val="left"/>
        <w:rPr>
          <w:rFonts w:ascii="Arial MT"/>
          <w:sz w:val="10"/>
        </w:rPr>
      </w:pPr>
      <w:r>
        <w:rPr>
          <w:rFonts w:ascii="Arial MT"/>
          <w:spacing w:val="-5"/>
          <w:w w:val="150"/>
          <w:sz w:val="10"/>
        </w:rPr>
        <w:t>2.5</w:t>
      </w:r>
      <w:r>
        <w:rPr>
          <w:rFonts w:ascii="Arial MT"/>
          <w:sz w:val="10"/>
        </w:rPr>
        <w:tab/>
      </w:r>
      <w:r>
        <w:rPr>
          <w:rFonts w:ascii="Arial MT"/>
          <w:spacing w:val="-5"/>
          <w:w w:val="150"/>
          <w:position w:val="5"/>
          <w:sz w:val="10"/>
        </w:rPr>
        <w:t>16</w:t>
      </w:r>
    </w:p>
    <w:p>
      <w:pPr>
        <w:spacing w:line="103" w:lineRule="exact" w:before="112"/>
        <w:ind w:left="0" w:right="362" w:firstLine="0"/>
        <w:jc w:val="center"/>
        <w:rPr>
          <w:rFonts w:ascii="Arial MT"/>
          <w:sz w:val="10"/>
        </w:rPr>
      </w:pPr>
      <w:r>
        <w:rPr>
          <w:rFonts w:ascii="Arial MT"/>
          <w:spacing w:val="-5"/>
          <w:w w:val="150"/>
          <w:sz w:val="10"/>
        </w:rPr>
        <w:t>14</w:t>
      </w:r>
    </w:p>
    <w:p>
      <w:pPr>
        <w:spacing w:line="103" w:lineRule="exact" w:before="0"/>
        <w:ind w:left="678" w:right="10204" w:firstLine="0"/>
        <w:jc w:val="center"/>
        <w:rPr>
          <w:rFonts w:ascii="Arial MT"/>
          <w:sz w:val="10"/>
        </w:rPr>
      </w:pPr>
      <w:r>
        <w:rPr>
          <w:rFonts w:ascii="Arial MT"/>
          <w:spacing w:val="-5"/>
          <w:w w:val="155"/>
          <w:sz w:val="10"/>
        </w:rPr>
        <w:t>2.0</w:t>
      </w:r>
    </w:p>
    <w:p>
      <w:pPr>
        <w:spacing w:before="67"/>
        <w:ind w:left="0" w:right="362" w:firstLine="0"/>
        <w:jc w:val="center"/>
        <w:rPr>
          <w:rFonts w:ascii="Arial MT"/>
          <w:sz w:val="10"/>
        </w:rPr>
      </w:pPr>
      <w:r>
        <w:rPr>
          <w:rFonts w:ascii="Arial MT"/>
          <w:spacing w:val="-5"/>
          <w:w w:val="150"/>
          <w:sz w:val="10"/>
        </w:rPr>
        <w:t>12</w:t>
      </w:r>
    </w:p>
    <w:p>
      <w:pPr>
        <w:spacing w:before="21"/>
        <w:ind w:left="678" w:right="10204" w:firstLine="0"/>
        <w:jc w:val="center"/>
        <w:rPr>
          <w:rFonts w:ascii="Arial MT"/>
          <w:sz w:val="10"/>
        </w:rPr>
      </w:pPr>
      <w:r>
        <w:rPr>
          <w:rFonts w:ascii="Arial MT"/>
          <w:spacing w:val="-5"/>
          <w:w w:val="155"/>
          <w:sz w:val="10"/>
        </w:rPr>
        <w:t>1.5</w:t>
      </w:r>
    </w:p>
    <w:p>
      <w:pPr>
        <w:spacing w:before="18"/>
        <w:ind w:left="0" w:right="362" w:firstLine="0"/>
        <w:jc w:val="center"/>
        <w:rPr>
          <w:rFonts w:ascii="Arial MT"/>
          <w:sz w:val="10"/>
        </w:rPr>
      </w:pPr>
      <w:r>
        <w:rPr>
          <w:rFonts w:ascii="Arial MT"/>
          <w:spacing w:val="-5"/>
          <w:w w:val="150"/>
          <w:sz w:val="10"/>
        </w:rPr>
        <w:t>10</w:t>
      </w:r>
    </w:p>
    <w:p>
      <w:pPr>
        <w:spacing w:line="101" w:lineRule="exact" w:before="70"/>
        <w:ind w:left="678" w:right="10204" w:firstLine="0"/>
        <w:jc w:val="center"/>
        <w:rPr>
          <w:rFonts w:ascii="Arial MT"/>
          <w:sz w:val="10"/>
        </w:rPr>
      </w:pPr>
      <w:r>
        <w:rPr>
          <w:rFonts w:ascii="Arial MT"/>
          <w:spacing w:val="-5"/>
          <w:w w:val="155"/>
          <w:sz w:val="10"/>
        </w:rPr>
        <w:t>1.0</w:t>
      </w:r>
    </w:p>
    <w:p>
      <w:pPr>
        <w:spacing w:line="101" w:lineRule="exact" w:before="0"/>
        <w:ind w:left="0" w:right="279" w:firstLine="0"/>
        <w:jc w:val="center"/>
        <w:rPr>
          <w:rFonts w:ascii="Arial MT"/>
          <w:sz w:val="10"/>
        </w:rPr>
      </w:pPr>
      <w:r>
        <w:rPr>
          <w:rFonts w:ascii="Arial MT"/>
          <w:spacing w:val="-10"/>
          <w:w w:val="150"/>
          <w:sz w:val="10"/>
        </w:rPr>
        <w:t>8</w:t>
      </w:r>
    </w:p>
    <w:p>
      <w:pPr>
        <w:pStyle w:val="BodyText"/>
        <w:spacing w:before="1"/>
        <w:rPr>
          <w:rFonts w:ascii="Arial MT"/>
          <w:sz w:val="10"/>
        </w:rPr>
      </w:pPr>
    </w:p>
    <w:p>
      <w:pPr>
        <w:tabs>
          <w:tab w:pos="5631" w:val="left" w:leader="none"/>
        </w:tabs>
        <w:spacing w:before="0"/>
        <w:ind w:left="940" w:right="0" w:firstLine="0"/>
        <w:jc w:val="left"/>
        <w:rPr>
          <w:rFonts w:ascii="Arial MT"/>
          <w:sz w:val="10"/>
        </w:rPr>
      </w:pPr>
      <w:r>
        <w:rPr>
          <w:rFonts w:ascii="Arial MT"/>
          <w:spacing w:val="-5"/>
          <w:w w:val="150"/>
          <w:sz w:val="10"/>
        </w:rPr>
        <w:t>0.5</w:t>
      </w:r>
      <w:r>
        <w:rPr>
          <w:rFonts w:ascii="Arial MT"/>
          <w:sz w:val="10"/>
        </w:rPr>
        <w:tab/>
      </w:r>
      <w:r>
        <w:rPr>
          <w:rFonts w:ascii="Arial MT"/>
          <w:spacing w:val="-10"/>
          <w:w w:val="150"/>
          <w:position w:val="-3"/>
          <w:sz w:val="10"/>
        </w:rPr>
        <w:t>6</w:t>
      </w:r>
    </w:p>
    <w:p>
      <w:pPr>
        <w:spacing w:after="0"/>
        <w:jc w:val="left"/>
        <w:rPr>
          <w:rFonts w:ascii="Arial MT"/>
          <w:sz w:val="10"/>
        </w:rPr>
        <w:sectPr>
          <w:type w:val="continuous"/>
          <w:pgSz w:w="11910" w:h="16840"/>
          <w:pgMar w:header="0" w:footer="979" w:top="1340" w:bottom="1220" w:left="280" w:right="0"/>
        </w:sectPr>
      </w:pPr>
    </w:p>
    <w:p>
      <w:pPr>
        <w:pStyle w:val="BodyText"/>
        <w:spacing w:before="48"/>
        <w:rPr>
          <w:rFonts w:ascii="Arial MT"/>
          <w:sz w:val="10"/>
        </w:rPr>
      </w:pPr>
    </w:p>
    <w:p>
      <w:pPr>
        <w:spacing w:before="0"/>
        <w:ind w:left="0" w:right="0" w:firstLine="0"/>
        <w:jc w:val="right"/>
        <w:rPr>
          <w:rFonts w:ascii="Arial MT"/>
          <w:sz w:val="10"/>
        </w:rPr>
      </w:pPr>
      <w:r>
        <w:rPr>
          <w:rFonts w:ascii="Arial MT"/>
          <w:spacing w:val="-5"/>
          <w:w w:val="155"/>
          <w:sz w:val="10"/>
        </w:rPr>
        <w:t>0.0</w:t>
      </w:r>
    </w:p>
    <w:p>
      <w:pPr>
        <w:spacing w:line="240" w:lineRule="auto" w:before="0"/>
        <w:rPr>
          <w:rFonts w:ascii="Arial MT"/>
          <w:sz w:val="10"/>
        </w:rPr>
      </w:pPr>
      <w:r>
        <w:rPr/>
        <w:br w:type="column"/>
      </w:r>
      <w:r>
        <w:rPr>
          <w:rFonts w:ascii="Arial MT"/>
          <w:sz w:val="10"/>
        </w:rPr>
      </w:r>
    </w:p>
    <w:p>
      <w:pPr>
        <w:pStyle w:val="BodyText"/>
        <w:spacing w:before="58"/>
        <w:rPr>
          <w:rFonts w:ascii="Arial MT"/>
          <w:sz w:val="10"/>
        </w:rPr>
      </w:pPr>
    </w:p>
    <w:p>
      <w:pPr>
        <w:tabs>
          <w:tab w:pos="444" w:val="left" w:leader="none"/>
          <w:tab w:pos="893" w:val="left" w:leader="none"/>
          <w:tab w:pos="1343" w:val="left" w:leader="none"/>
          <w:tab w:pos="1793" w:val="left" w:leader="none"/>
          <w:tab w:pos="2243" w:val="left" w:leader="none"/>
          <w:tab w:pos="2687" w:val="left" w:leader="none"/>
          <w:tab w:pos="3137" w:val="left" w:leader="none"/>
          <w:tab w:pos="3587" w:val="left" w:leader="none"/>
        </w:tabs>
        <w:spacing w:before="0"/>
        <w:ind w:left="0" w:right="0" w:firstLine="0"/>
        <w:jc w:val="left"/>
        <w:rPr>
          <w:rFonts w:ascii="Arial MT"/>
          <w:sz w:val="10"/>
        </w:rPr>
      </w:pPr>
      <w:r>
        <w:rPr>
          <w:rFonts w:ascii="Arial MT"/>
          <w:spacing w:val="-5"/>
          <w:w w:val="155"/>
          <w:sz w:val="10"/>
        </w:rPr>
        <w:t>70</w:t>
      </w:r>
      <w:r>
        <w:rPr>
          <w:rFonts w:ascii="Arial MT"/>
          <w:sz w:val="10"/>
        </w:rPr>
        <w:tab/>
      </w:r>
      <w:r>
        <w:rPr>
          <w:rFonts w:ascii="Arial MT"/>
          <w:spacing w:val="-5"/>
          <w:w w:val="155"/>
          <w:sz w:val="10"/>
        </w:rPr>
        <w:t>75</w:t>
      </w:r>
      <w:r>
        <w:rPr>
          <w:rFonts w:ascii="Arial MT"/>
          <w:sz w:val="10"/>
        </w:rPr>
        <w:tab/>
      </w:r>
      <w:r>
        <w:rPr>
          <w:rFonts w:ascii="Arial MT"/>
          <w:spacing w:val="-5"/>
          <w:w w:val="155"/>
          <w:sz w:val="10"/>
        </w:rPr>
        <w:t>80</w:t>
      </w:r>
      <w:r>
        <w:rPr>
          <w:rFonts w:ascii="Arial MT"/>
          <w:sz w:val="10"/>
        </w:rPr>
        <w:tab/>
      </w:r>
      <w:r>
        <w:rPr>
          <w:rFonts w:ascii="Arial MT"/>
          <w:spacing w:val="-5"/>
          <w:w w:val="155"/>
          <w:sz w:val="10"/>
        </w:rPr>
        <w:t>85</w:t>
      </w:r>
      <w:r>
        <w:rPr>
          <w:rFonts w:ascii="Arial MT"/>
          <w:sz w:val="10"/>
        </w:rPr>
        <w:tab/>
      </w:r>
      <w:r>
        <w:rPr>
          <w:rFonts w:ascii="Arial MT"/>
          <w:spacing w:val="-5"/>
          <w:w w:val="155"/>
          <w:sz w:val="10"/>
        </w:rPr>
        <w:t>90</w:t>
      </w:r>
      <w:r>
        <w:rPr>
          <w:rFonts w:ascii="Arial MT"/>
          <w:sz w:val="10"/>
        </w:rPr>
        <w:tab/>
      </w:r>
      <w:r>
        <w:rPr>
          <w:rFonts w:ascii="Arial MT"/>
          <w:spacing w:val="-5"/>
          <w:w w:val="155"/>
          <w:sz w:val="10"/>
        </w:rPr>
        <w:t>95</w:t>
      </w:r>
      <w:r>
        <w:rPr>
          <w:rFonts w:ascii="Arial MT"/>
          <w:sz w:val="10"/>
        </w:rPr>
        <w:tab/>
      </w:r>
      <w:r>
        <w:rPr>
          <w:rFonts w:ascii="Arial MT"/>
          <w:spacing w:val="-5"/>
          <w:w w:val="155"/>
          <w:sz w:val="10"/>
        </w:rPr>
        <w:t>00</w:t>
      </w:r>
      <w:r>
        <w:rPr>
          <w:rFonts w:ascii="Arial MT"/>
          <w:sz w:val="10"/>
        </w:rPr>
        <w:tab/>
      </w:r>
      <w:r>
        <w:rPr>
          <w:rFonts w:ascii="Arial MT"/>
          <w:spacing w:val="-5"/>
          <w:w w:val="155"/>
          <w:sz w:val="10"/>
        </w:rPr>
        <w:t>05</w:t>
      </w:r>
      <w:r>
        <w:rPr>
          <w:rFonts w:ascii="Arial MT"/>
          <w:sz w:val="10"/>
        </w:rPr>
        <w:tab/>
      </w:r>
      <w:r>
        <w:rPr>
          <w:rFonts w:ascii="Arial MT"/>
          <w:spacing w:val="-5"/>
          <w:w w:val="155"/>
          <w:sz w:val="10"/>
        </w:rPr>
        <w:t>10</w:t>
      </w:r>
    </w:p>
    <w:p>
      <w:pPr>
        <w:spacing w:line="240" w:lineRule="auto" w:before="44"/>
        <w:rPr>
          <w:rFonts w:ascii="Arial MT"/>
          <w:sz w:val="10"/>
        </w:rPr>
      </w:pPr>
      <w:r>
        <w:rPr/>
        <w:br w:type="column"/>
      </w:r>
      <w:r>
        <w:rPr>
          <w:rFonts w:ascii="Arial MT"/>
          <w:sz w:val="10"/>
        </w:rPr>
      </w:r>
    </w:p>
    <w:p>
      <w:pPr>
        <w:spacing w:before="0"/>
        <w:ind w:left="663" w:right="0" w:firstLine="0"/>
        <w:jc w:val="left"/>
        <w:rPr>
          <w:rFonts w:ascii="Arial MT"/>
          <w:sz w:val="10"/>
        </w:rPr>
      </w:pPr>
      <w:r>
        <w:rPr>
          <w:rFonts w:ascii="Arial MT"/>
          <w:spacing w:val="-10"/>
          <w:w w:val="150"/>
          <w:sz w:val="10"/>
        </w:rPr>
        <w:t>4</w:t>
      </w:r>
    </w:p>
    <w:p>
      <w:pPr>
        <w:tabs>
          <w:tab w:pos="1182" w:val="left" w:leader="none"/>
          <w:tab w:pos="1617" w:val="left" w:leader="none"/>
          <w:tab w:pos="2052" w:val="left" w:leader="none"/>
          <w:tab w:pos="2487" w:val="left" w:leader="none"/>
          <w:tab w:pos="2921" w:val="left" w:leader="none"/>
          <w:tab w:pos="3351" w:val="left" w:leader="none"/>
          <w:tab w:pos="3786" w:val="left" w:leader="none"/>
          <w:tab w:pos="4220" w:val="left" w:leader="none"/>
        </w:tabs>
        <w:spacing w:before="10"/>
        <w:ind w:left="753" w:right="0" w:firstLine="0"/>
        <w:jc w:val="left"/>
        <w:rPr>
          <w:rFonts w:ascii="Arial MT"/>
          <w:sz w:val="10"/>
        </w:rPr>
      </w:pPr>
      <w:r>
        <w:rPr>
          <w:rFonts w:ascii="Arial MT"/>
          <w:spacing w:val="-5"/>
          <w:w w:val="150"/>
          <w:sz w:val="10"/>
        </w:rPr>
        <w:t>70</w:t>
      </w:r>
      <w:r>
        <w:rPr>
          <w:rFonts w:ascii="Arial MT"/>
          <w:sz w:val="10"/>
        </w:rPr>
        <w:tab/>
      </w:r>
      <w:r>
        <w:rPr>
          <w:rFonts w:ascii="Arial MT"/>
          <w:spacing w:val="-5"/>
          <w:w w:val="150"/>
          <w:sz w:val="10"/>
        </w:rPr>
        <w:t>75</w:t>
      </w:r>
      <w:r>
        <w:rPr>
          <w:rFonts w:ascii="Arial MT"/>
          <w:sz w:val="10"/>
        </w:rPr>
        <w:tab/>
      </w:r>
      <w:r>
        <w:rPr>
          <w:rFonts w:ascii="Arial MT"/>
          <w:spacing w:val="-5"/>
          <w:w w:val="150"/>
          <w:sz w:val="10"/>
        </w:rPr>
        <w:t>80</w:t>
      </w:r>
      <w:r>
        <w:rPr>
          <w:rFonts w:ascii="Arial MT"/>
          <w:sz w:val="10"/>
        </w:rPr>
        <w:tab/>
      </w:r>
      <w:r>
        <w:rPr>
          <w:rFonts w:ascii="Arial MT"/>
          <w:spacing w:val="-5"/>
          <w:w w:val="150"/>
          <w:sz w:val="10"/>
        </w:rPr>
        <w:t>85</w:t>
      </w:r>
      <w:r>
        <w:rPr>
          <w:rFonts w:ascii="Arial MT"/>
          <w:sz w:val="10"/>
        </w:rPr>
        <w:tab/>
      </w:r>
      <w:r>
        <w:rPr>
          <w:rFonts w:ascii="Arial MT"/>
          <w:spacing w:val="-5"/>
          <w:w w:val="150"/>
          <w:sz w:val="10"/>
        </w:rPr>
        <w:t>90</w:t>
      </w:r>
      <w:r>
        <w:rPr>
          <w:rFonts w:ascii="Arial MT"/>
          <w:sz w:val="10"/>
        </w:rPr>
        <w:tab/>
      </w:r>
      <w:r>
        <w:rPr>
          <w:rFonts w:ascii="Arial MT"/>
          <w:spacing w:val="-5"/>
          <w:w w:val="150"/>
          <w:sz w:val="10"/>
        </w:rPr>
        <w:t>95</w:t>
      </w:r>
      <w:r>
        <w:rPr>
          <w:rFonts w:ascii="Arial MT"/>
          <w:sz w:val="10"/>
        </w:rPr>
        <w:tab/>
      </w:r>
      <w:r>
        <w:rPr>
          <w:rFonts w:ascii="Arial MT"/>
          <w:spacing w:val="-5"/>
          <w:w w:val="150"/>
          <w:sz w:val="10"/>
        </w:rPr>
        <w:t>00</w:t>
      </w:r>
      <w:r>
        <w:rPr>
          <w:rFonts w:ascii="Arial MT"/>
          <w:sz w:val="10"/>
        </w:rPr>
        <w:tab/>
      </w:r>
      <w:r>
        <w:rPr>
          <w:rFonts w:ascii="Arial MT"/>
          <w:spacing w:val="-5"/>
          <w:w w:val="150"/>
          <w:sz w:val="10"/>
        </w:rPr>
        <w:t>05</w:t>
      </w:r>
      <w:r>
        <w:rPr>
          <w:rFonts w:ascii="Arial MT"/>
          <w:sz w:val="10"/>
        </w:rPr>
        <w:tab/>
      </w:r>
      <w:r>
        <w:rPr>
          <w:rFonts w:ascii="Arial MT"/>
          <w:spacing w:val="-5"/>
          <w:w w:val="150"/>
          <w:sz w:val="10"/>
        </w:rPr>
        <w:t>10</w:t>
      </w:r>
    </w:p>
    <w:p>
      <w:pPr>
        <w:spacing w:after="0"/>
        <w:jc w:val="left"/>
        <w:rPr>
          <w:rFonts w:ascii="Arial MT"/>
          <w:sz w:val="10"/>
        </w:rPr>
        <w:sectPr>
          <w:type w:val="continuous"/>
          <w:pgSz w:w="11910" w:h="16840"/>
          <w:pgMar w:header="0" w:footer="979" w:top="1340" w:bottom="1220" w:left="280" w:right="0"/>
          <w:cols w:num="3" w:equalWidth="0">
            <w:col w:w="1158" w:space="8"/>
            <w:col w:w="3763" w:space="39"/>
            <w:col w:w="6662"/>
          </w:cols>
        </w:sectPr>
      </w:pPr>
    </w:p>
    <w:p>
      <w:pPr>
        <w:pStyle w:val="BodyText"/>
        <w:spacing w:before="7" w:after="1"/>
        <w:rPr>
          <w:rFonts w:ascii="Arial MT"/>
          <w:sz w:val="8"/>
        </w:rPr>
      </w:pPr>
    </w:p>
    <w:p>
      <w:pPr>
        <w:tabs>
          <w:tab w:pos="7127" w:val="left" w:leader="none"/>
        </w:tabs>
        <w:spacing w:line="182" w:lineRule="exact"/>
        <w:ind w:left="2570" w:right="0" w:firstLine="0"/>
        <w:rPr>
          <w:rFonts w:ascii="Arial MT"/>
          <w:sz w:val="18"/>
        </w:rPr>
      </w:pPr>
      <w:r>
        <w:rPr>
          <w:rFonts w:ascii="Arial MT"/>
          <w:position w:val="-3"/>
          <w:sz w:val="18"/>
        </w:rPr>
        <mc:AlternateContent>
          <mc:Choice Requires="wps">
            <w:drawing>
              <wp:inline distT="0" distB="0" distL="0" distR="0">
                <wp:extent cx="656590" cy="116205"/>
                <wp:effectExtent l="9525" t="0" r="0" b="7619"/>
                <wp:docPr id="43" name="Group 43"/>
                <wp:cNvGraphicFramePr>
                  <a:graphicFrameLocks/>
                </wp:cNvGraphicFramePr>
                <a:graphic>
                  <a:graphicData uri="http://schemas.microsoft.com/office/word/2010/wordprocessingGroup">
                    <wpg:wgp>
                      <wpg:cNvPr id="43" name="Group 43"/>
                      <wpg:cNvGrpSpPr/>
                      <wpg:grpSpPr>
                        <a:xfrm>
                          <a:off x="0" y="0"/>
                          <a:ext cx="656590" cy="116205"/>
                          <a:chExt cx="656590" cy="116205"/>
                        </a:xfrm>
                      </wpg:grpSpPr>
                      <wps:wsp>
                        <wps:cNvPr id="44" name="Graphic 44"/>
                        <wps:cNvSpPr/>
                        <wps:spPr>
                          <a:xfrm>
                            <a:off x="47812" y="60169"/>
                            <a:ext cx="167640" cy="1270"/>
                          </a:xfrm>
                          <a:custGeom>
                            <a:avLst/>
                            <a:gdLst/>
                            <a:ahLst/>
                            <a:cxnLst/>
                            <a:rect l="l" t="t" r="r" b="b"/>
                            <a:pathLst>
                              <a:path w="167640" h="0">
                                <a:moveTo>
                                  <a:pt x="0" y="0"/>
                                </a:moveTo>
                                <a:lnTo>
                                  <a:pt x="167157" y="0"/>
                                </a:lnTo>
                              </a:path>
                            </a:pathLst>
                          </a:custGeom>
                          <a:ln w="4860">
                            <a:solidFill>
                              <a:srgbClr val="000000"/>
                            </a:solidFill>
                            <a:prstDash val="solid"/>
                          </a:ln>
                        </wps:spPr>
                        <wps:bodyPr wrap="square" lIns="0" tIns="0" rIns="0" bIns="0" rtlCol="0">
                          <a:prstTxWarp prst="textNoShape">
                            <a:avLst/>
                          </a:prstTxWarp>
                          <a:noAutofit/>
                        </wps:bodyPr>
                      </wps:wsp>
                      <wps:wsp>
                        <wps:cNvPr id="45" name="Textbox 45"/>
                        <wps:cNvSpPr txBox="1"/>
                        <wps:spPr>
                          <a:xfrm>
                            <a:off x="2492" y="2492"/>
                            <a:ext cx="651510" cy="111125"/>
                          </a:xfrm>
                          <a:prstGeom prst="rect">
                            <a:avLst/>
                          </a:prstGeom>
                          <a:ln w="4984">
                            <a:solidFill>
                              <a:srgbClr val="000000"/>
                            </a:solidFill>
                            <a:prstDash val="solid"/>
                          </a:ln>
                        </wps:spPr>
                        <wps:txbx>
                          <w:txbxContent>
                            <w:p>
                              <w:pPr>
                                <w:spacing w:before="31"/>
                                <w:ind w:left="391" w:right="0" w:firstLine="0"/>
                                <w:jc w:val="left"/>
                                <w:rPr>
                                  <w:rFonts w:ascii="Arial MT"/>
                                  <w:sz w:val="10"/>
                                </w:rPr>
                              </w:pPr>
                              <w:r>
                                <w:rPr>
                                  <w:rFonts w:ascii="Arial MT"/>
                                  <w:spacing w:val="-2"/>
                                  <w:w w:val="155"/>
                                  <w:sz w:val="10"/>
                                </w:rPr>
                                <w:t>PRIVCR</w:t>
                              </w:r>
                            </w:p>
                          </w:txbxContent>
                        </wps:txbx>
                        <wps:bodyPr wrap="square" lIns="0" tIns="0" rIns="0" bIns="0" rtlCol="0">
                          <a:noAutofit/>
                        </wps:bodyPr>
                      </wps:wsp>
                    </wpg:wgp>
                  </a:graphicData>
                </a:graphic>
              </wp:inline>
            </w:drawing>
          </mc:Choice>
          <mc:Fallback>
            <w:pict>
              <v:group style="width:51.7pt;height:9.15pt;mso-position-horizontal-relative:char;mso-position-vertical-relative:line" id="docshapegroup39" coordorigin="0,0" coordsize="1034,183">
                <v:line style="position:absolute" from="75,95" to="339,95" stroked="true" strokeweight=".382687pt" strokecolor="#000000">
                  <v:stroke dashstyle="solid"/>
                </v:line>
                <v:shape style="position:absolute;left:3;top:3;width:1026;height:175" type="#_x0000_t202" id="docshape40" filled="false" stroked="true" strokeweight=".3925pt" strokecolor="#000000">
                  <v:textbox inset="0,0,0,0">
                    <w:txbxContent>
                      <w:p>
                        <w:pPr>
                          <w:spacing w:before="31"/>
                          <w:ind w:left="391" w:right="0" w:firstLine="0"/>
                          <w:jc w:val="left"/>
                          <w:rPr>
                            <w:rFonts w:ascii="Arial MT"/>
                            <w:sz w:val="10"/>
                          </w:rPr>
                        </w:pPr>
                        <w:r>
                          <w:rPr>
                            <w:rFonts w:ascii="Arial MT"/>
                            <w:spacing w:val="-2"/>
                            <w:w w:val="155"/>
                            <w:sz w:val="10"/>
                          </w:rPr>
                          <w:t>PRIVCR</w:t>
                        </w:r>
                      </w:p>
                    </w:txbxContent>
                  </v:textbox>
                  <v:stroke dashstyle="solid"/>
                  <w10:wrap type="none"/>
                </v:shape>
              </v:group>
            </w:pict>
          </mc:Fallback>
        </mc:AlternateContent>
      </w:r>
      <w:r>
        <w:rPr>
          <w:rFonts w:ascii="Arial MT"/>
          <w:position w:val="-3"/>
          <w:sz w:val="18"/>
        </w:rPr>
      </w:r>
      <w:r>
        <w:rPr>
          <w:rFonts w:ascii="Arial MT"/>
          <w:position w:val="-3"/>
          <w:sz w:val="18"/>
        </w:rPr>
        <w:tab/>
      </w:r>
      <w:r>
        <w:rPr>
          <w:rFonts w:ascii="Arial MT"/>
          <w:position w:val="-3"/>
          <w:sz w:val="18"/>
        </w:rPr>
        <mc:AlternateContent>
          <mc:Choice Requires="wps">
            <w:drawing>
              <wp:inline distT="0" distB="0" distL="0" distR="0">
                <wp:extent cx="570865" cy="115570"/>
                <wp:effectExtent l="0" t="0" r="0" b="8255"/>
                <wp:docPr id="46" name="Group 46"/>
                <wp:cNvGraphicFramePr>
                  <a:graphicFrameLocks/>
                </wp:cNvGraphicFramePr>
                <a:graphic>
                  <a:graphicData uri="http://schemas.microsoft.com/office/word/2010/wordprocessingGroup">
                    <wpg:wgp>
                      <wpg:cNvPr id="46" name="Group 46"/>
                      <wpg:cNvGrpSpPr/>
                      <wpg:grpSpPr>
                        <a:xfrm>
                          <a:off x="0" y="0"/>
                          <a:ext cx="570865" cy="115570"/>
                          <a:chExt cx="570865" cy="115570"/>
                        </a:xfrm>
                      </wpg:grpSpPr>
                      <wps:wsp>
                        <wps:cNvPr id="47" name="Graphic 47"/>
                        <wps:cNvSpPr/>
                        <wps:spPr>
                          <a:xfrm>
                            <a:off x="42810" y="60147"/>
                            <a:ext cx="165100" cy="1270"/>
                          </a:xfrm>
                          <a:custGeom>
                            <a:avLst/>
                            <a:gdLst/>
                            <a:ahLst/>
                            <a:cxnLst/>
                            <a:rect l="l" t="t" r="r" b="b"/>
                            <a:pathLst>
                              <a:path w="165100" h="0">
                                <a:moveTo>
                                  <a:pt x="0" y="0"/>
                                </a:moveTo>
                                <a:lnTo>
                                  <a:pt x="164999" y="0"/>
                                </a:lnTo>
                              </a:path>
                            </a:pathLst>
                          </a:custGeom>
                          <a:ln w="4801">
                            <a:solidFill>
                              <a:srgbClr val="000000"/>
                            </a:solidFill>
                            <a:prstDash val="solid"/>
                          </a:ln>
                        </wps:spPr>
                        <wps:bodyPr wrap="square" lIns="0" tIns="0" rIns="0" bIns="0" rtlCol="0">
                          <a:prstTxWarp prst="textNoShape">
                            <a:avLst/>
                          </a:prstTxWarp>
                          <a:noAutofit/>
                        </wps:bodyPr>
                      </wps:wsp>
                      <wps:wsp>
                        <wps:cNvPr id="48" name="Textbox 48"/>
                        <wps:cNvSpPr txBox="1"/>
                        <wps:spPr>
                          <a:xfrm>
                            <a:off x="2468" y="2468"/>
                            <a:ext cx="565785" cy="111125"/>
                          </a:xfrm>
                          <a:prstGeom prst="rect">
                            <a:avLst/>
                          </a:prstGeom>
                          <a:ln w="4936">
                            <a:solidFill>
                              <a:srgbClr val="000000"/>
                            </a:solidFill>
                            <a:prstDash val="solid"/>
                          </a:ln>
                        </wps:spPr>
                        <wps:txbx>
                          <w:txbxContent>
                            <w:p>
                              <w:pPr>
                                <w:spacing w:before="31"/>
                                <w:ind w:left="372" w:right="0" w:firstLine="0"/>
                                <w:jc w:val="left"/>
                                <w:rPr>
                                  <w:rFonts w:ascii="Arial MT"/>
                                  <w:sz w:val="10"/>
                                </w:rPr>
                              </w:pPr>
                              <w:r>
                                <w:rPr>
                                  <w:rFonts w:ascii="Arial MT"/>
                                  <w:spacing w:val="-2"/>
                                  <w:w w:val="150"/>
                                  <w:sz w:val="10"/>
                                </w:rPr>
                                <w:t>USIRD</w:t>
                              </w:r>
                            </w:p>
                          </w:txbxContent>
                        </wps:txbx>
                        <wps:bodyPr wrap="square" lIns="0" tIns="0" rIns="0" bIns="0" rtlCol="0">
                          <a:noAutofit/>
                        </wps:bodyPr>
                      </wps:wsp>
                    </wpg:wgp>
                  </a:graphicData>
                </a:graphic>
              </wp:inline>
            </w:drawing>
          </mc:Choice>
          <mc:Fallback>
            <w:pict>
              <v:group style="width:44.95pt;height:9.1pt;mso-position-horizontal-relative:char;mso-position-vertical-relative:line" id="docshapegroup41" coordorigin="0,0" coordsize="899,182">
                <v:line style="position:absolute" from="67,95" to="327,95" stroked="true" strokeweight=".378096pt" strokecolor="#000000">
                  <v:stroke dashstyle="solid"/>
                </v:line>
                <v:shape style="position:absolute;left:3;top:3;width:891;height:175" type="#_x0000_t202" id="docshape42" filled="false" stroked="true" strokeweight=".388666pt" strokecolor="#000000">
                  <v:textbox inset="0,0,0,0">
                    <w:txbxContent>
                      <w:p>
                        <w:pPr>
                          <w:spacing w:before="31"/>
                          <w:ind w:left="372" w:right="0" w:firstLine="0"/>
                          <w:jc w:val="left"/>
                          <w:rPr>
                            <w:rFonts w:ascii="Arial MT"/>
                            <w:sz w:val="10"/>
                          </w:rPr>
                        </w:pPr>
                        <w:r>
                          <w:rPr>
                            <w:rFonts w:ascii="Arial MT"/>
                            <w:spacing w:val="-2"/>
                            <w:w w:val="150"/>
                            <w:sz w:val="10"/>
                          </w:rPr>
                          <w:t>USIRD</w:t>
                        </w:r>
                      </w:p>
                    </w:txbxContent>
                  </v:textbox>
                  <v:stroke dashstyle="solid"/>
                  <w10:wrap type="none"/>
                </v:shape>
              </v:group>
            </w:pict>
          </mc:Fallback>
        </mc:AlternateContent>
      </w:r>
      <w:r>
        <w:rPr>
          <w:rFonts w:ascii="Arial MT"/>
          <w:position w:val="-3"/>
          <w:sz w:val="18"/>
        </w:rPr>
      </w:r>
    </w:p>
    <w:p>
      <w:pPr>
        <w:pStyle w:val="BodyText"/>
        <w:spacing w:before="149"/>
        <w:rPr>
          <w:rFonts w:ascii="Arial MT"/>
        </w:rPr>
      </w:pPr>
    </w:p>
    <w:p>
      <w:pPr>
        <w:pStyle w:val="Heading5"/>
        <w:spacing w:before="0"/>
        <w:ind w:right="1215"/>
      </w:pPr>
      <w:r>
        <w:rPr>
          <w:spacing w:val="-4"/>
        </w:rPr>
        <w:t>GOCE</w:t>
      </w:r>
    </w:p>
    <w:p>
      <w:pPr>
        <w:pStyle w:val="BodyText"/>
        <w:rPr>
          <w:b/>
          <w:sz w:val="9"/>
        </w:rPr>
      </w:pPr>
    </w:p>
    <w:p>
      <w:pPr>
        <w:pStyle w:val="BodyText"/>
        <w:rPr>
          <w:b/>
          <w:sz w:val="9"/>
        </w:rPr>
      </w:pPr>
    </w:p>
    <w:p>
      <w:pPr>
        <w:pStyle w:val="BodyText"/>
        <w:rPr>
          <w:b/>
          <w:sz w:val="9"/>
        </w:rPr>
      </w:pPr>
    </w:p>
    <w:p>
      <w:pPr>
        <w:pStyle w:val="BodyText"/>
        <w:rPr>
          <w:b/>
          <w:sz w:val="9"/>
        </w:rPr>
      </w:pPr>
    </w:p>
    <w:p>
      <w:pPr>
        <w:pStyle w:val="BodyText"/>
        <w:rPr>
          <w:b/>
          <w:sz w:val="9"/>
        </w:rPr>
      </w:pPr>
    </w:p>
    <w:p>
      <w:pPr>
        <w:pStyle w:val="BodyText"/>
        <w:rPr>
          <w:b/>
          <w:sz w:val="9"/>
        </w:rPr>
      </w:pPr>
    </w:p>
    <w:p>
      <w:pPr>
        <w:pStyle w:val="BodyText"/>
        <w:rPr>
          <w:b/>
          <w:sz w:val="9"/>
        </w:rPr>
      </w:pPr>
    </w:p>
    <w:p>
      <w:pPr>
        <w:pStyle w:val="BodyText"/>
        <w:rPr>
          <w:b/>
          <w:sz w:val="9"/>
        </w:rPr>
      </w:pPr>
    </w:p>
    <w:p>
      <w:pPr>
        <w:pStyle w:val="BodyText"/>
        <w:rPr>
          <w:b/>
          <w:sz w:val="9"/>
        </w:rPr>
      </w:pPr>
    </w:p>
    <w:p>
      <w:pPr>
        <w:pStyle w:val="BodyText"/>
        <w:rPr>
          <w:b/>
          <w:sz w:val="9"/>
        </w:rPr>
      </w:pPr>
    </w:p>
    <w:p>
      <w:pPr>
        <w:pStyle w:val="BodyText"/>
        <w:spacing w:before="82"/>
        <w:rPr>
          <w:b/>
          <w:sz w:val="9"/>
        </w:rPr>
      </w:pPr>
    </w:p>
    <w:p>
      <w:pPr>
        <w:spacing w:before="0"/>
        <w:ind w:left="1124" w:right="0" w:firstLine="0"/>
        <w:jc w:val="left"/>
        <w:rPr>
          <w:rFonts w:ascii="Arial MT"/>
          <w:sz w:val="9"/>
        </w:rPr>
      </w:pPr>
      <w:r>
        <w:rPr/>
        <mc:AlternateContent>
          <mc:Choice Requires="wps">
            <w:drawing>
              <wp:anchor distT="0" distB="0" distL="0" distR="0" allowOverlap="1" layoutInCell="1" locked="0" behindDoc="0" simplePos="0" relativeHeight="15738368">
                <wp:simplePos x="0" y="0"/>
                <wp:positionH relativeFrom="page">
                  <wp:posOffset>1177302</wp:posOffset>
                </wp:positionH>
                <wp:positionV relativeFrom="paragraph">
                  <wp:posOffset>35387</wp:posOffset>
                </wp:positionV>
                <wp:extent cx="5131435" cy="1071245"/>
                <wp:effectExtent l="0" t="0" r="0" b="0"/>
                <wp:wrapNone/>
                <wp:docPr id="49" name="Group 49"/>
                <wp:cNvGraphicFramePr>
                  <a:graphicFrameLocks/>
                </wp:cNvGraphicFramePr>
                <a:graphic>
                  <a:graphicData uri="http://schemas.microsoft.com/office/word/2010/wordprocessingGroup">
                    <wpg:wgp>
                      <wpg:cNvPr id="49" name="Group 49"/>
                      <wpg:cNvGrpSpPr/>
                      <wpg:grpSpPr>
                        <a:xfrm>
                          <a:off x="0" y="0"/>
                          <a:ext cx="5131435" cy="1071245"/>
                          <a:chExt cx="5131435" cy="1071245"/>
                        </a:xfrm>
                      </wpg:grpSpPr>
                      <wps:wsp>
                        <wps:cNvPr id="50" name="Graphic 50"/>
                        <wps:cNvSpPr/>
                        <wps:spPr>
                          <a:xfrm>
                            <a:off x="0" y="6096"/>
                            <a:ext cx="75565" cy="1040765"/>
                          </a:xfrm>
                          <a:custGeom>
                            <a:avLst/>
                            <a:gdLst/>
                            <a:ahLst/>
                            <a:cxnLst/>
                            <a:rect l="l" t="t" r="r" b="b"/>
                            <a:pathLst>
                              <a:path w="75565" h="1040765">
                                <a:moveTo>
                                  <a:pt x="0" y="1040285"/>
                                </a:moveTo>
                                <a:lnTo>
                                  <a:pt x="75269" y="1040285"/>
                                </a:lnTo>
                              </a:path>
                              <a:path w="75565" h="1040765">
                                <a:moveTo>
                                  <a:pt x="0" y="830978"/>
                                </a:moveTo>
                                <a:lnTo>
                                  <a:pt x="75269" y="830978"/>
                                </a:lnTo>
                              </a:path>
                              <a:path w="75565" h="1040765">
                                <a:moveTo>
                                  <a:pt x="0" y="623740"/>
                                </a:moveTo>
                                <a:lnTo>
                                  <a:pt x="75269" y="623740"/>
                                </a:lnTo>
                              </a:path>
                              <a:path w="75565" h="1040765">
                                <a:moveTo>
                                  <a:pt x="0" y="414434"/>
                                </a:moveTo>
                                <a:lnTo>
                                  <a:pt x="75269" y="414434"/>
                                </a:lnTo>
                              </a:path>
                              <a:path w="75565" h="1040765">
                                <a:moveTo>
                                  <a:pt x="0" y="207237"/>
                                </a:moveTo>
                                <a:lnTo>
                                  <a:pt x="75269" y="207237"/>
                                </a:lnTo>
                              </a:path>
                              <a:path w="75565" h="1040765">
                                <a:moveTo>
                                  <a:pt x="0" y="0"/>
                                </a:moveTo>
                                <a:lnTo>
                                  <a:pt x="75269" y="0"/>
                                </a:lnTo>
                              </a:path>
                            </a:pathLst>
                          </a:custGeom>
                          <a:ln w="9577">
                            <a:solidFill>
                              <a:srgbClr val="000000"/>
                            </a:solidFill>
                            <a:prstDash val="solid"/>
                          </a:ln>
                        </wps:spPr>
                        <wps:bodyPr wrap="square" lIns="0" tIns="0" rIns="0" bIns="0" rtlCol="0">
                          <a:prstTxWarp prst="textNoShape">
                            <a:avLst/>
                          </a:prstTxWarp>
                          <a:noAutofit/>
                        </wps:bodyPr>
                      </wps:wsp>
                      <wps:wsp>
                        <wps:cNvPr id="51" name="Graphic 51"/>
                        <wps:cNvSpPr/>
                        <wps:spPr>
                          <a:xfrm>
                            <a:off x="75267" y="1048450"/>
                            <a:ext cx="15240" cy="12700"/>
                          </a:xfrm>
                          <a:custGeom>
                            <a:avLst/>
                            <a:gdLst/>
                            <a:ahLst/>
                            <a:cxnLst/>
                            <a:rect l="l" t="t" r="r" b="b"/>
                            <a:pathLst>
                              <a:path w="15240" h="12700">
                                <a:moveTo>
                                  <a:pt x="0" y="12413"/>
                                </a:moveTo>
                                <a:lnTo>
                                  <a:pt x="15016" y="12413"/>
                                </a:lnTo>
                                <a:lnTo>
                                  <a:pt x="15016" y="0"/>
                                </a:lnTo>
                                <a:lnTo>
                                  <a:pt x="0" y="0"/>
                                </a:lnTo>
                                <a:lnTo>
                                  <a:pt x="0" y="12413"/>
                                </a:lnTo>
                                <a:close/>
                              </a:path>
                            </a:pathLst>
                          </a:custGeom>
                          <a:solidFill>
                            <a:srgbClr val="000000"/>
                          </a:solidFill>
                        </wps:spPr>
                        <wps:bodyPr wrap="square" lIns="0" tIns="0" rIns="0" bIns="0" rtlCol="0">
                          <a:prstTxWarp prst="textNoShape">
                            <a:avLst/>
                          </a:prstTxWarp>
                          <a:noAutofit/>
                        </wps:bodyPr>
                      </wps:wsp>
                      <wps:wsp>
                        <wps:cNvPr id="52" name="Graphic 52"/>
                        <wps:cNvSpPr/>
                        <wps:spPr>
                          <a:xfrm>
                            <a:off x="203062" y="1048450"/>
                            <a:ext cx="368300" cy="12700"/>
                          </a:xfrm>
                          <a:custGeom>
                            <a:avLst/>
                            <a:gdLst/>
                            <a:ahLst/>
                            <a:cxnLst/>
                            <a:rect l="l" t="t" r="r" b="b"/>
                            <a:pathLst>
                              <a:path w="368300" h="12700">
                                <a:moveTo>
                                  <a:pt x="0" y="0"/>
                                </a:moveTo>
                                <a:lnTo>
                                  <a:pt x="0" y="12413"/>
                                </a:lnTo>
                              </a:path>
                              <a:path w="368300" h="12700">
                                <a:moveTo>
                                  <a:pt x="120181" y="0"/>
                                </a:moveTo>
                                <a:lnTo>
                                  <a:pt x="120181" y="12413"/>
                                </a:lnTo>
                              </a:path>
                              <a:path w="368300" h="12700">
                                <a:moveTo>
                                  <a:pt x="248019" y="0"/>
                                </a:moveTo>
                                <a:lnTo>
                                  <a:pt x="248019" y="12413"/>
                                </a:lnTo>
                              </a:path>
                              <a:path w="368300" h="12700">
                                <a:moveTo>
                                  <a:pt x="368275" y="0"/>
                                </a:moveTo>
                                <a:lnTo>
                                  <a:pt x="368275" y="12413"/>
                                </a:lnTo>
                              </a:path>
                            </a:pathLst>
                          </a:custGeom>
                          <a:ln w="9577">
                            <a:solidFill>
                              <a:srgbClr val="000000"/>
                            </a:solidFill>
                            <a:prstDash val="solid"/>
                          </a:ln>
                        </wps:spPr>
                        <wps:bodyPr wrap="square" lIns="0" tIns="0" rIns="0" bIns="0" rtlCol="0">
                          <a:prstTxWarp prst="textNoShape">
                            <a:avLst/>
                          </a:prstTxWarp>
                          <a:noAutofit/>
                        </wps:bodyPr>
                      </wps:wsp>
                      <wps:wsp>
                        <wps:cNvPr id="53" name="Graphic 53"/>
                        <wps:cNvSpPr/>
                        <wps:spPr>
                          <a:xfrm>
                            <a:off x="684160" y="1048450"/>
                            <a:ext cx="15240" cy="12700"/>
                          </a:xfrm>
                          <a:custGeom>
                            <a:avLst/>
                            <a:gdLst/>
                            <a:ahLst/>
                            <a:cxnLst/>
                            <a:rect l="l" t="t" r="r" b="b"/>
                            <a:pathLst>
                              <a:path w="15240" h="12700">
                                <a:moveTo>
                                  <a:pt x="0" y="12413"/>
                                </a:moveTo>
                                <a:lnTo>
                                  <a:pt x="15016" y="12413"/>
                                </a:lnTo>
                                <a:lnTo>
                                  <a:pt x="15016" y="0"/>
                                </a:lnTo>
                                <a:lnTo>
                                  <a:pt x="0" y="0"/>
                                </a:lnTo>
                                <a:lnTo>
                                  <a:pt x="0" y="12413"/>
                                </a:lnTo>
                                <a:close/>
                              </a:path>
                            </a:pathLst>
                          </a:custGeom>
                          <a:solidFill>
                            <a:srgbClr val="000000"/>
                          </a:solidFill>
                        </wps:spPr>
                        <wps:bodyPr wrap="square" lIns="0" tIns="0" rIns="0" bIns="0" rtlCol="0">
                          <a:prstTxWarp prst="textNoShape">
                            <a:avLst/>
                          </a:prstTxWarp>
                          <a:noAutofit/>
                        </wps:bodyPr>
                      </wps:wsp>
                      <wps:wsp>
                        <wps:cNvPr id="54" name="Graphic 54"/>
                        <wps:cNvSpPr/>
                        <wps:spPr>
                          <a:xfrm>
                            <a:off x="819507" y="1048450"/>
                            <a:ext cx="368300" cy="12700"/>
                          </a:xfrm>
                          <a:custGeom>
                            <a:avLst/>
                            <a:gdLst/>
                            <a:ahLst/>
                            <a:cxnLst/>
                            <a:rect l="l" t="t" r="r" b="b"/>
                            <a:pathLst>
                              <a:path w="368300" h="12700">
                                <a:moveTo>
                                  <a:pt x="0" y="0"/>
                                </a:moveTo>
                                <a:lnTo>
                                  <a:pt x="0" y="12413"/>
                                </a:lnTo>
                              </a:path>
                              <a:path w="368300" h="12700">
                                <a:moveTo>
                                  <a:pt x="120331" y="0"/>
                                </a:moveTo>
                                <a:lnTo>
                                  <a:pt x="120331" y="12413"/>
                                </a:lnTo>
                              </a:path>
                              <a:path w="368300" h="12700">
                                <a:moveTo>
                                  <a:pt x="240437" y="0"/>
                                </a:moveTo>
                                <a:lnTo>
                                  <a:pt x="240437" y="12413"/>
                                </a:lnTo>
                              </a:path>
                              <a:path w="368300" h="12700">
                                <a:moveTo>
                                  <a:pt x="368275" y="0"/>
                                </a:moveTo>
                                <a:lnTo>
                                  <a:pt x="368275" y="12413"/>
                                </a:lnTo>
                              </a:path>
                            </a:pathLst>
                          </a:custGeom>
                          <a:ln w="9577">
                            <a:solidFill>
                              <a:srgbClr val="000000"/>
                            </a:solidFill>
                            <a:prstDash val="solid"/>
                          </a:ln>
                        </wps:spPr>
                        <wps:bodyPr wrap="square" lIns="0" tIns="0" rIns="0" bIns="0" rtlCol="0">
                          <a:prstTxWarp prst="textNoShape">
                            <a:avLst/>
                          </a:prstTxWarp>
                          <a:noAutofit/>
                        </wps:bodyPr>
                      </wps:wsp>
                      <wps:wsp>
                        <wps:cNvPr id="55" name="Graphic 55"/>
                        <wps:cNvSpPr/>
                        <wps:spPr>
                          <a:xfrm>
                            <a:off x="1300605" y="1048450"/>
                            <a:ext cx="15240" cy="12700"/>
                          </a:xfrm>
                          <a:custGeom>
                            <a:avLst/>
                            <a:gdLst/>
                            <a:ahLst/>
                            <a:cxnLst/>
                            <a:rect l="l" t="t" r="r" b="b"/>
                            <a:pathLst>
                              <a:path w="15240" h="12700">
                                <a:moveTo>
                                  <a:pt x="0" y="12413"/>
                                </a:moveTo>
                                <a:lnTo>
                                  <a:pt x="15016" y="12413"/>
                                </a:lnTo>
                                <a:lnTo>
                                  <a:pt x="15016" y="0"/>
                                </a:lnTo>
                                <a:lnTo>
                                  <a:pt x="0" y="0"/>
                                </a:lnTo>
                                <a:lnTo>
                                  <a:pt x="0" y="12413"/>
                                </a:lnTo>
                                <a:close/>
                              </a:path>
                            </a:pathLst>
                          </a:custGeom>
                          <a:solidFill>
                            <a:srgbClr val="000000"/>
                          </a:solidFill>
                        </wps:spPr>
                        <wps:bodyPr wrap="square" lIns="0" tIns="0" rIns="0" bIns="0" rtlCol="0">
                          <a:prstTxWarp prst="textNoShape">
                            <a:avLst/>
                          </a:prstTxWarp>
                          <a:noAutofit/>
                        </wps:bodyPr>
                      </wps:wsp>
                      <wps:wsp>
                        <wps:cNvPr id="56" name="Graphic 56"/>
                        <wps:cNvSpPr/>
                        <wps:spPr>
                          <a:xfrm>
                            <a:off x="1435952" y="1048450"/>
                            <a:ext cx="368300" cy="12700"/>
                          </a:xfrm>
                          <a:custGeom>
                            <a:avLst/>
                            <a:gdLst/>
                            <a:ahLst/>
                            <a:cxnLst/>
                            <a:rect l="l" t="t" r="r" b="b"/>
                            <a:pathLst>
                              <a:path w="368300" h="12700">
                                <a:moveTo>
                                  <a:pt x="0" y="0"/>
                                </a:moveTo>
                                <a:lnTo>
                                  <a:pt x="0" y="12413"/>
                                </a:lnTo>
                              </a:path>
                              <a:path w="368300" h="12700">
                                <a:moveTo>
                                  <a:pt x="120256" y="0"/>
                                </a:moveTo>
                                <a:lnTo>
                                  <a:pt x="120256" y="12413"/>
                                </a:lnTo>
                              </a:path>
                              <a:path w="368300" h="12700">
                                <a:moveTo>
                                  <a:pt x="240587" y="0"/>
                                </a:moveTo>
                                <a:lnTo>
                                  <a:pt x="240587" y="12413"/>
                                </a:lnTo>
                              </a:path>
                              <a:path w="368300" h="12700">
                                <a:moveTo>
                                  <a:pt x="368200" y="0"/>
                                </a:moveTo>
                                <a:lnTo>
                                  <a:pt x="368200" y="12413"/>
                                </a:lnTo>
                              </a:path>
                            </a:pathLst>
                          </a:custGeom>
                          <a:ln w="9577">
                            <a:solidFill>
                              <a:srgbClr val="000000"/>
                            </a:solidFill>
                            <a:prstDash val="solid"/>
                          </a:ln>
                        </wps:spPr>
                        <wps:bodyPr wrap="square" lIns="0" tIns="0" rIns="0" bIns="0" rtlCol="0">
                          <a:prstTxWarp prst="textNoShape">
                            <a:avLst/>
                          </a:prstTxWarp>
                          <a:noAutofit/>
                        </wps:bodyPr>
                      </wps:wsp>
                      <wps:wsp>
                        <wps:cNvPr id="57" name="Graphic 57"/>
                        <wps:cNvSpPr/>
                        <wps:spPr>
                          <a:xfrm>
                            <a:off x="1916975" y="1048450"/>
                            <a:ext cx="15240" cy="12700"/>
                          </a:xfrm>
                          <a:custGeom>
                            <a:avLst/>
                            <a:gdLst/>
                            <a:ahLst/>
                            <a:cxnLst/>
                            <a:rect l="l" t="t" r="r" b="b"/>
                            <a:pathLst>
                              <a:path w="15240" h="12700">
                                <a:moveTo>
                                  <a:pt x="0" y="12413"/>
                                </a:moveTo>
                                <a:lnTo>
                                  <a:pt x="15016" y="12413"/>
                                </a:lnTo>
                                <a:lnTo>
                                  <a:pt x="15016" y="0"/>
                                </a:lnTo>
                                <a:lnTo>
                                  <a:pt x="0" y="0"/>
                                </a:lnTo>
                                <a:lnTo>
                                  <a:pt x="0" y="12413"/>
                                </a:lnTo>
                                <a:close/>
                              </a:path>
                            </a:pathLst>
                          </a:custGeom>
                          <a:solidFill>
                            <a:srgbClr val="000000"/>
                          </a:solidFill>
                        </wps:spPr>
                        <wps:bodyPr wrap="square" lIns="0" tIns="0" rIns="0" bIns="0" rtlCol="0">
                          <a:prstTxWarp prst="textNoShape">
                            <a:avLst/>
                          </a:prstTxWarp>
                          <a:noAutofit/>
                        </wps:bodyPr>
                      </wps:wsp>
                      <wps:wsp>
                        <wps:cNvPr id="58" name="Graphic 58"/>
                        <wps:cNvSpPr/>
                        <wps:spPr>
                          <a:xfrm>
                            <a:off x="2044815" y="1048450"/>
                            <a:ext cx="368935" cy="12700"/>
                          </a:xfrm>
                          <a:custGeom>
                            <a:avLst/>
                            <a:gdLst/>
                            <a:ahLst/>
                            <a:cxnLst/>
                            <a:rect l="l" t="t" r="r" b="b"/>
                            <a:pathLst>
                              <a:path w="368935" h="12700">
                                <a:moveTo>
                                  <a:pt x="0" y="0"/>
                                </a:moveTo>
                                <a:lnTo>
                                  <a:pt x="0" y="12413"/>
                                </a:lnTo>
                              </a:path>
                              <a:path w="368935" h="12700">
                                <a:moveTo>
                                  <a:pt x="127838" y="0"/>
                                </a:moveTo>
                                <a:lnTo>
                                  <a:pt x="127838" y="12413"/>
                                </a:lnTo>
                              </a:path>
                              <a:path w="368935" h="12700">
                                <a:moveTo>
                                  <a:pt x="248169" y="0"/>
                                </a:moveTo>
                                <a:lnTo>
                                  <a:pt x="248169" y="12413"/>
                                </a:lnTo>
                              </a:path>
                              <a:path w="368935" h="12700">
                                <a:moveTo>
                                  <a:pt x="368425" y="0"/>
                                </a:moveTo>
                                <a:lnTo>
                                  <a:pt x="368425" y="12413"/>
                                </a:lnTo>
                              </a:path>
                            </a:pathLst>
                          </a:custGeom>
                          <a:ln w="9577">
                            <a:solidFill>
                              <a:srgbClr val="000000"/>
                            </a:solidFill>
                            <a:prstDash val="solid"/>
                          </a:ln>
                        </wps:spPr>
                        <wps:bodyPr wrap="square" lIns="0" tIns="0" rIns="0" bIns="0" rtlCol="0">
                          <a:prstTxWarp prst="textNoShape">
                            <a:avLst/>
                          </a:prstTxWarp>
                          <a:noAutofit/>
                        </wps:bodyPr>
                      </wps:wsp>
                      <wps:wsp>
                        <wps:cNvPr id="59" name="Graphic 59"/>
                        <wps:cNvSpPr/>
                        <wps:spPr>
                          <a:xfrm>
                            <a:off x="2533420" y="1048450"/>
                            <a:ext cx="15240" cy="12700"/>
                          </a:xfrm>
                          <a:custGeom>
                            <a:avLst/>
                            <a:gdLst/>
                            <a:ahLst/>
                            <a:cxnLst/>
                            <a:rect l="l" t="t" r="r" b="b"/>
                            <a:pathLst>
                              <a:path w="15240" h="12700">
                                <a:moveTo>
                                  <a:pt x="0" y="12413"/>
                                </a:moveTo>
                                <a:lnTo>
                                  <a:pt x="15016" y="12413"/>
                                </a:lnTo>
                                <a:lnTo>
                                  <a:pt x="15016" y="0"/>
                                </a:lnTo>
                                <a:lnTo>
                                  <a:pt x="0" y="0"/>
                                </a:lnTo>
                                <a:lnTo>
                                  <a:pt x="0" y="12413"/>
                                </a:lnTo>
                                <a:close/>
                              </a:path>
                            </a:pathLst>
                          </a:custGeom>
                          <a:solidFill>
                            <a:srgbClr val="000000"/>
                          </a:solidFill>
                        </wps:spPr>
                        <wps:bodyPr wrap="square" lIns="0" tIns="0" rIns="0" bIns="0" rtlCol="0">
                          <a:prstTxWarp prst="textNoShape">
                            <a:avLst/>
                          </a:prstTxWarp>
                          <a:noAutofit/>
                        </wps:bodyPr>
                      </wps:wsp>
                      <wps:wsp>
                        <wps:cNvPr id="60" name="Graphic 60"/>
                        <wps:cNvSpPr/>
                        <wps:spPr>
                          <a:xfrm>
                            <a:off x="2661260" y="1048450"/>
                            <a:ext cx="368935" cy="12700"/>
                          </a:xfrm>
                          <a:custGeom>
                            <a:avLst/>
                            <a:gdLst/>
                            <a:ahLst/>
                            <a:cxnLst/>
                            <a:rect l="l" t="t" r="r" b="b"/>
                            <a:pathLst>
                              <a:path w="368935" h="12700">
                                <a:moveTo>
                                  <a:pt x="0" y="0"/>
                                </a:moveTo>
                                <a:lnTo>
                                  <a:pt x="0" y="12413"/>
                                </a:lnTo>
                              </a:path>
                              <a:path w="368935" h="12700">
                                <a:moveTo>
                                  <a:pt x="127762" y="0"/>
                                </a:moveTo>
                                <a:lnTo>
                                  <a:pt x="127762" y="12413"/>
                                </a:lnTo>
                              </a:path>
                              <a:path w="368935" h="12700">
                                <a:moveTo>
                                  <a:pt x="248094" y="0"/>
                                </a:moveTo>
                                <a:lnTo>
                                  <a:pt x="248094" y="12413"/>
                                </a:lnTo>
                              </a:path>
                              <a:path w="368935" h="12700">
                                <a:moveTo>
                                  <a:pt x="368425" y="0"/>
                                </a:moveTo>
                                <a:lnTo>
                                  <a:pt x="368425" y="12413"/>
                                </a:lnTo>
                              </a:path>
                            </a:pathLst>
                          </a:custGeom>
                          <a:ln w="9577">
                            <a:solidFill>
                              <a:srgbClr val="000000"/>
                            </a:solidFill>
                            <a:prstDash val="solid"/>
                          </a:ln>
                        </wps:spPr>
                        <wps:bodyPr wrap="square" lIns="0" tIns="0" rIns="0" bIns="0" rtlCol="0">
                          <a:prstTxWarp prst="textNoShape">
                            <a:avLst/>
                          </a:prstTxWarp>
                          <a:noAutofit/>
                        </wps:bodyPr>
                      </wps:wsp>
                      <wps:wsp>
                        <wps:cNvPr id="61" name="Graphic 61"/>
                        <wps:cNvSpPr/>
                        <wps:spPr>
                          <a:xfrm>
                            <a:off x="3150016" y="1048450"/>
                            <a:ext cx="15240" cy="12700"/>
                          </a:xfrm>
                          <a:custGeom>
                            <a:avLst/>
                            <a:gdLst/>
                            <a:ahLst/>
                            <a:cxnLst/>
                            <a:rect l="l" t="t" r="r" b="b"/>
                            <a:pathLst>
                              <a:path w="15240" h="12700">
                                <a:moveTo>
                                  <a:pt x="0" y="12413"/>
                                </a:moveTo>
                                <a:lnTo>
                                  <a:pt x="15016" y="12413"/>
                                </a:lnTo>
                                <a:lnTo>
                                  <a:pt x="15016" y="0"/>
                                </a:lnTo>
                                <a:lnTo>
                                  <a:pt x="0" y="0"/>
                                </a:lnTo>
                                <a:lnTo>
                                  <a:pt x="0" y="12413"/>
                                </a:lnTo>
                                <a:close/>
                              </a:path>
                            </a:pathLst>
                          </a:custGeom>
                          <a:solidFill>
                            <a:srgbClr val="000000"/>
                          </a:solidFill>
                        </wps:spPr>
                        <wps:bodyPr wrap="square" lIns="0" tIns="0" rIns="0" bIns="0" rtlCol="0">
                          <a:prstTxWarp prst="textNoShape">
                            <a:avLst/>
                          </a:prstTxWarp>
                          <a:noAutofit/>
                        </wps:bodyPr>
                      </wps:wsp>
                      <wps:wsp>
                        <wps:cNvPr id="62" name="Graphic 62"/>
                        <wps:cNvSpPr/>
                        <wps:spPr>
                          <a:xfrm>
                            <a:off x="3277630" y="1048450"/>
                            <a:ext cx="368935" cy="12700"/>
                          </a:xfrm>
                          <a:custGeom>
                            <a:avLst/>
                            <a:gdLst/>
                            <a:ahLst/>
                            <a:cxnLst/>
                            <a:rect l="l" t="t" r="r" b="b"/>
                            <a:pathLst>
                              <a:path w="368935" h="12700">
                                <a:moveTo>
                                  <a:pt x="0" y="0"/>
                                </a:moveTo>
                                <a:lnTo>
                                  <a:pt x="0" y="12413"/>
                                </a:lnTo>
                              </a:path>
                              <a:path w="368935" h="12700">
                                <a:moveTo>
                                  <a:pt x="120331" y="0"/>
                                </a:moveTo>
                                <a:lnTo>
                                  <a:pt x="120331" y="12413"/>
                                </a:lnTo>
                              </a:path>
                              <a:path w="368935" h="12700">
                                <a:moveTo>
                                  <a:pt x="248169" y="0"/>
                                </a:moveTo>
                                <a:lnTo>
                                  <a:pt x="248169" y="12413"/>
                                </a:lnTo>
                              </a:path>
                              <a:path w="368935" h="12700">
                                <a:moveTo>
                                  <a:pt x="368500" y="0"/>
                                </a:moveTo>
                                <a:lnTo>
                                  <a:pt x="368500" y="12413"/>
                                </a:lnTo>
                              </a:path>
                            </a:pathLst>
                          </a:custGeom>
                          <a:ln w="9577">
                            <a:solidFill>
                              <a:srgbClr val="000000"/>
                            </a:solidFill>
                            <a:prstDash val="solid"/>
                          </a:ln>
                        </wps:spPr>
                        <wps:bodyPr wrap="square" lIns="0" tIns="0" rIns="0" bIns="0" rtlCol="0">
                          <a:prstTxWarp prst="textNoShape">
                            <a:avLst/>
                          </a:prstTxWarp>
                          <a:noAutofit/>
                        </wps:bodyPr>
                      </wps:wsp>
                      <wps:wsp>
                        <wps:cNvPr id="63" name="Graphic 63"/>
                        <wps:cNvSpPr/>
                        <wps:spPr>
                          <a:xfrm>
                            <a:off x="3758879" y="1048450"/>
                            <a:ext cx="15240" cy="12700"/>
                          </a:xfrm>
                          <a:custGeom>
                            <a:avLst/>
                            <a:gdLst/>
                            <a:ahLst/>
                            <a:cxnLst/>
                            <a:rect l="l" t="t" r="r" b="b"/>
                            <a:pathLst>
                              <a:path w="15240" h="12700">
                                <a:moveTo>
                                  <a:pt x="0" y="12413"/>
                                </a:moveTo>
                                <a:lnTo>
                                  <a:pt x="15016" y="12413"/>
                                </a:lnTo>
                                <a:lnTo>
                                  <a:pt x="15016" y="0"/>
                                </a:lnTo>
                                <a:lnTo>
                                  <a:pt x="0" y="0"/>
                                </a:lnTo>
                                <a:lnTo>
                                  <a:pt x="0" y="12413"/>
                                </a:lnTo>
                                <a:close/>
                              </a:path>
                            </a:pathLst>
                          </a:custGeom>
                          <a:solidFill>
                            <a:srgbClr val="000000"/>
                          </a:solidFill>
                        </wps:spPr>
                        <wps:bodyPr wrap="square" lIns="0" tIns="0" rIns="0" bIns="0" rtlCol="0">
                          <a:prstTxWarp prst="textNoShape">
                            <a:avLst/>
                          </a:prstTxWarp>
                          <a:noAutofit/>
                        </wps:bodyPr>
                      </wps:wsp>
                      <wps:wsp>
                        <wps:cNvPr id="64" name="Graphic 64"/>
                        <wps:cNvSpPr/>
                        <wps:spPr>
                          <a:xfrm>
                            <a:off x="3894225" y="1048450"/>
                            <a:ext cx="368300" cy="12700"/>
                          </a:xfrm>
                          <a:custGeom>
                            <a:avLst/>
                            <a:gdLst/>
                            <a:ahLst/>
                            <a:cxnLst/>
                            <a:rect l="l" t="t" r="r" b="b"/>
                            <a:pathLst>
                              <a:path w="368300" h="12700">
                                <a:moveTo>
                                  <a:pt x="0" y="0"/>
                                </a:moveTo>
                                <a:lnTo>
                                  <a:pt x="0" y="12413"/>
                                </a:lnTo>
                              </a:path>
                              <a:path w="368300" h="12700">
                                <a:moveTo>
                                  <a:pt x="120106" y="0"/>
                                </a:moveTo>
                                <a:lnTo>
                                  <a:pt x="120106" y="12413"/>
                                </a:lnTo>
                              </a:path>
                              <a:path w="368300" h="12700">
                                <a:moveTo>
                                  <a:pt x="247944" y="0"/>
                                </a:moveTo>
                                <a:lnTo>
                                  <a:pt x="247944" y="12413"/>
                                </a:lnTo>
                              </a:path>
                              <a:path w="368300" h="12700">
                                <a:moveTo>
                                  <a:pt x="368275" y="0"/>
                                </a:moveTo>
                                <a:lnTo>
                                  <a:pt x="368275" y="12413"/>
                                </a:lnTo>
                              </a:path>
                            </a:pathLst>
                          </a:custGeom>
                          <a:ln w="9577">
                            <a:solidFill>
                              <a:srgbClr val="000000"/>
                            </a:solidFill>
                            <a:prstDash val="solid"/>
                          </a:ln>
                        </wps:spPr>
                        <wps:bodyPr wrap="square" lIns="0" tIns="0" rIns="0" bIns="0" rtlCol="0">
                          <a:prstTxWarp prst="textNoShape">
                            <a:avLst/>
                          </a:prstTxWarp>
                          <a:noAutofit/>
                        </wps:bodyPr>
                      </wps:wsp>
                      <wps:wsp>
                        <wps:cNvPr id="65" name="Graphic 65"/>
                        <wps:cNvSpPr/>
                        <wps:spPr>
                          <a:xfrm>
                            <a:off x="4375324" y="1048450"/>
                            <a:ext cx="15240" cy="12700"/>
                          </a:xfrm>
                          <a:custGeom>
                            <a:avLst/>
                            <a:gdLst/>
                            <a:ahLst/>
                            <a:cxnLst/>
                            <a:rect l="l" t="t" r="r" b="b"/>
                            <a:pathLst>
                              <a:path w="15240" h="12700">
                                <a:moveTo>
                                  <a:pt x="0" y="12413"/>
                                </a:moveTo>
                                <a:lnTo>
                                  <a:pt x="15016" y="12413"/>
                                </a:lnTo>
                                <a:lnTo>
                                  <a:pt x="15016" y="0"/>
                                </a:lnTo>
                                <a:lnTo>
                                  <a:pt x="0" y="0"/>
                                </a:lnTo>
                                <a:lnTo>
                                  <a:pt x="0" y="12413"/>
                                </a:lnTo>
                                <a:close/>
                              </a:path>
                            </a:pathLst>
                          </a:custGeom>
                          <a:solidFill>
                            <a:srgbClr val="000000"/>
                          </a:solidFill>
                        </wps:spPr>
                        <wps:bodyPr wrap="square" lIns="0" tIns="0" rIns="0" bIns="0" rtlCol="0">
                          <a:prstTxWarp prst="textNoShape">
                            <a:avLst/>
                          </a:prstTxWarp>
                          <a:noAutofit/>
                        </wps:bodyPr>
                      </wps:wsp>
                      <wps:wsp>
                        <wps:cNvPr id="66" name="Graphic 66"/>
                        <wps:cNvSpPr/>
                        <wps:spPr>
                          <a:xfrm>
                            <a:off x="4510670" y="1048450"/>
                            <a:ext cx="368300" cy="12700"/>
                          </a:xfrm>
                          <a:custGeom>
                            <a:avLst/>
                            <a:gdLst/>
                            <a:ahLst/>
                            <a:cxnLst/>
                            <a:rect l="l" t="t" r="r" b="b"/>
                            <a:pathLst>
                              <a:path w="368300" h="12700">
                                <a:moveTo>
                                  <a:pt x="0" y="0"/>
                                </a:moveTo>
                                <a:lnTo>
                                  <a:pt x="0" y="12413"/>
                                </a:lnTo>
                              </a:path>
                              <a:path w="368300" h="12700">
                                <a:moveTo>
                                  <a:pt x="120256" y="0"/>
                                </a:moveTo>
                                <a:lnTo>
                                  <a:pt x="120256" y="12413"/>
                                </a:lnTo>
                              </a:path>
                              <a:path w="368300" h="12700">
                                <a:moveTo>
                                  <a:pt x="240437" y="0"/>
                                </a:moveTo>
                                <a:lnTo>
                                  <a:pt x="240437" y="12413"/>
                                </a:lnTo>
                              </a:path>
                              <a:path w="368300" h="12700">
                                <a:moveTo>
                                  <a:pt x="368275" y="0"/>
                                </a:moveTo>
                                <a:lnTo>
                                  <a:pt x="368275" y="12413"/>
                                </a:lnTo>
                              </a:path>
                            </a:pathLst>
                          </a:custGeom>
                          <a:ln w="9577">
                            <a:solidFill>
                              <a:srgbClr val="000000"/>
                            </a:solidFill>
                            <a:prstDash val="solid"/>
                          </a:ln>
                        </wps:spPr>
                        <wps:bodyPr wrap="square" lIns="0" tIns="0" rIns="0" bIns="0" rtlCol="0">
                          <a:prstTxWarp prst="textNoShape">
                            <a:avLst/>
                          </a:prstTxWarp>
                          <a:noAutofit/>
                        </wps:bodyPr>
                      </wps:wsp>
                      <wps:wsp>
                        <wps:cNvPr id="67" name="Graphic 67"/>
                        <wps:cNvSpPr/>
                        <wps:spPr>
                          <a:xfrm>
                            <a:off x="4991694" y="1048450"/>
                            <a:ext cx="15240" cy="12700"/>
                          </a:xfrm>
                          <a:custGeom>
                            <a:avLst/>
                            <a:gdLst/>
                            <a:ahLst/>
                            <a:cxnLst/>
                            <a:rect l="l" t="t" r="r" b="b"/>
                            <a:pathLst>
                              <a:path w="15240" h="12700">
                                <a:moveTo>
                                  <a:pt x="0" y="12413"/>
                                </a:moveTo>
                                <a:lnTo>
                                  <a:pt x="15016" y="12413"/>
                                </a:lnTo>
                                <a:lnTo>
                                  <a:pt x="15016" y="0"/>
                                </a:lnTo>
                                <a:lnTo>
                                  <a:pt x="0" y="0"/>
                                </a:lnTo>
                                <a:lnTo>
                                  <a:pt x="0" y="12413"/>
                                </a:lnTo>
                                <a:close/>
                              </a:path>
                            </a:pathLst>
                          </a:custGeom>
                          <a:solidFill>
                            <a:srgbClr val="000000"/>
                          </a:solidFill>
                        </wps:spPr>
                        <wps:bodyPr wrap="square" lIns="0" tIns="0" rIns="0" bIns="0" rtlCol="0">
                          <a:prstTxWarp prst="textNoShape">
                            <a:avLst/>
                          </a:prstTxWarp>
                          <a:noAutofit/>
                        </wps:bodyPr>
                      </wps:wsp>
                      <wps:wsp>
                        <wps:cNvPr id="68" name="Graphic 68"/>
                        <wps:cNvSpPr/>
                        <wps:spPr>
                          <a:xfrm>
                            <a:off x="5119533" y="1048450"/>
                            <a:ext cx="1270" cy="12700"/>
                          </a:xfrm>
                          <a:custGeom>
                            <a:avLst/>
                            <a:gdLst/>
                            <a:ahLst/>
                            <a:cxnLst/>
                            <a:rect l="l" t="t" r="r" b="b"/>
                            <a:pathLst>
                              <a:path w="0" h="12700">
                                <a:moveTo>
                                  <a:pt x="0" y="0"/>
                                </a:moveTo>
                                <a:lnTo>
                                  <a:pt x="0" y="12413"/>
                                </a:lnTo>
                              </a:path>
                            </a:pathLst>
                          </a:custGeom>
                          <a:ln w="15016">
                            <a:solidFill>
                              <a:srgbClr val="000000"/>
                            </a:solidFill>
                            <a:prstDash val="solid"/>
                          </a:ln>
                        </wps:spPr>
                        <wps:bodyPr wrap="square" lIns="0" tIns="0" rIns="0" bIns="0" rtlCol="0">
                          <a:prstTxWarp prst="textNoShape">
                            <a:avLst/>
                          </a:prstTxWarp>
                          <a:noAutofit/>
                        </wps:bodyPr>
                      </wps:wsp>
                      <wps:wsp>
                        <wps:cNvPr id="69" name="Graphic 69"/>
                        <wps:cNvSpPr/>
                        <wps:spPr>
                          <a:xfrm>
                            <a:off x="75260" y="1048454"/>
                            <a:ext cx="4932045" cy="22860"/>
                          </a:xfrm>
                          <a:custGeom>
                            <a:avLst/>
                            <a:gdLst/>
                            <a:ahLst/>
                            <a:cxnLst/>
                            <a:rect l="l" t="t" r="r" b="b"/>
                            <a:pathLst>
                              <a:path w="4932045" h="22860">
                                <a:moveTo>
                                  <a:pt x="15011" y="0"/>
                                </a:moveTo>
                                <a:lnTo>
                                  <a:pt x="0" y="0"/>
                                </a:lnTo>
                                <a:lnTo>
                                  <a:pt x="0" y="22783"/>
                                </a:lnTo>
                                <a:lnTo>
                                  <a:pt x="15011" y="22783"/>
                                </a:lnTo>
                                <a:lnTo>
                                  <a:pt x="15011" y="0"/>
                                </a:lnTo>
                                <a:close/>
                              </a:path>
                              <a:path w="4932045" h="22860">
                                <a:moveTo>
                                  <a:pt x="623912" y="0"/>
                                </a:moveTo>
                                <a:lnTo>
                                  <a:pt x="608888" y="0"/>
                                </a:lnTo>
                                <a:lnTo>
                                  <a:pt x="608888" y="22783"/>
                                </a:lnTo>
                                <a:lnTo>
                                  <a:pt x="623912" y="22783"/>
                                </a:lnTo>
                                <a:lnTo>
                                  <a:pt x="623912" y="0"/>
                                </a:lnTo>
                                <a:close/>
                              </a:path>
                              <a:path w="4932045" h="22860">
                                <a:moveTo>
                                  <a:pt x="1240358" y="0"/>
                                </a:moveTo>
                                <a:lnTo>
                                  <a:pt x="1225334" y="0"/>
                                </a:lnTo>
                                <a:lnTo>
                                  <a:pt x="1225334" y="22783"/>
                                </a:lnTo>
                                <a:lnTo>
                                  <a:pt x="1240358" y="22783"/>
                                </a:lnTo>
                                <a:lnTo>
                                  <a:pt x="1240358" y="0"/>
                                </a:lnTo>
                                <a:close/>
                              </a:path>
                              <a:path w="4932045" h="22860">
                                <a:moveTo>
                                  <a:pt x="1856727" y="0"/>
                                </a:moveTo>
                                <a:lnTo>
                                  <a:pt x="1841703" y="0"/>
                                </a:lnTo>
                                <a:lnTo>
                                  <a:pt x="1841703" y="22783"/>
                                </a:lnTo>
                                <a:lnTo>
                                  <a:pt x="1856727" y="22783"/>
                                </a:lnTo>
                                <a:lnTo>
                                  <a:pt x="1856727" y="0"/>
                                </a:lnTo>
                                <a:close/>
                              </a:path>
                              <a:path w="4932045" h="22860">
                                <a:moveTo>
                                  <a:pt x="2473172" y="0"/>
                                </a:moveTo>
                                <a:lnTo>
                                  <a:pt x="2458148" y="0"/>
                                </a:lnTo>
                                <a:lnTo>
                                  <a:pt x="2458148" y="22783"/>
                                </a:lnTo>
                                <a:lnTo>
                                  <a:pt x="2473172" y="22783"/>
                                </a:lnTo>
                                <a:lnTo>
                                  <a:pt x="2473172" y="0"/>
                                </a:lnTo>
                                <a:close/>
                              </a:path>
                              <a:path w="4932045" h="22860">
                                <a:moveTo>
                                  <a:pt x="3089770" y="0"/>
                                </a:moveTo>
                                <a:lnTo>
                                  <a:pt x="3074746" y="0"/>
                                </a:lnTo>
                                <a:lnTo>
                                  <a:pt x="3074746" y="22783"/>
                                </a:lnTo>
                                <a:lnTo>
                                  <a:pt x="3089770" y="22783"/>
                                </a:lnTo>
                                <a:lnTo>
                                  <a:pt x="3089770" y="0"/>
                                </a:lnTo>
                                <a:close/>
                              </a:path>
                              <a:path w="4932045" h="22860">
                                <a:moveTo>
                                  <a:pt x="3698633" y="0"/>
                                </a:moveTo>
                                <a:lnTo>
                                  <a:pt x="3683609" y="0"/>
                                </a:lnTo>
                                <a:lnTo>
                                  <a:pt x="3683609" y="22783"/>
                                </a:lnTo>
                                <a:lnTo>
                                  <a:pt x="3698633" y="22783"/>
                                </a:lnTo>
                                <a:lnTo>
                                  <a:pt x="3698633" y="0"/>
                                </a:lnTo>
                                <a:close/>
                              </a:path>
                              <a:path w="4932045" h="22860">
                                <a:moveTo>
                                  <a:pt x="4315079" y="0"/>
                                </a:moveTo>
                                <a:lnTo>
                                  <a:pt x="4300055" y="0"/>
                                </a:lnTo>
                                <a:lnTo>
                                  <a:pt x="4300055" y="22783"/>
                                </a:lnTo>
                                <a:lnTo>
                                  <a:pt x="4315079" y="22783"/>
                                </a:lnTo>
                                <a:lnTo>
                                  <a:pt x="4315079" y="0"/>
                                </a:lnTo>
                                <a:close/>
                              </a:path>
                              <a:path w="4932045" h="22860">
                                <a:moveTo>
                                  <a:pt x="4931448" y="0"/>
                                </a:moveTo>
                                <a:lnTo>
                                  <a:pt x="4916424" y="0"/>
                                </a:lnTo>
                                <a:lnTo>
                                  <a:pt x="4916424" y="22783"/>
                                </a:lnTo>
                                <a:lnTo>
                                  <a:pt x="4931448" y="22783"/>
                                </a:lnTo>
                                <a:lnTo>
                                  <a:pt x="4931448" y="0"/>
                                </a:lnTo>
                                <a:close/>
                              </a:path>
                            </a:pathLst>
                          </a:custGeom>
                          <a:solidFill>
                            <a:srgbClr val="000000"/>
                          </a:solidFill>
                        </wps:spPr>
                        <wps:bodyPr wrap="square" lIns="0" tIns="0" rIns="0" bIns="0" rtlCol="0">
                          <a:prstTxWarp prst="textNoShape">
                            <a:avLst/>
                          </a:prstTxWarp>
                          <a:noAutofit/>
                        </wps:bodyPr>
                      </wps:wsp>
                      <wps:wsp>
                        <wps:cNvPr id="70" name="Graphic 70"/>
                        <wps:cNvSpPr/>
                        <wps:spPr>
                          <a:xfrm>
                            <a:off x="75269" y="4027"/>
                            <a:ext cx="5052060" cy="1044575"/>
                          </a:xfrm>
                          <a:custGeom>
                            <a:avLst/>
                            <a:gdLst/>
                            <a:ahLst/>
                            <a:cxnLst/>
                            <a:rect l="l" t="t" r="r" b="b"/>
                            <a:pathLst>
                              <a:path w="5052060" h="1044575">
                                <a:moveTo>
                                  <a:pt x="7506" y="982253"/>
                                </a:moveTo>
                                <a:lnTo>
                                  <a:pt x="127793" y="967751"/>
                                </a:lnTo>
                                <a:lnTo>
                                  <a:pt x="247974" y="944952"/>
                                </a:lnTo>
                                <a:lnTo>
                                  <a:pt x="375812" y="951158"/>
                                </a:lnTo>
                                <a:lnTo>
                                  <a:pt x="496068" y="903512"/>
                                </a:lnTo>
                                <a:lnTo>
                                  <a:pt x="616399" y="841323"/>
                                </a:lnTo>
                                <a:lnTo>
                                  <a:pt x="744238" y="808159"/>
                                </a:lnTo>
                                <a:lnTo>
                                  <a:pt x="864569" y="808159"/>
                                </a:lnTo>
                                <a:lnTo>
                                  <a:pt x="984675" y="839254"/>
                                </a:lnTo>
                                <a:lnTo>
                                  <a:pt x="1112513" y="826841"/>
                                </a:lnTo>
                                <a:lnTo>
                                  <a:pt x="1232844" y="783332"/>
                                </a:lnTo>
                                <a:lnTo>
                                  <a:pt x="1353101" y="783332"/>
                                </a:lnTo>
                                <a:lnTo>
                                  <a:pt x="1480939" y="768788"/>
                                </a:lnTo>
                                <a:lnTo>
                                  <a:pt x="1601270" y="785401"/>
                                </a:lnTo>
                                <a:lnTo>
                                  <a:pt x="1721376" y="762582"/>
                                </a:lnTo>
                                <a:lnTo>
                                  <a:pt x="1849214" y="735645"/>
                                </a:lnTo>
                                <a:lnTo>
                                  <a:pt x="1969546" y="733576"/>
                                </a:lnTo>
                                <a:lnTo>
                                  <a:pt x="2089877" y="661042"/>
                                </a:lnTo>
                                <a:lnTo>
                                  <a:pt x="2217715" y="638222"/>
                                </a:lnTo>
                                <a:lnTo>
                                  <a:pt x="2337972" y="607190"/>
                                </a:lnTo>
                                <a:lnTo>
                                  <a:pt x="2458153" y="574026"/>
                                </a:lnTo>
                                <a:lnTo>
                                  <a:pt x="2585991" y="567819"/>
                                </a:lnTo>
                                <a:lnTo>
                                  <a:pt x="2706247" y="534655"/>
                                </a:lnTo>
                                <a:lnTo>
                                  <a:pt x="2826579" y="435184"/>
                                </a:lnTo>
                                <a:lnTo>
                                  <a:pt x="2954417" y="478693"/>
                                </a:lnTo>
                                <a:lnTo>
                                  <a:pt x="3074748" y="443460"/>
                                </a:lnTo>
                                <a:lnTo>
                                  <a:pt x="3194854" y="445529"/>
                                </a:lnTo>
                                <a:lnTo>
                                  <a:pt x="3322692" y="420640"/>
                                </a:lnTo>
                                <a:lnTo>
                                  <a:pt x="3443024" y="408227"/>
                                </a:lnTo>
                                <a:lnTo>
                                  <a:pt x="3563355" y="310804"/>
                                </a:lnTo>
                                <a:lnTo>
                                  <a:pt x="3691118" y="308736"/>
                                </a:lnTo>
                                <a:lnTo>
                                  <a:pt x="3811449" y="285978"/>
                                </a:lnTo>
                                <a:lnTo>
                                  <a:pt x="3931555" y="265227"/>
                                </a:lnTo>
                                <a:lnTo>
                                  <a:pt x="4059393" y="229995"/>
                                </a:lnTo>
                                <a:lnTo>
                                  <a:pt x="4179725" y="217582"/>
                                </a:lnTo>
                                <a:lnTo>
                                  <a:pt x="4300056" y="198920"/>
                                </a:lnTo>
                                <a:lnTo>
                                  <a:pt x="4427894" y="194783"/>
                                </a:lnTo>
                                <a:lnTo>
                                  <a:pt x="4548151" y="180280"/>
                                </a:lnTo>
                                <a:lnTo>
                                  <a:pt x="4668332" y="151275"/>
                                </a:lnTo>
                                <a:lnTo>
                                  <a:pt x="4796170" y="149206"/>
                                </a:lnTo>
                                <a:lnTo>
                                  <a:pt x="4916426" y="109835"/>
                                </a:lnTo>
                                <a:lnTo>
                                  <a:pt x="5044264" y="103629"/>
                                </a:lnTo>
                              </a:path>
                              <a:path w="5052060" h="1044575">
                                <a:moveTo>
                                  <a:pt x="0" y="0"/>
                                </a:moveTo>
                                <a:lnTo>
                                  <a:pt x="0" y="1044423"/>
                                </a:lnTo>
                                <a:lnTo>
                                  <a:pt x="5051771" y="1044423"/>
                                </a:lnTo>
                                <a:lnTo>
                                  <a:pt x="5051771" y="0"/>
                                </a:lnTo>
                                <a:lnTo>
                                  <a:pt x="0" y="0"/>
                                </a:lnTo>
                              </a:path>
                            </a:pathLst>
                          </a:custGeom>
                          <a:ln w="957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2.700989pt;margin-top:2.786433pt;width:404.05pt;height:84.35pt;mso-position-horizontal-relative:page;mso-position-vertical-relative:paragraph;z-index:15738368" id="docshapegroup43" coordorigin="1854,56" coordsize="8081,1687">
                <v:shape style="position:absolute;left:1854;top:65;width:119;height:1639" id="docshape44" coordorigin="1854,65" coordsize="119,1639" path="m1854,1704l1973,1704m1854,1374l1973,1374m1854,1048l1973,1048m1854,718l1973,718m1854,392l1973,392m1854,65l1973,65e" filled="false" stroked="true" strokeweight=".754127pt" strokecolor="#000000">
                  <v:path arrowok="t"/>
                  <v:stroke dashstyle="solid"/>
                </v:shape>
                <v:rect style="position:absolute;left:1972;top:1706;width:24;height:20" id="docshape45" filled="true" fillcolor="#000000" stroked="false">
                  <v:fill type="solid"/>
                </v:rect>
                <v:shape style="position:absolute;left:2173;top:1706;width:580;height:20" id="docshape46" coordorigin="2174,1707" coordsize="580,20" path="m2174,1707l2174,1726m2363,1707l2363,1726m2564,1707l2564,1726m2754,1707l2754,1726e" filled="false" stroked="true" strokeweight=".754127pt" strokecolor="#000000">
                  <v:path arrowok="t"/>
                  <v:stroke dashstyle="solid"/>
                </v:shape>
                <v:rect style="position:absolute;left:2931;top:1706;width:24;height:20" id="docshape47" filled="true" fillcolor="#000000" stroked="false">
                  <v:fill type="solid"/>
                </v:rect>
                <v:shape style="position:absolute;left:3144;top:1706;width:580;height:20" id="docshape48" coordorigin="3145,1707" coordsize="580,20" path="m3145,1707l3145,1726m3334,1707l3334,1726m3523,1707l3523,1726m3725,1707l3725,1726e" filled="false" stroked="true" strokeweight=".754127pt" strokecolor="#000000">
                  <v:path arrowok="t"/>
                  <v:stroke dashstyle="solid"/>
                </v:shape>
                <v:rect style="position:absolute;left:3902;top:1706;width:24;height:20" id="docshape49" filled="true" fillcolor="#000000" stroked="false">
                  <v:fill type="solid"/>
                </v:rect>
                <v:shape style="position:absolute;left:4115;top:1706;width:580;height:20" id="docshape50" coordorigin="4115,1707" coordsize="580,20" path="m4115,1707l4115,1726m4305,1707l4305,1726m4494,1707l4494,1726m4695,1707l4695,1726e" filled="false" stroked="true" strokeweight=".754127pt" strokecolor="#000000">
                  <v:path arrowok="t"/>
                  <v:stroke dashstyle="solid"/>
                </v:shape>
                <v:rect style="position:absolute;left:4872;top:1706;width:24;height:20" id="docshape51" filled="true" fillcolor="#000000" stroked="false">
                  <v:fill type="solid"/>
                </v:rect>
                <v:shape style="position:absolute;left:5074;top:1706;width:581;height:20" id="docshape52" coordorigin="5074,1707" coordsize="581,20" path="m5074,1707l5074,1726m5276,1707l5276,1726m5465,1707l5465,1726m5654,1707l5654,1726e" filled="false" stroked="true" strokeweight=".754127pt" strokecolor="#000000">
                  <v:path arrowok="t"/>
                  <v:stroke dashstyle="solid"/>
                </v:shape>
                <v:rect style="position:absolute;left:5843;top:1706;width:24;height:20" id="docshape53" filled="true" fillcolor="#000000" stroked="false">
                  <v:fill type="solid"/>
                </v:rect>
                <v:shape style="position:absolute;left:6044;top:1706;width:581;height:20" id="docshape54" coordorigin="6045,1707" coordsize="581,20" path="m6045,1707l6045,1726m6246,1707l6246,1726m6436,1707l6436,1726m6625,1707l6625,1726e" filled="false" stroked="true" strokeweight=".754127pt" strokecolor="#000000">
                  <v:path arrowok="t"/>
                  <v:stroke dashstyle="solid"/>
                </v:shape>
                <v:rect style="position:absolute;left:6814;top:1706;width:24;height:20" id="docshape55" filled="true" fillcolor="#000000" stroked="false">
                  <v:fill type="solid"/>
                </v:rect>
                <v:shape style="position:absolute;left:7015;top:1706;width:581;height:20" id="docshape56" coordorigin="7016,1707" coordsize="581,20" path="m7016,1707l7016,1726m7205,1707l7205,1726m7406,1707l7406,1726m7596,1707l7596,1726e" filled="false" stroked="true" strokeweight=".754127pt" strokecolor="#000000">
                  <v:path arrowok="t"/>
                  <v:stroke dashstyle="solid"/>
                </v:shape>
                <v:rect style="position:absolute;left:7773;top:1706;width:24;height:20" id="docshape57" filled="true" fillcolor="#000000" stroked="false">
                  <v:fill type="solid"/>
                </v:rect>
                <v:shape style="position:absolute;left:7986;top:1706;width:580;height:20" id="docshape58" coordorigin="7987,1707" coordsize="580,20" path="m7987,1707l7987,1726m8176,1707l8176,1726m8377,1707l8377,1726m8567,1707l8567,1726e" filled="false" stroked="true" strokeweight=".754127pt" strokecolor="#000000">
                  <v:path arrowok="t"/>
                  <v:stroke dashstyle="solid"/>
                </v:shape>
                <v:rect style="position:absolute;left:8744;top:1706;width:24;height:20" id="docshape59" filled="true" fillcolor="#000000" stroked="false">
                  <v:fill type="solid"/>
                </v:rect>
                <v:shape style="position:absolute;left:8957;top:1706;width:580;height:20" id="docshape60" coordorigin="8957,1707" coordsize="580,20" path="m8957,1707l8957,1726m9147,1707l9147,1726m9336,1707l9336,1726m9537,1707l9537,1726e" filled="false" stroked="true" strokeweight=".754127pt" strokecolor="#000000">
                  <v:path arrowok="t"/>
                  <v:stroke dashstyle="solid"/>
                </v:shape>
                <v:rect style="position:absolute;left:9714;top:1706;width:24;height:20" id="docshape61" filled="true" fillcolor="#000000" stroked="false">
                  <v:fill type="solid"/>
                </v:rect>
                <v:line style="position:absolute" from="9916,1707" to="9916,1726" stroked="true" strokeweight="1.182384pt" strokecolor="#000000">
                  <v:stroke dashstyle="solid"/>
                </v:line>
                <v:shape style="position:absolute;left:1972;top:1706;width:7767;height:36" id="docshape62" coordorigin="1973,1707" coordsize="7767,36" path="m1996,1707l1973,1707,1973,1743,1996,1743,1996,1707xm2955,1707l2931,1707,2931,1743,2955,1743,2955,1707xm3926,1707l3902,1707,3902,1743,3926,1743,3926,1707xm4897,1707l4873,1707,4873,1743,4897,1743,4897,1707xm5867,1707l5844,1707,5844,1743,5867,1743,5867,1707xm6838,1707l6815,1707,6815,1743,6838,1743,6838,1707xm7797,1707l7774,1707,7774,1743,7797,1743,7797,1707xm8768,1707l8744,1707,8744,1743,8768,1743,8768,1707xm9739,1707l9715,1707,9715,1743,9739,1743,9739,1707xe" filled="true" fillcolor="#000000" stroked="false">
                  <v:path arrowok="t"/>
                  <v:fill type="solid"/>
                </v:shape>
                <v:shape style="position:absolute;left:1972;top:62;width:7956;height:1645" id="docshape63" coordorigin="1973,62" coordsize="7956,1645" path="m1984,1609l2174,1586,2363,1550,2564,1560,2754,1485,2943,1387,3145,1335,3334,1335,3523,1384,3725,1364,3914,1296,4103,1296,4305,1273,4494,1299,4683,1263,4885,1221,5074,1217,5264,1103,5465,1067,5654,1018,5844,966,6045,956,6234,904,6424,747,6625,816,6815,760,7004,764,7205,724,7395,705,7584,552,7785,548,7975,512,8164,480,8365,424,8555,405,8744,375,8946,369,9135,346,9324,300,9526,297,9715,235,9916,225m1973,62l1973,1707,9928,1707,9928,62,1973,62e" filled="false" stroked="true" strokeweight=".754127pt" strokecolor="#000000">
                  <v:path arrowok="t"/>
                  <v:stroke dashstyle="solid"/>
                </v:shape>
                <w10:wrap type="none"/>
              </v:group>
            </w:pict>
          </mc:Fallback>
        </mc:AlternateContent>
      </w:r>
      <w:r>
        <w:rPr>
          <w:rFonts w:ascii="Arial MT"/>
          <w:spacing w:val="-5"/>
          <w:w w:val="370"/>
          <w:sz w:val="9"/>
        </w:rPr>
        <w:t>16</w:t>
      </w:r>
    </w:p>
    <w:p>
      <w:pPr>
        <w:pStyle w:val="BodyText"/>
        <w:rPr>
          <w:rFonts w:ascii="Arial MT"/>
          <w:sz w:val="9"/>
        </w:rPr>
      </w:pPr>
    </w:p>
    <w:p>
      <w:pPr>
        <w:pStyle w:val="BodyText"/>
        <w:spacing w:before="16"/>
        <w:rPr>
          <w:rFonts w:ascii="Arial MT"/>
          <w:sz w:val="9"/>
        </w:rPr>
      </w:pPr>
    </w:p>
    <w:p>
      <w:pPr>
        <w:spacing w:before="0"/>
        <w:ind w:left="1124" w:right="0" w:firstLine="0"/>
        <w:jc w:val="left"/>
        <w:rPr>
          <w:rFonts w:ascii="Arial MT"/>
          <w:sz w:val="9"/>
        </w:rPr>
      </w:pPr>
      <w:r>
        <w:rPr>
          <w:rFonts w:ascii="Arial MT"/>
          <w:spacing w:val="-5"/>
          <w:w w:val="370"/>
          <w:sz w:val="9"/>
        </w:rPr>
        <w:t>14</w:t>
      </w:r>
    </w:p>
    <w:p>
      <w:pPr>
        <w:pStyle w:val="BodyText"/>
        <w:rPr>
          <w:rFonts w:ascii="Arial MT"/>
          <w:sz w:val="9"/>
        </w:rPr>
      </w:pPr>
    </w:p>
    <w:p>
      <w:pPr>
        <w:pStyle w:val="BodyText"/>
        <w:spacing w:before="16"/>
        <w:rPr>
          <w:rFonts w:ascii="Arial MT"/>
          <w:sz w:val="9"/>
        </w:rPr>
      </w:pPr>
    </w:p>
    <w:p>
      <w:pPr>
        <w:spacing w:before="0"/>
        <w:ind w:left="1124" w:right="0" w:firstLine="0"/>
        <w:jc w:val="left"/>
        <w:rPr>
          <w:rFonts w:ascii="Arial MT"/>
          <w:sz w:val="9"/>
        </w:rPr>
      </w:pPr>
      <w:r>
        <w:rPr>
          <w:rFonts w:ascii="Arial MT"/>
          <w:spacing w:val="-5"/>
          <w:w w:val="370"/>
          <w:sz w:val="9"/>
        </w:rPr>
        <w:t>12</w:t>
      </w:r>
    </w:p>
    <w:p>
      <w:pPr>
        <w:pStyle w:val="BodyText"/>
        <w:rPr>
          <w:rFonts w:ascii="Arial MT"/>
          <w:sz w:val="9"/>
        </w:rPr>
      </w:pPr>
    </w:p>
    <w:p>
      <w:pPr>
        <w:pStyle w:val="BodyText"/>
        <w:spacing w:before="19"/>
        <w:rPr>
          <w:rFonts w:ascii="Arial MT"/>
          <w:sz w:val="9"/>
        </w:rPr>
      </w:pPr>
    </w:p>
    <w:p>
      <w:pPr>
        <w:spacing w:before="0"/>
        <w:ind w:left="1124" w:right="0" w:firstLine="0"/>
        <w:jc w:val="left"/>
        <w:rPr>
          <w:rFonts w:ascii="Arial MT"/>
          <w:sz w:val="9"/>
        </w:rPr>
      </w:pPr>
      <w:r>
        <w:rPr>
          <w:rFonts w:ascii="Arial MT"/>
          <w:spacing w:val="-5"/>
          <w:w w:val="370"/>
          <w:sz w:val="9"/>
        </w:rPr>
        <w:t>10</w:t>
      </w:r>
    </w:p>
    <w:p>
      <w:pPr>
        <w:pStyle w:val="BodyText"/>
        <w:rPr>
          <w:rFonts w:ascii="Arial MT"/>
          <w:sz w:val="9"/>
        </w:rPr>
      </w:pPr>
    </w:p>
    <w:p>
      <w:pPr>
        <w:pStyle w:val="BodyText"/>
        <w:spacing w:before="16"/>
        <w:rPr>
          <w:rFonts w:ascii="Arial MT"/>
          <w:sz w:val="9"/>
        </w:rPr>
      </w:pPr>
    </w:p>
    <w:p>
      <w:pPr>
        <w:spacing w:before="0"/>
        <w:ind w:left="1313" w:right="0" w:firstLine="0"/>
        <w:jc w:val="left"/>
        <w:rPr>
          <w:rFonts w:ascii="Arial MT"/>
          <w:sz w:val="9"/>
        </w:rPr>
      </w:pPr>
      <w:r>
        <w:rPr>
          <w:rFonts w:ascii="Arial MT"/>
          <w:spacing w:val="-10"/>
          <w:w w:val="370"/>
          <w:sz w:val="9"/>
        </w:rPr>
        <w:t>8</w:t>
      </w:r>
    </w:p>
    <w:p>
      <w:pPr>
        <w:pStyle w:val="BodyText"/>
        <w:rPr>
          <w:rFonts w:ascii="Arial MT"/>
          <w:sz w:val="9"/>
        </w:rPr>
      </w:pPr>
    </w:p>
    <w:p>
      <w:pPr>
        <w:pStyle w:val="BodyText"/>
        <w:spacing w:before="19"/>
        <w:rPr>
          <w:rFonts w:ascii="Arial MT"/>
          <w:sz w:val="9"/>
        </w:rPr>
      </w:pPr>
    </w:p>
    <w:p>
      <w:pPr>
        <w:spacing w:before="0"/>
        <w:ind w:left="1313" w:right="0" w:firstLine="0"/>
        <w:jc w:val="left"/>
        <w:rPr>
          <w:rFonts w:ascii="Arial MT"/>
          <w:sz w:val="9"/>
        </w:rPr>
      </w:pPr>
      <w:r>
        <w:rPr>
          <w:rFonts w:ascii="Arial MT"/>
          <w:spacing w:val="-10"/>
          <w:w w:val="370"/>
          <w:sz w:val="9"/>
        </w:rPr>
        <w:t>6</w:t>
      </w:r>
    </w:p>
    <w:p>
      <w:pPr>
        <w:tabs>
          <w:tab w:pos="2473" w:val="left" w:leader="none"/>
          <w:tab w:pos="3444" w:val="left" w:leader="none"/>
          <w:tab w:pos="4415" w:val="left" w:leader="none"/>
          <w:tab w:pos="5386" w:val="left" w:leader="none"/>
          <w:tab w:pos="6356" w:val="left" w:leader="none"/>
          <w:tab w:pos="7315" w:val="left" w:leader="none"/>
          <w:tab w:pos="8286" w:val="left" w:leader="none"/>
          <w:tab w:pos="9257" w:val="left" w:leader="none"/>
        </w:tabs>
        <w:spacing w:before="4"/>
        <w:ind w:left="1514" w:right="0" w:firstLine="0"/>
        <w:jc w:val="left"/>
        <w:rPr>
          <w:rFonts w:ascii="Arial MT"/>
          <w:sz w:val="9"/>
        </w:rPr>
      </w:pPr>
      <w:r>
        <w:rPr>
          <w:rFonts w:ascii="Arial MT"/>
          <w:spacing w:val="-5"/>
          <w:w w:val="370"/>
          <w:sz w:val="9"/>
        </w:rPr>
        <w:t>70</w:t>
      </w:r>
      <w:r>
        <w:rPr>
          <w:rFonts w:ascii="Arial MT"/>
          <w:sz w:val="9"/>
        </w:rPr>
        <w:tab/>
      </w:r>
      <w:r>
        <w:rPr>
          <w:rFonts w:ascii="Arial MT"/>
          <w:spacing w:val="-5"/>
          <w:w w:val="370"/>
          <w:sz w:val="9"/>
        </w:rPr>
        <w:t>75</w:t>
      </w:r>
      <w:r>
        <w:rPr>
          <w:rFonts w:ascii="Arial MT"/>
          <w:sz w:val="9"/>
        </w:rPr>
        <w:tab/>
      </w:r>
      <w:r>
        <w:rPr>
          <w:rFonts w:ascii="Arial MT"/>
          <w:spacing w:val="-5"/>
          <w:w w:val="370"/>
          <w:sz w:val="9"/>
        </w:rPr>
        <w:t>80</w:t>
      </w:r>
      <w:r>
        <w:rPr>
          <w:rFonts w:ascii="Arial MT"/>
          <w:sz w:val="9"/>
        </w:rPr>
        <w:tab/>
      </w:r>
      <w:r>
        <w:rPr>
          <w:rFonts w:ascii="Arial MT"/>
          <w:spacing w:val="-5"/>
          <w:w w:val="370"/>
          <w:sz w:val="9"/>
        </w:rPr>
        <w:t>85</w:t>
      </w:r>
      <w:r>
        <w:rPr>
          <w:rFonts w:ascii="Arial MT"/>
          <w:sz w:val="9"/>
        </w:rPr>
        <w:tab/>
      </w:r>
      <w:r>
        <w:rPr>
          <w:rFonts w:ascii="Arial MT"/>
          <w:spacing w:val="-5"/>
          <w:w w:val="370"/>
          <w:sz w:val="9"/>
        </w:rPr>
        <w:t>90</w:t>
      </w:r>
      <w:r>
        <w:rPr>
          <w:rFonts w:ascii="Arial MT"/>
          <w:sz w:val="9"/>
        </w:rPr>
        <w:tab/>
      </w:r>
      <w:r>
        <w:rPr>
          <w:rFonts w:ascii="Arial MT"/>
          <w:spacing w:val="-5"/>
          <w:w w:val="370"/>
          <w:sz w:val="9"/>
        </w:rPr>
        <w:t>95</w:t>
      </w:r>
      <w:r>
        <w:rPr>
          <w:rFonts w:ascii="Arial MT"/>
          <w:sz w:val="9"/>
        </w:rPr>
        <w:tab/>
      </w:r>
      <w:r>
        <w:rPr>
          <w:rFonts w:ascii="Arial MT"/>
          <w:spacing w:val="-5"/>
          <w:w w:val="370"/>
          <w:sz w:val="9"/>
        </w:rPr>
        <w:t>00</w:t>
      </w:r>
      <w:r>
        <w:rPr>
          <w:rFonts w:ascii="Arial MT"/>
          <w:sz w:val="9"/>
        </w:rPr>
        <w:tab/>
      </w:r>
      <w:r>
        <w:rPr>
          <w:rFonts w:ascii="Arial MT"/>
          <w:spacing w:val="-5"/>
          <w:w w:val="370"/>
          <w:sz w:val="9"/>
        </w:rPr>
        <w:t>05</w:t>
      </w:r>
      <w:r>
        <w:rPr>
          <w:rFonts w:ascii="Arial MT"/>
          <w:sz w:val="9"/>
        </w:rPr>
        <w:tab/>
      </w:r>
      <w:r>
        <w:rPr>
          <w:rFonts w:ascii="Arial MT"/>
          <w:spacing w:val="-5"/>
          <w:w w:val="370"/>
          <w:sz w:val="9"/>
        </w:rPr>
        <w:t>10</w:t>
      </w:r>
    </w:p>
    <w:p>
      <w:pPr>
        <w:pStyle w:val="BodyText"/>
        <w:spacing w:before="6"/>
        <w:rPr>
          <w:rFonts w:ascii="Arial MT"/>
          <w:sz w:val="5"/>
        </w:rPr>
      </w:pPr>
      <w:r>
        <w:rPr/>
        <mc:AlternateContent>
          <mc:Choice Requires="wps">
            <w:drawing>
              <wp:anchor distT="0" distB="0" distL="0" distR="0" allowOverlap="1" layoutInCell="1" locked="0" behindDoc="1" simplePos="0" relativeHeight="487593984">
                <wp:simplePos x="0" y="0"/>
                <wp:positionH relativeFrom="page">
                  <wp:posOffset>3152091</wp:posOffset>
                </wp:positionH>
                <wp:positionV relativeFrom="paragraph">
                  <wp:posOffset>55633</wp:posOffset>
                </wp:positionV>
                <wp:extent cx="1238250" cy="100330"/>
                <wp:effectExtent l="0" t="0" r="0" b="0"/>
                <wp:wrapTopAndBottom/>
                <wp:docPr id="71" name="Group 71"/>
                <wp:cNvGraphicFramePr>
                  <a:graphicFrameLocks/>
                </wp:cNvGraphicFramePr>
                <a:graphic>
                  <a:graphicData uri="http://schemas.microsoft.com/office/word/2010/wordprocessingGroup">
                    <wpg:wgp>
                      <wpg:cNvPr id="71" name="Group 71"/>
                      <wpg:cNvGrpSpPr/>
                      <wpg:grpSpPr>
                        <a:xfrm>
                          <a:off x="0" y="0"/>
                          <a:ext cx="1238250" cy="100330"/>
                          <a:chExt cx="1238250" cy="100330"/>
                        </a:xfrm>
                      </wpg:grpSpPr>
                      <wps:wsp>
                        <wps:cNvPr id="72" name="Graphic 72"/>
                        <wps:cNvSpPr/>
                        <wps:spPr>
                          <a:xfrm>
                            <a:off x="92545" y="52178"/>
                            <a:ext cx="368935" cy="1270"/>
                          </a:xfrm>
                          <a:custGeom>
                            <a:avLst/>
                            <a:gdLst/>
                            <a:ahLst/>
                            <a:cxnLst/>
                            <a:rect l="l" t="t" r="r" b="b"/>
                            <a:pathLst>
                              <a:path w="368935" h="0">
                                <a:moveTo>
                                  <a:pt x="0" y="0"/>
                                </a:moveTo>
                                <a:lnTo>
                                  <a:pt x="368425" y="0"/>
                                </a:lnTo>
                              </a:path>
                            </a:pathLst>
                          </a:custGeom>
                          <a:ln w="4138">
                            <a:solidFill>
                              <a:srgbClr val="000000"/>
                            </a:solidFill>
                            <a:prstDash val="solid"/>
                          </a:ln>
                        </wps:spPr>
                        <wps:bodyPr wrap="square" lIns="0" tIns="0" rIns="0" bIns="0" rtlCol="0">
                          <a:prstTxWarp prst="textNoShape">
                            <a:avLst/>
                          </a:prstTxWarp>
                          <a:noAutofit/>
                        </wps:bodyPr>
                      </wps:wsp>
                      <wps:wsp>
                        <wps:cNvPr id="73" name="Textbox 73"/>
                        <wps:cNvSpPr txBox="1"/>
                        <wps:spPr>
                          <a:xfrm>
                            <a:off x="2466" y="2466"/>
                            <a:ext cx="1233170" cy="95885"/>
                          </a:xfrm>
                          <a:prstGeom prst="rect">
                            <a:avLst/>
                          </a:prstGeom>
                          <a:ln w="4932">
                            <a:solidFill>
                              <a:srgbClr val="000000"/>
                            </a:solidFill>
                            <a:prstDash val="solid"/>
                          </a:ln>
                        </wps:spPr>
                        <wps:txbx>
                          <w:txbxContent>
                            <w:p>
                              <w:pPr>
                                <w:spacing w:before="22"/>
                                <w:ind w:left="836" w:right="0" w:firstLine="0"/>
                                <w:jc w:val="left"/>
                                <w:rPr>
                                  <w:rFonts w:ascii="Arial MT"/>
                                  <w:sz w:val="9"/>
                                </w:rPr>
                              </w:pPr>
                              <w:r>
                                <w:rPr>
                                  <w:rFonts w:ascii="Arial MT"/>
                                  <w:spacing w:val="-4"/>
                                  <w:w w:val="370"/>
                                  <w:sz w:val="9"/>
                                </w:rPr>
                                <w:t>GOCE</w:t>
                              </w:r>
                            </w:p>
                          </w:txbxContent>
                        </wps:txbx>
                        <wps:bodyPr wrap="square" lIns="0" tIns="0" rIns="0" bIns="0" rtlCol="0">
                          <a:noAutofit/>
                        </wps:bodyPr>
                      </wps:wsp>
                    </wpg:wgp>
                  </a:graphicData>
                </a:graphic>
              </wp:anchor>
            </w:drawing>
          </mc:Choice>
          <mc:Fallback>
            <w:pict>
              <v:group style="position:absolute;margin-left:248.196213pt;margin-top:4.380561pt;width:97.5pt;height:7.9pt;mso-position-horizontal-relative:page;mso-position-vertical-relative:paragraph;z-index:-15722496;mso-wrap-distance-left:0;mso-wrap-distance-right:0" id="docshapegroup64" coordorigin="4964,88" coordsize="1950,158">
                <v:line style="position:absolute" from="5110,170" to="5690,170" stroked="true" strokeweight=".32587pt" strokecolor="#000000">
                  <v:stroke dashstyle="solid"/>
                </v:line>
                <v:shape style="position:absolute;left:4967;top:91;width:1942;height:151" type="#_x0000_t202" id="docshape65" filled="false" stroked="true" strokeweight=".388389pt" strokecolor="#000000">
                  <v:textbox inset="0,0,0,0">
                    <w:txbxContent>
                      <w:p>
                        <w:pPr>
                          <w:spacing w:before="22"/>
                          <w:ind w:left="836" w:right="0" w:firstLine="0"/>
                          <w:jc w:val="left"/>
                          <w:rPr>
                            <w:rFonts w:ascii="Arial MT"/>
                            <w:sz w:val="9"/>
                          </w:rPr>
                        </w:pPr>
                        <w:r>
                          <w:rPr>
                            <w:rFonts w:ascii="Arial MT"/>
                            <w:spacing w:val="-4"/>
                            <w:w w:val="370"/>
                            <w:sz w:val="9"/>
                          </w:rPr>
                          <w:t>GOCE</w:t>
                        </w:r>
                      </w:p>
                    </w:txbxContent>
                  </v:textbox>
                  <v:stroke dashstyle="solid"/>
                  <w10:wrap type="none"/>
                </v:shape>
                <w10:wrap type="topAndBottom"/>
              </v:group>
            </w:pict>
          </mc:Fallback>
        </mc:AlternateContent>
      </w:r>
    </w:p>
    <w:p>
      <w:pPr>
        <w:spacing w:after="0"/>
        <w:rPr>
          <w:rFonts w:ascii="Arial MT"/>
          <w:sz w:val="5"/>
        </w:rPr>
        <w:sectPr>
          <w:type w:val="continuous"/>
          <w:pgSz w:w="11910" w:h="16840"/>
          <w:pgMar w:header="0" w:footer="979" w:top="1340" w:bottom="1220" w:left="280" w:right="0"/>
        </w:sectPr>
      </w:pPr>
    </w:p>
    <w:p>
      <w:pPr>
        <w:pStyle w:val="BodyText"/>
        <w:spacing w:line="480" w:lineRule="auto" w:before="77"/>
        <w:ind w:left="711" w:right="585"/>
      </w:pPr>
      <w:r>
        <w:rPr>
          <w:b/>
        </w:rPr>
        <w:t>Figure</w:t>
      </w:r>
      <w:r>
        <w:rPr>
          <w:b/>
          <w:spacing w:val="-5"/>
        </w:rPr>
        <w:t> </w:t>
      </w:r>
      <w:r>
        <w:rPr>
          <w:b/>
        </w:rPr>
        <w:t>4.2</w:t>
      </w:r>
      <w:r>
        <w:rPr>
          <w:b/>
          <w:spacing w:val="-2"/>
        </w:rPr>
        <w:t> </w:t>
      </w:r>
      <w:r>
        <w:rPr/>
        <w:t>Graphical</w:t>
      </w:r>
      <w:r>
        <w:rPr>
          <w:spacing w:val="-1"/>
        </w:rPr>
        <w:t> </w:t>
      </w:r>
      <w:r>
        <w:rPr/>
        <w:t>Illustration</w:t>
      </w:r>
      <w:r>
        <w:rPr>
          <w:spacing w:val="-4"/>
        </w:rPr>
        <w:t> </w:t>
      </w:r>
      <w:r>
        <w:rPr/>
        <w:t>of</w:t>
      </w:r>
      <w:r>
        <w:rPr>
          <w:spacing w:val="-5"/>
        </w:rPr>
        <w:t> </w:t>
      </w:r>
      <w:r>
        <w:rPr/>
        <w:t>the</w:t>
      </w:r>
      <w:r>
        <w:rPr>
          <w:spacing w:val="-4"/>
        </w:rPr>
        <w:t> </w:t>
      </w:r>
      <w:r>
        <w:rPr/>
        <w:t>Relationship</w:t>
      </w:r>
      <w:r>
        <w:rPr>
          <w:spacing w:val="-4"/>
        </w:rPr>
        <w:t> </w:t>
      </w:r>
      <w:r>
        <w:rPr/>
        <w:t>between</w:t>
      </w:r>
      <w:r>
        <w:rPr>
          <w:spacing w:val="-4"/>
        </w:rPr>
        <w:t> </w:t>
      </w:r>
      <w:r>
        <w:rPr/>
        <w:t>each</w:t>
      </w:r>
      <w:r>
        <w:rPr>
          <w:spacing w:val="-2"/>
        </w:rPr>
        <w:t> </w:t>
      </w:r>
      <w:r>
        <w:rPr/>
        <w:t>Independent</w:t>
      </w:r>
      <w:r>
        <w:rPr>
          <w:spacing w:val="-4"/>
        </w:rPr>
        <w:t> </w:t>
      </w:r>
      <w:r>
        <w:rPr/>
        <w:t>Variable</w:t>
      </w:r>
      <w:r>
        <w:rPr>
          <w:spacing w:val="-3"/>
        </w:rPr>
        <w:t> </w:t>
      </w:r>
      <w:r>
        <w:rPr/>
        <w:t>and capital</w:t>
      </w:r>
      <w:r>
        <w:rPr>
          <w:spacing w:val="-4"/>
        </w:rPr>
        <w:t> </w:t>
      </w:r>
      <w:r>
        <w:rPr/>
        <w:t>flight for the models 1, 3 and 4</w:t>
      </w:r>
    </w:p>
    <w:p>
      <w:pPr>
        <w:pStyle w:val="BodyText"/>
      </w:pPr>
    </w:p>
    <w:p>
      <w:pPr>
        <w:pStyle w:val="BodyText"/>
        <w:tabs>
          <w:tab w:pos="4960" w:val="left" w:leader="none"/>
        </w:tabs>
        <w:ind w:left="1971"/>
      </w:pPr>
      <w:r>
        <w:rPr/>
        <w:t>KF</w:t>
      </w:r>
      <w:r>
        <w:rPr>
          <w:spacing w:val="-2"/>
        </w:rPr>
        <w:t> </w:t>
      </w:r>
      <w:r>
        <w:rPr/>
        <w:t>AND</w:t>
      </w:r>
      <w:r>
        <w:rPr>
          <w:spacing w:val="1"/>
        </w:rPr>
        <w:t> </w:t>
      </w:r>
      <w:r>
        <w:rPr>
          <w:spacing w:val="-5"/>
        </w:rPr>
        <w:t>DOP</w:t>
      </w:r>
      <w:r>
        <w:rPr/>
        <w:tab/>
        <w:t>KF</w:t>
      </w:r>
      <w:r>
        <w:rPr>
          <w:spacing w:val="-2"/>
        </w:rPr>
        <w:t> </w:t>
      </w:r>
      <w:r>
        <w:rPr/>
        <w:t>AND</w:t>
      </w:r>
      <w:r>
        <w:rPr>
          <w:spacing w:val="1"/>
        </w:rPr>
        <w:t> </w:t>
      </w:r>
      <w:r>
        <w:rPr>
          <w:spacing w:val="-5"/>
        </w:rPr>
        <w:t>GCF</w:t>
      </w:r>
    </w:p>
    <w:p>
      <w:pPr>
        <w:pStyle w:val="BodyText"/>
        <w:spacing w:before="62"/>
        <w:rPr>
          <w:sz w:val="20"/>
        </w:rPr>
      </w:pPr>
    </w:p>
    <w:p>
      <w:pPr>
        <w:spacing w:after="0"/>
        <w:rPr>
          <w:sz w:val="20"/>
        </w:rPr>
        <w:sectPr>
          <w:pgSz w:w="11910" w:h="16840"/>
          <w:pgMar w:header="0" w:footer="979" w:top="1620" w:bottom="1240" w:left="280" w:right="0"/>
        </w:sectPr>
      </w:pPr>
    </w:p>
    <w:p>
      <w:pPr>
        <w:spacing w:before="96"/>
        <w:ind w:left="1582" w:right="0" w:firstLine="0"/>
        <w:jc w:val="left"/>
        <w:rPr>
          <w:rFonts w:ascii="Arial MT"/>
          <w:sz w:val="9"/>
        </w:rPr>
      </w:pPr>
      <w:r>
        <w:rPr/>
        <w:drawing>
          <wp:anchor distT="0" distB="0" distL="0" distR="0" allowOverlap="1" layoutInCell="1" locked="0" behindDoc="0" simplePos="0" relativeHeight="15742464">
            <wp:simplePos x="0" y="0"/>
            <wp:positionH relativeFrom="page">
              <wp:posOffset>1287535</wp:posOffset>
            </wp:positionH>
            <wp:positionV relativeFrom="paragraph">
              <wp:posOffset>98324</wp:posOffset>
            </wp:positionV>
            <wp:extent cx="1886982" cy="1036769"/>
            <wp:effectExtent l="0" t="0" r="0" b="0"/>
            <wp:wrapNone/>
            <wp:docPr id="74" name="Image 74"/>
            <wp:cNvGraphicFramePr>
              <a:graphicFrameLocks/>
            </wp:cNvGraphicFramePr>
            <a:graphic>
              <a:graphicData uri="http://schemas.openxmlformats.org/drawingml/2006/picture">
                <pic:pic>
                  <pic:nvPicPr>
                    <pic:cNvPr id="74" name="Image 74"/>
                    <pic:cNvPicPr/>
                  </pic:nvPicPr>
                  <pic:blipFill>
                    <a:blip r:embed="rId22" cstate="print"/>
                    <a:stretch>
                      <a:fillRect/>
                    </a:stretch>
                  </pic:blipFill>
                  <pic:spPr>
                    <a:xfrm>
                      <a:off x="0" y="0"/>
                      <a:ext cx="1886982" cy="1036769"/>
                    </a:xfrm>
                    <a:prstGeom prst="rect">
                      <a:avLst/>
                    </a:prstGeom>
                  </pic:spPr>
                </pic:pic>
              </a:graphicData>
            </a:graphic>
          </wp:anchor>
        </w:drawing>
      </w:r>
      <w:r>
        <w:rPr>
          <w:rFonts w:ascii="Arial MT"/>
          <w:spacing w:val="-5"/>
          <w:w w:val="135"/>
          <w:sz w:val="9"/>
        </w:rPr>
        <w:t>24</w:t>
      </w:r>
    </w:p>
    <w:p>
      <w:pPr>
        <w:pStyle w:val="BodyText"/>
        <w:spacing w:before="17"/>
        <w:rPr>
          <w:rFonts w:ascii="Arial MT"/>
          <w:sz w:val="9"/>
        </w:rPr>
      </w:pPr>
    </w:p>
    <w:p>
      <w:pPr>
        <w:spacing w:before="0"/>
        <w:ind w:left="1582" w:right="0" w:firstLine="0"/>
        <w:jc w:val="left"/>
        <w:rPr>
          <w:rFonts w:ascii="Arial MT"/>
          <w:sz w:val="9"/>
        </w:rPr>
      </w:pPr>
      <w:r>
        <w:rPr>
          <w:rFonts w:ascii="Arial MT"/>
          <w:spacing w:val="-5"/>
          <w:w w:val="135"/>
          <w:sz w:val="9"/>
        </w:rPr>
        <w:t>20</w:t>
      </w:r>
    </w:p>
    <w:p>
      <w:pPr>
        <w:pStyle w:val="BodyText"/>
        <w:spacing w:before="21"/>
        <w:rPr>
          <w:rFonts w:ascii="Arial MT"/>
          <w:sz w:val="9"/>
        </w:rPr>
      </w:pPr>
    </w:p>
    <w:p>
      <w:pPr>
        <w:spacing w:before="0"/>
        <w:ind w:left="1582" w:right="0" w:firstLine="0"/>
        <w:jc w:val="left"/>
        <w:rPr>
          <w:rFonts w:ascii="Arial MT"/>
          <w:sz w:val="9"/>
        </w:rPr>
      </w:pPr>
      <w:r>
        <w:rPr>
          <w:rFonts w:ascii="Arial MT"/>
          <w:spacing w:val="-5"/>
          <w:w w:val="135"/>
          <w:sz w:val="9"/>
        </w:rPr>
        <w:t>16</w:t>
      </w:r>
    </w:p>
    <w:p>
      <w:pPr>
        <w:pStyle w:val="BodyText"/>
        <w:spacing w:before="21"/>
        <w:rPr>
          <w:rFonts w:ascii="Arial MT"/>
          <w:sz w:val="9"/>
        </w:rPr>
      </w:pPr>
    </w:p>
    <w:p>
      <w:pPr>
        <w:spacing w:before="0"/>
        <w:ind w:left="1582" w:right="0" w:firstLine="0"/>
        <w:jc w:val="left"/>
        <w:rPr>
          <w:rFonts w:ascii="Arial MT"/>
          <w:sz w:val="9"/>
        </w:rPr>
      </w:pPr>
      <w:r>
        <w:rPr>
          <w:rFonts w:ascii="Arial MT"/>
          <w:spacing w:val="-5"/>
          <w:w w:val="135"/>
          <w:sz w:val="9"/>
        </w:rPr>
        <w:t>12</w:t>
      </w:r>
    </w:p>
    <w:p>
      <w:pPr>
        <w:pStyle w:val="BodyText"/>
        <w:spacing w:before="17"/>
        <w:rPr>
          <w:rFonts w:ascii="Arial MT"/>
          <w:sz w:val="9"/>
        </w:rPr>
      </w:pPr>
    </w:p>
    <w:p>
      <w:pPr>
        <w:spacing w:before="1"/>
        <w:ind w:left="1651" w:right="0" w:firstLine="0"/>
        <w:jc w:val="left"/>
        <w:rPr>
          <w:rFonts w:ascii="Arial MT"/>
          <w:sz w:val="9"/>
        </w:rPr>
      </w:pPr>
      <w:r>
        <w:rPr>
          <w:rFonts w:ascii="Arial MT"/>
          <w:spacing w:val="-10"/>
          <w:w w:val="135"/>
          <w:sz w:val="9"/>
        </w:rPr>
        <w:t>8</w:t>
      </w:r>
    </w:p>
    <w:p>
      <w:pPr>
        <w:pStyle w:val="BodyText"/>
        <w:spacing w:before="20"/>
        <w:rPr>
          <w:rFonts w:ascii="Arial MT"/>
          <w:sz w:val="9"/>
        </w:rPr>
      </w:pPr>
    </w:p>
    <w:p>
      <w:pPr>
        <w:spacing w:before="0"/>
        <w:ind w:left="1651" w:right="0" w:firstLine="0"/>
        <w:jc w:val="left"/>
        <w:rPr>
          <w:rFonts w:ascii="Arial MT"/>
          <w:sz w:val="9"/>
        </w:rPr>
      </w:pPr>
      <w:r>
        <w:rPr>
          <w:rFonts w:ascii="Arial MT"/>
          <w:spacing w:val="-10"/>
          <w:w w:val="135"/>
          <w:sz w:val="9"/>
        </w:rPr>
        <w:t>4</w:t>
      </w:r>
    </w:p>
    <w:p>
      <w:pPr>
        <w:pStyle w:val="BodyText"/>
        <w:spacing w:before="21"/>
        <w:rPr>
          <w:rFonts w:ascii="Arial MT"/>
          <w:sz w:val="9"/>
        </w:rPr>
      </w:pPr>
    </w:p>
    <w:p>
      <w:pPr>
        <w:spacing w:before="0"/>
        <w:ind w:left="1651" w:right="0" w:firstLine="0"/>
        <w:jc w:val="left"/>
        <w:rPr>
          <w:rFonts w:ascii="Arial MT"/>
          <w:sz w:val="9"/>
        </w:rPr>
      </w:pPr>
      <w:r>
        <w:rPr>
          <w:rFonts w:ascii="Arial MT"/>
          <w:spacing w:val="-10"/>
          <w:w w:val="135"/>
          <w:sz w:val="9"/>
        </w:rPr>
        <w:t>0</w:t>
      </w:r>
    </w:p>
    <w:p>
      <w:pPr>
        <w:pStyle w:val="BodyText"/>
        <w:spacing w:before="21"/>
        <w:rPr>
          <w:rFonts w:ascii="Arial MT"/>
          <w:sz w:val="9"/>
        </w:rPr>
      </w:pPr>
    </w:p>
    <w:p>
      <w:pPr>
        <w:spacing w:before="0"/>
        <w:ind w:left="1612" w:right="0" w:firstLine="0"/>
        <w:jc w:val="left"/>
        <w:rPr>
          <w:rFonts w:ascii="Arial MT"/>
          <w:sz w:val="9"/>
        </w:rPr>
      </w:pPr>
      <w:r>
        <w:rPr>
          <w:rFonts w:ascii="Arial MT"/>
          <w:spacing w:val="-2"/>
          <w:w w:val="135"/>
          <w:sz w:val="9"/>
        </w:rPr>
        <w:t>-</w:t>
      </w:r>
      <w:r>
        <w:rPr>
          <w:rFonts w:ascii="Arial MT"/>
          <w:spacing w:val="-10"/>
          <w:w w:val="135"/>
          <w:sz w:val="9"/>
        </w:rPr>
        <w:t>4</w:t>
      </w:r>
    </w:p>
    <w:p>
      <w:pPr>
        <w:tabs>
          <w:tab w:pos="2078" w:val="left" w:leader="none"/>
          <w:tab w:pos="2435" w:val="left" w:leader="none"/>
          <w:tab w:pos="2791" w:val="left" w:leader="none"/>
          <w:tab w:pos="3148" w:val="left" w:leader="none"/>
          <w:tab w:pos="3505" w:val="left" w:leader="none"/>
          <w:tab w:pos="3858" w:val="left" w:leader="none"/>
          <w:tab w:pos="4215" w:val="left" w:leader="none"/>
          <w:tab w:pos="4571" w:val="left" w:leader="none"/>
        </w:tabs>
        <w:spacing w:before="1"/>
        <w:ind w:left="1725" w:right="0" w:firstLine="0"/>
        <w:jc w:val="left"/>
        <w:rPr>
          <w:rFonts w:ascii="Arial MT"/>
          <w:sz w:val="9"/>
        </w:rPr>
      </w:pPr>
      <w:r>
        <w:rPr>
          <w:rFonts w:ascii="Arial MT"/>
          <w:spacing w:val="-5"/>
          <w:w w:val="135"/>
          <w:sz w:val="9"/>
        </w:rPr>
        <w:t>70</w:t>
      </w:r>
      <w:r>
        <w:rPr>
          <w:rFonts w:ascii="Arial MT"/>
          <w:sz w:val="9"/>
        </w:rPr>
        <w:tab/>
      </w:r>
      <w:r>
        <w:rPr>
          <w:rFonts w:ascii="Arial MT"/>
          <w:spacing w:val="-5"/>
          <w:w w:val="135"/>
          <w:sz w:val="9"/>
        </w:rPr>
        <w:t>75</w:t>
      </w:r>
      <w:r>
        <w:rPr>
          <w:rFonts w:ascii="Arial MT"/>
          <w:sz w:val="9"/>
        </w:rPr>
        <w:tab/>
      </w:r>
      <w:r>
        <w:rPr>
          <w:rFonts w:ascii="Arial MT"/>
          <w:spacing w:val="-5"/>
          <w:w w:val="135"/>
          <w:sz w:val="9"/>
        </w:rPr>
        <w:t>80</w:t>
      </w:r>
      <w:r>
        <w:rPr>
          <w:rFonts w:ascii="Arial MT"/>
          <w:sz w:val="9"/>
        </w:rPr>
        <w:tab/>
      </w:r>
      <w:r>
        <w:rPr>
          <w:rFonts w:ascii="Arial MT"/>
          <w:spacing w:val="-5"/>
          <w:w w:val="135"/>
          <w:sz w:val="9"/>
        </w:rPr>
        <w:t>85</w:t>
      </w:r>
      <w:r>
        <w:rPr>
          <w:rFonts w:ascii="Arial MT"/>
          <w:sz w:val="9"/>
        </w:rPr>
        <w:tab/>
      </w:r>
      <w:r>
        <w:rPr>
          <w:rFonts w:ascii="Arial MT"/>
          <w:spacing w:val="-5"/>
          <w:w w:val="135"/>
          <w:sz w:val="9"/>
        </w:rPr>
        <w:t>90</w:t>
      </w:r>
      <w:r>
        <w:rPr>
          <w:rFonts w:ascii="Arial MT"/>
          <w:sz w:val="9"/>
        </w:rPr>
        <w:tab/>
      </w:r>
      <w:r>
        <w:rPr>
          <w:rFonts w:ascii="Arial MT"/>
          <w:spacing w:val="-5"/>
          <w:w w:val="135"/>
          <w:sz w:val="9"/>
        </w:rPr>
        <w:t>95</w:t>
      </w:r>
      <w:r>
        <w:rPr>
          <w:rFonts w:ascii="Arial MT"/>
          <w:sz w:val="9"/>
        </w:rPr>
        <w:tab/>
      </w:r>
      <w:r>
        <w:rPr>
          <w:rFonts w:ascii="Arial MT"/>
          <w:spacing w:val="-5"/>
          <w:w w:val="135"/>
          <w:sz w:val="9"/>
        </w:rPr>
        <w:t>00</w:t>
      </w:r>
      <w:r>
        <w:rPr>
          <w:rFonts w:ascii="Arial MT"/>
          <w:sz w:val="9"/>
        </w:rPr>
        <w:tab/>
      </w:r>
      <w:r>
        <w:rPr>
          <w:rFonts w:ascii="Arial MT"/>
          <w:spacing w:val="-5"/>
          <w:w w:val="135"/>
          <w:sz w:val="9"/>
        </w:rPr>
        <w:t>05</w:t>
      </w:r>
      <w:r>
        <w:rPr>
          <w:rFonts w:ascii="Arial MT"/>
          <w:sz w:val="9"/>
        </w:rPr>
        <w:tab/>
      </w:r>
      <w:r>
        <w:rPr>
          <w:rFonts w:ascii="Arial MT"/>
          <w:spacing w:val="-5"/>
          <w:w w:val="135"/>
          <w:sz w:val="9"/>
        </w:rPr>
        <w:t>10</w:t>
      </w:r>
    </w:p>
    <w:p>
      <w:pPr>
        <w:spacing w:line="240" w:lineRule="auto" w:before="0"/>
        <w:rPr>
          <w:rFonts w:ascii="Arial MT"/>
          <w:sz w:val="8"/>
        </w:rPr>
      </w:pPr>
      <w:r>
        <w:rPr/>
        <w:br w:type="column"/>
      </w:r>
      <w:r>
        <w:rPr>
          <w:rFonts w:ascii="Arial MT"/>
          <w:sz w:val="8"/>
        </w:rPr>
      </w:r>
    </w:p>
    <w:p>
      <w:pPr>
        <w:pStyle w:val="BodyText"/>
        <w:spacing w:before="75"/>
        <w:rPr>
          <w:rFonts w:ascii="Arial MT"/>
          <w:sz w:val="8"/>
        </w:rPr>
      </w:pPr>
    </w:p>
    <w:p>
      <w:pPr>
        <w:spacing w:before="1"/>
        <w:ind w:left="461" w:right="0" w:firstLine="0"/>
        <w:jc w:val="left"/>
        <w:rPr>
          <w:rFonts w:ascii="Arial MT"/>
          <w:sz w:val="8"/>
        </w:rPr>
      </w:pPr>
      <w:r>
        <w:rPr>
          <w:rFonts w:ascii="Arial MT"/>
          <w:spacing w:val="-5"/>
          <w:w w:val="150"/>
          <w:sz w:val="8"/>
        </w:rPr>
        <w:t>24</w:t>
      </w:r>
    </w:p>
    <w:p>
      <w:pPr>
        <w:pStyle w:val="BodyText"/>
        <w:rPr>
          <w:rFonts w:ascii="Arial MT"/>
          <w:sz w:val="8"/>
        </w:rPr>
      </w:pPr>
    </w:p>
    <w:p>
      <w:pPr>
        <w:pStyle w:val="BodyText"/>
        <w:spacing w:before="18"/>
        <w:rPr>
          <w:rFonts w:ascii="Arial MT"/>
          <w:sz w:val="8"/>
        </w:rPr>
      </w:pPr>
    </w:p>
    <w:p>
      <w:pPr>
        <w:spacing w:before="0"/>
        <w:ind w:left="461" w:right="0" w:firstLine="0"/>
        <w:jc w:val="left"/>
        <w:rPr>
          <w:rFonts w:ascii="Arial MT"/>
          <w:sz w:val="8"/>
        </w:rPr>
      </w:pPr>
      <w:r>
        <w:rPr/>
        <w:drawing>
          <wp:anchor distT="0" distB="0" distL="0" distR="0" allowOverlap="1" layoutInCell="1" locked="0" behindDoc="0" simplePos="0" relativeHeight="15742976">
            <wp:simplePos x="0" y="0"/>
            <wp:positionH relativeFrom="page">
              <wp:posOffset>3598030</wp:posOffset>
            </wp:positionH>
            <wp:positionV relativeFrom="paragraph">
              <wp:posOffset>-154296</wp:posOffset>
            </wp:positionV>
            <wp:extent cx="1890309" cy="965549"/>
            <wp:effectExtent l="0" t="0" r="0" b="0"/>
            <wp:wrapNone/>
            <wp:docPr id="75" name="Image 75"/>
            <wp:cNvGraphicFramePr>
              <a:graphicFrameLocks/>
            </wp:cNvGraphicFramePr>
            <a:graphic>
              <a:graphicData uri="http://schemas.openxmlformats.org/drawingml/2006/picture">
                <pic:pic>
                  <pic:nvPicPr>
                    <pic:cNvPr id="75" name="Image 75"/>
                    <pic:cNvPicPr/>
                  </pic:nvPicPr>
                  <pic:blipFill>
                    <a:blip r:embed="rId23" cstate="print"/>
                    <a:stretch>
                      <a:fillRect/>
                    </a:stretch>
                  </pic:blipFill>
                  <pic:spPr>
                    <a:xfrm>
                      <a:off x="0" y="0"/>
                      <a:ext cx="1890309" cy="965549"/>
                    </a:xfrm>
                    <a:prstGeom prst="rect">
                      <a:avLst/>
                    </a:prstGeom>
                  </pic:spPr>
                </pic:pic>
              </a:graphicData>
            </a:graphic>
          </wp:anchor>
        </w:drawing>
      </w:r>
      <w:r>
        <w:rPr>
          <w:rFonts w:ascii="Arial MT"/>
          <w:spacing w:val="-5"/>
          <w:w w:val="150"/>
          <w:sz w:val="8"/>
        </w:rPr>
        <w:t>20</w:t>
      </w:r>
    </w:p>
    <w:p>
      <w:pPr>
        <w:pStyle w:val="BodyText"/>
        <w:rPr>
          <w:rFonts w:ascii="Arial MT"/>
          <w:sz w:val="8"/>
        </w:rPr>
      </w:pPr>
    </w:p>
    <w:p>
      <w:pPr>
        <w:pStyle w:val="BodyText"/>
        <w:spacing w:before="19"/>
        <w:rPr>
          <w:rFonts w:ascii="Arial MT"/>
          <w:sz w:val="8"/>
        </w:rPr>
      </w:pPr>
    </w:p>
    <w:p>
      <w:pPr>
        <w:spacing w:before="0"/>
        <w:ind w:left="461" w:right="0" w:firstLine="0"/>
        <w:jc w:val="left"/>
        <w:rPr>
          <w:rFonts w:ascii="Arial MT"/>
          <w:sz w:val="8"/>
        </w:rPr>
      </w:pPr>
      <w:r>
        <w:rPr>
          <w:rFonts w:ascii="Arial MT"/>
          <w:spacing w:val="-5"/>
          <w:w w:val="150"/>
          <w:sz w:val="8"/>
        </w:rPr>
        <w:t>16</w:t>
      </w:r>
    </w:p>
    <w:p>
      <w:pPr>
        <w:pStyle w:val="BodyText"/>
        <w:rPr>
          <w:rFonts w:ascii="Arial MT"/>
          <w:sz w:val="8"/>
        </w:rPr>
      </w:pPr>
    </w:p>
    <w:p>
      <w:pPr>
        <w:pStyle w:val="BodyText"/>
        <w:spacing w:before="21"/>
        <w:rPr>
          <w:rFonts w:ascii="Arial MT"/>
          <w:sz w:val="8"/>
        </w:rPr>
      </w:pPr>
    </w:p>
    <w:p>
      <w:pPr>
        <w:spacing w:before="0"/>
        <w:ind w:left="461" w:right="0" w:firstLine="0"/>
        <w:jc w:val="left"/>
        <w:rPr>
          <w:rFonts w:ascii="Arial MT"/>
          <w:sz w:val="8"/>
        </w:rPr>
      </w:pPr>
      <w:r>
        <w:rPr>
          <w:rFonts w:ascii="Arial MT"/>
          <w:spacing w:val="-5"/>
          <w:w w:val="150"/>
          <w:sz w:val="8"/>
        </w:rPr>
        <w:t>12</w:t>
      </w:r>
    </w:p>
    <w:p>
      <w:pPr>
        <w:pStyle w:val="BodyText"/>
        <w:rPr>
          <w:rFonts w:ascii="Arial MT"/>
          <w:sz w:val="8"/>
        </w:rPr>
      </w:pPr>
    </w:p>
    <w:p>
      <w:pPr>
        <w:pStyle w:val="BodyText"/>
        <w:spacing w:before="19"/>
        <w:rPr>
          <w:rFonts w:ascii="Arial MT"/>
          <w:sz w:val="8"/>
        </w:rPr>
      </w:pPr>
    </w:p>
    <w:p>
      <w:pPr>
        <w:spacing w:before="0"/>
        <w:ind w:left="531" w:right="0" w:firstLine="0"/>
        <w:jc w:val="left"/>
        <w:rPr>
          <w:rFonts w:ascii="Arial MT"/>
          <w:sz w:val="8"/>
        </w:rPr>
      </w:pPr>
      <w:r>
        <w:rPr>
          <w:rFonts w:ascii="Arial MT"/>
          <w:spacing w:val="-10"/>
          <w:w w:val="150"/>
          <w:sz w:val="8"/>
        </w:rPr>
        <w:t>8</w:t>
      </w:r>
    </w:p>
    <w:p>
      <w:pPr>
        <w:pStyle w:val="BodyText"/>
        <w:rPr>
          <w:rFonts w:ascii="Arial MT"/>
          <w:sz w:val="8"/>
        </w:rPr>
      </w:pPr>
    </w:p>
    <w:p>
      <w:pPr>
        <w:pStyle w:val="BodyText"/>
        <w:spacing w:before="21"/>
        <w:rPr>
          <w:rFonts w:ascii="Arial MT"/>
          <w:sz w:val="8"/>
        </w:rPr>
      </w:pPr>
    </w:p>
    <w:p>
      <w:pPr>
        <w:spacing w:before="1"/>
        <w:ind w:left="531" w:right="0" w:firstLine="0"/>
        <w:jc w:val="left"/>
        <w:rPr>
          <w:rFonts w:ascii="Arial MT"/>
          <w:sz w:val="8"/>
        </w:rPr>
      </w:pPr>
      <w:r>
        <w:rPr>
          <w:rFonts w:ascii="Arial MT"/>
          <w:spacing w:val="-10"/>
          <w:w w:val="150"/>
          <w:sz w:val="8"/>
        </w:rPr>
        <w:t>4</w:t>
      </w:r>
    </w:p>
    <w:p>
      <w:pPr>
        <w:tabs>
          <w:tab w:pos="958" w:val="left" w:leader="none"/>
          <w:tab w:pos="1315" w:val="left" w:leader="none"/>
          <w:tab w:pos="1673" w:val="left" w:leader="none"/>
          <w:tab w:pos="2030" w:val="left" w:leader="none"/>
          <w:tab w:pos="2388" w:val="left" w:leader="none"/>
          <w:tab w:pos="2741" w:val="left" w:leader="none"/>
          <w:tab w:pos="3098" w:val="left" w:leader="none"/>
          <w:tab w:pos="3456" w:val="left" w:leader="none"/>
        </w:tabs>
        <w:spacing w:before="5"/>
        <w:ind w:left="605" w:right="0" w:firstLine="0"/>
        <w:jc w:val="left"/>
        <w:rPr>
          <w:rFonts w:ascii="Arial MT"/>
          <w:sz w:val="8"/>
        </w:rPr>
      </w:pPr>
      <w:r>
        <w:rPr>
          <w:rFonts w:ascii="Arial MT"/>
          <w:spacing w:val="-5"/>
          <w:w w:val="150"/>
          <w:sz w:val="8"/>
        </w:rPr>
        <w:t>70</w:t>
      </w:r>
      <w:r>
        <w:rPr>
          <w:rFonts w:ascii="Arial MT"/>
          <w:sz w:val="8"/>
        </w:rPr>
        <w:tab/>
      </w:r>
      <w:r>
        <w:rPr>
          <w:rFonts w:ascii="Arial MT"/>
          <w:spacing w:val="-5"/>
          <w:w w:val="150"/>
          <w:sz w:val="8"/>
        </w:rPr>
        <w:t>75</w:t>
      </w:r>
      <w:r>
        <w:rPr>
          <w:rFonts w:ascii="Arial MT"/>
          <w:sz w:val="8"/>
        </w:rPr>
        <w:tab/>
      </w:r>
      <w:r>
        <w:rPr>
          <w:rFonts w:ascii="Arial MT"/>
          <w:spacing w:val="-5"/>
          <w:w w:val="150"/>
          <w:sz w:val="8"/>
        </w:rPr>
        <w:t>80</w:t>
      </w:r>
      <w:r>
        <w:rPr>
          <w:rFonts w:ascii="Arial MT"/>
          <w:sz w:val="8"/>
        </w:rPr>
        <w:tab/>
      </w:r>
      <w:r>
        <w:rPr>
          <w:rFonts w:ascii="Arial MT"/>
          <w:spacing w:val="-5"/>
          <w:w w:val="150"/>
          <w:sz w:val="8"/>
        </w:rPr>
        <w:t>85</w:t>
      </w:r>
      <w:r>
        <w:rPr>
          <w:rFonts w:ascii="Arial MT"/>
          <w:sz w:val="8"/>
        </w:rPr>
        <w:tab/>
      </w:r>
      <w:r>
        <w:rPr>
          <w:rFonts w:ascii="Arial MT"/>
          <w:spacing w:val="-5"/>
          <w:w w:val="150"/>
          <w:sz w:val="8"/>
        </w:rPr>
        <w:t>90</w:t>
      </w:r>
      <w:r>
        <w:rPr>
          <w:rFonts w:ascii="Arial MT"/>
          <w:sz w:val="8"/>
        </w:rPr>
        <w:tab/>
      </w:r>
      <w:r>
        <w:rPr>
          <w:rFonts w:ascii="Arial MT"/>
          <w:spacing w:val="-5"/>
          <w:w w:val="150"/>
          <w:sz w:val="8"/>
        </w:rPr>
        <w:t>95</w:t>
      </w:r>
      <w:r>
        <w:rPr>
          <w:rFonts w:ascii="Arial MT"/>
          <w:sz w:val="8"/>
        </w:rPr>
        <w:tab/>
      </w:r>
      <w:r>
        <w:rPr>
          <w:rFonts w:ascii="Arial MT"/>
          <w:spacing w:val="-5"/>
          <w:w w:val="150"/>
          <w:sz w:val="8"/>
        </w:rPr>
        <w:t>00</w:t>
      </w:r>
      <w:r>
        <w:rPr>
          <w:rFonts w:ascii="Arial MT"/>
          <w:sz w:val="8"/>
        </w:rPr>
        <w:tab/>
      </w:r>
      <w:r>
        <w:rPr>
          <w:rFonts w:ascii="Arial MT"/>
          <w:spacing w:val="-5"/>
          <w:w w:val="150"/>
          <w:sz w:val="8"/>
        </w:rPr>
        <w:t>05</w:t>
      </w:r>
      <w:r>
        <w:rPr>
          <w:rFonts w:ascii="Arial MT"/>
          <w:sz w:val="8"/>
        </w:rPr>
        <w:tab/>
      </w:r>
      <w:r>
        <w:rPr>
          <w:rFonts w:ascii="Arial MT"/>
          <w:spacing w:val="-5"/>
          <w:w w:val="150"/>
          <w:sz w:val="8"/>
        </w:rPr>
        <w:t>10</w:t>
      </w:r>
    </w:p>
    <w:p>
      <w:pPr>
        <w:spacing w:after="0"/>
        <w:jc w:val="left"/>
        <w:rPr>
          <w:rFonts w:ascii="Arial MT"/>
          <w:sz w:val="8"/>
        </w:rPr>
        <w:sectPr>
          <w:type w:val="continuous"/>
          <w:pgSz w:w="11910" w:h="16840"/>
          <w:pgMar w:header="0" w:footer="979" w:top="1340" w:bottom="1220" w:left="280" w:right="0"/>
          <w:cols w:num="2" w:equalWidth="0">
            <w:col w:w="4720" w:space="40"/>
            <w:col w:w="6870"/>
          </w:cols>
        </w:sectPr>
      </w:pPr>
    </w:p>
    <w:p>
      <w:pPr>
        <w:pStyle w:val="BodyText"/>
        <w:spacing w:before="3"/>
        <w:rPr>
          <w:rFonts w:ascii="Arial MT"/>
          <w:sz w:val="4"/>
        </w:rPr>
      </w:pPr>
    </w:p>
    <w:p>
      <w:pPr>
        <w:tabs>
          <w:tab w:pos="6329" w:val="left" w:leader="none"/>
        </w:tabs>
        <w:spacing w:line="172" w:lineRule="exact"/>
        <w:ind w:left="2684" w:right="0" w:firstLine="0"/>
        <w:rPr>
          <w:rFonts w:ascii="Arial MT"/>
          <w:sz w:val="14"/>
        </w:rPr>
      </w:pPr>
      <w:r>
        <w:rPr>
          <w:rFonts w:ascii="Arial MT"/>
          <w:position w:val="0"/>
          <w:sz w:val="15"/>
        </w:rPr>
        <mc:AlternateContent>
          <mc:Choice Requires="wps">
            <w:drawing>
              <wp:inline distT="0" distB="0" distL="0" distR="0">
                <wp:extent cx="720090" cy="96520"/>
                <wp:effectExtent l="0" t="0" r="0" b="8255"/>
                <wp:docPr id="76" name="Group 76"/>
                <wp:cNvGraphicFramePr>
                  <a:graphicFrameLocks/>
                </wp:cNvGraphicFramePr>
                <a:graphic>
                  <a:graphicData uri="http://schemas.microsoft.com/office/word/2010/wordprocessingGroup">
                    <wpg:wgp>
                      <wpg:cNvPr id="76" name="Group 76"/>
                      <wpg:cNvGrpSpPr/>
                      <wpg:grpSpPr>
                        <a:xfrm>
                          <a:off x="0" y="0"/>
                          <a:ext cx="720090" cy="96520"/>
                          <a:chExt cx="720090" cy="96520"/>
                        </a:xfrm>
                      </wpg:grpSpPr>
                      <pic:pic>
                        <pic:nvPicPr>
                          <pic:cNvPr id="77" name="Image 77"/>
                          <pic:cNvPicPr/>
                        </pic:nvPicPr>
                        <pic:blipFill>
                          <a:blip r:embed="rId24" cstate="print"/>
                          <a:stretch>
                            <a:fillRect/>
                          </a:stretch>
                        </pic:blipFill>
                        <pic:spPr>
                          <a:xfrm>
                            <a:off x="0" y="0"/>
                            <a:ext cx="719775" cy="96477"/>
                          </a:xfrm>
                          <a:prstGeom prst="rect">
                            <a:avLst/>
                          </a:prstGeom>
                        </pic:spPr>
                      </pic:pic>
                      <wps:wsp>
                        <wps:cNvPr id="78" name="Textbox 78"/>
                        <wps:cNvSpPr txBox="1"/>
                        <wps:spPr>
                          <a:xfrm>
                            <a:off x="198280" y="19436"/>
                            <a:ext cx="113030" cy="62865"/>
                          </a:xfrm>
                          <a:prstGeom prst="rect">
                            <a:avLst/>
                          </a:prstGeom>
                        </wps:spPr>
                        <wps:txbx>
                          <w:txbxContent>
                            <w:p>
                              <w:pPr>
                                <w:spacing w:line="99" w:lineRule="exact" w:before="0"/>
                                <w:ind w:left="0" w:right="0" w:firstLine="0"/>
                                <w:jc w:val="left"/>
                                <w:rPr>
                                  <w:rFonts w:ascii="Arial MT"/>
                                  <w:sz w:val="9"/>
                                </w:rPr>
                              </w:pPr>
                              <w:r>
                                <w:rPr>
                                  <w:rFonts w:ascii="Arial MT"/>
                                  <w:spacing w:val="-5"/>
                                  <w:w w:val="135"/>
                                  <w:sz w:val="9"/>
                                </w:rPr>
                                <w:t>KF</w:t>
                              </w:r>
                            </w:p>
                          </w:txbxContent>
                        </wps:txbx>
                        <wps:bodyPr wrap="square" lIns="0" tIns="0" rIns="0" bIns="0" rtlCol="0">
                          <a:noAutofit/>
                        </wps:bodyPr>
                      </wps:wsp>
                      <wps:wsp>
                        <wps:cNvPr id="79" name="Textbox 79"/>
                        <wps:cNvSpPr txBox="1"/>
                        <wps:spPr>
                          <a:xfrm>
                            <a:off x="521605" y="19436"/>
                            <a:ext cx="180975" cy="62865"/>
                          </a:xfrm>
                          <a:prstGeom prst="rect">
                            <a:avLst/>
                          </a:prstGeom>
                        </wps:spPr>
                        <wps:txbx>
                          <w:txbxContent>
                            <w:p>
                              <w:pPr>
                                <w:spacing w:line="99" w:lineRule="exact" w:before="0"/>
                                <w:ind w:left="0" w:right="0" w:firstLine="0"/>
                                <w:jc w:val="left"/>
                                <w:rPr>
                                  <w:rFonts w:ascii="Arial MT"/>
                                  <w:sz w:val="9"/>
                                </w:rPr>
                              </w:pPr>
                              <w:r>
                                <w:rPr>
                                  <w:rFonts w:ascii="Arial MT"/>
                                  <w:spacing w:val="-5"/>
                                  <w:w w:val="135"/>
                                  <w:sz w:val="9"/>
                                </w:rPr>
                                <w:t>DOP</w:t>
                              </w:r>
                            </w:p>
                          </w:txbxContent>
                        </wps:txbx>
                        <wps:bodyPr wrap="square" lIns="0" tIns="0" rIns="0" bIns="0" rtlCol="0">
                          <a:noAutofit/>
                        </wps:bodyPr>
                      </wps:wsp>
                    </wpg:wgp>
                  </a:graphicData>
                </a:graphic>
              </wp:inline>
            </w:drawing>
          </mc:Choice>
          <mc:Fallback>
            <w:pict>
              <v:group style="width:56.7pt;height:7.6pt;mso-position-horizontal-relative:char;mso-position-vertical-relative:line" id="docshapegroup66" coordorigin="0,0" coordsize="1134,152">
                <v:shape style="position:absolute;left:0;top:0;width:1134;height:152" type="#_x0000_t75" id="docshape67" stroked="false">
                  <v:imagedata r:id="rId24" o:title=""/>
                </v:shape>
                <v:shape style="position:absolute;left:312;top:30;width:178;height:99" type="#_x0000_t202" id="docshape68" filled="false" stroked="false">
                  <v:textbox inset="0,0,0,0">
                    <w:txbxContent>
                      <w:p>
                        <w:pPr>
                          <w:spacing w:line="99" w:lineRule="exact" w:before="0"/>
                          <w:ind w:left="0" w:right="0" w:firstLine="0"/>
                          <w:jc w:val="left"/>
                          <w:rPr>
                            <w:rFonts w:ascii="Arial MT"/>
                            <w:sz w:val="9"/>
                          </w:rPr>
                        </w:pPr>
                        <w:r>
                          <w:rPr>
                            <w:rFonts w:ascii="Arial MT"/>
                            <w:spacing w:val="-5"/>
                            <w:w w:val="135"/>
                            <w:sz w:val="9"/>
                          </w:rPr>
                          <w:t>KF</w:t>
                        </w:r>
                      </w:p>
                    </w:txbxContent>
                  </v:textbox>
                  <w10:wrap type="none"/>
                </v:shape>
                <v:shape style="position:absolute;left:821;top:30;width:285;height:99" type="#_x0000_t202" id="docshape69" filled="false" stroked="false">
                  <v:textbox inset="0,0,0,0">
                    <w:txbxContent>
                      <w:p>
                        <w:pPr>
                          <w:spacing w:line="99" w:lineRule="exact" w:before="0"/>
                          <w:ind w:left="0" w:right="0" w:firstLine="0"/>
                          <w:jc w:val="left"/>
                          <w:rPr>
                            <w:rFonts w:ascii="Arial MT"/>
                            <w:sz w:val="9"/>
                          </w:rPr>
                        </w:pPr>
                        <w:r>
                          <w:rPr>
                            <w:rFonts w:ascii="Arial MT"/>
                            <w:spacing w:val="-5"/>
                            <w:w w:val="135"/>
                            <w:sz w:val="9"/>
                          </w:rPr>
                          <w:t>DOP</w:t>
                        </w:r>
                      </w:p>
                    </w:txbxContent>
                  </v:textbox>
                  <w10:wrap type="none"/>
                </v:shape>
              </v:group>
            </w:pict>
          </mc:Fallback>
        </mc:AlternateContent>
      </w:r>
      <w:r>
        <w:rPr>
          <w:rFonts w:ascii="Arial MT"/>
          <w:position w:val="0"/>
          <w:sz w:val="15"/>
        </w:rPr>
      </w:r>
      <w:r>
        <w:rPr>
          <w:rFonts w:ascii="Arial MT"/>
          <w:position w:val="0"/>
          <w:sz w:val="15"/>
        </w:rPr>
        <w:tab/>
      </w:r>
      <w:r>
        <w:rPr>
          <w:rFonts w:ascii="Arial MT"/>
          <w:position w:val="-2"/>
          <w:sz w:val="14"/>
        </w:rPr>
        <mc:AlternateContent>
          <mc:Choice Requires="wps">
            <w:drawing>
              <wp:inline distT="0" distB="0" distL="0" distR="0">
                <wp:extent cx="715645" cy="90170"/>
                <wp:effectExtent l="0" t="0" r="0" b="5080"/>
                <wp:docPr id="80" name="Group 80"/>
                <wp:cNvGraphicFramePr>
                  <a:graphicFrameLocks/>
                </wp:cNvGraphicFramePr>
                <a:graphic>
                  <a:graphicData uri="http://schemas.microsoft.com/office/word/2010/wordprocessingGroup">
                    <wpg:wgp>
                      <wpg:cNvPr id="80" name="Group 80"/>
                      <wpg:cNvGrpSpPr/>
                      <wpg:grpSpPr>
                        <a:xfrm>
                          <a:off x="0" y="0"/>
                          <a:ext cx="715645" cy="90170"/>
                          <a:chExt cx="715645" cy="90170"/>
                        </a:xfrm>
                      </wpg:grpSpPr>
                      <pic:pic>
                        <pic:nvPicPr>
                          <pic:cNvPr id="81" name="Image 81"/>
                          <pic:cNvPicPr/>
                        </pic:nvPicPr>
                        <pic:blipFill>
                          <a:blip r:embed="rId25" cstate="print"/>
                          <a:stretch>
                            <a:fillRect/>
                          </a:stretch>
                        </pic:blipFill>
                        <pic:spPr>
                          <a:xfrm>
                            <a:off x="0" y="0"/>
                            <a:ext cx="715276" cy="89856"/>
                          </a:xfrm>
                          <a:prstGeom prst="rect">
                            <a:avLst/>
                          </a:prstGeom>
                        </pic:spPr>
                      </pic:pic>
                      <wps:wsp>
                        <wps:cNvPr id="82" name="Textbox 82"/>
                        <wps:cNvSpPr txBox="1"/>
                        <wps:spPr>
                          <a:xfrm>
                            <a:off x="198475" y="18106"/>
                            <a:ext cx="113030" cy="59055"/>
                          </a:xfrm>
                          <a:prstGeom prst="rect">
                            <a:avLst/>
                          </a:prstGeom>
                        </wps:spPr>
                        <wps:txbx>
                          <w:txbxContent>
                            <w:p>
                              <w:pPr>
                                <w:spacing w:line="92" w:lineRule="exact" w:before="0"/>
                                <w:ind w:left="0" w:right="0" w:firstLine="0"/>
                                <w:jc w:val="left"/>
                                <w:rPr>
                                  <w:rFonts w:ascii="Arial MT"/>
                                  <w:sz w:val="8"/>
                                </w:rPr>
                              </w:pPr>
                              <w:r>
                                <w:rPr>
                                  <w:rFonts w:ascii="Arial MT"/>
                                  <w:spacing w:val="-5"/>
                                  <w:w w:val="150"/>
                                  <w:sz w:val="8"/>
                                </w:rPr>
                                <w:t>KF</w:t>
                              </w:r>
                            </w:p>
                          </w:txbxContent>
                        </wps:txbx>
                        <wps:bodyPr wrap="square" lIns="0" tIns="0" rIns="0" bIns="0" rtlCol="0">
                          <a:noAutofit/>
                        </wps:bodyPr>
                      </wps:wsp>
                      <wps:wsp>
                        <wps:cNvPr id="83" name="Textbox 83"/>
                        <wps:cNvSpPr txBox="1"/>
                        <wps:spPr>
                          <a:xfrm>
                            <a:off x="522385" y="18106"/>
                            <a:ext cx="176530" cy="59055"/>
                          </a:xfrm>
                          <a:prstGeom prst="rect">
                            <a:avLst/>
                          </a:prstGeom>
                        </wps:spPr>
                        <wps:txbx>
                          <w:txbxContent>
                            <w:p>
                              <w:pPr>
                                <w:spacing w:line="92" w:lineRule="exact" w:before="0"/>
                                <w:ind w:left="0" w:right="0" w:firstLine="0"/>
                                <w:jc w:val="left"/>
                                <w:rPr>
                                  <w:rFonts w:ascii="Arial MT"/>
                                  <w:sz w:val="8"/>
                                </w:rPr>
                              </w:pPr>
                              <w:r>
                                <w:rPr>
                                  <w:rFonts w:ascii="Arial MT"/>
                                  <w:spacing w:val="-5"/>
                                  <w:w w:val="150"/>
                                  <w:sz w:val="8"/>
                                </w:rPr>
                                <w:t>GCF</w:t>
                              </w:r>
                            </w:p>
                          </w:txbxContent>
                        </wps:txbx>
                        <wps:bodyPr wrap="square" lIns="0" tIns="0" rIns="0" bIns="0" rtlCol="0">
                          <a:noAutofit/>
                        </wps:bodyPr>
                      </wps:wsp>
                    </wpg:wgp>
                  </a:graphicData>
                </a:graphic>
              </wp:inline>
            </w:drawing>
          </mc:Choice>
          <mc:Fallback>
            <w:pict>
              <v:group style="width:56.35pt;height:7.1pt;mso-position-horizontal-relative:char;mso-position-vertical-relative:line" id="docshapegroup70" coordorigin="0,0" coordsize="1127,142">
                <v:shape style="position:absolute;left:0;top:0;width:1127;height:142" type="#_x0000_t75" id="docshape71" stroked="false">
                  <v:imagedata r:id="rId25" o:title=""/>
                </v:shape>
                <v:shape style="position:absolute;left:312;top:28;width:178;height:93" type="#_x0000_t202" id="docshape72" filled="false" stroked="false">
                  <v:textbox inset="0,0,0,0">
                    <w:txbxContent>
                      <w:p>
                        <w:pPr>
                          <w:spacing w:line="92" w:lineRule="exact" w:before="0"/>
                          <w:ind w:left="0" w:right="0" w:firstLine="0"/>
                          <w:jc w:val="left"/>
                          <w:rPr>
                            <w:rFonts w:ascii="Arial MT"/>
                            <w:sz w:val="8"/>
                          </w:rPr>
                        </w:pPr>
                        <w:r>
                          <w:rPr>
                            <w:rFonts w:ascii="Arial MT"/>
                            <w:spacing w:val="-5"/>
                            <w:w w:val="150"/>
                            <w:sz w:val="8"/>
                          </w:rPr>
                          <w:t>KF</w:t>
                        </w:r>
                      </w:p>
                    </w:txbxContent>
                  </v:textbox>
                  <w10:wrap type="none"/>
                </v:shape>
                <v:shape style="position:absolute;left:822;top:28;width:278;height:93" type="#_x0000_t202" id="docshape73" filled="false" stroked="false">
                  <v:textbox inset="0,0,0,0">
                    <w:txbxContent>
                      <w:p>
                        <w:pPr>
                          <w:spacing w:line="92" w:lineRule="exact" w:before="0"/>
                          <w:ind w:left="0" w:right="0" w:firstLine="0"/>
                          <w:jc w:val="left"/>
                          <w:rPr>
                            <w:rFonts w:ascii="Arial MT"/>
                            <w:sz w:val="8"/>
                          </w:rPr>
                        </w:pPr>
                        <w:r>
                          <w:rPr>
                            <w:rFonts w:ascii="Arial MT"/>
                            <w:spacing w:val="-5"/>
                            <w:w w:val="150"/>
                            <w:sz w:val="8"/>
                          </w:rPr>
                          <w:t>GCF</w:t>
                        </w:r>
                      </w:p>
                    </w:txbxContent>
                  </v:textbox>
                  <w10:wrap type="none"/>
                </v:shape>
              </v:group>
            </w:pict>
          </mc:Fallback>
        </mc:AlternateContent>
      </w:r>
      <w:r>
        <w:rPr>
          <w:rFonts w:ascii="Arial MT"/>
          <w:position w:val="-2"/>
          <w:sz w:val="14"/>
        </w:rPr>
      </w:r>
    </w:p>
    <w:p>
      <w:pPr>
        <w:pStyle w:val="BodyText"/>
        <w:spacing w:before="116"/>
        <w:rPr>
          <w:rFonts w:ascii="Arial MT"/>
        </w:rPr>
      </w:pPr>
    </w:p>
    <w:p>
      <w:pPr>
        <w:pStyle w:val="Heading6"/>
        <w:tabs>
          <w:tab w:pos="4079" w:val="left" w:leader="none"/>
        </w:tabs>
        <w:ind w:left="1851"/>
        <w:jc w:val="left"/>
      </w:pPr>
      <w:r>
        <w:rPr/>
        <w:t>KF</w:t>
      </w:r>
      <w:r>
        <w:rPr>
          <w:spacing w:val="-3"/>
        </w:rPr>
        <w:t> </w:t>
      </w:r>
      <w:r>
        <w:rPr/>
        <w:t>AND</w:t>
      </w:r>
      <w:r>
        <w:rPr>
          <w:spacing w:val="1"/>
        </w:rPr>
        <w:t> </w:t>
      </w:r>
      <w:r>
        <w:rPr>
          <w:spacing w:val="-5"/>
        </w:rPr>
        <w:t>INF</w:t>
      </w:r>
      <w:r>
        <w:rPr/>
        <w:tab/>
        <w:t>KF</w:t>
      </w:r>
      <w:r>
        <w:rPr>
          <w:spacing w:val="-5"/>
        </w:rPr>
        <w:t> </w:t>
      </w:r>
      <w:r>
        <w:rPr/>
        <w:t>AND </w:t>
      </w:r>
      <w:r>
        <w:rPr>
          <w:spacing w:val="-2"/>
        </w:rPr>
        <w:t>δEXDEBT</w:t>
      </w:r>
    </w:p>
    <w:p>
      <w:pPr>
        <w:tabs>
          <w:tab w:pos="4421" w:val="left" w:leader="none"/>
        </w:tabs>
        <w:spacing w:before="99"/>
        <w:ind w:left="1547" w:right="0" w:firstLine="0"/>
        <w:jc w:val="left"/>
        <w:rPr>
          <w:rFonts w:ascii="Arial MT"/>
          <w:sz w:val="8"/>
        </w:rPr>
      </w:pPr>
      <w:r>
        <w:rPr/>
        <w:drawing>
          <wp:anchor distT="0" distB="0" distL="0" distR="0" allowOverlap="1" layoutInCell="1" locked="0" behindDoc="1" simplePos="0" relativeHeight="464166400">
            <wp:simplePos x="0" y="0"/>
            <wp:positionH relativeFrom="page">
              <wp:posOffset>1241524</wp:posOffset>
            </wp:positionH>
            <wp:positionV relativeFrom="paragraph">
              <wp:posOffset>98590</wp:posOffset>
            </wp:positionV>
            <wp:extent cx="1456683" cy="945985"/>
            <wp:effectExtent l="0" t="0" r="0" b="0"/>
            <wp:wrapNone/>
            <wp:docPr id="84" name="Image 84"/>
            <wp:cNvGraphicFramePr>
              <a:graphicFrameLocks/>
            </wp:cNvGraphicFramePr>
            <a:graphic>
              <a:graphicData uri="http://schemas.openxmlformats.org/drawingml/2006/picture">
                <pic:pic>
                  <pic:nvPicPr>
                    <pic:cNvPr id="84" name="Image 84"/>
                    <pic:cNvPicPr/>
                  </pic:nvPicPr>
                  <pic:blipFill>
                    <a:blip r:embed="rId26" cstate="print"/>
                    <a:stretch>
                      <a:fillRect/>
                    </a:stretch>
                  </pic:blipFill>
                  <pic:spPr>
                    <a:xfrm>
                      <a:off x="0" y="0"/>
                      <a:ext cx="1456683" cy="945985"/>
                    </a:xfrm>
                    <a:prstGeom prst="rect">
                      <a:avLst/>
                    </a:prstGeom>
                  </pic:spPr>
                </pic:pic>
              </a:graphicData>
            </a:graphic>
          </wp:anchor>
        </w:drawing>
      </w:r>
      <w:r>
        <w:rPr/>
        <w:drawing>
          <wp:anchor distT="0" distB="0" distL="0" distR="0" allowOverlap="1" layoutInCell="1" locked="0" behindDoc="0" simplePos="0" relativeHeight="15744000">
            <wp:simplePos x="0" y="0"/>
            <wp:positionH relativeFrom="page">
              <wp:posOffset>3102967</wp:posOffset>
            </wp:positionH>
            <wp:positionV relativeFrom="paragraph">
              <wp:posOffset>108302</wp:posOffset>
            </wp:positionV>
            <wp:extent cx="2112163" cy="938703"/>
            <wp:effectExtent l="0" t="0" r="0" b="0"/>
            <wp:wrapNone/>
            <wp:docPr id="85" name="Image 85"/>
            <wp:cNvGraphicFramePr>
              <a:graphicFrameLocks/>
            </wp:cNvGraphicFramePr>
            <a:graphic>
              <a:graphicData uri="http://schemas.openxmlformats.org/drawingml/2006/picture">
                <pic:pic>
                  <pic:nvPicPr>
                    <pic:cNvPr id="85" name="Image 85"/>
                    <pic:cNvPicPr/>
                  </pic:nvPicPr>
                  <pic:blipFill>
                    <a:blip r:embed="rId27" cstate="print"/>
                    <a:stretch>
                      <a:fillRect/>
                    </a:stretch>
                  </pic:blipFill>
                  <pic:spPr>
                    <a:xfrm>
                      <a:off x="0" y="0"/>
                      <a:ext cx="2112163" cy="938703"/>
                    </a:xfrm>
                    <a:prstGeom prst="rect">
                      <a:avLst/>
                    </a:prstGeom>
                  </pic:spPr>
                </pic:pic>
              </a:graphicData>
            </a:graphic>
          </wp:anchor>
        </w:drawing>
      </w:r>
      <w:r>
        <w:rPr>
          <w:rFonts w:ascii="Arial MT"/>
          <w:spacing w:val="-5"/>
          <w:w w:val="135"/>
          <w:position w:val="2"/>
          <w:sz w:val="8"/>
        </w:rPr>
        <w:t>24</w:t>
      </w:r>
      <w:r>
        <w:rPr>
          <w:rFonts w:ascii="Arial MT"/>
          <w:position w:val="2"/>
          <w:sz w:val="8"/>
        </w:rPr>
        <w:tab/>
      </w:r>
      <w:r>
        <w:rPr>
          <w:rFonts w:ascii="Arial MT"/>
          <w:spacing w:val="-5"/>
          <w:w w:val="150"/>
          <w:sz w:val="8"/>
        </w:rPr>
        <w:t>24</w:t>
      </w:r>
    </w:p>
    <w:p>
      <w:pPr>
        <w:pStyle w:val="BodyText"/>
        <w:spacing w:before="43"/>
        <w:rPr>
          <w:rFonts w:ascii="Arial MT"/>
          <w:sz w:val="8"/>
        </w:rPr>
      </w:pPr>
    </w:p>
    <w:p>
      <w:pPr>
        <w:tabs>
          <w:tab w:pos="4421" w:val="left" w:leader="none"/>
        </w:tabs>
        <w:spacing w:before="1"/>
        <w:ind w:left="1547" w:right="0" w:firstLine="0"/>
        <w:jc w:val="left"/>
        <w:rPr>
          <w:rFonts w:ascii="Arial MT"/>
          <w:sz w:val="8"/>
        </w:rPr>
      </w:pPr>
      <w:r>
        <w:rPr>
          <w:rFonts w:ascii="Arial MT"/>
          <w:spacing w:val="-5"/>
          <w:w w:val="135"/>
          <w:position w:val="1"/>
          <w:sz w:val="8"/>
        </w:rPr>
        <w:t>20</w:t>
      </w:r>
      <w:r>
        <w:rPr>
          <w:rFonts w:ascii="Arial MT"/>
          <w:position w:val="1"/>
          <w:sz w:val="8"/>
        </w:rPr>
        <w:tab/>
      </w:r>
      <w:r>
        <w:rPr>
          <w:rFonts w:ascii="Arial MT"/>
          <w:spacing w:val="-5"/>
          <w:w w:val="150"/>
          <w:sz w:val="8"/>
        </w:rPr>
        <w:t>20</w:t>
      </w:r>
    </w:p>
    <w:p>
      <w:pPr>
        <w:pStyle w:val="BodyText"/>
        <w:spacing w:before="46"/>
        <w:rPr>
          <w:rFonts w:ascii="Arial MT"/>
          <w:sz w:val="8"/>
        </w:rPr>
      </w:pPr>
    </w:p>
    <w:p>
      <w:pPr>
        <w:tabs>
          <w:tab w:pos="4421" w:val="left" w:leader="none"/>
        </w:tabs>
        <w:spacing w:before="0"/>
        <w:ind w:left="1547" w:right="0" w:firstLine="0"/>
        <w:jc w:val="left"/>
        <w:rPr>
          <w:rFonts w:ascii="Arial MT"/>
          <w:sz w:val="8"/>
        </w:rPr>
      </w:pPr>
      <w:r>
        <w:rPr>
          <w:rFonts w:ascii="Arial MT"/>
          <w:spacing w:val="-5"/>
          <w:w w:val="135"/>
          <w:position w:val="1"/>
          <w:sz w:val="8"/>
        </w:rPr>
        <w:t>16</w:t>
      </w:r>
      <w:r>
        <w:rPr>
          <w:rFonts w:ascii="Arial MT"/>
          <w:position w:val="1"/>
          <w:sz w:val="8"/>
        </w:rPr>
        <w:tab/>
      </w:r>
      <w:r>
        <w:rPr>
          <w:rFonts w:ascii="Arial MT"/>
          <w:spacing w:val="-5"/>
          <w:w w:val="150"/>
          <w:sz w:val="8"/>
        </w:rPr>
        <w:t>16</w:t>
      </w:r>
    </w:p>
    <w:p>
      <w:pPr>
        <w:pStyle w:val="BodyText"/>
        <w:spacing w:before="46"/>
        <w:rPr>
          <w:rFonts w:ascii="Arial MT"/>
          <w:sz w:val="8"/>
        </w:rPr>
      </w:pPr>
    </w:p>
    <w:p>
      <w:pPr>
        <w:tabs>
          <w:tab w:pos="4421" w:val="left" w:leader="none"/>
        </w:tabs>
        <w:spacing w:before="1"/>
        <w:ind w:left="1547" w:right="0" w:firstLine="0"/>
        <w:jc w:val="left"/>
        <w:rPr>
          <w:rFonts w:ascii="Arial MT"/>
          <w:sz w:val="8"/>
        </w:rPr>
      </w:pPr>
      <w:r>
        <w:rPr>
          <w:rFonts w:ascii="Arial MT"/>
          <w:spacing w:val="-5"/>
          <w:w w:val="135"/>
          <w:position w:val="1"/>
          <w:sz w:val="8"/>
        </w:rPr>
        <w:t>12</w:t>
      </w:r>
      <w:r>
        <w:rPr>
          <w:rFonts w:ascii="Arial MT"/>
          <w:position w:val="1"/>
          <w:sz w:val="8"/>
        </w:rPr>
        <w:tab/>
      </w:r>
      <w:r>
        <w:rPr>
          <w:rFonts w:ascii="Arial MT"/>
          <w:spacing w:val="-5"/>
          <w:w w:val="150"/>
          <w:sz w:val="8"/>
        </w:rPr>
        <w:t>12</w:t>
      </w:r>
    </w:p>
    <w:p>
      <w:pPr>
        <w:pStyle w:val="BodyText"/>
        <w:spacing w:before="43"/>
        <w:rPr>
          <w:rFonts w:ascii="Arial MT"/>
          <w:sz w:val="8"/>
        </w:rPr>
      </w:pPr>
    </w:p>
    <w:p>
      <w:pPr>
        <w:tabs>
          <w:tab w:pos="4499" w:val="left" w:leader="none"/>
        </w:tabs>
        <w:spacing w:before="0"/>
        <w:ind w:left="1601" w:right="0" w:firstLine="0"/>
        <w:jc w:val="left"/>
        <w:rPr>
          <w:rFonts w:ascii="Arial MT"/>
          <w:sz w:val="8"/>
        </w:rPr>
      </w:pPr>
      <w:r>
        <w:rPr>
          <w:rFonts w:ascii="Arial MT"/>
          <w:spacing w:val="-10"/>
          <w:w w:val="135"/>
          <w:position w:val="1"/>
          <w:sz w:val="8"/>
        </w:rPr>
        <w:t>8</w:t>
      </w:r>
      <w:r>
        <w:rPr>
          <w:rFonts w:ascii="Arial MT"/>
          <w:position w:val="1"/>
          <w:sz w:val="8"/>
        </w:rPr>
        <w:tab/>
      </w:r>
      <w:r>
        <w:rPr>
          <w:rFonts w:ascii="Arial MT"/>
          <w:spacing w:val="-10"/>
          <w:w w:val="150"/>
          <w:sz w:val="8"/>
        </w:rPr>
        <w:t>8</w:t>
      </w:r>
    </w:p>
    <w:p>
      <w:pPr>
        <w:pStyle w:val="BodyText"/>
        <w:spacing w:before="47"/>
        <w:rPr>
          <w:rFonts w:ascii="Arial MT"/>
          <w:sz w:val="8"/>
        </w:rPr>
      </w:pPr>
    </w:p>
    <w:p>
      <w:pPr>
        <w:tabs>
          <w:tab w:pos="4499" w:val="left" w:leader="none"/>
        </w:tabs>
        <w:spacing w:before="0"/>
        <w:ind w:left="1601" w:right="0" w:firstLine="0"/>
        <w:jc w:val="left"/>
        <w:rPr>
          <w:rFonts w:ascii="Arial MT"/>
          <w:sz w:val="8"/>
        </w:rPr>
      </w:pPr>
      <w:r>
        <w:rPr>
          <w:rFonts w:ascii="Arial MT"/>
          <w:spacing w:val="-10"/>
          <w:w w:val="135"/>
          <w:position w:val="1"/>
          <w:sz w:val="8"/>
        </w:rPr>
        <w:t>4</w:t>
      </w:r>
      <w:r>
        <w:rPr>
          <w:rFonts w:ascii="Arial MT"/>
          <w:position w:val="1"/>
          <w:sz w:val="8"/>
        </w:rPr>
        <w:tab/>
      </w:r>
      <w:r>
        <w:rPr>
          <w:rFonts w:ascii="Arial MT"/>
          <w:spacing w:val="-10"/>
          <w:w w:val="150"/>
          <w:sz w:val="8"/>
        </w:rPr>
        <w:t>4</w:t>
      </w:r>
    </w:p>
    <w:p>
      <w:pPr>
        <w:spacing w:after="0"/>
        <w:jc w:val="left"/>
        <w:rPr>
          <w:rFonts w:ascii="Arial MT"/>
          <w:sz w:val="8"/>
        </w:rPr>
        <w:sectPr>
          <w:type w:val="continuous"/>
          <w:pgSz w:w="11910" w:h="16840"/>
          <w:pgMar w:header="0" w:footer="979" w:top="1340" w:bottom="1220" w:left="280" w:right="0"/>
        </w:sectPr>
      </w:pPr>
    </w:p>
    <w:p>
      <w:pPr>
        <w:pStyle w:val="BodyText"/>
        <w:spacing w:before="52"/>
        <w:rPr>
          <w:rFonts w:ascii="Arial MT"/>
          <w:sz w:val="8"/>
        </w:rPr>
      </w:pPr>
    </w:p>
    <w:p>
      <w:pPr>
        <w:spacing w:before="0"/>
        <w:ind w:left="1601" w:right="0" w:firstLine="0"/>
        <w:jc w:val="left"/>
        <w:rPr>
          <w:rFonts w:ascii="Arial MT"/>
          <w:sz w:val="8"/>
        </w:rPr>
      </w:pPr>
      <w:r>
        <w:rPr>
          <w:rFonts w:ascii="Arial MT"/>
          <w:spacing w:val="-10"/>
          <w:w w:val="115"/>
          <w:sz w:val="8"/>
        </w:rPr>
        <w:t>0</w:t>
      </w:r>
    </w:p>
    <w:p>
      <w:pPr>
        <w:spacing w:before="4"/>
        <w:ind w:left="1658" w:right="0" w:firstLine="0"/>
        <w:jc w:val="left"/>
        <w:rPr>
          <w:rFonts w:ascii="Arial MT"/>
          <w:sz w:val="8"/>
        </w:rPr>
      </w:pPr>
      <w:r>
        <w:rPr>
          <w:rFonts w:ascii="Arial MT"/>
          <w:w w:val="115"/>
          <w:sz w:val="8"/>
        </w:rPr>
        <w:t>70</w:t>
      </w:r>
      <w:r>
        <w:rPr>
          <w:rFonts w:ascii="Arial MT"/>
          <w:spacing w:val="58"/>
          <w:w w:val="115"/>
          <w:sz w:val="8"/>
        </w:rPr>
        <w:t>  </w:t>
      </w:r>
      <w:r>
        <w:rPr>
          <w:rFonts w:ascii="Arial MT"/>
          <w:w w:val="115"/>
          <w:sz w:val="8"/>
        </w:rPr>
        <w:t>75</w:t>
      </w:r>
      <w:r>
        <w:rPr>
          <w:rFonts w:ascii="Arial MT"/>
          <w:spacing w:val="60"/>
          <w:w w:val="115"/>
          <w:sz w:val="8"/>
        </w:rPr>
        <w:t>  </w:t>
      </w:r>
      <w:r>
        <w:rPr>
          <w:rFonts w:ascii="Arial MT"/>
          <w:w w:val="115"/>
          <w:sz w:val="8"/>
        </w:rPr>
        <w:t>80</w:t>
      </w:r>
      <w:r>
        <w:rPr>
          <w:rFonts w:ascii="Arial MT"/>
          <w:spacing w:val="60"/>
          <w:w w:val="115"/>
          <w:sz w:val="8"/>
        </w:rPr>
        <w:t>  </w:t>
      </w:r>
      <w:r>
        <w:rPr>
          <w:rFonts w:ascii="Arial MT"/>
          <w:w w:val="115"/>
          <w:sz w:val="8"/>
        </w:rPr>
        <w:t>85</w:t>
      </w:r>
      <w:r>
        <w:rPr>
          <w:rFonts w:ascii="Arial MT"/>
          <w:spacing w:val="60"/>
          <w:w w:val="115"/>
          <w:sz w:val="8"/>
        </w:rPr>
        <w:t>  </w:t>
      </w:r>
      <w:r>
        <w:rPr>
          <w:rFonts w:ascii="Arial MT"/>
          <w:w w:val="115"/>
          <w:sz w:val="8"/>
        </w:rPr>
        <w:t>90</w:t>
      </w:r>
      <w:r>
        <w:rPr>
          <w:rFonts w:ascii="Arial MT"/>
          <w:spacing w:val="60"/>
          <w:w w:val="115"/>
          <w:sz w:val="8"/>
        </w:rPr>
        <w:t>  </w:t>
      </w:r>
      <w:r>
        <w:rPr>
          <w:rFonts w:ascii="Arial MT"/>
          <w:w w:val="115"/>
          <w:sz w:val="8"/>
        </w:rPr>
        <w:t>95</w:t>
      </w:r>
      <w:r>
        <w:rPr>
          <w:rFonts w:ascii="Arial MT"/>
          <w:spacing w:val="58"/>
          <w:w w:val="115"/>
          <w:sz w:val="8"/>
        </w:rPr>
        <w:t>  </w:t>
      </w:r>
      <w:r>
        <w:rPr>
          <w:rFonts w:ascii="Arial MT"/>
          <w:w w:val="115"/>
          <w:sz w:val="8"/>
        </w:rPr>
        <w:t>00</w:t>
      </w:r>
      <w:r>
        <w:rPr>
          <w:rFonts w:ascii="Arial MT"/>
          <w:spacing w:val="60"/>
          <w:w w:val="115"/>
          <w:sz w:val="8"/>
        </w:rPr>
        <w:t>  </w:t>
      </w:r>
      <w:r>
        <w:rPr>
          <w:rFonts w:ascii="Arial MT"/>
          <w:w w:val="115"/>
          <w:sz w:val="8"/>
        </w:rPr>
        <w:t>05</w:t>
      </w:r>
      <w:r>
        <w:rPr>
          <w:rFonts w:ascii="Arial MT"/>
          <w:spacing w:val="60"/>
          <w:w w:val="115"/>
          <w:sz w:val="8"/>
        </w:rPr>
        <w:t>  </w:t>
      </w:r>
      <w:r>
        <w:rPr>
          <w:rFonts w:ascii="Arial MT"/>
          <w:spacing w:val="-5"/>
          <w:w w:val="115"/>
          <w:sz w:val="8"/>
        </w:rPr>
        <w:t>10</w:t>
      </w:r>
    </w:p>
    <w:p>
      <w:pPr>
        <w:spacing w:line="240" w:lineRule="auto" w:before="56"/>
        <w:rPr>
          <w:rFonts w:ascii="Arial MT"/>
          <w:sz w:val="8"/>
        </w:rPr>
      </w:pPr>
      <w:r>
        <w:rPr/>
        <w:br w:type="column"/>
      </w:r>
      <w:r>
        <w:rPr>
          <w:rFonts w:ascii="Arial MT"/>
          <w:sz w:val="8"/>
        </w:rPr>
      </w:r>
    </w:p>
    <w:p>
      <w:pPr>
        <w:spacing w:before="0"/>
        <w:ind w:left="490" w:right="0" w:firstLine="0"/>
        <w:jc w:val="left"/>
        <w:rPr>
          <w:rFonts w:ascii="Arial MT"/>
          <w:sz w:val="8"/>
        </w:rPr>
      </w:pPr>
      <w:r>
        <w:rPr>
          <w:rFonts w:ascii="Arial MT"/>
          <w:spacing w:val="-10"/>
          <w:w w:val="170"/>
          <w:sz w:val="8"/>
        </w:rPr>
        <w:t>0</w:t>
      </w:r>
    </w:p>
    <w:p>
      <w:pPr>
        <w:tabs>
          <w:tab w:pos="967" w:val="left" w:leader="none"/>
          <w:tab w:pos="1367" w:val="left" w:leader="none"/>
          <w:tab w:pos="1766" w:val="left" w:leader="none"/>
          <w:tab w:pos="2166" w:val="left" w:leader="none"/>
          <w:tab w:pos="2565" w:val="left" w:leader="none"/>
          <w:tab w:pos="2960" w:val="left" w:leader="none"/>
          <w:tab w:pos="3359" w:val="left" w:leader="none"/>
          <w:tab w:pos="3759" w:val="left" w:leader="none"/>
        </w:tabs>
        <w:spacing w:before="3"/>
        <w:ind w:left="573" w:right="0" w:firstLine="0"/>
        <w:jc w:val="left"/>
        <w:rPr>
          <w:rFonts w:ascii="Arial MT"/>
          <w:sz w:val="8"/>
        </w:rPr>
      </w:pPr>
      <w:r>
        <w:rPr>
          <w:rFonts w:ascii="Arial MT"/>
          <w:spacing w:val="-5"/>
          <w:w w:val="170"/>
          <w:sz w:val="8"/>
        </w:rPr>
        <w:t>70</w:t>
      </w:r>
      <w:r>
        <w:rPr>
          <w:rFonts w:ascii="Arial MT"/>
          <w:sz w:val="8"/>
        </w:rPr>
        <w:tab/>
      </w:r>
      <w:r>
        <w:rPr>
          <w:rFonts w:ascii="Arial MT"/>
          <w:spacing w:val="-5"/>
          <w:w w:val="170"/>
          <w:sz w:val="8"/>
        </w:rPr>
        <w:t>75</w:t>
      </w:r>
      <w:r>
        <w:rPr>
          <w:rFonts w:ascii="Arial MT"/>
          <w:sz w:val="8"/>
        </w:rPr>
        <w:tab/>
      </w:r>
      <w:r>
        <w:rPr>
          <w:rFonts w:ascii="Arial MT"/>
          <w:spacing w:val="-5"/>
          <w:w w:val="170"/>
          <w:sz w:val="8"/>
        </w:rPr>
        <w:t>80</w:t>
      </w:r>
      <w:r>
        <w:rPr>
          <w:rFonts w:ascii="Arial MT"/>
          <w:sz w:val="8"/>
        </w:rPr>
        <w:tab/>
      </w:r>
      <w:r>
        <w:rPr>
          <w:rFonts w:ascii="Arial MT"/>
          <w:spacing w:val="-7"/>
          <w:w w:val="170"/>
          <w:sz w:val="8"/>
        </w:rPr>
        <w:t>85</w:t>
      </w:r>
      <w:r>
        <w:rPr>
          <w:rFonts w:ascii="Arial MT"/>
          <w:sz w:val="8"/>
        </w:rPr>
        <w:tab/>
      </w:r>
      <w:r>
        <w:rPr>
          <w:rFonts w:ascii="Arial MT"/>
          <w:spacing w:val="-5"/>
          <w:w w:val="170"/>
          <w:sz w:val="8"/>
        </w:rPr>
        <w:t>90</w:t>
      </w:r>
      <w:r>
        <w:rPr>
          <w:rFonts w:ascii="Arial MT"/>
          <w:sz w:val="8"/>
        </w:rPr>
        <w:tab/>
      </w:r>
      <w:r>
        <w:rPr>
          <w:rFonts w:ascii="Arial MT"/>
          <w:spacing w:val="-5"/>
          <w:w w:val="170"/>
          <w:sz w:val="8"/>
        </w:rPr>
        <w:t>95</w:t>
      </w:r>
      <w:r>
        <w:rPr>
          <w:rFonts w:ascii="Arial MT"/>
          <w:sz w:val="8"/>
        </w:rPr>
        <w:tab/>
      </w:r>
      <w:r>
        <w:rPr>
          <w:rFonts w:ascii="Arial MT"/>
          <w:spacing w:val="-5"/>
          <w:w w:val="170"/>
          <w:sz w:val="8"/>
        </w:rPr>
        <w:t>00</w:t>
      </w:r>
      <w:r>
        <w:rPr>
          <w:rFonts w:ascii="Arial MT"/>
          <w:sz w:val="8"/>
        </w:rPr>
        <w:tab/>
      </w:r>
      <w:r>
        <w:rPr>
          <w:rFonts w:ascii="Arial MT"/>
          <w:spacing w:val="-5"/>
          <w:w w:val="170"/>
          <w:sz w:val="8"/>
        </w:rPr>
        <w:t>05</w:t>
      </w:r>
      <w:r>
        <w:rPr>
          <w:rFonts w:ascii="Arial MT"/>
          <w:sz w:val="8"/>
        </w:rPr>
        <w:tab/>
      </w:r>
      <w:r>
        <w:rPr>
          <w:rFonts w:ascii="Arial MT"/>
          <w:spacing w:val="-5"/>
          <w:w w:val="170"/>
          <w:sz w:val="8"/>
        </w:rPr>
        <w:t>10</w:t>
      </w:r>
    </w:p>
    <w:p>
      <w:pPr>
        <w:spacing w:after="0"/>
        <w:jc w:val="left"/>
        <w:rPr>
          <w:rFonts w:ascii="Arial MT"/>
          <w:sz w:val="8"/>
        </w:rPr>
        <w:sectPr>
          <w:type w:val="continuous"/>
          <w:pgSz w:w="11910" w:h="16840"/>
          <w:pgMar w:header="0" w:footer="979" w:top="1340" w:bottom="1220" w:left="280" w:right="0"/>
          <w:cols w:num="2" w:equalWidth="0">
            <w:col w:w="3970" w:space="40"/>
            <w:col w:w="7620"/>
          </w:cols>
        </w:sectPr>
      </w:pPr>
    </w:p>
    <w:p>
      <w:pPr>
        <w:pStyle w:val="BodyText"/>
        <w:spacing w:before="6"/>
        <w:rPr>
          <w:rFonts w:ascii="Arial MT"/>
          <w:sz w:val="6"/>
        </w:rPr>
      </w:pPr>
    </w:p>
    <w:p>
      <w:pPr>
        <w:tabs>
          <w:tab w:pos="5529" w:val="left" w:leader="none"/>
        </w:tabs>
        <w:spacing w:line="139" w:lineRule="exact"/>
        <w:ind w:left="2424" w:right="0" w:firstLine="0"/>
        <w:rPr>
          <w:rFonts w:ascii="Arial MT"/>
          <w:sz w:val="13"/>
        </w:rPr>
      </w:pPr>
      <w:r>
        <w:rPr>
          <w:rFonts w:ascii="Arial MT"/>
          <w:position w:val="-2"/>
          <w:sz w:val="13"/>
        </w:rPr>
        <mc:AlternateContent>
          <mc:Choice Requires="wps">
            <w:drawing>
              <wp:inline distT="0" distB="0" distL="0" distR="0">
                <wp:extent cx="522605" cy="88265"/>
                <wp:effectExtent l="0" t="0" r="0" b="6984"/>
                <wp:docPr id="86" name="Group 86"/>
                <wp:cNvGraphicFramePr>
                  <a:graphicFrameLocks/>
                </wp:cNvGraphicFramePr>
                <a:graphic>
                  <a:graphicData uri="http://schemas.microsoft.com/office/word/2010/wordprocessingGroup">
                    <wpg:wgp>
                      <wpg:cNvPr id="86" name="Group 86"/>
                      <wpg:cNvGrpSpPr/>
                      <wpg:grpSpPr>
                        <a:xfrm>
                          <a:off x="0" y="0"/>
                          <a:ext cx="522605" cy="88265"/>
                          <a:chExt cx="522605" cy="88265"/>
                        </a:xfrm>
                      </wpg:grpSpPr>
                      <pic:pic>
                        <pic:nvPicPr>
                          <pic:cNvPr id="87" name="Image 87"/>
                          <pic:cNvPicPr/>
                        </pic:nvPicPr>
                        <pic:blipFill>
                          <a:blip r:embed="rId28" cstate="print"/>
                          <a:stretch>
                            <a:fillRect/>
                          </a:stretch>
                        </pic:blipFill>
                        <pic:spPr>
                          <a:xfrm>
                            <a:off x="0" y="0"/>
                            <a:ext cx="522000" cy="88020"/>
                          </a:xfrm>
                          <a:prstGeom prst="rect">
                            <a:avLst/>
                          </a:prstGeom>
                        </pic:spPr>
                      </pic:pic>
                      <wps:wsp>
                        <wps:cNvPr id="88" name="Textbox 88"/>
                        <wps:cNvSpPr txBox="1"/>
                        <wps:spPr>
                          <a:xfrm>
                            <a:off x="0" y="0"/>
                            <a:ext cx="522605" cy="88265"/>
                          </a:xfrm>
                          <a:prstGeom prst="rect">
                            <a:avLst/>
                          </a:prstGeom>
                        </wps:spPr>
                        <wps:txbx>
                          <w:txbxContent>
                            <w:p>
                              <w:pPr>
                                <w:spacing w:before="26"/>
                                <w:ind w:left="43" w:right="0" w:firstLine="0"/>
                                <w:jc w:val="left"/>
                                <w:rPr>
                                  <w:rFonts w:ascii="Arial MT"/>
                                  <w:sz w:val="8"/>
                                </w:rPr>
                              </w:pPr>
                              <w:r>
                                <w:rPr>
                                  <w:rFonts w:ascii="Arial MT"/>
                                  <w:spacing w:val="69"/>
                                  <w:w w:val="115"/>
                                  <w:sz w:val="8"/>
                                  <w:u w:val="single"/>
                                </w:rPr>
                                <w:t>  </w:t>
                              </w:r>
                              <w:r>
                                <w:rPr>
                                  <w:rFonts w:ascii="Arial MT"/>
                                  <w:w w:val="115"/>
                                  <w:sz w:val="8"/>
                                </w:rPr>
                                <w:t>KF</w:t>
                              </w:r>
                              <w:r>
                                <w:rPr>
                                  <w:rFonts w:ascii="Arial MT"/>
                                  <w:spacing w:val="48"/>
                                  <w:w w:val="115"/>
                                  <w:sz w:val="8"/>
                                </w:rPr>
                                <w:t> </w:t>
                              </w:r>
                              <w:r>
                                <w:rPr>
                                  <w:rFonts w:ascii="Arial MT"/>
                                  <w:spacing w:val="66"/>
                                  <w:w w:val="115"/>
                                  <w:sz w:val="8"/>
                                  <w:u w:val="single"/>
                                </w:rPr>
                                <w:t>  </w:t>
                              </w:r>
                              <w:r>
                                <w:rPr>
                                  <w:rFonts w:ascii="Arial MT"/>
                                  <w:spacing w:val="-11"/>
                                  <w:w w:val="115"/>
                                  <w:sz w:val="8"/>
                                </w:rPr>
                                <w:t> </w:t>
                              </w:r>
                              <w:r>
                                <w:rPr>
                                  <w:rFonts w:ascii="Arial MT"/>
                                  <w:spacing w:val="-5"/>
                                  <w:w w:val="115"/>
                                  <w:sz w:val="8"/>
                                </w:rPr>
                                <w:t>INF</w:t>
                              </w:r>
                            </w:p>
                          </w:txbxContent>
                        </wps:txbx>
                        <wps:bodyPr wrap="square" lIns="0" tIns="0" rIns="0" bIns="0" rtlCol="0">
                          <a:noAutofit/>
                        </wps:bodyPr>
                      </wps:wsp>
                    </wpg:wgp>
                  </a:graphicData>
                </a:graphic>
              </wp:inline>
            </w:drawing>
          </mc:Choice>
          <mc:Fallback>
            <w:pict>
              <v:group style="width:41.15pt;height:6.95pt;mso-position-horizontal-relative:char;mso-position-vertical-relative:line" id="docshapegroup74" coordorigin="0,0" coordsize="823,139">
                <v:shape style="position:absolute;left:0;top:0;width:823;height:139" type="#_x0000_t75" id="docshape75" stroked="false">
                  <v:imagedata r:id="rId28" o:title=""/>
                </v:shape>
                <v:shape style="position:absolute;left:0;top:0;width:823;height:139" type="#_x0000_t202" id="docshape76" filled="false" stroked="false">
                  <v:textbox inset="0,0,0,0">
                    <w:txbxContent>
                      <w:p>
                        <w:pPr>
                          <w:spacing w:before="26"/>
                          <w:ind w:left="43" w:right="0" w:firstLine="0"/>
                          <w:jc w:val="left"/>
                          <w:rPr>
                            <w:rFonts w:ascii="Arial MT"/>
                            <w:sz w:val="8"/>
                          </w:rPr>
                        </w:pPr>
                        <w:r>
                          <w:rPr>
                            <w:rFonts w:ascii="Arial MT"/>
                            <w:spacing w:val="69"/>
                            <w:w w:val="115"/>
                            <w:sz w:val="8"/>
                            <w:u w:val="single"/>
                          </w:rPr>
                          <w:t>  </w:t>
                        </w:r>
                        <w:r>
                          <w:rPr>
                            <w:rFonts w:ascii="Arial MT"/>
                            <w:w w:val="115"/>
                            <w:sz w:val="8"/>
                          </w:rPr>
                          <w:t>KF</w:t>
                        </w:r>
                        <w:r>
                          <w:rPr>
                            <w:rFonts w:ascii="Arial MT"/>
                            <w:spacing w:val="48"/>
                            <w:w w:val="115"/>
                            <w:sz w:val="8"/>
                          </w:rPr>
                          <w:t> </w:t>
                        </w:r>
                        <w:r>
                          <w:rPr>
                            <w:rFonts w:ascii="Arial MT"/>
                            <w:spacing w:val="66"/>
                            <w:w w:val="115"/>
                            <w:sz w:val="8"/>
                            <w:u w:val="single"/>
                          </w:rPr>
                          <w:t>  </w:t>
                        </w:r>
                        <w:r>
                          <w:rPr>
                            <w:rFonts w:ascii="Arial MT"/>
                            <w:spacing w:val="-11"/>
                            <w:w w:val="115"/>
                            <w:sz w:val="8"/>
                          </w:rPr>
                          <w:t> </w:t>
                        </w:r>
                        <w:r>
                          <w:rPr>
                            <w:rFonts w:ascii="Arial MT"/>
                            <w:spacing w:val="-5"/>
                            <w:w w:val="115"/>
                            <w:sz w:val="8"/>
                          </w:rPr>
                          <w:t>INF</w:t>
                        </w:r>
                      </w:p>
                    </w:txbxContent>
                  </v:textbox>
                  <w10:wrap type="none"/>
                </v:shape>
              </v:group>
            </w:pict>
          </mc:Fallback>
        </mc:AlternateContent>
      </w:r>
      <w:r>
        <w:rPr>
          <w:rFonts w:ascii="Arial MT"/>
          <w:position w:val="-2"/>
          <w:sz w:val="13"/>
        </w:rPr>
      </w:r>
      <w:r>
        <w:rPr>
          <w:rFonts w:ascii="Arial MT"/>
          <w:position w:val="-2"/>
          <w:sz w:val="13"/>
        </w:rPr>
        <w:tab/>
      </w:r>
      <w:r>
        <w:rPr>
          <w:rFonts w:ascii="Arial MT"/>
          <w:position w:val="-2"/>
          <w:sz w:val="13"/>
        </w:rPr>
        <mc:AlternateContent>
          <mc:Choice Requires="wps">
            <w:drawing>
              <wp:inline distT="0" distB="0" distL="0" distR="0">
                <wp:extent cx="972819" cy="87630"/>
                <wp:effectExtent l="0" t="0" r="0" b="7619"/>
                <wp:docPr id="89" name="Group 89"/>
                <wp:cNvGraphicFramePr>
                  <a:graphicFrameLocks/>
                </wp:cNvGraphicFramePr>
                <a:graphic>
                  <a:graphicData uri="http://schemas.microsoft.com/office/word/2010/wordprocessingGroup">
                    <wpg:wgp>
                      <wpg:cNvPr id="89" name="Group 89"/>
                      <wpg:cNvGrpSpPr/>
                      <wpg:grpSpPr>
                        <a:xfrm>
                          <a:off x="0" y="0"/>
                          <a:ext cx="972819" cy="87630"/>
                          <a:chExt cx="972819" cy="87630"/>
                        </a:xfrm>
                      </wpg:grpSpPr>
                      <pic:pic>
                        <pic:nvPicPr>
                          <pic:cNvPr id="90" name="Image 90"/>
                          <pic:cNvPicPr/>
                        </pic:nvPicPr>
                        <pic:blipFill>
                          <a:blip r:embed="rId29" cstate="print"/>
                          <a:stretch>
                            <a:fillRect/>
                          </a:stretch>
                        </pic:blipFill>
                        <pic:spPr>
                          <a:xfrm>
                            <a:off x="0" y="0"/>
                            <a:ext cx="965831" cy="87344"/>
                          </a:xfrm>
                          <a:prstGeom prst="rect">
                            <a:avLst/>
                          </a:prstGeom>
                        </pic:spPr>
                      </pic:pic>
                      <wps:wsp>
                        <wps:cNvPr id="91" name="Textbox 91"/>
                        <wps:cNvSpPr txBox="1"/>
                        <wps:spPr>
                          <a:xfrm>
                            <a:off x="1843" y="3686"/>
                            <a:ext cx="970915" cy="80010"/>
                          </a:xfrm>
                          <a:prstGeom prst="rect">
                            <a:avLst/>
                          </a:prstGeom>
                        </wps:spPr>
                        <wps:txbx>
                          <w:txbxContent>
                            <w:p>
                              <w:pPr>
                                <w:tabs>
                                  <w:tab w:pos="333" w:val="left" w:leader="none"/>
                                  <w:tab w:pos="893" w:val="left" w:leader="none"/>
                                </w:tabs>
                                <w:spacing w:before="19"/>
                                <w:ind w:left="58" w:right="0" w:firstLine="0"/>
                                <w:jc w:val="left"/>
                                <w:rPr>
                                  <w:rFonts w:ascii="Arial MT"/>
                                  <w:sz w:val="8"/>
                                </w:rPr>
                              </w:pPr>
                              <w:r>
                                <w:rPr>
                                  <w:rFonts w:ascii="Arial MT"/>
                                  <w:sz w:val="8"/>
                                  <w:u w:val="single"/>
                                </w:rPr>
                                <w:tab/>
                              </w:r>
                              <w:r>
                                <w:rPr>
                                  <w:rFonts w:ascii="Arial MT"/>
                                  <w:sz w:val="8"/>
                                </w:rPr>
                                <w:t> </w:t>
                              </w:r>
                              <w:r>
                                <w:rPr>
                                  <w:rFonts w:ascii="Arial MT"/>
                                  <w:w w:val="170"/>
                                  <w:sz w:val="8"/>
                                </w:rPr>
                                <w:t>KF</w:t>
                              </w:r>
                              <w:r>
                                <w:rPr>
                                  <w:rFonts w:ascii="Arial MT"/>
                                  <w:spacing w:val="80"/>
                                  <w:w w:val="170"/>
                                  <w:sz w:val="8"/>
                                </w:rPr>
                                <w:t> </w:t>
                              </w:r>
                              <w:r>
                                <w:rPr>
                                  <w:rFonts w:ascii="Arial MT"/>
                                  <w:sz w:val="8"/>
                                  <w:u w:val="single"/>
                                </w:rPr>
                                <w:tab/>
                              </w:r>
                              <w:r>
                                <w:rPr>
                                  <w:rFonts w:ascii="Arial MT"/>
                                  <w:spacing w:val="-6"/>
                                  <w:sz w:val="8"/>
                                </w:rPr>
                                <w:t> </w:t>
                              </w:r>
                              <w:r>
                                <w:rPr>
                                  <w:rFonts w:ascii="Arial MT"/>
                                  <w:w w:val="170"/>
                                  <w:sz w:val="8"/>
                                </w:rPr>
                                <w:t>EXDEBT</w:t>
                              </w:r>
                            </w:p>
                          </w:txbxContent>
                        </wps:txbx>
                        <wps:bodyPr wrap="square" lIns="0" tIns="0" rIns="0" bIns="0" rtlCol="0">
                          <a:noAutofit/>
                        </wps:bodyPr>
                      </wps:wsp>
                    </wpg:wgp>
                  </a:graphicData>
                </a:graphic>
              </wp:inline>
            </w:drawing>
          </mc:Choice>
          <mc:Fallback>
            <w:pict>
              <v:group style="width:76.6pt;height:6.9pt;mso-position-horizontal-relative:char;mso-position-vertical-relative:line" id="docshapegroup77" coordorigin="0,0" coordsize="1532,138">
                <v:shape style="position:absolute;left:0;top:0;width:1521;height:138" type="#_x0000_t75" id="docshape78" stroked="false">
                  <v:imagedata r:id="rId29" o:title=""/>
                </v:shape>
                <v:shape style="position:absolute;left:2;top:5;width:1529;height:126" type="#_x0000_t202" id="docshape79" filled="false" stroked="false">
                  <v:textbox inset="0,0,0,0">
                    <w:txbxContent>
                      <w:p>
                        <w:pPr>
                          <w:tabs>
                            <w:tab w:pos="333" w:val="left" w:leader="none"/>
                            <w:tab w:pos="893" w:val="left" w:leader="none"/>
                          </w:tabs>
                          <w:spacing w:before="19"/>
                          <w:ind w:left="58" w:right="0" w:firstLine="0"/>
                          <w:jc w:val="left"/>
                          <w:rPr>
                            <w:rFonts w:ascii="Arial MT"/>
                            <w:sz w:val="8"/>
                          </w:rPr>
                        </w:pPr>
                        <w:r>
                          <w:rPr>
                            <w:rFonts w:ascii="Arial MT"/>
                            <w:sz w:val="8"/>
                            <w:u w:val="single"/>
                          </w:rPr>
                          <w:tab/>
                        </w:r>
                        <w:r>
                          <w:rPr>
                            <w:rFonts w:ascii="Arial MT"/>
                            <w:sz w:val="8"/>
                          </w:rPr>
                          <w:t> </w:t>
                        </w:r>
                        <w:r>
                          <w:rPr>
                            <w:rFonts w:ascii="Arial MT"/>
                            <w:w w:val="170"/>
                            <w:sz w:val="8"/>
                          </w:rPr>
                          <w:t>KF</w:t>
                        </w:r>
                        <w:r>
                          <w:rPr>
                            <w:rFonts w:ascii="Arial MT"/>
                            <w:spacing w:val="80"/>
                            <w:w w:val="170"/>
                            <w:sz w:val="8"/>
                          </w:rPr>
                          <w:t> </w:t>
                        </w:r>
                        <w:r>
                          <w:rPr>
                            <w:rFonts w:ascii="Arial MT"/>
                            <w:sz w:val="8"/>
                            <w:u w:val="single"/>
                          </w:rPr>
                          <w:tab/>
                        </w:r>
                        <w:r>
                          <w:rPr>
                            <w:rFonts w:ascii="Arial MT"/>
                            <w:spacing w:val="-6"/>
                            <w:sz w:val="8"/>
                          </w:rPr>
                          <w:t> </w:t>
                        </w:r>
                        <w:r>
                          <w:rPr>
                            <w:rFonts w:ascii="Arial MT"/>
                            <w:w w:val="170"/>
                            <w:sz w:val="8"/>
                          </w:rPr>
                          <w:t>EXDEBT</w:t>
                        </w:r>
                      </w:p>
                    </w:txbxContent>
                  </v:textbox>
                  <w10:wrap type="none"/>
                </v:shape>
              </v:group>
            </w:pict>
          </mc:Fallback>
        </mc:AlternateContent>
      </w:r>
      <w:r>
        <w:rPr>
          <w:rFonts w:ascii="Arial MT"/>
          <w:position w:val="-2"/>
          <w:sz w:val="13"/>
        </w:rPr>
      </w:r>
    </w:p>
    <w:p>
      <w:pPr>
        <w:pStyle w:val="BodyText"/>
        <w:rPr>
          <w:rFonts w:ascii="Arial MT"/>
        </w:rPr>
      </w:pPr>
    </w:p>
    <w:p>
      <w:pPr>
        <w:pStyle w:val="BodyText"/>
        <w:rPr>
          <w:rFonts w:ascii="Arial MT"/>
        </w:rPr>
      </w:pPr>
    </w:p>
    <w:p>
      <w:pPr>
        <w:pStyle w:val="BodyText"/>
        <w:rPr>
          <w:rFonts w:ascii="Arial MT"/>
        </w:rPr>
      </w:pPr>
    </w:p>
    <w:p>
      <w:pPr>
        <w:pStyle w:val="BodyText"/>
        <w:spacing w:before="112"/>
        <w:rPr>
          <w:rFonts w:ascii="Arial MT"/>
        </w:rPr>
      </w:pPr>
    </w:p>
    <w:p>
      <w:pPr>
        <w:pStyle w:val="Heading5"/>
        <w:tabs>
          <w:tab w:pos="6712" w:val="left" w:leader="none"/>
        </w:tabs>
        <w:spacing w:before="0"/>
        <w:ind w:left="1491"/>
        <w:jc w:val="left"/>
      </w:pPr>
      <w:r>
        <w:rPr/>
        <w:t>KF</w:t>
      </w:r>
      <w:r>
        <w:rPr>
          <w:spacing w:val="-3"/>
        </w:rPr>
        <w:t> </w:t>
      </w:r>
      <w:r>
        <w:rPr/>
        <w:t>AND</w:t>
      </w:r>
      <w:r>
        <w:rPr>
          <w:spacing w:val="1"/>
        </w:rPr>
        <w:t> </w:t>
      </w:r>
      <w:r>
        <w:rPr>
          <w:spacing w:val="-5"/>
        </w:rPr>
        <w:t>DR</w:t>
      </w:r>
      <w:r>
        <w:rPr/>
        <w:tab/>
        <w:t>KF</w:t>
      </w:r>
      <w:r>
        <w:rPr>
          <w:spacing w:val="-3"/>
        </w:rPr>
        <w:t> </w:t>
      </w:r>
      <w:r>
        <w:rPr/>
        <w:t>AND</w:t>
      </w:r>
      <w:r>
        <w:rPr>
          <w:spacing w:val="1"/>
        </w:rPr>
        <w:t> </w:t>
      </w:r>
      <w:r>
        <w:rPr>
          <w:spacing w:val="-4"/>
        </w:rPr>
        <w:t>GOCE</w:t>
      </w:r>
    </w:p>
    <w:p>
      <w:pPr>
        <w:pStyle w:val="BodyText"/>
        <w:rPr>
          <w:b/>
          <w:sz w:val="13"/>
        </w:rPr>
      </w:pPr>
    </w:p>
    <w:p>
      <w:pPr>
        <w:pStyle w:val="BodyText"/>
        <w:spacing w:before="147"/>
        <w:rPr>
          <w:b/>
          <w:sz w:val="13"/>
        </w:rPr>
      </w:pPr>
    </w:p>
    <w:p>
      <w:pPr>
        <w:spacing w:before="0"/>
        <w:ind w:left="4111" w:right="602" w:firstLine="0"/>
        <w:jc w:val="center"/>
        <w:rPr>
          <w:rFonts w:ascii="Arial MT"/>
          <w:sz w:val="13"/>
        </w:rPr>
      </w:pPr>
      <w:r>
        <w:rPr/>
        <w:drawing>
          <wp:anchor distT="0" distB="0" distL="0" distR="0" allowOverlap="1" layoutInCell="1" locked="0" behindDoc="0" simplePos="0" relativeHeight="15745024">
            <wp:simplePos x="0" y="0"/>
            <wp:positionH relativeFrom="page">
              <wp:posOffset>5029486</wp:posOffset>
            </wp:positionH>
            <wp:positionV relativeFrom="paragraph">
              <wp:posOffset>54157</wp:posOffset>
            </wp:positionV>
            <wp:extent cx="1429486" cy="1541525"/>
            <wp:effectExtent l="0" t="0" r="0" b="0"/>
            <wp:wrapNone/>
            <wp:docPr id="92" name="Image 92"/>
            <wp:cNvGraphicFramePr>
              <a:graphicFrameLocks/>
            </wp:cNvGraphicFramePr>
            <a:graphic>
              <a:graphicData uri="http://schemas.openxmlformats.org/drawingml/2006/picture">
                <pic:pic>
                  <pic:nvPicPr>
                    <pic:cNvPr id="92" name="Image 92"/>
                    <pic:cNvPicPr/>
                  </pic:nvPicPr>
                  <pic:blipFill>
                    <a:blip r:embed="rId30" cstate="print"/>
                    <a:stretch>
                      <a:fillRect/>
                    </a:stretch>
                  </pic:blipFill>
                  <pic:spPr>
                    <a:xfrm>
                      <a:off x="0" y="0"/>
                      <a:ext cx="1429486" cy="1541525"/>
                    </a:xfrm>
                    <a:prstGeom prst="rect">
                      <a:avLst/>
                    </a:prstGeom>
                  </pic:spPr>
                </pic:pic>
              </a:graphicData>
            </a:graphic>
          </wp:anchor>
        </w:drawing>
      </w:r>
      <w:r>
        <w:rPr>
          <w:rFonts w:ascii="Arial MT"/>
          <w:spacing w:val="-5"/>
          <w:w w:val="80"/>
          <w:sz w:val="13"/>
        </w:rPr>
        <w:t>24</w:t>
      </w:r>
    </w:p>
    <w:p>
      <w:pPr>
        <w:pStyle w:val="BodyText"/>
        <w:rPr>
          <w:rFonts w:ascii="Arial MT"/>
          <w:sz w:val="13"/>
        </w:rPr>
      </w:pPr>
    </w:p>
    <w:p>
      <w:pPr>
        <w:pStyle w:val="BodyText"/>
        <w:spacing w:before="22"/>
        <w:rPr>
          <w:rFonts w:ascii="Arial MT"/>
          <w:sz w:val="13"/>
        </w:rPr>
      </w:pPr>
    </w:p>
    <w:p>
      <w:pPr>
        <w:spacing w:before="0"/>
        <w:ind w:left="4111" w:right="602" w:firstLine="0"/>
        <w:jc w:val="center"/>
        <w:rPr>
          <w:rFonts w:ascii="Arial MT"/>
          <w:sz w:val="13"/>
        </w:rPr>
      </w:pPr>
      <w:r>
        <w:rPr>
          <w:rFonts w:ascii="Arial MT"/>
          <w:spacing w:val="-5"/>
          <w:w w:val="80"/>
          <w:sz w:val="13"/>
        </w:rPr>
        <w:t>20</w:t>
      </w:r>
    </w:p>
    <w:p>
      <w:pPr>
        <w:pStyle w:val="BodyText"/>
        <w:spacing w:before="131"/>
        <w:rPr>
          <w:rFonts w:ascii="Arial MT"/>
          <w:sz w:val="13"/>
        </w:rPr>
      </w:pPr>
    </w:p>
    <w:p>
      <w:pPr>
        <w:tabs>
          <w:tab w:pos="7515" w:val="left" w:leader="none"/>
        </w:tabs>
        <w:spacing w:before="1"/>
        <w:ind w:left="889" w:right="0" w:firstLine="0"/>
        <w:jc w:val="left"/>
        <w:rPr>
          <w:rFonts w:ascii="Arial MT"/>
          <w:sz w:val="13"/>
        </w:rPr>
      </w:pPr>
      <w:r>
        <w:rPr/>
        <w:drawing>
          <wp:anchor distT="0" distB="0" distL="0" distR="0" allowOverlap="1" layoutInCell="1" locked="0" behindDoc="1" simplePos="0" relativeHeight="464167424">
            <wp:simplePos x="0" y="0"/>
            <wp:positionH relativeFrom="page">
              <wp:posOffset>866302</wp:posOffset>
            </wp:positionH>
            <wp:positionV relativeFrom="paragraph">
              <wp:posOffset>36612</wp:posOffset>
            </wp:positionV>
            <wp:extent cx="2223358" cy="1110930"/>
            <wp:effectExtent l="0" t="0" r="0" b="0"/>
            <wp:wrapNone/>
            <wp:docPr id="93" name="Image 93"/>
            <wp:cNvGraphicFramePr>
              <a:graphicFrameLocks/>
            </wp:cNvGraphicFramePr>
            <a:graphic>
              <a:graphicData uri="http://schemas.openxmlformats.org/drawingml/2006/picture">
                <pic:pic>
                  <pic:nvPicPr>
                    <pic:cNvPr id="93" name="Image 93"/>
                    <pic:cNvPicPr/>
                  </pic:nvPicPr>
                  <pic:blipFill>
                    <a:blip r:embed="rId31" cstate="print"/>
                    <a:stretch>
                      <a:fillRect/>
                    </a:stretch>
                  </pic:blipFill>
                  <pic:spPr>
                    <a:xfrm>
                      <a:off x="0" y="0"/>
                      <a:ext cx="2223358" cy="1110930"/>
                    </a:xfrm>
                    <a:prstGeom prst="rect">
                      <a:avLst/>
                    </a:prstGeom>
                  </pic:spPr>
                </pic:pic>
              </a:graphicData>
            </a:graphic>
          </wp:anchor>
        </w:drawing>
      </w:r>
      <w:r>
        <w:rPr>
          <w:rFonts w:ascii="Arial MT"/>
          <w:spacing w:val="-5"/>
          <w:w w:val="140"/>
          <w:sz w:val="9"/>
        </w:rPr>
        <w:t>24</w:t>
      </w:r>
      <w:r>
        <w:rPr>
          <w:rFonts w:ascii="Arial MT"/>
          <w:sz w:val="9"/>
        </w:rPr>
        <w:tab/>
      </w:r>
      <w:r>
        <w:rPr>
          <w:rFonts w:ascii="Arial MT"/>
          <w:spacing w:val="-5"/>
          <w:position w:val="-7"/>
          <w:sz w:val="13"/>
        </w:rPr>
        <w:t>16</w:t>
      </w:r>
    </w:p>
    <w:p>
      <w:pPr>
        <w:spacing w:before="89"/>
        <w:ind w:left="889" w:right="0" w:firstLine="0"/>
        <w:jc w:val="left"/>
        <w:rPr>
          <w:rFonts w:ascii="Arial MT"/>
          <w:sz w:val="9"/>
        </w:rPr>
      </w:pPr>
      <w:r>
        <w:rPr>
          <w:rFonts w:ascii="Arial MT"/>
          <w:spacing w:val="-5"/>
          <w:w w:val="160"/>
          <w:sz w:val="9"/>
        </w:rPr>
        <w:t>20</w:t>
      </w:r>
    </w:p>
    <w:p>
      <w:pPr>
        <w:pStyle w:val="BodyText"/>
        <w:spacing w:before="30"/>
        <w:rPr>
          <w:rFonts w:ascii="Arial MT"/>
          <w:sz w:val="9"/>
        </w:rPr>
      </w:pPr>
    </w:p>
    <w:p>
      <w:pPr>
        <w:tabs>
          <w:tab w:pos="7515" w:val="left" w:leader="none"/>
        </w:tabs>
        <w:spacing w:before="0"/>
        <w:ind w:left="889" w:right="0" w:firstLine="0"/>
        <w:jc w:val="left"/>
        <w:rPr>
          <w:rFonts w:ascii="Arial MT"/>
          <w:sz w:val="13"/>
        </w:rPr>
      </w:pPr>
      <w:r>
        <w:rPr>
          <w:rFonts w:ascii="Arial MT"/>
          <w:spacing w:val="-5"/>
          <w:w w:val="140"/>
          <w:sz w:val="9"/>
        </w:rPr>
        <w:t>16</w:t>
      </w:r>
      <w:r>
        <w:rPr>
          <w:rFonts w:ascii="Arial MT"/>
          <w:sz w:val="9"/>
        </w:rPr>
        <w:tab/>
      </w:r>
      <w:r>
        <w:rPr>
          <w:rFonts w:ascii="Arial MT"/>
          <w:spacing w:val="-5"/>
          <w:position w:val="1"/>
          <w:sz w:val="13"/>
        </w:rPr>
        <w:t>12</w:t>
      </w:r>
    </w:p>
    <w:p>
      <w:pPr>
        <w:spacing w:after="0"/>
        <w:jc w:val="left"/>
        <w:rPr>
          <w:rFonts w:ascii="Arial MT"/>
          <w:sz w:val="13"/>
        </w:rPr>
        <w:sectPr>
          <w:type w:val="continuous"/>
          <w:pgSz w:w="11910" w:h="16840"/>
          <w:pgMar w:header="0" w:footer="979" w:top="1340" w:bottom="1220" w:left="280" w:right="0"/>
        </w:sectPr>
      </w:pPr>
    </w:p>
    <w:p>
      <w:pPr>
        <w:pStyle w:val="BodyText"/>
        <w:spacing w:before="78"/>
        <w:rPr>
          <w:rFonts w:ascii="Arial MT"/>
          <w:sz w:val="9"/>
        </w:rPr>
      </w:pPr>
    </w:p>
    <w:p>
      <w:pPr>
        <w:spacing w:before="0"/>
        <w:ind w:left="889" w:right="0" w:firstLine="0"/>
        <w:jc w:val="left"/>
        <w:rPr>
          <w:rFonts w:ascii="Arial MT"/>
          <w:sz w:val="9"/>
        </w:rPr>
      </w:pPr>
      <w:r>
        <w:rPr>
          <w:rFonts w:ascii="Arial MT"/>
          <w:spacing w:val="-5"/>
          <w:w w:val="160"/>
          <w:sz w:val="9"/>
        </w:rPr>
        <w:t>12</w:t>
      </w:r>
    </w:p>
    <w:p>
      <w:pPr>
        <w:pStyle w:val="BodyText"/>
        <w:spacing w:before="74"/>
        <w:rPr>
          <w:rFonts w:ascii="Arial MT"/>
          <w:sz w:val="9"/>
        </w:rPr>
      </w:pPr>
    </w:p>
    <w:p>
      <w:pPr>
        <w:spacing w:before="0"/>
        <w:ind w:left="971" w:right="0" w:firstLine="0"/>
        <w:jc w:val="left"/>
        <w:rPr>
          <w:rFonts w:ascii="Arial MT"/>
          <w:sz w:val="9"/>
        </w:rPr>
      </w:pPr>
      <w:r>
        <w:rPr>
          <w:rFonts w:ascii="Arial MT"/>
          <w:spacing w:val="-10"/>
          <w:w w:val="160"/>
          <w:sz w:val="9"/>
        </w:rPr>
        <w:t>8</w:t>
      </w:r>
    </w:p>
    <w:p>
      <w:pPr>
        <w:pStyle w:val="BodyText"/>
        <w:spacing w:before="78"/>
        <w:rPr>
          <w:rFonts w:ascii="Arial MT"/>
          <w:sz w:val="9"/>
        </w:rPr>
      </w:pPr>
    </w:p>
    <w:p>
      <w:pPr>
        <w:spacing w:before="0"/>
        <w:ind w:left="971" w:right="0" w:firstLine="0"/>
        <w:jc w:val="left"/>
        <w:rPr>
          <w:rFonts w:ascii="Arial MT"/>
          <w:sz w:val="9"/>
        </w:rPr>
      </w:pPr>
      <w:r>
        <w:rPr>
          <w:rFonts w:ascii="Arial MT"/>
          <w:spacing w:val="-10"/>
          <w:w w:val="160"/>
          <w:sz w:val="9"/>
        </w:rPr>
        <w:t>4</w:t>
      </w:r>
    </w:p>
    <w:p>
      <w:pPr>
        <w:pStyle w:val="BodyText"/>
        <w:spacing w:before="78"/>
        <w:rPr>
          <w:rFonts w:ascii="Arial MT"/>
          <w:sz w:val="9"/>
        </w:rPr>
      </w:pPr>
    </w:p>
    <w:p>
      <w:pPr>
        <w:spacing w:before="0"/>
        <w:ind w:left="971" w:right="0" w:firstLine="0"/>
        <w:jc w:val="left"/>
        <w:rPr>
          <w:rFonts w:ascii="Arial MT"/>
          <w:sz w:val="9"/>
        </w:rPr>
      </w:pPr>
      <w:r>
        <w:rPr>
          <w:rFonts w:ascii="Arial MT"/>
          <w:spacing w:val="-10"/>
          <w:w w:val="160"/>
          <w:sz w:val="9"/>
        </w:rPr>
        <w:t>0</w:t>
      </w:r>
    </w:p>
    <w:p>
      <w:pPr>
        <w:tabs>
          <w:tab w:pos="1473" w:val="left" w:leader="none"/>
          <w:tab w:pos="1894" w:val="left" w:leader="none"/>
          <w:tab w:pos="2314" w:val="left" w:leader="none"/>
          <w:tab w:pos="2735" w:val="left" w:leader="none"/>
          <w:tab w:pos="3155" w:val="left" w:leader="none"/>
          <w:tab w:pos="3571" w:val="left" w:leader="none"/>
          <w:tab w:pos="3991" w:val="left" w:leader="none"/>
          <w:tab w:pos="4412" w:val="left" w:leader="none"/>
        </w:tabs>
        <w:spacing w:before="8"/>
        <w:ind w:left="1058" w:right="0" w:firstLine="0"/>
        <w:jc w:val="left"/>
        <w:rPr>
          <w:rFonts w:ascii="Arial MT"/>
          <w:sz w:val="9"/>
        </w:rPr>
      </w:pPr>
      <w:r>
        <w:rPr>
          <w:rFonts w:ascii="Arial MT"/>
          <w:spacing w:val="-5"/>
          <w:w w:val="160"/>
          <w:sz w:val="9"/>
        </w:rPr>
        <w:t>70</w:t>
      </w:r>
      <w:r>
        <w:rPr>
          <w:rFonts w:ascii="Arial MT"/>
          <w:sz w:val="9"/>
        </w:rPr>
        <w:tab/>
      </w:r>
      <w:r>
        <w:rPr>
          <w:rFonts w:ascii="Arial MT"/>
          <w:spacing w:val="-7"/>
          <w:w w:val="160"/>
          <w:sz w:val="9"/>
        </w:rPr>
        <w:t>75</w:t>
      </w:r>
      <w:r>
        <w:rPr>
          <w:rFonts w:ascii="Arial MT"/>
          <w:sz w:val="9"/>
        </w:rPr>
        <w:tab/>
      </w:r>
      <w:r>
        <w:rPr>
          <w:rFonts w:ascii="Arial MT"/>
          <w:spacing w:val="-7"/>
          <w:w w:val="160"/>
          <w:sz w:val="9"/>
        </w:rPr>
        <w:t>80</w:t>
      </w:r>
      <w:r>
        <w:rPr>
          <w:rFonts w:ascii="Arial MT"/>
          <w:sz w:val="9"/>
        </w:rPr>
        <w:tab/>
      </w:r>
      <w:r>
        <w:rPr>
          <w:rFonts w:ascii="Arial MT"/>
          <w:spacing w:val="-5"/>
          <w:w w:val="160"/>
          <w:sz w:val="9"/>
        </w:rPr>
        <w:t>85</w:t>
      </w:r>
      <w:r>
        <w:rPr>
          <w:rFonts w:ascii="Arial MT"/>
          <w:sz w:val="9"/>
        </w:rPr>
        <w:tab/>
      </w:r>
      <w:r>
        <w:rPr>
          <w:rFonts w:ascii="Arial MT"/>
          <w:spacing w:val="-5"/>
          <w:w w:val="160"/>
          <w:sz w:val="9"/>
        </w:rPr>
        <w:t>90</w:t>
      </w:r>
      <w:r>
        <w:rPr>
          <w:rFonts w:ascii="Arial MT"/>
          <w:sz w:val="9"/>
        </w:rPr>
        <w:tab/>
      </w:r>
      <w:r>
        <w:rPr>
          <w:rFonts w:ascii="Arial MT"/>
          <w:spacing w:val="-5"/>
          <w:w w:val="160"/>
          <w:sz w:val="9"/>
        </w:rPr>
        <w:t>95</w:t>
      </w:r>
      <w:r>
        <w:rPr>
          <w:rFonts w:ascii="Arial MT"/>
          <w:sz w:val="9"/>
        </w:rPr>
        <w:tab/>
      </w:r>
      <w:r>
        <w:rPr>
          <w:rFonts w:ascii="Arial MT"/>
          <w:spacing w:val="-5"/>
          <w:w w:val="160"/>
          <w:sz w:val="9"/>
        </w:rPr>
        <w:t>00</w:t>
      </w:r>
      <w:r>
        <w:rPr>
          <w:rFonts w:ascii="Arial MT"/>
          <w:sz w:val="9"/>
        </w:rPr>
        <w:tab/>
      </w:r>
      <w:r>
        <w:rPr>
          <w:rFonts w:ascii="Arial MT"/>
          <w:spacing w:val="-5"/>
          <w:w w:val="160"/>
          <w:sz w:val="9"/>
        </w:rPr>
        <w:t>05</w:t>
      </w:r>
      <w:r>
        <w:rPr>
          <w:rFonts w:ascii="Arial MT"/>
          <w:sz w:val="9"/>
        </w:rPr>
        <w:tab/>
      </w:r>
      <w:r>
        <w:rPr>
          <w:rFonts w:ascii="Arial MT"/>
          <w:spacing w:val="-5"/>
          <w:w w:val="160"/>
          <w:sz w:val="9"/>
        </w:rPr>
        <w:t>10</w:t>
      </w:r>
    </w:p>
    <w:p>
      <w:pPr>
        <w:spacing w:line="240" w:lineRule="auto" w:before="0"/>
        <w:rPr>
          <w:rFonts w:ascii="Arial MT"/>
          <w:sz w:val="13"/>
        </w:rPr>
      </w:pPr>
      <w:r>
        <w:rPr/>
        <w:br w:type="column"/>
      </w:r>
      <w:r>
        <w:rPr>
          <w:rFonts w:ascii="Arial MT"/>
          <w:sz w:val="13"/>
        </w:rPr>
      </w:r>
    </w:p>
    <w:p>
      <w:pPr>
        <w:pStyle w:val="BodyText"/>
        <w:spacing w:before="18"/>
        <w:rPr>
          <w:rFonts w:ascii="Arial MT"/>
          <w:sz w:val="13"/>
        </w:rPr>
      </w:pPr>
    </w:p>
    <w:p>
      <w:pPr>
        <w:spacing w:before="0"/>
        <w:ind w:left="889" w:right="0" w:firstLine="0"/>
        <w:jc w:val="left"/>
        <w:rPr>
          <w:rFonts w:ascii="Arial MT"/>
          <w:sz w:val="13"/>
        </w:rPr>
      </w:pPr>
      <w:r>
        <w:rPr>
          <w:rFonts w:ascii="Arial MT"/>
          <w:spacing w:val="-10"/>
          <w:w w:val="80"/>
          <w:sz w:val="13"/>
        </w:rPr>
        <w:t>8</w:t>
      </w:r>
    </w:p>
    <w:p>
      <w:pPr>
        <w:pStyle w:val="BodyText"/>
        <w:rPr>
          <w:rFonts w:ascii="Arial MT"/>
          <w:sz w:val="13"/>
        </w:rPr>
      </w:pPr>
    </w:p>
    <w:p>
      <w:pPr>
        <w:pStyle w:val="BodyText"/>
        <w:spacing w:before="26"/>
        <w:rPr>
          <w:rFonts w:ascii="Arial MT"/>
          <w:sz w:val="13"/>
        </w:rPr>
      </w:pPr>
    </w:p>
    <w:p>
      <w:pPr>
        <w:spacing w:before="1"/>
        <w:ind w:left="889" w:right="0" w:firstLine="0"/>
        <w:jc w:val="left"/>
        <w:rPr>
          <w:rFonts w:ascii="Arial MT"/>
          <w:sz w:val="13"/>
        </w:rPr>
      </w:pPr>
      <w:r>
        <w:rPr>
          <w:rFonts w:ascii="Arial MT"/>
          <w:spacing w:val="-10"/>
          <w:w w:val="80"/>
          <w:sz w:val="13"/>
        </w:rPr>
        <w:t>4</w:t>
      </w:r>
    </w:p>
    <w:p>
      <w:pPr>
        <w:spacing w:before="5"/>
        <w:ind w:left="945" w:right="0" w:firstLine="0"/>
        <w:jc w:val="left"/>
        <w:rPr>
          <w:rFonts w:ascii="Arial MT"/>
          <w:sz w:val="13"/>
        </w:rPr>
      </w:pPr>
      <w:r>
        <w:rPr/>
        <mc:AlternateContent>
          <mc:Choice Requires="wps">
            <w:drawing>
              <wp:anchor distT="0" distB="0" distL="0" distR="0" allowOverlap="1" layoutInCell="1" locked="0" behindDoc="0" simplePos="0" relativeHeight="15745536">
                <wp:simplePos x="0" y="0"/>
                <wp:positionH relativeFrom="page">
                  <wp:posOffset>5455431</wp:posOffset>
                </wp:positionH>
                <wp:positionV relativeFrom="paragraph">
                  <wp:posOffset>179699</wp:posOffset>
                </wp:positionV>
                <wp:extent cx="594360" cy="143510"/>
                <wp:effectExtent l="0" t="0" r="0" b="0"/>
                <wp:wrapNone/>
                <wp:docPr id="94" name="Group 94"/>
                <wp:cNvGraphicFramePr>
                  <a:graphicFrameLocks/>
                </wp:cNvGraphicFramePr>
                <a:graphic>
                  <a:graphicData uri="http://schemas.microsoft.com/office/word/2010/wordprocessingGroup">
                    <wpg:wgp>
                      <wpg:cNvPr id="94" name="Group 94"/>
                      <wpg:cNvGrpSpPr/>
                      <wpg:grpSpPr>
                        <a:xfrm>
                          <a:off x="0" y="0"/>
                          <a:ext cx="594360" cy="143510"/>
                          <a:chExt cx="594360" cy="143510"/>
                        </a:xfrm>
                      </wpg:grpSpPr>
                      <pic:pic>
                        <pic:nvPicPr>
                          <pic:cNvPr id="95" name="Image 95"/>
                          <pic:cNvPicPr/>
                        </pic:nvPicPr>
                        <pic:blipFill>
                          <a:blip r:embed="rId32" cstate="print"/>
                          <a:stretch>
                            <a:fillRect/>
                          </a:stretch>
                        </pic:blipFill>
                        <pic:spPr>
                          <a:xfrm>
                            <a:off x="0" y="0"/>
                            <a:ext cx="593780" cy="143399"/>
                          </a:xfrm>
                          <a:prstGeom prst="rect">
                            <a:avLst/>
                          </a:prstGeom>
                        </pic:spPr>
                      </pic:pic>
                      <wps:wsp>
                        <wps:cNvPr id="96" name="Textbox 96"/>
                        <wps:cNvSpPr txBox="1"/>
                        <wps:spPr>
                          <a:xfrm>
                            <a:off x="2960" y="5920"/>
                            <a:ext cx="589280" cy="132080"/>
                          </a:xfrm>
                          <a:prstGeom prst="rect">
                            <a:avLst/>
                          </a:prstGeom>
                        </wps:spPr>
                        <wps:txbx>
                          <w:txbxContent>
                            <w:p>
                              <w:pPr>
                                <w:tabs>
                                  <w:tab w:pos="619" w:val="left" w:leader="none"/>
                                </w:tabs>
                                <w:spacing w:before="33"/>
                                <w:ind w:left="233" w:right="0" w:firstLine="0"/>
                                <w:jc w:val="left"/>
                                <w:rPr>
                                  <w:rFonts w:ascii="Arial MT"/>
                                  <w:sz w:val="13"/>
                                </w:rPr>
                              </w:pPr>
                              <w:r>
                                <w:rPr>
                                  <w:rFonts w:ascii="Arial MT"/>
                                  <w:spacing w:val="-5"/>
                                  <w:w w:val="80"/>
                                  <w:sz w:val="13"/>
                                </w:rPr>
                                <w:t>KF</w:t>
                              </w:r>
                              <w:r>
                                <w:rPr>
                                  <w:rFonts w:ascii="Arial MT"/>
                                  <w:sz w:val="13"/>
                                </w:rPr>
                                <w:tab/>
                              </w:r>
                              <w:r>
                                <w:rPr>
                                  <w:rFonts w:ascii="Arial MT"/>
                                  <w:spacing w:val="-4"/>
                                  <w:w w:val="80"/>
                                  <w:sz w:val="13"/>
                                </w:rPr>
                                <w:t>GOCE</w:t>
                              </w:r>
                            </w:p>
                          </w:txbxContent>
                        </wps:txbx>
                        <wps:bodyPr wrap="square" lIns="0" tIns="0" rIns="0" bIns="0" rtlCol="0">
                          <a:noAutofit/>
                        </wps:bodyPr>
                      </wps:wsp>
                    </wpg:wgp>
                  </a:graphicData>
                </a:graphic>
              </wp:anchor>
            </w:drawing>
          </mc:Choice>
          <mc:Fallback>
            <w:pict>
              <v:group style="position:absolute;margin-left:429.561554pt;margin-top:14.14959pt;width:46.8pt;height:11.3pt;mso-position-horizontal-relative:page;mso-position-vertical-relative:paragraph;z-index:15745536" id="docshapegroup80" coordorigin="8591,283" coordsize="936,226">
                <v:shape style="position:absolute;left:8591;top:283;width:936;height:226" type="#_x0000_t75" id="docshape81" stroked="false">
                  <v:imagedata r:id="rId32" o:title=""/>
                </v:shape>
                <v:shape style="position:absolute;left:8595;top:292;width:928;height:208" type="#_x0000_t202" id="docshape82" filled="false" stroked="false">
                  <v:textbox inset="0,0,0,0">
                    <w:txbxContent>
                      <w:p>
                        <w:pPr>
                          <w:tabs>
                            <w:tab w:pos="619" w:val="left" w:leader="none"/>
                          </w:tabs>
                          <w:spacing w:before="33"/>
                          <w:ind w:left="233" w:right="0" w:firstLine="0"/>
                          <w:jc w:val="left"/>
                          <w:rPr>
                            <w:rFonts w:ascii="Arial MT"/>
                            <w:sz w:val="13"/>
                          </w:rPr>
                        </w:pPr>
                        <w:r>
                          <w:rPr>
                            <w:rFonts w:ascii="Arial MT"/>
                            <w:spacing w:val="-5"/>
                            <w:w w:val="80"/>
                            <w:sz w:val="13"/>
                          </w:rPr>
                          <w:t>KF</w:t>
                        </w:r>
                        <w:r>
                          <w:rPr>
                            <w:rFonts w:ascii="Arial MT"/>
                            <w:sz w:val="13"/>
                          </w:rPr>
                          <w:tab/>
                        </w:r>
                        <w:r>
                          <w:rPr>
                            <w:rFonts w:ascii="Arial MT"/>
                            <w:spacing w:val="-4"/>
                            <w:w w:val="80"/>
                            <w:sz w:val="13"/>
                          </w:rPr>
                          <w:t>GOCE</w:t>
                        </w:r>
                      </w:p>
                    </w:txbxContent>
                  </v:textbox>
                  <w10:wrap type="none"/>
                </v:shape>
                <w10:wrap type="none"/>
              </v:group>
            </w:pict>
          </mc:Fallback>
        </mc:AlternateContent>
      </w:r>
      <w:r>
        <w:rPr>
          <w:rFonts w:ascii="Arial MT"/>
          <w:w w:val="80"/>
          <w:sz w:val="13"/>
        </w:rPr>
        <w:t>70</w:t>
      </w:r>
      <w:r>
        <w:rPr>
          <w:rFonts w:ascii="Arial MT"/>
          <w:spacing w:val="38"/>
          <w:sz w:val="13"/>
        </w:rPr>
        <w:t>  </w:t>
      </w:r>
      <w:r>
        <w:rPr>
          <w:rFonts w:ascii="Arial MT"/>
          <w:w w:val="80"/>
          <w:sz w:val="13"/>
        </w:rPr>
        <w:t>75</w:t>
      </w:r>
      <w:r>
        <w:rPr>
          <w:rFonts w:ascii="Arial MT"/>
          <w:spacing w:val="39"/>
          <w:sz w:val="13"/>
        </w:rPr>
        <w:t>  </w:t>
      </w:r>
      <w:r>
        <w:rPr>
          <w:rFonts w:ascii="Arial MT"/>
          <w:w w:val="80"/>
          <w:sz w:val="13"/>
        </w:rPr>
        <w:t>80</w:t>
      </w:r>
      <w:r>
        <w:rPr>
          <w:rFonts w:ascii="Arial MT"/>
          <w:spacing w:val="40"/>
          <w:sz w:val="13"/>
        </w:rPr>
        <w:t>  </w:t>
      </w:r>
      <w:r>
        <w:rPr>
          <w:rFonts w:ascii="Arial MT"/>
          <w:w w:val="80"/>
          <w:sz w:val="13"/>
        </w:rPr>
        <w:t>85</w:t>
      </w:r>
      <w:r>
        <w:rPr>
          <w:rFonts w:ascii="Arial MT"/>
          <w:spacing w:val="40"/>
          <w:sz w:val="13"/>
        </w:rPr>
        <w:t>  </w:t>
      </w:r>
      <w:r>
        <w:rPr>
          <w:rFonts w:ascii="Arial MT"/>
          <w:w w:val="80"/>
          <w:sz w:val="13"/>
        </w:rPr>
        <w:t>90</w:t>
      </w:r>
      <w:r>
        <w:rPr>
          <w:rFonts w:ascii="Arial MT"/>
          <w:spacing w:val="40"/>
          <w:sz w:val="13"/>
        </w:rPr>
        <w:t>  </w:t>
      </w:r>
      <w:r>
        <w:rPr>
          <w:rFonts w:ascii="Arial MT"/>
          <w:w w:val="80"/>
          <w:sz w:val="13"/>
        </w:rPr>
        <w:t>95</w:t>
      </w:r>
      <w:r>
        <w:rPr>
          <w:rFonts w:ascii="Arial MT"/>
          <w:spacing w:val="38"/>
          <w:sz w:val="13"/>
        </w:rPr>
        <w:t>  </w:t>
      </w:r>
      <w:r>
        <w:rPr>
          <w:rFonts w:ascii="Arial MT"/>
          <w:w w:val="80"/>
          <w:sz w:val="13"/>
        </w:rPr>
        <w:t>00</w:t>
      </w:r>
      <w:r>
        <w:rPr>
          <w:rFonts w:ascii="Arial MT"/>
          <w:spacing w:val="40"/>
          <w:sz w:val="13"/>
        </w:rPr>
        <w:t>  </w:t>
      </w:r>
      <w:r>
        <w:rPr>
          <w:rFonts w:ascii="Arial MT"/>
          <w:w w:val="80"/>
          <w:sz w:val="13"/>
        </w:rPr>
        <w:t>05</w:t>
      </w:r>
      <w:r>
        <w:rPr>
          <w:rFonts w:ascii="Arial MT"/>
          <w:spacing w:val="39"/>
          <w:sz w:val="13"/>
        </w:rPr>
        <w:t>  </w:t>
      </w:r>
      <w:r>
        <w:rPr>
          <w:rFonts w:ascii="Arial MT"/>
          <w:spacing w:val="-7"/>
          <w:w w:val="80"/>
          <w:sz w:val="13"/>
        </w:rPr>
        <w:t>10</w:t>
      </w:r>
    </w:p>
    <w:p>
      <w:pPr>
        <w:spacing w:after="0"/>
        <w:jc w:val="left"/>
        <w:rPr>
          <w:rFonts w:ascii="Arial MT"/>
          <w:sz w:val="13"/>
        </w:rPr>
        <w:sectPr>
          <w:type w:val="continuous"/>
          <w:pgSz w:w="11910" w:h="16840"/>
          <w:pgMar w:header="0" w:footer="979" w:top="1340" w:bottom="1220" w:left="280" w:right="0"/>
          <w:cols w:num="2" w:equalWidth="0">
            <w:col w:w="4626" w:space="2052"/>
            <w:col w:w="4952"/>
          </w:cols>
        </w:sectPr>
      </w:pPr>
    </w:p>
    <w:p>
      <w:pPr>
        <w:pStyle w:val="BodyText"/>
        <w:spacing w:before="1"/>
        <w:rPr>
          <w:rFonts w:ascii="Arial MT"/>
          <w:sz w:val="8"/>
        </w:rPr>
      </w:pPr>
    </w:p>
    <w:p>
      <w:pPr>
        <w:pStyle w:val="BodyText"/>
        <w:spacing w:line="162" w:lineRule="exact"/>
        <w:ind w:left="2239"/>
        <w:rPr>
          <w:rFonts w:ascii="Arial MT"/>
          <w:sz w:val="16"/>
        </w:rPr>
      </w:pPr>
      <w:r>
        <w:rPr>
          <w:rFonts w:ascii="Arial MT"/>
          <w:position w:val="-2"/>
          <w:sz w:val="16"/>
        </w:rPr>
        <mc:AlternateContent>
          <mc:Choice Requires="wps">
            <w:drawing>
              <wp:inline distT="0" distB="0" distL="0" distR="0">
                <wp:extent cx="782955" cy="103505"/>
                <wp:effectExtent l="0" t="0" r="0" b="1269"/>
                <wp:docPr id="97" name="Group 97"/>
                <wp:cNvGraphicFramePr>
                  <a:graphicFrameLocks/>
                </wp:cNvGraphicFramePr>
                <a:graphic>
                  <a:graphicData uri="http://schemas.microsoft.com/office/word/2010/wordprocessingGroup">
                    <wpg:wgp>
                      <wpg:cNvPr id="97" name="Group 97"/>
                      <wpg:cNvGrpSpPr/>
                      <wpg:grpSpPr>
                        <a:xfrm>
                          <a:off x="0" y="0"/>
                          <a:ext cx="782955" cy="103505"/>
                          <a:chExt cx="782955" cy="103505"/>
                        </a:xfrm>
                      </wpg:grpSpPr>
                      <pic:pic>
                        <pic:nvPicPr>
                          <pic:cNvPr id="98" name="Image 98"/>
                          <pic:cNvPicPr/>
                        </pic:nvPicPr>
                        <pic:blipFill>
                          <a:blip r:embed="rId33" cstate="print"/>
                          <a:stretch>
                            <a:fillRect/>
                          </a:stretch>
                        </pic:blipFill>
                        <pic:spPr>
                          <a:xfrm>
                            <a:off x="0" y="0"/>
                            <a:ext cx="782635" cy="103397"/>
                          </a:xfrm>
                          <a:prstGeom prst="rect">
                            <a:avLst/>
                          </a:prstGeom>
                        </pic:spPr>
                      </pic:pic>
                      <wps:wsp>
                        <wps:cNvPr id="99" name="Textbox 99"/>
                        <wps:cNvSpPr txBox="1"/>
                        <wps:spPr>
                          <a:xfrm>
                            <a:off x="233341" y="20839"/>
                            <a:ext cx="130810" cy="67310"/>
                          </a:xfrm>
                          <a:prstGeom prst="rect">
                            <a:avLst/>
                          </a:prstGeom>
                        </wps:spPr>
                        <wps:txbx>
                          <w:txbxContent>
                            <w:p>
                              <w:pPr>
                                <w:spacing w:before="1"/>
                                <w:ind w:left="0" w:right="0" w:firstLine="0"/>
                                <w:jc w:val="left"/>
                                <w:rPr>
                                  <w:rFonts w:ascii="Arial MT"/>
                                  <w:sz w:val="9"/>
                                </w:rPr>
                              </w:pPr>
                              <w:r>
                                <w:rPr>
                                  <w:rFonts w:ascii="Arial MT"/>
                                  <w:spacing w:val="-5"/>
                                  <w:w w:val="160"/>
                                  <w:sz w:val="9"/>
                                </w:rPr>
                                <w:t>KF</w:t>
                              </w:r>
                            </w:p>
                          </w:txbxContent>
                        </wps:txbx>
                        <wps:bodyPr wrap="square" lIns="0" tIns="0" rIns="0" bIns="0" rtlCol="0">
                          <a:noAutofit/>
                        </wps:bodyPr>
                      </wps:wsp>
                      <wps:wsp>
                        <wps:cNvPr id="100" name="Textbox 100"/>
                        <wps:cNvSpPr txBox="1"/>
                        <wps:spPr>
                          <a:xfrm>
                            <a:off x="614325" y="20839"/>
                            <a:ext cx="144145" cy="67310"/>
                          </a:xfrm>
                          <a:prstGeom prst="rect">
                            <a:avLst/>
                          </a:prstGeom>
                        </wps:spPr>
                        <wps:txbx>
                          <w:txbxContent>
                            <w:p>
                              <w:pPr>
                                <w:spacing w:before="1"/>
                                <w:ind w:left="0" w:right="0" w:firstLine="0"/>
                                <w:jc w:val="left"/>
                                <w:rPr>
                                  <w:rFonts w:ascii="Arial MT"/>
                                  <w:sz w:val="9"/>
                                </w:rPr>
                              </w:pPr>
                              <w:r>
                                <w:rPr>
                                  <w:rFonts w:ascii="Arial MT"/>
                                  <w:spacing w:val="-5"/>
                                  <w:w w:val="160"/>
                                  <w:sz w:val="9"/>
                                </w:rPr>
                                <w:t>DR</w:t>
                              </w:r>
                            </w:p>
                          </w:txbxContent>
                        </wps:txbx>
                        <wps:bodyPr wrap="square" lIns="0" tIns="0" rIns="0" bIns="0" rtlCol="0">
                          <a:noAutofit/>
                        </wps:bodyPr>
                      </wps:wsp>
                    </wpg:wgp>
                  </a:graphicData>
                </a:graphic>
              </wp:inline>
            </w:drawing>
          </mc:Choice>
          <mc:Fallback>
            <w:pict>
              <v:group style="width:61.65pt;height:8.15pt;mso-position-horizontal-relative:char;mso-position-vertical-relative:line" id="docshapegroup83" coordorigin="0,0" coordsize="1233,163">
                <v:shape style="position:absolute;left:0;top:0;width:1233;height:163" type="#_x0000_t75" id="docshape84" stroked="false">
                  <v:imagedata r:id="rId33" o:title=""/>
                </v:shape>
                <v:shape style="position:absolute;left:367;top:32;width:206;height:106" type="#_x0000_t202" id="docshape85" filled="false" stroked="false">
                  <v:textbox inset="0,0,0,0">
                    <w:txbxContent>
                      <w:p>
                        <w:pPr>
                          <w:spacing w:before="1"/>
                          <w:ind w:left="0" w:right="0" w:firstLine="0"/>
                          <w:jc w:val="left"/>
                          <w:rPr>
                            <w:rFonts w:ascii="Arial MT"/>
                            <w:sz w:val="9"/>
                          </w:rPr>
                        </w:pPr>
                        <w:r>
                          <w:rPr>
                            <w:rFonts w:ascii="Arial MT"/>
                            <w:spacing w:val="-5"/>
                            <w:w w:val="160"/>
                            <w:sz w:val="9"/>
                          </w:rPr>
                          <w:t>KF</w:t>
                        </w:r>
                      </w:p>
                    </w:txbxContent>
                  </v:textbox>
                  <w10:wrap type="none"/>
                </v:shape>
                <v:shape style="position:absolute;left:967;top:32;width:227;height:106" type="#_x0000_t202" id="docshape86" filled="false" stroked="false">
                  <v:textbox inset="0,0,0,0">
                    <w:txbxContent>
                      <w:p>
                        <w:pPr>
                          <w:spacing w:before="1"/>
                          <w:ind w:left="0" w:right="0" w:firstLine="0"/>
                          <w:jc w:val="left"/>
                          <w:rPr>
                            <w:rFonts w:ascii="Arial MT"/>
                            <w:sz w:val="9"/>
                          </w:rPr>
                        </w:pPr>
                        <w:r>
                          <w:rPr>
                            <w:rFonts w:ascii="Arial MT"/>
                            <w:spacing w:val="-5"/>
                            <w:w w:val="160"/>
                            <w:sz w:val="9"/>
                          </w:rPr>
                          <w:t>DR</w:t>
                        </w:r>
                      </w:p>
                    </w:txbxContent>
                  </v:textbox>
                  <w10:wrap type="none"/>
                </v:shape>
              </v:group>
            </w:pict>
          </mc:Fallback>
        </mc:AlternateContent>
      </w:r>
      <w:r>
        <w:rPr>
          <w:rFonts w:ascii="Arial MT"/>
          <w:position w:val="-2"/>
          <w:sz w:val="16"/>
        </w:rPr>
      </w:r>
    </w:p>
    <w:p>
      <w:pPr>
        <w:spacing w:after="0" w:line="162" w:lineRule="exact"/>
        <w:rPr>
          <w:rFonts w:ascii="Arial MT"/>
          <w:sz w:val="16"/>
        </w:rPr>
        <w:sectPr>
          <w:type w:val="continuous"/>
          <w:pgSz w:w="11910" w:h="16840"/>
          <w:pgMar w:header="0" w:footer="979" w:top="1340" w:bottom="1220" w:left="280" w:right="0"/>
        </w:sectPr>
      </w:pPr>
    </w:p>
    <w:p>
      <w:pPr>
        <w:pStyle w:val="Heading5"/>
        <w:ind w:left="771"/>
        <w:jc w:val="left"/>
      </w:pPr>
      <w:r>
        <w:rPr/>
        <w:t>KF</w:t>
      </w:r>
      <w:r>
        <w:rPr>
          <w:spacing w:val="-3"/>
        </w:rPr>
        <w:t> </w:t>
      </w:r>
      <w:r>
        <w:rPr/>
        <w:t>AND</w:t>
      </w:r>
      <w:r>
        <w:rPr>
          <w:spacing w:val="2"/>
        </w:rPr>
        <w:t> </w:t>
      </w:r>
      <w:r>
        <w:rPr>
          <w:spacing w:val="-2"/>
        </w:rPr>
        <w:t>PRIVCR</w:t>
      </w:r>
    </w:p>
    <w:p>
      <w:pPr>
        <w:pStyle w:val="BodyText"/>
        <w:spacing w:before="26"/>
        <w:rPr>
          <w:b/>
          <w:sz w:val="8"/>
        </w:rPr>
      </w:pPr>
    </w:p>
    <w:p>
      <w:pPr>
        <w:spacing w:before="0"/>
        <w:ind w:left="887" w:right="0" w:firstLine="0"/>
        <w:jc w:val="left"/>
        <w:rPr>
          <w:rFonts w:ascii="Arial MT"/>
          <w:sz w:val="8"/>
        </w:rPr>
      </w:pPr>
      <w:r>
        <w:rPr/>
        <mc:AlternateContent>
          <mc:Choice Requires="wps">
            <w:drawing>
              <wp:anchor distT="0" distB="0" distL="0" distR="0" allowOverlap="1" layoutInCell="1" locked="0" behindDoc="0" simplePos="0" relativeHeight="15747584">
                <wp:simplePos x="0" y="0"/>
                <wp:positionH relativeFrom="page">
                  <wp:posOffset>863647</wp:posOffset>
                </wp:positionH>
                <wp:positionV relativeFrom="paragraph">
                  <wp:posOffset>34146</wp:posOffset>
                </wp:positionV>
                <wp:extent cx="2196465" cy="1012825"/>
                <wp:effectExtent l="0" t="0" r="0" b="0"/>
                <wp:wrapNone/>
                <wp:docPr id="101" name="Graphic 101"/>
                <wp:cNvGraphicFramePr>
                  <a:graphicFrameLocks/>
                </wp:cNvGraphicFramePr>
                <a:graphic>
                  <a:graphicData uri="http://schemas.microsoft.com/office/word/2010/wordprocessingShape">
                    <wps:wsp>
                      <wps:cNvPr id="101" name="Graphic 101"/>
                      <wps:cNvSpPr/>
                      <wps:spPr>
                        <a:xfrm>
                          <a:off x="0" y="0"/>
                          <a:ext cx="2196465" cy="1012825"/>
                        </a:xfrm>
                        <a:custGeom>
                          <a:avLst/>
                          <a:gdLst/>
                          <a:ahLst/>
                          <a:cxnLst/>
                          <a:rect l="l" t="t" r="r" b="b"/>
                          <a:pathLst>
                            <a:path w="2196465" h="1012825">
                              <a:moveTo>
                                <a:pt x="0" y="988850"/>
                              </a:moveTo>
                              <a:lnTo>
                                <a:pt x="32239" y="988850"/>
                              </a:lnTo>
                            </a:path>
                            <a:path w="2196465" h="1012825">
                              <a:moveTo>
                                <a:pt x="0" y="790287"/>
                              </a:moveTo>
                              <a:lnTo>
                                <a:pt x="32239" y="790287"/>
                              </a:lnTo>
                            </a:path>
                            <a:path w="2196465" h="1012825">
                              <a:moveTo>
                                <a:pt x="0" y="593687"/>
                              </a:moveTo>
                              <a:lnTo>
                                <a:pt x="32239" y="593687"/>
                              </a:lnTo>
                            </a:path>
                            <a:path w="2196465" h="1012825">
                              <a:moveTo>
                                <a:pt x="0" y="395124"/>
                              </a:moveTo>
                              <a:lnTo>
                                <a:pt x="32239" y="395124"/>
                              </a:lnTo>
                            </a:path>
                            <a:path w="2196465" h="1012825">
                              <a:moveTo>
                                <a:pt x="0" y="198563"/>
                              </a:moveTo>
                              <a:lnTo>
                                <a:pt x="32239" y="198563"/>
                              </a:lnTo>
                            </a:path>
                            <a:path w="2196465" h="1012825">
                              <a:moveTo>
                                <a:pt x="0" y="1962"/>
                              </a:moveTo>
                              <a:lnTo>
                                <a:pt x="32239" y="1962"/>
                              </a:lnTo>
                            </a:path>
                            <a:path w="2196465" h="1012825">
                              <a:moveTo>
                                <a:pt x="35454" y="990813"/>
                              </a:moveTo>
                              <a:lnTo>
                                <a:pt x="35454" y="1002589"/>
                              </a:lnTo>
                            </a:path>
                            <a:path w="2196465" h="1012825">
                              <a:moveTo>
                                <a:pt x="86975" y="990813"/>
                              </a:moveTo>
                              <a:lnTo>
                                <a:pt x="86975" y="1002589"/>
                              </a:lnTo>
                            </a:path>
                            <a:path w="2196465" h="1012825">
                              <a:moveTo>
                                <a:pt x="138450" y="990813"/>
                              </a:moveTo>
                              <a:lnTo>
                                <a:pt x="138450" y="1002589"/>
                              </a:lnTo>
                            </a:path>
                            <a:path w="2196465" h="1012825">
                              <a:moveTo>
                                <a:pt x="193206" y="990813"/>
                              </a:moveTo>
                              <a:lnTo>
                                <a:pt x="193206" y="1002589"/>
                              </a:lnTo>
                            </a:path>
                            <a:path w="2196465" h="1012825">
                              <a:moveTo>
                                <a:pt x="244714" y="990813"/>
                              </a:moveTo>
                              <a:lnTo>
                                <a:pt x="244714" y="1002589"/>
                              </a:lnTo>
                            </a:path>
                            <a:path w="2196465" h="1012825">
                              <a:moveTo>
                                <a:pt x="296254" y="990813"/>
                              </a:moveTo>
                              <a:lnTo>
                                <a:pt x="296254" y="1002589"/>
                              </a:lnTo>
                            </a:path>
                            <a:path w="2196465" h="1012825">
                              <a:moveTo>
                                <a:pt x="351009" y="990813"/>
                              </a:moveTo>
                              <a:lnTo>
                                <a:pt x="351009" y="1002589"/>
                              </a:lnTo>
                            </a:path>
                            <a:path w="2196465" h="1012825">
                              <a:moveTo>
                                <a:pt x="402549" y="990813"/>
                              </a:moveTo>
                              <a:lnTo>
                                <a:pt x="402549" y="1002589"/>
                              </a:lnTo>
                            </a:path>
                            <a:path w="2196465" h="1012825">
                              <a:moveTo>
                                <a:pt x="453993" y="990813"/>
                              </a:moveTo>
                              <a:lnTo>
                                <a:pt x="453993" y="1002589"/>
                              </a:lnTo>
                            </a:path>
                            <a:path w="2196465" h="1012825">
                              <a:moveTo>
                                <a:pt x="508748" y="990813"/>
                              </a:moveTo>
                              <a:lnTo>
                                <a:pt x="508748" y="1002589"/>
                              </a:lnTo>
                            </a:path>
                            <a:path w="2196465" h="1012825">
                              <a:moveTo>
                                <a:pt x="560288" y="990813"/>
                              </a:moveTo>
                              <a:lnTo>
                                <a:pt x="560288" y="1002589"/>
                              </a:lnTo>
                            </a:path>
                            <a:path w="2196465" h="1012825">
                              <a:moveTo>
                                <a:pt x="615043" y="990813"/>
                              </a:moveTo>
                              <a:lnTo>
                                <a:pt x="615043" y="1002589"/>
                              </a:lnTo>
                            </a:path>
                            <a:path w="2196465" h="1012825">
                              <a:moveTo>
                                <a:pt x="666551" y="990813"/>
                              </a:moveTo>
                              <a:lnTo>
                                <a:pt x="666551" y="1002589"/>
                              </a:lnTo>
                            </a:path>
                            <a:path w="2196465" h="1012825">
                              <a:moveTo>
                                <a:pt x="718091" y="990813"/>
                              </a:moveTo>
                              <a:lnTo>
                                <a:pt x="718091" y="1002589"/>
                              </a:lnTo>
                            </a:path>
                            <a:path w="2196465" h="1012825">
                              <a:moveTo>
                                <a:pt x="772750" y="990813"/>
                              </a:moveTo>
                              <a:lnTo>
                                <a:pt x="772750" y="1002589"/>
                              </a:lnTo>
                            </a:path>
                            <a:path w="2196465" h="1012825">
                              <a:moveTo>
                                <a:pt x="824290" y="990813"/>
                              </a:moveTo>
                              <a:lnTo>
                                <a:pt x="824290" y="1002589"/>
                              </a:lnTo>
                            </a:path>
                            <a:path w="2196465" h="1012825">
                              <a:moveTo>
                                <a:pt x="875830" y="990813"/>
                              </a:moveTo>
                              <a:lnTo>
                                <a:pt x="875830" y="1002589"/>
                              </a:lnTo>
                            </a:path>
                            <a:path w="2196465" h="1012825">
                              <a:moveTo>
                                <a:pt x="930585" y="990813"/>
                              </a:moveTo>
                              <a:lnTo>
                                <a:pt x="930585" y="1002589"/>
                              </a:lnTo>
                            </a:path>
                            <a:path w="2196465" h="1012825">
                              <a:moveTo>
                                <a:pt x="982126" y="990813"/>
                              </a:moveTo>
                              <a:lnTo>
                                <a:pt x="982126" y="1002589"/>
                              </a:lnTo>
                            </a:path>
                            <a:path w="2196465" h="1012825">
                              <a:moveTo>
                                <a:pt x="1033633" y="990813"/>
                              </a:moveTo>
                              <a:lnTo>
                                <a:pt x="1033633" y="1002589"/>
                              </a:lnTo>
                            </a:path>
                            <a:path w="2196465" h="1012825">
                              <a:moveTo>
                                <a:pt x="1088324" y="990813"/>
                              </a:moveTo>
                              <a:lnTo>
                                <a:pt x="1088324" y="1002589"/>
                              </a:lnTo>
                            </a:path>
                            <a:path w="2196465" h="1012825">
                              <a:moveTo>
                                <a:pt x="1139864" y="990813"/>
                              </a:moveTo>
                              <a:lnTo>
                                <a:pt x="1139864" y="1002589"/>
                              </a:lnTo>
                            </a:path>
                            <a:path w="2196465" h="1012825">
                              <a:moveTo>
                                <a:pt x="1194588" y="990813"/>
                              </a:moveTo>
                              <a:lnTo>
                                <a:pt x="1194588" y="1002589"/>
                              </a:lnTo>
                            </a:path>
                            <a:path w="2196465" h="1012825">
                              <a:moveTo>
                                <a:pt x="1246128" y="990813"/>
                              </a:moveTo>
                              <a:lnTo>
                                <a:pt x="1246128" y="1002589"/>
                              </a:lnTo>
                            </a:path>
                            <a:path w="2196465" h="1012825">
                              <a:moveTo>
                                <a:pt x="1297668" y="990813"/>
                              </a:moveTo>
                              <a:lnTo>
                                <a:pt x="1297668" y="1002589"/>
                              </a:lnTo>
                            </a:path>
                            <a:path w="2196465" h="1012825">
                              <a:moveTo>
                                <a:pt x="1352423" y="990813"/>
                              </a:moveTo>
                              <a:lnTo>
                                <a:pt x="1352423" y="1002589"/>
                              </a:lnTo>
                            </a:path>
                            <a:path w="2196465" h="1012825">
                              <a:moveTo>
                                <a:pt x="1403867" y="990813"/>
                              </a:moveTo>
                              <a:lnTo>
                                <a:pt x="1403867" y="1002589"/>
                              </a:lnTo>
                            </a:path>
                            <a:path w="2196465" h="1012825">
                              <a:moveTo>
                                <a:pt x="1455407" y="990813"/>
                              </a:moveTo>
                              <a:lnTo>
                                <a:pt x="1455407" y="1002589"/>
                              </a:lnTo>
                            </a:path>
                            <a:path w="2196465" h="1012825">
                              <a:moveTo>
                                <a:pt x="1510162" y="990813"/>
                              </a:moveTo>
                              <a:lnTo>
                                <a:pt x="1510162" y="1002589"/>
                              </a:lnTo>
                            </a:path>
                            <a:path w="2196465" h="1012825">
                              <a:moveTo>
                                <a:pt x="1561702" y="990813"/>
                              </a:moveTo>
                              <a:lnTo>
                                <a:pt x="1561702" y="1002589"/>
                              </a:lnTo>
                            </a:path>
                            <a:path w="2196465" h="1012825">
                              <a:moveTo>
                                <a:pt x="1613210" y="990813"/>
                              </a:moveTo>
                              <a:lnTo>
                                <a:pt x="1613210" y="1002589"/>
                              </a:lnTo>
                            </a:path>
                            <a:path w="2196465" h="1012825">
                              <a:moveTo>
                                <a:pt x="1667965" y="990813"/>
                              </a:moveTo>
                              <a:lnTo>
                                <a:pt x="1667965" y="1002589"/>
                              </a:lnTo>
                            </a:path>
                            <a:path w="2196465" h="1012825">
                              <a:moveTo>
                                <a:pt x="1719409" y="990813"/>
                              </a:moveTo>
                              <a:lnTo>
                                <a:pt x="1719409" y="1002589"/>
                              </a:lnTo>
                            </a:path>
                            <a:path w="2196465" h="1012825">
                              <a:moveTo>
                                <a:pt x="1774164" y="990813"/>
                              </a:moveTo>
                              <a:lnTo>
                                <a:pt x="1774164" y="1002589"/>
                              </a:lnTo>
                            </a:path>
                            <a:path w="2196465" h="1012825">
                              <a:moveTo>
                                <a:pt x="1825704" y="990813"/>
                              </a:moveTo>
                              <a:lnTo>
                                <a:pt x="1825704" y="1002589"/>
                              </a:lnTo>
                            </a:path>
                            <a:path w="2196465" h="1012825">
                              <a:moveTo>
                                <a:pt x="1877244" y="990814"/>
                              </a:moveTo>
                              <a:lnTo>
                                <a:pt x="1877244" y="1002590"/>
                              </a:lnTo>
                            </a:path>
                            <a:path w="2196465" h="1012825">
                              <a:moveTo>
                                <a:pt x="1932000" y="990814"/>
                              </a:moveTo>
                              <a:lnTo>
                                <a:pt x="1932000" y="1002590"/>
                              </a:lnTo>
                            </a:path>
                            <a:path w="2196465" h="1012825">
                              <a:moveTo>
                                <a:pt x="1983507" y="990814"/>
                              </a:moveTo>
                              <a:lnTo>
                                <a:pt x="1983507" y="1002590"/>
                              </a:lnTo>
                            </a:path>
                            <a:path w="2196465" h="1012825">
                              <a:moveTo>
                                <a:pt x="2034983" y="990814"/>
                              </a:moveTo>
                              <a:lnTo>
                                <a:pt x="2034983" y="1002590"/>
                              </a:lnTo>
                            </a:path>
                            <a:path w="2196465" h="1012825">
                              <a:moveTo>
                                <a:pt x="2089739" y="990814"/>
                              </a:moveTo>
                              <a:lnTo>
                                <a:pt x="2089739" y="1002590"/>
                              </a:lnTo>
                            </a:path>
                            <a:path w="2196465" h="1012825">
                              <a:moveTo>
                                <a:pt x="2141246" y="990814"/>
                              </a:moveTo>
                              <a:lnTo>
                                <a:pt x="2141246" y="1002590"/>
                              </a:lnTo>
                            </a:path>
                            <a:path w="2196465" h="1012825">
                              <a:moveTo>
                                <a:pt x="2192787" y="990814"/>
                              </a:moveTo>
                              <a:lnTo>
                                <a:pt x="2192787" y="1002590"/>
                              </a:lnTo>
                            </a:path>
                            <a:path w="2196465" h="1012825">
                              <a:moveTo>
                                <a:pt x="35454" y="990813"/>
                              </a:moveTo>
                              <a:lnTo>
                                <a:pt x="35454" y="1012422"/>
                              </a:lnTo>
                            </a:path>
                            <a:path w="2196465" h="1012825">
                              <a:moveTo>
                                <a:pt x="296254" y="990813"/>
                              </a:moveTo>
                              <a:lnTo>
                                <a:pt x="296254" y="1012422"/>
                              </a:lnTo>
                            </a:path>
                            <a:path w="2196465" h="1012825">
                              <a:moveTo>
                                <a:pt x="560288" y="990813"/>
                              </a:moveTo>
                              <a:lnTo>
                                <a:pt x="560288" y="1012422"/>
                              </a:lnTo>
                            </a:path>
                            <a:path w="2196465" h="1012825">
                              <a:moveTo>
                                <a:pt x="824290" y="990813"/>
                              </a:moveTo>
                              <a:lnTo>
                                <a:pt x="824290" y="1012422"/>
                              </a:lnTo>
                            </a:path>
                            <a:path w="2196465" h="1012825">
                              <a:moveTo>
                                <a:pt x="1088324" y="990813"/>
                              </a:moveTo>
                              <a:lnTo>
                                <a:pt x="1088324" y="1012422"/>
                              </a:lnTo>
                            </a:path>
                            <a:path w="2196465" h="1012825">
                              <a:moveTo>
                                <a:pt x="1352423" y="990813"/>
                              </a:moveTo>
                              <a:lnTo>
                                <a:pt x="1352423" y="1012422"/>
                              </a:lnTo>
                            </a:path>
                            <a:path w="2196465" h="1012825">
                              <a:moveTo>
                                <a:pt x="1613210" y="990813"/>
                              </a:moveTo>
                              <a:lnTo>
                                <a:pt x="1613210" y="1012422"/>
                              </a:lnTo>
                            </a:path>
                            <a:path w="2196465" h="1012825">
                              <a:moveTo>
                                <a:pt x="1877244" y="990814"/>
                              </a:moveTo>
                              <a:lnTo>
                                <a:pt x="1877244" y="1012422"/>
                              </a:lnTo>
                            </a:path>
                            <a:path w="2196465" h="1012825">
                              <a:moveTo>
                                <a:pt x="2141246" y="990814"/>
                              </a:moveTo>
                              <a:lnTo>
                                <a:pt x="2141246" y="1012423"/>
                              </a:lnTo>
                            </a:path>
                            <a:path w="2196465" h="1012825">
                              <a:moveTo>
                                <a:pt x="35454" y="752938"/>
                              </a:moveTo>
                              <a:lnTo>
                                <a:pt x="86975" y="741122"/>
                              </a:lnTo>
                              <a:lnTo>
                                <a:pt x="138450" y="735234"/>
                              </a:lnTo>
                              <a:lnTo>
                                <a:pt x="193206" y="729327"/>
                              </a:lnTo>
                              <a:lnTo>
                                <a:pt x="244714" y="664461"/>
                              </a:lnTo>
                              <a:lnTo>
                                <a:pt x="296254" y="688072"/>
                              </a:lnTo>
                              <a:lnTo>
                                <a:pt x="351009" y="678239"/>
                              </a:lnTo>
                              <a:lnTo>
                                <a:pt x="402549" y="670349"/>
                              </a:lnTo>
                              <a:lnTo>
                                <a:pt x="453993" y="664461"/>
                              </a:lnTo>
                              <a:lnTo>
                                <a:pt x="508748" y="648759"/>
                              </a:lnTo>
                              <a:lnTo>
                                <a:pt x="560288" y="638887"/>
                              </a:lnTo>
                              <a:lnTo>
                                <a:pt x="611796" y="642871"/>
                              </a:lnTo>
                              <a:lnTo>
                                <a:pt x="666551" y="636925"/>
                              </a:lnTo>
                              <a:lnTo>
                                <a:pt x="718091" y="636925"/>
                              </a:lnTo>
                              <a:lnTo>
                                <a:pt x="769535" y="629074"/>
                              </a:lnTo>
                              <a:lnTo>
                                <a:pt x="824290" y="619261"/>
                              </a:lnTo>
                              <a:lnTo>
                                <a:pt x="875830" y="613373"/>
                              </a:lnTo>
                              <a:lnTo>
                                <a:pt x="927370" y="585836"/>
                              </a:lnTo>
                              <a:lnTo>
                                <a:pt x="982126" y="579948"/>
                              </a:lnTo>
                              <a:lnTo>
                                <a:pt x="1033633" y="550450"/>
                              </a:lnTo>
                              <a:lnTo>
                                <a:pt x="1085109" y="548487"/>
                              </a:lnTo>
                              <a:lnTo>
                                <a:pt x="1139864" y="548487"/>
                              </a:lnTo>
                              <a:lnTo>
                                <a:pt x="1191372" y="513100"/>
                              </a:lnTo>
                              <a:lnTo>
                                <a:pt x="1242912" y="513100"/>
                              </a:lnTo>
                              <a:lnTo>
                                <a:pt x="1297668" y="503247"/>
                              </a:lnTo>
                              <a:lnTo>
                                <a:pt x="1349208" y="461973"/>
                              </a:lnTo>
                              <a:lnTo>
                                <a:pt x="1400651" y="448214"/>
                              </a:lnTo>
                              <a:lnTo>
                                <a:pt x="1455407" y="446252"/>
                              </a:lnTo>
                              <a:lnTo>
                                <a:pt x="1506947" y="446252"/>
                              </a:lnTo>
                              <a:lnTo>
                                <a:pt x="1558487" y="424623"/>
                              </a:lnTo>
                              <a:lnTo>
                                <a:pt x="1613210" y="420698"/>
                              </a:lnTo>
                              <a:lnTo>
                                <a:pt x="1664750" y="426586"/>
                              </a:lnTo>
                              <a:lnTo>
                                <a:pt x="1716194" y="403014"/>
                              </a:lnTo>
                              <a:lnTo>
                                <a:pt x="1770949" y="391199"/>
                              </a:lnTo>
                              <a:lnTo>
                                <a:pt x="1822489" y="377460"/>
                              </a:lnTo>
                              <a:lnTo>
                                <a:pt x="1874029" y="355812"/>
                              </a:lnTo>
                              <a:lnTo>
                                <a:pt x="1928784" y="349924"/>
                              </a:lnTo>
                              <a:lnTo>
                                <a:pt x="1980292" y="347961"/>
                              </a:lnTo>
                              <a:lnTo>
                                <a:pt x="2031768" y="351887"/>
                              </a:lnTo>
                              <a:lnTo>
                                <a:pt x="2086523" y="342073"/>
                              </a:lnTo>
                              <a:lnTo>
                                <a:pt x="2138031" y="336185"/>
                              </a:lnTo>
                              <a:lnTo>
                                <a:pt x="2192787" y="145473"/>
                              </a:lnTo>
                            </a:path>
                            <a:path w="2196465" h="1012825">
                              <a:moveTo>
                                <a:pt x="35454" y="896448"/>
                              </a:moveTo>
                              <a:lnTo>
                                <a:pt x="54748" y="888597"/>
                              </a:lnTo>
                            </a:path>
                            <a:path w="2196465" h="1012825">
                              <a:moveTo>
                                <a:pt x="67613" y="884672"/>
                              </a:moveTo>
                              <a:lnTo>
                                <a:pt x="86975" y="878784"/>
                              </a:lnTo>
                              <a:lnTo>
                                <a:pt x="90190" y="876762"/>
                              </a:lnTo>
                            </a:path>
                            <a:path w="2196465" h="1012825">
                              <a:moveTo>
                                <a:pt x="106298" y="872837"/>
                              </a:moveTo>
                              <a:lnTo>
                                <a:pt x="128805" y="868912"/>
                              </a:lnTo>
                            </a:path>
                            <a:path w="2196465" h="1012825">
                              <a:moveTo>
                                <a:pt x="141730" y="864986"/>
                              </a:moveTo>
                              <a:lnTo>
                                <a:pt x="167452" y="861061"/>
                              </a:lnTo>
                            </a:path>
                            <a:path w="2196465" h="1012825">
                              <a:moveTo>
                                <a:pt x="183528" y="859098"/>
                              </a:moveTo>
                              <a:lnTo>
                                <a:pt x="193206" y="859098"/>
                              </a:lnTo>
                              <a:lnTo>
                                <a:pt x="206131" y="855173"/>
                              </a:lnTo>
                            </a:path>
                            <a:path w="2196465" h="1012825">
                              <a:moveTo>
                                <a:pt x="218992" y="851248"/>
                              </a:moveTo>
                              <a:lnTo>
                                <a:pt x="241498" y="845360"/>
                              </a:lnTo>
                            </a:path>
                            <a:path w="2196465" h="1012825">
                              <a:moveTo>
                                <a:pt x="254359" y="839413"/>
                              </a:moveTo>
                              <a:lnTo>
                                <a:pt x="273747" y="831562"/>
                              </a:lnTo>
                            </a:path>
                            <a:path w="2196465" h="1012825">
                              <a:moveTo>
                                <a:pt x="283393" y="825674"/>
                              </a:moveTo>
                              <a:lnTo>
                                <a:pt x="296254" y="819786"/>
                              </a:lnTo>
                              <a:lnTo>
                                <a:pt x="302684" y="815861"/>
                              </a:lnTo>
                            </a:path>
                            <a:path w="2196465" h="1012825">
                              <a:moveTo>
                                <a:pt x="315545" y="811936"/>
                              </a:moveTo>
                              <a:lnTo>
                                <a:pt x="338148" y="804026"/>
                              </a:lnTo>
                            </a:path>
                            <a:path w="2196465" h="1012825">
                              <a:moveTo>
                                <a:pt x="351009" y="800101"/>
                              </a:moveTo>
                              <a:lnTo>
                                <a:pt x="370300" y="792250"/>
                              </a:lnTo>
                            </a:path>
                            <a:path w="2196465" h="1012825">
                              <a:moveTo>
                                <a:pt x="383161" y="786362"/>
                              </a:moveTo>
                              <a:lnTo>
                                <a:pt x="402549" y="778511"/>
                              </a:lnTo>
                            </a:path>
                            <a:path w="2196465" h="1012825">
                              <a:moveTo>
                                <a:pt x="418625" y="774527"/>
                              </a:moveTo>
                              <a:lnTo>
                                <a:pt x="444347" y="770602"/>
                              </a:lnTo>
                            </a:path>
                            <a:path w="2196465" h="1012825">
                              <a:moveTo>
                                <a:pt x="457208" y="768639"/>
                              </a:moveTo>
                              <a:lnTo>
                                <a:pt x="479811" y="764714"/>
                              </a:lnTo>
                            </a:path>
                            <a:path w="2196465" h="1012825">
                              <a:moveTo>
                                <a:pt x="495887" y="762751"/>
                              </a:moveTo>
                              <a:lnTo>
                                <a:pt x="508748" y="760788"/>
                              </a:lnTo>
                              <a:lnTo>
                                <a:pt x="518394" y="756863"/>
                              </a:lnTo>
                            </a:path>
                            <a:path w="2196465" h="1012825">
                              <a:moveTo>
                                <a:pt x="531319" y="752938"/>
                              </a:moveTo>
                              <a:lnTo>
                                <a:pt x="553857" y="747050"/>
                              </a:lnTo>
                            </a:path>
                            <a:path w="2196465" h="1012825">
                              <a:moveTo>
                                <a:pt x="566718" y="743125"/>
                              </a:moveTo>
                              <a:lnTo>
                                <a:pt x="589289" y="737197"/>
                              </a:lnTo>
                            </a:path>
                            <a:path w="2196465" h="1012825">
                              <a:moveTo>
                                <a:pt x="605365" y="735235"/>
                              </a:moveTo>
                              <a:lnTo>
                                <a:pt x="611796" y="733272"/>
                              </a:lnTo>
                              <a:lnTo>
                                <a:pt x="627904" y="729327"/>
                              </a:lnTo>
                            </a:path>
                            <a:path w="2196465" h="1012825">
                              <a:moveTo>
                                <a:pt x="643980" y="727364"/>
                              </a:moveTo>
                              <a:lnTo>
                                <a:pt x="666551" y="723439"/>
                              </a:lnTo>
                            </a:path>
                            <a:path w="2196465" h="1012825">
                              <a:moveTo>
                                <a:pt x="682627" y="721476"/>
                              </a:moveTo>
                              <a:lnTo>
                                <a:pt x="708381" y="721476"/>
                              </a:lnTo>
                            </a:path>
                            <a:path w="2196465" h="1012825">
                              <a:moveTo>
                                <a:pt x="721306" y="719514"/>
                              </a:moveTo>
                              <a:lnTo>
                                <a:pt x="747028" y="717551"/>
                              </a:lnTo>
                            </a:path>
                            <a:path w="2196465" h="1012825">
                              <a:moveTo>
                                <a:pt x="763104" y="717551"/>
                              </a:moveTo>
                              <a:lnTo>
                                <a:pt x="769535" y="717551"/>
                              </a:lnTo>
                              <a:lnTo>
                                <a:pt x="785707" y="715588"/>
                              </a:lnTo>
                            </a:path>
                            <a:path w="2196465" h="1012825">
                              <a:moveTo>
                                <a:pt x="801784" y="713626"/>
                              </a:moveTo>
                              <a:lnTo>
                                <a:pt x="824290" y="713626"/>
                              </a:lnTo>
                              <a:lnTo>
                                <a:pt x="824290" y="713626"/>
                              </a:lnTo>
                            </a:path>
                            <a:path w="2196465" h="1012825">
                              <a:moveTo>
                                <a:pt x="837151" y="709700"/>
                              </a:moveTo>
                              <a:lnTo>
                                <a:pt x="859754" y="705736"/>
                              </a:lnTo>
                            </a:path>
                            <a:path w="2196465" h="1012825">
                              <a:moveTo>
                                <a:pt x="872615" y="701810"/>
                              </a:moveTo>
                              <a:lnTo>
                                <a:pt x="875830" y="701810"/>
                              </a:lnTo>
                              <a:lnTo>
                                <a:pt x="895122" y="697885"/>
                              </a:lnTo>
                            </a:path>
                            <a:path w="2196465" h="1012825">
                              <a:moveTo>
                                <a:pt x="911294" y="693960"/>
                              </a:moveTo>
                              <a:lnTo>
                                <a:pt x="927370" y="691997"/>
                              </a:lnTo>
                              <a:lnTo>
                                <a:pt x="933801" y="690034"/>
                              </a:lnTo>
                            </a:path>
                            <a:path w="2196465" h="1012825">
                              <a:moveTo>
                                <a:pt x="949877" y="688072"/>
                              </a:moveTo>
                              <a:lnTo>
                                <a:pt x="972480" y="684127"/>
                              </a:lnTo>
                            </a:path>
                            <a:path w="2196465" h="1012825">
                              <a:moveTo>
                                <a:pt x="985341" y="682164"/>
                              </a:moveTo>
                              <a:lnTo>
                                <a:pt x="1011063" y="678239"/>
                              </a:lnTo>
                            </a:path>
                            <a:path w="2196465" h="1012825">
                              <a:moveTo>
                                <a:pt x="1027139" y="676276"/>
                              </a:moveTo>
                              <a:lnTo>
                                <a:pt x="1033633" y="676276"/>
                              </a:lnTo>
                              <a:lnTo>
                                <a:pt x="1049742" y="672312"/>
                              </a:lnTo>
                            </a:path>
                            <a:path w="2196465" h="1012825">
                              <a:moveTo>
                                <a:pt x="1065818" y="670349"/>
                              </a:moveTo>
                              <a:lnTo>
                                <a:pt x="1085109" y="668386"/>
                              </a:lnTo>
                              <a:lnTo>
                                <a:pt x="1088324" y="666424"/>
                              </a:lnTo>
                            </a:path>
                            <a:path w="2196465" h="1012825">
                              <a:moveTo>
                                <a:pt x="1104465" y="664461"/>
                              </a:moveTo>
                              <a:lnTo>
                                <a:pt x="1130219" y="660536"/>
                              </a:lnTo>
                            </a:path>
                            <a:path w="2196465" h="1012825">
                              <a:moveTo>
                                <a:pt x="1143080" y="658573"/>
                              </a:moveTo>
                              <a:lnTo>
                                <a:pt x="1159220" y="648760"/>
                              </a:lnTo>
                            </a:path>
                            <a:path w="2196465" h="1012825">
                              <a:moveTo>
                                <a:pt x="1168866" y="642872"/>
                              </a:moveTo>
                              <a:lnTo>
                                <a:pt x="1184942" y="632999"/>
                              </a:lnTo>
                            </a:path>
                            <a:path w="2196465" h="1012825">
                              <a:moveTo>
                                <a:pt x="1194588" y="627111"/>
                              </a:moveTo>
                              <a:lnTo>
                                <a:pt x="1217126" y="623186"/>
                              </a:lnTo>
                            </a:path>
                            <a:path w="2196465" h="1012825">
                              <a:moveTo>
                                <a:pt x="1233267" y="621223"/>
                              </a:moveTo>
                              <a:lnTo>
                                <a:pt x="1242912" y="619261"/>
                              </a:lnTo>
                              <a:lnTo>
                                <a:pt x="1255773" y="613373"/>
                              </a:lnTo>
                            </a:path>
                            <a:path w="2196465" h="1012825">
                              <a:moveTo>
                                <a:pt x="1268634" y="609447"/>
                              </a:moveTo>
                              <a:lnTo>
                                <a:pt x="1288022" y="601538"/>
                              </a:lnTo>
                            </a:path>
                            <a:path w="2196465" h="1012825">
                              <a:moveTo>
                                <a:pt x="1300883" y="595650"/>
                              </a:moveTo>
                              <a:lnTo>
                                <a:pt x="1323390" y="587799"/>
                              </a:lnTo>
                            </a:path>
                            <a:path w="2196465" h="1012825">
                              <a:moveTo>
                                <a:pt x="1336250" y="583874"/>
                              </a:moveTo>
                              <a:lnTo>
                                <a:pt x="1349208" y="579949"/>
                              </a:lnTo>
                              <a:lnTo>
                                <a:pt x="1358853" y="577986"/>
                              </a:lnTo>
                            </a:path>
                            <a:path w="2196465" h="1012825">
                              <a:moveTo>
                                <a:pt x="1371714" y="574061"/>
                              </a:moveTo>
                              <a:lnTo>
                                <a:pt x="1394221" y="570076"/>
                              </a:lnTo>
                            </a:path>
                            <a:path w="2196465" h="1012825">
                              <a:moveTo>
                                <a:pt x="1407082" y="568114"/>
                              </a:moveTo>
                              <a:lnTo>
                                <a:pt x="1429685" y="564188"/>
                              </a:lnTo>
                            </a:path>
                            <a:path w="2196465" h="1012825">
                              <a:moveTo>
                                <a:pt x="1445761" y="562226"/>
                              </a:moveTo>
                              <a:lnTo>
                                <a:pt x="1455407" y="560263"/>
                              </a:lnTo>
                              <a:lnTo>
                                <a:pt x="1468268" y="558300"/>
                              </a:lnTo>
                            </a:path>
                            <a:path w="2196465" h="1012825">
                              <a:moveTo>
                                <a:pt x="1484440" y="554375"/>
                              </a:moveTo>
                              <a:lnTo>
                                <a:pt x="1506947" y="552412"/>
                              </a:lnTo>
                              <a:lnTo>
                                <a:pt x="1506947" y="552412"/>
                              </a:lnTo>
                            </a:path>
                            <a:path w="2196465" h="1012825">
                              <a:moveTo>
                                <a:pt x="1519808" y="548487"/>
                              </a:moveTo>
                              <a:lnTo>
                                <a:pt x="1542379" y="544562"/>
                              </a:lnTo>
                            </a:path>
                            <a:path w="2196465" h="1012825">
                              <a:moveTo>
                                <a:pt x="1558487" y="542599"/>
                              </a:moveTo>
                              <a:lnTo>
                                <a:pt x="1580993" y="536652"/>
                              </a:lnTo>
                            </a:path>
                            <a:path w="2196465" h="1012825">
                              <a:moveTo>
                                <a:pt x="1593854" y="532727"/>
                              </a:moveTo>
                              <a:lnTo>
                                <a:pt x="1613210" y="528801"/>
                              </a:lnTo>
                              <a:lnTo>
                                <a:pt x="1616425" y="526839"/>
                              </a:lnTo>
                            </a:path>
                            <a:path w="2196465" h="1012825">
                              <a:moveTo>
                                <a:pt x="1629286" y="522913"/>
                              </a:moveTo>
                              <a:lnTo>
                                <a:pt x="1651825" y="515063"/>
                              </a:lnTo>
                            </a:path>
                            <a:path w="2196465" h="1012825">
                              <a:moveTo>
                                <a:pt x="1664750" y="511137"/>
                              </a:moveTo>
                              <a:lnTo>
                                <a:pt x="1687257" y="507212"/>
                              </a:lnTo>
                            </a:path>
                            <a:path w="2196465" h="1012825">
                              <a:moveTo>
                                <a:pt x="1703333" y="505249"/>
                              </a:moveTo>
                              <a:lnTo>
                                <a:pt x="1716194" y="505249"/>
                              </a:lnTo>
                              <a:lnTo>
                                <a:pt x="1725936" y="501285"/>
                              </a:lnTo>
                            </a:path>
                            <a:path w="2196465" h="1012825">
                              <a:moveTo>
                                <a:pt x="1742012" y="499322"/>
                              </a:moveTo>
                              <a:lnTo>
                                <a:pt x="1764518" y="493415"/>
                              </a:lnTo>
                            </a:path>
                            <a:path w="2196465" h="1012825">
                              <a:moveTo>
                                <a:pt x="1777379" y="491452"/>
                              </a:moveTo>
                              <a:lnTo>
                                <a:pt x="1799982" y="485564"/>
                              </a:lnTo>
                            </a:path>
                            <a:path w="2196465" h="1012825">
                              <a:moveTo>
                                <a:pt x="1816059" y="483601"/>
                              </a:moveTo>
                              <a:lnTo>
                                <a:pt x="1822489" y="481639"/>
                              </a:lnTo>
                              <a:lnTo>
                                <a:pt x="1838565" y="477713"/>
                              </a:lnTo>
                            </a:path>
                            <a:path w="2196465" h="1012825">
                              <a:moveTo>
                                <a:pt x="1851522" y="473788"/>
                              </a:moveTo>
                              <a:lnTo>
                                <a:pt x="1874029" y="469823"/>
                              </a:lnTo>
                            </a:path>
                            <a:path w="2196465" h="1012825">
                              <a:moveTo>
                                <a:pt x="1886890" y="465898"/>
                              </a:moveTo>
                              <a:lnTo>
                                <a:pt x="1909397" y="460010"/>
                              </a:lnTo>
                            </a:path>
                            <a:path w="2196465" h="1012825">
                              <a:moveTo>
                                <a:pt x="1925569" y="456085"/>
                              </a:moveTo>
                              <a:lnTo>
                                <a:pt x="1928784" y="456085"/>
                              </a:lnTo>
                              <a:lnTo>
                                <a:pt x="1941645" y="446252"/>
                              </a:lnTo>
                            </a:path>
                            <a:path w="2196465" h="1012825">
                              <a:moveTo>
                                <a:pt x="1951291" y="440364"/>
                              </a:moveTo>
                              <a:lnTo>
                                <a:pt x="1967367" y="428548"/>
                              </a:lnTo>
                            </a:path>
                            <a:path w="2196465" h="1012825">
                              <a:moveTo>
                                <a:pt x="1977013" y="422660"/>
                              </a:moveTo>
                              <a:lnTo>
                                <a:pt x="1980292" y="422660"/>
                              </a:lnTo>
                              <a:lnTo>
                                <a:pt x="1996401" y="414810"/>
                              </a:lnTo>
                            </a:path>
                            <a:path w="2196465" h="1012825">
                              <a:moveTo>
                                <a:pt x="2009261" y="410884"/>
                              </a:moveTo>
                              <a:lnTo>
                                <a:pt x="2028553" y="403014"/>
                              </a:lnTo>
                            </a:path>
                            <a:path w="2196465" h="1012825">
                              <a:moveTo>
                                <a:pt x="2041478" y="399050"/>
                              </a:moveTo>
                              <a:lnTo>
                                <a:pt x="2063985" y="393162"/>
                              </a:lnTo>
                            </a:path>
                            <a:path w="2196465" h="1012825">
                              <a:moveTo>
                                <a:pt x="2080093" y="391199"/>
                              </a:moveTo>
                              <a:lnTo>
                                <a:pt x="2086523" y="389236"/>
                              </a:lnTo>
                              <a:lnTo>
                                <a:pt x="2102599" y="389236"/>
                              </a:lnTo>
                            </a:path>
                            <a:path w="2196465" h="1012825">
                              <a:moveTo>
                                <a:pt x="2118740" y="389236"/>
                              </a:moveTo>
                              <a:lnTo>
                                <a:pt x="2138031" y="389236"/>
                              </a:lnTo>
                              <a:lnTo>
                                <a:pt x="2144462" y="389236"/>
                              </a:lnTo>
                            </a:path>
                            <a:path w="2196465" h="1012825">
                              <a:moveTo>
                                <a:pt x="2160570" y="389236"/>
                              </a:moveTo>
                              <a:lnTo>
                                <a:pt x="2186356" y="389236"/>
                              </a:lnTo>
                            </a:path>
                            <a:path w="2196465" h="1012825">
                              <a:moveTo>
                                <a:pt x="32239" y="0"/>
                              </a:moveTo>
                              <a:lnTo>
                                <a:pt x="32239" y="990813"/>
                              </a:lnTo>
                              <a:lnTo>
                                <a:pt x="2196002" y="990814"/>
                              </a:lnTo>
                              <a:lnTo>
                                <a:pt x="2196002" y="0"/>
                              </a:lnTo>
                              <a:lnTo>
                                <a:pt x="32239" y="0"/>
                              </a:lnTo>
                            </a:path>
                          </a:pathLst>
                        </a:custGeom>
                        <a:ln w="517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8.003746pt;margin-top:2.688679pt;width:172.95pt;height:79.75pt;mso-position-horizontal-relative:page;mso-position-vertical-relative:paragraph;z-index:15747584" id="docshape87" coordorigin="1360,54" coordsize="3459,1595" path="m1360,1611l1411,1611m1360,1298l1411,1298m1360,989l1411,989m1360,676l1411,676m1360,366l1411,366m1360,57l1411,57m1416,1614l1416,1633m1497,1614l1497,1633m1578,1614l1578,1633m1664,1614l1664,1633m1745,1614l1745,1633m1827,1614l1827,1633m1913,1614l1913,1633m1994,1614l1994,1633m2075,1614l2075,1633m2161,1614l2161,1633m2242,1614l2242,1633m2329,1614l2329,1633m2410,1614l2410,1633m2491,1614l2491,1633m2577,1614l2577,1633m2658,1614l2658,1633m2739,1614l2739,1633m2826,1614l2826,1633m2907,1614l2907,1633m2988,1614l2988,1633m3074,1614l3074,1633m3155,1614l3155,1633m3241,1614l3241,1633m3322,1614l3322,1633m3404,1614l3404,1633m3490,1614l3490,1633m3571,1614l3571,1633m3652,1614l3652,1633m3738,1614l3738,1633m3819,1614l3819,1633m3901,1614l3901,1633m3987,1614l3987,1633m4068,1614l4068,1633m4154,1614l4154,1633m4235,1614l4235,1633m4316,1614l4316,1633m4403,1614l4403,1633m4484,1614l4484,1633m4565,1614l4565,1633m4651,1614l4651,1633m4732,1614l4732,1633m4813,1614l4813,1633m1416,1614l1416,1648m1827,1614l1827,1648m2242,1614l2242,1648m2658,1614l2658,1648m3074,1614l3074,1648m3490,1614l3490,1648m3901,1614l3901,1648m4316,1614l4316,1648m4732,1614l4732,1648m1416,1240l1497,1221,1578,1212,1664,1202,1745,1100,1827,1137,1913,1122,1994,1109,2075,1100,2161,1075,2242,1060,2324,1066,2410,1057,2491,1057,2572,1044,2658,1029,2739,1020,2821,976,2907,967,2988,921,3069,918,3155,918,3236,862,3317,862,3404,846,3485,781,3566,760,3652,757,3733,757,3814,722,3901,716,3982,726,4063,688,4149,670,4230,648,4311,614,4398,605,4479,602,4560,608,4646,592,4727,583,4813,283m1416,1466l1446,1453m1467,1447l1497,1438,1502,1435m1527,1428l1563,1422m1583,1416l1624,1410m1649,1407l1664,1407,1685,1401m1705,1394l1740,1385m1761,1376l1791,1363m1806,1354l1827,1345,1837,1339m1857,1332l1893,1320m1913,1314l1943,1301m1963,1292l1994,1280m2019,1274l2060,1267m2080,1264l2116,1258m2141,1255l2161,1252,2176,1246m2197,1240l2232,1230m2253,1224l2288,1215m2313,1212l2324,1209,2349,1202m2374,1199l2410,1193m2435,1190l2476,1190m2496,1187l2536,1184m2562,1184l2572,1184,2597,1181m2623,1178l2658,1178,2658,1178m2678,1171l2714,1165m2734,1159l2739,1159,2770,1153m2795,1147l2821,1144,2831,1140m2856,1137l2892,1131m2912,1128l2952,1122m2978,1119l2988,1119,3013,1113m3039,1109l3069,1106,3074,1103m3099,1100l3140,1094m3160,1091l3186,1075m3201,1066l3226,1051m3241,1041l3277,1035m3302,1032l3317,1029,3338,1020m3358,1014l3388,1001m3409,992l3444,979m3464,973l3485,967,3500,964m3520,958l3556,952m3576,948l3612,942m3637,939l3652,936,3672,933m3698,927l3733,924,3733,924m3753,918l3789,911m3814,908l3850,899m3870,893l3901,887,3906,883m3926,877l3961,865m3982,859l4017,853m4042,849l4063,849,4078,843m4103,840l4139,831m4159,828l4195,818m4220,815l4230,812,4255,806m4276,800l4311,794m4332,787l4367,778m4392,772l4398,772,4418,757m4433,747l4458,729m4473,719l4479,719,4504,707m4524,701l4555,688m4575,682l4610,673m4636,670l4646,667,4671,667m4697,667l4727,667,4737,667m4763,667l4803,667m1411,54l1411,1614,4818,1614,4818,54,1411,54e" filled="false" stroked="true" strokeweight=".40779pt" strokecolor="#000000">
                <v:path arrowok="t"/>
                <v:stroke dashstyle="solid"/>
                <w10:wrap type="none"/>
              </v:shape>
            </w:pict>
          </mc:Fallback>
        </mc:AlternateContent>
      </w:r>
      <w:r>
        <w:rPr>
          <w:rFonts w:ascii="Arial MT"/>
          <w:spacing w:val="-5"/>
          <w:w w:val="175"/>
          <w:sz w:val="8"/>
        </w:rPr>
        <w:t>24</w:t>
      </w:r>
    </w:p>
    <w:p>
      <w:pPr>
        <w:pStyle w:val="BodyText"/>
        <w:rPr>
          <w:rFonts w:ascii="Arial MT"/>
          <w:sz w:val="8"/>
        </w:rPr>
      </w:pPr>
    </w:p>
    <w:p>
      <w:pPr>
        <w:pStyle w:val="BodyText"/>
        <w:spacing w:before="34"/>
        <w:rPr>
          <w:rFonts w:ascii="Arial MT"/>
          <w:sz w:val="8"/>
        </w:rPr>
      </w:pPr>
    </w:p>
    <w:p>
      <w:pPr>
        <w:spacing w:before="0"/>
        <w:ind w:left="887" w:right="0" w:firstLine="0"/>
        <w:jc w:val="left"/>
        <w:rPr>
          <w:rFonts w:ascii="Arial MT"/>
          <w:sz w:val="8"/>
        </w:rPr>
      </w:pPr>
      <w:r>
        <w:rPr>
          <w:rFonts w:ascii="Arial MT"/>
          <w:spacing w:val="-5"/>
          <w:w w:val="175"/>
          <w:sz w:val="8"/>
        </w:rPr>
        <w:t>20</w:t>
      </w:r>
    </w:p>
    <w:p>
      <w:pPr>
        <w:pStyle w:val="BodyText"/>
        <w:rPr>
          <w:rFonts w:ascii="Arial MT"/>
          <w:sz w:val="8"/>
        </w:rPr>
      </w:pPr>
    </w:p>
    <w:p>
      <w:pPr>
        <w:pStyle w:val="BodyText"/>
        <w:spacing w:before="33"/>
        <w:rPr>
          <w:rFonts w:ascii="Arial MT"/>
          <w:sz w:val="8"/>
        </w:rPr>
      </w:pPr>
    </w:p>
    <w:p>
      <w:pPr>
        <w:spacing w:before="0"/>
        <w:ind w:left="887" w:right="0" w:firstLine="0"/>
        <w:jc w:val="left"/>
        <w:rPr>
          <w:rFonts w:ascii="Arial MT"/>
          <w:sz w:val="8"/>
        </w:rPr>
      </w:pPr>
      <w:r>
        <w:rPr>
          <w:rFonts w:ascii="Arial MT"/>
          <w:spacing w:val="-5"/>
          <w:w w:val="175"/>
          <w:sz w:val="8"/>
        </w:rPr>
        <w:t>16</w:t>
      </w:r>
    </w:p>
    <w:p>
      <w:pPr>
        <w:pStyle w:val="BodyText"/>
        <w:rPr>
          <w:rFonts w:ascii="Arial MT"/>
          <w:sz w:val="8"/>
        </w:rPr>
      </w:pPr>
    </w:p>
    <w:p>
      <w:pPr>
        <w:pStyle w:val="BodyText"/>
        <w:spacing w:before="37"/>
        <w:rPr>
          <w:rFonts w:ascii="Arial MT"/>
          <w:sz w:val="8"/>
        </w:rPr>
      </w:pPr>
    </w:p>
    <w:p>
      <w:pPr>
        <w:spacing w:before="0"/>
        <w:ind w:left="887" w:right="0" w:firstLine="0"/>
        <w:jc w:val="left"/>
        <w:rPr>
          <w:rFonts w:ascii="Arial MT"/>
          <w:sz w:val="8"/>
        </w:rPr>
      </w:pPr>
      <w:r>
        <w:rPr>
          <w:rFonts w:ascii="Arial MT"/>
          <w:spacing w:val="-5"/>
          <w:w w:val="175"/>
          <w:sz w:val="8"/>
        </w:rPr>
        <w:t>12</w:t>
      </w:r>
    </w:p>
    <w:p>
      <w:pPr>
        <w:pStyle w:val="BodyText"/>
        <w:rPr>
          <w:rFonts w:ascii="Arial MT"/>
          <w:sz w:val="8"/>
        </w:rPr>
      </w:pPr>
    </w:p>
    <w:p>
      <w:pPr>
        <w:pStyle w:val="BodyText"/>
        <w:spacing w:before="33"/>
        <w:rPr>
          <w:rFonts w:ascii="Arial MT"/>
          <w:sz w:val="8"/>
        </w:rPr>
      </w:pPr>
    </w:p>
    <w:p>
      <w:pPr>
        <w:spacing w:before="1"/>
        <w:ind w:left="968" w:right="0" w:firstLine="0"/>
        <w:jc w:val="left"/>
        <w:rPr>
          <w:rFonts w:ascii="Arial MT"/>
          <w:sz w:val="8"/>
        </w:rPr>
      </w:pPr>
      <w:r>
        <w:rPr>
          <w:rFonts w:ascii="Arial MT"/>
          <w:spacing w:val="-10"/>
          <w:w w:val="175"/>
          <w:sz w:val="8"/>
        </w:rPr>
        <w:t>8</w:t>
      </w:r>
    </w:p>
    <w:p>
      <w:pPr>
        <w:pStyle w:val="BodyText"/>
        <w:rPr>
          <w:rFonts w:ascii="Arial MT"/>
          <w:sz w:val="8"/>
        </w:rPr>
      </w:pPr>
    </w:p>
    <w:p>
      <w:pPr>
        <w:pStyle w:val="BodyText"/>
        <w:spacing w:before="36"/>
        <w:rPr>
          <w:rFonts w:ascii="Arial MT"/>
          <w:sz w:val="8"/>
        </w:rPr>
      </w:pPr>
    </w:p>
    <w:p>
      <w:pPr>
        <w:spacing w:before="0"/>
        <w:ind w:left="968" w:right="0" w:firstLine="0"/>
        <w:jc w:val="left"/>
        <w:rPr>
          <w:rFonts w:ascii="Arial MT"/>
          <w:sz w:val="8"/>
        </w:rPr>
      </w:pPr>
      <w:r>
        <w:rPr>
          <w:rFonts w:ascii="Arial MT"/>
          <w:spacing w:val="-10"/>
          <w:w w:val="175"/>
          <w:sz w:val="8"/>
        </w:rPr>
        <w:t>4</w:t>
      </w:r>
    </w:p>
    <w:p>
      <w:pPr>
        <w:tabs>
          <w:tab w:pos="1465" w:val="left" w:leader="none"/>
          <w:tab w:pos="1881" w:val="left" w:leader="none"/>
          <w:tab w:pos="2296" w:val="left" w:leader="none"/>
          <w:tab w:pos="2712" w:val="left" w:leader="none"/>
          <w:tab w:pos="3128" w:val="left" w:leader="none"/>
          <w:tab w:pos="3539" w:val="left" w:leader="none"/>
          <w:tab w:pos="3955" w:val="left" w:leader="none"/>
          <w:tab w:pos="4370" w:val="left" w:leader="none"/>
        </w:tabs>
        <w:spacing w:before="11"/>
        <w:ind w:left="1054" w:right="0" w:firstLine="0"/>
        <w:jc w:val="left"/>
        <w:rPr>
          <w:rFonts w:ascii="Arial MT"/>
          <w:sz w:val="8"/>
        </w:rPr>
      </w:pPr>
      <w:r>
        <w:rPr>
          <w:rFonts w:ascii="Arial MT"/>
          <w:spacing w:val="-5"/>
          <w:w w:val="175"/>
          <w:sz w:val="8"/>
        </w:rPr>
        <w:t>70</w:t>
      </w:r>
      <w:r>
        <w:rPr>
          <w:rFonts w:ascii="Arial MT"/>
          <w:sz w:val="8"/>
        </w:rPr>
        <w:tab/>
      </w:r>
      <w:r>
        <w:rPr>
          <w:rFonts w:ascii="Arial MT"/>
          <w:spacing w:val="-5"/>
          <w:w w:val="175"/>
          <w:sz w:val="8"/>
        </w:rPr>
        <w:t>75</w:t>
      </w:r>
      <w:r>
        <w:rPr>
          <w:rFonts w:ascii="Arial MT"/>
          <w:sz w:val="8"/>
        </w:rPr>
        <w:tab/>
      </w:r>
      <w:r>
        <w:rPr>
          <w:rFonts w:ascii="Arial MT"/>
          <w:spacing w:val="-5"/>
          <w:w w:val="175"/>
          <w:sz w:val="8"/>
        </w:rPr>
        <w:t>80</w:t>
      </w:r>
      <w:r>
        <w:rPr>
          <w:rFonts w:ascii="Arial MT"/>
          <w:sz w:val="8"/>
        </w:rPr>
        <w:tab/>
      </w:r>
      <w:r>
        <w:rPr>
          <w:rFonts w:ascii="Arial MT"/>
          <w:spacing w:val="-5"/>
          <w:w w:val="175"/>
          <w:sz w:val="8"/>
        </w:rPr>
        <w:t>85</w:t>
      </w:r>
      <w:r>
        <w:rPr>
          <w:rFonts w:ascii="Arial MT"/>
          <w:sz w:val="8"/>
        </w:rPr>
        <w:tab/>
      </w:r>
      <w:r>
        <w:rPr>
          <w:rFonts w:ascii="Arial MT"/>
          <w:spacing w:val="-5"/>
          <w:w w:val="175"/>
          <w:sz w:val="8"/>
        </w:rPr>
        <w:t>90</w:t>
      </w:r>
      <w:r>
        <w:rPr>
          <w:rFonts w:ascii="Arial MT"/>
          <w:sz w:val="8"/>
        </w:rPr>
        <w:tab/>
      </w:r>
      <w:r>
        <w:rPr>
          <w:rFonts w:ascii="Arial MT"/>
          <w:spacing w:val="-5"/>
          <w:w w:val="175"/>
          <w:sz w:val="8"/>
        </w:rPr>
        <w:t>95</w:t>
      </w:r>
      <w:r>
        <w:rPr>
          <w:rFonts w:ascii="Arial MT"/>
          <w:sz w:val="8"/>
        </w:rPr>
        <w:tab/>
      </w:r>
      <w:r>
        <w:rPr>
          <w:rFonts w:ascii="Arial MT"/>
          <w:spacing w:val="-5"/>
          <w:w w:val="175"/>
          <w:sz w:val="8"/>
        </w:rPr>
        <w:t>00</w:t>
      </w:r>
      <w:r>
        <w:rPr>
          <w:rFonts w:ascii="Arial MT"/>
          <w:sz w:val="8"/>
        </w:rPr>
        <w:tab/>
      </w:r>
      <w:r>
        <w:rPr>
          <w:rFonts w:ascii="Arial MT"/>
          <w:spacing w:val="-5"/>
          <w:w w:val="175"/>
          <w:sz w:val="8"/>
        </w:rPr>
        <w:t>05</w:t>
      </w:r>
      <w:r>
        <w:rPr>
          <w:rFonts w:ascii="Arial MT"/>
          <w:sz w:val="8"/>
        </w:rPr>
        <w:tab/>
      </w:r>
      <w:r>
        <w:rPr>
          <w:rFonts w:ascii="Arial MT"/>
          <w:spacing w:val="-5"/>
          <w:w w:val="175"/>
          <w:sz w:val="8"/>
        </w:rPr>
        <w:t>10</w:t>
      </w:r>
    </w:p>
    <w:p>
      <w:pPr>
        <w:pStyle w:val="BodyText"/>
        <w:spacing w:before="2"/>
        <w:rPr>
          <w:rFonts w:ascii="Arial MT"/>
          <w:sz w:val="5"/>
        </w:rPr>
      </w:pPr>
      <w:r>
        <w:rPr/>
        <mc:AlternateContent>
          <mc:Choice Requires="wps">
            <w:drawing>
              <wp:anchor distT="0" distB="0" distL="0" distR="0" allowOverlap="1" layoutInCell="1" locked="0" behindDoc="1" simplePos="0" relativeHeight="487605248">
                <wp:simplePos x="0" y="0"/>
                <wp:positionH relativeFrom="page">
                  <wp:posOffset>1483130</wp:posOffset>
                </wp:positionH>
                <wp:positionV relativeFrom="paragraph">
                  <wp:posOffset>53984</wp:posOffset>
                </wp:positionV>
                <wp:extent cx="986155" cy="94615"/>
                <wp:effectExtent l="0" t="0" r="0" b="0"/>
                <wp:wrapTopAndBottom/>
                <wp:docPr id="102" name="Group 102"/>
                <wp:cNvGraphicFramePr>
                  <a:graphicFrameLocks/>
                </wp:cNvGraphicFramePr>
                <a:graphic>
                  <a:graphicData uri="http://schemas.microsoft.com/office/word/2010/wordprocessingGroup">
                    <wpg:wgp>
                      <wpg:cNvPr id="102" name="Group 102"/>
                      <wpg:cNvGrpSpPr/>
                      <wpg:grpSpPr>
                        <a:xfrm>
                          <a:off x="0" y="0"/>
                          <a:ext cx="986155" cy="94615"/>
                          <a:chExt cx="986155" cy="94615"/>
                        </a:xfrm>
                      </wpg:grpSpPr>
                      <wps:wsp>
                        <wps:cNvPr id="103" name="Graphic 103"/>
                        <wps:cNvSpPr/>
                        <wps:spPr>
                          <a:xfrm>
                            <a:off x="40637" y="49151"/>
                            <a:ext cx="528320" cy="1270"/>
                          </a:xfrm>
                          <a:custGeom>
                            <a:avLst/>
                            <a:gdLst/>
                            <a:ahLst/>
                            <a:cxnLst/>
                            <a:rect l="l" t="t" r="r" b="b"/>
                            <a:pathLst>
                              <a:path w="528320" h="0">
                                <a:moveTo>
                                  <a:pt x="0" y="0"/>
                                </a:moveTo>
                                <a:lnTo>
                                  <a:pt x="157738" y="0"/>
                                </a:lnTo>
                              </a:path>
                              <a:path w="528320" h="0">
                                <a:moveTo>
                                  <a:pt x="376727" y="0"/>
                                </a:moveTo>
                                <a:lnTo>
                                  <a:pt x="402481" y="0"/>
                                </a:lnTo>
                              </a:path>
                              <a:path w="528320" h="0">
                                <a:moveTo>
                                  <a:pt x="418558" y="0"/>
                                </a:moveTo>
                                <a:lnTo>
                                  <a:pt x="444344" y="0"/>
                                </a:lnTo>
                              </a:path>
                              <a:path w="528320" h="0">
                                <a:moveTo>
                                  <a:pt x="460420" y="0"/>
                                </a:moveTo>
                                <a:lnTo>
                                  <a:pt x="486174" y="0"/>
                                </a:lnTo>
                              </a:path>
                              <a:path w="528320" h="0">
                                <a:moveTo>
                                  <a:pt x="502314" y="0"/>
                                </a:moveTo>
                                <a:lnTo>
                                  <a:pt x="528036" y="0"/>
                                </a:lnTo>
                              </a:path>
                            </a:pathLst>
                          </a:custGeom>
                          <a:ln w="5178">
                            <a:solidFill>
                              <a:srgbClr val="000000"/>
                            </a:solidFill>
                            <a:prstDash val="solid"/>
                          </a:ln>
                        </wps:spPr>
                        <wps:bodyPr wrap="square" lIns="0" tIns="0" rIns="0" bIns="0" rtlCol="0">
                          <a:prstTxWarp prst="textNoShape">
                            <a:avLst/>
                          </a:prstTxWarp>
                          <a:noAutofit/>
                        </wps:bodyPr>
                      </wps:wsp>
                      <wps:wsp>
                        <wps:cNvPr id="104" name="Textbox 104"/>
                        <wps:cNvSpPr txBox="1"/>
                        <wps:spPr>
                          <a:xfrm>
                            <a:off x="1990" y="1990"/>
                            <a:ext cx="982344" cy="90805"/>
                          </a:xfrm>
                          <a:prstGeom prst="rect">
                            <a:avLst/>
                          </a:prstGeom>
                          <a:ln w="3981">
                            <a:solidFill>
                              <a:srgbClr val="000000"/>
                            </a:solidFill>
                            <a:prstDash val="solid"/>
                          </a:ln>
                        </wps:spPr>
                        <wps:txbx>
                          <w:txbxContent>
                            <w:p>
                              <w:pPr>
                                <w:tabs>
                                  <w:tab w:pos="950" w:val="left" w:leader="none"/>
                                </w:tabs>
                                <w:spacing w:before="27"/>
                                <w:ind w:left="356" w:right="0" w:firstLine="0"/>
                                <w:jc w:val="left"/>
                                <w:rPr>
                                  <w:rFonts w:ascii="Arial MT"/>
                                  <w:sz w:val="8"/>
                                </w:rPr>
                              </w:pPr>
                              <w:r>
                                <w:rPr>
                                  <w:rFonts w:ascii="Arial MT"/>
                                  <w:spacing w:val="-5"/>
                                  <w:w w:val="175"/>
                                  <w:sz w:val="8"/>
                                </w:rPr>
                                <w:t>KF</w:t>
                              </w:r>
                              <w:r>
                                <w:rPr>
                                  <w:rFonts w:ascii="Arial MT"/>
                                  <w:sz w:val="8"/>
                                </w:rPr>
                                <w:tab/>
                              </w:r>
                              <w:r>
                                <w:rPr>
                                  <w:rFonts w:ascii="Arial MT"/>
                                  <w:spacing w:val="-2"/>
                                  <w:w w:val="175"/>
                                  <w:sz w:val="8"/>
                                </w:rPr>
                                <w:t>PRIVCR</w:t>
                              </w:r>
                            </w:p>
                          </w:txbxContent>
                        </wps:txbx>
                        <wps:bodyPr wrap="square" lIns="0" tIns="0" rIns="0" bIns="0" rtlCol="0">
                          <a:noAutofit/>
                        </wps:bodyPr>
                      </wps:wsp>
                    </wpg:wgp>
                  </a:graphicData>
                </a:graphic>
              </wp:anchor>
            </w:drawing>
          </mc:Choice>
          <mc:Fallback>
            <w:pict>
              <v:group style="position:absolute;margin-left:116.781952pt;margin-top:4.250713pt;width:77.650pt;height:7.45pt;mso-position-horizontal-relative:page;mso-position-vertical-relative:paragraph;z-index:-15711232;mso-wrap-distance-left:0;mso-wrap-distance-right:0" id="docshapegroup88" coordorigin="2336,85" coordsize="1553,149">
                <v:shape style="position:absolute;left:2399;top:162;width:832;height:2" id="docshape89" coordorigin="2400,162" coordsize="832,0" path="m2400,162l2648,162m2993,162l3033,162m3059,162l3099,162m3125,162l3165,162m3191,162l3231,162e" filled="false" stroked="true" strokeweight=".40779pt" strokecolor="#000000">
                  <v:path arrowok="t"/>
                  <v:stroke dashstyle="solid"/>
                </v:shape>
                <v:shape style="position:absolute;left:2338;top:88;width:1547;height:143" type="#_x0000_t202" id="docshape90" filled="false" stroked="true" strokeweight=".313534pt" strokecolor="#000000">
                  <v:textbox inset="0,0,0,0">
                    <w:txbxContent>
                      <w:p>
                        <w:pPr>
                          <w:tabs>
                            <w:tab w:pos="950" w:val="left" w:leader="none"/>
                          </w:tabs>
                          <w:spacing w:before="27"/>
                          <w:ind w:left="356" w:right="0" w:firstLine="0"/>
                          <w:jc w:val="left"/>
                          <w:rPr>
                            <w:rFonts w:ascii="Arial MT"/>
                            <w:sz w:val="8"/>
                          </w:rPr>
                        </w:pPr>
                        <w:r>
                          <w:rPr>
                            <w:rFonts w:ascii="Arial MT"/>
                            <w:spacing w:val="-5"/>
                            <w:w w:val="175"/>
                            <w:sz w:val="8"/>
                          </w:rPr>
                          <w:t>KF</w:t>
                        </w:r>
                        <w:r>
                          <w:rPr>
                            <w:rFonts w:ascii="Arial MT"/>
                            <w:sz w:val="8"/>
                          </w:rPr>
                          <w:tab/>
                        </w:r>
                        <w:r>
                          <w:rPr>
                            <w:rFonts w:ascii="Arial MT"/>
                            <w:spacing w:val="-2"/>
                            <w:w w:val="175"/>
                            <w:sz w:val="8"/>
                          </w:rPr>
                          <w:t>PRIVCR</w:t>
                        </w:r>
                      </w:p>
                    </w:txbxContent>
                  </v:textbox>
                  <v:stroke dashstyle="solid"/>
                  <w10:wrap type="none"/>
                </v:shape>
                <w10:wrap type="topAndBottom"/>
              </v:group>
            </w:pict>
          </mc:Fallback>
        </mc:AlternateContent>
      </w:r>
    </w:p>
    <w:p>
      <w:pPr>
        <w:pStyle w:val="BodyText"/>
        <w:rPr>
          <w:rFonts w:ascii="Arial MT"/>
        </w:rPr>
      </w:pPr>
    </w:p>
    <w:p>
      <w:pPr>
        <w:pStyle w:val="BodyText"/>
        <w:spacing w:before="120"/>
        <w:rPr>
          <w:rFonts w:ascii="Arial MT"/>
        </w:rPr>
      </w:pPr>
    </w:p>
    <w:p>
      <w:pPr>
        <w:pStyle w:val="BodyText"/>
        <w:spacing w:line="480" w:lineRule="auto"/>
        <w:ind w:left="711"/>
      </w:pPr>
      <w:r>
        <w:rPr>
          <w:b/>
        </w:rPr>
        <w:t>Figure</w:t>
      </w:r>
      <w:r>
        <w:rPr>
          <w:b/>
          <w:spacing w:val="-5"/>
        </w:rPr>
        <w:t> </w:t>
      </w:r>
      <w:r>
        <w:rPr>
          <w:b/>
        </w:rPr>
        <w:t>4.</w:t>
      </w:r>
      <w:r>
        <w:rPr>
          <w:b/>
          <w:spacing w:val="-4"/>
        </w:rPr>
        <w:t> </w:t>
      </w:r>
      <w:r>
        <w:rPr>
          <w:b/>
        </w:rPr>
        <w:t>2</w:t>
      </w:r>
      <w:r>
        <w:rPr>
          <w:b/>
          <w:spacing w:val="-2"/>
        </w:rPr>
        <w:t> </w:t>
      </w:r>
      <w:r>
        <w:rPr/>
        <w:t>Graphical</w:t>
      </w:r>
      <w:r>
        <w:rPr>
          <w:spacing w:val="-2"/>
        </w:rPr>
        <w:t> </w:t>
      </w:r>
      <w:r>
        <w:rPr/>
        <w:t>Illustration</w:t>
      </w:r>
      <w:r>
        <w:rPr>
          <w:spacing w:val="-4"/>
        </w:rPr>
        <w:t> </w:t>
      </w:r>
      <w:r>
        <w:rPr/>
        <w:t>of</w:t>
      </w:r>
      <w:r>
        <w:rPr>
          <w:spacing w:val="-5"/>
        </w:rPr>
        <w:t> </w:t>
      </w:r>
      <w:r>
        <w:rPr/>
        <w:t>the</w:t>
      </w:r>
      <w:r>
        <w:rPr>
          <w:spacing w:val="-4"/>
        </w:rPr>
        <w:t> </w:t>
      </w:r>
      <w:r>
        <w:rPr/>
        <w:t>Relationship</w:t>
      </w:r>
      <w:r>
        <w:rPr>
          <w:spacing w:val="-4"/>
        </w:rPr>
        <w:t> </w:t>
      </w:r>
      <w:r>
        <w:rPr/>
        <w:t>between</w:t>
      </w:r>
      <w:r>
        <w:rPr>
          <w:spacing w:val="-2"/>
        </w:rPr>
        <w:t> </w:t>
      </w:r>
      <w:r>
        <w:rPr/>
        <w:t>each</w:t>
      </w:r>
      <w:r>
        <w:rPr>
          <w:spacing w:val="-2"/>
        </w:rPr>
        <w:t> </w:t>
      </w:r>
      <w:r>
        <w:rPr/>
        <w:t>Independent</w:t>
      </w:r>
      <w:r>
        <w:rPr>
          <w:spacing w:val="-4"/>
        </w:rPr>
        <w:t> </w:t>
      </w:r>
      <w:r>
        <w:rPr/>
        <w:t>Variable</w:t>
      </w:r>
      <w:r>
        <w:rPr>
          <w:spacing w:val="-1"/>
        </w:rPr>
        <w:t> </w:t>
      </w:r>
      <w:r>
        <w:rPr/>
        <w:t>and</w:t>
      </w:r>
      <w:r>
        <w:rPr>
          <w:spacing w:val="-4"/>
        </w:rPr>
        <w:t> </w:t>
      </w:r>
      <w:r>
        <w:rPr/>
        <w:t>capital</w:t>
      </w:r>
      <w:r>
        <w:rPr>
          <w:spacing w:val="-3"/>
        </w:rPr>
        <w:t> </w:t>
      </w:r>
      <w:r>
        <w:rPr/>
        <w:t>flight (Models 1, 3 and 4)</w:t>
      </w:r>
    </w:p>
    <w:p>
      <w:pPr>
        <w:pStyle w:val="BodyText"/>
        <w:spacing w:line="480" w:lineRule="auto" w:before="1"/>
        <w:ind w:left="711" w:right="475"/>
      </w:pPr>
      <w:r>
        <w:rPr/>
        <w:t>The</w:t>
      </w:r>
      <w:r>
        <w:rPr>
          <w:spacing w:val="-4"/>
        </w:rPr>
        <w:t> </w:t>
      </w:r>
      <w:r>
        <w:rPr/>
        <w:t>above</w:t>
      </w:r>
      <w:r>
        <w:rPr>
          <w:spacing w:val="-3"/>
        </w:rPr>
        <w:t> </w:t>
      </w:r>
      <w:r>
        <w:rPr/>
        <w:t>diagrams</w:t>
      </w:r>
      <w:r>
        <w:rPr>
          <w:spacing w:val="-2"/>
        </w:rPr>
        <w:t> </w:t>
      </w:r>
      <w:r>
        <w:rPr/>
        <w:t>show</w:t>
      </w:r>
      <w:r>
        <w:rPr>
          <w:spacing w:val="-2"/>
        </w:rPr>
        <w:t> </w:t>
      </w:r>
      <w:r>
        <w:rPr/>
        <w:t>a</w:t>
      </w:r>
      <w:r>
        <w:rPr>
          <w:spacing w:val="-3"/>
        </w:rPr>
        <w:t> </w:t>
      </w:r>
      <w:r>
        <w:rPr/>
        <w:t>visual</w:t>
      </w:r>
      <w:r>
        <w:rPr>
          <w:spacing w:val="-2"/>
        </w:rPr>
        <w:t> </w:t>
      </w:r>
      <w:r>
        <w:rPr/>
        <w:t>illustration</w:t>
      </w:r>
      <w:r>
        <w:rPr>
          <w:spacing w:val="-2"/>
        </w:rPr>
        <w:t> </w:t>
      </w:r>
      <w:r>
        <w:rPr/>
        <w:t>of</w:t>
      </w:r>
      <w:r>
        <w:rPr>
          <w:spacing w:val="-3"/>
        </w:rPr>
        <w:t> </w:t>
      </w:r>
      <w:r>
        <w:rPr/>
        <w:t>the</w:t>
      </w:r>
      <w:r>
        <w:rPr>
          <w:spacing w:val="-2"/>
        </w:rPr>
        <w:t> </w:t>
      </w:r>
      <w:r>
        <w:rPr/>
        <w:t>time</w:t>
      </w:r>
      <w:r>
        <w:rPr>
          <w:spacing w:val="-3"/>
        </w:rPr>
        <w:t> </w:t>
      </w:r>
      <w:r>
        <w:rPr/>
        <w:t>series</w:t>
      </w:r>
      <w:r>
        <w:rPr>
          <w:spacing w:val="-2"/>
        </w:rPr>
        <w:t> </w:t>
      </w:r>
      <w:r>
        <w:rPr/>
        <w:t>data</w:t>
      </w:r>
      <w:r>
        <w:rPr>
          <w:spacing w:val="-1"/>
        </w:rPr>
        <w:t> </w:t>
      </w:r>
      <w:r>
        <w:rPr/>
        <w:t>with the</w:t>
      </w:r>
      <w:r>
        <w:rPr>
          <w:spacing w:val="-2"/>
        </w:rPr>
        <w:t> </w:t>
      </w:r>
      <w:r>
        <w:rPr/>
        <w:t>dependent</w:t>
      </w:r>
      <w:r>
        <w:rPr>
          <w:spacing w:val="-2"/>
        </w:rPr>
        <w:t> </w:t>
      </w:r>
      <w:r>
        <w:rPr/>
        <w:t>variable,</w:t>
      </w:r>
      <w:r>
        <w:rPr>
          <w:spacing w:val="-1"/>
        </w:rPr>
        <w:t> </w:t>
      </w:r>
      <w:r>
        <w:rPr/>
        <w:t>the</w:t>
      </w:r>
      <w:r>
        <w:rPr>
          <w:spacing w:val="-3"/>
        </w:rPr>
        <w:t> </w:t>
      </w:r>
      <w:r>
        <w:rPr/>
        <w:t>graphs show the nature of relationship that exists between the independent and dependent variables. Thus, the graphical representations of the variables show the trend and behaviour of the variables over time.</w:t>
      </w:r>
    </w:p>
    <w:p>
      <w:pPr>
        <w:pStyle w:val="BodyText"/>
      </w:pPr>
    </w:p>
    <w:p>
      <w:pPr>
        <w:pStyle w:val="BodyText"/>
      </w:pPr>
    </w:p>
    <w:p>
      <w:pPr>
        <w:pStyle w:val="Heading6"/>
        <w:tabs>
          <w:tab w:pos="6731" w:val="left" w:leader="none"/>
        </w:tabs>
        <w:jc w:val="left"/>
      </w:pPr>
      <w:r>
        <w:rPr/>
        <w:t>Figure</w:t>
      </w:r>
      <w:r>
        <w:rPr>
          <w:spacing w:val="-4"/>
        </w:rPr>
        <w:t> </w:t>
      </w:r>
      <w:r>
        <w:rPr>
          <w:spacing w:val="-5"/>
        </w:rPr>
        <w:t>4.3</w:t>
      </w:r>
      <w:r>
        <w:rPr/>
        <w:tab/>
        <w:t>GDP</w:t>
      </w:r>
      <w:r>
        <w:rPr>
          <w:spacing w:val="-3"/>
        </w:rPr>
        <w:t> </w:t>
      </w:r>
      <w:r>
        <w:rPr/>
        <w:t>AND</w:t>
      </w:r>
      <w:r>
        <w:rPr>
          <w:spacing w:val="1"/>
        </w:rPr>
        <w:t> </w:t>
      </w:r>
      <w:r>
        <w:rPr>
          <w:spacing w:val="-5"/>
        </w:rPr>
        <w:t>DFI</w:t>
      </w:r>
    </w:p>
    <w:p>
      <w:pPr>
        <w:pStyle w:val="BodyText"/>
        <w:rPr>
          <w:b/>
          <w:sz w:val="6"/>
        </w:rPr>
      </w:pPr>
    </w:p>
    <w:p>
      <w:pPr>
        <w:pStyle w:val="BodyText"/>
        <w:rPr>
          <w:b/>
          <w:sz w:val="6"/>
        </w:rPr>
      </w:pPr>
    </w:p>
    <w:p>
      <w:pPr>
        <w:pStyle w:val="BodyText"/>
        <w:rPr>
          <w:b/>
          <w:sz w:val="6"/>
        </w:rPr>
      </w:pPr>
    </w:p>
    <w:p>
      <w:pPr>
        <w:pStyle w:val="BodyText"/>
        <w:rPr>
          <w:b/>
          <w:sz w:val="6"/>
        </w:rPr>
      </w:pPr>
    </w:p>
    <w:p>
      <w:pPr>
        <w:pStyle w:val="BodyText"/>
        <w:spacing w:before="12"/>
        <w:rPr>
          <w:b/>
          <w:sz w:val="6"/>
        </w:rPr>
      </w:pPr>
    </w:p>
    <w:p>
      <w:pPr>
        <w:spacing w:before="0"/>
        <w:ind w:left="2138" w:right="0" w:firstLine="0"/>
        <w:jc w:val="center"/>
        <w:rPr>
          <w:rFonts w:ascii="Arial MT"/>
          <w:sz w:val="6"/>
        </w:rPr>
      </w:pPr>
      <w:r>
        <w:rPr/>
        <mc:AlternateContent>
          <mc:Choice Requires="wps">
            <w:drawing>
              <wp:anchor distT="0" distB="0" distL="0" distR="0" allowOverlap="1" layoutInCell="1" locked="0" behindDoc="0" simplePos="0" relativeHeight="15748096">
                <wp:simplePos x="0" y="0"/>
                <wp:positionH relativeFrom="page">
                  <wp:posOffset>4602875</wp:posOffset>
                </wp:positionH>
                <wp:positionV relativeFrom="paragraph">
                  <wp:posOffset>25952</wp:posOffset>
                </wp:positionV>
                <wp:extent cx="1691639" cy="725805"/>
                <wp:effectExtent l="0" t="0" r="0" b="0"/>
                <wp:wrapNone/>
                <wp:docPr id="105" name="Graphic 105"/>
                <wp:cNvGraphicFramePr>
                  <a:graphicFrameLocks/>
                </wp:cNvGraphicFramePr>
                <a:graphic>
                  <a:graphicData uri="http://schemas.microsoft.com/office/word/2010/wordprocessingShape">
                    <wps:wsp>
                      <wps:cNvPr id="105" name="Graphic 105"/>
                      <wps:cNvSpPr/>
                      <wps:spPr>
                        <a:xfrm>
                          <a:off x="0" y="0"/>
                          <a:ext cx="1691639" cy="725805"/>
                        </a:xfrm>
                        <a:custGeom>
                          <a:avLst/>
                          <a:gdLst/>
                          <a:ahLst/>
                          <a:cxnLst/>
                          <a:rect l="l" t="t" r="r" b="b"/>
                          <a:pathLst>
                            <a:path w="1691639" h="725805">
                              <a:moveTo>
                                <a:pt x="0" y="708374"/>
                              </a:moveTo>
                              <a:lnTo>
                                <a:pt x="24830" y="708374"/>
                              </a:lnTo>
                            </a:path>
                            <a:path w="1691639" h="725805">
                              <a:moveTo>
                                <a:pt x="0" y="566131"/>
                              </a:moveTo>
                              <a:lnTo>
                                <a:pt x="24829" y="566131"/>
                              </a:lnTo>
                            </a:path>
                            <a:path w="1691639" h="725805">
                              <a:moveTo>
                                <a:pt x="0" y="425294"/>
                              </a:moveTo>
                              <a:lnTo>
                                <a:pt x="24829" y="425294"/>
                              </a:lnTo>
                            </a:path>
                            <a:path w="1691639" h="725805">
                              <a:moveTo>
                                <a:pt x="0" y="283051"/>
                              </a:moveTo>
                              <a:lnTo>
                                <a:pt x="24829" y="283051"/>
                              </a:lnTo>
                            </a:path>
                            <a:path w="1691639" h="725805">
                              <a:moveTo>
                                <a:pt x="0" y="142242"/>
                              </a:moveTo>
                              <a:lnTo>
                                <a:pt x="24829" y="142243"/>
                              </a:lnTo>
                            </a:path>
                            <a:path w="1691639" h="725805">
                              <a:moveTo>
                                <a:pt x="0" y="1405"/>
                              </a:moveTo>
                              <a:lnTo>
                                <a:pt x="24829" y="1405"/>
                              </a:lnTo>
                            </a:path>
                            <a:path w="1691639" h="725805">
                              <a:moveTo>
                                <a:pt x="27306" y="709780"/>
                              </a:moveTo>
                              <a:lnTo>
                                <a:pt x="27306" y="718216"/>
                              </a:lnTo>
                            </a:path>
                            <a:path w="1691639" h="725805">
                              <a:moveTo>
                                <a:pt x="66986" y="709780"/>
                              </a:moveTo>
                              <a:lnTo>
                                <a:pt x="66986" y="718216"/>
                              </a:lnTo>
                            </a:path>
                            <a:path w="1691639" h="725805">
                              <a:moveTo>
                                <a:pt x="106631" y="709780"/>
                              </a:moveTo>
                              <a:lnTo>
                                <a:pt x="106631" y="718216"/>
                              </a:lnTo>
                            </a:path>
                            <a:path w="1691639" h="725805">
                              <a:moveTo>
                                <a:pt x="148803" y="709780"/>
                              </a:moveTo>
                              <a:lnTo>
                                <a:pt x="148803" y="718216"/>
                              </a:lnTo>
                            </a:path>
                            <a:path w="1691639" h="725805">
                              <a:moveTo>
                                <a:pt x="188473" y="709780"/>
                              </a:moveTo>
                              <a:lnTo>
                                <a:pt x="188473" y="718216"/>
                              </a:lnTo>
                            </a:path>
                            <a:path w="1691639" h="725805">
                              <a:moveTo>
                                <a:pt x="228168" y="709780"/>
                              </a:moveTo>
                              <a:lnTo>
                                <a:pt x="228168" y="718216"/>
                              </a:lnTo>
                            </a:path>
                            <a:path w="1691639" h="725805">
                              <a:moveTo>
                                <a:pt x="270339" y="709780"/>
                              </a:moveTo>
                              <a:lnTo>
                                <a:pt x="270339" y="718216"/>
                              </a:lnTo>
                            </a:path>
                            <a:path w="1691639" h="725805">
                              <a:moveTo>
                                <a:pt x="310034" y="709780"/>
                              </a:moveTo>
                              <a:lnTo>
                                <a:pt x="310034" y="718216"/>
                              </a:lnTo>
                            </a:path>
                            <a:path w="1691639" h="725805">
                              <a:moveTo>
                                <a:pt x="349655" y="709780"/>
                              </a:moveTo>
                              <a:lnTo>
                                <a:pt x="349655" y="718216"/>
                              </a:lnTo>
                            </a:path>
                            <a:path w="1691639" h="725805">
                              <a:moveTo>
                                <a:pt x="391826" y="709780"/>
                              </a:moveTo>
                              <a:lnTo>
                                <a:pt x="391826" y="718216"/>
                              </a:lnTo>
                            </a:path>
                            <a:path w="1691639" h="725805">
                              <a:moveTo>
                                <a:pt x="431521" y="709780"/>
                              </a:moveTo>
                              <a:lnTo>
                                <a:pt x="431521" y="718216"/>
                              </a:lnTo>
                            </a:path>
                            <a:path w="1691639" h="725805">
                              <a:moveTo>
                                <a:pt x="473692" y="709780"/>
                              </a:moveTo>
                              <a:lnTo>
                                <a:pt x="473692" y="718216"/>
                              </a:lnTo>
                            </a:path>
                            <a:path w="1691639" h="725805">
                              <a:moveTo>
                                <a:pt x="513362" y="709780"/>
                              </a:moveTo>
                              <a:lnTo>
                                <a:pt x="513362" y="718216"/>
                              </a:lnTo>
                            </a:path>
                            <a:path w="1691639" h="725805">
                              <a:moveTo>
                                <a:pt x="553057" y="709780"/>
                              </a:moveTo>
                              <a:lnTo>
                                <a:pt x="553057" y="718216"/>
                              </a:lnTo>
                            </a:path>
                            <a:path w="1691639" h="725805">
                              <a:moveTo>
                                <a:pt x="595154" y="709780"/>
                              </a:moveTo>
                              <a:lnTo>
                                <a:pt x="595154" y="718216"/>
                              </a:lnTo>
                            </a:path>
                            <a:path w="1691639" h="725805">
                              <a:moveTo>
                                <a:pt x="634849" y="709781"/>
                              </a:moveTo>
                              <a:lnTo>
                                <a:pt x="634849" y="718216"/>
                              </a:lnTo>
                            </a:path>
                            <a:path w="1691639" h="725805">
                              <a:moveTo>
                                <a:pt x="674544" y="709781"/>
                              </a:moveTo>
                              <a:lnTo>
                                <a:pt x="674544" y="718216"/>
                              </a:lnTo>
                            </a:path>
                            <a:path w="1691639" h="725805">
                              <a:moveTo>
                                <a:pt x="716716" y="709781"/>
                              </a:moveTo>
                              <a:lnTo>
                                <a:pt x="716716" y="718216"/>
                              </a:lnTo>
                            </a:path>
                            <a:path w="1691639" h="725805">
                              <a:moveTo>
                                <a:pt x="756411" y="709781"/>
                              </a:moveTo>
                              <a:lnTo>
                                <a:pt x="756411" y="718216"/>
                              </a:lnTo>
                            </a:path>
                            <a:path w="1691639" h="725805">
                              <a:moveTo>
                                <a:pt x="796081" y="709781"/>
                              </a:moveTo>
                              <a:lnTo>
                                <a:pt x="796081" y="718216"/>
                              </a:lnTo>
                            </a:path>
                            <a:path w="1691639" h="725805">
                              <a:moveTo>
                                <a:pt x="838202" y="709781"/>
                              </a:moveTo>
                              <a:lnTo>
                                <a:pt x="838202" y="718216"/>
                              </a:lnTo>
                            </a:path>
                            <a:path w="1691639" h="725805">
                              <a:moveTo>
                                <a:pt x="877897" y="709781"/>
                              </a:moveTo>
                              <a:lnTo>
                                <a:pt x="877897" y="718216"/>
                              </a:lnTo>
                            </a:path>
                            <a:path w="1691639" h="725805">
                              <a:moveTo>
                                <a:pt x="920044" y="709781"/>
                              </a:moveTo>
                              <a:lnTo>
                                <a:pt x="920044" y="718216"/>
                              </a:lnTo>
                            </a:path>
                            <a:path w="1691639" h="725805">
                              <a:moveTo>
                                <a:pt x="959739" y="709781"/>
                              </a:moveTo>
                              <a:lnTo>
                                <a:pt x="959739" y="718216"/>
                              </a:lnTo>
                            </a:path>
                            <a:path w="1691639" h="725805">
                              <a:moveTo>
                                <a:pt x="999434" y="709781"/>
                              </a:moveTo>
                              <a:lnTo>
                                <a:pt x="999434" y="718216"/>
                              </a:lnTo>
                            </a:path>
                            <a:path w="1691639" h="725805">
                              <a:moveTo>
                                <a:pt x="1041605" y="709781"/>
                              </a:moveTo>
                              <a:lnTo>
                                <a:pt x="1041605" y="718216"/>
                              </a:lnTo>
                            </a:path>
                            <a:path w="1691639" h="725805">
                              <a:moveTo>
                                <a:pt x="1081226" y="709781"/>
                              </a:moveTo>
                              <a:lnTo>
                                <a:pt x="1081226" y="718216"/>
                              </a:lnTo>
                            </a:path>
                            <a:path w="1691639" h="725805">
                              <a:moveTo>
                                <a:pt x="1120921" y="709781"/>
                              </a:moveTo>
                              <a:lnTo>
                                <a:pt x="1120921" y="718216"/>
                              </a:lnTo>
                            </a:path>
                            <a:path w="1691639" h="725805">
                              <a:moveTo>
                                <a:pt x="1163092" y="709781"/>
                              </a:moveTo>
                              <a:lnTo>
                                <a:pt x="1163092" y="718216"/>
                              </a:lnTo>
                            </a:path>
                            <a:path w="1691639" h="725805">
                              <a:moveTo>
                                <a:pt x="1202787" y="709781"/>
                              </a:moveTo>
                              <a:lnTo>
                                <a:pt x="1202787" y="718216"/>
                              </a:lnTo>
                            </a:path>
                            <a:path w="1691639" h="725805">
                              <a:moveTo>
                                <a:pt x="1242457" y="709781"/>
                              </a:moveTo>
                              <a:lnTo>
                                <a:pt x="1242457" y="718216"/>
                              </a:lnTo>
                            </a:path>
                            <a:path w="1691639" h="725805">
                              <a:moveTo>
                                <a:pt x="1284628" y="709781"/>
                              </a:moveTo>
                              <a:lnTo>
                                <a:pt x="1284628" y="718216"/>
                              </a:lnTo>
                            </a:path>
                            <a:path w="1691639" h="725805">
                              <a:moveTo>
                                <a:pt x="1324249" y="709781"/>
                              </a:moveTo>
                              <a:lnTo>
                                <a:pt x="1324249" y="718217"/>
                              </a:lnTo>
                            </a:path>
                            <a:path w="1691639" h="725805">
                              <a:moveTo>
                                <a:pt x="1366420" y="709781"/>
                              </a:moveTo>
                              <a:lnTo>
                                <a:pt x="1366420" y="718217"/>
                              </a:lnTo>
                            </a:path>
                            <a:path w="1691639" h="725805">
                              <a:moveTo>
                                <a:pt x="1406115" y="709781"/>
                              </a:moveTo>
                              <a:lnTo>
                                <a:pt x="1406115" y="718217"/>
                              </a:lnTo>
                            </a:path>
                            <a:path w="1691639" h="725805">
                              <a:moveTo>
                                <a:pt x="1445810" y="709781"/>
                              </a:moveTo>
                              <a:lnTo>
                                <a:pt x="1445810" y="718217"/>
                              </a:lnTo>
                            </a:path>
                            <a:path w="1691639" h="725805">
                              <a:moveTo>
                                <a:pt x="1487982" y="709781"/>
                              </a:moveTo>
                              <a:lnTo>
                                <a:pt x="1487982" y="718217"/>
                              </a:lnTo>
                            </a:path>
                            <a:path w="1691639" h="725805">
                              <a:moveTo>
                                <a:pt x="1527652" y="709781"/>
                              </a:moveTo>
                              <a:lnTo>
                                <a:pt x="1527652" y="718217"/>
                              </a:lnTo>
                            </a:path>
                            <a:path w="1691639" h="725805">
                              <a:moveTo>
                                <a:pt x="1567297" y="709781"/>
                              </a:moveTo>
                              <a:lnTo>
                                <a:pt x="1567297" y="718217"/>
                              </a:lnTo>
                            </a:path>
                            <a:path w="1691639" h="725805">
                              <a:moveTo>
                                <a:pt x="1609469" y="709781"/>
                              </a:moveTo>
                              <a:lnTo>
                                <a:pt x="1609469" y="718217"/>
                              </a:lnTo>
                            </a:path>
                            <a:path w="1691639" h="725805">
                              <a:moveTo>
                                <a:pt x="1649139" y="709781"/>
                              </a:moveTo>
                              <a:lnTo>
                                <a:pt x="1649139" y="718217"/>
                              </a:lnTo>
                            </a:path>
                            <a:path w="1691639" h="725805">
                              <a:moveTo>
                                <a:pt x="1688834" y="709781"/>
                              </a:moveTo>
                              <a:lnTo>
                                <a:pt x="1688834" y="718217"/>
                              </a:lnTo>
                            </a:path>
                            <a:path w="1691639" h="725805">
                              <a:moveTo>
                                <a:pt x="27306" y="709780"/>
                              </a:moveTo>
                              <a:lnTo>
                                <a:pt x="27306" y="725260"/>
                              </a:lnTo>
                            </a:path>
                            <a:path w="1691639" h="725805">
                              <a:moveTo>
                                <a:pt x="228168" y="709780"/>
                              </a:moveTo>
                              <a:lnTo>
                                <a:pt x="228168" y="725260"/>
                              </a:lnTo>
                            </a:path>
                            <a:path w="1691639" h="725805">
                              <a:moveTo>
                                <a:pt x="431521" y="709780"/>
                              </a:moveTo>
                              <a:lnTo>
                                <a:pt x="431521" y="725260"/>
                              </a:lnTo>
                            </a:path>
                            <a:path w="1691639" h="725805">
                              <a:moveTo>
                                <a:pt x="634849" y="709781"/>
                              </a:moveTo>
                              <a:lnTo>
                                <a:pt x="634849" y="725260"/>
                              </a:lnTo>
                            </a:path>
                            <a:path w="1691639" h="725805">
                              <a:moveTo>
                                <a:pt x="838202" y="709781"/>
                              </a:moveTo>
                              <a:lnTo>
                                <a:pt x="838202" y="725260"/>
                              </a:lnTo>
                            </a:path>
                            <a:path w="1691639" h="725805">
                              <a:moveTo>
                                <a:pt x="1041605" y="709781"/>
                              </a:moveTo>
                              <a:lnTo>
                                <a:pt x="1041605" y="725260"/>
                              </a:lnTo>
                            </a:path>
                            <a:path w="1691639" h="725805">
                              <a:moveTo>
                                <a:pt x="1242457" y="709781"/>
                              </a:moveTo>
                              <a:lnTo>
                                <a:pt x="1242457" y="725260"/>
                              </a:lnTo>
                            </a:path>
                            <a:path w="1691639" h="725805">
                              <a:moveTo>
                                <a:pt x="1445810" y="709781"/>
                              </a:moveTo>
                              <a:lnTo>
                                <a:pt x="1445810" y="725260"/>
                              </a:lnTo>
                            </a:path>
                            <a:path w="1691639" h="725805">
                              <a:moveTo>
                                <a:pt x="1649139" y="709781"/>
                              </a:moveTo>
                              <a:lnTo>
                                <a:pt x="1649139" y="725261"/>
                              </a:lnTo>
                            </a:path>
                            <a:path w="1691639" h="725805">
                              <a:moveTo>
                                <a:pt x="27306" y="546406"/>
                              </a:moveTo>
                              <a:lnTo>
                                <a:pt x="66986" y="537970"/>
                              </a:lnTo>
                              <a:lnTo>
                                <a:pt x="106631" y="535158"/>
                              </a:lnTo>
                              <a:lnTo>
                                <a:pt x="148803" y="528100"/>
                              </a:lnTo>
                              <a:lnTo>
                                <a:pt x="188473" y="501344"/>
                              </a:lnTo>
                              <a:lnTo>
                                <a:pt x="228168" y="497126"/>
                              </a:lnTo>
                              <a:lnTo>
                                <a:pt x="270339" y="488676"/>
                              </a:lnTo>
                              <a:lnTo>
                                <a:pt x="310034" y="483052"/>
                              </a:lnTo>
                              <a:lnTo>
                                <a:pt x="349655" y="480212"/>
                              </a:lnTo>
                              <a:lnTo>
                                <a:pt x="391826" y="473182"/>
                              </a:lnTo>
                              <a:lnTo>
                                <a:pt x="431521" y="467558"/>
                              </a:lnTo>
                              <a:lnTo>
                                <a:pt x="471191" y="468964"/>
                              </a:lnTo>
                              <a:lnTo>
                                <a:pt x="513362" y="467558"/>
                              </a:lnTo>
                              <a:lnTo>
                                <a:pt x="553057" y="464746"/>
                              </a:lnTo>
                              <a:lnTo>
                                <a:pt x="592678" y="460528"/>
                              </a:lnTo>
                              <a:lnTo>
                                <a:pt x="634849" y="456268"/>
                              </a:lnTo>
                              <a:lnTo>
                                <a:pt x="674544" y="454862"/>
                              </a:lnTo>
                              <a:lnTo>
                                <a:pt x="714239" y="440802"/>
                              </a:lnTo>
                              <a:lnTo>
                                <a:pt x="756410" y="430918"/>
                              </a:lnTo>
                              <a:lnTo>
                                <a:pt x="796081" y="415453"/>
                              </a:lnTo>
                              <a:lnTo>
                                <a:pt x="835726" y="406975"/>
                              </a:lnTo>
                              <a:lnTo>
                                <a:pt x="877897" y="401351"/>
                              </a:lnTo>
                              <a:lnTo>
                                <a:pt x="917568" y="383031"/>
                              </a:lnTo>
                              <a:lnTo>
                                <a:pt x="957262" y="374595"/>
                              </a:lnTo>
                              <a:lnTo>
                                <a:pt x="999434" y="364753"/>
                              </a:lnTo>
                              <a:lnTo>
                                <a:pt x="1039129" y="337997"/>
                              </a:lnTo>
                              <a:lnTo>
                                <a:pt x="1078749" y="325315"/>
                              </a:lnTo>
                              <a:lnTo>
                                <a:pt x="1120921" y="323909"/>
                              </a:lnTo>
                              <a:lnTo>
                                <a:pt x="1160616" y="325315"/>
                              </a:lnTo>
                              <a:lnTo>
                                <a:pt x="1200311" y="319677"/>
                              </a:lnTo>
                              <a:lnTo>
                                <a:pt x="1242457" y="306995"/>
                              </a:lnTo>
                              <a:lnTo>
                                <a:pt x="1282152" y="305589"/>
                              </a:lnTo>
                              <a:lnTo>
                                <a:pt x="1321773" y="292936"/>
                              </a:lnTo>
                              <a:lnTo>
                                <a:pt x="1363944" y="284458"/>
                              </a:lnTo>
                              <a:lnTo>
                                <a:pt x="1403639" y="274616"/>
                              </a:lnTo>
                              <a:lnTo>
                                <a:pt x="1443334" y="266180"/>
                              </a:lnTo>
                              <a:lnTo>
                                <a:pt x="1485505" y="257702"/>
                              </a:lnTo>
                              <a:lnTo>
                                <a:pt x="1525175" y="253484"/>
                              </a:lnTo>
                              <a:lnTo>
                                <a:pt x="1564821" y="247860"/>
                              </a:lnTo>
                              <a:lnTo>
                                <a:pt x="1606992" y="247860"/>
                              </a:lnTo>
                              <a:lnTo>
                                <a:pt x="1646662" y="240830"/>
                              </a:lnTo>
                              <a:lnTo>
                                <a:pt x="1688834" y="232352"/>
                              </a:lnTo>
                            </a:path>
                            <a:path w="1691639" h="725805">
                              <a:moveTo>
                                <a:pt x="27306" y="604135"/>
                              </a:moveTo>
                              <a:lnTo>
                                <a:pt x="44645" y="599917"/>
                              </a:lnTo>
                            </a:path>
                            <a:path w="1691639" h="725805">
                              <a:moveTo>
                                <a:pt x="54550" y="597105"/>
                              </a:moveTo>
                              <a:lnTo>
                                <a:pt x="66986" y="594293"/>
                              </a:lnTo>
                              <a:lnTo>
                                <a:pt x="71938" y="592887"/>
                              </a:lnTo>
                            </a:path>
                            <a:path w="1691639" h="725805">
                              <a:moveTo>
                                <a:pt x="84345" y="591481"/>
                              </a:moveTo>
                              <a:lnTo>
                                <a:pt x="101679" y="588669"/>
                              </a:lnTo>
                            </a:path>
                            <a:path w="1691639" h="725805">
                              <a:moveTo>
                                <a:pt x="111633" y="587263"/>
                              </a:moveTo>
                              <a:lnTo>
                                <a:pt x="131444" y="585857"/>
                              </a:lnTo>
                            </a:path>
                            <a:path w="1691639" h="725805">
                              <a:moveTo>
                                <a:pt x="143850" y="584451"/>
                              </a:moveTo>
                              <a:lnTo>
                                <a:pt x="148803" y="584451"/>
                              </a:lnTo>
                              <a:lnTo>
                                <a:pt x="151279" y="577379"/>
                              </a:lnTo>
                            </a:path>
                            <a:path w="1691639" h="725805">
                              <a:moveTo>
                                <a:pt x="153755" y="570349"/>
                              </a:moveTo>
                              <a:lnTo>
                                <a:pt x="158757" y="560508"/>
                              </a:lnTo>
                            </a:path>
                            <a:path w="1691639" h="725805">
                              <a:moveTo>
                                <a:pt x="161234" y="553435"/>
                              </a:moveTo>
                              <a:lnTo>
                                <a:pt x="166186" y="543594"/>
                              </a:lnTo>
                            </a:path>
                            <a:path w="1691639" h="725805">
                              <a:moveTo>
                                <a:pt x="171139" y="536564"/>
                              </a:moveTo>
                              <a:lnTo>
                                <a:pt x="176091" y="526694"/>
                              </a:lnTo>
                            </a:path>
                            <a:path w="1691639" h="725805">
                              <a:moveTo>
                                <a:pt x="178568" y="519650"/>
                              </a:moveTo>
                              <a:lnTo>
                                <a:pt x="183520" y="509808"/>
                              </a:lnTo>
                            </a:path>
                            <a:path w="1691639" h="725805">
                              <a:moveTo>
                                <a:pt x="185996" y="502750"/>
                              </a:moveTo>
                              <a:lnTo>
                                <a:pt x="188473" y="502750"/>
                              </a:lnTo>
                              <a:lnTo>
                                <a:pt x="193425" y="512620"/>
                              </a:lnTo>
                            </a:path>
                            <a:path w="1691639" h="725805">
                              <a:moveTo>
                                <a:pt x="195902" y="519650"/>
                              </a:moveTo>
                              <a:lnTo>
                                <a:pt x="200854" y="529506"/>
                              </a:lnTo>
                            </a:path>
                            <a:path w="1691639" h="725805">
                              <a:moveTo>
                                <a:pt x="205807" y="536564"/>
                              </a:moveTo>
                              <a:lnTo>
                                <a:pt x="210834" y="546406"/>
                              </a:lnTo>
                            </a:path>
                            <a:path w="1691639" h="725805">
                              <a:moveTo>
                                <a:pt x="213310" y="553435"/>
                              </a:moveTo>
                              <a:lnTo>
                                <a:pt x="218263" y="563319"/>
                              </a:lnTo>
                            </a:path>
                            <a:path w="1691639" h="725805">
                              <a:moveTo>
                                <a:pt x="223215" y="568943"/>
                              </a:moveTo>
                              <a:lnTo>
                                <a:pt x="228168" y="575973"/>
                              </a:lnTo>
                              <a:lnTo>
                                <a:pt x="233120" y="574567"/>
                              </a:lnTo>
                            </a:path>
                            <a:path w="1691639" h="725805">
                              <a:moveTo>
                                <a:pt x="245502" y="574567"/>
                              </a:moveTo>
                              <a:lnTo>
                                <a:pt x="265386" y="574567"/>
                              </a:lnTo>
                            </a:path>
                            <a:path w="1691639" h="725805">
                              <a:moveTo>
                                <a:pt x="275292" y="573161"/>
                              </a:moveTo>
                              <a:lnTo>
                                <a:pt x="295102" y="571755"/>
                              </a:lnTo>
                            </a:path>
                            <a:path w="1691639" h="725805">
                              <a:moveTo>
                                <a:pt x="307558" y="571755"/>
                              </a:moveTo>
                              <a:lnTo>
                                <a:pt x="310034" y="571755"/>
                              </a:lnTo>
                              <a:lnTo>
                                <a:pt x="324892" y="568943"/>
                              </a:lnTo>
                            </a:path>
                            <a:path w="1691639" h="725805">
                              <a:moveTo>
                                <a:pt x="337273" y="568943"/>
                              </a:moveTo>
                              <a:lnTo>
                                <a:pt x="349655" y="567537"/>
                              </a:lnTo>
                              <a:lnTo>
                                <a:pt x="354682" y="566131"/>
                              </a:lnTo>
                            </a:path>
                            <a:path w="1691639" h="725805">
                              <a:moveTo>
                                <a:pt x="367063" y="566131"/>
                              </a:moveTo>
                              <a:lnTo>
                                <a:pt x="386873" y="564726"/>
                              </a:lnTo>
                            </a:path>
                            <a:path w="1691639" h="725805">
                              <a:moveTo>
                                <a:pt x="396779" y="563320"/>
                              </a:moveTo>
                              <a:lnTo>
                                <a:pt x="414187" y="560508"/>
                              </a:lnTo>
                            </a:path>
                            <a:path w="1691639" h="725805">
                              <a:moveTo>
                                <a:pt x="426568" y="559102"/>
                              </a:moveTo>
                              <a:lnTo>
                                <a:pt x="431521" y="559102"/>
                              </a:lnTo>
                              <a:lnTo>
                                <a:pt x="441426" y="554841"/>
                              </a:lnTo>
                            </a:path>
                            <a:path w="1691639" h="725805">
                              <a:moveTo>
                                <a:pt x="451381" y="552030"/>
                              </a:moveTo>
                              <a:lnTo>
                                <a:pt x="466239" y="546406"/>
                              </a:lnTo>
                            </a:path>
                            <a:path w="1691639" h="725805">
                              <a:moveTo>
                                <a:pt x="476168" y="545000"/>
                              </a:moveTo>
                              <a:lnTo>
                                <a:pt x="495979" y="545000"/>
                              </a:lnTo>
                            </a:path>
                            <a:path w="1691639" h="725805">
                              <a:moveTo>
                                <a:pt x="508410" y="545000"/>
                              </a:moveTo>
                              <a:lnTo>
                                <a:pt x="513362" y="545000"/>
                              </a:lnTo>
                              <a:lnTo>
                                <a:pt x="525744" y="543594"/>
                              </a:lnTo>
                            </a:path>
                            <a:path w="1691639" h="725805">
                              <a:moveTo>
                                <a:pt x="538150" y="542188"/>
                              </a:moveTo>
                              <a:lnTo>
                                <a:pt x="553057" y="542188"/>
                              </a:lnTo>
                              <a:lnTo>
                                <a:pt x="555534" y="540782"/>
                              </a:lnTo>
                            </a:path>
                            <a:path w="1691639" h="725805">
                              <a:moveTo>
                                <a:pt x="567915" y="540782"/>
                              </a:moveTo>
                              <a:lnTo>
                                <a:pt x="587725" y="539376"/>
                              </a:lnTo>
                            </a:path>
                            <a:path w="1691639" h="725805">
                              <a:moveTo>
                                <a:pt x="597705" y="537970"/>
                              </a:moveTo>
                              <a:lnTo>
                                <a:pt x="617515" y="536564"/>
                              </a:lnTo>
                            </a:path>
                            <a:path w="1691639" h="725805">
                              <a:moveTo>
                                <a:pt x="629897" y="536564"/>
                              </a:moveTo>
                              <a:lnTo>
                                <a:pt x="634849" y="536564"/>
                              </a:lnTo>
                              <a:lnTo>
                                <a:pt x="647305" y="532346"/>
                              </a:lnTo>
                            </a:path>
                            <a:path w="1691639" h="725805">
                              <a:moveTo>
                                <a:pt x="659686" y="529506"/>
                              </a:moveTo>
                              <a:lnTo>
                                <a:pt x="674544" y="526694"/>
                              </a:lnTo>
                              <a:lnTo>
                                <a:pt x="677021" y="525288"/>
                              </a:lnTo>
                            </a:path>
                            <a:path w="1691639" h="725805">
                              <a:moveTo>
                                <a:pt x="689402" y="525288"/>
                              </a:moveTo>
                              <a:lnTo>
                                <a:pt x="709287" y="523882"/>
                              </a:lnTo>
                            </a:path>
                            <a:path w="1691639" h="725805">
                              <a:moveTo>
                                <a:pt x="719192" y="522462"/>
                              </a:moveTo>
                              <a:lnTo>
                                <a:pt x="739002" y="521056"/>
                              </a:lnTo>
                            </a:path>
                            <a:path w="1691639" h="725805">
                              <a:moveTo>
                                <a:pt x="751458" y="519650"/>
                              </a:moveTo>
                              <a:lnTo>
                                <a:pt x="756410" y="519650"/>
                              </a:lnTo>
                              <a:lnTo>
                                <a:pt x="771268" y="519650"/>
                              </a:lnTo>
                            </a:path>
                            <a:path w="1691639" h="725805">
                              <a:moveTo>
                                <a:pt x="783650" y="519650"/>
                              </a:moveTo>
                              <a:lnTo>
                                <a:pt x="796081" y="521056"/>
                              </a:lnTo>
                              <a:lnTo>
                                <a:pt x="803510" y="521056"/>
                              </a:lnTo>
                            </a:path>
                            <a:path w="1691639" h="725805">
                              <a:moveTo>
                                <a:pt x="815916" y="521056"/>
                              </a:moveTo>
                              <a:lnTo>
                                <a:pt x="835726" y="521056"/>
                              </a:lnTo>
                            </a:path>
                            <a:path w="1691639" h="725805">
                              <a:moveTo>
                                <a:pt x="843205" y="521056"/>
                              </a:moveTo>
                              <a:lnTo>
                                <a:pt x="860539" y="518244"/>
                              </a:lnTo>
                            </a:path>
                            <a:path w="1691639" h="725805">
                              <a:moveTo>
                                <a:pt x="872945" y="516838"/>
                              </a:moveTo>
                              <a:lnTo>
                                <a:pt x="877897" y="516838"/>
                              </a:lnTo>
                              <a:lnTo>
                                <a:pt x="887803" y="511214"/>
                              </a:lnTo>
                            </a:path>
                            <a:path w="1691639" h="725805">
                              <a:moveTo>
                                <a:pt x="897757" y="506968"/>
                              </a:moveTo>
                              <a:lnTo>
                                <a:pt x="912615" y="501344"/>
                              </a:lnTo>
                            </a:path>
                            <a:path w="1691639" h="725805">
                              <a:moveTo>
                                <a:pt x="920044" y="495720"/>
                              </a:moveTo>
                              <a:lnTo>
                                <a:pt x="927473" y="485864"/>
                              </a:lnTo>
                            </a:path>
                            <a:path w="1691639" h="725805">
                              <a:moveTo>
                                <a:pt x="932450" y="480212"/>
                              </a:moveTo>
                              <a:lnTo>
                                <a:pt x="942405" y="470370"/>
                              </a:lnTo>
                            </a:path>
                            <a:path w="1691639" h="725805">
                              <a:moveTo>
                                <a:pt x="947357" y="464746"/>
                              </a:moveTo>
                              <a:lnTo>
                                <a:pt x="957263" y="456268"/>
                              </a:lnTo>
                              <a:lnTo>
                                <a:pt x="957263" y="456268"/>
                              </a:lnTo>
                            </a:path>
                            <a:path w="1691639" h="725805">
                              <a:moveTo>
                                <a:pt x="969644" y="454862"/>
                              </a:moveTo>
                              <a:lnTo>
                                <a:pt x="989529" y="454862"/>
                              </a:lnTo>
                            </a:path>
                            <a:path w="1691639" h="725805">
                              <a:moveTo>
                                <a:pt x="999434" y="454862"/>
                              </a:moveTo>
                              <a:lnTo>
                                <a:pt x="1011815" y="447832"/>
                              </a:lnTo>
                            </a:path>
                            <a:path w="1691639" h="725805">
                              <a:moveTo>
                                <a:pt x="1021720" y="443614"/>
                              </a:moveTo>
                              <a:lnTo>
                                <a:pt x="1036652" y="436585"/>
                              </a:lnTo>
                            </a:path>
                            <a:path w="1691639" h="725805">
                              <a:moveTo>
                                <a:pt x="1046558" y="435179"/>
                              </a:moveTo>
                              <a:lnTo>
                                <a:pt x="1066368" y="435179"/>
                              </a:lnTo>
                            </a:path>
                            <a:path w="1691639" h="725805">
                              <a:moveTo>
                                <a:pt x="1078749" y="435179"/>
                              </a:moveTo>
                              <a:lnTo>
                                <a:pt x="1098634" y="433730"/>
                              </a:lnTo>
                            </a:path>
                            <a:path w="1691639" h="725805">
                              <a:moveTo>
                                <a:pt x="1111016" y="433730"/>
                              </a:moveTo>
                              <a:lnTo>
                                <a:pt x="1120921" y="433730"/>
                              </a:lnTo>
                              <a:lnTo>
                                <a:pt x="1128350" y="432324"/>
                              </a:lnTo>
                            </a:path>
                            <a:path w="1691639" h="725805">
                              <a:moveTo>
                                <a:pt x="1138329" y="429513"/>
                              </a:moveTo>
                              <a:lnTo>
                                <a:pt x="1155663" y="426701"/>
                              </a:lnTo>
                            </a:path>
                            <a:path w="1691639" h="725805">
                              <a:moveTo>
                                <a:pt x="1168045" y="426701"/>
                              </a:moveTo>
                              <a:lnTo>
                                <a:pt x="1187904" y="426701"/>
                              </a:lnTo>
                            </a:path>
                            <a:path w="1691639" h="725805">
                              <a:moveTo>
                                <a:pt x="1200311" y="426701"/>
                              </a:moveTo>
                              <a:lnTo>
                                <a:pt x="1220121" y="426701"/>
                              </a:lnTo>
                            </a:path>
                            <a:path w="1691639" h="725805">
                              <a:moveTo>
                                <a:pt x="1232552" y="426701"/>
                              </a:moveTo>
                              <a:lnTo>
                                <a:pt x="1242457" y="426701"/>
                              </a:lnTo>
                              <a:lnTo>
                                <a:pt x="1244933" y="432325"/>
                              </a:lnTo>
                            </a:path>
                            <a:path w="1691639" h="725805">
                              <a:moveTo>
                                <a:pt x="1247410" y="439397"/>
                              </a:moveTo>
                              <a:lnTo>
                                <a:pt x="1252362" y="449238"/>
                              </a:lnTo>
                            </a:path>
                            <a:path w="1691639" h="725805">
                              <a:moveTo>
                                <a:pt x="1254839" y="456268"/>
                              </a:moveTo>
                              <a:lnTo>
                                <a:pt x="1259791" y="466152"/>
                              </a:lnTo>
                            </a:path>
                            <a:path w="1691639" h="725805">
                              <a:moveTo>
                                <a:pt x="1264769" y="473182"/>
                              </a:moveTo>
                              <a:lnTo>
                                <a:pt x="1269721" y="483052"/>
                              </a:lnTo>
                            </a:path>
                            <a:path w="1691639" h="725805">
                              <a:moveTo>
                                <a:pt x="1272197" y="490082"/>
                              </a:moveTo>
                              <a:lnTo>
                                <a:pt x="1277150" y="499938"/>
                              </a:lnTo>
                            </a:path>
                            <a:path w="1691639" h="725805">
                              <a:moveTo>
                                <a:pt x="1279676" y="506968"/>
                              </a:moveTo>
                              <a:lnTo>
                                <a:pt x="1282152" y="506968"/>
                              </a:lnTo>
                              <a:lnTo>
                                <a:pt x="1284628" y="497126"/>
                              </a:lnTo>
                            </a:path>
                            <a:path w="1691639" h="725805">
                              <a:moveTo>
                                <a:pt x="1289581" y="490082"/>
                              </a:moveTo>
                              <a:lnTo>
                                <a:pt x="1294534" y="480212"/>
                              </a:lnTo>
                            </a:path>
                            <a:path w="1691639" h="725805">
                              <a:moveTo>
                                <a:pt x="1297010" y="473182"/>
                              </a:moveTo>
                              <a:lnTo>
                                <a:pt x="1301962" y="463340"/>
                              </a:lnTo>
                            </a:path>
                            <a:path w="1691639" h="725805">
                              <a:moveTo>
                                <a:pt x="1304439" y="456268"/>
                              </a:moveTo>
                              <a:lnTo>
                                <a:pt x="1309391" y="446426"/>
                              </a:lnTo>
                            </a:path>
                            <a:path w="1691639" h="725805">
                              <a:moveTo>
                                <a:pt x="1311868" y="439397"/>
                              </a:moveTo>
                              <a:lnTo>
                                <a:pt x="1316820" y="429513"/>
                              </a:lnTo>
                            </a:path>
                            <a:path w="1691639" h="725805">
                              <a:moveTo>
                                <a:pt x="1321773" y="423889"/>
                              </a:moveTo>
                              <a:lnTo>
                                <a:pt x="1341657" y="422483"/>
                              </a:lnTo>
                            </a:path>
                            <a:path w="1691639" h="725805">
                              <a:moveTo>
                                <a:pt x="1354039" y="421077"/>
                              </a:moveTo>
                              <a:lnTo>
                                <a:pt x="1363944" y="421077"/>
                              </a:lnTo>
                              <a:lnTo>
                                <a:pt x="1371373" y="418265"/>
                              </a:lnTo>
                            </a:path>
                            <a:path w="1691639" h="725805">
                              <a:moveTo>
                                <a:pt x="1381352" y="415453"/>
                              </a:moveTo>
                              <a:lnTo>
                                <a:pt x="1398686" y="411235"/>
                              </a:lnTo>
                            </a:path>
                            <a:path w="1691639" h="725805">
                              <a:moveTo>
                                <a:pt x="1408592" y="408381"/>
                              </a:moveTo>
                              <a:lnTo>
                                <a:pt x="1428476" y="406975"/>
                              </a:lnTo>
                            </a:path>
                            <a:path w="1691639" h="725805">
                              <a:moveTo>
                                <a:pt x="1440858" y="406975"/>
                              </a:moveTo>
                              <a:lnTo>
                                <a:pt x="1443334" y="406975"/>
                              </a:lnTo>
                              <a:lnTo>
                                <a:pt x="1460668" y="404163"/>
                              </a:lnTo>
                            </a:path>
                            <a:path w="1691639" h="725805">
                              <a:moveTo>
                                <a:pt x="1473049" y="404163"/>
                              </a:moveTo>
                              <a:lnTo>
                                <a:pt x="1485505" y="402757"/>
                              </a:lnTo>
                              <a:lnTo>
                                <a:pt x="1490458" y="401351"/>
                              </a:lnTo>
                            </a:path>
                            <a:path w="1691639" h="725805">
                              <a:moveTo>
                                <a:pt x="1502839" y="399945"/>
                              </a:moveTo>
                              <a:lnTo>
                                <a:pt x="1520173" y="397133"/>
                              </a:lnTo>
                            </a:path>
                            <a:path w="1691639" h="725805">
                              <a:moveTo>
                                <a:pt x="1530153" y="395727"/>
                              </a:moveTo>
                              <a:lnTo>
                                <a:pt x="1549963" y="394321"/>
                              </a:lnTo>
                            </a:path>
                            <a:path w="1691639" h="725805">
                              <a:moveTo>
                                <a:pt x="1562345" y="392915"/>
                              </a:moveTo>
                              <a:lnTo>
                                <a:pt x="1564821" y="392915"/>
                              </a:lnTo>
                              <a:lnTo>
                                <a:pt x="1582204" y="391509"/>
                              </a:lnTo>
                            </a:path>
                            <a:path w="1691639" h="725805">
                              <a:moveTo>
                                <a:pt x="1594611" y="390103"/>
                              </a:moveTo>
                              <a:lnTo>
                                <a:pt x="1606992" y="390103"/>
                              </a:lnTo>
                              <a:lnTo>
                                <a:pt x="1609468" y="387291"/>
                              </a:lnTo>
                            </a:path>
                            <a:path w="1691639" h="725805">
                              <a:moveTo>
                                <a:pt x="1616897" y="381625"/>
                              </a:moveTo>
                              <a:lnTo>
                                <a:pt x="1626852" y="373189"/>
                              </a:lnTo>
                            </a:path>
                            <a:path w="1691639" h="725805">
                              <a:moveTo>
                                <a:pt x="1634281" y="367565"/>
                              </a:moveTo>
                              <a:lnTo>
                                <a:pt x="1646662" y="360507"/>
                              </a:lnTo>
                              <a:lnTo>
                                <a:pt x="1646662" y="360507"/>
                              </a:lnTo>
                            </a:path>
                            <a:path w="1691639" h="725805">
                              <a:moveTo>
                                <a:pt x="1646662" y="353463"/>
                              </a:moveTo>
                              <a:lnTo>
                                <a:pt x="1649139" y="342215"/>
                              </a:lnTo>
                            </a:path>
                            <a:path w="1691639" h="725805">
                              <a:moveTo>
                                <a:pt x="1649139" y="335157"/>
                              </a:moveTo>
                              <a:lnTo>
                                <a:pt x="1651615" y="323909"/>
                              </a:lnTo>
                            </a:path>
                            <a:path w="1691639" h="725805">
                              <a:moveTo>
                                <a:pt x="1651615" y="316865"/>
                              </a:moveTo>
                              <a:lnTo>
                                <a:pt x="1654091" y="305590"/>
                              </a:lnTo>
                            </a:path>
                            <a:path w="1691639" h="725805">
                              <a:moveTo>
                                <a:pt x="1656592" y="298560"/>
                              </a:moveTo>
                              <a:lnTo>
                                <a:pt x="1656592" y="287270"/>
                              </a:lnTo>
                            </a:path>
                            <a:path w="1691639" h="725805">
                              <a:moveTo>
                                <a:pt x="1659069" y="280240"/>
                              </a:moveTo>
                              <a:lnTo>
                                <a:pt x="1661545" y="268992"/>
                              </a:lnTo>
                            </a:path>
                            <a:path w="1691639" h="725805">
                              <a:moveTo>
                                <a:pt x="1661545" y="261920"/>
                              </a:moveTo>
                              <a:lnTo>
                                <a:pt x="1664021" y="250672"/>
                              </a:lnTo>
                            </a:path>
                            <a:path w="1691639" h="725805">
                              <a:moveTo>
                                <a:pt x="1664021" y="243642"/>
                              </a:moveTo>
                              <a:lnTo>
                                <a:pt x="1666497" y="232352"/>
                              </a:lnTo>
                            </a:path>
                            <a:path w="1691639" h="725805">
                              <a:moveTo>
                                <a:pt x="1666497" y="225322"/>
                              </a:moveTo>
                              <a:lnTo>
                                <a:pt x="1668974" y="214032"/>
                              </a:lnTo>
                            </a:path>
                            <a:path w="1691639" h="725805">
                              <a:moveTo>
                                <a:pt x="1671499" y="207002"/>
                              </a:moveTo>
                              <a:lnTo>
                                <a:pt x="1671499" y="195754"/>
                              </a:lnTo>
                            </a:path>
                            <a:path w="1691639" h="725805">
                              <a:moveTo>
                                <a:pt x="1673976" y="188682"/>
                              </a:moveTo>
                              <a:lnTo>
                                <a:pt x="1676452" y="177434"/>
                              </a:lnTo>
                            </a:path>
                            <a:path w="1691639" h="725805">
                              <a:moveTo>
                                <a:pt x="1676452" y="170405"/>
                              </a:moveTo>
                              <a:lnTo>
                                <a:pt x="1678928" y="159129"/>
                              </a:lnTo>
                            </a:path>
                            <a:path w="1691639" h="725805">
                              <a:moveTo>
                                <a:pt x="1678928" y="152085"/>
                              </a:moveTo>
                              <a:lnTo>
                                <a:pt x="1681405" y="140809"/>
                              </a:lnTo>
                            </a:path>
                            <a:path w="1691639" h="725805">
                              <a:moveTo>
                                <a:pt x="1683881" y="133779"/>
                              </a:moveTo>
                              <a:lnTo>
                                <a:pt x="1683881" y="122517"/>
                              </a:lnTo>
                            </a:path>
                            <a:path w="1691639" h="725805">
                              <a:moveTo>
                                <a:pt x="1686357" y="115459"/>
                              </a:moveTo>
                              <a:lnTo>
                                <a:pt x="1688833" y="105617"/>
                              </a:lnTo>
                            </a:path>
                            <a:path w="1691639" h="725805">
                              <a:moveTo>
                                <a:pt x="24829" y="0"/>
                              </a:moveTo>
                              <a:lnTo>
                                <a:pt x="24830" y="709780"/>
                              </a:lnTo>
                              <a:lnTo>
                                <a:pt x="1691310" y="709781"/>
                              </a:lnTo>
                              <a:lnTo>
                                <a:pt x="1691310" y="0"/>
                              </a:lnTo>
                              <a:lnTo>
                                <a:pt x="24829" y="0"/>
                              </a:lnTo>
                            </a:path>
                          </a:pathLst>
                        </a:custGeom>
                        <a:ln w="388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62.431122pt;margin-top:2.043488pt;width:133.2pt;height:57.15pt;mso-position-horizontal-relative:page;mso-position-vertical-relative:paragraph;z-index:15748096" id="docshape91" coordorigin="7249,41" coordsize="2664,1143" path="m7249,1156l7288,1156m7249,932l7288,932m7249,711l7288,711m7249,487l7288,487m7249,265l7288,265m7249,43l7288,43m7292,1159l7292,1172m7354,1159l7354,1172m7417,1159l7417,1172m7483,1159l7483,1172m7545,1159l7545,1172m7608,1159l7608,1172m7674,1159l7674,1172m7737,1159l7737,1172m7799,1159l7799,1172m7866,1159l7866,1172m7928,1159l7928,1172m7995,1159l7995,1172m8057,1159l8057,1172m8120,1159l8120,1172m8186,1159l8186,1172m8248,1159l8248,1172m8311,1159l8311,1172m8377,1159l8377,1172m8440,1159l8440,1172m8502,1159l8502,1172m8569,1159l8569,1172m8631,1159l8631,1172m8698,1159l8698,1172m8760,1159l8760,1172m8823,1159l8823,1172m8889,1159l8889,1172m8951,1159l8951,1172m9014,1159l9014,1172m9080,1159l9080,1172m9143,1159l9143,1172m9205,1159l9205,1172m9272,1159l9272,1172m9334,1159l9334,1172m9400,1159l9400,1172m9463,1159l9463,1172m9525,1159l9525,1172m9592,1159l9592,1172m9654,1159l9654,1172m9717,1159l9717,1172m9783,1159l9783,1172m9846,1159l9846,1172m9908,1159l9908,1172m7292,1159l7292,1183m7608,1159l7608,1183m7928,1159l7928,1183m8248,1159l8248,1183m8569,1159l8569,1183m8889,1159l8889,1183m9205,1159l9205,1183m9525,1159l9525,1183m9846,1159l9846,1183m7292,901l7354,888,7417,884,7483,873,7545,830,7608,824,7674,810,7737,802,7799,797,7866,786,7928,777,7991,779,8057,777,8120,773,8182,766,8248,759,8311,757,8373,735,8440,719,8502,695,8565,682,8631,673,8694,644,8756,631,8823,615,8885,573,8947,553,9014,551,9076,553,9139,544,9205,524,9268,522,9330,502,9397,489,9459,473,9522,460,9588,447,9650,440,9713,431,9779,431,9842,420,9908,407m7292,992l7319,986m7335,981l7354,977,7362,975m7381,972l7409,968m7424,966l7456,963m7475,961l7483,961,7487,950m7491,939l7499,924m7503,912l7510,897m7518,886l7526,870m7530,859l7538,844m7542,833l7545,833,7553,848m7557,859l7565,875m7573,886l7581,901m7585,912l7592,928m7600,937l7608,948,7616,946m7635,946l7667,946m7682,943l7713,941m7733,941l7737,941,7760,937m7780,937l7799,935,7807,932m7827,932l7858,930m7873,928l7901,924m7920,921l7928,921,7944,915m7959,910l7983,901m7998,899l8030,899m8049,899l8057,899,8077,897m8096,895l8120,895,8123,892m8143,892l8174,890m8190,888l8221,886m8241,886l8248,886,8268,879m8287,875l8311,870,8315,868m8334,868l8366,866m8381,864l8412,861m8432,859l8440,859,8463,859m8483,859l8502,861,8514,861m8534,861l8565,861m8577,861l8604,857m8623,855l8631,855,8647,846m8662,839l8686,830m8698,822l8709,806m8717,797l8733,782m8741,773l8756,759,8756,759m8776,757l8807,757m8823,757l8842,746m8858,739l8881,728m8897,726l8928,726m8947,726l8979,724m8998,724l9014,724,9026,722m9041,717l9069,713m9088,713l9119,713m9139,713l9170,713m9190,713l9205,713,9209,722m9213,733l9221,748m9225,759l9233,775m9240,786l9248,802m9252,813l9260,828m9264,839l9268,839,9272,824m9279,813l9287,797m9291,786l9299,771m9303,759l9311,744m9315,733l9322,717m9330,708l9361,706m9381,704l9397,704,9408,700m9424,695l9451,688m9467,684l9498,682m9518,682l9522,682,9549,677m9568,677l9588,675,9596,673m9615,671l9643,666m9658,664l9690,662m9709,660l9713,660,9740,657m9760,655l9779,655,9783,651m9795,642l9811,629m9822,620l9842,609,9842,609m9842,598l9846,580m9846,569l9850,551m9850,540l9853,522m9857,511l9857,493m9861,482l9865,464m9865,453l9869,436m9869,425l9873,407m9873,396l9877,378m9881,367l9881,349m9885,338l9889,320m9889,309l9893,291m9893,280l9897,263m9900,252l9900,234m9904,223l9908,207m7288,41l7288,1159,9912,1159,9912,41,7288,41e" filled="false" stroked="true" strokeweight=".305752pt" strokecolor="#000000">
                <v:path arrowok="t"/>
                <v:stroke dashstyle="solid"/>
                <w10:wrap type="none"/>
              </v:shape>
            </w:pict>
          </mc:Fallback>
        </mc:AlternateContent>
      </w:r>
      <w:r>
        <w:rPr>
          <w:rFonts w:ascii="Arial MT"/>
          <w:spacing w:val="-5"/>
          <w:w w:val="180"/>
          <w:sz w:val="6"/>
        </w:rPr>
        <w:t>24</w:t>
      </w:r>
    </w:p>
    <w:p>
      <w:pPr>
        <w:pStyle w:val="BodyText"/>
        <w:rPr>
          <w:rFonts w:ascii="Arial MT"/>
          <w:sz w:val="6"/>
        </w:rPr>
      </w:pPr>
    </w:p>
    <w:p>
      <w:pPr>
        <w:pStyle w:val="BodyText"/>
        <w:spacing w:before="14"/>
        <w:rPr>
          <w:rFonts w:ascii="Arial MT"/>
          <w:sz w:val="6"/>
        </w:rPr>
      </w:pPr>
    </w:p>
    <w:p>
      <w:pPr>
        <w:spacing w:before="1"/>
        <w:ind w:left="2138" w:right="0" w:firstLine="0"/>
        <w:jc w:val="center"/>
        <w:rPr>
          <w:rFonts w:ascii="Arial MT"/>
          <w:sz w:val="6"/>
        </w:rPr>
      </w:pPr>
      <w:r>
        <w:rPr>
          <w:rFonts w:ascii="Arial MT"/>
          <w:spacing w:val="-5"/>
          <w:w w:val="180"/>
          <w:sz w:val="6"/>
        </w:rPr>
        <w:t>20</w:t>
      </w:r>
    </w:p>
    <w:p>
      <w:pPr>
        <w:pStyle w:val="BodyText"/>
        <w:rPr>
          <w:rFonts w:ascii="Arial MT"/>
          <w:sz w:val="6"/>
        </w:rPr>
      </w:pPr>
    </w:p>
    <w:p>
      <w:pPr>
        <w:pStyle w:val="BodyText"/>
        <w:spacing w:before="14"/>
        <w:rPr>
          <w:rFonts w:ascii="Arial MT"/>
          <w:sz w:val="6"/>
        </w:rPr>
      </w:pPr>
    </w:p>
    <w:p>
      <w:pPr>
        <w:spacing w:before="0"/>
        <w:ind w:left="2138" w:right="0" w:firstLine="0"/>
        <w:jc w:val="center"/>
        <w:rPr>
          <w:rFonts w:ascii="Arial MT"/>
          <w:sz w:val="6"/>
        </w:rPr>
      </w:pPr>
      <w:r>
        <w:rPr>
          <w:rFonts w:ascii="Arial MT"/>
          <w:spacing w:val="-5"/>
          <w:w w:val="180"/>
          <w:sz w:val="6"/>
        </w:rPr>
        <w:t>16</w:t>
      </w:r>
    </w:p>
    <w:p>
      <w:pPr>
        <w:pStyle w:val="BodyText"/>
        <w:rPr>
          <w:rFonts w:ascii="Arial MT"/>
          <w:sz w:val="6"/>
        </w:rPr>
      </w:pPr>
    </w:p>
    <w:p>
      <w:pPr>
        <w:pStyle w:val="BodyText"/>
        <w:spacing w:before="17"/>
        <w:rPr>
          <w:rFonts w:ascii="Arial MT"/>
          <w:sz w:val="6"/>
        </w:rPr>
      </w:pPr>
    </w:p>
    <w:p>
      <w:pPr>
        <w:spacing w:before="0"/>
        <w:ind w:left="2138" w:right="0" w:firstLine="0"/>
        <w:jc w:val="center"/>
        <w:rPr>
          <w:rFonts w:ascii="Arial MT"/>
          <w:sz w:val="6"/>
        </w:rPr>
      </w:pPr>
      <w:r>
        <w:rPr>
          <w:rFonts w:ascii="Arial MT"/>
          <w:spacing w:val="-5"/>
          <w:w w:val="180"/>
          <w:sz w:val="6"/>
        </w:rPr>
        <w:t>12</w:t>
      </w:r>
    </w:p>
    <w:p>
      <w:pPr>
        <w:pStyle w:val="BodyText"/>
        <w:rPr>
          <w:rFonts w:ascii="Arial MT"/>
          <w:sz w:val="6"/>
        </w:rPr>
      </w:pPr>
    </w:p>
    <w:p>
      <w:pPr>
        <w:pStyle w:val="BodyText"/>
        <w:spacing w:before="15"/>
        <w:rPr>
          <w:rFonts w:ascii="Arial MT"/>
          <w:sz w:val="6"/>
        </w:rPr>
      </w:pPr>
    </w:p>
    <w:p>
      <w:pPr>
        <w:spacing w:before="0"/>
        <w:ind w:left="2199" w:right="0" w:firstLine="0"/>
        <w:jc w:val="center"/>
        <w:rPr>
          <w:rFonts w:ascii="Arial MT"/>
          <w:sz w:val="6"/>
        </w:rPr>
      </w:pPr>
      <w:r>
        <w:rPr>
          <w:rFonts w:ascii="Arial MT"/>
          <w:spacing w:val="-10"/>
          <w:w w:val="180"/>
          <w:sz w:val="6"/>
        </w:rPr>
        <w:t>8</w:t>
      </w:r>
    </w:p>
    <w:p>
      <w:pPr>
        <w:spacing w:after="0"/>
        <w:jc w:val="center"/>
        <w:rPr>
          <w:rFonts w:ascii="Arial MT"/>
          <w:sz w:val="6"/>
        </w:rPr>
        <w:sectPr>
          <w:pgSz w:w="11910" w:h="16840"/>
          <w:pgMar w:header="0" w:footer="979" w:top="1360" w:bottom="1240" w:left="280" w:right="0"/>
        </w:sectPr>
      </w:pPr>
    </w:p>
    <w:p>
      <w:pPr>
        <w:pStyle w:val="BodyText"/>
        <w:spacing w:before="54"/>
        <w:rPr>
          <w:rFonts w:ascii="Arial MT"/>
        </w:rPr>
      </w:pPr>
    </w:p>
    <w:p>
      <w:pPr>
        <w:pStyle w:val="Heading5"/>
        <w:spacing w:before="0"/>
        <w:ind w:left="1311"/>
        <w:jc w:val="left"/>
      </w:pPr>
      <w:r>
        <w:rPr/>
        <w:t>GDP</w:t>
      </w:r>
      <w:r>
        <w:rPr>
          <w:spacing w:val="-3"/>
        </w:rPr>
        <w:t> </w:t>
      </w:r>
      <w:r>
        <w:rPr/>
        <w:t>AND</w:t>
      </w:r>
      <w:r>
        <w:rPr>
          <w:spacing w:val="-1"/>
        </w:rPr>
        <w:t> </w:t>
      </w:r>
      <w:r>
        <w:rPr>
          <w:spacing w:val="-2"/>
        </w:rPr>
        <w:t>EXDEBT</w:t>
      </w:r>
    </w:p>
    <w:p>
      <w:pPr>
        <w:spacing w:line="240" w:lineRule="auto" w:before="0"/>
        <w:rPr>
          <w:b/>
          <w:sz w:val="6"/>
        </w:rPr>
      </w:pPr>
      <w:r>
        <w:rPr/>
        <w:br w:type="column"/>
      </w:r>
      <w:r>
        <w:rPr>
          <w:b/>
          <w:sz w:val="6"/>
        </w:rPr>
      </w:r>
    </w:p>
    <w:p>
      <w:pPr>
        <w:pStyle w:val="BodyText"/>
        <w:spacing w:before="17"/>
        <w:rPr>
          <w:b/>
          <w:sz w:val="6"/>
        </w:rPr>
      </w:pPr>
    </w:p>
    <w:p>
      <w:pPr>
        <w:spacing w:before="0"/>
        <w:ind w:left="1311" w:right="0" w:firstLine="0"/>
        <w:jc w:val="left"/>
        <w:rPr>
          <w:rFonts w:ascii="Arial MT"/>
          <w:sz w:val="6"/>
        </w:rPr>
      </w:pPr>
      <w:r>
        <w:rPr>
          <w:rFonts w:ascii="Arial MT"/>
          <w:spacing w:val="-10"/>
          <w:w w:val="180"/>
          <w:sz w:val="6"/>
        </w:rPr>
        <w:t>4</w:t>
      </w:r>
    </w:p>
    <w:p>
      <w:pPr>
        <w:spacing w:before="4"/>
        <w:ind w:left="1378" w:right="0" w:firstLine="0"/>
        <w:jc w:val="left"/>
        <w:rPr>
          <w:rFonts w:ascii="Arial MT"/>
          <w:sz w:val="6"/>
        </w:rPr>
      </w:pPr>
      <w:r>
        <w:rPr>
          <w:rFonts w:ascii="Arial MT"/>
          <w:w w:val="180"/>
          <w:sz w:val="6"/>
        </w:rPr>
        <w:t>70</w:t>
      </w:r>
      <w:r>
        <w:rPr>
          <w:rFonts w:ascii="Arial MT"/>
          <w:spacing w:val="67"/>
          <w:w w:val="180"/>
          <w:sz w:val="6"/>
        </w:rPr>
        <w:t>  </w:t>
      </w:r>
      <w:r>
        <w:rPr>
          <w:rFonts w:ascii="Arial MT"/>
          <w:w w:val="180"/>
          <w:sz w:val="6"/>
        </w:rPr>
        <w:t>75</w:t>
      </w:r>
      <w:r>
        <w:rPr>
          <w:rFonts w:ascii="Arial MT"/>
          <w:spacing w:val="69"/>
          <w:w w:val="180"/>
          <w:sz w:val="6"/>
        </w:rPr>
        <w:t>  </w:t>
      </w:r>
      <w:r>
        <w:rPr>
          <w:rFonts w:ascii="Arial MT"/>
          <w:w w:val="180"/>
          <w:sz w:val="6"/>
        </w:rPr>
        <w:t>80</w:t>
      </w:r>
      <w:r>
        <w:rPr>
          <w:rFonts w:ascii="Arial MT"/>
          <w:spacing w:val="69"/>
          <w:w w:val="180"/>
          <w:sz w:val="6"/>
        </w:rPr>
        <w:t>  </w:t>
      </w:r>
      <w:r>
        <w:rPr>
          <w:rFonts w:ascii="Arial MT"/>
          <w:w w:val="180"/>
          <w:sz w:val="6"/>
        </w:rPr>
        <w:t>85</w:t>
      </w:r>
      <w:r>
        <w:rPr>
          <w:rFonts w:ascii="Arial MT"/>
          <w:spacing w:val="70"/>
          <w:w w:val="180"/>
          <w:sz w:val="6"/>
        </w:rPr>
        <w:t>  </w:t>
      </w:r>
      <w:r>
        <w:rPr>
          <w:rFonts w:ascii="Arial MT"/>
          <w:w w:val="180"/>
          <w:sz w:val="6"/>
        </w:rPr>
        <w:t>90</w:t>
      </w:r>
      <w:r>
        <w:rPr>
          <w:rFonts w:ascii="Arial MT"/>
          <w:spacing w:val="69"/>
          <w:w w:val="180"/>
          <w:sz w:val="6"/>
        </w:rPr>
        <w:t>  </w:t>
      </w:r>
      <w:r>
        <w:rPr>
          <w:rFonts w:ascii="Arial MT"/>
          <w:w w:val="180"/>
          <w:sz w:val="6"/>
        </w:rPr>
        <w:t>95</w:t>
      </w:r>
      <w:r>
        <w:rPr>
          <w:rFonts w:ascii="Arial MT"/>
          <w:spacing w:val="68"/>
          <w:w w:val="180"/>
          <w:sz w:val="6"/>
        </w:rPr>
        <w:t>  </w:t>
      </w:r>
      <w:r>
        <w:rPr>
          <w:rFonts w:ascii="Arial MT"/>
          <w:w w:val="180"/>
          <w:sz w:val="6"/>
        </w:rPr>
        <w:t>00</w:t>
      </w:r>
      <w:r>
        <w:rPr>
          <w:rFonts w:ascii="Arial MT"/>
          <w:spacing w:val="69"/>
          <w:w w:val="180"/>
          <w:sz w:val="6"/>
        </w:rPr>
        <w:t>  </w:t>
      </w:r>
      <w:r>
        <w:rPr>
          <w:rFonts w:ascii="Arial MT"/>
          <w:w w:val="180"/>
          <w:sz w:val="6"/>
        </w:rPr>
        <w:t>05</w:t>
      </w:r>
      <w:r>
        <w:rPr>
          <w:rFonts w:ascii="Arial MT"/>
          <w:spacing w:val="69"/>
          <w:w w:val="180"/>
          <w:sz w:val="6"/>
        </w:rPr>
        <w:t>  </w:t>
      </w:r>
      <w:r>
        <w:rPr>
          <w:rFonts w:ascii="Arial MT"/>
          <w:spacing w:val="-5"/>
          <w:w w:val="180"/>
          <w:sz w:val="6"/>
        </w:rPr>
        <w:t>10</w:t>
      </w:r>
    </w:p>
    <w:p>
      <w:pPr>
        <w:pStyle w:val="BodyText"/>
        <w:spacing w:before="13"/>
        <w:rPr>
          <w:rFonts w:ascii="Arial MT"/>
          <w:sz w:val="6"/>
        </w:rPr>
      </w:pPr>
    </w:p>
    <w:p>
      <w:pPr>
        <w:spacing w:before="0"/>
        <w:ind w:left="0" w:right="556" w:firstLine="0"/>
        <w:jc w:val="center"/>
        <w:rPr>
          <w:rFonts w:ascii="Arial MT"/>
          <w:sz w:val="6"/>
        </w:rPr>
      </w:pPr>
      <w:r>
        <w:rPr/>
        <mc:AlternateContent>
          <mc:Choice Requires="wps">
            <w:drawing>
              <wp:anchor distT="0" distB="0" distL="0" distR="0" allowOverlap="1" layoutInCell="1" locked="0" behindDoc="1" simplePos="0" relativeHeight="464171520">
                <wp:simplePos x="0" y="0"/>
                <wp:positionH relativeFrom="page">
                  <wp:posOffset>5126143</wp:posOffset>
                </wp:positionH>
                <wp:positionV relativeFrom="paragraph">
                  <wp:posOffset>-11796</wp:posOffset>
                </wp:positionV>
                <wp:extent cx="667385" cy="65405"/>
                <wp:effectExtent l="0" t="0" r="0" b="0"/>
                <wp:wrapNone/>
                <wp:docPr id="106" name="Graphic 106"/>
                <wp:cNvGraphicFramePr>
                  <a:graphicFrameLocks/>
                </wp:cNvGraphicFramePr>
                <a:graphic>
                  <a:graphicData uri="http://schemas.microsoft.com/office/word/2010/wordprocessingShape">
                    <wps:wsp>
                      <wps:cNvPr id="106" name="Graphic 106"/>
                      <wps:cNvSpPr/>
                      <wps:spPr>
                        <a:xfrm>
                          <a:off x="0" y="0"/>
                          <a:ext cx="667385" cy="65405"/>
                        </a:xfrm>
                        <a:custGeom>
                          <a:avLst/>
                          <a:gdLst/>
                          <a:ahLst/>
                          <a:cxnLst/>
                          <a:rect l="l" t="t" r="r" b="b"/>
                          <a:pathLst>
                            <a:path w="667385" h="65405">
                              <a:moveTo>
                                <a:pt x="0" y="64793"/>
                              </a:moveTo>
                              <a:lnTo>
                                <a:pt x="667113" y="64793"/>
                              </a:lnTo>
                              <a:lnTo>
                                <a:pt x="667113" y="0"/>
                              </a:lnTo>
                              <a:lnTo>
                                <a:pt x="0" y="0"/>
                              </a:lnTo>
                              <a:lnTo>
                                <a:pt x="0" y="64793"/>
                              </a:lnTo>
                              <a:close/>
                            </a:path>
                          </a:pathLst>
                        </a:custGeom>
                        <a:ln w="2832">
                          <a:solidFill>
                            <a:srgbClr val="000000"/>
                          </a:solidFill>
                          <a:prstDash val="solid"/>
                        </a:ln>
                      </wps:spPr>
                      <wps:bodyPr wrap="square" lIns="0" tIns="0" rIns="0" bIns="0" rtlCol="0">
                        <a:prstTxWarp prst="textNoShape">
                          <a:avLst/>
                        </a:prstTxWarp>
                        <a:noAutofit/>
                      </wps:bodyPr>
                    </wps:wsp>
                  </a:graphicData>
                </a:graphic>
              </wp:anchor>
            </w:drawing>
          </mc:Choice>
          <mc:Fallback>
            <w:pict>
              <v:rect style="position:absolute;margin-left:403.633362pt;margin-top:-.928887pt;width:52.5286pt;height:5.101834pt;mso-position-horizontal-relative:page;mso-position-vertical-relative:paragraph;z-index:-39144960" id="docshape92" filled="false" stroked="true" strokeweight=".223034pt" strokecolor="#000000">
                <v:stroke dashstyle="solid"/>
                <w10:wrap type="none"/>
              </v:rect>
            </w:pict>
          </mc:Fallback>
        </mc:AlternateContent>
      </w:r>
      <w:r>
        <w:rPr>
          <w:rFonts w:ascii="Arial MT"/>
          <w:spacing w:val="56"/>
          <w:sz w:val="6"/>
          <w:u w:val="single"/>
        </w:rPr>
        <w:t>   </w:t>
      </w:r>
      <w:r>
        <w:rPr>
          <w:rFonts w:ascii="Arial MT"/>
          <w:spacing w:val="-6"/>
          <w:sz w:val="6"/>
        </w:rPr>
        <w:t> </w:t>
      </w:r>
      <w:r>
        <w:rPr>
          <w:rFonts w:ascii="Arial MT"/>
          <w:w w:val="180"/>
          <w:sz w:val="6"/>
        </w:rPr>
        <w:t>GDP</w:t>
      </w:r>
      <w:r>
        <w:rPr>
          <w:rFonts w:ascii="Arial MT"/>
          <w:spacing w:val="56"/>
          <w:w w:val="180"/>
          <w:sz w:val="6"/>
        </w:rPr>
        <w:t> </w:t>
      </w:r>
      <w:r>
        <w:rPr>
          <w:rFonts w:ascii="Arial MT"/>
          <w:spacing w:val="76"/>
          <w:w w:val="180"/>
          <w:sz w:val="6"/>
          <w:u w:val="single"/>
        </w:rPr>
        <w:t>  </w:t>
      </w:r>
      <w:r>
        <w:rPr>
          <w:rFonts w:ascii="Arial MT"/>
          <w:spacing w:val="-13"/>
          <w:w w:val="180"/>
          <w:sz w:val="6"/>
        </w:rPr>
        <w:t> </w:t>
      </w:r>
      <w:r>
        <w:rPr>
          <w:rFonts w:ascii="Arial MT"/>
          <w:spacing w:val="-5"/>
          <w:w w:val="180"/>
          <w:sz w:val="6"/>
        </w:rPr>
        <w:t>DFI</w:t>
      </w:r>
    </w:p>
    <w:p>
      <w:pPr>
        <w:spacing w:after="0"/>
        <w:jc w:val="center"/>
        <w:rPr>
          <w:rFonts w:ascii="Arial MT"/>
          <w:sz w:val="6"/>
        </w:rPr>
        <w:sectPr>
          <w:type w:val="continuous"/>
          <w:pgSz w:w="11910" w:h="16840"/>
          <w:pgMar w:header="0" w:footer="979" w:top="1340" w:bottom="1220" w:left="280" w:right="0"/>
          <w:cols w:num="2" w:equalWidth="0">
            <w:col w:w="3487" w:space="2084"/>
            <w:col w:w="6059"/>
          </w:cols>
        </w:sectPr>
      </w:pPr>
    </w:p>
    <w:p>
      <w:pPr>
        <w:pStyle w:val="BodyText"/>
        <w:rPr>
          <w:rFonts w:ascii="Arial MT"/>
          <w:sz w:val="7"/>
        </w:rPr>
      </w:pPr>
    </w:p>
    <w:p>
      <w:pPr>
        <w:pStyle w:val="BodyText"/>
        <w:rPr>
          <w:rFonts w:ascii="Arial MT"/>
          <w:sz w:val="7"/>
        </w:rPr>
      </w:pPr>
    </w:p>
    <w:p>
      <w:pPr>
        <w:pStyle w:val="BodyText"/>
        <w:rPr>
          <w:rFonts w:ascii="Arial MT"/>
          <w:sz w:val="7"/>
        </w:rPr>
      </w:pPr>
    </w:p>
    <w:p>
      <w:pPr>
        <w:pStyle w:val="BodyText"/>
        <w:spacing w:before="39"/>
        <w:rPr>
          <w:rFonts w:ascii="Arial MT"/>
          <w:sz w:val="7"/>
        </w:rPr>
      </w:pPr>
    </w:p>
    <w:p>
      <w:pPr>
        <w:spacing w:before="0"/>
        <w:ind w:left="861" w:right="0" w:firstLine="0"/>
        <w:jc w:val="left"/>
        <w:rPr>
          <w:rFonts w:ascii="Arial MT"/>
          <w:sz w:val="7"/>
        </w:rPr>
      </w:pPr>
      <w:r>
        <w:rPr/>
        <mc:AlternateContent>
          <mc:Choice Requires="wps">
            <w:drawing>
              <wp:anchor distT="0" distB="0" distL="0" distR="0" allowOverlap="1" layoutInCell="1" locked="0" behindDoc="0" simplePos="0" relativeHeight="15749120">
                <wp:simplePos x="0" y="0"/>
                <wp:positionH relativeFrom="page">
                  <wp:posOffset>829937</wp:posOffset>
                </wp:positionH>
                <wp:positionV relativeFrom="paragraph">
                  <wp:posOffset>30982</wp:posOffset>
                </wp:positionV>
                <wp:extent cx="1881505" cy="814705"/>
                <wp:effectExtent l="0" t="0" r="0" b="0"/>
                <wp:wrapNone/>
                <wp:docPr id="107" name="Graphic 107"/>
                <wp:cNvGraphicFramePr>
                  <a:graphicFrameLocks/>
                </wp:cNvGraphicFramePr>
                <a:graphic>
                  <a:graphicData uri="http://schemas.microsoft.com/office/word/2010/wordprocessingShape">
                    <wps:wsp>
                      <wps:cNvPr id="107" name="Graphic 107"/>
                      <wps:cNvSpPr/>
                      <wps:spPr>
                        <a:xfrm>
                          <a:off x="0" y="0"/>
                          <a:ext cx="1881505" cy="814705"/>
                        </a:xfrm>
                        <a:custGeom>
                          <a:avLst/>
                          <a:gdLst/>
                          <a:ahLst/>
                          <a:cxnLst/>
                          <a:rect l="l" t="t" r="r" b="b"/>
                          <a:pathLst>
                            <a:path w="1881505" h="814705">
                              <a:moveTo>
                                <a:pt x="0" y="795237"/>
                              </a:moveTo>
                              <a:lnTo>
                                <a:pt x="27614" y="795237"/>
                              </a:lnTo>
                            </a:path>
                            <a:path w="1881505" h="814705">
                              <a:moveTo>
                                <a:pt x="0" y="635552"/>
                              </a:moveTo>
                              <a:lnTo>
                                <a:pt x="27614" y="635552"/>
                              </a:lnTo>
                            </a:path>
                            <a:path w="1881505" h="814705">
                              <a:moveTo>
                                <a:pt x="0" y="477445"/>
                              </a:moveTo>
                              <a:lnTo>
                                <a:pt x="27614" y="477445"/>
                              </a:lnTo>
                            </a:path>
                            <a:path w="1881505" h="814705">
                              <a:moveTo>
                                <a:pt x="0" y="317760"/>
                              </a:moveTo>
                              <a:lnTo>
                                <a:pt x="27614" y="317760"/>
                              </a:lnTo>
                            </a:path>
                            <a:path w="1881505" h="814705">
                              <a:moveTo>
                                <a:pt x="0" y="159685"/>
                              </a:moveTo>
                              <a:lnTo>
                                <a:pt x="27614" y="159685"/>
                              </a:lnTo>
                            </a:path>
                            <a:path w="1881505" h="814705">
                              <a:moveTo>
                                <a:pt x="0" y="1578"/>
                              </a:moveTo>
                              <a:lnTo>
                                <a:pt x="27614" y="1578"/>
                              </a:lnTo>
                            </a:path>
                            <a:path w="1881505" h="814705">
                              <a:moveTo>
                                <a:pt x="30368" y="796816"/>
                              </a:moveTo>
                              <a:lnTo>
                                <a:pt x="30368" y="806286"/>
                              </a:lnTo>
                            </a:path>
                            <a:path w="1881505" h="814705">
                              <a:moveTo>
                                <a:pt x="74498" y="796816"/>
                              </a:moveTo>
                              <a:lnTo>
                                <a:pt x="74498" y="806286"/>
                              </a:lnTo>
                            </a:path>
                            <a:path w="1881505" h="814705">
                              <a:moveTo>
                                <a:pt x="118590" y="796816"/>
                              </a:moveTo>
                              <a:lnTo>
                                <a:pt x="118590" y="806286"/>
                              </a:lnTo>
                            </a:path>
                            <a:path w="1881505" h="814705">
                              <a:moveTo>
                                <a:pt x="165490" y="796816"/>
                              </a:moveTo>
                              <a:lnTo>
                                <a:pt x="165490" y="806286"/>
                              </a:lnTo>
                            </a:path>
                            <a:path w="1881505" h="814705">
                              <a:moveTo>
                                <a:pt x="209609" y="796816"/>
                              </a:moveTo>
                              <a:lnTo>
                                <a:pt x="209609" y="806286"/>
                              </a:lnTo>
                            </a:path>
                            <a:path w="1881505" h="814705">
                              <a:moveTo>
                                <a:pt x="253756" y="796816"/>
                              </a:moveTo>
                              <a:lnTo>
                                <a:pt x="253756" y="806286"/>
                              </a:lnTo>
                            </a:path>
                            <a:path w="1881505" h="814705">
                              <a:moveTo>
                                <a:pt x="300657" y="796816"/>
                              </a:moveTo>
                              <a:lnTo>
                                <a:pt x="300657" y="806286"/>
                              </a:lnTo>
                            </a:path>
                            <a:path w="1881505" h="814705">
                              <a:moveTo>
                                <a:pt x="344804" y="796816"/>
                              </a:moveTo>
                              <a:lnTo>
                                <a:pt x="344804" y="806286"/>
                              </a:lnTo>
                            </a:path>
                            <a:path w="1881505" h="814705">
                              <a:moveTo>
                                <a:pt x="388868" y="796816"/>
                              </a:moveTo>
                              <a:lnTo>
                                <a:pt x="388868" y="806286"/>
                              </a:lnTo>
                            </a:path>
                            <a:path w="1881505" h="814705">
                              <a:moveTo>
                                <a:pt x="435768" y="796816"/>
                              </a:moveTo>
                              <a:lnTo>
                                <a:pt x="435768" y="806286"/>
                              </a:lnTo>
                            </a:path>
                            <a:path w="1881505" h="814705">
                              <a:moveTo>
                                <a:pt x="479915" y="796816"/>
                              </a:moveTo>
                              <a:lnTo>
                                <a:pt x="479915" y="806286"/>
                              </a:lnTo>
                            </a:path>
                            <a:path w="1881505" h="814705">
                              <a:moveTo>
                                <a:pt x="526816" y="796816"/>
                              </a:moveTo>
                              <a:lnTo>
                                <a:pt x="526816" y="806286"/>
                              </a:lnTo>
                            </a:path>
                            <a:path w="1881505" h="814705">
                              <a:moveTo>
                                <a:pt x="570935" y="796816"/>
                              </a:moveTo>
                              <a:lnTo>
                                <a:pt x="570935" y="806286"/>
                              </a:lnTo>
                            </a:path>
                            <a:path w="1881505" h="814705">
                              <a:moveTo>
                                <a:pt x="615081" y="796816"/>
                              </a:moveTo>
                              <a:lnTo>
                                <a:pt x="615081" y="806286"/>
                              </a:lnTo>
                            </a:path>
                            <a:path w="1881505" h="814705">
                              <a:moveTo>
                                <a:pt x="661899" y="796816"/>
                              </a:moveTo>
                              <a:lnTo>
                                <a:pt x="661899" y="806286"/>
                              </a:lnTo>
                            </a:path>
                            <a:path w="1881505" h="814705">
                              <a:moveTo>
                                <a:pt x="706046" y="796816"/>
                              </a:moveTo>
                              <a:lnTo>
                                <a:pt x="706046" y="806286"/>
                              </a:lnTo>
                            </a:path>
                            <a:path w="1881505" h="814705">
                              <a:moveTo>
                                <a:pt x="750193" y="796816"/>
                              </a:moveTo>
                              <a:lnTo>
                                <a:pt x="750193" y="806286"/>
                              </a:lnTo>
                            </a:path>
                            <a:path w="1881505" h="814705">
                              <a:moveTo>
                                <a:pt x="797094" y="796816"/>
                              </a:moveTo>
                              <a:lnTo>
                                <a:pt x="797094" y="806286"/>
                              </a:lnTo>
                            </a:path>
                            <a:path w="1881505" h="814705">
                              <a:moveTo>
                                <a:pt x="841240" y="796816"/>
                              </a:moveTo>
                              <a:lnTo>
                                <a:pt x="841240" y="806286"/>
                              </a:lnTo>
                            </a:path>
                            <a:path w="1881505" h="814705">
                              <a:moveTo>
                                <a:pt x="885359" y="796816"/>
                              </a:moveTo>
                              <a:lnTo>
                                <a:pt x="885359" y="806286"/>
                              </a:lnTo>
                            </a:path>
                            <a:path w="1881505" h="814705">
                              <a:moveTo>
                                <a:pt x="932205" y="796816"/>
                              </a:moveTo>
                              <a:lnTo>
                                <a:pt x="932205" y="806286"/>
                              </a:lnTo>
                            </a:path>
                            <a:path w="1881505" h="814705">
                              <a:moveTo>
                                <a:pt x="976352" y="796816"/>
                              </a:moveTo>
                              <a:lnTo>
                                <a:pt x="976352" y="806286"/>
                              </a:lnTo>
                            </a:path>
                            <a:path w="1881505" h="814705">
                              <a:moveTo>
                                <a:pt x="1023225" y="796816"/>
                              </a:moveTo>
                              <a:lnTo>
                                <a:pt x="1023225" y="806286"/>
                              </a:lnTo>
                            </a:path>
                            <a:path w="1881505" h="814705">
                              <a:moveTo>
                                <a:pt x="1067371" y="796816"/>
                              </a:moveTo>
                              <a:lnTo>
                                <a:pt x="1067371" y="806286"/>
                              </a:lnTo>
                            </a:path>
                            <a:path w="1881505" h="814705">
                              <a:moveTo>
                                <a:pt x="1111518" y="796816"/>
                              </a:moveTo>
                              <a:lnTo>
                                <a:pt x="1111518" y="806286"/>
                              </a:lnTo>
                            </a:path>
                            <a:path w="1881505" h="814705">
                              <a:moveTo>
                                <a:pt x="1158419" y="796816"/>
                              </a:moveTo>
                              <a:lnTo>
                                <a:pt x="1158419" y="806286"/>
                              </a:lnTo>
                            </a:path>
                            <a:path w="1881505" h="814705">
                              <a:moveTo>
                                <a:pt x="1202483" y="796816"/>
                              </a:moveTo>
                              <a:lnTo>
                                <a:pt x="1202483" y="806286"/>
                              </a:lnTo>
                            </a:path>
                            <a:path w="1881505" h="814705">
                              <a:moveTo>
                                <a:pt x="1246630" y="796816"/>
                              </a:moveTo>
                              <a:lnTo>
                                <a:pt x="1246630" y="806286"/>
                              </a:lnTo>
                            </a:path>
                            <a:path w="1881505" h="814705">
                              <a:moveTo>
                                <a:pt x="1293530" y="796816"/>
                              </a:moveTo>
                              <a:lnTo>
                                <a:pt x="1293530" y="806286"/>
                              </a:lnTo>
                            </a:path>
                            <a:path w="1881505" h="814705">
                              <a:moveTo>
                                <a:pt x="1337677" y="796816"/>
                              </a:moveTo>
                              <a:lnTo>
                                <a:pt x="1337677" y="806286"/>
                              </a:lnTo>
                            </a:path>
                            <a:path w="1881505" h="814705">
                              <a:moveTo>
                                <a:pt x="1381796" y="796816"/>
                              </a:moveTo>
                              <a:lnTo>
                                <a:pt x="1381796" y="806286"/>
                              </a:lnTo>
                            </a:path>
                            <a:path w="1881505" h="814705">
                              <a:moveTo>
                                <a:pt x="1428697" y="796816"/>
                              </a:moveTo>
                              <a:lnTo>
                                <a:pt x="1428697" y="806286"/>
                              </a:lnTo>
                            </a:path>
                            <a:path w="1881505" h="814705">
                              <a:moveTo>
                                <a:pt x="1472761" y="796816"/>
                              </a:moveTo>
                              <a:lnTo>
                                <a:pt x="1472761" y="806286"/>
                              </a:lnTo>
                            </a:path>
                            <a:path w="1881505" h="814705">
                              <a:moveTo>
                                <a:pt x="1519661" y="796816"/>
                              </a:moveTo>
                              <a:lnTo>
                                <a:pt x="1519661" y="806286"/>
                              </a:lnTo>
                            </a:path>
                            <a:path w="1881505" h="814705">
                              <a:moveTo>
                                <a:pt x="1563808" y="796816"/>
                              </a:moveTo>
                              <a:lnTo>
                                <a:pt x="1563808" y="806286"/>
                              </a:lnTo>
                            </a:path>
                            <a:path w="1881505" h="814705">
                              <a:moveTo>
                                <a:pt x="1607955" y="796816"/>
                              </a:moveTo>
                              <a:lnTo>
                                <a:pt x="1607955" y="806286"/>
                              </a:lnTo>
                            </a:path>
                            <a:path w="1881505" h="814705">
                              <a:moveTo>
                                <a:pt x="1654855" y="796816"/>
                              </a:moveTo>
                              <a:lnTo>
                                <a:pt x="1654855" y="806286"/>
                              </a:lnTo>
                            </a:path>
                            <a:path w="1881505" h="814705">
                              <a:moveTo>
                                <a:pt x="1698975" y="796816"/>
                              </a:moveTo>
                              <a:lnTo>
                                <a:pt x="1698975" y="806286"/>
                              </a:lnTo>
                            </a:path>
                            <a:path w="1881505" h="814705">
                              <a:moveTo>
                                <a:pt x="1743066" y="796816"/>
                              </a:moveTo>
                              <a:lnTo>
                                <a:pt x="1743066" y="806286"/>
                              </a:lnTo>
                            </a:path>
                            <a:path w="1881505" h="814705">
                              <a:moveTo>
                                <a:pt x="1789967" y="796816"/>
                              </a:moveTo>
                              <a:lnTo>
                                <a:pt x="1789967" y="806286"/>
                              </a:lnTo>
                            </a:path>
                            <a:path w="1881505" h="814705">
                              <a:moveTo>
                                <a:pt x="1834086" y="796816"/>
                              </a:moveTo>
                              <a:lnTo>
                                <a:pt x="1834086" y="806286"/>
                              </a:lnTo>
                            </a:path>
                            <a:path w="1881505" h="814705">
                              <a:moveTo>
                                <a:pt x="1878233" y="796816"/>
                              </a:moveTo>
                              <a:lnTo>
                                <a:pt x="1878233" y="806286"/>
                              </a:lnTo>
                            </a:path>
                            <a:path w="1881505" h="814705">
                              <a:moveTo>
                                <a:pt x="30368" y="796816"/>
                              </a:moveTo>
                              <a:lnTo>
                                <a:pt x="30368" y="814194"/>
                              </a:lnTo>
                            </a:path>
                            <a:path w="1881505" h="814705">
                              <a:moveTo>
                                <a:pt x="253756" y="796816"/>
                              </a:moveTo>
                              <a:lnTo>
                                <a:pt x="253756" y="814194"/>
                              </a:lnTo>
                            </a:path>
                            <a:path w="1881505" h="814705">
                              <a:moveTo>
                                <a:pt x="479915" y="796816"/>
                              </a:moveTo>
                              <a:lnTo>
                                <a:pt x="479915" y="814194"/>
                              </a:lnTo>
                            </a:path>
                            <a:path w="1881505" h="814705">
                              <a:moveTo>
                                <a:pt x="706046" y="796816"/>
                              </a:moveTo>
                              <a:lnTo>
                                <a:pt x="706046" y="814194"/>
                              </a:lnTo>
                            </a:path>
                            <a:path w="1881505" h="814705">
                              <a:moveTo>
                                <a:pt x="932205" y="796816"/>
                              </a:moveTo>
                              <a:lnTo>
                                <a:pt x="932205" y="814194"/>
                              </a:lnTo>
                            </a:path>
                            <a:path w="1881505" h="814705">
                              <a:moveTo>
                                <a:pt x="1158419" y="796816"/>
                              </a:moveTo>
                              <a:lnTo>
                                <a:pt x="1158419" y="814194"/>
                              </a:lnTo>
                            </a:path>
                            <a:path w="1881505" h="814705">
                              <a:moveTo>
                                <a:pt x="1381796" y="796816"/>
                              </a:moveTo>
                              <a:lnTo>
                                <a:pt x="1381796" y="814194"/>
                              </a:lnTo>
                            </a:path>
                            <a:path w="1881505" h="814705">
                              <a:moveTo>
                                <a:pt x="1607955" y="796816"/>
                              </a:moveTo>
                              <a:lnTo>
                                <a:pt x="1607955" y="814194"/>
                              </a:lnTo>
                            </a:path>
                            <a:path w="1881505" h="814705">
                              <a:moveTo>
                                <a:pt x="1834086" y="796816"/>
                              </a:moveTo>
                              <a:lnTo>
                                <a:pt x="1834086" y="814194"/>
                              </a:lnTo>
                            </a:path>
                            <a:path w="1881505" h="814705">
                              <a:moveTo>
                                <a:pt x="30368" y="453722"/>
                              </a:moveTo>
                              <a:lnTo>
                                <a:pt x="74498" y="445830"/>
                              </a:lnTo>
                              <a:lnTo>
                                <a:pt x="118590" y="442673"/>
                              </a:lnTo>
                              <a:lnTo>
                                <a:pt x="165490" y="434781"/>
                              </a:lnTo>
                              <a:lnTo>
                                <a:pt x="209609" y="403135"/>
                              </a:lnTo>
                              <a:lnTo>
                                <a:pt x="253756" y="398384"/>
                              </a:lnTo>
                              <a:lnTo>
                                <a:pt x="300657" y="390492"/>
                              </a:lnTo>
                              <a:lnTo>
                                <a:pt x="344804" y="384178"/>
                              </a:lnTo>
                              <a:lnTo>
                                <a:pt x="388868" y="379443"/>
                              </a:lnTo>
                              <a:lnTo>
                                <a:pt x="435768" y="371520"/>
                              </a:lnTo>
                              <a:lnTo>
                                <a:pt x="479915" y="365206"/>
                              </a:lnTo>
                              <a:lnTo>
                                <a:pt x="524034" y="366785"/>
                              </a:lnTo>
                              <a:lnTo>
                                <a:pt x="570935" y="365206"/>
                              </a:lnTo>
                              <a:lnTo>
                                <a:pt x="615081" y="362034"/>
                              </a:lnTo>
                              <a:lnTo>
                                <a:pt x="659145" y="358877"/>
                              </a:lnTo>
                              <a:lnTo>
                                <a:pt x="706046" y="352563"/>
                              </a:lnTo>
                              <a:lnTo>
                                <a:pt x="750193" y="352563"/>
                              </a:lnTo>
                              <a:lnTo>
                                <a:pt x="794339" y="335170"/>
                              </a:lnTo>
                              <a:lnTo>
                                <a:pt x="841240" y="324105"/>
                              </a:lnTo>
                              <a:lnTo>
                                <a:pt x="885359" y="306711"/>
                              </a:lnTo>
                              <a:lnTo>
                                <a:pt x="929451" y="298820"/>
                              </a:lnTo>
                              <a:lnTo>
                                <a:pt x="976352" y="292459"/>
                              </a:lnTo>
                              <a:lnTo>
                                <a:pt x="1020471" y="271940"/>
                              </a:lnTo>
                              <a:lnTo>
                                <a:pt x="1064617" y="260844"/>
                              </a:lnTo>
                              <a:lnTo>
                                <a:pt x="1111518" y="249795"/>
                              </a:lnTo>
                              <a:lnTo>
                                <a:pt x="1155665" y="219758"/>
                              </a:lnTo>
                              <a:lnTo>
                                <a:pt x="1199729" y="207084"/>
                              </a:lnTo>
                              <a:lnTo>
                                <a:pt x="1246629" y="205505"/>
                              </a:lnTo>
                              <a:lnTo>
                                <a:pt x="1290776" y="207084"/>
                              </a:lnTo>
                              <a:lnTo>
                                <a:pt x="1334923" y="200770"/>
                              </a:lnTo>
                              <a:lnTo>
                                <a:pt x="1381796" y="186533"/>
                              </a:lnTo>
                              <a:lnTo>
                                <a:pt x="1425943" y="184955"/>
                              </a:lnTo>
                              <a:lnTo>
                                <a:pt x="1470007" y="169155"/>
                              </a:lnTo>
                              <a:lnTo>
                                <a:pt x="1516907" y="161263"/>
                              </a:lnTo>
                              <a:lnTo>
                                <a:pt x="1561054" y="150183"/>
                              </a:lnTo>
                              <a:lnTo>
                                <a:pt x="1605201" y="139119"/>
                              </a:lnTo>
                              <a:lnTo>
                                <a:pt x="1652101" y="129617"/>
                              </a:lnTo>
                              <a:lnTo>
                                <a:pt x="1696221" y="126460"/>
                              </a:lnTo>
                              <a:lnTo>
                                <a:pt x="1740312" y="120146"/>
                              </a:lnTo>
                              <a:lnTo>
                                <a:pt x="1787213" y="118568"/>
                              </a:lnTo>
                              <a:lnTo>
                                <a:pt x="1831332" y="112255"/>
                              </a:lnTo>
                              <a:lnTo>
                                <a:pt x="1878233" y="102737"/>
                              </a:lnTo>
                            </a:path>
                            <a:path w="1881505" h="814705">
                              <a:moveTo>
                                <a:pt x="30368" y="589700"/>
                              </a:moveTo>
                              <a:lnTo>
                                <a:pt x="33122" y="602359"/>
                              </a:lnTo>
                            </a:path>
                            <a:path w="1881505" h="814705">
                              <a:moveTo>
                                <a:pt x="35876" y="610251"/>
                              </a:moveTo>
                              <a:lnTo>
                                <a:pt x="38633" y="622878"/>
                              </a:lnTo>
                            </a:path>
                            <a:path w="1881505" h="814705">
                              <a:moveTo>
                                <a:pt x="41387" y="630817"/>
                              </a:moveTo>
                              <a:lnTo>
                                <a:pt x="44141" y="643444"/>
                              </a:lnTo>
                            </a:path>
                            <a:path w="1881505" h="814705">
                              <a:moveTo>
                                <a:pt x="46895" y="651336"/>
                              </a:moveTo>
                              <a:lnTo>
                                <a:pt x="49651" y="664010"/>
                              </a:lnTo>
                            </a:path>
                            <a:path w="1881505" h="814705">
                              <a:moveTo>
                                <a:pt x="52405" y="671902"/>
                              </a:moveTo>
                              <a:lnTo>
                                <a:pt x="55159" y="684577"/>
                              </a:lnTo>
                            </a:path>
                            <a:path w="1881505" h="814705">
                              <a:moveTo>
                                <a:pt x="57913" y="692469"/>
                              </a:moveTo>
                              <a:lnTo>
                                <a:pt x="60667" y="705096"/>
                              </a:lnTo>
                            </a:path>
                            <a:path w="1881505" h="814705">
                              <a:moveTo>
                                <a:pt x="63424" y="713035"/>
                              </a:moveTo>
                              <a:lnTo>
                                <a:pt x="66178" y="725662"/>
                              </a:lnTo>
                            </a:path>
                            <a:path w="1881505" h="814705">
                              <a:moveTo>
                                <a:pt x="68998" y="733586"/>
                              </a:moveTo>
                              <a:lnTo>
                                <a:pt x="74498" y="744650"/>
                              </a:lnTo>
                              <a:lnTo>
                                <a:pt x="74498" y="744650"/>
                              </a:lnTo>
                            </a:path>
                            <a:path w="1881505" h="814705">
                              <a:moveTo>
                                <a:pt x="74498" y="736742"/>
                              </a:moveTo>
                              <a:lnTo>
                                <a:pt x="80006" y="725662"/>
                              </a:lnTo>
                            </a:path>
                            <a:path w="1881505" h="814705">
                              <a:moveTo>
                                <a:pt x="82760" y="717770"/>
                              </a:moveTo>
                              <a:lnTo>
                                <a:pt x="85514" y="705096"/>
                              </a:lnTo>
                            </a:path>
                            <a:path w="1881505" h="814705">
                              <a:moveTo>
                                <a:pt x="88268" y="697204"/>
                              </a:moveTo>
                              <a:lnTo>
                                <a:pt x="93804" y="686155"/>
                              </a:lnTo>
                            </a:path>
                            <a:path w="1881505" h="814705">
                              <a:moveTo>
                                <a:pt x="96558" y="678216"/>
                              </a:moveTo>
                              <a:lnTo>
                                <a:pt x="99312" y="665589"/>
                              </a:lnTo>
                            </a:path>
                            <a:path w="1881505" h="814705">
                              <a:moveTo>
                                <a:pt x="102066" y="657697"/>
                              </a:moveTo>
                              <a:lnTo>
                                <a:pt x="107574" y="646601"/>
                              </a:lnTo>
                            </a:path>
                            <a:path w="1881505" h="814705">
                              <a:moveTo>
                                <a:pt x="110328" y="638709"/>
                              </a:moveTo>
                              <a:lnTo>
                                <a:pt x="113082" y="626082"/>
                              </a:lnTo>
                            </a:path>
                            <a:path w="1881505" h="814705">
                              <a:moveTo>
                                <a:pt x="115836" y="618142"/>
                              </a:moveTo>
                              <a:lnTo>
                                <a:pt x="118590" y="616564"/>
                              </a:lnTo>
                              <a:lnTo>
                                <a:pt x="121399" y="626082"/>
                              </a:lnTo>
                            </a:path>
                            <a:path w="1881505" h="814705">
                              <a:moveTo>
                                <a:pt x="126907" y="632395"/>
                              </a:moveTo>
                              <a:lnTo>
                                <a:pt x="132415" y="643444"/>
                              </a:lnTo>
                            </a:path>
                            <a:path w="1881505" h="814705">
                              <a:moveTo>
                                <a:pt x="137923" y="651336"/>
                              </a:moveTo>
                              <a:lnTo>
                                <a:pt x="143431" y="662432"/>
                              </a:lnTo>
                            </a:path>
                            <a:path w="1881505" h="814705">
                              <a:moveTo>
                                <a:pt x="146185" y="670324"/>
                              </a:moveTo>
                              <a:lnTo>
                                <a:pt x="154447" y="681420"/>
                              </a:lnTo>
                            </a:path>
                            <a:path w="1881505" h="814705">
                              <a:moveTo>
                                <a:pt x="157201" y="689312"/>
                              </a:moveTo>
                              <a:lnTo>
                                <a:pt x="165490" y="698782"/>
                              </a:lnTo>
                              <a:lnTo>
                                <a:pt x="165490" y="697204"/>
                              </a:lnTo>
                            </a:path>
                            <a:path w="1881505" h="814705">
                              <a:moveTo>
                                <a:pt x="170998" y="690890"/>
                              </a:moveTo>
                              <a:lnTo>
                                <a:pt x="179315" y="679842"/>
                              </a:lnTo>
                            </a:path>
                            <a:path w="1881505" h="814705">
                              <a:moveTo>
                                <a:pt x="184823" y="673481"/>
                              </a:moveTo>
                              <a:lnTo>
                                <a:pt x="193085" y="662432"/>
                              </a:lnTo>
                            </a:path>
                            <a:path w="1881505" h="814705">
                              <a:moveTo>
                                <a:pt x="198593" y="654540"/>
                              </a:moveTo>
                              <a:lnTo>
                                <a:pt x="206855" y="643444"/>
                              </a:lnTo>
                            </a:path>
                            <a:path w="1881505" h="814705">
                              <a:moveTo>
                                <a:pt x="217871" y="638709"/>
                              </a:moveTo>
                              <a:lnTo>
                                <a:pt x="234478" y="632395"/>
                              </a:lnTo>
                            </a:path>
                            <a:path w="1881505" h="814705">
                              <a:moveTo>
                                <a:pt x="245494" y="627660"/>
                              </a:moveTo>
                              <a:lnTo>
                                <a:pt x="253756" y="624503"/>
                              </a:lnTo>
                              <a:lnTo>
                                <a:pt x="259264" y="630817"/>
                              </a:lnTo>
                            </a:path>
                            <a:path w="1881505" h="814705">
                              <a:moveTo>
                                <a:pt x="264772" y="637130"/>
                              </a:moveTo>
                              <a:lnTo>
                                <a:pt x="273034" y="648179"/>
                              </a:lnTo>
                            </a:path>
                            <a:path w="1881505" h="814705">
                              <a:moveTo>
                                <a:pt x="278542" y="654540"/>
                              </a:moveTo>
                              <a:lnTo>
                                <a:pt x="289641" y="665589"/>
                              </a:lnTo>
                            </a:path>
                            <a:path w="1881505" h="814705">
                              <a:moveTo>
                                <a:pt x="295149" y="671902"/>
                              </a:moveTo>
                              <a:lnTo>
                                <a:pt x="300657" y="675059"/>
                              </a:lnTo>
                              <a:lnTo>
                                <a:pt x="308919" y="681420"/>
                              </a:lnTo>
                            </a:path>
                            <a:path w="1881505" h="814705">
                              <a:moveTo>
                                <a:pt x="317181" y="687734"/>
                              </a:moveTo>
                              <a:lnTo>
                                <a:pt x="330951" y="697204"/>
                              </a:lnTo>
                            </a:path>
                            <a:path w="1881505" h="814705">
                              <a:moveTo>
                                <a:pt x="339296" y="703517"/>
                              </a:moveTo>
                              <a:lnTo>
                                <a:pt x="344804" y="705096"/>
                              </a:lnTo>
                              <a:lnTo>
                                <a:pt x="344804" y="697204"/>
                              </a:lnTo>
                            </a:path>
                            <a:path w="1881505" h="814705">
                              <a:moveTo>
                                <a:pt x="347558" y="689312"/>
                              </a:moveTo>
                              <a:lnTo>
                                <a:pt x="350312" y="676637"/>
                              </a:lnTo>
                            </a:path>
                            <a:path w="1881505" h="814705">
                              <a:moveTo>
                                <a:pt x="353066" y="668746"/>
                              </a:moveTo>
                              <a:lnTo>
                                <a:pt x="355820" y="656118"/>
                              </a:lnTo>
                            </a:path>
                            <a:path w="1881505" h="814705">
                              <a:moveTo>
                                <a:pt x="358574" y="648179"/>
                              </a:moveTo>
                              <a:lnTo>
                                <a:pt x="361328" y="635552"/>
                              </a:lnTo>
                            </a:path>
                            <a:path w="1881505" h="814705">
                              <a:moveTo>
                                <a:pt x="361328" y="627660"/>
                              </a:moveTo>
                              <a:lnTo>
                                <a:pt x="364082" y="614986"/>
                              </a:lnTo>
                            </a:path>
                            <a:path w="1881505" h="814705">
                              <a:moveTo>
                                <a:pt x="366836" y="607094"/>
                              </a:moveTo>
                              <a:lnTo>
                                <a:pt x="369590" y="594435"/>
                              </a:lnTo>
                            </a:path>
                            <a:path w="1881505" h="814705">
                              <a:moveTo>
                                <a:pt x="372344" y="586527"/>
                              </a:moveTo>
                              <a:lnTo>
                                <a:pt x="375098" y="573900"/>
                              </a:lnTo>
                            </a:path>
                            <a:path w="1881505" h="814705">
                              <a:moveTo>
                                <a:pt x="377852" y="565977"/>
                              </a:moveTo>
                              <a:lnTo>
                                <a:pt x="380606" y="553350"/>
                              </a:lnTo>
                            </a:path>
                            <a:path w="1881505" h="814705">
                              <a:moveTo>
                                <a:pt x="383360" y="545442"/>
                              </a:moveTo>
                              <a:lnTo>
                                <a:pt x="386114" y="532783"/>
                              </a:lnTo>
                            </a:path>
                            <a:path w="1881505" h="814705">
                              <a:moveTo>
                                <a:pt x="386114" y="524892"/>
                              </a:moveTo>
                              <a:lnTo>
                                <a:pt x="388868" y="524892"/>
                              </a:lnTo>
                              <a:lnTo>
                                <a:pt x="399966" y="534362"/>
                              </a:lnTo>
                            </a:path>
                            <a:path w="1881505" h="814705">
                              <a:moveTo>
                                <a:pt x="408228" y="540675"/>
                              </a:moveTo>
                              <a:lnTo>
                                <a:pt x="419244" y="550177"/>
                              </a:lnTo>
                            </a:path>
                            <a:path w="1881505" h="814705">
                              <a:moveTo>
                                <a:pt x="427506" y="556507"/>
                              </a:moveTo>
                              <a:lnTo>
                                <a:pt x="435768" y="561242"/>
                              </a:lnTo>
                              <a:lnTo>
                                <a:pt x="444030" y="562820"/>
                              </a:lnTo>
                            </a:path>
                            <a:path w="1881505" h="814705">
                              <a:moveTo>
                                <a:pt x="455101" y="565977"/>
                              </a:moveTo>
                              <a:lnTo>
                                <a:pt x="474407" y="570744"/>
                              </a:lnTo>
                            </a:path>
                            <a:path w="1881505" h="814705">
                              <a:moveTo>
                                <a:pt x="482669" y="572322"/>
                              </a:moveTo>
                              <a:lnTo>
                                <a:pt x="496439" y="564399"/>
                              </a:lnTo>
                            </a:path>
                            <a:path w="1881505" h="814705">
                              <a:moveTo>
                                <a:pt x="507510" y="559663"/>
                              </a:moveTo>
                              <a:lnTo>
                                <a:pt x="521280" y="551771"/>
                              </a:lnTo>
                            </a:path>
                            <a:path w="1881505" h="814705">
                              <a:moveTo>
                                <a:pt x="524034" y="545442"/>
                              </a:moveTo>
                              <a:lnTo>
                                <a:pt x="529570" y="534362"/>
                              </a:lnTo>
                            </a:path>
                            <a:path w="1881505" h="814705">
                              <a:moveTo>
                                <a:pt x="532324" y="526470"/>
                              </a:moveTo>
                              <a:lnTo>
                                <a:pt x="537832" y="515421"/>
                              </a:lnTo>
                            </a:path>
                            <a:path w="1881505" h="814705">
                              <a:moveTo>
                                <a:pt x="540586" y="507482"/>
                              </a:moveTo>
                              <a:lnTo>
                                <a:pt x="546094" y="496433"/>
                              </a:lnTo>
                            </a:path>
                            <a:path w="1881505" h="814705">
                              <a:moveTo>
                                <a:pt x="548848" y="488541"/>
                              </a:moveTo>
                              <a:lnTo>
                                <a:pt x="554356" y="477445"/>
                              </a:lnTo>
                            </a:path>
                            <a:path w="1881505" h="814705">
                              <a:moveTo>
                                <a:pt x="557165" y="469553"/>
                              </a:moveTo>
                              <a:lnTo>
                                <a:pt x="562673" y="458457"/>
                              </a:lnTo>
                            </a:path>
                            <a:path w="1881505" h="814705">
                              <a:moveTo>
                                <a:pt x="565427" y="450565"/>
                              </a:moveTo>
                              <a:lnTo>
                                <a:pt x="570935" y="445830"/>
                              </a:lnTo>
                              <a:lnTo>
                                <a:pt x="573689" y="452144"/>
                              </a:lnTo>
                            </a:path>
                            <a:path w="1881505" h="814705">
                              <a:moveTo>
                                <a:pt x="579197" y="458457"/>
                              </a:moveTo>
                              <a:lnTo>
                                <a:pt x="590213" y="469553"/>
                              </a:lnTo>
                            </a:path>
                            <a:path w="1881505" h="814705">
                              <a:moveTo>
                                <a:pt x="595721" y="477445"/>
                              </a:moveTo>
                              <a:lnTo>
                                <a:pt x="604010" y="488541"/>
                              </a:lnTo>
                            </a:path>
                            <a:path w="1881505" h="814705">
                              <a:moveTo>
                                <a:pt x="609573" y="494855"/>
                              </a:moveTo>
                              <a:lnTo>
                                <a:pt x="615081" y="498012"/>
                              </a:lnTo>
                              <a:lnTo>
                                <a:pt x="620589" y="491698"/>
                              </a:lnTo>
                            </a:path>
                            <a:path w="1881505" h="814705">
                              <a:moveTo>
                                <a:pt x="626097" y="485337"/>
                              </a:moveTo>
                              <a:lnTo>
                                <a:pt x="634359" y="474289"/>
                              </a:lnTo>
                            </a:path>
                            <a:path w="1881505" h="814705">
                              <a:moveTo>
                                <a:pt x="639867" y="467975"/>
                              </a:moveTo>
                              <a:lnTo>
                                <a:pt x="650883" y="456879"/>
                              </a:lnTo>
                            </a:path>
                            <a:path w="1881505" h="814705">
                              <a:moveTo>
                                <a:pt x="656391" y="450565"/>
                              </a:moveTo>
                              <a:lnTo>
                                <a:pt x="659145" y="450565"/>
                              </a:lnTo>
                              <a:lnTo>
                                <a:pt x="670244" y="442673"/>
                              </a:lnTo>
                            </a:path>
                            <a:path w="1881505" h="814705">
                              <a:moveTo>
                                <a:pt x="678506" y="436360"/>
                              </a:moveTo>
                              <a:lnTo>
                                <a:pt x="692276" y="426842"/>
                              </a:lnTo>
                            </a:path>
                            <a:path w="1881505" h="814705">
                              <a:moveTo>
                                <a:pt x="700538" y="422107"/>
                              </a:moveTo>
                              <a:lnTo>
                                <a:pt x="706046" y="420529"/>
                              </a:lnTo>
                              <a:lnTo>
                                <a:pt x="714308" y="414215"/>
                              </a:lnTo>
                            </a:path>
                            <a:path w="1881505" h="814705">
                              <a:moveTo>
                                <a:pt x="722653" y="409480"/>
                              </a:moveTo>
                              <a:lnTo>
                                <a:pt x="736423" y="399978"/>
                              </a:lnTo>
                            </a:path>
                            <a:path w="1881505" h="814705">
                              <a:moveTo>
                                <a:pt x="744685" y="395227"/>
                              </a:moveTo>
                              <a:lnTo>
                                <a:pt x="750193" y="393649"/>
                              </a:lnTo>
                              <a:lnTo>
                                <a:pt x="758455" y="385757"/>
                              </a:lnTo>
                            </a:path>
                            <a:path w="1881505" h="814705">
                              <a:moveTo>
                                <a:pt x="766717" y="379443"/>
                              </a:moveTo>
                              <a:lnTo>
                                <a:pt x="777815" y="369942"/>
                              </a:lnTo>
                            </a:path>
                            <a:path w="1881505" h="814705">
                              <a:moveTo>
                                <a:pt x="786077" y="363628"/>
                              </a:moveTo>
                              <a:lnTo>
                                <a:pt x="794339" y="358877"/>
                              </a:lnTo>
                              <a:lnTo>
                                <a:pt x="802602" y="362034"/>
                              </a:lnTo>
                            </a:path>
                            <a:path w="1881505" h="814705">
                              <a:moveTo>
                                <a:pt x="813618" y="366785"/>
                              </a:moveTo>
                              <a:lnTo>
                                <a:pt x="830224" y="374677"/>
                              </a:lnTo>
                            </a:path>
                            <a:path w="1881505" h="814705">
                              <a:moveTo>
                                <a:pt x="841240" y="379443"/>
                              </a:moveTo>
                              <a:lnTo>
                                <a:pt x="841240" y="381022"/>
                              </a:lnTo>
                              <a:lnTo>
                                <a:pt x="849502" y="371520"/>
                              </a:lnTo>
                            </a:path>
                            <a:path w="1881505" h="814705">
                              <a:moveTo>
                                <a:pt x="855010" y="365206"/>
                              </a:moveTo>
                              <a:lnTo>
                                <a:pt x="866026" y="354142"/>
                              </a:lnTo>
                            </a:path>
                            <a:path w="1881505" h="814705">
                              <a:moveTo>
                                <a:pt x="871534" y="347797"/>
                              </a:moveTo>
                              <a:lnTo>
                                <a:pt x="879796" y="336748"/>
                              </a:lnTo>
                            </a:path>
                            <a:path w="1881505" h="814705">
                              <a:moveTo>
                                <a:pt x="890867" y="336748"/>
                              </a:moveTo>
                              <a:lnTo>
                                <a:pt x="904665" y="344640"/>
                              </a:lnTo>
                            </a:path>
                            <a:path w="1881505" h="814705">
                              <a:moveTo>
                                <a:pt x="915681" y="349375"/>
                              </a:moveTo>
                              <a:lnTo>
                                <a:pt x="929451" y="357299"/>
                              </a:lnTo>
                            </a:path>
                            <a:path w="1881505" h="814705">
                              <a:moveTo>
                                <a:pt x="937768" y="362034"/>
                              </a:moveTo>
                              <a:lnTo>
                                <a:pt x="951538" y="369942"/>
                              </a:lnTo>
                            </a:path>
                            <a:path w="1881505" h="814705">
                              <a:moveTo>
                                <a:pt x="959800" y="374677"/>
                              </a:moveTo>
                              <a:lnTo>
                                <a:pt x="973598" y="382600"/>
                              </a:lnTo>
                            </a:path>
                            <a:path w="1881505" h="814705">
                              <a:moveTo>
                                <a:pt x="976352" y="382600"/>
                              </a:moveTo>
                              <a:lnTo>
                                <a:pt x="981860" y="371520"/>
                              </a:lnTo>
                            </a:path>
                            <a:path w="1881505" h="814705">
                              <a:moveTo>
                                <a:pt x="987368" y="365206"/>
                              </a:moveTo>
                              <a:lnTo>
                                <a:pt x="992931" y="354142"/>
                              </a:lnTo>
                            </a:path>
                            <a:path w="1881505" h="814705">
                              <a:moveTo>
                                <a:pt x="995685" y="346218"/>
                              </a:moveTo>
                              <a:lnTo>
                                <a:pt x="1003947" y="335170"/>
                              </a:lnTo>
                            </a:path>
                            <a:path w="1881505" h="814705">
                              <a:moveTo>
                                <a:pt x="1006701" y="327262"/>
                              </a:moveTo>
                              <a:lnTo>
                                <a:pt x="1012209" y="316182"/>
                              </a:lnTo>
                            </a:path>
                            <a:path w="1881505" h="814705">
                              <a:moveTo>
                                <a:pt x="1017717" y="309868"/>
                              </a:moveTo>
                              <a:lnTo>
                                <a:pt x="1020471" y="306711"/>
                              </a:lnTo>
                              <a:lnTo>
                                <a:pt x="1028733" y="314603"/>
                              </a:lnTo>
                            </a:path>
                            <a:path w="1881505" h="814705">
                              <a:moveTo>
                                <a:pt x="1037022" y="320917"/>
                              </a:moveTo>
                              <a:lnTo>
                                <a:pt x="1048093" y="330435"/>
                              </a:lnTo>
                            </a:path>
                            <a:path w="1881505" h="814705">
                              <a:moveTo>
                                <a:pt x="1056355" y="336748"/>
                              </a:moveTo>
                              <a:lnTo>
                                <a:pt x="1064617" y="341483"/>
                              </a:lnTo>
                              <a:lnTo>
                                <a:pt x="1067371" y="346218"/>
                              </a:lnTo>
                            </a:path>
                            <a:path w="1881505" h="814705">
                              <a:moveTo>
                                <a:pt x="1072879" y="354142"/>
                              </a:moveTo>
                              <a:lnTo>
                                <a:pt x="1078387" y="365206"/>
                              </a:lnTo>
                            </a:path>
                            <a:path w="1881505" h="814705">
                              <a:moveTo>
                                <a:pt x="1083895" y="371520"/>
                              </a:moveTo>
                              <a:lnTo>
                                <a:pt x="1089403" y="382600"/>
                              </a:lnTo>
                            </a:path>
                            <a:path w="1881505" h="814705">
                              <a:moveTo>
                                <a:pt x="1094911" y="388914"/>
                              </a:moveTo>
                              <a:lnTo>
                                <a:pt x="1100502" y="399978"/>
                              </a:lnTo>
                            </a:path>
                            <a:path w="1881505" h="814705">
                              <a:moveTo>
                                <a:pt x="1106010" y="406323"/>
                              </a:moveTo>
                              <a:lnTo>
                                <a:pt x="1111518" y="411059"/>
                              </a:lnTo>
                              <a:lnTo>
                                <a:pt x="1114272" y="404713"/>
                              </a:lnTo>
                            </a:path>
                            <a:path w="1881505" h="814705">
                              <a:moveTo>
                                <a:pt x="1119780" y="398384"/>
                              </a:moveTo>
                              <a:lnTo>
                                <a:pt x="1128042" y="387335"/>
                              </a:lnTo>
                            </a:path>
                            <a:path w="1881505" h="814705">
                              <a:moveTo>
                                <a:pt x="1133550" y="379443"/>
                              </a:moveTo>
                              <a:lnTo>
                                <a:pt x="1141812" y="368363"/>
                              </a:lnTo>
                            </a:path>
                            <a:path w="1881505" h="814705">
                              <a:moveTo>
                                <a:pt x="1147320" y="362034"/>
                              </a:moveTo>
                              <a:lnTo>
                                <a:pt x="1155665" y="352564"/>
                              </a:lnTo>
                              <a:lnTo>
                                <a:pt x="1158419" y="350985"/>
                              </a:lnTo>
                            </a:path>
                            <a:path w="1881505" h="814705">
                              <a:moveTo>
                                <a:pt x="1169435" y="347797"/>
                              </a:moveTo>
                              <a:lnTo>
                                <a:pt x="1188713" y="341483"/>
                              </a:lnTo>
                            </a:path>
                            <a:path w="1881505" h="814705">
                              <a:moveTo>
                                <a:pt x="1199729" y="338327"/>
                              </a:moveTo>
                              <a:lnTo>
                                <a:pt x="1208073" y="349375"/>
                              </a:lnTo>
                            </a:path>
                            <a:path w="1881505" h="814705">
                              <a:moveTo>
                                <a:pt x="1213581" y="357299"/>
                              </a:moveTo>
                              <a:lnTo>
                                <a:pt x="1221843" y="368363"/>
                              </a:lnTo>
                            </a:path>
                            <a:path w="1881505" h="814705">
                              <a:moveTo>
                                <a:pt x="1227351" y="374677"/>
                              </a:moveTo>
                              <a:lnTo>
                                <a:pt x="1235613" y="385757"/>
                              </a:lnTo>
                            </a:path>
                            <a:path w="1881505" h="814705">
                              <a:moveTo>
                                <a:pt x="1241121" y="393649"/>
                              </a:moveTo>
                              <a:lnTo>
                                <a:pt x="1246629" y="398384"/>
                              </a:lnTo>
                              <a:lnTo>
                                <a:pt x="1254891" y="393649"/>
                              </a:lnTo>
                            </a:path>
                            <a:path w="1881505" h="814705">
                              <a:moveTo>
                                <a:pt x="1265990" y="388914"/>
                              </a:moveTo>
                              <a:lnTo>
                                <a:pt x="1282514" y="381022"/>
                              </a:lnTo>
                            </a:path>
                            <a:path w="1881505" h="814705">
                              <a:moveTo>
                                <a:pt x="1290776" y="376255"/>
                              </a:moveTo>
                              <a:lnTo>
                                <a:pt x="1293530" y="363628"/>
                              </a:lnTo>
                            </a:path>
                            <a:path w="1881505" h="814705">
                              <a:moveTo>
                                <a:pt x="1296284" y="355720"/>
                              </a:moveTo>
                              <a:lnTo>
                                <a:pt x="1299038" y="343062"/>
                              </a:lnTo>
                            </a:path>
                            <a:path w="1881505" h="814705">
                              <a:moveTo>
                                <a:pt x="1301792" y="335170"/>
                              </a:moveTo>
                              <a:lnTo>
                                <a:pt x="1304546" y="322495"/>
                              </a:lnTo>
                            </a:path>
                            <a:path w="1881505" h="814705">
                              <a:moveTo>
                                <a:pt x="1307300" y="314603"/>
                              </a:moveTo>
                              <a:lnTo>
                                <a:pt x="1310054" y="301976"/>
                              </a:lnTo>
                            </a:path>
                            <a:path w="1881505" h="814705">
                              <a:moveTo>
                                <a:pt x="1312808" y="294037"/>
                              </a:moveTo>
                              <a:lnTo>
                                <a:pt x="1315617" y="281410"/>
                              </a:lnTo>
                            </a:path>
                            <a:path w="1881505" h="814705">
                              <a:moveTo>
                                <a:pt x="1318371" y="273518"/>
                              </a:moveTo>
                              <a:lnTo>
                                <a:pt x="1321125" y="260844"/>
                              </a:lnTo>
                            </a:path>
                            <a:path w="1881505" h="814705">
                              <a:moveTo>
                                <a:pt x="1323879" y="252952"/>
                              </a:moveTo>
                              <a:lnTo>
                                <a:pt x="1326633" y="240277"/>
                              </a:lnTo>
                            </a:path>
                            <a:path w="1881505" h="814705">
                              <a:moveTo>
                                <a:pt x="1329387" y="232385"/>
                              </a:moveTo>
                              <a:lnTo>
                                <a:pt x="1332141" y="219758"/>
                              </a:lnTo>
                            </a:path>
                            <a:path w="1881505" h="814705">
                              <a:moveTo>
                                <a:pt x="1337677" y="224493"/>
                              </a:moveTo>
                              <a:lnTo>
                                <a:pt x="1348693" y="235542"/>
                              </a:lnTo>
                            </a:path>
                            <a:path w="1881505" h="814705">
                              <a:moveTo>
                                <a:pt x="1354201" y="241903"/>
                              </a:moveTo>
                              <a:lnTo>
                                <a:pt x="1362463" y="252952"/>
                              </a:lnTo>
                            </a:path>
                            <a:path w="1881505" h="814705">
                              <a:moveTo>
                                <a:pt x="1367971" y="259265"/>
                              </a:moveTo>
                              <a:lnTo>
                                <a:pt x="1379042" y="270361"/>
                              </a:lnTo>
                            </a:path>
                            <a:path w="1881505" h="814705">
                              <a:moveTo>
                                <a:pt x="1381796" y="276675"/>
                              </a:moveTo>
                              <a:lnTo>
                                <a:pt x="1390058" y="287724"/>
                              </a:lnTo>
                            </a:path>
                            <a:path w="1881505" h="814705">
                              <a:moveTo>
                                <a:pt x="1392812" y="295615"/>
                              </a:moveTo>
                              <a:lnTo>
                                <a:pt x="1401074" y="306712"/>
                              </a:lnTo>
                            </a:path>
                            <a:path w="1881505" h="814705">
                              <a:moveTo>
                                <a:pt x="1403856" y="314603"/>
                              </a:moveTo>
                              <a:lnTo>
                                <a:pt x="1412118" y="325684"/>
                              </a:lnTo>
                            </a:path>
                            <a:path w="1881505" h="814705">
                              <a:moveTo>
                                <a:pt x="1414872" y="333591"/>
                              </a:moveTo>
                              <a:lnTo>
                                <a:pt x="1423189" y="344640"/>
                              </a:lnTo>
                            </a:path>
                            <a:path w="1881505" h="814705">
                              <a:moveTo>
                                <a:pt x="1425943" y="341483"/>
                              </a:moveTo>
                              <a:lnTo>
                                <a:pt x="1431451" y="330435"/>
                              </a:lnTo>
                            </a:path>
                            <a:path w="1881505" h="814705">
                              <a:moveTo>
                                <a:pt x="1436959" y="322495"/>
                              </a:moveTo>
                              <a:lnTo>
                                <a:pt x="1442467" y="311447"/>
                              </a:lnTo>
                            </a:path>
                            <a:path w="1881505" h="814705">
                              <a:moveTo>
                                <a:pt x="1445221" y="303555"/>
                              </a:moveTo>
                              <a:lnTo>
                                <a:pt x="1450729" y="292459"/>
                              </a:lnTo>
                            </a:path>
                            <a:path w="1881505" h="814705">
                              <a:moveTo>
                                <a:pt x="1453483" y="284567"/>
                              </a:moveTo>
                              <a:lnTo>
                                <a:pt x="1458991" y="273518"/>
                              </a:lnTo>
                            </a:path>
                            <a:path w="1881505" h="814705">
                              <a:moveTo>
                                <a:pt x="1464499" y="267157"/>
                              </a:moveTo>
                              <a:lnTo>
                                <a:pt x="1470007" y="257687"/>
                              </a:lnTo>
                              <a:lnTo>
                                <a:pt x="1472761" y="257687"/>
                              </a:lnTo>
                            </a:path>
                            <a:path w="1881505" h="814705">
                              <a:moveTo>
                                <a:pt x="1483859" y="260844"/>
                              </a:moveTo>
                              <a:lnTo>
                                <a:pt x="1503137" y="265579"/>
                              </a:lnTo>
                            </a:path>
                            <a:path w="1881505" h="814705">
                              <a:moveTo>
                                <a:pt x="1514153" y="268783"/>
                              </a:moveTo>
                              <a:lnTo>
                                <a:pt x="1516907" y="270361"/>
                              </a:lnTo>
                              <a:lnTo>
                                <a:pt x="1533514" y="273518"/>
                              </a:lnTo>
                            </a:path>
                            <a:path w="1881505" h="814705">
                              <a:moveTo>
                                <a:pt x="1544530" y="276675"/>
                              </a:moveTo>
                              <a:lnTo>
                                <a:pt x="1561054" y="281410"/>
                              </a:lnTo>
                              <a:lnTo>
                                <a:pt x="1561054" y="279832"/>
                              </a:lnTo>
                            </a:path>
                            <a:path w="1881505" h="814705">
                              <a:moveTo>
                                <a:pt x="1566562" y="271940"/>
                              </a:moveTo>
                              <a:lnTo>
                                <a:pt x="1572070" y="260844"/>
                              </a:lnTo>
                            </a:path>
                            <a:path w="1881505" h="814705">
                              <a:moveTo>
                                <a:pt x="1577578" y="254530"/>
                              </a:moveTo>
                              <a:lnTo>
                                <a:pt x="1583086" y="243481"/>
                              </a:lnTo>
                            </a:path>
                            <a:path w="1881505" h="814705">
                              <a:moveTo>
                                <a:pt x="1588677" y="237121"/>
                              </a:moveTo>
                              <a:lnTo>
                                <a:pt x="1596939" y="226072"/>
                              </a:lnTo>
                            </a:path>
                            <a:path w="1881505" h="814705">
                              <a:moveTo>
                                <a:pt x="1599693" y="218180"/>
                              </a:moveTo>
                              <a:lnTo>
                                <a:pt x="1605201" y="215023"/>
                              </a:lnTo>
                              <a:lnTo>
                                <a:pt x="1618971" y="213413"/>
                              </a:lnTo>
                            </a:path>
                            <a:path w="1881505" h="814705">
                              <a:moveTo>
                                <a:pt x="1632741" y="213413"/>
                              </a:moveTo>
                              <a:lnTo>
                                <a:pt x="1652101" y="213413"/>
                              </a:lnTo>
                              <a:lnTo>
                                <a:pt x="1652101" y="213413"/>
                              </a:lnTo>
                            </a:path>
                            <a:path w="1881505" h="814705">
                              <a:moveTo>
                                <a:pt x="1652101" y="221337"/>
                              </a:moveTo>
                              <a:lnTo>
                                <a:pt x="1654855" y="233964"/>
                              </a:lnTo>
                            </a:path>
                            <a:path w="1881505" h="814705">
                              <a:moveTo>
                                <a:pt x="1657609" y="241903"/>
                              </a:moveTo>
                              <a:lnTo>
                                <a:pt x="1660363" y="254530"/>
                              </a:lnTo>
                            </a:path>
                            <a:path w="1881505" h="814705">
                              <a:moveTo>
                                <a:pt x="1663117" y="262422"/>
                              </a:moveTo>
                              <a:lnTo>
                                <a:pt x="1665871" y="275096"/>
                              </a:lnTo>
                            </a:path>
                            <a:path w="1881505" h="814705">
                              <a:moveTo>
                                <a:pt x="1665871" y="282988"/>
                              </a:moveTo>
                              <a:lnTo>
                                <a:pt x="1668625" y="295615"/>
                              </a:lnTo>
                            </a:path>
                            <a:path w="1881505" h="814705">
                              <a:moveTo>
                                <a:pt x="1671379" y="303555"/>
                              </a:moveTo>
                              <a:lnTo>
                                <a:pt x="1674133" y="316182"/>
                              </a:lnTo>
                            </a:path>
                            <a:path w="1881505" h="814705">
                              <a:moveTo>
                                <a:pt x="1676887" y="324105"/>
                              </a:moveTo>
                              <a:lnTo>
                                <a:pt x="1679641" y="336748"/>
                              </a:lnTo>
                            </a:path>
                            <a:path w="1881505" h="814705">
                              <a:moveTo>
                                <a:pt x="1682395" y="344640"/>
                              </a:moveTo>
                              <a:lnTo>
                                <a:pt x="1685149" y="357299"/>
                              </a:lnTo>
                            </a:path>
                            <a:path w="1881505" h="814705">
                              <a:moveTo>
                                <a:pt x="1685149" y="365207"/>
                              </a:moveTo>
                              <a:lnTo>
                                <a:pt x="1687903" y="377834"/>
                              </a:lnTo>
                            </a:path>
                            <a:path w="1881505" h="814705">
                              <a:moveTo>
                                <a:pt x="1690657" y="385757"/>
                              </a:moveTo>
                              <a:lnTo>
                                <a:pt x="1693411" y="398384"/>
                              </a:lnTo>
                            </a:path>
                            <a:path w="1881505" h="814705">
                              <a:moveTo>
                                <a:pt x="1698975" y="395227"/>
                              </a:moveTo>
                              <a:lnTo>
                                <a:pt x="1710018" y="384179"/>
                              </a:lnTo>
                            </a:path>
                            <a:path w="1881505" h="814705">
                              <a:moveTo>
                                <a:pt x="1715526" y="377834"/>
                              </a:moveTo>
                              <a:lnTo>
                                <a:pt x="1726542" y="368363"/>
                              </a:lnTo>
                            </a:path>
                            <a:path w="1881505" h="814705">
                              <a:moveTo>
                                <a:pt x="1732050" y="362034"/>
                              </a:moveTo>
                              <a:lnTo>
                                <a:pt x="1740312" y="355720"/>
                              </a:lnTo>
                              <a:lnTo>
                                <a:pt x="1745820" y="352564"/>
                              </a:lnTo>
                            </a:path>
                            <a:path w="1881505" h="814705">
                              <a:moveTo>
                                <a:pt x="1756891" y="349375"/>
                              </a:moveTo>
                              <a:lnTo>
                                <a:pt x="1773443" y="343062"/>
                              </a:lnTo>
                            </a:path>
                            <a:path w="1881505" h="814705">
                              <a:moveTo>
                                <a:pt x="1784459" y="339905"/>
                              </a:moveTo>
                              <a:lnTo>
                                <a:pt x="1787213" y="338327"/>
                              </a:lnTo>
                              <a:lnTo>
                                <a:pt x="1803792" y="338327"/>
                              </a:lnTo>
                            </a:path>
                            <a:path w="1881505" h="814705">
                              <a:moveTo>
                                <a:pt x="1817562" y="338327"/>
                              </a:moveTo>
                              <a:lnTo>
                                <a:pt x="1831332" y="338327"/>
                              </a:lnTo>
                              <a:lnTo>
                                <a:pt x="1834086" y="335170"/>
                              </a:lnTo>
                            </a:path>
                            <a:path w="1881505" h="814705">
                              <a:moveTo>
                                <a:pt x="1842376" y="330435"/>
                              </a:moveTo>
                              <a:lnTo>
                                <a:pt x="1856146" y="320917"/>
                              </a:lnTo>
                            </a:path>
                            <a:path w="1881505" h="814705">
                              <a:moveTo>
                                <a:pt x="1864463" y="314604"/>
                              </a:moveTo>
                              <a:lnTo>
                                <a:pt x="1878233" y="308290"/>
                              </a:lnTo>
                            </a:path>
                            <a:path w="1881505" h="814705">
                              <a:moveTo>
                                <a:pt x="27614" y="0"/>
                              </a:moveTo>
                              <a:lnTo>
                                <a:pt x="27614" y="796816"/>
                              </a:lnTo>
                              <a:lnTo>
                                <a:pt x="1880987" y="796816"/>
                              </a:lnTo>
                              <a:lnTo>
                                <a:pt x="1880987" y="0"/>
                              </a:lnTo>
                              <a:lnTo>
                                <a:pt x="27614" y="0"/>
                              </a:lnTo>
                            </a:path>
                          </a:pathLst>
                        </a:custGeom>
                        <a:ln w="433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5.349396pt;margin-top:2.439562pt;width:148.15pt;height:64.1500pt;mso-position-horizontal-relative:page;mso-position-vertical-relative:paragraph;z-index:15749120" id="docshape93" coordorigin="1307,49" coordsize="2963,1283" path="m1307,1301l1350,1301m1307,1050l1350,1050m1307,801l1350,801m1307,549l1350,549m1307,300l1350,300m1307,51l1350,51m1355,1304l1355,1319m1424,1304l1424,1319m1494,1304l1494,1319m1568,1304l1568,1319m1637,1304l1637,1319m1707,1304l1707,1319m1780,1304l1780,1319m1850,1304l1850,1319m1919,1304l1919,1319m1993,1304l1993,1319m2063,1304l2063,1319m2137,1304l2137,1319m2206,1304l2206,1319m2276,1304l2276,1319m2349,1304l2349,1319m2419,1304l2419,1319m2488,1304l2488,1319m2562,1304l2562,1319m2632,1304l2632,1319m2701,1304l2701,1319m2775,1304l2775,1319m2845,1304l2845,1319m2918,1304l2918,1319m2988,1304l2988,1319m3057,1304l3057,1319m3131,1304l3131,1319m3201,1304l3201,1319m3270,1304l3270,1319m3344,1304l3344,1319m3414,1304l3414,1319m3483,1304l3483,1319m3557,1304l3557,1319m3626,1304l3626,1319m3700,1304l3700,1319m3770,1304l3770,1319m3839,1304l3839,1319m3913,1304l3913,1319m3983,1304l3983,1319m4052,1304l4052,1319m4126,1304l4126,1319m4195,1304l4195,1319m4265,1304l4265,1319m1355,1304l1355,1331m1707,1304l1707,1331m2063,1304l2063,1331m2419,1304l2419,1331m2775,1304l2775,1331m3131,1304l3131,1331m3483,1304l3483,1331m3839,1304l3839,1331m4195,1304l4195,1331m1355,763l1424,751,1494,746,1568,733,1637,684,1707,676,1780,664,1850,654,1919,646,1993,634,2063,624,2132,626,2206,624,2276,619,2345,614,2419,604,2488,604,2558,577,2632,559,2701,532,2771,519,2845,509,2914,477,2984,460,3057,442,3127,395,3196,375,3270,372,3340,375,3409,365,3483,343,3553,340,3622,315,3696,303,3765,285,3835,268,3909,253,3978,248,4048,238,4121,236,4191,226,4265,211m1355,977l1359,997m1363,1010l1368,1030m1372,1042l1377,1062m1381,1075l1385,1094m1390,1107l1394,1127m1398,1139l1403,1159m1407,1172l1411,1192m1416,1204l1424,1221,1424,1221m1424,1209l1433,1192m1437,1179l1442,1159m1446,1147l1455,1129m1459,1117l1463,1097m1468,1085l1476,1067m1481,1055l1485,1035m1489,1022l1494,1020,1498,1035m1507,1045l1516,1062m1524,1075l1533,1092m1537,1104l1550,1122m1555,1134l1568,1149,1568,1147m1576,1137l1589,1119m1598,1109l1611,1092m1620,1080l1633,1062m1650,1055l1676,1045m1694,1037l1707,1032,1715,1042m1724,1052l1737,1070m1746,1080l1763,1097m1772,1107l1780,1112,1793,1122m1806,1132l1828,1147m1841,1157l1850,1159,1850,1147m1854,1134l1859,1114m1863,1102l1867,1082m1872,1070l1876,1050m1876,1037l1880,1017m1885,1005l1889,985m1893,972l1898,953m1902,940l1906,920m1911,908l1915,888m1915,875l1919,875,1937,890m1950,900l1967,915m1980,925l1993,933,2006,935m2024,940l2054,948m2067,950l2089,938m2106,930l2128,918m2132,908l2141,890m2145,878l2154,860m2158,848l2167,831m2171,818l2180,801m2184,788l2193,771m2197,758l2206,751,2210,761m2219,771l2236,788m2245,801l2258,818m2267,828l2276,833,2284,823m2293,813l2306,796m2315,786l2332,768m2341,758l2345,758,2362,746m2376,736l2397,721m2410,714l2419,711,2432,701m2445,694l2467,679m2480,671l2488,669,2501,656m2514,646l2532,631m2545,621l2558,614,2571,619m2588,626l2614,639m2632,646l2632,649,2645,634m2653,624l2671,606m2679,597l2692,579m2710,579l2732,592m2749,599l2771,611m2784,619l2805,631m2818,639l2840,651m2845,651l2853,634m2862,624l2871,606m2875,594l2888,577m2892,564l2901,547m2910,537l2914,532,2927,544m2940,554l2958,569m2971,579l2984,587,2988,594m2997,606l3005,624m3014,634l3023,651m3031,661l3040,679m3049,689l3057,696,3062,686m3070,676l3083,659m3092,646l3105,629m3114,619l3127,604,3131,602m3149,597l3179,587m3196,582l3209,599m3218,611l3231,629m3240,639l3253,656m3262,669l3270,676,3283,669m3301,661l3327,649m3340,641l3344,621m3348,609l3353,589m3357,577l3361,557m3366,544l3370,524m3374,512l3379,492m3383,480l3388,460m3392,447l3396,427m3401,415l3405,395m3414,402l3431,420m3440,430l3453,447m3461,457l3479,475m3483,485l3496,502m3500,514l3513,532m3518,544l3531,562m3535,574l3548,592m3553,587l3561,569m3570,557l3579,539m3583,527l3592,509m3596,497l3605,480m3613,470l3622,455,3626,455m3644,460l3674,467m3691,472l3696,475,3722,480m3739,485l3765,492,3765,489m3774,477l3783,460m3791,450l3800,432m3809,422l3822,405m3826,392l3835,387,3857,385m3878,385l3909,385,3909,385m3909,397l3913,417m3917,430l3922,450m3926,462l3930,482m3930,494l3935,514m3939,527l3943,547m3948,559l3952,579m3956,592l3961,611m3961,624l3965,644m3969,656l3974,676m3983,671l4000,654m4009,644l4026,629m4035,619l4048,609,4056,604m4074,599l4100,589m4117,584l4121,582,4148,582m4169,582l4191,582,4195,577m4208,569l4230,554m4243,544l4265,534m1350,49l1350,1304,4269,1304,4269,49,1350,49e" filled="false" stroked="true" strokeweight=".341201pt" strokecolor="#000000">
                <v:path arrowok="t"/>
                <v:stroke dashstyle="solid"/>
                <w10:wrap type="none"/>
              </v:shape>
            </w:pict>
          </mc:Fallback>
        </mc:AlternateContent>
      </w:r>
      <w:r>
        <w:rPr>
          <w:rFonts w:ascii="Arial MT"/>
          <w:spacing w:val="-5"/>
          <w:w w:val="175"/>
          <w:sz w:val="7"/>
        </w:rPr>
        <w:t>20</w:t>
      </w:r>
    </w:p>
    <w:p>
      <w:pPr>
        <w:pStyle w:val="BodyText"/>
        <w:rPr>
          <w:rFonts w:ascii="Arial MT"/>
          <w:sz w:val="7"/>
        </w:rPr>
      </w:pPr>
    </w:p>
    <w:p>
      <w:pPr>
        <w:pStyle w:val="BodyText"/>
        <w:spacing w:before="8"/>
        <w:rPr>
          <w:rFonts w:ascii="Arial MT"/>
          <w:sz w:val="7"/>
        </w:rPr>
      </w:pPr>
    </w:p>
    <w:p>
      <w:pPr>
        <w:spacing w:before="0"/>
        <w:ind w:left="861" w:right="0" w:firstLine="0"/>
        <w:jc w:val="left"/>
        <w:rPr>
          <w:rFonts w:ascii="Arial MT"/>
          <w:sz w:val="7"/>
        </w:rPr>
      </w:pPr>
      <w:r>
        <w:rPr>
          <w:rFonts w:ascii="Arial MT"/>
          <w:spacing w:val="-5"/>
          <w:w w:val="175"/>
          <w:sz w:val="7"/>
        </w:rPr>
        <w:t>16</w:t>
      </w:r>
    </w:p>
    <w:p>
      <w:pPr>
        <w:pStyle w:val="BodyText"/>
        <w:rPr>
          <w:rFonts w:ascii="Arial MT"/>
          <w:sz w:val="7"/>
        </w:rPr>
      </w:pPr>
    </w:p>
    <w:p>
      <w:pPr>
        <w:pStyle w:val="BodyText"/>
        <w:spacing w:before="7"/>
        <w:rPr>
          <w:rFonts w:ascii="Arial MT"/>
          <w:sz w:val="7"/>
        </w:rPr>
      </w:pPr>
    </w:p>
    <w:p>
      <w:pPr>
        <w:spacing w:before="0"/>
        <w:ind w:left="861" w:right="0" w:firstLine="0"/>
        <w:jc w:val="left"/>
        <w:rPr>
          <w:rFonts w:ascii="Arial MT"/>
          <w:sz w:val="7"/>
        </w:rPr>
      </w:pPr>
      <w:r>
        <w:rPr>
          <w:rFonts w:ascii="Arial MT"/>
          <w:spacing w:val="-5"/>
          <w:w w:val="175"/>
          <w:sz w:val="7"/>
        </w:rPr>
        <w:t>12</w:t>
      </w:r>
    </w:p>
    <w:p>
      <w:pPr>
        <w:pStyle w:val="BodyText"/>
        <w:rPr>
          <w:rFonts w:ascii="Arial MT"/>
          <w:sz w:val="7"/>
        </w:rPr>
      </w:pPr>
    </w:p>
    <w:p>
      <w:pPr>
        <w:pStyle w:val="BodyText"/>
        <w:spacing w:before="10"/>
        <w:rPr>
          <w:rFonts w:ascii="Arial MT"/>
          <w:sz w:val="7"/>
        </w:rPr>
      </w:pPr>
    </w:p>
    <w:p>
      <w:pPr>
        <w:spacing w:before="0"/>
        <w:ind w:left="931" w:right="0" w:firstLine="0"/>
        <w:jc w:val="left"/>
        <w:rPr>
          <w:rFonts w:ascii="Arial MT"/>
          <w:sz w:val="7"/>
        </w:rPr>
      </w:pPr>
      <w:r>
        <w:rPr>
          <w:rFonts w:ascii="Arial MT"/>
          <w:spacing w:val="-10"/>
          <w:w w:val="175"/>
          <w:sz w:val="7"/>
        </w:rPr>
        <w:t>8</w:t>
      </w:r>
    </w:p>
    <w:p>
      <w:pPr>
        <w:pStyle w:val="BodyText"/>
        <w:rPr>
          <w:rFonts w:ascii="Arial MT"/>
          <w:sz w:val="7"/>
        </w:rPr>
      </w:pPr>
    </w:p>
    <w:p>
      <w:pPr>
        <w:pStyle w:val="BodyText"/>
        <w:spacing w:before="8"/>
        <w:rPr>
          <w:rFonts w:ascii="Arial MT"/>
          <w:sz w:val="7"/>
        </w:rPr>
      </w:pPr>
    </w:p>
    <w:p>
      <w:pPr>
        <w:spacing w:before="0"/>
        <w:ind w:left="931" w:right="0" w:firstLine="0"/>
        <w:jc w:val="left"/>
        <w:rPr>
          <w:rFonts w:ascii="Arial MT"/>
          <w:sz w:val="7"/>
        </w:rPr>
      </w:pPr>
      <w:r>
        <w:rPr>
          <w:rFonts w:ascii="Arial MT"/>
          <w:spacing w:val="-10"/>
          <w:w w:val="175"/>
          <w:sz w:val="7"/>
        </w:rPr>
        <w:t>4</w:t>
      </w:r>
    </w:p>
    <w:p>
      <w:pPr>
        <w:pStyle w:val="BodyText"/>
        <w:rPr>
          <w:rFonts w:ascii="Arial MT"/>
          <w:sz w:val="7"/>
        </w:rPr>
      </w:pPr>
    </w:p>
    <w:p>
      <w:pPr>
        <w:pStyle w:val="BodyText"/>
        <w:spacing w:before="10"/>
        <w:rPr>
          <w:rFonts w:ascii="Arial MT"/>
          <w:sz w:val="7"/>
        </w:rPr>
      </w:pPr>
    </w:p>
    <w:p>
      <w:pPr>
        <w:spacing w:before="0"/>
        <w:ind w:left="931" w:right="0" w:firstLine="0"/>
        <w:jc w:val="left"/>
        <w:rPr>
          <w:rFonts w:ascii="Arial MT"/>
          <w:sz w:val="7"/>
        </w:rPr>
      </w:pPr>
      <w:r>
        <w:rPr>
          <w:rFonts w:ascii="Arial MT"/>
          <w:spacing w:val="-10"/>
          <w:w w:val="175"/>
          <w:sz w:val="7"/>
        </w:rPr>
        <w:t>0</w:t>
      </w:r>
    </w:p>
    <w:p>
      <w:pPr>
        <w:tabs>
          <w:tab w:pos="1356" w:val="left" w:leader="none"/>
          <w:tab w:pos="1713" w:val="left" w:leader="none"/>
          <w:tab w:pos="2069" w:val="left" w:leader="none"/>
          <w:tab w:pos="2425" w:val="left" w:leader="none"/>
          <w:tab w:pos="2781" w:val="left" w:leader="none"/>
          <w:tab w:pos="3133" w:val="left" w:leader="none"/>
          <w:tab w:pos="3489" w:val="left" w:leader="none"/>
          <w:tab w:pos="3845" w:val="left" w:leader="none"/>
        </w:tabs>
        <w:spacing w:before="1"/>
        <w:ind w:left="1005" w:right="0" w:firstLine="0"/>
        <w:jc w:val="left"/>
        <w:rPr>
          <w:rFonts w:ascii="Arial MT"/>
          <w:sz w:val="7"/>
        </w:rPr>
      </w:pPr>
      <w:r>
        <w:rPr>
          <w:rFonts w:ascii="Arial MT"/>
          <w:spacing w:val="-5"/>
          <w:w w:val="175"/>
          <w:sz w:val="7"/>
        </w:rPr>
        <w:t>70</w:t>
      </w:r>
      <w:r>
        <w:rPr>
          <w:rFonts w:ascii="Arial MT"/>
          <w:sz w:val="7"/>
        </w:rPr>
        <w:tab/>
      </w:r>
      <w:r>
        <w:rPr>
          <w:rFonts w:ascii="Arial MT"/>
          <w:spacing w:val="-5"/>
          <w:w w:val="175"/>
          <w:sz w:val="7"/>
        </w:rPr>
        <w:t>75</w:t>
      </w:r>
      <w:r>
        <w:rPr>
          <w:rFonts w:ascii="Arial MT"/>
          <w:sz w:val="7"/>
        </w:rPr>
        <w:tab/>
      </w:r>
      <w:r>
        <w:rPr>
          <w:rFonts w:ascii="Arial MT"/>
          <w:spacing w:val="-5"/>
          <w:w w:val="175"/>
          <w:sz w:val="7"/>
        </w:rPr>
        <w:t>80</w:t>
      </w:r>
      <w:r>
        <w:rPr>
          <w:rFonts w:ascii="Arial MT"/>
          <w:sz w:val="7"/>
        </w:rPr>
        <w:tab/>
      </w:r>
      <w:r>
        <w:rPr>
          <w:rFonts w:ascii="Arial MT"/>
          <w:spacing w:val="-5"/>
          <w:w w:val="175"/>
          <w:sz w:val="7"/>
        </w:rPr>
        <w:t>85</w:t>
      </w:r>
      <w:r>
        <w:rPr>
          <w:rFonts w:ascii="Arial MT"/>
          <w:sz w:val="7"/>
        </w:rPr>
        <w:tab/>
      </w:r>
      <w:r>
        <w:rPr>
          <w:rFonts w:ascii="Arial MT"/>
          <w:spacing w:val="-5"/>
          <w:w w:val="175"/>
          <w:sz w:val="7"/>
        </w:rPr>
        <w:t>90</w:t>
      </w:r>
      <w:r>
        <w:rPr>
          <w:rFonts w:ascii="Arial MT"/>
          <w:sz w:val="7"/>
        </w:rPr>
        <w:tab/>
      </w:r>
      <w:r>
        <w:rPr>
          <w:rFonts w:ascii="Arial MT"/>
          <w:spacing w:val="-5"/>
          <w:w w:val="175"/>
          <w:sz w:val="7"/>
        </w:rPr>
        <w:t>95</w:t>
      </w:r>
      <w:r>
        <w:rPr>
          <w:rFonts w:ascii="Arial MT"/>
          <w:sz w:val="7"/>
        </w:rPr>
        <w:tab/>
      </w:r>
      <w:r>
        <w:rPr>
          <w:rFonts w:ascii="Arial MT"/>
          <w:spacing w:val="-5"/>
          <w:w w:val="175"/>
          <w:sz w:val="7"/>
        </w:rPr>
        <w:t>00</w:t>
      </w:r>
      <w:r>
        <w:rPr>
          <w:rFonts w:ascii="Arial MT"/>
          <w:sz w:val="7"/>
        </w:rPr>
        <w:tab/>
      </w:r>
      <w:r>
        <w:rPr>
          <w:rFonts w:ascii="Arial MT"/>
          <w:spacing w:val="-5"/>
          <w:w w:val="175"/>
          <w:sz w:val="7"/>
        </w:rPr>
        <w:t>05</w:t>
      </w:r>
      <w:r>
        <w:rPr>
          <w:rFonts w:ascii="Arial MT"/>
          <w:sz w:val="7"/>
        </w:rPr>
        <w:tab/>
      </w:r>
      <w:r>
        <w:rPr>
          <w:rFonts w:ascii="Arial MT"/>
          <w:spacing w:val="-5"/>
          <w:w w:val="175"/>
          <w:sz w:val="7"/>
        </w:rPr>
        <w:t>10</w:t>
      </w:r>
    </w:p>
    <w:p>
      <w:pPr>
        <w:pStyle w:val="BodyText"/>
        <w:spacing w:before="9"/>
        <w:rPr>
          <w:rFonts w:ascii="Arial MT"/>
          <w:sz w:val="7"/>
        </w:rPr>
      </w:pPr>
    </w:p>
    <w:p>
      <w:pPr>
        <w:tabs>
          <w:tab w:pos="2097" w:val="left" w:leader="none"/>
          <w:tab w:pos="2705" w:val="left" w:leader="none"/>
        </w:tabs>
        <w:spacing w:before="0"/>
        <w:ind w:left="1852" w:right="0" w:firstLine="0"/>
        <w:jc w:val="left"/>
        <w:rPr>
          <w:rFonts w:ascii="Arial MT"/>
          <w:sz w:val="7"/>
        </w:rPr>
      </w:pPr>
      <w:r>
        <w:rPr/>
        <mc:AlternateContent>
          <mc:Choice Requires="wps">
            <w:drawing>
              <wp:anchor distT="0" distB="0" distL="0" distR="0" allowOverlap="1" layoutInCell="1" locked="0" behindDoc="1" simplePos="0" relativeHeight="464172544">
                <wp:simplePos x="0" y="0"/>
                <wp:positionH relativeFrom="page">
                  <wp:posOffset>1320868</wp:posOffset>
                </wp:positionH>
                <wp:positionV relativeFrom="paragraph">
                  <wp:posOffset>-12061</wp:posOffset>
                </wp:positionV>
                <wp:extent cx="924560" cy="73025"/>
                <wp:effectExtent l="0" t="0" r="0" b="0"/>
                <wp:wrapNone/>
                <wp:docPr id="108" name="Graphic 108"/>
                <wp:cNvGraphicFramePr>
                  <a:graphicFrameLocks/>
                </wp:cNvGraphicFramePr>
                <a:graphic>
                  <a:graphicData uri="http://schemas.microsoft.com/office/word/2010/wordprocessingShape">
                    <wps:wsp>
                      <wps:cNvPr id="108" name="Graphic 108"/>
                      <wps:cNvSpPr/>
                      <wps:spPr>
                        <a:xfrm>
                          <a:off x="0" y="0"/>
                          <a:ext cx="924560" cy="73025"/>
                        </a:xfrm>
                        <a:custGeom>
                          <a:avLst/>
                          <a:gdLst/>
                          <a:ahLst/>
                          <a:cxnLst/>
                          <a:rect l="l" t="t" r="r" b="b"/>
                          <a:pathLst>
                            <a:path w="924560" h="73025">
                              <a:moveTo>
                                <a:pt x="0" y="72738"/>
                              </a:moveTo>
                              <a:lnTo>
                                <a:pt x="923940" y="72738"/>
                              </a:lnTo>
                              <a:lnTo>
                                <a:pt x="923940" y="0"/>
                              </a:lnTo>
                              <a:lnTo>
                                <a:pt x="0" y="0"/>
                              </a:lnTo>
                              <a:lnTo>
                                <a:pt x="0" y="72738"/>
                              </a:lnTo>
                              <a:close/>
                            </a:path>
                          </a:pathLst>
                        </a:custGeom>
                        <a:ln w="3171">
                          <a:solidFill>
                            <a:srgbClr val="000000"/>
                          </a:solidFill>
                          <a:prstDash val="solid"/>
                        </a:ln>
                      </wps:spPr>
                      <wps:bodyPr wrap="square" lIns="0" tIns="0" rIns="0" bIns="0" rtlCol="0">
                        <a:prstTxWarp prst="textNoShape">
                          <a:avLst/>
                        </a:prstTxWarp>
                        <a:noAutofit/>
                      </wps:bodyPr>
                    </wps:wsp>
                  </a:graphicData>
                </a:graphic>
              </wp:anchor>
            </w:drawing>
          </mc:Choice>
          <mc:Fallback>
            <w:pict>
              <v:rect style="position:absolute;margin-left:104.005417pt;margin-top:-.949736pt;width:72.751231pt;height:5.727436pt;mso-position-horizontal-relative:page;mso-position-vertical-relative:paragraph;z-index:-39143936" id="docshape94" filled="false" stroked="true" strokeweight=".249755pt" strokecolor="#000000">
                <v:stroke dashstyle="solid"/>
                <w10:wrap type="none"/>
              </v:rect>
            </w:pict>
          </mc:Fallback>
        </mc:AlternateContent>
      </w:r>
      <w:r>
        <w:rPr>
          <w:rFonts w:ascii="Arial MT"/>
          <w:sz w:val="7"/>
          <w:u w:val="single"/>
        </w:rPr>
        <w:tab/>
      </w:r>
      <w:r>
        <w:rPr>
          <w:rFonts w:ascii="Arial MT"/>
          <w:spacing w:val="-3"/>
          <w:sz w:val="7"/>
        </w:rPr>
        <w:t> </w:t>
      </w:r>
      <w:r>
        <w:rPr>
          <w:rFonts w:ascii="Arial MT"/>
          <w:w w:val="175"/>
          <w:sz w:val="7"/>
        </w:rPr>
        <w:t>GDP</w:t>
      </w:r>
      <w:r>
        <w:rPr>
          <w:rFonts w:ascii="Arial MT"/>
          <w:spacing w:val="76"/>
          <w:w w:val="175"/>
          <w:sz w:val="7"/>
        </w:rPr>
        <w:t> </w:t>
      </w:r>
      <w:r>
        <w:rPr>
          <w:rFonts w:ascii="Arial MT"/>
          <w:sz w:val="7"/>
          <w:u w:val="single"/>
        </w:rPr>
        <w:tab/>
      </w:r>
      <w:r>
        <w:rPr>
          <w:rFonts w:ascii="Arial MT"/>
          <w:spacing w:val="-5"/>
          <w:sz w:val="7"/>
        </w:rPr>
        <w:t> </w:t>
      </w:r>
      <w:r>
        <w:rPr>
          <w:rFonts w:ascii="Arial MT"/>
          <w:w w:val="175"/>
          <w:sz w:val="7"/>
        </w:rPr>
        <w:t>EXDEBT</w:t>
      </w:r>
    </w:p>
    <w:p>
      <w:pPr>
        <w:pStyle w:val="BodyText"/>
        <w:spacing w:before="49"/>
        <w:rPr>
          <w:rFonts w:ascii="Arial MT"/>
          <w:sz w:val="7"/>
        </w:rPr>
      </w:pPr>
    </w:p>
    <w:p>
      <w:pPr>
        <w:pStyle w:val="Heading6"/>
        <w:spacing w:before="1"/>
        <w:ind w:left="1551"/>
        <w:jc w:val="left"/>
      </w:pPr>
      <w:r>
        <w:rPr/>
        <w:t>GDP</w:t>
      </w:r>
      <w:r>
        <w:rPr>
          <w:spacing w:val="-3"/>
        </w:rPr>
        <w:t> </w:t>
      </w:r>
      <w:r>
        <w:rPr/>
        <w:t>AND</w:t>
      </w:r>
      <w:r>
        <w:rPr>
          <w:spacing w:val="-1"/>
        </w:rPr>
        <w:t> </w:t>
      </w:r>
      <w:r>
        <w:rPr>
          <w:spacing w:val="-4"/>
        </w:rPr>
        <w:t>δRES</w:t>
      </w:r>
    </w:p>
    <w:p>
      <w:pPr>
        <w:pStyle w:val="BodyText"/>
        <w:spacing w:before="172"/>
        <w:rPr>
          <w:b/>
          <w:sz w:val="20"/>
        </w:rPr>
      </w:pPr>
      <w:r>
        <w:rPr/>
        <mc:AlternateContent>
          <mc:Choice Requires="wps">
            <w:drawing>
              <wp:anchor distT="0" distB="0" distL="0" distR="0" allowOverlap="1" layoutInCell="1" locked="0" behindDoc="1" simplePos="0" relativeHeight="487605760">
                <wp:simplePos x="0" y="0"/>
                <wp:positionH relativeFrom="page">
                  <wp:posOffset>2013324</wp:posOffset>
                </wp:positionH>
                <wp:positionV relativeFrom="paragraph">
                  <wp:posOffset>273506</wp:posOffset>
                </wp:positionV>
                <wp:extent cx="1361440" cy="114300"/>
                <wp:effectExtent l="0" t="0" r="0" b="0"/>
                <wp:wrapTopAndBottom/>
                <wp:docPr id="109" name="Graphic 109"/>
                <wp:cNvGraphicFramePr>
                  <a:graphicFrameLocks/>
                </wp:cNvGraphicFramePr>
                <a:graphic>
                  <a:graphicData uri="http://schemas.microsoft.com/office/word/2010/wordprocessingShape">
                    <wps:wsp>
                      <wps:cNvPr id="109" name="Graphic 109"/>
                      <wps:cNvSpPr/>
                      <wps:spPr>
                        <a:xfrm>
                          <a:off x="0" y="0"/>
                          <a:ext cx="1361440" cy="114300"/>
                        </a:xfrm>
                        <a:custGeom>
                          <a:avLst/>
                          <a:gdLst/>
                          <a:ahLst/>
                          <a:cxnLst/>
                          <a:rect l="l" t="t" r="r" b="b"/>
                          <a:pathLst>
                            <a:path w="1361440" h="114300">
                              <a:moveTo>
                                <a:pt x="0" y="0"/>
                              </a:moveTo>
                              <a:lnTo>
                                <a:pt x="1361085" y="0"/>
                              </a:lnTo>
                              <a:lnTo>
                                <a:pt x="1361085" y="113690"/>
                              </a:lnTo>
                              <a:lnTo>
                                <a:pt x="0" y="113690"/>
                              </a:lnTo>
                              <a:lnTo>
                                <a:pt x="0" y="0"/>
                              </a:lnTo>
                              <a:close/>
                            </a:path>
                            <a:path w="1361440" h="114300">
                              <a:moveTo>
                                <a:pt x="58090" y="54410"/>
                              </a:moveTo>
                              <a:lnTo>
                                <a:pt x="295482" y="54410"/>
                              </a:lnTo>
                            </a:path>
                            <a:path w="1361440" h="114300">
                              <a:moveTo>
                                <a:pt x="745985" y="54410"/>
                              </a:moveTo>
                              <a:lnTo>
                                <a:pt x="784679" y="54410"/>
                              </a:lnTo>
                            </a:path>
                            <a:path w="1361440" h="114300">
                              <a:moveTo>
                                <a:pt x="808863" y="54410"/>
                              </a:moveTo>
                              <a:lnTo>
                                <a:pt x="847703" y="54410"/>
                              </a:lnTo>
                            </a:path>
                            <a:path w="1361440" h="114300">
                              <a:moveTo>
                                <a:pt x="871887" y="54410"/>
                              </a:moveTo>
                              <a:lnTo>
                                <a:pt x="910582" y="54410"/>
                              </a:lnTo>
                            </a:path>
                            <a:path w="1361440" h="114300">
                              <a:moveTo>
                                <a:pt x="934911" y="54410"/>
                              </a:moveTo>
                              <a:lnTo>
                                <a:pt x="973606" y="54410"/>
                              </a:lnTo>
                            </a:path>
                          </a:pathLst>
                        </a:custGeom>
                        <a:ln w="730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58.529510pt;margin-top:21.53595pt;width:107.2pt;height:9pt;mso-position-horizontal-relative:page;mso-position-vertical-relative:paragraph;z-index:-15710720;mso-wrap-distance-left:0;mso-wrap-distance-right:0" id="docshape95" coordorigin="3171,431" coordsize="2144,180" path="m3171,431l5314,431,5314,610,3171,610,3171,431xm3262,516l3636,516m4345,516l4406,516m4444,516l4506,516m4544,516l4605,516m4643,516l4704,516e" filled="false" stroked="true" strokeweight=".575222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06272">
                <wp:simplePos x="0" y="0"/>
                <wp:positionH relativeFrom="page">
                  <wp:posOffset>1020269</wp:posOffset>
                </wp:positionH>
                <wp:positionV relativeFrom="paragraph">
                  <wp:posOffset>537353</wp:posOffset>
                </wp:positionV>
                <wp:extent cx="3303904" cy="1273175"/>
                <wp:effectExtent l="0" t="0" r="0" b="0"/>
                <wp:wrapTopAndBottom/>
                <wp:docPr id="110" name="Graphic 110"/>
                <wp:cNvGraphicFramePr>
                  <a:graphicFrameLocks/>
                </wp:cNvGraphicFramePr>
                <a:graphic>
                  <a:graphicData uri="http://schemas.microsoft.com/office/word/2010/wordprocessingShape">
                    <wps:wsp>
                      <wps:cNvPr id="110" name="Graphic 110"/>
                      <wps:cNvSpPr/>
                      <wps:spPr>
                        <a:xfrm>
                          <a:off x="0" y="0"/>
                          <a:ext cx="3303904" cy="1273175"/>
                        </a:xfrm>
                        <a:custGeom>
                          <a:avLst/>
                          <a:gdLst/>
                          <a:ahLst/>
                          <a:cxnLst/>
                          <a:rect l="l" t="t" r="r" b="b"/>
                          <a:pathLst>
                            <a:path w="3303904" h="1273175">
                              <a:moveTo>
                                <a:pt x="0" y="29628"/>
                              </a:moveTo>
                              <a:lnTo>
                                <a:pt x="48498" y="29628"/>
                              </a:lnTo>
                            </a:path>
                            <a:path w="3303904" h="1273175">
                              <a:moveTo>
                                <a:pt x="0" y="185322"/>
                              </a:moveTo>
                              <a:lnTo>
                                <a:pt x="48498" y="185322"/>
                              </a:lnTo>
                            </a:path>
                            <a:path w="3303904" h="1273175">
                              <a:moveTo>
                                <a:pt x="0" y="341016"/>
                              </a:moveTo>
                              <a:lnTo>
                                <a:pt x="48498" y="341016"/>
                              </a:lnTo>
                            </a:path>
                            <a:path w="3303904" h="1273175">
                              <a:moveTo>
                                <a:pt x="0" y="496660"/>
                              </a:moveTo>
                              <a:lnTo>
                                <a:pt x="48498" y="496660"/>
                              </a:lnTo>
                            </a:path>
                            <a:path w="3303904" h="1273175">
                              <a:moveTo>
                                <a:pt x="0" y="649912"/>
                              </a:moveTo>
                              <a:lnTo>
                                <a:pt x="48498" y="649912"/>
                              </a:lnTo>
                            </a:path>
                            <a:path w="3303904" h="1273175">
                              <a:moveTo>
                                <a:pt x="0" y="805532"/>
                              </a:moveTo>
                              <a:lnTo>
                                <a:pt x="48498" y="805532"/>
                              </a:lnTo>
                            </a:path>
                            <a:path w="3303904" h="1273175">
                              <a:moveTo>
                                <a:pt x="0" y="961250"/>
                              </a:moveTo>
                              <a:lnTo>
                                <a:pt x="48498" y="961250"/>
                              </a:lnTo>
                            </a:path>
                            <a:path w="3303904" h="1273175">
                              <a:moveTo>
                                <a:pt x="0" y="1116944"/>
                              </a:moveTo>
                              <a:lnTo>
                                <a:pt x="48498" y="1116944"/>
                              </a:lnTo>
                            </a:path>
                            <a:path w="3303904" h="1273175">
                              <a:moveTo>
                                <a:pt x="0" y="1270121"/>
                              </a:moveTo>
                              <a:lnTo>
                                <a:pt x="48498" y="1270121"/>
                              </a:lnTo>
                            </a:path>
                            <a:path w="3303904" h="1273175">
                              <a:moveTo>
                                <a:pt x="53335" y="27161"/>
                              </a:moveTo>
                              <a:lnTo>
                                <a:pt x="53335" y="12359"/>
                              </a:lnTo>
                            </a:path>
                            <a:path w="3303904" h="1273175">
                              <a:moveTo>
                                <a:pt x="130841" y="27161"/>
                              </a:moveTo>
                              <a:lnTo>
                                <a:pt x="130841" y="12359"/>
                              </a:lnTo>
                            </a:path>
                            <a:path w="3303904" h="1273175">
                              <a:moveTo>
                                <a:pt x="208278" y="27161"/>
                              </a:moveTo>
                              <a:lnTo>
                                <a:pt x="208278" y="12359"/>
                              </a:lnTo>
                            </a:path>
                            <a:path w="3303904" h="1273175">
                              <a:moveTo>
                                <a:pt x="290650" y="27161"/>
                              </a:moveTo>
                              <a:lnTo>
                                <a:pt x="290650" y="12359"/>
                              </a:lnTo>
                            </a:path>
                            <a:path w="3303904" h="1273175">
                              <a:moveTo>
                                <a:pt x="368136" y="27161"/>
                              </a:moveTo>
                              <a:lnTo>
                                <a:pt x="368136" y="12359"/>
                              </a:lnTo>
                            </a:path>
                            <a:path w="3303904" h="1273175">
                              <a:moveTo>
                                <a:pt x="445670" y="27161"/>
                              </a:moveTo>
                              <a:lnTo>
                                <a:pt x="445670" y="12359"/>
                              </a:lnTo>
                            </a:path>
                            <a:path w="3303904" h="1273175">
                              <a:moveTo>
                                <a:pt x="528042" y="27161"/>
                              </a:moveTo>
                              <a:lnTo>
                                <a:pt x="528042" y="12359"/>
                              </a:lnTo>
                            </a:path>
                            <a:path w="3303904" h="1273175">
                              <a:moveTo>
                                <a:pt x="605576" y="27161"/>
                              </a:moveTo>
                              <a:lnTo>
                                <a:pt x="605576" y="12359"/>
                              </a:lnTo>
                            </a:path>
                            <a:path w="3303904" h="1273175">
                              <a:moveTo>
                                <a:pt x="682965" y="27161"/>
                              </a:moveTo>
                              <a:lnTo>
                                <a:pt x="682965" y="12359"/>
                              </a:lnTo>
                            </a:path>
                            <a:path w="3303904" h="1273175">
                              <a:moveTo>
                                <a:pt x="765337" y="27161"/>
                              </a:moveTo>
                              <a:lnTo>
                                <a:pt x="765337" y="12359"/>
                              </a:lnTo>
                            </a:path>
                            <a:path w="3303904" h="1273175">
                              <a:moveTo>
                                <a:pt x="842871" y="27161"/>
                              </a:moveTo>
                              <a:lnTo>
                                <a:pt x="842871" y="12359"/>
                              </a:lnTo>
                            </a:path>
                            <a:path w="3303904" h="1273175">
                              <a:moveTo>
                                <a:pt x="925243" y="27161"/>
                              </a:moveTo>
                              <a:lnTo>
                                <a:pt x="925243" y="12359"/>
                              </a:lnTo>
                            </a:path>
                            <a:path w="3303904" h="1273175">
                              <a:moveTo>
                                <a:pt x="1002729" y="27161"/>
                              </a:moveTo>
                              <a:lnTo>
                                <a:pt x="1002729" y="12359"/>
                              </a:lnTo>
                            </a:path>
                            <a:path w="3303904" h="1273175">
                              <a:moveTo>
                                <a:pt x="1080263" y="27161"/>
                              </a:moveTo>
                              <a:lnTo>
                                <a:pt x="1080263" y="12359"/>
                              </a:lnTo>
                            </a:path>
                            <a:path w="3303904" h="1273175">
                              <a:moveTo>
                                <a:pt x="1162489" y="27161"/>
                              </a:moveTo>
                              <a:lnTo>
                                <a:pt x="1162489" y="12359"/>
                              </a:lnTo>
                            </a:path>
                            <a:path w="3303904" h="1273175">
                              <a:moveTo>
                                <a:pt x="1240024" y="27161"/>
                              </a:moveTo>
                              <a:lnTo>
                                <a:pt x="1240024" y="12359"/>
                              </a:lnTo>
                            </a:path>
                            <a:path w="3303904" h="1273175">
                              <a:moveTo>
                                <a:pt x="1317558" y="27161"/>
                              </a:moveTo>
                              <a:lnTo>
                                <a:pt x="1317558" y="12359"/>
                              </a:lnTo>
                            </a:path>
                            <a:path w="3303904" h="1273175">
                              <a:moveTo>
                                <a:pt x="1399930" y="27161"/>
                              </a:moveTo>
                              <a:lnTo>
                                <a:pt x="1399930" y="12359"/>
                              </a:lnTo>
                            </a:path>
                            <a:path w="3303904" h="1273175">
                              <a:moveTo>
                                <a:pt x="1477464" y="27161"/>
                              </a:moveTo>
                              <a:lnTo>
                                <a:pt x="1477464" y="12359"/>
                              </a:lnTo>
                            </a:path>
                            <a:path w="3303904" h="1273175">
                              <a:moveTo>
                                <a:pt x="1554950" y="27161"/>
                              </a:moveTo>
                              <a:lnTo>
                                <a:pt x="1554950" y="12359"/>
                              </a:lnTo>
                            </a:path>
                            <a:path w="3303904" h="1273175">
                              <a:moveTo>
                                <a:pt x="1637225" y="27161"/>
                              </a:moveTo>
                              <a:lnTo>
                                <a:pt x="1637225" y="12359"/>
                              </a:lnTo>
                            </a:path>
                            <a:path w="3303904" h="1273175">
                              <a:moveTo>
                                <a:pt x="1714759" y="27161"/>
                              </a:moveTo>
                              <a:lnTo>
                                <a:pt x="1714759" y="12359"/>
                              </a:lnTo>
                            </a:path>
                            <a:path w="3303904" h="1273175">
                              <a:moveTo>
                                <a:pt x="1797082" y="27161"/>
                              </a:moveTo>
                              <a:lnTo>
                                <a:pt x="1797082" y="12359"/>
                              </a:lnTo>
                            </a:path>
                            <a:path w="3303904" h="1273175">
                              <a:moveTo>
                                <a:pt x="1874616" y="27161"/>
                              </a:moveTo>
                              <a:lnTo>
                                <a:pt x="1874616" y="12359"/>
                              </a:lnTo>
                            </a:path>
                            <a:path w="3303904" h="1273175">
                              <a:moveTo>
                                <a:pt x="1952151" y="27161"/>
                              </a:moveTo>
                              <a:lnTo>
                                <a:pt x="1952151" y="12359"/>
                              </a:lnTo>
                            </a:path>
                            <a:path w="3303904" h="1273175">
                              <a:moveTo>
                                <a:pt x="2034522" y="27161"/>
                              </a:moveTo>
                              <a:lnTo>
                                <a:pt x="2034522" y="12359"/>
                              </a:lnTo>
                            </a:path>
                            <a:path w="3303904" h="1273175">
                              <a:moveTo>
                                <a:pt x="2111912" y="27161"/>
                              </a:moveTo>
                              <a:lnTo>
                                <a:pt x="2111912" y="12359"/>
                              </a:lnTo>
                            </a:path>
                            <a:path w="3303904" h="1273175">
                              <a:moveTo>
                                <a:pt x="2189446" y="27161"/>
                              </a:moveTo>
                              <a:lnTo>
                                <a:pt x="2189446" y="12359"/>
                              </a:lnTo>
                            </a:path>
                            <a:path w="3303904" h="1273175">
                              <a:moveTo>
                                <a:pt x="2271817" y="27161"/>
                              </a:moveTo>
                              <a:lnTo>
                                <a:pt x="2271817" y="12359"/>
                              </a:lnTo>
                            </a:path>
                            <a:path w="3303904" h="1273175">
                              <a:moveTo>
                                <a:pt x="2349352" y="27161"/>
                              </a:moveTo>
                              <a:lnTo>
                                <a:pt x="2349352" y="12359"/>
                              </a:lnTo>
                            </a:path>
                            <a:path w="3303904" h="1273175">
                              <a:moveTo>
                                <a:pt x="2426838" y="27161"/>
                              </a:moveTo>
                              <a:lnTo>
                                <a:pt x="2426838" y="12359"/>
                              </a:lnTo>
                            </a:path>
                            <a:path w="3303904" h="1273175">
                              <a:moveTo>
                                <a:pt x="2509209" y="27161"/>
                              </a:moveTo>
                              <a:lnTo>
                                <a:pt x="2509209" y="12359"/>
                              </a:lnTo>
                            </a:path>
                            <a:path w="3303904" h="1273175">
                              <a:moveTo>
                                <a:pt x="2586599" y="27161"/>
                              </a:moveTo>
                              <a:lnTo>
                                <a:pt x="2586599" y="12359"/>
                              </a:lnTo>
                            </a:path>
                            <a:path w="3303904" h="1273175">
                              <a:moveTo>
                                <a:pt x="2668970" y="27161"/>
                              </a:moveTo>
                              <a:lnTo>
                                <a:pt x="2668970" y="12359"/>
                              </a:lnTo>
                            </a:path>
                            <a:path w="3303904" h="1273175">
                              <a:moveTo>
                                <a:pt x="2746504" y="27161"/>
                              </a:moveTo>
                              <a:lnTo>
                                <a:pt x="2746504" y="12359"/>
                              </a:lnTo>
                            </a:path>
                            <a:path w="3303904" h="1273175">
                              <a:moveTo>
                                <a:pt x="2824039" y="27161"/>
                              </a:moveTo>
                              <a:lnTo>
                                <a:pt x="2824039" y="12359"/>
                              </a:lnTo>
                            </a:path>
                            <a:path w="3303904" h="1273175">
                              <a:moveTo>
                                <a:pt x="2906410" y="27161"/>
                              </a:moveTo>
                              <a:lnTo>
                                <a:pt x="2906410" y="12359"/>
                              </a:lnTo>
                            </a:path>
                            <a:path w="3303904" h="1273175">
                              <a:moveTo>
                                <a:pt x="2983896" y="27161"/>
                              </a:moveTo>
                              <a:lnTo>
                                <a:pt x="2983896" y="12359"/>
                              </a:lnTo>
                            </a:path>
                            <a:path w="3303904" h="1273175">
                              <a:moveTo>
                                <a:pt x="3061334" y="27161"/>
                              </a:moveTo>
                              <a:lnTo>
                                <a:pt x="3061334" y="12359"/>
                              </a:lnTo>
                            </a:path>
                            <a:path w="3303904" h="1273175">
                              <a:moveTo>
                                <a:pt x="3143705" y="27161"/>
                              </a:moveTo>
                              <a:lnTo>
                                <a:pt x="3143705" y="12359"/>
                              </a:lnTo>
                            </a:path>
                            <a:path w="3303904" h="1273175">
                              <a:moveTo>
                                <a:pt x="3221191" y="27161"/>
                              </a:moveTo>
                              <a:lnTo>
                                <a:pt x="3221191" y="12359"/>
                              </a:lnTo>
                            </a:path>
                            <a:path w="3303904" h="1273175">
                              <a:moveTo>
                                <a:pt x="3298726" y="27161"/>
                              </a:moveTo>
                              <a:lnTo>
                                <a:pt x="3298726" y="12359"/>
                              </a:lnTo>
                            </a:path>
                            <a:path w="3303904" h="1273175">
                              <a:moveTo>
                                <a:pt x="53335" y="27161"/>
                              </a:moveTo>
                              <a:lnTo>
                                <a:pt x="53335" y="0"/>
                              </a:lnTo>
                            </a:path>
                            <a:path w="3303904" h="1273175">
                              <a:moveTo>
                                <a:pt x="445670" y="27161"/>
                              </a:moveTo>
                              <a:lnTo>
                                <a:pt x="445670" y="0"/>
                              </a:lnTo>
                            </a:path>
                            <a:path w="3303904" h="1273175">
                              <a:moveTo>
                                <a:pt x="842871" y="27161"/>
                              </a:moveTo>
                              <a:lnTo>
                                <a:pt x="842871" y="0"/>
                              </a:lnTo>
                            </a:path>
                            <a:path w="3303904" h="1273175">
                              <a:moveTo>
                                <a:pt x="1240024" y="27161"/>
                              </a:moveTo>
                              <a:lnTo>
                                <a:pt x="1240024" y="0"/>
                              </a:lnTo>
                            </a:path>
                            <a:path w="3303904" h="1273175">
                              <a:moveTo>
                                <a:pt x="1637225" y="27161"/>
                              </a:moveTo>
                              <a:lnTo>
                                <a:pt x="1637225" y="0"/>
                              </a:lnTo>
                            </a:path>
                            <a:path w="3303904" h="1273175">
                              <a:moveTo>
                                <a:pt x="2034522" y="27161"/>
                              </a:moveTo>
                              <a:lnTo>
                                <a:pt x="2034522" y="0"/>
                              </a:lnTo>
                            </a:path>
                            <a:path w="3303904" h="1273175">
                              <a:moveTo>
                                <a:pt x="2426838" y="27161"/>
                              </a:moveTo>
                              <a:lnTo>
                                <a:pt x="2426838" y="0"/>
                              </a:lnTo>
                            </a:path>
                            <a:path w="3303904" h="1273175">
                              <a:moveTo>
                                <a:pt x="2824039" y="27161"/>
                              </a:moveTo>
                              <a:lnTo>
                                <a:pt x="2824039" y="0"/>
                              </a:lnTo>
                            </a:path>
                            <a:path w="3303904" h="1273175">
                              <a:moveTo>
                                <a:pt x="3221191" y="27161"/>
                              </a:moveTo>
                              <a:lnTo>
                                <a:pt x="3221191" y="0"/>
                              </a:lnTo>
                            </a:path>
                            <a:path w="3303904" h="1273175">
                              <a:moveTo>
                                <a:pt x="53335" y="541141"/>
                              </a:moveTo>
                              <a:lnTo>
                                <a:pt x="130841" y="558484"/>
                              </a:lnTo>
                              <a:lnTo>
                                <a:pt x="208278" y="563418"/>
                              </a:lnTo>
                              <a:lnTo>
                                <a:pt x="290650" y="578220"/>
                              </a:lnTo>
                              <a:lnTo>
                                <a:pt x="368136" y="640019"/>
                              </a:lnTo>
                              <a:lnTo>
                                <a:pt x="445670" y="649912"/>
                              </a:lnTo>
                              <a:lnTo>
                                <a:pt x="528042" y="664714"/>
                              </a:lnTo>
                              <a:lnTo>
                                <a:pt x="605576" y="679516"/>
                              </a:lnTo>
                              <a:lnTo>
                                <a:pt x="682965" y="686967"/>
                              </a:lnTo>
                              <a:lnTo>
                                <a:pt x="765337" y="701769"/>
                              </a:lnTo>
                              <a:lnTo>
                                <a:pt x="842871" y="714129"/>
                              </a:lnTo>
                              <a:lnTo>
                                <a:pt x="920357" y="711661"/>
                              </a:lnTo>
                              <a:lnTo>
                                <a:pt x="1002729" y="714129"/>
                              </a:lnTo>
                              <a:lnTo>
                                <a:pt x="1080263" y="719063"/>
                              </a:lnTo>
                              <a:lnTo>
                                <a:pt x="1157652" y="728980"/>
                              </a:lnTo>
                              <a:lnTo>
                                <a:pt x="1240024" y="738848"/>
                              </a:lnTo>
                              <a:lnTo>
                                <a:pt x="1317558" y="738848"/>
                              </a:lnTo>
                              <a:lnTo>
                                <a:pt x="1395093" y="773460"/>
                              </a:lnTo>
                              <a:lnTo>
                                <a:pt x="1477464" y="793197"/>
                              </a:lnTo>
                              <a:lnTo>
                                <a:pt x="1554950" y="827809"/>
                              </a:lnTo>
                              <a:lnTo>
                                <a:pt x="1632388" y="845078"/>
                              </a:lnTo>
                              <a:lnTo>
                                <a:pt x="1714759" y="857487"/>
                              </a:lnTo>
                              <a:lnTo>
                                <a:pt x="1792245" y="897034"/>
                              </a:lnTo>
                              <a:lnTo>
                                <a:pt x="1869780" y="916770"/>
                              </a:lnTo>
                              <a:lnTo>
                                <a:pt x="1952151" y="939022"/>
                              </a:lnTo>
                              <a:lnTo>
                                <a:pt x="2029685" y="998330"/>
                              </a:lnTo>
                              <a:lnTo>
                                <a:pt x="2107075" y="1023000"/>
                              </a:lnTo>
                              <a:lnTo>
                                <a:pt x="2189446" y="1027983"/>
                              </a:lnTo>
                              <a:lnTo>
                                <a:pt x="2266981" y="1023000"/>
                              </a:lnTo>
                              <a:lnTo>
                                <a:pt x="2344515" y="1037851"/>
                              </a:lnTo>
                              <a:lnTo>
                                <a:pt x="2426838" y="1065013"/>
                              </a:lnTo>
                              <a:lnTo>
                                <a:pt x="2504372" y="1067529"/>
                              </a:lnTo>
                              <a:lnTo>
                                <a:pt x="2581762" y="1097134"/>
                              </a:lnTo>
                              <a:lnTo>
                                <a:pt x="2664133" y="1112010"/>
                              </a:lnTo>
                              <a:lnTo>
                                <a:pt x="2741667" y="1136680"/>
                              </a:lnTo>
                              <a:lnTo>
                                <a:pt x="2819202" y="1154023"/>
                              </a:lnTo>
                              <a:lnTo>
                                <a:pt x="2901573" y="1173759"/>
                              </a:lnTo>
                              <a:lnTo>
                                <a:pt x="2979059" y="1181161"/>
                              </a:lnTo>
                              <a:lnTo>
                                <a:pt x="3056497" y="1193496"/>
                              </a:lnTo>
                              <a:lnTo>
                                <a:pt x="3138868" y="1196037"/>
                              </a:lnTo>
                              <a:lnTo>
                                <a:pt x="3216354" y="1208372"/>
                              </a:lnTo>
                              <a:lnTo>
                                <a:pt x="3298726" y="1228108"/>
                              </a:lnTo>
                            </a:path>
                            <a:path w="3303904" h="1273175">
                              <a:moveTo>
                                <a:pt x="53335" y="177921"/>
                              </a:moveTo>
                              <a:lnTo>
                                <a:pt x="63009" y="195190"/>
                              </a:lnTo>
                            </a:path>
                            <a:path w="3303904" h="1273175">
                              <a:moveTo>
                                <a:pt x="67851" y="207525"/>
                              </a:moveTo>
                              <a:lnTo>
                                <a:pt x="82361" y="224869"/>
                              </a:lnTo>
                            </a:path>
                            <a:path w="3303904" h="1273175">
                              <a:moveTo>
                                <a:pt x="87203" y="237204"/>
                              </a:moveTo>
                              <a:lnTo>
                                <a:pt x="101713" y="254547"/>
                              </a:lnTo>
                            </a:path>
                            <a:path w="3303904" h="1273175">
                              <a:moveTo>
                                <a:pt x="106550" y="266882"/>
                              </a:moveTo>
                              <a:lnTo>
                                <a:pt x="121182" y="284151"/>
                              </a:lnTo>
                            </a:path>
                            <a:path w="3303904" h="1273175">
                              <a:moveTo>
                                <a:pt x="126023" y="296486"/>
                              </a:moveTo>
                              <a:lnTo>
                                <a:pt x="130841" y="296486"/>
                              </a:lnTo>
                              <a:lnTo>
                                <a:pt x="155025" y="306428"/>
                              </a:lnTo>
                            </a:path>
                            <a:path w="3303904" h="1273175">
                              <a:moveTo>
                                <a:pt x="174421" y="311362"/>
                              </a:moveTo>
                              <a:lnTo>
                                <a:pt x="203442" y="321231"/>
                              </a:lnTo>
                            </a:path>
                            <a:path w="3303904" h="1273175">
                              <a:moveTo>
                                <a:pt x="208278" y="316296"/>
                              </a:moveTo>
                              <a:lnTo>
                                <a:pt x="218049" y="299027"/>
                              </a:lnTo>
                            </a:path>
                            <a:path w="3303904" h="1273175">
                              <a:moveTo>
                                <a:pt x="227723" y="289085"/>
                              </a:moveTo>
                              <a:lnTo>
                                <a:pt x="237396" y="271816"/>
                              </a:lnTo>
                            </a:path>
                            <a:path w="3303904" h="1273175">
                              <a:moveTo>
                                <a:pt x="242233" y="259481"/>
                              </a:moveTo>
                              <a:lnTo>
                                <a:pt x="251907" y="242138"/>
                              </a:lnTo>
                            </a:path>
                            <a:path w="3303904" h="1273175">
                              <a:moveTo>
                                <a:pt x="261580" y="229803"/>
                              </a:moveTo>
                              <a:lnTo>
                                <a:pt x="271254" y="212533"/>
                              </a:lnTo>
                            </a:path>
                            <a:path w="3303904" h="1273175">
                              <a:moveTo>
                                <a:pt x="276091" y="200124"/>
                              </a:moveTo>
                              <a:lnTo>
                                <a:pt x="285813" y="182855"/>
                              </a:lnTo>
                            </a:path>
                            <a:path w="3303904" h="1273175">
                              <a:moveTo>
                                <a:pt x="290650" y="192723"/>
                              </a:moveTo>
                              <a:lnTo>
                                <a:pt x="295487" y="212533"/>
                              </a:lnTo>
                            </a:path>
                            <a:path w="3303904" h="1273175">
                              <a:moveTo>
                                <a:pt x="295487" y="224869"/>
                              </a:moveTo>
                              <a:lnTo>
                                <a:pt x="300323" y="244605"/>
                              </a:lnTo>
                            </a:path>
                            <a:path w="3303904" h="1273175">
                              <a:moveTo>
                                <a:pt x="305160" y="257014"/>
                              </a:moveTo>
                              <a:lnTo>
                                <a:pt x="310094" y="276750"/>
                              </a:lnTo>
                            </a:path>
                            <a:path w="3303904" h="1273175">
                              <a:moveTo>
                                <a:pt x="310094" y="289085"/>
                              </a:moveTo>
                              <a:lnTo>
                                <a:pt x="314931" y="308895"/>
                              </a:lnTo>
                            </a:path>
                            <a:path w="3303904" h="1273175">
                              <a:moveTo>
                                <a:pt x="319768" y="321231"/>
                              </a:moveTo>
                              <a:lnTo>
                                <a:pt x="324604" y="341016"/>
                              </a:lnTo>
                            </a:path>
                            <a:path w="3303904" h="1273175">
                              <a:moveTo>
                                <a:pt x="324604" y="353351"/>
                              </a:moveTo>
                              <a:lnTo>
                                <a:pt x="329441" y="373112"/>
                              </a:lnTo>
                            </a:path>
                            <a:path w="3303904" h="1273175">
                              <a:moveTo>
                                <a:pt x="334278" y="385496"/>
                              </a:moveTo>
                              <a:lnTo>
                                <a:pt x="339115" y="405233"/>
                              </a:lnTo>
                            </a:path>
                            <a:path w="3303904" h="1273175">
                              <a:moveTo>
                                <a:pt x="339115" y="417592"/>
                              </a:moveTo>
                              <a:lnTo>
                                <a:pt x="343952" y="437378"/>
                              </a:lnTo>
                            </a:path>
                            <a:path w="3303904" h="1273175">
                              <a:moveTo>
                                <a:pt x="348789" y="449713"/>
                              </a:moveTo>
                              <a:lnTo>
                                <a:pt x="353625" y="469523"/>
                              </a:lnTo>
                            </a:path>
                            <a:path w="3303904" h="1273175">
                              <a:moveTo>
                                <a:pt x="353625" y="481858"/>
                              </a:moveTo>
                              <a:lnTo>
                                <a:pt x="358462" y="501595"/>
                              </a:lnTo>
                            </a:path>
                            <a:path w="3303904" h="1273175">
                              <a:moveTo>
                                <a:pt x="363299" y="514004"/>
                              </a:moveTo>
                              <a:lnTo>
                                <a:pt x="368136" y="531273"/>
                              </a:lnTo>
                              <a:lnTo>
                                <a:pt x="368136" y="531273"/>
                              </a:lnTo>
                            </a:path>
                            <a:path w="3303904" h="1273175">
                              <a:moveTo>
                                <a:pt x="368136" y="518938"/>
                              </a:moveTo>
                              <a:lnTo>
                                <a:pt x="372973" y="499127"/>
                              </a:lnTo>
                            </a:path>
                            <a:path w="3303904" h="1273175">
                              <a:moveTo>
                                <a:pt x="372973" y="486792"/>
                              </a:moveTo>
                              <a:lnTo>
                                <a:pt x="377810" y="466982"/>
                              </a:lnTo>
                            </a:path>
                            <a:path w="3303904" h="1273175">
                              <a:moveTo>
                                <a:pt x="382646" y="454647"/>
                              </a:moveTo>
                              <a:lnTo>
                                <a:pt x="387483" y="434911"/>
                              </a:lnTo>
                            </a:path>
                            <a:path w="3303904" h="1273175">
                              <a:moveTo>
                                <a:pt x="387483" y="422526"/>
                              </a:moveTo>
                              <a:lnTo>
                                <a:pt x="392320" y="402766"/>
                              </a:lnTo>
                            </a:path>
                            <a:path w="3303904" h="1273175">
                              <a:moveTo>
                                <a:pt x="397157" y="390430"/>
                              </a:moveTo>
                              <a:lnTo>
                                <a:pt x="397157" y="370645"/>
                              </a:lnTo>
                            </a:path>
                            <a:path w="3303904" h="1273175">
                              <a:moveTo>
                                <a:pt x="401994" y="358310"/>
                              </a:moveTo>
                              <a:lnTo>
                                <a:pt x="406976" y="338500"/>
                              </a:lnTo>
                            </a:path>
                            <a:path w="3303904" h="1273175">
                              <a:moveTo>
                                <a:pt x="406976" y="326165"/>
                              </a:moveTo>
                              <a:lnTo>
                                <a:pt x="411812" y="306428"/>
                              </a:lnTo>
                            </a:path>
                            <a:path w="3303904" h="1273175">
                              <a:moveTo>
                                <a:pt x="416649" y="294019"/>
                              </a:moveTo>
                              <a:lnTo>
                                <a:pt x="421486" y="274283"/>
                              </a:lnTo>
                            </a:path>
                            <a:path w="3303904" h="1273175">
                              <a:moveTo>
                                <a:pt x="421486" y="261948"/>
                              </a:moveTo>
                              <a:lnTo>
                                <a:pt x="426323" y="242138"/>
                              </a:lnTo>
                            </a:path>
                            <a:path w="3303904" h="1273175">
                              <a:moveTo>
                                <a:pt x="431160" y="229803"/>
                              </a:moveTo>
                              <a:lnTo>
                                <a:pt x="431160" y="209992"/>
                              </a:lnTo>
                            </a:path>
                            <a:path w="3303904" h="1273175">
                              <a:moveTo>
                                <a:pt x="435997" y="197657"/>
                              </a:moveTo>
                              <a:lnTo>
                                <a:pt x="440834" y="177921"/>
                              </a:lnTo>
                            </a:path>
                            <a:path w="3303904" h="1273175">
                              <a:moveTo>
                                <a:pt x="440834" y="165512"/>
                              </a:moveTo>
                              <a:lnTo>
                                <a:pt x="445670" y="165512"/>
                              </a:lnTo>
                              <a:lnTo>
                                <a:pt x="455344" y="182855"/>
                              </a:lnTo>
                            </a:path>
                            <a:path w="3303904" h="1273175">
                              <a:moveTo>
                                <a:pt x="460181" y="195190"/>
                              </a:moveTo>
                              <a:lnTo>
                                <a:pt x="469855" y="212533"/>
                              </a:lnTo>
                            </a:path>
                            <a:path w="3303904" h="1273175">
                              <a:moveTo>
                                <a:pt x="479528" y="224869"/>
                              </a:moveTo>
                              <a:lnTo>
                                <a:pt x="489202" y="242138"/>
                              </a:lnTo>
                            </a:path>
                            <a:path w="3303904" h="1273175">
                              <a:moveTo>
                                <a:pt x="494039" y="254547"/>
                              </a:moveTo>
                              <a:lnTo>
                                <a:pt x="503857" y="271816"/>
                              </a:lnTo>
                            </a:path>
                            <a:path w="3303904" h="1273175">
                              <a:moveTo>
                                <a:pt x="513531" y="284151"/>
                              </a:moveTo>
                              <a:lnTo>
                                <a:pt x="523205" y="301494"/>
                              </a:lnTo>
                            </a:path>
                            <a:path w="3303904" h="1273175">
                              <a:moveTo>
                                <a:pt x="532878" y="311362"/>
                              </a:moveTo>
                              <a:lnTo>
                                <a:pt x="547389" y="328632"/>
                              </a:lnTo>
                            </a:path>
                            <a:path w="3303904" h="1273175">
                              <a:moveTo>
                                <a:pt x="557063" y="338500"/>
                              </a:moveTo>
                              <a:lnTo>
                                <a:pt x="576410" y="353351"/>
                              </a:lnTo>
                            </a:path>
                            <a:path w="3303904" h="1273175">
                              <a:moveTo>
                                <a:pt x="586084" y="363244"/>
                              </a:moveTo>
                              <a:lnTo>
                                <a:pt x="605576" y="378046"/>
                              </a:lnTo>
                              <a:lnTo>
                                <a:pt x="605576" y="378046"/>
                              </a:lnTo>
                            </a:path>
                            <a:path w="3303904" h="1273175">
                              <a:moveTo>
                                <a:pt x="620087" y="387963"/>
                              </a:moveTo>
                              <a:lnTo>
                                <a:pt x="644271" y="402766"/>
                              </a:lnTo>
                            </a:path>
                            <a:path w="3303904" h="1273175">
                              <a:moveTo>
                                <a:pt x="658781" y="412658"/>
                              </a:moveTo>
                              <a:lnTo>
                                <a:pt x="682965" y="422526"/>
                              </a:lnTo>
                              <a:lnTo>
                                <a:pt x="682965" y="424993"/>
                              </a:lnTo>
                            </a:path>
                            <a:path w="3303904" h="1273175">
                              <a:moveTo>
                                <a:pt x="687802" y="437378"/>
                              </a:moveTo>
                              <a:lnTo>
                                <a:pt x="697621" y="454647"/>
                              </a:lnTo>
                            </a:path>
                            <a:path w="3303904" h="1273175">
                              <a:moveTo>
                                <a:pt x="702458" y="466982"/>
                              </a:moveTo>
                              <a:lnTo>
                                <a:pt x="712132" y="484325"/>
                              </a:lnTo>
                            </a:path>
                            <a:path w="3303904" h="1273175">
                              <a:moveTo>
                                <a:pt x="716968" y="496660"/>
                              </a:moveTo>
                              <a:lnTo>
                                <a:pt x="726642" y="514004"/>
                              </a:lnTo>
                            </a:path>
                            <a:path w="3303904" h="1273175">
                              <a:moveTo>
                                <a:pt x="731479" y="526339"/>
                              </a:moveTo>
                              <a:lnTo>
                                <a:pt x="741153" y="543608"/>
                              </a:lnTo>
                            </a:path>
                            <a:path w="3303904" h="1273175">
                              <a:moveTo>
                                <a:pt x="745989" y="556017"/>
                              </a:moveTo>
                              <a:lnTo>
                                <a:pt x="755663" y="573286"/>
                              </a:lnTo>
                            </a:path>
                            <a:path w="3303904" h="1273175">
                              <a:moveTo>
                                <a:pt x="760500" y="585621"/>
                              </a:moveTo>
                              <a:lnTo>
                                <a:pt x="765337" y="585621"/>
                              </a:lnTo>
                              <a:lnTo>
                                <a:pt x="794454" y="595489"/>
                              </a:lnTo>
                            </a:path>
                            <a:path w="3303904" h="1273175">
                              <a:moveTo>
                                <a:pt x="813850" y="600497"/>
                              </a:moveTo>
                              <a:lnTo>
                                <a:pt x="842871" y="610366"/>
                              </a:lnTo>
                            </a:path>
                            <a:path w="3303904" h="1273175">
                              <a:moveTo>
                                <a:pt x="867055" y="605431"/>
                              </a:moveTo>
                              <a:lnTo>
                                <a:pt x="901010" y="598030"/>
                              </a:lnTo>
                            </a:path>
                            <a:path w="3303904" h="1273175">
                              <a:moveTo>
                                <a:pt x="920357" y="593022"/>
                              </a:moveTo>
                              <a:lnTo>
                                <a:pt x="920357" y="590555"/>
                              </a:lnTo>
                              <a:lnTo>
                                <a:pt x="949427" y="585621"/>
                              </a:lnTo>
                            </a:path>
                            <a:path w="3303904" h="1273175">
                              <a:moveTo>
                                <a:pt x="973611" y="580687"/>
                              </a:moveTo>
                              <a:lnTo>
                                <a:pt x="1002729" y="573286"/>
                              </a:lnTo>
                              <a:lnTo>
                                <a:pt x="1007565" y="573286"/>
                              </a:lnTo>
                            </a:path>
                            <a:path w="3303904" h="1273175">
                              <a:moveTo>
                                <a:pt x="1031750" y="568352"/>
                              </a:moveTo>
                              <a:lnTo>
                                <a:pt x="1065656" y="563418"/>
                              </a:lnTo>
                            </a:path>
                            <a:path w="3303904" h="1273175">
                              <a:moveTo>
                                <a:pt x="1085100" y="560951"/>
                              </a:moveTo>
                              <a:lnTo>
                                <a:pt x="1118958" y="568352"/>
                              </a:lnTo>
                            </a:path>
                            <a:path w="3303904" h="1273175">
                              <a:moveTo>
                                <a:pt x="1143142" y="573286"/>
                              </a:moveTo>
                              <a:lnTo>
                                <a:pt x="1157652" y="575753"/>
                              </a:lnTo>
                              <a:lnTo>
                                <a:pt x="1177145" y="580687"/>
                              </a:lnTo>
                            </a:path>
                            <a:path w="3303904" h="1273175">
                              <a:moveTo>
                                <a:pt x="1196492" y="585621"/>
                              </a:moveTo>
                              <a:lnTo>
                                <a:pt x="1230350" y="593022"/>
                              </a:lnTo>
                            </a:path>
                            <a:path w="3303904" h="1273175">
                              <a:moveTo>
                                <a:pt x="1249697" y="593022"/>
                              </a:moveTo>
                              <a:lnTo>
                                <a:pt x="1283700" y="585621"/>
                              </a:lnTo>
                            </a:path>
                            <a:path w="3303904" h="1273175">
                              <a:moveTo>
                                <a:pt x="1303048" y="580687"/>
                              </a:moveTo>
                              <a:lnTo>
                                <a:pt x="1317558" y="573286"/>
                              </a:lnTo>
                              <a:lnTo>
                                <a:pt x="1322395" y="580687"/>
                              </a:lnTo>
                            </a:path>
                            <a:path w="3303904" h="1273175">
                              <a:moveTo>
                                <a:pt x="1336906" y="590555"/>
                              </a:moveTo>
                              <a:lnTo>
                                <a:pt x="1356398" y="605431"/>
                              </a:lnTo>
                            </a:path>
                            <a:path w="3303904" h="1273175">
                              <a:moveTo>
                                <a:pt x="1366072" y="615300"/>
                              </a:moveTo>
                              <a:lnTo>
                                <a:pt x="1385419" y="630102"/>
                              </a:lnTo>
                            </a:path>
                            <a:path w="3303904" h="1273175">
                              <a:moveTo>
                                <a:pt x="1399929" y="637503"/>
                              </a:moveTo>
                              <a:lnTo>
                                <a:pt x="1424114" y="652379"/>
                              </a:lnTo>
                            </a:path>
                            <a:path w="3303904" h="1273175">
                              <a:moveTo>
                                <a:pt x="1438624" y="659780"/>
                              </a:moveTo>
                              <a:lnTo>
                                <a:pt x="1462953" y="674582"/>
                              </a:lnTo>
                            </a:path>
                            <a:path w="3303904" h="1273175">
                              <a:moveTo>
                                <a:pt x="1477464" y="682033"/>
                              </a:moveTo>
                              <a:lnTo>
                                <a:pt x="1501648" y="696835"/>
                              </a:lnTo>
                            </a:path>
                            <a:path w="3303904" h="1273175">
                              <a:moveTo>
                                <a:pt x="1516159" y="706727"/>
                              </a:moveTo>
                              <a:lnTo>
                                <a:pt x="1540343" y="721530"/>
                              </a:lnTo>
                            </a:path>
                            <a:path w="3303904" h="1273175">
                              <a:moveTo>
                                <a:pt x="1559787" y="728980"/>
                              </a:moveTo>
                              <a:lnTo>
                                <a:pt x="1588856" y="738848"/>
                              </a:lnTo>
                            </a:path>
                            <a:path w="3303904" h="1273175">
                              <a:moveTo>
                                <a:pt x="1608204" y="743782"/>
                              </a:moveTo>
                              <a:lnTo>
                                <a:pt x="1632388" y="751183"/>
                              </a:lnTo>
                              <a:lnTo>
                                <a:pt x="1642158" y="748716"/>
                              </a:lnTo>
                            </a:path>
                            <a:path w="3303904" h="1273175">
                              <a:moveTo>
                                <a:pt x="1661506" y="741315"/>
                              </a:moveTo>
                              <a:lnTo>
                                <a:pt x="1690527" y="728980"/>
                              </a:lnTo>
                            </a:path>
                            <a:path w="3303904" h="1273175">
                              <a:moveTo>
                                <a:pt x="1709922" y="721530"/>
                              </a:moveTo>
                              <a:lnTo>
                                <a:pt x="1714759" y="716596"/>
                              </a:lnTo>
                              <a:lnTo>
                                <a:pt x="1729270" y="726513"/>
                              </a:lnTo>
                            </a:path>
                            <a:path w="3303904" h="1273175">
                              <a:moveTo>
                                <a:pt x="1743877" y="736381"/>
                              </a:moveTo>
                              <a:lnTo>
                                <a:pt x="1768061" y="751183"/>
                              </a:lnTo>
                            </a:path>
                            <a:path w="3303904" h="1273175">
                              <a:moveTo>
                                <a:pt x="1782572" y="761076"/>
                              </a:moveTo>
                              <a:lnTo>
                                <a:pt x="1792245" y="763543"/>
                              </a:lnTo>
                              <a:lnTo>
                                <a:pt x="1801919" y="751183"/>
                              </a:lnTo>
                            </a:path>
                            <a:path w="3303904" h="1273175">
                              <a:moveTo>
                                <a:pt x="1811593" y="741315"/>
                              </a:moveTo>
                              <a:lnTo>
                                <a:pt x="1830988" y="723997"/>
                              </a:lnTo>
                            </a:path>
                            <a:path w="3303904" h="1273175">
                              <a:moveTo>
                                <a:pt x="1840759" y="714129"/>
                              </a:moveTo>
                              <a:lnTo>
                                <a:pt x="1855269" y="696835"/>
                              </a:lnTo>
                            </a:path>
                            <a:path w="3303904" h="1273175">
                              <a:moveTo>
                                <a:pt x="1864943" y="686967"/>
                              </a:moveTo>
                              <a:lnTo>
                                <a:pt x="1869780" y="686967"/>
                              </a:lnTo>
                              <a:lnTo>
                                <a:pt x="1893964" y="696835"/>
                              </a:lnTo>
                            </a:path>
                            <a:path w="3303904" h="1273175">
                              <a:moveTo>
                                <a:pt x="1913311" y="704236"/>
                              </a:moveTo>
                              <a:lnTo>
                                <a:pt x="1942477" y="714129"/>
                              </a:lnTo>
                            </a:path>
                            <a:path w="3303904" h="1273175">
                              <a:moveTo>
                                <a:pt x="1952151" y="723997"/>
                              </a:moveTo>
                              <a:lnTo>
                                <a:pt x="1966661" y="741315"/>
                              </a:lnTo>
                            </a:path>
                            <a:path w="3303904" h="1273175">
                              <a:moveTo>
                                <a:pt x="1976335" y="751183"/>
                              </a:moveTo>
                              <a:lnTo>
                                <a:pt x="1986009" y="768526"/>
                              </a:lnTo>
                            </a:path>
                            <a:path w="3303904" h="1273175">
                              <a:moveTo>
                                <a:pt x="1995682" y="778394"/>
                              </a:moveTo>
                              <a:lnTo>
                                <a:pt x="2010193" y="795664"/>
                              </a:lnTo>
                            </a:path>
                            <a:path w="3303904" h="1273175">
                              <a:moveTo>
                                <a:pt x="2019867" y="807999"/>
                              </a:moveTo>
                              <a:lnTo>
                                <a:pt x="2029685" y="817941"/>
                              </a:lnTo>
                              <a:lnTo>
                                <a:pt x="2044196" y="822875"/>
                              </a:lnTo>
                            </a:path>
                            <a:path w="3303904" h="1273175">
                              <a:moveTo>
                                <a:pt x="2068380" y="827809"/>
                              </a:moveTo>
                              <a:lnTo>
                                <a:pt x="2102238" y="835210"/>
                              </a:lnTo>
                            </a:path>
                            <a:path w="3303904" h="1273175">
                              <a:moveTo>
                                <a:pt x="2121730" y="837677"/>
                              </a:moveTo>
                              <a:lnTo>
                                <a:pt x="2155588" y="842611"/>
                              </a:lnTo>
                            </a:path>
                            <a:path w="3303904" h="1273175">
                              <a:moveTo>
                                <a:pt x="2179772" y="845078"/>
                              </a:moveTo>
                              <a:lnTo>
                                <a:pt x="2189446" y="845078"/>
                              </a:lnTo>
                              <a:lnTo>
                                <a:pt x="2213727" y="852479"/>
                              </a:lnTo>
                            </a:path>
                            <a:path w="3303904" h="1273175">
                              <a:moveTo>
                                <a:pt x="2237960" y="857487"/>
                              </a:moveTo>
                              <a:lnTo>
                                <a:pt x="2266981" y="862421"/>
                              </a:lnTo>
                              <a:lnTo>
                                <a:pt x="2266981" y="859954"/>
                              </a:lnTo>
                            </a:path>
                            <a:path w="3303904" h="1273175">
                              <a:moveTo>
                                <a:pt x="2271817" y="847545"/>
                              </a:moveTo>
                              <a:lnTo>
                                <a:pt x="2281491" y="830276"/>
                              </a:lnTo>
                            </a:path>
                            <a:path w="3303904" h="1273175">
                              <a:moveTo>
                                <a:pt x="2286328" y="817941"/>
                              </a:moveTo>
                              <a:lnTo>
                                <a:pt x="2296002" y="800598"/>
                              </a:lnTo>
                            </a:path>
                            <a:path w="3303904" h="1273175">
                              <a:moveTo>
                                <a:pt x="2300838" y="788263"/>
                              </a:moveTo>
                              <a:lnTo>
                                <a:pt x="2310609" y="770993"/>
                              </a:lnTo>
                            </a:path>
                            <a:path w="3303904" h="1273175">
                              <a:moveTo>
                                <a:pt x="2315446" y="758584"/>
                              </a:moveTo>
                              <a:lnTo>
                                <a:pt x="2325119" y="741315"/>
                              </a:lnTo>
                            </a:path>
                            <a:path w="3303904" h="1273175">
                              <a:moveTo>
                                <a:pt x="2329956" y="728980"/>
                              </a:moveTo>
                              <a:lnTo>
                                <a:pt x="2339630" y="711661"/>
                              </a:lnTo>
                            </a:path>
                            <a:path w="3303904" h="1273175">
                              <a:moveTo>
                                <a:pt x="2344515" y="716596"/>
                              </a:moveTo>
                              <a:lnTo>
                                <a:pt x="2354189" y="736381"/>
                              </a:lnTo>
                            </a:path>
                            <a:path w="3303904" h="1273175">
                              <a:moveTo>
                                <a:pt x="2359025" y="748716"/>
                              </a:moveTo>
                              <a:lnTo>
                                <a:pt x="2363862" y="768526"/>
                              </a:lnTo>
                            </a:path>
                            <a:path w="3303904" h="1273175">
                              <a:moveTo>
                                <a:pt x="2368699" y="780861"/>
                              </a:moveTo>
                              <a:lnTo>
                                <a:pt x="2378373" y="798131"/>
                              </a:lnTo>
                            </a:path>
                            <a:path w="3303904" h="1273175">
                              <a:moveTo>
                                <a:pt x="2383210" y="810540"/>
                              </a:moveTo>
                              <a:lnTo>
                                <a:pt x="2388047" y="830276"/>
                              </a:lnTo>
                            </a:path>
                            <a:path w="3303904" h="1273175">
                              <a:moveTo>
                                <a:pt x="2392883" y="842611"/>
                              </a:moveTo>
                              <a:lnTo>
                                <a:pt x="2402557" y="862421"/>
                              </a:lnTo>
                            </a:path>
                            <a:path w="3303904" h="1273175">
                              <a:moveTo>
                                <a:pt x="2407491" y="874756"/>
                              </a:moveTo>
                              <a:lnTo>
                                <a:pt x="2412327" y="894493"/>
                              </a:lnTo>
                            </a:path>
                            <a:path w="3303904" h="1273175">
                              <a:moveTo>
                                <a:pt x="2417164" y="906902"/>
                              </a:moveTo>
                              <a:lnTo>
                                <a:pt x="2426838" y="921704"/>
                              </a:lnTo>
                              <a:lnTo>
                                <a:pt x="2426838" y="919237"/>
                              </a:lnTo>
                            </a:path>
                            <a:path w="3303904" h="1273175">
                              <a:moveTo>
                                <a:pt x="2431675" y="906902"/>
                              </a:moveTo>
                              <a:lnTo>
                                <a:pt x="2441348" y="889558"/>
                              </a:lnTo>
                            </a:path>
                            <a:path w="3303904" h="1273175">
                              <a:moveTo>
                                <a:pt x="2446185" y="877223"/>
                              </a:moveTo>
                              <a:lnTo>
                                <a:pt x="2455859" y="859954"/>
                              </a:lnTo>
                            </a:path>
                            <a:path w="3303904" h="1273175">
                              <a:moveTo>
                                <a:pt x="2460696" y="847545"/>
                              </a:moveTo>
                              <a:lnTo>
                                <a:pt x="2470418" y="830276"/>
                              </a:lnTo>
                            </a:path>
                            <a:path w="3303904" h="1273175">
                              <a:moveTo>
                                <a:pt x="2480091" y="817941"/>
                              </a:moveTo>
                              <a:lnTo>
                                <a:pt x="2489765" y="800598"/>
                              </a:lnTo>
                            </a:path>
                            <a:path w="3303904" h="1273175">
                              <a:moveTo>
                                <a:pt x="2494602" y="788263"/>
                              </a:moveTo>
                              <a:lnTo>
                                <a:pt x="2504372" y="775927"/>
                              </a:lnTo>
                              <a:lnTo>
                                <a:pt x="2514046" y="778394"/>
                              </a:lnTo>
                            </a:path>
                            <a:path w="3303904" h="1273175">
                              <a:moveTo>
                                <a:pt x="2538230" y="778394"/>
                              </a:moveTo>
                              <a:lnTo>
                                <a:pt x="2576925" y="780861"/>
                              </a:lnTo>
                            </a:path>
                            <a:path w="3303904" h="1273175">
                              <a:moveTo>
                                <a:pt x="2586599" y="790730"/>
                              </a:moveTo>
                              <a:lnTo>
                                <a:pt x="2596417" y="807999"/>
                              </a:lnTo>
                            </a:path>
                            <a:path w="3303904" h="1273175">
                              <a:moveTo>
                                <a:pt x="2601254" y="820408"/>
                              </a:moveTo>
                              <a:lnTo>
                                <a:pt x="2610928" y="837677"/>
                              </a:lnTo>
                            </a:path>
                            <a:path w="3303904" h="1273175">
                              <a:moveTo>
                                <a:pt x="2620602" y="847545"/>
                              </a:moveTo>
                              <a:lnTo>
                                <a:pt x="2630275" y="864888"/>
                              </a:lnTo>
                            </a:path>
                            <a:path w="3303904" h="1273175">
                              <a:moveTo>
                                <a:pt x="2635112" y="877223"/>
                              </a:moveTo>
                              <a:lnTo>
                                <a:pt x="2644786" y="894493"/>
                              </a:lnTo>
                            </a:path>
                            <a:path w="3303904" h="1273175">
                              <a:moveTo>
                                <a:pt x="2654459" y="906902"/>
                              </a:moveTo>
                              <a:lnTo>
                                <a:pt x="2664133" y="919237"/>
                              </a:lnTo>
                              <a:lnTo>
                                <a:pt x="2664133" y="924171"/>
                              </a:lnTo>
                            </a:path>
                            <a:path w="3303904" h="1273175">
                              <a:moveTo>
                                <a:pt x="2673807" y="934039"/>
                              </a:moveTo>
                              <a:lnTo>
                                <a:pt x="2688317" y="951382"/>
                              </a:lnTo>
                            </a:path>
                            <a:path w="3303904" h="1273175">
                              <a:moveTo>
                                <a:pt x="2698136" y="961250"/>
                              </a:moveTo>
                              <a:lnTo>
                                <a:pt x="2712646" y="978519"/>
                              </a:lnTo>
                            </a:path>
                            <a:path w="3303904" h="1273175">
                              <a:moveTo>
                                <a:pt x="2722320" y="988437"/>
                              </a:moveTo>
                              <a:lnTo>
                                <a:pt x="2741668" y="1003264"/>
                              </a:lnTo>
                              <a:lnTo>
                                <a:pt x="2741668" y="1003264"/>
                              </a:lnTo>
                            </a:path>
                            <a:path w="3303904" h="1273175">
                              <a:moveTo>
                                <a:pt x="2751341" y="1013132"/>
                              </a:moveTo>
                              <a:lnTo>
                                <a:pt x="2775525" y="1027983"/>
                              </a:lnTo>
                            </a:path>
                            <a:path w="3303904" h="1273175">
                              <a:moveTo>
                                <a:pt x="2790181" y="1037851"/>
                              </a:moveTo>
                              <a:lnTo>
                                <a:pt x="2809528" y="1052653"/>
                              </a:lnTo>
                            </a:path>
                            <a:path w="3303904" h="1273175">
                              <a:moveTo>
                                <a:pt x="2828876" y="1055145"/>
                              </a:moveTo>
                              <a:lnTo>
                                <a:pt x="2862733" y="1047719"/>
                              </a:lnTo>
                            </a:path>
                            <a:path w="3303904" h="1273175">
                              <a:moveTo>
                                <a:pt x="2887063" y="1045252"/>
                              </a:moveTo>
                              <a:lnTo>
                                <a:pt x="2901573" y="1040318"/>
                              </a:lnTo>
                              <a:lnTo>
                                <a:pt x="2920921" y="1037851"/>
                              </a:lnTo>
                            </a:path>
                            <a:path w="3303904" h="1273175">
                              <a:moveTo>
                                <a:pt x="2940268" y="1032917"/>
                              </a:moveTo>
                              <a:lnTo>
                                <a:pt x="2974126" y="1025516"/>
                              </a:lnTo>
                            </a:path>
                            <a:path w="3303904" h="1273175">
                              <a:moveTo>
                                <a:pt x="2993618" y="1027983"/>
                              </a:moveTo>
                              <a:lnTo>
                                <a:pt x="3027476" y="1035384"/>
                              </a:lnTo>
                            </a:path>
                            <a:path w="3303904" h="1273175">
                              <a:moveTo>
                                <a:pt x="3051660" y="1040318"/>
                              </a:moveTo>
                              <a:lnTo>
                                <a:pt x="3056497" y="1040318"/>
                              </a:lnTo>
                              <a:lnTo>
                                <a:pt x="3080778" y="1030450"/>
                              </a:lnTo>
                            </a:path>
                            <a:path w="3303904" h="1273175">
                              <a:moveTo>
                                <a:pt x="3095289" y="1023000"/>
                              </a:moveTo>
                              <a:lnTo>
                                <a:pt x="3119521" y="1010665"/>
                              </a:lnTo>
                            </a:path>
                            <a:path w="3303904" h="1273175">
                              <a:moveTo>
                                <a:pt x="3134032" y="1003264"/>
                              </a:moveTo>
                              <a:lnTo>
                                <a:pt x="3138868" y="998330"/>
                              </a:lnTo>
                              <a:lnTo>
                                <a:pt x="3143705" y="985970"/>
                              </a:lnTo>
                            </a:path>
                            <a:path w="3303904" h="1273175">
                              <a:moveTo>
                                <a:pt x="3153379" y="973585"/>
                              </a:moveTo>
                              <a:lnTo>
                                <a:pt x="3163053" y="956316"/>
                              </a:lnTo>
                            </a:path>
                            <a:path w="3303904" h="1273175">
                              <a:moveTo>
                                <a:pt x="3167986" y="943981"/>
                              </a:moveTo>
                              <a:lnTo>
                                <a:pt x="3177660" y="926638"/>
                              </a:lnTo>
                            </a:path>
                            <a:path w="3303904" h="1273175">
                              <a:moveTo>
                                <a:pt x="3187333" y="914303"/>
                              </a:moveTo>
                              <a:lnTo>
                                <a:pt x="3197007" y="897034"/>
                              </a:lnTo>
                            </a:path>
                            <a:path w="3303904" h="1273175">
                              <a:moveTo>
                                <a:pt x="3201844" y="884624"/>
                              </a:moveTo>
                              <a:lnTo>
                                <a:pt x="3216354" y="869822"/>
                              </a:lnTo>
                              <a:lnTo>
                                <a:pt x="3216354" y="872289"/>
                              </a:lnTo>
                            </a:path>
                            <a:path w="3303904" h="1273175">
                              <a:moveTo>
                                <a:pt x="3226028" y="882157"/>
                              </a:moveTo>
                              <a:lnTo>
                                <a:pt x="3235750" y="899501"/>
                              </a:lnTo>
                            </a:path>
                            <a:path w="3303904" h="1273175">
                              <a:moveTo>
                                <a:pt x="3245424" y="909369"/>
                              </a:moveTo>
                              <a:lnTo>
                                <a:pt x="3259934" y="926638"/>
                              </a:lnTo>
                            </a:path>
                            <a:path w="3303904" h="1273175">
                              <a:moveTo>
                                <a:pt x="3269705" y="936506"/>
                              </a:moveTo>
                              <a:lnTo>
                                <a:pt x="3284215" y="953849"/>
                              </a:lnTo>
                            </a:path>
                            <a:path w="3303904" h="1273175">
                              <a:moveTo>
                                <a:pt x="3293889" y="966184"/>
                              </a:moveTo>
                              <a:lnTo>
                                <a:pt x="3298726" y="968651"/>
                              </a:lnTo>
                            </a:path>
                            <a:path w="3303904" h="1273175">
                              <a:moveTo>
                                <a:pt x="48498" y="1272588"/>
                              </a:moveTo>
                              <a:lnTo>
                                <a:pt x="48498" y="27161"/>
                              </a:lnTo>
                              <a:lnTo>
                                <a:pt x="3303563" y="27161"/>
                              </a:lnTo>
                              <a:lnTo>
                                <a:pt x="3303563" y="1272588"/>
                              </a:lnTo>
                              <a:lnTo>
                                <a:pt x="48498" y="1272588"/>
                              </a:lnTo>
                            </a:path>
                          </a:pathLst>
                        </a:custGeom>
                        <a:ln w="730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0.336174pt;margin-top:42.311275pt;width:260.1500pt;height:100.25pt;mso-position-horizontal-relative:page;mso-position-vertical-relative:paragraph;z-index:-15710208;mso-wrap-distance-left:0;mso-wrap-distance-right:0" id="docshape96" coordorigin="1607,846" coordsize="5203,2005" path="m1607,893l1683,893m1607,1138l1683,1138m1607,1383l1683,1383m1607,1628l1683,1628m1607,1870l1683,1870m1607,2115l1683,2115m1607,2360l1683,2360m1607,2605l1683,2605m1607,2846l1683,2846m1691,889l1691,866m1813,889l1813,866m1935,889l1935,866m2064,889l2064,866m2186,889l2186,866m2309,889l2309,866m2438,889l2438,866m2560,889l2560,866m2682,889l2682,866m2812,889l2812,866m2934,889l2934,866m3064,889l3064,866m3186,889l3186,866m3308,889l3308,866m3437,889l3437,866m3560,889l3560,866m3682,889l3682,866m3811,889l3811,866m3933,889l3933,866m4055,889l4055,866m4185,889l4185,866m4307,889l4307,866m4437,889l4437,866m4559,889l4559,866m4681,889l4681,866m4811,889l4811,866m4933,889l4933,866m5055,889l5055,866m5184,889l5184,866m5306,889l5306,866m5429,889l5429,866m5558,889l5558,866m5680,889l5680,866m5810,889l5810,866m5932,889l5932,866m6054,889l6054,866m6184,889l6184,866m6306,889l6306,866m6428,889l6428,866m6557,889l6557,866m6679,889l6679,866m6802,889l6802,866m1691,889l1691,846m2309,889l2309,846m2934,889l2934,846m3560,889l3560,846m4185,889l4185,846m4811,889l4811,846m5429,889l5429,846m6054,889l6054,846m6679,889l6679,846m1691,1698l1813,1726,1935,1733,2064,1757,2186,1854,2309,1870,2438,1893,2560,1916,2682,1928,2812,1951,2934,1971,3056,1967,3186,1971,3308,1979,3430,1994,3560,2010,3682,2010,3804,2064,3933,2095,4055,2150,4177,2177,4307,2197,4429,2259,4551,2290,4681,2325,4803,2418,4925,2457,5055,2465,5177,2457,5299,2481,5429,2523,5551,2527,5672,2574,5802,2597,5924,2636,6046,2664,6176,2695,6298,2706,6420,2726,6550,2730,6672,2749,6802,2780m1691,1126l1706,1154m1714,1173l1736,1200m1744,1220l1767,1247m1775,1267l1798,1294m1805,1313l1813,1313,1851,1329m1881,1337l1927,1352m1935,1344l1950,1317m1965,1301l1981,1274m1988,1255l2003,1228m2019,1208l2034,1181m2042,1161l2057,1134m2064,1150l2072,1181m2072,1200l2080,1231m2087,1251l2095,1282m2095,1301l2103,1333m2110,1352l2118,1383m2118,1403l2126,1434m2133,1453l2141,1484m2141,1504l2148,1535m2156,1554l2164,1586m2164,1605l2171,1636m2179,1656l2186,1683,2186,1683m2186,1663l2194,1632m2194,1613l2202,1582m2209,1562l2217,1531m2217,1512l2225,1481m2232,1461l2232,1430m2240,1410l2248,1379m2248,1360l2255,1329m2263,1309l2270,1278m2270,1259l2278,1228m2286,1208l2286,1177m2293,1157l2301,1126m2301,1107l2309,1107,2324,1134m2331,1154l2347,1181m2362,1200l2377,1228m2385,1247l2400,1274m2415,1294l2431,1321m2446,1337l2469,1364m2484,1379l2514,1403m2530,1418l2560,1442,2560,1442m2583,1457l2621,1481m2644,1496l2682,1512,2682,1516m2690,1535l2705,1562m2713,1582l2728,1609m2736,1628l2751,1656m2759,1675l2774,1702m2782,1722l2797,1749m2804,1768l2812,1768,2858,1784m2888,1792l2934,1807m2972,1800l3026,1788m3056,1780l3056,1776,3102,1768m3140,1761l3186,1749,3193,1749m3232,1741l3285,1733m3316,1730l3369,1741m3407,1749l3430,1753,3460,1761m3491,1768l3544,1780m3575,1780l3628,1768m3659,1761l3682,1749,3689,1761m3712,1776l3743,1800m3758,1815l3788,1839m3811,1850l3849,1874m3872,1885l3911,1909m3933,1920l3972,1944m3994,1959l4032,1982m4063,1994l4109,2010m4139,2018l4177,2029,4193,2025m4223,2014l4269,1994m4300,1982l4307,1975,4330,1990m4353,2006l4391,2029m4414,2045l4429,2049,4444,2029m4460,2014l4490,1986m4506,1971l4528,1944m4544,1928l4551,1928,4589,1944m4620,1955l4666,1971m4681,1986l4704,2014m4719,2029l4734,2057m4750,2072l4772,2099m4788,2119l4803,2134,4826,2142m4864,2150l4917,2162m4948,2165l5001,2173m5039,2177l5055,2177,5093,2189m5131,2197l5177,2204,5177,2200m5184,2181l5200,2154m5207,2134l5222,2107m5230,2088l5245,2060m5253,2041l5268,2014m5276,1994l5291,1967m5299,1975l5314,2006m5322,2025l5329,2057m5337,2076l5352,2103m5360,2123l5367,2154m5375,2173l5390,2204m5398,2224l5406,2255m5413,2274l5429,2298,5429,2294m5436,2274l5451,2247m5459,2228l5474,2200m5482,2181l5497,2154m5512,2134l5528,2107m5535,2088l5551,2068,5566,2072m5604,2072l5665,2076m5680,2091l5696,2119m5703,2138l5718,2165m5734,2181l5749,2208m5757,2228l5772,2255m5787,2274l5802,2294,5802,2302m5817,2317l5840,2344m5856,2360l5879,2387m5894,2403l5924,2426,5924,2426m5940,2442l5978,2465m6001,2481l6031,2504m6062,2508l6115,2496m6153,2492l6176,2485,6207,2481m6237,2473l6290,2461m6321,2465l6374,2477m6412,2485l6420,2485,6458,2469m6481,2457l6519,2438m6542,2426l6550,2418,6557,2399m6573,2379l6588,2352m6596,2333l6611,2305m6626,2286l6641,2259m6649,2239l6672,2216,6672,2220m6687,2235l6702,2263m6718,2278l6740,2305m6756,2321l6779,2348m6794,2368l6802,2372m1683,2850l1683,889,6809,889,6809,2850,1683,2850e" filled="false" stroked="true" strokeweight=".575222pt" strokecolor="#000000">
                <v:path arrowok="t"/>
                <v:stroke dashstyle="solid"/>
                <w10:wrap type="topAndBottom"/>
              </v:shape>
            </w:pict>
          </mc:Fallback>
        </mc:AlternateContent>
      </w:r>
    </w:p>
    <w:p>
      <w:pPr>
        <w:pStyle w:val="BodyText"/>
        <w:spacing w:before="5"/>
        <w:rPr>
          <w:b/>
          <w:sz w:val="17"/>
        </w:rPr>
      </w:pPr>
    </w:p>
    <w:p>
      <w:pPr>
        <w:spacing w:after="0"/>
        <w:rPr>
          <w:sz w:val="17"/>
        </w:rPr>
        <w:sectPr>
          <w:type w:val="continuous"/>
          <w:pgSz w:w="11910" w:h="16840"/>
          <w:pgMar w:header="0" w:footer="979" w:top="1340" w:bottom="1220" w:left="280" w:right="0"/>
        </w:sectPr>
      </w:pPr>
    </w:p>
    <w:p>
      <w:pPr>
        <w:pStyle w:val="BodyText"/>
        <w:spacing w:before="53"/>
        <w:rPr>
          <w:b/>
        </w:rPr>
      </w:pPr>
      <w:r>
        <w:rPr/>
        <mc:AlternateContent>
          <mc:Choice Requires="wps">
            <w:drawing>
              <wp:anchor distT="0" distB="0" distL="0" distR="0" allowOverlap="1" layoutInCell="1" locked="0" behindDoc="0" simplePos="0" relativeHeight="15751680">
                <wp:simplePos x="0" y="0"/>
                <wp:positionH relativeFrom="page">
                  <wp:posOffset>800430</wp:posOffset>
                </wp:positionH>
                <wp:positionV relativeFrom="page">
                  <wp:posOffset>7134945</wp:posOffset>
                </wp:positionV>
                <wp:extent cx="152400" cy="1040765"/>
                <wp:effectExtent l="0" t="0" r="0" b="0"/>
                <wp:wrapNone/>
                <wp:docPr id="111" name="Textbox 111"/>
                <wp:cNvGraphicFramePr>
                  <a:graphicFrameLocks/>
                </wp:cNvGraphicFramePr>
                <a:graphic>
                  <a:graphicData uri="http://schemas.microsoft.com/office/word/2010/wordprocessingShape">
                    <wps:wsp>
                      <wps:cNvPr id="111" name="Textbox 111"/>
                      <wps:cNvSpPr txBox="1"/>
                      <wps:spPr>
                        <a:xfrm>
                          <a:off x="0" y="0"/>
                          <a:ext cx="152400" cy="1040765"/>
                        </a:xfrm>
                        <a:prstGeom prst="rect">
                          <a:avLst/>
                        </a:prstGeom>
                      </wps:spPr>
                      <wps:txbx>
                        <w:txbxContent>
                          <w:p>
                            <w:pPr>
                              <w:spacing w:line="223" w:lineRule="exact" w:before="0"/>
                              <w:ind w:left="20" w:right="0" w:firstLine="0"/>
                              <w:jc w:val="left"/>
                              <w:rPr>
                                <w:rFonts w:ascii="Calibri" w:hAnsi="Calibri"/>
                                <w:b/>
                                <w:sz w:val="20"/>
                              </w:rPr>
                            </w:pPr>
                            <w:r>
                              <w:rPr>
                                <w:rFonts w:ascii="Calibri" w:hAnsi="Calibri"/>
                                <w:b/>
                                <w:spacing w:val="-2"/>
                                <w:sz w:val="20"/>
                              </w:rPr>
                              <w:t>∆EXDEBT/GDP*100</w:t>
                            </w:r>
                          </w:p>
                        </w:txbxContent>
                      </wps:txbx>
                      <wps:bodyPr wrap="square" lIns="0" tIns="0" rIns="0" bIns="0" rtlCol="0" vert="vert270">
                        <a:noAutofit/>
                      </wps:bodyPr>
                    </wps:wsp>
                  </a:graphicData>
                </a:graphic>
              </wp:anchor>
            </w:drawing>
          </mc:Choice>
          <mc:Fallback>
            <w:pict>
              <v:shape style="position:absolute;margin-left:63.025997pt;margin-top:561.806763pt;width:12pt;height:81.95pt;mso-position-horizontal-relative:page;mso-position-vertical-relative:page;z-index:15751680" type="#_x0000_t202" id="docshape97" filled="false" stroked="false">
                <v:textbox inset="0,0,0,0" style="layout-flow:vertical;mso-layout-flow-alt:bottom-to-top">
                  <w:txbxContent>
                    <w:p>
                      <w:pPr>
                        <w:spacing w:line="223" w:lineRule="exact" w:before="0"/>
                        <w:ind w:left="20" w:right="0" w:firstLine="0"/>
                        <w:jc w:val="left"/>
                        <w:rPr>
                          <w:rFonts w:ascii="Calibri" w:hAnsi="Calibri"/>
                          <w:b/>
                          <w:sz w:val="20"/>
                        </w:rPr>
                      </w:pPr>
                      <w:r>
                        <w:rPr>
                          <w:rFonts w:ascii="Calibri" w:hAnsi="Calibri"/>
                          <w:b/>
                          <w:spacing w:val="-2"/>
                          <w:sz w:val="20"/>
                        </w:rPr>
                        <w:t>∆EXDEBT/GDP*100</w:t>
                      </w:r>
                    </w:p>
                  </w:txbxContent>
                </v:textbox>
                <w10:wrap type="none"/>
              </v:shape>
            </w:pict>
          </mc:Fallback>
        </mc:AlternateContent>
      </w:r>
      <w:r>
        <w:rPr/>
        <mc:AlternateContent>
          <mc:Choice Requires="wps">
            <w:drawing>
              <wp:anchor distT="0" distB="0" distL="0" distR="0" allowOverlap="1" layoutInCell="1" locked="0" behindDoc="0" simplePos="0" relativeHeight="15752192">
                <wp:simplePos x="0" y="0"/>
                <wp:positionH relativeFrom="page">
                  <wp:posOffset>1245488</wp:posOffset>
                </wp:positionH>
                <wp:positionV relativeFrom="page">
                  <wp:posOffset>8759221</wp:posOffset>
                </wp:positionV>
                <wp:extent cx="3486785" cy="283845"/>
                <wp:effectExtent l="0" t="0" r="0" b="0"/>
                <wp:wrapNone/>
                <wp:docPr id="112" name="Textbox 112"/>
                <wp:cNvGraphicFramePr>
                  <a:graphicFrameLocks/>
                </wp:cNvGraphicFramePr>
                <a:graphic>
                  <a:graphicData uri="http://schemas.microsoft.com/office/word/2010/wordprocessingShape">
                    <wps:wsp>
                      <wps:cNvPr id="112" name="Textbox 112"/>
                      <wps:cNvSpPr txBox="1"/>
                      <wps:spPr>
                        <a:xfrm>
                          <a:off x="0" y="0"/>
                          <a:ext cx="3486785" cy="283845"/>
                        </a:xfrm>
                        <a:prstGeom prst="rect">
                          <a:avLst/>
                        </a:prstGeom>
                      </wps:spPr>
                      <wps:txbx>
                        <w:txbxContent>
                          <w:p>
                            <w:pPr>
                              <w:spacing w:line="223" w:lineRule="exact" w:before="0"/>
                              <w:ind w:left="20" w:right="0" w:firstLine="0"/>
                              <w:jc w:val="left"/>
                              <w:rPr>
                                <w:rFonts w:ascii="Calibri"/>
                                <w:sz w:val="20"/>
                              </w:rPr>
                            </w:pPr>
                            <w:r>
                              <w:rPr>
                                <w:rFonts w:ascii="Calibri"/>
                                <w:spacing w:val="-4"/>
                                <w:sz w:val="20"/>
                              </w:rPr>
                              <w:t>1970</w:t>
                            </w:r>
                          </w:p>
                          <w:p>
                            <w:pPr>
                              <w:spacing w:before="32"/>
                              <w:ind w:left="20" w:right="0" w:firstLine="0"/>
                              <w:jc w:val="left"/>
                              <w:rPr>
                                <w:rFonts w:ascii="Calibri"/>
                                <w:sz w:val="20"/>
                              </w:rPr>
                            </w:pPr>
                            <w:r>
                              <w:rPr>
                                <w:rFonts w:ascii="Calibri"/>
                                <w:spacing w:val="-4"/>
                                <w:sz w:val="20"/>
                              </w:rPr>
                              <w:t>1972</w:t>
                            </w:r>
                          </w:p>
                          <w:p>
                            <w:pPr>
                              <w:spacing w:before="32"/>
                              <w:ind w:left="20" w:right="0" w:firstLine="0"/>
                              <w:jc w:val="left"/>
                              <w:rPr>
                                <w:rFonts w:ascii="Calibri"/>
                                <w:sz w:val="20"/>
                              </w:rPr>
                            </w:pPr>
                            <w:r>
                              <w:rPr>
                                <w:rFonts w:ascii="Calibri"/>
                                <w:spacing w:val="-4"/>
                                <w:sz w:val="20"/>
                              </w:rPr>
                              <w:t>1974</w:t>
                            </w:r>
                          </w:p>
                          <w:p>
                            <w:pPr>
                              <w:spacing w:before="32"/>
                              <w:ind w:left="20" w:right="0" w:firstLine="0"/>
                              <w:jc w:val="left"/>
                              <w:rPr>
                                <w:rFonts w:ascii="Calibri"/>
                                <w:sz w:val="20"/>
                              </w:rPr>
                            </w:pPr>
                            <w:r>
                              <w:rPr>
                                <w:rFonts w:ascii="Calibri"/>
                                <w:spacing w:val="-4"/>
                                <w:sz w:val="20"/>
                              </w:rPr>
                              <w:t>1976</w:t>
                            </w:r>
                          </w:p>
                          <w:p>
                            <w:pPr>
                              <w:spacing w:before="33"/>
                              <w:ind w:left="20" w:right="0" w:firstLine="0"/>
                              <w:jc w:val="left"/>
                              <w:rPr>
                                <w:rFonts w:ascii="Calibri"/>
                                <w:sz w:val="20"/>
                              </w:rPr>
                            </w:pPr>
                            <w:r>
                              <w:rPr>
                                <w:rFonts w:ascii="Calibri"/>
                                <w:spacing w:val="-4"/>
                                <w:sz w:val="20"/>
                              </w:rPr>
                              <w:t>1978</w:t>
                            </w:r>
                          </w:p>
                          <w:p>
                            <w:pPr>
                              <w:spacing w:before="32"/>
                              <w:ind w:left="20" w:right="0" w:firstLine="0"/>
                              <w:jc w:val="left"/>
                              <w:rPr>
                                <w:rFonts w:ascii="Calibri"/>
                                <w:sz w:val="20"/>
                              </w:rPr>
                            </w:pPr>
                            <w:r>
                              <w:rPr>
                                <w:rFonts w:ascii="Calibri"/>
                                <w:spacing w:val="-4"/>
                                <w:sz w:val="20"/>
                              </w:rPr>
                              <w:t>1980</w:t>
                            </w:r>
                          </w:p>
                          <w:p>
                            <w:pPr>
                              <w:spacing w:before="32"/>
                              <w:ind w:left="20" w:right="0" w:firstLine="0"/>
                              <w:jc w:val="left"/>
                              <w:rPr>
                                <w:rFonts w:ascii="Calibri"/>
                                <w:sz w:val="20"/>
                              </w:rPr>
                            </w:pPr>
                            <w:r>
                              <w:rPr>
                                <w:rFonts w:ascii="Calibri"/>
                                <w:spacing w:val="-4"/>
                                <w:sz w:val="20"/>
                              </w:rPr>
                              <w:t>1982</w:t>
                            </w:r>
                          </w:p>
                          <w:p>
                            <w:pPr>
                              <w:spacing w:before="32"/>
                              <w:ind w:left="20" w:right="0" w:firstLine="0"/>
                              <w:jc w:val="left"/>
                              <w:rPr>
                                <w:rFonts w:ascii="Calibri"/>
                                <w:sz w:val="20"/>
                              </w:rPr>
                            </w:pPr>
                            <w:r>
                              <w:rPr>
                                <w:rFonts w:ascii="Calibri"/>
                                <w:spacing w:val="-4"/>
                                <w:sz w:val="20"/>
                              </w:rPr>
                              <w:t>1984</w:t>
                            </w:r>
                          </w:p>
                          <w:p>
                            <w:pPr>
                              <w:spacing w:before="32"/>
                              <w:ind w:left="20" w:right="0" w:firstLine="0"/>
                              <w:jc w:val="left"/>
                              <w:rPr>
                                <w:rFonts w:ascii="Calibri"/>
                                <w:sz w:val="20"/>
                              </w:rPr>
                            </w:pPr>
                            <w:r>
                              <w:rPr>
                                <w:rFonts w:ascii="Calibri"/>
                                <w:spacing w:val="-4"/>
                                <w:sz w:val="20"/>
                              </w:rPr>
                              <w:t>1986</w:t>
                            </w:r>
                          </w:p>
                          <w:p>
                            <w:pPr>
                              <w:spacing w:before="33"/>
                              <w:ind w:left="20" w:right="0" w:firstLine="0"/>
                              <w:jc w:val="left"/>
                              <w:rPr>
                                <w:rFonts w:ascii="Calibri"/>
                                <w:sz w:val="20"/>
                              </w:rPr>
                            </w:pPr>
                            <w:r>
                              <w:rPr>
                                <w:rFonts w:ascii="Calibri"/>
                                <w:spacing w:val="-4"/>
                                <w:sz w:val="20"/>
                              </w:rPr>
                              <w:t>1988</w:t>
                            </w:r>
                          </w:p>
                          <w:p>
                            <w:pPr>
                              <w:spacing w:before="32"/>
                              <w:ind w:left="20" w:right="0" w:firstLine="0"/>
                              <w:jc w:val="left"/>
                              <w:rPr>
                                <w:rFonts w:ascii="Calibri"/>
                                <w:sz w:val="20"/>
                              </w:rPr>
                            </w:pPr>
                            <w:r>
                              <w:rPr>
                                <w:rFonts w:ascii="Calibri"/>
                                <w:spacing w:val="-4"/>
                                <w:sz w:val="20"/>
                              </w:rPr>
                              <w:t>1990</w:t>
                            </w:r>
                          </w:p>
                          <w:p>
                            <w:pPr>
                              <w:spacing w:before="32"/>
                              <w:ind w:left="20" w:right="0" w:firstLine="0"/>
                              <w:jc w:val="left"/>
                              <w:rPr>
                                <w:rFonts w:ascii="Calibri"/>
                                <w:sz w:val="20"/>
                              </w:rPr>
                            </w:pPr>
                            <w:r>
                              <w:rPr>
                                <w:rFonts w:ascii="Calibri"/>
                                <w:spacing w:val="-4"/>
                                <w:sz w:val="20"/>
                              </w:rPr>
                              <w:t>1992</w:t>
                            </w:r>
                          </w:p>
                          <w:p>
                            <w:pPr>
                              <w:spacing w:before="32"/>
                              <w:ind w:left="20" w:right="0" w:firstLine="0"/>
                              <w:jc w:val="left"/>
                              <w:rPr>
                                <w:rFonts w:ascii="Calibri"/>
                                <w:sz w:val="20"/>
                              </w:rPr>
                            </w:pPr>
                            <w:r>
                              <w:rPr>
                                <w:rFonts w:ascii="Calibri"/>
                                <w:spacing w:val="-4"/>
                                <w:sz w:val="20"/>
                              </w:rPr>
                              <w:t>1994</w:t>
                            </w:r>
                          </w:p>
                          <w:p>
                            <w:pPr>
                              <w:spacing w:before="33"/>
                              <w:ind w:left="20" w:right="0" w:firstLine="0"/>
                              <w:jc w:val="left"/>
                              <w:rPr>
                                <w:rFonts w:ascii="Calibri"/>
                                <w:sz w:val="20"/>
                              </w:rPr>
                            </w:pPr>
                            <w:r>
                              <w:rPr>
                                <w:rFonts w:ascii="Calibri"/>
                                <w:spacing w:val="-4"/>
                                <w:sz w:val="20"/>
                              </w:rPr>
                              <w:t>1996</w:t>
                            </w:r>
                          </w:p>
                          <w:p>
                            <w:pPr>
                              <w:spacing w:before="32"/>
                              <w:ind w:left="20" w:right="0" w:firstLine="0"/>
                              <w:jc w:val="left"/>
                              <w:rPr>
                                <w:rFonts w:ascii="Calibri"/>
                                <w:sz w:val="20"/>
                              </w:rPr>
                            </w:pPr>
                            <w:r>
                              <w:rPr>
                                <w:rFonts w:ascii="Calibri"/>
                                <w:spacing w:val="-4"/>
                                <w:sz w:val="20"/>
                              </w:rPr>
                              <w:t>1998</w:t>
                            </w:r>
                          </w:p>
                          <w:p>
                            <w:pPr>
                              <w:spacing w:before="32"/>
                              <w:ind w:left="20" w:right="0" w:firstLine="0"/>
                              <w:jc w:val="left"/>
                              <w:rPr>
                                <w:rFonts w:ascii="Calibri"/>
                                <w:sz w:val="20"/>
                              </w:rPr>
                            </w:pPr>
                            <w:r>
                              <w:rPr>
                                <w:rFonts w:ascii="Calibri"/>
                                <w:spacing w:val="-4"/>
                                <w:sz w:val="20"/>
                              </w:rPr>
                              <w:t>2000</w:t>
                            </w:r>
                          </w:p>
                          <w:p>
                            <w:pPr>
                              <w:spacing w:before="32"/>
                              <w:ind w:left="20" w:right="0" w:firstLine="0"/>
                              <w:jc w:val="left"/>
                              <w:rPr>
                                <w:rFonts w:ascii="Calibri"/>
                                <w:sz w:val="20"/>
                              </w:rPr>
                            </w:pPr>
                            <w:r>
                              <w:rPr>
                                <w:rFonts w:ascii="Calibri"/>
                                <w:spacing w:val="-4"/>
                                <w:sz w:val="20"/>
                              </w:rPr>
                              <w:t>2002</w:t>
                            </w:r>
                          </w:p>
                          <w:p>
                            <w:pPr>
                              <w:spacing w:before="33"/>
                              <w:ind w:left="20" w:right="0" w:firstLine="0"/>
                              <w:jc w:val="left"/>
                              <w:rPr>
                                <w:rFonts w:ascii="Calibri"/>
                                <w:sz w:val="20"/>
                              </w:rPr>
                            </w:pPr>
                            <w:r>
                              <w:rPr>
                                <w:rFonts w:ascii="Calibri"/>
                                <w:spacing w:val="-4"/>
                                <w:sz w:val="20"/>
                              </w:rPr>
                              <w:t>2004</w:t>
                            </w:r>
                          </w:p>
                          <w:p>
                            <w:pPr>
                              <w:spacing w:before="32"/>
                              <w:ind w:left="20" w:right="0" w:firstLine="0"/>
                              <w:jc w:val="left"/>
                              <w:rPr>
                                <w:rFonts w:ascii="Calibri"/>
                                <w:sz w:val="20"/>
                              </w:rPr>
                            </w:pPr>
                            <w:r>
                              <w:rPr>
                                <w:rFonts w:ascii="Calibri"/>
                                <w:spacing w:val="-4"/>
                                <w:sz w:val="20"/>
                              </w:rPr>
                              <w:t>2006</w:t>
                            </w:r>
                          </w:p>
                          <w:p>
                            <w:pPr>
                              <w:spacing w:before="32"/>
                              <w:ind w:left="20" w:right="0" w:firstLine="0"/>
                              <w:jc w:val="left"/>
                              <w:rPr>
                                <w:rFonts w:ascii="Calibri"/>
                                <w:sz w:val="20"/>
                              </w:rPr>
                            </w:pPr>
                            <w:r>
                              <w:rPr>
                                <w:rFonts w:ascii="Calibri"/>
                                <w:spacing w:val="-4"/>
                                <w:sz w:val="20"/>
                              </w:rPr>
                              <w:t>2008</w:t>
                            </w:r>
                          </w:p>
                        </w:txbxContent>
                      </wps:txbx>
                      <wps:bodyPr wrap="square" lIns="0" tIns="0" rIns="0" bIns="0" rtlCol="0" vert="vert270">
                        <a:noAutofit/>
                      </wps:bodyPr>
                    </wps:wsp>
                  </a:graphicData>
                </a:graphic>
              </wp:anchor>
            </w:drawing>
          </mc:Choice>
          <mc:Fallback>
            <w:pict>
              <v:shape style="position:absolute;margin-left:98.07pt;margin-top:689.702515pt;width:274.55pt;height:22.35pt;mso-position-horizontal-relative:page;mso-position-vertical-relative:page;z-index:15752192" type="#_x0000_t202" id="docshape98" filled="false" stroked="false">
                <v:textbox inset="0,0,0,0" style="layout-flow:vertical;mso-layout-flow-alt:bottom-to-top">
                  <w:txbxContent>
                    <w:p>
                      <w:pPr>
                        <w:spacing w:line="223" w:lineRule="exact" w:before="0"/>
                        <w:ind w:left="20" w:right="0" w:firstLine="0"/>
                        <w:jc w:val="left"/>
                        <w:rPr>
                          <w:rFonts w:ascii="Calibri"/>
                          <w:sz w:val="20"/>
                        </w:rPr>
                      </w:pPr>
                      <w:r>
                        <w:rPr>
                          <w:rFonts w:ascii="Calibri"/>
                          <w:spacing w:val="-4"/>
                          <w:sz w:val="20"/>
                        </w:rPr>
                        <w:t>1970</w:t>
                      </w:r>
                    </w:p>
                    <w:p>
                      <w:pPr>
                        <w:spacing w:before="32"/>
                        <w:ind w:left="20" w:right="0" w:firstLine="0"/>
                        <w:jc w:val="left"/>
                        <w:rPr>
                          <w:rFonts w:ascii="Calibri"/>
                          <w:sz w:val="20"/>
                        </w:rPr>
                      </w:pPr>
                      <w:r>
                        <w:rPr>
                          <w:rFonts w:ascii="Calibri"/>
                          <w:spacing w:val="-4"/>
                          <w:sz w:val="20"/>
                        </w:rPr>
                        <w:t>1972</w:t>
                      </w:r>
                    </w:p>
                    <w:p>
                      <w:pPr>
                        <w:spacing w:before="32"/>
                        <w:ind w:left="20" w:right="0" w:firstLine="0"/>
                        <w:jc w:val="left"/>
                        <w:rPr>
                          <w:rFonts w:ascii="Calibri"/>
                          <w:sz w:val="20"/>
                        </w:rPr>
                      </w:pPr>
                      <w:r>
                        <w:rPr>
                          <w:rFonts w:ascii="Calibri"/>
                          <w:spacing w:val="-4"/>
                          <w:sz w:val="20"/>
                        </w:rPr>
                        <w:t>1974</w:t>
                      </w:r>
                    </w:p>
                    <w:p>
                      <w:pPr>
                        <w:spacing w:before="32"/>
                        <w:ind w:left="20" w:right="0" w:firstLine="0"/>
                        <w:jc w:val="left"/>
                        <w:rPr>
                          <w:rFonts w:ascii="Calibri"/>
                          <w:sz w:val="20"/>
                        </w:rPr>
                      </w:pPr>
                      <w:r>
                        <w:rPr>
                          <w:rFonts w:ascii="Calibri"/>
                          <w:spacing w:val="-4"/>
                          <w:sz w:val="20"/>
                        </w:rPr>
                        <w:t>1976</w:t>
                      </w:r>
                    </w:p>
                    <w:p>
                      <w:pPr>
                        <w:spacing w:before="33"/>
                        <w:ind w:left="20" w:right="0" w:firstLine="0"/>
                        <w:jc w:val="left"/>
                        <w:rPr>
                          <w:rFonts w:ascii="Calibri"/>
                          <w:sz w:val="20"/>
                        </w:rPr>
                      </w:pPr>
                      <w:r>
                        <w:rPr>
                          <w:rFonts w:ascii="Calibri"/>
                          <w:spacing w:val="-4"/>
                          <w:sz w:val="20"/>
                        </w:rPr>
                        <w:t>1978</w:t>
                      </w:r>
                    </w:p>
                    <w:p>
                      <w:pPr>
                        <w:spacing w:before="32"/>
                        <w:ind w:left="20" w:right="0" w:firstLine="0"/>
                        <w:jc w:val="left"/>
                        <w:rPr>
                          <w:rFonts w:ascii="Calibri"/>
                          <w:sz w:val="20"/>
                        </w:rPr>
                      </w:pPr>
                      <w:r>
                        <w:rPr>
                          <w:rFonts w:ascii="Calibri"/>
                          <w:spacing w:val="-4"/>
                          <w:sz w:val="20"/>
                        </w:rPr>
                        <w:t>1980</w:t>
                      </w:r>
                    </w:p>
                    <w:p>
                      <w:pPr>
                        <w:spacing w:before="32"/>
                        <w:ind w:left="20" w:right="0" w:firstLine="0"/>
                        <w:jc w:val="left"/>
                        <w:rPr>
                          <w:rFonts w:ascii="Calibri"/>
                          <w:sz w:val="20"/>
                        </w:rPr>
                      </w:pPr>
                      <w:r>
                        <w:rPr>
                          <w:rFonts w:ascii="Calibri"/>
                          <w:spacing w:val="-4"/>
                          <w:sz w:val="20"/>
                        </w:rPr>
                        <w:t>1982</w:t>
                      </w:r>
                    </w:p>
                    <w:p>
                      <w:pPr>
                        <w:spacing w:before="32"/>
                        <w:ind w:left="20" w:right="0" w:firstLine="0"/>
                        <w:jc w:val="left"/>
                        <w:rPr>
                          <w:rFonts w:ascii="Calibri"/>
                          <w:sz w:val="20"/>
                        </w:rPr>
                      </w:pPr>
                      <w:r>
                        <w:rPr>
                          <w:rFonts w:ascii="Calibri"/>
                          <w:spacing w:val="-4"/>
                          <w:sz w:val="20"/>
                        </w:rPr>
                        <w:t>1984</w:t>
                      </w:r>
                    </w:p>
                    <w:p>
                      <w:pPr>
                        <w:spacing w:before="32"/>
                        <w:ind w:left="20" w:right="0" w:firstLine="0"/>
                        <w:jc w:val="left"/>
                        <w:rPr>
                          <w:rFonts w:ascii="Calibri"/>
                          <w:sz w:val="20"/>
                        </w:rPr>
                      </w:pPr>
                      <w:r>
                        <w:rPr>
                          <w:rFonts w:ascii="Calibri"/>
                          <w:spacing w:val="-4"/>
                          <w:sz w:val="20"/>
                        </w:rPr>
                        <w:t>1986</w:t>
                      </w:r>
                    </w:p>
                    <w:p>
                      <w:pPr>
                        <w:spacing w:before="33"/>
                        <w:ind w:left="20" w:right="0" w:firstLine="0"/>
                        <w:jc w:val="left"/>
                        <w:rPr>
                          <w:rFonts w:ascii="Calibri"/>
                          <w:sz w:val="20"/>
                        </w:rPr>
                      </w:pPr>
                      <w:r>
                        <w:rPr>
                          <w:rFonts w:ascii="Calibri"/>
                          <w:spacing w:val="-4"/>
                          <w:sz w:val="20"/>
                        </w:rPr>
                        <w:t>1988</w:t>
                      </w:r>
                    </w:p>
                    <w:p>
                      <w:pPr>
                        <w:spacing w:before="32"/>
                        <w:ind w:left="20" w:right="0" w:firstLine="0"/>
                        <w:jc w:val="left"/>
                        <w:rPr>
                          <w:rFonts w:ascii="Calibri"/>
                          <w:sz w:val="20"/>
                        </w:rPr>
                      </w:pPr>
                      <w:r>
                        <w:rPr>
                          <w:rFonts w:ascii="Calibri"/>
                          <w:spacing w:val="-4"/>
                          <w:sz w:val="20"/>
                        </w:rPr>
                        <w:t>1990</w:t>
                      </w:r>
                    </w:p>
                    <w:p>
                      <w:pPr>
                        <w:spacing w:before="32"/>
                        <w:ind w:left="20" w:right="0" w:firstLine="0"/>
                        <w:jc w:val="left"/>
                        <w:rPr>
                          <w:rFonts w:ascii="Calibri"/>
                          <w:sz w:val="20"/>
                        </w:rPr>
                      </w:pPr>
                      <w:r>
                        <w:rPr>
                          <w:rFonts w:ascii="Calibri"/>
                          <w:spacing w:val="-4"/>
                          <w:sz w:val="20"/>
                        </w:rPr>
                        <w:t>1992</w:t>
                      </w:r>
                    </w:p>
                    <w:p>
                      <w:pPr>
                        <w:spacing w:before="32"/>
                        <w:ind w:left="20" w:right="0" w:firstLine="0"/>
                        <w:jc w:val="left"/>
                        <w:rPr>
                          <w:rFonts w:ascii="Calibri"/>
                          <w:sz w:val="20"/>
                        </w:rPr>
                      </w:pPr>
                      <w:r>
                        <w:rPr>
                          <w:rFonts w:ascii="Calibri"/>
                          <w:spacing w:val="-4"/>
                          <w:sz w:val="20"/>
                        </w:rPr>
                        <w:t>1994</w:t>
                      </w:r>
                    </w:p>
                    <w:p>
                      <w:pPr>
                        <w:spacing w:before="33"/>
                        <w:ind w:left="20" w:right="0" w:firstLine="0"/>
                        <w:jc w:val="left"/>
                        <w:rPr>
                          <w:rFonts w:ascii="Calibri"/>
                          <w:sz w:val="20"/>
                        </w:rPr>
                      </w:pPr>
                      <w:r>
                        <w:rPr>
                          <w:rFonts w:ascii="Calibri"/>
                          <w:spacing w:val="-4"/>
                          <w:sz w:val="20"/>
                        </w:rPr>
                        <w:t>1996</w:t>
                      </w:r>
                    </w:p>
                    <w:p>
                      <w:pPr>
                        <w:spacing w:before="32"/>
                        <w:ind w:left="20" w:right="0" w:firstLine="0"/>
                        <w:jc w:val="left"/>
                        <w:rPr>
                          <w:rFonts w:ascii="Calibri"/>
                          <w:sz w:val="20"/>
                        </w:rPr>
                      </w:pPr>
                      <w:r>
                        <w:rPr>
                          <w:rFonts w:ascii="Calibri"/>
                          <w:spacing w:val="-4"/>
                          <w:sz w:val="20"/>
                        </w:rPr>
                        <w:t>1998</w:t>
                      </w:r>
                    </w:p>
                    <w:p>
                      <w:pPr>
                        <w:spacing w:before="32"/>
                        <w:ind w:left="20" w:right="0" w:firstLine="0"/>
                        <w:jc w:val="left"/>
                        <w:rPr>
                          <w:rFonts w:ascii="Calibri"/>
                          <w:sz w:val="20"/>
                        </w:rPr>
                      </w:pPr>
                      <w:r>
                        <w:rPr>
                          <w:rFonts w:ascii="Calibri"/>
                          <w:spacing w:val="-4"/>
                          <w:sz w:val="20"/>
                        </w:rPr>
                        <w:t>2000</w:t>
                      </w:r>
                    </w:p>
                    <w:p>
                      <w:pPr>
                        <w:spacing w:before="32"/>
                        <w:ind w:left="20" w:right="0" w:firstLine="0"/>
                        <w:jc w:val="left"/>
                        <w:rPr>
                          <w:rFonts w:ascii="Calibri"/>
                          <w:sz w:val="20"/>
                        </w:rPr>
                      </w:pPr>
                      <w:r>
                        <w:rPr>
                          <w:rFonts w:ascii="Calibri"/>
                          <w:spacing w:val="-4"/>
                          <w:sz w:val="20"/>
                        </w:rPr>
                        <w:t>2002</w:t>
                      </w:r>
                    </w:p>
                    <w:p>
                      <w:pPr>
                        <w:spacing w:before="33"/>
                        <w:ind w:left="20" w:right="0" w:firstLine="0"/>
                        <w:jc w:val="left"/>
                        <w:rPr>
                          <w:rFonts w:ascii="Calibri"/>
                          <w:sz w:val="20"/>
                        </w:rPr>
                      </w:pPr>
                      <w:r>
                        <w:rPr>
                          <w:rFonts w:ascii="Calibri"/>
                          <w:spacing w:val="-4"/>
                          <w:sz w:val="20"/>
                        </w:rPr>
                        <w:t>2004</w:t>
                      </w:r>
                    </w:p>
                    <w:p>
                      <w:pPr>
                        <w:spacing w:before="32"/>
                        <w:ind w:left="20" w:right="0" w:firstLine="0"/>
                        <w:jc w:val="left"/>
                        <w:rPr>
                          <w:rFonts w:ascii="Calibri"/>
                          <w:sz w:val="20"/>
                        </w:rPr>
                      </w:pPr>
                      <w:r>
                        <w:rPr>
                          <w:rFonts w:ascii="Calibri"/>
                          <w:spacing w:val="-4"/>
                          <w:sz w:val="20"/>
                        </w:rPr>
                        <w:t>2006</w:t>
                      </w:r>
                    </w:p>
                    <w:p>
                      <w:pPr>
                        <w:spacing w:before="32"/>
                        <w:ind w:left="20" w:right="0" w:firstLine="0"/>
                        <w:jc w:val="left"/>
                        <w:rPr>
                          <w:rFonts w:ascii="Calibri"/>
                          <w:sz w:val="20"/>
                        </w:rPr>
                      </w:pPr>
                      <w:r>
                        <w:rPr>
                          <w:rFonts w:ascii="Calibri"/>
                          <w:spacing w:val="-4"/>
                          <w:sz w:val="20"/>
                        </w:rPr>
                        <w:t>2008</w:t>
                      </w:r>
                    </w:p>
                  </w:txbxContent>
                </v:textbox>
                <w10:wrap type="none"/>
              </v:shape>
            </w:pict>
          </mc:Fallback>
        </mc:AlternateContent>
      </w:r>
    </w:p>
    <w:p>
      <w:pPr>
        <w:spacing w:before="0"/>
        <w:ind w:left="2991" w:right="0" w:firstLine="0"/>
        <w:jc w:val="left"/>
        <w:rPr>
          <w:b/>
          <w:sz w:val="24"/>
        </w:rPr>
      </w:pPr>
      <w:r>
        <w:rPr>
          <w:b/>
          <w:sz w:val="24"/>
        </w:rPr>
        <w:t>GDP</w:t>
      </w:r>
      <w:r>
        <w:rPr>
          <w:b/>
          <w:spacing w:val="-3"/>
          <w:sz w:val="24"/>
        </w:rPr>
        <w:t> </w:t>
      </w:r>
      <w:r>
        <w:rPr>
          <w:b/>
          <w:sz w:val="24"/>
        </w:rPr>
        <w:t>AND </w:t>
      </w:r>
      <w:r>
        <w:rPr>
          <w:b/>
          <w:spacing w:val="-2"/>
          <w:sz w:val="24"/>
        </w:rPr>
        <w:t>δNEXTAS</w:t>
      </w:r>
    </w:p>
    <w:p>
      <w:pPr>
        <w:pStyle w:val="BodyText"/>
        <w:spacing w:before="1"/>
        <w:rPr>
          <w:b/>
          <w:sz w:val="9"/>
        </w:rPr>
      </w:pPr>
      <w:r>
        <w:rPr/>
        <mc:AlternateContent>
          <mc:Choice Requires="wps">
            <w:drawing>
              <wp:anchor distT="0" distB="0" distL="0" distR="0" allowOverlap="1" layoutInCell="1" locked="0" behindDoc="1" simplePos="0" relativeHeight="487609344">
                <wp:simplePos x="0" y="0"/>
                <wp:positionH relativeFrom="page">
                  <wp:posOffset>2660619</wp:posOffset>
                </wp:positionH>
                <wp:positionV relativeFrom="paragraph">
                  <wp:posOffset>84297</wp:posOffset>
                </wp:positionV>
                <wp:extent cx="1847850" cy="97155"/>
                <wp:effectExtent l="0" t="0" r="0" b="0"/>
                <wp:wrapTopAndBottom/>
                <wp:docPr id="113" name="Graphic 113"/>
                <wp:cNvGraphicFramePr>
                  <a:graphicFrameLocks/>
                </wp:cNvGraphicFramePr>
                <a:graphic>
                  <a:graphicData uri="http://schemas.microsoft.com/office/word/2010/wordprocessingShape">
                    <wps:wsp>
                      <wps:cNvPr id="113" name="Graphic 113"/>
                      <wps:cNvSpPr/>
                      <wps:spPr>
                        <a:xfrm>
                          <a:off x="0" y="0"/>
                          <a:ext cx="1847850" cy="97155"/>
                        </a:xfrm>
                        <a:custGeom>
                          <a:avLst/>
                          <a:gdLst/>
                          <a:ahLst/>
                          <a:cxnLst/>
                          <a:rect l="l" t="t" r="r" b="b"/>
                          <a:pathLst>
                            <a:path w="1847850" h="97155">
                              <a:moveTo>
                                <a:pt x="0" y="0"/>
                              </a:moveTo>
                              <a:lnTo>
                                <a:pt x="1847657" y="0"/>
                              </a:lnTo>
                              <a:lnTo>
                                <a:pt x="1847657" y="96532"/>
                              </a:lnTo>
                              <a:lnTo>
                                <a:pt x="0" y="96532"/>
                              </a:lnTo>
                              <a:lnTo>
                                <a:pt x="0" y="0"/>
                              </a:lnTo>
                              <a:close/>
                            </a:path>
                            <a:path w="1847850" h="97155">
                              <a:moveTo>
                                <a:pt x="66198" y="46198"/>
                              </a:moveTo>
                              <a:lnTo>
                                <a:pt x="336388" y="46198"/>
                              </a:lnTo>
                            </a:path>
                            <a:path w="1847850" h="97155">
                              <a:moveTo>
                                <a:pt x="849397" y="46198"/>
                              </a:moveTo>
                              <a:lnTo>
                                <a:pt x="893565" y="46198"/>
                              </a:lnTo>
                            </a:path>
                            <a:path w="1847850" h="97155">
                              <a:moveTo>
                                <a:pt x="921102" y="46198"/>
                              </a:moveTo>
                              <a:lnTo>
                                <a:pt x="965216" y="46198"/>
                              </a:lnTo>
                            </a:path>
                            <a:path w="1847850" h="97155">
                              <a:moveTo>
                                <a:pt x="992753" y="46198"/>
                              </a:moveTo>
                              <a:lnTo>
                                <a:pt x="1036922" y="46198"/>
                              </a:lnTo>
                            </a:path>
                            <a:path w="1847850" h="97155">
                              <a:moveTo>
                                <a:pt x="1064458" y="46198"/>
                              </a:moveTo>
                              <a:lnTo>
                                <a:pt x="1108682" y="46198"/>
                              </a:lnTo>
                            </a:path>
                          </a:pathLst>
                        </a:custGeom>
                        <a:ln w="760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09.497635pt;margin-top:6.637621pt;width:145.5pt;height:7.65pt;mso-position-horizontal-relative:page;mso-position-vertical-relative:paragraph;z-index:-15707136;mso-wrap-distance-left:0;mso-wrap-distance-right:0" id="docshape99" coordorigin="4190,133" coordsize="2910,153" path="m4190,133l7100,133,7100,285,4190,285,4190,133xm4294,206l4720,206m5528,206l5597,206m5641,206l5710,206m5753,206l5823,206m5866,206l5936,206e" filled="false" stroked="true" strokeweight=".598706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09856">
                <wp:simplePos x="0" y="0"/>
                <wp:positionH relativeFrom="page">
                  <wp:posOffset>1678876</wp:posOffset>
                </wp:positionH>
                <wp:positionV relativeFrom="paragraph">
                  <wp:posOffset>308835</wp:posOffset>
                </wp:positionV>
                <wp:extent cx="3764915" cy="1083945"/>
                <wp:effectExtent l="0" t="0" r="0" b="0"/>
                <wp:wrapTopAndBottom/>
                <wp:docPr id="114" name="Group 114"/>
                <wp:cNvGraphicFramePr>
                  <a:graphicFrameLocks/>
                </wp:cNvGraphicFramePr>
                <a:graphic>
                  <a:graphicData uri="http://schemas.microsoft.com/office/word/2010/wordprocessingGroup">
                    <wpg:wgp>
                      <wpg:cNvPr id="114" name="Group 114"/>
                      <wpg:cNvGrpSpPr/>
                      <wpg:grpSpPr>
                        <a:xfrm>
                          <a:off x="0" y="0"/>
                          <a:ext cx="3764915" cy="1083945"/>
                          <a:chExt cx="3764915" cy="1083945"/>
                        </a:xfrm>
                      </wpg:grpSpPr>
                      <wps:wsp>
                        <wps:cNvPr id="115" name="Graphic 115"/>
                        <wps:cNvSpPr/>
                        <wps:spPr>
                          <a:xfrm>
                            <a:off x="0" y="0"/>
                            <a:ext cx="3756025" cy="1078865"/>
                          </a:xfrm>
                          <a:custGeom>
                            <a:avLst/>
                            <a:gdLst/>
                            <a:ahLst/>
                            <a:cxnLst/>
                            <a:rect l="l" t="t" r="r" b="b"/>
                            <a:pathLst>
                              <a:path w="3756025" h="1078865">
                                <a:moveTo>
                                  <a:pt x="0" y="25157"/>
                                </a:moveTo>
                                <a:lnTo>
                                  <a:pt x="55222" y="25157"/>
                                </a:lnTo>
                              </a:path>
                              <a:path w="3756025" h="1078865">
                                <a:moveTo>
                                  <a:pt x="0" y="157354"/>
                                </a:moveTo>
                                <a:lnTo>
                                  <a:pt x="55222" y="157354"/>
                                </a:lnTo>
                              </a:path>
                              <a:path w="3756025" h="1078865">
                                <a:moveTo>
                                  <a:pt x="0" y="289551"/>
                                </a:moveTo>
                                <a:lnTo>
                                  <a:pt x="55222" y="289551"/>
                                </a:lnTo>
                              </a:path>
                              <a:path w="3756025" h="1078865">
                                <a:moveTo>
                                  <a:pt x="0" y="421706"/>
                                </a:moveTo>
                                <a:lnTo>
                                  <a:pt x="55222" y="421706"/>
                                </a:lnTo>
                              </a:path>
                              <a:path w="3756025" h="1078865">
                                <a:moveTo>
                                  <a:pt x="0" y="551830"/>
                                </a:moveTo>
                                <a:lnTo>
                                  <a:pt x="55222" y="551830"/>
                                </a:lnTo>
                              </a:path>
                              <a:path w="3756025" h="1078865">
                                <a:moveTo>
                                  <a:pt x="0" y="683964"/>
                                </a:moveTo>
                                <a:lnTo>
                                  <a:pt x="55222" y="683964"/>
                                </a:lnTo>
                              </a:path>
                              <a:path w="3756025" h="1078865">
                                <a:moveTo>
                                  <a:pt x="0" y="816182"/>
                                </a:moveTo>
                                <a:lnTo>
                                  <a:pt x="55222" y="816182"/>
                                </a:lnTo>
                              </a:path>
                              <a:path w="3756025" h="1078865">
                                <a:moveTo>
                                  <a:pt x="0" y="948379"/>
                                </a:moveTo>
                                <a:lnTo>
                                  <a:pt x="55222" y="948379"/>
                                </a:lnTo>
                              </a:path>
                              <a:path w="3756025" h="1078865">
                                <a:moveTo>
                                  <a:pt x="0" y="1078439"/>
                                </a:moveTo>
                                <a:lnTo>
                                  <a:pt x="55222" y="1078440"/>
                                </a:lnTo>
                              </a:path>
                              <a:path w="3756025" h="1078865">
                                <a:moveTo>
                                  <a:pt x="60729" y="23062"/>
                                </a:moveTo>
                                <a:lnTo>
                                  <a:pt x="60729" y="10494"/>
                                </a:lnTo>
                              </a:path>
                              <a:path w="3756025" h="1078865">
                                <a:moveTo>
                                  <a:pt x="148979" y="23062"/>
                                </a:moveTo>
                                <a:lnTo>
                                  <a:pt x="148979" y="10494"/>
                                </a:lnTo>
                              </a:path>
                              <a:path w="3756025" h="1078865">
                                <a:moveTo>
                                  <a:pt x="237151" y="23062"/>
                                </a:moveTo>
                                <a:lnTo>
                                  <a:pt x="237151" y="10494"/>
                                </a:lnTo>
                              </a:path>
                              <a:path w="3756025" h="1078865">
                                <a:moveTo>
                                  <a:pt x="330941" y="23062"/>
                                </a:moveTo>
                                <a:lnTo>
                                  <a:pt x="330941" y="10494"/>
                                </a:lnTo>
                              </a:path>
                              <a:path w="3756025" h="1078865">
                                <a:moveTo>
                                  <a:pt x="419169" y="23062"/>
                                </a:moveTo>
                                <a:lnTo>
                                  <a:pt x="419169" y="10494"/>
                                </a:lnTo>
                              </a:path>
                              <a:path w="3756025" h="1078865">
                                <a:moveTo>
                                  <a:pt x="507451" y="23062"/>
                                </a:moveTo>
                                <a:lnTo>
                                  <a:pt x="507451" y="10494"/>
                                </a:lnTo>
                              </a:path>
                              <a:path w="3756025" h="1078865">
                                <a:moveTo>
                                  <a:pt x="601241" y="23062"/>
                                </a:moveTo>
                                <a:lnTo>
                                  <a:pt x="601241" y="10494"/>
                                </a:lnTo>
                              </a:path>
                              <a:path w="3756025" h="1078865">
                                <a:moveTo>
                                  <a:pt x="689524" y="23062"/>
                                </a:moveTo>
                                <a:lnTo>
                                  <a:pt x="689524" y="10494"/>
                                </a:lnTo>
                              </a:path>
                              <a:path w="3756025" h="1078865">
                                <a:moveTo>
                                  <a:pt x="777642" y="23062"/>
                                </a:moveTo>
                                <a:lnTo>
                                  <a:pt x="777642" y="10494"/>
                                </a:lnTo>
                              </a:path>
                              <a:path w="3756025" h="1078865">
                                <a:moveTo>
                                  <a:pt x="871432" y="23062"/>
                                </a:moveTo>
                                <a:lnTo>
                                  <a:pt x="871432" y="10494"/>
                                </a:lnTo>
                              </a:path>
                              <a:path w="3756025" h="1078865">
                                <a:moveTo>
                                  <a:pt x="959714" y="23062"/>
                                </a:moveTo>
                                <a:lnTo>
                                  <a:pt x="959714" y="10494"/>
                                </a:lnTo>
                              </a:path>
                              <a:path w="3756025" h="1078865">
                                <a:moveTo>
                                  <a:pt x="1053504" y="23062"/>
                                </a:moveTo>
                                <a:lnTo>
                                  <a:pt x="1053504" y="10494"/>
                                </a:lnTo>
                              </a:path>
                              <a:path w="3756025" h="1078865">
                                <a:moveTo>
                                  <a:pt x="1141732" y="23062"/>
                                </a:moveTo>
                                <a:lnTo>
                                  <a:pt x="1141732" y="10494"/>
                                </a:lnTo>
                              </a:path>
                              <a:path w="3756025" h="1078865">
                                <a:moveTo>
                                  <a:pt x="1230014" y="23062"/>
                                </a:moveTo>
                                <a:lnTo>
                                  <a:pt x="1230014" y="10494"/>
                                </a:lnTo>
                              </a:path>
                              <a:path w="3756025" h="1078865">
                                <a:moveTo>
                                  <a:pt x="1323639" y="23062"/>
                                </a:moveTo>
                                <a:lnTo>
                                  <a:pt x="1323639" y="10494"/>
                                </a:lnTo>
                              </a:path>
                              <a:path w="3756025" h="1078865">
                                <a:moveTo>
                                  <a:pt x="1411922" y="23062"/>
                                </a:moveTo>
                                <a:lnTo>
                                  <a:pt x="1411922" y="10494"/>
                                </a:lnTo>
                              </a:path>
                              <a:path w="3756025" h="1078865">
                                <a:moveTo>
                                  <a:pt x="1500205" y="23062"/>
                                </a:moveTo>
                                <a:lnTo>
                                  <a:pt x="1500205" y="10494"/>
                                </a:lnTo>
                              </a:path>
                              <a:path w="3756025" h="1078865">
                                <a:moveTo>
                                  <a:pt x="1593995" y="23062"/>
                                </a:moveTo>
                                <a:lnTo>
                                  <a:pt x="1593995" y="10494"/>
                                </a:lnTo>
                              </a:path>
                              <a:path w="3756025" h="1078865">
                                <a:moveTo>
                                  <a:pt x="1682277" y="23062"/>
                                </a:moveTo>
                                <a:lnTo>
                                  <a:pt x="1682277" y="10494"/>
                                </a:lnTo>
                              </a:path>
                              <a:path w="3756025" h="1078865">
                                <a:moveTo>
                                  <a:pt x="1770505" y="23063"/>
                                </a:moveTo>
                                <a:lnTo>
                                  <a:pt x="1770505" y="10494"/>
                                </a:lnTo>
                              </a:path>
                              <a:path w="3756025" h="1078865">
                                <a:moveTo>
                                  <a:pt x="1864185" y="23063"/>
                                </a:moveTo>
                                <a:lnTo>
                                  <a:pt x="1864185" y="10494"/>
                                </a:lnTo>
                              </a:path>
                              <a:path w="3756025" h="1078865">
                                <a:moveTo>
                                  <a:pt x="1952467" y="23063"/>
                                </a:moveTo>
                                <a:lnTo>
                                  <a:pt x="1952467" y="10494"/>
                                </a:lnTo>
                              </a:path>
                              <a:path w="3756025" h="1078865">
                                <a:moveTo>
                                  <a:pt x="2046202" y="23063"/>
                                </a:moveTo>
                                <a:lnTo>
                                  <a:pt x="2046202" y="10494"/>
                                </a:lnTo>
                              </a:path>
                              <a:path w="3756025" h="1078865">
                                <a:moveTo>
                                  <a:pt x="2134485" y="23063"/>
                                </a:moveTo>
                                <a:lnTo>
                                  <a:pt x="2134485" y="10494"/>
                                </a:lnTo>
                              </a:path>
                              <a:path w="3756025" h="1078865">
                                <a:moveTo>
                                  <a:pt x="2222768" y="23063"/>
                                </a:moveTo>
                                <a:lnTo>
                                  <a:pt x="2222768" y="10494"/>
                                </a:lnTo>
                              </a:path>
                              <a:path w="3756025" h="1078865">
                                <a:moveTo>
                                  <a:pt x="2316558" y="23063"/>
                                </a:moveTo>
                                <a:lnTo>
                                  <a:pt x="2316558" y="10494"/>
                                </a:lnTo>
                              </a:path>
                              <a:path w="3756025" h="1078865">
                                <a:moveTo>
                                  <a:pt x="2404675" y="23063"/>
                                </a:moveTo>
                                <a:lnTo>
                                  <a:pt x="2404675" y="10494"/>
                                </a:lnTo>
                              </a:path>
                              <a:path w="3756025" h="1078865">
                                <a:moveTo>
                                  <a:pt x="2492958" y="23063"/>
                                </a:moveTo>
                                <a:lnTo>
                                  <a:pt x="2492958" y="10494"/>
                                </a:lnTo>
                              </a:path>
                              <a:path w="3756025" h="1078865">
                                <a:moveTo>
                                  <a:pt x="2586748" y="23063"/>
                                </a:moveTo>
                                <a:lnTo>
                                  <a:pt x="2586748" y="10494"/>
                                </a:lnTo>
                              </a:path>
                              <a:path w="3756025" h="1078865">
                                <a:moveTo>
                                  <a:pt x="2675030" y="23063"/>
                                </a:moveTo>
                                <a:lnTo>
                                  <a:pt x="2675030" y="10494"/>
                                </a:lnTo>
                              </a:path>
                              <a:path w="3756025" h="1078865">
                                <a:moveTo>
                                  <a:pt x="2763258" y="23063"/>
                                </a:moveTo>
                                <a:lnTo>
                                  <a:pt x="2763258" y="10494"/>
                                </a:lnTo>
                              </a:path>
                              <a:path w="3756025" h="1078865">
                                <a:moveTo>
                                  <a:pt x="2857048" y="23063"/>
                                </a:moveTo>
                                <a:lnTo>
                                  <a:pt x="2857048" y="10494"/>
                                </a:lnTo>
                              </a:path>
                              <a:path w="3756025" h="1078865">
                                <a:moveTo>
                                  <a:pt x="2945166" y="23063"/>
                                </a:moveTo>
                                <a:lnTo>
                                  <a:pt x="2945166" y="10494"/>
                                </a:lnTo>
                              </a:path>
                              <a:path w="3756025" h="1078865">
                                <a:moveTo>
                                  <a:pt x="3038956" y="23063"/>
                                </a:moveTo>
                                <a:lnTo>
                                  <a:pt x="3038956" y="10494"/>
                                </a:lnTo>
                              </a:path>
                              <a:path w="3756025" h="1078865">
                                <a:moveTo>
                                  <a:pt x="3127238" y="23063"/>
                                </a:moveTo>
                                <a:lnTo>
                                  <a:pt x="3127238" y="10494"/>
                                </a:lnTo>
                              </a:path>
                              <a:path w="3756025" h="1078865">
                                <a:moveTo>
                                  <a:pt x="3215521" y="23063"/>
                                </a:moveTo>
                                <a:lnTo>
                                  <a:pt x="3215521" y="10494"/>
                                </a:lnTo>
                              </a:path>
                              <a:path w="3756025" h="1078865">
                                <a:moveTo>
                                  <a:pt x="3309311" y="23063"/>
                                </a:moveTo>
                                <a:lnTo>
                                  <a:pt x="3309311" y="10494"/>
                                </a:lnTo>
                              </a:path>
                              <a:path w="3756025" h="1078865">
                                <a:moveTo>
                                  <a:pt x="3397538" y="23063"/>
                                </a:moveTo>
                                <a:lnTo>
                                  <a:pt x="3397538" y="10494"/>
                                </a:lnTo>
                              </a:path>
                              <a:path w="3756025" h="1078865">
                                <a:moveTo>
                                  <a:pt x="3485711" y="23063"/>
                                </a:moveTo>
                                <a:lnTo>
                                  <a:pt x="3485711" y="10495"/>
                                </a:lnTo>
                              </a:path>
                              <a:path w="3756025" h="1078865">
                                <a:moveTo>
                                  <a:pt x="3579501" y="23063"/>
                                </a:moveTo>
                                <a:lnTo>
                                  <a:pt x="3579501" y="10495"/>
                                </a:lnTo>
                              </a:path>
                              <a:path w="3756025" h="1078865">
                                <a:moveTo>
                                  <a:pt x="3667729" y="23063"/>
                                </a:moveTo>
                                <a:lnTo>
                                  <a:pt x="3667729" y="10495"/>
                                </a:lnTo>
                              </a:path>
                              <a:path w="3756025" h="1078865">
                                <a:moveTo>
                                  <a:pt x="3756011" y="23063"/>
                                </a:moveTo>
                                <a:lnTo>
                                  <a:pt x="3756011" y="10495"/>
                                </a:lnTo>
                              </a:path>
                              <a:path w="3756025" h="1078865">
                                <a:moveTo>
                                  <a:pt x="60729" y="23062"/>
                                </a:moveTo>
                                <a:lnTo>
                                  <a:pt x="60729" y="0"/>
                                </a:lnTo>
                              </a:path>
                              <a:path w="3756025" h="1078865">
                                <a:moveTo>
                                  <a:pt x="507451" y="23062"/>
                                </a:moveTo>
                                <a:lnTo>
                                  <a:pt x="507451" y="0"/>
                                </a:lnTo>
                              </a:path>
                              <a:path w="3756025" h="1078865">
                                <a:moveTo>
                                  <a:pt x="959714" y="23062"/>
                                </a:moveTo>
                                <a:lnTo>
                                  <a:pt x="959714" y="0"/>
                                </a:lnTo>
                              </a:path>
                              <a:path w="3756025" h="1078865">
                                <a:moveTo>
                                  <a:pt x="1411922" y="23062"/>
                                </a:moveTo>
                                <a:lnTo>
                                  <a:pt x="1411922" y="0"/>
                                </a:lnTo>
                              </a:path>
                              <a:path w="3756025" h="1078865">
                                <a:moveTo>
                                  <a:pt x="1864185" y="23063"/>
                                </a:moveTo>
                                <a:lnTo>
                                  <a:pt x="1864185" y="0"/>
                                </a:lnTo>
                              </a:path>
                              <a:path w="3756025" h="1078865">
                                <a:moveTo>
                                  <a:pt x="2316558" y="23063"/>
                                </a:moveTo>
                                <a:lnTo>
                                  <a:pt x="2316558" y="0"/>
                                </a:lnTo>
                              </a:path>
                              <a:path w="3756025" h="1078865">
                                <a:moveTo>
                                  <a:pt x="2763258" y="23063"/>
                                </a:moveTo>
                                <a:lnTo>
                                  <a:pt x="2763258" y="0"/>
                                </a:lnTo>
                              </a:path>
                              <a:path w="3756025" h="1078865">
                                <a:moveTo>
                                  <a:pt x="3215521" y="23063"/>
                                </a:moveTo>
                                <a:lnTo>
                                  <a:pt x="3215521" y="0"/>
                                </a:lnTo>
                              </a:path>
                              <a:path w="3756025" h="1078865">
                                <a:moveTo>
                                  <a:pt x="3667729" y="23063"/>
                                </a:moveTo>
                                <a:lnTo>
                                  <a:pt x="3667729" y="0"/>
                                </a:lnTo>
                              </a:path>
                              <a:path w="3756025" h="1078865">
                                <a:moveTo>
                                  <a:pt x="60729" y="459474"/>
                                </a:moveTo>
                                <a:lnTo>
                                  <a:pt x="148979" y="474200"/>
                                </a:lnTo>
                                <a:lnTo>
                                  <a:pt x="237151" y="478389"/>
                                </a:lnTo>
                                <a:lnTo>
                                  <a:pt x="330941" y="490957"/>
                                </a:lnTo>
                                <a:lnTo>
                                  <a:pt x="419169" y="543430"/>
                                </a:lnTo>
                                <a:lnTo>
                                  <a:pt x="507451" y="551830"/>
                                </a:lnTo>
                                <a:lnTo>
                                  <a:pt x="601241" y="564398"/>
                                </a:lnTo>
                                <a:lnTo>
                                  <a:pt x="689524" y="576966"/>
                                </a:lnTo>
                                <a:lnTo>
                                  <a:pt x="777642" y="583292"/>
                                </a:lnTo>
                                <a:lnTo>
                                  <a:pt x="871432" y="595861"/>
                                </a:lnTo>
                                <a:lnTo>
                                  <a:pt x="959714" y="606355"/>
                                </a:lnTo>
                                <a:lnTo>
                                  <a:pt x="1047942" y="604260"/>
                                </a:lnTo>
                                <a:lnTo>
                                  <a:pt x="1141732" y="606355"/>
                                </a:lnTo>
                                <a:lnTo>
                                  <a:pt x="1230014" y="610545"/>
                                </a:lnTo>
                                <a:lnTo>
                                  <a:pt x="1318132" y="618965"/>
                                </a:lnTo>
                                <a:lnTo>
                                  <a:pt x="1411922" y="627344"/>
                                </a:lnTo>
                                <a:lnTo>
                                  <a:pt x="1500205" y="627344"/>
                                </a:lnTo>
                                <a:lnTo>
                                  <a:pt x="1588487" y="656733"/>
                                </a:lnTo>
                                <a:lnTo>
                                  <a:pt x="1682277" y="673491"/>
                                </a:lnTo>
                                <a:lnTo>
                                  <a:pt x="1770505" y="702879"/>
                                </a:lnTo>
                                <a:lnTo>
                                  <a:pt x="1858677" y="717542"/>
                                </a:lnTo>
                                <a:lnTo>
                                  <a:pt x="1952467" y="728079"/>
                                </a:lnTo>
                                <a:lnTo>
                                  <a:pt x="2040695" y="761657"/>
                                </a:lnTo>
                                <a:lnTo>
                                  <a:pt x="2128978" y="778415"/>
                                </a:lnTo>
                                <a:lnTo>
                                  <a:pt x="2222768" y="797309"/>
                                </a:lnTo>
                                <a:lnTo>
                                  <a:pt x="2311050" y="847666"/>
                                </a:lnTo>
                                <a:lnTo>
                                  <a:pt x="2399168" y="868613"/>
                                </a:lnTo>
                                <a:lnTo>
                                  <a:pt x="2492958" y="872844"/>
                                </a:lnTo>
                                <a:lnTo>
                                  <a:pt x="2581240" y="868613"/>
                                </a:lnTo>
                                <a:lnTo>
                                  <a:pt x="2669523" y="881223"/>
                                </a:lnTo>
                                <a:lnTo>
                                  <a:pt x="2763258" y="904286"/>
                                </a:lnTo>
                                <a:lnTo>
                                  <a:pt x="2851541" y="906422"/>
                                </a:lnTo>
                                <a:lnTo>
                                  <a:pt x="2939658" y="931559"/>
                                </a:lnTo>
                                <a:lnTo>
                                  <a:pt x="3033448" y="944190"/>
                                </a:lnTo>
                                <a:lnTo>
                                  <a:pt x="3121731" y="965137"/>
                                </a:lnTo>
                                <a:lnTo>
                                  <a:pt x="3210013" y="979863"/>
                                </a:lnTo>
                                <a:lnTo>
                                  <a:pt x="3303803" y="996621"/>
                                </a:lnTo>
                                <a:lnTo>
                                  <a:pt x="3392031" y="1002905"/>
                                </a:lnTo>
                                <a:lnTo>
                                  <a:pt x="3480204" y="1013378"/>
                                </a:lnTo>
                                <a:lnTo>
                                  <a:pt x="3573994" y="1015536"/>
                                </a:lnTo>
                                <a:lnTo>
                                  <a:pt x="3662221" y="1026009"/>
                                </a:lnTo>
                                <a:lnTo>
                                  <a:pt x="3756011" y="1042767"/>
                                </a:lnTo>
                              </a:path>
                              <a:path w="3756025" h="1078865">
                                <a:moveTo>
                                  <a:pt x="60729" y="102787"/>
                                </a:moveTo>
                                <a:lnTo>
                                  <a:pt x="71744" y="117492"/>
                                </a:lnTo>
                              </a:path>
                              <a:path w="3756025" h="1078865">
                                <a:moveTo>
                                  <a:pt x="82764" y="125871"/>
                                </a:moveTo>
                                <a:lnTo>
                                  <a:pt x="99291" y="140534"/>
                                </a:lnTo>
                              </a:path>
                              <a:path w="3756025" h="1078865">
                                <a:moveTo>
                                  <a:pt x="104799" y="151070"/>
                                </a:moveTo>
                                <a:lnTo>
                                  <a:pt x="121321" y="165733"/>
                                </a:lnTo>
                              </a:path>
                              <a:path w="3756025" h="1078865">
                                <a:moveTo>
                                  <a:pt x="132341" y="174112"/>
                                </a:moveTo>
                                <a:lnTo>
                                  <a:pt x="148979" y="186743"/>
                                </a:lnTo>
                                <a:lnTo>
                                  <a:pt x="148979" y="184648"/>
                                </a:lnTo>
                              </a:path>
                              <a:path w="3756025" h="1078865">
                                <a:moveTo>
                                  <a:pt x="159993" y="176206"/>
                                </a:moveTo>
                                <a:lnTo>
                                  <a:pt x="182078" y="163638"/>
                                </a:lnTo>
                              </a:path>
                              <a:path w="3756025" h="1078865">
                                <a:moveTo>
                                  <a:pt x="193092" y="155259"/>
                                </a:moveTo>
                                <a:lnTo>
                                  <a:pt x="215122" y="140534"/>
                                </a:lnTo>
                              </a:path>
                              <a:path w="3756025" h="1078865">
                                <a:moveTo>
                                  <a:pt x="226136" y="132155"/>
                                </a:moveTo>
                                <a:lnTo>
                                  <a:pt x="237151" y="130060"/>
                                </a:lnTo>
                                <a:lnTo>
                                  <a:pt x="248276" y="140534"/>
                                </a:lnTo>
                              </a:path>
                              <a:path w="3756025" h="1078865">
                                <a:moveTo>
                                  <a:pt x="264798" y="148975"/>
                                </a:moveTo>
                                <a:lnTo>
                                  <a:pt x="286827" y="163638"/>
                                </a:lnTo>
                              </a:path>
                              <a:path w="3756025" h="1078865">
                                <a:moveTo>
                                  <a:pt x="297842" y="172017"/>
                                </a:moveTo>
                                <a:lnTo>
                                  <a:pt x="319926" y="184648"/>
                                </a:lnTo>
                              </a:path>
                              <a:path w="3756025" h="1078865">
                                <a:moveTo>
                                  <a:pt x="330941" y="193027"/>
                                </a:moveTo>
                                <a:lnTo>
                                  <a:pt x="336448" y="209785"/>
                                </a:lnTo>
                              </a:path>
                              <a:path w="3756025" h="1078865">
                                <a:moveTo>
                                  <a:pt x="341956" y="220321"/>
                                </a:moveTo>
                                <a:lnTo>
                                  <a:pt x="347463" y="237079"/>
                                </a:lnTo>
                              </a:path>
                              <a:path w="3756025" h="1078865">
                                <a:moveTo>
                                  <a:pt x="353081" y="247552"/>
                                </a:moveTo>
                                <a:lnTo>
                                  <a:pt x="358588" y="264373"/>
                                </a:lnTo>
                              </a:path>
                              <a:path w="3756025" h="1078865">
                                <a:moveTo>
                                  <a:pt x="364095" y="274846"/>
                                </a:moveTo>
                                <a:lnTo>
                                  <a:pt x="375110" y="291646"/>
                                </a:lnTo>
                              </a:path>
                              <a:path w="3756025" h="1078865">
                                <a:moveTo>
                                  <a:pt x="375110" y="302140"/>
                                </a:moveTo>
                                <a:lnTo>
                                  <a:pt x="386125" y="318898"/>
                                </a:lnTo>
                              </a:path>
                              <a:path w="3756025" h="1078865">
                                <a:moveTo>
                                  <a:pt x="386125" y="329413"/>
                                </a:moveTo>
                                <a:lnTo>
                                  <a:pt x="397139" y="344076"/>
                                </a:lnTo>
                              </a:path>
                              <a:path w="3756025" h="1078865">
                                <a:moveTo>
                                  <a:pt x="397139" y="354571"/>
                                </a:moveTo>
                                <a:lnTo>
                                  <a:pt x="408154" y="369276"/>
                                </a:lnTo>
                              </a:path>
                              <a:path w="3756025" h="1078865">
                                <a:moveTo>
                                  <a:pt x="408154" y="379749"/>
                                </a:moveTo>
                                <a:lnTo>
                                  <a:pt x="419169" y="392318"/>
                                </a:lnTo>
                                <a:lnTo>
                                  <a:pt x="419169" y="390223"/>
                                </a:lnTo>
                              </a:path>
                              <a:path w="3756025" h="1078865">
                                <a:moveTo>
                                  <a:pt x="419169" y="379749"/>
                                </a:moveTo>
                                <a:lnTo>
                                  <a:pt x="424676" y="362992"/>
                                </a:lnTo>
                              </a:path>
                              <a:path w="3756025" h="1078865">
                                <a:moveTo>
                                  <a:pt x="430183" y="352476"/>
                                </a:moveTo>
                                <a:lnTo>
                                  <a:pt x="435691" y="335698"/>
                                </a:lnTo>
                              </a:path>
                              <a:path w="3756025" h="1078865">
                                <a:moveTo>
                                  <a:pt x="435691" y="325224"/>
                                </a:moveTo>
                                <a:lnTo>
                                  <a:pt x="441198" y="308425"/>
                                </a:lnTo>
                              </a:path>
                              <a:path w="3756025" h="1078865">
                                <a:moveTo>
                                  <a:pt x="446705" y="297930"/>
                                </a:moveTo>
                                <a:lnTo>
                                  <a:pt x="452213" y="281130"/>
                                </a:lnTo>
                              </a:path>
                              <a:path w="3756025" h="1078865">
                                <a:moveTo>
                                  <a:pt x="457720" y="270657"/>
                                </a:moveTo>
                                <a:lnTo>
                                  <a:pt x="463393" y="253899"/>
                                </a:lnTo>
                              </a:path>
                              <a:path w="3756025" h="1078865">
                                <a:moveTo>
                                  <a:pt x="463393" y="243363"/>
                                </a:moveTo>
                                <a:lnTo>
                                  <a:pt x="468900" y="226605"/>
                                </a:lnTo>
                              </a:path>
                              <a:path w="3756025" h="1078865">
                                <a:moveTo>
                                  <a:pt x="474407" y="216132"/>
                                </a:moveTo>
                                <a:lnTo>
                                  <a:pt x="479915" y="199311"/>
                                </a:lnTo>
                              </a:path>
                              <a:path w="3756025" h="1078865">
                                <a:moveTo>
                                  <a:pt x="485422" y="188838"/>
                                </a:moveTo>
                                <a:lnTo>
                                  <a:pt x="490929" y="172017"/>
                                </a:lnTo>
                              </a:path>
                              <a:path w="3756025" h="1078865">
                                <a:moveTo>
                                  <a:pt x="490929" y="161544"/>
                                </a:moveTo>
                                <a:lnTo>
                                  <a:pt x="496437" y="144786"/>
                                </a:lnTo>
                              </a:path>
                              <a:path w="3756025" h="1078865">
                                <a:moveTo>
                                  <a:pt x="501944" y="134249"/>
                                </a:moveTo>
                                <a:lnTo>
                                  <a:pt x="507451" y="123776"/>
                                </a:lnTo>
                                <a:lnTo>
                                  <a:pt x="512959" y="130060"/>
                                </a:lnTo>
                              </a:path>
                              <a:path w="3756025" h="1078865">
                                <a:moveTo>
                                  <a:pt x="518466" y="140534"/>
                                </a:moveTo>
                                <a:lnTo>
                                  <a:pt x="534988" y="155259"/>
                                </a:lnTo>
                              </a:path>
                              <a:path w="3756025" h="1078865">
                                <a:moveTo>
                                  <a:pt x="540495" y="165733"/>
                                </a:moveTo>
                                <a:lnTo>
                                  <a:pt x="557017" y="180459"/>
                                </a:lnTo>
                              </a:path>
                              <a:path w="3756025" h="1078865">
                                <a:moveTo>
                                  <a:pt x="568197" y="190932"/>
                                </a:moveTo>
                                <a:lnTo>
                                  <a:pt x="579212" y="205595"/>
                                </a:lnTo>
                              </a:path>
                              <a:path w="3756025" h="1078865">
                                <a:moveTo>
                                  <a:pt x="590227" y="216132"/>
                                </a:moveTo>
                                <a:lnTo>
                                  <a:pt x="601241" y="224510"/>
                                </a:lnTo>
                                <a:lnTo>
                                  <a:pt x="612256" y="228700"/>
                                </a:lnTo>
                              </a:path>
                              <a:path w="3756025" h="1078865">
                                <a:moveTo>
                                  <a:pt x="628778" y="234984"/>
                                </a:moveTo>
                                <a:lnTo>
                                  <a:pt x="661822" y="245458"/>
                                </a:lnTo>
                              </a:path>
                              <a:path w="3756025" h="1078865">
                                <a:moveTo>
                                  <a:pt x="678509" y="251742"/>
                                </a:moveTo>
                                <a:lnTo>
                                  <a:pt x="689524" y="255994"/>
                                </a:lnTo>
                                <a:lnTo>
                                  <a:pt x="695031" y="266468"/>
                                </a:lnTo>
                              </a:path>
                              <a:path w="3756025" h="1078865">
                                <a:moveTo>
                                  <a:pt x="706046" y="274846"/>
                                </a:moveTo>
                                <a:lnTo>
                                  <a:pt x="717061" y="289551"/>
                                </a:lnTo>
                              </a:path>
                              <a:path w="3756025" h="1078865">
                                <a:moveTo>
                                  <a:pt x="728075" y="300025"/>
                                </a:moveTo>
                                <a:lnTo>
                                  <a:pt x="739090" y="314709"/>
                                </a:lnTo>
                              </a:path>
                              <a:path w="3756025" h="1078865">
                                <a:moveTo>
                                  <a:pt x="750105" y="323088"/>
                                </a:moveTo>
                                <a:lnTo>
                                  <a:pt x="761120" y="337792"/>
                                </a:lnTo>
                              </a:path>
                              <a:path w="3756025" h="1078865">
                                <a:moveTo>
                                  <a:pt x="772134" y="348266"/>
                                </a:moveTo>
                                <a:lnTo>
                                  <a:pt x="777642" y="350382"/>
                                </a:lnTo>
                                <a:lnTo>
                                  <a:pt x="810851" y="352476"/>
                                </a:lnTo>
                              </a:path>
                              <a:path w="3756025" h="1078865">
                                <a:moveTo>
                                  <a:pt x="838387" y="352476"/>
                                </a:moveTo>
                                <a:lnTo>
                                  <a:pt x="871432" y="352476"/>
                                </a:lnTo>
                                <a:lnTo>
                                  <a:pt x="876939" y="354571"/>
                                </a:lnTo>
                              </a:path>
                              <a:path w="3756025" h="1078865">
                                <a:moveTo>
                                  <a:pt x="904586" y="356666"/>
                                </a:moveTo>
                                <a:lnTo>
                                  <a:pt x="948700" y="358760"/>
                                </a:lnTo>
                              </a:path>
                              <a:path w="3756025" h="1078865">
                                <a:moveTo>
                                  <a:pt x="970729" y="360855"/>
                                </a:moveTo>
                                <a:lnTo>
                                  <a:pt x="1009390" y="369276"/>
                                </a:lnTo>
                              </a:path>
                              <a:path w="3756025" h="1078865">
                                <a:moveTo>
                                  <a:pt x="1031420" y="373465"/>
                                </a:moveTo>
                                <a:lnTo>
                                  <a:pt x="1047942" y="375560"/>
                                </a:lnTo>
                                <a:lnTo>
                                  <a:pt x="1064519" y="367181"/>
                                </a:lnTo>
                              </a:path>
                              <a:path w="3756025" h="1078865">
                                <a:moveTo>
                                  <a:pt x="1081041" y="358760"/>
                                </a:moveTo>
                                <a:lnTo>
                                  <a:pt x="1108578" y="346171"/>
                                </a:lnTo>
                              </a:path>
                              <a:path w="3756025" h="1078865">
                                <a:moveTo>
                                  <a:pt x="1125210" y="337792"/>
                                </a:moveTo>
                                <a:lnTo>
                                  <a:pt x="1141732" y="333603"/>
                                </a:lnTo>
                                <a:lnTo>
                                  <a:pt x="1158254" y="329414"/>
                                </a:lnTo>
                              </a:path>
                              <a:path w="3756025" h="1078865">
                                <a:moveTo>
                                  <a:pt x="1180283" y="325224"/>
                                </a:moveTo>
                                <a:lnTo>
                                  <a:pt x="1213382" y="314709"/>
                                </a:lnTo>
                              </a:path>
                              <a:path w="3756025" h="1078865">
                                <a:moveTo>
                                  <a:pt x="1230014" y="308425"/>
                                </a:moveTo>
                                <a:lnTo>
                                  <a:pt x="1268566" y="300025"/>
                                </a:lnTo>
                              </a:path>
                              <a:path w="3756025" h="1078865">
                                <a:moveTo>
                                  <a:pt x="1290595" y="293741"/>
                                </a:moveTo>
                                <a:lnTo>
                                  <a:pt x="1318132" y="285320"/>
                                </a:lnTo>
                                <a:lnTo>
                                  <a:pt x="1318132" y="287415"/>
                                </a:lnTo>
                              </a:path>
                              <a:path w="3756025" h="1078865">
                                <a:moveTo>
                                  <a:pt x="1329312" y="295835"/>
                                </a:moveTo>
                                <a:lnTo>
                                  <a:pt x="1351341" y="308425"/>
                                </a:lnTo>
                              </a:path>
                              <a:path w="3756025" h="1078865">
                                <a:moveTo>
                                  <a:pt x="1362356" y="316803"/>
                                </a:moveTo>
                                <a:lnTo>
                                  <a:pt x="1384385" y="329414"/>
                                </a:lnTo>
                              </a:path>
                              <a:path w="3756025" h="1078865">
                                <a:moveTo>
                                  <a:pt x="1395400" y="337792"/>
                                </a:moveTo>
                                <a:lnTo>
                                  <a:pt x="1411922" y="344077"/>
                                </a:lnTo>
                                <a:lnTo>
                                  <a:pt x="1411922" y="350382"/>
                                </a:lnTo>
                              </a:path>
                              <a:path w="3756025" h="1078865">
                                <a:moveTo>
                                  <a:pt x="1422937" y="358761"/>
                                </a:moveTo>
                                <a:lnTo>
                                  <a:pt x="1433951" y="373465"/>
                                </a:lnTo>
                              </a:path>
                              <a:path w="3756025" h="1078865">
                                <a:moveTo>
                                  <a:pt x="1445131" y="383939"/>
                                </a:moveTo>
                                <a:lnTo>
                                  <a:pt x="1456146" y="398665"/>
                                </a:lnTo>
                              </a:path>
                              <a:path w="3756025" h="1078865">
                                <a:moveTo>
                                  <a:pt x="1467161" y="409138"/>
                                </a:moveTo>
                                <a:lnTo>
                                  <a:pt x="1478175" y="423801"/>
                                </a:lnTo>
                              </a:path>
                              <a:path w="3756025" h="1078865">
                                <a:moveTo>
                                  <a:pt x="1489190" y="434338"/>
                                </a:moveTo>
                                <a:lnTo>
                                  <a:pt x="1500205" y="444811"/>
                                </a:lnTo>
                                <a:lnTo>
                                  <a:pt x="1500205" y="449001"/>
                                </a:lnTo>
                              </a:path>
                              <a:path w="3756025" h="1078865">
                                <a:moveTo>
                                  <a:pt x="1505712" y="459474"/>
                                </a:moveTo>
                                <a:lnTo>
                                  <a:pt x="1516727" y="474200"/>
                                </a:lnTo>
                              </a:path>
                              <a:path w="3756025" h="1078865">
                                <a:moveTo>
                                  <a:pt x="1527741" y="482579"/>
                                </a:moveTo>
                                <a:lnTo>
                                  <a:pt x="1538756" y="497242"/>
                                </a:lnTo>
                              </a:path>
                              <a:path w="3756025" h="1078865">
                                <a:moveTo>
                                  <a:pt x="1544429" y="507778"/>
                                </a:moveTo>
                                <a:lnTo>
                                  <a:pt x="1555443" y="522441"/>
                                </a:lnTo>
                              </a:path>
                              <a:path w="3756025" h="1078865">
                                <a:moveTo>
                                  <a:pt x="1560951" y="532915"/>
                                </a:moveTo>
                                <a:lnTo>
                                  <a:pt x="1571965" y="547620"/>
                                </a:lnTo>
                              </a:path>
                              <a:path w="3756025" h="1078865">
                                <a:moveTo>
                                  <a:pt x="1582980" y="556019"/>
                                </a:moveTo>
                                <a:lnTo>
                                  <a:pt x="1588487" y="560209"/>
                                </a:lnTo>
                                <a:lnTo>
                                  <a:pt x="1593995" y="549714"/>
                                </a:lnTo>
                              </a:path>
                              <a:path w="3756025" h="1078865">
                                <a:moveTo>
                                  <a:pt x="1605009" y="541293"/>
                                </a:moveTo>
                                <a:lnTo>
                                  <a:pt x="1621531" y="526631"/>
                                </a:lnTo>
                              </a:path>
                              <a:path w="3756025" h="1078865">
                                <a:moveTo>
                                  <a:pt x="1632546" y="516157"/>
                                </a:moveTo>
                                <a:lnTo>
                                  <a:pt x="1649068" y="501431"/>
                                </a:lnTo>
                              </a:path>
                              <a:path w="3756025" h="1078865">
                                <a:moveTo>
                                  <a:pt x="1660248" y="490958"/>
                                </a:moveTo>
                                <a:lnTo>
                                  <a:pt x="1671263" y="476295"/>
                                </a:lnTo>
                              </a:path>
                              <a:path w="3756025" h="1078865">
                                <a:moveTo>
                                  <a:pt x="1682277" y="467853"/>
                                </a:moveTo>
                                <a:lnTo>
                                  <a:pt x="1693292" y="453190"/>
                                </a:lnTo>
                              </a:path>
                              <a:path w="3756025" h="1078865">
                                <a:moveTo>
                                  <a:pt x="1704307" y="442717"/>
                                </a:moveTo>
                                <a:lnTo>
                                  <a:pt x="1715321" y="427991"/>
                                </a:lnTo>
                              </a:path>
                              <a:path w="3756025" h="1078865">
                                <a:moveTo>
                                  <a:pt x="1720829" y="417517"/>
                                </a:moveTo>
                                <a:lnTo>
                                  <a:pt x="1731843" y="402854"/>
                                </a:lnTo>
                              </a:path>
                              <a:path w="3756025" h="1078865">
                                <a:moveTo>
                                  <a:pt x="1742858" y="392318"/>
                                </a:moveTo>
                                <a:lnTo>
                                  <a:pt x="1753873" y="377655"/>
                                </a:lnTo>
                              </a:path>
                              <a:path w="3756025" h="1078865">
                                <a:moveTo>
                                  <a:pt x="1759380" y="367181"/>
                                </a:moveTo>
                                <a:lnTo>
                                  <a:pt x="1770505" y="360855"/>
                                </a:lnTo>
                                <a:lnTo>
                                  <a:pt x="1770505" y="369276"/>
                                </a:lnTo>
                              </a:path>
                              <a:path w="3756025" h="1078865">
                                <a:moveTo>
                                  <a:pt x="1776012" y="379750"/>
                                </a:moveTo>
                                <a:lnTo>
                                  <a:pt x="1787027" y="394413"/>
                                </a:lnTo>
                              </a:path>
                              <a:path w="3756025" h="1078865">
                                <a:moveTo>
                                  <a:pt x="1792589" y="404949"/>
                                </a:moveTo>
                                <a:lnTo>
                                  <a:pt x="1798097" y="421707"/>
                                </a:lnTo>
                              </a:path>
                              <a:path w="3756025" h="1078865">
                                <a:moveTo>
                                  <a:pt x="1803604" y="432180"/>
                                </a:moveTo>
                                <a:lnTo>
                                  <a:pt x="1814619" y="446906"/>
                                </a:lnTo>
                              </a:path>
                              <a:path w="3756025" h="1078865">
                                <a:moveTo>
                                  <a:pt x="1820126" y="457379"/>
                                </a:moveTo>
                                <a:lnTo>
                                  <a:pt x="1831141" y="474200"/>
                                </a:lnTo>
                              </a:path>
                              <a:path w="3756025" h="1078865">
                                <a:moveTo>
                                  <a:pt x="1836648" y="484674"/>
                                </a:moveTo>
                                <a:lnTo>
                                  <a:pt x="1842155" y="501431"/>
                                </a:lnTo>
                              </a:path>
                              <a:path w="3756025" h="1078865">
                                <a:moveTo>
                                  <a:pt x="1847663" y="511968"/>
                                </a:moveTo>
                                <a:lnTo>
                                  <a:pt x="1858677" y="522441"/>
                                </a:lnTo>
                                <a:lnTo>
                                  <a:pt x="1858677" y="518252"/>
                                </a:lnTo>
                              </a:path>
                              <a:path w="3756025" h="1078865">
                                <a:moveTo>
                                  <a:pt x="1869802" y="509873"/>
                                </a:moveTo>
                                <a:lnTo>
                                  <a:pt x="1891832" y="495147"/>
                                </a:lnTo>
                              </a:path>
                              <a:path w="3756025" h="1078865">
                                <a:moveTo>
                                  <a:pt x="1902846" y="486768"/>
                                </a:moveTo>
                                <a:lnTo>
                                  <a:pt x="1919368" y="472105"/>
                                </a:lnTo>
                              </a:path>
                              <a:path w="3756025" h="1078865">
                                <a:moveTo>
                                  <a:pt x="1930438" y="463664"/>
                                </a:moveTo>
                                <a:lnTo>
                                  <a:pt x="1946960" y="449001"/>
                                </a:lnTo>
                              </a:path>
                              <a:path w="3756025" h="1078865">
                                <a:moveTo>
                                  <a:pt x="1957975" y="455285"/>
                                </a:moveTo>
                                <a:lnTo>
                                  <a:pt x="1974497" y="470011"/>
                                </a:lnTo>
                              </a:path>
                              <a:path w="3756025" h="1078865">
                                <a:moveTo>
                                  <a:pt x="1985622" y="478389"/>
                                </a:moveTo>
                                <a:lnTo>
                                  <a:pt x="2002144" y="493052"/>
                                </a:lnTo>
                              </a:path>
                              <a:path w="3756025" h="1078865">
                                <a:moveTo>
                                  <a:pt x="2013158" y="503526"/>
                                </a:moveTo>
                                <a:lnTo>
                                  <a:pt x="2029680" y="518252"/>
                                </a:lnTo>
                              </a:path>
                              <a:path w="3756025" h="1078865">
                                <a:moveTo>
                                  <a:pt x="2040695" y="522441"/>
                                </a:moveTo>
                                <a:lnTo>
                                  <a:pt x="2057217" y="507778"/>
                                </a:lnTo>
                              </a:path>
                              <a:path w="3756025" h="1078865">
                                <a:moveTo>
                                  <a:pt x="2068232" y="499337"/>
                                </a:moveTo>
                                <a:lnTo>
                                  <a:pt x="2084809" y="484674"/>
                                </a:lnTo>
                              </a:path>
                              <a:path w="3756025" h="1078865">
                                <a:moveTo>
                                  <a:pt x="2095934" y="476295"/>
                                </a:moveTo>
                                <a:lnTo>
                                  <a:pt x="2112456" y="461569"/>
                                </a:lnTo>
                              </a:path>
                              <a:path w="3756025" h="1078865">
                                <a:moveTo>
                                  <a:pt x="2123470" y="453190"/>
                                </a:moveTo>
                                <a:lnTo>
                                  <a:pt x="2128978" y="451095"/>
                                </a:lnTo>
                                <a:lnTo>
                                  <a:pt x="2128978" y="463664"/>
                                </a:lnTo>
                              </a:path>
                              <a:path w="3756025" h="1078865">
                                <a:moveTo>
                                  <a:pt x="2134485" y="474200"/>
                                </a:moveTo>
                                <a:lnTo>
                                  <a:pt x="2139992" y="490958"/>
                                </a:lnTo>
                              </a:path>
                              <a:path w="3756025" h="1078865">
                                <a:moveTo>
                                  <a:pt x="2145500" y="501431"/>
                                </a:moveTo>
                                <a:lnTo>
                                  <a:pt x="2151007" y="518252"/>
                                </a:lnTo>
                              </a:path>
                              <a:path w="3756025" h="1078865">
                                <a:moveTo>
                                  <a:pt x="2156514" y="528725"/>
                                </a:moveTo>
                                <a:lnTo>
                                  <a:pt x="2162022" y="545525"/>
                                </a:lnTo>
                              </a:path>
                              <a:path w="3756025" h="1078865">
                                <a:moveTo>
                                  <a:pt x="2167529" y="556019"/>
                                </a:moveTo>
                                <a:lnTo>
                                  <a:pt x="2173036" y="572777"/>
                                </a:lnTo>
                              </a:path>
                              <a:path w="3756025" h="1078865">
                                <a:moveTo>
                                  <a:pt x="2178544" y="583293"/>
                                </a:moveTo>
                                <a:lnTo>
                                  <a:pt x="2184051" y="600071"/>
                                </a:lnTo>
                              </a:path>
                              <a:path w="3756025" h="1078865">
                                <a:moveTo>
                                  <a:pt x="2189558" y="610545"/>
                                </a:moveTo>
                                <a:lnTo>
                                  <a:pt x="2195231" y="627344"/>
                                </a:lnTo>
                              </a:path>
                              <a:path w="3756025" h="1078865">
                                <a:moveTo>
                                  <a:pt x="2200738" y="637818"/>
                                </a:moveTo>
                                <a:lnTo>
                                  <a:pt x="2206246" y="654638"/>
                                </a:lnTo>
                              </a:path>
                              <a:path w="3756025" h="1078865">
                                <a:moveTo>
                                  <a:pt x="2211753" y="665112"/>
                                </a:moveTo>
                                <a:lnTo>
                                  <a:pt x="2217260" y="681870"/>
                                </a:lnTo>
                              </a:path>
                              <a:path w="3756025" h="1078865">
                                <a:moveTo>
                                  <a:pt x="2233782" y="686059"/>
                                </a:moveTo>
                                <a:lnTo>
                                  <a:pt x="2277841" y="686059"/>
                                </a:lnTo>
                              </a:path>
                              <a:path w="3756025" h="1078865">
                                <a:moveTo>
                                  <a:pt x="2305543" y="686059"/>
                                </a:moveTo>
                                <a:lnTo>
                                  <a:pt x="2311050" y="683964"/>
                                </a:lnTo>
                                <a:lnTo>
                                  <a:pt x="2322065" y="671396"/>
                                </a:lnTo>
                              </a:path>
                              <a:path w="3756025" h="1078865">
                                <a:moveTo>
                                  <a:pt x="2327572" y="660922"/>
                                </a:moveTo>
                                <a:lnTo>
                                  <a:pt x="2344094" y="646218"/>
                                </a:lnTo>
                              </a:path>
                              <a:path w="3756025" h="1078865">
                                <a:moveTo>
                                  <a:pt x="2355109" y="635723"/>
                                </a:moveTo>
                                <a:lnTo>
                                  <a:pt x="2366124" y="621060"/>
                                </a:lnTo>
                              </a:path>
                              <a:path w="3756025" h="1078865">
                                <a:moveTo>
                                  <a:pt x="2377138" y="612639"/>
                                </a:moveTo>
                                <a:lnTo>
                                  <a:pt x="2388153" y="597955"/>
                                </a:lnTo>
                              </a:path>
                              <a:path w="3756025" h="1078865">
                                <a:moveTo>
                                  <a:pt x="2399168" y="593766"/>
                                </a:moveTo>
                                <a:lnTo>
                                  <a:pt x="2421362" y="606355"/>
                                </a:lnTo>
                              </a:path>
                              <a:path w="3756025" h="1078865">
                                <a:moveTo>
                                  <a:pt x="2437884" y="612639"/>
                                </a:moveTo>
                                <a:lnTo>
                                  <a:pt x="2459914" y="625250"/>
                                </a:lnTo>
                              </a:path>
                              <a:path w="3756025" h="1078865">
                                <a:moveTo>
                                  <a:pt x="2476436" y="633628"/>
                                </a:moveTo>
                                <a:lnTo>
                                  <a:pt x="2492958" y="639913"/>
                                </a:lnTo>
                                <a:lnTo>
                                  <a:pt x="2492958" y="633628"/>
                                </a:lnTo>
                              </a:path>
                              <a:path w="3756025" h="1078865">
                                <a:moveTo>
                                  <a:pt x="2498465" y="623155"/>
                                </a:moveTo>
                                <a:lnTo>
                                  <a:pt x="2503972" y="606355"/>
                                </a:lnTo>
                              </a:path>
                              <a:path w="3756025" h="1078865">
                                <a:moveTo>
                                  <a:pt x="2509480" y="595861"/>
                                </a:moveTo>
                                <a:lnTo>
                                  <a:pt x="2514987" y="579103"/>
                                </a:lnTo>
                              </a:path>
                              <a:path w="3756025" h="1078865">
                                <a:moveTo>
                                  <a:pt x="2514987" y="568588"/>
                                </a:moveTo>
                                <a:lnTo>
                                  <a:pt x="2526167" y="551830"/>
                                </a:lnTo>
                              </a:path>
                              <a:path w="3756025" h="1078865">
                                <a:moveTo>
                                  <a:pt x="2526167" y="541294"/>
                                </a:moveTo>
                                <a:lnTo>
                                  <a:pt x="2531674" y="524536"/>
                                </a:lnTo>
                              </a:path>
                              <a:path w="3756025" h="1078865">
                                <a:moveTo>
                                  <a:pt x="2537182" y="514062"/>
                                </a:moveTo>
                                <a:lnTo>
                                  <a:pt x="2542689" y="497242"/>
                                </a:lnTo>
                              </a:path>
                              <a:path w="3756025" h="1078865">
                                <a:moveTo>
                                  <a:pt x="2548196" y="486768"/>
                                </a:moveTo>
                                <a:lnTo>
                                  <a:pt x="2553704" y="470011"/>
                                </a:lnTo>
                              </a:path>
                              <a:path w="3756025" h="1078865">
                                <a:moveTo>
                                  <a:pt x="2559211" y="459474"/>
                                </a:moveTo>
                                <a:lnTo>
                                  <a:pt x="2564718" y="442717"/>
                                </a:lnTo>
                              </a:path>
                              <a:path w="3756025" h="1078865">
                                <a:moveTo>
                                  <a:pt x="2570226" y="432180"/>
                                </a:moveTo>
                                <a:lnTo>
                                  <a:pt x="2575733" y="415423"/>
                                </a:lnTo>
                              </a:path>
                              <a:path w="3756025" h="1078865">
                                <a:moveTo>
                                  <a:pt x="2581240" y="411233"/>
                                </a:moveTo>
                                <a:lnTo>
                                  <a:pt x="2581240" y="427991"/>
                                </a:lnTo>
                              </a:path>
                              <a:path w="3756025" h="1078865">
                                <a:moveTo>
                                  <a:pt x="2586748" y="438527"/>
                                </a:moveTo>
                                <a:lnTo>
                                  <a:pt x="2592255" y="455285"/>
                                </a:lnTo>
                              </a:path>
                              <a:path w="3756025" h="1078865">
                                <a:moveTo>
                                  <a:pt x="2592255" y="465758"/>
                                </a:moveTo>
                                <a:lnTo>
                                  <a:pt x="2597762" y="482579"/>
                                </a:lnTo>
                              </a:path>
                              <a:path w="3756025" h="1078865">
                                <a:moveTo>
                                  <a:pt x="2603270" y="493053"/>
                                </a:moveTo>
                                <a:lnTo>
                                  <a:pt x="2603270" y="509873"/>
                                </a:lnTo>
                              </a:path>
                              <a:path w="3756025" h="1078865">
                                <a:moveTo>
                                  <a:pt x="2608777" y="520347"/>
                                </a:moveTo>
                                <a:lnTo>
                                  <a:pt x="2614284" y="537104"/>
                                </a:lnTo>
                              </a:path>
                              <a:path w="3756025" h="1078865">
                                <a:moveTo>
                                  <a:pt x="2614284" y="547620"/>
                                </a:moveTo>
                                <a:lnTo>
                                  <a:pt x="2619792" y="564398"/>
                                </a:lnTo>
                              </a:path>
                              <a:path w="3756025" h="1078865">
                                <a:moveTo>
                                  <a:pt x="2625299" y="574872"/>
                                </a:moveTo>
                                <a:lnTo>
                                  <a:pt x="2625299" y="591671"/>
                                </a:lnTo>
                              </a:path>
                              <a:path w="3756025" h="1078865">
                                <a:moveTo>
                                  <a:pt x="2630917" y="602166"/>
                                </a:moveTo>
                                <a:lnTo>
                                  <a:pt x="2636424" y="618965"/>
                                </a:lnTo>
                              </a:path>
                              <a:path w="3756025" h="1078865">
                                <a:moveTo>
                                  <a:pt x="2636424" y="629439"/>
                                </a:moveTo>
                                <a:lnTo>
                                  <a:pt x="2641931" y="646218"/>
                                </a:lnTo>
                              </a:path>
                              <a:path w="3756025" h="1078865">
                                <a:moveTo>
                                  <a:pt x="2647439" y="656733"/>
                                </a:moveTo>
                                <a:lnTo>
                                  <a:pt x="2647439" y="673491"/>
                                </a:lnTo>
                              </a:path>
                              <a:path w="3756025" h="1078865">
                                <a:moveTo>
                                  <a:pt x="2652946" y="683964"/>
                                </a:moveTo>
                                <a:lnTo>
                                  <a:pt x="2658453" y="700785"/>
                                </a:lnTo>
                              </a:path>
                              <a:path w="3756025" h="1078865">
                                <a:moveTo>
                                  <a:pt x="2658453" y="711258"/>
                                </a:moveTo>
                                <a:lnTo>
                                  <a:pt x="2663961" y="728079"/>
                                </a:lnTo>
                              </a:path>
                              <a:path w="3756025" h="1078865">
                                <a:moveTo>
                                  <a:pt x="2675030" y="736458"/>
                                </a:moveTo>
                                <a:lnTo>
                                  <a:pt x="2713582" y="742742"/>
                                </a:lnTo>
                              </a:path>
                              <a:path w="3756025" h="1078865">
                                <a:moveTo>
                                  <a:pt x="2735611" y="746931"/>
                                </a:moveTo>
                                <a:lnTo>
                                  <a:pt x="2763258" y="753215"/>
                                </a:lnTo>
                                <a:lnTo>
                                  <a:pt x="2768765" y="749026"/>
                                </a:lnTo>
                              </a:path>
                              <a:path w="3756025" h="1078865">
                                <a:moveTo>
                                  <a:pt x="2779780" y="740647"/>
                                </a:moveTo>
                                <a:lnTo>
                                  <a:pt x="2801809" y="725984"/>
                                </a:lnTo>
                              </a:path>
                              <a:path w="3756025" h="1078865">
                                <a:moveTo>
                                  <a:pt x="2812879" y="717543"/>
                                </a:moveTo>
                                <a:lnTo>
                                  <a:pt x="2834909" y="702880"/>
                                </a:lnTo>
                              </a:path>
                              <a:path w="3756025" h="1078865">
                                <a:moveTo>
                                  <a:pt x="2846033" y="694501"/>
                                </a:moveTo>
                                <a:lnTo>
                                  <a:pt x="2851541" y="694501"/>
                                </a:lnTo>
                                <a:lnTo>
                                  <a:pt x="2884585" y="698690"/>
                                </a:lnTo>
                              </a:path>
                            </a:pathLst>
                          </a:custGeom>
                          <a:ln w="7603">
                            <a:solidFill>
                              <a:srgbClr val="000000"/>
                            </a:solidFill>
                            <a:prstDash val="solid"/>
                          </a:ln>
                        </wps:spPr>
                        <wps:bodyPr wrap="square" lIns="0" tIns="0" rIns="0" bIns="0" rtlCol="0">
                          <a:prstTxWarp prst="textNoShape">
                            <a:avLst/>
                          </a:prstTxWarp>
                          <a:noAutofit/>
                        </wps:bodyPr>
                      </wps:wsp>
                      <pic:pic>
                        <pic:nvPicPr>
                          <pic:cNvPr id="116" name="Image 116"/>
                          <pic:cNvPicPr/>
                        </pic:nvPicPr>
                        <pic:blipFill>
                          <a:blip r:embed="rId34" cstate="print"/>
                          <a:stretch>
                            <a:fillRect/>
                          </a:stretch>
                        </pic:blipFill>
                        <pic:spPr>
                          <a:xfrm>
                            <a:off x="2909123" y="582105"/>
                            <a:ext cx="264690" cy="246901"/>
                          </a:xfrm>
                          <a:prstGeom prst="rect">
                            <a:avLst/>
                          </a:prstGeom>
                        </pic:spPr>
                      </pic:pic>
                      <wps:wsp>
                        <wps:cNvPr id="117" name="Graphic 117"/>
                        <wps:cNvSpPr/>
                        <wps:spPr>
                          <a:xfrm>
                            <a:off x="3198999" y="828751"/>
                            <a:ext cx="38735" cy="4445"/>
                          </a:xfrm>
                          <a:custGeom>
                            <a:avLst/>
                            <a:gdLst/>
                            <a:ahLst/>
                            <a:cxnLst/>
                            <a:rect l="l" t="t" r="r" b="b"/>
                            <a:pathLst>
                              <a:path w="38735" h="4445">
                                <a:moveTo>
                                  <a:pt x="0" y="0"/>
                                </a:moveTo>
                                <a:lnTo>
                                  <a:pt x="11014" y="0"/>
                                </a:lnTo>
                                <a:lnTo>
                                  <a:pt x="38551" y="4231"/>
                                </a:lnTo>
                              </a:path>
                            </a:pathLst>
                          </a:custGeom>
                          <a:ln w="4271">
                            <a:solidFill>
                              <a:srgbClr val="000000"/>
                            </a:solidFill>
                            <a:prstDash val="solid"/>
                          </a:ln>
                        </wps:spPr>
                        <wps:bodyPr wrap="square" lIns="0" tIns="0" rIns="0" bIns="0" rtlCol="0">
                          <a:prstTxWarp prst="textNoShape">
                            <a:avLst/>
                          </a:prstTxWarp>
                          <a:noAutofit/>
                        </wps:bodyPr>
                      </wps:wsp>
                      <pic:pic>
                        <pic:nvPicPr>
                          <pic:cNvPr id="118" name="Image 118"/>
                          <pic:cNvPicPr/>
                        </pic:nvPicPr>
                        <pic:blipFill>
                          <a:blip r:embed="rId35" cstate="print"/>
                          <a:stretch>
                            <a:fillRect/>
                          </a:stretch>
                        </pic:blipFill>
                        <pic:spPr>
                          <a:xfrm>
                            <a:off x="3262736" y="561076"/>
                            <a:ext cx="498445" cy="280540"/>
                          </a:xfrm>
                          <a:prstGeom prst="rect">
                            <a:avLst/>
                          </a:prstGeom>
                        </pic:spPr>
                      </pic:pic>
                      <wps:wsp>
                        <wps:cNvPr id="119" name="Graphic 119"/>
                        <wps:cNvSpPr/>
                        <wps:spPr>
                          <a:xfrm>
                            <a:off x="55222" y="23062"/>
                            <a:ext cx="3706495" cy="1057910"/>
                          </a:xfrm>
                          <a:custGeom>
                            <a:avLst/>
                            <a:gdLst/>
                            <a:ahLst/>
                            <a:cxnLst/>
                            <a:rect l="l" t="t" r="r" b="b"/>
                            <a:pathLst>
                              <a:path w="3706495" h="1057910">
                                <a:moveTo>
                                  <a:pt x="0" y="1057471"/>
                                </a:moveTo>
                                <a:lnTo>
                                  <a:pt x="0" y="0"/>
                                </a:lnTo>
                                <a:lnTo>
                                  <a:pt x="3706296" y="0"/>
                                </a:lnTo>
                                <a:lnTo>
                                  <a:pt x="3706296" y="1057472"/>
                                </a:lnTo>
                                <a:lnTo>
                                  <a:pt x="0" y="1057471"/>
                                </a:lnTo>
                              </a:path>
                            </a:pathLst>
                          </a:custGeom>
                          <a:ln w="470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32.194962pt;margin-top:24.31778pt;width:296.45pt;height:85.35pt;mso-position-horizontal-relative:page;mso-position-vertical-relative:paragraph;z-index:-15706624;mso-wrap-distance-left:0;mso-wrap-distance-right:0" id="docshapegroup100" coordorigin="2644,486" coordsize="5929,1707">
                <v:shape style="position:absolute;left:2643;top:486;width:5915;height:1699" id="docshape101" coordorigin="2644,486" coordsize="5915,1699" path="m2644,526l2731,526m2644,734l2731,734m2644,942l2731,942m2644,1150l2731,1150m2644,1355l2731,1355m2644,1563l2731,1563m2644,1772l2731,1772m2644,1980l2731,1980m2644,2185l2731,2185m2740,523l2740,503m2879,523l2879,503m3017,523l3017,503m3165,523l3165,503m3304,523l3304,503m3443,523l3443,503m3591,523l3591,503m3730,523l3730,503m3869,523l3869,503m4016,523l4016,503m4155,523l4155,503m4303,523l4303,503m4442,523l4442,503m4581,523l4581,503m4728,523l4728,503m4867,523l4867,503m5006,523l5006,503m5154,523l5154,503m5293,523l5293,503m5432,523l5432,503m5580,523l5580,503m5719,523l5719,503m5866,523l5866,503m6005,523l6005,503m6144,523l6144,503m6292,523l6292,503m6431,523l6431,503m6570,523l6570,503m6718,523l6718,503m6857,523l6857,503m6995,523l6995,503m7143,523l7143,503m7282,523l7282,503m7430,523l7430,503m7569,523l7569,503m7708,523l7708,503m7855,523l7855,503m7994,523l7994,503m8133,523l8133,503m8281,523l8281,503m8420,523l8420,503m8559,523l8559,503m2740,523l2740,486m3443,523l3443,486m4155,523l4155,486m4867,523l4867,486m5580,523l5580,486m6292,523l6292,486m6995,523l6995,486m7708,523l7708,486m8420,523l8420,486m2740,1210l2879,1233,3017,1240,3165,1260,3304,1342,3443,1355,3591,1375,3730,1395,3869,1405,4016,1425,4155,1441,4294,1438,4442,1441,4581,1448,4720,1461,4867,1474,5006,1474,5145,1521,5293,1547,5432,1593,5571,1616,5719,1633,5858,1686,5997,1712,6144,1742,6283,1821,6422,1854,6570,1861,6709,1854,6848,1874,6995,1910,7135,1914,7273,1953,7421,1973,7560,2006,7699,2029,7847,2056,7986,2066,8125,2082,8272,2086,8411,2102,8559,2129m2740,648l2757,671m2774,685l2800,708m2809,724l2835,747m2852,761l2879,780,2879,777m2896,764l2931,744m2948,731l2983,708m3000,694l3017,691,3035,708m3061,721l3096,744m3113,757l3148,777m3165,790l3174,817m3182,833l3191,860m3200,876l3209,903m3217,919l3235,946m3235,962l3252,989m3252,1005l3269,1028m3269,1045l3287,1068m3287,1084l3304,1104,3304,1101m3304,1084l3313,1058m3321,1041l3330,1015m3330,999l3339,972m3347,956l3356,929m3365,913l3374,886m3374,870l3382,843m3391,827l3400,800m3408,784l3417,757m3417,741l3426,714m3434,698l3443,681,3452,691m3460,708l3486,731m3495,747l3521,771m3539,787l3556,810m3573,827l3591,840,3608,847m3634,856l3686,873m3712,883l3730,889,3738,906m3756,919l3773,942m3790,959l3808,982m3825,995l3843,1018m3860,1035l3869,1038,3921,1041m3964,1041l4016,1041,4025,1045m4068,1048l4138,1051m4173,1055l4233,1068m4268,1074l4294,1078,4320,1065m4346,1051l4390,1032m4416,1018l4442,1012,4468,1005m4503,999l4555,982m4581,972l4642,959m4676,949l4720,936,4720,939m4737,952l4772,972m4789,985l4824,1005m4841,1018l4867,1028,4867,1038m4885,1051l4902,1074m4920,1091l4937,1114m4954,1131l4972,1154m4989,1170l5006,1187,5006,1193m5015,1210l5032,1233m5050,1246l5067,1269m5076,1286l5093,1309m5102,1326l5119,1349m5137,1362l5145,1369,5154,1352m5171,1339l5197,1316m5215,1299l5241,1276m5258,1260l5276,1236m5293,1223l5311,1200m5328,1184l5345,1160m5354,1144l5371,1121m5389,1104l5406,1081m5415,1065l5432,1055,5432,1068m5441,1084l5458,1107m5467,1124l5476,1150m5484,1167l5502,1190m5510,1207l5528,1233m5536,1250l5545,1276m5554,1293l5571,1309,5571,1303m5588,1289l5623,1266m5641,1253l5667,1230m5684,1217l5710,1193m5727,1203l5753,1227m5771,1240l5797,1263m5814,1279l5840,1303m5858,1309l5884,1286m5901,1273l5927,1250m5945,1236l5971,1213m5988,1200l5997,1197,5997,1217m6005,1233l6014,1260m6023,1276l6031,1303m6040,1319l6049,1345m6057,1362l6066,1388m6075,1405l6083,1431m6092,1448l6101,1474m6110,1491l6118,1517m6127,1534l6136,1560m6162,1567l6231,1567m6275,1567l6283,1563,6301,1544m6309,1527l6335,1504m6353,1487l6370,1464m6387,1451l6405,1428m6422,1421l6457,1441m6483,1451l6518,1471m6544,1484l6570,1494,6570,1484m6578,1468l6587,1441m6596,1425l6605,1398m6605,1382l6622,1355m6622,1339l6631,1312m6639,1296l6648,1269m6657,1253l6665,1227m6674,1210l6683,1184m6691,1167l6700,1141m6709,1134l6709,1160m6718,1177l6726,1203m6726,1220l6735,1246m6744,1263l6744,1289m6752,1306l6761,1332m6761,1349l6770,1375m6778,1392l6778,1418m6787,1435l6796,1461m6796,1478l6804,1504m6813,1521l6813,1547m6822,1563l6830,1590m6830,1606l6839,1633m6857,1646l6917,1656m6952,1663l6995,1673,7004,1666m7022,1653l7056,1630m7074,1616l7108,1593m7126,1580l7135,1580,7187,1587e" filled="false" stroked="true" strokeweight=".598706pt" strokecolor="#000000">
                  <v:path arrowok="t"/>
                  <v:stroke dashstyle="solid"/>
                </v:shape>
                <v:shape style="position:absolute;left:7225;top:1403;width:417;height:389" type="#_x0000_t75" id="docshape102" stroked="false">
                  <v:imagedata r:id="rId34" o:title=""/>
                </v:shape>
                <v:shape style="position:absolute;left:7681;top:1791;width:61;height:7" id="docshape103" coordorigin="7682,1791" coordsize="61,7" path="m7682,1791l7699,1791,7742,1798e" filled="false" stroked="true" strokeweight=".33634pt" strokecolor="#000000">
                  <v:path arrowok="t"/>
                  <v:stroke dashstyle="solid"/>
                </v:shape>
                <v:shape style="position:absolute;left:7782;top:1369;width:785;height:442" type="#_x0000_t75" id="docshape104" stroked="false">
                  <v:imagedata r:id="rId35" o:title=""/>
                </v:shape>
                <v:rect style="position:absolute;left:2730;top:522;width:5837;height:1666" id="docshape105" filled="false" stroked="true" strokeweight=".370406pt" strokecolor="#000000">
                  <v:stroke dashstyle="solid"/>
                </v:rect>
                <w10:wrap type="topAndBottom"/>
              </v:group>
            </w:pict>
          </mc:Fallback>
        </mc:AlternateContent>
      </w:r>
    </w:p>
    <w:p>
      <w:pPr>
        <w:pStyle w:val="BodyText"/>
        <w:spacing w:before="4"/>
        <w:rPr>
          <w:b/>
          <w:sz w:val="14"/>
        </w:rPr>
      </w:pPr>
    </w:p>
    <w:p>
      <w:pPr>
        <w:pStyle w:val="BodyText"/>
        <w:spacing w:before="176"/>
        <w:rPr>
          <w:b/>
        </w:rPr>
      </w:pPr>
    </w:p>
    <w:p>
      <w:pPr>
        <w:pStyle w:val="BodyText"/>
        <w:spacing w:line="360" w:lineRule="auto"/>
        <w:ind w:left="711" w:right="585"/>
      </w:pPr>
      <w:r>
        <w:rPr>
          <w:b/>
        </w:rPr>
        <w:t>Figure</w:t>
      </w:r>
      <w:r>
        <w:rPr>
          <w:b/>
          <w:spacing w:val="-4"/>
        </w:rPr>
        <w:t> </w:t>
      </w:r>
      <w:r>
        <w:rPr/>
        <w:t>4.3:</w:t>
      </w:r>
      <w:r>
        <w:rPr>
          <w:spacing w:val="40"/>
        </w:rPr>
        <w:t> </w:t>
      </w:r>
      <w:r>
        <w:rPr/>
        <w:t>Graphical</w:t>
      </w:r>
      <w:r>
        <w:rPr>
          <w:spacing w:val="-3"/>
        </w:rPr>
        <w:t> </w:t>
      </w:r>
      <w:r>
        <w:rPr/>
        <w:t>illustrations</w:t>
      </w:r>
      <w:r>
        <w:rPr>
          <w:spacing w:val="-3"/>
        </w:rPr>
        <w:t> </w:t>
      </w:r>
      <w:r>
        <w:rPr/>
        <w:t>of</w:t>
      </w:r>
      <w:r>
        <w:rPr>
          <w:spacing w:val="-3"/>
        </w:rPr>
        <w:t> </w:t>
      </w:r>
      <w:r>
        <w:rPr/>
        <w:t>the</w:t>
      </w:r>
      <w:r>
        <w:rPr>
          <w:spacing w:val="-4"/>
        </w:rPr>
        <w:t> </w:t>
      </w:r>
      <w:r>
        <w:rPr/>
        <w:t>relationship</w:t>
      </w:r>
      <w:r>
        <w:rPr>
          <w:spacing w:val="-3"/>
        </w:rPr>
        <w:t> </w:t>
      </w:r>
      <w:r>
        <w:rPr/>
        <w:t>between</w:t>
      </w:r>
      <w:r>
        <w:rPr>
          <w:spacing w:val="-3"/>
        </w:rPr>
        <w:t> </w:t>
      </w:r>
      <w:r>
        <w:rPr/>
        <w:t>independent</w:t>
      </w:r>
      <w:r>
        <w:rPr>
          <w:spacing w:val="-1"/>
        </w:rPr>
        <w:t> </w:t>
      </w:r>
      <w:r>
        <w:rPr/>
        <w:t>variables</w:t>
      </w:r>
      <w:r>
        <w:rPr>
          <w:spacing w:val="-3"/>
        </w:rPr>
        <w:t> </w:t>
      </w:r>
      <w:r>
        <w:rPr/>
        <w:t>and gross</w:t>
      </w:r>
      <w:r>
        <w:rPr>
          <w:spacing w:val="-3"/>
        </w:rPr>
        <w:t> </w:t>
      </w:r>
      <w:r>
        <w:rPr/>
        <w:t>domestic product (Models 2, 5 and 6)</w:t>
      </w:r>
    </w:p>
    <w:p>
      <w:pPr>
        <w:pStyle w:val="BodyText"/>
        <w:spacing w:line="480" w:lineRule="auto"/>
        <w:ind w:left="711"/>
      </w:pPr>
      <w:r>
        <w:rPr/>
        <w:t>The</w:t>
      </w:r>
      <w:r>
        <w:rPr>
          <w:spacing w:val="-4"/>
        </w:rPr>
        <w:t> </w:t>
      </w:r>
      <w:r>
        <w:rPr/>
        <w:t>above</w:t>
      </w:r>
      <w:r>
        <w:rPr>
          <w:spacing w:val="-1"/>
        </w:rPr>
        <w:t> </w:t>
      </w:r>
      <w:r>
        <w:rPr/>
        <w:t>graphs</w:t>
      </w:r>
      <w:r>
        <w:rPr>
          <w:spacing w:val="-2"/>
        </w:rPr>
        <w:t> </w:t>
      </w:r>
      <w:r>
        <w:rPr/>
        <w:t>show</w:t>
      </w:r>
      <w:r>
        <w:rPr>
          <w:spacing w:val="-3"/>
        </w:rPr>
        <w:t> </w:t>
      </w:r>
      <w:r>
        <w:rPr/>
        <w:t>a</w:t>
      </w:r>
      <w:r>
        <w:rPr>
          <w:spacing w:val="-1"/>
        </w:rPr>
        <w:t> </w:t>
      </w:r>
      <w:r>
        <w:rPr/>
        <w:t>visual</w:t>
      </w:r>
      <w:r>
        <w:rPr>
          <w:spacing w:val="-2"/>
        </w:rPr>
        <w:t> </w:t>
      </w:r>
      <w:r>
        <w:rPr/>
        <w:t>illustration</w:t>
      </w:r>
      <w:r>
        <w:rPr>
          <w:spacing w:val="-2"/>
        </w:rPr>
        <w:t> </w:t>
      </w:r>
      <w:r>
        <w:rPr/>
        <w:t>of</w:t>
      </w:r>
      <w:r>
        <w:rPr>
          <w:spacing w:val="-3"/>
        </w:rPr>
        <w:t> </w:t>
      </w:r>
      <w:r>
        <w:rPr/>
        <w:t>trend</w:t>
      </w:r>
      <w:r>
        <w:rPr>
          <w:spacing w:val="-2"/>
        </w:rPr>
        <w:t> </w:t>
      </w:r>
      <w:r>
        <w:rPr/>
        <w:t>in</w:t>
      </w:r>
      <w:r>
        <w:rPr>
          <w:spacing w:val="-2"/>
        </w:rPr>
        <w:t> </w:t>
      </w:r>
      <w:r>
        <w:rPr/>
        <w:t>the</w:t>
      </w:r>
      <w:r>
        <w:rPr>
          <w:spacing w:val="-3"/>
        </w:rPr>
        <w:t> </w:t>
      </w:r>
      <w:r>
        <w:rPr/>
        <w:t>time</w:t>
      </w:r>
      <w:r>
        <w:rPr>
          <w:spacing w:val="-2"/>
        </w:rPr>
        <w:t> </w:t>
      </w:r>
      <w:r>
        <w:rPr/>
        <w:t>series</w:t>
      </w:r>
      <w:r>
        <w:rPr>
          <w:spacing w:val="-2"/>
        </w:rPr>
        <w:t> </w:t>
      </w:r>
      <w:r>
        <w:rPr/>
        <w:t>data.</w:t>
      </w:r>
      <w:r>
        <w:rPr>
          <w:spacing w:val="-1"/>
        </w:rPr>
        <w:t> </w:t>
      </w:r>
      <w:r>
        <w:rPr/>
        <w:t>The</w:t>
      </w:r>
      <w:r>
        <w:rPr>
          <w:spacing w:val="-4"/>
        </w:rPr>
        <w:t> </w:t>
      </w:r>
      <w:r>
        <w:rPr/>
        <w:t>graphs</w:t>
      </w:r>
      <w:r>
        <w:rPr>
          <w:spacing w:val="-2"/>
        </w:rPr>
        <w:t> </w:t>
      </w:r>
      <w:r>
        <w:rPr/>
        <w:t>show</w:t>
      </w:r>
      <w:r>
        <w:rPr>
          <w:spacing w:val="-2"/>
        </w:rPr>
        <w:t> </w:t>
      </w:r>
      <w:r>
        <w:rPr/>
        <w:t>the</w:t>
      </w:r>
      <w:r>
        <w:rPr>
          <w:spacing w:val="-2"/>
        </w:rPr>
        <w:t> </w:t>
      </w:r>
      <w:r>
        <w:rPr/>
        <w:t>nature</w:t>
      </w:r>
      <w:r>
        <w:rPr>
          <w:spacing w:val="-4"/>
        </w:rPr>
        <w:t> </w:t>
      </w:r>
      <w:r>
        <w:rPr/>
        <w:t>of relationship that exists between the independent and dependent variables.</w:t>
      </w:r>
    </w:p>
    <w:p>
      <w:pPr>
        <w:pStyle w:val="BodyText"/>
      </w:pPr>
    </w:p>
    <w:p>
      <w:pPr>
        <w:pStyle w:val="BodyText"/>
      </w:pPr>
    </w:p>
    <w:p>
      <w:pPr>
        <w:pStyle w:val="Heading6"/>
        <w:ind w:firstLine="60"/>
        <w:jc w:val="left"/>
      </w:pPr>
      <w:r>
        <w:rPr/>
        <mc:AlternateContent>
          <mc:Choice Requires="wps">
            <w:drawing>
              <wp:anchor distT="0" distB="0" distL="0" distR="0" allowOverlap="1" layoutInCell="1" locked="0" behindDoc="0" simplePos="0" relativeHeight="15751168">
                <wp:simplePos x="0" y="0"/>
                <wp:positionH relativeFrom="page">
                  <wp:posOffset>623887</wp:posOffset>
                </wp:positionH>
                <wp:positionV relativeFrom="paragraph">
                  <wp:posOffset>346570</wp:posOffset>
                </wp:positionV>
                <wp:extent cx="5753100" cy="4638675"/>
                <wp:effectExtent l="0" t="0" r="0" b="0"/>
                <wp:wrapNone/>
                <wp:docPr id="120" name="Group 120"/>
                <wp:cNvGraphicFramePr>
                  <a:graphicFrameLocks/>
                </wp:cNvGraphicFramePr>
                <a:graphic>
                  <a:graphicData uri="http://schemas.microsoft.com/office/word/2010/wordprocessingGroup">
                    <wpg:wgp>
                      <wpg:cNvPr id="120" name="Group 120"/>
                      <wpg:cNvGrpSpPr/>
                      <wpg:grpSpPr>
                        <a:xfrm>
                          <a:off x="0" y="0"/>
                          <a:ext cx="5753100" cy="4638675"/>
                          <a:chExt cx="5753100" cy="4638675"/>
                        </a:xfrm>
                      </wpg:grpSpPr>
                      <wps:wsp>
                        <wps:cNvPr id="121" name="Graphic 121"/>
                        <wps:cNvSpPr/>
                        <wps:spPr>
                          <a:xfrm>
                            <a:off x="601764" y="570026"/>
                            <a:ext cx="3549650" cy="3731260"/>
                          </a:xfrm>
                          <a:custGeom>
                            <a:avLst/>
                            <a:gdLst/>
                            <a:ahLst/>
                            <a:cxnLst/>
                            <a:rect l="l" t="t" r="r" b="b"/>
                            <a:pathLst>
                              <a:path w="3549650" h="3731260">
                                <a:moveTo>
                                  <a:pt x="40297" y="3731082"/>
                                </a:moveTo>
                                <a:lnTo>
                                  <a:pt x="3549548" y="3731082"/>
                                </a:lnTo>
                              </a:path>
                              <a:path w="3549650" h="3731260">
                                <a:moveTo>
                                  <a:pt x="40297" y="3315842"/>
                                </a:moveTo>
                                <a:lnTo>
                                  <a:pt x="3549548" y="3315842"/>
                                </a:lnTo>
                              </a:path>
                              <a:path w="3549650" h="3731260">
                                <a:moveTo>
                                  <a:pt x="40297" y="2486787"/>
                                </a:moveTo>
                                <a:lnTo>
                                  <a:pt x="3549548" y="2486787"/>
                                </a:lnTo>
                              </a:path>
                              <a:path w="3549650" h="3731260">
                                <a:moveTo>
                                  <a:pt x="40297" y="2072258"/>
                                </a:moveTo>
                                <a:lnTo>
                                  <a:pt x="3549548" y="2072258"/>
                                </a:lnTo>
                              </a:path>
                              <a:path w="3549650" h="3731260">
                                <a:moveTo>
                                  <a:pt x="40297" y="1657731"/>
                                </a:moveTo>
                                <a:lnTo>
                                  <a:pt x="3549548" y="1657731"/>
                                </a:lnTo>
                              </a:path>
                              <a:path w="3549650" h="3731260">
                                <a:moveTo>
                                  <a:pt x="40297" y="1243202"/>
                                </a:moveTo>
                                <a:lnTo>
                                  <a:pt x="3549548" y="1243202"/>
                                </a:lnTo>
                              </a:path>
                              <a:path w="3549650" h="3731260">
                                <a:moveTo>
                                  <a:pt x="40297" y="828675"/>
                                </a:moveTo>
                                <a:lnTo>
                                  <a:pt x="3549548" y="828675"/>
                                </a:lnTo>
                              </a:path>
                              <a:path w="3549650" h="3731260">
                                <a:moveTo>
                                  <a:pt x="40297" y="414147"/>
                                </a:moveTo>
                                <a:lnTo>
                                  <a:pt x="3549548" y="414147"/>
                                </a:lnTo>
                              </a:path>
                              <a:path w="3549650" h="3731260">
                                <a:moveTo>
                                  <a:pt x="40297" y="0"/>
                                </a:moveTo>
                                <a:lnTo>
                                  <a:pt x="3549548" y="0"/>
                                </a:lnTo>
                              </a:path>
                              <a:path w="3549650" h="3731260">
                                <a:moveTo>
                                  <a:pt x="40297" y="3731082"/>
                                </a:moveTo>
                                <a:lnTo>
                                  <a:pt x="40297" y="0"/>
                                </a:lnTo>
                              </a:path>
                              <a:path w="3549650" h="3731260">
                                <a:moveTo>
                                  <a:pt x="0" y="3731082"/>
                                </a:moveTo>
                                <a:lnTo>
                                  <a:pt x="40297" y="3731082"/>
                                </a:lnTo>
                              </a:path>
                              <a:path w="3549650" h="3731260">
                                <a:moveTo>
                                  <a:pt x="0" y="3315842"/>
                                </a:moveTo>
                                <a:lnTo>
                                  <a:pt x="40297" y="3315842"/>
                                </a:lnTo>
                              </a:path>
                              <a:path w="3549650" h="3731260">
                                <a:moveTo>
                                  <a:pt x="0" y="2901315"/>
                                </a:moveTo>
                                <a:lnTo>
                                  <a:pt x="40297" y="2901315"/>
                                </a:lnTo>
                              </a:path>
                              <a:path w="3549650" h="3731260">
                                <a:moveTo>
                                  <a:pt x="0" y="2486787"/>
                                </a:moveTo>
                                <a:lnTo>
                                  <a:pt x="40297" y="2486787"/>
                                </a:lnTo>
                              </a:path>
                              <a:path w="3549650" h="3731260">
                                <a:moveTo>
                                  <a:pt x="0" y="2072258"/>
                                </a:moveTo>
                                <a:lnTo>
                                  <a:pt x="40297" y="2072258"/>
                                </a:lnTo>
                              </a:path>
                              <a:path w="3549650" h="3731260">
                                <a:moveTo>
                                  <a:pt x="0" y="1657731"/>
                                </a:moveTo>
                                <a:lnTo>
                                  <a:pt x="40297" y="1657731"/>
                                </a:lnTo>
                              </a:path>
                              <a:path w="3549650" h="3731260">
                                <a:moveTo>
                                  <a:pt x="0" y="1243202"/>
                                </a:moveTo>
                                <a:lnTo>
                                  <a:pt x="40297" y="1243202"/>
                                </a:lnTo>
                              </a:path>
                              <a:path w="3549650" h="3731260">
                                <a:moveTo>
                                  <a:pt x="0" y="828675"/>
                                </a:moveTo>
                                <a:lnTo>
                                  <a:pt x="40297" y="828675"/>
                                </a:lnTo>
                              </a:path>
                              <a:path w="3549650" h="3731260">
                                <a:moveTo>
                                  <a:pt x="0" y="414147"/>
                                </a:moveTo>
                                <a:lnTo>
                                  <a:pt x="40297" y="414147"/>
                                </a:lnTo>
                              </a:path>
                              <a:path w="3549650" h="3731260">
                                <a:moveTo>
                                  <a:pt x="0" y="0"/>
                                </a:moveTo>
                                <a:lnTo>
                                  <a:pt x="40297" y="0"/>
                                </a:lnTo>
                              </a:path>
                              <a:path w="3549650" h="3731260">
                                <a:moveTo>
                                  <a:pt x="40297" y="2901950"/>
                                </a:moveTo>
                                <a:lnTo>
                                  <a:pt x="3549548" y="2901950"/>
                                </a:lnTo>
                              </a:path>
                              <a:path w="3549650" h="3731260">
                                <a:moveTo>
                                  <a:pt x="40297" y="2901950"/>
                                </a:moveTo>
                                <a:lnTo>
                                  <a:pt x="40297" y="2942209"/>
                                </a:lnTo>
                              </a:path>
                              <a:path w="3549650" h="3731260">
                                <a:moveTo>
                                  <a:pt x="127660" y="2901950"/>
                                </a:moveTo>
                                <a:lnTo>
                                  <a:pt x="127660" y="2942209"/>
                                </a:lnTo>
                              </a:path>
                              <a:path w="3549650" h="3731260">
                                <a:moveTo>
                                  <a:pt x="216052" y="2901950"/>
                                </a:moveTo>
                                <a:lnTo>
                                  <a:pt x="216052" y="2942209"/>
                                </a:lnTo>
                              </a:path>
                              <a:path w="3549650" h="3731260">
                                <a:moveTo>
                                  <a:pt x="302920" y="2901950"/>
                                </a:moveTo>
                                <a:lnTo>
                                  <a:pt x="302920" y="2942209"/>
                                </a:lnTo>
                              </a:path>
                              <a:path w="3549650" h="3731260">
                                <a:moveTo>
                                  <a:pt x="391312" y="2901950"/>
                                </a:moveTo>
                                <a:lnTo>
                                  <a:pt x="391312" y="2942209"/>
                                </a:lnTo>
                              </a:path>
                              <a:path w="3549650" h="3731260">
                                <a:moveTo>
                                  <a:pt x="479704" y="2901950"/>
                                </a:moveTo>
                                <a:lnTo>
                                  <a:pt x="479704" y="2942209"/>
                                </a:lnTo>
                              </a:path>
                              <a:path w="3549650" h="3731260">
                                <a:moveTo>
                                  <a:pt x="566572" y="2901950"/>
                                </a:moveTo>
                                <a:lnTo>
                                  <a:pt x="566572" y="2942209"/>
                                </a:lnTo>
                              </a:path>
                              <a:path w="3549650" h="3731260">
                                <a:moveTo>
                                  <a:pt x="654964" y="2901950"/>
                                </a:moveTo>
                                <a:lnTo>
                                  <a:pt x="654964" y="2942209"/>
                                </a:lnTo>
                              </a:path>
                              <a:path w="3549650" h="3731260">
                                <a:moveTo>
                                  <a:pt x="741832" y="2901950"/>
                                </a:moveTo>
                                <a:lnTo>
                                  <a:pt x="741832" y="2942209"/>
                                </a:lnTo>
                              </a:path>
                              <a:path w="3549650" h="3731260">
                                <a:moveTo>
                                  <a:pt x="830224" y="2901950"/>
                                </a:moveTo>
                                <a:lnTo>
                                  <a:pt x="830224" y="2942209"/>
                                </a:lnTo>
                              </a:path>
                              <a:path w="3549650" h="3731260">
                                <a:moveTo>
                                  <a:pt x="917092" y="2901950"/>
                                </a:moveTo>
                                <a:lnTo>
                                  <a:pt x="917092" y="2942209"/>
                                </a:lnTo>
                              </a:path>
                              <a:path w="3549650" h="3731260">
                                <a:moveTo>
                                  <a:pt x="1005484" y="2901950"/>
                                </a:moveTo>
                                <a:lnTo>
                                  <a:pt x="1005484" y="2942209"/>
                                </a:lnTo>
                              </a:path>
                              <a:path w="3549650" h="3731260">
                                <a:moveTo>
                                  <a:pt x="1092352" y="2901950"/>
                                </a:moveTo>
                                <a:lnTo>
                                  <a:pt x="1092352" y="2942209"/>
                                </a:lnTo>
                              </a:path>
                              <a:path w="3549650" h="3731260">
                                <a:moveTo>
                                  <a:pt x="1180744" y="2901950"/>
                                </a:moveTo>
                                <a:lnTo>
                                  <a:pt x="1180744" y="2942209"/>
                                </a:lnTo>
                              </a:path>
                              <a:path w="3549650" h="3731260">
                                <a:moveTo>
                                  <a:pt x="1269136" y="2901950"/>
                                </a:moveTo>
                                <a:lnTo>
                                  <a:pt x="1269136" y="2942209"/>
                                </a:lnTo>
                              </a:path>
                              <a:path w="3549650" h="3731260">
                                <a:moveTo>
                                  <a:pt x="1356004" y="2901950"/>
                                </a:moveTo>
                                <a:lnTo>
                                  <a:pt x="1356004" y="2942209"/>
                                </a:lnTo>
                              </a:path>
                              <a:path w="3549650" h="3731260">
                                <a:moveTo>
                                  <a:pt x="1444396" y="2901950"/>
                                </a:moveTo>
                                <a:lnTo>
                                  <a:pt x="1444396" y="2942209"/>
                                </a:lnTo>
                              </a:path>
                              <a:path w="3549650" h="3731260">
                                <a:moveTo>
                                  <a:pt x="1531264" y="2901950"/>
                                </a:moveTo>
                                <a:lnTo>
                                  <a:pt x="1531264" y="2942209"/>
                                </a:lnTo>
                              </a:path>
                              <a:path w="3549650" h="3731260">
                                <a:moveTo>
                                  <a:pt x="1619656" y="2901950"/>
                                </a:moveTo>
                                <a:lnTo>
                                  <a:pt x="1619656" y="2942209"/>
                                </a:lnTo>
                              </a:path>
                              <a:path w="3549650" h="3731260">
                                <a:moveTo>
                                  <a:pt x="1706524" y="2901950"/>
                                </a:moveTo>
                                <a:lnTo>
                                  <a:pt x="1706524" y="2942209"/>
                                </a:lnTo>
                              </a:path>
                              <a:path w="3549650" h="3731260">
                                <a:moveTo>
                                  <a:pt x="1794916" y="2901950"/>
                                </a:moveTo>
                                <a:lnTo>
                                  <a:pt x="1794916" y="2942209"/>
                                </a:lnTo>
                              </a:path>
                              <a:path w="3549650" h="3731260">
                                <a:moveTo>
                                  <a:pt x="1883308" y="2901950"/>
                                </a:moveTo>
                                <a:lnTo>
                                  <a:pt x="1883308" y="2942209"/>
                                </a:lnTo>
                              </a:path>
                              <a:path w="3549650" h="3731260">
                                <a:moveTo>
                                  <a:pt x="1970176" y="2901950"/>
                                </a:moveTo>
                                <a:lnTo>
                                  <a:pt x="1970176" y="2942209"/>
                                </a:lnTo>
                              </a:path>
                              <a:path w="3549650" h="3731260">
                                <a:moveTo>
                                  <a:pt x="2058568" y="2901950"/>
                                </a:moveTo>
                                <a:lnTo>
                                  <a:pt x="2058568" y="2942209"/>
                                </a:lnTo>
                              </a:path>
                              <a:path w="3549650" h="3731260">
                                <a:moveTo>
                                  <a:pt x="2145436" y="2901950"/>
                                </a:moveTo>
                                <a:lnTo>
                                  <a:pt x="2145436" y="2942209"/>
                                </a:lnTo>
                              </a:path>
                              <a:path w="3549650" h="3731260">
                                <a:moveTo>
                                  <a:pt x="2233828" y="2901950"/>
                                </a:moveTo>
                                <a:lnTo>
                                  <a:pt x="2233828" y="2942209"/>
                                </a:lnTo>
                              </a:path>
                              <a:path w="3549650" h="3731260">
                                <a:moveTo>
                                  <a:pt x="2320696" y="2901950"/>
                                </a:moveTo>
                                <a:lnTo>
                                  <a:pt x="2320696" y="2942209"/>
                                </a:lnTo>
                              </a:path>
                              <a:path w="3549650" h="3731260">
                                <a:moveTo>
                                  <a:pt x="2409088" y="2901950"/>
                                </a:moveTo>
                                <a:lnTo>
                                  <a:pt x="2409088" y="2942209"/>
                                </a:lnTo>
                              </a:path>
                              <a:path w="3549650" h="3731260">
                                <a:moveTo>
                                  <a:pt x="2497480" y="2901950"/>
                                </a:moveTo>
                                <a:lnTo>
                                  <a:pt x="2497480" y="2942209"/>
                                </a:lnTo>
                              </a:path>
                              <a:path w="3549650" h="3731260">
                                <a:moveTo>
                                  <a:pt x="2584348" y="2901950"/>
                                </a:moveTo>
                                <a:lnTo>
                                  <a:pt x="2584348" y="2942209"/>
                                </a:lnTo>
                              </a:path>
                              <a:path w="3549650" h="3731260">
                                <a:moveTo>
                                  <a:pt x="2672740" y="2901950"/>
                                </a:moveTo>
                                <a:lnTo>
                                  <a:pt x="2672740" y="2942209"/>
                                </a:lnTo>
                              </a:path>
                              <a:path w="3549650" h="3731260">
                                <a:moveTo>
                                  <a:pt x="2759608" y="2901950"/>
                                </a:moveTo>
                                <a:lnTo>
                                  <a:pt x="2759608" y="2942209"/>
                                </a:lnTo>
                              </a:path>
                              <a:path w="3549650" h="3731260">
                                <a:moveTo>
                                  <a:pt x="2848000" y="2901950"/>
                                </a:moveTo>
                                <a:lnTo>
                                  <a:pt x="2848000" y="2942209"/>
                                </a:lnTo>
                              </a:path>
                              <a:path w="3549650" h="3731260">
                                <a:moveTo>
                                  <a:pt x="2934868" y="2901950"/>
                                </a:moveTo>
                                <a:lnTo>
                                  <a:pt x="2934868" y="2942209"/>
                                </a:lnTo>
                              </a:path>
                              <a:path w="3549650" h="3731260">
                                <a:moveTo>
                                  <a:pt x="3023260" y="2901950"/>
                                </a:moveTo>
                                <a:lnTo>
                                  <a:pt x="3023260" y="2942209"/>
                                </a:lnTo>
                              </a:path>
                              <a:path w="3549650" h="3731260">
                                <a:moveTo>
                                  <a:pt x="3111652" y="2901950"/>
                                </a:moveTo>
                                <a:lnTo>
                                  <a:pt x="3111652" y="2942209"/>
                                </a:lnTo>
                              </a:path>
                              <a:path w="3549650" h="3731260">
                                <a:moveTo>
                                  <a:pt x="3198520" y="2901950"/>
                                </a:moveTo>
                                <a:lnTo>
                                  <a:pt x="3198520" y="2942209"/>
                                </a:lnTo>
                              </a:path>
                              <a:path w="3549650" h="3731260">
                                <a:moveTo>
                                  <a:pt x="3286912" y="2901950"/>
                                </a:moveTo>
                                <a:lnTo>
                                  <a:pt x="3286912" y="2942209"/>
                                </a:lnTo>
                              </a:path>
                              <a:path w="3549650" h="3731260">
                                <a:moveTo>
                                  <a:pt x="3373780" y="2901950"/>
                                </a:moveTo>
                                <a:lnTo>
                                  <a:pt x="3373780" y="2942209"/>
                                </a:lnTo>
                              </a:path>
                              <a:path w="3549650" h="3731260">
                                <a:moveTo>
                                  <a:pt x="3462172" y="2901950"/>
                                </a:moveTo>
                                <a:lnTo>
                                  <a:pt x="3462172" y="2942209"/>
                                </a:lnTo>
                              </a:path>
                              <a:path w="3549650" h="3731260">
                                <a:moveTo>
                                  <a:pt x="3549548" y="2901950"/>
                                </a:moveTo>
                                <a:lnTo>
                                  <a:pt x="3549548" y="2942209"/>
                                </a:lnTo>
                              </a:path>
                            </a:pathLst>
                          </a:custGeom>
                          <a:ln w="9525">
                            <a:solidFill>
                              <a:srgbClr val="858585"/>
                            </a:solidFill>
                            <a:prstDash val="solid"/>
                          </a:ln>
                        </wps:spPr>
                        <wps:bodyPr wrap="square" lIns="0" tIns="0" rIns="0" bIns="0" rtlCol="0">
                          <a:prstTxWarp prst="textNoShape">
                            <a:avLst/>
                          </a:prstTxWarp>
                          <a:noAutofit/>
                        </wps:bodyPr>
                      </wps:wsp>
                      <wps:wsp>
                        <wps:cNvPr id="122" name="Graphic 122"/>
                        <wps:cNvSpPr/>
                        <wps:spPr>
                          <a:xfrm>
                            <a:off x="685863" y="948359"/>
                            <a:ext cx="3908425" cy="3148330"/>
                          </a:xfrm>
                          <a:custGeom>
                            <a:avLst/>
                            <a:gdLst/>
                            <a:ahLst/>
                            <a:cxnLst/>
                            <a:rect l="l" t="t" r="r" b="b"/>
                            <a:pathLst>
                              <a:path w="3908425" h="3148330">
                                <a:moveTo>
                                  <a:pt x="0" y="2385822"/>
                                </a:moveTo>
                                <a:lnTo>
                                  <a:pt x="87757" y="2521457"/>
                                </a:lnTo>
                                <a:lnTo>
                                  <a:pt x="176149" y="2472690"/>
                                </a:lnTo>
                                <a:lnTo>
                                  <a:pt x="263017" y="2518410"/>
                                </a:lnTo>
                                <a:lnTo>
                                  <a:pt x="351409" y="2513837"/>
                                </a:lnTo>
                                <a:lnTo>
                                  <a:pt x="438276" y="2509266"/>
                                </a:lnTo>
                                <a:lnTo>
                                  <a:pt x="526669" y="2526029"/>
                                </a:lnTo>
                                <a:lnTo>
                                  <a:pt x="613537" y="2524505"/>
                                </a:lnTo>
                                <a:lnTo>
                                  <a:pt x="701929" y="2417825"/>
                                </a:lnTo>
                                <a:lnTo>
                                  <a:pt x="790321" y="2487929"/>
                                </a:lnTo>
                                <a:lnTo>
                                  <a:pt x="877188" y="2501645"/>
                                </a:lnTo>
                                <a:lnTo>
                                  <a:pt x="965581" y="2483357"/>
                                </a:lnTo>
                                <a:lnTo>
                                  <a:pt x="1052449" y="1975865"/>
                                </a:lnTo>
                                <a:lnTo>
                                  <a:pt x="1140841" y="2385822"/>
                                </a:lnTo>
                                <a:lnTo>
                                  <a:pt x="1227709" y="2925317"/>
                                </a:lnTo>
                                <a:lnTo>
                                  <a:pt x="1316101" y="1760981"/>
                                </a:lnTo>
                                <a:lnTo>
                                  <a:pt x="1404493" y="1075181"/>
                                </a:lnTo>
                                <a:lnTo>
                                  <a:pt x="1491361" y="185165"/>
                                </a:lnTo>
                                <a:lnTo>
                                  <a:pt x="1579753" y="1535429"/>
                                </a:lnTo>
                                <a:lnTo>
                                  <a:pt x="1666621" y="488441"/>
                                </a:lnTo>
                                <a:lnTo>
                                  <a:pt x="1755013" y="1620773"/>
                                </a:lnTo>
                                <a:lnTo>
                                  <a:pt x="1841881" y="2126741"/>
                                </a:lnTo>
                                <a:lnTo>
                                  <a:pt x="1930273" y="843533"/>
                                </a:lnTo>
                                <a:lnTo>
                                  <a:pt x="2018664" y="1985009"/>
                                </a:lnTo>
                                <a:lnTo>
                                  <a:pt x="2105533" y="2451354"/>
                                </a:lnTo>
                                <a:lnTo>
                                  <a:pt x="2193925" y="2378201"/>
                                </a:lnTo>
                                <a:lnTo>
                                  <a:pt x="2280793" y="2676905"/>
                                </a:lnTo>
                                <a:lnTo>
                                  <a:pt x="2369185" y="2554985"/>
                                </a:lnTo>
                                <a:lnTo>
                                  <a:pt x="2456053" y="2466593"/>
                                </a:lnTo>
                                <a:lnTo>
                                  <a:pt x="2544445" y="0"/>
                                </a:lnTo>
                                <a:lnTo>
                                  <a:pt x="2631313" y="2053589"/>
                                </a:lnTo>
                                <a:lnTo>
                                  <a:pt x="2719704" y="2454401"/>
                                </a:lnTo>
                                <a:lnTo>
                                  <a:pt x="2808097" y="2070353"/>
                                </a:lnTo>
                                <a:lnTo>
                                  <a:pt x="2894965" y="2257805"/>
                                </a:lnTo>
                                <a:lnTo>
                                  <a:pt x="2983357" y="2373629"/>
                                </a:lnTo>
                                <a:lnTo>
                                  <a:pt x="3070225" y="3148076"/>
                                </a:lnTo>
                                <a:lnTo>
                                  <a:pt x="3158616" y="3024378"/>
                                </a:lnTo>
                                <a:lnTo>
                                  <a:pt x="3245485" y="2529078"/>
                                </a:lnTo>
                                <a:lnTo>
                                  <a:pt x="3333877" y="2519934"/>
                                </a:lnTo>
                                <a:lnTo>
                                  <a:pt x="3421634" y="1663445"/>
                                </a:lnTo>
                              </a:path>
                              <a:path w="3908425" h="3148330">
                                <a:moveTo>
                                  <a:pt x="3664204" y="1583181"/>
                                </a:moveTo>
                                <a:lnTo>
                                  <a:pt x="3908044" y="1583181"/>
                                </a:lnTo>
                              </a:path>
                            </a:pathLst>
                          </a:custGeom>
                          <a:ln w="28575">
                            <a:solidFill>
                              <a:srgbClr val="497DBA"/>
                            </a:solidFill>
                            <a:prstDash val="solid"/>
                          </a:ln>
                        </wps:spPr>
                        <wps:bodyPr wrap="square" lIns="0" tIns="0" rIns="0" bIns="0" rtlCol="0">
                          <a:prstTxWarp prst="textNoShape">
                            <a:avLst/>
                          </a:prstTxWarp>
                          <a:noAutofit/>
                        </wps:bodyPr>
                      </wps:wsp>
                      <wps:wsp>
                        <wps:cNvPr id="123" name="Textbox 123"/>
                        <wps:cNvSpPr txBox="1"/>
                        <wps:spPr>
                          <a:xfrm>
                            <a:off x="4762" y="4762"/>
                            <a:ext cx="5743575" cy="4629150"/>
                          </a:xfrm>
                          <a:prstGeom prst="rect">
                            <a:avLst/>
                          </a:prstGeom>
                          <a:ln w="9525">
                            <a:solidFill>
                              <a:srgbClr val="858585"/>
                            </a:solidFill>
                            <a:prstDash val="solid"/>
                          </a:ln>
                        </wps:spPr>
                        <wps:txbx>
                          <w:txbxContent>
                            <w:p>
                              <w:pPr>
                                <w:spacing w:before="143"/>
                                <w:ind w:left="4109" w:right="998" w:hanging="3114"/>
                                <w:jc w:val="left"/>
                                <w:rPr>
                                  <w:rFonts w:ascii="Calibri"/>
                                  <w:b/>
                                  <w:sz w:val="20"/>
                                </w:rPr>
                              </w:pPr>
                              <w:r>
                                <w:rPr>
                                  <w:rFonts w:ascii="Calibri"/>
                                  <w:b/>
                                  <w:sz w:val="20"/>
                                </w:rPr>
                                <w:t>LINE</w:t>
                              </w:r>
                              <w:r>
                                <w:rPr>
                                  <w:rFonts w:ascii="Calibri"/>
                                  <w:b/>
                                  <w:spacing w:val="-4"/>
                                  <w:sz w:val="20"/>
                                </w:rPr>
                                <w:t> </w:t>
                              </w:r>
                              <w:r>
                                <w:rPr>
                                  <w:rFonts w:ascii="Calibri"/>
                                  <w:b/>
                                  <w:sz w:val="20"/>
                                </w:rPr>
                                <w:t>CHART</w:t>
                              </w:r>
                              <w:r>
                                <w:rPr>
                                  <w:rFonts w:ascii="Calibri"/>
                                  <w:b/>
                                  <w:spacing w:val="-4"/>
                                  <w:sz w:val="20"/>
                                </w:rPr>
                                <w:t> </w:t>
                              </w:r>
                              <w:r>
                                <w:rPr>
                                  <w:rFonts w:ascii="Calibri"/>
                                  <w:b/>
                                  <w:sz w:val="20"/>
                                </w:rPr>
                                <w:t>OF</w:t>
                              </w:r>
                              <w:r>
                                <w:rPr>
                                  <w:rFonts w:ascii="Calibri"/>
                                  <w:b/>
                                  <w:spacing w:val="-6"/>
                                  <w:sz w:val="20"/>
                                </w:rPr>
                                <w:t> </w:t>
                              </w:r>
                              <w:r>
                                <w:rPr>
                                  <w:rFonts w:ascii="Calibri"/>
                                  <w:b/>
                                  <w:sz w:val="20"/>
                                </w:rPr>
                                <w:t>CHANGE</w:t>
                              </w:r>
                              <w:r>
                                <w:rPr>
                                  <w:rFonts w:ascii="Calibri"/>
                                  <w:b/>
                                  <w:spacing w:val="-2"/>
                                  <w:sz w:val="20"/>
                                </w:rPr>
                                <w:t> </w:t>
                              </w:r>
                              <w:r>
                                <w:rPr>
                                  <w:rFonts w:ascii="Calibri"/>
                                  <w:b/>
                                  <w:sz w:val="20"/>
                                </w:rPr>
                                <w:t>IN</w:t>
                              </w:r>
                              <w:r>
                                <w:rPr>
                                  <w:rFonts w:ascii="Calibri"/>
                                  <w:b/>
                                  <w:spacing w:val="-5"/>
                                  <w:sz w:val="20"/>
                                </w:rPr>
                                <w:t> </w:t>
                              </w:r>
                              <w:r>
                                <w:rPr>
                                  <w:rFonts w:ascii="Calibri"/>
                                  <w:b/>
                                  <w:sz w:val="20"/>
                                </w:rPr>
                                <w:t>EXTERNAL</w:t>
                              </w:r>
                              <w:r>
                                <w:rPr>
                                  <w:rFonts w:ascii="Calibri"/>
                                  <w:b/>
                                  <w:spacing w:val="38"/>
                                  <w:sz w:val="20"/>
                                </w:rPr>
                                <w:t> </w:t>
                              </w:r>
                              <w:r>
                                <w:rPr>
                                  <w:rFonts w:ascii="Calibri"/>
                                  <w:b/>
                                  <w:sz w:val="20"/>
                                </w:rPr>
                                <w:t>DEBT</w:t>
                              </w:r>
                              <w:r>
                                <w:rPr>
                                  <w:rFonts w:ascii="Calibri"/>
                                  <w:b/>
                                  <w:spacing w:val="-4"/>
                                  <w:sz w:val="20"/>
                                </w:rPr>
                                <w:t> </w:t>
                              </w:r>
                              <w:r>
                                <w:rPr>
                                  <w:rFonts w:ascii="Calibri"/>
                                  <w:b/>
                                  <w:sz w:val="20"/>
                                </w:rPr>
                                <w:t>AS</w:t>
                              </w:r>
                              <w:r>
                                <w:rPr>
                                  <w:rFonts w:ascii="Calibri"/>
                                  <w:b/>
                                  <w:spacing w:val="-4"/>
                                  <w:sz w:val="20"/>
                                </w:rPr>
                                <w:t> </w:t>
                              </w:r>
                              <w:r>
                                <w:rPr>
                                  <w:rFonts w:ascii="Calibri"/>
                                  <w:b/>
                                  <w:sz w:val="20"/>
                                </w:rPr>
                                <w:t>A</w:t>
                              </w:r>
                              <w:r>
                                <w:rPr>
                                  <w:rFonts w:ascii="Calibri"/>
                                  <w:b/>
                                  <w:spacing w:val="-6"/>
                                  <w:sz w:val="20"/>
                                </w:rPr>
                                <w:t> </w:t>
                              </w:r>
                              <w:r>
                                <w:rPr>
                                  <w:rFonts w:ascii="Calibri"/>
                                  <w:b/>
                                  <w:sz w:val="20"/>
                                </w:rPr>
                                <w:t>PERCENTAGE OF</w:t>
                              </w:r>
                              <w:r>
                                <w:rPr>
                                  <w:rFonts w:ascii="Calibri"/>
                                  <w:b/>
                                  <w:spacing w:val="-6"/>
                                  <w:sz w:val="20"/>
                                </w:rPr>
                                <w:t> </w:t>
                              </w:r>
                              <w:r>
                                <w:rPr>
                                  <w:rFonts w:ascii="Calibri"/>
                                  <w:b/>
                                  <w:sz w:val="20"/>
                                </w:rPr>
                                <w:t>GROSS</w:t>
                              </w:r>
                              <w:r>
                                <w:rPr>
                                  <w:rFonts w:ascii="Calibri"/>
                                  <w:b/>
                                  <w:spacing w:val="-4"/>
                                  <w:sz w:val="20"/>
                                </w:rPr>
                                <w:t> </w:t>
                              </w:r>
                              <w:r>
                                <w:rPr>
                                  <w:rFonts w:ascii="Calibri"/>
                                  <w:b/>
                                  <w:sz w:val="20"/>
                                </w:rPr>
                                <w:t>DOMESTIC </w:t>
                              </w:r>
                              <w:r>
                                <w:rPr>
                                  <w:rFonts w:ascii="Calibri"/>
                                  <w:b/>
                                  <w:spacing w:val="-2"/>
                                  <w:sz w:val="20"/>
                                </w:rPr>
                                <w:t>PRODUCT</w:t>
                              </w:r>
                            </w:p>
                            <w:p>
                              <w:pPr>
                                <w:spacing w:before="119"/>
                                <w:ind w:left="0" w:right="8218" w:firstLine="0"/>
                                <w:jc w:val="right"/>
                                <w:rPr>
                                  <w:rFonts w:ascii="Calibri"/>
                                  <w:sz w:val="20"/>
                                </w:rPr>
                              </w:pPr>
                              <w:r>
                                <w:rPr>
                                  <w:rFonts w:ascii="Calibri"/>
                                  <w:spacing w:val="-5"/>
                                  <w:sz w:val="20"/>
                                </w:rPr>
                                <w:t>70</w:t>
                              </w:r>
                            </w:p>
                            <w:p>
                              <w:pPr>
                                <w:spacing w:line="240" w:lineRule="auto" w:before="164"/>
                                <w:rPr>
                                  <w:rFonts w:ascii="Calibri"/>
                                  <w:sz w:val="20"/>
                                </w:rPr>
                              </w:pPr>
                            </w:p>
                            <w:p>
                              <w:pPr>
                                <w:spacing w:before="0"/>
                                <w:ind w:left="0" w:right="8218" w:firstLine="0"/>
                                <w:jc w:val="right"/>
                                <w:rPr>
                                  <w:rFonts w:ascii="Calibri"/>
                                  <w:sz w:val="20"/>
                                </w:rPr>
                              </w:pPr>
                              <w:r>
                                <w:rPr>
                                  <w:rFonts w:ascii="Calibri"/>
                                  <w:spacing w:val="-5"/>
                                  <w:sz w:val="20"/>
                                </w:rPr>
                                <w:t>60</w:t>
                              </w:r>
                            </w:p>
                            <w:p>
                              <w:pPr>
                                <w:spacing w:line="240" w:lineRule="auto" w:before="165"/>
                                <w:rPr>
                                  <w:rFonts w:ascii="Calibri"/>
                                  <w:sz w:val="20"/>
                                </w:rPr>
                              </w:pPr>
                            </w:p>
                            <w:p>
                              <w:pPr>
                                <w:spacing w:before="0"/>
                                <w:ind w:left="0" w:right="8218" w:firstLine="0"/>
                                <w:jc w:val="right"/>
                                <w:rPr>
                                  <w:rFonts w:ascii="Calibri"/>
                                  <w:sz w:val="20"/>
                                </w:rPr>
                              </w:pPr>
                              <w:r>
                                <w:rPr>
                                  <w:rFonts w:ascii="Calibri"/>
                                  <w:spacing w:val="-5"/>
                                  <w:sz w:val="20"/>
                                </w:rPr>
                                <w:t>50</w:t>
                              </w:r>
                            </w:p>
                            <w:p>
                              <w:pPr>
                                <w:spacing w:line="240" w:lineRule="auto" w:before="164"/>
                                <w:rPr>
                                  <w:rFonts w:ascii="Calibri"/>
                                  <w:sz w:val="20"/>
                                </w:rPr>
                              </w:pPr>
                            </w:p>
                            <w:p>
                              <w:pPr>
                                <w:spacing w:before="1"/>
                                <w:ind w:left="0" w:right="8218" w:firstLine="0"/>
                                <w:jc w:val="right"/>
                                <w:rPr>
                                  <w:rFonts w:ascii="Calibri"/>
                                  <w:sz w:val="20"/>
                                </w:rPr>
                              </w:pPr>
                              <w:r>
                                <w:rPr>
                                  <w:rFonts w:ascii="Calibri"/>
                                  <w:spacing w:val="-5"/>
                                  <w:sz w:val="20"/>
                                </w:rPr>
                                <w:t>40</w:t>
                              </w:r>
                            </w:p>
                            <w:p>
                              <w:pPr>
                                <w:spacing w:line="240" w:lineRule="auto" w:before="164"/>
                                <w:rPr>
                                  <w:rFonts w:ascii="Calibri"/>
                                  <w:sz w:val="20"/>
                                </w:rPr>
                              </w:pPr>
                            </w:p>
                            <w:p>
                              <w:pPr>
                                <w:spacing w:before="0"/>
                                <w:ind w:left="0" w:right="8218" w:firstLine="0"/>
                                <w:jc w:val="right"/>
                                <w:rPr>
                                  <w:rFonts w:ascii="Calibri"/>
                                  <w:sz w:val="20"/>
                                </w:rPr>
                              </w:pPr>
                              <w:r>
                                <w:rPr>
                                  <w:rFonts w:ascii="Calibri"/>
                                  <w:spacing w:val="-5"/>
                                  <w:sz w:val="20"/>
                                </w:rPr>
                                <w:t>30</w:t>
                              </w:r>
                            </w:p>
                            <w:p>
                              <w:pPr>
                                <w:spacing w:line="210" w:lineRule="exact" w:before="234"/>
                                <w:ind w:left="0" w:right="198" w:firstLine="0"/>
                                <w:jc w:val="right"/>
                                <w:rPr>
                                  <w:rFonts w:ascii="Calibri" w:hAnsi="Calibri"/>
                                  <w:sz w:val="20"/>
                                </w:rPr>
                              </w:pPr>
                              <w:r>
                                <w:rPr>
                                  <w:rFonts w:ascii="Calibri" w:hAnsi="Calibri"/>
                                  <w:spacing w:val="-2"/>
                                  <w:sz w:val="20"/>
                                </w:rPr>
                                <w:t>∆EXDEBT/GDP*100</w:t>
                              </w:r>
                            </w:p>
                            <w:p>
                              <w:pPr>
                                <w:spacing w:line="210" w:lineRule="exact" w:before="0"/>
                                <w:ind w:left="608" w:right="0" w:firstLine="0"/>
                                <w:jc w:val="left"/>
                                <w:rPr>
                                  <w:rFonts w:ascii="Calibri"/>
                                  <w:sz w:val="20"/>
                                </w:rPr>
                              </w:pPr>
                              <w:r>
                                <w:rPr>
                                  <w:rFonts w:ascii="Calibri"/>
                                  <w:spacing w:val="-5"/>
                                  <w:sz w:val="20"/>
                                </w:rPr>
                                <w:t>20</w:t>
                              </w:r>
                            </w:p>
                            <w:p>
                              <w:pPr>
                                <w:spacing w:line="240" w:lineRule="auto" w:before="164"/>
                                <w:rPr>
                                  <w:rFonts w:ascii="Calibri"/>
                                  <w:sz w:val="20"/>
                                </w:rPr>
                              </w:pPr>
                            </w:p>
                            <w:p>
                              <w:pPr>
                                <w:spacing w:before="0"/>
                                <w:ind w:left="0" w:right="8218" w:firstLine="0"/>
                                <w:jc w:val="right"/>
                                <w:rPr>
                                  <w:rFonts w:ascii="Calibri"/>
                                  <w:sz w:val="20"/>
                                </w:rPr>
                              </w:pPr>
                              <w:r>
                                <w:rPr>
                                  <w:rFonts w:ascii="Calibri"/>
                                  <w:spacing w:val="-5"/>
                                  <w:sz w:val="20"/>
                                </w:rPr>
                                <w:t>10</w:t>
                              </w:r>
                            </w:p>
                            <w:p>
                              <w:pPr>
                                <w:spacing w:line="240" w:lineRule="auto" w:before="165"/>
                                <w:rPr>
                                  <w:rFonts w:ascii="Calibri"/>
                                  <w:sz w:val="20"/>
                                </w:rPr>
                              </w:pPr>
                            </w:p>
                            <w:p>
                              <w:pPr>
                                <w:spacing w:before="0"/>
                                <w:ind w:left="0" w:right="8217" w:firstLine="0"/>
                                <w:jc w:val="right"/>
                                <w:rPr>
                                  <w:rFonts w:ascii="Calibri"/>
                                  <w:sz w:val="20"/>
                                </w:rPr>
                              </w:pPr>
                              <w:r>
                                <w:rPr>
                                  <w:rFonts w:ascii="Calibri"/>
                                  <w:spacing w:val="-10"/>
                                  <w:sz w:val="20"/>
                                </w:rPr>
                                <w:t>0</w:t>
                              </w:r>
                            </w:p>
                            <w:p>
                              <w:pPr>
                                <w:spacing w:line="240" w:lineRule="auto" w:before="165"/>
                                <w:rPr>
                                  <w:rFonts w:ascii="Calibri"/>
                                  <w:sz w:val="20"/>
                                </w:rPr>
                              </w:pPr>
                            </w:p>
                            <w:p>
                              <w:pPr>
                                <w:spacing w:before="0"/>
                                <w:ind w:left="0" w:right="8216" w:firstLine="0"/>
                                <w:jc w:val="right"/>
                                <w:rPr>
                                  <w:rFonts w:ascii="Calibri"/>
                                  <w:sz w:val="20"/>
                                </w:rPr>
                              </w:pPr>
                              <w:r>
                                <w:rPr>
                                  <w:rFonts w:ascii="Calibri"/>
                                  <w:sz w:val="20"/>
                                </w:rPr>
                                <w:t>-</w:t>
                              </w:r>
                              <w:r>
                                <w:rPr>
                                  <w:rFonts w:ascii="Calibri"/>
                                  <w:spacing w:val="-5"/>
                                  <w:sz w:val="20"/>
                                </w:rPr>
                                <w:t>10</w:t>
                              </w:r>
                            </w:p>
                            <w:p>
                              <w:pPr>
                                <w:spacing w:line="240" w:lineRule="auto" w:before="164"/>
                                <w:rPr>
                                  <w:rFonts w:ascii="Calibri"/>
                                  <w:sz w:val="20"/>
                                </w:rPr>
                              </w:pPr>
                            </w:p>
                            <w:p>
                              <w:pPr>
                                <w:spacing w:line="204" w:lineRule="exact" w:before="0"/>
                                <w:ind w:left="547" w:right="0" w:firstLine="0"/>
                                <w:jc w:val="left"/>
                                <w:rPr>
                                  <w:rFonts w:ascii="Calibri"/>
                                  <w:sz w:val="20"/>
                                </w:rPr>
                              </w:pPr>
                              <w:r>
                                <w:rPr>
                                  <w:rFonts w:ascii="Calibri"/>
                                  <w:sz w:val="20"/>
                                </w:rPr>
                                <w:t>-</w:t>
                              </w:r>
                              <w:r>
                                <w:rPr>
                                  <w:rFonts w:ascii="Calibri"/>
                                  <w:spacing w:val="-5"/>
                                  <w:sz w:val="20"/>
                                </w:rPr>
                                <w:t>20</w:t>
                              </w:r>
                            </w:p>
                            <w:p>
                              <w:pPr>
                                <w:spacing w:line="204" w:lineRule="exact" w:before="0"/>
                                <w:ind w:left="0" w:right="1510" w:firstLine="0"/>
                                <w:jc w:val="center"/>
                                <w:rPr>
                                  <w:rFonts w:ascii="Calibri"/>
                                  <w:b/>
                                  <w:sz w:val="20"/>
                                </w:rPr>
                              </w:pPr>
                              <w:r>
                                <w:rPr>
                                  <w:rFonts w:ascii="Calibri"/>
                                  <w:b/>
                                  <w:spacing w:val="-4"/>
                                  <w:sz w:val="20"/>
                                </w:rPr>
                                <w:t>YEAR</w:t>
                              </w:r>
                            </w:p>
                          </w:txbxContent>
                        </wps:txbx>
                        <wps:bodyPr wrap="square" lIns="0" tIns="0" rIns="0" bIns="0" rtlCol="0">
                          <a:noAutofit/>
                        </wps:bodyPr>
                      </wps:wsp>
                    </wpg:wgp>
                  </a:graphicData>
                </a:graphic>
              </wp:anchor>
            </w:drawing>
          </mc:Choice>
          <mc:Fallback>
            <w:pict>
              <v:group style="position:absolute;margin-left:49.125pt;margin-top:27.289015pt;width:453pt;height:365.25pt;mso-position-horizontal-relative:page;mso-position-vertical-relative:paragraph;z-index:15751168" id="docshapegroup106" coordorigin="983,546" coordsize="9060,7305">
                <v:shape style="position:absolute;left:1930;top:1443;width:5590;height:5876" id="docshape107" coordorigin="1930,1443" coordsize="5590,5876" path="m1994,7319l7520,7319m1994,6665l7520,6665m1994,5360l7520,5360m1994,4707l7520,4707m1994,4054l7520,4054m1994,3401l7520,3401m1994,2748l7520,2748m1994,2096l7520,2096m1994,1443l7520,1443m1994,7319l1994,1443m1930,7319l1994,7319m1930,6665l1994,6665m1930,6012l1994,6012m1930,5360l1994,5360m1930,4707l1994,4707m1930,4054l1994,4054m1930,3401l1994,3401m1930,2748l1994,2748m1930,2096l1994,2096m1930,1443l1994,1443m1994,6013l7520,6013m1994,6013l1994,6077m2131,6013l2131,6077m2270,6013l2270,6077m2407,6013l2407,6077m2546,6013l2546,6077m2686,6013l2686,6077m2822,6013l2822,6077m2962,6013l2962,6077m3098,6013l3098,6077m3238,6013l3238,6077m3374,6013l3374,6077m3514,6013l3514,6077m3650,6013l3650,6077m3790,6013l3790,6077m3929,6013l3929,6077m4066,6013l4066,6077m4205,6013l4205,6077m4342,6013l4342,6077m4481,6013l4481,6077m4618,6013l4618,6077m4757,6013l4757,6077m4896,6013l4896,6077m5033,6013l5033,6077m5172,6013l5172,6077m5309,6013l5309,6077m5448,6013l5448,6077m5585,6013l5585,6077m5724,6013l5724,6077m5863,6013l5863,6077m6000,6013l6000,6077m6139,6013l6139,6077m6276,6013l6276,6077m6415,6013l6415,6077m6552,6013l6552,6077m6691,6013l6691,6077m6830,6013l6830,6077m6967,6013l6967,6077m7106,6013l7106,6077m7243,6013l7243,6077m7382,6013l7382,6077m7520,6013l7520,6077e" filled="false" stroked="true" strokeweight=".75pt" strokecolor="#858585">
                  <v:path arrowok="t"/>
                  <v:stroke dashstyle="solid"/>
                </v:shape>
                <v:shape style="position:absolute;left:2062;top:2039;width:6155;height:4958" id="docshape108" coordorigin="2063,2039" coordsize="6155,4958" path="m2063,5796l2201,6010,2340,5933,2477,6005,2616,5998,2753,5991,2892,6017,3029,6015,3168,5847,3307,5957,3444,5979,3583,5950,3720,5151,3859,5796,3996,6646,4135,4812,4274,3732,4411,2331,4550,4457,4687,2808,4826,4592,4963,5388,5102,3368,5242,5165,5378,5900,5518,5784,5654,6255,5794,6063,5930,5924,6070,2039,6206,5273,6346,5904,6485,5300,6622,5595,6761,5777,6898,6997,7037,6802,7174,6022,7313,6008,7451,4659m7833,4532l8217,4532e" filled="false" stroked="true" strokeweight="2.25pt" strokecolor="#497dba">
                  <v:path arrowok="t"/>
                  <v:stroke dashstyle="solid"/>
                </v:shape>
                <v:shape style="position:absolute;left:990;top:553;width:9045;height:7290" type="#_x0000_t202" id="docshape109" filled="false" stroked="true" strokeweight=".75pt" strokecolor="#858585">
                  <v:textbox inset="0,0,0,0">
                    <w:txbxContent>
                      <w:p>
                        <w:pPr>
                          <w:spacing w:before="143"/>
                          <w:ind w:left="4109" w:right="998" w:hanging="3114"/>
                          <w:jc w:val="left"/>
                          <w:rPr>
                            <w:rFonts w:ascii="Calibri"/>
                            <w:b/>
                            <w:sz w:val="20"/>
                          </w:rPr>
                        </w:pPr>
                        <w:r>
                          <w:rPr>
                            <w:rFonts w:ascii="Calibri"/>
                            <w:b/>
                            <w:sz w:val="20"/>
                          </w:rPr>
                          <w:t>LINE</w:t>
                        </w:r>
                        <w:r>
                          <w:rPr>
                            <w:rFonts w:ascii="Calibri"/>
                            <w:b/>
                            <w:spacing w:val="-4"/>
                            <w:sz w:val="20"/>
                          </w:rPr>
                          <w:t> </w:t>
                        </w:r>
                        <w:r>
                          <w:rPr>
                            <w:rFonts w:ascii="Calibri"/>
                            <w:b/>
                            <w:sz w:val="20"/>
                          </w:rPr>
                          <w:t>CHART</w:t>
                        </w:r>
                        <w:r>
                          <w:rPr>
                            <w:rFonts w:ascii="Calibri"/>
                            <w:b/>
                            <w:spacing w:val="-4"/>
                            <w:sz w:val="20"/>
                          </w:rPr>
                          <w:t> </w:t>
                        </w:r>
                        <w:r>
                          <w:rPr>
                            <w:rFonts w:ascii="Calibri"/>
                            <w:b/>
                            <w:sz w:val="20"/>
                          </w:rPr>
                          <w:t>OF</w:t>
                        </w:r>
                        <w:r>
                          <w:rPr>
                            <w:rFonts w:ascii="Calibri"/>
                            <w:b/>
                            <w:spacing w:val="-6"/>
                            <w:sz w:val="20"/>
                          </w:rPr>
                          <w:t> </w:t>
                        </w:r>
                        <w:r>
                          <w:rPr>
                            <w:rFonts w:ascii="Calibri"/>
                            <w:b/>
                            <w:sz w:val="20"/>
                          </w:rPr>
                          <w:t>CHANGE</w:t>
                        </w:r>
                        <w:r>
                          <w:rPr>
                            <w:rFonts w:ascii="Calibri"/>
                            <w:b/>
                            <w:spacing w:val="-2"/>
                            <w:sz w:val="20"/>
                          </w:rPr>
                          <w:t> </w:t>
                        </w:r>
                        <w:r>
                          <w:rPr>
                            <w:rFonts w:ascii="Calibri"/>
                            <w:b/>
                            <w:sz w:val="20"/>
                          </w:rPr>
                          <w:t>IN</w:t>
                        </w:r>
                        <w:r>
                          <w:rPr>
                            <w:rFonts w:ascii="Calibri"/>
                            <w:b/>
                            <w:spacing w:val="-5"/>
                            <w:sz w:val="20"/>
                          </w:rPr>
                          <w:t> </w:t>
                        </w:r>
                        <w:r>
                          <w:rPr>
                            <w:rFonts w:ascii="Calibri"/>
                            <w:b/>
                            <w:sz w:val="20"/>
                          </w:rPr>
                          <w:t>EXTERNAL</w:t>
                        </w:r>
                        <w:r>
                          <w:rPr>
                            <w:rFonts w:ascii="Calibri"/>
                            <w:b/>
                            <w:spacing w:val="38"/>
                            <w:sz w:val="20"/>
                          </w:rPr>
                          <w:t> </w:t>
                        </w:r>
                        <w:r>
                          <w:rPr>
                            <w:rFonts w:ascii="Calibri"/>
                            <w:b/>
                            <w:sz w:val="20"/>
                          </w:rPr>
                          <w:t>DEBT</w:t>
                        </w:r>
                        <w:r>
                          <w:rPr>
                            <w:rFonts w:ascii="Calibri"/>
                            <w:b/>
                            <w:spacing w:val="-4"/>
                            <w:sz w:val="20"/>
                          </w:rPr>
                          <w:t> </w:t>
                        </w:r>
                        <w:r>
                          <w:rPr>
                            <w:rFonts w:ascii="Calibri"/>
                            <w:b/>
                            <w:sz w:val="20"/>
                          </w:rPr>
                          <w:t>AS</w:t>
                        </w:r>
                        <w:r>
                          <w:rPr>
                            <w:rFonts w:ascii="Calibri"/>
                            <w:b/>
                            <w:spacing w:val="-4"/>
                            <w:sz w:val="20"/>
                          </w:rPr>
                          <w:t> </w:t>
                        </w:r>
                        <w:r>
                          <w:rPr>
                            <w:rFonts w:ascii="Calibri"/>
                            <w:b/>
                            <w:sz w:val="20"/>
                          </w:rPr>
                          <w:t>A</w:t>
                        </w:r>
                        <w:r>
                          <w:rPr>
                            <w:rFonts w:ascii="Calibri"/>
                            <w:b/>
                            <w:spacing w:val="-6"/>
                            <w:sz w:val="20"/>
                          </w:rPr>
                          <w:t> </w:t>
                        </w:r>
                        <w:r>
                          <w:rPr>
                            <w:rFonts w:ascii="Calibri"/>
                            <w:b/>
                            <w:sz w:val="20"/>
                          </w:rPr>
                          <w:t>PERCENTAGE OF</w:t>
                        </w:r>
                        <w:r>
                          <w:rPr>
                            <w:rFonts w:ascii="Calibri"/>
                            <w:b/>
                            <w:spacing w:val="-6"/>
                            <w:sz w:val="20"/>
                          </w:rPr>
                          <w:t> </w:t>
                        </w:r>
                        <w:r>
                          <w:rPr>
                            <w:rFonts w:ascii="Calibri"/>
                            <w:b/>
                            <w:sz w:val="20"/>
                          </w:rPr>
                          <w:t>GROSS</w:t>
                        </w:r>
                        <w:r>
                          <w:rPr>
                            <w:rFonts w:ascii="Calibri"/>
                            <w:b/>
                            <w:spacing w:val="-4"/>
                            <w:sz w:val="20"/>
                          </w:rPr>
                          <w:t> </w:t>
                        </w:r>
                        <w:r>
                          <w:rPr>
                            <w:rFonts w:ascii="Calibri"/>
                            <w:b/>
                            <w:sz w:val="20"/>
                          </w:rPr>
                          <w:t>DOMESTIC </w:t>
                        </w:r>
                        <w:r>
                          <w:rPr>
                            <w:rFonts w:ascii="Calibri"/>
                            <w:b/>
                            <w:spacing w:val="-2"/>
                            <w:sz w:val="20"/>
                          </w:rPr>
                          <w:t>PRODUCT</w:t>
                        </w:r>
                      </w:p>
                      <w:p>
                        <w:pPr>
                          <w:spacing w:before="119"/>
                          <w:ind w:left="0" w:right="8218" w:firstLine="0"/>
                          <w:jc w:val="right"/>
                          <w:rPr>
                            <w:rFonts w:ascii="Calibri"/>
                            <w:sz w:val="20"/>
                          </w:rPr>
                        </w:pPr>
                        <w:r>
                          <w:rPr>
                            <w:rFonts w:ascii="Calibri"/>
                            <w:spacing w:val="-5"/>
                            <w:sz w:val="20"/>
                          </w:rPr>
                          <w:t>70</w:t>
                        </w:r>
                      </w:p>
                      <w:p>
                        <w:pPr>
                          <w:spacing w:line="240" w:lineRule="auto" w:before="164"/>
                          <w:rPr>
                            <w:rFonts w:ascii="Calibri"/>
                            <w:sz w:val="20"/>
                          </w:rPr>
                        </w:pPr>
                      </w:p>
                      <w:p>
                        <w:pPr>
                          <w:spacing w:before="0"/>
                          <w:ind w:left="0" w:right="8218" w:firstLine="0"/>
                          <w:jc w:val="right"/>
                          <w:rPr>
                            <w:rFonts w:ascii="Calibri"/>
                            <w:sz w:val="20"/>
                          </w:rPr>
                        </w:pPr>
                        <w:r>
                          <w:rPr>
                            <w:rFonts w:ascii="Calibri"/>
                            <w:spacing w:val="-5"/>
                            <w:sz w:val="20"/>
                          </w:rPr>
                          <w:t>60</w:t>
                        </w:r>
                      </w:p>
                      <w:p>
                        <w:pPr>
                          <w:spacing w:line="240" w:lineRule="auto" w:before="165"/>
                          <w:rPr>
                            <w:rFonts w:ascii="Calibri"/>
                            <w:sz w:val="20"/>
                          </w:rPr>
                        </w:pPr>
                      </w:p>
                      <w:p>
                        <w:pPr>
                          <w:spacing w:before="0"/>
                          <w:ind w:left="0" w:right="8218" w:firstLine="0"/>
                          <w:jc w:val="right"/>
                          <w:rPr>
                            <w:rFonts w:ascii="Calibri"/>
                            <w:sz w:val="20"/>
                          </w:rPr>
                        </w:pPr>
                        <w:r>
                          <w:rPr>
                            <w:rFonts w:ascii="Calibri"/>
                            <w:spacing w:val="-5"/>
                            <w:sz w:val="20"/>
                          </w:rPr>
                          <w:t>50</w:t>
                        </w:r>
                      </w:p>
                      <w:p>
                        <w:pPr>
                          <w:spacing w:line="240" w:lineRule="auto" w:before="164"/>
                          <w:rPr>
                            <w:rFonts w:ascii="Calibri"/>
                            <w:sz w:val="20"/>
                          </w:rPr>
                        </w:pPr>
                      </w:p>
                      <w:p>
                        <w:pPr>
                          <w:spacing w:before="1"/>
                          <w:ind w:left="0" w:right="8218" w:firstLine="0"/>
                          <w:jc w:val="right"/>
                          <w:rPr>
                            <w:rFonts w:ascii="Calibri"/>
                            <w:sz w:val="20"/>
                          </w:rPr>
                        </w:pPr>
                        <w:r>
                          <w:rPr>
                            <w:rFonts w:ascii="Calibri"/>
                            <w:spacing w:val="-5"/>
                            <w:sz w:val="20"/>
                          </w:rPr>
                          <w:t>40</w:t>
                        </w:r>
                      </w:p>
                      <w:p>
                        <w:pPr>
                          <w:spacing w:line="240" w:lineRule="auto" w:before="164"/>
                          <w:rPr>
                            <w:rFonts w:ascii="Calibri"/>
                            <w:sz w:val="20"/>
                          </w:rPr>
                        </w:pPr>
                      </w:p>
                      <w:p>
                        <w:pPr>
                          <w:spacing w:before="0"/>
                          <w:ind w:left="0" w:right="8218" w:firstLine="0"/>
                          <w:jc w:val="right"/>
                          <w:rPr>
                            <w:rFonts w:ascii="Calibri"/>
                            <w:sz w:val="20"/>
                          </w:rPr>
                        </w:pPr>
                        <w:r>
                          <w:rPr>
                            <w:rFonts w:ascii="Calibri"/>
                            <w:spacing w:val="-5"/>
                            <w:sz w:val="20"/>
                          </w:rPr>
                          <w:t>30</w:t>
                        </w:r>
                      </w:p>
                      <w:p>
                        <w:pPr>
                          <w:spacing w:line="210" w:lineRule="exact" w:before="234"/>
                          <w:ind w:left="0" w:right="198" w:firstLine="0"/>
                          <w:jc w:val="right"/>
                          <w:rPr>
                            <w:rFonts w:ascii="Calibri" w:hAnsi="Calibri"/>
                            <w:sz w:val="20"/>
                          </w:rPr>
                        </w:pPr>
                        <w:r>
                          <w:rPr>
                            <w:rFonts w:ascii="Calibri" w:hAnsi="Calibri"/>
                            <w:spacing w:val="-2"/>
                            <w:sz w:val="20"/>
                          </w:rPr>
                          <w:t>∆EXDEBT/GDP*100</w:t>
                        </w:r>
                      </w:p>
                      <w:p>
                        <w:pPr>
                          <w:spacing w:line="210" w:lineRule="exact" w:before="0"/>
                          <w:ind w:left="608" w:right="0" w:firstLine="0"/>
                          <w:jc w:val="left"/>
                          <w:rPr>
                            <w:rFonts w:ascii="Calibri"/>
                            <w:sz w:val="20"/>
                          </w:rPr>
                        </w:pPr>
                        <w:r>
                          <w:rPr>
                            <w:rFonts w:ascii="Calibri"/>
                            <w:spacing w:val="-5"/>
                            <w:sz w:val="20"/>
                          </w:rPr>
                          <w:t>20</w:t>
                        </w:r>
                      </w:p>
                      <w:p>
                        <w:pPr>
                          <w:spacing w:line="240" w:lineRule="auto" w:before="164"/>
                          <w:rPr>
                            <w:rFonts w:ascii="Calibri"/>
                            <w:sz w:val="20"/>
                          </w:rPr>
                        </w:pPr>
                      </w:p>
                      <w:p>
                        <w:pPr>
                          <w:spacing w:before="0"/>
                          <w:ind w:left="0" w:right="8218" w:firstLine="0"/>
                          <w:jc w:val="right"/>
                          <w:rPr>
                            <w:rFonts w:ascii="Calibri"/>
                            <w:sz w:val="20"/>
                          </w:rPr>
                        </w:pPr>
                        <w:r>
                          <w:rPr>
                            <w:rFonts w:ascii="Calibri"/>
                            <w:spacing w:val="-5"/>
                            <w:sz w:val="20"/>
                          </w:rPr>
                          <w:t>10</w:t>
                        </w:r>
                      </w:p>
                      <w:p>
                        <w:pPr>
                          <w:spacing w:line="240" w:lineRule="auto" w:before="165"/>
                          <w:rPr>
                            <w:rFonts w:ascii="Calibri"/>
                            <w:sz w:val="20"/>
                          </w:rPr>
                        </w:pPr>
                      </w:p>
                      <w:p>
                        <w:pPr>
                          <w:spacing w:before="0"/>
                          <w:ind w:left="0" w:right="8217" w:firstLine="0"/>
                          <w:jc w:val="right"/>
                          <w:rPr>
                            <w:rFonts w:ascii="Calibri"/>
                            <w:sz w:val="20"/>
                          </w:rPr>
                        </w:pPr>
                        <w:r>
                          <w:rPr>
                            <w:rFonts w:ascii="Calibri"/>
                            <w:spacing w:val="-10"/>
                            <w:sz w:val="20"/>
                          </w:rPr>
                          <w:t>0</w:t>
                        </w:r>
                      </w:p>
                      <w:p>
                        <w:pPr>
                          <w:spacing w:line="240" w:lineRule="auto" w:before="165"/>
                          <w:rPr>
                            <w:rFonts w:ascii="Calibri"/>
                            <w:sz w:val="20"/>
                          </w:rPr>
                        </w:pPr>
                      </w:p>
                      <w:p>
                        <w:pPr>
                          <w:spacing w:before="0"/>
                          <w:ind w:left="0" w:right="8216" w:firstLine="0"/>
                          <w:jc w:val="right"/>
                          <w:rPr>
                            <w:rFonts w:ascii="Calibri"/>
                            <w:sz w:val="20"/>
                          </w:rPr>
                        </w:pPr>
                        <w:r>
                          <w:rPr>
                            <w:rFonts w:ascii="Calibri"/>
                            <w:sz w:val="20"/>
                          </w:rPr>
                          <w:t>-</w:t>
                        </w:r>
                        <w:r>
                          <w:rPr>
                            <w:rFonts w:ascii="Calibri"/>
                            <w:spacing w:val="-5"/>
                            <w:sz w:val="20"/>
                          </w:rPr>
                          <w:t>10</w:t>
                        </w:r>
                      </w:p>
                      <w:p>
                        <w:pPr>
                          <w:spacing w:line="240" w:lineRule="auto" w:before="164"/>
                          <w:rPr>
                            <w:rFonts w:ascii="Calibri"/>
                            <w:sz w:val="20"/>
                          </w:rPr>
                        </w:pPr>
                      </w:p>
                      <w:p>
                        <w:pPr>
                          <w:spacing w:line="204" w:lineRule="exact" w:before="0"/>
                          <w:ind w:left="547" w:right="0" w:firstLine="0"/>
                          <w:jc w:val="left"/>
                          <w:rPr>
                            <w:rFonts w:ascii="Calibri"/>
                            <w:sz w:val="20"/>
                          </w:rPr>
                        </w:pPr>
                        <w:r>
                          <w:rPr>
                            <w:rFonts w:ascii="Calibri"/>
                            <w:sz w:val="20"/>
                          </w:rPr>
                          <w:t>-</w:t>
                        </w:r>
                        <w:r>
                          <w:rPr>
                            <w:rFonts w:ascii="Calibri"/>
                            <w:spacing w:val="-5"/>
                            <w:sz w:val="20"/>
                          </w:rPr>
                          <w:t>20</w:t>
                        </w:r>
                      </w:p>
                      <w:p>
                        <w:pPr>
                          <w:spacing w:line="204" w:lineRule="exact" w:before="0"/>
                          <w:ind w:left="0" w:right="1510" w:firstLine="0"/>
                          <w:jc w:val="center"/>
                          <w:rPr>
                            <w:rFonts w:ascii="Calibri"/>
                            <w:b/>
                            <w:sz w:val="20"/>
                          </w:rPr>
                        </w:pPr>
                        <w:r>
                          <w:rPr>
                            <w:rFonts w:ascii="Calibri"/>
                            <w:b/>
                            <w:spacing w:val="-4"/>
                            <w:sz w:val="20"/>
                          </w:rPr>
                          <w:t>YEAR</w:t>
                        </w:r>
                      </w:p>
                    </w:txbxContent>
                  </v:textbox>
                  <v:stroke dashstyle="solid"/>
                  <w10:wrap type="none"/>
                </v:shape>
                <w10:wrap type="none"/>
              </v:group>
            </w:pict>
          </mc:Fallback>
        </mc:AlternateContent>
      </w:r>
      <w:r>
        <w:rPr/>
        <w:t>Figure</w:t>
      </w:r>
      <w:r>
        <w:rPr>
          <w:spacing w:val="40"/>
        </w:rPr>
        <w:t> </w:t>
      </w:r>
      <w:r>
        <w:rPr/>
        <w:t>4.4</w:t>
      </w:r>
      <w:r>
        <w:rPr>
          <w:b w:val="0"/>
        </w:rPr>
        <w:t>:</w:t>
      </w:r>
      <w:r>
        <w:rPr>
          <w:b w:val="0"/>
          <w:spacing w:val="40"/>
        </w:rPr>
        <w:t> </w:t>
      </w:r>
      <w:r>
        <w:rPr/>
        <w:t>Line</w:t>
      </w:r>
      <w:r>
        <w:rPr>
          <w:spacing w:val="40"/>
        </w:rPr>
        <w:t> </w:t>
      </w:r>
      <w:r>
        <w:rPr/>
        <w:t>Charts</w:t>
      </w:r>
      <w:r>
        <w:rPr>
          <w:spacing w:val="40"/>
        </w:rPr>
        <w:t> </w:t>
      </w:r>
      <w:r>
        <w:rPr/>
        <w:t>of</w:t>
      </w:r>
      <w:r>
        <w:rPr>
          <w:spacing w:val="40"/>
        </w:rPr>
        <w:t> </w:t>
      </w:r>
      <w:r>
        <w:rPr/>
        <w:t>Capital</w:t>
      </w:r>
      <w:r>
        <w:rPr>
          <w:spacing w:val="40"/>
        </w:rPr>
        <w:t> </w:t>
      </w:r>
      <w:r>
        <w:rPr/>
        <w:t>Flight</w:t>
      </w:r>
      <w:r>
        <w:rPr>
          <w:spacing w:val="40"/>
        </w:rPr>
        <w:t> </w:t>
      </w:r>
      <w:r>
        <w:rPr/>
        <w:t>Estimates</w:t>
      </w:r>
      <w:r>
        <w:rPr>
          <w:spacing w:val="40"/>
        </w:rPr>
        <w:t> </w:t>
      </w:r>
      <w:r>
        <w:rPr/>
        <w:t>as</w:t>
      </w:r>
      <w:r>
        <w:rPr>
          <w:spacing w:val="40"/>
        </w:rPr>
        <w:t> </w:t>
      </w:r>
      <w:r>
        <w:rPr/>
        <w:t>Percentages</w:t>
      </w:r>
      <w:r>
        <w:rPr>
          <w:spacing w:val="40"/>
        </w:rPr>
        <w:t> </w:t>
      </w:r>
      <w:r>
        <w:rPr/>
        <w:t>of</w:t>
      </w:r>
      <w:r>
        <w:rPr>
          <w:spacing w:val="40"/>
        </w:rPr>
        <w:t> </w:t>
      </w:r>
      <w:r>
        <w:rPr/>
        <w:t>the</w:t>
      </w:r>
      <w:r>
        <w:rPr>
          <w:spacing w:val="40"/>
        </w:rPr>
        <w:t> </w:t>
      </w:r>
      <w:r>
        <w:rPr/>
        <w:t>GDP</w:t>
      </w:r>
      <w:r>
        <w:rPr>
          <w:spacing w:val="40"/>
        </w:rPr>
        <w:t> </w:t>
      </w:r>
      <w:r>
        <w:rPr/>
        <w:t>and</w:t>
      </w:r>
      <w:r>
        <w:rPr>
          <w:spacing w:val="40"/>
        </w:rPr>
        <w:t> </w:t>
      </w:r>
      <w:r>
        <w:rPr/>
        <w:t>Change</w:t>
      </w:r>
      <w:r>
        <w:rPr>
          <w:spacing w:val="40"/>
        </w:rPr>
        <w:t> </w:t>
      </w:r>
      <w:r>
        <w:rPr/>
        <w:t>in</w:t>
      </w:r>
      <w:r>
        <w:rPr>
          <w:spacing w:val="40"/>
        </w:rPr>
        <w:t> </w:t>
      </w:r>
      <w:r>
        <w:rPr/>
        <w:t>External Debt as Percentages of GDP</w:t>
      </w:r>
    </w:p>
    <w:p>
      <w:pPr>
        <w:spacing w:after="0"/>
        <w:jc w:val="left"/>
        <w:sectPr>
          <w:pgSz w:w="11910" w:h="16840"/>
          <w:pgMar w:header="0" w:footer="979" w:top="1920" w:bottom="1220" w:left="280" w:right="0"/>
        </w:sectPr>
      </w:pPr>
    </w:p>
    <w:p>
      <w:pPr>
        <w:pStyle w:val="BodyText"/>
        <w:spacing w:line="480" w:lineRule="auto" w:before="77"/>
        <w:ind w:left="711" w:right="469"/>
        <w:jc w:val="both"/>
      </w:pPr>
      <w:r>
        <w:rPr/>
        <mc:AlternateContent>
          <mc:Choice Requires="wps">
            <w:drawing>
              <wp:anchor distT="0" distB="0" distL="0" distR="0" allowOverlap="1" layoutInCell="1" locked="0" behindDoc="0" simplePos="0" relativeHeight="15753216">
                <wp:simplePos x="0" y="0"/>
                <wp:positionH relativeFrom="page">
                  <wp:posOffset>751966</wp:posOffset>
                </wp:positionH>
                <wp:positionV relativeFrom="page">
                  <wp:posOffset>6472324</wp:posOffset>
                </wp:positionV>
                <wp:extent cx="152400" cy="1075055"/>
                <wp:effectExtent l="0" t="0" r="0" b="0"/>
                <wp:wrapNone/>
                <wp:docPr id="124" name="Textbox 124"/>
                <wp:cNvGraphicFramePr>
                  <a:graphicFrameLocks/>
                </wp:cNvGraphicFramePr>
                <a:graphic>
                  <a:graphicData uri="http://schemas.microsoft.com/office/word/2010/wordprocessingShape">
                    <wps:wsp>
                      <wps:cNvPr id="124" name="Textbox 124"/>
                      <wps:cNvSpPr txBox="1"/>
                      <wps:spPr>
                        <a:xfrm>
                          <a:off x="0" y="0"/>
                          <a:ext cx="152400" cy="1075055"/>
                        </a:xfrm>
                        <a:prstGeom prst="rect">
                          <a:avLst/>
                        </a:prstGeom>
                      </wps:spPr>
                      <wps:txbx>
                        <w:txbxContent>
                          <w:p>
                            <w:pPr>
                              <w:spacing w:line="223" w:lineRule="exact" w:before="0"/>
                              <w:ind w:left="20" w:right="0" w:firstLine="0"/>
                              <w:jc w:val="left"/>
                              <w:rPr>
                                <w:rFonts w:ascii="Calibri"/>
                                <w:b/>
                                <w:sz w:val="20"/>
                              </w:rPr>
                            </w:pPr>
                            <w:r>
                              <w:rPr>
                                <w:rFonts w:ascii="Calibri"/>
                                <w:b/>
                                <w:sz w:val="20"/>
                              </w:rPr>
                              <w:t>KF</w:t>
                            </w:r>
                            <w:r>
                              <w:rPr>
                                <w:rFonts w:ascii="Calibri"/>
                                <w:b/>
                                <w:spacing w:val="-2"/>
                                <w:sz w:val="20"/>
                              </w:rPr>
                              <w:t> (morg)/GDP*100</w:t>
                            </w:r>
                          </w:p>
                        </w:txbxContent>
                      </wps:txbx>
                      <wps:bodyPr wrap="square" lIns="0" tIns="0" rIns="0" bIns="0" rtlCol="0" vert="vert270">
                        <a:noAutofit/>
                      </wps:bodyPr>
                    </wps:wsp>
                  </a:graphicData>
                </a:graphic>
              </wp:anchor>
            </w:drawing>
          </mc:Choice>
          <mc:Fallback>
            <w:pict>
              <v:shape style="position:absolute;margin-left:59.209995pt;margin-top:509.631836pt;width:12pt;height:84.65pt;mso-position-horizontal-relative:page;mso-position-vertical-relative:page;z-index:15753216" type="#_x0000_t202" id="docshape110" filled="false" stroked="false">
                <v:textbox inset="0,0,0,0" style="layout-flow:vertical;mso-layout-flow-alt:bottom-to-top">
                  <w:txbxContent>
                    <w:p>
                      <w:pPr>
                        <w:spacing w:line="223" w:lineRule="exact" w:before="0"/>
                        <w:ind w:left="20" w:right="0" w:firstLine="0"/>
                        <w:jc w:val="left"/>
                        <w:rPr>
                          <w:rFonts w:ascii="Calibri"/>
                          <w:b/>
                          <w:sz w:val="20"/>
                        </w:rPr>
                      </w:pPr>
                      <w:r>
                        <w:rPr>
                          <w:rFonts w:ascii="Calibri"/>
                          <w:b/>
                          <w:sz w:val="20"/>
                        </w:rPr>
                        <w:t>KF</w:t>
                      </w:r>
                      <w:r>
                        <w:rPr>
                          <w:rFonts w:ascii="Calibri"/>
                          <w:b/>
                          <w:spacing w:val="-2"/>
                          <w:sz w:val="20"/>
                        </w:rPr>
                        <w:t> (morg)/GDP*100</w:t>
                      </w:r>
                    </w:p>
                  </w:txbxContent>
                </v:textbox>
                <w10:wrap type="none"/>
              </v:shape>
            </w:pict>
          </mc:Fallback>
        </mc:AlternateContent>
      </w:r>
      <w:r>
        <w:rPr/>
        <w:t>The above chart shows that capital flight was at the highest around the mid-1970s. This era marked the era</w:t>
      </w:r>
      <w:r>
        <w:rPr>
          <w:spacing w:val="40"/>
        </w:rPr>
        <w:t> </w:t>
      </w:r>
      <w:r>
        <w:rPr/>
        <w:t>of political unrest and the emergence of crude oil industry in Nigeria. The civil war seriously increased the political</w:t>
      </w:r>
      <w:r>
        <w:rPr>
          <w:spacing w:val="-2"/>
        </w:rPr>
        <w:t> </w:t>
      </w:r>
      <w:r>
        <w:rPr/>
        <w:t>risk</w:t>
      </w:r>
      <w:r>
        <w:rPr>
          <w:spacing w:val="-2"/>
        </w:rPr>
        <w:t> </w:t>
      </w:r>
      <w:r>
        <w:rPr/>
        <w:t>during</w:t>
      </w:r>
      <w:r>
        <w:rPr>
          <w:spacing w:val="-5"/>
        </w:rPr>
        <w:t> </w:t>
      </w:r>
      <w:r>
        <w:rPr/>
        <w:t>the</w:t>
      </w:r>
      <w:r>
        <w:rPr>
          <w:spacing w:val="-3"/>
        </w:rPr>
        <w:t> </w:t>
      </w:r>
      <w:r>
        <w:rPr/>
        <w:t>civil</w:t>
      </w:r>
      <w:r>
        <w:rPr>
          <w:spacing w:val="-2"/>
        </w:rPr>
        <w:t> </w:t>
      </w:r>
      <w:r>
        <w:rPr/>
        <w:t>war</w:t>
      </w:r>
      <w:r>
        <w:rPr>
          <w:spacing w:val="-2"/>
        </w:rPr>
        <w:t> </w:t>
      </w:r>
      <w:r>
        <w:rPr/>
        <w:t>and as</w:t>
      </w:r>
      <w:r>
        <w:rPr>
          <w:spacing w:val="-2"/>
        </w:rPr>
        <w:t> </w:t>
      </w:r>
      <w:r>
        <w:rPr/>
        <w:t>such,</w:t>
      </w:r>
      <w:r>
        <w:rPr>
          <w:spacing w:val="-2"/>
        </w:rPr>
        <w:t> </w:t>
      </w:r>
      <w:r>
        <w:rPr/>
        <w:t>high volume</w:t>
      </w:r>
      <w:r>
        <w:rPr>
          <w:spacing w:val="-3"/>
        </w:rPr>
        <w:t> </w:t>
      </w:r>
      <w:r>
        <w:rPr/>
        <w:t>of</w:t>
      </w:r>
      <w:r>
        <w:rPr>
          <w:spacing w:val="-2"/>
        </w:rPr>
        <w:t> </w:t>
      </w:r>
      <w:r>
        <w:rPr/>
        <w:t>capital</w:t>
      </w:r>
      <w:r>
        <w:rPr>
          <w:spacing w:val="-2"/>
        </w:rPr>
        <w:t> </w:t>
      </w:r>
      <w:r>
        <w:rPr/>
        <w:t>flew</w:t>
      </w:r>
      <w:r>
        <w:rPr>
          <w:spacing w:val="-1"/>
        </w:rPr>
        <w:t> </w:t>
      </w:r>
      <w:r>
        <w:rPr/>
        <w:t>out</w:t>
      </w:r>
      <w:r>
        <w:rPr>
          <w:spacing w:val="-2"/>
        </w:rPr>
        <w:t> </w:t>
      </w:r>
      <w:r>
        <w:rPr/>
        <w:t>of</w:t>
      </w:r>
      <w:r>
        <w:rPr>
          <w:spacing w:val="-2"/>
        </w:rPr>
        <w:t> </w:t>
      </w:r>
      <w:r>
        <w:rPr/>
        <w:t>the</w:t>
      </w:r>
      <w:r>
        <w:rPr>
          <w:spacing w:val="-2"/>
        </w:rPr>
        <w:t> </w:t>
      </w:r>
      <w:r>
        <w:rPr/>
        <w:t>domestic</w:t>
      </w:r>
      <w:r>
        <w:rPr>
          <w:spacing w:val="-1"/>
        </w:rPr>
        <w:t> </w:t>
      </w:r>
      <w:r>
        <w:rPr/>
        <w:t>economy. The periods of 1979 to 1983 that could be referred to as the eras of attempted demogractic era showed a level of capital flight but latter peaked in 1984 due to military</w:t>
      </w:r>
      <w:r>
        <w:rPr>
          <w:spacing w:val="-2"/>
        </w:rPr>
        <w:t> </w:t>
      </w:r>
      <w:r>
        <w:rPr/>
        <w:t>take over, political crises and policy</w:t>
      </w:r>
      <w:r>
        <w:rPr>
          <w:spacing w:val="-2"/>
        </w:rPr>
        <w:t> </w:t>
      </w:r>
      <w:r>
        <w:rPr/>
        <w:t>distortion among others. The fact that illegal capital outflow still persists in Nigeria in the democratic regime shows that the nature of apital flight in Nigeria is multi dimension (political, economic</w:t>
      </w:r>
      <w:r>
        <w:rPr>
          <w:spacing w:val="80"/>
        </w:rPr>
        <w:t> </w:t>
      </w:r>
      <w:r>
        <w:rPr/>
        <w:t>and institutional factors) as revealed by the findings.</w:t>
      </w:r>
    </w:p>
    <w:p>
      <w:pPr>
        <w:pStyle w:val="Heading2"/>
        <w:spacing w:before="2"/>
        <w:ind w:left="771"/>
      </w:pPr>
      <w:r>
        <w:rPr/>
        <mc:AlternateContent>
          <mc:Choice Requires="wps">
            <w:drawing>
              <wp:anchor distT="0" distB="0" distL="0" distR="0" allowOverlap="1" layoutInCell="1" locked="0" behindDoc="0" simplePos="0" relativeHeight="15752704">
                <wp:simplePos x="0" y="0"/>
                <wp:positionH relativeFrom="page">
                  <wp:posOffset>623887</wp:posOffset>
                </wp:positionH>
                <wp:positionV relativeFrom="paragraph">
                  <wp:posOffset>375294</wp:posOffset>
                </wp:positionV>
                <wp:extent cx="5751830" cy="5358130"/>
                <wp:effectExtent l="0" t="0" r="0" b="0"/>
                <wp:wrapNone/>
                <wp:docPr id="125" name="Group 125"/>
                <wp:cNvGraphicFramePr>
                  <a:graphicFrameLocks/>
                </wp:cNvGraphicFramePr>
                <a:graphic>
                  <a:graphicData uri="http://schemas.microsoft.com/office/word/2010/wordprocessingGroup">
                    <wpg:wgp>
                      <wpg:cNvPr id="125" name="Group 125"/>
                      <wpg:cNvGrpSpPr/>
                      <wpg:grpSpPr>
                        <a:xfrm>
                          <a:off x="0" y="0"/>
                          <a:ext cx="5751830" cy="5358130"/>
                          <a:chExt cx="5751830" cy="5358130"/>
                        </a:xfrm>
                      </wpg:grpSpPr>
                      <wps:wsp>
                        <wps:cNvPr id="126" name="Graphic 126"/>
                        <wps:cNvSpPr/>
                        <wps:spPr>
                          <a:xfrm>
                            <a:off x="578751" y="447522"/>
                            <a:ext cx="4989830" cy="4584700"/>
                          </a:xfrm>
                          <a:custGeom>
                            <a:avLst/>
                            <a:gdLst/>
                            <a:ahLst/>
                            <a:cxnLst/>
                            <a:rect l="l" t="t" r="r" b="b"/>
                            <a:pathLst>
                              <a:path w="4989830" h="4584700">
                                <a:moveTo>
                                  <a:pt x="40297" y="4584446"/>
                                </a:moveTo>
                                <a:lnTo>
                                  <a:pt x="4989753" y="4584446"/>
                                </a:lnTo>
                              </a:path>
                              <a:path w="4989830" h="4584700">
                                <a:moveTo>
                                  <a:pt x="40297" y="3274314"/>
                                </a:moveTo>
                                <a:lnTo>
                                  <a:pt x="4989753" y="3274314"/>
                                </a:lnTo>
                              </a:path>
                              <a:path w="4989830" h="4584700">
                                <a:moveTo>
                                  <a:pt x="40297" y="2618993"/>
                                </a:moveTo>
                                <a:lnTo>
                                  <a:pt x="4989753" y="2618993"/>
                                </a:lnTo>
                              </a:path>
                              <a:path w="4989830" h="4584700">
                                <a:moveTo>
                                  <a:pt x="40297" y="1965198"/>
                                </a:moveTo>
                                <a:lnTo>
                                  <a:pt x="4989753" y="1965198"/>
                                </a:lnTo>
                              </a:path>
                              <a:path w="4989830" h="4584700">
                                <a:moveTo>
                                  <a:pt x="40297" y="1309877"/>
                                </a:moveTo>
                                <a:lnTo>
                                  <a:pt x="4989753" y="1309877"/>
                                </a:lnTo>
                              </a:path>
                              <a:path w="4989830" h="4584700">
                                <a:moveTo>
                                  <a:pt x="40297" y="654557"/>
                                </a:moveTo>
                                <a:lnTo>
                                  <a:pt x="4989753" y="654557"/>
                                </a:lnTo>
                              </a:path>
                              <a:path w="4989830" h="4584700">
                                <a:moveTo>
                                  <a:pt x="40297" y="0"/>
                                </a:moveTo>
                                <a:lnTo>
                                  <a:pt x="4989753" y="0"/>
                                </a:lnTo>
                              </a:path>
                              <a:path w="4989830" h="4584700">
                                <a:moveTo>
                                  <a:pt x="40297" y="4584446"/>
                                </a:moveTo>
                                <a:lnTo>
                                  <a:pt x="40297" y="0"/>
                                </a:lnTo>
                              </a:path>
                              <a:path w="4989830" h="4584700">
                                <a:moveTo>
                                  <a:pt x="0" y="4584446"/>
                                </a:moveTo>
                                <a:lnTo>
                                  <a:pt x="40297" y="4584446"/>
                                </a:lnTo>
                              </a:path>
                              <a:path w="4989830" h="4584700">
                                <a:moveTo>
                                  <a:pt x="0" y="3929633"/>
                                </a:moveTo>
                                <a:lnTo>
                                  <a:pt x="40297" y="3929633"/>
                                </a:lnTo>
                              </a:path>
                              <a:path w="4989830" h="4584700">
                                <a:moveTo>
                                  <a:pt x="0" y="3274314"/>
                                </a:moveTo>
                                <a:lnTo>
                                  <a:pt x="40297" y="3274314"/>
                                </a:lnTo>
                              </a:path>
                              <a:path w="4989830" h="4584700">
                                <a:moveTo>
                                  <a:pt x="0" y="2618993"/>
                                </a:moveTo>
                                <a:lnTo>
                                  <a:pt x="40297" y="2618993"/>
                                </a:lnTo>
                              </a:path>
                              <a:path w="4989830" h="4584700">
                                <a:moveTo>
                                  <a:pt x="0" y="1965198"/>
                                </a:moveTo>
                                <a:lnTo>
                                  <a:pt x="40297" y="1965198"/>
                                </a:lnTo>
                              </a:path>
                              <a:path w="4989830" h="4584700">
                                <a:moveTo>
                                  <a:pt x="0" y="1309877"/>
                                </a:moveTo>
                                <a:lnTo>
                                  <a:pt x="40297" y="1309877"/>
                                </a:lnTo>
                              </a:path>
                              <a:path w="4989830" h="4584700">
                                <a:moveTo>
                                  <a:pt x="0" y="654557"/>
                                </a:moveTo>
                                <a:lnTo>
                                  <a:pt x="40297" y="654557"/>
                                </a:lnTo>
                              </a:path>
                              <a:path w="4989830" h="4584700">
                                <a:moveTo>
                                  <a:pt x="0" y="0"/>
                                </a:moveTo>
                                <a:lnTo>
                                  <a:pt x="40297" y="0"/>
                                </a:lnTo>
                              </a:path>
                              <a:path w="4989830" h="4584700">
                                <a:moveTo>
                                  <a:pt x="40297" y="3929506"/>
                                </a:moveTo>
                                <a:lnTo>
                                  <a:pt x="4989753" y="3929506"/>
                                </a:lnTo>
                              </a:path>
                              <a:path w="4989830" h="4584700">
                                <a:moveTo>
                                  <a:pt x="40297" y="3929506"/>
                                </a:moveTo>
                                <a:lnTo>
                                  <a:pt x="40297" y="3969892"/>
                                </a:lnTo>
                              </a:path>
                              <a:path w="4989830" h="4584700">
                                <a:moveTo>
                                  <a:pt x="164388" y="3929506"/>
                                </a:moveTo>
                                <a:lnTo>
                                  <a:pt x="164388" y="3969892"/>
                                </a:lnTo>
                              </a:path>
                              <a:path w="4989830" h="4584700">
                                <a:moveTo>
                                  <a:pt x="287832" y="3929506"/>
                                </a:moveTo>
                                <a:lnTo>
                                  <a:pt x="287832" y="3969892"/>
                                </a:lnTo>
                              </a:path>
                              <a:path w="4989830" h="4584700">
                                <a:moveTo>
                                  <a:pt x="411276" y="3929506"/>
                                </a:moveTo>
                                <a:lnTo>
                                  <a:pt x="411276" y="3969892"/>
                                </a:lnTo>
                              </a:path>
                              <a:path w="4989830" h="4584700">
                                <a:moveTo>
                                  <a:pt x="534720" y="3929506"/>
                                </a:moveTo>
                                <a:lnTo>
                                  <a:pt x="534720" y="3969892"/>
                                </a:lnTo>
                              </a:path>
                              <a:path w="4989830" h="4584700">
                                <a:moveTo>
                                  <a:pt x="659688" y="3929506"/>
                                </a:moveTo>
                                <a:lnTo>
                                  <a:pt x="659688" y="3969892"/>
                                </a:lnTo>
                              </a:path>
                              <a:path w="4989830" h="4584700">
                                <a:moveTo>
                                  <a:pt x="783132" y="3929506"/>
                                </a:moveTo>
                                <a:lnTo>
                                  <a:pt x="783132" y="3969892"/>
                                </a:lnTo>
                              </a:path>
                              <a:path w="4989830" h="4584700">
                                <a:moveTo>
                                  <a:pt x="906576" y="3929506"/>
                                </a:moveTo>
                                <a:lnTo>
                                  <a:pt x="906576" y="3969892"/>
                                </a:lnTo>
                              </a:path>
                              <a:path w="4989830" h="4584700">
                                <a:moveTo>
                                  <a:pt x="1030020" y="3929506"/>
                                </a:moveTo>
                                <a:lnTo>
                                  <a:pt x="1030020" y="3969892"/>
                                </a:lnTo>
                              </a:path>
                              <a:path w="4989830" h="4584700">
                                <a:moveTo>
                                  <a:pt x="1153464" y="3929506"/>
                                </a:moveTo>
                                <a:lnTo>
                                  <a:pt x="1153464" y="3969892"/>
                                </a:lnTo>
                              </a:path>
                              <a:path w="4989830" h="4584700">
                                <a:moveTo>
                                  <a:pt x="1278432" y="3929506"/>
                                </a:moveTo>
                                <a:lnTo>
                                  <a:pt x="1278432" y="3969892"/>
                                </a:lnTo>
                              </a:path>
                              <a:path w="4989830" h="4584700">
                                <a:moveTo>
                                  <a:pt x="1401876" y="3929506"/>
                                </a:moveTo>
                                <a:lnTo>
                                  <a:pt x="1401876" y="3969892"/>
                                </a:lnTo>
                              </a:path>
                              <a:path w="4989830" h="4584700">
                                <a:moveTo>
                                  <a:pt x="1525320" y="3929506"/>
                                </a:moveTo>
                                <a:lnTo>
                                  <a:pt x="1525320" y="3969892"/>
                                </a:lnTo>
                              </a:path>
                              <a:path w="4989830" h="4584700">
                                <a:moveTo>
                                  <a:pt x="1648764" y="3929506"/>
                                </a:moveTo>
                                <a:lnTo>
                                  <a:pt x="1648764" y="3969892"/>
                                </a:lnTo>
                              </a:path>
                              <a:path w="4989830" h="4584700">
                                <a:moveTo>
                                  <a:pt x="1772208" y="3929506"/>
                                </a:moveTo>
                                <a:lnTo>
                                  <a:pt x="1772208" y="3969892"/>
                                </a:lnTo>
                              </a:path>
                              <a:path w="4989830" h="4584700">
                                <a:moveTo>
                                  <a:pt x="1895652" y="3929506"/>
                                </a:moveTo>
                                <a:lnTo>
                                  <a:pt x="1895652" y="3969892"/>
                                </a:lnTo>
                              </a:path>
                              <a:path w="4989830" h="4584700">
                                <a:moveTo>
                                  <a:pt x="2020620" y="3929506"/>
                                </a:moveTo>
                                <a:lnTo>
                                  <a:pt x="2020620" y="3969892"/>
                                </a:lnTo>
                              </a:path>
                              <a:path w="4989830" h="4584700">
                                <a:moveTo>
                                  <a:pt x="2144064" y="3929506"/>
                                </a:moveTo>
                                <a:lnTo>
                                  <a:pt x="2144064" y="3969892"/>
                                </a:lnTo>
                              </a:path>
                              <a:path w="4989830" h="4584700">
                                <a:moveTo>
                                  <a:pt x="2267508" y="3929506"/>
                                </a:moveTo>
                                <a:lnTo>
                                  <a:pt x="2267508" y="3969892"/>
                                </a:lnTo>
                              </a:path>
                              <a:path w="4989830" h="4584700">
                                <a:moveTo>
                                  <a:pt x="2390952" y="3929506"/>
                                </a:moveTo>
                                <a:lnTo>
                                  <a:pt x="2390952" y="3969892"/>
                                </a:lnTo>
                              </a:path>
                              <a:path w="4989830" h="4584700">
                                <a:moveTo>
                                  <a:pt x="2514396" y="3929506"/>
                                </a:moveTo>
                                <a:lnTo>
                                  <a:pt x="2514396" y="3969892"/>
                                </a:lnTo>
                              </a:path>
                              <a:path w="4989830" h="4584700">
                                <a:moveTo>
                                  <a:pt x="2639364" y="3929506"/>
                                </a:moveTo>
                                <a:lnTo>
                                  <a:pt x="2639364" y="3969892"/>
                                </a:lnTo>
                              </a:path>
                              <a:path w="4989830" h="4584700">
                                <a:moveTo>
                                  <a:pt x="2762808" y="3929506"/>
                                </a:moveTo>
                                <a:lnTo>
                                  <a:pt x="2762808" y="3969892"/>
                                </a:lnTo>
                              </a:path>
                              <a:path w="4989830" h="4584700">
                                <a:moveTo>
                                  <a:pt x="2886252" y="3929506"/>
                                </a:moveTo>
                                <a:lnTo>
                                  <a:pt x="2886252" y="3969892"/>
                                </a:lnTo>
                              </a:path>
                              <a:path w="4989830" h="4584700">
                                <a:moveTo>
                                  <a:pt x="3009696" y="3929506"/>
                                </a:moveTo>
                                <a:lnTo>
                                  <a:pt x="3009696" y="3969892"/>
                                </a:lnTo>
                              </a:path>
                              <a:path w="4989830" h="4584700">
                                <a:moveTo>
                                  <a:pt x="3133140" y="3929506"/>
                                </a:moveTo>
                                <a:lnTo>
                                  <a:pt x="3133140" y="3969892"/>
                                </a:lnTo>
                              </a:path>
                              <a:path w="4989830" h="4584700">
                                <a:moveTo>
                                  <a:pt x="3258108" y="3929506"/>
                                </a:moveTo>
                                <a:lnTo>
                                  <a:pt x="3258108" y="3969892"/>
                                </a:lnTo>
                              </a:path>
                              <a:path w="4989830" h="4584700">
                                <a:moveTo>
                                  <a:pt x="3381552" y="3929506"/>
                                </a:moveTo>
                                <a:lnTo>
                                  <a:pt x="3381552" y="3969892"/>
                                </a:lnTo>
                              </a:path>
                              <a:path w="4989830" h="4584700">
                                <a:moveTo>
                                  <a:pt x="3504996" y="3929506"/>
                                </a:moveTo>
                                <a:lnTo>
                                  <a:pt x="3504996" y="3969892"/>
                                </a:lnTo>
                              </a:path>
                              <a:path w="4989830" h="4584700">
                                <a:moveTo>
                                  <a:pt x="3628440" y="3929506"/>
                                </a:moveTo>
                                <a:lnTo>
                                  <a:pt x="3628440" y="3969892"/>
                                </a:lnTo>
                              </a:path>
                              <a:path w="4989830" h="4584700">
                                <a:moveTo>
                                  <a:pt x="3751884" y="3929506"/>
                                </a:moveTo>
                                <a:lnTo>
                                  <a:pt x="3751884" y="3969892"/>
                                </a:lnTo>
                              </a:path>
                              <a:path w="4989830" h="4584700">
                                <a:moveTo>
                                  <a:pt x="3876852" y="3929506"/>
                                </a:moveTo>
                                <a:lnTo>
                                  <a:pt x="3876852" y="3969892"/>
                                </a:lnTo>
                              </a:path>
                              <a:path w="4989830" h="4584700">
                                <a:moveTo>
                                  <a:pt x="4000296" y="3929506"/>
                                </a:moveTo>
                                <a:lnTo>
                                  <a:pt x="4000296" y="3969892"/>
                                </a:lnTo>
                              </a:path>
                              <a:path w="4989830" h="4584700">
                                <a:moveTo>
                                  <a:pt x="4123740" y="3929506"/>
                                </a:moveTo>
                                <a:lnTo>
                                  <a:pt x="4123740" y="3969892"/>
                                </a:lnTo>
                              </a:path>
                              <a:path w="4989830" h="4584700">
                                <a:moveTo>
                                  <a:pt x="4247184" y="3929506"/>
                                </a:moveTo>
                                <a:lnTo>
                                  <a:pt x="4247184" y="3969892"/>
                                </a:lnTo>
                              </a:path>
                              <a:path w="4989830" h="4584700">
                                <a:moveTo>
                                  <a:pt x="4370628" y="3929506"/>
                                </a:moveTo>
                                <a:lnTo>
                                  <a:pt x="4370628" y="3969892"/>
                                </a:lnTo>
                              </a:path>
                              <a:path w="4989830" h="4584700">
                                <a:moveTo>
                                  <a:pt x="4495596" y="3929506"/>
                                </a:moveTo>
                                <a:lnTo>
                                  <a:pt x="4495596" y="3969892"/>
                                </a:lnTo>
                              </a:path>
                              <a:path w="4989830" h="4584700">
                                <a:moveTo>
                                  <a:pt x="4619040" y="3929506"/>
                                </a:moveTo>
                                <a:lnTo>
                                  <a:pt x="4619040" y="3969892"/>
                                </a:lnTo>
                              </a:path>
                              <a:path w="4989830" h="4584700">
                                <a:moveTo>
                                  <a:pt x="4742484" y="3929506"/>
                                </a:moveTo>
                                <a:lnTo>
                                  <a:pt x="4742484" y="3969892"/>
                                </a:lnTo>
                              </a:path>
                              <a:path w="4989830" h="4584700">
                                <a:moveTo>
                                  <a:pt x="4865928" y="3929506"/>
                                </a:moveTo>
                                <a:lnTo>
                                  <a:pt x="4865928" y="3969892"/>
                                </a:lnTo>
                              </a:path>
                              <a:path w="4989830" h="4584700">
                                <a:moveTo>
                                  <a:pt x="4989753" y="3929506"/>
                                </a:moveTo>
                                <a:lnTo>
                                  <a:pt x="4989753" y="3969892"/>
                                </a:lnTo>
                              </a:path>
                            </a:pathLst>
                          </a:custGeom>
                          <a:ln w="9525">
                            <a:solidFill>
                              <a:srgbClr val="858585"/>
                            </a:solidFill>
                            <a:prstDash val="solid"/>
                          </a:ln>
                        </wps:spPr>
                        <wps:bodyPr wrap="square" lIns="0" tIns="0" rIns="0" bIns="0" rtlCol="0">
                          <a:prstTxWarp prst="textNoShape">
                            <a:avLst/>
                          </a:prstTxWarp>
                          <a:noAutofit/>
                        </wps:bodyPr>
                      </wps:wsp>
                      <wps:wsp>
                        <wps:cNvPr id="127" name="Graphic 127"/>
                        <wps:cNvSpPr/>
                        <wps:spPr>
                          <a:xfrm>
                            <a:off x="680910" y="911834"/>
                            <a:ext cx="4826000" cy="3682365"/>
                          </a:xfrm>
                          <a:custGeom>
                            <a:avLst/>
                            <a:gdLst/>
                            <a:ahLst/>
                            <a:cxnLst/>
                            <a:rect l="l" t="t" r="r" b="b"/>
                            <a:pathLst>
                              <a:path w="4826000" h="3682365">
                                <a:moveTo>
                                  <a:pt x="0" y="2832861"/>
                                </a:moveTo>
                                <a:lnTo>
                                  <a:pt x="123190" y="2939541"/>
                                </a:lnTo>
                                <a:lnTo>
                                  <a:pt x="248158" y="2884678"/>
                                </a:lnTo>
                                <a:lnTo>
                                  <a:pt x="371602" y="2800858"/>
                                </a:lnTo>
                                <a:lnTo>
                                  <a:pt x="495046" y="0"/>
                                </a:lnTo>
                                <a:lnTo>
                                  <a:pt x="618490" y="3154426"/>
                                </a:lnTo>
                                <a:lnTo>
                                  <a:pt x="741934" y="3186429"/>
                                </a:lnTo>
                                <a:lnTo>
                                  <a:pt x="866902" y="3235197"/>
                                </a:lnTo>
                                <a:lnTo>
                                  <a:pt x="990346" y="3110229"/>
                                </a:lnTo>
                                <a:lnTo>
                                  <a:pt x="1113790" y="2608834"/>
                                </a:lnTo>
                                <a:lnTo>
                                  <a:pt x="1237234" y="2517393"/>
                                </a:lnTo>
                                <a:lnTo>
                                  <a:pt x="1360678" y="2172969"/>
                                </a:lnTo>
                                <a:lnTo>
                                  <a:pt x="1484122" y="2048002"/>
                                </a:lnTo>
                                <a:lnTo>
                                  <a:pt x="1609090" y="2563114"/>
                                </a:lnTo>
                                <a:lnTo>
                                  <a:pt x="1732534" y="3014217"/>
                                </a:lnTo>
                                <a:lnTo>
                                  <a:pt x="1855977" y="2048002"/>
                                </a:lnTo>
                                <a:lnTo>
                                  <a:pt x="1979422" y="1636521"/>
                                </a:lnTo>
                                <a:lnTo>
                                  <a:pt x="2102866" y="872998"/>
                                </a:lnTo>
                                <a:lnTo>
                                  <a:pt x="2227834" y="1746250"/>
                                </a:lnTo>
                                <a:lnTo>
                                  <a:pt x="2351278" y="1054353"/>
                                </a:lnTo>
                                <a:lnTo>
                                  <a:pt x="2474722" y="1988565"/>
                                </a:lnTo>
                                <a:lnTo>
                                  <a:pt x="2598166" y="2675890"/>
                                </a:lnTo>
                                <a:lnTo>
                                  <a:pt x="2721610" y="1362202"/>
                                </a:lnTo>
                                <a:lnTo>
                                  <a:pt x="2846578" y="3256533"/>
                                </a:lnTo>
                                <a:lnTo>
                                  <a:pt x="2970022" y="3270250"/>
                                </a:lnTo>
                                <a:lnTo>
                                  <a:pt x="3093466" y="3579622"/>
                                </a:lnTo>
                                <a:lnTo>
                                  <a:pt x="3216910" y="3366261"/>
                                </a:lnTo>
                                <a:lnTo>
                                  <a:pt x="3340354" y="3191002"/>
                                </a:lnTo>
                                <a:lnTo>
                                  <a:pt x="3465322" y="3682237"/>
                                </a:lnTo>
                                <a:lnTo>
                                  <a:pt x="3588766" y="1991614"/>
                                </a:lnTo>
                                <a:lnTo>
                                  <a:pt x="3712210" y="2749041"/>
                                </a:lnTo>
                                <a:lnTo>
                                  <a:pt x="3835654" y="3344926"/>
                                </a:lnTo>
                                <a:lnTo>
                                  <a:pt x="3959098" y="3299205"/>
                                </a:lnTo>
                                <a:lnTo>
                                  <a:pt x="4084066" y="3605529"/>
                                </a:lnTo>
                                <a:lnTo>
                                  <a:pt x="4207510" y="3229102"/>
                                </a:lnTo>
                                <a:lnTo>
                                  <a:pt x="4330954" y="3469893"/>
                                </a:lnTo>
                                <a:lnTo>
                                  <a:pt x="4454398" y="3331209"/>
                                </a:lnTo>
                                <a:lnTo>
                                  <a:pt x="4577842" y="3192526"/>
                                </a:lnTo>
                                <a:lnTo>
                                  <a:pt x="4701286" y="3073654"/>
                                </a:lnTo>
                                <a:lnTo>
                                  <a:pt x="4825746" y="2276602"/>
                                </a:lnTo>
                              </a:path>
                            </a:pathLst>
                          </a:custGeom>
                          <a:ln w="28575">
                            <a:solidFill>
                              <a:srgbClr val="497DBA"/>
                            </a:solidFill>
                            <a:prstDash val="solid"/>
                          </a:ln>
                        </wps:spPr>
                        <wps:bodyPr wrap="square" lIns="0" tIns="0" rIns="0" bIns="0" rtlCol="0">
                          <a:prstTxWarp prst="textNoShape">
                            <a:avLst/>
                          </a:prstTxWarp>
                          <a:noAutofit/>
                        </wps:bodyPr>
                      </wps:wsp>
                      <pic:pic>
                        <pic:nvPicPr>
                          <pic:cNvPr id="128" name="Image 128"/>
                          <pic:cNvPicPr/>
                        </pic:nvPicPr>
                        <pic:blipFill>
                          <a:blip r:embed="rId36" cstate="print"/>
                          <a:stretch>
                            <a:fillRect/>
                          </a:stretch>
                        </pic:blipFill>
                        <pic:spPr>
                          <a:xfrm>
                            <a:off x="489864" y="4500092"/>
                            <a:ext cx="207683" cy="215900"/>
                          </a:xfrm>
                          <a:prstGeom prst="rect">
                            <a:avLst/>
                          </a:prstGeom>
                        </pic:spPr>
                      </pic:pic>
                      <pic:pic>
                        <pic:nvPicPr>
                          <pic:cNvPr id="129" name="Image 129"/>
                          <pic:cNvPicPr/>
                        </pic:nvPicPr>
                        <pic:blipFill>
                          <a:blip r:embed="rId37" cstate="print"/>
                          <a:stretch>
                            <a:fillRect/>
                          </a:stretch>
                        </pic:blipFill>
                        <pic:spPr>
                          <a:xfrm>
                            <a:off x="737298" y="4501362"/>
                            <a:ext cx="215519" cy="214630"/>
                          </a:xfrm>
                          <a:prstGeom prst="rect">
                            <a:avLst/>
                          </a:prstGeom>
                        </pic:spPr>
                      </pic:pic>
                      <pic:pic>
                        <pic:nvPicPr>
                          <pic:cNvPr id="130" name="Image 130"/>
                          <pic:cNvPicPr/>
                        </pic:nvPicPr>
                        <pic:blipFill>
                          <a:blip r:embed="rId38" cstate="print"/>
                          <a:stretch>
                            <a:fillRect/>
                          </a:stretch>
                        </pic:blipFill>
                        <pic:spPr>
                          <a:xfrm>
                            <a:off x="984821" y="4498822"/>
                            <a:ext cx="210184" cy="217169"/>
                          </a:xfrm>
                          <a:prstGeom prst="rect">
                            <a:avLst/>
                          </a:prstGeom>
                        </pic:spPr>
                      </pic:pic>
                      <pic:pic>
                        <pic:nvPicPr>
                          <pic:cNvPr id="131" name="Image 131"/>
                          <pic:cNvPicPr/>
                        </pic:nvPicPr>
                        <pic:blipFill>
                          <a:blip r:embed="rId39" cstate="print"/>
                          <a:stretch>
                            <a:fillRect/>
                          </a:stretch>
                        </pic:blipFill>
                        <pic:spPr>
                          <a:xfrm>
                            <a:off x="1232217" y="4495012"/>
                            <a:ext cx="208533" cy="220980"/>
                          </a:xfrm>
                          <a:prstGeom prst="rect">
                            <a:avLst/>
                          </a:prstGeom>
                        </pic:spPr>
                      </pic:pic>
                      <pic:pic>
                        <pic:nvPicPr>
                          <pic:cNvPr id="132" name="Image 132"/>
                          <pic:cNvPicPr/>
                        </pic:nvPicPr>
                        <pic:blipFill>
                          <a:blip r:embed="rId40" cstate="print"/>
                          <a:stretch>
                            <a:fillRect/>
                          </a:stretch>
                        </pic:blipFill>
                        <pic:spPr>
                          <a:xfrm>
                            <a:off x="1479740" y="4498822"/>
                            <a:ext cx="209931" cy="217169"/>
                          </a:xfrm>
                          <a:prstGeom prst="rect">
                            <a:avLst/>
                          </a:prstGeom>
                        </pic:spPr>
                      </pic:pic>
                      <pic:pic>
                        <pic:nvPicPr>
                          <pic:cNvPr id="133" name="Image 133"/>
                          <pic:cNvPicPr/>
                        </pic:nvPicPr>
                        <pic:blipFill>
                          <a:blip r:embed="rId41" cstate="print"/>
                          <a:stretch>
                            <a:fillRect/>
                          </a:stretch>
                        </pic:blipFill>
                        <pic:spPr>
                          <a:xfrm>
                            <a:off x="1727263" y="4500092"/>
                            <a:ext cx="207644" cy="215900"/>
                          </a:xfrm>
                          <a:prstGeom prst="rect">
                            <a:avLst/>
                          </a:prstGeom>
                        </pic:spPr>
                      </pic:pic>
                      <pic:pic>
                        <pic:nvPicPr>
                          <pic:cNvPr id="134" name="Image 134"/>
                          <pic:cNvPicPr/>
                        </pic:nvPicPr>
                        <pic:blipFill>
                          <a:blip r:embed="rId42" cstate="print"/>
                          <a:stretch>
                            <a:fillRect/>
                          </a:stretch>
                        </pic:blipFill>
                        <pic:spPr>
                          <a:xfrm>
                            <a:off x="1974659" y="4501362"/>
                            <a:ext cx="215519" cy="214630"/>
                          </a:xfrm>
                          <a:prstGeom prst="rect">
                            <a:avLst/>
                          </a:prstGeom>
                        </pic:spPr>
                      </pic:pic>
                      <pic:pic>
                        <pic:nvPicPr>
                          <pic:cNvPr id="135" name="Image 135"/>
                          <pic:cNvPicPr/>
                        </pic:nvPicPr>
                        <pic:blipFill>
                          <a:blip r:embed="rId43" cstate="print"/>
                          <a:stretch>
                            <a:fillRect/>
                          </a:stretch>
                        </pic:blipFill>
                        <pic:spPr>
                          <a:xfrm>
                            <a:off x="2222182" y="4498822"/>
                            <a:ext cx="210185" cy="217169"/>
                          </a:xfrm>
                          <a:prstGeom prst="rect">
                            <a:avLst/>
                          </a:prstGeom>
                        </pic:spPr>
                      </pic:pic>
                      <pic:pic>
                        <pic:nvPicPr>
                          <pic:cNvPr id="136" name="Image 136"/>
                          <pic:cNvPicPr/>
                        </pic:nvPicPr>
                        <pic:blipFill>
                          <a:blip r:embed="rId44" cstate="print"/>
                          <a:stretch>
                            <a:fillRect/>
                          </a:stretch>
                        </pic:blipFill>
                        <pic:spPr>
                          <a:xfrm>
                            <a:off x="2469705" y="4495012"/>
                            <a:ext cx="208406" cy="220980"/>
                          </a:xfrm>
                          <a:prstGeom prst="rect">
                            <a:avLst/>
                          </a:prstGeom>
                        </pic:spPr>
                      </pic:pic>
                      <pic:pic>
                        <pic:nvPicPr>
                          <pic:cNvPr id="137" name="Image 137"/>
                          <pic:cNvPicPr/>
                        </pic:nvPicPr>
                        <pic:blipFill>
                          <a:blip r:embed="rId45" cstate="print"/>
                          <a:stretch>
                            <a:fillRect/>
                          </a:stretch>
                        </pic:blipFill>
                        <pic:spPr>
                          <a:xfrm>
                            <a:off x="2717101" y="4498822"/>
                            <a:ext cx="209931" cy="217169"/>
                          </a:xfrm>
                          <a:prstGeom prst="rect">
                            <a:avLst/>
                          </a:prstGeom>
                        </pic:spPr>
                      </pic:pic>
                      <pic:pic>
                        <pic:nvPicPr>
                          <pic:cNvPr id="138" name="Image 138"/>
                          <pic:cNvPicPr/>
                        </pic:nvPicPr>
                        <pic:blipFill>
                          <a:blip r:embed="rId46" cstate="print"/>
                          <a:stretch>
                            <a:fillRect/>
                          </a:stretch>
                        </pic:blipFill>
                        <pic:spPr>
                          <a:xfrm>
                            <a:off x="2964624" y="4500092"/>
                            <a:ext cx="207645" cy="215900"/>
                          </a:xfrm>
                          <a:prstGeom prst="rect">
                            <a:avLst/>
                          </a:prstGeom>
                        </pic:spPr>
                      </pic:pic>
                      <pic:pic>
                        <pic:nvPicPr>
                          <pic:cNvPr id="139" name="Image 139"/>
                          <pic:cNvPicPr/>
                        </pic:nvPicPr>
                        <pic:blipFill>
                          <a:blip r:embed="rId47" cstate="print"/>
                          <a:stretch>
                            <a:fillRect/>
                          </a:stretch>
                        </pic:blipFill>
                        <pic:spPr>
                          <a:xfrm>
                            <a:off x="3212020" y="4501362"/>
                            <a:ext cx="215391" cy="214630"/>
                          </a:xfrm>
                          <a:prstGeom prst="rect">
                            <a:avLst/>
                          </a:prstGeom>
                        </pic:spPr>
                      </pic:pic>
                      <pic:pic>
                        <pic:nvPicPr>
                          <pic:cNvPr id="140" name="Image 140"/>
                          <pic:cNvPicPr/>
                        </pic:nvPicPr>
                        <pic:blipFill>
                          <a:blip r:embed="rId48" cstate="print"/>
                          <a:stretch>
                            <a:fillRect/>
                          </a:stretch>
                        </pic:blipFill>
                        <pic:spPr>
                          <a:xfrm>
                            <a:off x="3459543" y="4498822"/>
                            <a:ext cx="210185" cy="217169"/>
                          </a:xfrm>
                          <a:prstGeom prst="rect">
                            <a:avLst/>
                          </a:prstGeom>
                        </pic:spPr>
                      </pic:pic>
                      <pic:pic>
                        <pic:nvPicPr>
                          <pic:cNvPr id="141" name="Image 141"/>
                          <pic:cNvPicPr/>
                        </pic:nvPicPr>
                        <pic:blipFill>
                          <a:blip r:embed="rId49" cstate="print"/>
                          <a:stretch>
                            <a:fillRect/>
                          </a:stretch>
                        </pic:blipFill>
                        <pic:spPr>
                          <a:xfrm>
                            <a:off x="3707066" y="4495012"/>
                            <a:ext cx="208407" cy="220980"/>
                          </a:xfrm>
                          <a:prstGeom prst="rect">
                            <a:avLst/>
                          </a:prstGeom>
                        </pic:spPr>
                      </pic:pic>
                      <pic:pic>
                        <pic:nvPicPr>
                          <pic:cNvPr id="142" name="Image 142"/>
                          <pic:cNvPicPr/>
                        </pic:nvPicPr>
                        <pic:blipFill>
                          <a:blip r:embed="rId50" cstate="print"/>
                          <a:stretch>
                            <a:fillRect/>
                          </a:stretch>
                        </pic:blipFill>
                        <pic:spPr>
                          <a:xfrm>
                            <a:off x="3954462" y="4498822"/>
                            <a:ext cx="209930" cy="217169"/>
                          </a:xfrm>
                          <a:prstGeom prst="rect">
                            <a:avLst/>
                          </a:prstGeom>
                        </pic:spPr>
                      </pic:pic>
                      <pic:pic>
                        <pic:nvPicPr>
                          <pic:cNvPr id="143" name="Image 143"/>
                          <pic:cNvPicPr/>
                        </pic:nvPicPr>
                        <pic:blipFill>
                          <a:blip r:embed="rId51" cstate="print"/>
                          <a:stretch>
                            <a:fillRect/>
                          </a:stretch>
                        </pic:blipFill>
                        <pic:spPr>
                          <a:xfrm>
                            <a:off x="4195635" y="4500219"/>
                            <a:ext cx="213994" cy="218439"/>
                          </a:xfrm>
                          <a:prstGeom prst="rect">
                            <a:avLst/>
                          </a:prstGeom>
                        </pic:spPr>
                      </pic:pic>
                      <pic:pic>
                        <pic:nvPicPr>
                          <pic:cNvPr id="144" name="Image 144"/>
                          <pic:cNvPicPr/>
                        </pic:nvPicPr>
                        <pic:blipFill>
                          <a:blip r:embed="rId52" cstate="print"/>
                          <a:stretch>
                            <a:fillRect/>
                          </a:stretch>
                        </pic:blipFill>
                        <pic:spPr>
                          <a:xfrm>
                            <a:off x="4443158" y="4501489"/>
                            <a:ext cx="221614" cy="217169"/>
                          </a:xfrm>
                          <a:prstGeom prst="rect">
                            <a:avLst/>
                          </a:prstGeom>
                        </pic:spPr>
                      </pic:pic>
                      <pic:pic>
                        <pic:nvPicPr>
                          <pic:cNvPr id="145" name="Image 145"/>
                          <pic:cNvPicPr/>
                        </pic:nvPicPr>
                        <pic:blipFill>
                          <a:blip r:embed="rId53" cstate="print"/>
                          <a:stretch>
                            <a:fillRect/>
                          </a:stretch>
                        </pic:blipFill>
                        <pic:spPr>
                          <a:xfrm>
                            <a:off x="4690681" y="4498949"/>
                            <a:ext cx="216407" cy="219710"/>
                          </a:xfrm>
                          <a:prstGeom prst="rect">
                            <a:avLst/>
                          </a:prstGeom>
                        </pic:spPr>
                      </pic:pic>
                      <pic:pic>
                        <pic:nvPicPr>
                          <pic:cNvPr id="146" name="Image 146"/>
                          <pic:cNvPicPr/>
                        </pic:nvPicPr>
                        <pic:blipFill>
                          <a:blip r:embed="rId54" cstate="print"/>
                          <a:stretch>
                            <a:fillRect/>
                          </a:stretch>
                        </pic:blipFill>
                        <pic:spPr>
                          <a:xfrm>
                            <a:off x="5185600" y="4498949"/>
                            <a:ext cx="216026" cy="219710"/>
                          </a:xfrm>
                          <a:prstGeom prst="rect">
                            <a:avLst/>
                          </a:prstGeom>
                        </pic:spPr>
                      </pic:pic>
                      <pic:pic>
                        <pic:nvPicPr>
                          <pic:cNvPr id="147" name="Image 147"/>
                          <pic:cNvPicPr/>
                        </pic:nvPicPr>
                        <pic:blipFill>
                          <a:blip r:embed="rId55" cstate="print"/>
                          <a:stretch>
                            <a:fillRect/>
                          </a:stretch>
                        </pic:blipFill>
                        <pic:spPr>
                          <a:xfrm>
                            <a:off x="4938077" y="4495139"/>
                            <a:ext cx="214884" cy="223519"/>
                          </a:xfrm>
                          <a:prstGeom prst="rect">
                            <a:avLst/>
                          </a:prstGeom>
                        </pic:spPr>
                      </pic:pic>
                      <wps:wsp>
                        <wps:cNvPr id="148" name="Graphic 148"/>
                        <wps:cNvSpPr/>
                        <wps:spPr>
                          <a:xfrm>
                            <a:off x="4762" y="4762"/>
                            <a:ext cx="5742305" cy="5348605"/>
                          </a:xfrm>
                          <a:custGeom>
                            <a:avLst/>
                            <a:gdLst/>
                            <a:ahLst/>
                            <a:cxnLst/>
                            <a:rect l="l" t="t" r="r" b="b"/>
                            <a:pathLst>
                              <a:path w="5742305" h="5348605">
                                <a:moveTo>
                                  <a:pt x="0" y="5348605"/>
                                </a:moveTo>
                                <a:lnTo>
                                  <a:pt x="5742305" y="5348605"/>
                                </a:lnTo>
                                <a:lnTo>
                                  <a:pt x="5742305" y="0"/>
                                </a:lnTo>
                                <a:lnTo>
                                  <a:pt x="0" y="0"/>
                                </a:lnTo>
                                <a:lnTo>
                                  <a:pt x="0" y="5348605"/>
                                </a:lnTo>
                                <a:close/>
                              </a:path>
                            </a:pathLst>
                          </a:custGeom>
                          <a:ln w="9525">
                            <a:solidFill>
                              <a:srgbClr val="858585"/>
                            </a:solidFill>
                            <a:prstDash val="solid"/>
                          </a:ln>
                        </wps:spPr>
                        <wps:bodyPr wrap="square" lIns="0" tIns="0" rIns="0" bIns="0" rtlCol="0">
                          <a:prstTxWarp prst="textNoShape">
                            <a:avLst/>
                          </a:prstTxWarp>
                          <a:noAutofit/>
                        </wps:bodyPr>
                      </wps:wsp>
                      <wps:wsp>
                        <wps:cNvPr id="149" name="Textbox 149"/>
                        <wps:cNvSpPr txBox="1"/>
                        <wps:spPr>
                          <a:xfrm>
                            <a:off x="9525" y="4800"/>
                            <a:ext cx="5732780" cy="5344160"/>
                          </a:xfrm>
                          <a:prstGeom prst="rect">
                            <a:avLst/>
                          </a:prstGeom>
                        </wps:spPr>
                        <wps:txbx>
                          <w:txbxContent>
                            <w:p>
                              <w:pPr>
                                <w:spacing w:before="88"/>
                                <w:ind w:left="2810" w:right="65" w:hanging="1352"/>
                                <w:jc w:val="left"/>
                                <w:rPr>
                                  <w:rFonts w:ascii="Calibri"/>
                                  <w:b/>
                                  <w:sz w:val="20"/>
                                </w:rPr>
                              </w:pPr>
                              <w:r>
                                <w:rPr>
                                  <w:rFonts w:ascii="Calibri"/>
                                  <w:b/>
                                  <w:sz w:val="20"/>
                                </w:rPr>
                                <w:t>LINE</w:t>
                              </w:r>
                              <w:r>
                                <w:rPr>
                                  <w:rFonts w:ascii="Calibri"/>
                                  <w:b/>
                                  <w:spacing w:val="-6"/>
                                  <w:sz w:val="20"/>
                                </w:rPr>
                                <w:t> </w:t>
                              </w:r>
                              <w:r>
                                <w:rPr>
                                  <w:rFonts w:ascii="Calibri"/>
                                  <w:b/>
                                  <w:sz w:val="20"/>
                                </w:rPr>
                                <w:t>CHART</w:t>
                              </w:r>
                              <w:r>
                                <w:rPr>
                                  <w:rFonts w:ascii="Calibri"/>
                                  <w:b/>
                                  <w:spacing w:val="-5"/>
                                  <w:sz w:val="20"/>
                                </w:rPr>
                                <w:t> </w:t>
                              </w:r>
                              <w:r>
                                <w:rPr>
                                  <w:rFonts w:ascii="Calibri"/>
                                  <w:b/>
                                  <w:sz w:val="20"/>
                                </w:rPr>
                                <w:t>OF</w:t>
                              </w:r>
                              <w:r>
                                <w:rPr>
                                  <w:rFonts w:ascii="Calibri"/>
                                  <w:b/>
                                  <w:spacing w:val="-7"/>
                                  <w:sz w:val="20"/>
                                </w:rPr>
                                <w:t> </w:t>
                              </w:r>
                              <w:r>
                                <w:rPr>
                                  <w:rFonts w:ascii="Calibri"/>
                                  <w:b/>
                                  <w:sz w:val="20"/>
                                </w:rPr>
                                <w:t>CAPITAL</w:t>
                              </w:r>
                              <w:r>
                                <w:rPr>
                                  <w:rFonts w:ascii="Calibri"/>
                                  <w:b/>
                                  <w:spacing w:val="-3"/>
                                  <w:sz w:val="20"/>
                                </w:rPr>
                                <w:t> </w:t>
                              </w:r>
                              <w:r>
                                <w:rPr>
                                  <w:rFonts w:ascii="Calibri"/>
                                  <w:b/>
                                  <w:sz w:val="20"/>
                                </w:rPr>
                                <w:t>FIGHT</w:t>
                              </w:r>
                              <w:r>
                                <w:rPr>
                                  <w:rFonts w:ascii="Calibri"/>
                                  <w:b/>
                                  <w:spacing w:val="-3"/>
                                  <w:sz w:val="20"/>
                                </w:rPr>
                                <w:t> </w:t>
                              </w:r>
                              <w:r>
                                <w:rPr>
                                  <w:rFonts w:ascii="Calibri"/>
                                  <w:b/>
                                  <w:sz w:val="20"/>
                                </w:rPr>
                                <w:t>(MORGAN</w:t>
                              </w:r>
                              <w:r>
                                <w:rPr>
                                  <w:rFonts w:ascii="Calibri"/>
                                  <w:b/>
                                  <w:spacing w:val="-7"/>
                                  <w:sz w:val="20"/>
                                </w:rPr>
                                <w:t> </w:t>
                              </w:r>
                              <w:r>
                                <w:rPr>
                                  <w:rFonts w:ascii="Calibri"/>
                                  <w:b/>
                                  <w:sz w:val="20"/>
                                </w:rPr>
                                <w:t>GUARANTEE</w:t>
                              </w:r>
                              <w:r>
                                <w:rPr>
                                  <w:rFonts w:ascii="Calibri"/>
                                  <w:b/>
                                  <w:spacing w:val="-1"/>
                                  <w:sz w:val="20"/>
                                </w:rPr>
                                <w:t> </w:t>
                              </w:r>
                              <w:r>
                                <w:rPr>
                                  <w:rFonts w:ascii="Calibri"/>
                                  <w:b/>
                                  <w:sz w:val="20"/>
                                </w:rPr>
                                <w:t>(1986)</w:t>
                              </w:r>
                              <w:r>
                                <w:rPr>
                                  <w:rFonts w:ascii="Calibri"/>
                                  <w:b/>
                                  <w:spacing w:val="-5"/>
                                  <w:sz w:val="20"/>
                                </w:rPr>
                                <w:t> </w:t>
                              </w:r>
                              <w:r>
                                <w:rPr>
                                  <w:rFonts w:ascii="Calibri"/>
                                  <w:b/>
                                  <w:sz w:val="20"/>
                                </w:rPr>
                                <w:t>ESTIMATE)</w:t>
                              </w:r>
                              <w:r>
                                <w:rPr>
                                  <w:rFonts w:ascii="Calibri"/>
                                  <w:b/>
                                  <w:spacing w:val="-2"/>
                                  <w:sz w:val="20"/>
                                </w:rPr>
                                <w:t> </w:t>
                              </w:r>
                              <w:r>
                                <w:rPr>
                                  <w:rFonts w:ascii="Calibri"/>
                                  <w:b/>
                                  <w:sz w:val="20"/>
                                </w:rPr>
                                <w:t>AS</w:t>
                              </w:r>
                              <w:r>
                                <w:rPr>
                                  <w:rFonts w:ascii="Calibri"/>
                                  <w:b/>
                                  <w:spacing w:val="-5"/>
                                  <w:sz w:val="20"/>
                                </w:rPr>
                                <w:t> </w:t>
                              </w:r>
                              <w:r>
                                <w:rPr>
                                  <w:rFonts w:ascii="Calibri"/>
                                  <w:b/>
                                  <w:sz w:val="20"/>
                                </w:rPr>
                                <w:t>A PERCENTAGE OF GROSS DOMESTIC PRODUCT</w:t>
                              </w:r>
                            </w:p>
                            <w:p>
                              <w:pPr>
                                <w:spacing w:line="232" w:lineRule="exact" w:before="0"/>
                                <w:ind w:left="470" w:right="0" w:firstLine="0"/>
                                <w:jc w:val="left"/>
                                <w:rPr>
                                  <w:rFonts w:ascii="Calibri"/>
                                  <w:sz w:val="20"/>
                                </w:rPr>
                              </w:pPr>
                              <w:r>
                                <w:rPr>
                                  <w:rFonts w:ascii="Calibri"/>
                                  <w:spacing w:val="-5"/>
                                  <w:sz w:val="20"/>
                                </w:rPr>
                                <w:t>120</w:t>
                              </w:r>
                            </w:p>
                            <w:p>
                              <w:pPr>
                                <w:spacing w:line="240" w:lineRule="auto" w:before="0"/>
                                <w:rPr>
                                  <w:rFonts w:ascii="Calibri"/>
                                  <w:sz w:val="20"/>
                                </w:rPr>
                              </w:pPr>
                            </w:p>
                            <w:p>
                              <w:pPr>
                                <w:spacing w:line="240" w:lineRule="auto" w:before="0"/>
                                <w:rPr>
                                  <w:rFonts w:ascii="Calibri"/>
                                  <w:sz w:val="20"/>
                                </w:rPr>
                              </w:pPr>
                            </w:p>
                            <w:p>
                              <w:pPr>
                                <w:spacing w:line="240" w:lineRule="auto" w:before="54"/>
                                <w:rPr>
                                  <w:rFonts w:ascii="Calibri"/>
                                  <w:sz w:val="20"/>
                                </w:rPr>
                              </w:pPr>
                            </w:p>
                            <w:p>
                              <w:pPr>
                                <w:spacing w:before="1"/>
                                <w:ind w:left="0" w:right="8250" w:firstLine="0"/>
                                <w:jc w:val="right"/>
                                <w:rPr>
                                  <w:rFonts w:ascii="Calibri"/>
                                  <w:sz w:val="20"/>
                                </w:rPr>
                              </w:pPr>
                              <w:r>
                                <w:rPr>
                                  <w:rFonts w:ascii="Calibri"/>
                                  <w:spacing w:val="-5"/>
                                  <w:sz w:val="20"/>
                                </w:rPr>
                                <w:t>100</w:t>
                              </w:r>
                            </w:p>
                            <w:p>
                              <w:pPr>
                                <w:spacing w:line="240" w:lineRule="auto" w:before="0"/>
                                <w:rPr>
                                  <w:rFonts w:ascii="Calibri"/>
                                  <w:sz w:val="20"/>
                                </w:rPr>
                              </w:pPr>
                            </w:p>
                            <w:p>
                              <w:pPr>
                                <w:spacing w:line="240" w:lineRule="auto" w:before="0"/>
                                <w:rPr>
                                  <w:rFonts w:ascii="Calibri"/>
                                  <w:sz w:val="20"/>
                                </w:rPr>
                              </w:pPr>
                            </w:p>
                            <w:p>
                              <w:pPr>
                                <w:spacing w:line="240" w:lineRule="auto" w:before="54"/>
                                <w:rPr>
                                  <w:rFonts w:ascii="Calibri"/>
                                  <w:sz w:val="20"/>
                                </w:rPr>
                              </w:pPr>
                            </w:p>
                            <w:p>
                              <w:pPr>
                                <w:spacing w:before="1"/>
                                <w:ind w:left="0" w:right="8252" w:firstLine="0"/>
                                <w:jc w:val="right"/>
                                <w:rPr>
                                  <w:rFonts w:ascii="Calibri"/>
                                  <w:sz w:val="20"/>
                                </w:rPr>
                              </w:pPr>
                              <w:r>
                                <w:rPr>
                                  <w:rFonts w:ascii="Calibri"/>
                                  <w:spacing w:val="-5"/>
                                  <w:sz w:val="20"/>
                                </w:rPr>
                                <w:t>80</w:t>
                              </w:r>
                            </w:p>
                            <w:p>
                              <w:pPr>
                                <w:spacing w:line="240" w:lineRule="auto" w:before="0"/>
                                <w:rPr>
                                  <w:rFonts w:ascii="Calibri"/>
                                  <w:sz w:val="20"/>
                                </w:rPr>
                              </w:pPr>
                            </w:p>
                            <w:p>
                              <w:pPr>
                                <w:spacing w:line="240" w:lineRule="auto" w:before="0"/>
                                <w:rPr>
                                  <w:rFonts w:ascii="Calibri"/>
                                  <w:sz w:val="20"/>
                                </w:rPr>
                              </w:pPr>
                            </w:p>
                            <w:p>
                              <w:pPr>
                                <w:spacing w:line="240" w:lineRule="auto" w:before="54"/>
                                <w:rPr>
                                  <w:rFonts w:ascii="Calibri"/>
                                  <w:sz w:val="20"/>
                                </w:rPr>
                              </w:pPr>
                            </w:p>
                            <w:p>
                              <w:pPr>
                                <w:spacing w:before="1"/>
                                <w:ind w:left="0" w:right="8252" w:firstLine="0"/>
                                <w:jc w:val="right"/>
                                <w:rPr>
                                  <w:rFonts w:ascii="Calibri"/>
                                  <w:sz w:val="20"/>
                                </w:rPr>
                              </w:pPr>
                              <w:r>
                                <w:rPr>
                                  <w:rFonts w:ascii="Calibri"/>
                                  <w:spacing w:val="-5"/>
                                  <w:sz w:val="20"/>
                                </w:rPr>
                                <w:t>60</w:t>
                              </w:r>
                            </w:p>
                            <w:p>
                              <w:pPr>
                                <w:spacing w:line="240" w:lineRule="auto" w:before="0"/>
                                <w:rPr>
                                  <w:rFonts w:ascii="Calibri"/>
                                  <w:sz w:val="20"/>
                                </w:rPr>
                              </w:pPr>
                            </w:p>
                            <w:p>
                              <w:pPr>
                                <w:spacing w:line="240" w:lineRule="auto" w:before="0"/>
                                <w:rPr>
                                  <w:rFonts w:ascii="Calibri"/>
                                  <w:sz w:val="20"/>
                                </w:rPr>
                              </w:pPr>
                            </w:p>
                            <w:p>
                              <w:pPr>
                                <w:spacing w:line="240" w:lineRule="auto" w:before="54"/>
                                <w:rPr>
                                  <w:rFonts w:ascii="Calibri"/>
                                  <w:sz w:val="20"/>
                                </w:rPr>
                              </w:pPr>
                            </w:p>
                            <w:p>
                              <w:pPr>
                                <w:spacing w:before="0"/>
                                <w:ind w:left="0" w:right="8252" w:firstLine="0"/>
                                <w:jc w:val="right"/>
                                <w:rPr>
                                  <w:rFonts w:ascii="Calibri"/>
                                  <w:sz w:val="20"/>
                                </w:rPr>
                              </w:pPr>
                              <w:r>
                                <w:rPr>
                                  <w:rFonts w:ascii="Calibri"/>
                                  <w:spacing w:val="-5"/>
                                  <w:sz w:val="20"/>
                                </w:rPr>
                                <w:t>40</w:t>
                              </w:r>
                            </w:p>
                            <w:p>
                              <w:pPr>
                                <w:spacing w:line="240" w:lineRule="auto" w:before="0"/>
                                <w:rPr>
                                  <w:rFonts w:ascii="Calibri"/>
                                  <w:sz w:val="20"/>
                                </w:rPr>
                              </w:pPr>
                            </w:p>
                            <w:p>
                              <w:pPr>
                                <w:spacing w:line="240" w:lineRule="auto" w:before="0"/>
                                <w:rPr>
                                  <w:rFonts w:ascii="Calibri"/>
                                  <w:sz w:val="20"/>
                                </w:rPr>
                              </w:pPr>
                            </w:p>
                            <w:p>
                              <w:pPr>
                                <w:spacing w:line="240" w:lineRule="auto" w:before="55"/>
                                <w:rPr>
                                  <w:rFonts w:ascii="Calibri"/>
                                  <w:sz w:val="20"/>
                                </w:rPr>
                              </w:pPr>
                            </w:p>
                            <w:p>
                              <w:pPr>
                                <w:spacing w:before="0"/>
                                <w:ind w:left="0" w:right="8252" w:firstLine="0"/>
                                <w:jc w:val="right"/>
                                <w:rPr>
                                  <w:rFonts w:ascii="Calibri"/>
                                  <w:sz w:val="20"/>
                                </w:rPr>
                              </w:pPr>
                              <w:r>
                                <w:rPr>
                                  <w:rFonts w:ascii="Calibri"/>
                                  <w:spacing w:val="-5"/>
                                  <w:sz w:val="20"/>
                                </w:rPr>
                                <w:t>20</w:t>
                              </w:r>
                            </w:p>
                            <w:p>
                              <w:pPr>
                                <w:spacing w:line="240" w:lineRule="auto" w:before="0"/>
                                <w:rPr>
                                  <w:rFonts w:ascii="Calibri"/>
                                  <w:sz w:val="20"/>
                                </w:rPr>
                              </w:pPr>
                            </w:p>
                            <w:p>
                              <w:pPr>
                                <w:spacing w:line="240" w:lineRule="auto" w:before="0"/>
                                <w:rPr>
                                  <w:rFonts w:ascii="Calibri"/>
                                  <w:sz w:val="20"/>
                                </w:rPr>
                              </w:pPr>
                            </w:p>
                            <w:p>
                              <w:pPr>
                                <w:spacing w:line="240" w:lineRule="auto" w:before="55"/>
                                <w:rPr>
                                  <w:rFonts w:ascii="Calibri"/>
                                  <w:sz w:val="20"/>
                                </w:rPr>
                              </w:pPr>
                            </w:p>
                            <w:p>
                              <w:pPr>
                                <w:spacing w:before="0"/>
                                <w:ind w:left="0" w:right="8251" w:firstLine="0"/>
                                <w:jc w:val="right"/>
                                <w:rPr>
                                  <w:rFonts w:ascii="Calibri"/>
                                  <w:sz w:val="20"/>
                                </w:rPr>
                              </w:pPr>
                              <w:r>
                                <w:rPr>
                                  <w:rFonts w:ascii="Calibri"/>
                                  <w:spacing w:val="-10"/>
                                  <w:sz w:val="20"/>
                                </w:rPr>
                                <w:t>0</w:t>
                              </w:r>
                            </w:p>
                            <w:p>
                              <w:pPr>
                                <w:spacing w:line="240" w:lineRule="auto" w:before="0"/>
                                <w:rPr>
                                  <w:rFonts w:ascii="Calibri"/>
                                  <w:sz w:val="20"/>
                                </w:rPr>
                              </w:pPr>
                            </w:p>
                            <w:p>
                              <w:pPr>
                                <w:spacing w:line="240" w:lineRule="auto" w:before="0"/>
                                <w:rPr>
                                  <w:rFonts w:ascii="Calibri"/>
                                  <w:sz w:val="20"/>
                                </w:rPr>
                              </w:pPr>
                            </w:p>
                            <w:p>
                              <w:pPr>
                                <w:spacing w:line="240" w:lineRule="auto" w:before="55"/>
                                <w:rPr>
                                  <w:rFonts w:ascii="Calibri"/>
                                  <w:sz w:val="20"/>
                                </w:rPr>
                              </w:pPr>
                            </w:p>
                            <w:p>
                              <w:pPr>
                                <w:spacing w:line="204" w:lineRule="exact" w:before="0"/>
                                <w:ind w:left="510" w:right="0" w:firstLine="0"/>
                                <w:jc w:val="left"/>
                                <w:rPr>
                                  <w:rFonts w:ascii="Calibri"/>
                                  <w:sz w:val="20"/>
                                </w:rPr>
                              </w:pPr>
                              <w:r>
                                <w:rPr>
                                  <w:rFonts w:ascii="Calibri"/>
                                  <w:sz w:val="20"/>
                                </w:rPr>
                                <w:t>-</w:t>
                              </w:r>
                              <w:r>
                                <w:rPr>
                                  <w:rFonts w:ascii="Calibri"/>
                                  <w:spacing w:val="-5"/>
                                  <w:sz w:val="20"/>
                                </w:rPr>
                                <w:t>20</w:t>
                              </w:r>
                            </w:p>
                            <w:p>
                              <w:pPr>
                                <w:spacing w:line="204" w:lineRule="exact" w:before="0"/>
                                <w:ind w:left="686" w:right="0" w:firstLine="0"/>
                                <w:jc w:val="center"/>
                                <w:rPr>
                                  <w:rFonts w:ascii="Calibri"/>
                                  <w:b/>
                                  <w:sz w:val="20"/>
                                </w:rPr>
                              </w:pPr>
                              <w:r>
                                <w:rPr>
                                  <w:rFonts w:ascii="Calibri"/>
                                  <w:b/>
                                  <w:spacing w:val="-4"/>
                                  <w:sz w:val="20"/>
                                </w:rPr>
                                <w:t>Year</w:t>
                              </w:r>
                            </w:p>
                          </w:txbxContent>
                        </wps:txbx>
                        <wps:bodyPr wrap="square" lIns="0" tIns="0" rIns="0" bIns="0" rtlCol="0">
                          <a:noAutofit/>
                        </wps:bodyPr>
                      </wps:wsp>
                    </wpg:wgp>
                  </a:graphicData>
                </a:graphic>
              </wp:anchor>
            </w:drawing>
          </mc:Choice>
          <mc:Fallback>
            <w:pict>
              <v:group style="position:absolute;margin-left:49.125pt;margin-top:29.550751pt;width:452.9pt;height:421.9pt;mso-position-horizontal-relative:page;mso-position-vertical-relative:paragraph;z-index:15752704" id="docshapegroup111" coordorigin="983,591" coordsize="9058,8438">
                <v:shape style="position:absolute;left:1893;top:1295;width:7858;height:7220" id="docshape112" coordorigin="1894,1296" coordsize="7858,7220" path="m1957,8515l9752,8515m1957,6452l9752,6452m1957,5420l9752,5420m1957,4391l9752,4391m1957,3359l9752,3359m1957,2327l9752,2327m1957,1296l9752,1296m1957,8515l1957,1296m1894,8515l1957,8515m1894,7484l1957,7484m1894,6452l1957,6452m1894,5420l1957,5420m1894,4391l1957,4391m1894,3359l1957,3359m1894,2327l1957,2327m1894,1296l1957,1296m1957,7484l9752,7484m1957,7484l1957,7548m2153,7484l2153,7548m2347,7484l2347,7548m2542,7484l2542,7548m2736,7484l2736,7548m2933,7484l2933,7548m3127,7484l3127,7548m3322,7484l3322,7548m3516,7484l3516,7548m3710,7484l3710,7548m3907,7484l3907,7548m4102,7484l4102,7548m4296,7484l4296,7548m4490,7484l4490,7548m4685,7484l4685,7548m4879,7484l4879,7548m5076,7484l5076,7548m5270,7484l5270,7548m5465,7484l5465,7548m5659,7484l5659,7548m5854,7484l5854,7548m6050,7484l6050,7548m6245,7484l6245,7548m6439,7484l6439,7548m6634,7484l6634,7548m6828,7484l6828,7548m7025,7484l7025,7548m7219,7484l7219,7548m7414,7484l7414,7548m7608,7484l7608,7548m7802,7484l7802,7548m7999,7484l7999,7548m8194,7484l8194,7548m8388,7484l8388,7548m8582,7484l8582,7548m8777,7484l8777,7548m8974,7484l8974,7548m9168,7484l9168,7548m9362,7484l9362,7548m9557,7484l9557,7548m9752,7484l9752,7548e" filled="false" stroked="true" strokeweight=".75pt" strokecolor="#858585">
                  <v:path arrowok="t"/>
                  <v:stroke dashstyle="solid"/>
                </v:shape>
                <v:shape style="position:absolute;left:2054;top:2026;width:7600;height:5799" id="docshape113" coordorigin="2055,2027" coordsize="7600,5799" path="m2055,6488l2249,6656,2446,6570,2640,6438,2834,2027,3029,6995,3223,7045,3420,7122,3614,6925,3809,6135,4003,5991,4198,5449,4392,5252,4589,6063,4783,6774,4978,5252,5172,4604,5366,3402,5563,4777,5758,3687,5952,5159,6146,6241,6341,4172,6538,7155,6732,7177,6926,7664,7121,7328,7315,7052,7512,7826,7706,5163,7901,6356,8095,7295,8290,7223,8486,7705,8681,7112,8875,7491,9070,7273,9264,7055,9458,6867,9654,5612e" filled="false" stroked="true" strokeweight="2.25pt" strokecolor="#497dba">
                  <v:path arrowok="t"/>
                  <v:stroke dashstyle="solid"/>
                </v:shape>
                <v:shape style="position:absolute;left:1753;top:7677;width:328;height:340" type="#_x0000_t75" id="docshape114" stroked="false">
                  <v:imagedata r:id="rId36" o:title=""/>
                </v:shape>
                <v:shape style="position:absolute;left:2143;top:7679;width:340;height:338" type="#_x0000_t75" id="docshape115" stroked="false">
                  <v:imagedata r:id="rId37" o:title=""/>
                </v:shape>
                <v:shape style="position:absolute;left:2533;top:7675;width:331;height:342" type="#_x0000_t75" id="docshape116" stroked="false">
                  <v:imagedata r:id="rId38" o:title=""/>
                </v:shape>
                <v:shape style="position:absolute;left:2923;top:7669;width:329;height:348" type="#_x0000_t75" id="docshape117" stroked="false">
                  <v:imagedata r:id="rId39" o:title=""/>
                </v:shape>
                <v:shape style="position:absolute;left:3312;top:7675;width:331;height:342" type="#_x0000_t75" id="docshape118" stroked="false">
                  <v:imagedata r:id="rId40" o:title=""/>
                </v:shape>
                <v:shape style="position:absolute;left:3702;top:7677;width:327;height:340" type="#_x0000_t75" id="docshape119" stroked="false">
                  <v:imagedata r:id="rId41" o:title=""/>
                </v:shape>
                <v:shape style="position:absolute;left:4092;top:7679;width:340;height:338" type="#_x0000_t75" id="docshape120" stroked="false">
                  <v:imagedata r:id="rId42" o:title=""/>
                </v:shape>
                <v:shape style="position:absolute;left:4482;top:7675;width:331;height:342" type="#_x0000_t75" id="docshape121" stroked="false">
                  <v:imagedata r:id="rId43" o:title=""/>
                </v:shape>
                <v:shape style="position:absolute;left:4871;top:7669;width:329;height:348" type="#_x0000_t75" id="docshape122" stroked="false">
                  <v:imagedata r:id="rId44" o:title=""/>
                </v:shape>
                <v:shape style="position:absolute;left:5261;top:7675;width:331;height:342" type="#_x0000_t75" id="docshape123" stroked="false">
                  <v:imagedata r:id="rId45" o:title=""/>
                </v:shape>
                <v:shape style="position:absolute;left:5651;top:7677;width:327;height:340" type="#_x0000_t75" id="docshape124" stroked="false">
                  <v:imagedata r:id="rId46" o:title=""/>
                </v:shape>
                <v:shape style="position:absolute;left:6040;top:7679;width:340;height:338" type="#_x0000_t75" id="docshape125" stroked="false">
                  <v:imagedata r:id="rId47" o:title=""/>
                </v:shape>
                <v:shape style="position:absolute;left:6430;top:7675;width:331;height:342" type="#_x0000_t75" id="docshape126" stroked="false">
                  <v:imagedata r:id="rId48" o:title=""/>
                </v:shape>
                <v:shape style="position:absolute;left:6820;top:7669;width:329;height:348" type="#_x0000_t75" id="docshape127" stroked="false">
                  <v:imagedata r:id="rId49" o:title=""/>
                </v:shape>
                <v:shape style="position:absolute;left:7210;top:7675;width:331;height:342" type="#_x0000_t75" id="docshape128" stroked="false">
                  <v:imagedata r:id="rId50" o:title=""/>
                </v:shape>
                <v:shape style="position:absolute;left:7589;top:7677;width:337;height:344" type="#_x0000_t75" id="docshape129" stroked="false">
                  <v:imagedata r:id="rId51" o:title=""/>
                </v:shape>
                <v:shape style="position:absolute;left:7979;top:7679;width:349;height:342" type="#_x0000_t75" id="docshape130" stroked="false">
                  <v:imagedata r:id="rId52" o:title=""/>
                </v:shape>
                <v:shape style="position:absolute;left:8369;top:7675;width:341;height:346" type="#_x0000_t75" id="docshape131" stroked="false">
                  <v:imagedata r:id="rId53" o:title=""/>
                </v:shape>
                <v:shape style="position:absolute;left:9148;top:7675;width:341;height:346" type="#_x0000_t75" id="docshape132" stroked="false">
                  <v:imagedata r:id="rId54" o:title=""/>
                </v:shape>
                <v:shape style="position:absolute;left:8759;top:7669;width:339;height:352" type="#_x0000_t75" id="docshape133" stroked="false">
                  <v:imagedata r:id="rId55" o:title=""/>
                </v:shape>
                <v:rect style="position:absolute;left:990;top:598;width:9043;height:8423" id="docshape134" filled="false" stroked="true" strokeweight=".75pt" strokecolor="#858585">
                  <v:stroke dashstyle="solid"/>
                </v:rect>
                <v:shape style="position:absolute;left:997;top:598;width:9028;height:8416" type="#_x0000_t202" id="docshape135" filled="false" stroked="false">
                  <v:textbox inset="0,0,0,0">
                    <w:txbxContent>
                      <w:p>
                        <w:pPr>
                          <w:spacing w:before="88"/>
                          <w:ind w:left="2810" w:right="65" w:hanging="1352"/>
                          <w:jc w:val="left"/>
                          <w:rPr>
                            <w:rFonts w:ascii="Calibri"/>
                            <w:b/>
                            <w:sz w:val="20"/>
                          </w:rPr>
                        </w:pPr>
                        <w:r>
                          <w:rPr>
                            <w:rFonts w:ascii="Calibri"/>
                            <w:b/>
                            <w:sz w:val="20"/>
                          </w:rPr>
                          <w:t>LINE</w:t>
                        </w:r>
                        <w:r>
                          <w:rPr>
                            <w:rFonts w:ascii="Calibri"/>
                            <w:b/>
                            <w:spacing w:val="-6"/>
                            <w:sz w:val="20"/>
                          </w:rPr>
                          <w:t> </w:t>
                        </w:r>
                        <w:r>
                          <w:rPr>
                            <w:rFonts w:ascii="Calibri"/>
                            <w:b/>
                            <w:sz w:val="20"/>
                          </w:rPr>
                          <w:t>CHART</w:t>
                        </w:r>
                        <w:r>
                          <w:rPr>
                            <w:rFonts w:ascii="Calibri"/>
                            <w:b/>
                            <w:spacing w:val="-5"/>
                            <w:sz w:val="20"/>
                          </w:rPr>
                          <w:t> </w:t>
                        </w:r>
                        <w:r>
                          <w:rPr>
                            <w:rFonts w:ascii="Calibri"/>
                            <w:b/>
                            <w:sz w:val="20"/>
                          </w:rPr>
                          <w:t>OF</w:t>
                        </w:r>
                        <w:r>
                          <w:rPr>
                            <w:rFonts w:ascii="Calibri"/>
                            <w:b/>
                            <w:spacing w:val="-7"/>
                            <w:sz w:val="20"/>
                          </w:rPr>
                          <w:t> </w:t>
                        </w:r>
                        <w:r>
                          <w:rPr>
                            <w:rFonts w:ascii="Calibri"/>
                            <w:b/>
                            <w:sz w:val="20"/>
                          </w:rPr>
                          <w:t>CAPITAL</w:t>
                        </w:r>
                        <w:r>
                          <w:rPr>
                            <w:rFonts w:ascii="Calibri"/>
                            <w:b/>
                            <w:spacing w:val="-3"/>
                            <w:sz w:val="20"/>
                          </w:rPr>
                          <w:t> </w:t>
                        </w:r>
                        <w:r>
                          <w:rPr>
                            <w:rFonts w:ascii="Calibri"/>
                            <w:b/>
                            <w:sz w:val="20"/>
                          </w:rPr>
                          <w:t>FIGHT</w:t>
                        </w:r>
                        <w:r>
                          <w:rPr>
                            <w:rFonts w:ascii="Calibri"/>
                            <w:b/>
                            <w:spacing w:val="-3"/>
                            <w:sz w:val="20"/>
                          </w:rPr>
                          <w:t> </w:t>
                        </w:r>
                        <w:r>
                          <w:rPr>
                            <w:rFonts w:ascii="Calibri"/>
                            <w:b/>
                            <w:sz w:val="20"/>
                          </w:rPr>
                          <w:t>(MORGAN</w:t>
                        </w:r>
                        <w:r>
                          <w:rPr>
                            <w:rFonts w:ascii="Calibri"/>
                            <w:b/>
                            <w:spacing w:val="-7"/>
                            <w:sz w:val="20"/>
                          </w:rPr>
                          <w:t> </w:t>
                        </w:r>
                        <w:r>
                          <w:rPr>
                            <w:rFonts w:ascii="Calibri"/>
                            <w:b/>
                            <w:sz w:val="20"/>
                          </w:rPr>
                          <w:t>GUARANTEE</w:t>
                        </w:r>
                        <w:r>
                          <w:rPr>
                            <w:rFonts w:ascii="Calibri"/>
                            <w:b/>
                            <w:spacing w:val="-1"/>
                            <w:sz w:val="20"/>
                          </w:rPr>
                          <w:t> </w:t>
                        </w:r>
                        <w:r>
                          <w:rPr>
                            <w:rFonts w:ascii="Calibri"/>
                            <w:b/>
                            <w:sz w:val="20"/>
                          </w:rPr>
                          <w:t>(1986)</w:t>
                        </w:r>
                        <w:r>
                          <w:rPr>
                            <w:rFonts w:ascii="Calibri"/>
                            <w:b/>
                            <w:spacing w:val="-5"/>
                            <w:sz w:val="20"/>
                          </w:rPr>
                          <w:t> </w:t>
                        </w:r>
                        <w:r>
                          <w:rPr>
                            <w:rFonts w:ascii="Calibri"/>
                            <w:b/>
                            <w:sz w:val="20"/>
                          </w:rPr>
                          <w:t>ESTIMATE)</w:t>
                        </w:r>
                        <w:r>
                          <w:rPr>
                            <w:rFonts w:ascii="Calibri"/>
                            <w:b/>
                            <w:spacing w:val="-2"/>
                            <w:sz w:val="20"/>
                          </w:rPr>
                          <w:t> </w:t>
                        </w:r>
                        <w:r>
                          <w:rPr>
                            <w:rFonts w:ascii="Calibri"/>
                            <w:b/>
                            <w:sz w:val="20"/>
                          </w:rPr>
                          <w:t>AS</w:t>
                        </w:r>
                        <w:r>
                          <w:rPr>
                            <w:rFonts w:ascii="Calibri"/>
                            <w:b/>
                            <w:spacing w:val="-5"/>
                            <w:sz w:val="20"/>
                          </w:rPr>
                          <w:t> </w:t>
                        </w:r>
                        <w:r>
                          <w:rPr>
                            <w:rFonts w:ascii="Calibri"/>
                            <w:b/>
                            <w:sz w:val="20"/>
                          </w:rPr>
                          <w:t>A PERCENTAGE OF GROSS DOMESTIC PRODUCT</w:t>
                        </w:r>
                      </w:p>
                      <w:p>
                        <w:pPr>
                          <w:spacing w:line="232" w:lineRule="exact" w:before="0"/>
                          <w:ind w:left="470" w:right="0" w:firstLine="0"/>
                          <w:jc w:val="left"/>
                          <w:rPr>
                            <w:rFonts w:ascii="Calibri"/>
                            <w:sz w:val="20"/>
                          </w:rPr>
                        </w:pPr>
                        <w:r>
                          <w:rPr>
                            <w:rFonts w:ascii="Calibri"/>
                            <w:spacing w:val="-5"/>
                            <w:sz w:val="20"/>
                          </w:rPr>
                          <w:t>120</w:t>
                        </w:r>
                      </w:p>
                      <w:p>
                        <w:pPr>
                          <w:spacing w:line="240" w:lineRule="auto" w:before="0"/>
                          <w:rPr>
                            <w:rFonts w:ascii="Calibri"/>
                            <w:sz w:val="20"/>
                          </w:rPr>
                        </w:pPr>
                      </w:p>
                      <w:p>
                        <w:pPr>
                          <w:spacing w:line="240" w:lineRule="auto" w:before="0"/>
                          <w:rPr>
                            <w:rFonts w:ascii="Calibri"/>
                            <w:sz w:val="20"/>
                          </w:rPr>
                        </w:pPr>
                      </w:p>
                      <w:p>
                        <w:pPr>
                          <w:spacing w:line="240" w:lineRule="auto" w:before="54"/>
                          <w:rPr>
                            <w:rFonts w:ascii="Calibri"/>
                            <w:sz w:val="20"/>
                          </w:rPr>
                        </w:pPr>
                      </w:p>
                      <w:p>
                        <w:pPr>
                          <w:spacing w:before="1"/>
                          <w:ind w:left="0" w:right="8250" w:firstLine="0"/>
                          <w:jc w:val="right"/>
                          <w:rPr>
                            <w:rFonts w:ascii="Calibri"/>
                            <w:sz w:val="20"/>
                          </w:rPr>
                        </w:pPr>
                        <w:r>
                          <w:rPr>
                            <w:rFonts w:ascii="Calibri"/>
                            <w:spacing w:val="-5"/>
                            <w:sz w:val="20"/>
                          </w:rPr>
                          <w:t>100</w:t>
                        </w:r>
                      </w:p>
                      <w:p>
                        <w:pPr>
                          <w:spacing w:line="240" w:lineRule="auto" w:before="0"/>
                          <w:rPr>
                            <w:rFonts w:ascii="Calibri"/>
                            <w:sz w:val="20"/>
                          </w:rPr>
                        </w:pPr>
                      </w:p>
                      <w:p>
                        <w:pPr>
                          <w:spacing w:line="240" w:lineRule="auto" w:before="0"/>
                          <w:rPr>
                            <w:rFonts w:ascii="Calibri"/>
                            <w:sz w:val="20"/>
                          </w:rPr>
                        </w:pPr>
                      </w:p>
                      <w:p>
                        <w:pPr>
                          <w:spacing w:line="240" w:lineRule="auto" w:before="54"/>
                          <w:rPr>
                            <w:rFonts w:ascii="Calibri"/>
                            <w:sz w:val="20"/>
                          </w:rPr>
                        </w:pPr>
                      </w:p>
                      <w:p>
                        <w:pPr>
                          <w:spacing w:before="1"/>
                          <w:ind w:left="0" w:right="8252" w:firstLine="0"/>
                          <w:jc w:val="right"/>
                          <w:rPr>
                            <w:rFonts w:ascii="Calibri"/>
                            <w:sz w:val="20"/>
                          </w:rPr>
                        </w:pPr>
                        <w:r>
                          <w:rPr>
                            <w:rFonts w:ascii="Calibri"/>
                            <w:spacing w:val="-5"/>
                            <w:sz w:val="20"/>
                          </w:rPr>
                          <w:t>80</w:t>
                        </w:r>
                      </w:p>
                      <w:p>
                        <w:pPr>
                          <w:spacing w:line="240" w:lineRule="auto" w:before="0"/>
                          <w:rPr>
                            <w:rFonts w:ascii="Calibri"/>
                            <w:sz w:val="20"/>
                          </w:rPr>
                        </w:pPr>
                      </w:p>
                      <w:p>
                        <w:pPr>
                          <w:spacing w:line="240" w:lineRule="auto" w:before="0"/>
                          <w:rPr>
                            <w:rFonts w:ascii="Calibri"/>
                            <w:sz w:val="20"/>
                          </w:rPr>
                        </w:pPr>
                      </w:p>
                      <w:p>
                        <w:pPr>
                          <w:spacing w:line="240" w:lineRule="auto" w:before="54"/>
                          <w:rPr>
                            <w:rFonts w:ascii="Calibri"/>
                            <w:sz w:val="20"/>
                          </w:rPr>
                        </w:pPr>
                      </w:p>
                      <w:p>
                        <w:pPr>
                          <w:spacing w:before="1"/>
                          <w:ind w:left="0" w:right="8252" w:firstLine="0"/>
                          <w:jc w:val="right"/>
                          <w:rPr>
                            <w:rFonts w:ascii="Calibri"/>
                            <w:sz w:val="20"/>
                          </w:rPr>
                        </w:pPr>
                        <w:r>
                          <w:rPr>
                            <w:rFonts w:ascii="Calibri"/>
                            <w:spacing w:val="-5"/>
                            <w:sz w:val="20"/>
                          </w:rPr>
                          <w:t>60</w:t>
                        </w:r>
                      </w:p>
                      <w:p>
                        <w:pPr>
                          <w:spacing w:line="240" w:lineRule="auto" w:before="0"/>
                          <w:rPr>
                            <w:rFonts w:ascii="Calibri"/>
                            <w:sz w:val="20"/>
                          </w:rPr>
                        </w:pPr>
                      </w:p>
                      <w:p>
                        <w:pPr>
                          <w:spacing w:line="240" w:lineRule="auto" w:before="0"/>
                          <w:rPr>
                            <w:rFonts w:ascii="Calibri"/>
                            <w:sz w:val="20"/>
                          </w:rPr>
                        </w:pPr>
                      </w:p>
                      <w:p>
                        <w:pPr>
                          <w:spacing w:line="240" w:lineRule="auto" w:before="54"/>
                          <w:rPr>
                            <w:rFonts w:ascii="Calibri"/>
                            <w:sz w:val="20"/>
                          </w:rPr>
                        </w:pPr>
                      </w:p>
                      <w:p>
                        <w:pPr>
                          <w:spacing w:before="0"/>
                          <w:ind w:left="0" w:right="8252" w:firstLine="0"/>
                          <w:jc w:val="right"/>
                          <w:rPr>
                            <w:rFonts w:ascii="Calibri"/>
                            <w:sz w:val="20"/>
                          </w:rPr>
                        </w:pPr>
                        <w:r>
                          <w:rPr>
                            <w:rFonts w:ascii="Calibri"/>
                            <w:spacing w:val="-5"/>
                            <w:sz w:val="20"/>
                          </w:rPr>
                          <w:t>40</w:t>
                        </w:r>
                      </w:p>
                      <w:p>
                        <w:pPr>
                          <w:spacing w:line="240" w:lineRule="auto" w:before="0"/>
                          <w:rPr>
                            <w:rFonts w:ascii="Calibri"/>
                            <w:sz w:val="20"/>
                          </w:rPr>
                        </w:pPr>
                      </w:p>
                      <w:p>
                        <w:pPr>
                          <w:spacing w:line="240" w:lineRule="auto" w:before="0"/>
                          <w:rPr>
                            <w:rFonts w:ascii="Calibri"/>
                            <w:sz w:val="20"/>
                          </w:rPr>
                        </w:pPr>
                      </w:p>
                      <w:p>
                        <w:pPr>
                          <w:spacing w:line="240" w:lineRule="auto" w:before="55"/>
                          <w:rPr>
                            <w:rFonts w:ascii="Calibri"/>
                            <w:sz w:val="20"/>
                          </w:rPr>
                        </w:pPr>
                      </w:p>
                      <w:p>
                        <w:pPr>
                          <w:spacing w:before="0"/>
                          <w:ind w:left="0" w:right="8252" w:firstLine="0"/>
                          <w:jc w:val="right"/>
                          <w:rPr>
                            <w:rFonts w:ascii="Calibri"/>
                            <w:sz w:val="20"/>
                          </w:rPr>
                        </w:pPr>
                        <w:r>
                          <w:rPr>
                            <w:rFonts w:ascii="Calibri"/>
                            <w:spacing w:val="-5"/>
                            <w:sz w:val="20"/>
                          </w:rPr>
                          <w:t>20</w:t>
                        </w:r>
                      </w:p>
                      <w:p>
                        <w:pPr>
                          <w:spacing w:line="240" w:lineRule="auto" w:before="0"/>
                          <w:rPr>
                            <w:rFonts w:ascii="Calibri"/>
                            <w:sz w:val="20"/>
                          </w:rPr>
                        </w:pPr>
                      </w:p>
                      <w:p>
                        <w:pPr>
                          <w:spacing w:line="240" w:lineRule="auto" w:before="0"/>
                          <w:rPr>
                            <w:rFonts w:ascii="Calibri"/>
                            <w:sz w:val="20"/>
                          </w:rPr>
                        </w:pPr>
                      </w:p>
                      <w:p>
                        <w:pPr>
                          <w:spacing w:line="240" w:lineRule="auto" w:before="55"/>
                          <w:rPr>
                            <w:rFonts w:ascii="Calibri"/>
                            <w:sz w:val="20"/>
                          </w:rPr>
                        </w:pPr>
                      </w:p>
                      <w:p>
                        <w:pPr>
                          <w:spacing w:before="0"/>
                          <w:ind w:left="0" w:right="8251" w:firstLine="0"/>
                          <w:jc w:val="right"/>
                          <w:rPr>
                            <w:rFonts w:ascii="Calibri"/>
                            <w:sz w:val="20"/>
                          </w:rPr>
                        </w:pPr>
                        <w:r>
                          <w:rPr>
                            <w:rFonts w:ascii="Calibri"/>
                            <w:spacing w:val="-10"/>
                            <w:sz w:val="20"/>
                          </w:rPr>
                          <w:t>0</w:t>
                        </w:r>
                      </w:p>
                      <w:p>
                        <w:pPr>
                          <w:spacing w:line="240" w:lineRule="auto" w:before="0"/>
                          <w:rPr>
                            <w:rFonts w:ascii="Calibri"/>
                            <w:sz w:val="20"/>
                          </w:rPr>
                        </w:pPr>
                      </w:p>
                      <w:p>
                        <w:pPr>
                          <w:spacing w:line="240" w:lineRule="auto" w:before="0"/>
                          <w:rPr>
                            <w:rFonts w:ascii="Calibri"/>
                            <w:sz w:val="20"/>
                          </w:rPr>
                        </w:pPr>
                      </w:p>
                      <w:p>
                        <w:pPr>
                          <w:spacing w:line="240" w:lineRule="auto" w:before="55"/>
                          <w:rPr>
                            <w:rFonts w:ascii="Calibri"/>
                            <w:sz w:val="20"/>
                          </w:rPr>
                        </w:pPr>
                      </w:p>
                      <w:p>
                        <w:pPr>
                          <w:spacing w:line="204" w:lineRule="exact" w:before="0"/>
                          <w:ind w:left="510" w:right="0" w:firstLine="0"/>
                          <w:jc w:val="left"/>
                          <w:rPr>
                            <w:rFonts w:ascii="Calibri"/>
                            <w:sz w:val="20"/>
                          </w:rPr>
                        </w:pPr>
                        <w:r>
                          <w:rPr>
                            <w:rFonts w:ascii="Calibri"/>
                            <w:sz w:val="20"/>
                          </w:rPr>
                          <w:t>-</w:t>
                        </w:r>
                        <w:r>
                          <w:rPr>
                            <w:rFonts w:ascii="Calibri"/>
                            <w:spacing w:val="-5"/>
                            <w:sz w:val="20"/>
                          </w:rPr>
                          <w:t>20</w:t>
                        </w:r>
                      </w:p>
                      <w:p>
                        <w:pPr>
                          <w:spacing w:line="204" w:lineRule="exact" w:before="0"/>
                          <w:ind w:left="686" w:right="0" w:firstLine="0"/>
                          <w:jc w:val="center"/>
                          <w:rPr>
                            <w:rFonts w:ascii="Calibri"/>
                            <w:b/>
                            <w:sz w:val="20"/>
                          </w:rPr>
                        </w:pPr>
                        <w:r>
                          <w:rPr>
                            <w:rFonts w:ascii="Calibri"/>
                            <w:b/>
                            <w:spacing w:val="-4"/>
                            <w:sz w:val="20"/>
                          </w:rPr>
                          <w:t>Year</w:t>
                        </w:r>
                      </w:p>
                    </w:txbxContent>
                  </v:textbox>
                  <w10:wrap type="none"/>
                </v:shape>
                <w10:wrap type="none"/>
              </v:group>
            </w:pict>
          </mc:Fallback>
        </mc:AlternateContent>
      </w:r>
      <w:r>
        <w:rPr>
          <w:sz w:val="24"/>
        </w:rPr>
        <w:t>Figure</w:t>
      </w:r>
      <w:r>
        <w:rPr>
          <w:spacing w:val="3"/>
          <w:sz w:val="24"/>
        </w:rPr>
        <w:t> </w:t>
      </w:r>
      <w:r>
        <w:rPr/>
        <w:t>4.5</w:t>
      </w:r>
      <w:r>
        <w:rPr>
          <w:b w:val="0"/>
          <w:sz w:val="24"/>
        </w:rPr>
        <w:t>:</w:t>
      </w:r>
      <w:r>
        <w:rPr>
          <w:b w:val="0"/>
          <w:spacing w:val="-4"/>
          <w:sz w:val="24"/>
        </w:rPr>
        <w:t> </w:t>
      </w:r>
      <w:r>
        <w:rPr/>
        <w:t>Line</w:t>
      </w:r>
      <w:r>
        <w:rPr>
          <w:spacing w:val="-3"/>
        </w:rPr>
        <w:t> </w:t>
      </w:r>
      <w:r>
        <w:rPr/>
        <w:t>Chart</w:t>
      </w:r>
      <w:r>
        <w:rPr>
          <w:spacing w:val="-4"/>
        </w:rPr>
        <w:t> </w:t>
      </w:r>
      <w:r>
        <w:rPr/>
        <w:t>of</w:t>
      </w:r>
      <w:r>
        <w:rPr>
          <w:spacing w:val="-4"/>
        </w:rPr>
        <w:t> </w:t>
      </w:r>
      <w:r>
        <w:rPr/>
        <w:t>Capital</w:t>
      </w:r>
      <w:r>
        <w:rPr>
          <w:spacing w:val="-3"/>
        </w:rPr>
        <w:t> </w:t>
      </w:r>
      <w:r>
        <w:rPr/>
        <w:t>Flight</w:t>
      </w:r>
      <w:r>
        <w:rPr>
          <w:spacing w:val="-7"/>
        </w:rPr>
        <w:t> </w:t>
      </w:r>
      <w:r>
        <w:rPr/>
        <w:t>Morgan</w:t>
      </w:r>
      <w:r>
        <w:rPr>
          <w:spacing w:val="-4"/>
        </w:rPr>
        <w:t> </w:t>
      </w:r>
      <w:r>
        <w:rPr/>
        <w:t>Guarantee</w:t>
      </w:r>
      <w:r>
        <w:rPr>
          <w:spacing w:val="-3"/>
        </w:rPr>
        <w:t> </w:t>
      </w:r>
      <w:r>
        <w:rPr>
          <w:spacing w:val="-2"/>
        </w:rPr>
        <w:t>(1986)</w:t>
      </w:r>
    </w:p>
    <w:p>
      <w:pPr>
        <w:spacing w:after="0"/>
        <w:sectPr>
          <w:pgSz w:w="11910" w:h="16840"/>
          <w:pgMar w:header="0" w:footer="979" w:top="1620" w:bottom="1240" w:left="280" w:right="0"/>
        </w:sectPr>
      </w:pPr>
    </w:p>
    <w:p>
      <w:pPr>
        <w:pStyle w:val="BodyText"/>
        <w:spacing w:line="480" w:lineRule="auto" w:before="73"/>
        <w:ind w:left="711" w:right="474"/>
        <w:jc w:val="both"/>
      </w:pPr>
      <w:r>
        <w:rPr/>
        <w:t>The above graph revealed that the Nigeria external debt rose sharpely in the mid 70s and toward the end of year 2000s. An empirical relationship has been established between external debt and capital flight. This</w:t>
      </w:r>
      <w:r>
        <w:rPr>
          <w:spacing w:val="40"/>
        </w:rPr>
        <w:t> </w:t>
      </w:r>
      <w:r>
        <w:rPr/>
        <w:t>will in turn affect the level of economic developing (Ayadi 2008, Ajayi 2005). The Nigeria debt profile got to</w:t>
      </w:r>
      <w:r>
        <w:rPr>
          <w:spacing w:val="-1"/>
        </w:rPr>
        <w:t> </w:t>
      </w:r>
      <w:r>
        <w:rPr/>
        <w:t>the</w:t>
      </w:r>
      <w:r>
        <w:rPr>
          <w:spacing w:val="-2"/>
        </w:rPr>
        <w:t> </w:t>
      </w:r>
      <w:r>
        <w:rPr/>
        <w:t>peak</w:t>
      </w:r>
      <w:r>
        <w:rPr>
          <w:spacing w:val="-1"/>
        </w:rPr>
        <w:t> </w:t>
      </w:r>
      <w:r>
        <w:rPr/>
        <w:t>in</w:t>
      </w:r>
      <w:r>
        <w:rPr>
          <w:spacing w:val="-1"/>
        </w:rPr>
        <w:t> </w:t>
      </w:r>
      <w:r>
        <w:rPr/>
        <w:t>the late</w:t>
      </w:r>
      <w:r>
        <w:rPr>
          <w:spacing w:val="-2"/>
        </w:rPr>
        <w:t> </w:t>
      </w:r>
      <w:r>
        <w:rPr/>
        <w:t>1990s</w:t>
      </w:r>
      <w:r>
        <w:rPr>
          <w:spacing w:val="-1"/>
        </w:rPr>
        <w:t> </w:t>
      </w:r>
      <w:r>
        <w:rPr/>
        <w:t>but</w:t>
      </w:r>
      <w:r>
        <w:rPr>
          <w:spacing w:val="-1"/>
        </w:rPr>
        <w:t> </w:t>
      </w:r>
      <w:r>
        <w:rPr/>
        <w:t>reduced</w:t>
      </w:r>
      <w:r>
        <w:rPr>
          <w:spacing w:val="-1"/>
        </w:rPr>
        <w:t> </w:t>
      </w:r>
      <w:r>
        <w:rPr/>
        <w:t>drastically</w:t>
      </w:r>
      <w:r>
        <w:rPr>
          <w:spacing w:val="-6"/>
        </w:rPr>
        <w:t> </w:t>
      </w:r>
      <w:r>
        <w:rPr/>
        <w:t>during</w:t>
      </w:r>
      <w:r>
        <w:rPr>
          <w:spacing w:val="-1"/>
        </w:rPr>
        <w:t> </w:t>
      </w:r>
      <w:r>
        <w:rPr/>
        <w:t>the</w:t>
      </w:r>
      <w:r>
        <w:rPr>
          <w:spacing w:val="-1"/>
        </w:rPr>
        <w:t> </w:t>
      </w:r>
      <w:r>
        <w:rPr/>
        <w:t>Obasanjo regime</w:t>
      </w:r>
      <w:r>
        <w:rPr>
          <w:spacing w:val="-2"/>
        </w:rPr>
        <w:t> </w:t>
      </w:r>
      <w:r>
        <w:rPr/>
        <w:t>between</w:t>
      </w:r>
      <w:r>
        <w:rPr>
          <w:spacing w:val="-1"/>
        </w:rPr>
        <w:t> </w:t>
      </w:r>
      <w:r>
        <w:rPr/>
        <w:t>2004 and 2005</w:t>
      </w:r>
      <w:r>
        <w:rPr>
          <w:spacing w:val="-1"/>
        </w:rPr>
        <w:t> </w:t>
      </w:r>
      <w:r>
        <w:rPr/>
        <w:t>due to debt reduction and forgiveness. However, the country’s debt profile has been on the rise in the last few years without a corresponding effect on economic growth.</w:t>
      </w:r>
    </w:p>
    <w:p>
      <w:pPr>
        <w:pStyle w:val="BodyText"/>
      </w:pPr>
    </w:p>
    <w:p>
      <w:pPr>
        <w:pStyle w:val="BodyText"/>
        <w:spacing w:before="1"/>
      </w:pPr>
    </w:p>
    <w:p>
      <w:pPr>
        <w:pStyle w:val="Heading6"/>
        <w:numPr>
          <w:ilvl w:val="1"/>
          <w:numId w:val="24"/>
        </w:numPr>
        <w:tabs>
          <w:tab w:pos="1153" w:val="left" w:leader="none"/>
        </w:tabs>
        <w:spacing w:line="240" w:lineRule="auto" w:before="1" w:after="0"/>
        <w:ind w:left="1153" w:right="0" w:hanging="389"/>
        <w:jc w:val="left"/>
        <w:rPr>
          <w:rFonts w:ascii="Cambria"/>
        </w:rPr>
      </w:pPr>
      <w:r>
        <w:rPr>
          <w:rFonts w:ascii="Cambria"/>
        </w:rPr>
        <w:t>Presentation</w:t>
      </w:r>
      <w:r>
        <w:rPr>
          <w:rFonts w:ascii="Cambria"/>
          <w:spacing w:val="-2"/>
        </w:rPr>
        <w:t> </w:t>
      </w:r>
      <w:r>
        <w:rPr>
          <w:rFonts w:ascii="Cambria"/>
        </w:rPr>
        <w:t>and</w:t>
      </w:r>
      <w:r>
        <w:rPr>
          <w:rFonts w:ascii="Cambria"/>
          <w:spacing w:val="-3"/>
        </w:rPr>
        <w:t> </w:t>
      </w:r>
      <w:r>
        <w:rPr>
          <w:rFonts w:ascii="Cambria"/>
        </w:rPr>
        <w:t>Analysis</w:t>
      </w:r>
      <w:r>
        <w:rPr>
          <w:rFonts w:ascii="Cambria"/>
          <w:spacing w:val="-1"/>
        </w:rPr>
        <w:t> </w:t>
      </w:r>
      <w:r>
        <w:rPr>
          <w:rFonts w:ascii="Cambria"/>
        </w:rPr>
        <w:t>of</w:t>
      </w:r>
      <w:r>
        <w:rPr>
          <w:rFonts w:ascii="Cambria"/>
          <w:spacing w:val="-2"/>
        </w:rPr>
        <w:t> Results</w:t>
      </w:r>
    </w:p>
    <w:p>
      <w:pPr>
        <w:pStyle w:val="BodyText"/>
        <w:spacing w:line="480" w:lineRule="auto" w:before="280"/>
        <w:ind w:left="711" w:right="585"/>
        <w:rPr>
          <w:rFonts w:ascii="Cambria"/>
        </w:rPr>
      </w:pPr>
      <w:r>
        <w:rPr>
          <w:rFonts w:ascii="Cambria"/>
        </w:rPr>
        <w:t>The</w:t>
      </w:r>
      <w:r>
        <w:rPr>
          <w:rFonts w:ascii="Cambria"/>
          <w:spacing w:val="-2"/>
        </w:rPr>
        <w:t> </w:t>
      </w:r>
      <w:r>
        <w:rPr>
          <w:rFonts w:ascii="Cambria"/>
        </w:rPr>
        <w:t>results</w:t>
      </w:r>
      <w:r>
        <w:rPr>
          <w:rFonts w:ascii="Cambria"/>
          <w:spacing w:val="-2"/>
        </w:rPr>
        <w:t> </w:t>
      </w:r>
      <w:r>
        <w:rPr>
          <w:rFonts w:ascii="Cambria"/>
        </w:rPr>
        <w:t>and</w:t>
      </w:r>
      <w:r>
        <w:rPr>
          <w:rFonts w:ascii="Cambria"/>
          <w:spacing w:val="-3"/>
        </w:rPr>
        <w:t> </w:t>
      </w:r>
      <w:r>
        <w:rPr>
          <w:rFonts w:ascii="Cambria"/>
        </w:rPr>
        <w:t>analyses</w:t>
      </w:r>
      <w:r>
        <w:rPr>
          <w:rFonts w:ascii="Cambria"/>
          <w:spacing w:val="-2"/>
        </w:rPr>
        <w:t> </w:t>
      </w:r>
      <w:r>
        <w:rPr>
          <w:rFonts w:ascii="Cambria"/>
        </w:rPr>
        <w:t>of</w:t>
      </w:r>
      <w:r>
        <w:rPr>
          <w:rFonts w:ascii="Cambria"/>
          <w:spacing w:val="-3"/>
        </w:rPr>
        <w:t> </w:t>
      </w:r>
      <w:r>
        <w:rPr>
          <w:rFonts w:ascii="Cambria"/>
        </w:rPr>
        <w:t>the</w:t>
      </w:r>
      <w:r>
        <w:rPr>
          <w:rFonts w:ascii="Cambria"/>
          <w:spacing w:val="-2"/>
        </w:rPr>
        <w:t> </w:t>
      </w:r>
      <w:r>
        <w:rPr>
          <w:rFonts w:ascii="Cambria"/>
        </w:rPr>
        <w:t>formulated</w:t>
      </w:r>
      <w:r>
        <w:rPr>
          <w:rFonts w:ascii="Cambria"/>
          <w:spacing w:val="-3"/>
        </w:rPr>
        <w:t> </w:t>
      </w:r>
      <w:r>
        <w:rPr>
          <w:rFonts w:ascii="Cambria"/>
        </w:rPr>
        <w:t>models</w:t>
      </w:r>
      <w:r>
        <w:rPr>
          <w:rFonts w:ascii="Cambria"/>
          <w:spacing w:val="-2"/>
        </w:rPr>
        <w:t> </w:t>
      </w:r>
      <w:r>
        <w:rPr>
          <w:rFonts w:ascii="Cambria"/>
        </w:rPr>
        <w:t>are</w:t>
      </w:r>
      <w:r>
        <w:rPr>
          <w:rFonts w:ascii="Cambria"/>
          <w:spacing w:val="-2"/>
        </w:rPr>
        <w:t> </w:t>
      </w:r>
      <w:r>
        <w:rPr>
          <w:rFonts w:ascii="Cambria"/>
        </w:rPr>
        <w:t>presented</w:t>
      </w:r>
      <w:r>
        <w:rPr>
          <w:rFonts w:ascii="Cambria"/>
          <w:spacing w:val="-3"/>
        </w:rPr>
        <w:t> </w:t>
      </w:r>
      <w:r>
        <w:rPr>
          <w:rFonts w:ascii="Cambria"/>
        </w:rPr>
        <w:t>below</w:t>
      </w:r>
      <w:r>
        <w:rPr>
          <w:rFonts w:ascii="Cambria"/>
          <w:spacing w:val="-4"/>
        </w:rPr>
        <w:t> </w:t>
      </w:r>
      <w:r>
        <w:rPr>
          <w:rFonts w:ascii="Cambria"/>
        </w:rPr>
        <w:t>in</w:t>
      </w:r>
      <w:r>
        <w:rPr>
          <w:rFonts w:ascii="Cambria"/>
          <w:spacing w:val="-2"/>
        </w:rPr>
        <w:t> </w:t>
      </w:r>
      <w:r>
        <w:rPr>
          <w:rFonts w:ascii="Cambria"/>
        </w:rPr>
        <w:t>order</w:t>
      </w:r>
      <w:r>
        <w:rPr>
          <w:rFonts w:ascii="Cambria"/>
          <w:spacing w:val="-2"/>
        </w:rPr>
        <w:t> </w:t>
      </w:r>
      <w:r>
        <w:rPr>
          <w:rFonts w:ascii="Cambria"/>
        </w:rPr>
        <w:t>to</w:t>
      </w:r>
      <w:r>
        <w:rPr>
          <w:rFonts w:ascii="Cambria"/>
          <w:spacing w:val="-2"/>
        </w:rPr>
        <w:t> </w:t>
      </w:r>
      <w:r>
        <w:rPr>
          <w:rFonts w:ascii="Cambria"/>
        </w:rPr>
        <w:t>be</w:t>
      </w:r>
      <w:r>
        <w:rPr>
          <w:rFonts w:ascii="Cambria"/>
          <w:spacing w:val="-2"/>
        </w:rPr>
        <w:t> </w:t>
      </w:r>
      <w:r>
        <w:rPr>
          <w:rFonts w:ascii="Cambria"/>
        </w:rPr>
        <w:t>able</w:t>
      </w:r>
      <w:r>
        <w:rPr>
          <w:rFonts w:ascii="Cambria"/>
          <w:spacing w:val="-2"/>
        </w:rPr>
        <w:t> </w:t>
      </w:r>
      <w:r>
        <w:rPr>
          <w:rFonts w:ascii="Cambria"/>
        </w:rPr>
        <w:t>to establish short-run and long-run relationships among the variables.</w:t>
      </w:r>
    </w:p>
    <w:p>
      <w:pPr>
        <w:pStyle w:val="Heading6"/>
        <w:numPr>
          <w:ilvl w:val="2"/>
          <w:numId w:val="24"/>
        </w:numPr>
        <w:tabs>
          <w:tab w:pos="1251" w:val="left" w:leader="none"/>
        </w:tabs>
        <w:spacing w:line="275" w:lineRule="exact" w:before="0" w:after="0"/>
        <w:ind w:left="1251" w:right="0" w:hanging="540"/>
        <w:jc w:val="left"/>
      </w:pPr>
      <w:r>
        <w:rPr/>
        <w:t>The</w:t>
      </w:r>
      <w:r>
        <w:rPr>
          <w:spacing w:val="-2"/>
        </w:rPr>
        <w:t> </w:t>
      </w:r>
      <w:r>
        <w:rPr/>
        <w:t>Short-Run </w:t>
      </w:r>
      <w:r>
        <w:rPr>
          <w:spacing w:val="-2"/>
        </w:rPr>
        <w:t>Results</w:t>
      </w:r>
    </w:p>
    <w:p>
      <w:pPr>
        <w:pStyle w:val="BodyText"/>
        <w:rPr>
          <w:b/>
        </w:rPr>
      </w:pPr>
    </w:p>
    <w:p>
      <w:pPr>
        <w:pStyle w:val="BodyText"/>
        <w:ind w:left="771"/>
      </w:pPr>
      <w:r>
        <w:rPr/>
        <w:t>The</w:t>
      </w:r>
      <w:r>
        <w:rPr>
          <w:spacing w:val="-3"/>
        </w:rPr>
        <w:t> </w:t>
      </w:r>
      <w:r>
        <w:rPr/>
        <w:t>results of</w:t>
      </w:r>
      <w:r>
        <w:rPr>
          <w:spacing w:val="-1"/>
        </w:rPr>
        <w:t> </w:t>
      </w:r>
      <w:r>
        <w:rPr/>
        <w:t>the</w:t>
      </w:r>
      <w:r>
        <w:rPr>
          <w:spacing w:val="-1"/>
        </w:rPr>
        <w:t> </w:t>
      </w:r>
      <w:r>
        <w:rPr/>
        <w:t>short-run</w:t>
      </w:r>
      <w:r>
        <w:rPr>
          <w:spacing w:val="-1"/>
        </w:rPr>
        <w:t> </w:t>
      </w:r>
      <w:r>
        <w:rPr/>
        <w:t>analyses for</w:t>
      </w:r>
      <w:r>
        <w:rPr>
          <w:spacing w:val="-2"/>
        </w:rPr>
        <w:t> </w:t>
      </w:r>
      <w:r>
        <w:rPr/>
        <w:t>the</w:t>
      </w:r>
      <w:r>
        <w:rPr>
          <w:spacing w:val="-2"/>
        </w:rPr>
        <w:t> </w:t>
      </w:r>
      <w:r>
        <w:rPr/>
        <w:t>variables in</w:t>
      </w:r>
      <w:r>
        <w:rPr>
          <w:spacing w:val="-1"/>
        </w:rPr>
        <w:t> </w:t>
      </w:r>
      <w:r>
        <w:rPr/>
        <w:t>each</w:t>
      </w:r>
      <w:r>
        <w:rPr>
          <w:spacing w:val="2"/>
        </w:rPr>
        <w:t> </w:t>
      </w:r>
      <w:r>
        <w:rPr/>
        <w:t>model</w:t>
      </w:r>
      <w:r>
        <w:rPr>
          <w:spacing w:val="-1"/>
        </w:rPr>
        <w:t> </w:t>
      </w:r>
      <w:r>
        <w:rPr/>
        <w:t>are</w:t>
      </w:r>
      <w:r>
        <w:rPr>
          <w:spacing w:val="-2"/>
        </w:rPr>
        <w:t> </w:t>
      </w:r>
      <w:r>
        <w:rPr/>
        <w:t>presented </w:t>
      </w:r>
      <w:r>
        <w:rPr>
          <w:spacing w:val="-2"/>
        </w:rPr>
        <w:t>below:</w:t>
      </w:r>
    </w:p>
    <w:p>
      <w:pPr>
        <w:pStyle w:val="BodyText"/>
        <w:spacing w:before="1"/>
      </w:pPr>
    </w:p>
    <w:p>
      <w:pPr>
        <w:pStyle w:val="Heading2"/>
        <w:jc w:val="left"/>
      </w:pPr>
      <w:r>
        <w:rPr/>
        <w:t>Table</w:t>
      </w:r>
      <w:r>
        <w:rPr>
          <w:spacing w:val="-6"/>
        </w:rPr>
        <w:t> </w:t>
      </w:r>
      <w:r>
        <w:rPr/>
        <w:t>4.1</w:t>
      </w:r>
      <w:r>
        <w:rPr>
          <w:spacing w:val="-2"/>
        </w:rPr>
        <w:t> </w:t>
      </w:r>
      <w:r>
        <w:rPr/>
        <w:t>Presentation</w:t>
      </w:r>
      <w:r>
        <w:rPr>
          <w:spacing w:val="-3"/>
        </w:rPr>
        <w:t> </w:t>
      </w:r>
      <w:r>
        <w:rPr/>
        <w:t>and</w:t>
      </w:r>
      <w:r>
        <w:rPr>
          <w:spacing w:val="-6"/>
        </w:rPr>
        <w:t> </w:t>
      </w:r>
      <w:r>
        <w:rPr/>
        <w:t>Interpretation</w:t>
      </w:r>
      <w:r>
        <w:rPr>
          <w:spacing w:val="-3"/>
        </w:rPr>
        <w:t> </w:t>
      </w:r>
      <w:r>
        <w:rPr/>
        <w:t>of</w:t>
      </w:r>
      <w:r>
        <w:rPr>
          <w:spacing w:val="-3"/>
        </w:rPr>
        <w:t> </w:t>
      </w:r>
      <w:r>
        <w:rPr/>
        <w:t>Short</w:t>
      </w:r>
      <w:r>
        <w:rPr>
          <w:spacing w:val="-3"/>
        </w:rPr>
        <w:t> </w:t>
      </w:r>
      <w:r>
        <w:rPr/>
        <w:t>run</w:t>
      </w:r>
      <w:r>
        <w:rPr>
          <w:spacing w:val="-5"/>
        </w:rPr>
        <w:t> </w:t>
      </w:r>
      <w:r>
        <w:rPr/>
        <w:t>Results</w:t>
      </w:r>
      <w:r>
        <w:rPr>
          <w:spacing w:val="-2"/>
        </w:rPr>
        <w:t> </w:t>
      </w:r>
      <w:r>
        <w:rPr/>
        <w:t>for</w:t>
      </w:r>
      <w:r>
        <w:rPr>
          <w:spacing w:val="-3"/>
        </w:rPr>
        <w:t> </w:t>
      </w:r>
      <w:r>
        <w:rPr/>
        <w:t>Model</w:t>
      </w:r>
      <w:r>
        <w:rPr>
          <w:spacing w:val="-2"/>
        </w:rPr>
        <w:t> </w:t>
      </w:r>
      <w:r>
        <w:rPr>
          <w:spacing w:val="-5"/>
        </w:rPr>
        <w:t>1A</w:t>
      </w:r>
    </w:p>
    <w:p>
      <w:pPr>
        <w:spacing w:before="161"/>
        <w:ind w:left="780" w:right="0" w:firstLine="0"/>
        <w:jc w:val="left"/>
        <w:rPr>
          <w:b/>
          <w:sz w:val="28"/>
        </w:rPr>
      </w:pPr>
      <w:r>
        <w:rPr>
          <w:b/>
          <w:sz w:val="18"/>
        </w:rPr>
        <w:t>DEPENDENT</w:t>
      </w:r>
      <w:r>
        <w:rPr>
          <w:b/>
          <w:spacing w:val="-2"/>
          <w:sz w:val="18"/>
        </w:rPr>
        <w:t> </w:t>
      </w:r>
      <w:r>
        <w:rPr>
          <w:b/>
          <w:sz w:val="18"/>
        </w:rPr>
        <w:t>VARIABLE</w:t>
      </w:r>
      <w:r>
        <w:rPr>
          <w:b/>
          <w:spacing w:val="-1"/>
          <w:sz w:val="18"/>
        </w:rPr>
        <w:t> </w:t>
      </w:r>
      <w:r>
        <w:rPr>
          <w:b/>
          <w:sz w:val="18"/>
        </w:rPr>
        <w:t>=</w:t>
      </w:r>
      <w:r>
        <w:rPr>
          <w:b/>
          <w:spacing w:val="1"/>
          <w:sz w:val="18"/>
        </w:rPr>
        <w:t> </w:t>
      </w:r>
      <w:r>
        <w:rPr>
          <w:b/>
          <w:sz w:val="18"/>
        </w:rPr>
        <w:t>KF</w:t>
      </w:r>
      <w:r>
        <w:rPr>
          <w:b/>
          <w:spacing w:val="24"/>
          <w:sz w:val="18"/>
        </w:rPr>
        <w:t> </w:t>
      </w:r>
      <w:r>
        <w:rPr>
          <w:b/>
          <w:sz w:val="28"/>
        </w:rPr>
        <w:t>(World</w:t>
      </w:r>
      <w:r>
        <w:rPr>
          <w:b/>
          <w:spacing w:val="-2"/>
          <w:sz w:val="28"/>
        </w:rPr>
        <w:t> </w:t>
      </w:r>
      <w:r>
        <w:rPr>
          <w:b/>
          <w:sz w:val="28"/>
        </w:rPr>
        <w:t>Bank</w:t>
      </w:r>
      <w:r>
        <w:rPr>
          <w:b/>
          <w:spacing w:val="-7"/>
          <w:sz w:val="28"/>
        </w:rPr>
        <w:t> </w:t>
      </w:r>
      <w:r>
        <w:rPr>
          <w:b/>
          <w:sz w:val="28"/>
        </w:rPr>
        <w:t>&amp;</w:t>
      </w:r>
      <w:r>
        <w:rPr>
          <w:b/>
          <w:spacing w:val="-2"/>
          <w:sz w:val="28"/>
        </w:rPr>
        <w:t> </w:t>
      </w:r>
      <w:r>
        <w:rPr>
          <w:b/>
          <w:sz w:val="28"/>
        </w:rPr>
        <w:t>Erbe</w:t>
      </w:r>
      <w:r>
        <w:rPr>
          <w:b/>
          <w:spacing w:val="-2"/>
          <w:sz w:val="28"/>
        </w:rPr>
        <w:t> </w:t>
      </w:r>
      <w:r>
        <w:rPr>
          <w:b/>
          <w:sz w:val="28"/>
        </w:rPr>
        <w:t>1985</w:t>
      </w:r>
      <w:r>
        <w:rPr>
          <w:b/>
          <w:spacing w:val="-4"/>
          <w:sz w:val="28"/>
        </w:rPr>
        <w:t> </w:t>
      </w:r>
      <w:r>
        <w:rPr>
          <w:b/>
          <w:spacing w:val="-2"/>
          <w:sz w:val="28"/>
        </w:rPr>
        <w:t>approach)</w:t>
      </w:r>
    </w:p>
    <w:p>
      <w:pPr>
        <w:pStyle w:val="BodyText"/>
        <w:spacing w:before="162"/>
        <w:ind w:left="711"/>
      </w:pPr>
      <w:r>
        <w:rPr/>
        <w:t>Included</w:t>
      </w:r>
      <w:r>
        <w:rPr>
          <w:spacing w:val="-4"/>
        </w:rPr>
        <w:t> </w:t>
      </w:r>
      <w:r>
        <w:rPr/>
        <w:t>observations:</w:t>
      </w:r>
      <w:r>
        <w:rPr>
          <w:spacing w:val="-2"/>
        </w:rPr>
        <w:t> </w:t>
      </w:r>
      <w:r>
        <w:rPr>
          <w:spacing w:val="-5"/>
        </w:rPr>
        <w:t>42</w:t>
      </w:r>
    </w:p>
    <w:p>
      <w:pPr>
        <w:pStyle w:val="BodyText"/>
        <w:spacing w:before="11"/>
        <w:rPr>
          <w:sz w:val="11"/>
        </w:rPr>
      </w:pPr>
    </w:p>
    <w:tbl>
      <w:tblPr>
        <w:tblW w:w="0" w:type="auto"/>
        <w:jc w:val="left"/>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18"/>
        <w:gridCol w:w="2043"/>
        <w:gridCol w:w="1966"/>
        <w:gridCol w:w="1757"/>
        <w:gridCol w:w="2130"/>
      </w:tblGrid>
      <w:tr>
        <w:trPr>
          <w:trHeight w:val="2176" w:hRule="atLeast"/>
        </w:trPr>
        <w:tc>
          <w:tcPr>
            <w:tcW w:w="1918" w:type="dxa"/>
          </w:tcPr>
          <w:p>
            <w:pPr>
              <w:pStyle w:val="TableParagraph"/>
              <w:spacing w:before="249"/>
              <w:rPr>
                <w:sz w:val="24"/>
              </w:rPr>
            </w:pPr>
          </w:p>
          <w:p>
            <w:pPr>
              <w:pStyle w:val="TableParagraph"/>
              <w:spacing w:line="480" w:lineRule="auto"/>
              <w:ind w:left="105"/>
              <w:rPr>
                <w:rFonts w:ascii="Cambria"/>
                <w:b/>
                <w:sz w:val="24"/>
              </w:rPr>
            </w:pPr>
            <w:r>
              <w:rPr>
                <w:rFonts w:ascii="Cambria"/>
                <w:b/>
                <w:spacing w:val="-2"/>
                <w:sz w:val="24"/>
              </w:rPr>
              <w:t>INDEPENDENT VARIABLES</w:t>
            </w:r>
          </w:p>
        </w:tc>
        <w:tc>
          <w:tcPr>
            <w:tcW w:w="2043" w:type="dxa"/>
          </w:tcPr>
          <w:p>
            <w:pPr>
              <w:pStyle w:val="TableParagraph"/>
              <w:spacing w:before="249"/>
              <w:rPr>
                <w:sz w:val="24"/>
              </w:rPr>
            </w:pPr>
          </w:p>
          <w:p>
            <w:pPr>
              <w:pStyle w:val="TableParagraph"/>
              <w:spacing w:line="480" w:lineRule="auto"/>
              <w:ind w:left="107"/>
              <w:rPr>
                <w:rFonts w:ascii="Cambria"/>
                <w:b/>
                <w:sz w:val="24"/>
              </w:rPr>
            </w:pPr>
            <w:r>
              <w:rPr>
                <w:rFonts w:ascii="Cambria"/>
                <w:b/>
                <w:sz w:val="24"/>
              </w:rPr>
              <w:t>COEFFICIENT</w:t>
            </w:r>
            <w:r>
              <w:rPr>
                <w:rFonts w:ascii="Cambria"/>
                <w:b/>
                <w:spacing w:val="-14"/>
                <w:sz w:val="24"/>
              </w:rPr>
              <w:t> </w:t>
            </w:r>
            <w:r>
              <w:rPr>
                <w:rFonts w:ascii="Cambria"/>
                <w:b/>
                <w:sz w:val="24"/>
              </w:rPr>
              <w:t>OF </w:t>
            </w:r>
            <w:r>
              <w:rPr>
                <w:rFonts w:ascii="Cambria"/>
                <w:b/>
                <w:spacing w:val="-2"/>
                <w:sz w:val="24"/>
              </w:rPr>
              <w:t>ESTIMATES</w:t>
            </w:r>
          </w:p>
        </w:tc>
        <w:tc>
          <w:tcPr>
            <w:tcW w:w="1966" w:type="dxa"/>
          </w:tcPr>
          <w:p>
            <w:pPr>
              <w:pStyle w:val="TableParagraph"/>
              <w:rPr>
                <w:sz w:val="24"/>
              </w:rPr>
            </w:pPr>
          </w:p>
          <w:p>
            <w:pPr>
              <w:pStyle w:val="TableParagraph"/>
              <w:spacing w:before="256"/>
              <w:rPr>
                <w:sz w:val="24"/>
              </w:rPr>
            </w:pPr>
          </w:p>
          <w:p>
            <w:pPr>
              <w:pStyle w:val="TableParagraph"/>
              <w:ind w:left="105"/>
              <w:rPr>
                <w:rFonts w:ascii="Cambria"/>
                <w:b/>
                <w:sz w:val="24"/>
              </w:rPr>
            </w:pPr>
            <w:r>
              <w:rPr>
                <w:rFonts w:ascii="Cambria"/>
                <w:b/>
                <w:sz w:val="24"/>
              </w:rPr>
              <w:t>T- </w:t>
            </w:r>
            <w:r>
              <w:rPr>
                <w:rFonts w:ascii="Cambria"/>
                <w:b/>
                <w:spacing w:val="-2"/>
                <w:sz w:val="24"/>
              </w:rPr>
              <w:t>STATISTICS</w:t>
            </w:r>
          </w:p>
        </w:tc>
        <w:tc>
          <w:tcPr>
            <w:tcW w:w="1757" w:type="dxa"/>
          </w:tcPr>
          <w:p>
            <w:pPr>
              <w:pStyle w:val="TableParagraph"/>
              <w:spacing w:before="249"/>
              <w:rPr>
                <w:sz w:val="24"/>
              </w:rPr>
            </w:pPr>
          </w:p>
          <w:p>
            <w:pPr>
              <w:pStyle w:val="TableParagraph"/>
              <w:spacing w:line="480" w:lineRule="auto"/>
              <w:ind w:left="105"/>
              <w:rPr>
                <w:rFonts w:ascii="Cambria"/>
                <w:b/>
                <w:sz w:val="24"/>
              </w:rPr>
            </w:pPr>
            <w:r>
              <w:rPr>
                <w:rFonts w:ascii="Cambria"/>
                <w:b/>
                <w:spacing w:val="-2"/>
                <w:sz w:val="24"/>
              </w:rPr>
              <w:t>PROBABILITY VALUE</w:t>
            </w:r>
          </w:p>
        </w:tc>
        <w:tc>
          <w:tcPr>
            <w:tcW w:w="2130" w:type="dxa"/>
          </w:tcPr>
          <w:p>
            <w:pPr>
              <w:pStyle w:val="TableParagraph"/>
              <w:spacing w:line="281" w:lineRule="exact"/>
              <w:ind w:left="105"/>
              <w:rPr>
                <w:rFonts w:ascii="Cambria"/>
                <w:b/>
                <w:sz w:val="24"/>
              </w:rPr>
            </w:pPr>
            <w:r>
              <w:rPr>
                <w:rFonts w:ascii="Cambria"/>
                <w:b/>
                <w:spacing w:val="-2"/>
                <w:sz w:val="24"/>
              </w:rPr>
              <w:t>REMARKS</w:t>
            </w:r>
          </w:p>
        </w:tc>
      </w:tr>
      <w:tr>
        <w:trPr>
          <w:trHeight w:val="278" w:hRule="atLeast"/>
        </w:trPr>
        <w:tc>
          <w:tcPr>
            <w:tcW w:w="1918" w:type="dxa"/>
          </w:tcPr>
          <w:p>
            <w:pPr>
              <w:pStyle w:val="TableParagraph"/>
              <w:ind w:left="232" w:right="230"/>
              <w:jc w:val="center"/>
              <w:rPr>
                <w:rFonts w:ascii="Arial MT"/>
                <w:sz w:val="20"/>
              </w:rPr>
            </w:pPr>
            <w:r>
              <w:rPr>
                <w:rFonts w:ascii="Arial MT"/>
                <w:spacing w:val="-10"/>
                <w:sz w:val="20"/>
              </w:rPr>
              <w:t>C</w:t>
            </w:r>
          </w:p>
        </w:tc>
        <w:tc>
          <w:tcPr>
            <w:tcW w:w="2043" w:type="dxa"/>
          </w:tcPr>
          <w:p>
            <w:pPr>
              <w:pStyle w:val="TableParagraph"/>
              <w:spacing w:before="1"/>
              <w:ind w:right="96"/>
              <w:jc w:val="right"/>
              <w:rPr>
                <w:sz w:val="20"/>
              </w:rPr>
            </w:pPr>
            <w:r>
              <w:rPr>
                <w:spacing w:val="-2"/>
                <w:sz w:val="20"/>
              </w:rPr>
              <w:t>2.751495</w:t>
            </w:r>
          </w:p>
        </w:tc>
        <w:tc>
          <w:tcPr>
            <w:tcW w:w="1966" w:type="dxa"/>
          </w:tcPr>
          <w:p>
            <w:pPr>
              <w:pStyle w:val="TableParagraph"/>
              <w:spacing w:before="1"/>
              <w:ind w:right="99"/>
              <w:jc w:val="right"/>
              <w:rPr>
                <w:sz w:val="20"/>
              </w:rPr>
            </w:pPr>
            <w:r>
              <w:rPr>
                <w:spacing w:val="-2"/>
                <w:sz w:val="20"/>
              </w:rPr>
              <w:t>2.065876</w:t>
            </w:r>
          </w:p>
        </w:tc>
        <w:tc>
          <w:tcPr>
            <w:tcW w:w="1757" w:type="dxa"/>
          </w:tcPr>
          <w:p>
            <w:pPr>
              <w:pStyle w:val="TableParagraph"/>
              <w:spacing w:before="1"/>
              <w:ind w:right="98"/>
              <w:jc w:val="right"/>
              <w:rPr>
                <w:sz w:val="20"/>
              </w:rPr>
            </w:pPr>
            <w:r>
              <w:rPr>
                <w:spacing w:val="-2"/>
                <w:sz w:val="20"/>
              </w:rPr>
              <w:t>0.0468</w:t>
            </w:r>
          </w:p>
        </w:tc>
        <w:tc>
          <w:tcPr>
            <w:tcW w:w="2130" w:type="dxa"/>
          </w:tcPr>
          <w:p>
            <w:pPr>
              <w:pStyle w:val="TableParagraph"/>
              <w:spacing w:line="257" w:lineRule="exact" w:before="2"/>
              <w:ind w:right="102"/>
              <w:jc w:val="right"/>
              <w:rPr>
                <w:sz w:val="24"/>
              </w:rPr>
            </w:pPr>
            <w:r>
              <w:rPr>
                <w:spacing w:val="-2"/>
                <w:sz w:val="24"/>
              </w:rPr>
              <w:t>Significant</w:t>
            </w:r>
          </w:p>
        </w:tc>
      </w:tr>
      <w:tr>
        <w:trPr>
          <w:trHeight w:val="330" w:hRule="atLeast"/>
        </w:trPr>
        <w:tc>
          <w:tcPr>
            <w:tcW w:w="1918" w:type="dxa"/>
          </w:tcPr>
          <w:p>
            <w:pPr>
              <w:pStyle w:val="TableParagraph"/>
              <w:spacing w:line="281" w:lineRule="exact"/>
              <w:ind w:left="232" w:right="230"/>
              <w:jc w:val="center"/>
              <w:rPr>
                <w:rFonts w:ascii="Arial MT" w:hAnsi="Arial MT"/>
                <w:sz w:val="20"/>
              </w:rPr>
            </w:pPr>
            <w:r>
              <w:rPr>
                <w:rFonts w:ascii="Cambria" w:hAnsi="Cambria"/>
                <w:spacing w:val="-2"/>
                <w:sz w:val="24"/>
              </w:rPr>
              <w:t>δ</w:t>
            </w:r>
            <w:r>
              <w:rPr>
                <w:rFonts w:ascii="Arial MT" w:hAnsi="Arial MT"/>
                <w:spacing w:val="-2"/>
                <w:sz w:val="20"/>
              </w:rPr>
              <w:t>EXTDEBT</w:t>
            </w:r>
          </w:p>
        </w:tc>
        <w:tc>
          <w:tcPr>
            <w:tcW w:w="2043" w:type="dxa"/>
          </w:tcPr>
          <w:p>
            <w:pPr>
              <w:pStyle w:val="TableParagraph"/>
              <w:ind w:right="96"/>
              <w:jc w:val="right"/>
              <w:rPr>
                <w:sz w:val="20"/>
              </w:rPr>
            </w:pPr>
            <w:r>
              <w:rPr>
                <w:spacing w:val="-2"/>
                <w:sz w:val="20"/>
              </w:rPr>
              <w:t>0.261618</w:t>
            </w:r>
          </w:p>
        </w:tc>
        <w:tc>
          <w:tcPr>
            <w:tcW w:w="1966" w:type="dxa"/>
          </w:tcPr>
          <w:p>
            <w:pPr>
              <w:pStyle w:val="TableParagraph"/>
              <w:ind w:right="99"/>
              <w:jc w:val="right"/>
              <w:rPr>
                <w:sz w:val="20"/>
              </w:rPr>
            </w:pPr>
            <w:r>
              <w:rPr>
                <w:spacing w:val="-2"/>
                <w:sz w:val="20"/>
              </w:rPr>
              <w:t>3.791814</w:t>
            </w:r>
          </w:p>
        </w:tc>
        <w:tc>
          <w:tcPr>
            <w:tcW w:w="1757" w:type="dxa"/>
          </w:tcPr>
          <w:p>
            <w:pPr>
              <w:pStyle w:val="TableParagraph"/>
              <w:ind w:right="98"/>
              <w:jc w:val="right"/>
              <w:rPr>
                <w:sz w:val="20"/>
              </w:rPr>
            </w:pPr>
            <w:r>
              <w:rPr>
                <w:spacing w:val="-2"/>
                <w:sz w:val="20"/>
              </w:rPr>
              <w:t>0.0006</w:t>
            </w:r>
          </w:p>
        </w:tc>
        <w:tc>
          <w:tcPr>
            <w:tcW w:w="2130" w:type="dxa"/>
          </w:tcPr>
          <w:p>
            <w:pPr>
              <w:pStyle w:val="TableParagraph"/>
              <w:spacing w:line="275" w:lineRule="exact"/>
              <w:ind w:right="102"/>
              <w:jc w:val="right"/>
              <w:rPr>
                <w:sz w:val="24"/>
              </w:rPr>
            </w:pPr>
            <w:r>
              <w:rPr>
                <w:spacing w:val="-2"/>
                <w:sz w:val="24"/>
              </w:rPr>
              <w:t>Significant</w:t>
            </w:r>
          </w:p>
        </w:tc>
      </w:tr>
      <w:tr>
        <w:trPr>
          <w:trHeight w:val="340" w:hRule="atLeast"/>
        </w:trPr>
        <w:tc>
          <w:tcPr>
            <w:tcW w:w="1918" w:type="dxa"/>
          </w:tcPr>
          <w:p>
            <w:pPr>
              <w:pStyle w:val="TableParagraph"/>
              <w:spacing w:line="229" w:lineRule="exact"/>
              <w:ind w:left="232" w:right="229"/>
              <w:jc w:val="center"/>
              <w:rPr>
                <w:rFonts w:ascii="Arial MT"/>
                <w:sz w:val="20"/>
              </w:rPr>
            </w:pPr>
            <w:r>
              <w:rPr>
                <w:rFonts w:ascii="Arial MT"/>
                <w:spacing w:val="-5"/>
                <w:sz w:val="20"/>
              </w:rPr>
              <w:t>DOP</w:t>
            </w:r>
          </w:p>
        </w:tc>
        <w:tc>
          <w:tcPr>
            <w:tcW w:w="2043" w:type="dxa"/>
          </w:tcPr>
          <w:p>
            <w:pPr>
              <w:pStyle w:val="TableParagraph"/>
              <w:ind w:right="96"/>
              <w:jc w:val="right"/>
              <w:rPr>
                <w:sz w:val="20"/>
              </w:rPr>
            </w:pPr>
            <w:r>
              <w:rPr>
                <w:spacing w:val="-2"/>
                <w:sz w:val="20"/>
              </w:rPr>
              <w:t>0.251213</w:t>
            </w:r>
          </w:p>
        </w:tc>
        <w:tc>
          <w:tcPr>
            <w:tcW w:w="1966" w:type="dxa"/>
          </w:tcPr>
          <w:p>
            <w:pPr>
              <w:pStyle w:val="TableParagraph"/>
              <w:ind w:right="99"/>
              <w:jc w:val="right"/>
              <w:rPr>
                <w:sz w:val="20"/>
              </w:rPr>
            </w:pPr>
            <w:r>
              <w:rPr>
                <w:spacing w:val="-2"/>
                <w:sz w:val="20"/>
              </w:rPr>
              <w:t>0.462346</w:t>
            </w:r>
          </w:p>
        </w:tc>
        <w:tc>
          <w:tcPr>
            <w:tcW w:w="1757" w:type="dxa"/>
          </w:tcPr>
          <w:p>
            <w:pPr>
              <w:pStyle w:val="TableParagraph"/>
              <w:ind w:right="98"/>
              <w:jc w:val="right"/>
              <w:rPr>
                <w:sz w:val="20"/>
              </w:rPr>
            </w:pPr>
            <w:r>
              <w:rPr>
                <w:spacing w:val="-2"/>
                <w:sz w:val="20"/>
              </w:rPr>
              <w:t>0.6469</w:t>
            </w:r>
          </w:p>
        </w:tc>
        <w:tc>
          <w:tcPr>
            <w:tcW w:w="2130" w:type="dxa"/>
          </w:tcPr>
          <w:p>
            <w:pPr>
              <w:pStyle w:val="TableParagraph"/>
              <w:spacing w:line="275" w:lineRule="exact"/>
              <w:ind w:right="100"/>
              <w:jc w:val="right"/>
              <w:rPr>
                <w:sz w:val="24"/>
              </w:rPr>
            </w:pPr>
            <w:r>
              <w:rPr>
                <w:spacing w:val="-2"/>
                <w:sz w:val="24"/>
              </w:rPr>
              <w:t>Insignificant</w:t>
            </w:r>
          </w:p>
        </w:tc>
      </w:tr>
      <w:tr>
        <w:trPr>
          <w:trHeight w:val="350" w:hRule="atLeast"/>
        </w:trPr>
        <w:tc>
          <w:tcPr>
            <w:tcW w:w="1918" w:type="dxa"/>
          </w:tcPr>
          <w:p>
            <w:pPr>
              <w:pStyle w:val="TableParagraph"/>
              <w:spacing w:line="229" w:lineRule="exact"/>
              <w:ind w:left="232" w:right="230"/>
              <w:jc w:val="center"/>
              <w:rPr>
                <w:rFonts w:ascii="Arial MT"/>
                <w:sz w:val="20"/>
              </w:rPr>
            </w:pPr>
            <w:r>
              <w:rPr>
                <w:rFonts w:ascii="Arial MT"/>
                <w:spacing w:val="-5"/>
                <w:sz w:val="20"/>
              </w:rPr>
              <w:t>INF</w:t>
            </w:r>
          </w:p>
        </w:tc>
        <w:tc>
          <w:tcPr>
            <w:tcW w:w="2043" w:type="dxa"/>
          </w:tcPr>
          <w:p>
            <w:pPr>
              <w:pStyle w:val="TableParagraph"/>
              <w:ind w:right="96"/>
              <w:jc w:val="right"/>
              <w:rPr>
                <w:sz w:val="20"/>
              </w:rPr>
            </w:pPr>
            <w:r>
              <w:rPr>
                <w:spacing w:val="-4"/>
                <w:sz w:val="20"/>
              </w:rPr>
              <w:t>-</w:t>
            </w:r>
            <w:r>
              <w:rPr>
                <w:spacing w:val="-2"/>
                <w:sz w:val="20"/>
              </w:rPr>
              <w:t>0.067741</w:t>
            </w:r>
          </w:p>
        </w:tc>
        <w:tc>
          <w:tcPr>
            <w:tcW w:w="1966" w:type="dxa"/>
          </w:tcPr>
          <w:p>
            <w:pPr>
              <w:pStyle w:val="TableParagraph"/>
              <w:ind w:right="99"/>
              <w:jc w:val="right"/>
              <w:rPr>
                <w:sz w:val="20"/>
              </w:rPr>
            </w:pPr>
            <w:r>
              <w:rPr>
                <w:spacing w:val="-4"/>
                <w:sz w:val="20"/>
              </w:rPr>
              <w:t>-</w:t>
            </w:r>
            <w:r>
              <w:rPr>
                <w:spacing w:val="-2"/>
                <w:sz w:val="20"/>
              </w:rPr>
              <w:t>0.369903</w:t>
            </w:r>
          </w:p>
        </w:tc>
        <w:tc>
          <w:tcPr>
            <w:tcW w:w="1757" w:type="dxa"/>
          </w:tcPr>
          <w:p>
            <w:pPr>
              <w:pStyle w:val="TableParagraph"/>
              <w:ind w:right="98"/>
              <w:jc w:val="right"/>
              <w:rPr>
                <w:sz w:val="20"/>
              </w:rPr>
            </w:pPr>
            <w:r>
              <w:rPr>
                <w:spacing w:val="-2"/>
                <w:sz w:val="20"/>
              </w:rPr>
              <w:t>0.7138</w:t>
            </w:r>
          </w:p>
        </w:tc>
        <w:tc>
          <w:tcPr>
            <w:tcW w:w="2130" w:type="dxa"/>
          </w:tcPr>
          <w:p>
            <w:pPr>
              <w:pStyle w:val="TableParagraph"/>
              <w:spacing w:line="275" w:lineRule="exact"/>
              <w:ind w:right="100"/>
              <w:jc w:val="right"/>
              <w:rPr>
                <w:sz w:val="24"/>
              </w:rPr>
            </w:pPr>
            <w:r>
              <w:rPr>
                <w:spacing w:val="-2"/>
                <w:sz w:val="24"/>
              </w:rPr>
              <w:t>Insignificant</w:t>
            </w:r>
          </w:p>
        </w:tc>
      </w:tr>
      <w:tr>
        <w:trPr>
          <w:trHeight w:val="350" w:hRule="atLeast"/>
        </w:trPr>
        <w:tc>
          <w:tcPr>
            <w:tcW w:w="1918" w:type="dxa"/>
          </w:tcPr>
          <w:p>
            <w:pPr>
              <w:pStyle w:val="TableParagraph"/>
              <w:spacing w:line="229" w:lineRule="exact"/>
              <w:ind w:left="232" w:right="231"/>
              <w:jc w:val="center"/>
              <w:rPr>
                <w:rFonts w:ascii="Arial MT"/>
                <w:sz w:val="20"/>
              </w:rPr>
            </w:pPr>
            <w:r>
              <w:rPr>
                <w:rFonts w:ascii="Arial MT"/>
                <w:spacing w:val="-5"/>
                <w:sz w:val="20"/>
              </w:rPr>
              <w:t>GCF</w:t>
            </w:r>
          </w:p>
        </w:tc>
        <w:tc>
          <w:tcPr>
            <w:tcW w:w="2043" w:type="dxa"/>
          </w:tcPr>
          <w:p>
            <w:pPr>
              <w:pStyle w:val="TableParagraph"/>
              <w:ind w:right="96"/>
              <w:jc w:val="right"/>
              <w:rPr>
                <w:sz w:val="20"/>
              </w:rPr>
            </w:pPr>
            <w:r>
              <w:rPr>
                <w:spacing w:val="-4"/>
                <w:sz w:val="20"/>
              </w:rPr>
              <w:t>-</w:t>
            </w:r>
            <w:r>
              <w:rPr>
                <w:spacing w:val="-2"/>
                <w:sz w:val="20"/>
              </w:rPr>
              <w:t>0.054248</w:t>
            </w:r>
          </w:p>
        </w:tc>
        <w:tc>
          <w:tcPr>
            <w:tcW w:w="1966" w:type="dxa"/>
          </w:tcPr>
          <w:p>
            <w:pPr>
              <w:pStyle w:val="TableParagraph"/>
              <w:ind w:right="99"/>
              <w:jc w:val="right"/>
              <w:rPr>
                <w:sz w:val="20"/>
              </w:rPr>
            </w:pPr>
            <w:r>
              <w:rPr>
                <w:spacing w:val="-4"/>
                <w:sz w:val="20"/>
              </w:rPr>
              <w:t>-</w:t>
            </w:r>
            <w:r>
              <w:rPr>
                <w:spacing w:val="-2"/>
                <w:sz w:val="20"/>
              </w:rPr>
              <w:t>0.692447</w:t>
            </w:r>
          </w:p>
        </w:tc>
        <w:tc>
          <w:tcPr>
            <w:tcW w:w="1757" w:type="dxa"/>
          </w:tcPr>
          <w:p>
            <w:pPr>
              <w:pStyle w:val="TableParagraph"/>
              <w:ind w:right="98"/>
              <w:jc w:val="right"/>
              <w:rPr>
                <w:sz w:val="20"/>
              </w:rPr>
            </w:pPr>
            <w:r>
              <w:rPr>
                <w:spacing w:val="-2"/>
                <w:sz w:val="20"/>
              </w:rPr>
              <w:t>0.4935</w:t>
            </w:r>
          </w:p>
        </w:tc>
        <w:tc>
          <w:tcPr>
            <w:tcW w:w="2130" w:type="dxa"/>
          </w:tcPr>
          <w:p>
            <w:pPr>
              <w:pStyle w:val="TableParagraph"/>
              <w:spacing w:line="275" w:lineRule="exact"/>
              <w:ind w:right="100"/>
              <w:jc w:val="right"/>
              <w:rPr>
                <w:sz w:val="24"/>
              </w:rPr>
            </w:pPr>
            <w:r>
              <w:rPr>
                <w:spacing w:val="-2"/>
                <w:sz w:val="24"/>
              </w:rPr>
              <w:t>Insignificant</w:t>
            </w:r>
          </w:p>
        </w:tc>
      </w:tr>
      <w:tr>
        <w:trPr>
          <w:trHeight w:val="359" w:hRule="atLeast"/>
        </w:trPr>
        <w:tc>
          <w:tcPr>
            <w:tcW w:w="1918" w:type="dxa"/>
          </w:tcPr>
          <w:p>
            <w:pPr>
              <w:pStyle w:val="TableParagraph"/>
              <w:spacing w:line="229" w:lineRule="exact"/>
              <w:ind w:left="232" w:right="230"/>
              <w:jc w:val="center"/>
              <w:rPr>
                <w:rFonts w:ascii="Arial MT"/>
                <w:sz w:val="20"/>
              </w:rPr>
            </w:pPr>
            <w:r>
              <w:rPr>
                <w:rFonts w:ascii="Arial MT"/>
                <w:spacing w:val="-5"/>
                <w:sz w:val="20"/>
              </w:rPr>
              <w:t>DR</w:t>
            </w:r>
          </w:p>
        </w:tc>
        <w:tc>
          <w:tcPr>
            <w:tcW w:w="2043" w:type="dxa"/>
          </w:tcPr>
          <w:p>
            <w:pPr>
              <w:pStyle w:val="TableParagraph"/>
              <w:ind w:right="96"/>
              <w:jc w:val="right"/>
              <w:rPr>
                <w:sz w:val="20"/>
              </w:rPr>
            </w:pPr>
            <w:r>
              <w:rPr>
                <w:spacing w:val="-4"/>
                <w:sz w:val="20"/>
              </w:rPr>
              <w:t>-</w:t>
            </w:r>
            <w:r>
              <w:rPr>
                <w:spacing w:val="-2"/>
                <w:sz w:val="20"/>
              </w:rPr>
              <w:t>0.302774</w:t>
            </w:r>
          </w:p>
        </w:tc>
        <w:tc>
          <w:tcPr>
            <w:tcW w:w="1966" w:type="dxa"/>
          </w:tcPr>
          <w:p>
            <w:pPr>
              <w:pStyle w:val="TableParagraph"/>
              <w:ind w:right="99"/>
              <w:jc w:val="right"/>
              <w:rPr>
                <w:sz w:val="20"/>
              </w:rPr>
            </w:pPr>
            <w:r>
              <w:rPr>
                <w:spacing w:val="-4"/>
                <w:sz w:val="20"/>
              </w:rPr>
              <w:t>-</w:t>
            </w:r>
            <w:r>
              <w:rPr>
                <w:spacing w:val="-2"/>
                <w:sz w:val="20"/>
              </w:rPr>
              <w:t>1.025468</w:t>
            </w:r>
          </w:p>
        </w:tc>
        <w:tc>
          <w:tcPr>
            <w:tcW w:w="1757" w:type="dxa"/>
          </w:tcPr>
          <w:p>
            <w:pPr>
              <w:pStyle w:val="TableParagraph"/>
              <w:ind w:right="98"/>
              <w:jc w:val="right"/>
              <w:rPr>
                <w:sz w:val="20"/>
              </w:rPr>
            </w:pPr>
            <w:r>
              <w:rPr>
                <w:spacing w:val="-2"/>
                <w:sz w:val="20"/>
              </w:rPr>
              <w:t>0.3126</w:t>
            </w:r>
          </w:p>
        </w:tc>
        <w:tc>
          <w:tcPr>
            <w:tcW w:w="2130" w:type="dxa"/>
          </w:tcPr>
          <w:p>
            <w:pPr>
              <w:pStyle w:val="TableParagraph"/>
              <w:spacing w:line="275" w:lineRule="exact"/>
              <w:ind w:right="100"/>
              <w:jc w:val="right"/>
              <w:rPr>
                <w:sz w:val="24"/>
              </w:rPr>
            </w:pPr>
            <w:r>
              <w:rPr>
                <w:spacing w:val="-2"/>
                <w:sz w:val="24"/>
              </w:rPr>
              <w:t>Insignificant</w:t>
            </w:r>
          </w:p>
        </w:tc>
      </w:tr>
      <w:tr>
        <w:trPr>
          <w:trHeight w:val="359" w:hRule="atLeast"/>
        </w:trPr>
        <w:tc>
          <w:tcPr>
            <w:tcW w:w="1918" w:type="dxa"/>
          </w:tcPr>
          <w:p>
            <w:pPr>
              <w:pStyle w:val="TableParagraph"/>
              <w:spacing w:line="229" w:lineRule="exact"/>
              <w:ind w:left="232" w:right="230"/>
              <w:jc w:val="center"/>
              <w:rPr>
                <w:rFonts w:ascii="Arial MT"/>
                <w:sz w:val="20"/>
              </w:rPr>
            </w:pPr>
            <w:r>
              <w:rPr>
                <w:rFonts w:ascii="Arial MT"/>
                <w:spacing w:val="-2"/>
                <w:sz w:val="20"/>
              </w:rPr>
              <w:t>PRIVCR</w:t>
            </w:r>
          </w:p>
        </w:tc>
        <w:tc>
          <w:tcPr>
            <w:tcW w:w="2043" w:type="dxa"/>
          </w:tcPr>
          <w:p>
            <w:pPr>
              <w:pStyle w:val="TableParagraph"/>
              <w:ind w:right="96"/>
              <w:jc w:val="right"/>
              <w:rPr>
                <w:sz w:val="20"/>
              </w:rPr>
            </w:pPr>
            <w:r>
              <w:rPr>
                <w:spacing w:val="-2"/>
                <w:sz w:val="20"/>
              </w:rPr>
              <w:t>0.089382</w:t>
            </w:r>
          </w:p>
        </w:tc>
        <w:tc>
          <w:tcPr>
            <w:tcW w:w="1966" w:type="dxa"/>
          </w:tcPr>
          <w:p>
            <w:pPr>
              <w:pStyle w:val="TableParagraph"/>
              <w:ind w:right="99"/>
              <w:jc w:val="right"/>
              <w:rPr>
                <w:sz w:val="20"/>
              </w:rPr>
            </w:pPr>
            <w:r>
              <w:rPr>
                <w:spacing w:val="-2"/>
                <w:sz w:val="20"/>
              </w:rPr>
              <w:t>0.319630</w:t>
            </w:r>
          </w:p>
        </w:tc>
        <w:tc>
          <w:tcPr>
            <w:tcW w:w="1757" w:type="dxa"/>
          </w:tcPr>
          <w:p>
            <w:pPr>
              <w:pStyle w:val="TableParagraph"/>
              <w:ind w:right="98"/>
              <w:jc w:val="right"/>
              <w:rPr>
                <w:sz w:val="20"/>
              </w:rPr>
            </w:pPr>
            <w:r>
              <w:rPr>
                <w:spacing w:val="-2"/>
                <w:sz w:val="20"/>
              </w:rPr>
              <w:t>0.7513</w:t>
            </w:r>
          </w:p>
        </w:tc>
        <w:tc>
          <w:tcPr>
            <w:tcW w:w="2130" w:type="dxa"/>
          </w:tcPr>
          <w:p>
            <w:pPr>
              <w:pStyle w:val="TableParagraph"/>
              <w:spacing w:line="275" w:lineRule="exact"/>
              <w:ind w:right="100"/>
              <w:jc w:val="right"/>
              <w:rPr>
                <w:sz w:val="24"/>
              </w:rPr>
            </w:pPr>
            <w:r>
              <w:rPr>
                <w:spacing w:val="-2"/>
                <w:sz w:val="24"/>
              </w:rPr>
              <w:t>Insignificant</w:t>
            </w:r>
          </w:p>
        </w:tc>
      </w:tr>
      <w:tr>
        <w:trPr>
          <w:trHeight w:val="359" w:hRule="atLeast"/>
        </w:trPr>
        <w:tc>
          <w:tcPr>
            <w:tcW w:w="1918" w:type="dxa"/>
          </w:tcPr>
          <w:p>
            <w:pPr>
              <w:pStyle w:val="TableParagraph"/>
              <w:spacing w:line="229" w:lineRule="exact"/>
              <w:ind w:left="232" w:right="230"/>
              <w:jc w:val="center"/>
              <w:rPr>
                <w:rFonts w:ascii="Arial MT"/>
                <w:sz w:val="20"/>
              </w:rPr>
            </w:pPr>
            <w:r>
              <w:rPr>
                <w:rFonts w:ascii="Arial MT"/>
                <w:spacing w:val="-4"/>
                <w:sz w:val="20"/>
              </w:rPr>
              <w:t>USIRD</w:t>
            </w:r>
          </w:p>
        </w:tc>
        <w:tc>
          <w:tcPr>
            <w:tcW w:w="2043" w:type="dxa"/>
          </w:tcPr>
          <w:p>
            <w:pPr>
              <w:pStyle w:val="TableParagraph"/>
              <w:ind w:right="96"/>
              <w:jc w:val="right"/>
              <w:rPr>
                <w:sz w:val="20"/>
              </w:rPr>
            </w:pPr>
            <w:r>
              <w:rPr>
                <w:spacing w:val="-4"/>
                <w:sz w:val="20"/>
              </w:rPr>
              <w:t>-</w:t>
            </w:r>
            <w:r>
              <w:rPr>
                <w:spacing w:val="-2"/>
                <w:sz w:val="20"/>
              </w:rPr>
              <w:t>0.001360</w:t>
            </w:r>
          </w:p>
        </w:tc>
        <w:tc>
          <w:tcPr>
            <w:tcW w:w="1966" w:type="dxa"/>
          </w:tcPr>
          <w:p>
            <w:pPr>
              <w:pStyle w:val="TableParagraph"/>
              <w:ind w:right="99"/>
              <w:jc w:val="right"/>
              <w:rPr>
                <w:sz w:val="20"/>
              </w:rPr>
            </w:pPr>
            <w:r>
              <w:rPr>
                <w:spacing w:val="-4"/>
                <w:sz w:val="20"/>
              </w:rPr>
              <w:t>-</w:t>
            </w:r>
            <w:r>
              <w:rPr>
                <w:spacing w:val="-2"/>
                <w:sz w:val="20"/>
              </w:rPr>
              <w:t>0.007358</w:t>
            </w:r>
          </w:p>
        </w:tc>
        <w:tc>
          <w:tcPr>
            <w:tcW w:w="1757" w:type="dxa"/>
          </w:tcPr>
          <w:p>
            <w:pPr>
              <w:pStyle w:val="TableParagraph"/>
              <w:ind w:right="98"/>
              <w:jc w:val="right"/>
              <w:rPr>
                <w:sz w:val="20"/>
              </w:rPr>
            </w:pPr>
            <w:r>
              <w:rPr>
                <w:spacing w:val="-2"/>
                <w:sz w:val="20"/>
              </w:rPr>
              <w:t>0.9942</w:t>
            </w:r>
          </w:p>
        </w:tc>
        <w:tc>
          <w:tcPr>
            <w:tcW w:w="2130" w:type="dxa"/>
          </w:tcPr>
          <w:p>
            <w:pPr>
              <w:pStyle w:val="TableParagraph"/>
              <w:spacing w:line="275" w:lineRule="exact"/>
              <w:ind w:right="100"/>
              <w:jc w:val="right"/>
              <w:rPr>
                <w:sz w:val="24"/>
              </w:rPr>
            </w:pPr>
            <w:r>
              <w:rPr>
                <w:spacing w:val="-2"/>
                <w:sz w:val="24"/>
              </w:rPr>
              <w:t>Insignificant</w:t>
            </w:r>
          </w:p>
        </w:tc>
      </w:tr>
      <w:tr>
        <w:trPr>
          <w:trHeight w:val="357" w:hRule="atLeast"/>
        </w:trPr>
        <w:tc>
          <w:tcPr>
            <w:tcW w:w="1918" w:type="dxa"/>
          </w:tcPr>
          <w:p>
            <w:pPr>
              <w:pStyle w:val="TableParagraph"/>
              <w:spacing w:line="229" w:lineRule="exact"/>
              <w:ind w:left="232" w:right="227"/>
              <w:jc w:val="center"/>
              <w:rPr>
                <w:rFonts w:ascii="Arial MT"/>
                <w:sz w:val="20"/>
              </w:rPr>
            </w:pPr>
            <w:r>
              <w:rPr>
                <w:rFonts w:ascii="Arial MT"/>
                <w:spacing w:val="-4"/>
                <w:sz w:val="20"/>
              </w:rPr>
              <w:t>GOCE</w:t>
            </w:r>
          </w:p>
        </w:tc>
        <w:tc>
          <w:tcPr>
            <w:tcW w:w="2043" w:type="dxa"/>
          </w:tcPr>
          <w:p>
            <w:pPr>
              <w:pStyle w:val="TableParagraph"/>
              <w:ind w:right="96"/>
              <w:jc w:val="right"/>
              <w:rPr>
                <w:sz w:val="20"/>
              </w:rPr>
            </w:pPr>
            <w:r>
              <w:rPr>
                <w:spacing w:val="-2"/>
                <w:sz w:val="20"/>
              </w:rPr>
              <w:t>0.610640</w:t>
            </w:r>
          </w:p>
        </w:tc>
        <w:tc>
          <w:tcPr>
            <w:tcW w:w="1966" w:type="dxa"/>
          </w:tcPr>
          <w:p>
            <w:pPr>
              <w:pStyle w:val="TableParagraph"/>
              <w:ind w:right="99"/>
              <w:jc w:val="right"/>
              <w:rPr>
                <w:sz w:val="20"/>
              </w:rPr>
            </w:pPr>
            <w:r>
              <w:rPr>
                <w:spacing w:val="-2"/>
                <w:sz w:val="20"/>
              </w:rPr>
              <w:t>1.737584</w:t>
            </w:r>
          </w:p>
        </w:tc>
        <w:tc>
          <w:tcPr>
            <w:tcW w:w="1757" w:type="dxa"/>
          </w:tcPr>
          <w:p>
            <w:pPr>
              <w:pStyle w:val="TableParagraph"/>
              <w:ind w:right="98"/>
              <w:jc w:val="right"/>
              <w:rPr>
                <w:sz w:val="20"/>
              </w:rPr>
            </w:pPr>
            <w:r>
              <w:rPr>
                <w:spacing w:val="-2"/>
                <w:sz w:val="20"/>
              </w:rPr>
              <w:t>0.0916</w:t>
            </w:r>
          </w:p>
        </w:tc>
        <w:tc>
          <w:tcPr>
            <w:tcW w:w="2130" w:type="dxa"/>
          </w:tcPr>
          <w:p>
            <w:pPr>
              <w:pStyle w:val="TableParagraph"/>
              <w:spacing w:line="275" w:lineRule="exact"/>
              <w:ind w:right="102"/>
              <w:jc w:val="right"/>
              <w:rPr>
                <w:sz w:val="24"/>
              </w:rPr>
            </w:pPr>
            <w:r>
              <w:rPr>
                <w:spacing w:val="-2"/>
                <w:sz w:val="24"/>
              </w:rPr>
              <w:t>Significant</w:t>
            </w:r>
          </w:p>
        </w:tc>
      </w:tr>
    </w:tbl>
    <w:p>
      <w:pPr>
        <w:spacing w:after="0" w:line="275" w:lineRule="exact"/>
        <w:jc w:val="right"/>
        <w:rPr>
          <w:sz w:val="24"/>
        </w:rPr>
        <w:sectPr>
          <w:pgSz w:w="11910" w:h="16840"/>
          <w:pgMar w:header="0" w:footer="979" w:top="1900" w:bottom="1326" w:left="280" w:right="0"/>
        </w:sectPr>
      </w:pPr>
    </w:p>
    <w:tbl>
      <w:tblPr>
        <w:tblW w:w="0" w:type="auto"/>
        <w:jc w:val="left"/>
        <w:tblInd w:w="7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91"/>
        <w:gridCol w:w="1958"/>
        <w:gridCol w:w="3039"/>
        <w:gridCol w:w="1829"/>
      </w:tblGrid>
      <w:tr>
        <w:trPr>
          <w:trHeight w:val="271" w:hRule="atLeast"/>
        </w:trPr>
        <w:tc>
          <w:tcPr>
            <w:tcW w:w="2791" w:type="dxa"/>
          </w:tcPr>
          <w:p>
            <w:pPr>
              <w:pStyle w:val="TableParagraph"/>
              <w:spacing w:line="251" w:lineRule="exact"/>
              <w:ind w:left="50"/>
              <w:rPr>
                <w:sz w:val="24"/>
              </w:rPr>
            </w:pPr>
            <w:r>
              <w:rPr>
                <w:sz w:val="24"/>
              </w:rPr>
              <w:t>R-</w:t>
            </w:r>
            <w:r>
              <w:rPr>
                <w:spacing w:val="-2"/>
                <w:sz w:val="24"/>
              </w:rPr>
              <w:t>squared</w:t>
            </w:r>
          </w:p>
        </w:tc>
        <w:tc>
          <w:tcPr>
            <w:tcW w:w="1958" w:type="dxa"/>
          </w:tcPr>
          <w:p>
            <w:pPr>
              <w:pStyle w:val="TableParagraph"/>
              <w:spacing w:line="251" w:lineRule="exact"/>
              <w:ind w:right="145"/>
              <w:jc w:val="right"/>
              <w:rPr>
                <w:sz w:val="24"/>
              </w:rPr>
            </w:pPr>
            <w:r>
              <w:rPr>
                <w:spacing w:val="-2"/>
                <w:sz w:val="24"/>
              </w:rPr>
              <w:t>0.955795</w:t>
            </w:r>
          </w:p>
        </w:tc>
        <w:tc>
          <w:tcPr>
            <w:tcW w:w="3039" w:type="dxa"/>
          </w:tcPr>
          <w:p>
            <w:pPr>
              <w:pStyle w:val="TableParagraph"/>
              <w:spacing w:line="251" w:lineRule="exact"/>
              <w:ind w:left="150"/>
              <w:rPr>
                <w:sz w:val="24"/>
              </w:rPr>
            </w:pPr>
            <w:r>
              <w:rPr>
                <w:sz w:val="24"/>
              </w:rPr>
              <w:t>Mean</w:t>
            </w:r>
            <w:r>
              <w:rPr>
                <w:spacing w:val="-2"/>
                <w:sz w:val="24"/>
              </w:rPr>
              <w:t> </w:t>
            </w:r>
            <w:r>
              <w:rPr>
                <w:sz w:val="24"/>
              </w:rPr>
              <w:t>dependent</w:t>
            </w:r>
            <w:r>
              <w:rPr>
                <w:spacing w:val="-1"/>
                <w:sz w:val="24"/>
              </w:rPr>
              <w:t> </w:t>
            </w:r>
            <w:r>
              <w:rPr>
                <w:spacing w:val="-5"/>
                <w:sz w:val="24"/>
              </w:rPr>
              <w:t>var</w:t>
            </w:r>
          </w:p>
        </w:tc>
        <w:tc>
          <w:tcPr>
            <w:tcW w:w="1829" w:type="dxa"/>
          </w:tcPr>
          <w:p>
            <w:pPr>
              <w:pStyle w:val="TableParagraph"/>
              <w:spacing w:line="251" w:lineRule="exact"/>
              <w:ind w:right="44"/>
              <w:jc w:val="right"/>
              <w:rPr>
                <w:sz w:val="24"/>
              </w:rPr>
            </w:pPr>
            <w:r>
              <w:rPr>
                <w:spacing w:val="-2"/>
                <w:sz w:val="24"/>
              </w:rPr>
              <w:t>11.26291</w:t>
            </w:r>
          </w:p>
        </w:tc>
      </w:tr>
      <w:tr>
        <w:trPr>
          <w:trHeight w:val="276" w:hRule="atLeast"/>
        </w:trPr>
        <w:tc>
          <w:tcPr>
            <w:tcW w:w="2791" w:type="dxa"/>
          </w:tcPr>
          <w:p>
            <w:pPr>
              <w:pStyle w:val="TableParagraph"/>
              <w:spacing w:line="256" w:lineRule="exact"/>
              <w:ind w:left="50"/>
              <w:rPr>
                <w:sz w:val="24"/>
              </w:rPr>
            </w:pPr>
            <w:r>
              <w:rPr>
                <w:sz w:val="24"/>
              </w:rPr>
              <w:t>Adjusted</w:t>
            </w:r>
            <w:r>
              <w:rPr>
                <w:spacing w:val="-1"/>
                <w:sz w:val="24"/>
              </w:rPr>
              <w:t> </w:t>
            </w:r>
            <w:r>
              <w:rPr>
                <w:sz w:val="24"/>
              </w:rPr>
              <w:t>R-</w:t>
            </w:r>
            <w:r>
              <w:rPr>
                <w:spacing w:val="-2"/>
                <w:sz w:val="24"/>
              </w:rPr>
              <w:t>squared</w:t>
            </w:r>
          </w:p>
        </w:tc>
        <w:tc>
          <w:tcPr>
            <w:tcW w:w="1958" w:type="dxa"/>
          </w:tcPr>
          <w:p>
            <w:pPr>
              <w:pStyle w:val="TableParagraph"/>
              <w:spacing w:line="256" w:lineRule="exact"/>
              <w:ind w:right="145"/>
              <w:jc w:val="right"/>
              <w:rPr>
                <w:sz w:val="24"/>
              </w:rPr>
            </w:pPr>
            <w:r>
              <w:rPr>
                <w:spacing w:val="-2"/>
                <w:sz w:val="24"/>
              </w:rPr>
              <w:t>0.945078</w:t>
            </w:r>
          </w:p>
        </w:tc>
        <w:tc>
          <w:tcPr>
            <w:tcW w:w="3039" w:type="dxa"/>
          </w:tcPr>
          <w:p>
            <w:pPr>
              <w:pStyle w:val="TableParagraph"/>
              <w:spacing w:line="256" w:lineRule="exact"/>
              <w:ind w:left="150"/>
              <w:rPr>
                <w:sz w:val="24"/>
              </w:rPr>
            </w:pPr>
            <w:r>
              <w:rPr>
                <w:sz w:val="24"/>
              </w:rPr>
              <w:t>S.D.</w:t>
            </w:r>
            <w:r>
              <w:rPr>
                <w:spacing w:val="-4"/>
                <w:sz w:val="24"/>
              </w:rPr>
              <w:t> </w:t>
            </w:r>
            <w:r>
              <w:rPr>
                <w:sz w:val="24"/>
              </w:rPr>
              <w:t>dependent</w:t>
            </w:r>
            <w:r>
              <w:rPr>
                <w:spacing w:val="-2"/>
                <w:sz w:val="24"/>
              </w:rPr>
              <w:t> </w:t>
            </w:r>
            <w:r>
              <w:rPr>
                <w:spacing w:val="-5"/>
                <w:sz w:val="24"/>
              </w:rPr>
              <w:t>var</w:t>
            </w:r>
          </w:p>
        </w:tc>
        <w:tc>
          <w:tcPr>
            <w:tcW w:w="1829" w:type="dxa"/>
          </w:tcPr>
          <w:p>
            <w:pPr>
              <w:pStyle w:val="TableParagraph"/>
              <w:spacing w:line="256" w:lineRule="exact"/>
              <w:ind w:right="44"/>
              <w:jc w:val="right"/>
              <w:rPr>
                <w:sz w:val="24"/>
              </w:rPr>
            </w:pPr>
            <w:r>
              <w:rPr>
                <w:spacing w:val="-2"/>
                <w:sz w:val="24"/>
              </w:rPr>
              <w:t>2.891991</w:t>
            </w:r>
          </w:p>
        </w:tc>
      </w:tr>
      <w:tr>
        <w:trPr>
          <w:trHeight w:val="275" w:hRule="atLeast"/>
        </w:trPr>
        <w:tc>
          <w:tcPr>
            <w:tcW w:w="2791" w:type="dxa"/>
          </w:tcPr>
          <w:p>
            <w:pPr>
              <w:pStyle w:val="TableParagraph"/>
              <w:spacing w:line="256" w:lineRule="exact"/>
              <w:ind w:left="50"/>
              <w:rPr>
                <w:sz w:val="24"/>
              </w:rPr>
            </w:pPr>
            <w:r>
              <w:rPr>
                <w:sz w:val="24"/>
              </w:rPr>
              <w:t>S.E. of</w:t>
            </w:r>
            <w:r>
              <w:rPr>
                <w:spacing w:val="-1"/>
                <w:sz w:val="24"/>
              </w:rPr>
              <w:t> </w:t>
            </w:r>
            <w:r>
              <w:rPr>
                <w:spacing w:val="-2"/>
                <w:sz w:val="24"/>
              </w:rPr>
              <w:t>regression</w:t>
            </w:r>
          </w:p>
        </w:tc>
        <w:tc>
          <w:tcPr>
            <w:tcW w:w="1958" w:type="dxa"/>
          </w:tcPr>
          <w:p>
            <w:pPr>
              <w:pStyle w:val="TableParagraph"/>
              <w:spacing w:line="256" w:lineRule="exact"/>
              <w:ind w:right="145"/>
              <w:jc w:val="right"/>
              <w:rPr>
                <w:sz w:val="24"/>
              </w:rPr>
            </w:pPr>
            <w:r>
              <w:rPr>
                <w:spacing w:val="-2"/>
                <w:sz w:val="24"/>
              </w:rPr>
              <w:t>0.677750</w:t>
            </w:r>
          </w:p>
        </w:tc>
        <w:tc>
          <w:tcPr>
            <w:tcW w:w="3039" w:type="dxa"/>
          </w:tcPr>
          <w:p>
            <w:pPr>
              <w:pStyle w:val="TableParagraph"/>
              <w:spacing w:line="256" w:lineRule="exact"/>
              <w:ind w:left="150"/>
              <w:rPr>
                <w:sz w:val="24"/>
              </w:rPr>
            </w:pPr>
            <w:r>
              <w:rPr>
                <w:sz w:val="24"/>
              </w:rPr>
              <w:t>Akaike</w:t>
            </w:r>
            <w:r>
              <w:rPr>
                <w:spacing w:val="-4"/>
                <w:sz w:val="24"/>
              </w:rPr>
              <w:t> </w:t>
            </w:r>
            <w:r>
              <w:rPr>
                <w:sz w:val="24"/>
              </w:rPr>
              <w:t>info</w:t>
            </w:r>
            <w:r>
              <w:rPr>
                <w:spacing w:val="-1"/>
                <w:sz w:val="24"/>
              </w:rPr>
              <w:t> </w:t>
            </w:r>
            <w:r>
              <w:rPr>
                <w:spacing w:val="-2"/>
                <w:sz w:val="24"/>
              </w:rPr>
              <w:t>criterion</w:t>
            </w:r>
          </w:p>
        </w:tc>
        <w:tc>
          <w:tcPr>
            <w:tcW w:w="1829" w:type="dxa"/>
          </w:tcPr>
          <w:p>
            <w:pPr>
              <w:pStyle w:val="TableParagraph"/>
              <w:spacing w:line="256" w:lineRule="exact"/>
              <w:ind w:right="44"/>
              <w:jc w:val="right"/>
              <w:rPr>
                <w:sz w:val="24"/>
              </w:rPr>
            </w:pPr>
            <w:r>
              <w:rPr>
                <w:spacing w:val="-2"/>
                <w:sz w:val="24"/>
              </w:rPr>
              <w:t>2.247333</w:t>
            </w:r>
          </w:p>
        </w:tc>
      </w:tr>
      <w:tr>
        <w:trPr>
          <w:trHeight w:val="275" w:hRule="atLeast"/>
        </w:trPr>
        <w:tc>
          <w:tcPr>
            <w:tcW w:w="2791" w:type="dxa"/>
          </w:tcPr>
          <w:p>
            <w:pPr>
              <w:pStyle w:val="TableParagraph"/>
              <w:spacing w:line="256" w:lineRule="exact"/>
              <w:ind w:left="50"/>
              <w:rPr>
                <w:sz w:val="24"/>
              </w:rPr>
            </w:pPr>
            <w:r>
              <w:rPr>
                <w:sz w:val="24"/>
              </w:rPr>
              <w:t>Sum</w:t>
            </w:r>
            <w:r>
              <w:rPr>
                <w:spacing w:val="-2"/>
                <w:sz w:val="24"/>
              </w:rPr>
              <w:t> </w:t>
            </w:r>
            <w:r>
              <w:rPr>
                <w:sz w:val="24"/>
              </w:rPr>
              <w:t>squared</w:t>
            </w:r>
            <w:r>
              <w:rPr>
                <w:spacing w:val="-1"/>
                <w:sz w:val="24"/>
              </w:rPr>
              <w:t> </w:t>
            </w:r>
            <w:r>
              <w:rPr>
                <w:spacing w:val="-4"/>
                <w:sz w:val="24"/>
              </w:rPr>
              <w:t>resid</w:t>
            </w:r>
          </w:p>
        </w:tc>
        <w:tc>
          <w:tcPr>
            <w:tcW w:w="1958" w:type="dxa"/>
          </w:tcPr>
          <w:p>
            <w:pPr>
              <w:pStyle w:val="TableParagraph"/>
              <w:spacing w:line="256" w:lineRule="exact"/>
              <w:ind w:right="145"/>
              <w:jc w:val="right"/>
              <w:rPr>
                <w:sz w:val="24"/>
              </w:rPr>
            </w:pPr>
            <w:r>
              <w:rPr>
                <w:spacing w:val="-2"/>
                <w:sz w:val="24"/>
              </w:rPr>
              <w:t>15.15839</w:t>
            </w:r>
          </w:p>
        </w:tc>
        <w:tc>
          <w:tcPr>
            <w:tcW w:w="3039" w:type="dxa"/>
          </w:tcPr>
          <w:p>
            <w:pPr>
              <w:pStyle w:val="TableParagraph"/>
              <w:spacing w:line="256" w:lineRule="exact"/>
              <w:ind w:left="150"/>
              <w:rPr>
                <w:sz w:val="24"/>
              </w:rPr>
            </w:pPr>
            <w:r>
              <w:rPr>
                <w:sz w:val="24"/>
              </w:rPr>
              <w:t>Schwarz</w:t>
            </w:r>
            <w:r>
              <w:rPr>
                <w:spacing w:val="-5"/>
                <w:sz w:val="24"/>
              </w:rPr>
              <w:t> </w:t>
            </w:r>
            <w:r>
              <w:rPr>
                <w:spacing w:val="-2"/>
                <w:sz w:val="24"/>
              </w:rPr>
              <w:t>criterion</w:t>
            </w:r>
          </w:p>
        </w:tc>
        <w:tc>
          <w:tcPr>
            <w:tcW w:w="1829" w:type="dxa"/>
          </w:tcPr>
          <w:p>
            <w:pPr>
              <w:pStyle w:val="TableParagraph"/>
              <w:spacing w:line="256" w:lineRule="exact"/>
              <w:ind w:right="44"/>
              <w:jc w:val="right"/>
              <w:rPr>
                <w:sz w:val="24"/>
              </w:rPr>
            </w:pPr>
            <w:r>
              <w:rPr>
                <w:spacing w:val="-2"/>
                <w:sz w:val="24"/>
              </w:rPr>
              <w:t>2.619691</w:t>
            </w:r>
          </w:p>
        </w:tc>
      </w:tr>
      <w:tr>
        <w:trPr>
          <w:trHeight w:val="276" w:hRule="atLeast"/>
        </w:trPr>
        <w:tc>
          <w:tcPr>
            <w:tcW w:w="2791" w:type="dxa"/>
          </w:tcPr>
          <w:p>
            <w:pPr>
              <w:pStyle w:val="TableParagraph"/>
              <w:spacing w:line="256" w:lineRule="exact"/>
              <w:ind w:left="50"/>
              <w:rPr>
                <w:sz w:val="24"/>
              </w:rPr>
            </w:pPr>
            <w:r>
              <w:rPr>
                <w:sz w:val="24"/>
              </w:rPr>
              <w:t>Log</w:t>
            </w:r>
            <w:r>
              <w:rPr>
                <w:spacing w:val="-4"/>
                <w:sz w:val="24"/>
              </w:rPr>
              <w:t> </w:t>
            </w:r>
            <w:r>
              <w:rPr>
                <w:spacing w:val="-2"/>
                <w:sz w:val="24"/>
              </w:rPr>
              <w:t>likelihood</w:t>
            </w:r>
          </w:p>
        </w:tc>
        <w:tc>
          <w:tcPr>
            <w:tcW w:w="1958" w:type="dxa"/>
          </w:tcPr>
          <w:p>
            <w:pPr>
              <w:pStyle w:val="TableParagraph"/>
              <w:spacing w:line="256" w:lineRule="exact"/>
              <w:ind w:right="145"/>
              <w:jc w:val="right"/>
              <w:rPr>
                <w:sz w:val="24"/>
              </w:rPr>
            </w:pPr>
            <w:r>
              <w:rPr>
                <w:spacing w:val="-2"/>
                <w:sz w:val="24"/>
              </w:rPr>
              <w:t>-38.19400</w:t>
            </w:r>
          </w:p>
        </w:tc>
        <w:tc>
          <w:tcPr>
            <w:tcW w:w="3039" w:type="dxa"/>
          </w:tcPr>
          <w:p>
            <w:pPr>
              <w:pStyle w:val="TableParagraph"/>
              <w:spacing w:line="256" w:lineRule="exact"/>
              <w:ind w:left="150"/>
              <w:rPr>
                <w:sz w:val="24"/>
              </w:rPr>
            </w:pPr>
            <w:r>
              <w:rPr>
                <w:spacing w:val="-2"/>
                <w:sz w:val="24"/>
              </w:rPr>
              <w:t>F-statistic</w:t>
            </w:r>
          </w:p>
        </w:tc>
        <w:tc>
          <w:tcPr>
            <w:tcW w:w="1829" w:type="dxa"/>
          </w:tcPr>
          <w:p>
            <w:pPr>
              <w:pStyle w:val="TableParagraph"/>
              <w:spacing w:line="256" w:lineRule="exact"/>
              <w:ind w:right="44"/>
              <w:jc w:val="right"/>
              <w:rPr>
                <w:sz w:val="24"/>
              </w:rPr>
            </w:pPr>
            <w:r>
              <w:rPr>
                <w:spacing w:val="-2"/>
                <w:sz w:val="24"/>
              </w:rPr>
              <w:t>89.18940</w:t>
            </w:r>
          </w:p>
        </w:tc>
      </w:tr>
      <w:tr>
        <w:trPr>
          <w:trHeight w:val="270" w:hRule="atLeast"/>
        </w:trPr>
        <w:tc>
          <w:tcPr>
            <w:tcW w:w="2791" w:type="dxa"/>
          </w:tcPr>
          <w:p>
            <w:pPr>
              <w:pStyle w:val="TableParagraph"/>
              <w:spacing w:line="251" w:lineRule="exact"/>
              <w:ind w:left="50"/>
              <w:rPr>
                <w:sz w:val="24"/>
              </w:rPr>
            </w:pPr>
            <w:r>
              <w:rPr>
                <w:sz w:val="24"/>
              </w:rPr>
              <w:t>Durbin-Watson</w:t>
            </w:r>
            <w:r>
              <w:rPr>
                <w:spacing w:val="-3"/>
                <w:sz w:val="24"/>
              </w:rPr>
              <w:t> </w:t>
            </w:r>
            <w:r>
              <w:rPr>
                <w:spacing w:val="-4"/>
                <w:sz w:val="24"/>
              </w:rPr>
              <w:t>stat</w:t>
            </w:r>
          </w:p>
        </w:tc>
        <w:tc>
          <w:tcPr>
            <w:tcW w:w="1958" w:type="dxa"/>
          </w:tcPr>
          <w:p>
            <w:pPr>
              <w:pStyle w:val="TableParagraph"/>
              <w:spacing w:line="251" w:lineRule="exact"/>
              <w:ind w:right="145"/>
              <w:jc w:val="right"/>
              <w:rPr>
                <w:sz w:val="24"/>
              </w:rPr>
            </w:pPr>
            <w:r>
              <w:rPr>
                <w:spacing w:val="-2"/>
                <w:sz w:val="24"/>
              </w:rPr>
              <w:t>1.594042</w:t>
            </w:r>
          </w:p>
        </w:tc>
        <w:tc>
          <w:tcPr>
            <w:tcW w:w="3039" w:type="dxa"/>
          </w:tcPr>
          <w:p>
            <w:pPr>
              <w:pStyle w:val="TableParagraph"/>
              <w:spacing w:line="251" w:lineRule="exact"/>
              <w:ind w:left="150"/>
              <w:rPr>
                <w:sz w:val="24"/>
              </w:rPr>
            </w:pPr>
            <w:r>
              <w:rPr>
                <w:spacing w:val="-2"/>
                <w:sz w:val="24"/>
              </w:rPr>
              <w:t>Prob(F-statistic)</w:t>
            </w:r>
          </w:p>
        </w:tc>
        <w:tc>
          <w:tcPr>
            <w:tcW w:w="1829" w:type="dxa"/>
          </w:tcPr>
          <w:p>
            <w:pPr>
              <w:pStyle w:val="TableParagraph"/>
              <w:spacing w:line="251" w:lineRule="exact"/>
              <w:ind w:right="44"/>
              <w:jc w:val="right"/>
              <w:rPr>
                <w:sz w:val="24"/>
              </w:rPr>
            </w:pPr>
            <w:r>
              <w:rPr>
                <w:spacing w:val="-2"/>
                <w:sz w:val="24"/>
              </w:rPr>
              <w:t>0.000000</w:t>
            </w:r>
          </w:p>
        </w:tc>
      </w:tr>
    </w:tbl>
    <w:p>
      <w:pPr>
        <w:pStyle w:val="BodyText"/>
        <w:spacing w:before="167"/>
        <w:ind w:left="831"/>
        <w:jc w:val="both"/>
      </w:pPr>
      <w:r>
        <w:rPr>
          <w:b/>
        </w:rPr>
        <w:t>Source:</w:t>
      </w:r>
      <w:r>
        <w:rPr>
          <w:b/>
          <w:spacing w:val="28"/>
        </w:rPr>
        <w:t>  </w:t>
      </w:r>
      <w:r>
        <w:rPr/>
        <w:t>Computation, using</w:t>
      </w:r>
      <w:r>
        <w:rPr>
          <w:spacing w:val="-4"/>
        </w:rPr>
        <w:t> </w:t>
      </w:r>
      <w:r>
        <w:rPr/>
        <w:t>E-view</w:t>
      </w:r>
      <w:r>
        <w:rPr>
          <w:spacing w:val="-1"/>
        </w:rPr>
        <w:t> </w:t>
      </w:r>
      <w:r>
        <w:rPr/>
        <w:t>statistical </w:t>
      </w:r>
      <w:r>
        <w:rPr>
          <w:spacing w:val="-2"/>
        </w:rPr>
        <w:t>package</w:t>
      </w:r>
    </w:p>
    <w:p>
      <w:pPr>
        <w:pStyle w:val="BodyText"/>
        <w:spacing w:line="480" w:lineRule="auto" w:before="1"/>
        <w:ind w:left="711" w:right="473"/>
        <w:jc w:val="both"/>
        <w:rPr>
          <w:rFonts w:ascii="Cambria"/>
        </w:rPr>
      </w:pPr>
      <w:r>
        <w:rPr>
          <w:rFonts w:ascii="Cambria"/>
        </w:rPr>
        <w:t>From the above table, the short-run relationship between capital flight and the explanatory variable can be expressed mathematically below:</w:t>
      </w:r>
    </w:p>
    <w:p>
      <w:pPr>
        <w:spacing w:line="281" w:lineRule="exact" w:before="0"/>
        <w:ind w:left="711" w:right="0" w:firstLine="0"/>
        <w:jc w:val="both"/>
        <w:rPr>
          <w:rFonts w:ascii="Cambria" w:hAnsi="Cambria"/>
          <w:b/>
          <w:i/>
          <w:sz w:val="16"/>
        </w:rPr>
      </w:pPr>
      <w:r>
        <w:rPr>
          <w:rFonts w:ascii="Cambria" w:hAnsi="Cambria"/>
          <w:b/>
          <w:i/>
          <w:position w:val="1"/>
          <w:sz w:val="24"/>
        </w:rPr>
        <w:t>KFW</w:t>
      </w:r>
      <w:r>
        <w:rPr>
          <w:rFonts w:ascii="Cambria" w:hAnsi="Cambria"/>
          <w:b/>
          <w:i/>
          <w:spacing w:val="63"/>
          <w:w w:val="150"/>
          <w:position w:val="1"/>
          <w:sz w:val="24"/>
        </w:rPr>
        <w:t> </w:t>
      </w:r>
      <w:r>
        <w:rPr>
          <w:rFonts w:ascii="Cambria" w:hAnsi="Cambria"/>
          <w:b/>
          <w:i/>
          <w:position w:val="1"/>
          <w:sz w:val="24"/>
        </w:rPr>
        <w:t>=</w:t>
      </w:r>
      <w:r>
        <w:rPr>
          <w:rFonts w:ascii="Cambria" w:hAnsi="Cambria"/>
          <w:b/>
          <w:i/>
          <w:spacing w:val="63"/>
          <w:w w:val="150"/>
          <w:position w:val="1"/>
          <w:sz w:val="24"/>
        </w:rPr>
        <w:t> </w:t>
      </w:r>
      <w:r>
        <w:rPr>
          <w:b/>
          <w:i/>
          <w:position w:val="1"/>
          <w:sz w:val="24"/>
        </w:rPr>
        <w:t>2.751495</w:t>
      </w:r>
      <w:r>
        <w:rPr>
          <w:b/>
          <w:i/>
          <w:spacing w:val="54"/>
          <w:w w:val="150"/>
          <w:position w:val="1"/>
          <w:sz w:val="24"/>
        </w:rPr>
        <w:t> </w:t>
      </w:r>
      <w:r>
        <w:rPr>
          <w:rFonts w:ascii="Cambria" w:hAnsi="Cambria"/>
          <w:b/>
          <w:i/>
          <w:position w:val="1"/>
          <w:sz w:val="24"/>
        </w:rPr>
        <w:t>+</w:t>
      </w:r>
      <w:r>
        <w:rPr>
          <w:rFonts w:ascii="Cambria" w:hAnsi="Cambria"/>
          <w:b/>
          <w:i/>
          <w:spacing w:val="63"/>
          <w:w w:val="150"/>
          <w:position w:val="1"/>
          <w:sz w:val="24"/>
        </w:rPr>
        <w:t> </w:t>
      </w:r>
      <w:r>
        <w:rPr>
          <w:b/>
          <w:i/>
          <w:position w:val="1"/>
          <w:sz w:val="24"/>
        </w:rPr>
        <w:t>0.261618</w:t>
      </w:r>
      <w:r>
        <w:rPr>
          <w:rFonts w:ascii="Cambria" w:hAnsi="Cambria"/>
          <w:b/>
          <w:i/>
          <w:sz w:val="16"/>
        </w:rPr>
        <w:t>EXTDEBT</w:t>
      </w:r>
      <w:r>
        <w:rPr>
          <w:rFonts w:ascii="Cambria" w:hAnsi="Cambria"/>
          <w:b/>
          <w:i/>
          <w:spacing w:val="36"/>
          <w:sz w:val="16"/>
        </w:rPr>
        <w:t>  </w:t>
      </w:r>
      <w:r>
        <w:rPr>
          <w:rFonts w:ascii="Cambria" w:hAnsi="Cambria"/>
          <w:b/>
          <w:i/>
          <w:position w:val="1"/>
          <w:sz w:val="24"/>
        </w:rPr>
        <w:t>+</w:t>
      </w:r>
      <w:r>
        <w:rPr>
          <w:rFonts w:ascii="Cambria" w:hAnsi="Cambria"/>
          <w:b/>
          <w:i/>
          <w:spacing w:val="62"/>
          <w:w w:val="150"/>
          <w:position w:val="1"/>
          <w:sz w:val="24"/>
        </w:rPr>
        <w:t> </w:t>
      </w:r>
      <w:r>
        <w:rPr>
          <w:rFonts w:ascii="Cambria" w:hAnsi="Cambria"/>
          <w:b/>
          <w:i/>
          <w:position w:val="1"/>
          <w:sz w:val="24"/>
        </w:rPr>
        <w:t>0.251213</w:t>
      </w:r>
      <w:r>
        <w:rPr>
          <w:rFonts w:ascii="Cambria" w:hAnsi="Cambria"/>
          <w:b/>
          <w:i/>
          <w:sz w:val="16"/>
        </w:rPr>
        <w:t>DOP</w:t>
      </w:r>
      <w:r>
        <w:rPr>
          <w:rFonts w:ascii="Cambria" w:hAnsi="Cambria"/>
          <w:b/>
          <w:i/>
          <w:spacing w:val="73"/>
          <w:w w:val="150"/>
          <w:sz w:val="16"/>
        </w:rPr>
        <w:t> </w:t>
      </w:r>
      <w:r>
        <w:rPr>
          <w:rFonts w:ascii="Cambria" w:hAnsi="Cambria"/>
          <w:b/>
          <w:i/>
          <w:position w:val="1"/>
          <w:sz w:val="24"/>
        </w:rPr>
        <w:t>-</w:t>
      </w:r>
      <w:r>
        <w:rPr>
          <w:rFonts w:ascii="Cambria" w:hAnsi="Cambria"/>
          <w:b/>
          <w:i/>
          <w:spacing w:val="65"/>
          <w:w w:val="150"/>
          <w:position w:val="1"/>
          <w:sz w:val="24"/>
        </w:rPr>
        <w:t> </w:t>
      </w:r>
      <w:r>
        <w:rPr>
          <w:rFonts w:ascii="Cambria" w:hAnsi="Cambria"/>
          <w:b/>
          <w:i/>
          <w:position w:val="1"/>
          <w:sz w:val="24"/>
        </w:rPr>
        <w:t>0.067741</w:t>
      </w:r>
      <w:r>
        <w:rPr>
          <w:rFonts w:ascii="Cambria" w:hAnsi="Cambria"/>
          <w:b/>
          <w:i/>
          <w:sz w:val="16"/>
        </w:rPr>
        <w:t>INF</w:t>
      </w:r>
      <w:r>
        <w:rPr>
          <w:rFonts w:ascii="Cambria" w:hAnsi="Cambria"/>
          <w:b/>
          <w:i/>
          <w:spacing w:val="37"/>
          <w:sz w:val="16"/>
        </w:rPr>
        <w:t>  </w:t>
      </w:r>
      <w:r>
        <w:rPr>
          <w:rFonts w:ascii="Cambria" w:hAnsi="Cambria"/>
          <w:b/>
          <w:i/>
          <w:position w:val="1"/>
          <w:sz w:val="24"/>
        </w:rPr>
        <w:t>-</w:t>
      </w:r>
      <w:r>
        <w:rPr>
          <w:rFonts w:ascii="Cambria" w:hAnsi="Cambria"/>
          <w:b/>
          <w:i/>
          <w:spacing w:val="65"/>
          <w:w w:val="150"/>
          <w:position w:val="1"/>
          <w:sz w:val="24"/>
        </w:rPr>
        <w:t> </w:t>
      </w:r>
      <w:r>
        <w:rPr>
          <w:rFonts w:ascii="Cambria" w:hAnsi="Cambria"/>
          <w:b/>
          <w:i/>
          <w:position w:val="1"/>
          <w:sz w:val="24"/>
        </w:rPr>
        <w:t>0.054248</w:t>
      </w:r>
      <w:r>
        <w:rPr>
          <w:rFonts w:ascii="Cambria" w:hAnsi="Cambria"/>
          <w:b/>
          <w:i/>
          <w:sz w:val="16"/>
        </w:rPr>
        <w:t>GCF</w:t>
      </w:r>
      <w:r>
        <w:rPr>
          <w:rFonts w:ascii="Cambria" w:hAnsi="Cambria"/>
          <w:b/>
          <w:i/>
          <w:spacing w:val="73"/>
          <w:w w:val="150"/>
          <w:sz w:val="16"/>
        </w:rPr>
        <w:t> </w:t>
      </w:r>
      <w:r>
        <w:rPr>
          <w:rFonts w:ascii="Cambria" w:hAnsi="Cambria"/>
          <w:b/>
          <w:i/>
          <w:sz w:val="16"/>
        </w:rPr>
        <w:t>–</w:t>
      </w:r>
      <w:r>
        <w:rPr>
          <w:rFonts w:ascii="Cambria" w:hAnsi="Cambria"/>
          <w:b/>
          <w:i/>
          <w:spacing w:val="74"/>
          <w:w w:val="150"/>
          <w:sz w:val="16"/>
        </w:rPr>
        <w:t> </w:t>
      </w:r>
      <w:r>
        <w:rPr>
          <w:rFonts w:ascii="Cambria" w:hAnsi="Cambria"/>
          <w:b/>
          <w:i/>
          <w:spacing w:val="-2"/>
          <w:position w:val="1"/>
          <w:sz w:val="24"/>
        </w:rPr>
        <w:t>0.302774</w:t>
      </w:r>
      <w:r>
        <w:rPr>
          <w:rFonts w:ascii="Cambria" w:hAnsi="Cambria"/>
          <w:b/>
          <w:i/>
          <w:spacing w:val="-2"/>
          <w:sz w:val="16"/>
        </w:rPr>
        <w:t>DR</w:t>
      </w:r>
    </w:p>
    <w:p>
      <w:pPr>
        <w:pStyle w:val="BodyText"/>
        <w:spacing w:before="33"/>
        <w:rPr>
          <w:rFonts w:ascii="Cambria"/>
          <w:b/>
          <w:i/>
        </w:rPr>
      </w:pPr>
    </w:p>
    <w:p>
      <w:pPr>
        <w:tabs>
          <w:tab w:pos="9767" w:val="left" w:leader="dot"/>
        </w:tabs>
        <w:spacing w:before="0"/>
        <w:ind w:left="1705" w:right="0" w:firstLine="0"/>
        <w:jc w:val="left"/>
        <w:rPr>
          <w:rFonts w:ascii="Arial" w:hAnsi="Arial"/>
          <w:b/>
          <w:sz w:val="18"/>
        </w:rPr>
      </w:pPr>
      <w:r>
        <w:rPr>
          <w:rFonts w:ascii="Cambria" w:hAnsi="Cambria"/>
          <w:b/>
          <w:i/>
          <w:position w:val="2"/>
          <w:sz w:val="24"/>
        </w:rPr>
        <w:t>+0.0089382</w:t>
      </w:r>
      <w:r>
        <w:rPr>
          <w:rFonts w:ascii="Cambria" w:hAnsi="Cambria"/>
          <w:b/>
          <w:i/>
          <w:position w:val="1"/>
          <w:sz w:val="16"/>
        </w:rPr>
        <w:t>PRIVCR</w:t>
      </w:r>
      <w:r>
        <w:rPr>
          <w:rFonts w:ascii="Cambria" w:hAnsi="Cambria"/>
          <w:b/>
          <w:i/>
          <w:spacing w:val="-3"/>
          <w:position w:val="1"/>
          <w:sz w:val="16"/>
        </w:rPr>
        <w:t> </w:t>
      </w:r>
      <w:r>
        <w:rPr>
          <w:rFonts w:ascii="Cambria" w:hAnsi="Cambria"/>
          <w:b/>
          <w:i/>
          <w:position w:val="2"/>
          <w:sz w:val="24"/>
        </w:rPr>
        <w:t>–</w:t>
      </w:r>
      <w:r>
        <w:rPr>
          <w:rFonts w:ascii="Cambria" w:hAnsi="Cambria"/>
          <w:b/>
          <w:i/>
          <w:spacing w:val="-4"/>
          <w:position w:val="2"/>
          <w:sz w:val="24"/>
        </w:rPr>
        <w:t> </w:t>
      </w:r>
      <w:r>
        <w:rPr>
          <w:rFonts w:ascii="Cambria" w:hAnsi="Cambria"/>
          <w:b/>
          <w:i/>
          <w:position w:val="2"/>
          <w:sz w:val="24"/>
        </w:rPr>
        <w:t>0.001360</w:t>
      </w:r>
      <w:r>
        <w:rPr>
          <w:rFonts w:ascii="Cambria" w:hAnsi="Cambria"/>
          <w:b/>
          <w:i/>
          <w:spacing w:val="9"/>
          <w:position w:val="2"/>
          <w:sz w:val="24"/>
        </w:rPr>
        <w:t> </w:t>
      </w:r>
      <w:r>
        <w:rPr>
          <w:rFonts w:ascii="Arial" w:hAnsi="Arial"/>
          <w:b/>
          <w:i/>
          <w:position w:val="1"/>
          <w:sz w:val="16"/>
        </w:rPr>
        <w:t>USIRD</w:t>
      </w:r>
      <w:r>
        <w:rPr>
          <w:rFonts w:ascii="Arial" w:hAnsi="Arial"/>
          <w:b/>
          <w:i/>
          <w:spacing w:val="-3"/>
          <w:position w:val="1"/>
          <w:sz w:val="16"/>
        </w:rPr>
        <w:t> </w:t>
      </w:r>
      <w:r>
        <w:rPr>
          <w:rFonts w:ascii="Arial" w:hAnsi="Arial"/>
          <w:b/>
          <w:i/>
          <w:position w:val="2"/>
          <w:sz w:val="24"/>
        </w:rPr>
        <w:t>+</w:t>
      </w:r>
      <w:r>
        <w:rPr>
          <w:rFonts w:ascii="Arial" w:hAnsi="Arial"/>
          <w:b/>
          <w:i/>
          <w:spacing w:val="-5"/>
          <w:position w:val="2"/>
          <w:sz w:val="24"/>
        </w:rPr>
        <w:t> </w:t>
      </w:r>
      <w:r>
        <w:rPr>
          <w:rFonts w:ascii="Arial" w:hAnsi="Arial"/>
          <w:b/>
          <w:i/>
          <w:spacing w:val="-2"/>
          <w:position w:val="2"/>
          <w:sz w:val="24"/>
        </w:rPr>
        <w:t>0.610640</w:t>
      </w:r>
      <w:r>
        <w:rPr>
          <w:rFonts w:ascii="Arial" w:hAnsi="Arial"/>
          <w:b/>
          <w:i/>
          <w:spacing w:val="-2"/>
          <w:position w:val="1"/>
          <w:sz w:val="16"/>
        </w:rPr>
        <w:t>GOCE</w:t>
      </w:r>
      <w:r>
        <w:rPr>
          <w:rFonts w:ascii="Arial" w:hAnsi="Arial"/>
          <w:b/>
          <w:i/>
          <w:position w:val="1"/>
          <w:sz w:val="16"/>
        </w:rPr>
        <w:tab/>
      </w:r>
      <w:r>
        <w:rPr>
          <w:rFonts w:ascii="Arial" w:hAnsi="Arial"/>
          <w:b/>
          <w:i/>
          <w:spacing w:val="-2"/>
          <w:position w:val="1"/>
          <w:sz w:val="16"/>
        </w:rPr>
        <w:t>(</w:t>
      </w:r>
      <w:r>
        <w:rPr>
          <w:rFonts w:ascii="Arial" w:hAnsi="Arial"/>
          <w:b/>
          <w:spacing w:val="-2"/>
          <w:sz w:val="18"/>
        </w:rPr>
        <w:t>4.1)</w:t>
      </w:r>
    </w:p>
    <w:p>
      <w:pPr>
        <w:pStyle w:val="BodyText"/>
        <w:spacing w:before="47"/>
        <w:rPr>
          <w:rFonts w:ascii="Arial"/>
          <w:b/>
        </w:rPr>
      </w:pPr>
    </w:p>
    <w:p>
      <w:pPr>
        <w:pStyle w:val="BodyText"/>
        <w:spacing w:line="480" w:lineRule="auto"/>
        <w:ind w:left="711" w:right="472"/>
        <w:jc w:val="both"/>
      </w:pPr>
      <w:r>
        <w:rPr/>
        <w:t>Table 4.1 shows the summary of the short-run analysis, test of significance of the explanatory variables and the test of hypothesis for the first model (Model 1A) which shows the determinant of capital flight using</w:t>
      </w:r>
      <w:r>
        <w:rPr>
          <w:spacing w:val="-1"/>
        </w:rPr>
        <w:t> </w:t>
      </w:r>
      <w:r>
        <w:rPr/>
        <w:t>the World Bank and Erbe (1985) estimation approach.</w:t>
      </w:r>
    </w:p>
    <w:p>
      <w:pPr>
        <w:pStyle w:val="BodyText"/>
        <w:spacing w:before="1"/>
        <w:ind w:left="711"/>
        <w:jc w:val="both"/>
      </w:pPr>
      <w:r>
        <w:rPr/>
        <w:t>From</w:t>
      </w:r>
      <w:r>
        <w:rPr>
          <w:spacing w:val="-1"/>
        </w:rPr>
        <w:t> </w:t>
      </w:r>
      <w:r>
        <w:rPr/>
        <w:t>the table,</w:t>
      </w:r>
      <w:r>
        <w:rPr>
          <w:spacing w:val="-1"/>
        </w:rPr>
        <w:t> </w:t>
      </w:r>
      <w:r>
        <w:rPr/>
        <w:t>the</w:t>
      </w:r>
      <w:r>
        <w:rPr>
          <w:spacing w:val="-1"/>
        </w:rPr>
        <w:t> </w:t>
      </w:r>
      <w:r>
        <w:rPr/>
        <w:t>variable is</w:t>
      </w:r>
      <w:r>
        <w:rPr>
          <w:spacing w:val="-1"/>
        </w:rPr>
        <w:t> </w:t>
      </w:r>
      <w:r>
        <w:rPr/>
        <w:t>significant in</w:t>
      </w:r>
      <w:r>
        <w:rPr>
          <w:spacing w:val="-1"/>
        </w:rPr>
        <w:t> </w:t>
      </w:r>
      <w:r>
        <w:rPr/>
        <w:t>the model if</w:t>
      </w:r>
      <w:r>
        <w:rPr>
          <w:spacing w:val="-1"/>
        </w:rPr>
        <w:t> </w:t>
      </w:r>
      <w:r>
        <w:rPr/>
        <w:t>the</w:t>
      </w:r>
      <w:r>
        <w:rPr>
          <w:spacing w:val="2"/>
        </w:rPr>
        <w:t> </w:t>
      </w:r>
      <w:r>
        <w:rPr/>
        <w:t>probability</w:t>
      </w:r>
      <w:r>
        <w:rPr>
          <w:spacing w:val="-6"/>
        </w:rPr>
        <w:t> </w:t>
      </w:r>
      <w:r>
        <w:rPr/>
        <w:t>value</w:t>
      </w:r>
      <w:r>
        <w:rPr>
          <w:spacing w:val="-1"/>
        </w:rPr>
        <w:t> </w:t>
      </w:r>
      <w:r>
        <w:rPr/>
        <w:t>is less</w:t>
      </w:r>
      <w:r>
        <w:rPr>
          <w:spacing w:val="-1"/>
        </w:rPr>
        <w:t> </w:t>
      </w:r>
      <w:r>
        <w:rPr/>
        <w:t>than 5 </w:t>
      </w:r>
      <w:r>
        <w:rPr>
          <w:spacing w:val="-5"/>
        </w:rPr>
        <w:t>%.</w:t>
      </w:r>
    </w:p>
    <w:p>
      <w:pPr>
        <w:pStyle w:val="BodyText"/>
      </w:pPr>
    </w:p>
    <w:p>
      <w:pPr>
        <w:pStyle w:val="BodyText"/>
        <w:spacing w:line="480" w:lineRule="auto"/>
        <w:ind w:left="711" w:right="470"/>
        <w:jc w:val="both"/>
        <w:rPr>
          <w:rFonts w:ascii="Cambria"/>
        </w:rPr>
      </w:pPr>
      <w:r>
        <w:rPr>
          <w:rFonts w:ascii="Cambria"/>
        </w:rPr>
        <w:t>The results above show that the constant parameter is directly related with capital flight. It has a positive coefficient of </w:t>
      </w:r>
      <w:r>
        <w:rPr/>
        <w:t>2.751495 </w:t>
      </w:r>
      <w:r>
        <w:rPr>
          <w:rFonts w:ascii="Cambria"/>
        </w:rPr>
        <w:t>which implies that if all explanatory variables are held constant in the short-run, capital flight will increase by </w:t>
      </w:r>
      <w:r>
        <w:rPr/>
        <w:t>2.751495 </w:t>
      </w:r>
      <w:r>
        <w:rPr>
          <w:rFonts w:ascii="Cambria"/>
        </w:rPr>
        <w:t>units</w:t>
      </w:r>
    </w:p>
    <w:p>
      <w:pPr>
        <w:pStyle w:val="BodyText"/>
        <w:spacing w:line="480" w:lineRule="auto" w:before="2"/>
        <w:ind w:left="711" w:right="469"/>
        <w:jc w:val="both"/>
        <w:rPr>
          <w:rFonts w:ascii="Cambria" w:hAnsi="Cambria"/>
        </w:rPr>
      </w:pPr>
      <w:r>
        <w:rPr>
          <w:rFonts w:ascii="Cambria" w:hAnsi="Cambria"/>
        </w:rPr>
        <w:t>Also, Change in External Debt (δEXTDEBT) showed a positive coefficient of </w:t>
      </w:r>
      <w:r>
        <w:rPr>
          <w:b/>
        </w:rPr>
        <w:t>0.261618 </w:t>
      </w:r>
      <w:r>
        <w:rPr>
          <w:rFonts w:ascii="Cambria" w:hAnsi="Cambria"/>
        </w:rPr>
        <w:t>which implies that a unit increase in the level of change in external debt will increase the value of capital flight by </w:t>
      </w:r>
      <w:r>
        <w:rPr>
          <w:b/>
        </w:rPr>
        <w:t>0.261618 </w:t>
      </w:r>
      <w:r>
        <w:rPr>
          <w:rFonts w:ascii="Cambria" w:hAnsi="Cambria"/>
        </w:rPr>
        <w:t>units. Degree of openness coefficient is </w:t>
      </w:r>
      <w:r>
        <w:rPr/>
        <w:t>0.251213 </w:t>
      </w:r>
      <w:r>
        <w:rPr>
          <w:rFonts w:ascii="Cambria" w:hAnsi="Cambria"/>
        </w:rPr>
        <w:t>which implies a positive relationship with the dependent variables. However, the</w:t>
      </w:r>
      <w:r>
        <w:rPr>
          <w:rFonts w:ascii="Cambria" w:hAnsi="Cambria"/>
          <w:spacing w:val="-2"/>
        </w:rPr>
        <w:t> </w:t>
      </w:r>
      <w:r>
        <w:rPr>
          <w:rFonts w:ascii="Cambria" w:hAnsi="Cambria"/>
        </w:rPr>
        <w:t>inflation rate is negatively</w:t>
      </w:r>
      <w:r>
        <w:rPr>
          <w:rFonts w:ascii="Cambria" w:hAnsi="Cambria"/>
          <w:spacing w:val="-1"/>
        </w:rPr>
        <w:t> </w:t>
      </w:r>
      <w:r>
        <w:rPr>
          <w:rFonts w:ascii="Cambria" w:hAnsi="Cambria"/>
        </w:rPr>
        <w:t>related</w:t>
      </w:r>
      <w:r>
        <w:rPr>
          <w:rFonts w:ascii="Cambria" w:hAnsi="Cambria"/>
          <w:spacing w:val="-2"/>
        </w:rPr>
        <w:t> </w:t>
      </w:r>
      <w:r>
        <w:rPr>
          <w:rFonts w:ascii="Cambria" w:hAnsi="Cambria"/>
        </w:rPr>
        <w:t>to capital flight with</w:t>
      </w:r>
      <w:r>
        <w:rPr>
          <w:rFonts w:ascii="Cambria" w:hAnsi="Cambria"/>
          <w:spacing w:val="-3"/>
        </w:rPr>
        <w:t> </w:t>
      </w:r>
      <w:r>
        <w:rPr>
          <w:rFonts w:ascii="Cambria" w:hAnsi="Cambria"/>
        </w:rPr>
        <w:t>value of</w:t>
      </w:r>
    </w:p>
    <w:p>
      <w:pPr>
        <w:pStyle w:val="BodyText"/>
        <w:spacing w:line="480" w:lineRule="auto"/>
        <w:ind w:left="711" w:right="467"/>
        <w:jc w:val="both"/>
        <w:rPr>
          <w:rFonts w:ascii="Cambria"/>
        </w:rPr>
      </w:pPr>
      <w:r>
        <w:rPr/>
        <w:t>-0.067741. Likewise, the gross capital formation shows a negative value of -0.054248 while the deposit rate revealed a negative value of -0.302774. This suggests that an </w:t>
      </w:r>
      <w:r>
        <w:rPr>
          <w:rFonts w:ascii="Cambria"/>
        </w:rPr>
        <w:t>increase in deposit rate will result in </w:t>
      </w:r>
      <w:r>
        <w:rPr/>
        <w:t>0.302774 </w:t>
      </w:r>
      <w:r>
        <w:rPr>
          <w:rFonts w:ascii="Cambria"/>
        </w:rPr>
        <w:t>units decrease in the rate of capital flight.</w:t>
      </w:r>
      <w:r>
        <w:rPr>
          <w:rFonts w:ascii="Cambria"/>
          <w:spacing w:val="40"/>
        </w:rPr>
        <w:t> </w:t>
      </w:r>
      <w:r>
        <w:rPr>
          <w:rFonts w:ascii="Cambria"/>
        </w:rPr>
        <w:t>On the other hand, creidit to the private sector (PRIVCR)</w:t>
      </w:r>
      <w:r>
        <w:rPr>
          <w:rFonts w:ascii="Cambria"/>
          <w:spacing w:val="-1"/>
        </w:rPr>
        <w:t> </w:t>
      </w:r>
      <w:r>
        <w:rPr>
          <w:rFonts w:ascii="Cambria"/>
        </w:rPr>
        <w:t>with</w:t>
      </w:r>
      <w:r>
        <w:rPr>
          <w:rFonts w:ascii="Cambria"/>
          <w:spacing w:val="-1"/>
        </w:rPr>
        <w:t> </w:t>
      </w:r>
      <w:r>
        <w:rPr>
          <w:rFonts w:ascii="Cambria"/>
        </w:rPr>
        <w:t>a positive value of </w:t>
      </w:r>
      <w:r>
        <w:rPr/>
        <w:t>0.089382</w:t>
      </w:r>
      <w:r>
        <w:rPr>
          <w:spacing w:val="-7"/>
        </w:rPr>
        <w:t> </w:t>
      </w:r>
      <w:r>
        <w:rPr>
          <w:rFonts w:ascii="Cambria"/>
        </w:rPr>
        <w:t>is</w:t>
      </w:r>
      <w:r>
        <w:rPr>
          <w:rFonts w:ascii="Cambria"/>
          <w:spacing w:val="-2"/>
        </w:rPr>
        <w:t> </w:t>
      </w:r>
      <w:r>
        <w:rPr>
          <w:rFonts w:ascii="Cambria"/>
        </w:rPr>
        <w:t>not appropriately</w:t>
      </w:r>
      <w:r>
        <w:rPr>
          <w:rFonts w:ascii="Cambria"/>
          <w:spacing w:val="-2"/>
        </w:rPr>
        <w:t> </w:t>
      </w:r>
      <w:r>
        <w:rPr>
          <w:rFonts w:ascii="Cambria"/>
        </w:rPr>
        <w:t>signed</w:t>
      </w:r>
      <w:r>
        <w:rPr>
          <w:rFonts w:ascii="Cambria"/>
          <w:spacing w:val="-3"/>
        </w:rPr>
        <w:t> </w:t>
      </w:r>
      <w:r>
        <w:rPr>
          <w:rFonts w:ascii="Cambria"/>
        </w:rPr>
        <w:t>because an</w:t>
      </w:r>
      <w:r>
        <w:rPr>
          <w:rFonts w:ascii="Cambria"/>
          <w:spacing w:val="-2"/>
        </w:rPr>
        <w:t> </w:t>
      </w:r>
      <w:r>
        <w:rPr>
          <w:rFonts w:ascii="Cambria"/>
        </w:rPr>
        <w:t>increase</w:t>
      </w:r>
      <w:r>
        <w:rPr>
          <w:rFonts w:ascii="Cambria"/>
          <w:spacing w:val="-2"/>
        </w:rPr>
        <w:t> </w:t>
      </w:r>
      <w:r>
        <w:rPr>
          <w:rFonts w:ascii="Cambria"/>
        </w:rPr>
        <w:t>in</w:t>
      </w:r>
      <w:r>
        <w:rPr>
          <w:rFonts w:ascii="Cambria"/>
          <w:spacing w:val="-4"/>
        </w:rPr>
        <w:t> </w:t>
      </w:r>
      <w:r>
        <w:rPr>
          <w:rFonts w:ascii="Cambria"/>
        </w:rPr>
        <w:t>credit to private</w:t>
      </w:r>
      <w:r>
        <w:rPr>
          <w:rFonts w:ascii="Cambria"/>
          <w:spacing w:val="17"/>
        </w:rPr>
        <w:t> </w:t>
      </w:r>
      <w:r>
        <w:rPr>
          <w:rFonts w:ascii="Cambria"/>
        </w:rPr>
        <w:t>sector</w:t>
      </w:r>
      <w:r>
        <w:rPr>
          <w:rFonts w:ascii="Cambria"/>
          <w:spacing w:val="16"/>
        </w:rPr>
        <w:t> </w:t>
      </w:r>
      <w:r>
        <w:rPr>
          <w:rFonts w:ascii="Cambria"/>
        </w:rPr>
        <w:t>is expected</w:t>
      </w:r>
      <w:r>
        <w:rPr>
          <w:rFonts w:ascii="Cambria"/>
          <w:spacing w:val="16"/>
        </w:rPr>
        <w:t> </w:t>
      </w:r>
      <w:r>
        <w:rPr>
          <w:rFonts w:ascii="Cambria"/>
        </w:rPr>
        <w:t>to</w:t>
      </w:r>
      <w:r>
        <w:rPr>
          <w:rFonts w:ascii="Cambria"/>
          <w:spacing w:val="17"/>
        </w:rPr>
        <w:t> </w:t>
      </w:r>
      <w:r>
        <w:rPr>
          <w:rFonts w:ascii="Cambria"/>
        </w:rPr>
        <w:t>increase investment</w:t>
      </w:r>
      <w:r>
        <w:rPr>
          <w:rFonts w:ascii="Cambria"/>
          <w:spacing w:val="17"/>
        </w:rPr>
        <w:t> </w:t>
      </w:r>
      <w:r>
        <w:rPr>
          <w:rFonts w:ascii="Cambria"/>
        </w:rPr>
        <w:t>in the</w:t>
      </w:r>
      <w:r>
        <w:rPr>
          <w:rFonts w:ascii="Cambria"/>
          <w:spacing w:val="17"/>
        </w:rPr>
        <w:t> </w:t>
      </w:r>
      <w:r>
        <w:rPr>
          <w:rFonts w:ascii="Cambria"/>
        </w:rPr>
        <w:t>domestic</w:t>
      </w:r>
      <w:r>
        <w:rPr>
          <w:rFonts w:ascii="Cambria"/>
          <w:spacing w:val="17"/>
        </w:rPr>
        <w:t> </w:t>
      </w:r>
      <w:r>
        <w:rPr>
          <w:rFonts w:ascii="Cambria"/>
        </w:rPr>
        <w:t>economy and reduce</w:t>
      </w:r>
      <w:r>
        <w:rPr>
          <w:rFonts w:ascii="Cambria"/>
          <w:spacing w:val="17"/>
        </w:rPr>
        <w:t> </w:t>
      </w:r>
      <w:r>
        <w:rPr>
          <w:rFonts w:ascii="Cambria"/>
        </w:rPr>
        <w:t>capital</w:t>
      </w:r>
      <w:r>
        <w:rPr>
          <w:rFonts w:ascii="Cambria"/>
          <w:spacing w:val="17"/>
        </w:rPr>
        <w:t> </w:t>
      </w:r>
      <w:r>
        <w:rPr>
          <w:rFonts w:ascii="Cambria"/>
        </w:rPr>
        <w:t>flight.</w:t>
      </w:r>
    </w:p>
    <w:p>
      <w:pPr>
        <w:spacing w:after="0" w:line="480" w:lineRule="auto"/>
        <w:jc w:val="both"/>
        <w:rPr>
          <w:rFonts w:ascii="Cambria"/>
        </w:rPr>
        <w:sectPr>
          <w:type w:val="continuous"/>
          <w:pgSz w:w="11910" w:h="16840"/>
          <w:pgMar w:header="0" w:footer="979" w:top="1420" w:bottom="1240" w:left="280" w:right="0"/>
        </w:sectPr>
      </w:pPr>
    </w:p>
    <w:p>
      <w:pPr>
        <w:pStyle w:val="BodyText"/>
        <w:spacing w:line="480" w:lineRule="auto" w:before="81"/>
        <w:ind w:left="711" w:right="476"/>
        <w:jc w:val="both"/>
      </w:pPr>
      <w:r>
        <w:rPr>
          <w:rFonts w:ascii="Cambria"/>
        </w:rPr>
        <w:t>Interest rate differential shows a negative value of </w:t>
      </w:r>
      <w:r>
        <w:rPr/>
        <w:t>-0.001360 </w:t>
      </w:r>
      <w:r>
        <w:rPr>
          <w:rFonts w:ascii="Cambria"/>
        </w:rPr>
        <w:t>while the government current expenditure is positively related with capital flight with a value of </w:t>
      </w:r>
      <w:r>
        <w:rPr/>
        <w:t>0.610640.</w:t>
      </w:r>
    </w:p>
    <w:p>
      <w:pPr>
        <w:pStyle w:val="BodyText"/>
      </w:pPr>
    </w:p>
    <w:p>
      <w:pPr>
        <w:pStyle w:val="BodyText"/>
        <w:spacing w:before="10"/>
      </w:pPr>
    </w:p>
    <w:p>
      <w:pPr>
        <w:pStyle w:val="BodyText"/>
        <w:spacing w:line="480" w:lineRule="auto"/>
        <w:ind w:left="711" w:right="468"/>
        <w:jc w:val="both"/>
        <w:rPr>
          <w:rFonts w:ascii="Cambria"/>
        </w:rPr>
      </w:pPr>
      <w:r>
        <w:rPr>
          <w:rFonts w:ascii="Cambria"/>
        </w:rPr>
        <w:t>Not all</w:t>
      </w:r>
      <w:r>
        <w:rPr>
          <w:rFonts w:ascii="Cambria"/>
          <w:spacing w:val="-2"/>
        </w:rPr>
        <w:t> </w:t>
      </w:r>
      <w:r>
        <w:rPr>
          <w:rFonts w:ascii="Cambria"/>
        </w:rPr>
        <w:t>the</w:t>
      </w:r>
      <w:r>
        <w:rPr>
          <w:rFonts w:ascii="Cambria"/>
          <w:spacing w:val="-1"/>
        </w:rPr>
        <w:t> </w:t>
      </w:r>
      <w:r>
        <w:rPr>
          <w:rFonts w:ascii="Cambria"/>
        </w:rPr>
        <w:t>explanatory variables</w:t>
      </w:r>
      <w:r>
        <w:rPr>
          <w:rFonts w:ascii="Cambria"/>
          <w:spacing w:val="-1"/>
        </w:rPr>
        <w:t> </w:t>
      </w:r>
      <w:r>
        <w:rPr>
          <w:rFonts w:ascii="Cambria"/>
        </w:rPr>
        <w:t>are</w:t>
      </w:r>
      <w:r>
        <w:rPr>
          <w:rFonts w:ascii="Cambria"/>
          <w:spacing w:val="-1"/>
        </w:rPr>
        <w:t> </w:t>
      </w:r>
      <w:r>
        <w:rPr>
          <w:rFonts w:ascii="Cambria"/>
        </w:rPr>
        <w:t>in</w:t>
      </w:r>
      <w:r>
        <w:rPr>
          <w:rFonts w:ascii="Cambria"/>
          <w:spacing w:val="-2"/>
        </w:rPr>
        <w:t> </w:t>
      </w:r>
      <w:r>
        <w:rPr>
          <w:rFonts w:ascii="Cambria"/>
        </w:rPr>
        <w:t>conformity</w:t>
      </w:r>
      <w:r>
        <w:rPr>
          <w:rFonts w:ascii="Cambria"/>
          <w:spacing w:val="-2"/>
        </w:rPr>
        <w:t> </w:t>
      </w:r>
      <w:r>
        <w:rPr>
          <w:rFonts w:ascii="Cambria"/>
        </w:rPr>
        <w:t>with the</w:t>
      </w:r>
      <w:r>
        <w:rPr>
          <w:rFonts w:ascii="Cambria"/>
          <w:spacing w:val="-1"/>
        </w:rPr>
        <w:t> </w:t>
      </w:r>
      <w:r>
        <w:rPr>
          <w:rFonts w:ascii="Cambria"/>
        </w:rPr>
        <w:t>prior expectation</w:t>
      </w:r>
      <w:r>
        <w:rPr>
          <w:rFonts w:ascii="Cambria"/>
          <w:spacing w:val="-2"/>
        </w:rPr>
        <w:t> </w:t>
      </w:r>
      <w:r>
        <w:rPr>
          <w:rFonts w:ascii="Cambria"/>
        </w:rPr>
        <w:t>in</w:t>
      </w:r>
      <w:r>
        <w:rPr>
          <w:rFonts w:ascii="Cambria"/>
          <w:spacing w:val="-2"/>
        </w:rPr>
        <w:t> </w:t>
      </w:r>
      <w:r>
        <w:rPr>
          <w:rFonts w:ascii="Cambria"/>
        </w:rPr>
        <w:t>the</w:t>
      </w:r>
      <w:r>
        <w:rPr>
          <w:rFonts w:ascii="Cambria"/>
          <w:spacing w:val="-1"/>
        </w:rPr>
        <w:t> </w:t>
      </w:r>
      <w:r>
        <w:rPr>
          <w:rFonts w:ascii="Cambria"/>
        </w:rPr>
        <w:t>short-run.</w:t>
      </w:r>
      <w:r>
        <w:rPr>
          <w:rFonts w:ascii="Cambria"/>
          <w:spacing w:val="-1"/>
        </w:rPr>
        <w:t> </w:t>
      </w:r>
      <w:r>
        <w:rPr>
          <w:rFonts w:ascii="Cambria"/>
        </w:rPr>
        <w:t>Change in external debt, gross capital formation, deposit rate, private sector credit and government expenditure are expected to be negatively related to capital flight, this means that increase in these variables should bring down the level of capital flight. The degree of openness, inlation rate and</w:t>
      </w:r>
      <w:r>
        <w:rPr>
          <w:rFonts w:ascii="Cambria"/>
          <w:spacing w:val="40"/>
        </w:rPr>
        <w:t> </w:t>
      </w:r>
      <w:r>
        <w:rPr>
          <w:rFonts w:ascii="Cambria"/>
        </w:rPr>
        <w:t>intrest rate differential are expected to be positively related to capital flight. Meanwhile, the</w:t>
      </w:r>
      <w:r>
        <w:rPr>
          <w:rFonts w:ascii="Cambria"/>
          <w:spacing w:val="40"/>
        </w:rPr>
        <w:t> </w:t>
      </w:r>
      <w:r>
        <w:rPr>
          <w:rFonts w:ascii="Cambria"/>
        </w:rPr>
        <w:t>coefficient of multiple determinants (R</w:t>
      </w:r>
      <w:r>
        <w:rPr>
          <w:rFonts w:ascii="Cambria"/>
          <w:position w:val="6"/>
          <w:sz w:val="16"/>
        </w:rPr>
        <w:t>2</w:t>
      </w:r>
      <w:r>
        <w:rPr>
          <w:rFonts w:ascii="Cambria"/>
        </w:rPr>
        <w:t>) showed a coefficient of </w:t>
      </w:r>
      <w:r>
        <w:rPr/>
        <w:t>0.955795 </w:t>
      </w:r>
      <w:r>
        <w:rPr>
          <w:rFonts w:ascii="Cambria"/>
        </w:rPr>
        <w:t>which implies a 95.58% explanation of the behaviour of capital flight by the totality of the explanatory variables on the short- run. The Adjusted R</w:t>
      </w:r>
      <w:r>
        <w:rPr>
          <w:rFonts w:ascii="Cambria"/>
          <w:position w:val="6"/>
          <w:sz w:val="16"/>
        </w:rPr>
        <w:t>2 </w:t>
      </w:r>
      <w:r>
        <w:rPr>
          <w:rFonts w:ascii="Cambria"/>
        </w:rPr>
        <w:t>further proved this with the adjusted value of </w:t>
      </w:r>
      <w:r>
        <w:rPr/>
        <w:t>0.945078 </w:t>
      </w:r>
      <w:r>
        <w:rPr>
          <w:rFonts w:ascii="Cambria"/>
        </w:rPr>
        <w:t>which implies a 94.51% explanation of the behaviour of gross domestic product by the totality of the explanatory variables with the remaining 4. 42% behaviour attributed to other variables outside the model otherwise referred to as the stochastic variables.</w:t>
      </w:r>
    </w:p>
    <w:p>
      <w:pPr>
        <w:pStyle w:val="Heading6"/>
        <w:spacing w:before="3"/>
        <w:jc w:val="left"/>
        <w:rPr>
          <w:b w:val="0"/>
        </w:rPr>
      </w:pPr>
      <w:r>
        <w:rPr/>
        <w:t>Validation</w:t>
      </w:r>
      <w:r>
        <w:rPr>
          <w:spacing w:val="-1"/>
        </w:rPr>
        <w:t> </w:t>
      </w:r>
      <w:r>
        <w:rPr/>
        <w:t>and</w:t>
      </w:r>
      <w:r>
        <w:rPr>
          <w:spacing w:val="-1"/>
        </w:rPr>
        <w:t> </w:t>
      </w:r>
      <w:r>
        <w:rPr/>
        <w:t>testing</w:t>
      </w:r>
      <w:r>
        <w:rPr>
          <w:spacing w:val="-1"/>
        </w:rPr>
        <w:t> </w:t>
      </w:r>
      <w:r>
        <w:rPr/>
        <w:t>of</w:t>
      </w:r>
      <w:r>
        <w:rPr>
          <w:spacing w:val="1"/>
        </w:rPr>
        <w:t> </w:t>
      </w:r>
      <w:r>
        <w:rPr>
          <w:spacing w:val="-2"/>
        </w:rPr>
        <w:t>hypotheses</w:t>
      </w:r>
      <w:r>
        <w:rPr>
          <w:b w:val="0"/>
          <w:spacing w:val="-2"/>
        </w:rPr>
        <w:t>:</w:t>
      </w:r>
    </w:p>
    <w:p>
      <w:pPr>
        <w:pStyle w:val="BodyText"/>
        <w:spacing w:before="276"/>
        <w:ind w:left="711"/>
      </w:pPr>
      <w:r>
        <w:rPr/>
        <w:t>The</w:t>
      </w:r>
      <w:r>
        <w:rPr>
          <w:spacing w:val="-5"/>
        </w:rPr>
        <w:t> </w:t>
      </w:r>
      <w:r>
        <w:rPr/>
        <w:t>under listed</w:t>
      </w:r>
      <w:r>
        <w:rPr>
          <w:spacing w:val="-1"/>
        </w:rPr>
        <w:t> </w:t>
      </w:r>
      <w:r>
        <w:rPr/>
        <w:t>hypotheses</w:t>
      </w:r>
      <w:r>
        <w:rPr>
          <w:spacing w:val="2"/>
        </w:rPr>
        <w:t> </w:t>
      </w:r>
      <w:r>
        <w:rPr/>
        <w:t>were</w:t>
      </w:r>
      <w:r>
        <w:rPr>
          <w:spacing w:val="-2"/>
        </w:rPr>
        <w:t> </w:t>
      </w:r>
      <w:r>
        <w:rPr/>
        <w:t>tested under</w:t>
      </w:r>
      <w:r>
        <w:rPr>
          <w:spacing w:val="-2"/>
        </w:rPr>
        <w:t> </w:t>
      </w:r>
      <w:r>
        <w:rPr/>
        <w:t>model </w:t>
      </w:r>
      <w:r>
        <w:rPr>
          <w:spacing w:val="-5"/>
        </w:rPr>
        <w:t>1A.</w:t>
      </w:r>
    </w:p>
    <w:p>
      <w:pPr>
        <w:pStyle w:val="BodyText"/>
        <w:spacing w:before="276"/>
        <w:ind w:left="711"/>
      </w:pPr>
      <w:r>
        <w:rPr/>
        <w:t>The</w:t>
      </w:r>
      <w:r>
        <w:rPr>
          <w:spacing w:val="-3"/>
        </w:rPr>
        <w:t> </w:t>
      </w:r>
      <w:r>
        <w:rPr/>
        <w:t>hypothesis to</w:t>
      </w:r>
      <w:r>
        <w:rPr>
          <w:spacing w:val="-1"/>
        </w:rPr>
        <w:t> </w:t>
      </w:r>
      <w:r>
        <w:rPr/>
        <w:t>be tested in</w:t>
      </w:r>
      <w:r>
        <w:rPr>
          <w:spacing w:val="-1"/>
        </w:rPr>
        <w:t> </w:t>
      </w:r>
      <w:r>
        <w:rPr/>
        <w:t>this model</w:t>
      </w:r>
      <w:r>
        <w:rPr>
          <w:spacing w:val="-1"/>
        </w:rPr>
        <w:t> </w:t>
      </w:r>
      <w:r>
        <w:rPr/>
        <w:t>is stated in</w:t>
      </w:r>
      <w:r>
        <w:rPr>
          <w:spacing w:val="-1"/>
        </w:rPr>
        <w:t> </w:t>
      </w:r>
      <w:r>
        <w:rPr/>
        <w:t>the null</w:t>
      </w:r>
      <w:r>
        <w:rPr>
          <w:spacing w:val="-1"/>
        </w:rPr>
        <w:t> </w:t>
      </w:r>
      <w:r>
        <w:rPr/>
        <w:t>form as </w:t>
      </w:r>
      <w:r>
        <w:rPr>
          <w:spacing w:val="-2"/>
        </w:rPr>
        <w:t>follows;</w:t>
      </w:r>
    </w:p>
    <w:p>
      <w:pPr>
        <w:pStyle w:val="BodyText"/>
        <w:spacing w:before="275"/>
        <w:ind w:left="711"/>
        <w:jc w:val="both"/>
      </w:pPr>
      <w:r>
        <w:rPr>
          <w:position w:val="2"/>
        </w:rPr>
        <w:t>H</w:t>
      </w:r>
      <w:r>
        <w:rPr>
          <w:sz w:val="16"/>
        </w:rPr>
        <w:t>01</w:t>
      </w:r>
      <w:r>
        <w:rPr>
          <w:position w:val="2"/>
        </w:rPr>
        <w:t>:</w:t>
      </w:r>
      <w:r>
        <w:rPr>
          <w:spacing w:val="26"/>
          <w:position w:val="2"/>
        </w:rPr>
        <w:t>  </w:t>
      </w:r>
      <w:r>
        <w:rPr>
          <w:position w:val="2"/>
        </w:rPr>
        <w:t>Macroeconomic,</w:t>
      </w:r>
      <w:r>
        <w:rPr>
          <w:spacing w:val="-2"/>
          <w:position w:val="2"/>
        </w:rPr>
        <w:t> </w:t>
      </w:r>
      <w:r>
        <w:rPr>
          <w:position w:val="2"/>
        </w:rPr>
        <w:t>Political</w:t>
      </w:r>
      <w:r>
        <w:rPr>
          <w:spacing w:val="1"/>
          <w:position w:val="2"/>
        </w:rPr>
        <w:t> </w:t>
      </w:r>
      <w:r>
        <w:rPr>
          <w:position w:val="2"/>
        </w:rPr>
        <w:t>and</w:t>
      </w:r>
      <w:r>
        <w:rPr>
          <w:spacing w:val="1"/>
          <w:position w:val="2"/>
        </w:rPr>
        <w:t> </w:t>
      </w:r>
      <w:r>
        <w:rPr>
          <w:position w:val="2"/>
        </w:rPr>
        <w:t>Institutional</w:t>
      </w:r>
      <w:r>
        <w:rPr>
          <w:spacing w:val="-2"/>
          <w:position w:val="2"/>
        </w:rPr>
        <w:t> </w:t>
      </w:r>
      <w:r>
        <w:rPr>
          <w:position w:val="2"/>
        </w:rPr>
        <w:t>factors</w:t>
      </w:r>
      <w:r>
        <w:rPr>
          <w:spacing w:val="-1"/>
          <w:position w:val="2"/>
        </w:rPr>
        <w:t> </w:t>
      </w:r>
      <w:r>
        <w:rPr>
          <w:position w:val="2"/>
        </w:rPr>
        <w:t>do</w:t>
      </w:r>
      <w:r>
        <w:rPr>
          <w:spacing w:val="-1"/>
          <w:position w:val="2"/>
        </w:rPr>
        <w:t> </w:t>
      </w:r>
      <w:r>
        <w:rPr>
          <w:position w:val="2"/>
        </w:rPr>
        <w:t>not</w:t>
      </w:r>
      <w:r>
        <w:rPr>
          <w:spacing w:val="-1"/>
          <w:position w:val="2"/>
        </w:rPr>
        <w:t> </w:t>
      </w:r>
      <w:r>
        <w:rPr>
          <w:position w:val="2"/>
        </w:rPr>
        <w:t>cause</w:t>
      </w:r>
      <w:r>
        <w:rPr>
          <w:spacing w:val="-3"/>
          <w:position w:val="2"/>
        </w:rPr>
        <w:t> </w:t>
      </w:r>
      <w:r>
        <w:rPr>
          <w:position w:val="2"/>
        </w:rPr>
        <w:t>capital</w:t>
      </w:r>
      <w:r>
        <w:rPr>
          <w:spacing w:val="-1"/>
          <w:position w:val="2"/>
        </w:rPr>
        <w:t> </w:t>
      </w:r>
      <w:r>
        <w:rPr>
          <w:position w:val="2"/>
        </w:rPr>
        <w:t>flight</w:t>
      </w:r>
      <w:r>
        <w:rPr>
          <w:spacing w:val="-1"/>
          <w:position w:val="2"/>
        </w:rPr>
        <w:t> </w:t>
      </w:r>
      <w:r>
        <w:rPr>
          <w:position w:val="2"/>
        </w:rPr>
        <w:t>in</w:t>
      </w:r>
      <w:r>
        <w:rPr>
          <w:spacing w:val="-1"/>
          <w:position w:val="2"/>
        </w:rPr>
        <w:t> </w:t>
      </w:r>
      <w:r>
        <w:rPr>
          <w:spacing w:val="-2"/>
          <w:position w:val="2"/>
        </w:rPr>
        <w:t>Nigeria.</w:t>
      </w:r>
    </w:p>
    <w:p>
      <w:pPr>
        <w:pStyle w:val="BodyText"/>
        <w:spacing w:line="477" w:lineRule="auto" w:before="273"/>
        <w:ind w:left="711" w:right="474"/>
        <w:jc w:val="both"/>
      </w:pPr>
      <w:r>
        <w:rPr>
          <w:position w:val="2"/>
        </w:rPr>
        <w:t>H</w:t>
      </w:r>
      <w:r>
        <w:rPr>
          <w:sz w:val="16"/>
        </w:rPr>
        <w:t>03</w:t>
      </w:r>
      <w:r>
        <w:rPr>
          <w:position w:val="2"/>
        </w:rPr>
        <w:t>:</w:t>
      </w:r>
      <w:r>
        <w:rPr>
          <w:spacing w:val="80"/>
          <w:w w:val="150"/>
          <w:position w:val="2"/>
        </w:rPr>
        <w:t> </w:t>
      </w:r>
      <w:r>
        <w:rPr>
          <w:position w:val="2"/>
        </w:rPr>
        <w:t>Political, Economic and Institutional factors do not influence the choice of private wealth holders in </w:t>
      </w:r>
      <w:r>
        <w:rPr>
          <w:spacing w:val="-2"/>
        </w:rPr>
        <w:t>Nigeria.</w:t>
      </w:r>
    </w:p>
    <w:p>
      <w:pPr>
        <w:pStyle w:val="BodyText"/>
        <w:spacing w:before="4"/>
        <w:ind w:left="711"/>
        <w:jc w:val="both"/>
      </w:pPr>
      <w:r>
        <w:rPr>
          <w:position w:val="2"/>
        </w:rPr>
        <w:t>H</w:t>
      </w:r>
      <w:r>
        <w:rPr>
          <w:sz w:val="16"/>
        </w:rPr>
        <w:t>04</w:t>
      </w:r>
      <w:r>
        <w:rPr>
          <w:spacing w:val="76"/>
          <w:sz w:val="16"/>
        </w:rPr>
        <w:t>  </w:t>
      </w:r>
      <w:r>
        <w:rPr>
          <w:position w:val="2"/>
        </w:rPr>
        <w:t>Capital flight</w:t>
      </w:r>
      <w:r>
        <w:rPr>
          <w:spacing w:val="-1"/>
          <w:position w:val="2"/>
        </w:rPr>
        <w:t> </w:t>
      </w:r>
      <w:r>
        <w:rPr>
          <w:position w:val="2"/>
        </w:rPr>
        <w:t>cannot be</w:t>
      </w:r>
      <w:r>
        <w:rPr>
          <w:spacing w:val="-1"/>
          <w:position w:val="2"/>
        </w:rPr>
        <w:t> </w:t>
      </w:r>
      <w:r>
        <w:rPr>
          <w:position w:val="2"/>
        </w:rPr>
        <w:t>stemmed</w:t>
      </w:r>
      <w:r>
        <w:rPr>
          <w:spacing w:val="-1"/>
          <w:position w:val="2"/>
        </w:rPr>
        <w:t> </w:t>
      </w:r>
      <w:r>
        <w:rPr>
          <w:position w:val="2"/>
        </w:rPr>
        <w:t>nor</w:t>
      </w:r>
      <w:r>
        <w:rPr>
          <w:spacing w:val="-2"/>
          <w:position w:val="2"/>
        </w:rPr>
        <w:t> </w:t>
      </w:r>
      <w:r>
        <w:rPr>
          <w:position w:val="2"/>
        </w:rPr>
        <w:t>reversed</w:t>
      </w:r>
      <w:r>
        <w:rPr>
          <w:spacing w:val="-1"/>
          <w:position w:val="2"/>
        </w:rPr>
        <w:t> </w:t>
      </w:r>
      <w:r>
        <w:rPr>
          <w:position w:val="2"/>
        </w:rPr>
        <w:t>in </w:t>
      </w:r>
      <w:r>
        <w:rPr>
          <w:spacing w:val="-2"/>
          <w:position w:val="2"/>
        </w:rPr>
        <w:t>Nigeria.</w:t>
      </w:r>
    </w:p>
    <w:p>
      <w:pPr>
        <w:pStyle w:val="BodyText"/>
        <w:spacing w:line="480" w:lineRule="auto" w:before="271"/>
        <w:ind w:left="711" w:right="474"/>
        <w:jc w:val="both"/>
      </w:pPr>
      <w:r>
        <w:rPr/>
        <w:t>From the above analysis and the probability value, the constant parameter, Change in External Debt (δEXDEBT) and Government Current Expenditure (GOCE) are statistically significant in the model. This shows that these variables are the main determinant of Capital Flight in Nigeria</w:t>
      </w:r>
      <w:r>
        <w:rPr>
          <w:spacing w:val="-1"/>
        </w:rPr>
        <w:t> </w:t>
      </w:r>
      <w:r>
        <w:rPr/>
        <w:t>in the short run. Rather</w:t>
      </w:r>
      <w:r>
        <w:rPr>
          <w:spacing w:val="-1"/>
        </w:rPr>
        <w:t> </w:t>
      </w:r>
      <w:r>
        <w:rPr/>
        <w:t>than reducing the incidence of capital flight, these variables promote capital flight in Nigeria</w:t>
      </w:r>
    </w:p>
    <w:p>
      <w:pPr>
        <w:spacing w:after="0" w:line="480" w:lineRule="auto"/>
        <w:jc w:val="both"/>
        <w:sectPr>
          <w:pgSz w:w="11910" w:h="16840"/>
          <w:pgMar w:header="0" w:footer="979" w:top="1340" w:bottom="1240" w:left="280" w:right="0"/>
        </w:sectPr>
      </w:pPr>
    </w:p>
    <w:p>
      <w:pPr>
        <w:pStyle w:val="BodyText"/>
        <w:spacing w:line="480" w:lineRule="auto" w:before="60"/>
        <w:ind w:left="711" w:right="471"/>
        <w:jc w:val="both"/>
      </w:pPr>
      <w:r>
        <w:rPr/>
        <w:t>For the decision on the hypotheses, the alternative hypothesis are accepted for the variables that are significant (δEXDEBT and GOCE) while the null hypotheses are accepted for other variables (DOP, INF, DR, PRIVCR, USIRD and GCF) in the model. Since debt volatility and Government current expenditure which are the proxies for political uncertainties, it is concluded from hypotheses 1 and 3 that political</w:t>
      </w:r>
      <w:r>
        <w:rPr>
          <w:spacing w:val="40"/>
        </w:rPr>
        <w:t> </w:t>
      </w:r>
      <w:r>
        <w:rPr/>
        <w:t>factors account for the level of capital flight in Nigeria within the period under investigation. These factors also influence the choice of private wealth holders in Nigeria within the period. Since the determinants of capital</w:t>
      </w:r>
      <w:r>
        <w:rPr>
          <w:spacing w:val="-2"/>
        </w:rPr>
        <w:t> </w:t>
      </w:r>
      <w:r>
        <w:rPr/>
        <w:t>flight</w:t>
      </w:r>
      <w:r>
        <w:rPr>
          <w:spacing w:val="-1"/>
        </w:rPr>
        <w:t> </w:t>
      </w:r>
      <w:r>
        <w:rPr/>
        <w:t>and the</w:t>
      </w:r>
      <w:r>
        <w:rPr>
          <w:spacing w:val="-1"/>
        </w:rPr>
        <w:t> </w:t>
      </w:r>
      <w:r>
        <w:rPr/>
        <w:t>variables</w:t>
      </w:r>
      <w:r>
        <w:rPr>
          <w:spacing w:val="-2"/>
        </w:rPr>
        <w:t> </w:t>
      </w:r>
      <w:r>
        <w:rPr/>
        <w:t>that</w:t>
      </w:r>
      <w:r>
        <w:rPr>
          <w:spacing w:val="-2"/>
        </w:rPr>
        <w:t> </w:t>
      </w:r>
      <w:r>
        <w:rPr/>
        <w:t>influence</w:t>
      </w:r>
      <w:r>
        <w:rPr>
          <w:spacing w:val="-1"/>
        </w:rPr>
        <w:t> </w:t>
      </w:r>
      <w:r>
        <w:rPr/>
        <w:t>the</w:t>
      </w:r>
      <w:r>
        <w:rPr>
          <w:spacing w:val="-1"/>
        </w:rPr>
        <w:t> </w:t>
      </w:r>
      <w:r>
        <w:rPr/>
        <w:t>choice</w:t>
      </w:r>
      <w:r>
        <w:rPr>
          <w:spacing w:val="-4"/>
        </w:rPr>
        <w:t> </w:t>
      </w:r>
      <w:r>
        <w:rPr/>
        <w:t>of</w:t>
      </w:r>
      <w:r>
        <w:rPr>
          <w:spacing w:val="-1"/>
        </w:rPr>
        <w:t> </w:t>
      </w:r>
      <w:r>
        <w:rPr/>
        <w:t>private wealth</w:t>
      </w:r>
      <w:r>
        <w:rPr>
          <w:spacing w:val="-2"/>
        </w:rPr>
        <w:t> </w:t>
      </w:r>
      <w:r>
        <w:rPr/>
        <w:t>holders</w:t>
      </w:r>
      <w:r>
        <w:rPr>
          <w:spacing w:val="-1"/>
        </w:rPr>
        <w:t> </w:t>
      </w:r>
      <w:r>
        <w:rPr/>
        <w:t>have</w:t>
      </w:r>
      <w:r>
        <w:rPr>
          <w:spacing w:val="-3"/>
        </w:rPr>
        <w:t> </w:t>
      </w:r>
      <w:r>
        <w:rPr/>
        <w:t>been accertained,</w:t>
      </w:r>
      <w:r>
        <w:rPr>
          <w:spacing w:val="-2"/>
        </w:rPr>
        <w:t> </w:t>
      </w:r>
      <w:r>
        <w:rPr/>
        <w:t>it</w:t>
      </w:r>
      <w:r>
        <w:rPr>
          <w:spacing w:val="-2"/>
        </w:rPr>
        <w:t> </w:t>
      </w:r>
      <w:r>
        <w:rPr/>
        <w:t>is possible to stem and reverse the incidence of capital flight in Nigeria if appropriate actions in line with the recommendations of this study are taken.</w:t>
      </w:r>
      <w:r>
        <w:rPr>
          <w:spacing w:val="40"/>
        </w:rPr>
        <w:t> </w:t>
      </w:r>
      <w:r>
        <w:rPr/>
        <w:t>The F-statistic caculatedvalue of </w:t>
      </w:r>
      <w:r>
        <w:rPr>
          <w:sz w:val="26"/>
        </w:rPr>
        <w:t>89.18940</w:t>
      </w:r>
      <w:r>
        <w:rPr/>
        <w:t>which is greater than the F-tabulated value of 2.27 shows that the model is statistically.</w:t>
      </w:r>
    </w:p>
    <w:p>
      <w:pPr>
        <w:pStyle w:val="Heading2"/>
        <w:spacing w:before="3"/>
      </w:pPr>
      <w:r>
        <w:rPr/>
        <w:t>Table</w:t>
      </w:r>
      <w:r>
        <w:rPr>
          <w:spacing w:val="-6"/>
        </w:rPr>
        <w:t> </w:t>
      </w:r>
      <w:r>
        <w:rPr/>
        <w:t>4.2</w:t>
      </w:r>
      <w:r>
        <w:rPr>
          <w:spacing w:val="-2"/>
        </w:rPr>
        <w:t> </w:t>
      </w:r>
      <w:r>
        <w:rPr/>
        <w:t>Presentation</w:t>
      </w:r>
      <w:r>
        <w:rPr>
          <w:spacing w:val="-3"/>
        </w:rPr>
        <w:t> </w:t>
      </w:r>
      <w:r>
        <w:rPr/>
        <w:t>and</w:t>
      </w:r>
      <w:r>
        <w:rPr>
          <w:spacing w:val="-6"/>
        </w:rPr>
        <w:t> </w:t>
      </w:r>
      <w:r>
        <w:rPr/>
        <w:t>Interpretation</w:t>
      </w:r>
      <w:r>
        <w:rPr>
          <w:spacing w:val="-3"/>
        </w:rPr>
        <w:t> </w:t>
      </w:r>
      <w:r>
        <w:rPr/>
        <w:t>of</w:t>
      </w:r>
      <w:r>
        <w:rPr>
          <w:spacing w:val="-3"/>
        </w:rPr>
        <w:t> </w:t>
      </w:r>
      <w:r>
        <w:rPr/>
        <w:t>Short</w:t>
      </w:r>
      <w:r>
        <w:rPr>
          <w:spacing w:val="-3"/>
        </w:rPr>
        <w:t> </w:t>
      </w:r>
      <w:r>
        <w:rPr/>
        <w:t>run</w:t>
      </w:r>
      <w:r>
        <w:rPr>
          <w:spacing w:val="-5"/>
        </w:rPr>
        <w:t> </w:t>
      </w:r>
      <w:r>
        <w:rPr/>
        <w:t>Results</w:t>
      </w:r>
      <w:r>
        <w:rPr>
          <w:spacing w:val="-2"/>
        </w:rPr>
        <w:t> </w:t>
      </w:r>
      <w:r>
        <w:rPr/>
        <w:t>for</w:t>
      </w:r>
      <w:r>
        <w:rPr>
          <w:spacing w:val="-3"/>
        </w:rPr>
        <w:t> </w:t>
      </w:r>
      <w:r>
        <w:rPr/>
        <w:t>Model</w:t>
      </w:r>
      <w:r>
        <w:rPr>
          <w:spacing w:val="-2"/>
        </w:rPr>
        <w:t> </w:t>
      </w:r>
      <w:r>
        <w:rPr>
          <w:spacing w:val="-5"/>
        </w:rPr>
        <w:t>1B</w:t>
      </w:r>
    </w:p>
    <w:p>
      <w:pPr>
        <w:spacing w:before="160"/>
        <w:ind w:left="780" w:right="0" w:firstLine="0"/>
        <w:jc w:val="both"/>
        <w:rPr>
          <w:b/>
          <w:sz w:val="28"/>
        </w:rPr>
      </w:pPr>
      <w:r>
        <w:rPr>
          <w:b/>
          <w:sz w:val="18"/>
        </w:rPr>
        <w:t>DEPENDENT</w:t>
      </w:r>
      <w:r>
        <w:rPr>
          <w:b/>
          <w:spacing w:val="-3"/>
          <w:sz w:val="18"/>
        </w:rPr>
        <w:t> </w:t>
      </w:r>
      <w:r>
        <w:rPr>
          <w:b/>
          <w:sz w:val="18"/>
        </w:rPr>
        <w:t>VARIABLE</w:t>
      </w:r>
      <w:r>
        <w:rPr>
          <w:b/>
          <w:spacing w:val="-3"/>
          <w:sz w:val="18"/>
        </w:rPr>
        <w:t> </w:t>
      </w:r>
      <w:r>
        <w:rPr>
          <w:b/>
          <w:sz w:val="18"/>
        </w:rPr>
        <w:t>=</w:t>
      </w:r>
      <w:r>
        <w:rPr>
          <w:b/>
          <w:spacing w:val="-2"/>
          <w:sz w:val="18"/>
        </w:rPr>
        <w:t> </w:t>
      </w:r>
      <w:r>
        <w:rPr>
          <w:b/>
          <w:sz w:val="18"/>
        </w:rPr>
        <w:t>KF</w:t>
      </w:r>
      <w:r>
        <w:rPr>
          <w:b/>
          <w:spacing w:val="22"/>
          <w:sz w:val="18"/>
        </w:rPr>
        <w:t> </w:t>
      </w:r>
      <w:r>
        <w:rPr>
          <w:b/>
          <w:sz w:val="28"/>
        </w:rPr>
        <w:t>(Morgan</w:t>
      </w:r>
      <w:r>
        <w:rPr>
          <w:b/>
          <w:spacing w:val="-4"/>
          <w:sz w:val="28"/>
        </w:rPr>
        <w:t> </w:t>
      </w:r>
      <w:r>
        <w:rPr>
          <w:b/>
          <w:sz w:val="28"/>
        </w:rPr>
        <w:t>Guaranty</w:t>
      </w:r>
      <w:r>
        <w:rPr>
          <w:b/>
          <w:spacing w:val="-3"/>
          <w:sz w:val="28"/>
        </w:rPr>
        <w:t> </w:t>
      </w:r>
      <w:r>
        <w:rPr>
          <w:b/>
          <w:sz w:val="28"/>
        </w:rPr>
        <w:t>Trust</w:t>
      </w:r>
      <w:r>
        <w:rPr>
          <w:b/>
          <w:spacing w:val="-4"/>
          <w:sz w:val="28"/>
        </w:rPr>
        <w:t> </w:t>
      </w:r>
      <w:r>
        <w:rPr>
          <w:b/>
          <w:sz w:val="28"/>
        </w:rPr>
        <w:t>(1986)</w:t>
      </w:r>
      <w:r>
        <w:rPr>
          <w:b/>
          <w:spacing w:val="-4"/>
          <w:sz w:val="28"/>
        </w:rPr>
        <w:t> </w:t>
      </w:r>
      <w:r>
        <w:rPr>
          <w:b/>
          <w:spacing w:val="-2"/>
          <w:sz w:val="28"/>
        </w:rPr>
        <w:t>approach)</w:t>
      </w:r>
    </w:p>
    <w:p>
      <w:pPr>
        <w:pStyle w:val="BodyText"/>
        <w:spacing w:before="11"/>
        <w:rPr>
          <w:b/>
          <w:sz w:val="13"/>
        </w:rPr>
      </w:pPr>
    </w:p>
    <w:tbl>
      <w:tblPr>
        <w:tblW w:w="0" w:type="auto"/>
        <w:jc w:val="left"/>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66"/>
        <w:gridCol w:w="2266"/>
        <w:gridCol w:w="2249"/>
        <w:gridCol w:w="2453"/>
        <w:gridCol w:w="1795"/>
      </w:tblGrid>
      <w:tr>
        <w:trPr>
          <w:trHeight w:val="2179" w:hRule="atLeast"/>
        </w:trPr>
        <w:tc>
          <w:tcPr>
            <w:tcW w:w="1966" w:type="dxa"/>
          </w:tcPr>
          <w:p>
            <w:pPr>
              <w:pStyle w:val="TableParagraph"/>
              <w:spacing w:before="251"/>
              <w:rPr>
                <w:b/>
                <w:sz w:val="24"/>
              </w:rPr>
            </w:pPr>
          </w:p>
          <w:p>
            <w:pPr>
              <w:pStyle w:val="TableParagraph"/>
              <w:spacing w:line="480" w:lineRule="auto"/>
              <w:ind w:left="105"/>
              <w:rPr>
                <w:rFonts w:ascii="Cambria"/>
                <w:b/>
                <w:sz w:val="24"/>
              </w:rPr>
            </w:pPr>
            <w:r>
              <w:rPr>
                <w:rFonts w:ascii="Cambria"/>
                <w:b/>
                <w:spacing w:val="-2"/>
                <w:sz w:val="24"/>
              </w:rPr>
              <w:t>INDEPENDENT VARIABLES</w:t>
            </w:r>
          </w:p>
        </w:tc>
        <w:tc>
          <w:tcPr>
            <w:tcW w:w="2266" w:type="dxa"/>
          </w:tcPr>
          <w:p>
            <w:pPr>
              <w:pStyle w:val="TableParagraph"/>
              <w:spacing w:before="251"/>
              <w:rPr>
                <w:b/>
                <w:sz w:val="24"/>
              </w:rPr>
            </w:pPr>
          </w:p>
          <w:p>
            <w:pPr>
              <w:pStyle w:val="TableParagraph"/>
              <w:tabs>
                <w:tab w:pos="1855" w:val="left" w:leader="none"/>
              </w:tabs>
              <w:spacing w:line="480" w:lineRule="auto"/>
              <w:ind w:left="105" w:right="98"/>
              <w:rPr>
                <w:rFonts w:ascii="Cambria"/>
                <w:b/>
                <w:sz w:val="24"/>
              </w:rPr>
            </w:pPr>
            <w:r>
              <w:rPr>
                <w:rFonts w:ascii="Cambria"/>
                <w:b/>
                <w:spacing w:val="-2"/>
                <w:sz w:val="24"/>
              </w:rPr>
              <w:t>COEFFICIENT</w:t>
            </w:r>
            <w:r>
              <w:rPr>
                <w:rFonts w:ascii="Cambria"/>
                <w:b/>
                <w:sz w:val="24"/>
              </w:rPr>
              <w:tab/>
            </w:r>
            <w:r>
              <w:rPr>
                <w:rFonts w:ascii="Cambria"/>
                <w:b/>
                <w:spacing w:val="-6"/>
                <w:sz w:val="24"/>
              </w:rPr>
              <w:t>OF </w:t>
            </w:r>
            <w:r>
              <w:rPr>
                <w:rFonts w:ascii="Cambria"/>
                <w:b/>
                <w:spacing w:val="-2"/>
                <w:sz w:val="24"/>
              </w:rPr>
              <w:t>ESTIMATES</w:t>
            </w:r>
          </w:p>
        </w:tc>
        <w:tc>
          <w:tcPr>
            <w:tcW w:w="2249" w:type="dxa"/>
          </w:tcPr>
          <w:p>
            <w:pPr>
              <w:pStyle w:val="TableParagraph"/>
              <w:rPr>
                <w:b/>
                <w:sz w:val="24"/>
              </w:rPr>
            </w:pPr>
          </w:p>
          <w:p>
            <w:pPr>
              <w:pStyle w:val="TableParagraph"/>
              <w:spacing w:before="257"/>
              <w:rPr>
                <w:b/>
                <w:sz w:val="24"/>
              </w:rPr>
            </w:pPr>
          </w:p>
          <w:p>
            <w:pPr>
              <w:pStyle w:val="TableParagraph"/>
              <w:ind w:left="105"/>
              <w:rPr>
                <w:rFonts w:ascii="Cambria"/>
                <w:b/>
                <w:sz w:val="24"/>
              </w:rPr>
            </w:pPr>
            <w:r>
              <w:rPr>
                <w:rFonts w:ascii="Cambria"/>
                <w:b/>
                <w:sz w:val="24"/>
              </w:rPr>
              <w:t>T- </w:t>
            </w:r>
            <w:r>
              <w:rPr>
                <w:rFonts w:ascii="Cambria"/>
                <w:b/>
                <w:spacing w:val="-2"/>
                <w:sz w:val="24"/>
              </w:rPr>
              <w:t>STATISTICS</w:t>
            </w:r>
          </w:p>
        </w:tc>
        <w:tc>
          <w:tcPr>
            <w:tcW w:w="2453" w:type="dxa"/>
          </w:tcPr>
          <w:p>
            <w:pPr>
              <w:pStyle w:val="TableParagraph"/>
              <w:spacing w:before="251"/>
              <w:rPr>
                <w:b/>
                <w:sz w:val="24"/>
              </w:rPr>
            </w:pPr>
          </w:p>
          <w:p>
            <w:pPr>
              <w:pStyle w:val="TableParagraph"/>
              <w:spacing w:line="480" w:lineRule="auto"/>
              <w:ind w:left="105" w:right="107"/>
              <w:rPr>
                <w:rFonts w:ascii="Cambria"/>
                <w:b/>
                <w:sz w:val="24"/>
              </w:rPr>
            </w:pPr>
            <w:r>
              <w:rPr>
                <w:rFonts w:ascii="Cambria"/>
                <w:b/>
                <w:spacing w:val="-2"/>
                <w:sz w:val="24"/>
              </w:rPr>
              <w:t>PROBABILITY VALUE</w:t>
            </w:r>
          </w:p>
        </w:tc>
        <w:tc>
          <w:tcPr>
            <w:tcW w:w="1795" w:type="dxa"/>
          </w:tcPr>
          <w:p>
            <w:pPr>
              <w:pStyle w:val="TableParagraph"/>
              <w:spacing w:before="2"/>
              <w:ind w:left="108"/>
              <w:rPr>
                <w:rFonts w:ascii="Cambria"/>
                <w:b/>
                <w:sz w:val="24"/>
              </w:rPr>
            </w:pPr>
            <w:r>
              <w:rPr>
                <w:rFonts w:ascii="Cambria"/>
                <w:b/>
                <w:spacing w:val="-2"/>
                <w:sz w:val="24"/>
              </w:rPr>
              <w:t>REMARKS</w:t>
            </w:r>
          </w:p>
        </w:tc>
      </w:tr>
      <w:tr>
        <w:trPr>
          <w:trHeight w:val="275" w:hRule="atLeast"/>
        </w:trPr>
        <w:tc>
          <w:tcPr>
            <w:tcW w:w="1966" w:type="dxa"/>
          </w:tcPr>
          <w:p>
            <w:pPr>
              <w:pStyle w:val="TableParagraph"/>
              <w:spacing w:line="229" w:lineRule="exact"/>
              <w:ind w:left="5" w:right="3"/>
              <w:jc w:val="center"/>
              <w:rPr>
                <w:rFonts w:ascii="Arial MT"/>
                <w:sz w:val="20"/>
              </w:rPr>
            </w:pPr>
            <w:r>
              <w:rPr>
                <w:rFonts w:ascii="Arial MT"/>
                <w:spacing w:val="-10"/>
                <w:sz w:val="20"/>
              </w:rPr>
              <w:t>C</w:t>
            </w:r>
          </w:p>
        </w:tc>
        <w:tc>
          <w:tcPr>
            <w:tcW w:w="2266" w:type="dxa"/>
          </w:tcPr>
          <w:p>
            <w:pPr>
              <w:pStyle w:val="TableParagraph"/>
              <w:ind w:right="98"/>
              <w:jc w:val="right"/>
              <w:rPr>
                <w:sz w:val="20"/>
              </w:rPr>
            </w:pPr>
            <w:r>
              <w:rPr>
                <w:spacing w:val="-2"/>
                <w:sz w:val="20"/>
              </w:rPr>
              <w:t>1.709477</w:t>
            </w:r>
          </w:p>
        </w:tc>
        <w:tc>
          <w:tcPr>
            <w:tcW w:w="2249" w:type="dxa"/>
          </w:tcPr>
          <w:p>
            <w:pPr>
              <w:pStyle w:val="TableParagraph"/>
              <w:ind w:right="98"/>
              <w:jc w:val="right"/>
              <w:rPr>
                <w:sz w:val="20"/>
              </w:rPr>
            </w:pPr>
            <w:r>
              <w:rPr>
                <w:spacing w:val="-2"/>
                <w:sz w:val="20"/>
              </w:rPr>
              <w:t>0.782754</w:t>
            </w:r>
          </w:p>
        </w:tc>
        <w:tc>
          <w:tcPr>
            <w:tcW w:w="2453" w:type="dxa"/>
          </w:tcPr>
          <w:p>
            <w:pPr>
              <w:pStyle w:val="TableParagraph"/>
              <w:ind w:right="97"/>
              <w:jc w:val="right"/>
              <w:rPr>
                <w:sz w:val="20"/>
              </w:rPr>
            </w:pPr>
            <w:r>
              <w:rPr>
                <w:spacing w:val="-2"/>
                <w:sz w:val="20"/>
              </w:rPr>
              <w:t>0.4395</w:t>
            </w:r>
          </w:p>
        </w:tc>
        <w:tc>
          <w:tcPr>
            <w:tcW w:w="1795" w:type="dxa"/>
          </w:tcPr>
          <w:p>
            <w:pPr>
              <w:pStyle w:val="TableParagraph"/>
              <w:spacing w:line="256" w:lineRule="exact"/>
              <w:ind w:right="96"/>
              <w:jc w:val="right"/>
              <w:rPr>
                <w:sz w:val="24"/>
              </w:rPr>
            </w:pPr>
            <w:r>
              <w:rPr>
                <w:spacing w:val="-2"/>
                <w:sz w:val="24"/>
              </w:rPr>
              <w:t>Insignificant</w:t>
            </w:r>
          </w:p>
        </w:tc>
      </w:tr>
      <w:tr>
        <w:trPr>
          <w:trHeight w:val="330" w:hRule="atLeast"/>
        </w:trPr>
        <w:tc>
          <w:tcPr>
            <w:tcW w:w="1966" w:type="dxa"/>
          </w:tcPr>
          <w:p>
            <w:pPr>
              <w:pStyle w:val="TableParagraph"/>
              <w:spacing w:line="281" w:lineRule="exact"/>
              <w:ind w:left="5" w:right="3"/>
              <w:jc w:val="center"/>
              <w:rPr>
                <w:rFonts w:ascii="Arial MT" w:hAnsi="Arial MT"/>
                <w:sz w:val="20"/>
              </w:rPr>
            </w:pPr>
            <w:r>
              <w:rPr>
                <w:rFonts w:ascii="Cambria" w:hAnsi="Cambria"/>
                <w:spacing w:val="-2"/>
                <w:sz w:val="24"/>
              </w:rPr>
              <w:t>δ</w:t>
            </w:r>
            <w:r>
              <w:rPr>
                <w:rFonts w:ascii="Arial MT" w:hAnsi="Arial MT"/>
                <w:spacing w:val="-2"/>
                <w:sz w:val="20"/>
              </w:rPr>
              <w:t>EXTDEBT</w:t>
            </w:r>
          </w:p>
        </w:tc>
        <w:tc>
          <w:tcPr>
            <w:tcW w:w="2266" w:type="dxa"/>
          </w:tcPr>
          <w:p>
            <w:pPr>
              <w:pStyle w:val="TableParagraph"/>
              <w:ind w:right="98"/>
              <w:jc w:val="right"/>
              <w:rPr>
                <w:sz w:val="20"/>
              </w:rPr>
            </w:pPr>
            <w:r>
              <w:rPr>
                <w:spacing w:val="-2"/>
                <w:sz w:val="20"/>
              </w:rPr>
              <w:t>0.230579</w:t>
            </w:r>
          </w:p>
        </w:tc>
        <w:tc>
          <w:tcPr>
            <w:tcW w:w="2249" w:type="dxa"/>
          </w:tcPr>
          <w:p>
            <w:pPr>
              <w:pStyle w:val="TableParagraph"/>
              <w:ind w:right="98"/>
              <w:jc w:val="right"/>
              <w:rPr>
                <w:sz w:val="20"/>
              </w:rPr>
            </w:pPr>
            <w:r>
              <w:rPr>
                <w:spacing w:val="-2"/>
                <w:sz w:val="20"/>
              </w:rPr>
              <w:t>2.010835</w:t>
            </w:r>
          </w:p>
        </w:tc>
        <w:tc>
          <w:tcPr>
            <w:tcW w:w="2453" w:type="dxa"/>
          </w:tcPr>
          <w:p>
            <w:pPr>
              <w:pStyle w:val="TableParagraph"/>
              <w:ind w:right="97"/>
              <w:jc w:val="right"/>
              <w:rPr>
                <w:sz w:val="20"/>
              </w:rPr>
            </w:pPr>
            <w:r>
              <w:rPr>
                <w:spacing w:val="-2"/>
                <w:sz w:val="20"/>
              </w:rPr>
              <w:t>0.0528</w:t>
            </w:r>
          </w:p>
        </w:tc>
        <w:tc>
          <w:tcPr>
            <w:tcW w:w="1795" w:type="dxa"/>
          </w:tcPr>
          <w:p>
            <w:pPr>
              <w:pStyle w:val="TableParagraph"/>
              <w:spacing w:line="275" w:lineRule="exact"/>
              <w:ind w:right="98"/>
              <w:jc w:val="right"/>
              <w:rPr>
                <w:sz w:val="24"/>
              </w:rPr>
            </w:pPr>
            <w:r>
              <w:rPr>
                <w:spacing w:val="-2"/>
                <w:sz w:val="24"/>
              </w:rPr>
              <w:t>Significant</w:t>
            </w:r>
          </w:p>
        </w:tc>
      </w:tr>
      <w:tr>
        <w:trPr>
          <w:trHeight w:val="342" w:hRule="atLeast"/>
        </w:trPr>
        <w:tc>
          <w:tcPr>
            <w:tcW w:w="1966" w:type="dxa"/>
          </w:tcPr>
          <w:p>
            <w:pPr>
              <w:pStyle w:val="TableParagraph"/>
              <w:spacing w:line="229" w:lineRule="exact"/>
              <w:ind w:left="5" w:right="2"/>
              <w:jc w:val="center"/>
              <w:rPr>
                <w:rFonts w:ascii="Arial MT"/>
                <w:sz w:val="20"/>
              </w:rPr>
            </w:pPr>
            <w:r>
              <w:rPr>
                <w:rFonts w:ascii="Arial MT"/>
                <w:spacing w:val="-5"/>
                <w:sz w:val="20"/>
              </w:rPr>
              <w:t>DOP</w:t>
            </w:r>
          </w:p>
        </w:tc>
        <w:tc>
          <w:tcPr>
            <w:tcW w:w="2266" w:type="dxa"/>
          </w:tcPr>
          <w:p>
            <w:pPr>
              <w:pStyle w:val="TableParagraph"/>
              <w:ind w:right="98"/>
              <w:jc w:val="right"/>
              <w:rPr>
                <w:sz w:val="20"/>
              </w:rPr>
            </w:pPr>
            <w:r>
              <w:rPr>
                <w:spacing w:val="-4"/>
                <w:sz w:val="20"/>
              </w:rPr>
              <w:t>-</w:t>
            </w:r>
            <w:r>
              <w:rPr>
                <w:spacing w:val="-2"/>
                <w:sz w:val="20"/>
              </w:rPr>
              <w:t>0.059823</w:t>
            </w:r>
          </w:p>
        </w:tc>
        <w:tc>
          <w:tcPr>
            <w:tcW w:w="2249" w:type="dxa"/>
          </w:tcPr>
          <w:p>
            <w:pPr>
              <w:pStyle w:val="TableParagraph"/>
              <w:ind w:right="98"/>
              <w:jc w:val="right"/>
              <w:rPr>
                <w:sz w:val="20"/>
              </w:rPr>
            </w:pPr>
            <w:r>
              <w:rPr>
                <w:spacing w:val="-4"/>
                <w:sz w:val="20"/>
              </w:rPr>
              <w:t>-</w:t>
            </w:r>
            <w:r>
              <w:rPr>
                <w:spacing w:val="-2"/>
                <w:sz w:val="20"/>
              </w:rPr>
              <w:t>0.067143</w:t>
            </w:r>
          </w:p>
        </w:tc>
        <w:tc>
          <w:tcPr>
            <w:tcW w:w="2453" w:type="dxa"/>
          </w:tcPr>
          <w:p>
            <w:pPr>
              <w:pStyle w:val="TableParagraph"/>
              <w:ind w:right="97"/>
              <w:jc w:val="right"/>
              <w:rPr>
                <w:sz w:val="20"/>
              </w:rPr>
            </w:pPr>
            <w:r>
              <w:rPr>
                <w:spacing w:val="-2"/>
                <w:sz w:val="20"/>
              </w:rPr>
              <w:t>0.9469</w:t>
            </w:r>
          </w:p>
        </w:tc>
        <w:tc>
          <w:tcPr>
            <w:tcW w:w="1795" w:type="dxa"/>
          </w:tcPr>
          <w:p>
            <w:pPr>
              <w:pStyle w:val="TableParagraph"/>
              <w:spacing w:before="1"/>
              <w:ind w:right="96"/>
              <w:jc w:val="right"/>
              <w:rPr>
                <w:sz w:val="24"/>
              </w:rPr>
            </w:pPr>
            <w:r>
              <w:rPr>
                <w:spacing w:val="-2"/>
                <w:sz w:val="24"/>
              </w:rPr>
              <w:t>Insignificant</w:t>
            </w:r>
          </w:p>
        </w:tc>
      </w:tr>
      <w:tr>
        <w:trPr>
          <w:trHeight w:val="350" w:hRule="atLeast"/>
        </w:trPr>
        <w:tc>
          <w:tcPr>
            <w:tcW w:w="1966" w:type="dxa"/>
          </w:tcPr>
          <w:p>
            <w:pPr>
              <w:pStyle w:val="TableParagraph"/>
              <w:spacing w:line="229" w:lineRule="exact"/>
              <w:ind w:left="5" w:right="3"/>
              <w:jc w:val="center"/>
              <w:rPr>
                <w:rFonts w:ascii="Arial MT"/>
                <w:sz w:val="20"/>
              </w:rPr>
            </w:pPr>
            <w:r>
              <w:rPr>
                <w:rFonts w:ascii="Arial MT"/>
                <w:spacing w:val="-5"/>
                <w:sz w:val="20"/>
              </w:rPr>
              <w:t>INF</w:t>
            </w:r>
          </w:p>
        </w:tc>
        <w:tc>
          <w:tcPr>
            <w:tcW w:w="2266" w:type="dxa"/>
          </w:tcPr>
          <w:p>
            <w:pPr>
              <w:pStyle w:val="TableParagraph"/>
              <w:ind w:right="98"/>
              <w:jc w:val="right"/>
              <w:rPr>
                <w:sz w:val="20"/>
              </w:rPr>
            </w:pPr>
            <w:r>
              <w:rPr>
                <w:spacing w:val="-4"/>
                <w:sz w:val="20"/>
              </w:rPr>
              <w:t>-</w:t>
            </w:r>
            <w:r>
              <w:rPr>
                <w:spacing w:val="-2"/>
                <w:sz w:val="20"/>
              </w:rPr>
              <w:t>0.084413</w:t>
            </w:r>
          </w:p>
        </w:tc>
        <w:tc>
          <w:tcPr>
            <w:tcW w:w="2249" w:type="dxa"/>
          </w:tcPr>
          <w:p>
            <w:pPr>
              <w:pStyle w:val="TableParagraph"/>
              <w:ind w:right="98"/>
              <w:jc w:val="right"/>
              <w:rPr>
                <w:sz w:val="20"/>
              </w:rPr>
            </w:pPr>
            <w:r>
              <w:rPr>
                <w:spacing w:val="-4"/>
                <w:sz w:val="20"/>
              </w:rPr>
              <w:t>-</w:t>
            </w:r>
            <w:r>
              <w:rPr>
                <w:spacing w:val="-2"/>
                <w:sz w:val="20"/>
              </w:rPr>
              <w:t>0.278443</w:t>
            </w:r>
          </w:p>
        </w:tc>
        <w:tc>
          <w:tcPr>
            <w:tcW w:w="2453" w:type="dxa"/>
          </w:tcPr>
          <w:p>
            <w:pPr>
              <w:pStyle w:val="TableParagraph"/>
              <w:ind w:right="97"/>
              <w:jc w:val="right"/>
              <w:rPr>
                <w:sz w:val="20"/>
              </w:rPr>
            </w:pPr>
            <w:r>
              <w:rPr>
                <w:spacing w:val="-2"/>
                <w:sz w:val="20"/>
              </w:rPr>
              <w:t>0.7825</w:t>
            </w:r>
          </w:p>
        </w:tc>
        <w:tc>
          <w:tcPr>
            <w:tcW w:w="1795" w:type="dxa"/>
          </w:tcPr>
          <w:p>
            <w:pPr>
              <w:pStyle w:val="TableParagraph"/>
              <w:spacing w:line="275" w:lineRule="exact"/>
              <w:ind w:right="96"/>
              <w:jc w:val="right"/>
              <w:rPr>
                <w:sz w:val="24"/>
              </w:rPr>
            </w:pPr>
            <w:r>
              <w:rPr>
                <w:spacing w:val="-2"/>
                <w:sz w:val="24"/>
              </w:rPr>
              <w:t>Insignificant</w:t>
            </w:r>
          </w:p>
        </w:tc>
      </w:tr>
      <w:tr>
        <w:trPr>
          <w:trHeight w:val="349" w:hRule="atLeast"/>
        </w:trPr>
        <w:tc>
          <w:tcPr>
            <w:tcW w:w="1966" w:type="dxa"/>
          </w:tcPr>
          <w:p>
            <w:pPr>
              <w:pStyle w:val="TableParagraph"/>
              <w:spacing w:line="229" w:lineRule="exact"/>
              <w:ind w:left="5" w:right="4"/>
              <w:jc w:val="center"/>
              <w:rPr>
                <w:rFonts w:ascii="Arial MT"/>
                <w:sz w:val="20"/>
              </w:rPr>
            </w:pPr>
            <w:r>
              <w:rPr>
                <w:rFonts w:ascii="Arial MT"/>
                <w:spacing w:val="-5"/>
                <w:sz w:val="20"/>
              </w:rPr>
              <w:t>GCF</w:t>
            </w:r>
          </w:p>
        </w:tc>
        <w:tc>
          <w:tcPr>
            <w:tcW w:w="2266" w:type="dxa"/>
          </w:tcPr>
          <w:p>
            <w:pPr>
              <w:pStyle w:val="TableParagraph"/>
              <w:ind w:right="98"/>
              <w:jc w:val="right"/>
              <w:rPr>
                <w:sz w:val="20"/>
              </w:rPr>
            </w:pPr>
            <w:r>
              <w:rPr>
                <w:spacing w:val="-4"/>
                <w:sz w:val="20"/>
              </w:rPr>
              <w:t>-</w:t>
            </w:r>
            <w:r>
              <w:rPr>
                <w:spacing w:val="-2"/>
                <w:sz w:val="20"/>
              </w:rPr>
              <w:t>0.023812</w:t>
            </w:r>
          </w:p>
        </w:tc>
        <w:tc>
          <w:tcPr>
            <w:tcW w:w="2249" w:type="dxa"/>
          </w:tcPr>
          <w:p>
            <w:pPr>
              <w:pStyle w:val="TableParagraph"/>
              <w:ind w:right="98"/>
              <w:jc w:val="right"/>
              <w:rPr>
                <w:sz w:val="20"/>
              </w:rPr>
            </w:pPr>
            <w:r>
              <w:rPr>
                <w:spacing w:val="-4"/>
                <w:sz w:val="20"/>
              </w:rPr>
              <w:t>-</w:t>
            </w:r>
            <w:r>
              <w:rPr>
                <w:spacing w:val="-2"/>
                <w:sz w:val="20"/>
              </w:rPr>
              <w:t>0.185293</w:t>
            </w:r>
          </w:p>
        </w:tc>
        <w:tc>
          <w:tcPr>
            <w:tcW w:w="2453" w:type="dxa"/>
          </w:tcPr>
          <w:p>
            <w:pPr>
              <w:pStyle w:val="TableParagraph"/>
              <w:ind w:right="97"/>
              <w:jc w:val="right"/>
              <w:rPr>
                <w:sz w:val="20"/>
              </w:rPr>
            </w:pPr>
            <w:r>
              <w:rPr>
                <w:spacing w:val="-2"/>
                <w:sz w:val="20"/>
              </w:rPr>
              <w:t>0.8542</w:t>
            </w:r>
          </w:p>
        </w:tc>
        <w:tc>
          <w:tcPr>
            <w:tcW w:w="1795" w:type="dxa"/>
          </w:tcPr>
          <w:p>
            <w:pPr>
              <w:pStyle w:val="TableParagraph"/>
              <w:spacing w:line="275" w:lineRule="exact"/>
              <w:ind w:right="96"/>
              <w:jc w:val="right"/>
              <w:rPr>
                <w:sz w:val="24"/>
              </w:rPr>
            </w:pPr>
            <w:r>
              <w:rPr>
                <w:spacing w:val="-2"/>
                <w:sz w:val="24"/>
              </w:rPr>
              <w:t>Insignificant</w:t>
            </w:r>
          </w:p>
        </w:tc>
      </w:tr>
      <w:tr>
        <w:trPr>
          <w:trHeight w:val="357" w:hRule="atLeast"/>
        </w:trPr>
        <w:tc>
          <w:tcPr>
            <w:tcW w:w="1966" w:type="dxa"/>
          </w:tcPr>
          <w:p>
            <w:pPr>
              <w:pStyle w:val="TableParagraph"/>
              <w:spacing w:line="229" w:lineRule="exact"/>
              <w:ind w:left="5" w:right="3"/>
              <w:jc w:val="center"/>
              <w:rPr>
                <w:rFonts w:ascii="Arial MT"/>
                <w:sz w:val="20"/>
              </w:rPr>
            </w:pPr>
            <w:r>
              <w:rPr>
                <w:rFonts w:ascii="Arial MT"/>
                <w:spacing w:val="-5"/>
                <w:sz w:val="20"/>
              </w:rPr>
              <w:t>DR</w:t>
            </w:r>
          </w:p>
        </w:tc>
        <w:tc>
          <w:tcPr>
            <w:tcW w:w="2266" w:type="dxa"/>
          </w:tcPr>
          <w:p>
            <w:pPr>
              <w:pStyle w:val="TableParagraph"/>
              <w:ind w:right="98"/>
              <w:jc w:val="right"/>
              <w:rPr>
                <w:sz w:val="20"/>
              </w:rPr>
            </w:pPr>
            <w:r>
              <w:rPr>
                <w:spacing w:val="-4"/>
                <w:sz w:val="20"/>
              </w:rPr>
              <w:t>-</w:t>
            </w:r>
            <w:r>
              <w:rPr>
                <w:spacing w:val="-2"/>
                <w:sz w:val="20"/>
              </w:rPr>
              <w:t>0.134784</w:t>
            </w:r>
          </w:p>
        </w:tc>
        <w:tc>
          <w:tcPr>
            <w:tcW w:w="2249" w:type="dxa"/>
          </w:tcPr>
          <w:p>
            <w:pPr>
              <w:pStyle w:val="TableParagraph"/>
              <w:ind w:right="98"/>
              <w:jc w:val="right"/>
              <w:rPr>
                <w:sz w:val="20"/>
              </w:rPr>
            </w:pPr>
            <w:r>
              <w:rPr>
                <w:spacing w:val="-4"/>
                <w:sz w:val="20"/>
              </w:rPr>
              <w:t>-</w:t>
            </w:r>
            <w:r>
              <w:rPr>
                <w:spacing w:val="-2"/>
                <w:sz w:val="20"/>
              </w:rPr>
              <w:t>0.277849</w:t>
            </w:r>
          </w:p>
        </w:tc>
        <w:tc>
          <w:tcPr>
            <w:tcW w:w="2453" w:type="dxa"/>
          </w:tcPr>
          <w:p>
            <w:pPr>
              <w:pStyle w:val="TableParagraph"/>
              <w:ind w:right="97"/>
              <w:jc w:val="right"/>
              <w:rPr>
                <w:sz w:val="20"/>
              </w:rPr>
            </w:pPr>
            <w:r>
              <w:rPr>
                <w:spacing w:val="-2"/>
                <w:sz w:val="20"/>
              </w:rPr>
              <w:t>0.7829</w:t>
            </w:r>
          </w:p>
        </w:tc>
        <w:tc>
          <w:tcPr>
            <w:tcW w:w="1795" w:type="dxa"/>
          </w:tcPr>
          <w:p>
            <w:pPr>
              <w:pStyle w:val="TableParagraph"/>
              <w:spacing w:line="275" w:lineRule="exact"/>
              <w:ind w:right="96"/>
              <w:jc w:val="right"/>
              <w:rPr>
                <w:sz w:val="24"/>
              </w:rPr>
            </w:pPr>
            <w:r>
              <w:rPr>
                <w:spacing w:val="-2"/>
                <w:sz w:val="24"/>
              </w:rPr>
              <w:t>Insignificant</w:t>
            </w:r>
          </w:p>
        </w:tc>
      </w:tr>
      <w:tr>
        <w:trPr>
          <w:trHeight w:val="360" w:hRule="atLeast"/>
        </w:trPr>
        <w:tc>
          <w:tcPr>
            <w:tcW w:w="1966" w:type="dxa"/>
          </w:tcPr>
          <w:p>
            <w:pPr>
              <w:pStyle w:val="TableParagraph"/>
              <w:ind w:left="5" w:right="3"/>
              <w:jc w:val="center"/>
              <w:rPr>
                <w:rFonts w:ascii="Arial MT"/>
                <w:sz w:val="20"/>
              </w:rPr>
            </w:pPr>
            <w:r>
              <w:rPr>
                <w:rFonts w:ascii="Arial MT"/>
                <w:spacing w:val="-2"/>
                <w:sz w:val="20"/>
              </w:rPr>
              <w:t>PRIVCR</w:t>
            </w:r>
          </w:p>
        </w:tc>
        <w:tc>
          <w:tcPr>
            <w:tcW w:w="2266" w:type="dxa"/>
          </w:tcPr>
          <w:p>
            <w:pPr>
              <w:pStyle w:val="TableParagraph"/>
              <w:spacing w:before="1"/>
              <w:ind w:right="98"/>
              <w:jc w:val="right"/>
              <w:rPr>
                <w:sz w:val="20"/>
              </w:rPr>
            </w:pPr>
            <w:r>
              <w:rPr>
                <w:spacing w:val="-4"/>
                <w:sz w:val="20"/>
              </w:rPr>
              <w:t>-</w:t>
            </w:r>
            <w:r>
              <w:rPr>
                <w:spacing w:val="-2"/>
                <w:sz w:val="20"/>
              </w:rPr>
              <w:t>0.042269</w:t>
            </w:r>
          </w:p>
        </w:tc>
        <w:tc>
          <w:tcPr>
            <w:tcW w:w="2249" w:type="dxa"/>
          </w:tcPr>
          <w:p>
            <w:pPr>
              <w:pStyle w:val="TableParagraph"/>
              <w:spacing w:before="1"/>
              <w:ind w:right="98"/>
              <w:jc w:val="right"/>
              <w:rPr>
                <w:sz w:val="20"/>
              </w:rPr>
            </w:pPr>
            <w:r>
              <w:rPr>
                <w:spacing w:val="-4"/>
                <w:sz w:val="20"/>
              </w:rPr>
              <w:t>-</w:t>
            </w:r>
            <w:r>
              <w:rPr>
                <w:spacing w:val="-2"/>
                <w:sz w:val="20"/>
              </w:rPr>
              <w:t>0.090286</w:t>
            </w:r>
          </w:p>
        </w:tc>
        <w:tc>
          <w:tcPr>
            <w:tcW w:w="2453" w:type="dxa"/>
          </w:tcPr>
          <w:p>
            <w:pPr>
              <w:pStyle w:val="TableParagraph"/>
              <w:spacing w:before="1"/>
              <w:ind w:right="97"/>
              <w:jc w:val="right"/>
              <w:rPr>
                <w:sz w:val="20"/>
              </w:rPr>
            </w:pPr>
            <w:r>
              <w:rPr>
                <w:spacing w:val="-2"/>
                <w:sz w:val="20"/>
              </w:rPr>
              <w:t>0.9286</w:t>
            </w:r>
          </w:p>
        </w:tc>
        <w:tc>
          <w:tcPr>
            <w:tcW w:w="1795" w:type="dxa"/>
          </w:tcPr>
          <w:p>
            <w:pPr>
              <w:pStyle w:val="TableParagraph"/>
              <w:spacing w:before="2"/>
              <w:ind w:right="96"/>
              <w:jc w:val="right"/>
              <w:rPr>
                <w:sz w:val="24"/>
              </w:rPr>
            </w:pPr>
            <w:r>
              <w:rPr>
                <w:spacing w:val="-2"/>
                <w:sz w:val="24"/>
              </w:rPr>
              <w:t>Insignificant</w:t>
            </w:r>
          </w:p>
        </w:tc>
      </w:tr>
      <w:tr>
        <w:trPr>
          <w:trHeight w:val="359" w:hRule="atLeast"/>
        </w:trPr>
        <w:tc>
          <w:tcPr>
            <w:tcW w:w="1966" w:type="dxa"/>
          </w:tcPr>
          <w:p>
            <w:pPr>
              <w:pStyle w:val="TableParagraph"/>
              <w:spacing w:line="229" w:lineRule="exact"/>
              <w:ind w:left="5" w:right="3"/>
              <w:jc w:val="center"/>
              <w:rPr>
                <w:rFonts w:ascii="Arial MT"/>
                <w:sz w:val="20"/>
              </w:rPr>
            </w:pPr>
            <w:r>
              <w:rPr>
                <w:rFonts w:ascii="Arial MT"/>
                <w:spacing w:val="-4"/>
                <w:sz w:val="20"/>
              </w:rPr>
              <w:t>USIRD</w:t>
            </w:r>
          </w:p>
        </w:tc>
        <w:tc>
          <w:tcPr>
            <w:tcW w:w="2266" w:type="dxa"/>
          </w:tcPr>
          <w:p>
            <w:pPr>
              <w:pStyle w:val="TableParagraph"/>
              <w:ind w:right="98"/>
              <w:jc w:val="right"/>
              <w:rPr>
                <w:sz w:val="20"/>
              </w:rPr>
            </w:pPr>
            <w:r>
              <w:rPr>
                <w:spacing w:val="-2"/>
                <w:sz w:val="20"/>
              </w:rPr>
              <w:t>0.008644</w:t>
            </w:r>
          </w:p>
        </w:tc>
        <w:tc>
          <w:tcPr>
            <w:tcW w:w="2249" w:type="dxa"/>
          </w:tcPr>
          <w:p>
            <w:pPr>
              <w:pStyle w:val="TableParagraph"/>
              <w:ind w:right="98"/>
              <w:jc w:val="right"/>
              <w:rPr>
                <w:sz w:val="20"/>
              </w:rPr>
            </w:pPr>
            <w:r>
              <w:rPr>
                <w:spacing w:val="-2"/>
                <w:sz w:val="20"/>
              </w:rPr>
              <w:t>0.028238</w:t>
            </w:r>
          </w:p>
        </w:tc>
        <w:tc>
          <w:tcPr>
            <w:tcW w:w="2453" w:type="dxa"/>
          </w:tcPr>
          <w:p>
            <w:pPr>
              <w:pStyle w:val="TableParagraph"/>
              <w:ind w:right="97"/>
              <w:jc w:val="right"/>
              <w:rPr>
                <w:sz w:val="20"/>
              </w:rPr>
            </w:pPr>
            <w:r>
              <w:rPr>
                <w:spacing w:val="-2"/>
                <w:sz w:val="20"/>
              </w:rPr>
              <w:t>0.9776</w:t>
            </w:r>
          </w:p>
        </w:tc>
        <w:tc>
          <w:tcPr>
            <w:tcW w:w="1795" w:type="dxa"/>
          </w:tcPr>
          <w:p>
            <w:pPr>
              <w:pStyle w:val="TableParagraph"/>
              <w:spacing w:line="275" w:lineRule="exact"/>
              <w:ind w:right="96"/>
              <w:jc w:val="right"/>
              <w:rPr>
                <w:sz w:val="24"/>
              </w:rPr>
            </w:pPr>
            <w:r>
              <w:rPr>
                <w:spacing w:val="-2"/>
                <w:sz w:val="24"/>
              </w:rPr>
              <w:t>Insignificant</w:t>
            </w:r>
          </w:p>
        </w:tc>
      </w:tr>
      <w:tr>
        <w:trPr>
          <w:trHeight w:val="359" w:hRule="atLeast"/>
        </w:trPr>
        <w:tc>
          <w:tcPr>
            <w:tcW w:w="1966" w:type="dxa"/>
          </w:tcPr>
          <w:p>
            <w:pPr>
              <w:pStyle w:val="TableParagraph"/>
              <w:spacing w:line="229" w:lineRule="exact"/>
              <w:ind w:left="5"/>
              <w:jc w:val="center"/>
              <w:rPr>
                <w:rFonts w:ascii="Arial MT"/>
                <w:sz w:val="20"/>
              </w:rPr>
            </w:pPr>
            <w:r>
              <w:rPr>
                <w:rFonts w:ascii="Arial MT"/>
                <w:spacing w:val="-4"/>
                <w:sz w:val="20"/>
              </w:rPr>
              <w:t>GOCE</w:t>
            </w:r>
          </w:p>
        </w:tc>
        <w:tc>
          <w:tcPr>
            <w:tcW w:w="2266" w:type="dxa"/>
          </w:tcPr>
          <w:p>
            <w:pPr>
              <w:pStyle w:val="TableParagraph"/>
              <w:ind w:right="98"/>
              <w:jc w:val="right"/>
              <w:rPr>
                <w:sz w:val="20"/>
              </w:rPr>
            </w:pPr>
            <w:r>
              <w:rPr>
                <w:spacing w:val="-2"/>
                <w:sz w:val="20"/>
              </w:rPr>
              <w:t>0.764468</w:t>
            </w:r>
          </w:p>
        </w:tc>
        <w:tc>
          <w:tcPr>
            <w:tcW w:w="2249" w:type="dxa"/>
          </w:tcPr>
          <w:p>
            <w:pPr>
              <w:pStyle w:val="TableParagraph"/>
              <w:ind w:right="98"/>
              <w:jc w:val="right"/>
              <w:rPr>
                <w:sz w:val="20"/>
              </w:rPr>
            </w:pPr>
            <w:r>
              <w:rPr>
                <w:spacing w:val="-2"/>
                <w:sz w:val="20"/>
              </w:rPr>
              <w:t>1.305894</w:t>
            </w:r>
          </w:p>
        </w:tc>
        <w:tc>
          <w:tcPr>
            <w:tcW w:w="2453" w:type="dxa"/>
          </w:tcPr>
          <w:p>
            <w:pPr>
              <w:pStyle w:val="TableParagraph"/>
              <w:ind w:right="97"/>
              <w:jc w:val="right"/>
              <w:rPr>
                <w:sz w:val="20"/>
              </w:rPr>
            </w:pPr>
            <w:r>
              <w:rPr>
                <w:spacing w:val="-2"/>
                <w:sz w:val="20"/>
              </w:rPr>
              <w:t>0.2009</w:t>
            </w:r>
          </w:p>
        </w:tc>
        <w:tc>
          <w:tcPr>
            <w:tcW w:w="1795" w:type="dxa"/>
          </w:tcPr>
          <w:p>
            <w:pPr>
              <w:pStyle w:val="TableParagraph"/>
              <w:spacing w:line="275" w:lineRule="exact"/>
              <w:ind w:right="96"/>
              <w:jc w:val="right"/>
              <w:rPr>
                <w:sz w:val="24"/>
              </w:rPr>
            </w:pPr>
            <w:r>
              <w:rPr>
                <w:spacing w:val="-2"/>
                <w:sz w:val="24"/>
              </w:rPr>
              <w:t>Insignificant</w:t>
            </w:r>
          </w:p>
        </w:tc>
      </w:tr>
    </w:tbl>
    <w:tbl>
      <w:tblPr>
        <w:tblW w:w="0" w:type="auto"/>
        <w:jc w:val="left"/>
        <w:tblInd w:w="5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73"/>
        <w:gridCol w:w="2048"/>
        <w:gridCol w:w="3024"/>
        <w:gridCol w:w="1797"/>
      </w:tblGrid>
      <w:tr>
        <w:trPr>
          <w:trHeight w:val="270" w:hRule="atLeast"/>
        </w:trPr>
        <w:tc>
          <w:tcPr>
            <w:tcW w:w="2873" w:type="dxa"/>
          </w:tcPr>
          <w:p>
            <w:pPr>
              <w:pStyle w:val="TableParagraph"/>
              <w:spacing w:line="251" w:lineRule="exact"/>
              <w:ind w:left="43"/>
              <w:rPr>
                <w:sz w:val="24"/>
              </w:rPr>
            </w:pPr>
            <w:r>
              <w:rPr>
                <w:spacing w:val="-2"/>
                <w:sz w:val="24"/>
              </w:rPr>
              <w:t>R-squared</w:t>
            </w:r>
          </w:p>
        </w:tc>
        <w:tc>
          <w:tcPr>
            <w:tcW w:w="2048" w:type="dxa"/>
          </w:tcPr>
          <w:p>
            <w:pPr>
              <w:pStyle w:val="TableParagraph"/>
              <w:spacing w:line="251" w:lineRule="exact"/>
              <w:ind w:right="146"/>
              <w:jc w:val="right"/>
              <w:rPr>
                <w:sz w:val="24"/>
              </w:rPr>
            </w:pPr>
            <w:r>
              <w:rPr>
                <w:spacing w:val="-2"/>
                <w:sz w:val="24"/>
              </w:rPr>
              <w:t>0.881447</w:t>
            </w:r>
          </w:p>
        </w:tc>
        <w:tc>
          <w:tcPr>
            <w:tcW w:w="3024" w:type="dxa"/>
          </w:tcPr>
          <w:p>
            <w:pPr>
              <w:pStyle w:val="TableParagraph"/>
              <w:spacing w:line="251" w:lineRule="exact"/>
              <w:ind w:left="151"/>
              <w:rPr>
                <w:sz w:val="24"/>
              </w:rPr>
            </w:pPr>
            <w:r>
              <w:rPr>
                <w:sz w:val="24"/>
              </w:rPr>
              <w:t>Mean</w:t>
            </w:r>
            <w:r>
              <w:rPr>
                <w:spacing w:val="-2"/>
                <w:sz w:val="24"/>
              </w:rPr>
              <w:t> </w:t>
            </w:r>
            <w:r>
              <w:rPr>
                <w:sz w:val="24"/>
              </w:rPr>
              <w:t>dependent</w:t>
            </w:r>
            <w:r>
              <w:rPr>
                <w:spacing w:val="-1"/>
                <w:sz w:val="24"/>
              </w:rPr>
              <w:t> </w:t>
            </w:r>
            <w:r>
              <w:rPr>
                <w:spacing w:val="-5"/>
                <w:sz w:val="24"/>
              </w:rPr>
              <w:t>var</w:t>
            </w:r>
          </w:p>
        </w:tc>
        <w:tc>
          <w:tcPr>
            <w:tcW w:w="1797" w:type="dxa"/>
          </w:tcPr>
          <w:p>
            <w:pPr>
              <w:pStyle w:val="TableParagraph"/>
              <w:spacing w:line="251" w:lineRule="exact"/>
              <w:ind w:right="31"/>
              <w:jc w:val="right"/>
              <w:rPr>
                <w:sz w:val="24"/>
              </w:rPr>
            </w:pPr>
            <w:r>
              <w:rPr>
                <w:spacing w:val="-2"/>
                <w:sz w:val="24"/>
              </w:rPr>
              <w:t>10.98126</w:t>
            </w:r>
          </w:p>
        </w:tc>
      </w:tr>
      <w:tr>
        <w:trPr>
          <w:trHeight w:val="276" w:hRule="atLeast"/>
        </w:trPr>
        <w:tc>
          <w:tcPr>
            <w:tcW w:w="2873" w:type="dxa"/>
          </w:tcPr>
          <w:p>
            <w:pPr>
              <w:pStyle w:val="TableParagraph"/>
              <w:spacing w:line="256" w:lineRule="exact"/>
              <w:ind w:left="43"/>
              <w:rPr>
                <w:sz w:val="24"/>
              </w:rPr>
            </w:pPr>
            <w:r>
              <w:rPr>
                <w:sz w:val="24"/>
              </w:rPr>
              <w:t>Adjusted</w:t>
            </w:r>
            <w:r>
              <w:rPr>
                <w:spacing w:val="-1"/>
                <w:sz w:val="24"/>
              </w:rPr>
              <w:t> </w:t>
            </w:r>
            <w:r>
              <w:rPr>
                <w:sz w:val="24"/>
              </w:rPr>
              <w:t>R-</w:t>
            </w:r>
            <w:r>
              <w:rPr>
                <w:spacing w:val="-2"/>
                <w:sz w:val="24"/>
              </w:rPr>
              <w:t>squared</w:t>
            </w:r>
          </w:p>
        </w:tc>
        <w:tc>
          <w:tcPr>
            <w:tcW w:w="2048" w:type="dxa"/>
          </w:tcPr>
          <w:p>
            <w:pPr>
              <w:pStyle w:val="TableParagraph"/>
              <w:spacing w:line="256" w:lineRule="exact"/>
              <w:ind w:right="146"/>
              <w:jc w:val="right"/>
              <w:rPr>
                <w:sz w:val="24"/>
              </w:rPr>
            </w:pPr>
            <w:r>
              <w:rPr>
                <w:spacing w:val="-2"/>
                <w:sz w:val="24"/>
              </w:rPr>
              <w:t>0.851809</w:t>
            </w:r>
          </w:p>
        </w:tc>
        <w:tc>
          <w:tcPr>
            <w:tcW w:w="3024" w:type="dxa"/>
          </w:tcPr>
          <w:p>
            <w:pPr>
              <w:pStyle w:val="TableParagraph"/>
              <w:spacing w:line="256" w:lineRule="exact"/>
              <w:ind w:left="151"/>
              <w:rPr>
                <w:sz w:val="24"/>
              </w:rPr>
            </w:pPr>
            <w:r>
              <w:rPr>
                <w:sz w:val="24"/>
              </w:rPr>
              <w:t>S.D.</w:t>
            </w:r>
            <w:r>
              <w:rPr>
                <w:spacing w:val="-4"/>
                <w:sz w:val="24"/>
              </w:rPr>
              <w:t> </w:t>
            </w:r>
            <w:r>
              <w:rPr>
                <w:sz w:val="24"/>
              </w:rPr>
              <w:t>dependent</w:t>
            </w:r>
            <w:r>
              <w:rPr>
                <w:spacing w:val="-2"/>
                <w:sz w:val="24"/>
              </w:rPr>
              <w:t> </w:t>
            </w:r>
            <w:r>
              <w:rPr>
                <w:spacing w:val="-5"/>
                <w:sz w:val="24"/>
              </w:rPr>
              <w:t>var</w:t>
            </w:r>
          </w:p>
        </w:tc>
        <w:tc>
          <w:tcPr>
            <w:tcW w:w="1797" w:type="dxa"/>
          </w:tcPr>
          <w:p>
            <w:pPr>
              <w:pStyle w:val="TableParagraph"/>
              <w:spacing w:line="256" w:lineRule="exact"/>
              <w:ind w:right="31"/>
              <w:jc w:val="right"/>
              <w:rPr>
                <w:sz w:val="24"/>
              </w:rPr>
            </w:pPr>
            <w:r>
              <w:rPr>
                <w:spacing w:val="-2"/>
                <w:sz w:val="24"/>
              </w:rPr>
              <w:t>2.885465</w:t>
            </w:r>
          </w:p>
        </w:tc>
      </w:tr>
      <w:tr>
        <w:trPr>
          <w:trHeight w:val="275" w:hRule="atLeast"/>
        </w:trPr>
        <w:tc>
          <w:tcPr>
            <w:tcW w:w="2873" w:type="dxa"/>
          </w:tcPr>
          <w:p>
            <w:pPr>
              <w:pStyle w:val="TableParagraph"/>
              <w:spacing w:line="256" w:lineRule="exact"/>
              <w:ind w:left="43"/>
              <w:rPr>
                <w:sz w:val="24"/>
              </w:rPr>
            </w:pPr>
            <w:r>
              <w:rPr>
                <w:sz w:val="24"/>
              </w:rPr>
              <w:t>S.E. of</w:t>
            </w:r>
            <w:r>
              <w:rPr>
                <w:spacing w:val="-1"/>
                <w:sz w:val="24"/>
              </w:rPr>
              <w:t> </w:t>
            </w:r>
            <w:r>
              <w:rPr>
                <w:spacing w:val="-2"/>
                <w:sz w:val="24"/>
              </w:rPr>
              <w:t>regression</w:t>
            </w:r>
          </w:p>
        </w:tc>
        <w:tc>
          <w:tcPr>
            <w:tcW w:w="2048" w:type="dxa"/>
          </w:tcPr>
          <w:p>
            <w:pPr>
              <w:pStyle w:val="TableParagraph"/>
              <w:spacing w:line="256" w:lineRule="exact"/>
              <w:ind w:right="146"/>
              <w:jc w:val="right"/>
              <w:rPr>
                <w:sz w:val="24"/>
              </w:rPr>
            </w:pPr>
            <w:r>
              <w:rPr>
                <w:spacing w:val="-2"/>
                <w:sz w:val="24"/>
              </w:rPr>
              <w:t>1.110778</w:t>
            </w:r>
          </w:p>
        </w:tc>
        <w:tc>
          <w:tcPr>
            <w:tcW w:w="3024" w:type="dxa"/>
          </w:tcPr>
          <w:p>
            <w:pPr>
              <w:pStyle w:val="TableParagraph"/>
              <w:spacing w:line="256" w:lineRule="exact"/>
              <w:ind w:left="151"/>
              <w:rPr>
                <w:sz w:val="24"/>
              </w:rPr>
            </w:pPr>
            <w:r>
              <w:rPr>
                <w:sz w:val="24"/>
              </w:rPr>
              <w:t>Akaike</w:t>
            </w:r>
            <w:r>
              <w:rPr>
                <w:spacing w:val="-4"/>
                <w:sz w:val="24"/>
              </w:rPr>
              <w:t> </w:t>
            </w:r>
            <w:r>
              <w:rPr>
                <w:sz w:val="24"/>
              </w:rPr>
              <w:t>info</w:t>
            </w:r>
            <w:r>
              <w:rPr>
                <w:spacing w:val="-1"/>
                <w:sz w:val="24"/>
              </w:rPr>
              <w:t> </w:t>
            </w:r>
            <w:r>
              <w:rPr>
                <w:spacing w:val="-2"/>
                <w:sz w:val="24"/>
              </w:rPr>
              <w:t>criterion</w:t>
            </w:r>
          </w:p>
        </w:tc>
        <w:tc>
          <w:tcPr>
            <w:tcW w:w="1797" w:type="dxa"/>
          </w:tcPr>
          <w:p>
            <w:pPr>
              <w:pStyle w:val="TableParagraph"/>
              <w:spacing w:line="256" w:lineRule="exact"/>
              <w:ind w:right="31"/>
              <w:jc w:val="right"/>
              <w:rPr>
                <w:sz w:val="24"/>
              </w:rPr>
            </w:pPr>
            <w:r>
              <w:rPr>
                <w:spacing w:val="-2"/>
                <w:sz w:val="24"/>
              </w:rPr>
              <w:t>3.239186</w:t>
            </w:r>
          </w:p>
        </w:tc>
      </w:tr>
      <w:tr>
        <w:trPr>
          <w:trHeight w:val="276" w:hRule="atLeast"/>
        </w:trPr>
        <w:tc>
          <w:tcPr>
            <w:tcW w:w="2873" w:type="dxa"/>
          </w:tcPr>
          <w:p>
            <w:pPr>
              <w:pStyle w:val="TableParagraph"/>
              <w:spacing w:line="256" w:lineRule="exact"/>
              <w:ind w:left="43"/>
              <w:rPr>
                <w:sz w:val="24"/>
              </w:rPr>
            </w:pPr>
            <w:r>
              <w:rPr>
                <w:sz w:val="24"/>
              </w:rPr>
              <w:t>Sum</w:t>
            </w:r>
            <w:r>
              <w:rPr>
                <w:spacing w:val="-2"/>
                <w:sz w:val="24"/>
              </w:rPr>
              <w:t> </w:t>
            </w:r>
            <w:r>
              <w:rPr>
                <w:sz w:val="24"/>
              </w:rPr>
              <w:t>squared</w:t>
            </w:r>
            <w:r>
              <w:rPr>
                <w:spacing w:val="-1"/>
                <w:sz w:val="24"/>
              </w:rPr>
              <w:t> </w:t>
            </w:r>
            <w:r>
              <w:rPr>
                <w:spacing w:val="-4"/>
                <w:sz w:val="24"/>
              </w:rPr>
              <w:t>resid</w:t>
            </w:r>
          </w:p>
        </w:tc>
        <w:tc>
          <w:tcPr>
            <w:tcW w:w="2048" w:type="dxa"/>
          </w:tcPr>
          <w:p>
            <w:pPr>
              <w:pStyle w:val="TableParagraph"/>
              <w:spacing w:line="256" w:lineRule="exact"/>
              <w:ind w:right="146"/>
              <w:jc w:val="right"/>
              <w:rPr>
                <w:sz w:val="24"/>
              </w:rPr>
            </w:pPr>
            <w:r>
              <w:rPr>
                <w:spacing w:val="-2"/>
                <w:sz w:val="24"/>
              </w:rPr>
              <w:t>39.48248</w:t>
            </w:r>
          </w:p>
        </w:tc>
        <w:tc>
          <w:tcPr>
            <w:tcW w:w="3024" w:type="dxa"/>
          </w:tcPr>
          <w:p>
            <w:pPr>
              <w:pStyle w:val="TableParagraph"/>
              <w:spacing w:line="256" w:lineRule="exact"/>
              <w:ind w:left="151"/>
              <w:rPr>
                <w:sz w:val="24"/>
              </w:rPr>
            </w:pPr>
            <w:r>
              <w:rPr>
                <w:sz w:val="24"/>
              </w:rPr>
              <w:t>Schwarz</w:t>
            </w:r>
            <w:r>
              <w:rPr>
                <w:spacing w:val="-5"/>
                <w:sz w:val="24"/>
              </w:rPr>
              <w:t> </w:t>
            </w:r>
            <w:r>
              <w:rPr>
                <w:spacing w:val="-2"/>
                <w:sz w:val="24"/>
              </w:rPr>
              <w:t>criterion</w:t>
            </w:r>
          </w:p>
        </w:tc>
        <w:tc>
          <w:tcPr>
            <w:tcW w:w="1797" w:type="dxa"/>
          </w:tcPr>
          <w:p>
            <w:pPr>
              <w:pStyle w:val="TableParagraph"/>
              <w:spacing w:line="256" w:lineRule="exact"/>
              <w:ind w:right="31"/>
              <w:jc w:val="right"/>
              <w:rPr>
                <w:sz w:val="24"/>
              </w:rPr>
            </w:pPr>
            <w:r>
              <w:rPr>
                <w:spacing w:val="-2"/>
                <w:sz w:val="24"/>
              </w:rPr>
              <w:t>3.615336</w:t>
            </w:r>
          </w:p>
        </w:tc>
      </w:tr>
      <w:tr>
        <w:trPr>
          <w:trHeight w:val="275" w:hRule="atLeast"/>
        </w:trPr>
        <w:tc>
          <w:tcPr>
            <w:tcW w:w="2873" w:type="dxa"/>
          </w:tcPr>
          <w:p>
            <w:pPr>
              <w:pStyle w:val="TableParagraph"/>
              <w:spacing w:line="256" w:lineRule="exact"/>
              <w:ind w:left="43"/>
              <w:rPr>
                <w:sz w:val="24"/>
              </w:rPr>
            </w:pPr>
            <w:r>
              <w:rPr>
                <w:sz w:val="24"/>
              </w:rPr>
              <w:t>Log</w:t>
            </w:r>
            <w:r>
              <w:rPr>
                <w:spacing w:val="-4"/>
                <w:sz w:val="24"/>
              </w:rPr>
              <w:t> </w:t>
            </w:r>
            <w:r>
              <w:rPr>
                <w:spacing w:val="-2"/>
                <w:sz w:val="24"/>
              </w:rPr>
              <w:t>likelihood</w:t>
            </w:r>
          </w:p>
        </w:tc>
        <w:tc>
          <w:tcPr>
            <w:tcW w:w="2048" w:type="dxa"/>
          </w:tcPr>
          <w:p>
            <w:pPr>
              <w:pStyle w:val="TableParagraph"/>
              <w:spacing w:line="256" w:lineRule="exact"/>
              <w:ind w:right="146"/>
              <w:jc w:val="right"/>
              <w:rPr>
                <w:sz w:val="24"/>
              </w:rPr>
            </w:pPr>
            <w:r>
              <w:rPr>
                <w:spacing w:val="-2"/>
                <w:sz w:val="24"/>
              </w:rPr>
              <w:t>-57.40332</w:t>
            </w:r>
          </w:p>
        </w:tc>
        <w:tc>
          <w:tcPr>
            <w:tcW w:w="3024" w:type="dxa"/>
          </w:tcPr>
          <w:p>
            <w:pPr>
              <w:pStyle w:val="TableParagraph"/>
              <w:spacing w:line="256" w:lineRule="exact"/>
              <w:ind w:left="151"/>
              <w:rPr>
                <w:sz w:val="24"/>
              </w:rPr>
            </w:pPr>
            <w:r>
              <w:rPr>
                <w:spacing w:val="-2"/>
                <w:sz w:val="24"/>
              </w:rPr>
              <w:t>F-statistic</w:t>
            </w:r>
          </w:p>
        </w:tc>
        <w:tc>
          <w:tcPr>
            <w:tcW w:w="1797" w:type="dxa"/>
          </w:tcPr>
          <w:p>
            <w:pPr>
              <w:pStyle w:val="TableParagraph"/>
              <w:spacing w:line="256" w:lineRule="exact"/>
              <w:ind w:right="31"/>
              <w:jc w:val="right"/>
              <w:rPr>
                <w:sz w:val="24"/>
              </w:rPr>
            </w:pPr>
            <w:r>
              <w:rPr>
                <w:spacing w:val="-2"/>
                <w:sz w:val="24"/>
              </w:rPr>
              <w:t>29.74016</w:t>
            </w:r>
          </w:p>
        </w:tc>
      </w:tr>
      <w:tr>
        <w:trPr>
          <w:trHeight w:val="311" w:hRule="atLeast"/>
        </w:trPr>
        <w:tc>
          <w:tcPr>
            <w:tcW w:w="2873" w:type="dxa"/>
            <w:tcBorders>
              <w:bottom w:val="double" w:sz="6" w:space="0" w:color="000000"/>
            </w:tcBorders>
          </w:tcPr>
          <w:p>
            <w:pPr>
              <w:pStyle w:val="TableParagraph"/>
              <w:spacing w:line="271" w:lineRule="exact"/>
              <w:ind w:left="43"/>
              <w:rPr>
                <w:sz w:val="24"/>
              </w:rPr>
            </w:pPr>
            <w:r>
              <w:rPr>
                <w:sz w:val="24"/>
              </w:rPr>
              <w:t>Durbin-Watson</w:t>
            </w:r>
            <w:r>
              <w:rPr>
                <w:spacing w:val="-3"/>
                <w:sz w:val="24"/>
              </w:rPr>
              <w:t> </w:t>
            </w:r>
            <w:r>
              <w:rPr>
                <w:spacing w:val="-4"/>
                <w:sz w:val="24"/>
              </w:rPr>
              <w:t>stat</w:t>
            </w:r>
          </w:p>
        </w:tc>
        <w:tc>
          <w:tcPr>
            <w:tcW w:w="2048" w:type="dxa"/>
          </w:tcPr>
          <w:p>
            <w:pPr>
              <w:pStyle w:val="TableParagraph"/>
              <w:spacing w:line="271" w:lineRule="exact"/>
              <w:ind w:right="146"/>
              <w:jc w:val="right"/>
              <w:rPr>
                <w:sz w:val="24"/>
              </w:rPr>
            </w:pPr>
            <w:r>
              <w:rPr>
                <w:spacing w:val="-2"/>
                <w:sz w:val="24"/>
              </w:rPr>
              <w:t>1.482398</w:t>
            </w:r>
          </w:p>
        </w:tc>
        <w:tc>
          <w:tcPr>
            <w:tcW w:w="3024" w:type="dxa"/>
            <w:tcBorders>
              <w:bottom w:val="double" w:sz="6" w:space="0" w:color="000000"/>
            </w:tcBorders>
          </w:tcPr>
          <w:p>
            <w:pPr>
              <w:pStyle w:val="TableParagraph"/>
              <w:spacing w:line="271" w:lineRule="exact"/>
              <w:ind w:left="151"/>
              <w:rPr>
                <w:sz w:val="24"/>
              </w:rPr>
            </w:pPr>
            <w:r>
              <w:rPr>
                <w:spacing w:val="-2"/>
                <w:sz w:val="24"/>
              </w:rPr>
              <w:t>Prob(F-statistic)</w:t>
            </w:r>
          </w:p>
        </w:tc>
        <w:tc>
          <w:tcPr>
            <w:tcW w:w="1797" w:type="dxa"/>
          </w:tcPr>
          <w:p>
            <w:pPr>
              <w:pStyle w:val="TableParagraph"/>
              <w:spacing w:line="271" w:lineRule="exact"/>
              <w:ind w:right="31"/>
              <w:jc w:val="right"/>
              <w:rPr>
                <w:sz w:val="24"/>
              </w:rPr>
            </w:pPr>
            <w:r>
              <w:rPr>
                <w:spacing w:val="-2"/>
                <w:sz w:val="24"/>
              </w:rPr>
              <w:t>0.000000</w:t>
            </w:r>
          </w:p>
        </w:tc>
      </w:tr>
    </w:tbl>
    <w:p>
      <w:pPr>
        <w:pStyle w:val="BodyText"/>
        <w:spacing w:before="15"/>
        <w:ind w:left="1431"/>
      </w:pPr>
      <w:r>
        <w:rPr>
          <w:b/>
        </w:rPr>
        <w:t>Source:</w:t>
      </w:r>
      <w:r>
        <w:rPr>
          <w:b/>
          <w:spacing w:val="-3"/>
        </w:rPr>
        <w:t> </w:t>
      </w:r>
      <w:r>
        <w:rPr/>
        <w:t>Computation,</w:t>
      </w:r>
      <w:r>
        <w:rPr>
          <w:spacing w:val="-1"/>
        </w:rPr>
        <w:t> </w:t>
      </w:r>
      <w:r>
        <w:rPr/>
        <w:t>using</w:t>
      </w:r>
      <w:r>
        <w:rPr>
          <w:spacing w:val="-4"/>
        </w:rPr>
        <w:t> </w:t>
      </w:r>
      <w:r>
        <w:rPr/>
        <w:t>E-view</w:t>
      </w:r>
      <w:r>
        <w:rPr>
          <w:spacing w:val="-1"/>
        </w:rPr>
        <w:t> </w:t>
      </w:r>
      <w:r>
        <w:rPr/>
        <w:t>statistical</w:t>
      </w:r>
      <w:r>
        <w:rPr>
          <w:spacing w:val="-1"/>
        </w:rPr>
        <w:t> </w:t>
      </w:r>
      <w:r>
        <w:rPr>
          <w:spacing w:val="-2"/>
        </w:rPr>
        <w:t>package</w:t>
      </w:r>
    </w:p>
    <w:p>
      <w:pPr>
        <w:spacing w:after="0"/>
        <w:sectPr>
          <w:pgSz w:w="11910" w:h="16840"/>
          <w:pgMar w:header="0" w:footer="979" w:top="1360" w:bottom="1240" w:left="280" w:right="0"/>
        </w:sectPr>
      </w:pPr>
    </w:p>
    <w:p>
      <w:pPr>
        <w:pStyle w:val="BodyText"/>
        <w:spacing w:line="480" w:lineRule="auto" w:before="81"/>
        <w:ind w:left="711" w:right="478"/>
        <w:jc w:val="both"/>
        <w:rPr>
          <w:rFonts w:ascii="Cambria"/>
        </w:rPr>
      </w:pPr>
      <w:r>
        <w:rPr>
          <w:rFonts w:ascii="Cambria"/>
        </w:rPr>
        <w:t>The short-run relationship between capital flight and the explanatory variable can be expressed mathematically below:</w:t>
      </w:r>
    </w:p>
    <w:p>
      <w:pPr>
        <w:spacing w:before="0"/>
        <w:ind w:left="711" w:right="0" w:firstLine="0"/>
        <w:jc w:val="both"/>
        <w:rPr>
          <w:rFonts w:ascii="Cambria" w:hAnsi="Cambria"/>
          <w:b/>
          <w:i/>
          <w:sz w:val="16"/>
        </w:rPr>
      </w:pPr>
      <w:r>
        <w:rPr>
          <w:rFonts w:ascii="Cambria" w:hAnsi="Cambria"/>
          <w:b/>
          <w:i/>
          <w:position w:val="1"/>
          <w:sz w:val="24"/>
        </w:rPr>
        <w:t>KFM</w:t>
      </w:r>
      <w:r>
        <w:rPr>
          <w:rFonts w:ascii="Cambria" w:hAnsi="Cambria"/>
          <w:b/>
          <w:i/>
          <w:spacing w:val="69"/>
          <w:w w:val="150"/>
          <w:position w:val="1"/>
          <w:sz w:val="24"/>
        </w:rPr>
        <w:t> </w:t>
      </w:r>
      <w:r>
        <w:rPr>
          <w:rFonts w:ascii="Cambria" w:hAnsi="Cambria"/>
          <w:b/>
          <w:i/>
          <w:position w:val="1"/>
          <w:sz w:val="24"/>
        </w:rPr>
        <w:t>=</w:t>
      </w:r>
      <w:r>
        <w:rPr>
          <w:rFonts w:ascii="Cambria" w:hAnsi="Cambria"/>
          <w:b/>
          <w:i/>
          <w:spacing w:val="67"/>
          <w:w w:val="150"/>
          <w:position w:val="1"/>
          <w:sz w:val="24"/>
        </w:rPr>
        <w:t> </w:t>
      </w:r>
      <w:r>
        <w:rPr>
          <w:rFonts w:ascii="Cambria" w:hAnsi="Cambria"/>
          <w:b/>
          <w:i/>
          <w:position w:val="1"/>
          <w:sz w:val="24"/>
        </w:rPr>
        <w:t>1</w:t>
      </w:r>
      <w:r>
        <w:rPr>
          <w:b/>
          <w:i/>
          <w:position w:val="1"/>
          <w:sz w:val="24"/>
        </w:rPr>
        <w:t>.709477</w:t>
      </w:r>
      <w:r>
        <w:rPr>
          <w:b/>
          <w:i/>
          <w:spacing w:val="61"/>
          <w:w w:val="150"/>
          <w:position w:val="1"/>
          <w:sz w:val="24"/>
        </w:rPr>
        <w:t> </w:t>
      </w:r>
      <w:r>
        <w:rPr>
          <w:rFonts w:ascii="Cambria" w:hAnsi="Cambria"/>
          <w:b/>
          <w:i/>
          <w:position w:val="1"/>
          <w:sz w:val="24"/>
        </w:rPr>
        <w:t>+</w:t>
      </w:r>
      <w:r>
        <w:rPr>
          <w:rFonts w:ascii="Cambria" w:hAnsi="Cambria"/>
          <w:b/>
          <w:i/>
          <w:spacing w:val="67"/>
          <w:w w:val="150"/>
          <w:position w:val="1"/>
          <w:sz w:val="24"/>
        </w:rPr>
        <w:t> </w:t>
      </w:r>
      <w:r>
        <w:rPr>
          <w:b/>
          <w:i/>
          <w:position w:val="1"/>
          <w:sz w:val="24"/>
        </w:rPr>
        <w:t>0.230579</w:t>
      </w:r>
      <w:r>
        <w:rPr>
          <w:rFonts w:ascii="Cambria" w:hAnsi="Cambria"/>
          <w:b/>
          <w:i/>
          <w:sz w:val="16"/>
        </w:rPr>
        <w:t>EXTDEBT</w:t>
      </w:r>
      <w:r>
        <w:rPr>
          <w:rFonts w:ascii="Cambria" w:hAnsi="Cambria"/>
          <w:b/>
          <w:i/>
          <w:spacing w:val="38"/>
          <w:sz w:val="16"/>
        </w:rPr>
        <w:t>  </w:t>
      </w:r>
      <w:r>
        <w:rPr>
          <w:rFonts w:ascii="Cambria" w:hAnsi="Cambria"/>
          <w:b/>
          <w:i/>
          <w:position w:val="1"/>
          <w:sz w:val="24"/>
        </w:rPr>
        <w:t>-</w:t>
      </w:r>
      <w:r>
        <w:rPr>
          <w:rFonts w:ascii="Cambria" w:hAnsi="Cambria"/>
          <w:b/>
          <w:i/>
          <w:spacing w:val="70"/>
          <w:w w:val="150"/>
          <w:position w:val="1"/>
          <w:sz w:val="24"/>
        </w:rPr>
        <w:t> </w:t>
      </w:r>
      <w:r>
        <w:rPr>
          <w:rFonts w:ascii="Cambria" w:hAnsi="Cambria"/>
          <w:b/>
          <w:i/>
          <w:position w:val="1"/>
          <w:sz w:val="24"/>
        </w:rPr>
        <w:t>0.059823</w:t>
      </w:r>
      <w:r>
        <w:rPr>
          <w:rFonts w:ascii="Cambria" w:hAnsi="Cambria"/>
          <w:b/>
          <w:i/>
          <w:sz w:val="16"/>
        </w:rPr>
        <w:t>DOP</w:t>
      </w:r>
      <w:r>
        <w:rPr>
          <w:rFonts w:ascii="Cambria" w:hAnsi="Cambria"/>
          <w:b/>
          <w:i/>
          <w:spacing w:val="79"/>
          <w:w w:val="150"/>
          <w:sz w:val="16"/>
        </w:rPr>
        <w:t> </w:t>
      </w:r>
      <w:r>
        <w:rPr>
          <w:rFonts w:ascii="Cambria" w:hAnsi="Cambria"/>
          <w:b/>
          <w:i/>
          <w:position w:val="1"/>
          <w:sz w:val="24"/>
        </w:rPr>
        <w:t>-</w:t>
      </w:r>
      <w:r>
        <w:rPr>
          <w:rFonts w:ascii="Cambria" w:hAnsi="Cambria"/>
          <w:b/>
          <w:i/>
          <w:spacing w:val="69"/>
          <w:w w:val="150"/>
          <w:position w:val="1"/>
          <w:sz w:val="24"/>
        </w:rPr>
        <w:t> </w:t>
      </w:r>
      <w:r>
        <w:rPr>
          <w:rFonts w:ascii="Cambria" w:hAnsi="Cambria"/>
          <w:b/>
          <w:i/>
          <w:position w:val="1"/>
          <w:sz w:val="24"/>
        </w:rPr>
        <w:t>0.084413</w:t>
      </w:r>
      <w:r>
        <w:rPr>
          <w:rFonts w:ascii="Cambria" w:hAnsi="Cambria"/>
          <w:b/>
          <w:i/>
          <w:sz w:val="16"/>
        </w:rPr>
        <w:t>INF</w:t>
      </w:r>
      <w:r>
        <w:rPr>
          <w:rFonts w:ascii="Cambria" w:hAnsi="Cambria"/>
          <w:b/>
          <w:i/>
          <w:spacing w:val="39"/>
          <w:sz w:val="16"/>
        </w:rPr>
        <w:t>  </w:t>
      </w:r>
      <w:r>
        <w:rPr>
          <w:rFonts w:ascii="Cambria" w:hAnsi="Cambria"/>
          <w:b/>
          <w:i/>
          <w:position w:val="1"/>
          <w:sz w:val="24"/>
        </w:rPr>
        <w:t>-</w:t>
      </w:r>
      <w:r>
        <w:rPr>
          <w:rFonts w:ascii="Cambria" w:hAnsi="Cambria"/>
          <w:b/>
          <w:i/>
          <w:spacing w:val="71"/>
          <w:w w:val="150"/>
          <w:position w:val="1"/>
          <w:sz w:val="24"/>
        </w:rPr>
        <w:t> </w:t>
      </w:r>
      <w:r>
        <w:rPr>
          <w:rFonts w:ascii="Cambria" w:hAnsi="Cambria"/>
          <w:b/>
          <w:i/>
          <w:position w:val="1"/>
          <w:sz w:val="24"/>
        </w:rPr>
        <w:t>0.023812</w:t>
      </w:r>
      <w:r>
        <w:rPr>
          <w:rFonts w:ascii="Cambria" w:hAnsi="Cambria"/>
          <w:b/>
          <w:i/>
          <w:sz w:val="16"/>
        </w:rPr>
        <w:t>GCF</w:t>
      </w:r>
      <w:r>
        <w:rPr>
          <w:rFonts w:ascii="Cambria" w:hAnsi="Cambria"/>
          <w:b/>
          <w:i/>
          <w:spacing w:val="78"/>
          <w:w w:val="150"/>
          <w:sz w:val="16"/>
        </w:rPr>
        <w:t> </w:t>
      </w:r>
      <w:r>
        <w:rPr>
          <w:rFonts w:ascii="Cambria" w:hAnsi="Cambria"/>
          <w:b/>
          <w:i/>
          <w:sz w:val="16"/>
        </w:rPr>
        <w:t>–</w:t>
      </w:r>
      <w:r>
        <w:rPr>
          <w:rFonts w:ascii="Cambria" w:hAnsi="Cambria"/>
          <w:b/>
          <w:i/>
          <w:spacing w:val="31"/>
          <w:sz w:val="16"/>
        </w:rPr>
        <w:t>  </w:t>
      </w:r>
      <w:r>
        <w:rPr>
          <w:rFonts w:ascii="Cambria" w:hAnsi="Cambria"/>
          <w:b/>
          <w:i/>
          <w:spacing w:val="-2"/>
          <w:position w:val="1"/>
          <w:sz w:val="24"/>
        </w:rPr>
        <w:t>0.134784</w:t>
      </w:r>
      <w:r>
        <w:rPr>
          <w:rFonts w:ascii="Cambria" w:hAnsi="Cambria"/>
          <w:b/>
          <w:i/>
          <w:spacing w:val="-2"/>
          <w:sz w:val="16"/>
        </w:rPr>
        <w:t>DR</w:t>
      </w:r>
    </w:p>
    <w:p>
      <w:pPr>
        <w:pStyle w:val="BodyText"/>
        <w:spacing w:before="32"/>
        <w:rPr>
          <w:rFonts w:ascii="Cambria"/>
          <w:b/>
          <w:i/>
        </w:rPr>
      </w:pPr>
    </w:p>
    <w:p>
      <w:pPr>
        <w:tabs>
          <w:tab w:pos="9722" w:val="left" w:leader="dot"/>
        </w:tabs>
        <w:spacing w:before="0"/>
        <w:ind w:left="1705" w:right="0" w:firstLine="0"/>
        <w:jc w:val="left"/>
        <w:rPr>
          <w:rFonts w:ascii="Arial"/>
          <w:b/>
          <w:sz w:val="18"/>
        </w:rPr>
      </w:pPr>
      <w:r>
        <w:rPr>
          <w:rFonts w:ascii="Cambria"/>
          <w:b/>
          <w:i/>
          <w:position w:val="2"/>
          <w:sz w:val="24"/>
        </w:rPr>
        <w:t>+0.0042269</w:t>
      </w:r>
      <w:r>
        <w:rPr>
          <w:rFonts w:ascii="Cambria"/>
          <w:b/>
          <w:i/>
          <w:position w:val="1"/>
          <w:sz w:val="16"/>
        </w:rPr>
        <w:t>PRIVCR</w:t>
      </w:r>
      <w:r>
        <w:rPr>
          <w:rFonts w:ascii="Cambria"/>
          <w:b/>
          <w:i/>
          <w:spacing w:val="34"/>
          <w:position w:val="1"/>
          <w:sz w:val="16"/>
        </w:rPr>
        <w:t>  </w:t>
      </w:r>
      <w:r>
        <w:rPr>
          <w:rFonts w:ascii="Cambria"/>
          <w:b/>
          <w:i/>
          <w:position w:val="2"/>
          <w:sz w:val="24"/>
        </w:rPr>
        <w:t>- 0.008644</w:t>
      </w:r>
      <w:r>
        <w:rPr>
          <w:rFonts w:ascii="Cambria"/>
          <w:b/>
          <w:i/>
          <w:position w:val="1"/>
          <w:sz w:val="16"/>
        </w:rPr>
        <w:t>USIRD</w:t>
      </w:r>
      <w:r>
        <w:rPr>
          <w:rFonts w:ascii="Cambria"/>
          <w:b/>
          <w:i/>
          <w:spacing w:val="5"/>
          <w:position w:val="1"/>
          <w:sz w:val="16"/>
        </w:rPr>
        <w:t> </w:t>
      </w:r>
      <w:r>
        <w:rPr>
          <w:rFonts w:ascii="Arial"/>
          <w:b/>
          <w:i/>
          <w:position w:val="2"/>
          <w:sz w:val="24"/>
        </w:rPr>
        <w:t>+</w:t>
      </w:r>
      <w:r>
        <w:rPr>
          <w:rFonts w:ascii="Arial"/>
          <w:b/>
          <w:i/>
          <w:spacing w:val="-4"/>
          <w:position w:val="2"/>
          <w:sz w:val="24"/>
        </w:rPr>
        <w:t> </w:t>
      </w:r>
      <w:r>
        <w:rPr>
          <w:rFonts w:ascii="Arial"/>
          <w:b/>
          <w:i/>
          <w:spacing w:val="-2"/>
          <w:position w:val="2"/>
          <w:sz w:val="24"/>
        </w:rPr>
        <w:t>0.764468</w:t>
      </w:r>
      <w:r>
        <w:rPr>
          <w:rFonts w:ascii="Arial"/>
          <w:b/>
          <w:i/>
          <w:spacing w:val="-2"/>
          <w:position w:val="1"/>
          <w:sz w:val="16"/>
        </w:rPr>
        <w:t>GOCE</w:t>
      </w:r>
      <w:r>
        <w:rPr>
          <w:rFonts w:ascii="Arial"/>
          <w:b/>
          <w:i/>
          <w:position w:val="1"/>
          <w:sz w:val="16"/>
        </w:rPr>
        <w:tab/>
      </w:r>
      <w:r>
        <w:rPr>
          <w:rFonts w:ascii="Arial"/>
          <w:b/>
          <w:i/>
          <w:spacing w:val="-2"/>
          <w:position w:val="1"/>
          <w:sz w:val="16"/>
        </w:rPr>
        <w:t>(</w:t>
      </w:r>
      <w:r>
        <w:rPr>
          <w:rFonts w:ascii="Arial"/>
          <w:b/>
          <w:spacing w:val="-2"/>
          <w:sz w:val="18"/>
        </w:rPr>
        <w:t>4.2)</w:t>
      </w:r>
    </w:p>
    <w:p>
      <w:pPr>
        <w:pStyle w:val="BodyText"/>
        <w:spacing w:before="50"/>
        <w:rPr>
          <w:rFonts w:ascii="Arial"/>
          <w:b/>
        </w:rPr>
      </w:pPr>
    </w:p>
    <w:p>
      <w:pPr>
        <w:pStyle w:val="BodyText"/>
        <w:spacing w:line="480" w:lineRule="auto"/>
        <w:ind w:left="711" w:right="475"/>
        <w:jc w:val="both"/>
      </w:pPr>
      <w:r>
        <w:rPr/>
        <w:t>Table 4.2 shows the summary of the short-run analysis, test of significance of the explanatory variables and the test of hypothesis for the second equation in the first model which shows the determinant of capital</w:t>
      </w:r>
      <w:r>
        <w:rPr>
          <w:spacing w:val="40"/>
        </w:rPr>
        <w:t> </w:t>
      </w:r>
      <w:r>
        <w:rPr/>
        <w:t>flight based on Morgan Guaranty Trust (1986) of the residual estimate.</w:t>
      </w:r>
    </w:p>
    <w:p>
      <w:pPr>
        <w:pStyle w:val="BodyText"/>
        <w:spacing w:before="1"/>
        <w:ind w:left="711"/>
        <w:jc w:val="both"/>
      </w:pPr>
      <w:r>
        <w:rPr/>
        <w:t>From</w:t>
      </w:r>
      <w:r>
        <w:rPr>
          <w:spacing w:val="-1"/>
        </w:rPr>
        <w:t> </w:t>
      </w:r>
      <w:r>
        <w:rPr/>
        <w:t>the table, the</w:t>
      </w:r>
      <w:r>
        <w:rPr>
          <w:spacing w:val="-1"/>
        </w:rPr>
        <w:t> </w:t>
      </w:r>
      <w:r>
        <w:rPr/>
        <w:t>level</w:t>
      </w:r>
      <w:r>
        <w:rPr>
          <w:spacing w:val="2"/>
        </w:rPr>
        <w:t> </w:t>
      </w:r>
      <w:r>
        <w:rPr/>
        <w:t>of significant</w:t>
      </w:r>
      <w:r>
        <w:rPr>
          <w:spacing w:val="-1"/>
        </w:rPr>
        <w:t> </w:t>
      </w:r>
      <w:r>
        <w:rPr/>
        <w:t>is established if the</w:t>
      </w:r>
      <w:r>
        <w:rPr>
          <w:spacing w:val="-2"/>
        </w:rPr>
        <w:t> </w:t>
      </w:r>
      <w:r>
        <w:rPr/>
        <w:t>probability</w:t>
      </w:r>
      <w:r>
        <w:rPr>
          <w:spacing w:val="-5"/>
        </w:rPr>
        <w:t> </w:t>
      </w:r>
      <w:r>
        <w:rPr/>
        <w:t>value</w:t>
      </w:r>
      <w:r>
        <w:rPr>
          <w:spacing w:val="-1"/>
        </w:rPr>
        <w:t> </w:t>
      </w:r>
      <w:r>
        <w:rPr/>
        <w:t>is</w:t>
      </w:r>
      <w:r>
        <w:rPr>
          <w:spacing w:val="3"/>
        </w:rPr>
        <w:t> </w:t>
      </w:r>
      <w:r>
        <w:rPr/>
        <w:t>less than 5 </w:t>
      </w:r>
      <w:r>
        <w:rPr>
          <w:spacing w:val="-5"/>
        </w:rPr>
        <w:t>%.</w:t>
      </w:r>
    </w:p>
    <w:p>
      <w:pPr>
        <w:pStyle w:val="BodyText"/>
      </w:pPr>
    </w:p>
    <w:p>
      <w:pPr>
        <w:pStyle w:val="BodyText"/>
      </w:pPr>
    </w:p>
    <w:p>
      <w:pPr>
        <w:pStyle w:val="BodyText"/>
        <w:spacing w:before="10"/>
      </w:pPr>
    </w:p>
    <w:p>
      <w:pPr>
        <w:pStyle w:val="BodyText"/>
        <w:spacing w:line="480" w:lineRule="auto" w:before="1"/>
        <w:ind w:left="711" w:right="472"/>
        <w:jc w:val="both"/>
        <w:rPr>
          <w:rFonts w:ascii="Cambria"/>
        </w:rPr>
      </w:pPr>
      <w:r>
        <w:rPr>
          <w:rFonts w:ascii="Cambria"/>
        </w:rPr>
        <w:t>Just like the result of the first equation of model 1, the constant parameter is positively related with capital flight but has a coefficient of </w:t>
      </w:r>
      <w:r>
        <w:rPr/>
        <w:t>1.709477 </w:t>
      </w:r>
      <w:r>
        <w:rPr>
          <w:rFonts w:ascii="Cambria"/>
        </w:rPr>
        <w:t>which implies that if all explanatory variables are held constant in the short-run, capital flight will increase by </w:t>
      </w:r>
      <w:r>
        <w:rPr/>
        <w:t>1.709477 </w:t>
      </w:r>
      <w:r>
        <w:rPr>
          <w:rFonts w:ascii="Cambria"/>
        </w:rPr>
        <w:t>units.</w:t>
      </w:r>
    </w:p>
    <w:p>
      <w:pPr>
        <w:pStyle w:val="BodyText"/>
        <w:spacing w:line="480" w:lineRule="auto" w:before="1"/>
        <w:ind w:left="711" w:right="468"/>
        <w:jc w:val="both"/>
        <w:rPr>
          <w:rFonts w:ascii="Cambria" w:hAnsi="Cambria"/>
        </w:rPr>
      </w:pPr>
      <w:r>
        <w:rPr>
          <w:rFonts w:ascii="Cambria" w:hAnsi="Cambria"/>
        </w:rPr>
        <w:t>The Change in External Debt (δEXTDEBT) also showed a positive value of </w:t>
      </w:r>
      <w:r>
        <w:rPr>
          <w:b/>
        </w:rPr>
        <w:t>0.230579 </w:t>
      </w:r>
      <w:r>
        <w:rPr>
          <w:rFonts w:ascii="Cambria" w:hAnsi="Cambria"/>
        </w:rPr>
        <w:t>which indicates that a unit increase in the level of change in external debt will increase the value of capital flight by </w:t>
      </w:r>
      <w:r>
        <w:rPr>
          <w:b/>
        </w:rPr>
        <w:t>0.230579 </w:t>
      </w:r>
      <w:r>
        <w:rPr>
          <w:rFonts w:ascii="Cambria" w:hAnsi="Cambria"/>
        </w:rPr>
        <w:t>units. However, the degree of openness coefficient which was positively related to capital flight now shows a negative value of 0</w:t>
      </w:r>
      <w:r>
        <w:rPr/>
        <w:t>.059823 while the inflation rate maintain the same negative relationship with a value of </w:t>
      </w:r>
      <w:r>
        <w:rPr>
          <w:rFonts w:ascii="Cambria" w:hAnsi="Cambria"/>
        </w:rPr>
        <w:t>-0.084413. </w:t>
      </w:r>
      <w:r>
        <w:rPr/>
        <w:t>Likewise, the gross capital formation shows a negative value of - </w:t>
      </w:r>
      <w:r>
        <w:rPr>
          <w:rFonts w:ascii="Cambria" w:hAnsi="Cambria"/>
          <w:b/>
          <w:position w:val="1"/>
        </w:rPr>
        <w:t>0.023812 </w:t>
      </w:r>
      <w:r>
        <w:rPr>
          <w:position w:val="1"/>
        </w:rPr>
        <w:t>and the deposit rate revealed a negative value of </w:t>
      </w:r>
      <w:r>
        <w:rPr>
          <w:rFonts w:ascii="Cambria" w:hAnsi="Cambria"/>
          <w:b/>
          <w:sz w:val="16"/>
        </w:rPr>
        <w:t>– </w:t>
      </w:r>
      <w:r>
        <w:rPr>
          <w:rFonts w:ascii="Cambria" w:hAnsi="Cambria"/>
          <w:b/>
          <w:position w:val="1"/>
        </w:rPr>
        <w:t>0.134784.</w:t>
      </w:r>
      <w:r>
        <w:rPr>
          <w:rFonts w:ascii="Cambria" w:hAnsi="Cambria"/>
          <w:b/>
          <w:spacing w:val="40"/>
          <w:position w:val="1"/>
        </w:rPr>
        <w:t> </w:t>
      </w:r>
      <w:r>
        <w:rPr>
          <w:position w:val="1"/>
        </w:rPr>
        <w:t>This also suggests that a unit increase </w:t>
      </w:r>
      <w:r>
        <w:rPr>
          <w:rFonts w:ascii="Cambria" w:hAnsi="Cambria"/>
          <w:position w:val="1"/>
        </w:rPr>
        <w:t>in deposit rate will bring about an equivalent decrease</w:t>
      </w:r>
      <w:r>
        <w:rPr>
          <w:rFonts w:ascii="Cambria" w:hAnsi="Cambria"/>
          <w:spacing w:val="19"/>
          <w:position w:val="1"/>
        </w:rPr>
        <w:t> </w:t>
      </w:r>
      <w:r>
        <w:rPr>
          <w:position w:val="1"/>
        </w:rPr>
        <w:t>of </w:t>
      </w:r>
      <w:r>
        <w:rPr>
          <w:rFonts w:ascii="Cambria" w:hAnsi="Cambria"/>
          <w:b/>
          <w:sz w:val="16"/>
        </w:rPr>
        <w:t>–</w:t>
      </w:r>
      <w:r>
        <w:rPr>
          <w:rFonts w:ascii="Cambria" w:hAnsi="Cambria"/>
          <w:b/>
          <w:spacing w:val="14"/>
          <w:sz w:val="16"/>
        </w:rPr>
        <w:t> </w:t>
      </w:r>
      <w:r>
        <w:rPr>
          <w:rFonts w:ascii="Cambria" w:hAnsi="Cambria"/>
          <w:b/>
          <w:position w:val="1"/>
        </w:rPr>
        <w:t>0.134784 </w:t>
      </w:r>
      <w:r>
        <w:rPr>
          <w:rFonts w:ascii="Cambria" w:hAnsi="Cambria"/>
          <w:position w:val="1"/>
        </w:rPr>
        <w:t>in capital flight; this is</w:t>
      </w:r>
      <w:r>
        <w:rPr>
          <w:rFonts w:ascii="Cambria" w:hAnsi="Cambria"/>
          <w:spacing w:val="40"/>
          <w:position w:val="1"/>
        </w:rPr>
        <w:t> </w:t>
      </w:r>
      <w:r>
        <w:rPr>
          <w:rFonts w:ascii="Cambria" w:hAnsi="Cambria"/>
        </w:rPr>
        <w:t>in line with the expected result. Like the first equation, creidit to the private sector (PRIVCR) is positively signed contrary to the expected result. Interest rate differential which showed a negative valu in equation 4.1 is now appropriately signed with a positive value of 0.008644 while the government current expenditure maintained the same inappropriate positively sign of positive 0.764468</w:t>
      </w:r>
      <w:r>
        <w:rPr/>
        <w:t>. Thus many of the variables did not exhibit behaviours that are in line with the </w:t>
      </w:r>
      <w:r>
        <w:rPr>
          <w:i/>
        </w:rPr>
        <w:t>apriori </w:t>
      </w:r>
      <w:r>
        <w:rPr/>
        <w:t>expectation. For example, Change </w:t>
      </w:r>
      <w:r>
        <w:rPr>
          <w:rFonts w:ascii="Cambria" w:hAnsi="Cambria"/>
        </w:rPr>
        <w:t>in external debt, gross capital formation, deposit rate, private sector</w:t>
      </w:r>
    </w:p>
    <w:p>
      <w:pPr>
        <w:spacing w:after="0" w:line="480" w:lineRule="auto"/>
        <w:jc w:val="both"/>
        <w:rPr>
          <w:rFonts w:ascii="Cambria" w:hAnsi="Cambria"/>
        </w:rPr>
        <w:sectPr>
          <w:pgSz w:w="11910" w:h="16840"/>
          <w:pgMar w:header="0" w:footer="979" w:top="1340" w:bottom="1240" w:left="280" w:right="0"/>
        </w:sectPr>
      </w:pPr>
    </w:p>
    <w:p>
      <w:pPr>
        <w:pStyle w:val="BodyText"/>
        <w:spacing w:line="480" w:lineRule="auto" w:before="81"/>
        <w:ind w:left="711" w:right="470"/>
        <w:jc w:val="both"/>
        <w:rPr>
          <w:rFonts w:ascii="Cambria"/>
        </w:rPr>
      </w:pPr>
      <w:r>
        <w:rPr>
          <w:rFonts w:ascii="Cambria"/>
        </w:rPr>
        <w:t>credit and government expenditure are all expected to be negatively related to capital flight but only gross capital formation and deposit rate are appropriately signed. This indicates that rather than reduce the level of capital flight witin the period under study, </w:t>
      </w:r>
      <w:r>
        <w:rPr/>
        <w:t>Change </w:t>
      </w:r>
      <w:r>
        <w:rPr>
          <w:rFonts w:ascii="Cambria"/>
        </w:rPr>
        <w:t>in external debt, private sector credit and government current expenditure actually increased the level of capital flight whitin the </w:t>
      </w:r>
      <w:r>
        <w:rPr>
          <w:rFonts w:ascii="Cambria"/>
          <w:spacing w:val="-2"/>
        </w:rPr>
        <w:t>period.</w:t>
      </w:r>
    </w:p>
    <w:p>
      <w:pPr>
        <w:spacing w:line="480" w:lineRule="auto" w:before="0"/>
        <w:ind w:left="711" w:right="468" w:firstLine="0"/>
        <w:jc w:val="both"/>
        <w:rPr>
          <w:sz w:val="24"/>
        </w:rPr>
      </w:pPr>
      <w:r>
        <w:rPr>
          <w:rFonts w:ascii="Cambria"/>
          <w:sz w:val="24"/>
        </w:rPr>
        <w:t>Mainwhile, the degree of openness, inlation rate and intrest rate differential are expected to be positively related to capital flight are appropriately signed except the interest rate differential. The coefficient of multiple determinants (R</w:t>
      </w:r>
      <w:r>
        <w:rPr>
          <w:rFonts w:ascii="Cambria"/>
          <w:position w:val="6"/>
          <w:sz w:val="16"/>
        </w:rPr>
        <w:t>2</w:t>
      </w:r>
      <w:r>
        <w:rPr>
          <w:rFonts w:ascii="Cambria"/>
          <w:sz w:val="24"/>
        </w:rPr>
        <w:t>) of </w:t>
      </w:r>
      <w:r>
        <w:rPr>
          <w:sz w:val="26"/>
        </w:rPr>
        <w:t>0.881447 (88.1%) and the adjusted </w:t>
      </w:r>
      <w:r>
        <w:rPr>
          <w:rFonts w:ascii="Cambria"/>
          <w:b/>
          <w:sz w:val="24"/>
        </w:rPr>
        <w:t>R</w:t>
      </w:r>
      <w:r>
        <w:rPr>
          <w:rFonts w:ascii="Cambria"/>
          <w:b/>
          <w:position w:val="6"/>
          <w:sz w:val="16"/>
        </w:rPr>
        <w:t>2</w:t>
      </w:r>
      <w:r>
        <w:rPr>
          <w:rFonts w:ascii="Cambria"/>
          <w:b/>
          <w:spacing w:val="40"/>
          <w:position w:val="6"/>
          <w:sz w:val="16"/>
        </w:rPr>
        <w:t> </w:t>
      </w:r>
      <w:r>
        <w:rPr>
          <w:rFonts w:ascii="Cambria"/>
          <w:b/>
          <w:sz w:val="24"/>
        </w:rPr>
        <w:t>of </w:t>
      </w:r>
      <w:r>
        <w:rPr>
          <w:sz w:val="26"/>
        </w:rPr>
        <w:t>0.851809 (85.2%) showed that the explanatory variables accounted for a substantial amount of behaviour of the dependent variable (capital flight). The </w:t>
      </w:r>
      <w:r>
        <w:rPr>
          <w:sz w:val="24"/>
        </w:rPr>
        <w:t>F-statistic caculatedvalue of 2</w:t>
      </w:r>
      <w:r>
        <w:rPr>
          <w:sz w:val="26"/>
        </w:rPr>
        <w:t>9.74016 </w:t>
      </w:r>
      <w:r>
        <w:rPr>
          <w:sz w:val="24"/>
        </w:rPr>
        <w:t>which is greater than the F-tabulated value of 2.27 shows that the model is statistically significant</w:t>
      </w:r>
    </w:p>
    <w:p>
      <w:pPr>
        <w:pStyle w:val="BodyText"/>
        <w:spacing w:line="480" w:lineRule="auto" w:before="1"/>
        <w:ind w:left="711" w:right="467"/>
        <w:jc w:val="both"/>
      </w:pPr>
      <w:r>
        <w:rPr/>
        <w:t>From the above result, it is observed that Morgan Trust (1986) estimation approach gives similar results as that of </w:t>
      </w:r>
      <w:r>
        <w:rPr>
          <w:b/>
        </w:rPr>
        <w:t>World </w:t>
      </w:r>
      <w:r>
        <w:rPr/>
        <w:t>Bank and Erbe (1985) estimation approach with the exception that the Degree of Openness (DOP) which was positively signed significant under the World Bank and Erbe approach is now negatively signed under the Morgan Trust (1986) estimation approach. So also is the interst rate differential which was positivel related in equation 4.1 is now negatively related with capital flight. Also the World Bank and Erbe approach</w:t>
      </w:r>
      <w:r>
        <w:rPr>
          <w:spacing w:val="-1"/>
        </w:rPr>
        <w:t> </w:t>
      </w:r>
      <w:r>
        <w:rPr/>
        <w:t>revealed</w:t>
      </w:r>
      <w:r>
        <w:rPr>
          <w:spacing w:val="-1"/>
        </w:rPr>
        <w:t> </w:t>
      </w:r>
      <w:r>
        <w:rPr/>
        <w:t>that</w:t>
      </w:r>
      <w:r>
        <w:rPr>
          <w:spacing w:val="-1"/>
        </w:rPr>
        <w:t> </w:t>
      </w:r>
      <w:r>
        <w:rPr/>
        <w:t>two</w:t>
      </w:r>
      <w:r>
        <w:rPr>
          <w:spacing w:val="-2"/>
        </w:rPr>
        <w:t> </w:t>
      </w:r>
      <w:r>
        <w:rPr/>
        <w:t>variables</w:t>
      </w:r>
      <w:r>
        <w:rPr>
          <w:spacing w:val="-2"/>
        </w:rPr>
        <w:t> </w:t>
      </w:r>
      <w:r>
        <w:rPr/>
        <w:t>namely: change</w:t>
      </w:r>
      <w:r>
        <w:rPr>
          <w:spacing w:val="-2"/>
        </w:rPr>
        <w:t> </w:t>
      </w:r>
      <w:r>
        <w:rPr/>
        <w:t>in</w:t>
      </w:r>
      <w:r>
        <w:rPr>
          <w:spacing w:val="-1"/>
        </w:rPr>
        <w:t> </w:t>
      </w:r>
      <w:r>
        <w:rPr/>
        <w:t>eternal</w:t>
      </w:r>
      <w:r>
        <w:rPr>
          <w:spacing w:val="-1"/>
        </w:rPr>
        <w:t> </w:t>
      </w:r>
      <w:r>
        <w:rPr/>
        <w:t>debt</w:t>
      </w:r>
      <w:r>
        <w:rPr>
          <w:spacing w:val="-1"/>
        </w:rPr>
        <w:t> </w:t>
      </w:r>
      <w:r>
        <w:rPr/>
        <w:t>and</w:t>
      </w:r>
      <w:r>
        <w:rPr>
          <w:spacing w:val="-1"/>
        </w:rPr>
        <w:t> </w:t>
      </w:r>
      <w:r>
        <w:rPr/>
        <w:t>government</w:t>
      </w:r>
      <w:r>
        <w:rPr>
          <w:spacing w:val="-1"/>
        </w:rPr>
        <w:t> </w:t>
      </w:r>
      <w:r>
        <w:rPr/>
        <w:t>current</w:t>
      </w:r>
      <w:r>
        <w:rPr>
          <w:spacing w:val="-1"/>
        </w:rPr>
        <w:t> </w:t>
      </w:r>
      <w:r>
        <w:rPr/>
        <w:t>expenditure</w:t>
      </w:r>
      <w:r>
        <w:rPr>
          <w:spacing w:val="-3"/>
        </w:rPr>
        <w:t> </w:t>
      </w:r>
      <w:r>
        <w:rPr/>
        <w:t>are the main determinans of capital flight, the Morgan Guaranty Trust (1986) estimation approach confirmed that change in eternal debt is the main determinant of capital flight for the period under study.</w:t>
      </w:r>
    </w:p>
    <w:p>
      <w:pPr>
        <w:pStyle w:val="Heading6"/>
        <w:spacing w:before="1"/>
        <w:rPr>
          <w:b w:val="0"/>
        </w:rPr>
      </w:pPr>
      <w:r>
        <w:rPr/>
        <w:t>Validation</w:t>
      </w:r>
      <w:r>
        <w:rPr>
          <w:spacing w:val="-1"/>
        </w:rPr>
        <w:t> </w:t>
      </w:r>
      <w:r>
        <w:rPr/>
        <w:t>and</w:t>
      </w:r>
      <w:r>
        <w:rPr>
          <w:spacing w:val="-1"/>
        </w:rPr>
        <w:t> </w:t>
      </w:r>
      <w:r>
        <w:rPr/>
        <w:t>testing</w:t>
      </w:r>
      <w:r>
        <w:rPr>
          <w:spacing w:val="-1"/>
        </w:rPr>
        <w:t> </w:t>
      </w:r>
      <w:r>
        <w:rPr/>
        <w:t>of</w:t>
      </w:r>
      <w:r>
        <w:rPr>
          <w:spacing w:val="1"/>
        </w:rPr>
        <w:t> </w:t>
      </w:r>
      <w:r>
        <w:rPr>
          <w:spacing w:val="-2"/>
        </w:rPr>
        <w:t>hypotheses</w:t>
      </w:r>
      <w:r>
        <w:rPr>
          <w:b w:val="0"/>
          <w:spacing w:val="-2"/>
        </w:rPr>
        <w:t>:</w:t>
      </w:r>
    </w:p>
    <w:p>
      <w:pPr>
        <w:pStyle w:val="BodyText"/>
      </w:pPr>
    </w:p>
    <w:p>
      <w:pPr>
        <w:pStyle w:val="BodyText"/>
        <w:spacing w:before="1"/>
        <w:ind w:left="711"/>
        <w:jc w:val="both"/>
      </w:pPr>
      <w:r>
        <w:rPr/>
        <w:t>Just</w:t>
      </w:r>
      <w:r>
        <w:rPr>
          <w:spacing w:val="-3"/>
        </w:rPr>
        <w:t> </w:t>
      </w:r>
      <w:r>
        <w:rPr/>
        <w:t>like</w:t>
      </w:r>
      <w:r>
        <w:rPr>
          <w:spacing w:val="-2"/>
        </w:rPr>
        <w:t> </w:t>
      </w:r>
      <w:r>
        <w:rPr/>
        <w:t>equation</w:t>
      </w:r>
      <w:r>
        <w:rPr>
          <w:spacing w:val="-1"/>
        </w:rPr>
        <w:t> </w:t>
      </w:r>
      <w:r>
        <w:rPr/>
        <w:t>4.1, the</w:t>
      </w:r>
      <w:r>
        <w:rPr>
          <w:spacing w:val="-1"/>
        </w:rPr>
        <w:t> </w:t>
      </w:r>
      <w:r>
        <w:rPr/>
        <w:t>under</w:t>
      </w:r>
      <w:r>
        <w:rPr>
          <w:spacing w:val="-2"/>
        </w:rPr>
        <w:t> </w:t>
      </w:r>
      <w:r>
        <w:rPr/>
        <w:t>listed</w:t>
      </w:r>
      <w:r>
        <w:rPr>
          <w:spacing w:val="-1"/>
        </w:rPr>
        <w:t> </w:t>
      </w:r>
      <w:r>
        <w:rPr/>
        <w:t>hypotheses</w:t>
      </w:r>
      <w:r>
        <w:rPr>
          <w:spacing w:val="3"/>
        </w:rPr>
        <w:t> </w:t>
      </w:r>
      <w:r>
        <w:rPr/>
        <w:t>were</w:t>
      </w:r>
      <w:r>
        <w:rPr>
          <w:spacing w:val="-3"/>
        </w:rPr>
        <w:t> </w:t>
      </w:r>
      <w:r>
        <w:rPr/>
        <w:t>tested</w:t>
      </w:r>
      <w:r>
        <w:rPr>
          <w:spacing w:val="-1"/>
        </w:rPr>
        <w:t> </w:t>
      </w:r>
      <w:r>
        <w:rPr/>
        <w:t>under</w:t>
      </w:r>
      <w:r>
        <w:rPr>
          <w:spacing w:val="-1"/>
        </w:rPr>
        <w:t> </w:t>
      </w:r>
      <w:r>
        <w:rPr/>
        <w:t>model</w:t>
      </w:r>
      <w:r>
        <w:rPr>
          <w:spacing w:val="2"/>
        </w:rPr>
        <w:t> </w:t>
      </w:r>
      <w:r>
        <w:rPr>
          <w:spacing w:val="-5"/>
        </w:rPr>
        <w:t>1B.</w:t>
      </w:r>
    </w:p>
    <w:p>
      <w:pPr>
        <w:pStyle w:val="BodyText"/>
        <w:spacing w:before="275"/>
        <w:ind w:left="711"/>
      </w:pPr>
      <w:r>
        <w:rPr>
          <w:position w:val="2"/>
        </w:rPr>
        <w:t>H</w:t>
      </w:r>
      <w:r>
        <w:rPr>
          <w:sz w:val="16"/>
        </w:rPr>
        <w:t>01</w:t>
      </w:r>
      <w:r>
        <w:rPr>
          <w:position w:val="2"/>
        </w:rPr>
        <w:t>:</w:t>
      </w:r>
      <w:r>
        <w:rPr>
          <w:spacing w:val="26"/>
          <w:position w:val="2"/>
        </w:rPr>
        <w:t>  </w:t>
      </w:r>
      <w:r>
        <w:rPr>
          <w:position w:val="2"/>
        </w:rPr>
        <w:t>Macroeconomic,</w:t>
      </w:r>
      <w:r>
        <w:rPr>
          <w:spacing w:val="-2"/>
          <w:position w:val="2"/>
        </w:rPr>
        <w:t> </w:t>
      </w:r>
      <w:r>
        <w:rPr>
          <w:position w:val="2"/>
        </w:rPr>
        <w:t>Political</w:t>
      </w:r>
      <w:r>
        <w:rPr>
          <w:spacing w:val="1"/>
          <w:position w:val="2"/>
        </w:rPr>
        <w:t> </w:t>
      </w:r>
      <w:r>
        <w:rPr>
          <w:position w:val="2"/>
        </w:rPr>
        <w:t>and</w:t>
      </w:r>
      <w:r>
        <w:rPr>
          <w:spacing w:val="1"/>
          <w:position w:val="2"/>
        </w:rPr>
        <w:t> </w:t>
      </w:r>
      <w:r>
        <w:rPr>
          <w:position w:val="2"/>
        </w:rPr>
        <w:t>Institutional</w:t>
      </w:r>
      <w:r>
        <w:rPr>
          <w:spacing w:val="-2"/>
          <w:position w:val="2"/>
        </w:rPr>
        <w:t> </w:t>
      </w:r>
      <w:r>
        <w:rPr>
          <w:position w:val="2"/>
        </w:rPr>
        <w:t>factors</w:t>
      </w:r>
      <w:r>
        <w:rPr>
          <w:spacing w:val="-1"/>
          <w:position w:val="2"/>
        </w:rPr>
        <w:t> </w:t>
      </w:r>
      <w:r>
        <w:rPr>
          <w:position w:val="2"/>
        </w:rPr>
        <w:t>do</w:t>
      </w:r>
      <w:r>
        <w:rPr>
          <w:spacing w:val="-1"/>
          <w:position w:val="2"/>
        </w:rPr>
        <w:t> </w:t>
      </w:r>
      <w:r>
        <w:rPr>
          <w:position w:val="2"/>
        </w:rPr>
        <w:t>not</w:t>
      </w:r>
      <w:r>
        <w:rPr>
          <w:spacing w:val="-1"/>
          <w:position w:val="2"/>
        </w:rPr>
        <w:t> </w:t>
      </w:r>
      <w:r>
        <w:rPr>
          <w:position w:val="2"/>
        </w:rPr>
        <w:t>cause</w:t>
      </w:r>
      <w:r>
        <w:rPr>
          <w:spacing w:val="-3"/>
          <w:position w:val="2"/>
        </w:rPr>
        <w:t> </w:t>
      </w:r>
      <w:r>
        <w:rPr>
          <w:position w:val="2"/>
        </w:rPr>
        <w:t>capital</w:t>
      </w:r>
      <w:r>
        <w:rPr>
          <w:spacing w:val="-1"/>
          <w:position w:val="2"/>
        </w:rPr>
        <w:t> </w:t>
      </w:r>
      <w:r>
        <w:rPr>
          <w:position w:val="2"/>
        </w:rPr>
        <w:t>flight</w:t>
      </w:r>
      <w:r>
        <w:rPr>
          <w:spacing w:val="-1"/>
          <w:position w:val="2"/>
        </w:rPr>
        <w:t> </w:t>
      </w:r>
      <w:r>
        <w:rPr>
          <w:position w:val="2"/>
        </w:rPr>
        <w:t>in</w:t>
      </w:r>
      <w:r>
        <w:rPr>
          <w:spacing w:val="-1"/>
          <w:position w:val="2"/>
        </w:rPr>
        <w:t> </w:t>
      </w:r>
      <w:r>
        <w:rPr>
          <w:spacing w:val="-2"/>
          <w:position w:val="2"/>
        </w:rPr>
        <w:t>Nigeria.</w:t>
      </w:r>
    </w:p>
    <w:p>
      <w:pPr>
        <w:pStyle w:val="BodyText"/>
        <w:tabs>
          <w:tab w:pos="1399" w:val="left" w:leader="none"/>
        </w:tabs>
        <w:spacing w:line="475" w:lineRule="auto" w:before="273"/>
        <w:ind w:left="711" w:right="585"/>
      </w:pPr>
      <w:r>
        <w:rPr>
          <w:spacing w:val="-4"/>
          <w:position w:val="2"/>
        </w:rPr>
        <w:t>H</w:t>
      </w:r>
      <w:r>
        <w:rPr>
          <w:spacing w:val="-4"/>
          <w:sz w:val="16"/>
        </w:rPr>
        <w:t>03</w:t>
      </w:r>
      <w:r>
        <w:rPr>
          <w:spacing w:val="-4"/>
          <w:position w:val="2"/>
        </w:rPr>
        <w:t>:</w:t>
      </w:r>
      <w:r>
        <w:rPr>
          <w:position w:val="2"/>
        </w:rPr>
        <w:tab/>
        <w:t>Political, Economic and Institutional factors do not influence the choice of private wealth holders in </w:t>
      </w:r>
      <w:r>
        <w:rPr>
          <w:spacing w:val="-2"/>
        </w:rPr>
        <w:t>Nigeria.</w:t>
      </w:r>
    </w:p>
    <w:p>
      <w:pPr>
        <w:pStyle w:val="BodyText"/>
        <w:tabs>
          <w:tab w:pos="1287" w:val="left" w:leader="none"/>
        </w:tabs>
        <w:spacing w:before="6"/>
        <w:ind w:left="711"/>
      </w:pPr>
      <w:r>
        <w:rPr>
          <w:spacing w:val="-5"/>
          <w:position w:val="2"/>
        </w:rPr>
        <w:t>H</w:t>
      </w:r>
      <w:r>
        <w:rPr>
          <w:spacing w:val="-5"/>
          <w:sz w:val="16"/>
        </w:rPr>
        <w:t>04</w:t>
      </w:r>
      <w:r>
        <w:rPr>
          <w:sz w:val="16"/>
        </w:rPr>
        <w:tab/>
      </w:r>
      <w:r>
        <w:rPr>
          <w:position w:val="2"/>
        </w:rPr>
        <w:t>Capital</w:t>
      </w:r>
      <w:r>
        <w:rPr>
          <w:spacing w:val="-4"/>
          <w:position w:val="2"/>
        </w:rPr>
        <w:t> </w:t>
      </w:r>
      <w:r>
        <w:rPr>
          <w:position w:val="2"/>
        </w:rPr>
        <w:t>flight</w:t>
      </w:r>
      <w:r>
        <w:rPr>
          <w:spacing w:val="-1"/>
          <w:position w:val="2"/>
        </w:rPr>
        <w:t> </w:t>
      </w:r>
      <w:r>
        <w:rPr>
          <w:position w:val="2"/>
        </w:rPr>
        <w:t>cannot</w:t>
      </w:r>
      <w:r>
        <w:rPr>
          <w:spacing w:val="-1"/>
          <w:position w:val="2"/>
        </w:rPr>
        <w:t> </w:t>
      </w:r>
      <w:r>
        <w:rPr>
          <w:position w:val="2"/>
        </w:rPr>
        <w:t>be</w:t>
      </w:r>
      <w:r>
        <w:rPr>
          <w:spacing w:val="-2"/>
          <w:position w:val="2"/>
        </w:rPr>
        <w:t> </w:t>
      </w:r>
      <w:r>
        <w:rPr>
          <w:position w:val="2"/>
        </w:rPr>
        <w:t>stemmed</w:t>
      </w:r>
      <w:r>
        <w:rPr>
          <w:spacing w:val="-1"/>
          <w:position w:val="2"/>
        </w:rPr>
        <w:t> </w:t>
      </w:r>
      <w:r>
        <w:rPr>
          <w:position w:val="2"/>
        </w:rPr>
        <w:t>nor</w:t>
      </w:r>
      <w:r>
        <w:rPr>
          <w:spacing w:val="-2"/>
          <w:position w:val="2"/>
        </w:rPr>
        <w:t> </w:t>
      </w:r>
      <w:r>
        <w:rPr>
          <w:position w:val="2"/>
        </w:rPr>
        <w:t>reversed</w:t>
      </w:r>
      <w:r>
        <w:rPr>
          <w:spacing w:val="-1"/>
          <w:position w:val="2"/>
        </w:rPr>
        <w:t> </w:t>
      </w:r>
      <w:r>
        <w:rPr>
          <w:position w:val="2"/>
        </w:rPr>
        <w:t>in</w:t>
      </w:r>
      <w:r>
        <w:rPr>
          <w:spacing w:val="-1"/>
          <w:position w:val="2"/>
        </w:rPr>
        <w:t> </w:t>
      </w:r>
      <w:r>
        <w:rPr>
          <w:spacing w:val="-2"/>
          <w:position w:val="2"/>
        </w:rPr>
        <w:t>Nigeria.</w:t>
      </w:r>
    </w:p>
    <w:p>
      <w:pPr>
        <w:spacing w:after="0"/>
        <w:sectPr>
          <w:pgSz w:w="11910" w:h="16840"/>
          <w:pgMar w:header="0" w:footer="979" w:top="1340" w:bottom="1240" w:left="280" w:right="0"/>
        </w:sectPr>
      </w:pPr>
    </w:p>
    <w:p>
      <w:pPr>
        <w:pStyle w:val="BodyText"/>
        <w:spacing w:line="480" w:lineRule="auto" w:before="60"/>
        <w:ind w:left="711" w:right="470"/>
        <w:jc w:val="both"/>
      </w:pPr>
      <w:r>
        <w:rPr/>
        <w:t>From the above analysis and the probability value, the constant parameter, Change in External Debt (δEXDEBT) is the only statistically significant variable in the model. This shows that change in external debt is the main determinant of Capital Flight in Nigeria in the short run. Rather</w:t>
      </w:r>
      <w:r>
        <w:rPr>
          <w:spacing w:val="-1"/>
        </w:rPr>
        <w:t> </w:t>
      </w:r>
      <w:r>
        <w:rPr/>
        <w:t>than reducing</w:t>
      </w:r>
      <w:r>
        <w:rPr>
          <w:spacing w:val="-2"/>
        </w:rPr>
        <w:t> </w:t>
      </w:r>
      <w:r>
        <w:rPr/>
        <w:t>the incidence of capital flight, it has led to capital flight in Nigeria due to political and economic uncertainties</w:t>
      </w:r>
    </w:p>
    <w:p>
      <w:pPr>
        <w:pStyle w:val="BodyText"/>
        <w:spacing w:line="480" w:lineRule="auto" w:before="1"/>
        <w:ind w:left="711" w:right="471"/>
        <w:jc w:val="both"/>
      </w:pPr>
      <w:r>
        <w:rPr/>
        <w:t>For the decision on the hypotheses, the alternative hypothesis is accepted for change in external debt (δEXDEBT) while the null hypotheses are accepted for other variables (GCF, DOP, INF, DR, PRIVCR, USIRD and GCF) in the model. Since debt volatility which is a variable for political uncertainty, it is concluded from hypotheses 1 and 3 that political uncertaintainties account for the level of capital flight in Nigeria. This variable also influences the choice of private wealth holders in Nigeria. Since the determinant of capital flight and the variables that influence the choice of private wealth holders have been identify, it is possible to stem and reverse the incidence of capital flight in Nigeria if appropriate actions in line with the recommendations of this study are taken.</w:t>
      </w:r>
    </w:p>
    <w:p>
      <w:pPr>
        <w:pStyle w:val="Heading2"/>
        <w:spacing w:before="2"/>
      </w:pPr>
      <w:r>
        <w:rPr/>
        <w:t>Table</w:t>
      </w:r>
      <w:r>
        <w:rPr>
          <w:spacing w:val="-6"/>
        </w:rPr>
        <w:t> </w:t>
      </w:r>
      <w:r>
        <w:rPr/>
        <w:t>4.3</w:t>
      </w:r>
      <w:r>
        <w:rPr>
          <w:spacing w:val="-2"/>
        </w:rPr>
        <w:t> </w:t>
      </w:r>
      <w:r>
        <w:rPr/>
        <w:t>Presentation</w:t>
      </w:r>
      <w:r>
        <w:rPr>
          <w:spacing w:val="-3"/>
        </w:rPr>
        <w:t> </w:t>
      </w:r>
      <w:r>
        <w:rPr/>
        <w:t>and</w:t>
      </w:r>
      <w:r>
        <w:rPr>
          <w:spacing w:val="-6"/>
        </w:rPr>
        <w:t> </w:t>
      </w:r>
      <w:r>
        <w:rPr/>
        <w:t>Interpretation</w:t>
      </w:r>
      <w:r>
        <w:rPr>
          <w:spacing w:val="-3"/>
        </w:rPr>
        <w:t> </w:t>
      </w:r>
      <w:r>
        <w:rPr/>
        <w:t>of</w:t>
      </w:r>
      <w:r>
        <w:rPr>
          <w:spacing w:val="-3"/>
        </w:rPr>
        <w:t> </w:t>
      </w:r>
      <w:r>
        <w:rPr/>
        <w:t>Short</w:t>
      </w:r>
      <w:r>
        <w:rPr>
          <w:spacing w:val="-3"/>
        </w:rPr>
        <w:t> </w:t>
      </w:r>
      <w:r>
        <w:rPr/>
        <w:t>run</w:t>
      </w:r>
      <w:r>
        <w:rPr>
          <w:spacing w:val="-5"/>
        </w:rPr>
        <w:t> </w:t>
      </w:r>
      <w:r>
        <w:rPr/>
        <w:t>Results</w:t>
      </w:r>
      <w:r>
        <w:rPr>
          <w:spacing w:val="-2"/>
        </w:rPr>
        <w:t> </w:t>
      </w:r>
      <w:r>
        <w:rPr/>
        <w:t>for</w:t>
      </w:r>
      <w:r>
        <w:rPr>
          <w:spacing w:val="-3"/>
        </w:rPr>
        <w:t> </w:t>
      </w:r>
      <w:r>
        <w:rPr/>
        <w:t>Model</w:t>
      </w:r>
      <w:r>
        <w:rPr>
          <w:spacing w:val="-2"/>
        </w:rPr>
        <w:t> </w:t>
      </w:r>
      <w:r>
        <w:rPr>
          <w:spacing w:val="-5"/>
        </w:rPr>
        <w:t>2A</w:t>
      </w:r>
    </w:p>
    <w:p>
      <w:pPr>
        <w:spacing w:before="161"/>
        <w:ind w:left="780" w:right="0" w:firstLine="0"/>
        <w:jc w:val="both"/>
        <w:rPr>
          <w:b/>
          <w:sz w:val="28"/>
        </w:rPr>
      </w:pPr>
      <w:r>
        <w:rPr>
          <w:b/>
          <w:sz w:val="18"/>
        </w:rPr>
        <w:t>DEPENDENT</w:t>
      </w:r>
      <w:r>
        <w:rPr>
          <w:b/>
          <w:spacing w:val="-2"/>
          <w:sz w:val="18"/>
        </w:rPr>
        <w:t> </w:t>
      </w:r>
      <w:r>
        <w:rPr>
          <w:b/>
          <w:sz w:val="18"/>
        </w:rPr>
        <w:t>VARIABLE = GDP</w:t>
      </w:r>
      <w:r>
        <w:rPr>
          <w:b/>
          <w:spacing w:val="24"/>
          <w:sz w:val="18"/>
        </w:rPr>
        <w:t> </w:t>
      </w:r>
      <w:r>
        <w:rPr>
          <w:b/>
          <w:sz w:val="28"/>
        </w:rPr>
        <w:t>(World</w:t>
      </w:r>
      <w:r>
        <w:rPr>
          <w:b/>
          <w:spacing w:val="-2"/>
          <w:sz w:val="28"/>
        </w:rPr>
        <w:t> </w:t>
      </w:r>
      <w:r>
        <w:rPr>
          <w:b/>
          <w:sz w:val="28"/>
        </w:rPr>
        <w:t>Bank</w:t>
      </w:r>
      <w:r>
        <w:rPr>
          <w:b/>
          <w:spacing w:val="-6"/>
          <w:sz w:val="28"/>
        </w:rPr>
        <w:t> </w:t>
      </w:r>
      <w:r>
        <w:rPr>
          <w:b/>
          <w:sz w:val="28"/>
        </w:rPr>
        <w:t>&amp;</w:t>
      </w:r>
      <w:r>
        <w:rPr>
          <w:b/>
          <w:spacing w:val="-3"/>
          <w:sz w:val="28"/>
        </w:rPr>
        <w:t> </w:t>
      </w:r>
      <w:r>
        <w:rPr>
          <w:b/>
          <w:sz w:val="28"/>
        </w:rPr>
        <w:t>Erbe</w:t>
      </w:r>
      <w:r>
        <w:rPr>
          <w:b/>
          <w:spacing w:val="-1"/>
          <w:sz w:val="28"/>
        </w:rPr>
        <w:t> </w:t>
      </w:r>
      <w:r>
        <w:rPr>
          <w:b/>
          <w:sz w:val="28"/>
        </w:rPr>
        <w:t>1985</w:t>
      </w:r>
      <w:r>
        <w:rPr>
          <w:b/>
          <w:spacing w:val="-4"/>
          <w:sz w:val="28"/>
        </w:rPr>
        <w:t> </w:t>
      </w:r>
      <w:r>
        <w:rPr>
          <w:b/>
          <w:spacing w:val="-2"/>
          <w:sz w:val="28"/>
        </w:rPr>
        <w:t>approach)</w:t>
      </w:r>
    </w:p>
    <w:p>
      <w:pPr>
        <w:pStyle w:val="BodyText"/>
        <w:spacing w:before="10" w:after="1"/>
        <w:rPr>
          <w:b/>
          <w:sz w:val="13"/>
        </w:rPr>
      </w:pPr>
    </w:p>
    <w:tbl>
      <w:tblPr>
        <w:tblW w:w="0" w:type="auto"/>
        <w:jc w:val="left"/>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16"/>
        <w:gridCol w:w="1923"/>
        <w:gridCol w:w="2273"/>
        <w:gridCol w:w="2165"/>
        <w:gridCol w:w="1344"/>
      </w:tblGrid>
      <w:tr>
        <w:trPr>
          <w:trHeight w:val="1125" w:hRule="atLeast"/>
        </w:trPr>
        <w:tc>
          <w:tcPr>
            <w:tcW w:w="2016" w:type="dxa"/>
          </w:tcPr>
          <w:p>
            <w:pPr>
              <w:pStyle w:val="TableParagraph"/>
              <w:spacing w:line="281" w:lineRule="exact"/>
              <w:ind w:left="105"/>
              <w:rPr>
                <w:rFonts w:ascii="Cambria"/>
                <w:b/>
                <w:sz w:val="24"/>
              </w:rPr>
            </w:pPr>
            <w:r>
              <w:rPr>
                <w:rFonts w:ascii="Cambria"/>
                <w:b/>
                <w:spacing w:val="-2"/>
                <w:sz w:val="24"/>
              </w:rPr>
              <w:t>INDEPENDENT</w:t>
            </w:r>
          </w:p>
          <w:p>
            <w:pPr>
              <w:pStyle w:val="TableParagraph"/>
              <w:spacing w:before="6"/>
              <w:rPr>
                <w:b/>
                <w:sz w:val="24"/>
              </w:rPr>
            </w:pPr>
          </w:p>
          <w:p>
            <w:pPr>
              <w:pStyle w:val="TableParagraph"/>
              <w:ind w:left="105"/>
              <w:rPr>
                <w:rFonts w:ascii="Cambria"/>
                <w:b/>
                <w:sz w:val="24"/>
              </w:rPr>
            </w:pPr>
            <w:r>
              <w:rPr>
                <w:rFonts w:ascii="Cambria"/>
                <w:b/>
                <w:spacing w:val="-2"/>
                <w:sz w:val="24"/>
              </w:rPr>
              <w:t>VARIABLE</w:t>
            </w:r>
          </w:p>
        </w:tc>
        <w:tc>
          <w:tcPr>
            <w:tcW w:w="1923" w:type="dxa"/>
          </w:tcPr>
          <w:p>
            <w:pPr>
              <w:pStyle w:val="TableParagraph"/>
              <w:spacing w:line="281" w:lineRule="exact"/>
              <w:ind w:left="105"/>
              <w:rPr>
                <w:rFonts w:ascii="Cambria"/>
                <w:b/>
                <w:sz w:val="24"/>
              </w:rPr>
            </w:pPr>
            <w:r>
              <w:rPr>
                <w:rFonts w:ascii="Cambria"/>
                <w:b/>
                <w:spacing w:val="-2"/>
                <w:sz w:val="24"/>
              </w:rPr>
              <w:t>COEFFICIENT</w:t>
            </w:r>
          </w:p>
          <w:p>
            <w:pPr>
              <w:pStyle w:val="TableParagraph"/>
              <w:spacing w:before="6"/>
              <w:rPr>
                <w:b/>
                <w:sz w:val="24"/>
              </w:rPr>
            </w:pPr>
          </w:p>
          <w:p>
            <w:pPr>
              <w:pStyle w:val="TableParagraph"/>
              <w:ind w:left="105"/>
              <w:rPr>
                <w:rFonts w:ascii="Cambria"/>
                <w:b/>
                <w:sz w:val="24"/>
              </w:rPr>
            </w:pPr>
            <w:r>
              <w:rPr>
                <w:rFonts w:ascii="Cambria"/>
                <w:b/>
                <w:sz w:val="24"/>
              </w:rPr>
              <w:t>OF</w:t>
            </w:r>
            <w:r>
              <w:rPr>
                <w:rFonts w:ascii="Cambria"/>
                <w:b/>
                <w:spacing w:val="-1"/>
                <w:sz w:val="24"/>
              </w:rPr>
              <w:t> </w:t>
            </w:r>
            <w:r>
              <w:rPr>
                <w:rFonts w:ascii="Cambria"/>
                <w:b/>
                <w:spacing w:val="-2"/>
                <w:sz w:val="24"/>
              </w:rPr>
              <w:t>ESTIMATES</w:t>
            </w:r>
          </w:p>
        </w:tc>
        <w:tc>
          <w:tcPr>
            <w:tcW w:w="2273" w:type="dxa"/>
          </w:tcPr>
          <w:p>
            <w:pPr>
              <w:pStyle w:val="TableParagraph"/>
              <w:spacing w:before="6"/>
              <w:rPr>
                <w:b/>
                <w:sz w:val="24"/>
              </w:rPr>
            </w:pPr>
          </w:p>
          <w:p>
            <w:pPr>
              <w:pStyle w:val="TableParagraph"/>
              <w:spacing w:before="1"/>
              <w:ind w:left="108"/>
              <w:rPr>
                <w:rFonts w:ascii="Cambria"/>
                <w:b/>
                <w:sz w:val="24"/>
              </w:rPr>
            </w:pPr>
            <w:r>
              <w:rPr>
                <w:rFonts w:ascii="Cambria"/>
                <w:b/>
                <w:sz w:val="24"/>
              </w:rPr>
              <w:t>T- </w:t>
            </w:r>
            <w:r>
              <w:rPr>
                <w:rFonts w:ascii="Cambria"/>
                <w:b/>
                <w:spacing w:val="-2"/>
                <w:sz w:val="24"/>
              </w:rPr>
              <w:t>STATISTICS</w:t>
            </w:r>
          </w:p>
        </w:tc>
        <w:tc>
          <w:tcPr>
            <w:tcW w:w="2165" w:type="dxa"/>
          </w:tcPr>
          <w:p>
            <w:pPr>
              <w:pStyle w:val="TableParagraph"/>
              <w:spacing w:line="281" w:lineRule="exact"/>
              <w:ind w:left="106"/>
              <w:rPr>
                <w:rFonts w:ascii="Cambria"/>
                <w:b/>
                <w:sz w:val="24"/>
              </w:rPr>
            </w:pPr>
            <w:r>
              <w:rPr>
                <w:rFonts w:ascii="Cambria"/>
                <w:b/>
                <w:spacing w:val="-2"/>
                <w:sz w:val="24"/>
              </w:rPr>
              <w:t>PROBABILITY</w:t>
            </w:r>
          </w:p>
          <w:p>
            <w:pPr>
              <w:pStyle w:val="TableParagraph"/>
              <w:spacing w:before="6"/>
              <w:rPr>
                <w:b/>
                <w:sz w:val="24"/>
              </w:rPr>
            </w:pPr>
          </w:p>
          <w:p>
            <w:pPr>
              <w:pStyle w:val="TableParagraph"/>
              <w:ind w:left="106"/>
              <w:rPr>
                <w:rFonts w:ascii="Cambria"/>
                <w:b/>
                <w:sz w:val="24"/>
              </w:rPr>
            </w:pPr>
            <w:r>
              <w:rPr>
                <w:rFonts w:ascii="Cambria"/>
                <w:b/>
                <w:spacing w:val="-2"/>
                <w:sz w:val="24"/>
              </w:rPr>
              <w:t>VALUE</w:t>
            </w:r>
          </w:p>
        </w:tc>
        <w:tc>
          <w:tcPr>
            <w:tcW w:w="1344" w:type="dxa"/>
          </w:tcPr>
          <w:p>
            <w:pPr>
              <w:pStyle w:val="TableParagraph"/>
              <w:spacing w:line="281" w:lineRule="exact"/>
              <w:ind w:right="12"/>
              <w:jc w:val="center"/>
              <w:rPr>
                <w:rFonts w:ascii="Cambria"/>
                <w:b/>
                <w:sz w:val="24"/>
              </w:rPr>
            </w:pPr>
            <w:r>
              <w:rPr>
                <w:rFonts w:ascii="Cambria"/>
                <w:b/>
                <w:spacing w:val="-2"/>
                <w:sz w:val="24"/>
              </w:rPr>
              <w:t>REMARKS</w:t>
            </w:r>
          </w:p>
        </w:tc>
      </w:tr>
      <w:tr>
        <w:trPr>
          <w:trHeight w:val="278" w:hRule="atLeast"/>
        </w:trPr>
        <w:tc>
          <w:tcPr>
            <w:tcW w:w="2016" w:type="dxa"/>
          </w:tcPr>
          <w:p>
            <w:pPr>
              <w:pStyle w:val="TableParagraph"/>
              <w:spacing w:line="229" w:lineRule="exact"/>
              <w:ind w:left="5"/>
              <w:jc w:val="center"/>
              <w:rPr>
                <w:rFonts w:ascii="Arial MT"/>
                <w:sz w:val="20"/>
              </w:rPr>
            </w:pPr>
            <w:r>
              <w:rPr>
                <w:rFonts w:ascii="Arial MT"/>
                <w:spacing w:val="-10"/>
                <w:sz w:val="20"/>
              </w:rPr>
              <w:t>C</w:t>
            </w:r>
          </w:p>
        </w:tc>
        <w:tc>
          <w:tcPr>
            <w:tcW w:w="1923" w:type="dxa"/>
          </w:tcPr>
          <w:p>
            <w:pPr>
              <w:pStyle w:val="TableParagraph"/>
              <w:spacing w:line="229" w:lineRule="exact"/>
              <w:ind w:right="98"/>
              <w:jc w:val="right"/>
              <w:rPr>
                <w:rFonts w:ascii="Arial MT"/>
                <w:sz w:val="20"/>
              </w:rPr>
            </w:pPr>
            <w:r>
              <w:rPr>
                <w:rFonts w:ascii="Arial MT"/>
                <w:spacing w:val="-2"/>
                <w:sz w:val="20"/>
              </w:rPr>
              <w:t>2.831836</w:t>
            </w:r>
          </w:p>
        </w:tc>
        <w:tc>
          <w:tcPr>
            <w:tcW w:w="2273" w:type="dxa"/>
          </w:tcPr>
          <w:p>
            <w:pPr>
              <w:pStyle w:val="TableParagraph"/>
              <w:spacing w:line="229" w:lineRule="exact"/>
              <w:ind w:right="100"/>
              <w:jc w:val="right"/>
              <w:rPr>
                <w:rFonts w:ascii="Arial MT"/>
                <w:sz w:val="20"/>
              </w:rPr>
            </w:pPr>
            <w:r>
              <w:rPr>
                <w:rFonts w:ascii="Arial MT"/>
                <w:spacing w:val="-2"/>
                <w:sz w:val="20"/>
              </w:rPr>
              <w:t>8.317620</w:t>
            </w:r>
          </w:p>
        </w:tc>
        <w:tc>
          <w:tcPr>
            <w:tcW w:w="2165" w:type="dxa"/>
          </w:tcPr>
          <w:p>
            <w:pPr>
              <w:pStyle w:val="TableParagraph"/>
              <w:spacing w:line="229" w:lineRule="exact"/>
              <w:ind w:right="97"/>
              <w:jc w:val="right"/>
              <w:rPr>
                <w:rFonts w:ascii="Arial MT"/>
                <w:sz w:val="20"/>
              </w:rPr>
            </w:pPr>
            <w:r>
              <w:rPr>
                <w:rFonts w:ascii="Arial MT"/>
                <w:spacing w:val="-2"/>
                <w:sz w:val="20"/>
              </w:rPr>
              <w:t>0.0000</w:t>
            </w:r>
          </w:p>
        </w:tc>
        <w:tc>
          <w:tcPr>
            <w:tcW w:w="1344" w:type="dxa"/>
          </w:tcPr>
          <w:p>
            <w:pPr>
              <w:pStyle w:val="TableParagraph"/>
              <w:spacing w:line="257" w:lineRule="exact" w:before="1"/>
              <w:ind w:left="95" w:right="12"/>
              <w:jc w:val="center"/>
              <w:rPr>
                <w:sz w:val="24"/>
              </w:rPr>
            </w:pPr>
            <w:r>
              <w:rPr>
                <w:spacing w:val="-2"/>
                <w:sz w:val="24"/>
              </w:rPr>
              <w:t>Significant</w:t>
            </w:r>
          </w:p>
        </w:tc>
      </w:tr>
      <w:tr>
        <w:trPr>
          <w:trHeight w:val="330" w:hRule="atLeast"/>
        </w:trPr>
        <w:tc>
          <w:tcPr>
            <w:tcW w:w="2016" w:type="dxa"/>
          </w:tcPr>
          <w:p>
            <w:pPr>
              <w:pStyle w:val="TableParagraph"/>
              <w:spacing w:line="281" w:lineRule="exact"/>
              <w:ind w:left="5" w:right="5"/>
              <w:jc w:val="center"/>
              <w:rPr>
                <w:rFonts w:ascii="Arial MT" w:hAnsi="Arial MT"/>
                <w:sz w:val="20"/>
              </w:rPr>
            </w:pPr>
            <w:r>
              <w:rPr>
                <w:rFonts w:ascii="Cambria" w:hAnsi="Cambria"/>
                <w:spacing w:val="-2"/>
                <w:sz w:val="24"/>
              </w:rPr>
              <w:t>δ</w:t>
            </w:r>
            <w:r>
              <w:rPr>
                <w:rFonts w:ascii="Arial MT" w:hAnsi="Arial MT"/>
                <w:spacing w:val="-2"/>
                <w:sz w:val="20"/>
              </w:rPr>
              <w:t>EXTDEBT</w:t>
            </w:r>
          </w:p>
        </w:tc>
        <w:tc>
          <w:tcPr>
            <w:tcW w:w="1923" w:type="dxa"/>
          </w:tcPr>
          <w:p>
            <w:pPr>
              <w:pStyle w:val="TableParagraph"/>
              <w:spacing w:line="227" w:lineRule="exact"/>
              <w:ind w:right="98"/>
              <w:jc w:val="right"/>
              <w:rPr>
                <w:rFonts w:ascii="Arial MT"/>
                <w:sz w:val="20"/>
              </w:rPr>
            </w:pPr>
            <w:r>
              <w:rPr>
                <w:rFonts w:ascii="Arial MT"/>
                <w:spacing w:val="-2"/>
                <w:sz w:val="20"/>
              </w:rPr>
              <w:t>0.060261</w:t>
            </w:r>
          </w:p>
        </w:tc>
        <w:tc>
          <w:tcPr>
            <w:tcW w:w="2273" w:type="dxa"/>
          </w:tcPr>
          <w:p>
            <w:pPr>
              <w:pStyle w:val="TableParagraph"/>
              <w:spacing w:line="227" w:lineRule="exact"/>
              <w:ind w:right="100"/>
              <w:jc w:val="right"/>
              <w:rPr>
                <w:rFonts w:ascii="Arial MT"/>
                <w:sz w:val="20"/>
              </w:rPr>
            </w:pPr>
            <w:r>
              <w:rPr>
                <w:rFonts w:ascii="Arial MT"/>
                <w:spacing w:val="-2"/>
                <w:sz w:val="20"/>
              </w:rPr>
              <w:t>2.145280</w:t>
            </w:r>
          </w:p>
        </w:tc>
        <w:tc>
          <w:tcPr>
            <w:tcW w:w="2165" w:type="dxa"/>
          </w:tcPr>
          <w:p>
            <w:pPr>
              <w:pStyle w:val="TableParagraph"/>
              <w:spacing w:line="227" w:lineRule="exact"/>
              <w:ind w:right="97"/>
              <w:jc w:val="right"/>
              <w:rPr>
                <w:rFonts w:ascii="Arial MT"/>
                <w:sz w:val="20"/>
              </w:rPr>
            </w:pPr>
            <w:r>
              <w:rPr>
                <w:rFonts w:ascii="Arial MT"/>
                <w:spacing w:val="-2"/>
                <w:sz w:val="20"/>
              </w:rPr>
              <w:t>0.0386</w:t>
            </w:r>
          </w:p>
        </w:tc>
        <w:tc>
          <w:tcPr>
            <w:tcW w:w="1344" w:type="dxa"/>
          </w:tcPr>
          <w:p>
            <w:pPr>
              <w:pStyle w:val="TableParagraph"/>
              <w:spacing w:line="275" w:lineRule="exact"/>
              <w:ind w:left="95" w:right="12"/>
              <w:jc w:val="center"/>
              <w:rPr>
                <w:sz w:val="24"/>
              </w:rPr>
            </w:pPr>
            <w:r>
              <w:rPr>
                <w:spacing w:val="-2"/>
                <w:sz w:val="24"/>
              </w:rPr>
              <w:t>Significant</w:t>
            </w:r>
          </w:p>
        </w:tc>
      </w:tr>
      <w:tr>
        <w:trPr>
          <w:trHeight w:val="340" w:hRule="atLeast"/>
        </w:trPr>
        <w:tc>
          <w:tcPr>
            <w:tcW w:w="2016" w:type="dxa"/>
          </w:tcPr>
          <w:p>
            <w:pPr>
              <w:pStyle w:val="TableParagraph"/>
              <w:spacing w:line="229" w:lineRule="exact"/>
              <w:ind w:left="5"/>
              <w:jc w:val="center"/>
              <w:rPr>
                <w:rFonts w:ascii="Arial MT"/>
                <w:sz w:val="20"/>
              </w:rPr>
            </w:pPr>
            <w:r>
              <w:rPr>
                <w:rFonts w:ascii="Arial MT"/>
                <w:spacing w:val="-5"/>
                <w:sz w:val="20"/>
              </w:rPr>
              <w:t>DFI</w:t>
            </w:r>
          </w:p>
        </w:tc>
        <w:tc>
          <w:tcPr>
            <w:tcW w:w="1923" w:type="dxa"/>
          </w:tcPr>
          <w:p>
            <w:pPr>
              <w:pStyle w:val="TableParagraph"/>
              <w:spacing w:line="229" w:lineRule="exact"/>
              <w:ind w:right="98"/>
              <w:jc w:val="right"/>
              <w:rPr>
                <w:rFonts w:ascii="Arial MT"/>
                <w:sz w:val="20"/>
              </w:rPr>
            </w:pPr>
            <w:r>
              <w:rPr>
                <w:rFonts w:ascii="Arial MT"/>
                <w:spacing w:val="-2"/>
                <w:sz w:val="20"/>
              </w:rPr>
              <w:t>0.613180</w:t>
            </w:r>
          </w:p>
        </w:tc>
        <w:tc>
          <w:tcPr>
            <w:tcW w:w="2273" w:type="dxa"/>
          </w:tcPr>
          <w:p>
            <w:pPr>
              <w:pStyle w:val="TableParagraph"/>
              <w:spacing w:line="229" w:lineRule="exact"/>
              <w:ind w:right="100"/>
              <w:jc w:val="right"/>
              <w:rPr>
                <w:rFonts w:ascii="Arial MT"/>
                <w:sz w:val="20"/>
              </w:rPr>
            </w:pPr>
            <w:r>
              <w:rPr>
                <w:rFonts w:ascii="Arial MT"/>
                <w:spacing w:val="-2"/>
                <w:sz w:val="20"/>
              </w:rPr>
              <w:t>9.752797</w:t>
            </w:r>
          </w:p>
        </w:tc>
        <w:tc>
          <w:tcPr>
            <w:tcW w:w="2165" w:type="dxa"/>
          </w:tcPr>
          <w:p>
            <w:pPr>
              <w:pStyle w:val="TableParagraph"/>
              <w:spacing w:line="229" w:lineRule="exact"/>
              <w:ind w:right="97"/>
              <w:jc w:val="right"/>
              <w:rPr>
                <w:rFonts w:ascii="Arial MT"/>
                <w:sz w:val="20"/>
              </w:rPr>
            </w:pPr>
            <w:r>
              <w:rPr>
                <w:rFonts w:ascii="Arial MT"/>
                <w:spacing w:val="-2"/>
                <w:sz w:val="20"/>
              </w:rPr>
              <w:t>0.0000</w:t>
            </w:r>
          </w:p>
        </w:tc>
        <w:tc>
          <w:tcPr>
            <w:tcW w:w="1344" w:type="dxa"/>
          </w:tcPr>
          <w:p>
            <w:pPr>
              <w:pStyle w:val="TableParagraph"/>
              <w:spacing w:line="275" w:lineRule="exact"/>
              <w:ind w:left="95" w:right="12"/>
              <w:jc w:val="center"/>
              <w:rPr>
                <w:sz w:val="24"/>
              </w:rPr>
            </w:pPr>
            <w:r>
              <w:rPr>
                <w:spacing w:val="-2"/>
                <w:sz w:val="24"/>
              </w:rPr>
              <w:t>Significant</w:t>
            </w:r>
          </w:p>
        </w:tc>
      </w:tr>
      <w:tr>
        <w:trPr>
          <w:trHeight w:val="350" w:hRule="atLeast"/>
        </w:trPr>
        <w:tc>
          <w:tcPr>
            <w:tcW w:w="2016" w:type="dxa"/>
          </w:tcPr>
          <w:p>
            <w:pPr>
              <w:pStyle w:val="TableParagraph"/>
              <w:spacing w:line="229" w:lineRule="exact"/>
              <w:ind w:left="5" w:right="4"/>
              <w:jc w:val="center"/>
              <w:rPr>
                <w:rFonts w:ascii="Arial MT"/>
                <w:sz w:val="20"/>
              </w:rPr>
            </w:pPr>
            <w:r>
              <w:rPr>
                <w:rFonts w:ascii="Arial MT"/>
                <w:spacing w:val="-5"/>
                <w:sz w:val="20"/>
              </w:rPr>
              <w:t>CAB</w:t>
            </w:r>
          </w:p>
        </w:tc>
        <w:tc>
          <w:tcPr>
            <w:tcW w:w="1923" w:type="dxa"/>
          </w:tcPr>
          <w:p>
            <w:pPr>
              <w:pStyle w:val="TableParagraph"/>
              <w:spacing w:line="229" w:lineRule="exact"/>
              <w:ind w:right="98"/>
              <w:jc w:val="right"/>
              <w:rPr>
                <w:rFonts w:ascii="Arial MT"/>
                <w:sz w:val="20"/>
              </w:rPr>
            </w:pPr>
            <w:r>
              <w:rPr>
                <w:rFonts w:ascii="Arial MT"/>
                <w:spacing w:val="-2"/>
                <w:sz w:val="20"/>
              </w:rPr>
              <w:t>0.151818</w:t>
            </w:r>
          </w:p>
        </w:tc>
        <w:tc>
          <w:tcPr>
            <w:tcW w:w="2273" w:type="dxa"/>
          </w:tcPr>
          <w:p>
            <w:pPr>
              <w:pStyle w:val="TableParagraph"/>
              <w:spacing w:line="229" w:lineRule="exact"/>
              <w:ind w:right="100"/>
              <w:jc w:val="right"/>
              <w:rPr>
                <w:rFonts w:ascii="Arial MT"/>
                <w:sz w:val="20"/>
              </w:rPr>
            </w:pPr>
            <w:r>
              <w:rPr>
                <w:rFonts w:ascii="Arial MT"/>
                <w:spacing w:val="-2"/>
                <w:sz w:val="20"/>
              </w:rPr>
              <w:t>2.658075</w:t>
            </w:r>
          </w:p>
        </w:tc>
        <w:tc>
          <w:tcPr>
            <w:tcW w:w="2165" w:type="dxa"/>
          </w:tcPr>
          <w:p>
            <w:pPr>
              <w:pStyle w:val="TableParagraph"/>
              <w:spacing w:line="229" w:lineRule="exact"/>
              <w:ind w:right="97"/>
              <w:jc w:val="right"/>
              <w:rPr>
                <w:rFonts w:ascii="Arial MT"/>
                <w:sz w:val="20"/>
              </w:rPr>
            </w:pPr>
            <w:r>
              <w:rPr>
                <w:rFonts w:ascii="Arial MT"/>
                <w:spacing w:val="-2"/>
                <w:sz w:val="20"/>
              </w:rPr>
              <w:t>0.0115</w:t>
            </w:r>
          </w:p>
        </w:tc>
        <w:tc>
          <w:tcPr>
            <w:tcW w:w="1344" w:type="dxa"/>
          </w:tcPr>
          <w:p>
            <w:pPr>
              <w:pStyle w:val="TableParagraph"/>
              <w:spacing w:line="275" w:lineRule="exact"/>
              <w:ind w:left="95" w:right="12"/>
              <w:jc w:val="center"/>
              <w:rPr>
                <w:sz w:val="24"/>
              </w:rPr>
            </w:pPr>
            <w:r>
              <w:rPr>
                <w:spacing w:val="-2"/>
                <w:sz w:val="24"/>
              </w:rPr>
              <w:t>Significant</w:t>
            </w:r>
          </w:p>
        </w:tc>
      </w:tr>
      <w:tr>
        <w:trPr>
          <w:trHeight w:val="349" w:hRule="atLeast"/>
        </w:trPr>
        <w:tc>
          <w:tcPr>
            <w:tcW w:w="2016" w:type="dxa"/>
          </w:tcPr>
          <w:p>
            <w:pPr>
              <w:pStyle w:val="TableParagraph"/>
              <w:spacing w:line="281" w:lineRule="exact"/>
              <w:ind w:left="5" w:right="1"/>
              <w:jc w:val="center"/>
              <w:rPr>
                <w:rFonts w:ascii="Arial MT" w:hAnsi="Arial MT"/>
                <w:sz w:val="20"/>
              </w:rPr>
            </w:pPr>
            <w:r>
              <w:rPr>
                <w:rFonts w:ascii="Cambria" w:hAnsi="Cambria"/>
                <w:spacing w:val="-4"/>
                <w:sz w:val="24"/>
              </w:rPr>
              <w:t>δ</w:t>
            </w:r>
            <w:r>
              <w:rPr>
                <w:rFonts w:ascii="Arial MT" w:hAnsi="Arial MT"/>
                <w:spacing w:val="-4"/>
                <w:sz w:val="20"/>
              </w:rPr>
              <w:t>RES</w:t>
            </w:r>
          </w:p>
        </w:tc>
        <w:tc>
          <w:tcPr>
            <w:tcW w:w="1923" w:type="dxa"/>
          </w:tcPr>
          <w:p>
            <w:pPr>
              <w:pStyle w:val="TableParagraph"/>
              <w:spacing w:line="229" w:lineRule="exact"/>
              <w:ind w:right="98"/>
              <w:jc w:val="right"/>
              <w:rPr>
                <w:rFonts w:ascii="Arial MT"/>
                <w:sz w:val="20"/>
              </w:rPr>
            </w:pPr>
            <w:r>
              <w:rPr>
                <w:rFonts w:ascii="Arial MT"/>
                <w:spacing w:val="-2"/>
                <w:sz w:val="20"/>
              </w:rPr>
              <w:t>0.198151</w:t>
            </w:r>
          </w:p>
        </w:tc>
        <w:tc>
          <w:tcPr>
            <w:tcW w:w="2273" w:type="dxa"/>
          </w:tcPr>
          <w:p>
            <w:pPr>
              <w:pStyle w:val="TableParagraph"/>
              <w:spacing w:line="229" w:lineRule="exact"/>
              <w:ind w:right="100"/>
              <w:jc w:val="right"/>
              <w:rPr>
                <w:rFonts w:ascii="Arial MT"/>
                <w:sz w:val="20"/>
              </w:rPr>
            </w:pPr>
            <w:r>
              <w:rPr>
                <w:rFonts w:ascii="Arial MT"/>
                <w:spacing w:val="-2"/>
                <w:sz w:val="20"/>
              </w:rPr>
              <w:t>3.236736</w:t>
            </w:r>
          </w:p>
        </w:tc>
        <w:tc>
          <w:tcPr>
            <w:tcW w:w="2165" w:type="dxa"/>
          </w:tcPr>
          <w:p>
            <w:pPr>
              <w:pStyle w:val="TableParagraph"/>
              <w:spacing w:line="229" w:lineRule="exact"/>
              <w:ind w:right="97"/>
              <w:jc w:val="right"/>
              <w:rPr>
                <w:rFonts w:ascii="Arial MT"/>
                <w:sz w:val="20"/>
              </w:rPr>
            </w:pPr>
            <w:r>
              <w:rPr>
                <w:rFonts w:ascii="Arial MT"/>
                <w:spacing w:val="-2"/>
                <w:sz w:val="20"/>
              </w:rPr>
              <w:t>0.0026</w:t>
            </w:r>
          </w:p>
        </w:tc>
        <w:tc>
          <w:tcPr>
            <w:tcW w:w="1344" w:type="dxa"/>
          </w:tcPr>
          <w:p>
            <w:pPr>
              <w:pStyle w:val="TableParagraph"/>
              <w:spacing w:line="275" w:lineRule="exact"/>
              <w:ind w:left="95" w:right="12"/>
              <w:jc w:val="center"/>
              <w:rPr>
                <w:sz w:val="24"/>
              </w:rPr>
            </w:pPr>
            <w:r>
              <w:rPr>
                <w:spacing w:val="-2"/>
                <w:sz w:val="24"/>
              </w:rPr>
              <w:t>Significant</w:t>
            </w:r>
          </w:p>
        </w:tc>
      </w:tr>
    </w:tbl>
    <w:p>
      <w:pPr>
        <w:pStyle w:val="BodyText"/>
        <w:spacing w:before="7"/>
        <w:rPr>
          <w:b/>
          <w:sz w:val="2"/>
        </w:rPr>
      </w:pPr>
    </w:p>
    <w:tbl>
      <w:tblPr>
        <w:tblW w:w="0" w:type="auto"/>
        <w:jc w:val="left"/>
        <w:tblInd w:w="7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79"/>
        <w:gridCol w:w="1954"/>
        <w:gridCol w:w="3036"/>
        <w:gridCol w:w="1806"/>
      </w:tblGrid>
      <w:tr>
        <w:trPr>
          <w:trHeight w:val="286" w:hRule="atLeast"/>
        </w:trPr>
        <w:tc>
          <w:tcPr>
            <w:tcW w:w="2779" w:type="dxa"/>
          </w:tcPr>
          <w:p>
            <w:pPr>
              <w:pStyle w:val="TableParagraph"/>
              <w:spacing w:line="266" w:lineRule="exact"/>
              <w:ind w:left="43"/>
              <w:rPr>
                <w:sz w:val="24"/>
              </w:rPr>
            </w:pPr>
            <w:r>
              <w:rPr>
                <w:sz w:val="24"/>
              </w:rPr>
              <w:t>R-</w:t>
            </w:r>
            <w:r>
              <w:rPr>
                <w:spacing w:val="-2"/>
                <w:sz w:val="24"/>
              </w:rPr>
              <w:t>squared</w:t>
            </w:r>
          </w:p>
        </w:tc>
        <w:tc>
          <w:tcPr>
            <w:tcW w:w="1954" w:type="dxa"/>
          </w:tcPr>
          <w:p>
            <w:pPr>
              <w:pStyle w:val="TableParagraph"/>
              <w:spacing w:line="266" w:lineRule="exact"/>
              <w:ind w:right="148"/>
              <w:jc w:val="right"/>
              <w:rPr>
                <w:sz w:val="24"/>
              </w:rPr>
            </w:pPr>
            <w:r>
              <w:rPr>
                <w:spacing w:val="-2"/>
                <w:sz w:val="24"/>
              </w:rPr>
              <w:t>0.980398</w:t>
            </w:r>
          </w:p>
        </w:tc>
        <w:tc>
          <w:tcPr>
            <w:tcW w:w="3036" w:type="dxa"/>
          </w:tcPr>
          <w:p>
            <w:pPr>
              <w:pStyle w:val="TableParagraph"/>
              <w:spacing w:line="266" w:lineRule="exact"/>
              <w:ind w:left="149"/>
              <w:rPr>
                <w:sz w:val="24"/>
              </w:rPr>
            </w:pPr>
            <w:r>
              <w:rPr>
                <w:sz w:val="24"/>
              </w:rPr>
              <w:t>Mean</w:t>
            </w:r>
            <w:r>
              <w:rPr>
                <w:spacing w:val="-2"/>
                <w:sz w:val="24"/>
              </w:rPr>
              <w:t> </w:t>
            </w:r>
            <w:r>
              <w:rPr>
                <w:sz w:val="24"/>
              </w:rPr>
              <w:t>dependent</w:t>
            </w:r>
            <w:r>
              <w:rPr>
                <w:spacing w:val="-1"/>
                <w:sz w:val="24"/>
              </w:rPr>
              <w:t> </w:t>
            </w:r>
            <w:r>
              <w:rPr>
                <w:spacing w:val="-5"/>
                <w:sz w:val="24"/>
              </w:rPr>
              <w:t>var</w:t>
            </w:r>
          </w:p>
        </w:tc>
        <w:tc>
          <w:tcPr>
            <w:tcW w:w="1806" w:type="dxa"/>
          </w:tcPr>
          <w:p>
            <w:pPr>
              <w:pStyle w:val="TableParagraph"/>
              <w:spacing w:line="266" w:lineRule="exact"/>
              <w:ind w:right="28"/>
              <w:jc w:val="right"/>
              <w:rPr>
                <w:sz w:val="24"/>
              </w:rPr>
            </w:pPr>
            <w:r>
              <w:rPr>
                <w:spacing w:val="-2"/>
                <w:sz w:val="24"/>
              </w:rPr>
              <w:t>12.99879</w:t>
            </w:r>
          </w:p>
        </w:tc>
      </w:tr>
      <w:tr>
        <w:trPr>
          <w:trHeight w:val="317" w:hRule="atLeast"/>
        </w:trPr>
        <w:tc>
          <w:tcPr>
            <w:tcW w:w="2779" w:type="dxa"/>
          </w:tcPr>
          <w:p>
            <w:pPr>
              <w:pStyle w:val="TableParagraph"/>
              <w:spacing w:before="11"/>
              <w:ind w:left="43"/>
              <w:rPr>
                <w:sz w:val="24"/>
              </w:rPr>
            </w:pPr>
            <w:r>
              <w:rPr>
                <w:sz w:val="24"/>
              </w:rPr>
              <w:t>Adjusted</w:t>
            </w:r>
            <w:r>
              <w:rPr>
                <w:spacing w:val="-2"/>
                <w:sz w:val="24"/>
              </w:rPr>
              <w:t> </w:t>
            </w:r>
            <w:r>
              <w:rPr>
                <w:sz w:val="24"/>
              </w:rPr>
              <w:t>R-</w:t>
            </w:r>
            <w:r>
              <w:rPr>
                <w:spacing w:val="-2"/>
                <w:sz w:val="24"/>
              </w:rPr>
              <w:t>squared</w:t>
            </w:r>
          </w:p>
        </w:tc>
        <w:tc>
          <w:tcPr>
            <w:tcW w:w="1954" w:type="dxa"/>
          </w:tcPr>
          <w:p>
            <w:pPr>
              <w:pStyle w:val="TableParagraph"/>
              <w:spacing w:before="11"/>
              <w:ind w:right="148"/>
              <w:jc w:val="right"/>
              <w:rPr>
                <w:sz w:val="24"/>
              </w:rPr>
            </w:pPr>
            <w:r>
              <w:rPr>
                <w:spacing w:val="-2"/>
                <w:sz w:val="24"/>
              </w:rPr>
              <w:t>0.978279</w:t>
            </w:r>
          </w:p>
        </w:tc>
        <w:tc>
          <w:tcPr>
            <w:tcW w:w="3036" w:type="dxa"/>
          </w:tcPr>
          <w:p>
            <w:pPr>
              <w:pStyle w:val="TableParagraph"/>
              <w:spacing w:before="11"/>
              <w:ind w:left="149"/>
              <w:rPr>
                <w:sz w:val="24"/>
              </w:rPr>
            </w:pPr>
            <w:r>
              <w:rPr>
                <w:sz w:val="24"/>
              </w:rPr>
              <w:t>S.D.</w:t>
            </w:r>
            <w:r>
              <w:rPr>
                <w:spacing w:val="-4"/>
                <w:sz w:val="24"/>
              </w:rPr>
              <w:t> </w:t>
            </w:r>
            <w:r>
              <w:rPr>
                <w:sz w:val="24"/>
              </w:rPr>
              <w:t>dependent</w:t>
            </w:r>
            <w:r>
              <w:rPr>
                <w:spacing w:val="-2"/>
                <w:sz w:val="24"/>
              </w:rPr>
              <w:t> </w:t>
            </w:r>
            <w:r>
              <w:rPr>
                <w:spacing w:val="-5"/>
                <w:sz w:val="24"/>
              </w:rPr>
              <w:t>var</w:t>
            </w:r>
          </w:p>
        </w:tc>
        <w:tc>
          <w:tcPr>
            <w:tcW w:w="1806" w:type="dxa"/>
          </w:tcPr>
          <w:p>
            <w:pPr>
              <w:pStyle w:val="TableParagraph"/>
              <w:spacing w:before="11"/>
              <w:ind w:right="28"/>
              <w:jc w:val="right"/>
              <w:rPr>
                <w:sz w:val="24"/>
              </w:rPr>
            </w:pPr>
            <w:r>
              <w:rPr>
                <w:spacing w:val="-2"/>
                <w:sz w:val="24"/>
              </w:rPr>
              <w:t>2.778640</w:t>
            </w:r>
          </w:p>
        </w:tc>
      </w:tr>
      <w:tr>
        <w:trPr>
          <w:trHeight w:val="316" w:hRule="atLeast"/>
        </w:trPr>
        <w:tc>
          <w:tcPr>
            <w:tcW w:w="2779" w:type="dxa"/>
          </w:tcPr>
          <w:p>
            <w:pPr>
              <w:pStyle w:val="TableParagraph"/>
              <w:spacing w:before="20"/>
              <w:ind w:left="43"/>
              <w:rPr>
                <w:sz w:val="24"/>
              </w:rPr>
            </w:pPr>
            <w:r>
              <w:rPr>
                <w:sz w:val="24"/>
              </w:rPr>
              <w:t>S.E. of</w:t>
            </w:r>
            <w:r>
              <w:rPr>
                <w:spacing w:val="-1"/>
                <w:sz w:val="24"/>
              </w:rPr>
              <w:t> </w:t>
            </w:r>
            <w:r>
              <w:rPr>
                <w:spacing w:val="-2"/>
                <w:sz w:val="24"/>
              </w:rPr>
              <w:t>regression</w:t>
            </w:r>
          </w:p>
        </w:tc>
        <w:tc>
          <w:tcPr>
            <w:tcW w:w="1954" w:type="dxa"/>
          </w:tcPr>
          <w:p>
            <w:pPr>
              <w:pStyle w:val="TableParagraph"/>
              <w:spacing w:before="20"/>
              <w:ind w:right="148"/>
              <w:jc w:val="right"/>
              <w:rPr>
                <w:sz w:val="24"/>
              </w:rPr>
            </w:pPr>
            <w:r>
              <w:rPr>
                <w:spacing w:val="-2"/>
                <w:sz w:val="24"/>
              </w:rPr>
              <w:t>0.409521</w:t>
            </w:r>
          </w:p>
        </w:tc>
        <w:tc>
          <w:tcPr>
            <w:tcW w:w="3036" w:type="dxa"/>
          </w:tcPr>
          <w:p>
            <w:pPr>
              <w:pStyle w:val="TableParagraph"/>
              <w:spacing w:before="20"/>
              <w:ind w:left="149"/>
              <w:rPr>
                <w:sz w:val="24"/>
              </w:rPr>
            </w:pPr>
            <w:r>
              <w:rPr>
                <w:sz w:val="24"/>
              </w:rPr>
              <w:t>Akaike</w:t>
            </w:r>
            <w:r>
              <w:rPr>
                <w:spacing w:val="-4"/>
                <w:sz w:val="24"/>
              </w:rPr>
              <w:t> </w:t>
            </w:r>
            <w:r>
              <w:rPr>
                <w:sz w:val="24"/>
              </w:rPr>
              <w:t>info</w:t>
            </w:r>
            <w:r>
              <w:rPr>
                <w:spacing w:val="-1"/>
                <w:sz w:val="24"/>
              </w:rPr>
              <w:t> </w:t>
            </w:r>
            <w:r>
              <w:rPr>
                <w:spacing w:val="-2"/>
                <w:sz w:val="24"/>
              </w:rPr>
              <w:t>criterion</w:t>
            </w:r>
          </w:p>
        </w:tc>
        <w:tc>
          <w:tcPr>
            <w:tcW w:w="1806" w:type="dxa"/>
          </w:tcPr>
          <w:p>
            <w:pPr>
              <w:pStyle w:val="TableParagraph"/>
              <w:spacing w:before="20"/>
              <w:ind w:right="28"/>
              <w:jc w:val="right"/>
              <w:rPr>
                <w:sz w:val="24"/>
              </w:rPr>
            </w:pPr>
            <w:r>
              <w:rPr>
                <w:spacing w:val="-2"/>
                <w:sz w:val="24"/>
              </w:rPr>
              <w:t>1.163689</w:t>
            </w:r>
          </w:p>
        </w:tc>
      </w:tr>
      <w:tr>
        <w:trPr>
          <w:trHeight w:val="305" w:hRule="atLeast"/>
        </w:trPr>
        <w:tc>
          <w:tcPr>
            <w:tcW w:w="2779" w:type="dxa"/>
          </w:tcPr>
          <w:p>
            <w:pPr>
              <w:pStyle w:val="TableParagraph"/>
              <w:spacing w:line="275" w:lineRule="exact" w:before="10"/>
              <w:ind w:left="43"/>
              <w:rPr>
                <w:sz w:val="24"/>
              </w:rPr>
            </w:pPr>
            <w:r>
              <w:rPr>
                <w:sz w:val="24"/>
              </w:rPr>
              <w:t>Sum</w:t>
            </w:r>
            <w:r>
              <w:rPr>
                <w:spacing w:val="-2"/>
                <w:sz w:val="24"/>
              </w:rPr>
              <w:t> </w:t>
            </w:r>
            <w:r>
              <w:rPr>
                <w:sz w:val="24"/>
              </w:rPr>
              <w:t>squared</w:t>
            </w:r>
            <w:r>
              <w:rPr>
                <w:spacing w:val="-1"/>
                <w:sz w:val="24"/>
              </w:rPr>
              <w:t> </w:t>
            </w:r>
            <w:r>
              <w:rPr>
                <w:spacing w:val="-4"/>
                <w:sz w:val="24"/>
              </w:rPr>
              <w:t>resid</w:t>
            </w:r>
          </w:p>
        </w:tc>
        <w:tc>
          <w:tcPr>
            <w:tcW w:w="1954" w:type="dxa"/>
          </w:tcPr>
          <w:p>
            <w:pPr>
              <w:pStyle w:val="TableParagraph"/>
              <w:spacing w:line="275" w:lineRule="exact" w:before="10"/>
              <w:ind w:right="148"/>
              <w:jc w:val="right"/>
              <w:rPr>
                <w:sz w:val="24"/>
              </w:rPr>
            </w:pPr>
            <w:r>
              <w:rPr>
                <w:spacing w:val="-2"/>
                <w:sz w:val="24"/>
              </w:rPr>
              <w:t>6.205190</w:t>
            </w:r>
          </w:p>
        </w:tc>
        <w:tc>
          <w:tcPr>
            <w:tcW w:w="3036" w:type="dxa"/>
          </w:tcPr>
          <w:p>
            <w:pPr>
              <w:pStyle w:val="TableParagraph"/>
              <w:spacing w:line="275" w:lineRule="exact" w:before="10"/>
              <w:ind w:left="149"/>
              <w:rPr>
                <w:sz w:val="24"/>
              </w:rPr>
            </w:pPr>
            <w:r>
              <w:rPr>
                <w:sz w:val="24"/>
              </w:rPr>
              <w:t>Schwarz</w:t>
            </w:r>
            <w:r>
              <w:rPr>
                <w:spacing w:val="-5"/>
                <w:sz w:val="24"/>
              </w:rPr>
              <w:t> </w:t>
            </w:r>
            <w:r>
              <w:rPr>
                <w:spacing w:val="-2"/>
                <w:sz w:val="24"/>
              </w:rPr>
              <w:t>criterion</w:t>
            </w:r>
          </w:p>
        </w:tc>
        <w:tc>
          <w:tcPr>
            <w:tcW w:w="1806" w:type="dxa"/>
          </w:tcPr>
          <w:p>
            <w:pPr>
              <w:pStyle w:val="TableParagraph"/>
              <w:spacing w:line="275" w:lineRule="exact" w:before="10"/>
              <w:ind w:right="28"/>
              <w:jc w:val="right"/>
              <w:rPr>
                <w:sz w:val="24"/>
              </w:rPr>
            </w:pPr>
            <w:r>
              <w:rPr>
                <w:spacing w:val="-2"/>
                <w:sz w:val="24"/>
              </w:rPr>
              <w:t>1.370554</w:t>
            </w:r>
          </w:p>
        </w:tc>
      </w:tr>
      <w:tr>
        <w:trPr>
          <w:trHeight w:val="315" w:hRule="atLeast"/>
        </w:trPr>
        <w:tc>
          <w:tcPr>
            <w:tcW w:w="2779" w:type="dxa"/>
          </w:tcPr>
          <w:p>
            <w:pPr>
              <w:pStyle w:val="TableParagraph"/>
              <w:spacing w:before="9"/>
              <w:ind w:left="43"/>
              <w:rPr>
                <w:sz w:val="24"/>
              </w:rPr>
            </w:pPr>
            <w:r>
              <w:rPr>
                <w:sz w:val="24"/>
              </w:rPr>
              <w:t>Log</w:t>
            </w:r>
            <w:r>
              <w:rPr>
                <w:spacing w:val="-4"/>
                <w:sz w:val="24"/>
              </w:rPr>
              <w:t> </w:t>
            </w:r>
            <w:r>
              <w:rPr>
                <w:spacing w:val="-2"/>
                <w:sz w:val="24"/>
              </w:rPr>
              <w:t>likelihood</w:t>
            </w:r>
          </w:p>
        </w:tc>
        <w:tc>
          <w:tcPr>
            <w:tcW w:w="1954" w:type="dxa"/>
          </w:tcPr>
          <w:p>
            <w:pPr>
              <w:pStyle w:val="TableParagraph"/>
              <w:spacing w:before="9"/>
              <w:ind w:right="148"/>
              <w:jc w:val="right"/>
              <w:rPr>
                <w:sz w:val="24"/>
              </w:rPr>
            </w:pPr>
            <w:r>
              <w:rPr>
                <w:spacing w:val="-2"/>
                <w:sz w:val="24"/>
              </w:rPr>
              <w:t>-19.43746</w:t>
            </w:r>
          </w:p>
        </w:tc>
        <w:tc>
          <w:tcPr>
            <w:tcW w:w="3036" w:type="dxa"/>
          </w:tcPr>
          <w:p>
            <w:pPr>
              <w:pStyle w:val="TableParagraph"/>
              <w:spacing w:before="9"/>
              <w:ind w:left="149"/>
              <w:rPr>
                <w:sz w:val="24"/>
              </w:rPr>
            </w:pPr>
            <w:r>
              <w:rPr>
                <w:spacing w:val="-2"/>
                <w:sz w:val="24"/>
              </w:rPr>
              <w:t>F-statistic</w:t>
            </w:r>
          </w:p>
        </w:tc>
        <w:tc>
          <w:tcPr>
            <w:tcW w:w="1806" w:type="dxa"/>
          </w:tcPr>
          <w:p>
            <w:pPr>
              <w:pStyle w:val="TableParagraph"/>
              <w:spacing w:before="9"/>
              <w:ind w:right="28"/>
              <w:jc w:val="right"/>
              <w:rPr>
                <w:sz w:val="24"/>
              </w:rPr>
            </w:pPr>
            <w:r>
              <w:rPr>
                <w:spacing w:val="-2"/>
                <w:sz w:val="24"/>
              </w:rPr>
              <w:t>462.6337</w:t>
            </w:r>
          </w:p>
        </w:tc>
      </w:tr>
      <w:tr>
        <w:trPr>
          <w:trHeight w:val="329" w:hRule="atLeast"/>
        </w:trPr>
        <w:tc>
          <w:tcPr>
            <w:tcW w:w="2779" w:type="dxa"/>
            <w:tcBorders>
              <w:bottom w:val="double" w:sz="6" w:space="0" w:color="000000"/>
            </w:tcBorders>
          </w:tcPr>
          <w:p>
            <w:pPr>
              <w:pStyle w:val="TableParagraph"/>
              <w:spacing w:before="20"/>
              <w:ind w:left="43"/>
              <w:rPr>
                <w:sz w:val="24"/>
              </w:rPr>
            </w:pPr>
            <w:r>
              <w:rPr>
                <w:sz w:val="24"/>
              </w:rPr>
              <w:t>Durbin-Watson</w:t>
            </w:r>
            <w:r>
              <w:rPr>
                <w:spacing w:val="-3"/>
                <w:sz w:val="24"/>
              </w:rPr>
              <w:t> </w:t>
            </w:r>
            <w:r>
              <w:rPr>
                <w:spacing w:val="-4"/>
                <w:sz w:val="24"/>
              </w:rPr>
              <w:t>stat</w:t>
            </w:r>
          </w:p>
        </w:tc>
        <w:tc>
          <w:tcPr>
            <w:tcW w:w="1954" w:type="dxa"/>
            <w:tcBorders>
              <w:bottom w:val="double" w:sz="6" w:space="0" w:color="000000"/>
            </w:tcBorders>
          </w:tcPr>
          <w:p>
            <w:pPr>
              <w:pStyle w:val="TableParagraph"/>
              <w:spacing w:before="20"/>
              <w:ind w:right="148"/>
              <w:jc w:val="right"/>
              <w:rPr>
                <w:sz w:val="24"/>
              </w:rPr>
            </w:pPr>
            <w:r>
              <w:rPr>
                <w:spacing w:val="-2"/>
                <w:sz w:val="24"/>
              </w:rPr>
              <w:t>1.752369</w:t>
            </w:r>
          </w:p>
        </w:tc>
        <w:tc>
          <w:tcPr>
            <w:tcW w:w="3036" w:type="dxa"/>
            <w:tcBorders>
              <w:bottom w:val="double" w:sz="6" w:space="0" w:color="000000"/>
            </w:tcBorders>
          </w:tcPr>
          <w:p>
            <w:pPr>
              <w:pStyle w:val="TableParagraph"/>
              <w:spacing w:before="20"/>
              <w:ind w:left="149"/>
              <w:rPr>
                <w:sz w:val="24"/>
              </w:rPr>
            </w:pPr>
            <w:r>
              <w:rPr>
                <w:spacing w:val="-2"/>
                <w:sz w:val="24"/>
              </w:rPr>
              <w:t>Prob(F-statistic)</w:t>
            </w:r>
          </w:p>
        </w:tc>
        <w:tc>
          <w:tcPr>
            <w:tcW w:w="1806" w:type="dxa"/>
            <w:tcBorders>
              <w:bottom w:val="double" w:sz="6" w:space="0" w:color="000000"/>
            </w:tcBorders>
          </w:tcPr>
          <w:p>
            <w:pPr>
              <w:pStyle w:val="TableParagraph"/>
              <w:spacing w:before="20"/>
              <w:ind w:right="28"/>
              <w:jc w:val="right"/>
              <w:rPr>
                <w:sz w:val="24"/>
              </w:rPr>
            </w:pPr>
            <w:r>
              <w:rPr>
                <w:spacing w:val="-2"/>
                <w:sz w:val="24"/>
              </w:rPr>
              <w:t>0.000000</w:t>
            </w:r>
          </w:p>
        </w:tc>
      </w:tr>
    </w:tbl>
    <w:p>
      <w:pPr>
        <w:pStyle w:val="BodyText"/>
        <w:spacing w:before="13"/>
        <w:ind w:left="711"/>
        <w:jc w:val="both"/>
      </w:pPr>
      <w:r>
        <w:rPr>
          <w:b/>
        </w:rPr>
        <w:t>Source:</w:t>
      </w:r>
      <w:r>
        <w:rPr>
          <w:b/>
          <w:spacing w:val="-2"/>
        </w:rPr>
        <w:t> </w:t>
      </w:r>
      <w:r>
        <w:rPr/>
        <w:t>Computation,</w:t>
      </w:r>
      <w:r>
        <w:rPr>
          <w:spacing w:val="-1"/>
        </w:rPr>
        <w:t> </w:t>
      </w:r>
      <w:r>
        <w:rPr/>
        <w:t>using</w:t>
      </w:r>
      <w:r>
        <w:rPr>
          <w:spacing w:val="-4"/>
        </w:rPr>
        <w:t> </w:t>
      </w:r>
      <w:r>
        <w:rPr/>
        <w:t>E-view</w:t>
      </w:r>
      <w:r>
        <w:rPr>
          <w:spacing w:val="-1"/>
        </w:rPr>
        <w:t> </w:t>
      </w:r>
      <w:r>
        <w:rPr/>
        <w:t>statistical</w:t>
      </w:r>
      <w:r>
        <w:rPr>
          <w:spacing w:val="-1"/>
        </w:rPr>
        <w:t> </w:t>
      </w:r>
      <w:r>
        <w:rPr>
          <w:spacing w:val="-2"/>
        </w:rPr>
        <w:t>package</w:t>
      </w:r>
    </w:p>
    <w:p>
      <w:pPr>
        <w:pStyle w:val="BodyText"/>
        <w:spacing w:before="1"/>
      </w:pPr>
    </w:p>
    <w:p>
      <w:pPr>
        <w:pStyle w:val="BodyText"/>
        <w:spacing w:line="480" w:lineRule="auto"/>
        <w:ind w:left="711" w:right="478"/>
        <w:jc w:val="both"/>
        <w:rPr>
          <w:rFonts w:ascii="Cambria"/>
        </w:rPr>
      </w:pPr>
      <w:r>
        <w:rPr>
          <w:rFonts w:ascii="Cambria"/>
        </w:rPr>
        <w:t>The short-run relationship between gross domestic product and the explanatory variable can be expressed mathematically below as:</w:t>
      </w:r>
    </w:p>
    <w:p>
      <w:pPr>
        <w:spacing w:after="0" w:line="480" w:lineRule="auto"/>
        <w:jc w:val="both"/>
        <w:rPr>
          <w:rFonts w:ascii="Cambria"/>
        </w:rPr>
        <w:sectPr>
          <w:pgSz w:w="11910" w:h="16840"/>
          <w:pgMar w:header="0" w:footer="979" w:top="1360" w:bottom="1240" w:left="280" w:right="0"/>
        </w:sectPr>
      </w:pPr>
    </w:p>
    <w:p>
      <w:pPr>
        <w:spacing w:before="81"/>
        <w:ind w:left="711" w:right="0" w:firstLine="0"/>
        <w:jc w:val="left"/>
        <w:rPr>
          <w:rFonts w:ascii="Cambria" w:hAnsi="Cambria"/>
          <w:sz w:val="28"/>
        </w:rPr>
      </w:pPr>
      <w:r>
        <w:rPr>
          <w:rFonts w:ascii="Cambria" w:hAnsi="Cambria"/>
          <w:b/>
          <w:i/>
          <w:spacing w:val="-2"/>
          <w:position w:val="2"/>
          <w:sz w:val="28"/>
        </w:rPr>
        <w:t>GDP=</w:t>
      </w:r>
      <w:r>
        <w:rPr>
          <w:rFonts w:ascii="Arial MT" w:hAnsi="Arial MT"/>
          <w:spacing w:val="-2"/>
          <w:position w:val="2"/>
          <w:sz w:val="20"/>
        </w:rPr>
        <w:t>2.831836</w:t>
      </w:r>
      <w:r>
        <w:rPr>
          <w:rFonts w:ascii="Cambria" w:hAnsi="Cambria"/>
          <w:i/>
          <w:spacing w:val="-2"/>
          <w:position w:val="2"/>
          <w:sz w:val="28"/>
        </w:rPr>
        <w:t>+0.0613180</w:t>
      </w:r>
      <w:r>
        <w:rPr>
          <w:rFonts w:ascii="Cambria" w:hAnsi="Cambria"/>
          <w:b/>
          <w:i/>
          <w:spacing w:val="-2"/>
          <w:sz w:val="18"/>
        </w:rPr>
        <w:t>EXTDEBT</w:t>
      </w:r>
      <w:r>
        <w:rPr>
          <w:rFonts w:ascii="Cambria" w:hAnsi="Cambria"/>
          <w:i/>
          <w:spacing w:val="-2"/>
          <w:position w:val="2"/>
          <w:sz w:val="28"/>
        </w:rPr>
        <w:t>+0.151818</w:t>
      </w:r>
      <w:r>
        <w:rPr>
          <w:rFonts w:ascii="Cambria" w:hAnsi="Cambria"/>
          <w:b/>
          <w:i/>
          <w:spacing w:val="-2"/>
          <w:sz w:val="18"/>
        </w:rPr>
        <w:t>DFI</w:t>
      </w:r>
      <w:r>
        <w:rPr>
          <w:rFonts w:ascii="Cambria" w:hAnsi="Cambria"/>
          <w:b/>
          <w:i/>
          <w:spacing w:val="-2"/>
          <w:position w:val="2"/>
          <w:sz w:val="28"/>
        </w:rPr>
        <w:t>+</w:t>
      </w:r>
      <w:r>
        <w:rPr>
          <w:rFonts w:ascii="Cambria" w:hAnsi="Cambria"/>
          <w:i/>
          <w:spacing w:val="-2"/>
          <w:position w:val="2"/>
          <w:sz w:val="28"/>
        </w:rPr>
        <w:t>0.198151</w:t>
      </w:r>
      <w:r>
        <w:rPr>
          <w:rFonts w:ascii="Cambria" w:hAnsi="Cambria"/>
          <w:b/>
          <w:i/>
          <w:spacing w:val="-2"/>
          <w:sz w:val="18"/>
        </w:rPr>
        <w:t>CAB</w:t>
      </w:r>
      <w:r>
        <w:rPr>
          <w:rFonts w:ascii="Cambria" w:hAnsi="Cambria"/>
          <w:b/>
          <w:i/>
          <w:spacing w:val="-2"/>
          <w:position w:val="2"/>
          <w:sz w:val="28"/>
        </w:rPr>
        <w:t>+2.</w:t>
      </w:r>
      <w:r>
        <w:rPr>
          <w:rFonts w:ascii="Cambria" w:hAnsi="Cambria"/>
          <w:i/>
          <w:spacing w:val="-2"/>
          <w:position w:val="2"/>
          <w:sz w:val="28"/>
        </w:rPr>
        <w:t>1831836</w:t>
      </w:r>
      <w:r>
        <w:rPr>
          <w:rFonts w:ascii="Cambria" w:hAnsi="Cambria"/>
          <w:b/>
          <w:i/>
          <w:spacing w:val="-2"/>
          <w:sz w:val="18"/>
        </w:rPr>
        <w:t>RES</w:t>
      </w:r>
      <w:r>
        <w:rPr>
          <w:rFonts w:ascii="Cambria" w:hAnsi="Cambria"/>
          <w:spacing w:val="-2"/>
          <w:position w:val="2"/>
          <w:sz w:val="28"/>
        </w:rPr>
        <w:t>…(4.3)</w:t>
      </w:r>
    </w:p>
    <w:p>
      <w:pPr>
        <w:pStyle w:val="BodyText"/>
        <w:spacing w:before="1"/>
        <w:rPr>
          <w:rFonts w:ascii="Cambria"/>
          <w:sz w:val="28"/>
        </w:rPr>
      </w:pPr>
    </w:p>
    <w:p>
      <w:pPr>
        <w:pStyle w:val="BodyText"/>
        <w:spacing w:line="480" w:lineRule="auto"/>
        <w:ind w:left="711" w:right="475"/>
        <w:jc w:val="both"/>
      </w:pPr>
      <w:r>
        <w:rPr/>
        <w:t>The analyses from Table 4.3 show that all the variables are positively related to dependent variable (Gross Domestic Product) and are statistically significant in explaining the behaviour of the dependent variable (GDP) in the short run in conformity with the expected results.</w:t>
      </w:r>
    </w:p>
    <w:p>
      <w:pPr>
        <w:pStyle w:val="BodyText"/>
        <w:spacing w:line="480" w:lineRule="auto"/>
        <w:ind w:left="711" w:right="474"/>
        <w:jc w:val="both"/>
        <w:rPr>
          <w:rFonts w:ascii="Cambria"/>
        </w:rPr>
      </w:pPr>
      <w:r>
        <w:rPr>
          <w:rFonts w:ascii="Cambria"/>
        </w:rPr>
        <w:t>The result shows that the constant parameter is directly related with gross domestic product. It has a positive coefficient of </w:t>
      </w:r>
      <w:r>
        <w:rPr>
          <w:rFonts w:ascii="Arial MT"/>
          <w:sz w:val="20"/>
        </w:rPr>
        <w:t>2.831836 </w:t>
      </w:r>
      <w:r>
        <w:rPr>
          <w:rFonts w:ascii="Cambria"/>
        </w:rPr>
        <w:t>which implies that if all explanatory variables are held constant in the short-run, gross domestic product will increase by </w:t>
      </w:r>
      <w:r>
        <w:rPr>
          <w:rFonts w:ascii="Arial MT"/>
          <w:sz w:val="20"/>
        </w:rPr>
        <w:t>2.831836 </w:t>
      </w:r>
      <w:r>
        <w:rPr>
          <w:rFonts w:ascii="Cambria"/>
        </w:rPr>
        <w:t>units</w:t>
      </w:r>
    </w:p>
    <w:p>
      <w:pPr>
        <w:pStyle w:val="BodyText"/>
        <w:spacing w:line="480" w:lineRule="auto"/>
        <w:ind w:left="711" w:right="469"/>
        <w:jc w:val="both"/>
        <w:rPr>
          <w:rFonts w:ascii="Cambria" w:hAnsi="Cambria"/>
        </w:rPr>
      </w:pPr>
      <w:r>
        <w:rPr>
          <w:rFonts w:ascii="Cambria" w:hAnsi="Cambria"/>
        </w:rPr>
        <w:t>Also, Change in External Debt (δEXTDEBT) showed a positive coefficient of 0.0613180 which implies that a unit increase in the level of change in external debt will increase the value of gross domestic product by 0.0613180 units. Direct Foreign Investment coefficient of </w:t>
      </w:r>
      <w:r>
        <w:rPr>
          <w:rFonts w:ascii="Cambria" w:hAnsi="Cambria"/>
          <w:i/>
        </w:rPr>
        <w:t>0.151818 </w:t>
      </w:r>
      <w:r>
        <w:rPr>
          <w:rFonts w:ascii="Cambria" w:hAnsi="Cambria"/>
        </w:rPr>
        <w:t>implies that an increase in the direct foreign investment will result into 0.151818</w:t>
      </w:r>
      <w:r>
        <w:rPr>
          <w:rFonts w:ascii="Cambria" w:hAnsi="Cambria"/>
          <w:spacing w:val="-13"/>
        </w:rPr>
        <w:t> </w:t>
      </w:r>
      <w:r>
        <w:rPr>
          <w:rFonts w:ascii="Cambria" w:hAnsi="Cambria"/>
        </w:rPr>
        <w:t>units increase in the value of Gross domestic product. Also, the Current Account Balance (CAB) of 0.198151 denotes that an increase in the level of current account will result in 0.198151i ncrease in Gross Domestic Product so also is a</w:t>
      </w:r>
      <w:r>
        <w:rPr>
          <w:rFonts w:ascii="Cambria" w:hAnsi="Cambria"/>
          <w:spacing w:val="40"/>
        </w:rPr>
        <w:t> </w:t>
      </w:r>
      <w:r>
        <w:rPr>
          <w:rFonts w:ascii="Cambria" w:hAnsi="Cambria"/>
        </w:rPr>
        <w:t>unit increase in the change in foreign reserve will lead to a 2.1831836 increase in Gross Domestic </w:t>
      </w:r>
      <w:r>
        <w:rPr>
          <w:rFonts w:ascii="Cambria" w:hAnsi="Cambria"/>
          <w:spacing w:val="-2"/>
        </w:rPr>
        <w:t>Product</w:t>
      </w:r>
    </w:p>
    <w:p>
      <w:pPr>
        <w:pStyle w:val="BodyText"/>
        <w:spacing w:line="480" w:lineRule="auto" w:before="1"/>
        <w:ind w:left="711" w:right="469"/>
        <w:jc w:val="both"/>
        <w:rPr>
          <w:rFonts w:ascii="Cambria" w:hAnsi="Cambria"/>
        </w:rPr>
      </w:pPr>
      <w:r>
        <w:rPr>
          <w:rFonts w:ascii="Cambria" w:hAnsi="Cambria"/>
        </w:rPr>
        <w:t>The coefficient of multiple determinants (R</w:t>
      </w:r>
      <w:r>
        <w:rPr>
          <w:rFonts w:ascii="Cambria" w:hAnsi="Cambria"/>
          <w:position w:val="6"/>
          <w:sz w:val="16"/>
        </w:rPr>
        <w:t>2</w:t>
      </w:r>
      <w:r>
        <w:rPr>
          <w:rFonts w:ascii="Cambria" w:hAnsi="Cambria"/>
        </w:rPr>
        <w:t>) showed a coefficient of </w:t>
      </w:r>
      <w:r>
        <w:rPr>
          <w:rFonts w:ascii="Arial MT" w:hAnsi="Arial MT"/>
        </w:rPr>
        <w:t>0.980398 </w:t>
      </w:r>
      <w:r>
        <w:rPr>
          <w:rFonts w:ascii="Cambria" w:hAnsi="Cambria"/>
        </w:rPr>
        <w:t>which implies a 98.04% explanation of the behaviour of gross domestic product by the totality of the explanatory variables (δEXTDEBT, DFI, CAB and δRES) in the short-run. The Adjusted R</w:t>
      </w:r>
      <w:r>
        <w:rPr>
          <w:rFonts w:ascii="Cambria" w:hAnsi="Cambria"/>
          <w:position w:val="6"/>
          <w:sz w:val="16"/>
        </w:rPr>
        <w:t>2</w:t>
      </w:r>
      <w:r>
        <w:rPr>
          <w:rFonts w:ascii="Cambria" w:hAnsi="Cambria"/>
          <w:spacing w:val="40"/>
          <w:position w:val="6"/>
          <w:sz w:val="16"/>
        </w:rPr>
        <w:t> </w:t>
      </w:r>
      <w:r>
        <w:rPr>
          <w:rFonts w:ascii="Cambria" w:hAnsi="Cambria"/>
        </w:rPr>
        <w:t>further proved this with the adjusted value of </w:t>
      </w:r>
      <w:r>
        <w:rPr>
          <w:rFonts w:ascii="Cambria" w:hAnsi="Cambria"/>
          <w:b/>
        </w:rPr>
        <w:t>Adjusted </w:t>
      </w:r>
      <w:r>
        <w:rPr>
          <w:rFonts w:ascii="Cambria" w:hAnsi="Cambria"/>
        </w:rPr>
        <w:t>0.978279 which implies a 97.83% explanation of the behaviour of gross domestic product by the totality of the explanatory variables with the remaining 1.87% behaviour attributed to other variables outside the model otherwise referred to as the stochastic </w:t>
      </w:r>
      <w:r>
        <w:rPr>
          <w:rFonts w:ascii="Cambria" w:hAnsi="Cambria"/>
          <w:spacing w:val="-2"/>
        </w:rPr>
        <w:t>variables.</w:t>
      </w:r>
    </w:p>
    <w:p>
      <w:pPr>
        <w:spacing w:line="480" w:lineRule="auto" w:before="0"/>
        <w:ind w:left="711" w:right="472" w:firstLine="0"/>
        <w:jc w:val="both"/>
        <w:rPr>
          <w:sz w:val="24"/>
        </w:rPr>
      </w:pPr>
      <w:r>
        <w:rPr>
          <w:b/>
          <w:sz w:val="24"/>
        </w:rPr>
        <w:t>Validation and testing of hypotheses</w:t>
      </w:r>
      <w:r>
        <w:rPr>
          <w:sz w:val="24"/>
        </w:rPr>
        <w:t>: The hypothesis below was tested under model 2A wich examine the effect of capital flight on economic growth.</w:t>
      </w:r>
    </w:p>
    <w:p>
      <w:pPr>
        <w:pStyle w:val="BodyText"/>
        <w:ind w:left="711"/>
        <w:jc w:val="both"/>
      </w:pPr>
      <w:r>
        <w:rPr/>
        <w:t>The</w:t>
      </w:r>
      <w:r>
        <w:rPr>
          <w:spacing w:val="-3"/>
        </w:rPr>
        <w:t> </w:t>
      </w:r>
      <w:r>
        <w:rPr/>
        <w:t>hypothesis is re-stated</w:t>
      </w:r>
      <w:r>
        <w:rPr>
          <w:spacing w:val="-1"/>
        </w:rPr>
        <w:t> </w:t>
      </w:r>
      <w:r>
        <w:rPr/>
        <w:t>in</w:t>
      </w:r>
      <w:r>
        <w:rPr>
          <w:spacing w:val="1"/>
        </w:rPr>
        <w:t> </w:t>
      </w:r>
      <w:r>
        <w:rPr/>
        <w:t>the null</w:t>
      </w:r>
      <w:r>
        <w:rPr>
          <w:spacing w:val="-1"/>
        </w:rPr>
        <w:t> </w:t>
      </w:r>
      <w:r>
        <w:rPr/>
        <w:t>form as </w:t>
      </w:r>
      <w:r>
        <w:rPr>
          <w:spacing w:val="-2"/>
        </w:rPr>
        <w:t>follows;</w:t>
      </w:r>
    </w:p>
    <w:p>
      <w:pPr>
        <w:spacing w:after="0"/>
        <w:jc w:val="both"/>
        <w:sectPr>
          <w:pgSz w:w="11910" w:h="16840"/>
          <w:pgMar w:header="0" w:footer="979" w:top="1340" w:bottom="1240" w:left="280" w:right="0"/>
        </w:sectPr>
      </w:pPr>
    </w:p>
    <w:p>
      <w:pPr>
        <w:pStyle w:val="Heading6"/>
        <w:spacing w:before="60"/>
        <w:rPr>
          <w:b w:val="0"/>
        </w:rPr>
      </w:pPr>
      <w:r>
        <w:rPr>
          <w:position w:val="1"/>
        </w:rPr>
        <w:t>H</w:t>
      </w:r>
      <w:r>
        <w:rPr>
          <w:sz w:val="16"/>
        </w:rPr>
        <w:t>03</w:t>
      </w:r>
      <w:r>
        <w:rPr>
          <w:position w:val="1"/>
        </w:rPr>
        <w:t>:</w:t>
      </w:r>
      <w:r>
        <w:rPr>
          <w:spacing w:val="55"/>
          <w:position w:val="1"/>
        </w:rPr>
        <w:t>  </w:t>
      </w:r>
      <w:r>
        <w:rPr>
          <w:position w:val="1"/>
        </w:rPr>
        <w:t>Capital</w:t>
      </w:r>
      <w:r>
        <w:rPr>
          <w:spacing w:val="-1"/>
          <w:position w:val="1"/>
        </w:rPr>
        <w:t> </w:t>
      </w:r>
      <w:r>
        <w:rPr>
          <w:position w:val="1"/>
        </w:rPr>
        <w:t>flight</w:t>
      </w:r>
      <w:r>
        <w:rPr>
          <w:spacing w:val="-1"/>
          <w:position w:val="1"/>
        </w:rPr>
        <w:t> </w:t>
      </w:r>
      <w:r>
        <w:rPr>
          <w:position w:val="1"/>
        </w:rPr>
        <w:t>has</w:t>
      </w:r>
      <w:r>
        <w:rPr>
          <w:spacing w:val="-3"/>
          <w:position w:val="1"/>
        </w:rPr>
        <w:t> </w:t>
      </w:r>
      <w:r>
        <w:rPr>
          <w:position w:val="1"/>
        </w:rPr>
        <w:t>no</w:t>
      </w:r>
      <w:r>
        <w:rPr>
          <w:spacing w:val="-2"/>
          <w:position w:val="1"/>
        </w:rPr>
        <w:t> </w:t>
      </w:r>
      <w:r>
        <w:rPr>
          <w:position w:val="1"/>
        </w:rPr>
        <w:t>significant</w:t>
      </w:r>
      <w:r>
        <w:rPr>
          <w:spacing w:val="-1"/>
          <w:position w:val="1"/>
        </w:rPr>
        <w:t> </w:t>
      </w:r>
      <w:r>
        <w:rPr>
          <w:position w:val="1"/>
        </w:rPr>
        <w:t>effect</w:t>
      </w:r>
      <w:r>
        <w:rPr>
          <w:spacing w:val="-1"/>
          <w:position w:val="1"/>
        </w:rPr>
        <w:t> </w:t>
      </w:r>
      <w:r>
        <w:rPr>
          <w:position w:val="1"/>
        </w:rPr>
        <w:t>on the</w:t>
      </w:r>
      <w:r>
        <w:rPr>
          <w:spacing w:val="-2"/>
          <w:position w:val="1"/>
        </w:rPr>
        <w:t> </w:t>
      </w:r>
      <w:r>
        <w:rPr>
          <w:position w:val="1"/>
        </w:rPr>
        <w:t>Nigeria’s</w:t>
      </w:r>
      <w:r>
        <w:rPr>
          <w:spacing w:val="1"/>
          <w:position w:val="1"/>
        </w:rPr>
        <w:t> </w:t>
      </w:r>
      <w:r>
        <w:rPr>
          <w:position w:val="1"/>
        </w:rPr>
        <w:t>economic</w:t>
      </w:r>
      <w:r>
        <w:rPr>
          <w:spacing w:val="1"/>
          <w:position w:val="1"/>
        </w:rPr>
        <w:t> </w:t>
      </w:r>
      <w:r>
        <w:rPr>
          <w:spacing w:val="-2"/>
          <w:position w:val="1"/>
        </w:rPr>
        <w:t>growth</w:t>
      </w:r>
      <w:r>
        <w:rPr>
          <w:b w:val="0"/>
          <w:spacing w:val="-2"/>
          <w:position w:val="1"/>
        </w:rPr>
        <w:t>.</w:t>
      </w:r>
    </w:p>
    <w:p>
      <w:pPr>
        <w:pStyle w:val="BodyText"/>
        <w:spacing w:before="1"/>
      </w:pPr>
    </w:p>
    <w:p>
      <w:pPr>
        <w:pStyle w:val="BodyText"/>
        <w:spacing w:line="480" w:lineRule="auto"/>
        <w:ind w:left="711" w:right="468"/>
        <w:jc w:val="both"/>
      </w:pPr>
      <w:r>
        <w:rPr/>
        <w:t>The probability values from the table show that the alternative hypothesis is accepted for all the variables because</w:t>
      </w:r>
      <w:r>
        <w:rPr>
          <w:spacing w:val="-1"/>
        </w:rPr>
        <w:t> </w:t>
      </w:r>
      <w:r>
        <w:rPr/>
        <w:t>they</w:t>
      </w:r>
      <w:r>
        <w:rPr>
          <w:spacing w:val="-7"/>
        </w:rPr>
        <w:t> </w:t>
      </w:r>
      <w:r>
        <w:rPr/>
        <w:t>are</w:t>
      </w:r>
      <w:r>
        <w:rPr>
          <w:spacing w:val="-4"/>
        </w:rPr>
        <w:t> </w:t>
      </w:r>
      <w:r>
        <w:rPr/>
        <w:t>all</w:t>
      </w:r>
      <w:r>
        <w:rPr>
          <w:spacing w:val="-2"/>
        </w:rPr>
        <w:t> </w:t>
      </w:r>
      <w:r>
        <w:rPr/>
        <w:t>significant</w:t>
      </w:r>
      <w:r>
        <w:rPr>
          <w:spacing w:val="-2"/>
        </w:rPr>
        <w:t> </w:t>
      </w:r>
      <w:r>
        <w:rPr/>
        <w:t>in</w:t>
      </w:r>
      <w:r>
        <w:rPr>
          <w:spacing w:val="-2"/>
        </w:rPr>
        <w:t> </w:t>
      </w:r>
      <w:r>
        <w:rPr/>
        <w:t>explaining</w:t>
      </w:r>
      <w:r>
        <w:rPr>
          <w:spacing w:val="-4"/>
        </w:rPr>
        <w:t> </w:t>
      </w:r>
      <w:r>
        <w:rPr/>
        <w:t>the</w:t>
      </w:r>
      <w:r>
        <w:rPr>
          <w:spacing w:val="-2"/>
        </w:rPr>
        <w:t> </w:t>
      </w:r>
      <w:r>
        <w:rPr/>
        <w:t>behaviour</w:t>
      </w:r>
      <w:r>
        <w:rPr>
          <w:spacing w:val="-2"/>
        </w:rPr>
        <w:t> </w:t>
      </w:r>
      <w:r>
        <w:rPr/>
        <w:t>of</w:t>
      </w:r>
      <w:r>
        <w:rPr>
          <w:spacing w:val="-3"/>
        </w:rPr>
        <w:t> </w:t>
      </w:r>
      <w:r>
        <w:rPr/>
        <w:t>the</w:t>
      </w:r>
      <w:r>
        <w:rPr>
          <w:spacing w:val="-3"/>
        </w:rPr>
        <w:t> </w:t>
      </w:r>
      <w:r>
        <w:rPr/>
        <w:t>dependent</w:t>
      </w:r>
      <w:r>
        <w:rPr>
          <w:spacing w:val="-2"/>
        </w:rPr>
        <w:t> </w:t>
      </w:r>
      <w:r>
        <w:rPr/>
        <w:t>variable.</w:t>
      </w:r>
      <w:r>
        <w:rPr>
          <w:spacing w:val="40"/>
        </w:rPr>
        <w:t> </w:t>
      </w:r>
      <w:r>
        <w:rPr/>
        <w:t>Since</w:t>
      </w:r>
      <w:r>
        <w:rPr>
          <w:spacing w:val="-2"/>
        </w:rPr>
        <w:t> </w:t>
      </w:r>
      <w:r>
        <w:rPr/>
        <w:t>all</w:t>
      </w:r>
      <w:r>
        <w:rPr>
          <w:spacing w:val="-2"/>
        </w:rPr>
        <w:t> </w:t>
      </w:r>
      <w:r>
        <w:rPr/>
        <w:t>the</w:t>
      </w:r>
      <w:r>
        <w:rPr>
          <w:spacing w:val="-2"/>
        </w:rPr>
        <w:t> </w:t>
      </w:r>
      <w:r>
        <w:rPr/>
        <w:t>probality values of all the variables are less than 5%, the alternative hypothesis is accepted for all the variables. This confirmed that the variables positively impact Economic Growth in the short run.</w:t>
      </w:r>
    </w:p>
    <w:p>
      <w:pPr>
        <w:pStyle w:val="Heading2"/>
        <w:spacing w:before="1"/>
      </w:pPr>
      <w:r>
        <w:rPr/>
        <w:t>Table</w:t>
      </w:r>
      <w:r>
        <w:rPr>
          <w:spacing w:val="-6"/>
        </w:rPr>
        <w:t> </w:t>
      </w:r>
      <w:r>
        <w:rPr/>
        <w:t>4.4</w:t>
      </w:r>
      <w:r>
        <w:rPr>
          <w:spacing w:val="-2"/>
        </w:rPr>
        <w:t> </w:t>
      </w:r>
      <w:r>
        <w:rPr/>
        <w:t>Presentation</w:t>
      </w:r>
      <w:r>
        <w:rPr>
          <w:spacing w:val="-3"/>
        </w:rPr>
        <w:t> </w:t>
      </w:r>
      <w:r>
        <w:rPr/>
        <w:t>and</w:t>
      </w:r>
      <w:r>
        <w:rPr>
          <w:spacing w:val="-6"/>
        </w:rPr>
        <w:t> </w:t>
      </w:r>
      <w:r>
        <w:rPr/>
        <w:t>Interpretation</w:t>
      </w:r>
      <w:r>
        <w:rPr>
          <w:spacing w:val="-3"/>
        </w:rPr>
        <w:t> </w:t>
      </w:r>
      <w:r>
        <w:rPr/>
        <w:t>of</w:t>
      </w:r>
      <w:r>
        <w:rPr>
          <w:spacing w:val="-3"/>
        </w:rPr>
        <w:t> </w:t>
      </w:r>
      <w:r>
        <w:rPr/>
        <w:t>Short</w:t>
      </w:r>
      <w:r>
        <w:rPr>
          <w:spacing w:val="-3"/>
        </w:rPr>
        <w:t> </w:t>
      </w:r>
      <w:r>
        <w:rPr/>
        <w:t>run</w:t>
      </w:r>
      <w:r>
        <w:rPr>
          <w:spacing w:val="-5"/>
        </w:rPr>
        <w:t> </w:t>
      </w:r>
      <w:r>
        <w:rPr/>
        <w:t>Results</w:t>
      </w:r>
      <w:r>
        <w:rPr>
          <w:spacing w:val="-2"/>
        </w:rPr>
        <w:t> </w:t>
      </w:r>
      <w:r>
        <w:rPr/>
        <w:t>for</w:t>
      </w:r>
      <w:r>
        <w:rPr>
          <w:spacing w:val="-3"/>
        </w:rPr>
        <w:t> </w:t>
      </w:r>
      <w:r>
        <w:rPr/>
        <w:t>Model</w:t>
      </w:r>
      <w:r>
        <w:rPr>
          <w:spacing w:val="-2"/>
        </w:rPr>
        <w:t> </w:t>
      </w:r>
      <w:r>
        <w:rPr>
          <w:spacing w:val="-5"/>
        </w:rPr>
        <w:t>2B</w:t>
      </w:r>
    </w:p>
    <w:p>
      <w:pPr>
        <w:spacing w:before="161"/>
        <w:ind w:left="780" w:right="0" w:firstLine="0"/>
        <w:jc w:val="both"/>
        <w:rPr>
          <w:b/>
          <w:sz w:val="28"/>
        </w:rPr>
      </w:pPr>
      <w:r>
        <w:rPr>
          <w:b/>
          <w:sz w:val="18"/>
        </w:rPr>
        <w:t>DEPENDENT</w:t>
      </w:r>
      <w:r>
        <w:rPr>
          <w:b/>
          <w:spacing w:val="-4"/>
          <w:sz w:val="18"/>
        </w:rPr>
        <w:t> </w:t>
      </w:r>
      <w:r>
        <w:rPr>
          <w:b/>
          <w:sz w:val="18"/>
        </w:rPr>
        <w:t>VARIABLE</w:t>
      </w:r>
      <w:r>
        <w:rPr>
          <w:b/>
          <w:spacing w:val="-2"/>
          <w:sz w:val="18"/>
        </w:rPr>
        <w:t> </w:t>
      </w:r>
      <w:r>
        <w:rPr>
          <w:b/>
          <w:sz w:val="18"/>
        </w:rPr>
        <w:t>=</w:t>
      </w:r>
      <w:r>
        <w:rPr>
          <w:b/>
          <w:spacing w:val="-1"/>
          <w:sz w:val="18"/>
        </w:rPr>
        <w:t> </w:t>
      </w:r>
      <w:r>
        <w:rPr>
          <w:b/>
          <w:sz w:val="18"/>
        </w:rPr>
        <w:t>GDP</w:t>
      </w:r>
      <w:r>
        <w:rPr>
          <w:b/>
          <w:spacing w:val="-3"/>
          <w:sz w:val="18"/>
        </w:rPr>
        <w:t> </w:t>
      </w:r>
      <w:r>
        <w:rPr>
          <w:b/>
          <w:sz w:val="18"/>
        </w:rPr>
        <w:t>(</w:t>
      </w:r>
      <w:r>
        <w:rPr>
          <w:b/>
          <w:sz w:val="28"/>
        </w:rPr>
        <w:t>Morgan</w:t>
      </w:r>
      <w:r>
        <w:rPr>
          <w:b/>
          <w:spacing w:val="-5"/>
          <w:sz w:val="28"/>
        </w:rPr>
        <w:t> </w:t>
      </w:r>
      <w:r>
        <w:rPr>
          <w:b/>
          <w:sz w:val="28"/>
        </w:rPr>
        <w:t>Guaranty</w:t>
      </w:r>
      <w:r>
        <w:rPr>
          <w:b/>
          <w:spacing w:val="-3"/>
          <w:sz w:val="28"/>
        </w:rPr>
        <w:t> </w:t>
      </w:r>
      <w:r>
        <w:rPr>
          <w:b/>
          <w:sz w:val="28"/>
        </w:rPr>
        <w:t>Trust</w:t>
      </w:r>
      <w:r>
        <w:rPr>
          <w:b/>
          <w:spacing w:val="-5"/>
          <w:sz w:val="28"/>
        </w:rPr>
        <w:t> </w:t>
      </w:r>
      <w:r>
        <w:rPr>
          <w:b/>
          <w:sz w:val="28"/>
        </w:rPr>
        <w:t>(1986)</w:t>
      </w:r>
      <w:r>
        <w:rPr>
          <w:b/>
          <w:spacing w:val="-4"/>
          <w:sz w:val="28"/>
        </w:rPr>
        <w:t> </w:t>
      </w:r>
      <w:r>
        <w:rPr>
          <w:b/>
          <w:spacing w:val="-2"/>
          <w:sz w:val="28"/>
        </w:rPr>
        <w:t>approach)</w:t>
      </w:r>
    </w:p>
    <w:p>
      <w:pPr>
        <w:pStyle w:val="BodyText"/>
        <w:spacing w:before="10"/>
        <w:rPr>
          <w:b/>
          <w:sz w:val="13"/>
        </w:rPr>
      </w:pPr>
    </w:p>
    <w:tbl>
      <w:tblPr>
        <w:tblW w:w="0" w:type="auto"/>
        <w:jc w:val="left"/>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24"/>
        <w:gridCol w:w="2029"/>
        <w:gridCol w:w="2250"/>
        <w:gridCol w:w="1801"/>
        <w:gridCol w:w="1800"/>
      </w:tblGrid>
      <w:tr>
        <w:trPr>
          <w:trHeight w:val="1125" w:hRule="atLeast"/>
        </w:trPr>
        <w:tc>
          <w:tcPr>
            <w:tcW w:w="2024" w:type="dxa"/>
          </w:tcPr>
          <w:p>
            <w:pPr>
              <w:pStyle w:val="TableParagraph"/>
              <w:spacing w:before="2"/>
              <w:ind w:left="105"/>
              <w:rPr>
                <w:rFonts w:ascii="Cambria"/>
                <w:b/>
                <w:sz w:val="24"/>
              </w:rPr>
            </w:pPr>
            <w:r>
              <w:rPr>
                <w:rFonts w:ascii="Cambria"/>
                <w:b/>
                <w:spacing w:val="-2"/>
                <w:sz w:val="24"/>
              </w:rPr>
              <w:t>INDEPENDENT</w:t>
            </w:r>
          </w:p>
          <w:p>
            <w:pPr>
              <w:pStyle w:val="TableParagraph"/>
              <w:spacing w:before="5"/>
              <w:rPr>
                <w:b/>
                <w:sz w:val="24"/>
              </w:rPr>
            </w:pPr>
          </w:p>
          <w:p>
            <w:pPr>
              <w:pStyle w:val="TableParagraph"/>
              <w:ind w:left="105"/>
              <w:rPr>
                <w:rFonts w:ascii="Cambria"/>
                <w:b/>
                <w:sz w:val="24"/>
              </w:rPr>
            </w:pPr>
            <w:r>
              <w:rPr>
                <w:rFonts w:ascii="Cambria"/>
                <w:b/>
                <w:spacing w:val="-2"/>
                <w:sz w:val="24"/>
              </w:rPr>
              <w:t>VARIABLE</w:t>
            </w:r>
          </w:p>
        </w:tc>
        <w:tc>
          <w:tcPr>
            <w:tcW w:w="2029" w:type="dxa"/>
          </w:tcPr>
          <w:p>
            <w:pPr>
              <w:pStyle w:val="TableParagraph"/>
              <w:spacing w:before="2"/>
              <w:ind w:left="105"/>
              <w:rPr>
                <w:rFonts w:ascii="Cambria"/>
                <w:b/>
                <w:sz w:val="24"/>
              </w:rPr>
            </w:pPr>
            <w:r>
              <w:rPr>
                <w:rFonts w:ascii="Cambria"/>
                <w:b/>
                <w:spacing w:val="-2"/>
                <w:sz w:val="24"/>
              </w:rPr>
              <w:t>COEFFICIENT</w:t>
            </w:r>
          </w:p>
          <w:p>
            <w:pPr>
              <w:pStyle w:val="TableParagraph"/>
              <w:spacing w:before="5"/>
              <w:rPr>
                <w:b/>
                <w:sz w:val="24"/>
              </w:rPr>
            </w:pPr>
          </w:p>
          <w:p>
            <w:pPr>
              <w:pStyle w:val="TableParagraph"/>
              <w:ind w:left="105"/>
              <w:rPr>
                <w:rFonts w:ascii="Cambria"/>
                <w:b/>
                <w:sz w:val="24"/>
              </w:rPr>
            </w:pPr>
            <w:r>
              <w:rPr>
                <w:rFonts w:ascii="Cambria"/>
                <w:b/>
                <w:sz w:val="24"/>
              </w:rPr>
              <w:t>OF</w:t>
            </w:r>
            <w:r>
              <w:rPr>
                <w:rFonts w:ascii="Cambria"/>
                <w:b/>
                <w:spacing w:val="-1"/>
                <w:sz w:val="24"/>
              </w:rPr>
              <w:t> </w:t>
            </w:r>
            <w:r>
              <w:rPr>
                <w:rFonts w:ascii="Cambria"/>
                <w:b/>
                <w:spacing w:val="-2"/>
                <w:sz w:val="24"/>
              </w:rPr>
              <w:t>ESTIMATES</w:t>
            </w:r>
          </w:p>
        </w:tc>
        <w:tc>
          <w:tcPr>
            <w:tcW w:w="2250" w:type="dxa"/>
          </w:tcPr>
          <w:p>
            <w:pPr>
              <w:pStyle w:val="TableParagraph"/>
              <w:spacing w:before="7"/>
              <w:rPr>
                <w:b/>
                <w:sz w:val="24"/>
              </w:rPr>
            </w:pPr>
          </w:p>
          <w:p>
            <w:pPr>
              <w:pStyle w:val="TableParagraph"/>
              <w:ind w:left="104"/>
              <w:rPr>
                <w:rFonts w:ascii="Cambria"/>
                <w:b/>
                <w:sz w:val="24"/>
              </w:rPr>
            </w:pPr>
            <w:r>
              <w:rPr>
                <w:rFonts w:ascii="Cambria"/>
                <w:b/>
                <w:sz w:val="24"/>
              </w:rPr>
              <w:t>T- </w:t>
            </w:r>
            <w:r>
              <w:rPr>
                <w:rFonts w:ascii="Cambria"/>
                <w:b/>
                <w:spacing w:val="-2"/>
                <w:sz w:val="24"/>
              </w:rPr>
              <w:t>STATISTICS</w:t>
            </w:r>
          </w:p>
        </w:tc>
        <w:tc>
          <w:tcPr>
            <w:tcW w:w="1801" w:type="dxa"/>
          </w:tcPr>
          <w:p>
            <w:pPr>
              <w:pStyle w:val="TableParagraph"/>
              <w:spacing w:before="2"/>
              <w:ind w:left="103"/>
              <w:rPr>
                <w:rFonts w:ascii="Cambria"/>
                <w:b/>
                <w:sz w:val="24"/>
              </w:rPr>
            </w:pPr>
            <w:r>
              <w:rPr>
                <w:rFonts w:ascii="Cambria"/>
                <w:b/>
                <w:spacing w:val="-2"/>
                <w:sz w:val="24"/>
              </w:rPr>
              <w:t>PROBABILITY</w:t>
            </w:r>
          </w:p>
          <w:p>
            <w:pPr>
              <w:pStyle w:val="TableParagraph"/>
              <w:spacing w:before="5"/>
              <w:rPr>
                <w:b/>
                <w:sz w:val="24"/>
              </w:rPr>
            </w:pPr>
          </w:p>
          <w:p>
            <w:pPr>
              <w:pStyle w:val="TableParagraph"/>
              <w:ind w:left="103"/>
              <w:rPr>
                <w:rFonts w:ascii="Cambria"/>
                <w:b/>
                <w:sz w:val="24"/>
              </w:rPr>
            </w:pPr>
            <w:r>
              <w:rPr>
                <w:rFonts w:ascii="Cambria"/>
                <w:b/>
                <w:spacing w:val="-2"/>
                <w:sz w:val="24"/>
              </w:rPr>
              <w:t>VALUE</w:t>
            </w:r>
          </w:p>
        </w:tc>
        <w:tc>
          <w:tcPr>
            <w:tcW w:w="1800" w:type="dxa"/>
          </w:tcPr>
          <w:p>
            <w:pPr>
              <w:pStyle w:val="TableParagraph"/>
              <w:spacing w:before="2"/>
              <w:ind w:left="103"/>
              <w:rPr>
                <w:rFonts w:ascii="Cambria"/>
                <w:b/>
                <w:sz w:val="24"/>
              </w:rPr>
            </w:pPr>
            <w:r>
              <w:rPr>
                <w:rFonts w:ascii="Cambria"/>
                <w:b/>
                <w:spacing w:val="-2"/>
                <w:sz w:val="24"/>
              </w:rPr>
              <w:t>REMARKS</w:t>
            </w:r>
          </w:p>
        </w:tc>
      </w:tr>
      <w:tr>
        <w:trPr>
          <w:trHeight w:val="277" w:hRule="atLeast"/>
        </w:trPr>
        <w:tc>
          <w:tcPr>
            <w:tcW w:w="2024" w:type="dxa"/>
          </w:tcPr>
          <w:p>
            <w:pPr>
              <w:pStyle w:val="TableParagraph"/>
              <w:spacing w:line="229" w:lineRule="exact"/>
              <w:ind w:left="3" w:right="1"/>
              <w:jc w:val="center"/>
              <w:rPr>
                <w:rFonts w:ascii="Arial MT"/>
                <w:sz w:val="20"/>
              </w:rPr>
            </w:pPr>
            <w:r>
              <w:rPr>
                <w:rFonts w:ascii="Arial MT"/>
                <w:spacing w:val="-10"/>
                <w:sz w:val="20"/>
              </w:rPr>
              <w:t>C</w:t>
            </w:r>
          </w:p>
        </w:tc>
        <w:tc>
          <w:tcPr>
            <w:tcW w:w="2029" w:type="dxa"/>
          </w:tcPr>
          <w:p>
            <w:pPr>
              <w:pStyle w:val="TableParagraph"/>
              <w:spacing w:line="229" w:lineRule="exact"/>
              <w:ind w:right="101"/>
              <w:jc w:val="right"/>
              <w:rPr>
                <w:rFonts w:ascii="Arial MT"/>
                <w:sz w:val="20"/>
              </w:rPr>
            </w:pPr>
            <w:r>
              <w:rPr>
                <w:rFonts w:ascii="Arial MT"/>
                <w:spacing w:val="-2"/>
                <w:sz w:val="20"/>
              </w:rPr>
              <w:t>2.836515</w:t>
            </w:r>
          </w:p>
        </w:tc>
        <w:tc>
          <w:tcPr>
            <w:tcW w:w="2250" w:type="dxa"/>
          </w:tcPr>
          <w:p>
            <w:pPr>
              <w:pStyle w:val="TableParagraph"/>
              <w:spacing w:line="229" w:lineRule="exact"/>
              <w:ind w:right="103"/>
              <w:jc w:val="right"/>
              <w:rPr>
                <w:rFonts w:ascii="Arial MT"/>
                <w:sz w:val="20"/>
              </w:rPr>
            </w:pPr>
            <w:r>
              <w:rPr>
                <w:rFonts w:ascii="Arial MT"/>
                <w:spacing w:val="-2"/>
                <w:sz w:val="20"/>
              </w:rPr>
              <w:t>8.170538</w:t>
            </w:r>
          </w:p>
        </w:tc>
        <w:tc>
          <w:tcPr>
            <w:tcW w:w="1801" w:type="dxa"/>
          </w:tcPr>
          <w:p>
            <w:pPr>
              <w:pStyle w:val="TableParagraph"/>
              <w:spacing w:line="229" w:lineRule="exact"/>
              <w:ind w:right="103"/>
              <w:jc w:val="right"/>
              <w:rPr>
                <w:rFonts w:ascii="Arial MT"/>
                <w:sz w:val="20"/>
              </w:rPr>
            </w:pPr>
            <w:r>
              <w:rPr>
                <w:rFonts w:ascii="Arial MT"/>
                <w:spacing w:val="-2"/>
                <w:sz w:val="20"/>
              </w:rPr>
              <w:t>0.0000</w:t>
            </w:r>
          </w:p>
        </w:tc>
        <w:tc>
          <w:tcPr>
            <w:tcW w:w="1800" w:type="dxa"/>
          </w:tcPr>
          <w:p>
            <w:pPr>
              <w:pStyle w:val="TableParagraph"/>
              <w:spacing w:line="257" w:lineRule="exact" w:before="1"/>
              <w:ind w:right="103"/>
              <w:jc w:val="right"/>
              <w:rPr>
                <w:sz w:val="24"/>
              </w:rPr>
            </w:pPr>
            <w:r>
              <w:rPr>
                <w:spacing w:val="-2"/>
                <w:sz w:val="24"/>
              </w:rPr>
              <w:t>Significant</w:t>
            </w:r>
          </w:p>
        </w:tc>
      </w:tr>
      <w:tr>
        <w:trPr>
          <w:trHeight w:val="330" w:hRule="atLeast"/>
        </w:trPr>
        <w:tc>
          <w:tcPr>
            <w:tcW w:w="2024" w:type="dxa"/>
          </w:tcPr>
          <w:p>
            <w:pPr>
              <w:pStyle w:val="TableParagraph"/>
              <w:spacing w:line="281" w:lineRule="exact"/>
              <w:ind w:left="3" w:right="2"/>
              <w:jc w:val="center"/>
              <w:rPr>
                <w:rFonts w:ascii="Arial MT" w:hAnsi="Arial MT"/>
                <w:sz w:val="20"/>
              </w:rPr>
            </w:pPr>
            <w:r>
              <w:rPr>
                <w:rFonts w:ascii="Cambria" w:hAnsi="Cambria"/>
                <w:spacing w:val="-2"/>
                <w:sz w:val="24"/>
              </w:rPr>
              <w:t>δ</w:t>
            </w:r>
            <w:r>
              <w:rPr>
                <w:rFonts w:ascii="Arial MT" w:hAnsi="Arial MT"/>
                <w:spacing w:val="-2"/>
                <w:sz w:val="20"/>
              </w:rPr>
              <w:t>EXTDEBT</w:t>
            </w:r>
          </w:p>
        </w:tc>
        <w:tc>
          <w:tcPr>
            <w:tcW w:w="2029" w:type="dxa"/>
          </w:tcPr>
          <w:p>
            <w:pPr>
              <w:pStyle w:val="TableParagraph"/>
              <w:spacing w:line="229" w:lineRule="exact"/>
              <w:ind w:right="101"/>
              <w:jc w:val="right"/>
              <w:rPr>
                <w:rFonts w:ascii="Arial MT"/>
                <w:sz w:val="20"/>
              </w:rPr>
            </w:pPr>
            <w:r>
              <w:rPr>
                <w:rFonts w:ascii="Arial MT"/>
                <w:spacing w:val="-2"/>
                <w:sz w:val="20"/>
              </w:rPr>
              <w:t>0.059176</w:t>
            </w:r>
          </w:p>
        </w:tc>
        <w:tc>
          <w:tcPr>
            <w:tcW w:w="2250" w:type="dxa"/>
          </w:tcPr>
          <w:p>
            <w:pPr>
              <w:pStyle w:val="TableParagraph"/>
              <w:spacing w:line="229" w:lineRule="exact"/>
              <w:ind w:right="103"/>
              <w:jc w:val="right"/>
              <w:rPr>
                <w:rFonts w:ascii="Arial MT"/>
                <w:sz w:val="20"/>
              </w:rPr>
            </w:pPr>
            <w:r>
              <w:rPr>
                <w:rFonts w:ascii="Arial MT"/>
                <w:spacing w:val="-2"/>
                <w:sz w:val="20"/>
              </w:rPr>
              <w:t>1.985894</w:t>
            </w:r>
          </w:p>
        </w:tc>
        <w:tc>
          <w:tcPr>
            <w:tcW w:w="1801" w:type="dxa"/>
          </w:tcPr>
          <w:p>
            <w:pPr>
              <w:pStyle w:val="TableParagraph"/>
              <w:spacing w:line="229" w:lineRule="exact"/>
              <w:ind w:right="103"/>
              <w:jc w:val="right"/>
              <w:rPr>
                <w:rFonts w:ascii="Arial MT"/>
                <w:sz w:val="20"/>
              </w:rPr>
            </w:pPr>
            <w:r>
              <w:rPr>
                <w:rFonts w:ascii="Arial MT"/>
                <w:spacing w:val="-2"/>
                <w:sz w:val="20"/>
              </w:rPr>
              <w:t>0.0547</w:t>
            </w:r>
          </w:p>
        </w:tc>
        <w:tc>
          <w:tcPr>
            <w:tcW w:w="1800" w:type="dxa"/>
          </w:tcPr>
          <w:p>
            <w:pPr>
              <w:pStyle w:val="TableParagraph"/>
              <w:spacing w:line="275" w:lineRule="exact"/>
              <w:ind w:right="103"/>
              <w:jc w:val="right"/>
              <w:rPr>
                <w:sz w:val="24"/>
              </w:rPr>
            </w:pPr>
            <w:r>
              <w:rPr>
                <w:spacing w:val="-2"/>
                <w:sz w:val="24"/>
              </w:rPr>
              <w:t>Significant</w:t>
            </w:r>
          </w:p>
        </w:tc>
      </w:tr>
      <w:tr>
        <w:trPr>
          <w:trHeight w:val="340" w:hRule="atLeast"/>
        </w:trPr>
        <w:tc>
          <w:tcPr>
            <w:tcW w:w="2024" w:type="dxa"/>
          </w:tcPr>
          <w:p>
            <w:pPr>
              <w:pStyle w:val="TableParagraph"/>
              <w:spacing w:line="229" w:lineRule="exact"/>
              <w:ind w:left="3" w:right="1"/>
              <w:jc w:val="center"/>
              <w:rPr>
                <w:rFonts w:ascii="Arial MT"/>
                <w:sz w:val="20"/>
              </w:rPr>
            </w:pPr>
            <w:r>
              <w:rPr>
                <w:rFonts w:ascii="Arial MT"/>
                <w:spacing w:val="-5"/>
                <w:sz w:val="20"/>
              </w:rPr>
              <w:t>DFI</w:t>
            </w:r>
          </w:p>
        </w:tc>
        <w:tc>
          <w:tcPr>
            <w:tcW w:w="2029" w:type="dxa"/>
          </w:tcPr>
          <w:p>
            <w:pPr>
              <w:pStyle w:val="TableParagraph"/>
              <w:spacing w:line="229" w:lineRule="exact"/>
              <w:ind w:right="101"/>
              <w:jc w:val="right"/>
              <w:rPr>
                <w:rFonts w:ascii="Arial MT"/>
                <w:sz w:val="20"/>
              </w:rPr>
            </w:pPr>
            <w:r>
              <w:rPr>
                <w:rFonts w:ascii="Arial MT"/>
                <w:spacing w:val="-2"/>
                <w:sz w:val="20"/>
              </w:rPr>
              <w:t>0.611646</w:t>
            </w:r>
          </w:p>
        </w:tc>
        <w:tc>
          <w:tcPr>
            <w:tcW w:w="2250" w:type="dxa"/>
          </w:tcPr>
          <w:p>
            <w:pPr>
              <w:pStyle w:val="TableParagraph"/>
              <w:spacing w:line="229" w:lineRule="exact"/>
              <w:ind w:right="103"/>
              <w:jc w:val="right"/>
              <w:rPr>
                <w:rFonts w:ascii="Arial MT"/>
                <w:sz w:val="20"/>
              </w:rPr>
            </w:pPr>
            <w:r>
              <w:rPr>
                <w:rFonts w:ascii="Arial MT"/>
                <w:spacing w:val="-2"/>
                <w:sz w:val="20"/>
              </w:rPr>
              <w:t>9.420443</w:t>
            </w:r>
          </w:p>
        </w:tc>
        <w:tc>
          <w:tcPr>
            <w:tcW w:w="1801" w:type="dxa"/>
          </w:tcPr>
          <w:p>
            <w:pPr>
              <w:pStyle w:val="TableParagraph"/>
              <w:spacing w:line="229" w:lineRule="exact"/>
              <w:ind w:right="103"/>
              <w:jc w:val="right"/>
              <w:rPr>
                <w:rFonts w:ascii="Arial MT"/>
                <w:sz w:val="20"/>
              </w:rPr>
            </w:pPr>
            <w:r>
              <w:rPr>
                <w:rFonts w:ascii="Arial MT"/>
                <w:spacing w:val="-2"/>
                <w:sz w:val="20"/>
              </w:rPr>
              <w:t>0.0000</w:t>
            </w:r>
          </w:p>
        </w:tc>
        <w:tc>
          <w:tcPr>
            <w:tcW w:w="1800" w:type="dxa"/>
          </w:tcPr>
          <w:p>
            <w:pPr>
              <w:pStyle w:val="TableParagraph"/>
              <w:spacing w:line="275" w:lineRule="exact"/>
              <w:ind w:right="103"/>
              <w:jc w:val="right"/>
              <w:rPr>
                <w:sz w:val="24"/>
              </w:rPr>
            </w:pPr>
            <w:r>
              <w:rPr>
                <w:spacing w:val="-2"/>
                <w:sz w:val="24"/>
              </w:rPr>
              <w:t>Significant</w:t>
            </w:r>
          </w:p>
        </w:tc>
      </w:tr>
      <w:tr>
        <w:trPr>
          <w:trHeight w:val="350" w:hRule="atLeast"/>
        </w:trPr>
        <w:tc>
          <w:tcPr>
            <w:tcW w:w="2024" w:type="dxa"/>
          </w:tcPr>
          <w:p>
            <w:pPr>
              <w:pStyle w:val="TableParagraph"/>
              <w:spacing w:line="229" w:lineRule="exact"/>
              <w:ind w:left="3"/>
              <w:jc w:val="center"/>
              <w:rPr>
                <w:rFonts w:ascii="Arial MT"/>
                <w:sz w:val="20"/>
              </w:rPr>
            </w:pPr>
            <w:r>
              <w:rPr>
                <w:rFonts w:ascii="Arial MT"/>
                <w:spacing w:val="-5"/>
                <w:sz w:val="20"/>
              </w:rPr>
              <w:t>CAB</w:t>
            </w:r>
          </w:p>
        </w:tc>
        <w:tc>
          <w:tcPr>
            <w:tcW w:w="2029" w:type="dxa"/>
          </w:tcPr>
          <w:p>
            <w:pPr>
              <w:pStyle w:val="TableParagraph"/>
              <w:spacing w:line="229" w:lineRule="exact"/>
              <w:ind w:right="101"/>
              <w:jc w:val="right"/>
              <w:rPr>
                <w:rFonts w:ascii="Arial MT"/>
                <w:sz w:val="20"/>
              </w:rPr>
            </w:pPr>
            <w:r>
              <w:rPr>
                <w:rFonts w:ascii="Arial MT"/>
                <w:spacing w:val="-2"/>
                <w:sz w:val="20"/>
              </w:rPr>
              <w:t>0.149739</w:t>
            </w:r>
          </w:p>
        </w:tc>
        <w:tc>
          <w:tcPr>
            <w:tcW w:w="2250" w:type="dxa"/>
          </w:tcPr>
          <w:p>
            <w:pPr>
              <w:pStyle w:val="TableParagraph"/>
              <w:spacing w:line="229" w:lineRule="exact"/>
              <w:ind w:right="103"/>
              <w:jc w:val="right"/>
              <w:rPr>
                <w:rFonts w:ascii="Arial MT"/>
                <w:sz w:val="20"/>
              </w:rPr>
            </w:pPr>
            <w:r>
              <w:rPr>
                <w:rFonts w:ascii="Arial MT"/>
                <w:spacing w:val="-2"/>
                <w:sz w:val="20"/>
              </w:rPr>
              <w:t>2.483446</w:t>
            </w:r>
          </w:p>
        </w:tc>
        <w:tc>
          <w:tcPr>
            <w:tcW w:w="1801" w:type="dxa"/>
          </w:tcPr>
          <w:p>
            <w:pPr>
              <w:pStyle w:val="TableParagraph"/>
              <w:spacing w:line="229" w:lineRule="exact"/>
              <w:ind w:right="103"/>
              <w:jc w:val="right"/>
              <w:rPr>
                <w:rFonts w:ascii="Arial MT"/>
                <w:sz w:val="20"/>
              </w:rPr>
            </w:pPr>
            <w:r>
              <w:rPr>
                <w:rFonts w:ascii="Arial MT"/>
                <w:spacing w:val="-2"/>
                <w:sz w:val="20"/>
              </w:rPr>
              <w:t>0.0178</w:t>
            </w:r>
          </w:p>
        </w:tc>
        <w:tc>
          <w:tcPr>
            <w:tcW w:w="1800" w:type="dxa"/>
          </w:tcPr>
          <w:p>
            <w:pPr>
              <w:pStyle w:val="TableParagraph"/>
              <w:spacing w:before="1"/>
              <w:ind w:right="103"/>
              <w:jc w:val="right"/>
              <w:rPr>
                <w:sz w:val="24"/>
              </w:rPr>
            </w:pPr>
            <w:r>
              <w:rPr>
                <w:spacing w:val="-2"/>
                <w:sz w:val="24"/>
              </w:rPr>
              <w:t>Significant</w:t>
            </w:r>
          </w:p>
        </w:tc>
      </w:tr>
      <w:tr>
        <w:trPr>
          <w:trHeight w:val="350" w:hRule="atLeast"/>
        </w:trPr>
        <w:tc>
          <w:tcPr>
            <w:tcW w:w="2024" w:type="dxa"/>
          </w:tcPr>
          <w:p>
            <w:pPr>
              <w:pStyle w:val="TableParagraph"/>
              <w:spacing w:before="2"/>
              <w:ind w:left="3" w:right="3"/>
              <w:jc w:val="center"/>
              <w:rPr>
                <w:rFonts w:ascii="Arial MT" w:hAnsi="Arial MT"/>
                <w:sz w:val="20"/>
              </w:rPr>
            </w:pPr>
            <w:r>
              <w:rPr>
                <w:rFonts w:ascii="Cambria" w:hAnsi="Cambria"/>
                <w:spacing w:val="-4"/>
                <w:sz w:val="24"/>
              </w:rPr>
              <w:t>δ</w:t>
            </w:r>
            <w:r>
              <w:rPr>
                <w:rFonts w:ascii="Arial MT" w:hAnsi="Arial MT"/>
                <w:spacing w:val="-4"/>
                <w:sz w:val="20"/>
              </w:rPr>
              <w:t>RES</w:t>
            </w:r>
          </w:p>
        </w:tc>
        <w:tc>
          <w:tcPr>
            <w:tcW w:w="2029" w:type="dxa"/>
          </w:tcPr>
          <w:p>
            <w:pPr>
              <w:pStyle w:val="TableParagraph"/>
              <w:spacing w:line="229" w:lineRule="exact"/>
              <w:ind w:right="101"/>
              <w:jc w:val="right"/>
              <w:rPr>
                <w:rFonts w:ascii="Arial MT"/>
                <w:sz w:val="20"/>
              </w:rPr>
            </w:pPr>
            <w:r>
              <w:rPr>
                <w:rFonts w:ascii="Arial MT"/>
                <w:spacing w:val="-2"/>
                <w:sz w:val="20"/>
              </w:rPr>
              <w:t>0.194025</w:t>
            </w:r>
          </w:p>
        </w:tc>
        <w:tc>
          <w:tcPr>
            <w:tcW w:w="2250" w:type="dxa"/>
          </w:tcPr>
          <w:p>
            <w:pPr>
              <w:pStyle w:val="TableParagraph"/>
              <w:spacing w:line="229" w:lineRule="exact"/>
              <w:ind w:right="103"/>
              <w:jc w:val="right"/>
              <w:rPr>
                <w:rFonts w:ascii="Arial MT"/>
                <w:sz w:val="20"/>
              </w:rPr>
            </w:pPr>
            <w:r>
              <w:rPr>
                <w:rFonts w:ascii="Arial MT"/>
                <w:spacing w:val="-2"/>
                <w:sz w:val="20"/>
              </w:rPr>
              <w:t>2.752518</w:t>
            </w:r>
          </w:p>
        </w:tc>
        <w:tc>
          <w:tcPr>
            <w:tcW w:w="1801" w:type="dxa"/>
          </w:tcPr>
          <w:p>
            <w:pPr>
              <w:pStyle w:val="TableParagraph"/>
              <w:spacing w:line="229" w:lineRule="exact"/>
              <w:ind w:right="103"/>
              <w:jc w:val="right"/>
              <w:rPr>
                <w:rFonts w:ascii="Arial MT"/>
                <w:sz w:val="20"/>
              </w:rPr>
            </w:pPr>
            <w:r>
              <w:rPr>
                <w:rFonts w:ascii="Arial MT"/>
                <w:spacing w:val="-2"/>
                <w:sz w:val="20"/>
              </w:rPr>
              <w:t>0.0092</w:t>
            </w:r>
          </w:p>
        </w:tc>
        <w:tc>
          <w:tcPr>
            <w:tcW w:w="1800" w:type="dxa"/>
          </w:tcPr>
          <w:p>
            <w:pPr>
              <w:pStyle w:val="TableParagraph"/>
              <w:spacing w:before="1"/>
              <w:ind w:right="103"/>
              <w:jc w:val="right"/>
              <w:rPr>
                <w:sz w:val="24"/>
              </w:rPr>
            </w:pPr>
            <w:r>
              <w:rPr>
                <w:spacing w:val="-2"/>
                <w:sz w:val="24"/>
              </w:rPr>
              <w:t>Significant</w:t>
            </w:r>
          </w:p>
        </w:tc>
      </w:tr>
      <w:tr>
        <w:trPr>
          <w:trHeight w:val="359" w:hRule="atLeast"/>
        </w:trPr>
        <w:tc>
          <w:tcPr>
            <w:tcW w:w="2024" w:type="dxa"/>
          </w:tcPr>
          <w:p>
            <w:pPr>
              <w:pStyle w:val="TableParagraph"/>
              <w:spacing w:before="2"/>
              <w:ind w:left="3" w:right="3"/>
              <w:jc w:val="center"/>
              <w:rPr>
                <w:rFonts w:ascii="Arial MT" w:hAnsi="Arial MT"/>
                <w:sz w:val="20"/>
              </w:rPr>
            </w:pPr>
            <w:r>
              <w:rPr>
                <w:rFonts w:ascii="Cambria" w:hAnsi="Cambria"/>
                <w:spacing w:val="-2"/>
                <w:sz w:val="24"/>
              </w:rPr>
              <w:t>δ</w:t>
            </w:r>
            <w:r>
              <w:rPr>
                <w:rFonts w:ascii="Arial MT" w:hAnsi="Arial MT"/>
                <w:spacing w:val="-2"/>
                <w:sz w:val="20"/>
              </w:rPr>
              <w:t>NEXTAS</w:t>
            </w:r>
          </w:p>
        </w:tc>
        <w:tc>
          <w:tcPr>
            <w:tcW w:w="2029" w:type="dxa"/>
          </w:tcPr>
          <w:p>
            <w:pPr>
              <w:pStyle w:val="TableParagraph"/>
              <w:spacing w:line="229" w:lineRule="exact"/>
              <w:ind w:right="101"/>
              <w:jc w:val="right"/>
              <w:rPr>
                <w:rFonts w:ascii="Arial MT"/>
                <w:sz w:val="20"/>
              </w:rPr>
            </w:pPr>
            <w:r>
              <w:rPr>
                <w:rFonts w:ascii="Arial MT"/>
                <w:spacing w:val="-2"/>
                <w:sz w:val="20"/>
              </w:rPr>
              <w:t>0.008570</w:t>
            </w:r>
          </w:p>
        </w:tc>
        <w:tc>
          <w:tcPr>
            <w:tcW w:w="2250" w:type="dxa"/>
          </w:tcPr>
          <w:p>
            <w:pPr>
              <w:pStyle w:val="TableParagraph"/>
              <w:spacing w:line="229" w:lineRule="exact"/>
              <w:ind w:right="103"/>
              <w:jc w:val="right"/>
              <w:rPr>
                <w:rFonts w:ascii="Arial MT"/>
                <w:sz w:val="20"/>
              </w:rPr>
            </w:pPr>
            <w:r>
              <w:rPr>
                <w:rFonts w:ascii="Arial MT"/>
                <w:spacing w:val="-2"/>
                <w:sz w:val="20"/>
              </w:rPr>
              <w:t>0.123354</w:t>
            </w:r>
          </w:p>
        </w:tc>
        <w:tc>
          <w:tcPr>
            <w:tcW w:w="1801" w:type="dxa"/>
          </w:tcPr>
          <w:p>
            <w:pPr>
              <w:pStyle w:val="TableParagraph"/>
              <w:spacing w:line="229" w:lineRule="exact"/>
              <w:ind w:right="103"/>
              <w:jc w:val="right"/>
              <w:rPr>
                <w:rFonts w:ascii="Arial MT"/>
                <w:sz w:val="20"/>
              </w:rPr>
            </w:pPr>
            <w:r>
              <w:rPr>
                <w:rFonts w:ascii="Arial MT"/>
                <w:spacing w:val="-2"/>
                <w:sz w:val="20"/>
              </w:rPr>
              <w:t>0.9025</w:t>
            </w:r>
          </w:p>
        </w:tc>
        <w:tc>
          <w:tcPr>
            <w:tcW w:w="1800" w:type="dxa"/>
          </w:tcPr>
          <w:p>
            <w:pPr>
              <w:pStyle w:val="TableParagraph"/>
              <w:spacing w:before="1"/>
              <w:ind w:right="101"/>
              <w:jc w:val="right"/>
              <w:rPr>
                <w:sz w:val="24"/>
              </w:rPr>
            </w:pPr>
            <w:r>
              <w:rPr>
                <w:spacing w:val="-2"/>
                <w:sz w:val="24"/>
              </w:rPr>
              <w:t>Insignificant</w:t>
            </w:r>
          </w:p>
        </w:tc>
      </w:tr>
    </w:tbl>
    <w:p>
      <w:pPr>
        <w:pStyle w:val="BodyText"/>
        <w:spacing w:before="7"/>
        <w:rPr>
          <w:b/>
          <w:sz w:val="2"/>
        </w:rPr>
      </w:pPr>
    </w:p>
    <w:tbl>
      <w:tblPr>
        <w:tblW w:w="0" w:type="auto"/>
        <w:jc w:val="left"/>
        <w:tblInd w:w="7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88"/>
        <w:gridCol w:w="1963"/>
        <w:gridCol w:w="3047"/>
        <w:gridCol w:w="1817"/>
      </w:tblGrid>
      <w:tr>
        <w:trPr>
          <w:trHeight w:val="271" w:hRule="atLeast"/>
        </w:trPr>
        <w:tc>
          <w:tcPr>
            <w:tcW w:w="2788" w:type="dxa"/>
          </w:tcPr>
          <w:p>
            <w:pPr>
              <w:pStyle w:val="TableParagraph"/>
              <w:spacing w:line="251" w:lineRule="exact"/>
              <w:ind w:left="43"/>
              <w:rPr>
                <w:sz w:val="24"/>
              </w:rPr>
            </w:pPr>
            <w:r>
              <w:rPr>
                <w:sz w:val="24"/>
              </w:rPr>
              <w:t>R-</w:t>
            </w:r>
            <w:r>
              <w:rPr>
                <w:spacing w:val="-2"/>
                <w:sz w:val="24"/>
              </w:rPr>
              <w:t>squared</w:t>
            </w:r>
          </w:p>
        </w:tc>
        <w:tc>
          <w:tcPr>
            <w:tcW w:w="1963" w:type="dxa"/>
          </w:tcPr>
          <w:p>
            <w:pPr>
              <w:pStyle w:val="TableParagraph"/>
              <w:spacing w:line="251" w:lineRule="exact"/>
              <w:ind w:right="147"/>
              <w:jc w:val="right"/>
              <w:rPr>
                <w:sz w:val="24"/>
              </w:rPr>
            </w:pPr>
            <w:r>
              <w:rPr>
                <w:spacing w:val="-2"/>
                <w:sz w:val="24"/>
              </w:rPr>
              <w:t>0.980406</w:t>
            </w:r>
          </w:p>
        </w:tc>
        <w:tc>
          <w:tcPr>
            <w:tcW w:w="3047" w:type="dxa"/>
          </w:tcPr>
          <w:p>
            <w:pPr>
              <w:pStyle w:val="TableParagraph"/>
              <w:spacing w:line="251" w:lineRule="exact"/>
              <w:ind w:left="150"/>
              <w:rPr>
                <w:sz w:val="24"/>
              </w:rPr>
            </w:pPr>
            <w:r>
              <w:rPr>
                <w:sz w:val="24"/>
              </w:rPr>
              <w:t>Mean</w:t>
            </w:r>
            <w:r>
              <w:rPr>
                <w:spacing w:val="-2"/>
                <w:sz w:val="24"/>
              </w:rPr>
              <w:t> </w:t>
            </w:r>
            <w:r>
              <w:rPr>
                <w:sz w:val="24"/>
              </w:rPr>
              <w:t>dependent</w:t>
            </w:r>
            <w:r>
              <w:rPr>
                <w:spacing w:val="-1"/>
                <w:sz w:val="24"/>
              </w:rPr>
              <w:t> </w:t>
            </w:r>
            <w:r>
              <w:rPr>
                <w:spacing w:val="-5"/>
                <w:sz w:val="24"/>
              </w:rPr>
              <w:t>var</w:t>
            </w:r>
          </w:p>
        </w:tc>
        <w:tc>
          <w:tcPr>
            <w:tcW w:w="1817" w:type="dxa"/>
          </w:tcPr>
          <w:p>
            <w:pPr>
              <w:pStyle w:val="TableParagraph"/>
              <w:spacing w:line="251" w:lineRule="exact"/>
              <w:ind w:right="27"/>
              <w:jc w:val="right"/>
              <w:rPr>
                <w:sz w:val="24"/>
              </w:rPr>
            </w:pPr>
            <w:r>
              <w:rPr>
                <w:spacing w:val="-2"/>
                <w:sz w:val="24"/>
              </w:rPr>
              <w:t>12.99879</w:t>
            </w:r>
          </w:p>
        </w:tc>
      </w:tr>
      <w:tr>
        <w:trPr>
          <w:trHeight w:val="276" w:hRule="atLeast"/>
        </w:trPr>
        <w:tc>
          <w:tcPr>
            <w:tcW w:w="2788" w:type="dxa"/>
          </w:tcPr>
          <w:p>
            <w:pPr>
              <w:pStyle w:val="TableParagraph"/>
              <w:spacing w:line="256" w:lineRule="exact"/>
              <w:ind w:left="43"/>
              <w:rPr>
                <w:sz w:val="24"/>
              </w:rPr>
            </w:pPr>
            <w:r>
              <w:rPr>
                <w:sz w:val="24"/>
              </w:rPr>
              <w:t>Adjusted</w:t>
            </w:r>
            <w:r>
              <w:rPr>
                <w:spacing w:val="-1"/>
                <w:sz w:val="24"/>
              </w:rPr>
              <w:t> </w:t>
            </w:r>
            <w:r>
              <w:rPr>
                <w:sz w:val="24"/>
              </w:rPr>
              <w:t>R-</w:t>
            </w:r>
            <w:r>
              <w:rPr>
                <w:spacing w:val="-2"/>
                <w:sz w:val="24"/>
              </w:rPr>
              <w:t>squared</w:t>
            </w:r>
          </w:p>
        </w:tc>
        <w:tc>
          <w:tcPr>
            <w:tcW w:w="1963" w:type="dxa"/>
          </w:tcPr>
          <w:p>
            <w:pPr>
              <w:pStyle w:val="TableParagraph"/>
              <w:spacing w:line="256" w:lineRule="exact"/>
              <w:ind w:right="147"/>
              <w:jc w:val="right"/>
              <w:rPr>
                <w:sz w:val="24"/>
              </w:rPr>
            </w:pPr>
            <w:r>
              <w:rPr>
                <w:spacing w:val="-2"/>
                <w:sz w:val="24"/>
              </w:rPr>
              <w:t>0.977685</w:t>
            </w:r>
          </w:p>
        </w:tc>
        <w:tc>
          <w:tcPr>
            <w:tcW w:w="3047" w:type="dxa"/>
          </w:tcPr>
          <w:p>
            <w:pPr>
              <w:pStyle w:val="TableParagraph"/>
              <w:spacing w:line="256" w:lineRule="exact"/>
              <w:ind w:left="150"/>
              <w:rPr>
                <w:sz w:val="24"/>
              </w:rPr>
            </w:pPr>
            <w:r>
              <w:rPr>
                <w:sz w:val="24"/>
              </w:rPr>
              <w:t>S.D.</w:t>
            </w:r>
            <w:r>
              <w:rPr>
                <w:spacing w:val="-4"/>
                <w:sz w:val="24"/>
              </w:rPr>
              <w:t> </w:t>
            </w:r>
            <w:r>
              <w:rPr>
                <w:sz w:val="24"/>
              </w:rPr>
              <w:t>dependent</w:t>
            </w:r>
            <w:r>
              <w:rPr>
                <w:spacing w:val="-2"/>
                <w:sz w:val="24"/>
              </w:rPr>
              <w:t> </w:t>
            </w:r>
            <w:r>
              <w:rPr>
                <w:spacing w:val="-5"/>
                <w:sz w:val="24"/>
              </w:rPr>
              <w:t>var</w:t>
            </w:r>
          </w:p>
        </w:tc>
        <w:tc>
          <w:tcPr>
            <w:tcW w:w="1817" w:type="dxa"/>
          </w:tcPr>
          <w:p>
            <w:pPr>
              <w:pStyle w:val="TableParagraph"/>
              <w:spacing w:line="256" w:lineRule="exact"/>
              <w:ind w:right="27"/>
              <w:jc w:val="right"/>
              <w:rPr>
                <w:sz w:val="24"/>
              </w:rPr>
            </w:pPr>
            <w:r>
              <w:rPr>
                <w:spacing w:val="-2"/>
                <w:sz w:val="24"/>
              </w:rPr>
              <w:t>2.778640</w:t>
            </w:r>
          </w:p>
        </w:tc>
      </w:tr>
      <w:tr>
        <w:trPr>
          <w:trHeight w:val="276" w:hRule="atLeast"/>
        </w:trPr>
        <w:tc>
          <w:tcPr>
            <w:tcW w:w="2788" w:type="dxa"/>
          </w:tcPr>
          <w:p>
            <w:pPr>
              <w:pStyle w:val="TableParagraph"/>
              <w:spacing w:line="256" w:lineRule="exact"/>
              <w:ind w:left="43"/>
              <w:rPr>
                <w:sz w:val="24"/>
              </w:rPr>
            </w:pPr>
            <w:r>
              <w:rPr>
                <w:sz w:val="24"/>
              </w:rPr>
              <w:t>S.E. of</w:t>
            </w:r>
            <w:r>
              <w:rPr>
                <w:spacing w:val="-1"/>
                <w:sz w:val="24"/>
              </w:rPr>
              <w:t> </w:t>
            </w:r>
            <w:r>
              <w:rPr>
                <w:spacing w:val="-2"/>
                <w:sz w:val="24"/>
              </w:rPr>
              <w:t>regression</w:t>
            </w:r>
          </w:p>
        </w:tc>
        <w:tc>
          <w:tcPr>
            <w:tcW w:w="1963" w:type="dxa"/>
          </w:tcPr>
          <w:p>
            <w:pPr>
              <w:pStyle w:val="TableParagraph"/>
              <w:spacing w:line="256" w:lineRule="exact"/>
              <w:ind w:right="147"/>
              <w:jc w:val="right"/>
              <w:rPr>
                <w:sz w:val="24"/>
              </w:rPr>
            </w:pPr>
            <w:r>
              <w:rPr>
                <w:spacing w:val="-2"/>
                <w:sz w:val="24"/>
              </w:rPr>
              <w:t>0.415083</w:t>
            </w:r>
          </w:p>
        </w:tc>
        <w:tc>
          <w:tcPr>
            <w:tcW w:w="3047" w:type="dxa"/>
          </w:tcPr>
          <w:p>
            <w:pPr>
              <w:pStyle w:val="TableParagraph"/>
              <w:spacing w:line="256" w:lineRule="exact"/>
              <w:ind w:left="150"/>
              <w:rPr>
                <w:sz w:val="24"/>
              </w:rPr>
            </w:pPr>
            <w:r>
              <w:rPr>
                <w:sz w:val="24"/>
              </w:rPr>
              <w:t>Akaike</w:t>
            </w:r>
            <w:r>
              <w:rPr>
                <w:spacing w:val="-4"/>
                <w:sz w:val="24"/>
              </w:rPr>
              <w:t> </w:t>
            </w:r>
            <w:r>
              <w:rPr>
                <w:sz w:val="24"/>
              </w:rPr>
              <w:t>info</w:t>
            </w:r>
            <w:r>
              <w:rPr>
                <w:spacing w:val="-1"/>
                <w:sz w:val="24"/>
              </w:rPr>
              <w:t> </w:t>
            </w:r>
            <w:r>
              <w:rPr>
                <w:spacing w:val="-2"/>
                <w:sz w:val="24"/>
              </w:rPr>
              <w:t>criterion</w:t>
            </w:r>
          </w:p>
        </w:tc>
        <w:tc>
          <w:tcPr>
            <w:tcW w:w="1817" w:type="dxa"/>
          </w:tcPr>
          <w:p>
            <w:pPr>
              <w:pStyle w:val="TableParagraph"/>
              <w:spacing w:line="256" w:lineRule="exact"/>
              <w:ind w:right="27"/>
              <w:jc w:val="right"/>
              <w:rPr>
                <w:sz w:val="24"/>
              </w:rPr>
            </w:pPr>
            <w:r>
              <w:rPr>
                <w:spacing w:val="-2"/>
                <w:sz w:val="24"/>
              </w:rPr>
              <w:t>1.210885</w:t>
            </w:r>
          </w:p>
        </w:tc>
      </w:tr>
      <w:tr>
        <w:trPr>
          <w:trHeight w:val="275" w:hRule="atLeast"/>
        </w:trPr>
        <w:tc>
          <w:tcPr>
            <w:tcW w:w="2788" w:type="dxa"/>
          </w:tcPr>
          <w:p>
            <w:pPr>
              <w:pStyle w:val="TableParagraph"/>
              <w:spacing w:line="256" w:lineRule="exact"/>
              <w:ind w:left="43"/>
              <w:rPr>
                <w:sz w:val="24"/>
              </w:rPr>
            </w:pPr>
            <w:r>
              <w:rPr>
                <w:sz w:val="24"/>
              </w:rPr>
              <w:t>Sum</w:t>
            </w:r>
            <w:r>
              <w:rPr>
                <w:spacing w:val="-2"/>
                <w:sz w:val="24"/>
              </w:rPr>
              <w:t> </w:t>
            </w:r>
            <w:r>
              <w:rPr>
                <w:sz w:val="24"/>
              </w:rPr>
              <w:t>squared</w:t>
            </w:r>
            <w:r>
              <w:rPr>
                <w:spacing w:val="-1"/>
                <w:sz w:val="24"/>
              </w:rPr>
              <w:t> </w:t>
            </w:r>
            <w:r>
              <w:rPr>
                <w:spacing w:val="-4"/>
                <w:sz w:val="24"/>
              </w:rPr>
              <w:t>resid</w:t>
            </w:r>
          </w:p>
        </w:tc>
        <w:tc>
          <w:tcPr>
            <w:tcW w:w="1963" w:type="dxa"/>
          </w:tcPr>
          <w:p>
            <w:pPr>
              <w:pStyle w:val="TableParagraph"/>
              <w:spacing w:line="256" w:lineRule="exact"/>
              <w:ind w:right="147"/>
              <w:jc w:val="right"/>
              <w:rPr>
                <w:sz w:val="24"/>
              </w:rPr>
            </w:pPr>
            <w:r>
              <w:rPr>
                <w:spacing w:val="-2"/>
                <w:sz w:val="24"/>
              </w:rPr>
              <w:t>6.202568</w:t>
            </w:r>
          </w:p>
        </w:tc>
        <w:tc>
          <w:tcPr>
            <w:tcW w:w="3047" w:type="dxa"/>
          </w:tcPr>
          <w:p>
            <w:pPr>
              <w:pStyle w:val="TableParagraph"/>
              <w:spacing w:line="256" w:lineRule="exact"/>
              <w:ind w:left="150"/>
              <w:rPr>
                <w:sz w:val="24"/>
              </w:rPr>
            </w:pPr>
            <w:r>
              <w:rPr>
                <w:sz w:val="24"/>
              </w:rPr>
              <w:t>Schwarz</w:t>
            </w:r>
            <w:r>
              <w:rPr>
                <w:spacing w:val="-5"/>
                <w:sz w:val="24"/>
              </w:rPr>
              <w:t> </w:t>
            </w:r>
            <w:r>
              <w:rPr>
                <w:spacing w:val="-2"/>
                <w:sz w:val="24"/>
              </w:rPr>
              <w:t>criterion</w:t>
            </w:r>
          </w:p>
        </w:tc>
        <w:tc>
          <w:tcPr>
            <w:tcW w:w="1817" w:type="dxa"/>
          </w:tcPr>
          <w:p>
            <w:pPr>
              <w:pStyle w:val="TableParagraph"/>
              <w:spacing w:line="256" w:lineRule="exact"/>
              <w:ind w:right="27"/>
              <w:jc w:val="right"/>
              <w:rPr>
                <w:sz w:val="24"/>
              </w:rPr>
            </w:pPr>
            <w:r>
              <w:rPr>
                <w:spacing w:val="-2"/>
                <w:sz w:val="24"/>
              </w:rPr>
              <w:t>1.459124</w:t>
            </w:r>
          </w:p>
        </w:tc>
      </w:tr>
      <w:tr>
        <w:trPr>
          <w:trHeight w:val="276" w:hRule="atLeast"/>
        </w:trPr>
        <w:tc>
          <w:tcPr>
            <w:tcW w:w="2788" w:type="dxa"/>
          </w:tcPr>
          <w:p>
            <w:pPr>
              <w:pStyle w:val="TableParagraph"/>
              <w:spacing w:line="256" w:lineRule="exact"/>
              <w:ind w:left="43"/>
              <w:rPr>
                <w:sz w:val="24"/>
              </w:rPr>
            </w:pPr>
            <w:r>
              <w:rPr>
                <w:sz w:val="24"/>
              </w:rPr>
              <w:t>Log</w:t>
            </w:r>
            <w:r>
              <w:rPr>
                <w:spacing w:val="-4"/>
                <w:sz w:val="24"/>
              </w:rPr>
              <w:t> </w:t>
            </w:r>
            <w:r>
              <w:rPr>
                <w:spacing w:val="-2"/>
                <w:sz w:val="24"/>
              </w:rPr>
              <w:t>likelihood</w:t>
            </w:r>
          </w:p>
        </w:tc>
        <w:tc>
          <w:tcPr>
            <w:tcW w:w="1963" w:type="dxa"/>
          </w:tcPr>
          <w:p>
            <w:pPr>
              <w:pStyle w:val="TableParagraph"/>
              <w:spacing w:line="256" w:lineRule="exact"/>
              <w:ind w:right="147"/>
              <w:jc w:val="right"/>
              <w:rPr>
                <w:sz w:val="24"/>
              </w:rPr>
            </w:pPr>
            <w:r>
              <w:rPr>
                <w:spacing w:val="-2"/>
                <w:sz w:val="24"/>
              </w:rPr>
              <w:t>-19.42859</w:t>
            </w:r>
          </w:p>
        </w:tc>
        <w:tc>
          <w:tcPr>
            <w:tcW w:w="3047" w:type="dxa"/>
          </w:tcPr>
          <w:p>
            <w:pPr>
              <w:pStyle w:val="TableParagraph"/>
              <w:spacing w:line="256" w:lineRule="exact"/>
              <w:ind w:left="150"/>
              <w:rPr>
                <w:sz w:val="24"/>
              </w:rPr>
            </w:pPr>
            <w:r>
              <w:rPr>
                <w:spacing w:val="-2"/>
                <w:sz w:val="24"/>
              </w:rPr>
              <w:t>F-statistic</w:t>
            </w:r>
          </w:p>
        </w:tc>
        <w:tc>
          <w:tcPr>
            <w:tcW w:w="1817" w:type="dxa"/>
          </w:tcPr>
          <w:p>
            <w:pPr>
              <w:pStyle w:val="TableParagraph"/>
              <w:spacing w:line="256" w:lineRule="exact"/>
              <w:ind w:right="27"/>
              <w:jc w:val="right"/>
              <w:rPr>
                <w:sz w:val="24"/>
              </w:rPr>
            </w:pPr>
            <w:r>
              <w:rPr>
                <w:spacing w:val="-2"/>
                <w:sz w:val="24"/>
              </w:rPr>
              <w:t>360.2594</w:t>
            </w:r>
          </w:p>
        </w:tc>
      </w:tr>
      <w:tr>
        <w:trPr>
          <w:trHeight w:val="321" w:hRule="atLeast"/>
        </w:trPr>
        <w:tc>
          <w:tcPr>
            <w:tcW w:w="2788" w:type="dxa"/>
            <w:tcBorders>
              <w:bottom w:val="double" w:sz="6" w:space="0" w:color="000000"/>
            </w:tcBorders>
          </w:tcPr>
          <w:p>
            <w:pPr>
              <w:pStyle w:val="TableParagraph"/>
              <w:spacing w:line="271" w:lineRule="exact"/>
              <w:ind w:left="43"/>
              <w:rPr>
                <w:sz w:val="24"/>
              </w:rPr>
            </w:pPr>
            <w:r>
              <w:rPr>
                <w:sz w:val="24"/>
              </w:rPr>
              <w:t>Durbin-Watson</w:t>
            </w:r>
            <w:r>
              <w:rPr>
                <w:spacing w:val="-3"/>
                <w:sz w:val="24"/>
              </w:rPr>
              <w:t> </w:t>
            </w:r>
            <w:r>
              <w:rPr>
                <w:spacing w:val="-4"/>
                <w:sz w:val="24"/>
              </w:rPr>
              <w:t>stat</w:t>
            </w:r>
          </w:p>
        </w:tc>
        <w:tc>
          <w:tcPr>
            <w:tcW w:w="1963" w:type="dxa"/>
          </w:tcPr>
          <w:p>
            <w:pPr>
              <w:pStyle w:val="TableParagraph"/>
              <w:spacing w:line="271" w:lineRule="exact"/>
              <w:ind w:right="147"/>
              <w:jc w:val="right"/>
              <w:rPr>
                <w:sz w:val="24"/>
              </w:rPr>
            </w:pPr>
            <w:r>
              <w:rPr>
                <w:spacing w:val="-2"/>
                <w:sz w:val="24"/>
              </w:rPr>
              <w:t>1.739756</w:t>
            </w:r>
          </w:p>
        </w:tc>
        <w:tc>
          <w:tcPr>
            <w:tcW w:w="3047" w:type="dxa"/>
            <w:tcBorders>
              <w:bottom w:val="double" w:sz="6" w:space="0" w:color="000000"/>
            </w:tcBorders>
          </w:tcPr>
          <w:p>
            <w:pPr>
              <w:pStyle w:val="TableParagraph"/>
              <w:spacing w:line="271" w:lineRule="exact"/>
              <w:ind w:left="150"/>
              <w:rPr>
                <w:sz w:val="24"/>
              </w:rPr>
            </w:pPr>
            <w:r>
              <w:rPr>
                <w:spacing w:val="-2"/>
                <w:sz w:val="24"/>
              </w:rPr>
              <w:t>Prob(F-statistic)</w:t>
            </w:r>
          </w:p>
        </w:tc>
        <w:tc>
          <w:tcPr>
            <w:tcW w:w="1817" w:type="dxa"/>
          </w:tcPr>
          <w:p>
            <w:pPr>
              <w:pStyle w:val="TableParagraph"/>
              <w:spacing w:line="271" w:lineRule="exact"/>
              <w:ind w:right="27"/>
              <w:jc w:val="right"/>
              <w:rPr>
                <w:sz w:val="24"/>
              </w:rPr>
            </w:pPr>
            <w:r>
              <w:rPr>
                <w:spacing w:val="-2"/>
                <w:sz w:val="24"/>
              </w:rPr>
              <w:t>0.000000</w:t>
            </w:r>
          </w:p>
        </w:tc>
      </w:tr>
    </w:tbl>
    <w:p>
      <w:pPr>
        <w:pStyle w:val="BodyText"/>
        <w:spacing w:before="12"/>
        <w:ind w:left="711"/>
        <w:jc w:val="both"/>
      </w:pPr>
      <w:r>
        <w:rPr>
          <w:b/>
        </w:rPr>
        <w:t>Source:</w:t>
      </w:r>
      <w:r>
        <w:rPr>
          <w:b/>
          <w:spacing w:val="-2"/>
        </w:rPr>
        <w:t> </w:t>
      </w:r>
      <w:r>
        <w:rPr/>
        <w:t>Computation,</w:t>
      </w:r>
      <w:r>
        <w:rPr>
          <w:spacing w:val="-1"/>
        </w:rPr>
        <w:t> </w:t>
      </w:r>
      <w:r>
        <w:rPr/>
        <w:t>using</w:t>
      </w:r>
      <w:r>
        <w:rPr>
          <w:spacing w:val="-4"/>
        </w:rPr>
        <w:t> </w:t>
      </w:r>
      <w:r>
        <w:rPr/>
        <w:t>E-view</w:t>
      </w:r>
      <w:r>
        <w:rPr>
          <w:spacing w:val="-1"/>
        </w:rPr>
        <w:t> </w:t>
      </w:r>
      <w:r>
        <w:rPr/>
        <w:t>statistical</w:t>
      </w:r>
      <w:r>
        <w:rPr>
          <w:spacing w:val="-1"/>
        </w:rPr>
        <w:t> </w:t>
      </w:r>
      <w:r>
        <w:rPr>
          <w:spacing w:val="-2"/>
        </w:rPr>
        <w:t>package</w:t>
      </w:r>
    </w:p>
    <w:p>
      <w:pPr>
        <w:pStyle w:val="BodyText"/>
        <w:spacing w:before="1"/>
      </w:pPr>
    </w:p>
    <w:p>
      <w:pPr>
        <w:pStyle w:val="BodyText"/>
        <w:spacing w:line="480" w:lineRule="auto"/>
        <w:ind w:left="711" w:right="472"/>
        <w:jc w:val="both"/>
        <w:rPr>
          <w:rFonts w:ascii="Cambria"/>
        </w:rPr>
      </w:pPr>
      <w:r>
        <w:rPr>
          <w:rFonts w:ascii="Cambria"/>
        </w:rPr>
        <w:t>From the above table, it could be inferred that the short-run relationship between gross domestic product and the explanatory variable can be expressed mathematically below as:</w:t>
      </w:r>
    </w:p>
    <w:p>
      <w:pPr>
        <w:spacing w:line="281" w:lineRule="exact" w:before="0"/>
        <w:ind w:left="711" w:right="0" w:firstLine="0"/>
        <w:jc w:val="both"/>
        <w:rPr>
          <w:rFonts w:ascii="Cambria" w:hAnsi="Cambria"/>
          <w:b/>
          <w:sz w:val="24"/>
        </w:rPr>
      </w:pPr>
      <w:r>
        <w:rPr>
          <w:rFonts w:ascii="Cambria" w:hAnsi="Cambria"/>
          <w:b/>
          <w:position w:val="1"/>
          <w:sz w:val="24"/>
        </w:rPr>
        <w:t>GDP</w:t>
      </w:r>
      <w:r>
        <w:rPr>
          <w:rFonts w:ascii="Cambria" w:hAnsi="Cambria"/>
          <w:b/>
          <w:spacing w:val="60"/>
          <w:position w:val="1"/>
          <w:sz w:val="24"/>
        </w:rPr>
        <w:t>  </w:t>
      </w:r>
      <w:r>
        <w:rPr>
          <w:rFonts w:ascii="Cambria" w:hAnsi="Cambria"/>
          <w:b/>
          <w:position w:val="1"/>
          <w:sz w:val="24"/>
        </w:rPr>
        <w:t>=</w:t>
      </w:r>
      <w:r>
        <w:rPr>
          <w:rFonts w:ascii="Cambria" w:hAnsi="Cambria"/>
          <w:b/>
          <w:spacing w:val="62"/>
          <w:position w:val="1"/>
          <w:sz w:val="24"/>
        </w:rPr>
        <w:t>  </w:t>
      </w:r>
      <w:r>
        <w:rPr>
          <w:rFonts w:ascii="Cambria" w:hAnsi="Cambria"/>
          <w:position w:val="1"/>
          <w:sz w:val="24"/>
        </w:rPr>
        <w:t>2.836515</w:t>
      </w:r>
      <w:r>
        <w:rPr>
          <w:rFonts w:ascii="Cambria" w:hAnsi="Cambria"/>
          <w:spacing w:val="60"/>
          <w:position w:val="1"/>
          <w:sz w:val="24"/>
        </w:rPr>
        <w:t>  </w:t>
      </w:r>
      <w:r>
        <w:rPr>
          <w:rFonts w:ascii="Cambria" w:hAnsi="Cambria"/>
          <w:position w:val="1"/>
          <w:sz w:val="24"/>
        </w:rPr>
        <w:t>+</w:t>
      </w:r>
      <w:r>
        <w:rPr>
          <w:rFonts w:ascii="Cambria" w:hAnsi="Cambria"/>
          <w:spacing w:val="62"/>
          <w:position w:val="1"/>
          <w:sz w:val="24"/>
        </w:rPr>
        <w:t>  </w:t>
      </w:r>
      <w:r>
        <w:rPr>
          <w:rFonts w:ascii="Cambria" w:hAnsi="Cambria"/>
          <w:position w:val="1"/>
          <w:sz w:val="24"/>
        </w:rPr>
        <w:t>0.059176</w:t>
      </w:r>
      <w:r>
        <w:rPr>
          <w:rFonts w:ascii="Cambria" w:hAnsi="Cambria"/>
          <w:sz w:val="16"/>
        </w:rPr>
        <w:t>δ</w:t>
      </w:r>
      <w:r>
        <w:rPr>
          <w:rFonts w:ascii="Cambria" w:hAnsi="Cambria"/>
          <w:b/>
          <w:sz w:val="16"/>
        </w:rPr>
        <w:t>EXTDEBT</w:t>
      </w:r>
      <w:r>
        <w:rPr>
          <w:rFonts w:ascii="Cambria" w:hAnsi="Cambria"/>
          <w:b/>
          <w:spacing w:val="79"/>
          <w:sz w:val="16"/>
        </w:rPr>
        <w:t>  </w:t>
      </w:r>
      <w:r>
        <w:rPr>
          <w:rFonts w:ascii="Cambria" w:hAnsi="Cambria"/>
          <w:position w:val="1"/>
          <w:sz w:val="24"/>
        </w:rPr>
        <w:t>+</w:t>
      </w:r>
      <w:r>
        <w:rPr>
          <w:rFonts w:ascii="Cambria" w:hAnsi="Cambria"/>
          <w:spacing w:val="61"/>
          <w:position w:val="1"/>
          <w:sz w:val="24"/>
        </w:rPr>
        <w:t>  </w:t>
      </w:r>
      <w:r>
        <w:rPr>
          <w:rFonts w:ascii="Cambria" w:hAnsi="Cambria"/>
          <w:position w:val="1"/>
          <w:sz w:val="24"/>
        </w:rPr>
        <w:t>0.611646</w:t>
      </w:r>
      <w:r>
        <w:rPr>
          <w:rFonts w:ascii="Cambria" w:hAnsi="Cambria"/>
          <w:b/>
          <w:sz w:val="16"/>
        </w:rPr>
        <w:t>DFI</w:t>
      </w:r>
      <w:r>
        <w:rPr>
          <w:rFonts w:ascii="Cambria" w:hAnsi="Cambria"/>
          <w:b/>
          <w:spacing w:val="78"/>
          <w:sz w:val="16"/>
        </w:rPr>
        <w:t>  </w:t>
      </w:r>
      <w:r>
        <w:rPr>
          <w:rFonts w:ascii="Cambria" w:hAnsi="Cambria"/>
          <w:b/>
          <w:position w:val="1"/>
          <w:sz w:val="24"/>
        </w:rPr>
        <w:t>+</w:t>
      </w:r>
      <w:r>
        <w:rPr>
          <w:rFonts w:ascii="Cambria" w:hAnsi="Cambria"/>
          <w:b/>
          <w:spacing w:val="62"/>
          <w:position w:val="1"/>
          <w:sz w:val="24"/>
        </w:rPr>
        <w:t>  </w:t>
      </w:r>
      <w:r>
        <w:rPr>
          <w:rFonts w:ascii="Cambria" w:hAnsi="Cambria"/>
          <w:position w:val="1"/>
          <w:sz w:val="24"/>
        </w:rPr>
        <w:t>0.149739</w:t>
      </w:r>
      <w:r>
        <w:rPr>
          <w:rFonts w:ascii="Cambria" w:hAnsi="Cambria"/>
          <w:b/>
          <w:sz w:val="16"/>
        </w:rPr>
        <w:t>CAB</w:t>
      </w:r>
      <w:r>
        <w:rPr>
          <w:rFonts w:ascii="Cambria" w:hAnsi="Cambria"/>
          <w:b/>
          <w:spacing w:val="79"/>
          <w:sz w:val="16"/>
        </w:rPr>
        <w:t>  </w:t>
      </w:r>
      <w:r>
        <w:rPr>
          <w:rFonts w:ascii="Cambria" w:hAnsi="Cambria"/>
          <w:b/>
          <w:position w:val="1"/>
          <w:sz w:val="24"/>
        </w:rPr>
        <w:t>+</w:t>
      </w:r>
      <w:r>
        <w:rPr>
          <w:rFonts w:ascii="Cambria" w:hAnsi="Cambria"/>
          <w:b/>
          <w:spacing w:val="61"/>
          <w:position w:val="1"/>
          <w:sz w:val="24"/>
        </w:rPr>
        <w:t>  </w:t>
      </w:r>
      <w:r>
        <w:rPr>
          <w:rFonts w:ascii="Cambria" w:hAnsi="Cambria"/>
          <w:position w:val="1"/>
          <w:sz w:val="24"/>
        </w:rPr>
        <w:t>0.194025</w:t>
      </w:r>
      <w:r>
        <w:rPr>
          <w:rFonts w:ascii="Cambria" w:hAnsi="Cambria"/>
          <w:sz w:val="16"/>
        </w:rPr>
        <w:t>δ</w:t>
      </w:r>
      <w:r>
        <w:rPr>
          <w:rFonts w:ascii="Cambria" w:hAnsi="Cambria"/>
          <w:b/>
          <w:sz w:val="16"/>
        </w:rPr>
        <w:t>RES</w:t>
      </w:r>
      <w:r>
        <w:rPr>
          <w:rFonts w:ascii="Cambria" w:hAnsi="Cambria"/>
          <w:b/>
          <w:spacing w:val="70"/>
          <w:sz w:val="16"/>
        </w:rPr>
        <w:t>  </w:t>
      </w:r>
      <w:r>
        <w:rPr>
          <w:rFonts w:ascii="Cambria" w:hAnsi="Cambria"/>
          <w:b/>
          <w:spacing w:val="-10"/>
          <w:position w:val="1"/>
          <w:sz w:val="24"/>
        </w:rPr>
        <w:t>+</w:t>
      </w:r>
    </w:p>
    <w:p>
      <w:pPr>
        <w:pStyle w:val="BodyText"/>
        <w:spacing w:before="2"/>
        <w:rPr>
          <w:rFonts w:ascii="Cambria"/>
          <w:b/>
        </w:rPr>
      </w:pPr>
    </w:p>
    <w:p>
      <w:pPr>
        <w:tabs>
          <w:tab w:pos="7814" w:val="left" w:leader="dot"/>
        </w:tabs>
        <w:spacing w:before="0"/>
        <w:ind w:left="1705" w:right="0" w:firstLine="0"/>
        <w:jc w:val="left"/>
        <w:rPr>
          <w:rFonts w:ascii="Cambria" w:hAnsi="Cambria"/>
          <w:sz w:val="24"/>
        </w:rPr>
      </w:pPr>
      <w:r>
        <w:rPr>
          <w:rFonts w:ascii="Cambria" w:hAnsi="Cambria"/>
          <w:b/>
          <w:spacing w:val="-2"/>
          <w:position w:val="1"/>
          <w:sz w:val="24"/>
        </w:rPr>
        <w:t>0.008570</w:t>
      </w:r>
      <w:r>
        <w:rPr>
          <w:rFonts w:ascii="Cambria" w:hAnsi="Cambria"/>
          <w:b/>
          <w:spacing w:val="-2"/>
          <w:sz w:val="16"/>
        </w:rPr>
        <w:t>δNEXTAS</w:t>
      </w:r>
      <w:r>
        <w:rPr>
          <w:sz w:val="16"/>
        </w:rPr>
        <w:tab/>
      </w:r>
      <w:r>
        <w:rPr>
          <w:rFonts w:ascii="Cambria" w:hAnsi="Cambria"/>
          <w:spacing w:val="-2"/>
          <w:position w:val="1"/>
          <w:sz w:val="24"/>
        </w:rPr>
        <w:t>(4.4)</w:t>
      </w:r>
    </w:p>
    <w:p>
      <w:pPr>
        <w:pStyle w:val="BodyText"/>
        <w:spacing w:line="550" w:lineRule="atLeast" w:before="6"/>
        <w:ind w:left="711" w:right="471"/>
        <w:jc w:val="both"/>
      </w:pPr>
      <w:r>
        <w:rPr/>
        <w:t>The analyses from Table 4.4 show that just like the World Bank and Erbe (1985) approach, all the variables are positively related to dependent variable (Gross Domestic Product) and are statistically significant in explaining the behaviour of the dependent variable (GDP) in the short run in conformity with the expected results except the change in net foreign assets of domestic banks that is not statistically significant in explaining the behaviour of the dependent variable.</w:t>
      </w:r>
    </w:p>
    <w:p>
      <w:pPr>
        <w:spacing w:after="0" w:line="550" w:lineRule="atLeast"/>
        <w:jc w:val="both"/>
        <w:sectPr>
          <w:pgSz w:w="11910" w:h="16840"/>
          <w:pgMar w:header="0" w:footer="979" w:top="1360" w:bottom="1240" w:left="280" w:right="0"/>
        </w:sectPr>
      </w:pPr>
    </w:p>
    <w:p>
      <w:pPr>
        <w:pStyle w:val="BodyText"/>
        <w:spacing w:line="480" w:lineRule="auto" w:before="81"/>
        <w:ind w:left="711" w:right="475"/>
        <w:jc w:val="both"/>
        <w:rPr>
          <w:rFonts w:ascii="Cambria"/>
        </w:rPr>
      </w:pPr>
      <w:r>
        <w:rPr>
          <w:rFonts w:ascii="Cambria"/>
        </w:rPr>
        <w:t>The result shows that the constant parameter is directly related with gross domestic product. It has a positive coefficient of 2.836515 which implies that if</w:t>
      </w:r>
      <w:r>
        <w:rPr>
          <w:rFonts w:ascii="Cambria"/>
          <w:spacing w:val="-1"/>
        </w:rPr>
        <w:t> </w:t>
      </w:r>
      <w:r>
        <w:rPr>
          <w:rFonts w:ascii="Cambria"/>
        </w:rPr>
        <w:t>all explanatory variables are held</w:t>
      </w:r>
      <w:r>
        <w:rPr>
          <w:rFonts w:ascii="Cambria"/>
          <w:spacing w:val="-2"/>
        </w:rPr>
        <w:t> </w:t>
      </w:r>
      <w:r>
        <w:rPr>
          <w:rFonts w:ascii="Cambria"/>
        </w:rPr>
        <w:t>constant in the short-run, gross domestic product will increase by same units</w:t>
      </w:r>
    </w:p>
    <w:p>
      <w:pPr>
        <w:pStyle w:val="BodyText"/>
        <w:spacing w:line="480" w:lineRule="auto"/>
        <w:ind w:left="711" w:right="471" w:firstLine="52"/>
        <w:jc w:val="both"/>
        <w:rPr>
          <w:rFonts w:ascii="Cambria" w:hAnsi="Cambria"/>
        </w:rPr>
      </w:pPr>
      <w:r>
        <w:rPr>
          <w:rFonts w:ascii="Cambria" w:hAnsi="Cambria"/>
        </w:rPr>
        <w:t>Change in External Debt (δEXTDEBT) showed that a unit increase in debt acquisition will lead to a 0.059176 increase in Gross Domestic Product in the short run. In like manner, a unit increase in DFI will</w:t>
      </w:r>
      <w:r>
        <w:rPr>
          <w:rFonts w:ascii="Cambria" w:hAnsi="Cambria"/>
          <w:spacing w:val="-1"/>
        </w:rPr>
        <w:t> </w:t>
      </w:r>
      <w:r>
        <w:rPr>
          <w:rFonts w:ascii="Cambria" w:hAnsi="Cambria"/>
        </w:rPr>
        <w:t>contribute</w:t>
      </w:r>
      <w:r>
        <w:rPr>
          <w:rFonts w:ascii="Cambria" w:hAnsi="Cambria"/>
          <w:spacing w:val="-1"/>
        </w:rPr>
        <w:t> </w:t>
      </w:r>
      <w:r>
        <w:rPr>
          <w:rFonts w:ascii="Cambria" w:hAnsi="Cambria"/>
        </w:rPr>
        <w:t>about</w:t>
      </w:r>
      <w:r>
        <w:rPr>
          <w:rFonts w:ascii="Cambria" w:hAnsi="Cambria"/>
          <w:spacing w:val="-1"/>
        </w:rPr>
        <w:t> </w:t>
      </w:r>
      <w:r>
        <w:rPr>
          <w:rFonts w:ascii="Cambria" w:hAnsi="Cambria"/>
        </w:rPr>
        <w:t>0.611646 values</w:t>
      </w:r>
      <w:r>
        <w:rPr>
          <w:rFonts w:ascii="Cambria" w:hAnsi="Cambria"/>
          <w:spacing w:val="-1"/>
        </w:rPr>
        <w:t> </w:t>
      </w:r>
      <w:r>
        <w:rPr>
          <w:rFonts w:ascii="Cambria" w:hAnsi="Cambria"/>
        </w:rPr>
        <w:t>to</w:t>
      </w:r>
      <w:r>
        <w:rPr>
          <w:rFonts w:ascii="Cambria" w:hAnsi="Cambria"/>
          <w:spacing w:val="-1"/>
        </w:rPr>
        <w:t> </w:t>
      </w:r>
      <w:r>
        <w:rPr>
          <w:rFonts w:ascii="Cambria" w:hAnsi="Cambria"/>
        </w:rPr>
        <w:t>the</w:t>
      </w:r>
      <w:r>
        <w:rPr>
          <w:rFonts w:ascii="Cambria" w:hAnsi="Cambria"/>
          <w:spacing w:val="-1"/>
        </w:rPr>
        <w:t> </w:t>
      </w:r>
      <w:r>
        <w:rPr>
          <w:rFonts w:ascii="Cambria" w:hAnsi="Cambria"/>
        </w:rPr>
        <w:t>Gross</w:t>
      </w:r>
      <w:r>
        <w:rPr>
          <w:rFonts w:ascii="Cambria" w:hAnsi="Cambria"/>
          <w:spacing w:val="-2"/>
        </w:rPr>
        <w:t> </w:t>
      </w:r>
      <w:r>
        <w:rPr>
          <w:rFonts w:ascii="Cambria" w:hAnsi="Cambria"/>
        </w:rPr>
        <w:t>domestic</w:t>
      </w:r>
      <w:r>
        <w:rPr>
          <w:rFonts w:ascii="Cambria" w:hAnsi="Cambria"/>
          <w:spacing w:val="-1"/>
        </w:rPr>
        <w:t> </w:t>
      </w:r>
      <w:r>
        <w:rPr>
          <w:rFonts w:ascii="Cambria" w:hAnsi="Cambria"/>
        </w:rPr>
        <w:t>product. While </w:t>
      </w:r>
      <w:r>
        <w:rPr>
          <w:rFonts w:ascii="Cambria" w:hAnsi="Cambria"/>
          <w:b/>
          <w:sz w:val="28"/>
        </w:rPr>
        <w:t>a </w:t>
      </w:r>
      <w:r>
        <w:rPr>
          <w:rFonts w:ascii="Cambria" w:hAnsi="Cambria"/>
        </w:rPr>
        <w:t>unit</w:t>
      </w:r>
      <w:r>
        <w:rPr>
          <w:rFonts w:ascii="Cambria" w:hAnsi="Cambria"/>
          <w:spacing w:val="-3"/>
        </w:rPr>
        <w:t> </w:t>
      </w:r>
      <w:r>
        <w:rPr>
          <w:rFonts w:ascii="Cambria" w:hAnsi="Cambria"/>
        </w:rPr>
        <w:t>increase</w:t>
      </w:r>
      <w:r>
        <w:rPr>
          <w:rFonts w:ascii="Cambria" w:hAnsi="Cambria"/>
          <w:spacing w:val="-1"/>
        </w:rPr>
        <w:t> </w:t>
      </w:r>
      <w:r>
        <w:rPr>
          <w:rFonts w:ascii="Cambria" w:hAnsi="Cambria"/>
        </w:rPr>
        <w:t>in</w:t>
      </w:r>
      <w:r>
        <w:rPr>
          <w:rFonts w:ascii="Cambria" w:hAnsi="Cambria"/>
          <w:spacing w:val="-1"/>
        </w:rPr>
        <w:t> </w:t>
      </w:r>
      <w:r>
        <w:rPr>
          <w:rFonts w:ascii="Cambria" w:hAnsi="Cambria"/>
        </w:rPr>
        <w:t>current account balance, change in reserve and net foreign assets of</w:t>
      </w:r>
      <w:r>
        <w:rPr>
          <w:rFonts w:ascii="Cambria" w:hAnsi="Cambria"/>
          <w:spacing w:val="-1"/>
        </w:rPr>
        <w:t> </w:t>
      </w:r>
      <w:r>
        <w:rPr>
          <w:rFonts w:ascii="Cambria" w:hAnsi="Cambria"/>
        </w:rPr>
        <w:t>domestic banks will contribute 0.149739, 0.194025and 0.008570 respectively to the Gross Domestic Product each.</w:t>
      </w:r>
    </w:p>
    <w:p>
      <w:pPr>
        <w:pStyle w:val="BodyText"/>
        <w:spacing w:before="272"/>
        <w:rPr>
          <w:rFonts w:ascii="Cambria"/>
        </w:rPr>
      </w:pPr>
    </w:p>
    <w:p>
      <w:pPr>
        <w:pStyle w:val="BodyText"/>
        <w:spacing w:line="480" w:lineRule="auto"/>
        <w:ind w:left="711" w:right="472"/>
        <w:jc w:val="both"/>
        <w:rPr>
          <w:rFonts w:ascii="Cambria" w:hAnsi="Cambria"/>
        </w:rPr>
      </w:pPr>
      <w:r>
        <w:rPr/>
        <w:t>The </w:t>
      </w:r>
      <w:r>
        <w:rPr>
          <w:rFonts w:ascii="Cambria" w:hAnsi="Cambria"/>
        </w:rPr>
        <w:t>coefficient of multiple determinants (R</w:t>
      </w:r>
      <w:r>
        <w:rPr>
          <w:rFonts w:ascii="Cambria" w:hAnsi="Cambria"/>
          <w:position w:val="6"/>
          <w:sz w:val="16"/>
        </w:rPr>
        <w:t>2</w:t>
      </w:r>
      <w:r>
        <w:rPr>
          <w:rFonts w:ascii="Cambria" w:hAnsi="Cambria"/>
        </w:rPr>
        <w:t>) showed a coefficient of 0.980406 which implies a 98.04% explanation of the behaviour of gross domestic product by the totality of the explanatory variables (δEXTDEBT, DFI, CAB, δRES and δNEXTAS) on the short-run. The Adjusted R</w:t>
      </w:r>
      <w:r>
        <w:rPr>
          <w:rFonts w:ascii="Cambria" w:hAnsi="Cambria"/>
          <w:position w:val="6"/>
          <w:sz w:val="16"/>
        </w:rPr>
        <w:t>2</w:t>
      </w:r>
      <w:r>
        <w:rPr>
          <w:rFonts w:ascii="Cambria" w:hAnsi="Cambria"/>
          <w:spacing w:val="40"/>
          <w:position w:val="6"/>
          <w:sz w:val="16"/>
        </w:rPr>
        <w:t> </w:t>
      </w:r>
      <w:r>
        <w:rPr>
          <w:rFonts w:ascii="Cambria" w:hAnsi="Cambria"/>
        </w:rPr>
        <w:t>further prove this with the adjusted value of 0.977685 which implies a 97.77% explanation of the behaviour of</w:t>
      </w:r>
      <w:r>
        <w:rPr>
          <w:rFonts w:ascii="Cambria" w:hAnsi="Cambria"/>
          <w:spacing w:val="40"/>
        </w:rPr>
        <w:t> </w:t>
      </w:r>
      <w:r>
        <w:rPr>
          <w:rFonts w:ascii="Cambria" w:hAnsi="Cambria"/>
        </w:rPr>
        <w:t>gross domestic product by the totality of the explanatory variables with the remaining 1.86% behaviour attributed to other variables outside the model otherwise referred to as the stochastic </w:t>
      </w:r>
      <w:r>
        <w:rPr>
          <w:rFonts w:ascii="Cambria" w:hAnsi="Cambria"/>
          <w:spacing w:val="-2"/>
        </w:rPr>
        <w:t>variables.</w:t>
      </w:r>
    </w:p>
    <w:p>
      <w:pPr>
        <w:pStyle w:val="BodyText"/>
        <w:spacing w:line="480" w:lineRule="auto"/>
        <w:ind w:left="711" w:right="473" w:firstLine="60"/>
        <w:jc w:val="both"/>
      </w:pPr>
      <w:r>
        <w:rPr>
          <w:b/>
        </w:rPr>
        <w:t>Validation and testing of hypotheses</w:t>
      </w:r>
      <w:r>
        <w:rPr/>
        <w:t>: The hypothesis below was tested under Model 2B (Morgan Guaranty</w:t>
      </w:r>
      <w:r>
        <w:rPr>
          <w:spacing w:val="-4"/>
        </w:rPr>
        <w:t> </w:t>
      </w:r>
      <w:r>
        <w:rPr/>
        <w:t>Trust version of (1986) of model 2 wich examines the effect of capital flight on economic growth. The hypothesis is re-stated in the null form as follows;</w:t>
      </w:r>
    </w:p>
    <w:p>
      <w:pPr>
        <w:pStyle w:val="Heading6"/>
        <w:rPr>
          <w:b w:val="0"/>
        </w:rPr>
      </w:pPr>
      <w:r>
        <w:rPr>
          <w:position w:val="1"/>
        </w:rPr>
        <w:t>H</w:t>
      </w:r>
      <w:r>
        <w:rPr>
          <w:sz w:val="16"/>
        </w:rPr>
        <w:t>03</w:t>
      </w:r>
      <w:r>
        <w:rPr>
          <w:position w:val="1"/>
        </w:rPr>
        <w:t>:</w:t>
      </w:r>
      <w:r>
        <w:rPr>
          <w:spacing w:val="55"/>
          <w:position w:val="1"/>
        </w:rPr>
        <w:t>  </w:t>
      </w:r>
      <w:r>
        <w:rPr>
          <w:position w:val="1"/>
        </w:rPr>
        <w:t>Capital</w:t>
      </w:r>
      <w:r>
        <w:rPr>
          <w:spacing w:val="-1"/>
          <w:position w:val="1"/>
        </w:rPr>
        <w:t> </w:t>
      </w:r>
      <w:r>
        <w:rPr>
          <w:position w:val="1"/>
        </w:rPr>
        <w:t>flight</w:t>
      </w:r>
      <w:r>
        <w:rPr>
          <w:spacing w:val="-1"/>
          <w:position w:val="1"/>
        </w:rPr>
        <w:t> </w:t>
      </w:r>
      <w:r>
        <w:rPr>
          <w:position w:val="1"/>
        </w:rPr>
        <w:t>has</w:t>
      </w:r>
      <w:r>
        <w:rPr>
          <w:spacing w:val="-3"/>
          <w:position w:val="1"/>
        </w:rPr>
        <w:t> </w:t>
      </w:r>
      <w:r>
        <w:rPr>
          <w:position w:val="1"/>
        </w:rPr>
        <w:t>no</w:t>
      </w:r>
      <w:r>
        <w:rPr>
          <w:spacing w:val="-2"/>
          <w:position w:val="1"/>
        </w:rPr>
        <w:t> </w:t>
      </w:r>
      <w:r>
        <w:rPr>
          <w:position w:val="1"/>
        </w:rPr>
        <w:t>significant</w:t>
      </w:r>
      <w:r>
        <w:rPr>
          <w:spacing w:val="-1"/>
          <w:position w:val="1"/>
        </w:rPr>
        <w:t> </w:t>
      </w:r>
      <w:r>
        <w:rPr>
          <w:position w:val="1"/>
        </w:rPr>
        <w:t>effect</w:t>
      </w:r>
      <w:r>
        <w:rPr>
          <w:spacing w:val="-1"/>
          <w:position w:val="1"/>
        </w:rPr>
        <w:t> </w:t>
      </w:r>
      <w:r>
        <w:rPr>
          <w:position w:val="1"/>
        </w:rPr>
        <w:t>on the</w:t>
      </w:r>
      <w:r>
        <w:rPr>
          <w:spacing w:val="-2"/>
          <w:position w:val="1"/>
        </w:rPr>
        <w:t> </w:t>
      </w:r>
      <w:r>
        <w:rPr>
          <w:position w:val="1"/>
        </w:rPr>
        <w:t>Nigeria’s</w:t>
      </w:r>
      <w:r>
        <w:rPr>
          <w:spacing w:val="1"/>
          <w:position w:val="1"/>
        </w:rPr>
        <w:t> </w:t>
      </w:r>
      <w:r>
        <w:rPr>
          <w:position w:val="1"/>
        </w:rPr>
        <w:t>economic</w:t>
      </w:r>
      <w:r>
        <w:rPr>
          <w:spacing w:val="1"/>
          <w:position w:val="1"/>
        </w:rPr>
        <w:t> </w:t>
      </w:r>
      <w:r>
        <w:rPr>
          <w:spacing w:val="-2"/>
          <w:position w:val="1"/>
        </w:rPr>
        <w:t>growth</w:t>
      </w:r>
      <w:r>
        <w:rPr>
          <w:b w:val="0"/>
          <w:spacing w:val="-2"/>
          <w:position w:val="1"/>
        </w:rPr>
        <w:t>.</w:t>
      </w:r>
    </w:p>
    <w:p>
      <w:pPr>
        <w:pStyle w:val="BodyText"/>
      </w:pPr>
    </w:p>
    <w:p>
      <w:pPr>
        <w:pStyle w:val="BodyText"/>
        <w:spacing w:line="480" w:lineRule="auto"/>
        <w:ind w:left="711" w:right="471"/>
        <w:jc w:val="both"/>
      </w:pPr>
      <w:r>
        <w:rPr/>
        <w:t>The probability values from the table show that the alternative hypothesis is accepted for all the variables (except</w:t>
      </w:r>
      <w:r>
        <w:rPr>
          <w:spacing w:val="-1"/>
        </w:rPr>
        <w:t> </w:t>
      </w:r>
      <w:r>
        <w:rPr/>
        <w:t>the</w:t>
      </w:r>
      <w:r>
        <w:rPr>
          <w:spacing w:val="-3"/>
        </w:rPr>
        <w:t> </w:t>
      </w:r>
      <w:r>
        <w:rPr/>
        <w:t>net</w:t>
      </w:r>
      <w:r>
        <w:rPr>
          <w:spacing w:val="-2"/>
        </w:rPr>
        <w:t> </w:t>
      </w:r>
      <w:r>
        <w:rPr/>
        <w:t>foreign</w:t>
      </w:r>
      <w:r>
        <w:rPr>
          <w:spacing w:val="-2"/>
        </w:rPr>
        <w:t> </w:t>
      </w:r>
      <w:r>
        <w:rPr/>
        <w:t>asset</w:t>
      </w:r>
      <w:r>
        <w:rPr>
          <w:spacing w:val="-2"/>
        </w:rPr>
        <w:t> </w:t>
      </w:r>
      <w:r>
        <w:rPr/>
        <w:t>of</w:t>
      </w:r>
      <w:r>
        <w:rPr>
          <w:spacing w:val="-2"/>
        </w:rPr>
        <w:t> </w:t>
      </w:r>
      <w:r>
        <w:rPr/>
        <w:t>domestic</w:t>
      </w:r>
      <w:r>
        <w:rPr>
          <w:spacing w:val="-2"/>
        </w:rPr>
        <w:t> </w:t>
      </w:r>
      <w:r>
        <w:rPr/>
        <w:t>bank (</w:t>
      </w:r>
      <w:r>
        <w:rPr>
          <w:rFonts w:ascii="Cambria" w:hAnsi="Cambria"/>
        </w:rPr>
        <w:t>δNEXTAS) </w:t>
      </w:r>
      <w:r>
        <w:rPr/>
        <w:t>with</w:t>
      </w:r>
      <w:r>
        <w:rPr>
          <w:spacing w:val="-2"/>
        </w:rPr>
        <w:t> </w:t>
      </w:r>
      <w:r>
        <w:rPr/>
        <w:t>probability</w:t>
      </w:r>
      <w:r>
        <w:rPr>
          <w:spacing w:val="-5"/>
        </w:rPr>
        <w:t> </w:t>
      </w:r>
      <w:r>
        <w:rPr/>
        <w:t>value</w:t>
      </w:r>
      <w:r>
        <w:rPr>
          <w:spacing w:val="-2"/>
        </w:rPr>
        <w:t> </w:t>
      </w:r>
      <w:r>
        <w:rPr/>
        <w:t>of</w:t>
      </w:r>
      <w:r>
        <w:rPr>
          <w:spacing w:val="-2"/>
        </w:rPr>
        <w:t> </w:t>
      </w:r>
      <w:r>
        <w:rPr>
          <w:rFonts w:ascii="Arial MT" w:hAnsi="Arial MT"/>
          <w:sz w:val="20"/>
        </w:rPr>
        <w:t>0.9025) </w:t>
      </w:r>
      <w:r>
        <w:rPr/>
        <w:t>because</w:t>
      </w:r>
      <w:r>
        <w:rPr>
          <w:spacing w:val="-1"/>
        </w:rPr>
        <w:t> </w:t>
      </w:r>
      <w:r>
        <w:rPr/>
        <w:t>they</w:t>
      </w:r>
      <w:r>
        <w:rPr>
          <w:spacing w:val="-5"/>
        </w:rPr>
        <w:t> </w:t>
      </w:r>
      <w:r>
        <w:rPr/>
        <w:t>are all significant in explaining</w:t>
      </w:r>
      <w:r>
        <w:rPr>
          <w:spacing w:val="-2"/>
        </w:rPr>
        <w:t> </w:t>
      </w:r>
      <w:r>
        <w:rPr/>
        <w:t>the behaviour of the dependent variable.</w:t>
      </w:r>
      <w:r>
        <w:rPr>
          <w:spacing w:val="40"/>
        </w:rPr>
        <w:t> </w:t>
      </w:r>
      <w:r>
        <w:rPr/>
        <w:t>Since all the probality</w:t>
      </w:r>
      <w:r>
        <w:rPr>
          <w:spacing w:val="-4"/>
        </w:rPr>
        <w:t> </w:t>
      </w:r>
      <w:r>
        <w:rPr/>
        <w:t>values of all the variables are less than 5%, the alternative hypothesis is accepted for all the variables. This</w:t>
      </w:r>
      <w:r>
        <w:rPr>
          <w:spacing w:val="29"/>
        </w:rPr>
        <w:t> </w:t>
      </w:r>
      <w:r>
        <w:rPr/>
        <w:t>confirmed that the variables positively impact Economic Growth in the short run.</w:t>
      </w:r>
    </w:p>
    <w:p>
      <w:pPr>
        <w:spacing w:after="0" w:line="480" w:lineRule="auto"/>
        <w:jc w:val="both"/>
        <w:sectPr>
          <w:pgSz w:w="11910" w:h="16840"/>
          <w:pgMar w:header="0" w:footer="979" w:top="1340" w:bottom="1240" w:left="280" w:right="0"/>
        </w:sectPr>
      </w:pPr>
    </w:p>
    <w:p>
      <w:pPr>
        <w:pStyle w:val="Heading2"/>
        <w:spacing w:line="360" w:lineRule="auto" w:before="62"/>
        <w:ind w:right="473"/>
      </w:pPr>
      <w:r>
        <w:rPr/>
        <w:t>Table 4.5 Presentation and Interpretation of PRE-SAP Short run Results for Model</w:t>
      </w:r>
      <w:r>
        <w:rPr>
          <w:spacing w:val="40"/>
        </w:rPr>
        <w:t> </w:t>
      </w:r>
      <w:r>
        <w:rPr/>
        <w:t>3A.</w:t>
      </w:r>
      <w:r>
        <w:rPr>
          <w:spacing w:val="80"/>
        </w:rPr>
        <w:t> </w:t>
      </w:r>
      <w:r>
        <w:rPr/>
        <w:t>(World Bank &amp; Erbe 1985 approach)</w:t>
      </w:r>
    </w:p>
    <w:p>
      <w:pPr>
        <w:spacing w:line="206" w:lineRule="exact" w:before="0"/>
        <w:ind w:left="780" w:right="0" w:firstLine="0"/>
        <w:jc w:val="both"/>
        <w:rPr>
          <w:b/>
          <w:sz w:val="18"/>
        </w:rPr>
      </w:pPr>
      <w:r>
        <w:rPr>
          <w:b/>
          <w:sz w:val="18"/>
        </w:rPr>
        <w:t>DEPENDENT VARIABLE</w:t>
      </w:r>
      <w:r>
        <w:rPr>
          <w:b/>
          <w:spacing w:val="-1"/>
          <w:sz w:val="18"/>
        </w:rPr>
        <w:t> </w:t>
      </w:r>
      <w:r>
        <w:rPr>
          <w:b/>
          <w:sz w:val="18"/>
        </w:rPr>
        <w:t>= </w:t>
      </w:r>
      <w:r>
        <w:rPr>
          <w:b/>
          <w:spacing w:val="-5"/>
          <w:sz w:val="18"/>
        </w:rPr>
        <w:t>KF</w:t>
      </w:r>
    </w:p>
    <w:p>
      <w:pPr>
        <w:pStyle w:val="BodyText"/>
        <w:spacing w:before="1"/>
        <w:rPr>
          <w:b/>
          <w:sz w:val="9"/>
        </w:rPr>
      </w:pPr>
    </w:p>
    <w:tbl>
      <w:tblPr>
        <w:tblW w:w="0" w:type="auto"/>
        <w:jc w:val="left"/>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28"/>
        <w:gridCol w:w="2218"/>
        <w:gridCol w:w="1937"/>
        <w:gridCol w:w="2386"/>
        <w:gridCol w:w="1531"/>
      </w:tblGrid>
      <w:tr>
        <w:trPr>
          <w:trHeight w:val="2176" w:hRule="atLeast"/>
        </w:trPr>
        <w:tc>
          <w:tcPr>
            <w:tcW w:w="2028" w:type="dxa"/>
          </w:tcPr>
          <w:p>
            <w:pPr>
              <w:pStyle w:val="TableParagraph"/>
              <w:spacing w:before="249"/>
              <w:rPr>
                <w:b/>
                <w:sz w:val="24"/>
              </w:rPr>
            </w:pPr>
          </w:p>
          <w:p>
            <w:pPr>
              <w:pStyle w:val="TableParagraph"/>
              <w:spacing w:line="480" w:lineRule="auto"/>
              <w:ind w:left="105"/>
              <w:rPr>
                <w:rFonts w:ascii="Cambria"/>
                <w:b/>
                <w:sz w:val="24"/>
              </w:rPr>
            </w:pPr>
            <w:r>
              <w:rPr>
                <w:rFonts w:ascii="Cambria"/>
                <w:b/>
                <w:spacing w:val="-2"/>
                <w:sz w:val="24"/>
              </w:rPr>
              <w:t>INDEPENDENT VARIABLES</w:t>
            </w:r>
          </w:p>
        </w:tc>
        <w:tc>
          <w:tcPr>
            <w:tcW w:w="2218" w:type="dxa"/>
          </w:tcPr>
          <w:p>
            <w:pPr>
              <w:pStyle w:val="TableParagraph"/>
              <w:spacing w:before="249"/>
              <w:rPr>
                <w:b/>
                <w:sz w:val="24"/>
              </w:rPr>
            </w:pPr>
          </w:p>
          <w:p>
            <w:pPr>
              <w:pStyle w:val="TableParagraph"/>
              <w:tabs>
                <w:tab w:pos="1810" w:val="left" w:leader="none"/>
              </w:tabs>
              <w:spacing w:line="480" w:lineRule="auto"/>
              <w:ind w:left="105" w:right="95"/>
              <w:rPr>
                <w:rFonts w:ascii="Cambria"/>
                <w:b/>
                <w:sz w:val="24"/>
              </w:rPr>
            </w:pPr>
            <w:r>
              <w:rPr>
                <w:rFonts w:ascii="Cambria"/>
                <w:b/>
                <w:spacing w:val="-2"/>
                <w:sz w:val="24"/>
              </w:rPr>
              <w:t>COEFFICIENT</w:t>
            </w:r>
            <w:r>
              <w:rPr>
                <w:rFonts w:ascii="Cambria"/>
                <w:b/>
                <w:sz w:val="24"/>
              </w:rPr>
              <w:tab/>
            </w:r>
            <w:r>
              <w:rPr>
                <w:rFonts w:ascii="Cambria"/>
                <w:b/>
                <w:spacing w:val="-6"/>
                <w:sz w:val="24"/>
              </w:rPr>
              <w:t>OF </w:t>
            </w:r>
            <w:r>
              <w:rPr>
                <w:rFonts w:ascii="Cambria"/>
                <w:b/>
                <w:spacing w:val="-2"/>
                <w:sz w:val="24"/>
              </w:rPr>
              <w:t>ESTIMATES</w:t>
            </w:r>
          </w:p>
        </w:tc>
        <w:tc>
          <w:tcPr>
            <w:tcW w:w="1937" w:type="dxa"/>
          </w:tcPr>
          <w:p>
            <w:pPr>
              <w:pStyle w:val="TableParagraph"/>
              <w:rPr>
                <w:b/>
                <w:sz w:val="24"/>
              </w:rPr>
            </w:pPr>
          </w:p>
          <w:p>
            <w:pPr>
              <w:pStyle w:val="TableParagraph"/>
              <w:spacing w:before="254"/>
              <w:rPr>
                <w:b/>
                <w:sz w:val="24"/>
              </w:rPr>
            </w:pPr>
          </w:p>
          <w:p>
            <w:pPr>
              <w:pStyle w:val="TableParagraph"/>
              <w:ind w:left="108"/>
              <w:rPr>
                <w:rFonts w:ascii="Cambria"/>
                <w:b/>
                <w:sz w:val="24"/>
              </w:rPr>
            </w:pPr>
            <w:r>
              <w:rPr>
                <w:rFonts w:ascii="Cambria"/>
                <w:b/>
                <w:sz w:val="24"/>
              </w:rPr>
              <w:t>T- </w:t>
            </w:r>
            <w:r>
              <w:rPr>
                <w:rFonts w:ascii="Cambria"/>
                <w:b/>
                <w:spacing w:val="-2"/>
                <w:sz w:val="24"/>
              </w:rPr>
              <w:t>STATISTICS</w:t>
            </w:r>
          </w:p>
        </w:tc>
        <w:tc>
          <w:tcPr>
            <w:tcW w:w="2386" w:type="dxa"/>
          </w:tcPr>
          <w:p>
            <w:pPr>
              <w:pStyle w:val="TableParagraph"/>
              <w:spacing w:before="249"/>
              <w:rPr>
                <w:b/>
                <w:sz w:val="24"/>
              </w:rPr>
            </w:pPr>
          </w:p>
          <w:p>
            <w:pPr>
              <w:pStyle w:val="TableParagraph"/>
              <w:spacing w:line="480" w:lineRule="auto"/>
              <w:ind w:left="106" w:right="39"/>
              <w:rPr>
                <w:rFonts w:ascii="Cambria"/>
                <w:b/>
                <w:sz w:val="24"/>
              </w:rPr>
            </w:pPr>
            <w:r>
              <w:rPr>
                <w:rFonts w:ascii="Cambria"/>
                <w:b/>
                <w:spacing w:val="-2"/>
                <w:sz w:val="24"/>
              </w:rPr>
              <w:t>PROBABILITY VALUE</w:t>
            </w:r>
          </w:p>
        </w:tc>
        <w:tc>
          <w:tcPr>
            <w:tcW w:w="1531" w:type="dxa"/>
          </w:tcPr>
          <w:p>
            <w:pPr>
              <w:pStyle w:val="TableParagraph"/>
              <w:spacing w:line="281" w:lineRule="exact"/>
              <w:ind w:left="106"/>
              <w:rPr>
                <w:rFonts w:ascii="Cambria"/>
                <w:b/>
                <w:sz w:val="24"/>
              </w:rPr>
            </w:pPr>
            <w:r>
              <w:rPr>
                <w:rFonts w:ascii="Cambria"/>
                <w:b/>
                <w:spacing w:val="-2"/>
                <w:sz w:val="24"/>
              </w:rPr>
              <w:t>REMARKS</w:t>
            </w:r>
          </w:p>
        </w:tc>
      </w:tr>
      <w:tr>
        <w:trPr>
          <w:trHeight w:val="275" w:hRule="atLeast"/>
        </w:trPr>
        <w:tc>
          <w:tcPr>
            <w:tcW w:w="2028" w:type="dxa"/>
          </w:tcPr>
          <w:p>
            <w:pPr>
              <w:pStyle w:val="TableParagraph"/>
              <w:spacing w:line="229" w:lineRule="exact"/>
              <w:ind w:left="5" w:right="2"/>
              <w:jc w:val="center"/>
              <w:rPr>
                <w:rFonts w:ascii="Arial MT"/>
                <w:sz w:val="20"/>
              </w:rPr>
            </w:pPr>
            <w:r>
              <w:rPr>
                <w:rFonts w:ascii="Arial MT"/>
                <w:spacing w:val="-10"/>
                <w:sz w:val="20"/>
              </w:rPr>
              <w:t>C</w:t>
            </w:r>
          </w:p>
        </w:tc>
        <w:tc>
          <w:tcPr>
            <w:tcW w:w="2218" w:type="dxa"/>
          </w:tcPr>
          <w:p>
            <w:pPr>
              <w:pStyle w:val="TableParagraph"/>
              <w:ind w:right="95"/>
              <w:jc w:val="right"/>
              <w:rPr>
                <w:sz w:val="20"/>
              </w:rPr>
            </w:pPr>
            <w:r>
              <w:rPr>
                <w:spacing w:val="-2"/>
                <w:sz w:val="20"/>
              </w:rPr>
              <w:t>4.926130</w:t>
            </w:r>
          </w:p>
        </w:tc>
        <w:tc>
          <w:tcPr>
            <w:tcW w:w="1937" w:type="dxa"/>
          </w:tcPr>
          <w:p>
            <w:pPr>
              <w:pStyle w:val="TableParagraph"/>
              <w:ind w:right="95"/>
              <w:jc w:val="right"/>
              <w:rPr>
                <w:sz w:val="20"/>
              </w:rPr>
            </w:pPr>
            <w:r>
              <w:rPr>
                <w:spacing w:val="-2"/>
                <w:sz w:val="20"/>
              </w:rPr>
              <w:t>1.705309</w:t>
            </w:r>
          </w:p>
        </w:tc>
        <w:tc>
          <w:tcPr>
            <w:tcW w:w="2386" w:type="dxa"/>
          </w:tcPr>
          <w:p>
            <w:pPr>
              <w:pStyle w:val="TableParagraph"/>
              <w:ind w:right="97"/>
              <w:jc w:val="right"/>
              <w:rPr>
                <w:sz w:val="20"/>
              </w:rPr>
            </w:pPr>
            <w:r>
              <w:rPr>
                <w:spacing w:val="-2"/>
                <w:sz w:val="20"/>
              </w:rPr>
              <w:t>0.1319</w:t>
            </w:r>
          </w:p>
        </w:tc>
        <w:tc>
          <w:tcPr>
            <w:tcW w:w="1531" w:type="dxa"/>
          </w:tcPr>
          <w:p>
            <w:pPr>
              <w:pStyle w:val="TableParagraph"/>
              <w:spacing w:line="256" w:lineRule="exact"/>
              <w:ind w:right="100"/>
              <w:jc w:val="right"/>
              <w:rPr>
                <w:sz w:val="24"/>
              </w:rPr>
            </w:pPr>
            <w:r>
              <w:rPr>
                <w:spacing w:val="-2"/>
                <w:sz w:val="24"/>
              </w:rPr>
              <w:t>Insignificant</w:t>
            </w:r>
          </w:p>
        </w:tc>
      </w:tr>
      <w:tr>
        <w:trPr>
          <w:trHeight w:val="333" w:hRule="atLeast"/>
        </w:trPr>
        <w:tc>
          <w:tcPr>
            <w:tcW w:w="2028" w:type="dxa"/>
          </w:tcPr>
          <w:p>
            <w:pPr>
              <w:pStyle w:val="TableParagraph"/>
              <w:ind w:left="5" w:right="3"/>
              <w:jc w:val="center"/>
              <w:rPr>
                <w:rFonts w:ascii="Arial MT" w:hAnsi="Arial MT"/>
                <w:sz w:val="20"/>
              </w:rPr>
            </w:pPr>
            <w:r>
              <w:rPr>
                <w:rFonts w:ascii="Cambria" w:hAnsi="Cambria"/>
                <w:spacing w:val="-2"/>
                <w:sz w:val="24"/>
              </w:rPr>
              <w:t>δ</w:t>
            </w:r>
            <w:r>
              <w:rPr>
                <w:rFonts w:ascii="Arial MT" w:hAnsi="Arial MT"/>
                <w:spacing w:val="-2"/>
                <w:sz w:val="20"/>
              </w:rPr>
              <w:t>EXTDEBT</w:t>
            </w:r>
          </w:p>
        </w:tc>
        <w:tc>
          <w:tcPr>
            <w:tcW w:w="2218" w:type="dxa"/>
          </w:tcPr>
          <w:p>
            <w:pPr>
              <w:pStyle w:val="TableParagraph"/>
              <w:spacing w:before="1"/>
              <w:ind w:right="95"/>
              <w:jc w:val="right"/>
              <w:rPr>
                <w:sz w:val="20"/>
              </w:rPr>
            </w:pPr>
            <w:r>
              <w:rPr>
                <w:spacing w:val="-2"/>
                <w:sz w:val="20"/>
              </w:rPr>
              <w:t>0.117314</w:t>
            </w:r>
          </w:p>
        </w:tc>
        <w:tc>
          <w:tcPr>
            <w:tcW w:w="1937" w:type="dxa"/>
          </w:tcPr>
          <w:p>
            <w:pPr>
              <w:pStyle w:val="TableParagraph"/>
              <w:spacing w:before="1"/>
              <w:ind w:right="95"/>
              <w:jc w:val="right"/>
              <w:rPr>
                <w:sz w:val="20"/>
              </w:rPr>
            </w:pPr>
            <w:r>
              <w:rPr>
                <w:spacing w:val="-2"/>
                <w:sz w:val="20"/>
              </w:rPr>
              <w:t>1.558605</w:t>
            </w:r>
          </w:p>
        </w:tc>
        <w:tc>
          <w:tcPr>
            <w:tcW w:w="2386" w:type="dxa"/>
          </w:tcPr>
          <w:p>
            <w:pPr>
              <w:pStyle w:val="TableParagraph"/>
              <w:spacing w:before="1"/>
              <w:ind w:right="97"/>
              <w:jc w:val="right"/>
              <w:rPr>
                <w:sz w:val="20"/>
              </w:rPr>
            </w:pPr>
            <w:r>
              <w:rPr>
                <w:spacing w:val="-2"/>
                <w:sz w:val="20"/>
              </w:rPr>
              <w:t>0.1631</w:t>
            </w:r>
          </w:p>
        </w:tc>
        <w:tc>
          <w:tcPr>
            <w:tcW w:w="1531" w:type="dxa"/>
          </w:tcPr>
          <w:p>
            <w:pPr>
              <w:pStyle w:val="TableParagraph"/>
              <w:spacing w:line="276" w:lineRule="exact"/>
              <w:ind w:right="100"/>
              <w:jc w:val="right"/>
              <w:rPr>
                <w:sz w:val="24"/>
              </w:rPr>
            </w:pPr>
            <w:r>
              <w:rPr>
                <w:spacing w:val="-2"/>
                <w:sz w:val="24"/>
              </w:rPr>
              <w:t>Insignificant</w:t>
            </w:r>
          </w:p>
        </w:tc>
      </w:tr>
      <w:tr>
        <w:trPr>
          <w:trHeight w:val="340" w:hRule="atLeast"/>
        </w:trPr>
        <w:tc>
          <w:tcPr>
            <w:tcW w:w="2028" w:type="dxa"/>
          </w:tcPr>
          <w:p>
            <w:pPr>
              <w:pStyle w:val="TableParagraph"/>
              <w:spacing w:line="229" w:lineRule="exact"/>
              <w:ind w:left="5" w:right="1"/>
              <w:jc w:val="center"/>
              <w:rPr>
                <w:rFonts w:ascii="Arial MT"/>
                <w:sz w:val="20"/>
              </w:rPr>
            </w:pPr>
            <w:r>
              <w:rPr>
                <w:rFonts w:ascii="Arial MT"/>
                <w:spacing w:val="-5"/>
                <w:sz w:val="20"/>
              </w:rPr>
              <w:t>DOP</w:t>
            </w:r>
          </w:p>
        </w:tc>
        <w:tc>
          <w:tcPr>
            <w:tcW w:w="2218" w:type="dxa"/>
          </w:tcPr>
          <w:p>
            <w:pPr>
              <w:pStyle w:val="TableParagraph"/>
              <w:ind w:right="95"/>
              <w:jc w:val="right"/>
              <w:rPr>
                <w:sz w:val="20"/>
              </w:rPr>
            </w:pPr>
            <w:r>
              <w:rPr>
                <w:spacing w:val="-4"/>
                <w:sz w:val="20"/>
              </w:rPr>
              <w:t>-</w:t>
            </w:r>
            <w:r>
              <w:rPr>
                <w:spacing w:val="-2"/>
                <w:sz w:val="20"/>
              </w:rPr>
              <w:t>0.239300</w:t>
            </w:r>
          </w:p>
        </w:tc>
        <w:tc>
          <w:tcPr>
            <w:tcW w:w="1937" w:type="dxa"/>
          </w:tcPr>
          <w:p>
            <w:pPr>
              <w:pStyle w:val="TableParagraph"/>
              <w:ind w:right="95"/>
              <w:jc w:val="right"/>
              <w:rPr>
                <w:sz w:val="20"/>
              </w:rPr>
            </w:pPr>
            <w:r>
              <w:rPr>
                <w:spacing w:val="-4"/>
                <w:sz w:val="20"/>
              </w:rPr>
              <w:t>-</w:t>
            </w:r>
            <w:r>
              <w:rPr>
                <w:spacing w:val="-2"/>
                <w:sz w:val="20"/>
              </w:rPr>
              <w:t>0.234552</w:t>
            </w:r>
          </w:p>
        </w:tc>
        <w:tc>
          <w:tcPr>
            <w:tcW w:w="2386" w:type="dxa"/>
          </w:tcPr>
          <w:p>
            <w:pPr>
              <w:pStyle w:val="TableParagraph"/>
              <w:ind w:right="97"/>
              <w:jc w:val="right"/>
              <w:rPr>
                <w:sz w:val="20"/>
              </w:rPr>
            </w:pPr>
            <w:r>
              <w:rPr>
                <w:spacing w:val="-2"/>
                <w:sz w:val="20"/>
              </w:rPr>
              <w:t>0.8213</w:t>
            </w:r>
          </w:p>
        </w:tc>
        <w:tc>
          <w:tcPr>
            <w:tcW w:w="1531" w:type="dxa"/>
          </w:tcPr>
          <w:p>
            <w:pPr>
              <w:pStyle w:val="TableParagraph"/>
              <w:spacing w:line="275" w:lineRule="exact"/>
              <w:ind w:right="100"/>
              <w:jc w:val="right"/>
              <w:rPr>
                <w:sz w:val="24"/>
              </w:rPr>
            </w:pPr>
            <w:r>
              <w:rPr>
                <w:spacing w:val="-2"/>
                <w:sz w:val="24"/>
              </w:rPr>
              <w:t>Insignificant</w:t>
            </w:r>
          </w:p>
        </w:tc>
      </w:tr>
      <w:tr>
        <w:trPr>
          <w:trHeight w:val="350" w:hRule="atLeast"/>
        </w:trPr>
        <w:tc>
          <w:tcPr>
            <w:tcW w:w="2028" w:type="dxa"/>
          </w:tcPr>
          <w:p>
            <w:pPr>
              <w:pStyle w:val="TableParagraph"/>
              <w:spacing w:line="229" w:lineRule="exact"/>
              <w:ind w:left="5" w:right="3"/>
              <w:jc w:val="center"/>
              <w:rPr>
                <w:rFonts w:ascii="Arial MT"/>
                <w:sz w:val="20"/>
              </w:rPr>
            </w:pPr>
            <w:r>
              <w:rPr>
                <w:rFonts w:ascii="Arial MT"/>
                <w:spacing w:val="-5"/>
                <w:sz w:val="20"/>
              </w:rPr>
              <w:t>INF</w:t>
            </w:r>
          </w:p>
        </w:tc>
        <w:tc>
          <w:tcPr>
            <w:tcW w:w="2218" w:type="dxa"/>
          </w:tcPr>
          <w:p>
            <w:pPr>
              <w:pStyle w:val="TableParagraph"/>
              <w:ind w:right="95"/>
              <w:jc w:val="right"/>
              <w:rPr>
                <w:sz w:val="20"/>
              </w:rPr>
            </w:pPr>
            <w:r>
              <w:rPr>
                <w:spacing w:val="-4"/>
                <w:sz w:val="20"/>
              </w:rPr>
              <w:t>-</w:t>
            </w:r>
            <w:r>
              <w:rPr>
                <w:spacing w:val="-2"/>
                <w:sz w:val="20"/>
              </w:rPr>
              <w:t>0.151389</w:t>
            </w:r>
          </w:p>
        </w:tc>
        <w:tc>
          <w:tcPr>
            <w:tcW w:w="1937" w:type="dxa"/>
          </w:tcPr>
          <w:p>
            <w:pPr>
              <w:pStyle w:val="TableParagraph"/>
              <w:ind w:right="95"/>
              <w:jc w:val="right"/>
              <w:rPr>
                <w:sz w:val="20"/>
              </w:rPr>
            </w:pPr>
            <w:r>
              <w:rPr>
                <w:spacing w:val="-4"/>
                <w:sz w:val="20"/>
              </w:rPr>
              <w:t>-</w:t>
            </w:r>
            <w:r>
              <w:rPr>
                <w:spacing w:val="-2"/>
                <w:sz w:val="20"/>
              </w:rPr>
              <w:t>0.726356</w:t>
            </w:r>
          </w:p>
        </w:tc>
        <w:tc>
          <w:tcPr>
            <w:tcW w:w="2386" w:type="dxa"/>
          </w:tcPr>
          <w:p>
            <w:pPr>
              <w:pStyle w:val="TableParagraph"/>
              <w:ind w:right="97"/>
              <w:jc w:val="right"/>
              <w:rPr>
                <w:sz w:val="20"/>
              </w:rPr>
            </w:pPr>
            <w:r>
              <w:rPr>
                <w:spacing w:val="-2"/>
                <w:sz w:val="20"/>
              </w:rPr>
              <w:t>0.4912</w:t>
            </w:r>
          </w:p>
        </w:tc>
        <w:tc>
          <w:tcPr>
            <w:tcW w:w="1531" w:type="dxa"/>
          </w:tcPr>
          <w:p>
            <w:pPr>
              <w:pStyle w:val="TableParagraph"/>
              <w:spacing w:line="275" w:lineRule="exact"/>
              <w:ind w:right="100"/>
              <w:jc w:val="right"/>
              <w:rPr>
                <w:sz w:val="24"/>
              </w:rPr>
            </w:pPr>
            <w:r>
              <w:rPr>
                <w:spacing w:val="-2"/>
                <w:sz w:val="24"/>
              </w:rPr>
              <w:t>Insignificant</w:t>
            </w:r>
          </w:p>
        </w:tc>
      </w:tr>
      <w:tr>
        <w:trPr>
          <w:trHeight w:val="350" w:hRule="atLeast"/>
        </w:trPr>
        <w:tc>
          <w:tcPr>
            <w:tcW w:w="2028" w:type="dxa"/>
          </w:tcPr>
          <w:p>
            <w:pPr>
              <w:pStyle w:val="TableParagraph"/>
              <w:spacing w:line="229" w:lineRule="exact"/>
              <w:ind w:left="5" w:right="3"/>
              <w:jc w:val="center"/>
              <w:rPr>
                <w:rFonts w:ascii="Arial MT"/>
                <w:sz w:val="20"/>
              </w:rPr>
            </w:pPr>
            <w:r>
              <w:rPr>
                <w:rFonts w:ascii="Arial MT"/>
                <w:spacing w:val="-5"/>
                <w:sz w:val="20"/>
              </w:rPr>
              <w:t>GCF</w:t>
            </w:r>
          </w:p>
        </w:tc>
        <w:tc>
          <w:tcPr>
            <w:tcW w:w="2218" w:type="dxa"/>
          </w:tcPr>
          <w:p>
            <w:pPr>
              <w:pStyle w:val="TableParagraph"/>
              <w:ind w:right="95"/>
              <w:jc w:val="right"/>
              <w:rPr>
                <w:sz w:val="20"/>
              </w:rPr>
            </w:pPr>
            <w:r>
              <w:rPr>
                <w:spacing w:val="-2"/>
                <w:sz w:val="20"/>
              </w:rPr>
              <w:t>0.070704</w:t>
            </w:r>
          </w:p>
        </w:tc>
        <w:tc>
          <w:tcPr>
            <w:tcW w:w="1937" w:type="dxa"/>
          </w:tcPr>
          <w:p>
            <w:pPr>
              <w:pStyle w:val="TableParagraph"/>
              <w:ind w:right="95"/>
              <w:jc w:val="right"/>
              <w:rPr>
                <w:sz w:val="20"/>
              </w:rPr>
            </w:pPr>
            <w:r>
              <w:rPr>
                <w:spacing w:val="-2"/>
                <w:sz w:val="20"/>
              </w:rPr>
              <w:t>0.507973</w:t>
            </w:r>
          </w:p>
        </w:tc>
        <w:tc>
          <w:tcPr>
            <w:tcW w:w="2386" w:type="dxa"/>
          </w:tcPr>
          <w:p>
            <w:pPr>
              <w:pStyle w:val="TableParagraph"/>
              <w:ind w:right="97"/>
              <w:jc w:val="right"/>
              <w:rPr>
                <w:sz w:val="20"/>
              </w:rPr>
            </w:pPr>
            <w:r>
              <w:rPr>
                <w:spacing w:val="-2"/>
                <w:sz w:val="20"/>
              </w:rPr>
              <w:t>0.6271</w:t>
            </w:r>
          </w:p>
        </w:tc>
        <w:tc>
          <w:tcPr>
            <w:tcW w:w="1531" w:type="dxa"/>
          </w:tcPr>
          <w:p>
            <w:pPr>
              <w:pStyle w:val="TableParagraph"/>
              <w:spacing w:line="275" w:lineRule="exact"/>
              <w:ind w:right="100"/>
              <w:jc w:val="right"/>
              <w:rPr>
                <w:sz w:val="24"/>
              </w:rPr>
            </w:pPr>
            <w:r>
              <w:rPr>
                <w:spacing w:val="-2"/>
                <w:sz w:val="24"/>
              </w:rPr>
              <w:t>Insignificant</w:t>
            </w:r>
          </w:p>
        </w:tc>
      </w:tr>
      <w:tr>
        <w:trPr>
          <w:trHeight w:val="359" w:hRule="atLeast"/>
        </w:trPr>
        <w:tc>
          <w:tcPr>
            <w:tcW w:w="2028" w:type="dxa"/>
          </w:tcPr>
          <w:p>
            <w:pPr>
              <w:pStyle w:val="TableParagraph"/>
              <w:spacing w:line="229" w:lineRule="exact"/>
              <w:ind w:left="5" w:right="2"/>
              <w:jc w:val="center"/>
              <w:rPr>
                <w:rFonts w:ascii="Arial MT"/>
                <w:sz w:val="20"/>
              </w:rPr>
            </w:pPr>
            <w:r>
              <w:rPr>
                <w:rFonts w:ascii="Arial MT"/>
                <w:spacing w:val="-5"/>
                <w:sz w:val="20"/>
              </w:rPr>
              <w:t>DR</w:t>
            </w:r>
          </w:p>
        </w:tc>
        <w:tc>
          <w:tcPr>
            <w:tcW w:w="2218" w:type="dxa"/>
          </w:tcPr>
          <w:p>
            <w:pPr>
              <w:pStyle w:val="TableParagraph"/>
              <w:ind w:right="95"/>
              <w:jc w:val="right"/>
              <w:rPr>
                <w:sz w:val="20"/>
              </w:rPr>
            </w:pPr>
            <w:r>
              <w:rPr>
                <w:spacing w:val="-2"/>
                <w:sz w:val="20"/>
              </w:rPr>
              <w:t>0.793791</w:t>
            </w:r>
          </w:p>
        </w:tc>
        <w:tc>
          <w:tcPr>
            <w:tcW w:w="1937" w:type="dxa"/>
          </w:tcPr>
          <w:p>
            <w:pPr>
              <w:pStyle w:val="TableParagraph"/>
              <w:ind w:right="95"/>
              <w:jc w:val="right"/>
              <w:rPr>
                <w:sz w:val="20"/>
              </w:rPr>
            </w:pPr>
            <w:r>
              <w:rPr>
                <w:spacing w:val="-2"/>
                <w:sz w:val="20"/>
              </w:rPr>
              <w:t>0.498834</w:t>
            </w:r>
          </w:p>
        </w:tc>
        <w:tc>
          <w:tcPr>
            <w:tcW w:w="2386" w:type="dxa"/>
          </w:tcPr>
          <w:p>
            <w:pPr>
              <w:pStyle w:val="TableParagraph"/>
              <w:ind w:right="97"/>
              <w:jc w:val="right"/>
              <w:rPr>
                <w:sz w:val="20"/>
              </w:rPr>
            </w:pPr>
            <w:r>
              <w:rPr>
                <w:spacing w:val="-2"/>
                <w:sz w:val="20"/>
              </w:rPr>
              <w:t>0.6332</w:t>
            </w:r>
          </w:p>
        </w:tc>
        <w:tc>
          <w:tcPr>
            <w:tcW w:w="1531" w:type="dxa"/>
          </w:tcPr>
          <w:p>
            <w:pPr>
              <w:pStyle w:val="TableParagraph"/>
              <w:spacing w:line="275" w:lineRule="exact"/>
              <w:ind w:right="100"/>
              <w:jc w:val="right"/>
              <w:rPr>
                <w:sz w:val="24"/>
              </w:rPr>
            </w:pPr>
            <w:r>
              <w:rPr>
                <w:spacing w:val="-2"/>
                <w:sz w:val="24"/>
              </w:rPr>
              <w:t>Insignificant</w:t>
            </w:r>
          </w:p>
        </w:tc>
      </w:tr>
      <w:tr>
        <w:trPr>
          <w:trHeight w:val="357" w:hRule="atLeast"/>
        </w:trPr>
        <w:tc>
          <w:tcPr>
            <w:tcW w:w="2028" w:type="dxa"/>
          </w:tcPr>
          <w:p>
            <w:pPr>
              <w:pStyle w:val="TableParagraph"/>
              <w:spacing w:line="229" w:lineRule="exact"/>
              <w:ind w:left="5" w:right="3"/>
              <w:jc w:val="center"/>
              <w:rPr>
                <w:rFonts w:ascii="Arial MT"/>
                <w:sz w:val="20"/>
              </w:rPr>
            </w:pPr>
            <w:r>
              <w:rPr>
                <w:rFonts w:ascii="Arial MT"/>
                <w:spacing w:val="-2"/>
                <w:sz w:val="20"/>
              </w:rPr>
              <w:t>PRIVCR</w:t>
            </w:r>
          </w:p>
        </w:tc>
        <w:tc>
          <w:tcPr>
            <w:tcW w:w="2218" w:type="dxa"/>
          </w:tcPr>
          <w:p>
            <w:pPr>
              <w:pStyle w:val="TableParagraph"/>
              <w:ind w:right="95"/>
              <w:jc w:val="right"/>
              <w:rPr>
                <w:sz w:val="20"/>
              </w:rPr>
            </w:pPr>
            <w:r>
              <w:rPr>
                <w:spacing w:val="-2"/>
                <w:sz w:val="20"/>
              </w:rPr>
              <w:t>0.096335</w:t>
            </w:r>
          </w:p>
        </w:tc>
        <w:tc>
          <w:tcPr>
            <w:tcW w:w="1937" w:type="dxa"/>
          </w:tcPr>
          <w:p>
            <w:pPr>
              <w:pStyle w:val="TableParagraph"/>
              <w:ind w:right="95"/>
              <w:jc w:val="right"/>
              <w:rPr>
                <w:sz w:val="20"/>
              </w:rPr>
            </w:pPr>
            <w:r>
              <w:rPr>
                <w:spacing w:val="-2"/>
                <w:sz w:val="20"/>
              </w:rPr>
              <w:t>0.161905</w:t>
            </w:r>
          </w:p>
        </w:tc>
        <w:tc>
          <w:tcPr>
            <w:tcW w:w="2386" w:type="dxa"/>
          </w:tcPr>
          <w:p>
            <w:pPr>
              <w:pStyle w:val="TableParagraph"/>
              <w:ind w:right="97"/>
              <w:jc w:val="right"/>
              <w:rPr>
                <w:sz w:val="20"/>
              </w:rPr>
            </w:pPr>
            <w:r>
              <w:rPr>
                <w:spacing w:val="-2"/>
                <w:sz w:val="20"/>
              </w:rPr>
              <w:t>0.8760</w:t>
            </w:r>
          </w:p>
        </w:tc>
        <w:tc>
          <w:tcPr>
            <w:tcW w:w="1531" w:type="dxa"/>
          </w:tcPr>
          <w:p>
            <w:pPr>
              <w:pStyle w:val="TableParagraph"/>
              <w:spacing w:line="275" w:lineRule="exact"/>
              <w:ind w:right="100"/>
              <w:jc w:val="right"/>
              <w:rPr>
                <w:sz w:val="24"/>
              </w:rPr>
            </w:pPr>
            <w:r>
              <w:rPr>
                <w:spacing w:val="-2"/>
                <w:sz w:val="24"/>
              </w:rPr>
              <w:t>Insignificant</w:t>
            </w:r>
          </w:p>
        </w:tc>
      </w:tr>
      <w:tr>
        <w:trPr>
          <w:trHeight w:val="359" w:hRule="atLeast"/>
        </w:trPr>
        <w:tc>
          <w:tcPr>
            <w:tcW w:w="2028" w:type="dxa"/>
          </w:tcPr>
          <w:p>
            <w:pPr>
              <w:pStyle w:val="TableParagraph"/>
              <w:spacing w:line="229" w:lineRule="exact"/>
              <w:ind w:left="5" w:right="2"/>
              <w:jc w:val="center"/>
              <w:rPr>
                <w:rFonts w:ascii="Arial MT"/>
                <w:sz w:val="20"/>
              </w:rPr>
            </w:pPr>
            <w:r>
              <w:rPr>
                <w:rFonts w:ascii="Arial MT"/>
                <w:spacing w:val="-4"/>
                <w:sz w:val="20"/>
              </w:rPr>
              <w:t>USIRD</w:t>
            </w:r>
          </w:p>
        </w:tc>
        <w:tc>
          <w:tcPr>
            <w:tcW w:w="2218" w:type="dxa"/>
          </w:tcPr>
          <w:p>
            <w:pPr>
              <w:pStyle w:val="TableParagraph"/>
              <w:ind w:right="95"/>
              <w:jc w:val="right"/>
              <w:rPr>
                <w:sz w:val="20"/>
              </w:rPr>
            </w:pPr>
            <w:r>
              <w:rPr>
                <w:spacing w:val="-4"/>
                <w:sz w:val="20"/>
              </w:rPr>
              <w:t>-</w:t>
            </w:r>
            <w:r>
              <w:rPr>
                <w:spacing w:val="-2"/>
                <w:sz w:val="20"/>
              </w:rPr>
              <w:t>0.081020</w:t>
            </w:r>
          </w:p>
        </w:tc>
        <w:tc>
          <w:tcPr>
            <w:tcW w:w="1937" w:type="dxa"/>
          </w:tcPr>
          <w:p>
            <w:pPr>
              <w:pStyle w:val="TableParagraph"/>
              <w:ind w:right="95"/>
              <w:jc w:val="right"/>
              <w:rPr>
                <w:sz w:val="20"/>
              </w:rPr>
            </w:pPr>
            <w:r>
              <w:rPr>
                <w:spacing w:val="-4"/>
                <w:sz w:val="20"/>
              </w:rPr>
              <w:t>-</w:t>
            </w:r>
            <w:r>
              <w:rPr>
                <w:spacing w:val="-2"/>
                <w:sz w:val="20"/>
              </w:rPr>
              <w:t>0.688085</w:t>
            </w:r>
          </w:p>
        </w:tc>
        <w:tc>
          <w:tcPr>
            <w:tcW w:w="2386" w:type="dxa"/>
          </w:tcPr>
          <w:p>
            <w:pPr>
              <w:pStyle w:val="TableParagraph"/>
              <w:ind w:right="97"/>
              <w:jc w:val="right"/>
              <w:rPr>
                <w:sz w:val="20"/>
              </w:rPr>
            </w:pPr>
            <w:r>
              <w:rPr>
                <w:spacing w:val="-2"/>
                <w:sz w:val="20"/>
              </w:rPr>
              <w:t>0.5135</w:t>
            </w:r>
          </w:p>
        </w:tc>
        <w:tc>
          <w:tcPr>
            <w:tcW w:w="1531" w:type="dxa"/>
          </w:tcPr>
          <w:p>
            <w:pPr>
              <w:pStyle w:val="TableParagraph"/>
              <w:rPr>
                <w:sz w:val="22"/>
              </w:rPr>
            </w:pPr>
          </w:p>
        </w:tc>
      </w:tr>
      <w:tr>
        <w:trPr>
          <w:trHeight w:val="359" w:hRule="atLeast"/>
        </w:trPr>
        <w:tc>
          <w:tcPr>
            <w:tcW w:w="2028" w:type="dxa"/>
          </w:tcPr>
          <w:p>
            <w:pPr>
              <w:pStyle w:val="TableParagraph"/>
              <w:spacing w:line="229" w:lineRule="exact"/>
              <w:ind w:left="5"/>
              <w:jc w:val="center"/>
              <w:rPr>
                <w:rFonts w:ascii="Arial MT"/>
                <w:sz w:val="20"/>
              </w:rPr>
            </w:pPr>
            <w:r>
              <w:rPr>
                <w:rFonts w:ascii="Arial MT"/>
                <w:spacing w:val="-4"/>
                <w:sz w:val="20"/>
              </w:rPr>
              <w:t>GOCE</w:t>
            </w:r>
          </w:p>
        </w:tc>
        <w:tc>
          <w:tcPr>
            <w:tcW w:w="2218" w:type="dxa"/>
          </w:tcPr>
          <w:p>
            <w:pPr>
              <w:pStyle w:val="TableParagraph"/>
              <w:ind w:right="95"/>
              <w:jc w:val="right"/>
              <w:rPr>
                <w:sz w:val="20"/>
              </w:rPr>
            </w:pPr>
            <w:r>
              <w:rPr>
                <w:spacing w:val="-2"/>
                <w:sz w:val="20"/>
              </w:rPr>
              <w:t>0.047841</w:t>
            </w:r>
          </w:p>
        </w:tc>
        <w:tc>
          <w:tcPr>
            <w:tcW w:w="1937" w:type="dxa"/>
          </w:tcPr>
          <w:p>
            <w:pPr>
              <w:pStyle w:val="TableParagraph"/>
              <w:ind w:right="95"/>
              <w:jc w:val="right"/>
              <w:rPr>
                <w:sz w:val="20"/>
              </w:rPr>
            </w:pPr>
            <w:r>
              <w:rPr>
                <w:spacing w:val="-2"/>
                <w:sz w:val="20"/>
              </w:rPr>
              <w:t>0.129599</w:t>
            </w:r>
          </w:p>
        </w:tc>
        <w:tc>
          <w:tcPr>
            <w:tcW w:w="2386" w:type="dxa"/>
          </w:tcPr>
          <w:p>
            <w:pPr>
              <w:pStyle w:val="TableParagraph"/>
              <w:ind w:right="97"/>
              <w:jc w:val="right"/>
              <w:rPr>
                <w:sz w:val="20"/>
              </w:rPr>
            </w:pPr>
            <w:r>
              <w:rPr>
                <w:spacing w:val="-2"/>
                <w:sz w:val="20"/>
              </w:rPr>
              <w:t>0.9005</w:t>
            </w:r>
          </w:p>
        </w:tc>
        <w:tc>
          <w:tcPr>
            <w:tcW w:w="1531" w:type="dxa"/>
          </w:tcPr>
          <w:p>
            <w:pPr>
              <w:pStyle w:val="TableParagraph"/>
              <w:rPr>
                <w:sz w:val="22"/>
              </w:rPr>
            </w:pPr>
          </w:p>
        </w:tc>
      </w:tr>
    </w:tbl>
    <w:p>
      <w:pPr>
        <w:pStyle w:val="BodyText"/>
        <w:rPr>
          <w:b/>
          <w:sz w:val="20"/>
        </w:rPr>
      </w:pPr>
    </w:p>
    <w:p>
      <w:pPr>
        <w:pStyle w:val="BodyText"/>
        <w:spacing w:before="98"/>
        <w:rPr>
          <w:b/>
          <w:sz w:val="20"/>
        </w:rPr>
      </w:pPr>
    </w:p>
    <w:tbl>
      <w:tblPr>
        <w:tblW w:w="0" w:type="auto"/>
        <w:jc w:val="left"/>
        <w:tblInd w:w="7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40"/>
        <w:gridCol w:w="1936"/>
        <w:gridCol w:w="3060"/>
        <w:gridCol w:w="1830"/>
      </w:tblGrid>
      <w:tr>
        <w:trPr>
          <w:trHeight w:val="270" w:hRule="atLeast"/>
        </w:trPr>
        <w:tc>
          <w:tcPr>
            <w:tcW w:w="2840" w:type="dxa"/>
          </w:tcPr>
          <w:p>
            <w:pPr>
              <w:pStyle w:val="TableParagraph"/>
              <w:spacing w:line="251" w:lineRule="exact"/>
              <w:ind w:left="43"/>
              <w:rPr>
                <w:sz w:val="24"/>
              </w:rPr>
            </w:pPr>
            <w:r>
              <w:rPr>
                <w:sz w:val="24"/>
              </w:rPr>
              <w:t>R-</w:t>
            </w:r>
            <w:r>
              <w:rPr>
                <w:spacing w:val="-2"/>
                <w:sz w:val="24"/>
              </w:rPr>
              <w:t>squared</w:t>
            </w:r>
          </w:p>
        </w:tc>
        <w:tc>
          <w:tcPr>
            <w:tcW w:w="1936" w:type="dxa"/>
          </w:tcPr>
          <w:p>
            <w:pPr>
              <w:pStyle w:val="TableParagraph"/>
              <w:spacing w:line="251" w:lineRule="exact"/>
              <w:ind w:right="148"/>
              <w:jc w:val="right"/>
              <w:rPr>
                <w:sz w:val="24"/>
              </w:rPr>
            </w:pPr>
            <w:r>
              <w:rPr>
                <w:spacing w:val="-2"/>
                <w:sz w:val="24"/>
              </w:rPr>
              <w:t>0.942069</w:t>
            </w:r>
          </w:p>
        </w:tc>
        <w:tc>
          <w:tcPr>
            <w:tcW w:w="3060" w:type="dxa"/>
          </w:tcPr>
          <w:p>
            <w:pPr>
              <w:pStyle w:val="TableParagraph"/>
              <w:spacing w:line="251" w:lineRule="exact"/>
              <w:ind w:left="149"/>
              <w:rPr>
                <w:sz w:val="24"/>
              </w:rPr>
            </w:pPr>
            <w:r>
              <w:rPr>
                <w:sz w:val="24"/>
              </w:rPr>
              <w:t>Mean</w:t>
            </w:r>
            <w:r>
              <w:rPr>
                <w:spacing w:val="-2"/>
                <w:sz w:val="24"/>
              </w:rPr>
              <w:t> </w:t>
            </w:r>
            <w:r>
              <w:rPr>
                <w:sz w:val="24"/>
              </w:rPr>
              <w:t>dependent</w:t>
            </w:r>
            <w:r>
              <w:rPr>
                <w:spacing w:val="-1"/>
                <w:sz w:val="24"/>
              </w:rPr>
              <w:t> </w:t>
            </w:r>
            <w:r>
              <w:rPr>
                <w:spacing w:val="-5"/>
                <w:sz w:val="24"/>
              </w:rPr>
              <w:t>var</w:t>
            </w:r>
          </w:p>
        </w:tc>
        <w:tc>
          <w:tcPr>
            <w:tcW w:w="1830" w:type="dxa"/>
          </w:tcPr>
          <w:p>
            <w:pPr>
              <w:pStyle w:val="TableParagraph"/>
              <w:spacing w:line="251" w:lineRule="exact"/>
              <w:ind w:right="28"/>
              <w:jc w:val="right"/>
              <w:rPr>
                <w:sz w:val="24"/>
              </w:rPr>
            </w:pPr>
            <w:r>
              <w:rPr>
                <w:spacing w:val="-2"/>
                <w:sz w:val="24"/>
              </w:rPr>
              <w:t>8.174269</w:t>
            </w:r>
          </w:p>
        </w:tc>
      </w:tr>
      <w:tr>
        <w:trPr>
          <w:trHeight w:val="275" w:hRule="atLeast"/>
        </w:trPr>
        <w:tc>
          <w:tcPr>
            <w:tcW w:w="2840" w:type="dxa"/>
          </w:tcPr>
          <w:p>
            <w:pPr>
              <w:pStyle w:val="TableParagraph"/>
              <w:spacing w:line="256" w:lineRule="exact"/>
              <w:ind w:left="43"/>
              <w:rPr>
                <w:sz w:val="24"/>
              </w:rPr>
            </w:pPr>
            <w:r>
              <w:rPr>
                <w:sz w:val="24"/>
              </w:rPr>
              <w:t>Adjusted</w:t>
            </w:r>
            <w:r>
              <w:rPr>
                <w:spacing w:val="-1"/>
                <w:sz w:val="24"/>
              </w:rPr>
              <w:t> </w:t>
            </w:r>
            <w:r>
              <w:rPr>
                <w:sz w:val="24"/>
              </w:rPr>
              <w:t>R-</w:t>
            </w:r>
            <w:r>
              <w:rPr>
                <w:spacing w:val="-2"/>
                <w:sz w:val="24"/>
              </w:rPr>
              <w:t>squared</w:t>
            </w:r>
          </w:p>
        </w:tc>
        <w:tc>
          <w:tcPr>
            <w:tcW w:w="1936" w:type="dxa"/>
          </w:tcPr>
          <w:p>
            <w:pPr>
              <w:pStyle w:val="TableParagraph"/>
              <w:spacing w:line="256" w:lineRule="exact"/>
              <w:ind w:right="148"/>
              <w:jc w:val="right"/>
              <w:rPr>
                <w:sz w:val="24"/>
              </w:rPr>
            </w:pPr>
            <w:r>
              <w:rPr>
                <w:spacing w:val="-2"/>
                <w:sz w:val="24"/>
              </w:rPr>
              <w:t>0.875862</w:t>
            </w:r>
          </w:p>
        </w:tc>
        <w:tc>
          <w:tcPr>
            <w:tcW w:w="3060" w:type="dxa"/>
          </w:tcPr>
          <w:p>
            <w:pPr>
              <w:pStyle w:val="TableParagraph"/>
              <w:spacing w:line="256" w:lineRule="exact"/>
              <w:ind w:left="149"/>
              <w:rPr>
                <w:sz w:val="24"/>
              </w:rPr>
            </w:pPr>
            <w:r>
              <w:rPr>
                <w:sz w:val="24"/>
              </w:rPr>
              <w:t>S.D.</w:t>
            </w:r>
            <w:r>
              <w:rPr>
                <w:spacing w:val="-4"/>
                <w:sz w:val="24"/>
              </w:rPr>
              <w:t> </w:t>
            </w:r>
            <w:r>
              <w:rPr>
                <w:sz w:val="24"/>
              </w:rPr>
              <w:t>dependent</w:t>
            </w:r>
            <w:r>
              <w:rPr>
                <w:spacing w:val="-2"/>
                <w:sz w:val="24"/>
              </w:rPr>
              <w:t> </w:t>
            </w:r>
            <w:r>
              <w:rPr>
                <w:spacing w:val="-5"/>
                <w:sz w:val="24"/>
              </w:rPr>
              <w:t>var</w:t>
            </w:r>
          </w:p>
        </w:tc>
        <w:tc>
          <w:tcPr>
            <w:tcW w:w="1830" w:type="dxa"/>
          </w:tcPr>
          <w:p>
            <w:pPr>
              <w:pStyle w:val="TableParagraph"/>
              <w:spacing w:line="256" w:lineRule="exact"/>
              <w:ind w:right="28"/>
              <w:jc w:val="right"/>
              <w:rPr>
                <w:sz w:val="24"/>
              </w:rPr>
            </w:pPr>
            <w:r>
              <w:rPr>
                <w:spacing w:val="-2"/>
                <w:sz w:val="24"/>
              </w:rPr>
              <w:t>0.826556</w:t>
            </w:r>
          </w:p>
        </w:tc>
      </w:tr>
      <w:tr>
        <w:trPr>
          <w:trHeight w:val="276" w:hRule="atLeast"/>
        </w:trPr>
        <w:tc>
          <w:tcPr>
            <w:tcW w:w="2840" w:type="dxa"/>
          </w:tcPr>
          <w:p>
            <w:pPr>
              <w:pStyle w:val="TableParagraph"/>
              <w:spacing w:line="256" w:lineRule="exact"/>
              <w:ind w:left="43"/>
              <w:rPr>
                <w:sz w:val="24"/>
              </w:rPr>
            </w:pPr>
            <w:r>
              <w:rPr>
                <w:sz w:val="24"/>
              </w:rPr>
              <w:t>S.E. of</w:t>
            </w:r>
            <w:r>
              <w:rPr>
                <w:spacing w:val="-1"/>
                <w:sz w:val="24"/>
              </w:rPr>
              <w:t> </w:t>
            </w:r>
            <w:r>
              <w:rPr>
                <w:spacing w:val="-2"/>
                <w:sz w:val="24"/>
              </w:rPr>
              <w:t>regression</w:t>
            </w:r>
          </w:p>
        </w:tc>
        <w:tc>
          <w:tcPr>
            <w:tcW w:w="1936" w:type="dxa"/>
          </w:tcPr>
          <w:p>
            <w:pPr>
              <w:pStyle w:val="TableParagraph"/>
              <w:spacing w:line="256" w:lineRule="exact"/>
              <w:ind w:right="148"/>
              <w:jc w:val="right"/>
              <w:rPr>
                <w:sz w:val="24"/>
              </w:rPr>
            </w:pPr>
            <w:r>
              <w:rPr>
                <w:spacing w:val="-2"/>
                <w:sz w:val="24"/>
              </w:rPr>
              <w:t>0.291223</w:t>
            </w:r>
          </w:p>
        </w:tc>
        <w:tc>
          <w:tcPr>
            <w:tcW w:w="3060" w:type="dxa"/>
          </w:tcPr>
          <w:p>
            <w:pPr>
              <w:pStyle w:val="TableParagraph"/>
              <w:spacing w:line="256" w:lineRule="exact"/>
              <w:ind w:left="149"/>
              <w:rPr>
                <w:sz w:val="24"/>
              </w:rPr>
            </w:pPr>
            <w:r>
              <w:rPr>
                <w:sz w:val="24"/>
              </w:rPr>
              <w:t>Akaike</w:t>
            </w:r>
            <w:r>
              <w:rPr>
                <w:spacing w:val="-4"/>
                <w:sz w:val="24"/>
              </w:rPr>
              <w:t> </w:t>
            </w:r>
            <w:r>
              <w:rPr>
                <w:sz w:val="24"/>
              </w:rPr>
              <w:t>info</w:t>
            </w:r>
            <w:r>
              <w:rPr>
                <w:spacing w:val="-1"/>
                <w:sz w:val="24"/>
              </w:rPr>
              <w:t> </w:t>
            </w:r>
            <w:r>
              <w:rPr>
                <w:spacing w:val="-2"/>
                <w:sz w:val="24"/>
              </w:rPr>
              <w:t>criterion</w:t>
            </w:r>
          </w:p>
        </w:tc>
        <w:tc>
          <w:tcPr>
            <w:tcW w:w="1830" w:type="dxa"/>
          </w:tcPr>
          <w:p>
            <w:pPr>
              <w:pStyle w:val="TableParagraph"/>
              <w:spacing w:line="256" w:lineRule="exact"/>
              <w:ind w:right="28"/>
              <w:jc w:val="right"/>
              <w:rPr>
                <w:sz w:val="24"/>
              </w:rPr>
            </w:pPr>
            <w:r>
              <w:rPr>
                <w:spacing w:val="-2"/>
                <w:sz w:val="24"/>
              </w:rPr>
              <w:t>0.668864</w:t>
            </w:r>
          </w:p>
        </w:tc>
      </w:tr>
      <w:tr>
        <w:trPr>
          <w:trHeight w:val="276" w:hRule="atLeast"/>
        </w:trPr>
        <w:tc>
          <w:tcPr>
            <w:tcW w:w="2840" w:type="dxa"/>
          </w:tcPr>
          <w:p>
            <w:pPr>
              <w:pStyle w:val="TableParagraph"/>
              <w:spacing w:line="256" w:lineRule="exact"/>
              <w:ind w:left="43"/>
              <w:rPr>
                <w:sz w:val="24"/>
              </w:rPr>
            </w:pPr>
            <w:r>
              <w:rPr>
                <w:sz w:val="24"/>
              </w:rPr>
              <w:t>Sum</w:t>
            </w:r>
            <w:r>
              <w:rPr>
                <w:spacing w:val="-2"/>
                <w:sz w:val="24"/>
              </w:rPr>
              <w:t> </w:t>
            </w:r>
            <w:r>
              <w:rPr>
                <w:sz w:val="24"/>
              </w:rPr>
              <w:t>squared</w:t>
            </w:r>
            <w:r>
              <w:rPr>
                <w:spacing w:val="-1"/>
                <w:sz w:val="24"/>
              </w:rPr>
              <w:t> </w:t>
            </w:r>
            <w:r>
              <w:rPr>
                <w:spacing w:val="-4"/>
                <w:sz w:val="24"/>
              </w:rPr>
              <w:t>resid</w:t>
            </w:r>
          </w:p>
        </w:tc>
        <w:tc>
          <w:tcPr>
            <w:tcW w:w="1936" w:type="dxa"/>
          </w:tcPr>
          <w:p>
            <w:pPr>
              <w:pStyle w:val="TableParagraph"/>
              <w:spacing w:line="256" w:lineRule="exact"/>
              <w:ind w:right="148"/>
              <w:jc w:val="right"/>
              <w:rPr>
                <w:sz w:val="24"/>
              </w:rPr>
            </w:pPr>
            <w:r>
              <w:rPr>
                <w:spacing w:val="-2"/>
                <w:sz w:val="24"/>
              </w:rPr>
              <w:t>0.593674</w:t>
            </w:r>
          </w:p>
        </w:tc>
        <w:tc>
          <w:tcPr>
            <w:tcW w:w="3060" w:type="dxa"/>
          </w:tcPr>
          <w:p>
            <w:pPr>
              <w:pStyle w:val="TableParagraph"/>
              <w:spacing w:line="256" w:lineRule="exact"/>
              <w:ind w:left="149"/>
              <w:rPr>
                <w:sz w:val="24"/>
              </w:rPr>
            </w:pPr>
            <w:r>
              <w:rPr>
                <w:sz w:val="24"/>
              </w:rPr>
              <w:t>Schwarz</w:t>
            </w:r>
            <w:r>
              <w:rPr>
                <w:spacing w:val="-5"/>
                <w:sz w:val="24"/>
              </w:rPr>
              <w:t> </w:t>
            </w:r>
            <w:r>
              <w:rPr>
                <w:spacing w:val="-2"/>
                <w:sz w:val="24"/>
              </w:rPr>
              <w:t>criterion</w:t>
            </w:r>
          </w:p>
        </w:tc>
        <w:tc>
          <w:tcPr>
            <w:tcW w:w="1830" w:type="dxa"/>
          </w:tcPr>
          <w:p>
            <w:pPr>
              <w:pStyle w:val="TableParagraph"/>
              <w:spacing w:line="256" w:lineRule="exact"/>
              <w:ind w:right="28"/>
              <w:jc w:val="right"/>
              <w:rPr>
                <w:sz w:val="24"/>
              </w:rPr>
            </w:pPr>
            <w:r>
              <w:rPr>
                <w:spacing w:val="-2"/>
                <w:sz w:val="24"/>
              </w:rPr>
              <w:t>1.103445</w:t>
            </w:r>
          </w:p>
        </w:tc>
      </w:tr>
      <w:tr>
        <w:trPr>
          <w:trHeight w:val="275" w:hRule="atLeast"/>
        </w:trPr>
        <w:tc>
          <w:tcPr>
            <w:tcW w:w="2840" w:type="dxa"/>
          </w:tcPr>
          <w:p>
            <w:pPr>
              <w:pStyle w:val="TableParagraph"/>
              <w:spacing w:line="256" w:lineRule="exact"/>
              <w:ind w:left="43"/>
              <w:rPr>
                <w:sz w:val="24"/>
              </w:rPr>
            </w:pPr>
            <w:r>
              <w:rPr>
                <w:sz w:val="24"/>
              </w:rPr>
              <w:t>Log</w:t>
            </w:r>
            <w:r>
              <w:rPr>
                <w:spacing w:val="-4"/>
                <w:sz w:val="24"/>
              </w:rPr>
              <w:t> </w:t>
            </w:r>
            <w:r>
              <w:rPr>
                <w:spacing w:val="-2"/>
                <w:sz w:val="24"/>
              </w:rPr>
              <w:t>likelihood</w:t>
            </w:r>
          </w:p>
        </w:tc>
        <w:tc>
          <w:tcPr>
            <w:tcW w:w="1936" w:type="dxa"/>
          </w:tcPr>
          <w:p>
            <w:pPr>
              <w:pStyle w:val="TableParagraph"/>
              <w:spacing w:line="256" w:lineRule="exact"/>
              <w:ind w:right="148"/>
              <w:jc w:val="right"/>
              <w:rPr>
                <w:sz w:val="24"/>
              </w:rPr>
            </w:pPr>
            <w:r>
              <w:rPr>
                <w:spacing w:val="-2"/>
                <w:sz w:val="24"/>
              </w:rPr>
              <w:t>3.649089</w:t>
            </w:r>
          </w:p>
        </w:tc>
        <w:tc>
          <w:tcPr>
            <w:tcW w:w="3060" w:type="dxa"/>
          </w:tcPr>
          <w:p>
            <w:pPr>
              <w:pStyle w:val="TableParagraph"/>
              <w:spacing w:line="256" w:lineRule="exact"/>
              <w:ind w:left="149"/>
              <w:rPr>
                <w:sz w:val="24"/>
              </w:rPr>
            </w:pPr>
            <w:r>
              <w:rPr>
                <w:spacing w:val="-2"/>
                <w:sz w:val="24"/>
              </w:rPr>
              <w:t>F-statistic</w:t>
            </w:r>
          </w:p>
        </w:tc>
        <w:tc>
          <w:tcPr>
            <w:tcW w:w="1830" w:type="dxa"/>
          </w:tcPr>
          <w:p>
            <w:pPr>
              <w:pStyle w:val="TableParagraph"/>
              <w:spacing w:line="256" w:lineRule="exact"/>
              <w:ind w:right="28"/>
              <w:jc w:val="right"/>
              <w:rPr>
                <w:sz w:val="24"/>
              </w:rPr>
            </w:pPr>
            <w:r>
              <w:rPr>
                <w:spacing w:val="-2"/>
                <w:sz w:val="24"/>
              </w:rPr>
              <w:t>14.22912</w:t>
            </w:r>
          </w:p>
        </w:tc>
      </w:tr>
      <w:tr>
        <w:trPr>
          <w:trHeight w:val="311" w:hRule="atLeast"/>
        </w:trPr>
        <w:tc>
          <w:tcPr>
            <w:tcW w:w="2840" w:type="dxa"/>
            <w:tcBorders>
              <w:bottom w:val="double" w:sz="6" w:space="0" w:color="000000"/>
            </w:tcBorders>
          </w:tcPr>
          <w:p>
            <w:pPr>
              <w:pStyle w:val="TableParagraph"/>
              <w:spacing w:line="271" w:lineRule="exact"/>
              <w:ind w:left="43"/>
              <w:rPr>
                <w:sz w:val="24"/>
              </w:rPr>
            </w:pPr>
            <w:r>
              <w:rPr>
                <w:sz w:val="24"/>
              </w:rPr>
              <w:t>Durbin-Watson</w:t>
            </w:r>
            <w:r>
              <w:rPr>
                <w:spacing w:val="-3"/>
                <w:sz w:val="24"/>
              </w:rPr>
              <w:t> </w:t>
            </w:r>
            <w:r>
              <w:rPr>
                <w:spacing w:val="-4"/>
                <w:sz w:val="24"/>
              </w:rPr>
              <w:t>stat</w:t>
            </w:r>
          </w:p>
        </w:tc>
        <w:tc>
          <w:tcPr>
            <w:tcW w:w="1936" w:type="dxa"/>
          </w:tcPr>
          <w:p>
            <w:pPr>
              <w:pStyle w:val="TableParagraph"/>
              <w:spacing w:line="271" w:lineRule="exact"/>
              <w:ind w:right="148"/>
              <w:jc w:val="right"/>
              <w:rPr>
                <w:sz w:val="24"/>
              </w:rPr>
            </w:pPr>
            <w:r>
              <w:rPr>
                <w:spacing w:val="-2"/>
                <w:sz w:val="24"/>
              </w:rPr>
              <w:t>1.948549</w:t>
            </w:r>
          </w:p>
        </w:tc>
        <w:tc>
          <w:tcPr>
            <w:tcW w:w="3060" w:type="dxa"/>
            <w:tcBorders>
              <w:bottom w:val="double" w:sz="6" w:space="0" w:color="000000"/>
            </w:tcBorders>
          </w:tcPr>
          <w:p>
            <w:pPr>
              <w:pStyle w:val="TableParagraph"/>
              <w:spacing w:line="271" w:lineRule="exact"/>
              <w:ind w:left="149"/>
              <w:rPr>
                <w:sz w:val="24"/>
              </w:rPr>
            </w:pPr>
            <w:r>
              <w:rPr>
                <w:spacing w:val="-2"/>
                <w:sz w:val="24"/>
              </w:rPr>
              <w:t>Prob(F-statistic)</w:t>
            </w:r>
          </w:p>
        </w:tc>
        <w:tc>
          <w:tcPr>
            <w:tcW w:w="1830" w:type="dxa"/>
          </w:tcPr>
          <w:p>
            <w:pPr>
              <w:pStyle w:val="TableParagraph"/>
              <w:spacing w:line="271" w:lineRule="exact"/>
              <w:ind w:right="28"/>
              <w:jc w:val="right"/>
              <w:rPr>
                <w:sz w:val="24"/>
              </w:rPr>
            </w:pPr>
            <w:r>
              <w:rPr>
                <w:spacing w:val="-2"/>
                <w:sz w:val="24"/>
              </w:rPr>
              <w:t>0.001093</w:t>
            </w:r>
          </w:p>
        </w:tc>
      </w:tr>
    </w:tbl>
    <w:p>
      <w:pPr>
        <w:pStyle w:val="BodyText"/>
        <w:spacing w:before="9"/>
        <w:ind w:left="711"/>
        <w:jc w:val="both"/>
      </w:pPr>
      <w:r>
        <w:rPr>
          <w:b/>
        </w:rPr>
        <w:t>Source:</w:t>
      </w:r>
      <w:r>
        <w:rPr>
          <w:b/>
          <w:spacing w:val="-2"/>
        </w:rPr>
        <w:t> </w:t>
      </w:r>
      <w:r>
        <w:rPr/>
        <w:t>Computation,</w:t>
      </w:r>
      <w:r>
        <w:rPr>
          <w:spacing w:val="-1"/>
        </w:rPr>
        <w:t> </w:t>
      </w:r>
      <w:r>
        <w:rPr/>
        <w:t>using</w:t>
      </w:r>
      <w:r>
        <w:rPr>
          <w:spacing w:val="-3"/>
        </w:rPr>
        <w:t> </w:t>
      </w:r>
      <w:r>
        <w:rPr/>
        <w:t>E-view</w:t>
      </w:r>
      <w:r>
        <w:rPr>
          <w:spacing w:val="-2"/>
        </w:rPr>
        <w:t> </w:t>
      </w:r>
      <w:r>
        <w:rPr/>
        <w:t>statistical</w:t>
      </w:r>
      <w:r>
        <w:rPr>
          <w:spacing w:val="-1"/>
        </w:rPr>
        <w:t> </w:t>
      </w:r>
      <w:r>
        <w:rPr>
          <w:spacing w:val="-2"/>
        </w:rPr>
        <w:t>package</w:t>
      </w:r>
    </w:p>
    <w:p>
      <w:pPr>
        <w:pStyle w:val="BodyText"/>
      </w:pPr>
    </w:p>
    <w:p>
      <w:pPr>
        <w:pStyle w:val="BodyText"/>
        <w:spacing w:line="480" w:lineRule="auto" w:before="1"/>
        <w:ind w:left="711" w:right="472"/>
        <w:jc w:val="both"/>
        <w:rPr>
          <w:rFonts w:ascii="Cambria"/>
        </w:rPr>
      </w:pPr>
      <w:r>
        <w:rPr>
          <w:rFonts w:ascii="Cambria"/>
        </w:rPr>
        <w:t>The short-run relationship between capital flight and the explanatory variable in the pre- SAP era is expressed mathematically as shown below:</w:t>
      </w:r>
    </w:p>
    <w:p>
      <w:pPr>
        <w:tabs>
          <w:tab w:pos="9515" w:val="left" w:leader="dot"/>
        </w:tabs>
        <w:spacing w:line="508" w:lineRule="auto" w:before="0"/>
        <w:ind w:left="1705" w:right="475" w:hanging="995"/>
        <w:jc w:val="left"/>
        <w:rPr>
          <w:rFonts w:ascii="Arial" w:hAnsi="Arial"/>
          <w:b/>
          <w:sz w:val="18"/>
        </w:rPr>
      </w:pPr>
      <w:r>
        <w:rPr>
          <w:rFonts w:ascii="Cambria" w:hAnsi="Cambria"/>
          <w:b/>
          <w:i/>
          <w:position w:val="1"/>
          <w:sz w:val="24"/>
        </w:rPr>
        <w:t>KFW</w:t>
      </w:r>
      <w:r>
        <w:rPr>
          <w:rFonts w:ascii="Cambria" w:hAnsi="Cambria"/>
          <w:b/>
          <w:i/>
          <w:sz w:val="16"/>
        </w:rPr>
        <w:t>PRESAP</w:t>
      </w:r>
      <w:r>
        <w:rPr>
          <w:rFonts w:ascii="Cambria" w:hAnsi="Cambria"/>
          <w:b/>
          <w:i/>
          <w:spacing w:val="40"/>
          <w:sz w:val="16"/>
        </w:rPr>
        <w:t>  </w:t>
      </w:r>
      <w:r>
        <w:rPr>
          <w:rFonts w:ascii="Cambria" w:hAnsi="Cambria"/>
          <w:b/>
          <w:i/>
          <w:position w:val="1"/>
          <w:sz w:val="24"/>
        </w:rPr>
        <w:t>=</w:t>
      </w:r>
      <w:r>
        <w:rPr>
          <w:rFonts w:ascii="Cambria" w:hAnsi="Cambria"/>
          <w:b/>
          <w:i/>
          <w:spacing w:val="80"/>
          <w:w w:val="150"/>
          <w:position w:val="1"/>
          <w:sz w:val="24"/>
        </w:rPr>
        <w:t> </w:t>
      </w:r>
      <w:r>
        <w:rPr>
          <w:rFonts w:ascii="Cambria" w:hAnsi="Cambria"/>
          <w:b/>
          <w:i/>
          <w:position w:val="1"/>
          <w:sz w:val="24"/>
        </w:rPr>
        <w:t>4.926130</w:t>
      </w:r>
      <w:r>
        <w:rPr>
          <w:rFonts w:ascii="Cambria" w:hAnsi="Cambria"/>
          <w:b/>
          <w:i/>
          <w:spacing w:val="40"/>
          <w:position w:val="1"/>
          <w:sz w:val="24"/>
        </w:rPr>
        <w:t>  </w:t>
      </w:r>
      <w:r>
        <w:rPr>
          <w:rFonts w:ascii="Cambria" w:hAnsi="Cambria"/>
          <w:b/>
          <w:i/>
          <w:position w:val="1"/>
          <w:sz w:val="24"/>
        </w:rPr>
        <w:t>+</w:t>
      </w:r>
      <w:r>
        <w:rPr>
          <w:rFonts w:ascii="Cambria" w:hAnsi="Cambria"/>
          <w:b/>
          <w:i/>
          <w:spacing w:val="40"/>
          <w:position w:val="1"/>
          <w:sz w:val="24"/>
        </w:rPr>
        <w:t>  </w:t>
      </w:r>
      <w:r>
        <w:rPr>
          <w:b/>
          <w:i/>
          <w:position w:val="1"/>
          <w:sz w:val="24"/>
        </w:rPr>
        <w:t>0.117314</w:t>
      </w:r>
      <w:r>
        <w:rPr>
          <w:rFonts w:ascii="Cambria" w:hAnsi="Cambria"/>
          <w:b/>
          <w:i/>
          <w:sz w:val="16"/>
        </w:rPr>
        <w:t>EXTDEBT</w:t>
      </w:r>
      <w:r>
        <w:rPr>
          <w:rFonts w:ascii="Cambria" w:hAnsi="Cambria"/>
          <w:b/>
          <w:i/>
          <w:spacing w:val="58"/>
          <w:sz w:val="16"/>
        </w:rPr>
        <w:t>  </w:t>
      </w:r>
      <w:r>
        <w:rPr>
          <w:rFonts w:ascii="Cambria" w:hAnsi="Cambria"/>
          <w:b/>
          <w:i/>
          <w:position w:val="1"/>
          <w:sz w:val="24"/>
        </w:rPr>
        <w:t>-</w:t>
      </w:r>
      <w:r>
        <w:rPr>
          <w:rFonts w:ascii="Cambria" w:hAnsi="Cambria"/>
          <w:b/>
          <w:i/>
          <w:spacing w:val="40"/>
          <w:position w:val="1"/>
          <w:sz w:val="24"/>
        </w:rPr>
        <w:t>  </w:t>
      </w:r>
      <w:r>
        <w:rPr>
          <w:rFonts w:ascii="Cambria" w:hAnsi="Cambria"/>
          <w:b/>
          <w:i/>
          <w:position w:val="1"/>
          <w:sz w:val="24"/>
        </w:rPr>
        <w:t>0.239300</w:t>
      </w:r>
      <w:r>
        <w:rPr>
          <w:rFonts w:ascii="Cambria" w:hAnsi="Cambria"/>
          <w:b/>
          <w:i/>
          <w:sz w:val="16"/>
        </w:rPr>
        <w:t>DOP</w:t>
      </w:r>
      <w:r>
        <w:rPr>
          <w:rFonts w:ascii="Cambria" w:hAnsi="Cambria"/>
          <w:b/>
          <w:i/>
          <w:spacing w:val="40"/>
          <w:sz w:val="16"/>
        </w:rPr>
        <w:t>  </w:t>
      </w:r>
      <w:r>
        <w:rPr>
          <w:rFonts w:ascii="Cambria" w:hAnsi="Cambria"/>
          <w:b/>
          <w:i/>
          <w:position w:val="1"/>
          <w:sz w:val="24"/>
        </w:rPr>
        <w:t>-</w:t>
      </w:r>
      <w:r>
        <w:rPr>
          <w:rFonts w:ascii="Cambria" w:hAnsi="Cambria"/>
          <w:b/>
          <w:i/>
          <w:spacing w:val="40"/>
          <w:position w:val="1"/>
          <w:sz w:val="24"/>
        </w:rPr>
        <w:t>  </w:t>
      </w:r>
      <w:r>
        <w:rPr>
          <w:rFonts w:ascii="Cambria" w:hAnsi="Cambria"/>
          <w:b/>
          <w:i/>
          <w:position w:val="1"/>
          <w:sz w:val="24"/>
        </w:rPr>
        <w:t>0.151389</w:t>
      </w:r>
      <w:r>
        <w:rPr>
          <w:rFonts w:ascii="Cambria" w:hAnsi="Cambria"/>
          <w:b/>
          <w:i/>
          <w:sz w:val="16"/>
        </w:rPr>
        <w:t>INF</w:t>
      </w:r>
      <w:r>
        <w:rPr>
          <w:rFonts w:ascii="Cambria" w:hAnsi="Cambria"/>
          <w:b/>
          <w:i/>
          <w:spacing w:val="60"/>
          <w:sz w:val="16"/>
        </w:rPr>
        <w:t>  </w:t>
      </w:r>
      <w:r>
        <w:rPr>
          <w:rFonts w:ascii="Cambria" w:hAnsi="Cambria"/>
          <w:b/>
          <w:i/>
          <w:position w:val="1"/>
          <w:sz w:val="24"/>
        </w:rPr>
        <w:t>+</w:t>
      </w:r>
      <w:r>
        <w:rPr>
          <w:rFonts w:ascii="Cambria" w:hAnsi="Cambria"/>
          <w:b/>
          <w:i/>
          <w:spacing w:val="40"/>
          <w:position w:val="1"/>
          <w:sz w:val="24"/>
        </w:rPr>
        <w:t>  </w:t>
      </w:r>
      <w:r>
        <w:rPr>
          <w:rFonts w:ascii="Cambria" w:hAnsi="Cambria"/>
          <w:b/>
          <w:i/>
          <w:position w:val="1"/>
          <w:sz w:val="24"/>
        </w:rPr>
        <w:t>0.070704GCF</w:t>
      </w:r>
      <w:r>
        <w:rPr>
          <w:rFonts w:ascii="Cambria" w:hAnsi="Cambria"/>
          <w:b/>
          <w:i/>
          <w:spacing w:val="80"/>
          <w:w w:val="150"/>
          <w:position w:val="1"/>
          <w:sz w:val="24"/>
        </w:rPr>
        <w:t> </w:t>
      </w:r>
      <w:r>
        <w:rPr>
          <w:rFonts w:ascii="Cambria" w:hAnsi="Cambria"/>
          <w:b/>
          <w:i/>
          <w:position w:val="1"/>
          <w:sz w:val="24"/>
        </w:rPr>
        <w:t>+ </w:t>
      </w:r>
      <w:r>
        <w:rPr>
          <w:rFonts w:ascii="Cambria" w:hAnsi="Cambria"/>
          <w:b/>
          <w:i/>
          <w:spacing w:val="-2"/>
          <w:position w:val="2"/>
          <w:sz w:val="24"/>
        </w:rPr>
        <w:t>0.793791</w:t>
      </w:r>
      <w:r>
        <w:rPr>
          <w:rFonts w:ascii="Cambria" w:hAnsi="Cambria"/>
          <w:b/>
          <w:i/>
          <w:spacing w:val="-2"/>
          <w:position w:val="1"/>
          <w:sz w:val="16"/>
        </w:rPr>
        <w:t>DR</w:t>
      </w:r>
      <w:r>
        <w:rPr>
          <w:rFonts w:ascii="Cambria" w:hAnsi="Cambria"/>
          <w:b/>
          <w:i/>
          <w:spacing w:val="-2"/>
          <w:position w:val="2"/>
          <w:sz w:val="24"/>
        </w:rPr>
        <w:t>+0.096335</w:t>
      </w:r>
      <w:r>
        <w:rPr>
          <w:rFonts w:ascii="Cambria" w:hAnsi="Cambria"/>
          <w:b/>
          <w:i/>
          <w:spacing w:val="-2"/>
          <w:position w:val="1"/>
          <w:sz w:val="16"/>
        </w:rPr>
        <w:t>PRIVCR</w:t>
      </w:r>
      <w:r>
        <w:rPr>
          <w:rFonts w:ascii="Cambria" w:hAnsi="Cambria"/>
          <w:b/>
          <w:i/>
          <w:spacing w:val="-2"/>
          <w:position w:val="2"/>
          <w:sz w:val="24"/>
        </w:rPr>
        <w:t>–0.081020</w:t>
      </w:r>
      <w:r>
        <w:rPr>
          <w:rFonts w:ascii="Arial" w:hAnsi="Arial"/>
          <w:b/>
          <w:i/>
          <w:spacing w:val="-2"/>
          <w:position w:val="1"/>
          <w:sz w:val="16"/>
        </w:rPr>
        <w:t>USIRD</w:t>
      </w:r>
      <w:r>
        <w:rPr>
          <w:rFonts w:ascii="Arial" w:hAnsi="Arial"/>
          <w:b/>
          <w:i/>
          <w:spacing w:val="-2"/>
          <w:position w:val="2"/>
          <w:sz w:val="24"/>
        </w:rPr>
        <w:t>+0.047841</w:t>
      </w:r>
      <w:r>
        <w:rPr>
          <w:rFonts w:ascii="Arial" w:hAnsi="Arial"/>
          <w:b/>
          <w:i/>
          <w:spacing w:val="-2"/>
          <w:position w:val="1"/>
          <w:sz w:val="16"/>
        </w:rPr>
        <w:t>GOCE</w:t>
      </w:r>
      <w:r>
        <w:rPr>
          <w:rFonts w:ascii="Arial" w:hAnsi="Arial"/>
          <w:b/>
          <w:i/>
          <w:position w:val="1"/>
          <w:sz w:val="16"/>
        </w:rPr>
        <w:tab/>
      </w:r>
      <w:r>
        <w:rPr>
          <w:rFonts w:ascii="Arial" w:hAnsi="Arial"/>
          <w:b/>
          <w:i/>
          <w:spacing w:val="-2"/>
          <w:position w:val="1"/>
          <w:sz w:val="16"/>
        </w:rPr>
        <w:t>(</w:t>
      </w:r>
      <w:r>
        <w:rPr>
          <w:rFonts w:ascii="Arial" w:hAnsi="Arial"/>
          <w:b/>
          <w:spacing w:val="-2"/>
          <w:sz w:val="18"/>
        </w:rPr>
        <w:t>4.5)</w:t>
      </w:r>
    </w:p>
    <w:p>
      <w:pPr>
        <w:pStyle w:val="BodyText"/>
        <w:spacing w:line="480" w:lineRule="auto" w:before="9"/>
        <w:ind w:left="711" w:right="471"/>
        <w:jc w:val="both"/>
      </w:pPr>
      <w:r>
        <w:rPr/>
        <w:t>The</w:t>
      </w:r>
      <w:r>
        <w:rPr>
          <w:spacing w:val="-1"/>
        </w:rPr>
        <w:t> </w:t>
      </w:r>
      <w:r>
        <w:rPr/>
        <w:t>above</w:t>
      </w:r>
      <w:r>
        <w:rPr>
          <w:spacing w:val="-1"/>
        </w:rPr>
        <w:t> </w:t>
      </w:r>
      <w:r>
        <w:rPr/>
        <w:t>result shows the</w:t>
      </w:r>
      <w:r>
        <w:rPr>
          <w:spacing w:val="-1"/>
        </w:rPr>
        <w:t> </w:t>
      </w:r>
      <w:r>
        <w:rPr/>
        <w:t>summary</w:t>
      </w:r>
      <w:r>
        <w:rPr>
          <w:spacing w:val="-5"/>
        </w:rPr>
        <w:t> </w:t>
      </w:r>
      <w:r>
        <w:rPr/>
        <w:t>of</w:t>
      </w:r>
      <w:r>
        <w:rPr>
          <w:spacing w:val="-1"/>
        </w:rPr>
        <w:t> </w:t>
      </w:r>
      <w:r>
        <w:rPr/>
        <w:t>the</w:t>
      </w:r>
      <w:r>
        <w:rPr>
          <w:spacing w:val="-1"/>
        </w:rPr>
        <w:t> </w:t>
      </w:r>
      <w:r>
        <w:rPr/>
        <w:t>short-run</w:t>
      </w:r>
      <w:r>
        <w:rPr>
          <w:spacing w:val="-1"/>
        </w:rPr>
        <w:t> </w:t>
      </w:r>
      <w:r>
        <w:rPr/>
        <w:t>analysis for</w:t>
      </w:r>
      <w:r>
        <w:rPr>
          <w:spacing w:val="-2"/>
        </w:rPr>
        <w:t> </w:t>
      </w:r>
      <w:r>
        <w:rPr/>
        <w:t>the</w:t>
      </w:r>
      <w:r>
        <w:rPr>
          <w:spacing w:val="-1"/>
        </w:rPr>
        <w:t> </w:t>
      </w:r>
      <w:r>
        <w:rPr/>
        <w:t>Pre-SAP era, the</w:t>
      </w:r>
      <w:r>
        <w:rPr>
          <w:spacing w:val="-1"/>
        </w:rPr>
        <w:t> </w:t>
      </w:r>
      <w:r>
        <w:rPr/>
        <w:t>Pre-</w:t>
      </w:r>
      <w:r>
        <w:rPr>
          <w:spacing w:val="-1"/>
        </w:rPr>
        <w:t> </w:t>
      </w:r>
      <w:r>
        <w:rPr/>
        <w:t>SAP era</w:t>
      </w:r>
      <w:r>
        <w:rPr>
          <w:spacing w:val="-2"/>
        </w:rPr>
        <w:t> </w:t>
      </w:r>
      <w:r>
        <w:rPr/>
        <w:t>was the rea of controlled or guided economy when the prices of economic variables were fixed by the regulatory authorities.</w:t>
      </w:r>
      <w:r>
        <w:rPr>
          <w:spacing w:val="66"/>
        </w:rPr>
        <w:t> </w:t>
      </w:r>
      <w:r>
        <w:rPr/>
        <w:t>The</w:t>
      </w:r>
      <w:r>
        <w:rPr>
          <w:spacing w:val="64"/>
        </w:rPr>
        <w:t> </w:t>
      </w:r>
      <w:r>
        <w:rPr/>
        <w:t>probabilities</w:t>
      </w:r>
      <w:r>
        <w:rPr>
          <w:spacing w:val="65"/>
        </w:rPr>
        <w:t> </w:t>
      </w:r>
      <w:r>
        <w:rPr/>
        <w:t>values</w:t>
      </w:r>
      <w:r>
        <w:rPr>
          <w:spacing w:val="65"/>
        </w:rPr>
        <w:t> </w:t>
      </w:r>
      <w:r>
        <w:rPr/>
        <w:t>show</w:t>
      </w:r>
      <w:r>
        <w:rPr>
          <w:spacing w:val="65"/>
        </w:rPr>
        <w:t> </w:t>
      </w:r>
      <w:r>
        <w:rPr/>
        <w:t>that</w:t>
      </w:r>
      <w:r>
        <w:rPr>
          <w:spacing w:val="63"/>
        </w:rPr>
        <w:t> </w:t>
      </w:r>
      <w:r>
        <w:rPr/>
        <w:t>none</w:t>
      </w:r>
      <w:r>
        <w:rPr>
          <w:spacing w:val="65"/>
        </w:rPr>
        <w:t> </w:t>
      </w:r>
      <w:r>
        <w:rPr/>
        <w:t>of</w:t>
      </w:r>
      <w:r>
        <w:rPr>
          <w:spacing w:val="65"/>
        </w:rPr>
        <w:t> </w:t>
      </w:r>
      <w:r>
        <w:rPr/>
        <w:t>the</w:t>
      </w:r>
      <w:r>
        <w:rPr>
          <w:spacing w:val="65"/>
        </w:rPr>
        <w:t> </w:t>
      </w:r>
      <w:r>
        <w:rPr/>
        <w:t>variable</w:t>
      </w:r>
      <w:r>
        <w:rPr>
          <w:spacing w:val="65"/>
        </w:rPr>
        <w:t> </w:t>
      </w:r>
      <w:r>
        <w:rPr/>
        <w:t>is</w:t>
      </w:r>
      <w:r>
        <w:rPr>
          <w:spacing w:val="66"/>
        </w:rPr>
        <w:t> </w:t>
      </w:r>
      <w:r>
        <w:rPr/>
        <w:t>significant</w:t>
      </w:r>
      <w:r>
        <w:rPr>
          <w:spacing w:val="66"/>
        </w:rPr>
        <w:t> </w:t>
      </w:r>
      <w:r>
        <w:rPr/>
        <w:t>in</w:t>
      </w:r>
      <w:r>
        <w:rPr>
          <w:spacing w:val="66"/>
        </w:rPr>
        <w:t> </w:t>
      </w:r>
      <w:r>
        <w:rPr/>
        <w:t>determining</w:t>
      </w:r>
      <w:r>
        <w:rPr>
          <w:spacing w:val="64"/>
        </w:rPr>
        <w:t> </w:t>
      </w:r>
      <w:r>
        <w:rPr>
          <w:spacing w:val="-5"/>
        </w:rPr>
        <w:t>the</w:t>
      </w:r>
    </w:p>
    <w:p>
      <w:pPr>
        <w:spacing w:after="0" w:line="480" w:lineRule="auto"/>
        <w:jc w:val="both"/>
        <w:sectPr>
          <w:pgSz w:w="11910" w:h="16840"/>
          <w:pgMar w:header="0" w:footer="979" w:top="1360" w:bottom="1240" w:left="280" w:right="0"/>
        </w:sectPr>
      </w:pPr>
    </w:p>
    <w:p>
      <w:pPr>
        <w:pStyle w:val="BodyText"/>
        <w:spacing w:line="480" w:lineRule="auto" w:before="60"/>
        <w:ind w:left="711" w:right="475"/>
      </w:pPr>
      <w:r>
        <w:rPr/>
        <w:t>behaviour</w:t>
      </w:r>
      <w:r>
        <w:rPr>
          <w:spacing w:val="19"/>
        </w:rPr>
        <w:t> </w:t>
      </w:r>
      <w:r>
        <w:rPr/>
        <w:t>of</w:t>
      </w:r>
      <w:r>
        <w:rPr>
          <w:spacing w:val="18"/>
        </w:rPr>
        <w:t> </w:t>
      </w:r>
      <w:r>
        <w:rPr/>
        <w:t>the</w:t>
      </w:r>
      <w:r>
        <w:rPr>
          <w:spacing w:val="18"/>
        </w:rPr>
        <w:t> </w:t>
      </w:r>
      <w:r>
        <w:rPr/>
        <w:t>dependent</w:t>
      </w:r>
      <w:r>
        <w:rPr>
          <w:spacing w:val="19"/>
        </w:rPr>
        <w:t> </w:t>
      </w:r>
      <w:r>
        <w:rPr/>
        <w:t>variable</w:t>
      </w:r>
      <w:r>
        <w:rPr>
          <w:spacing w:val="18"/>
        </w:rPr>
        <w:t> </w:t>
      </w:r>
      <w:r>
        <w:rPr/>
        <w:t>during the</w:t>
      </w:r>
      <w:r>
        <w:rPr>
          <w:spacing w:val="18"/>
        </w:rPr>
        <w:t> </w:t>
      </w:r>
      <w:r>
        <w:rPr/>
        <w:t>Pre-</w:t>
      </w:r>
      <w:r>
        <w:rPr>
          <w:spacing w:val="18"/>
        </w:rPr>
        <w:t> </w:t>
      </w:r>
      <w:r>
        <w:rPr/>
        <w:t>SAP</w:t>
      </w:r>
      <w:r>
        <w:rPr>
          <w:spacing w:val="19"/>
        </w:rPr>
        <w:t> </w:t>
      </w:r>
      <w:r>
        <w:rPr/>
        <w:t>era.</w:t>
      </w:r>
      <w:r>
        <w:rPr>
          <w:spacing w:val="19"/>
        </w:rPr>
        <w:t> </w:t>
      </w:r>
      <w:r>
        <w:rPr/>
        <w:t>This</w:t>
      </w:r>
      <w:r>
        <w:rPr>
          <w:spacing w:val="19"/>
        </w:rPr>
        <w:t> </w:t>
      </w:r>
      <w:r>
        <w:rPr/>
        <w:t>is</w:t>
      </w:r>
      <w:r>
        <w:rPr>
          <w:spacing w:val="20"/>
        </w:rPr>
        <w:t> </w:t>
      </w:r>
      <w:r>
        <w:rPr/>
        <w:t>because</w:t>
      </w:r>
      <w:r>
        <w:rPr>
          <w:spacing w:val="18"/>
        </w:rPr>
        <w:t> </w:t>
      </w:r>
      <w:r>
        <w:rPr/>
        <w:t>all</w:t>
      </w:r>
      <w:r>
        <w:rPr>
          <w:spacing w:val="20"/>
        </w:rPr>
        <w:t> </w:t>
      </w:r>
      <w:r>
        <w:rPr/>
        <w:t>the</w:t>
      </w:r>
      <w:r>
        <w:rPr>
          <w:spacing w:val="18"/>
        </w:rPr>
        <w:t> </w:t>
      </w:r>
      <w:r>
        <w:rPr/>
        <w:t>probability values</w:t>
      </w:r>
      <w:r>
        <w:rPr>
          <w:spacing w:val="19"/>
        </w:rPr>
        <w:t> </w:t>
      </w:r>
      <w:r>
        <w:rPr/>
        <w:t>of the variables are greater than 5 %.</w:t>
      </w:r>
    </w:p>
    <w:p>
      <w:pPr>
        <w:pStyle w:val="BodyText"/>
        <w:spacing w:line="480" w:lineRule="auto" w:before="2"/>
        <w:ind w:left="711" w:right="474"/>
        <w:jc w:val="both"/>
      </w:pPr>
      <w:r>
        <w:rPr>
          <w:rFonts w:ascii="Cambria"/>
        </w:rPr>
        <w:t>The results however showed that the constant parameter</w:t>
      </w:r>
      <w:r>
        <w:rPr>
          <w:rFonts w:ascii="Cambria"/>
          <w:spacing w:val="-1"/>
        </w:rPr>
        <w:t> </w:t>
      </w:r>
      <w:r>
        <w:rPr>
          <w:rFonts w:ascii="Cambria"/>
        </w:rPr>
        <w:t>is directly</w:t>
      </w:r>
      <w:r>
        <w:rPr>
          <w:rFonts w:ascii="Cambria"/>
          <w:spacing w:val="-1"/>
        </w:rPr>
        <w:t> </w:t>
      </w:r>
      <w:r>
        <w:rPr>
          <w:rFonts w:ascii="Cambria"/>
        </w:rPr>
        <w:t>related</w:t>
      </w:r>
      <w:r>
        <w:rPr>
          <w:rFonts w:ascii="Cambria"/>
          <w:spacing w:val="-2"/>
        </w:rPr>
        <w:t> </w:t>
      </w:r>
      <w:r>
        <w:rPr>
          <w:rFonts w:ascii="Cambria"/>
        </w:rPr>
        <w:t>with</w:t>
      </w:r>
      <w:r>
        <w:rPr>
          <w:rFonts w:ascii="Cambria"/>
          <w:spacing w:val="-1"/>
        </w:rPr>
        <w:t> </w:t>
      </w:r>
      <w:r>
        <w:rPr>
          <w:rFonts w:ascii="Cambria"/>
        </w:rPr>
        <w:t>capital flight. It has a positive coefficient of </w:t>
      </w:r>
      <w:r>
        <w:rPr>
          <w:rFonts w:ascii="Cambria"/>
          <w:b/>
        </w:rPr>
        <w:t>4.926130</w:t>
      </w:r>
      <w:r>
        <w:rPr>
          <w:rFonts w:ascii="Cambria"/>
          <w:b/>
          <w:i/>
        </w:rPr>
        <w:t>. </w:t>
      </w:r>
      <w:r>
        <w:rPr>
          <w:rFonts w:ascii="Cambria"/>
        </w:rPr>
        <w:t>This implies that if all explanatory variables are held constant in the short-run, capital flight will increase by </w:t>
      </w:r>
      <w:r>
        <w:rPr>
          <w:rFonts w:ascii="Cambria"/>
          <w:b/>
        </w:rPr>
        <w:t>4.926130 </w:t>
      </w:r>
      <w:r>
        <w:rPr/>
        <w:t>units.</w:t>
      </w:r>
    </w:p>
    <w:p>
      <w:pPr>
        <w:pStyle w:val="BodyText"/>
        <w:spacing w:line="480" w:lineRule="auto"/>
        <w:ind w:left="711" w:right="469"/>
        <w:jc w:val="both"/>
      </w:pPr>
      <w:r>
        <w:rPr>
          <w:rFonts w:ascii="Cambria" w:hAnsi="Cambria"/>
        </w:rPr>
        <w:t>Also, Change in External Debt (δEXTDEBT) showed a positive coefficient of </w:t>
      </w:r>
      <w:r>
        <w:rPr>
          <w:b/>
        </w:rPr>
        <w:t>0.117314 </w:t>
      </w:r>
      <w:r>
        <w:rPr>
          <w:rFonts w:ascii="Cambria" w:hAnsi="Cambria"/>
        </w:rPr>
        <w:t>which implies that a unit increase in the level of change in external debt will increase the value of capital flight by </w:t>
      </w:r>
      <w:r>
        <w:rPr>
          <w:b/>
        </w:rPr>
        <w:t>0.117314 </w:t>
      </w:r>
      <w:r>
        <w:rPr>
          <w:rFonts w:ascii="Cambria" w:hAnsi="Cambria"/>
        </w:rPr>
        <w:t>units. Degree of openness has a coefficient of negative </w:t>
      </w:r>
      <w:r>
        <w:rPr>
          <w:rFonts w:ascii="Cambria" w:hAnsi="Cambria"/>
          <w:b/>
          <w:i/>
        </w:rPr>
        <w:t>0.239300.</w:t>
      </w:r>
      <w:r>
        <w:rPr>
          <w:rFonts w:ascii="Cambria" w:hAnsi="Cambria"/>
          <w:b/>
          <w:i/>
          <w:spacing w:val="40"/>
        </w:rPr>
        <w:t> </w:t>
      </w:r>
      <w:r>
        <w:rPr>
          <w:rFonts w:ascii="Cambria" w:hAnsi="Cambria"/>
        </w:rPr>
        <w:t>The inflation rate on the other hand showed a negative relationship with capital flight with a value of </w:t>
      </w:r>
      <w:r>
        <w:rPr>
          <w:rFonts w:ascii="Cambria" w:hAnsi="Cambria"/>
          <w:b/>
        </w:rPr>
        <w:t>0.151389</w:t>
      </w:r>
      <w:r>
        <w:rPr/>
        <w:t>. Likewise, the gross capital formation shows a positive value of </w:t>
      </w:r>
      <w:r>
        <w:rPr>
          <w:rFonts w:ascii="Cambria" w:hAnsi="Cambria"/>
          <w:b/>
        </w:rPr>
        <w:t>0.070704 </w:t>
      </w:r>
      <w:r>
        <w:rPr/>
        <w:t>while the deposit rate revealed a positive value of </w:t>
      </w:r>
      <w:r>
        <w:rPr>
          <w:rFonts w:ascii="Cambria" w:hAnsi="Cambria"/>
          <w:b/>
        </w:rPr>
        <w:t>0.793791</w:t>
      </w:r>
      <w:r>
        <w:rPr/>
        <w:t>. This suggests that an </w:t>
      </w:r>
      <w:r>
        <w:rPr>
          <w:rFonts w:ascii="Cambria" w:hAnsi="Cambria"/>
        </w:rPr>
        <w:t>increase in deposit rate will result in </w:t>
      </w:r>
      <w:r>
        <w:rPr>
          <w:rFonts w:ascii="Cambria" w:hAnsi="Cambria"/>
          <w:b/>
        </w:rPr>
        <w:t>0.793791</w:t>
      </w:r>
      <w:r>
        <w:rPr>
          <w:rFonts w:ascii="Cambria" w:hAnsi="Cambria"/>
          <w:b/>
          <w:spacing w:val="28"/>
        </w:rPr>
        <w:t> </w:t>
      </w:r>
      <w:r>
        <w:rPr>
          <w:rFonts w:ascii="Cambria" w:hAnsi="Cambria"/>
        </w:rPr>
        <w:t>units increase in</w:t>
      </w:r>
      <w:r>
        <w:rPr>
          <w:rFonts w:ascii="Cambria" w:hAnsi="Cambria"/>
          <w:spacing w:val="40"/>
        </w:rPr>
        <w:t> </w:t>
      </w:r>
      <w:r>
        <w:rPr>
          <w:rFonts w:ascii="Cambria" w:hAnsi="Cambria"/>
        </w:rPr>
        <w:t>the rate of capital flight while the creidit to the private sector (PRIVCR) with a positive value of </w:t>
      </w:r>
      <w:r>
        <w:rPr>
          <w:rFonts w:ascii="Cambria" w:hAnsi="Cambria"/>
          <w:b/>
        </w:rPr>
        <w:t>0.096335 revealed that </w:t>
      </w:r>
      <w:r>
        <w:rPr>
          <w:rFonts w:ascii="Cambria" w:hAnsi="Cambria"/>
        </w:rPr>
        <w:t>increase in credit to private sector will also cause capital flight to increase</w:t>
      </w:r>
      <w:r>
        <w:rPr>
          <w:rFonts w:ascii="Cambria" w:hAnsi="Cambria"/>
          <w:spacing w:val="40"/>
        </w:rPr>
        <w:t> </w:t>
      </w:r>
      <w:r>
        <w:rPr>
          <w:rFonts w:ascii="Cambria" w:hAnsi="Cambria"/>
        </w:rPr>
        <w:t>by </w:t>
      </w:r>
      <w:r>
        <w:rPr>
          <w:rFonts w:ascii="Cambria" w:hAnsi="Cambria"/>
          <w:b/>
        </w:rPr>
        <w:t>0.096335</w:t>
      </w:r>
      <w:r>
        <w:rPr>
          <w:rFonts w:ascii="Cambria" w:hAnsi="Cambria"/>
        </w:rPr>
        <w:t>; this is contrary to the expected result. Interest rate differential shows a negative value of </w:t>
      </w:r>
      <w:r>
        <w:rPr>
          <w:rFonts w:ascii="Cambria" w:hAnsi="Cambria"/>
          <w:b/>
        </w:rPr>
        <w:t>0.081020 </w:t>
      </w:r>
      <w:r>
        <w:rPr>
          <w:rFonts w:ascii="Cambria" w:hAnsi="Cambria"/>
        </w:rPr>
        <w:t>while the government current expenditure is positively related with capital flight with a value of </w:t>
      </w:r>
      <w:r>
        <w:rPr>
          <w:rFonts w:ascii="Arial" w:hAnsi="Arial"/>
          <w:b/>
        </w:rPr>
        <w:t>0.047841</w:t>
      </w:r>
      <w:r>
        <w:rPr/>
        <w:t>.</w:t>
      </w:r>
    </w:p>
    <w:p>
      <w:pPr>
        <w:pStyle w:val="BodyText"/>
        <w:spacing w:line="480" w:lineRule="auto" w:before="2"/>
        <w:ind w:left="711" w:right="469"/>
        <w:jc w:val="both"/>
      </w:pPr>
      <w:r>
        <w:rPr>
          <w:rFonts w:ascii="Cambria"/>
        </w:rPr>
        <w:t>Although the variables are not statistically significant as revealed by the probability values, the coefficient of multiple determinants R</w:t>
      </w:r>
      <w:r>
        <w:rPr>
          <w:rFonts w:ascii="Cambria"/>
          <w:position w:val="6"/>
          <w:sz w:val="16"/>
        </w:rPr>
        <w:t>2</w:t>
      </w:r>
      <w:r>
        <w:rPr>
          <w:rFonts w:ascii="Cambria"/>
          <w:spacing w:val="35"/>
          <w:position w:val="6"/>
          <w:sz w:val="16"/>
        </w:rPr>
        <w:t> </w:t>
      </w:r>
      <w:r>
        <w:rPr>
          <w:rFonts w:ascii="Cambria"/>
        </w:rPr>
        <w:t>of</w:t>
      </w:r>
      <w:r>
        <w:rPr>
          <w:rFonts w:ascii="Cambria"/>
          <w:spacing w:val="40"/>
        </w:rPr>
        <w:t> </w:t>
      </w:r>
      <w:r>
        <w:rPr>
          <w:sz w:val="20"/>
        </w:rPr>
        <w:t>94% </w:t>
      </w:r>
      <w:r>
        <w:rPr>
          <w:rFonts w:ascii="Cambria"/>
        </w:rPr>
        <w:t>showed that about 94% of the behaviour of capital flight was explained by the independent variables in the short-run.</w:t>
      </w:r>
      <w:r>
        <w:rPr>
          <w:rFonts w:ascii="Cambria"/>
          <w:spacing w:val="40"/>
        </w:rPr>
        <w:t> </w:t>
      </w:r>
      <w:r>
        <w:rPr>
          <w:rFonts w:ascii="Cambria"/>
        </w:rPr>
        <w:t>The </w:t>
      </w:r>
      <w:r>
        <w:rPr>
          <w:rFonts w:ascii="Cambria"/>
          <w:b/>
        </w:rPr>
        <w:t>f-statistic value of </w:t>
      </w:r>
      <w:r>
        <w:rPr>
          <w:rFonts w:ascii="Cambria"/>
          <w:b/>
          <w:sz w:val="26"/>
        </w:rPr>
        <w:t>1</w:t>
      </w:r>
      <w:r>
        <w:rPr>
          <w:sz w:val="26"/>
        </w:rPr>
        <w:t>4.22912 which is greater than </w:t>
      </w:r>
      <w:r>
        <w:rPr/>
        <w:t>the F-tabulated value of 2.27 shows that the model is statistically significant.</w:t>
      </w:r>
    </w:p>
    <w:p>
      <w:pPr>
        <w:pStyle w:val="Heading6"/>
        <w:spacing w:line="276" w:lineRule="exact"/>
        <w:jc w:val="left"/>
        <w:rPr>
          <w:b w:val="0"/>
        </w:rPr>
      </w:pPr>
      <w:r>
        <w:rPr/>
        <w:t>Validation</w:t>
      </w:r>
      <w:r>
        <w:rPr>
          <w:spacing w:val="-1"/>
        </w:rPr>
        <w:t> </w:t>
      </w:r>
      <w:r>
        <w:rPr/>
        <w:t>and</w:t>
      </w:r>
      <w:r>
        <w:rPr>
          <w:spacing w:val="-1"/>
        </w:rPr>
        <w:t> </w:t>
      </w:r>
      <w:r>
        <w:rPr/>
        <w:t>testing</w:t>
      </w:r>
      <w:r>
        <w:rPr>
          <w:spacing w:val="-1"/>
        </w:rPr>
        <w:t> </w:t>
      </w:r>
      <w:r>
        <w:rPr/>
        <w:t>of</w:t>
      </w:r>
      <w:r>
        <w:rPr>
          <w:spacing w:val="1"/>
        </w:rPr>
        <w:t> </w:t>
      </w:r>
      <w:r>
        <w:rPr>
          <w:spacing w:val="-2"/>
        </w:rPr>
        <w:t>hypotheses</w:t>
      </w:r>
      <w:r>
        <w:rPr>
          <w:b w:val="0"/>
          <w:spacing w:val="-2"/>
        </w:rPr>
        <w:t>:</w:t>
      </w:r>
    </w:p>
    <w:p>
      <w:pPr>
        <w:pStyle w:val="BodyText"/>
      </w:pPr>
    </w:p>
    <w:p>
      <w:pPr>
        <w:pStyle w:val="BodyText"/>
        <w:ind w:left="711"/>
      </w:pPr>
      <w:r>
        <w:rPr/>
        <w:t>The</w:t>
      </w:r>
      <w:r>
        <w:rPr>
          <w:spacing w:val="-5"/>
        </w:rPr>
        <w:t> </w:t>
      </w:r>
      <w:r>
        <w:rPr/>
        <w:t>under listed</w:t>
      </w:r>
      <w:r>
        <w:rPr>
          <w:spacing w:val="-1"/>
        </w:rPr>
        <w:t> </w:t>
      </w:r>
      <w:r>
        <w:rPr/>
        <w:t>hypotheses</w:t>
      </w:r>
      <w:r>
        <w:rPr>
          <w:spacing w:val="2"/>
        </w:rPr>
        <w:t> </w:t>
      </w:r>
      <w:r>
        <w:rPr/>
        <w:t>were</w:t>
      </w:r>
      <w:r>
        <w:rPr>
          <w:spacing w:val="-2"/>
        </w:rPr>
        <w:t> </w:t>
      </w:r>
      <w:r>
        <w:rPr/>
        <w:t>tested under</w:t>
      </w:r>
      <w:r>
        <w:rPr>
          <w:spacing w:val="-2"/>
        </w:rPr>
        <w:t> </w:t>
      </w:r>
      <w:r>
        <w:rPr/>
        <w:t>model </w:t>
      </w:r>
      <w:r>
        <w:rPr>
          <w:spacing w:val="-5"/>
        </w:rPr>
        <w:t>3A.</w:t>
      </w:r>
    </w:p>
    <w:p>
      <w:pPr>
        <w:pStyle w:val="BodyText"/>
      </w:pPr>
    </w:p>
    <w:p>
      <w:pPr>
        <w:pStyle w:val="BodyText"/>
        <w:ind w:left="711"/>
      </w:pPr>
      <w:r>
        <w:rPr/>
        <w:t>The</w:t>
      </w:r>
      <w:r>
        <w:rPr>
          <w:spacing w:val="-3"/>
        </w:rPr>
        <w:t> </w:t>
      </w:r>
      <w:r>
        <w:rPr/>
        <w:t>hypothesis to</w:t>
      </w:r>
      <w:r>
        <w:rPr>
          <w:spacing w:val="-1"/>
        </w:rPr>
        <w:t> </w:t>
      </w:r>
      <w:r>
        <w:rPr/>
        <w:t>be tested in</w:t>
      </w:r>
      <w:r>
        <w:rPr>
          <w:spacing w:val="-1"/>
        </w:rPr>
        <w:t> </w:t>
      </w:r>
      <w:r>
        <w:rPr/>
        <w:t>this model</w:t>
      </w:r>
      <w:r>
        <w:rPr>
          <w:spacing w:val="-1"/>
        </w:rPr>
        <w:t> </w:t>
      </w:r>
      <w:r>
        <w:rPr/>
        <w:t>is stated in</w:t>
      </w:r>
      <w:r>
        <w:rPr>
          <w:spacing w:val="-1"/>
        </w:rPr>
        <w:t> </w:t>
      </w:r>
      <w:r>
        <w:rPr/>
        <w:t>the null</w:t>
      </w:r>
      <w:r>
        <w:rPr>
          <w:spacing w:val="-1"/>
        </w:rPr>
        <w:t> </w:t>
      </w:r>
      <w:r>
        <w:rPr/>
        <w:t>form as </w:t>
      </w:r>
      <w:r>
        <w:rPr>
          <w:spacing w:val="-2"/>
        </w:rPr>
        <w:t>follows;</w:t>
      </w:r>
    </w:p>
    <w:p>
      <w:pPr>
        <w:pStyle w:val="BodyText"/>
        <w:spacing w:before="275"/>
        <w:ind w:left="711"/>
      </w:pPr>
      <w:r>
        <w:rPr>
          <w:position w:val="2"/>
        </w:rPr>
        <w:t>H</w:t>
      </w:r>
      <w:r>
        <w:rPr>
          <w:sz w:val="16"/>
        </w:rPr>
        <w:t>01</w:t>
      </w:r>
      <w:r>
        <w:rPr>
          <w:position w:val="2"/>
        </w:rPr>
        <w:t>:</w:t>
      </w:r>
      <w:r>
        <w:rPr>
          <w:spacing w:val="26"/>
          <w:position w:val="2"/>
        </w:rPr>
        <w:t>  </w:t>
      </w:r>
      <w:r>
        <w:rPr>
          <w:position w:val="2"/>
        </w:rPr>
        <w:t>Macroeconomic,</w:t>
      </w:r>
      <w:r>
        <w:rPr>
          <w:spacing w:val="-2"/>
          <w:position w:val="2"/>
        </w:rPr>
        <w:t> </w:t>
      </w:r>
      <w:r>
        <w:rPr>
          <w:position w:val="2"/>
        </w:rPr>
        <w:t>Political</w:t>
      </w:r>
      <w:r>
        <w:rPr>
          <w:spacing w:val="1"/>
          <w:position w:val="2"/>
        </w:rPr>
        <w:t> </w:t>
      </w:r>
      <w:r>
        <w:rPr>
          <w:position w:val="2"/>
        </w:rPr>
        <w:t>and</w:t>
      </w:r>
      <w:r>
        <w:rPr>
          <w:spacing w:val="1"/>
          <w:position w:val="2"/>
        </w:rPr>
        <w:t> </w:t>
      </w:r>
      <w:r>
        <w:rPr>
          <w:position w:val="2"/>
        </w:rPr>
        <w:t>Institutional</w:t>
      </w:r>
      <w:r>
        <w:rPr>
          <w:spacing w:val="-1"/>
          <w:position w:val="2"/>
        </w:rPr>
        <w:t> </w:t>
      </w:r>
      <w:r>
        <w:rPr>
          <w:position w:val="2"/>
        </w:rPr>
        <w:t>factors</w:t>
      </w:r>
      <w:r>
        <w:rPr>
          <w:spacing w:val="-1"/>
          <w:position w:val="2"/>
        </w:rPr>
        <w:t> </w:t>
      </w:r>
      <w:r>
        <w:rPr>
          <w:position w:val="2"/>
        </w:rPr>
        <w:t>do</w:t>
      </w:r>
      <w:r>
        <w:rPr>
          <w:spacing w:val="-1"/>
          <w:position w:val="2"/>
        </w:rPr>
        <w:t> </w:t>
      </w:r>
      <w:r>
        <w:rPr>
          <w:position w:val="2"/>
        </w:rPr>
        <w:t>not</w:t>
      </w:r>
      <w:r>
        <w:rPr>
          <w:spacing w:val="-1"/>
          <w:position w:val="2"/>
        </w:rPr>
        <w:t> </w:t>
      </w:r>
      <w:r>
        <w:rPr>
          <w:position w:val="2"/>
        </w:rPr>
        <w:t>cause</w:t>
      </w:r>
      <w:r>
        <w:rPr>
          <w:spacing w:val="-3"/>
          <w:position w:val="2"/>
        </w:rPr>
        <w:t> </w:t>
      </w:r>
      <w:r>
        <w:rPr>
          <w:position w:val="2"/>
        </w:rPr>
        <w:t>capital</w:t>
      </w:r>
      <w:r>
        <w:rPr>
          <w:spacing w:val="-1"/>
          <w:position w:val="2"/>
        </w:rPr>
        <w:t> </w:t>
      </w:r>
      <w:r>
        <w:rPr>
          <w:position w:val="2"/>
        </w:rPr>
        <w:t>flight</w:t>
      </w:r>
      <w:r>
        <w:rPr>
          <w:spacing w:val="-1"/>
          <w:position w:val="2"/>
        </w:rPr>
        <w:t> </w:t>
      </w:r>
      <w:r>
        <w:rPr>
          <w:position w:val="2"/>
        </w:rPr>
        <w:t>in</w:t>
      </w:r>
      <w:r>
        <w:rPr>
          <w:spacing w:val="-1"/>
          <w:position w:val="2"/>
        </w:rPr>
        <w:t> </w:t>
      </w:r>
      <w:r>
        <w:rPr>
          <w:spacing w:val="-2"/>
          <w:position w:val="2"/>
        </w:rPr>
        <w:t>Nigeria.</w:t>
      </w:r>
    </w:p>
    <w:p>
      <w:pPr>
        <w:spacing w:after="0"/>
        <w:sectPr>
          <w:pgSz w:w="11910" w:h="16840"/>
          <w:pgMar w:header="0" w:footer="979" w:top="1360" w:bottom="1240" w:left="280" w:right="0"/>
        </w:sectPr>
      </w:pPr>
    </w:p>
    <w:p>
      <w:pPr>
        <w:pStyle w:val="BodyText"/>
        <w:spacing w:line="477" w:lineRule="auto" w:before="60"/>
        <w:ind w:left="711" w:right="476"/>
        <w:jc w:val="both"/>
      </w:pPr>
      <w:r>
        <w:rPr>
          <w:position w:val="2"/>
        </w:rPr>
        <w:t>H</w:t>
      </w:r>
      <w:r>
        <w:rPr>
          <w:sz w:val="16"/>
        </w:rPr>
        <w:t>03</w:t>
      </w:r>
      <w:r>
        <w:rPr>
          <w:position w:val="2"/>
        </w:rPr>
        <w:t>: Political, Economic and Institutional factors do not influence the choice of private wealth holders in </w:t>
      </w:r>
      <w:r>
        <w:rPr>
          <w:spacing w:val="-2"/>
        </w:rPr>
        <w:t>Nigeria.</w:t>
      </w:r>
    </w:p>
    <w:p>
      <w:pPr>
        <w:pStyle w:val="BodyText"/>
        <w:spacing w:before="3"/>
        <w:ind w:left="711"/>
        <w:jc w:val="both"/>
      </w:pPr>
      <w:r>
        <w:rPr>
          <w:position w:val="2"/>
        </w:rPr>
        <w:t>H</w:t>
      </w:r>
      <w:r>
        <w:rPr>
          <w:sz w:val="16"/>
        </w:rPr>
        <w:t>04</w:t>
      </w:r>
      <w:r>
        <w:rPr>
          <w:spacing w:val="76"/>
          <w:sz w:val="16"/>
        </w:rPr>
        <w:t>  </w:t>
      </w:r>
      <w:r>
        <w:rPr>
          <w:position w:val="2"/>
        </w:rPr>
        <w:t>Capital flight</w:t>
      </w:r>
      <w:r>
        <w:rPr>
          <w:spacing w:val="-1"/>
          <w:position w:val="2"/>
        </w:rPr>
        <w:t> </w:t>
      </w:r>
      <w:r>
        <w:rPr>
          <w:position w:val="2"/>
        </w:rPr>
        <w:t>cannot be</w:t>
      </w:r>
      <w:r>
        <w:rPr>
          <w:spacing w:val="-1"/>
          <w:position w:val="2"/>
        </w:rPr>
        <w:t> </w:t>
      </w:r>
      <w:r>
        <w:rPr>
          <w:position w:val="2"/>
        </w:rPr>
        <w:t>stemmed</w:t>
      </w:r>
      <w:r>
        <w:rPr>
          <w:spacing w:val="-1"/>
          <w:position w:val="2"/>
        </w:rPr>
        <w:t> </w:t>
      </w:r>
      <w:r>
        <w:rPr>
          <w:position w:val="2"/>
        </w:rPr>
        <w:t>nor</w:t>
      </w:r>
      <w:r>
        <w:rPr>
          <w:spacing w:val="-2"/>
          <w:position w:val="2"/>
        </w:rPr>
        <w:t> </w:t>
      </w:r>
      <w:r>
        <w:rPr>
          <w:position w:val="2"/>
        </w:rPr>
        <w:t>reversed</w:t>
      </w:r>
      <w:r>
        <w:rPr>
          <w:spacing w:val="-1"/>
          <w:position w:val="2"/>
        </w:rPr>
        <w:t> </w:t>
      </w:r>
      <w:r>
        <w:rPr>
          <w:position w:val="2"/>
        </w:rPr>
        <w:t>in </w:t>
      </w:r>
      <w:r>
        <w:rPr>
          <w:spacing w:val="-2"/>
          <w:position w:val="2"/>
        </w:rPr>
        <w:t>Nigeria.</w:t>
      </w:r>
    </w:p>
    <w:p>
      <w:pPr>
        <w:pStyle w:val="BodyText"/>
        <w:spacing w:line="480" w:lineRule="auto" w:before="274"/>
        <w:ind w:left="711" w:right="475"/>
        <w:jc w:val="both"/>
      </w:pPr>
      <w:r>
        <w:rPr/>
        <w:t>Since the probability value of all the explanatory variables are greater than 5% and not significant in the model, the null hypothses are acceptet for all variables in the short run under the World Bank &amp; Erber (1985) approach.</w:t>
      </w:r>
    </w:p>
    <w:p>
      <w:pPr>
        <w:pStyle w:val="Heading2"/>
        <w:spacing w:line="360" w:lineRule="auto" w:before="1"/>
        <w:ind w:right="468"/>
      </w:pPr>
      <w:r>
        <w:rPr/>
        <w:t>Table 4.6 Presentation and Interpretation of PRE-SAP Short run Results for Model 3B (Morgan Guaranty Trust (1986) approach)</w:t>
      </w:r>
    </w:p>
    <w:p>
      <w:pPr>
        <w:spacing w:line="206" w:lineRule="exact" w:before="0"/>
        <w:ind w:left="780" w:right="0" w:firstLine="0"/>
        <w:jc w:val="both"/>
        <w:rPr>
          <w:b/>
          <w:sz w:val="18"/>
        </w:rPr>
      </w:pPr>
      <w:r>
        <w:rPr>
          <w:b/>
          <w:sz w:val="18"/>
        </w:rPr>
        <w:t>DEPENDENT VARIABLE</w:t>
      </w:r>
      <w:r>
        <w:rPr>
          <w:b/>
          <w:spacing w:val="-1"/>
          <w:sz w:val="18"/>
        </w:rPr>
        <w:t> </w:t>
      </w:r>
      <w:r>
        <w:rPr>
          <w:b/>
          <w:sz w:val="18"/>
        </w:rPr>
        <w:t>= </w:t>
      </w:r>
      <w:r>
        <w:rPr>
          <w:b/>
          <w:spacing w:val="-5"/>
          <w:sz w:val="18"/>
        </w:rPr>
        <w:t>KF</w:t>
      </w:r>
    </w:p>
    <w:p>
      <w:pPr>
        <w:pStyle w:val="BodyText"/>
        <w:spacing w:before="2"/>
        <w:rPr>
          <w:b/>
          <w:sz w:val="9"/>
        </w:rPr>
      </w:pPr>
    </w:p>
    <w:tbl>
      <w:tblPr>
        <w:tblW w:w="0" w:type="auto"/>
        <w:jc w:val="left"/>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35"/>
        <w:gridCol w:w="2120"/>
        <w:gridCol w:w="2065"/>
        <w:gridCol w:w="2279"/>
        <w:gridCol w:w="1705"/>
      </w:tblGrid>
      <w:tr>
        <w:trPr>
          <w:trHeight w:val="2176" w:hRule="atLeast"/>
        </w:trPr>
        <w:tc>
          <w:tcPr>
            <w:tcW w:w="1935" w:type="dxa"/>
          </w:tcPr>
          <w:p>
            <w:pPr>
              <w:pStyle w:val="TableParagraph"/>
              <w:spacing w:before="249"/>
              <w:rPr>
                <w:b/>
                <w:sz w:val="24"/>
              </w:rPr>
            </w:pPr>
          </w:p>
          <w:p>
            <w:pPr>
              <w:pStyle w:val="TableParagraph"/>
              <w:spacing w:line="480" w:lineRule="auto"/>
              <w:ind w:left="105"/>
              <w:rPr>
                <w:rFonts w:ascii="Cambria"/>
                <w:b/>
                <w:sz w:val="24"/>
              </w:rPr>
            </w:pPr>
            <w:r>
              <w:rPr>
                <w:rFonts w:ascii="Cambria"/>
                <w:b/>
                <w:spacing w:val="-2"/>
                <w:sz w:val="24"/>
              </w:rPr>
              <w:t>INDEPENDENT VARIABLES</w:t>
            </w:r>
          </w:p>
        </w:tc>
        <w:tc>
          <w:tcPr>
            <w:tcW w:w="2120" w:type="dxa"/>
          </w:tcPr>
          <w:p>
            <w:pPr>
              <w:pStyle w:val="TableParagraph"/>
              <w:spacing w:before="249"/>
              <w:rPr>
                <w:b/>
                <w:sz w:val="24"/>
              </w:rPr>
            </w:pPr>
          </w:p>
          <w:p>
            <w:pPr>
              <w:pStyle w:val="TableParagraph"/>
              <w:spacing w:line="480" w:lineRule="auto"/>
              <w:ind w:left="107"/>
              <w:rPr>
                <w:rFonts w:ascii="Cambria"/>
                <w:b/>
                <w:sz w:val="24"/>
              </w:rPr>
            </w:pPr>
            <w:r>
              <w:rPr>
                <w:rFonts w:ascii="Cambria"/>
                <w:b/>
                <w:sz w:val="24"/>
              </w:rPr>
              <w:t>COEFFICIENT</w:t>
            </w:r>
            <w:r>
              <w:rPr>
                <w:rFonts w:ascii="Cambria"/>
                <w:b/>
                <w:spacing w:val="40"/>
                <w:sz w:val="24"/>
              </w:rPr>
              <w:t> </w:t>
            </w:r>
            <w:r>
              <w:rPr>
                <w:rFonts w:ascii="Cambria"/>
                <w:b/>
                <w:sz w:val="24"/>
              </w:rPr>
              <w:t>OF </w:t>
            </w:r>
            <w:r>
              <w:rPr>
                <w:rFonts w:ascii="Cambria"/>
                <w:b/>
                <w:spacing w:val="-2"/>
                <w:sz w:val="24"/>
              </w:rPr>
              <w:t>ESTIMATES</w:t>
            </w:r>
          </w:p>
        </w:tc>
        <w:tc>
          <w:tcPr>
            <w:tcW w:w="2065" w:type="dxa"/>
          </w:tcPr>
          <w:p>
            <w:pPr>
              <w:pStyle w:val="TableParagraph"/>
              <w:rPr>
                <w:b/>
                <w:sz w:val="24"/>
              </w:rPr>
            </w:pPr>
          </w:p>
          <w:p>
            <w:pPr>
              <w:pStyle w:val="TableParagraph"/>
              <w:spacing w:before="254"/>
              <w:rPr>
                <w:b/>
                <w:sz w:val="24"/>
              </w:rPr>
            </w:pPr>
          </w:p>
          <w:p>
            <w:pPr>
              <w:pStyle w:val="TableParagraph"/>
              <w:ind w:left="107"/>
              <w:rPr>
                <w:rFonts w:ascii="Cambria"/>
                <w:b/>
                <w:sz w:val="24"/>
              </w:rPr>
            </w:pPr>
            <w:r>
              <w:rPr>
                <w:rFonts w:ascii="Cambria"/>
                <w:b/>
                <w:sz w:val="24"/>
              </w:rPr>
              <w:t>T- </w:t>
            </w:r>
            <w:r>
              <w:rPr>
                <w:rFonts w:ascii="Cambria"/>
                <w:b/>
                <w:spacing w:val="-2"/>
                <w:sz w:val="24"/>
              </w:rPr>
              <w:t>STATISTICS</w:t>
            </w:r>
          </w:p>
        </w:tc>
        <w:tc>
          <w:tcPr>
            <w:tcW w:w="2279" w:type="dxa"/>
          </w:tcPr>
          <w:p>
            <w:pPr>
              <w:pStyle w:val="TableParagraph"/>
              <w:spacing w:before="249"/>
              <w:rPr>
                <w:b/>
                <w:sz w:val="24"/>
              </w:rPr>
            </w:pPr>
          </w:p>
          <w:p>
            <w:pPr>
              <w:pStyle w:val="TableParagraph"/>
              <w:spacing w:line="480" w:lineRule="auto"/>
              <w:ind w:left="104"/>
              <w:rPr>
                <w:rFonts w:ascii="Cambria"/>
                <w:b/>
                <w:sz w:val="24"/>
              </w:rPr>
            </w:pPr>
            <w:r>
              <w:rPr>
                <w:rFonts w:ascii="Cambria"/>
                <w:b/>
                <w:spacing w:val="-2"/>
                <w:sz w:val="24"/>
              </w:rPr>
              <w:t>PROBABILITY VALUE</w:t>
            </w:r>
          </w:p>
        </w:tc>
        <w:tc>
          <w:tcPr>
            <w:tcW w:w="1705" w:type="dxa"/>
          </w:tcPr>
          <w:p>
            <w:pPr>
              <w:pStyle w:val="TableParagraph"/>
              <w:spacing w:line="281" w:lineRule="exact"/>
              <w:ind w:left="103"/>
              <w:rPr>
                <w:rFonts w:ascii="Cambria"/>
                <w:b/>
                <w:sz w:val="24"/>
              </w:rPr>
            </w:pPr>
            <w:r>
              <w:rPr>
                <w:rFonts w:ascii="Cambria"/>
                <w:b/>
                <w:spacing w:val="-2"/>
                <w:sz w:val="24"/>
              </w:rPr>
              <w:t>REMARKS</w:t>
            </w:r>
          </w:p>
        </w:tc>
      </w:tr>
      <w:tr>
        <w:trPr>
          <w:trHeight w:val="275" w:hRule="atLeast"/>
        </w:trPr>
        <w:tc>
          <w:tcPr>
            <w:tcW w:w="1935" w:type="dxa"/>
          </w:tcPr>
          <w:p>
            <w:pPr>
              <w:pStyle w:val="TableParagraph"/>
              <w:spacing w:line="229" w:lineRule="exact"/>
              <w:ind w:left="6" w:right="2"/>
              <w:jc w:val="center"/>
              <w:rPr>
                <w:rFonts w:ascii="Arial MT"/>
                <w:sz w:val="20"/>
              </w:rPr>
            </w:pPr>
            <w:r>
              <w:rPr>
                <w:rFonts w:ascii="Arial MT"/>
                <w:spacing w:val="-10"/>
                <w:sz w:val="20"/>
              </w:rPr>
              <w:t>C</w:t>
            </w:r>
          </w:p>
        </w:tc>
        <w:tc>
          <w:tcPr>
            <w:tcW w:w="2120" w:type="dxa"/>
          </w:tcPr>
          <w:p>
            <w:pPr>
              <w:pStyle w:val="TableParagraph"/>
              <w:ind w:right="96"/>
              <w:jc w:val="right"/>
              <w:rPr>
                <w:sz w:val="20"/>
              </w:rPr>
            </w:pPr>
            <w:r>
              <w:rPr>
                <w:spacing w:val="-2"/>
                <w:sz w:val="20"/>
              </w:rPr>
              <w:t>3.259558</w:t>
            </w:r>
          </w:p>
        </w:tc>
        <w:tc>
          <w:tcPr>
            <w:tcW w:w="2065" w:type="dxa"/>
          </w:tcPr>
          <w:p>
            <w:pPr>
              <w:pStyle w:val="TableParagraph"/>
              <w:ind w:right="97"/>
              <w:jc w:val="right"/>
              <w:rPr>
                <w:sz w:val="20"/>
              </w:rPr>
            </w:pPr>
            <w:r>
              <w:rPr>
                <w:spacing w:val="-2"/>
                <w:sz w:val="20"/>
              </w:rPr>
              <w:t>0.406041</w:t>
            </w:r>
          </w:p>
        </w:tc>
        <w:tc>
          <w:tcPr>
            <w:tcW w:w="2279" w:type="dxa"/>
          </w:tcPr>
          <w:p>
            <w:pPr>
              <w:pStyle w:val="TableParagraph"/>
              <w:ind w:right="100"/>
              <w:jc w:val="right"/>
              <w:rPr>
                <w:sz w:val="20"/>
              </w:rPr>
            </w:pPr>
            <w:r>
              <w:rPr>
                <w:spacing w:val="-2"/>
                <w:sz w:val="20"/>
              </w:rPr>
              <w:t>0.6988</w:t>
            </w:r>
          </w:p>
        </w:tc>
        <w:tc>
          <w:tcPr>
            <w:tcW w:w="1705" w:type="dxa"/>
          </w:tcPr>
          <w:p>
            <w:pPr>
              <w:pStyle w:val="TableParagraph"/>
              <w:spacing w:line="256" w:lineRule="exact"/>
              <w:ind w:right="102"/>
              <w:jc w:val="right"/>
              <w:rPr>
                <w:sz w:val="24"/>
              </w:rPr>
            </w:pPr>
            <w:r>
              <w:rPr>
                <w:spacing w:val="-2"/>
                <w:sz w:val="24"/>
              </w:rPr>
              <w:t>Insignificant</w:t>
            </w:r>
          </w:p>
        </w:tc>
      </w:tr>
      <w:tr>
        <w:trPr>
          <w:trHeight w:val="333" w:hRule="atLeast"/>
        </w:trPr>
        <w:tc>
          <w:tcPr>
            <w:tcW w:w="1935" w:type="dxa"/>
          </w:tcPr>
          <w:p>
            <w:pPr>
              <w:pStyle w:val="TableParagraph"/>
              <w:spacing w:line="281" w:lineRule="exact"/>
              <w:ind w:left="6" w:right="6"/>
              <w:jc w:val="center"/>
              <w:rPr>
                <w:rFonts w:ascii="Arial MT" w:hAnsi="Arial MT"/>
                <w:sz w:val="20"/>
              </w:rPr>
            </w:pPr>
            <w:r>
              <w:rPr>
                <w:rFonts w:ascii="Cambria" w:hAnsi="Cambria"/>
                <w:spacing w:val="-2"/>
                <w:sz w:val="24"/>
              </w:rPr>
              <w:t>δ</w:t>
            </w:r>
            <w:r>
              <w:rPr>
                <w:rFonts w:ascii="Arial MT" w:hAnsi="Arial MT"/>
                <w:spacing w:val="-2"/>
                <w:sz w:val="20"/>
              </w:rPr>
              <w:t>EXTDEBT</w:t>
            </w:r>
          </w:p>
        </w:tc>
        <w:tc>
          <w:tcPr>
            <w:tcW w:w="2120" w:type="dxa"/>
          </w:tcPr>
          <w:p>
            <w:pPr>
              <w:pStyle w:val="TableParagraph"/>
              <w:ind w:right="96"/>
              <w:jc w:val="right"/>
              <w:rPr>
                <w:sz w:val="20"/>
              </w:rPr>
            </w:pPr>
            <w:r>
              <w:rPr>
                <w:spacing w:val="-2"/>
                <w:sz w:val="20"/>
              </w:rPr>
              <w:t>0.100719</w:t>
            </w:r>
          </w:p>
        </w:tc>
        <w:tc>
          <w:tcPr>
            <w:tcW w:w="2065" w:type="dxa"/>
          </w:tcPr>
          <w:p>
            <w:pPr>
              <w:pStyle w:val="TableParagraph"/>
              <w:ind w:right="97"/>
              <w:jc w:val="right"/>
              <w:rPr>
                <w:sz w:val="20"/>
              </w:rPr>
            </w:pPr>
            <w:r>
              <w:rPr>
                <w:spacing w:val="-2"/>
                <w:sz w:val="20"/>
              </w:rPr>
              <w:t>0.534909</w:t>
            </w:r>
          </w:p>
        </w:tc>
        <w:tc>
          <w:tcPr>
            <w:tcW w:w="2279" w:type="dxa"/>
          </w:tcPr>
          <w:p>
            <w:pPr>
              <w:pStyle w:val="TableParagraph"/>
              <w:ind w:right="100"/>
              <w:jc w:val="right"/>
              <w:rPr>
                <w:sz w:val="20"/>
              </w:rPr>
            </w:pPr>
            <w:r>
              <w:rPr>
                <w:spacing w:val="-2"/>
                <w:sz w:val="20"/>
              </w:rPr>
              <w:t>0.6119</w:t>
            </w:r>
          </w:p>
        </w:tc>
        <w:tc>
          <w:tcPr>
            <w:tcW w:w="1705" w:type="dxa"/>
          </w:tcPr>
          <w:p>
            <w:pPr>
              <w:pStyle w:val="TableParagraph"/>
              <w:spacing w:line="275" w:lineRule="exact"/>
              <w:ind w:right="102"/>
              <w:jc w:val="right"/>
              <w:rPr>
                <w:sz w:val="24"/>
              </w:rPr>
            </w:pPr>
            <w:r>
              <w:rPr>
                <w:spacing w:val="-2"/>
                <w:sz w:val="24"/>
              </w:rPr>
              <w:t>Insignificant</w:t>
            </w:r>
          </w:p>
        </w:tc>
      </w:tr>
      <w:tr>
        <w:trPr>
          <w:trHeight w:val="340" w:hRule="atLeast"/>
        </w:trPr>
        <w:tc>
          <w:tcPr>
            <w:tcW w:w="1935" w:type="dxa"/>
          </w:tcPr>
          <w:p>
            <w:pPr>
              <w:pStyle w:val="TableParagraph"/>
              <w:spacing w:line="229" w:lineRule="exact"/>
              <w:ind w:left="6" w:right="5"/>
              <w:jc w:val="center"/>
              <w:rPr>
                <w:rFonts w:ascii="Arial MT"/>
                <w:sz w:val="20"/>
              </w:rPr>
            </w:pPr>
            <w:r>
              <w:rPr>
                <w:rFonts w:ascii="Arial MT"/>
                <w:spacing w:val="-5"/>
                <w:sz w:val="20"/>
              </w:rPr>
              <w:t>DOP</w:t>
            </w:r>
          </w:p>
        </w:tc>
        <w:tc>
          <w:tcPr>
            <w:tcW w:w="2120" w:type="dxa"/>
          </w:tcPr>
          <w:p>
            <w:pPr>
              <w:pStyle w:val="TableParagraph"/>
              <w:ind w:right="96"/>
              <w:jc w:val="right"/>
              <w:rPr>
                <w:sz w:val="20"/>
              </w:rPr>
            </w:pPr>
            <w:r>
              <w:rPr>
                <w:spacing w:val="-4"/>
                <w:sz w:val="20"/>
              </w:rPr>
              <w:t>-</w:t>
            </w:r>
            <w:r>
              <w:rPr>
                <w:spacing w:val="-2"/>
                <w:sz w:val="20"/>
              </w:rPr>
              <w:t>1.439851</w:t>
            </w:r>
          </w:p>
        </w:tc>
        <w:tc>
          <w:tcPr>
            <w:tcW w:w="2065" w:type="dxa"/>
          </w:tcPr>
          <w:p>
            <w:pPr>
              <w:pStyle w:val="TableParagraph"/>
              <w:ind w:right="97"/>
              <w:jc w:val="right"/>
              <w:rPr>
                <w:sz w:val="20"/>
              </w:rPr>
            </w:pPr>
            <w:r>
              <w:rPr>
                <w:spacing w:val="-4"/>
                <w:sz w:val="20"/>
              </w:rPr>
              <w:t>-</w:t>
            </w:r>
            <w:r>
              <w:rPr>
                <w:spacing w:val="-2"/>
                <w:sz w:val="20"/>
              </w:rPr>
              <w:t>0.546715</w:t>
            </w:r>
          </w:p>
        </w:tc>
        <w:tc>
          <w:tcPr>
            <w:tcW w:w="2279" w:type="dxa"/>
          </w:tcPr>
          <w:p>
            <w:pPr>
              <w:pStyle w:val="TableParagraph"/>
              <w:ind w:right="100"/>
              <w:jc w:val="right"/>
              <w:rPr>
                <w:sz w:val="20"/>
              </w:rPr>
            </w:pPr>
            <w:r>
              <w:rPr>
                <w:spacing w:val="-2"/>
                <w:sz w:val="20"/>
              </w:rPr>
              <w:t>0.6043</w:t>
            </w:r>
          </w:p>
        </w:tc>
        <w:tc>
          <w:tcPr>
            <w:tcW w:w="1705" w:type="dxa"/>
          </w:tcPr>
          <w:p>
            <w:pPr>
              <w:pStyle w:val="TableParagraph"/>
              <w:spacing w:line="275" w:lineRule="exact"/>
              <w:ind w:right="102"/>
              <w:jc w:val="right"/>
              <w:rPr>
                <w:sz w:val="24"/>
              </w:rPr>
            </w:pPr>
            <w:r>
              <w:rPr>
                <w:spacing w:val="-2"/>
                <w:sz w:val="24"/>
              </w:rPr>
              <w:t>Insignificant</w:t>
            </w:r>
          </w:p>
        </w:tc>
      </w:tr>
      <w:tr>
        <w:trPr>
          <w:trHeight w:val="350" w:hRule="atLeast"/>
        </w:trPr>
        <w:tc>
          <w:tcPr>
            <w:tcW w:w="1935" w:type="dxa"/>
          </w:tcPr>
          <w:p>
            <w:pPr>
              <w:pStyle w:val="TableParagraph"/>
              <w:spacing w:line="229" w:lineRule="exact"/>
              <w:ind w:left="6" w:right="2"/>
              <w:jc w:val="center"/>
              <w:rPr>
                <w:rFonts w:ascii="Arial MT"/>
                <w:sz w:val="20"/>
              </w:rPr>
            </w:pPr>
            <w:r>
              <w:rPr>
                <w:rFonts w:ascii="Arial MT"/>
                <w:spacing w:val="-5"/>
                <w:sz w:val="20"/>
              </w:rPr>
              <w:t>INF</w:t>
            </w:r>
          </w:p>
        </w:tc>
        <w:tc>
          <w:tcPr>
            <w:tcW w:w="2120" w:type="dxa"/>
          </w:tcPr>
          <w:p>
            <w:pPr>
              <w:pStyle w:val="TableParagraph"/>
              <w:ind w:right="96"/>
              <w:jc w:val="right"/>
              <w:rPr>
                <w:sz w:val="20"/>
              </w:rPr>
            </w:pPr>
            <w:r>
              <w:rPr>
                <w:spacing w:val="-4"/>
                <w:sz w:val="20"/>
              </w:rPr>
              <w:t>-</w:t>
            </w:r>
            <w:r>
              <w:rPr>
                <w:spacing w:val="-2"/>
                <w:sz w:val="20"/>
              </w:rPr>
              <w:t>0.300385</w:t>
            </w:r>
          </w:p>
        </w:tc>
        <w:tc>
          <w:tcPr>
            <w:tcW w:w="2065" w:type="dxa"/>
          </w:tcPr>
          <w:p>
            <w:pPr>
              <w:pStyle w:val="TableParagraph"/>
              <w:ind w:right="97"/>
              <w:jc w:val="right"/>
              <w:rPr>
                <w:sz w:val="20"/>
              </w:rPr>
            </w:pPr>
            <w:r>
              <w:rPr>
                <w:spacing w:val="-4"/>
                <w:sz w:val="20"/>
              </w:rPr>
              <w:t>-</w:t>
            </w:r>
            <w:r>
              <w:rPr>
                <w:spacing w:val="-2"/>
                <w:sz w:val="20"/>
              </w:rPr>
              <w:t>0.567816</w:t>
            </w:r>
          </w:p>
        </w:tc>
        <w:tc>
          <w:tcPr>
            <w:tcW w:w="2279" w:type="dxa"/>
          </w:tcPr>
          <w:p>
            <w:pPr>
              <w:pStyle w:val="TableParagraph"/>
              <w:ind w:right="100"/>
              <w:jc w:val="right"/>
              <w:rPr>
                <w:sz w:val="20"/>
              </w:rPr>
            </w:pPr>
            <w:r>
              <w:rPr>
                <w:spacing w:val="-2"/>
                <w:sz w:val="20"/>
              </w:rPr>
              <w:t>0.5908</w:t>
            </w:r>
          </w:p>
        </w:tc>
        <w:tc>
          <w:tcPr>
            <w:tcW w:w="1705" w:type="dxa"/>
          </w:tcPr>
          <w:p>
            <w:pPr>
              <w:pStyle w:val="TableParagraph"/>
              <w:spacing w:line="275" w:lineRule="exact"/>
              <w:ind w:right="102"/>
              <w:jc w:val="right"/>
              <w:rPr>
                <w:sz w:val="24"/>
              </w:rPr>
            </w:pPr>
            <w:r>
              <w:rPr>
                <w:spacing w:val="-2"/>
                <w:sz w:val="24"/>
              </w:rPr>
              <w:t>Insignificant</w:t>
            </w:r>
          </w:p>
        </w:tc>
      </w:tr>
      <w:tr>
        <w:trPr>
          <w:trHeight w:val="350" w:hRule="atLeast"/>
        </w:trPr>
        <w:tc>
          <w:tcPr>
            <w:tcW w:w="1935" w:type="dxa"/>
          </w:tcPr>
          <w:p>
            <w:pPr>
              <w:pStyle w:val="TableParagraph"/>
              <w:spacing w:line="229" w:lineRule="exact"/>
              <w:ind w:left="6" w:right="2"/>
              <w:jc w:val="center"/>
              <w:rPr>
                <w:rFonts w:ascii="Arial MT"/>
                <w:sz w:val="20"/>
              </w:rPr>
            </w:pPr>
            <w:r>
              <w:rPr>
                <w:rFonts w:ascii="Arial MT"/>
                <w:spacing w:val="-5"/>
                <w:sz w:val="20"/>
              </w:rPr>
              <w:t>GCF</w:t>
            </w:r>
          </w:p>
        </w:tc>
        <w:tc>
          <w:tcPr>
            <w:tcW w:w="2120" w:type="dxa"/>
          </w:tcPr>
          <w:p>
            <w:pPr>
              <w:pStyle w:val="TableParagraph"/>
              <w:ind w:right="96"/>
              <w:jc w:val="right"/>
              <w:rPr>
                <w:sz w:val="20"/>
              </w:rPr>
            </w:pPr>
            <w:r>
              <w:rPr>
                <w:spacing w:val="-2"/>
                <w:sz w:val="20"/>
              </w:rPr>
              <w:t>0.158665</w:t>
            </w:r>
          </w:p>
        </w:tc>
        <w:tc>
          <w:tcPr>
            <w:tcW w:w="2065" w:type="dxa"/>
          </w:tcPr>
          <w:p>
            <w:pPr>
              <w:pStyle w:val="TableParagraph"/>
              <w:ind w:right="97"/>
              <w:jc w:val="right"/>
              <w:rPr>
                <w:sz w:val="20"/>
              </w:rPr>
            </w:pPr>
            <w:r>
              <w:rPr>
                <w:spacing w:val="-2"/>
                <w:sz w:val="20"/>
              </w:rPr>
              <w:t>0.456092</w:t>
            </w:r>
          </w:p>
        </w:tc>
        <w:tc>
          <w:tcPr>
            <w:tcW w:w="2279" w:type="dxa"/>
          </w:tcPr>
          <w:p>
            <w:pPr>
              <w:pStyle w:val="TableParagraph"/>
              <w:ind w:right="100"/>
              <w:jc w:val="right"/>
              <w:rPr>
                <w:sz w:val="20"/>
              </w:rPr>
            </w:pPr>
            <w:r>
              <w:rPr>
                <w:spacing w:val="-2"/>
                <w:sz w:val="20"/>
              </w:rPr>
              <w:t>0.6644</w:t>
            </w:r>
          </w:p>
        </w:tc>
        <w:tc>
          <w:tcPr>
            <w:tcW w:w="1705" w:type="dxa"/>
          </w:tcPr>
          <w:p>
            <w:pPr>
              <w:pStyle w:val="TableParagraph"/>
              <w:spacing w:line="275" w:lineRule="exact"/>
              <w:ind w:right="102"/>
              <w:jc w:val="right"/>
              <w:rPr>
                <w:sz w:val="24"/>
              </w:rPr>
            </w:pPr>
            <w:r>
              <w:rPr>
                <w:spacing w:val="-2"/>
                <w:sz w:val="24"/>
              </w:rPr>
              <w:t>Insignificant</w:t>
            </w:r>
          </w:p>
        </w:tc>
      </w:tr>
      <w:tr>
        <w:trPr>
          <w:trHeight w:val="359" w:hRule="atLeast"/>
        </w:trPr>
        <w:tc>
          <w:tcPr>
            <w:tcW w:w="1935" w:type="dxa"/>
          </w:tcPr>
          <w:p>
            <w:pPr>
              <w:pStyle w:val="TableParagraph"/>
              <w:spacing w:line="229" w:lineRule="exact"/>
              <w:ind w:left="6" w:right="1"/>
              <w:jc w:val="center"/>
              <w:rPr>
                <w:rFonts w:ascii="Arial MT"/>
                <w:sz w:val="20"/>
              </w:rPr>
            </w:pPr>
            <w:r>
              <w:rPr>
                <w:rFonts w:ascii="Arial MT"/>
                <w:spacing w:val="-5"/>
                <w:sz w:val="20"/>
              </w:rPr>
              <w:t>DR</w:t>
            </w:r>
          </w:p>
        </w:tc>
        <w:tc>
          <w:tcPr>
            <w:tcW w:w="2120" w:type="dxa"/>
          </w:tcPr>
          <w:p>
            <w:pPr>
              <w:pStyle w:val="TableParagraph"/>
              <w:ind w:right="96"/>
              <w:jc w:val="right"/>
              <w:rPr>
                <w:sz w:val="20"/>
              </w:rPr>
            </w:pPr>
            <w:r>
              <w:rPr>
                <w:spacing w:val="-2"/>
                <w:sz w:val="20"/>
              </w:rPr>
              <w:t>1.558871</w:t>
            </w:r>
          </w:p>
        </w:tc>
        <w:tc>
          <w:tcPr>
            <w:tcW w:w="2065" w:type="dxa"/>
          </w:tcPr>
          <w:p>
            <w:pPr>
              <w:pStyle w:val="TableParagraph"/>
              <w:ind w:right="97"/>
              <w:jc w:val="right"/>
              <w:rPr>
                <w:sz w:val="20"/>
              </w:rPr>
            </w:pPr>
            <w:r>
              <w:rPr>
                <w:spacing w:val="-2"/>
                <w:sz w:val="20"/>
              </w:rPr>
              <w:t>0.380741</w:t>
            </w:r>
          </w:p>
        </w:tc>
        <w:tc>
          <w:tcPr>
            <w:tcW w:w="2279" w:type="dxa"/>
          </w:tcPr>
          <w:p>
            <w:pPr>
              <w:pStyle w:val="TableParagraph"/>
              <w:ind w:right="100"/>
              <w:jc w:val="right"/>
              <w:rPr>
                <w:sz w:val="20"/>
              </w:rPr>
            </w:pPr>
            <w:r>
              <w:rPr>
                <w:spacing w:val="-2"/>
                <w:sz w:val="20"/>
              </w:rPr>
              <w:t>0.7165</w:t>
            </w:r>
          </w:p>
        </w:tc>
        <w:tc>
          <w:tcPr>
            <w:tcW w:w="1705" w:type="dxa"/>
          </w:tcPr>
          <w:p>
            <w:pPr>
              <w:pStyle w:val="TableParagraph"/>
              <w:spacing w:line="275" w:lineRule="exact"/>
              <w:ind w:right="102"/>
              <w:jc w:val="right"/>
              <w:rPr>
                <w:sz w:val="24"/>
              </w:rPr>
            </w:pPr>
            <w:r>
              <w:rPr>
                <w:spacing w:val="-2"/>
                <w:sz w:val="24"/>
              </w:rPr>
              <w:t>Insignificant</w:t>
            </w:r>
          </w:p>
        </w:tc>
      </w:tr>
      <w:tr>
        <w:trPr>
          <w:trHeight w:val="357" w:hRule="atLeast"/>
        </w:trPr>
        <w:tc>
          <w:tcPr>
            <w:tcW w:w="1935" w:type="dxa"/>
          </w:tcPr>
          <w:p>
            <w:pPr>
              <w:pStyle w:val="TableParagraph"/>
              <w:spacing w:line="229" w:lineRule="exact"/>
              <w:ind w:left="6" w:right="6"/>
              <w:jc w:val="center"/>
              <w:rPr>
                <w:rFonts w:ascii="Arial MT"/>
                <w:sz w:val="20"/>
              </w:rPr>
            </w:pPr>
            <w:r>
              <w:rPr>
                <w:rFonts w:ascii="Arial MT"/>
                <w:spacing w:val="-2"/>
                <w:sz w:val="20"/>
              </w:rPr>
              <w:t>PRIVCR</w:t>
            </w:r>
          </w:p>
        </w:tc>
        <w:tc>
          <w:tcPr>
            <w:tcW w:w="2120" w:type="dxa"/>
          </w:tcPr>
          <w:p>
            <w:pPr>
              <w:pStyle w:val="TableParagraph"/>
              <w:ind w:right="96"/>
              <w:jc w:val="right"/>
              <w:rPr>
                <w:sz w:val="20"/>
              </w:rPr>
            </w:pPr>
            <w:r>
              <w:rPr>
                <w:spacing w:val="-4"/>
                <w:sz w:val="20"/>
              </w:rPr>
              <w:t>-</w:t>
            </w:r>
            <w:r>
              <w:rPr>
                <w:spacing w:val="-2"/>
                <w:sz w:val="20"/>
              </w:rPr>
              <w:t>0.453457</w:t>
            </w:r>
          </w:p>
        </w:tc>
        <w:tc>
          <w:tcPr>
            <w:tcW w:w="2065" w:type="dxa"/>
          </w:tcPr>
          <w:p>
            <w:pPr>
              <w:pStyle w:val="TableParagraph"/>
              <w:ind w:right="97"/>
              <w:jc w:val="right"/>
              <w:rPr>
                <w:sz w:val="20"/>
              </w:rPr>
            </w:pPr>
            <w:r>
              <w:rPr>
                <w:spacing w:val="-4"/>
                <w:sz w:val="20"/>
              </w:rPr>
              <w:t>-</w:t>
            </w:r>
            <w:r>
              <w:rPr>
                <w:spacing w:val="-2"/>
                <w:sz w:val="20"/>
              </w:rPr>
              <w:t>0.303892</w:t>
            </w:r>
          </w:p>
        </w:tc>
        <w:tc>
          <w:tcPr>
            <w:tcW w:w="2279" w:type="dxa"/>
          </w:tcPr>
          <w:p>
            <w:pPr>
              <w:pStyle w:val="TableParagraph"/>
              <w:ind w:right="100"/>
              <w:jc w:val="right"/>
              <w:rPr>
                <w:sz w:val="20"/>
              </w:rPr>
            </w:pPr>
            <w:r>
              <w:rPr>
                <w:spacing w:val="-2"/>
                <w:sz w:val="20"/>
              </w:rPr>
              <w:t>0.7715</w:t>
            </w:r>
          </w:p>
        </w:tc>
        <w:tc>
          <w:tcPr>
            <w:tcW w:w="1705" w:type="dxa"/>
          </w:tcPr>
          <w:p>
            <w:pPr>
              <w:pStyle w:val="TableParagraph"/>
              <w:spacing w:line="275" w:lineRule="exact"/>
              <w:ind w:right="102"/>
              <w:jc w:val="right"/>
              <w:rPr>
                <w:sz w:val="24"/>
              </w:rPr>
            </w:pPr>
            <w:r>
              <w:rPr>
                <w:spacing w:val="-2"/>
                <w:sz w:val="24"/>
              </w:rPr>
              <w:t>Insignificant</w:t>
            </w:r>
          </w:p>
        </w:tc>
      </w:tr>
      <w:tr>
        <w:trPr>
          <w:trHeight w:val="359" w:hRule="atLeast"/>
        </w:trPr>
        <w:tc>
          <w:tcPr>
            <w:tcW w:w="1935" w:type="dxa"/>
          </w:tcPr>
          <w:p>
            <w:pPr>
              <w:pStyle w:val="TableParagraph"/>
              <w:spacing w:line="229" w:lineRule="exact"/>
              <w:ind w:left="6" w:right="6"/>
              <w:jc w:val="center"/>
              <w:rPr>
                <w:rFonts w:ascii="Arial MT"/>
                <w:sz w:val="20"/>
              </w:rPr>
            </w:pPr>
            <w:r>
              <w:rPr>
                <w:rFonts w:ascii="Arial MT"/>
                <w:spacing w:val="-4"/>
                <w:sz w:val="20"/>
              </w:rPr>
              <w:t>USIRD</w:t>
            </w:r>
          </w:p>
        </w:tc>
        <w:tc>
          <w:tcPr>
            <w:tcW w:w="2120" w:type="dxa"/>
          </w:tcPr>
          <w:p>
            <w:pPr>
              <w:pStyle w:val="TableParagraph"/>
              <w:ind w:right="96"/>
              <w:jc w:val="right"/>
              <w:rPr>
                <w:sz w:val="20"/>
              </w:rPr>
            </w:pPr>
            <w:r>
              <w:rPr>
                <w:spacing w:val="-4"/>
                <w:sz w:val="20"/>
              </w:rPr>
              <w:t>-</w:t>
            </w:r>
            <w:r>
              <w:rPr>
                <w:spacing w:val="-2"/>
                <w:sz w:val="20"/>
              </w:rPr>
              <w:t>0.165529</w:t>
            </w:r>
          </w:p>
        </w:tc>
        <w:tc>
          <w:tcPr>
            <w:tcW w:w="2065" w:type="dxa"/>
          </w:tcPr>
          <w:p>
            <w:pPr>
              <w:pStyle w:val="TableParagraph"/>
              <w:ind w:right="97"/>
              <w:jc w:val="right"/>
              <w:rPr>
                <w:sz w:val="20"/>
              </w:rPr>
            </w:pPr>
            <w:r>
              <w:rPr>
                <w:spacing w:val="-4"/>
                <w:sz w:val="20"/>
              </w:rPr>
              <w:t>-</w:t>
            </w:r>
            <w:r>
              <w:rPr>
                <w:spacing w:val="-2"/>
                <w:sz w:val="20"/>
              </w:rPr>
              <w:t>0.521915</w:t>
            </w:r>
          </w:p>
        </w:tc>
        <w:tc>
          <w:tcPr>
            <w:tcW w:w="2279" w:type="dxa"/>
          </w:tcPr>
          <w:p>
            <w:pPr>
              <w:pStyle w:val="TableParagraph"/>
              <w:ind w:right="100"/>
              <w:jc w:val="right"/>
              <w:rPr>
                <w:sz w:val="20"/>
              </w:rPr>
            </w:pPr>
            <w:r>
              <w:rPr>
                <w:spacing w:val="-2"/>
                <w:sz w:val="20"/>
              </w:rPr>
              <w:t>0.6204</w:t>
            </w:r>
          </w:p>
        </w:tc>
        <w:tc>
          <w:tcPr>
            <w:tcW w:w="1705" w:type="dxa"/>
          </w:tcPr>
          <w:p>
            <w:pPr>
              <w:pStyle w:val="TableParagraph"/>
              <w:spacing w:before="1"/>
              <w:ind w:right="102"/>
              <w:jc w:val="right"/>
              <w:rPr>
                <w:sz w:val="24"/>
              </w:rPr>
            </w:pPr>
            <w:r>
              <w:rPr>
                <w:spacing w:val="-2"/>
                <w:sz w:val="24"/>
              </w:rPr>
              <w:t>Insignificant</w:t>
            </w:r>
          </w:p>
        </w:tc>
      </w:tr>
      <w:tr>
        <w:trPr>
          <w:trHeight w:val="359" w:hRule="atLeast"/>
        </w:trPr>
        <w:tc>
          <w:tcPr>
            <w:tcW w:w="1935" w:type="dxa"/>
          </w:tcPr>
          <w:p>
            <w:pPr>
              <w:pStyle w:val="TableParagraph"/>
              <w:spacing w:line="229" w:lineRule="exact"/>
              <w:ind w:left="6" w:right="4"/>
              <w:jc w:val="center"/>
              <w:rPr>
                <w:rFonts w:ascii="Arial MT"/>
                <w:sz w:val="20"/>
              </w:rPr>
            </w:pPr>
            <w:r>
              <w:rPr>
                <w:rFonts w:ascii="Arial MT"/>
                <w:spacing w:val="-4"/>
                <w:sz w:val="20"/>
              </w:rPr>
              <w:t>GOCE</w:t>
            </w:r>
          </w:p>
        </w:tc>
        <w:tc>
          <w:tcPr>
            <w:tcW w:w="2120" w:type="dxa"/>
          </w:tcPr>
          <w:p>
            <w:pPr>
              <w:pStyle w:val="TableParagraph"/>
              <w:ind w:right="96"/>
              <w:jc w:val="right"/>
              <w:rPr>
                <w:sz w:val="20"/>
              </w:rPr>
            </w:pPr>
            <w:r>
              <w:rPr>
                <w:spacing w:val="-2"/>
                <w:sz w:val="20"/>
              </w:rPr>
              <w:t>0.455421</w:t>
            </w:r>
          </w:p>
        </w:tc>
        <w:tc>
          <w:tcPr>
            <w:tcW w:w="2065" w:type="dxa"/>
          </w:tcPr>
          <w:p>
            <w:pPr>
              <w:pStyle w:val="TableParagraph"/>
              <w:ind w:right="97"/>
              <w:jc w:val="right"/>
              <w:rPr>
                <w:sz w:val="20"/>
              </w:rPr>
            </w:pPr>
            <w:r>
              <w:rPr>
                <w:spacing w:val="-2"/>
                <w:sz w:val="20"/>
              </w:rPr>
              <w:t>0.401574</w:t>
            </w:r>
          </w:p>
        </w:tc>
        <w:tc>
          <w:tcPr>
            <w:tcW w:w="2279" w:type="dxa"/>
          </w:tcPr>
          <w:p>
            <w:pPr>
              <w:pStyle w:val="TableParagraph"/>
              <w:ind w:right="100"/>
              <w:jc w:val="right"/>
              <w:rPr>
                <w:sz w:val="20"/>
              </w:rPr>
            </w:pPr>
            <w:r>
              <w:rPr>
                <w:spacing w:val="-2"/>
                <w:sz w:val="20"/>
              </w:rPr>
              <w:t>0.7019</w:t>
            </w:r>
          </w:p>
        </w:tc>
        <w:tc>
          <w:tcPr>
            <w:tcW w:w="1705" w:type="dxa"/>
          </w:tcPr>
          <w:p>
            <w:pPr>
              <w:pStyle w:val="TableParagraph"/>
              <w:spacing w:line="275" w:lineRule="exact"/>
              <w:ind w:right="102"/>
              <w:jc w:val="right"/>
              <w:rPr>
                <w:sz w:val="24"/>
              </w:rPr>
            </w:pPr>
            <w:r>
              <w:rPr>
                <w:spacing w:val="-2"/>
                <w:sz w:val="24"/>
              </w:rPr>
              <w:t>Insignificant</w:t>
            </w:r>
          </w:p>
        </w:tc>
      </w:tr>
    </w:tbl>
    <w:p>
      <w:pPr>
        <w:pStyle w:val="BodyText"/>
        <w:spacing w:before="7"/>
        <w:rPr>
          <w:b/>
          <w:sz w:val="2"/>
        </w:rPr>
      </w:pPr>
    </w:p>
    <w:tbl>
      <w:tblPr>
        <w:tblW w:w="0" w:type="auto"/>
        <w:jc w:val="left"/>
        <w:tblInd w:w="7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71"/>
        <w:gridCol w:w="1946"/>
        <w:gridCol w:w="3028"/>
        <w:gridCol w:w="1798"/>
      </w:tblGrid>
      <w:tr>
        <w:trPr>
          <w:trHeight w:val="270" w:hRule="atLeast"/>
        </w:trPr>
        <w:tc>
          <w:tcPr>
            <w:tcW w:w="2771" w:type="dxa"/>
          </w:tcPr>
          <w:p>
            <w:pPr>
              <w:pStyle w:val="TableParagraph"/>
              <w:spacing w:line="251" w:lineRule="exact"/>
              <w:ind w:left="43"/>
              <w:rPr>
                <w:sz w:val="24"/>
              </w:rPr>
            </w:pPr>
            <w:r>
              <w:rPr>
                <w:sz w:val="24"/>
              </w:rPr>
              <w:t>R-</w:t>
            </w:r>
            <w:r>
              <w:rPr>
                <w:spacing w:val="-2"/>
                <w:sz w:val="24"/>
              </w:rPr>
              <w:t>squared</w:t>
            </w:r>
          </w:p>
        </w:tc>
        <w:tc>
          <w:tcPr>
            <w:tcW w:w="1946" w:type="dxa"/>
          </w:tcPr>
          <w:p>
            <w:pPr>
              <w:pStyle w:val="TableParagraph"/>
              <w:spacing w:line="251" w:lineRule="exact"/>
              <w:ind w:right="146"/>
              <w:jc w:val="right"/>
              <w:rPr>
                <w:sz w:val="24"/>
              </w:rPr>
            </w:pPr>
            <w:r>
              <w:rPr>
                <w:spacing w:val="-2"/>
                <w:sz w:val="24"/>
              </w:rPr>
              <w:t>0.762678</w:t>
            </w:r>
          </w:p>
        </w:tc>
        <w:tc>
          <w:tcPr>
            <w:tcW w:w="3028" w:type="dxa"/>
          </w:tcPr>
          <w:p>
            <w:pPr>
              <w:pStyle w:val="TableParagraph"/>
              <w:spacing w:line="251" w:lineRule="exact"/>
              <w:ind w:left="151"/>
              <w:rPr>
                <w:sz w:val="24"/>
              </w:rPr>
            </w:pPr>
            <w:r>
              <w:rPr>
                <w:sz w:val="24"/>
              </w:rPr>
              <w:t>Mean</w:t>
            </w:r>
            <w:r>
              <w:rPr>
                <w:spacing w:val="-2"/>
                <w:sz w:val="24"/>
              </w:rPr>
              <w:t> </w:t>
            </w:r>
            <w:r>
              <w:rPr>
                <w:sz w:val="24"/>
              </w:rPr>
              <w:t>dependent</w:t>
            </w:r>
            <w:r>
              <w:rPr>
                <w:spacing w:val="-1"/>
                <w:sz w:val="24"/>
              </w:rPr>
              <w:t> </w:t>
            </w:r>
            <w:r>
              <w:rPr>
                <w:spacing w:val="-5"/>
                <w:sz w:val="24"/>
              </w:rPr>
              <w:t>var</w:t>
            </w:r>
          </w:p>
        </w:tc>
        <w:tc>
          <w:tcPr>
            <w:tcW w:w="1798" w:type="dxa"/>
          </w:tcPr>
          <w:p>
            <w:pPr>
              <w:pStyle w:val="TableParagraph"/>
              <w:spacing w:line="251" w:lineRule="exact"/>
              <w:ind w:right="25"/>
              <w:jc w:val="right"/>
              <w:rPr>
                <w:sz w:val="24"/>
              </w:rPr>
            </w:pPr>
            <w:r>
              <w:rPr>
                <w:spacing w:val="-2"/>
                <w:sz w:val="24"/>
              </w:rPr>
              <w:t>7.870546</w:t>
            </w:r>
          </w:p>
        </w:tc>
      </w:tr>
      <w:tr>
        <w:trPr>
          <w:trHeight w:val="275" w:hRule="atLeast"/>
        </w:trPr>
        <w:tc>
          <w:tcPr>
            <w:tcW w:w="2771" w:type="dxa"/>
          </w:tcPr>
          <w:p>
            <w:pPr>
              <w:pStyle w:val="TableParagraph"/>
              <w:spacing w:line="256" w:lineRule="exact"/>
              <w:ind w:left="43"/>
              <w:rPr>
                <w:sz w:val="24"/>
              </w:rPr>
            </w:pPr>
            <w:r>
              <w:rPr>
                <w:sz w:val="24"/>
              </w:rPr>
              <w:t>Adjusted</w:t>
            </w:r>
            <w:r>
              <w:rPr>
                <w:spacing w:val="-1"/>
                <w:sz w:val="24"/>
              </w:rPr>
              <w:t> </w:t>
            </w:r>
            <w:r>
              <w:rPr>
                <w:sz w:val="24"/>
              </w:rPr>
              <w:t>R-</w:t>
            </w:r>
            <w:r>
              <w:rPr>
                <w:spacing w:val="-2"/>
                <w:sz w:val="24"/>
              </w:rPr>
              <w:t>squared</w:t>
            </w:r>
          </w:p>
        </w:tc>
        <w:tc>
          <w:tcPr>
            <w:tcW w:w="1946" w:type="dxa"/>
          </w:tcPr>
          <w:p>
            <w:pPr>
              <w:pStyle w:val="TableParagraph"/>
              <w:spacing w:line="256" w:lineRule="exact"/>
              <w:ind w:right="146"/>
              <w:jc w:val="right"/>
              <w:rPr>
                <w:sz w:val="24"/>
              </w:rPr>
            </w:pPr>
            <w:r>
              <w:rPr>
                <w:spacing w:val="-2"/>
                <w:sz w:val="24"/>
              </w:rPr>
              <w:t>0.446248</w:t>
            </w:r>
          </w:p>
        </w:tc>
        <w:tc>
          <w:tcPr>
            <w:tcW w:w="3028" w:type="dxa"/>
          </w:tcPr>
          <w:p>
            <w:pPr>
              <w:pStyle w:val="TableParagraph"/>
              <w:spacing w:line="256" w:lineRule="exact"/>
              <w:ind w:left="151"/>
              <w:rPr>
                <w:sz w:val="24"/>
              </w:rPr>
            </w:pPr>
            <w:r>
              <w:rPr>
                <w:sz w:val="24"/>
              </w:rPr>
              <w:t>S.D.</w:t>
            </w:r>
            <w:r>
              <w:rPr>
                <w:spacing w:val="-4"/>
                <w:sz w:val="24"/>
              </w:rPr>
              <w:t> </w:t>
            </w:r>
            <w:r>
              <w:rPr>
                <w:sz w:val="24"/>
              </w:rPr>
              <w:t>dependent</w:t>
            </w:r>
            <w:r>
              <w:rPr>
                <w:spacing w:val="-2"/>
                <w:sz w:val="24"/>
              </w:rPr>
              <w:t> </w:t>
            </w:r>
            <w:r>
              <w:rPr>
                <w:spacing w:val="-5"/>
                <w:sz w:val="24"/>
              </w:rPr>
              <w:t>var</w:t>
            </w:r>
          </w:p>
        </w:tc>
        <w:tc>
          <w:tcPr>
            <w:tcW w:w="1798" w:type="dxa"/>
          </w:tcPr>
          <w:p>
            <w:pPr>
              <w:pStyle w:val="TableParagraph"/>
              <w:spacing w:line="256" w:lineRule="exact"/>
              <w:ind w:right="25"/>
              <w:jc w:val="right"/>
              <w:rPr>
                <w:sz w:val="24"/>
              </w:rPr>
            </w:pPr>
            <w:r>
              <w:rPr>
                <w:spacing w:val="-2"/>
                <w:sz w:val="24"/>
              </w:rPr>
              <w:t>0.975560</w:t>
            </w:r>
          </w:p>
        </w:tc>
      </w:tr>
      <w:tr>
        <w:trPr>
          <w:trHeight w:val="276" w:hRule="atLeast"/>
        </w:trPr>
        <w:tc>
          <w:tcPr>
            <w:tcW w:w="2771" w:type="dxa"/>
          </w:tcPr>
          <w:p>
            <w:pPr>
              <w:pStyle w:val="TableParagraph"/>
              <w:spacing w:line="256" w:lineRule="exact"/>
              <w:ind w:left="43"/>
              <w:rPr>
                <w:sz w:val="24"/>
              </w:rPr>
            </w:pPr>
            <w:r>
              <w:rPr>
                <w:sz w:val="24"/>
              </w:rPr>
              <w:t>S.E. of</w:t>
            </w:r>
            <w:r>
              <w:rPr>
                <w:spacing w:val="-1"/>
                <w:sz w:val="24"/>
              </w:rPr>
              <w:t> </w:t>
            </w:r>
            <w:r>
              <w:rPr>
                <w:spacing w:val="-2"/>
                <w:sz w:val="24"/>
              </w:rPr>
              <w:t>regression</w:t>
            </w:r>
          </w:p>
        </w:tc>
        <w:tc>
          <w:tcPr>
            <w:tcW w:w="1946" w:type="dxa"/>
          </w:tcPr>
          <w:p>
            <w:pPr>
              <w:pStyle w:val="TableParagraph"/>
              <w:spacing w:line="256" w:lineRule="exact"/>
              <w:ind w:right="146"/>
              <w:jc w:val="right"/>
              <w:rPr>
                <w:sz w:val="24"/>
              </w:rPr>
            </w:pPr>
            <w:r>
              <w:rPr>
                <w:spacing w:val="-2"/>
                <w:sz w:val="24"/>
              </w:rPr>
              <w:t>0.725959</w:t>
            </w:r>
          </w:p>
        </w:tc>
        <w:tc>
          <w:tcPr>
            <w:tcW w:w="3028" w:type="dxa"/>
          </w:tcPr>
          <w:p>
            <w:pPr>
              <w:pStyle w:val="TableParagraph"/>
              <w:spacing w:line="256" w:lineRule="exact"/>
              <w:ind w:left="151"/>
              <w:rPr>
                <w:sz w:val="24"/>
              </w:rPr>
            </w:pPr>
            <w:r>
              <w:rPr>
                <w:sz w:val="24"/>
              </w:rPr>
              <w:t>Akaike</w:t>
            </w:r>
            <w:r>
              <w:rPr>
                <w:spacing w:val="-4"/>
                <w:sz w:val="24"/>
              </w:rPr>
              <w:t> </w:t>
            </w:r>
            <w:r>
              <w:rPr>
                <w:sz w:val="24"/>
              </w:rPr>
              <w:t>info</w:t>
            </w:r>
            <w:r>
              <w:rPr>
                <w:spacing w:val="-1"/>
                <w:sz w:val="24"/>
              </w:rPr>
              <w:t> </w:t>
            </w:r>
            <w:r>
              <w:rPr>
                <w:spacing w:val="-2"/>
                <w:sz w:val="24"/>
              </w:rPr>
              <w:t>criterion</w:t>
            </w:r>
          </w:p>
        </w:tc>
        <w:tc>
          <w:tcPr>
            <w:tcW w:w="1798" w:type="dxa"/>
          </w:tcPr>
          <w:p>
            <w:pPr>
              <w:pStyle w:val="TableParagraph"/>
              <w:spacing w:line="256" w:lineRule="exact"/>
              <w:ind w:right="25"/>
              <w:jc w:val="right"/>
              <w:rPr>
                <w:sz w:val="24"/>
              </w:rPr>
            </w:pPr>
            <w:r>
              <w:rPr>
                <w:spacing w:val="-2"/>
                <w:sz w:val="24"/>
              </w:rPr>
              <w:t>2.481062</w:t>
            </w:r>
          </w:p>
        </w:tc>
      </w:tr>
      <w:tr>
        <w:trPr>
          <w:trHeight w:val="276" w:hRule="atLeast"/>
        </w:trPr>
        <w:tc>
          <w:tcPr>
            <w:tcW w:w="2771" w:type="dxa"/>
          </w:tcPr>
          <w:p>
            <w:pPr>
              <w:pStyle w:val="TableParagraph"/>
              <w:spacing w:line="256" w:lineRule="exact"/>
              <w:ind w:left="43"/>
              <w:rPr>
                <w:sz w:val="24"/>
              </w:rPr>
            </w:pPr>
            <w:r>
              <w:rPr>
                <w:sz w:val="24"/>
              </w:rPr>
              <w:t>Sum</w:t>
            </w:r>
            <w:r>
              <w:rPr>
                <w:spacing w:val="-2"/>
                <w:sz w:val="24"/>
              </w:rPr>
              <w:t> </w:t>
            </w:r>
            <w:r>
              <w:rPr>
                <w:sz w:val="24"/>
              </w:rPr>
              <w:t>squared</w:t>
            </w:r>
            <w:r>
              <w:rPr>
                <w:spacing w:val="-1"/>
                <w:sz w:val="24"/>
              </w:rPr>
              <w:t> </w:t>
            </w:r>
            <w:r>
              <w:rPr>
                <w:spacing w:val="-4"/>
                <w:sz w:val="24"/>
              </w:rPr>
              <w:t>resid</w:t>
            </w:r>
          </w:p>
        </w:tc>
        <w:tc>
          <w:tcPr>
            <w:tcW w:w="1946" w:type="dxa"/>
          </w:tcPr>
          <w:p>
            <w:pPr>
              <w:pStyle w:val="TableParagraph"/>
              <w:spacing w:line="256" w:lineRule="exact"/>
              <w:ind w:right="146"/>
              <w:jc w:val="right"/>
              <w:rPr>
                <w:sz w:val="24"/>
              </w:rPr>
            </w:pPr>
            <w:r>
              <w:rPr>
                <w:spacing w:val="-2"/>
                <w:sz w:val="24"/>
              </w:rPr>
              <w:t>3.162095</w:t>
            </w:r>
          </w:p>
        </w:tc>
        <w:tc>
          <w:tcPr>
            <w:tcW w:w="3028" w:type="dxa"/>
          </w:tcPr>
          <w:p>
            <w:pPr>
              <w:pStyle w:val="TableParagraph"/>
              <w:spacing w:line="256" w:lineRule="exact"/>
              <w:ind w:left="151"/>
              <w:rPr>
                <w:sz w:val="24"/>
              </w:rPr>
            </w:pPr>
            <w:r>
              <w:rPr>
                <w:sz w:val="24"/>
              </w:rPr>
              <w:t>Schwarz</w:t>
            </w:r>
            <w:r>
              <w:rPr>
                <w:spacing w:val="-5"/>
                <w:sz w:val="24"/>
              </w:rPr>
              <w:t> </w:t>
            </w:r>
            <w:r>
              <w:rPr>
                <w:spacing w:val="-2"/>
                <w:sz w:val="24"/>
              </w:rPr>
              <w:t>criterion</w:t>
            </w:r>
          </w:p>
        </w:tc>
        <w:tc>
          <w:tcPr>
            <w:tcW w:w="1798" w:type="dxa"/>
          </w:tcPr>
          <w:p>
            <w:pPr>
              <w:pStyle w:val="TableParagraph"/>
              <w:spacing w:line="256" w:lineRule="exact"/>
              <w:ind w:right="25"/>
              <w:jc w:val="right"/>
              <w:rPr>
                <w:sz w:val="24"/>
              </w:rPr>
            </w:pPr>
            <w:r>
              <w:rPr>
                <w:spacing w:val="-2"/>
                <w:sz w:val="24"/>
              </w:rPr>
              <w:t>2.905892</w:t>
            </w:r>
          </w:p>
        </w:tc>
      </w:tr>
      <w:tr>
        <w:trPr>
          <w:trHeight w:val="276" w:hRule="atLeast"/>
        </w:trPr>
        <w:tc>
          <w:tcPr>
            <w:tcW w:w="2771" w:type="dxa"/>
          </w:tcPr>
          <w:p>
            <w:pPr>
              <w:pStyle w:val="TableParagraph"/>
              <w:spacing w:line="256" w:lineRule="exact"/>
              <w:ind w:left="43"/>
              <w:rPr>
                <w:sz w:val="24"/>
              </w:rPr>
            </w:pPr>
            <w:r>
              <w:rPr>
                <w:sz w:val="24"/>
              </w:rPr>
              <w:t>Log</w:t>
            </w:r>
            <w:r>
              <w:rPr>
                <w:spacing w:val="-4"/>
                <w:sz w:val="24"/>
              </w:rPr>
              <w:t> </w:t>
            </w:r>
            <w:r>
              <w:rPr>
                <w:spacing w:val="-2"/>
                <w:sz w:val="24"/>
              </w:rPr>
              <w:t>likelihood</w:t>
            </w:r>
          </w:p>
        </w:tc>
        <w:tc>
          <w:tcPr>
            <w:tcW w:w="1946" w:type="dxa"/>
          </w:tcPr>
          <w:p>
            <w:pPr>
              <w:pStyle w:val="TableParagraph"/>
              <w:spacing w:line="256" w:lineRule="exact"/>
              <w:ind w:right="146"/>
              <w:jc w:val="right"/>
              <w:rPr>
                <w:sz w:val="24"/>
              </w:rPr>
            </w:pPr>
            <w:r>
              <w:rPr>
                <w:spacing w:val="-2"/>
                <w:sz w:val="24"/>
              </w:rPr>
              <w:t>-9.607963</w:t>
            </w:r>
          </w:p>
        </w:tc>
        <w:tc>
          <w:tcPr>
            <w:tcW w:w="3028" w:type="dxa"/>
          </w:tcPr>
          <w:p>
            <w:pPr>
              <w:pStyle w:val="TableParagraph"/>
              <w:spacing w:line="256" w:lineRule="exact"/>
              <w:ind w:left="151"/>
              <w:rPr>
                <w:sz w:val="24"/>
              </w:rPr>
            </w:pPr>
            <w:r>
              <w:rPr>
                <w:spacing w:val="-2"/>
                <w:sz w:val="24"/>
              </w:rPr>
              <w:t>F-statistic</w:t>
            </w:r>
          </w:p>
        </w:tc>
        <w:tc>
          <w:tcPr>
            <w:tcW w:w="1798" w:type="dxa"/>
          </w:tcPr>
          <w:p>
            <w:pPr>
              <w:pStyle w:val="TableParagraph"/>
              <w:spacing w:line="256" w:lineRule="exact"/>
              <w:ind w:right="25"/>
              <w:jc w:val="right"/>
              <w:rPr>
                <w:sz w:val="24"/>
              </w:rPr>
            </w:pPr>
            <w:r>
              <w:rPr>
                <w:spacing w:val="-2"/>
                <w:sz w:val="24"/>
              </w:rPr>
              <w:t>2.410257</w:t>
            </w:r>
          </w:p>
        </w:tc>
      </w:tr>
      <w:tr>
        <w:trPr>
          <w:trHeight w:val="311" w:hRule="atLeast"/>
        </w:trPr>
        <w:tc>
          <w:tcPr>
            <w:tcW w:w="2771" w:type="dxa"/>
            <w:tcBorders>
              <w:bottom w:val="double" w:sz="6" w:space="0" w:color="000000"/>
            </w:tcBorders>
          </w:tcPr>
          <w:p>
            <w:pPr>
              <w:pStyle w:val="TableParagraph"/>
              <w:spacing w:line="271" w:lineRule="exact"/>
              <w:ind w:left="43"/>
              <w:rPr>
                <w:sz w:val="24"/>
              </w:rPr>
            </w:pPr>
            <w:r>
              <w:rPr>
                <w:sz w:val="24"/>
              </w:rPr>
              <w:t>Durbin-Watson</w:t>
            </w:r>
            <w:r>
              <w:rPr>
                <w:spacing w:val="-3"/>
                <w:sz w:val="24"/>
              </w:rPr>
              <w:t> </w:t>
            </w:r>
            <w:r>
              <w:rPr>
                <w:spacing w:val="-4"/>
                <w:sz w:val="24"/>
              </w:rPr>
              <w:t>stat</w:t>
            </w:r>
          </w:p>
        </w:tc>
        <w:tc>
          <w:tcPr>
            <w:tcW w:w="1946" w:type="dxa"/>
          </w:tcPr>
          <w:p>
            <w:pPr>
              <w:pStyle w:val="TableParagraph"/>
              <w:spacing w:line="271" w:lineRule="exact"/>
              <w:ind w:right="146"/>
              <w:jc w:val="right"/>
              <w:rPr>
                <w:sz w:val="24"/>
              </w:rPr>
            </w:pPr>
            <w:r>
              <w:rPr>
                <w:spacing w:val="-2"/>
                <w:sz w:val="24"/>
              </w:rPr>
              <w:t>2.058431</w:t>
            </w:r>
          </w:p>
        </w:tc>
        <w:tc>
          <w:tcPr>
            <w:tcW w:w="3028" w:type="dxa"/>
            <w:tcBorders>
              <w:bottom w:val="double" w:sz="6" w:space="0" w:color="000000"/>
            </w:tcBorders>
          </w:tcPr>
          <w:p>
            <w:pPr>
              <w:pStyle w:val="TableParagraph"/>
              <w:spacing w:line="271" w:lineRule="exact"/>
              <w:ind w:left="151"/>
              <w:rPr>
                <w:sz w:val="24"/>
              </w:rPr>
            </w:pPr>
            <w:r>
              <w:rPr>
                <w:spacing w:val="-2"/>
                <w:sz w:val="24"/>
              </w:rPr>
              <w:t>Prob(F-statistic)</w:t>
            </w:r>
          </w:p>
        </w:tc>
        <w:tc>
          <w:tcPr>
            <w:tcW w:w="1798" w:type="dxa"/>
          </w:tcPr>
          <w:p>
            <w:pPr>
              <w:pStyle w:val="TableParagraph"/>
              <w:spacing w:line="271" w:lineRule="exact"/>
              <w:ind w:right="25"/>
              <w:jc w:val="right"/>
              <w:rPr>
                <w:sz w:val="24"/>
              </w:rPr>
            </w:pPr>
            <w:r>
              <w:rPr>
                <w:spacing w:val="-2"/>
                <w:sz w:val="24"/>
              </w:rPr>
              <w:t>0.149897</w:t>
            </w:r>
          </w:p>
        </w:tc>
      </w:tr>
    </w:tbl>
    <w:p>
      <w:pPr>
        <w:pStyle w:val="BodyText"/>
        <w:spacing w:before="14"/>
        <w:ind w:left="711"/>
        <w:jc w:val="both"/>
      </w:pPr>
      <w:r>
        <w:rPr>
          <w:b/>
        </w:rPr>
        <w:t>Source:</w:t>
      </w:r>
      <w:r>
        <w:rPr>
          <w:b/>
          <w:spacing w:val="-2"/>
        </w:rPr>
        <w:t> </w:t>
      </w:r>
      <w:r>
        <w:rPr/>
        <w:t>Computation,</w:t>
      </w:r>
      <w:r>
        <w:rPr>
          <w:spacing w:val="-1"/>
        </w:rPr>
        <w:t> </w:t>
      </w:r>
      <w:r>
        <w:rPr/>
        <w:t>using</w:t>
      </w:r>
      <w:r>
        <w:rPr>
          <w:spacing w:val="-3"/>
        </w:rPr>
        <w:t> </w:t>
      </w:r>
      <w:r>
        <w:rPr/>
        <w:t>E-view</w:t>
      </w:r>
      <w:r>
        <w:rPr>
          <w:spacing w:val="-2"/>
        </w:rPr>
        <w:t> </w:t>
      </w:r>
      <w:r>
        <w:rPr/>
        <w:t>statistical</w:t>
      </w:r>
      <w:r>
        <w:rPr>
          <w:spacing w:val="-1"/>
        </w:rPr>
        <w:t> </w:t>
      </w:r>
      <w:r>
        <w:rPr>
          <w:spacing w:val="-2"/>
        </w:rPr>
        <w:t>package</w:t>
      </w:r>
    </w:p>
    <w:p>
      <w:pPr>
        <w:pStyle w:val="BodyText"/>
        <w:spacing w:before="1"/>
      </w:pPr>
    </w:p>
    <w:p>
      <w:pPr>
        <w:pStyle w:val="BodyText"/>
        <w:spacing w:line="480" w:lineRule="auto"/>
        <w:ind w:left="711" w:right="471"/>
        <w:jc w:val="both"/>
        <w:rPr>
          <w:rFonts w:ascii="Cambria"/>
        </w:rPr>
      </w:pPr>
      <w:r>
        <w:rPr>
          <w:rFonts w:ascii="Cambria"/>
        </w:rPr>
        <w:t>The</w:t>
      </w:r>
      <w:r>
        <w:rPr>
          <w:rFonts w:ascii="Cambria"/>
          <w:spacing w:val="-1"/>
        </w:rPr>
        <w:t> </w:t>
      </w:r>
      <w:r>
        <w:rPr>
          <w:rFonts w:ascii="Cambria"/>
        </w:rPr>
        <w:t>short-run</w:t>
      </w:r>
      <w:r>
        <w:rPr>
          <w:rFonts w:ascii="Cambria"/>
          <w:spacing w:val="-1"/>
        </w:rPr>
        <w:t> </w:t>
      </w:r>
      <w:r>
        <w:rPr>
          <w:rFonts w:ascii="Cambria"/>
        </w:rPr>
        <w:t>relationship between</w:t>
      </w:r>
      <w:r>
        <w:rPr>
          <w:rFonts w:ascii="Cambria"/>
          <w:spacing w:val="-1"/>
        </w:rPr>
        <w:t> </w:t>
      </w:r>
      <w:r>
        <w:rPr>
          <w:rFonts w:ascii="Cambria"/>
        </w:rPr>
        <w:t>capital</w:t>
      </w:r>
      <w:r>
        <w:rPr>
          <w:rFonts w:ascii="Cambria"/>
          <w:spacing w:val="-1"/>
        </w:rPr>
        <w:t> </w:t>
      </w:r>
      <w:r>
        <w:rPr>
          <w:rFonts w:ascii="Cambria"/>
        </w:rPr>
        <w:t>flight</w:t>
      </w:r>
      <w:r>
        <w:rPr>
          <w:rFonts w:ascii="Cambria"/>
          <w:spacing w:val="-1"/>
        </w:rPr>
        <w:t> </w:t>
      </w:r>
      <w:r>
        <w:rPr>
          <w:rFonts w:ascii="Cambria"/>
        </w:rPr>
        <w:t>and</w:t>
      </w:r>
      <w:r>
        <w:rPr>
          <w:rFonts w:ascii="Cambria"/>
          <w:spacing w:val="-3"/>
        </w:rPr>
        <w:t> </w:t>
      </w:r>
      <w:r>
        <w:rPr>
          <w:rFonts w:ascii="Cambria"/>
        </w:rPr>
        <w:t>the</w:t>
      </w:r>
      <w:r>
        <w:rPr>
          <w:rFonts w:ascii="Cambria"/>
          <w:spacing w:val="-1"/>
        </w:rPr>
        <w:t> </w:t>
      </w:r>
      <w:r>
        <w:rPr>
          <w:rFonts w:ascii="Cambria"/>
        </w:rPr>
        <w:t>explanatory</w:t>
      </w:r>
      <w:r>
        <w:rPr>
          <w:rFonts w:ascii="Cambria"/>
          <w:spacing w:val="-2"/>
        </w:rPr>
        <w:t> </w:t>
      </w:r>
      <w:r>
        <w:rPr>
          <w:rFonts w:ascii="Cambria"/>
        </w:rPr>
        <w:t>variable in</w:t>
      </w:r>
      <w:r>
        <w:rPr>
          <w:rFonts w:ascii="Cambria"/>
          <w:spacing w:val="-1"/>
        </w:rPr>
        <w:t> </w:t>
      </w:r>
      <w:r>
        <w:rPr>
          <w:rFonts w:ascii="Cambria"/>
        </w:rPr>
        <w:t>the</w:t>
      </w:r>
      <w:r>
        <w:rPr>
          <w:rFonts w:ascii="Cambria"/>
          <w:spacing w:val="-1"/>
        </w:rPr>
        <w:t> </w:t>
      </w:r>
      <w:r>
        <w:rPr>
          <w:rFonts w:ascii="Cambria"/>
        </w:rPr>
        <w:t>Post-SAP</w:t>
      </w:r>
      <w:r>
        <w:rPr>
          <w:rFonts w:ascii="Cambria"/>
          <w:spacing w:val="-1"/>
        </w:rPr>
        <w:t> </w:t>
      </w:r>
      <w:r>
        <w:rPr>
          <w:rFonts w:ascii="Cambria"/>
        </w:rPr>
        <w:t>era can be expressed mathematically below:</w:t>
      </w:r>
    </w:p>
    <w:p>
      <w:pPr>
        <w:spacing w:after="0" w:line="480" w:lineRule="auto"/>
        <w:jc w:val="both"/>
        <w:rPr>
          <w:rFonts w:ascii="Cambria"/>
        </w:rPr>
        <w:sectPr>
          <w:pgSz w:w="11910" w:h="16840"/>
          <w:pgMar w:header="0" w:footer="979" w:top="1360" w:bottom="1240" w:left="280" w:right="0"/>
        </w:sectPr>
      </w:pPr>
    </w:p>
    <w:p>
      <w:pPr>
        <w:tabs>
          <w:tab w:pos="8082" w:val="left" w:leader="dot"/>
        </w:tabs>
        <w:spacing w:line="542" w:lineRule="auto" w:before="81"/>
        <w:ind w:left="1705" w:right="585" w:hanging="995"/>
        <w:jc w:val="left"/>
        <w:rPr>
          <w:rFonts w:ascii="Arial" w:hAnsi="Arial"/>
          <w:b/>
          <w:sz w:val="21"/>
        </w:rPr>
      </w:pPr>
      <w:r>
        <w:rPr>
          <w:rFonts w:ascii="Cambria" w:hAnsi="Cambria"/>
          <w:b/>
          <w:i/>
          <w:position w:val="1"/>
          <w:sz w:val="24"/>
        </w:rPr>
        <w:t>KFM</w:t>
      </w:r>
      <w:r>
        <w:rPr>
          <w:rFonts w:ascii="Cambria" w:hAnsi="Cambria"/>
          <w:b/>
          <w:i/>
          <w:sz w:val="16"/>
        </w:rPr>
        <w:t>PRESAP</w:t>
      </w:r>
      <w:r>
        <w:rPr>
          <w:rFonts w:ascii="Cambria" w:hAnsi="Cambria"/>
          <w:b/>
          <w:i/>
          <w:spacing w:val="31"/>
          <w:sz w:val="16"/>
        </w:rPr>
        <w:t> </w:t>
      </w:r>
      <w:r>
        <w:rPr>
          <w:rFonts w:ascii="Cambria" w:hAnsi="Cambria"/>
          <w:b/>
          <w:i/>
          <w:position w:val="1"/>
          <w:sz w:val="24"/>
        </w:rPr>
        <w:t>= 3. 259558 + </w:t>
      </w:r>
      <w:r>
        <w:rPr>
          <w:b/>
          <w:i/>
          <w:position w:val="1"/>
          <w:sz w:val="24"/>
        </w:rPr>
        <w:t>0.100719</w:t>
      </w:r>
      <w:r>
        <w:rPr>
          <w:rFonts w:ascii="Cambria" w:hAnsi="Cambria"/>
          <w:b/>
          <w:i/>
          <w:sz w:val="16"/>
        </w:rPr>
        <w:t>EXTDEBT</w:t>
      </w:r>
      <w:r>
        <w:rPr>
          <w:rFonts w:ascii="Cambria" w:hAnsi="Cambria"/>
          <w:b/>
          <w:i/>
          <w:spacing w:val="30"/>
          <w:sz w:val="16"/>
        </w:rPr>
        <w:t> </w:t>
      </w:r>
      <w:r>
        <w:rPr>
          <w:rFonts w:ascii="Cambria" w:hAnsi="Cambria"/>
          <w:b/>
          <w:i/>
          <w:position w:val="1"/>
          <w:sz w:val="24"/>
        </w:rPr>
        <w:t>– 1.439851</w:t>
      </w:r>
      <w:r>
        <w:rPr>
          <w:rFonts w:ascii="Cambria" w:hAnsi="Cambria"/>
          <w:b/>
          <w:i/>
          <w:sz w:val="16"/>
        </w:rPr>
        <w:t>DOP </w:t>
      </w:r>
      <w:r>
        <w:rPr>
          <w:rFonts w:ascii="Cambria" w:hAnsi="Cambria"/>
          <w:b/>
          <w:i/>
          <w:position w:val="1"/>
          <w:sz w:val="24"/>
        </w:rPr>
        <w:t>- 0.300385</w:t>
      </w:r>
      <w:r>
        <w:rPr>
          <w:rFonts w:ascii="Cambria" w:hAnsi="Cambria"/>
          <w:b/>
          <w:i/>
          <w:sz w:val="16"/>
        </w:rPr>
        <w:t>INF</w:t>
      </w:r>
      <w:r>
        <w:rPr>
          <w:rFonts w:ascii="Cambria" w:hAnsi="Cambria"/>
          <w:b/>
          <w:i/>
          <w:spacing w:val="31"/>
          <w:sz w:val="16"/>
        </w:rPr>
        <w:t> </w:t>
      </w:r>
      <w:r>
        <w:rPr>
          <w:rFonts w:ascii="Cambria" w:hAnsi="Cambria"/>
          <w:b/>
          <w:i/>
          <w:position w:val="1"/>
          <w:sz w:val="24"/>
        </w:rPr>
        <w:t>+ 0.158665</w:t>
      </w:r>
      <w:r>
        <w:rPr>
          <w:rFonts w:ascii="Cambria" w:hAnsi="Cambria"/>
          <w:b/>
          <w:i/>
          <w:sz w:val="16"/>
        </w:rPr>
        <w:t>GCF + </w:t>
      </w:r>
      <w:r>
        <w:rPr>
          <w:rFonts w:ascii="Cambria" w:hAnsi="Cambria"/>
          <w:b/>
          <w:i/>
          <w:position w:val="1"/>
          <w:sz w:val="24"/>
        </w:rPr>
        <w:t>1.558871</w:t>
      </w:r>
      <w:r>
        <w:rPr>
          <w:rFonts w:ascii="Cambria" w:hAnsi="Cambria"/>
          <w:b/>
          <w:i/>
          <w:sz w:val="16"/>
        </w:rPr>
        <w:t>DR</w:t>
      </w:r>
      <w:r>
        <w:rPr>
          <w:rFonts w:ascii="Cambria" w:hAnsi="Cambria"/>
          <w:b/>
          <w:i/>
          <w:spacing w:val="30"/>
          <w:sz w:val="16"/>
        </w:rPr>
        <w:t> </w:t>
      </w:r>
      <w:r>
        <w:rPr>
          <w:rFonts w:ascii="Cambria" w:hAnsi="Cambria"/>
          <w:b/>
          <w:i/>
          <w:position w:val="1"/>
          <w:sz w:val="24"/>
        </w:rPr>
        <w:t>- </w:t>
      </w:r>
      <w:r>
        <w:rPr>
          <w:rFonts w:ascii="Cambria" w:hAnsi="Cambria"/>
          <w:b/>
          <w:i/>
          <w:position w:val="2"/>
          <w:sz w:val="24"/>
        </w:rPr>
        <w:t>0.453457</w:t>
      </w:r>
      <w:r>
        <w:rPr>
          <w:rFonts w:ascii="Cambria" w:hAnsi="Cambria"/>
          <w:b/>
          <w:i/>
          <w:position w:val="1"/>
          <w:sz w:val="16"/>
        </w:rPr>
        <w:t>PRIVCR </w:t>
      </w:r>
      <w:r>
        <w:rPr>
          <w:rFonts w:ascii="Cambria" w:hAnsi="Cambria"/>
          <w:b/>
          <w:i/>
          <w:position w:val="2"/>
          <w:sz w:val="24"/>
        </w:rPr>
        <w:t>- 0.165529</w:t>
      </w:r>
      <w:r>
        <w:rPr>
          <w:rFonts w:ascii="Cambria" w:hAnsi="Cambria"/>
          <w:b/>
          <w:i/>
          <w:position w:val="1"/>
          <w:sz w:val="16"/>
        </w:rPr>
        <w:t>USIRD</w:t>
      </w:r>
      <w:r>
        <w:rPr>
          <w:rFonts w:ascii="Cambria" w:hAnsi="Cambria"/>
          <w:b/>
          <w:i/>
          <w:spacing w:val="80"/>
          <w:w w:val="150"/>
          <w:position w:val="1"/>
          <w:sz w:val="16"/>
        </w:rPr>
        <w:t> </w:t>
      </w:r>
      <w:r>
        <w:rPr>
          <w:rFonts w:ascii="Arial" w:hAnsi="Arial"/>
          <w:b/>
          <w:i/>
          <w:position w:val="2"/>
          <w:sz w:val="24"/>
        </w:rPr>
        <w:t>+ 0.455421</w:t>
      </w:r>
      <w:r>
        <w:rPr>
          <w:rFonts w:ascii="Arial" w:hAnsi="Arial"/>
          <w:b/>
          <w:i/>
          <w:position w:val="1"/>
          <w:sz w:val="16"/>
        </w:rPr>
        <w:t>GOCE</w:t>
        <w:tab/>
      </w:r>
      <w:r>
        <w:rPr>
          <w:rFonts w:ascii="Arial" w:hAnsi="Arial"/>
          <w:b/>
          <w:i/>
          <w:spacing w:val="-2"/>
          <w:position w:val="1"/>
          <w:sz w:val="16"/>
        </w:rPr>
        <w:t>(</w:t>
      </w:r>
      <w:r>
        <w:rPr>
          <w:rFonts w:ascii="Arial" w:hAnsi="Arial"/>
          <w:b/>
          <w:spacing w:val="-2"/>
          <w:sz w:val="21"/>
        </w:rPr>
        <w:t>4.6)</w:t>
      </w:r>
    </w:p>
    <w:p>
      <w:pPr>
        <w:pStyle w:val="BodyText"/>
        <w:spacing w:line="480" w:lineRule="auto" w:before="15"/>
        <w:ind w:left="711" w:right="475"/>
        <w:jc w:val="both"/>
      </w:pPr>
      <w:r>
        <w:rPr/>
        <w:t>The above result shows the summary</w:t>
      </w:r>
      <w:r>
        <w:rPr>
          <w:spacing w:val="-4"/>
        </w:rPr>
        <w:t> </w:t>
      </w:r>
      <w:r>
        <w:rPr/>
        <w:t>of the short-run analysis for</w:t>
      </w:r>
      <w:r>
        <w:rPr>
          <w:spacing w:val="-1"/>
        </w:rPr>
        <w:t> </w:t>
      </w:r>
      <w:r>
        <w:rPr/>
        <w:t>the Pre-SAP era, just like the World Bank and Erbe (1985), the Morgan Guaranty Trust of 1986 approach gave a similar probability values for the explanatory variables. The probability values show that none</w:t>
      </w:r>
    </w:p>
    <w:p>
      <w:pPr>
        <w:pStyle w:val="BodyText"/>
      </w:pPr>
    </w:p>
    <w:p>
      <w:pPr>
        <w:pStyle w:val="BodyText"/>
      </w:pPr>
    </w:p>
    <w:p>
      <w:pPr>
        <w:pStyle w:val="BodyText"/>
        <w:spacing w:line="480" w:lineRule="auto"/>
        <w:ind w:left="711" w:right="469"/>
        <w:jc w:val="both"/>
      </w:pPr>
      <w:r>
        <w:rPr/>
        <w:t>of the variable is significant in determining the behaviour of the dependent variable during the Post- SAP era. This is because all the probability values of the variables are greater than 5 %.</w:t>
      </w:r>
    </w:p>
    <w:p>
      <w:pPr>
        <w:pStyle w:val="BodyText"/>
        <w:spacing w:line="480" w:lineRule="auto" w:before="2"/>
        <w:ind w:left="711" w:right="474"/>
        <w:jc w:val="both"/>
      </w:pPr>
      <w:r>
        <w:rPr>
          <w:rFonts w:ascii="Cambria"/>
        </w:rPr>
        <w:t>The results however</w:t>
      </w:r>
      <w:r>
        <w:rPr>
          <w:rFonts w:ascii="Cambria"/>
          <w:spacing w:val="-1"/>
        </w:rPr>
        <w:t> </w:t>
      </w:r>
      <w:r>
        <w:rPr>
          <w:rFonts w:ascii="Cambria"/>
        </w:rPr>
        <w:t>showed that the constant parameter</w:t>
      </w:r>
      <w:r>
        <w:rPr>
          <w:rFonts w:ascii="Cambria"/>
          <w:spacing w:val="-1"/>
        </w:rPr>
        <w:t> </w:t>
      </w:r>
      <w:r>
        <w:rPr>
          <w:rFonts w:ascii="Cambria"/>
        </w:rPr>
        <w:t>is directly</w:t>
      </w:r>
      <w:r>
        <w:rPr>
          <w:rFonts w:ascii="Cambria"/>
          <w:spacing w:val="-1"/>
        </w:rPr>
        <w:t> </w:t>
      </w:r>
      <w:r>
        <w:rPr>
          <w:rFonts w:ascii="Cambria"/>
        </w:rPr>
        <w:t>related</w:t>
      </w:r>
      <w:r>
        <w:rPr>
          <w:rFonts w:ascii="Cambria"/>
          <w:spacing w:val="-2"/>
        </w:rPr>
        <w:t> </w:t>
      </w:r>
      <w:r>
        <w:rPr>
          <w:rFonts w:ascii="Cambria"/>
        </w:rPr>
        <w:t>with</w:t>
      </w:r>
      <w:r>
        <w:rPr>
          <w:rFonts w:ascii="Cambria"/>
          <w:spacing w:val="-1"/>
        </w:rPr>
        <w:t> </w:t>
      </w:r>
      <w:r>
        <w:rPr>
          <w:rFonts w:ascii="Cambria"/>
        </w:rPr>
        <w:t>capital flight. It has a positive coefficient of 3.259558</w:t>
      </w:r>
      <w:r>
        <w:rPr>
          <w:rFonts w:ascii="Cambria"/>
          <w:b/>
          <w:i/>
        </w:rPr>
        <w:t>. </w:t>
      </w:r>
      <w:r>
        <w:rPr>
          <w:rFonts w:ascii="Cambria"/>
        </w:rPr>
        <w:t>This implies that if all explanatory variables are held constant in the short-run, capital flight will increase by 3.259558 </w:t>
      </w:r>
      <w:r>
        <w:rPr/>
        <w:t>units.</w:t>
      </w:r>
    </w:p>
    <w:p>
      <w:pPr>
        <w:pStyle w:val="BodyText"/>
        <w:spacing w:line="480" w:lineRule="auto"/>
        <w:ind w:left="711" w:right="469"/>
        <w:jc w:val="both"/>
      </w:pPr>
      <w:r>
        <w:rPr>
          <w:rFonts w:ascii="Cambria" w:hAnsi="Cambria"/>
        </w:rPr>
        <w:t>Again, Change in External Debt (δEXTDEBT) showed a positive coefficient of </w:t>
      </w:r>
      <w:r>
        <w:rPr>
          <w:b/>
        </w:rPr>
        <w:t>0.100719 </w:t>
      </w:r>
      <w:r>
        <w:rPr>
          <w:rFonts w:ascii="Cambria" w:hAnsi="Cambria"/>
        </w:rPr>
        <w:t>which implies that a unit increase in the level of change in external debt will increase the value of capital flight by </w:t>
      </w:r>
      <w:r>
        <w:rPr>
          <w:b/>
        </w:rPr>
        <w:t>0.100719 </w:t>
      </w:r>
      <w:r>
        <w:rPr>
          <w:rFonts w:ascii="Cambria" w:hAnsi="Cambria"/>
        </w:rPr>
        <w:t>units. Degree of openness has a coefficient of negative 1.439851</w:t>
      </w:r>
      <w:r>
        <w:rPr>
          <w:rFonts w:ascii="Cambria" w:hAnsi="Cambria"/>
          <w:b/>
          <w:i/>
        </w:rPr>
        <w:t>.</w:t>
      </w:r>
      <w:r>
        <w:rPr>
          <w:rFonts w:ascii="Cambria" w:hAnsi="Cambria"/>
          <w:b/>
          <w:i/>
          <w:spacing w:val="40"/>
        </w:rPr>
        <w:t> </w:t>
      </w:r>
      <w:r>
        <w:rPr>
          <w:rFonts w:ascii="Cambria" w:hAnsi="Cambria"/>
        </w:rPr>
        <w:t>The inflation rate on the other hand showed a negative relationship with capital flight with a value of </w:t>
      </w:r>
      <w:r>
        <w:rPr>
          <w:rFonts w:ascii="Cambria" w:hAnsi="Cambria"/>
          <w:b/>
        </w:rPr>
        <w:t>0.300385</w:t>
      </w:r>
      <w:r>
        <w:rPr/>
        <w:t>. Equally, the gross capital formation shows a positive value of </w:t>
      </w:r>
      <w:r>
        <w:rPr>
          <w:rFonts w:ascii="Cambria" w:hAnsi="Cambria"/>
          <w:b/>
        </w:rPr>
        <w:t>0.158665 </w:t>
      </w:r>
      <w:r>
        <w:rPr/>
        <w:t>while the deposit rate revealed a positive value of 1.558871. This suggests that an </w:t>
      </w:r>
      <w:r>
        <w:rPr>
          <w:rFonts w:ascii="Cambria" w:hAnsi="Cambria"/>
        </w:rPr>
        <w:t>increase in deposit rate will result in </w:t>
      </w:r>
      <w:r>
        <w:rPr/>
        <w:t>1.558871</w:t>
      </w:r>
      <w:r>
        <w:rPr>
          <w:rFonts w:ascii="Cambria" w:hAnsi="Cambria"/>
        </w:rPr>
        <w:t>units increase in the rate of capital flight while the creidit to the private sector (PRIVCR) with a negative value of</w:t>
      </w:r>
      <w:r>
        <w:rPr>
          <w:rFonts w:ascii="Cambria" w:hAnsi="Cambria"/>
          <w:spacing w:val="80"/>
        </w:rPr>
        <w:t> </w:t>
      </w:r>
      <w:r>
        <w:rPr>
          <w:rFonts w:ascii="Cambria" w:hAnsi="Cambria"/>
          <w:b/>
        </w:rPr>
        <w:t>0.453457 revealed that </w:t>
      </w:r>
      <w:r>
        <w:rPr>
          <w:rFonts w:ascii="Cambria" w:hAnsi="Cambria"/>
        </w:rPr>
        <w:t>increase in credit to private sector will also cause capital flight to increase</w:t>
      </w:r>
      <w:r>
        <w:rPr>
          <w:rFonts w:ascii="Cambria" w:hAnsi="Cambria"/>
          <w:spacing w:val="40"/>
        </w:rPr>
        <w:t> </w:t>
      </w:r>
      <w:r>
        <w:rPr>
          <w:rFonts w:ascii="Cambria" w:hAnsi="Cambria"/>
        </w:rPr>
        <w:t>by </w:t>
      </w:r>
      <w:r>
        <w:rPr>
          <w:rFonts w:ascii="Cambria" w:hAnsi="Cambria"/>
          <w:b/>
        </w:rPr>
        <w:t>0.453457 </w:t>
      </w:r>
      <w:r>
        <w:rPr>
          <w:rFonts w:ascii="Cambria" w:hAnsi="Cambria"/>
        </w:rPr>
        <w:t>this is contrary to the expected result. Interest rate differential shows a negative value</w:t>
      </w:r>
      <w:r>
        <w:rPr>
          <w:rFonts w:ascii="Cambria" w:hAnsi="Cambria"/>
          <w:spacing w:val="40"/>
        </w:rPr>
        <w:t> </w:t>
      </w:r>
      <w:r>
        <w:rPr>
          <w:rFonts w:ascii="Cambria" w:hAnsi="Cambria"/>
        </w:rPr>
        <w:t>of </w:t>
      </w:r>
      <w:r>
        <w:rPr>
          <w:rFonts w:ascii="Cambria" w:hAnsi="Cambria"/>
          <w:b/>
        </w:rPr>
        <w:t>0.165529 </w:t>
      </w:r>
      <w:r>
        <w:rPr>
          <w:rFonts w:ascii="Cambria" w:hAnsi="Cambria"/>
        </w:rPr>
        <w:t>while the government current expenditure is positively related with capital flight with a value of </w:t>
      </w:r>
      <w:r>
        <w:rPr>
          <w:rFonts w:ascii="Arial" w:hAnsi="Arial"/>
          <w:b/>
        </w:rPr>
        <w:t>0.455421</w:t>
      </w:r>
      <w:r>
        <w:rPr/>
        <w:t>.</w:t>
      </w:r>
    </w:p>
    <w:p>
      <w:pPr>
        <w:pStyle w:val="BodyText"/>
        <w:spacing w:line="480" w:lineRule="auto" w:before="2"/>
        <w:ind w:left="711" w:right="469"/>
        <w:jc w:val="both"/>
        <w:rPr>
          <w:rFonts w:ascii="Cambria"/>
          <w:b/>
        </w:rPr>
      </w:pPr>
      <w:r>
        <w:rPr>
          <w:rFonts w:ascii="Cambria"/>
        </w:rPr>
        <w:t>Tthe</w:t>
      </w:r>
      <w:r>
        <w:rPr>
          <w:rFonts w:ascii="Cambria"/>
          <w:spacing w:val="-2"/>
        </w:rPr>
        <w:t> </w:t>
      </w:r>
      <w:r>
        <w:rPr>
          <w:rFonts w:ascii="Cambria"/>
        </w:rPr>
        <w:t>coefficient</w:t>
      </w:r>
      <w:r>
        <w:rPr>
          <w:rFonts w:ascii="Cambria"/>
          <w:spacing w:val="-3"/>
        </w:rPr>
        <w:t> </w:t>
      </w:r>
      <w:r>
        <w:rPr>
          <w:rFonts w:ascii="Cambria"/>
        </w:rPr>
        <w:t>of</w:t>
      </w:r>
      <w:r>
        <w:rPr>
          <w:rFonts w:ascii="Cambria"/>
          <w:spacing w:val="-1"/>
        </w:rPr>
        <w:t> </w:t>
      </w:r>
      <w:r>
        <w:rPr>
          <w:rFonts w:ascii="Cambria"/>
        </w:rPr>
        <w:t>multiple</w:t>
      </w:r>
      <w:r>
        <w:rPr>
          <w:rFonts w:ascii="Cambria"/>
          <w:spacing w:val="-2"/>
        </w:rPr>
        <w:t> </w:t>
      </w:r>
      <w:r>
        <w:rPr>
          <w:rFonts w:ascii="Cambria"/>
        </w:rPr>
        <w:t>determinants R</w:t>
      </w:r>
      <w:r>
        <w:rPr>
          <w:rFonts w:ascii="Cambria"/>
          <w:position w:val="6"/>
          <w:sz w:val="16"/>
        </w:rPr>
        <w:t>2</w:t>
      </w:r>
      <w:r>
        <w:rPr>
          <w:rFonts w:ascii="Cambria"/>
          <w:spacing w:val="-1"/>
          <w:position w:val="6"/>
          <w:sz w:val="16"/>
        </w:rPr>
        <w:t> </w:t>
      </w:r>
      <w:r>
        <w:rPr>
          <w:rFonts w:ascii="Cambria"/>
        </w:rPr>
        <w:t>of</w:t>
      </w:r>
      <w:r>
        <w:rPr>
          <w:rFonts w:ascii="Cambria"/>
          <w:spacing w:val="-1"/>
        </w:rPr>
        <w:t> </w:t>
      </w:r>
      <w:r>
        <w:rPr>
          <w:rFonts w:ascii="Cambria"/>
        </w:rPr>
        <w:t>94</w:t>
      </w:r>
      <w:r>
        <w:rPr>
          <w:sz w:val="20"/>
        </w:rPr>
        <w:t>% </w:t>
      </w:r>
      <w:r>
        <w:rPr>
          <w:rFonts w:ascii="Cambria"/>
        </w:rPr>
        <w:t>showed</w:t>
      </w:r>
      <w:r>
        <w:rPr>
          <w:rFonts w:ascii="Cambria"/>
          <w:spacing w:val="-3"/>
        </w:rPr>
        <w:t> </w:t>
      </w:r>
      <w:r>
        <w:rPr>
          <w:rFonts w:ascii="Cambria"/>
        </w:rPr>
        <w:t>that</w:t>
      </w:r>
      <w:r>
        <w:rPr>
          <w:rFonts w:ascii="Cambria"/>
          <w:spacing w:val="-2"/>
        </w:rPr>
        <w:t> </w:t>
      </w:r>
      <w:r>
        <w:rPr>
          <w:rFonts w:ascii="Cambria"/>
        </w:rPr>
        <w:t>about 76%</w:t>
      </w:r>
      <w:r>
        <w:rPr>
          <w:rFonts w:ascii="Cambria"/>
          <w:spacing w:val="-2"/>
        </w:rPr>
        <w:t> </w:t>
      </w:r>
      <w:r>
        <w:rPr>
          <w:rFonts w:ascii="Cambria"/>
        </w:rPr>
        <w:t>of</w:t>
      </w:r>
      <w:r>
        <w:rPr>
          <w:rFonts w:ascii="Cambria"/>
          <w:spacing w:val="-1"/>
        </w:rPr>
        <w:t> </w:t>
      </w:r>
      <w:r>
        <w:rPr>
          <w:rFonts w:ascii="Cambria"/>
        </w:rPr>
        <w:t>the</w:t>
      </w:r>
      <w:r>
        <w:rPr>
          <w:rFonts w:ascii="Cambria"/>
          <w:spacing w:val="-2"/>
        </w:rPr>
        <w:t> </w:t>
      </w:r>
      <w:r>
        <w:rPr>
          <w:rFonts w:ascii="Cambria"/>
        </w:rPr>
        <w:t>behaviour</w:t>
      </w:r>
      <w:r>
        <w:rPr>
          <w:rFonts w:ascii="Cambria"/>
          <w:spacing w:val="-3"/>
        </w:rPr>
        <w:t> </w:t>
      </w:r>
      <w:r>
        <w:rPr>
          <w:rFonts w:ascii="Cambria"/>
        </w:rPr>
        <w:t>of</w:t>
      </w:r>
      <w:r>
        <w:rPr>
          <w:rFonts w:ascii="Cambria"/>
          <w:spacing w:val="-3"/>
        </w:rPr>
        <w:t> </w:t>
      </w:r>
      <w:r>
        <w:rPr>
          <w:rFonts w:ascii="Cambria"/>
        </w:rPr>
        <w:t>capital flight</w:t>
      </w:r>
      <w:r>
        <w:rPr>
          <w:rFonts w:ascii="Cambria"/>
          <w:spacing w:val="80"/>
        </w:rPr>
        <w:t> </w:t>
      </w:r>
      <w:r>
        <w:rPr>
          <w:rFonts w:ascii="Cambria"/>
        </w:rPr>
        <w:t>was</w:t>
      </w:r>
      <w:r>
        <w:rPr>
          <w:rFonts w:ascii="Cambria"/>
          <w:spacing w:val="77"/>
        </w:rPr>
        <w:t> </w:t>
      </w:r>
      <w:r>
        <w:rPr>
          <w:rFonts w:ascii="Cambria"/>
        </w:rPr>
        <w:t>explained</w:t>
      </w:r>
      <w:r>
        <w:rPr>
          <w:rFonts w:ascii="Cambria"/>
          <w:spacing w:val="78"/>
        </w:rPr>
        <w:t> </w:t>
      </w:r>
      <w:r>
        <w:rPr>
          <w:rFonts w:ascii="Cambria"/>
        </w:rPr>
        <w:t>by</w:t>
      </w:r>
      <w:r>
        <w:rPr>
          <w:rFonts w:ascii="Cambria"/>
          <w:spacing w:val="76"/>
        </w:rPr>
        <w:t> </w:t>
      </w:r>
      <w:r>
        <w:rPr>
          <w:rFonts w:ascii="Cambria"/>
        </w:rPr>
        <w:t>the</w:t>
      </w:r>
      <w:r>
        <w:rPr>
          <w:rFonts w:ascii="Cambria"/>
          <w:spacing w:val="77"/>
        </w:rPr>
        <w:t> </w:t>
      </w:r>
      <w:r>
        <w:rPr>
          <w:rFonts w:ascii="Cambria"/>
        </w:rPr>
        <w:t>independent</w:t>
      </w:r>
      <w:r>
        <w:rPr>
          <w:rFonts w:ascii="Cambria"/>
          <w:spacing w:val="77"/>
        </w:rPr>
        <w:t> </w:t>
      </w:r>
      <w:r>
        <w:rPr>
          <w:rFonts w:ascii="Cambria"/>
        </w:rPr>
        <w:t>variables</w:t>
      </w:r>
      <w:r>
        <w:rPr>
          <w:rFonts w:ascii="Cambria"/>
          <w:spacing w:val="77"/>
        </w:rPr>
        <w:t> </w:t>
      </w:r>
      <w:r>
        <w:rPr>
          <w:rFonts w:ascii="Cambria"/>
        </w:rPr>
        <w:t>in</w:t>
      </w:r>
      <w:r>
        <w:rPr>
          <w:rFonts w:ascii="Cambria"/>
          <w:spacing w:val="77"/>
        </w:rPr>
        <w:t> </w:t>
      </w:r>
      <w:r>
        <w:rPr>
          <w:rFonts w:ascii="Cambria"/>
        </w:rPr>
        <w:t>the</w:t>
      </w:r>
      <w:r>
        <w:rPr>
          <w:rFonts w:ascii="Cambria"/>
          <w:spacing w:val="77"/>
        </w:rPr>
        <w:t> </w:t>
      </w:r>
      <w:r>
        <w:rPr>
          <w:rFonts w:ascii="Cambria"/>
        </w:rPr>
        <w:t>short-run.</w:t>
      </w:r>
      <w:r>
        <w:rPr>
          <w:rFonts w:ascii="Cambria"/>
          <w:spacing w:val="79"/>
        </w:rPr>
        <w:t>  </w:t>
      </w:r>
      <w:r>
        <w:rPr>
          <w:rFonts w:ascii="Cambria"/>
        </w:rPr>
        <w:t>The</w:t>
      </w:r>
      <w:r>
        <w:rPr>
          <w:rFonts w:ascii="Cambria"/>
          <w:spacing w:val="80"/>
        </w:rPr>
        <w:t> </w:t>
      </w:r>
      <w:r>
        <w:rPr>
          <w:rFonts w:ascii="Cambria"/>
          <w:b/>
        </w:rPr>
        <w:t>f-statistic</w:t>
      </w:r>
      <w:r>
        <w:rPr>
          <w:rFonts w:ascii="Cambria"/>
          <w:b/>
          <w:spacing w:val="77"/>
        </w:rPr>
        <w:t> </w:t>
      </w:r>
      <w:r>
        <w:rPr>
          <w:rFonts w:ascii="Cambria"/>
          <w:b/>
        </w:rPr>
        <w:t>value</w:t>
      </w:r>
      <w:r>
        <w:rPr>
          <w:rFonts w:ascii="Cambria"/>
          <w:b/>
          <w:spacing w:val="78"/>
        </w:rPr>
        <w:t> </w:t>
      </w:r>
      <w:r>
        <w:rPr>
          <w:rFonts w:ascii="Cambria"/>
          <w:b/>
        </w:rPr>
        <w:t>of</w:t>
      </w:r>
    </w:p>
    <w:p>
      <w:pPr>
        <w:spacing w:after="0" w:line="480" w:lineRule="auto"/>
        <w:jc w:val="both"/>
        <w:rPr>
          <w:rFonts w:ascii="Cambria"/>
        </w:rPr>
        <w:sectPr>
          <w:pgSz w:w="11910" w:h="16840"/>
          <w:pgMar w:header="0" w:footer="979" w:top="1340" w:bottom="1240" w:left="280" w:right="0"/>
        </w:sectPr>
      </w:pPr>
    </w:p>
    <w:p>
      <w:pPr>
        <w:spacing w:line="480" w:lineRule="auto" w:before="82"/>
        <w:ind w:left="711" w:right="472" w:firstLine="0"/>
        <w:jc w:val="both"/>
        <w:rPr>
          <w:sz w:val="24"/>
        </w:rPr>
      </w:pPr>
      <w:r>
        <w:rPr>
          <w:rFonts w:ascii="Cambria"/>
          <w:b/>
          <w:sz w:val="26"/>
        </w:rPr>
        <w:t>2.455421 </w:t>
      </w:r>
      <w:r>
        <w:rPr>
          <w:sz w:val="26"/>
        </w:rPr>
        <w:t>which is greater than </w:t>
      </w:r>
      <w:r>
        <w:rPr>
          <w:sz w:val="24"/>
        </w:rPr>
        <w:t>the F-tabulated value of 2.27 shows that the model is statistically </w:t>
      </w:r>
      <w:r>
        <w:rPr>
          <w:spacing w:val="-2"/>
          <w:sz w:val="24"/>
        </w:rPr>
        <w:t>significant.</w:t>
      </w:r>
    </w:p>
    <w:p>
      <w:pPr>
        <w:pStyle w:val="Heading6"/>
        <w:spacing w:line="275" w:lineRule="exact"/>
        <w:rPr>
          <w:b w:val="0"/>
        </w:rPr>
      </w:pPr>
      <w:r>
        <w:rPr/>
        <w:t>Validation</w:t>
      </w:r>
      <w:r>
        <w:rPr>
          <w:spacing w:val="-1"/>
        </w:rPr>
        <w:t> </w:t>
      </w:r>
      <w:r>
        <w:rPr/>
        <w:t>and</w:t>
      </w:r>
      <w:r>
        <w:rPr>
          <w:spacing w:val="-1"/>
        </w:rPr>
        <w:t> </w:t>
      </w:r>
      <w:r>
        <w:rPr/>
        <w:t>testing</w:t>
      </w:r>
      <w:r>
        <w:rPr>
          <w:spacing w:val="-1"/>
        </w:rPr>
        <w:t> </w:t>
      </w:r>
      <w:r>
        <w:rPr/>
        <w:t>of</w:t>
      </w:r>
      <w:r>
        <w:rPr>
          <w:spacing w:val="1"/>
        </w:rPr>
        <w:t> </w:t>
      </w:r>
      <w:r>
        <w:rPr>
          <w:spacing w:val="-2"/>
        </w:rPr>
        <w:t>hypotheses</w:t>
      </w:r>
      <w:r>
        <w:rPr>
          <w:b w:val="0"/>
          <w:spacing w:val="-2"/>
        </w:rPr>
        <w:t>:</w:t>
      </w:r>
    </w:p>
    <w:p>
      <w:pPr>
        <w:pStyle w:val="BodyText"/>
      </w:pPr>
    </w:p>
    <w:p>
      <w:pPr>
        <w:pStyle w:val="BodyText"/>
        <w:ind w:left="711"/>
        <w:jc w:val="both"/>
      </w:pPr>
      <w:r>
        <w:rPr/>
        <w:t>The</w:t>
      </w:r>
      <w:r>
        <w:rPr>
          <w:spacing w:val="-3"/>
        </w:rPr>
        <w:t> </w:t>
      </w:r>
      <w:r>
        <w:rPr/>
        <w:t>under</w:t>
      </w:r>
      <w:r>
        <w:rPr>
          <w:spacing w:val="-1"/>
        </w:rPr>
        <w:t> </w:t>
      </w:r>
      <w:r>
        <w:rPr/>
        <w:t>listed</w:t>
      </w:r>
      <w:r>
        <w:rPr>
          <w:spacing w:val="-1"/>
        </w:rPr>
        <w:t> </w:t>
      </w:r>
      <w:r>
        <w:rPr/>
        <w:t>hypotheses</w:t>
      </w:r>
      <w:r>
        <w:rPr>
          <w:spacing w:val="2"/>
        </w:rPr>
        <w:t> </w:t>
      </w:r>
      <w:r>
        <w:rPr/>
        <w:t>were</w:t>
      </w:r>
      <w:r>
        <w:rPr>
          <w:spacing w:val="-2"/>
        </w:rPr>
        <w:t> </w:t>
      </w:r>
      <w:r>
        <w:rPr/>
        <w:t>tested</w:t>
      </w:r>
      <w:r>
        <w:rPr>
          <w:spacing w:val="-1"/>
        </w:rPr>
        <w:t> </w:t>
      </w:r>
      <w:r>
        <w:rPr/>
        <w:t>under</w:t>
      </w:r>
      <w:r>
        <w:rPr>
          <w:spacing w:val="-1"/>
        </w:rPr>
        <w:t> </w:t>
      </w:r>
      <w:r>
        <w:rPr/>
        <w:t>model </w:t>
      </w:r>
      <w:r>
        <w:rPr>
          <w:spacing w:val="-5"/>
        </w:rPr>
        <w:t>3B.</w:t>
      </w:r>
    </w:p>
    <w:p>
      <w:pPr>
        <w:pStyle w:val="BodyText"/>
      </w:pPr>
    </w:p>
    <w:p>
      <w:pPr>
        <w:pStyle w:val="BodyText"/>
        <w:ind w:left="711"/>
        <w:jc w:val="both"/>
      </w:pPr>
      <w:r>
        <w:rPr/>
        <w:t>The</w:t>
      </w:r>
      <w:r>
        <w:rPr>
          <w:spacing w:val="-3"/>
        </w:rPr>
        <w:t> </w:t>
      </w:r>
      <w:r>
        <w:rPr/>
        <w:t>hypothesis to</w:t>
      </w:r>
      <w:r>
        <w:rPr>
          <w:spacing w:val="-1"/>
        </w:rPr>
        <w:t> </w:t>
      </w:r>
      <w:r>
        <w:rPr/>
        <w:t>be tested in</w:t>
      </w:r>
      <w:r>
        <w:rPr>
          <w:spacing w:val="-1"/>
        </w:rPr>
        <w:t> </w:t>
      </w:r>
      <w:r>
        <w:rPr/>
        <w:t>this model</w:t>
      </w:r>
      <w:r>
        <w:rPr>
          <w:spacing w:val="-1"/>
        </w:rPr>
        <w:t> </w:t>
      </w:r>
      <w:r>
        <w:rPr/>
        <w:t>is stated in</w:t>
      </w:r>
      <w:r>
        <w:rPr>
          <w:spacing w:val="-1"/>
        </w:rPr>
        <w:t> </w:t>
      </w:r>
      <w:r>
        <w:rPr/>
        <w:t>the null</w:t>
      </w:r>
      <w:r>
        <w:rPr>
          <w:spacing w:val="-1"/>
        </w:rPr>
        <w:t> </w:t>
      </w:r>
      <w:r>
        <w:rPr/>
        <w:t>form as </w:t>
      </w:r>
      <w:r>
        <w:rPr>
          <w:spacing w:val="-2"/>
        </w:rPr>
        <w:t>follows;</w:t>
      </w:r>
    </w:p>
    <w:p>
      <w:pPr>
        <w:pStyle w:val="BodyText"/>
        <w:spacing w:before="275"/>
        <w:ind w:left="711"/>
        <w:jc w:val="both"/>
      </w:pPr>
      <w:r>
        <w:rPr>
          <w:position w:val="2"/>
        </w:rPr>
        <w:t>H</w:t>
      </w:r>
      <w:r>
        <w:rPr>
          <w:sz w:val="16"/>
        </w:rPr>
        <w:t>01</w:t>
      </w:r>
      <w:r>
        <w:rPr>
          <w:position w:val="2"/>
        </w:rPr>
        <w:t>:</w:t>
      </w:r>
      <w:r>
        <w:rPr>
          <w:spacing w:val="26"/>
          <w:position w:val="2"/>
        </w:rPr>
        <w:t>  </w:t>
      </w:r>
      <w:r>
        <w:rPr>
          <w:position w:val="2"/>
        </w:rPr>
        <w:t>Macroeconomic,</w:t>
      </w:r>
      <w:r>
        <w:rPr>
          <w:spacing w:val="-2"/>
          <w:position w:val="2"/>
        </w:rPr>
        <w:t> </w:t>
      </w:r>
      <w:r>
        <w:rPr>
          <w:position w:val="2"/>
        </w:rPr>
        <w:t>Political</w:t>
      </w:r>
      <w:r>
        <w:rPr>
          <w:spacing w:val="1"/>
          <w:position w:val="2"/>
        </w:rPr>
        <w:t> </w:t>
      </w:r>
      <w:r>
        <w:rPr>
          <w:position w:val="2"/>
        </w:rPr>
        <w:t>and</w:t>
      </w:r>
      <w:r>
        <w:rPr>
          <w:spacing w:val="1"/>
          <w:position w:val="2"/>
        </w:rPr>
        <w:t> </w:t>
      </w:r>
      <w:r>
        <w:rPr>
          <w:position w:val="2"/>
        </w:rPr>
        <w:t>Institutional</w:t>
      </w:r>
      <w:r>
        <w:rPr>
          <w:spacing w:val="-1"/>
          <w:position w:val="2"/>
        </w:rPr>
        <w:t> </w:t>
      </w:r>
      <w:r>
        <w:rPr>
          <w:position w:val="2"/>
        </w:rPr>
        <w:t>factors</w:t>
      </w:r>
      <w:r>
        <w:rPr>
          <w:spacing w:val="-1"/>
          <w:position w:val="2"/>
        </w:rPr>
        <w:t> </w:t>
      </w:r>
      <w:r>
        <w:rPr>
          <w:position w:val="2"/>
        </w:rPr>
        <w:t>do</w:t>
      </w:r>
      <w:r>
        <w:rPr>
          <w:spacing w:val="-1"/>
          <w:position w:val="2"/>
        </w:rPr>
        <w:t> </w:t>
      </w:r>
      <w:r>
        <w:rPr>
          <w:position w:val="2"/>
        </w:rPr>
        <w:t>not</w:t>
      </w:r>
      <w:r>
        <w:rPr>
          <w:spacing w:val="-1"/>
          <w:position w:val="2"/>
        </w:rPr>
        <w:t> </w:t>
      </w:r>
      <w:r>
        <w:rPr>
          <w:position w:val="2"/>
        </w:rPr>
        <w:t>cause</w:t>
      </w:r>
      <w:r>
        <w:rPr>
          <w:spacing w:val="-3"/>
          <w:position w:val="2"/>
        </w:rPr>
        <w:t> </w:t>
      </w:r>
      <w:r>
        <w:rPr>
          <w:position w:val="2"/>
        </w:rPr>
        <w:t>capital</w:t>
      </w:r>
      <w:r>
        <w:rPr>
          <w:spacing w:val="-1"/>
          <w:position w:val="2"/>
        </w:rPr>
        <w:t> </w:t>
      </w:r>
      <w:r>
        <w:rPr>
          <w:position w:val="2"/>
        </w:rPr>
        <w:t>flight</w:t>
      </w:r>
      <w:r>
        <w:rPr>
          <w:spacing w:val="-1"/>
          <w:position w:val="2"/>
        </w:rPr>
        <w:t> </w:t>
      </w:r>
      <w:r>
        <w:rPr>
          <w:position w:val="2"/>
        </w:rPr>
        <w:t>in</w:t>
      </w:r>
      <w:r>
        <w:rPr>
          <w:spacing w:val="-1"/>
          <w:position w:val="2"/>
        </w:rPr>
        <w:t> </w:t>
      </w:r>
      <w:r>
        <w:rPr>
          <w:spacing w:val="-2"/>
          <w:position w:val="2"/>
        </w:rPr>
        <w:t>Nigeria.</w:t>
      </w:r>
    </w:p>
    <w:p>
      <w:pPr>
        <w:pStyle w:val="BodyText"/>
        <w:spacing w:line="480" w:lineRule="auto" w:before="273"/>
        <w:ind w:left="711" w:right="474"/>
        <w:jc w:val="both"/>
      </w:pPr>
      <w:r>
        <w:rPr>
          <w:position w:val="2"/>
        </w:rPr>
        <w:t>H</w:t>
      </w:r>
      <w:r>
        <w:rPr>
          <w:sz w:val="16"/>
        </w:rPr>
        <w:t>03</w:t>
      </w:r>
      <w:r>
        <w:rPr>
          <w:position w:val="2"/>
        </w:rPr>
        <w:t>:</w:t>
      </w:r>
      <w:r>
        <w:rPr>
          <w:spacing w:val="40"/>
          <w:position w:val="2"/>
        </w:rPr>
        <w:t>  </w:t>
      </w:r>
      <w:r>
        <w:rPr>
          <w:position w:val="2"/>
        </w:rPr>
        <w:t>Macroeconomic, Political and Institutional factors do not influence the choice of private wealth </w:t>
      </w:r>
      <w:r>
        <w:rPr/>
        <w:t>holders in Nigeria.</w:t>
      </w:r>
    </w:p>
    <w:p>
      <w:pPr>
        <w:pStyle w:val="BodyText"/>
        <w:spacing w:line="277" w:lineRule="exact"/>
        <w:ind w:left="711"/>
        <w:jc w:val="both"/>
      </w:pPr>
      <w:r>
        <w:rPr>
          <w:position w:val="2"/>
        </w:rPr>
        <w:t>H</w:t>
      </w:r>
      <w:r>
        <w:rPr>
          <w:sz w:val="16"/>
        </w:rPr>
        <w:t>04</w:t>
      </w:r>
      <w:r>
        <w:rPr>
          <w:spacing w:val="76"/>
          <w:sz w:val="16"/>
        </w:rPr>
        <w:t>  </w:t>
      </w:r>
      <w:r>
        <w:rPr>
          <w:position w:val="2"/>
        </w:rPr>
        <w:t>Capital flight</w:t>
      </w:r>
      <w:r>
        <w:rPr>
          <w:spacing w:val="-1"/>
          <w:position w:val="2"/>
        </w:rPr>
        <w:t> </w:t>
      </w:r>
      <w:r>
        <w:rPr>
          <w:position w:val="2"/>
        </w:rPr>
        <w:t>cannot be</w:t>
      </w:r>
      <w:r>
        <w:rPr>
          <w:spacing w:val="-1"/>
          <w:position w:val="2"/>
        </w:rPr>
        <w:t> </w:t>
      </w:r>
      <w:r>
        <w:rPr>
          <w:position w:val="2"/>
        </w:rPr>
        <w:t>stemmed</w:t>
      </w:r>
      <w:r>
        <w:rPr>
          <w:spacing w:val="-1"/>
          <w:position w:val="2"/>
        </w:rPr>
        <w:t> </w:t>
      </w:r>
      <w:r>
        <w:rPr>
          <w:position w:val="2"/>
        </w:rPr>
        <w:t>nor</w:t>
      </w:r>
      <w:r>
        <w:rPr>
          <w:spacing w:val="-2"/>
          <w:position w:val="2"/>
        </w:rPr>
        <w:t> </w:t>
      </w:r>
      <w:r>
        <w:rPr>
          <w:position w:val="2"/>
        </w:rPr>
        <w:t>reversed</w:t>
      </w:r>
      <w:r>
        <w:rPr>
          <w:spacing w:val="-1"/>
          <w:position w:val="2"/>
        </w:rPr>
        <w:t> </w:t>
      </w:r>
      <w:r>
        <w:rPr>
          <w:position w:val="2"/>
        </w:rPr>
        <w:t>in </w:t>
      </w:r>
      <w:r>
        <w:rPr>
          <w:spacing w:val="-2"/>
          <w:position w:val="2"/>
        </w:rPr>
        <w:t>Nigeria.</w:t>
      </w:r>
    </w:p>
    <w:p>
      <w:pPr>
        <w:pStyle w:val="BodyText"/>
        <w:spacing w:line="480" w:lineRule="auto" w:before="275"/>
        <w:ind w:left="711" w:right="469"/>
        <w:jc w:val="both"/>
      </w:pPr>
      <w:r>
        <w:rPr/>
        <w:t>Since the probability value of all the explanatory variables are greater than 5% and not significant in the model, the null hypothses are acceptet for all variables in the short run under the World Bank &amp; Erber</w:t>
      </w:r>
      <w:r>
        <w:rPr>
          <w:spacing w:val="40"/>
        </w:rPr>
        <w:t> </w:t>
      </w:r>
      <w:r>
        <w:rPr/>
        <w:t>(1985) approach.</w:t>
      </w:r>
    </w:p>
    <w:p>
      <w:pPr>
        <w:pStyle w:val="BodyText"/>
        <w:spacing w:line="480" w:lineRule="auto"/>
        <w:ind w:left="711" w:right="471"/>
        <w:jc w:val="both"/>
      </w:pPr>
      <w:r>
        <w:rPr/>
        <w:t>The</w:t>
      </w:r>
      <w:r>
        <w:rPr>
          <w:spacing w:val="-2"/>
        </w:rPr>
        <w:t> </w:t>
      </w:r>
      <w:r>
        <w:rPr/>
        <w:t>short term results of model 3 which examined the</w:t>
      </w:r>
      <w:r>
        <w:rPr>
          <w:spacing w:val="-1"/>
        </w:rPr>
        <w:t> </w:t>
      </w:r>
      <w:r>
        <w:rPr/>
        <w:t>determinants of</w:t>
      </w:r>
      <w:r>
        <w:rPr>
          <w:spacing w:val="-1"/>
        </w:rPr>
        <w:t> </w:t>
      </w:r>
      <w:r>
        <w:rPr/>
        <w:t>capital flight in Pre-SAP era revealed that the government policy of fixed and strict control of economic variables had no strong link with the rate capital flight in Nigeria within the period.</w:t>
      </w:r>
    </w:p>
    <w:p>
      <w:pPr>
        <w:pStyle w:val="Heading2"/>
        <w:spacing w:line="360" w:lineRule="auto" w:before="1"/>
        <w:ind w:right="470"/>
      </w:pPr>
      <w:r>
        <w:rPr/>
        <w:t>Table 4.7 Presentation and Interpretation of Post-SAP Short run Results for Model 4A (World Bank &amp; Erbe (1985) approach)</w:t>
      </w:r>
    </w:p>
    <w:p>
      <w:pPr>
        <w:spacing w:line="206" w:lineRule="exact" w:before="0"/>
        <w:ind w:left="780" w:right="0" w:firstLine="0"/>
        <w:jc w:val="both"/>
        <w:rPr>
          <w:b/>
          <w:sz w:val="18"/>
        </w:rPr>
      </w:pPr>
      <w:r>
        <w:rPr>
          <w:b/>
          <w:sz w:val="18"/>
        </w:rPr>
        <w:t>DEPENDENT VARIABLE</w:t>
      </w:r>
      <w:r>
        <w:rPr>
          <w:b/>
          <w:spacing w:val="-1"/>
          <w:sz w:val="18"/>
        </w:rPr>
        <w:t> </w:t>
      </w:r>
      <w:r>
        <w:rPr>
          <w:b/>
          <w:sz w:val="18"/>
        </w:rPr>
        <w:t>= </w:t>
      </w:r>
      <w:r>
        <w:rPr>
          <w:b/>
          <w:spacing w:val="-5"/>
          <w:sz w:val="18"/>
        </w:rPr>
        <w:t>KF</w:t>
      </w:r>
    </w:p>
    <w:p>
      <w:pPr>
        <w:pStyle w:val="BodyText"/>
        <w:spacing w:before="2"/>
        <w:rPr>
          <w:b/>
          <w:sz w:val="9"/>
        </w:rPr>
      </w:pPr>
    </w:p>
    <w:tbl>
      <w:tblPr>
        <w:tblW w:w="0" w:type="auto"/>
        <w:jc w:val="left"/>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35"/>
        <w:gridCol w:w="1578"/>
        <w:gridCol w:w="2607"/>
        <w:gridCol w:w="2278"/>
        <w:gridCol w:w="1704"/>
      </w:tblGrid>
      <w:tr>
        <w:trPr>
          <w:trHeight w:val="2176" w:hRule="atLeast"/>
        </w:trPr>
        <w:tc>
          <w:tcPr>
            <w:tcW w:w="1935" w:type="dxa"/>
          </w:tcPr>
          <w:p>
            <w:pPr>
              <w:pStyle w:val="TableParagraph"/>
              <w:rPr>
                <w:b/>
                <w:sz w:val="20"/>
              </w:rPr>
            </w:pPr>
          </w:p>
          <w:p>
            <w:pPr>
              <w:pStyle w:val="TableParagraph"/>
              <w:spacing w:before="158"/>
              <w:rPr>
                <w:b/>
                <w:sz w:val="20"/>
              </w:rPr>
            </w:pPr>
          </w:p>
          <w:p>
            <w:pPr>
              <w:pStyle w:val="TableParagraph"/>
              <w:spacing w:line="480" w:lineRule="auto"/>
              <w:ind w:left="105"/>
              <w:rPr>
                <w:rFonts w:ascii="Cambria"/>
                <w:b/>
                <w:sz w:val="20"/>
              </w:rPr>
            </w:pPr>
            <w:r>
              <w:rPr>
                <w:rFonts w:ascii="Cambria"/>
                <w:b/>
                <w:spacing w:val="-2"/>
                <w:sz w:val="20"/>
              </w:rPr>
              <w:t>INDEPENDENT VARIABLES</w:t>
            </w:r>
          </w:p>
        </w:tc>
        <w:tc>
          <w:tcPr>
            <w:tcW w:w="1578" w:type="dxa"/>
          </w:tcPr>
          <w:p>
            <w:pPr>
              <w:pStyle w:val="TableParagraph"/>
              <w:rPr>
                <w:b/>
                <w:sz w:val="20"/>
              </w:rPr>
            </w:pPr>
          </w:p>
          <w:p>
            <w:pPr>
              <w:pStyle w:val="TableParagraph"/>
              <w:spacing w:before="158"/>
              <w:rPr>
                <w:b/>
                <w:sz w:val="20"/>
              </w:rPr>
            </w:pPr>
          </w:p>
          <w:p>
            <w:pPr>
              <w:pStyle w:val="TableParagraph"/>
              <w:spacing w:line="480" w:lineRule="auto"/>
              <w:ind w:left="107" w:right="98"/>
              <w:rPr>
                <w:rFonts w:ascii="Cambria"/>
                <w:b/>
                <w:sz w:val="20"/>
              </w:rPr>
            </w:pPr>
            <w:r>
              <w:rPr>
                <w:rFonts w:ascii="Cambria"/>
                <w:b/>
                <w:spacing w:val="-2"/>
                <w:sz w:val="20"/>
              </w:rPr>
              <w:t>COEFFICIENT </w:t>
            </w:r>
            <w:r>
              <w:rPr>
                <w:rFonts w:ascii="Cambria"/>
                <w:b/>
                <w:sz w:val="20"/>
              </w:rPr>
              <w:t>OF</w:t>
            </w:r>
            <w:r>
              <w:rPr>
                <w:rFonts w:ascii="Cambria"/>
                <w:b/>
                <w:spacing w:val="-12"/>
                <w:sz w:val="20"/>
              </w:rPr>
              <w:t> </w:t>
            </w:r>
            <w:r>
              <w:rPr>
                <w:rFonts w:ascii="Cambria"/>
                <w:b/>
                <w:sz w:val="20"/>
              </w:rPr>
              <w:t>ESTIMATES</w:t>
            </w:r>
          </w:p>
        </w:tc>
        <w:tc>
          <w:tcPr>
            <w:tcW w:w="2607" w:type="dxa"/>
          </w:tcPr>
          <w:p>
            <w:pPr>
              <w:pStyle w:val="TableParagraph"/>
              <w:rPr>
                <w:b/>
                <w:sz w:val="20"/>
              </w:rPr>
            </w:pPr>
          </w:p>
          <w:p>
            <w:pPr>
              <w:pStyle w:val="TableParagraph"/>
              <w:rPr>
                <w:b/>
                <w:sz w:val="20"/>
              </w:rPr>
            </w:pPr>
          </w:p>
          <w:p>
            <w:pPr>
              <w:pStyle w:val="TableParagraph"/>
              <w:spacing w:before="163"/>
              <w:rPr>
                <w:b/>
                <w:sz w:val="20"/>
              </w:rPr>
            </w:pPr>
          </w:p>
          <w:p>
            <w:pPr>
              <w:pStyle w:val="TableParagraph"/>
              <w:spacing w:before="1"/>
              <w:ind w:left="104"/>
              <w:rPr>
                <w:rFonts w:ascii="Cambria"/>
                <w:b/>
                <w:sz w:val="20"/>
              </w:rPr>
            </w:pPr>
            <w:r>
              <w:rPr>
                <w:rFonts w:ascii="Cambria"/>
                <w:b/>
                <w:sz w:val="20"/>
              </w:rPr>
              <w:t>T-</w:t>
            </w:r>
            <w:r>
              <w:rPr>
                <w:rFonts w:ascii="Cambria"/>
                <w:b/>
                <w:spacing w:val="-4"/>
                <w:sz w:val="20"/>
              </w:rPr>
              <w:t> </w:t>
            </w:r>
            <w:r>
              <w:rPr>
                <w:rFonts w:ascii="Cambria"/>
                <w:b/>
                <w:spacing w:val="-2"/>
                <w:sz w:val="20"/>
              </w:rPr>
              <w:t>STATISTICS</w:t>
            </w:r>
          </w:p>
        </w:tc>
        <w:tc>
          <w:tcPr>
            <w:tcW w:w="2278" w:type="dxa"/>
          </w:tcPr>
          <w:p>
            <w:pPr>
              <w:pStyle w:val="TableParagraph"/>
              <w:rPr>
                <w:b/>
                <w:sz w:val="20"/>
              </w:rPr>
            </w:pPr>
          </w:p>
          <w:p>
            <w:pPr>
              <w:pStyle w:val="TableParagraph"/>
              <w:rPr>
                <w:b/>
                <w:sz w:val="20"/>
              </w:rPr>
            </w:pPr>
          </w:p>
          <w:p>
            <w:pPr>
              <w:pStyle w:val="TableParagraph"/>
              <w:spacing w:before="163"/>
              <w:rPr>
                <w:b/>
                <w:sz w:val="20"/>
              </w:rPr>
            </w:pPr>
          </w:p>
          <w:p>
            <w:pPr>
              <w:pStyle w:val="TableParagraph"/>
              <w:spacing w:before="1"/>
              <w:ind w:left="104"/>
              <w:rPr>
                <w:rFonts w:ascii="Cambria"/>
                <w:b/>
                <w:sz w:val="20"/>
              </w:rPr>
            </w:pPr>
            <w:r>
              <w:rPr>
                <w:rFonts w:ascii="Cambria"/>
                <w:b/>
                <w:spacing w:val="-2"/>
                <w:sz w:val="20"/>
              </w:rPr>
              <w:t>PROBABILITY</w:t>
            </w:r>
            <w:r>
              <w:rPr>
                <w:rFonts w:ascii="Cambria"/>
                <w:b/>
                <w:spacing w:val="6"/>
                <w:sz w:val="20"/>
              </w:rPr>
              <w:t> </w:t>
            </w:r>
            <w:r>
              <w:rPr>
                <w:rFonts w:ascii="Cambria"/>
                <w:b/>
                <w:spacing w:val="-2"/>
                <w:sz w:val="20"/>
              </w:rPr>
              <w:t>VALUE</w:t>
            </w:r>
          </w:p>
        </w:tc>
        <w:tc>
          <w:tcPr>
            <w:tcW w:w="1704" w:type="dxa"/>
          </w:tcPr>
          <w:p>
            <w:pPr>
              <w:pStyle w:val="TableParagraph"/>
              <w:spacing w:line="234" w:lineRule="exact"/>
              <w:ind w:left="104"/>
              <w:rPr>
                <w:rFonts w:ascii="Cambria"/>
                <w:b/>
                <w:sz w:val="20"/>
              </w:rPr>
            </w:pPr>
            <w:r>
              <w:rPr>
                <w:rFonts w:ascii="Cambria"/>
                <w:b/>
                <w:spacing w:val="-2"/>
                <w:sz w:val="20"/>
              </w:rPr>
              <w:t>REMARKS</w:t>
            </w:r>
          </w:p>
        </w:tc>
      </w:tr>
      <w:tr>
        <w:trPr>
          <w:trHeight w:val="230" w:hRule="atLeast"/>
        </w:trPr>
        <w:tc>
          <w:tcPr>
            <w:tcW w:w="1935" w:type="dxa"/>
          </w:tcPr>
          <w:p>
            <w:pPr>
              <w:pStyle w:val="TableParagraph"/>
              <w:spacing w:line="210" w:lineRule="exact"/>
              <w:ind w:left="6" w:right="2"/>
              <w:jc w:val="center"/>
              <w:rPr>
                <w:rFonts w:ascii="Arial MT"/>
                <w:sz w:val="20"/>
              </w:rPr>
            </w:pPr>
            <w:r>
              <w:rPr>
                <w:rFonts w:ascii="Arial MT"/>
                <w:spacing w:val="-10"/>
                <w:sz w:val="20"/>
              </w:rPr>
              <w:t>C</w:t>
            </w:r>
          </w:p>
        </w:tc>
        <w:tc>
          <w:tcPr>
            <w:tcW w:w="1578" w:type="dxa"/>
          </w:tcPr>
          <w:p>
            <w:pPr>
              <w:pStyle w:val="TableParagraph"/>
              <w:spacing w:line="210" w:lineRule="exact"/>
              <w:ind w:right="100"/>
              <w:jc w:val="right"/>
              <w:rPr>
                <w:sz w:val="20"/>
              </w:rPr>
            </w:pPr>
            <w:r>
              <w:rPr>
                <w:spacing w:val="-2"/>
                <w:sz w:val="20"/>
              </w:rPr>
              <w:t>1.953374</w:t>
            </w:r>
          </w:p>
        </w:tc>
        <w:tc>
          <w:tcPr>
            <w:tcW w:w="2607" w:type="dxa"/>
          </w:tcPr>
          <w:p>
            <w:pPr>
              <w:pStyle w:val="TableParagraph"/>
              <w:spacing w:line="210" w:lineRule="exact"/>
              <w:ind w:right="100"/>
              <w:jc w:val="right"/>
              <w:rPr>
                <w:sz w:val="20"/>
              </w:rPr>
            </w:pPr>
            <w:r>
              <w:rPr>
                <w:spacing w:val="-2"/>
                <w:sz w:val="20"/>
              </w:rPr>
              <w:t>0.311318</w:t>
            </w:r>
          </w:p>
        </w:tc>
        <w:tc>
          <w:tcPr>
            <w:tcW w:w="2278" w:type="dxa"/>
          </w:tcPr>
          <w:p>
            <w:pPr>
              <w:pStyle w:val="TableParagraph"/>
              <w:spacing w:line="210" w:lineRule="exact"/>
              <w:ind w:right="99"/>
              <w:jc w:val="right"/>
              <w:rPr>
                <w:sz w:val="20"/>
              </w:rPr>
            </w:pPr>
            <w:r>
              <w:rPr>
                <w:spacing w:val="-2"/>
                <w:sz w:val="20"/>
              </w:rPr>
              <w:t>0.7596</w:t>
            </w:r>
          </w:p>
        </w:tc>
        <w:tc>
          <w:tcPr>
            <w:tcW w:w="1704" w:type="dxa"/>
          </w:tcPr>
          <w:p>
            <w:pPr>
              <w:pStyle w:val="TableParagraph"/>
              <w:spacing w:line="210" w:lineRule="exact"/>
              <w:ind w:right="102"/>
              <w:jc w:val="right"/>
              <w:rPr>
                <w:sz w:val="20"/>
              </w:rPr>
            </w:pPr>
            <w:r>
              <w:rPr>
                <w:spacing w:val="-2"/>
                <w:sz w:val="20"/>
              </w:rPr>
              <w:t>Insignificant</w:t>
            </w:r>
          </w:p>
        </w:tc>
      </w:tr>
      <w:tr>
        <w:trPr>
          <w:trHeight w:val="330" w:hRule="atLeast"/>
        </w:trPr>
        <w:tc>
          <w:tcPr>
            <w:tcW w:w="1935" w:type="dxa"/>
          </w:tcPr>
          <w:p>
            <w:pPr>
              <w:pStyle w:val="TableParagraph"/>
              <w:spacing w:line="234" w:lineRule="exact"/>
              <w:ind w:left="6" w:right="2"/>
              <w:jc w:val="center"/>
              <w:rPr>
                <w:rFonts w:ascii="Arial MT" w:hAnsi="Arial MT"/>
                <w:sz w:val="20"/>
              </w:rPr>
            </w:pPr>
            <w:r>
              <w:rPr>
                <w:rFonts w:ascii="Cambria" w:hAnsi="Cambria"/>
                <w:spacing w:val="-2"/>
                <w:sz w:val="20"/>
              </w:rPr>
              <w:t>δ</w:t>
            </w:r>
            <w:r>
              <w:rPr>
                <w:rFonts w:ascii="Arial MT" w:hAnsi="Arial MT"/>
                <w:spacing w:val="-2"/>
                <w:sz w:val="20"/>
              </w:rPr>
              <w:t>EXTDEBT</w:t>
            </w:r>
          </w:p>
        </w:tc>
        <w:tc>
          <w:tcPr>
            <w:tcW w:w="1578" w:type="dxa"/>
          </w:tcPr>
          <w:p>
            <w:pPr>
              <w:pStyle w:val="TableParagraph"/>
              <w:ind w:right="100"/>
              <w:jc w:val="right"/>
              <w:rPr>
                <w:sz w:val="20"/>
              </w:rPr>
            </w:pPr>
            <w:r>
              <w:rPr>
                <w:spacing w:val="-2"/>
                <w:sz w:val="20"/>
              </w:rPr>
              <w:t>0.436002</w:t>
            </w:r>
          </w:p>
        </w:tc>
        <w:tc>
          <w:tcPr>
            <w:tcW w:w="2607" w:type="dxa"/>
          </w:tcPr>
          <w:p>
            <w:pPr>
              <w:pStyle w:val="TableParagraph"/>
              <w:ind w:right="100"/>
              <w:jc w:val="right"/>
              <w:rPr>
                <w:sz w:val="20"/>
              </w:rPr>
            </w:pPr>
            <w:r>
              <w:rPr>
                <w:spacing w:val="-2"/>
                <w:sz w:val="20"/>
              </w:rPr>
              <w:t>3.033833</w:t>
            </w:r>
          </w:p>
        </w:tc>
        <w:tc>
          <w:tcPr>
            <w:tcW w:w="2278" w:type="dxa"/>
          </w:tcPr>
          <w:p>
            <w:pPr>
              <w:pStyle w:val="TableParagraph"/>
              <w:ind w:right="99"/>
              <w:jc w:val="right"/>
              <w:rPr>
                <w:sz w:val="20"/>
              </w:rPr>
            </w:pPr>
            <w:r>
              <w:rPr>
                <w:spacing w:val="-2"/>
                <w:sz w:val="20"/>
              </w:rPr>
              <w:t>0.0079</w:t>
            </w:r>
          </w:p>
        </w:tc>
        <w:tc>
          <w:tcPr>
            <w:tcW w:w="1704" w:type="dxa"/>
          </w:tcPr>
          <w:p>
            <w:pPr>
              <w:pStyle w:val="TableParagraph"/>
              <w:ind w:right="102"/>
              <w:jc w:val="right"/>
              <w:rPr>
                <w:sz w:val="20"/>
              </w:rPr>
            </w:pPr>
            <w:r>
              <w:rPr>
                <w:spacing w:val="-2"/>
                <w:sz w:val="20"/>
              </w:rPr>
              <w:t>Significant</w:t>
            </w:r>
          </w:p>
        </w:tc>
      </w:tr>
      <w:tr>
        <w:trPr>
          <w:trHeight w:val="342" w:hRule="atLeast"/>
        </w:trPr>
        <w:tc>
          <w:tcPr>
            <w:tcW w:w="1935" w:type="dxa"/>
          </w:tcPr>
          <w:p>
            <w:pPr>
              <w:pStyle w:val="TableParagraph"/>
              <w:spacing w:line="229" w:lineRule="exact"/>
              <w:ind w:left="6" w:right="5"/>
              <w:jc w:val="center"/>
              <w:rPr>
                <w:rFonts w:ascii="Arial MT"/>
                <w:sz w:val="20"/>
              </w:rPr>
            </w:pPr>
            <w:r>
              <w:rPr>
                <w:rFonts w:ascii="Arial MT"/>
                <w:spacing w:val="-5"/>
                <w:sz w:val="20"/>
              </w:rPr>
              <w:t>DOP</w:t>
            </w:r>
          </w:p>
        </w:tc>
        <w:tc>
          <w:tcPr>
            <w:tcW w:w="1578" w:type="dxa"/>
          </w:tcPr>
          <w:p>
            <w:pPr>
              <w:pStyle w:val="TableParagraph"/>
              <w:ind w:right="100"/>
              <w:jc w:val="right"/>
              <w:rPr>
                <w:sz w:val="20"/>
              </w:rPr>
            </w:pPr>
            <w:r>
              <w:rPr>
                <w:spacing w:val="-2"/>
                <w:sz w:val="20"/>
              </w:rPr>
              <w:t>0.607809</w:t>
            </w:r>
          </w:p>
        </w:tc>
        <w:tc>
          <w:tcPr>
            <w:tcW w:w="2607" w:type="dxa"/>
          </w:tcPr>
          <w:p>
            <w:pPr>
              <w:pStyle w:val="TableParagraph"/>
              <w:ind w:right="100"/>
              <w:jc w:val="right"/>
              <w:rPr>
                <w:sz w:val="20"/>
              </w:rPr>
            </w:pPr>
            <w:r>
              <w:rPr>
                <w:spacing w:val="-2"/>
                <w:sz w:val="20"/>
              </w:rPr>
              <w:t>0.662893</w:t>
            </w:r>
          </w:p>
        </w:tc>
        <w:tc>
          <w:tcPr>
            <w:tcW w:w="2278" w:type="dxa"/>
          </w:tcPr>
          <w:p>
            <w:pPr>
              <w:pStyle w:val="TableParagraph"/>
              <w:ind w:right="99"/>
              <w:jc w:val="right"/>
              <w:rPr>
                <w:sz w:val="20"/>
              </w:rPr>
            </w:pPr>
            <w:r>
              <w:rPr>
                <w:spacing w:val="-2"/>
                <w:sz w:val="20"/>
              </w:rPr>
              <w:t>0.5168</w:t>
            </w:r>
          </w:p>
        </w:tc>
        <w:tc>
          <w:tcPr>
            <w:tcW w:w="1704" w:type="dxa"/>
          </w:tcPr>
          <w:p>
            <w:pPr>
              <w:pStyle w:val="TableParagraph"/>
              <w:ind w:right="102"/>
              <w:jc w:val="right"/>
              <w:rPr>
                <w:sz w:val="20"/>
              </w:rPr>
            </w:pPr>
            <w:r>
              <w:rPr>
                <w:spacing w:val="-2"/>
                <w:sz w:val="20"/>
              </w:rPr>
              <w:t>Insignificant</w:t>
            </w:r>
          </w:p>
        </w:tc>
      </w:tr>
      <w:tr>
        <w:trPr>
          <w:trHeight w:val="350" w:hRule="atLeast"/>
        </w:trPr>
        <w:tc>
          <w:tcPr>
            <w:tcW w:w="1935" w:type="dxa"/>
          </w:tcPr>
          <w:p>
            <w:pPr>
              <w:pStyle w:val="TableParagraph"/>
              <w:spacing w:line="229" w:lineRule="exact"/>
              <w:ind w:left="6" w:right="2"/>
              <w:jc w:val="center"/>
              <w:rPr>
                <w:rFonts w:ascii="Arial MT"/>
                <w:sz w:val="20"/>
              </w:rPr>
            </w:pPr>
            <w:r>
              <w:rPr>
                <w:rFonts w:ascii="Arial MT"/>
                <w:spacing w:val="-5"/>
                <w:sz w:val="20"/>
              </w:rPr>
              <w:t>INF</w:t>
            </w:r>
          </w:p>
        </w:tc>
        <w:tc>
          <w:tcPr>
            <w:tcW w:w="1578" w:type="dxa"/>
          </w:tcPr>
          <w:p>
            <w:pPr>
              <w:pStyle w:val="TableParagraph"/>
              <w:ind w:right="100"/>
              <w:jc w:val="right"/>
              <w:rPr>
                <w:sz w:val="20"/>
              </w:rPr>
            </w:pPr>
            <w:r>
              <w:rPr>
                <w:spacing w:val="-4"/>
                <w:sz w:val="20"/>
              </w:rPr>
              <w:t>-</w:t>
            </w:r>
            <w:r>
              <w:rPr>
                <w:spacing w:val="-2"/>
                <w:sz w:val="20"/>
              </w:rPr>
              <w:t>0.225469</w:t>
            </w:r>
          </w:p>
        </w:tc>
        <w:tc>
          <w:tcPr>
            <w:tcW w:w="2607" w:type="dxa"/>
          </w:tcPr>
          <w:p>
            <w:pPr>
              <w:pStyle w:val="TableParagraph"/>
              <w:ind w:right="100"/>
              <w:jc w:val="right"/>
              <w:rPr>
                <w:sz w:val="20"/>
              </w:rPr>
            </w:pPr>
            <w:r>
              <w:rPr>
                <w:spacing w:val="-4"/>
                <w:sz w:val="20"/>
              </w:rPr>
              <w:t>-</w:t>
            </w:r>
            <w:r>
              <w:rPr>
                <w:spacing w:val="-2"/>
                <w:sz w:val="20"/>
              </w:rPr>
              <w:t>0.687183</w:t>
            </w:r>
          </w:p>
        </w:tc>
        <w:tc>
          <w:tcPr>
            <w:tcW w:w="2278" w:type="dxa"/>
          </w:tcPr>
          <w:p>
            <w:pPr>
              <w:pStyle w:val="TableParagraph"/>
              <w:ind w:right="99"/>
              <w:jc w:val="right"/>
              <w:rPr>
                <w:sz w:val="20"/>
              </w:rPr>
            </w:pPr>
            <w:r>
              <w:rPr>
                <w:spacing w:val="-2"/>
                <w:sz w:val="20"/>
              </w:rPr>
              <w:t>0.5018</w:t>
            </w:r>
          </w:p>
        </w:tc>
        <w:tc>
          <w:tcPr>
            <w:tcW w:w="1704" w:type="dxa"/>
          </w:tcPr>
          <w:p>
            <w:pPr>
              <w:pStyle w:val="TableParagraph"/>
              <w:ind w:right="102"/>
              <w:jc w:val="right"/>
              <w:rPr>
                <w:sz w:val="20"/>
              </w:rPr>
            </w:pPr>
            <w:r>
              <w:rPr>
                <w:spacing w:val="-2"/>
                <w:sz w:val="20"/>
              </w:rPr>
              <w:t>Insignificant</w:t>
            </w:r>
          </w:p>
        </w:tc>
      </w:tr>
      <w:tr>
        <w:trPr>
          <w:trHeight w:val="349" w:hRule="atLeast"/>
        </w:trPr>
        <w:tc>
          <w:tcPr>
            <w:tcW w:w="1935" w:type="dxa"/>
          </w:tcPr>
          <w:p>
            <w:pPr>
              <w:pStyle w:val="TableParagraph"/>
              <w:spacing w:line="229" w:lineRule="exact"/>
              <w:ind w:left="6" w:right="2"/>
              <w:jc w:val="center"/>
              <w:rPr>
                <w:rFonts w:ascii="Arial MT"/>
                <w:sz w:val="20"/>
              </w:rPr>
            </w:pPr>
            <w:r>
              <w:rPr>
                <w:rFonts w:ascii="Arial MT"/>
                <w:spacing w:val="-5"/>
                <w:sz w:val="20"/>
              </w:rPr>
              <w:t>GCF</w:t>
            </w:r>
          </w:p>
        </w:tc>
        <w:tc>
          <w:tcPr>
            <w:tcW w:w="1578" w:type="dxa"/>
          </w:tcPr>
          <w:p>
            <w:pPr>
              <w:pStyle w:val="TableParagraph"/>
              <w:ind w:right="100"/>
              <w:jc w:val="right"/>
              <w:rPr>
                <w:sz w:val="20"/>
              </w:rPr>
            </w:pPr>
            <w:r>
              <w:rPr>
                <w:spacing w:val="-4"/>
                <w:sz w:val="20"/>
              </w:rPr>
              <w:t>-</w:t>
            </w:r>
            <w:r>
              <w:rPr>
                <w:spacing w:val="-2"/>
                <w:sz w:val="20"/>
              </w:rPr>
              <w:t>0.073375</w:t>
            </w:r>
          </w:p>
        </w:tc>
        <w:tc>
          <w:tcPr>
            <w:tcW w:w="2607" w:type="dxa"/>
          </w:tcPr>
          <w:p>
            <w:pPr>
              <w:pStyle w:val="TableParagraph"/>
              <w:ind w:right="100"/>
              <w:jc w:val="right"/>
              <w:rPr>
                <w:sz w:val="20"/>
              </w:rPr>
            </w:pPr>
            <w:r>
              <w:rPr>
                <w:spacing w:val="-4"/>
                <w:sz w:val="20"/>
              </w:rPr>
              <w:t>-</w:t>
            </w:r>
            <w:r>
              <w:rPr>
                <w:spacing w:val="-2"/>
                <w:sz w:val="20"/>
              </w:rPr>
              <w:t>0.689006</w:t>
            </w:r>
          </w:p>
        </w:tc>
        <w:tc>
          <w:tcPr>
            <w:tcW w:w="2278" w:type="dxa"/>
          </w:tcPr>
          <w:p>
            <w:pPr>
              <w:pStyle w:val="TableParagraph"/>
              <w:ind w:right="99"/>
              <w:jc w:val="right"/>
              <w:rPr>
                <w:sz w:val="20"/>
              </w:rPr>
            </w:pPr>
            <w:r>
              <w:rPr>
                <w:spacing w:val="-2"/>
                <w:sz w:val="20"/>
              </w:rPr>
              <w:t>0.5007</w:t>
            </w:r>
          </w:p>
        </w:tc>
        <w:tc>
          <w:tcPr>
            <w:tcW w:w="1704" w:type="dxa"/>
          </w:tcPr>
          <w:p>
            <w:pPr>
              <w:pStyle w:val="TableParagraph"/>
              <w:ind w:right="102"/>
              <w:jc w:val="right"/>
              <w:rPr>
                <w:sz w:val="20"/>
              </w:rPr>
            </w:pPr>
            <w:r>
              <w:rPr>
                <w:spacing w:val="-2"/>
                <w:sz w:val="20"/>
              </w:rPr>
              <w:t>Insignificant</w:t>
            </w:r>
          </w:p>
        </w:tc>
      </w:tr>
      <w:tr>
        <w:trPr>
          <w:trHeight w:val="357" w:hRule="atLeast"/>
        </w:trPr>
        <w:tc>
          <w:tcPr>
            <w:tcW w:w="1935" w:type="dxa"/>
          </w:tcPr>
          <w:p>
            <w:pPr>
              <w:pStyle w:val="TableParagraph"/>
              <w:spacing w:line="229" w:lineRule="exact"/>
              <w:ind w:left="6" w:right="1"/>
              <w:jc w:val="center"/>
              <w:rPr>
                <w:rFonts w:ascii="Arial MT"/>
                <w:sz w:val="20"/>
              </w:rPr>
            </w:pPr>
            <w:r>
              <w:rPr>
                <w:rFonts w:ascii="Arial MT"/>
                <w:spacing w:val="-5"/>
                <w:sz w:val="20"/>
              </w:rPr>
              <w:t>DR</w:t>
            </w:r>
          </w:p>
        </w:tc>
        <w:tc>
          <w:tcPr>
            <w:tcW w:w="1578" w:type="dxa"/>
          </w:tcPr>
          <w:p>
            <w:pPr>
              <w:pStyle w:val="TableParagraph"/>
              <w:ind w:right="100"/>
              <w:jc w:val="right"/>
              <w:rPr>
                <w:sz w:val="20"/>
              </w:rPr>
            </w:pPr>
            <w:r>
              <w:rPr>
                <w:spacing w:val="-2"/>
                <w:sz w:val="20"/>
              </w:rPr>
              <w:t>0.133897</w:t>
            </w:r>
          </w:p>
        </w:tc>
        <w:tc>
          <w:tcPr>
            <w:tcW w:w="2607" w:type="dxa"/>
          </w:tcPr>
          <w:p>
            <w:pPr>
              <w:pStyle w:val="TableParagraph"/>
              <w:ind w:right="100"/>
              <w:jc w:val="right"/>
              <w:rPr>
                <w:sz w:val="20"/>
              </w:rPr>
            </w:pPr>
            <w:r>
              <w:rPr>
                <w:spacing w:val="-2"/>
                <w:sz w:val="20"/>
              </w:rPr>
              <w:t>0.135099</w:t>
            </w:r>
          </w:p>
        </w:tc>
        <w:tc>
          <w:tcPr>
            <w:tcW w:w="2278" w:type="dxa"/>
          </w:tcPr>
          <w:p>
            <w:pPr>
              <w:pStyle w:val="TableParagraph"/>
              <w:ind w:right="99"/>
              <w:jc w:val="right"/>
              <w:rPr>
                <w:sz w:val="20"/>
              </w:rPr>
            </w:pPr>
            <w:r>
              <w:rPr>
                <w:spacing w:val="-2"/>
                <w:sz w:val="20"/>
              </w:rPr>
              <w:t>0.8942</w:t>
            </w:r>
          </w:p>
        </w:tc>
        <w:tc>
          <w:tcPr>
            <w:tcW w:w="1704" w:type="dxa"/>
          </w:tcPr>
          <w:p>
            <w:pPr>
              <w:pStyle w:val="TableParagraph"/>
              <w:ind w:right="102"/>
              <w:jc w:val="right"/>
              <w:rPr>
                <w:sz w:val="20"/>
              </w:rPr>
            </w:pPr>
            <w:r>
              <w:rPr>
                <w:spacing w:val="-2"/>
                <w:sz w:val="20"/>
              </w:rPr>
              <w:t>Insignificant</w:t>
            </w:r>
          </w:p>
        </w:tc>
      </w:tr>
    </w:tbl>
    <w:p>
      <w:pPr>
        <w:spacing w:after="0"/>
        <w:jc w:val="right"/>
        <w:rPr>
          <w:sz w:val="20"/>
        </w:rPr>
        <w:sectPr>
          <w:pgSz w:w="11910" w:h="16840"/>
          <w:pgMar w:header="0" w:footer="979" w:top="1340" w:bottom="1408" w:left="280" w:right="0"/>
        </w:sectPr>
      </w:pPr>
    </w:p>
    <w:tbl>
      <w:tblPr>
        <w:tblW w:w="0" w:type="auto"/>
        <w:jc w:val="left"/>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35"/>
        <w:gridCol w:w="1578"/>
        <w:gridCol w:w="2607"/>
        <w:gridCol w:w="2278"/>
        <w:gridCol w:w="1704"/>
      </w:tblGrid>
      <w:tr>
        <w:trPr>
          <w:trHeight w:val="360" w:hRule="atLeast"/>
        </w:trPr>
        <w:tc>
          <w:tcPr>
            <w:tcW w:w="1935" w:type="dxa"/>
          </w:tcPr>
          <w:p>
            <w:pPr>
              <w:pStyle w:val="TableParagraph"/>
              <w:spacing w:line="229" w:lineRule="exact"/>
              <w:ind w:left="6" w:right="6"/>
              <w:jc w:val="center"/>
              <w:rPr>
                <w:rFonts w:ascii="Arial MT"/>
                <w:sz w:val="20"/>
              </w:rPr>
            </w:pPr>
            <w:r>
              <w:rPr>
                <w:rFonts w:ascii="Arial MT"/>
                <w:spacing w:val="-2"/>
                <w:sz w:val="20"/>
              </w:rPr>
              <w:t>PRIVCR</w:t>
            </w:r>
          </w:p>
        </w:tc>
        <w:tc>
          <w:tcPr>
            <w:tcW w:w="1578" w:type="dxa"/>
          </w:tcPr>
          <w:p>
            <w:pPr>
              <w:pStyle w:val="TableParagraph"/>
              <w:ind w:right="100"/>
              <w:jc w:val="right"/>
              <w:rPr>
                <w:sz w:val="20"/>
              </w:rPr>
            </w:pPr>
            <w:r>
              <w:rPr>
                <w:spacing w:val="-2"/>
                <w:sz w:val="20"/>
              </w:rPr>
              <w:t>1.171950</w:t>
            </w:r>
          </w:p>
        </w:tc>
        <w:tc>
          <w:tcPr>
            <w:tcW w:w="2607" w:type="dxa"/>
          </w:tcPr>
          <w:p>
            <w:pPr>
              <w:pStyle w:val="TableParagraph"/>
              <w:ind w:right="100"/>
              <w:jc w:val="right"/>
              <w:rPr>
                <w:sz w:val="20"/>
              </w:rPr>
            </w:pPr>
            <w:r>
              <w:rPr>
                <w:spacing w:val="-2"/>
                <w:sz w:val="20"/>
              </w:rPr>
              <w:t>1.382751</w:t>
            </w:r>
          </w:p>
        </w:tc>
        <w:tc>
          <w:tcPr>
            <w:tcW w:w="2278" w:type="dxa"/>
          </w:tcPr>
          <w:p>
            <w:pPr>
              <w:pStyle w:val="TableParagraph"/>
              <w:ind w:right="99"/>
              <w:jc w:val="right"/>
              <w:rPr>
                <w:sz w:val="20"/>
              </w:rPr>
            </w:pPr>
            <w:r>
              <w:rPr>
                <w:spacing w:val="-2"/>
                <w:sz w:val="20"/>
              </w:rPr>
              <w:t>0.1857</w:t>
            </w:r>
          </w:p>
        </w:tc>
        <w:tc>
          <w:tcPr>
            <w:tcW w:w="1704" w:type="dxa"/>
          </w:tcPr>
          <w:p>
            <w:pPr>
              <w:pStyle w:val="TableParagraph"/>
              <w:ind w:right="102"/>
              <w:jc w:val="right"/>
              <w:rPr>
                <w:sz w:val="20"/>
              </w:rPr>
            </w:pPr>
            <w:r>
              <w:rPr>
                <w:spacing w:val="-2"/>
                <w:sz w:val="20"/>
              </w:rPr>
              <w:t>Insignificant</w:t>
            </w:r>
          </w:p>
        </w:tc>
      </w:tr>
      <w:tr>
        <w:trPr>
          <w:trHeight w:val="357" w:hRule="atLeast"/>
        </w:trPr>
        <w:tc>
          <w:tcPr>
            <w:tcW w:w="1935" w:type="dxa"/>
          </w:tcPr>
          <w:p>
            <w:pPr>
              <w:pStyle w:val="TableParagraph"/>
              <w:spacing w:line="229" w:lineRule="exact"/>
              <w:ind w:left="6" w:right="6"/>
              <w:jc w:val="center"/>
              <w:rPr>
                <w:rFonts w:ascii="Arial MT"/>
                <w:sz w:val="20"/>
              </w:rPr>
            </w:pPr>
            <w:r>
              <w:rPr>
                <w:rFonts w:ascii="Arial MT"/>
                <w:spacing w:val="-4"/>
                <w:sz w:val="20"/>
              </w:rPr>
              <w:t>USIRD</w:t>
            </w:r>
          </w:p>
        </w:tc>
        <w:tc>
          <w:tcPr>
            <w:tcW w:w="1578" w:type="dxa"/>
          </w:tcPr>
          <w:p>
            <w:pPr>
              <w:pStyle w:val="TableParagraph"/>
              <w:ind w:right="100"/>
              <w:jc w:val="right"/>
              <w:rPr>
                <w:sz w:val="20"/>
              </w:rPr>
            </w:pPr>
            <w:r>
              <w:rPr>
                <w:spacing w:val="-4"/>
                <w:sz w:val="20"/>
              </w:rPr>
              <w:t>-</w:t>
            </w:r>
            <w:r>
              <w:rPr>
                <w:spacing w:val="-2"/>
                <w:sz w:val="20"/>
              </w:rPr>
              <w:t>0.145371</w:t>
            </w:r>
          </w:p>
        </w:tc>
        <w:tc>
          <w:tcPr>
            <w:tcW w:w="2607" w:type="dxa"/>
          </w:tcPr>
          <w:p>
            <w:pPr>
              <w:pStyle w:val="TableParagraph"/>
              <w:ind w:right="100"/>
              <w:jc w:val="right"/>
              <w:rPr>
                <w:sz w:val="20"/>
              </w:rPr>
            </w:pPr>
            <w:r>
              <w:rPr>
                <w:spacing w:val="-4"/>
                <w:sz w:val="20"/>
              </w:rPr>
              <w:t>-</w:t>
            </w:r>
            <w:r>
              <w:rPr>
                <w:spacing w:val="-2"/>
                <w:sz w:val="20"/>
              </w:rPr>
              <w:t>0.268327</w:t>
            </w:r>
          </w:p>
        </w:tc>
        <w:tc>
          <w:tcPr>
            <w:tcW w:w="2278" w:type="dxa"/>
          </w:tcPr>
          <w:p>
            <w:pPr>
              <w:pStyle w:val="TableParagraph"/>
              <w:ind w:right="99"/>
              <w:jc w:val="right"/>
              <w:rPr>
                <w:sz w:val="20"/>
              </w:rPr>
            </w:pPr>
            <w:r>
              <w:rPr>
                <w:spacing w:val="-2"/>
                <w:sz w:val="20"/>
              </w:rPr>
              <w:t>0.7919</w:t>
            </w:r>
          </w:p>
        </w:tc>
        <w:tc>
          <w:tcPr>
            <w:tcW w:w="1704" w:type="dxa"/>
          </w:tcPr>
          <w:p>
            <w:pPr>
              <w:pStyle w:val="TableParagraph"/>
              <w:ind w:right="102"/>
              <w:jc w:val="right"/>
              <w:rPr>
                <w:sz w:val="20"/>
              </w:rPr>
            </w:pPr>
            <w:r>
              <w:rPr>
                <w:spacing w:val="-2"/>
                <w:sz w:val="20"/>
              </w:rPr>
              <w:t>Insignificant</w:t>
            </w:r>
          </w:p>
        </w:tc>
      </w:tr>
      <w:tr>
        <w:trPr>
          <w:trHeight w:val="359" w:hRule="atLeast"/>
        </w:trPr>
        <w:tc>
          <w:tcPr>
            <w:tcW w:w="1935" w:type="dxa"/>
          </w:tcPr>
          <w:p>
            <w:pPr>
              <w:pStyle w:val="TableParagraph"/>
              <w:spacing w:line="229" w:lineRule="exact"/>
              <w:ind w:left="6" w:right="4"/>
              <w:jc w:val="center"/>
              <w:rPr>
                <w:rFonts w:ascii="Arial MT"/>
                <w:sz w:val="20"/>
              </w:rPr>
            </w:pPr>
            <w:r>
              <w:rPr>
                <w:rFonts w:ascii="Arial MT"/>
                <w:spacing w:val="-4"/>
                <w:sz w:val="20"/>
              </w:rPr>
              <w:t>GOCE</w:t>
            </w:r>
          </w:p>
        </w:tc>
        <w:tc>
          <w:tcPr>
            <w:tcW w:w="1578" w:type="dxa"/>
          </w:tcPr>
          <w:p>
            <w:pPr>
              <w:pStyle w:val="TableParagraph"/>
              <w:ind w:right="100"/>
              <w:jc w:val="right"/>
              <w:rPr>
                <w:sz w:val="20"/>
              </w:rPr>
            </w:pPr>
            <w:r>
              <w:rPr>
                <w:spacing w:val="-4"/>
                <w:sz w:val="20"/>
              </w:rPr>
              <w:t>-</w:t>
            </w:r>
            <w:r>
              <w:rPr>
                <w:spacing w:val="-2"/>
                <w:sz w:val="20"/>
              </w:rPr>
              <w:t>0.579585</w:t>
            </w:r>
          </w:p>
        </w:tc>
        <w:tc>
          <w:tcPr>
            <w:tcW w:w="2607" w:type="dxa"/>
          </w:tcPr>
          <w:p>
            <w:pPr>
              <w:pStyle w:val="TableParagraph"/>
              <w:ind w:right="100"/>
              <w:jc w:val="right"/>
              <w:rPr>
                <w:sz w:val="20"/>
              </w:rPr>
            </w:pPr>
            <w:r>
              <w:rPr>
                <w:spacing w:val="-4"/>
                <w:sz w:val="20"/>
              </w:rPr>
              <w:t>-</w:t>
            </w:r>
            <w:r>
              <w:rPr>
                <w:spacing w:val="-2"/>
                <w:sz w:val="20"/>
              </w:rPr>
              <w:t>0.700069</w:t>
            </w:r>
          </w:p>
        </w:tc>
        <w:tc>
          <w:tcPr>
            <w:tcW w:w="2278" w:type="dxa"/>
          </w:tcPr>
          <w:p>
            <w:pPr>
              <w:pStyle w:val="TableParagraph"/>
              <w:ind w:right="99"/>
              <w:jc w:val="right"/>
              <w:rPr>
                <w:sz w:val="20"/>
              </w:rPr>
            </w:pPr>
            <w:r>
              <w:rPr>
                <w:spacing w:val="-2"/>
                <w:sz w:val="20"/>
              </w:rPr>
              <w:t>0.4939</w:t>
            </w:r>
          </w:p>
        </w:tc>
        <w:tc>
          <w:tcPr>
            <w:tcW w:w="1704" w:type="dxa"/>
          </w:tcPr>
          <w:p>
            <w:pPr>
              <w:pStyle w:val="TableParagraph"/>
              <w:ind w:right="102"/>
              <w:jc w:val="right"/>
              <w:rPr>
                <w:sz w:val="20"/>
              </w:rPr>
            </w:pPr>
            <w:r>
              <w:rPr>
                <w:spacing w:val="-2"/>
                <w:sz w:val="20"/>
              </w:rPr>
              <w:t>Insignificant</w:t>
            </w:r>
          </w:p>
        </w:tc>
      </w:tr>
    </w:tbl>
    <w:p>
      <w:pPr>
        <w:pStyle w:val="BodyText"/>
        <w:spacing w:before="8"/>
        <w:rPr>
          <w:b/>
          <w:sz w:val="2"/>
        </w:rPr>
      </w:pPr>
    </w:p>
    <w:tbl>
      <w:tblPr>
        <w:tblW w:w="0" w:type="auto"/>
        <w:jc w:val="left"/>
        <w:tblInd w:w="7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68"/>
        <w:gridCol w:w="1943"/>
        <w:gridCol w:w="3024"/>
        <w:gridCol w:w="1797"/>
      </w:tblGrid>
      <w:tr>
        <w:trPr>
          <w:trHeight w:val="275" w:hRule="atLeast"/>
        </w:trPr>
        <w:tc>
          <w:tcPr>
            <w:tcW w:w="2768" w:type="dxa"/>
          </w:tcPr>
          <w:p>
            <w:pPr>
              <w:pStyle w:val="TableParagraph"/>
              <w:spacing w:line="256" w:lineRule="exact"/>
              <w:ind w:left="43"/>
              <w:rPr>
                <w:sz w:val="24"/>
              </w:rPr>
            </w:pPr>
            <w:r>
              <w:rPr>
                <w:sz w:val="24"/>
              </w:rPr>
              <w:t>R-</w:t>
            </w:r>
            <w:r>
              <w:rPr>
                <w:spacing w:val="-2"/>
                <w:sz w:val="24"/>
              </w:rPr>
              <w:t>squared</w:t>
            </w:r>
          </w:p>
        </w:tc>
        <w:tc>
          <w:tcPr>
            <w:tcW w:w="1943" w:type="dxa"/>
          </w:tcPr>
          <w:p>
            <w:pPr>
              <w:pStyle w:val="TableParagraph"/>
              <w:spacing w:line="256" w:lineRule="exact"/>
              <w:ind w:right="149"/>
              <w:jc w:val="right"/>
              <w:rPr>
                <w:sz w:val="24"/>
              </w:rPr>
            </w:pPr>
            <w:r>
              <w:rPr>
                <w:spacing w:val="-2"/>
                <w:sz w:val="24"/>
              </w:rPr>
              <w:t>0.851692</w:t>
            </w:r>
          </w:p>
        </w:tc>
        <w:tc>
          <w:tcPr>
            <w:tcW w:w="3024" w:type="dxa"/>
          </w:tcPr>
          <w:p>
            <w:pPr>
              <w:pStyle w:val="TableParagraph"/>
              <w:spacing w:line="256" w:lineRule="exact"/>
              <w:ind w:left="149"/>
              <w:rPr>
                <w:sz w:val="24"/>
              </w:rPr>
            </w:pPr>
            <w:r>
              <w:rPr>
                <w:sz w:val="24"/>
              </w:rPr>
              <w:t>Mean</w:t>
            </w:r>
            <w:r>
              <w:rPr>
                <w:spacing w:val="-2"/>
                <w:sz w:val="24"/>
              </w:rPr>
              <w:t> </w:t>
            </w:r>
            <w:r>
              <w:rPr>
                <w:sz w:val="24"/>
              </w:rPr>
              <w:t>dependent</w:t>
            </w:r>
            <w:r>
              <w:rPr>
                <w:spacing w:val="-1"/>
                <w:sz w:val="24"/>
              </w:rPr>
              <w:t> </w:t>
            </w:r>
            <w:r>
              <w:rPr>
                <w:spacing w:val="-5"/>
                <w:sz w:val="24"/>
              </w:rPr>
              <w:t>var</w:t>
            </w:r>
          </w:p>
        </w:tc>
        <w:tc>
          <w:tcPr>
            <w:tcW w:w="1797" w:type="dxa"/>
          </w:tcPr>
          <w:p>
            <w:pPr>
              <w:pStyle w:val="TableParagraph"/>
              <w:spacing w:line="256" w:lineRule="exact"/>
              <w:ind w:right="31"/>
              <w:jc w:val="right"/>
              <w:rPr>
                <w:sz w:val="24"/>
              </w:rPr>
            </w:pPr>
            <w:r>
              <w:rPr>
                <w:spacing w:val="-2"/>
                <w:sz w:val="24"/>
              </w:rPr>
              <w:t>13.31938</w:t>
            </w:r>
          </w:p>
        </w:tc>
      </w:tr>
      <w:tr>
        <w:trPr>
          <w:trHeight w:val="280" w:hRule="atLeast"/>
        </w:trPr>
        <w:tc>
          <w:tcPr>
            <w:tcW w:w="2768" w:type="dxa"/>
          </w:tcPr>
          <w:p>
            <w:pPr>
              <w:pStyle w:val="TableParagraph"/>
              <w:spacing w:line="261" w:lineRule="exact"/>
              <w:ind w:left="43"/>
              <w:rPr>
                <w:sz w:val="24"/>
              </w:rPr>
            </w:pPr>
            <w:r>
              <w:rPr>
                <w:sz w:val="24"/>
              </w:rPr>
              <w:t>Adjusted</w:t>
            </w:r>
            <w:r>
              <w:rPr>
                <w:spacing w:val="-1"/>
                <w:sz w:val="24"/>
              </w:rPr>
              <w:t> </w:t>
            </w:r>
            <w:r>
              <w:rPr>
                <w:sz w:val="24"/>
              </w:rPr>
              <w:t>R-</w:t>
            </w:r>
            <w:r>
              <w:rPr>
                <w:spacing w:val="-2"/>
                <w:sz w:val="24"/>
              </w:rPr>
              <w:t>squared</w:t>
            </w:r>
          </w:p>
        </w:tc>
        <w:tc>
          <w:tcPr>
            <w:tcW w:w="1943" w:type="dxa"/>
          </w:tcPr>
          <w:p>
            <w:pPr>
              <w:pStyle w:val="TableParagraph"/>
              <w:spacing w:line="261" w:lineRule="exact"/>
              <w:ind w:right="149"/>
              <w:jc w:val="right"/>
              <w:rPr>
                <w:sz w:val="24"/>
              </w:rPr>
            </w:pPr>
            <w:r>
              <w:rPr>
                <w:spacing w:val="-2"/>
                <w:sz w:val="24"/>
              </w:rPr>
              <w:t>0.777538</w:t>
            </w:r>
          </w:p>
        </w:tc>
        <w:tc>
          <w:tcPr>
            <w:tcW w:w="3024" w:type="dxa"/>
          </w:tcPr>
          <w:p>
            <w:pPr>
              <w:pStyle w:val="TableParagraph"/>
              <w:spacing w:line="261" w:lineRule="exact"/>
              <w:ind w:left="149"/>
              <w:rPr>
                <w:sz w:val="24"/>
              </w:rPr>
            </w:pPr>
            <w:r>
              <w:rPr>
                <w:sz w:val="24"/>
              </w:rPr>
              <w:t>S.D.</w:t>
            </w:r>
            <w:r>
              <w:rPr>
                <w:spacing w:val="-4"/>
                <w:sz w:val="24"/>
              </w:rPr>
              <w:t> </w:t>
            </w:r>
            <w:r>
              <w:rPr>
                <w:sz w:val="24"/>
              </w:rPr>
              <w:t>dependent</w:t>
            </w:r>
            <w:r>
              <w:rPr>
                <w:spacing w:val="-2"/>
                <w:sz w:val="24"/>
              </w:rPr>
              <w:t> </w:t>
            </w:r>
            <w:r>
              <w:rPr>
                <w:spacing w:val="-5"/>
                <w:sz w:val="24"/>
              </w:rPr>
              <w:t>var</w:t>
            </w:r>
          </w:p>
        </w:tc>
        <w:tc>
          <w:tcPr>
            <w:tcW w:w="1797" w:type="dxa"/>
          </w:tcPr>
          <w:p>
            <w:pPr>
              <w:pStyle w:val="TableParagraph"/>
              <w:spacing w:line="261" w:lineRule="exact"/>
              <w:ind w:right="31"/>
              <w:jc w:val="right"/>
              <w:rPr>
                <w:sz w:val="24"/>
              </w:rPr>
            </w:pPr>
            <w:r>
              <w:rPr>
                <w:spacing w:val="-2"/>
                <w:sz w:val="24"/>
              </w:rPr>
              <w:t>1.711771</w:t>
            </w:r>
          </w:p>
        </w:tc>
      </w:tr>
      <w:tr>
        <w:trPr>
          <w:trHeight w:val="275" w:hRule="atLeast"/>
        </w:trPr>
        <w:tc>
          <w:tcPr>
            <w:tcW w:w="2768" w:type="dxa"/>
          </w:tcPr>
          <w:p>
            <w:pPr>
              <w:pStyle w:val="TableParagraph"/>
              <w:spacing w:line="256" w:lineRule="exact"/>
              <w:ind w:left="43"/>
              <w:rPr>
                <w:sz w:val="24"/>
              </w:rPr>
            </w:pPr>
            <w:r>
              <w:rPr>
                <w:sz w:val="24"/>
              </w:rPr>
              <w:t>S.E. of</w:t>
            </w:r>
            <w:r>
              <w:rPr>
                <w:spacing w:val="-1"/>
                <w:sz w:val="24"/>
              </w:rPr>
              <w:t> </w:t>
            </w:r>
            <w:r>
              <w:rPr>
                <w:spacing w:val="-2"/>
                <w:sz w:val="24"/>
              </w:rPr>
              <w:t>regression</w:t>
            </w:r>
          </w:p>
        </w:tc>
        <w:tc>
          <w:tcPr>
            <w:tcW w:w="1943" w:type="dxa"/>
          </w:tcPr>
          <w:p>
            <w:pPr>
              <w:pStyle w:val="TableParagraph"/>
              <w:spacing w:line="256" w:lineRule="exact"/>
              <w:ind w:right="149"/>
              <w:jc w:val="right"/>
              <w:rPr>
                <w:sz w:val="24"/>
              </w:rPr>
            </w:pPr>
            <w:r>
              <w:rPr>
                <w:spacing w:val="-2"/>
                <w:sz w:val="24"/>
              </w:rPr>
              <w:t>0.807372</w:t>
            </w:r>
          </w:p>
        </w:tc>
        <w:tc>
          <w:tcPr>
            <w:tcW w:w="3024" w:type="dxa"/>
          </w:tcPr>
          <w:p>
            <w:pPr>
              <w:pStyle w:val="TableParagraph"/>
              <w:spacing w:line="256" w:lineRule="exact"/>
              <w:ind w:left="149"/>
              <w:rPr>
                <w:sz w:val="24"/>
              </w:rPr>
            </w:pPr>
            <w:r>
              <w:rPr>
                <w:sz w:val="24"/>
              </w:rPr>
              <w:t>Akaike</w:t>
            </w:r>
            <w:r>
              <w:rPr>
                <w:spacing w:val="-4"/>
                <w:sz w:val="24"/>
              </w:rPr>
              <w:t> </w:t>
            </w:r>
            <w:r>
              <w:rPr>
                <w:sz w:val="24"/>
              </w:rPr>
              <w:t>info</w:t>
            </w:r>
            <w:r>
              <w:rPr>
                <w:spacing w:val="-1"/>
                <w:sz w:val="24"/>
              </w:rPr>
              <w:t> </w:t>
            </w:r>
            <w:r>
              <w:rPr>
                <w:spacing w:val="-2"/>
                <w:sz w:val="24"/>
              </w:rPr>
              <w:t>criterion</w:t>
            </w:r>
          </w:p>
        </w:tc>
        <w:tc>
          <w:tcPr>
            <w:tcW w:w="1797" w:type="dxa"/>
          </w:tcPr>
          <w:p>
            <w:pPr>
              <w:pStyle w:val="TableParagraph"/>
              <w:spacing w:line="256" w:lineRule="exact"/>
              <w:ind w:right="31"/>
              <w:jc w:val="right"/>
              <w:rPr>
                <w:sz w:val="24"/>
              </w:rPr>
            </w:pPr>
            <w:r>
              <w:rPr>
                <w:spacing w:val="-2"/>
                <w:sz w:val="24"/>
              </w:rPr>
              <w:t>2.683648</w:t>
            </w:r>
          </w:p>
        </w:tc>
      </w:tr>
      <w:tr>
        <w:trPr>
          <w:trHeight w:val="280" w:hRule="atLeast"/>
        </w:trPr>
        <w:tc>
          <w:tcPr>
            <w:tcW w:w="2768" w:type="dxa"/>
          </w:tcPr>
          <w:p>
            <w:pPr>
              <w:pStyle w:val="TableParagraph"/>
              <w:spacing w:line="261" w:lineRule="exact"/>
              <w:ind w:left="43"/>
              <w:rPr>
                <w:sz w:val="24"/>
              </w:rPr>
            </w:pPr>
            <w:r>
              <w:rPr>
                <w:sz w:val="24"/>
              </w:rPr>
              <w:t>Sum</w:t>
            </w:r>
            <w:r>
              <w:rPr>
                <w:spacing w:val="-2"/>
                <w:sz w:val="24"/>
              </w:rPr>
              <w:t> </w:t>
            </w:r>
            <w:r>
              <w:rPr>
                <w:sz w:val="24"/>
              </w:rPr>
              <w:t>squared</w:t>
            </w:r>
            <w:r>
              <w:rPr>
                <w:spacing w:val="-1"/>
                <w:sz w:val="24"/>
              </w:rPr>
              <w:t> </w:t>
            </w:r>
            <w:r>
              <w:rPr>
                <w:spacing w:val="-4"/>
                <w:sz w:val="24"/>
              </w:rPr>
              <w:t>resid</w:t>
            </w:r>
          </w:p>
        </w:tc>
        <w:tc>
          <w:tcPr>
            <w:tcW w:w="1943" w:type="dxa"/>
          </w:tcPr>
          <w:p>
            <w:pPr>
              <w:pStyle w:val="TableParagraph"/>
              <w:spacing w:line="261" w:lineRule="exact"/>
              <w:ind w:right="149"/>
              <w:jc w:val="right"/>
              <w:rPr>
                <w:sz w:val="24"/>
              </w:rPr>
            </w:pPr>
            <w:r>
              <w:rPr>
                <w:spacing w:val="-2"/>
                <w:sz w:val="24"/>
              </w:rPr>
              <w:t>10.42958</w:t>
            </w:r>
          </w:p>
        </w:tc>
        <w:tc>
          <w:tcPr>
            <w:tcW w:w="3024" w:type="dxa"/>
          </w:tcPr>
          <w:p>
            <w:pPr>
              <w:pStyle w:val="TableParagraph"/>
              <w:spacing w:line="261" w:lineRule="exact"/>
              <w:ind w:left="149"/>
              <w:rPr>
                <w:sz w:val="24"/>
              </w:rPr>
            </w:pPr>
            <w:r>
              <w:rPr>
                <w:sz w:val="24"/>
              </w:rPr>
              <w:t>Schwarz</w:t>
            </w:r>
            <w:r>
              <w:rPr>
                <w:spacing w:val="-5"/>
                <w:sz w:val="24"/>
              </w:rPr>
              <w:t> </w:t>
            </w:r>
            <w:r>
              <w:rPr>
                <w:spacing w:val="-2"/>
                <w:sz w:val="24"/>
              </w:rPr>
              <w:t>criterion</w:t>
            </w:r>
          </w:p>
        </w:tc>
        <w:tc>
          <w:tcPr>
            <w:tcW w:w="1797" w:type="dxa"/>
          </w:tcPr>
          <w:p>
            <w:pPr>
              <w:pStyle w:val="TableParagraph"/>
              <w:spacing w:line="261" w:lineRule="exact"/>
              <w:ind w:right="31"/>
              <w:jc w:val="right"/>
              <w:rPr>
                <w:sz w:val="24"/>
              </w:rPr>
            </w:pPr>
            <w:r>
              <w:rPr>
                <w:spacing w:val="-2"/>
                <w:sz w:val="24"/>
              </w:rPr>
              <w:t>3.122443</w:t>
            </w:r>
          </w:p>
        </w:tc>
      </w:tr>
      <w:tr>
        <w:trPr>
          <w:trHeight w:val="280" w:hRule="atLeast"/>
        </w:trPr>
        <w:tc>
          <w:tcPr>
            <w:tcW w:w="2768" w:type="dxa"/>
          </w:tcPr>
          <w:p>
            <w:pPr>
              <w:pStyle w:val="TableParagraph"/>
              <w:spacing w:line="261" w:lineRule="exact"/>
              <w:ind w:left="43"/>
              <w:rPr>
                <w:sz w:val="24"/>
              </w:rPr>
            </w:pPr>
            <w:r>
              <w:rPr>
                <w:sz w:val="24"/>
              </w:rPr>
              <w:t>Log</w:t>
            </w:r>
            <w:r>
              <w:rPr>
                <w:spacing w:val="-4"/>
                <w:sz w:val="24"/>
              </w:rPr>
              <w:t> </w:t>
            </w:r>
            <w:r>
              <w:rPr>
                <w:spacing w:val="-2"/>
                <w:sz w:val="24"/>
              </w:rPr>
              <w:t>likelihood</w:t>
            </w:r>
          </w:p>
        </w:tc>
        <w:tc>
          <w:tcPr>
            <w:tcW w:w="1943" w:type="dxa"/>
          </w:tcPr>
          <w:p>
            <w:pPr>
              <w:pStyle w:val="TableParagraph"/>
              <w:spacing w:line="261" w:lineRule="exact"/>
              <w:ind w:right="149"/>
              <w:jc w:val="right"/>
              <w:rPr>
                <w:sz w:val="24"/>
              </w:rPr>
            </w:pPr>
            <w:r>
              <w:rPr>
                <w:spacing w:val="-2"/>
                <w:sz w:val="24"/>
              </w:rPr>
              <w:t>-24.54559</w:t>
            </w:r>
          </w:p>
        </w:tc>
        <w:tc>
          <w:tcPr>
            <w:tcW w:w="3024" w:type="dxa"/>
          </w:tcPr>
          <w:p>
            <w:pPr>
              <w:pStyle w:val="TableParagraph"/>
              <w:spacing w:line="261" w:lineRule="exact"/>
              <w:ind w:left="149"/>
              <w:rPr>
                <w:sz w:val="24"/>
              </w:rPr>
            </w:pPr>
            <w:r>
              <w:rPr>
                <w:spacing w:val="-2"/>
                <w:sz w:val="24"/>
              </w:rPr>
              <w:t>F-statistic</w:t>
            </w:r>
          </w:p>
        </w:tc>
        <w:tc>
          <w:tcPr>
            <w:tcW w:w="1797" w:type="dxa"/>
          </w:tcPr>
          <w:p>
            <w:pPr>
              <w:pStyle w:val="TableParagraph"/>
              <w:spacing w:line="261" w:lineRule="exact"/>
              <w:ind w:right="31"/>
              <w:jc w:val="right"/>
              <w:rPr>
                <w:sz w:val="24"/>
              </w:rPr>
            </w:pPr>
            <w:r>
              <w:rPr>
                <w:spacing w:val="-2"/>
                <w:sz w:val="24"/>
              </w:rPr>
              <w:t>11.48545</w:t>
            </w:r>
          </w:p>
        </w:tc>
      </w:tr>
      <w:tr>
        <w:trPr>
          <w:trHeight w:val="321" w:hRule="atLeast"/>
        </w:trPr>
        <w:tc>
          <w:tcPr>
            <w:tcW w:w="2768" w:type="dxa"/>
            <w:tcBorders>
              <w:bottom w:val="double" w:sz="6" w:space="0" w:color="000000"/>
            </w:tcBorders>
          </w:tcPr>
          <w:p>
            <w:pPr>
              <w:pStyle w:val="TableParagraph"/>
              <w:spacing w:line="271" w:lineRule="exact"/>
              <w:ind w:left="43"/>
              <w:rPr>
                <w:sz w:val="24"/>
              </w:rPr>
            </w:pPr>
            <w:r>
              <w:rPr>
                <w:sz w:val="24"/>
              </w:rPr>
              <w:t>Durbin-Watson</w:t>
            </w:r>
            <w:r>
              <w:rPr>
                <w:spacing w:val="-3"/>
                <w:sz w:val="24"/>
              </w:rPr>
              <w:t> </w:t>
            </w:r>
            <w:r>
              <w:rPr>
                <w:spacing w:val="-4"/>
                <w:sz w:val="24"/>
              </w:rPr>
              <w:t>stat</w:t>
            </w:r>
          </w:p>
        </w:tc>
        <w:tc>
          <w:tcPr>
            <w:tcW w:w="1943" w:type="dxa"/>
          </w:tcPr>
          <w:p>
            <w:pPr>
              <w:pStyle w:val="TableParagraph"/>
              <w:spacing w:line="271" w:lineRule="exact"/>
              <w:ind w:right="149"/>
              <w:jc w:val="right"/>
              <w:rPr>
                <w:sz w:val="24"/>
              </w:rPr>
            </w:pPr>
            <w:r>
              <w:rPr>
                <w:spacing w:val="-2"/>
                <w:sz w:val="24"/>
              </w:rPr>
              <w:t>2.170467</w:t>
            </w:r>
          </w:p>
        </w:tc>
        <w:tc>
          <w:tcPr>
            <w:tcW w:w="3024" w:type="dxa"/>
            <w:tcBorders>
              <w:bottom w:val="double" w:sz="6" w:space="0" w:color="000000"/>
            </w:tcBorders>
          </w:tcPr>
          <w:p>
            <w:pPr>
              <w:pStyle w:val="TableParagraph"/>
              <w:spacing w:line="271" w:lineRule="exact"/>
              <w:ind w:left="149"/>
              <w:rPr>
                <w:sz w:val="24"/>
              </w:rPr>
            </w:pPr>
            <w:r>
              <w:rPr>
                <w:spacing w:val="-2"/>
                <w:sz w:val="24"/>
              </w:rPr>
              <w:t>Prob(F-statistic)</w:t>
            </w:r>
          </w:p>
        </w:tc>
        <w:tc>
          <w:tcPr>
            <w:tcW w:w="1797" w:type="dxa"/>
          </w:tcPr>
          <w:p>
            <w:pPr>
              <w:pStyle w:val="TableParagraph"/>
              <w:spacing w:line="271" w:lineRule="exact"/>
              <w:ind w:right="31"/>
              <w:jc w:val="right"/>
              <w:rPr>
                <w:sz w:val="24"/>
              </w:rPr>
            </w:pPr>
            <w:r>
              <w:rPr>
                <w:spacing w:val="-2"/>
                <w:sz w:val="24"/>
              </w:rPr>
              <w:t>0.000025</w:t>
            </w:r>
          </w:p>
        </w:tc>
      </w:tr>
    </w:tbl>
    <w:p>
      <w:pPr>
        <w:pStyle w:val="BodyText"/>
        <w:spacing w:before="3"/>
        <w:ind w:left="711"/>
      </w:pPr>
      <w:r>
        <w:rPr>
          <w:b/>
        </w:rPr>
        <w:t>Source:</w:t>
      </w:r>
      <w:r>
        <w:rPr>
          <w:b/>
          <w:spacing w:val="-2"/>
        </w:rPr>
        <w:t> </w:t>
      </w:r>
      <w:r>
        <w:rPr/>
        <w:t>Computation,</w:t>
      </w:r>
      <w:r>
        <w:rPr>
          <w:spacing w:val="-1"/>
        </w:rPr>
        <w:t> </w:t>
      </w:r>
      <w:r>
        <w:rPr/>
        <w:t>using</w:t>
      </w:r>
      <w:r>
        <w:rPr>
          <w:spacing w:val="-3"/>
        </w:rPr>
        <w:t> </w:t>
      </w:r>
      <w:r>
        <w:rPr/>
        <w:t>E-view</w:t>
      </w:r>
      <w:r>
        <w:rPr>
          <w:spacing w:val="-2"/>
        </w:rPr>
        <w:t> </w:t>
      </w:r>
      <w:r>
        <w:rPr/>
        <w:t>statistical</w:t>
      </w:r>
      <w:r>
        <w:rPr>
          <w:spacing w:val="-1"/>
        </w:rPr>
        <w:t> </w:t>
      </w:r>
      <w:r>
        <w:rPr>
          <w:spacing w:val="-2"/>
        </w:rPr>
        <w:t>package</w:t>
      </w:r>
    </w:p>
    <w:p>
      <w:pPr>
        <w:pStyle w:val="BodyText"/>
      </w:pPr>
    </w:p>
    <w:p>
      <w:pPr>
        <w:pStyle w:val="BodyText"/>
        <w:spacing w:line="482" w:lineRule="auto" w:before="1"/>
        <w:ind w:left="711" w:right="471"/>
        <w:jc w:val="both"/>
        <w:rPr>
          <w:rFonts w:ascii="Cambria"/>
        </w:rPr>
      </w:pPr>
      <w:r>
        <w:rPr>
          <w:rFonts w:ascii="Cambria"/>
        </w:rPr>
        <w:t>The</w:t>
      </w:r>
      <w:r>
        <w:rPr>
          <w:rFonts w:ascii="Cambria"/>
          <w:spacing w:val="-1"/>
        </w:rPr>
        <w:t> </w:t>
      </w:r>
      <w:r>
        <w:rPr>
          <w:rFonts w:ascii="Cambria"/>
        </w:rPr>
        <w:t>short-run</w:t>
      </w:r>
      <w:r>
        <w:rPr>
          <w:rFonts w:ascii="Cambria"/>
          <w:spacing w:val="-1"/>
        </w:rPr>
        <w:t> </w:t>
      </w:r>
      <w:r>
        <w:rPr>
          <w:rFonts w:ascii="Cambria"/>
        </w:rPr>
        <w:t>relationship between</w:t>
      </w:r>
      <w:r>
        <w:rPr>
          <w:rFonts w:ascii="Cambria"/>
          <w:spacing w:val="-1"/>
        </w:rPr>
        <w:t> </w:t>
      </w:r>
      <w:r>
        <w:rPr>
          <w:rFonts w:ascii="Cambria"/>
        </w:rPr>
        <w:t>capital</w:t>
      </w:r>
      <w:r>
        <w:rPr>
          <w:rFonts w:ascii="Cambria"/>
          <w:spacing w:val="-1"/>
        </w:rPr>
        <w:t> </w:t>
      </w:r>
      <w:r>
        <w:rPr>
          <w:rFonts w:ascii="Cambria"/>
        </w:rPr>
        <w:t>flight</w:t>
      </w:r>
      <w:r>
        <w:rPr>
          <w:rFonts w:ascii="Cambria"/>
          <w:spacing w:val="-1"/>
        </w:rPr>
        <w:t> </w:t>
      </w:r>
      <w:r>
        <w:rPr>
          <w:rFonts w:ascii="Cambria"/>
        </w:rPr>
        <w:t>and</w:t>
      </w:r>
      <w:r>
        <w:rPr>
          <w:rFonts w:ascii="Cambria"/>
          <w:spacing w:val="-3"/>
        </w:rPr>
        <w:t> </w:t>
      </w:r>
      <w:r>
        <w:rPr>
          <w:rFonts w:ascii="Cambria"/>
        </w:rPr>
        <w:t>the</w:t>
      </w:r>
      <w:r>
        <w:rPr>
          <w:rFonts w:ascii="Cambria"/>
          <w:spacing w:val="-1"/>
        </w:rPr>
        <w:t> </w:t>
      </w:r>
      <w:r>
        <w:rPr>
          <w:rFonts w:ascii="Cambria"/>
        </w:rPr>
        <w:t>explanatory</w:t>
      </w:r>
      <w:r>
        <w:rPr>
          <w:rFonts w:ascii="Cambria"/>
          <w:spacing w:val="-2"/>
        </w:rPr>
        <w:t> </w:t>
      </w:r>
      <w:r>
        <w:rPr>
          <w:rFonts w:ascii="Cambria"/>
        </w:rPr>
        <w:t>variable in</w:t>
      </w:r>
      <w:r>
        <w:rPr>
          <w:rFonts w:ascii="Cambria"/>
          <w:spacing w:val="-1"/>
        </w:rPr>
        <w:t> </w:t>
      </w:r>
      <w:r>
        <w:rPr>
          <w:rFonts w:ascii="Cambria"/>
        </w:rPr>
        <w:t>the</w:t>
      </w:r>
      <w:r>
        <w:rPr>
          <w:rFonts w:ascii="Cambria"/>
          <w:spacing w:val="-1"/>
        </w:rPr>
        <w:t> </w:t>
      </w:r>
      <w:r>
        <w:rPr>
          <w:rFonts w:ascii="Cambria"/>
        </w:rPr>
        <w:t>Post-SAP</w:t>
      </w:r>
      <w:r>
        <w:rPr>
          <w:rFonts w:ascii="Cambria"/>
          <w:spacing w:val="-1"/>
        </w:rPr>
        <w:t> </w:t>
      </w:r>
      <w:r>
        <w:rPr>
          <w:rFonts w:ascii="Cambria"/>
        </w:rPr>
        <w:t>era can be expressed mathematically below:</w:t>
      </w:r>
    </w:p>
    <w:p>
      <w:pPr>
        <w:spacing w:line="276" w:lineRule="exact" w:before="0"/>
        <w:ind w:left="711" w:right="0" w:firstLine="0"/>
        <w:jc w:val="left"/>
        <w:rPr>
          <w:rFonts w:ascii="Cambria"/>
          <w:b/>
          <w:i/>
          <w:sz w:val="24"/>
        </w:rPr>
      </w:pPr>
      <w:r>
        <w:rPr>
          <w:rFonts w:ascii="Cambria"/>
          <w:b/>
          <w:i/>
          <w:position w:val="1"/>
          <w:sz w:val="24"/>
        </w:rPr>
        <w:t>KFW</w:t>
      </w:r>
      <w:r>
        <w:rPr>
          <w:rFonts w:ascii="Cambria"/>
          <w:b/>
          <w:i/>
          <w:sz w:val="16"/>
        </w:rPr>
        <w:t>PostSAP</w:t>
      </w:r>
      <w:r>
        <w:rPr>
          <w:rFonts w:ascii="Cambria"/>
          <w:b/>
          <w:i/>
          <w:spacing w:val="75"/>
          <w:sz w:val="16"/>
        </w:rPr>
        <w:t> </w:t>
      </w:r>
      <w:r>
        <w:rPr>
          <w:rFonts w:ascii="Cambria"/>
          <w:b/>
          <w:i/>
          <w:position w:val="1"/>
          <w:sz w:val="24"/>
        </w:rPr>
        <w:t>=</w:t>
      </w:r>
      <w:r>
        <w:rPr>
          <w:rFonts w:ascii="Cambria"/>
          <w:b/>
          <w:i/>
          <w:spacing w:val="75"/>
          <w:position w:val="1"/>
          <w:sz w:val="24"/>
        </w:rPr>
        <w:t> </w:t>
      </w:r>
      <w:r>
        <w:rPr>
          <w:position w:val="1"/>
          <w:sz w:val="24"/>
        </w:rPr>
        <w:t>1.953374</w:t>
      </w:r>
      <w:r>
        <w:rPr>
          <w:spacing w:val="66"/>
          <w:position w:val="1"/>
          <w:sz w:val="24"/>
        </w:rPr>
        <w:t> </w:t>
      </w:r>
      <w:r>
        <w:rPr>
          <w:rFonts w:ascii="Cambria"/>
          <w:b/>
          <w:i/>
          <w:position w:val="1"/>
          <w:sz w:val="24"/>
        </w:rPr>
        <w:t>+</w:t>
      </w:r>
      <w:r>
        <w:rPr>
          <w:rFonts w:ascii="Cambria"/>
          <w:b/>
          <w:i/>
          <w:spacing w:val="76"/>
          <w:position w:val="1"/>
          <w:sz w:val="24"/>
        </w:rPr>
        <w:t> </w:t>
      </w:r>
      <w:r>
        <w:rPr>
          <w:position w:val="1"/>
          <w:sz w:val="24"/>
        </w:rPr>
        <w:t>0.436002</w:t>
      </w:r>
      <w:r>
        <w:rPr>
          <w:rFonts w:ascii="Cambria"/>
          <w:b/>
          <w:i/>
          <w:sz w:val="16"/>
        </w:rPr>
        <w:t>EXTDEBT</w:t>
      </w:r>
      <w:r>
        <w:rPr>
          <w:rFonts w:ascii="Cambria"/>
          <w:b/>
          <w:i/>
          <w:spacing w:val="76"/>
          <w:w w:val="150"/>
          <w:sz w:val="16"/>
        </w:rPr>
        <w:t> </w:t>
      </w:r>
      <w:r>
        <w:rPr>
          <w:rFonts w:ascii="Cambria"/>
          <w:b/>
          <w:i/>
          <w:position w:val="1"/>
          <w:sz w:val="24"/>
        </w:rPr>
        <w:t>+</w:t>
      </w:r>
      <w:r>
        <w:rPr>
          <w:rFonts w:ascii="Cambria"/>
          <w:b/>
          <w:i/>
          <w:spacing w:val="73"/>
          <w:position w:val="1"/>
          <w:sz w:val="24"/>
        </w:rPr>
        <w:t> </w:t>
      </w:r>
      <w:r>
        <w:rPr>
          <w:position w:val="1"/>
          <w:sz w:val="24"/>
        </w:rPr>
        <w:t>0.607809</w:t>
      </w:r>
      <w:r>
        <w:rPr>
          <w:rFonts w:ascii="Cambria"/>
          <w:b/>
          <w:i/>
          <w:sz w:val="16"/>
        </w:rPr>
        <w:t>DOP</w:t>
      </w:r>
      <w:r>
        <w:rPr>
          <w:rFonts w:ascii="Cambria"/>
          <w:b/>
          <w:i/>
          <w:spacing w:val="77"/>
          <w:sz w:val="16"/>
        </w:rPr>
        <w:t> </w:t>
      </w:r>
      <w:r>
        <w:rPr>
          <w:rFonts w:ascii="Cambria"/>
          <w:b/>
          <w:i/>
          <w:position w:val="1"/>
          <w:sz w:val="24"/>
        </w:rPr>
        <w:t>-</w:t>
      </w:r>
      <w:r>
        <w:rPr>
          <w:rFonts w:ascii="Cambria"/>
          <w:b/>
          <w:i/>
          <w:spacing w:val="77"/>
          <w:position w:val="1"/>
          <w:sz w:val="24"/>
        </w:rPr>
        <w:t> </w:t>
      </w:r>
      <w:r>
        <w:rPr>
          <w:position w:val="1"/>
          <w:sz w:val="24"/>
        </w:rPr>
        <w:t>0.225469</w:t>
      </w:r>
      <w:r>
        <w:rPr>
          <w:rFonts w:ascii="Cambria"/>
          <w:b/>
          <w:i/>
          <w:sz w:val="16"/>
        </w:rPr>
        <w:t>INF</w:t>
      </w:r>
      <w:r>
        <w:rPr>
          <w:rFonts w:ascii="Cambria"/>
          <w:b/>
          <w:i/>
          <w:spacing w:val="76"/>
          <w:w w:val="150"/>
          <w:sz w:val="16"/>
        </w:rPr>
        <w:t> </w:t>
      </w:r>
      <w:r>
        <w:rPr>
          <w:position w:val="1"/>
          <w:sz w:val="24"/>
        </w:rPr>
        <w:t>-0.073375</w:t>
      </w:r>
      <w:r>
        <w:rPr>
          <w:rFonts w:ascii="Cambria"/>
          <w:b/>
          <w:i/>
          <w:sz w:val="16"/>
        </w:rPr>
        <w:t>GCF</w:t>
      </w:r>
      <w:r>
        <w:rPr>
          <w:rFonts w:ascii="Cambria"/>
          <w:b/>
          <w:i/>
          <w:spacing w:val="77"/>
          <w:sz w:val="16"/>
        </w:rPr>
        <w:t> </w:t>
      </w:r>
      <w:r>
        <w:rPr>
          <w:rFonts w:ascii="Cambria"/>
          <w:b/>
          <w:i/>
          <w:sz w:val="16"/>
        </w:rPr>
        <w:t>+</w:t>
      </w:r>
      <w:r>
        <w:rPr>
          <w:rFonts w:ascii="Cambria"/>
          <w:b/>
          <w:i/>
          <w:spacing w:val="76"/>
          <w:sz w:val="16"/>
        </w:rPr>
        <w:t> </w:t>
      </w:r>
      <w:r>
        <w:rPr>
          <w:position w:val="1"/>
          <w:sz w:val="24"/>
        </w:rPr>
        <w:t>0.133897</w:t>
      </w:r>
      <w:r>
        <w:rPr>
          <w:rFonts w:ascii="Cambria"/>
          <w:b/>
          <w:i/>
          <w:sz w:val="16"/>
        </w:rPr>
        <w:t>DR</w:t>
      </w:r>
      <w:r>
        <w:rPr>
          <w:rFonts w:ascii="Cambria"/>
          <w:b/>
          <w:i/>
          <w:spacing w:val="77"/>
          <w:sz w:val="16"/>
        </w:rPr>
        <w:t> </w:t>
      </w:r>
      <w:r>
        <w:rPr>
          <w:rFonts w:ascii="Cambria"/>
          <w:b/>
          <w:i/>
          <w:spacing w:val="-10"/>
          <w:position w:val="1"/>
          <w:sz w:val="24"/>
        </w:rPr>
        <w:t>-</w:t>
      </w:r>
    </w:p>
    <w:p>
      <w:pPr>
        <w:pStyle w:val="BodyText"/>
        <w:spacing w:before="72"/>
        <w:rPr>
          <w:rFonts w:ascii="Cambria"/>
          <w:b/>
          <w:i/>
        </w:rPr>
      </w:pPr>
    </w:p>
    <w:p>
      <w:pPr>
        <w:tabs>
          <w:tab w:pos="3628" w:val="left" w:leader="none"/>
          <w:tab w:pos="8390" w:val="left" w:leader="dot"/>
        </w:tabs>
        <w:spacing w:before="0"/>
        <w:ind w:left="1705" w:right="0" w:firstLine="0"/>
        <w:jc w:val="left"/>
        <w:rPr>
          <w:rFonts w:ascii="Arial"/>
          <w:b/>
          <w:sz w:val="21"/>
        </w:rPr>
      </w:pPr>
      <w:r>
        <w:rPr>
          <w:spacing w:val="-2"/>
          <w:position w:val="2"/>
          <w:sz w:val="24"/>
        </w:rPr>
        <w:t>1.171950</w:t>
      </w:r>
      <w:r>
        <w:rPr>
          <w:rFonts w:ascii="Cambria"/>
          <w:b/>
          <w:i/>
          <w:spacing w:val="-2"/>
          <w:position w:val="1"/>
          <w:sz w:val="16"/>
        </w:rPr>
        <w:t>PRIVCR</w:t>
      </w:r>
      <w:r>
        <w:rPr>
          <w:rFonts w:ascii="Cambria"/>
          <w:b/>
          <w:i/>
          <w:position w:val="1"/>
          <w:sz w:val="16"/>
        </w:rPr>
        <w:tab/>
      </w:r>
      <w:r>
        <w:rPr>
          <w:rFonts w:ascii="Cambria"/>
          <w:b/>
          <w:i/>
          <w:position w:val="2"/>
          <w:sz w:val="24"/>
        </w:rPr>
        <w:t>- </w:t>
      </w:r>
      <w:r>
        <w:rPr>
          <w:position w:val="2"/>
          <w:sz w:val="24"/>
        </w:rPr>
        <w:t>0.145371</w:t>
      </w:r>
      <w:r>
        <w:rPr>
          <w:rFonts w:ascii="Cambria"/>
          <w:b/>
          <w:i/>
          <w:position w:val="1"/>
          <w:sz w:val="16"/>
        </w:rPr>
        <w:t>USIRD</w:t>
      </w:r>
      <w:r>
        <w:rPr>
          <w:rFonts w:ascii="Cambria"/>
          <w:b/>
          <w:i/>
          <w:spacing w:val="-2"/>
          <w:position w:val="1"/>
          <w:sz w:val="16"/>
        </w:rPr>
        <w:t> </w:t>
      </w:r>
      <w:r>
        <w:rPr>
          <w:rFonts w:ascii="Arial"/>
          <w:b/>
          <w:i/>
          <w:position w:val="1"/>
          <w:sz w:val="16"/>
        </w:rPr>
        <w:t>-</w:t>
      </w:r>
      <w:r>
        <w:rPr>
          <w:rFonts w:ascii="Arial"/>
          <w:b/>
          <w:i/>
          <w:spacing w:val="14"/>
          <w:position w:val="1"/>
          <w:sz w:val="16"/>
        </w:rPr>
        <w:t> </w:t>
      </w:r>
      <w:r>
        <w:rPr>
          <w:spacing w:val="-2"/>
          <w:position w:val="2"/>
          <w:sz w:val="24"/>
        </w:rPr>
        <w:t>0.579585</w:t>
      </w:r>
      <w:r>
        <w:rPr>
          <w:rFonts w:ascii="Arial"/>
          <w:b/>
          <w:i/>
          <w:spacing w:val="-2"/>
          <w:position w:val="1"/>
          <w:sz w:val="16"/>
        </w:rPr>
        <w:t>GOCE</w:t>
      </w:r>
      <w:r>
        <w:rPr>
          <w:position w:val="1"/>
          <w:sz w:val="16"/>
        </w:rPr>
        <w:tab/>
      </w:r>
      <w:r>
        <w:rPr>
          <w:rFonts w:ascii="Arial"/>
          <w:b/>
          <w:i/>
          <w:spacing w:val="-2"/>
          <w:position w:val="1"/>
          <w:sz w:val="16"/>
        </w:rPr>
        <w:t>(</w:t>
      </w:r>
      <w:r>
        <w:rPr>
          <w:rFonts w:ascii="Arial"/>
          <w:b/>
          <w:spacing w:val="-2"/>
          <w:sz w:val="21"/>
        </w:rPr>
        <w:t>4.7)</w:t>
      </w:r>
    </w:p>
    <w:p>
      <w:pPr>
        <w:pStyle w:val="BodyText"/>
        <w:spacing w:before="94"/>
        <w:rPr>
          <w:rFonts w:ascii="Arial"/>
          <w:b/>
        </w:rPr>
      </w:pPr>
    </w:p>
    <w:p>
      <w:pPr>
        <w:pStyle w:val="BodyText"/>
        <w:spacing w:line="480" w:lineRule="auto"/>
        <w:ind w:left="711" w:right="475"/>
        <w:rPr>
          <w:rFonts w:ascii="Cambria"/>
          <w:b/>
          <w:i/>
        </w:rPr>
      </w:pPr>
      <w:r>
        <w:rPr/>
        <w:t>The</w:t>
      </w:r>
      <w:r>
        <w:rPr>
          <w:spacing w:val="33"/>
        </w:rPr>
        <w:t> </w:t>
      </w:r>
      <w:r>
        <w:rPr/>
        <w:t>above</w:t>
      </w:r>
      <w:r>
        <w:rPr>
          <w:spacing w:val="33"/>
        </w:rPr>
        <w:t> </w:t>
      </w:r>
      <w:r>
        <w:rPr/>
        <w:t>result</w:t>
      </w:r>
      <w:r>
        <w:rPr>
          <w:spacing w:val="37"/>
        </w:rPr>
        <w:t> </w:t>
      </w:r>
      <w:r>
        <w:rPr/>
        <w:t>shows</w:t>
      </w:r>
      <w:r>
        <w:rPr>
          <w:spacing w:val="36"/>
        </w:rPr>
        <w:t> </w:t>
      </w:r>
      <w:r>
        <w:rPr/>
        <w:t>the</w:t>
      </w:r>
      <w:r>
        <w:rPr>
          <w:spacing w:val="34"/>
        </w:rPr>
        <w:t> </w:t>
      </w:r>
      <w:r>
        <w:rPr/>
        <w:t>summary</w:t>
      </w:r>
      <w:r>
        <w:rPr>
          <w:spacing w:val="32"/>
        </w:rPr>
        <w:t> </w:t>
      </w:r>
      <w:r>
        <w:rPr/>
        <w:t>of</w:t>
      </w:r>
      <w:r>
        <w:rPr>
          <w:spacing w:val="34"/>
        </w:rPr>
        <w:t> </w:t>
      </w:r>
      <w:r>
        <w:rPr/>
        <w:t>the</w:t>
      </w:r>
      <w:r>
        <w:rPr>
          <w:spacing w:val="36"/>
        </w:rPr>
        <w:t> </w:t>
      </w:r>
      <w:r>
        <w:rPr/>
        <w:t>short-run</w:t>
      </w:r>
      <w:r>
        <w:rPr>
          <w:spacing w:val="34"/>
        </w:rPr>
        <w:t> </w:t>
      </w:r>
      <w:r>
        <w:rPr/>
        <w:t>analysis</w:t>
      </w:r>
      <w:r>
        <w:rPr>
          <w:spacing w:val="37"/>
        </w:rPr>
        <w:t> </w:t>
      </w:r>
      <w:r>
        <w:rPr/>
        <w:t>for</w:t>
      </w:r>
      <w:r>
        <w:rPr>
          <w:spacing w:val="35"/>
        </w:rPr>
        <w:t> </w:t>
      </w:r>
      <w:r>
        <w:rPr/>
        <w:t>the</w:t>
      </w:r>
      <w:r>
        <w:rPr>
          <w:spacing w:val="36"/>
        </w:rPr>
        <w:t> </w:t>
      </w:r>
      <w:r>
        <w:rPr/>
        <w:t>Post-SAP</w:t>
      </w:r>
      <w:r>
        <w:rPr>
          <w:spacing w:val="35"/>
        </w:rPr>
        <w:t> </w:t>
      </w:r>
      <w:r>
        <w:rPr/>
        <w:t>era,</w:t>
      </w:r>
      <w:r>
        <w:rPr>
          <w:spacing w:val="35"/>
        </w:rPr>
        <w:t> </w:t>
      </w:r>
      <w:r>
        <w:rPr/>
        <w:t>the</w:t>
      </w:r>
      <w:r>
        <w:rPr>
          <w:spacing w:val="36"/>
        </w:rPr>
        <w:t> </w:t>
      </w:r>
      <w:r>
        <w:rPr/>
        <w:t>Post-</w:t>
      </w:r>
      <w:r>
        <w:rPr>
          <w:spacing w:val="34"/>
        </w:rPr>
        <w:t> </w:t>
      </w:r>
      <w:r>
        <w:rPr/>
        <w:t>SAP</w:t>
      </w:r>
      <w:r>
        <w:rPr>
          <w:spacing w:val="35"/>
        </w:rPr>
        <w:t> </w:t>
      </w:r>
      <w:r>
        <w:rPr/>
        <w:t>era signifies</w:t>
      </w:r>
      <w:r>
        <w:rPr>
          <w:spacing w:val="19"/>
        </w:rPr>
        <w:t> </w:t>
      </w:r>
      <w:r>
        <w:rPr/>
        <w:t>the</w:t>
      </w:r>
      <w:r>
        <w:rPr>
          <w:spacing w:val="21"/>
        </w:rPr>
        <w:t> </w:t>
      </w:r>
      <w:r>
        <w:rPr/>
        <w:t>era</w:t>
      </w:r>
      <w:r>
        <w:rPr>
          <w:spacing w:val="18"/>
        </w:rPr>
        <w:t> </w:t>
      </w:r>
      <w:r>
        <w:rPr/>
        <w:t>of</w:t>
      </w:r>
      <w:r>
        <w:rPr>
          <w:spacing w:val="18"/>
        </w:rPr>
        <w:t> </w:t>
      </w:r>
      <w:r>
        <w:rPr/>
        <w:t>deregulation</w:t>
      </w:r>
      <w:r>
        <w:rPr>
          <w:spacing w:val="19"/>
        </w:rPr>
        <w:t> </w:t>
      </w:r>
      <w:r>
        <w:rPr/>
        <w:t>and</w:t>
      </w:r>
      <w:r>
        <w:rPr>
          <w:spacing w:val="21"/>
        </w:rPr>
        <w:t> </w:t>
      </w:r>
      <w:r>
        <w:rPr/>
        <w:t>libralisation</w:t>
      </w:r>
      <w:r>
        <w:rPr>
          <w:spacing w:val="19"/>
        </w:rPr>
        <w:t> </w:t>
      </w:r>
      <w:r>
        <w:rPr/>
        <w:t>of</w:t>
      </w:r>
      <w:r>
        <w:rPr>
          <w:spacing w:val="18"/>
        </w:rPr>
        <w:t> </w:t>
      </w:r>
      <w:r>
        <w:rPr/>
        <w:t>the</w:t>
      </w:r>
      <w:r>
        <w:rPr>
          <w:spacing w:val="21"/>
        </w:rPr>
        <w:t> </w:t>
      </w:r>
      <w:r>
        <w:rPr/>
        <w:t>financial</w:t>
      </w:r>
      <w:r>
        <w:rPr>
          <w:spacing w:val="26"/>
        </w:rPr>
        <w:t> </w:t>
      </w:r>
      <w:r>
        <w:rPr/>
        <w:t>sector</w:t>
      </w:r>
      <w:r>
        <w:rPr>
          <w:spacing w:val="21"/>
        </w:rPr>
        <w:t> </w:t>
      </w:r>
      <w:r>
        <w:rPr/>
        <w:t>and</w:t>
      </w:r>
      <w:r>
        <w:rPr>
          <w:spacing w:val="19"/>
        </w:rPr>
        <w:t> </w:t>
      </w:r>
      <w:r>
        <w:rPr/>
        <w:t>the</w:t>
      </w:r>
      <w:r>
        <w:rPr>
          <w:spacing w:val="18"/>
        </w:rPr>
        <w:t> </w:t>
      </w:r>
      <w:r>
        <w:rPr/>
        <w:t>economy as</w:t>
      </w:r>
      <w:r>
        <w:rPr>
          <w:spacing w:val="19"/>
        </w:rPr>
        <w:t> </w:t>
      </w:r>
      <w:r>
        <w:rPr/>
        <w:t>a</w:t>
      </w:r>
      <w:r>
        <w:rPr>
          <w:spacing w:val="20"/>
        </w:rPr>
        <w:t> </w:t>
      </w:r>
      <w:r>
        <w:rPr/>
        <w:t>whole.</w:t>
      </w:r>
      <w:r>
        <w:rPr>
          <w:spacing w:val="19"/>
        </w:rPr>
        <w:t> </w:t>
      </w:r>
      <w:r>
        <w:rPr/>
        <w:t>The probability values show that only change in external debt is statistically significant in explaining the behaviour of the dependent variable (capital flight) because only its probability</w:t>
      </w:r>
      <w:r>
        <w:rPr>
          <w:spacing w:val="-2"/>
        </w:rPr>
        <w:t> </w:t>
      </w:r>
      <w:r>
        <w:rPr/>
        <w:t>value is less than 5 % while the</w:t>
      </w:r>
      <w:r>
        <w:rPr>
          <w:spacing w:val="40"/>
        </w:rPr>
        <w:t> </w:t>
      </w:r>
      <w:r>
        <w:rPr/>
        <w:t>probability</w:t>
      </w:r>
      <w:r>
        <w:rPr>
          <w:spacing w:val="40"/>
        </w:rPr>
        <w:t> </w:t>
      </w:r>
      <w:r>
        <w:rPr/>
        <w:t>values</w:t>
      </w:r>
      <w:r>
        <w:rPr>
          <w:spacing w:val="40"/>
        </w:rPr>
        <w:t> </w:t>
      </w:r>
      <w:r>
        <w:rPr/>
        <w:t>of</w:t>
      </w:r>
      <w:r>
        <w:rPr>
          <w:spacing w:val="40"/>
        </w:rPr>
        <w:t> </w:t>
      </w:r>
      <w:r>
        <w:rPr/>
        <w:t>other</w:t>
      </w:r>
      <w:r>
        <w:rPr>
          <w:spacing w:val="40"/>
        </w:rPr>
        <w:t> </w:t>
      </w:r>
      <w:r>
        <w:rPr/>
        <w:t>variables</w:t>
      </w:r>
      <w:r>
        <w:rPr>
          <w:spacing w:val="40"/>
        </w:rPr>
        <w:t> </w:t>
      </w:r>
      <w:r>
        <w:rPr/>
        <w:t>are</w:t>
      </w:r>
      <w:r>
        <w:rPr>
          <w:spacing w:val="40"/>
        </w:rPr>
        <w:t> </w:t>
      </w:r>
      <w:r>
        <w:rPr/>
        <w:t>greater</w:t>
      </w:r>
      <w:r>
        <w:rPr>
          <w:spacing w:val="40"/>
        </w:rPr>
        <w:t> </w:t>
      </w:r>
      <w:r>
        <w:rPr/>
        <w:t>than</w:t>
      </w:r>
      <w:r>
        <w:rPr>
          <w:spacing w:val="40"/>
        </w:rPr>
        <w:t> </w:t>
      </w:r>
      <w:r>
        <w:rPr/>
        <w:t>5</w:t>
      </w:r>
      <w:r>
        <w:rPr>
          <w:spacing w:val="40"/>
        </w:rPr>
        <w:t> </w:t>
      </w:r>
      <w:r>
        <w:rPr/>
        <w:t>%.</w:t>
      </w:r>
      <w:r>
        <w:rPr>
          <w:spacing w:val="40"/>
        </w:rPr>
        <w:t> </w:t>
      </w:r>
      <w:r>
        <w:rPr>
          <w:rFonts w:ascii="Cambria"/>
        </w:rPr>
        <w:t>The</w:t>
      </w:r>
      <w:r>
        <w:rPr>
          <w:rFonts w:ascii="Cambria"/>
          <w:spacing w:val="40"/>
        </w:rPr>
        <w:t> </w:t>
      </w:r>
      <w:r>
        <w:rPr>
          <w:rFonts w:ascii="Cambria"/>
        </w:rPr>
        <w:t>constant</w:t>
      </w:r>
      <w:r>
        <w:rPr>
          <w:rFonts w:ascii="Cambria"/>
          <w:spacing w:val="40"/>
        </w:rPr>
        <w:t> </w:t>
      </w:r>
      <w:r>
        <w:rPr>
          <w:rFonts w:ascii="Cambria"/>
        </w:rPr>
        <w:t>parameter</w:t>
      </w:r>
      <w:r>
        <w:rPr>
          <w:rFonts w:ascii="Cambria"/>
          <w:spacing w:val="40"/>
        </w:rPr>
        <w:t> </w:t>
      </w:r>
      <w:r>
        <w:rPr>
          <w:rFonts w:ascii="Cambria"/>
        </w:rPr>
        <w:t>is</w:t>
      </w:r>
      <w:r>
        <w:rPr>
          <w:rFonts w:ascii="Cambria"/>
          <w:spacing w:val="40"/>
        </w:rPr>
        <w:t> </w:t>
      </w:r>
      <w:r>
        <w:rPr>
          <w:rFonts w:ascii="Cambria"/>
        </w:rPr>
        <w:t>positively related to the dependent variable and has a value of1.953374</w:t>
      </w:r>
      <w:r>
        <w:rPr>
          <w:rFonts w:ascii="Cambria"/>
          <w:b/>
          <w:i/>
        </w:rPr>
        <w:t>.</w:t>
      </w:r>
    </w:p>
    <w:p>
      <w:pPr>
        <w:pStyle w:val="BodyText"/>
        <w:spacing w:line="480" w:lineRule="auto" w:before="2"/>
        <w:ind w:left="711" w:right="467"/>
        <w:jc w:val="both"/>
        <w:rPr>
          <w:rFonts w:ascii="Cambria" w:hAnsi="Cambria"/>
        </w:rPr>
      </w:pPr>
      <w:r>
        <w:rPr>
          <w:rFonts w:ascii="Cambria" w:hAnsi="Cambria"/>
        </w:rPr>
        <w:t>Change in External Debt (δEXTDEBT), Degree of Opennes (DOP) and Deposit Rate (DR) are positively signed while Inflation rate (INF), Gross capital formation (GCF), Private sector credit (PRIVCR),</w:t>
      </w:r>
      <w:r>
        <w:rPr>
          <w:rFonts w:ascii="Cambria" w:hAnsi="Cambria"/>
          <w:spacing w:val="80"/>
        </w:rPr>
        <w:t> </w:t>
      </w:r>
      <w:r>
        <w:rPr>
          <w:rFonts w:ascii="Cambria" w:hAnsi="Cambria"/>
        </w:rPr>
        <w:t>Interst rate</w:t>
      </w:r>
      <w:r>
        <w:rPr>
          <w:rFonts w:ascii="Cambria" w:hAnsi="Cambria"/>
          <w:spacing w:val="21"/>
        </w:rPr>
        <w:t> </w:t>
      </w:r>
      <w:r>
        <w:rPr>
          <w:rFonts w:ascii="Cambria" w:hAnsi="Cambria"/>
        </w:rPr>
        <w:t>differential (USIRD) and Government</w:t>
      </w:r>
      <w:r>
        <w:rPr>
          <w:rFonts w:ascii="Cambria" w:hAnsi="Cambria"/>
          <w:spacing w:val="21"/>
        </w:rPr>
        <w:t> </w:t>
      </w:r>
      <w:r>
        <w:rPr>
          <w:rFonts w:ascii="Cambria" w:hAnsi="Cambria"/>
        </w:rPr>
        <w:t>current</w:t>
      </w:r>
      <w:r>
        <w:rPr>
          <w:rFonts w:ascii="Cambria" w:hAnsi="Cambria"/>
          <w:spacing w:val="21"/>
        </w:rPr>
        <w:t> </w:t>
      </w:r>
      <w:r>
        <w:rPr>
          <w:rFonts w:ascii="Cambria" w:hAnsi="Cambria"/>
        </w:rPr>
        <w:t>expenditure</w:t>
      </w:r>
      <w:r>
        <w:rPr>
          <w:rFonts w:ascii="Cambria" w:hAnsi="Cambria"/>
          <w:spacing w:val="21"/>
        </w:rPr>
        <w:t> </w:t>
      </w:r>
      <w:r>
        <w:rPr>
          <w:rFonts w:ascii="Cambria" w:hAnsi="Cambria"/>
        </w:rPr>
        <w:t>(GOCE) are negativelt</w:t>
      </w:r>
      <w:r>
        <w:rPr>
          <w:rFonts w:ascii="Cambria" w:hAnsi="Cambria"/>
          <w:spacing w:val="21"/>
        </w:rPr>
        <w:t> </w:t>
      </w:r>
      <w:r>
        <w:rPr>
          <w:rFonts w:ascii="Cambria" w:hAnsi="Cambria"/>
        </w:rPr>
        <w:t>signed. A change in any of the positively signed variable will lead to increase rate of capital flight and a</w:t>
      </w:r>
      <w:r>
        <w:rPr>
          <w:rFonts w:ascii="Cambria" w:hAnsi="Cambria"/>
          <w:spacing w:val="80"/>
        </w:rPr>
        <w:t> </w:t>
      </w:r>
      <w:r>
        <w:rPr>
          <w:rFonts w:ascii="Cambria" w:hAnsi="Cambria"/>
        </w:rPr>
        <w:t>change in any of the negatively signed variables will reduce the rate of capital flight in Nigeria.</w:t>
      </w:r>
    </w:p>
    <w:p>
      <w:pPr>
        <w:pStyle w:val="BodyText"/>
        <w:spacing w:line="480" w:lineRule="auto"/>
        <w:ind w:left="711" w:right="471"/>
        <w:jc w:val="both"/>
      </w:pPr>
      <w:r>
        <w:rPr>
          <w:rFonts w:ascii="Cambria"/>
        </w:rPr>
        <w:t>Tthe coefficient of multiple determinants R</w:t>
      </w:r>
      <w:r>
        <w:rPr>
          <w:rFonts w:ascii="Cambria"/>
          <w:position w:val="6"/>
          <w:sz w:val="16"/>
        </w:rPr>
        <w:t>2 </w:t>
      </w:r>
      <w:r>
        <w:rPr>
          <w:rFonts w:ascii="Cambria"/>
        </w:rPr>
        <w:t>of 0.851692 showed that about 85% of the behaviour of capital flight was explained by the independent variables in the short-run.</w:t>
      </w:r>
      <w:r>
        <w:rPr>
          <w:rFonts w:ascii="Cambria"/>
          <w:spacing w:val="40"/>
        </w:rPr>
        <w:t> </w:t>
      </w:r>
      <w:r>
        <w:rPr>
          <w:rFonts w:ascii="Cambria"/>
        </w:rPr>
        <w:t>The </w:t>
      </w:r>
      <w:r>
        <w:rPr>
          <w:rFonts w:ascii="Cambria"/>
          <w:b/>
        </w:rPr>
        <w:t>f-statistic value of 11.48545</w:t>
      </w:r>
      <w:r>
        <w:rPr>
          <w:rFonts w:ascii="Cambria"/>
          <w:b/>
          <w:spacing w:val="67"/>
        </w:rPr>
        <w:t> </w:t>
      </w:r>
      <w:r>
        <w:rPr>
          <w:rFonts w:ascii="Cambria"/>
          <w:b/>
        </w:rPr>
        <w:t>that</w:t>
      </w:r>
      <w:r>
        <w:rPr>
          <w:rFonts w:ascii="Cambria"/>
          <w:b/>
          <w:spacing w:val="67"/>
        </w:rPr>
        <w:t> </w:t>
      </w:r>
      <w:r>
        <w:rPr>
          <w:rFonts w:ascii="Cambria"/>
          <w:b/>
        </w:rPr>
        <w:t>is</w:t>
      </w:r>
      <w:r>
        <w:rPr>
          <w:rFonts w:ascii="Cambria"/>
          <w:b/>
          <w:spacing w:val="72"/>
        </w:rPr>
        <w:t> </w:t>
      </w:r>
      <w:r>
        <w:rPr>
          <w:sz w:val="26"/>
        </w:rPr>
        <w:t>greater</w:t>
      </w:r>
      <w:r>
        <w:rPr>
          <w:spacing w:val="70"/>
          <w:sz w:val="26"/>
        </w:rPr>
        <w:t> </w:t>
      </w:r>
      <w:r>
        <w:rPr>
          <w:sz w:val="26"/>
        </w:rPr>
        <w:t>than</w:t>
      </w:r>
      <w:r>
        <w:rPr>
          <w:spacing w:val="70"/>
          <w:sz w:val="26"/>
        </w:rPr>
        <w:t> </w:t>
      </w:r>
      <w:r>
        <w:rPr/>
        <w:t>the</w:t>
      </w:r>
      <w:r>
        <w:rPr>
          <w:spacing w:val="70"/>
        </w:rPr>
        <w:t> </w:t>
      </w:r>
      <w:r>
        <w:rPr/>
        <w:t>F-tabulated</w:t>
      </w:r>
      <w:r>
        <w:rPr>
          <w:spacing w:val="69"/>
        </w:rPr>
        <w:t> </w:t>
      </w:r>
      <w:r>
        <w:rPr/>
        <w:t>value</w:t>
      </w:r>
      <w:r>
        <w:rPr>
          <w:spacing w:val="69"/>
        </w:rPr>
        <w:t> </w:t>
      </w:r>
      <w:r>
        <w:rPr/>
        <w:t>of</w:t>
      </w:r>
      <w:r>
        <w:rPr>
          <w:spacing w:val="70"/>
        </w:rPr>
        <w:t> </w:t>
      </w:r>
      <w:r>
        <w:rPr/>
        <w:t>2.27</w:t>
      </w:r>
      <w:r>
        <w:rPr>
          <w:spacing w:val="69"/>
        </w:rPr>
        <w:t> </w:t>
      </w:r>
      <w:r>
        <w:rPr/>
        <w:t>shows</w:t>
      </w:r>
      <w:r>
        <w:rPr>
          <w:spacing w:val="69"/>
        </w:rPr>
        <w:t> </w:t>
      </w:r>
      <w:r>
        <w:rPr/>
        <w:t>that</w:t>
      </w:r>
      <w:r>
        <w:rPr>
          <w:spacing w:val="70"/>
        </w:rPr>
        <w:t> </w:t>
      </w:r>
      <w:r>
        <w:rPr/>
        <w:t>the</w:t>
      </w:r>
      <w:r>
        <w:rPr>
          <w:spacing w:val="69"/>
        </w:rPr>
        <w:t> </w:t>
      </w:r>
      <w:r>
        <w:rPr/>
        <w:t>model</w:t>
      </w:r>
      <w:r>
        <w:rPr>
          <w:spacing w:val="67"/>
        </w:rPr>
        <w:t> </w:t>
      </w:r>
      <w:r>
        <w:rPr/>
        <w:t>is</w:t>
      </w:r>
      <w:r>
        <w:rPr>
          <w:spacing w:val="71"/>
        </w:rPr>
        <w:t> </w:t>
      </w:r>
      <w:r>
        <w:rPr>
          <w:spacing w:val="-2"/>
        </w:rPr>
        <w:t>statistically</w:t>
      </w:r>
    </w:p>
    <w:p>
      <w:pPr>
        <w:pStyle w:val="BodyText"/>
        <w:spacing w:line="275" w:lineRule="exact"/>
        <w:ind w:left="711"/>
      </w:pPr>
      <w:r>
        <w:rPr>
          <w:spacing w:val="-2"/>
        </w:rPr>
        <w:t>significant.</w:t>
      </w:r>
    </w:p>
    <w:p>
      <w:pPr>
        <w:spacing w:after="0" w:line="275" w:lineRule="exact"/>
        <w:sectPr>
          <w:type w:val="continuous"/>
          <w:pgSz w:w="11910" w:h="16840"/>
          <w:pgMar w:header="0" w:footer="979" w:top="1400" w:bottom="1240" w:left="280" w:right="0"/>
        </w:sectPr>
      </w:pPr>
    </w:p>
    <w:p>
      <w:pPr>
        <w:pStyle w:val="Heading6"/>
        <w:spacing w:before="60"/>
        <w:jc w:val="left"/>
        <w:rPr>
          <w:b w:val="0"/>
        </w:rPr>
      </w:pPr>
      <w:r>
        <w:rPr/>
        <w:t>Validation</w:t>
      </w:r>
      <w:r>
        <w:rPr>
          <w:spacing w:val="-1"/>
        </w:rPr>
        <w:t> </w:t>
      </w:r>
      <w:r>
        <w:rPr/>
        <w:t>and</w:t>
      </w:r>
      <w:r>
        <w:rPr>
          <w:spacing w:val="-1"/>
        </w:rPr>
        <w:t> </w:t>
      </w:r>
      <w:r>
        <w:rPr/>
        <w:t>testing</w:t>
      </w:r>
      <w:r>
        <w:rPr>
          <w:spacing w:val="-1"/>
        </w:rPr>
        <w:t> </w:t>
      </w:r>
      <w:r>
        <w:rPr/>
        <w:t>of</w:t>
      </w:r>
      <w:r>
        <w:rPr>
          <w:spacing w:val="1"/>
        </w:rPr>
        <w:t> </w:t>
      </w:r>
      <w:r>
        <w:rPr>
          <w:spacing w:val="-2"/>
        </w:rPr>
        <w:t>hypotheses</w:t>
      </w:r>
      <w:r>
        <w:rPr>
          <w:b w:val="0"/>
          <w:spacing w:val="-2"/>
        </w:rPr>
        <w:t>:</w:t>
      </w:r>
    </w:p>
    <w:p>
      <w:pPr>
        <w:pStyle w:val="BodyText"/>
        <w:spacing w:before="1"/>
      </w:pPr>
    </w:p>
    <w:p>
      <w:pPr>
        <w:pStyle w:val="BodyText"/>
        <w:ind w:left="711"/>
      </w:pPr>
      <w:r>
        <w:rPr/>
        <w:t>The</w:t>
      </w:r>
      <w:r>
        <w:rPr>
          <w:spacing w:val="-3"/>
        </w:rPr>
        <w:t> </w:t>
      </w:r>
      <w:r>
        <w:rPr/>
        <w:t>under</w:t>
      </w:r>
      <w:r>
        <w:rPr>
          <w:spacing w:val="-1"/>
        </w:rPr>
        <w:t> </w:t>
      </w:r>
      <w:r>
        <w:rPr/>
        <w:t>listed</w:t>
      </w:r>
      <w:r>
        <w:rPr>
          <w:spacing w:val="-1"/>
        </w:rPr>
        <w:t> </w:t>
      </w:r>
      <w:r>
        <w:rPr/>
        <w:t>hypotheses</w:t>
      </w:r>
      <w:r>
        <w:rPr>
          <w:spacing w:val="2"/>
        </w:rPr>
        <w:t> </w:t>
      </w:r>
      <w:r>
        <w:rPr/>
        <w:t>were</w:t>
      </w:r>
      <w:r>
        <w:rPr>
          <w:spacing w:val="-2"/>
        </w:rPr>
        <w:t> </w:t>
      </w:r>
      <w:r>
        <w:rPr/>
        <w:t>tested</w:t>
      </w:r>
      <w:r>
        <w:rPr>
          <w:spacing w:val="-1"/>
        </w:rPr>
        <w:t> </w:t>
      </w:r>
      <w:r>
        <w:rPr/>
        <w:t>under</w:t>
      </w:r>
      <w:r>
        <w:rPr>
          <w:spacing w:val="-1"/>
        </w:rPr>
        <w:t> </w:t>
      </w:r>
      <w:r>
        <w:rPr/>
        <w:t>model </w:t>
      </w:r>
      <w:r>
        <w:rPr>
          <w:spacing w:val="-5"/>
        </w:rPr>
        <w:t>4.</w:t>
      </w:r>
    </w:p>
    <w:p>
      <w:pPr>
        <w:pStyle w:val="BodyText"/>
      </w:pPr>
    </w:p>
    <w:p>
      <w:pPr>
        <w:pStyle w:val="BodyText"/>
        <w:ind w:left="711"/>
      </w:pPr>
      <w:r>
        <w:rPr/>
        <w:t>The</w:t>
      </w:r>
      <w:r>
        <w:rPr>
          <w:spacing w:val="-3"/>
        </w:rPr>
        <w:t> </w:t>
      </w:r>
      <w:r>
        <w:rPr/>
        <w:t>hypothesis to</w:t>
      </w:r>
      <w:r>
        <w:rPr>
          <w:spacing w:val="-1"/>
        </w:rPr>
        <w:t> </w:t>
      </w:r>
      <w:r>
        <w:rPr/>
        <w:t>be tested in</w:t>
      </w:r>
      <w:r>
        <w:rPr>
          <w:spacing w:val="-1"/>
        </w:rPr>
        <w:t> </w:t>
      </w:r>
      <w:r>
        <w:rPr/>
        <w:t>this model</w:t>
      </w:r>
      <w:r>
        <w:rPr>
          <w:spacing w:val="-1"/>
        </w:rPr>
        <w:t> </w:t>
      </w:r>
      <w:r>
        <w:rPr/>
        <w:t>is stated in</w:t>
      </w:r>
      <w:r>
        <w:rPr>
          <w:spacing w:val="-1"/>
        </w:rPr>
        <w:t> </w:t>
      </w:r>
      <w:r>
        <w:rPr/>
        <w:t>the null</w:t>
      </w:r>
      <w:r>
        <w:rPr>
          <w:spacing w:val="-1"/>
        </w:rPr>
        <w:t> </w:t>
      </w:r>
      <w:r>
        <w:rPr/>
        <w:t>form as </w:t>
      </w:r>
      <w:r>
        <w:rPr>
          <w:spacing w:val="-2"/>
        </w:rPr>
        <w:t>follows;</w:t>
      </w:r>
    </w:p>
    <w:p>
      <w:pPr>
        <w:pStyle w:val="BodyText"/>
        <w:spacing w:before="275"/>
        <w:ind w:left="711"/>
        <w:jc w:val="both"/>
      </w:pPr>
      <w:r>
        <w:rPr>
          <w:position w:val="2"/>
        </w:rPr>
        <w:t>H</w:t>
      </w:r>
      <w:r>
        <w:rPr>
          <w:sz w:val="16"/>
        </w:rPr>
        <w:t>01</w:t>
      </w:r>
      <w:r>
        <w:rPr>
          <w:position w:val="2"/>
        </w:rPr>
        <w:t>:</w:t>
      </w:r>
      <w:r>
        <w:rPr>
          <w:spacing w:val="26"/>
          <w:position w:val="2"/>
        </w:rPr>
        <w:t>  </w:t>
      </w:r>
      <w:r>
        <w:rPr>
          <w:position w:val="2"/>
        </w:rPr>
        <w:t>Macroeconomic,</w:t>
      </w:r>
      <w:r>
        <w:rPr>
          <w:spacing w:val="-2"/>
          <w:position w:val="2"/>
        </w:rPr>
        <w:t> </w:t>
      </w:r>
      <w:r>
        <w:rPr>
          <w:position w:val="2"/>
        </w:rPr>
        <w:t>Political</w:t>
      </w:r>
      <w:r>
        <w:rPr>
          <w:spacing w:val="1"/>
          <w:position w:val="2"/>
        </w:rPr>
        <w:t> </w:t>
      </w:r>
      <w:r>
        <w:rPr>
          <w:position w:val="2"/>
        </w:rPr>
        <w:t>and</w:t>
      </w:r>
      <w:r>
        <w:rPr>
          <w:spacing w:val="1"/>
          <w:position w:val="2"/>
        </w:rPr>
        <w:t> </w:t>
      </w:r>
      <w:r>
        <w:rPr>
          <w:position w:val="2"/>
        </w:rPr>
        <w:t>Institutional</w:t>
      </w:r>
      <w:r>
        <w:rPr>
          <w:spacing w:val="-1"/>
          <w:position w:val="2"/>
        </w:rPr>
        <w:t> </w:t>
      </w:r>
      <w:r>
        <w:rPr>
          <w:position w:val="2"/>
        </w:rPr>
        <w:t>factors</w:t>
      </w:r>
      <w:r>
        <w:rPr>
          <w:spacing w:val="-1"/>
          <w:position w:val="2"/>
        </w:rPr>
        <w:t> </w:t>
      </w:r>
      <w:r>
        <w:rPr>
          <w:position w:val="2"/>
        </w:rPr>
        <w:t>do</w:t>
      </w:r>
      <w:r>
        <w:rPr>
          <w:spacing w:val="-1"/>
          <w:position w:val="2"/>
        </w:rPr>
        <w:t> </w:t>
      </w:r>
      <w:r>
        <w:rPr>
          <w:position w:val="2"/>
        </w:rPr>
        <w:t>not</w:t>
      </w:r>
      <w:r>
        <w:rPr>
          <w:spacing w:val="-1"/>
          <w:position w:val="2"/>
        </w:rPr>
        <w:t> </w:t>
      </w:r>
      <w:r>
        <w:rPr>
          <w:position w:val="2"/>
        </w:rPr>
        <w:t>cause</w:t>
      </w:r>
      <w:r>
        <w:rPr>
          <w:spacing w:val="-3"/>
          <w:position w:val="2"/>
        </w:rPr>
        <w:t> </w:t>
      </w:r>
      <w:r>
        <w:rPr>
          <w:position w:val="2"/>
        </w:rPr>
        <w:t>capital</w:t>
      </w:r>
      <w:r>
        <w:rPr>
          <w:spacing w:val="-1"/>
          <w:position w:val="2"/>
        </w:rPr>
        <w:t> </w:t>
      </w:r>
      <w:r>
        <w:rPr>
          <w:position w:val="2"/>
        </w:rPr>
        <w:t>flight</w:t>
      </w:r>
      <w:r>
        <w:rPr>
          <w:spacing w:val="-1"/>
          <w:position w:val="2"/>
        </w:rPr>
        <w:t> </w:t>
      </w:r>
      <w:r>
        <w:rPr>
          <w:position w:val="2"/>
        </w:rPr>
        <w:t>in</w:t>
      </w:r>
      <w:r>
        <w:rPr>
          <w:spacing w:val="-1"/>
          <w:position w:val="2"/>
        </w:rPr>
        <w:t> </w:t>
      </w:r>
      <w:r>
        <w:rPr>
          <w:spacing w:val="-2"/>
          <w:position w:val="2"/>
        </w:rPr>
        <w:t>Nigeria.</w:t>
      </w:r>
    </w:p>
    <w:p>
      <w:pPr>
        <w:pStyle w:val="BodyText"/>
        <w:spacing w:line="477" w:lineRule="auto" w:before="273"/>
        <w:ind w:left="711" w:right="474"/>
        <w:jc w:val="both"/>
      </w:pPr>
      <w:r>
        <w:rPr>
          <w:position w:val="2"/>
        </w:rPr>
        <w:t>H</w:t>
      </w:r>
      <w:r>
        <w:rPr>
          <w:sz w:val="16"/>
        </w:rPr>
        <w:t>03</w:t>
      </w:r>
      <w:r>
        <w:rPr>
          <w:position w:val="2"/>
        </w:rPr>
        <w:t>:</w:t>
      </w:r>
      <w:r>
        <w:rPr>
          <w:spacing w:val="40"/>
          <w:position w:val="2"/>
        </w:rPr>
        <w:t>  </w:t>
      </w:r>
      <w:r>
        <w:rPr>
          <w:position w:val="2"/>
        </w:rPr>
        <w:t>Macroeconomic, Political and Institutional factors do not influence the choice of private wealth </w:t>
      </w:r>
      <w:r>
        <w:rPr/>
        <w:t>holders in Nigeria.</w:t>
      </w:r>
    </w:p>
    <w:p>
      <w:pPr>
        <w:pStyle w:val="BodyText"/>
        <w:spacing w:before="3"/>
        <w:ind w:left="711"/>
        <w:jc w:val="both"/>
      </w:pPr>
      <w:r>
        <w:rPr>
          <w:position w:val="2"/>
        </w:rPr>
        <w:t>H</w:t>
      </w:r>
      <w:r>
        <w:rPr>
          <w:sz w:val="16"/>
        </w:rPr>
        <w:t>04</w:t>
      </w:r>
      <w:r>
        <w:rPr>
          <w:spacing w:val="76"/>
          <w:sz w:val="16"/>
        </w:rPr>
        <w:t>  </w:t>
      </w:r>
      <w:r>
        <w:rPr>
          <w:position w:val="2"/>
        </w:rPr>
        <w:t>Capital flight</w:t>
      </w:r>
      <w:r>
        <w:rPr>
          <w:spacing w:val="-1"/>
          <w:position w:val="2"/>
        </w:rPr>
        <w:t> </w:t>
      </w:r>
      <w:r>
        <w:rPr>
          <w:position w:val="2"/>
        </w:rPr>
        <w:t>cannot be</w:t>
      </w:r>
      <w:r>
        <w:rPr>
          <w:spacing w:val="-1"/>
          <w:position w:val="2"/>
        </w:rPr>
        <w:t> </w:t>
      </w:r>
      <w:r>
        <w:rPr>
          <w:position w:val="2"/>
        </w:rPr>
        <w:t>stemmed</w:t>
      </w:r>
      <w:r>
        <w:rPr>
          <w:spacing w:val="-1"/>
          <w:position w:val="2"/>
        </w:rPr>
        <w:t> </w:t>
      </w:r>
      <w:r>
        <w:rPr>
          <w:position w:val="2"/>
        </w:rPr>
        <w:t>nor</w:t>
      </w:r>
      <w:r>
        <w:rPr>
          <w:spacing w:val="-2"/>
          <w:position w:val="2"/>
        </w:rPr>
        <w:t> </w:t>
      </w:r>
      <w:r>
        <w:rPr>
          <w:position w:val="2"/>
        </w:rPr>
        <w:t>reversed</w:t>
      </w:r>
      <w:r>
        <w:rPr>
          <w:spacing w:val="-1"/>
          <w:position w:val="2"/>
        </w:rPr>
        <w:t> </w:t>
      </w:r>
      <w:r>
        <w:rPr>
          <w:position w:val="2"/>
        </w:rPr>
        <w:t>in </w:t>
      </w:r>
      <w:r>
        <w:rPr>
          <w:spacing w:val="-2"/>
          <w:position w:val="2"/>
        </w:rPr>
        <w:t>Nigeria.</w:t>
      </w:r>
    </w:p>
    <w:p>
      <w:pPr>
        <w:pStyle w:val="BodyText"/>
        <w:spacing w:line="480" w:lineRule="auto" w:before="275"/>
        <w:ind w:left="711" w:right="471"/>
        <w:jc w:val="both"/>
      </w:pPr>
      <w:r>
        <w:rPr/>
        <w:t>Since the probability value of all the explanatory variables except the change in external debt are greater than 5% and not significant in the model, the</w:t>
      </w:r>
      <w:r>
        <w:rPr>
          <w:spacing w:val="40"/>
        </w:rPr>
        <w:t> </w:t>
      </w:r>
      <w:r>
        <w:rPr/>
        <w:t>alternative hypothesis is accepted for the variables while the null hypothses are acceptet for the remaining variables in the short run under the World Bank &amp; Erber (1985) approach. From the hypothesis, debt volatility is the major political variable that determines the rate of capital flight, political uncertainty is the major factor that influences the choice of wealth holders in Nigeria, capital flight can be reverse in Nigeria if there is political stability and the borrowed funds are adequately utilized for the intended purposes.</w:t>
      </w:r>
    </w:p>
    <w:p>
      <w:pPr>
        <w:pStyle w:val="Heading2"/>
        <w:spacing w:line="360" w:lineRule="auto" w:before="2"/>
        <w:ind w:right="468"/>
      </w:pPr>
      <w:r>
        <w:rPr/>
        <w:t>Table 4.8 Presentation and Interpretation of Post-SAP Short run Results for Model 4B (Morgan Guaranty Trust (1986) approach)</w:t>
      </w:r>
    </w:p>
    <w:p>
      <w:pPr>
        <w:spacing w:line="206" w:lineRule="exact" w:before="0"/>
        <w:ind w:left="780" w:right="0" w:firstLine="0"/>
        <w:jc w:val="both"/>
        <w:rPr>
          <w:b/>
          <w:sz w:val="18"/>
        </w:rPr>
      </w:pPr>
      <w:r>
        <w:rPr>
          <w:b/>
          <w:sz w:val="18"/>
        </w:rPr>
        <w:t>DEPENDENT VARIABLE</w:t>
      </w:r>
      <w:r>
        <w:rPr>
          <w:b/>
          <w:spacing w:val="-1"/>
          <w:sz w:val="18"/>
        </w:rPr>
        <w:t> </w:t>
      </w:r>
      <w:r>
        <w:rPr>
          <w:b/>
          <w:sz w:val="18"/>
        </w:rPr>
        <w:t>= </w:t>
      </w:r>
      <w:r>
        <w:rPr>
          <w:b/>
          <w:spacing w:val="-5"/>
          <w:sz w:val="18"/>
        </w:rPr>
        <w:t>KF</w:t>
      </w:r>
    </w:p>
    <w:p>
      <w:pPr>
        <w:pStyle w:val="BodyText"/>
        <w:spacing w:before="1"/>
        <w:rPr>
          <w:b/>
          <w:sz w:val="9"/>
        </w:rPr>
      </w:pPr>
    </w:p>
    <w:tbl>
      <w:tblPr>
        <w:tblW w:w="0" w:type="auto"/>
        <w:jc w:val="left"/>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35"/>
        <w:gridCol w:w="1578"/>
        <w:gridCol w:w="2607"/>
        <w:gridCol w:w="2278"/>
        <w:gridCol w:w="1704"/>
      </w:tblGrid>
      <w:tr>
        <w:trPr>
          <w:trHeight w:val="2177" w:hRule="atLeast"/>
        </w:trPr>
        <w:tc>
          <w:tcPr>
            <w:tcW w:w="1935" w:type="dxa"/>
          </w:tcPr>
          <w:p>
            <w:pPr>
              <w:pStyle w:val="TableParagraph"/>
              <w:rPr>
                <w:b/>
                <w:sz w:val="22"/>
              </w:rPr>
            </w:pPr>
          </w:p>
          <w:p>
            <w:pPr>
              <w:pStyle w:val="TableParagraph"/>
              <w:spacing w:before="67"/>
              <w:rPr>
                <w:b/>
                <w:sz w:val="22"/>
              </w:rPr>
            </w:pPr>
          </w:p>
          <w:p>
            <w:pPr>
              <w:pStyle w:val="TableParagraph"/>
              <w:spacing w:line="480" w:lineRule="auto"/>
              <w:ind w:left="105"/>
              <w:rPr>
                <w:rFonts w:ascii="Cambria"/>
                <w:b/>
                <w:sz w:val="22"/>
              </w:rPr>
            </w:pPr>
            <w:r>
              <w:rPr>
                <w:rFonts w:ascii="Cambria"/>
                <w:b/>
                <w:spacing w:val="-2"/>
                <w:sz w:val="22"/>
              </w:rPr>
              <w:t>INDEPENDENT VARIABLES</w:t>
            </w:r>
          </w:p>
        </w:tc>
        <w:tc>
          <w:tcPr>
            <w:tcW w:w="1578" w:type="dxa"/>
          </w:tcPr>
          <w:p>
            <w:pPr>
              <w:pStyle w:val="TableParagraph"/>
              <w:spacing w:before="63"/>
              <w:rPr>
                <w:b/>
                <w:sz w:val="22"/>
              </w:rPr>
            </w:pPr>
          </w:p>
          <w:p>
            <w:pPr>
              <w:pStyle w:val="TableParagraph"/>
              <w:spacing w:line="480" w:lineRule="auto"/>
              <w:ind w:left="107" w:right="98"/>
              <w:rPr>
                <w:rFonts w:ascii="Cambria"/>
                <w:b/>
                <w:sz w:val="22"/>
              </w:rPr>
            </w:pPr>
            <w:r>
              <w:rPr>
                <w:rFonts w:ascii="Cambria"/>
                <w:b/>
                <w:spacing w:val="-2"/>
                <w:sz w:val="22"/>
              </w:rPr>
              <w:t>COEFFICIENT </w:t>
            </w:r>
            <w:r>
              <w:rPr>
                <w:rFonts w:ascii="Cambria"/>
                <w:b/>
                <w:spacing w:val="-6"/>
                <w:sz w:val="22"/>
              </w:rPr>
              <w:t>OF </w:t>
            </w:r>
            <w:r>
              <w:rPr>
                <w:rFonts w:ascii="Cambria"/>
                <w:b/>
                <w:spacing w:val="-2"/>
                <w:sz w:val="22"/>
              </w:rPr>
              <w:t>ESTIMATES</w:t>
            </w:r>
          </w:p>
        </w:tc>
        <w:tc>
          <w:tcPr>
            <w:tcW w:w="2607" w:type="dxa"/>
          </w:tcPr>
          <w:p>
            <w:pPr>
              <w:pStyle w:val="TableParagraph"/>
              <w:rPr>
                <w:b/>
                <w:sz w:val="22"/>
              </w:rPr>
            </w:pPr>
          </w:p>
          <w:p>
            <w:pPr>
              <w:pStyle w:val="TableParagraph"/>
              <w:rPr>
                <w:b/>
                <w:sz w:val="22"/>
              </w:rPr>
            </w:pPr>
          </w:p>
          <w:p>
            <w:pPr>
              <w:pStyle w:val="TableParagraph"/>
              <w:spacing w:before="73"/>
              <w:rPr>
                <w:b/>
                <w:sz w:val="22"/>
              </w:rPr>
            </w:pPr>
          </w:p>
          <w:p>
            <w:pPr>
              <w:pStyle w:val="TableParagraph"/>
              <w:ind w:left="104"/>
              <w:rPr>
                <w:rFonts w:ascii="Cambria"/>
                <w:b/>
                <w:sz w:val="22"/>
              </w:rPr>
            </w:pPr>
            <w:r>
              <w:rPr>
                <w:rFonts w:ascii="Cambria"/>
                <w:b/>
                <w:sz w:val="22"/>
              </w:rPr>
              <w:t>T-</w:t>
            </w:r>
            <w:r>
              <w:rPr>
                <w:rFonts w:ascii="Cambria"/>
                <w:b/>
                <w:spacing w:val="-1"/>
                <w:sz w:val="22"/>
              </w:rPr>
              <w:t> </w:t>
            </w:r>
            <w:r>
              <w:rPr>
                <w:rFonts w:ascii="Cambria"/>
                <w:b/>
                <w:spacing w:val="-2"/>
                <w:sz w:val="22"/>
              </w:rPr>
              <w:t>STATISTICS</w:t>
            </w:r>
          </w:p>
        </w:tc>
        <w:tc>
          <w:tcPr>
            <w:tcW w:w="2278" w:type="dxa"/>
          </w:tcPr>
          <w:p>
            <w:pPr>
              <w:pStyle w:val="TableParagraph"/>
              <w:rPr>
                <w:b/>
                <w:sz w:val="22"/>
              </w:rPr>
            </w:pPr>
          </w:p>
          <w:p>
            <w:pPr>
              <w:pStyle w:val="TableParagraph"/>
              <w:spacing w:before="67"/>
              <w:rPr>
                <w:b/>
                <w:sz w:val="22"/>
              </w:rPr>
            </w:pPr>
          </w:p>
          <w:p>
            <w:pPr>
              <w:pStyle w:val="TableParagraph"/>
              <w:spacing w:line="480" w:lineRule="auto"/>
              <w:ind w:left="104" w:right="123"/>
              <w:rPr>
                <w:rFonts w:ascii="Cambria"/>
                <w:b/>
                <w:sz w:val="22"/>
              </w:rPr>
            </w:pPr>
            <w:r>
              <w:rPr>
                <w:rFonts w:ascii="Cambria"/>
                <w:b/>
                <w:spacing w:val="-2"/>
                <w:sz w:val="22"/>
              </w:rPr>
              <w:t>PROBABILITY VALUE</w:t>
            </w:r>
          </w:p>
        </w:tc>
        <w:tc>
          <w:tcPr>
            <w:tcW w:w="1704" w:type="dxa"/>
          </w:tcPr>
          <w:p>
            <w:pPr>
              <w:pStyle w:val="TableParagraph"/>
              <w:spacing w:before="2"/>
              <w:ind w:left="104"/>
              <w:rPr>
                <w:rFonts w:ascii="Cambria"/>
                <w:b/>
                <w:sz w:val="22"/>
              </w:rPr>
            </w:pPr>
            <w:r>
              <w:rPr>
                <w:rFonts w:ascii="Cambria"/>
                <w:b/>
                <w:spacing w:val="-2"/>
                <w:sz w:val="22"/>
              </w:rPr>
              <w:t>REMARKS</w:t>
            </w:r>
          </w:p>
        </w:tc>
      </w:tr>
      <w:tr>
        <w:trPr>
          <w:trHeight w:val="251" w:hRule="atLeast"/>
        </w:trPr>
        <w:tc>
          <w:tcPr>
            <w:tcW w:w="1935" w:type="dxa"/>
          </w:tcPr>
          <w:p>
            <w:pPr>
              <w:pStyle w:val="TableParagraph"/>
              <w:spacing w:line="232" w:lineRule="exact"/>
              <w:ind w:left="6"/>
              <w:jc w:val="center"/>
              <w:rPr>
                <w:rFonts w:ascii="Arial MT"/>
                <w:sz w:val="22"/>
              </w:rPr>
            </w:pPr>
            <w:r>
              <w:rPr>
                <w:rFonts w:ascii="Arial MT"/>
                <w:spacing w:val="-10"/>
                <w:sz w:val="22"/>
              </w:rPr>
              <w:t>C</w:t>
            </w:r>
          </w:p>
        </w:tc>
        <w:tc>
          <w:tcPr>
            <w:tcW w:w="1578" w:type="dxa"/>
          </w:tcPr>
          <w:p>
            <w:pPr>
              <w:pStyle w:val="TableParagraph"/>
              <w:spacing w:line="232" w:lineRule="exact"/>
              <w:ind w:right="97"/>
              <w:jc w:val="right"/>
              <w:rPr>
                <w:sz w:val="22"/>
              </w:rPr>
            </w:pPr>
            <w:r>
              <w:rPr>
                <w:spacing w:val="-2"/>
                <w:sz w:val="22"/>
              </w:rPr>
              <w:t>8.188526</w:t>
            </w:r>
          </w:p>
        </w:tc>
        <w:tc>
          <w:tcPr>
            <w:tcW w:w="2607" w:type="dxa"/>
          </w:tcPr>
          <w:p>
            <w:pPr>
              <w:pStyle w:val="TableParagraph"/>
              <w:spacing w:line="232" w:lineRule="exact"/>
              <w:ind w:right="97"/>
              <w:jc w:val="right"/>
              <w:rPr>
                <w:sz w:val="22"/>
              </w:rPr>
            </w:pPr>
            <w:r>
              <w:rPr>
                <w:spacing w:val="-2"/>
                <w:sz w:val="22"/>
              </w:rPr>
              <w:t>0.799965</w:t>
            </w:r>
          </w:p>
        </w:tc>
        <w:tc>
          <w:tcPr>
            <w:tcW w:w="2278" w:type="dxa"/>
          </w:tcPr>
          <w:p>
            <w:pPr>
              <w:pStyle w:val="TableParagraph"/>
              <w:spacing w:line="232" w:lineRule="exact"/>
              <w:ind w:right="97"/>
              <w:jc w:val="right"/>
              <w:rPr>
                <w:sz w:val="22"/>
              </w:rPr>
            </w:pPr>
            <w:r>
              <w:rPr>
                <w:spacing w:val="-2"/>
                <w:sz w:val="22"/>
              </w:rPr>
              <w:t>0.4354</w:t>
            </w:r>
          </w:p>
        </w:tc>
        <w:tc>
          <w:tcPr>
            <w:tcW w:w="1704" w:type="dxa"/>
          </w:tcPr>
          <w:p>
            <w:pPr>
              <w:pStyle w:val="TableParagraph"/>
              <w:spacing w:line="232" w:lineRule="exact"/>
              <w:ind w:right="99"/>
              <w:jc w:val="right"/>
              <w:rPr>
                <w:sz w:val="22"/>
              </w:rPr>
            </w:pPr>
            <w:r>
              <w:rPr>
                <w:spacing w:val="-2"/>
                <w:sz w:val="22"/>
              </w:rPr>
              <w:t>Insignificant</w:t>
            </w:r>
          </w:p>
        </w:tc>
      </w:tr>
      <w:tr>
        <w:trPr>
          <w:trHeight w:val="333" w:hRule="atLeast"/>
        </w:trPr>
        <w:tc>
          <w:tcPr>
            <w:tcW w:w="1935" w:type="dxa"/>
          </w:tcPr>
          <w:p>
            <w:pPr>
              <w:pStyle w:val="TableParagraph"/>
              <w:spacing w:before="2"/>
              <w:ind w:left="6" w:right="3"/>
              <w:jc w:val="center"/>
              <w:rPr>
                <w:rFonts w:ascii="Arial MT" w:hAnsi="Arial MT"/>
                <w:sz w:val="22"/>
              </w:rPr>
            </w:pPr>
            <w:r>
              <w:rPr>
                <w:rFonts w:ascii="Cambria" w:hAnsi="Cambria"/>
                <w:spacing w:val="-2"/>
                <w:sz w:val="22"/>
              </w:rPr>
              <w:t>δ</w:t>
            </w:r>
            <w:r>
              <w:rPr>
                <w:rFonts w:ascii="Arial MT" w:hAnsi="Arial MT"/>
                <w:spacing w:val="-2"/>
                <w:sz w:val="22"/>
              </w:rPr>
              <w:t>EXTDEBT</w:t>
            </w:r>
          </w:p>
        </w:tc>
        <w:tc>
          <w:tcPr>
            <w:tcW w:w="1578" w:type="dxa"/>
          </w:tcPr>
          <w:p>
            <w:pPr>
              <w:pStyle w:val="TableParagraph"/>
              <w:spacing w:before="1"/>
              <w:ind w:right="97"/>
              <w:jc w:val="right"/>
              <w:rPr>
                <w:sz w:val="22"/>
              </w:rPr>
            </w:pPr>
            <w:r>
              <w:rPr>
                <w:spacing w:val="-2"/>
                <w:sz w:val="22"/>
              </w:rPr>
              <w:t>0.345730</w:t>
            </w:r>
          </w:p>
        </w:tc>
        <w:tc>
          <w:tcPr>
            <w:tcW w:w="2607" w:type="dxa"/>
          </w:tcPr>
          <w:p>
            <w:pPr>
              <w:pStyle w:val="TableParagraph"/>
              <w:spacing w:before="1"/>
              <w:ind w:right="97"/>
              <w:jc w:val="right"/>
              <w:rPr>
                <w:sz w:val="22"/>
              </w:rPr>
            </w:pPr>
            <w:r>
              <w:rPr>
                <w:spacing w:val="-2"/>
                <w:sz w:val="22"/>
              </w:rPr>
              <w:t>1.474641</w:t>
            </w:r>
          </w:p>
        </w:tc>
        <w:tc>
          <w:tcPr>
            <w:tcW w:w="2278" w:type="dxa"/>
          </w:tcPr>
          <w:p>
            <w:pPr>
              <w:pStyle w:val="TableParagraph"/>
              <w:spacing w:before="1"/>
              <w:ind w:right="97"/>
              <w:jc w:val="right"/>
              <w:rPr>
                <w:sz w:val="22"/>
              </w:rPr>
            </w:pPr>
            <w:r>
              <w:rPr>
                <w:spacing w:val="-2"/>
                <w:sz w:val="22"/>
              </w:rPr>
              <w:t>0.1597</w:t>
            </w:r>
          </w:p>
        </w:tc>
        <w:tc>
          <w:tcPr>
            <w:tcW w:w="1704" w:type="dxa"/>
          </w:tcPr>
          <w:p>
            <w:pPr>
              <w:pStyle w:val="TableParagraph"/>
              <w:spacing w:before="1"/>
              <w:ind w:right="99"/>
              <w:jc w:val="right"/>
              <w:rPr>
                <w:sz w:val="22"/>
              </w:rPr>
            </w:pPr>
            <w:r>
              <w:rPr>
                <w:spacing w:val="-2"/>
                <w:sz w:val="22"/>
              </w:rPr>
              <w:t>Insignificant</w:t>
            </w:r>
          </w:p>
        </w:tc>
      </w:tr>
      <w:tr>
        <w:trPr>
          <w:trHeight w:val="340" w:hRule="atLeast"/>
        </w:trPr>
        <w:tc>
          <w:tcPr>
            <w:tcW w:w="1935" w:type="dxa"/>
          </w:tcPr>
          <w:p>
            <w:pPr>
              <w:pStyle w:val="TableParagraph"/>
              <w:ind w:left="6" w:right="3"/>
              <w:jc w:val="center"/>
              <w:rPr>
                <w:rFonts w:ascii="Arial MT"/>
                <w:sz w:val="22"/>
              </w:rPr>
            </w:pPr>
            <w:r>
              <w:rPr>
                <w:rFonts w:ascii="Arial MT"/>
                <w:spacing w:val="-5"/>
                <w:sz w:val="22"/>
              </w:rPr>
              <w:t>DOP</w:t>
            </w:r>
          </w:p>
        </w:tc>
        <w:tc>
          <w:tcPr>
            <w:tcW w:w="1578" w:type="dxa"/>
          </w:tcPr>
          <w:p>
            <w:pPr>
              <w:pStyle w:val="TableParagraph"/>
              <w:spacing w:line="251" w:lineRule="exact"/>
              <w:ind w:right="97"/>
              <w:jc w:val="right"/>
              <w:rPr>
                <w:sz w:val="22"/>
              </w:rPr>
            </w:pPr>
            <w:r>
              <w:rPr>
                <w:spacing w:val="-2"/>
                <w:sz w:val="22"/>
              </w:rPr>
              <w:t>0.594526</w:t>
            </w:r>
          </w:p>
        </w:tc>
        <w:tc>
          <w:tcPr>
            <w:tcW w:w="2607" w:type="dxa"/>
          </w:tcPr>
          <w:p>
            <w:pPr>
              <w:pStyle w:val="TableParagraph"/>
              <w:spacing w:line="251" w:lineRule="exact"/>
              <w:ind w:right="97"/>
              <w:jc w:val="right"/>
              <w:rPr>
                <w:sz w:val="22"/>
              </w:rPr>
            </w:pPr>
            <w:r>
              <w:rPr>
                <w:spacing w:val="-2"/>
                <w:sz w:val="22"/>
              </w:rPr>
              <w:t>0.397460</w:t>
            </w:r>
          </w:p>
        </w:tc>
        <w:tc>
          <w:tcPr>
            <w:tcW w:w="2278" w:type="dxa"/>
          </w:tcPr>
          <w:p>
            <w:pPr>
              <w:pStyle w:val="TableParagraph"/>
              <w:spacing w:line="251" w:lineRule="exact"/>
              <w:ind w:right="97"/>
              <w:jc w:val="right"/>
              <w:rPr>
                <w:sz w:val="22"/>
              </w:rPr>
            </w:pPr>
            <w:r>
              <w:rPr>
                <w:spacing w:val="-2"/>
                <w:sz w:val="22"/>
              </w:rPr>
              <w:t>0.6963</w:t>
            </w:r>
          </w:p>
        </w:tc>
        <w:tc>
          <w:tcPr>
            <w:tcW w:w="1704" w:type="dxa"/>
          </w:tcPr>
          <w:p>
            <w:pPr>
              <w:pStyle w:val="TableParagraph"/>
              <w:spacing w:line="251" w:lineRule="exact"/>
              <w:ind w:right="99"/>
              <w:jc w:val="right"/>
              <w:rPr>
                <w:sz w:val="22"/>
              </w:rPr>
            </w:pPr>
            <w:r>
              <w:rPr>
                <w:spacing w:val="-2"/>
                <w:sz w:val="22"/>
              </w:rPr>
              <w:t>Insignificant</w:t>
            </w:r>
          </w:p>
        </w:tc>
      </w:tr>
      <w:tr>
        <w:trPr>
          <w:trHeight w:val="350" w:hRule="atLeast"/>
        </w:trPr>
        <w:tc>
          <w:tcPr>
            <w:tcW w:w="1935" w:type="dxa"/>
          </w:tcPr>
          <w:p>
            <w:pPr>
              <w:pStyle w:val="TableParagraph"/>
              <w:ind w:left="6" w:right="1"/>
              <w:jc w:val="center"/>
              <w:rPr>
                <w:rFonts w:ascii="Arial MT"/>
                <w:sz w:val="22"/>
              </w:rPr>
            </w:pPr>
            <w:r>
              <w:rPr>
                <w:rFonts w:ascii="Arial MT"/>
                <w:spacing w:val="-5"/>
                <w:sz w:val="22"/>
              </w:rPr>
              <w:t>INF</w:t>
            </w:r>
          </w:p>
        </w:tc>
        <w:tc>
          <w:tcPr>
            <w:tcW w:w="1578" w:type="dxa"/>
          </w:tcPr>
          <w:p>
            <w:pPr>
              <w:pStyle w:val="TableParagraph"/>
              <w:spacing w:line="251" w:lineRule="exact"/>
              <w:ind w:right="101"/>
              <w:jc w:val="right"/>
              <w:rPr>
                <w:sz w:val="22"/>
              </w:rPr>
            </w:pPr>
            <w:r>
              <w:rPr>
                <w:spacing w:val="-4"/>
                <w:sz w:val="22"/>
              </w:rPr>
              <w:t>-</w:t>
            </w:r>
            <w:r>
              <w:rPr>
                <w:spacing w:val="-2"/>
                <w:sz w:val="22"/>
              </w:rPr>
              <w:t>0.146992</w:t>
            </w:r>
          </w:p>
        </w:tc>
        <w:tc>
          <w:tcPr>
            <w:tcW w:w="2607" w:type="dxa"/>
          </w:tcPr>
          <w:p>
            <w:pPr>
              <w:pStyle w:val="TableParagraph"/>
              <w:spacing w:line="251" w:lineRule="exact"/>
              <w:ind w:right="101"/>
              <w:jc w:val="right"/>
              <w:rPr>
                <w:sz w:val="22"/>
              </w:rPr>
            </w:pPr>
            <w:r>
              <w:rPr>
                <w:spacing w:val="-4"/>
                <w:sz w:val="22"/>
              </w:rPr>
              <w:t>-</w:t>
            </w:r>
            <w:r>
              <w:rPr>
                <w:spacing w:val="-2"/>
                <w:sz w:val="22"/>
              </w:rPr>
              <w:t>0.274614</w:t>
            </w:r>
          </w:p>
        </w:tc>
        <w:tc>
          <w:tcPr>
            <w:tcW w:w="2278" w:type="dxa"/>
          </w:tcPr>
          <w:p>
            <w:pPr>
              <w:pStyle w:val="TableParagraph"/>
              <w:spacing w:line="251" w:lineRule="exact"/>
              <w:ind w:right="97"/>
              <w:jc w:val="right"/>
              <w:rPr>
                <w:sz w:val="22"/>
              </w:rPr>
            </w:pPr>
            <w:r>
              <w:rPr>
                <w:spacing w:val="-2"/>
                <w:sz w:val="22"/>
              </w:rPr>
              <w:t>0.7871</w:t>
            </w:r>
          </w:p>
        </w:tc>
        <w:tc>
          <w:tcPr>
            <w:tcW w:w="1704" w:type="dxa"/>
          </w:tcPr>
          <w:p>
            <w:pPr>
              <w:pStyle w:val="TableParagraph"/>
              <w:spacing w:line="251" w:lineRule="exact"/>
              <w:ind w:right="99"/>
              <w:jc w:val="right"/>
              <w:rPr>
                <w:sz w:val="22"/>
              </w:rPr>
            </w:pPr>
            <w:r>
              <w:rPr>
                <w:spacing w:val="-2"/>
                <w:sz w:val="22"/>
              </w:rPr>
              <w:t>Insignificant</w:t>
            </w:r>
          </w:p>
        </w:tc>
      </w:tr>
      <w:tr>
        <w:trPr>
          <w:trHeight w:val="350" w:hRule="atLeast"/>
        </w:trPr>
        <w:tc>
          <w:tcPr>
            <w:tcW w:w="1935" w:type="dxa"/>
          </w:tcPr>
          <w:p>
            <w:pPr>
              <w:pStyle w:val="TableParagraph"/>
              <w:ind w:left="6" w:right="1"/>
              <w:jc w:val="center"/>
              <w:rPr>
                <w:rFonts w:ascii="Arial MT"/>
                <w:sz w:val="22"/>
              </w:rPr>
            </w:pPr>
            <w:r>
              <w:rPr>
                <w:rFonts w:ascii="Arial MT"/>
                <w:spacing w:val="-5"/>
                <w:sz w:val="22"/>
              </w:rPr>
              <w:t>GCF</w:t>
            </w:r>
          </w:p>
        </w:tc>
        <w:tc>
          <w:tcPr>
            <w:tcW w:w="1578" w:type="dxa"/>
          </w:tcPr>
          <w:p>
            <w:pPr>
              <w:pStyle w:val="TableParagraph"/>
              <w:spacing w:line="251" w:lineRule="exact"/>
              <w:ind w:right="97"/>
              <w:jc w:val="right"/>
              <w:rPr>
                <w:sz w:val="22"/>
              </w:rPr>
            </w:pPr>
            <w:r>
              <w:rPr>
                <w:spacing w:val="-2"/>
                <w:sz w:val="22"/>
              </w:rPr>
              <w:t>0.011961</w:t>
            </w:r>
          </w:p>
        </w:tc>
        <w:tc>
          <w:tcPr>
            <w:tcW w:w="2607" w:type="dxa"/>
          </w:tcPr>
          <w:p>
            <w:pPr>
              <w:pStyle w:val="TableParagraph"/>
              <w:spacing w:line="251" w:lineRule="exact"/>
              <w:ind w:right="97"/>
              <w:jc w:val="right"/>
              <w:rPr>
                <w:sz w:val="22"/>
              </w:rPr>
            </w:pPr>
            <w:r>
              <w:rPr>
                <w:spacing w:val="-2"/>
                <w:sz w:val="22"/>
              </w:rPr>
              <w:t>0.068846</w:t>
            </w:r>
          </w:p>
        </w:tc>
        <w:tc>
          <w:tcPr>
            <w:tcW w:w="2278" w:type="dxa"/>
          </w:tcPr>
          <w:p>
            <w:pPr>
              <w:pStyle w:val="TableParagraph"/>
              <w:spacing w:line="251" w:lineRule="exact"/>
              <w:ind w:right="97"/>
              <w:jc w:val="right"/>
              <w:rPr>
                <w:sz w:val="22"/>
              </w:rPr>
            </w:pPr>
            <w:r>
              <w:rPr>
                <w:spacing w:val="-2"/>
                <w:sz w:val="22"/>
              </w:rPr>
              <w:t>0.9460</w:t>
            </w:r>
          </w:p>
        </w:tc>
        <w:tc>
          <w:tcPr>
            <w:tcW w:w="1704" w:type="dxa"/>
          </w:tcPr>
          <w:p>
            <w:pPr>
              <w:pStyle w:val="TableParagraph"/>
              <w:spacing w:line="251" w:lineRule="exact"/>
              <w:ind w:right="99"/>
              <w:jc w:val="right"/>
              <w:rPr>
                <w:sz w:val="22"/>
              </w:rPr>
            </w:pPr>
            <w:r>
              <w:rPr>
                <w:spacing w:val="-2"/>
                <w:sz w:val="22"/>
              </w:rPr>
              <w:t>Insignificant</w:t>
            </w:r>
          </w:p>
        </w:tc>
      </w:tr>
      <w:tr>
        <w:trPr>
          <w:trHeight w:val="359" w:hRule="atLeast"/>
        </w:trPr>
        <w:tc>
          <w:tcPr>
            <w:tcW w:w="1935" w:type="dxa"/>
          </w:tcPr>
          <w:p>
            <w:pPr>
              <w:pStyle w:val="TableParagraph"/>
              <w:ind w:left="6" w:right="1"/>
              <w:jc w:val="center"/>
              <w:rPr>
                <w:rFonts w:ascii="Arial MT"/>
                <w:sz w:val="22"/>
              </w:rPr>
            </w:pPr>
            <w:r>
              <w:rPr>
                <w:rFonts w:ascii="Arial MT"/>
                <w:spacing w:val="-5"/>
                <w:sz w:val="22"/>
              </w:rPr>
              <w:t>DR</w:t>
            </w:r>
          </w:p>
        </w:tc>
        <w:tc>
          <w:tcPr>
            <w:tcW w:w="1578" w:type="dxa"/>
          </w:tcPr>
          <w:p>
            <w:pPr>
              <w:pStyle w:val="TableParagraph"/>
              <w:spacing w:line="251" w:lineRule="exact"/>
              <w:ind w:right="101"/>
              <w:jc w:val="right"/>
              <w:rPr>
                <w:sz w:val="22"/>
              </w:rPr>
            </w:pPr>
            <w:r>
              <w:rPr>
                <w:spacing w:val="-4"/>
                <w:sz w:val="22"/>
              </w:rPr>
              <w:t>-</w:t>
            </w:r>
            <w:r>
              <w:rPr>
                <w:spacing w:val="-2"/>
                <w:sz w:val="22"/>
              </w:rPr>
              <w:t>0.630047</w:t>
            </w:r>
          </w:p>
        </w:tc>
        <w:tc>
          <w:tcPr>
            <w:tcW w:w="2607" w:type="dxa"/>
          </w:tcPr>
          <w:p>
            <w:pPr>
              <w:pStyle w:val="TableParagraph"/>
              <w:spacing w:line="251" w:lineRule="exact"/>
              <w:ind w:right="101"/>
              <w:jc w:val="right"/>
              <w:rPr>
                <w:sz w:val="22"/>
              </w:rPr>
            </w:pPr>
            <w:r>
              <w:rPr>
                <w:spacing w:val="-4"/>
                <w:sz w:val="22"/>
              </w:rPr>
              <w:t>-</w:t>
            </w:r>
            <w:r>
              <w:rPr>
                <w:spacing w:val="-2"/>
                <w:sz w:val="22"/>
              </w:rPr>
              <w:t>0.389673</w:t>
            </w:r>
          </w:p>
        </w:tc>
        <w:tc>
          <w:tcPr>
            <w:tcW w:w="2278" w:type="dxa"/>
          </w:tcPr>
          <w:p>
            <w:pPr>
              <w:pStyle w:val="TableParagraph"/>
              <w:spacing w:line="251" w:lineRule="exact"/>
              <w:ind w:right="97"/>
              <w:jc w:val="right"/>
              <w:rPr>
                <w:sz w:val="22"/>
              </w:rPr>
            </w:pPr>
            <w:r>
              <w:rPr>
                <w:spacing w:val="-2"/>
                <w:sz w:val="22"/>
              </w:rPr>
              <w:t>0.7019</w:t>
            </w:r>
          </w:p>
        </w:tc>
        <w:tc>
          <w:tcPr>
            <w:tcW w:w="1704" w:type="dxa"/>
          </w:tcPr>
          <w:p>
            <w:pPr>
              <w:pStyle w:val="TableParagraph"/>
              <w:spacing w:line="251" w:lineRule="exact"/>
              <w:ind w:right="99"/>
              <w:jc w:val="right"/>
              <w:rPr>
                <w:sz w:val="22"/>
              </w:rPr>
            </w:pPr>
            <w:r>
              <w:rPr>
                <w:spacing w:val="-2"/>
                <w:sz w:val="22"/>
              </w:rPr>
              <w:t>Insignificant</w:t>
            </w:r>
          </w:p>
        </w:tc>
      </w:tr>
      <w:tr>
        <w:trPr>
          <w:trHeight w:val="359" w:hRule="atLeast"/>
        </w:trPr>
        <w:tc>
          <w:tcPr>
            <w:tcW w:w="1935" w:type="dxa"/>
          </w:tcPr>
          <w:p>
            <w:pPr>
              <w:pStyle w:val="TableParagraph"/>
              <w:spacing w:line="253" w:lineRule="exact"/>
              <w:ind w:left="6" w:right="1"/>
              <w:jc w:val="center"/>
              <w:rPr>
                <w:rFonts w:ascii="Arial MT"/>
                <w:sz w:val="22"/>
              </w:rPr>
            </w:pPr>
            <w:r>
              <w:rPr>
                <w:rFonts w:ascii="Arial MT"/>
                <w:spacing w:val="-2"/>
                <w:sz w:val="22"/>
              </w:rPr>
              <w:t>PRIVCR</w:t>
            </w:r>
          </w:p>
        </w:tc>
        <w:tc>
          <w:tcPr>
            <w:tcW w:w="1578" w:type="dxa"/>
          </w:tcPr>
          <w:p>
            <w:pPr>
              <w:pStyle w:val="TableParagraph"/>
              <w:spacing w:line="251" w:lineRule="exact"/>
              <w:ind w:right="97"/>
              <w:jc w:val="right"/>
              <w:rPr>
                <w:sz w:val="22"/>
              </w:rPr>
            </w:pPr>
            <w:r>
              <w:rPr>
                <w:spacing w:val="-2"/>
                <w:sz w:val="22"/>
              </w:rPr>
              <w:t>0.933646</w:t>
            </w:r>
          </w:p>
        </w:tc>
        <w:tc>
          <w:tcPr>
            <w:tcW w:w="2607" w:type="dxa"/>
          </w:tcPr>
          <w:p>
            <w:pPr>
              <w:pStyle w:val="TableParagraph"/>
              <w:spacing w:line="251" w:lineRule="exact"/>
              <w:ind w:right="97"/>
              <w:jc w:val="right"/>
              <w:rPr>
                <w:sz w:val="22"/>
              </w:rPr>
            </w:pPr>
            <w:r>
              <w:rPr>
                <w:spacing w:val="-2"/>
                <w:sz w:val="22"/>
              </w:rPr>
              <w:t>0.675247</w:t>
            </w:r>
          </w:p>
        </w:tc>
        <w:tc>
          <w:tcPr>
            <w:tcW w:w="2278" w:type="dxa"/>
          </w:tcPr>
          <w:p>
            <w:pPr>
              <w:pStyle w:val="TableParagraph"/>
              <w:spacing w:line="251" w:lineRule="exact"/>
              <w:ind w:right="97"/>
              <w:jc w:val="right"/>
              <w:rPr>
                <w:sz w:val="22"/>
              </w:rPr>
            </w:pPr>
            <w:r>
              <w:rPr>
                <w:spacing w:val="-2"/>
                <w:sz w:val="22"/>
              </w:rPr>
              <w:t>0.5092</w:t>
            </w:r>
          </w:p>
        </w:tc>
        <w:tc>
          <w:tcPr>
            <w:tcW w:w="1704" w:type="dxa"/>
          </w:tcPr>
          <w:p>
            <w:pPr>
              <w:pStyle w:val="TableParagraph"/>
              <w:spacing w:line="251" w:lineRule="exact"/>
              <w:ind w:right="99"/>
              <w:jc w:val="right"/>
              <w:rPr>
                <w:sz w:val="22"/>
              </w:rPr>
            </w:pPr>
            <w:r>
              <w:rPr>
                <w:spacing w:val="-2"/>
                <w:sz w:val="22"/>
              </w:rPr>
              <w:t>Insignificant</w:t>
            </w:r>
          </w:p>
        </w:tc>
      </w:tr>
      <w:tr>
        <w:trPr>
          <w:trHeight w:val="359" w:hRule="atLeast"/>
        </w:trPr>
        <w:tc>
          <w:tcPr>
            <w:tcW w:w="1935" w:type="dxa"/>
          </w:tcPr>
          <w:p>
            <w:pPr>
              <w:pStyle w:val="TableParagraph"/>
              <w:ind w:left="6" w:right="3"/>
              <w:jc w:val="center"/>
              <w:rPr>
                <w:rFonts w:ascii="Arial MT"/>
                <w:sz w:val="22"/>
              </w:rPr>
            </w:pPr>
            <w:r>
              <w:rPr>
                <w:rFonts w:ascii="Arial MT"/>
                <w:spacing w:val="-2"/>
                <w:sz w:val="22"/>
              </w:rPr>
              <w:t>USIRD</w:t>
            </w:r>
          </w:p>
        </w:tc>
        <w:tc>
          <w:tcPr>
            <w:tcW w:w="1578" w:type="dxa"/>
          </w:tcPr>
          <w:p>
            <w:pPr>
              <w:pStyle w:val="TableParagraph"/>
              <w:spacing w:line="251" w:lineRule="exact"/>
              <w:ind w:right="101"/>
              <w:jc w:val="right"/>
              <w:rPr>
                <w:sz w:val="22"/>
              </w:rPr>
            </w:pPr>
            <w:r>
              <w:rPr>
                <w:spacing w:val="-4"/>
                <w:sz w:val="22"/>
              </w:rPr>
              <w:t>-</w:t>
            </w:r>
            <w:r>
              <w:rPr>
                <w:spacing w:val="-2"/>
                <w:sz w:val="22"/>
              </w:rPr>
              <w:t>0.089968</w:t>
            </w:r>
          </w:p>
        </w:tc>
        <w:tc>
          <w:tcPr>
            <w:tcW w:w="2607" w:type="dxa"/>
          </w:tcPr>
          <w:p>
            <w:pPr>
              <w:pStyle w:val="TableParagraph"/>
              <w:spacing w:line="251" w:lineRule="exact"/>
              <w:ind w:right="101"/>
              <w:jc w:val="right"/>
              <w:rPr>
                <w:sz w:val="22"/>
              </w:rPr>
            </w:pPr>
            <w:r>
              <w:rPr>
                <w:spacing w:val="-4"/>
                <w:sz w:val="22"/>
              </w:rPr>
              <w:t>-</w:t>
            </w:r>
            <w:r>
              <w:rPr>
                <w:spacing w:val="-2"/>
                <w:sz w:val="22"/>
              </w:rPr>
              <w:t>0.101794</w:t>
            </w:r>
          </w:p>
        </w:tc>
        <w:tc>
          <w:tcPr>
            <w:tcW w:w="2278" w:type="dxa"/>
          </w:tcPr>
          <w:p>
            <w:pPr>
              <w:pStyle w:val="TableParagraph"/>
              <w:spacing w:line="251" w:lineRule="exact"/>
              <w:ind w:right="97"/>
              <w:jc w:val="right"/>
              <w:rPr>
                <w:sz w:val="22"/>
              </w:rPr>
            </w:pPr>
            <w:r>
              <w:rPr>
                <w:spacing w:val="-2"/>
                <w:sz w:val="22"/>
              </w:rPr>
              <w:t>0.9202</w:t>
            </w:r>
          </w:p>
        </w:tc>
        <w:tc>
          <w:tcPr>
            <w:tcW w:w="1704" w:type="dxa"/>
          </w:tcPr>
          <w:p>
            <w:pPr>
              <w:pStyle w:val="TableParagraph"/>
              <w:spacing w:line="251" w:lineRule="exact"/>
              <w:ind w:right="99"/>
              <w:jc w:val="right"/>
              <w:rPr>
                <w:sz w:val="22"/>
              </w:rPr>
            </w:pPr>
            <w:r>
              <w:rPr>
                <w:spacing w:val="-2"/>
                <w:sz w:val="22"/>
              </w:rPr>
              <w:t>Insignificant</w:t>
            </w:r>
          </w:p>
        </w:tc>
      </w:tr>
    </w:tbl>
    <w:p>
      <w:pPr>
        <w:spacing w:after="0" w:line="251" w:lineRule="exact"/>
        <w:jc w:val="right"/>
        <w:rPr>
          <w:sz w:val="22"/>
        </w:rPr>
        <w:sectPr>
          <w:pgSz w:w="11910" w:h="16840"/>
          <w:pgMar w:header="0" w:footer="979" w:top="1360" w:bottom="1240" w:left="280" w:right="0"/>
        </w:sectPr>
      </w:pPr>
    </w:p>
    <w:tbl>
      <w:tblPr>
        <w:tblW w:w="0" w:type="auto"/>
        <w:jc w:val="left"/>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35"/>
        <w:gridCol w:w="1578"/>
        <w:gridCol w:w="2607"/>
        <w:gridCol w:w="2278"/>
        <w:gridCol w:w="1704"/>
      </w:tblGrid>
      <w:tr>
        <w:trPr>
          <w:trHeight w:val="360" w:hRule="atLeast"/>
        </w:trPr>
        <w:tc>
          <w:tcPr>
            <w:tcW w:w="1935" w:type="dxa"/>
          </w:tcPr>
          <w:p>
            <w:pPr>
              <w:pStyle w:val="TableParagraph"/>
              <w:ind w:left="641"/>
              <w:rPr>
                <w:rFonts w:ascii="Arial MT"/>
                <w:sz w:val="22"/>
              </w:rPr>
            </w:pPr>
            <w:r>
              <w:rPr>
                <w:rFonts w:ascii="Arial MT"/>
                <w:spacing w:val="-4"/>
                <w:sz w:val="22"/>
              </w:rPr>
              <w:t>GOCE</w:t>
            </w:r>
          </w:p>
        </w:tc>
        <w:tc>
          <w:tcPr>
            <w:tcW w:w="1578" w:type="dxa"/>
          </w:tcPr>
          <w:p>
            <w:pPr>
              <w:pStyle w:val="TableParagraph"/>
              <w:spacing w:line="251" w:lineRule="exact"/>
              <w:ind w:left="568"/>
              <w:rPr>
                <w:sz w:val="22"/>
              </w:rPr>
            </w:pPr>
            <w:r>
              <w:rPr>
                <w:spacing w:val="-4"/>
                <w:sz w:val="22"/>
              </w:rPr>
              <w:t>-</w:t>
            </w:r>
            <w:r>
              <w:rPr>
                <w:spacing w:val="-2"/>
                <w:sz w:val="22"/>
              </w:rPr>
              <w:t>0.760191</w:t>
            </w:r>
          </w:p>
        </w:tc>
        <w:tc>
          <w:tcPr>
            <w:tcW w:w="2607" w:type="dxa"/>
          </w:tcPr>
          <w:p>
            <w:pPr>
              <w:pStyle w:val="TableParagraph"/>
              <w:spacing w:line="251" w:lineRule="exact"/>
              <w:ind w:left="1597"/>
              <w:rPr>
                <w:sz w:val="22"/>
              </w:rPr>
            </w:pPr>
            <w:r>
              <w:rPr>
                <w:spacing w:val="-4"/>
                <w:sz w:val="22"/>
              </w:rPr>
              <w:t>-</w:t>
            </w:r>
            <w:r>
              <w:rPr>
                <w:spacing w:val="-2"/>
                <w:sz w:val="22"/>
              </w:rPr>
              <w:t>0.562849</w:t>
            </w:r>
          </w:p>
        </w:tc>
        <w:tc>
          <w:tcPr>
            <w:tcW w:w="2278" w:type="dxa"/>
          </w:tcPr>
          <w:p>
            <w:pPr>
              <w:pStyle w:val="TableParagraph"/>
              <w:spacing w:line="251" w:lineRule="exact"/>
              <w:ind w:right="97"/>
              <w:jc w:val="right"/>
              <w:rPr>
                <w:sz w:val="22"/>
              </w:rPr>
            </w:pPr>
            <w:r>
              <w:rPr>
                <w:spacing w:val="-2"/>
                <w:sz w:val="22"/>
              </w:rPr>
              <w:t>0.5813</w:t>
            </w:r>
          </w:p>
        </w:tc>
        <w:tc>
          <w:tcPr>
            <w:tcW w:w="1704" w:type="dxa"/>
          </w:tcPr>
          <w:p>
            <w:pPr>
              <w:pStyle w:val="TableParagraph"/>
              <w:spacing w:line="251" w:lineRule="exact"/>
              <w:ind w:left="481"/>
              <w:rPr>
                <w:sz w:val="22"/>
              </w:rPr>
            </w:pPr>
            <w:r>
              <w:rPr>
                <w:spacing w:val="-2"/>
                <w:sz w:val="22"/>
              </w:rPr>
              <w:t>Insignificant</w:t>
            </w:r>
          </w:p>
        </w:tc>
      </w:tr>
    </w:tbl>
    <w:p>
      <w:pPr>
        <w:pStyle w:val="BodyText"/>
        <w:spacing w:before="5"/>
        <w:rPr>
          <w:b/>
          <w:sz w:val="2"/>
        </w:rPr>
      </w:pPr>
    </w:p>
    <w:tbl>
      <w:tblPr>
        <w:tblW w:w="0" w:type="auto"/>
        <w:jc w:val="left"/>
        <w:tblInd w:w="7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53"/>
        <w:gridCol w:w="1993"/>
        <w:gridCol w:w="3002"/>
        <w:gridCol w:w="1873"/>
      </w:tblGrid>
      <w:tr>
        <w:trPr>
          <w:trHeight w:val="257" w:hRule="atLeast"/>
        </w:trPr>
        <w:tc>
          <w:tcPr>
            <w:tcW w:w="2753" w:type="dxa"/>
          </w:tcPr>
          <w:p>
            <w:pPr>
              <w:pStyle w:val="TableParagraph"/>
              <w:spacing w:line="238" w:lineRule="exact"/>
              <w:ind w:left="43"/>
              <w:rPr>
                <w:sz w:val="22"/>
              </w:rPr>
            </w:pPr>
            <w:r>
              <w:rPr>
                <w:spacing w:val="-2"/>
                <w:sz w:val="22"/>
              </w:rPr>
              <w:t>R-squared</w:t>
            </w:r>
          </w:p>
        </w:tc>
        <w:tc>
          <w:tcPr>
            <w:tcW w:w="1993" w:type="dxa"/>
          </w:tcPr>
          <w:p>
            <w:pPr>
              <w:pStyle w:val="TableParagraph"/>
              <w:spacing w:line="238" w:lineRule="exact"/>
              <w:ind w:right="137"/>
              <w:jc w:val="right"/>
              <w:rPr>
                <w:sz w:val="22"/>
              </w:rPr>
            </w:pPr>
            <w:r>
              <w:rPr>
                <w:spacing w:val="-2"/>
                <w:sz w:val="22"/>
              </w:rPr>
              <w:t>0.626993</w:t>
            </w:r>
          </w:p>
        </w:tc>
        <w:tc>
          <w:tcPr>
            <w:tcW w:w="3002" w:type="dxa"/>
          </w:tcPr>
          <w:p>
            <w:pPr>
              <w:pStyle w:val="TableParagraph"/>
              <w:spacing w:line="238" w:lineRule="exact"/>
              <w:ind w:left="138"/>
              <w:rPr>
                <w:sz w:val="22"/>
              </w:rPr>
            </w:pPr>
            <w:r>
              <w:rPr>
                <w:sz w:val="22"/>
              </w:rPr>
              <w:t>Mean</w:t>
            </w:r>
            <w:r>
              <w:rPr>
                <w:spacing w:val="-6"/>
                <w:sz w:val="22"/>
              </w:rPr>
              <w:t> </w:t>
            </w:r>
            <w:r>
              <w:rPr>
                <w:sz w:val="22"/>
              </w:rPr>
              <w:t>dependent</w:t>
            </w:r>
            <w:r>
              <w:rPr>
                <w:spacing w:val="-2"/>
                <w:sz w:val="22"/>
              </w:rPr>
              <w:t> </w:t>
            </w:r>
            <w:r>
              <w:rPr>
                <w:spacing w:val="-5"/>
                <w:sz w:val="22"/>
              </w:rPr>
              <w:t>var</w:t>
            </w:r>
          </w:p>
        </w:tc>
        <w:tc>
          <w:tcPr>
            <w:tcW w:w="1873" w:type="dxa"/>
          </w:tcPr>
          <w:p>
            <w:pPr>
              <w:pStyle w:val="TableParagraph"/>
              <w:spacing w:line="238" w:lineRule="exact"/>
              <w:ind w:right="24"/>
              <w:jc w:val="right"/>
              <w:rPr>
                <w:sz w:val="22"/>
              </w:rPr>
            </w:pPr>
            <w:r>
              <w:rPr>
                <w:spacing w:val="-2"/>
                <w:sz w:val="22"/>
              </w:rPr>
              <w:t>12.93480</w:t>
            </w:r>
          </w:p>
        </w:tc>
      </w:tr>
      <w:tr>
        <w:trPr>
          <w:trHeight w:val="271" w:hRule="atLeast"/>
        </w:trPr>
        <w:tc>
          <w:tcPr>
            <w:tcW w:w="2753" w:type="dxa"/>
          </w:tcPr>
          <w:p>
            <w:pPr>
              <w:pStyle w:val="TableParagraph"/>
              <w:spacing w:line="246" w:lineRule="exact" w:before="4"/>
              <w:ind w:left="43"/>
              <w:rPr>
                <w:sz w:val="22"/>
              </w:rPr>
            </w:pPr>
            <w:r>
              <w:rPr>
                <w:sz w:val="22"/>
              </w:rPr>
              <w:t>Adjusted</w:t>
            </w:r>
            <w:r>
              <w:rPr>
                <w:spacing w:val="-10"/>
                <w:sz w:val="22"/>
              </w:rPr>
              <w:t> </w:t>
            </w:r>
            <w:r>
              <w:rPr>
                <w:sz w:val="22"/>
              </w:rPr>
              <w:t>R-</w:t>
            </w:r>
            <w:r>
              <w:rPr>
                <w:spacing w:val="-2"/>
                <w:sz w:val="22"/>
              </w:rPr>
              <w:t>squared</w:t>
            </w:r>
          </w:p>
        </w:tc>
        <w:tc>
          <w:tcPr>
            <w:tcW w:w="1993" w:type="dxa"/>
          </w:tcPr>
          <w:p>
            <w:pPr>
              <w:pStyle w:val="TableParagraph"/>
              <w:spacing w:line="246" w:lineRule="exact" w:before="4"/>
              <w:ind w:right="137"/>
              <w:jc w:val="right"/>
              <w:rPr>
                <w:sz w:val="22"/>
              </w:rPr>
            </w:pPr>
            <w:r>
              <w:rPr>
                <w:spacing w:val="-2"/>
                <w:sz w:val="22"/>
              </w:rPr>
              <w:t>0.440490</w:t>
            </w:r>
          </w:p>
        </w:tc>
        <w:tc>
          <w:tcPr>
            <w:tcW w:w="3002" w:type="dxa"/>
          </w:tcPr>
          <w:p>
            <w:pPr>
              <w:pStyle w:val="TableParagraph"/>
              <w:spacing w:line="246" w:lineRule="exact" w:before="4"/>
              <w:ind w:left="138"/>
              <w:rPr>
                <w:sz w:val="22"/>
              </w:rPr>
            </w:pPr>
            <w:r>
              <w:rPr>
                <w:sz w:val="22"/>
              </w:rPr>
              <w:t>S.D.</w:t>
            </w:r>
            <w:r>
              <w:rPr>
                <w:spacing w:val="-4"/>
                <w:sz w:val="22"/>
              </w:rPr>
              <w:t> </w:t>
            </w:r>
            <w:r>
              <w:rPr>
                <w:sz w:val="22"/>
              </w:rPr>
              <w:t>dependent</w:t>
            </w:r>
            <w:r>
              <w:rPr>
                <w:spacing w:val="-2"/>
                <w:sz w:val="22"/>
              </w:rPr>
              <w:t> </w:t>
            </w:r>
            <w:r>
              <w:rPr>
                <w:spacing w:val="-5"/>
                <w:sz w:val="22"/>
              </w:rPr>
              <w:t>var</w:t>
            </w:r>
          </w:p>
        </w:tc>
        <w:tc>
          <w:tcPr>
            <w:tcW w:w="1873" w:type="dxa"/>
          </w:tcPr>
          <w:p>
            <w:pPr>
              <w:pStyle w:val="TableParagraph"/>
              <w:spacing w:line="246" w:lineRule="exact" w:before="4"/>
              <w:ind w:right="24"/>
              <w:jc w:val="right"/>
              <w:rPr>
                <w:sz w:val="22"/>
              </w:rPr>
            </w:pPr>
            <w:r>
              <w:rPr>
                <w:spacing w:val="-2"/>
                <w:sz w:val="22"/>
              </w:rPr>
              <w:t>1.760855</w:t>
            </w:r>
          </w:p>
        </w:tc>
      </w:tr>
      <w:tr>
        <w:trPr>
          <w:trHeight w:val="279" w:hRule="atLeast"/>
        </w:trPr>
        <w:tc>
          <w:tcPr>
            <w:tcW w:w="2753" w:type="dxa"/>
          </w:tcPr>
          <w:p>
            <w:pPr>
              <w:pStyle w:val="TableParagraph"/>
              <w:spacing w:before="4"/>
              <w:ind w:left="43"/>
              <w:rPr>
                <w:sz w:val="22"/>
              </w:rPr>
            </w:pPr>
            <w:r>
              <w:rPr>
                <w:sz w:val="22"/>
              </w:rPr>
              <w:t>S.E.</w:t>
            </w:r>
            <w:r>
              <w:rPr>
                <w:spacing w:val="-3"/>
                <w:sz w:val="22"/>
              </w:rPr>
              <w:t> </w:t>
            </w:r>
            <w:r>
              <w:rPr>
                <w:sz w:val="22"/>
              </w:rPr>
              <w:t>of </w:t>
            </w:r>
            <w:r>
              <w:rPr>
                <w:spacing w:val="-2"/>
                <w:sz w:val="22"/>
              </w:rPr>
              <w:t>regression</w:t>
            </w:r>
          </w:p>
        </w:tc>
        <w:tc>
          <w:tcPr>
            <w:tcW w:w="1993" w:type="dxa"/>
          </w:tcPr>
          <w:p>
            <w:pPr>
              <w:pStyle w:val="TableParagraph"/>
              <w:spacing w:before="4"/>
              <w:ind w:right="137"/>
              <w:jc w:val="right"/>
              <w:rPr>
                <w:sz w:val="22"/>
              </w:rPr>
            </w:pPr>
            <w:r>
              <w:rPr>
                <w:spacing w:val="-2"/>
                <w:sz w:val="22"/>
              </w:rPr>
              <w:t>1.317127</w:t>
            </w:r>
          </w:p>
        </w:tc>
        <w:tc>
          <w:tcPr>
            <w:tcW w:w="3002" w:type="dxa"/>
          </w:tcPr>
          <w:p>
            <w:pPr>
              <w:pStyle w:val="TableParagraph"/>
              <w:spacing w:before="4"/>
              <w:ind w:left="138"/>
              <w:rPr>
                <w:sz w:val="22"/>
              </w:rPr>
            </w:pPr>
            <w:r>
              <w:rPr>
                <w:sz w:val="22"/>
              </w:rPr>
              <w:t>Akaike</w:t>
            </w:r>
            <w:r>
              <w:rPr>
                <w:spacing w:val="-3"/>
                <w:sz w:val="22"/>
              </w:rPr>
              <w:t> </w:t>
            </w:r>
            <w:r>
              <w:rPr>
                <w:sz w:val="22"/>
              </w:rPr>
              <w:t>info</w:t>
            </w:r>
            <w:r>
              <w:rPr>
                <w:spacing w:val="-3"/>
                <w:sz w:val="22"/>
              </w:rPr>
              <w:t> </w:t>
            </w:r>
            <w:r>
              <w:rPr>
                <w:spacing w:val="-2"/>
                <w:sz w:val="22"/>
              </w:rPr>
              <w:t>criterion</w:t>
            </w:r>
          </w:p>
        </w:tc>
        <w:tc>
          <w:tcPr>
            <w:tcW w:w="1873" w:type="dxa"/>
          </w:tcPr>
          <w:p>
            <w:pPr>
              <w:pStyle w:val="TableParagraph"/>
              <w:spacing w:before="4"/>
              <w:ind w:right="24"/>
              <w:jc w:val="right"/>
              <w:rPr>
                <w:sz w:val="22"/>
              </w:rPr>
            </w:pPr>
            <w:r>
              <w:rPr>
                <w:spacing w:val="-2"/>
                <w:sz w:val="22"/>
              </w:rPr>
              <w:t>3.662495</w:t>
            </w:r>
          </w:p>
        </w:tc>
      </w:tr>
      <w:tr>
        <w:trPr>
          <w:trHeight w:val="279" w:hRule="atLeast"/>
        </w:trPr>
        <w:tc>
          <w:tcPr>
            <w:tcW w:w="2753" w:type="dxa"/>
          </w:tcPr>
          <w:p>
            <w:pPr>
              <w:pStyle w:val="TableParagraph"/>
              <w:spacing w:line="246" w:lineRule="exact" w:before="13"/>
              <w:ind w:left="43"/>
              <w:rPr>
                <w:sz w:val="22"/>
              </w:rPr>
            </w:pPr>
            <w:r>
              <w:rPr>
                <w:sz w:val="22"/>
              </w:rPr>
              <w:t>Sum</w:t>
            </w:r>
            <w:r>
              <w:rPr>
                <w:spacing w:val="-4"/>
                <w:sz w:val="22"/>
              </w:rPr>
              <w:t> </w:t>
            </w:r>
            <w:r>
              <w:rPr>
                <w:sz w:val="22"/>
              </w:rPr>
              <w:t>squared </w:t>
            </w:r>
            <w:r>
              <w:rPr>
                <w:spacing w:val="-2"/>
                <w:sz w:val="22"/>
              </w:rPr>
              <w:t>resid</w:t>
            </w:r>
          </w:p>
        </w:tc>
        <w:tc>
          <w:tcPr>
            <w:tcW w:w="1993" w:type="dxa"/>
          </w:tcPr>
          <w:p>
            <w:pPr>
              <w:pStyle w:val="TableParagraph"/>
              <w:spacing w:line="246" w:lineRule="exact" w:before="13"/>
              <w:ind w:right="137"/>
              <w:jc w:val="right"/>
              <w:rPr>
                <w:sz w:val="22"/>
              </w:rPr>
            </w:pPr>
            <w:r>
              <w:rPr>
                <w:spacing w:val="-2"/>
                <w:sz w:val="22"/>
              </w:rPr>
              <w:t>27.75716</w:t>
            </w:r>
          </w:p>
        </w:tc>
        <w:tc>
          <w:tcPr>
            <w:tcW w:w="3002" w:type="dxa"/>
          </w:tcPr>
          <w:p>
            <w:pPr>
              <w:pStyle w:val="TableParagraph"/>
              <w:spacing w:line="246" w:lineRule="exact" w:before="13"/>
              <w:ind w:left="138"/>
              <w:rPr>
                <w:sz w:val="22"/>
              </w:rPr>
            </w:pPr>
            <w:r>
              <w:rPr>
                <w:sz w:val="22"/>
              </w:rPr>
              <w:t>Schwarz</w:t>
            </w:r>
            <w:r>
              <w:rPr>
                <w:spacing w:val="-5"/>
                <w:sz w:val="22"/>
              </w:rPr>
              <w:t> </w:t>
            </w:r>
            <w:r>
              <w:rPr>
                <w:spacing w:val="-2"/>
                <w:sz w:val="22"/>
              </w:rPr>
              <w:t>criterion</w:t>
            </w:r>
          </w:p>
        </w:tc>
        <w:tc>
          <w:tcPr>
            <w:tcW w:w="1873" w:type="dxa"/>
          </w:tcPr>
          <w:p>
            <w:pPr>
              <w:pStyle w:val="TableParagraph"/>
              <w:spacing w:line="246" w:lineRule="exact" w:before="13"/>
              <w:ind w:right="24"/>
              <w:jc w:val="right"/>
              <w:rPr>
                <w:sz w:val="22"/>
              </w:rPr>
            </w:pPr>
            <w:r>
              <w:rPr>
                <w:spacing w:val="-2"/>
                <w:sz w:val="22"/>
              </w:rPr>
              <w:t>4.101290</w:t>
            </w:r>
          </w:p>
        </w:tc>
      </w:tr>
      <w:tr>
        <w:trPr>
          <w:trHeight w:val="271" w:hRule="atLeast"/>
        </w:trPr>
        <w:tc>
          <w:tcPr>
            <w:tcW w:w="2753" w:type="dxa"/>
          </w:tcPr>
          <w:p>
            <w:pPr>
              <w:pStyle w:val="TableParagraph"/>
              <w:spacing w:line="246" w:lineRule="exact" w:before="4"/>
              <w:ind w:left="43"/>
              <w:rPr>
                <w:sz w:val="22"/>
              </w:rPr>
            </w:pPr>
            <w:r>
              <w:rPr>
                <w:sz w:val="22"/>
              </w:rPr>
              <w:t>Log</w:t>
            </w:r>
            <w:r>
              <w:rPr>
                <w:spacing w:val="-3"/>
                <w:sz w:val="22"/>
              </w:rPr>
              <w:t> </w:t>
            </w:r>
            <w:r>
              <w:rPr>
                <w:spacing w:val="-2"/>
                <w:sz w:val="22"/>
              </w:rPr>
              <w:t>likelihood</w:t>
            </w:r>
          </w:p>
        </w:tc>
        <w:tc>
          <w:tcPr>
            <w:tcW w:w="1993" w:type="dxa"/>
          </w:tcPr>
          <w:p>
            <w:pPr>
              <w:pStyle w:val="TableParagraph"/>
              <w:spacing w:line="246" w:lineRule="exact" w:before="4"/>
              <w:ind w:right="139"/>
              <w:jc w:val="right"/>
              <w:rPr>
                <w:sz w:val="22"/>
              </w:rPr>
            </w:pPr>
            <w:r>
              <w:rPr>
                <w:spacing w:val="-4"/>
                <w:sz w:val="22"/>
              </w:rPr>
              <w:t>-</w:t>
            </w:r>
            <w:r>
              <w:rPr>
                <w:spacing w:val="-2"/>
                <w:sz w:val="22"/>
              </w:rPr>
              <w:t>36.78119</w:t>
            </w:r>
          </w:p>
        </w:tc>
        <w:tc>
          <w:tcPr>
            <w:tcW w:w="3002" w:type="dxa"/>
          </w:tcPr>
          <w:p>
            <w:pPr>
              <w:pStyle w:val="TableParagraph"/>
              <w:spacing w:line="246" w:lineRule="exact" w:before="4"/>
              <w:ind w:left="138"/>
              <w:rPr>
                <w:sz w:val="22"/>
              </w:rPr>
            </w:pPr>
            <w:r>
              <w:rPr>
                <w:spacing w:val="-4"/>
                <w:sz w:val="22"/>
              </w:rPr>
              <w:t>F-</w:t>
            </w:r>
            <w:r>
              <w:rPr>
                <w:spacing w:val="-2"/>
                <w:sz w:val="22"/>
              </w:rPr>
              <w:t>statistic</w:t>
            </w:r>
          </w:p>
        </w:tc>
        <w:tc>
          <w:tcPr>
            <w:tcW w:w="1873" w:type="dxa"/>
          </w:tcPr>
          <w:p>
            <w:pPr>
              <w:pStyle w:val="TableParagraph"/>
              <w:spacing w:line="246" w:lineRule="exact" w:before="4"/>
              <w:ind w:right="24"/>
              <w:jc w:val="right"/>
              <w:rPr>
                <w:sz w:val="22"/>
              </w:rPr>
            </w:pPr>
            <w:r>
              <w:rPr>
                <w:spacing w:val="-2"/>
                <w:sz w:val="22"/>
              </w:rPr>
              <w:t>3.361834</w:t>
            </w:r>
          </w:p>
        </w:tc>
      </w:tr>
      <w:tr>
        <w:trPr>
          <w:trHeight w:val="313" w:hRule="atLeast"/>
        </w:trPr>
        <w:tc>
          <w:tcPr>
            <w:tcW w:w="2753" w:type="dxa"/>
            <w:tcBorders>
              <w:bottom w:val="double" w:sz="6" w:space="0" w:color="000000"/>
            </w:tcBorders>
          </w:tcPr>
          <w:p>
            <w:pPr>
              <w:pStyle w:val="TableParagraph"/>
              <w:spacing w:before="4"/>
              <w:ind w:left="43"/>
              <w:rPr>
                <w:sz w:val="22"/>
              </w:rPr>
            </w:pPr>
            <w:r>
              <w:rPr>
                <w:sz w:val="22"/>
              </w:rPr>
              <w:t>Durbin-Watson</w:t>
            </w:r>
            <w:r>
              <w:rPr>
                <w:spacing w:val="-10"/>
                <w:sz w:val="22"/>
              </w:rPr>
              <w:t> </w:t>
            </w:r>
            <w:r>
              <w:rPr>
                <w:spacing w:val="-4"/>
                <w:sz w:val="22"/>
              </w:rPr>
              <w:t>stat</w:t>
            </w:r>
          </w:p>
        </w:tc>
        <w:tc>
          <w:tcPr>
            <w:tcW w:w="1993" w:type="dxa"/>
            <w:tcBorders>
              <w:bottom w:val="thinThickThinSmallGap" w:sz="12" w:space="0" w:color="000000"/>
            </w:tcBorders>
          </w:tcPr>
          <w:p>
            <w:pPr>
              <w:pStyle w:val="TableParagraph"/>
              <w:spacing w:before="4"/>
              <w:ind w:right="137"/>
              <w:jc w:val="right"/>
              <w:rPr>
                <w:sz w:val="22"/>
              </w:rPr>
            </w:pPr>
            <w:r>
              <w:rPr>
                <w:spacing w:val="-2"/>
                <w:sz w:val="22"/>
              </w:rPr>
              <w:t>1.935708</w:t>
            </w:r>
          </w:p>
        </w:tc>
        <w:tc>
          <w:tcPr>
            <w:tcW w:w="3002" w:type="dxa"/>
            <w:tcBorders>
              <w:bottom w:val="double" w:sz="6" w:space="0" w:color="000000"/>
            </w:tcBorders>
          </w:tcPr>
          <w:p>
            <w:pPr>
              <w:pStyle w:val="TableParagraph"/>
              <w:spacing w:before="4"/>
              <w:ind w:left="138"/>
              <w:rPr>
                <w:sz w:val="22"/>
              </w:rPr>
            </w:pPr>
            <w:r>
              <w:rPr>
                <w:spacing w:val="-2"/>
                <w:sz w:val="22"/>
              </w:rPr>
              <w:t>Prob(F-statistic)</w:t>
            </w:r>
          </w:p>
        </w:tc>
        <w:tc>
          <w:tcPr>
            <w:tcW w:w="1873" w:type="dxa"/>
          </w:tcPr>
          <w:p>
            <w:pPr>
              <w:pStyle w:val="TableParagraph"/>
              <w:spacing w:before="4"/>
              <w:ind w:right="24"/>
              <w:jc w:val="right"/>
              <w:rPr>
                <w:sz w:val="22"/>
              </w:rPr>
            </w:pPr>
            <w:r>
              <w:rPr>
                <w:spacing w:val="-2"/>
                <w:sz w:val="22"/>
              </w:rPr>
              <w:t>0.018642</w:t>
            </w:r>
          </w:p>
        </w:tc>
      </w:tr>
    </w:tbl>
    <w:p>
      <w:pPr>
        <w:pStyle w:val="BodyText"/>
        <w:ind w:left="711"/>
      </w:pPr>
      <w:r>
        <w:rPr>
          <w:b/>
        </w:rPr>
        <w:t>Source:</w:t>
      </w:r>
      <w:r>
        <w:rPr>
          <w:b/>
          <w:spacing w:val="-2"/>
        </w:rPr>
        <w:t> </w:t>
      </w:r>
      <w:r>
        <w:rPr/>
        <w:t>Computation,</w:t>
      </w:r>
      <w:r>
        <w:rPr>
          <w:spacing w:val="-1"/>
        </w:rPr>
        <w:t> </w:t>
      </w:r>
      <w:r>
        <w:rPr/>
        <w:t>using</w:t>
      </w:r>
      <w:r>
        <w:rPr>
          <w:spacing w:val="-4"/>
        </w:rPr>
        <w:t> </w:t>
      </w:r>
      <w:r>
        <w:rPr/>
        <w:t>E-view</w:t>
      </w:r>
      <w:r>
        <w:rPr>
          <w:spacing w:val="-1"/>
        </w:rPr>
        <w:t> </w:t>
      </w:r>
      <w:r>
        <w:rPr/>
        <w:t>statistical</w:t>
      </w:r>
      <w:r>
        <w:rPr>
          <w:spacing w:val="-1"/>
        </w:rPr>
        <w:t> </w:t>
      </w:r>
      <w:r>
        <w:rPr>
          <w:spacing w:val="-2"/>
        </w:rPr>
        <w:t>package</w:t>
      </w:r>
    </w:p>
    <w:p>
      <w:pPr>
        <w:pStyle w:val="BodyText"/>
        <w:spacing w:line="480" w:lineRule="auto" w:before="256"/>
        <w:ind w:left="711" w:right="470"/>
        <w:jc w:val="both"/>
        <w:rPr>
          <w:rFonts w:ascii="Cambria"/>
        </w:rPr>
      </w:pPr>
      <w:r>
        <w:rPr>
          <w:rFonts w:ascii="Cambria"/>
        </w:rPr>
        <w:t>The relationship between capital flight and the explanatory variable in the Post-SAP era in the short- run can be expressed mathematically below:</w:t>
      </w:r>
    </w:p>
    <w:p>
      <w:pPr>
        <w:tabs>
          <w:tab w:pos="2060" w:val="left" w:leader="none"/>
          <w:tab w:pos="2468" w:val="left" w:leader="none"/>
          <w:tab w:pos="3776" w:val="left" w:leader="none"/>
          <w:tab w:pos="5624" w:val="left" w:leader="none"/>
          <w:tab w:pos="6033" w:val="left" w:leader="none"/>
          <w:tab w:pos="7499" w:val="left" w:leader="none"/>
          <w:tab w:pos="7850" w:val="left" w:leader="none"/>
          <w:tab w:pos="9269" w:val="left" w:leader="none"/>
          <w:tab w:pos="9677" w:val="left" w:leader="none"/>
          <w:tab w:pos="11103" w:val="left" w:leader="none"/>
        </w:tabs>
        <w:spacing w:before="0"/>
        <w:ind w:left="711" w:right="0" w:firstLine="0"/>
        <w:jc w:val="left"/>
        <w:rPr>
          <w:rFonts w:ascii="Cambria"/>
          <w:b/>
          <w:i/>
          <w:sz w:val="16"/>
        </w:rPr>
      </w:pPr>
      <w:r>
        <w:rPr>
          <w:rFonts w:ascii="Cambria"/>
          <w:b/>
          <w:i/>
          <w:spacing w:val="-2"/>
          <w:position w:val="1"/>
          <w:sz w:val="24"/>
        </w:rPr>
        <w:t>KFW</w:t>
      </w:r>
      <w:r>
        <w:rPr>
          <w:rFonts w:ascii="Cambria"/>
          <w:b/>
          <w:i/>
          <w:spacing w:val="-2"/>
          <w:sz w:val="16"/>
        </w:rPr>
        <w:t>PostSAP</w:t>
      </w:r>
      <w:r>
        <w:rPr>
          <w:rFonts w:ascii="Cambria"/>
          <w:b/>
          <w:i/>
          <w:sz w:val="16"/>
        </w:rPr>
        <w:tab/>
      </w:r>
      <w:r>
        <w:rPr>
          <w:rFonts w:ascii="Cambria"/>
          <w:b/>
          <w:i/>
          <w:spacing w:val="-10"/>
          <w:position w:val="1"/>
          <w:sz w:val="24"/>
        </w:rPr>
        <w:t>=</w:t>
      </w:r>
      <w:r>
        <w:rPr>
          <w:rFonts w:ascii="Cambria"/>
          <w:b/>
          <w:i/>
          <w:position w:val="1"/>
          <w:sz w:val="24"/>
        </w:rPr>
        <w:tab/>
      </w:r>
      <w:r>
        <w:rPr>
          <w:spacing w:val="-2"/>
          <w:position w:val="1"/>
          <w:sz w:val="24"/>
        </w:rPr>
        <w:t>8.188526</w:t>
      </w:r>
      <w:r>
        <w:rPr>
          <w:rFonts w:ascii="Cambria"/>
          <w:b/>
          <w:i/>
          <w:spacing w:val="-2"/>
          <w:position w:val="1"/>
          <w:sz w:val="24"/>
        </w:rPr>
        <w:t>+</w:t>
      </w:r>
      <w:r>
        <w:rPr>
          <w:rFonts w:ascii="Cambria"/>
          <w:b/>
          <w:i/>
          <w:position w:val="1"/>
          <w:sz w:val="24"/>
        </w:rPr>
        <w:tab/>
      </w:r>
      <w:r>
        <w:rPr>
          <w:spacing w:val="-2"/>
          <w:position w:val="1"/>
          <w:sz w:val="24"/>
        </w:rPr>
        <w:t>0.345730</w:t>
      </w:r>
      <w:r>
        <w:rPr>
          <w:rFonts w:ascii="Cambria"/>
          <w:b/>
          <w:i/>
          <w:spacing w:val="-2"/>
          <w:sz w:val="16"/>
        </w:rPr>
        <w:t>EXTDEBT</w:t>
      </w:r>
      <w:r>
        <w:rPr>
          <w:rFonts w:ascii="Cambria"/>
          <w:b/>
          <w:i/>
          <w:sz w:val="16"/>
        </w:rPr>
        <w:tab/>
      </w:r>
      <w:r>
        <w:rPr>
          <w:rFonts w:ascii="Cambria"/>
          <w:b/>
          <w:i/>
          <w:spacing w:val="-10"/>
          <w:position w:val="1"/>
          <w:sz w:val="24"/>
        </w:rPr>
        <w:t>+</w:t>
      </w:r>
      <w:r>
        <w:rPr>
          <w:rFonts w:ascii="Cambria"/>
          <w:b/>
          <w:i/>
          <w:position w:val="1"/>
          <w:sz w:val="24"/>
        </w:rPr>
        <w:tab/>
      </w:r>
      <w:r>
        <w:rPr>
          <w:spacing w:val="-2"/>
          <w:position w:val="1"/>
          <w:sz w:val="24"/>
        </w:rPr>
        <w:t>0.594526</w:t>
      </w:r>
      <w:r>
        <w:rPr>
          <w:rFonts w:ascii="Cambria"/>
          <w:b/>
          <w:i/>
          <w:spacing w:val="-2"/>
          <w:sz w:val="16"/>
        </w:rPr>
        <w:t>DOP</w:t>
      </w:r>
      <w:r>
        <w:rPr>
          <w:rFonts w:ascii="Cambria"/>
          <w:b/>
          <w:i/>
          <w:sz w:val="16"/>
        </w:rPr>
        <w:tab/>
      </w:r>
      <w:r>
        <w:rPr>
          <w:rFonts w:ascii="Cambria"/>
          <w:b/>
          <w:i/>
          <w:spacing w:val="-10"/>
          <w:position w:val="1"/>
          <w:sz w:val="24"/>
        </w:rPr>
        <w:t>-</w:t>
      </w:r>
      <w:r>
        <w:rPr>
          <w:rFonts w:ascii="Cambria"/>
          <w:b/>
          <w:i/>
          <w:position w:val="1"/>
          <w:sz w:val="24"/>
        </w:rPr>
        <w:tab/>
      </w:r>
      <w:r>
        <w:rPr>
          <w:spacing w:val="-2"/>
          <w:position w:val="1"/>
          <w:sz w:val="24"/>
        </w:rPr>
        <w:t>0.146992</w:t>
      </w:r>
      <w:r>
        <w:rPr>
          <w:rFonts w:ascii="Cambria"/>
          <w:b/>
          <w:i/>
          <w:spacing w:val="-2"/>
          <w:sz w:val="16"/>
        </w:rPr>
        <w:t>INF</w:t>
      </w:r>
      <w:r>
        <w:rPr>
          <w:rFonts w:ascii="Cambria"/>
          <w:b/>
          <w:i/>
          <w:sz w:val="16"/>
        </w:rPr>
        <w:tab/>
      </w:r>
      <w:r>
        <w:rPr>
          <w:rFonts w:ascii="Cambria"/>
          <w:b/>
          <w:i/>
          <w:spacing w:val="-10"/>
          <w:position w:val="1"/>
          <w:sz w:val="24"/>
        </w:rPr>
        <w:t>+</w:t>
      </w:r>
      <w:r>
        <w:rPr>
          <w:rFonts w:ascii="Cambria"/>
          <w:b/>
          <w:i/>
          <w:position w:val="1"/>
          <w:sz w:val="24"/>
        </w:rPr>
        <w:tab/>
      </w:r>
      <w:r>
        <w:rPr>
          <w:spacing w:val="-2"/>
          <w:position w:val="1"/>
          <w:sz w:val="24"/>
        </w:rPr>
        <w:t>0.011961</w:t>
      </w:r>
      <w:r>
        <w:rPr>
          <w:rFonts w:ascii="Cambria"/>
          <w:b/>
          <w:i/>
          <w:spacing w:val="-2"/>
          <w:sz w:val="16"/>
        </w:rPr>
        <w:t>GCF</w:t>
      </w:r>
      <w:r>
        <w:rPr>
          <w:rFonts w:ascii="Cambria"/>
          <w:b/>
          <w:i/>
          <w:sz w:val="16"/>
        </w:rPr>
        <w:tab/>
      </w:r>
      <w:r>
        <w:rPr>
          <w:rFonts w:ascii="Cambria"/>
          <w:b/>
          <w:i/>
          <w:spacing w:val="-10"/>
          <w:sz w:val="16"/>
        </w:rPr>
        <w:t>-</w:t>
      </w:r>
    </w:p>
    <w:p>
      <w:pPr>
        <w:pStyle w:val="BodyText"/>
        <w:spacing w:before="73"/>
        <w:rPr>
          <w:rFonts w:ascii="Cambria"/>
          <w:b/>
          <w:i/>
        </w:rPr>
      </w:pPr>
    </w:p>
    <w:p>
      <w:pPr>
        <w:tabs>
          <w:tab w:pos="7427" w:val="left" w:leader="dot"/>
        </w:tabs>
        <w:spacing w:before="0"/>
        <w:ind w:left="0" w:right="370" w:firstLine="0"/>
        <w:jc w:val="center"/>
        <w:rPr>
          <w:rFonts w:ascii="Arial"/>
          <w:b/>
          <w:sz w:val="21"/>
        </w:rPr>
      </w:pPr>
      <w:r>
        <w:rPr>
          <w:position w:val="2"/>
          <w:sz w:val="24"/>
        </w:rPr>
        <w:t>0.630047</w:t>
      </w:r>
      <w:r>
        <w:rPr>
          <w:rFonts w:ascii="Cambria"/>
          <w:b/>
          <w:i/>
          <w:position w:val="1"/>
          <w:sz w:val="16"/>
        </w:rPr>
        <w:t>DR</w:t>
      </w:r>
      <w:r>
        <w:rPr>
          <w:rFonts w:ascii="Cambria"/>
          <w:b/>
          <w:i/>
          <w:position w:val="2"/>
          <w:sz w:val="24"/>
        </w:rPr>
        <w:t>+</w:t>
      </w:r>
      <w:r>
        <w:rPr>
          <w:position w:val="2"/>
          <w:sz w:val="24"/>
        </w:rPr>
        <w:t>0.933646</w:t>
      </w:r>
      <w:r>
        <w:rPr>
          <w:rFonts w:ascii="Cambria"/>
          <w:b/>
          <w:i/>
          <w:position w:val="1"/>
          <w:sz w:val="16"/>
        </w:rPr>
        <w:t>PRIVCR</w:t>
      </w:r>
      <w:r>
        <w:rPr>
          <w:rFonts w:ascii="Cambria"/>
          <w:b/>
          <w:i/>
          <w:position w:val="2"/>
          <w:sz w:val="24"/>
        </w:rPr>
        <w:t>-</w:t>
      </w:r>
      <w:r>
        <w:rPr>
          <w:position w:val="2"/>
          <w:sz w:val="24"/>
        </w:rPr>
        <w:t>0.089968</w:t>
      </w:r>
      <w:r>
        <w:rPr>
          <w:rFonts w:ascii="Cambria"/>
          <w:b/>
          <w:i/>
          <w:position w:val="1"/>
          <w:sz w:val="16"/>
        </w:rPr>
        <w:t>USIRD</w:t>
      </w:r>
      <w:r>
        <w:rPr>
          <w:rFonts w:ascii="Cambria"/>
          <w:b/>
          <w:i/>
          <w:spacing w:val="4"/>
          <w:position w:val="1"/>
          <w:sz w:val="16"/>
        </w:rPr>
        <w:t> </w:t>
      </w:r>
      <w:r>
        <w:rPr>
          <w:position w:val="2"/>
          <w:sz w:val="24"/>
        </w:rPr>
        <w:t>-</w:t>
      </w:r>
      <w:r>
        <w:rPr>
          <w:spacing w:val="-6"/>
          <w:position w:val="2"/>
          <w:sz w:val="24"/>
        </w:rPr>
        <w:t> </w:t>
      </w:r>
      <w:r>
        <w:rPr>
          <w:spacing w:val="-2"/>
          <w:position w:val="2"/>
          <w:sz w:val="24"/>
        </w:rPr>
        <w:t>0.760191</w:t>
      </w:r>
      <w:r>
        <w:rPr>
          <w:rFonts w:ascii="Arial"/>
          <w:b/>
          <w:i/>
          <w:spacing w:val="-2"/>
          <w:position w:val="1"/>
          <w:sz w:val="16"/>
        </w:rPr>
        <w:t>GOCE</w:t>
      </w:r>
      <w:r>
        <w:rPr>
          <w:position w:val="1"/>
          <w:sz w:val="16"/>
        </w:rPr>
        <w:tab/>
      </w:r>
      <w:r>
        <w:rPr>
          <w:rFonts w:ascii="Arial"/>
          <w:b/>
          <w:i/>
          <w:spacing w:val="-2"/>
          <w:position w:val="1"/>
          <w:sz w:val="16"/>
        </w:rPr>
        <w:t>(</w:t>
      </w:r>
      <w:r>
        <w:rPr>
          <w:rFonts w:ascii="Arial"/>
          <w:b/>
          <w:spacing w:val="-2"/>
          <w:sz w:val="21"/>
        </w:rPr>
        <w:t>4.8)</w:t>
      </w:r>
    </w:p>
    <w:p>
      <w:pPr>
        <w:pStyle w:val="BodyText"/>
        <w:spacing w:before="94"/>
        <w:rPr>
          <w:rFonts w:ascii="Arial"/>
          <w:b/>
        </w:rPr>
      </w:pPr>
    </w:p>
    <w:p>
      <w:pPr>
        <w:pStyle w:val="BodyText"/>
        <w:spacing w:line="480" w:lineRule="auto"/>
        <w:ind w:left="711" w:right="469"/>
        <w:jc w:val="both"/>
        <w:rPr>
          <w:rFonts w:ascii="Cambria"/>
        </w:rPr>
      </w:pPr>
      <w:r>
        <w:rPr/>
        <w:t>The above result shows the summary</w:t>
      </w:r>
      <w:r>
        <w:rPr>
          <w:spacing w:val="-3"/>
        </w:rPr>
        <w:t> </w:t>
      </w:r>
      <w:r>
        <w:rPr/>
        <w:t>of the short-run analysis for the Post-SAP era under Morgan Guaranty Trust (1986) approach. The probability values show that none of the explanatory variables is statistically significant in predicting</w:t>
      </w:r>
      <w:r>
        <w:rPr>
          <w:spacing w:val="-2"/>
        </w:rPr>
        <w:t> </w:t>
      </w:r>
      <w:r>
        <w:rPr/>
        <w:t>the</w:t>
      </w:r>
      <w:r>
        <w:rPr>
          <w:spacing w:val="-1"/>
        </w:rPr>
        <w:t> </w:t>
      </w:r>
      <w:r>
        <w:rPr/>
        <w:t>behaviour</w:t>
      </w:r>
      <w:r>
        <w:rPr>
          <w:spacing w:val="-1"/>
        </w:rPr>
        <w:t> </w:t>
      </w:r>
      <w:r>
        <w:rPr/>
        <w:t>of</w:t>
      </w:r>
      <w:r>
        <w:rPr>
          <w:spacing w:val="-1"/>
        </w:rPr>
        <w:t> </w:t>
      </w:r>
      <w:r>
        <w:rPr/>
        <w:t>capital flight during</w:t>
      </w:r>
      <w:r>
        <w:rPr>
          <w:spacing w:val="-3"/>
        </w:rPr>
        <w:t> </w:t>
      </w:r>
      <w:r>
        <w:rPr/>
        <w:t>the</w:t>
      </w:r>
      <w:r>
        <w:rPr>
          <w:spacing w:val="-1"/>
        </w:rPr>
        <w:t> </w:t>
      </w:r>
      <w:r>
        <w:rPr/>
        <w:t>period.</w:t>
      </w:r>
      <w:r>
        <w:rPr>
          <w:spacing w:val="40"/>
        </w:rPr>
        <w:t> </w:t>
      </w:r>
      <w:r>
        <w:rPr/>
        <w:t>Howeve, t</w:t>
      </w:r>
      <w:r>
        <w:rPr>
          <w:rFonts w:ascii="Cambria"/>
        </w:rPr>
        <w:t>he constant parameter is positively related to the dependent variable and has a value of 8.188526.</w:t>
      </w:r>
    </w:p>
    <w:p>
      <w:pPr>
        <w:pStyle w:val="BodyText"/>
        <w:spacing w:line="480" w:lineRule="auto" w:before="2"/>
        <w:ind w:left="711" w:right="470"/>
        <w:jc w:val="both"/>
        <w:rPr>
          <w:rFonts w:ascii="Cambria" w:hAnsi="Cambria"/>
        </w:rPr>
      </w:pPr>
      <w:r>
        <w:rPr>
          <w:rFonts w:ascii="Cambria" w:hAnsi="Cambria"/>
        </w:rPr>
        <w:t>Change in External Debt (δEXTDEBT), Degree of Opennes (DOP), Gross Capital Formation (GCF) and Private sector credit (PRIVCR) are positively signed while Inflation rate (INF), Interst rate differential (USIRD) and Government current expenditure (GOCE) are negativelt signed.</w:t>
      </w:r>
      <w:r>
        <w:rPr>
          <w:rFonts w:ascii="Cambria" w:hAnsi="Cambria"/>
          <w:spacing w:val="40"/>
        </w:rPr>
        <w:t> </w:t>
      </w:r>
      <w:r>
        <w:rPr>
          <w:rFonts w:ascii="Cambria" w:hAnsi="Cambria"/>
        </w:rPr>
        <w:t>A change in any of the positively signed variable will lead to increase rate of capital flight and a change in any of the negatively signed variables will reduce the rate of capital flight in Nigeria.</w:t>
      </w:r>
    </w:p>
    <w:p>
      <w:pPr>
        <w:pStyle w:val="BodyText"/>
        <w:spacing w:line="480" w:lineRule="auto"/>
        <w:ind w:left="711" w:right="468"/>
        <w:jc w:val="both"/>
      </w:pPr>
      <w:r>
        <w:rPr>
          <w:rFonts w:ascii="Cambria"/>
        </w:rPr>
        <w:t>The coefficient of multiple determinants R</w:t>
      </w:r>
      <w:r>
        <w:rPr>
          <w:rFonts w:ascii="Cambria"/>
          <w:position w:val="6"/>
          <w:sz w:val="16"/>
        </w:rPr>
        <w:t>2 </w:t>
      </w:r>
      <w:r>
        <w:rPr>
          <w:rFonts w:ascii="Cambria"/>
        </w:rPr>
        <w:t>of </w:t>
      </w:r>
      <w:r>
        <w:rPr/>
        <w:t>0.626993 </w:t>
      </w:r>
      <w:r>
        <w:rPr>
          <w:rFonts w:ascii="Cambria"/>
        </w:rPr>
        <w:t>showed that about 63% of the behaviour of capital flight was explained by the independent variables in the short-run.</w:t>
      </w:r>
      <w:r>
        <w:rPr>
          <w:rFonts w:ascii="Cambria"/>
          <w:spacing w:val="40"/>
        </w:rPr>
        <w:t> </w:t>
      </w:r>
      <w:r>
        <w:rPr>
          <w:rFonts w:ascii="Cambria"/>
        </w:rPr>
        <w:t>F-statistic value of</w:t>
      </w:r>
      <w:r>
        <w:rPr>
          <w:rFonts w:ascii="Cambria"/>
          <w:spacing w:val="40"/>
        </w:rPr>
        <w:t> </w:t>
      </w:r>
      <w:r>
        <w:rPr/>
        <w:t>3.361834 which </w:t>
      </w:r>
      <w:r>
        <w:rPr>
          <w:rFonts w:ascii="Cambria"/>
          <w:b/>
        </w:rPr>
        <w:t>is </w:t>
      </w:r>
      <w:r>
        <w:rPr>
          <w:sz w:val="26"/>
        </w:rPr>
        <w:t>greater than </w:t>
      </w:r>
      <w:r>
        <w:rPr/>
        <w:t>the F-tabulated value of 2.27 shows that the model is statistically</w:t>
      </w:r>
      <w:r>
        <w:rPr>
          <w:spacing w:val="40"/>
        </w:rPr>
        <w:t> </w:t>
      </w:r>
      <w:r>
        <w:rPr>
          <w:spacing w:val="-2"/>
        </w:rPr>
        <w:t>significant.</w:t>
      </w:r>
    </w:p>
    <w:p>
      <w:pPr>
        <w:pStyle w:val="Heading6"/>
        <w:spacing w:line="276" w:lineRule="exact"/>
        <w:rPr>
          <w:b w:val="0"/>
        </w:rPr>
      </w:pPr>
      <w:r>
        <w:rPr/>
        <w:t>Validation</w:t>
      </w:r>
      <w:r>
        <w:rPr>
          <w:spacing w:val="-1"/>
        </w:rPr>
        <w:t> </w:t>
      </w:r>
      <w:r>
        <w:rPr/>
        <w:t>and</w:t>
      </w:r>
      <w:r>
        <w:rPr>
          <w:spacing w:val="-1"/>
        </w:rPr>
        <w:t> </w:t>
      </w:r>
      <w:r>
        <w:rPr/>
        <w:t>testing</w:t>
      </w:r>
      <w:r>
        <w:rPr>
          <w:spacing w:val="-1"/>
        </w:rPr>
        <w:t> </w:t>
      </w:r>
      <w:r>
        <w:rPr/>
        <w:t>of</w:t>
      </w:r>
      <w:r>
        <w:rPr>
          <w:spacing w:val="1"/>
        </w:rPr>
        <w:t> </w:t>
      </w:r>
      <w:r>
        <w:rPr>
          <w:spacing w:val="-2"/>
        </w:rPr>
        <w:t>hypotheses</w:t>
      </w:r>
      <w:r>
        <w:rPr>
          <w:b w:val="0"/>
          <w:spacing w:val="-2"/>
        </w:rPr>
        <w:t>:</w:t>
      </w:r>
    </w:p>
    <w:p>
      <w:pPr>
        <w:pStyle w:val="BodyText"/>
        <w:spacing w:before="275"/>
        <w:ind w:left="711"/>
      </w:pPr>
      <w:r>
        <w:rPr/>
        <w:t>The</w:t>
      </w:r>
      <w:r>
        <w:rPr>
          <w:spacing w:val="-3"/>
        </w:rPr>
        <w:t> </w:t>
      </w:r>
      <w:r>
        <w:rPr/>
        <w:t>under</w:t>
      </w:r>
      <w:r>
        <w:rPr>
          <w:spacing w:val="-1"/>
        </w:rPr>
        <w:t> </w:t>
      </w:r>
      <w:r>
        <w:rPr/>
        <w:t>listed</w:t>
      </w:r>
      <w:r>
        <w:rPr>
          <w:spacing w:val="-1"/>
        </w:rPr>
        <w:t> </w:t>
      </w:r>
      <w:r>
        <w:rPr/>
        <w:t>hypotheses</w:t>
      </w:r>
      <w:r>
        <w:rPr>
          <w:spacing w:val="2"/>
        </w:rPr>
        <w:t> </w:t>
      </w:r>
      <w:r>
        <w:rPr/>
        <w:t>were</w:t>
      </w:r>
      <w:r>
        <w:rPr>
          <w:spacing w:val="-2"/>
        </w:rPr>
        <w:t> </w:t>
      </w:r>
      <w:r>
        <w:rPr/>
        <w:t>tested</w:t>
      </w:r>
      <w:r>
        <w:rPr>
          <w:spacing w:val="-1"/>
        </w:rPr>
        <w:t> </w:t>
      </w:r>
      <w:r>
        <w:rPr/>
        <w:t>under</w:t>
      </w:r>
      <w:r>
        <w:rPr>
          <w:spacing w:val="-1"/>
        </w:rPr>
        <w:t> </w:t>
      </w:r>
      <w:r>
        <w:rPr/>
        <w:t>model </w:t>
      </w:r>
      <w:r>
        <w:rPr>
          <w:spacing w:val="-5"/>
        </w:rPr>
        <w:t>4.</w:t>
      </w:r>
    </w:p>
    <w:p>
      <w:pPr>
        <w:pStyle w:val="BodyText"/>
        <w:spacing w:before="276"/>
        <w:ind w:left="711"/>
      </w:pPr>
      <w:r>
        <w:rPr/>
        <w:t>The</w:t>
      </w:r>
      <w:r>
        <w:rPr>
          <w:spacing w:val="-3"/>
        </w:rPr>
        <w:t> </w:t>
      </w:r>
      <w:r>
        <w:rPr/>
        <w:t>hypothesis to</w:t>
      </w:r>
      <w:r>
        <w:rPr>
          <w:spacing w:val="-1"/>
        </w:rPr>
        <w:t> </w:t>
      </w:r>
      <w:r>
        <w:rPr/>
        <w:t>be tested in</w:t>
      </w:r>
      <w:r>
        <w:rPr>
          <w:spacing w:val="-1"/>
        </w:rPr>
        <w:t> </w:t>
      </w:r>
      <w:r>
        <w:rPr/>
        <w:t>this model</w:t>
      </w:r>
      <w:r>
        <w:rPr>
          <w:spacing w:val="-1"/>
        </w:rPr>
        <w:t> </w:t>
      </w:r>
      <w:r>
        <w:rPr/>
        <w:t>is stated in</w:t>
      </w:r>
      <w:r>
        <w:rPr>
          <w:spacing w:val="-1"/>
        </w:rPr>
        <w:t> </w:t>
      </w:r>
      <w:r>
        <w:rPr/>
        <w:t>the null</w:t>
      </w:r>
      <w:r>
        <w:rPr>
          <w:spacing w:val="-1"/>
        </w:rPr>
        <w:t> </w:t>
      </w:r>
      <w:r>
        <w:rPr/>
        <w:t>form as </w:t>
      </w:r>
      <w:r>
        <w:rPr>
          <w:spacing w:val="-2"/>
        </w:rPr>
        <w:t>follows;</w:t>
      </w:r>
    </w:p>
    <w:p>
      <w:pPr>
        <w:spacing w:after="0"/>
        <w:sectPr>
          <w:type w:val="continuous"/>
          <w:pgSz w:w="11910" w:h="16840"/>
          <w:pgMar w:header="0" w:footer="979" w:top="1400" w:bottom="1240" w:left="280" w:right="0"/>
        </w:sectPr>
      </w:pPr>
    </w:p>
    <w:p>
      <w:pPr>
        <w:pStyle w:val="BodyText"/>
        <w:spacing w:before="60"/>
        <w:ind w:left="711"/>
        <w:jc w:val="both"/>
      </w:pPr>
      <w:r>
        <w:rPr>
          <w:position w:val="2"/>
        </w:rPr>
        <w:t>H</w:t>
      </w:r>
      <w:r>
        <w:rPr>
          <w:sz w:val="16"/>
        </w:rPr>
        <w:t>01</w:t>
      </w:r>
      <w:r>
        <w:rPr>
          <w:position w:val="2"/>
        </w:rPr>
        <w:t>:</w:t>
      </w:r>
      <w:r>
        <w:rPr>
          <w:spacing w:val="26"/>
          <w:position w:val="2"/>
        </w:rPr>
        <w:t>  </w:t>
      </w:r>
      <w:r>
        <w:rPr>
          <w:position w:val="2"/>
        </w:rPr>
        <w:t>Macroeconomic,</w:t>
      </w:r>
      <w:r>
        <w:rPr>
          <w:spacing w:val="-2"/>
          <w:position w:val="2"/>
        </w:rPr>
        <w:t> </w:t>
      </w:r>
      <w:r>
        <w:rPr>
          <w:position w:val="2"/>
        </w:rPr>
        <w:t>Political</w:t>
      </w:r>
      <w:r>
        <w:rPr>
          <w:spacing w:val="1"/>
          <w:position w:val="2"/>
        </w:rPr>
        <w:t> </w:t>
      </w:r>
      <w:r>
        <w:rPr>
          <w:position w:val="2"/>
        </w:rPr>
        <w:t>and</w:t>
      </w:r>
      <w:r>
        <w:rPr>
          <w:spacing w:val="1"/>
          <w:position w:val="2"/>
        </w:rPr>
        <w:t> </w:t>
      </w:r>
      <w:r>
        <w:rPr>
          <w:position w:val="2"/>
        </w:rPr>
        <w:t>Institutional</w:t>
      </w:r>
      <w:r>
        <w:rPr>
          <w:spacing w:val="-1"/>
          <w:position w:val="2"/>
        </w:rPr>
        <w:t> </w:t>
      </w:r>
      <w:r>
        <w:rPr>
          <w:position w:val="2"/>
        </w:rPr>
        <w:t>factors</w:t>
      </w:r>
      <w:r>
        <w:rPr>
          <w:spacing w:val="-1"/>
          <w:position w:val="2"/>
        </w:rPr>
        <w:t> </w:t>
      </w:r>
      <w:r>
        <w:rPr>
          <w:position w:val="2"/>
        </w:rPr>
        <w:t>do</w:t>
      </w:r>
      <w:r>
        <w:rPr>
          <w:spacing w:val="-1"/>
          <w:position w:val="2"/>
        </w:rPr>
        <w:t> </w:t>
      </w:r>
      <w:r>
        <w:rPr>
          <w:position w:val="2"/>
        </w:rPr>
        <w:t>not</w:t>
      </w:r>
      <w:r>
        <w:rPr>
          <w:spacing w:val="-1"/>
          <w:position w:val="2"/>
        </w:rPr>
        <w:t> </w:t>
      </w:r>
      <w:r>
        <w:rPr>
          <w:position w:val="2"/>
        </w:rPr>
        <w:t>cause</w:t>
      </w:r>
      <w:r>
        <w:rPr>
          <w:spacing w:val="-3"/>
          <w:position w:val="2"/>
        </w:rPr>
        <w:t> </w:t>
      </w:r>
      <w:r>
        <w:rPr>
          <w:position w:val="2"/>
        </w:rPr>
        <w:t>capital</w:t>
      </w:r>
      <w:r>
        <w:rPr>
          <w:spacing w:val="-1"/>
          <w:position w:val="2"/>
        </w:rPr>
        <w:t> </w:t>
      </w:r>
      <w:r>
        <w:rPr>
          <w:position w:val="2"/>
        </w:rPr>
        <w:t>flight</w:t>
      </w:r>
      <w:r>
        <w:rPr>
          <w:spacing w:val="-1"/>
          <w:position w:val="2"/>
        </w:rPr>
        <w:t> </w:t>
      </w:r>
      <w:r>
        <w:rPr>
          <w:position w:val="2"/>
        </w:rPr>
        <w:t>in</w:t>
      </w:r>
      <w:r>
        <w:rPr>
          <w:spacing w:val="-1"/>
          <w:position w:val="2"/>
        </w:rPr>
        <w:t> </w:t>
      </w:r>
      <w:r>
        <w:rPr>
          <w:spacing w:val="-2"/>
          <w:position w:val="2"/>
        </w:rPr>
        <w:t>Nigeria.</w:t>
      </w:r>
    </w:p>
    <w:p>
      <w:pPr>
        <w:pStyle w:val="BodyText"/>
        <w:spacing w:line="477" w:lineRule="auto" w:before="273"/>
        <w:ind w:left="711" w:right="474"/>
        <w:jc w:val="both"/>
      </w:pPr>
      <w:r>
        <w:rPr>
          <w:position w:val="2"/>
        </w:rPr>
        <w:t>H</w:t>
      </w:r>
      <w:r>
        <w:rPr>
          <w:sz w:val="16"/>
        </w:rPr>
        <w:t>03</w:t>
      </w:r>
      <w:r>
        <w:rPr>
          <w:position w:val="2"/>
        </w:rPr>
        <w:t>:</w:t>
      </w:r>
      <w:r>
        <w:rPr>
          <w:spacing w:val="40"/>
          <w:position w:val="2"/>
        </w:rPr>
        <w:t>  </w:t>
      </w:r>
      <w:r>
        <w:rPr>
          <w:position w:val="2"/>
        </w:rPr>
        <w:t>Macroeconomic, Political and Institutional factors do not influence the choice of private wealth </w:t>
      </w:r>
      <w:r>
        <w:rPr/>
        <w:t>holders in Nigeria.</w:t>
      </w:r>
    </w:p>
    <w:p>
      <w:pPr>
        <w:pStyle w:val="BodyText"/>
        <w:spacing w:before="3"/>
        <w:ind w:left="711"/>
        <w:jc w:val="both"/>
      </w:pPr>
      <w:r>
        <w:rPr>
          <w:position w:val="2"/>
        </w:rPr>
        <w:t>H</w:t>
      </w:r>
      <w:r>
        <w:rPr>
          <w:sz w:val="16"/>
        </w:rPr>
        <w:t>04</w:t>
      </w:r>
      <w:r>
        <w:rPr>
          <w:spacing w:val="76"/>
          <w:sz w:val="16"/>
        </w:rPr>
        <w:t>  </w:t>
      </w:r>
      <w:r>
        <w:rPr>
          <w:position w:val="2"/>
        </w:rPr>
        <w:t>Capital flight</w:t>
      </w:r>
      <w:r>
        <w:rPr>
          <w:spacing w:val="-1"/>
          <w:position w:val="2"/>
        </w:rPr>
        <w:t> </w:t>
      </w:r>
      <w:r>
        <w:rPr>
          <w:position w:val="2"/>
        </w:rPr>
        <w:t>cannot be</w:t>
      </w:r>
      <w:r>
        <w:rPr>
          <w:spacing w:val="-1"/>
          <w:position w:val="2"/>
        </w:rPr>
        <w:t> </w:t>
      </w:r>
      <w:r>
        <w:rPr>
          <w:position w:val="2"/>
        </w:rPr>
        <w:t>stemmed</w:t>
      </w:r>
      <w:r>
        <w:rPr>
          <w:spacing w:val="-1"/>
          <w:position w:val="2"/>
        </w:rPr>
        <w:t> </w:t>
      </w:r>
      <w:r>
        <w:rPr>
          <w:position w:val="2"/>
        </w:rPr>
        <w:t>nor</w:t>
      </w:r>
      <w:r>
        <w:rPr>
          <w:spacing w:val="-2"/>
          <w:position w:val="2"/>
        </w:rPr>
        <w:t> </w:t>
      </w:r>
      <w:r>
        <w:rPr>
          <w:position w:val="2"/>
        </w:rPr>
        <w:t>reversed</w:t>
      </w:r>
      <w:r>
        <w:rPr>
          <w:spacing w:val="-1"/>
          <w:position w:val="2"/>
        </w:rPr>
        <w:t> </w:t>
      </w:r>
      <w:r>
        <w:rPr>
          <w:position w:val="2"/>
        </w:rPr>
        <w:t>in </w:t>
      </w:r>
      <w:r>
        <w:rPr>
          <w:spacing w:val="-2"/>
          <w:position w:val="2"/>
        </w:rPr>
        <w:t>Nigeria.</w:t>
      </w:r>
    </w:p>
    <w:p>
      <w:pPr>
        <w:pStyle w:val="BodyText"/>
        <w:spacing w:line="480" w:lineRule="auto" w:before="274"/>
        <w:ind w:left="711" w:right="469"/>
        <w:jc w:val="both"/>
      </w:pPr>
      <w:r>
        <w:rPr/>
        <w:t>Since none of the the probability values the explanatory variables is significant, the null hypotheses are accepted for</w:t>
      </w:r>
      <w:r>
        <w:rPr>
          <w:spacing w:val="40"/>
        </w:rPr>
        <w:t> </w:t>
      </w:r>
      <w:r>
        <w:rPr/>
        <w:t>all the explanatory variables (</w:t>
      </w:r>
      <w:r>
        <w:rPr>
          <w:rFonts w:ascii="Cambria" w:hAnsi="Cambria"/>
        </w:rPr>
        <w:t>Change in External Debt (δEXTDEBT), Degree of Opennes (DOP), Gross Capital</w:t>
      </w:r>
      <w:r>
        <w:rPr>
          <w:rFonts w:ascii="Cambria" w:hAnsi="Cambria"/>
          <w:spacing w:val="-1"/>
        </w:rPr>
        <w:t> </w:t>
      </w:r>
      <w:r>
        <w:rPr>
          <w:rFonts w:ascii="Cambria" w:hAnsi="Cambria"/>
        </w:rPr>
        <w:t>Formation (GCF), Private</w:t>
      </w:r>
      <w:r>
        <w:rPr>
          <w:rFonts w:ascii="Cambria" w:hAnsi="Cambria"/>
          <w:spacing w:val="-3"/>
        </w:rPr>
        <w:t> </w:t>
      </w:r>
      <w:r>
        <w:rPr>
          <w:rFonts w:ascii="Cambria" w:hAnsi="Cambria"/>
        </w:rPr>
        <w:t>sector credit (PRIVCR), Inflation rate (INF), Interst rate differential</w:t>
      </w:r>
      <w:r>
        <w:rPr>
          <w:rFonts w:ascii="Cambria" w:hAnsi="Cambria"/>
          <w:spacing w:val="-1"/>
        </w:rPr>
        <w:t> </w:t>
      </w:r>
      <w:r>
        <w:rPr>
          <w:rFonts w:ascii="Cambria" w:hAnsi="Cambria"/>
        </w:rPr>
        <w:t>(USIRD)</w:t>
      </w:r>
      <w:r>
        <w:rPr>
          <w:rFonts w:ascii="Cambria" w:hAnsi="Cambria"/>
          <w:spacing w:val="-1"/>
        </w:rPr>
        <w:t> </w:t>
      </w:r>
      <w:r>
        <w:rPr>
          <w:rFonts w:ascii="Cambria" w:hAnsi="Cambria"/>
        </w:rPr>
        <w:t>and</w:t>
      </w:r>
      <w:r>
        <w:rPr>
          <w:rFonts w:ascii="Cambria" w:hAnsi="Cambria"/>
          <w:spacing w:val="-2"/>
        </w:rPr>
        <w:t> </w:t>
      </w:r>
      <w:r>
        <w:rPr>
          <w:rFonts w:ascii="Cambria" w:hAnsi="Cambria"/>
        </w:rPr>
        <w:t>Government current expenditure (GOCE). </w:t>
      </w:r>
      <w:r>
        <w:rPr/>
        <w:t>From</w:t>
      </w:r>
      <w:r>
        <w:rPr>
          <w:spacing w:val="-1"/>
        </w:rPr>
        <w:t> </w:t>
      </w:r>
      <w:r>
        <w:rPr/>
        <w:t>the analysis</w:t>
      </w:r>
      <w:r>
        <w:rPr>
          <w:spacing w:val="-1"/>
        </w:rPr>
        <w:t> </w:t>
      </w:r>
      <w:r>
        <w:rPr/>
        <w:t>of</w:t>
      </w:r>
      <w:r>
        <w:rPr>
          <w:spacing w:val="-2"/>
        </w:rPr>
        <w:t> </w:t>
      </w:r>
      <w:r>
        <w:rPr/>
        <w:t>model</w:t>
      </w:r>
      <w:r>
        <w:rPr>
          <w:spacing w:val="-1"/>
        </w:rPr>
        <w:t> </w:t>
      </w:r>
      <w:r>
        <w:rPr/>
        <w:t>4 (World Bank (1985) &amp; Morgan Guaranty Trust (1986) approaches), debt volatility which is a major political variable that influenced the level of capital flight from Nigeria during the change of policy (ie pre and post </w:t>
      </w:r>
      <w:r>
        <w:rPr>
          <w:spacing w:val="-2"/>
        </w:rPr>
        <w:t>SAP).</w:t>
      </w:r>
    </w:p>
    <w:p>
      <w:pPr>
        <w:pStyle w:val="Heading2"/>
        <w:spacing w:line="360" w:lineRule="auto" w:before="1"/>
        <w:ind w:right="474"/>
      </w:pPr>
      <w:r>
        <w:rPr/>
        <w:t>Table 4.9 Presentation and Interpretation of Pre-SAP Short run Results for Model 5A (World Bank &amp; Erbe 1985 approach)</w:t>
      </w:r>
    </w:p>
    <w:p>
      <w:pPr>
        <w:spacing w:before="1"/>
        <w:ind w:left="780" w:right="0" w:firstLine="0"/>
        <w:jc w:val="both"/>
        <w:rPr>
          <w:b/>
          <w:sz w:val="18"/>
        </w:rPr>
      </w:pPr>
      <w:r>
        <w:rPr>
          <w:b/>
          <w:sz w:val="18"/>
        </w:rPr>
        <w:t>DEPENDENT VARIABLE</w:t>
      </w:r>
      <w:r>
        <w:rPr>
          <w:b/>
          <w:spacing w:val="-1"/>
          <w:sz w:val="18"/>
        </w:rPr>
        <w:t> </w:t>
      </w:r>
      <w:r>
        <w:rPr>
          <w:b/>
          <w:sz w:val="18"/>
        </w:rPr>
        <w:t>=</w:t>
      </w:r>
      <w:r>
        <w:rPr>
          <w:b/>
          <w:spacing w:val="1"/>
          <w:sz w:val="18"/>
        </w:rPr>
        <w:t> </w:t>
      </w:r>
      <w:r>
        <w:rPr>
          <w:b/>
          <w:spacing w:val="-5"/>
          <w:sz w:val="18"/>
        </w:rPr>
        <w:t>GDP</w:t>
      </w:r>
    </w:p>
    <w:p>
      <w:pPr>
        <w:pStyle w:val="BodyText"/>
        <w:rPr>
          <w:b/>
          <w:sz w:val="9"/>
        </w:rPr>
      </w:pPr>
    </w:p>
    <w:tbl>
      <w:tblPr>
        <w:tblW w:w="0" w:type="auto"/>
        <w:jc w:val="left"/>
        <w:tblInd w:w="8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04"/>
        <w:gridCol w:w="1868"/>
        <w:gridCol w:w="1923"/>
        <w:gridCol w:w="1758"/>
        <w:gridCol w:w="1520"/>
      </w:tblGrid>
      <w:tr>
        <w:trPr>
          <w:trHeight w:val="1125" w:hRule="atLeast"/>
        </w:trPr>
        <w:tc>
          <w:tcPr>
            <w:tcW w:w="2204" w:type="dxa"/>
          </w:tcPr>
          <w:p>
            <w:pPr>
              <w:pStyle w:val="TableParagraph"/>
              <w:spacing w:line="281" w:lineRule="exact"/>
              <w:ind w:left="105"/>
              <w:rPr>
                <w:rFonts w:ascii="Cambria"/>
                <w:b/>
                <w:sz w:val="24"/>
              </w:rPr>
            </w:pPr>
            <w:r>
              <w:rPr>
                <w:rFonts w:ascii="Cambria"/>
                <w:b/>
                <w:spacing w:val="-2"/>
                <w:sz w:val="24"/>
              </w:rPr>
              <w:t>INDEPENDENT</w:t>
            </w:r>
          </w:p>
          <w:p>
            <w:pPr>
              <w:pStyle w:val="TableParagraph"/>
              <w:spacing w:before="6"/>
              <w:rPr>
                <w:b/>
                <w:sz w:val="24"/>
              </w:rPr>
            </w:pPr>
          </w:p>
          <w:p>
            <w:pPr>
              <w:pStyle w:val="TableParagraph"/>
              <w:ind w:left="105"/>
              <w:rPr>
                <w:rFonts w:ascii="Cambria"/>
                <w:b/>
                <w:sz w:val="24"/>
              </w:rPr>
            </w:pPr>
            <w:r>
              <w:rPr>
                <w:rFonts w:ascii="Cambria"/>
                <w:b/>
                <w:spacing w:val="-2"/>
                <w:sz w:val="24"/>
              </w:rPr>
              <w:t>VARIABLE</w:t>
            </w:r>
          </w:p>
        </w:tc>
        <w:tc>
          <w:tcPr>
            <w:tcW w:w="1868" w:type="dxa"/>
          </w:tcPr>
          <w:p>
            <w:pPr>
              <w:pStyle w:val="TableParagraph"/>
              <w:spacing w:line="281" w:lineRule="exact"/>
              <w:ind w:left="107"/>
              <w:rPr>
                <w:rFonts w:ascii="Cambria"/>
                <w:b/>
                <w:sz w:val="24"/>
              </w:rPr>
            </w:pPr>
            <w:r>
              <w:rPr>
                <w:rFonts w:ascii="Cambria"/>
                <w:b/>
                <w:spacing w:val="-2"/>
                <w:sz w:val="24"/>
              </w:rPr>
              <w:t>COEFFICIENT</w:t>
            </w:r>
          </w:p>
          <w:p>
            <w:pPr>
              <w:pStyle w:val="TableParagraph"/>
              <w:spacing w:before="6"/>
              <w:rPr>
                <w:b/>
                <w:sz w:val="24"/>
              </w:rPr>
            </w:pPr>
          </w:p>
          <w:p>
            <w:pPr>
              <w:pStyle w:val="TableParagraph"/>
              <w:ind w:left="107"/>
              <w:rPr>
                <w:rFonts w:ascii="Cambria"/>
                <w:b/>
                <w:sz w:val="24"/>
              </w:rPr>
            </w:pPr>
            <w:r>
              <w:rPr>
                <w:rFonts w:ascii="Cambria"/>
                <w:b/>
                <w:sz w:val="24"/>
              </w:rPr>
              <w:t>OF</w:t>
            </w:r>
            <w:r>
              <w:rPr>
                <w:rFonts w:ascii="Cambria"/>
                <w:b/>
                <w:spacing w:val="-1"/>
                <w:sz w:val="24"/>
              </w:rPr>
              <w:t> </w:t>
            </w:r>
            <w:r>
              <w:rPr>
                <w:rFonts w:ascii="Cambria"/>
                <w:b/>
                <w:spacing w:val="-2"/>
                <w:sz w:val="24"/>
              </w:rPr>
              <w:t>ESTIMATES</w:t>
            </w:r>
          </w:p>
        </w:tc>
        <w:tc>
          <w:tcPr>
            <w:tcW w:w="1923" w:type="dxa"/>
          </w:tcPr>
          <w:p>
            <w:pPr>
              <w:pStyle w:val="TableParagraph"/>
              <w:spacing w:before="4"/>
              <w:rPr>
                <w:b/>
                <w:sz w:val="24"/>
              </w:rPr>
            </w:pPr>
          </w:p>
          <w:p>
            <w:pPr>
              <w:pStyle w:val="TableParagraph"/>
              <w:ind w:left="107"/>
              <w:rPr>
                <w:rFonts w:ascii="Cambria"/>
                <w:b/>
                <w:sz w:val="24"/>
              </w:rPr>
            </w:pPr>
            <w:r>
              <w:rPr>
                <w:rFonts w:ascii="Cambria"/>
                <w:b/>
                <w:sz w:val="24"/>
              </w:rPr>
              <w:t>T- </w:t>
            </w:r>
            <w:r>
              <w:rPr>
                <w:rFonts w:ascii="Cambria"/>
                <w:b/>
                <w:spacing w:val="-2"/>
                <w:sz w:val="24"/>
              </w:rPr>
              <w:t>STATISTICS</w:t>
            </w:r>
          </w:p>
        </w:tc>
        <w:tc>
          <w:tcPr>
            <w:tcW w:w="1758" w:type="dxa"/>
          </w:tcPr>
          <w:p>
            <w:pPr>
              <w:pStyle w:val="TableParagraph"/>
              <w:spacing w:line="281" w:lineRule="exact"/>
              <w:ind w:left="104"/>
              <w:rPr>
                <w:rFonts w:ascii="Cambria"/>
                <w:b/>
                <w:sz w:val="24"/>
              </w:rPr>
            </w:pPr>
            <w:r>
              <w:rPr>
                <w:rFonts w:ascii="Cambria"/>
                <w:b/>
                <w:spacing w:val="-2"/>
                <w:sz w:val="24"/>
              </w:rPr>
              <w:t>PROBABILITY</w:t>
            </w:r>
          </w:p>
          <w:p>
            <w:pPr>
              <w:pStyle w:val="TableParagraph"/>
              <w:spacing w:before="6"/>
              <w:rPr>
                <w:b/>
                <w:sz w:val="24"/>
              </w:rPr>
            </w:pPr>
          </w:p>
          <w:p>
            <w:pPr>
              <w:pStyle w:val="TableParagraph"/>
              <w:ind w:left="104"/>
              <w:rPr>
                <w:rFonts w:ascii="Cambria"/>
                <w:b/>
                <w:sz w:val="24"/>
              </w:rPr>
            </w:pPr>
            <w:r>
              <w:rPr>
                <w:rFonts w:ascii="Cambria"/>
                <w:b/>
                <w:spacing w:val="-2"/>
                <w:sz w:val="24"/>
              </w:rPr>
              <w:t>VALUE</w:t>
            </w:r>
          </w:p>
        </w:tc>
        <w:tc>
          <w:tcPr>
            <w:tcW w:w="1520" w:type="dxa"/>
          </w:tcPr>
          <w:p>
            <w:pPr>
              <w:pStyle w:val="TableParagraph"/>
              <w:spacing w:line="281" w:lineRule="exact"/>
              <w:ind w:left="104"/>
              <w:rPr>
                <w:rFonts w:ascii="Cambria"/>
                <w:b/>
                <w:sz w:val="24"/>
              </w:rPr>
            </w:pPr>
            <w:r>
              <w:rPr>
                <w:rFonts w:ascii="Cambria"/>
                <w:b/>
                <w:spacing w:val="-2"/>
                <w:sz w:val="24"/>
              </w:rPr>
              <w:t>REMARKS</w:t>
            </w:r>
          </w:p>
        </w:tc>
      </w:tr>
      <w:tr>
        <w:trPr>
          <w:trHeight w:val="275" w:hRule="atLeast"/>
        </w:trPr>
        <w:tc>
          <w:tcPr>
            <w:tcW w:w="2204" w:type="dxa"/>
          </w:tcPr>
          <w:p>
            <w:pPr>
              <w:pStyle w:val="TableParagraph"/>
              <w:spacing w:line="229" w:lineRule="exact"/>
              <w:ind w:left="5" w:right="1"/>
              <w:jc w:val="center"/>
              <w:rPr>
                <w:rFonts w:ascii="Arial MT"/>
                <w:sz w:val="20"/>
              </w:rPr>
            </w:pPr>
            <w:r>
              <w:rPr>
                <w:rFonts w:ascii="Arial MT"/>
                <w:spacing w:val="-10"/>
                <w:sz w:val="20"/>
              </w:rPr>
              <w:t>C</w:t>
            </w:r>
          </w:p>
        </w:tc>
        <w:tc>
          <w:tcPr>
            <w:tcW w:w="1868" w:type="dxa"/>
          </w:tcPr>
          <w:p>
            <w:pPr>
              <w:pStyle w:val="TableParagraph"/>
              <w:ind w:right="96"/>
              <w:jc w:val="right"/>
              <w:rPr>
                <w:sz w:val="20"/>
              </w:rPr>
            </w:pPr>
            <w:r>
              <w:rPr>
                <w:spacing w:val="-4"/>
                <w:sz w:val="20"/>
              </w:rPr>
              <w:t>-</w:t>
            </w:r>
            <w:r>
              <w:rPr>
                <w:spacing w:val="-2"/>
                <w:sz w:val="20"/>
              </w:rPr>
              <w:t>2.574726</w:t>
            </w:r>
          </w:p>
        </w:tc>
        <w:tc>
          <w:tcPr>
            <w:tcW w:w="1923" w:type="dxa"/>
          </w:tcPr>
          <w:p>
            <w:pPr>
              <w:pStyle w:val="TableParagraph"/>
              <w:ind w:right="99"/>
              <w:jc w:val="right"/>
              <w:rPr>
                <w:sz w:val="20"/>
              </w:rPr>
            </w:pPr>
            <w:r>
              <w:rPr>
                <w:spacing w:val="-4"/>
                <w:sz w:val="20"/>
              </w:rPr>
              <w:t>-</w:t>
            </w:r>
            <w:r>
              <w:rPr>
                <w:spacing w:val="-2"/>
                <w:sz w:val="20"/>
              </w:rPr>
              <w:t>2.086543</w:t>
            </w:r>
          </w:p>
        </w:tc>
        <w:tc>
          <w:tcPr>
            <w:tcW w:w="1758" w:type="dxa"/>
          </w:tcPr>
          <w:p>
            <w:pPr>
              <w:pStyle w:val="TableParagraph"/>
              <w:ind w:right="100"/>
              <w:jc w:val="right"/>
              <w:rPr>
                <w:sz w:val="20"/>
              </w:rPr>
            </w:pPr>
            <w:r>
              <w:rPr>
                <w:spacing w:val="-2"/>
                <w:sz w:val="20"/>
              </w:rPr>
              <w:t>0.0610</w:t>
            </w:r>
          </w:p>
        </w:tc>
        <w:tc>
          <w:tcPr>
            <w:tcW w:w="1520" w:type="dxa"/>
          </w:tcPr>
          <w:p>
            <w:pPr>
              <w:pStyle w:val="TableParagraph"/>
              <w:spacing w:line="256" w:lineRule="exact"/>
              <w:ind w:right="103"/>
              <w:jc w:val="right"/>
              <w:rPr>
                <w:sz w:val="24"/>
              </w:rPr>
            </w:pPr>
            <w:r>
              <w:rPr>
                <w:spacing w:val="-2"/>
                <w:sz w:val="24"/>
              </w:rPr>
              <w:t>Significant</w:t>
            </w:r>
          </w:p>
        </w:tc>
      </w:tr>
      <w:tr>
        <w:trPr>
          <w:trHeight w:val="333" w:hRule="atLeast"/>
        </w:trPr>
        <w:tc>
          <w:tcPr>
            <w:tcW w:w="2204" w:type="dxa"/>
          </w:tcPr>
          <w:p>
            <w:pPr>
              <w:pStyle w:val="TableParagraph"/>
              <w:spacing w:before="2"/>
              <w:ind w:left="5" w:right="1"/>
              <w:jc w:val="center"/>
              <w:rPr>
                <w:rFonts w:ascii="Arial MT" w:hAnsi="Arial MT"/>
                <w:sz w:val="20"/>
              </w:rPr>
            </w:pPr>
            <w:r>
              <w:rPr>
                <w:rFonts w:ascii="Cambria" w:hAnsi="Cambria"/>
                <w:spacing w:val="-2"/>
                <w:sz w:val="24"/>
              </w:rPr>
              <w:t>δ</w:t>
            </w:r>
            <w:r>
              <w:rPr>
                <w:rFonts w:ascii="Arial MT" w:hAnsi="Arial MT"/>
                <w:spacing w:val="-2"/>
                <w:sz w:val="20"/>
              </w:rPr>
              <w:t>EXTDEBT</w:t>
            </w:r>
          </w:p>
        </w:tc>
        <w:tc>
          <w:tcPr>
            <w:tcW w:w="1868" w:type="dxa"/>
          </w:tcPr>
          <w:p>
            <w:pPr>
              <w:pStyle w:val="TableParagraph"/>
              <w:ind w:right="96"/>
              <w:jc w:val="right"/>
              <w:rPr>
                <w:sz w:val="20"/>
              </w:rPr>
            </w:pPr>
            <w:r>
              <w:rPr>
                <w:spacing w:val="-4"/>
                <w:sz w:val="20"/>
              </w:rPr>
              <w:t>-</w:t>
            </w:r>
            <w:r>
              <w:rPr>
                <w:spacing w:val="-2"/>
                <w:sz w:val="20"/>
              </w:rPr>
              <w:t>0.093313</w:t>
            </w:r>
          </w:p>
        </w:tc>
        <w:tc>
          <w:tcPr>
            <w:tcW w:w="1923" w:type="dxa"/>
          </w:tcPr>
          <w:p>
            <w:pPr>
              <w:pStyle w:val="TableParagraph"/>
              <w:ind w:right="99"/>
              <w:jc w:val="right"/>
              <w:rPr>
                <w:sz w:val="20"/>
              </w:rPr>
            </w:pPr>
            <w:r>
              <w:rPr>
                <w:spacing w:val="-4"/>
                <w:sz w:val="20"/>
              </w:rPr>
              <w:t>-</w:t>
            </w:r>
            <w:r>
              <w:rPr>
                <w:spacing w:val="-2"/>
                <w:sz w:val="20"/>
              </w:rPr>
              <w:t>2.342966</w:t>
            </w:r>
          </w:p>
        </w:tc>
        <w:tc>
          <w:tcPr>
            <w:tcW w:w="1758" w:type="dxa"/>
          </w:tcPr>
          <w:p>
            <w:pPr>
              <w:pStyle w:val="TableParagraph"/>
              <w:ind w:right="100"/>
              <w:jc w:val="right"/>
              <w:rPr>
                <w:sz w:val="20"/>
              </w:rPr>
            </w:pPr>
            <w:r>
              <w:rPr>
                <w:spacing w:val="-2"/>
                <w:sz w:val="20"/>
              </w:rPr>
              <w:t>0.0390</w:t>
            </w:r>
          </w:p>
        </w:tc>
        <w:tc>
          <w:tcPr>
            <w:tcW w:w="1520" w:type="dxa"/>
          </w:tcPr>
          <w:p>
            <w:pPr>
              <w:pStyle w:val="TableParagraph"/>
              <w:spacing w:before="1"/>
              <w:ind w:right="103"/>
              <w:jc w:val="right"/>
              <w:rPr>
                <w:sz w:val="24"/>
              </w:rPr>
            </w:pPr>
            <w:r>
              <w:rPr>
                <w:spacing w:val="-2"/>
                <w:sz w:val="24"/>
              </w:rPr>
              <w:t>Significant</w:t>
            </w:r>
          </w:p>
        </w:tc>
      </w:tr>
      <w:tr>
        <w:trPr>
          <w:trHeight w:val="340" w:hRule="atLeast"/>
        </w:trPr>
        <w:tc>
          <w:tcPr>
            <w:tcW w:w="2204" w:type="dxa"/>
          </w:tcPr>
          <w:p>
            <w:pPr>
              <w:pStyle w:val="TableParagraph"/>
              <w:spacing w:line="229" w:lineRule="exact"/>
              <w:ind w:left="5" w:right="1"/>
              <w:jc w:val="center"/>
              <w:rPr>
                <w:rFonts w:ascii="Arial MT"/>
                <w:sz w:val="20"/>
              </w:rPr>
            </w:pPr>
            <w:r>
              <w:rPr>
                <w:rFonts w:ascii="Arial MT"/>
                <w:spacing w:val="-5"/>
                <w:sz w:val="20"/>
              </w:rPr>
              <w:t>DFI</w:t>
            </w:r>
          </w:p>
        </w:tc>
        <w:tc>
          <w:tcPr>
            <w:tcW w:w="1868" w:type="dxa"/>
          </w:tcPr>
          <w:p>
            <w:pPr>
              <w:pStyle w:val="TableParagraph"/>
              <w:ind w:right="96"/>
              <w:jc w:val="right"/>
              <w:rPr>
                <w:sz w:val="20"/>
              </w:rPr>
            </w:pPr>
            <w:r>
              <w:rPr>
                <w:spacing w:val="-2"/>
                <w:sz w:val="20"/>
              </w:rPr>
              <w:t>1.493692</w:t>
            </w:r>
          </w:p>
        </w:tc>
        <w:tc>
          <w:tcPr>
            <w:tcW w:w="1923" w:type="dxa"/>
          </w:tcPr>
          <w:p>
            <w:pPr>
              <w:pStyle w:val="TableParagraph"/>
              <w:ind w:right="99"/>
              <w:jc w:val="right"/>
              <w:rPr>
                <w:sz w:val="20"/>
              </w:rPr>
            </w:pPr>
            <w:r>
              <w:rPr>
                <w:spacing w:val="-2"/>
                <w:sz w:val="20"/>
              </w:rPr>
              <w:t>8.561991</w:t>
            </w:r>
          </w:p>
        </w:tc>
        <w:tc>
          <w:tcPr>
            <w:tcW w:w="1758" w:type="dxa"/>
          </w:tcPr>
          <w:p>
            <w:pPr>
              <w:pStyle w:val="TableParagraph"/>
              <w:ind w:right="100"/>
              <w:jc w:val="right"/>
              <w:rPr>
                <w:sz w:val="20"/>
              </w:rPr>
            </w:pPr>
            <w:r>
              <w:rPr>
                <w:spacing w:val="-2"/>
                <w:sz w:val="20"/>
              </w:rPr>
              <w:t>0.0000</w:t>
            </w:r>
          </w:p>
        </w:tc>
        <w:tc>
          <w:tcPr>
            <w:tcW w:w="1520" w:type="dxa"/>
          </w:tcPr>
          <w:p>
            <w:pPr>
              <w:pStyle w:val="TableParagraph"/>
              <w:spacing w:line="275" w:lineRule="exact"/>
              <w:ind w:right="103"/>
              <w:jc w:val="right"/>
              <w:rPr>
                <w:sz w:val="24"/>
              </w:rPr>
            </w:pPr>
            <w:r>
              <w:rPr>
                <w:spacing w:val="-2"/>
                <w:sz w:val="24"/>
              </w:rPr>
              <w:t>Significant</w:t>
            </w:r>
          </w:p>
        </w:tc>
      </w:tr>
      <w:tr>
        <w:trPr>
          <w:trHeight w:val="350" w:hRule="atLeast"/>
        </w:trPr>
        <w:tc>
          <w:tcPr>
            <w:tcW w:w="2204" w:type="dxa"/>
          </w:tcPr>
          <w:p>
            <w:pPr>
              <w:pStyle w:val="TableParagraph"/>
              <w:spacing w:line="229" w:lineRule="exact"/>
              <w:ind w:left="5"/>
              <w:jc w:val="center"/>
              <w:rPr>
                <w:rFonts w:ascii="Arial MT"/>
                <w:sz w:val="20"/>
              </w:rPr>
            </w:pPr>
            <w:r>
              <w:rPr>
                <w:rFonts w:ascii="Arial MT"/>
                <w:spacing w:val="-5"/>
                <w:sz w:val="20"/>
              </w:rPr>
              <w:t>CAB</w:t>
            </w:r>
          </w:p>
        </w:tc>
        <w:tc>
          <w:tcPr>
            <w:tcW w:w="1868" w:type="dxa"/>
          </w:tcPr>
          <w:p>
            <w:pPr>
              <w:pStyle w:val="TableParagraph"/>
              <w:ind w:right="96"/>
              <w:jc w:val="right"/>
              <w:rPr>
                <w:sz w:val="20"/>
              </w:rPr>
            </w:pPr>
            <w:r>
              <w:rPr>
                <w:spacing w:val="-4"/>
                <w:sz w:val="20"/>
              </w:rPr>
              <w:t>-</w:t>
            </w:r>
            <w:r>
              <w:rPr>
                <w:spacing w:val="-2"/>
                <w:sz w:val="20"/>
              </w:rPr>
              <w:t>0.012379</w:t>
            </w:r>
          </w:p>
        </w:tc>
        <w:tc>
          <w:tcPr>
            <w:tcW w:w="1923" w:type="dxa"/>
          </w:tcPr>
          <w:p>
            <w:pPr>
              <w:pStyle w:val="TableParagraph"/>
              <w:ind w:right="99"/>
              <w:jc w:val="right"/>
              <w:rPr>
                <w:sz w:val="20"/>
              </w:rPr>
            </w:pPr>
            <w:r>
              <w:rPr>
                <w:spacing w:val="-4"/>
                <w:sz w:val="20"/>
              </w:rPr>
              <w:t>-</w:t>
            </w:r>
            <w:r>
              <w:rPr>
                <w:spacing w:val="-2"/>
                <w:sz w:val="20"/>
              </w:rPr>
              <w:t>0.362955</w:t>
            </w:r>
          </w:p>
        </w:tc>
        <w:tc>
          <w:tcPr>
            <w:tcW w:w="1758" w:type="dxa"/>
          </w:tcPr>
          <w:p>
            <w:pPr>
              <w:pStyle w:val="TableParagraph"/>
              <w:ind w:right="100"/>
              <w:jc w:val="right"/>
              <w:rPr>
                <w:sz w:val="20"/>
              </w:rPr>
            </w:pPr>
            <w:r>
              <w:rPr>
                <w:spacing w:val="-2"/>
                <w:sz w:val="20"/>
              </w:rPr>
              <w:t>0.7235</w:t>
            </w:r>
          </w:p>
        </w:tc>
        <w:tc>
          <w:tcPr>
            <w:tcW w:w="1520" w:type="dxa"/>
          </w:tcPr>
          <w:p>
            <w:pPr>
              <w:pStyle w:val="TableParagraph"/>
              <w:spacing w:line="275" w:lineRule="exact"/>
              <w:ind w:right="101"/>
              <w:jc w:val="right"/>
              <w:rPr>
                <w:sz w:val="24"/>
              </w:rPr>
            </w:pPr>
            <w:r>
              <w:rPr>
                <w:spacing w:val="-2"/>
                <w:sz w:val="24"/>
              </w:rPr>
              <w:t>Insignificant</w:t>
            </w:r>
          </w:p>
        </w:tc>
      </w:tr>
      <w:tr>
        <w:trPr>
          <w:trHeight w:val="350" w:hRule="atLeast"/>
        </w:trPr>
        <w:tc>
          <w:tcPr>
            <w:tcW w:w="2204" w:type="dxa"/>
          </w:tcPr>
          <w:p>
            <w:pPr>
              <w:pStyle w:val="TableParagraph"/>
              <w:spacing w:line="281" w:lineRule="exact"/>
              <w:ind w:left="5" w:right="2"/>
              <w:jc w:val="center"/>
              <w:rPr>
                <w:rFonts w:ascii="Arial MT" w:hAnsi="Arial MT"/>
                <w:sz w:val="20"/>
              </w:rPr>
            </w:pPr>
            <w:r>
              <w:rPr>
                <w:rFonts w:ascii="Cambria" w:hAnsi="Cambria"/>
                <w:spacing w:val="-4"/>
                <w:sz w:val="24"/>
              </w:rPr>
              <w:t>δ</w:t>
            </w:r>
            <w:r>
              <w:rPr>
                <w:rFonts w:ascii="Arial MT" w:hAnsi="Arial MT"/>
                <w:spacing w:val="-4"/>
                <w:sz w:val="20"/>
              </w:rPr>
              <w:t>RES</w:t>
            </w:r>
          </w:p>
        </w:tc>
        <w:tc>
          <w:tcPr>
            <w:tcW w:w="1868" w:type="dxa"/>
          </w:tcPr>
          <w:p>
            <w:pPr>
              <w:pStyle w:val="TableParagraph"/>
              <w:ind w:right="96"/>
              <w:jc w:val="right"/>
              <w:rPr>
                <w:sz w:val="20"/>
              </w:rPr>
            </w:pPr>
            <w:r>
              <w:rPr>
                <w:spacing w:val="-2"/>
                <w:sz w:val="20"/>
              </w:rPr>
              <w:t>0.227284</w:t>
            </w:r>
          </w:p>
        </w:tc>
        <w:tc>
          <w:tcPr>
            <w:tcW w:w="1923" w:type="dxa"/>
          </w:tcPr>
          <w:p>
            <w:pPr>
              <w:pStyle w:val="TableParagraph"/>
              <w:ind w:right="99"/>
              <w:jc w:val="right"/>
              <w:rPr>
                <w:sz w:val="20"/>
              </w:rPr>
            </w:pPr>
            <w:r>
              <w:rPr>
                <w:spacing w:val="-2"/>
                <w:sz w:val="20"/>
              </w:rPr>
              <w:t>5.797596</w:t>
            </w:r>
          </w:p>
        </w:tc>
        <w:tc>
          <w:tcPr>
            <w:tcW w:w="1758" w:type="dxa"/>
          </w:tcPr>
          <w:p>
            <w:pPr>
              <w:pStyle w:val="TableParagraph"/>
              <w:ind w:right="100"/>
              <w:jc w:val="right"/>
              <w:rPr>
                <w:sz w:val="20"/>
              </w:rPr>
            </w:pPr>
            <w:r>
              <w:rPr>
                <w:spacing w:val="-2"/>
                <w:sz w:val="20"/>
              </w:rPr>
              <w:t>0.0001</w:t>
            </w:r>
          </w:p>
        </w:tc>
        <w:tc>
          <w:tcPr>
            <w:tcW w:w="1520" w:type="dxa"/>
          </w:tcPr>
          <w:p>
            <w:pPr>
              <w:pStyle w:val="TableParagraph"/>
              <w:spacing w:line="275" w:lineRule="exact"/>
              <w:ind w:right="103"/>
              <w:jc w:val="right"/>
              <w:rPr>
                <w:sz w:val="24"/>
              </w:rPr>
            </w:pPr>
            <w:r>
              <w:rPr>
                <w:spacing w:val="-2"/>
                <w:sz w:val="24"/>
              </w:rPr>
              <w:t>Significant</w:t>
            </w:r>
          </w:p>
        </w:tc>
      </w:tr>
    </w:tbl>
    <w:tbl>
      <w:tblPr>
        <w:tblW w:w="0" w:type="auto"/>
        <w:jc w:val="left"/>
        <w:tblInd w:w="7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69"/>
        <w:gridCol w:w="1864"/>
        <w:gridCol w:w="2942"/>
        <w:gridCol w:w="1793"/>
      </w:tblGrid>
      <w:tr>
        <w:trPr>
          <w:trHeight w:val="270" w:hRule="atLeast"/>
        </w:trPr>
        <w:tc>
          <w:tcPr>
            <w:tcW w:w="2769" w:type="dxa"/>
          </w:tcPr>
          <w:p>
            <w:pPr>
              <w:pStyle w:val="TableParagraph"/>
              <w:spacing w:line="251" w:lineRule="exact"/>
              <w:ind w:left="43"/>
              <w:rPr>
                <w:sz w:val="24"/>
              </w:rPr>
            </w:pPr>
            <w:r>
              <w:rPr>
                <w:sz w:val="24"/>
              </w:rPr>
              <w:t>R-</w:t>
            </w:r>
            <w:r>
              <w:rPr>
                <w:spacing w:val="-2"/>
                <w:sz w:val="24"/>
              </w:rPr>
              <w:t>squared</w:t>
            </w:r>
          </w:p>
        </w:tc>
        <w:tc>
          <w:tcPr>
            <w:tcW w:w="1864" w:type="dxa"/>
          </w:tcPr>
          <w:p>
            <w:pPr>
              <w:pStyle w:val="TableParagraph"/>
              <w:spacing w:line="251" w:lineRule="exact"/>
              <w:ind w:right="146"/>
              <w:jc w:val="right"/>
              <w:rPr>
                <w:sz w:val="24"/>
              </w:rPr>
            </w:pPr>
            <w:r>
              <w:rPr>
                <w:spacing w:val="-2"/>
                <w:sz w:val="24"/>
              </w:rPr>
              <w:t>0.975072</w:t>
            </w:r>
          </w:p>
        </w:tc>
        <w:tc>
          <w:tcPr>
            <w:tcW w:w="2942" w:type="dxa"/>
          </w:tcPr>
          <w:p>
            <w:pPr>
              <w:pStyle w:val="TableParagraph"/>
              <w:spacing w:line="251" w:lineRule="exact"/>
              <w:ind w:left="148"/>
              <w:rPr>
                <w:sz w:val="24"/>
              </w:rPr>
            </w:pPr>
            <w:r>
              <w:rPr>
                <w:sz w:val="24"/>
              </w:rPr>
              <w:t>Mean</w:t>
            </w:r>
            <w:r>
              <w:rPr>
                <w:spacing w:val="-2"/>
                <w:sz w:val="24"/>
              </w:rPr>
              <w:t> </w:t>
            </w:r>
            <w:r>
              <w:rPr>
                <w:sz w:val="24"/>
              </w:rPr>
              <w:t>dependent</w:t>
            </w:r>
            <w:r>
              <w:rPr>
                <w:spacing w:val="-1"/>
                <w:sz w:val="24"/>
              </w:rPr>
              <w:t> </w:t>
            </w:r>
            <w:r>
              <w:rPr>
                <w:spacing w:val="-5"/>
                <w:sz w:val="24"/>
              </w:rPr>
              <w:t>var</w:t>
            </w:r>
          </w:p>
        </w:tc>
        <w:tc>
          <w:tcPr>
            <w:tcW w:w="1793" w:type="dxa"/>
          </w:tcPr>
          <w:p>
            <w:pPr>
              <w:pStyle w:val="TableParagraph"/>
              <w:spacing w:line="251" w:lineRule="exact"/>
              <w:ind w:right="30"/>
              <w:jc w:val="right"/>
              <w:rPr>
                <w:sz w:val="24"/>
              </w:rPr>
            </w:pPr>
            <w:r>
              <w:rPr>
                <w:spacing w:val="-2"/>
                <w:sz w:val="24"/>
              </w:rPr>
              <w:t>10.13532</w:t>
            </w:r>
          </w:p>
        </w:tc>
      </w:tr>
      <w:tr>
        <w:trPr>
          <w:trHeight w:val="276" w:hRule="atLeast"/>
        </w:trPr>
        <w:tc>
          <w:tcPr>
            <w:tcW w:w="2769" w:type="dxa"/>
          </w:tcPr>
          <w:p>
            <w:pPr>
              <w:pStyle w:val="TableParagraph"/>
              <w:spacing w:line="256" w:lineRule="exact"/>
              <w:ind w:left="43"/>
              <w:rPr>
                <w:sz w:val="24"/>
              </w:rPr>
            </w:pPr>
            <w:r>
              <w:rPr>
                <w:sz w:val="24"/>
              </w:rPr>
              <w:t>Adjusted</w:t>
            </w:r>
            <w:r>
              <w:rPr>
                <w:spacing w:val="-1"/>
                <w:sz w:val="24"/>
              </w:rPr>
              <w:t> </w:t>
            </w:r>
            <w:r>
              <w:rPr>
                <w:sz w:val="24"/>
              </w:rPr>
              <w:t>R-</w:t>
            </w:r>
            <w:r>
              <w:rPr>
                <w:spacing w:val="-2"/>
                <w:sz w:val="24"/>
              </w:rPr>
              <w:t>squared</w:t>
            </w:r>
          </w:p>
        </w:tc>
        <w:tc>
          <w:tcPr>
            <w:tcW w:w="1864" w:type="dxa"/>
          </w:tcPr>
          <w:p>
            <w:pPr>
              <w:pStyle w:val="TableParagraph"/>
              <w:spacing w:line="256" w:lineRule="exact"/>
              <w:ind w:right="146"/>
              <w:jc w:val="right"/>
              <w:rPr>
                <w:sz w:val="24"/>
              </w:rPr>
            </w:pPr>
            <w:r>
              <w:rPr>
                <w:spacing w:val="-2"/>
                <w:sz w:val="24"/>
              </w:rPr>
              <w:t>0.966007</w:t>
            </w:r>
          </w:p>
        </w:tc>
        <w:tc>
          <w:tcPr>
            <w:tcW w:w="2942" w:type="dxa"/>
          </w:tcPr>
          <w:p>
            <w:pPr>
              <w:pStyle w:val="TableParagraph"/>
              <w:spacing w:line="256" w:lineRule="exact"/>
              <w:ind w:left="148"/>
              <w:rPr>
                <w:sz w:val="24"/>
              </w:rPr>
            </w:pPr>
            <w:r>
              <w:rPr>
                <w:sz w:val="24"/>
              </w:rPr>
              <w:t>S.D.</w:t>
            </w:r>
            <w:r>
              <w:rPr>
                <w:spacing w:val="-4"/>
                <w:sz w:val="24"/>
              </w:rPr>
              <w:t> </w:t>
            </w:r>
            <w:r>
              <w:rPr>
                <w:sz w:val="24"/>
              </w:rPr>
              <w:t>dependent</w:t>
            </w:r>
            <w:r>
              <w:rPr>
                <w:spacing w:val="-2"/>
                <w:sz w:val="24"/>
              </w:rPr>
              <w:t> </w:t>
            </w:r>
            <w:r>
              <w:rPr>
                <w:spacing w:val="-5"/>
                <w:sz w:val="24"/>
              </w:rPr>
              <w:t>var</w:t>
            </w:r>
          </w:p>
        </w:tc>
        <w:tc>
          <w:tcPr>
            <w:tcW w:w="1793" w:type="dxa"/>
          </w:tcPr>
          <w:p>
            <w:pPr>
              <w:pStyle w:val="TableParagraph"/>
              <w:spacing w:line="256" w:lineRule="exact"/>
              <w:ind w:right="30"/>
              <w:jc w:val="right"/>
              <w:rPr>
                <w:sz w:val="24"/>
              </w:rPr>
            </w:pPr>
            <w:r>
              <w:rPr>
                <w:spacing w:val="-2"/>
                <w:sz w:val="24"/>
              </w:rPr>
              <w:t>0.858322</w:t>
            </w:r>
          </w:p>
        </w:tc>
      </w:tr>
      <w:tr>
        <w:trPr>
          <w:trHeight w:val="276" w:hRule="atLeast"/>
        </w:trPr>
        <w:tc>
          <w:tcPr>
            <w:tcW w:w="2769" w:type="dxa"/>
          </w:tcPr>
          <w:p>
            <w:pPr>
              <w:pStyle w:val="TableParagraph"/>
              <w:spacing w:line="256" w:lineRule="exact"/>
              <w:ind w:left="43"/>
              <w:rPr>
                <w:sz w:val="24"/>
              </w:rPr>
            </w:pPr>
            <w:r>
              <w:rPr>
                <w:sz w:val="24"/>
              </w:rPr>
              <w:t>S.E. of</w:t>
            </w:r>
            <w:r>
              <w:rPr>
                <w:spacing w:val="-1"/>
                <w:sz w:val="24"/>
              </w:rPr>
              <w:t> </w:t>
            </w:r>
            <w:r>
              <w:rPr>
                <w:spacing w:val="-2"/>
                <w:sz w:val="24"/>
              </w:rPr>
              <w:t>regression</w:t>
            </w:r>
          </w:p>
        </w:tc>
        <w:tc>
          <w:tcPr>
            <w:tcW w:w="1864" w:type="dxa"/>
          </w:tcPr>
          <w:p>
            <w:pPr>
              <w:pStyle w:val="TableParagraph"/>
              <w:spacing w:line="256" w:lineRule="exact"/>
              <w:ind w:right="146"/>
              <w:jc w:val="right"/>
              <w:rPr>
                <w:sz w:val="24"/>
              </w:rPr>
            </w:pPr>
            <w:r>
              <w:rPr>
                <w:spacing w:val="-2"/>
                <w:sz w:val="24"/>
              </w:rPr>
              <w:t>0.158250</w:t>
            </w:r>
          </w:p>
        </w:tc>
        <w:tc>
          <w:tcPr>
            <w:tcW w:w="2942" w:type="dxa"/>
          </w:tcPr>
          <w:p>
            <w:pPr>
              <w:pStyle w:val="TableParagraph"/>
              <w:spacing w:line="256" w:lineRule="exact"/>
              <w:ind w:left="148"/>
              <w:rPr>
                <w:sz w:val="24"/>
              </w:rPr>
            </w:pPr>
            <w:r>
              <w:rPr>
                <w:sz w:val="24"/>
              </w:rPr>
              <w:t>Akaike</w:t>
            </w:r>
            <w:r>
              <w:rPr>
                <w:spacing w:val="-4"/>
                <w:sz w:val="24"/>
              </w:rPr>
              <w:t> </w:t>
            </w:r>
            <w:r>
              <w:rPr>
                <w:sz w:val="24"/>
              </w:rPr>
              <w:t>info</w:t>
            </w:r>
            <w:r>
              <w:rPr>
                <w:spacing w:val="-1"/>
                <w:sz w:val="24"/>
              </w:rPr>
              <w:t> </w:t>
            </w:r>
            <w:r>
              <w:rPr>
                <w:spacing w:val="-2"/>
                <w:sz w:val="24"/>
              </w:rPr>
              <w:t>criterion</w:t>
            </w:r>
          </w:p>
        </w:tc>
        <w:tc>
          <w:tcPr>
            <w:tcW w:w="1793" w:type="dxa"/>
          </w:tcPr>
          <w:p>
            <w:pPr>
              <w:pStyle w:val="TableParagraph"/>
              <w:spacing w:line="256" w:lineRule="exact"/>
              <w:ind w:right="30"/>
              <w:jc w:val="right"/>
              <w:rPr>
                <w:sz w:val="24"/>
              </w:rPr>
            </w:pPr>
            <w:r>
              <w:rPr>
                <w:spacing w:val="-2"/>
                <w:sz w:val="24"/>
              </w:rPr>
              <w:t>-0.598980</w:t>
            </w:r>
          </w:p>
        </w:tc>
      </w:tr>
      <w:tr>
        <w:trPr>
          <w:trHeight w:val="276" w:hRule="atLeast"/>
        </w:trPr>
        <w:tc>
          <w:tcPr>
            <w:tcW w:w="2769" w:type="dxa"/>
          </w:tcPr>
          <w:p>
            <w:pPr>
              <w:pStyle w:val="TableParagraph"/>
              <w:spacing w:line="256" w:lineRule="exact"/>
              <w:ind w:left="43"/>
              <w:rPr>
                <w:sz w:val="24"/>
              </w:rPr>
            </w:pPr>
            <w:r>
              <w:rPr>
                <w:sz w:val="24"/>
              </w:rPr>
              <w:t>Sum</w:t>
            </w:r>
            <w:r>
              <w:rPr>
                <w:spacing w:val="-2"/>
                <w:sz w:val="24"/>
              </w:rPr>
              <w:t> </w:t>
            </w:r>
            <w:r>
              <w:rPr>
                <w:sz w:val="24"/>
              </w:rPr>
              <w:t>squared</w:t>
            </w:r>
            <w:r>
              <w:rPr>
                <w:spacing w:val="-1"/>
                <w:sz w:val="24"/>
              </w:rPr>
              <w:t> </w:t>
            </w:r>
            <w:r>
              <w:rPr>
                <w:spacing w:val="-4"/>
                <w:sz w:val="24"/>
              </w:rPr>
              <w:t>resid</w:t>
            </w:r>
          </w:p>
        </w:tc>
        <w:tc>
          <w:tcPr>
            <w:tcW w:w="1864" w:type="dxa"/>
          </w:tcPr>
          <w:p>
            <w:pPr>
              <w:pStyle w:val="TableParagraph"/>
              <w:spacing w:line="256" w:lineRule="exact"/>
              <w:ind w:right="146"/>
              <w:jc w:val="right"/>
              <w:rPr>
                <w:sz w:val="24"/>
              </w:rPr>
            </w:pPr>
            <w:r>
              <w:rPr>
                <w:spacing w:val="-2"/>
                <w:sz w:val="24"/>
              </w:rPr>
              <w:t>0.275472</w:t>
            </w:r>
          </w:p>
        </w:tc>
        <w:tc>
          <w:tcPr>
            <w:tcW w:w="2942" w:type="dxa"/>
          </w:tcPr>
          <w:p>
            <w:pPr>
              <w:pStyle w:val="TableParagraph"/>
              <w:spacing w:line="256" w:lineRule="exact"/>
              <w:ind w:left="148"/>
              <w:rPr>
                <w:sz w:val="24"/>
              </w:rPr>
            </w:pPr>
            <w:r>
              <w:rPr>
                <w:sz w:val="24"/>
              </w:rPr>
              <w:t>Schwarz</w:t>
            </w:r>
            <w:r>
              <w:rPr>
                <w:spacing w:val="-5"/>
                <w:sz w:val="24"/>
              </w:rPr>
              <w:t> </w:t>
            </w:r>
            <w:r>
              <w:rPr>
                <w:spacing w:val="-2"/>
                <w:sz w:val="24"/>
              </w:rPr>
              <w:t>criterion</w:t>
            </w:r>
          </w:p>
        </w:tc>
        <w:tc>
          <w:tcPr>
            <w:tcW w:w="1793" w:type="dxa"/>
          </w:tcPr>
          <w:p>
            <w:pPr>
              <w:pStyle w:val="TableParagraph"/>
              <w:spacing w:line="256" w:lineRule="exact"/>
              <w:ind w:right="30"/>
              <w:jc w:val="right"/>
              <w:rPr>
                <w:sz w:val="24"/>
              </w:rPr>
            </w:pPr>
            <w:r>
              <w:rPr>
                <w:spacing w:val="-2"/>
                <w:sz w:val="24"/>
              </w:rPr>
              <w:t>-0.357546</w:t>
            </w:r>
          </w:p>
        </w:tc>
      </w:tr>
      <w:tr>
        <w:trPr>
          <w:trHeight w:val="275" w:hRule="atLeast"/>
        </w:trPr>
        <w:tc>
          <w:tcPr>
            <w:tcW w:w="2769" w:type="dxa"/>
          </w:tcPr>
          <w:p>
            <w:pPr>
              <w:pStyle w:val="TableParagraph"/>
              <w:spacing w:line="256" w:lineRule="exact"/>
              <w:ind w:left="43"/>
              <w:rPr>
                <w:sz w:val="24"/>
              </w:rPr>
            </w:pPr>
            <w:r>
              <w:rPr>
                <w:sz w:val="24"/>
              </w:rPr>
              <w:t>Log</w:t>
            </w:r>
            <w:r>
              <w:rPr>
                <w:spacing w:val="-3"/>
                <w:sz w:val="24"/>
              </w:rPr>
              <w:t> </w:t>
            </w:r>
            <w:r>
              <w:rPr>
                <w:spacing w:val="-2"/>
                <w:sz w:val="24"/>
              </w:rPr>
              <w:t>likelihood</w:t>
            </w:r>
          </w:p>
        </w:tc>
        <w:tc>
          <w:tcPr>
            <w:tcW w:w="1864" w:type="dxa"/>
          </w:tcPr>
          <w:p>
            <w:pPr>
              <w:pStyle w:val="TableParagraph"/>
              <w:spacing w:line="256" w:lineRule="exact"/>
              <w:ind w:right="146"/>
              <w:jc w:val="right"/>
              <w:rPr>
                <w:sz w:val="24"/>
              </w:rPr>
            </w:pPr>
            <w:r>
              <w:rPr>
                <w:spacing w:val="-2"/>
                <w:sz w:val="24"/>
              </w:rPr>
              <w:t>9.791842</w:t>
            </w:r>
          </w:p>
        </w:tc>
        <w:tc>
          <w:tcPr>
            <w:tcW w:w="2942" w:type="dxa"/>
          </w:tcPr>
          <w:p>
            <w:pPr>
              <w:pStyle w:val="TableParagraph"/>
              <w:spacing w:line="256" w:lineRule="exact"/>
              <w:ind w:left="148"/>
              <w:rPr>
                <w:sz w:val="24"/>
              </w:rPr>
            </w:pPr>
            <w:r>
              <w:rPr>
                <w:spacing w:val="-2"/>
                <w:sz w:val="24"/>
              </w:rPr>
              <w:t>F-statistic</w:t>
            </w:r>
          </w:p>
        </w:tc>
        <w:tc>
          <w:tcPr>
            <w:tcW w:w="1793" w:type="dxa"/>
          </w:tcPr>
          <w:p>
            <w:pPr>
              <w:pStyle w:val="TableParagraph"/>
              <w:spacing w:line="256" w:lineRule="exact"/>
              <w:ind w:right="30"/>
              <w:jc w:val="right"/>
              <w:rPr>
                <w:sz w:val="24"/>
              </w:rPr>
            </w:pPr>
            <w:r>
              <w:rPr>
                <w:spacing w:val="-2"/>
                <w:sz w:val="24"/>
              </w:rPr>
              <w:t>107.5680</w:t>
            </w:r>
          </w:p>
        </w:tc>
      </w:tr>
      <w:tr>
        <w:trPr>
          <w:trHeight w:val="314" w:hRule="atLeast"/>
        </w:trPr>
        <w:tc>
          <w:tcPr>
            <w:tcW w:w="2769" w:type="dxa"/>
            <w:tcBorders>
              <w:bottom w:val="double" w:sz="6" w:space="0" w:color="000000"/>
            </w:tcBorders>
          </w:tcPr>
          <w:p>
            <w:pPr>
              <w:pStyle w:val="TableParagraph"/>
              <w:spacing w:line="271" w:lineRule="exact"/>
              <w:ind w:left="43"/>
              <w:rPr>
                <w:sz w:val="24"/>
              </w:rPr>
            </w:pPr>
            <w:r>
              <w:rPr>
                <w:sz w:val="24"/>
              </w:rPr>
              <w:t>Durbin-Watson</w:t>
            </w:r>
            <w:r>
              <w:rPr>
                <w:spacing w:val="-3"/>
                <w:sz w:val="24"/>
              </w:rPr>
              <w:t> </w:t>
            </w:r>
            <w:r>
              <w:rPr>
                <w:spacing w:val="-4"/>
                <w:sz w:val="24"/>
              </w:rPr>
              <w:t>stat</w:t>
            </w:r>
          </w:p>
        </w:tc>
        <w:tc>
          <w:tcPr>
            <w:tcW w:w="1864" w:type="dxa"/>
          </w:tcPr>
          <w:p>
            <w:pPr>
              <w:pStyle w:val="TableParagraph"/>
              <w:spacing w:line="271" w:lineRule="exact"/>
              <w:ind w:right="146"/>
              <w:jc w:val="right"/>
              <w:rPr>
                <w:sz w:val="24"/>
              </w:rPr>
            </w:pPr>
            <w:r>
              <w:rPr>
                <w:spacing w:val="-2"/>
                <w:sz w:val="24"/>
              </w:rPr>
              <w:t>1.125525</w:t>
            </w:r>
          </w:p>
        </w:tc>
        <w:tc>
          <w:tcPr>
            <w:tcW w:w="2942" w:type="dxa"/>
            <w:tcBorders>
              <w:bottom w:val="double" w:sz="6" w:space="0" w:color="000000"/>
            </w:tcBorders>
          </w:tcPr>
          <w:p>
            <w:pPr>
              <w:pStyle w:val="TableParagraph"/>
              <w:spacing w:line="271" w:lineRule="exact"/>
              <w:ind w:left="148"/>
              <w:rPr>
                <w:sz w:val="24"/>
              </w:rPr>
            </w:pPr>
            <w:r>
              <w:rPr>
                <w:spacing w:val="-2"/>
                <w:sz w:val="24"/>
              </w:rPr>
              <w:t>Prob(F-statistic)</w:t>
            </w:r>
          </w:p>
        </w:tc>
        <w:tc>
          <w:tcPr>
            <w:tcW w:w="1793" w:type="dxa"/>
          </w:tcPr>
          <w:p>
            <w:pPr>
              <w:pStyle w:val="TableParagraph"/>
              <w:spacing w:line="271" w:lineRule="exact"/>
              <w:ind w:right="30"/>
              <w:jc w:val="right"/>
              <w:rPr>
                <w:sz w:val="24"/>
              </w:rPr>
            </w:pPr>
            <w:r>
              <w:rPr>
                <w:spacing w:val="-2"/>
                <w:sz w:val="24"/>
              </w:rPr>
              <w:t>0.000000</w:t>
            </w:r>
          </w:p>
        </w:tc>
      </w:tr>
    </w:tbl>
    <w:p>
      <w:pPr>
        <w:pStyle w:val="BodyText"/>
        <w:spacing w:before="11"/>
        <w:ind w:left="711"/>
        <w:jc w:val="both"/>
      </w:pPr>
      <w:r>
        <w:rPr>
          <w:b/>
        </w:rPr>
        <w:t>Source:</w:t>
      </w:r>
      <w:r>
        <w:rPr>
          <w:b/>
          <w:spacing w:val="-2"/>
        </w:rPr>
        <w:t> </w:t>
      </w:r>
      <w:r>
        <w:rPr/>
        <w:t>Computation,</w:t>
      </w:r>
      <w:r>
        <w:rPr>
          <w:spacing w:val="-1"/>
        </w:rPr>
        <w:t> </w:t>
      </w:r>
      <w:r>
        <w:rPr/>
        <w:t>using</w:t>
      </w:r>
      <w:r>
        <w:rPr>
          <w:spacing w:val="-4"/>
        </w:rPr>
        <w:t> </w:t>
      </w:r>
      <w:r>
        <w:rPr/>
        <w:t>E-view</w:t>
      </w:r>
      <w:r>
        <w:rPr>
          <w:spacing w:val="-1"/>
        </w:rPr>
        <w:t> </w:t>
      </w:r>
      <w:r>
        <w:rPr/>
        <w:t>statistical</w:t>
      </w:r>
      <w:r>
        <w:rPr>
          <w:spacing w:val="-1"/>
        </w:rPr>
        <w:t> </w:t>
      </w:r>
      <w:r>
        <w:rPr>
          <w:spacing w:val="-2"/>
        </w:rPr>
        <w:t>package</w:t>
      </w:r>
    </w:p>
    <w:p>
      <w:pPr>
        <w:pStyle w:val="BodyText"/>
        <w:spacing w:before="1"/>
      </w:pPr>
    </w:p>
    <w:p>
      <w:pPr>
        <w:pStyle w:val="BodyText"/>
        <w:spacing w:line="480" w:lineRule="auto"/>
        <w:ind w:left="711" w:right="478"/>
        <w:jc w:val="both"/>
        <w:rPr>
          <w:rFonts w:ascii="Cambria"/>
        </w:rPr>
      </w:pPr>
      <w:r>
        <w:rPr>
          <w:rFonts w:ascii="Cambria"/>
        </w:rPr>
        <w:t>The short-run relationship between gross domestic product and the explanatory variable can be expressed mathematically belowb as:</w:t>
      </w:r>
    </w:p>
    <w:p>
      <w:pPr>
        <w:spacing w:line="328" w:lineRule="exact" w:before="0"/>
        <w:ind w:left="711" w:right="0" w:firstLine="0"/>
        <w:jc w:val="both"/>
        <w:rPr>
          <w:rFonts w:ascii="Cambria" w:hAnsi="Cambria"/>
          <w:sz w:val="28"/>
        </w:rPr>
      </w:pPr>
      <w:r>
        <w:rPr>
          <w:rFonts w:ascii="Cambria" w:hAnsi="Cambria"/>
          <w:b/>
          <w:i/>
          <w:position w:val="2"/>
          <w:sz w:val="28"/>
        </w:rPr>
        <w:t>GDP</w:t>
      </w:r>
      <w:r>
        <w:rPr>
          <w:rFonts w:ascii="Cambria" w:hAnsi="Cambria"/>
          <w:b/>
          <w:i/>
          <w:sz w:val="18"/>
        </w:rPr>
        <w:t>PRESAP</w:t>
      </w:r>
      <w:r>
        <w:rPr>
          <w:rFonts w:ascii="Cambria" w:hAnsi="Cambria"/>
          <w:b/>
          <w:i/>
          <w:position w:val="2"/>
          <w:sz w:val="28"/>
        </w:rPr>
        <w:t>=</w:t>
      </w:r>
      <w:r>
        <w:rPr>
          <w:b/>
          <w:position w:val="2"/>
          <w:sz w:val="24"/>
        </w:rPr>
        <w:t>-2.574726</w:t>
      </w:r>
      <w:r>
        <w:rPr>
          <w:rFonts w:ascii="Cambria" w:hAnsi="Cambria"/>
          <w:b/>
          <w:i/>
          <w:position w:val="2"/>
          <w:sz w:val="28"/>
        </w:rPr>
        <w:t>-</w:t>
      </w:r>
      <w:r>
        <w:rPr>
          <w:b/>
          <w:position w:val="2"/>
          <w:sz w:val="24"/>
        </w:rPr>
        <w:t>0.093313</w:t>
      </w:r>
      <w:r>
        <w:rPr>
          <w:b/>
          <w:position w:val="1"/>
          <w:sz w:val="16"/>
        </w:rPr>
        <w:t>δ</w:t>
      </w:r>
      <w:r>
        <w:rPr>
          <w:rFonts w:ascii="Cambria" w:hAnsi="Cambria"/>
          <w:b/>
          <w:i/>
          <w:sz w:val="18"/>
        </w:rPr>
        <w:t>EXTDEBT</w:t>
      </w:r>
      <w:r>
        <w:rPr>
          <w:rFonts w:ascii="Cambria" w:hAnsi="Cambria"/>
          <w:b/>
          <w:i/>
          <w:position w:val="2"/>
          <w:sz w:val="28"/>
        </w:rPr>
        <w:t>+</w:t>
      </w:r>
      <w:r>
        <w:rPr>
          <w:b/>
          <w:position w:val="2"/>
          <w:sz w:val="24"/>
        </w:rPr>
        <w:t>1.493692</w:t>
      </w:r>
      <w:r>
        <w:rPr>
          <w:rFonts w:ascii="Cambria" w:hAnsi="Cambria"/>
          <w:b/>
          <w:i/>
          <w:sz w:val="18"/>
        </w:rPr>
        <w:t>DFI</w:t>
      </w:r>
      <w:r>
        <w:rPr>
          <w:rFonts w:ascii="Cambria" w:hAnsi="Cambria"/>
          <w:b/>
          <w:i/>
          <w:position w:val="2"/>
          <w:sz w:val="28"/>
        </w:rPr>
        <w:t>-</w:t>
      </w:r>
      <w:r>
        <w:rPr>
          <w:b/>
          <w:position w:val="2"/>
          <w:sz w:val="24"/>
        </w:rPr>
        <w:t>0.012379</w:t>
      </w:r>
      <w:r>
        <w:rPr>
          <w:rFonts w:ascii="Cambria" w:hAnsi="Cambria"/>
          <w:b/>
          <w:i/>
          <w:sz w:val="18"/>
        </w:rPr>
        <w:t>CAB</w:t>
      </w:r>
      <w:r>
        <w:rPr>
          <w:rFonts w:ascii="Cambria" w:hAnsi="Cambria"/>
          <w:b/>
          <w:i/>
          <w:position w:val="2"/>
          <w:sz w:val="28"/>
        </w:rPr>
        <w:t>+</w:t>
      </w:r>
      <w:r>
        <w:rPr>
          <w:rFonts w:ascii="Cambria" w:hAnsi="Cambria"/>
          <w:b/>
          <w:i/>
          <w:spacing w:val="-16"/>
          <w:position w:val="2"/>
          <w:sz w:val="28"/>
        </w:rPr>
        <w:t> </w:t>
      </w:r>
      <w:r>
        <w:rPr>
          <w:b/>
          <w:spacing w:val="-2"/>
          <w:position w:val="2"/>
          <w:sz w:val="24"/>
        </w:rPr>
        <w:t>0.227284</w:t>
      </w:r>
      <w:r>
        <w:rPr>
          <w:b/>
          <w:spacing w:val="-2"/>
          <w:position w:val="1"/>
          <w:sz w:val="16"/>
        </w:rPr>
        <w:t>δ</w:t>
      </w:r>
      <w:r>
        <w:rPr>
          <w:rFonts w:ascii="Cambria" w:hAnsi="Cambria"/>
          <w:b/>
          <w:i/>
          <w:spacing w:val="-2"/>
          <w:sz w:val="18"/>
        </w:rPr>
        <w:t>RES</w:t>
      </w:r>
      <w:r>
        <w:rPr>
          <w:rFonts w:ascii="Cambria" w:hAnsi="Cambria"/>
          <w:b/>
          <w:spacing w:val="-2"/>
          <w:position w:val="2"/>
          <w:sz w:val="28"/>
        </w:rPr>
        <w:t>……</w:t>
      </w:r>
      <w:r>
        <w:rPr>
          <w:rFonts w:ascii="Cambria" w:hAnsi="Cambria"/>
          <w:spacing w:val="-2"/>
          <w:position w:val="2"/>
          <w:sz w:val="28"/>
        </w:rPr>
        <w:t>(4.9)</w:t>
      </w:r>
    </w:p>
    <w:p>
      <w:pPr>
        <w:spacing w:after="0" w:line="328" w:lineRule="exact"/>
        <w:jc w:val="both"/>
        <w:rPr>
          <w:rFonts w:ascii="Cambria" w:hAnsi="Cambria"/>
          <w:sz w:val="28"/>
        </w:rPr>
        <w:sectPr>
          <w:pgSz w:w="11910" w:h="16840"/>
          <w:pgMar w:header="0" w:footer="979" w:top="1360" w:bottom="1240" w:left="280" w:right="0"/>
        </w:sectPr>
      </w:pPr>
    </w:p>
    <w:p>
      <w:pPr>
        <w:pStyle w:val="BodyText"/>
        <w:spacing w:line="480" w:lineRule="auto" w:before="81"/>
        <w:ind w:left="711" w:right="469"/>
        <w:jc w:val="both"/>
      </w:pPr>
      <w:r>
        <w:rPr/>
        <w:t>The analyses from Table 4.8 show that the constant parameter, change in external debt (δ</w:t>
      </w:r>
      <w:r>
        <w:rPr>
          <w:rFonts w:ascii="Cambria" w:hAnsi="Cambria"/>
          <w:i/>
        </w:rPr>
        <w:t>EXTDEBT) </w:t>
      </w:r>
      <w:r>
        <w:rPr/>
        <w:t>and current account balance (CAB) are negatively related to the dependent variable while the direct foreign investment (DFI) and change in reserve (δ</w:t>
      </w:r>
      <w:r>
        <w:rPr>
          <w:rFonts w:ascii="Cambria" w:hAnsi="Cambria"/>
          <w:i/>
        </w:rPr>
        <w:t>RES</w:t>
      </w:r>
      <w:r>
        <w:rPr/>
        <w:t>) are positively related to the dependent variable (Gross Domestic</w:t>
      </w:r>
      <w:r>
        <w:rPr>
          <w:spacing w:val="-1"/>
        </w:rPr>
        <w:t> </w:t>
      </w:r>
      <w:r>
        <w:rPr/>
        <w:t>Product). All the</w:t>
      </w:r>
      <w:r>
        <w:rPr>
          <w:spacing w:val="-1"/>
        </w:rPr>
        <w:t> </w:t>
      </w:r>
      <w:r>
        <w:rPr/>
        <w:t>explanatory</w:t>
      </w:r>
      <w:r>
        <w:rPr>
          <w:spacing w:val="-5"/>
        </w:rPr>
        <w:t> </w:t>
      </w:r>
      <w:r>
        <w:rPr/>
        <w:t>variables exccept the</w:t>
      </w:r>
      <w:r>
        <w:rPr>
          <w:spacing w:val="-1"/>
        </w:rPr>
        <w:t> </w:t>
      </w:r>
      <w:r>
        <w:rPr/>
        <w:t>current account balance</w:t>
      </w:r>
      <w:r>
        <w:rPr>
          <w:spacing w:val="-1"/>
        </w:rPr>
        <w:t> </w:t>
      </w:r>
      <w:r>
        <w:rPr/>
        <w:t>(CAB) are</w:t>
      </w:r>
      <w:r>
        <w:rPr>
          <w:spacing w:val="-2"/>
        </w:rPr>
        <w:t> </w:t>
      </w:r>
      <w:r>
        <w:rPr/>
        <w:t>statistically significant in explaining the behaviour of the dependent variable (GDP) in the short run in conformity with the expected results.</w:t>
      </w:r>
    </w:p>
    <w:p>
      <w:pPr>
        <w:pStyle w:val="BodyText"/>
        <w:spacing w:line="480" w:lineRule="auto" w:before="1"/>
        <w:ind w:left="711" w:right="468"/>
        <w:jc w:val="both"/>
        <w:rPr>
          <w:rFonts w:ascii="Cambria"/>
        </w:rPr>
      </w:pPr>
      <w:r>
        <w:rPr>
          <w:rFonts w:ascii="Cambria"/>
        </w:rPr>
        <w:t>The result shows that a unit change in the constant parameter will lead to a decrease of </w:t>
      </w:r>
      <w:r>
        <w:rPr/>
        <w:t>2.574726 </w:t>
      </w:r>
      <w:r>
        <w:rPr>
          <w:rFonts w:ascii="Cambria"/>
          <w:i/>
          <w:sz w:val="28"/>
        </w:rPr>
        <w:t>in G</w:t>
      </w:r>
      <w:r>
        <w:rPr>
          <w:rFonts w:ascii="Cambria"/>
        </w:rPr>
        <w:t>ross domestic products.</w:t>
      </w:r>
      <w:r>
        <w:rPr>
          <w:rFonts w:ascii="Cambria"/>
          <w:spacing w:val="40"/>
        </w:rPr>
        <w:t> </w:t>
      </w:r>
      <w:r>
        <w:rPr>
          <w:rFonts w:ascii="Cambria"/>
        </w:rPr>
        <w:t>The result also reveals that an increase in change in external debt will reduce the level of capital flight while increase in DFI will brought about increase in GDP and vice versa. Increase in current account balance (CAB) will lead to reductuion in GDP while a change in external reserves will lead to increase level of Gross Domestic Product.</w:t>
      </w:r>
    </w:p>
    <w:p>
      <w:pPr>
        <w:pStyle w:val="BodyText"/>
        <w:spacing w:line="480" w:lineRule="auto"/>
        <w:ind w:left="711" w:right="471"/>
        <w:jc w:val="both"/>
        <w:rPr>
          <w:rFonts w:ascii="Cambria"/>
        </w:rPr>
      </w:pPr>
      <w:r>
        <w:rPr>
          <w:rFonts w:ascii="Cambria"/>
        </w:rPr>
        <w:t>The Adjusted R</w:t>
      </w:r>
      <w:r>
        <w:rPr>
          <w:rFonts w:ascii="Cambria"/>
          <w:position w:val="6"/>
          <w:sz w:val="16"/>
        </w:rPr>
        <w:t>2 </w:t>
      </w:r>
      <w:r>
        <w:rPr>
          <w:rFonts w:ascii="Cambria"/>
        </w:rPr>
        <w:t>of </w:t>
      </w:r>
      <w:r>
        <w:rPr/>
        <w:t>0.975072 reveals that about 98% of the behaviour of Gross Domestic Product is explained by the independent variables. This was </w:t>
      </w:r>
      <w:r>
        <w:rPr>
          <w:rFonts w:ascii="Cambria"/>
        </w:rPr>
        <w:t>further proved with the adjusted value of </w:t>
      </w:r>
      <w:r>
        <w:rPr/>
        <w:t>0.966007 </w:t>
      </w:r>
      <w:r>
        <w:rPr>
          <w:rFonts w:ascii="Cambria"/>
        </w:rPr>
        <w:t>which implies that 97% explanation of the behaviour of gross domestic product by the totality of the explanatory variables.</w:t>
      </w:r>
    </w:p>
    <w:p>
      <w:pPr>
        <w:spacing w:line="480" w:lineRule="auto" w:before="0"/>
        <w:ind w:left="711" w:right="472" w:firstLine="0"/>
        <w:jc w:val="both"/>
        <w:rPr>
          <w:sz w:val="24"/>
        </w:rPr>
      </w:pPr>
      <w:r>
        <w:rPr>
          <w:b/>
          <w:sz w:val="24"/>
        </w:rPr>
        <w:t>Validation and testing of hypotheses</w:t>
      </w:r>
      <w:r>
        <w:rPr>
          <w:sz w:val="24"/>
        </w:rPr>
        <w:t>: Hypothesis 2 was tested under model 5 wich examine the effect of capital flight on economic growth during the Pre-SAP period.</w:t>
      </w:r>
    </w:p>
    <w:p>
      <w:pPr>
        <w:pStyle w:val="BodyText"/>
        <w:ind w:left="711"/>
        <w:jc w:val="both"/>
      </w:pPr>
      <w:r>
        <w:rPr/>
        <w:t>The</w:t>
      </w:r>
      <w:r>
        <w:rPr>
          <w:spacing w:val="-3"/>
        </w:rPr>
        <w:t> </w:t>
      </w:r>
      <w:r>
        <w:rPr/>
        <w:t>hypothesis is re-stated</w:t>
      </w:r>
      <w:r>
        <w:rPr>
          <w:spacing w:val="-1"/>
        </w:rPr>
        <w:t> </w:t>
      </w:r>
      <w:r>
        <w:rPr/>
        <w:t>in</w:t>
      </w:r>
      <w:r>
        <w:rPr>
          <w:spacing w:val="1"/>
        </w:rPr>
        <w:t> </w:t>
      </w:r>
      <w:r>
        <w:rPr/>
        <w:t>the null</w:t>
      </w:r>
      <w:r>
        <w:rPr>
          <w:spacing w:val="-1"/>
        </w:rPr>
        <w:t> </w:t>
      </w:r>
      <w:r>
        <w:rPr/>
        <w:t>form as </w:t>
      </w:r>
      <w:r>
        <w:rPr>
          <w:spacing w:val="-2"/>
        </w:rPr>
        <w:t>follows;</w:t>
      </w:r>
    </w:p>
    <w:p>
      <w:pPr>
        <w:pStyle w:val="Heading6"/>
        <w:spacing w:before="275"/>
        <w:rPr>
          <w:b w:val="0"/>
        </w:rPr>
      </w:pPr>
      <w:r>
        <w:rPr>
          <w:position w:val="1"/>
        </w:rPr>
        <w:t>H</w:t>
      </w:r>
      <w:r>
        <w:rPr>
          <w:sz w:val="16"/>
        </w:rPr>
        <w:t>02</w:t>
      </w:r>
      <w:r>
        <w:rPr>
          <w:position w:val="1"/>
        </w:rPr>
        <w:t>:</w:t>
      </w:r>
      <w:r>
        <w:rPr>
          <w:spacing w:val="55"/>
          <w:position w:val="1"/>
        </w:rPr>
        <w:t>  </w:t>
      </w:r>
      <w:r>
        <w:rPr>
          <w:position w:val="1"/>
        </w:rPr>
        <w:t>Capital</w:t>
      </w:r>
      <w:r>
        <w:rPr>
          <w:spacing w:val="-1"/>
          <w:position w:val="1"/>
        </w:rPr>
        <w:t> </w:t>
      </w:r>
      <w:r>
        <w:rPr>
          <w:position w:val="1"/>
        </w:rPr>
        <w:t>flight</w:t>
      </w:r>
      <w:r>
        <w:rPr>
          <w:spacing w:val="-1"/>
          <w:position w:val="1"/>
        </w:rPr>
        <w:t> </w:t>
      </w:r>
      <w:r>
        <w:rPr>
          <w:position w:val="1"/>
        </w:rPr>
        <w:t>has</w:t>
      </w:r>
      <w:r>
        <w:rPr>
          <w:spacing w:val="-3"/>
          <w:position w:val="1"/>
        </w:rPr>
        <w:t> </w:t>
      </w:r>
      <w:r>
        <w:rPr>
          <w:position w:val="1"/>
        </w:rPr>
        <w:t>no</w:t>
      </w:r>
      <w:r>
        <w:rPr>
          <w:spacing w:val="-2"/>
          <w:position w:val="1"/>
        </w:rPr>
        <w:t> </w:t>
      </w:r>
      <w:r>
        <w:rPr>
          <w:position w:val="1"/>
        </w:rPr>
        <w:t>significant</w:t>
      </w:r>
      <w:r>
        <w:rPr>
          <w:spacing w:val="-1"/>
          <w:position w:val="1"/>
        </w:rPr>
        <w:t> </w:t>
      </w:r>
      <w:r>
        <w:rPr>
          <w:position w:val="1"/>
        </w:rPr>
        <w:t>effect</w:t>
      </w:r>
      <w:r>
        <w:rPr>
          <w:spacing w:val="-1"/>
          <w:position w:val="1"/>
        </w:rPr>
        <w:t> </w:t>
      </w:r>
      <w:r>
        <w:rPr>
          <w:position w:val="1"/>
        </w:rPr>
        <w:t>on the</w:t>
      </w:r>
      <w:r>
        <w:rPr>
          <w:spacing w:val="-2"/>
          <w:position w:val="1"/>
        </w:rPr>
        <w:t> </w:t>
      </w:r>
      <w:r>
        <w:rPr>
          <w:position w:val="1"/>
        </w:rPr>
        <w:t>Nigeria’s</w:t>
      </w:r>
      <w:r>
        <w:rPr>
          <w:spacing w:val="1"/>
          <w:position w:val="1"/>
        </w:rPr>
        <w:t> </w:t>
      </w:r>
      <w:r>
        <w:rPr>
          <w:position w:val="1"/>
        </w:rPr>
        <w:t>economic</w:t>
      </w:r>
      <w:r>
        <w:rPr>
          <w:spacing w:val="1"/>
          <w:position w:val="1"/>
        </w:rPr>
        <w:t> </w:t>
      </w:r>
      <w:r>
        <w:rPr>
          <w:spacing w:val="-2"/>
          <w:position w:val="1"/>
        </w:rPr>
        <w:t>growth</w:t>
      </w:r>
      <w:r>
        <w:rPr>
          <w:b w:val="0"/>
          <w:spacing w:val="-2"/>
          <w:position w:val="1"/>
        </w:rPr>
        <w:t>.</w:t>
      </w:r>
    </w:p>
    <w:p>
      <w:pPr>
        <w:pStyle w:val="BodyText"/>
        <w:spacing w:before="1"/>
      </w:pPr>
    </w:p>
    <w:p>
      <w:pPr>
        <w:pStyle w:val="BodyText"/>
        <w:spacing w:line="480" w:lineRule="auto"/>
        <w:ind w:left="711" w:right="471"/>
        <w:jc w:val="both"/>
      </w:pPr>
      <w:r>
        <w:rPr/>
        <w:t>The probability values from table 4.8 show that the alternative hypothesis is accepted for all the variables with the exception of current account balance (CAB) because they are all significant in explaining the behaviour of the dependent variable as shown in the probability values.</w:t>
      </w:r>
      <w:r>
        <w:rPr>
          <w:spacing w:val="40"/>
        </w:rPr>
        <w:t> </w:t>
      </w:r>
      <w:r>
        <w:rPr/>
        <w:t>Thus, the alternative hypothesis is accepted for </w:t>
      </w:r>
      <w:r>
        <w:rPr>
          <w:rFonts w:ascii="Cambria" w:hAnsi="Cambria"/>
        </w:rPr>
        <w:t>Change in External Debt (δEXTDEBT), </w:t>
      </w:r>
      <w:r>
        <w:rPr/>
        <w:t>direct foreign investment (DFI) and change in reserve (δ</w:t>
      </w:r>
      <w:r>
        <w:rPr>
          <w:rFonts w:ascii="Cambria" w:hAnsi="Cambria"/>
          <w:i/>
        </w:rPr>
        <w:t>RES</w:t>
      </w:r>
      <w:r>
        <w:rPr/>
        <w:t>) while the null hypothesis is accepted for the current account balance (CAB).</w:t>
      </w:r>
    </w:p>
    <w:p>
      <w:pPr>
        <w:spacing w:after="0" w:line="480" w:lineRule="auto"/>
        <w:jc w:val="both"/>
        <w:sectPr>
          <w:pgSz w:w="11910" w:h="16840"/>
          <w:pgMar w:header="0" w:footer="979" w:top="1340" w:bottom="1240" w:left="280" w:right="0"/>
        </w:sectPr>
      </w:pPr>
    </w:p>
    <w:p>
      <w:pPr>
        <w:pStyle w:val="Heading2"/>
        <w:spacing w:line="360" w:lineRule="auto" w:before="62"/>
        <w:ind w:right="468"/>
      </w:pPr>
      <w:r>
        <w:rPr/>
        <w:t>Table 4.10 Presentation and</w:t>
      </w:r>
      <w:r>
        <w:rPr>
          <w:spacing w:val="-1"/>
        </w:rPr>
        <w:t> </w:t>
      </w:r>
      <w:r>
        <w:rPr/>
        <w:t>Interpretation of Pre-SAP Short run Results for Model 5B (Morgan Guaranty Trust (1986) approach)</w:t>
      </w:r>
    </w:p>
    <w:p>
      <w:pPr>
        <w:spacing w:line="206" w:lineRule="exact" w:before="0"/>
        <w:ind w:left="1129" w:right="0" w:firstLine="0"/>
        <w:jc w:val="left"/>
        <w:rPr>
          <w:b/>
          <w:sz w:val="18"/>
        </w:rPr>
      </w:pPr>
      <w:r>
        <w:rPr>
          <w:b/>
          <w:sz w:val="18"/>
        </w:rPr>
        <w:t>DEPENDENT</w:t>
      </w:r>
      <w:r>
        <w:rPr>
          <w:b/>
          <w:spacing w:val="1"/>
          <w:sz w:val="18"/>
        </w:rPr>
        <w:t> </w:t>
      </w:r>
      <w:r>
        <w:rPr>
          <w:b/>
          <w:sz w:val="18"/>
        </w:rPr>
        <w:t>VARIABLE</w:t>
      </w:r>
      <w:r>
        <w:rPr>
          <w:b/>
          <w:spacing w:val="-1"/>
          <w:sz w:val="18"/>
        </w:rPr>
        <w:t> </w:t>
      </w:r>
      <w:r>
        <w:rPr>
          <w:b/>
          <w:sz w:val="18"/>
        </w:rPr>
        <w:t>=</w:t>
      </w:r>
      <w:r>
        <w:rPr>
          <w:b/>
          <w:spacing w:val="2"/>
          <w:sz w:val="18"/>
        </w:rPr>
        <w:t> </w:t>
      </w:r>
      <w:r>
        <w:rPr>
          <w:b/>
          <w:spacing w:val="-5"/>
          <w:sz w:val="18"/>
        </w:rPr>
        <w:t>GDP</w:t>
      </w:r>
    </w:p>
    <w:p>
      <w:pPr>
        <w:pStyle w:val="BodyText"/>
        <w:spacing w:before="1"/>
        <w:rPr>
          <w:b/>
          <w:sz w:val="9"/>
        </w:rPr>
      </w:pPr>
    </w:p>
    <w:tbl>
      <w:tblPr>
        <w:tblW w:w="0" w:type="auto"/>
        <w:jc w:val="left"/>
        <w:tblInd w:w="8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04"/>
        <w:gridCol w:w="1868"/>
        <w:gridCol w:w="1923"/>
        <w:gridCol w:w="1758"/>
        <w:gridCol w:w="1520"/>
      </w:tblGrid>
      <w:tr>
        <w:trPr>
          <w:trHeight w:val="1125" w:hRule="atLeast"/>
        </w:trPr>
        <w:tc>
          <w:tcPr>
            <w:tcW w:w="2204" w:type="dxa"/>
          </w:tcPr>
          <w:p>
            <w:pPr>
              <w:pStyle w:val="TableParagraph"/>
              <w:spacing w:line="281" w:lineRule="exact"/>
              <w:ind w:left="105"/>
              <w:rPr>
                <w:rFonts w:ascii="Cambria"/>
                <w:b/>
                <w:sz w:val="24"/>
              </w:rPr>
            </w:pPr>
            <w:r>
              <w:rPr>
                <w:rFonts w:ascii="Cambria"/>
                <w:b/>
                <w:spacing w:val="-2"/>
                <w:sz w:val="24"/>
              </w:rPr>
              <w:t>INDEPENDENT</w:t>
            </w:r>
          </w:p>
          <w:p>
            <w:pPr>
              <w:pStyle w:val="TableParagraph"/>
              <w:spacing w:before="4"/>
              <w:rPr>
                <w:b/>
                <w:sz w:val="24"/>
              </w:rPr>
            </w:pPr>
          </w:p>
          <w:p>
            <w:pPr>
              <w:pStyle w:val="TableParagraph"/>
              <w:ind w:left="105"/>
              <w:rPr>
                <w:rFonts w:ascii="Cambria"/>
                <w:b/>
                <w:sz w:val="24"/>
              </w:rPr>
            </w:pPr>
            <w:r>
              <w:rPr>
                <w:rFonts w:ascii="Cambria"/>
                <w:b/>
                <w:spacing w:val="-2"/>
                <w:sz w:val="24"/>
              </w:rPr>
              <w:t>VARIABLE</w:t>
            </w:r>
          </w:p>
        </w:tc>
        <w:tc>
          <w:tcPr>
            <w:tcW w:w="1868" w:type="dxa"/>
          </w:tcPr>
          <w:p>
            <w:pPr>
              <w:pStyle w:val="TableParagraph"/>
              <w:spacing w:line="281" w:lineRule="exact"/>
              <w:ind w:left="107"/>
              <w:rPr>
                <w:rFonts w:ascii="Cambria"/>
                <w:b/>
                <w:sz w:val="24"/>
              </w:rPr>
            </w:pPr>
            <w:r>
              <w:rPr>
                <w:rFonts w:ascii="Cambria"/>
                <w:b/>
                <w:spacing w:val="-2"/>
                <w:sz w:val="24"/>
              </w:rPr>
              <w:t>COEFFICIENT</w:t>
            </w:r>
          </w:p>
          <w:p>
            <w:pPr>
              <w:pStyle w:val="TableParagraph"/>
              <w:spacing w:before="4"/>
              <w:rPr>
                <w:b/>
                <w:sz w:val="24"/>
              </w:rPr>
            </w:pPr>
          </w:p>
          <w:p>
            <w:pPr>
              <w:pStyle w:val="TableParagraph"/>
              <w:ind w:left="107"/>
              <w:rPr>
                <w:rFonts w:ascii="Cambria"/>
                <w:b/>
                <w:sz w:val="24"/>
              </w:rPr>
            </w:pPr>
            <w:r>
              <w:rPr>
                <w:rFonts w:ascii="Cambria"/>
                <w:b/>
                <w:sz w:val="24"/>
              </w:rPr>
              <w:t>OF</w:t>
            </w:r>
            <w:r>
              <w:rPr>
                <w:rFonts w:ascii="Cambria"/>
                <w:b/>
                <w:spacing w:val="-1"/>
                <w:sz w:val="24"/>
              </w:rPr>
              <w:t> </w:t>
            </w:r>
            <w:r>
              <w:rPr>
                <w:rFonts w:ascii="Cambria"/>
                <w:b/>
                <w:spacing w:val="-2"/>
                <w:sz w:val="24"/>
              </w:rPr>
              <w:t>ESTIMATES</w:t>
            </w:r>
          </w:p>
        </w:tc>
        <w:tc>
          <w:tcPr>
            <w:tcW w:w="1923" w:type="dxa"/>
          </w:tcPr>
          <w:p>
            <w:pPr>
              <w:pStyle w:val="TableParagraph"/>
              <w:spacing w:before="4"/>
              <w:rPr>
                <w:b/>
                <w:sz w:val="24"/>
              </w:rPr>
            </w:pPr>
          </w:p>
          <w:p>
            <w:pPr>
              <w:pStyle w:val="TableParagraph"/>
              <w:ind w:left="107"/>
              <w:rPr>
                <w:rFonts w:ascii="Cambria"/>
                <w:b/>
                <w:sz w:val="24"/>
              </w:rPr>
            </w:pPr>
            <w:r>
              <w:rPr>
                <w:rFonts w:ascii="Cambria"/>
                <w:b/>
                <w:sz w:val="24"/>
              </w:rPr>
              <w:t>T- </w:t>
            </w:r>
            <w:r>
              <w:rPr>
                <w:rFonts w:ascii="Cambria"/>
                <w:b/>
                <w:spacing w:val="-2"/>
                <w:sz w:val="24"/>
              </w:rPr>
              <w:t>STATISTICS</w:t>
            </w:r>
          </w:p>
        </w:tc>
        <w:tc>
          <w:tcPr>
            <w:tcW w:w="1758" w:type="dxa"/>
          </w:tcPr>
          <w:p>
            <w:pPr>
              <w:pStyle w:val="TableParagraph"/>
              <w:spacing w:line="281" w:lineRule="exact"/>
              <w:ind w:left="104"/>
              <w:rPr>
                <w:rFonts w:ascii="Cambria"/>
                <w:b/>
                <w:sz w:val="24"/>
              </w:rPr>
            </w:pPr>
            <w:r>
              <w:rPr>
                <w:rFonts w:ascii="Cambria"/>
                <w:b/>
                <w:spacing w:val="-2"/>
                <w:sz w:val="24"/>
              </w:rPr>
              <w:t>PROBABILITY</w:t>
            </w:r>
          </w:p>
          <w:p>
            <w:pPr>
              <w:pStyle w:val="TableParagraph"/>
              <w:spacing w:before="4"/>
              <w:rPr>
                <w:b/>
                <w:sz w:val="24"/>
              </w:rPr>
            </w:pPr>
          </w:p>
          <w:p>
            <w:pPr>
              <w:pStyle w:val="TableParagraph"/>
              <w:ind w:left="104"/>
              <w:rPr>
                <w:rFonts w:ascii="Cambria"/>
                <w:b/>
                <w:sz w:val="24"/>
              </w:rPr>
            </w:pPr>
            <w:r>
              <w:rPr>
                <w:rFonts w:ascii="Cambria"/>
                <w:b/>
                <w:spacing w:val="-2"/>
                <w:sz w:val="24"/>
              </w:rPr>
              <w:t>VALUE</w:t>
            </w:r>
          </w:p>
        </w:tc>
        <w:tc>
          <w:tcPr>
            <w:tcW w:w="1520" w:type="dxa"/>
          </w:tcPr>
          <w:p>
            <w:pPr>
              <w:pStyle w:val="TableParagraph"/>
              <w:spacing w:line="281" w:lineRule="exact"/>
              <w:ind w:left="104"/>
              <w:rPr>
                <w:rFonts w:ascii="Cambria"/>
                <w:b/>
                <w:sz w:val="24"/>
              </w:rPr>
            </w:pPr>
            <w:r>
              <w:rPr>
                <w:rFonts w:ascii="Cambria"/>
                <w:b/>
                <w:spacing w:val="-2"/>
                <w:sz w:val="24"/>
              </w:rPr>
              <w:t>REMARKS</w:t>
            </w:r>
          </w:p>
        </w:tc>
      </w:tr>
      <w:tr>
        <w:trPr>
          <w:trHeight w:val="275" w:hRule="atLeast"/>
        </w:trPr>
        <w:tc>
          <w:tcPr>
            <w:tcW w:w="2204" w:type="dxa"/>
          </w:tcPr>
          <w:p>
            <w:pPr>
              <w:pStyle w:val="TableParagraph"/>
              <w:spacing w:line="229" w:lineRule="exact"/>
              <w:ind w:left="5" w:right="1"/>
              <w:jc w:val="center"/>
              <w:rPr>
                <w:rFonts w:ascii="Arial MT"/>
                <w:sz w:val="20"/>
              </w:rPr>
            </w:pPr>
            <w:r>
              <w:rPr>
                <w:rFonts w:ascii="Arial MT"/>
                <w:spacing w:val="-10"/>
                <w:sz w:val="20"/>
              </w:rPr>
              <w:t>C</w:t>
            </w:r>
          </w:p>
        </w:tc>
        <w:tc>
          <w:tcPr>
            <w:tcW w:w="1868" w:type="dxa"/>
          </w:tcPr>
          <w:p>
            <w:pPr>
              <w:pStyle w:val="TableParagraph"/>
              <w:ind w:right="96"/>
              <w:jc w:val="right"/>
              <w:rPr>
                <w:sz w:val="20"/>
              </w:rPr>
            </w:pPr>
            <w:r>
              <w:rPr>
                <w:spacing w:val="-4"/>
                <w:sz w:val="20"/>
              </w:rPr>
              <w:t>-</w:t>
            </w:r>
            <w:r>
              <w:rPr>
                <w:spacing w:val="-2"/>
                <w:sz w:val="20"/>
              </w:rPr>
              <w:t>2.467560</w:t>
            </w:r>
          </w:p>
        </w:tc>
        <w:tc>
          <w:tcPr>
            <w:tcW w:w="1923" w:type="dxa"/>
          </w:tcPr>
          <w:p>
            <w:pPr>
              <w:pStyle w:val="TableParagraph"/>
              <w:ind w:right="99"/>
              <w:jc w:val="right"/>
              <w:rPr>
                <w:sz w:val="20"/>
              </w:rPr>
            </w:pPr>
            <w:r>
              <w:rPr>
                <w:spacing w:val="-4"/>
                <w:sz w:val="20"/>
              </w:rPr>
              <w:t>-</w:t>
            </w:r>
            <w:r>
              <w:rPr>
                <w:spacing w:val="-2"/>
                <w:sz w:val="20"/>
              </w:rPr>
              <w:t>1.983916</w:t>
            </w:r>
          </w:p>
        </w:tc>
        <w:tc>
          <w:tcPr>
            <w:tcW w:w="1758" w:type="dxa"/>
          </w:tcPr>
          <w:p>
            <w:pPr>
              <w:pStyle w:val="TableParagraph"/>
              <w:ind w:right="100"/>
              <w:jc w:val="right"/>
              <w:rPr>
                <w:sz w:val="20"/>
              </w:rPr>
            </w:pPr>
            <w:r>
              <w:rPr>
                <w:spacing w:val="-2"/>
                <w:sz w:val="20"/>
              </w:rPr>
              <w:t>0.0754</w:t>
            </w:r>
          </w:p>
        </w:tc>
        <w:tc>
          <w:tcPr>
            <w:tcW w:w="1520" w:type="dxa"/>
          </w:tcPr>
          <w:p>
            <w:pPr>
              <w:pStyle w:val="TableParagraph"/>
              <w:spacing w:line="256" w:lineRule="exact"/>
              <w:ind w:right="101"/>
              <w:jc w:val="right"/>
              <w:rPr>
                <w:sz w:val="24"/>
              </w:rPr>
            </w:pPr>
            <w:r>
              <w:rPr>
                <w:spacing w:val="-2"/>
                <w:sz w:val="24"/>
              </w:rPr>
              <w:t>Insignificant</w:t>
            </w:r>
          </w:p>
        </w:tc>
      </w:tr>
      <w:tr>
        <w:trPr>
          <w:trHeight w:val="333" w:hRule="atLeast"/>
        </w:trPr>
        <w:tc>
          <w:tcPr>
            <w:tcW w:w="2204" w:type="dxa"/>
          </w:tcPr>
          <w:p>
            <w:pPr>
              <w:pStyle w:val="TableParagraph"/>
              <w:spacing w:line="281" w:lineRule="exact"/>
              <w:ind w:left="5" w:right="1"/>
              <w:jc w:val="center"/>
              <w:rPr>
                <w:rFonts w:ascii="Arial MT" w:hAnsi="Arial MT"/>
                <w:sz w:val="20"/>
              </w:rPr>
            </w:pPr>
            <w:r>
              <w:rPr>
                <w:rFonts w:ascii="Cambria" w:hAnsi="Cambria"/>
                <w:spacing w:val="-2"/>
                <w:sz w:val="24"/>
              </w:rPr>
              <w:t>δ</w:t>
            </w:r>
            <w:r>
              <w:rPr>
                <w:rFonts w:ascii="Arial MT" w:hAnsi="Arial MT"/>
                <w:spacing w:val="-2"/>
                <w:sz w:val="20"/>
              </w:rPr>
              <w:t>EXTDEBT</w:t>
            </w:r>
          </w:p>
        </w:tc>
        <w:tc>
          <w:tcPr>
            <w:tcW w:w="1868" w:type="dxa"/>
          </w:tcPr>
          <w:p>
            <w:pPr>
              <w:pStyle w:val="TableParagraph"/>
              <w:ind w:right="96"/>
              <w:jc w:val="right"/>
              <w:rPr>
                <w:sz w:val="20"/>
              </w:rPr>
            </w:pPr>
            <w:r>
              <w:rPr>
                <w:spacing w:val="-4"/>
                <w:sz w:val="20"/>
              </w:rPr>
              <w:t>-</w:t>
            </w:r>
            <w:r>
              <w:rPr>
                <w:spacing w:val="-2"/>
                <w:sz w:val="20"/>
              </w:rPr>
              <w:t>0.087317</w:t>
            </w:r>
          </w:p>
        </w:tc>
        <w:tc>
          <w:tcPr>
            <w:tcW w:w="1923" w:type="dxa"/>
          </w:tcPr>
          <w:p>
            <w:pPr>
              <w:pStyle w:val="TableParagraph"/>
              <w:ind w:right="99"/>
              <w:jc w:val="right"/>
              <w:rPr>
                <w:sz w:val="20"/>
              </w:rPr>
            </w:pPr>
            <w:r>
              <w:rPr>
                <w:spacing w:val="-4"/>
                <w:sz w:val="20"/>
              </w:rPr>
              <w:t>-</w:t>
            </w:r>
            <w:r>
              <w:rPr>
                <w:spacing w:val="-2"/>
                <w:sz w:val="20"/>
              </w:rPr>
              <w:t>2.157627</w:t>
            </w:r>
          </w:p>
        </w:tc>
        <w:tc>
          <w:tcPr>
            <w:tcW w:w="1758" w:type="dxa"/>
          </w:tcPr>
          <w:p>
            <w:pPr>
              <w:pStyle w:val="TableParagraph"/>
              <w:ind w:right="100"/>
              <w:jc w:val="right"/>
              <w:rPr>
                <w:sz w:val="20"/>
              </w:rPr>
            </w:pPr>
            <w:r>
              <w:rPr>
                <w:spacing w:val="-2"/>
                <w:sz w:val="20"/>
              </w:rPr>
              <w:t>0.0563</w:t>
            </w:r>
          </w:p>
        </w:tc>
        <w:tc>
          <w:tcPr>
            <w:tcW w:w="1520" w:type="dxa"/>
          </w:tcPr>
          <w:p>
            <w:pPr>
              <w:pStyle w:val="TableParagraph"/>
              <w:spacing w:line="275" w:lineRule="exact"/>
              <w:ind w:right="103"/>
              <w:jc w:val="right"/>
              <w:rPr>
                <w:sz w:val="24"/>
              </w:rPr>
            </w:pPr>
            <w:r>
              <w:rPr>
                <w:spacing w:val="-2"/>
                <w:sz w:val="24"/>
              </w:rPr>
              <w:t>Significant</w:t>
            </w:r>
          </w:p>
        </w:tc>
      </w:tr>
      <w:tr>
        <w:trPr>
          <w:trHeight w:val="340" w:hRule="atLeast"/>
        </w:trPr>
        <w:tc>
          <w:tcPr>
            <w:tcW w:w="2204" w:type="dxa"/>
          </w:tcPr>
          <w:p>
            <w:pPr>
              <w:pStyle w:val="TableParagraph"/>
              <w:spacing w:line="229" w:lineRule="exact"/>
              <w:ind w:left="5" w:right="1"/>
              <w:jc w:val="center"/>
              <w:rPr>
                <w:rFonts w:ascii="Arial MT"/>
                <w:sz w:val="20"/>
              </w:rPr>
            </w:pPr>
            <w:r>
              <w:rPr>
                <w:rFonts w:ascii="Arial MT"/>
                <w:spacing w:val="-5"/>
                <w:sz w:val="20"/>
              </w:rPr>
              <w:t>DFI</w:t>
            </w:r>
          </w:p>
        </w:tc>
        <w:tc>
          <w:tcPr>
            <w:tcW w:w="1868" w:type="dxa"/>
          </w:tcPr>
          <w:p>
            <w:pPr>
              <w:pStyle w:val="TableParagraph"/>
              <w:ind w:right="96"/>
              <w:jc w:val="right"/>
              <w:rPr>
                <w:sz w:val="20"/>
              </w:rPr>
            </w:pPr>
            <w:r>
              <w:rPr>
                <w:spacing w:val="-2"/>
                <w:sz w:val="20"/>
              </w:rPr>
              <w:t>1.479476</w:t>
            </w:r>
          </w:p>
        </w:tc>
        <w:tc>
          <w:tcPr>
            <w:tcW w:w="1923" w:type="dxa"/>
          </w:tcPr>
          <w:p>
            <w:pPr>
              <w:pStyle w:val="TableParagraph"/>
              <w:ind w:right="99"/>
              <w:jc w:val="right"/>
              <w:rPr>
                <w:sz w:val="20"/>
              </w:rPr>
            </w:pPr>
            <w:r>
              <w:rPr>
                <w:spacing w:val="-2"/>
                <w:sz w:val="20"/>
              </w:rPr>
              <w:t>8.417658</w:t>
            </w:r>
          </w:p>
        </w:tc>
        <w:tc>
          <w:tcPr>
            <w:tcW w:w="1758" w:type="dxa"/>
          </w:tcPr>
          <w:p>
            <w:pPr>
              <w:pStyle w:val="TableParagraph"/>
              <w:ind w:right="100"/>
              <w:jc w:val="right"/>
              <w:rPr>
                <w:sz w:val="20"/>
              </w:rPr>
            </w:pPr>
            <w:r>
              <w:rPr>
                <w:spacing w:val="-2"/>
                <w:sz w:val="20"/>
              </w:rPr>
              <w:t>0.0000</w:t>
            </w:r>
          </w:p>
        </w:tc>
        <w:tc>
          <w:tcPr>
            <w:tcW w:w="1520" w:type="dxa"/>
          </w:tcPr>
          <w:p>
            <w:pPr>
              <w:pStyle w:val="TableParagraph"/>
              <w:spacing w:line="275" w:lineRule="exact"/>
              <w:ind w:right="103"/>
              <w:jc w:val="right"/>
              <w:rPr>
                <w:sz w:val="24"/>
              </w:rPr>
            </w:pPr>
            <w:r>
              <w:rPr>
                <w:spacing w:val="-2"/>
                <w:sz w:val="24"/>
              </w:rPr>
              <w:t>Significant</w:t>
            </w:r>
          </w:p>
        </w:tc>
      </w:tr>
      <w:tr>
        <w:trPr>
          <w:trHeight w:val="350" w:hRule="atLeast"/>
        </w:trPr>
        <w:tc>
          <w:tcPr>
            <w:tcW w:w="2204" w:type="dxa"/>
          </w:tcPr>
          <w:p>
            <w:pPr>
              <w:pStyle w:val="TableParagraph"/>
              <w:spacing w:line="229" w:lineRule="exact"/>
              <w:ind w:left="5"/>
              <w:jc w:val="center"/>
              <w:rPr>
                <w:rFonts w:ascii="Arial MT"/>
                <w:sz w:val="20"/>
              </w:rPr>
            </w:pPr>
            <w:r>
              <w:rPr>
                <w:rFonts w:ascii="Arial MT"/>
                <w:spacing w:val="-5"/>
                <w:sz w:val="20"/>
              </w:rPr>
              <w:t>CAB</w:t>
            </w:r>
          </w:p>
        </w:tc>
        <w:tc>
          <w:tcPr>
            <w:tcW w:w="1868" w:type="dxa"/>
          </w:tcPr>
          <w:p>
            <w:pPr>
              <w:pStyle w:val="TableParagraph"/>
              <w:ind w:right="96"/>
              <w:jc w:val="right"/>
              <w:rPr>
                <w:sz w:val="20"/>
              </w:rPr>
            </w:pPr>
            <w:r>
              <w:rPr>
                <w:spacing w:val="-4"/>
                <w:sz w:val="20"/>
              </w:rPr>
              <w:t>-</w:t>
            </w:r>
            <w:r>
              <w:rPr>
                <w:spacing w:val="-2"/>
                <w:sz w:val="20"/>
              </w:rPr>
              <w:t>0.001759</w:t>
            </w:r>
          </w:p>
        </w:tc>
        <w:tc>
          <w:tcPr>
            <w:tcW w:w="1923" w:type="dxa"/>
          </w:tcPr>
          <w:p>
            <w:pPr>
              <w:pStyle w:val="TableParagraph"/>
              <w:ind w:right="99"/>
              <w:jc w:val="right"/>
              <w:rPr>
                <w:sz w:val="20"/>
              </w:rPr>
            </w:pPr>
            <w:r>
              <w:rPr>
                <w:spacing w:val="-4"/>
                <w:sz w:val="20"/>
              </w:rPr>
              <w:t>-</w:t>
            </w:r>
            <w:r>
              <w:rPr>
                <w:spacing w:val="-2"/>
                <w:sz w:val="20"/>
              </w:rPr>
              <w:t>0.048881</w:t>
            </w:r>
          </w:p>
        </w:tc>
        <w:tc>
          <w:tcPr>
            <w:tcW w:w="1758" w:type="dxa"/>
          </w:tcPr>
          <w:p>
            <w:pPr>
              <w:pStyle w:val="TableParagraph"/>
              <w:ind w:right="100"/>
              <w:jc w:val="right"/>
              <w:rPr>
                <w:sz w:val="20"/>
              </w:rPr>
            </w:pPr>
            <w:r>
              <w:rPr>
                <w:spacing w:val="-2"/>
                <w:sz w:val="20"/>
              </w:rPr>
              <w:t>0.9620</w:t>
            </w:r>
          </w:p>
        </w:tc>
        <w:tc>
          <w:tcPr>
            <w:tcW w:w="1520" w:type="dxa"/>
          </w:tcPr>
          <w:p>
            <w:pPr>
              <w:pStyle w:val="TableParagraph"/>
              <w:spacing w:line="275" w:lineRule="exact"/>
              <w:ind w:right="101"/>
              <w:jc w:val="right"/>
              <w:rPr>
                <w:sz w:val="24"/>
              </w:rPr>
            </w:pPr>
            <w:r>
              <w:rPr>
                <w:spacing w:val="-2"/>
                <w:sz w:val="24"/>
              </w:rPr>
              <w:t>Insignificant</w:t>
            </w:r>
          </w:p>
        </w:tc>
      </w:tr>
      <w:tr>
        <w:trPr>
          <w:trHeight w:val="350" w:hRule="atLeast"/>
        </w:trPr>
        <w:tc>
          <w:tcPr>
            <w:tcW w:w="2204" w:type="dxa"/>
          </w:tcPr>
          <w:p>
            <w:pPr>
              <w:pStyle w:val="TableParagraph"/>
              <w:ind w:left="5" w:right="2"/>
              <w:jc w:val="center"/>
              <w:rPr>
                <w:rFonts w:ascii="Arial MT" w:hAnsi="Arial MT"/>
                <w:sz w:val="20"/>
              </w:rPr>
            </w:pPr>
            <w:r>
              <w:rPr>
                <w:rFonts w:ascii="Cambria" w:hAnsi="Cambria"/>
                <w:spacing w:val="-4"/>
                <w:sz w:val="24"/>
              </w:rPr>
              <w:t>δ</w:t>
            </w:r>
            <w:r>
              <w:rPr>
                <w:rFonts w:ascii="Arial MT" w:hAnsi="Arial MT"/>
                <w:spacing w:val="-4"/>
                <w:sz w:val="20"/>
              </w:rPr>
              <w:t>RES</w:t>
            </w:r>
          </w:p>
        </w:tc>
        <w:tc>
          <w:tcPr>
            <w:tcW w:w="1868" w:type="dxa"/>
          </w:tcPr>
          <w:p>
            <w:pPr>
              <w:pStyle w:val="TableParagraph"/>
              <w:spacing w:before="1"/>
              <w:ind w:right="96"/>
              <w:jc w:val="right"/>
              <w:rPr>
                <w:sz w:val="20"/>
              </w:rPr>
            </w:pPr>
            <w:r>
              <w:rPr>
                <w:spacing w:val="-2"/>
                <w:sz w:val="20"/>
              </w:rPr>
              <w:t>0.256220</w:t>
            </w:r>
          </w:p>
        </w:tc>
        <w:tc>
          <w:tcPr>
            <w:tcW w:w="1923" w:type="dxa"/>
          </w:tcPr>
          <w:p>
            <w:pPr>
              <w:pStyle w:val="TableParagraph"/>
              <w:spacing w:before="1"/>
              <w:ind w:right="99"/>
              <w:jc w:val="right"/>
              <w:rPr>
                <w:sz w:val="20"/>
              </w:rPr>
            </w:pPr>
            <w:r>
              <w:rPr>
                <w:spacing w:val="-2"/>
                <w:sz w:val="20"/>
              </w:rPr>
              <w:t>5.162468</w:t>
            </w:r>
          </w:p>
        </w:tc>
        <w:tc>
          <w:tcPr>
            <w:tcW w:w="1758" w:type="dxa"/>
          </w:tcPr>
          <w:p>
            <w:pPr>
              <w:pStyle w:val="TableParagraph"/>
              <w:spacing w:before="1"/>
              <w:ind w:right="100"/>
              <w:jc w:val="right"/>
              <w:rPr>
                <w:sz w:val="20"/>
              </w:rPr>
            </w:pPr>
            <w:r>
              <w:rPr>
                <w:spacing w:val="-2"/>
                <w:sz w:val="20"/>
              </w:rPr>
              <w:t>0.0004</w:t>
            </w:r>
          </w:p>
        </w:tc>
        <w:tc>
          <w:tcPr>
            <w:tcW w:w="1520" w:type="dxa"/>
          </w:tcPr>
          <w:p>
            <w:pPr>
              <w:pStyle w:val="TableParagraph"/>
              <w:spacing w:line="276" w:lineRule="exact"/>
              <w:ind w:right="103"/>
              <w:jc w:val="right"/>
              <w:rPr>
                <w:sz w:val="24"/>
              </w:rPr>
            </w:pPr>
            <w:r>
              <w:rPr>
                <w:spacing w:val="-2"/>
                <w:sz w:val="24"/>
              </w:rPr>
              <w:t>Significant</w:t>
            </w:r>
          </w:p>
        </w:tc>
      </w:tr>
      <w:tr>
        <w:trPr>
          <w:trHeight w:val="350" w:hRule="atLeast"/>
        </w:trPr>
        <w:tc>
          <w:tcPr>
            <w:tcW w:w="2204" w:type="dxa"/>
          </w:tcPr>
          <w:p>
            <w:pPr>
              <w:pStyle w:val="TableParagraph"/>
              <w:spacing w:line="281" w:lineRule="exact"/>
              <w:ind w:left="5" w:right="2"/>
              <w:jc w:val="center"/>
              <w:rPr>
                <w:rFonts w:ascii="Cambria" w:hAnsi="Cambria"/>
                <w:sz w:val="24"/>
              </w:rPr>
            </w:pPr>
            <w:r>
              <w:rPr>
                <w:rFonts w:ascii="Cambria" w:hAnsi="Cambria"/>
                <w:spacing w:val="-2"/>
                <w:sz w:val="24"/>
              </w:rPr>
              <w:t>δNEXTAS</w:t>
            </w:r>
          </w:p>
        </w:tc>
        <w:tc>
          <w:tcPr>
            <w:tcW w:w="1868" w:type="dxa"/>
          </w:tcPr>
          <w:p>
            <w:pPr>
              <w:pStyle w:val="TableParagraph"/>
              <w:ind w:right="96"/>
              <w:jc w:val="right"/>
              <w:rPr>
                <w:sz w:val="20"/>
              </w:rPr>
            </w:pPr>
            <w:r>
              <w:rPr>
                <w:spacing w:val="-4"/>
                <w:sz w:val="20"/>
              </w:rPr>
              <w:t>-</w:t>
            </w:r>
            <w:r>
              <w:rPr>
                <w:spacing w:val="-2"/>
                <w:sz w:val="20"/>
              </w:rPr>
              <w:t>0.044703</w:t>
            </w:r>
          </w:p>
        </w:tc>
        <w:tc>
          <w:tcPr>
            <w:tcW w:w="1923" w:type="dxa"/>
          </w:tcPr>
          <w:p>
            <w:pPr>
              <w:pStyle w:val="TableParagraph"/>
              <w:ind w:right="99"/>
              <w:jc w:val="right"/>
              <w:rPr>
                <w:sz w:val="20"/>
              </w:rPr>
            </w:pPr>
            <w:r>
              <w:rPr>
                <w:spacing w:val="-4"/>
                <w:sz w:val="20"/>
              </w:rPr>
              <w:t>-</w:t>
            </w:r>
            <w:r>
              <w:rPr>
                <w:spacing w:val="-2"/>
                <w:sz w:val="20"/>
              </w:rPr>
              <w:t>0.956860</w:t>
            </w:r>
          </w:p>
        </w:tc>
        <w:tc>
          <w:tcPr>
            <w:tcW w:w="1758" w:type="dxa"/>
          </w:tcPr>
          <w:p>
            <w:pPr>
              <w:pStyle w:val="TableParagraph"/>
              <w:ind w:right="100"/>
              <w:jc w:val="right"/>
              <w:rPr>
                <w:sz w:val="20"/>
              </w:rPr>
            </w:pPr>
            <w:r>
              <w:rPr>
                <w:spacing w:val="-2"/>
                <w:sz w:val="20"/>
              </w:rPr>
              <w:t>0.3612</w:t>
            </w:r>
          </w:p>
        </w:tc>
        <w:tc>
          <w:tcPr>
            <w:tcW w:w="1520" w:type="dxa"/>
          </w:tcPr>
          <w:p>
            <w:pPr>
              <w:pStyle w:val="TableParagraph"/>
              <w:spacing w:line="275" w:lineRule="exact"/>
              <w:ind w:right="101"/>
              <w:jc w:val="right"/>
              <w:rPr>
                <w:sz w:val="24"/>
              </w:rPr>
            </w:pPr>
            <w:r>
              <w:rPr>
                <w:spacing w:val="-2"/>
                <w:sz w:val="24"/>
              </w:rPr>
              <w:t>Insignificant</w:t>
            </w:r>
          </w:p>
        </w:tc>
      </w:tr>
    </w:tbl>
    <w:tbl>
      <w:tblPr>
        <w:tblW w:w="0" w:type="auto"/>
        <w:jc w:val="left"/>
        <w:tblInd w:w="7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61"/>
        <w:gridCol w:w="1857"/>
        <w:gridCol w:w="2936"/>
        <w:gridCol w:w="1786"/>
      </w:tblGrid>
      <w:tr>
        <w:trPr>
          <w:trHeight w:val="270" w:hRule="atLeast"/>
        </w:trPr>
        <w:tc>
          <w:tcPr>
            <w:tcW w:w="2761" w:type="dxa"/>
          </w:tcPr>
          <w:p>
            <w:pPr>
              <w:pStyle w:val="TableParagraph"/>
              <w:spacing w:line="251" w:lineRule="exact"/>
              <w:ind w:left="43"/>
              <w:rPr>
                <w:sz w:val="24"/>
              </w:rPr>
            </w:pPr>
            <w:r>
              <w:rPr>
                <w:sz w:val="24"/>
              </w:rPr>
              <w:t>R-</w:t>
            </w:r>
            <w:r>
              <w:rPr>
                <w:spacing w:val="-2"/>
                <w:sz w:val="24"/>
              </w:rPr>
              <w:t>squared</w:t>
            </w:r>
          </w:p>
        </w:tc>
        <w:tc>
          <w:tcPr>
            <w:tcW w:w="1857" w:type="dxa"/>
          </w:tcPr>
          <w:p>
            <w:pPr>
              <w:pStyle w:val="TableParagraph"/>
              <w:spacing w:line="251" w:lineRule="exact"/>
              <w:ind w:right="148"/>
              <w:jc w:val="right"/>
              <w:rPr>
                <w:sz w:val="24"/>
              </w:rPr>
            </w:pPr>
            <w:r>
              <w:rPr>
                <w:spacing w:val="-2"/>
                <w:sz w:val="24"/>
              </w:rPr>
              <w:t>0.977163</w:t>
            </w:r>
          </w:p>
        </w:tc>
        <w:tc>
          <w:tcPr>
            <w:tcW w:w="2936" w:type="dxa"/>
          </w:tcPr>
          <w:p>
            <w:pPr>
              <w:pStyle w:val="TableParagraph"/>
              <w:spacing w:line="251" w:lineRule="exact"/>
              <w:ind w:left="149"/>
              <w:rPr>
                <w:sz w:val="24"/>
              </w:rPr>
            </w:pPr>
            <w:r>
              <w:rPr>
                <w:sz w:val="24"/>
              </w:rPr>
              <w:t>Mean</w:t>
            </w:r>
            <w:r>
              <w:rPr>
                <w:spacing w:val="-2"/>
                <w:sz w:val="24"/>
              </w:rPr>
              <w:t> </w:t>
            </w:r>
            <w:r>
              <w:rPr>
                <w:sz w:val="24"/>
              </w:rPr>
              <w:t>dependent</w:t>
            </w:r>
            <w:r>
              <w:rPr>
                <w:spacing w:val="-1"/>
                <w:sz w:val="24"/>
              </w:rPr>
              <w:t> </w:t>
            </w:r>
            <w:r>
              <w:rPr>
                <w:spacing w:val="-5"/>
                <w:sz w:val="24"/>
              </w:rPr>
              <w:t>var</w:t>
            </w:r>
          </w:p>
        </w:tc>
        <w:tc>
          <w:tcPr>
            <w:tcW w:w="1786" w:type="dxa"/>
          </w:tcPr>
          <w:p>
            <w:pPr>
              <w:pStyle w:val="TableParagraph"/>
              <w:spacing w:line="251" w:lineRule="exact"/>
              <w:ind w:right="31"/>
              <w:jc w:val="right"/>
              <w:rPr>
                <w:sz w:val="24"/>
              </w:rPr>
            </w:pPr>
            <w:r>
              <w:rPr>
                <w:spacing w:val="-2"/>
                <w:sz w:val="24"/>
              </w:rPr>
              <w:t>10.13532</w:t>
            </w:r>
          </w:p>
        </w:tc>
      </w:tr>
      <w:tr>
        <w:trPr>
          <w:trHeight w:val="275" w:hRule="atLeast"/>
        </w:trPr>
        <w:tc>
          <w:tcPr>
            <w:tcW w:w="2761" w:type="dxa"/>
          </w:tcPr>
          <w:p>
            <w:pPr>
              <w:pStyle w:val="TableParagraph"/>
              <w:spacing w:line="256" w:lineRule="exact"/>
              <w:ind w:left="43"/>
              <w:rPr>
                <w:sz w:val="24"/>
              </w:rPr>
            </w:pPr>
            <w:r>
              <w:rPr>
                <w:sz w:val="24"/>
              </w:rPr>
              <w:t>Adjusted</w:t>
            </w:r>
            <w:r>
              <w:rPr>
                <w:spacing w:val="-1"/>
                <w:sz w:val="24"/>
              </w:rPr>
              <w:t> </w:t>
            </w:r>
            <w:r>
              <w:rPr>
                <w:sz w:val="24"/>
              </w:rPr>
              <w:t>R-</w:t>
            </w:r>
            <w:r>
              <w:rPr>
                <w:spacing w:val="-2"/>
                <w:sz w:val="24"/>
              </w:rPr>
              <w:t>squared</w:t>
            </w:r>
          </w:p>
        </w:tc>
        <w:tc>
          <w:tcPr>
            <w:tcW w:w="1857" w:type="dxa"/>
          </w:tcPr>
          <w:p>
            <w:pPr>
              <w:pStyle w:val="TableParagraph"/>
              <w:spacing w:line="256" w:lineRule="exact"/>
              <w:ind w:right="148"/>
              <w:jc w:val="right"/>
              <w:rPr>
                <w:sz w:val="24"/>
              </w:rPr>
            </w:pPr>
            <w:r>
              <w:rPr>
                <w:spacing w:val="-2"/>
                <w:sz w:val="24"/>
              </w:rPr>
              <w:t>0.965744</w:t>
            </w:r>
          </w:p>
        </w:tc>
        <w:tc>
          <w:tcPr>
            <w:tcW w:w="2936" w:type="dxa"/>
          </w:tcPr>
          <w:p>
            <w:pPr>
              <w:pStyle w:val="TableParagraph"/>
              <w:spacing w:line="256" w:lineRule="exact"/>
              <w:ind w:left="149"/>
              <w:rPr>
                <w:sz w:val="24"/>
              </w:rPr>
            </w:pPr>
            <w:r>
              <w:rPr>
                <w:sz w:val="24"/>
              </w:rPr>
              <w:t>S.D.</w:t>
            </w:r>
            <w:r>
              <w:rPr>
                <w:spacing w:val="-4"/>
                <w:sz w:val="24"/>
              </w:rPr>
              <w:t> </w:t>
            </w:r>
            <w:r>
              <w:rPr>
                <w:sz w:val="24"/>
              </w:rPr>
              <w:t>dependent</w:t>
            </w:r>
            <w:r>
              <w:rPr>
                <w:spacing w:val="-2"/>
                <w:sz w:val="24"/>
              </w:rPr>
              <w:t> </w:t>
            </w:r>
            <w:r>
              <w:rPr>
                <w:spacing w:val="-5"/>
                <w:sz w:val="24"/>
              </w:rPr>
              <w:t>var</w:t>
            </w:r>
          </w:p>
        </w:tc>
        <w:tc>
          <w:tcPr>
            <w:tcW w:w="1786" w:type="dxa"/>
          </w:tcPr>
          <w:p>
            <w:pPr>
              <w:pStyle w:val="TableParagraph"/>
              <w:spacing w:line="256" w:lineRule="exact"/>
              <w:ind w:right="31"/>
              <w:jc w:val="right"/>
              <w:rPr>
                <w:sz w:val="24"/>
              </w:rPr>
            </w:pPr>
            <w:r>
              <w:rPr>
                <w:spacing w:val="-2"/>
                <w:sz w:val="24"/>
              </w:rPr>
              <w:t>0.858322</w:t>
            </w:r>
          </w:p>
        </w:tc>
      </w:tr>
      <w:tr>
        <w:trPr>
          <w:trHeight w:val="276" w:hRule="atLeast"/>
        </w:trPr>
        <w:tc>
          <w:tcPr>
            <w:tcW w:w="2761" w:type="dxa"/>
          </w:tcPr>
          <w:p>
            <w:pPr>
              <w:pStyle w:val="TableParagraph"/>
              <w:spacing w:line="256" w:lineRule="exact"/>
              <w:ind w:left="43"/>
              <w:rPr>
                <w:sz w:val="24"/>
              </w:rPr>
            </w:pPr>
            <w:r>
              <w:rPr>
                <w:sz w:val="24"/>
              </w:rPr>
              <w:t>S.E. of</w:t>
            </w:r>
            <w:r>
              <w:rPr>
                <w:spacing w:val="-1"/>
                <w:sz w:val="24"/>
              </w:rPr>
              <w:t> </w:t>
            </w:r>
            <w:r>
              <w:rPr>
                <w:spacing w:val="-2"/>
                <w:sz w:val="24"/>
              </w:rPr>
              <w:t>regression</w:t>
            </w:r>
          </w:p>
        </w:tc>
        <w:tc>
          <w:tcPr>
            <w:tcW w:w="1857" w:type="dxa"/>
          </w:tcPr>
          <w:p>
            <w:pPr>
              <w:pStyle w:val="TableParagraph"/>
              <w:spacing w:line="256" w:lineRule="exact"/>
              <w:ind w:right="148"/>
              <w:jc w:val="right"/>
              <w:rPr>
                <w:sz w:val="24"/>
              </w:rPr>
            </w:pPr>
            <w:r>
              <w:rPr>
                <w:spacing w:val="-2"/>
                <w:sz w:val="24"/>
              </w:rPr>
              <w:t>0.158860</w:t>
            </w:r>
          </w:p>
        </w:tc>
        <w:tc>
          <w:tcPr>
            <w:tcW w:w="2936" w:type="dxa"/>
          </w:tcPr>
          <w:p>
            <w:pPr>
              <w:pStyle w:val="TableParagraph"/>
              <w:spacing w:line="256" w:lineRule="exact"/>
              <w:ind w:left="149"/>
              <w:rPr>
                <w:sz w:val="24"/>
              </w:rPr>
            </w:pPr>
            <w:r>
              <w:rPr>
                <w:sz w:val="24"/>
              </w:rPr>
              <w:t>Akaike</w:t>
            </w:r>
            <w:r>
              <w:rPr>
                <w:spacing w:val="-4"/>
                <w:sz w:val="24"/>
              </w:rPr>
              <w:t> </w:t>
            </w:r>
            <w:r>
              <w:rPr>
                <w:sz w:val="24"/>
              </w:rPr>
              <w:t>info</w:t>
            </w:r>
            <w:r>
              <w:rPr>
                <w:spacing w:val="-1"/>
                <w:sz w:val="24"/>
              </w:rPr>
              <w:t> </w:t>
            </w:r>
            <w:r>
              <w:rPr>
                <w:spacing w:val="-2"/>
                <w:sz w:val="24"/>
              </w:rPr>
              <w:t>criterion</w:t>
            </w:r>
          </w:p>
        </w:tc>
        <w:tc>
          <w:tcPr>
            <w:tcW w:w="1786" w:type="dxa"/>
          </w:tcPr>
          <w:p>
            <w:pPr>
              <w:pStyle w:val="TableParagraph"/>
              <w:spacing w:line="256" w:lineRule="exact"/>
              <w:ind w:right="31"/>
              <w:jc w:val="right"/>
              <w:rPr>
                <w:sz w:val="24"/>
              </w:rPr>
            </w:pPr>
            <w:r>
              <w:rPr>
                <w:spacing w:val="-2"/>
                <w:sz w:val="24"/>
              </w:rPr>
              <w:t>-0.561586</w:t>
            </w:r>
          </w:p>
        </w:tc>
      </w:tr>
      <w:tr>
        <w:trPr>
          <w:trHeight w:val="275" w:hRule="atLeast"/>
        </w:trPr>
        <w:tc>
          <w:tcPr>
            <w:tcW w:w="2761" w:type="dxa"/>
          </w:tcPr>
          <w:p>
            <w:pPr>
              <w:pStyle w:val="TableParagraph"/>
              <w:spacing w:line="256" w:lineRule="exact"/>
              <w:ind w:left="43"/>
              <w:rPr>
                <w:sz w:val="24"/>
              </w:rPr>
            </w:pPr>
            <w:r>
              <w:rPr>
                <w:sz w:val="24"/>
              </w:rPr>
              <w:t>Sum</w:t>
            </w:r>
            <w:r>
              <w:rPr>
                <w:spacing w:val="-2"/>
                <w:sz w:val="24"/>
              </w:rPr>
              <w:t> </w:t>
            </w:r>
            <w:r>
              <w:rPr>
                <w:sz w:val="24"/>
              </w:rPr>
              <w:t>squared</w:t>
            </w:r>
            <w:r>
              <w:rPr>
                <w:spacing w:val="-1"/>
                <w:sz w:val="24"/>
              </w:rPr>
              <w:t> </w:t>
            </w:r>
            <w:r>
              <w:rPr>
                <w:spacing w:val="-4"/>
                <w:sz w:val="24"/>
              </w:rPr>
              <w:t>resid</w:t>
            </w:r>
          </w:p>
        </w:tc>
        <w:tc>
          <w:tcPr>
            <w:tcW w:w="1857" w:type="dxa"/>
          </w:tcPr>
          <w:p>
            <w:pPr>
              <w:pStyle w:val="TableParagraph"/>
              <w:spacing w:line="256" w:lineRule="exact"/>
              <w:ind w:right="148"/>
              <w:jc w:val="right"/>
              <w:rPr>
                <w:sz w:val="24"/>
              </w:rPr>
            </w:pPr>
            <w:r>
              <w:rPr>
                <w:spacing w:val="-2"/>
                <w:sz w:val="24"/>
              </w:rPr>
              <w:t>0.252366</w:t>
            </w:r>
          </w:p>
        </w:tc>
        <w:tc>
          <w:tcPr>
            <w:tcW w:w="2936" w:type="dxa"/>
          </w:tcPr>
          <w:p>
            <w:pPr>
              <w:pStyle w:val="TableParagraph"/>
              <w:spacing w:line="256" w:lineRule="exact"/>
              <w:ind w:left="149"/>
              <w:rPr>
                <w:sz w:val="24"/>
              </w:rPr>
            </w:pPr>
            <w:r>
              <w:rPr>
                <w:sz w:val="24"/>
              </w:rPr>
              <w:t>Schwarz</w:t>
            </w:r>
            <w:r>
              <w:rPr>
                <w:spacing w:val="-5"/>
                <w:sz w:val="24"/>
              </w:rPr>
              <w:t> </w:t>
            </w:r>
            <w:r>
              <w:rPr>
                <w:spacing w:val="-2"/>
                <w:sz w:val="24"/>
              </w:rPr>
              <w:t>criterion</w:t>
            </w:r>
          </w:p>
        </w:tc>
        <w:tc>
          <w:tcPr>
            <w:tcW w:w="1786" w:type="dxa"/>
          </w:tcPr>
          <w:p>
            <w:pPr>
              <w:pStyle w:val="TableParagraph"/>
              <w:spacing w:line="256" w:lineRule="exact"/>
              <w:ind w:right="31"/>
              <w:jc w:val="right"/>
              <w:rPr>
                <w:sz w:val="24"/>
              </w:rPr>
            </w:pPr>
            <w:r>
              <w:rPr>
                <w:spacing w:val="-2"/>
                <w:sz w:val="24"/>
              </w:rPr>
              <w:t>-0.271866</w:t>
            </w:r>
          </w:p>
        </w:tc>
      </w:tr>
      <w:tr>
        <w:trPr>
          <w:trHeight w:val="275" w:hRule="atLeast"/>
        </w:trPr>
        <w:tc>
          <w:tcPr>
            <w:tcW w:w="2761" w:type="dxa"/>
          </w:tcPr>
          <w:p>
            <w:pPr>
              <w:pStyle w:val="TableParagraph"/>
              <w:spacing w:line="256" w:lineRule="exact"/>
              <w:ind w:left="43"/>
              <w:rPr>
                <w:sz w:val="24"/>
              </w:rPr>
            </w:pPr>
            <w:r>
              <w:rPr>
                <w:sz w:val="24"/>
              </w:rPr>
              <w:t>Log</w:t>
            </w:r>
            <w:r>
              <w:rPr>
                <w:spacing w:val="-4"/>
                <w:sz w:val="24"/>
              </w:rPr>
              <w:t> </w:t>
            </w:r>
            <w:r>
              <w:rPr>
                <w:spacing w:val="-2"/>
                <w:sz w:val="24"/>
              </w:rPr>
              <w:t>likelihood</w:t>
            </w:r>
          </w:p>
        </w:tc>
        <w:tc>
          <w:tcPr>
            <w:tcW w:w="1857" w:type="dxa"/>
          </w:tcPr>
          <w:p>
            <w:pPr>
              <w:pStyle w:val="TableParagraph"/>
              <w:spacing w:line="256" w:lineRule="exact"/>
              <w:ind w:right="148"/>
              <w:jc w:val="right"/>
              <w:rPr>
                <w:sz w:val="24"/>
              </w:rPr>
            </w:pPr>
            <w:r>
              <w:rPr>
                <w:spacing w:val="-2"/>
                <w:sz w:val="24"/>
              </w:rPr>
              <w:t>10.49269</w:t>
            </w:r>
          </w:p>
        </w:tc>
        <w:tc>
          <w:tcPr>
            <w:tcW w:w="2936" w:type="dxa"/>
          </w:tcPr>
          <w:p>
            <w:pPr>
              <w:pStyle w:val="TableParagraph"/>
              <w:spacing w:line="256" w:lineRule="exact"/>
              <w:ind w:left="149"/>
              <w:rPr>
                <w:sz w:val="24"/>
              </w:rPr>
            </w:pPr>
            <w:r>
              <w:rPr>
                <w:spacing w:val="-2"/>
                <w:sz w:val="24"/>
              </w:rPr>
              <w:t>F-statistic</w:t>
            </w:r>
          </w:p>
        </w:tc>
        <w:tc>
          <w:tcPr>
            <w:tcW w:w="1786" w:type="dxa"/>
          </w:tcPr>
          <w:p>
            <w:pPr>
              <w:pStyle w:val="TableParagraph"/>
              <w:spacing w:line="256" w:lineRule="exact"/>
              <w:ind w:right="31"/>
              <w:jc w:val="right"/>
              <w:rPr>
                <w:sz w:val="24"/>
              </w:rPr>
            </w:pPr>
            <w:r>
              <w:rPr>
                <w:spacing w:val="-2"/>
                <w:sz w:val="24"/>
              </w:rPr>
              <w:t>85.57711</w:t>
            </w:r>
          </w:p>
        </w:tc>
      </w:tr>
      <w:tr>
        <w:trPr>
          <w:trHeight w:val="311" w:hRule="atLeast"/>
        </w:trPr>
        <w:tc>
          <w:tcPr>
            <w:tcW w:w="2761" w:type="dxa"/>
            <w:tcBorders>
              <w:bottom w:val="double" w:sz="6" w:space="0" w:color="000000"/>
            </w:tcBorders>
          </w:tcPr>
          <w:p>
            <w:pPr>
              <w:pStyle w:val="TableParagraph"/>
              <w:spacing w:line="271" w:lineRule="exact"/>
              <w:ind w:left="43"/>
              <w:rPr>
                <w:sz w:val="24"/>
              </w:rPr>
            </w:pPr>
            <w:r>
              <w:rPr>
                <w:sz w:val="24"/>
              </w:rPr>
              <w:t>Durbin-Watson</w:t>
            </w:r>
            <w:r>
              <w:rPr>
                <w:spacing w:val="-3"/>
                <w:sz w:val="24"/>
              </w:rPr>
              <w:t> </w:t>
            </w:r>
            <w:r>
              <w:rPr>
                <w:spacing w:val="-4"/>
                <w:sz w:val="24"/>
              </w:rPr>
              <w:t>stat</w:t>
            </w:r>
          </w:p>
        </w:tc>
        <w:tc>
          <w:tcPr>
            <w:tcW w:w="1857" w:type="dxa"/>
          </w:tcPr>
          <w:p>
            <w:pPr>
              <w:pStyle w:val="TableParagraph"/>
              <w:spacing w:line="271" w:lineRule="exact"/>
              <w:ind w:right="148"/>
              <w:jc w:val="right"/>
              <w:rPr>
                <w:sz w:val="24"/>
              </w:rPr>
            </w:pPr>
            <w:r>
              <w:rPr>
                <w:spacing w:val="-2"/>
                <w:sz w:val="24"/>
              </w:rPr>
              <w:t>1.211928</w:t>
            </w:r>
          </w:p>
        </w:tc>
        <w:tc>
          <w:tcPr>
            <w:tcW w:w="2936" w:type="dxa"/>
            <w:tcBorders>
              <w:bottom w:val="double" w:sz="6" w:space="0" w:color="000000"/>
            </w:tcBorders>
          </w:tcPr>
          <w:p>
            <w:pPr>
              <w:pStyle w:val="TableParagraph"/>
              <w:spacing w:line="271" w:lineRule="exact"/>
              <w:ind w:left="149"/>
              <w:rPr>
                <w:sz w:val="24"/>
              </w:rPr>
            </w:pPr>
            <w:r>
              <w:rPr>
                <w:spacing w:val="-2"/>
                <w:sz w:val="24"/>
              </w:rPr>
              <w:t>Prob(F-statistic)</w:t>
            </w:r>
          </w:p>
        </w:tc>
        <w:tc>
          <w:tcPr>
            <w:tcW w:w="1786" w:type="dxa"/>
          </w:tcPr>
          <w:p>
            <w:pPr>
              <w:pStyle w:val="TableParagraph"/>
              <w:spacing w:line="271" w:lineRule="exact"/>
              <w:ind w:right="31"/>
              <w:jc w:val="right"/>
              <w:rPr>
                <w:sz w:val="24"/>
              </w:rPr>
            </w:pPr>
            <w:r>
              <w:rPr>
                <w:spacing w:val="-2"/>
                <w:sz w:val="24"/>
              </w:rPr>
              <w:t>0.000000</w:t>
            </w:r>
          </w:p>
        </w:tc>
      </w:tr>
    </w:tbl>
    <w:p>
      <w:pPr>
        <w:pStyle w:val="BodyText"/>
        <w:spacing w:before="13"/>
        <w:ind w:left="711"/>
        <w:jc w:val="both"/>
      </w:pPr>
      <w:r>
        <w:rPr>
          <w:b/>
        </w:rPr>
        <w:t>Source:</w:t>
      </w:r>
      <w:r>
        <w:rPr>
          <w:b/>
          <w:spacing w:val="-2"/>
        </w:rPr>
        <w:t> </w:t>
      </w:r>
      <w:r>
        <w:rPr/>
        <w:t>Computation,</w:t>
      </w:r>
      <w:r>
        <w:rPr>
          <w:spacing w:val="-1"/>
        </w:rPr>
        <w:t> </w:t>
      </w:r>
      <w:r>
        <w:rPr/>
        <w:t>using</w:t>
      </w:r>
      <w:r>
        <w:rPr>
          <w:spacing w:val="-4"/>
        </w:rPr>
        <w:t> </w:t>
      </w:r>
      <w:r>
        <w:rPr/>
        <w:t>E-view</w:t>
      </w:r>
      <w:r>
        <w:rPr>
          <w:spacing w:val="-1"/>
        </w:rPr>
        <w:t> </w:t>
      </w:r>
      <w:r>
        <w:rPr/>
        <w:t>statistical</w:t>
      </w:r>
      <w:r>
        <w:rPr>
          <w:spacing w:val="-1"/>
        </w:rPr>
        <w:t> </w:t>
      </w:r>
      <w:r>
        <w:rPr>
          <w:spacing w:val="-2"/>
        </w:rPr>
        <w:t>package</w:t>
      </w:r>
    </w:p>
    <w:p>
      <w:pPr>
        <w:pStyle w:val="BodyText"/>
        <w:spacing w:before="1"/>
      </w:pPr>
    </w:p>
    <w:p>
      <w:pPr>
        <w:pStyle w:val="BodyText"/>
        <w:spacing w:line="482" w:lineRule="auto"/>
        <w:ind w:left="711"/>
        <w:rPr>
          <w:rFonts w:ascii="Cambria"/>
        </w:rPr>
      </w:pPr>
      <w:r>
        <w:rPr>
          <w:rFonts w:ascii="Cambria"/>
        </w:rPr>
        <w:t>The</w:t>
      </w:r>
      <w:r>
        <w:rPr>
          <w:rFonts w:ascii="Cambria"/>
          <w:spacing w:val="40"/>
        </w:rPr>
        <w:t> </w:t>
      </w:r>
      <w:r>
        <w:rPr>
          <w:rFonts w:ascii="Cambria"/>
        </w:rPr>
        <w:t>short-run</w:t>
      </w:r>
      <w:r>
        <w:rPr>
          <w:rFonts w:ascii="Cambria"/>
          <w:spacing w:val="40"/>
        </w:rPr>
        <w:t> </w:t>
      </w:r>
      <w:r>
        <w:rPr>
          <w:rFonts w:ascii="Cambria"/>
        </w:rPr>
        <w:t>relationship</w:t>
      </w:r>
      <w:r>
        <w:rPr>
          <w:rFonts w:ascii="Cambria"/>
          <w:spacing w:val="40"/>
        </w:rPr>
        <w:t> </w:t>
      </w:r>
      <w:r>
        <w:rPr>
          <w:rFonts w:ascii="Cambria"/>
        </w:rPr>
        <w:t>between</w:t>
      </w:r>
      <w:r>
        <w:rPr>
          <w:rFonts w:ascii="Cambria"/>
          <w:spacing w:val="40"/>
        </w:rPr>
        <w:t> </w:t>
      </w:r>
      <w:r>
        <w:rPr>
          <w:rFonts w:ascii="Cambria"/>
        </w:rPr>
        <w:t>gross</w:t>
      </w:r>
      <w:r>
        <w:rPr>
          <w:rFonts w:ascii="Cambria"/>
          <w:spacing w:val="40"/>
        </w:rPr>
        <w:t> </w:t>
      </w:r>
      <w:r>
        <w:rPr>
          <w:rFonts w:ascii="Cambria"/>
        </w:rPr>
        <w:t>domestic</w:t>
      </w:r>
      <w:r>
        <w:rPr>
          <w:rFonts w:ascii="Cambria"/>
          <w:spacing w:val="40"/>
        </w:rPr>
        <w:t> </w:t>
      </w:r>
      <w:r>
        <w:rPr>
          <w:rFonts w:ascii="Cambria"/>
        </w:rPr>
        <w:t>product</w:t>
      </w:r>
      <w:r>
        <w:rPr>
          <w:rFonts w:ascii="Cambria"/>
          <w:spacing w:val="40"/>
        </w:rPr>
        <w:t> </w:t>
      </w:r>
      <w:r>
        <w:rPr>
          <w:rFonts w:ascii="Cambria"/>
        </w:rPr>
        <w:t>and</w:t>
      </w:r>
      <w:r>
        <w:rPr>
          <w:rFonts w:ascii="Cambria"/>
          <w:spacing w:val="40"/>
        </w:rPr>
        <w:t> </w:t>
      </w:r>
      <w:r>
        <w:rPr>
          <w:rFonts w:ascii="Cambria"/>
        </w:rPr>
        <w:t>the</w:t>
      </w:r>
      <w:r>
        <w:rPr>
          <w:rFonts w:ascii="Cambria"/>
          <w:spacing w:val="40"/>
        </w:rPr>
        <w:t> </w:t>
      </w:r>
      <w:r>
        <w:rPr>
          <w:rFonts w:ascii="Cambria"/>
        </w:rPr>
        <w:t>explanatory</w:t>
      </w:r>
      <w:r>
        <w:rPr>
          <w:rFonts w:ascii="Cambria"/>
          <w:spacing w:val="40"/>
        </w:rPr>
        <w:t> </w:t>
      </w:r>
      <w:r>
        <w:rPr>
          <w:rFonts w:ascii="Cambria"/>
        </w:rPr>
        <w:t>variable</w:t>
      </w:r>
      <w:r>
        <w:rPr>
          <w:rFonts w:ascii="Cambria"/>
          <w:spacing w:val="40"/>
        </w:rPr>
        <w:t> </w:t>
      </w:r>
      <w:r>
        <w:rPr>
          <w:rFonts w:ascii="Cambria"/>
        </w:rPr>
        <w:t>can</w:t>
      </w:r>
      <w:r>
        <w:rPr>
          <w:rFonts w:ascii="Cambria"/>
          <w:spacing w:val="40"/>
        </w:rPr>
        <w:t> </w:t>
      </w:r>
      <w:r>
        <w:rPr>
          <w:rFonts w:ascii="Cambria"/>
        </w:rPr>
        <w:t>be expressed mathematically belowb as:</w:t>
      </w:r>
    </w:p>
    <w:p>
      <w:pPr>
        <w:spacing w:line="323" w:lineRule="exact" w:before="0"/>
        <w:ind w:left="711" w:right="0" w:firstLine="0"/>
        <w:jc w:val="both"/>
        <w:rPr>
          <w:rFonts w:ascii="Cambria" w:hAnsi="Cambria"/>
          <w:b/>
          <w:i/>
          <w:sz w:val="28"/>
        </w:rPr>
      </w:pPr>
      <w:r>
        <w:rPr>
          <w:rFonts w:ascii="Cambria" w:hAnsi="Cambria"/>
          <w:b/>
          <w:i/>
          <w:position w:val="2"/>
          <w:sz w:val="28"/>
        </w:rPr>
        <w:t>GDP</w:t>
      </w:r>
      <w:r>
        <w:rPr>
          <w:rFonts w:ascii="Cambria" w:hAnsi="Cambria"/>
          <w:b/>
          <w:i/>
          <w:sz w:val="18"/>
        </w:rPr>
        <w:t>PRESAP</w:t>
      </w:r>
      <w:r>
        <w:rPr>
          <w:rFonts w:ascii="Cambria" w:hAnsi="Cambria"/>
          <w:b/>
          <w:i/>
          <w:spacing w:val="56"/>
          <w:sz w:val="18"/>
        </w:rPr>
        <w:t>  </w:t>
      </w:r>
      <w:r>
        <w:rPr>
          <w:rFonts w:ascii="Cambria" w:hAnsi="Cambria"/>
          <w:b/>
          <w:i/>
          <w:position w:val="2"/>
          <w:sz w:val="28"/>
        </w:rPr>
        <w:t>=</w:t>
      </w:r>
      <w:r>
        <w:rPr>
          <w:rFonts w:ascii="Cambria" w:hAnsi="Cambria"/>
          <w:b/>
          <w:i/>
          <w:spacing w:val="34"/>
          <w:position w:val="2"/>
          <w:sz w:val="28"/>
        </w:rPr>
        <w:t>  </w:t>
      </w:r>
      <w:r>
        <w:rPr>
          <w:b/>
          <w:position w:val="2"/>
          <w:sz w:val="24"/>
        </w:rPr>
        <w:t>-2.467560</w:t>
      </w:r>
      <w:r>
        <w:rPr>
          <w:b/>
          <w:spacing w:val="37"/>
          <w:position w:val="2"/>
          <w:sz w:val="24"/>
        </w:rPr>
        <w:t>  </w:t>
      </w:r>
      <w:r>
        <w:rPr>
          <w:rFonts w:ascii="Cambria" w:hAnsi="Cambria"/>
          <w:b/>
          <w:i/>
          <w:position w:val="2"/>
          <w:sz w:val="28"/>
        </w:rPr>
        <w:t>-</w:t>
      </w:r>
      <w:r>
        <w:rPr>
          <w:rFonts w:ascii="Cambria" w:hAnsi="Cambria"/>
          <w:b/>
          <w:i/>
          <w:spacing w:val="34"/>
          <w:position w:val="2"/>
          <w:sz w:val="28"/>
        </w:rPr>
        <w:t>  </w:t>
      </w:r>
      <w:r>
        <w:rPr>
          <w:b/>
          <w:position w:val="2"/>
          <w:sz w:val="24"/>
        </w:rPr>
        <w:t>0.087317</w:t>
      </w:r>
      <w:r>
        <w:rPr>
          <w:b/>
          <w:position w:val="1"/>
          <w:sz w:val="16"/>
        </w:rPr>
        <w:t>δ</w:t>
      </w:r>
      <w:r>
        <w:rPr>
          <w:rFonts w:ascii="Cambria" w:hAnsi="Cambria"/>
          <w:b/>
          <w:i/>
          <w:sz w:val="18"/>
        </w:rPr>
        <w:t>EXTDEBT</w:t>
      </w:r>
      <w:r>
        <w:rPr>
          <w:rFonts w:ascii="Cambria" w:hAnsi="Cambria"/>
          <w:b/>
          <w:i/>
          <w:spacing w:val="55"/>
          <w:sz w:val="18"/>
        </w:rPr>
        <w:t>  </w:t>
      </w:r>
      <w:r>
        <w:rPr>
          <w:rFonts w:ascii="Cambria" w:hAnsi="Cambria"/>
          <w:b/>
          <w:i/>
          <w:position w:val="2"/>
          <w:sz w:val="28"/>
        </w:rPr>
        <w:t>+</w:t>
      </w:r>
      <w:r>
        <w:rPr>
          <w:rFonts w:ascii="Cambria" w:hAnsi="Cambria"/>
          <w:b/>
          <w:i/>
          <w:spacing w:val="35"/>
          <w:position w:val="2"/>
          <w:sz w:val="28"/>
        </w:rPr>
        <w:t>  </w:t>
      </w:r>
      <w:r>
        <w:rPr>
          <w:b/>
          <w:position w:val="2"/>
          <w:sz w:val="24"/>
        </w:rPr>
        <w:t>1.479476</w:t>
      </w:r>
      <w:r>
        <w:rPr>
          <w:rFonts w:ascii="Cambria" w:hAnsi="Cambria"/>
          <w:b/>
          <w:i/>
          <w:sz w:val="18"/>
        </w:rPr>
        <w:t>DFI</w:t>
      </w:r>
      <w:r>
        <w:rPr>
          <w:rFonts w:ascii="Cambria" w:hAnsi="Cambria"/>
          <w:b/>
          <w:i/>
          <w:spacing w:val="55"/>
          <w:sz w:val="18"/>
        </w:rPr>
        <w:t>  </w:t>
      </w:r>
      <w:r>
        <w:rPr>
          <w:rFonts w:ascii="Cambria" w:hAnsi="Cambria"/>
          <w:b/>
          <w:i/>
          <w:position w:val="2"/>
          <w:sz w:val="28"/>
        </w:rPr>
        <w:t>-</w:t>
      </w:r>
      <w:r>
        <w:rPr>
          <w:rFonts w:ascii="Cambria" w:hAnsi="Cambria"/>
          <w:b/>
          <w:i/>
          <w:spacing w:val="34"/>
          <w:position w:val="2"/>
          <w:sz w:val="28"/>
        </w:rPr>
        <w:t>  </w:t>
      </w:r>
      <w:r>
        <w:rPr>
          <w:b/>
          <w:position w:val="2"/>
          <w:sz w:val="24"/>
        </w:rPr>
        <w:t>0.001759</w:t>
      </w:r>
      <w:r>
        <w:rPr>
          <w:rFonts w:ascii="Cambria" w:hAnsi="Cambria"/>
          <w:b/>
          <w:i/>
          <w:sz w:val="18"/>
        </w:rPr>
        <w:t>CAB</w:t>
      </w:r>
      <w:r>
        <w:rPr>
          <w:rFonts w:ascii="Cambria" w:hAnsi="Cambria"/>
          <w:b/>
          <w:i/>
          <w:spacing w:val="56"/>
          <w:sz w:val="18"/>
        </w:rPr>
        <w:t>  </w:t>
      </w:r>
      <w:r>
        <w:rPr>
          <w:rFonts w:ascii="Cambria" w:hAnsi="Cambria"/>
          <w:b/>
          <w:i/>
          <w:position w:val="2"/>
          <w:sz w:val="28"/>
        </w:rPr>
        <w:t>+</w:t>
      </w:r>
      <w:r>
        <w:rPr>
          <w:rFonts w:ascii="Cambria" w:hAnsi="Cambria"/>
          <w:b/>
          <w:i/>
          <w:spacing w:val="34"/>
          <w:position w:val="2"/>
          <w:sz w:val="28"/>
        </w:rPr>
        <w:t>  </w:t>
      </w:r>
      <w:r>
        <w:rPr>
          <w:b/>
          <w:position w:val="2"/>
          <w:sz w:val="24"/>
        </w:rPr>
        <w:t>0.256220</w:t>
      </w:r>
      <w:r>
        <w:rPr>
          <w:b/>
          <w:position w:val="1"/>
          <w:sz w:val="16"/>
        </w:rPr>
        <w:t>δ</w:t>
      </w:r>
      <w:r>
        <w:rPr>
          <w:rFonts w:ascii="Cambria" w:hAnsi="Cambria"/>
          <w:b/>
          <w:i/>
          <w:sz w:val="18"/>
        </w:rPr>
        <w:t>RES</w:t>
      </w:r>
      <w:r>
        <w:rPr>
          <w:rFonts w:ascii="Cambria" w:hAnsi="Cambria"/>
          <w:b/>
          <w:i/>
          <w:spacing w:val="46"/>
          <w:sz w:val="18"/>
        </w:rPr>
        <w:t>  </w:t>
      </w:r>
      <w:r>
        <w:rPr>
          <w:rFonts w:ascii="Cambria" w:hAnsi="Cambria"/>
          <w:b/>
          <w:i/>
          <w:spacing w:val="-10"/>
          <w:position w:val="2"/>
          <w:sz w:val="28"/>
        </w:rPr>
        <w:t>_</w:t>
      </w:r>
    </w:p>
    <w:p>
      <w:pPr>
        <w:pStyle w:val="BodyText"/>
        <w:spacing w:before="48"/>
        <w:rPr>
          <w:rFonts w:ascii="Cambria"/>
          <w:b/>
          <w:i/>
        </w:rPr>
      </w:pPr>
    </w:p>
    <w:p>
      <w:pPr>
        <w:tabs>
          <w:tab w:pos="8462" w:val="left" w:leader="dot"/>
        </w:tabs>
        <w:spacing w:before="1"/>
        <w:ind w:left="711" w:right="0" w:firstLine="0"/>
        <w:jc w:val="left"/>
        <w:rPr>
          <w:rFonts w:ascii="Cambria" w:hAnsi="Cambria"/>
          <w:sz w:val="28"/>
        </w:rPr>
      </w:pPr>
      <w:r>
        <w:rPr>
          <w:rFonts w:ascii="Cambria" w:hAnsi="Cambria"/>
          <w:b/>
          <w:spacing w:val="-2"/>
          <w:position w:val="1"/>
          <w:sz w:val="28"/>
        </w:rPr>
        <w:t>0.044703</w:t>
      </w:r>
      <w:r>
        <w:rPr>
          <w:rFonts w:ascii="Cambria" w:hAnsi="Cambria"/>
          <w:spacing w:val="-2"/>
          <w:sz w:val="16"/>
        </w:rPr>
        <w:t>δNEXTAS</w:t>
      </w:r>
      <w:r>
        <w:rPr>
          <w:sz w:val="16"/>
        </w:rPr>
        <w:tab/>
      </w:r>
      <w:r>
        <w:rPr>
          <w:rFonts w:ascii="Cambria" w:hAnsi="Cambria"/>
          <w:spacing w:val="-2"/>
          <w:position w:val="1"/>
          <w:sz w:val="28"/>
        </w:rPr>
        <w:t>(4.10)</w:t>
      </w:r>
    </w:p>
    <w:p>
      <w:pPr>
        <w:pStyle w:val="BodyText"/>
        <w:spacing w:line="480" w:lineRule="auto" w:before="327"/>
        <w:ind w:left="711" w:right="465"/>
        <w:jc w:val="both"/>
      </w:pPr>
      <w:r>
        <w:rPr/>
        <w:t>The analyses from Table 4.10 show that the constant parameter, change in external debt (δ</w:t>
      </w:r>
      <w:r>
        <w:rPr>
          <w:rFonts w:ascii="Cambria" w:hAnsi="Cambria"/>
          <w:i/>
        </w:rPr>
        <w:t>EXTDEBT)</w:t>
      </w:r>
      <w:r>
        <w:rPr/>
        <w:t>, current account balance</w:t>
      </w:r>
      <w:r>
        <w:rPr>
          <w:spacing w:val="-1"/>
        </w:rPr>
        <w:t> </w:t>
      </w:r>
      <w:r>
        <w:rPr/>
        <w:t>(CAB) and net foreign asset of</w:t>
      </w:r>
      <w:r>
        <w:rPr>
          <w:spacing w:val="-1"/>
        </w:rPr>
        <w:t> </w:t>
      </w:r>
      <w:r>
        <w:rPr/>
        <w:t>domestic</w:t>
      </w:r>
      <w:r>
        <w:rPr>
          <w:spacing w:val="-1"/>
        </w:rPr>
        <w:t> </w:t>
      </w:r>
      <w:r>
        <w:rPr/>
        <w:t>banks (</w:t>
      </w:r>
      <w:r>
        <w:rPr>
          <w:rFonts w:ascii="Cambria" w:hAnsi="Cambria"/>
        </w:rPr>
        <w:t>δNEXTAS) </w:t>
      </w:r>
      <w:r>
        <w:rPr/>
        <w:t>are</w:t>
      </w:r>
      <w:r>
        <w:rPr>
          <w:spacing w:val="-2"/>
        </w:rPr>
        <w:t> </w:t>
      </w:r>
      <w:r>
        <w:rPr/>
        <w:t>negatively</w:t>
      </w:r>
      <w:r>
        <w:rPr>
          <w:spacing w:val="-5"/>
        </w:rPr>
        <w:t> </w:t>
      </w:r>
      <w:r>
        <w:rPr/>
        <w:t>related to the</w:t>
      </w:r>
      <w:r>
        <w:rPr>
          <w:spacing w:val="-2"/>
        </w:rPr>
        <w:t> </w:t>
      </w:r>
      <w:r>
        <w:rPr/>
        <w:t>dependent</w:t>
      </w:r>
      <w:r>
        <w:rPr>
          <w:spacing w:val="-2"/>
        </w:rPr>
        <w:t> </w:t>
      </w:r>
      <w:r>
        <w:rPr/>
        <w:t>variable</w:t>
      </w:r>
      <w:r>
        <w:rPr>
          <w:spacing w:val="-2"/>
        </w:rPr>
        <w:t> </w:t>
      </w:r>
      <w:r>
        <w:rPr/>
        <w:t>while</w:t>
      </w:r>
      <w:r>
        <w:rPr>
          <w:spacing w:val="-3"/>
        </w:rPr>
        <w:t> </w:t>
      </w:r>
      <w:r>
        <w:rPr/>
        <w:t>the</w:t>
      </w:r>
      <w:r>
        <w:rPr>
          <w:spacing w:val="-2"/>
        </w:rPr>
        <w:t> </w:t>
      </w:r>
      <w:r>
        <w:rPr/>
        <w:t>direct</w:t>
      </w:r>
      <w:r>
        <w:rPr>
          <w:spacing w:val="-2"/>
        </w:rPr>
        <w:t> </w:t>
      </w:r>
      <w:r>
        <w:rPr/>
        <w:t>foreign investment</w:t>
      </w:r>
      <w:r>
        <w:rPr>
          <w:spacing w:val="-2"/>
        </w:rPr>
        <w:t> </w:t>
      </w:r>
      <w:r>
        <w:rPr/>
        <w:t>(DFI)</w:t>
      </w:r>
      <w:r>
        <w:rPr>
          <w:spacing w:val="-1"/>
        </w:rPr>
        <w:t> </w:t>
      </w:r>
      <w:r>
        <w:rPr/>
        <w:t>and</w:t>
      </w:r>
      <w:r>
        <w:rPr>
          <w:spacing w:val="-2"/>
        </w:rPr>
        <w:t> </w:t>
      </w:r>
      <w:r>
        <w:rPr/>
        <w:t>change</w:t>
      </w:r>
      <w:r>
        <w:rPr>
          <w:spacing w:val="-3"/>
        </w:rPr>
        <w:t> </w:t>
      </w:r>
      <w:r>
        <w:rPr/>
        <w:t>in</w:t>
      </w:r>
      <w:r>
        <w:rPr>
          <w:spacing w:val="-2"/>
        </w:rPr>
        <w:t> </w:t>
      </w:r>
      <w:r>
        <w:rPr/>
        <w:t>reserve</w:t>
      </w:r>
      <w:r>
        <w:rPr>
          <w:spacing w:val="-2"/>
        </w:rPr>
        <w:t> </w:t>
      </w:r>
      <w:r>
        <w:rPr/>
        <w:t>(δ</w:t>
      </w:r>
      <w:r>
        <w:rPr>
          <w:rFonts w:ascii="Cambria" w:hAnsi="Cambria"/>
          <w:i/>
        </w:rPr>
        <w:t>RES</w:t>
      </w:r>
      <w:r>
        <w:rPr/>
        <w:t>)</w:t>
      </w:r>
      <w:r>
        <w:rPr>
          <w:spacing w:val="-2"/>
        </w:rPr>
        <w:t> </w:t>
      </w:r>
      <w:r>
        <w:rPr/>
        <w:t>are</w:t>
      </w:r>
      <w:r>
        <w:rPr>
          <w:spacing w:val="-3"/>
        </w:rPr>
        <w:t> </w:t>
      </w:r>
      <w:r>
        <w:rPr/>
        <w:t>positively related to the dependent variable (Gross Domestic Product). All the explanatory variables exccept the</w:t>
      </w:r>
      <w:r>
        <w:rPr>
          <w:spacing w:val="40"/>
        </w:rPr>
        <w:t> </w:t>
      </w:r>
      <w:r>
        <w:rPr/>
        <w:t>current account balance (CAB) and net foreign asset of domestic banks (</w:t>
      </w:r>
      <w:r>
        <w:rPr>
          <w:rFonts w:ascii="Cambria" w:hAnsi="Cambria"/>
        </w:rPr>
        <w:t>δNEXTAS) </w:t>
      </w:r>
      <w:r>
        <w:rPr/>
        <w:t>are statistically significant in explaining the behaviour of the dependent variable (GDP) in the short run in conformity with the expected results.</w:t>
      </w:r>
    </w:p>
    <w:p>
      <w:pPr>
        <w:pStyle w:val="BodyText"/>
        <w:spacing w:before="1"/>
        <w:ind w:left="711"/>
        <w:rPr>
          <w:rFonts w:ascii="Cambria"/>
          <w:i/>
          <w:sz w:val="28"/>
        </w:rPr>
      </w:pPr>
      <w:r>
        <w:rPr>
          <w:rFonts w:ascii="Cambria"/>
        </w:rPr>
        <w:t>The</w:t>
      </w:r>
      <w:r>
        <w:rPr>
          <w:rFonts w:ascii="Cambria"/>
          <w:spacing w:val="14"/>
        </w:rPr>
        <w:t> </w:t>
      </w:r>
      <w:r>
        <w:rPr>
          <w:rFonts w:ascii="Cambria"/>
        </w:rPr>
        <w:t>result</w:t>
      </w:r>
      <w:r>
        <w:rPr>
          <w:rFonts w:ascii="Cambria"/>
          <w:spacing w:val="14"/>
        </w:rPr>
        <w:t> </w:t>
      </w:r>
      <w:r>
        <w:rPr>
          <w:rFonts w:ascii="Cambria"/>
        </w:rPr>
        <w:t>shows</w:t>
      </w:r>
      <w:r>
        <w:rPr>
          <w:rFonts w:ascii="Cambria"/>
          <w:spacing w:val="13"/>
        </w:rPr>
        <w:t> </w:t>
      </w:r>
      <w:r>
        <w:rPr>
          <w:rFonts w:ascii="Cambria"/>
        </w:rPr>
        <w:t>that</w:t>
      </w:r>
      <w:r>
        <w:rPr>
          <w:rFonts w:ascii="Cambria"/>
          <w:spacing w:val="17"/>
        </w:rPr>
        <w:t> </w:t>
      </w:r>
      <w:r>
        <w:rPr>
          <w:rFonts w:ascii="Cambria"/>
        </w:rPr>
        <w:t>a</w:t>
      </w:r>
      <w:r>
        <w:rPr>
          <w:rFonts w:ascii="Cambria"/>
          <w:spacing w:val="14"/>
        </w:rPr>
        <w:t> </w:t>
      </w:r>
      <w:r>
        <w:rPr>
          <w:rFonts w:ascii="Cambria"/>
        </w:rPr>
        <w:t>unit</w:t>
      </w:r>
      <w:r>
        <w:rPr>
          <w:rFonts w:ascii="Cambria"/>
          <w:spacing w:val="14"/>
        </w:rPr>
        <w:t> </w:t>
      </w:r>
      <w:r>
        <w:rPr>
          <w:rFonts w:ascii="Cambria"/>
        </w:rPr>
        <w:t>change</w:t>
      </w:r>
      <w:r>
        <w:rPr>
          <w:rFonts w:ascii="Cambria"/>
          <w:spacing w:val="15"/>
        </w:rPr>
        <w:t> </w:t>
      </w:r>
      <w:r>
        <w:rPr>
          <w:rFonts w:ascii="Cambria"/>
        </w:rPr>
        <w:t>in</w:t>
      </w:r>
      <w:r>
        <w:rPr>
          <w:rFonts w:ascii="Cambria"/>
          <w:spacing w:val="15"/>
        </w:rPr>
        <w:t> </w:t>
      </w:r>
      <w:r>
        <w:rPr>
          <w:rFonts w:ascii="Cambria"/>
        </w:rPr>
        <w:t>the</w:t>
      </w:r>
      <w:r>
        <w:rPr>
          <w:rFonts w:ascii="Cambria"/>
          <w:spacing w:val="14"/>
        </w:rPr>
        <w:t> </w:t>
      </w:r>
      <w:r>
        <w:rPr>
          <w:rFonts w:ascii="Cambria"/>
        </w:rPr>
        <w:t>constant</w:t>
      </w:r>
      <w:r>
        <w:rPr>
          <w:rFonts w:ascii="Cambria"/>
          <w:spacing w:val="16"/>
        </w:rPr>
        <w:t> </w:t>
      </w:r>
      <w:r>
        <w:rPr>
          <w:rFonts w:ascii="Cambria"/>
        </w:rPr>
        <w:t>parameter</w:t>
      </w:r>
      <w:r>
        <w:rPr>
          <w:rFonts w:ascii="Cambria"/>
          <w:spacing w:val="14"/>
        </w:rPr>
        <w:t> </w:t>
      </w:r>
      <w:r>
        <w:rPr>
          <w:rFonts w:ascii="Cambria"/>
        </w:rPr>
        <w:t>will</w:t>
      </w:r>
      <w:r>
        <w:rPr>
          <w:rFonts w:ascii="Cambria"/>
          <w:spacing w:val="14"/>
        </w:rPr>
        <w:t> </w:t>
      </w:r>
      <w:r>
        <w:rPr>
          <w:rFonts w:ascii="Cambria"/>
        </w:rPr>
        <w:t>lead</w:t>
      </w:r>
      <w:r>
        <w:rPr>
          <w:rFonts w:ascii="Cambria"/>
          <w:spacing w:val="13"/>
        </w:rPr>
        <w:t> </w:t>
      </w:r>
      <w:r>
        <w:rPr>
          <w:rFonts w:ascii="Cambria"/>
        </w:rPr>
        <w:t>to</w:t>
      </w:r>
      <w:r>
        <w:rPr>
          <w:rFonts w:ascii="Cambria"/>
          <w:spacing w:val="13"/>
        </w:rPr>
        <w:t> </w:t>
      </w:r>
      <w:r>
        <w:rPr>
          <w:rFonts w:ascii="Cambria"/>
        </w:rPr>
        <w:t>a</w:t>
      </w:r>
      <w:r>
        <w:rPr>
          <w:rFonts w:ascii="Cambria"/>
          <w:spacing w:val="14"/>
        </w:rPr>
        <w:t> </w:t>
      </w:r>
      <w:r>
        <w:rPr>
          <w:rFonts w:ascii="Cambria"/>
        </w:rPr>
        <w:t>decrease</w:t>
      </w:r>
      <w:r>
        <w:rPr>
          <w:rFonts w:ascii="Cambria"/>
          <w:spacing w:val="15"/>
        </w:rPr>
        <w:t> </w:t>
      </w:r>
      <w:r>
        <w:rPr>
          <w:rFonts w:ascii="Cambria"/>
        </w:rPr>
        <w:t>of</w:t>
      </w:r>
      <w:r>
        <w:rPr>
          <w:rFonts w:ascii="Cambria"/>
          <w:spacing w:val="15"/>
        </w:rPr>
        <w:t> </w:t>
      </w:r>
      <w:r>
        <w:rPr/>
        <w:t>2.574726</w:t>
      </w:r>
      <w:r>
        <w:rPr>
          <w:spacing w:val="17"/>
        </w:rPr>
        <w:t> </w:t>
      </w:r>
      <w:r>
        <w:rPr>
          <w:rFonts w:ascii="Cambria"/>
          <w:i/>
          <w:spacing w:val="-5"/>
          <w:sz w:val="28"/>
        </w:rPr>
        <w:t>in</w:t>
      </w:r>
    </w:p>
    <w:p>
      <w:pPr>
        <w:pStyle w:val="BodyText"/>
        <w:spacing w:before="48"/>
        <w:rPr>
          <w:rFonts w:ascii="Cambria"/>
          <w:i/>
        </w:rPr>
      </w:pPr>
    </w:p>
    <w:p>
      <w:pPr>
        <w:pStyle w:val="BodyText"/>
        <w:ind w:left="711"/>
        <w:rPr>
          <w:rFonts w:ascii="Cambria"/>
        </w:rPr>
      </w:pPr>
      <w:r>
        <w:rPr>
          <w:rFonts w:ascii="Cambria"/>
          <w:i/>
          <w:sz w:val="28"/>
        </w:rPr>
        <w:t>G</w:t>
      </w:r>
      <w:r>
        <w:rPr>
          <w:rFonts w:ascii="Cambria"/>
        </w:rPr>
        <w:t>ross</w:t>
      </w:r>
      <w:r>
        <w:rPr>
          <w:rFonts w:ascii="Cambria"/>
          <w:spacing w:val="34"/>
        </w:rPr>
        <w:t> </w:t>
      </w:r>
      <w:r>
        <w:rPr>
          <w:rFonts w:ascii="Cambria"/>
        </w:rPr>
        <w:t>domestic</w:t>
      </w:r>
      <w:r>
        <w:rPr>
          <w:rFonts w:ascii="Cambria"/>
          <w:spacing w:val="34"/>
        </w:rPr>
        <w:t> </w:t>
      </w:r>
      <w:r>
        <w:rPr>
          <w:rFonts w:ascii="Cambria"/>
        </w:rPr>
        <w:t>products.</w:t>
      </w:r>
      <w:r>
        <w:rPr>
          <w:rFonts w:ascii="Cambria"/>
          <w:spacing w:val="37"/>
        </w:rPr>
        <w:t>  </w:t>
      </w:r>
      <w:r>
        <w:rPr>
          <w:rFonts w:ascii="Cambria"/>
        </w:rPr>
        <w:t>The</w:t>
      </w:r>
      <w:r>
        <w:rPr>
          <w:rFonts w:ascii="Cambria"/>
          <w:spacing w:val="36"/>
        </w:rPr>
        <w:t> </w:t>
      </w:r>
      <w:r>
        <w:rPr>
          <w:rFonts w:ascii="Cambria"/>
        </w:rPr>
        <w:t>result</w:t>
      </w:r>
      <w:r>
        <w:rPr>
          <w:rFonts w:ascii="Cambria"/>
          <w:spacing w:val="34"/>
        </w:rPr>
        <w:t> </w:t>
      </w:r>
      <w:r>
        <w:rPr>
          <w:rFonts w:ascii="Cambria"/>
        </w:rPr>
        <w:t>also</w:t>
      </w:r>
      <w:r>
        <w:rPr>
          <w:rFonts w:ascii="Cambria"/>
          <w:spacing w:val="35"/>
        </w:rPr>
        <w:t> </w:t>
      </w:r>
      <w:r>
        <w:rPr>
          <w:rFonts w:ascii="Cambria"/>
        </w:rPr>
        <w:t>reveals</w:t>
      </w:r>
      <w:r>
        <w:rPr>
          <w:rFonts w:ascii="Cambria"/>
          <w:spacing w:val="34"/>
        </w:rPr>
        <w:t> </w:t>
      </w:r>
      <w:r>
        <w:rPr>
          <w:rFonts w:ascii="Cambria"/>
        </w:rPr>
        <w:t>that</w:t>
      </w:r>
      <w:r>
        <w:rPr>
          <w:rFonts w:ascii="Cambria"/>
          <w:spacing w:val="34"/>
        </w:rPr>
        <w:t> </w:t>
      </w:r>
      <w:r>
        <w:rPr>
          <w:rFonts w:ascii="Cambria"/>
        </w:rPr>
        <w:t>an</w:t>
      </w:r>
      <w:r>
        <w:rPr>
          <w:rFonts w:ascii="Cambria"/>
          <w:spacing w:val="35"/>
        </w:rPr>
        <w:t> </w:t>
      </w:r>
      <w:r>
        <w:rPr>
          <w:rFonts w:ascii="Cambria"/>
        </w:rPr>
        <w:t>increase</w:t>
      </w:r>
      <w:r>
        <w:rPr>
          <w:rFonts w:ascii="Cambria"/>
          <w:spacing w:val="32"/>
        </w:rPr>
        <w:t> </w:t>
      </w:r>
      <w:r>
        <w:rPr>
          <w:rFonts w:ascii="Cambria"/>
        </w:rPr>
        <w:t>in</w:t>
      </w:r>
      <w:r>
        <w:rPr>
          <w:rFonts w:ascii="Cambria"/>
          <w:spacing w:val="35"/>
        </w:rPr>
        <w:t> </w:t>
      </w:r>
      <w:r>
        <w:rPr>
          <w:rFonts w:ascii="Cambria"/>
        </w:rPr>
        <w:t>change</w:t>
      </w:r>
      <w:r>
        <w:rPr>
          <w:rFonts w:ascii="Cambria"/>
          <w:spacing w:val="34"/>
        </w:rPr>
        <w:t> </w:t>
      </w:r>
      <w:r>
        <w:rPr>
          <w:rFonts w:ascii="Cambria"/>
        </w:rPr>
        <w:t>in</w:t>
      </w:r>
      <w:r>
        <w:rPr>
          <w:rFonts w:ascii="Cambria"/>
          <w:spacing w:val="35"/>
        </w:rPr>
        <w:t> </w:t>
      </w:r>
      <w:r>
        <w:rPr>
          <w:rFonts w:ascii="Cambria"/>
        </w:rPr>
        <w:t>external</w:t>
      </w:r>
      <w:r>
        <w:rPr>
          <w:rFonts w:ascii="Cambria"/>
          <w:spacing w:val="33"/>
        </w:rPr>
        <w:t> </w:t>
      </w:r>
      <w:r>
        <w:rPr>
          <w:rFonts w:ascii="Cambria"/>
        </w:rPr>
        <w:t>debt</w:t>
      </w:r>
      <w:r>
        <w:rPr>
          <w:rFonts w:ascii="Cambria"/>
          <w:spacing w:val="35"/>
        </w:rPr>
        <w:t> </w:t>
      </w:r>
      <w:r>
        <w:rPr>
          <w:rFonts w:ascii="Cambria"/>
          <w:spacing w:val="-4"/>
        </w:rPr>
        <w:t>will</w:t>
      </w:r>
    </w:p>
    <w:p>
      <w:pPr>
        <w:spacing w:after="0"/>
        <w:rPr>
          <w:rFonts w:ascii="Cambria"/>
        </w:rPr>
        <w:sectPr>
          <w:pgSz w:w="11910" w:h="16840"/>
          <w:pgMar w:header="0" w:footer="979" w:top="1360" w:bottom="1200" w:left="280" w:right="0"/>
        </w:sectPr>
      </w:pPr>
    </w:p>
    <w:p>
      <w:pPr>
        <w:pStyle w:val="BodyText"/>
        <w:spacing w:line="480" w:lineRule="auto" w:before="81"/>
        <w:ind w:left="711" w:right="471"/>
        <w:jc w:val="both"/>
        <w:rPr>
          <w:rFonts w:ascii="Cambria" w:hAnsi="Cambria"/>
        </w:rPr>
      </w:pPr>
      <w:r>
        <w:rPr>
          <w:rFonts w:ascii="Cambria" w:hAnsi="Cambria"/>
        </w:rPr>
        <w:t>reduce the level of capital flight while increase in DFI will brought about increase in GDP and vice versa. Increase in current account balance (CAB) and </w:t>
      </w:r>
      <w:r>
        <w:rPr/>
        <w:t>net foreign asset of domestic banks (</w:t>
      </w:r>
      <w:r>
        <w:rPr>
          <w:rFonts w:ascii="Cambria" w:hAnsi="Cambria"/>
        </w:rPr>
        <w:t>δNEXTAS)</w:t>
      </w:r>
      <w:r>
        <w:rPr>
          <w:rFonts w:ascii="Cambria" w:hAnsi="Cambria"/>
          <w:spacing w:val="40"/>
        </w:rPr>
        <w:t> </w:t>
      </w:r>
      <w:r>
        <w:rPr>
          <w:rFonts w:ascii="Cambria" w:hAnsi="Cambria"/>
        </w:rPr>
        <w:t>will lead to reductuion in GDP while a change in external reserves will lead to increase level of Gross Domestic Product.</w:t>
      </w:r>
    </w:p>
    <w:p>
      <w:pPr>
        <w:pStyle w:val="BodyText"/>
        <w:spacing w:line="480" w:lineRule="auto" w:before="1"/>
        <w:ind w:left="711" w:right="472"/>
        <w:jc w:val="both"/>
        <w:rPr>
          <w:rFonts w:ascii="Cambria"/>
        </w:rPr>
      </w:pPr>
      <w:r>
        <w:rPr>
          <w:rFonts w:ascii="Cambria"/>
        </w:rPr>
        <w:t>The Adjusted R</w:t>
      </w:r>
      <w:r>
        <w:rPr>
          <w:rFonts w:ascii="Cambria"/>
          <w:position w:val="6"/>
          <w:sz w:val="16"/>
        </w:rPr>
        <w:t>2 </w:t>
      </w:r>
      <w:r>
        <w:rPr>
          <w:rFonts w:ascii="Cambria"/>
        </w:rPr>
        <w:t>of </w:t>
      </w:r>
      <w:r>
        <w:rPr/>
        <w:t>0.977163 reveals that about 98% of the behaviour of Gross Domestic Product is explained by the independent variables. This was </w:t>
      </w:r>
      <w:r>
        <w:rPr>
          <w:rFonts w:ascii="Cambria"/>
        </w:rPr>
        <w:t>further proved with the adjusted value of 0.965744 </w:t>
      </w:r>
      <w:r>
        <w:rPr>
          <w:sz w:val="20"/>
        </w:rPr>
        <w:t>which </w:t>
      </w:r>
      <w:r>
        <w:rPr>
          <w:rFonts w:ascii="Cambria"/>
        </w:rPr>
        <w:t>implies that 97% explanation of the behaviour of gross domestic product by the totality of the explanatory variables.</w:t>
      </w:r>
    </w:p>
    <w:p>
      <w:pPr>
        <w:spacing w:line="480" w:lineRule="auto" w:before="0"/>
        <w:ind w:left="711" w:right="473" w:firstLine="0"/>
        <w:jc w:val="both"/>
        <w:rPr>
          <w:sz w:val="24"/>
        </w:rPr>
      </w:pPr>
      <w:r>
        <w:rPr>
          <w:b/>
          <w:sz w:val="24"/>
        </w:rPr>
        <w:t>Validation and testing of hypotheses</w:t>
      </w:r>
      <w:r>
        <w:rPr>
          <w:sz w:val="24"/>
        </w:rPr>
        <w:t>: Hypothesis 2 was tested under model 5 wich examine the effect of capital flight on economic growth during the Pre-SAP period.</w:t>
      </w:r>
    </w:p>
    <w:p>
      <w:pPr>
        <w:pStyle w:val="BodyText"/>
        <w:ind w:left="711"/>
        <w:jc w:val="both"/>
      </w:pPr>
      <w:r>
        <w:rPr/>
        <w:t>The</w:t>
      </w:r>
      <w:r>
        <w:rPr>
          <w:spacing w:val="-3"/>
        </w:rPr>
        <w:t> </w:t>
      </w:r>
      <w:r>
        <w:rPr/>
        <w:t>hypothesis is re-stated</w:t>
      </w:r>
      <w:r>
        <w:rPr>
          <w:spacing w:val="-1"/>
        </w:rPr>
        <w:t> </w:t>
      </w:r>
      <w:r>
        <w:rPr/>
        <w:t>in</w:t>
      </w:r>
      <w:r>
        <w:rPr>
          <w:spacing w:val="1"/>
        </w:rPr>
        <w:t> </w:t>
      </w:r>
      <w:r>
        <w:rPr/>
        <w:t>the null</w:t>
      </w:r>
      <w:r>
        <w:rPr>
          <w:spacing w:val="-1"/>
        </w:rPr>
        <w:t> </w:t>
      </w:r>
      <w:r>
        <w:rPr/>
        <w:t>form as </w:t>
      </w:r>
      <w:r>
        <w:rPr>
          <w:spacing w:val="-2"/>
        </w:rPr>
        <w:t>follows;</w:t>
      </w:r>
    </w:p>
    <w:p>
      <w:pPr>
        <w:pStyle w:val="BodyText"/>
      </w:pPr>
    </w:p>
    <w:p>
      <w:pPr>
        <w:pStyle w:val="Heading6"/>
        <w:rPr>
          <w:b w:val="0"/>
        </w:rPr>
      </w:pPr>
      <w:r>
        <w:rPr>
          <w:position w:val="1"/>
        </w:rPr>
        <w:t>H</w:t>
      </w:r>
      <w:r>
        <w:rPr>
          <w:sz w:val="16"/>
        </w:rPr>
        <w:t>02</w:t>
      </w:r>
      <w:r>
        <w:rPr>
          <w:position w:val="1"/>
        </w:rPr>
        <w:t>:</w:t>
      </w:r>
      <w:r>
        <w:rPr>
          <w:spacing w:val="55"/>
          <w:position w:val="1"/>
        </w:rPr>
        <w:t>  </w:t>
      </w:r>
      <w:r>
        <w:rPr>
          <w:position w:val="1"/>
        </w:rPr>
        <w:t>Capital</w:t>
      </w:r>
      <w:r>
        <w:rPr>
          <w:spacing w:val="-1"/>
          <w:position w:val="1"/>
        </w:rPr>
        <w:t> </w:t>
      </w:r>
      <w:r>
        <w:rPr>
          <w:position w:val="1"/>
        </w:rPr>
        <w:t>flight</w:t>
      </w:r>
      <w:r>
        <w:rPr>
          <w:spacing w:val="-1"/>
          <w:position w:val="1"/>
        </w:rPr>
        <w:t> </w:t>
      </w:r>
      <w:r>
        <w:rPr>
          <w:position w:val="1"/>
        </w:rPr>
        <w:t>has</w:t>
      </w:r>
      <w:r>
        <w:rPr>
          <w:spacing w:val="-3"/>
          <w:position w:val="1"/>
        </w:rPr>
        <w:t> </w:t>
      </w:r>
      <w:r>
        <w:rPr>
          <w:position w:val="1"/>
        </w:rPr>
        <w:t>no</w:t>
      </w:r>
      <w:r>
        <w:rPr>
          <w:spacing w:val="-2"/>
          <w:position w:val="1"/>
        </w:rPr>
        <w:t> </w:t>
      </w:r>
      <w:r>
        <w:rPr>
          <w:position w:val="1"/>
        </w:rPr>
        <w:t>significant</w:t>
      </w:r>
      <w:r>
        <w:rPr>
          <w:spacing w:val="-1"/>
          <w:position w:val="1"/>
        </w:rPr>
        <w:t> </w:t>
      </w:r>
      <w:r>
        <w:rPr>
          <w:position w:val="1"/>
        </w:rPr>
        <w:t>effect</w:t>
      </w:r>
      <w:r>
        <w:rPr>
          <w:spacing w:val="-1"/>
          <w:position w:val="1"/>
        </w:rPr>
        <w:t> </w:t>
      </w:r>
      <w:r>
        <w:rPr>
          <w:position w:val="1"/>
        </w:rPr>
        <w:t>on the</w:t>
      </w:r>
      <w:r>
        <w:rPr>
          <w:spacing w:val="-2"/>
          <w:position w:val="1"/>
        </w:rPr>
        <w:t> </w:t>
      </w:r>
      <w:r>
        <w:rPr>
          <w:position w:val="1"/>
        </w:rPr>
        <w:t>Nigeria’s</w:t>
      </w:r>
      <w:r>
        <w:rPr>
          <w:spacing w:val="1"/>
          <w:position w:val="1"/>
        </w:rPr>
        <w:t> </w:t>
      </w:r>
      <w:r>
        <w:rPr>
          <w:position w:val="1"/>
        </w:rPr>
        <w:t>economic</w:t>
      </w:r>
      <w:r>
        <w:rPr>
          <w:spacing w:val="1"/>
          <w:position w:val="1"/>
        </w:rPr>
        <w:t> </w:t>
      </w:r>
      <w:r>
        <w:rPr>
          <w:spacing w:val="-2"/>
          <w:position w:val="1"/>
        </w:rPr>
        <w:t>growth</w:t>
      </w:r>
      <w:r>
        <w:rPr>
          <w:b w:val="0"/>
          <w:spacing w:val="-2"/>
          <w:position w:val="1"/>
        </w:rPr>
        <w:t>.</w:t>
      </w:r>
    </w:p>
    <w:p>
      <w:pPr>
        <w:pStyle w:val="BodyText"/>
      </w:pPr>
    </w:p>
    <w:p>
      <w:pPr>
        <w:pStyle w:val="BodyText"/>
        <w:spacing w:line="480" w:lineRule="auto"/>
        <w:ind w:left="711" w:right="471"/>
        <w:jc w:val="both"/>
      </w:pPr>
      <w:r>
        <w:rPr/>
        <w:t>The probability values from table 4.10 show that the alternative hypothesis is accepted for all the variables with the exception of current account balance (CAB) and net foreign asset of domestic banks (</w:t>
      </w:r>
      <w:r>
        <w:rPr>
          <w:rFonts w:ascii="Cambria" w:hAnsi="Cambria"/>
        </w:rPr>
        <w:t>δNEXTAS) </w:t>
      </w:r>
      <w:r>
        <w:rPr/>
        <w:t>because they are all significant in explaining the behaviour of the dependent variable as shown in the probability</w:t>
      </w:r>
      <w:r>
        <w:rPr>
          <w:spacing w:val="-3"/>
        </w:rPr>
        <w:t> </w:t>
      </w:r>
      <w:r>
        <w:rPr/>
        <w:t>values.</w:t>
      </w:r>
      <w:r>
        <w:rPr>
          <w:spacing w:val="40"/>
        </w:rPr>
        <w:t> </w:t>
      </w:r>
      <w:r>
        <w:rPr/>
        <w:t>Thus, the alternative hypothesis is accepted for </w:t>
      </w:r>
      <w:r>
        <w:rPr>
          <w:rFonts w:ascii="Cambria" w:hAnsi="Cambria"/>
        </w:rPr>
        <w:t>Change in External Debt (δEXTDEBT), </w:t>
      </w:r>
      <w:r>
        <w:rPr/>
        <w:t>direct foreign investment (DFI) and change in reserve (δ</w:t>
      </w:r>
      <w:r>
        <w:rPr>
          <w:rFonts w:ascii="Cambria" w:hAnsi="Cambria"/>
          <w:i/>
        </w:rPr>
        <w:t>RES</w:t>
      </w:r>
      <w:r>
        <w:rPr/>
        <w:t>) while the null hypothesis is accepted for the current account balance (CAB) net foreign asset of domestic banks (</w:t>
      </w:r>
      <w:r>
        <w:rPr>
          <w:rFonts w:ascii="Cambria" w:hAnsi="Cambria"/>
        </w:rPr>
        <w:t>δNEXTAS)</w:t>
      </w:r>
      <w:r>
        <w:rPr/>
        <w:t>.</w:t>
      </w:r>
    </w:p>
    <w:p>
      <w:pPr>
        <w:spacing w:after="0" w:line="480" w:lineRule="auto"/>
        <w:jc w:val="both"/>
        <w:sectPr>
          <w:pgSz w:w="11910" w:h="16840"/>
          <w:pgMar w:header="0" w:footer="979" w:top="1340" w:bottom="1240" w:left="280" w:right="0"/>
        </w:sectPr>
      </w:pPr>
    </w:p>
    <w:p>
      <w:pPr>
        <w:pStyle w:val="Heading2"/>
        <w:spacing w:line="360" w:lineRule="auto" w:before="62"/>
        <w:ind w:right="473"/>
      </w:pPr>
      <w:r>
        <w:rPr/>
        <w:t>Table 4.11 Presentation and Interpretation of Post-SAP Short run Results for Model 6A</w:t>
      </w:r>
      <w:r>
        <w:rPr>
          <w:spacing w:val="80"/>
          <w:w w:val="150"/>
        </w:rPr>
        <w:t> </w:t>
      </w:r>
      <w:r>
        <w:rPr/>
        <w:t>(World Bank &amp; Erbe 1985 approach)</w:t>
      </w:r>
    </w:p>
    <w:p>
      <w:pPr>
        <w:spacing w:line="206" w:lineRule="exact" w:before="0"/>
        <w:ind w:left="780" w:right="0" w:firstLine="0"/>
        <w:jc w:val="both"/>
        <w:rPr>
          <w:b/>
          <w:sz w:val="18"/>
        </w:rPr>
      </w:pPr>
      <w:r>
        <w:rPr>
          <w:b/>
          <w:sz w:val="18"/>
        </w:rPr>
        <w:t>DEPENDENT VARIABLE</w:t>
      </w:r>
      <w:r>
        <w:rPr>
          <w:b/>
          <w:spacing w:val="-1"/>
          <w:sz w:val="18"/>
        </w:rPr>
        <w:t> </w:t>
      </w:r>
      <w:r>
        <w:rPr>
          <w:b/>
          <w:sz w:val="18"/>
        </w:rPr>
        <w:t>=</w:t>
      </w:r>
      <w:r>
        <w:rPr>
          <w:b/>
          <w:spacing w:val="1"/>
          <w:sz w:val="18"/>
        </w:rPr>
        <w:t> </w:t>
      </w:r>
      <w:r>
        <w:rPr>
          <w:b/>
          <w:spacing w:val="-5"/>
          <w:sz w:val="18"/>
        </w:rPr>
        <w:t>GDP</w:t>
      </w:r>
    </w:p>
    <w:p>
      <w:pPr>
        <w:pStyle w:val="BodyText"/>
        <w:spacing w:before="1"/>
        <w:rPr>
          <w:b/>
          <w:sz w:val="9"/>
        </w:rPr>
      </w:pPr>
    </w:p>
    <w:tbl>
      <w:tblPr>
        <w:tblW w:w="0" w:type="auto"/>
        <w:jc w:val="left"/>
        <w:tblInd w:w="8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04"/>
        <w:gridCol w:w="1868"/>
        <w:gridCol w:w="1923"/>
        <w:gridCol w:w="1758"/>
        <w:gridCol w:w="1520"/>
      </w:tblGrid>
      <w:tr>
        <w:trPr>
          <w:trHeight w:val="1125" w:hRule="atLeast"/>
        </w:trPr>
        <w:tc>
          <w:tcPr>
            <w:tcW w:w="2204" w:type="dxa"/>
          </w:tcPr>
          <w:p>
            <w:pPr>
              <w:pStyle w:val="TableParagraph"/>
              <w:spacing w:line="281" w:lineRule="exact"/>
              <w:ind w:left="105"/>
              <w:rPr>
                <w:rFonts w:ascii="Cambria"/>
                <w:b/>
                <w:sz w:val="24"/>
              </w:rPr>
            </w:pPr>
            <w:r>
              <w:rPr>
                <w:rFonts w:ascii="Cambria"/>
                <w:b/>
                <w:spacing w:val="-2"/>
                <w:sz w:val="24"/>
              </w:rPr>
              <w:t>INDEPENDENT</w:t>
            </w:r>
          </w:p>
          <w:p>
            <w:pPr>
              <w:pStyle w:val="TableParagraph"/>
              <w:spacing w:before="4"/>
              <w:rPr>
                <w:b/>
                <w:sz w:val="24"/>
              </w:rPr>
            </w:pPr>
          </w:p>
          <w:p>
            <w:pPr>
              <w:pStyle w:val="TableParagraph"/>
              <w:ind w:left="105"/>
              <w:rPr>
                <w:rFonts w:ascii="Cambria"/>
                <w:b/>
                <w:sz w:val="24"/>
              </w:rPr>
            </w:pPr>
            <w:r>
              <w:rPr>
                <w:rFonts w:ascii="Cambria"/>
                <w:b/>
                <w:spacing w:val="-2"/>
                <w:sz w:val="24"/>
              </w:rPr>
              <w:t>VARIABLE</w:t>
            </w:r>
          </w:p>
        </w:tc>
        <w:tc>
          <w:tcPr>
            <w:tcW w:w="1868" w:type="dxa"/>
          </w:tcPr>
          <w:p>
            <w:pPr>
              <w:pStyle w:val="TableParagraph"/>
              <w:spacing w:line="281" w:lineRule="exact"/>
              <w:ind w:left="107"/>
              <w:rPr>
                <w:rFonts w:ascii="Cambria"/>
                <w:b/>
                <w:sz w:val="24"/>
              </w:rPr>
            </w:pPr>
            <w:r>
              <w:rPr>
                <w:rFonts w:ascii="Cambria"/>
                <w:b/>
                <w:spacing w:val="-2"/>
                <w:sz w:val="24"/>
              </w:rPr>
              <w:t>COEFFICIENT</w:t>
            </w:r>
          </w:p>
          <w:p>
            <w:pPr>
              <w:pStyle w:val="TableParagraph"/>
              <w:spacing w:before="4"/>
              <w:rPr>
                <w:b/>
                <w:sz w:val="24"/>
              </w:rPr>
            </w:pPr>
          </w:p>
          <w:p>
            <w:pPr>
              <w:pStyle w:val="TableParagraph"/>
              <w:ind w:left="107"/>
              <w:rPr>
                <w:rFonts w:ascii="Cambria"/>
                <w:b/>
                <w:sz w:val="24"/>
              </w:rPr>
            </w:pPr>
            <w:r>
              <w:rPr>
                <w:rFonts w:ascii="Cambria"/>
                <w:b/>
                <w:sz w:val="24"/>
              </w:rPr>
              <w:t>OF</w:t>
            </w:r>
            <w:r>
              <w:rPr>
                <w:rFonts w:ascii="Cambria"/>
                <w:b/>
                <w:spacing w:val="-1"/>
                <w:sz w:val="24"/>
              </w:rPr>
              <w:t> </w:t>
            </w:r>
            <w:r>
              <w:rPr>
                <w:rFonts w:ascii="Cambria"/>
                <w:b/>
                <w:spacing w:val="-2"/>
                <w:sz w:val="24"/>
              </w:rPr>
              <w:t>ESTIMATES</w:t>
            </w:r>
          </w:p>
        </w:tc>
        <w:tc>
          <w:tcPr>
            <w:tcW w:w="1923" w:type="dxa"/>
          </w:tcPr>
          <w:p>
            <w:pPr>
              <w:pStyle w:val="TableParagraph"/>
              <w:spacing w:before="4"/>
              <w:rPr>
                <w:b/>
                <w:sz w:val="24"/>
              </w:rPr>
            </w:pPr>
          </w:p>
          <w:p>
            <w:pPr>
              <w:pStyle w:val="TableParagraph"/>
              <w:ind w:left="107"/>
              <w:rPr>
                <w:rFonts w:ascii="Cambria"/>
                <w:b/>
                <w:sz w:val="24"/>
              </w:rPr>
            </w:pPr>
            <w:r>
              <w:rPr>
                <w:rFonts w:ascii="Cambria"/>
                <w:b/>
                <w:sz w:val="24"/>
              </w:rPr>
              <w:t>T- </w:t>
            </w:r>
            <w:r>
              <w:rPr>
                <w:rFonts w:ascii="Cambria"/>
                <w:b/>
                <w:spacing w:val="-2"/>
                <w:sz w:val="24"/>
              </w:rPr>
              <w:t>STATISTICS</w:t>
            </w:r>
          </w:p>
        </w:tc>
        <w:tc>
          <w:tcPr>
            <w:tcW w:w="1758" w:type="dxa"/>
          </w:tcPr>
          <w:p>
            <w:pPr>
              <w:pStyle w:val="TableParagraph"/>
              <w:spacing w:line="281" w:lineRule="exact"/>
              <w:ind w:left="104"/>
              <w:rPr>
                <w:rFonts w:ascii="Cambria"/>
                <w:b/>
                <w:sz w:val="24"/>
              </w:rPr>
            </w:pPr>
            <w:r>
              <w:rPr>
                <w:rFonts w:ascii="Cambria"/>
                <w:b/>
                <w:spacing w:val="-2"/>
                <w:sz w:val="24"/>
              </w:rPr>
              <w:t>PROBABILITY</w:t>
            </w:r>
          </w:p>
          <w:p>
            <w:pPr>
              <w:pStyle w:val="TableParagraph"/>
              <w:spacing w:before="4"/>
              <w:rPr>
                <w:b/>
                <w:sz w:val="24"/>
              </w:rPr>
            </w:pPr>
          </w:p>
          <w:p>
            <w:pPr>
              <w:pStyle w:val="TableParagraph"/>
              <w:ind w:left="104"/>
              <w:rPr>
                <w:rFonts w:ascii="Cambria"/>
                <w:b/>
                <w:sz w:val="24"/>
              </w:rPr>
            </w:pPr>
            <w:r>
              <w:rPr>
                <w:rFonts w:ascii="Cambria"/>
                <w:b/>
                <w:spacing w:val="-2"/>
                <w:sz w:val="24"/>
              </w:rPr>
              <w:t>VALUE</w:t>
            </w:r>
          </w:p>
        </w:tc>
        <w:tc>
          <w:tcPr>
            <w:tcW w:w="1520" w:type="dxa"/>
          </w:tcPr>
          <w:p>
            <w:pPr>
              <w:pStyle w:val="TableParagraph"/>
              <w:spacing w:line="281" w:lineRule="exact"/>
              <w:ind w:left="104"/>
              <w:rPr>
                <w:rFonts w:ascii="Cambria"/>
                <w:b/>
                <w:sz w:val="24"/>
              </w:rPr>
            </w:pPr>
            <w:r>
              <w:rPr>
                <w:rFonts w:ascii="Cambria"/>
                <w:b/>
                <w:spacing w:val="-2"/>
                <w:sz w:val="24"/>
              </w:rPr>
              <w:t>REMARKS</w:t>
            </w:r>
          </w:p>
        </w:tc>
      </w:tr>
      <w:tr>
        <w:trPr>
          <w:trHeight w:val="275" w:hRule="atLeast"/>
        </w:trPr>
        <w:tc>
          <w:tcPr>
            <w:tcW w:w="2204" w:type="dxa"/>
          </w:tcPr>
          <w:p>
            <w:pPr>
              <w:pStyle w:val="TableParagraph"/>
              <w:spacing w:line="229" w:lineRule="exact"/>
              <w:ind w:left="5" w:right="1"/>
              <w:jc w:val="center"/>
              <w:rPr>
                <w:rFonts w:ascii="Arial MT"/>
                <w:sz w:val="20"/>
              </w:rPr>
            </w:pPr>
            <w:r>
              <w:rPr>
                <w:rFonts w:ascii="Arial MT"/>
                <w:spacing w:val="-10"/>
                <w:sz w:val="20"/>
              </w:rPr>
              <w:t>C</w:t>
            </w:r>
          </w:p>
        </w:tc>
        <w:tc>
          <w:tcPr>
            <w:tcW w:w="1868" w:type="dxa"/>
          </w:tcPr>
          <w:p>
            <w:pPr>
              <w:pStyle w:val="TableParagraph"/>
              <w:ind w:right="96"/>
              <w:jc w:val="right"/>
              <w:rPr>
                <w:sz w:val="20"/>
              </w:rPr>
            </w:pPr>
            <w:r>
              <w:rPr>
                <w:spacing w:val="-2"/>
                <w:sz w:val="20"/>
              </w:rPr>
              <w:t>3.649664</w:t>
            </w:r>
          </w:p>
        </w:tc>
        <w:tc>
          <w:tcPr>
            <w:tcW w:w="1923" w:type="dxa"/>
          </w:tcPr>
          <w:p>
            <w:pPr>
              <w:pStyle w:val="TableParagraph"/>
              <w:ind w:right="99"/>
              <w:jc w:val="right"/>
              <w:rPr>
                <w:sz w:val="20"/>
              </w:rPr>
            </w:pPr>
            <w:r>
              <w:rPr>
                <w:spacing w:val="-2"/>
                <w:sz w:val="20"/>
              </w:rPr>
              <w:t>0.726748</w:t>
            </w:r>
          </w:p>
        </w:tc>
        <w:tc>
          <w:tcPr>
            <w:tcW w:w="1758" w:type="dxa"/>
          </w:tcPr>
          <w:p>
            <w:pPr>
              <w:pStyle w:val="TableParagraph"/>
              <w:ind w:right="100"/>
              <w:jc w:val="right"/>
              <w:rPr>
                <w:sz w:val="20"/>
              </w:rPr>
            </w:pPr>
            <w:r>
              <w:rPr>
                <w:spacing w:val="-2"/>
                <w:sz w:val="20"/>
              </w:rPr>
              <w:t>0.0001</w:t>
            </w:r>
          </w:p>
        </w:tc>
        <w:tc>
          <w:tcPr>
            <w:tcW w:w="1520" w:type="dxa"/>
          </w:tcPr>
          <w:p>
            <w:pPr>
              <w:pStyle w:val="TableParagraph"/>
              <w:spacing w:line="256" w:lineRule="exact"/>
              <w:ind w:right="103"/>
              <w:jc w:val="right"/>
              <w:rPr>
                <w:sz w:val="24"/>
              </w:rPr>
            </w:pPr>
            <w:r>
              <w:rPr>
                <w:spacing w:val="-2"/>
                <w:sz w:val="24"/>
              </w:rPr>
              <w:t>Significant</w:t>
            </w:r>
          </w:p>
        </w:tc>
      </w:tr>
      <w:tr>
        <w:trPr>
          <w:trHeight w:val="333" w:hRule="atLeast"/>
        </w:trPr>
        <w:tc>
          <w:tcPr>
            <w:tcW w:w="2204" w:type="dxa"/>
          </w:tcPr>
          <w:p>
            <w:pPr>
              <w:pStyle w:val="TableParagraph"/>
              <w:spacing w:line="281" w:lineRule="exact"/>
              <w:ind w:left="5" w:right="1"/>
              <w:jc w:val="center"/>
              <w:rPr>
                <w:rFonts w:ascii="Arial MT" w:hAnsi="Arial MT"/>
                <w:sz w:val="20"/>
              </w:rPr>
            </w:pPr>
            <w:r>
              <w:rPr>
                <w:rFonts w:ascii="Cambria" w:hAnsi="Cambria"/>
                <w:spacing w:val="-2"/>
                <w:sz w:val="24"/>
              </w:rPr>
              <w:t>δ</w:t>
            </w:r>
            <w:r>
              <w:rPr>
                <w:rFonts w:ascii="Arial MT" w:hAnsi="Arial MT"/>
                <w:spacing w:val="-2"/>
                <w:sz w:val="20"/>
              </w:rPr>
              <w:t>EXTDEBT</w:t>
            </w:r>
          </w:p>
        </w:tc>
        <w:tc>
          <w:tcPr>
            <w:tcW w:w="1868" w:type="dxa"/>
          </w:tcPr>
          <w:p>
            <w:pPr>
              <w:pStyle w:val="TableParagraph"/>
              <w:ind w:right="96"/>
              <w:jc w:val="right"/>
              <w:rPr>
                <w:sz w:val="20"/>
              </w:rPr>
            </w:pPr>
            <w:r>
              <w:rPr>
                <w:spacing w:val="-2"/>
                <w:sz w:val="20"/>
              </w:rPr>
              <w:t>0.055595</w:t>
            </w:r>
          </w:p>
        </w:tc>
        <w:tc>
          <w:tcPr>
            <w:tcW w:w="1923" w:type="dxa"/>
          </w:tcPr>
          <w:p>
            <w:pPr>
              <w:pStyle w:val="TableParagraph"/>
              <w:ind w:right="99"/>
              <w:jc w:val="right"/>
              <w:rPr>
                <w:sz w:val="20"/>
              </w:rPr>
            </w:pPr>
            <w:r>
              <w:rPr>
                <w:spacing w:val="-2"/>
                <w:sz w:val="20"/>
              </w:rPr>
              <w:t>0.052201</w:t>
            </w:r>
          </w:p>
        </w:tc>
        <w:tc>
          <w:tcPr>
            <w:tcW w:w="1758" w:type="dxa"/>
          </w:tcPr>
          <w:p>
            <w:pPr>
              <w:pStyle w:val="TableParagraph"/>
              <w:ind w:right="100"/>
              <w:jc w:val="right"/>
              <w:rPr>
                <w:sz w:val="20"/>
              </w:rPr>
            </w:pPr>
            <w:r>
              <w:rPr>
                <w:spacing w:val="-2"/>
                <w:sz w:val="20"/>
              </w:rPr>
              <w:t>0.2996</w:t>
            </w:r>
          </w:p>
        </w:tc>
        <w:tc>
          <w:tcPr>
            <w:tcW w:w="1520" w:type="dxa"/>
          </w:tcPr>
          <w:p>
            <w:pPr>
              <w:pStyle w:val="TableParagraph"/>
              <w:spacing w:line="275" w:lineRule="exact"/>
              <w:ind w:right="101"/>
              <w:jc w:val="right"/>
              <w:rPr>
                <w:sz w:val="24"/>
              </w:rPr>
            </w:pPr>
            <w:r>
              <w:rPr>
                <w:spacing w:val="-2"/>
                <w:sz w:val="24"/>
              </w:rPr>
              <w:t>Insignificant</w:t>
            </w:r>
          </w:p>
        </w:tc>
      </w:tr>
      <w:tr>
        <w:trPr>
          <w:trHeight w:val="340" w:hRule="atLeast"/>
        </w:trPr>
        <w:tc>
          <w:tcPr>
            <w:tcW w:w="2204" w:type="dxa"/>
          </w:tcPr>
          <w:p>
            <w:pPr>
              <w:pStyle w:val="TableParagraph"/>
              <w:spacing w:line="229" w:lineRule="exact"/>
              <w:ind w:left="5" w:right="1"/>
              <w:jc w:val="center"/>
              <w:rPr>
                <w:rFonts w:ascii="Arial MT"/>
                <w:sz w:val="20"/>
              </w:rPr>
            </w:pPr>
            <w:r>
              <w:rPr>
                <w:rFonts w:ascii="Arial MT"/>
                <w:spacing w:val="-5"/>
                <w:sz w:val="20"/>
              </w:rPr>
              <w:t>DFI</w:t>
            </w:r>
          </w:p>
        </w:tc>
        <w:tc>
          <w:tcPr>
            <w:tcW w:w="1868" w:type="dxa"/>
          </w:tcPr>
          <w:p>
            <w:pPr>
              <w:pStyle w:val="TableParagraph"/>
              <w:ind w:right="96"/>
              <w:jc w:val="right"/>
              <w:rPr>
                <w:sz w:val="20"/>
              </w:rPr>
            </w:pPr>
            <w:r>
              <w:rPr>
                <w:spacing w:val="-2"/>
                <w:sz w:val="20"/>
              </w:rPr>
              <w:t>0.478791</w:t>
            </w:r>
          </w:p>
        </w:tc>
        <w:tc>
          <w:tcPr>
            <w:tcW w:w="1923" w:type="dxa"/>
          </w:tcPr>
          <w:p>
            <w:pPr>
              <w:pStyle w:val="TableParagraph"/>
              <w:ind w:right="99"/>
              <w:jc w:val="right"/>
              <w:rPr>
                <w:sz w:val="20"/>
              </w:rPr>
            </w:pPr>
            <w:r>
              <w:rPr>
                <w:spacing w:val="-2"/>
                <w:sz w:val="20"/>
              </w:rPr>
              <w:t>0.071877</w:t>
            </w:r>
          </w:p>
        </w:tc>
        <w:tc>
          <w:tcPr>
            <w:tcW w:w="1758" w:type="dxa"/>
          </w:tcPr>
          <w:p>
            <w:pPr>
              <w:pStyle w:val="TableParagraph"/>
              <w:ind w:right="100"/>
              <w:jc w:val="right"/>
              <w:rPr>
                <w:sz w:val="20"/>
              </w:rPr>
            </w:pPr>
            <w:r>
              <w:rPr>
                <w:spacing w:val="-2"/>
                <w:sz w:val="20"/>
              </w:rPr>
              <w:t>0.0000</w:t>
            </w:r>
          </w:p>
        </w:tc>
        <w:tc>
          <w:tcPr>
            <w:tcW w:w="1520" w:type="dxa"/>
          </w:tcPr>
          <w:p>
            <w:pPr>
              <w:pStyle w:val="TableParagraph"/>
              <w:spacing w:line="275" w:lineRule="exact"/>
              <w:ind w:right="103"/>
              <w:jc w:val="right"/>
              <w:rPr>
                <w:sz w:val="24"/>
              </w:rPr>
            </w:pPr>
            <w:r>
              <w:rPr>
                <w:spacing w:val="-2"/>
                <w:sz w:val="24"/>
              </w:rPr>
              <w:t>Significant</w:t>
            </w:r>
          </w:p>
        </w:tc>
      </w:tr>
      <w:tr>
        <w:trPr>
          <w:trHeight w:val="350" w:hRule="atLeast"/>
        </w:trPr>
        <w:tc>
          <w:tcPr>
            <w:tcW w:w="2204" w:type="dxa"/>
          </w:tcPr>
          <w:p>
            <w:pPr>
              <w:pStyle w:val="TableParagraph"/>
              <w:spacing w:line="229" w:lineRule="exact"/>
              <w:ind w:left="5"/>
              <w:jc w:val="center"/>
              <w:rPr>
                <w:rFonts w:ascii="Arial MT"/>
                <w:sz w:val="20"/>
              </w:rPr>
            </w:pPr>
            <w:r>
              <w:rPr>
                <w:rFonts w:ascii="Arial MT"/>
                <w:spacing w:val="-5"/>
                <w:sz w:val="20"/>
              </w:rPr>
              <w:t>CAB</w:t>
            </w:r>
          </w:p>
        </w:tc>
        <w:tc>
          <w:tcPr>
            <w:tcW w:w="1868" w:type="dxa"/>
          </w:tcPr>
          <w:p>
            <w:pPr>
              <w:pStyle w:val="TableParagraph"/>
              <w:ind w:right="96"/>
              <w:jc w:val="right"/>
              <w:rPr>
                <w:sz w:val="20"/>
              </w:rPr>
            </w:pPr>
            <w:r>
              <w:rPr>
                <w:spacing w:val="-2"/>
                <w:sz w:val="20"/>
              </w:rPr>
              <w:t>0.317518</w:t>
            </w:r>
          </w:p>
        </w:tc>
        <w:tc>
          <w:tcPr>
            <w:tcW w:w="1923" w:type="dxa"/>
          </w:tcPr>
          <w:p>
            <w:pPr>
              <w:pStyle w:val="TableParagraph"/>
              <w:ind w:right="99"/>
              <w:jc w:val="right"/>
              <w:rPr>
                <w:sz w:val="20"/>
              </w:rPr>
            </w:pPr>
            <w:r>
              <w:rPr>
                <w:spacing w:val="-2"/>
                <w:sz w:val="20"/>
              </w:rPr>
              <w:t>0.076944</w:t>
            </w:r>
          </w:p>
        </w:tc>
        <w:tc>
          <w:tcPr>
            <w:tcW w:w="1758" w:type="dxa"/>
          </w:tcPr>
          <w:p>
            <w:pPr>
              <w:pStyle w:val="TableParagraph"/>
              <w:ind w:right="100"/>
              <w:jc w:val="right"/>
              <w:rPr>
                <w:sz w:val="20"/>
              </w:rPr>
            </w:pPr>
            <w:r>
              <w:rPr>
                <w:spacing w:val="-2"/>
                <w:sz w:val="20"/>
              </w:rPr>
              <w:t>0.0005</w:t>
            </w:r>
          </w:p>
        </w:tc>
        <w:tc>
          <w:tcPr>
            <w:tcW w:w="1520" w:type="dxa"/>
          </w:tcPr>
          <w:p>
            <w:pPr>
              <w:pStyle w:val="TableParagraph"/>
              <w:spacing w:line="275" w:lineRule="exact"/>
              <w:ind w:right="103"/>
              <w:jc w:val="right"/>
              <w:rPr>
                <w:sz w:val="24"/>
              </w:rPr>
            </w:pPr>
            <w:r>
              <w:rPr>
                <w:spacing w:val="-2"/>
                <w:sz w:val="24"/>
              </w:rPr>
              <w:t>Significant</w:t>
            </w:r>
          </w:p>
        </w:tc>
      </w:tr>
      <w:tr>
        <w:trPr>
          <w:trHeight w:val="350" w:hRule="atLeast"/>
        </w:trPr>
        <w:tc>
          <w:tcPr>
            <w:tcW w:w="2204" w:type="dxa"/>
          </w:tcPr>
          <w:p>
            <w:pPr>
              <w:pStyle w:val="TableParagraph"/>
              <w:ind w:left="5" w:right="2"/>
              <w:jc w:val="center"/>
              <w:rPr>
                <w:rFonts w:ascii="Arial MT" w:hAnsi="Arial MT"/>
                <w:sz w:val="20"/>
              </w:rPr>
            </w:pPr>
            <w:r>
              <w:rPr>
                <w:rFonts w:ascii="Cambria" w:hAnsi="Cambria"/>
                <w:spacing w:val="-4"/>
                <w:sz w:val="24"/>
              </w:rPr>
              <w:t>δ</w:t>
            </w:r>
            <w:r>
              <w:rPr>
                <w:rFonts w:ascii="Arial MT" w:hAnsi="Arial MT"/>
                <w:spacing w:val="-4"/>
                <w:sz w:val="20"/>
              </w:rPr>
              <w:t>RES</w:t>
            </w:r>
          </w:p>
        </w:tc>
        <w:tc>
          <w:tcPr>
            <w:tcW w:w="1868" w:type="dxa"/>
          </w:tcPr>
          <w:p>
            <w:pPr>
              <w:pStyle w:val="TableParagraph"/>
              <w:spacing w:before="1"/>
              <w:ind w:right="96"/>
              <w:jc w:val="right"/>
              <w:rPr>
                <w:sz w:val="20"/>
              </w:rPr>
            </w:pPr>
            <w:r>
              <w:rPr>
                <w:spacing w:val="-2"/>
                <w:sz w:val="20"/>
              </w:rPr>
              <w:t>0.095994</w:t>
            </w:r>
          </w:p>
        </w:tc>
        <w:tc>
          <w:tcPr>
            <w:tcW w:w="1923" w:type="dxa"/>
          </w:tcPr>
          <w:p>
            <w:pPr>
              <w:pStyle w:val="TableParagraph"/>
              <w:spacing w:before="1"/>
              <w:ind w:right="99"/>
              <w:jc w:val="right"/>
              <w:rPr>
                <w:sz w:val="20"/>
              </w:rPr>
            </w:pPr>
            <w:r>
              <w:rPr>
                <w:spacing w:val="-2"/>
                <w:sz w:val="20"/>
              </w:rPr>
              <w:t>0.080604</w:t>
            </w:r>
          </w:p>
        </w:tc>
        <w:tc>
          <w:tcPr>
            <w:tcW w:w="1758" w:type="dxa"/>
          </w:tcPr>
          <w:p>
            <w:pPr>
              <w:pStyle w:val="TableParagraph"/>
              <w:spacing w:before="1"/>
              <w:ind w:right="100"/>
              <w:jc w:val="right"/>
              <w:rPr>
                <w:sz w:val="20"/>
              </w:rPr>
            </w:pPr>
            <w:r>
              <w:rPr>
                <w:spacing w:val="-2"/>
                <w:sz w:val="20"/>
              </w:rPr>
              <w:t>0.2476</w:t>
            </w:r>
          </w:p>
        </w:tc>
        <w:tc>
          <w:tcPr>
            <w:tcW w:w="1520" w:type="dxa"/>
          </w:tcPr>
          <w:p>
            <w:pPr>
              <w:pStyle w:val="TableParagraph"/>
              <w:spacing w:line="276" w:lineRule="exact"/>
              <w:ind w:right="101"/>
              <w:jc w:val="right"/>
              <w:rPr>
                <w:sz w:val="24"/>
              </w:rPr>
            </w:pPr>
            <w:r>
              <w:rPr>
                <w:spacing w:val="-2"/>
                <w:sz w:val="24"/>
              </w:rPr>
              <w:t>Insignificant</w:t>
            </w:r>
          </w:p>
        </w:tc>
      </w:tr>
    </w:tbl>
    <w:tbl>
      <w:tblPr>
        <w:tblW w:w="0" w:type="auto"/>
        <w:jc w:val="left"/>
        <w:tblInd w:w="7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17"/>
        <w:gridCol w:w="1892"/>
        <w:gridCol w:w="2970"/>
        <w:gridCol w:w="1743"/>
      </w:tblGrid>
      <w:tr>
        <w:trPr>
          <w:trHeight w:val="270" w:hRule="atLeast"/>
        </w:trPr>
        <w:tc>
          <w:tcPr>
            <w:tcW w:w="2717" w:type="dxa"/>
          </w:tcPr>
          <w:p>
            <w:pPr>
              <w:pStyle w:val="TableParagraph"/>
              <w:spacing w:line="251" w:lineRule="exact"/>
              <w:ind w:left="43"/>
              <w:rPr>
                <w:sz w:val="24"/>
              </w:rPr>
            </w:pPr>
            <w:r>
              <w:rPr>
                <w:sz w:val="24"/>
              </w:rPr>
              <w:t>R-</w:t>
            </w:r>
            <w:r>
              <w:rPr>
                <w:spacing w:val="-2"/>
                <w:sz w:val="24"/>
              </w:rPr>
              <w:t>squared</w:t>
            </w:r>
          </w:p>
        </w:tc>
        <w:tc>
          <w:tcPr>
            <w:tcW w:w="1892" w:type="dxa"/>
          </w:tcPr>
          <w:p>
            <w:pPr>
              <w:pStyle w:val="TableParagraph"/>
              <w:spacing w:line="251" w:lineRule="exact"/>
              <w:ind w:right="146"/>
              <w:jc w:val="right"/>
              <w:rPr>
                <w:sz w:val="24"/>
              </w:rPr>
            </w:pPr>
            <w:r>
              <w:rPr>
                <w:spacing w:val="-2"/>
                <w:sz w:val="24"/>
              </w:rPr>
              <w:t>0.959437</w:t>
            </w:r>
          </w:p>
        </w:tc>
        <w:tc>
          <w:tcPr>
            <w:tcW w:w="2970" w:type="dxa"/>
          </w:tcPr>
          <w:p>
            <w:pPr>
              <w:pStyle w:val="TableParagraph"/>
              <w:spacing w:line="251" w:lineRule="exact"/>
              <w:ind w:left="151"/>
              <w:rPr>
                <w:sz w:val="24"/>
              </w:rPr>
            </w:pPr>
            <w:r>
              <w:rPr>
                <w:sz w:val="24"/>
              </w:rPr>
              <w:t>Mean</w:t>
            </w:r>
            <w:r>
              <w:rPr>
                <w:spacing w:val="-2"/>
                <w:sz w:val="24"/>
              </w:rPr>
              <w:t> </w:t>
            </w:r>
            <w:r>
              <w:rPr>
                <w:sz w:val="24"/>
              </w:rPr>
              <w:t>dependent</w:t>
            </w:r>
            <w:r>
              <w:rPr>
                <w:spacing w:val="-1"/>
                <w:sz w:val="24"/>
              </w:rPr>
              <w:t> </w:t>
            </w:r>
            <w:r>
              <w:rPr>
                <w:spacing w:val="-5"/>
                <w:sz w:val="24"/>
              </w:rPr>
              <w:t>var</w:t>
            </w:r>
          </w:p>
        </w:tc>
        <w:tc>
          <w:tcPr>
            <w:tcW w:w="1743" w:type="dxa"/>
          </w:tcPr>
          <w:p>
            <w:pPr>
              <w:pStyle w:val="TableParagraph"/>
              <w:spacing w:line="251" w:lineRule="exact"/>
              <w:ind w:right="31"/>
              <w:jc w:val="right"/>
              <w:rPr>
                <w:sz w:val="24"/>
              </w:rPr>
            </w:pPr>
            <w:r>
              <w:rPr>
                <w:spacing w:val="-2"/>
                <w:sz w:val="24"/>
              </w:rPr>
              <w:t>14.90560</w:t>
            </w:r>
          </w:p>
        </w:tc>
      </w:tr>
      <w:tr>
        <w:trPr>
          <w:trHeight w:val="275" w:hRule="atLeast"/>
        </w:trPr>
        <w:tc>
          <w:tcPr>
            <w:tcW w:w="2717" w:type="dxa"/>
          </w:tcPr>
          <w:p>
            <w:pPr>
              <w:pStyle w:val="TableParagraph"/>
              <w:spacing w:line="256" w:lineRule="exact"/>
              <w:ind w:left="43"/>
              <w:rPr>
                <w:sz w:val="24"/>
              </w:rPr>
            </w:pPr>
            <w:r>
              <w:rPr>
                <w:sz w:val="24"/>
              </w:rPr>
              <w:t>Adjusted</w:t>
            </w:r>
            <w:r>
              <w:rPr>
                <w:spacing w:val="-1"/>
                <w:sz w:val="24"/>
              </w:rPr>
              <w:t> </w:t>
            </w:r>
            <w:r>
              <w:rPr>
                <w:sz w:val="24"/>
              </w:rPr>
              <w:t>R-</w:t>
            </w:r>
            <w:r>
              <w:rPr>
                <w:spacing w:val="-2"/>
                <w:sz w:val="24"/>
              </w:rPr>
              <w:t>squared</w:t>
            </w:r>
          </w:p>
        </w:tc>
        <w:tc>
          <w:tcPr>
            <w:tcW w:w="1892" w:type="dxa"/>
          </w:tcPr>
          <w:p>
            <w:pPr>
              <w:pStyle w:val="TableParagraph"/>
              <w:spacing w:line="256" w:lineRule="exact"/>
              <w:ind w:right="146"/>
              <w:jc w:val="right"/>
              <w:rPr>
                <w:sz w:val="24"/>
              </w:rPr>
            </w:pPr>
            <w:r>
              <w:rPr>
                <w:spacing w:val="-2"/>
                <w:sz w:val="24"/>
              </w:rPr>
              <w:t>0.951324</w:t>
            </w:r>
          </w:p>
        </w:tc>
        <w:tc>
          <w:tcPr>
            <w:tcW w:w="2970" w:type="dxa"/>
          </w:tcPr>
          <w:p>
            <w:pPr>
              <w:pStyle w:val="TableParagraph"/>
              <w:spacing w:line="256" w:lineRule="exact"/>
              <w:ind w:left="151"/>
              <w:rPr>
                <w:sz w:val="24"/>
              </w:rPr>
            </w:pPr>
            <w:r>
              <w:rPr>
                <w:sz w:val="24"/>
              </w:rPr>
              <w:t>S.D.</w:t>
            </w:r>
            <w:r>
              <w:rPr>
                <w:spacing w:val="-4"/>
                <w:sz w:val="24"/>
              </w:rPr>
              <w:t> </w:t>
            </w:r>
            <w:r>
              <w:rPr>
                <w:sz w:val="24"/>
              </w:rPr>
              <w:t>dependent</w:t>
            </w:r>
            <w:r>
              <w:rPr>
                <w:spacing w:val="-2"/>
                <w:sz w:val="24"/>
              </w:rPr>
              <w:t> </w:t>
            </w:r>
            <w:r>
              <w:rPr>
                <w:spacing w:val="-5"/>
                <w:sz w:val="24"/>
              </w:rPr>
              <w:t>var</w:t>
            </w:r>
          </w:p>
        </w:tc>
        <w:tc>
          <w:tcPr>
            <w:tcW w:w="1743" w:type="dxa"/>
          </w:tcPr>
          <w:p>
            <w:pPr>
              <w:pStyle w:val="TableParagraph"/>
              <w:spacing w:line="256" w:lineRule="exact"/>
              <w:ind w:right="31"/>
              <w:jc w:val="right"/>
              <w:rPr>
                <w:sz w:val="24"/>
              </w:rPr>
            </w:pPr>
            <w:r>
              <w:rPr>
                <w:spacing w:val="-2"/>
                <w:sz w:val="24"/>
              </w:rPr>
              <w:t>1.825435</w:t>
            </w:r>
          </w:p>
        </w:tc>
      </w:tr>
      <w:tr>
        <w:trPr>
          <w:trHeight w:val="275" w:hRule="atLeast"/>
        </w:trPr>
        <w:tc>
          <w:tcPr>
            <w:tcW w:w="2717" w:type="dxa"/>
          </w:tcPr>
          <w:p>
            <w:pPr>
              <w:pStyle w:val="TableParagraph"/>
              <w:spacing w:line="256" w:lineRule="exact"/>
              <w:ind w:left="43"/>
              <w:rPr>
                <w:sz w:val="24"/>
              </w:rPr>
            </w:pPr>
            <w:r>
              <w:rPr>
                <w:sz w:val="24"/>
              </w:rPr>
              <w:t>S.E. of</w:t>
            </w:r>
            <w:r>
              <w:rPr>
                <w:spacing w:val="-1"/>
                <w:sz w:val="24"/>
              </w:rPr>
              <w:t> </w:t>
            </w:r>
            <w:r>
              <w:rPr>
                <w:spacing w:val="-2"/>
                <w:sz w:val="24"/>
              </w:rPr>
              <w:t>regression</w:t>
            </w:r>
          </w:p>
        </w:tc>
        <w:tc>
          <w:tcPr>
            <w:tcW w:w="1892" w:type="dxa"/>
          </w:tcPr>
          <w:p>
            <w:pPr>
              <w:pStyle w:val="TableParagraph"/>
              <w:spacing w:line="256" w:lineRule="exact"/>
              <w:ind w:right="146"/>
              <w:jc w:val="right"/>
              <w:rPr>
                <w:sz w:val="24"/>
              </w:rPr>
            </w:pPr>
            <w:r>
              <w:rPr>
                <w:spacing w:val="-2"/>
                <w:sz w:val="24"/>
              </w:rPr>
              <w:t>0.402739</w:t>
            </w:r>
          </w:p>
        </w:tc>
        <w:tc>
          <w:tcPr>
            <w:tcW w:w="2970" w:type="dxa"/>
          </w:tcPr>
          <w:p>
            <w:pPr>
              <w:pStyle w:val="TableParagraph"/>
              <w:spacing w:line="256" w:lineRule="exact"/>
              <w:ind w:left="151"/>
              <w:rPr>
                <w:sz w:val="24"/>
              </w:rPr>
            </w:pPr>
            <w:r>
              <w:rPr>
                <w:sz w:val="24"/>
              </w:rPr>
              <w:t>Akaike</w:t>
            </w:r>
            <w:r>
              <w:rPr>
                <w:spacing w:val="-4"/>
                <w:sz w:val="24"/>
              </w:rPr>
              <w:t> </w:t>
            </w:r>
            <w:r>
              <w:rPr>
                <w:sz w:val="24"/>
              </w:rPr>
              <w:t>info</w:t>
            </w:r>
            <w:r>
              <w:rPr>
                <w:spacing w:val="-1"/>
                <w:sz w:val="24"/>
              </w:rPr>
              <w:t> </w:t>
            </w:r>
            <w:r>
              <w:rPr>
                <w:spacing w:val="-2"/>
                <w:sz w:val="24"/>
              </w:rPr>
              <w:t>criterion</w:t>
            </w:r>
          </w:p>
        </w:tc>
        <w:tc>
          <w:tcPr>
            <w:tcW w:w="1743" w:type="dxa"/>
          </w:tcPr>
          <w:p>
            <w:pPr>
              <w:pStyle w:val="TableParagraph"/>
              <w:spacing w:line="256" w:lineRule="exact"/>
              <w:ind w:right="31"/>
              <w:jc w:val="right"/>
              <w:rPr>
                <w:sz w:val="24"/>
              </w:rPr>
            </w:pPr>
            <w:r>
              <w:rPr>
                <w:spacing w:val="-2"/>
                <w:sz w:val="24"/>
              </w:rPr>
              <w:t>1.195801</w:t>
            </w:r>
          </w:p>
        </w:tc>
      </w:tr>
      <w:tr>
        <w:trPr>
          <w:trHeight w:val="276" w:hRule="atLeast"/>
        </w:trPr>
        <w:tc>
          <w:tcPr>
            <w:tcW w:w="2717" w:type="dxa"/>
          </w:tcPr>
          <w:p>
            <w:pPr>
              <w:pStyle w:val="TableParagraph"/>
              <w:spacing w:line="256" w:lineRule="exact"/>
              <w:ind w:left="43"/>
              <w:rPr>
                <w:sz w:val="24"/>
              </w:rPr>
            </w:pPr>
            <w:r>
              <w:rPr>
                <w:sz w:val="24"/>
              </w:rPr>
              <w:t>Sum</w:t>
            </w:r>
            <w:r>
              <w:rPr>
                <w:spacing w:val="-2"/>
                <w:sz w:val="24"/>
              </w:rPr>
              <w:t> </w:t>
            </w:r>
            <w:r>
              <w:rPr>
                <w:sz w:val="24"/>
              </w:rPr>
              <w:t>squared</w:t>
            </w:r>
            <w:r>
              <w:rPr>
                <w:spacing w:val="-1"/>
                <w:sz w:val="24"/>
              </w:rPr>
              <w:t> </w:t>
            </w:r>
            <w:r>
              <w:rPr>
                <w:spacing w:val="-4"/>
                <w:sz w:val="24"/>
              </w:rPr>
              <w:t>resid</w:t>
            </w:r>
          </w:p>
        </w:tc>
        <w:tc>
          <w:tcPr>
            <w:tcW w:w="1892" w:type="dxa"/>
          </w:tcPr>
          <w:p>
            <w:pPr>
              <w:pStyle w:val="TableParagraph"/>
              <w:spacing w:line="256" w:lineRule="exact"/>
              <w:ind w:right="146"/>
              <w:jc w:val="right"/>
              <w:rPr>
                <w:sz w:val="24"/>
              </w:rPr>
            </w:pPr>
            <w:r>
              <w:rPr>
                <w:spacing w:val="-2"/>
                <w:sz w:val="24"/>
              </w:rPr>
              <w:t>3.243975</w:t>
            </w:r>
          </w:p>
        </w:tc>
        <w:tc>
          <w:tcPr>
            <w:tcW w:w="2970" w:type="dxa"/>
          </w:tcPr>
          <w:p>
            <w:pPr>
              <w:pStyle w:val="TableParagraph"/>
              <w:spacing w:line="256" w:lineRule="exact"/>
              <w:ind w:left="151"/>
              <w:rPr>
                <w:sz w:val="24"/>
              </w:rPr>
            </w:pPr>
            <w:r>
              <w:rPr>
                <w:sz w:val="24"/>
              </w:rPr>
              <w:t>Schwarz</w:t>
            </w:r>
            <w:r>
              <w:rPr>
                <w:spacing w:val="-5"/>
                <w:sz w:val="24"/>
              </w:rPr>
              <w:t> </w:t>
            </w:r>
            <w:r>
              <w:rPr>
                <w:spacing w:val="-2"/>
                <w:sz w:val="24"/>
              </w:rPr>
              <w:t>criterion</w:t>
            </w:r>
          </w:p>
        </w:tc>
        <w:tc>
          <w:tcPr>
            <w:tcW w:w="1743" w:type="dxa"/>
          </w:tcPr>
          <w:p>
            <w:pPr>
              <w:pStyle w:val="TableParagraph"/>
              <w:spacing w:line="256" w:lineRule="exact"/>
              <w:ind w:right="31"/>
              <w:jc w:val="right"/>
              <w:rPr>
                <w:sz w:val="24"/>
              </w:rPr>
            </w:pPr>
            <w:r>
              <w:rPr>
                <w:spacing w:val="-2"/>
                <w:sz w:val="24"/>
              </w:rPr>
              <w:t>1.439576</w:t>
            </w:r>
          </w:p>
        </w:tc>
      </w:tr>
      <w:tr>
        <w:trPr>
          <w:trHeight w:val="275" w:hRule="atLeast"/>
        </w:trPr>
        <w:tc>
          <w:tcPr>
            <w:tcW w:w="2717" w:type="dxa"/>
          </w:tcPr>
          <w:p>
            <w:pPr>
              <w:pStyle w:val="TableParagraph"/>
              <w:spacing w:line="256" w:lineRule="exact"/>
              <w:ind w:left="43"/>
              <w:rPr>
                <w:sz w:val="24"/>
              </w:rPr>
            </w:pPr>
            <w:r>
              <w:rPr>
                <w:sz w:val="24"/>
              </w:rPr>
              <w:t>Log</w:t>
            </w:r>
            <w:r>
              <w:rPr>
                <w:spacing w:val="-4"/>
                <w:sz w:val="24"/>
              </w:rPr>
              <w:t> </w:t>
            </w:r>
            <w:r>
              <w:rPr>
                <w:spacing w:val="-2"/>
                <w:sz w:val="24"/>
              </w:rPr>
              <w:t>likelihood</w:t>
            </w:r>
          </w:p>
        </w:tc>
        <w:tc>
          <w:tcPr>
            <w:tcW w:w="1892" w:type="dxa"/>
          </w:tcPr>
          <w:p>
            <w:pPr>
              <w:pStyle w:val="TableParagraph"/>
              <w:spacing w:line="256" w:lineRule="exact"/>
              <w:ind w:right="146"/>
              <w:jc w:val="right"/>
              <w:rPr>
                <w:sz w:val="24"/>
              </w:rPr>
            </w:pPr>
            <w:r>
              <w:rPr>
                <w:spacing w:val="-2"/>
                <w:sz w:val="24"/>
              </w:rPr>
              <w:t>-9.947507</w:t>
            </w:r>
          </w:p>
        </w:tc>
        <w:tc>
          <w:tcPr>
            <w:tcW w:w="2970" w:type="dxa"/>
          </w:tcPr>
          <w:p>
            <w:pPr>
              <w:pStyle w:val="TableParagraph"/>
              <w:spacing w:line="256" w:lineRule="exact"/>
              <w:ind w:left="151"/>
              <w:rPr>
                <w:sz w:val="24"/>
              </w:rPr>
            </w:pPr>
            <w:r>
              <w:rPr>
                <w:spacing w:val="-2"/>
                <w:sz w:val="24"/>
              </w:rPr>
              <w:t>F-statistic</w:t>
            </w:r>
          </w:p>
        </w:tc>
        <w:tc>
          <w:tcPr>
            <w:tcW w:w="1743" w:type="dxa"/>
          </w:tcPr>
          <w:p>
            <w:pPr>
              <w:pStyle w:val="TableParagraph"/>
              <w:spacing w:line="256" w:lineRule="exact"/>
              <w:ind w:right="31"/>
              <w:jc w:val="right"/>
              <w:rPr>
                <w:sz w:val="24"/>
              </w:rPr>
            </w:pPr>
            <w:r>
              <w:rPr>
                <w:spacing w:val="-2"/>
                <w:sz w:val="24"/>
              </w:rPr>
              <w:t>118.2641</w:t>
            </w:r>
          </w:p>
        </w:tc>
      </w:tr>
      <w:tr>
        <w:trPr>
          <w:trHeight w:val="311" w:hRule="atLeast"/>
        </w:trPr>
        <w:tc>
          <w:tcPr>
            <w:tcW w:w="2717" w:type="dxa"/>
            <w:tcBorders>
              <w:bottom w:val="double" w:sz="6" w:space="0" w:color="000000"/>
            </w:tcBorders>
          </w:tcPr>
          <w:p>
            <w:pPr>
              <w:pStyle w:val="TableParagraph"/>
              <w:spacing w:line="271" w:lineRule="exact"/>
              <w:ind w:left="43"/>
              <w:rPr>
                <w:sz w:val="24"/>
              </w:rPr>
            </w:pPr>
            <w:r>
              <w:rPr>
                <w:sz w:val="24"/>
              </w:rPr>
              <w:t>Durbin-Watson</w:t>
            </w:r>
            <w:r>
              <w:rPr>
                <w:spacing w:val="-3"/>
                <w:sz w:val="24"/>
              </w:rPr>
              <w:t> </w:t>
            </w:r>
            <w:r>
              <w:rPr>
                <w:spacing w:val="-4"/>
                <w:sz w:val="24"/>
              </w:rPr>
              <w:t>stat</w:t>
            </w:r>
          </w:p>
        </w:tc>
        <w:tc>
          <w:tcPr>
            <w:tcW w:w="1892" w:type="dxa"/>
          </w:tcPr>
          <w:p>
            <w:pPr>
              <w:pStyle w:val="TableParagraph"/>
              <w:spacing w:line="271" w:lineRule="exact"/>
              <w:ind w:right="146"/>
              <w:jc w:val="right"/>
              <w:rPr>
                <w:sz w:val="24"/>
              </w:rPr>
            </w:pPr>
            <w:r>
              <w:rPr>
                <w:spacing w:val="-2"/>
                <w:sz w:val="24"/>
              </w:rPr>
              <w:t>1.330589</w:t>
            </w:r>
          </w:p>
        </w:tc>
        <w:tc>
          <w:tcPr>
            <w:tcW w:w="2970" w:type="dxa"/>
            <w:tcBorders>
              <w:bottom w:val="double" w:sz="6" w:space="0" w:color="000000"/>
            </w:tcBorders>
          </w:tcPr>
          <w:p>
            <w:pPr>
              <w:pStyle w:val="TableParagraph"/>
              <w:spacing w:line="271" w:lineRule="exact"/>
              <w:ind w:left="151"/>
              <w:rPr>
                <w:sz w:val="24"/>
              </w:rPr>
            </w:pPr>
            <w:r>
              <w:rPr>
                <w:spacing w:val="-2"/>
                <w:sz w:val="24"/>
              </w:rPr>
              <w:t>Prob(F-statistic)</w:t>
            </w:r>
          </w:p>
        </w:tc>
        <w:tc>
          <w:tcPr>
            <w:tcW w:w="1743" w:type="dxa"/>
          </w:tcPr>
          <w:p>
            <w:pPr>
              <w:pStyle w:val="TableParagraph"/>
              <w:spacing w:line="271" w:lineRule="exact"/>
              <w:ind w:right="31"/>
              <w:jc w:val="right"/>
              <w:rPr>
                <w:sz w:val="24"/>
              </w:rPr>
            </w:pPr>
            <w:r>
              <w:rPr>
                <w:spacing w:val="-2"/>
                <w:sz w:val="24"/>
              </w:rPr>
              <w:t>0.000000</w:t>
            </w:r>
          </w:p>
        </w:tc>
      </w:tr>
    </w:tbl>
    <w:p>
      <w:pPr>
        <w:pStyle w:val="BodyText"/>
        <w:spacing w:before="13"/>
        <w:ind w:left="711"/>
        <w:jc w:val="both"/>
      </w:pPr>
      <w:r>
        <w:rPr>
          <w:b/>
        </w:rPr>
        <w:t>Source:</w:t>
      </w:r>
      <w:r>
        <w:rPr>
          <w:b/>
          <w:spacing w:val="-2"/>
        </w:rPr>
        <w:t> </w:t>
      </w:r>
      <w:r>
        <w:rPr/>
        <w:t>Computation,</w:t>
      </w:r>
      <w:r>
        <w:rPr>
          <w:spacing w:val="-1"/>
        </w:rPr>
        <w:t> </w:t>
      </w:r>
      <w:r>
        <w:rPr/>
        <w:t>using</w:t>
      </w:r>
      <w:r>
        <w:rPr>
          <w:spacing w:val="-4"/>
        </w:rPr>
        <w:t> </w:t>
      </w:r>
      <w:r>
        <w:rPr/>
        <w:t>E-view</w:t>
      </w:r>
      <w:r>
        <w:rPr>
          <w:spacing w:val="-1"/>
        </w:rPr>
        <w:t> </w:t>
      </w:r>
      <w:r>
        <w:rPr/>
        <w:t>statistical</w:t>
      </w:r>
      <w:r>
        <w:rPr>
          <w:spacing w:val="-1"/>
        </w:rPr>
        <w:t> </w:t>
      </w:r>
      <w:r>
        <w:rPr>
          <w:spacing w:val="-2"/>
        </w:rPr>
        <w:t>package</w:t>
      </w:r>
    </w:p>
    <w:p>
      <w:pPr>
        <w:pStyle w:val="BodyText"/>
        <w:spacing w:before="1"/>
      </w:pPr>
    </w:p>
    <w:p>
      <w:pPr>
        <w:pStyle w:val="BodyText"/>
        <w:spacing w:line="480" w:lineRule="auto"/>
        <w:ind w:left="711" w:right="478"/>
        <w:jc w:val="both"/>
        <w:rPr>
          <w:rFonts w:ascii="Cambria"/>
        </w:rPr>
      </w:pPr>
      <w:r>
        <w:rPr>
          <w:rFonts w:ascii="Cambria"/>
        </w:rPr>
        <w:t>The short-run relationship between gross domestic product and the explanatory variable can be expressed mathematically belowb as:</w:t>
      </w:r>
    </w:p>
    <w:p>
      <w:pPr>
        <w:spacing w:before="0"/>
        <w:ind w:left="711" w:right="0" w:firstLine="0"/>
        <w:jc w:val="both"/>
        <w:rPr>
          <w:rFonts w:ascii="Cambria" w:hAnsi="Cambria"/>
          <w:b/>
          <w:i/>
          <w:sz w:val="28"/>
        </w:rPr>
      </w:pPr>
      <w:r>
        <w:rPr>
          <w:rFonts w:ascii="Cambria" w:hAnsi="Cambria"/>
          <w:b/>
          <w:i/>
          <w:position w:val="2"/>
          <w:sz w:val="28"/>
        </w:rPr>
        <w:t>GDP</w:t>
      </w:r>
      <w:r>
        <w:rPr>
          <w:rFonts w:ascii="Cambria" w:hAnsi="Cambria"/>
          <w:b/>
          <w:i/>
          <w:sz w:val="18"/>
        </w:rPr>
        <w:t>POSTSAP</w:t>
      </w:r>
      <w:r>
        <w:rPr>
          <w:rFonts w:ascii="Cambria" w:hAnsi="Cambria"/>
          <w:b/>
          <w:i/>
          <w:spacing w:val="79"/>
          <w:sz w:val="18"/>
        </w:rPr>
        <w:t>   </w:t>
      </w:r>
      <w:r>
        <w:rPr>
          <w:rFonts w:ascii="Cambria" w:hAnsi="Cambria"/>
          <w:b/>
          <w:i/>
          <w:position w:val="2"/>
          <w:sz w:val="28"/>
        </w:rPr>
        <w:t>=</w:t>
      </w:r>
      <w:r>
        <w:rPr>
          <w:rFonts w:ascii="Cambria" w:hAnsi="Cambria"/>
          <w:b/>
          <w:i/>
          <w:spacing w:val="58"/>
          <w:position w:val="2"/>
          <w:sz w:val="28"/>
        </w:rPr>
        <w:t>   </w:t>
      </w:r>
      <w:r>
        <w:rPr>
          <w:rFonts w:ascii="Cambria" w:hAnsi="Cambria"/>
          <w:b/>
          <w:i/>
          <w:position w:val="2"/>
          <w:sz w:val="28"/>
        </w:rPr>
        <w:t>3.649664</w:t>
      </w:r>
      <w:r>
        <w:rPr>
          <w:rFonts w:ascii="Cambria" w:hAnsi="Cambria"/>
          <w:b/>
          <w:i/>
          <w:spacing w:val="57"/>
          <w:position w:val="2"/>
          <w:sz w:val="28"/>
        </w:rPr>
        <w:t>   </w:t>
      </w:r>
      <w:r>
        <w:rPr>
          <w:rFonts w:ascii="Cambria" w:hAnsi="Cambria"/>
          <w:b/>
          <w:i/>
          <w:position w:val="2"/>
          <w:sz w:val="28"/>
        </w:rPr>
        <w:t>+0.055595</w:t>
      </w:r>
      <w:r>
        <w:rPr>
          <w:b/>
          <w:position w:val="1"/>
          <w:sz w:val="16"/>
        </w:rPr>
        <w:t>δ</w:t>
      </w:r>
      <w:r>
        <w:rPr>
          <w:rFonts w:ascii="Cambria" w:hAnsi="Cambria"/>
          <w:b/>
          <w:i/>
          <w:sz w:val="18"/>
        </w:rPr>
        <w:t>EXTDEBT</w:t>
      </w:r>
      <w:r>
        <w:rPr>
          <w:rFonts w:ascii="Cambria" w:hAnsi="Cambria"/>
          <w:b/>
          <w:i/>
          <w:spacing w:val="60"/>
          <w:w w:val="150"/>
          <w:sz w:val="18"/>
        </w:rPr>
        <w:t>   </w:t>
      </w:r>
      <w:r>
        <w:rPr>
          <w:rFonts w:ascii="Cambria" w:hAnsi="Cambria"/>
          <w:b/>
          <w:i/>
          <w:position w:val="2"/>
          <w:sz w:val="28"/>
        </w:rPr>
        <w:t>+0.478791</w:t>
      </w:r>
      <w:r>
        <w:rPr>
          <w:rFonts w:ascii="Cambria" w:hAnsi="Cambria"/>
          <w:b/>
          <w:i/>
          <w:sz w:val="18"/>
        </w:rPr>
        <w:t>DFI</w:t>
      </w:r>
      <w:r>
        <w:rPr>
          <w:rFonts w:ascii="Cambria" w:hAnsi="Cambria"/>
          <w:b/>
          <w:i/>
          <w:spacing w:val="60"/>
          <w:w w:val="150"/>
          <w:sz w:val="18"/>
        </w:rPr>
        <w:t>   </w:t>
      </w:r>
      <w:r>
        <w:rPr>
          <w:rFonts w:ascii="Cambria" w:hAnsi="Cambria"/>
          <w:b/>
          <w:i/>
          <w:position w:val="2"/>
          <w:sz w:val="28"/>
        </w:rPr>
        <w:t>+0.317518</w:t>
      </w:r>
      <w:r>
        <w:rPr>
          <w:rFonts w:ascii="Cambria" w:hAnsi="Cambria"/>
          <w:b/>
          <w:i/>
          <w:sz w:val="18"/>
        </w:rPr>
        <w:t>CAB</w:t>
      </w:r>
      <w:r>
        <w:rPr>
          <w:rFonts w:ascii="Cambria" w:hAnsi="Cambria"/>
          <w:b/>
          <w:i/>
          <w:spacing w:val="60"/>
          <w:w w:val="150"/>
          <w:sz w:val="18"/>
        </w:rPr>
        <w:t>   </w:t>
      </w:r>
      <w:r>
        <w:rPr>
          <w:rFonts w:ascii="Cambria" w:hAnsi="Cambria"/>
          <w:b/>
          <w:i/>
          <w:spacing w:val="-10"/>
          <w:position w:val="2"/>
          <w:sz w:val="28"/>
        </w:rPr>
        <w:t>+</w:t>
      </w:r>
    </w:p>
    <w:p>
      <w:pPr>
        <w:pStyle w:val="BodyText"/>
        <w:spacing w:before="1"/>
        <w:rPr>
          <w:rFonts w:ascii="Cambria"/>
          <w:b/>
          <w:i/>
          <w:sz w:val="28"/>
        </w:rPr>
      </w:pPr>
    </w:p>
    <w:p>
      <w:pPr>
        <w:tabs>
          <w:tab w:pos="9324" w:val="left" w:leader="dot"/>
        </w:tabs>
        <w:spacing w:before="1"/>
        <w:ind w:left="711" w:right="0" w:firstLine="0"/>
        <w:jc w:val="both"/>
        <w:rPr>
          <w:rFonts w:ascii="Cambria" w:hAnsi="Cambria"/>
          <w:sz w:val="28"/>
        </w:rPr>
      </w:pPr>
      <w:r>
        <w:rPr>
          <w:b/>
          <w:spacing w:val="-2"/>
          <w:position w:val="2"/>
          <w:sz w:val="24"/>
        </w:rPr>
        <w:t>0.095994</w:t>
      </w:r>
      <w:r>
        <w:rPr>
          <w:b/>
          <w:spacing w:val="-2"/>
          <w:position w:val="1"/>
          <w:sz w:val="16"/>
        </w:rPr>
        <w:t>δ</w:t>
      </w:r>
      <w:r>
        <w:rPr>
          <w:rFonts w:ascii="Cambria" w:hAnsi="Cambria"/>
          <w:b/>
          <w:i/>
          <w:spacing w:val="-2"/>
          <w:sz w:val="18"/>
        </w:rPr>
        <w:t>RES</w:t>
      </w:r>
      <w:r>
        <w:rPr>
          <w:rFonts w:ascii="Cambria" w:hAnsi="Cambria"/>
          <w:b/>
          <w:i/>
          <w:sz w:val="18"/>
        </w:rPr>
        <w:tab/>
      </w:r>
      <w:r>
        <w:rPr>
          <w:rFonts w:ascii="Cambria" w:hAnsi="Cambria"/>
          <w:spacing w:val="-2"/>
          <w:position w:val="2"/>
          <w:sz w:val="28"/>
        </w:rPr>
        <w:t>(4.11)</w:t>
      </w:r>
    </w:p>
    <w:p>
      <w:pPr>
        <w:pStyle w:val="BodyText"/>
        <w:spacing w:before="44"/>
        <w:rPr>
          <w:rFonts w:ascii="Cambria"/>
        </w:rPr>
      </w:pPr>
    </w:p>
    <w:p>
      <w:pPr>
        <w:pStyle w:val="BodyText"/>
        <w:spacing w:line="480" w:lineRule="auto" w:before="1"/>
        <w:ind w:left="711" w:right="471"/>
        <w:jc w:val="both"/>
      </w:pPr>
      <w:r>
        <w:rPr/>
        <w:t>The above results show that all the variables including the constant parameter are positively related to the dependent variable (Gross Domestic Product). The constant parameter, direct foreign investment (DFI) and current account balance (CAB) are statistically significant in explaining the behaviour of the dependent variable (GDP) in the short run in conformity with the expected results.</w:t>
      </w:r>
    </w:p>
    <w:p>
      <w:pPr>
        <w:pStyle w:val="BodyText"/>
        <w:spacing w:line="480" w:lineRule="auto" w:before="2"/>
        <w:ind w:left="711" w:right="468"/>
        <w:jc w:val="both"/>
        <w:rPr>
          <w:rFonts w:ascii="Cambria"/>
        </w:rPr>
      </w:pPr>
      <w:r>
        <w:rPr>
          <w:rFonts w:ascii="Cambria"/>
        </w:rPr>
        <w:t>The result shows that a unit change in the constant parameter will lead to an increase of </w:t>
      </w:r>
      <w:r>
        <w:rPr/>
        <w:t>3.649664 </w:t>
      </w:r>
      <w:r>
        <w:rPr>
          <w:rFonts w:ascii="Cambria"/>
          <w:i/>
          <w:sz w:val="28"/>
        </w:rPr>
        <w:t>in G</w:t>
      </w:r>
      <w:r>
        <w:rPr>
          <w:rFonts w:ascii="Cambria"/>
        </w:rPr>
        <w:t>ross domestic products.</w:t>
      </w:r>
      <w:r>
        <w:rPr>
          <w:rFonts w:ascii="Cambria"/>
          <w:spacing w:val="40"/>
        </w:rPr>
        <w:t> </w:t>
      </w:r>
      <w:r>
        <w:rPr>
          <w:rFonts w:ascii="Cambria"/>
        </w:rPr>
        <w:t>The result also reveals that an increase in change in external debt will increase the level of capital flight </w:t>
      </w:r>
      <w:r>
        <w:rPr/>
        <w:t>0.055595</w:t>
      </w:r>
      <w:r>
        <w:rPr>
          <w:spacing w:val="-7"/>
        </w:rPr>
        <w:t> </w:t>
      </w:r>
      <w:r>
        <w:rPr>
          <w:rFonts w:ascii="Cambria"/>
        </w:rPr>
        <w:t>while an increase in DFI will increase the GDP by </w:t>
      </w:r>
      <w:r>
        <w:rPr/>
        <w:t>0.478791</w:t>
      </w:r>
      <w:r>
        <w:rPr>
          <w:rFonts w:ascii="Cambria"/>
        </w:rPr>
        <w:t>. A unit increase in current account balance (CAB) will lead to an increase of </w:t>
      </w:r>
      <w:r>
        <w:rPr/>
        <w:t>0.317518 </w:t>
      </w:r>
      <w:r>
        <w:rPr>
          <w:rFonts w:ascii="Cambria"/>
        </w:rPr>
        <w:t>in GDP while a unit change in external reserves will lead to increase level of Gross Domestic Product by </w:t>
      </w:r>
      <w:r>
        <w:rPr/>
        <w:t>0.095994</w:t>
      </w:r>
      <w:r>
        <w:rPr>
          <w:rFonts w:ascii="Cambria"/>
        </w:rPr>
        <w:t>.</w:t>
      </w:r>
    </w:p>
    <w:p>
      <w:pPr>
        <w:spacing w:after="0" w:line="480" w:lineRule="auto"/>
        <w:jc w:val="both"/>
        <w:rPr>
          <w:rFonts w:ascii="Cambria"/>
        </w:rPr>
        <w:sectPr>
          <w:pgSz w:w="11910" w:h="16840"/>
          <w:pgMar w:header="0" w:footer="979" w:top="1360" w:bottom="1240" w:left="280" w:right="0"/>
        </w:sectPr>
      </w:pPr>
    </w:p>
    <w:p>
      <w:pPr>
        <w:pStyle w:val="BodyText"/>
        <w:spacing w:line="480" w:lineRule="auto" w:before="81"/>
        <w:ind w:left="711" w:right="471"/>
        <w:jc w:val="both"/>
        <w:rPr>
          <w:rFonts w:ascii="Cambria"/>
        </w:rPr>
      </w:pPr>
      <w:r>
        <w:rPr>
          <w:rFonts w:ascii="Cambria"/>
        </w:rPr>
        <w:t>The Adjusted R</w:t>
      </w:r>
      <w:r>
        <w:rPr>
          <w:rFonts w:ascii="Cambria"/>
          <w:position w:val="6"/>
          <w:sz w:val="16"/>
        </w:rPr>
        <w:t>2 </w:t>
      </w:r>
      <w:r>
        <w:rPr>
          <w:rFonts w:ascii="Cambria"/>
        </w:rPr>
        <w:t>of </w:t>
      </w:r>
      <w:r>
        <w:rPr/>
        <w:t>0.959437 reveals that about 96% of the behaviour of Gross Domestic Product is explained by the independent variables. This was </w:t>
      </w:r>
      <w:r>
        <w:rPr>
          <w:rFonts w:ascii="Cambria"/>
        </w:rPr>
        <w:t>further proved with the adjusted value of </w:t>
      </w:r>
      <w:r>
        <w:rPr/>
        <w:t>0.951324 </w:t>
      </w:r>
      <w:r>
        <w:rPr>
          <w:rFonts w:ascii="Cambria"/>
        </w:rPr>
        <w:t>which implies that 96% explanation of the behaviour of gross domestic product by the totality of the explanatory variables.</w:t>
      </w:r>
    </w:p>
    <w:p>
      <w:pPr>
        <w:spacing w:line="480" w:lineRule="auto" w:before="0"/>
        <w:ind w:left="711" w:right="473" w:firstLine="0"/>
        <w:jc w:val="both"/>
        <w:rPr>
          <w:sz w:val="24"/>
        </w:rPr>
      </w:pPr>
      <w:r>
        <w:rPr>
          <w:b/>
          <w:sz w:val="24"/>
        </w:rPr>
        <w:t>Validation and testing of hypotheses</w:t>
      </w:r>
      <w:r>
        <w:rPr>
          <w:sz w:val="24"/>
        </w:rPr>
        <w:t>: Hypothesis 2 was tested under model 5 wich examine the effect of capital flight on economic growth during the Post-SAP period.</w:t>
      </w:r>
    </w:p>
    <w:p>
      <w:pPr>
        <w:pStyle w:val="BodyText"/>
        <w:ind w:left="711"/>
      </w:pPr>
      <w:r>
        <w:rPr/>
        <w:t>The</w:t>
      </w:r>
      <w:r>
        <w:rPr>
          <w:spacing w:val="-3"/>
        </w:rPr>
        <w:t> </w:t>
      </w:r>
      <w:r>
        <w:rPr/>
        <w:t>hypothesis is re-stated</w:t>
      </w:r>
      <w:r>
        <w:rPr>
          <w:spacing w:val="-1"/>
        </w:rPr>
        <w:t> </w:t>
      </w:r>
      <w:r>
        <w:rPr/>
        <w:t>in</w:t>
      </w:r>
      <w:r>
        <w:rPr>
          <w:spacing w:val="1"/>
        </w:rPr>
        <w:t> </w:t>
      </w:r>
      <w:r>
        <w:rPr/>
        <w:t>the null</w:t>
      </w:r>
      <w:r>
        <w:rPr>
          <w:spacing w:val="-1"/>
        </w:rPr>
        <w:t> </w:t>
      </w:r>
      <w:r>
        <w:rPr/>
        <w:t>form as </w:t>
      </w:r>
      <w:r>
        <w:rPr>
          <w:spacing w:val="-2"/>
        </w:rPr>
        <w:t>follows;</w:t>
      </w:r>
    </w:p>
    <w:p>
      <w:pPr>
        <w:pStyle w:val="BodyText"/>
      </w:pPr>
    </w:p>
    <w:p>
      <w:pPr>
        <w:pStyle w:val="Heading6"/>
        <w:tabs>
          <w:tab w:pos="1379" w:val="left" w:leader="none"/>
        </w:tabs>
        <w:jc w:val="left"/>
        <w:rPr>
          <w:b w:val="0"/>
        </w:rPr>
      </w:pPr>
      <w:r>
        <w:rPr>
          <w:spacing w:val="-4"/>
          <w:position w:val="1"/>
        </w:rPr>
        <w:t>H</w:t>
      </w:r>
      <w:r>
        <w:rPr>
          <w:spacing w:val="-4"/>
          <w:sz w:val="16"/>
        </w:rPr>
        <w:t>02</w:t>
      </w:r>
      <w:r>
        <w:rPr>
          <w:spacing w:val="-4"/>
          <w:position w:val="1"/>
        </w:rPr>
        <w:t>:</w:t>
      </w:r>
      <w:r>
        <w:rPr>
          <w:position w:val="1"/>
        </w:rPr>
        <w:tab/>
        <w:t>Capital</w:t>
      </w:r>
      <w:r>
        <w:rPr>
          <w:spacing w:val="-2"/>
          <w:position w:val="1"/>
        </w:rPr>
        <w:t> </w:t>
      </w:r>
      <w:r>
        <w:rPr>
          <w:position w:val="1"/>
        </w:rPr>
        <w:t>flight</w:t>
      </w:r>
      <w:r>
        <w:rPr>
          <w:spacing w:val="-3"/>
          <w:position w:val="1"/>
        </w:rPr>
        <w:t> </w:t>
      </w:r>
      <w:r>
        <w:rPr>
          <w:position w:val="1"/>
        </w:rPr>
        <w:t>has</w:t>
      </w:r>
      <w:r>
        <w:rPr>
          <w:spacing w:val="-4"/>
          <w:position w:val="1"/>
        </w:rPr>
        <w:t> </w:t>
      </w:r>
      <w:r>
        <w:rPr>
          <w:position w:val="1"/>
        </w:rPr>
        <w:t>no</w:t>
      </w:r>
      <w:r>
        <w:rPr>
          <w:spacing w:val="-2"/>
          <w:position w:val="1"/>
        </w:rPr>
        <w:t> </w:t>
      </w:r>
      <w:r>
        <w:rPr>
          <w:position w:val="1"/>
        </w:rPr>
        <w:t>significant</w:t>
      </w:r>
      <w:r>
        <w:rPr>
          <w:spacing w:val="-2"/>
          <w:position w:val="1"/>
        </w:rPr>
        <w:t> </w:t>
      </w:r>
      <w:r>
        <w:rPr>
          <w:position w:val="1"/>
        </w:rPr>
        <w:t>effect</w:t>
      </w:r>
      <w:r>
        <w:rPr>
          <w:spacing w:val="-2"/>
          <w:position w:val="1"/>
        </w:rPr>
        <w:t> </w:t>
      </w:r>
      <w:r>
        <w:rPr>
          <w:position w:val="1"/>
        </w:rPr>
        <w:t>on</w:t>
      </w:r>
      <w:r>
        <w:rPr>
          <w:spacing w:val="1"/>
          <w:position w:val="1"/>
        </w:rPr>
        <w:t> </w:t>
      </w:r>
      <w:r>
        <w:rPr>
          <w:position w:val="1"/>
        </w:rPr>
        <w:t>the</w:t>
      </w:r>
      <w:r>
        <w:rPr>
          <w:spacing w:val="-3"/>
          <w:position w:val="1"/>
        </w:rPr>
        <w:t> </w:t>
      </w:r>
      <w:r>
        <w:rPr>
          <w:position w:val="1"/>
        </w:rPr>
        <w:t>Nigeria’s economic</w:t>
      </w:r>
      <w:r>
        <w:rPr>
          <w:spacing w:val="1"/>
          <w:position w:val="1"/>
        </w:rPr>
        <w:t> </w:t>
      </w:r>
      <w:r>
        <w:rPr>
          <w:spacing w:val="-2"/>
          <w:position w:val="1"/>
        </w:rPr>
        <w:t>growth</w:t>
      </w:r>
      <w:r>
        <w:rPr>
          <w:b w:val="0"/>
          <w:spacing w:val="-2"/>
          <w:position w:val="1"/>
        </w:rPr>
        <w:t>.</w:t>
      </w:r>
    </w:p>
    <w:p>
      <w:pPr>
        <w:pStyle w:val="BodyText"/>
        <w:spacing w:before="1"/>
      </w:pPr>
    </w:p>
    <w:p>
      <w:pPr>
        <w:pStyle w:val="BodyText"/>
        <w:spacing w:line="480" w:lineRule="auto"/>
        <w:ind w:left="711" w:right="470"/>
        <w:jc w:val="both"/>
      </w:pPr>
      <w:r>
        <w:rPr/>
        <w:t>The probability values from table 4.11 shows that the alternative hypothesis is accepted for direct foreign investment (DFI) and current account balance (CAB) while the null hypothesis is accepted for </w:t>
      </w:r>
      <w:r>
        <w:rPr>
          <w:rFonts w:ascii="Cambria" w:hAnsi="Cambria"/>
        </w:rPr>
        <w:t>Change in External Debt (δEXTDEBT) </w:t>
      </w:r>
      <w:r>
        <w:rPr/>
        <w:t>and change in reserve (δ</w:t>
      </w:r>
      <w:r>
        <w:rPr>
          <w:rFonts w:ascii="Cambria" w:hAnsi="Cambria"/>
          <w:i/>
        </w:rPr>
        <w:t>RES</w:t>
      </w:r>
      <w:r>
        <w:rPr/>
        <w:t>) because their probability values are greater than </w:t>
      </w:r>
      <w:r>
        <w:rPr>
          <w:spacing w:val="-4"/>
        </w:rPr>
        <w:t>5%.</w:t>
      </w:r>
    </w:p>
    <w:p>
      <w:pPr>
        <w:pStyle w:val="Heading2"/>
        <w:spacing w:line="360" w:lineRule="auto" w:before="1"/>
        <w:ind w:right="473"/>
      </w:pPr>
      <w:r>
        <w:rPr/>
        <w:t>Table 4.12 Presentation and Interpretation of Post-SAP Short run Results for Model</w:t>
      </w:r>
      <w:r>
        <w:rPr>
          <w:spacing w:val="40"/>
        </w:rPr>
        <w:t> </w:t>
      </w:r>
      <w:r>
        <w:rPr/>
        <w:t>6B (Morgan Guaranty Trust (1986) approach)</w:t>
      </w:r>
    </w:p>
    <w:p>
      <w:pPr>
        <w:spacing w:line="206" w:lineRule="exact" w:before="0"/>
        <w:ind w:left="1129" w:right="0" w:firstLine="0"/>
        <w:jc w:val="left"/>
        <w:rPr>
          <w:b/>
          <w:sz w:val="18"/>
        </w:rPr>
      </w:pPr>
      <w:r>
        <w:rPr>
          <w:b/>
          <w:sz w:val="18"/>
        </w:rPr>
        <w:t>DEPENDENT</w:t>
      </w:r>
      <w:r>
        <w:rPr>
          <w:b/>
          <w:spacing w:val="1"/>
          <w:sz w:val="18"/>
        </w:rPr>
        <w:t> </w:t>
      </w:r>
      <w:r>
        <w:rPr>
          <w:b/>
          <w:sz w:val="18"/>
        </w:rPr>
        <w:t>VARIABLE</w:t>
      </w:r>
      <w:r>
        <w:rPr>
          <w:b/>
          <w:spacing w:val="-1"/>
          <w:sz w:val="18"/>
        </w:rPr>
        <w:t> </w:t>
      </w:r>
      <w:r>
        <w:rPr>
          <w:b/>
          <w:sz w:val="18"/>
        </w:rPr>
        <w:t>=</w:t>
      </w:r>
      <w:r>
        <w:rPr>
          <w:b/>
          <w:spacing w:val="2"/>
          <w:sz w:val="18"/>
        </w:rPr>
        <w:t> </w:t>
      </w:r>
      <w:r>
        <w:rPr>
          <w:b/>
          <w:spacing w:val="-5"/>
          <w:sz w:val="18"/>
        </w:rPr>
        <w:t>GDP</w:t>
      </w:r>
    </w:p>
    <w:p>
      <w:pPr>
        <w:pStyle w:val="BodyText"/>
        <w:spacing w:before="2"/>
        <w:rPr>
          <w:b/>
          <w:sz w:val="9"/>
        </w:rPr>
      </w:pPr>
    </w:p>
    <w:tbl>
      <w:tblPr>
        <w:tblW w:w="0" w:type="auto"/>
        <w:jc w:val="left"/>
        <w:tblInd w:w="8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04"/>
        <w:gridCol w:w="1868"/>
        <w:gridCol w:w="1923"/>
        <w:gridCol w:w="1758"/>
        <w:gridCol w:w="1520"/>
      </w:tblGrid>
      <w:tr>
        <w:trPr>
          <w:trHeight w:val="1125" w:hRule="atLeast"/>
        </w:trPr>
        <w:tc>
          <w:tcPr>
            <w:tcW w:w="2204" w:type="dxa"/>
          </w:tcPr>
          <w:p>
            <w:pPr>
              <w:pStyle w:val="TableParagraph"/>
              <w:spacing w:line="281" w:lineRule="exact"/>
              <w:ind w:left="105"/>
              <w:rPr>
                <w:rFonts w:ascii="Cambria"/>
                <w:b/>
                <w:sz w:val="24"/>
              </w:rPr>
            </w:pPr>
            <w:r>
              <w:rPr>
                <w:rFonts w:ascii="Cambria"/>
                <w:b/>
                <w:spacing w:val="-2"/>
                <w:sz w:val="24"/>
              </w:rPr>
              <w:t>INDEPENDENT</w:t>
            </w:r>
          </w:p>
          <w:p>
            <w:pPr>
              <w:pStyle w:val="TableParagraph"/>
              <w:spacing w:before="4"/>
              <w:rPr>
                <w:b/>
                <w:sz w:val="24"/>
              </w:rPr>
            </w:pPr>
          </w:p>
          <w:p>
            <w:pPr>
              <w:pStyle w:val="TableParagraph"/>
              <w:ind w:left="105"/>
              <w:rPr>
                <w:rFonts w:ascii="Cambria"/>
                <w:b/>
                <w:sz w:val="24"/>
              </w:rPr>
            </w:pPr>
            <w:r>
              <w:rPr>
                <w:rFonts w:ascii="Cambria"/>
                <w:b/>
                <w:spacing w:val="-2"/>
                <w:sz w:val="24"/>
              </w:rPr>
              <w:t>VARIABLE</w:t>
            </w:r>
          </w:p>
        </w:tc>
        <w:tc>
          <w:tcPr>
            <w:tcW w:w="1868" w:type="dxa"/>
          </w:tcPr>
          <w:p>
            <w:pPr>
              <w:pStyle w:val="TableParagraph"/>
              <w:spacing w:line="281" w:lineRule="exact"/>
              <w:ind w:left="107"/>
              <w:rPr>
                <w:rFonts w:ascii="Cambria"/>
                <w:b/>
                <w:sz w:val="24"/>
              </w:rPr>
            </w:pPr>
            <w:r>
              <w:rPr>
                <w:rFonts w:ascii="Cambria"/>
                <w:b/>
                <w:spacing w:val="-2"/>
                <w:sz w:val="24"/>
              </w:rPr>
              <w:t>COEFFICIENT</w:t>
            </w:r>
          </w:p>
          <w:p>
            <w:pPr>
              <w:pStyle w:val="TableParagraph"/>
              <w:spacing w:before="4"/>
              <w:rPr>
                <w:b/>
                <w:sz w:val="24"/>
              </w:rPr>
            </w:pPr>
          </w:p>
          <w:p>
            <w:pPr>
              <w:pStyle w:val="TableParagraph"/>
              <w:ind w:left="107"/>
              <w:rPr>
                <w:rFonts w:ascii="Cambria"/>
                <w:b/>
                <w:sz w:val="24"/>
              </w:rPr>
            </w:pPr>
            <w:r>
              <w:rPr>
                <w:rFonts w:ascii="Cambria"/>
                <w:b/>
                <w:sz w:val="24"/>
              </w:rPr>
              <w:t>OF</w:t>
            </w:r>
            <w:r>
              <w:rPr>
                <w:rFonts w:ascii="Cambria"/>
                <w:b/>
                <w:spacing w:val="-1"/>
                <w:sz w:val="24"/>
              </w:rPr>
              <w:t> </w:t>
            </w:r>
            <w:r>
              <w:rPr>
                <w:rFonts w:ascii="Cambria"/>
                <w:b/>
                <w:spacing w:val="-2"/>
                <w:sz w:val="24"/>
              </w:rPr>
              <w:t>ESTIMATES</w:t>
            </w:r>
          </w:p>
        </w:tc>
        <w:tc>
          <w:tcPr>
            <w:tcW w:w="1923" w:type="dxa"/>
          </w:tcPr>
          <w:p>
            <w:pPr>
              <w:pStyle w:val="TableParagraph"/>
              <w:spacing w:before="4"/>
              <w:rPr>
                <w:b/>
                <w:sz w:val="24"/>
              </w:rPr>
            </w:pPr>
          </w:p>
          <w:p>
            <w:pPr>
              <w:pStyle w:val="TableParagraph"/>
              <w:ind w:left="107"/>
              <w:rPr>
                <w:rFonts w:ascii="Cambria"/>
                <w:b/>
                <w:sz w:val="24"/>
              </w:rPr>
            </w:pPr>
            <w:r>
              <w:rPr>
                <w:rFonts w:ascii="Cambria"/>
                <w:b/>
                <w:sz w:val="24"/>
              </w:rPr>
              <w:t>T- </w:t>
            </w:r>
            <w:r>
              <w:rPr>
                <w:rFonts w:ascii="Cambria"/>
                <w:b/>
                <w:spacing w:val="-2"/>
                <w:sz w:val="24"/>
              </w:rPr>
              <w:t>STATISTICS</w:t>
            </w:r>
          </w:p>
        </w:tc>
        <w:tc>
          <w:tcPr>
            <w:tcW w:w="1758" w:type="dxa"/>
          </w:tcPr>
          <w:p>
            <w:pPr>
              <w:pStyle w:val="TableParagraph"/>
              <w:spacing w:line="281" w:lineRule="exact"/>
              <w:ind w:left="104"/>
              <w:rPr>
                <w:rFonts w:ascii="Cambria"/>
                <w:b/>
                <w:sz w:val="24"/>
              </w:rPr>
            </w:pPr>
            <w:r>
              <w:rPr>
                <w:rFonts w:ascii="Cambria"/>
                <w:b/>
                <w:spacing w:val="-2"/>
                <w:sz w:val="24"/>
              </w:rPr>
              <w:t>PROBABILITY</w:t>
            </w:r>
          </w:p>
          <w:p>
            <w:pPr>
              <w:pStyle w:val="TableParagraph"/>
              <w:spacing w:before="4"/>
              <w:rPr>
                <w:b/>
                <w:sz w:val="24"/>
              </w:rPr>
            </w:pPr>
          </w:p>
          <w:p>
            <w:pPr>
              <w:pStyle w:val="TableParagraph"/>
              <w:ind w:left="104"/>
              <w:rPr>
                <w:rFonts w:ascii="Cambria"/>
                <w:b/>
                <w:sz w:val="24"/>
              </w:rPr>
            </w:pPr>
            <w:r>
              <w:rPr>
                <w:rFonts w:ascii="Cambria"/>
                <w:b/>
                <w:spacing w:val="-2"/>
                <w:sz w:val="24"/>
              </w:rPr>
              <w:t>VALUE</w:t>
            </w:r>
          </w:p>
        </w:tc>
        <w:tc>
          <w:tcPr>
            <w:tcW w:w="1520" w:type="dxa"/>
          </w:tcPr>
          <w:p>
            <w:pPr>
              <w:pStyle w:val="TableParagraph"/>
              <w:spacing w:line="281" w:lineRule="exact"/>
              <w:ind w:left="104"/>
              <w:rPr>
                <w:rFonts w:ascii="Cambria"/>
                <w:b/>
                <w:sz w:val="24"/>
              </w:rPr>
            </w:pPr>
            <w:r>
              <w:rPr>
                <w:rFonts w:ascii="Cambria"/>
                <w:b/>
                <w:spacing w:val="-2"/>
                <w:sz w:val="24"/>
              </w:rPr>
              <w:t>REMARKS</w:t>
            </w:r>
          </w:p>
        </w:tc>
      </w:tr>
      <w:tr>
        <w:trPr>
          <w:trHeight w:val="275" w:hRule="atLeast"/>
        </w:trPr>
        <w:tc>
          <w:tcPr>
            <w:tcW w:w="2204" w:type="dxa"/>
          </w:tcPr>
          <w:p>
            <w:pPr>
              <w:pStyle w:val="TableParagraph"/>
              <w:spacing w:line="229" w:lineRule="exact"/>
              <w:ind w:left="5" w:right="1"/>
              <w:jc w:val="center"/>
              <w:rPr>
                <w:rFonts w:ascii="Arial MT"/>
                <w:sz w:val="20"/>
              </w:rPr>
            </w:pPr>
            <w:r>
              <w:rPr>
                <w:rFonts w:ascii="Arial MT"/>
                <w:spacing w:val="-10"/>
                <w:sz w:val="20"/>
              </w:rPr>
              <w:t>C</w:t>
            </w:r>
          </w:p>
        </w:tc>
        <w:tc>
          <w:tcPr>
            <w:tcW w:w="1868" w:type="dxa"/>
          </w:tcPr>
          <w:p>
            <w:pPr>
              <w:pStyle w:val="TableParagraph"/>
              <w:spacing w:line="207" w:lineRule="exact"/>
              <w:ind w:right="96"/>
              <w:jc w:val="right"/>
              <w:rPr>
                <w:sz w:val="18"/>
              </w:rPr>
            </w:pPr>
            <w:r>
              <w:rPr>
                <w:spacing w:val="-2"/>
                <w:sz w:val="18"/>
              </w:rPr>
              <w:t>3.896223</w:t>
            </w:r>
          </w:p>
        </w:tc>
        <w:tc>
          <w:tcPr>
            <w:tcW w:w="1923" w:type="dxa"/>
          </w:tcPr>
          <w:p>
            <w:pPr>
              <w:pStyle w:val="TableParagraph"/>
              <w:spacing w:line="207" w:lineRule="exact"/>
              <w:ind w:right="98"/>
              <w:jc w:val="right"/>
              <w:rPr>
                <w:sz w:val="18"/>
              </w:rPr>
            </w:pPr>
            <w:r>
              <w:rPr>
                <w:spacing w:val="-2"/>
                <w:sz w:val="18"/>
              </w:rPr>
              <w:t>5.117079</w:t>
            </w:r>
          </w:p>
        </w:tc>
        <w:tc>
          <w:tcPr>
            <w:tcW w:w="1758" w:type="dxa"/>
          </w:tcPr>
          <w:p>
            <w:pPr>
              <w:pStyle w:val="TableParagraph"/>
              <w:spacing w:line="207" w:lineRule="exact"/>
              <w:ind w:right="101"/>
              <w:jc w:val="right"/>
              <w:rPr>
                <w:sz w:val="18"/>
              </w:rPr>
            </w:pPr>
            <w:r>
              <w:rPr>
                <w:spacing w:val="-2"/>
                <w:sz w:val="18"/>
              </w:rPr>
              <w:t>0.0001</w:t>
            </w:r>
          </w:p>
        </w:tc>
        <w:tc>
          <w:tcPr>
            <w:tcW w:w="1520" w:type="dxa"/>
          </w:tcPr>
          <w:p>
            <w:pPr>
              <w:pStyle w:val="TableParagraph"/>
              <w:spacing w:line="256" w:lineRule="exact"/>
              <w:ind w:right="103"/>
              <w:jc w:val="right"/>
              <w:rPr>
                <w:sz w:val="24"/>
              </w:rPr>
            </w:pPr>
            <w:r>
              <w:rPr>
                <w:spacing w:val="-2"/>
                <w:sz w:val="24"/>
              </w:rPr>
              <w:t>Significant</w:t>
            </w:r>
          </w:p>
        </w:tc>
      </w:tr>
      <w:tr>
        <w:trPr>
          <w:trHeight w:val="330" w:hRule="atLeast"/>
        </w:trPr>
        <w:tc>
          <w:tcPr>
            <w:tcW w:w="2204" w:type="dxa"/>
          </w:tcPr>
          <w:p>
            <w:pPr>
              <w:pStyle w:val="TableParagraph"/>
              <w:spacing w:line="281" w:lineRule="exact"/>
              <w:ind w:left="5" w:right="1"/>
              <w:jc w:val="center"/>
              <w:rPr>
                <w:rFonts w:ascii="Arial MT" w:hAnsi="Arial MT"/>
                <w:sz w:val="20"/>
              </w:rPr>
            </w:pPr>
            <w:r>
              <w:rPr>
                <w:rFonts w:ascii="Cambria" w:hAnsi="Cambria"/>
                <w:spacing w:val="-2"/>
                <w:sz w:val="24"/>
              </w:rPr>
              <w:t>δ</w:t>
            </w:r>
            <w:r>
              <w:rPr>
                <w:rFonts w:ascii="Arial MT" w:hAnsi="Arial MT"/>
                <w:spacing w:val="-2"/>
                <w:sz w:val="20"/>
              </w:rPr>
              <w:t>EXTDEBT</w:t>
            </w:r>
          </w:p>
        </w:tc>
        <w:tc>
          <w:tcPr>
            <w:tcW w:w="1868" w:type="dxa"/>
          </w:tcPr>
          <w:p>
            <w:pPr>
              <w:pStyle w:val="TableParagraph"/>
              <w:spacing w:line="207" w:lineRule="exact"/>
              <w:ind w:right="96"/>
              <w:jc w:val="right"/>
              <w:rPr>
                <w:sz w:val="18"/>
              </w:rPr>
            </w:pPr>
            <w:r>
              <w:rPr>
                <w:spacing w:val="-2"/>
                <w:sz w:val="18"/>
              </w:rPr>
              <w:t>0.026396</w:t>
            </w:r>
          </w:p>
        </w:tc>
        <w:tc>
          <w:tcPr>
            <w:tcW w:w="1923" w:type="dxa"/>
          </w:tcPr>
          <w:p>
            <w:pPr>
              <w:pStyle w:val="TableParagraph"/>
              <w:spacing w:line="207" w:lineRule="exact"/>
              <w:ind w:right="98"/>
              <w:jc w:val="right"/>
              <w:rPr>
                <w:sz w:val="18"/>
              </w:rPr>
            </w:pPr>
            <w:r>
              <w:rPr>
                <w:spacing w:val="-2"/>
                <w:sz w:val="18"/>
              </w:rPr>
              <w:t>0.447786</w:t>
            </w:r>
          </w:p>
        </w:tc>
        <w:tc>
          <w:tcPr>
            <w:tcW w:w="1758" w:type="dxa"/>
          </w:tcPr>
          <w:p>
            <w:pPr>
              <w:pStyle w:val="TableParagraph"/>
              <w:spacing w:line="207" w:lineRule="exact"/>
              <w:ind w:right="101"/>
              <w:jc w:val="right"/>
              <w:rPr>
                <w:sz w:val="18"/>
              </w:rPr>
            </w:pPr>
            <w:r>
              <w:rPr>
                <w:spacing w:val="-2"/>
                <w:sz w:val="18"/>
              </w:rPr>
              <w:t>0.6594</w:t>
            </w:r>
          </w:p>
        </w:tc>
        <w:tc>
          <w:tcPr>
            <w:tcW w:w="1520" w:type="dxa"/>
          </w:tcPr>
          <w:p>
            <w:pPr>
              <w:pStyle w:val="TableParagraph"/>
              <w:spacing w:line="275" w:lineRule="exact"/>
              <w:ind w:right="101"/>
              <w:jc w:val="right"/>
              <w:rPr>
                <w:sz w:val="24"/>
              </w:rPr>
            </w:pPr>
            <w:r>
              <w:rPr>
                <w:spacing w:val="-2"/>
                <w:sz w:val="24"/>
              </w:rPr>
              <w:t>Insignificant</w:t>
            </w:r>
          </w:p>
        </w:tc>
      </w:tr>
      <w:tr>
        <w:trPr>
          <w:trHeight w:val="342" w:hRule="atLeast"/>
        </w:trPr>
        <w:tc>
          <w:tcPr>
            <w:tcW w:w="2204" w:type="dxa"/>
          </w:tcPr>
          <w:p>
            <w:pPr>
              <w:pStyle w:val="TableParagraph"/>
              <w:spacing w:line="229" w:lineRule="exact"/>
              <w:ind w:left="5" w:right="1"/>
              <w:jc w:val="center"/>
              <w:rPr>
                <w:rFonts w:ascii="Arial MT"/>
                <w:sz w:val="20"/>
              </w:rPr>
            </w:pPr>
            <w:r>
              <w:rPr>
                <w:rFonts w:ascii="Arial MT"/>
                <w:spacing w:val="-5"/>
                <w:sz w:val="20"/>
              </w:rPr>
              <w:t>DFI</w:t>
            </w:r>
          </w:p>
        </w:tc>
        <w:tc>
          <w:tcPr>
            <w:tcW w:w="1868" w:type="dxa"/>
          </w:tcPr>
          <w:p>
            <w:pPr>
              <w:pStyle w:val="TableParagraph"/>
              <w:spacing w:line="207" w:lineRule="exact"/>
              <w:ind w:right="96"/>
              <w:jc w:val="right"/>
              <w:rPr>
                <w:sz w:val="18"/>
              </w:rPr>
            </w:pPr>
            <w:r>
              <w:rPr>
                <w:spacing w:val="-2"/>
                <w:sz w:val="18"/>
              </w:rPr>
              <w:t>0.456492</w:t>
            </w:r>
          </w:p>
        </w:tc>
        <w:tc>
          <w:tcPr>
            <w:tcW w:w="1923" w:type="dxa"/>
          </w:tcPr>
          <w:p>
            <w:pPr>
              <w:pStyle w:val="TableParagraph"/>
              <w:spacing w:line="207" w:lineRule="exact"/>
              <w:ind w:right="98"/>
              <w:jc w:val="right"/>
              <w:rPr>
                <w:sz w:val="18"/>
              </w:rPr>
            </w:pPr>
            <w:r>
              <w:rPr>
                <w:spacing w:val="-2"/>
                <w:sz w:val="18"/>
              </w:rPr>
              <w:t>6.109136</w:t>
            </w:r>
          </w:p>
        </w:tc>
        <w:tc>
          <w:tcPr>
            <w:tcW w:w="1758" w:type="dxa"/>
          </w:tcPr>
          <w:p>
            <w:pPr>
              <w:pStyle w:val="TableParagraph"/>
              <w:spacing w:line="207" w:lineRule="exact"/>
              <w:ind w:right="101"/>
              <w:jc w:val="right"/>
              <w:rPr>
                <w:sz w:val="18"/>
              </w:rPr>
            </w:pPr>
            <w:r>
              <w:rPr>
                <w:spacing w:val="-2"/>
                <w:sz w:val="18"/>
              </w:rPr>
              <w:t>0.0000</w:t>
            </w:r>
          </w:p>
        </w:tc>
        <w:tc>
          <w:tcPr>
            <w:tcW w:w="1520" w:type="dxa"/>
          </w:tcPr>
          <w:p>
            <w:pPr>
              <w:pStyle w:val="TableParagraph"/>
              <w:spacing w:line="275" w:lineRule="exact"/>
              <w:ind w:right="103"/>
              <w:jc w:val="right"/>
              <w:rPr>
                <w:sz w:val="24"/>
              </w:rPr>
            </w:pPr>
            <w:r>
              <w:rPr>
                <w:spacing w:val="-2"/>
                <w:sz w:val="24"/>
              </w:rPr>
              <w:t>Significant</w:t>
            </w:r>
          </w:p>
        </w:tc>
      </w:tr>
      <w:tr>
        <w:trPr>
          <w:trHeight w:val="350" w:hRule="atLeast"/>
        </w:trPr>
        <w:tc>
          <w:tcPr>
            <w:tcW w:w="2204" w:type="dxa"/>
          </w:tcPr>
          <w:p>
            <w:pPr>
              <w:pStyle w:val="TableParagraph"/>
              <w:spacing w:line="229" w:lineRule="exact"/>
              <w:ind w:left="5"/>
              <w:jc w:val="center"/>
              <w:rPr>
                <w:rFonts w:ascii="Arial MT"/>
                <w:sz w:val="20"/>
              </w:rPr>
            </w:pPr>
            <w:r>
              <w:rPr>
                <w:rFonts w:ascii="Arial MT"/>
                <w:spacing w:val="-5"/>
                <w:sz w:val="20"/>
              </w:rPr>
              <w:t>CAB</w:t>
            </w:r>
          </w:p>
        </w:tc>
        <w:tc>
          <w:tcPr>
            <w:tcW w:w="1868" w:type="dxa"/>
          </w:tcPr>
          <w:p>
            <w:pPr>
              <w:pStyle w:val="TableParagraph"/>
              <w:spacing w:line="207" w:lineRule="exact"/>
              <w:ind w:right="96"/>
              <w:jc w:val="right"/>
              <w:rPr>
                <w:sz w:val="18"/>
              </w:rPr>
            </w:pPr>
            <w:r>
              <w:rPr>
                <w:spacing w:val="-2"/>
                <w:sz w:val="18"/>
              </w:rPr>
              <w:t>0.290508</w:t>
            </w:r>
          </w:p>
        </w:tc>
        <w:tc>
          <w:tcPr>
            <w:tcW w:w="1923" w:type="dxa"/>
          </w:tcPr>
          <w:p>
            <w:pPr>
              <w:pStyle w:val="TableParagraph"/>
              <w:spacing w:line="207" w:lineRule="exact"/>
              <w:ind w:right="98"/>
              <w:jc w:val="right"/>
              <w:rPr>
                <w:sz w:val="18"/>
              </w:rPr>
            </w:pPr>
            <w:r>
              <w:rPr>
                <w:spacing w:val="-2"/>
                <w:sz w:val="18"/>
              </w:rPr>
              <w:t>3.591736</w:t>
            </w:r>
          </w:p>
        </w:tc>
        <w:tc>
          <w:tcPr>
            <w:tcW w:w="1758" w:type="dxa"/>
          </w:tcPr>
          <w:p>
            <w:pPr>
              <w:pStyle w:val="TableParagraph"/>
              <w:spacing w:line="207" w:lineRule="exact"/>
              <w:ind w:right="101"/>
              <w:jc w:val="right"/>
              <w:rPr>
                <w:sz w:val="18"/>
              </w:rPr>
            </w:pPr>
            <w:r>
              <w:rPr>
                <w:spacing w:val="-2"/>
                <w:sz w:val="18"/>
              </w:rPr>
              <w:t>0.0019</w:t>
            </w:r>
          </w:p>
        </w:tc>
        <w:tc>
          <w:tcPr>
            <w:tcW w:w="1520" w:type="dxa"/>
          </w:tcPr>
          <w:p>
            <w:pPr>
              <w:pStyle w:val="TableParagraph"/>
              <w:spacing w:line="275" w:lineRule="exact"/>
              <w:ind w:right="103"/>
              <w:jc w:val="right"/>
              <w:rPr>
                <w:sz w:val="24"/>
              </w:rPr>
            </w:pPr>
            <w:r>
              <w:rPr>
                <w:spacing w:val="-2"/>
                <w:sz w:val="24"/>
              </w:rPr>
              <w:t>Significant</w:t>
            </w:r>
          </w:p>
        </w:tc>
      </w:tr>
      <w:tr>
        <w:trPr>
          <w:trHeight w:val="350" w:hRule="atLeast"/>
        </w:trPr>
        <w:tc>
          <w:tcPr>
            <w:tcW w:w="2204" w:type="dxa"/>
          </w:tcPr>
          <w:p>
            <w:pPr>
              <w:pStyle w:val="TableParagraph"/>
              <w:spacing w:line="281" w:lineRule="exact"/>
              <w:ind w:left="5" w:right="2"/>
              <w:jc w:val="center"/>
              <w:rPr>
                <w:rFonts w:ascii="Arial MT" w:hAnsi="Arial MT"/>
                <w:sz w:val="20"/>
              </w:rPr>
            </w:pPr>
            <w:r>
              <w:rPr>
                <w:rFonts w:ascii="Cambria" w:hAnsi="Cambria"/>
                <w:spacing w:val="-4"/>
                <w:sz w:val="24"/>
              </w:rPr>
              <w:t>δ</w:t>
            </w:r>
            <w:r>
              <w:rPr>
                <w:rFonts w:ascii="Arial MT" w:hAnsi="Arial MT"/>
                <w:spacing w:val="-4"/>
                <w:sz w:val="20"/>
              </w:rPr>
              <w:t>RES</w:t>
            </w:r>
          </w:p>
        </w:tc>
        <w:tc>
          <w:tcPr>
            <w:tcW w:w="1868" w:type="dxa"/>
          </w:tcPr>
          <w:p>
            <w:pPr>
              <w:pStyle w:val="TableParagraph"/>
              <w:spacing w:line="207" w:lineRule="exact"/>
              <w:ind w:right="96"/>
              <w:jc w:val="right"/>
              <w:rPr>
                <w:sz w:val="18"/>
              </w:rPr>
            </w:pPr>
            <w:r>
              <w:rPr>
                <w:spacing w:val="-2"/>
                <w:sz w:val="18"/>
              </w:rPr>
              <w:t>0.061527</w:t>
            </w:r>
          </w:p>
        </w:tc>
        <w:tc>
          <w:tcPr>
            <w:tcW w:w="1923" w:type="dxa"/>
          </w:tcPr>
          <w:p>
            <w:pPr>
              <w:pStyle w:val="TableParagraph"/>
              <w:spacing w:line="207" w:lineRule="exact"/>
              <w:ind w:right="98"/>
              <w:jc w:val="right"/>
              <w:rPr>
                <w:sz w:val="18"/>
              </w:rPr>
            </w:pPr>
            <w:r>
              <w:rPr>
                <w:spacing w:val="-2"/>
                <w:sz w:val="18"/>
              </w:rPr>
              <w:t>0.709184</w:t>
            </w:r>
          </w:p>
        </w:tc>
        <w:tc>
          <w:tcPr>
            <w:tcW w:w="1758" w:type="dxa"/>
          </w:tcPr>
          <w:p>
            <w:pPr>
              <w:pStyle w:val="TableParagraph"/>
              <w:spacing w:line="207" w:lineRule="exact"/>
              <w:ind w:right="101"/>
              <w:jc w:val="right"/>
              <w:rPr>
                <w:sz w:val="18"/>
              </w:rPr>
            </w:pPr>
            <w:r>
              <w:rPr>
                <w:spacing w:val="-2"/>
                <w:sz w:val="18"/>
              </w:rPr>
              <w:t>0.4868</w:t>
            </w:r>
          </w:p>
        </w:tc>
        <w:tc>
          <w:tcPr>
            <w:tcW w:w="1520" w:type="dxa"/>
          </w:tcPr>
          <w:p>
            <w:pPr>
              <w:pStyle w:val="TableParagraph"/>
              <w:spacing w:line="275" w:lineRule="exact"/>
              <w:ind w:right="101"/>
              <w:jc w:val="right"/>
              <w:rPr>
                <w:sz w:val="24"/>
              </w:rPr>
            </w:pPr>
            <w:r>
              <w:rPr>
                <w:spacing w:val="-2"/>
                <w:sz w:val="24"/>
              </w:rPr>
              <w:t>Insignificant</w:t>
            </w:r>
          </w:p>
        </w:tc>
      </w:tr>
      <w:tr>
        <w:trPr>
          <w:trHeight w:val="350" w:hRule="atLeast"/>
        </w:trPr>
        <w:tc>
          <w:tcPr>
            <w:tcW w:w="2204" w:type="dxa"/>
          </w:tcPr>
          <w:p>
            <w:pPr>
              <w:pStyle w:val="TableParagraph"/>
              <w:ind w:left="5" w:right="2"/>
              <w:jc w:val="center"/>
              <w:rPr>
                <w:rFonts w:ascii="Cambria" w:hAnsi="Cambria"/>
                <w:sz w:val="24"/>
              </w:rPr>
            </w:pPr>
            <w:r>
              <w:rPr>
                <w:rFonts w:ascii="Cambria" w:hAnsi="Cambria"/>
                <w:spacing w:val="-2"/>
                <w:sz w:val="24"/>
              </w:rPr>
              <w:t>δNEXTAS</w:t>
            </w:r>
          </w:p>
        </w:tc>
        <w:tc>
          <w:tcPr>
            <w:tcW w:w="1868" w:type="dxa"/>
          </w:tcPr>
          <w:p>
            <w:pPr>
              <w:pStyle w:val="TableParagraph"/>
              <w:ind w:right="96"/>
              <w:jc w:val="right"/>
              <w:rPr>
                <w:sz w:val="18"/>
              </w:rPr>
            </w:pPr>
            <w:r>
              <w:rPr>
                <w:spacing w:val="-2"/>
                <w:sz w:val="18"/>
              </w:rPr>
              <w:t>0.094702</w:t>
            </w:r>
          </w:p>
        </w:tc>
        <w:tc>
          <w:tcPr>
            <w:tcW w:w="1923" w:type="dxa"/>
          </w:tcPr>
          <w:p>
            <w:pPr>
              <w:pStyle w:val="TableParagraph"/>
              <w:ind w:right="98"/>
              <w:jc w:val="right"/>
              <w:rPr>
                <w:sz w:val="18"/>
              </w:rPr>
            </w:pPr>
            <w:r>
              <w:rPr>
                <w:spacing w:val="-2"/>
                <w:sz w:val="18"/>
              </w:rPr>
              <w:t>1.055371</w:t>
            </w:r>
          </w:p>
        </w:tc>
        <w:tc>
          <w:tcPr>
            <w:tcW w:w="1758" w:type="dxa"/>
          </w:tcPr>
          <w:p>
            <w:pPr>
              <w:pStyle w:val="TableParagraph"/>
              <w:ind w:right="101"/>
              <w:jc w:val="right"/>
              <w:rPr>
                <w:sz w:val="18"/>
              </w:rPr>
            </w:pPr>
            <w:r>
              <w:rPr>
                <w:spacing w:val="-2"/>
                <w:sz w:val="18"/>
              </w:rPr>
              <w:t>0.3045</w:t>
            </w:r>
          </w:p>
        </w:tc>
        <w:tc>
          <w:tcPr>
            <w:tcW w:w="1520" w:type="dxa"/>
          </w:tcPr>
          <w:p>
            <w:pPr>
              <w:pStyle w:val="TableParagraph"/>
              <w:spacing w:line="276" w:lineRule="exact"/>
              <w:ind w:right="101"/>
              <w:jc w:val="right"/>
              <w:rPr>
                <w:sz w:val="24"/>
              </w:rPr>
            </w:pPr>
            <w:r>
              <w:rPr>
                <w:spacing w:val="-2"/>
                <w:sz w:val="24"/>
              </w:rPr>
              <w:t>Insignificant</w:t>
            </w:r>
          </w:p>
        </w:tc>
      </w:tr>
    </w:tbl>
    <w:tbl>
      <w:tblPr>
        <w:tblW w:w="0" w:type="auto"/>
        <w:jc w:val="left"/>
        <w:tblInd w:w="7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23"/>
        <w:gridCol w:w="1899"/>
        <w:gridCol w:w="2979"/>
        <w:gridCol w:w="1748"/>
      </w:tblGrid>
      <w:tr>
        <w:trPr>
          <w:trHeight w:val="270" w:hRule="atLeast"/>
        </w:trPr>
        <w:tc>
          <w:tcPr>
            <w:tcW w:w="2723" w:type="dxa"/>
          </w:tcPr>
          <w:p>
            <w:pPr>
              <w:pStyle w:val="TableParagraph"/>
              <w:spacing w:line="251" w:lineRule="exact"/>
              <w:ind w:left="43"/>
              <w:rPr>
                <w:sz w:val="24"/>
              </w:rPr>
            </w:pPr>
            <w:r>
              <w:rPr>
                <w:sz w:val="24"/>
              </w:rPr>
              <w:t>R-</w:t>
            </w:r>
            <w:r>
              <w:rPr>
                <w:spacing w:val="-2"/>
                <w:sz w:val="24"/>
              </w:rPr>
              <w:t>squared</w:t>
            </w:r>
          </w:p>
        </w:tc>
        <w:tc>
          <w:tcPr>
            <w:tcW w:w="1899" w:type="dxa"/>
          </w:tcPr>
          <w:p>
            <w:pPr>
              <w:pStyle w:val="TableParagraph"/>
              <w:spacing w:line="251" w:lineRule="exact"/>
              <w:ind w:right="147"/>
              <w:jc w:val="right"/>
              <w:rPr>
                <w:sz w:val="24"/>
              </w:rPr>
            </w:pPr>
            <w:r>
              <w:rPr>
                <w:spacing w:val="-2"/>
                <w:sz w:val="24"/>
              </w:rPr>
              <w:t>0.961683</w:t>
            </w:r>
          </w:p>
        </w:tc>
        <w:tc>
          <w:tcPr>
            <w:tcW w:w="2979" w:type="dxa"/>
          </w:tcPr>
          <w:p>
            <w:pPr>
              <w:pStyle w:val="TableParagraph"/>
              <w:spacing w:line="251" w:lineRule="exact"/>
              <w:ind w:left="152"/>
              <w:rPr>
                <w:sz w:val="24"/>
              </w:rPr>
            </w:pPr>
            <w:r>
              <w:rPr>
                <w:sz w:val="24"/>
              </w:rPr>
              <w:t>Mean</w:t>
            </w:r>
            <w:r>
              <w:rPr>
                <w:spacing w:val="-2"/>
                <w:sz w:val="24"/>
              </w:rPr>
              <w:t> </w:t>
            </w:r>
            <w:r>
              <w:rPr>
                <w:sz w:val="24"/>
              </w:rPr>
              <w:t>dependent</w:t>
            </w:r>
            <w:r>
              <w:rPr>
                <w:spacing w:val="-1"/>
                <w:sz w:val="24"/>
              </w:rPr>
              <w:t> </w:t>
            </w:r>
            <w:r>
              <w:rPr>
                <w:spacing w:val="-5"/>
                <w:sz w:val="24"/>
              </w:rPr>
              <w:t>var</w:t>
            </w:r>
          </w:p>
        </w:tc>
        <w:tc>
          <w:tcPr>
            <w:tcW w:w="1748" w:type="dxa"/>
          </w:tcPr>
          <w:p>
            <w:pPr>
              <w:pStyle w:val="TableParagraph"/>
              <w:spacing w:line="251" w:lineRule="exact"/>
              <w:ind w:right="25"/>
              <w:jc w:val="right"/>
              <w:rPr>
                <w:sz w:val="24"/>
              </w:rPr>
            </w:pPr>
            <w:r>
              <w:rPr>
                <w:spacing w:val="-2"/>
                <w:sz w:val="24"/>
              </w:rPr>
              <w:t>14.90560</w:t>
            </w:r>
          </w:p>
        </w:tc>
      </w:tr>
      <w:tr>
        <w:trPr>
          <w:trHeight w:val="275" w:hRule="atLeast"/>
        </w:trPr>
        <w:tc>
          <w:tcPr>
            <w:tcW w:w="2723" w:type="dxa"/>
          </w:tcPr>
          <w:p>
            <w:pPr>
              <w:pStyle w:val="TableParagraph"/>
              <w:spacing w:line="256" w:lineRule="exact"/>
              <w:ind w:left="43"/>
              <w:rPr>
                <w:sz w:val="24"/>
              </w:rPr>
            </w:pPr>
            <w:r>
              <w:rPr>
                <w:sz w:val="24"/>
              </w:rPr>
              <w:t>Adjusted</w:t>
            </w:r>
            <w:r>
              <w:rPr>
                <w:spacing w:val="-1"/>
                <w:sz w:val="24"/>
              </w:rPr>
              <w:t> </w:t>
            </w:r>
            <w:r>
              <w:rPr>
                <w:sz w:val="24"/>
              </w:rPr>
              <w:t>R-</w:t>
            </w:r>
            <w:r>
              <w:rPr>
                <w:spacing w:val="-2"/>
                <w:sz w:val="24"/>
              </w:rPr>
              <w:t>squared</w:t>
            </w:r>
          </w:p>
        </w:tc>
        <w:tc>
          <w:tcPr>
            <w:tcW w:w="1899" w:type="dxa"/>
          </w:tcPr>
          <w:p>
            <w:pPr>
              <w:pStyle w:val="TableParagraph"/>
              <w:spacing w:line="256" w:lineRule="exact"/>
              <w:ind w:right="147"/>
              <w:jc w:val="right"/>
              <w:rPr>
                <w:sz w:val="24"/>
              </w:rPr>
            </w:pPr>
            <w:r>
              <w:rPr>
                <w:spacing w:val="-2"/>
                <w:sz w:val="24"/>
              </w:rPr>
              <w:t>0.951599</w:t>
            </w:r>
          </w:p>
        </w:tc>
        <w:tc>
          <w:tcPr>
            <w:tcW w:w="2979" w:type="dxa"/>
          </w:tcPr>
          <w:p>
            <w:pPr>
              <w:pStyle w:val="TableParagraph"/>
              <w:spacing w:line="256" w:lineRule="exact"/>
              <w:ind w:left="152"/>
              <w:rPr>
                <w:sz w:val="24"/>
              </w:rPr>
            </w:pPr>
            <w:r>
              <w:rPr>
                <w:sz w:val="24"/>
              </w:rPr>
              <w:t>S.D.</w:t>
            </w:r>
            <w:r>
              <w:rPr>
                <w:spacing w:val="-4"/>
                <w:sz w:val="24"/>
              </w:rPr>
              <w:t> </w:t>
            </w:r>
            <w:r>
              <w:rPr>
                <w:sz w:val="24"/>
              </w:rPr>
              <w:t>dependent</w:t>
            </w:r>
            <w:r>
              <w:rPr>
                <w:spacing w:val="-2"/>
                <w:sz w:val="24"/>
              </w:rPr>
              <w:t> </w:t>
            </w:r>
            <w:r>
              <w:rPr>
                <w:spacing w:val="-5"/>
                <w:sz w:val="24"/>
              </w:rPr>
              <w:t>var</w:t>
            </w:r>
          </w:p>
        </w:tc>
        <w:tc>
          <w:tcPr>
            <w:tcW w:w="1748" w:type="dxa"/>
          </w:tcPr>
          <w:p>
            <w:pPr>
              <w:pStyle w:val="TableParagraph"/>
              <w:spacing w:line="256" w:lineRule="exact"/>
              <w:ind w:right="25"/>
              <w:jc w:val="right"/>
              <w:rPr>
                <w:sz w:val="24"/>
              </w:rPr>
            </w:pPr>
            <w:r>
              <w:rPr>
                <w:spacing w:val="-2"/>
                <w:sz w:val="24"/>
              </w:rPr>
              <w:t>1.825435</w:t>
            </w:r>
          </w:p>
        </w:tc>
      </w:tr>
      <w:tr>
        <w:trPr>
          <w:trHeight w:val="276" w:hRule="atLeast"/>
        </w:trPr>
        <w:tc>
          <w:tcPr>
            <w:tcW w:w="2723" w:type="dxa"/>
          </w:tcPr>
          <w:p>
            <w:pPr>
              <w:pStyle w:val="TableParagraph"/>
              <w:spacing w:line="256" w:lineRule="exact"/>
              <w:ind w:left="43"/>
              <w:rPr>
                <w:sz w:val="24"/>
              </w:rPr>
            </w:pPr>
            <w:r>
              <w:rPr>
                <w:sz w:val="24"/>
              </w:rPr>
              <w:t>S.E. of</w:t>
            </w:r>
            <w:r>
              <w:rPr>
                <w:spacing w:val="-1"/>
                <w:sz w:val="24"/>
              </w:rPr>
              <w:t> </w:t>
            </w:r>
            <w:r>
              <w:rPr>
                <w:spacing w:val="-2"/>
                <w:sz w:val="24"/>
              </w:rPr>
              <w:t>regression</w:t>
            </w:r>
          </w:p>
        </w:tc>
        <w:tc>
          <w:tcPr>
            <w:tcW w:w="1899" w:type="dxa"/>
          </w:tcPr>
          <w:p>
            <w:pPr>
              <w:pStyle w:val="TableParagraph"/>
              <w:spacing w:line="256" w:lineRule="exact"/>
              <w:ind w:right="147"/>
              <w:jc w:val="right"/>
              <w:rPr>
                <w:sz w:val="24"/>
              </w:rPr>
            </w:pPr>
            <w:r>
              <w:rPr>
                <w:spacing w:val="-2"/>
                <w:sz w:val="24"/>
              </w:rPr>
              <w:t>0.401598</w:t>
            </w:r>
          </w:p>
        </w:tc>
        <w:tc>
          <w:tcPr>
            <w:tcW w:w="2979" w:type="dxa"/>
          </w:tcPr>
          <w:p>
            <w:pPr>
              <w:pStyle w:val="TableParagraph"/>
              <w:spacing w:line="256" w:lineRule="exact"/>
              <w:ind w:left="152"/>
              <w:rPr>
                <w:sz w:val="24"/>
              </w:rPr>
            </w:pPr>
            <w:r>
              <w:rPr>
                <w:sz w:val="24"/>
              </w:rPr>
              <w:t>Akaike</w:t>
            </w:r>
            <w:r>
              <w:rPr>
                <w:spacing w:val="-4"/>
                <w:sz w:val="24"/>
              </w:rPr>
              <w:t> </w:t>
            </w:r>
            <w:r>
              <w:rPr>
                <w:sz w:val="24"/>
              </w:rPr>
              <w:t>info</w:t>
            </w:r>
            <w:r>
              <w:rPr>
                <w:spacing w:val="-1"/>
                <w:sz w:val="24"/>
              </w:rPr>
              <w:t> </w:t>
            </w:r>
            <w:r>
              <w:rPr>
                <w:spacing w:val="-2"/>
                <w:sz w:val="24"/>
              </w:rPr>
              <w:t>criterion</w:t>
            </w:r>
          </w:p>
        </w:tc>
        <w:tc>
          <w:tcPr>
            <w:tcW w:w="1748" w:type="dxa"/>
          </w:tcPr>
          <w:p>
            <w:pPr>
              <w:pStyle w:val="TableParagraph"/>
              <w:spacing w:line="256" w:lineRule="exact"/>
              <w:ind w:right="25"/>
              <w:jc w:val="right"/>
              <w:rPr>
                <w:sz w:val="24"/>
              </w:rPr>
            </w:pPr>
            <w:r>
              <w:rPr>
                <w:spacing w:val="-2"/>
                <w:sz w:val="24"/>
              </w:rPr>
              <w:t>1.218833</w:t>
            </w:r>
          </w:p>
        </w:tc>
      </w:tr>
      <w:tr>
        <w:trPr>
          <w:trHeight w:val="276" w:hRule="atLeast"/>
        </w:trPr>
        <w:tc>
          <w:tcPr>
            <w:tcW w:w="2723" w:type="dxa"/>
          </w:tcPr>
          <w:p>
            <w:pPr>
              <w:pStyle w:val="TableParagraph"/>
              <w:spacing w:line="256" w:lineRule="exact"/>
              <w:ind w:left="43"/>
              <w:rPr>
                <w:sz w:val="24"/>
              </w:rPr>
            </w:pPr>
            <w:r>
              <w:rPr>
                <w:sz w:val="24"/>
              </w:rPr>
              <w:t>Sum</w:t>
            </w:r>
            <w:r>
              <w:rPr>
                <w:spacing w:val="-2"/>
                <w:sz w:val="24"/>
              </w:rPr>
              <w:t> </w:t>
            </w:r>
            <w:r>
              <w:rPr>
                <w:sz w:val="24"/>
              </w:rPr>
              <w:t>squared</w:t>
            </w:r>
            <w:r>
              <w:rPr>
                <w:spacing w:val="-1"/>
                <w:sz w:val="24"/>
              </w:rPr>
              <w:t> </w:t>
            </w:r>
            <w:r>
              <w:rPr>
                <w:spacing w:val="-4"/>
                <w:sz w:val="24"/>
              </w:rPr>
              <w:t>resid</w:t>
            </w:r>
          </w:p>
        </w:tc>
        <w:tc>
          <w:tcPr>
            <w:tcW w:w="1899" w:type="dxa"/>
          </w:tcPr>
          <w:p>
            <w:pPr>
              <w:pStyle w:val="TableParagraph"/>
              <w:spacing w:line="256" w:lineRule="exact"/>
              <w:ind w:right="147"/>
              <w:jc w:val="right"/>
              <w:rPr>
                <w:sz w:val="24"/>
              </w:rPr>
            </w:pPr>
            <w:r>
              <w:rPr>
                <w:spacing w:val="-2"/>
                <w:sz w:val="24"/>
              </w:rPr>
              <w:t>3.064339</w:t>
            </w:r>
          </w:p>
        </w:tc>
        <w:tc>
          <w:tcPr>
            <w:tcW w:w="2979" w:type="dxa"/>
          </w:tcPr>
          <w:p>
            <w:pPr>
              <w:pStyle w:val="TableParagraph"/>
              <w:spacing w:line="256" w:lineRule="exact"/>
              <w:ind w:left="152"/>
              <w:rPr>
                <w:sz w:val="24"/>
              </w:rPr>
            </w:pPr>
            <w:r>
              <w:rPr>
                <w:sz w:val="24"/>
              </w:rPr>
              <w:t>Schwarz</w:t>
            </w:r>
            <w:r>
              <w:rPr>
                <w:spacing w:val="-5"/>
                <w:sz w:val="24"/>
              </w:rPr>
              <w:t> </w:t>
            </w:r>
            <w:r>
              <w:rPr>
                <w:spacing w:val="-2"/>
                <w:sz w:val="24"/>
              </w:rPr>
              <w:t>criterion</w:t>
            </w:r>
          </w:p>
        </w:tc>
        <w:tc>
          <w:tcPr>
            <w:tcW w:w="1748" w:type="dxa"/>
          </w:tcPr>
          <w:p>
            <w:pPr>
              <w:pStyle w:val="TableParagraph"/>
              <w:spacing w:line="256" w:lineRule="exact"/>
              <w:ind w:right="25"/>
              <w:jc w:val="right"/>
              <w:rPr>
                <w:sz w:val="24"/>
              </w:rPr>
            </w:pPr>
            <w:r>
              <w:rPr>
                <w:spacing w:val="-2"/>
                <w:sz w:val="24"/>
              </w:rPr>
              <w:t>1.511363</w:t>
            </w:r>
          </w:p>
        </w:tc>
      </w:tr>
      <w:tr>
        <w:trPr>
          <w:trHeight w:val="276" w:hRule="atLeast"/>
        </w:trPr>
        <w:tc>
          <w:tcPr>
            <w:tcW w:w="2723" w:type="dxa"/>
          </w:tcPr>
          <w:p>
            <w:pPr>
              <w:pStyle w:val="TableParagraph"/>
              <w:spacing w:line="256" w:lineRule="exact"/>
              <w:ind w:left="43"/>
              <w:rPr>
                <w:sz w:val="24"/>
              </w:rPr>
            </w:pPr>
            <w:r>
              <w:rPr>
                <w:sz w:val="24"/>
              </w:rPr>
              <w:t>Log</w:t>
            </w:r>
            <w:r>
              <w:rPr>
                <w:spacing w:val="-4"/>
                <w:sz w:val="24"/>
              </w:rPr>
              <w:t> </w:t>
            </w:r>
            <w:r>
              <w:rPr>
                <w:spacing w:val="-2"/>
                <w:sz w:val="24"/>
              </w:rPr>
              <w:t>likelihood</w:t>
            </w:r>
          </w:p>
        </w:tc>
        <w:tc>
          <w:tcPr>
            <w:tcW w:w="1899" w:type="dxa"/>
          </w:tcPr>
          <w:p>
            <w:pPr>
              <w:pStyle w:val="TableParagraph"/>
              <w:spacing w:line="256" w:lineRule="exact"/>
              <w:ind w:right="147"/>
              <w:jc w:val="right"/>
              <w:rPr>
                <w:sz w:val="24"/>
              </w:rPr>
            </w:pPr>
            <w:r>
              <w:rPr>
                <w:spacing w:val="-2"/>
                <w:sz w:val="24"/>
              </w:rPr>
              <w:t>-9.235413</w:t>
            </w:r>
          </w:p>
        </w:tc>
        <w:tc>
          <w:tcPr>
            <w:tcW w:w="2979" w:type="dxa"/>
          </w:tcPr>
          <w:p>
            <w:pPr>
              <w:pStyle w:val="TableParagraph"/>
              <w:spacing w:line="256" w:lineRule="exact"/>
              <w:ind w:left="152"/>
              <w:rPr>
                <w:sz w:val="24"/>
              </w:rPr>
            </w:pPr>
            <w:r>
              <w:rPr>
                <w:spacing w:val="-2"/>
                <w:sz w:val="24"/>
              </w:rPr>
              <w:t>F-statistic</w:t>
            </w:r>
          </w:p>
        </w:tc>
        <w:tc>
          <w:tcPr>
            <w:tcW w:w="1748" w:type="dxa"/>
          </w:tcPr>
          <w:p>
            <w:pPr>
              <w:pStyle w:val="TableParagraph"/>
              <w:spacing w:line="256" w:lineRule="exact"/>
              <w:ind w:right="25"/>
              <w:jc w:val="right"/>
              <w:rPr>
                <w:sz w:val="24"/>
              </w:rPr>
            </w:pPr>
            <w:r>
              <w:rPr>
                <w:spacing w:val="-2"/>
                <w:sz w:val="24"/>
              </w:rPr>
              <w:t>95.37242</w:t>
            </w:r>
          </w:p>
        </w:tc>
      </w:tr>
      <w:tr>
        <w:trPr>
          <w:trHeight w:val="311" w:hRule="atLeast"/>
        </w:trPr>
        <w:tc>
          <w:tcPr>
            <w:tcW w:w="2723" w:type="dxa"/>
            <w:tcBorders>
              <w:bottom w:val="double" w:sz="6" w:space="0" w:color="000000"/>
            </w:tcBorders>
          </w:tcPr>
          <w:p>
            <w:pPr>
              <w:pStyle w:val="TableParagraph"/>
              <w:spacing w:line="271" w:lineRule="exact"/>
              <w:ind w:left="43"/>
              <w:rPr>
                <w:sz w:val="24"/>
              </w:rPr>
            </w:pPr>
            <w:r>
              <w:rPr>
                <w:sz w:val="24"/>
              </w:rPr>
              <w:t>Durbin-Watson</w:t>
            </w:r>
            <w:r>
              <w:rPr>
                <w:spacing w:val="-3"/>
                <w:sz w:val="24"/>
              </w:rPr>
              <w:t> </w:t>
            </w:r>
            <w:r>
              <w:rPr>
                <w:spacing w:val="-4"/>
                <w:sz w:val="24"/>
              </w:rPr>
              <w:t>stat</w:t>
            </w:r>
          </w:p>
        </w:tc>
        <w:tc>
          <w:tcPr>
            <w:tcW w:w="1899" w:type="dxa"/>
          </w:tcPr>
          <w:p>
            <w:pPr>
              <w:pStyle w:val="TableParagraph"/>
              <w:spacing w:line="271" w:lineRule="exact"/>
              <w:ind w:right="147"/>
              <w:jc w:val="right"/>
              <w:rPr>
                <w:sz w:val="24"/>
              </w:rPr>
            </w:pPr>
            <w:r>
              <w:rPr>
                <w:spacing w:val="-2"/>
                <w:sz w:val="24"/>
              </w:rPr>
              <w:t>1.313706</w:t>
            </w:r>
          </w:p>
        </w:tc>
        <w:tc>
          <w:tcPr>
            <w:tcW w:w="2979" w:type="dxa"/>
            <w:tcBorders>
              <w:bottom w:val="double" w:sz="6" w:space="0" w:color="000000"/>
            </w:tcBorders>
          </w:tcPr>
          <w:p>
            <w:pPr>
              <w:pStyle w:val="TableParagraph"/>
              <w:spacing w:line="271" w:lineRule="exact"/>
              <w:ind w:left="152"/>
              <w:rPr>
                <w:sz w:val="24"/>
              </w:rPr>
            </w:pPr>
            <w:r>
              <w:rPr>
                <w:spacing w:val="-2"/>
                <w:sz w:val="24"/>
              </w:rPr>
              <w:t>Prob(F-statistic)</w:t>
            </w:r>
          </w:p>
        </w:tc>
        <w:tc>
          <w:tcPr>
            <w:tcW w:w="1748" w:type="dxa"/>
          </w:tcPr>
          <w:p>
            <w:pPr>
              <w:pStyle w:val="TableParagraph"/>
              <w:spacing w:line="271" w:lineRule="exact"/>
              <w:ind w:right="25"/>
              <w:jc w:val="right"/>
              <w:rPr>
                <w:sz w:val="24"/>
              </w:rPr>
            </w:pPr>
            <w:r>
              <w:rPr>
                <w:spacing w:val="-2"/>
                <w:sz w:val="24"/>
              </w:rPr>
              <w:t>0.000000</w:t>
            </w:r>
          </w:p>
        </w:tc>
      </w:tr>
    </w:tbl>
    <w:p>
      <w:pPr>
        <w:pStyle w:val="BodyText"/>
        <w:spacing w:before="12"/>
        <w:ind w:left="711"/>
      </w:pPr>
      <w:r>
        <w:rPr>
          <w:b/>
        </w:rPr>
        <w:t>Source:</w:t>
      </w:r>
      <w:r>
        <w:rPr>
          <w:b/>
          <w:spacing w:val="-2"/>
        </w:rPr>
        <w:t> </w:t>
      </w:r>
      <w:r>
        <w:rPr/>
        <w:t>Computation,</w:t>
      </w:r>
      <w:r>
        <w:rPr>
          <w:spacing w:val="-1"/>
        </w:rPr>
        <w:t> </w:t>
      </w:r>
      <w:r>
        <w:rPr/>
        <w:t>using</w:t>
      </w:r>
      <w:r>
        <w:rPr>
          <w:spacing w:val="-4"/>
        </w:rPr>
        <w:t> </w:t>
      </w:r>
      <w:r>
        <w:rPr/>
        <w:t>E-view</w:t>
      </w:r>
      <w:r>
        <w:rPr>
          <w:spacing w:val="-1"/>
        </w:rPr>
        <w:t> </w:t>
      </w:r>
      <w:r>
        <w:rPr/>
        <w:t>statistical</w:t>
      </w:r>
      <w:r>
        <w:rPr>
          <w:spacing w:val="-1"/>
        </w:rPr>
        <w:t> </w:t>
      </w:r>
      <w:r>
        <w:rPr>
          <w:spacing w:val="-2"/>
        </w:rPr>
        <w:t>package</w:t>
      </w:r>
    </w:p>
    <w:p>
      <w:pPr>
        <w:spacing w:after="0"/>
        <w:sectPr>
          <w:pgSz w:w="11910" w:h="16840"/>
          <w:pgMar w:header="0" w:footer="979" w:top="1340" w:bottom="1240" w:left="280" w:right="0"/>
        </w:sectPr>
      </w:pPr>
    </w:p>
    <w:p>
      <w:pPr>
        <w:pStyle w:val="BodyText"/>
        <w:spacing w:line="480" w:lineRule="auto" w:before="81"/>
        <w:ind w:left="711" w:right="478"/>
        <w:jc w:val="both"/>
        <w:rPr>
          <w:rFonts w:ascii="Cambria"/>
        </w:rPr>
      </w:pPr>
      <w:r>
        <w:rPr>
          <w:rFonts w:ascii="Cambria"/>
        </w:rPr>
        <w:t>The short-run relationship between gross domestic product and the explanatory variable can be expressed mathematically belowb as:</w:t>
      </w:r>
    </w:p>
    <w:p>
      <w:pPr>
        <w:spacing w:before="0"/>
        <w:ind w:left="711" w:right="0" w:firstLine="0"/>
        <w:jc w:val="both"/>
        <w:rPr>
          <w:rFonts w:ascii="Cambria" w:hAnsi="Cambria"/>
          <w:b/>
          <w:i/>
          <w:sz w:val="18"/>
        </w:rPr>
      </w:pPr>
      <w:r>
        <w:rPr>
          <w:rFonts w:ascii="Cambria" w:hAnsi="Cambria"/>
          <w:b/>
          <w:i/>
          <w:position w:val="2"/>
          <w:sz w:val="28"/>
        </w:rPr>
        <w:t>GDP</w:t>
      </w:r>
      <w:r>
        <w:rPr>
          <w:rFonts w:ascii="Cambria" w:hAnsi="Cambria"/>
          <w:b/>
          <w:i/>
          <w:sz w:val="18"/>
        </w:rPr>
        <w:t>PRESAP</w:t>
      </w:r>
      <w:r>
        <w:rPr>
          <w:rFonts w:ascii="Cambria" w:hAnsi="Cambria"/>
          <w:b/>
          <w:i/>
          <w:spacing w:val="55"/>
          <w:sz w:val="18"/>
        </w:rPr>
        <w:t>  </w:t>
      </w:r>
      <w:r>
        <w:rPr>
          <w:rFonts w:ascii="Cambria" w:hAnsi="Cambria"/>
          <w:b/>
          <w:i/>
          <w:position w:val="2"/>
          <w:sz w:val="28"/>
        </w:rPr>
        <w:t>=</w:t>
      </w:r>
      <w:r>
        <w:rPr>
          <w:rFonts w:ascii="Cambria" w:hAnsi="Cambria"/>
          <w:b/>
          <w:i/>
          <w:spacing w:val="31"/>
          <w:position w:val="2"/>
          <w:sz w:val="28"/>
        </w:rPr>
        <w:t>  </w:t>
      </w:r>
      <w:r>
        <w:rPr>
          <w:position w:val="2"/>
          <w:sz w:val="24"/>
        </w:rPr>
        <w:t>3.896223</w:t>
      </w:r>
      <w:r>
        <w:rPr>
          <w:spacing w:val="34"/>
          <w:position w:val="2"/>
          <w:sz w:val="24"/>
        </w:rPr>
        <w:t>  </w:t>
      </w:r>
      <w:r>
        <w:rPr>
          <w:position w:val="2"/>
          <w:sz w:val="24"/>
        </w:rPr>
        <w:t>+</w:t>
      </w:r>
      <w:r>
        <w:rPr>
          <w:spacing w:val="33"/>
          <w:position w:val="2"/>
          <w:sz w:val="24"/>
        </w:rPr>
        <w:t>  </w:t>
      </w:r>
      <w:r>
        <w:rPr>
          <w:position w:val="2"/>
          <w:sz w:val="24"/>
        </w:rPr>
        <w:t>0.026396</w:t>
      </w:r>
      <w:r>
        <w:rPr>
          <w:b/>
          <w:position w:val="1"/>
          <w:sz w:val="16"/>
        </w:rPr>
        <w:t>δ</w:t>
      </w:r>
      <w:r>
        <w:rPr>
          <w:rFonts w:ascii="Cambria" w:hAnsi="Cambria"/>
          <w:b/>
          <w:i/>
          <w:sz w:val="18"/>
        </w:rPr>
        <w:t>EXTDEBT</w:t>
      </w:r>
      <w:r>
        <w:rPr>
          <w:rFonts w:ascii="Cambria" w:hAnsi="Cambria"/>
          <w:b/>
          <w:i/>
          <w:spacing w:val="55"/>
          <w:sz w:val="18"/>
        </w:rPr>
        <w:t>  </w:t>
      </w:r>
      <w:r>
        <w:rPr>
          <w:rFonts w:ascii="Cambria" w:hAnsi="Cambria"/>
          <w:b/>
          <w:i/>
          <w:position w:val="2"/>
          <w:sz w:val="28"/>
        </w:rPr>
        <w:t>+</w:t>
      </w:r>
      <w:r>
        <w:rPr>
          <w:rFonts w:ascii="Cambria" w:hAnsi="Cambria"/>
          <w:b/>
          <w:i/>
          <w:spacing w:val="33"/>
          <w:position w:val="2"/>
          <w:sz w:val="28"/>
        </w:rPr>
        <w:t>  </w:t>
      </w:r>
      <w:r>
        <w:rPr>
          <w:position w:val="2"/>
          <w:sz w:val="24"/>
        </w:rPr>
        <w:t>0.456492</w:t>
      </w:r>
      <w:r>
        <w:rPr>
          <w:rFonts w:ascii="Cambria" w:hAnsi="Cambria"/>
          <w:b/>
          <w:i/>
          <w:sz w:val="18"/>
        </w:rPr>
        <w:t>DFI</w:t>
      </w:r>
      <w:r>
        <w:rPr>
          <w:rFonts w:ascii="Cambria" w:hAnsi="Cambria"/>
          <w:b/>
          <w:i/>
          <w:spacing w:val="54"/>
          <w:sz w:val="18"/>
        </w:rPr>
        <w:t>  </w:t>
      </w:r>
      <w:r>
        <w:rPr>
          <w:rFonts w:ascii="Cambria" w:hAnsi="Cambria"/>
          <w:b/>
          <w:i/>
          <w:position w:val="2"/>
          <w:sz w:val="28"/>
        </w:rPr>
        <w:t>+</w:t>
      </w:r>
      <w:r>
        <w:rPr>
          <w:rFonts w:ascii="Cambria" w:hAnsi="Cambria"/>
          <w:b/>
          <w:i/>
          <w:spacing w:val="32"/>
          <w:position w:val="2"/>
          <w:sz w:val="28"/>
        </w:rPr>
        <w:t>  </w:t>
      </w:r>
      <w:r>
        <w:rPr>
          <w:position w:val="2"/>
          <w:sz w:val="24"/>
        </w:rPr>
        <w:t>0.290508</w:t>
      </w:r>
      <w:r>
        <w:rPr>
          <w:rFonts w:ascii="Cambria" w:hAnsi="Cambria"/>
          <w:b/>
          <w:i/>
          <w:sz w:val="18"/>
        </w:rPr>
        <w:t>CAB</w:t>
      </w:r>
      <w:r>
        <w:rPr>
          <w:rFonts w:ascii="Cambria" w:hAnsi="Cambria"/>
          <w:b/>
          <w:i/>
          <w:spacing w:val="55"/>
          <w:sz w:val="18"/>
        </w:rPr>
        <w:t>  </w:t>
      </w:r>
      <w:r>
        <w:rPr>
          <w:rFonts w:ascii="Cambria" w:hAnsi="Cambria"/>
          <w:b/>
          <w:i/>
          <w:position w:val="2"/>
          <w:sz w:val="28"/>
        </w:rPr>
        <w:t>+</w:t>
      </w:r>
      <w:r>
        <w:rPr>
          <w:rFonts w:ascii="Cambria" w:hAnsi="Cambria"/>
          <w:b/>
          <w:i/>
          <w:spacing w:val="33"/>
          <w:position w:val="2"/>
          <w:sz w:val="28"/>
        </w:rPr>
        <w:t>  </w:t>
      </w:r>
      <w:r>
        <w:rPr>
          <w:position w:val="2"/>
          <w:sz w:val="24"/>
        </w:rPr>
        <w:t>0.061527</w:t>
      </w:r>
      <w:r>
        <w:rPr>
          <w:b/>
          <w:position w:val="1"/>
          <w:sz w:val="16"/>
        </w:rPr>
        <w:t>δ</w:t>
      </w:r>
      <w:r>
        <w:rPr>
          <w:rFonts w:ascii="Cambria" w:hAnsi="Cambria"/>
          <w:b/>
          <w:i/>
          <w:sz w:val="18"/>
        </w:rPr>
        <w:t>RES</w:t>
      </w:r>
      <w:r>
        <w:rPr>
          <w:rFonts w:ascii="Cambria" w:hAnsi="Cambria"/>
          <w:b/>
          <w:i/>
          <w:spacing w:val="44"/>
          <w:sz w:val="18"/>
        </w:rPr>
        <w:t>  </w:t>
      </w:r>
      <w:r>
        <w:rPr>
          <w:rFonts w:ascii="Cambria" w:hAnsi="Cambria"/>
          <w:b/>
          <w:i/>
          <w:spacing w:val="-10"/>
          <w:sz w:val="18"/>
        </w:rPr>
        <w:t>+</w:t>
      </w:r>
    </w:p>
    <w:p>
      <w:pPr>
        <w:pStyle w:val="BodyText"/>
        <w:spacing w:before="46"/>
        <w:rPr>
          <w:rFonts w:ascii="Cambria"/>
          <w:b/>
          <w:i/>
        </w:rPr>
      </w:pPr>
    </w:p>
    <w:p>
      <w:pPr>
        <w:tabs>
          <w:tab w:pos="8135" w:val="left" w:leader="dot"/>
        </w:tabs>
        <w:spacing w:before="0"/>
        <w:ind w:left="711" w:right="0" w:firstLine="0"/>
        <w:jc w:val="both"/>
        <w:rPr>
          <w:rFonts w:ascii="Cambria" w:hAnsi="Cambria"/>
          <w:sz w:val="28"/>
        </w:rPr>
      </w:pPr>
      <w:r>
        <w:rPr>
          <w:spacing w:val="-2"/>
          <w:position w:val="1"/>
          <w:sz w:val="24"/>
        </w:rPr>
        <w:t>0.094702</w:t>
      </w:r>
      <w:r>
        <w:rPr>
          <w:rFonts w:ascii="Cambria" w:hAnsi="Cambria"/>
          <w:spacing w:val="-2"/>
          <w:sz w:val="16"/>
        </w:rPr>
        <w:t>δNEXTAS</w:t>
      </w:r>
      <w:r>
        <w:rPr>
          <w:sz w:val="16"/>
        </w:rPr>
        <w:tab/>
      </w:r>
      <w:r>
        <w:rPr>
          <w:rFonts w:ascii="Cambria" w:hAnsi="Cambria"/>
          <w:spacing w:val="-2"/>
          <w:position w:val="1"/>
          <w:sz w:val="28"/>
        </w:rPr>
        <w:t>(4.12)</w:t>
      </w:r>
    </w:p>
    <w:p>
      <w:pPr>
        <w:pStyle w:val="BodyText"/>
        <w:rPr>
          <w:rFonts w:ascii="Cambria"/>
          <w:sz w:val="16"/>
        </w:rPr>
      </w:pPr>
    </w:p>
    <w:p>
      <w:pPr>
        <w:pStyle w:val="BodyText"/>
        <w:rPr>
          <w:rFonts w:ascii="Cambria"/>
          <w:sz w:val="16"/>
        </w:rPr>
      </w:pPr>
    </w:p>
    <w:p>
      <w:pPr>
        <w:pStyle w:val="BodyText"/>
        <w:rPr>
          <w:rFonts w:ascii="Cambria"/>
          <w:sz w:val="16"/>
        </w:rPr>
      </w:pPr>
    </w:p>
    <w:p>
      <w:pPr>
        <w:pStyle w:val="BodyText"/>
        <w:rPr>
          <w:rFonts w:ascii="Cambria"/>
          <w:sz w:val="16"/>
        </w:rPr>
      </w:pPr>
    </w:p>
    <w:p>
      <w:pPr>
        <w:pStyle w:val="BodyText"/>
        <w:spacing w:before="48"/>
        <w:rPr>
          <w:rFonts w:ascii="Cambria"/>
          <w:sz w:val="16"/>
        </w:rPr>
      </w:pPr>
    </w:p>
    <w:p>
      <w:pPr>
        <w:pStyle w:val="BodyText"/>
        <w:spacing w:line="480" w:lineRule="auto" w:before="1"/>
        <w:ind w:left="711" w:right="471"/>
        <w:jc w:val="both"/>
      </w:pPr>
      <w:r>
        <w:rPr/>
        <w:t>Just like the case of the World Bank &amp; Erbe (1985) approach, Morgan Guaranty Trust approach gave</w:t>
      </w:r>
      <w:r>
        <w:rPr>
          <w:spacing w:val="40"/>
        </w:rPr>
        <w:t> </w:t>
      </w:r>
      <w:r>
        <w:rPr/>
        <w:t>similar results. The analysis shows that all the variables including the constant parameter are positively related to the dependent variable (Gross Domestic Product). The constant parameter, direct foreign investment (DFI) and current account balance (CAB) are statistically</w:t>
      </w:r>
      <w:r>
        <w:rPr>
          <w:spacing w:val="-4"/>
        </w:rPr>
        <w:t> </w:t>
      </w:r>
      <w:r>
        <w:rPr/>
        <w:t>significant in explaining</w:t>
      </w:r>
      <w:r>
        <w:rPr>
          <w:spacing w:val="-1"/>
        </w:rPr>
        <w:t> </w:t>
      </w:r>
      <w:r>
        <w:rPr/>
        <w:t>the</w:t>
      </w:r>
      <w:r>
        <w:rPr>
          <w:spacing w:val="-2"/>
        </w:rPr>
        <w:t> </w:t>
      </w:r>
      <w:r>
        <w:rPr/>
        <w:t>behaviour of the dependent variable (GDP) in the short run in conformity with the expected results. </w:t>
      </w:r>
      <w:r>
        <w:rPr>
          <w:rFonts w:ascii="Cambria" w:hAnsi="Cambria"/>
        </w:rPr>
        <w:t>The result shows that a unit change in the constant parameter will lead to an increase of </w:t>
      </w:r>
      <w:r>
        <w:rPr/>
        <w:t>3.896223 </w:t>
      </w:r>
      <w:r>
        <w:rPr>
          <w:rFonts w:ascii="Cambria" w:hAnsi="Cambria"/>
          <w:i/>
          <w:sz w:val="28"/>
        </w:rPr>
        <w:t>in G</w:t>
      </w:r>
      <w:r>
        <w:rPr>
          <w:rFonts w:ascii="Cambria" w:hAnsi="Cambria"/>
        </w:rPr>
        <w:t>ross domestic products.</w:t>
      </w:r>
      <w:r>
        <w:rPr>
          <w:rFonts w:ascii="Cambria" w:hAnsi="Cambria"/>
          <w:spacing w:val="40"/>
        </w:rPr>
        <w:t> </w:t>
      </w:r>
      <w:r>
        <w:rPr>
          <w:rFonts w:ascii="Cambria" w:hAnsi="Cambria"/>
        </w:rPr>
        <w:t>The result also reveals that an increase in change in external debt will increase the level of capital</w:t>
      </w:r>
      <w:r>
        <w:rPr>
          <w:rFonts w:ascii="Cambria" w:hAnsi="Cambria"/>
          <w:spacing w:val="-1"/>
        </w:rPr>
        <w:t> </w:t>
      </w:r>
      <w:r>
        <w:rPr>
          <w:rFonts w:ascii="Cambria" w:hAnsi="Cambria"/>
        </w:rPr>
        <w:t>flight by </w:t>
      </w:r>
      <w:r>
        <w:rPr/>
        <w:t>0.026396</w:t>
      </w:r>
      <w:r>
        <w:rPr>
          <w:spacing w:val="-10"/>
        </w:rPr>
        <w:t> </w:t>
      </w:r>
      <w:r>
        <w:rPr>
          <w:rFonts w:ascii="Cambria" w:hAnsi="Cambria"/>
        </w:rPr>
        <w:t>while an</w:t>
      </w:r>
      <w:r>
        <w:rPr>
          <w:rFonts w:ascii="Cambria" w:hAnsi="Cambria"/>
          <w:spacing w:val="-2"/>
        </w:rPr>
        <w:t> </w:t>
      </w:r>
      <w:r>
        <w:rPr>
          <w:rFonts w:ascii="Cambria" w:hAnsi="Cambria"/>
        </w:rPr>
        <w:t>increase</w:t>
      </w:r>
      <w:r>
        <w:rPr>
          <w:rFonts w:ascii="Cambria" w:hAnsi="Cambria"/>
          <w:spacing w:val="-2"/>
        </w:rPr>
        <w:t> </w:t>
      </w:r>
      <w:r>
        <w:rPr>
          <w:rFonts w:ascii="Cambria" w:hAnsi="Cambria"/>
        </w:rPr>
        <w:t>in DFI</w:t>
      </w:r>
      <w:r>
        <w:rPr>
          <w:rFonts w:ascii="Cambria" w:hAnsi="Cambria"/>
          <w:spacing w:val="-1"/>
        </w:rPr>
        <w:t> </w:t>
      </w:r>
      <w:r>
        <w:rPr>
          <w:rFonts w:ascii="Cambria" w:hAnsi="Cambria"/>
        </w:rPr>
        <w:t>will increase the GDP</w:t>
      </w:r>
      <w:r>
        <w:rPr>
          <w:rFonts w:ascii="Cambria" w:hAnsi="Cambria"/>
          <w:spacing w:val="-2"/>
        </w:rPr>
        <w:t> </w:t>
      </w:r>
      <w:r>
        <w:rPr>
          <w:rFonts w:ascii="Cambria" w:hAnsi="Cambria"/>
        </w:rPr>
        <w:t>by </w:t>
      </w:r>
      <w:r>
        <w:rPr/>
        <w:t>0.456492</w:t>
      </w:r>
      <w:r>
        <w:rPr>
          <w:rFonts w:ascii="Cambria" w:hAnsi="Cambria"/>
        </w:rPr>
        <w:t>.</w:t>
      </w:r>
      <w:r>
        <w:rPr>
          <w:rFonts w:ascii="Cambria" w:hAnsi="Cambria"/>
          <w:spacing w:val="-2"/>
        </w:rPr>
        <w:t> </w:t>
      </w:r>
      <w:r>
        <w:rPr>
          <w:rFonts w:ascii="Cambria" w:hAnsi="Cambria"/>
        </w:rPr>
        <w:t>A</w:t>
      </w:r>
      <w:r>
        <w:rPr>
          <w:rFonts w:ascii="Cambria" w:hAnsi="Cambria"/>
          <w:spacing w:val="-1"/>
        </w:rPr>
        <w:t> </w:t>
      </w:r>
      <w:r>
        <w:rPr>
          <w:rFonts w:ascii="Cambria" w:hAnsi="Cambria"/>
        </w:rPr>
        <w:t>unit</w:t>
      </w:r>
      <w:r>
        <w:rPr>
          <w:rFonts w:ascii="Cambria" w:hAnsi="Cambria"/>
          <w:spacing w:val="-2"/>
        </w:rPr>
        <w:t> </w:t>
      </w:r>
      <w:r>
        <w:rPr>
          <w:rFonts w:ascii="Cambria" w:hAnsi="Cambria"/>
        </w:rPr>
        <w:t>increase in current account balance (CAB) will lead to an increase of </w:t>
      </w:r>
      <w:r>
        <w:rPr/>
        <w:t>0.290508 </w:t>
      </w:r>
      <w:r>
        <w:rPr>
          <w:rFonts w:ascii="Cambria" w:hAnsi="Cambria"/>
        </w:rPr>
        <w:t>in GDP while a unit change in external</w:t>
      </w:r>
      <w:r>
        <w:rPr>
          <w:rFonts w:ascii="Cambria" w:hAnsi="Cambria"/>
          <w:spacing w:val="-2"/>
        </w:rPr>
        <w:t> </w:t>
      </w:r>
      <w:r>
        <w:rPr>
          <w:rFonts w:ascii="Cambria" w:hAnsi="Cambria"/>
        </w:rPr>
        <w:t>reserves</w:t>
      </w:r>
      <w:r>
        <w:rPr>
          <w:rFonts w:ascii="Cambria" w:hAnsi="Cambria"/>
          <w:spacing w:val="-1"/>
        </w:rPr>
        <w:t> </w:t>
      </w:r>
      <w:r>
        <w:rPr>
          <w:rFonts w:ascii="Cambria" w:hAnsi="Cambria"/>
        </w:rPr>
        <w:t>will</w:t>
      </w:r>
      <w:r>
        <w:rPr>
          <w:rFonts w:ascii="Cambria" w:hAnsi="Cambria"/>
          <w:spacing w:val="-2"/>
        </w:rPr>
        <w:t> </w:t>
      </w:r>
      <w:r>
        <w:rPr>
          <w:rFonts w:ascii="Cambria" w:hAnsi="Cambria"/>
        </w:rPr>
        <w:t>lead</w:t>
      </w:r>
      <w:r>
        <w:rPr>
          <w:rFonts w:ascii="Cambria" w:hAnsi="Cambria"/>
          <w:spacing w:val="-2"/>
        </w:rPr>
        <w:t> </w:t>
      </w:r>
      <w:r>
        <w:rPr>
          <w:rFonts w:ascii="Cambria" w:hAnsi="Cambria"/>
        </w:rPr>
        <w:t>to</w:t>
      </w:r>
      <w:r>
        <w:rPr>
          <w:rFonts w:ascii="Cambria" w:hAnsi="Cambria"/>
          <w:spacing w:val="-1"/>
        </w:rPr>
        <w:t> </w:t>
      </w:r>
      <w:r>
        <w:rPr>
          <w:rFonts w:ascii="Cambria" w:hAnsi="Cambria"/>
        </w:rPr>
        <w:t>increase</w:t>
      </w:r>
      <w:r>
        <w:rPr>
          <w:rFonts w:ascii="Cambria" w:hAnsi="Cambria"/>
          <w:spacing w:val="-1"/>
        </w:rPr>
        <w:t> </w:t>
      </w:r>
      <w:r>
        <w:rPr>
          <w:rFonts w:ascii="Cambria" w:hAnsi="Cambria"/>
        </w:rPr>
        <w:t>level</w:t>
      </w:r>
      <w:r>
        <w:rPr>
          <w:rFonts w:ascii="Cambria" w:hAnsi="Cambria"/>
          <w:spacing w:val="-2"/>
        </w:rPr>
        <w:t> </w:t>
      </w:r>
      <w:r>
        <w:rPr>
          <w:rFonts w:ascii="Cambria" w:hAnsi="Cambria"/>
        </w:rPr>
        <w:t>of</w:t>
      </w:r>
      <w:r>
        <w:rPr>
          <w:rFonts w:ascii="Cambria" w:hAnsi="Cambria"/>
          <w:spacing w:val="-2"/>
        </w:rPr>
        <w:t> </w:t>
      </w:r>
      <w:r>
        <w:rPr>
          <w:rFonts w:ascii="Cambria" w:hAnsi="Cambria"/>
        </w:rPr>
        <w:t>Gross</w:t>
      </w:r>
      <w:r>
        <w:rPr>
          <w:rFonts w:ascii="Cambria" w:hAnsi="Cambria"/>
          <w:spacing w:val="-1"/>
        </w:rPr>
        <w:t> </w:t>
      </w:r>
      <w:r>
        <w:rPr>
          <w:rFonts w:ascii="Cambria" w:hAnsi="Cambria"/>
        </w:rPr>
        <w:t>Domestic</w:t>
      </w:r>
      <w:r>
        <w:rPr>
          <w:rFonts w:ascii="Cambria" w:hAnsi="Cambria"/>
          <w:spacing w:val="-2"/>
        </w:rPr>
        <w:t> </w:t>
      </w:r>
      <w:r>
        <w:rPr>
          <w:rFonts w:ascii="Cambria" w:hAnsi="Cambria"/>
        </w:rPr>
        <w:t>Product by</w:t>
      </w:r>
      <w:r>
        <w:rPr>
          <w:rFonts w:ascii="Cambria" w:hAnsi="Cambria"/>
          <w:spacing w:val="-2"/>
        </w:rPr>
        <w:t> </w:t>
      </w:r>
      <w:r>
        <w:rPr/>
        <w:t>0.061527</w:t>
      </w:r>
      <w:r>
        <w:rPr>
          <w:spacing w:val="-1"/>
        </w:rPr>
        <w:t> </w:t>
      </w:r>
      <w:r>
        <w:rPr/>
        <w:t>and a</w:t>
      </w:r>
      <w:r>
        <w:rPr>
          <w:spacing w:val="-2"/>
        </w:rPr>
        <w:t> </w:t>
      </w:r>
      <w:r>
        <w:rPr/>
        <w:t>unit</w:t>
      </w:r>
      <w:r>
        <w:rPr>
          <w:spacing w:val="-1"/>
        </w:rPr>
        <w:t> </w:t>
      </w:r>
      <w:r>
        <w:rPr/>
        <w:t>change</w:t>
      </w:r>
      <w:r>
        <w:rPr>
          <w:spacing w:val="-2"/>
        </w:rPr>
        <w:t> </w:t>
      </w:r>
      <w:r>
        <w:rPr/>
        <w:t>in net foreign asset of domestic banking (</w:t>
      </w:r>
      <w:r>
        <w:rPr>
          <w:rFonts w:ascii="Cambria" w:hAnsi="Cambria"/>
        </w:rPr>
        <w:t>δNEXTAS</w:t>
      </w:r>
      <w:r>
        <w:rPr/>
        <w:t>) will lead to an increase of </w:t>
      </w:r>
      <w:r>
        <w:rPr>
          <w:rFonts w:ascii="Cambria" w:hAnsi="Cambria"/>
        </w:rPr>
        <w:t>0.094702</w:t>
      </w:r>
      <w:r>
        <w:rPr/>
        <w:t>.</w:t>
      </w:r>
    </w:p>
    <w:p>
      <w:pPr>
        <w:pStyle w:val="BodyText"/>
        <w:spacing w:line="480" w:lineRule="auto" w:before="1"/>
        <w:ind w:left="711" w:right="471"/>
        <w:jc w:val="both"/>
        <w:rPr>
          <w:rFonts w:ascii="Cambria"/>
        </w:rPr>
      </w:pPr>
      <w:r>
        <w:rPr>
          <w:rFonts w:ascii="Cambria"/>
        </w:rPr>
        <w:t>The Adjusted R</w:t>
      </w:r>
      <w:r>
        <w:rPr>
          <w:rFonts w:ascii="Cambria"/>
          <w:position w:val="6"/>
          <w:sz w:val="16"/>
        </w:rPr>
        <w:t>2 </w:t>
      </w:r>
      <w:r>
        <w:rPr>
          <w:rFonts w:ascii="Cambria"/>
        </w:rPr>
        <w:t>of </w:t>
      </w:r>
      <w:r>
        <w:rPr/>
        <w:t>0.961683 reveals that about 96% of the behaviour of Gross Domestic Product is explained by the independent variables. This was </w:t>
      </w:r>
      <w:r>
        <w:rPr>
          <w:rFonts w:ascii="Cambria"/>
        </w:rPr>
        <w:t>further proved with the adjusted value of </w:t>
      </w:r>
      <w:r>
        <w:rPr/>
        <w:t>0.951599 </w:t>
      </w:r>
      <w:r>
        <w:rPr>
          <w:sz w:val="20"/>
        </w:rPr>
        <w:t>which </w:t>
      </w:r>
      <w:r>
        <w:rPr>
          <w:rFonts w:ascii="Cambria"/>
        </w:rPr>
        <w:t>implies that 96% explanation of the behaviour of gross domestic product by the totality of the explanatory variables.</w:t>
      </w:r>
    </w:p>
    <w:p>
      <w:pPr>
        <w:pStyle w:val="BodyText"/>
        <w:spacing w:before="270"/>
        <w:rPr>
          <w:rFonts w:ascii="Cambria"/>
        </w:rPr>
      </w:pPr>
    </w:p>
    <w:p>
      <w:pPr>
        <w:spacing w:line="480" w:lineRule="auto" w:before="0"/>
        <w:ind w:left="711" w:right="473" w:firstLine="0"/>
        <w:jc w:val="both"/>
        <w:rPr>
          <w:sz w:val="24"/>
        </w:rPr>
      </w:pPr>
      <w:r>
        <w:rPr>
          <w:b/>
          <w:sz w:val="24"/>
        </w:rPr>
        <w:t>Validation and testing of hypotheses</w:t>
      </w:r>
      <w:r>
        <w:rPr>
          <w:sz w:val="24"/>
        </w:rPr>
        <w:t>: Hypothesis 2 was tested under model 5 wich examine the effect of capital flight on economic growth during the Post-SAP period.</w:t>
      </w:r>
    </w:p>
    <w:p>
      <w:pPr>
        <w:pStyle w:val="BodyText"/>
        <w:ind w:left="711"/>
        <w:jc w:val="both"/>
      </w:pPr>
      <w:r>
        <w:rPr/>
        <w:t>The</w:t>
      </w:r>
      <w:r>
        <w:rPr>
          <w:spacing w:val="-3"/>
        </w:rPr>
        <w:t> </w:t>
      </w:r>
      <w:r>
        <w:rPr/>
        <w:t>hypothesis is re-stated</w:t>
      </w:r>
      <w:r>
        <w:rPr>
          <w:spacing w:val="-1"/>
        </w:rPr>
        <w:t> </w:t>
      </w:r>
      <w:r>
        <w:rPr/>
        <w:t>in</w:t>
      </w:r>
      <w:r>
        <w:rPr>
          <w:spacing w:val="1"/>
        </w:rPr>
        <w:t> </w:t>
      </w:r>
      <w:r>
        <w:rPr/>
        <w:t>the null</w:t>
      </w:r>
      <w:r>
        <w:rPr>
          <w:spacing w:val="-1"/>
        </w:rPr>
        <w:t> </w:t>
      </w:r>
      <w:r>
        <w:rPr/>
        <w:t>form as </w:t>
      </w:r>
      <w:r>
        <w:rPr>
          <w:spacing w:val="-2"/>
        </w:rPr>
        <w:t>follows;</w:t>
      </w:r>
    </w:p>
    <w:p>
      <w:pPr>
        <w:pStyle w:val="BodyText"/>
      </w:pPr>
    </w:p>
    <w:p>
      <w:pPr>
        <w:pStyle w:val="Heading6"/>
        <w:rPr>
          <w:b w:val="0"/>
        </w:rPr>
      </w:pPr>
      <w:r>
        <w:rPr>
          <w:position w:val="1"/>
        </w:rPr>
        <w:t>H</w:t>
      </w:r>
      <w:r>
        <w:rPr>
          <w:sz w:val="16"/>
        </w:rPr>
        <w:t>02</w:t>
      </w:r>
      <w:r>
        <w:rPr>
          <w:position w:val="1"/>
        </w:rPr>
        <w:t>:</w:t>
      </w:r>
      <w:r>
        <w:rPr>
          <w:spacing w:val="55"/>
          <w:position w:val="1"/>
        </w:rPr>
        <w:t>  </w:t>
      </w:r>
      <w:r>
        <w:rPr>
          <w:position w:val="1"/>
        </w:rPr>
        <w:t>Capital</w:t>
      </w:r>
      <w:r>
        <w:rPr>
          <w:spacing w:val="-1"/>
          <w:position w:val="1"/>
        </w:rPr>
        <w:t> </w:t>
      </w:r>
      <w:r>
        <w:rPr>
          <w:position w:val="1"/>
        </w:rPr>
        <w:t>flight</w:t>
      </w:r>
      <w:r>
        <w:rPr>
          <w:spacing w:val="-1"/>
          <w:position w:val="1"/>
        </w:rPr>
        <w:t> </w:t>
      </w:r>
      <w:r>
        <w:rPr>
          <w:position w:val="1"/>
        </w:rPr>
        <w:t>has</w:t>
      </w:r>
      <w:r>
        <w:rPr>
          <w:spacing w:val="-3"/>
          <w:position w:val="1"/>
        </w:rPr>
        <w:t> </w:t>
      </w:r>
      <w:r>
        <w:rPr>
          <w:position w:val="1"/>
        </w:rPr>
        <w:t>no</w:t>
      </w:r>
      <w:r>
        <w:rPr>
          <w:spacing w:val="-2"/>
          <w:position w:val="1"/>
        </w:rPr>
        <w:t> </w:t>
      </w:r>
      <w:r>
        <w:rPr>
          <w:position w:val="1"/>
        </w:rPr>
        <w:t>significant</w:t>
      </w:r>
      <w:r>
        <w:rPr>
          <w:spacing w:val="-1"/>
          <w:position w:val="1"/>
        </w:rPr>
        <w:t> </w:t>
      </w:r>
      <w:r>
        <w:rPr>
          <w:position w:val="1"/>
        </w:rPr>
        <w:t>effect</w:t>
      </w:r>
      <w:r>
        <w:rPr>
          <w:spacing w:val="-1"/>
          <w:position w:val="1"/>
        </w:rPr>
        <w:t> </w:t>
      </w:r>
      <w:r>
        <w:rPr>
          <w:position w:val="1"/>
        </w:rPr>
        <w:t>on the</w:t>
      </w:r>
      <w:r>
        <w:rPr>
          <w:spacing w:val="-2"/>
          <w:position w:val="1"/>
        </w:rPr>
        <w:t> </w:t>
      </w:r>
      <w:r>
        <w:rPr>
          <w:position w:val="1"/>
        </w:rPr>
        <w:t>Nigeria’s</w:t>
      </w:r>
      <w:r>
        <w:rPr>
          <w:spacing w:val="1"/>
          <w:position w:val="1"/>
        </w:rPr>
        <w:t> </w:t>
      </w:r>
      <w:r>
        <w:rPr>
          <w:position w:val="1"/>
        </w:rPr>
        <w:t>economic</w:t>
      </w:r>
      <w:r>
        <w:rPr>
          <w:spacing w:val="1"/>
          <w:position w:val="1"/>
        </w:rPr>
        <w:t> </w:t>
      </w:r>
      <w:r>
        <w:rPr>
          <w:spacing w:val="-2"/>
          <w:position w:val="1"/>
        </w:rPr>
        <w:t>growth</w:t>
      </w:r>
      <w:r>
        <w:rPr>
          <w:b w:val="0"/>
          <w:spacing w:val="-2"/>
          <w:position w:val="1"/>
        </w:rPr>
        <w:t>.</w:t>
      </w:r>
    </w:p>
    <w:p>
      <w:pPr>
        <w:spacing w:after="0"/>
        <w:sectPr>
          <w:pgSz w:w="11910" w:h="16840"/>
          <w:pgMar w:header="0" w:footer="979" w:top="1340" w:bottom="1240" w:left="280" w:right="0"/>
        </w:sectPr>
      </w:pPr>
    </w:p>
    <w:p>
      <w:pPr>
        <w:pStyle w:val="BodyText"/>
        <w:spacing w:line="480" w:lineRule="auto" w:before="60"/>
        <w:ind w:left="711" w:right="470"/>
        <w:jc w:val="both"/>
      </w:pPr>
      <w:r>
        <w:rPr/>
        <w:t>The probability values from table 4.12 shows that the alternative hypothesis is accepted for direct foreign investment (DFI) and current account balance (CAB) while the null hypothesis is accepted for </w:t>
      </w:r>
      <w:r>
        <w:rPr>
          <w:rFonts w:ascii="Cambria" w:hAnsi="Cambria"/>
        </w:rPr>
        <w:t>Change in External Debt (δEXTDEBT), </w:t>
      </w:r>
      <w:r>
        <w:rPr/>
        <w:t>change in reserve (δ</w:t>
      </w:r>
      <w:r>
        <w:rPr>
          <w:rFonts w:ascii="Cambria" w:hAnsi="Cambria"/>
          <w:i/>
        </w:rPr>
        <w:t>RES</w:t>
      </w:r>
      <w:r>
        <w:rPr/>
        <w:t>) and net foreign asset of domestic banking ( </w:t>
      </w:r>
      <w:r>
        <w:rPr>
          <w:rFonts w:ascii="Cambria" w:hAnsi="Cambria"/>
        </w:rPr>
        <w:t>δNEXTAS) </w:t>
      </w:r>
      <w:r>
        <w:rPr/>
        <w:t>because their probability values are greater than 5%.</w:t>
      </w:r>
    </w:p>
    <w:p>
      <w:pPr>
        <w:pStyle w:val="BodyText"/>
      </w:pPr>
    </w:p>
    <w:p>
      <w:pPr>
        <w:pStyle w:val="BodyText"/>
        <w:spacing w:before="105"/>
      </w:pPr>
    </w:p>
    <w:p>
      <w:pPr>
        <w:pStyle w:val="Heading6"/>
        <w:numPr>
          <w:ilvl w:val="2"/>
          <w:numId w:val="24"/>
        </w:numPr>
        <w:tabs>
          <w:tab w:pos="1251" w:val="left" w:leader="none"/>
        </w:tabs>
        <w:spacing w:line="240" w:lineRule="auto" w:before="1" w:after="0"/>
        <w:ind w:left="1251" w:right="0" w:hanging="540"/>
        <w:jc w:val="left"/>
      </w:pPr>
      <w:r>
        <w:rPr/>
        <w:t>The</w:t>
      </w:r>
      <w:r>
        <w:rPr>
          <w:spacing w:val="-3"/>
        </w:rPr>
        <w:t> </w:t>
      </w:r>
      <w:r>
        <w:rPr/>
        <w:t>Long Run</w:t>
      </w:r>
      <w:r>
        <w:rPr>
          <w:spacing w:val="-2"/>
        </w:rPr>
        <w:t> </w:t>
      </w:r>
      <w:r>
        <w:rPr>
          <w:spacing w:val="-4"/>
        </w:rPr>
        <w:t>Test</w:t>
      </w:r>
    </w:p>
    <w:p>
      <w:pPr>
        <w:pStyle w:val="BodyText"/>
        <w:spacing w:line="480" w:lineRule="auto" w:before="276"/>
        <w:ind w:left="711" w:right="469"/>
        <w:jc w:val="both"/>
      </w:pPr>
      <w:r>
        <w:rPr/>
        <w:t>Having considered the short term relationship that exists among the variables in model 1 to 6 through the</w:t>
      </w:r>
      <w:r>
        <w:rPr>
          <w:spacing w:val="40"/>
        </w:rPr>
        <w:t> </w:t>
      </w:r>
      <w:r>
        <w:rPr/>
        <w:t>use</w:t>
      </w:r>
      <w:r>
        <w:rPr>
          <w:spacing w:val="-2"/>
        </w:rPr>
        <w:t> </w:t>
      </w:r>
      <w:r>
        <w:rPr/>
        <w:t>of</w:t>
      </w:r>
      <w:r>
        <w:rPr>
          <w:spacing w:val="-1"/>
        </w:rPr>
        <w:t> </w:t>
      </w:r>
      <w:r>
        <w:rPr/>
        <w:t>ordinary</w:t>
      </w:r>
      <w:r>
        <w:rPr>
          <w:spacing w:val="-6"/>
        </w:rPr>
        <w:t> </w:t>
      </w:r>
      <w:r>
        <w:rPr/>
        <w:t>least</w:t>
      </w:r>
      <w:r>
        <w:rPr>
          <w:spacing w:val="-1"/>
        </w:rPr>
        <w:t> </w:t>
      </w:r>
      <w:r>
        <w:rPr/>
        <w:t>method</w:t>
      </w:r>
      <w:r>
        <w:rPr>
          <w:spacing w:val="-1"/>
        </w:rPr>
        <w:t> </w:t>
      </w:r>
      <w:r>
        <w:rPr/>
        <w:t>of</w:t>
      </w:r>
      <w:r>
        <w:rPr>
          <w:spacing w:val="-2"/>
        </w:rPr>
        <w:t> </w:t>
      </w:r>
      <w:r>
        <w:rPr/>
        <w:t>regression</w:t>
      </w:r>
      <w:r>
        <w:rPr>
          <w:spacing w:val="-1"/>
        </w:rPr>
        <w:t> </w:t>
      </w:r>
      <w:r>
        <w:rPr/>
        <w:t>analysis</w:t>
      </w:r>
      <w:r>
        <w:rPr>
          <w:spacing w:val="-1"/>
        </w:rPr>
        <w:t> </w:t>
      </w:r>
      <w:r>
        <w:rPr/>
        <w:t>(OLS),</w:t>
      </w:r>
      <w:r>
        <w:rPr>
          <w:spacing w:val="-1"/>
        </w:rPr>
        <w:t> </w:t>
      </w:r>
      <w:r>
        <w:rPr/>
        <w:t>the</w:t>
      </w:r>
      <w:r>
        <w:rPr>
          <w:spacing w:val="-3"/>
        </w:rPr>
        <w:t> </w:t>
      </w:r>
      <w:r>
        <w:rPr/>
        <w:t>long term</w:t>
      </w:r>
      <w:r>
        <w:rPr>
          <w:spacing w:val="-1"/>
        </w:rPr>
        <w:t> </w:t>
      </w:r>
      <w:r>
        <w:rPr/>
        <w:t>relationship</w:t>
      </w:r>
      <w:r>
        <w:rPr>
          <w:spacing w:val="-1"/>
        </w:rPr>
        <w:t> </w:t>
      </w:r>
      <w:r>
        <w:rPr/>
        <w:t>will</w:t>
      </w:r>
      <w:r>
        <w:rPr>
          <w:spacing w:val="-1"/>
        </w:rPr>
        <w:t> </w:t>
      </w:r>
      <w:r>
        <w:rPr/>
        <w:t>now</w:t>
      </w:r>
      <w:r>
        <w:rPr>
          <w:spacing w:val="-1"/>
        </w:rPr>
        <w:t> </w:t>
      </w:r>
      <w:r>
        <w:rPr/>
        <w:t>be</w:t>
      </w:r>
      <w:r>
        <w:rPr>
          <w:spacing w:val="-2"/>
        </w:rPr>
        <w:t> </w:t>
      </w:r>
      <w:r>
        <w:rPr/>
        <w:t>considered with the use of Johansen Co-Integration technique. The reason for this is because of some perceived weaknesses of the OLS technique. Some of these weaknesses include the inability of OLS method to determine long run relationship among variables and the spuriousity often associated with the coefficient of determination (R</w:t>
      </w:r>
      <w:r>
        <w:rPr>
          <w:vertAlign w:val="superscript"/>
        </w:rPr>
        <w:t>2</w:t>
      </w:r>
      <w:r>
        <w:rPr>
          <w:vertAlign w:val="baseline"/>
        </w:rPr>
        <w:t>) of OLS method. In testing the long run relationship, various stages are</w:t>
      </w:r>
      <w:r>
        <w:rPr>
          <w:spacing w:val="-1"/>
          <w:vertAlign w:val="baseline"/>
        </w:rPr>
        <w:t> </w:t>
      </w:r>
      <w:r>
        <w:rPr>
          <w:vertAlign w:val="baseline"/>
        </w:rPr>
        <w:t>involved, some of these include: the unit root test, the co-integration test and error correction mechanism (ECM1and ECM2). The</w:t>
      </w:r>
      <w:r>
        <w:rPr>
          <w:spacing w:val="-1"/>
          <w:vertAlign w:val="baseline"/>
        </w:rPr>
        <w:t> </w:t>
      </w:r>
      <w:r>
        <w:rPr>
          <w:vertAlign w:val="baseline"/>
        </w:rPr>
        <w:t>Co-Integration technique</w:t>
      </w:r>
      <w:r>
        <w:rPr>
          <w:spacing w:val="-1"/>
          <w:vertAlign w:val="baseline"/>
        </w:rPr>
        <w:t> </w:t>
      </w:r>
      <w:r>
        <w:rPr>
          <w:vertAlign w:val="baseline"/>
        </w:rPr>
        <w:t>and Error</w:t>
      </w:r>
      <w:r>
        <w:rPr>
          <w:spacing w:val="-2"/>
          <w:vertAlign w:val="baseline"/>
        </w:rPr>
        <w:t> </w:t>
      </w:r>
      <w:r>
        <w:rPr>
          <w:vertAlign w:val="baseline"/>
        </w:rPr>
        <w:t>Correction</w:t>
      </w:r>
      <w:r>
        <w:rPr>
          <w:spacing w:val="-2"/>
          <w:vertAlign w:val="baseline"/>
        </w:rPr>
        <w:t> </w:t>
      </w:r>
      <w:r>
        <w:rPr>
          <w:vertAlign w:val="baseline"/>
        </w:rPr>
        <w:t>Mechanism</w:t>
      </w:r>
      <w:r>
        <w:rPr>
          <w:spacing w:val="-2"/>
          <w:vertAlign w:val="baseline"/>
        </w:rPr>
        <w:t> </w:t>
      </w:r>
      <w:r>
        <w:rPr>
          <w:vertAlign w:val="baseline"/>
        </w:rPr>
        <w:t>are</w:t>
      </w:r>
      <w:r>
        <w:rPr>
          <w:spacing w:val="-1"/>
          <w:vertAlign w:val="baseline"/>
        </w:rPr>
        <w:t> </w:t>
      </w:r>
      <w:r>
        <w:rPr>
          <w:vertAlign w:val="baseline"/>
        </w:rPr>
        <w:t>also</w:t>
      </w:r>
      <w:r>
        <w:rPr>
          <w:spacing w:val="-2"/>
          <w:vertAlign w:val="baseline"/>
        </w:rPr>
        <w:t> </w:t>
      </w:r>
      <w:r>
        <w:rPr>
          <w:vertAlign w:val="baseline"/>
        </w:rPr>
        <w:t>employed</w:t>
      </w:r>
      <w:r>
        <w:rPr>
          <w:spacing w:val="-2"/>
          <w:vertAlign w:val="baseline"/>
        </w:rPr>
        <w:t> </w:t>
      </w:r>
      <w:r>
        <w:rPr>
          <w:vertAlign w:val="baseline"/>
        </w:rPr>
        <w:t>because</w:t>
      </w:r>
      <w:r>
        <w:rPr>
          <w:spacing w:val="-3"/>
          <w:vertAlign w:val="baseline"/>
        </w:rPr>
        <w:t> </w:t>
      </w:r>
      <w:r>
        <w:rPr>
          <w:vertAlign w:val="baseline"/>
        </w:rPr>
        <w:t>the</w:t>
      </w:r>
      <w:r>
        <w:rPr>
          <w:spacing w:val="-3"/>
          <w:vertAlign w:val="baseline"/>
        </w:rPr>
        <w:t> </w:t>
      </w:r>
      <w:r>
        <w:rPr>
          <w:vertAlign w:val="baseline"/>
        </w:rPr>
        <w:t>unit root</w:t>
      </w:r>
      <w:r>
        <w:rPr>
          <w:spacing w:val="-2"/>
          <w:vertAlign w:val="baseline"/>
        </w:rPr>
        <w:t> </w:t>
      </w:r>
      <w:r>
        <w:rPr>
          <w:vertAlign w:val="baseline"/>
        </w:rPr>
        <w:t>tests carried out showed that the variables are not stationary at the same level</w:t>
      </w:r>
    </w:p>
    <w:p>
      <w:pPr>
        <w:pStyle w:val="BodyText"/>
      </w:pPr>
    </w:p>
    <w:p>
      <w:pPr>
        <w:pStyle w:val="BodyText"/>
        <w:spacing w:before="1"/>
      </w:pPr>
    </w:p>
    <w:p>
      <w:pPr>
        <w:pStyle w:val="Heading6"/>
        <w:numPr>
          <w:ilvl w:val="1"/>
          <w:numId w:val="24"/>
        </w:numPr>
        <w:tabs>
          <w:tab w:pos="1371" w:val="left" w:leader="none"/>
        </w:tabs>
        <w:spacing w:line="240" w:lineRule="auto" w:before="0" w:after="0"/>
        <w:ind w:left="1371" w:right="0" w:hanging="660"/>
        <w:jc w:val="left"/>
      </w:pPr>
      <w:r>
        <w:rPr/>
        <w:t>Stationary</w:t>
      </w:r>
      <w:r>
        <w:rPr>
          <w:spacing w:val="-2"/>
        </w:rPr>
        <w:t> </w:t>
      </w:r>
      <w:r>
        <w:rPr>
          <w:spacing w:val="-4"/>
        </w:rPr>
        <w:t>Test</w:t>
      </w:r>
    </w:p>
    <w:p>
      <w:pPr>
        <w:pStyle w:val="BodyText"/>
        <w:spacing w:before="1"/>
        <w:rPr>
          <w:b/>
        </w:rPr>
      </w:pPr>
    </w:p>
    <w:p>
      <w:pPr>
        <w:pStyle w:val="BodyText"/>
        <w:spacing w:line="480" w:lineRule="auto"/>
        <w:ind w:left="711" w:right="471"/>
        <w:jc w:val="both"/>
        <w:rPr>
          <w:rFonts w:ascii="Cambria"/>
        </w:rPr>
      </w:pPr>
      <w:r>
        <w:rPr>
          <w:rFonts w:ascii="Cambria"/>
        </w:rPr>
        <w:t>Performing</w:t>
      </w:r>
      <w:r>
        <w:rPr>
          <w:rFonts w:ascii="Cambria"/>
          <w:spacing w:val="-1"/>
        </w:rPr>
        <w:t> </w:t>
      </w:r>
      <w:r>
        <w:rPr>
          <w:rFonts w:ascii="Cambria"/>
        </w:rPr>
        <w:t>a unit root test for</w:t>
      </w:r>
      <w:r>
        <w:rPr>
          <w:rFonts w:ascii="Cambria"/>
          <w:spacing w:val="-1"/>
        </w:rPr>
        <w:t> </w:t>
      </w:r>
      <w:r>
        <w:rPr>
          <w:rFonts w:ascii="Cambria"/>
        </w:rPr>
        <w:t>time series</w:t>
      </w:r>
      <w:r>
        <w:rPr>
          <w:rFonts w:ascii="Cambria"/>
          <w:spacing w:val="-2"/>
        </w:rPr>
        <w:t> </w:t>
      </w:r>
      <w:r>
        <w:rPr>
          <w:rFonts w:ascii="Cambria"/>
        </w:rPr>
        <w:t>model is considered</w:t>
      </w:r>
      <w:r>
        <w:rPr>
          <w:rFonts w:ascii="Cambria"/>
          <w:spacing w:val="-2"/>
        </w:rPr>
        <w:t> </w:t>
      </w:r>
      <w:r>
        <w:rPr>
          <w:rFonts w:ascii="Cambria"/>
        </w:rPr>
        <w:t>mandatory</w:t>
      </w:r>
      <w:r>
        <w:rPr>
          <w:rFonts w:ascii="Cambria"/>
          <w:spacing w:val="-1"/>
        </w:rPr>
        <w:t> </w:t>
      </w:r>
      <w:r>
        <w:rPr>
          <w:rFonts w:ascii="Cambria"/>
        </w:rPr>
        <w:t>to establish</w:t>
      </w:r>
      <w:r>
        <w:rPr>
          <w:rFonts w:ascii="Cambria"/>
          <w:spacing w:val="-1"/>
        </w:rPr>
        <w:t> </w:t>
      </w:r>
      <w:r>
        <w:rPr>
          <w:rFonts w:ascii="Cambria"/>
        </w:rPr>
        <w:t>the stationarity of the variables in such model. The decision rule is: if the Augmented Dickey Fuller (ADF) statistics is greater</w:t>
      </w:r>
      <w:r>
        <w:rPr>
          <w:rFonts w:ascii="Cambria"/>
          <w:spacing w:val="-1"/>
        </w:rPr>
        <w:t> </w:t>
      </w:r>
      <w:r>
        <w:rPr>
          <w:rFonts w:ascii="Cambria"/>
        </w:rPr>
        <w:t>than 5% Mackinnon critical value (in absolute terms), the variable is stationary, we accept the </w:t>
      </w:r>
      <w:r>
        <w:rPr>
          <w:rFonts w:ascii="Cambria"/>
          <w:position w:val="1"/>
        </w:rPr>
        <w:t>alternate hypothesis (H</w:t>
      </w:r>
      <w:r>
        <w:rPr>
          <w:rFonts w:ascii="Cambria"/>
          <w:sz w:val="16"/>
        </w:rPr>
        <w:t>1</w:t>
      </w:r>
      <w:r>
        <w:rPr>
          <w:rFonts w:ascii="Cambria"/>
          <w:position w:val="1"/>
        </w:rPr>
        <w:t>) and reject the null hypothesis (H</w:t>
      </w:r>
      <w:r>
        <w:rPr>
          <w:rFonts w:ascii="Cambria"/>
          <w:sz w:val="16"/>
        </w:rPr>
        <w:t>0</w:t>
      </w:r>
      <w:r>
        <w:rPr>
          <w:rFonts w:ascii="Cambria"/>
          <w:position w:val="1"/>
        </w:rPr>
        <w:t>). The following tables give the</w:t>
      </w:r>
      <w:r>
        <w:rPr>
          <w:rFonts w:ascii="Cambria"/>
          <w:spacing w:val="80"/>
          <w:position w:val="1"/>
        </w:rPr>
        <w:t> </w:t>
      </w:r>
      <w:r>
        <w:rPr>
          <w:rFonts w:ascii="Cambria"/>
        </w:rPr>
        <w:t>stationarity of the dependents and the independent variables in the six formulated models:</w:t>
      </w:r>
    </w:p>
    <w:p>
      <w:pPr>
        <w:spacing w:after="0" w:line="480" w:lineRule="auto"/>
        <w:jc w:val="both"/>
        <w:rPr>
          <w:rFonts w:ascii="Cambria"/>
        </w:rPr>
        <w:sectPr>
          <w:pgSz w:w="11910" w:h="16840"/>
          <w:pgMar w:header="0" w:footer="979" w:top="1360" w:bottom="1240" w:left="280" w:right="0"/>
        </w:sectPr>
      </w:pPr>
    </w:p>
    <w:p>
      <w:pPr>
        <w:pStyle w:val="Heading6"/>
        <w:spacing w:before="81"/>
        <w:rPr>
          <w:rFonts w:ascii="Cambria"/>
        </w:rPr>
      </w:pPr>
      <w:r>
        <w:rPr>
          <w:rFonts w:ascii="Cambria"/>
        </w:rPr>
        <w:t>Table</w:t>
      </w:r>
      <w:r>
        <w:rPr>
          <w:rFonts w:ascii="Cambria"/>
          <w:spacing w:val="-2"/>
        </w:rPr>
        <w:t> </w:t>
      </w:r>
      <w:r>
        <w:rPr>
          <w:rFonts w:ascii="Cambria"/>
        </w:rPr>
        <w:t>4.13.</w:t>
      </w:r>
      <w:r>
        <w:rPr>
          <w:rFonts w:ascii="Cambria"/>
          <w:spacing w:val="56"/>
        </w:rPr>
        <w:t>  </w:t>
      </w:r>
      <w:r>
        <w:rPr>
          <w:rFonts w:ascii="Cambria"/>
        </w:rPr>
        <w:t>UNIT</w:t>
      </w:r>
      <w:r>
        <w:rPr>
          <w:rFonts w:ascii="Cambria"/>
          <w:spacing w:val="-1"/>
        </w:rPr>
        <w:t> </w:t>
      </w:r>
      <w:r>
        <w:rPr>
          <w:rFonts w:ascii="Cambria"/>
        </w:rPr>
        <w:t>ROOT</w:t>
      </w:r>
      <w:r>
        <w:rPr>
          <w:rFonts w:ascii="Cambria"/>
          <w:spacing w:val="-2"/>
        </w:rPr>
        <w:t> </w:t>
      </w:r>
      <w:r>
        <w:rPr>
          <w:rFonts w:ascii="Cambria"/>
        </w:rPr>
        <w:t>RESULT</w:t>
      </w:r>
      <w:r>
        <w:rPr>
          <w:rFonts w:ascii="Cambria"/>
          <w:spacing w:val="-3"/>
        </w:rPr>
        <w:t> </w:t>
      </w:r>
      <w:r>
        <w:rPr>
          <w:rFonts w:ascii="Cambria"/>
        </w:rPr>
        <w:t>AT</w:t>
      </w:r>
      <w:r>
        <w:rPr>
          <w:rFonts w:ascii="Cambria"/>
          <w:spacing w:val="-2"/>
        </w:rPr>
        <w:t> </w:t>
      </w:r>
      <w:r>
        <w:rPr>
          <w:rFonts w:ascii="Cambria"/>
        </w:rPr>
        <w:t>LEVEL</w:t>
      </w:r>
      <w:r>
        <w:rPr>
          <w:rFonts w:ascii="Cambria"/>
          <w:spacing w:val="-1"/>
        </w:rPr>
        <w:t> </w:t>
      </w:r>
      <w:r>
        <w:rPr>
          <w:rFonts w:ascii="Cambria"/>
        </w:rPr>
        <w:t>FOR</w:t>
      </w:r>
      <w:r>
        <w:rPr>
          <w:rFonts w:ascii="Cambria"/>
          <w:spacing w:val="-1"/>
        </w:rPr>
        <w:t> </w:t>
      </w:r>
      <w:r>
        <w:rPr>
          <w:rFonts w:ascii="Cambria"/>
        </w:rPr>
        <w:t>MODELS</w:t>
      </w:r>
      <w:r>
        <w:rPr>
          <w:rFonts w:ascii="Cambria"/>
          <w:spacing w:val="-2"/>
        </w:rPr>
        <w:t> </w:t>
      </w:r>
      <w:r>
        <w:rPr>
          <w:rFonts w:ascii="Cambria"/>
        </w:rPr>
        <w:t>1</w:t>
      </w:r>
      <w:r>
        <w:rPr>
          <w:rFonts w:ascii="Cambria"/>
          <w:spacing w:val="-4"/>
        </w:rPr>
        <w:t> </w:t>
      </w:r>
      <w:r>
        <w:rPr>
          <w:rFonts w:ascii="Cambria"/>
        </w:rPr>
        <w:t>3</w:t>
      </w:r>
      <w:r>
        <w:rPr>
          <w:rFonts w:ascii="Cambria"/>
          <w:spacing w:val="-2"/>
        </w:rPr>
        <w:t> </w:t>
      </w:r>
      <w:r>
        <w:rPr>
          <w:rFonts w:ascii="Cambria"/>
        </w:rPr>
        <w:t>AND</w:t>
      </w:r>
      <w:r>
        <w:rPr>
          <w:rFonts w:ascii="Cambria"/>
          <w:spacing w:val="-2"/>
        </w:rPr>
        <w:t> </w:t>
      </w:r>
      <w:r>
        <w:rPr>
          <w:rFonts w:ascii="Cambria"/>
          <w:spacing w:val="-10"/>
        </w:rPr>
        <w:t>4</w:t>
      </w:r>
    </w:p>
    <w:p>
      <w:pPr>
        <w:pStyle w:val="BodyText"/>
        <w:spacing w:before="46"/>
        <w:rPr>
          <w:rFonts w:ascii="Cambria"/>
          <w:b/>
          <w:sz w:val="20"/>
        </w:rPr>
      </w:pPr>
    </w:p>
    <w:tbl>
      <w:tblPr>
        <w:tblW w:w="0" w:type="auto"/>
        <w:jc w:val="left"/>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41"/>
        <w:gridCol w:w="1539"/>
        <w:gridCol w:w="1541"/>
        <w:gridCol w:w="1160"/>
        <w:gridCol w:w="1133"/>
        <w:gridCol w:w="2331"/>
      </w:tblGrid>
      <w:tr>
        <w:trPr>
          <w:trHeight w:val="1266" w:hRule="atLeast"/>
        </w:trPr>
        <w:tc>
          <w:tcPr>
            <w:tcW w:w="1541" w:type="dxa"/>
          </w:tcPr>
          <w:p>
            <w:pPr>
              <w:pStyle w:val="TableParagraph"/>
              <w:spacing w:before="1"/>
              <w:ind w:left="10" w:right="2"/>
              <w:jc w:val="center"/>
              <w:rPr>
                <w:rFonts w:ascii="Cambria"/>
                <w:b/>
                <w:sz w:val="18"/>
              </w:rPr>
            </w:pPr>
            <w:r>
              <w:rPr>
                <w:rFonts w:ascii="Cambria"/>
                <w:b/>
                <w:spacing w:val="-2"/>
                <w:sz w:val="18"/>
              </w:rPr>
              <w:t>VARIABLES</w:t>
            </w:r>
          </w:p>
        </w:tc>
        <w:tc>
          <w:tcPr>
            <w:tcW w:w="1539" w:type="dxa"/>
          </w:tcPr>
          <w:p>
            <w:pPr>
              <w:pStyle w:val="TableParagraph"/>
              <w:spacing w:line="477" w:lineRule="auto" w:before="1"/>
              <w:ind w:left="283" w:right="275" w:hanging="1"/>
              <w:jc w:val="center"/>
              <w:rPr>
                <w:rFonts w:ascii="Cambria"/>
                <w:b/>
                <w:sz w:val="18"/>
              </w:rPr>
            </w:pPr>
            <w:r>
              <w:rPr>
                <w:rFonts w:ascii="Cambria"/>
                <w:b/>
                <w:spacing w:val="-4"/>
                <w:sz w:val="18"/>
              </w:rPr>
              <w:t>ADF</w:t>
            </w:r>
            <w:r>
              <w:rPr>
                <w:rFonts w:ascii="Cambria"/>
                <w:b/>
                <w:spacing w:val="40"/>
                <w:sz w:val="18"/>
              </w:rPr>
              <w:t> </w:t>
            </w:r>
            <w:r>
              <w:rPr>
                <w:rFonts w:ascii="Cambria"/>
                <w:b/>
                <w:spacing w:val="-2"/>
                <w:sz w:val="18"/>
              </w:rPr>
              <w:t>STATISTICS</w:t>
            </w:r>
          </w:p>
          <w:p>
            <w:pPr>
              <w:pStyle w:val="TableParagraph"/>
              <w:spacing w:before="3"/>
              <w:ind w:left="46" w:right="39"/>
              <w:jc w:val="center"/>
              <w:rPr>
                <w:rFonts w:ascii="Cambria"/>
                <w:b/>
                <w:sz w:val="18"/>
              </w:rPr>
            </w:pPr>
            <w:r>
              <w:rPr>
                <w:rFonts w:ascii="Cambria"/>
                <w:b/>
                <w:spacing w:val="-4"/>
                <w:sz w:val="18"/>
              </w:rPr>
              <w:t>VALUE</w:t>
            </w:r>
          </w:p>
        </w:tc>
        <w:tc>
          <w:tcPr>
            <w:tcW w:w="1541" w:type="dxa"/>
          </w:tcPr>
          <w:p>
            <w:pPr>
              <w:pStyle w:val="TableParagraph"/>
              <w:spacing w:line="477" w:lineRule="auto" w:before="1"/>
              <w:ind w:left="379" w:right="291" w:hanging="72"/>
              <w:rPr>
                <w:rFonts w:ascii="Cambria"/>
                <w:b/>
                <w:sz w:val="18"/>
              </w:rPr>
            </w:pPr>
            <w:r>
              <w:rPr>
                <w:rFonts w:ascii="Cambria"/>
                <w:b/>
                <w:spacing w:val="-2"/>
                <w:sz w:val="18"/>
              </w:rPr>
              <w:t>MACKINNO</w:t>
            </w:r>
            <w:r>
              <w:rPr>
                <w:rFonts w:ascii="Cambria"/>
                <w:b/>
                <w:spacing w:val="40"/>
                <w:sz w:val="18"/>
              </w:rPr>
              <w:t> </w:t>
            </w:r>
            <w:r>
              <w:rPr>
                <w:rFonts w:ascii="Cambria"/>
                <w:b/>
                <w:spacing w:val="-2"/>
                <w:sz w:val="18"/>
              </w:rPr>
              <w:t>CRITICAL</w:t>
            </w:r>
          </w:p>
          <w:p>
            <w:pPr>
              <w:pStyle w:val="TableParagraph"/>
              <w:spacing w:before="3"/>
              <w:ind w:left="227"/>
              <w:rPr>
                <w:rFonts w:ascii="Cambria"/>
                <w:b/>
                <w:sz w:val="18"/>
              </w:rPr>
            </w:pPr>
            <w:r>
              <w:rPr>
                <w:rFonts w:ascii="Cambria"/>
                <w:b/>
                <w:sz w:val="18"/>
              </w:rPr>
              <w:t>VALUE</w:t>
            </w:r>
            <w:r>
              <w:rPr>
                <w:rFonts w:ascii="Cambria"/>
                <w:b/>
                <w:spacing w:val="-1"/>
                <w:sz w:val="18"/>
              </w:rPr>
              <w:t> </w:t>
            </w:r>
            <w:r>
              <w:rPr>
                <w:rFonts w:ascii="Cambria"/>
                <w:b/>
                <w:sz w:val="18"/>
              </w:rPr>
              <w:t>@ </w:t>
            </w:r>
            <w:r>
              <w:rPr>
                <w:rFonts w:ascii="Cambria"/>
                <w:b/>
                <w:spacing w:val="-5"/>
                <w:sz w:val="18"/>
              </w:rPr>
              <w:t>5%</w:t>
            </w:r>
          </w:p>
        </w:tc>
        <w:tc>
          <w:tcPr>
            <w:tcW w:w="1160" w:type="dxa"/>
          </w:tcPr>
          <w:p>
            <w:pPr>
              <w:pStyle w:val="TableParagraph"/>
              <w:spacing w:before="1"/>
              <w:ind w:left="6" w:right="1"/>
              <w:jc w:val="center"/>
              <w:rPr>
                <w:rFonts w:ascii="Cambria"/>
                <w:b/>
                <w:sz w:val="12"/>
              </w:rPr>
            </w:pPr>
            <w:r>
              <w:rPr>
                <w:rFonts w:ascii="Cambria"/>
                <w:b/>
                <w:spacing w:val="-5"/>
                <w:position w:val="1"/>
                <w:sz w:val="18"/>
              </w:rPr>
              <w:t>H</w:t>
            </w:r>
            <w:r>
              <w:rPr>
                <w:rFonts w:ascii="Cambria"/>
                <w:b/>
                <w:spacing w:val="-5"/>
                <w:sz w:val="12"/>
              </w:rPr>
              <w:t>0</w:t>
            </w:r>
          </w:p>
        </w:tc>
        <w:tc>
          <w:tcPr>
            <w:tcW w:w="1133" w:type="dxa"/>
          </w:tcPr>
          <w:p>
            <w:pPr>
              <w:pStyle w:val="TableParagraph"/>
              <w:spacing w:before="1"/>
              <w:ind w:right="457"/>
              <w:jc w:val="right"/>
              <w:rPr>
                <w:rFonts w:ascii="Cambria"/>
                <w:b/>
                <w:sz w:val="12"/>
              </w:rPr>
            </w:pPr>
            <w:r>
              <w:rPr>
                <w:rFonts w:ascii="Cambria"/>
                <w:b/>
                <w:spacing w:val="-5"/>
                <w:position w:val="1"/>
                <w:sz w:val="18"/>
              </w:rPr>
              <w:t>H</w:t>
            </w:r>
            <w:r>
              <w:rPr>
                <w:rFonts w:ascii="Cambria"/>
                <w:b/>
                <w:spacing w:val="-5"/>
                <w:sz w:val="12"/>
              </w:rPr>
              <w:t>1</w:t>
            </w:r>
          </w:p>
        </w:tc>
        <w:tc>
          <w:tcPr>
            <w:tcW w:w="2331" w:type="dxa"/>
          </w:tcPr>
          <w:p>
            <w:pPr>
              <w:pStyle w:val="TableParagraph"/>
              <w:spacing w:before="1"/>
              <w:ind w:left="747"/>
              <w:rPr>
                <w:rFonts w:ascii="Cambria"/>
                <w:b/>
                <w:sz w:val="18"/>
              </w:rPr>
            </w:pPr>
            <w:r>
              <w:rPr>
                <w:rFonts w:ascii="Cambria"/>
                <w:b/>
                <w:spacing w:val="-2"/>
                <w:sz w:val="18"/>
              </w:rPr>
              <w:t>REMARKS</w:t>
            </w:r>
          </w:p>
        </w:tc>
      </w:tr>
      <w:tr>
        <w:trPr>
          <w:trHeight w:val="422" w:hRule="atLeast"/>
        </w:trPr>
        <w:tc>
          <w:tcPr>
            <w:tcW w:w="1541" w:type="dxa"/>
          </w:tcPr>
          <w:p>
            <w:pPr>
              <w:pStyle w:val="TableParagraph"/>
              <w:spacing w:line="207" w:lineRule="exact"/>
              <w:ind w:left="10" w:right="3"/>
              <w:jc w:val="center"/>
              <w:rPr>
                <w:sz w:val="18"/>
              </w:rPr>
            </w:pPr>
            <w:r>
              <w:rPr>
                <w:spacing w:val="-5"/>
                <w:sz w:val="18"/>
              </w:rPr>
              <w:t>KFW</w:t>
            </w:r>
          </w:p>
        </w:tc>
        <w:tc>
          <w:tcPr>
            <w:tcW w:w="1539" w:type="dxa"/>
          </w:tcPr>
          <w:p>
            <w:pPr>
              <w:pStyle w:val="TableParagraph"/>
              <w:spacing w:line="207" w:lineRule="exact"/>
              <w:ind w:left="105"/>
              <w:rPr>
                <w:sz w:val="18"/>
              </w:rPr>
            </w:pPr>
            <w:r>
              <w:rPr>
                <w:sz w:val="18"/>
              </w:rPr>
              <w:t>-</w:t>
            </w:r>
            <w:r>
              <w:rPr>
                <w:spacing w:val="-2"/>
                <w:sz w:val="18"/>
              </w:rPr>
              <w:t>0.495567</w:t>
            </w:r>
          </w:p>
        </w:tc>
        <w:tc>
          <w:tcPr>
            <w:tcW w:w="1541" w:type="dxa"/>
          </w:tcPr>
          <w:p>
            <w:pPr>
              <w:pStyle w:val="TableParagraph"/>
              <w:spacing w:line="206" w:lineRule="exact"/>
              <w:ind w:left="107"/>
              <w:rPr>
                <w:rFonts w:ascii="Arial MT"/>
                <w:sz w:val="18"/>
              </w:rPr>
            </w:pPr>
            <w:r>
              <w:rPr>
                <w:rFonts w:ascii="Arial MT"/>
                <w:spacing w:val="-2"/>
                <w:sz w:val="18"/>
              </w:rPr>
              <w:t>-2.9358</w:t>
            </w:r>
          </w:p>
        </w:tc>
        <w:tc>
          <w:tcPr>
            <w:tcW w:w="1160" w:type="dxa"/>
          </w:tcPr>
          <w:p>
            <w:pPr>
              <w:pStyle w:val="TableParagraph"/>
              <w:spacing w:line="210" w:lineRule="exact"/>
              <w:ind w:left="107"/>
              <w:rPr>
                <w:rFonts w:ascii="Cambria"/>
                <w:sz w:val="18"/>
              </w:rPr>
            </w:pPr>
            <w:r>
              <w:rPr>
                <w:rFonts w:ascii="Cambria"/>
                <w:spacing w:val="-2"/>
                <w:sz w:val="18"/>
              </w:rPr>
              <w:t>Accept</w:t>
            </w:r>
          </w:p>
        </w:tc>
        <w:tc>
          <w:tcPr>
            <w:tcW w:w="1133" w:type="dxa"/>
          </w:tcPr>
          <w:p>
            <w:pPr>
              <w:pStyle w:val="TableParagraph"/>
              <w:spacing w:line="210" w:lineRule="exact"/>
              <w:ind w:right="537"/>
              <w:jc w:val="right"/>
              <w:rPr>
                <w:rFonts w:ascii="Cambria"/>
                <w:sz w:val="18"/>
              </w:rPr>
            </w:pPr>
            <w:r>
              <w:rPr>
                <w:rFonts w:ascii="Cambria"/>
                <w:spacing w:val="-2"/>
                <w:sz w:val="18"/>
              </w:rPr>
              <w:t>Reject</w:t>
            </w:r>
          </w:p>
        </w:tc>
        <w:tc>
          <w:tcPr>
            <w:tcW w:w="2331" w:type="dxa"/>
          </w:tcPr>
          <w:p>
            <w:pPr>
              <w:pStyle w:val="TableParagraph"/>
              <w:spacing w:line="210" w:lineRule="exact"/>
              <w:ind w:left="104"/>
              <w:rPr>
                <w:rFonts w:ascii="Cambria"/>
                <w:sz w:val="18"/>
              </w:rPr>
            </w:pPr>
            <w:r>
              <w:rPr>
                <w:rFonts w:ascii="Cambria"/>
                <w:spacing w:val="-2"/>
                <w:sz w:val="18"/>
              </w:rPr>
              <w:t>NON-STATIONARY</w:t>
            </w:r>
          </w:p>
        </w:tc>
      </w:tr>
      <w:tr>
        <w:trPr>
          <w:trHeight w:val="460" w:hRule="atLeast"/>
        </w:trPr>
        <w:tc>
          <w:tcPr>
            <w:tcW w:w="1541" w:type="dxa"/>
          </w:tcPr>
          <w:p>
            <w:pPr>
              <w:pStyle w:val="TableParagraph"/>
              <w:spacing w:line="207" w:lineRule="exact"/>
              <w:ind w:left="10" w:right="4"/>
              <w:jc w:val="center"/>
              <w:rPr>
                <w:sz w:val="18"/>
              </w:rPr>
            </w:pPr>
            <w:r>
              <w:rPr>
                <w:spacing w:val="-5"/>
                <w:sz w:val="18"/>
              </w:rPr>
              <w:t>KFM</w:t>
            </w:r>
          </w:p>
        </w:tc>
        <w:tc>
          <w:tcPr>
            <w:tcW w:w="1539" w:type="dxa"/>
          </w:tcPr>
          <w:p>
            <w:pPr>
              <w:pStyle w:val="TableParagraph"/>
              <w:ind w:left="105"/>
              <w:rPr>
                <w:sz w:val="20"/>
              </w:rPr>
            </w:pPr>
            <w:r>
              <w:rPr>
                <w:spacing w:val="-4"/>
                <w:sz w:val="20"/>
              </w:rPr>
              <w:t>-</w:t>
            </w:r>
            <w:r>
              <w:rPr>
                <w:spacing w:val="-2"/>
                <w:sz w:val="20"/>
              </w:rPr>
              <w:t>0.681736</w:t>
            </w:r>
          </w:p>
        </w:tc>
        <w:tc>
          <w:tcPr>
            <w:tcW w:w="1541" w:type="dxa"/>
          </w:tcPr>
          <w:p>
            <w:pPr>
              <w:pStyle w:val="TableParagraph"/>
              <w:ind w:left="107"/>
              <w:rPr>
                <w:sz w:val="20"/>
              </w:rPr>
            </w:pPr>
            <w:r>
              <w:rPr>
                <w:spacing w:val="-4"/>
                <w:sz w:val="20"/>
              </w:rPr>
              <w:t>-</w:t>
            </w:r>
            <w:r>
              <w:rPr>
                <w:spacing w:val="-2"/>
                <w:sz w:val="20"/>
              </w:rPr>
              <w:t>2.9358</w:t>
            </w:r>
          </w:p>
        </w:tc>
        <w:tc>
          <w:tcPr>
            <w:tcW w:w="1160" w:type="dxa"/>
          </w:tcPr>
          <w:p>
            <w:pPr>
              <w:pStyle w:val="TableParagraph"/>
              <w:spacing w:line="210" w:lineRule="exact"/>
              <w:ind w:left="107"/>
              <w:rPr>
                <w:rFonts w:ascii="Cambria"/>
                <w:sz w:val="18"/>
              </w:rPr>
            </w:pPr>
            <w:r>
              <w:rPr>
                <w:rFonts w:ascii="Cambria"/>
                <w:spacing w:val="-2"/>
                <w:sz w:val="18"/>
              </w:rPr>
              <w:t>Accept</w:t>
            </w:r>
          </w:p>
        </w:tc>
        <w:tc>
          <w:tcPr>
            <w:tcW w:w="1133" w:type="dxa"/>
          </w:tcPr>
          <w:p>
            <w:pPr>
              <w:pStyle w:val="TableParagraph"/>
              <w:spacing w:line="210" w:lineRule="exact"/>
              <w:ind w:right="537"/>
              <w:jc w:val="right"/>
              <w:rPr>
                <w:rFonts w:ascii="Cambria"/>
                <w:sz w:val="18"/>
              </w:rPr>
            </w:pPr>
            <w:r>
              <w:rPr>
                <w:rFonts w:ascii="Cambria"/>
                <w:spacing w:val="-2"/>
                <w:sz w:val="18"/>
              </w:rPr>
              <w:t>Reject</w:t>
            </w:r>
          </w:p>
        </w:tc>
        <w:tc>
          <w:tcPr>
            <w:tcW w:w="2331" w:type="dxa"/>
          </w:tcPr>
          <w:p>
            <w:pPr>
              <w:pStyle w:val="TableParagraph"/>
              <w:spacing w:line="210" w:lineRule="exact"/>
              <w:ind w:left="104"/>
              <w:rPr>
                <w:rFonts w:ascii="Cambria"/>
                <w:sz w:val="18"/>
              </w:rPr>
            </w:pPr>
            <w:r>
              <w:rPr>
                <w:rFonts w:ascii="Cambria"/>
                <w:spacing w:val="-2"/>
                <w:sz w:val="18"/>
              </w:rPr>
              <w:t>NON-STATIONARY</w:t>
            </w:r>
          </w:p>
        </w:tc>
      </w:tr>
      <w:tr>
        <w:trPr>
          <w:trHeight w:val="422" w:hRule="atLeast"/>
        </w:trPr>
        <w:tc>
          <w:tcPr>
            <w:tcW w:w="1541" w:type="dxa"/>
          </w:tcPr>
          <w:p>
            <w:pPr>
              <w:pStyle w:val="TableParagraph"/>
              <w:spacing w:line="281" w:lineRule="exact"/>
              <w:ind w:left="10" w:right="1"/>
              <w:jc w:val="center"/>
              <w:rPr>
                <w:sz w:val="18"/>
              </w:rPr>
            </w:pPr>
            <w:r>
              <w:rPr>
                <w:rFonts w:ascii="Cambria" w:hAnsi="Cambria"/>
                <w:spacing w:val="-2"/>
                <w:sz w:val="24"/>
              </w:rPr>
              <w:t>δ</w:t>
            </w:r>
            <w:r>
              <w:rPr>
                <w:spacing w:val="-2"/>
                <w:sz w:val="18"/>
              </w:rPr>
              <w:t>EXTDEBT</w:t>
            </w:r>
          </w:p>
        </w:tc>
        <w:tc>
          <w:tcPr>
            <w:tcW w:w="1539" w:type="dxa"/>
          </w:tcPr>
          <w:p>
            <w:pPr>
              <w:pStyle w:val="TableParagraph"/>
              <w:spacing w:line="207" w:lineRule="exact"/>
              <w:ind w:left="105"/>
              <w:rPr>
                <w:sz w:val="18"/>
              </w:rPr>
            </w:pPr>
            <w:r>
              <w:rPr>
                <w:sz w:val="18"/>
              </w:rPr>
              <w:t>-</w:t>
            </w:r>
            <w:r>
              <w:rPr>
                <w:spacing w:val="-2"/>
                <w:sz w:val="18"/>
              </w:rPr>
              <w:t>2.201592</w:t>
            </w:r>
          </w:p>
        </w:tc>
        <w:tc>
          <w:tcPr>
            <w:tcW w:w="1541" w:type="dxa"/>
          </w:tcPr>
          <w:p>
            <w:pPr>
              <w:pStyle w:val="TableParagraph"/>
              <w:spacing w:line="206" w:lineRule="exact"/>
              <w:ind w:left="107"/>
              <w:rPr>
                <w:rFonts w:ascii="Arial MT"/>
                <w:sz w:val="18"/>
              </w:rPr>
            </w:pPr>
            <w:r>
              <w:rPr>
                <w:rFonts w:ascii="Arial MT"/>
                <w:spacing w:val="-2"/>
                <w:sz w:val="18"/>
              </w:rPr>
              <w:t>-2.9358</w:t>
            </w:r>
          </w:p>
        </w:tc>
        <w:tc>
          <w:tcPr>
            <w:tcW w:w="1160" w:type="dxa"/>
          </w:tcPr>
          <w:p>
            <w:pPr>
              <w:pStyle w:val="TableParagraph"/>
              <w:spacing w:line="210" w:lineRule="exact"/>
              <w:ind w:left="107"/>
              <w:rPr>
                <w:rFonts w:ascii="Cambria"/>
                <w:sz w:val="18"/>
              </w:rPr>
            </w:pPr>
            <w:r>
              <w:rPr>
                <w:rFonts w:ascii="Cambria"/>
                <w:spacing w:val="-2"/>
                <w:sz w:val="18"/>
              </w:rPr>
              <w:t>Accept</w:t>
            </w:r>
          </w:p>
        </w:tc>
        <w:tc>
          <w:tcPr>
            <w:tcW w:w="1133" w:type="dxa"/>
          </w:tcPr>
          <w:p>
            <w:pPr>
              <w:pStyle w:val="TableParagraph"/>
              <w:spacing w:line="210" w:lineRule="exact"/>
              <w:ind w:right="537"/>
              <w:jc w:val="right"/>
              <w:rPr>
                <w:rFonts w:ascii="Cambria"/>
                <w:sz w:val="18"/>
              </w:rPr>
            </w:pPr>
            <w:r>
              <w:rPr>
                <w:rFonts w:ascii="Cambria"/>
                <w:spacing w:val="-2"/>
                <w:sz w:val="18"/>
              </w:rPr>
              <w:t>Reject</w:t>
            </w:r>
          </w:p>
        </w:tc>
        <w:tc>
          <w:tcPr>
            <w:tcW w:w="2331" w:type="dxa"/>
          </w:tcPr>
          <w:p>
            <w:pPr>
              <w:pStyle w:val="TableParagraph"/>
              <w:spacing w:line="210" w:lineRule="exact"/>
              <w:ind w:left="104"/>
              <w:rPr>
                <w:rFonts w:ascii="Cambria"/>
                <w:sz w:val="18"/>
              </w:rPr>
            </w:pPr>
            <w:r>
              <w:rPr>
                <w:rFonts w:ascii="Cambria"/>
                <w:spacing w:val="-2"/>
                <w:sz w:val="18"/>
              </w:rPr>
              <w:t>NON-STATIONARY</w:t>
            </w:r>
          </w:p>
        </w:tc>
      </w:tr>
      <w:tr>
        <w:trPr>
          <w:trHeight w:val="422" w:hRule="atLeast"/>
        </w:trPr>
        <w:tc>
          <w:tcPr>
            <w:tcW w:w="1541" w:type="dxa"/>
          </w:tcPr>
          <w:p>
            <w:pPr>
              <w:pStyle w:val="TableParagraph"/>
              <w:spacing w:line="207" w:lineRule="exact"/>
              <w:ind w:left="10" w:right="1"/>
              <w:jc w:val="center"/>
              <w:rPr>
                <w:sz w:val="18"/>
              </w:rPr>
            </w:pPr>
            <w:r>
              <w:rPr>
                <w:spacing w:val="-5"/>
                <w:sz w:val="18"/>
              </w:rPr>
              <w:t>DOP</w:t>
            </w:r>
          </w:p>
        </w:tc>
        <w:tc>
          <w:tcPr>
            <w:tcW w:w="1539" w:type="dxa"/>
          </w:tcPr>
          <w:p>
            <w:pPr>
              <w:pStyle w:val="TableParagraph"/>
              <w:spacing w:line="207" w:lineRule="exact"/>
              <w:ind w:left="105"/>
              <w:rPr>
                <w:sz w:val="18"/>
              </w:rPr>
            </w:pPr>
            <w:r>
              <w:rPr>
                <w:sz w:val="18"/>
              </w:rPr>
              <w:t>-</w:t>
            </w:r>
            <w:r>
              <w:rPr>
                <w:spacing w:val="-2"/>
                <w:sz w:val="18"/>
              </w:rPr>
              <w:t>1.860631</w:t>
            </w:r>
          </w:p>
        </w:tc>
        <w:tc>
          <w:tcPr>
            <w:tcW w:w="1541" w:type="dxa"/>
          </w:tcPr>
          <w:p>
            <w:pPr>
              <w:pStyle w:val="TableParagraph"/>
              <w:spacing w:line="206" w:lineRule="exact"/>
              <w:ind w:left="107"/>
              <w:rPr>
                <w:rFonts w:ascii="Arial MT"/>
                <w:sz w:val="18"/>
              </w:rPr>
            </w:pPr>
            <w:r>
              <w:rPr>
                <w:rFonts w:ascii="Arial MT"/>
                <w:spacing w:val="-2"/>
                <w:sz w:val="18"/>
              </w:rPr>
              <w:t>-2.9358</w:t>
            </w:r>
          </w:p>
        </w:tc>
        <w:tc>
          <w:tcPr>
            <w:tcW w:w="1160" w:type="dxa"/>
          </w:tcPr>
          <w:p>
            <w:pPr>
              <w:pStyle w:val="TableParagraph"/>
              <w:spacing w:line="210" w:lineRule="exact"/>
              <w:ind w:left="107"/>
              <w:rPr>
                <w:rFonts w:ascii="Cambria"/>
                <w:sz w:val="18"/>
              </w:rPr>
            </w:pPr>
            <w:r>
              <w:rPr>
                <w:rFonts w:ascii="Cambria"/>
                <w:spacing w:val="-2"/>
                <w:sz w:val="18"/>
              </w:rPr>
              <w:t>Accept</w:t>
            </w:r>
          </w:p>
        </w:tc>
        <w:tc>
          <w:tcPr>
            <w:tcW w:w="1133" w:type="dxa"/>
          </w:tcPr>
          <w:p>
            <w:pPr>
              <w:pStyle w:val="TableParagraph"/>
              <w:spacing w:line="210" w:lineRule="exact"/>
              <w:ind w:right="537"/>
              <w:jc w:val="right"/>
              <w:rPr>
                <w:rFonts w:ascii="Cambria"/>
                <w:sz w:val="18"/>
              </w:rPr>
            </w:pPr>
            <w:r>
              <w:rPr>
                <w:rFonts w:ascii="Cambria"/>
                <w:spacing w:val="-2"/>
                <w:sz w:val="18"/>
              </w:rPr>
              <w:t>Reject</w:t>
            </w:r>
          </w:p>
        </w:tc>
        <w:tc>
          <w:tcPr>
            <w:tcW w:w="2331" w:type="dxa"/>
          </w:tcPr>
          <w:p>
            <w:pPr>
              <w:pStyle w:val="TableParagraph"/>
              <w:spacing w:line="210" w:lineRule="exact"/>
              <w:ind w:left="104"/>
              <w:rPr>
                <w:rFonts w:ascii="Cambria"/>
                <w:sz w:val="18"/>
              </w:rPr>
            </w:pPr>
            <w:r>
              <w:rPr>
                <w:rFonts w:ascii="Cambria"/>
                <w:spacing w:val="-2"/>
                <w:sz w:val="18"/>
              </w:rPr>
              <w:t>NON-STATIONARY</w:t>
            </w:r>
          </w:p>
        </w:tc>
      </w:tr>
      <w:tr>
        <w:trPr>
          <w:trHeight w:val="422" w:hRule="atLeast"/>
        </w:trPr>
        <w:tc>
          <w:tcPr>
            <w:tcW w:w="1541" w:type="dxa"/>
          </w:tcPr>
          <w:p>
            <w:pPr>
              <w:pStyle w:val="TableParagraph"/>
              <w:spacing w:line="207" w:lineRule="exact"/>
              <w:ind w:left="10" w:right="3"/>
              <w:jc w:val="center"/>
              <w:rPr>
                <w:sz w:val="18"/>
              </w:rPr>
            </w:pPr>
            <w:r>
              <w:rPr>
                <w:spacing w:val="-5"/>
                <w:sz w:val="18"/>
              </w:rPr>
              <w:t>INF</w:t>
            </w:r>
          </w:p>
        </w:tc>
        <w:tc>
          <w:tcPr>
            <w:tcW w:w="1539" w:type="dxa"/>
          </w:tcPr>
          <w:p>
            <w:pPr>
              <w:pStyle w:val="TableParagraph"/>
              <w:spacing w:line="207" w:lineRule="exact"/>
              <w:ind w:left="105"/>
              <w:rPr>
                <w:sz w:val="18"/>
              </w:rPr>
            </w:pPr>
            <w:r>
              <w:rPr>
                <w:sz w:val="18"/>
              </w:rPr>
              <w:t>-</w:t>
            </w:r>
            <w:r>
              <w:rPr>
                <w:spacing w:val="-2"/>
                <w:sz w:val="18"/>
              </w:rPr>
              <w:t>4.342622</w:t>
            </w:r>
          </w:p>
        </w:tc>
        <w:tc>
          <w:tcPr>
            <w:tcW w:w="1541" w:type="dxa"/>
          </w:tcPr>
          <w:p>
            <w:pPr>
              <w:pStyle w:val="TableParagraph"/>
              <w:spacing w:line="206" w:lineRule="exact"/>
              <w:ind w:left="107"/>
              <w:rPr>
                <w:rFonts w:ascii="Arial MT"/>
                <w:sz w:val="18"/>
              </w:rPr>
            </w:pPr>
            <w:r>
              <w:rPr>
                <w:rFonts w:ascii="Arial MT"/>
                <w:spacing w:val="-2"/>
                <w:sz w:val="18"/>
              </w:rPr>
              <w:t>-2.9358</w:t>
            </w:r>
          </w:p>
        </w:tc>
        <w:tc>
          <w:tcPr>
            <w:tcW w:w="1160" w:type="dxa"/>
          </w:tcPr>
          <w:p>
            <w:pPr>
              <w:pStyle w:val="TableParagraph"/>
              <w:spacing w:line="210" w:lineRule="exact"/>
              <w:ind w:left="107"/>
              <w:rPr>
                <w:rFonts w:ascii="Cambria"/>
                <w:sz w:val="18"/>
              </w:rPr>
            </w:pPr>
            <w:r>
              <w:rPr>
                <w:rFonts w:ascii="Cambria"/>
                <w:spacing w:val="-2"/>
                <w:sz w:val="18"/>
              </w:rPr>
              <w:t>Reject</w:t>
            </w:r>
          </w:p>
        </w:tc>
        <w:tc>
          <w:tcPr>
            <w:tcW w:w="1133" w:type="dxa"/>
          </w:tcPr>
          <w:p>
            <w:pPr>
              <w:pStyle w:val="TableParagraph"/>
              <w:spacing w:line="210" w:lineRule="exact"/>
              <w:ind w:right="494"/>
              <w:jc w:val="right"/>
              <w:rPr>
                <w:rFonts w:ascii="Cambria"/>
                <w:sz w:val="18"/>
              </w:rPr>
            </w:pPr>
            <w:r>
              <w:rPr>
                <w:rFonts w:ascii="Cambria"/>
                <w:spacing w:val="-2"/>
                <w:sz w:val="18"/>
              </w:rPr>
              <w:t>Accept</w:t>
            </w:r>
          </w:p>
        </w:tc>
        <w:tc>
          <w:tcPr>
            <w:tcW w:w="2331" w:type="dxa"/>
          </w:tcPr>
          <w:p>
            <w:pPr>
              <w:pStyle w:val="TableParagraph"/>
              <w:spacing w:line="210" w:lineRule="exact"/>
              <w:ind w:left="104"/>
              <w:rPr>
                <w:rFonts w:ascii="Cambria"/>
                <w:sz w:val="18"/>
              </w:rPr>
            </w:pPr>
            <w:r>
              <w:rPr>
                <w:rFonts w:ascii="Cambria"/>
                <w:spacing w:val="-2"/>
                <w:sz w:val="18"/>
              </w:rPr>
              <w:t>STATIONARY</w:t>
            </w:r>
          </w:p>
        </w:tc>
      </w:tr>
      <w:tr>
        <w:trPr>
          <w:trHeight w:val="421" w:hRule="atLeast"/>
        </w:trPr>
        <w:tc>
          <w:tcPr>
            <w:tcW w:w="1541" w:type="dxa"/>
          </w:tcPr>
          <w:p>
            <w:pPr>
              <w:pStyle w:val="TableParagraph"/>
              <w:spacing w:line="207" w:lineRule="exact"/>
              <w:ind w:left="10" w:right="3"/>
              <w:jc w:val="center"/>
              <w:rPr>
                <w:sz w:val="18"/>
              </w:rPr>
            </w:pPr>
            <w:r>
              <w:rPr>
                <w:spacing w:val="-5"/>
                <w:sz w:val="18"/>
              </w:rPr>
              <w:t>GCF</w:t>
            </w:r>
          </w:p>
        </w:tc>
        <w:tc>
          <w:tcPr>
            <w:tcW w:w="1539" w:type="dxa"/>
          </w:tcPr>
          <w:p>
            <w:pPr>
              <w:pStyle w:val="TableParagraph"/>
              <w:spacing w:line="207" w:lineRule="exact"/>
              <w:ind w:left="105"/>
              <w:rPr>
                <w:sz w:val="18"/>
              </w:rPr>
            </w:pPr>
            <w:r>
              <w:rPr>
                <w:sz w:val="18"/>
              </w:rPr>
              <w:t>-</w:t>
            </w:r>
            <w:r>
              <w:rPr>
                <w:spacing w:val="-2"/>
                <w:sz w:val="18"/>
              </w:rPr>
              <w:t>1.946810</w:t>
            </w:r>
          </w:p>
        </w:tc>
        <w:tc>
          <w:tcPr>
            <w:tcW w:w="1541" w:type="dxa"/>
          </w:tcPr>
          <w:p>
            <w:pPr>
              <w:pStyle w:val="TableParagraph"/>
              <w:spacing w:line="206" w:lineRule="exact"/>
              <w:ind w:left="107"/>
              <w:rPr>
                <w:rFonts w:ascii="Arial MT"/>
                <w:sz w:val="18"/>
              </w:rPr>
            </w:pPr>
            <w:r>
              <w:rPr>
                <w:rFonts w:ascii="Arial MT"/>
                <w:spacing w:val="-2"/>
                <w:sz w:val="18"/>
              </w:rPr>
              <w:t>-2.9358</w:t>
            </w:r>
          </w:p>
        </w:tc>
        <w:tc>
          <w:tcPr>
            <w:tcW w:w="1160" w:type="dxa"/>
          </w:tcPr>
          <w:p>
            <w:pPr>
              <w:pStyle w:val="TableParagraph"/>
              <w:spacing w:line="210" w:lineRule="exact"/>
              <w:ind w:left="107"/>
              <w:rPr>
                <w:rFonts w:ascii="Cambria"/>
                <w:sz w:val="18"/>
              </w:rPr>
            </w:pPr>
            <w:r>
              <w:rPr>
                <w:rFonts w:ascii="Cambria"/>
                <w:spacing w:val="-2"/>
                <w:sz w:val="18"/>
              </w:rPr>
              <w:t>Accept</w:t>
            </w:r>
          </w:p>
        </w:tc>
        <w:tc>
          <w:tcPr>
            <w:tcW w:w="1133" w:type="dxa"/>
          </w:tcPr>
          <w:p>
            <w:pPr>
              <w:pStyle w:val="TableParagraph"/>
              <w:spacing w:line="210" w:lineRule="exact"/>
              <w:ind w:right="537"/>
              <w:jc w:val="right"/>
              <w:rPr>
                <w:rFonts w:ascii="Cambria"/>
                <w:sz w:val="18"/>
              </w:rPr>
            </w:pPr>
            <w:r>
              <w:rPr>
                <w:rFonts w:ascii="Cambria"/>
                <w:spacing w:val="-2"/>
                <w:sz w:val="18"/>
              </w:rPr>
              <w:t>Reject</w:t>
            </w:r>
          </w:p>
        </w:tc>
        <w:tc>
          <w:tcPr>
            <w:tcW w:w="2331" w:type="dxa"/>
          </w:tcPr>
          <w:p>
            <w:pPr>
              <w:pStyle w:val="TableParagraph"/>
              <w:spacing w:line="210" w:lineRule="exact"/>
              <w:ind w:left="104"/>
              <w:rPr>
                <w:rFonts w:ascii="Cambria"/>
                <w:sz w:val="18"/>
              </w:rPr>
            </w:pPr>
            <w:r>
              <w:rPr>
                <w:rFonts w:ascii="Cambria"/>
                <w:spacing w:val="-2"/>
                <w:sz w:val="18"/>
              </w:rPr>
              <w:t>NON-STATIONARY</w:t>
            </w:r>
          </w:p>
        </w:tc>
      </w:tr>
      <w:tr>
        <w:trPr>
          <w:trHeight w:val="422" w:hRule="atLeast"/>
        </w:trPr>
        <w:tc>
          <w:tcPr>
            <w:tcW w:w="1541" w:type="dxa"/>
          </w:tcPr>
          <w:p>
            <w:pPr>
              <w:pStyle w:val="TableParagraph"/>
              <w:spacing w:line="207" w:lineRule="exact"/>
              <w:ind w:left="10"/>
              <w:jc w:val="center"/>
              <w:rPr>
                <w:sz w:val="18"/>
              </w:rPr>
            </w:pPr>
            <w:r>
              <w:rPr>
                <w:spacing w:val="-5"/>
                <w:sz w:val="18"/>
              </w:rPr>
              <w:t>DR</w:t>
            </w:r>
          </w:p>
        </w:tc>
        <w:tc>
          <w:tcPr>
            <w:tcW w:w="1539" w:type="dxa"/>
          </w:tcPr>
          <w:p>
            <w:pPr>
              <w:pStyle w:val="TableParagraph"/>
              <w:spacing w:line="207" w:lineRule="exact"/>
              <w:ind w:left="105"/>
              <w:rPr>
                <w:sz w:val="18"/>
              </w:rPr>
            </w:pPr>
            <w:r>
              <w:rPr>
                <w:sz w:val="18"/>
              </w:rPr>
              <w:t>-</w:t>
            </w:r>
            <w:r>
              <w:rPr>
                <w:spacing w:val="-2"/>
                <w:sz w:val="18"/>
              </w:rPr>
              <w:t>0.130389</w:t>
            </w:r>
          </w:p>
        </w:tc>
        <w:tc>
          <w:tcPr>
            <w:tcW w:w="1541" w:type="dxa"/>
          </w:tcPr>
          <w:p>
            <w:pPr>
              <w:pStyle w:val="TableParagraph"/>
              <w:spacing w:line="206" w:lineRule="exact"/>
              <w:ind w:left="107"/>
              <w:rPr>
                <w:rFonts w:ascii="Arial MT"/>
                <w:sz w:val="18"/>
              </w:rPr>
            </w:pPr>
            <w:r>
              <w:rPr>
                <w:rFonts w:ascii="Arial MT"/>
                <w:spacing w:val="-2"/>
                <w:sz w:val="18"/>
              </w:rPr>
              <w:t>-2.9358</w:t>
            </w:r>
          </w:p>
        </w:tc>
        <w:tc>
          <w:tcPr>
            <w:tcW w:w="1160" w:type="dxa"/>
          </w:tcPr>
          <w:p>
            <w:pPr>
              <w:pStyle w:val="TableParagraph"/>
              <w:spacing w:line="210" w:lineRule="exact"/>
              <w:ind w:left="107"/>
              <w:rPr>
                <w:rFonts w:ascii="Cambria"/>
                <w:sz w:val="18"/>
              </w:rPr>
            </w:pPr>
            <w:r>
              <w:rPr>
                <w:rFonts w:ascii="Cambria"/>
                <w:spacing w:val="-2"/>
                <w:sz w:val="18"/>
              </w:rPr>
              <w:t>Accept</w:t>
            </w:r>
          </w:p>
        </w:tc>
        <w:tc>
          <w:tcPr>
            <w:tcW w:w="1133" w:type="dxa"/>
          </w:tcPr>
          <w:p>
            <w:pPr>
              <w:pStyle w:val="TableParagraph"/>
              <w:spacing w:line="210" w:lineRule="exact"/>
              <w:ind w:right="537"/>
              <w:jc w:val="right"/>
              <w:rPr>
                <w:rFonts w:ascii="Cambria"/>
                <w:sz w:val="18"/>
              </w:rPr>
            </w:pPr>
            <w:r>
              <w:rPr>
                <w:rFonts w:ascii="Cambria"/>
                <w:spacing w:val="-2"/>
                <w:sz w:val="18"/>
              </w:rPr>
              <w:t>Reject</w:t>
            </w:r>
          </w:p>
        </w:tc>
        <w:tc>
          <w:tcPr>
            <w:tcW w:w="2331" w:type="dxa"/>
          </w:tcPr>
          <w:p>
            <w:pPr>
              <w:pStyle w:val="TableParagraph"/>
              <w:spacing w:line="210" w:lineRule="exact"/>
              <w:ind w:left="104"/>
              <w:rPr>
                <w:rFonts w:ascii="Cambria"/>
                <w:sz w:val="18"/>
              </w:rPr>
            </w:pPr>
            <w:r>
              <w:rPr>
                <w:rFonts w:ascii="Cambria"/>
                <w:spacing w:val="-2"/>
                <w:sz w:val="18"/>
              </w:rPr>
              <w:t>NON-STATIONARY</w:t>
            </w:r>
          </w:p>
        </w:tc>
      </w:tr>
      <w:tr>
        <w:trPr>
          <w:trHeight w:val="421" w:hRule="atLeast"/>
        </w:trPr>
        <w:tc>
          <w:tcPr>
            <w:tcW w:w="1541" w:type="dxa"/>
          </w:tcPr>
          <w:p>
            <w:pPr>
              <w:pStyle w:val="TableParagraph"/>
              <w:spacing w:line="207" w:lineRule="exact"/>
              <w:ind w:left="10"/>
              <w:jc w:val="center"/>
              <w:rPr>
                <w:sz w:val="18"/>
              </w:rPr>
            </w:pPr>
            <w:r>
              <w:rPr>
                <w:spacing w:val="-2"/>
                <w:sz w:val="18"/>
              </w:rPr>
              <w:t>PRIVCR</w:t>
            </w:r>
          </w:p>
        </w:tc>
        <w:tc>
          <w:tcPr>
            <w:tcW w:w="1539" w:type="dxa"/>
          </w:tcPr>
          <w:p>
            <w:pPr>
              <w:pStyle w:val="TableParagraph"/>
              <w:spacing w:line="207" w:lineRule="exact"/>
              <w:ind w:left="105"/>
              <w:rPr>
                <w:sz w:val="18"/>
              </w:rPr>
            </w:pPr>
            <w:r>
              <w:rPr>
                <w:spacing w:val="-2"/>
                <w:sz w:val="18"/>
              </w:rPr>
              <w:t>0.040245</w:t>
            </w:r>
          </w:p>
        </w:tc>
        <w:tc>
          <w:tcPr>
            <w:tcW w:w="1541" w:type="dxa"/>
          </w:tcPr>
          <w:p>
            <w:pPr>
              <w:pStyle w:val="TableParagraph"/>
              <w:spacing w:line="207" w:lineRule="exact"/>
              <w:ind w:left="107"/>
              <w:rPr>
                <w:sz w:val="18"/>
              </w:rPr>
            </w:pPr>
            <w:r>
              <w:rPr>
                <w:sz w:val="18"/>
              </w:rPr>
              <w:t>-</w:t>
            </w:r>
            <w:r>
              <w:rPr>
                <w:spacing w:val="-2"/>
                <w:sz w:val="18"/>
              </w:rPr>
              <w:t>2.9358</w:t>
            </w:r>
          </w:p>
        </w:tc>
        <w:tc>
          <w:tcPr>
            <w:tcW w:w="1160" w:type="dxa"/>
          </w:tcPr>
          <w:p>
            <w:pPr>
              <w:pStyle w:val="TableParagraph"/>
              <w:spacing w:line="210" w:lineRule="exact"/>
              <w:ind w:left="107"/>
              <w:rPr>
                <w:rFonts w:ascii="Cambria"/>
                <w:sz w:val="18"/>
              </w:rPr>
            </w:pPr>
            <w:r>
              <w:rPr>
                <w:rFonts w:ascii="Cambria"/>
                <w:spacing w:val="-2"/>
                <w:sz w:val="18"/>
              </w:rPr>
              <w:t>Accept</w:t>
            </w:r>
          </w:p>
        </w:tc>
        <w:tc>
          <w:tcPr>
            <w:tcW w:w="1133" w:type="dxa"/>
          </w:tcPr>
          <w:p>
            <w:pPr>
              <w:pStyle w:val="TableParagraph"/>
              <w:spacing w:line="210" w:lineRule="exact"/>
              <w:ind w:right="537"/>
              <w:jc w:val="right"/>
              <w:rPr>
                <w:rFonts w:ascii="Cambria"/>
                <w:sz w:val="18"/>
              </w:rPr>
            </w:pPr>
            <w:r>
              <w:rPr>
                <w:rFonts w:ascii="Cambria"/>
                <w:spacing w:val="-2"/>
                <w:sz w:val="18"/>
              </w:rPr>
              <w:t>Reject</w:t>
            </w:r>
          </w:p>
        </w:tc>
        <w:tc>
          <w:tcPr>
            <w:tcW w:w="2331" w:type="dxa"/>
          </w:tcPr>
          <w:p>
            <w:pPr>
              <w:pStyle w:val="TableParagraph"/>
              <w:spacing w:line="210" w:lineRule="exact"/>
              <w:ind w:left="104"/>
              <w:rPr>
                <w:rFonts w:ascii="Cambria"/>
                <w:sz w:val="18"/>
              </w:rPr>
            </w:pPr>
            <w:r>
              <w:rPr>
                <w:rFonts w:ascii="Cambria"/>
                <w:spacing w:val="-2"/>
                <w:sz w:val="18"/>
              </w:rPr>
              <w:t>NON-STATIONARY</w:t>
            </w:r>
          </w:p>
        </w:tc>
      </w:tr>
      <w:tr>
        <w:trPr>
          <w:trHeight w:val="422" w:hRule="atLeast"/>
        </w:trPr>
        <w:tc>
          <w:tcPr>
            <w:tcW w:w="1541" w:type="dxa"/>
          </w:tcPr>
          <w:p>
            <w:pPr>
              <w:pStyle w:val="TableParagraph"/>
              <w:spacing w:line="207" w:lineRule="exact"/>
              <w:ind w:left="10" w:right="2"/>
              <w:jc w:val="center"/>
              <w:rPr>
                <w:sz w:val="18"/>
              </w:rPr>
            </w:pPr>
            <w:r>
              <w:rPr>
                <w:spacing w:val="-2"/>
                <w:sz w:val="18"/>
              </w:rPr>
              <w:t>USIRD</w:t>
            </w:r>
          </w:p>
        </w:tc>
        <w:tc>
          <w:tcPr>
            <w:tcW w:w="1539" w:type="dxa"/>
          </w:tcPr>
          <w:p>
            <w:pPr>
              <w:pStyle w:val="TableParagraph"/>
              <w:spacing w:line="207" w:lineRule="exact"/>
              <w:ind w:left="105"/>
              <w:rPr>
                <w:sz w:val="18"/>
              </w:rPr>
            </w:pPr>
            <w:r>
              <w:rPr>
                <w:sz w:val="18"/>
              </w:rPr>
              <w:t>-</w:t>
            </w:r>
            <w:r>
              <w:rPr>
                <w:spacing w:val="-2"/>
                <w:sz w:val="18"/>
              </w:rPr>
              <w:t>2.056420</w:t>
            </w:r>
          </w:p>
        </w:tc>
        <w:tc>
          <w:tcPr>
            <w:tcW w:w="1541" w:type="dxa"/>
          </w:tcPr>
          <w:p>
            <w:pPr>
              <w:pStyle w:val="TableParagraph"/>
              <w:spacing w:line="207" w:lineRule="exact"/>
              <w:ind w:left="107"/>
              <w:rPr>
                <w:sz w:val="18"/>
              </w:rPr>
            </w:pPr>
            <w:r>
              <w:rPr>
                <w:sz w:val="18"/>
              </w:rPr>
              <w:t>-</w:t>
            </w:r>
            <w:r>
              <w:rPr>
                <w:spacing w:val="-2"/>
                <w:sz w:val="18"/>
              </w:rPr>
              <w:t>2.9358</w:t>
            </w:r>
          </w:p>
        </w:tc>
        <w:tc>
          <w:tcPr>
            <w:tcW w:w="1160" w:type="dxa"/>
          </w:tcPr>
          <w:p>
            <w:pPr>
              <w:pStyle w:val="TableParagraph"/>
              <w:spacing w:line="210" w:lineRule="exact"/>
              <w:ind w:left="107"/>
              <w:rPr>
                <w:rFonts w:ascii="Cambria"/>
                <w:sz w:val="18"/>
              </w:rPr>
            </w:pPr>
            <w:r>
              <w:rPr>
                <w:rFonts w:ascii="Cambria"/>
                <w:spacing w:val="-2"/>
                <w:sz w:val="18"/>
              </w:rPr>
              <w:t>Accept</w:t>
            </w:r>
          </w:p>
        </w:tc>
        <w:tc>
          <w:tcPr>
            <w:tcW w:w="1133" w:type="dxa"/>
          </w:tcPr>
          <w:p>
            <w:pPr>
              <w:pStyle w:val="TableParagraph"/>
              <w:spacing w:line="210" w:lineRule="exact"/>
              <w:ind w:right="537"/>
              <w:jc w:val="right"/>
              <w:rPr>
                <w:rFonts w:ascii="Cambria"/>
                <w:sz w:val="18"/>
              </w:rPr>
            </w:pPr>
            <w:r>
              <w:rPr>
                <w:rFonts w:ascii="Cambria"/>
                <w:spacing w:val="-2"/>
                <w:sz w:val="18"/>
              </w:rPr>
              <w:t>Reject</w:t>
            </w:r>
          </w:p>
        </w:tc>
        <w:tc>
          <w:tcPr>
            <w:tcW w:w="2331" w:type="dxa"/>
          </w:tcPr>
          <w:p>
            <w:pPr>
              <w:pStyle w:val="TableParagraph"/>
              <w:spacing w:line="210" w:lineRule="exact"/>
              <w:ind w:left="104"/>
              <w:rPr>
                <w:rFonts w:ascii="Cambria"/>
                <w:sz w:val="18"/>
              </w:rPr>
            </w:pPr>
            <w:r>
              <w:rPr>
                <w:rFonts w:ascii="Cambria"/>
                <w:spacing w:val="-2"/>
                <w:sz w:val="18"/>
              </w:rPr>
              <w:t>NON-STATIONARY</w:t>
            </w:r>
          </w:p>
        </w:tc>
      </w:tr>
      <w:tr>
        <w:trPr>
          <w:trHeight w:val="421" w:hRule="atLeast"/>
        </w:trPr>
        <w:tc>
          <w:tcPr>
            <w:tcW w:w="1541" w:type="dxa"/>
          </w:tcPr>
          <w:p>
            <w:pPr>
              <w:pStyle w:val="TableParagraph"/>
              <w:spacing w:line="207" w:lineRule="exact"/>
              <w:ind w:left="10" w:right="2"/>
              <w:jc w:val="center"/>
              <w:rPr>
                <w:sz w:val="18"/>
              </w:rPr>
            </w:pPr>
            <w:r>
              <w:rPr>
                <w:spacing w:val="-4"/>
                <w:sz w:val="18"/>
              </w:rPr>
              <w:t>GOCE</w:t>
            </w:r>
          </w:p>
        </w:tc>
        <w:tc>
          <w:tcPr>
            <w:tcW w:w="1539" w:type="dxa"/>
          </w:tcPr>
          <w:p>
            <w:pPr>
              <w:pStyle w:val="TableParagraph"/>
              <w:spacing w:line="207" w:lineRule="exact"/>
              <w:ind w:left="105"/>
              <w:rPr>
                <w:sz w:val="18"/>
              </w:rPr>
            </w:pPr>
            <w:r>
              <w:rPr>
                <w:sz w:val="18"/>
              </w:rPr>
              <w:t>-</w:t>
            </w:r>
            <w:r>
              <w:rPr>
                <w:spacing w:val="-2"/>
                <w:sz w:val="18"/>
              </w:rPr>
              <w:t>0.132702</w:t>
            </w:r>
          </w:p>
        </w:tc>
        <w:tc>
          <w:tcPr>
            <w:tcW w:w="1541" w:type="dxa"/>
          </w:tcPr>
          <w:p>
            <w:pPr>
              <w:pStyle w:val="TableParagraph"/>
              <w:spacing w:line="207" w:lineRule="exact"/>
              <w:ind w:left="107"/>
              <w:rPr>
                <w:sz w:val="18"/>
              </w:rPr>
            </w:pPr>
            <w:r>
              <w:rPr>
                <w:sz w:val="18"/>
              </w:rPr>
              <w:t>-</w:t>
            </w:r>
            <w:r>
              <w:rPr>
                <w:spacing w:val="-2"/>
                <w:sz w:val="18"/>
              </w:rPr>
              <w:t>2.9358</w:t>
            </w:r>
          </w:p>
        </w:tc>
        <w:tc>
          <w:tcPr>
            <w:tcW w:w="1160" w:type="dxa"/>
          </w:tcPr>
          <w:p>
            <w:pPr>
              <w:pStyle w:val="TableParagraph"/>
              <w:spacing w:line="210" w:lineRule="exact"/>
              <w:ind w:left="107"/>
              <w:rPr>
                <w:rFonts w:ascii="Cambria"/>
                <w:sz w:val="18"/>
              </w:rPr>
            </w:pPr>
            <w:r>
              <w:rPr>
                <w:rFonts w:ascii="Cambria"/>
                <w:spacing w:val="-2"/>
                <w:sz w:val="18"/>
              </w:rPr>
              <w:t>Accept</w:t>
            </w:r>
          </w:p>
        </w:tc>
        <w:tc>
          <w:tcPr>
            <w:tcW w:w="1133" w:type="dxa"/>
          </w:tcPr>
          <w:p>
            <w:pPr>
              <w:pStyle w:val="TableParagraph"/>
              <w:spacing w:line="210" w:lineRule="exact"/>
              <w:ind w:right="537"/>
              <w:jc w:val="right"/>
              <w:rPr>
                <w:rFonts w:ascii="Cambria"/>
                <w:sz w:val="18"/>
              </w:rPr>
            </w:pPr>
            <w:r>
              <w:rPr>
                <w:rFonts w:ascii="Cambria"/>
                <w:spacing w:val="-2"/>
                <w:sz w:val="18"/>
              </w:rPr>
              <w:t>Reject</w:t>
            </w:r>
          </w:p>
        </w:tc>
        <w:tc>
          <w:tcPr>
            <w:tcW w:w="2331" w:type="dxa"/>
          </w:tcPr>
          <w:p>
            <w:pPr>
              <w:pStyle w:val="TableParagraph"/>
              <w:spacing w:line="210" w:lineRule="exact"/>
              <w:ind w:left="104"/>
              <w:rPr>
                <w:rFonts w:ascii="Cambria"/>
                <w:sz w:val="18"/>
              </w:rPr>
            </w:pPr>
            <w:r>
              <w:rPr>
                <w:rFonts w:ascii="Cambria"/>
                <w:spacing w:val="-2"/>
                <w:sz w:val="18"/>
              </w:rPr>
              <w:t>NON-STATIONARY</w:t>
            </w:r>
          </w:p>
        </w:tc>
      </w:tr>
    </w:tbl>
    <w:p>
      <w:pPr>
        <w:pStyle w:val="BodyText"/>
        <w:spacing w:before="3"/>
        <w:ind w:left="711"/>
        <w:jc w:val="both"/>
      </w:pPr>
      <w:r>
        <w:rPr>
          <w:b/>
        </w:rPr>
        <w:t>Source:</w:t>
      </w:r>
      <w:r>
        <w:rPr>
          <w:b/>
          <w:spacing w:val="-4"/>
        </w:rPr>
        <w:t> </w:t>
      </w:r>
      <w:r>
        <w:rPr/>
        <w:t>Results</w:t>
      </w:r>
      <w:r>
        <w:rPr>
          <w:spacing w:val="-1"/>
        </w:rPr>
        <w:t> </w:t>
      </w:r>
      <w:r>
        <w:rPr/>
        <w:t>of</w:t>
      </w:r>
      <w:r>
        <w:rPr>
          <w:spacing w:val="-1"/>
        </w:rPr>
        <w:t> </w:t>
      </w:r>
      <w:r>
        <w:rPr/>
        <w:t>analysis</w:t>
      </w:r>
      <w:r>
        <w:rPr>
          <w:spacing w:val="-2"/>
        </w:rPr>
        <w:t> </w:t>
      </w:r>
      <w:r>
        <w:rPr/>
        <w:t>from</w:t>
      </w:r>
      <w:r>
        <w:rPr>
          <w:spacing w:val="1"/>
        </w:rPr>
        <w:t> </w:t>
      </w:r>
      <w:r>
        <w:rPr/>
        <w:t>E-view</w:t>
      </w:r>
      <w:r>
        <w:rPr>
          <w:spacing w:val="-2"/>
        </w:rPr>
        <w:t> </w:t>
      </w:r>
      <w:r>
        <w:rPr/>
        <w:t>statistical </w:t>
      </w:r>
      <w:r>
        <w:rPr>
          <w:spacing w:val="-2"/>
        </w:rPr>
        <w:t>package</w:t>
      </w:r>
    </w:p>
    <w:p>
      <w:pPr>
        <w:pStyle w:val="BodyText"/>
        <w:spacing w:before="1"/>
      </w:pPr>
    </w:p>
    <w:p>
      <w:pPr>
        <w:pStyle w:val="BodyText"/>
        <w:spacing w:line="480" w:lineRule="auto"/>
        <w:ind w:left="711" w:right="470"/>
        <w:jc w:val="both"/>
        <w:rPr>
          <w:rFonts w:ascii="Cambria"/>
        </w:rPr>
      </w:pPr>
      <w:r>
        <w:rPr>
          <w:rFonts w:ascii="Cambria"/>
        </w:rPr>
        <w:t>The table above shows that all variables except inflation (INF) are non-stationary before differencing </w:t>
      </w:r>
      <w:r>
        <w:rPr>
          <w:rFonts w:ascii="Cambria"/>
          <w:position w:val="1"/>
        </w:rPr>
        <w:t>and therefore, we reject the null hypothesis ) (H</w:t>
      </w:r>
      <w:r>
        <w:rPr>
          <w:rFonts w:ascii="Cambria"/>
          <w:sz w:val="16"/>
        </w:rPr>
        <w:t>0</w:t>
      </w:r>
      <w:r>
        <w:rPr>
          <w:rFonts w:ascii="Cambria"/>
          <w:position w:val="1"/>
        </w:rPr>
        <w:t>) for all the variables and accept the alternate hypothesis (H</w:t>
      </w:r>
      <w:r>
        <w:rPr>
          <w:rFonts w:ascii="Cambria"/>
          <w:sz w:val="16"/>
        </w:rPr>
        <w:t>1) </w:t>
      </w:r>
      <w:r>
        <w:rPr>
          <w:rFonts w:ascii="Cambria"/>
          <w:position w:val="1"/>
        </w:rPr>
        <w:t>In order to ensure the stationarity of data for the variables which are found</w:t>
      </w:r>
      <w:r>
        <w:rPr>
          <w:rFonts w:ascii="Cambria"/>
          <w:spacing w:val="-1"/>
          <w:position w:val="1"/>
        </w:rPr>
        <w:t> </w:t>
      </w:r>
      <w:r>
        <w:rPr>
          <w:rFonts w:ascii="Cambria"/>
          <w:position w:val="1"/>
        </w:rPr>
        <w:t>to be non- </w:t>
      </w:r>
      <w:r>
        <w:rPr>
          <w:rFonts w:ascii="Cambria"/>
        </w:rPr>
        <w:t>stationary at level, we proceed to test for stationarity at first difference. The result of the first differencing as duly presented in the appendix C is summarized below.</w:t>
      </w:r>
    </w:p>
    <w:p>
      <w:pPr>
        <w:pStyle w:val="BodyText"/>
        <w:rPr>
          <w:rFonts w:ascii="Cambria"/>
        </w:rPr>
      </w:pPr>
    </w:p>
    <w:p>
      <w:pPr>
        <w:pStyle w:val="BodyText"/>
        <w:spacing w:before="1"/>
        <w:rPr>
          <w:rFonts w:ascii="Cambria"/>
        </w:rPr>
      </w:pPr>
    </w:p>
    <w:p>
      <w:pPr>
        <w:pStyle w:val="Heading6"/>
        <w:rPr>
          <w:rFonts w:ascii="Cambria"/>
        </w:rPr>
      </w:pPr>
      <w:r>
        <w:rPr>
          <w:rFonts w:ascii="Cambria"/>
        </w:rPr>
        <w:t>Table</w:t>
      </w:r>
      <w:r>
        <w:rPr>
          <w:rFonts w:ascii="Cambria"/>
          <w:spacing w:val="-4"/>
        </w:rPr>
        <w:t> </w:t>
      </w:r>
      <w:r>
        <w:rPr>
          <w:rFonts w:ascii="Cambria"/>
        </w:rPr>
        <w:t>4.13.1</w:t>
      </w:r>
      <w:r>
        <w:rPr>
          <w:rFonts w:ascii="Cambria"/>
          <w:spacing w:val="27"/>
        </w:rPr>
        <w:t> </w:t>
      </w:r>
      <w:r>
        <w:rPr>
          <w:rFonts w:ascii="Cambria"/>
        </w:rPr>
        <w:t>UNIT</w:t>
      </w:r>
      <w:r>
        <w:rPr>
          <w:rFonts w:ascii="Cambria"/>
          <w:spacing w:val="-2"/>
        </w:rPr>
        <w:t> </w:t>
      </w:r>
      <w:r>
        <w:rPr>
          <w:rFonts w:ascii="Cambria"/>
        </w:rPr>
        <w:t>ROOT</w:t>
      </w:r>
      <w:r>
        <w:rPr>
          <w:rFonts w:ascii="Cambria"/>
          <w:spacing w:val="-1"/>
        </w:rPr>
        <w:t> </w:t>
      </w:r>
      <w:r>
        <w:rPr>
          <w:rFonts w:ascii="Cambria"/>
        </w:rPr>
        <w:t>TEST</w:t>
      </w:r>
      <w:r>
        <w:rPr>
          <w:rFonts w:ascii="Cambria"/>
          <w:spacing w:val="-2"/>
        </w:rPr>
        <w:t> </w:t>
      </w:r>
      <w:r>
        <w:rPr>
          <w:rFonts w:ascii="Cambria"/>
        </w:rPr>
        <w:t>AT</w:t>
      </w:r>
      <w:r>
        <w:rPr>
          <w:rFonts w:ascii="Cambria"/>
          <w:spacing w:val="-3"/>
        </w:rPr>
        <w:t> </w:t>
      </w:r>
      <w:r>
        <w:rPr>
          <w:rFonts w:ascii="Cambria"/>
        </w:rPr>
        <w:t>FIRST</w:t>
      </w:r>
      <w:r>
        <w:rPr>
          <w:rFonts w:ascii="Cambria"/>
          <w:spacing w:val="-2"/>
        </w:rPr>
        <w:t> </w:t>
      </w:r>
      <w:r>
        <w:rPr>
          <w:rFonts w:ascii="Cambria"/>
        </w:rPr>
        <w:t>DIFFERENCE</w:t>
      </w:r>
      <w:r>
        <w:rPr>
          <w:rFonts w:ascii="Cambria"/>
          <w:spacing w:val="-2"/>
        </w:rPr>
        <w:t> </w:t>
      </w:r>
      <w:r>
        <w:rPr>
          <w:rFonts w:ascii="Cambria"/>
        </w:rPr>
        <w:t>FOR</w:t>
      </w:r>
      <w:r>
        <w:rPr>
          <w:rFonts w:ascii="Cambria"/>
          <w:spacing w:val="-2"/>
        </w:rPr>
        <w:t> </w:t>
      </w:r>
      <w:r>
        <w:rPr>
          <w:rFonts w:ascii="Cambria"/>
        </w:rPr>
        <w:t>MODELS</w:t>
      </w:r>
      <w:r>
        <w:rPr>
          <w:rFonts w:ascii="Cambria"/>
          <w:spacing w:val="-2"/>
        </w:rPr>
        <w:t> </w:t>
      </w:r>
      <w:r>
        <w:rPr>
          <w:rFonts w:ascii="Cambria"/>
        </w:rPr>
        <w:t>1,</w:t>
      </w:r>
      <w:r>
        <w:rPr>
          <w:rFonts w:ascii="Cambria"/>
          <w:spacing w:val="-3"/>
        </w:rPr>
        <w:t> </w:t>
      </w:r>
      <w:r>
        <w:rPr>
          <w:rFonts w:ascii="Cambria"/>
        </w:rPr>
        <w:t>3</w:t>
      </w:r>
      <w:r>
        <w:rPr>
          <w:rFonts w:ascii="Cambria"/>
          <w:spacing w:val="-2"/>
        </w:rPr>
        <w:t> </w:t>
      </w:r>
      <w:r>
        <w:rPr>
          <w:rFonts w:ascii="Cambria"/>
        </w:rPr>
        <w:t>AND</w:t>
      </w:r>
      <w:r>
        <w:rPr>
          <w:rFonts w:ascii="Cambria"/>
          <w:spacing w:val="-1"/>
        </w:rPr>
        <w:t> </w:t>
      </w:r>
      <w:r>
        <w:rPr>
          <w:rFonts w:ascii="Cambria"/>
          <w:spacing w:val="-10"/>
        </w:rPr>
        <w:t>4</w:t>
      </w:r>
    </w:p>
    <w:p>
      <w:pPr>
        <w:pStyle w:val="BodyText"/>
        <w:spacing w:before="48"/>
        <w:rPr>
          <w:rFonts w:ascii="Cambria"/>
          <w:b/>
          <w:sz w:val="20"/>
        </w:rPr>
      </w:pPr>
    </w:p>
    <w:tbl>
      <w:tblPr>
        <w:tblW w:w="0" w:type="auto"/>
        <w:jc w:val="left"/>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41"/>
        <w:gridCol w:w="1539"/>
        <w:gridCol w:w="1541"/>
        <w:gridCol w:w="1160"/>
        <w:gridCol w:w="1133"/>
        <w:gridCol w:w="2331"/>
      </w:tblGrid>
      <w:tr>
        <w:trPr>
          <w:trHeight w:val="1265" w:hRule="atLeast"/>
        </w:trPr>
        <w:tc>
          <w:tcPr>
            <w:tcW w:w="1541" w:type="dxa"/>
          </w:tcPr>
          <w:p>
            <w:pPr>
              <w:pStyle w:val="TableParagraph"/>
              <w:rPr>
                <w:rFonts w:ascii="Cambria"/>
                <w:b/>
                <w:sz w:val="18"/>
              </w:rPr>
            </w:pPr>
          </w:p>
          <w:p>
            <w:pPr>
              <w:pStyle w:val="TableParagraph"/>
              <w:rPr>
                <w:rFonts w:ascii="Cambria"/>
                <w:b/>
                <w:sz w:val="18"/>
              </w:rPr>
            </w:pPr>
          </w:p>
          <w:p>
            <w:pPr>
              <w:pStyle w:val="TableParagraph"/>
              <w:ind w:left="10" w:right="2"/>
              <w:jc w:val="center"/>
              <w:rPr>
                <w:rFonts w:ascii="Cambria"/>
                <w:b/>
                <w:sz w:val="18"/>
              </w:rPr>
            </w:pPr>
            <w:r>
              <w:rPr>
                <w:rFonts w:ascii="Cambria"/>
                <w:b/>
                <w:spacing w:val="-2"/>
                <w:sz w:val="18"/>
              </w:rPr>
              <w:t>VARIABLES</w:t>
            </w:r>
          </w:p>
        </w:tc>
        <w:tc>
          <w:tcPr>
            <w:tcW w:w="1539" w:type="dxa"/>
          </w:tcPr>
          <w:p>
            <w:pPr>
              <w:pStyle w:val="TableParagraph"/>
              <w:spacing w:line="210" w:lineRule="exact"/>
              <w:ind w:left="46" w:right="42"/>
              <w:jc w:val="center"/>
              <w:rPr>
                <w:rFonts w:ascii="Cambria"/>
                <w:b/>
                <w:sz w:val="18"/>
              </w:rPr>
            </w:pPr>
            <w:r>
              <w:rPr>
                <w:rFonts w:ascii="Cambria"/>
                <w:b/>
                <w:spacing w:val="-5"/>
                <w:sz w:val="18"/>
              </w:rPr>
              <w:t>ADF</w:t>
            </w:r>
          </w:p>
          <w:p>
            <w:pPr>
              <w:pStyle w:val="TableParagraph"/>
              <w:spacing w:line="420" w:lineRule="atLeast" w:before="3"/>
              <w:ind w:left="46" w:right="38"/>
              <w:jc w:val="center"/>
              <w:rPr>
                <w:rFonts w:ascii="Cambria"/>
                <w:b/>
                <w:sz w:val="18"/>
              </w:rPr>
            </w:pPr>
            <w:r>
              <w:rPr>
                <w:rFonts w:ascii="Cambria"/>
                <w:b/>
                <w:spacing w:val="-2"/>
                <w:sz w:val="18"/>
              </w:rPr>
              <w:t>STATISTICS</w:t>
            </w:r>
            <w:r>
              <w:rPr>
                <w:rFonts w:ascii="Cambria"/>
                <w:b/>
                <w:spacing w:val="40"/>
                <w:sz w:val="18"/>
              </w:rPr>
              <w:t> </w:t>
            </w:r>
            <w:r>
              <w:rPr>
                <w:rFonts w:ascii="Cambria"/>
                <w:b/>
                <w:spacing w:val="-4"/>
                <w:sz w:val="18"/>
              </w:rPr>
              <w:t>VALUE</w:t>
            </w:r>
          </w:p>
        </w:tc>
        <w:tc>
          <w:tcPr>
            <w:tcW w:w="1541" w:type="dxa"/>
          </w:tcPr>
          <w:p>
            <w:pPr>
              <w:pStyle w:val="TableParagraph"/>
              <w:spacing w:line="210" w:lineRule="exact"/>
              <w:ind w:left="379" w:hanging="72"/>
              <w:rPr>
                <w:rFonts w:ascii="Cambria"/>
                <w:b/>
                <w:sz w:val="18"/>
              </w:rPr>
            </w:pPr>
            <w:r>
              <w:rPr>
                <w:rFonts w:ascii="Cambria"/>
                <w:b/>
                <w:spacing w:val="-2"/>
                <w:sz w:val="18"/>
              </w:rPr>
              <w:t>MACKINNO</w:t>
            </w:r>
          </w:p>
          <w:p>
            <w:pPr>
              <w:pStyle w:val="TableParagraph"/>
              <w:spacing w:line="420" w:lineRule="atLeast" w:before="3"/>
              <w:ind w:left="227" w:firstLine="151"/>
              <w:rPr>
                <w:rFonts w:ascii="Cambria"/>
                <w:b/>
                <w:sz w:val="18"/>
              </w:rPr>
            </w:pPr>
            <w:r>
              <w:rPr>
                <w:rFonts w:ascii="Cambria"/>
                <w:b/>
                <w:spacing w:val="-2"/>
                <w:sz w:val="18"/>
              </w:rPr>
              <w:t>CRITICAL</w:t>
            </w:r>
            <w:r>
              <w:rPr>
                <w:rFonts w:ascii="Cambria"/>
                <w:b/>
                <w:spacing w:val="40"/>
                <w:sz w:val="18"/>
              </w:rPr>
              <w:t> </w:t>
            </w:r>
            <w:r>
              <w:rPr>
                <w:rFonts w:ascii="Cambria"/>
                <w:b/>
                <w:sz w:val="18"/>
              </w:rPr>
              <w:t>VALUE</w:t>
            </w:r>
            <w:r>
              <w:rPr>
                <w:rFonts w:ascii="Cambria"/>
                <w:b/>
                <w:spacing w:val="-10"/>
                <w:sz w:val="18"/>
              </w:rPr>
              <w:t> </w:t>
            </w:r>
            <w:r>
              <w:rPr>
                <w:rFonts w:ascii="Cambria"/>
                <w:b/>
                <w:sz w:val="18"/>
              </w:rPr>
              <w:t>@</w:t>
            </w:r>
            <w:r>
              <w:rPr>
                <w:rFonts w:ascii="Cambria"/>
                <w:b/>
                <w:spacing w:val="-10"/>
                <w:sz w:val="18"/>
              </w:rPr>
              <w:t> </w:t>
            </w:r>
            <w:r>
              <w:rPr>
                <w:rFonts w:ascii="Cambria"/>
                <w:b/>
                <w:sz w:val="18"/>
              </w:rPr>
              <w:t>5%</w:t>
            </w:r>
          </w:p>
        </w:tc>
        <w:tc>
          <w:tcPr>
            <w:tcW w:w="1160" w:type="dxa"/>
          </w:tcPr>
          <w:p>
            <w:pPr>
              <w:pStyle w:val="TableParagraph"/>
              <w:rPr>
                <w:rFonts w:ascii="Cambria"/>
                <w:b/>
                <w:sz w:val="12"/>
              </w:rPr>
            </w:pPr>
          </w:p>
          <w:p>
            <w:pPr>
              <w:pStyle w:val="TableParagraph"/>
              <w:spacing w:before="140"/>
              <w:rPr>
                <w:rFonts w:ascii="Cambria"/>
                <w:b/>
                <w:sz w:val="12"/>
              </w:rPr>
            </w:pPr>
          </w:p>
          <w:p>
            <w:pPr>
              <w:pStyle w:val="TableParagraph"/>
              <w:ind w:left="6" w:right="1"/>
              <w:jc w:val="center"/>
              <w:rPr>
                <w:rFonts w:ascii="Cambria"/>
                <w:b/>
                <w:sz w:val="12"/>
              </w:rPr>
            </w:pPr>
            <w:r>
              <w:rPr>
                <w:rFonts w:ascii="Cambria"/>
                <w:b/>
                <w:spacing w:val="-5"/>
                <w:position w:val="1"/>
                <w:sz w:val="18"/>
              </w:rPr>
              <w:t>H</w:t>
            </w:r>
            <w:r>
              <w:rPr>
                <w:rFonts w:ascii="Cambria"/>
                <w:b/>
                <w:spacing w:val="-5"/>
                <w:sz w:val="12"/>
              </w:rPr>
              <w:t>0</w:t>
            </w:r>
          </w:p>
        </w:tc>
        <w:tc>
          <w:tcPr>
            <w:tcW w:w="1133" w:type="dxa"/>
          </w:tcPr>
          <w:p>
            <w:pPr>
              <w:pStyle w:val="TableParagraph"/>
              <w:rPr>
                <w:rFonts w:ascii="Cambria"/>
                <w:b/>
                <w:sz w:val="12"/>
              </w:rPr>
            </w:pPr>
          </w:p>
          <w:p>
            <w:pPr>
              <w:pStyle w:val="TableParagraph"/>
              <w:spacing w:before="140"/>
              <w:rPr>
                <w:rFonts w:ascii="Cambria"/>
                <w:b/>
                <w:sz w:val="12"/>
              </w:rPr>
            </w:pPr>
          </w:p>
          <w:p>
            <w:pPr>
              <w:pStyle w:val="TableParagraph"/>
              <w:ind w:right="457"/>
              <w:jc w:val="right"/>
              <w:rPr>
                <w:rFonts w:ascii="Cambria"/>
                <w:b/>
                <w:sz w:val="12"/>
              </w:rPr>
            </w:pPr>
            <w:r>
              <w:rPr>
                <w:rFonts w:ascii="Cambria"/>
                <w:b/>
                <w:spacing w:val="-5"/>
                <w:position w:val="1"/>
                <w:sz w:val="18"/>
              </w:rPr>
              <w:t>H</w:t>
            </w:r>
            <w:r>
              <w:rPr>
                <w:rFonts w:ascii="Cambria"/>
                <w:b/>
                <w:spacing w:val="-5"/>
                <w:sz w:val="12"/>
              </w:rPr>
              <w:t>1</w:t>
            </w:r>
          </w:p>
        </w:tc>
        <w:tc>
          <w:tcPr>
            <w:tcW w:w="2331" w:type="dxa"/>
          </w:tcPr>
          <w:p>
            <w:pPr>
              <w:pStyle w:val="TableParagraph"/>
              <w:rPr>
                <w:rFonts w:ascii="Cambria"/>
                <w:b/>
                <w:sz w:val="18"/>
              </w:rPr>
            </w:pPr>
          </w:p>
          <w:p>
            <w:pPr>
              <w:pStyle w:val="TableParagraph"/>
              <w:rPr>
                <w:rFonts w:ascii="Cambria"/>
                <w:b/>
                <w:sz w:val="18"/>
              </w:rPr>
            </w:pPr>
          </w:p>
          <w:p>
            <w:pPr>
              <w:pStyle w:val="TableParagraph"/>
              <w:ind w:left="747"/>
              <w:rPr>
                <w:rFonts w:ascii="Cambria"/>
                <w:b/>
                <w:sz w:val="18"/>
              </w:rPr>
            </w:pPr>
            <w:r>
              <w:rPr>
                <w:rFonts w:ascii="Cambria"/>
                <w:b/>
                <w:spacing w:val="-2"/>
                <w:sz w:val="18"/>
              </w:rPr>
              <w:t>REMARKS</w:t>
            </w:r>
          </w:p>
        </w:tc>
      </w:tr>
      <w:tr>
        <w:trPr>
          <w:trHeight w:val="421" w:hRule="atLeast"/>
        </w:trPr>
        <w:tc>
          <w:tcPr>
            <w:tcW w:w="1541" w:type="dxa"/>
          </w:tcPr>
          <w:p>
            <w:pPr>
              <w:pStyle w:val="TableParagraph"/>
              <w:spacing w:before="2"/>
              <w:ind w:left="10" w:right="3"/>
              <w:jc w:val="center"/>
              <w:rPr>
                <w:sz w:val="18"/>
              </w:rPr>
            </w:pPr>
            <w:r>
              <w:rPr>
                <w:spacing w:val="-5"/>
                <w:sz w:val="18"/>
              </w:rPr>
              <w:t>KFW</w:t>
            </w:r>
          </w:p>
        </w:tc>
        <w:tc>
          <w:tcPr>
            <w:tcW w:w="1539" w:type="dxa"/>
          </w:tcPr>
          <w:p>
            <w:pPr>
              <w:pStyle w:val="TableParagraph"/>
              <w:spacing w:before="2"/>
              <w:ind w:left="105"/>
              <w:rPr>
                <w:sz w:val="18"/>
              </w:rPr>
            </w:pPr>
            <w:r>
              <w:rPr>
                <w:sz w:val="18"/>
              </w:rPr>
              <w:t>-</w:t>
            </w:r>
            <w:r>
              <w:rPr>
                <w:spacing w:val="-2"/>
                <w:sz w:val="18"/>
              </w:rPr>
              <w:t>7.876181</w:t>
            </w:r>
          </w:p>
        </w:tc>
        <w:tc>
          <w:tcPr>
            <w:tcW w:w="1541" w:type="dxa"/>
          </w:tcPr>
          <w:p>
            <w:pPr>
              <w:pStyle w:val="TableParagraph"/>
              <w:spacing w:before="3"/>
              <w:ind w:left="107"/>
              <w:rPr>
                <w:rFonts w:ascii="Arial MT"/>
                <w:sz w:val="18"/>
              </w:rPr>
            </w:pPr>
            <w:r>
              <w:rPr>
                <w:rFonts w:ascii="Arial MT"/>
                <w:spacing w:val="-2"/>
                <w:sz w:val="18"/>
              </w:rPr>
              <w:t>-2.9378</w:t>
            </w:r>
          </w:p>
        </w:tc>
        <w:tc>
          <w:tcPr>
            <w:tcW w:w="1160" w:type="dxa"/>
          </w:tcPr>
          <w:p>
            <w:pPr>
              <w:pStyle w:val="TableParagraph"/>
              <w:spacing w:before="1"/>
              <w:ind w:left="107"/>
              <w:rPr>
                <w:rFonts w:ascii="Cambria"/>
                <w:sz w:val="18"/>
              </w:rPr>
            </w:pPr>
            <w:r>
              <w:rPr>
                <w:rFonts w:ascii="Cambria"/>
                <w:spacing w:val="-2"/>
                <w:sz w:val="18"/>
              </w:rPr>
              <w:t>Reject</w:t>
            </w:r>
          </w:p>
        </w:tc>
        <w:tc>
          <w:tcPr>
            <w:tcW w:w="1133" w:type="dxa"/>
          </w:tcPr>
          <w:p>
            <w:pPr>
              <w:pStyle w:val="TableParagraph"/>
              <w:spacing w:before="1"/>
              <w:ind w:right="494"/>
              <w:jc w:val="right"/>
              <w:rPr>
                <w:rFonts w:ascii="Cambria"/>
                <w:sz w:val="18"/>
              </w:rPr>
            </w:pPr>
            <w:r>
              <w:rPr>
                <w:rFonts w:ascii="Cambria"/>
                <w:spacing w:val="-2"/>
                <w:sz w:val="18"/>
              </w:rPr>
              <w:t>Accept</w:t>
            </w:r>
          </w:p>
        </w:tc>
        <w:tc>
          <w:tcPr>
            <w:tcW w:w="2331" w:type="dxa"/>
          </w:tcPr>
          <w:p>
            <w:pPr>
              <w:pStyle w:val="TableParagraph"/>
              <w:spacing w:before="1"/>
              <w:ind w:left="104"/>
              <w:rPr>
                <w:rFonts w:ascii="Cambria"/>
                <w:sz w:val="18"/>
              </w:rPr>
            </w:pPr>
            <w:r>
              <w:rPr>
                <w:rFonts w:ascii="Cambria"/>
                <w:spacing w:val="-2"/>
                <w:sz w:val="18"/>
              </w:rPr>
              <w:t>STATIONARY</w:t>
            </w:r>
          </w:p>
        </w:tc>
      </w:tr>
      <w:tr>
        <w:trPr>
          <w:trHeight w:val="422" w:hRule="atLeast"/>
        </w:trPr>
        <w:tc>
          <w:tcPr>
            <w:tcW w:w="1541" w:type="dxa"/>
          </w:tcPr>
          <w:p>
            <w:pPr>
              <w:pStyle w:val="TableParagraph"/>
              <w:spacing w:before="2"/>
              <w:ind w:left="10" w:right="4"/>
              <w:jc w:val="center"/>
              <w:rPr>
                <w:sz w:val="18"/>
              </w:rPr>
            </w:pPr>
            <w:r>
              <w:rPr>
                <w:spacing w:val="-5"/>
                <w:sz w:val="18"/>
              </w:rPr>
              <w:t>KFM</w:t>
            </w:r>
          </w:p>
        </w:tc>
        <w:tc>
          <w:tcPr>
            <w:tcW w:w="1539" w:type="dxa"/>
          </w:tcPr>
          <w:p>
            <w:pPr>
              <w:pStyle w:val="TableParagraph"/>
              <w:ind w:left="105"/>
              <w:rPr>
                <w:sz w:val="20"/>
              </w:rPr>
            </w:pPr>
            <w:r>
              <w:rPr>
                <w:spacing w:val="-4"/>
                <w:sz w:val="20"/>
              </w:rPr>
              <w:t>-</w:t>
            </w:r>
            <w:r>
              <w:rPr>
                <w:spacing w:val="-2"/>
                <w:sz w:val="20"/>
              </w:rPr>
              <w:t>7.244402</w:t>
            </w:r>
          </w:p>
        </w:tc>
        <w:tc>
          <w:tcPr>
            <w:tcW w:w="1541" w:type="dxa"/>
          </w:tcPr>
          <w:p>
            <w:pPr>
              <w:pStyle w:val="TableParagraph"/>
              <w:spacing w:before="3"/>
              <w:ind w:left="107"/>
              <w:rPr>
                <w:rFonts w:ascii="Arial MT"/>
                <w:sz w:val="18"/>
              </w:rPr>
            </w:pPr>
            <w:r>
              <w:rPr>
                <w:rFonts w:ascii="Arial MT"/>
                <w:spacing w:val="-2"/>
                <w:sz w:val="18"/>
              </w:rPr>
              <w:t>-2.9378</w:t>
            </w:r>
          </w:p>
        </w:tc>
        <w:tc>
          <w:tcPr>
            <w:tcW w:w="1160" w:type="dxa"/>
          </w:tcPr>
          <w:p>
            <w:pPr>
              <w:pStyle w:val="TableParagraph"/>
              <w:spacing w:before="1"/>
              <w:ind w:left="107"/>
              <w:rPr>
                <w:rFonts w:ascii="Cambria"/>
                <w:sz w:val="18"/>
              </w:rPr>
            </w:pPr>
            <w:r>
              <w:rPr>
                <w:rFonts w:ascii="Cambria"/>
                <w:spacing w:val="-2"/>
                <w:sz w:val="18"/>
              </w:rPr>
              <w:t>Reject</w:t>
            </w:r>
          </w:p>
        </w:tc>
        <w:tc>
          <w:tcPr>
            <w:tcW w:w="1133" w:type="dxa"/>
          </w:tcPr>
          <w:p>
            <w:pPr>
              <w:pStyle w:val="TableParagraph"/>
              <w:spacing w:before="1"/>
              <w:ind w:right="494"/>
              <w:jc w:val="right"/>
              <w:rPr>
                <w:rFonts w:ascii="Cambria"/>
                <w:sz w:val="18"/>
              </w:rPr>
            </w:pPr>
            <w:r>
              <w:rPr>
                <w:rFonts w:ascii="Cambria"/>
                <w:spacing w:val="-2"/>
                <w:sz w:val="18"/>
              </w:rPr>
              <w:t>Accept</w:t>
            </w:r>
          </w:p>
        </w:tc>
        <w:tc>
          <w:tcPr>
            <w:tcW w:w="2331" w:type="dxa"/>
          </w:tcPr>
          <w:p>
            <w:pPr>
              <w:pStyle w:val="TableParagraph"/>
              <w:spacing w:before="1"/>
              <w:ind w:left="104"/>
              <w:rPr>
                <w:rFonts w:ascii="Cambria"/>
                <w:sz w:val="18"/>
              </w:rPr>
            </w:pPr>
            <w:r>
              <w:rPr>
                <w:rFonts w:ascii="Cambria"/>
                <w:spacing w:val="-2"/>
                <w:sz w:val="18"/>
              </w:rPr>
              <w:t>STATIONARY</w:t>
            </w:r>
          </w:p>
        </w:tc>
      </w:tr>
      <w:tr>
        <w:trPr>
          <w:trHeight w:val="421" w:hRule="atLeast"/>
        </w:trPr>
        <w:tc>
          <w:tcPr>
            <w:tcW w:w="1541" w:type="dxa"/>
          </w:tcPr>
          <w:p>
            <w:pPr>
              <w:pStyle w:val="TableParagraph"/>
              <w:spacing w:before="2"/>
              <w:ind w:left="10" w:right="1"/>
              <w:jc w:val="center"/>
              <w:rPr>
                <w:sz w:val="18"/>
              </w:rPr>
            </w:pPr>
            <w:r>
              <w:rPr>
                <w:rFonts w:ascii="Cambria" w:hAnsi="Cambria"/>
                <w:spacing w:val="-2"/>
                <w:sz w:val="24"/>
              </w:rPr>
              <w:t>δ</w:t>
            </w:r>
            <w:r>
              <w:rPr>
                <w:spacing w:val="-2"/>
                <w:sz w:val="18"/>
              </w:rPr>
              <w:t>EXTDEBT</w:t>
            </w:r>
          </w:p>
        </w:tc>
        <w:tc>
          <w:tcPr>
            <w:tcW w:w="1539" w:type="dxa"/>
          </w:tcPr>
          <w:p>
            <w:pPr>
              <w:pStyle w:val="TableParagraph"/>
              <w:spacing w:before="1"/>
              <w:ind w:left="105"/>
              <w:rPr>
                <w:rFonts w:ascii="Arial MT"/>
                <w:sz w:val="18"/>
              </w:rPr>
            </w:pPr>
            <w:r>
              <w:rPr>
                <w:rFonts w:ascii="Arial MT"/>
                <w:spacing w:val="-2"/>
                <w:sz w:val="18"/>
              </w:rPr>
              <w:t>-8.348753</w:t>
            </w:r>
          </w:p>
        </w:tc>
        <w:tc>
          <w:tcPr>
            <w:tcW w:w="1541" w:type="dxa"/>
          </w:tcPr>
          <w:p>
            <w:pPr>
              <w:pStyle w:val="TableParagraph"/>
              <w:spacing w:before="3"/>
              <w:ind w:left="107"/>
              <w:rPr>
                <w:rFonts w:ascii="Arial MT"/>
                <w:sz w:val="18"/>
              </w:rPr>
            </w:pPr>
            <w:r>
              <w:rPr>
                <w:rFonts w:ascii="Arial MT"/>
                <w:spacing w:val="-2"/>
                <w:sz w:val="18"/>
              </w:rPr>
              <w:t>-2.9378</w:t>
            </w:r>
          </w:p>
        </w:tc>
        <w:tc>
          <w:tcPr>
            <w:tcW w:w="1160" w:type="dxa"/>
          </w:tcPr>
          <w:p>
            <w:pPr>
              <w:pStyle w:val="TableParagraph"/>
              <w:spacing w:before="1"/>
              <w:ind w:left="107"/>
              <w:rPr>
                <w:rFonts w:ascii="Cambria"/>
                <w:sz w:val="18"/>
              </w:rPr>
            </w:pPr>
            <w:r>
              <w:rPr>
                <w:rFonts w:ascii="Cambria"/>
                <w:spacing w:val="-2"/>
                <w:sz w:val="18"/>
              </w:rPr>
              <w:t>Reject</w:t>
            </w:r>
          </w:p>
        </w:tc>
        <w:tc>
          <w:tcPr>
            <w:tcW w:w="1133" w:type="dxa"/>
          </w:tcPr>
          <w:p>
            <w:pPr>
              <w:pStyle w:val="TableParagraph"/>
              <w:spacing w:before="1"/>
              <w:ind w:right="494"/>
              <w:jc w:val="right"/>
              <w:rPr>
                <w:rFonts w:ascii="Cambria"/>
                <w:sz w:val="18"/>
              </w:rPr>
            </w:pPr>
            <w:r>
              <w:rPr>
                <w:rFonts w:ascii="Cambria"/>
                <w:spacing w:val="-2"/>
                <w:sz w:val="18"/>
              </w:rPr>
              <w:t>Accept</w:t>
            </w:r>
          </w:p>
        </w:tc>
        <w:tc>
          <w:tcPr>
            <w:tcW w:w="2331" w:type="dxa"/>
          </w:tcPr>
          <w:p>
            <w:pPr>
              <w:pStyle w:val="TableParagraph"/>
              <w:spacing w:before="1"/>
              <w:ind w:left="104"/>
              <w:rPr>
                <w:rFonts w:ascii="Cambria"/>
                <w:sz w:val="18"/>
              </w:rPr>
            </w:pPr>
            <w:r>
              <w:rPr>
                <w:rFonts w:ascii="Cambria"/>
                <w:spacing w:val="-2"/>
                <w:sz w:val="18"/>
              </w:rPr>
              <w:t>STATIONARY</w:t>
            </w:r>
          </w:p>
        </w:tc>
      </w:tr>
      <w:tr>
        <w:trPr>
          <w:trHeight w:val="424" w:hRule="atLeast"/>
        </w:trPr>
        <w:tc>
          <w:tcPr>
            <w:tcW w:w="1541" w:type="dxa"/>
          </w:tcPr>
          <w:p>
            <w:pPr>
              <w:pStyle w:val="TableParagraph"/>
              <w:spacing w:before="2"/>
              <w:ind w:left="10" w:right="1"/>
              <w:jc w:val="center"/>
              <w:rPr>
                <w:sz w:val="18"/>
              </w:rPr>
            </w:pPr>
            <w:r>
              <w:rPr>
                <w:spacing w:val="-5"/>
                <w:sz w:val="18"/>
              </w:rPr>
              <w:t>DOP</w:t>
            </w:r>
          </w:p>
        </w:tc>
        <w:tc>
          <w:tcPr>
            <w:tcW w:w="1539" w:type="dxa"/>
          </w:tcPr>
          <w:p>
            <w:pPr>
              <w:pStyle w:val="TableParagraph"/>
              <w:spacing w:before="2"/>
              <w:ind w:left="105"/>
              <w:rPr>
                <w:sz w:val="18"/>
              </w:rPr>
            </w:pPr>
            <w:r>
              <w:rPr>
                <w:sz w:val="18"/>
              </w:rPr>
              <w:t>-</w:t>
            </w:r>
            <w:r>
              <w:rPr>
                <w:spacing w:val="-2"/>
                <w:sz w:val="18"/>
              </w:rPr>
              <w:t>5.323674</w:t>
            </w:r>
          </w:p>
        </w:tc>
        <w:tc>
          <w:tcPr>
            <w:tcW w:w="1541" w:type="dxa"/>
          </w:tcPr>
          <w:p>
            <w:pPr>
              <w:pStyle w:val="TableParagraph"/>
              <w:spacing w:before="3"/>
              <w:ind w:left="107"/>
              <w:rPr>
                <w:rFonts w:ascii="Arial MT"/>
                <w:sz w:val="18"/>
              </w:rPr>
            </w:pPr>
            <w:r>
              <w:rPr>
                <w:rFonts w:ascii="Arial MT"/>
                <w:spacing w:val="-2"/>
                <w:sz w:val="18"/>
              </w:rPr>
              <w:t>-2.9378</w:t>
            </w:r>
          </w:p>
        </w:tc>
        <w:tc>
          <w:tcPr>
            <w:tcW w:w="1160" w:type="dxa"/>
          </w:tcPr>
          <w:p>
            <w:pPr>
              <w:pStyle w:val="TableParagraph"/>
              <w:spacing w:before="1"/>
              <w:ind w:left="107"/>
              <w:rPr>
                <w:rFonts w:ascii="Cambria"/>
                <w:sz w:val="18"/>
              </w:rPr>
            </w:pPr>
            <w:r>
              <w:rPr>
                <w:rFonts w:ascii="Cambria"/>
                <w:spacing w:val="-2"/>
                <w:sz w:val="18"/>
              </w:rPr>
              <w:t>Reject</w:t>
            </w:r>
          </w:p>
        </w:tc>
        <w:tc>
          <w:tcPr>
            <w:tcW w:w="1133" w:type="dxa"/>
          </w:tcPr>
          <w:p>
            <w:pPr>
              <w:pStyle w:val="TableParagraph"/>
              <w:spacing w:before="1"/>
              <w:ind w:right="494"/>
              <w:jc w:val="right"/>
              <w:rPr>
                <w:rFonts w:ascii="Cambria"/>
                <w:sz w:val="18"/>
              </w:rPr>
            </w:pPr>
            <w:r>
              <w:rPr>
                <w:rFonts w:ascii="Cambria"/>
                <w:spacing w:val="-2"/>
                <w:sz w:val="18"/>
              </w:rPr>
              <w:t>Accept</w:t>
            </w:r>
          </w:p>
        </w:tc>
        <w:tc>
          <w:tcPr>
            <w:tcW w:w="2331" w:type="dxa"/>
          </w:tcPr>
          <w:p>
            <w:pPr>
              <w:pStyle w:val="TableParagraph"/>
              <w:spacing w:before="1"/>
              <w:ind w:left="104"/>
              <w:rPr>
                <w:rFonts w:ascii="Cambria"/>
                <w:sz w:val="18"/>
              </w:rPr>
            </w:pPr>
            <w:r>
              <w:rPr>
                <w:rFonts w:ascii="Cambria"/>
                <w:spacing w:val="-2"/>
                <w:sz w:val="18"/>
              </w:rPr>
              <w:t>STATIONARY</w:t>
            </w:r>
          </w:p>
        </w:tc>
      </w:tr>
    </w:tbl>
    <w:p>
      <w:pPr>
        <w:spacing w:after="0"/>
        <w:rPr>
          <w:rFonts w:ascii="Cambria"/>
          <w:sz w:val="18"/>
        </w:rPr>
        <w:sectPr>
          <w:pgSz w:w="11910" w:h="16840"/>
          <w:pgMar w:header="0" w:footer="979" w:top="1340" w:bottom="1493" w:left="280" w:right="0"/>
        </w:sectPr>
      </w:pPr>
    </w:p>
    <w:tbl>
      <w:tblPr>
        <w:tblW w:w="0" w:type="auto"/>
        <w:jc w:val="left"/>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41"/>
        <w:gridCol w:w="1539"/>
        <w:gridCol w:w="1541"/>
        <w:gridCol w:w="1160"/>
        <w:gridCol w:w="1133"/>
        <w:gridCol w:w="2331"/>
      </w:tblGrid>
      <w:tr>
        <w:trPr>
          <w:trHeight w:val="422" w:hRule="atLeast"/>
        </w:trPr>
        <w:tc>
          <w:tcPr>
            <w:tcW w:w="1541" w:type="dxa"/>
          </w:tcPr>
          <w:p>
            <w:pPr>
              <w:pStyle w:val="TableParagraph"/>
              <w:spacing w:line="207" w:lineRule="exact"/>
              <w:ind w:left="10" w:right="3"/>
              <w:jc w:val="center"/>
              <w:rPr>
                <w:sz w:val="18"/>
              </w:rPr>
            </w:pPr>
            <w:r>
              <w:rPr>
                <w:spacing w:val="-5"/>
                <w:sz w:val="18"/>
              </w:rPr>
              <w:t>GCF</w:t>
            </w:r>
          </w:p>
        </w:tc>
        <w:tc>
          <w:tcPr>
            <w:tcW w:w="1539" w:type="dxa"/>
          </w:tcPr>
          <w:p>
            <w:pPr>
              <w:pStyle w:val="TableParagraph"/>
              <w:spacing w:line="207" w:lineRule="exact"/>
              <w:ind w:left="105"/>
              <w:rPr>
                <w:sz w:val="18"/>
              </w:rPr>
            </w:pPr>
            <w:r>
              <w:rPr>
                <w:sz w:val="18"/>
              </w:rPr>
              <w:t>-</w:t>
            </w:r>
            <w:r>
              <w:rPr>
                <w:spacing w:val="-2"/>
                <w:sz w:val="18"/>
              </w:rPr>
              <w:t>8.681226</w:t>
            </w:r>
          </w:p>
        </w:tc>
        <w:tc>
          <w:tcPr>
            <w:tcW w:w="1541" w:type="dxa"/>
          </w:tcPr>
          <w:p>
            <w:pPr>
              <w:pStyle w:val="TableParagraph"/>
              <w:spacing w:before="3"/>
              <w:ind w:left="107"/>
              <w:rPr>
                <w:rFonts w:ascii="Arial MT"/>
                <w:sz w:val="18"/>
              </w:rPr>
            </w:pPr>
            <w:r>
              <w:rPr>
                <w:rFonts w:ascii="Arial MT"/>
                <w:spacing w:val="-2"/>
                <w:sz w:val="18"/>
              </w:rPr>
              <w:t>-2.9378</w:t>
            </w:r>
          </w:p>
        </w:tc>
        <w:tc>
          <w:tcPr>
            <w:tcW w:w="1160" w:type="dxa"/>
          </w:tcPr>
          <w:p>
            <w:pPr>
              <w:pStyle w:val="TableParagraph"/>
              <w:spacing w:line="210" w:lineRule="exact"/>
              <w:ind w:left="107"/>
              <w:rPr>
                <w:rFonts w:ascii="Cambria"/>
                <w:sz w:val="18"/>
              </w:rPr>
            </w:pPr>
            <w:r>
              <w:rPr>
                <w:rFonts w:ascii="Cambria"/>
                <w:spacing w:val="-2"/>
                <w:sz w:val="18"/>
              </w:rPr>
              <w:t>Reject</w:t>
            </w:r>
          </w:p>
        </w:tc>
        <w:tc>
          <w:tcPr>
            <w:tcW w:w="1133" w:type="dxa"/>
          </w:tcPr>
          <w:p>
            <w:pPr>
              <w:pStyle w:val="TableParagraph"/>
              <w:spacing w:line="210" w:lineRule="exact"/>
              <w:ind w:left="105"/>
              <w:rPr>
                <w:rFonts w:ascii="Cambria"/>
                <w:sz w:val="18"/>
              </w:rPr>
            </w:pPr>
            <w:r>
              <w:rPr>
                <w:rFonts w:ascii="Cambria"/>
                <w:spacing w:val="-2"/>
                <w:sz w:val="18"/>
              </w:rPr>
              <w:t>Accept</w:t>
            </w:r>
          </w:p>
        </w:tc>
        <w:tc>
          <w:tcPr>
            <w:tcW w:w="2331" w:type="dxa"/>
          </w:tcPr>
          <w:p>
            <w:pPr>
              <w:pStyle w:val="TableParagraph"/>
              <w:spacing w:line="210" w:lineRule="exact"/>
              <w:ind w:left="104"/>
              <w:rPr>
                <w:rFonts w:ascii="Cambria"/>
                <w:sz w:val="18"/>
              </w:rPr>
            </w:pPr>
            <w:r>
              <w:rPr>
                <w:rFonts w:ascii="Cambria"/>
                <w:spacing w:val="-2"/>
                <w:sz w:val="18"/>
              </w:rPr>
              <w:t>STATIONARY</w:t>
            </w:r>
          </w:p>
        </w:tc>
      </w:tr>
      <w:tr>
        <w:trPr>
          <w:trHeight w:val="422" w:hRule="atLeast"/>
        </w:trPr>
        <w:tc>
          <w:tcPr>
            <w:tcW w:w="1541" w:type="dxa"/>
          </w:tcPr>
          <w:p>
            <w:pPr>
              <w:pStyle w:val="TableParagraph"/>
              <w:spacing w:line="207" w:lineRule="exact"/>
              <w:ind w:left="10"/>
              <w:jc w:val="center"/>
              <w:rPr>
                <w:sz w:val="18"/>
              </w:rPr>
            </w:pPr>
            <w:r>
              <w:rPr>
                <w:spacing w:val="-5"/>
                <w:sz w:val="18"/>
              </w:rPr>
              <w:t>DR</w:t>
            </w:r>
          </w:p>
        </w:tc>
        <w:tc>
          <w:tcPr>
            <w:tcW w:w="1539" w:type="dxa"/>
          </w:tcPr>
          <w:p>
            <w:pPr>
              <w:pStyle w:val="TableParagraph"/>
              <w:spacing w:line="207" w:lineRule="exact"/>
              <w:ind w:left="105"/>
              <w:rPr>
                <w:sz w:val="18"/>
              </w:rPr>
            </w:pPr>
            <w:r>
              <w:rPr>
                <w:sz w:val="18"/>
              </w:rPr>
              <w:t>-</w:t>
            </w:r>
            <w:r>
              <w:rPr>
                <w:spacing w:val="-2"/>
                <w:sz w:val="18"/>
              </w:rPr>
              <w:t>3.190340</w:t>
            </w:r>
          </w:p>
        </w:tc>
        <w:tc>
          <w:tcPr>
            <w:tcW w:w="1541" w:type="dxa"/>
          </w:tcPr>
          <w:p>
            <w:pPr>
              <w:pStyle w:val="TableParagraph"/>
              <w:spacing w:before="3"/>
              <w:ind w:left="107"/>
              <w:rPr>
                <w:rFonts w:ascii="Arial MT"/>
                <w:sz w:val="18"/>
              </w:rPr>
            </w:pPr>
            <w:r>
              <w:rPr>
                <w:rFonts w:ascii="Arial MT"/>
                <w:spacing w:val="-2"/>
                <w:sz w:val="18"/>
              </w:rPr>
              <w:t>-2.9378</w:t>
            </w:r>
          </w:p>
        </w:tc>
        <w:tc>
          <w:tcPr>
            <w:tcW w:w="1160" w:type="dxa"/>
          </w:tcPr>
          <w:p>
            <w:pPr>
              <w:pStyle w:val="TableParagraph"/>
              <w:spacing w:line="210" w:lineRule="exact"/>
              <w:ind w:left="107"/>
              <w:rPr>
                <w:rFonts w:ascii="Cambria"/>
                <w:sz w:val="18"/>
              </w:rPr>
            </w:pPr>
            <w:r>
              <w:rPr>
                <w:rFonts w:ascii="Cambria"/>
                <w:spacing w:val="-2"/>
                <w:sz w:val="18"/>
              </w:rPr>
              <w:t>Reject</w:t>
            </w:r>
          </w:p>
        </w:tc>
        <w:tc>
          <w:tcPr>
            <w:tcW w:w="1133" w:type="dxa"/>
          </w:tcPr>
          <w:p>
            <w:pPr>
              <w:pStyle w:val="TableParagraph"/>
              <w:spacing w:line="210" w:lineRule="exact"/>
              <w:ind w:left="105"/>
              <w:rPr>
                <w:rFonts w:ascii="Cambria"/>
                <w:sz w:val="18"/>
              </w:rPr>
            </w:pPr>
            <w:r>
              <w:rPr>
                <w:rFonts w:ascii="Cambria"/>
                <w:spacing w:val="-2"/>
                <w:sz w:val="18"/>
              </w:rPr>
              <w:t>Accept</w:t>
            </w:r>
          </w:p>
        </w:tc>
        <w:tc>
          <w:tcPr>
            <w:tcW w:w="2331" w:type="dxa"/>
          </w:tcPr>
          <w:p>
            <w:pPr>
              <w:pStyle w:val="TableParagraph"/>
              <w:spacing w:line="210" w:lineRule="exact"/>
              <w:ind w:left="104"/>
              <w:rPr>
                <w:rFonts w:ascii="Cambria"/>
                <w:sz w:val="18"/>
              </w:rPr>
            </w:pPr>
            <w:r>
              <w:rPr>
                <w:rFonts w:ascii="Cambria"/>
                <w:spacing w:val="-2"/>
                <w:sz w:val="18"/>
              </w:rPr>
              <w:t>STATIONARY</w:t>
            </w:r>
          </w:p>
        </w:tc>
      </w:tr>
      <w:tr>
        <w:trPr>
          <w:trHeight w:val="422" w:hRule="atLeast"/>
        </w:trPr>
        <w:tc>
          <w:tcPr>
            <w:tcW w:w="1541" w:type="dxa"/>
          </w:tcPr>
          <w:p>
            <w:pPr>
              <w:pStyle w:val="TableParagraph"/>
              <w:spacing w:line="207" w:lineRule="exact"/>
              <w:ind w:left="10"/>
              <w:jc w:val="center"/>
              <w:rPr>
                <w:sz w:val="18"/>
              </w:rPr>
            </w:pPr>
            <w:r>
              <w:rPr>
                <w:spacing w:val="-2"/>
                <w:sz w:val="18"/>
              </w:rPr>
              <w:t>PRIVCR</w:t>
            </w:r>
          </w:p>
        </w:tc>
        <w:tc>
          <w:tcPr>
            <w:tcW w:w="1539" w:type="dxa"/>
          </w:tcPr>
          <w:p>
            <w:pPr>
              <w:pStyle w:val="TableParagraph"/>
              <w:spacing w:before="4"/>
              <w:ind w:left="105"/>
              <w:rPr>
                <w:sz w:val="18"/>
              </w:rPr>
            </w:pPr>
            <w:r>
              <w:rPr>
                <w:sz w:val="18"/>
              </w:rPr>
              <w:t>-</w:t>
            </w:r>
            <w:r>
              <w:rPr>
                <w:spacing w:val="-2"/>
                <w:sz w:val="18"/>
              </w:rPr>
              <w:t>4.499841</w:t>
            </w:r>
          </w:p>
        </w:tc>
        <w:tc>
          <w:tcPr>
            <w:tcW w:w="1541" w:type="dxa"/>
          </w:tcPr>
          <w:p>
            <w:pPr>
              <w:pStyle w:val="TableParagraph"/>
              <w:spacing w:before="3"/>
              <w:ind w:left="107"/>
              <w:rPr>
                <w:rFonts w:ascii="Arial MT"/>
                <w:sz w:val="18"/>
              </w:rPr>
            </w:pPr>
            <w:r>
              <w:rPr>
                <w:rFonts w:ascii="Arial MT"/>
                <w:spacing w:val="-2"/>
                <w:sz w:val="18"/>
              </w:rPr>
              <w:t>-2.9378</w:t>
            </w:r>
          </w:p>
        </w:tc>
        <w:tc>
          <w:tcPr>
            <w:tcW w:w="1160" w:type="dxa"/>
          </w:tcPr>
          <w:p>
            <w:pPr>
              <w:pStyle w:val="TableParagraph"/>
              <w:spacing w:line="210" w:lineRule="exact"/>
              <w:ind w:left="107"/>
              <w:rPr>
                <w:rFonts w:ascii="Cambria"/>
                <w:sz w:val="18"/>
              </w:rPr>
            </w:pPr>
            <w:r>
              <w:rPr>
                <w:rFonts w:ascii="Cambria"/>
                <w:spacing w:val="-2"/>
                <w:sz w:val="18"/>
              </w:rPr>
              <w:t>Reject</w:t>
            </w:r>
          </w:p>
        </w:tc>
        <w:tc>
          <w:tcPr>
            <w:tcW w:w="1133" w:type="dxa"/>
          </w:tcPr>
          <w:p>
            <w:pPr>
              <w:pStyle w:val="TableParagraph"/>
              <w:spacing w:line="210" w:lineRule="exact"/>
              <w:ind w:left="105"/>
              <w:rPr>
                <w:rFonts w:ascii="Cambria"/>
                <w:sz w:val="18"/>
              </w:rPr>
            </w:pPr>
            <w:r>
              <w:rPr>
                <w:rFonts w:ascii="Cambria"/>
                <w:spacing w:val="-2"/>
                <w:sz w:val="18"/>
              </w:rPr>
              <w:t>Accept</w:t>
            </w:r>
          </w:p>
        </w:tc>
        <w:tc>
          <w:tcPr>
            <w:tcW w:w="2331" w:type="dxa"/>
          </w:tcPr>
          <w:p>
            <w:pPr>
              <w:pStyle w:val="TableParagraph"/>
              <w:spacing w:line="210" w:lineRule="exact"/>
              <w:ind w:left="104"/>
              <w:rPr>
                <w:rFonts w:ascii="Cambria"/>
                <w:sz w:val="18"/>
              </w:rPr>
            </w:pPr>
            <w:r>
              <w:rPr>
                <w:rFonts w:ascii="Cambria"/>
                <w:spacing w:val="-2"/>
                <w:sz w:val="18"/>
              </w:rPr>
              <w:t>STATIONARY</w:t>
            </w:r>
          </w:p>
        </w:tc>
      </w:tr>
      <w:tr>
        <w:trPr>
          <w:trHeight w:val="421" w:hRule="atLeast"/>
        </w:trPr>
        <w:tc>
          <w:tcPr>
            <w:tcW w:w="1541" w:type="dxa"/>
          </w:tcPr>
          <w:p>
            <w:pPr>
              <w:pStyle w:val="TableParagraph"/>
              <w:spacing w:line="207" w:lineRule="exact"/>
              <w:ind w:left="10" w:right="2"/>
              <w:jc w:val="center"/>
              <w:rPr>
                <w:sz w:val="18"/>
              </w:rPr>
            </w:pPr>
            <w:r>
              <w:rPr>
                <w:spacing w:val="-2"/>
                <w:sz w:val="18"/>
              </w:rPr>
              <w:t>USIRD</w:t>
            </w:r>
          </w:p>
        </w:tc>
        <w:tc>
          <w:tcPr>
            <w:tcW w:w="1539" w:type="dxa"/>
          </w:tcPr>
          <w:p>
            <w:pPr>
              <w:pStyle w:val="TableParagraph"/>
              <w:spacing w:before="4"/>
              <w:ind w:left="105"/>
              <w:rPr>
                <w:sz w:val="18"/>
              </w:rPr>
            </w:pPr>
            <w:r>
              <w:rPr>
                <w:sz w:val="18"/>
              </w:rPr>
              <w:t>-</w:t>
            </w:r>
            <w:r>
              <w:rPr>
                <w:spacing w:val="-2"/>
                <w:sz w:val="18"/>
              </w:rPr>
              <w:t>6.618476</w:t>
            </w:r>
          </w:p>
        </w:tc>
        <w:tc>
          <w:tcPr>
            <w:tcW w:w="1541" w:type="dxa"/>
          </w:tcPr>
          <w:p>
            <w:pPr>
              <w:pStyle w:val="TableParagraph"/>
              <w:spacing w:before="3"/>
              <w:ind w:left="107"/>
              <w:rPr>
                <w:rFonts w:ascii="Arial MT"/>
                <w:sz w:val="18"/>
              </w:rPr>
            </w:pPr>
            <w:r>
              <w:rPr>
                <w:rFonts w:ascii="Arial MT"/>
                <w:spacing w:val="-2"/>
                <w:sz w:val="18"/>
              </w:rPr>
              <w:t>-2.9378</w:t>
            </w:r>
          </w:p>
        </w:tc>
        <w:tc>
          <w:tcPr>
            <w:tcW w:w="1160" w:type="dxa"/>
          </w:tcPr>
          <w:p>
            <w:pPr>
              <w:pStyle w:val="TableParagraph"/>
              <w:spacing w:line="210" w:lineRule="exact"/>
              <w:ind w:left="107"/>
              <w:rPr>
                <w:rFonts w:ascii="Cambria"/>
                <w:sz w:val="18"/>
              </w:rPr>
            </w:pPr>
            <w:r>
              <w:rPr>
                <w:rFonts w:ascii="Cambria"/>
                <w:spacing w:val="-2"/>
                <w:sz w:val="18"/>
              </w:rPr>
              <w:t>Reject</w:t>
            </w:r>
          </w:p>
        </w:tc>
        <w:tc>
          <w:tcPr>
            <w:tcW w:w="1133" w:type="dxa"/>
          </w:tcPr>
          <w:p>
            <w:pPr>
              <w:pStyle w:val="TableParagraph"/>
              <w:spacing w:line="210" w:lineRule="exact"/>
              <w:ind w:left="105"/>
              <w:rPr>
                <w:rFonts w:ascii="Cambria"/>
                <w:sz w:val="18"/>
              </w:rPr>
            </w:pPr>
            <w:r>
              <w:rPr>
                <w:rFonts w:ascii="Cambria"/>
                <w:spacing w:val="-2"/>
                <w:sz w:val="18"/>
              </w:rPr>
              <w:t>Accept</w:t>
            </w:r>
          </w:p>
        </w:tc>
        <w:tc>
          <w:tcPr>
            <w:tcW w:w="2331" w:type="dxa"/>
          </w:tcPr>
          <w:p>
            <w:pPr>
              <w:pStyle w:val="TableParagraph"/>
              <w:spacing w:line="210" w:lineRule="exact"/>
              <w:ind w:left="104"/>
              <w:rPr>
                <w:rFonts w:ascii="Cambria"/>
                <w:sz w:val="18"/>
              </w:rPr>
            </w:pPr>
            <w:r>
              <w:rPr>
                <w:rFonts w:ascii="Cambria"/>
                <w:spacing w:val="-2"/>
                <w:sz w:val="18"/>
              </w:rPr>
              <w:t>STATIONARY</w:t>
            </w:r>
          </w:p>
        </w:tc>
      </w:tr>
      <w:tr>
        <w:trPr>
          <w:trHeight w:val="422" w:hRule="atLeast"/>
        </w:trPr>
        <w:tc>
          <w:tcPr>
            <w:tcW w:w="1541" w:type="dxa"/>
          </w:tcPr>
          <w:p>
            <w:pPr>
              <w:pStyle w:val="TableParagraph"/>
              <w:spacing w:line="207" w:lineRule="exact"/>
              <w:ind w:left="10" w:right="2"/>
              <w:jc w:val="center"/>
              <w:rPr>
                <w:sz w:val="18"/>
              </w:rPr>
            </w:pPr>
            <w:r>
              <w:rPr>
                <w:spacing w:val="-4"/>
                <w:sz w:val="18"/>
              </w:rPr>
              <w:t>GOCE</w:t>
            </w:r>
          </w:p>
        </w:tc>
        <w:tc>
          <w:tcPr>
            <w:tcW w:w="1539" w:type="dxa"/>
          </w:tcPr>
          <w:p>
            <w:pPr>
              <w:pStyle w:val="TableParagraph"/>
              <w:spacing w:before="4"/>
              <w:ind w:left="105"/>
              <w:rPr>
                <w:sz w:val="18"/>
              </w:rPr>
            </w:pPr>
            <w:r>
              <w:rPr>
                <w:sz w:val="18"/>
              </w:rPr>
              <w:t>-</w:t>
            </w:r>
            <w:r>
              <w:rPr>
                <w:spacing w:val="-2"/>
                <w:sz w:val="18"/>
              </w:rPr>
              <w:t>4.950671</w:t>
            </w:r>
          </w:p>
        </w:tc>
        <w:tc>
          <w:tcPr>
            <w:tcW w:w="1541" w:type="dxa"/>
          </w:tcPr>
          <w:p>
            <w:pPr>
              <w:pStyle w:val="TableParagraph"/>
              <w:spacing w:before="4"/>
              <w:ind w:left="107"/>
              <w:rPr>
                <w:sz w:val="18"/>
              </w:rPr>
            </w:pPr>
            <w:r>
              <w:rPr>
                <w:sz w:val="18"/>
              </w:rPr>
              <w:t>-</w:t>
            </w:r>
            <w:r>
              <w:rPr>
                <w:spacing w:val="-2"/>
                <w:sz w:val="18"/>
              </w:rPr>
              <w:t>2.9378</w:t>
            </w:r>
          </w:p>
        </w:tc>
        <w:tc>
          <w:tcPr>
            <w:tcW w:w="1160" w:type="dxa"/>
          </w:tcPr>
          <w:p>
            <w:pPr>
              <w:pStyle w:val="TableParagraph"/>
              <w:spacing w:line="210" w:lineRule="exact"/>
              <w:ind w:left="107"/>
              <w:rPr>
                <w:rFonts w:ascii="Cambria"/>
                <w:sz w:val="18"/>
              </w:rPr>
            </w:pPr>
            <w:r>
              <w:rPr>
                <w:rFonts w:ascii="Cambria"/>
                <w:spacing w:val="-2"/>
                <w:sz w:val="18"/>
              </w:rPr>
              <w:t>Reject</w:t>
            </w:r>
          </w:p>
        </w:tc>
        <w:tc>
          <w:tcPr>
            <w:tcW w:w="1133" w:type="dxa"/>
          </w:tcPr>
          <w:p>
            <w:pPr>
              <w:pStyle w:val="TableParagraph"/>
              <w:spacing w:line="210" w:lineRule="exact"/>
              <w:ind w:left="105"/>
              <w:rPr>
                <w:rFonts w:ascii="Cambria"/>
                <w:sz w:val="18"/>
              </w:rPr>
            </w:pPr>
            <w:r>
              <w:rPr>
                <w:rFonts w:ascii="Cambria"/>
                <w:spacing w:val="-2"/>
                <w:sz w:val="18"/>
              </w:rPr>
              <w:t>Accept</w:t>
            </w:r>
          </w:p>
        </w:tc>
        <w:tc>
          <w:tcPr>
            <w:tcW w:w="2331" w:type="dxa"/>
          </w:tcPr>
          <w:p>
            <w:pPr>
              <w:pStyle w:val="TableParagraph"/>
              <w:spacing w:line="210" w:lineRule="exact"/>
              <w:ind w:left="104"/>
              <w:rPr>
                <w:rFonts w:ascii="Cambria"/>
                <w:sz w:val="18"/>
              </w:rPr>
            </w:pPr>
            <w:r>
              <w:rPr>
                <w:rFonts w:ascii="Cambria"/>
                <w:spacing w:val="-2"/>
                <w:sz w:val="18"/>
              </w:rPr>
              <w:t>STATIONARY</w:t>
            </w:r>
          </w:p>
        </w:tc>
      </w:tr>
    </w:tbl>
    <w:p>
      <w:pPr>
        <w:pStyle w:val="BodyText"/>
        <w:spacing w:before="21"/>
        <w:ind w:left="711"/>
        <w:jc w:val="both"/>
      </w:pPr>
      <w:r>
        <w:rPr>
          <w:b/>
        </w:rPr>
        <w:t>Source:</w:t>
      </w:r>
      <w:r>
        <w:rPr>
          <w:b/>
          <w:spacing w:val="-4"/>
        </w:rPr>
        <w:t> </w:t>
      </w:r>
      <w:r>
        <w:rPr/>
        <w:t>Results</w:t>
      </w:r>
      <w:r>
        <w:rPr>
          <w:spacing w:val="-1"/>
        </w:rPr>
        <w:t> </w:t>
      </w:r>
      <w:r>
        <w:rPr/>
        <w:t>of</w:t>
      </w:r>
      <w:r>
        <w:rPr>
          <w:spacing w:val="-1"/>
        </w:rPr>
        <w:t> </w:t>
      </w:r>
      <w:r>
        <w:rPr/>
        <w:t>analysis</w:t>
      </w:r>
      <w:r>
        <w:rPr>
          <w:spacing w:val="-2"/>
        </w:rPr>
        <w:t> </w:t>
      </w:r>
      <w:r>
        <w:rPr/>
        <w:t>from</w:t>
      </w:r>
      <w:r>
        <w:rPr>
          <w:spacing w:val="1"/>
        </w:rPr>
        <w:t> </w:t>
      </w:r>
      <w:r>
        <w:rPr/>
        <w:t>E-view</w:t>
      </w:r>
      <w:r>
        <w:rPr>
          <w:spacing w:val="-2"/>
        </w:rPr>
        <w:t> </w:t>
      </w:r>
      <w:r>
        <w:rPr/>
        <w:t>statistical</w:t>
      </w:r>
      <w:r>
        <w:rPr>
          <w:spacing w:val="-1"/>
        </w:rPr>
        <w:t> </w:t>
      </w:r>
      <w:r>
        <w:rPr>
          <w:spacing w:val="-2"/>
        </w:rPr>
        <w:t>package</w:t>
      </w:r>
    </w:p>
    <w:p>
      <w:pPr>
        <w:pStyle w:val="BodyText"/>
        <w:spacing w:before="1"/>
      </w:pPr>
    </w:p>
    <w:p>
      <w:pPr>
        <w:pStyle w:val="BodyText"/>
        <w:spacing w:line="480" w:lineRule="auto"/>
        <w:ind w:left="711" w:right="472"/>
        <w:jc w:val="both"/>
        <w:rPr>
          <w:rFonts w:ascii="Cambria" w:hAnsi="Cambria"/>
        </w:rPr>
      </w:pPr>
      <w:r>
        <w:rPr>
          <w:rFonts w:ascii="Cambria" w:hAnsi="Cambria"/>
        </w:rPr>
        <w:t>Table 4.13.1 above shows that dependent variable and other seven variables are stationary at first difference. This is proven by the ADF statistics of each variable (KFW, δEXTDEBT, DOP, GCF, DR, PRIVCR, USIRD and GOCE) that shows a value greater than the 5% Mackinnon critical values </w:t>
      </w:r>
      <w:r>
        <w:rPr>
          <w:rFonts w:ascii="Cambria" w:hAnsi="Cambria"/>
          <w:position w:val="1"/>
        </w:rPr>
        <w:t>respectively. Hence, we reject their respective null hypothesis (H</w:t>
      </w:r>
      <w:r>
        <w:rPr>
          <w:rFonts w:ascii="Cambria" w:hAnsi="Cambria"/>
          <w:sz w:val="16"/>
        </w:rPr>
        <w:t>0</w:t>
      </w:r>
      <w:r>
        <w:rPr>
          <w:rFonts w:ascii="Cambria" w:hAnsi="Cambria"/>
          <w:position w:val="1"/>
        </w:rPr>
        <w:t>) and accept their alternate hypothesis (H</w:t>
      </w:r>
      <w:r>
        <w:rPr>
          <w:rFonts w:ascii="Cambria" w:hAnsi="Cambria"/>
          <w:sz w:val="16"/>
        </w:rPr>
        <w:t>1</w:t>
      </w:r>
      <w:r>
        <w:rPr>
          <w:rFonts w:ascii="Cambria" w:hAnsi="Cambria"/>
          <w:position w:val="1"/>
        </w:rPr>
        <w:t>).</w:t>
      </w:r>
    </w:p>
    <w:p>
      <w:pPr>
        <w:pStyle w:val="Heading6"/>
        <w:spacing w:before="2"/>
        <w:rPr>
          <w:rFonts w:ascii="Cambria"/>
        </w:rPr>
      </w:pPr>
      <w:r>
        <w:rPr>
          <w:rFonts w:ascii="Cambria"/>
        </w:rPr>
        <w:t>Table</w:t>
      </w:r>
      <w:r>
        <w:rPr>
          <w:rFonts w:ascii="Cambria"/>
          <w:spacing w:val="-4"/>
        </w:rPr>
        <w:t> </w:t>
      </w:r>
      <w:r>
        <w:rPr>
          <w:rFonts w:ascii="Cambria"/>
        </w:rPr>
        <w:t>4.13.2</w:t>
      </w:r>
      <w:r>
        <w:rPr>
          <w:rFonts w:ascii="Cambria"/>
          <w:spacing w:val="26"/>
        </w:rPr>
        <w:t> </w:t>
      </w:r>
      <w:r>
        <w:rPr>
          <w:rFonts w:ascii="Cambria"/>
        </w:rPr>
        <w:t>UNIT</w:t>
      </w:r>
      <w:r>
        <w:rPr>
          <w:rFonts w:ascii="Cambria"/>
          <w:spacing w:val="-2"/>
        </w:rPr>
        <w:t> </w:t>
      </w:r>
      <w:r>
        <w:rPr>
          <w:rFonts w:ascii="Cambria"/>
        </w:rPr>
        <w:t>ROOT</w:t>
      </w:r>
      <w:r>
        <w:rPr>
          <w:rFonts w:ascii="Cambria"/>
          <w:spacing w:val="-3"/>
        </w:rPr>
        <w:t> </w:t>
      </w:r>
      <w:r>
        <w:rPr>
          <w:rFonts w:ascii="Cambria"/>
        </w:rPr>
        <w:t>RESULT</w:t>
      </w:r>
      <w:r>
        <w:rPr>
          <w:rFonts w:ascii="Cambria"/>
          <w:spacing w:val="-3"/>
        </w:rPr>
        <w:t> </w:t>
      </w:r>
      <w:r>
        <w:rPr>
          <w:rFonts w:ascii="Cambria"/>
        </w:rPr>
        <w:t>AT</w:t>
      </w:r>
      <w:r>
        <w:rPr>
          <w:rFonts w:ascii="Cambria"/>
          <w:spacing w:val="-2"/>
        </w:rPr>
        <w:t> </w:t>
      </w:r>
      <w:r>
        <w:rPr>
          <w:rFonts w:ascii="Cambria"/>
        </w:rPr>
        <w:t>LEVEL</w:t>
      </w:r>
      <w:r>
        <w:rPr>
          <w:rFonts w:ascii="Cambria"/>
          <w:spacing w:val="-1"/>
        </w:rPr>
        <w:t> </w:t>
      </w:r>
      <w:r>
        <w:rPr>
          <w:rFonts w:ascii="Cambria"/>
        </w:rPr>
        <w:t>FOR</w:t>
      </w:r>
      <w:r>
        <w:rPr>
          <w:rFonts w:ascii="Cambria"/>
          <w:spacing w:val="-2"/>
        </w:rPr>
        <w:t> </w:t>
      </w:r>
      <w:r>
        <w:rPr>
          <w:rFonts w:ascii="Cambria"/>
        </w:rPr>
        <w:t>MODELS</w:t>
      </w:r>
      <w:r>
        <w:rPr>
          <w:rFonts w:ascii="Cambria"/>
          <w:spacing w:val="-3"/>
        </w:rPr>
        <w:t> </w:t>
      </w:r>
      <w:r>
        <w:rPr>
          <w:rFonts w:ascii="Cambria"/>
        </w:rPr>
        <w:t>2,</w:t>
      </w:r>
      <w:r>
        <w:rPr>
          <w:rFonts w:ascii="Cambria"/>
          <w:spacing w:val="-2"/>
        </w:rPr>
        <w:t> </w:t>
      </w:r>
      <w:r>
        <w:rPr>
          <w:rFonts w:ascii="Cambria"/>
        </w:rPr>
        <w:t>5</w:t>
      </w:r>
      <w:r>
        <w:rPr>
          <w:rFonts w:ascii="Cambria"/>
          <w:spacing w:val="-4"/>
        </w:rPr>
        <w:t> </w:t>
      </w:r>
      <w:r>
        <w:rPr>
          <w:rFonts w:ascii="Cambria"/>
        </w:rPr>
        <w:t>AND</w:t>
      </w:r>
      <w:r>
        <w:rPr>
          <w:rFonts w:ascii="Cambria"/>
          <w:spacing w:val="-1"/>
        </w:rPr>
        <w:t> </w:t>
      </w:r>
      <w:r>
        <w:rPr>
          <w:rFonts w:ascii="Cambria"/>
          <w:spacing w:val="-10"/>
        </w:rPr>
        <w:t>6</w:t>
      </w:r>
    </w:p>
    <w:p>
      <w:pPr>
        <w:pStyle w:val="BodyText"/>
        <w:spacing w:before="46"/>
        <w:rPr>
          <w:rFonts w:ascii="Cambria"/>
          <w:b/>
          <w:sz w:val="20"/>
        </w:rPr>
      </w:pPr>
    </w:p>
    <w:tbl>
      <w:tblPr>
        <w:tblW w:w="0" w:type="auto"/>
        <w:jc w:val="left"/>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41"/>
        <w:gridCol w:w="1539"/>
        <w:gridCol w:w="1541"/>
        <w:gridCol w:w="1160"/>
        <w:gridCol w:w="1133"/>
        <w:gridCol w:w="2331"/>
      </w:tblGrid>
      <w:tr>
        <w:trPr>
          <w:trHeight w:val="1406" w:hRule="atLeast"/>
        </w:trPr>
        <w:tc>
          <w:tcPr>
            <w:tcW w:w="1541" w:type="dxa"/>
          </w:tcPr>
          <w:p>
            <w:pPr>
              <w:pStyle w:val="TableParagraph"/>
              <w:rPr>
                <w:rFonts w:ascii="Cambria"/>
                <w:b/>
                <w:sz w:val="20"/>
              </w:rPr>
            </w:pPr>
          </w:p>
          <w:p>
            <w:pPr>
              <w:pStyle w:val="TableParagraph"/>
              <w:rPr>
                <w:rFonts w:ascii="Cambria"/>
                <w:b/>
                <w:sz w:val="20"/>
              </w:rPr>
            </w:pPr>
          </w:p>
          <w:p>
            <w:pPr>
              <w:pStyle w:val="TableParagraph"/>
              <w:spacing w:before="1"/>
              <w:ind w:left="10" w:right="8"/>
              <w:jc w:val="center"/>
              <w:rPr>
                <w:rFonts w:ascii="Cambria"/>
                <w:b/>
                <w:sz w:val="20"/>
              </w:rPr>
            </w:pPr>
            <w:r>
              <w:rPr>
                <w:rFonts w:ascii="Cambria"/>
                <w:b/>
                <w:spacing w:val="-2"/>
                <w:sz w:val="20"/>
              </w:rPr>
              <w:t>VARIABLES</w:t>
            </w:r>
          </w:p>
        </w:tc>
        <w:tc>
          <w:tcPr>
            <w:tcW w:w="1539" w:type="dxa"/>
          </w:tcPr>
          <w:p>
            <w:pPr>
              <w:pStyle w:val="TableParagraph"/>
              <w:spacing w:line="234" w:lineRule="exact"/>
              <w:ind w:left="46" w:right="41"/>
              <w:jc w:val="center"/>
              <w:rPr>
                <w:rFonts w:ascii="Cambria"/>
                <w:b/>
                <w:sz w:val="20"/>
              </w:rPr>
            </w:pPr>
            <w:r>
              <w:rPr>
                <w:rFonts w:ascii="Cambria"/>
                <w:b/>
                <w:spacing w:val="-5"/>
                <w:sz w:val="20"/>
              </w:rPr>
              <w:t>ADF</w:t>
            </w:r>
          </w:p>
          <w:p>
            <w:pPr>
              <w:pStyle w:val="TableParagraph"/>
              <w:spacing w:line="460" w:lineRule="atLeast" w:before="10"/>
              <w:ind w:left="46" w:right="39"/>
              <w:jc w:val="center"/>
              <w:rPr>
                <w:rFonts w:ascii="Cambria"/>
                <w:b/>
                <w:sz w:val="20"/>
              </w:rPr>
            </w:pPr>
            <w:r>
              <w:rPr>
                <w:rFonts w:ascii="Cambria"/>
                <w:b/>
                <w:spacing w:val="-2"/>
                <w:sz w:val="20"/>
              </w:rPr>
              <w:t>STATISTICS VALUE</w:t>
            </w:r>
          </w:p>
        </w:tc>
        <w:tc>
          <w:tcPr>
            <w:tcW w:w="1541" w:type="dxa"/>
          </w:tcPr>
          <w:p>
            <w:pPr>
              <w:pStyle w:val="TableParagraph"/>
              <w:spacing w:line="234" w:lineRule="exact"/>
              <w:ind w:left="335" w:hanging="82"/>
              <w:rPr>
                <w:rFonts w:ascii="Cambria"/>
                <w:b/>
                <w:sz w:val="20"/>
              </w:rPr>
            </w:pPr>
            <w:r>
              <w:rPr>
                <w:rFonts w:ascii="Cambria"/>
                <w:b/>
                <w:spacing w:val="-2"/>
                <w:sz w:val="20"/>
              </w:rPr>
              <w:t>MACKINNO</w:t>
            </w:r>
          </w:p>
          <w:p>
            <w:pPr>
              <w:pStyle w:val="TableParagraph"/>
              <w:spacing w:line="460" w:lineRule="atLeast" w:before="10"/>
              <w:ind w:left="167" w:firstLine="168"/>
              <w:rPr>
                <w:rFonts w:ascii="Cambria"/>
                <w:b/>
                <w:sz w:val="20"/>
              </w:rPr>
            </w:pPr>
            <w:r>
              <w:rPr>
                <w:rFonts w:ascii="Cambria"/>
                <w:b/>
                <w:spacing w:val="-2"/>
                <w:sz w:val="20"/>
              </w:rPr>
              <w:t>CRITICAL </w:t>
            </w:r>
            <w:r>
              <w:rPr>
                <w:rFonts w:ascii="Cambria"/>
                <w:b/>
                <w:sz w:val="20"/>
              </w:rPr>
              <w:t>VALUE</w:t>
            </w:r>
            <w:r>
              <w:rPr>
                <w:rFonts w:ascii="Cambria"/>
                <w:b/>
                <w:spacing w:val="-12"/>
                <w:sz w:val="20"/>
              </w:rPr>
              <w:t> </w:t>
            </w:r>
            <w:r>
              <w:rPr>
                <w:rFonts w:ascii="Cambria"/>
                <w:b/>
                <w:sz w:val="20"/>
              </w:rPr>
              <w:t>@</w:t>
            </w:r>
            <w:r>
              <w:rPr>
                <w:rFonts w:ascii="Cambria"/>
                <w:b/>
                <w:spacing w:val="-11"/>
                <w:sz w:val="20"/>
              </w:rPr>
              <w:t> </w:t>
            </w:r>
            <w:r>
              <w:rPr>
                <w:rFonts w:ascii="Cambria"/>
                <w:b/>
                <w:sz w:val="20"/>
              </w:rPr>
              <w:t>5%</w:t>
            </w:r>
          </w:p>
        </w:tc>
        <w:tc>
          <w:tcPr>
            <w:tcW w:w="1160" w:type="dxa"/>
          </w:tcPr>
          <w:p>
            <w:pPr>
              <w:pStyle w:val="TableParagraph"/>
              <w:rPr>
                <w:rFonts w:ascii="Cambria"/>
                <w:b/>
                <w:sz w:val="13"/>
              </w:rPr>
            </w:pPr>
          </w:p>
          <w:p>
            <w:pPr>
              <w:pStyle w:val="TableParagraph"/>
              <w:rPr>
                <w:rFonts w:ascii="Cambria"/>
                <w:b/>
                <w:sz w:val="13"/>
              </w:rPr>
            </w:pPr>
          </w:p>
          <w:p>
            <w:pPr>
              <w:pStyle w:val="TableParagraph"/>
              <w:spacing w:before="12"/>
              <w:rPr>
                <w:rFonts w:ascii="Cambria"/>
                <w:b/>
                <w:sz w:val="13"/>
              </w:rPr>
            </w:pPr>
          </w:p>
          <w:p>
            <w:pPr>
              <w:pStyle w:val="TableParagraph"/>
              <w:ind w:right="459"/>
              <w:jc w:val="right"/>
              <w:rPr>
                <w:rFonts w:ascii="Cambria"/>
                <w:b/>
                <w:sz w:val="13"/>
              </w:rPr>
            </w:pPr>
            <w:r>
              <w:rPr>
                <w:rFonts w:ascii="Cambria"/>
                <w:b/>
                <w:spacing w:val="-5"/>
                <w:position w:val="1"/>
                <w:sz w:val="20"/>
              </w:rPr>
              <w:t>H</w:t>
            </w:r>
            <w:r>
              <w:rPr>
                <w:rFonts w:ascii="Cambria"/>
                <w:b/>
                <w:spacing w:val="-5"/>
                <w:sz w:val="13"/>
              </w:rPr>
              <w:t>0</w:t>
            </w:r>
          </w:p>
        </w:tc>
        <w:tc>
          <w:tcPr>
            <w:tcW w:w="1133" w:type="dxa"/>
          </w:tcPr>
          <w:p>
            <w:pPr>
              <w:pStyle w:val="TableParagraph"/>
              <w:rPr>
                <w:rFonts w:ascii="Cambria"/>
                <w:b/>
                <w:sz w:val="13"/>
              </w:rPr>
            </w:pPr>
          </w:p>
          <w:p>
            <w:pPr>
              <w:pStyle w:val="TableParagraph"/>
              <w:rPr>
                <w:rFonts w:ascii="Cambria"/>
                <w:b/>
                <w:sz w:val="13"/>
              </w:rPr>
            </w:pPr>
          </w:p>
          <w:p>
            <w:pPr>
              <w:pStyle w:val="TableParagraph"/>
              <w:spacing w:before="12"/>
              <w:rPr>
                <w:rFonts w:ascii="Cambria"/>
                <w:b/>
                <w:sz w:val="13"/>
              </w:rPr>
            </w:pPr>
          </w:p>
          <w:p>
            <w:pPr>
              <w:pStyle w:val="TableParagraph"/>
              <w:ind w:right="447"/>
              <w:jc w:val="right"/>
              <w:rPr>
                <w:rFonts w:ascii="Cambria"/>
                <w:b/>
                <w:sz w:val="13"/>
              </w:rPr>
            </w:pPr>
            <w:r>
              <w:rPr>
                <w:rFonts w:ascii="Cambria"/>
                <w:b/>
                <w:spacing w:val="-5"/>
                <w:position w:val="1"/>
                <w:sz w:val="20"/>
              </w:rPr>
              <w:t>H</w:t>
            </w:r>
            <w:r>
              <w:rPr>
                <w:rFonts w:ascii="Cambria"/>
                <w:b/>
                <w:spacing w:val="-5"/>
                <w:sz w:val="13"/>
              </w:rPr>
              <w:t>1</w:t>
            </w:r>
          </w:p>
        </w:tc>
        <w:tc>
          <w:tcPr>
            <w:tcW w:w="2331" w:type="dxa"/>
          </w:tcPr>
          <w:p>
            <w:pPr>
              <w:pStyle w:val="TableParagraph"/>
              <w:rPr>
                <w:rFonts w:ascii="Cambria"/>
                <w:b/>
                <w:sz w:val="20"/>
              </w:rPr>
            </w:pPr>
          </w:p>
          <w:p>
            <w:pPr>
              <w:pStyle w:val="TableParagraph"/>
              <w:rPr>
                <w:rFonts w:ascii="Cambria"/>
                <w:b/>
                <w:sz w:val="20"/>
              </w:rPr>
            </w:pPr>
          </w:p>
          <w:p>
            <w:pPr>
              <w:pStyle w:val="TableParagraph"/>
              <w:spacing w:before="1"/>
              <w:ind w:left="702"/>
              <w:rPr>
                <w:rFonts w:ascii="Cambria"/>
                <w:b/>
                <w:sz w:val="20"/>
              </w:rPr>
            </w:pPr>
            <w:r>
              <w:rPr>
                <w:rFonts w:ascii="Cambria"/>
                <w:b/>
                <w:spacing w:val="-2"/>
                <w:sz w:val="20"/>
              </w:rPr>
              <w:t>REMARKS</w:t>
            </w:r>
          </w:p>
        </w:tc>
      </w:tr>
      <w:tr>
        <w:trPr>
          <w:trHeight w:val="470" w:hRule="atLeast"/>
        </w:trPr>
        <w:tc>
          <w:tcPr>
            <w:tcW w:w="1541" w:type="dxa"/>
          </w:tcPr>
          <w:p>
            <w:pPr>
              <w:pStyle w:val="TableParagraph"/>
              <w:spacing w:line="229" w:lineRule="exact"/>
              <w:ind w:left="10" w:right="4"/>
              <w:jc w:val="center"/>
              <w:rPr>
                <w:rFonts w:ascii="Arial MT"/>
                <w:sz w:val="20"/>
              </w:rPr>
            </w:pPr>
            <w:r>
              <w:rPr>
                <w:rFonts w:ascii="Arial MT"/>
                <w:spacing w:val="-5"/>
                <w:sz w:val="20"/>
              </w:rPr>
              <w:t>GDP</w:t>
            </w:r>
          </w:p>
        </w:tc>
        <w:tc>
          <w:tcPr>
            <w:tcW w:w="1539" w:type="dxa"/>
          </w:tcPr>
          <w:p>
            <w:pPr>
              <w:pStyle w:val="TableParagraph"/>
              <w:spacing w:before="5"/>
              <w:ind w:left="105"/>
              <w:rPr>
                <w:sz w:val="20"/>
              </w:rPr>
            </w:pPr>
            <w:r>
              <w:rPr>
                <w:spacing w:val="-4"/>
                <w:sz w:val="20"/>
              </w:rPr>
              <w:t>-</w:t>
            </w:r>
            <w:r>
              <w:rPr>
                <w:spacing w:val="-2"/>
                <w:sz w:val="20"/>
              </w:rPr>
              <w:t>1.984437</w:t>
            </w:r>
          </w:p>
        </w:tc>
        <w:tc>
          <w:tcPr>
            <w:tcW w:w="1541" w:type="dxa"/>
          </w:tcPr>
          <w:p>
            <w:pPr>
              <w:pStyle w:val="TableParagraph"/>
              <w:spacing w:before="5"/>
              <w:ind w:left="107"/>
              <w:rPr>
                <w:sz w:val="20"/>
              </w:rPr>
            </w:pPr>
            <w:r>
              <w:rPr>
                <w:spacing w:val="-4"/>
                <w:sz w:val="20"/>
              </w:rPr>
              <w:t>-</w:t>
            </w:r>
            <w:r>
              <w:rPr>
                <w:spacing w:val="-2"/>
                <w:sz w:val="20"/>
              </w:rPr>
              <w:t>2.9969</w:t>
            </w:r>
          </w:p>
        </w:tc>
        <w:tc>
          <w:tcPr>
            <w:tcW w:w="1160" w:type="dxa"/>
          </w:tcPr>
          <w:p>
            <w:pPr>
              <w:pStyle w:val="TableParagraph"/>
              <w:spacing w:before="1"/>
              <w:ind w:right="464"/>
              <w:jc w:val="right"/>
              <w:rPr>
                <w:rFonts w:ascii="Cambria"/>
                <w:sz w:val="20"/>
              </w:rPr>
            </w:pPr>
            <w:r>
              <w:rPr>
                <w:rFonts w:ascii="Cambria"/>
                <w:spacing w:val="-2"/>
                <w:sz w:val="20"/>
              </w:rPr>
              <w:t>Accept</w:t>
            </w:r>
          </w:p>
        </w:tc>
        <w:tc>
          <w:tcPr>
            <w:tcW w:w="1133" w:type="dxa"/>
          </w:tcPr>
          <w:p>
            <w:pPr>
              <w:pStyle w:val="TableParagraph"/>
              <w:spacing w:before="1"/>
              <w:ind w:right="490"/>
              <w:jc w:val="right"/>
              <w:rPr>
                <w:rFonts w:ascii="Cambria"/>
                <w:sz w:val="20"/>
              </w:rPr>
            </w:pPr>
            <w:r>
              <w:rPr>
                <w:rFonts w:ascii="Cambria"/>
                <w:spacing w:val="-2"/>
                <w:sz w:val="20"/>
              </w:rPr>
              <w:t>Reject</w:t>
            </w:r>
          </w:p>
        </w:tc>
        <w:tc>
          <w:tcPr>
            <w:tcW w:w="2331" w:type="dxa"/>
          </w:tcPr>
          <w:p>
            <w:pPr>
              <w:pStyle w:val="TableParagraph"/>
              <w:spacing w:before="1"/>
              <w:ind w:left="104"/>
              <w:rPr>
                <w:rFonts w:ascii="Cambria"/>
                <w:sz w:val="20"/>
              </w:rPr>
            </w:pPr>
            <w:r>
              <w:rPr>
                <w:rFonts w:ascii="Cambria"/>
                <w:spacing w:val="-2"/>
                <w:sz w:val="20"/>
              </w:rPr>
              <w:t>NON-STATIONARY</w:t>
            </w:r>
          </w:p>
        </w:tc>
      </w:tr>
      <w:tr>
        <w:trPr>
          <w:trHeight w:val="470" w:hRule="atLeast"/>
        </w:trPr>
        <w:tc>
          <w:tcPr>
            <w:tcW w:w="1541" w:type="dxa"/>
          </w:tcPr>
          <w:p>
            <w:pPr>
              <w:pStyle w:val="TableParagraph"/>
              <w:spacing w:line="234" w:lineRule="exact"/>
              <w:ind w:left="10" w:right="1"/>
              <w:jc w:val="center"/>
              <w:rPr>
                <w:rFonts w:ascii="Arial MT" w:hAnsi="Arial MT"/>
                <w:sz w:val="20"/>
              </w:rPr>
            </w:pPr>
            <w:r>
              <w:rPr>
                <w:rFonts w:ascii="Cambria" w:hAnsi="Cambria"/>
                <w:spacing w:val="-2"/>
                <w:sz w:val="20"/>
              </w:rPr>
              <w:t>δ</w:t>
            </w:r>
            <w:r>
              <w:rPr>
                <w:rFonts w:ascii="Arial MT" w:hAnsi="Arial MT"/>
                <w:spacing w:val="-2"/>
                <w:sz w:val="20"/>
              </w:rPr>
              <w:t>EXTDEBT</w:t>
            </w:r>
          </w:p>
        </w:tc>
        <w:tc>
          <w:tcPr>
            <w:tcW w:w="1539" w:type="dxa"/>
          </w:tcPr>
          <w:p>
            <w:pPr>
              <w:pStyle w:val="TableParagraph"/>
              <w:spacing w:before="5"/>
              <w:ind w:left="105"/>
              <w:rPr>
                <w:sz w:val="20"/>
              </w:rPr>
            </w:pPr>
            <w:r>
              <w:rPr>
                <w:spacing w:val="-4"/>
                <w:sz w:val="20"/>
              </w:rPr>
              <w:t>-</w:t>
            </w:r>
            <w:r>
              <w:rPr>
                <w:spacing w:val="-2"/>
                <w:sz w:val="20"/>
              </w:rPr>
              <w:t>3.716193</w:t>
            </w:r>
          </w:p>
        </w:tc>
        <w:tc>
          <w:tcPr>
            <w:tcW w:w="1541" w:type="dxa"/>
          </w:tcPr>
          <w:p>
            <w:pPr>
              <w:pStyle w:val="TableParagraph"/>
              <w:spacing w:before="5"/>
              <w:ind w:left="107"/>
              <w:rPr>
                <w:sz w:val="20"/>
              </w:rPr>
            </w:pPr>
            <w:r>
              <w:rPr>
                <w:spacing w:val="-4"/>
                <w:sz w:val="20"/>
              </w:rPr>
              <w:t>-</w:t>
            </w:r>
            <w:r>
              <w:rPr>
                <w:spacing w:val="-2"/>
                <w:sz w:val="20"/>
              </w:rPr>
              <w:t>2.9969</w:t>
            </w:r>
          </w:p>
        </w:tc>
        <w:tc>
          <w:tcPr>
            <w:tcW w:w="1160" w:type="dxa"/>
          </w:tcPr>
          <w:p>
            <w:pPr>
              <w:pStyle w:val="TableParagraph"/>
              <w:spacing w:line="234" w:lineRule="exact"/>
              <w:ind w:right="514"/>
              <w:jc w:val="right"/>
              <w:rPr>
                <w:rFonts w:ascii="Cambria"/>
                <w:sz w:val="20"/>
              </w:rPr>
            </w:pPr>
            <w:r>
              <w:rPr>
                <w:rFonts w:ascii="Cambria"/>
                <w:spacing w:val="-2"/>
                <w:sz w:val="20"/>
              </w:rPr>
              <w:t>Reject</w:t>
            </w:r>
          </w:p>
        </w:tc>
        <w:tc>
          <w:tcPr>
            <w:tcW w:w="1133" w:type="dxa"/>
          </w:tcPr>
          <w:p>
            <w:pPr>
              <w:pStyle w:val="TableParagraph"/>
              <w:spacing w:line="234" w:lineRule="exact"/>
              <w:ind w:right="439"/>
              <w:jc w:val="right"/>
              <w:rPr>
                <w:rFonts w:ascii="Cambria"/>
                <w:sz w:val="20"/>
              </w:rPr>
            </w:pPr>
            <w:r>
              <w:rPr>
                <w:rFonts w:ascii="Cambria"/>
                <w:spacing w:val="-2"/>
                <w:sz w:val="20"/>
              </w:rPr>
              <w:t>Accept</w:t>
            </w:r>
          </w:p>
        </w:tc>
        <w:tc>
          <w:tcPr>
            <w:tcW w:w="2331" w:type="dxa"/>
          </w:tcPr>
          <w:p>
            <w:pPr>
              <w:pStyle w:val="TableParagraph"/>
              <w:spacing w:line="234" w:lineRule="exact"/>
              <w:ind w:left="104"/>
              <w:rPr>
                <w:rFonts w:ascii="Cambria"/>
                <w:sz w:val="20"/>
              </w:rPr>
            </w:pPr>
            <w:r>
              <w:rPr>
                <w:rFonts w:ascii="Cambria"/>
                <w:spacing w:val="-2"/>
                <w:sz w:val="20"/>
              </w:rPr>
              <w:t>STATIONARY</w:t>
            </w:r>
          </w:p>
        </w:tc>
      </w:tr>
      <w:tr>
        <w:trPr>
          <w:trHeight w:val="467" w:hRule="atLeast"/>
        </w:trPr>
        <w:tc>
          <w:tcPr>
            <w:tcW w:w="1541" w:type="dxa"/>
          </w:tcPr>
          <w:p>
            <w:pPr>
              <w:pStyle w:val="TableParagraph"/>
              <w:spacing w:line="229" w:lineRule="exact"/>
              <w:ind w:left="10"/>
              <w:jc w:val="center"/>
              <w:rPr>
                <w:rFonts w:ascii="Arial MT"/>
                <w:sz w:val="20"/>
              </w:rPr>
            </w:pPr>
            <w:r>
              <w:rPr>
                <w:rFonts w:ascii="Arial MT"/>
                <w:spacing w:val="-5"/>
                <w:sz w:val="20"/>
              </w:rPr>
              <w:t>DFI</w:t>
            </w:r>
          </w:p>
        </w:tc>
        <w:tc>
          <w:tcPr>
            <w:tcW w:w="1539" w:type="dxa"/>
          </w:tcPr>
          <w:p>
            <w:pPr>
              <w:pStyle w:val="TableParagraph"/>
              <w:spacing w:before="5"/>
              <w:ind w:left="105"/>
              <w:rPr>
                <w:sz w:val="20"/>
              </w:rPr>
            </w:pPr>
            <w:r>
              <w:rPr>
                <w:spacing w:val="-2"/>
                <w:sz w:val="20"/>
              </w:rPr>
              <w:t>0.497843</w:t>
            </w:r>
          </w:p>
        </w:tc>
        <w:tc>
          <w:tcPr>
            <w:tcW w:w="1541" w:type="dxa"/>
          </w:tcPr>
          <w:p>
            <w:pPr>
              <w:pStyle w:val="TableParagraph"/>
              <w:spacing w:before="5"/>
              <w:ind w:left="107"/>
              <w:rPr>
                <w:sz w:val="20"/>
              </w:rPr>
            </w:pPr>
            <w:r>
              <w:rPr>
                <w:spacing w:val="-4"/>
                <w:sz w:val="20"/>
              </w:rPr>
              <w:t>-</w:t>
            </w:r>
            <w:r>
              <w:rPr>
                <w:spacing w:val="-2"/>
                <w:sz w:val="20"/>
              </w:rPr>
              <w:t>2.9969</w:t>
            </w:r>
          </w:p>
        </w:tc>
        <w:tc>
          <w:tcPr>
            <w:tcW w:w="1160" w:type="dxa"/>
          </w:tcPr>
          <w:p>
            <w:pPr>
              <w:pStyle w:val="TableParagraph"/>
              <w:spacing w:line="234" w:lineRule="exact"/>
              <w:ind w:right="464"/>
              <w:jc w:val="right"/>
              <w:rPr>
                <w:rFonts w:ascii="Cambria"/>
                <w:sz w:val="20"/>
              </w:rPr>
            </w:pPr>
            <w:r>
              <w:rPr>
                <w:rFonts w:ascii="Cambria"/>
                <w:spacing w:val="-2"/>
                <w:sz w:val="20"/>
              </w:rPr>
              <w:t>Accept</w:t>
            </w:r>
          </w:p>
        </w:tc>
        <w:tc>
          <w:tcPr>
            <w:tcW w:w="1133" w:type="dxa"/>
          </w:tcPr>
          <w:p>
            <w:pPr>
              <w:pStyle w:val="TableParagraph"/>
              <w:spacing w:line="234" w:lineRule="exact"/>
              <w:ind w:right="490"/>
              <w:jc w:val="right"/>
              <w:rPr>
                <w:rFonts w:ascii="Cambria"/>
                <w:sz w:val="20"/>
              </w:rPr>
            </w:pPr>
            <w:r>
              <w:rPr>
                <w:rFonts w:ascii="Cambria"/>
                <w:spacing w:val="-2"/>
                <w:sz w:val="20"/>
              </w:rPr>
              <w:t>Reject</w:t>
            </w:r>
          </w:p>
        </w:tc>
        <w:tc>
          <w:tcPr>
            <w:tcW w:w="2331" w:type="dxa"/>
          </w:tcPr>
          <w:p>
            <w:pPr>
              <w:pStyle w:val="TableParagraph"/>
              <w:spacing w:line="234" w:lineRule="exact"/>
              <w:ind w:left="104"/>
              <w:rPr>
                <w:rFonts w:ascii="Cambria"/>
                <w:sz w:val="20"/>
              </w:rPr>
            </w:pPr>
            <w:r>
              <w:rPr>
                <w:rFonts w:ascii="Cambria"/>
                <w:spacing w:val="-2"/>
                <w:sz w:val="20"/>
              </w:rPr>
              <w:t>NON-STATIONARY</w:t>
            </w:r>
          </w:p>
        </w:tc>
      </w:tr>
      <w:tr>
        <w:trPr>
          <w:trHeight w:val="470" w:hRule="atLeast"/>
        </w:trPr>
        <w:tc>
          <w:tcPr>
            <w:tcW w:w="1541" w:type="dxa"/>
          </w:tcPr>
          <w:p>
            <w:pPr>
              <w:pStyle w:val="TableParagraph"/>
              <w:spacing w:line="229" w:lineRule="exact"/>
              <w:ind w:left="10" w:right="4"/>
              <w:jc w:val="center"/>
              <w:rPr>
                <w:rFonts w:ascii="Arial MT"/>
                <w:sz w:val="20"/>
              </w:rPr>
            </w:pPr>
            <w:r>
              <w:rPr>
                <w:rFonts w:ascii="Arial MT"/>
                <w:spacing w:val="-5"/>
                <w:sz w:val="20"/>
              </w:rPr>
              <w:t>CAB</w:t>
            </w:r>
          </w:p>
        </w:tc>
        <w:tc>
          <w:tcPr>
            <w:tcW w:w="1539" w:type="dxa"/>
          </w:tcPr>
          <w:p>
            <w:pPr>
              <w:pStyle w:val="TableParagraph"/>
              <w:spacing w:before="5"/>
              <w:ind w:left="105"/>
              <w:rPr>
                <w:sz w:val="20"/>
              </w:rPr>
            </w:pPr>
            <w:r>
              <w:rPr>
                <w:spacing w:val="-4"/>
                <w:sz w:val="20"/>
              </w:rPr>
              <w:t>-</w:t>
            </w:r>
            <w:r>
              <w:rPr>
                <w:spacing w:val="-2"/>
                <w:sz w:val="20"/>
              </w:rPr>
              <w:t>2.733113</w:t>
            </w:r>
          </w:p>
        </w:tc>
        <w:tc>
          <w:tcPr>
            <w:tcW w:w="1541" w:type="dxa"/>
          </w:tcPr>
          <w:p>
            <w:pPr>
              <w:pStyle w:val="TableParagraph"/>
              <w:spacing w:before="5"/>
              <w:ind w:left="107"/>
              <w:rPr>
                <w:sz w:val="20"/>
              </w:rPr>
            </w:pPr>
            <w:r>
              <w:rPr>
                <w:spacing w:val="-4"/>
                <w:sz w:val="20"/>
              </w:rPr>
              <w:t>-</w:t>
            </w:r>
            <w:r>
              <w:rPr>
                <w:spacing w:val="-2"/>
                <w:sz w:val="20"/>
              </w:rPr>
              <w:t>2.9969</w:t>
            </w:r>
          </w:p>
        </w:tc>
        <w:tc>
          <w:tcPr>
            <w:tcW w:w="1160" w:type="dxa"/>
          </w:tcPr>
          <w:p>
            <w:pPr>
              <w:pStyle w:val="TableParagraph"/>
              <w:spacing w:line="234" w:lineRule="exact"/>
              <w:ind w:right="464"/>
              <w:jc w:val="right"/>
              <w:rPr>
                <w:rFonts w:ascii="Cambria"/>
                <w:sz w:val="20"/>
              </w:rPr>
            </w:pPr>
            <w:r>
              <w:rPr>
                <w:rFonts w:ascii="Cambria"/>
                <w:spacing w:val="-2"/>
                <w:sz w:val="20"/>
              </w:rPr>
              <w:t>Accept</w:t>
            </w:r>
          </w:p>
        </w:tc>
        <w:tc>
          <w:tcPr>
            <w:tcW w:w="1133" w:type="dxa"/>
          </w:tcPr>
          <w:p>
            <w:pPr>
              <w:pStyle w:val="TableParagraph"/>
              <w:spacing w:line="234" w:lineRule="exact"/>
              <w:ind w:right="490"/>
              <w:jc w:val="right"/>
              <w:rPr>
                <w:rFonts w:ascii="Cambria"/>
                <w:sz w:val="20"/>
              </w:rPr>
            </w:pPr>
            <w:r>
              <w:rPr>
                <w:rFonts w:ascii="Cambria"/>
                <w:spacing w:val="-2"/>
                <w:sz w:val="20"/>
              </w:rPr>
              <w:t>Reject</w:t>
            </w:r>
          </w:p>
        </w:tc>
        <w:tc>
          <w:tcPr>
            <w:tcW w:w="2331" w:type="dxa"/>
          </w:tcPr>
          <w:p>
            <w:pPr>
              <w:pStyle w:val="TableParagraph"/>
              <w:spacing w:line="234" w:lineRule="exact"/>
              <w:ind w:left="104"/>
              <w:rPr>
                <w:rFonts w:ascii="Cambria"/>
                <w:sz w:val="20"/>
              </w:rPr>
            </w:pPr>
            <w:r>
              <w:rPr>
                <w:rFonts w:ascii="Cambria"/>
                <w:spacing w:val="-2"/>
                <w:sz w:val="20"/>
              </w:rPr>
              <w:t>NON-STATIONARY</w:t>
            </w:r>
          </w:p>
        </w:tc>
      </w:tr>
      <w:tr>
        <w:trPr>
          <w:trHeight w:val="467" w:hRule="atLeast"/>
        </w:trPr>
        <w:tc>
          <w:tcPr>
            <w:tcW w:w="1541" w:type="dxa"/>
          </w:tcPr>
          <w:p>
            <w:pPr>
              <w:pStyle w:val="TableParagraph"/>
              <w:spacing w:line="234" w:lineRule="exact"/>
              <w:ind w:left="10" w:right="4"/>
              <w:jc w:val="center"/>
              <w:rPr>
                <w:rFonts w:ascii="Arial MT" w:hAnsi="Arial MT"/>
                <w:sz w:val="20"/>
              </w:rPr>
            </w:pPr>
            <w:r>
              <w:rPr>
                <w:rFonts w:ascii="Cambria" w:hAnsi="Cambria"/>
                <w:spacing w:val="-4"/>
                <w:sz w:val="20"/>
              </w:rPr>
              <w:t>δ</w:t>
            </w:r>
            <w:r>
              <w:rPr>
                <w:rFonts w:ascii="Arial MT" w:hAnsi="Arial MT"/>
                <w:spacing w:val="-4"/>
                <w:sz w:val="20"/>
              </w:rPr>
              <w:t>RES</w:t>
            </w:r>
          </w:p>
        </w:tc>
        <w:tc>
          <w:tcPr>
            <w:tcW w:w="1539" w:type="dxa"/>
          </w:tcPr>
          <w:p>
            <w:pPr>
              <w:pStyle w:val="TableParagraph"/>
              <w:spacing w:before="5"/>
              <w:ind w:left="105"/>
              <w:rPr>
                <w:sz w:val="20"/>
              </w:rPr>
            </w:pPr>
            <w:r>
              <w:rPr>
                <w:spacing w:val="-4"/>
                <w:sz w:val="20"/>
              </w:rPr>
              <w:t>-</w:t>
            </w:r>
            <w:r>
              <w:rPr>
                <w:spacing w:val="-2"/>
                <w:sz w:val="20"/>
              </w:rPr>
              <w:t>2.509373</w:t>
            </w:r>
          </w:p>
        </w:tc>
        <w:tc>
          <w:tcPr>
            <w:tcW w:w="1541" w:type="dxa"/>
          </w:tcPr>
          <w:p>
            <w:pPr>
              <w:pStyle w:val="TableParagraph"/>
              <w:spacing w:before="5"/>
              <w:ind w:left="107"/>
              <w:rPr>
                <w:sz w:val="20"/>
              </w:rPr>
            </w:pPr>
            <w:r>
              <w:rPr>
                <w:spacing w:val="-4"/>
                <w:sz w:val="20"/>
              </w:rPr>
              <w:t>-</w:t>
            </w:r>
            <w:r>
              <w:rPr>
                <w:spacing w:val="-2"/>
                <w:sz w:val="20"/>
              </w:rPr>
              <w:t>2.9969</w:t>
            </w:r>
          </w:p>
        </w:tc>
        <w:tc>
          <w:tcPr>
            <w:tcW w:w="1160" w:type="dxa"/>
          </w:tcPr>
          <w:p>
            <w:pPr>
              <w:pStyle w:val="TableParagraph"/>
              <w:spacing w:line="234" w:lineRule="exact"/>
              <w:ind w:right="464"/>
              <w:jc w:val="right"/>
              <w:rPr>
                <w:rFonts w:ascii="Cambria"/>
                <w:sz w:val="20"/>
              </w:rPr>
            </w:pPr>
            <w:r>
              <w:rPr>
                <w:rFonts w:ascii="Cambria"/>
                <w:spacing w:val="-2"/>
                <w:sz w:val="20"/>
              </w:rPr>
              <w:t>Accept</w:t>
            </w:r>
          </w:p>
        </w:tc>
        <w:tc>
          <w:tcPr>
            <w:tcW w:w="1133" w:type="dxa"/>
          </w:tcPr>
          <w:p>
            <w:pPr>
              <w:pStyle w:val="TableParagraph"/>
              <w:spacing w:line="234" w:lineRule="exact"/>
              <w:ind w:right="490"/>
              <w:jc w:val="right"/>
              <w:rPr>
                <w:rFonts w:ascii="Cambria"/>
                <w:sz w:val="20"/>
              </w:rPr>
            </w:pPr>
            <w:r>
              <w:rPr>
                <w:rFonts w:ascii="Cambria"/>
                <w:spacing w:val="-2"/>
                <w:sz w:val="20"/>
              </w:rPr>
              <w:t>Reject</w:t>
            </w:r>
          </w:p>
        </w:tc>
        <w:tc>
          <w:tcPr>
            <w:tcW w:w="2331" w:type="dxa"/>
          </w:tcPr>
          <w:p>
            <w:pPr>
              <w:pStyle w:val="TableParagraph"/>
              <w:spacing w:line="234" w:lineRule="exact"/>
              <w:ind w:left="104"/>
              <w:rPr>
                <w:rFonts w:ascii="Cambria"/>
                <w:sz w:val="20"/>
              </w:rPr>
            </w:pPr>
            <w:r>
              <w:rPr>
                <w:rFonts w:ascii="Cambria"/>
                <w:spacing w:val="-2"/>
                <w:sz w:val="20"/>
              </w:rPr>
              <w:t>NON-STATIONARY</w:t>
            </w:r>
          </w:p>
        </w:tc>
      </w:tr>
      <w:tr>
        <w:trPr>
          <w:trHeight w:val="470" w:hRule="atLeast"/>
        </w:trPr>
        <w:tc>
          <w:tcPr>
            <w:tcW w:w="1541" w:type="dxa"/>
          </w:tcPr>
          <w:p>
            <w:pPr>
              <w:pStyle w:val="TableParagraph"/>
              <w:spacing w:line="234" w:lineRule="exact"/>
              <w:ind w:left="10" w:right="2"/>
              <w:jc w:val="center"/>
              <w:rPr>
                <w:rFonts w:ascii="Arial MT" w:hAnsi="Arial MT"/>
                <w:sz w:val="20"/>
              </w:rPr>
            </w:pPr>
            <w:r>
              <w:rPr>
                <w:rFonts w:ascii="Cambria" w:hAnsi="Cambria"/>
                <w:spacing w:val="-2"/>
                <w:sz w:val="20"/>
              </w:rPr>
              <w:t>δ</w:t>
            </w:r>
            <w:r>
              <w:rPr>
                <w:rFonts w:ascii="Arial MT" w:hAnsi="Arial MT"/>
                <w:spacing w:val="-2"/>
                <w:sz w:val="20"/>
              </w:rPr>
              <w:t>NEXTAS</w:t>
            </w:r>
          </w:p>
        </w:tc>
        <w:tc>
          <w:tcPr>
            <w:tcW w:w="1539" w:type="dxa"/>
          </w:tcPr>
          <w:p>
            <w:pPr>
              <w:pStyle w:val="TableParagraph"/>
              <w:ind w:left="105"/>
              <w:rPr>
                <w:sz w:val="20"/>
              </w:rPr>
            </w:pPr>
            <w:r>
              <w:rPr>
                <w:spacing w:val="-4"/>
                <w:sz w:val="20"/>
              </w:rPr>
              <w:t>-</w:t>
            </w:r>
            <w:r>
              <w:rPr>
                <w:spacing w:val="-2"/>
                <w:sz w:val="20"/>
              </w:rPr>
              <w:t>1.842900</w:t>
            </w:r>
          </w:p>
        </w:tc>
        <w:tc>
          <w:tcPr>
            <w:tcW w:w="1541" w:type="dxa"/>
          </w:tcPr>
          <w:p>
            <w:pPr>
              <w:pStyle w:val="TableParagraph"/>
              <w:spacing w:before="5"/>
              <w:ind w:left="107"/>
              <w:rPr>
                <w:sz w:val="20"/>
              </w:rPr>
            </w:pPr>
            <w:r>
              <w:rPr>
                <w:spacing w:val="-4"/>
                <w:sz w:val="20"/>
              </w:rPr>
              <w:t>-</w:t>
            </w:r>
            <w:r>
              <w:rPr>
                <w:spacing w:val="-2"/>
                <w:sz w:val="20"/>
              </w:rPr>
              <w:t>2.9969</w:t>
            </w:r>
          </w:p>
        </w:tc>
        <w:tc>
          <w:tcPr>
            <w:tcW w:w="1160" w:type="dxa"/>
          </w:tcPr>
          <w:p>
            <w:pPr>
              <w:pStyle w:val="TableParagraph"/>
              <w:spacing w:line="234" w:lineRule="exact"/>
              <w:ind w:right="464"/>
              <w:jc w:val="right"/>
              <w:rPr>
                <w:rFonts w:ascii="Cambria"/>
                <w:sz w:val="20"/>
              </w:rPr>
            </w:pPr>
            <w:r>
              <w:rPr>
                <w:rFonts w:ascii="Cambria"/>
                <w:spacing w:val="-2"/>
                <w:sz w:val="20"/>
              </w:rPr>
              <w:t>Accept</w:t>
            </w:r>
          </w:p>
        </w:tc>
        <w:tc>
          <w:tcPr>
            <w:tcW w:w="1133" w:type="dxa"/>
          </w:tcPr>
          <w:p>
            <w:pPr>
              <w:pStyle w:val="TableParagraph"/>
              <w:spacing w:line="234" w:lineRule="exact"/>
              <w:ind w:right="490"/>
              <w:jc w:val="right"/>
              <w:rPr>
                <w:rFonts w:ascii="Cambria"/>
                <w:sz w:val="20"/>
              </w:rPr>
            </w:pPr>
            <w:r>
              <w:rPr>
                <w:rFonts w:ascii="Cambria"/>
                <w:spacing w:val="-2"/>
                <w:sz w:val="20"/>
              </w:rPr>
              <w:t>Reject</w:t>
            </w:r>
          </w:p>
        </w:tc>
        <w:tc>
          <w:tcPr>
            <w:tcW w:w="2331" w:type="dxa"/>
          </w:tcPr>
          <w:p>
            <w:pPr>
              <w:pStyle w:val="TableParagraph"/>
              <w:spacing w:line="234" w:lineRule="exact"/>
              <w:ind w:left="104"/>
              <w:rPr>
                <w:rFonts w:ascii="Cambria"/>
                <w:sz w:val="20"/>
              </w:rPr>
            </w:pPr>
            <w:r>
              <w:rPr>
                <w:rFonts w:ascii="Cambria"/>
                <w:spacing w:val="-2"/>
                <w:sz w:val="20"/>
              </w:rPr>
              <w:t>NON-STATIONARY</w:t>
            </w:r>
          </w:p>
        </w:tc>
      </w:tr>
    </w:tbl>
    <w:p>
      <w:pPr>
        <w:pStyle w:val="BodyText"/>
        <w:ind w:left="711"/>
        <w:jc w:val="both"/>
      </w:pPr>
      <w:r>
        <w:rPr>
          <w:b/>
        </w:rPr>
        <w:t>Source:</w:t>
      </w:r>
      <w:r>
        <w:rPr>
          <w:b/>
          <w:spacing w:val="-4"/>
        </w:rPr>
        <w:t> </w:t>
      </w:r>
      <w:r>
        <w:rPr/>
        <w:t>Results</w:t>
      </w:r>
      <w:r>
        <w:rPr>
          <w:spacing w:val="-1"/>
        </w:rPr>
        <w:t> </w:t>
      </w:r>
      <w:r>
        <w:rPr/>
        <w:t>of</w:t>
      </w:r>
      <w:r>
        <w:rPr>
          <w:spacing w:val="-1"/>
        </w:rPr>
        <w:t> </w:t>
      </w:r>
      <w:r>
        <w:rPr/>
        <w:t>analysis</w:t>
      </w:r>
      <w:r>
        <w:rPr>
          <w:spacing w:val="-2"/>
        </w:rPr>
        <w:t> </w:t>
      </w:r>
      <w:r>
        <w:rPr/>
        <w:t>from</w:t>
      </w:r>
      <w:r>
        <w:rPr>
          <w:spacing w:val="1"/>
        </w:rPr>
        <w:t> </w:t>
      </w:r>
      <w:r>
        <w:rPr/>
        <w:t>E-view</w:t>
      </w:r>
      <w:r>
        <w:rPr>
          <w:spacing w:val="-2"/>
        </w:rPr>
        <w:t> </w:t>
      </w:r>
      <w:r>
        <w:rPr/>
        <w:t>statistical</w:t>
      </w:r>
      <w:r>
        <w:rPr>
          <w:spacing w:val="-1"/>
        </w:rPr>
        <w:t> </w:t>
      </w:r>
      <w:r>
        <w:rPr>
          <w:spacing w:val="-2"/>
        </w:rPr>
        <w:t>package</w:t>
      </w:r>
    </w:p>
    <w:p>
      <w:pPr>
        <w:pStyle w:val="BodyText"/>
        <w:spacing w:before="1"/>
      </w:pPr>
    </w:p>
    <w:p>
      <w:pPr>
        <w:pStyle w:val="BodyText"/>
        <w:spacing w:line="480" w:lineRule="auto"/>
        <w:ind w:left="711" w:right="467"/>
        <w:jc w:val="both"/>
        <w:rPr>
          <w:rFonts w:ascii="Cambria" w:hAnsi="Cambria"/>
        </w:rPr>
      </w:pPr>
      <w:r>
        <w:rPr>
          <w:rFonts w:ascii="Cambria" w:hAnsi="Cambria"/>
        </w:rPr>
        <w:t>The table above shows that all variables except change in external debt (δEXTDEBT) are non- </w:t>
      </w:r>
      <w:r>
        <w:rPr>
          <w:rFonts w:ascii="Cambria" w:hAnsi="Cambria"/>
          <w:position w:val="1"/>
        </w:rPr>
        <w:t>stationary before differencing and therefore, we reject the null hypothesis (H</w:t>
      </w:r>
      <w:r>
        <w:rPr>
          <w:rFonts w:ascii="Cambria" w:hAnsi="Cambria"/>
          <w:sz w:val="16"/>
        </w:rPr>
        <w:t>1</w:t>
      </w:r>
      <w:r>
        <w:rPr>
          <w:rFonts w:ascii="Cambria" w:hAnsi="Cambria"/>
          <w:position w:val="1"/>
        </w:rPr>
        <w:t>) for all the variables except δEXTDEBT and accept the alternate hypothesis (H</w:t>
      </w:r>
      <w:r>
        <w:rPr>
          <w:rFonts w:ascii="Cambria" w:hAnsi="Cambria"/>
          <w:sz w:val="16"/>
        </w:rPr>
        <w:t>0</w:t>
      </w:r>
      <w:r>
        <w:rPr>
          <w:rFonts w:ascii="Cambria" w:hAnsi="Cambria"/>
          <w:position w:val="1"/>
        </w:rPr>
        <w:t>). In order to ensure the stationarity of data </w:t>
      </w:r>
      <w:r>
        <w:rPr>
          <w:rFonts w:ascii="Cambria" w:hAnsi="Cambria"/>
        </w:rPr>
        <w:t>for the variables which are found to be non-stationary at level, we proceed to test for stationarity at first difference.</w:t>
      </w:r>
    </w:p>
    <w:p>
      <w:pPr>
        <w:spacing w:after="0" w:line="480" w:lineRule="auto"/>
        <w:jc w:val="both"/>
        <w:rPr>
          <w:rFonts w:ascii="Cambria" w:hAnsi="Cambria"/>
        </w:rPr>
        <w:sectPr>
          <w:type w:val="continuous"/>
          <w:pgSz w:w="11910" w:h="16840"/>
          <w:pgMar w:header="0" w:footer="979" w:top="1400" w:bottom="1240" w:left="280" w:right="0"/>
        </w:sectPr>
      </w:pPr>
    </w:p>
    <w:p>
      <w:pPr>
        <w:pStyle w:val="Heading6"/>
        <w:spacing w:before="81"/>
        <w:rPr>
          <w:rFonts w:ascii="Cambria"/>
        </w:rPr>
      </w:pPr>
      <w:r>
        <w:rPr>
          <w:rFonts w:ascii="Cambria"/>
        </w:rPr>
        <w:t>Table</w:t>
      </w:r>
      <w:r>
        <w:rPr>
          <w:rFonts w:ascii="Cambria"/>
          <w:spacing w:val="-4"/>
        </w:rPr>
        <w:t> </w:t>
      </w:r>
      <w:r>
        <w:rPr>
          <w:rFonts w:ascii="Cambria"/>
        </w:rPr>
        <w:t>4.13.</w:t>
      </w:r>
      <w:r>
        <w:rPr>
          <w:rFonts w:ascii="Cambria"/>
          <w:spacing w:val="-2"/>
        </w:rPr>
        <w:t> </w:t>
      </w:r>
      <w:r>
        <w:rPr>
          <w:rFonts w:ascii="Cambria"/>
        </w:rPr>
        <w:t>3</w:t>
      </w:r>
      <w:r>
        <w:rPr>
          <w:rFonts w:ascii="Cambria"/>
          <w:spacing w:val="-4"/>
        </w:rPr>
        <w:t> </w:t>
      </w:r>
      <w:r>
        <w:rPr>
          <w:rFonts w:ascii="Cambria"/>
        </w:rPr>
        <w:t>UNIT</w:t>
      </w:r>
      <w:r>
        <w:rPr>
          <w:rFonts w:ascii="Cambria"/>
          <w:spacing w:val="-2"/>
        </w:rPr>
        <w:t> </w:t>
      </w:r>
      <w:r>
        <w:rPr>
          <w:rFonts w:ascii="Cambria"/>
        </w:rPr>
        <w:t>ROOT</w:t>
      </w:r>
      <w:r>
        <w:rPr>
          <w:rFonts w:ascii="Cambria"/>
          <w:spacing w:val="-3"/>
        </w:rPr>
        <w:t> </w:t>
      </w:r>
      <w:r>
        <w:rPr>
          <w:rFonts w:ascii="Cambria"/>
        </w:rPr>
        <w:t>TEST</w:t>
      </w:r>
      <w:r>
        <w:rPr>
          <w:rFonts w:ascii="Cambria"/>
          <w:spacing w:val="-2"/>
        </w:rPr>
        <w:t> </w:t>
      </w:r>
      <w:r>
        <w:rPr>
          <w:rFonts w:ascii="Cambria"/>
        </w:rPr>
        <w:t>AT</w:t>
      </w:r>
      <w:r>
        <w:rPr>
          <w:rFonts w:ascii="Cambria"/>
          <w:spacing w:val="-2"/>
        </w:rPr>
        <w:t> </w:t>
      </w:r>
      <w:r>
        <w:rPr>
          <w:rFonts w:ascii="Cambria"/>
        </w:rPr>
        <w:t>FIRST</w:t>
      </w:r>
      <w:r>
        <w:rPr>
          <w:rFonts w:ascii="Cambria"/>
          <w:spacing w:val="-3"/>
        </w:rPr>
        <w:t> </w:t>
      </w:r>
      <w:r>
        <w:rPr>
          <w:rFonts w:ascii="Cambria"/>
        </w:rPr>
        <w:t>DIFFERENCE</w:t>
      </w:r>
      <w:r>
        <w:rPr>
          <w:rFonts w:ascii="Cambria"/>
          <w:spacing w:val="1"/>
        </w:rPr>
        <w:t> </w:t>
      </w:r>
      <w:r>
        <w:rPr>
          <w:rFonts w:ascii="Cambria"/>
        </w:rPr>
        <w:t>FOR</w:t>
      </w:r>
      <w:r>
        <w:rPr>
          <w:rFonts w:ascii="Cambria"/>
          <w:spacing w:val="-2"/>
        </w:rPr>
        <w:t> </w:t>
      </w:r>
      <w:r>
        <w:rPr>
          <w:rFonts w:ascii="Cambria"/>
        </w:rPr>
        <w:t>MODELS</w:t>
      </w:r>
      <w:r>
        <w:rPr>
          <w:rFonts w:ascii="Cambria"/>
          <w:spacing w:val="-2"/>
        </w:rPr>
        <w:t> </w:t>
      </w:r>
      <w:r>
        <w:rPr>
          <w:rFonts w:ascii="Cambria"/>
        </w:rPr>
        <w:t>2,</w:t>
      </w:r>
      <w:r>
        <w:rPr>
          <w:rFonts w:ascii="Cambria"/>
          <w:spacing w:val="-3"/>
        </w:rPr>
        <w:t> </w:t>
      </w:r>
      <w:r>
        <w:rPr>
          <w:rFonts w:ascii="Cambria"/>
        </w:rPr>
        <w:t>5</w:t>
      </w:r>
      <w:r>
        <w:rPr>
          <w:rFonts w:ascii="Cambria"/>
          <w:spacing w:val="-2"/>
        </w:rPr>
        <w:t> </w:t>
      </w:r>
      <w:r>
        <w:rPr>
          <w:rFonts w:ascii="Cambria"/>
        </w:rPr>
        <w:t>AND</w:t>
      </w:r>
      <w:r>
        <w:rPr>
          <w:rFonts w:ascii="Cambria"/>
          <w:spacing w:val="-3"/>
        </w:rPr>
        <w:t> </w:t>
      </w:r>
      <w:r>
        <w:rPr>
          <w:rFonts w:ascii="Cambria"/>
          <w:spacing w:val="-10"/>
        </w:rPr>
        <w:t>6</w:t>
      </w:r>
    </w:p>
    <w:p>
      <w:pPr>
        <w:pStyle w:val="BodyText"/>
        <w:spacing w:before="46"/>
        <w:rPr>
          <w:rFonts w:ascii="Cambria"/>
          <w:b/>
          <w:sz w:val="20"/>
        </w:rPr>
      </w:pPr>
    </w:p>
    <w:tbl>
      <w:tblPr>
        <w:tblW w:w="0" w:type="auto"/>
        <w:jc w:val="left"/>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41"/>
        <w:gridCol w:w="1539"/>
        <w:gridCol w:w="1541"/>
        <w:gridCol w:w="1160"/>
        <w:gridCol w:w="1133"/>
        <w:gridCol w:w="2331"/>
      </w:tblGrid>
      <w:tr>
        <w:trPr>
          <w:trHeight w:val="1408" w:hRule="atLeast"/>
        </w:trPr>
        <w:tc>
          <w:tcPr>
            <w:tcW w:w="1541" w:type="dxa"/>
          </w:tcPr>
          <w:p>
            <w:pPr>
              <w:pStyle w:val="TableParagraph"/>
              <w:rPr>
                <w:rFonts w:ascii="Cambria"/>
                <w:b/>
                <w:sz w:val="20"/>
              </w:rPr>
            </w:pPr>
          </w:p>
          <w:p>
            <w:pPr>
              <w:pStyle w:val="TableParagraph"/>
              <w:rPr>
                <w:rFonts w:ascii="Cambria"/>
                <w:b/>
                <w:sz w:val="20"/>
              </w:rPr>
            </w:pPr>
          </w:p>
          <w:p>
            <w:pPr>
              <w:pStyle w:val="TableParagraph"/>
              <w:spacing w:before="1"/>
              <w:ind w:left="10" w:right="8"/>
              <w:jc w:val="center"/>
              <w:rPr>
                <w:rFonts w:ascii="Cambria"/>
                <w:b/>
                <w:sz w:val="20"/>
              </w:rPr>
            </w:pPr>
            <w:r>
              <w:rPr>
                <w:rFonts w:ascii="Cambria"/>
                <w:b/>
                <w:spacing w:val="-2"/>
                <w:sz w:val="20"/>
              </w:rPr>
              <w:t>VARIABLES</w:t>
            </w:r>
          </w:p>
        </w:tc>
        <w:tc>
          <w:tcPr>
            <w:tcW w:w="1539" w:type="dxa"/>
          </w:tcPr>
          <w:p>
            <w:pPr>
              <w:pStyle w:val="TableParagraph"/>
              <w:spacing w:line="480" w:lineRule="auto" w:before="1"/>
              <w:ind w:left="230" w:right="223" w:firstLine="1"/>
              <w:jc w:val="center"/>
              <w:rPr>
                <w:rFonts w:ascii="Cambria"/>
                <w:b/>
                <w:sz w:val="20"/>
              </w:rPr>
            </w:pPr>
            <w:r>
              <w:rPr>
                <w:rFonts w:ascii="Cambria"/>
                <w:b/>
                <w:spacing w:val="-4"/>
                <w:sz w:val="20"/>
              </w:rPr>
              <w:t>ADF</w:t>
            </w:r>
            <w:r>
              <w:rPr>
                <w:rFonts w:ascii="Cambria"/>
                <w:b/>
                <w:spacing w:val="-2"/>
                <w:sz w:val="20"/>
              </w:rPr>
              <w:t> STATISTICS</w:t>
            </w:r>
          </w:p>
          <w:p>
            <w:pPr>
              <w:pStyle w:val="TableParagraph"/>
              <w:spacing w:line="233" w:lineRule="exact"/>
              <w:ind w:left="46" w:right="42"/>
              <w:jc w:val="center"/>
              <w:rPr>
                <w:rFonts w:ascii="Cambria"/>
                <w:b/>
                <w:sz w:val="20"/>
              </w:rPr>
            </w:pPr>
            <w:r>
              <w:rPr>
                <w:rFonts w:ascii="Cambria"/>
                <w:b/>
                <w:spacing w:val="-2"/>
                <w:sz w:val="20"/>
              </w:rPr>
              <w:t>VALUE</w:t>
            </w:r>
          </w:p>
        </w:tc>
        <w:tc>
          <w:tcPr>
            <w:tcW w:w="1541" w:type="dxa"/>
          </w:tcPr>
          <w:p>
            <w:pPr>
              <w:pStyle w:val="TableParagraph"/>
              <w:spacing w:line="480" w:lineRule="auto" w:before="1"/>
              <w:ind w:left="10" w:right="2"/>
              <w:jc w:val="center"/>
              <w:rPr>
                <w:rFonts w:ascii="Cambria"/>
                <w:b/>
                <w:sz w:val="20"/>
              </w:rPr>
            </w:pPr>
            <w:r>
              <w:rPr>
                <w:rFonts w:ascii="Cambria"/>
                <w:b/>
                <w:spacing w:val="-2"/>
                <w:sz w:val="20"/>
              </w:rPr>
              <w:t>MACKINNO CRITICAL</w:t>
            </w:r>
          </w:p>
          <w:p>
            <w:pPr>
              <w:pStyle w:val="TableParagraph"/>
              <w:spacing w:line="233" w:lineRule="exact"/>
              <w:ind w:left="10" w:right="3"/>
              <w:jc w:val="center"/>
              <w:rPr>
                <w:rFonts w:ascii="Cambria"/>
                <w:b/>
                <w:sz w:val="20"/>
              </w:rPr>
            </w:pPr>
            <w:r>
              <w:rPr>
                <w:rFonts w:ascii="Cambria"/>
                <w:b/>
                <w:sz w:val="20"/>
              </w:rPr>
              <w:t>VALUE</w:t>
            </w:r>
            <w:r>
              <w:rPr>
                <w:rFonts w:ascii="Cambria"/>
                <w:b/>
                <w:spacing w:val="-4"/>
                <w:sz w:val="20"/>
              </w:rPr>
              <w:t> </w:t>
            </w:r>
            <w:r>
              <w:rPr>
                <w:rFonts w:ascii="Cambria"/>
                <w:b/>
                <w:sz w:val="20"/>
              </w:rPr>
              <w:t>@</w:t>
            </w:r>
            <w:r>
              <w:rPr>
                <w:rFonts w:ascii="Cambria"/>
                <w:b/>
                <w:spacing w:val="-6"/>
                <w:sz w:val="20"/>
              </w:rPr>
              <w:t> </w:t>
            </w:r>
            <w:r>
              <w:rPr>
                <w:rFonts w:ascii="Cambria"/>
                <w:b/>
                <w:spacing w:val="-5"/>
                <w:sz w:val="20"/>
              </w:rPr>
              <w:t>5%</w:t>
            </w:r>
          </w:p>
        </w:tc>
        <w:tc>
          <w:tcPr>
            <w:tcW w:w="1160" w:type="dxa"/>
          </w:tcPr>
          <w:p>
            <w:pPr>
              <w:pStyle w:val="TableParagraph"/>
              <w:rPr>
                <w:rFonts w:ascii="Cambria"/>
                <w:b/>
                <w:sz w:val="13"/>
              </w:rPr>
            </w:pPr>
          </w:p>
          <w:p>
            <w:pPr>
              <w:pStyle w:val="TableParagraph"/>
              <w:rPr>
                <w:rFonts w:ascii="Cambria"/>
                <w:b/>
                <w:sz w:val="13"/>
              </w:rPr>
            </w:pPr>
          </w:p>
          <w:p>
            <w:pPr>
              <w:pStyle w:val="TableParagraph"/>
              <w:spacing w:before="12"/>
              <w:rPr>
                <w:rFonts w:ascii="Cambria"/>
                <w:b/>
                <w:sz w:val="13"/>
              </w:rPr>
            </w:pPr>
          </w:p>
          <w:p>
            <w:pPr>
              <w:pStyle w:val="TableParagraph"/>
              <w:ind w:left="6"/>
              <w:jc w:val="center"/>
              <w:rPr>
                <w:rFonts w:ascii="Cambria"/>
                <w:b/>
                <w:sz w:val="13"/>
              </w:rPr>
            </w:pPr>
            <w:r>
              <w:rPr>
                <w:rFonts w:ascii="Cambria"/>
                <w:b/>
                <w:spacing w:val="-5"/>
                <w:position w:val="1"/>
                <w:sz w:val="20"/>
              </w:rPr>
              <w:t>H</w:t>
            </w:r>
            <w:r>
              <w:rPr>
                <w:rFonts w:ascii="Cambria"/>
                <w:b/>
                <w:spacing w:val="-5"/>
                <w:sz w:val="13"/>
              </w:rPr>
              <w:t>0</w:t>
            </w:r>
          </w:p>
        </w:tc>
        <w:tc>
          <w:tcPr>
            <w:tcW w:w="1133" w:type="dxa"/>
          </w:tcPr>
          <w:p>
            <w:pPr>
              <w:pStyle w:val="TableParagraph"/>
              <w:rPr>
                <w:rFonts w:ascii="Cambria"/>
                <w:b/>
                <w:sz w:val="13"/>
              </w:rPr>
            </w:pPr>
          </w:p>
          <w:p>
            <w:pPr>
              <w:pStyle w:val="TableParagraph"/>
              <w:rPr>
                <w:rFonts w:ascii="Cambria"/>
                <w:b/>
                <w:sz w:val="13"/>
              </w:rPr>
            </w:pPr>
          </w:p>
          <w:p>
            <w:pPr>
              <w:pStyle w:val="TableParagraph"/>
              <w:spacing w:before="12"/>
              <w:rPr>
                <w:rFonts w:ascii="Cambria"/>
                <w:b/>
                <w:sz w:val="13"/>
              </w:rPr>
            </w:pPr>
          </w:p>
          <w:p>
            <w:pPr>
              <w:pStyle w:val="TableParagraph"/>
              <w:ind w:left="3"/>
              <w:jc w:val="center"/>
              <w:rPr>
                <w:rFonts w:ascii="Cambria"/>
                <w:b/>
                <w:sz w:val="13"/>
              </w:rPr>
            </w:pPr>
            <w:r>
              <w:rPr>
                <w:rFonts w:ascii="Cambria"/>
                <w:b/>
                <w:spacing w:val="-5"/>
                <w:position w:val="1"/>
                <w:sz w:val="20"/>
              </w:rPr>
              <w:t>H</w:t>
            </w:r>
            <w:r>
              <w:rPr>
                <w:rFonts w:ascii="Cambria"/>
                <w:b/>
                <w:spacing w:val="-5"/>
                <w:sz w:val="13"/>
              </w:rPr>
              <w:t>1</w:t>
            </w:r>
          </w:p>
        </w:tc>
        <w:tc>
          <w:tcPr>
            <w:tcW w:w="2331" w:type="dxa"/>
          </w:tcPr>
          <w:p>
            <w:pPr>
              <w:pStyle w:val="TableParagraph"/>
              <w:rPr>
                <w:rFonts w:ascii="Cambria"/>
                <w:b/>
                <w:sz w:val="20"/>
              </w:rPr>
            </w:pPr>
          </w:p>
          <w:p>
            <w:pPr>
              <w:pStyle w:val="TableParagraph"/>
              <w:rPr>
                <w:rFonts w:ascii="Cambria"/>
                <w:b/>
                <w:sz w:val="20"/>
              </w:rPr>
            </w:pPr>
          </w:p>
          <w:p>
            <w:pPr>
              <w:pStyle w:val="TableParagraph"/>
              <w:spacing w:before="1"/>
              <w:ind w:left="702"/>
              <w:rPr>
                <w:rFonts w:ascii="Cambria"/>
                <w:b/>
                <w:sz w:val="20"/>
              </w:rPr>
            </w:pPr>
            <w:r>
              <w:rPr>
                <w:rFonts w:ascii="Cambria"/>
                <w:b/>
                <w:spacing w:val="-2"/>
                <w:sz w:val="20"/>
              </w:rPr>
              <w:t>REMARKS</w:t>
            </w:r>
          </w:p>
        </w:tc>
      </w:tr>
      <w:tr>
        <w:trPr>
          <w:trHeight w:val="467" w:hRule="atLeast"/>
        </w:trPr>
        <w:tc>
          <w:tcPr>
            <w:tcW w:w="1541" w:type="dxa"/>
          </w:tcPr>
          <w:p>
            <w:pPr>
              <w:pStyle w:val="TableParagraph"/>
              <w:spacing w:line="229" w:lineRule="exact"/>
              <w:ind w:left="10" w:right="4"/>
              <w:jc w:val="center"/>
              <w:rPr>
                <w:rFonts w:ascii="Arial MT"/>
                <w:sz w:val="20"/>
              </w:rPr>
            </w:pPr>
            <w:r>
              <w:rPr>
                <w:rFonts w:ascii="Arial MT"/>
                <w:spacing w:val="-5"/>
                <w:sz w:val="20"/>
              </w:rPr>
              <w:t>GDP</w:t>
            </w:r>
          </w:p>
        </w:tc>
        <w:tc>
          <w:tcPr>
            <w:tcW w:w="1539" w:type="dxa"/>
          </w:tcPr>
          <w:p>
            <w:pPr>
              <w:pStyle w:val="TableParagraph"/>
              <w:ind w:left="105"/>
              <w:rPr>
                <w:sz w:val="20"/>
              </w:rPr>
            </w:pPr>
            <w:r>
              <w:rPr>
                <w:spacing w:val="-4"/>
                <w:sz w:val="20"/>
              </w:rPr>
              <w:t>-</w:t>
            </w:r>
            <w:r>
              <w:rPr>
                <w:spacing w:val="-2"/>
                <w:sz w:val="20"/>
              </w:rPr>
              <w:t>3.361317</w:t>
            </w:r>
          </w:p>
        </w:tc>
        <w:tc>
          <w:tcPr>
            <w:tcW w:w="1541" w:type="dxa"/>
          </w:tcPr>
          <w:p>
            <w:pPr>
              <w:pStyle w:val="TableParagraph"/>
              <w:spacing w:before="4"/>
              <w:ind w:left="107"/>
              <w:rPr>
                <w:sz w:val="20"/>
              </w:rPr>
            </w:pPr>
            <w:r>
              <w:rPr>
                <w:rFonts w:ascii="Arial MT"/>
                <w:spacing w:val="-2"/>
                <w:sz w:val="20"/>
              </w:rPr>
              <w:t>-</w:t>
            </w:r>
            <w:r>
              <w:rPr>
                <w:spacing w:val="-2"/>
                <w:sz w:val="20"/>
              </w:rPr>
              <w:t>3.0038</w:t>
            </w:r>
          </w:p>
        </w:tc>
        <w:tc>
          <w:tcPr>
            <w:tcW w:w="1160" w:type="dxa"/>
          </w:tcPr>
          <w:p>
            <w:pPr>
              <w:pStyle w:val="TableParagraph"/>
              <w:spacing w:line="234" w:lineRule="exact"/>
              <w:ind w:left="107"/>
              <w:rPr>
                <w:rFonts w:ascii="Cambria"/>
                <w:sz w:val="20"/>
              </w:rPr>
            </w:pPr>
            <w:r>
              <w:rPr>
                <w:rFonts w:ascii="Cambria"/>
                <w:spacing w:val="-2"/>
                <w:sz w:val="20"/>
              </w:rPr>
              <w:t>Reject</w:t>
            </w:r>
          </w:p>
        </w:tc>
        <w:tc>
          <w:tcPr>
            <w:tcW w:w="1133" w:type="dxa"/>
          </w:tcPr>
          <w:p>
            <w:pPr>
              <w:pStyle w:val="TableParagraph"/>
              <w:spacing w:line="234" w:lineRule="exact"/>
              <w:ind w:left="105"/>
              <w:rPr>
                <w:rFonts w:ascii="Cambria"/>
                <w:sz w:val="20"/>
              </w:rPr>
            </w:pPr>
            <w:r>
              <w:rPr>
                <w:rFonts w:ascii="Cambria"/>
                <w:spacing w:val="-2"/>
                <w:sz w:val="20"/>
              </w:rPr>
              <w:t>Accept</w:t>
            </w:r>
          </w:p>
        </w:tc>
        <w:tc>
          <w:tcPr>
            <w:tcW w:w="2331" w:type="dxa"/>
          </w:tcPr>
          <w:p>
            <w:pPr>
              <w:pStyle w:val="TableParagraph"/>
              <w:spacing w:line="234" w:lineRule="exact"/>
              <w:ind w:left="104"/>
              <w:rPr>
                <w:rFonts w:ascii="Cambria"/>
                <w:sz w:val="20"/>
              </w:rPr>
            </w:pPr>
            <w:r>
              <w:rPr>
                <w:rFonts w:ascii="Cambria"/>
                <w:spacing w:val="-2"/>
                <w:sz w:val="20"/>
              </w:rPr>
              <w:t>STATIONARY</w:t>
            </w:r>
          </w:p>
        </w:tc>
      </w:tr>
      <w:tr>
        <w:trPr>
          <w:trHeight w:val="563" w:hRule="atLeast"/>
        </w:trPr>
        <w:tc>
          <w:tcPr>
            <w:tcW w:w="1541" w:type="dxa"/>
          </w:tcPr>
          <w:p>
            <w:pPr>
              <w:pStyle w:val="TableParagraph"/>
              <w:spacing w:line="229" w:lineRule="exact"/>
              <w:ind w:left="10"/>
              <w:jc w:val="center"/>
              <w:rPr>
                <w:rFonts w:ascii="Arial MT"/>
                <w:sz w:val="20"/>
              </w:rPr>
            </w:pPr>
            <w:r>
              <w:rPr>
                <w:rFonts w:ascii="Arial MT"/>
                <w:spacing w:val="-5"/>
                <w:sz w:val="20"/>
              </w:rPr>
              <w:t>DFI</w:t>
            </w:r>
          </w:p>
        </w:tc>
        <w:tc>
          <w:tcPr>
            <w:tcW w:w="1539" w:type="dxa"/>
          </w:tcPr>
          <w:p>
            <w:pPr>
              <w:pStyle w:val="TableParagraph"/>
              <w:spacing w:before="76"/>
              <w:ind w:left="105"/>
              <w:rPr>
                <w:sz w:val="18"/>
              </w:rPr>
            </w:pPr>
            <w:r>
              <w:rPr>
                <w:sz w:val="18"/>
              </w:rPr>
              <w:t>-</w:t>
            </w:r>
            <w:r>
              <w:rPr>
                <w:spacing w:val="-2"/>
                <w:sz w:val="18"/>
              </w:rPr>
              <w:t>4.009544</w:t>
            </w:r>
          </w:p>
        </w:tc>
        <w:tc>
          <w:tcPr>
            <w:tcW w:w="1541" w:type="dxa"/>
          </w:tcPr>
          <w:p>
            <w:pPr>
              <w:pStyle w:val="TableParagraph"/>
              <w:spacing w:before="76"/>
              <w:ind w:left="107"/>
              <w:rPr>
                <w:sz w:val="18"/>
              </w:rPr>
            </w:pPr>
            <w:r>
              <w:rPr>
                <w:sz w:val="18"/>
              </w:rPr>
              <w:t>-</w:t>
            </w:r>
            <w:r>
              <w:rPr>
                <w:spacing w:val="-2"/>
                <w:sz w:val="18"/>
              </w:rPr>
              <w:t>3.0114</w:t>
            </w:r>
          </w:p>
        </w:tc>
        <w:tc>
          <w:tcPr>
            <w:tcW w:w="1160" w:type="dxa"/>
          </w:tcPr>
          <w:p>
            <w:pPr>
              <w:pStyle w:val="TableParagraph"/>
              <w:spacing w:before="2"/>
              <w:ind w:left="107"/>
              <w:rPr>
                <w:rFonts w:ascii="Cambria"/>
                <w:sz w:val="24"/>
              </w:rPr>
            </w:pPr>
            <w:r>
              <w:rPr>
                <w:rFonts w:ascii="Cambria"/>
                <w:spacing w:val="-2"/>
                <w:sz w:val="24"/>
              </w:rPr>
              <w:t>Reject</w:t>
            </w:r>
          </w:p>
        </w:tc>
        <w:tc>
          <w:tcPr>
            <w:tcW w:w="1133" w:type="dxa"/>
          </w:tcPr>
          <w:p>
            <w:pPr>
              <w:pStyle w:val="TableParagraph"/>
              <w:spacing w:before="2"/>
              <w:ind w:left="105"/>
              <w:rPr>
                <w:rFonts w:ascii="Cambria"/>
                <w:sz w:val="24"/>
              </w:rPr>
            </w:pPr>
            <w:r>
              <w:rPr>
                <w:rFonts w:ascii="Cambria"/>
                <w:spacing w:val="-2"/>
                <w:sz w:val="24"/>
              </w:rPr>
              <w:t>Accept</w:t>
            </w:r>
          </w:p>
        </w:tc>
        <w:tc>
          <w:tcPr>
            <w:tcW w:w="2331" w:type="dxa"/>
          </w:tcPr>
          <w:p>
            <w:pPr>
              <w:pStyle w:val="TableParagraph"/>
              <w:spacing w:before="2"/>
              <w:ind w:left="104"/>
              <w:rPr>
                <w:rFonts w:ascii="Cambria"/>
                <w:sz w:val="24"/>
              </w:rPr>
            </w:pPr>
            <w:r>
              <w:rPr>
                <w:rFonts w:ascii="Cambria"/>
                <w:spacing w:val="-2"/>
                <w:sz w:val="24"/>
              </w:rPr>
              <w:t>STATIONARY</w:t>
            </w:r>
          </w:p>
        </w:tc>
      </w:tr>
      <w:tr>
        <w:trPr>
          <w:trHeight w:val="470" w:hRule="atLeast"/>
        </w:trPr>
        <w:tc>
          <w:tcPr>
            <w:tcW w:w="1541" w:type="dxa"/>
          </w:tcPr>
          <w:p>
            <w:pPr>
              <w:pStyle w:val="TableParagraph"/>
              <w:spacing w:line="229" w:lineRule="exact"/>
              <w:ind w:left="10" w:right="4"/>
              <w:jc w:val="center"/>
              <w:rPr>
                <w:rFonts w:ascii="Arial MT"/>
                <w:sz w:val="20"/>
              </w:rPr>
            </w:pPr>
            <w:r>
              <w:rPr>
                <w:rFonts w:ascii="Arial MT"/>
                <w:spacing w:val="-5"/>
                <w:sz w:val="20"/>
              </w:rPr>
              <w:t>CAB</w:t>
            </w:r>
          </w:p>
        </w:tc>
        <w:tc>
          <w:tcPr>
            <w:tcW w:w="1539" w:type="dxa"/>
          </w:tcPr>
          <w:p>
            <w:pPr>
              <w:pStyle w:val="TableParagraph"/>
              <w:ind w:left="105"/>
              <w:rPr>
                <w:sz w:val="20"/>
              </w:rPr>
            </w:pPr>
            <w:r>
              <w:rPr>
                <w:spacing w:val="-4"/>
                <w:sz w:val="20"/>
              </w:rPr>
              <w:t>-</w:t>
            </w:r>
            <w:r>
              <w:rPr>
                <w:spacing w:val="-2"/>
                <w:sz w:val="20"/>
              </w:rPr>
              <w:t>4.025890</w:t>
            </w:r>
          </w:p>
        </w:tc>
        <w:tc>
          <w:tcPr>
            <w:tcW w:w="1541" w:type="dxa"/>
          </w:tcPr>
          <w:p>
            <w:pPr>
              <w:pStyle w:val="TableParagraph"/>
              <w:spacing w:before="4"/>
              <w:ind w:left="107"/>
              <w:rPr>
                <w:sz w:val="20"/>
              </w:rPr>
            </w:pPr>
            <w:r>
              <w:rPr>
                <w:rFonts w:ascii="Arial MT"/>
                <w:spacing w:val="-2"/>
                <w:sz w:val="20"/>
              </w:rPr>
              <w:t>-</w:t>
            </w:r>
            <w:r>
              <w:rPr>
                <w:spacing w:val="-2"/>
                <w:sz w:val="20"/>
              </w:rPr>
              <w:t>3.0038</w:t>
            </w:r>
          </w:p>
        </w:tc>
        <w:tc>
          <w:tcPr>
            <w:tcW w:w="1160" w:type="dxa"/>
          </w:tcPr>
          <w:p>
            <w:pPr>
              <w:pStyle w:val="TableParagraph"/>
              <w:spacing w:line="234" w:lineRule="exact"/>
              <w:ind w:left="107"/>
              <w:rPr>
                <w:rFonts w:ascii="Cambria"/>
                <w:sz w:val="20"/>
              </w:rPr>
            </w:pPr>
            <w:r>
              <w:rPr>
                <w:rFonts w:ascii="Cambria"/>
                <w:spacing w:val="-2"/>
                <w:sz w:val="20"/>
              </w:rPr>
              <w:t>Reject</w:t>
            </w:r>
          </w:p>
        </w:tc>
        <w:tc>
          <w:tcPr>
            <w:tcW w:w="1133" w:type="dxa"/>
          </w:tcPr>
          <w:p>
            <w:pPr>
              <w:pStyle w:val="TableParagraph"/>
              <w:spacing w:line="234" w:lineRule="exact"/>
              <w:ind w:left="105"/>
              <w:rPr>
                <w:rFonts w:ascii="Cambria"/>
                <w:sz w:val="20"/>
              </w:rPr>
            </w:pPr>
            <w:r>
              <w:rPr>
                <w:rFonts w:ascii="Cambria"/>
                <w:spacing w:val="-2"/>
                <w:sz w:val="20"/>
              </w:rPr>
              <w:t>Accept</w:t>
            </w:r>
          </w:p>
        </w:tc>
        <w:tc>
          <w:tcPr>
            <w:tcW w:w="2331" w:type="dxa"/>
          </w:tcPr>
          <w:p>
            <w:pPr>
              <w:pStyle w:val="TableParagraph"/>
              <w:spacing w:line="234" w:lineRule="exact"/>
              <w:ind w:left="104"/>
              <w:rPr>
                <w:rFonts w:ascii="Cambria"/>
                <w:sz w:val="20"/>
              </w:rPr>
            </w:pPr>
            <w:r>
              <w:rPr>
                <w:rFonts w:ascii="Cambria"/>
                <w:spacing w:val="-2"/>
                <w:sz w:val="20"/>
              </w:rPr>
              <w:t>STATIONARY</w:t>
            </w:r>
          </w:p>
        </w:tc>
      </w:tr>
      <w:tr>
        <w:trPr>
          <w:trHeight w:val="468" w:hRule="atLeast"/>
        </w:trPr>
        <w:tc>
          <w:tcPr>
            <w:tcW w:w="1541" w:type="dxa"/>
          </w:tcPr>
          <w:p>
            <w:pPr>
              <w:pStyle w:val="TableParagraph"/>
              <w:spacing w:line="231" w:lineRule="exact"/>
              <w:ind w:left="10" w:right="4"/>
              <w:jc w:val="center"/>
              <w:rPr>
                <w:rFonts w:ascii="Arial MT" w:hAnsi="Arial MT"/>
                <w:sz w:val="20"/>
              </w:rPr>
            </w:pPr>
            <w:r>
              <w:rPr>
                <w:rFonts w:ascii="Cambria" w:hAnsi="Cambria"/>
                <w:spacing w:val="-4"/>
                <w:sz w:val="20"/>
              </w:rPr>
              <w:t>δ</w:t>
            </w:r>
            <w:r>
              <w:rPr>
                <w:rFonts w:ascii="Arial MT" w:hAnsi="Arial MT"/>
                <w:spacing w:val="-4"/>
                <w:sz w:val="20"/>
              </w:rPr>
              <w:t>RES</w:t>
            </w:r>
          </w:p>
        </w:tc>
        <w:tc>
          <w:tcPr>
            <w:tcW w:w="1539" w:type="dxa"/>
          </w:tcPr>
          <w:p>
            <w:pPr>
              <w:pStyle w:val="TableParagraph"/>
              <w:spacing w:before="5"/>
              <w:ind w:left="105"/>
              <w:rPr>
                <w:sz w:val="20"/>
              </w:rPr>
            </w:pPr>
            <w:r>
              <w:rPr>
                <w:spacing w:val="-4"/>
                <w:sz w:val="20"/>
              </w:rPr>
              <w:t>-</w:t>
            </w:r>
            <w:r>
              <w:rPr>
                <w:spacing w:val="-2"/>
                <w:sz w:val="20"/>
              </w:rPr>
              <w:t>4.189475</w:t>
            </w:r>
          </w:p>
        </w:tc>
        <w:tc>
          <w:tcPr>
            <w:tcW w:w="1541" w:type="dxa"/>
          </w:tcPr>
          <w:p>
            <w:pPr>
              <w:pStyle w:val="TableParagraph"/>
              <w:spacing w:before="2"/>
              <w:ind w:left="107"/>
              <w:rPr>
                <w:sz w:val="20"/>
              </w:rPr>
            </w:pPr>
            <w:r>
              <w:rPr>
                <w:rFonts w:ascii="Arial MT"/>
                <w:spacing w:val="-2"/>
                <w:sz w:val="20"/>
              </w:rPr>
              <w:t>-</w:t>
            </w:r>
            <w:r>
              <w:rPr>
                <w:spacing w:val="-2"/>
                <w:sz w:val="20"/>
              </w:rPr>
              <w:t>3.0038</w:t>
            </w:r>
          </w:p>
        </w:tc>
        <w:tc>
          <w:tcPr>
            <w:tcW w:w="1160" w:type="dxa"/>
          </w:tcPr>
          <w:p>
            <w:pPr>
              <w:pStyle w:val="TableParagraph"/>
              <w:spacing w:line="234" w:lineRule="exact"/>
              <w:ind w:left="107"/>
              <w:rPr>
                <w:rFonts w:ascii="Cambria"/>
                <w:sz w:val="20"/>
              </w:rPr>
            </w:pPr>
            <w:r>
              <w:rPr>
                <w:rFonts w:ascii="Cambria"/>
                <w:spacing w:val="-2"/>
                <w:sz w:val="20"/>
              </w:rPr>
              <w:t>Reject</w:t>
            </w:r>
          </w:p>
        </w:tc>
        <w:tc>
          <w:tcPr>
            <w:tcW w:w="1133" w:type="dxa"/>
          </w:tcPr>
          <w:p>
            <w:pPr>
              <w:pStyle w:val="TableParagraph"/>
              <w:spacing w:line="234" w:lineRule="exact"/>
              <w:ind w:left="105"/>
              <w:rPr>
                <w:rFonts w:ascii="Cambria"/>
                <w:sz w:val="20"/>
              </w:rPr>
            </w:pPr>
            <w:r>
              <w:rPr>
                <w:rFonts w:ascii="Cambria"/>
                <w:spacing w:val="-2"/>
                <w:sz w:val="20"/>
              </w:rPr>
              <w:t>Accept</w:t>
            </w:r>
          </w:p>
        </w:tc>
        <w:tc>
          <w:tcPr>
            <w:tcW w:w="2331" w:type="dxa"/>
          </w:tcPr>
          <w:p>
            <w:pPr>
              <w:pStyle w:val="TableParagraph"/>
              <w:spacing w:line="234" w:lineRule="exact"/>
              <w:ind w:left="104"/>
              <w:rPr>
                <w:rFonts w:ascii="Cambria"/>
                <w:sz w:val="20"/>
              </w:rPr>
            </w:pPr>
            <w:r>
              <w:rPr>
                <w:rFonts w:ascii="Cambria"/>
                <w:spacing w:val="-2"/>
                <w:sz w:val="20"/>
              </w:rPr>
              <w:t>STATIONARY</w:t>
            </w:r>
          </w:p>
        </w:tc>
      </w:tr>
      <w:tr>
        <w:trPr>
          <w:trHeight w:val="470" w:hRule="atLeast"/>
        </w:trPr>
        <w:tc>
          <w:tcPr>
            <w:tcW w:w="1541" w:type="dxa"/>
          </w:tcPr>
          <w:p>
            <w:pPr>
              <w:pStyle w:val="TableParagraph"/>
              <w:spacing w:line="234" w:lineRule="exact"/>
              <w:ind w:left="10" w:right="2"/>
              <w:jc w:val="center"/>
              <w:rPr>
                <w:rFonts w:ascii="Arial MT" w:hAnsi="Arial MT"/>
                <w:sz w:val="20"/>
              </w:rPr>
            </w:pPr>
            <w:r>
              <w:rPr>
                <w:rFonts w:ascii="Cambria" w:hAnsi="Cambria"/>
                <w:spacing w:val="-2"/>
                <w:sz w:val="20"/>
              </w:rPr>
              <w:t>δ</w:t>
            </w:r>
            <w:r>
              <w:rPr>
                <w:rFonts w:ascii="Arial MT" w:hAnsi="Arial MT"/>
                <w:spacing w:val="-2"/>
                <w:sz w:val="20"/>
              </w:rPr>
              <w:t>NEXTAS</w:t>
            </w:r>
          </w:p>
        </w:tc>
        <w:tc>
          <w:tcPr>
            <w:tcW w:w="1539" w:type="dxa"/>
          </w:tcPr>
          <w:p>
            <w:pPr>
              <w:pStyle w:val="TableParagraph"/>
              <w:spacing w:before="5"/>
              <w:ind w:left="105"/>
              <w:rPr>
                <w:sz w:val="20"/>
              </w:rPr>
            </w:pPr>
            <w:r>
              <w:rPr>
                <w:spacing w:val="-4"/>
                <w:sz w:val="20"/>
              </w:rPr>
              <w:t>-</w:t>
            </w:r>
            <w:r>
              <w:rPr>
                <w:spacing w:val="-2"/>
                <w:sz w:val="20"/>
              </w:rPr>
              <w:t>6.746095</w:t>
            </w:r>
          </w:p>
        </w:tc>
        <w:tc>
          <w:tcPr>
            <w:tcW w:w="1541" w:type="dxa"/>
          </w:tcPr>
          <w:p>
            <w:pPr>
              <w:pStyle w:val="TableParagraph"/>
              <w:spacing w:before="5"/>
              <w:ind w:left="107"/>
              <w:rPr>
                <w:sz w:val="20"/>
              </w:rPr>
            </w:pPr>
            <w:r>
              <w:rPr>
                <w:spacing w:val="-4"/>
                <w:sz w:val="20"/>
              </w:rPr>
              <w:t>-</w:t>
            </w:r>
            <w:r>
              <w:rPr>
                <w:spacing w:val="-2"/>
                <w:sz w:val="20"/>
              </w:rPr>
              <w:t>3.0038</w:t>
            </w:r>
          </w:p>
        </w:tc>
        <w:tc>
          <w:tcPr>
            <w:tcW w:w="1160" w:type="dxa"/>
          </w:tcPr>
          <w:p>
            <w:pPr>
              <w:pStyle w:val="TableParagraph"/>
              <w:spacing w:line="234" w:lineRule="exact"/>
              <w:ind w:left="107"/>
              <w:rPr>
                <w:rFonts w:ascii="Cambria"/>
                <w:sz w:val="20"/>
              </w:rPr>
            </w:pPr>
            <w:r>
              <w:rPr>
                <w:rFonts w:ascii="Cambria"/>
                <w:spacing w:val="-2"/>
                <w:sz w:val="20"/>
              </w:rPr>
              <w:t>Reject</w:t>
            </w:r>
          </w:p>
        </w:tc>
        <w:tc>
          <w:tcPr>
            <w:tcW w:w="1133" w:type="dxa"/>
          </w:tcPr>
          <w:p>
            <w:pPr>
              <w:pStyle w:val="TableParagraph"/>
              <w:spacing w:line="234" w:lineRule="exact"/>
              <w:ind w:left="105"/>
              <w:rPr>
                <w:rFonts w:ascii="Cambria"/>
                <w:sz w:val="20"/>
              </w:rPr>
            </w:pPr>
            <w:r>
              <w:rPr>
                <w:rFonts w:ascii="Cambria"/>
                <w:spacing w:val="-2"/>
                <w:sz w:val="20"/>
              </w:rPr>
              <w:t>Accept</w:t>
            </w:r>
          </w:p>
        </w:tc>
        <w:tc>
          <w:tcPr>
            <w:tcW w:w="2331" w:type="dxa"/>
          </w:tcPr>
          <w:p>
            <w:pPr>
              <w:pStyle w:val="TableParagraph"/>
              <w:spacing w:line="234" w:lineRule="exact"/>
              <w:ind w:left="104"/>
              <w:rPr>
                <w:rFonts w:ascii="Cambria"/>
                <w:sz w:val="20"/>
              </w:rPr>
            </w:pPr>
            <w:r>
              <w:rPr>
                <w:rFonts w:ascii="Cambria"/>
                <w:spacing w:val="-2"/>
                <w:sz w:val="20"/>
              </w:rPr>
              <w:t>STATIONARY</w:t>
            </w:r>
          </w:p>
        </w:tc>
      </w:tr>
    </w:tbl>
    <w:p>
      <w:pPr>
        <w:pStyle w:val="BodyText"/>
        <w:ind w:left="711"/>
      </w:pPr>
      <w:r>
        <w:rPr>
          <w:b/>
        </w:rPr>
        <w:t>Source:</w:t>
      </w:r>
      <w:r>
        <w:rPr>
          <w:b/>
          <w:spacing w:val="-4"/>
        </w:rPr>
        <w:t> </w:t>
      </w:r>
      <w:r>
        <w:rPr/>
        <w:t>Results</w:t>
      </w:r>
      <w:r>
        <w:rPr>
          <w:spacing w:val="-1"/>
        </w:rPr>
        <w:t> </w:t>
      </w:r>
      <w:r>
        <w:rPr/>
        <w:t>of</w:t>
      </w:r>
      <w:r>
        <w:rPr>
          <w:spacing w:val="-2"/>
        </w:rPr>
        <w:t> </w:t>
      </w:r>
      <w:r>
        <w:rPr/>
        <w:t>analysis</w:t>
      </w:r>
      <w:r>
        <w:rPr>
          <w:spacing w:val="-1"/>
        </w:rPr>
        <w:t> </w:t>
      </w:r>
      <w:r>
        <w:rPr/>
        <w:t>from E-view</w:t>
      </w:r>
      <w:r>
        <w:rPr>
          <w:spacing w:val="-2"/>
        </w:rPr>
        <w:t> </w:t>
      </w:r>
      <w:r>
        <w:rPr/>
        <w:t>statistical</w:t>
      </w:r>
      <w:r>
        <w:rPr>
          <w:spacing w:val="-1"/>
        </w:rPr>
        <w:t> </w:t>
      </w:r>
      <w:r>
        <w:rPr>
          <w:spacing w:val="-2"/>
        </w:rPr>
        <w:t>package</w:t>
      </w:r>
    </w:p>
    <w:p>
      <w:pPr>
        <w:pStyle w:val="BodyText"/>
        <w:spacing w:before="1"/>
      </w:pPr>
    </w:p>
    <w:p>
      <w:pPr>
        <w:pStyle w:val="BodyText"/>
        <w:spacing w:line="480" w:lineRule="auto"/>
        <w:ind w:left="711" w:right="468"/>
        <w:jc w:val="both"/>
        <w:rPr>
          <w:rFonts w:ascii="Cambria" w:hAnsi="Cambria"/>
        </w:rPr>
      </w:pPr>
      <w:r>
        <w:rPr>
          <w:rFonts w:ascii="Cambria" w:hAnsi="Cambria"/>
        </w:rPr>
        <w:t>Table 4.13.3 above shows that dependent variable and other variables are stationary at first</w:t>
      </w:r>
      <w:r>
        <w:rPr>
          <w:rFonts w:ascii="Cambria" w:hAnsi="Cambria"/>
          <w:spacing w:val="40"/>
        </w:rPr>
        <w:t> </w:t>
      </w:r>
      <w:r>
        <w:rPr>
          <w:rFonts w:ascii="Cambria" w:hAnsi="Cambria"/>
        </w:rPr>
        <w:t>difference This is proven by the ADF statistics of each variable (GDP, DFI, CAB, δRES and δNEXTAS) that shows a value greater than the 5% Mackinnon critical values respectively. Hence, we reject their </w:t>
      </w:r>
      <w:r>
        <w:rPr>
          <w:rFonts w:ascii="Cambria" w:hAnsi="Cambria"/>
          <w:position w:val="1"/>
        </w:rPr>
        <w:t>respective null hypothesis (H</w:t>
      </w:r>
      <w:r>
        <w:rPr>
          <w:rFonts w:ascii="Cambria" w:hAnsi="Cambria"/>
          <w:sz w:val="16"/>
        </w:rPr>
        <w:t>0</w:t>
      </w:r>
      <w:r>
        <w:rPr>
          <w:rFonts w:ascii="Cambria" w:hAnsi="Cambria"/>
          <w:position w:val="1"/>
        </w:rPr>
        <w:t>) and accept their alternate hypothesis (H</w:t>
      </w:r>
      <w:r>
        <w:rPr>
          <w:rFonts w:ascii="Cambria" w:hAnsi="Cambria"/>
          <w:sz w:val="16"/>
        </w:rPr>
        <w:t>1</w:t>
      </w:r>
      <w:r>
        <w:rPr>
          <w:rFonts w:ascii="Cambria" w:hAnsi="Cambria"/>
          <w:position w:val="1"/>
        </w:rPr>
        <w:t>).</w:t>
      </w:r>
    </w:p>
    <w:p>
      <w:pPr>
        <w:pStyle w:val="BodyText"/>
        <w:ind w:left="711"/>
      </w:pPr>
      <w:r>
        <w:rPr/>
        <w:t>The</w:t>
      </w:r>
      <w:r>
        <w:rPr>
          <w:spacing w:val="-4"/>
        </w:rPr>
        <w:t> </w:t>
      </w:r>
      <w:r>
        <w:rPr/>
        <w:t>table</w:t>
      </w:r>
      <w:r>
        <w:rPr>
          <w:spacing w:val="-1"/>
        </w:rPr>
        <w:t> </w:t>
      </w:r>
      <w:r>
        <w:rPr/>
        <w:t>below</w:t>
      </w:r>
      <w:r>
        <w:rPr>
          <w:spacing w:val="1"/>
        </w:rPr>
        <w:t> </w:t>
      </w:r>
      <w:r>
        <w:rPr/>
        <w:t>shows the summary</w:t>
      </w:r>
      <w:r>
        <w:rPr>
          <w:spacing w:val="-5"/>
        </w:rPr>
        <w:t> </w:t>
      </w:r>
      <w:r>
        <w:rPr/>
        <w:t>of the</w:t>
      </w:r>
      <w:r>
        <w:rPr>
          <w:spacing w:val="-1"/>
        </w:rPr>
        <w:t> </w:t>
      </w:r>
      <w:r>
        <w:rPr/>
        <w:t>stationary</w:t>
      </w:r>
      <w:r>
        <w:rPr>
          <w:spacing w:val="-5"/>
        </w:rPr>
        <w:t> </w:t>
      </w:r>
      <w:r>
        <w:rPr/>
        <w:t>test</w:t>
      </w:r>
      <w:r>
        <w:rPr>
          <w:spacing w:val="1"/>
        </w:rPr>
        <w:t> </w:t>
      </w:r>
      <w:r>
        <w:rPr/>
        <w:t>carried out</w:t>
      </w:r>
      <w:r>
        <w:rPr>
          <w:spacing w:val="1"/>
        </w:rPr>
        <w:t> </w:t>
      </w:r>
      <w:r>
        <w:rPr/>
        <w:t>on the</w:t>
      </w:r>
      <w:r>
        <w:rPr>
          <w:spacing w:val="2"/>
        </w:rPr>
        <w:t> </w:t>
      </w:r>
      <w:r>
        <w:rPr>
          <w:spacing w:val="-2"/>
        </w:rPr>
        <w:t>variables:</w:t>
      </w:r>
    </w:p>
    <w:p>
      <w:pPr>
        <w:pStyle w:val="BodyText"/>
      </w:pPr>
    </w:p>
    <w:p>
      <w:pPr>
        <w:pStyle w:val="BodyText"/>
        <w:spacing w:before="221"/>
      </w:pPr>
    </w:p>
    <w:p>
      <w:pPr>
        <w:pStyle w:val="Heading6"/>
        <w:jc w:val="left"/>
      </w:pPr>
      <w:r>
        <w:rPr/>
        <w:t>TABLE</w:t>
      </w:r>
      <w:r>
        <w:rPr>
          <w:spacing w:val="-2"/>
        </w:rPr>
        <w:t> </w:t>
      </w:r>
      <w:r>
        <w:rPr/>
        <w:t>4.13.4</w:t>
      </w:r>
      <w:r>
        <w:rPr>
          <w:spacing w:val="-1"/>
        </w:rPr>
        <w:t> </w:t>
      </w:r>
      <w:r>
        <w:rPr/>
        <w:t>Summary</w:t>
      </w:r>
      <w:r>
        <w:rPr>
          <w:spacing w:val="-2"/>
        </w:rPr>
        <w:t> </w:t>
      </w:r>
      <w:r>
        <w:rPr/>
        <w:t>of Stationarity</w:t>
      </w:r>
      <w:r>
        <w:rPr>
          <w:spacing w:val="-1"/>
        </w:rPr>
        <w:t> </w:t>
      </w:r>
      <w:r>
        <w:rPr>
          <w:spacing w:val="-4"/>
        </w:rPr>
        <w:t>test</w:t>
      </w:r>
    </w:p>
    <w:p>
      <w:pPr>
        <w:pStyle w:val="BodyText"/>
        <w:spacing w:before="3"/>
        <w:rPr>
          <w:b/>
          <w:sz w:val="19"/>
        </w:rPr>
      </w:pPr>
    </w:p>
    <w:tbl>
      <w:tblPr>
        <w:tblW w:w="0" w:type="auto"/>
        <w:jc w:val="left"/>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44"/>
        <w:gridCol w:w="3228"/>
      </w:tblGrid>
      <w:tr>
        <w:trPr>
          <w:trHeight w:val="827" w:hRule="atLeast"/>
        </w:trPr>
        <w:tc>
          <w:tcPr>
            <w:tcW w:w="3944" w:type="dxa"/>
          </w:tcPr>
          <w:p>
            <w:pPr>
              <w:pStyle w:val="TableParagraph"/>
              <w:spacing w:line="275" w:lineRule="exact"/>
              <w:ind w:left="9" w:right="7"/>
              <w:jc w:val="center"/>
              <w:rPr>
                <w:sz w:val="24"/>
              </w:rPr>
            </w:pPr>
            <w:r>
              <w:rPr>
                <w:spacing w:val="-2"/>
                <w:sz w:val="24"/>
              </w:rPr>
              <w:t>VARIABLE</w:t>
            </w:r>
          </w:p>
        </w:tc>
        <w:tc>
          <w:tcPr>
            <w:tcW w:w="3228" w:type="dxa"/>
          </w:tcPr>
          <w:p>
            <w:pPr>
              <w:pStyle w:val="TableParagraph"/>
              <w:spacing w:line="275" w:lineRule="exact"/>
              <w:ind w:left="9"/>
              <w:jc w:val="center"/>
              <w:rPr>
                <w:sz w:val="24"/>
              </w:rPr>
            </w:pPr>
            <w:r>
              <w:rPr>
                <w:sz w:val="24"/>
              </w:rPr>
              <w:t>ORDER OF</w:t>
            </w:r>
            <w:r>
              <w:rPr>
                <w:spacing w:val="-2"/>
                <w:sz w:val="24"/>
              </w:rPr>
              <w:t> STATIONARITY</w:t>
            </w:r>
          </w:p>
          <w:p>
            <w:pPr>
              <w:pStyle w:val="TableParagraph"/>
              <w:spacing w:before="137"/>
              <w:ind w:left="9" w:right="2"/>
              <w:jc w:val="center"/>
              <w:rPr>
                <w:sz w:val="24"/>
              </w:rPr>
            </w:pPr>
            <w:r>
              <w:rPr>
                <w:spacing w:val="-2"/>
                <w:sz w:val="24"/>
              </w:rPr>
              <w:t>(ADF)</w:t>
            </w:r>
          </w:p>
        </w:tc>
      </w:tr>
      <w:tr>
        <w:trPr>
          <w:trHeight w:val="412" w:hRule="atLeast"/>
        </w:trPr>
        <w:tc>
          <w:tcPr>
            <w:tcW w:w="3944" w:type="dxa"/>
          </w:tcPr>
          <w:p>
            <w:pPr>
              <w:pStyle w:val="TableParagraph"/>
              <w:spacing w:line="275" w:lineRule="exact"/>
              <w:ind w:left="9" w:right="4"/>
              <w:jc w:val="center"/>
              <w:rPr>
                <w:sz w:val="24"/>
              </w:rPr>
            </w:pPr>
            <w:r>
              <w:rPr>
                <w:spacing w:val="-5"/>
                <w:sz w:val="24"/>
              </w:rPr>
              <w:t>KFW</w:t>
            </w:r>
          </w:p>
        </w:tc>
        <w:tc>
          <w:tcPr>
            <w:tcW w:w="3228" w:type="dxa"/>
          </w:tcPr>
          <w:p>
            <w:pPr>
              <w:pStyle w:val="TableParagraph"/>
              <w:spacing w:line="275" w:lineRule="exact"/>
              <w:ind w:left="9"/>
              <w:jc w:val="center"/>
              <w:rPr>
                <w:sz w:val="24"/>
              </w:rPr>
            </w:pPr>
            <w:r>
              <w:rPr>
                <w:spacing w:val="-4"/>
                <w:sz w:val="24"/>
              </w:rPr>
              <w:t>1(1)</w:t>
            </w:r>
          </w:p>
        </w:tc>
      </w:tr>
      <w:tr>
        <w:trPr>
          <w:trHeight w:val="414" w:hRule="atLeast"/>
        </w:trPr>
        <w:tc>
          <w:tcPr>
            <w:tcW w:w="3944" w:type="dxa"/>
          </w:tcPr>
          <w:p>
            <w:pPr>
              <w:pStyle w:val="TableParagraph"/>
              <w:spacing w:before="1"/>
              <w:ind w:left="9" w:right="2"/>
              <w:jc w:val="center"/>
              <w:rPr>
                <w:sz w:val="24"/>
              </w:rPr>
            </w:pPr>
            <w:r>
              <w:rPr>
                <w:spacing w:val="-5"/>
                <w:sz w:val="24"/>
              </w:rPr>
              <w:t>KFM</w:t>
            </w:r>
          </w:p>
        </w:tc>
        <w:tc>
          <w:tcPr>
            <w:tcW w:w="3228" w:type="dxa"/>
          </w:tcPr>
          <w:p>
            <w:pPr>
              <w:pStyle w:val="TableParagraph"/>
              <w:spacing w:before="1"/>
              <w:ind w:left="9"/>
              <w:jc w:val="center"/>
              <w:rPr>
                <w:sz w:val="24"/>
              </w:rPr>
            </w:pPr>
            <w:r>
              <w:rPr>
                <w:spacing w:val="-4"/>
                <w:sz w:val="24"/>
              </w:rPr>
              <w:t>1(1)</w:t>
            </w:r>
          </w:p>
        </w:tc>
      </w:tr>
      <w:tr>
        <w:trPr>
          <w:trHeight w:val="415" w:hRule="atLeast"/>
        </w:trPr>
        <w:tc>
          <w:tcPr>
            <w:tcW w:w="3944" w:type="dxa"/>
          </w:tcPr>
          <w:p>
            <w:pPr>
              <w:pStyle w:val="TableParagraph"/>
              <w:spacing w:line="275" w:lineRule="exact"/>
              <w:ind w:left="9" w:right="4"/>
              <w:jc w:val="center"/>
              <w:rPr>
                <w:sz w:val="24"/>
              </w:rPr>
            </w:pPr>
            <w:r>
              <w:rPr>
                <w:spacing w:val="-5"/>
                <w:sz w:val="24"/>
              </w:rPr>
              <w:t>DOP</w:t>
            </w:r>
          </w:p>
        </w:tc>
        <w:tc>
          <w:tcPr>
            <w:tcW w:w="3228" w:type="dxa"/>
          </w:tcPr>
          <w:p>
            <w:pPr>
              <w:pStyle w:val="TableParagraph"/>
              <w:spacing w:line="275" w:lineRule="exact"/>
              <w:ind w:left="9"/>
              <w:jc w:val="center"/>
              <w:rPr>
                <w:sz w:val="24"/>
              </w:rPr>
            </w:pPr>
            <w:r>
              <w:rPr>
                <w:spacing w:val="-4"/>
                <w:sz w:val="24"/>
              </w:rPr>
              <w:t>1(1)</w:t>
            </w:r>
          </w:p>
        </w:tc>
      </w:tr>
      <w:tr>
        <w:trPr>
          <w:trHeight w:val="412" w:hRule="atLeast"/>
        </w:trPr>
        <w:tc>
          <w:tcPr>
            <w:tcW w:w="3944" w:type="dxa"/>
          </w:tcPr>
          <w:p>
            <w:pPr>
              <w:pStyle w:val="TableParagraph"/>
              <w:spacing w:line="275" w:lineRule="exact"/>
              <w:ind w:left="9" w:right="1"/>
              <w:jc w:val="center"/>
              <w:rPr>
                <w:sz w:val="24"/>
              </w:rPr>
            </w:pPr>
            <w:r>
              <w:rPr>
                <w:spacing w:val="-5"/>
                <w:sz w:val="24"/>
              </w:rPr>
              <w:t>INF</w:t>
            </w:r>
          </w:p>
        </w:tc>
        <w:tc>
          <w:tcPr>
            <w:tcW w:w="3228" w:type="dxa"/>
          </w:tcPr>
          <w:p>
            <w:pPr>
              <w:pStyle w:val="TableParagraph"/>
              <w:spacing w:line="275" w:lineRule="exact"/>
              <w:ind w:left="9"/>
              <w:jc w:val="center"/>
              <w:rPr>
                <w:sz w:val="24"/>
              </w:rPr>
            </w:pPr>
            <w:r>
              <w:rPr>
                <w:spacing w:val="-4"/>
                <w:sz w:val="24"/>
              </w:rPr>
              <w:t>1(1)</w:t>
            </w:r>
          </w:p>
        </w:tc>
      </w:tr>
      <w:tr>
        <w:trPr>
          <w:trHeight w:val="414" w:hRule="atLeast"/>
        </w:trPr>
        <w:tc>
          <w:tcPr>
            <w:tcW w:w="3944" w:type="dxa"/>
          </w:tcPr>
          <w:p>
            <w:pPr>
              <w:pStyle w:val="TableParagraph"/>
              <w:spacing w:before="1"/>
              <w:ind w:left="9"/>
              <w:jc w:val="center"/>
              <w:rPr>
                <w:sz w:val="24"/>
              </w:rPr>
            </w:pPr>
            <w:r>
              <w:rPr>
                <w:spacing w:val="-2"/>
                <w:sz w:val="24"/>
              </w:rPr>
              <w:t>δEXDEBT</w:t>
            </w:r>
          </w:p>
        </w:tc>
        <w:tc>
          <w:tcPr>
            <w:tcW w:w="3228" w:type="dxa"/>
          </w:tcPr>
          <w:p>
            <w:pPr>
              <w:pStyle w:val="TableParagraph"/>
              <w:spacing w:before="1"/>
              <w:ind w:left="9"/>
              <w:jc w:val="center"/>
              <w:rPr>
                <w:sz w:val="24"/>
              </w:rPr>
            </w:pPr>
            <w:r>
              <w:rPr>
                <w:spacing w:val="-4"/>
                <w:sz w:val="24"/>
              </w:rPr>
              <w:t>1(1)</w:t>
            </w:r>
          </w:p>
        </w:tc>
      </w:tr>
      <w:tr>
        <w:trPr>
          <w:trHeight w:val="414" w:hRule="atLeast"/>
        </w:trPr>
        <w:tc>
          <w:tcPr>
            <w:tcW w:w="3944" w:type="dxa"/>
          </w:tcPr>
          <w:p>
            <w:pPr>
              <w:pStyle w:val="TableParagraph"/>
              <w:spacing w:line="275" w:lineRule="exact"/>
              <w:ind w:left="9" w:right="1"/>
              <w:jc w:val="center"/>
              <w:rPr>
                <w:sz w:val="24"/>
              </w:rPr>
            </w:pPr>
            <w:r>
              <w:rPr>
                <w:spacing w:val="-5"/>
                <w:sz w:val="24"/>
              </w:rPr>
              <w:t>DR</w:t>
            </w:r>
          </w:p>
        </w:tc>
        <w:tc>
          <w:tcPr>
            <w:tcW w:w="3228" w:type="dxa"/>
          </w:tcPr>
          <w:p>
            <w:pPr>
              <w:pStyle w:val="TableParagraph"/>
              <w:spacing w:line="275" w:lineRule="exact"/>
              <w:ind w:left="9"/>
              <w:jc w:val="center"/>
              <w:rPr>
                <w:sz w:val="24"/>
              </w:rPr>
            </w:pPr>
            <w:r>
              <w:rPr>
                <w:spacing w:val="-4"/>
                <w:sz w:val="24"/>
              </w:rPr>
              <w:t>1(1)</w:t>
            </w:r>
          </w:p>
        </w:tc>
      </w:tr>
      <w:tr>
        <w:trPr>
          <w:trHeight w:val="412" w:hRule="atLeast"/>
        </w:trPr>
        <w:tc>
          <w:tcPr>
            <w:tcW w:w="3944" w:type="dxa"/>
          </w:tcPr>
          <w:p>
            <w:pPr>
              <w:pStyle w:val="TableParagraph"/>
              <w:spacing w:line="275" w:lineRule="exact"/>
              <w:ind w:left="9" w:right="4"/>
              <w:jc w:val="center"/>
              <w:rPr>
                <w:sz w:val="24"/>
              </w:rPr>
            </w:pPr>
            <w:r>
              <w:rPr>
                <w:spacing w:val="-5"/>
                <w:sz w:val="24"/>
              </w:rPr>
              <w:t>DOP</w:t>
            </w:r>
          </w:p>
        </w:tc>
        <w:tc>
          <w:tcPr>
            <w:tcW w:w="3228" w:type="dxa"/>
          </w:tcPr>
          <w:p>
            <w:pPr>
              <w:pStyle w:val="TableParagraph"/>
              <w:spacing w:line="275" w:lineRule="exact"/>
              <w:ind w:left="9"/>
              <w:jc w:val="center"/>
              <w:rPr>
                <w:sz w:val="24"/>
              </w:rPr>
            </w:pPr>
            <w:r>
              <w:rPr>
                <w:spacing w:val="-4"/>
                <w:sz w:val="24"/>
              </w:rPr>
              <w:t>1(1)</w:t>
            </w:r>
          </w:p>
        </w:tc>
      </w:tr>
      <w:tr>
        <w:trPr>
          <w:trHeight w:val="414" w:hRule="atLeast"/>
        </w:trPr>
        <w:tc>
          <w:tcPr>
            <w:tcW w:w="3944" w:type="dxa"/>
          </w:tcPr>
          <w:p>
            <w:pPr>
              <w:pStyle w:val="TableParagraph"/>
              <w:spacing w:before="1"/>
              <w:ind w:left="9" w:right="1"/>
              <w:jc w:val="center"/>
              <w:rPr>
                <w:sz w:val="24"/>
              </w:rPr>
            </w:pPr>
            <w:r>
              <w:rPr>
                <w:spacing w:val="-2"/>
                <w:sz w:val="24"/>
              </w:rPr>
              <w:t>PRIVCR</w:t>
            </w:r>
          </w:p>
        </w:tc>
        <w:tc>
          <w:tcPr>
            <w:tcW w:w="3228" w:type="dxa"/>
          </w:tcPr>
          <w:p>
            <w:pPr>
              <w:pStyle w:val="TableParagraph"/>
              <w:spacing w:before="1"/>
              <w:ind w:left="9"/>
              <w:jc w:val="center"/>
              <w:rPr>
                <w:sz w:val="24"/>
              </w:rPr>
            </w:pPr>
            <w:r>
              <w:rPr>
                <w:spacing w:val="-4"/>
                <w:sz w:val="24"/>
              </w:rPr>
              <w:t>1(1)</w:t>
            </w:r>
          </w:p>
        </w:tc>
      </w:tr>
      <w:tr>
        <w:trPr>
          <w:trHeight w:val="414" w:hRule="atLeast"/>
        </w:trPr>
        <w:tc>
          <w:tcPr>
            <w:tcW w:w="3944" w:type="dxa"/>
          </w:tcPr>
          <w:p>
            <w:pPr>
              <w:pStyle w:val="TableParagraph"/>
              <w:spacing w:line="275" w:lineRule="exact"/>
              <w:ind w:left="9" w:right="2"/>
              <w:jc w:val="center"/>
              <w:rPr>
                <w:sz w:val="24"/>
              </w:rPr>
            </w:pPr>
            <w:r>
              <w:rPr>
                <w:spacing w:val="-2"/>
                <w:sz w:val="24"/>
              </w:rPr>
              <w:t>UDIRD</w:t>
            </w:r>
          </w:p>
        </w:tc>
        <w:tc>
          <w:tcPr>
            <w:tcW w:w="3228" w:type="dxa"/>
          </w:tcPr>
          <w:p>
            <w:pPr>
              <w:pStyle w:val="TableParagraph"/>
              <w:spacing w:line="275" w:lineRule="exact"/>
              <w:ind w:left="9"/>
              <w:jc w:val="center"/>
              <w:rPr>
                <w:sz w:val="24"/>
              </w:rPr>
            </w:pPr>
            <w:r>
              <w:rPr>
                <w:spacing w:val="-4"/>
                <w:sz w:val="24"/>
              </w:rPr>
              <w:t>1(1)</w:t>
            </w:r>
          </w:p>
        </w:tc>
      </w:tr>
      <w:tr>
        <w:trPr>
          <w:trHeight w:val="414" w:hRule="atLeast"/>
        </w:trPr>
        <w:tc>
          <w:tcPr>
            <w:tcW w:w="3944" w:type="dxa"/>
          </w:tcPr>
          <w:p>
            <w:pPr>
              <w:pStyle w:val="TableParagraph"/>
              <w:spacing w:line="275" w:lineRule="exact"/>
              <w:ind w:left="9" w:right="2"/>
              <w:jc w:val="center"/>
              <w:rPr>
                <w:sz w:val="24"/>
              </w:rPr>
            </w:pPr>
            <w:r>
              <w:rPr>
                <w:spacing w:val="-4"/>
                <w:sz w:val="24"/>
              </w:rPr>
              <w:t>GOCE</w:t>
            </w:r>
          </w:p>
        </w:tc>
        <w:tc>
          <w:tcPr>
            <w:tcW w:w="3228" w:type="dxa"/>
          </w:tcPr>
          <w:p>
            <w:pPr>
              <w:pStyle w:val="TableParagraph"/>
              <w:spacing w:line="275" w:lineRule="exact"/>
              <w:ind w:left="9"/>
              <w:jc w:val="center"/>
              <w:rPr>
                <w:sz w:val="24"/>
              </w:rPr>
            </w:pPr>
            <w:r>
              <w:rPr>
                <w:spacing w:val="-4"/>
                <w:sz w:val="24"/>
              </w:rPr>
              <w:t>1(1)</w:t>
            </w:r>
          </w:p>
        </w:tc>
      </w:tr>
    </w:tbl>
    <w:p>
      <w:pPr>
        <w:spacing w:after="0" w:line="275" w:lineRule="exact"/>
        <w:jc w:val="center"/>
        <w:rPr>
          <w:sz w:val="24"/>
        </w:rPr>
        <w:sectPr>
          <w:pgSz w:w="11910" w:h="16840"/>
          <w:pgMar w:header="0" w:footer="979" w:top="1340" w:bottom="1240" w:left="280" w:right="0"/>
        </w:sectPr>
      </w:pPr>
    </w:p>
    <w:tbl>
      <w:tblPr>
        <w:tblW w:w="0" w:type="auto"/>
        <w:jc w:val="left"/>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44"/>
        <w:gridCol w:w="3228"/>
      </w:tblGrid>
      <w:tr>
        <w:trPr>
          <w:trHeight w:val="415" w:hRule="atLeast"/>
        </w:trPr>
        <w:tc>
          <w:tcPr>
            <w:tcW w:w="3944" w:type="dxa"/>
          </w:tcPr>
          <w:p>
            <w:pPr>
              <w:pStyle w:val="TableParagraph"/>
              <w:spacing w:line="275" w:lineRule="exact"/>
              <w:ind w:left="9" w:right="4"/>
              <w:jc w:val="center"/>
              <w:rPr>
                <w:sz w:val="24"/>
              </w:rPr>
            </w:pPr>
            <w:r>
              <w:rPr>
                <w:spacing w:val="-5"/>
                <w:sz w:val="24"/>
              </w:rPr>
              <w:t>GDP</w:t>
            </w:r>
          </w:p>
        </w:tc>
        <w:tc>
          <w:tcPr>
            <w:tcW w:w="3228" w:type="dxa"/>
          </w:tcPr>
          <w:p>
            <w:pPr>
              <w:pStyle w:val="TableParagraph"/>
              <w:spacing w:line="275" w:lineRule="exact"/>
              <w:ind w:left="9"/>
              <w:jc w:val="center"/>
              <w:rPr>
                <w:sz w:val="24"/>
              </w:rPr>
            </w:pPr>
            <w:r>
              <w:rPr>
                <w:spacing w:val="-4"/>
                <w:sz w:val="24"/>
              </w:rPr>
              <w:t>1(1)</w:t>
            </w:r>
          </w:p>
        </w:tc>
      </w:tr>
      <w:tr>
        <w:trPr>
          <w:trHeight w:val="412" w:hRule="atLeast"/>
        </w:trPr>
        <w:tc>
          <w:tcPr>
            <w:tcW w:w="3944" w:type="dxa"/>
          </w:tcPr>
          <w:p>
            <w:pPr>
              <w:pStyle w:val="TableParagraph"/>
              <w:spacing w:line="275" w:lineRule="exact"/>
              <w:ind w:left="9"/>
              <w:jc w:val="center"/>
              <w:rPr>
                <w:sz w:val="24"/>
              </w:rPr>
            </w:pPr>
            <w:r>
              <w:rPr>
                <w:spacing w:val="-5"/>
                <w:sz w:val="24"/>
              </w:rPr>
              <w:t>DFI</w:t>
            </w:r>
          </w:p>
        </w:tc>
        <w:tc>
          <w:tcPr>
            <w:tcW w:w="3228" w:type="dxa"/>
          </w:tcPr>
          <w:p>
            <w:pPr>
              <w:pStyle w:val="TableParagraph"/>
              <w:spacing w:line="275" w:lineRule="exact"/>
              <w:ind w:left="9"/>
              <w:jc w:val="center"/>
              <w:rPr>
                <w:sz w:val="24"/>
              </w:rPr>
            </w:pPr>
            <w:r>
              <w:rPr>
                <w:spacing w:val="-4"/>
                <w:sz w:val="24"/>
              </w:rPr>
              <w:t>1(1)</w:t>
            </w:r>
          </w:p>
        </w:tc>
      </w:tr>
      <w:tr>
        <w:trPr>
          <w:trHeight w:val="414" w:hRule="atLeast"/>
        </w:trPr>
        <w:tc>
          <w:tcPr>
            <w:tcW w:w="3944" w:type="dxa"/>
          </w:tcPr>
          <w:p>
            <w:pPr>
              <w:pStyle w:val="TableParagraph"/>
              <w:spacing w:line="275" w:lineRule="exact"/>
              <w:ind w:left="9" w:right="3"/>
              <w:jc w:val="center"/>
              <w:rPr>
                <w:sz w:val="24"/>
              </w:rPr>
            </w:pPr>
            <w:r>
              <w:rPr>
                <w:spacing w:val="-5"/>
                <w:sz w:val="24"/>
              </w:rPr>
              <w:t>CAB</w:t>
            </w:r>
          </w:p>
        </w:tc>
        <w:tc>
          <w:tcPr>
            <w:tcW w:w="3228" w:type="dxa"/>
          </w:tcPr>
          <w:p>
            <w:pPr>
              <w:pStyle w:val="TableParagraph"/>
              <w:spacing w:line="275" w:lineRule="exact"/>
              <w:ind w:left="9"/>
              <w:jc w:val="center"/>
              <w:rPr>
                <w:sz w:val="24"/>
              </w:rPr>
            </w:pPr>
            <w:r>
              <w:rPr>
                <w:spacing w:val="-4"/>
                <w:sz w:val="24"/>
              </w:rPr>
              <w:t>1(1)</w:t>
            </w:r>
          </w:p>
        </w:tc>
      </w:tr>
      <w:tr>
        <w:trPr>
          <w:trHeight w:val="414" w:hRule="atLeast"/>
        </w:trPr>
        <w:tc>
          <w:tcPr>
            <w:tcW w:w="3944" w:type="dxa"/>
          </w:tcPr>
          <w:p>
            <w:pPr>
              <w:pStyle w:val="TableParagraph"/>
              <w:spacing w:line="275" w:lineRule="exact"/>
              <w:ind w:left="9" w:right="1"/>
              <w:jc w:val="center"/>
              <w:rPr>
                <w:sz w:val="24"/>
              </w:rPr>
            </w:pPr>
            <w:r>
              <w:rPr>
                <w:spacing w:val="-4"/>
                <w:sz w:val="24"/>
              </w:rPr>
              <w:t>δRES</w:t>
            </w:r>
          </w:p>
        </w:tc>
        <w:tc>
          <w:tcPr>
            <w:tcW w:w="3228" w:type="dxa"/>
          </w:tcPr>
          <w:p>
            <w:pPr>
              <w:pStyle w:val="TableParagraph"/>
              <w:spacing w:line="275" w:lineRule="exact"/>
              <w:ind w:left="9"/>
              <w:jc w:val="center"/>
              <w:rPr>
                <w:sz w:val="24"/>
              </w:rPr>
            </w:pPr>
            <w:r>
              <w:rPr>
                <w:spacing w:val="-4"/>
                <w:sz w:val="24"/>
              </w:rPr>
              <w:t>1(1)</w:t>
            </w:r>
          </w:p>
        </w:tc>
      </w:tr>
      <w:tr>
        <w:trPr>
          <w:trHeight w:val="412" w:hRule="atLeast"/>
        </w:trPr>
        <w:tc>
          <w:tcPr>
            <w:tcW w:w="3944" w:type="dxa"/>
          </w:tcPr>
          <w:p>
            <w:pPr>
              <w:pStyle w:val="TableParagraph"/>
              <w:spacing w:line="275" w:lineRule="exact"/>
              <w:ind w:left="9" w:right="5"/>
              <w:jc w:val="center"/>
              <w:rPr>
                <w:sz w:val="24"/>
              </w:rPr>
            </w:pPr>
            <w:r>
              <w:rPr>
                <w:spacing w:val="-2"/>
                <w:sz w:val="24"/>
              </w:rPr>
              <w:t>δNEXTAS</w:t>
            </w:r>
          </w:p>
        </w:tc>
        <w:tc>
          <w:tcPr>
            <w:tcW w:w="3228" w:type="dxa"/>
          </w:tcPr>
          <w:p>
            <w:pPr>
              <w:pStyle w:val="TableParagraph"/>
              <w:spacing w:line="275" w:lineRule="exact"/>
              <w:ind w:left="9"/>
              <w:jc w:val="center"/>
              <w:rPr>
                <w:sz w:val="24"/>
              </w:rPr>
            </w:pPr>
            <w:r>
              <w:rPr>
                <w:spacing w:val="-4"/>
                <w:sz w:val="24"/>
              </w:rPr>
              <w:t>1(1)</w:t>
            </w:r>
          </w:p>
        </w:tc>
      </w:tr>
    </w:tbl>
    <w:p>
      <w:pPr>
        <w:pStyle w:val="BodyText"/>
        <w:spacing w:before="23"/>
        <w:ind w:left="780"/>
      </w:pPr>
      <w:r>
        <w:rPr/>
        <w:t>Source:</w:t>
      </w:r>
      <w:r>
        <w:rPr>
          <w:spacing w:val="-1"/>
        </w:rPr>
        <w:t> </w:t>
      </w:r>
      <w:r>
        <w:rPr/>
        <w:t>Computation,</w:t>
      </w:r>
      <w:r>
        <w:rPr>
          <w:spacing w:val="-1"/>
        </w:rPr>
        <w:t> </w:t>
      </w:r>
      <w:r>
        <w:rPr/>
        <w:t>using</w:t>
      </w:r>
      <w:r>
        <w:rPr>
          <w:spacing w:val="-4"/>
        </w:rPr>
        <w:t> </w:t>
      </w:r>
      <w:r>
        <w:rPr/>
        <w:t>E-view</w:t>
      </w:r>
      <w:r>
        <w:rPr>
          <w:spacing w:val="-1"/>
        </w:rPr>
        <w:t> </w:t>
      </w:r>
      <w:r>
        <w:rPr/>
        <w:t>statistical</w:t>
      </w:r>
      <w:r>
        <w:rPr>
          <w:spacing w:val="-1"/>
        </w:rPr>
        <w:t> </w:t>
      </w:r>
      <w:r>
        <w:rPr>
          <w:spacing w:val="-2"/>
        </w:rPr>
        <w:t>package</w:t>
      </w:r>
    </w:p>
    <w:p>
      <w:pPr>
        <w:pStyle w:val="BodyText"/>
        <w:spacing w:line="480" w:lineRule="auto" w:before="276"/>
        <w:ind w:left="711" w:right="585"/>
      </w:pPr>
      <w:r>
        <w:rPr>
          <w:b/>
        </w:rPr>
        <w:t>Table </w:t>
      </w:r>
      <w:r>
        <w:rPr/>
        <w:t>4.13.4 above shows the levels of stationary for the variables. The ECM 1 to ECM 12 of the twelve equations</w:t>
      </w:r>
      <w:r>
        <w:rPr>
          <w:spacing w:val="-1"/>
        </w:rPr>
        <w:t> </w:t>
      </w:r>
      <w:r>
        <w:rPr/>
        <w:t>is</w:t>
      </w:r>
      <w:r>
        <w:rPr>
          <w:spacing w:val="-2"/>
        </w:rPr>
        <w:t> </w:t>
      </w:r>
      <w:r>
        <w:rPr/>
        <w:t>all</w:t>
      </w:r>
      <w:r>
        <w:rPr>
          <w:spacing w:val="-2"/>
        </w:rPr>
        <w:t> </w:t>
      </w:r>
      <w:r>
        <w:rPr/>
        <w:t>stationary</w:t>
      </w:r>
      <w:r>
        <w:rPr>
          <w:spacing w:val="-5"/>
        </w:rPr>
        <w:t> </w:t>
      </w:r>
      <w:r>
        <w:rPr/>
        <w:t>at</w:t>
      </w:r>
      <w:r>
        <w:rPr>
          <w:spacing w:val="-2"/>
        </w:rPr>
        <w:t> </w:t>
      </w:r>
      <w:r>
        <w:rPr/>
        <w:t>level 1(0).</w:t>
      </w:r>
      <w:r>
        <w:rPr>
          <w:spacing w:val="-2"/>
        </w:rPr>
        <w:t> </w:t>
      </w:r>
      <w:r>
        <w:rPr/>
        <w:t>Having</w:t>
      </w:r>
      <w:r>
        <w:rPr>
          <w:spacing w:val="-5"/>
        </w:rPr>
        <w:t> </w:t>
      </w:r>
      <w:r>
        <w:rPr/>
        <w:t>established</w:t>
      </w:r>
      <w:r>
        <w:rPr>
          <w:spacing w:val="-2"/>
        </w:rPr>
        <w:t> </w:t>
      </w:r>
      <w:r>
        <w:rPr/>
        <w:t>the</w:t>
      </w:r>
      <w:r>
        <w:rPr>
          <w:spacing w:val="-2"/>
        </w:rPr>
        <w:t> </w:t>
      </w:r>
      <w:r>
        <w:rPr/>
        <w:t>stationarity</w:t>
      </w:r>
      <w:r>
        <w:rPr>
          <w:spacing w:val="-5"/>
        </w:rPr>
        <w:t> </w:t>
      </w:r>
      <w:r>
        <w:rPr/>
        <w:t>of</w:t>
      </w:r>
      <w:r>
        <w:rPr>
          <w:spacing w:val="-2"/>
        </w:rPr>
        <w:t> </w:t>
      </w:r>
      <w:r>
        <w:rPr/>
        <w:t>the</w:t>
      </w:r>
      <w:r>
        <w:rPr>
          <w:spacing w:val="-4"/>
        </w:rPr>
        <w:t> </w:t>
      </w:r>
      <w:r>
        <w:rPr/>
        <w:t>variables, the</w:t>
      </w:r>
      <w:r>
        <w:rPr>
          <w:spacing w:val="-2"/>
        </w:rPr>
        <w:t> </w:t>
      </w:r>
      <w:r>
        <w:rPr/>
        <w:t>next</w:t>
      </w:r>
      <w:r>
        <w:rPr>
          <w:spacing w:val="-2"/>
        </w:rPr>
        <w:t> </w:t>
      </w:r>
      <w:r>
        <w:rPr/>
        <w:t>stage</w:t>
      </w:r>
      <w:r>
        <w:rPr>
          <w:spacing w:val="-3"/>
        </w:rPr>
        <w:t> </w:t>
      </w:r>
      <w:r>
        <w:rPr/>
        <w:t>is to proceed to perform the Cointegration test. The cointegration test</w:t>
      </w:r>
    </w:p>
    <w:p>
      <w:pPr>
        <w:pStyle w:val="BodyText"/>
        <w:ind w:left="711"/>
      </w:pPr>
      <w:r>
        <w:rPr/>
        <w:t>Is</w:t>
      </w:r>
      <w:r>
        <w:rPr>
          <w:spacing w:val="-3"/>
        </w:rPr>
        <w:t> </w:t>
      </w:r>
      <w:r>
        <w:rPr/>
        <w:t>perfomed</w:t>
      </w:r>
      <w:r>
        <w:rPr>
          <w:spacing w:val="-2"/>
        </w:rPr>
        <w:t> </w:t>
      </w:r>
      <w:r>
        <w:rPr/>
        <w:t>because</w:t>
      </w:r>
      <w:r>
        <w:rPr>
          <w:spacing w:val="-2"/>
        </w:rPr>
        <w:t> </w:t>
      </w:r>
      <w:r>
        <w:rPr/>
        <w:t>the variables</w:t>
      </w:r>
      <w:r>
        <w:rPr>
          <w:spacing w:val="-1"/>
        </w:rPr>
        <w:t> </w:t>
      </w:r>
      <w:r>
        <w:rPr/>
        <w:t>are</w:t>
      </w:r>
      <w:r>
        <w:rPr>
          <w:spacing w:val="-3"/>
        </w:rPr>
        <w:t> </w:t>
      </w:r>
      <w:r>
        <w:rPr/>
        <w:t>stationary</w:t>
      </w:r>
      <w:r>
        <w:rPr>
          <w:spacing w:val="-3"/>
        </w:rPr>
        <w:t> </w:t>
      </w:r>
      <w:r>
        <w:rPr/>
        <w:t>at</w:t>
      </w:r>
      <w:r>
        <w:rPr>
          <w:spacing w:val="-1"/>
        </w:rPr>
        <w:t> </w:t>
      </w:r>
      <w:r>
        <w:rPr/>
        <w:t>different</w:t>
      </w:r>
      <w:r>
        <w:rPr>
          <w:spacing w:val="-1"/>
        </w:rPr>
        <w:t> </w:t>
      </w:r>
      <w:r>
        <w:rPr>
          <w:spacing w:val="-2"/>
        </w:rPr>
        <w:t>levels..</w:t>
      </w:r>
    </w:p>
    <w:p>
      <w:pPr>
        <w:pStyle w:val="BodyText"/>
      </w:pPr>
    </w:p>
    <w:p>
      <w:pPr>
        <w:pStyle w:val="Heading6"/>
        <w:numPr>
          <w:ilvl w:val="1"/>
          <w:numId w:val="24"/>
        </w:numPr>
        <w:tabs>
          <w:tab w:pos="1311" w:val="left" w:leader="none"/>
        </w:tabs>
        <w:spacing w:line="240" w:lineRule="auto" w:before="0" w:after="0"/>
        <w:ind w:left="1311" w:right="0" w:hanging="600"/>
        <w:jc w:val="left"/>
      </w:pPr>
      <w:r>
        <w:rPr/>
        <w:t>Cointegration</w:t>
      </w:r>
      <w:r>
        <w:rPr>
          <w:spacing w:val="-5"/>
        </w:rPr>
        <w:t> </w:t>
      </w:r>
      <w:r>
        <w:rPr>
          <w:spacing w:val="-4"/>
        </w:rPr>
        <w:t>Test</w:t>
      </w:r>
    </w:p>
    <w:p>
      <w:pPr>
        <w:pStyle w:val="BodyText"/>
        <w:rPr>
          <w:b/>
        </w:rPr>
      </w:pPr>
    </w:p>
    <w:p>
      <w:pPr>
        <w:pStyle w:val="BodyText"/>
        <w:spacing w:line="360" w:lineRule="auto"/>
        <w:ind w:left="711" w:right="471"/>
        <w:jc w:val="both"/>
      </w:pPr>
      <w:r>
        <w:rPr/>
        <w:t>Given the above multivariable cases, the test for Cointegration is performed using the Johnasen Maximum Likelihood Estimate technique. Trace statistics test is also used to test whether a long-run relationship exists among the variables or not. If this test establishes that, at least, one Cointegration vector exists among the variables under investigation, a long run equilibrium relationship exists among the variables. Furthermore, before there can be a long-run relationship among the variables, the trace statistics (Likelihood ratio) must</w:t>
      </w:r>
      <w:r>
        <w:rPr>
          <w:spacing w:val="40"/>
        </w:rPr>
        <w:t> </w:t>
      </w:r>
      <w:r>
        <w:rPr/>
        <w:t>be greater than 5% critical value at None hypothesized (None**). The table below shows the result of Johansen Cointegration test conducted on the specified models with their respective Cointegration</w:t>
      </w:r>
      <w:r>
        <w:rPr>
          <w:spacing w:val="40"/>
        </w:rPr>
        <w:t> </w:t>
      </w:r>
      <w:r>
        <w:rPr>
          <w:spacing w:val="-2"/>
        </w:rPr>
        <w:t>equations.</w:t>
      </w:r>
    </w:p>
    <w:p>
      <w:pPr>
        <w:pStyle w:val="BodyText"/>
      </w:pPr>
    </w:p>
    <w:p>
      <w:pPr>
        <w:pStyle w:val="Heading2"/>
        <w:ind w:left="1059" w:right="4078" w:hanging="349"/>
        <w:jc w:val="left"/>
      </w:pPr>
      <w:r>
        <w:rPr/>
        <w:t>Table</w:t>
      </w:r>
      <w:r>
        <w:rPr>
          <w:spacing w:val="-3"/>
        </w:rPr>
        <w:t> </w:t>
      </w:r>
      <w:r>
        <w:rPr/>
        <w:t>4.14</w:t>
      </w:r>
      <w:r>
        <w:rPr>
          <w:spacing w:val="-3"/>
        </w:rPr>
        <w:t> </w:t>
      </w:r>
      <w:r>
        <w:rPr/>
        <w:t>Result</w:t>
      </w:r>
      <w:r>
        <w:rPr>
          <w:spacing w:val="-3"/>
        </w:rPr>
        <w:t> </w:t>
      </w:r>
      <w:r>
        <w:rPr/>
        <w:t>of</w:t>
      </w:r>
      <w:r>
        <w:rPr>
          <w:spacing w:val="-6"/>
        </w:rPr>
        <w:t> </w:t>
      </w:r>
      <w:r>
        <w:rPr/>
        <w:t>Cointegration</w:t>
      </w:r>
      <w:r>
        <w:rPr>
          <w:spacing w:val="-6"/>
        </w:rPr>
        <w:t> </w:t>
      </w:r>
      <w:r>
        <w:rPr/>
        <w:t>Test</w:t>
      </w:r>
      <w:r>
        <w:rPr>
          <w:spacing w:val="-3"/>
        </w:rPr>
        <w:t> </w:t>
      </w:r>
      <w:r>
        <w:rPr/>
        <w:t>for</w:t>
      </w:r>
      <w:r>
        <w:rPr>
          <w:spacing w:val="-3"/>
        </w:rPr>
        <w:t> </w:t>
      </w:r>
      <w:r>
        <w:rPr/>
        <w:t>Model</w:t>
      </w:r>
      <w:r>
        <w:rPr>
          <w:spacing w:val="-2"/>
        </w:rPr>
        <w:t> </w:t>
      </w:r>
      <w:r>
        <w:rPr/>
        <w:t>1A (World Bank &amp; Erbe 1985 approach)</w:t>
      </w:r>
    </w:p>
    <w:p>
      <w:pPr>
        <w:spacing w:line="230" w:lineRule="exact" w:before="0"/>
        <w:ind w:left="831" w:right="0" w:firstLine="0"/>
        <w:jc w:val="left"/>
        <w:rPr>
          <w:sz w:val="20"/>
        </w:rPr>
      </w:pPr>
      <w:r>
        <w:rPr>
          <w:sz w:val="20"/>
        </w:rPr>
        <w:t>Series:</w:t>
      </w:r>
      <w:r>
        <w:rPr>
          <w:spacing w:val="-6"/>
          <w:sz w:val="20"/>
        </w:rPr>
        <w:t> </w:t>
      </w:r>
      <w:r>
        <w:rPr>
          <w:sz w:val="20"/>
        </w:rPr>
        <w:t>KFW</w:t>
      </w:r>
      <w:r>
        <w:rPr>
          <w:spacing w:val="-5"/>
          <w:sz w:val="20"/>
        </w:rPr>
        <w:t> </w:t>
      </w:r>
      <w:r>
        <w:rPr>
          <w:sz w:val="20"/>
        </w:rPr>
        <w:t>EXTDEBT</w:t>
      </w:r>
      <w:r>
        <w:rPr>
          <w:spacing w:val="-2"/>
          <w:sz w:val="20"/>
        </w:rPr>
        <w:t> </w:t>
      </w:r>
      <w:r>
        <w:rPr>
          <w:sz w:val="20"/>
        </w:rPr>
        <w:t>DOP</w:t>
      </w:r>
      <w:r>
        <w:rPr>
          <w:spacing w:val="-5"/>
          <w:sz w:val="20"/>
        </w:rPr>
        <w:t> </w:t>
      </w:r>
      <w:r>
        <w:rPr>
          <w:sz w:val="20"/>
        </w:rPr>
        <w:t>INF</w:t>
      </w:r>
      <w:r>
        <w:rPr>
          <w:spacing w:val="-6"/>
          <w:sz w:val="20"/>
        </w:rPr>
        <w:t> </w:t>
      </w:r>
      <w:r>
        <w:rPr>
          <w:sz w:val="20"/>
        </w:rPr>
        <w:t>GCF</w:t>
      </w:r>
      <w:r>
        <w:rPr>
          <w:spacing w:val="-6"/>
          <w:sz w:val="20"/>
        </w:rPr>
        <w:t> </w:t>
      </w:r>
      <w:r>
        <w:rPr>
          <w:sz w:val="20"/>
        </w:rPr>
        <w:t>DR</w:t>
      </w:r>
      <w:r>
        <w:rPr>
          <w:spacing w:val="-6"/>
          <w:sz w:val="20"/>
        </w:rPr>
        <w:t> </w:t>
      </w:r>
      <w:r>
        <w:rPr>
          <w:sz w:val="20"/>
        </w:rPr>
        <w:t>PRIVCR</w:t>
      </w:r>
      <w:r>
        <w:rPr>
          <w:spacing w:val="-6"/>
          <w:sz w:val="20"/>
        </w:rPr>
        <w:t> </w:t>
      </w:r>
      <w:r>
        <w:rPr>
          <w:sz w:val="20"/>
        </w:rPr>
        <w:t>INTDIFF</w:t>
      </w:r>
      <w:r>
        <w:rPr>
          <w:spacing w:val="-6"/>
          <w:sz w:val="20"/>
        </w:rPr>
        <w:t> </w:t>
      </w:r>
      <w:r>
        <w:rPr>
          <w:spacing w:val="-4"/>
          <w:sz w:val="20"/>
        </w:rPr>
        <w:t>GOCE</w:t>
      </w:r>
    </w:p>
    <w:p>
      <w:pPr>
        <w:spacing w:before="0"/>
        <w:ind w:left="831" w:right="0" w:firstLine="0"/>
        <w:jc w:val="left"/>
        <w:rPr>
          <w:sz w:val="20"/>
        </w:rPr>
      </w:pPr>
      <w:r>
        <w:rPr>
          <w:sz w:val="20"/>
        </w:rPr>
        <w:t>Lags</w:t>
      </w:r>
      <w:r>
        <w:rPr>
          <w:spacing w:val="-5"/>
          <w:sz w:val="20"/>
        </w:rPr>
        <w:t> </w:t>
      </w:r>
      <w:r>
        <w:rPr>
          <w:sz w:val="20"/>
        </w:rPr>
        <w:t>interval:</w:t>
      </w:r>
      <w:r>
        <w:rPr>
          <w:spacing w:val="-5"/>
          <w:sz w:val="20"/>
        </w:rPr>
        <w:t> </w:t>
      </w:r>
      <w:r>
        <w:rPr>
          <w:sz w:val="20"/>
        </w:rPr>
        <w:t>1</w:t>
      </w:r>
      <w:r>
        <w:rPr>
          <w:spacing w:val="-3"/>
          <w:sz w:val="20"/>
        </w:rPr>
        <w:t> </w:t>
      </w:r>
      <w:r>
        <w:rPr>
          <w:sz w:val="20"/>
        </w:rPr>
        <w:t>to</w:t>
      </w:r>
      <w:r>
        <w:rPr>
          <w:spacing w:val="-3"/>
          <w:sz w:val="20"/>
        </w:rPr>
        <w:t> </w:t>
      </w:r>
      <w:r>
        <w:rPr>
          <w:spacing w:val="-10"/>
          <w:sz w:val="20"/>
        </w:rPr>
        <w:t>1</w:t>
      </w:r>
    </w:p>
    <w:tbl>
      <w:tblPr>
        <w:tblW w:w="0" w:type="auto"/>
        <w:jc w:val="left"/>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48"/>
        <w:gridCol w:w="1645"/>
        <w:gridCol w:w="2250"/>
        <w:gridCol w:w="1712"/>
        <w:gridCol w:w="1890"/>
      </w:tblGrid>
      <w:tr>
        <w:trPr>
          <w:trHeight w:val="460" w:hRule="atLeast"/>
        </w:trPr>
        <w:tc>
          <w:tcPr>
            <w:tcW w:w="2048" w:type="dxa"/>
          </w:tcPr>
          <w:p>
            <w:pPr>
              <w:pStyle w:val="TableParagraph"/>
              <w:ind w:left="809"/>
              <w:rPr>
                <w:sz w:val="20"/>
              </w:rPr>
            </w:pPr>
            <w:r>
              <w:rPr>
                <w:spacing w:val="-2"/>
                <w:sz w:val="20"/>
              </w:rPr>
              <w:t>Eigenvalue</w:t>
            </w:r>
          </w:p>
        </w:tc>
        <w:tc>
          <w:tcPr>
            <w:tcW w:w="1645" w:type="dxa"/>
          </w:tcPr>
          <w:p>
            <w:pPr>
              <w:pStyle w:val="TableParagraph"/>
              <w:ind w:left="53" w:right="115"/>
              <w:jc w:val="center"/>
              <w:rPr>
                <w:sz w:val="20"/>
              </w:rPr>
            </w:pPr>
            <w:r>
              <w:rPr>
                <w:sz w:val="20"/>
              </w:rPr>
              <w:t>Likelihood</w:t>
            </w:r>
            <w:r>
              <w:rPr>
                <w:spacing w:val="-6"/>
                <w:sz w:val="20"/>
              </w:rPr>
              <w:t> </w:t>
            </w:r>
            <w:r>
              <w:rPr>
                <w:spacing w:val="-2"/>
                <w:sz w:val="20"/>
              </w:rPr>
              <w:t>Ratio</w:t>
            </w:r>
          </w:p>
        </w:tc>
        <w:tc>
          <w:tcPr>
            <w:tcW w:w="2250" w:type="dxa"/>
          </w:tcPr>
          <w:p>
            <w:pPr>
              <w:pStyle w:val="TableParagraph"/>
              <w:ind w:left="104"/>
              <w:rPr>
                <w:sz w:val="20"/>
              </w:rPr>
            </w:pPr>
            <w:r>
              <w:rPr>
                <w:sz w:val="20"/>
              </w:rPr>
              <w:t>5</w:t>
            </w:r>
            <w:r>
              <w:rPr>
                <w:spacing w:val="-4"/>
                <w:sz w:val="20"/>
              </w:rPr>
              <w:t> </w:t>
            </w:r>
            <w:r>
              <w:rPr>
                <w:sz w:val="20"/>
              </w:rPr>
              <w:t>Percent</w:t>
            </w:r>
            <w:r>
              <w:rPr>
                <w:spacing w:val="-4"/>
                <w:sz w:val="20"/>
              </w:rPr>
              <w:t> </w:t>
            </w:r>
            <w:r>
              <w:rPr>
                <w:sz w:val="20"/>
              </w:rPr>
              <w:t>Critical</w:t>
            </w:r>
            <w:r>
              <w:rPr>
                <w:spacing w:val="-4"/>
                <w:sz w:val="20"/>
              </w:rPr>
              <w:t> Value</w:t>
            </w:r>
          </w:p>
        </w:tc>
        <w:tc>
          <w:tcPr>
            <w:tcW w:w="1712" w:type="dxa"/>
          </w:tcPr>
          <w:p>
            <w:pPr>
              <w:pStyle w:val="TableParagraph"/>
              <w:spacing w:line="230" w:lineRule="atLeast"/>
              <w:ind w:left="103"/>
              <w:rPr>
                <w:sz w:val="20"/>
              </w:rPr>
            </w:pPr>
            <w:r>
              <w:rPr>
                <w:sz w:val="20"/>
              </w:rPr>
              <w:t>1</w:t>
            </w:r>
            <w:r>
              <w:rPr>
                <w:spacing w:val="-13"/>
                <w:sz w:val="20"/>
              </w:rPr>
              <w:t> </w:t>
            </w:r>
            <w:r>
              <w:rPr>
                <w:sz w:val="20"/>
              </w:rPr>
              <w:t>Percent</w:t>
            </w:r>
            <w:r>
              <w:rPr>
                <w:spacing w:val="-12"/>
                <w:sz w:val="20"/>
              </w:rPr>
              <w:t> </w:t>
            </w:r>
            <w:r>
              <w:rPr>
                <w:sz w:val="20"/>
              </w:rPr>
              <w:t>Critical</w:t>
            </w:r>
            <w:r>
              <w:rPr>
                <w:sz w:val="20"/>
              </w:rPr>
              <w:t> </w:t>
            </w:r>
            <w:r>
              <w:rPr>
                <w:spacing w:val="-2"/>
                <w:sz w:val="20"/>
              </w:rPr>
              <w:t>Value</w:t>
            </w:r>
          </w:p>
        </w:tc>
        <w:tc>
          <w:tcPr>
            <w:tcW w:w="1890" w:type="dxa"/>
          </w:tcPr>
          <w:p>
            <w:pPr>
              <w:pStyle w:val="TableParagraph"/>
              <w:spacing w:line="230" w:lineRule="atLeast"/>
              <w:ind w:left="103" w:right="170"/>
              <w:rPr>
                <w:sz w:val="20"/>
              </w:rPr>
            </w:pPr>
            <w:r>
              <w:rPr>
                <w:sz w:val="20"/>
              </w:rPr>
              <w:t>Hypothesized</w:t>
            </w:r>
            <w:r>
              <w:rPr>
                <w:spacing w:val="16"/>
                <w:sz w:val="20"/>
              </w:rPr>
              <w:t> </w:t>
            </w:r>
            <w:r>
              <w:rPr>
                <w:sz w:val="20"/>
              </w:rPr>
              <w:t>No. of CE(s)</w:t>
            </w:r>
          </w:p>
        </w:tc>
      </w:tr>
      <w:tr>
        <w:trPr>
          <w:trHeight w:val="232" w:hRule="atLeast"/>
        </w:trPr>
        <w:tc>
          <w:tcPr>
            <w:tcW w:w="2048" w:type="dxa"/>
          </w:tcPr>
          <w:p>
            <w:pPr>
              <w:pStyle w:val="TableParagraph"/>
              <w:spacing w:line="212" w:lineRule="exact"/>
              <w:ind w:left="672"/>
              <w:rPr>
                <w:sz w:val="20"/>
              </w:rPr>
            </w:pPr>
            <w:r>
              <w:rPr>
                <w:spacing w:val="-2"/>
                <w:sz w:val="20"/>
              </w:rPr>
              <w:t>0.935807</w:t>
            </w:r>
          </w:p>
        </w:tc>
        <w:tc>
          <w:tcPr>
            <w:tcW w:w="1645" w:type="dxa"/>
          </w:tcPr>
          <w:p>
            <w:pPr>
              <w:pStyle w:val="TableParagraph"/>
              <w:spacing w:line="212" w:lineRule="exact"/>
              <w:ind w:left="64" w:right="62"/>
              <w:jc w:val="center"/>
              <w:rPr>
                <w:sz w:val="20"/>
              </w:rPr>
            </w:pPr>
            <w:r>
              <w:rPr>
                <w:spacing w:val="-2"/>
                <w:sz w:val="20"/>
              </w:rPr>
              <w:t>320.0949</w:t>
            </w:r>
          </w:p>
        </w:tc>
        <w:tc>
          <w:tcPr>
            <w:tcW w:w="2250" w:type="dxa"/>
          </w:tcPr>
          <w:p>
            <w:pPr>
              <w:pStyle w:val="TableParagraph"/>
              <w:spacing w:line="212" w:lineRule="exact"/>
              <w:ind w:left="100" w:right="98"/>
              <w:jc w:val="center"/>
              <w:rPr>
                <w:sz w:val="20"/>
              </w:rPr>
            </w:pPr>
            <w:r>
              <w:rPr>
                <w:spacing w:val="-2"/>
                <w:sz w:val="20"/>
              </w:rPr>
              <w:t>192.89</w:t>
            </w:r>
          </w:p>
        </w:tc>
        <w:tc>
          <w:tcPr>
            <w:tcW w:w="1712" w:type="dxa"/>
          </w:tcPr>
          <w:p>
            <w:pPr>
              <w:pStyle w:val="TableParagraph"/>
              <w:spacing w:line="212" w:lineRule="exact"/>
              <w:ind w:left="99" w:right="100"/>
              <w:jc w:val="center"/>
              <w:rPr>
                <w:sz w:val="20"/>
              </w:rPr>
            </w:pPr>
            <w:r>
              <w:rPr>
                <w:spacing w:val="-2"/>
                <w:sz w:val="20"/>
              </w:rPr>
              <w:t>204.95</w:t>
            </w:r>
          </w:p>
        </w:tc>
        <w:tc>
          <w:tcPr>
            <w:tcW w:w="1890" w:type="dxa"/>
          </w:tcPr>
          <w:p>
            <w:pPr>
              <w:pStyle w:val="TableParagraph"/>
              <w:spacing w:line="212" w:lineRule="exact"/>
              <w:ind w:left="405"/>
              <w:rPr>
                <w:sz w:val="20"/>
              </w:rPr>
            </w:pPr>
            <w:r>
              <w:rPr>
                <w:sz w:val="20"/>
              </w:rPr>
              <w:t>None</w:t>
            </w:r>
            <w:r>
              <w:rPr>
                <w:spacing w:val="-6"/>
                <w:sz w:val="20"/>
              </w:rPr>
              <w:t> </w:t>
            </w:r>
            <w:r>
              <w:rPr>
                <w:spacing w:val="-5"/>
                <w:sz w:val="20"/>
              </w:rPr>
              <w:t>**</w:t>
            </w:r>
          </w:p>
        </w:tc>
      </w:tr>
      <w:tr>
        <w:trPr>
          <w:trHeight w:val="235" w:hRule="atLeast"/>
        </w:trPr>
        <w:tc>
          <w:tcPr>
            <w:tcW w:w="2048" w:type="dxa"/>
          </w:tcPr>
          <w:p>
            <w:pPr>
              <w:pStyle w:val="TableParagraph"/>
              <w:spacing w:line="215" w:lineRule="exact" w:before="1"/>
              <w:ind w:left="672"/>
              <w:rPr>
                <w:sz w:val="20"/>
              </w:rPr>
            </w:pPr>
            <w:r>
              <w:rPr>
                <w:spacing w:val="-2"/>
                <w:sz w:val="20"/>
              </w:rPr>
              <w:t>0.797808</w:t>
            </w:r>
          </w:p>
        </w:tc>
        <w:tc>
          <w:tcPr>
            <w:tcW w:w="1645" w:type="dxa"/>
          </w:tcPr>
          <w:p>
            <w:pPr>
              <w:pStyle w:val="TableParagraph"/>
              <w:spacing w:line="215" w:lineRule="exact" w:before="1"/>
              <w:ind w:left="53"/>
              <w:jc w:val="center"/>
              <w:rPr>
                <w:sz w:val="20"/>
              </w:rPr>
            </w:pPr>
            <w:r>
              <w:rPr>
                <w:spacing w:val="-2"/>
                <w:sz w:val="20"/>
              </w:rPr>
              <w:t>210.2607</w:t>
            </w:r>
          </w:p>
        </w:tc>
        <w:tc>
          <w:tcPr>
            <w:tcW w:w="2250" w:type="dxa"/>
          </w:tcPr>
          <w:p>
            <w:pPr>
              <w:pStyle w:val="TableParagraph"/>
              <w:spacing w:line="215" w:lineRule="exact" w:before="1"/>
              <w:ind w:left="100" w:right="98"/>
              <w:jc w:val="center"/>
              <w:rPr>
                <w:sz w:val="20"/>
              </w:rPr>
            </w:pPr>
            <w:r>
              <w:rPr>
                <w:spacing w:val="-2"/>
                <w:sz w:val="20"/>
              </w:rPr>
              <w:t>156.00</w:t>
            </w:r>
          </w:p>
        </w:tc>
        <w:tc>
          <w:tcPr>
            <w:tcW w:w="1712" w:type="dxa"/>
          </w:tcPr>
          <w:p>
            <w:pPr>
              <w:pStyle w:val="TableParagraph"/>
              <w:spacing w:line="215" w:lineRule="exact" w:before="1"/>
              <w:ind w:left="99" w:right="100"/>
              <w:jc w:val="center"/>
              <w:rPr>
                <w:sz w:val="20"/>
              </w:rPr>
            </w:pPr>
            <w:r>
              <w:rPr>
                <w:spacing w:val="-2"/>
                <w:sz w:val="20"/>
              </w:rPr>
              <w:t>168.36</w:t>
            </w:r>
          </w:p>
        </w:tc>
        <w:tc>
          <w:tcPr>
            <w:tcW w:w="1890" w:type="dxa"/>
          </w:tcPr>
          <w:p>
            <w:pPr>
              <w:pStyle w:val="TableParagraph"/>
              <w:spacing w:line="215" w:lineRule="exact" w:before="1"/>
              <w:ind w:left="254"/>
              <w:rPr>
                <w:sz w:val="20"/>
              </w:rPr>
            </w:pPr>
            <w:r>
              <w:rPr>
                <w:sz w:val="20"/>
              </w:rPr>
              <w:t>At</w:t>
            </w:r>
            <w:r>
              <w:rPr>
                <w:spacing w:val="-3"/>
                <w:sz w:val="20"/>
              </w:rPr>
              <w:t> </w:t>
            </w:r>
            <w:r>
              <w:rPr>
                <w:sz w:val="20"/>
              </w:rPr>
              <w:t>most</w:t>
            </w:r>
            <w:r>
              <w:rPr>
                <w:spacing w:val="-4"/>
                <w:sz w:val="20"/>
              </w:rPr>
              <w:t> </w:t>
            </w:r>
            <w:r>
              <w:rPr>
                <w:sz w:val="20"/>
              </w:rPr>
              <w:t>1</w:t>
            </w:r>
            <w:r>
              <w:rPr>
                <w:spacing w:val="-1"/>
                <w:sz w:val="20"/>
              </w:rPr>
              <w:t> </w:t>
            </w:r>
            <w:r>
              <w:rPr>
                <w:spacing w:val="-5"/>
                <w:sz w:val="20"/>
              </w:rPr>
              <w:t>**</w:t>
            </w:r>
          </w:p>
        </w:tc>
      </w:tr>
      <w:tr>
        <w:trPr>
          <w:trHeight w:val="234" w:hRule="atLeast"/>
        </w:trPr>
        <w:tc>
          <w:tcPr>
            <w:tcW w:w="2048" w:type="dxa"/>
          </w:tcPr>
          <w:p>
            <w:pPr>
              <w:pStyle w:val="TableParagraph"/>
              <w:spacing w:line="215" w:lineRule="exact"/>
              <w:ind w:left="672"/>
              <w:rPr>
                <w:sz w:val="20"/>
              </w:rPr>
            </w:pPr>
            <w:r>
              <w:rPr>
                <w:spacing w:val="-2"/>
                <w:sz w:val="20"/>
              </w:rPr>
              <w:t>0.662013</w:t>
            </w:r>
          </w:p>
        </w:tc>
        <w:tc>
          <w:tcPr>
            <w:tcW w:w="1645" w:type="dxa"/>
          </w:tcPr>
          <w:p>
            <w:pPr>
              <w:pStyle w:val="TableParagraph"/>
              <w:spacing w:line="215" w:lineRule="exact"/>
              <w:ind w:left="53"/>
              <w:jc w:val="center"/>
              <w:rPr>
                <w:sz w:val="20"/>
              </w:rPr>
            </w:pPr>
            <w:r>
              <w:rPr>
                <w:spacing w:val="-2"/>
                <w:sz w:val="20"/>
              </w:rPr>
              <w:t>146.3192</w:t>
            </w:r>
          </w:p>
        </w:tc>
        <w:tc>
          <w:tcPr>
            <w:tcW w:w="2250" w:type="dxa"/>
          </w:tcPr>
          <w:p>
            <w:pPr>
              <w:pStyle w:val="TableParagraph"/>
              <w:spacing w:line="215" w:lineRule="exact"/>
              <w:ind w:left="100" w:right="98"/>
              <w:jc w:val="center"/>
              <w:rPr>
                <w:sz w:val="20"/>
              </w:rPr>
            </w:pPr>
            <w:r>
              <w:rPr>
                <w:spacing w:val="-2"/>
                <w:sz w:val="20"/>
              </w:rPr>
              <w:t>124.24</w:t>
            </w:r>
          </w:p>
        </w:tc>
        <w:tc>
          <w:tcPr>
            <w:tcW w:w="1712" w:type="dxa"/>
          </w:tcPr>
          <w:p>
            <w:pPr>
              <w:pStyle w:val="TableParagraph"/>
              <w:spacing w:line="215" w:lineRule="exact"/>
              <w:ind w:left="99" w:right="100"/>
              <w:jc w:val="center"/>
              <w:rPr>
                <w:sz w:val="20"/>
              </w:rPr>
            </w:pPr>
            <w:r>
              <w:rPr>
                <w:spacing w:val="-2"/>
                <w:sz w:val="20"/>
              </w:rPr>
              <w:t>133.57</w:t>
            </w:r>
          </w:p>
        </w:tc>
        <w:tc>
          <w:tcPr>
            <w:tcW w:w="1890" w:type="dxa"/>
          </w:tcPr>
          <w:p>
            <w:pPr>
              <w:pStyle w:val="TableParagraph"/>
              <w:spacing w:line="215" w:lineRule="exact"/>
              <w:ind w:left="254"/>
              <w:rPr>
                <w:sz w:val="20"/>
              </w:rPr>
            </w:pPr>
            <w:r>
              <w:rPr>
                <w:sz w:val="20"/>
              </w:rPr>
              <w:t>At</w:t>
            </w:r>
            <w:r>
              <w:rPr>
                <w:spacing w:val="-3"/>
                <w:sz w:val="20"/>
              </w:rPr>
              <w:t> </w:t>
            </w:r>
            <w:r>
              <w:rPr>
                <w:sz w:val="20"/>
              </w:rPr>
              <w:t>most</w:t>
            </w:r>
            <w:r>
              <w:rPr>
                <w:spacing w:val="-4"/>
                <w:sz w:val="20"/>
              </w:rPr>
              <w:t> </w:t>
            </w:r>
            <w:r>
              <w:rPr>
                <w:sz w:val="20"/>
              </w:rPr>
              <w:t>2</w:t>
            </w:r>
            <w:r>
              <w:rPr>
                <w:spacing w:val="-1"/>
                <w:sz w:val="20"/>
              </w:rPr>
              <w:t> </w:t>
            </w:r>
            <w:r>
              <w:rPr>
                <w:spacing w:val="-5"/>
                <w:sz w:val="20"/>
              </w:rPr>
              <w:t>**</w:t>
            </w:r>
          </w:p>
        </w:tc>
      </w:tr>
      <w:tr>
        <w:trPr>
          <w:trHeight w:val="232" w:hRule="atLeast"/>
        </w:trPr>
        <w:tc>
          <w:tcPr>
            <w:tcW w:w="2048" w:type="dxa"/>
          </w:tcPr>
          <w:p>
            <w:pPr>
              <w:pStyle w:val="TableParagraph"/>
              <w:spacing w:line="212" w:lineRule="exact"/>
              <w:ind w:left="672"/>
              <w:rPr>
                <w:sz w:val="20"/>
              </w:rPr>
            </w:pPr>
            <w:r>
              <w:rPr>
                <w:spacing w:val="-2"/>
                <w:sz w:val="20"/>
              </w:rPr>
              <w:t>0.578695</w:t>
            </w:r>
          </w:p>
        </w:tc>
        <w:tc>
          <w:tcPr>
            <w:tcW w:w="1645" w:type="dxa"/>
          </w:tcPr>
          <w:p>
            <w:pPr>
              <w:pStyle w:val="TableParagraph"/>
              <w:spacing w:line="212" w:lineRule="exact"/>
              <w:ind w:left="53"/>
              <w:jc w:val="center"/>
              <w:rPr>
                <w:sz w:val="20"/>
              </w:rPr>
            </w:pPr>
            <w:r>
              <w:rPr>
                <w:spacing w:val="-2"/>
                <w:sz w:val="20"/>
              </w:rPr>
              <w:t>102.9292</w:t>
            </w:r>
          </w:p>
        </w:tc>
        <w:tc>
          <w:tcPr>
            <w:tcW w:w="2250" w:type="dxa"/>
          </w:tcPr>
          <w:p>
            <w:pPr>
              <w:pStyle w:val="TableParagraph"/>
              <w:spacing w:line="212" w:lineRule="exact"/>
              <w:ind w:left="100" w:right="50"/>
              <w:jc w:val="center"/>
              <w:rPr>
                <w:sz w:val="20"/>
              </w:rPr>
            </w:pPr>
            <w:r>
              <w:rPr>
                <w:spacing w:val="-2"/>
                <w:sz w:val="20"/>
              </w:rPr>
              <w:t>94.15</w:t>
            </w:r>
          </w:p>
        </w:tc>
        <w:tc>
          <w:tcPr>
            <w:tcW w:w="1712" w:type="dxa"/>
          </w:tcPr>
          <w:p>
            <w:pPr>
              <w:pStyle w:val="TableParagraph"/>
              <w:spacing w:line="212" w:lineRule="exact"/>
              <w:ind w:left="99" w:right="100"/>
              <w:jc w:val="center"/>
              <w:rPr>
                <w:sz w:val="20"/>
              </w:rPr>
            </w:pPr>
            <w:r>
              <w:rPr>
                <w:spacing w:val="-2"/>
                <w:sz w:val="20"/>
              </w:rPr>
              <w:t>103.18</w:t>
            </w:r>
          </w:p>
        </w:tc>
        <w:tc>
          <w:tcPr>
            <w:tcW w:w="1890" w:type="dxa"/>
          </w:tcPr>
          <w:p>
            <w:pPr>
              <w:pStyle w:val="TableParagraph"/>
              <w:spacing w:line="212" w:lineRule="exact"/>
              <w:ind w:left="254"/>
              <w:rPr>
                <w:sz w:val="20"/>
              </w:rPr>
            </w:pPr>
            <w:r>
              <w:rPr>
                <w:sz w:val="20"/>
              </w:rPr>
              <w:t>At</w:t>
            </w:r>
            <w:r>
              <w:rPr>
                <w:spacing w:val="-3"/>
                <w:sz w:val="20"/>
              </w:rPr>
              <w:t> </w:t>
            </w:r>
            <w:r>
              <w:rPr>
                <w:sz w:val="20"/>
              </w:rPr>
              <w:t>most</w:t>
            </w:r>
            <w:r>
              <w:rPr>
                <w:spacing w:val="-4"/>
                <w:sz w:val="20"/>
              </w:rPr>
              <w:t> </w:t>
            </w:r>
            <w:r>
              <w:rPr>
                <w:sz w:val="20"/>
              </w:rPr>
              <w:t>3</w:t>
            </w:r>
            <w:r>
              <w:rPr>
                <w:spacing w:val="-1"/>
                <w:sz w:val="20"/>
              </w:rPr>
              <w:t> </w:t>
            </w:r>
            <w:r>
              <w:rPr>
                <w:spacing w:val="-10"/>
                <w:sz w:val="20"/>
              </w:rPr>
              <w:t>*</w:t>
            </w:r>
          </w:p>
        </w:tc>
      </w:tr>
      <w:tr>
        <w:trPr>
          <w:trHeight w:val="234" w:hRule="atLeast"/>
        </w:trPr>
        <w:tc>
          <w:tcPr>
            <w:tcW w:w="2048" w:type="dxa"/>
          </w:tcPr>
          <w:p>
            <w:pPr>
              <w:pStyle w:val="TableParagraph"/>
              <w:spacing w:line="215" w:lineRule="exact"/>
              <w:ind w:left="672"/>
              <w:rPr>
                <w:sz w:val="20"/>
              </w:rPr>
            </w:pPr>
            <w:r>
              <w:rPr>
                <w:spacing w:val="-2"/>
                <w:sz w:val="20"/>
              </w:rPr>
              <w:t>0.506735</w:t>
            </w:r>
          </w:p>
        </w:tc>
        <w:tc>
          <w:tcPr>
            <w:tcW w:w="1645" w:type="dxa"/>
          </w:tcPr>
          <w:p>
            <w:pPr>
              <w:pStyle w:val="TableParagraph"/>
              <w:spacing w:line="215" w:lineRule="exact"/>
              <w:ind w:left="53"/>
              <w:jc w:val="center"/>
              <w:rPr>
                <w:sz w:val="20"/>
              </w:rPr>
            </w:pPr>
            <w:r>
              <w:rPr>
                <w:spacing w:val="-2"/>
                <w:sz w:val="20"/>
              </w:rPr>
              <w:t>68.35335</w:t>
            </w:r>
          </w:p>
        </w:tc>
        <w:tc>
          <w:tcPr>
            <w:tcW w:w="2250" w:type="dxa"/>
          </w:tcPr>
          <w:p>
            <w:pPr>
              <w:pStyle w:val="TableParagraph"/>
              <w:spacing w:line="215" w:lineRule="exact"/>
              <w:ind w:left="100" w:right="50"/>
              <w:jc w:val="center"/>
              <w:rPr>
                <w:sz w:val="20"/>
              </w:rPr>
            </w:pPr>
            <w:r>
              <w:rPr>
                <w:spacing w:val="-2"/>
                <w:sz w:val="20"/>
              </w:rPr>
              <w:t>68.52</w:t>
            </w:r>
          </w:p>
        </w:tc>
        <w:tc>
          <w:tcPr>
            <w:tcW w:w="1712" w:type="dxa"/>
          </w:tcPr>
          <w:p>
            <w:pPr>
              <w:pStyle w:val="TableParagraph"/>
              <w:spacing w:line="215" w:lineRule="exact"/>
              <w:ind w:left="99" w:right="50"/>
              <w:jc w:val="center"/>
              <w:rPr>
                <w:sz w:val="20"/>
              </w:rPr>
            </w:pPr>
            <w:r>
              <w:rPr>
                <w:spacing w:val="-2"/>
                <w:sz w:val="20"/>
              </w:rPr>
              <w:t>76.07</w:t>
            </w:r>
          </w:p>
        </w:tc>
        <w:tc>
          <w:tcPr>
            <w:tcW w:w="1890" w:type="dxa"/>
          </w:tcPr>
          <w:p>
            <w:pPr>
              <w:pStyle w:val="TableParagraph"/>
              <w:spacing w:line="215" w:lineRule="exact"/>
              <w:ind w:left="254"/>
              <w:rPr>
                <w:sz w:val="20"/>
              </w:rPr>
            </w:pPr>
            <w:r>
              <w:rPr>
                <w:sz w:val="20"/>
              </w:rPr>
              <w:t>At</w:t>
            </w:r>
            <w:r>
              <w:rPr>
                <w:spacing w:val="-4"/>
                <w:sz w:val="20"/>
              </w:rPr>
              <w:t> </w:t>
            </w:r>
            <w:r>
              <w:rPr>
                <w:sz w:val="20"/>
              </w:rPr>
              <w:t>most</w:t>
            </w:r>
            <w:r>
              <w:rPr>
                <w:spacing w:val="-6"/>
                <w:sz w:val="20"/>
              </w:rPr>
              <w:t> </w:t>
            </w:r>
            <w:r>
              <w:rPr>
                <w:spacing w:val="-10"/>
                <w:sz w:val="20"/>
              </w:rPr>
              <w:t>4</w:t>
            </w:r>
          </w:p>
        </w:tc>
      </w:tr>
      <w:tr>
        <w:trPr>
          <w:trHeight w:val="234" w:hRule="atLeast"/>
        </w:trPr>
        <w:tc>
          <w:tcPr>
            <w:tcW w:w="2048" w:type="dxa"/>
          </w:tcPr>
          <w:p>
            <w:pPr>
              <w:pStyle w:val="TableParagraph"/>
              <w:spacing w:line="215" w:lineRule="exact"/>
              <w:ind w:left="672"/>
              <w:rPr>
                <w:sz w:val="20"/>
              </w:rPr>
            </w:pPr>
            <w:r>
              <w:rPr>
                <w:spacing w:val="-2"/>
                <w:sz w:val="20"/>
              </w:rPr>
              <w:t>0.378693</w:t>
            </w:r>
          </w:p>
        </w:tc>
        <w:tc>
          <w:tcPr>
            <w:tcW w:w="1645" w:type="dxa"/>
          </w:tcPr>
          <w:p>
            <w:pPr>
              <w:pStyle w:val="TableParagraph"/>
              <w:spacing w:line="215" w:lineRule="exact"/>
              <w:ind w:left="53"/>
              <w:jc w:val="center"/>
              <w:rPr>
                <w:sz w:val="20"/>
              </w:rPr>
            </w:pPr>
            <w:r>
              <w:rPr>
                <w:spacing w:val="-2"/>
                <w:sz w:val="20"/>
              </w:rPr>
              <w:t>40.08503</w:t>
            </w:r>
          </w:p>
        </w:tc>
        <w:tc>
          <w:tcPr>
            <w:tcW w:w="2250" w:type="dxa"/>
          </w:tcPr>
          <w:p>
            <w:pPr>
              <w:pStyle w:val="TableParagraph"/>
              <w:spacing w:line="215" w:lineRule="exact"/>
              <w:ind w:left="100" w:right="50"/>
              <w:jc w:val="center"/>
              <w:rPr>
                <w:sz w:val="20"/>
              </w:rPr>
            </w:pPr>
            <w:r>
              <w:rPr>
                <w:spacing w:val="-2"/>
                <w:sz w:val="20"/>
              </w:rPr>
              <w:t>47.21</w:t>
            </w:r>
          </w:p>
        </w:tc>
        <w:tc>
          <w:tcPr>
            <w:tcW w:w="1712" w:type="dxa"/>
          </w:tcPr>
          <w:p>
            <w:pPr>
              <w:pStyle w:val="TableParagraph"/>
              <w:spacing w:line="215" w:lineRule="exact"/>
              <w:ind w:left="99" w:right="50"/>
              <w:jc w:val="center"/>
              <w:rPr>
                <w:sz w:val="20"/>
              </w:rPr>
            </w:pPr>
            <w:r>
              <w:rPr>
                <w:spacing w:val="-2"/>
                <w:sz w:val="20"/>
              </w:rPr>
              <w:t>54.46</w:t>
            </w:r>
          </w:p>
        </w:tc>
        <w:tc>
          <w:tcPr>
            <w:tcW w:w="1890" w:type="dxa"/>
          </w:tcPr>
          <w:p>
            <w:pPr>
              <w:pStyle w:val="TableParagraph"/>
              <w:spacing w:line="215" w:lineRule="exact"/>
              <w:ind w:left="254"/>
              <w:rPr>
                <w:sz w:val="20"/>
              </w:rPr>
            </w:pPr>
            <w:r>
              <w:rPr>
                <w:sz w:val="20"/>
              </w:rPr>
              <w:t>At</w:t>
            </w:r>
            <w:r>
              <w:rPr>
                <w:spacing w:val="-4"/>
                <w:sz w:val="20"/>
              </w:rPr>
              <w:t> </w:t>
            </w:r>
            <w:r>
              <w:rPr>
                <w:sz w:val="20"/>
              </w:rPr>
              <w:t>most</w:t>
            </w:r>
            <w:r>
              <w:rPr>
                <w:spacing w:val="-6"/>
                <w:sz w:val="20"/>
              </w:rPr>
              <w:t> </w:t>
            </w:r>
            <w:r>
              <w:rPr>
                <w:spacing w:val="-10"/>
                <w:sz w:val="20"/>
              </w:rPr>
              <w:t>5</w:t>
            </w:r>
          </w:p>
        </w:tc>
      </w:tr>
      <w:tr>
        <w:trPr>
          <w:trHeight w:val="376" w:hRule="atLeast"/>
        </w:trPr>
        <w:tc>
          <w:tcPr>
            <w:tcW w:w="2048" w:type="dxa"/>
          </w:tcPr>
          <w:p>
            <w:pPr>
              <w:pStyle w:val="TableParagraph"/>
              <w:ind w:left="672"/>
              <w:rPr>
                <w:sz w:val="20"/>
              </w:rPr>
            </w:pPr>
            <w:r>
              <w:rPr>
                <w:spacing w:val="-2"/>
                <w:sz w:val="20"/>
              </w:rPr>
              <w:t>0.317649</w:t>
            </w:r>
          </w:p>
        </w:tc>
        <w:tc>
          <w:tcPr>
            <w:tcW w:w="1645" w:type="dxa"/>
          </w:tcPr>
          <w:p>
            <w:pPr>
              <w:pStyle w:val="TableParagraph"/>
              <w:ind w:left="53"/>
              <w:jc w:val="center"/>
              <w:rPr>
                <w:sz w:val="20"/>
              </w:rPr>
            </w:pPr>
            <w:r>
              <w:rPr>
                <w:spacing w:val="-2"/>
                <w:sz w:val="20"/>
              </w:rPr>
              <w:t>21.04781</w:t>
            </w:r>
          </w:p>
        </w:tc>
        <w:tc>
          <w:tcPr>
            <w:tcW w:w="2250" w:type="dxa"/>
          </w:tcPr>
          <w:p>
            <w:pPr>
              <w:pStyle w:val="TableParagraph"/>
              <w:ind w:left="100" w:right="50"/>
              <w:jc w:val="center"/>
              <w:rPr>
                <w:sz w:val="20"/>
              </w:rPr>
            </w:pPr>
            <w:r>
              <w:rPr>
                <w:spacing w:val="-2"/>
                <w:sz w:val="20"/>
              </w:rPr>
              <w:t>29.68</w:t>
            </w:r>
          </w:p>
        </w:tc>
        <w:tc>
          <w:tcPr>
            <w:tcW w:w="1712" w:type="dxa"/>
          </w:tcPr>
          <w:p>
            <w:pPr>
              <w:pStyle w:val="TableParagraph"/>
              <w:ind w:left="99" w:right="50"/>
              <w:jc w:val="center"/>
              <w:rPr>
                <w:sz w:val="20"/>
              </w:rPr>
            </w:pPr>
            <w:r>
              <w:rPr>
                <w:spacing w:val="-2"/>
                <w:sz w:val="20"/>
              </w:rPr>
              <w:t>35.65</w:t>
            </w:r>
          </w:p>
        </w:tc>
        <w:tc>
          <w:tcPr>
            <w:tcW w:w="1890" w:type="dxa"/>
          </w:tcPr>
          <w:p>
            <w:pPr>
              <w:pStyle w:val="TableParagraph"/>
              <w:ind w:left="254"/>
              <w:rPr>
                <w:sz w:val="20"/>
              </w:rPr>
            </w:pPr>
            <w:r>
              <w:rPr>
                <w:sz w:val="20"/>
              </w:rPr>
              <w:t>At</w:t>
            </w:r>
            <w:r>
              <w:rPr>
                <w:spacing w:val="-4"/>
                <w:sz w:val="20"/>
              </w:rPr>
              <w:t> </w:t>
            </w:r>
            <w:r>
              <w:rPr>
                <w:sz w:val="20"/>
              </w:rPr>
              <w:t>most</w:t>
            </w:r>
            <w:r>
              <w:rPr>
                <w:spacing w:val="-6"/>
                <w:sz w:val="20"/>
              </w:rPr>
              <w:t> </w:t>
            </w:r>
            <w:r>
              <w:rPr>
                <w:spacing w:val="-10"/>
                <w:sz w:val="20"/>
              </w:rPr>
              <w:t>6</w:t>
            </w:r>
          </w:p>
        </w:tc>
      </w:tr>
      <w:tr>
        <w:trPr>
          <w:trHeight w:val="412" w:hRule="atLeast"/>
        </w:trPr>
        <w:tc>
          <w:tcPr>
            <w:tcW w:w="2048" w:type="dxa"/>
          </w:tcPr>
          <w:p>
            <w:pPr>
              <w:pStyle w:val="TableParagraph"/>
              <w:ind w:left="672"/>
              <w:rPr>
                <w:sz w:val="20"/>
              </w:rPr>
            </w:pPr>
            <w:r>
              <w:rPr>
                <w:spacing w:val="-2"/>
                <w:sz w:val="20"/>
              </w:rPr>
              <w:t>0.131239</w:t>
            </w:r>
          </w:p>
        </w:tc>
        <w:tc>
          <w:tcPr>
            <w:tcW w:w="1645" w:type="dxa"/>
          </w:tcPr>
          <w:p>
            <w:pPr>
              <w:pStyle w:val="TableParagraph"/>
              <w:ind w:left="53"/>
              <w:jc w:val="center"/>
              <w:rPr>
                <w:sz w:val="20"/>
              </w:rPr>
            </w:pPr>
            <w:r>
              <w:rPr>
                <w:spacing w:val="-2"/>
                <w:sz w:val="20"/>
              </w:rPr>
              <w:t>5.759381</w:t>
            </w:r>
          </w:p>
        </w:tc>
        <w:tc>
          <w:tcPr>
            <w:tcW w:w="2250" w:type="dxa"/>
          </w:tcPr>
          <w:p>
            <w:pPr>
              <w:pStyle w:val="TableParagraph"/>
              <w:ind w:left="100" w:right="50"/>
              <w:jc w:val="center"/>
              <w:rPr>
                <w:sz w:val="20"/>
              </w:rPr>
            </w:pPr>
            <w:r>
              <w:rPr>
                <w:spacing w:val="-2"/>
                <w:sz w:val="20"/>
              </w:rPr>
              <w:t>15.41</w:t>
            </w:r>
          </w:p>
        </w:tc>
        <w:tc>
          <w:tcPr>
            <w:tcW w:w="1712" w:type="dxa"/>
          </w:tcPr>
          <w:p>
            <w:pPr>
              <w:pStyle w:val="TableParagraph"/>
              <w:ind w:left="99" w:right="50"/>
              <w:jc w:val="center"/>
              <w:rPr>
                <w:sz w:val="20"/>
              </w:rPr>
            </w:pPr>
            <w:r>
              <w:rPr>
                <w:spacing w:val="-2"/>
                <w:sz w:val="20"/>
              </w:rPr>
              <w:t>20.04</w:t>
            </w:r>
          </w:p>
        </w:tc>
        <w:tc>
          <w:tcPr>
            <w:tcW w:w="1890" w:type="dxa"/>
          </w:tcPr>
          <w:p>
            <w:pPr>
              <w:pStyle w:val="TableParagraph"/>
              <w:ind w:left="254"/>
              <w:rPr>
                <w:sz w:val="20"/>
              </w:rPr>
            </w:pPr>
            <w:r>
              <w:rPr>
                <w:sz w:val="20"/>
              </w:rPr>
              <w:t>At</w:t>
            </w:r>
            <w:r>
              <w:rPr>
                <w:spacing w:val="-4"/>
                <w:sz w:val="20"/>
              </w:rPr>
              <w:t> </w:t>
            </w:r>
            <w:r>
              <w:rPr>
                <w:sz w:val="20"/>
              </w:rPr>
              <w:t>most</w:t>
            </w:r>
            <w:r>
              <w:rPr>
                <w:spacing w:val="-6"/>
                <w:sz w:val="20"/>
              </w:rPr>
              <w:t> </w:t>
            </w:r>
            <w:r>
              <w:rPr>
                <w:spacing w:val="-10"/>
                <w:sz w:val="20"/>
              </w:rPr>
              <w:t>7</w:t>
            </w:r>
          </w:p>
        </w:tc>
      </w:tr>
      <w:tr>
        <w:trPr>
          <w:trHeight w:val="513" w:hRule="atLeast"/>
        </w:trPr>
        <w:tc>
          <w:tcPr>
            <w:tcW w:w="2048" w:type="dxa"/>
          </w:tcPr>
          <w:p>
            <w:pPr>
              <w:pStyle w:val="TableParagraph"/>
              <w:ind w:left="672"/>
              <w:rPr>
                <w:sz w:val="20"/>
              </w:rPr>
            </w:pPr>
            <w:r>
              <w:rPr>
                <w:spacing w:val="-2"/>
                <w:sz w:val="20"/>
              </w:rPr>
              <w:t>0.003292</w:t>
            </w:r>
          </w:p>
        </w:tc>
        <w:tc>
          <w:tcPr>
            <w:tcW w:w="1645" w:type="dxa"/>
          </w:tcPr>
          <w:p>
            <w:pPr>
              <w:pStyle w:val="TableParagraph"/>
              <w:ind w:left="53"/>
              <w:jc w:val="center"/>
              <w:rPr>
                <w:sz w:val="20"/>
              </w:rPr>
            </w:pPr>
            <w:r>
              <w:rPr>
                <w:spacing w:val="-2"/>
                <w:sz w:val="20"/>
              </w:rPr>
              <w:t>0.131915</w:t>
            </w:r>
          </w:p>
        </w:tc>
        <w:tc>
          <w:tcPr>
            <w:tcW w:w="2250" w:type="dxa"/>
          </w:tcPr>
          <w:p>
            <w:pPr>
              <w:pStyle w:val="TableParagraph"/>
              <w:ind w:left="100"/>
              <w:jc w:val="center"/>
              <w:rPr>
                <w:sz w:val="20"/>
              </w:rPr>
            </w:pPr>
            <w:r>
              <w:rPr>
                <w:spacing w:val="-4"/>
                <w:sz w:val="20"/>
              </w:rPr>
              <w:t>3.76</w:t>
            </w:r>
          </w:p>
        </w:tc>
        <w:tc>
          <w:tcPr>
            <w:tcW w:w="1712" w:type="dxa"/>
          </w:tcPr>
          <w:p>
            <w:pPr>
              <w:pStyle w:val="TableParagraph"/>
              <w:ind w:left="100" w:right="1"/>
              <w:jc w:val="center"/>
              <w:rPr>
                <w:sz w:val="20"/>
              </w:rPr>
            </w:pPr>
            <w:r>
              <w:rPr>
                <w:spacing w:val="-4"/>
                <w:sz w:val="20"/>
              </w:rPr>
              <w:t>6.65</w:t>
            </w:r>
          </w:p>
        </w:tc>
        <w:tc>
          <w:tcPr>
            <w:tcW w:w="1890" w:type="dxa"/>
          </w:tcPr>
          <w:p>
            <w:pPr>
              <w:pStyle w:val="TableParagraph"/>
              <w:ind w:left="254"/>
              <w:rPr>
                <w:sz w:val="20"/>
              </w:rPr>
            </w:pPr>
            <w:r>
              <w:rPr>
                <w:sz w:val="20"/>
              </w:rPr>
              <w:t>At</w:t>
            </w:r>
            <w:r>
              <w:rPr>
                <w:spacing w:val="-4"/>
                <w:sz w:val="20"/>
              </w:rPr>
              <w:t> </w:t>
            </w:r>
            <w:r>
              <w:rPr>
                <w:sz w:val="20"/>
              </w:rPr>
              <w:t>most</w:t>
            </w:r>
            <w:r>
              <w:rPr>
                <w:spacing w:val="-6"/>
                <w:sz w:val="20"/>
              </w:rPr>
              <w:t> </w:t>
            </w:r>
            <w:r>
              <w:rPr>
                <w:spacing w:val="-10"/>
                <w:sz w:val="20"/>
              </w:rPr>
              <w:t>8</w:t>
            </w:r>
          </w:p>
        </w:tc>
      </w:tr>
    </w:tbl>
    <w:p>
      <w:pPr>
        <w:spacing w:after="0"/>
        <w:rPr>
          <w:sz w:val="20"/>
        </w:rPr>
        <w:sectPr>
          <w:type w:val="continuous"/>
          <w:pgSz w:w="11910" w:h="16840"/>
          <w:pgMar w:header="0" w:footer="979" w:top="1400" w:bottom="1240" w:left="280" w:right="0"/>
        </w:sectPr>
      </w:pPr>
    </w:p>
    <w:p>
      <w:pPr>
        <w:spacing w:before="80"/>
        <w:ind w:left="111" w:right="831" w:firstLine="50"/>
        <w:jc w:val="left"/>
        <w:rPr>
          <w:sz w:val="22"/>
        </w:rPr>
      </w:pPr>
      <w:r>
        <w:rPr>
          <w:sz w:val="22"/>
        </w:rPr>
        <w:t>*(**)</w:t>
      </w:r>
      <w:r>
        <w:rPr>
          <w:spacing w:val="-2"/>
          <w:sz w:val="22"/>
        </w:rPr>
        <w:t> </w:t>
      </w:r>
      <w:r>
        <w:rPr>
          <w:sz w:val="22"/>
        </w:rPr>
        <w:t>denotes</w:t>
      </w:r>
      <w:r>
        <w:rPr>
          <w:spacing w:val="-2"/>
          <w:sz w:val="22"/>
        </w:rPr>
        <w:t> </w:t>
      </w:r>
      <w:r>
        <w:rPr>
          <w:sz w:val="22"/>
        </w:rPr>
        <w:t>rejection</w:t>
      </w:r>
      <w:r>
        <w:rPr>
          <w:spacing w:val="-2"/>
          <w:sz w:val="22"/>
        </w:rPr>
        <w:t> </w:t>
      </w:r>
      <w:r>
        <w:rPr>
          <w:sz w:val="22"/>
        </w:rPr>
        <w:t>of</w:t>
      </w:r>
      <w:r>
        <w:rPr>
          <w:spacing w:val="-2"/>
          <w:sz w:val="22"/>
        </w:rPr>
        <w:t> </w:t>
      </w:r>
      <w:r>
        <w:rPr>
          <w:sz w:val="22"/>
        </w:rPr>
        <w:t>the</w:t>
      </w:r>
      <w:r>
        <w:rPr>
          <w:spacing w:val="-2"/>
          <w:sz w:val="22"/>
        </w:rPr>
        <w:t> </w:t>
      </w:r>
      <w:r>
        <w:rPr>
          <w:sz w:val="22"/>
        </w:rPr>
        <w:t>hypothesis</w:t>
      </w:r>
      <w:r>
        <w:rPr>
          <w:spacing w:val="-4"/>
          <w:sz w:val="22"/>
        </w:rPr>
        <w:t> </w:t>
      </w:r>
      <w:r>
        <w:rPr>
          <w:sz w:val="22"/>
        </w:rPr>
        <w:t>at 5</w:t>
      </w:r>
      <w:r>
        <w:rPr>
          <w:spacing w:val="-2"/>
          <w:sz w:val="22"/>
        </w:rPr>
        <w:t> </w:t>
      </w:r>
      <w:r>
        <w:rPr>
          <w:sz w:val="22"/>
        </w:rPr>
        <w:t>%(1%)</w:t>
      </w:r>
      <w:r>
        <w:rPr>
          <w:spacing w:val="-2"/>
          <w:sz w:val="22"/>
        </w:rPr>
        <w:t> </w:t>
      </w:r>
      <w:r>
        <w:rPr>
          <w:sz w:val="22"/>
        </w:rPr>
        <w:t>significance</w:t>
      </w:r>
      <w:r>
        <w:rPr>
          <w:spacing w:val="-2"/>
          <w:sz w:val="22"/>
        </w:rPr>
        <w:t> </w:t>
      </w:r>
      <w:r>
        <w:rPr>
          <w:sz w:val="22"/>
        </w:rPr>
        <w:t>level</w:t>
      </w:r>
      <w:r>
        <w:rPr>
          <w:spacing w:val="-1"/>
          <w:sz w:val="22"/>
        </w:rPr>
        <w:t> </w:t>
      </w:r>
      <w:r>
        <w:rPr>
          <w:sz w:val="22"/>
        </w:rPr>
        <w:t>L.R.</w:t>
      </w:r>
      <w:r>
        <w:rPr>
          <w:spacing w:val="-2"/>
          <w:sz w:val="22"/>
        </w:rPr>
        <w:t> </w:t>
      </w:r>
      <w:r>
        <w:rPr>
          <w:sz w:val="22"/>
        </w:rPr>
        <w:t>test</w:t>
      </w:r>
      <w:r>
        <w:rPr>
          <w:spacing w:val="-1"/>
          <w:sz w:val="22"/>
        </w:rPr>
        <w:t> </w:t>
      </w:r>
      <w:r>
        <w:rPr>
          <w:sz w:val="22"/>
        </w:rPr>
        <w:t>indicates</w:t>
      </w:r>
      <w:r>
        <w:rPr>
          <w:spacing w:val="-2"/>
          <w:sz w:val="22"/>
        </w:rPr>
        <w:t> </w:t>
      </w:r>
      <w:r>
        <w:rPr>
          <w:sz w:val="22"/>
        </w:rPr>
        <w:t>4</w:t>
      </w:r>
      <w:r>
        <w:rPr>
          <w:spacing w:val="-2"/>
          <w:sz w:val="22"/>
        </w:rPr>
        <w:t> </w:t>
      </w:r>
      <w:r>
        <w:rPr>
          <w:sz w:val="22"/>
        </w:rPr>
        <w:t>cointegrating</w:t>
      </w:r>
      <w:r>
        <w:rPr>
          <w:spacing w:val="-5"/>
          <w:sz w:val="22"/>
        </w:rPr>
        <w:t> </w:t>
      </w:r>
      <w:r>
        <w:rPr>
          <w:sz w:val="22"/>
        </w:rPr>
        <w:t>equation(s)</w:t>
      </w:r>
      <w:r>
        <w:rPr>
          <w:spacing w:val="-4"/>
          <w:sz w:val="22"/>
        </w:rPr>
        <w:t> </w:t>
      </w:r>
      <w:r>
        <w:rPr>
          <w:sz w:val="22"/>
        </w:rPr>
        <w:t>at 5% significance level.</w:t>
      </w:r>
    </w:p>
    <w:p>
      <w:pPr>
        <w:pStyle w:val="BodyText"/>
        <w:spacing w:before="1"/>
        <w:ind w:left="111"/>
        <w:rPr>
          <w:b/>
        </w:rPr>
      </w:pPr>
      <w:r>
        <w:rPr/>
        <w:t>Source:</w:t>
      </w:r>
      <w:r>
        <w:rPr>
          <w:spacing w:val="-4"/>
        </w:rPr>
        <w:t> </w:t>
      </w:r>
      <w:r>
        <w:rPr/>
        <w:t>Computation,</w:t>
      </w:r>
      <w:r>
        <w:rPr>
          <w:spacing w:val="-2"/>
        </w:rPr>
        <w:t> </w:t>
      </w:r>
      <w:r>
        <w:rPr/>
        <w:t>using</w:t>
      </w:r>
      <w:r>
        <w:rPr>
          <w:spacing w:val="-4"/>
        </w:rPr>
        <w:t> </w:t>
      </w:r>
      <w:r>
        <w:rPr/>
        <w:t>E-view</w:t>
      </w:r>
      <w:r>
        <w:rPr>
          <w:spacing w:val="-2"/>
        </w:rPr>
        <w:t> </w:t>
      </w:r>
      <w:r>
        <w:rPr/>
        <w:t>statistical</w:t>
      </w:r>
      <w:r>
        <w:rPr>
          <w:spacing w:val="-1"/>
        </w:rPr>
        <w:t> </w:t>
      </w:r>
      <w:r>
        <w:rPr>
          <w:spacing w:val="-2"/>
        </w:rPr>
        <w:t>package</w:t>
      </w:r>
      <w:r>
        <w:rPr>
          <w:b/>
          <w:spacing w:val="-2"/>
        </w:rPr>
        <w:t>.</w:t>
      </w:r>
    </w:p>
    <w:p>
      <w:pPr>
        <w:pStyle w:val="BodyText"/>
        <w:rPr>
          <w:b/>
        </w:rPr>
      </w:pPr>
    </w:p>
    <w:p>
      <w:pPr>
        <w:pStyle w:val="BodyText"/>
        <w:spacing w:before="142"/>
        <w:rPr>
          <w:b/>
        </w:rPr>
      </w:pPr>
    </w:p>
    <w:p>
      <w:pPr>
        <w:pStyle w:val="BodyText"/>
        <w:spacing w:line="480" w:lineRule="auto"/>
        <w:ind w:left="711" w:right="473"/>
        <w:jc w:val="both"/>
      </w:pPr>
      <w:r>
        <w:rPr/>
        <w:t>Table 4.14 above shows that a long run equilibrium relationship exists in the World Bank &amp; Erbe (1985) approach of Model as likelihood ratio of 320. 0949 is greater than</w:t>
      </w:r>
      <w:r>
        <w:rPr>
          <w:spacing w:val="-1"/>
        </w:rPr>
        <w:t> </w:t>
      </w:r>
      <w:r>
        <w:rPr/>
        <w:t>5 per cent critical value</w:t>
      </w:r>
      <w:r>
        <w:rPr>
          <w:spacing w:val="-1"/>
        </w:rPr>
        <w:t> </w:t>
      </w:r>
      <w:r>
        <w:rPr/>
        <w:t>of</w:t>
      </w:r>
      <w:r>
        <w:rPr>
          <w:spacing w:val="-1"/>
        </w:rPr>
        <w:t> </w:t>
      </w:r>
      <w:r>
        <w:rPr/>
        <w:t>192.89 at none hypothesized (None**). The</w:t>
      </w:r>
      <w:r>
        <w:rPr>
          <w:spacing w:val="-2"/>
        </w:rPr>
        <w:t> </w:t>
      </w:r>
      <w:r>
        <w:rPr/>
        <w:t>analysis indicates</w:t>
      </w:r>
      <w:r>
        <w:rPr>
          <w:spacing w:val="-1"/>
        </w:rPr>
        <w:t> </w:t>
      </w:r>
      <w:r>
        <w:rPr/>
        <w:t>that there are four cointegrating equations at 5%</w:t>
      </w:r>
      <w:r>
        <w:rPr>
          <w:spacing w:val="-1"/>
        </w:rPr>
        <w:t> </w:t>
      </w:r>
      <w:r>
        <w:rPr/>
        <w:t>significance level. The</w:t>
      </w:r>
      <w:r>
        <w:rPr>
          <w:spacing w:val="40"/>
        </w:rPr>
        <w:t> </w:t>
      </w:r>
      <w:r>
        <w:rPr/>
        <w:t>results confirmed that various determinants of capital flight namely: external debt (EXTDEBT), degree of openness (DOP), inflation rate (INF), gross capital formation (GCF), deposit rate (DR), private sector</w:t>
      </w:r>
      <w:r>
        <w:rPr>
          <w:spacing w:val="-2"/>
        </w:rPr>
        <w:t> </w:t>
      </w:r>
      <w:r>
        <w:rPr/>
        <w:t>credit</w:t>
      </w:r>
      <w:r>
        <w:rPr>
          <w:spacing w:val="-2"/>
        </w:rPr>
        <w:t> </w:t>
      </w:r>
      <w:r>
        <w:rPr/>
        <w:t>(PRIVCR),</w:t>
      </w:r>
      <w:r>
        <w:rPr>
          <w:spacing w:val="-2"/>
        </w:rPr>
        <w:t> </w:t>
      </w:r>
      <w:r>
        <w:rPr/>
        <w:t>interest</w:t>
      </w:r>
      <w:r>
        <w:rPr>
          <w:spacing w:val="-2"/>
        </w:rPr>
        <w:t> </w:t>
      </w:r>
      <w:r>
        <w:rPr/>
        <w:t>rate</w:t>
      </w:r>
      <w:r>
        <w:rPr>
          <w:spacing w:val="-2"/>
        </w:rPr>
        <w:t> </w:t>
      </w:r>
      <w:r>
        <w:rPr/>
        <w:t>differential</w:t>
      </w:r>
      <w:r>
        <w:rPr>
          <w:spacing w:val="-2"/>
        </w:rPr>
        <w:t> </w:t>
      </w:r>
      <w:r>
        <w:rPr/>
        <w:t>(USIRD)</w:t>
      </w:r>
      <w:r>
        <w:rPr>
          <w:spacing w:val="-1"/>
        </w:rPr>
        <w:t> </w:t>
      </w:r>
      <w:r>
        <w:rPr/>
        <w:t>and government</w:t>
      </w:r>
      <w:r>
        <w:rPr>
          <w:spacing w:val="-2"/>
        </w:rPr>
        <w:t> </w:t>
      </w:r>
      <w:r>
        <w:rPr/>
        <w:t>current expenditure</w:t>
      </w:r>
      <w:r>
        <w:rPr>
          <w:spacing w:val="-3"/>
        </w:rPr>
        <w:t> </w:t>
      </w:r>
      <w:r>
        <w:rPr/>
        <w:t>(GOCE)</w:t>
      </w:r>
      <w:r>
        <w:rPr>
          <w:spacing w:val="40"/>
        </w:rPr>
        <w:t> </w:t>
      </w:r>
      <w:r>
        <w:rPr/>
        <w:t>are </w:t>
      </w:r>
      <w:r>
        <w:rPr>
          <w:position w:val="2"/>
        </w:rPr>
        <w:t>co-itegrated in the long run. Hence, the hypothesis of no co-integration (H</w:t>
      </w:r>
      <w:r>
        <w:rPr>
          <w:sz w:val="16"/>
        </w:rPr>
        <w:t>0</w:t>
      </w:r>
      <w:r>
        <w:rPr>
          <w:position w:val="2"/>
        </w:rPr>
        <w:t>) is rejected and that of presence of co-integration (H</w:t>
      </w:r>
      <w:r>
        <w:rPr>
          <w:sz w:val="16"/>
        </w:rPr>
        <w:t>1</w:t>
      </w:r>
      <w:r>
        <w:rPr>
          <w:position w:val="2"/>
        </w:rPr>
        <w:t>) is upheld.</w:t>
      </w:r>
    </w:p>
    <w:p>
      <w:pPr>
        <w:pStyle w:val="BodyText"/>
        <w:spacing w:before="269"/>
      </w:pPr>
    </w:p>
    <w:p>
      <w:pPr>
        <w:pStyle w:val="Heading6"/>
        <w:numPr>
          <w:ilvl w:val="2"/>
          <w:numId w:val="24"/>
        </w:numPr>
        <w:tabs>
          <w:tab w:pos="1251" w:val="left" w:leader="none"/>
        </w:tabs>
        <w:spacing w:line="240" w:lineRule="auto" w:before="0" w:after="0"/>
        <w:ind w:left="1251" w:right="0" w:hanging="540"/>
        <w:jc w:val="left"/>
      </w:pPr>
      <w:r>
        <w:rPr/>
        <w:t>The</w:t>
      </w:r>
      <w:r>
        <w:rPr>
          <w:spacing w:val="-3"/>
        </w:rPr>
        <w:t> </w:t>
      </w:r>
      <w:r>
        <w:rPr/>
        <w:t>Long Run</w:t>
      </w:r>
      <w:r>
        <w:rPr>
          <w:spacing w:val="1"/>
        </w:rPr>
        <w:t> </w:t>
      </w:r>
      <w:r>
        <w:rPr>
          <w:spacing w:val="-4"/>
        </w:rPr>
        <w:t>Model</w:t>
      </w:r>
    </w:p>
    <w:p>
      <w:pPr>
        <w:pStyle w:val="BodyText"/>
        <w:spacing w:before="1"/>
        <w:rPr>
          <w:b/>
        </w:rPr>
      </w:pPr>
    </w:p>
    <w:p>
      <w:pPr>
        <w:pStyle w:val="BodyText"/>
        <w:spacing w:line="480" w:lineRule="auto"/>
        <w:ind w:left="711" w:right="473"/>
        <w:jc w:val="both"/>
      </w:pPr>
      <w:r>
        <w:rPr>
          <w:rFonts w:ascii="Cambria"/>
        </w:rPr>
        <w:t>The long run model is derived from the Johansen co-integration result from which the equation with the lowest log-likelihood ratio is chosen. The equation with the lowest log-likelihood ratio is the first equation with the corresponding value of -</w:t>
      </w:r>
      <w:r>
        <w:rPr/>
        <w:t>128.7814 and it is presented as follows:</w:t>
      </w:r>
    </w:p>
    <w:p>
      <w:pPr>
        <w:spacing w:line="278" w:lineRule="exact" w:before="0"/>
        <w:ind w:left="711" w:right="0" w:firstLine="0"/>
        <w:jc w:val="both"/>
        <w:rPr>
          <w:i/>
          <w:sz w:val="16"/>
        </w:rPr>
      </w:pPr>
      <w:r>
        <w:rPr>
          <w:i/>
          <w:position w:val="2"/>
          <w:sz w:val="24"/>
        </w:rPr>
        <w:t>KFW</w:t>
      </w:r>
      <w:r>
        <w:rPr>
          <w:i/>
          <w:spacing w:val="-8"/>
          <w:position w:val="2"/>
          <w:sz w:val="24"/>
        </w:rPr>
        <w:t> </w:t>
      </w:r>
      <w:r>
        <w:rPr>
          <w:i/>
          <w:position w:val="2"/>
          <w:sz w:val="24"/>
        </w:rPr>
        <w:t>=</w:t>
      </w:r>
      <w:r>
        <w:rPr>
          <w:i/>
          <w:spacing w:val="-2"/>
          <w:position w:val="2"/>
          <w:sz w:val="24"/>
        </w:rPr>
        <w:t> </w:t>
      </w:r>
      <w:r>
        <w:rPr>
          <w:i/>
          <w:position w:val="2"/>
          <w:sz w:val="24"/>
        </w:rPr>
        <w:t>2.260204</w:t>
      </w:r>
      <w:r>
        <w:rPr>
          <w:i/>
          <w:spacing w:val="-11"/>
          <w:position w:val="2"/>
          <w:sz w:val="24"/>
        </w:rPr>
        <w:t> </w:t>
      </w:r>
      <w:r>
        <w:rPr>
          <w:i/>
          <w:position w:val="2"/>
          <w:sz w:val="20"/>
        </w:rPr>
        <w:t>δ</w:t>
      </w:r>
      <w:r>
        <w:rPr>
          <w:i/>
          <w:sz w:val="13"/>
        </w:rPr>
        <w:t>EXTDEBT</w:t>
      </w:r>
      <w:r>
        <w:rPr>
          <w:i/>
          <w:spacing w:val="65"/>
          <w:sz w:val="13"/>
        </w:rPr>
        <w:t> </w:t>
      </w:r>
      <w:r>
        <w:rPr>
          <w:i/>
          <w:position w:val="2"/>
          <w:sz w:val="20"/>
        </w:rPr>
        <w:t>-</w:t>
      </w:r>
      <w:r>
        <w:rPr>
          <w:i/>
          <w:spacing w:val="-1"/>
          <w:position w:val="2"/>
          <w:sz w:val="20"/>
        </w:rPr>
        <w:t> </w:t>
      </w:r>
      <w:r>
        <w:rPr>
          <w:i/>
          <w:position w:val="2"/>
          <w:sz w:val="24"/>
        </w:rPr>
        <w:t>0.165123</w:t>
      </w:r>
      <w:r>
        <w:rPr>
          <w:i/>
          <w:sz w:val="16"/>
        </w:rPr>
        <w:t>DOP </w:t>
      </w:r>
      <w:r>
        <w:rPr>
          <w:i/>
          <w:position w:val="2"/>
          <w:sz w:val="24"/>
        </w:rPr>
        <w:t>+</w:t>
      </w:r>
      <w:r>
        <w:rPr>
          <w:i/>
          <w:spacing w:val="-21"/>
          <w:position w:val="2"/>
          <w:sz w:val="24"/>
        </w:rPr>
        <w:t> </w:t>
      </w:r>
      <w:r>
        <w:rPr>
          <w:i/>
          <w:position w:val="2"/>
          <w:sz w:val="24"/>
        </w:rPr>
        <w:t>0.926431</w:t>
      </w:r>
      <w:r>
        <w:rPr>
          <w:i/>
          <w:sz w:val="16"/>
        </w:rPr>
        <w:t>INF</w:t>
      </w:r>
      <w:r>
        <w:rPr>
          <w:i/>
          <w:spacing w:val="18"/>
          <w:sz w:val="16"/>
        </w:rPr>
        <w:t> </w:t>
      </w:r>
      <w:r>
        <w:rPr>
          <w:i/>
          <w:position w:val="2"/>
          <w:sz w:val="24"/>
        </w:rPr>
        <w:t>+</w:t>
      </w:r>
      <w:r>
        <w:rPr>
          <w:i/>
          <w:spacing w:val="-4"/>
          <w:position w:val="2"/>
          <w:sz w:val="24"/>
        </w:rPr>
        <w:t> </w:t>
      </w:r>
      <w:r>
        <w:rPr>
          <w:i/>
          <w:position w:val="2"/>
          <w:sz w:val="24"/>
        </w:rPr>
        <w:t>2.080895</w:t>
      </w:r>
      <w:r>
        <w:rPr>
          <w:i/>
          <w:sz w:val="13"/>
        </w:rPr>
        <w:t>GCF</w:t>
      </w:r>
      <w:r>
        <w:rPr>
          <w:i/>
          <w:spacing w:val="-3"/>
          <w:sz w:val="13"/>
        </w:rPr>
        <w:t> </w:t>
      </w:r>
      <w:r>
        <w:rPr>
          <w:i/>
          <w:position w:val="2"/>
          <w:sz w:val="20"/>
        </w:rPr>
        <w:t>-</w:t>
      </w:r>
      <w:r>
        <w:rPr>
          <w:i/>
          <w:spacing w:val="8"/>
          <w:position w:val="2"/>
          <w:sz w:val="20"/>
        </w:rPr>
        <w:t> </w:t>
      </w:r>
      <w:r>
        <w:rPr>
          <w:i/>
          <w:position w:val="2"/>
          <w:sz w:val="24"/>
        </w:rPr>
        <w:t>4.191684</w:t>
      </w:r>
      <w:r>
        <w:rPr>
          <w:i/>
          <w:sz w:val="13"/>
        </w:rPr>
        <w:t>DR</w:t>
      </w:r>
      <w:r>
        <w:rPr>
          <w:i/>
          <w:spacing w:val="65"/>
          <w:sz w:val="13"/>
        </w:rPr>
        <w:t> </w:t>
      </w:r>
      <w:r>
        <w:rPr>
          <w:i/>
          <w:position w:val="2"/>
          <w:sz w:val="20"/>
        </w:rPr>
        <w:t>-0.436799</w:t>
      </w:r>
      <w:r>
        <w:rPr>
          <w:i/>
          <w:spacing w:val="-9"/>
          <w:position w:val="2"/>
          <w:sz w:val="20"/>
        </w:rPr>
        <w:t> </w:t>
      </w:r>
      <w:r>
        <w:rPr>
          <w:i/>
          <w:spacing w:val="-2"/>
          <w:sz w:val="16"/>
        </w:rPr>
        <w:t>PRIVCR</w:t>
      </w:r>
    </w:p>
    <w:p>
      <w:pPr>
        <w:tabs>
          <w:tab w:pos="3429" w:val="left" w:leader="none"/>
          <w:tab w:pos="4909" w:val="left" w:leader="none"/>
          <w:tab w:pos="6352" w:val="left" w:leader="none"/>
          <w:tab w:pos="7683" w:val="left" w:leader="none"/>
          <w:tab w:pos="8813" w:val="left" w:leader="none"/>
        </w:tabs>
        <w:spacing w:line="230" w:lineRule="exact" w:before="0"/>
        <w:ind w:left="1448" w:right="0" w:firstLine="0"/>
        <w:jc w:val="left"/>
        <w:rPr>
          <w:i/>
          <w:sz w:val="20"/>
        </w:rPr>
      </w:pPr>
      <w:r>
        <w:rPr>
          <w:i/>
          <w:spacing w:val="-2"/>
          <w:sz w:val="20"/>
        </w:rPr>
        <w:t>(0.73588)</w:t>
      </w:r>
      <w:r>
        <w:rPr>
          <w:i/>
          <w:sz w:val="20"/>
        </w:rPr>
        <w:tab/>
      </w:r>
      <w:r>
        <w:rPr>
          <w:i/>
          <w:spacing w:val="-2"/>
          <w:sz w:val="20"/>
        </w:rPr>
        <w:t>(0.81570)</w:t>
      </w:r>
      <w:r>
        <w:rPr>
          <w:i/>
          <w:sz w:val="20"/>
        </w:rPr>
        <w:tab/>
      </w:r>
      <w:r>
        <w:rPr>
          <w:i/>
          <w:spacing w:val="-2"/>
          <w:sz w:val="20"/>
        </w:rPr>
        <w:t>(0.38151)</w:t>
      </w:r>
      <w:r>
        <w:rPr>
          <w:i/>
          <w:sz w:val="20"/>
        </w:rPr>
        <w:tab/>
      </w:r>
      <w:r>
        <w:rPr>
          <w:i/>
          <w:spacing w:val="-2"/>
          <w:sz w:val="20"/>
        </w:rPr>
        <w:t>(0.59936)</w:t>
      </w:r>
      <w:r>
        <w:rPr>
          <w:i/>
          <w:sz w:val="20"/>
        </w:rPr>
        <w:tab/>
      </w:r>
      <w:r>
        <w:rPr>
          <w:i/>
          <w:spacing w:val="-2"/>
          <w:sz w:val="20"/>
        </w:rPr>
        <w:t>(1.33736)</w:t>
      </w:r>
      <w:r>
        <w:rPr>
          <w:i/>
          <w:sz w:val="20"/>
        </w:rPr>
        <w:tab/>
      </w:r>
      <w:r>
        <w:rPr>
          <w:i/>
          <w:spacing w:val="-2"/>
          <w:sz w:val="20"/>
        </w:rPr>
        <w:t>(0.41330)</w:t>
      </w:r>
    </w:p>
    <w:p>
      <w:pPr>
        <w:pStyle w:val="BodyText"/>
        <w:rPr>
          <w:i/>
          <w:sz w:val="20"/>
        </w:rPr>
      </w:pPr>
    </w:p>
    <w:p>
      <w:pPr>
        <w:pStyle w:val="BodyText"/>
        <w:spacing w:before="130"/>
        <w:rPr>
          <w:i/>
          <w:sz w:val="20"/>
        </w:rPr>
      </w:pPr>
    </w:p>
    <w:p>
      <w:pPr>
        <w:tabs>
          <w:tab w:pos="8847" w:val="left" w:leader="dot"/>
        </w:tabs>
        <w:spacing w:before="0"/>
        <w:ind w:left="711" w:right="0" w:firstLine="0"/>
        <w:jc w:val="both"/>
        <w:rPr>
          <w:sz w:val="18"/>
        </w:rPr>
      </w:pPr>
      <w:r>
        <w:rPr>
          <w:i/>
          <w:sz w:val="24"/>
        </w:rPr>
        <w:t>-</w:t>
      </w:r>
      <w:r>
        <w:rPr>
          <w:i/>
          <w:spacing w:val="-3"/>
          <w:sz w:val="24"/>
        </w:rPr>
        <w:t> </w:t>
      </w:r>
      <w:r>
        <w:rPr>
          <w:i/>
          <w:sz w:val="24"/>
        </w:rPr>
        <w:t>2.335059</w:t>
      </w:r>
      <w:r>
        <w:rPr>
          <w:i/>
          <w:spacing w:val="-11"/>
          <w:sz w:val="24"/>
        </w:rPr>
        <w:t> </w:t>
      </w:r>
      <w:r>
        <w:rPr>
          <w:i/>
          <w:position w:val="-1"/>
          <w:sz w:val="13"/>
        </w:rPr>
        <w:t>USIRD</w:t>
      </w:r>
      <w:r>
        <w:rPr>
          <w:i/>
          <w:spacing w:val="1"/>
          <w:position w:val="-1"/>
          <w:sz w:val="13"/>
        </w:rPr>
        <w:t> </w:t>
      </w:r>
      <w:r>
        <w:rPr>
          <w:i/>
          <w:sz w:val="24"/>
        </w:rPr>
        <w:t>-</w:t>
      </w:r>
      <w:r>
        <w:rPr>
          <w:i/>
          <w:spacing w:val="-2"/>
          <w:sz w:val="24"/>
        </w:rPr>
        <w:t> 4.359956</w:t>
      </w:r>
      <w:r>
        <w:rPr>
          <w:i/>
          <w:spacing w:val="-2"/>
          <w:position w:val="-1"/>
          <w:sz w:val="16"/>
        </w:rPr>
        <w:t>GOCE</w:t>
      </w:r>
      <w:r>
        <w:rPr>
          <w:i/>
          <w:position w:val="-1"/>
          <w:sz w:val="16"/>
        </w:rPr>
        <w:tab/>
      </w:r>
      <w:r>
        <w:rPr>
          <w:i/>
          <w:spacing w:val="-2"/>
          <w:position w:val="-2"/>
          <w:sz w:val="18"/>
        </w:rPr>
        <w:t>(</w:t>
      </w:r>
      <w:r>
        <w:rPr>
          <w:spacing w:val="-2"/>
          <w:position w:val="-2"/>
          <w:sz w:val="18"/>
        </w:rPr>
        <w:t>4.13)</w:t>
      </w:r>
    </w:p>
    <w:p>
      <w:pPr>
        <w:tabs>
          <w:tab w:pos="3164" w:val="left" w:leader="none"/>
        </w:tabs>
        <w:spacing w:before="39"/>
        <w:ind w:left="1011" w:right="0" w:firstLine="0"/>
        <w:jc w:val="left"/>
        <w:rPr>
          <w:sz w:val="20"/>
        </w:rPr>
      </w:pPr>
      <w:r>
        <w:rPr>
          <w:spacing w:val="-2"/>
          <w:sz w:val="20"/>
        </w:rPr>
        <w:t>(0.75457)</w:t>
      </w:r>
      <w:r>
        <w:rPr>
          <w:sz w:val="20"/>
        </w:rPr>
        <w:tab/>
      </w:r>
      <w:r>
        <w:rPr>
          <w:spacing w:val="-2"/>
          <w:sz w:val="20"/>
        </w:rPr>
        <w:t>(1.19669)</w:t>
      </w:r>
    </w:p>
    <w:p>
      <w:pPr>
        <w:pStyle w:val="BodyText"/>
        <w:spacing w:before="34"/>
        <w:ind w:left="711"/>
        <w:jc w:val="both"/>
        <w:rPr>
          <w:rFonts w:ascii="Cambria"/>
        </w:rPr>
      </w:pPr>
      <w:r>
        <w:rPr>
          <w:rFonts w:ascii="Cambria"/>
          <w:b/>
        </w:rPr>
        <w:t>Note:</w:t>
      </w:r>
      <w:r>
        <w:rPr>
          <w:rFonts w:ascii="Cambria"/>
          <w:b/>
          <w:spacing w:val="77"/>
        </w:rPr>
        <w:t> </w:t>
      </w:r>
      <w:r>
        <w:rPr>
          <w:rFonts w:ascii="Cambria"/>
        </w:rPr>
        <w:t>Standard</w:t>
      </w:r>
      <w:r>
        <w:rPr>
          <w:rFonts w:ascii="Cambria"/>
          <w:spacing w:val="-4"/>
        </w:rPr>
        <w:t> </w:t>
      </w:r>
      <w:r>
        <w:rPr>
          <w:rFonts w:ascii="Cambria"/>
        </w:rPr>
        <w:t>error</w:t>
      </w:r>
      <w:r>
        <w:rPr>
          <w:rFonts w:ascii="Cambria"/>
          <w:spacing w:val="-3"/>
        </w:rPr>
        <w:t> </w:t>
      </w:r>
      <w:r>
        <w:rPr>
          <w:rFonts w:ascii="Cambria"/>
        </w:rPr>
        <w:t>statistics</w:t>
      </w:r>
      <w:r>
        <w:rPr>
          <w:rFonts w:ascii="Cambria"/>
          <w:spacing w:val="-2"/>
        </w:rPr>
        <w:t> </w:t>
      </w:r>
      <w:r>
        <w:rPr>
          <w:rFonts w:ascii="Cambria"/>
        </w:rPr>
        <w:t>are</w:t>
      </w:r>
      <w:r>
        <w:rPr>
          <w:rFonts w:ascii="Cambria"/>
          <w:spacing w:val="-1"/>
        </w:rPr>
        <w:t> </w:t>
      </w:r>
      <w:r>
        <w:rPr>
          <w:rFonts w:ascii="Cambria"/>
        </w:rPr>
        <w:t>given</w:t>
      </w:r>
      <w:r>
        <w:rPr>
          <w:rFonts w:ascii="Cambria"/>
          <w:spacing w:val="-2"/>
        </w:rPr>
        <w:t> </w:t>
      </w:r>
      <w:r>
        <w:rPr>
          <w:rFonts w:ascii="Cambria"/>
        </w:rPr>
        <w:t>in</w:t>
      </w:r>
      <w:r>
        <w:rPr>
          <w:rFonts w:ascii="Cambria"/>
          <w:spacing w:val="-1"/>
        </w:rPr>
        <w:t> </w:t>
      </w:r>
      <w:r>
        <w:rPr>
          <w:rFonts w:ascii="Cambria"/>
          <w:spacing w:val="-2"/>
        </w:rPr>
        <w:t>parentheses</w:t>
      </w:r>
    </w:p>
    <w:p>
      <w:pPr>
        <w:pStyle w:val="BodyText"/>
        <w:spacing w:before="1"/>
        <w:rPr>
          <w:rFonts w:ascii="Cambria"/>
        </w:rPr>
      </w:pPr>
    </w:p>
    <w:p>
      <w:pPr>
        <w:pStyle w:val="BodyText"/>
        <w:spacing w:line="480" w:lineRule="auto"/>
        <w:ind w:left="711" w:right="471"/>
        <w:jc w:val="both"/>
      </w:pPr>
      <w:r>
        <w:rPr/>
        <w:t>The long run Cointegration equation moves slightly in deviation to its short run results.</w:t>
      </w:r>
      <w:r>
        <w:rPr>
          <w:spacing w:val="40"/>
        </w:rPr>
        <w:t> </w:t>
      </w:r>
      <w:r>
        <w:rPr/>
        <w:t>The degree of openness (DOP) that was positively related to capital flight is now positively related showing that an open economy is prone to high capital flight in the long run, the inflation rate that was positively signed is now positively related to capital flight. This negative sign is appropriately signed because high inflation induces capital</w:t>
      </w:r>
      <w:r>
        <w:rPr>
          <w:spacing w:val="10"/>
        </w:rPr>
        <w:t> </w:t>
      </w:r>
      <w:r>
        <w:rPr/>
        <w:t>flight</w:t>
      </w:r>
      <w:r>
        <w:rPr>
          <w:spacing w:val="16"/>
        </w:rPr>
        <w:t> </w:t>
      </w:r>
      <w:r>
        <w:rPr/>
        <w:t>while</w:t>
      </w:r>
      <w:r>
        <w:rPr>
          <w:spacing w:val="13"/>
        </w:rPr>
        <w:t> </w:t>
      </w:r>
      <w:r>
        <w:rPr/>
        <w:t>low</w:t>
      </w:r>
      <w:r>
        <w:rPr>
          <w:spacing w:val="15"/>
        </w:rPr>
        <w:t> </w:t>
      </w:r>
      <w:r>
        <w:rPr/>
        <w:t>or</w:t>
      </w:r>
      <w:r>
        <w:rPr>
          <w:spacing w:val="12"/>
        </w:rPr>
        <w:t> </w:t>
      </w:r>
      <w:r>
        <w:rPr/>
        <w:t>moderate</w:t>
      </w:r>
      <w:r>
        <w:rPr>
          <w:spacing w:val="11"/>
        </w:rPr>
        <w:t> </w:t>
      </w:r>
      <w:r>
        <w:rPr/>
        <w:t>inlation</w:t>
      </w:r>
      <w:r>
        <w:rPr>
          <w:spacing w:val="13"/>
        </w:rPr>
        <w:t> </w:t>
      </w:r>
      <w:r>
        <w:rPr/>
        <w:t>rate</w:t>
      </w:r>
      <w:r>
        <w:rPr>
          <w:spacing w:val="14"/>
        </w:rPr>
        <w:t> </w:t>
      </w:r>
      <w:r>
        <w:rPr/>
        <w:t>encourages</w:t>
      </w:r>
      <w:r>
        <w:rPr>
          <w:spacing w:val="12"/>
        </w:rPr>
        <w:t> </w:t>
      </w:r>
      <w:r>
        <w:rPr/>
        <w:t>domestic</w:t>
      </w:r>
      <w:r>
        <w:rPr>
          <w:spacing w:val="12"/>
        </w:rPr>
        <w:t> </w:t>
      </w:r>
      <w:r>
        <w:rPr/>
        <w:t>investment.</w:t>
      </w:r>
      <w:r>
        <w:rPr>
          <w:spacing w:val="20"/>
        </w:rPr>
        <w:t> </w:t>
      </w:r>
      <w:r>
        <w:rPr/>
        <w:t>Although,</w:t>
      </w:r>
      <w:r>
        <w:rPr>
          <w:spacing w:val="12"/>
        </w:rPr>
        <w:t> </w:t>
      </w:r>
      <w:r>
        <w:rPr/>
        <w:t>the</w:t>
      </w:r>
      <w:r>
        <w:rPr>
          <w:spacing w:val="15"/>
        </w:rPr>
        <w:t> </w:t>
      </w:r>
      <w:r>
        <w:rPr/>
        <w:t>degree</w:t>
      </w:r>
      <w:r>
        <w:rPr>
          <w:spacing w:val="14"/>
        </w:rPr>
        <w:t> </w:t>
      </w:r>
      <w:r>
        <w:rPr>
          <w:spacing w:val="-5"/>
        </w:rPr>
        <w:t>of</w:t>
      </w:r>
    </w:p>
    <w:p>
      <w:pPr>
        <w:pStyle w:val="BodyText"/>
        <w:spacing w:line="274" w:lineRule="exact"/>
        <w:ind w:left="711"/>
        <w:jc w:val="both"/>
      </w:pPr>
      <w:r>
        <w:rPr/>
        <w:t>openness</w:t>
      </w:r>
      <w:r>
        <w:rPr>
          <w:spacing w:val="16"/>
        </w:rPr>
        <w:t> </w:t>
      </w:r>
      <w:r>
        <w:rPr/>
        <w:t>(DOP)</w:t>
      </w:r>
      <w:r>
        <w:rPr>
          <w:spacing w:val="17"/>
        </w:rPr>
        <w:t> </w:t>
      </w:r>
      <w:r>
        <w:rPr/>
        <w:t>is</w:t>
      </w:r>
      <w:r>
        <w:rPr>
          <w:spacing w:val="22"/>
        </w:rPr>
        <w:t> </w:t>
      </w:r>
      <w:r>
        <w:rPr/>
        <w:t>expected</w:t>
      </w:r>
      <w:r>
        <w:rPr>
          <w:spacing w:val="17"/>
        </w:rPr>
        <w:t> </w:t>
      </w:r>
      <w:r>
        <w:rPr/>
        <w:t>to</w:t>
      </w:r>
      <w:r>
        <w:rPr>
          <w:spacing w:val="19"/>
        </w:rPr>
        <w:t> </w:t>
      </w:r>
      <w:r>
        <w:rPr/>
        <w:t>be</w:t>
      </w:r>
      <w:r>
        <w:rPr>
          <w:spacing w:val="17"/>
        </w:rPr>
        <w:t> </w:t>
      </w:r>
      <w:r>
        <w:rPr/>
        <w:t>positively</w:t>
      </w:r>
      <w:r>
        <w:rPr>
          <w:spacing w:val="15"/>
        </w:rPr>
        <w:t> </w:t>
      </w:r>
      <w:r>
        <w:rPr/>
        <w:t>related</w:t>
      </w:r>
      <w:r>
        <w:rPr>
          <w:spacing w:val="18"/>
        </w:rPr>
        <w:t> </w:t>
      </w:r>
      <w:r>
        <w:rPr/>
        <w:t>to</w:t>
      </w:r>
      <w:r>
        <w:rPr>
          <w:spacing w:val="18"/>
        </w:rPr>
        <w:t> </w:t>
      </w:r>
      <w:r>
        <w:rPr/>
        <w:t>capital</w:t>
      </w:r>
      <w:r>
        <w:rPr>
          <w:spacing w:val="19"/>
        </w:rPr>
        <w:t> </w:t>
      </w:r>
      <w:r>
        <w:rPr/>
        <w:t>flight</w:t>
      </w:r>
      <w:r>
        <w:rPr>
          <w:spacing w:val="18"/>
        </w:rPr>
        <w:t> </w:t>
      </w:r>
      <w:r>
        <w:rPr/>
        <w:t>(KF),</w:t>
      </w:r>
      <w:r>
        <w:rPr>
          <w:spacing w:val="17"/>
        </w:rPr>
        <w:t> </w:t>
      </w:r>
      <w:r>
        <w:rPr/>
        <w:t>i.e.,</w:t>
      </w:r>
      <w:r>
        <w:rPr>
          <w:spacing w:val="18"/>
        </w:rPr>
        <w:t> </w:t>
      </w:r>
      <w:r>
        <w:rPr/>
        <w:t>an</w:t>
      </w:r>
      <w:r>
        <w:rPr>
          <w:spacing w:val="17"/>
        </w:rPr>
        <w:t> </w:t>
      </w:r>
      <w:r>
        <w:rPr/>
        <w:t>open</w:t>
      </w:r>
      <w:r>
        <w:rPr>
          <w:spacing w:val="21"/>
        </w:rPr>
        <w:t> </w:t>
      </w:r>
      <w:r>
        <w:rPr/>
        <w:t>economy</w:t>
      </w:r>
      <w:r>
        <w:rPr>
          <w:spacing w:val="15"/>
        </w:rPr>
        <w:t> </w:t>
      </w:r>
      <w:r>
        <w:rPr/>
        <w:t>which</w:t>
      </w:r>
      <w:r>
        <w:rPr>
          <w:spacing w:val="18"/>
        </w:rPr>
        <w:t> </w:t>
      </w:r>
      <w:r>
        <w:rPr>
          <w:spacing w:val="-5"/>
        </w:rPr>
        <w:t>is</w:t>
      </w:r>
    </w:p>
    <w:p>
      <w:pPr>
        <w:spacing w:after="0" w:line="274" w:lineRule="exact"/>
        <w:jc w:val="both"/>
        <w:sectPr>
          <w:pgSz w:w="11910" w:h="16840"/>
          <w:pgMar w:header="0" w:footer="979" w:top="1340" w:bottom="1240" w:left="280" w:right="0"/>
        </w:sectPr>
      </w:pPr>
    </w:p>
    <w:p>
      <w:pPr>
        <w:pStyle w:val="BodyText"/>
        <w:spacing w:line="480" w:lineRule="auto" w:before="60"/>
        <w:ind w:left="711" w:right="468"/>
        <w:jc w:val="both"/>
      </w:pPr>
      <w:r>
        <w:rPr/>
        <w:t>measured by</w:t>
      </w:r>
      <w:r>
        <w:rPr>
          <w:spacing w:val="-5"/>
        </w:rPr>
        <w:t> </w:t>
      </w:r>
      <w:r>
        <w:rPr/>
        <w:t>free</w:t>
      </w:r>
      <w:r>
        <w:rPr>
          <w:spacing w:val="-1"/>
        </w:rPr>
        <w:t> </w:t>
      </w:r>
      <w:r>
        <w:rPr/>
        <w:t>flow</w:t>
      </w:r>
      <w:r>
        <w:rPr>
          <w:spacing w:val="-1"/>
        </w:rPr>
        <w:t> </w:t>
      </w:r>
      <w:r>
        <w:rPr/>
        <w:t>of</w:t>
      </w:r>
      <w:r>
        <w:rPr>
          <w:spacing w:val="-1"/>
        </w:rPr>
        <w:t> </w:t>
      </w:r>
      <w:r>
        <w:rPr/>
        <w:t>export</w:t>
      </w:r>
      <w:r>
        <w:rPr>
          <w:spacing w:val="-1"/>
        </w:rPr>
        <w:t> </w:t>
      </w:r>
      <w:r>
        <w:rPr/>
        <w:t>and</w:t>
      </w:r>
      <w:r>
        <w:rPr>
          <w:spacing w:val="-3"/>
        </w:rPr>
        <w:t> </w:t>
      </w:r>
      <w:r>
        <w:rPr/>
        <w:t>import is expected</w:t>
      </w:r>
      <w:r>
        <w:rPr>
          <w:spacing w:val="-1"/>
        </w:rPr>
        <w:t> </w:t>
      </w:r>
      <w:r>
        <w:rPr/>
        <w:t>to propel greater</w:t>
      </w:r>
      <w:r>
        <w:rPr>
          <w:spacing w:val="-2"/>
        </w:rPr>
        <w:t> </w:t>
      </w:r>
      <w:r>
        <w:rPr/>
        <w:t>out flow</w:t>
      </w:r>
      <w:r>
        <w:rPr>
          <w:spacing w:val="-1"/>
        </w:rPr>
        <w:t> </w:t>
      </w:r>
      <w:r>
        <w:rPr/>
        <w:t>of</w:t>
      </w:r>
      <w:r>
        <w:rPr>
          <w:spacing w:val="-1"/>
        </w:rPr>
        <w:t> </w:t>
      </w:r>
      <w:r>
        <w:rPr/>
        <w:t>capital. However,</w:t>
      </w:r>
      <w:r>
        <w:rPr>
          <w:spacing w:val="-1"/>
        </w:rPr>
        <w:t> </w:t>
      </w:r>
      <w:r>
        <w:rPr/>
        <w:t>if</w:t>
      </w:r>
      <w:r>
        <w:rPr>
          <w:spacing w:val="-1"/>
        </w:rPr>
        <w:t> </w:t>
      </w:r>
      <w:r>
        <w:rPr/>
        <w:t>the rate of export is greater than import in an economy, there will be more inflow of capital than out flow of capital. This is what this negative relationship in this analysis suggests.</w:t>
      </w:r>
      <w:r>
        <w:rPr>
          <w:spacing w:val="40"/>
        </w:rPr>
        <w:t> </w:t>
      </w:r>
      <w:r>
        <w:rPr/>
        <w:t>In like manner, gross capital formation (GCF) that was negatively related to capital flight in the short run is now positively related to capital flight (KF). This is not appropriately signed because high domestic investment is expected to boost economic growth and reduce capital flight. Generally, GCF which is a reflection of increase of investment</w:t>
      </w:r>
      <w:r>
        <w:rPr>
          <w:spacing w:val="80"/>
        </w:rPr>
        <w:t> </w:t>
      </w:r>
      <w:r>
        <w:rPr/>
        <w:t>in fixed capital and other tangible infrastructures that will discourage capital out flow Again, the</w:t>
      </w:r>
      <w:r>
        <w:rPr>
          <w:spacing w:val="40"/>
        </w:rPr>
        <w:t> </w:t>
      </w:r>
      <w:r>
        <w:rPr/>
        <w:t>government current expenditure (GOCE) and private sector credit (PRIVCR) that exhibited positive relationship with the dependent variable (capital flight) now revealed negative relationship; this is in line with the </w:t>
      </w:r>
      <w:r>
        <w:rPr>
          <w:i/>
        </w:rPr>
        <w:t>apriori </w:t>
      </w:r>
      <w:r>
        <w:rPr/>
        <w:t>expectation because increase in government expenditures will improve domestic economy and reduce borrowed funds that are subject to volatility while increase in banks’ credit to finance domestic investment will boost the economy and encourage private wealth holders to invest locally.</w:t>
      </w:r>
      <w:r>
        <w:rPr>
          <w:spacing w:val="80"/>
          <w:w w:val="150"/>
        </w:rPr>
        <w:t> </w:t>
      </w:r>
      <w:r>
        <w:rPr/>
        <w:t>However, change in external debt (δEXDEBT) maintains the same positive relationship with capital flight both in the short and long run. This proved that increased debt accumulation in Nigeria has brought about increase capital flight; this confirmed the debt volatility nature of the Nigerian debt. Also, inflation rate (INF) and deposit rate (DR) maintains the same negative relationship, these variables are appropriately</w:t>
      </w:r>
      <w:r>
        <w:rPr>
          <w:spacing w:val="-2"/>
        </w:rPr>
        <w:t> </w:t>
      </w:r>
      <w:r>
        <w:rPr/>
        <w:t>signed because high deposit rate on will encourage domestic wealth holders to invest at home rather to moving their capital abroad for higher returns while a persistent increase in inflation rate will prompt local investors to move their capital to other economies with stable rate.</w:t>
      </w:r>
      <w:r>
        <w:rPr>
          <w:spacing w:val="80"/>
        </w:rPr>
        <w:t> </w:t>
      </w:r>
      <w:r>
        <w:rPr/>
        <w:t>If the cost of securing funds for investment in Nigeria is</w:t>
      </w:r>
      <w:r>
        <w:rPr>
          <w:spacing w:val="40"/>
        </w:rPr>
        <w:t> </w:t>
      </w:r>
      <w:r>
        <w:rPr/>
        <w:t>far higher than the rate in other economies, the rate of capital out flow will be high. especially the United State of America and other developed economies. Apart from this, high interest rate differential between Nigeria and the rest of the World will encourage capital flight while a low interest rate differential will reduce capital flight.</w:t>
      </w:r>
    </w:p>
    <w:p>
      <w:pPr>
        <w:pStyle w:val="BodyText"/>
        <w:spacing w:line="480" w:lineRule="auto" w:before="4"/>
        <w:ind w:left="711" w:right="473"/>
        <w:jc w:val="both"/>
      </w:pPr>
      <w:r>
        <w:rPr/>
        <w:t>Having investigated the existence of long run relationship in the models, the next is to conduct the error correlation mechanism.</w:t>
      </w:r>
    </w:p>
    <w:p>
      <w:pPr>
        <w:spacing w:after="0" w:line="480" w:lineRule="auto"/>
        <w:jc w:val="both"/>
        <w:sectPr>
          <w:pgSz w:w="11910" w:h="16840"/>
          <w:pgMar w:header="0" w:footer="979" w:top="1360" w:bottom="1240" w:left="280" w:right="0"/>
        </w:sectPr>
      </w:pPr>
    </w:p>
    <w:p>
      <w:pPr>
        <w:pStyle w:val="Heading6"/>
        <w:numPr>
          <w:ilvl w:val="2"/>
          <w:numId w:val="24"/>
        </w:numPr>
        <w:tabs>
          <w:tab w:pos="1431" w:val="left" w:leader="none"/>
        </w:tabs>
        <w:spacing w:line="240" w:lineRule="auto" w:before="60" w:after="0"/>
        <w:ind w:left="1431" w:right="0" w:hanging="720"/>
        <w:jc w:val="left"/>
      </w:pPr>
      <w:r>
        <w:rPr/>
        <w:t>Error</w:t>
      </w:r>
      <w:r>
        <w:rPr>
          <w:spacing w:val="-4"/>
        </w:rPr>
        <w:t> </w:t>
      </w:r>
      <w:r>
        <w:rPr/>
        <w:t>Correction Test</w:t>
      </w:r>
      <w:r>
        <w:rPr>
          <w:spacing w:val="-1"/>
        </w:rPr>
        <w:t> </w:t>
      </w:r>
      <w:r>
        <w:rPr/>
        <w:t>for</w:t>
      </w:r>
      <w:r>
        <w:rPr>
          <w:spacing w:val="-1"/>
        </w:rPr>
        <w:t> </w:t>
      </w:r>
      <w:r>
        <w:rPr/>
        <w:t>Model</w:t>
      </w:r>
      <w:r>
        <w:rPr>
          <w:spacing w:val="-1"/>
        </w:rPr>
        <w:t> </w:t>
      </w:r>
      <w:r>
        <w:rPr/>
        <w:t>1A</w:t>
      </w:r>
      <w:r>
        <w:rPr>
          <w:spacing w:val="-1"/>
        </w:rPr>
        <w:t> </w:t>
      </w:r>
      <w:r>
        <w:rPr/>
        <w:t>(World Bank &amp;</w:t>
      </w:r>
      <w:r>
        <w:rPr>
          <w:spacing w:val="-2"/>
        </w:rPr>
        <w:t> </w:t>
      </w:r>
      <w:r>
        <w:rPr/>
        <w:t>Erbe</w:t>
      </w:r>
      <w:r>
        <w:rPr>
          <w:spacing w:val="-1"/>
        </w:rPr>
        <w:t> </w:t>
      </w:r>
      <w:r>
        <w:rPr/>
        <w:t>(1985) </w:t>
      </w:r>
      <w:r>
        <w:rPr>
          <w:spacing w:val="-2"/>
        </w:rPr>
        <w:t>approach).</w:t>
      </w:r>
    </w:p>
    <w:p>
      <w:pPr>
        <w:pStyle w:val="BodyText"/>
        <w:spacing w:before="1"/>
        <w:rPr>
          <w:b/>
        </w:rPr>
      </w:pPr>
    </w:p>
    <w:p>
      <w:pPr>
        <w:pStyle w:val="BodyText"/>
        <w:spacing w:line="480" w:lineRule="auto"/>
        <w:ind w:left="711" w:right="471"/>
        <w:jc w:val="both"/>
      </w:pPr>
      <w:r>
        <w:rPr/>
        <w:t>In line with the result obtained in the unit root test, the error correction mechanism showed that the ECM is stationary</w:t>
      </w:r>
      <w:r>
        <w:rPr>
          <w:spacing w:val="-4"/>
        </w:rPr>
        <w:t> </w:t>
      </w:r>
      <w:r>
        <w:rPr/>
        <w:t>at level; therefore,</w:t>
      </w:r>
      <w:r>
        <w:rPr>
          <w:spacing w:val="-1"/>
        </w:rPr>
        <w:t> </w:t>
      </w:r>
      <w:r>
        <w:rPr/>
        <w:t>an</w:t>
      </w:r>
      <w:r>
        <w:rPr>
          <w:spacing w:val="-1"/>
        </w:rPr>
        <w:t> </w:t>
      </w:r>
      <w:r>
        <w:rPr/>
        <w:t>over-parametized</w:t>
      </w:r>
      <w:r>
        <w:rPr>
          <w:spacing w:val="-1"/>
        </w:rPr>
        <w:t> </w:t>
      </w:r>
      <w:r>
        <w:rPr/>
        <w:t>error</w:t>
      </w:r>
      <w:r>
        <w:rPr>
          <w:spacing w:val="-2"/>
        </w:rPr>
        <w:t> </w:t>
      </w:r>
      <w:r>
        <w:rPr/>
        <w:t>correction</w:t>
      </w:r>
      <w:r>
        <w:rPr>
          <w:spacing w:val="-1"/>
        </w:rPr>
        <w:t> </w:t>
      </w:r>
      <w:r>
        <w:rPr/>
        <w:t>model</w:t>
      </w:r>
      <w:r>
        <w:rPr>
          <w:spacing w:val="-1"/>
        </w:rPr>
        <w:t> </w:t>
      </w:r>
      <w:r>
        <w:rPr/>
        <w:t>is</w:t>
      </w:r>
      <w:r>
        <w:rPr>
          <w:spacing w:val="-1"/>
        </w:rPr>
        <w:t> </w:t>
      </w:r>
      <w:r>
        <w:rPr/>
        <w:t>required</w:t>
      </w:r>
      <w:r>
        <w:rPr>
          <w:spacing w:val="-1"/>
        </w:rPr>
        <w:t> </w:t>
      </w:r>
      <w:r>
        <w:rPr/>
        <w:t>in</w:t>
      </w:r>
      <w:r>
        <w:rPr>
          <w:spacing w:val="-1"/>
        </w:rPr>
        <w:t> </w:t>
      </w:r>
      <w:r>
        <w:rPr/>
        <w:t>this</w:t>
      </w:r>
      <w:r>
        <w:rPr>
          <w:spacing w:val="-1"/>
        </w:rPr>
        <w:t> </w:t>
      </w:r>
      <w:r>
        <w:rPr/>
        <w:t>analysis and</w:t>
      </w:r>
      <w:r>
        <w:rPr>
          <w:spacing w:val="-1"/>
        </w:rPr>
        <w:t> </w:t>
      </w:r>
      <w:r>
        <w:rPr/>
        <w:t>was obtained by using the lag length to ensure that the dynamics of the model is not compromised and properly captured. The result of the over-parametized error correction model (ECM1) is presented in table 4.14.1 </w:t>
      </w:r>
      <w:r>
        <w:rPr>
          <w:spacing w:val="-2"/>
        </w:rPr>
        <w:t>below:</w:t>
      </w:r>
    </w:p>
    <w:p>
      <w:pPr>
        <w:pStyle w:val="Heading6"/>
      </w:pPr>
      <w:r>
        <w:rPr/>
        <w:t>Table</w:t>
      </w:r>
      <w:r>
        <w:rPr>
          <w:spacing w:val="-4"/>
        </w:rPr>
        <w:t> </w:t>
      </w:r>
      <w:r>
        <w:rPr/>
        <w:t>4.14.1</w:t>
      </w:r>
      <w:r>
        <w:rPr>
          <w:spacing w:val="-2"/>
        </w:rPr>
        <w:t> </w:t>
      </w:r>
      <w:r>
        <w:rPr/>
        <w:t>Overparameterized</w:t>
      </w:r>
      <w:r>
        <w:rPr>
          <w:spacing w:val="-1"/>
        </w:rPr>
        <w:t> </w:t>
      </w:r>
      <w:r>
        <w:rPr/>
        <w:t>ECM</w:t>
      </w:r>
      <w:r>
        <w:rPr>
          <w:spacing w:val="-2"/>
        </w:rPr>
        <w:t> </w:t>
      </w:r>
      <w:r>
        <w:rPr/>
        <w:t>1</w:t>
      </w:r>
      <w:r>
        <w:rPr>
          <w:spacing w:val="1"/>
        </w:rPr>
        <w:t> </w:t>
      </w:r>
      <w:r>
        <w:rPr/>
        <w:t>(World Bank</w:t>
      </w:r>
      <w:r>
        <w:rPr>
          <w:spacing w:val="-1"/>
        </w:rPr>
        <w:t> </w:t>
      </w:r>
      <w:r>
        <w:rPr/>
        <w:t>&amp;</w:t>
      </w:r>
      <w:r>
        <w:rPr>
          <w:spacing w:val="-2"/>
        </w:rPr>
        <w:t> </w:t>
      </w:r>
      <w:r>
        <w:rPr/>
        <w:t>Erbe</w:t>
      </w:r>
      <w:r>
        <w:rPr>
          <w:spacing w:val="-2"/>
        </w:rPr>
        <w:t> </w:t>
      </w:r>
      <w:r>
        <w:rPr/>
        <w:t>(1985) </w:t>
      </w:r>
      <w:r>
        <w:rPr>
          <w:spacing w:val="-2"/>
        </w:rPr>
        <w:t>approach).</w:t>
      </w:r>
    </w:p>
    <w:p>
      <w:pPr>
        <w:pStyle w:val="BodyText"/>
        <w:spacing w:before="1"/>
        <w:rPr>
          <w:b/>
        </w:rPr>
      </w:pPr>
    </w:p>
    <w:p>
      <w:pPr>
        <w:pStyle w:val="BodyText"/>
        <w:ind w:left="711"/>
        <w:jc w:val="both"/>
      </w:pPr>
      <w:r>
        <w:rPr/>
        <w:t>This table</w:t>
      </w:r>
      <w:r>
        <w:rPr>
          <w:spacing w:val="-1"/>
        </w:rPr>
        <w:t> </w:t>
      </w:r>
      <w:r>
        <w:rPr/>
        <w:t>shows</w:t>
      </w:r>
      <w:r>
        <w:rPr>
          <w:spacing w:val="-1"/>
        </w:rPr>
        <w:t> </w:t>
      </w:r>
      <w:r>
        <w:rPr/>
        <w:t>the</w:t>
      </w:r>
      <w:r>
        <w:rPr>
          <w:spacing w:val="-1"/>
        </w:rPr>
        <w:t> </w:t>
      </w:r>
      <w:r>
        <w:rPr/>
        <w:t>over parameterized and</w:t>
      </w:r>
      <w:r>
        <w:rPr>
          <w:spacing w:val="-1"/>
        </w:rPr>
        <w:t> </w:t>
      </w:r>
      <w:r>
        <w:rPr/>
        <w:t>parsimonious ECM</w:t>
      </w:r>
      <w:r>
        <w:rPr>
          <w:spacing w:val="-1"/>
        </w:rPr>
        <w:t> </w:t>
      </w:r>
      <w:r>
        <w:rPr/>
        <w:t>for</w:t>
      </w:r>
      <w:r>
        <w:rPr>
          <w:spacing w:val="-2"/>
        </w:rPr>
        <w:t> </w:t>
      </w:r>
      <w:r>
        <w:rPr/>
        <w:t>model </w:t>
      </w:r>
      <w:r>
        <w:rPr>
          <w:spacing w:val="-5"/>
        </w:rPr>
        <w:t>1.</w:t>
      </w:r>
    </w:p>
    <w:p>
      <w:pPr>
        <w:pStyle w:val="BodyText"/>
        <w:rPr>
          <w:sz w:val="20"/>
        </w:rPr>
      </w:pPr>
    </w:p>
    <w:p>
      <w:pPr>
        <w:pStyle w:val="BodyText"/>
        <w:spacing w:before="47"/>
        <w:rPr>
          <w:sz w:val="20"/>
        </w:rPr>
      </w:pPr>
    </w:p>
    <w:tbl>
      <w:tblPr>
        <w:tblW w:w="0" w:type="auto"/>
        <w:jc w:val="left"/>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40"/>
        <w:gridCol w:w="1938"/>
        <w:gridCol w:w="1940"/>
        <w:gridCol w:w="1940"/>
        <w:gridCol w:w="1941"/>
      </w:tblGrid>
      <w:tr>
        <w:trPr>
          <w:trHeight w:val="230" w:hRule="atLeast"/>
        </w:trPr>
        <w:tc>
          <w:tcPr>
            <w:tcW w:w="1940" w:type="dxa"/>
          </w:tcPr>
          <w:p>
            <w:pPr>
              <w:pStyle w:val="TableParagraph"/>
              <w:spacing w:line="210" w:lineRule="exact"/>
              <w:ind w:left="10" w:right="4"/>
              <w:jc w:val="center"/>
              <w:rPr>
                <w:sz w:val="20"/>
              </w:rPr>
            </w:pPr>
            <w:r>
              <w:rPr>
                <w:spacing w:val="-2"/>
                <w:sz w:val="20"/>
              </w:rPr>
              <w:t>Variable</w:t>
            </w:r>
          </w:p>
        </w:tc>
        <w:tc>
          <w:tcPr>
            <w:tcW w:w="1938" w:type="dxa"/>
          </w:tcPr>
          <w:p>
            <w:pPr>
              <w:pStyle w:val="TableParagraph"/>
              <w:spacing w:line="210" w:lineRule="exact"/>
              <w:ind w:right="100"/>
              <w:jc w:val="right"/>
              <w:rPr>
                <w:sz w:val="20"/>
              </w:rPr>
            </w:pPr>
            <w:r>
              <w:rPr>
                <w:spacing w:val="-2"/>
                <w:sz w:val="20"/>
              </w:rPr>
              <w:t>Coefficient</w:t>
            </w:r>
          </w:p>
        </w:tc>
        <w:tc>
          <w:tcPr>
            <w:tcW w:w="1940" w:type="dxa"/>
          </w:tcPr>
          <w:p>
            <w:pPr>
              <w:pStyle w:val="TableParagraph"/>
              <w:spacing w:line="210" w:lineRule="exact"/>
              <w:ind w:right="100"/>
              <w:jc w:val="right"/>
              <w:rPr>
                <w:sz w:val="20"/>
              </w:rPr>
            </w:pPr>
            <w:r>
              <w:rPr>
                <w:sz w:val="20"/>
              </w:rPr>
              <w:t>Std.</w:t>
            </w:r>
            <w:r>
              <w:rPr>
                <w:spacing w:val="-4"/>
                <w:sz w:val="20"/>
              </w:rPr>
              <w:t> </w:t>
            </w:r>
            <w:r>
              <w:rPr>
                <w:spacing w:val="-2"/>
                <w:sz w:val="20"/>
              </w:rPr>
              <w:t>Error</w:t>
            </w:r>
          </w:p>
        </w:tc>
        <w:tc>
          <w:tcPr>
            <w:tcW w:w="1940" w:type="dxa"/>
          </w:tcPr>
          <w:p>
            <w:pPr>
              <w:pStyle w:val="TableParagraph"/>
              <w:spacing w:line="210" w:lineRule="exact"/>
              <w:ind w:right="103"/>
              <w:jc w:val="right"/>
              <w:rPr>
                <w:sz w:val="20"/>
              </w:rPr>
            </w:pPr>
            <w:r>
              <w:rPr>
                <w:spacing w:val="-4"/>
                <w:sz w:val="20"/>
              </w:rPr>
              <w:t>t-</w:t>
            </w:r>
            <w:r>
              <w:rPr>
                <w:spacing w:val="-2"/>
                <w:sz w:val="20"/>
              </w:rPr>
              <w:t>Statistic</w:t>
            </w:r>
          </w:p>
        </w:tc>
        <w:tc>
          <w:tcPr>
            <w:tcW w:w="1941" w:type="dxa"/>
          </w:tcPr>
          <w:p>
            <w:pPr>
              <w:pStyle w:val="TableParagraph"/>
              <w:spacing w:line="210" w:lineRule="exact"/>
              <w:ind w:right="103"/>
              <w:jc w:val="right"/>
              <w:rPr>
                <w:sz w:val="20"/>
              </w:rPr>
            </w:pPr>
            <w:r>
              <w:rPr>
                <w:spacing w:val="-2"/>
                <w:sz w:val="20"/>
              </w:rPr>
              <w:t>Prob.</w:t>
            </w:r>
          </w:p>
        </w:tc>
      </w:tr>
      <w:tr>
        <w:trPr>
          <w:trHeight w:val="230" w:hRule="atLeast"/>
        </w:trPr>
        <w:tc>
          <w:tcPr>
            <w:tcW w:w="1940" w:type="dxa"/>
          </w:tcPr>
          <w:p>
            <w:pPr>
              <w:pStyle w:val="TableParagraph"/>
              <w:spacing w:line="210" w:lineRule="exact"/>
              <w:ind w:left="10"/>
              <w:jc w:val="center"/>
              <w:rPr>
                <w:sz w:val="20"/>
              </w:rPr>
            </w:pPr>
            <w:r>
              <w:rPr>
                <w:spacing w:val="-2"/>
                <w:sz w:val="20"/>
              </w:rPr>
              <w:t>D(KFW(-1),2)</w:t>
            </w:r>
          </w:p>
        </w:tc>
        <w:tc>
          <w:tcPr>
            <w:tcW w:w="1938" w:type="dxa"/>
          </w:tcPr>
          <w:p>
            <w:pPr>
              <w:pStyle w:val="TableParagraph"/>
              <w:spacing w:line="210" w:lineRule="exact"/>
              <w:ind w:right="97"/>
              <w:jc w:val="right"/>
              <w:rPr>
                <w:sz w:val="20"/>
              </w:rPr>
            </w:pPr>
            <w:r>
              <w:rPr>
                <w:spacing w:val="-4"/>
                <w:sz w:val="20"/>
              </w:rPr>
              <w:t>-</w:t>
            </w:r>
            <w:r>
              <w:rPr>
                <w:spacing w:val="-2"/>
                <w:sz w:val="20"/>
              </w:rPr>
              <w:t>0.401921</w:t>
            </w:r>
          </w:p>
        </w:tc>
        <w:tc>
          <w:tcPr>
            <w:tcW w:w="1940" w:type="dxa"/>
          </w:tcPr>
          <w:p>
            <w:pPr>
              <w:pStyle w:val="TableParagraph"/>
              <w:spacing w:line="210" w:lineRule="exact"/>
              <w:ind w:right="100"/>
              <w:jc w:val="right"/>
              <w:rPr>
                <w:sz w:val="20"/>
              </w:rPr>
            </w:pPr>
            <w:r>
              <w:rPr>
                <w:spacing w:val="-2"/>
                <w:sz w:val="20"/>
              </w:rPr>
              <w:t>0.118523</w:t>
            </w:r>
          </w:p>
        </w:tc>
        <w:tc>
          <w:tcPr>
            <w:tcW w:w="1940" w:type="dxa"/>
          </w:tcPr>
          <w:p>
            <w:pPr>
              <w:pStyle w:val="TableParagraph"/>
              <w:spacing w:line="210" w:lineRule="exact"/>
              <w:ind w:right="100"/>
              <w:jc w:val="right"/>
              <w:rPr>
                <w:sz w:val="20"/>
              </w:rPr>
            </w:pPr>
            <w:r>
              <w:rPr>
                <w:spacing w:val="-4"/>
                <w:sz w:val="20"/>
              </w:rPr>
              <w:t>-</w:t>
            </w:r>
            <w:r>
              <w:rPr>
                <w:spacing w:val="-2"/>
                <w:sz w:val="20"/>
              </w:rPr>
              <w:t>3.391070</w:t>
            </w:r>
          </w:p>
        </w:tc>
        <w:tc>
          <w:tcPr>
            <w:tcW w:w="1941" w:type="dxa"/>
          </w:tcPr>
          <w:p>
            <w:pPr>
              <w:pStyle w:val="TableParagraph"/>
              <w:spacing w:line="210" w:lineRule="exact"/>
              <w:ind w:right="101"/>
              <w:jc w:val="right"/>
              <w:rPr>
                <w:sz w:val="20"/>
              </w:rPr>
            </w:pPr>
            <w:r>
              <w:rPr>
                <w:spacing w:val="-2"/>
                <w:sz w:val="20"/>
              </w:rPr>
              <w:t>0.0026</w:t>
            </w:r>
          </w:p>
        </w:tc>
      </w:tr>
      <w:tr>
        <w:trPr>
          <w:trHeight w:val="230" w:hRule="atLeast"/>
        </w:trPr>
        <w:tc>
          <w:tcPr>
            <w:tcW w:w="1940" w:type="dxa"/>
          </w:tcPr>
          <w:p>
            <w:pPr>
              <w:pStyle w:val="TableParagraph"/>
              <w:spacing w:line="210" w:lineRule="exact"/>
              <w:ind w:left="10" w:right="1"/>
              <w:jc w:val="center"/>
              <w:rPr>
                <w:sz w:val="20"/>
              </w:rPr>
            </w:pPr>
            <w:r>
              <w:rPr>
                <w:spacing w:val="-2"/>
                <w:sz w:val="20"/>
              </w:rPr>
              <w:t>D(EXTDEBT,2)</w:t>
            </w:r>
          </w:p>
        </w:tc>
        <w:tc>
          <w:tcPr>
            <w:tcW w:w="1938" w:type="dxa"/>
          </w:tcPr>
          <w:p>
            <w:pPr>
              <w:pStyle w:val="TableParagraph"/>
              <w:spacing w:line="210" w:lineRule="exact"/>
              <w:ind w:right="97"/>
              <w:jc w:val="right"/>
              <w:rPr>
                <w:sz w:val="20"/>
              </w:rPr>
            </w:pPr>
            <w:r>
              <w:rPr>
                <w:spacing w:val="-2"/>
                <w:sz w:val="20"/>
              </w:rPr>
              <w:t>0.272752</w:t>
            </w:r>
          </w:p>
        </w:tc>
        <w:tc>
          <w:tcPr>
            <w:tcW w:w="1940" w:type="dxa"/>
          </w:tcPr>
          <w:p>
            <w:pPr>
              <w:pStyle w:val="TableParagraph"/>
              <w:spacing w:line="210" w:lineRule="exact"/>
              <w:ind w:right="100"/>
              <w:jc w:val="right"/>
              <w:rPr>
                <w:sz w:val="20"/>
              </w:rPr>
            </w:pPr>
            <w:r>
              <w:rPr>
                <w:spacing w:val="-2"/>
                <w:sz w:val="20"/>
              </w:rPr>
              <w:t>0.058101</w:t>
            </w:r>
          </w:p>
        </w:tc>
        <w:tc>
          <w:tcPr>
            <w:tcW w:w="1940" w:type="dxa"/>
          </w:tcPr>
          <w:p>
            <w:pPr>
              <w:pStyle w:val="TableParagraph"/>
              <w:spacing w:line="210" w:lineRule="exact"/>
              <w:ind w:right="100"/>
              <w:jc w:val="right"/>
              <w:rPr>
                <w:sz w:val="20"/>
              </w:rPr>
            </w:pPr>
            <w:r>
              <w:rPr>
                <w:spacing w:val="-2"/>
                <w:sz w:val="20"/>
              </w:rPr>
              <w:t>4.694472</w:t>
            </w:r>
          </w:p>
        </w:tc>
        <w:tc>
          <w:tcPr>
            <w:tcW w:w="1941" w:type="dxa"/>
          </w:tcPr>
          <w:p>
            <w:pPr>
              <w:pStyle w:val="TableParagraph"/>
              <w:spacing w:line="210" w:lineRule="exact"/>
              <w:ind w:right="101"/>
              <w:jc w:val="right"/>
              <w:rPr>
                <w:sz w:val="20"/>
              </w:rPr>
            </w:pPr>
            <w:r>
              <w:rPr>
                <w:spacing w:val="-2"/>
                <w:sz w:val="20"/>
              </w:rPr>
              <w:t>0.0001</w:t>
            </w:r>
          </w:p>
        </w:tc>
      </w:tr>
      <w:tr>
        <w:trPr>
          <w:trHeight w:val="230" w:hRule="atLeast"/>
        </w:trPr>
        <w:tc>
          <w:tcPr>
            <w:tcW w:w="1940" w:type="dxa"/>
          </w:tcPr>
          <w:p>
            <w:pPr>
              <w:pStyle w:val="TableParagraph"/>
              <w:spacing w:line="210" w:lineRule="exact"/>
              <w:ind w:left="10" w:right="3"/>
              <w:jc w:val="center"/>
              <w:rPr>
                <w:sz w:val="20"/>
              </w:rPr>
            </w:pPr>
            <w:r>
              <w:rPr>
                <w:spacing w:val="-2"/>
                <w:sz w:val="20"/>
              </w:rPr>
              <w:t>D(EXTDEBT(-</w:t>
            </w:r>
            <w:r>
              <w:rPr>
                <w:spacing w:val="-4"/>
                <w:sz w:val="20"/>
              </w:rPr>
              <w:t>1),2)</w:t>
            </w:r>
          </w:p>
        </w:tc>
        <w:tc>
          <w:tcPr>
            <w:tcW w:w="1938" w:type="dxa"/>
          </w:tcPr>
          <w:p>
            <w:pPr>
              <w:pStyle w:val="TableParagraph"/>
              <w:spacing w:line="210" w:lineRule="exact"/>
              <w:ind w:right="97"/>
              <w:jc w:val="right"/>
              <w:rPr>
                <w:sz w:val="20"/>
              </w:rPr>
            </w:pPr>
            <w:r>
              <w:rPr>
                <w:spacing w:val="-2"/>
                <w:sz w:val="20"/>
              </w:rPr>
              <w:t>0.079978</w:t>
            </w:r>
          </w:p>
        </w:tc>
        <w:tc>
          <w:tcPr>
            <w:tcW w:w="1940" w:type="dxa"/>
          </w:tcPr>
          <w:p>
            <w:pPr>
              <w:pStyle w:val="TableParagraph"/>
              <w:spacing w:line="210" w:lineRule="exact"/>
              <w:ind w:right="100"/>
              <w:jc w:val="right"/>
              <w:rPr>
                <w:sz w:val="20"/>
              </w:rPr>
            </w:pPr>
            <w:r>
              <w:rPr>
                <w:spacing w:val="-2"/>
                <w:sz w:val="20"/>
              </w:rPr>
              <w:t>0.062270</w:t>
            </w:r>
          </w:p>
        </w:tc>
        <w:tc>
          <w:tcPr>
            <w:tcW w:w="1940" w:type="dxa"/>
          </w:tcPr>
          <w:p>
            <w:pPr>
              <w:pStyle w:val="TableParagraph"/>
              <w:spacing w:line="210" w:lineRule="exact"/>
              <w:ind w:right="100"/>
              <w:jc w:val="right"/>
              <w:rPr>
                <w:sz w:val="20"/>
              </w:rPr>
            </w:pPr>
            <w:r>
              <w:rPr>
                <w:spacing w:val="-2"/>
                <w:sz w:val="20"/>
              </w:rPr>
              <w:t>1.284386</w:t>
            </w:r>
          </w:p>
        </w:tc>
        <w:tc>
          <w:tcPr>
            <w:tcW w:w="1941" w:type="dxa"/>
          </w:tcPr>
          <w:p>
            <w:pPr>
              <w:pStyle w:val="TableParagraph"/>
              <w:spacing w:line="210" w:lineRule="exact"/>
              <w:ind w:right="101"/>
              <w:jc w:val="right"/>
              <w:rPr>
                <w:sz w:val="20"/>
              </w:rPr>
            </w:pPr>
            <w:r>
              <w:rPr>
                <w:spacing w:val="-2"/>
                <w:sz w:val="20"/>
              </w:rPr>
              <w:t>0.2124</w:t>
            </w:r>
          </w:p>
        </w:tc>
      </w:tr>
      <w:tr>
        <w:trPr>
          <w:trHeight w:val="230" w:hRule="atLeast"/>
        </w:trPr>
        <w:tc>
          <w:tcPr>
            <w:tcW w:w="1940" w:type="dxa"/>
          </w:tcPr>
          <w:p>
            <w:pPr>
              <w:pStyle w:val="TableParagraph"/>
              <w:spacing w:line="210" w:lineRule="exact"/>
              <w:ind w:left="10" w:right="2"/>
              <w:jc w:val="center"/>
              <w:rPr>
                <w:sz w:val="20"/>
              </w:rPr>
            </w:pPr>
            <w:r>
              <w:rPr>
                <w:spacing w:val="-2"/>
                <w:sz w:val="20"/>
              </w:rPr>
              <w:t>D(DOP,2)</w:t>
            </w:r>
          </w:p>
        </w:tc>
        <w:tc>
          <w:tcPr>
            <w:tcW w:w="1938" w:type="dxa"/>
          </w:tcPr>
          <w:p>
            <w:pPr>
              <w:pStyle w:val="TableParagraph"/>
              <w:spacing w:line="210" w:lineRule="exact"/>
              <w:ind w:right="97"/>
              <w:jc w:val="right"/>
              <w:rPr>
                <w:sz w:val="20"/>
              </w:rPr>
            </w:pPr>
            <w:r>
              <w:rPr>
                <w:spacing w:val="-4"/>
                <w:sz w:val="20"/>
              </w:rPr>
              <w:t>-</w:t>
            </w:r>
            <w:r>
              <w:rPr>
                <w:spacing w:val="-2"/>
                <w:sz w:val="20"/>
              </w:rPr>
              <w:t>0.346061</w:t>
            </w:r>
          </w:p>
        </w:tc>
        <w:tc>
          <w:tcPr>
            <w:tcW w:w="1940" w:type="dxa"/>
          </w:tcPr>
          <w:p>
            <w:pPr>
              <w:pStyle w:val="TableParagraph"/>
              <w:spacing w:line="210" w:lineRule="exact"/>
              <w:ind w:right="100"/>
              <w:jc w:val="right"/>
              <w:rPr>
                <w:sz w:val="20"/>
              </w:rPr>
            </w:pPr>
            <w:r>
              <w:rPr>
                <w:spacing w:val="-2"/>
                <w:sz w:val="20"/>
              </w:rPr>
              <w:t>0.577219</w:t>
            </w:r>
          </w:p>
        </w:tc>
        <w:tc>
          <w:tcPr>
            <w:tcW w:w="1940" w:type="dxa"/>
          </w:tcPr>
          <w:p>
            <w:pPr>
              <w:pStyle w:val="TableParagraph"/>
              <w:spacing w:line="210" w:lineRule="exact"/>
              <w:ind w:right="100"/>
              <w:jc w:val="right"/>
              <w:rPr>
                <w:sz w:val="20"/>
              </w:rPr>
            </w:pPr>
            <w:r>
              <w:rPr>
                <w:spacing w:val="-4"/>
                <w:sz w:val="20"/>
              </w:rPr>
              <w:t>-</w:t>
            </w:r>
            <w:r>
              <w:rPr>
                <w:spacing w:val="-2"/>
                <w:sz w:val="20"/>
              </w:rPr>
              <w:t>0.599531</w:t>
            </w:r>
          </w:p>
        </w:tc>
        <w:tc>
          <w:tcPr>
            <w:tcW w:w="1941" w:type="dxa"/>
          </w:tcPr>
          <w:p>
            <w:pPr>
              <w:pStyle w:val="TableParagraph"/>
              <w:spacing w:line="210" w:lineRule="exact"/>
              <w:ind w:right="101"/>
              <w:jc w:val="right"/>
              <w:rPr>
                <w:sz w:val="20"/>
              </w:rPr>
            </w:pPr>
            <w:r>
              <w:rPr>
                <w:spacing w:val="-2"/>
                <w:sz w:val="20"/>
              </w:rPr>
              <w:t>0.5549</w:t>
            </w:r>
          </w:p>
        </w:tc>
      </w:tr>
      <w:tr>
        <w:trPr>
          <w:trHeight w:val="230" w:hRule="atLeast"/>
        </w:trPr>
        <w:tc>
          <w:tcPr>
            <w:tcW w:w="1940" w:type="dxa"/>
          </w:tcPr>
          <w:p>
            <w:pPr>
              <w:pStyle w:val="TableParagraph"/>
              <w:spacing w:line="210" w:lineRule="exact"/>
              <w:ind w:left="10"/>
              <w:jc w:val="center"/>
              <w:rPr>
                <w:sz w:val="20"/>
              </w:rPr>
            </w:pPr>
            <w:r>
              <w:rPr>
                <w:spacing w:val="-2"/>
                <w:sz w:val="20"/>
              </w:rPr>
              <w:t>D(DOP(-1),2)</w:t>
            </w:r>
          </w:p>
        </w:tc>
        <w:tc>
          <w:tcPr>
            <w:tcW w:w="1938" w:type="dxa"/>
          </w:tcPr>
          <w:p>
            <w:pPr>
              <w:pStyle w:val="TableParagraph"/>
              <w:spacing w:line="210" w:lineRule="exact"/>
              <w:ind w:right="97"/>
              <w:jc w:val="right"/>
              <w:rPr>
                <w:sz w:val="20"/>
              </w:rPr>
            </w:pPr>
            <w:r>
              <w:rPr>
                <w:spacing w:val="-4"/>
                <w:sz w:val="20"/>
              </w:rPr>
              <w:t>-</w:t>
            </w:r>
            <w:r>
              <w:rPr>
                <w:spacing w:val="-2"/>
                <w:sz w:val="20"/>
              </w:rPr>
              <w:t>0.987925</w:t>
            </w:r>
          </w:p>
        </w:tc>
        <w:tc>
          <w:tcPr>
            <w:tcW w:w="1940" w:type="dxa"/>
          </w:tcPr>
          <w:p>
            <w:pPr>
              <w:pStyle w:val="TableParagraph"/>
              <w:spacing w:line="210" w:lineRule="exact"/>
              <w:ind w:right="100"/>
              <w:jc w:val="right"/>
              <w:rPr>
                <w:sz w:val="20"/>
              </w:rPr>
            </w:pPr>
            <w:r>
              <w:rPr>
                <w:spacing w:val="-2"/>
                <w:sz w:val="20"/>
              </w:rPr>
              <w:t>0.580502</w:t>
            </w:r>
          </w:p>
        </w:tc>
        <w:tc>
          <w:tcPr>
            <w:tcW w:w="1940" w:type="dxa"/>
          </w:tcPr>
          <w:p>
            <w:pPr>
              <w:pStyle w:val="TableParagraph"/>
              <w:spacing w:line="210" w:lineRule="exact"/>
              <w:ind w:right="100"/>
              <w:jc w:val="right"/>
              <w:rPr>
                <w:sz w:val="20"/>
              </w:rPr>
            </w:pPr>
            <w:r>
              <w:rPr>
                <w:spacing w:val="-4"/>
                <w:sz w:val="20"/>
              </w:rPr>
              <w:t>-</w:t>
            </w:r>
            <w:r>
              <w:rPr>
                <w:spacing w:val="-2"/>
                <w:sz w:val="20"/>
              </w:rPr>
              <w:t>1.701846</w:t>
            </w:r>
          </w:p>
        </w:tc>
        <w:tc>
          <w:tcPr>
            <w:tcW w:w="1941" w:type="dxa"/>
          </w:tcPr>
          <w:p>
            <w:pPr>
              <w:pStyle w:val="TableParagraph"/>
              <w:spacing w:line="210" w:lineRule="exact"/>
              <w:ind w:right="101"/>
              <w:jc w:val="right"/>
              <w:rPr>
                <w:sz w:val="20"/>
              </w:rPr>
            </w:pPr>
            <w:r>
              <w:rPr>
                <w:spacing w:val="-2"/>
                <w:sz w:val="20"/>
              </w:rPr>
              <w:t>0.1029</w:t>
            </w:r>
          </w:p>
        </w:tc>
      </w:tr>
      <w:tr>
        <w:trPr>
          <w:trHeight w:val="230" w:hRule="atLeast"/>
        </w:trPr>
        <w:tc>
          <w:tcPr>
            <w:tcW w:w="1940" w:type="dxa"/>
          </w:tcPr>
          <w:p>
            <w:pPr>
              <w:pStyle w:val="TableParagraph"/>
              <w:spacing w:line="210" w:lineRule="exact"/>
              <w:ind w:left="10" w:right="2"/>
              <w:jc w:val="center"/>
              <w:rPr>
                <w:sz w:val="20"/>
              </w:rPr>
            </w:pPr>
            <w:r>
              <w:rPr>
                <w:spacing w:val="-2"/>
                <w:sz w:val="20"/>
              </w:rPr>
              <w:t>D(INF(-1),2)</w:t>
            </w:r>
          </w:p>
        </w:tc>
        <w:tc>
          <w:tcPr>
            <w:tcW w:w="1938" w:type="dxa"/>
          </w:tcPr>
          <w:p>
            <w:pPr>
              <w:pStyle w:val="TableParagraph"/>
              <w:spacing w:line="210" w:lineRule="exact"/>
              <w:ind w:right="97"/>
              <w:jc w:val="right"/>
              <w:rPr>
                <w:sz w:val="20"/>
              </w:rPr>
            </w:pPr>
            <w:r>
              <w:rPr>
                <w:spacing w:val="-2"/>
                <w:sz w:val="20"/>
              </w:rPr>
              <w:t>0.051490</w:t>
            </w:r>
          </w:p>
        </w:tc>
        <w:tc>
          <w:tcPr>
            <w:tcW w:w="1940" w:type="dxa"/>
          </w:tcPr>
          <w:p>
            <w:pPr>
              <w:pStyle w:val="TableParagraph"/>
              <w:spacing w:line="210" w:lineRule="exact"/>
              <w:ind w:right="100"/>
              <w:jc w:val="right"/>
              <w:rPr>
                <w:sz w:val="20"/>
              </w:rPr>
            </w:pPr>
            <w:r>
              <w:rPr>
                <w:spacing w:val="-2"/>
                <w:sz w:val="20"/>
              </w:rPr>
              <w:t>0.199526</w:t>
            </w:r>
          </w:p>
        </w:tc>
        <w:tc>
          <w:tcPr>
            <w:tcW w:w="1940" w:type="dxa"/>
          </w:tcPr>
          <w:p>
            <w:pPr>
              <w:pStyle w:val="TableParagraph"/>
              <w:spacing w:line="210" w:lineRule="exact"/>
              <w:ind w:right="100"/>
              <w:jc w:val="right"/>
              <w:rPr>
                <w:sz w:val="20"/>
              </w:rPr>
            </w:pPr>
            <w:r>
              <w:rPr>
                <w:spacing w:val="-2"/>
                <w:sz w:val="20"/>
              </w:rPr>
              <w:t>0.258060</w:t>
            </w:r>
          </w:p>
        </w:tc>
        <w:tc>
          <w:tcPr>
            <w:tcW w:w="1941" w:type="dxa"/>
          </w:tcPr>
          <w:p>
            <w:pPr>
              <w:pStyle w:val="TableParagraph"/>
              <w:spacing w:line="210" w:lineRule="exact"/>
              <w:ind w:right="101"/>
              <w:jc w:val="right"/>
              <w:rPr>
                <w:sz w:val="20"/>
              </w:rPr>
            </w:pPr>
            <w:r>
              <w:rPr>
                <w:spacing w:val="-2"/>
                <w:sz w:val="20"/>
              </w:rPr>
              <w:t>0.7988</w:t>
            </w:r>
          </w:p>
        </w:tc>
      </w:tr>
      <w:tr>
        <w:trPr>
          <w:trHeight w:val="230" w:hRule="atLeast"/>
        </w:trPr>
        <w:tc>
          <w:tcPr>
            <w:tcW w:w="1940" w:type="dxa"/>
          </w:tcPr>
          <w:p>
            <w:pPr>
              <w:pStyle w:val="TableParagraph"/>
              <w:spacing w:line="210" w:lineRule="exact"/>
              <w:ind w:left="10" w:right="2"/>
              <w:jc w:val="center"/>
              <w:rPr>
                <w:sz w:val="20"/>
              </w:rPr>
            </w:pPr>
            <w:r>
              <w:rPr>
                <w:spacing w:val="-2"/>
                <w:sz w:val="20"/>
              </w:rPr>
              <w:t>D(GCF,2)</w:t>
            </w:r>
          </w:p>
        </w:tc>
        <w:tc>
          <w:tcPr>
            <w:tcW w:w="1938" w:type="dxa"/>
          </w:tcPr>
          <w:p>
            <w:pPr>
              <w:pStyle w:val="TableParagraph"/>
              <w:spacing w:line="210" w:lineRule="exact"/>
              <w:ind w:right="97"/>
              <w:jc w:val="right"/>
              <w:rPr>
                <w:sz w:val="20"/>
              </w:rPr>
            </w:pPr>
            <w:r>
              <w:rPr>
                <w:spacing w:val="-4"/>
                <w:sz w:val="20"/>
              </w:rPr>
              <w:t>-</w:t>
            </w:r>
            <w:r>
              <w:rPr>
                <w:spacing w:val="-2"/>
                <w:sz w:val="20"/>
              </w:rPr>
              <w:t>0.049846</w:t>
            </w:r>
          </w:p>
        </w:tc>
        <w:tc>
          <w:tcPr>
            <w:tcW w:w="1940" w:type="dxa"/>
          </w:tcPr>
          <w:p>
            <w:pPr>
              <w:pStyle w:val="TableParagraph"/>
              <w:spacing w:line="210" w:lineRule="exact"/>
              <w:ind w:right="100"/>
              <w:jc w:val="right"/>
              <w:rPr>
                <w:sz w:val="20"/>
              </w:rPr>
            </w:pPr>
            <w:r>
              <w:rPr>
                <w:spacing w:val="-2"/>
                <w:sz w:val="20"/>
              </w:rPr>
              <w:t>0.049644</w:t>
            </w:r>
          </w:p>
        </w:tc>
        <w:tc>
          <w:tcPr>
            <w:tcW w:w="1940" w:type="dxa"/>
          </w:tcPr>
          <w:p>
            <w:pPr>
              <w:pStyle w:val="TableParagraph"/>
              <w:spacing w:line="210" w:lineRule="exact"/>
              <w:ind w:right="100"/>
              <w:jc w:val="right"/>
              <w:rPr>
                <w:sz w:val="20"/>
              </w:rPr>
            </w:pPr>
            <w:r>
              <w:rPr>
                <w:spacing w:val="-4"/>
                <w:sz w:val="20"/>
              </w:rPr>
              <w:t>-</w:t>
            </w:r>
            <w:r>
              <w:rPr>
                <w:spacing w:val="-2"/>
                <w:sz w:val="20"/>
              </w:rPr>
              <w:t>1.004051</w:t>
            </w:r>
          </w:p>
        </w:tc>
        <w:tc>
          <w:tcPr>
            <w:tcW w:w="1941" w:type="dxa"/>
          </w:tcPr>
          <w:p>
            <w:pPr>
              <w:pStyle w:val="TableParagraph"/>
              <w:spacing w:line="210" w:lineRule="exact"/>
              <w:ind w:right="101"/>
              <w:jc w:val="right"/>
              <w:rPr>
                <w:sz w:val="20"/>
              </w:rPr>
            </w:pPr>
            <w:r>
              <w:rPr>
                <w:spacing w:val="-2"/>
                <w:sz w:val="20"/>
              </w:rPr>
              <w:t>0.3263</w:t>
            </w:r>
          </w:p>
        </w:tc>
      </w:tr>
      <w:tr>
        <w:trPr>
          <w:trHeight w:val="230" w:hRule="atLeast"/>
        </w:trPr>
        <w:tc>
          <w:tcPr>
            <w:tcW w:w="1940" w:type="dxa"/>
          </w:tcPr>
          <w:p>
            <w:pPr>
              <w:pStyle w:val="TableParagraph"/>
              <w:spacing w:line="210" w:lineRule="exact"/>
              <w:ind w:left="10" w:right="3"/>
              <w:jc w:val="center"/>
              <w:rPr>
                <w:sz w:val="20"/>
              </w:rPr>
            </w:pPr>
            <w:r>
              <w:rPr>
                <w:spacing w:val="-2"/>
                <w:sz w:val="20"/>
              </w:rPr>
              <w:t>D(GCF(-1),2)</w:t>
            </w:r>
          </w:p>
        </w:tc>
        <w:tc>
          <w:tcPr>
            <w:tcW w:w="1938" w:type="dxa"/>
          </w:tcPr>
          <w:p>
            <w:pPr>
              <w:pStyle w:val="TableParagraph"/>
              <w:spacing w:line="210" w:lineRule="exact"/>
              <w:ind w:right="97"/>
              <w:jc w:val="right"/>
              <w:rPr>
                <w:sz w:val="20"/>
              </w:rPr>
            </w:pPr>
            <w:r>
              <w:rPr>
                <w:spacing w:val="-4"/>
                <w:sz w:val="20"/>
              </w:rPr>
              <w:t>-</w:t>
            </w:r>
            <w:r>
              <w:rPr>
                <w:spacing w:val="-2"/>
                <w:sz w:val="20"/>
              </w:rPr>
              <w:t>0.056301</w:t>
            </w:r>
          </w:p>
        </w:tc>
        <w:tc>
          <w:tcPr>
            <w:tcW w:w="1940" w:type="dxa"/>
          </w:tcPr>
          <w:p>
            <w:pPr>
              <w:pStyle w:val="TableParagraph"/>
              <w:spacing w:line="210" w:lineRule="exact"/>
              <w:ind w:right="100"/>
              <w:jc w:val="right"/>
              <w:rPr>
                <w:sz w:val="20"/>
              </w:rPr>
            </w:pPr>
            <w:r>
              <w:rPr>
                <w:spacing w:val="-2"/>
                <w:sz w:val="20"/>
              </w:rPr>
              <w:t>0.048570</w:t>
            </w:r>
          </w:p>
        </w:tc>
        <w:tc>
          <w:tcPr>
            <w:tcW w:w="1940" w:type="dxa"/>
          </w:tcPr>
          <w:p>
            <w:pPr>
              <w:pStyle w:val="TableParagraph"/>
              <w:spacing w:line="210" w:lineRule="exact"/>
              <w:ind w:right="100"/>
              <w:jc w:val="right"/>
              <w:rPr>
                <w:sz w:val="20"/>
              </w:rPr>
            </w:pPr>
            <w:r>
              <w:rPr>
                <w:spacing w:val="-4"/>
                <w:sz w:val="20"/>
              </w:rPr>
              <w:t>-</w:t>
            </w:r>
            <w:r>
              <w:rPr>
                <w:spacing w:val="-2"/>
                <w:sz w:val="20"/>
              </w:rPr>
              <w:t>1.159168</w:t>
            </w:r>
          </w:p>
        </w:tc>
        <w:tc>
          <w:tcPr>
            <w:tcW w:w="1941" w:type="dxa"/>
          </w:tcPr>
          <w:p>
            <w:pPr>
              <w:pStyle w:val="TableParagraph"/>
              <w:spacing w:line="210" w:lineRule="exact"/>
              <w:ind w:right="101"/>
              <w:jc w:val="right"/>
              <w:rPr>
                <w:sz w:val="20"/>
              </w:rPr>
            </w:pPr>
            <w:r>
              <w:rPr>
                <w:spacing w:val="-2"/>
                <w:sz w:val="20"/>
              </w:rPr>
              <w:t>0.2588</w:t>
            </w:r>
          </w:p>
        </w:tc>
      </w:tr>
      <w:tr>
        <w:trPr>
          <w:trHeight w:val="230" w:hRule="atLeast"/>
        </w:trPr>
        <w:tc>
          <w:tcPr>
            <w:tcW w:w="1940" w:type="dxa"/>
          </w:tcPr>
          <w:p>
            <w:pPr>
              <w:pStyle w:val="TableParagraph"/>
              <w:spacing w:line="210" w:lineRule="exact"/>
              <w:ind w:left="10" w:right="2"/>
              <w:jc w:val="center"/>
              <w:rPr>
                <w:sz w:val="20"/>
              </w:rPr>
            </w:pPr>
            <w:r>
              <w:rPr>
                <w:spacing w:val="-2"/>
                <w:sz w:val="20"/>
              </w:rPr>
              <w:t>D(DR,2)</w:t>
            </w:r>
          </w:p>
        </w:tc>
        <w:tc>
          <w:tcPr>
            <w:tcW w:w="1938" w:type="dxa"/>
          </w:tcPr>
          <w:p>
            <w:pPr>
              <w:pStyle w:val="TableParagraph"/>
              <w:spacing w:line="210" w:lineRule="exact"/>
              <w:ind w:right="97"/>
              <w:jc w:val="right"/>
              <w:rPr>
                <w:sz w:val="20"/>
              </w:rPr>
            </w:pPr>
            <w:r>
              <w:rPr>
                <w:spacing w:val="-2"/>
                <w:sz w:val="20"/>
              </w:rPr>
              <w:t>0.802085</w:t>
            </w:r>
          </w:p>
        </w:tc>
        <w:tc>
          <w:tcPr>
            <w:tcW w:w="1940" w:type="dxa"/>
          </w:tcPr>
          <w:p>
            <w:pPr>
              <w:pStyle w:val="TableParagraph"/>
              <w:spacing w:line="210" w:lineRule="exact"/>
              <w:ind w:right="100"/>
              <w:jc w:val="right"/>
              <w:rPr>
                <w:sz w:val="20"/>
              </w:rPr>
            </w:pPr>
            <w:r>
              <w:rPr>
                <w:spacing w:val="-2"/>
                <w:sz w:val="20"/>
              </w:rPr>
              <w:t>0.678762</w:t>
            </w:r>
          </w:p>
        </w:tc>
        <w:tc>
          <w:tcPr>
            <w:tcW w:w="1940" w:type="dxa"/>
          </w:tcPr>
          <w:p>
            <w:pPr>
              <w:pStyle w:val="TableParagraph"/>
              <w:spacing w:line="210" w:lineRule="exact"/>
              <w:ind w:right="100"/>
              <w:jc w:val="right"/>
              <w:rPr>
                <w:sz w:val="20"/>
              </w:rPr>
            </w:pPr>
            <w:r>
              <w:rPr>
                <w:spacing w:val="-2"/>
                <w:sz w:val="20"/>
              </w:rPr>
              <w:t>1.181687</w:t>
            </w:r>
          </w:p>
        </w:tc>
        <w:tc>
          <w:tcPr>
            <w:tcW w:w="1941" w:type="dxa"/>
          </w:tcPr>
          <w:p>
            <w:pPr>
              <w:pStyle w:val="TableParagraph"/>
              <w:spacing w:line="210" w:lineRule="exact"/>
              <w:ind w:right="101"/>
              <w:jc w:val="right"/>
              <w:rPr>
                <w:sz w:val="20"/>
              </w:rPr>
            </w:pPr>
            <w:r>
              <w:rPr>
                <w:spacing w:val="-2"/>
                <w:sz w:val="20"/>
              </w:rPr>
              <w:t>0.2499</w:t>
            </w:r>
          </w:p>
        </w:tc>
      </w:tr>
      <w:tr>
        <w:trPr>
          <w:trHeight w:val="230" w:hRule="atLeast"/>
        </w:trPr>
        <w:tc>
          <w:tcPr>
            <w:tcW w:w="1940" w:type="dxa"/>
          </w:tcPr>
          <w:p>
            <w:pPr>
              <w:pStyle w:val="TableParagraph"/>
              <w:spacing w:line="210" w:lineRule="exact"/>
              <w:ind w:left="10" w:right="5"/>
              <w:jc w:val="center"/>
              <w:rPr>
                <w:sz w:val="20"/>
              </w:rPr>
            </w:pPr>
            <w:r>
              <w:rPr>
                <w:spacing w:val="-2"/>
                <w:sz w:val="20"/>
              </w:rPr>
              <w:t>D(DR(-1),2)</w:t>
            </w:r>
          </w:p>
        </w:tc>
        <w:tc>
          <w:tcPr>
            <w:tcW w:w="1938" w:type="dxa"/>
          </w:tcPr>
          <w:p>
            <w:pPr>
              <w:pStyle w:val="TableParagraph"/>
              <w:spacing w:line="210" w:lineRule="exact"/>
              <w:ind w:right="97"/>
              <w:jc w:val="right"/>
              <w:rPr>
                <w:sz w:val="20"/>
              </w:rPr>
            </w:pPr>
            <w:r>
              <w:rPr>
                <w:spacing w:val="-2"/>
                <w:sz w:val="20"/>
              </w:rPr>
              <w:t>0.729211</w:t>
            </w:r>
          </w:p>
        </w:tc>
        <w:tc>
          <w:tcPr>
            <w:tcW w:w="1940" w:type="dxa"/>
          </w:tcPr>
          <w:p>
            <w:pPr>
              <w:pStyle w:val="TableParagraph"/>
              <w:spacing w:line="210" w:lineRule="exact"/>
              <w:ind w:right="100"/>
              <w:jc w:val="right"/>
              <w:rPr>
                <w:sz w:val="20"/>
              </w:rPr>
            </w:pPr>
            <w:r>
              <w:rPr>
                <w:spacing w:val="-2"/>
                <w:sz w:val="20"/>
              </w:rPr>
              <w:t>0.684285</w:t>
            </w:r>
          </w:p>
        </w:tc>
        <w:tc>
          <w:tcPr>
            <w:tcW w:w="1940" w:type="dxa"/>
          </w:tcPr>
          <w:p>
            <w:pPr>
              <w:pStyle w:val="TableParagraph"/>
              <w:spacing w:line="210" w:lineRule="exact"/>
              <w:ind w:right="100"/>
              <w:jc w:val="right"/>
              <w:rPr>
                <w:sz w:val="20"/>
              </w:rPr>
            </w:pPr>
            <w:r>
              <w:rPr>
                <w:spacing w:val="-2"/>
                <w:sz w:val="20"/>
              </w:rPr>
              <w:t>1.065654</w:t>
            </w:r>
          </w:p>
        </w:tc>
        <w:tc>
          <w:tcPr>
            <w:tcW w:w="1941" w:type="dxa"/>
          </w:tcPr>
          <w:p>
            <w:pPr>
              <w:pStyle w:val="TableParagraph"/>
              <w:spacing w:line="210" w:lineRule="exact"/>
              <w:ind w:right="101"/>
              <w:jc w:val="right"/>
              <w:rPr>
                <w:sz w:val="20"/>
              </w:rPr>
            </w:pPr>
            <w:r>
              <w:rPr>
                <w:spacing w:val="-2"/>
                <w:sz w:val="20"/>
              </w:rPr>
              <w:t>0.2981</w:t>
            </w:r>
          </w:p>
        </w:tc>
      </w:tr>
      <w:tr>
        <w:trPr>
          <w:trHeight w:val="230" w:hRule="atLeast"/>
        </w:trPr>
        <w:tc>
          <w:tcPr>
            <w:tcW w:w="1940" w:type="dxa"/>
          </w:tcPr>
          <w:p>
            <w:pPr>
              <w:pStyle w:val="TableParagraph"/>
              <w:spacing w:line="210" w:lineRule="exact"/>
              <w:ind w:left="10" w:right="5"/>
              <w:jc w:val="center"/>
              <w:rPr>
                <w:sz w:val="20"/>
              </w:rPr>
            </w:pPr>
            <w:r>
              <w:rPr>
                <w:spacing w:val="-2"/>
                <w:sz w:val="20"/>
              </w:rPr>
              <w:t>D(PRIVCR,2)</w:t>
            </w:r>
          </w:p>
        </w:tc>
        <w:tc>
          <w:tcPr>
            <w:tcW w:w="1938" w:type="dxa"/>
          </w:tcPr>
          <w:p>
            <w:pPr>
              <w:pStyle w:val="TableParagraph"/>
              <w:spacing w:line="210" w:lineRule="exact"/>
              <w:ind w:right="97"/>
              <w:jc w:val="right"/>
              <w:rPr>
                <w:sz w:val="20"/>
              </w:rPr>
            </w:pPr>
            <w:r>
              <w:rPr>
                <w:spacing w:val="-4"/>
                <w:sz w:val="20"/>
              </w:rPr>
              <w:t>-</w:t>
            </w:r>
            <w:r>
              <w:rPr>
                <w:spacing w:val="-2"/>
                <w:sz w:val="20"/>
              </w:rPr>
              <w:t>1.061348</w:t>
            </w:r>
          </w:p>
        </w:tc>
        <w:tc>
          <w:tcPr>
            <w:tcW w:w="1940" w:type="dxa"/>
          </w:tcPr>
          <w:p>
            <w:pPr>
              <w:pStyle w:val="TableParagraph"/>
              <w:spacing w:line="210" w:lineRule="exact"/>
              <w:ind w:right="100"/>
              <w:jc w:val="right"/>
              <w:rPr>
                <w:sz w:val="20"/>
              </w:rPr>
            </w:pPr>
            <w:r>
              <w:rPr>
                <w:spacing w:val="-2"/>
                <w:sz w:val="20"/>
              </w:rPr>
              <w:t>0.932176</w:t>
            </w:r>
          </w:p>
        </w:tc>
        <w:tc>
          <w:tcPr>
            <w:tcW w:w="1940" w:type="dxa"/>
          </w:tcPr>
          <w:p>
            <w:pPr>
              <w:pStyle w:val="TableParagraph"/>
              <w:spacing w:line="210" w:lineRule="exact"/>
              <w:ind w:right="100"/>
              <w:jc w:val="right"/>
              <w:rPr>
                <w:sz w:val="20"/>
              </w:rPr>
            </w:pPr>
            <w:r>
              <w:rPr>
                <w:spacing w:val="-4"/>
                <w:sz w:val="20"/>
              </w:rPr>
              <w:t>-</w:t>
            </w:r>
            <w:r>
              <w:rPr>
                <w:spacing w:val="-2"/>
                <w:sz w:val="20"/>
              </w:rPr>
              <w:t>1.138570</w:t>
            </w:r>
          </w:p>
        </w:tc>
        <w:tc>
          <w:tcPr>
            <w:tcW w:w="1941" w:type="dxa"/>
          </w:tcPr>
          <w:p>
            <w:pPr>
              <w:pStyle w:val="TableParagraph"/>
              <w:spacing w:line="210" w:lineRule="exact"/>
              <w:ind w:right="101"/>
              <w:jc w:val="right"/>
              <w:rPr>
                <w:sz w:val="20"/>
              </w:rPr>
            </w:pPr>
            <w:r>
              <w:rPr>
                <w:spacing w:val="-2"/>
                <w:sz w:val="20"/>
              </w:rPr>
              <w:t>0.2671</w:t>
            </w:r>
          </w:p>
        </w:tc>
      </w:tr>
      <w:tr>
        <w:trPr>
          <w:trHeight w:val="230" w:hRule="atLeast"/>
        </w:trPr>
        <w:tc>
          <w:tcPr>
            <w:tcW w:w="1940" w:type="dxa"/>
          </w:tcPr>
          <w:p>
            <w:pPr>
              <w:pStyle w:val="TableParagraph"/>
              <w:spacing w:line="210" w:lineRule="exact"/>
              <w:ind w:left="10" w:right="3"/>
              <w:jc w:val="center"/>
              <w:rPr>
                <w:sz w:val="20"/>
              </w:rPr>
            </w:pPr>
            <w:r>
              <w:rPr>
                <w:spacing w:val="-2"/>
                <w:sz w:val="20"/>
              </w:rPr>
              <w:t>D(PRIVCR(-1),2)</w:t>
            </w:r>
          </w:p>
        </w:tc>
        <w:tc>
          <w:tcPr>
            <w:tcW w:w="1938" w:type="dxa"/>
          </w:tcPr>
          <w:p>
            <w:pPr>
              <w:pStyle w:val="TableParagraph"/>
              <w:spacing w:line="210" w:lineRule="exact"/>
              <w:ind w:right="97"/>
              <w:jc w:val="right"/>
              <w:rPr>
                <w:sz w:val="20"/>
              </w:rPr>
            </w:pPr>
            <w:r>
              <w:rPr>
                <w:spacing w:val="-4"/>
                <w:sz w:val="20"/>
              </w:rPr>
              <w:t>-</w:t>
            </w:r>
            <w:r>
              <w:rPr>
                <w:spacing w:val="-2"/>
                <w:sz w:val="20"/>
              </w:rPr>
              <w:t>2.233268</w:t>
            </w:r>
          </w:p>
        </w:tc>
        <w:tc>
          <w:tcPr>
            <w:tcW w:w="1940" w:type="dxa"/>
          </w:tcPr>
          <w:p>
            <w:pPr>
              <w:pStyle w:val="TableParagraph"/>
              <w:spacing w:line="210" w:lineRule="exact"/>
              <w:ind w:right="100"/>
              <w:jc w:val="right"/>
              <w:rPr>
                <w:sz w:val="20"/>
              </w:rPr>
            </w:pPr>
            <w:r>
              <w:rPr>
                <w:spacing w:val="-2"/>
                <w:sz w:val="20"/>
              </w:rPr>
              <w:t>1.046025</w:t>
            </w:r>
          </w:p>
        </w:tc>
        <w:tc>
          <w:tcPr>
            <w:tcW w:w="1940" w:type="dxa"/>
          </w:tcPr>
          <w:p>
            <w:pPr>
              <w:pStyle w:val="TableParagraph"/>
              <w:spacing w:line="210" w:lineRule="exact"/>
              <w:ind w:right="100"/>
              <w:jc w:val="right"/>
              <w:rPr>
                <w:sz w:val="20"/>
              </w:rPr>
            </w:pPr>
            <w:r>
              <w:rPr>
                <w:spacing w:val="-4"/>
                <w:sz w:val="20"/>
              </w:rPr>
              <w:t>-</w:t>
            </w:r>
            <w:r>
              <w:rPr>
                <w:spacing w:val="-2"/>
                <w:sz w:val="20"/>
              </w:rPr>
              <w:t>2.135005</w:t>
            </w:r>
          </w:p>
        </w:tc>
        <w:tc>
          <w:tcPr>
            <w:tcW w:w="1941" w:type="dxa"/>
          </w:tcPr>
          <w:p>
            <w:pPr>
              <w:pStyle w:val="TableParagraph"/>
              <w:spacing w:line="210" w:lineRule="exact"/>
              <w:ind w:right="101"/>
              <w:jc w:val="right"/>
              <w:rPr>
                <w:sz w:val="20"/>
              </w:rPr>
            </w:pPr>
            <w:r>
              <w:rPr>
                <w:spacing w:val="-2"/>
                <w:sz w:val="20"/>
              </w:rPr>
              <w:t>0.0441</w:t>
            </w:r>
          </w:p>
        </w:tc>
      </w:tr>
      <w:tr>
        <w:trPr>
          <w:trHeight w:val="230" w:hRule="atLeast"/>
        </w:trPr>
        <w:tc>
          <w:tcPr>
            <w:tcW w:w="1940" w:type="dxa"/>
          </w:tcPr>
          <w:p>
            <w:pPr>
              <w:pStyle w:val="TableParagraph"/>
              <w:spacing w:line="210" w:lineRule="exact"/>
              <w:ind w:left="10" w:right="1"/>
              <w:jc w:val="center"/>
              <w:rPr>
                <w:sz w:val="20"/>
              </w:rPr>
            </w:pPr>
            <w:r>
              <w:rPr>
                <w:spacing w:val="-2"/>
                <w:sz w:val="20"/>
              </w:rPr>
              <w:t>D(INTDIFF,2)</w:t>
            </w:r>
          </w:p>
        </w:tc>
        <w:tc>
          <w:tcPr>
            <w:tcW w:w="1938" w:type="dxa"/>
          </w:tcPr>
          <w:p>
            <w:pPr>
              <w:pStyle w:val="TableParagraph"/>
              <w:spacing w:line="210" w:lineRule="exact"/>
              <w:ind w:right="97"/>
              <w:jc w:val="right"/>
              <w:rPr>
                <w:sz w:val="20"/>
              </w:rPr>
            </w:pPr>
            <w:r>
              <w:rPr>
                <w:spacing w:val="-4"/>
                <w:sz w:val="20"/>
              </w:rPr>
              <w:t>-</w:t>
            </w:r>
            <w:r>
              <w:rPr>
                <w:spacing w:val="-2"/>
                <w:sz w:val="20"/>
              </w:rPr>
              <w:t>0.037951</w:t>
            </w:r>
          </w:p>
        </w:tc>
        <w:tc>
          <w:tcPr>
            <w:tcW w:w="1940" w:type="dxa"/>
          </w:tcPr>
          <w:p>
            <w:pPr>
              <w:pStyle w:val="TableParagraph"/>
              <w:spacing w:line="210" w:lineRule="exact"/>
              <w:ind w:right="100"/>
              <w:jc w:val="right"/>
              <w:rPr>
                <w:sz w:val="20"/>
              </w:rPr>
            </w:pPr>
            <w:r>
              <w:rPr>
                <w:spacing w:val="-2"/>
                <w:sz w:val="20"/>
              </w:rPr>
              <w:t>0.160513</w:t>
            </w:r>
          </w:p>
        </w:tc>
        <w:tc>
          <w:tcPr>
            <w:tcW w:w="1940" w:type="dxa"/>
          </w:tcPr>
          <w:p>
            <w:pPr>
              <w:pStyle w:val="TableParagraph"/>
              <w:spacing w:line="210" w:lineRule="exact"/>
              <w:ind w:right="100"/>
              <w:jc w:val="right"/>
              <w:rPr>
                <w:sz w:val="20"/>
              </w:rPr>
            </w:pPr>
            <w:r>
              <w:rPr>
                <w:spacing w:val="-4"/>
                <w:sz w:val="20"/>
              </w:rPr>
              <w:t>-</w:t>
            </w:r>
            <w:r>
              <w:rPr>
                <w:spacing w:val="-2"/>
                <w:sz w:val="20"/>
              </w:rPr>
              <w:t>0.236437</w:t>
            </w:r>
          </w:p>
        </w:tc>
        <w:tc>
          <w:tcPr>
            <w:tcW w:w="1941" w:type="dxa"/>
          </w:tcPr>
          <w:p>
            <w:pPr>
              <w:pStyle w:val="TableParagraph"/>
              <w:spacing w:line="210" w:lineRule="exact"/>
              <w:ind w:right="101"/>
              <w:jc w:val="right"/>
              <w:rPr>
                <w:sz w:val="20"/>
              </w:rPr>
            </w:pPr>
            <w:r>
              <w:rPr>
                <w:spacing w:val="-2"/>
                <w:sz w:val="20"/>
              </w:rPr>
              <w:t>0.8153</w:t>
            </w:r>
          </w:p>
        </w:tc>
      </w:tr>
      <w:tr>
        <w:trPr>
          <w:trHeight w:val="230" w:hRule="atLeast"/>
        </w:trPr>
        <w:tc>
          <w:tcPr>
            <w:tcW w:w="1940" w:type="dxa"/>
          </w:tcPr>
          <w:p>
            <w:pPr>
              <w:pStyle w:val="TableParagraph"/>
              <w:spacing w:line="210" w:lineRule="exact"/>
              <w:ind w:left="10" w:right="3"/>
              <w:jc w:val="center"/>
              <w:rPr>
                <w:sz w:val="20"/>
              </w:rPr>
            </w:pPr>
            <w:r>
              <w:rPr>
                <w:spacing w:val="-2"/>
                <w:sz w:val="20"/>
              </w:rPr>
              <w:t>D(INTDIFF(-</w:t>
            </w:r>
            <w:r>
              <w:rPr>
                <w:spacing w:val="-4"/>
                <w:sz w:val="20"/>
              </w:rPr>
              <w:t>1),2)</w:t>
            </w:r>
          </w:p>
        </w:tc>
        <w:tc>
          <w:tcPr>
            <w:tcW w:w="1938" w:type="dxa"/>
          </w:tcPr>
          <w:p>
            <w:pPr>
              <w:pStyle w:val="TableParagraph"/>
              <w:spacing w:line="210" w:lineRule="exact"/>
              <w:ind w:right="97"/>
              <w:jc w:val="right"/>
              <w:rPr>
                <w:sz w:val="20"/>
              </w:rPr>
            </w:pPr>
            <w:r>
              <w:rPr>
                <w:spacing w:val="-2"/>
                <w:sz w:val="20"/>
              </w:rPr>
              <w:t>0.135223</w:t>
            </w:r>
          </w:p>
        </w:tc>
        <w:tc>
          <w:tcPr>
            <w:tcW w:w="1940" w:type="dxa"/>
          </w:tcPr>
          <w:p>
            <w:pPr>
              <w:pStyle w:val="TableParagraph"/>
              <w:spacing w:line="210" w:lineRule="exact"/>
              <w:ind w:right="100"/>
              <w:jc w:val="right"/>
              <w:rPr>
                <w:sz w:val="20"/>
              </w:rPr>
            </w:pPr>
            <w:r>
              <w:rPr>
                <w:spacing w:val="-2"/>
                <w:sz w:val="20"/>
              </w:rPr>
              <w:t>0.148195</w:t>
            </w:r>
          </w:p>
        </w:tc>
        <w:tc>
          <w:tcPr>
            <w:tcW w:w="1940" w:type="dxa"/>
          </w:tcPr>
          <w:p>
            <w:pPr>
              <w:pStyle w:val="TableParagraph"/>
              <w:spacing w:line="210" w:lineRule="exact"/>
              <w:ind w:right="100"/>
              <w:jc w:val="right"/>
              <w:rPr>
                <w:sz w:val="20"/>
              </w:rPr>
            </w:pPr>
            <w:r>
              <w:rPr>
                <w:spacing w:val="-2"/>
                <w:sz w:val="20"/>
              </w:rPr>
              <w:t>0.912467</w:t>
            </w:r>
          </w:p>
        </w:tc>
        <w:tc>
          <w:tcPr>
            <w:tcW w:w="1941" w:type="dxa"/>
          </w:tcPr>
          <w:p>
            <w:pPr>
              <w:pStyle w:val="TableParagraph"/>
              <w:spacing w:line="210" w:lineRule="exact"/>
              <w:ind w:right="101"/>
              <w:jc w:val="right"/>
              <w:rPr>
                <w:sz w:val="20"/>
              </w:rPr>
            </w:pPr>
            <w:r>
              <w:rPr>
                <w:spacing w:val="-2"/>
                <w:sz w:val="20"/>
              </w:rPr>
              <w:t>0.3714</w:t>
            </w:r>
          </w:p>
        </w:tc>
      </w:tr>
      <w:tr>
        <w:trPr>
          <w:trHeight w:val="230" w:hRule="atLeast"/>
        </w:trPr>
        <w:tc>
          <w:tcPr>
            <w:tcW w:w="1940" w:type="dxa"/>
          </w:tcPr>
          <w:p>
            <w:pPr>
              <w:pStyle w:val="TableParagraph"/>
              <w:spacing w:line="210" w:lineRule="exact"/>
              <w:ind w:left="10" w:right="5"/>
              <w:jc w:val="center"/>
              <w:rPr>
                <w:sz w:val="20"/>
              </w:rPr>
            </w:pPr>
            <w:r>
              <w:rPr>
                <w:spacing w:val="-2"/>
                <w:sz w:val="20"/>
              </w:rPr>
              <w:t>D(GOCE,2)</w:t>
            </w:r>
          </w:p>
        </w:tc>
        <w:tc>
          <w:tcPr>
            <w:tcW w:w="1938" w:type="dxa"/>
          </w:tcPr>
          <w:p>
            <w:pPr>
              <w:pStyle w:val="TableParagraph"/>
              <w:spacing w:line="210" w:lineRule="exact"/>
              <w:ind w:right="97"/>
              <w:jc w:val="right"/>
              <w:rPr>
                <w:sz w:val="20"/>
              </w:rPr>
            </w:pPr>
            <w:r>
              <w:rPr>
                <w:spacing w:val="-2"/>
                <w:sz w:val="20"/>
              </w:rPr>
              <w:t>0.426412</w:t>
            </w:r>
          </w:p>
        </w:tc>
        <w:tc>
          <w:tcPr>
            <w:tcW w:w="1940" w:type="dxa"/>
          </w:tcPr>
          <w:p>
            <w:pPr>
              <w:pStyle w:val="TableParagraph"/>
              <w:spacing w:line="210" w:lineRule="exact"/>
              <w:ind w:right="100"/>
              <w:jc w:val="right"/>
              <w:rPr>
                <w:sz w:val="20"/>
              </w:rPr>
            </w:pPr>
            <w:r>
              <w:rPr>
                <w:spacing w:val="-2"/>
                <w:sz w:val="20"/>
              </w:rPr>
              <w:t>0.619047</w:t>
            </w:r>
          </w:p>
        </w:tc>
        <w:tc>
          <w:tcPr>
            <w:tcW w:w="1940" w:type="dxa"/>
          </w:tcPr>
          <w:p>
            <w:pPr>
              <w:pStyle w:val="TableParagraph"/>
              <w:spacing w:line="210" w:lineRule="exact"/>
              <w:ind w:right="100"/>
              <w:jc w:val="right"/>
              <w:rPr>
                <w:sz w:val="20"/>
              </w:rPr>
            </w:pPr>
            <w:r>
              <w:rPr>
                <w:spacing w:val="-2"/>
                <w:sz w:val="20"/>
              </w:rPr>
              <w:t>0.688819</w:t>
            </w:r>
          </w:p>
        </w:tc>
        <w:tc>
          <w:tcPr>
            <w:tcW w:w="1941" w:type="dxa"/>
          </w:tcPr>
          <w:p>
            <w:pPr>
              <w:pStyle w:val="TableParagraph"/>
              <w:spacing w:line="210" w:lineRule="exact"/>
              <w:ind w:right="101"/>
              <w:jc w:val="right"/>
              <w:rPr>
                <w:sz w:val="20"/>
              </w:rPr>
            </w:pPr>
            <w:r>
              <w:rPr>
                <w:spacing w:val="-2"/>
                <w:sz w:val="20"/>
              </w:rPr>
              <w:t>0.4981</w:t>
            </w:r>
          </w:p>
        </w:tc>
      </w:tr>
      <w:tr>
        <w:trPr>
          <w:trHeight w:val="230" w:hRule="atLeast"/>
        </w:trPr>
        <w:tc>
          <w:tcPr>
            <w:tcW w:w="1940" w:type="dxa"/>
          </w:tcPr>
          <w:p>
            <w:pPr>
              <w:pStyle w:val="TableParagraph"/>
              <w:spacing w:line="210" w:lineRule="exact"/>
              <w:ind w:left="10" w:right="3"/>
              <w:jc w:val="center"/>
              <w:rPr>
                <w:sz w:val="20"/>
              </w:rPr>
            </w:pPr>
            <w:r>
              <w:rPr>
                <w:spacing w:val="-2"/>
                <w:sz w:val="20"/>
              </w:rPr>
              <w:t>D(GOCE(-1),2)</w:t>
            </w:r>
          </w:p>
        </w:tc>
        <w:tc>
          <w:tcPr>
            <w:tcW w:w="1938" w:type="dxa"/>
          </w:tcPr>
          <w:p>
            <w:pPr>
              <w:pStyle w:val="TableParagraph"/>
              <w:spacing w:line="210" w:lineRule="exact"/>
              <w:ind w:right="97"/>
              <w:jc w:val="right"/>
              <w:rPr>
                <w:sz w:val="20"/>
              </w:rPr>
            </w:pPr>
            <w:r>
              <w:rPr>
                <w:spacing w:val="-2"/>
                <w:sz w:val="20"/>
              </w:rPr>
              <w:t>0.437816</w:t>
            </w:r>
          </w:p>
        </w:tc>
        <w:tc>
          <w:tcPr>
            <w:tcW w:w="1940" w:type="dxa"/>
          </w:tcPr>
          <w:p>
            <w:pPr>
              <w:pStyle w:val="TableParagraph"/>
              <w:spacing w:line="210" w:lineRule="exact"/>
              <w:ind w:right="100"/>
              <w:jc w:val="right"/>
              <w:rPr>
                <w:sz w:val="20"/>
              </w:rPr>
            </w:pPr>
            <w:r>
              <w:rPr>
                <w:spacing w:val="-2"/>
                <w:sz w:val="20"/>
              </w:rPr>
              <w:t>0.559938</w:t>
            </w:r>
          </w:p>
        </w:tc>
        <w:tc>
          <w:tcPr>
            <w:tcW w:w="1940" w:type="dxa"/>
          </w:tcPr>
          <w:p>
            <w:pPr>
              <w:pStyle w:val="TableParagraph"/>
              <w:spacing w:line="210" w:lineRule="exact"/>
              <w:ind w:right="100"/>
              <w:jc w:val="right"/>
              <w:rPr>
                <w:sz w:val="20"/>
              </w:rPr>
            </w:pPr>
            <w:r>
              <w:rPr>
                <w:spacing w:val="-2"/>
                <w:sz w:val="20"/>
              </w:rPr>
              <w:t>0.781900</w:t>
            </w:r>
          </w:p>
        </w:tc>
        <w:tc>
          <w:tcPr>
            <w:tcW w:w="1941" w:type="dxa"/>
          </w:tcPr>
          <w:p>
            <w:pPr>
              <w:pStyle w:val="TableParagraph"/>
              <w:spacing w:line="210" w:lineRule="exact"/>
              <w:ind w:right="101"/>
              <w:jc w:val="right"/>
              <w:rPr>
                <w:sz w:val="20"/>
              </w:rPr>
            </w:pPr>
            <w:r>
              <w:rPr>
                <w:spacing w:val="-2"/>
                <w:sz w:val="20"/>
              </w:rPr>
              <w:t>0.4426</w:t>
            </w:r>
          </w:p>
        </w:tc>
      </w:tr>
      <w:tr>
        <w:trPr>
          <w:trHeight w:val="230" w:hRule="atLeast"/>
        </w:trPr>
        <w:tc>
          <w:tcPr>
            <w:tcW w:w="1940" w:type="dxa"/>
          </w:tcPr>
          <w:p>
            <w:pPr>
              <w:pStyle w:val="TableParagraph"/>
              <w:spacing w:line="210" w:lineRule="exact"/>
              <w:ind w:left="10" w:right="3"/>
              <w:jc w:val="center"/>
              <w:rPr>
                <w:sz w:val="20"/>
              </w:rPr>
            </w:pPr>
            <w:r>
              <w:rPr>
                <w:spacing w:val="-2"/>
                <w:sz w:val="20"/>
              </w:rPr>
              <w:t>ECM(-</w:t>
            </w:r>
            <w:r>
              <w:rPr>
                <w:spacing w:val="-5"/>
                <w:sz w:val="20"/>
              </w:rPr>
              <w:t>1)</w:t>
            </w:r>
          </w:p>
        </w:tc>
        <w:tc>
          <w:tcPr>
            <w:tcW w:w="1938" w:type="dxa"/>
          </w:tcPr>
          <w:p>
            <w:pPr>
              <w:pStyle w:val="TableParagraph"/>
              <w:spacing w:line="210" w:lineRule="exact"/>
              <w:ind w:right="97"/>
              <w:jc w:val="right"/>
              <w:rPr>
                <w:sz w:val="20"/>
              </w:rPr>
            </w:pPr>
            <w:r>
              <w:rPr>
                <w:spacing w:val="-4"/>
                <w:sz w:val="20"/>
              </w:rPr>
              <w:t>-</w:t>
            </w:r>
            <w:r>
              <w:rPr>
                <w:spacing w:val="-2"/>
                <w:sz w:val="20"/>
              </w:rPr>
              <w:t>1.135099</w:t>
            </w:r>
          </w:p>
        </w:tc>
        <w:tc>
          <w:tcPr>
            <w:tcW w:w="1940" w:type="dxa"/>
          </w:tcPr>
          <w:p>
            <w:pPr>
              <w:pStyle w:val="TableParagraph"/>
              <w:spacing w:line="210" w:lineRule="exact"/>
              <w:ind w:right="100"/>
              <w:jc w:val="right"/>
              <w:rPr>
                <w:sz w:val="20"/>
              </w:rPr>
            </w:pPr>
            <w:r>
              <w:rPr>
                <w:spacing w:val="-2"/>
                <w:sz w:val="20"/>
              </w:rPr>
              <w:t>0.246117</w:t>
            </w:r>
          </w:p>
        </w:tc>
        <w:tc>
          <w:tcPr>
            <w:tcW w:w="1940" w:type="dxa"/>
          </w:tcPr>
          <w:p>
            <w:pPr>
              <w:pStyle w:val="TableParagraph"/>
              <w:spacing w:line="210" w:lineRule="exact"/>
              <w:ind w:right="100"/>
              <w:jc w:val="right"/>
              <w:rPr>
                <w:sz w:val="20"/>
              </w:rPr>
            </w:pPr>
            <w:r>
              <w:rPr>
                <w:spacing w:val="-4"/>
                <w:sz w:val="20"/>
              </w:rPr>
              <w:t>-</w:t>
            </w:r>
            <w:r>
              <w:rPr>
                <w:spacing w:val="-2"/>
                <w:sz w:val="20"/>
              </w:rPr>
              <w:t>4.612031</w:t>
            </w:r>
          </w:p>
        </w:tc>
        <w:tc>
          <w:tcPr>
            <w:tcW w:w="1941" w:type="dxa"/>
          </w:tcPr>
          <w:p>
            <w:pPr>
              <w:pStyle w:val="TableParagraph"/>
              <w:spacing w:line="210" w:lineRule="exact"/>
              <w:ind w:right="101"/>
              <w:jc w:val="right"/>
              <w:rPr>
                <w:sz w:val="20"/>
              </w:rPr>
            </w:pPr>
            <w:r>
              <w:rPr>
                <w:spacing w:val="-2"/>
                <w:sz w:val="20"/>
              </w:rPr>
              <w:t>0.0001</w:t>
            </w:r>
          </w:p>
        </w:tc>
      </w:tr>
    </w:tbl>
    <w:tbl>
      <w:tblPr>
        <w:tblW w:w="0" w:type="auto"/>
        <w:jc w:val="left"/>
        <w:tblInd w:w="7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93"/>
        <w:gridCol w:w="1998"/>
        <w:gridCol w:w="2893"/>
        <w:gridCol w:w="1956"/>
      </w:tblGrid>
      <w:tr>
        <w:trPr>
          <w:trHeight w:val="241" w:hRule="atLeast"/>
        </w:trPr>
        <w:tc>
          <w:tcPr>
            <w:tcW w:w="2693" w:type="dxa"/>
          </w:tcPr>
          <w:p>
            <w:pPr>
              <w:pStyle w:val="TableParagraph"/>
              <w:spacing w:line="221" w:lineRule="exact"/>
              <w:ind w:left="50"/>
              <w:rPr>
                <w:sz w:val="20"/>
              </w:rPr>
            </w:pPr>
            <w:r>
              <w:rPr>
                <w:spacing w:val="-2"/>
                <w:sz w:val="20"/>
              </w:rPr>
              <w:t>R-squared</w:t>
            </w:r>
          </w:p>
        </w:tc>
        <w:tc>
          <w:tcPr>
            <w:tcW w:w="1998" w:type="dxa"/>
          </w:tcPr>
          <w:p>
            <w:pPr>
              <w:pStyle w:val="TableParagraph"/>
              <w:spacing w:line="221" w:lineRule="exact"/>
              <w:ind w:right="128"/>
              <w:jc w:val="right"/>
              <w:rPr>
                <w:sz w:val="20"/>
              </w:rPr>
            </w:pPr>
            <w:r>
              <w:rPr>
                <w:spacing w:val="-2"/>
                <w:sz w:val="20"/>
              </w:rPr>
              <w:t>0.915781</w:t>
            </w:r>
          </w:p>
        </w:tc>
        <w:tc>
          <w:tcPr>
            <w:tcW w:w="2893" w:type="dxa"/>
          </w:tcPr>
          <w:p>
            <w:pPr>
              <w:pStyle w:val="TableParagraph"/>
              <w:spacing w:line="221" w:lineRule="exact"/>
              <w:ind w:left="131"/>
              <w:rPr>
                <w:sz w:val="20"/>
              </w:rPr>
            </w:pPr>
            <w:r>
              <w:rPr>
                <w:sz w:val="20"/>
              </w:rPr>
              <w:t>Mean</w:t>
            </w:r>
            <w:r>
              <w:rPr>
                <w:spacing w:val="-7"/>
                <w:sz w:val="20"/>
              </w:rPr>
              <w:t> </w:t>
            </w:r>
            <w:r>
              <w:rPr>
                <w:sz w:val="20"/>
              </w:rPr>
              <w:t>dependent</w:t>
            </w:r>
            <w:r>
              <w:rPr>
                <w:spacing w:val="-7"/>
                <w:sz w:val="20"/>
              </w:rPr>
              <w:t> </w:t>
            </w:r>
            <w:r>
              <w:rPr>
                <w:spacing w:val="-5"/>
                <w:sz w:val="20"/>
              </w:rPr>
              <w:t>var</w:t>
            </w:r>
          </w:p>
        </w:tc>
        <w:tc>
          <w:tcPr>
            <w:tcW w:w="1956" w:type="dxa"/>
          </w:tcPr>
          <w:p>
            <w:pPr>
              <w:pStyle w:val="TableParagraph"/>
              <w:spacing w:line="221" w:lineRule="exact"/>
              <w:ind w:right="46"/>
              <w:jc w:val="right"/>
              <w:rPr>
                <w:sz w:val="20"/>
              </w:rPr>
            </w:pPr>
            <w:r>
              <w:rPr>
                <w:spacing w:val="-4"/>
                <w:sz w:val="20"/>
              </w:rPr>
              <w:t>-</w:t>
            </w:r>
            <w:r>
              <w:rPr>
                <w:spacing w:val="-2"/>
                <w:sz w:val="20"/>
              </w:rPr>
              <w:t>0.001876</w:t>
            </w:r>
          </w:p>
        </w:tc>
      </w:tr>
      <w:tr>
        <w:trPr>
          <w:trHeight w:val="254" w:hRule="atLeast"/>
        </w:trPr>
        <w:tc>
          <w:tcPr>
            <w:tcW w:w="2693" w:type="dxa"/>
          </w:tcPr>
          <w:p>
            <w:pPr>
              <w:pStyle w:val="TableParagraph"/>
              <w:spacing w:line="223" w:lineRule="exact" w:before="11"/>
              <w:ind w:left="50"/>
              <w:rPr>
                <w:sz w:val="20"/>
              </w:rPr>
            </w:pPr>
            <w:r>
              <w:rPr>
                <w:sz w:val="20"/>
              </w:rPr>
              <w:t>Adjusted</w:t>
            </w:r>
            <w:r>
              <w:rPr>
                <w:spacing w:val="-10"/>
                <w:sz w:val="20"/>
              </w:rPr>
              <w:t> </w:t>
            </w:r>
            <w:r>
              <w:rPr>
                <w:sz w:val="20"/>
              </w:rPr>
              <w:t>R-</w:t>
            </w:r>
            <w:r>
              <w:rPr>
                <w:spacing w:val="-2"/>
                <w:sz w:val="20"/>
              </w:rPr>
              <w:t>squared</w:t>
            </w:r>
          </w:p>
        </w:tc>
        <w:tc>
          <w:tcPr>
            <w:tcW w:w="1998" w:type="dxa"/>
          </w:tcPr>
          <w:p>
            <w:pPr>
              <w:pStyle w:val="TableParagraph"/>
              <w:spacing w:line="223" w:lineRule="exact" w:before="11"/>
              <w:ind w:right="128"/>
              <w:jc w:val="right"/>
              <w:rPr>
                <w:sz w:val="20"/>
              </w:rPr>
            </w:pPr>
            <w:r>
              <w:rPr>
                <w:spacing w:val="-2"/>
                <w:sz w:val="20"/>
              </w:rPr>
              <w:t>0.854532</w:t>
            </w:r>
          </w:p>
        </w:tc>
        <w:tc>
          <w:tcPr>
            <w:tcW w:w="2893" w:type="dxa"/>
          </w:tcPr>
          <w:p>
            <w:pPr>
              <w:pStyle w:val="TableParagraph"/>
              <w:spacing w:line="223" w:lineRule="exact" w:before="11"/>
              <w:ind w:left="131"/>
              <w:rPr>
                <w:sz w:val="20"/>
              </w:rPr>
            </w:pPr>
            <w:r>
              <w:rPr>
                <w:sz w:val="20"/>
              </w:rPr>
              <w:t>S.D.</w:t>
            </w:r>
            <w:r>
              <w:rPr>
                <w:spacing w:val="-5"/>
                <w:sz w:val="20"/>
              </w:rPr>
              <w:t> </w:t>
            </w:r>
            <w:r>
              <w:rPr>
                <w:sz w:val="20"/>
              </w:rPr>
              <w:t>dependent</w:t>
            </w:r>
            <w:r>
              <w:rPr>
                <w:spacing w:val="-6"/>
                <w:sz w:val="20"/>
              </w:rPr>
              <w:t> </w:t>
            </w:r>
            <w:r>
              <w:rPr>
                <w:spacing w:val="-5"/>
                <w:sz w:val="20"/>
              </w:rPr>
              <w:t>var</w:t>
            </w:r>
          </w:p>
        </w:tc>
        <w:tc>
          <w:tcPr>
            <w:tcW w:w="1956" w:type="dxa"/>
          </w:tcPr>
          <w:p>
            <w:pPr>
              <w:pStyle w:val="TableParagraph"/>
              <w:spacing w:line="223" w:lineRule="exact" w:before="11"/>
              <w:ind w:right="46"/>
              <w:jc w:val="right"/>
              <w:rPr>
                <w:sz w:val="20"/>
              </w:rPr>
            </w:pPr>
            <w:r>
              <w:rPr>
                <w:spacing w:val="-2"/>
                <w:sz w:val="20"/>
              </w:rPr>
              <w:t>1.827269</w:t>
            </w:r>
          </w:p>
        </w:tc>
      </w:tr>
      <w:tr>
        <w:trPr>
          <w:trHeight w:val="247" w:hRule="atLeast"/>
        </w:trPr>
        <w:tc>
          <w:tcPr>
            <w:tcW w:w="2693" w:type="dxa"/>
          </w:tcPr>
          <w:p>
            <w:pPr>
              <w:pStyle w:val="TableParagraph"/>
              <w:spacing w:line="223" w:lineRule="exact" w:before="4"/>
              <w:ind w:left="50"/>
              <w:rPr>
                <w:sz w:val="20"/>
              </w:rPr>
            </w:pPr>
            <w:r>
              <w:rPr>
                <w:sz w:val="20"/>
              </w:rPr>
              <w:t>S.E.</w:t>
            </w:r>
            <w:r>
              <w:rPr>
                <w:spacing w:val="-3"/>
                <w:sz w:val="20"/>
              </w:rPr>
              <w:t> </w:t>
            </w:r>
            <w:r>
              <w:rPr>
                <w:sz w:val="20"/>
              </w:rPr>
              <w:t>of</w:t>
            </w:r>
            <w:r>
              <w:rPr>
                <w:spacing w:val="-3"/>
                <w:sz w:val="20"/>
              </w:rPr>
              <w:t> </w:t>
            </w:r>
            <w:r>
              <w:rPr>
                <w:spacing w:val="-2"/>
                <w:sz w:val="20"/>
              </w:rPr>
              <w:t>regression</w:t>
            </w:r>
          </w:p>
        </w:tc>
        <w:tc>
          <w:tcPr>
            <w:tcW w:w="1998" w:type="dxa"/>
          </w:tcPr>
          <w:p>
            <w:pPr>
              <w:pStyle w:val="TableParagraph"/>
              <w:spacing w:line="223" w:lineRule="exact" w:before="4"/>
              <w:ind w:right="128"/>
              <w:jc w:val="right"/>
              <w:rPr>
                <w:sz w:val="20"/>
              </w:rPr>
            </w:pPr>
            <w:r>
              <w:rPr>
                <w:spacing w:val="-2"/>
                <w:sz w:val="20"/>
              </w:rPr>
              <w:t>0.696927</w:t>
            </w:r>
          </w:p>
        </w:tc>
        <w:tc>
          <w:tcPr>
            <w:tcW w:w="2893" w:type="dxa"/>
          </w:tcPr>
          <w:p>
            <w:pPr>
              <w:pStyle w:val="TableParagraph"/>
              <w:spacing w:line="223" w:lineRule="exact" w:before="4"/>
              <w:ind w:left="131"/>
              <w:rPr>
                <w:sz w:val="20"/>
              </w:rPr>
            </w:pPr>
            <w:r>
              <w:rPr>
                <w:sz w:val="20"/>
              </w:rPr>
              <w:t>Akaike</w:t>
            </w:r>
            <w:r>
              <w:rPr>
                <w:spacing w:val="-8"/>
                <w:sz w:val="20"/>
              </w:rPr>
              <w:t> </w:t>
            </w:r>
            <w:r>
              <w:rPr>
                <w:sz w:val="20"/>
              </w:rPr>
              <w:t>info</w:t>
            </w:r>
            <w:r>
              <w:rPr>
                <w:spacing w:val="-7"/>
                <w:sz w:val="20"/>
              </w:rPr>
              <w:t> </w:t>
            </w:r>
            <w:r>
              <w:rPr>
                <w:spacing w:val="-2"/>
                <w:sz w:val="20"/>
              </w:rPr>
              <w:t>criterion</w:t>
            </w:r>
          </w:p>
        </w:tc>
        <w:tc>
          <w:tcPr>
            <w:tcW w:w="1956" w:type="dxa"/>
          </w:tcPr>
          <w:p>
            <w:pPr>
              <w:pStyle w:val="TableParagraph"/>
              <w:spacing w:line="223" w:lineRule="exact" w:before="4"/>
              <w:ind w:right="46"/>
              <w:jc w:val="right"/>
              <w:rPr>
                <w:sz w:val="20"/>
              </w:rPr>
            </w:pPr>
            <w:r>
              <w:rPr>
                <w:spacing w:val="-2"/>
                <w:sz w:val="20"/>
              </w:rPr>
              <w:t>2.415002</w:t>
            </w:r>
          </w:p>
        </w:tc>
      </w:tr>
      <w:tr>
        <w:trPr>
          <w:trHeight w:val="255" w:hRule="atLeast"/>
        </w:trPr>
        <w:tc>
          <w:tcPr>
            <w:tcW w:w="2693" w:type="dxa"/>
          </w:tcPr>
          <w:p>
            <w:pPr>
              <w:pStyle w:val="TableParagraph"/>
              <w:spacing w:before="4"/>
              <w:ind w:left="50"/>
              <w:rPr>
                <w:sz w:val="20"/>
              </w:rPr>
            </w:pPr>
            <w:r>
              <w:rPr>
                <w:sz w:val="20"/>
              </w:rPr>
              <w:t>Sum</w:t>
            </w:r>
            <w:r>
              <w:rPr>
                <w:spacing w:val="-8"/>
                <w:sz w:val="20"/>
              </w:rPr>
              <w:t> </w:t>
            </w:r>
            <w:r>
              <w:rPr>
                <w:sz w:val="20"/>
              </w:rPr>
              <w:t>squared</w:t>
            </w:r>
            <w:r>
              <w:rPr>
                <w:spacing w:val="-4"/>
                <w:sz w:val="20"/>
              </w:rPr>
              <w:t> </w:t>
            </w:r>
            <w:r>
              <w:rPr>
                <w:spacing w:val="-2"/>
                <w:sz w:val="20"/>
              </w:rPr>
              <w:t>resid</w:t>
            </w:r>
          </w:p>
        </w:tc>
        <w:tc>
          <w:tcPr>
            <w:tcW w:w="1998" w:type="dxa"/>
          </w:tcPr>
          <w:p>
            <w:pPr>
              <w:pStyle w:val="TableParagraph"/>
              <w:spacing w:before="4"/>
              <w:ind w:right="128"/>
              <w:jc w:val="right"/>
              <w:rPr>
                <w:sz w:val="20"/>
              </w:rPr>
            </w:pPr>
            <w:r>
              <w:rPr>
                <w:spacing w:val="-2"/>
                <w:sz w:val="20"/>
              </w:rPr>
              <w:t>10.68555</w:t>
            </w:r>
          </w:p>
        </w:tc>
        <w:tc>
          <w:tcPr>
            <w:tcW w:w="2893" w:type="dxa"/>
          </w:tcPr>
          <w:p>
            <w:pPr>
              <w:pStyle w:val="TableParagraph"/>
              <w:spacing w:before="4"/>
              <w:ind w:left="131"/>
              <w:rPr>
                <w:sz w:val="20"/>
              </w:rPr>
            </w:pPr>
            <w:r>
              <w:rPr>
                <w:sz w:val="20"/>
              </w:rPr>
              <w:t>Schwarz</w:t>
            </w:r>
            <w:r>
              <w:rPr>
                <w:spacing w:val="-8"/>
                <w:sz w:val="20"/>
              </w:rPr>
              <w:t> </w:t>
            </w:r>
            <w:r>
              <w:rPr>
                <w:spacing w:val="-2"/>
                <w:sz w:val="20"/>
              </w:rPr>
              <w:t>criterion</w:t>
            </w:r>
          </w:p>
        </w:tc>
        <w:tc>
          <w:tcPr>
            <w:tcW w:w="1956" w:type="dxa"/>
          </w:tcPr>
          <w:p>
            <w:pPr>
              <w:pStyle w:val="TableParagraph"/>
              <w:spacing w:before="4"/>
              <w:ind w:right="46"/>
              <w:jc w:val="right"/>
              <w:rPr>
                <w:sz w:val="20"/>
              </w:rPr>
            </w:pPr>
            <w:r>
              <w:rPr>
                <w:spacing w:val="-2"/>
                <w:sz w:val="20"/>
              </w:rPr>
              <w:t>3.140145</w:t>
            </w:r>
          </w:p>
        </w:tc>
      </w:tr>
      <w:tr>
        <w:trPr>
          <w:trHeight w:val="242" w:hRule="atLeast"/>
        </w:trPr>
        <w:tc>
          <w:tcPr>
            <w:tcW w:w="2693" w:type="dxa"/>
          </w:tcPr>
          <w:p>
            <w:pPr>
              <w:pStyle w:val="TableParagraph"/>
              <w:spacing w:line="210" w:lineRule="exact" w:before="12"/>
              <w:ind w:left="50"/>
              <w:rPr>
                <w:sz w:val="20"/>
              </w:rPr>
            </w:pPr>
            <w:r>
              <w:rPr>
                <w:sz w:val="20"/>
              </w:rPr>
              <w:t>Log</w:t>
            </w:r>
            <w:r>
              <w:rPr>
                <w:spacing w:val="-6"/>
                <w:sz w:val="20"/>
              </w:rPr>
              <w:t> </w:t>
            </w:r>
            <w:r>
              <w:rPr>
                <w:spacing w:val="-2"/>
                <w:sz w:val="20"/>
              </w:rPr>
              <w:t>likelihood</w:t>
            </w:r>
          </w:p>
        </w:tc>
        <w:tc>
          <w:tcPr>
            <w:tcW w:w="1998" w:type="dxa"/>
          </w:tcPr>
          <w:p>
            <w:pPr>
              <w:pStyle w:val="TableParagraph"/>
              <w:spacing w:line="210" w:lineRule="exact" w:before="12"/>
              <w:ind w:right="128"/>
              <w:jc w:val="right"/>
              <w:rPr>
                <w:sz w:val="20"/>
              </w:rPr>
            </w:pPr>
            <w:r>
              <w:rPr>
                <w:spacing w:val="-4"/>
                <w:sz w:val="20"/>
              </w:rPr>
              <w:t>-</w:t>
            </w:r>
            <w:r>
              <w:rPr>
                <w:spacing w:val="-2"/>
                <w:sz w:val="20"/>
              </w:rPr>
              <w:t>30.09255</w:t>
            </w:r>
          </w:p>
        </w:tc>
        <w:tc>
          <w:tcPr>
            <w:tcW w:w="2893" w:type="dxa"/>
          </w:tcPr>
          <w:p>
            <w:pPr>
              <w:pStyle w:val="TableParagraph"/>
              <w:spacing w:line="210" w:lineRule="exact" w:before="12"/>
              <w:ind w:left="131"/>
              <w:rPr>
                <w:sz w:val="20"/>
              </w:rPr>
            </w:pPr>
            <w:r>
              <w:rPr>
                <w:spacing w:val="-2"/>
                <w:sz w:val="20"/>
              </w:rPr>
              <w:t>Durbin-Watson</w:t>
            </w:r>
            <w:r>
              <w:rPr>
                <w:spacing w:val="12"/>
                <w:sz w:val="20"/>
              </w:rPr>
              <w:t> </w:t>
            </w:r>
            <w:r>
              <w:rPr>
                <w:spacing w:val="-4"/>
                <w:sz w:val="20"/>
              </w:rPr>
              <w:t>stat</w:t>
            </w:r>
          </w:p>
        </w:tc>
        <w:tc>
          <w:tcPr>
            <w:tcW w:w="1956" w:type="dxa"/>
          </w:tcPr>
          <w:p>
            <w:pPr>
              <w:pStyle w:val="TableParagraph"/>
              <w:spacing w:line="210" w:lineRule="exact" w:before="12"/>
              <w:ind w:right="46"/>
              <w:jc w:val="right"/>
              <w:rPr>
                <w:sz w:val="20"/>
              </w:rPr>
            </w:pPr>
            <w:r>
              <w:rPr>
                <w:spacing w:val="-2"/>
                <w:sz w:val="20"/>
              </w:rPr>
              <w:t>1.645959</w:t>
            </w:r>
          </w:p>
        </w:tc>
      </w:tr>
    </w:tbl>
    <w:p>
      <w:pPr>
        <w:pStyle w:val="BodyText"/>
        <w:spacing w:before="41"/>
        <w:ind w:left="711"/>
        <w:jc w:val="both"/>
      </w:pPr>
      <w:r>
        <w:rPr>
          <w:b/>
        </w:rPr>
        <w:t>Source:</w:t>
      </w:r>
      <w:r>
        <w:rPr>
          <w:b/>
          <w:spacing w:val="-2"/>
        </w:rPr>
        <w:t> </w:t>
      </w:r>
      <w:r>
        <w:rPr/>
        <w:t>Computation,</w:t>
      </w:r>
      <w:r>
        <w:rPr>
          <w:spacing w:val="-1"/>
        </w:rPr>
        <w:t> </w:t>
      </w:r>
      <w:r>
        <w:rPr/>
        <w:t>using</w:t>
      </w:r>
      <w:r>
        <w:rPr>
          <w:spacing w:val="-4"/>
        </w:rPr>
        <w:t> </w:t>
      </w:r>
      <w:r>
        <w:rPr/>
        <w:t>E-view</w:t>
      </w:r>
      <w:r>
        <w:rPr>
          <w:spacing w:val="-1"/>
        </w:rPr>
        <w:t> </w:t>
      </w:r>
      <w:r>
        <w:rPr/>
        <w:t>statistical</w:t>
      </w:r>
      <w:r>
        <w:rPr>
          <w:spacing w:val="-1"/>
        </w:rPr>
        <w:t> </w:t>
      </w:r>
      <w:r>
        <w:rPr>
          <w:spacing w:val="-2"/>
        </w:rPr>
        <w:t>package.</w:t>
      </w:r>
    </w:p>
    <w:p>
      <w:pPr>
        <w:pStyle w:val="BodyText"/>
        <w:spacing w:before="1"/>
      </w:pPr>
    </w:p>
    <w:p>
      <w:pPr>
        <w:pStyle w:val="BodyText"/>
        <w:spacing w:line="480" w:lineRule="auto"/>
        <w:ind w:left="711" w:right="469"/>
        <w:jc w:val="both"/>
      </w:pPr>
      <w:r>
        <w:rPr/>
        <w:t>The</w:t>
      </w:r>
      <w:r>
        <w:rPr>
          <w:spacing w:val="-1"/>
        </w:rPr>
        <w:t> </w:t>
      </w:r>
      <w:r>
        <w:rPr/>
        <w:t>summary</w:t>
      </w:r>
      <w:r>
        <w:rPr>
          <w:spacing w:val="-2"/>
        </w:rPr>
        <w:t> </w:t>
      </w:r>
      <w:r>
        <w:rPr/>
        <w:t>of the over-parametized ECM above shows that the coefficient of the ECM is significant with the negative sign (-). This implies it effectiveness in the correction of any deviation that may occur in the long-run. It shows the speed of adjustment in the dependent if there is deviation in the independent</w:t>
      </w:r>
      <w:r>
        <w:rPr>
          <w:spacing w:val="40"/>
        </w:rPr>
        <w:t> </w:t>
      </w:r>
      <w:r>
        <w:rPr/>
        <w:t>variables.</w:t>
      </w:r>
      <w:r>
        <w:rPr>
          <w:spacing w:val="-2"/>
        </w:rPr>
        <w:t> </w:t>
      </w:r>
      <w:r>
        <w:rPr/>
        <w:t>The</w:t>
      </w:r>
      <w:r>
        <w:rPr>
          <w:spacing w:val="-3"/>
        </w:rPr>
        <w:t> </w:t>
      </w:r>
      <w:r>
        <w:rPr/>
        <w:t>coefficient is</w:t>
      </w:r>
      <w:r>
        <w:rPr>
          <w:spacing w:val="-2"/>
        </w:rPr>
        <w:t> </w:t>
      </w:r>
      <w:r>
        <w:rPr/>
        <w:t>-1.135099</w:t>
      </w:r>
      <w:r>
        <w:rPr>
          <w:spacing w:val="-2"/>
        </w:rPr>
        <w:t> </w:t>
      </w:r>
      <w:r>
        <w:rPr/>
        <w:t>which</w:t>
      </w:r>
      <w:r>
        <w:rPr>
          <w:spacing w:val="-2"/>
        </w:rPr>
        <w:t> </w:t>
      </w:r>
      <w:r>
        <w:rPr/>
        <w:t>implies</w:t>
      </w:r>
      <w:r>
        <w:rPr>
          <w:spacing w:val="-2"/>
        </w:rPr>
        <w:t> </w:t>
      </w:r>
      <w:r>
        <w:rPr/>
        <w:t>a</w:t>
      </w:r>
      <w:r>
        <w:rPr>
          <w:spacing w:val="-3"/>
        </w:rPr>
        <w:t> </w:t>
      </w:r>
      <w:r>
        <w:rPr/>
        <w:t>sharp</w:t>
      </w:r>
      <w:r>
        <w:rPr>
          <w:spacing w:val="-1"/>
        </w:rPr>
        <w:t> </w:t>
      </w:r>
      <w:r>
        <w:rPr/>
        <w:t>adjustment</w:t>
      </w:r>
      <w:r>
        <w:rPr>
          <w:spacing w:val="-2"/>
        </w:rPr>
        <w:t> </w:t>
      </w:r>
      <w:r>
        <w:rPr/>
        <w:t>rate</w:t>
      </w:r>
      <w:r>
        <w:rPr>
          <w:spacing w:val="-3"/>
        </w:rPr>
        <w:t> </w:t>
      </w:r>
      <w:r>
        <w:rPr/>
        <w:t>of</w:t>
      </w:r>
      <w:r>
        <w:rPr>
          <w:spacing w:val="-2"/>
        </w:rPr>
        <w:t> </w:t>
      </w:r>
      <w:r>
        <w:rPr/>
        <w:t>approximately</w:t>
      </w:r>
      <w:r>
        <w:rPr>
          <w:spacing w:val="-3"/>
        </w:rPr>
        <w:t> </w:t>
      </w:r>
      <w:r>
        <w:rPr/>
        <w:t>-1.14 units</w:t>
      </w:r>
      <w:r>
        <w:rPr>
          <w:spacing w:val="-2"/>
        </w:rPr>
        <w:t> </w:t>
      </w:r>
      <w:r>
        <w:rPr/>
        <w:t>to any</w:t>
      </w:r>
      <w:r>
        <w:rPr>
          <w:spacing w:val="13"/>
        </w:rPr>
        <w:t> </w:t>
      </w:r>
      <w:r>
        <w:rPr/>
        <w:t>changes</w:t>
      </w:r>
      <w:r>
        <w:rPr>
          <w:spacing w:val="20"/>
        </w:rPr>
        <w:t> </w:t>
      </w:r>
      <w:r>
        <w:rPr/>
        <w:t>that</w:t>
      </w:r>
      <w:r>
        <w:rPr>
          <w:spacing w:val="21"/>
        </w:rPr>
        <w:t> </w:t>
      </w:r>
      <w:r>
        <w:rPr/>
        <w:t>may</w:t>
      </w:r>
      <w:r>
        <w:rPr>
          <w:spacing w:val="15"/>
        </w:rPr>
        <w:t> </w:t>
      </w:r>
      <w:r>
        <w:rPr/>
        <w:t>occur</w:t>
      </w:r>
      <w:r>
        <w:rPr>
          <w:spacing w:val="20"/>
        </w:rPr>
        <w:t> </w:t>
      </w:r>
      <w:r>
        <w:rPr/>
        <w:t>on</w:t>
      </w:r>
      <w:r>
        <w:rPr>
          <w:spacing w:val="20"/>
        </w:rPr>
        <w:t> </w:t>
      </w:r>
      <w:r>
        <w:rPr/>
        <w:t>the</w:t>
      </w:r>
      <w:r>
        <w:rPr>
          <w:spacing w:val="20"/>
        </w:rPr>
        <w:t> </w:t>
      </w:r>
      <w:r>
        <w:rPr/>
        <w:t>long-run</w:t>
      </w:r>
      <w:r>
        <w:rPr>
          <w:spacing w:val="19"/>
        </w:rPr>
        <w:t> </w:t>
      </w:r>
      <w:r>
        <w:rPr/>
        <w:t>and</w:t>
      </w:r>
      <w:r>
        <w:rPr>
          <w:spacing w:val="23"/>
        </w:rPr>
        <w:t> </w:t>
      </w:r>
      <w:r>
        <w:rPr/>
        <w:t>rate</w:t>
      </w:r>
      <w:r>
        <w:rPr>
          <w:spacing w:val="19"/>
        </w:rPr>
        <w:t> </w:t>
      </w:r>
      <w:r>
        <w:rPr/>
        <w:t>of</w:t>
      </w:r>
      <w:r>
        <w:rPr>
          <w:spacing w:val="19"/>
        </w:rPr>
        <w:t> </w:t>
      </w:r>
      <w:r>
        <w:rPr/>
        <w:t>correction</w:t>
      </w:r>
      <w:r>
        <w:rPr>
          <w:spacing w:val="21"/>
        </w:rPr>
        <w:t> </w:t>
      </w:r>
      <w:r>
        <w:rPr/>
        <w:t>of</w:t>
      </w:r>
      <w:r>
        <w:rPr>
          <w:spacing w:val="19"/>
        </w:rPr>
        <w:t> </w:t>
      </w:r>
      <w:r>
        <w:rPr/>
        <w:t>past</w:t>
      </w:r>
      <w:r>
        <w:rPr>
          <w:spacing w:val="22"/>
        </w:rPr>
        <w:t> </w:t>
      </w:r>
      <w:r>
        <w:rPr/>
        <w:t>deviation</w:t>
      </w:r>
      <w:r>
        <w:rPr>
          <w:spacing w:val="20"/>
        </w:rPr>
        <w:t> </w:t>
      </w:r>
      <w:r>
        <w:rPr/>
        <w:t>in</w:t>
      </w:r>
      <w:r>
        <w:rPr>
          <w:spacing w:val="19"/>
        </w:rPr>
        <w:t> </w:t>
      </w:r>
      <w:r>
        <w:rPr/>
        <w:t>the</w:t>
      </w:r>
      <w:r>
        <w:rPr>
          <w:spacing w:val="19"/>
        </w:rPr>
        <w:t> </w:t>
      </w:r>
      <w:r>
        <w:rPr/>
        <w:t>present</w:t>
      </w:r>
      <w:r>
        <w:rPr>
          <w:spacing w:val="21"/>
        </w:rPr>
        <w:t> </w:t>
      </w:r>
      <w:r>
        <w:rPr>
          <w:spacing w:val="-2"/>
        </w:rPr>
        <w:t>period.</w:t>
      </w:r>
    </w:p>
    <w:p>
      <w:pPr>
        <w:spacing w:after="0" w:line="480" w:lineRule="auto"/>
        <w:jc w:val="both"/>
        <w:sectPr>
          <w:pgSz w:w="11910" w:h="16840"/>
          <w:pgMar w:header="0" w:footer="979" w:top="1360" w:bottom="1240" w:left="280" w:right="0"/>
        </w:sectPr>
      </w:pPr>
    </w:p>
    <w:p>
      <w:pPr>
        <w:pStyle w:val="BodyText"/>
        <w:spacing w:line="480" w:lineRule="auto" w:before="81"/>
        <w:ind w:left="711" w:right="470"/>
        <w:jc w:val="both"/>
        <w:rPr>
          <w:rFonts w:ascii="Arial MT" w:hAnsi="Arial MT"/>
        </w:rPr>
      </w:pPr>
      <w:r>
        <w:rPr/>
        <w:t>These means that the present value of KFW adjust very sharply to changes in (δ</w:t>
      </w:r>
      <w:r>
        <w:rPr>
          <w:rFonts w:ascii="Cambria" w:hAnsi="Cambria"/>
        </w:rPr>
        <w:t>EXTDEBT, DOP,</w:t>
      </w:r>
      <w:r>
        <w:rPr>
          <w:rFonts w:ascii="Cambria" w:hAnsi="Cambria"/>
          <w:spacing w:val="-7"/>
        </w:rPr>
        <w:t> </w:t>
      </w:r>
      <w:r>
        <w:rPr>
          <w:rFonts w:ascii="Cambria" w:hAnsi="Cambria"/>
        </w:rPr>
        <w:t>INF, GCF, </w:t>
      </w:r>
      <w:r>
        <w:rPr>
          <w:rFonts w:ascii="Cambria" w:hAnsi="Cambria"/>
          <w:position w:val="1"/>
        </w:rPr>
        <w:t>DR, PRIVCR, USIRD</w:t>
      </w:r>
      <w:r>
        <w:rPr>
          <w:rFonts w:ascii="Cambria" w:hAnsi="Cambria"/>
          <w:i/>
          <w:sz w:val="16"/>
        </w:rPr>
        <w:t>,</w:t>
      </w:r>
      <w:r>
        <w:rPr>
          <w:rFonts w:ascii="Cambria" w:hAnsi="Cambria"/>
          <w:i/>
          <w:spacing w:val="40"/>
          <w:sz w:val="16"/>
        </w:rPr>
        <w:t> </w:t>
      </w:r>
      <w:r>
        <w:rPr>
          <w:rFonts w:ascii="Arial MT" w:hAnsi="Arial MT"/>
          <w:position w:val="1"/>
        </w:rPr>
        <w:t>GOCE)</w:t>
      </w:r>
    </w:p>
    <w:p>
      <w:pPr>
        <w:pStyle w:val="BodyText"/>
        <w:spacing w:line="480" w:lineRule="auto"/>
        <w:ind w:left="711" w:right="473"/>
        <w:jc w:val="both"/>
      </w:pPr>
      <w:r>
        <w:rPr/>
        <w:t>In order to attain effectiveness of the model, there is the need to simplify</w:t>
      </w:r>
      <w:r>
        <w:rPr>
          <w:spacing w:val="-3"/>
        </w:rPr>
        <w:t> </w:t>
      </w:r>
      <w:r>
        <w:rPr/>
        <w:t>the model to a more parsimonious model. The parsimonious model would be gotten by estimating the equation of only those variables that appear significant in the over-parametized ECM. The table below shows the result of the parsimonious model estimated. The coefficient of multiple determinations denoted as R</w:t>
      </w:r>
      <w:r>
        <w:rPr>
          <w:vertAlign w:val="superscript"/>
        </w:rPr>
        <w:t>2</w:t>
      </w:r>
      <w:r>
        <w:rPr>
          <w:vertAlign w:val="baseline"/>
        </w:rPr>
        <w:t> shows that about 92% in KF can be explained by the independent variables while the remaining 8% is explained by stochastic variables and the </w:t>
      </w:r>
      <w:r>
        <w:rPr>
          <w:sz w:val="20"/>
          <w:vertAlign w:val="baseline"/>
        </w:rPr>
        <w:t>Durbin-Watson statistic of 1.645959 </w:t>
      </w:r>
      <w:r>
        <w:rPr>
          <w:vertAlign w:val="baseline"/>
        </w:rPr>
        <w:t>falls within the inconclusive region.</w:t>
      </w:r>
    </w:p>
    <w:p>
      <w:pPr>
        <w:pStyle w:val="Heading6"/>
        <w:spacing w:before="1"/>
      </w:pPr>
      <w:r>
        <w:rPr/>
        <w:t>Table</w:t>
      </w:r>
      <w:r>
        <w:rPr>
          <w:spacing w:val="-3"/>
        </w:rPr>
        <w:t> </w:t>
      </w:r>
      <w:r>
        <w:rPr/>
        <w:t>4.</w:t>
      </w:r>
      <w:r>
        <w:rPr>
          <w:spacing w:val="-1"/>
        </w:rPr>
        <w:t> </w:t>
      </w:r>
      <w:r>
        <w:rPr/>
        <w:t>14.</w:t>
      </w:r>
      <w:r>
        <w:rPr>
          <w:spacing w:val="-2"/>
        </w:rPr>
        <w:t> </w:t>
      </w:r>
      <w:r>
        <w:rPr/>
        <w:t>2. Parsimonous ECM</w:t>
      </w:r>
      <w:r>
        <w:rPr>
          <w:spacing w:val="-3"/>
        </w:rPr>
        <w:t> </w:t>
      </w:r>
      <w:r>
        <w:rPr/>
        <w:t>2</w:t>
      </w:r>
      <w:r>
        <w:rPr>
          <w:spacing w:val="-1"/>
        </w:rPr>
        <w:t> </w:t>
      </w:r>
      <w:r>
        <w:rPr/>
        <w:t>for</w:t>
      </w:r>
      <w:r>
        <w:rPr>
          <w:spacing w:val="-1"/>
        </w:rPr>
        <w:t> </w:t>
      </w:r>
      <w:r>
        <w:rPr/>
        <w:t>Model</w:t>
      </w:r>
      <w:r>
        <w:rPr>
          <w:spacing w:val="-3"/>
        </w:rPr>
        <w:t> </w:t>
      </w:r>
      <w:r>
        <w:rPr/>
        <w:t>1A</w:t>
      </w:r>
      <w:r>
        <w:rPr>
          <w:spacing w:val="-2"/>
        </w:rPr>
        <w:t> </w:t>
      </w:r>
      <w:r>
        <w:rPr/>
        <w:t>(World Bank &amp;</w:t>
      </w:r>
      <w:r>
        <w:rPr>
          <w:spacing w:val="-2"/>
        </w:rPr>
        <w:t> </w:t>
      </w:r>
      <w:r>
        <w:rPr/>
        <w:t>Erbe</w:t>
      </w:r>
      <w:r>
        <w:rPr>
          <w:spacing w:val="-2"/>
        </w:rPr>
        <w:t> </w:t>
      </w:r>
      <w:r>
        <w:rPr/>
        <w:t>(1985) </w:t>
      </w:r>
      <w:r>
        <w:rPr>
          <w:spacing w:val="-2"/>
        </w:rPr>
        <w:t>Approach).</w:t>
      </w:r>
    </w:p>
    <w:p>
      <w:pPr>
        <w:pStyle w:val="BodyText"/>
        <w:rPr>
          <w:b/>
        </w:rPr>
      </w:pPr>
    </w:p>
    <w:p>
      <w:pPr>
        <w:pStyle w:val="BodyText"/>
        <w:ind w:left="711"/>
        <w:jc w:val="both"/>
      </w:pPr>
      <w:r>
        <w:rPr/>
        <w:t>These</w:t>
      </w:r>
      <w:r>
        <w:rPr>
          <w:spacing w:val="-2"/>
        </w:rPr>
        <w:t> </w:t>
      </w:r>
      <w:r>
        <w:rPr/>
        <w:t>tables</w:t>
      </w:r>
      <w:r>
        <w:rPr>
          <w:spacing w:val="-1"/>
        </w:rPr>
        <w:t> </w:t>
      </w:r>
      <w:r>
        <w:rPr/>
        <w:t>show</w:t>
      </w:r>
      <w:r>
        <w:rPr>
          <w:spacing w:val="-1"/>
        </w:rPr>
        <w:t> </w:t>
      </w:r>
      <w:r>
        <w:rPr/>
        <w:t>the</w:t>
      </w:r>
      <w:r>
        <w:rPr>
          <w:spacing w:val="-1"/>
        </w:rPr>
        <w:t> </w:t>
      </w:r>
      <w:r>
        <w:rPr/>
        <w:t>over</w:t>
      </w:r>
      <w:r>
        <w:rPr>
          <w:spacing w:val="-1"/>
        </w:rPr>
        <w:t> </w:t>
      </w:r>
      <w:r>
        <w:rPr/>
        <w:t>parameterized and</w:t>
      </w:r>
      <w:r>
        <w:rPr>
          <w:spacing w:val="-1"/>
        </w:rPr>
        <w:t> </w:t>
      </w:r>
      <w:r>
        <w:rPr/>
        <w:t>parsimonious</w:t>
      </w:r>
      <w:r>
        <w:rPr>
          <w:spacing w:val="-1"/>
        </w:rPr>
        <w:t> </w:t>
      </w:r>
      <w:r>
        <w:rPr/>
        <w:t>ECM</w:t>
      </w:r>
      <w:r>
        <w:rPr>
          <w:spacing w:val="-1"/>
        </w:rPr>
        <w:t> </w:t>
      </w:r>
      <w:r>
        <w:rPr/>
        <w:t>for</w:t>
      </w:r>
      <w:r>
        <w:rPr>
          <w:spacing w:val="-2"/>
        </w:rPr>
        <w:t> </w:t>
      </w:r>
      <w:r>
        <w:rPr/>
        <w:t>model </w:t>
      </w:r>
      <w:r>
        <w:rPr>
          <w:spacing w:val="-5"/>
        </w:rPr>
        <w:t>1.</w:t>
      </w:r>
    </w:p>
    <w:p>
      <w:pPr>
        <w:pStyle w:val="BodyText"/>
        <w:spacing w:before="47"/>
        <w:rPr>
          <w:sz w:val="20"/>
        </w:rPr>
      </w:pPr>
    </w:p>
    <w:tbl>
      <w:tblPr>
        <w:tblW w:w="0" w:type="auto"/>
        <w:jc w:val="left"/>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40"/>
        <w:gridCol w:w="1938"/>
        <w:gridCol w:w="1940"/>
        <w:gridCol w:w="1940"/>
        <w:gridCol w:w="1941"/>
      </w:tblGrid>
      <w:tr>
        <w:trPr>
          <w:trHeight w:val="230" w:hRule="atLeast"/>
        </w:trPr>
        <w:tc>
          <w:tcPr>
            <w:tcW w:w="1940" w:type="dxa"/>
          </w:tcPr>
          <w:p>
            <w:pPr>
              <w:pStyle w:val="TableParagraph"/>
              <w:spacing w:line="210" w:lineRule="exact"/>
              <w:ind w:left="10" w:right="4"/>
              <w:jc w:val="center"/>
              <w:rPr>
                <w:sz w:val="20"/>
              </w:rPr>
            </w:pPr>
            <w:r>
              <w:rPr>
                <w:spacing w:val="-2"/>
                <w:sz w:val="20"/>
              </w:rPr>
              <w:t>Variable</w:t>
            </w:r>
          </w:p>
        </w:tc>
        <w:tc>
          <w:tcPr>
            <w:tcW w:w="1938" w:type="dxa"/>
          </w:tcPr>
          <w:p>
            <w:pPr>
              <w:pStyle w:val="TableParagraph"/>
              <w:spacing w:line="210" w:lineRule="exact"/>
              <w:ind w:right="100"/>
              <w:jc w:val="right"/>
              <w:rPr>
                <w:sz w:val="20"/>
              </w:rPr>
            </w:pPr>
            <w:r>
              <w:rPr>
                <w:spacing w:val="-2"/>
                <w:sz w:val="20"/>
              </w:rPr>
              <w:t>Coefficient</w:t>
            </w:r>
          </w:p>
        </w:tc>
        <w:tc>
          <w:tcPr>
            <w:tcW w:w="1940" w:type="dxa"/>
          </w:tcPr>
          <w:p>
            <w:pPr>
              <w:pStyle w:val="TableParagraph"/>
              <w:spacing w:line="210" w:lineRule="exact"/>
              <w:ind w:right="100"/>
              <w:jc w:val="right"/>
              <w:rPr>
                <w:sz w:val="20"/>
              </w:rPr>
            </w:pPr>
            <w:r>
              <w:rPr>
                <w:sz w:val="20"/>
              </w:rPr>
              <w:t>Std.</w:t>
            </w:r>
            <w:r>
              <w:rPr>
                <w:spacing w:val="-4"/>
                <w:sz w:val="20"/>
              </w:rPr>
              <w:t> </w:t>
            </w:r>
            <w:r>
              <w:rPr>
                <w:spacing w:val="-2"/>
                <w:sz w:val="20"/>
              </w:rPr>
              <w:t>Error</w:t>
            </w:r>
          </w:p>
        </w:tc>
        <w:tc>
          <w:tcPr>
            <w:tcW w:w="1940" w:type="dxa"/>
          </w:tcPr>
          <w:p>
            <w:pPr>
              <w:pStyle w:val="TableParagraph"/>
              <w:spacing w:line="210" w:lineRule="exact"/>
              <w:ind w:right="103"/>
              <w:jc w:val="right"/>
              <w:rPr>
                <w:sz w:val="20"/>
              </w:rPr>
            </w:pPr>
            <w:r>
              <w:rPr>
                <w:spacing w:val="-4"/>
                <w:sz w:val="20"/>
              </w:rPr>
              <w:t>t-</w:t>
            </w:r>
            <w:r>
              <w:rPr>
                <w:spacing w:val="-2"/>
                <w:sz w:val="20"/>
              </w:rPr>
              <w:t>Statistic</w:t>
            </w:r>
          </w:p>
        </w:tc>
        <w:tc>
          <w:tcPr>
            <w:tcW w:w="1941" w:type="dxa"/>
          </w:tcPr>
          <w:p>
            <w:pPr>
              <w:pStyle w:val="TableParagraph"/>
              <w:spacing w:line="210" w:lineRule="exact"/>
              <w:ind w:right="103"/>
              <w:jc w:val="right"/>
              <w:rPr>
                <w:sz w:val="20"/>
              </w:rPr>
            </w:pPr>
            <w:r>
              <w:rPr>
                <w:spacing w:val="-2"/>
                <w:sz w:val="20"/>
              </w:rPr>
              <w:t>Prob.</w:t>
            </w:r>
          </w:p>
        </w:tc>
      </w:tr>
      <w:tr>
        <w:trPr>
          <w:trHeight w:val="230" w:hRule="atLeast"/>
        </w:trPr>
        <w:tc>
          <w:tcPr>
            <w:tcW w:w="1940" w:type="dxa"/>
          </w:tcPr>
          <w:p>
            <w:pPr>
              <w:pStyle w:val="TableParagraph"/>
              <w:spacing w:line="210" w:lineRule="exact"/>
              <w:ind w:left="10" w:right="1"/>
              <w:jc w:val="center"/>
              <w:rPr>
                <w:sz w:val="20"/>
              </w:rPr>
            </w:pPr>
            <w:r>
              <w:rPr>
                <w:spacing w:val="-2"/>
                <w:sz w:val="20"/>
              </w:rPr>
              <w:t>D(EXTDEBT,2)</w:t>
            </w:r>
          </w:p>
        </w:tc>
        <w:tc>
          <w:tcPr>
            <w:tcW w:w="1938" w:type="dxa"/>
          </w:tcPr>
          <w:p>
            <w:pPr>
              <w:pStyle w:val="TableParagraph"/>
              <w:spacing w:line="210" w:lineRule="exact"/>
              <w:ind w:right="97"/>
              <w:jc w:val="right"/>
              <w:rPr>
                <w:sz w:val="20"/>
              </w:rPr>
            </w:pPr>
            <w:r>
              <w:rPr>
                <w:spacing w:val="-2"/>
                <w:sz w:val="20"/>
              </w:rPr>
              <w:t>0.208801</w:t>
            </w:r>
          </w:p>
        </w:tc>
        <w:tc>
          <w:tcPr>
            <w:tcW w:w="1940" w:type="dxa"/>
          </w:tcPr>
          <w:p>
            <w:pPr>
              <w:pStyle w:val="TableParagraph"/>
              <w:spacing w:line="210" w:lineRule="exact"/>
              <w:ind w:right="100"/>
              <w:jc w:val="right"/>
              <w:rPr>
                <w:sz w:val="20"/>
              </w:rPr>
            </w:pPr>
            <w:r>
              <w:rPr>
                <w:spacing w:val="-2"/>
                <w:sz w:val="20"/>
              </w:rPr>
              <w:t>0.047477</w:t>
            </w:r>
          </w:p>
        </w:tc>
        <w:tc>
          <w:tcPr>
            <w:tcW w:w="1940" w:type="dxa"/>
          </w:tcPr>
          <w:p>
            <w:pPr>
              <w:pStyle w:val="TableParagraph"/>
              <w:spacing w:line="210" w:lineRule="exact"/>
              <w:ind w:right="100"/>
              <w:jc w:val="right"/>
              <w:rPr>
                <w:sz w:val="20"/>
              </w:rPr>
            </w:pPr>
            <w:r>
              <w:rPr>
                <w:spacing w:val="-2"/>
                <w:sz w:val="20"/>
              </w:rPr>
              <w:t>4.397968</w:t>
            </w:r>
          </w:p>
        </w:tc>
        <w:tc>
          <w:tcPr>
            <w:tcW w:w="1941" w:type="dxa"/>
          </w:tcPr>
          <w:p>
            <w:pPr>
              <w:pStyle w:val="TableParagraph"/>
              <w:spacing w:line="210" w:lineRule="exact"/>
              <w:ind w:right="101"/>
              <w:jc w:val="right"/>
              <w:rPr>
                <w:sz w:val="20"/>
              </w:rPr>
            </w:pPr>
            <w:r>
              <w:rPr>
                <w:spacing w:val="-2"/>
                <w:sz w:val="20"/>
              </w:rPr>
              <w:t>0.0001</w:t>
            </w:r>
          </w:p>
        </w:tc>
      </w:tr>
      <w:tr>
        <w:trPr>
          <w:trHeight w:val="230" w:hRule="atLeast"/>
        </w:trPr>
        <w:tc>
          <w:tcPr>
            <w:tcW w:w="1940" w:type="dxa"/>
          </w:tcPr>
          <w:p>
            <w:pPr>
              <w:pStyle w:val="TableParagraph"/>
              <w:spacing w:line="210" w:lineRule="exact"/>
              <w:ind w:left="10"/>
              <w:jc w:val="center"/>
              <w:rPr>
                <w:sz w:val="20"/>
              </w:rPr>
            </w:pPr>
            <w:r>
              <w:rPr>
                <w:spacing w:val="-2"/>
                <w:sz w:val="20"/>
              </w:rPr>
              <w:t>D(DOP(-1),2)</w:t>
            </w:r>
          </w:p>
        </w:tc>
        <w:tc>
          <w:tcPr>
            <w:tcW w:w="1938" w:type="dxa"/>
          </w:tcPr>
          <w:p>
            <w:pPr>
              <w:pStyle w:val="TableParagraph"/>
              <w:spacing w:line="210" w:lineRule="exact"/>
              <w:ind w:right="97"/>
              <w:jc w:val="right"/>
              <w:rPr>
                <w:sz w:val="20"/>
              </w:rPr>
            </w:pPr>
            <w:r>
              <w:rPr>
                <w:spacing w:val="-4"/>
                <w:sz w:val="20"/>
              </w:rPr>
              <w:t>-</w:t>
            </w:r>
            <w:r>
              <w:rPr>
                <w:spacing w:val="-2"/>
                <w:sz w:val="20"/>
              </w:rPr>
              <w:t>0.601640</w:t>
            </w:r>
          </w:p>
        </w:tc>
        <w:tc>
          <w:tcPr>
            <w:tcW w:w="1940" w:type="dxa"/>
          </w:tcPr>
          <w:p>
            <w:pPr>
              <w:pStyle w:val="TableParagraph"/>
              <w:spacing w:line="210" w:lineRule="exact"/>
              <w:ind w:right="100"/>
              <w:jc w:val="right"/>
              <w:rPr>
                <w:sz w:val="20"/>
              </w:rPr>
            </w:pPr>
            <w:r>
              <w:rPr>
                <w:spacing w:val="-2"/>
                <w:sz w:val="20"/>
              </w:rPr>
              <w:t>0.407675</w:t>
            </w:r>
          </w:p>
        </w:tc>
        <w:tc>
          <w:tcPr>
            <w:tcW w:w="1940" w:type="dxa"/>
          </w:tcPr>
          <w:p>
            <w:pPr>
              <w:pStyle w:val="TableParagraph"/>
              <w:spacing w:line="210" w:lineRule="exact"/>
              <w:ind w:right="100"/>
              <w:jc w:val="right"/>
              <w:rPr>
                <w:sz w:val="20"/>
              </w:rPr>
            </w:pPr>
            <w:r>
              <w:rPr>
                <w:spacing w:val="-4"/>
                <w:sz w:val="20"/>
              </w:rPr>
              <w:t>-</w:t>
            </w:r>
            <w:r>
              <w:rPr>
                <w:spacing w:val="-2"/>
                <w:sz w:val="20"/>
              </w:rPr>
              <w:t>1.475782</w:t>
            </w:r>
          </w:p>
        </w:tc>
        <w:tc>
          <w:tcPr>
            <w:tcW w:w="1941" w:type="dxa"/>
          </w:tcPr>
          <w:p>
            <w:pPr>
              <w:pStyle w:val="TableParagraph"/>
              <w:spacing w:line="210" w:lineRule="exact"/>
              <w:ind w:right="101"/>
              <w:jc w:val="right"/>
              <w:rPr>
                <w:sz w:val="20"/>
              </w:rPr>
            </w:pPr>
            <w:r>
              <w:rPr>
                <w:spacing w:val="-2"/>
                <w:sz w:val="20"/>
              </w:rPr>
              <w:t>0.1504</w:t>
            </w:r>
          </w:p>
        </w:tc>
      </w:tr>
      <w:tr>
        <w:trPr>
          <w:trHeight w:val="230" w:hRule="atLeast"/>
        </w:trPr>
        <w:tc>
          <w:tcPr>
            <w:tcW w:w="1940" w:type="dxa"/>
          </w:tcPr>
          <w:p>
            <w:pPr>
              <w:pStyle w:val="TableParagraph"/>
              <w:spacing w:line="210" w:lineRule="exact"/>
              <w:ind w:left="10"/>
              <w:jc w:val="center"/>
              <w:rPr>
                <w:sz w:val="20"/>
              </w:rPr>
            </w:pPr>
            <w:r>
              <w:rPr>
                <w:spacing w:val="-2"/>
                <w:sz w:val="20"/>
              </w:rPr>
              <w:t>D(INF,2)</w:t>
            </w:r>
          </w:p>
        </w:tc>
        <w:tc>
          <w:tcPr>
            <w:tcW w:w="1938" w:type="dxa"/>
          </w:tcPr>
          <w:p>
            <w:pPr>
              <w:pStyle w:val="TableParagraph"/>
              <w:spacing w:line="210" w:lineRule="exact"/>
              <w:ind w:right="97"/>
              <w:jc w:val="right"/>
              <w:rPr>
                <w:sz w:val="20"/>
              </w:rPr>
            </w:pPr>
            <w:r>
              <w:rPr>
                <w:spacing w:val="-4"/>
                <w:sz w:val="20"/>
              </w:rPr>
              <w:t>-</w:t>
            </w:r>
            <w:r>
              <w:rPr>
                <w:spacing w:val="-2"/>
                <w:sz w:val="20"/>
              </w:rPr>
              <w:t>0.194608</w:t>
            </w:r>
          </w:p>
        </w:tc>
        <w:tc>
          <w:tcPr>
            <w:tcW w:w="1940" w:type="dxa"/>
          </w:tcPr>
          <w:p>
            <w:pPr>
              <w:pStyle w:val="TableParagraph"/>
              <w:spacing w:line="210" w:lineRule="exact"/>
              <w:ind w:right="100"/>
              <w:jc w:val="right"/>
              <w:rPr>
                <w:sz w:val="20"/>
              </w:rPr>
            </w:pPr>
            <w:r>
              <w:rPr>
                <w:spacing w:val="-2"/>
                <w:sz w:val="20"/>
              </w:rPr>
              <w:t>0.139838</w:t>
            </w:r>
          </w:p>
        </w:tc>
        <w:tc>
          <w:tcPr>
            <w:tcW w:w="1940" w:type="dxa"/>
          </w:tcPr>
          <w:p>
            <w:pPr>
              <w:pStyle w:val="TableParagraph"/>
              <w:spacing w:line="210" w:lineRule="exact"/>
              <w:ind w:right="100"/>
              <w:jc w:val="right"/>
              <w:rPr>
                <w:sz w:val="20"/>
              </w:rPr>
            </w:pPr>
            <w:r>
              <w:rPr>
                <w:spacing w:val="-4"/>
                <w:sz w:val="20"/>
              </w:rPr>
              <w:t>-</w:t>
            </w:r>
            <w:r>
              <w:rPr>
                <w:spacing w:val="-2"/>
                <w:sz w:val="20"/>
              </w:rPr>
              <w:t>1.391667</w:t>
            </w:r>
          </w:p>
        </w:tc>
        <w:tc>
          <w:tcPr>
            <w:tcW w:w="1941" w:type="dxa"/>
          </w:tcPr>
          <w:p>
            <w:pPr>
              <w:pStyle w:val="TableParagraph"/>
              <w:spacing w:line="210" w:lineRule="exact"/>
              <w:ind w:right="101"/>
              <w:jc w:val="right"/>
              <w:rPr>
                <w:sz w:val="20"/>
              </w:rPr>
            </w:pPr>
            <w:r>
              <w:rPr>
                <w:spacing w:val="-2"/>
                <w:sz w:val="20"/>
              </w:rPr>
              <w:t>0.1743</w:t>
            </w:r>
          </w:p>
        </w:tc>
      </w:tr>
      <w:tr>
        <w:trPr>
          <w:trHeight w:val="230" w:hRule="atLeast"/>
        </w:trPr>
        <w:tc>
          <w:tcPr>
            <w:tcW w:w="1940" w:type="dxa"/>
          </w:tcPr>
          <w:p>
            <w:pPr>
              <w:pStyle w:val="TableParagraph"/>
              <w:spacing w:line="210" w:lineRule="exact"/>
              <w:ind w:left="10" w:right="3"/>
              <w:jc w:val="center"/>
              <w:rPr>
                <w:sz w:val="20"/>
              </w:rPr>
            </w:pPr>
            <w:r>
              <w:rPr>
                <w:spacing w:val="-2"/>
                <w:sz w:val="20"/>
              </w:rPr>
              <w:t>D(GCF(-1),2)</w:t>
            </w:r>
          </w:p>
        </w:tc>
        <w:tc>
          <w:tcPr>
            <w:tcW w:w="1938" w:type="dxa"/>
          </w:tcPr>
          <w:p>
            <w:pPr>
              <w:pStyle w:val="TableParagraph"/>
              <w:spacing w:line="210" w:lineRule="exact"/>
              <w:ind w:right="97"/>
              <w:jc w:val="right"/>
              <w:rPr>
                <w:sz w:val="20"/>
              </w:rPr>
            </w:pPr>
            <w:r>
              <w:rPr>
                <w:spacing w:val="-4"/>
                <w:sz w:val="20"/>
              </w:rPr>
              <w:t>-</w:t>
            </w:r>
            <w:r>
              <w:rPr>
                <w:spacing w:val="-2"/>
                <w:sz w:val="20"/>
              </w:rPr>
              <w:t>0.077298</w:t>
            </w:r>
          </w:p>
        </w:tc>
        <w:tc>
          <w:tcPr>
            <w:tcW w:w="1940" w:type="dxa"/>
          </w:tcPr>
          <w:p>
            <w:pPr>
              <w:pStyle w:val="TableParagraph"/>
              <w:spacing w:line="210" w:lineRule="exact"/>
              <w:ind w:right="100"/>
              <w:jc w:val="right"/>
              <w:rPr>
                <w:sz w:val="20"/>
              </w:rPr>
            </w:pPr>
            <w:r>
              <w:rPr>
                <w:spacing w:val="-2"/>
                <w:sz w:val="20"/>
              </w:rPr>
              <w:t>0.049736</w:t>
            </w:r>
          </w:p>
        </w:tc>
        <w:tc>
          <w:tcPr>
            <w:tcW w:w="1940" w:type="dxa"/>
          </w:tcPr>
          <w:p>
            <w:pPr>
              <w:pStyle w:val="TableParagraph"/>
              <w:spacing w:line="210" w:lineRule="exact"/>
              <w:ind w:right="100"/>
              <w:jc w:val="right"/>
              <w:rPr>
                <w:sz w:val="20"/>
              </w:rPr>
            </w:pPr>
            <w:r>
              <w:rPr>
                <w:spacing w:val="-4"/>
                <w:sz w:val="20"/>
              </w:rPr>
              <w:t>-</w:t>
            </w:r>
            <w:r>
              <w:rPr>
                <w:spacing w:val="-2"/>
                <w:sz w:val="20"/>
              </w:rPr>
              <w:t>1.554171</w:t>
            </w:r>
          </w:p>
        </w:tc>
        <w:tc>
          <w:tcPr>
            <w:tcW w:w="1941" w:type="dxa"/>
          </w:tcPr>
          <w:p>
            <w:pPr>
              <w:pStyle w:val="TableParagraph"/>
              <w:spacing w:line="210" w:lineRule="exact"/>
              <w:ind w:right="101"/>
              <w:jc w:val="right"/>
              <w:rPr>
                <w:sz w:val="20"/>
              </w:rPr>
            </w:pPr>
            <w:r>
              <w:rPr>
                <w:spacing w:val="-2"/>
                <w:sz w:val="20"/>
              </w:rPr>
              <w:t>0.1306</w:t>
            </w:r>
          </w:p>
        </w:tc>
      </w:tr>
      <w:tr>
        <w:trPr>
          <w:trHeight w:val="230" w:hRule="atLeast"/>
        </w:trPr>
        <w:tc>
          <w:tcPr>
            <w:tcW w:w="1940" w:type="dxa"/>
          </w:tcPr>
          <w:p>
            <w:pPr>
              <w:pStyle w:val="TableParagraph"/>
              <w:spacing w:line="210" w:lineRule="exact"/>
              <w:ind w:left="10" w:right="2"/>
              <w:jc w:val="center"/>
              <w:rPr>
                <w:sz w:val="20"/>
              </w:rPr>
            </w:pPr>
            <w:r>
              <w:rPr>
                <w:spacing w:val="-2"/>
                <w:sz w:val="20"/>
              </w:rPr>
              <w:t>D(DR,2)</w:t>
            </w:r>
          </w:p>
        </w:tc>
        <w:tc>
          <w:tcPr>
            <w:tcW w:w="1938" w:type="dxa"/>
          </w:tcPr>
          <w:p>
            <w:pPr>
              <w:pStyle w:val="TableParagraph"/>
              <w:spacing w:line="210" w:lineRule="exact"/>
              <w:ind w:right="97"/>
              <w:jc w:val="right"/>
              <w:rPr>
                <w:sz w:val="20"/>
              </w:rPr>
            </w:pPr>
            <w:r>
              <w:rPr>
                <w:spacing w:val="-2"/>
                <w:sz w:val="20"/>
              </w:rPr>
              <w:t>0.441408</w:t>
            </w:r>
          </w:p>
        </w:tc>
        <w:tc>
          <w:tcPr>
            <w:tcW w:w="1940" w:type="dxa"/>
          </w:tcPr>
          <w:p>
            <w:pPr>
              <w:pStyle w:val="TableParagraph"/>
              <w:spacing w:line="210" w:lineRule="exact"/>
              <w:ind w:right="100"/>
              <w:jc w:val="right"/>
              <w:rPr>
                <w:sz w:val="20"/>
              </w:rPr>
            </w:pPr>
            <w:r>
              <w:rPr>
                <w:spacing w:val="-2"/>
                <w:sz w:val="20"/>
              </w:rPr>
              <w:t>0.493481</w:t>
            </w:r>
          </w:p>
        </w:tc>
        <w:tc>
          <w:tcPr>
            <w:tcW w:w="1940" w:type="dxa"/>
          </w:tcPr>
          <w:p>
            <w:pPr>
              <w:pStyle w:val="TableParagraph"/>
              <w:spacing w:line="210" w:lineRule="exact"/>
              <w:ind w:right="100"/>
              <w:jc w:val="right"/>
              <w:rPr>
                <w:sz w:val="20"/>
              </w:rPr>
            </w:pPr>
            <w:r>
              <w:rPr>
                <w:spacing w:val="-2"/>
                <w:sz w:val="20"/>
              </w:rPr>
              <w:t>0.894479</w:t>
            </w:r>
          </w:p>
        </w:tc>
        <w:tc>
          <w:tcPr>
            <w:tcW w:w="1941" w:type="dxa"/>
          </w:tcPr>
          <w:p>
            <w:pPr>
              <w:pStyle w:val="TableParagraph"/>
              <w:spacing w:line="210" w:lineRule="exact"/>
              <w:ind w:right="101"/>
              <w:jc w:val="right"/>
              <w:rPr>
                <w:sz w:val="20"/>
              </w:rPr>
            </w:pPr>
            <w:r>
              <w:rPr>
                <w:spacing w:val="-2"/>
                <w:sz w:val="20"/>
              </w:rPr>
              <w:t>0.3782</w:t>
            </w:r>
          </w:p>
        </w:tc>
      </w:tr>
      <w:tr>
        <w:trPr>
          <w:trHeight w:val="230" w:hRule="atLeast"/>
        </w:trPr>
        <w:tc>
          <w:tcPr>
            <w:tcW w:w="1940" w:type="dxa"/>
          </w:tcPr>
          <w:p>
            <w:pPr>
              <w:pStyle w:val="TableParagraph"/>
              <w:spacing w:line="210" w:lineRule="exact"/>
              <w:ind w:left="10" w:right="3"/>
              <w:jc w:val="center"/>
              <w:rPr>
                <w:sz w:val="20"/>
              </w:rPr>
            </w:pPr>
            <w:r>
              <w:rPr>
                <w:spacing w:val="-2"/>
                <w:sz w:val="20"/>
              </w:rPr>
              <w:t>D(PRIVCR(-1),2)</w:t>
            </w:r>
          </w:p>
        </w:tc>
        <w:tc>
          <w:tcPr>
            <w:tcW w:w="1938" w:type="dxa"/>
          </w:tcPr>
          <w:p>
            <w:pPr>
              <w:pStyle w:val="TableParagraph"/>
              <w:spacing w:line="210" w:lineRule="exact"/>
              <w:ind w:right="97"/>
              <w:jc w:val="right"/>
              <w:rPr>
                <w:sz w:val="20"/>
              </w:rPr>
            </w:pPr>
            <w:r>
              <w:rPr>
                <w:spacing w:val="-4"/>
                <w:sz w:val="20"/>
              </w:rPr>
              <w:t>-</w:t>
            </w:r>
            <w:r>
              <w:rPr>
                <w:spacing w:val="-2"/>
                <w:sz w:val="20"/>
              </w:rPr>
              <w:t>1.057323</w:t>
            </w:r>
          </w:p>
        </w:tc>
        <w:tc>
          <w:tcPr>
            <w:tcW w:w="1940" w:type="dxa"/>
          </w:tcPr>
          <w:p>
            <w:pPr>
              <w:pStyle w:val="TableParagraph"/>
              <w:spacing w:line="210" w:lineRule="exact"/>
              <w:ind w:right="100"/>
              <w:jc w:val="right"/>
              <w:rPr>
                <w:sz w:val="20"/>
              </w:rPr>
            </w:pPr>
            <w:r>
              <w:rPr>
                <w:spacing w:val="-2"/>
                <w:sz w:val="20"/>
              </w:rPr>
              <w:t>0.877283</w:t>
            </w:r>
          </w:p>
        </w:tc>
        <w:tc>
          <w:tcPr>
            <w:tcW w:w="1940" w:type="dxa"/>
          </w:tcPr>
          <w:p>
            <w:pPr>
              <w:pStyle w:val="TableParagraph"/>
              <w:spacing w:line="210" w:lineRule="exact"/>
              <w:ind w:right="100"/>
              <w:jc w:val="right"/>
              <w:rPr>
                <w:sz w:val="20"/>
              </w:rPr>
            </w:pPr>
            <w:r>
              <w:rPr>
                <w:spacing w:val="-4"/>
                <w:sz w:val="20"/>
              </w:rPr>
              <w:t>-</w:t>
            </w:r>
            <w:r>
              <w:rPr>
                <w:spacing w:val="-2"/>
                <w:sz w:val="20"/>
              </w:rPr>
              <w:t>1.205225</w:t>
            </w:r>
          </w:p>
        </w:tc>
        <w:tc>
          <w:tcPr>
            <w:tcW w:w="1941" w:type="dxa"/>
          </w:tcPr>
          <w:p>
            <w:pPr>
              <w:pStyle w:val="TableParagraph"/>
              <w:spacing w:line="210" w:lineRule="exact"/>
              <w:ind w:right="101"/>
              <w:jc w:val="right"/>
              <w:rPr>
                <w:sz w:val="20"/>
              </w:rPr>
            </w:pPr>
            <w:r>
              <w:rPr>
                <w:spacing w:val="-2"/>
                <w:sz w:val="20"/>
              </w:rPr>
              <w:t>0.2375</w:t>
            </w:r>
          </w:p>
        </w:tc>
      </w:tr>
      <w:tr>
        <w:trPr>
          <w:trHeight w:val="230" w:hRule="atLeast"/>
        </w:trPr>
        <w:tc>
          <w:tcPr>
            <w:tcW w:w="1940" w:type="dxa"/>
          </w:tcPr>
          <w:p>
            <w:pPr>
              <w:pStyle w:val="TableParagraph"/>
              <w:spacing w:line="210" w:lineRule="exact"/>
              <w:ind w:left="10" w:right="3"/>
              <w:jc w:val="center"/>
              <w:rPr>
                <w:sz w:val="20"/>
              </w:rPr>
            </w:pPr>
            <w:r>
              <w:rPr>
                <w:spacing w:val="-2"/>
                <w:sz w:val="20"/>
              </w:rPr>
              <w:t>D(INTDIFF(-</w:t>
            </w:r>
            <w:r>
              <w:rPr>
                <w:spacing w:val="-4"/>
                <w:sz w:val="20"/>
              </w:rPr>
              <w:t>1),2)</w:t>
            </w:r>
          </w:p>
        </w:tc>
        <w:tc>
          <w:tcPr>
            <w:tcW w:w="1938" w:type="dxa"/>
          </w:tcPr>
          <w:p>
            <w:pPr>
              <w:pStyle w:val="TableParagraph"/>
              <w:spacing w:line="210" w:lineRule="exact"/>
              <w:ind w:right="97"/>
              <w:jc w:val="right"/>
              <w:rPr>
                <w:sz w:val="20"/>
              </w:rPr>
            </w:pPr>
            <w:r>
              <w:rPr>
                <w:spacing w:val="-4"/>
                <w:sz w:val="20"/>
              </w:rPr>
              <w:t>-</w:t>
            </w:r>
            <w:r>
              <w:rPr>
                <w:spacing w:val="-2"/>
                <w:sz w:val="20"/>
              </w:rPr>
              <w:t>0.072382</w:t>
            </w:r>
          </w:p>
        </w:tc>
        <w:tc>
          <w:tcPr>
            <w:tcW w:w="1940" w:type="dxa"/>
          </w:tcPr>
          <w:p>
            <w:pPr>
              <w:pStyle w:val="TableParagraph"/>
              <w:spacing w:line="210" w:lineRule="exact"/>
              <w:ind w:right="100"/>
              <w:jc w:val="right"/>
              <w:rPr>
                <w:sz w:val="20"/>
              </w:rPr>
            </w:pPr>
            <w:r>
              <w:rPr>
                <w:spacing w:val="-2"/>
                <w:sz w:val="20"/>
              </w:rPr>
              <w:t>0.134363</w:t>
            </w:r>
          </w:p>
        </w:tc>
        <w:tc>
          <w:tcPr>
            <w:tcW w:w="1940" w:type="dxa"/>
          </w:tcPr>
          <w:p>
            <w:pPr>
              <w:pStyle w:val="TableParagraph"/>
              <w:spacing w:line="210" w:lineRule="exact"/>
              <w:ind w:right="100"/>
              <w:jc w:val="right"/>
              <w:rPr>
                <w:sz w:val="20"/>
              </w:rPr>
            </w:pPr>
            <w:r>
              <w:rPr>
                <w:spacing w:val="-4"/>
                <w:sz w:val="20"/>
              </w:rPr>
              <w:t>-</w:t>
            </w:r>
            <w:r>
              <w:rPr>
                <w:spacing w:val="-2"/>
                <w:sz w:val="20"/>
              </w:rPr>
              <w:t>0.538704</w:t>
            </w:r>
          </w:p>
        </w:tc>
        <w:tc>
          <w:tcPr>
            <w:tcW w:w="1941" w:type="dxa"/>
          </w:tcPr>
          <w:p>
            <w:pPr>
              <w:pStyle w:val="TableParagraph"/>
              <w:spacing w:line="210" w:lineRule="exact"/>
              <w:ind w:right="101"/>
              <w:jc w:val="right"/>
              <w:rPr>
                <w:sz w:val="20"/>
              </w:rPr>
            </w:pPr>
            <w:r>
              <w:rPr>
                <w:spacing w:val="-2"/>
                <w:sz w:val="20"/>
              </w:rPr>
              <w:t>0.5941</w:t>
            </w:r>
          </w:p>
        </w:tc>
      </w:tr>
      <w:tr>
        <w:trPr>
          <w:trHeight w:val="230" w:hRule="atLeast"/>
        </w:trPr>
        <w:tc>
          <w:tcPr>
            <w:tcW w:w="1940" w:type="dxa"/>
          </w:tcPr>
          <w:p>
            <w:pPr>
              <w:pStyle w:val="TableParagraph"/>
              <w:spacing w:line="210" w:lineRule="exact"/>
              <w:ind w:left="10" w:right="3"/>
              <w:jc w:val="center"/>
              <w:rPr>
                <w:sz w:val="20"/>
              </w:rPr>
            </w:pPr>
            <w:r>
              <w:rPr>
                <w:spacing w:val="-2"/>
                <w:sz w:val="20"/>
              </w:rPr>
              <w:t>D(GOCE(-1),2)</w:t>
            </w:r>
          </w:p>
        </w:tc>
        <w:tc>
          <w:tcPr>
            <w:tcW w:w="1938" w:type="dxa"/>
          </w:tcPr>
          <w:p>
            <w:pPr>
              <w:pStyle w:val="TableParagraph"/>
              <w:spacing w:line="210" w:lineRule="exact"/>
              <w:ind w:right="97"/>
              <w:jc w:val="right"/>
              <w:rPr>
                <w:sz w:val="20"/>
              </w:rPr>
            </w:pPr>
            <w:r>
              <w:rPr>
                <w:spacing w:val="-4"/>
                <w:sz w:val="20"/>
              </w:rPr>
              <w:t>-</w:t>
            </w:r>
            <w:r>
              <w:rPr>
                <w:spacing w:val="-2"/>
                <w:sz w:val="20"/>
              </w:rPr>
              <w:t>0.565986</w:t>
            </w:r>
          </w:p>
        </w:tc>
        <w:tc>
          <w:tcPr>
            <w:tcW w:w="1940" w:type="dxa"/>
          </w:tcPr>
          <w:p>
            <w:pPr>
              <w:pStyle w:val="TableParagraph"/>
              <w:spacing w:line="210" w:lineRule="exact"/>
              <w:ind w:right="100"/>
              <w:jc w:val="right"/>
              <w:rPr>
                <w:sz w:val="20"/>
              </w:rPr>
            </w:pPr>
            <w:r>
              <w:rPr>
                <w:spacing w:val="-2"/>
                <w:sz w:val="20"/>
              </w:rPr>
              <w:t>0.488688</w:t>
            </w:r>
          </w:p>
        </w:tc>
        <w:tc>
          <w:tcPr>
            <w:tcW w:w="1940" w:type="dxa"/>
          </w:tcPr>
          <w:p>
            <w:pPr>
              <w:pStyle w:val="TableParagraph"/>
              <w:spacing w:line="210" w:lineRule="exact"/>
              <w:ind w:right="100"/>
              <w:jc w:val="right"/>
              <w:rPr>
                <w:sz w:val="20"/>
              </w:rPr>
            </w:pPr>
            <w:r>
              <w:rPr>
                <w:spacing w:val="-4"/>
                <w:sz w:val="20"/>
              </w:rPr>
              <w:t>-</w:t>
            </w:r>
            <w:r>
              <w:rPr>
                <w:spacing w:val="-2"/>
                <w:sz w:val="20"/>
              </w:rPr>
              <w:t>1.158177</w:t>
            </w:r>
          </w:p>
        </w:tc>
        <w:tc>
          <w:tcPr>
            <w:tcW w:w="1941" w:type="dxa"/>
          </w:tcPr>
          <w:p>
            <w:pPr>
              <w:pStyle w:val="TableParagraph"/>
              <w:spacing w:line="210" w:lineRule="exact"/>
              <w:ind w:right="101"/>
              <w:jc w:val="right"/>
              <w:rPr>
                <w:sz w:val="20"/>
              </w:rPr>
            </w:pPr>
            <w:r>
              <w:rPr>
                <w:spacing w:val="-2"/>
                <w:sz w:val="20"/>
              </w:rPr>
              <w:t>0.2559</w:t>
            </w:r>
          </w:p>
        </w:tc>
      </w:tr>
      <w:tr>
        <w:trPr>
          <w:trHeight w:val="230" w:hRule="atLeast"/>
        </w:trPr>
        <w:tc>
          <w:tcPr>
            <w:tcW w:w="1940" w:type="dxa"/>
          </w:tcPr>
          <w:p>
            <w:pPr>
              <w:pStyle w:val="TableParagraph"/>
              <w:spacing w:line="210" w:lineRule="exact"/>
              <w:ind w:left="10" w:right="3"/>
              <w:jc w:val="center"/>
              <w:rPr>
                <w:sz w:val="20"/>
              </w:rPr>
            </w:pPr>
            <w:r>
              <w:rPr>
                <w:spacing w:val="-2"/>
                <w:sz w:val="20"/>
              </w:rPr>
              <w:t>ECM(-</w:t>
            </w:r>
            <w:r>
              <w:rPr>
                <w:spacing w:val="-5"/>
                <w:sz w:val="20"/>
              </w:rPr>
              <w:t>1)</w:t>
            </w:r>
          </w:p>
        </w:tc>
        <w:tc>
          <w:tcPr>
            <w:tcW w:w="1938" w:type="dxa"/>
          </w:tcPr>
          <w:p>
            <w:pPr>
              <w:pStyle w:val="TableParagraph"/>
              <w:spacing w:line="210" w:lineRule="exact"/>
              <w:ind w:right="97"/>
              <w:jc w:val="right"/>
              <w:rPr>
                <w:sz w:val="20"/>
              </w:rPr>
            </w:pPr>
            <w:r>
              <w:rPr>
                <w:spacing w:val="-4"/>
                <w:sz w:val="20"/>
              </w:rPr>
              <w:t>-</w:t>
            </w:r>
            <w:r>
              <w:rPr>
                <w:spacing w:val="-2"/>
                <w:sz w:val="20"/>
              </w:rPr>
              <w:t>1.422630</w:t>
            </w:r>
          </w:p>
        </w:tc>
        <w:tc>
          <w:tcPr>
            <w:tcW w:w="1940" w:type="dxa"/>
          </w:tcPr>
          <w:p>
            <w:pPr>
              <w:pStyle w:val="TableParagraph"/>
              <w:spacing w:line="210" w:lineRule="exact"/>
              <w:ind w:right="100"/>
              <w:jc w:val="right"/>
              <w:rPr>
                <w:sz w:val="20"/>
              </w:rPr>
            </w:pPr>
            <w:r>
              <w:rPr>
                <w:spacing w:val="-2"/>
                <w:sz w:val="20"/>
              </w:rPr>
              <w:t>0.247771</w:t>
            </w:r>
          </w:p>
        </w:tc>
        <w:tc>
          <w:tcPr>
            <w:tcW w:w="1940" w:type="dxa"/>
          </w:tcPr>
          <w:p>
            <w:pPr>
              <w:pStyle w:val="TableParagraph"/>
              <w:spacing w:line="210" w:lineRule="exact"/>
              <w:ind w:right="100"/>
              <w:jc w:val="right"/>
              <w:rPr>
                <w:sz w:val="20"/>
              </w:rPr>
            </w:pPr>
            <w:r>
              <w:rPr>
                <w:spacing w:val="-4"/>
                <w:sz w:val="20"/>
              </w:rPr>
              <w:t>-</w:t>
            </w:r>
            <w:r>
              <w:rPr>
                <w:spacing w:val="-2"/>
                <w:sz w:val="20"/>
              </w:rPr>
              <w:t>5.741712</w:t>
            </w:r>
          </w:p>
        </w:tc>
        <w:tc>
          <w:tcPr>
            <w:tcW w:w="1941" w:type="dxa"/>
          </w:tcPr>
          <w:p>
            <w:pPr>
              <w:pStyle w:val="TableParagraph"/>
              <w:spacing w:line="210" w:lineRule="exact"/>
              <w:ind w:right="101"/>
              <w:jc w:val="right"/>
              <w:rPr>
                <w:sz w:val="20"/>
              </w:rPr>
            </w:pPr>
            <w:r>
              <w:rPr>
                <w:spacing w:val="-2"/>
                <w:sz w:val="20"/>
              </w:rPr>
              <w:t>0.0000</w:t>
            </w:r>
          </w:p>
        </w:tc>
      </w:tr>
    </w:tbl>
    <w:tbl>
      <w:tblPr>
        <w:tblW w:w="0" w:type="auto"/>
        <w:jc w:val="left"/>
        <w:tblInd w:w="7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85"/>
        <w:gridCol w:w="1953"/>
        <w:gridCol w:w="2996"/>
        <w:gridCol w:w="1864"/>
      </w:tblGrid>
      <w:tr>
        <w:trPr>
          <w:trHeight w:val="270" w:hRule="atLeast"/>
        </w:trPr>
        <w:tc>
          <w:tcPr>
            <w:tcW w:w="2785" w:type="dxa"/>
          </w:tcPr>
          <w:p>
            <w:pPr>
              <w:pStyle w:val="TableParagraph"/>
              <w:spacing w:line="251" w:lineRule="exact"/>
              <w:ind w:left="50"/>
              <w:rPr>
                <w:sz w:val="24"/>
              </w:rPr>
            </w:pPr>
            <w:r>
              <w:rPr>
                <w:sz w:val="24"/>
              </w:rPr>
              <w:t>R-</w:t>
            </w:r>
            <w:r>
              <w:rPr>
                <w:spacing w:val="-2"/>
                <w:sz w:val="24"/>
              </w:rPr>
              <w:t>squared</w:t>
            </w:r>
          </w:p>
        </w:tc>
        <w:tc>
          <w:tcPr>
            <w:tcW w:w="1953" w:type="dxa"/>
          </w:tcPr>
          <w:p>
            <w:pPr>
              <w:pStyle w:val="TableParagraph"/>
              <w:spacing w:line="251" w:lineRule="exact"/>
              <w:ind w:right="146"/>
              <w:jc w:val="right"/>
              <w:rPr>
                <w:sz w:val="24"/>
              </w:rPr>
            </w:pPr>
            <w:r>
              <w:rPr>
                <w:spacing w:val="-2"/>
                <w:sz w:val="24"/>
              </w:rPr>
              <w:t>0.851474</w:t>
            </w:r>
          </w:p>
        </w:tc>
        <w:tc>
          <w:tcPr>
            <w:tcW w:w="2996" w:type="dxa"/>
          </w:tcPr>
          <w:p>
            <w:pPr>
              <w:pStyle w:val="TableParagraph"/>
              <w:spacing w:line="251" w:lineRule="exact"/>
              <w:ind w:left="151"/>
              <w:rPr>
                <w:sz w:val="24"/>
              </w:rPr>
            </w:pPr>
            <w:r>
              <w:rPr>
                <w:sz w:val="24"/>
              </w:rPr>
              <w:t>Mean</w:t>
            </w:r>
            <w:r>
              <w:rPr>
                <w:spacing w:val="-2"/>
                <w:sz w:val="24"/>
              </w:rPr>
              <w:t> </w:t>
            </w:r>
            <w:r>
              <w:rPr>
                <w:sz w:val="24"/>
              </w:rPr>
              <w:t>dependent</w:t>
            </w:r>
            <w:r>
              <w:rPr>
                <w:spacing w:val="-1"/>
                <w:sz w:val="24"/>
              </w:rPr>
              <w:t> </w:t>
            </w:r>
            <w:r>
              <w:rPr>
                <w:spacing w:val="-5"/>
                <w:sz w:val="24"/>
              </w:rPr>
              <w:t>var</w:t>
            </w:r>
          </w:p>
        </w:tc>
        <w:tc>
          <w:tcPr>
            <w:tcW w:w="1864" w:type="dxa"/>
          </w:tcPr>
          <w:p>
            <w:pPr>
              <w:pStyle w:val="TableParagraph"/>
              <w:spacing w:line="251" w:lineRule="exact"/>
              <w:ind w:right="44"/>
              <w:jc w:val="right"/>
              <w:rPr>
                <w:sz w:val="24"/>
              </w:rPr>
            </w:pPr>
            <w:r>
              <w:rPr>
                <w:spacing w:val="-2"/>
                <w:sz w:val="24"/>
              </w:rPr>
              <w:t>-0.001876</w:t>
            </w:r>
          </w:p>
        </w:tc>
      </w:tr>
      <w:tr>
        <w:trPr>
          <w:trHeight w:val="276" w:hRule="atLeast"/>
        </w:trPr>
        <w:tc>
          <w:tcPr>
            <w:tcW w:w="2785" w:type="dxa"/>
          </w:tcPr>
          <w:p>
            <w:pPr>
              <w:pStyle w:val="TableParagraph"/>
              <w:spacing w:line="256" w:lineRule="exact"/>
              <w:ind w:left="50"/>
              <w:rPr>
                <w:sz w:val="24"/>
              </w:rPr>
            </w:pPr>
            <w:r>
              <w:rPr>
                <w:sz w:val="24"/>
              </w:rPr>
              <w:t>Adjusted</w:t>
            </w:r>
            <w:r>
              <w:rPr>
                <w:spacing w:val="-1"/>
                <w:sz w:val="24"/>
              </w:rPr>
              <w:t> </w:t>
            </w:r>
            <w:r>
              <w:rPr>
                <w:sz w:val="24"/>
              </w:rPr>
              <w:t>R-</w:t>
            </w:r>
            <w:r>
              <w:rPr>
                <w:spacing w:val="-2"/>
                <w:sz w:val="24"/>
              </w:rPr>
              <w:t>squared</w:t>
            </w:r>
          </w:p>
        </w:tc>
        <w:tc>
          <w:tcPr>
            <w:tcW w:w="1953" w:type="dxa"/>
          </w:tcPr>
          <w:p>
            <w:pPr>
              <w:pStyle w:val="TableParagraph"/>
              <w:spacing w:line="256" w:lineRule="exact"/>
              <w:ind w:right="146"/>
              <w:jc w:val="right"/>
              <w:rPr>
                <w:sz w:val="24"/>
              </w:rPr>
            </w:pPr>
            <w:r>
              <w:rPr>
                <w:spacing w:val="-2"/>
                <w:sz w:val="24"/>
              </w:rPr>
              <w:t>0.811867</w:t>
            </w:r>
          </w:p>
        </w:tc>
        <w:tc>
          <w:tcPr>
            <w:tcW w:w="2996" w:type="dxa"/>
          </w:tcPr>
          <w:p>
            <w:pPr>
              <w:pStyle w:val="TableParagraph"/>
              <w:spacing w:line="256" w:lineRule="exact"/>
              <w:ind w:left="151"/>
              <w:rPr>
                <w:sz w:val="24"/>
              </w:rPr>
            </w:pPr>
            <w:r>
              <w:rPr>
                <w:sz w:val="24"/>
              </w:rPr>
              <w:t>S.D.</w:t>
            </w:r>
            <w:r>
              <w:rPr>
                <w:spacing w:val="-4"/>
                <w:sz w:val="24"/>
              </w:rPr>
              <w:t> </w:t>
            </w:r>
            <w:r>
              <w:rPr>
                <w:sz w:val="24"/>
              </w:rPr>
              <w:t>dependent</w:t>
            </w:r>
            <w:r>
              <w:rPr>
                <w:spacing w:val="-2"/>
                <w:sz w:val="24"/>
              </w:rPr>
              <w:t> </w:t>
            </w:r>
            <w:r>
              <w:rPr>
                <w:spacing w:val="-5"/>
                <w:sz w:val="24"/>
              </w:rPr>
              <w:t>var</w:t>
            </w:r>
          </w:p>
        </w:tc>
        <w:tc>
          <w:tcPr>
            <w:tcW w:w="1864" w:type="dxa"/>
          </w:tcPr>
          <w:p>
            <w:pPr>
              <w:pStyle w:val="TableParagraph"/>
              <w:spacing w:line="256" w:lineRule="exact"/>
              <w:ind w:right="44"/>
              <w:jc w:val="right"/>
              <w:rPr>
                <w:sz w:val="24"/>
              </w:rPr>
            </w:pPr>
            <w:r>
              <w:rPr>
                <w:spacing w:val="-2"/>
                <w:sz w:val="24"/>
              </w:rPr>
              <w:t>1.827269</w:t>
            </w:r>
          </w:p>
        </w:tc>
      </w:tr>
      <w:tr>
        <w:trPr>
          <w:trHeight w:val="278" w:hRule="atLeast"/>
        </w:trPr>
        <w:tc>
          <w:tcPr>
            <w:tcW w:w="2785" w:type="dxa"/>
          </w:tcPr>
          <w:p>
            <w:pPr>
              <w:pStyle w:val="TableParagraph"/>
              <w:spacing w:line="258" w:lineRule="exact"/>
              <w:ind w:left="50"/>
              <w:rPr>
                <w:sz w:val="24"/>
              </w:rPr>
            </w:pPr>
            <w:r>
              <w:rPr>
                <w:sz w:val="24"/>
              </w:rPr>
              <w:t>S.E. of</w:t>
            </w:r>
            <w:r>
              <w:rPr>
                <w:spacing w:val="-1"/>
                <w:sz w:val="24"/>
              </w:rPr>
              <w:t> </w:t>
            </w:r>
            <w:r>
              <w:rPr>
                <w:spacing w:val="-2"/>
                <w:sz w:val="24"/>
              </w:rPr>
              <w:t>regression</w:t>
            </w:r>
          </w:p>
        </w:tc>
        <w:tc>
          <w:tcPr>
            <w:tcW w:w="1953" w:type="dxa"/>
          </w:tcPr>
          <w:p>
            <w:pPr>
              <w:pStyle w:val="TableParagraph"/>
              <w:spacing w:line="258" w:lineRule="exact"/>
              <w:ind w:right="146"/>
              <w:jc w:val="right"/>
              <w:rPr>
                <w:sz w:val="24"/>
              </w:rPr>
            </w:pPr>
            <w:r>
              <w:rPr>
                <w:spacing w:val="-2"/>
                <w:sz w:val="24"/>
              </w:rPr>
              <w:t>0.792565</w:t>
            </w:r>
          </w:p>
        </w:tc>
        <w:tc>
          <w:tcPr>
            <w:tcW w:w="2996" w:type="dxa"/>
          </w:tcPr>
          <w:p>
            <w:pPr>
              <w:pStyle w:val="TableParagraph"/>
              <w:spacing w:line="258" w:lineRule="exact"/>
              <w:ind w:left="151"/>
              <w:rPr>
                <w:sz w:val="24"/>
              </w:rPr>
            </w:pPr>
            <w:r>
              <w:rPr>
                <w:sz w:val="24"/>
              </w:rPr>
              <w:t>Akaike</w:t>
            </w:r>
            <w:r>
              <w:rPr>
                <w:spacing w:val="-4"/>
                <w:sz w:val="24"/>
              </w:rPr>
              <w:t> </w:t>
            </w:r>
            <w:r>
              <w:rPr>
                <w:sz w:val="24"/>
              </w:rPr>
              <w:t>info</w:t>
            </w:r>
            <w:r>
              <w:rPr>
                <w:spacing w:val="-1"/>
                <w:sz w:val="24"/>
              </w:rPr>
              <w:t> </w:t>
            </w:r>
            <w:r>
              <w:rPr>
                <w:spacing w:val="-2"/>
                <w:sz w:val="24"/>
              </w:rPr>
              <w:t>criterion</w:t>
            </w:r>
          </w:p>
        </w:tc>
        <w:tc>
          <w:tcPr>
            <w:tcW w:w="1864" w:type="dxa"/>
          </w:tcPr>
          <w:p>
            <w:pPr>
              <w:pStyle w:val="TableParagraph"/>
              <w:spacing w:line="258" w:lineRule="exact"/>
              <w:ind w:right="44"/>
              <w:jc w:val="right"/>
              <w:rPr>
                <w:sz w:val="24"/>
              </w:rPr>
            </w:pPr>
            <w:r>
              <w:rPr>
                <w:spacing w:val="-2"/>
                <w:sz w:val="24"/>
              </w:rPr>
              <w:t>2.572089</w:t>
            </w:r>
          </w:p>
        </w:tc>
      </w:tr>
      <w:tr>
        <w:trPr>
          <w:trHeight w:val="278" w:hRule="atLeast"/>
        </w:trPr>
        <w:tc>
          <w:tcPr>
            <w:tcW w:w="2785" w:type="dxa"/>
          </w:tcPr>
          <w:p>
            <w:pPr>
              <w:pStyle w:val="TableParagraph"/>
              <w:spacing w:line="258" w:lineRule="exact"/>
              <w:ind w:left="50"/>
              <w:rPr>
                <w:sz w:val="24"/>
              </w:rPr>
            </w:pPr>
            <w:r>
              <w:rPr>
                <w:sz w:val="24"/>
              </w:rPr>
              <w:t>Sum</w:t>
            </w:r>
            <w:r>
              <w:rPr>
                <w:spacing w:val="-2"/>
                <w:sz w:val="24"/>
              </w:rPr>
              <w:t> </w:t>
            </w:r>
            <w:r>
              <w:rPr>
                <w:sz w:val="24"/>
              </w:rPr>
              <w:t>squared</w:t>
            </w:r>
            <w:r>
              <w:rPr>
                <w:spacing w:val="-1"/>
                <w:sz w:val="24"/>
              </w:rPr>
              <w:t> </w:t>
            </w:r>
            <w:r>
              <w:rPr>
                <w:spacing w:val="-4"/>
                <w:sz w:val="24"/>
              </w:rPr>
              <w:t>resid</w:t>
            </w:r>
          </w:p>
        </w:tc>
        <w:tc>
          <w:tcPr>
            <w:tcW w:w="1953" w:type="dxa"/>
          </w:tcPr>
          <w:p>
            <w:pPr>
              <w:pStyle w:val="TableParagraph"/>
              <w:spacing w:line="258" w:lineRule="exact"/>
              <w:ind w:right="146"/>
              <w:jc w:val="right"/>
              <w:rPr>
                <w:sz w:val="24"/>
              </w:rPr>
            </w:pPr>
            <w:r>
              <w:rPr>
                <w:spacing w:val="-2"/>
                <w:sz w:val="24"/>
              </w:rPr>
              <w:t>18.84476</w:t>
            </w:r>
          </w:p>
        </w:tc>
        <w:tc>
          <w:tcPr>
            <w:tcW w:w="2996" w:type="dxa"/>
          </w:tcPr>
          <w:p>
            <w:pPr>
              <w:pStyle w:val="TableParagraph"/>
              <w:spacing w:line="258" w:lineRule="exact"/>
              <w:ind w:left="151"/>
              <w:rPr>
                <w:sz w:val="24"/>
              </w:rPr>
            </w:pPr>
            <w:r>
              <w:rPr>
                <w:sz w:val="24"/>
              </w:rPr>
              <w:t>Schwarz</w:t>
            </w:r>
            <w:r>
              <w:rPr>
                <w:spacing w:val="-5"/>
                <w:sz w:val="24"/>
              </w:rPr>
              <w:t> </w:t>
            </w:r>
            <w:r>
              <w:rPr>
                <w:spacing w:val="-2"/>
                <w:sz w:val="24"/>
              </w:rPr>
              <w:t>criterion</w:t>
            </w:r>
          </w:p>
        </w:tc>
        <w:tc>
          <w:tcPr>
            <w:tcW w:w="1864" w:type="dxa"/>
          </w:tcPr>
          <w:p>
            <w:pPr>
              <w:pStyle w:val="TableParagraph"/>
              <w:spacing w:line="258" w:lineRule="exact"/>
              <w:ind w:right="44"/>
              <w:jc w:val="right"/>
              <w:rPr>
                <w:sz w:val="24"/>
              </w:rPr>
            </w:pPr>
            <w:r>
              <w:rPr>
                <w:spacing w:val="-2"/>
                <w:sz w:val="24"/>
              </w:rPr>
              <w:t>2.955988</w:t>
            </w:r>
          </w:p>
        </w:tc>
      </w:tr>
      <w:tr>
        <w:trPr>
          <w:trHeight w:val="270" w:hRule="atLeast"/>
        </w:trPr>
        <w:tc>
          <w:tcPr>
            <w:tcW w:w="2785" w:type="dxa"/>
          </w:tcPr>
          <w:p>
            <w:pPr>
              <w:pStyle w:val="TableParagraph"/>
              <w:spacing w:line="251" w:lineRule="exact"/>
              <w:ind w:left="50"/>
              <w:rPr>
                <w:sz w:val="24"/>
              </w:rPr>
            </w:pPr>
            <w:r>
              <w:rPr>
                <w:sz w:val="24"/>
              </w:rPr>
              <w:t>Log</w:t>
            </w:r>
            <w:r>
              <w:rPr>
                <w:spacing w:val="-4"/>
                <w:sz w:val="24"/>
              </w:rPr>
              <w:t> </w:t>
            </w:r>
            <w:r>
              <w:rPr>
                <w:spacing w:val="-2"/>
                <w:sz w:val="24"/>
              </w:rPr>
              <w:t>likelihood</w:t>
            </w:r>
          </w:p>
        </w:tc>
        <w:tc>
          <w:tcPr>
            <w:tcW w:w="1953" w:type="dxa"/>
          </w:tcPr>
          <w:p>
            <w:pPr>
              <w:pStyle w:val="TableParagraph"/>
              <w:spacing w:line="251" w:lineRule="exact"/>
              <w:ind w:right="146"/>
              <w:jc w:val="right"/>
              <w:rPr>
                <w:sz w:val="24"/>
              </w:rPr>
            </w:pPr>
            <w:r>
              <w:rPr>
                <w:spacing w:val="-2"/>
                <w:sz w:val="24"/>
              </w:rPr>
              <w:t>-41.15573</w:t>
            </w:r>
          </w:p>
        </w:tc>
        <w:tc>
          <w:tcPr>
            <w:tcW w:w="2996" w:type="dxa"/>
          </w:tcPr>
          <w:p>
            <w:pPr>
              <w:pStyle w:val="TableParagraph"/>
              <w:spacing w:line="251" w:lineRule="exact"/>
              <w:ind w:left="151"/>
              <w:rPr>
                <w:sz w:val="24"/>
              </w:rPr>
            </w:pPr>
            <w:r>
              <w:rPr>
                <w:sz w:val="24"/>
              </w:rPr>
              <w:t>Durbin-Watson</w:t>
            </w:r>
            <w:r>
              <w:rPr>
                <w:spacing w:val="-3"/>
                <w:sz w:val="24"/>
              </w:rPr>
              <w:t> </w:t>
            </w:r>
            <w:r>
              <w:rPr>
                <w:spacing w:val="-4"/>
                <w:sz w:val="24"/>
              </w:rPr>
              <w:t>stat</w:t>
            </w:r>
          </w:p>
        </w:tc>
        <w:tc>
          <w:tcPr>
            <w:tcW w:w="1864" w:type="dxa"/>
          </w:tcPr>
          <w:p>
            <w:pPr>
              <w:pStyle w:val="TableParagraph"/>
              <w:spacing w:line="251" w:lineRule="exact"/>
              <w:ind w:right="44"/>
              <w:jc w:val="right"/>
              <w:rPr>
                <w:sz w:val="24"/>
              </w:rPr>
            </w:pPr>
            <w:r>
              <w:rPr>
                <w:spacing w:val="-2"/>
                <w:sz w:val="24"/>
              </w:rPr>
              <w:t>1.772730</w:t>
            </w:r>
          </w:p>
        </w:tc>
      </w:tr>
    </w:tbl>
    <w:p>
      <w:pPr>
        <w:pStyle w:val="BodyText"/>
        <w:spacing w:before="12"/>
        <w:ind w:left="711"/>
        <w:jc w:val="both"/>
        <w:rPr>
          <w:b/>
        </w:rPr>
      </w:pPr>
      <w:r>
        <w:rPr/>
        <w:t>Source:</w:t>
      </w:r>
      <w:r>
        <w:rPr>
          <w:spacing w:val="-4"/>
        </w:rPr>
        <w:t> </w:t>
      </w:r>
      <w:r>
        <w:rPr/>
        <w:t>Computation,</w:t>
      </w:r>
      <w:r>
        <w:rPr>
          <w:spacing w:val="-1"/>
        </w:rPr>
        <w:t> </w:t>
      </w:r>
      <w:r>
        <w:rPr/>
        <w:t>using</w:t>
      </w:r>
      <w:r>
        <w:rPr>
          <w:spacing w:val="-5"/>
        </w:rPr>
        <w:t> </w:t>
      </w:r>
      <w:r>
        <w:rPr/>
        <w:t>E-view</w:t>
      </w:r>
      <w:r>
        <w:rPr>
          <w:spacing w:val="-1"/>
        </w:rPr>
        <w:t> </w:t>
      </w:r>
      <w:r>
        <w:rPr/>
        <w:t>statistical</w:t>
      </w:r>
      <w:r>
        <w:rPr>
          <w:spacing w:val="-1"/>
        </w:rPr>
        <w:t> </w:t>
      </w:r>
      <w:r>
        <w:rPr>
          <w:spacing w:val="-2"/>
        </w:rPr>
        <w:t>package</w:t>
      </w:r>
      <w:r>
        <w:rPr>
          <w:b/>
          <w:spacing w:val="-2"/>
        </w:rPr>
        <w:t>.</w:t>
      </w:r>
    </w:p>
    <w:p>
      <w:pPr>
        <w:pStyle w:val="BodyText"/>
        <w:rPr>
          <w:b/>
        </w:rPr>
      </w:pPr>
    </w:p>
    <w:p>
      <w:pPr>
        <w:pStyle w:val="BodyText"/>
        <w:spacing w:line="480" w:lineRule="auto" w:before="1"/>
        <w:ind w:left="711" w:right="471"/>
        <w:jc w:val="both"/>
        <w:rPr>
          <w:rFonts w:ascii="Cambria"/>
        </w:rPr>
      </w:pPr>
      <w:r>
        <w:rPr>
          <w:rFonts w:ascii="Cambria"/>
        </w:rPr>
        <w:t>From</w:t>
      </w:r>
      <w:r>
        <w:rPr>
          <w:rFonts w:ascii="Cambria"/>
          <w:spacing w:val="-3"/>
        </w:rPr>
        <w:t> </w:t>
      </w:r>
      <w:r>
        <w:rPr>
          <w:rFonts w:ascii="Cambria"/>
        </w:rPr>
        <w:t>the</w:t>
      </w:r>
      <w:r>
        <w:rPr>
          <w:rFonts w:ascii="Cambria"/>
          <w:spacing w:val="-2"/>
        </w:rPr>
        <w:t> </w:t>
      </w:r>
      <w:r>
        <w:rPr>
          <w:rFonts w:ascii="Cambria"/>
        </w:rPr>
        <w:t>result</w:t>
      </w:r>
      <w:r>
        <w:rPr>
          <w:rFonts w:ascii="Cambria"/>
          <w:spacing w:val="-3"/>
        </w:rPr>
        <w:t> </w:t>
      </w:r>
      <w:r>
        <w:rPr>
          <w:rFonts w:ascii="Cambria"/>
        </w:rPr>
        <w:t>above,</w:t>
      </w:r>
      <w:r>
        <w:rPr>
          <w:rFonts w:ascii="Cambria"/>
          <w:spacing w:val="-1"/>
        </w:rPr>
        <w:t> </w:t>
      </w:r>
      <w:r>
        <w:rPr>
          <w:rFonts w:ascii="Cambria"/>
        </w:rPr>
        <w:t>the</w:t>
      </w:r>
      <w:r>
        <w:rPr>
          <w:rFonts w:ascii="Cambria"/>
          <w:spacing w:val="-2"/>
        </w:rPr>
        <w:t> </w:t>
      </w:r>
      <w:r>
        <w:rPr>
          <w:rFonts w:ascii="Cambria"/>
        </w:rPr>
        <w:t>coefficient</w:t>
      </w:r>
      <w:r>
        <w:rPr>
          <w:rFonts w:ascii="Cambria"/>
          <w:spacing w:val="-3"/>
        </w:rPr>
        <w:t> </w:t>
      </w:r>
      <w:r>
        <w:rPr>
          <w:rFonts w:ascii="Cambria"/>
        </w:rPr>
        <w:t>of</w:t>
      </w:r>
      <w:r>
        <w:rPr>
          <w:rFonts w:ascii="Cambria"/>
          <w:spacing w:val="-2"/>
        </w:rPr>
        <w:t> </w:t>
      </w:r>
      <w:r>
        <w:rPr>
          <w:rFonts w:ascii="Cambria"/>
        </w:rPr>
        <w:t>the</w:t>
      </w:r>
      <w:r>
        <w:rPr>
          <w:rFonts w:ascii="Cambria"/>
          <w:spacing w:val="-2"/>
        </w:rPr>
        <w:t> </w:t>
      </w:r>
      <w:r>
        <w:rPr>
          <w:rFonts w:ascii="Cambria"/>
        </w:rPr>
        <w:t>ECM</w:t>
      </w:r>
      <w:r>
        <w:rPr>
          <w:rFonts w:ascii="Cambria"/>
          <w:spacing w:val="-2"/>
        </w:rPr>
        <w:t> </w:t>
      </w:r>
      <w:r>
        <w:rPr>
          <w:rFonts w:ascii="Cambria"/>
        </w:rPr>
        <w:t>is</w:t>
      </w:r>
      <w:r>
        <w:rPr>
          <w:rFonts w:ascii="Cambria"/>
          <w:spacing w:val="-2"/>
        </w:rPr>
        <w:t> </w:t>
      </w:r>
      <w:r>
        <w:rPr>
          <w:rFonts w:ascii="Cambria"/>
        </w:rPr>
        <w:t>further</w:t>
      </w:r>
      <w:r>
        <w:rPr>
          <w:rFonts w:ascii="Cambria"/>
          <w:spacing w:val="-2"/>
        </w:rPr>
        <w:t> </w:t>
      </w:r>
      <w:r>
        <w:rPr>
          <w:rFonts w:ascii="Cambria"/>
        </w:rPr>
        <w:t>proven</w:t>
      </w:r>
      <w:r>
        <w:rPr>
          <w:rFonts w:ascii="Cambria"/>
          <w:spacing w:val="-2"/>
        </w:rPr>
        <w:t> </w:t>
      </w:r>
      <w:r>
        <w:rPr>
          <w:rFonts w:ascii="Cambria"/>
        </w:rPr>
        <w:t>significant</w:t>
      </w:r>
      <w:r>
        <w:rPr>
          <w:rFonts w:ascii="Cambria"/>
          <w:spacing w:val="-2"/>
        </w:rPr>
        <w:t> </w:t>
      </w:r>
      <w:r>
        <w:rPr>
          <w:rFonts w:ascii="Cambria"/>
        </w:rPr>
        <w:t>with</w:t>
      </w:r>
      <w:r>
        <w:rPr>
          <w:rFonts w:ascii="Cambria"/>
          <w:spacing w:val="-2"/>
        </w:rPr>
        <w:t> </w:t>
      </w:r>
      <w:r>
        <w:rPr>
          <w:rFonts w:ascii="Cambria"/>
        </w:rPr>
        <w:t>it</w:t>
      </w:r>
      <w:r>
        <w:rPr>
          <w:rFonts w:ascii="Cambria"/>
          <w:spacing w:val="-3"/>
        </w:rPr>
        <w:t> </w:t>
      </w:r>
      <w:r>
        <w:rPr>
          <w:rFonts w:ascii="Cambria"/>
        </w:rPr>
        <w:t>conformity</w:t>
      </w:r>
      <w:r>
        <w:rPr>
          <w:rFonts w:ascii="Cambria"/>
          <w:spacing w:val="-3"/>
        </w:rPr>
        <w:t> </w:t>
      </w:r>
      <w:r>
        <w:rPr>
          <w:rFonts w:ascii="Cambria"/>
        </w:rPr>
        <w:t>to</w:t>
      </w:r>
      <w:r>
        <w:rPr>
          <w:rFonts w:ascii="Cambria"/>
          <w:spacing w:val="-2"/>
        </w:rPr>
        <w:t> </w:t>
      </w:r>
      <w:r>
        <w:rPr>
          <w:rFonts w:ascii="Cambria"/>
        </w:rPr>
        <w:t>the over-parametized ECM. The value of the ECM shows a negative of -</w:t>
      </w:r>
      <w:r>
        <w:rPr/>
        <w:t>1.422630</w:t>
      </w:r>
      <w:r>
        <w:rPr>
          <w:rFonts w:ascii="Cambria"/>
        </w:rPr>
        <w:t>. This coefficient in it negative form implies that the speed of adjustment of any past deviation to long-run equilibrium in present period. It therefore indicates that the value of the KFW adjust more sharply to changes in the explanatory variables as it was in the over-parametized model.</w:t>
      </w:r>
    </w:p>
    <w:p>
      <w:pPr>
        <w:pStyle w:val="BodyText"/>
        <w:spacing w:line="480" w:lineRule="auto"/>
        <w:ind w:left="711" w:right="469"/>
        <w:jc w:val="both"/>
      </w:pPr>
      <w:r>
        <w:rPr/>
        <w:t>The table above shows the overparameterised ECM (ECM1) and parsimonious ECM (ECM2) for model 1. The</w:t>
      </w:r>
      <w:r>
        <w:rPr>
          <w:spacing w:val="7"/>
        </w:rPr>
        <w:t> </w:t>
      </w:r>
      <w:r>
        <w:rPr/>
        <w:t>negative</w:t>
      </w:r>
      <w:r>
        <w:rPr>
          <w:spacing w:val="10"/>
        </w:rPr>
        <w:t> </w:t>
      </w:r>
      <w:r>
        <w:rPr/>
        <w:t>sign</w:t>
      </w:r>
      <w:r>
        <w:rPr>
          <w:spacing w:val="10"/>
        </w:rPr>
        <w:t> </w:t>
      </w:r>
      <w:r>
        <w:rPr/>
        <w:t>in</w:t>
      </w:r>
      <w:r>
        <w:rPr>
          <w:spacing w:val="12"/>
        </w:rPr>
        <w:t> </w:t>
      </w:r>
      <w:r>
        <w:rPr/>
        <w:t>the</w:t>
      </w:r>
      <w:r>
        <w:rPr>
          <w:spacing w:val="11"/>
        </w:rPr>
        <w:t> </w:t>
      </w:r>
      <w:r>
        <w:rPr/>
        <w:t>ECM</w:t>
      </w:r>
      <w:r>
        <w:rPr>
          <w:spacing w:val="11"/>
        </w:rPr>
        <w:t> </w:t>
      </w:r>
      <w:r>
        <w:rPr/>
        <w:t>value</w:t>
      </w:r>
      <w:r>
        <w:rPr>
          <w:spacing w:val="11"/>
        </w:rPr>
        <w:t> </w:t>
      </w:r>
      <w:r>
        <w:rPr/>
        <w:t>in</w:t>
      </w:r>
      <w:r>
        <w:rPr>
          <w:spacing w:val="12"/>
        </w:rPr>
        <w:t> </w:t>
      </w:r>
      <w:r>
        <w:rPr/>
        <w:t>both</w:t>
      </w:r>
      <w:r>
        <w:rPr>
          <w:spacing w:val="8"/>
        </w:rPr>
        <w:t> </w:t>
      </w:r>
      <w:r>
        <w:rPr/>
        <w:t>model</w:t>
      </w:r>
      <w:r>
        <w:rPr>
          <w:spacing w:val="12"/>
        </w:rPr>
        <w:t> </w:t>
      </w:r>
      <w:r>
        <w:rPr/>
        <w:t>(ECM</w:t>
      </w:r>
      <w:r>
        <w:rPr>
          <w:spacing w:val="12"/>
        </w:rPr>
        <w:t> </w:t>
      </w:r>
      <w:r>
        <w:rPr/>
        <w:t>1</w:t>
      </w:r>
      <w:r>
        <w:rPr>
          <w:spacing w:val="10"/>
        </w:rPr>
        <w:t> </w:t>
      </w:r>
      <w:r>
        <w:rPr/>
        <w:t>and</w:t>
      </w:r>
      <w:r>
        <w:rPr>
          <w:spacing w:val="11"/>
        </w:rPr>
        <w:t> </w:t>
      </w:r>
      <w:r>
        <w:rPr/>
        <w:t>2)</w:t>
      </w:r>
      <w:r>
        <w:rPr>
          <w:spacing w:val="11"/>
        </w:rPr>
        <w:t> </w:t>
      </w:r>
      <w:r>
        <w:rPr/>
        <w:t>shows</w:t>
      </w:r>
      <w:r>
        <w:rPr>
          <w:spacing w:val="8"/>
        </w:rPr>
        <w:t> </w:t>
      </w:r>
      <w:r>
        <w:rPr/>
        <w:t>that</w:t>
      </w:r>
      <w:r>
        <w:rPr>
          <w:spacing w:val="11"/>
        </w:rPr>
        <w:t> </w:t>
      </w:r>
      <w:r>
        <w:rPr/>
        <w:t>the</w:t>
      </w:r>
      <w:r>
        <w:rPr>
          <w:spacing w:val="11"/>
        </w:rPr>
        <w:t> </w:t>
      </w:r>
      <w:r>
        <w:rPr/>
        <w:t>ECM</w:t>
      </w:r>
      <w:r>
        <w:rPr>
          <w:spacing w:val="9"/>
        </w:rPr>
        <w:t> </w:t>
      </w:r>
      <w:r>
        <w:rPr/>
        <w:t>is</w:t>
      </w:r>
      <w:r>
        <w:rPr>
          <w:spacing w:val="12"/>
        </w:rPr>
        <w:t> </w:t>
      </w:r>
      <w:r>
        <w:rPr/>
        <w:t>significant.</w:t>
      </w:r>
      <w:r>
        <w:rPr>
          <w:spacing w:val="11"/>
        </w:rPr>
        <w:t> </w:t>
      </w:r>
      <w:r>
        <w:rPr>
          <w:spacing w:val="-4"/>
        </w:rPr>
        <w:t>This</w:t>
      </w:r>
    </w:p>
    <w:p>
      <w:pPr>
        <w:pStyle w:val="BodyText"/>
        <w:ind w:left="711"/>
        <w:jc w:val="both"/>
      </w:pPr>
      <w:r>
        <w:rPr/>
        <w:t>implies</w:t>
      </w:r>
      <w:r>
        <w:rPr>
          <w:spacing w:val="3"/>
        </w:rPr>
        <w:t> </w:t>
      </w:r>
      <w:r>
        <w:rPr/>
        <w:t>that</w:t>
      </w:r>
      <w:r>
        <w:rPr>
          <w:spacing w:val="3"/>
        </w:rPr>
        <w:t> </w:t>
      </w:r>
      <w:r>
        <w:rPr/>
        <w:t>the</w:t>
      </w:r>
      <w:r>
        <w:rPr>
          <w:spacing w:val="3"/>
        </w:rPr>
        <w:t> </w:t>
      </w:r>
      <w:r>
        <w:rPr/>
        <w:t>present</w:t>
      </w:r>
      <w:r>
        <w:rPr>
          <w:spacing w:val="4"/>
        </w:rPr>
        <w:t> </w:t>
      </w:r>
      <w:r>
        <w:rPr/>
        <w:t>value</w:t>
      </w:r>
      <w:r>
        <w:rPr>
          <w:spacing w:val="3"/>
        </w:rPr>
        <w:t> </w:t>
      </w:r>
      <w:r>
        <w:rPr/>
        <w:t>of</w:t>
      </w:r>
      <w:r>
        <w:rPr>
          <w:spacing w:val="2"/>
        </w:rPr>
        <w:t> </w:t>
      </w:r>
      <w:r>
        <w:rPr/>
        <w:t>KF</w:t>
      </w:r>
      <w:r>
        <w:rPr>
          <w:spacing w:val="2"/>
        </w:rPr>
        <w:t> </w:t>
      </w:r>
      <w:r>
        <w:rPr/>
        <w:t>adjust</w:t>
      </w:r>
      <w:r>
        <w:rPr>
          <w:spacing w:val="4"/>
        </w:rPr>
        <w:t> </w:t>
      </w:r>
      <w:r>
        <w:rPr/>
        <w:t>rapidly</w:t>
      </w:r>
      <w:r>
        <w:rPr>
          <w:spacing w:val="1"/>
        </w:rPr>
        <w:t> </w:t>
      </w:r>
      <w:r>
        <w:rPr/>
        <w:t>to</w:t>
      </w:r>
      <w:r>
        <w:rPr>
          <w:spacing w:val="4"/>
        </w:rPr>
        <w:t> </w:t>
      </w:r>
      <w:r>
        <w:rPr/>
        <w:t>change</w:t>
      </w:r>
      <w:r>
        <w:rPr>
          <w:spacing w:val="2"/>
        </w:rPr>
        <w:t> </w:t>
      </w:r>
      <w:r>
        <w:rPr/>
        <w:t>in</w:t>
      </w:r>
      <w:r>
        <w:rPr>
          <w:spacing w:val="4"/>
        </w:rPr>
        <w:t> </w:t>
      </w:r>
      <w:r>
        <w:rPr/>
        <w:t>DOP,</w:t>
      </w:r>
      <w:r>
        <w:rPr>
          <w:spacing w:val="5"/>
        </w:rPr>
        <w:t> </w:t>
      </w:r>
      <w:r>
        <w:rPr/>
        <w:t>INF,</w:t>
      </w:r>
      <w:r>
        <w:rPr>
          <w:spacing w:val="5"/>
        </w:rPr>
        <w:t> </w:t>
      </w:r>
      <w:r>
        <w:rPr/>
        <w:t>GCF,</w:t>
      </w:r>
      <w:r>
        <w:rPr>
          <w:spacing w:val="11"/>
        </w:rPr>
        <w:t> </w:t>
      </w:r>
      <w:r>
        <w:rPr/>
        <w:t>δEXDEBT,</w:t>
      </w:r>
      <w:r>
        <w:rPr>
          <w:spacing w:val="3"/>
        </w:rPr>
        <w:t> </w:t>
      </w:r>
      <w:r>
        <w:rPr/>
        <w:t>DR,</w:t>
      </w:r>
      <w:r>
        <w:rPr>
          <w:spacing w:val="4"/>
        </w:rPr>
        <w:t> </w:t>
      </w:r>
      <w:r>
        <w:rPr>
          <w:spacing w:val="-2"/>
        </w:rPr>
        <w:t>PRIVCR,</w:t>
      </w:r>
    </w:p>
    <w:p>
      <w:pPr>
        <w:spacing w:after="0"/>
        <w:jc w:val="both"/>
        <w:sectPr>
          <w:pgSz w:w="11910" w:h="16840"/>
          <w:pgMar w:header="0" w:footer="979" w:top="1340" w:bottom="1220" w:left="280" w:right="0"/>
        </w:sectPr>
      </w:pPr>
    </w:p>
    <w:p>
      <w:pPr>
        <w:pStyle w:val="BodyText"/>
        <w:spacing w:line="480" w:lineRule="auto" w:before="60"/>
        <w:ind w:left="711" w:right="470"/>
        <w:jc w:val="both"/>
      </w:pPr>
      <w:r>
        <w:rPr/>
        <w:t>USIRD and GOCE. The ECM value of -1.924937 in ECM 1 shows a feedback of the value from the previous period disequilibrium of the present level of KF in the determination of causality between the past level of capital flight (KF) and the present and past level of DOP, INF, GCF, δ EXDEBT, DR, PRIVCR, USIRD and GOCE. The coefficient of multiple determinations denoted as R</w:t>
      </w:r>
      <w:r>
        <w:rPr>
          <w:vertAlign w:val="superscript"/>
        </w:rPr>
        <w:t>2</w:t>
      </w:r>
      <w:r>
        <w:rPr>
          <w:vertAlign w:val="baseline"/>
        </w:rPr>
        <w:t> shows that about 85% in KF can be</w:t>
      </w:r>
      <w:r>
        <w:rPr>
          <w:spacing w:val="-1"/>
          <w:vertAlign w:val="baseline"/>
        </w:rPr>
        <w:t> </w:t>
      </w:r>
      <w:r>
        <w:rPr>
          <w:vertAlign w:val="baseline"/>
        </w:rPr>
        <w:t>explained by</w:t>
      </w:r>
      <w:r>
        <w:rPr>
          <w:spacing w:val="-5"/>
          <w:vertAlign w:val="baseline"/>
        </w:rPr>
        <w:t> </w:t>
      </w:r>
      <w:r>
        <w:rPr>
          <w:vertAlign w:val="baseline"/>
        </w:rPr>
        <w:t>the</w:t>
      </w:r>
      <w:r>
        <w:rPr>
          <w:spacing w:val="-1"/>
          <w:vertAlign w:val="baseline"/>
        </w:rPr>
        <w:t> </w:t>
      </w:r>
      <w:r>
        <w:rPr>
          <w:vertAlign w:val="baseline"/>
        </w:rPr>
        <w:t>independent variables</w:t>
      </w:r>
      <w:r>
        <w:rPr>
          <w:spacing w:val="-1"/>
          <w:vertAlign w:val="baseline"/>
        </w:rPr>
        <w:t> </w:t>
      </w:r>
      <w:r>
        <w:rPr>
          <w:vertAlign w:val="baseline"/>
        </w:rPr>
        <w:t>while</w:t>
      </w:r>
      <w:r>
        <w:rPr>
          <w:spacing w:val="-1"/>
          <w:vertAlign w:val="baseline"/>
        </w:rPr>
        <w:t> </w:t>
      </w:r>
      <w:r>
        <w:rPr>
          <w:vertAlign w:val="baseline"/>
        </w:rPr>
        <w:t>the</w:t>
      </w:r>
      <w:r>
        <w:rPr>
          <w:spacing w:val="-1"/>
          <w:vertAlign w:val="baseline"/>
        </w:rPr>
        <w:t> </w:t>
      </w:r>
      <w:r>
        <w:rPr>
          <w:vertAlign w:val="baseline"/>
        </w:rPr>
        <w:t>remaining 15%</w:t>
      </w:r>
      <w:r>
        <w:rPr>
          <w:spacing w:val="-1"/>
          <w:vertAlign w:val="baseline"/>
        </w:rPr>
        <w:t> </w:t>
      </w:r>
      <w:r>
        <w:rPr>
          <w:vertAlign w:val="baseline"/>
        </w:rPr>
        <w:t>is explained by</w:t>
      </w:r>
      <w:r>
        <w:rPr>
          <w:spacing w:val="-7"/>
          <w:vertAlign w:val="baseline"/>
        </w:rPr>
        <w:t> </w:t>
      </w:r>
      <w:r>
        <w:rPr>
          <w:vertAlign w:val="baseline"/>
        </w:rPr>
        <w:t>stochastic</w:t>
      </w:r>
      <w:r>
        <w:rPr>
          <w:spacing w:val="-1"/>
          <w:vertAlign w:val="baseline"/>
        </w:rPr>
        <w:t> </w:t>
      </w:r>
      <w:r>
        <w:rPr>
          <w:vertAlign w:val="baseline"/>
        </w:rPr>
        <w:t>variables. </w:t>
      </w:r>
      <w:r>
        <w:rPr>
          <w:sz w:val="20"/>
          <w:vertAlign w:val="baseline"/>
        </w:rPr>
        <w:t>Durbin-Watson statistic of </w:t>
      </w:r>
      <w:r>
        <w:rPr>
          <w:vertAlign w:val="baseline"/>
        </w:rPr>
        <w:t>1.772730 falls within the inconclusive region.</w:t>
      </w:r>
    </w:p>
    <w:p>
      <w:pPr>
        <w:pStyle w:val="BodyText"/>
      </w:pPr>
    </w:p>
    <w:p>
      <w:pPr>
        <w:pStyle w:val="BodyText"/>
        <w:spacing w:before="2"/>
      </w:pPr>
    </w:p>
    <w:p>
      <w:pPr>
        <w:pStyle w:val="Heading6"/>
        <w:numPr>
          <w:ilvl w:val="0"/>
          <w:numId w:val="21"/>
        </w:numPr>
        <w:tabs>
          <w:tab w:pos="960" w:val="left" w:leader="none"/>
        </w:tabs>
        <w:spacing w:line="240" w:lineRule="auto" w:before="1" w:after="0"/>
        <w:ind w:left="960" w:right="0" w:hanging="249"/>
        <w:jc w:val="both"/>
        <w:rPr>
          <w:rFonts w:ascii="Cambria"/>
        </w:rPr>
      </w:pPr>
      <w:r>
        <w:rPr>
          <w:rFonts w:ascii="Cambria"/>
        </w:rPr>
        <w:t>5.3</w:t>
      </w:r>
      <w:r>
        <w:rPr>
          <w:rFonts w:ascii="Cambria"/>
          <w:spacing w:val="72"/>
        </w:rPr>
        <w:t>  </w:t>
      </w:r>
      <w:r>
        <w:rPr>
          <w:rFonts w:ascii="Cambria"/>
        </w:rPr>
        <w:t>Tests</w:t>
      </w:r>
      <w:r>
        <w:rPr>
          <w:rFonts w:ascii="Cambria"/>
          <w:spacing w:val="-2"/>
        </w:rPr>
        <w:t> </w:t>
      </w:r>
      <w:r>
        <w:rPr>
          <w:rFonts w:ascii="Cambria"/>
        </w:rPr>
        <w:t>for</w:t>
      </w:r>
      <w:r>
        <w:rPr>
          <w:rFonts w:ascii="Cambria"/>
          <w:spacing w:val="-3"/>
        </w:rPr>
        <w:t> </w:t>
      </w:r>
      <w:r>
        <w:rPr>
          <w:rFonts w:ascii="Cambria"/>
        </w:rPr>
        <w:t>the</w:t>
      </w:r>
      <w:r>
        <w:rPr>
          <w:rFonts w:ascii="Cambria"/>
          <w:spacing w:val="-3"/>
        </w:rPr>
        <w:t> </w:t>
      </w:r>
      <w:r>
        <w:rPr>
          <w:rFonts w:ascii="Cambria"/>
        </w:rPr>
        <w:t>Statistical</w:t>
      </w:r>
      <w:r>
        <w:rPr>
          <w:rFonts w:ascii="Cambria"/>
          <w:spacing w:val="-3"/>
        </w:rPr>
        <w:t> </w:t>
      </w:r>
      <w:r>
        <w:rPr>
          <w:rFonts w:ascii="Cambria"/>
        </w:rPr>
        <w:t>Significance</w:t>
      </w:r>
      <w:r>
        <w:rPr>
          <w:rFonts w:ascii="Cambria"/>
          <w:spacing w:val="-2"/>
        </w:rPr>
        <w:t> </w:t>
      </w:r>
      <w:r>
        <w:rPr>
          <w:rFonts w:ascii="Cambria"/>
        </w:rPr>
        <w:t>of</w:t>
      </w:r>
      <w:r>
        <w:rPr>
          <w:rFonts w:ascii="Cambria"/>
          <w:spacing w:val="-2"/>
        </w:rPr>
        <w:t> Parameters</w:t>
      </w:r>
    </w:p>
    <w:p>
      <w:pPr>
        <w:pStyle w:val="BodyText"/>
        <w:spacing w:line="480" w:lineRule="auto" w:before="280"/>
        <w:ind w:left="711" w:right="469"/>
        <w:jc w:val="both"/>
        <w:rPr>
          <w:rFonts w:ascii="Cambria"/>
        </w:rPr>
      </w:pPr>
      <w:r>
        <w:rPr>
          <w:rFonts w:ascii="Cambria"/>
        </w:rPr>
        <w:t>The statistical significance of</w:t>
      </w:r>
      <w:r>
        <w:rPr>
          <w:rFonts w:ascii="Cambria"/>
          <w:spacing w:val="-1"/>
        </w:rPr>
        <w:t> </w:t>
      </w:r>
      <w:r>
        <w:rPr>
          <w:rFonts w:ascii="Cambria"/>
        </w:rPr>
        <w:t>each</w:t>
      </w:r>
      <w:r>
        <w:rPr>
          <w:rFonts w:ascii="Cambria"/>
          <w:spacing w:val="-1"/>
        </w:rPr>
        <w:t> </w:t>
      </w:r>
      <w:r>
        <w:rPr>
          <w:rFonts w:ascii="Cambria"/>
        </w:rPr>
        <w:t>variable was tested</w:t>
      </w:r>
      <w:r>
        <w:rPr>
          <w:rFonts w:ascii="Cambria"/>
          <w:spacing w:val="-2"/>
        </w:rPr>
        <w:t> </w:t>
      </w:r>
      <w:r>
        <w:rPr>
          <w:rFonts w:ascii="Cambria"/>
        </w:rPr>
        <w:t>with</w:t>
      </w:r>
      <w:r>
        <w:rPr>
          <w:rFonts w:ascii="Cambria"/>
          <w:spacing w:val="-1"/>
        </w:rPr>
        <w:t> </w:t>
      </w:r>
      <w:r>
        <w:rPr>
          <w:rFonts w:ascii="Cambria"/>
        </w:rPr>
        <w:t>the use of</w:t>
      </w:r>
      <w:r>
        <w:rPr>
          <w:rFonts w:ascii="Cambria"/>
          <w:spacing w:val="-1"/>
        </w:rPr>
        <w:t> </w:t>
      </w:r>
      <w:r>
        <w:rPr>
          <w:rFonts w:ascii="Cambria"/>
        </w:rPr>
        <w:t>standard</w:t>
      </w:r>
      <w:r>
        <w:rPr>
          <w:rFonts w:ascii="Cambria"/>
          <w:spacing w:val="-2"/>
        </w:rPr>
        <w:t> </w:t>
      </w:r>
      <w:r>
        <w:rPr>
          <w:rFonts w:ascii="Cambria"/>
        </w:rPr>
        <w:t>error</w:t>
      </w:r>
      <w:r>
        <w:rPr>
          <w:rFonts w:ascii="Cambria"/>
          <w:spacing w:val="-1"/>
        </w:rPr>
        <w:t> </w:t>
      </w:r>
      <w:r>
        <w:rPr>
          <w:rFonts w:ascii="Cambria"/>
        </w:rPr>
        <w:t>test. This is done by comparing the standard error statistics with half of the coefficient of each variable as given in the Johansen co-integration result in absolute terms. The table below displays the standard error test for the World Bank &amp; Erbe approach of model 1.</w:t>
      </w:r>
    </w:p>
    <w:p>
      <w:pPr>
        <w:pStyle w:val="Heading6"/>
        <w:rPr>
          <w:rFonts w:ascii="Cambria"/>
        </w:rPr>
      </w:pPr>
      <w:r>
        <w:rPr>
          <w:rFonts w:ascii="Cambria"/>
        </w:rPr>
        <w:t>Table4.14.3.</w:t>
      </w:r>
      <w:r>
        <w:rPr>
          <w:rFonts w:ascii="Cambria"/>
          <w:spacing w:val="-6"/>
        </w:rPr>
        <w:t> </w:t>
      </w:r>
      <w:r>
        <w:rPr>
          <w:rFonts w:ascii="Cambria"/>
        </w:rPr>
        <w:t>Standard</w:t>
      </w:r>
      <w:r>
        <w:rPr>
          <w:rFonts w:ascii="Cambria"/>
          <w:spacing w:val="-3"/>
        </w:rPr>
        <w:t> </w:t>
      </w:r>
      <w:r>
        <w:rPr>
          <w:rFonts w:ascii="Cambria"/>
        </w:rPr>
        <w:t>Error</w:t>
      </w:r>
      <w:r>
        <w:rPr>
          <w:rFonts w:ascii="Cambria"/>
          <w:spacing w:val="-3"/>
        </w:rPr>
        <w:t> </w:t>
      </w:r>
      <w:r>
        <w:rPr>
          <w:rFonts w:ascii="Cambria"/>
        </w:rPr>
        <w:t>Test</w:t>
      </w:r>
      <w:r>
        <w:rPr>
          <w:rFonts w:ascii="Cambria"/>
          <w:spacing w:val="-2"/>
        </w:rPr>
        <w:t> </w:t>
      </w:r>
      <w:r>
        <w:rPr>
          <w:rFonts w:ascii="Cambria"/>
        </w:rPr>
        <w:t>for</w:t>
      </w:r>
      <w:r>
        <w:rPr>
          <w:rFonts w:ascii="Cambria"/>
          <w:spacing w:val="-3"/>
        </w:rPr>
        <w:t> </w:t>
      </w:r>
      <w:r>
        <w:rPr>
          <w:rFonts w:ascii="Cambria"/>
        </w:rPr>
        <w:t>Model</w:t>
      </w:r>
      <w:r>
        <w:rPr>
          <w:rFonts w:ascii="Cambria"/>
          <w:spacing w:val="-5"/>
        </w:rPr>
        <w:t> </w:t>
      </w:r>
      <w:r>
        <w:rPr>
          <w:rFonts w:ascii="Cambria"/>
        </w:rPr>
        <w:t>1A</w:t>
      </w:r>
      <w:r>
        <w:rPr>
          <w:rFonts w:ascii="Cambria"/>
          <w:spacing w:val="-4"/>
        </w:rPr>
        <w:t> </w:t>
      </w:r>
      <w:r>
        <w:rPr>
          <w:rFonts w:ascii="Cambria"/>
        </w:rPr>
        <w:t>(World</w:t>
      </w:r>
      <w:r>
        <w:rPr>
          <w:rFonts w:ascii="Cambria"/>
          <w:spacing w:val="-2"/>
        </w:rPr>
        <w:t> </w:t>
      </w:r>
      <w:r>
        <w:rPr>
          <w:rFonts w:ascii="Cambria"/>
        </w:rPr>
        <w:t>Bank</w:t>
      </w:r>
      <w:r>
        <w:rPr>
          <w:rFonts w:ascii="Cambria"/>
          <w:spacing w:val="-2"/>
        </w:rPr>
        <w:t> </w:t>
      </w:r>
      <w:r>
        <w:rPr>
          <w:rFonts w:ascii="Cambria"/>
        </w:rPr>
        <w:t>&amp;</w:t>
      </w:r>
      <w:r>
        <w:rPr>
          <w:rFonts w:ascii="Cambria"/>
          <w:spacing w:val="-2"/>
        </w:rPr>
        <w:t> </w:t>
      </w:r>
      <w:r>
        <w:rPr>
          <w:rFonts w:ascii="Cambria"/>
        </w:rPr>
        <w:t>Erbe</w:t>
      </w:r>
      <w:r>
        <w:rPr>
          <w:rFonts w:ascii="Cambria"/>
          <w:spacing w:val="-3"/>
        </w:rPr>
        <w:t> </w:t>
      </w:r>
      <w:r>
        <w:rPr>
          <w:rFonts w:ascii="Cambria"/>
        </w:rPr>
        <w:t>(1985)</w:t>
      </w:r>
      <w:r>
        <w:rPr>
          <w:rFonts w:ascii="Cambria"/>
          <w:spacing w:val="-2"/>
        </w:rPr>
        <w:t> Approach)</w:t>
      </w:r>
    </w:p>
    <w:p>
      <w:pPr>
        <w:pStyle w:val="BodyText"/>
        <w:spacing w:before="48"/>
        <w:rPr>
          <w:rFonts w:ascii="Cambria"/>
          <w:b/>
          <w:sz w:val="20"/>
        </w:rPr>
      </w:pPr>
    </w:p>
    <w:tbl>
      <w:tblPr>
        <w:tblW w:w="0" w:type="auto"/>
        <w:jc w:val="left"/>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24"/>
        <w:gridCol w:w="1839"/>
        <w:gridCol w:w="1949"/>
        <w:gridCol w:w="2302"/>
        <w:gridCol w:w="1409"/>
      </w:tblGrid>
      <w:tr>
        <w:trPr>
          <w:trHeight w:val="561" w:hRule="atLeast"/>
        </w:trPr>
        <w:tc>
          <w:tcPr>
            <w:tcW w:w="1824" w:type="dxa"/>
          </w:tcPr>
          <w:p>
            <w:pPr>
              <w:pStyle w:val="TableParagraph"/>
              <w:ind w:left="10" w:right="3"/>
              <w:jc w:val="center"/>
              <w:rPr>
                <w:rFonts w:ascii="Cambria"/>
                <w:b/>
                <w:sz w:val="24"/>
              </w:rPr>
            </w:pPr>
            <w:r>
              <w:rPr>
                <w:rFonts w:ascii="Cambria"/>
                <w:b/>
                <w:spacing w:val="-2"/>
                <w:sz w:val="24"/>
              </w:rPr>
              <w:t>VARIABLES</w:t>
            </w:r>
          </w:p>
        </w:tc>
        <w:tc>
          <w:tcPr>
            <w:tcW w:w="1839" w:type="dxa"/>
          </w:tcPr>
          <w:p>
            <w:pPr>
              <w:pStyle w:val="TableParagraph"/>
              <w:ind w:left="182"/>
              <w:rPr>
                <w:rFonts w:ascii="Cambria"/>
                <w:b/>
                <w:sz w:val="24"/>
              </w:rPr>
            </w:pPr>
            <w:r>
              <w:rPr>
                <w:rFonts w:ascii="Cambria"/>
                <w:b/>
                <w:spacing w:val="-2"/>
                <w:sz w:val="24"/>
              </w:rPr>
              <w:t>COEFFICIENT</w:t>
            </w:r>
          </w:p>
        </w:tc>
        <w:tc>
          <w:tcPr>
            <w:tcW w:w="1949" w:type="dxa"/>
          </w:tcPr>
          <w:p>
            <w:pPr>
              <w:pStyle w:val="TableParagraph"/>
              <w:ind w:left="6" w:right="2"/>
              <w:jc w:val="center"/>
              <w:rPr>
                <w:rFonts w:ascii="Cambria"/>
                <w:b/>
                <w:sz w:val="24"/>
              </w:rPr>
            </w:pPr>
            <w:r>
              <w:rPr>
                <w:rFonts w:ascii="Cambria"/>
                <w:b/>
                <w:spacing w:val="-2"/>
                <w:sz w:val="24"/>
              </w:rPr>
              <w:t>COEFFICIENT/2</w:t>
            </w:r>
          </w:p>
        </w:tc>
        <w:tc>
          <w:tcPr>
            <w:tcW w:w="2302" w:type="dxa"/>
          </w:tcPr>
          <w:p>
            <w:pPr>
              <w:pStyle w:val="TableParagraph"/>
              <w:ind w:right="98"/>
              <w:jc w:val="right"/>
              <w:rPr>
                <w:rFonts w:ascii="Cambria"/>
                <w:b/>
                <w:sz w:val="24"/>
              </w:rPr>
            </w:pPr>
            <w:r>
              <w:rPr>
                <w:rFonts w:ascii="Cambria"/>
                <w:b/>
                <w:sz w:val="24"/>
              </w:rPr>
              <w:t>STANDARD</w:t>
            </w:r>
            <w:r>
              <w:rPr>
                <w:rFonts w:ascii="Cambria"/>
                <w:b/>
                <w:spacing w:val="-4"/>
                <w:sz w:val="24"/>
              </w:rPr>
              <w:t> </w:t>
            </w:r>
            <w:r>
              <w:rPr>
                <w:rFonts w:ascii="Cambria"/>
                <w:b/>
                <w:spacing w:val="-2"/>
                <w:sz w:val="24"/>
              </w:rPr>
              <w:t>ERROR</w:t>
            </w:r>
          </w:p>
        </w:tc>
        <w:tc>
          <w:tcPr>
            <w:tcW w:w="1409" w:type="dxa"/>
          </w:tcPr>
          <w:p>
            <w:pPr>
              <w:pStyle w:val="TableParagraph"/>
              <w:ind w:left="13" w:right="6"/>
              <w:jc w:val="center"/>
              <w:rPr>
                <w:rFonts w:ascii="Cambria"/>
                <w:b/>
                <w:sz w:val="24"/>
              </w:rPr>
            </w:pPr>
            <w:r>
              <w:rPr>
                <w:rFonts w:ascii="Cambria"/>
                <w:b/>
                <w:spacing w:val="-2"/>
                <w:sz w:val="24"/>
              </w:rPr>
              <w:t>DECISION</w:t>
            </w:r>
          </w:p>
        </w:tc>
      </w:tr>
      <w:tr>
        <w:trPr>
          <w:trHeight w:val="657" w:hRule="atLeast"/>
        </w:trPr>
        <w:tc>
          <w:tcPr>
            <w:tcW w:w="1824" w:type="dxa"/>
          </w:tcPr>
          <w:p>
            <w:pPr>
              <w:pStyle w:val="TableParagraph"/>
              <w:spacing w:before="127"/>
              <w:ind w:left="10" w:right="3"/>
              <w:jc w:val="center"/>
              <w:rPr>
                <w:sz w:val="18"/>
              </w:rPr>
            </w:pPr>
            <w:r>
              <w:rPr>
                <w:spacing w:val="-2"/>
                <w:sz w:val="18"/>
              </w:rPr>
              <w:t>δEXTDEBT</w:t>
            </w:r>
          </w:p>
        </w:tc>
        <w:tc>
          <w:tcPr>
            <w:tcW w:w="1839" w:type="dxa"/>
          </w:tcPr>
          <w:p>
            <w:pPr>
              <w:pStyle w:val="TableParagraph"/>
              <w:spacing w:before="127"/>
              <w:ind w:right="97"/>
              <w:jc w:val="right"/>
              <w:rPr>
                <w:sz w:val="18"/>
              </w:rPr>
            </w:pPr>
            <w:r>
              <w:rPr>
                <w:spacing w:val="-2"/>
                <w:sz w:val="18"/>
              </w:rPr>
              <w:t>2.260204</w:t>
            </w:r>
          </w:p>
        </w:tc>
        <w:tc>
          <w:tcPr>
            <w:tcW w:w="1949" w:type="dxa"/>
          </w:tcPr>
          <w:p>
            <w:pPr>
              <w:pStyle w:val="TableParagraph"/>
              <w:spacing w:before="116"/>
              <w:ind w:left="6"/>
              <w:jc w:val="center"/>
              <w:rPr>
                <w:rFonts w:ascii="Cambria"/>
                <w:sz w:val="18"/>
              </w:rPr>
            </w:pPr>
            <w:r>
              <w:rPr>
                <w:rFonts w:ascii="Cambria"/>
                <w:spacing w:val="-2"/>
                <w:sz w:val="18"/>
              </w:rPr>
              <w:t>1.130102</w:t>
            </w:r>
          </w:p>
        </w:tc>
        <w:tc>
          <w:tcPr>
            <w:tcW w:w="2302" w:type="dxa"/>
          </w:tcPr>
          <w:p>
            <w:pPr>
              <w:pStyle w:val="TableParagraph"/>
              <w:spacing w:before="127"/>
              <w:ind w:right="95"/>
              <w:jc w:val="right"/>
              <w:rPr>
                <w:sz w:val="18"/>
              </w:rPr>
            </w:pPr>
            <w:r>
              <w:rPr>
                <w:spacing w:val="-2"/>
                <w:sz w:val="18"/>
              </w:rPr>
              <w:t>0.73588</w:t>
            </w:r>
          </w:p>
        </w:tc>
        <w:tc>
          <w:tcPr>
            <w:tcW w:w="1409" w:type="dxa"/>
          </w:tcPr>
          <w:p>
            <w:pPr>
              <w:pStyle w:val="TableParagraph"/>
              <w:spacing w:before="116"/>
              <w:ind w:left="13" w:right="2"/>
              <w:jc w:val="center"/>
              <w:rPr>
                <w:rFonts w:ascii="Cambria"/>
                <w:sz w:val="18"/>
              </w:rPr>
            </w:pPr>
            <w:r>
              <w:rPr>
                <w:rFonts w:ascii="Cambria"/>
                <w:spacing w:val="-2"/>
                <w:sz w:val="18"/>
              </w:rPr>
              <w:t>Significant</w:t>
            </w:r>
          </w:p>
        </w:tc>
      </w:tr>
      <w:tr>
        <w:trPr>
          <w:trHeight w:val="657" w:hRule="atLeast"/>
        </w:trPr>
        <w:tc>
          <w:tcPr>
            <w:tcW w:w="1824" w:type="dxa"/>
          </w:tcPr>
          <w:p>
            <w:pPr>
              <w:pStyle w:val="TableParagraph"/>
              <w:spacing w:before="124"/>
              <w:ind w:left="10" w:right="1"/>
              <w:jc w:val="center"/>
              <w:rPr>
                <w:sz w:val="18"/>
              </w:rPr>
            </w:pPr>
            <w:r>
              <w:rPr>
                <w:spacing w:val="-5"/>
                <w:sz w:val="18"/>
              </w:rPr>
              <w:t>DOP</w:t>
            </w:r>
          </w:p>
        </w:tc>
        <w:tc>
          <w:tcPr>
            <w:tcW w:w="1839" w:type="dxa"/>
          </w:tcPr>
          <w:p>
            <w:pPr>
              <w:pStyle w:val="TableParagraph"/>
              <w:spacing w:before="124"/>
              <w:ind w:right="97"/>
              <w:jc w:val="right"/>
              <w:rPr>
                <w:sz w:val="18"/>
              </w:rPr>
            </w:pPr>
            <w:r>
              <w:rPr>
                <w:spacing w:val="-2"/>
                <w:sz w:val="18"/>
              </w:rPr>
              <w:t>0.165123</w:t>
            </w:r>
          </w:p>
        </w:tc>
        <w:tc>
          <w:tcPr>
            <w:tcW w:w="1949" w:type="dxa"/>
          </w:tcPr>
          <w:p>
            <w:pPr>
              <w:pStyle w:val="TableParagraph"/>
              <w:spacing w:before="114"/>
              <w:ind w:left="6"/>
              <w:jc w:val="center"/>
              <w:rPr>
                <w:rFonts w:ascii="Cambria"/>
                <w:sz w:val="18"/>
              </w:rPr>
            </w:pPr>
            <w:r>
              <w:rPr>
                <w:rFonts w:ascii="Cambria"/>
                <w:spacing w:val="-2"/>
                <w:sz w:val="18"/>
              </w:rPr>
              <w:t>0,082562</w:t>
            </w:r>
          </w:p>
        </w:tc>
        <w:tc>
          <w:tcPr>
            <w:tcW w:w="2302" w:type="dxa"/>
          </w:tcPr>
          <w:p>
            <w:pPr>
              <w:pStyle w:val="TableParagraph"/>
              <w:spacing w:before="124"/>
              <w:ind w:right="95"/>
              <w:jc w:val="right"/>
              <w:rPr>
                <w:sz w:val="18"/>
              </w:rPr>
            </w:pPr>
            <w:r>
              <w:rPr>
                <w:spacing w:val="-2"/>
                <w:sz w:val="18"/>
              </w:rPr>
              <w:t>0.81570</w:t>
            </w:r>
          </w:p>
        </w:tc>
        <w:tc>
          <w:tcPr>
            <w:tcW w:w="1409" w:type="dxa"/>
          </w:tcPr>
          <w:p>
            <w:pPr>
              <w:pStyle w:val="TableParagraph"/>
              <w:spacing w:before="114"/>
              <w:ind w:left="13"/>
              <w:jc w:val="center"/>
              <w:rPr>
                <w:rFonts w:ascii="Cambria"/>
                <w:sz w:val="18"/>
              </w:rPr>
            </w:pPr>
            <w:r>
              <w:rPr>
                <w:rFonts w:ascii="Cambria"/>
                <w:spacing w:val="-2"/>
                <w:sz w:val="18"/>
              </w:rPr>
              <w:t>Insignificant</w:t>
            </w:r>
          </w:p>
        </w:tc>
      </w:tr>
      <w:tr>
        <w:trPr>
          <w:trHeight w:val="654" w:hRule="atLeast"/>
        </w:trPr>
        <w:tc>
          <w:tcPr>
            <w:tcW w:w="1824" w:type="dxa"/>
          </w:tcPr>
          <w:p>
            <w:pPr>
              <w:pStyle w:val="TableParagraph"/>
              <w:spacing w:before="124"/>
              <w:ind w:left="10" w:right="3"/>
              <w:jc w:val="center"/>
              <w:rPr>
                <w:sz w:val="18"/>
              </w:rPr>
            </w:pPr>
            <w:r>
              <w:rPr>
                <w:spacing w:val="-5"/>
                <w:sz w:val="18"/>
              </w:rPr>
              <w:t>INF</w:t>
            </w:r>
          </w:p>
        </w:tc>
        <w:tc>
          <w:tcPr>
            <w:tcW w:w="1839" w:type="dxa"/>
          </w:tcPr>
          <w:p>
            <w:pPr>
              <w:pStyle w:val="TableParagraph"/>
              <w:spacing w:before="124"/>
              <w:ind w:right="97"/>
              <w:jc w:val="right"/>
              <w:rPr>
                <w:sz w:val="18"/>
              </w:rPr>
            </w:pPr>
            <w:r>
              <w:rPr>
                <w:spacing w:val="-2"/>
                <w:sz w:val="18"/>
              </w:rPr>
              <w:t>0.926431</w:t>
            </w:r>
          </w:p>
        </w:tc>
        <w:tc>
          <w:tcPr>
            <w:tcW w:w="1949" w:type="dxa"/>
          </w:tcPr>
          <w:p>
            <w:pPr>
              <w:pStyle w:val="TableParagraph"/>
              <w:spacing w:before="114"/>
              <w:ind w:left="6"/>
              <w:jc w:val="center"/>
              <w:rPr>
                <w:rFonts w:ascii="Cambria"/>
                <w:sz w:val="18"/>
              </w:rPr>
            </w:pPr>
            <w:r>
              <w:rPr>
                <w:rFonts w:ascii="Cambria"/>
                <w:spacing w:val="-2"/>
                <w:sz w:val="18"/>
              </w:rPr>
              <w:t>0.463216</w:t>
            </w:r>
          </w:p>
        </w:tc>
        <w:tc>
          <w:tcPr>
            <w:tcW w:w="2302" w:type="dxa"/>
          </w:tcPr>
          <w:p>
            <w:pPr>
              <w:pStyle w:val="TableParagraph"/>
              <w:spacing w:before="124"/>
              <w:ind w:right="95"/>
              <w:jc w:val="right"/>
              <w:rPr>
                <w:sz w:val="18"/>
              </w:rPr>
            </w:pPr>
            <w:r>
              <w:rPr>
                <w:spacing w:val="-2"/>
                <w:sz w:val="18"/>
              </w:rPr>
              <w:t>0.38151</w:t>
            </w:r>
          </w:p>
        </w:tc>
        <w:tc>
          <w:tcPr>
            <w:tcW w:w="1409" w:type="dxa"/>
          </w:tcPr>
          <w:p>
            <w:pPr>
              <w:pStyle w:val="TableParagraph"/>
              <w:spacing w:before="114"/>
              <w:ind w:left="13" w:right="2"/>
              <w:jc w:val="center"/>
              <w:rPr>
                <w:rFonts w:ascii="Cambria"/>
                <w:sz w:val="18"/>
              </w:rPr>
            </w:pPr>
            <w:r>
              <w:rPr>
                <w:rFonts w:ascii="Cambria"/>
                <w:spacing w:val="-2"/>
                <w:sz w:val="18"/>
              </w:rPr>
              <w:t>Significant</w:t>
            </w:r>
          </w:p>
        </w:tc>
      </w:tr>
      <w:tr>
        <w:trPr>
          <w:trHeight w:val="657" w:hRule="atLeast"/>
        </w:trPr>
        <w:tc>
          <w:tcPr>
            <w:tcW w:w="1824" w:type="dxa"/>
          </w:tcPr>
          <w:p>
            <w:pPr>
              <w:pStyle w:val="TableParagraph"/>
              <w:spacing w:before="127"/>
              <w:ind w:left="10" w:right="3"/>
              <w:jc w:val="center"/>
              <w:rPr>
                <w:sz w:val="18"/>
              </w:rPr>
            </w:pPr>
            <w:r>
              <w:rPr>
                <w:spacing w:val="-5"/>
                <w:sz w:val="18"/>
              </w:rPr>
              <w:t>GCF</w:t>
            </w:r>
          </w:p>
        </w:tc>
        <w:tc>
          <w:tcPr>
            <w:tcW w:w="1839" w:type="dxa"/>
          </w:tcPr>
          <w:p>
            <w:pPr>
              <w:pStyle w:val="TableParagraph"/>
              <w:spacing w:before="127"/>
              <w:ind w:right="97"/>
              <w:jc w:val="right"/>
              <w:rPr>
                <w:sz w:val="18"/>
              </w:rPr>
            </w:pPr>
            <w:r>
              <w:rPr>
                <w:spacing w:val="-2"/>
                <w:sz w:val="18"/>
              </w:rPr>
              <w:t>2.080895</w:t>
            </w:r>
          </w:p>
        </w:tc>
        <w:tc>
          <w:tcPr>
            <w:tcW w:w="1949" w:type="dxa"/>
          </w:tcPr>
          <w:p>
            <w:pPr>
              <w:pStyle w:val="TableParagraph"/>
              <w:spacing w:before="116"/>
              <w:ind w:left="6"/>
              <w:jc w:val="center"/>
              <w:rPr>
                <w:rFonts w:ascii="Cambria"/>
                <w:sz w:val="18"/>
              </w:rPr>
            </w:pPr>
            <w:r>
              <w:rPr>
                <w:rFonts w:ascii="Cambria"/>
                <w:spacing w:val="-2"/>
                <w:sz w:val="18"/>
              </w:rPr>
              <w:t>1.040448</w:t>
            </w:r>
          </w:p>
        </w:tc>
        <w:tc>
          <w:tcPr>
            <w:tcW w:w="2302" w:type="dxa"/>
          </w:tcPr>
          <w:p>
            <w:pPr>
              <w:pStyle w:val="TableParagraph"/>
              <w:spacing w:before="127"/>
              <w:ind w:right="95"/>
              <w:jc w:val="right"/>
              <w:rPr>
                <w:sz w:val="18"/>
              </w:rPr>
            </w:pPr>
            <w:r>
              <w:rPr>
                <w:spacing w:val="-2"/>
                <w:sz w:val="18"/>
              </w:rPr>
              <w:t>0.59936</w:t>
            </w:r>
          </w:p>
        </w:tc>
        <w:tc>
          <w:tcPr>
            <w:tcW w:w="1409" w:type="dxa"/>
          </w:tcPr>
          <w:p>
            <w:pPr>
              <w:pStyle w:val="TableParagraph"/>
              <w:spacing w:before="116"/>
              <w:ind w:left="13" w:right="2"/>
              <w:jc w:val="center"/>
              <w:rPr>
                <w:rFonts w:ascii="Cambria"/>
                <w:sz w:val="18"/>
              </w:rPr>
            </w:pPr>
            <w:r>
              <w:rPr>
                <w:rFonts w:ascii="Cambria"/>
                <w:spacing w:val="-2"/>
                <w:sz w:val="18"/>
              </w:rPr>
              <w:t>Significant</w:t>
            </w:r>
          </w:p>
        </w:tc>
      </w:tr>
      <w:tr>
        <w:trPr>
          <w:trHeight w:val="657" w:hRule="atLeast"/>
        </w:trPr>
        <w:tc>
          <w:tcPr>
            <w:tcW w:w="1824" w:type="dxa"/>
          </w:tcPr>
          <w:p>
            <w:pPr>
              <w:pStyle w:val="TableParagraph"/>
              <w:spacing w:before="124"/>
              <w:ind w:left="10"/>
              <w:jc w:val="center"/>
              <w:rPr>
                <w:sz w:val="18"/>
              </w:rPr>
            </w:pPr>
            <w:r>
              <w:rPr>
                <w:spacing w:val="-5"/>
                <w:sz w:val="18"/>
              </w:rPr>
              <w:t>DR</w:t>
            </w:r>
          </w:p>
        </w:tc>
        <w:tc>
          <w:tcPr>
            <w:tcW w:w="1839" w:type="dxa"/>
          </w:tcPr>
          <w:p>
            <w:pPr>
              <w:pStyle w:val="TableParagraph"/>
              <w:spacing w:before="124"/>
              <w:ind w:right="100"/>
              <w:jc w:val="right"/>
              <w:rPr>
                <w:sz w:val="18"/>
              </w:rPr>
            </w:pPr>
            <w:r>
              <w:rPr>
                <w:spacing w:val="-2"/>
                <w:sz w:val="18"/>
              </w:rPr>
              <w:t>4.191684</w:t>
            </w:r>
          </w:p>
        </w:tc>
        <w:tc>
          <w:tcPr>
            <w:tcW w:w="1949" w:type="dxa"/>
          </w:tcPr>
          <w:p>
            <w:pPr>
              <w:pStyle w:val="TableParagraph"/>
              <w:spacing w:before="114"/>
              <w:ind w:left="6"/>
              <w:jc w:val="center"/>
              <w:rPr>
                <w:rFonts w:ascii="Cambria"/>
                <w:sz w:val="18"/>
              </w:rPr>
            </w:pPr>
            <w:r>
              <w:rPr>
                <w:rFonts w:ascii="Cambria"/>
                <w:spacing w:val="-2"/>
                <w:sz w:val="18"/>
              </w:rPr>
              <w:t>2.095842</w:t>
            </w:r>
          </w:p>
        </w:tc>
        <w:tc>
          <w:tcPr>
            <w:tcW w:w="2302" w:type="dxa"/>
          </w:tcPr>
          <w:p>
            <w:pPr>
              <w:pStyle w:val="TableParagraph"/>
              <w:spacing w:before="124"/>
              <w:ind w:right="95"/>
              <w:jc w:val="right"/>
              <w:rPr>
                <w:sz w:val="18"/>
              </w:rPr>
            </w:pPr>
            <w:r>
              <w:rPr>
                <w:spacing w:val="-2"/>
                <w:sz w:val="18"/>
              </w:rPr>
              <w:t>1.33736</w:t>
            </w:r>
          </w:p>
        </w:tc>
        <w:tc>
          <w:tcPr>
            <w:tcW w:w="1409" w:type="dxa"/>
          </w:tcPr>
          <w:p>
            <w:pPr>
              <w:pStyle w:val="TableParagraph"/>
              <w:spacing w:before="114"/>
              <w:ind w:left="13" w:right="2"/>
              <w:jc w:val="center"/>
              <w:rPr>
                <w:rFonts w:ascii="Cambria"/>
                <w:sz w:val="18"/>
              </w:rPr>
            </w:pPr>
            <w:r>
              <w:rPr>
                <w:rFonts w:ascii="Cambria"/>
                <w:spacing w:val="-2"/>
                <w:sz w:val="18"/>
              </w:rPr>
              <w:t>Significant</w:t>
            </w:r>
          </w:p>
        </w:tc>
      </w:tr>
      <w:tr>
        <w:trPr>
          <w:trHeight w:val="657" w:hRule="atLeast"/>
        </w:trPr>
        <w:tc>
          <w:tcPr>
            <w:tcW w:w="1824" w:type="dxa"/>
          </w:tcPr>
          <w:p>
            <w:pPr>
              <w:pStyle w:val="TableParagraph"/>
              <w:spacing w:before="124"/>
              <w:ind w:left="10"/>
              <w:jc w:val="center"/>
              <w:rPr>
                <w:sz w:val="18"/>
              </w:rPr>
            </w:pPr>
            <w:r>
              <w:rPr>
                <w:spacing w:val="-2"/>
                <w:sz w:val="18"/>
              </w:rPr>
              <w:t>PRIVCR</w:t>
            </w:r>
          </w:p>
        </w:tc>
        <w:tc>
          <w:tcPr>
            <w:tcW w:w="1839" w:type="dxa"/>
          </w:tcPr>
          <w:p>
            <w:pPr>
              <w:pStyle w:val="TableParagraph"/>
              <w:spacing w:before="124"/>
              <w:ind w:right="97"/>
              <w:jc w:val="right"/>
              <w:rPr>
                <w:sz w:val="18"/>
              </w:rPr>
            </w:pPr>
            <w:r>
              <w:rPr>
                <w:spacing w:val="-2"/>
                <w:sz w:val="18"/>
              </w:rPr>
              <w:t>0.436799</w:t>
            </w:r>
          </w:p>
        </w:tc>
        <w:tc>
          <w:tcPr>
            <w:tcW w:w="1949" w:type="dxa"/>
          </w:tcPr>
          <w:p>
            <w:pPr>
              <w:pStyle w:val="TableParagraph"/>
              <w:spacing w:before="114"/>
              <w:ind w:left="6"/>
              <w:jc w:val="center"/>
              <w:rPr>
                <w:rFonts w:ascii="Cambria"/>
                <w:sz w:val="18"/>
              </w:rPr>
            </w:pPr>
            <w:r>
              <w:rPr>
                <w:rFonts w:ascii="Cambria"/>
                <w:spacing w:val="-2"/>
                <w:sz w:val="18"/>
              </w:rPr>
              <w:t>0.218399</w:t>
            </w:r>
          </w:p>
        </w:tc>
        <w:tc>
          <w:tcPr>
            <w:tcW w:w="2302" w:type="dxa"/>
          </w:tcPr>
          <w:p>
            <w:pPr>
              <w:pStyle w:val="TableParagraph"/>
              <w:spacing w:before="124"/>
              <w:ind w:right="95"/>
              <w:jc w:val="right"/>
              <w:rPr>
                <w:sz w:val="18"/>
              </w:rPr>
            </w:pPr>
            <w:r>
              <w:rPr>
                <w:spacing w:val="-2"/>
                <w:sz w:val="18"/>
              </w:rPr>
              <w:t>0.41330</w:t>
            </w:r>
          </w:p>
        </w:tc>
        <w:tc>
          <w:tcPr>
            <w:tcW w:w="1409" w:type="dxa"/>
          </w:tcPr>
          <w:p>
            <w:pPr>
              <w:pStyle w:val="TableParagraph"/>
              <w:spacing w:before="114"/>
              <w:ind w:left="13"/>
              <w:jc w:val="center"/>
              <w:rPr>
                <w:rFonts w:ascii="Cambria"/>
                <w:sz w:val="18"/>
              </w:rPr>
            </w:pPr>
            <w:r>
              <w:rPr>
                <w:rFonts w:ascii="Cambria"/>
                <w:spacing w:val="-2"/>
                <w:sz w:val="18"/>
              </w:rPr>
              <w:t>Insignificant</w:t>
            </w:r>
          </w:p>
        </w:tc>
      </w:tr>
      <w:tr>
        <w:trPr>
          <w:trHeight w:val="654" w:hRule="atLeast"/>
        </w:trPr>
        <w:tc>
          <w:tcPr>
            <w:tcW w:w="1824" w:type="dxa"/>
          </w:tcPr>
          <w:p>
            <w:pPr>
              <w:pStyle w:val="TableParagraph"/>
              <w:spacing w:before="124"/>
              <w:ind w:left="10" w:right="2"/>
              <w:jc w:val="center"/>
              <w:rPr>
                <w:sz w:val="18"/>
              </w:rPr>
            </w:pPr>
            <w:r>
              <w:rPr>
                <w:spacing w:val="-2"/>
                <w:sz w:val="18"/>
              </w:rPr>
              <w:t>USIRD</w:t>
            </w:r>
          </w:p>
        </w:tc>
        <w:tc>
          <w:tcPr>
            <w:tcW w:w="1839" w:type="dxa"/>
          </w:tcPr>
          <w:p>
            <w:pPr>
              <w:pStyle w:val="TableParagraph"/>
              <w:spacing w:before="124"/>
              <w:ind w:right="97"/>
              <w:jc w:val="right"/>
              <w:rPr>
                <w:sz w:val="18"/>
              </w:rPr>
            </w:pPr>
            <w:r>
              <w:rPr>
                <w:spacing w:val="-2"/>
                <w:sz w:val="18"/>
              </w:rPr>
              <w:t>2.335059</w:t>
            </w:r>
          </w:p>
        </w:tc>
        <w:tc>
          <w:tcPr>
            <w:tcW w:w="1949" w:type="dxa"/>
          </w:tcPr>
          <w:p>
            <w:pPr>
              <w:pStyle w:val="TableParagraph"/>
              <w:spacing w:before="114"/>
              <w:ind w:left="6"/>
              <w:jc w:val="center"/>
              <w:rPr>
                <w:rFonts w:ascii="Cambria"/>
                <w:sz w:val="18"/>
              </w:rPr>
            </w:pPr>
            <w:r>
              <w:rPr>
                <w:rFonts w:ascii="Cambria"/>
                <w:spacing w:val="-2"/>
                <w:sz w:val="18"/>
              </w:rPr>
              <w:t>1.167529</w:t>
            </w:r>
          </w:p>
        </w:tc>
        <w:tc>
          <w:tcPr>
            <w:tcW w:w="2302" w:type="dxa"/>
          </w:tcPr>
          <w:p>
            <w:pPr>
              <w:pStyle w:val="TableParagraph"/>
              <w:spacing w:before="124"/>
              <w:ind w:right="95"/>
              <w:jc w:val="right"/>
              <w:rPr>
                <w:sz w:val="18"/>
              </w:rPr>
            </w:pPr>
            <w:r>
              <w:rPr>
                <w:spacing w:val="-2"/>
                <w:sz w:val="18"/>
              </w:rPr>
              <w:t>0.75457</w:t>
            </w:r>
          </w:p>
        </w:tc>
        <w:tc>
          <w:tcPr>
            <w:tcW w:w="1409" w:type="dxa"/>
          </w:tcPr>
          <w:p>
            <w:pPr>
              <w:pStyle w:val="TableParagraph"/>
              <w:spacing w:before="114"/>
              <w:ind w:left="13" w:right="2"/>
              <w:jc w:val="center"/>
              <w:rPr>
                <w:rFonts w:ascii="Cambria"/>
                <w:sz w:val="18"/>
              </w:rPr>
            </w:pPr>
            <w:r>
              <w:rPr>
                <w:rFonts w:ascii="Cambria"/>
                <w:spacing w:val="-2"/>
                <w:sz w:val="18"/>
              </w:rPr>
              <w:t>Significant</w:t>
            </w:r>
          </w:p>
        </w:tc>
      </w:tr>
      <w:tr>
        <w:trPr>
          <w:trHeight w:val="657" w:hRule="atLeast"/>
        </w:trPr>
        <w:tc>
          <w:tcPr>
            <w:tcW w:w="1824" w:type="dxa"/>
          </w:tcPr>
          <w:p>
            <w:pPr>
              <w:pStyle w:val="TableParagraph"/>
              <w:spacing w:before="127"/>
              <w:ind w:left="10" w:right="2"/>
              <w:jc w:val="center"/>
              <w:rPr>
                <w:sz w:val="18"/>
              </w:rPr>
            </w:pPr>
            <w:r>
              <w:rPr>
                <w:spacing w:val="-4"/>
                <w:sz w:val="18"/>
              </w:rPr>
              <w:t>GOCE</w:t>
            </w:r>
          </w:p>
        </w:tc>
        <w:tc>
          <w:tcPr>
            <w:tcW w:w="1839" w:type="dxa"/>
          </w:tcPr>
          <w:p>
            <w:pPr>
              <w:pStyle w:val="TableParagraph"/>
              <w:spacing w:before="127"/>
              <w:ind w:right="97"/>
              <w:jc w:val="right"/>
              <w:rPr>
                <w:sz w:val="18"/>
              </w:rPr>
            </w:pPr>
            <w:r>
              <w:rPr>
                <w:spacing w:val="-2"/>
                <w:sz w:val="18"/>
              </w:rPr>
              <w:t>4.359956</w:t>
            </w:r>
          </w:p>
        </w:tc>
        <w:tc>
          <w:tcPr>
            <w:tcW w:w="1949" w:type="dxa"/>
          </w:tcPr>
          <w:p>
            <w:pPr>
              <w:pStyle w:val="TableParagraph"/>
              <w:spacing w:before="116"/>
              <w:ind w:left="6"/>
              <w:jc w:val="center"/>
              <w:rPr>
                <w:rFonts w:ascii="Cambria"/>
                <w:sz w:val="18"/>
              </w:rPr>
            </w:pPr>
            <w:r>
              <w:rPr>
                <w:rFonts w:ascii="Cambria"/>
                <w:spacing w:val="-2"/>
                <w:sz w:val="18"/>
              </w:rPr>
              <w:t>2.179978</w:t>
            </w:r>
          </w:p>
        </w:tc>
        <w:tc>
          <w:tcPr>
            <w:tcW w:w="2302" w:type="dxa"/>
          </w:tcPr>
          <w:p>
            <w:pPr>
              <w:pStyle w:val="TableParagraph"/>
              <w:spacing w:before="127"/>
              <w:ind w:right="95"/>
              <w:jc w:val="right"/>
              <w:rPr>
                <w:sz w:val="18"/>
              </w:rPr>
            </w:pPr>
            <w:r>
              <w:rPr>
                <w:spacing w:val="-2"/>
                <w:sz w:val="18"/>
              </w:rPr>
              <w:t>1.19669</w:t>
            </w:r>
          </w:p>
        </w:tc>
        <w:tc>
          <w:tcPr>
            <w:tcW w:w="1409" w:type="dxa"/>
          </w:tcPr>
          <w:p>
            <w:pPr>
              <w:pStyle w:val="TableParagraph"/>
              <w:spacing w:before="116"/>
              <w:ind w:left="13" w:right="2"/>
              <w:jc w:val="center"/>
              <w:rPr>
                <w:rFonts w:ascii="Cambria"/>
                <w:sz w:val="18"/>
              </w:rPr>
            </w:pPr>
            <w:r>
              <w:rPr>
                <w:rFonts w:ascii="Cambria"/>
                <w:spacing w:val="-2"/>
                <w:sz w:val="18"/>
              </w:rPr>
              <w:t>Significant</w:t>
            </w:r>
          </w:p>
        </w:tc>
      </w:tr>
    </w:tbl>
    <w:p>
      <w:pPr>
        <w:pStyle w:val="BodyText"/>
        <w:spacing w:before="2"/>
        <w:ind w:left="711"/>
        <w:jc w:val="both"/>
        <w:rPr>
          <w:b/>
        </w:rPr>
      </w:pPr>
      <w:r>
        <w:rPr/>
        <w:t>Source:</w:t>
      </w:r>
      <w:r>
        <w:rPr>
          <w:spacing w:val="-4"/>
        </w:rPr>
        <w:t> </w:t>
      </w:r>
      <w:r>
        <w:rPr/>
        <w:t>Computation,</w:t>
      </w:r>
      <w:r>
        <w:rPr>
          <w:spacing w:val="-1"/>
        </w:rPr>
        <w:t> </w:t>
      </w:r>
      <w:r>
        <w:rPr/>
        <w:t>using</w:t>
      </w:r>
      <w:r>
        <w:rPr>
          <w:spacing w:val="-5"/>
        </w:rPr>
        <w:t> </w:t>
      </w:r>
      <w:r>
        <w:rPr/>
        <w:t>E-view</w:t>
      </w:r>
      <w:r>
        <w:rPr>
          <w:spacing w:val="-1"/>
        </w:rPr>
        <w:t> </w:t>
      </w:r>
      <w:r>
        <w:rPr/>
        <w:t>statistical</w:t>
      </w:r>
      <w:r>
        <w:rPr>
          <w:spacing w:val="-1"/>
        </w:rPr>
        <w:t> </w:t>
      </w:r>
      <w:r>
        <w:rPr>
          <w:spacing w:val="-2"/>
        </w:rPr>
        <w:t>package</w:t>
      </w:r>
      <w:r>
        <w:rPr>
          <w:b/>
          <w:spacing w:val="-2"/>
        </w:rPr>
        <w:t>.</w:t>
      </w:r>
    </w:p>
    <w:p>
      <w:pPr>
        <w:spacing w:after="0"/>
        <w:jc w:val="both"/>
        <w:sectPr>
          <w:pgSz w:w="11910" w:h="16840"/>
          <w:pgMar w:header="0" w:footer="979" w:top="1360" w:bottom="1240" w:left="280" w:right="0"/>
        </w:sectPr>
      </w:pPr>
    </w:p>
    <w:p>
      <w:pPr>
        <w:pStyle w:val="Heading6"/>
        <w:spacing w:before="60"/>
        <w:jc w:val="left"/>
        <w:rPr>
          <w:b w:val="0"/>
        </w:rPr>
      </w:pPr>
      <w:r>
        <w:rPr/>
        <w:t>Validation</w:t>
      </w:r>
      <w:r>
        <w:rPr>
          <w:spacing w:val="-1"/>
        </w:rPr>
        <w:t> </w:t>
      </w:r>
      <w:r>
        <w:rPr/>
        <w:t>and</w:t>
      </w:r>
      <w:r>
        <w:rPr>
          <w:spacing w:val="-1"/>
        </w:rPr>
        <w:t> </w:t>
      </w:r>
      <w:r>
        <w:rPr/>
        <w:t>testing</w:t>
      </w:r>
      <w:r>
        <w:rPr>
          <w:spacing w:val="-1"/>
        </w:rPr>
        <w:t> </w:t>
      </w:r>
      <w:r>
        <w:rPr/>
        <w:t>of</w:t>
      </w:r>
      <w:r>
        <w:rPr>
          <w:spacing w:val="1"/>
        </w:rPr>
        <w:t> </w:t>
      </w:r>
      <w:r>
        <w:rPr>
          <w:spacing w:val="-2"/>
        </w:rPr>
        <w:t>hypotheses</w:t>
      </w:r>
      <w:r>
        <w:rPr>
          <w:b w:val="0"/>
          <w:spacing w:val="-2"/>
        </w:rPr>
        <w:t>:</w:t>
      </w:r>
    </w:p>
    <w:p>
      <w:pPr>
        <w:pStyle w:val="BodyText"/>
        <w:spacing w:before="1"/>
      </w:pPr>
    </w:p>
    <w:p>
      <w:pPr>
        <w:pStyle w:val="BodyText"/>
        <w:spacing w:line="496" w:lineRule="auto"/>
        <w:ind w:left="711" w:right="467"/>
        <w:jc w:val="both"/>
      </w:pPr>
      <w:r>
        <w:rPr/>
        <w:t>Table 4.14.3 above indicates that six of the eight explanatory variables are significant in determining the level of capital flight in Nigeria under the Word Bank and Erbe approach to estimating capital flight. These variables</w:t>
      </w:r>
      <w:r>
        <w:rPr>
          <w:spacing w:val="67"/>
        </w:rPr>
        <w:t> </w:t>
      </w:r>
      <w:r>
        <w:rPr/>
        <w:t>are:</w:t>
      </w:r>
      <w:r>
        <w:rPr>
          <w:spacing w:val="69"/>
        </w:rPr>
        <w:t> </w:t>
      </w:r>
      <w:r>
        <w:rPr>
          <w:vertAlign w:val="subscript"/>
        </w:rPr>
        <w:t>δEXTDEBT</w:t>
      </w:r>
      <w:r>
        <w:rPr>
          <w:vertAlign w:val="baseline"/>
        </w:rPr>
        <w:t>,</w:t>
      </w:r>
      <w:r>
        <w:rPr>
          <w:spacing w:val="71"/>
          <w:vertAlign w:val="baseline"/>
        </w:rPr>
        <w:t> </w:t>
      </w:r>
      <w:r>
        <w:rPr>
          <w:vertAlign w:val="subscript"/>
        </w:rPr>
        <w:t>INF,</w:t>
      </w:r>
      <w:r>
        <w:rPr>
          <w:spacing w:val="50"/>
          <w:vertAlign w:val="baseline"/>
        </w:rPr>
        <w:t> </w:t>
      </w:r>
      <w:r>
        <w:rPr>
          <w:vertAlign w:val="subscript"/>
        </w:rPr>
        <w:t>DR,</w:t>
      </w:r>
      <w:r>
        <w:rPr>
          <w:spacing w:val="51"/>
          <w:vertAlign w:val="baseline"/>
        </w:rPr>
        <w:t>  </w:t>
      </w:r>
      <w:r>
        <w:rPr>
          <w:vertAlign w:val="subscript"/>
        </w:rPr>
        <w:t>GCF,</w:t>
      </w:r>
      <w:r>
        <w:rPr>
          <w:spacing w:val="51"/>
          <w:vertAlign w:val="baseline"/>
        </w:rPr>
        <w:t> </w:t>
      </w:r>
      <w:r>
        <w:rPr>
          <w:vertAlign w:val="subscript"/>
        </w:rPr>
        <w:t>USIRD</w:t>
      </w:r>
      <w:r>
        <w:rPr>
          <w:spacing w:val="50"/>
          <w:vertAlign w:val="baseline"/>
        </w:rPr>
        <w:t> </w:t>
      </w:r>
      <w:r>
        <w:rPr>
          <w:vertAlign w:val="subscript"/>
        </w:rPr>
        <w:t>and</w:t>
      </w:r>
      <w:r>
        <w:rPr>
          <w:spacing w:val="50"/>
          <w:vertAlign w:val="baseline"/>
        </w:rPr>
        <w:t> </w:t>
      </w:r>
      <w:r>
        <w:rPr>
          <w:vertAlign w:val="subscript"/>
        </w:rPr>
        <w:t>GOCE.</w:t>
      </w:r>
      <w:r>
        <w:rPr>
          <w:spacing w:val="60"/>
          <w:vertAlign w:val="baseline"/>
        </w:rPr>
        <w:t>  </w:t>
      </w:r>
      <w:r>
        <w:rPr>
          <w:vertAlign w:val="baseline"/>
        </w:rPr>
        <w:t>This</w:t>
      </w:r>
      <w:r>
        <w:rPr>
          <w:spacing w:val="69"/>
          <w:vertAlign w:val="baseline"/>
        </w:rPr>
        <w:t> </w:t>
      </w:r>
      <w:r>
        <w:rPr>
          <w:vertAlign w:val="baseline"/>
        </w:rPr>
        <w:t>implies</w:t>
      </w:r>
      <w:r>
        <w:rPr>
          <w:spacing w:val="70"/>
          <w:vertAlign w:val="baseline"/>
        </w:rPr>
        <w:t> </w:t>
      </w:r>
      <w:r>
        <w:rPr>
          <w:vertAlign w:val="baseline"/>
        </w:rPr>
        <w:t>these</w:t>
      </w:r>
      <w:r>
        <w:rPr>
          <w:spacing w:val="67"/>
          <w:vertAlign w:val="baseline"/>
        </w:rPr>
        <w:t> </w:t>
      </w:r>
      <w:r>
        <w:rPr>
          <w:vertAlign w:val="baseline"/>
        </w:rPr>
        <w:t>six</w:t>
      </w:r>
      <w:r>
        <w:rPr>
          <w:spacing w:val="70"/>
          <w:vertAlign w:val="baseline"/>
        </w:rPr>
        <w:t> </w:t>
      </w:r>
      <w:r>
        <w:rPr>
          <w:vertAlign w:val="baseline"/>
        </w:rPr>
        <w:t>variables</w:t>
      </w:r>
      <w:r>
        <w:rPr>
          <w:spacing w:val="70"/>
          <w:vertAlign w:val="baseline"/>
        </w:rPr>
        <w:t> </w:t>
      </w:r>
      <w:r>
        <w:rPr>
          <w:vertAlign w:val="baseline"/>
        </w:rPr>
        <w:t>are</w:t>
      </w:r>
      <w:r>
        <w:rPr>
          <w:spacing w:val="66"/>
          <w:vertAlign w:val="baseline"/>
        </w:rPr>
        <w:t> </w:t>
      </w:r>
      <w:r>
        <w:rPr>
          <w:spacing w:val="-2"/>
          <w:vertAlign w:val="baseline"/>
        </w:rPr>
        <w:t>statistically</w:t>
      </w:r>
    </w:p>
    <w:p>
      <w:pPr>
        <w:pStyle w:val="BodyText"/>
        <w:spacing w:line="480" w:lineRule="auto" w:before="33"/>
        <w:ind w:left="711" w:right="1193"/>
      </w:pPr>
      <w:r>
        <w:rPr/>
        <w:t>significant</w:t>
      </w:r>
      <w:r>
        <w:rPr>
          <w:spacing w:val="-3"/>
        </w:rPr>
        <w:t> </w:t>
      </w:r>
      <w:r>
        <w:rPr/>
        <w:t>in</w:t>
      </w:r>
      <w:r>
        <w:rPr>
          <w:spacing w:val="-3"/>
        </w:rPr>
        <w:t> </w:t>
      </w:r>
      <w:r>
        <w:rPr/>
        <w:t>the</w:t>
      </w:r>
      <w:r>
        <w:rPr>
          <w:spacing w:val="-2"/>
        </w:rPr>
        <w:t> </w:t>
      </w:r>
      <w:r>
        <w:rPr/>
        <w:t>explanation</w:t>
      </w:r>
      <w:r>
        <w:rPr>
          <w:spacing w:val="-1"/>
        </w:rPr>
        <w:t> </w:t>
      </w:r>
      <w:r>
        <w:rPr/>
        <w:t>the</w:t>
      </w:r>
      <w:r>
        <w:rPr>
          <w:spacing w:val="-3"/>
        </w:rPr>
        <w:t> </w:t>
      </w:r>
      <w:r>
        <w:rPr/>
        <w:t>behaviour</w:t>
      </w:r>
      <w:r>
        <w:rPr>
          <w:spacing w:val="-3"/>
        </w:rPr>
        <w:t> </w:t>
      </w:r>
      <w:r>
        <w:rPr/>
        <w:t>of</w:t>
      </w:r>
      <w:r>
        <w:rPr>
          <w:spacing w:val="-4"/>
        </w:rPr>
        <w:t> </w:t>
      </w:r>
      <w:r>
        <w:rPr/>
        <w:t>capital</w:t>
      </w:r>
      <w:r>
        <w:rPr>
          <w:spacing w:val="-3"/>
        </w:rPr>
        <w:t> </w:t>
      </w:r>
      <w:r>
        <w:rPr/>
        <w:t>flight</w:t>
      </w:r>
      <w:r>
        <w:rPr>
          <w:spacing w:val="-3"/>
        </w:rPr>
        <w:t> </w:t>
      </w:r>
      <w:r>
        <w:rPr/>
        <w:t>in</w:t>
      </w:r>
      <w:r>
        <w:rPr>
          <w:spacing w:val="-3"/>
        </w:rPr>
        <w:t> </w:t>
      </w:r>
      <w:r>
        <w:rPr/>
        <w:t>Nigeria</w:t>
      </w:r>
      <w:r>
        <w:rPr>
          <w:spacing w:val="-5"/>
        </w:rPr>
        <w:t> </w:t>
      </w:r>
      <w:r>
        <w:rPr/>
        <w:t>for</w:t>
      </w:r>
      <w:r>
        <w:rPr>
          <w:spacing w:val="-3"/>
        </w:rPr>
        <w:t> </w:t>
      </w:r>
      <w:r>
        <w:rPr/>
        <w:t>the</w:t>
      </w:r>
      <w:r>
        <w:rPr>
          <w:spacing w:val="-5"/>
        </w:rPr>
        <w:t> </w:t>
      </w:r>
      <w:r>
        <w:rPr/>
        <w:t>period</w:t>
      </w:r>
      <w:r>
        <w:rPr>
          <w:spacing w:val="-3"/>
        </w:rPr>
        <w:t> </w:t>
      </w:r>
      <w:r>
        <w:rPr/>
        <w:t>under</w:t>
      </w:r>
      <w:r>
        <w:rPr>
          <w:spacing w:val="-3"/>
        </w:rPr>
        <w:t> </w:t>
      </w:r>
      <w:r>
        <w:rPr/>
        <w:t>study. Based on the above, the under listed hypotheses were tested under model 1.</w:t>
      </w:r>
    </w:p>
    <w:p>
      <w:pPr>
        <w:pStyle w:val="BodyText"/>
        <w:spacing w:line="278" w:lineRule="exact"/>
        <w:ind w:left="711"/>
      </w:pPr>
      <w:r>
        <w:rPr>
          <w:position w:val="2"/>
        </w:rPr>
        <w:t>H</w:t>
      </w:r>
      <w:r>
        <w:rPr>
          <w:sz w:val="16"/>
        </w:rPr>
        <w:t>01</w:t>
      </w:r>
      <w:r>
        <w:rPr>
          <w:position w:val="2"/>
        </w:rPr>
        <w:t>:</w:t>
      </w:r>
      <w:r>
        <w:rPr>
          <w:spacing w:val="26"/>
          <w:position w:val="2"/>
        </w:rPr>
        <w:t>  </w:t>
      </w:r>
      <w:r>
        <w:rPr>
          <w:position w:val="2"/>
        </w:rPr>
        <w:t>Macroeconomic,</w:t>
      </w:r>
      <w:r>
        <w:rPr>
          <w:spacing w:val="-2"/>
          <w:position w:val="2"/>
        </w:rPr>
        <w:t> </w:t>
      </w:r>
      <w:r>
        <w:rPr>
          <w:position w:val="2"/>
        </w:rPr>
        <w:t>Political</w:t>
      </w:r>
      <w:r>
        <w:rPr>
          <w:spacing w:val="1"/>
          <w:position w:val="2"/>
        </w:rPr>
        <w:t> </w:t>
      </w:r>
      <w:r>
        <w:rPr>
          <w:position w:val="2"/>
        </w:rPr>
        <w:t>and</w:t>
      </w:r>
      <w:r>
        <w:rPr>
          <w:spacing w:val="1"/>
          <w:position w:val="2"/>
        </w:rPr>
        <w:t> </w:t>
      </w:r>
      <w:r>
        <w:rPr>
          <w:position w:val="2"/>
        </w:rPr>
        <w:t>Institutional</w:t>
      </w:r>
      <w:r>
        <w:rPr>
          <w:spacing w:val="-1"/>
          <w:position w:val="2"/>
        </w:rPr>
        <w:t> </w:t>
      </w:r>
      <w:r>
        <w:rPr>
          <w:position w:val="2"/>
        </w:rPr>
        <w:t>factors</w:t>
      </w:r>
      <w:r>
        <w:rPr>
          <w:spacing w:val="-1"/>
          <w:position w:val="2"/>
        </w:rPr>
        <w:t> </w:t>
      </w:r>
      <w:r>
        <w:rPr>
          <w:position w:val="2"/>
        </w:rPr>
        <w:t>do</w:t>
      </w:r>
      <w:r>
        <w:rPr>
          <w:spacing w:val="-1"/>
          <w:position w:val="2"/>
        </w:rPr>
        <w:t> </w:t>
      </w:r>
      <w:r>
        <w:rPr>
          <w:position w:val="2"/>
        </w:rPr>
        <w:t>not</w:t>
      </w:r>
      <w:r>
        <w:rPr>
          <w:spacing w:val="-1"/>
          <w:position w:val="2"/>
        </w:rPr>
        <w:t> </w:t>
      </w:r>
      <w:r>
        <w:rPr>
          <w:position w:val="2"/>
        </w:rPr>
        <w:t>cause</w:t>
      </w:r>
      <w:r>
        <w:rPr>
          <w:spacing w:val="-3"/>
          <w:position w:val="2"/>
        </w:rPr>
        <w:t> </w:t>
      </w:r>
      <w:r>
        <w:rPr>
          <w:position w:val="2"/>
        </w:rPr>
        <w:t>capital</w:t>
      </w:r>
      <w:r>
        <w:rPr>
          <w:spacing w:val="-1"/>
          <w:position w:val="2"/>
        </w:rPr>
        <w:t> </w:t>
      </w:r>
      <w:r>
        <w:rPr>
          <w:position w:val="2"/>
        </w:rPr>
        <w:t>flight</w:t>
      </w:r>
      <w:r>
        <w:rPr>
          <w:spacing w:val="-1"/>
          <w:position w:val="2"/>
        </w:rPr>
        <w:t> </w:t>
      </w:r>
      <w:r>
        <w:rPr>
          <w:position w:val="2"/>
        </w:rPr>
        <w:t>in</w:t>
      </w:r>
      <w:r>
        <w:rPr>
          <w:spacing w:val="-1"/>
          <w:position w:val="2"/>
        </w:rPr>
        <w:t> </w:t>
      </w:r>
      <w:r>
        <w:rPr>
          <w:spacing w:val="-2"/>
          <w:position w:val="2"/>
        </w:rPr>
        <w:t>Nigeria.</w:t>
      </w:r>
    </w:p>
    <w:p>
      <w:pPr>
        <w:pStyle w:val="BodyText"/>
        <w:tabs>
          <w:tab w:pos="1512" w:val="left" w:leader="none"/>
        </w:tabs>
        <w:spacing w:line="477" w:lineRule="auto" w:before="274"/>
        <w:ind w:left="711" w:right="475"/>
      </w:pPr>
      <w:r>
        <w:rPr>
          <w:spacing w:val="-4"/>
          <w:position w:val="2"/>
        </w:rPr>
        <w:t>H</w:t>
      </w:r>
      <w:r>
        <w:rPr>
          <w:spacing w:val="-4"/>
          <w:sz w:val="16"/>
        </w:rPr>
        <w:t>03</w:t>
      </w:r>
      <w:r>
        <w:rPr>
          <w:spacing w:val="-4"/>
          <w:position w:val="2"/>
        </w:rPr>
        <w:t>:</w:t>
      </w:r>
      <w:r>
        <w:rPr>
          <w:position w:val="2"/>
        </w:rPr>
        <w:tab/>
        <w:t>Macroeconomic,</w:t>
      </w:r>
      <w:r>
        <w:rPr>
          <w:spacing w:val="38"/>
          <w:position w:val="2"/>
        </w:rPr>
        <w:t> </w:t>
      </w:r>
      <w:r>
        <w:rPr>
          <w:position w:val="2"/>
        </w:rPr>
        <w:t>Political</w:t>
      </w:r>
      <w:r>
        <w:rPr>
          <w:spacing w:val="37"/>
          <w:position w:val="2"/>
        </w:rPr>
        <w:t> </w:t>
      </w:r>
      <w:r>
        <w:rPr>
          <w:position w:val="2"/>
        </w:rPr>
        <w:t>and</w:t>
      </w:r>
      <w:r>
        <w:rPr>
          <w:spacing w:val="37"/>
          <w:position w:val="2"/>
        </w:rPr>
        <w:t> </w:t>
      </w:r>
      <w:r>
        <w:rPr>
          <w:position w:val="2"/>
        </w:rPr>
        <w:t>Institutional</w:t>
      </w:r>
      <w:r>
        <w:rPr>
          <w:spacing w:val="37"/>
          <w:position w:val="2"/>
        </w:rPr>
        <w:t> </w:t>
      </w:r>
      <w:r>
        <w:rPr>
          <w:position w:val="2"/>
        </w:rPr>
        <w:t>factors</w:t>
      </w:r>
      <w:r>
        <w:rPr>
          <w:spacing w:val="36"/>
          <w:position w:val="2"/>
        </w:rPr>
        <w:t> </w:t>
      </w:r>
      <w:r>
        <w:rPr>
          <w:position w:val="2"/>
        </w:rPr>
        <w:t>do</w:t>
      </w:r>
      <w:r>
        <w:rPr>
          <w:spacing w:val="36"/>
          <w:position w:val="2"/>
        </w:rPr>
        <w:t> </w:t>
      </w:r>
      <w:r>
        <w:rPr>
          <w:position w:val="2"/>
        </w:rPr>
        <w:t>not</w:t>
      </w:r>
      <w:r>
        <w:rPr>
          <w:spacing w:val="37"/>
          <w:position w:val="2"/>
        </w:rPr>
        <w:t> </w:t>
      </w:r>
      <w:r>
        <w:rPr>
          <w:position w:val="2"/>
        </w:rPr>
        <w:t>influence</w:t>
      </w:r>
      <w:r>
        <w:rPr>
          <w:spacing w:val="35"/>
          <w:position w:val="2"/>
        </w:rPr>
        <w:t> </w:t>
      </w:r>
      <w:r>
        <w:rPr>
          <w:position w:val="2"/>
        </w:rPr>
        <w:t>the</w:t>
      </w:r>
      <w:r>
        <w:rPr>
          <w:spacing w:val="36"/>
          <w:position w:val="2"/>
        </w:rPr>
        <w:t> </w:t>
      </w:r>
      <w:r>
        <w:rPr>
          <w:position w:val="2"/>
        </w:rPr>
        <w:t>choice</w:t>
      </w:r>
      <w:r>
        <w:rPr>
          <w:spacing w:val="35"/>
          <w:position w:val="2"/>
        </w:rPr>
        <w:t> </w:t>
      </w:r>
      <w:r>
        <w:rPr>
          <w:position w:val="2"/>
        </w:rPr>
        <w:t>of</w:t>
      </w:r>
      <w:r>
        <w:rPr>
          <w:spacing w:val="35"/>
          <w:position w:val="2"/>
        </w:rPr>
        <w:t> </w:t>
      </w:r>
      <w:r>
        <w:rPr>
          <w:position w:val="2"/>
        </w:rPr>
        <w:t>private</w:t>
      </w:r>
      <w:r>
        <w:rPr>
          <w:spacing w:val="37"/>
          <w:position w:val="2"/>
        </w:rPr>
        <w:t> </w:t>
      </w:r>
      <w:r>
        <w:rPr>
          <w:position w:val="2"/>
        </w:rPr>
        <w:t>wealth </w:t>
      </w:r>
      <w:r>
        <w:rPr/>
        <w:t>holders in Nigeria.</w:t>
      </w:r>
    </w:p>
    <w:p>
      <w:pPr>
        <w:pStyle w:val="BodyText"/>
        <w:tabs>
          <w:tab w:pos="1287" w:val="left" w:leader="none"/>
        </w:tabs>
        <w:spacing w:before="3"/>
        <w:ind w:left="711"/>
      </w:pPr>
      <w:r>
        <w:rPr>
          <w:spacing w:val="-5"/>
          <w:position w:val="2"/>
        </w:rPr>
        <w:t>H</w:t>
      </w:r>
      <w:r>
        <w:rPr>
          <w:spacing w:val="-5"/>
          <w:sz w:val="16"/>
        </w:rPr>
        <w:t>04</w:t>
      </w:r>
      <w:r>
        <w:rPr>
          <w:sz w:val="16"/>
        </w:rPr>
        <w:tab/>
      </w:r>
      <w:r>
        <w:rPr>
          <w:position w:val="2"/>
        </w:rPr>
        <w:t>Capital</w:t>
      </w:r>
      <w:r>
        <w:rPr>
          <w:spacing w:val="-4"/>
          <w:position w:val="2"/>
        </w:rPr>
        <w:t> </w:t>
      </w:r>
      <w:r>
        <w:rPr>
          <w:position w:val="2"/>
        </w:rPr>
        <w:t>flight</w:t>
      </w:r>
      <w:r>
        <w:rPr>
          <w:spacing w:val="-1"/>
          <w:position w:val="2"/>
        </w:rPr>
        <w:t> </w:t>
      </w:r>
      <w:r>
        <w:rPr>
          <w:position w:val="2"/>
        </w:rPr>
        <w:t>cannot</w:t>
      </w:r>
      <w:r>
        <w:rPr>
          <w:spacing w:val="-2"/>
          <w:position w:val="2"/>
        </w:rPr>
        <w:t> </w:t>
      </w:r>
      <w:r>
        <w:rPr>
          <w:position w:val="2"/>
        </w:rPr>
        <w:t>be</w:t>
      </w:r>
      <w:r>
        <w:rPr>
          <w:spacing w:val="-1"/>
          <w:position w:val="2"/>
        </w:rPr>
        <w:t> </w:t>
      </w:r>
      <w:r>
        <w:rPr>
          <w:position w:val="2"/>
        </w:rPr>
        <w:t>stemmed</w:t>
      </w:r>
      <w:r>
        <w:rPr>
          <w:spacing w:val="1"/>
          <w:position w:val="2"/>
        </w:rPr>
        <w:t> </w:t>
      </w:r>
      <w:r>
        <w:rPr>
          <w:position w:val="2"/>
        </w:rPr>
        <w:t>nor</w:t>
      </w:r>
      <w:r>
        <w:rPr>
          <w:spacing w:val="-2"/>
          <w:position w:val="2"/>
        </w:rPr>
        <w:t> </w:t>
      </w:r>
      <w:r>
        <w:rPr>
          <w:position w:val="2"/>
        </w:rPr>
        <w:t>reversed</w:t>
      </w:r>
      <w:r>
        <w:rPr>
          <w:spacing w:val="-1"/>
          <w:position w:val="2"/>
        </w:rPr>
        <w:t> </w:t>
      </w:r>
      <w:r>
        <w:rPr>
          <w:position w:val="2"/>
        </w:rPr>
        <w:t>in</w:t>
      </w:r>
      <w:r>
        <w:rPr>
          <w:spacing w:val="-1"/>
          <w:position w:val="2"/>
        </w:rPr>
        <w:t> </w:t>
      </w:r>
      <w:r>
        <w:rPr>
          <w:spacing w:val="-2"/>
          <w:position w:val="2"/>
        </w:rPr>
        <w:t>Nigeria.</w:t>
      </w:r>
    </w:p>
    <w:p>
      <w:pPr>
        <w:pStyle w:val="BodyText"/>
        <w:spacing w:before="239"/>
      </w:pPr>
    </w:p>
    <w:p>
      <w:pPr>
        <w:pStyle w:val="BodyText"/>
        <w:spacing w:line="504" w:lineRule="auto"/>
        <w:ind w:left="711" w:right="473"/>
        <w:jc w:val="both"/>
      </w:pPr>
      <w:r>
        <w:rPr>
          <w:rFonts w:ascii="Cambria" w:hAnsi="Cambria"/>
          <w:b/>
        </w:rPr>
        <w:t>Hypothesis 1: </w:t>
      </w:r>
      <w:r>
        <w:rPr>
          <w:rFonts w:ascii="Cambria" w:hAnsi="Cambria"/>
        </w:rPr>
        <w:t>the alternative hypothsis is accepted because the significant variables can be grouped into political, economic and institutional factors as follows:</w:t>
      </w:r>
      <w:r>
        <w:rPr>
          <w:rFonts w:ascii="Cambria" w:hAnsi="Cambria"/>
          <w:spacing w:val="40"/>
        </w:rPr>
        <w:t> </w:t>
      </w:r>
      <w:r>
        <w:rPr>
          <w:rFonts w:ascii="Cambria" w:hAnsi="Cambria"/>
        </w:rPr>
        <w:t>Political: debt volatility (</w:t>
      </w:r>
      <w:r>
        <w:rPr>
          <w:vertAlign w:val="subscript"/>
        </w:rPr>
        <w:t>δEXTDEBT</w:t>
      </w:r>
      <w:r>
        <w:rPr>
          <w:vertAlign w:val="baseline"/>
        </w:rPr>
        <w:t>) and government current expenditure</w:t>
      </w:r>
      <w:r>
        <w:rPr>
          <w:spacing w:val="-1"/>
          <w:vertAlign w:val="baseline"/>
        </w:rPr>
        <w:t> </w:t>
      </w:r>
      <w:r>
        <w:rPr>
          <w:vertAlign w:val="baseline"/>
        </w:rPr>
        <w:t>(GOCE), economic: inflation rate (INF, gross capital formation (GCF), and interest rate differential (USIRD), institutional: deposit rate (DR).</w:t>
      </w:r>
    </w:p>
    <w:p>
      <w:pPr>
        <w:pStyle w:val="BodyText"/>
        <w:spacing w:line="499" w:lineRule="auto" w:before="4"/>
        <w:ind w:left="711" w:right="469"/>
        <w:jc w:val="both"/>
      </w:pPr>
      <w:r>
        <w:rPr>
          <w:rFonts w:ascii="Cambria" w:hAnsi="Cambria"/>
          <w:b/>
        </w:rPr>
        <w:t>Hypothesis 3: since </w:t>
      </w:r>
      <w:r>
        <w:rPr>
          <w:vertAlign w:val="subscript"/>
        </w:rPr>
        <w:t>δEXTDEBT</w:t>
      </w:r>
      <w:r>
        <w:rPr>
          <w:vertAlign w:val="baseline"/>
        </w:rPr>
        <w:t>, </w:t>
      </w:r>
      <w:r>
        <w:rPr>
          <w:vertAlign w:val="subscript"/>
        </w:rPr>
        <w:t>INF,</w:t>
      </w:r>
      <w:r>
        <w:rPr>
          <w:vertAlign w:val="baseline"/>
        </w:rPr>
        <w:t> </w:t>
      </w:r>
      <w:r>
        <w:rPr>
          <w:vertAlign w:val="subscript"/>
        </w:rPr>
        <w:t>DR,</w:t>
      </w:r>
      <w:r>
        <w:rPr>
          <w:vertAlign w:val="baseline"/>
        </w:rPr>
        <w:t> </w:t>
      </w:r>
      <w:r>
        <w:rPr>
          <w:vertAlign w:val="subscript"/>
        </w:rPr>
        <w:t>GCF,</w:t>
      </w:r>
      <w:r>
        <w:rPr>
          <w:vertAlign w:val="baseline"/>
        </w:rPr>
        <w:t> </w:t>
      </w:r>
      <w:r>
        <w:rPr>
          <w:vertAlign w:val="subscript"/>
        </w:rPr>
        <w:t>USIRD</w:t>
      </w:r>
      <w:r>
        <w:rPr>
          <w:vertAlign w:val="baseline"/>
        </w:rPr>
        <w:t> </w:t>
      </w:r>
      <w:r>
        <w:rPr>
          <w:vertAlign w:val="subscript"/>
        </w:rPr>
        <w:t>and</w:t>
      </w:r>
      <w:r>
        <w:rPr>
          <w:vertAlign w:val="baseline"/>
        </w:rPr>
        <w:t> </w:t>
      </w:r>
      <w:r>
        <w:rPr>
          <w:vertAlign w:val="subscript"/>
        </w:rPr>
        <w:t>GOCE</w:t>
      </w:r>
      <w:r>
        <w:rPr>
          <w:vertAlign w:val="baseline"/>
        </w:rPr>
        <w:t> have </w:t>
      </w:r>
      <w:r>
        <w:rPr>
          <w:rFonts w:ascii="Cambria" w:hAnsi="Cambria"/>
          <w:vertAlign w:val="baseline"/>
        </w:rPr>
        <w:t>been identified as the determinants of capital</w:t>
      </w:r>
      <w:r>
        <w:rPr>
          <w:rFonts w:ascii="Cambria" w:hAnsi="Cambria"/>
          <w:spacing w:val="-3"/>
          <w:vertAlign w:val="baseline"/>
        </w:rPr>
        <w:t> </w:t>
      </w:r>
      <w:r>
        <w:rPr>
          <w:rFonts w:ascii="Cambria" w:hAnsi="Cambria"/>
          <w:vertAlign w:val="baseline"/>
        </w:rPr>
        <w:t>flight</w:t>
      </w:r>
      <w:r>
        <w:rPr>
          <w:rFonts w:ascii="Cambria" w:hAnsi="Cambria"/>
          <w:spacing w:val="-3"/>
          <w:vertAlign w:val="baseline"/>
        </w:rPr>
        <w:t> </w:t>
      </w:r>
      <w:r>
        <w:rPr>
          <w:rFonts w:ascii="Cambria" w:hAnsi="Cambria"/>
          <w:vertAlign w:val="baseline"/>
        </w:rPr>
        <w:t>in</w:t>
      </w:r>
      <w:r>
        <w:rPr>
          <w:rFonts w:ascii="Cambria" w:hAnsi="Cambria"/>
          <w:spacing w:val="-3"/>
          <w:vertAlign w:val="baseline"/>
        </w:rPr>
        <w:t> </w:t>
      </w:r>
      <w:r>
        <w:rPr>
          <w:rFonts w:ascii="Cambria" w:hAnsi="Cambria"/>
          <w:vertAlign w:val="baseline"/>
        </w:rPr>
        <w:t>Nigera,</w:t>
      </w:r>
      <w:r>
        <w:rPr>
          <w:rFonts w:ascii="Cambria" w:hAnsi="Cambria"/>
          <w:spacing w:val="-2"/>
          <w:vertAlign w:val="baseline"/>
        </w:rPr>
        <w:t> </w:t>
      </w:r>
      <w:r>
        <w:rPr>
          <w:rFonts w:ascii="Cambria" w:hAnsi="Cambria"/>
          <w:vertAlign w:val="baseline"/>
        </w:rPr>
        <w:t>it</w:t>
      </w:r>
      <w:r>
        <w:rPr>
          <w:rFonts w:ascii="Cambria" w:hAnsi="Cambria"/>
          <w:spacing w:val="-1"/>
          <w:vertAlign w:val="baseline"/>
        </w:rPr>
        <w:t> </w:t>
      </w:r>
      <w:r>
        <w:rPr>
          <w:rFonts w:ascii="Cambria" w:hAnsi="Cambria"/>
          <w:vertAlign w:val="baseline"/>
        </w:rPr>
        <w:t>thus</w:t>
      </w:r>
      <w:r>
        <w:rPr>
          <w:rFonts w:ascii="Cambria" w:hAnsi="Cambria"/>
          <w:spacing w:val="-2"/>
          <w:vertAlign w:val="baseline"/>
        </w:rPr>
        <w:t> </w:t>
      </w:r>
      <w:r>
        <w:rPr>
          <w:rFonts w:ascii="Cambria" w:hAnsi="Cambria"/>
          <w:vertAlign w:val="baseline"/>
        </w:rPr>
        <w:t>followed</w:t>
      </w:r>
      <w:r>
        <w:rPr>
          <w:rFonts w:ascii="Cambria" w:hAnsi="Cambria"/>
          <w:spacing w:val="-3"/>
          <w:vertAlign w:val="baseline"/>
        </w:rPr>
        <w:t> </w:t>
      </w:r>
      <w:r>
        <w:rPr>
          <w:rFonts w:ascii="Cambria" w:hAnsi="Cambria"/>
          <w:vertAlign w:val="baseline"/>
        </w:rPr>
        <w:t>that</w:t>
      </w:r>
      <w:r>
        <w:rPr>
          <w:rFonts w:ascii="Cambria" w:hAnsi="Cambria"/>
          <w:spacing w:val="-2"/>
          <w:vertAlign w:val="baseline"/>
        </w:rPr>
        <w:t> </w:t>
      </w:r>
      <w:r>
        <w:rPr>
          <w:rFonts w:ascii="Cambria" w:hAnsi="Cambria"/>
          <w:vertAlign w:val="baseline"/>
        </w:rPr>
        <w:t>the factors</w:t>
      </w:r>
      <w:r>
        <w:rPr>
          <w:rFonts w:ascii="Cambria" w:hAnsi="Cambria"/>
          <w:spacing w:val="-1"/>
          <w:vertAlign w:val="baseline"/>
        </w:rPr>
        <w:t> </w:t>
      </w:r>
      <w:r>
        <w:rPr>
          <w:vertAlign w:val="baseline"/>
        </w:rPr>
        <w:t>that</w:t>
      </w:r>
      <w:r>
        <w:rPr>
          <w:spacing w:val="-2"/>
          <w:vertAlign w:val="baseline"/>
        </w:rPr>
        <w:t> </w:t>
      </w:r>
      <w:r>
        <w:rPr>
          <w:vertAlign w:val="baseline"/>
        </w:rPr>
        <w:t>influence</w:t>
      </w:r>
      <w:r>
        <w:rPr>
          <w:spacing w:val="-3"/>
          <w:vertAlign w:val="baseline"/>
        </w:rPr>
        <w:t> </w:t>
      </w:r>
      <w:r>
        <w:rPr>
          <w:vertAlign w:val="baseline"/>
        </w:rPr>
        <w:t>the</w:t>
      </w:r>
      <w:r>
        <w:rPr>
          <w:spacing w:val="-1"/>
          <w:vertAlign w:val="baseline"/>
        </w:rPr>
        <w:t> </w:t>
      </w:r>
      <w:r>
        <w:rPr>
          <w:vertAlign w:val="baseline"/>
        </w:rPr>
        <w:t>choice</w:t>
      </w:r>
      <w:r>
        <w:rPr>
          <w:spacing w:val="-2"/>
          <w:vertAlign w:val="baseline"/>
        </w:rPr>
        <w:t> </w:t>
      </w:r>
      <w:r>
        <w:rPr>
          <w:vertAlign w:val="baseline"/>
        </w:rPr>
        <w:t>of</w:t>
      </w:r>
      <w:r>
        <w:rPr>
          <w:spacing w:val="-2"/>
          <w:vertAlign w:val="baseline"/>
        </w:rPr>
        <w:t> </w:t>
      </w:r>
      <w:r>
        <w:rPr>
          <w:vertAlign w:val="baseline"/>
        </w:rPr>
        <w:t>private</w:t>
      </w:r>
      <w:r>
        <w:rPr>
          <w:spacing w:val="-2"/>
          <w:vertAlign w:val="baseline"/>
        </w:rPr>
        <w:t> </w:t>
      </w:r>
      <w:r>
        <w:rPr>
          <w:vertAlign w:val="baseline"/>
        </w:rPr>
        <w:t>wealth holders in</w:t>
      </w:r>
      <w:r>
        <w:rPr>
          <w:spacing w:val="70"/>
          <w:vertAlign w:val="baseline"/>
        </w:rPr>
        <w:t> </w:t>
      </w:r>
      <w:r>
        <w:rPr>
          <w:vertAlign w:val="baseline"/>
        </w:rPr>
        <w:t>Nigeria</w:t>
      </w:r>
      <w:r>
        <w:rPr>
          <w:spacing w:val="73"/>
          <w:vertAlign w:val="baseline"/>
        </w:rPr>
        <w:t> </w:t>
      </w:r>
      <w:r>
        <w:rPr>
          <w:vertAlign w:val="baseline"/>
        </w:rPr>
        <w:t>are</w:t>
      </w:r>
      <w:r>
        <w:rPr>
          <w:spacing w:val="68"/>
          <w:vertAlign w:val="baseline"/>
        </w:rPr>
        <w:t> </w:t>
      </w:r>
      <w:r>
        <w:rPr>
          <w:vertAlign w:val="baseline"/>
        </w:rPr>
        <w:t>political,</w:t>
      </w:r>
      <w:r>
        <w:rPr>
          <w:spacing w:val="73"/>
          <w:vertAlign w:val="baseline"/>
        </w:rPr>
        <w:t> </w:t>
      </w:r>
      <w:r>
        <w:rPr>
          <w:vertAlign w:val="baseline"/>
        </w:rPr>
        <w:t>economic</w:t>
      </w:r>
      <w:r>
        <w:rPr>
          <w:spacing w:val="68"/>
          <w:vertAlign w:val="baseline"/>
        </w:rPr>
        <w:t> </w:t>
      </w:r>
      <w:r>
        <w:rPr>
          <w:vertAlign w:val="baseline"/>
        </w:rPr>
        <w:t>and</w:t>
      </w:r>
      <w:r>
        <w:rPr>
          <w:spacing w:val="70"/>
          <w:vertAlign w:val="baseline"/>
        </w:rPr>
        <w:t> </w:t>
      </w:r>
      <w:r>
        <w:rPr>
          <w:vertAlign w:val="baseline"/>
        </w:rPr>
        <w:t>institutional</w:t>
      </w:r>
      <w:r>
        <w:rPr>
          <w:spacing w:val="71"/>
          <w:vertAlign w:val="baseline"/>
        </w:rPr>
        <w:t> </w:t>
      </w:r>
      <w:r>
        <w:rPr>
          <w:vertAlign w:val="baseline"/>
        </w:rPr>
        <w:t>uncertainties.</w:t>
      </w:r>
      <w:r>
        <w:rPr>
          <w:spacing w:val="70"/>
          <w:vertAlign w:val="baseline"/>
        </w:rPr>
        <w:t> </w:t>
      </w:r>
      <w:r>
        <w:rPr>
          <w:vertAlign w:val="baseline"/>
        </w:rPr>
        <w:t>Hence</w:t>
      </w:r>
      <w:r>
        <w:rPr>
          <w:spacing w:val="69"/>
          <w:vertAlign w:val="baseline"/>
        </w:rPr>
        <w:t> </w:t>
      </w:r>
      <w:r>
        <w:rPr>
          <w:vertAlign w:val="baseline"/>
        </w:rPr>
        <w:t>the</w:t>
      </w:r>
      <w:r>
        <w:rPr>
          <w:spacing w:val="69"/>
          <w:vertAlign w:val="baseline"/>
        </w:rPr>
        <w:t> </w:t>
      </w:r>
      <w:r>
        <w:rPr>
          <w:vertAlign w:val="baseline"/>
        </w:rPr>
        <w:t>alternative</w:t>
      </w:r>
      <w:r>
        <w:rPr>
          <w:spacing w:val="69"/>
          <w:vertAlign w:val="baseline"/>
        </w:rPr>
        <w:t> </w:t>
      </w:r>
      <w:r>
        <w:rPr>
          <w:vertAlign w:val="baseline"/>
        </w:rPr>
        <w:t>hypothesis</w:t>
      </w:r>
      <w:r>
        <w:rPr>
          <w:spacing w:val="71"/>
          <w:vertAlign w:val="baseline"/>
        </w:rPr>
        <w:t> </w:t>
      </w:r>
      <w:r>
        <w:rPr>
          <w:spacing w:val="-5"/>
          <w:vertAlign w:val="baseline"/>
        </w:rPr>
        <w:t>is</w:t>
      </w:r>
    </w:p>
    <w:p>
      <w:pPr>
        <w:pStyle w:val="BodyText"/>
        <w:spacing w:line="559" w:lineRule="auto" w:before="19"/>
        <w:ind w:left="711" w:right="474"/>
        <w:jc w:val="both"/>
      </w:pPr>
      <w:r>
        <w:rPr/>
        <w:t>accepted</w:t>
      </w:r>
      <w:r>
        <w:rPr>
          <w:spacing w:val="40"/>
        </w:rPr>
        <w:t> </w:t>
      </w:r>
      <w:r>
        <w:rPr/>
        <w:t>for</w:t>
      </w:r>
      <w:r>
        <w:rPr>
          <w:spacing w:val="40"/>
        </w:rPr>
        <w:t> </w:t>
      </w:r>
      <w:r>
        <w:rPr>
          <w:vertAlign w:val="subscript"/>
        </w:rPr>
        <w:t>δEXTDEBT</w:t>
      </w:r>
      <w:r>
        <w:rPr>
          <w:vertAlign w:val="baseline"/>
        </w:rPr>
        <w:t>,</w:t>
      </w:r>
      <w:r>
        <w:rPr>
          <w:spacing w:val="40"/>
          <w:vertAlign w:val="baseline"/>
        </w:rPr>
        <w:t> </w:t>
      </w:r>
      <w:r>
        <w:rPr>
          <w:vertAlign w:val="subscript"/>
        </w:rPr>
        <w:t>INF,</w:t>
      </w:r>
      <w:r>
        <w:rPr>
          <w:vertAlign w:val="baseline"/>
        </w:rPr>
        <w:t> </w:t>
      </w:r>
      <w:r>
        <w:rPr>
          <w:vertAlign w:val="subscript"/>
        </w:rPr>
        <w:t>DR,</w:t>
      </w:r>
      <w:r>
        <w:rPr>
          <w:vertAlign w:val="baseline"/>
        </w:rPr>
        <w:t> </w:t>
      </w:r>
      <w:r>
        <w:rPr>
          <w:vertAlign w:val="subscript"/>
        </w:rPr>
        <w:t>GCF,</w:t>
      </w:r>
      <w:r>
        <w:rPr>
          <w:vertAlign w:val="baseline"/>
        </w:rPr>
        <w:t> </w:t>
      </w:r>
      <w:r>
        <w:rPr>
          <w:vertAlign w:val="subscript"/>
        </w:rPr>
        <w:t>USIRD</w:t>
      </w:r>
      <w:r>
        <w:rPr>
          <w:spacing w:val="40"/>
          <w:vertAlign w:val="baseline"/>
        </w:rPr>
        <w:t> </w:t>
      </w:r>
      <w:r>
        <w:rPr>
          <w:vertAlign w:val="baseline"/>
        </w:rPr>
        <w:t>and</w:t>
      </w:r>
      <w:r>
        <w:rPr>
          <w:spacing w:val="40"/>
          <w:vertAlign w:val="baseline"/>
        </w:rPr>
        <w:t> </w:t>
      </w:r>
      <w:r>
        <w:rPr>
          <w:vertAlign w:val="baseline"/>
        </w:rPr>
        <w:t>GOCE</w:t>
      </w:r>
      <w:r>
        <w:rPr>
          <w:spacing w:val="40"/>
          <w:vertAlign w:val="baseline"/>
        </w:rPr>
        <w:t> </w:t>
      </w:r>
      <w:r>
        <w:rPr>
          <w:vertAlign w:val="baseline"/>
        </w:rPr>
        <w:t>that</w:t>
      </w:r>
      <w:r>
        <w:rPr>
          <w:spacing w:val="40"/>
          <w:vertAlign w:val="baseline"/>
        </w:rPr>
        <w:t> </w:t>
      </w:r>
      <w:r>
        <w:rPr>
          <w:vertAlign w:val="baseline"/>
        </w:rPr>
        <w:t>are</w:t>
      </w:r>
      <w:r>
        <w:rPr>
          <w:spacing w:val="40"/>
          <w:vertAlign w:val="baseline"/>
        </w:rPr>
        <w:t> </w:t>
      </w:r>
      <w:r>
        <w:rPr>
          <w:vertAlign w:val="baseline"/>
        </w:rPr>
        <w:t>significant</w:t>
      </w:r>
      <w:r>
        <w:rPr>
          <w:spacing w:val="40"/>
          <w:vertAlign w:val="baseline"/>
        </w:rPr>
        <w:t> </w:t>
      </w:r>
      <w:r>
        <w:rPr>
          <w:vertAlign w:val="baseline"/>
        </w:rPr>
        <w:t>while</w:t>
      </w:r>
      <w:r>
        <w:rPr>
          <w:spacing w:val="40"/>
          <w:vertAlign w:val="baseline"/>
        </w:rPr>
        <w:t> </w:t>
      </w:r>
      <w:r>
        <w:rPr>
          <w:vertAlign w:val="baseline"/>
        </w:rPr>
        <w:t>the</w:t>
      </w:r>
      <w:r>
        <w:rPr>
          <w:spacing w:val="40"/>
          <w:vertAlign w:val="baseline"/>
        </w:rPr>
        <w:t> </w:t>
      </w:r>
      <w:r>
        <w:rPr>
          <w:vertAlign w:val="baseline"/>
        </w:rPr>
        <w:t>null</w:t>
      </w:r>
      <w:r>
        <w:rPr>
          <w:spacing w:val="40"/>
          <w:vertAlign w:val="baseline"/>
        </w:rPr>
        <w:t> </w:t>
      </w:r>
      <w:r>
        <w:rPr>
          <w:vertAlign w:val="baseline"/>
        </w:rPr>
        <w:t>hypothesis</w:t>
      </w:r>
      <w:r>
        <w:rPr>
          <w:spacing w:val="40"/>
          <w:vertAlign w:val="baseline"/>
        </w:rPr>
        <w:t> </w:t>
      </w:r>
      <w:r>
        <w:rPr>
          <w:vertAlign w:val="baseline"/>
        </w:rPr>
        <w:t>is accepted for PRIVCR and </w:t>
      </w:r>
      <w:r>
        <w:rPr>
          <w:vertAlign w:val="subscript"/>
        </w:rPr>
        <w:t>DOP</w:t>
      </w:r>
      <w:r>
        <w:rPr>
          <w:vertAlign w:val="baseline"/>
        </w:rPr>
        <w:t> that are not significant.</w:t>
      </w:r>
    </w:p>
    <w:p>
      <w:pPr>
        <w:pStyle w:val="BodyText"/>
        <w:spacing w:line="480" w:lineRule="auto" w:before="203"/>
        <w:ind w:left="711" w:right="476"/>
        <w:jc w:val="both"/>
        <w:rPr>
          <w:rFonts w:ascii="Cambria"/>
        </w:rPr>
      </w:pPr>
      <w:r>
        <w:rPr>
          <w:rFonts w:ascii="Cambria"/>
          <w:b/>
        </w:rPr>
        <w:t>Hypothesis 4</w:t>
      </w:r>
      <w:r>
        <w:rPr>
          <w:rFonts w:ascii="Cambria"/>
        </w:rPr>
        <w:t>: since the major determinants have been identified, it is possible to</w:t>
      </w:r>
      <w:r>
        <w:rPr>
          <w:rFonts w:ascii="Cambria"/>
          <w:spacing w:val="80"/>
        </w:rPr>
        <w:t> </w:t>
      </w:r>
      <w:r>
        <w:rPr>
          <w:rFonts w:ascii="Cambria"/>
        </w:rPr>
        <w:t>reverse capital flight trend in Nigeria through the implementation of policies and recommendations proffered in this study. Hence the null hypothesis is rejected and alternative accepted for hypothesis 4.</w:t>
      </w:r>
    </w:p>
    <w:p>
      <w:pPr>
        <w:spacing w:after="0" w:line="480" w:lineRule="auto"/>
        <w:jc w:val="both"/>
        <w:rPr>
          <w:rFonts w:ascii="Cambria"/>
        </w:rPr>
        <w:sectPr>
          <w:pgSz w:w="11910" w:h="16840"/>
          <w:pgMar w:header="0" w:footer="979" w:top="1360" w:bottom="1240" w:left="280" w:right="0"/>
        </w:sectPr>
      </w:pPr>
    </w:p>
    <w:p>
      <w:pPr>
        <w:pStyle w:val="Heading6"/>
        <w:spacing w:before="81"/>
        <w:rPr>
          <w:rFonts w:ascii="Cambria"/>
        </w:rPr>
      </w:pPr>
      <w:r>
        <w:rPr>
          <w:rFonts w:ascii="Cambria"/>
        </w:rPr>
        <w:t>4.5.4</w:t>
      </w:r>
      <w:r>
        <w:rPr>
          <w:rFonts w:ascii="Cambria"/>
          <w:spacing w:val="-6"/>
        </w:rPr>
        <w:t> </w:t>
      </w:r>
      <w:r>
        <w:rPr>
          <w:rFonts w:ascii="Cambria"/>
        </w:rPr>
        <w:t>Tests</w:t>
      </w:r>
      <w:r>
        <w:rPr>
          <w:rFonts w:ascii="Cambria"/>
          <w:spacing w:val="-3"/>
        </w:rPr>
        <w:t> </w:t>
      </w:r>
      <w:r>
        <w:rPr>
          <w:rFonts w:ascii="Cambria"/>
        </w:rPr>
        <w:t>for</w:t>
      </w:r>
      <w:r>
        <w:rPr>
          <w:rFonts w:ascii="Cambria"/>
          <w:spacing w:val="-3"/>
        </w:rPr>
        <w:t> </w:t>
      </w:r>
      <w:r>
        <w:rPr>
          <w:rFonts w:ascii="Cambria"/>
        </w:rPr>
        <w:t>Overall</w:t>
      </w:r>
      <w:r>
        <w:rPr>
          <w:rFonts w:ascii="Cambria"/>
          <w:spacing w:val="-4"/>
        </w:rPr>
        <w:t> </w:t>
      </w:r>
      <w:r>
        <w:rPr>
          <w:rFonts w:ascii="Cambria"/>
        </w:rPr>
        <w:t>Significance</w:t>
      </w:r>
      <w:r>
        <w:rPr>
          <w:rFonts w:ascii="Cambria"/>
          <w:spacing w:val="-3"/>
        </w:rPr>
        <w:t> </w:t>
      </w:r>
      <w:r>
        <w:rPr>
          <w:rFonts w:ascii="Cambria"/>
        </w:rPr>
        <w:t>of</w:t>
      </w:r>
      <w:r>
        <w:rPr>
          <w:rFonts w:ascii="Cambria"/>
          <w:spacing w:val="-2"/>
        </w:rPr>
        <w:t> </w:t>
      </w:r>
      <w:r>
        <w:rPr>
          <w:rFonts w:ascii="Cambria"/>
        </w:rPr>
        <w:t>Model</w:t>
      </w:r>
      <w:r>
        <w:rPr>
          <w:rFonts w:ascii="Cambria"/>
          <w:spacing w:val="-1"/>
        </w:rPr>
        <w:t> </w:t>
      </w:r>
      <w:r>
        <w:rPr>
          <w:rFonts w:ascii="Cambria"/>
        </w:rPr>
        <w:t>1A.</w:t>
      </w:r>
      <w:r>
        <w:rPr>
          <w:rFonts w:ascii="Cambria"/>
          <w:spacing w:val="-3"/>
        </w:rPr>
        <w:t> </w:t>
      </w:r>
      <w:r>
        <w:rPr>
          <w:rFonts w:ascii="Cambria"/>
        </w:rPr>
        <w:t>(World</w:t>
      </w:r>
      <w:r>
        <w:rPr>
          <w:rFonts w:ascii="Cambria"/>
          <w:spacing w:val="-3"/>
        </w:rPr>
        <w:t> </w:t>
      </w:r>
      <w:r>
        <w:rPr>
          <w:rFonts w:ascii="Cambria"/>
        </w:rPr>
        <w:t>Bank</w:t>
      </w:r>
      <w:r>
        <w:rPr>
          <w:rFonts w:ascii="Cambria"/>
          <w:spacing w:val="-2"/>
        </w:rPr>
        <w:t> </w:t>
      </w:r>
      <w:r>
        <w:rPr>
          <w:rFonts w:ascii="Cambria"/>
        </w:rPr>
        <w:t>&amp;</w:t>
      </w:r>
      <w:r>
        <w:rPr>
          <w:rFonts w:ascii="Cambria"/>
          <w:spacing w:val="-2"/>
        </w:rPr>
        <w:t> </w:t>
      </w:r>
      <w:r>
        <w:rPr>
          <w:rFonts w:ascii="Cambria"/>
        </w:rPr>
        <w:t>Erbe</w:t>
      </w:r>
      <w:r>
        <w:rPr>
          <w:rFonts w:ascii="Cambria"/>
          <w:spacing w:val="-3"/>
        </w:rPr>
        <w:t> </w:t>
      </w:r>
      <w:r>
        <w:rPr>
          <w:rFonts w:ascii="Cambria"/>
          <w:spacing w:val="-2"/>
        </w:rPr>
        <w:t>(1985)</w:t>
      </w:r>
    </w:p>
    <w:p>
      <w:pPr>
        <w:pStyle w:val="BodyText"/>
        <w:spacing w:line="480" w:lineRule="auto" w:before="281"/>
        <w:ind w:left="711" w:right="469"/>
        <w:jc w:val="both"/>
      </w:pPr>
      <w:r>
        <w:rPr>
          <w:rFonts w:ascii="Cambria"/>
        </w:rPr>
        <w:t>The F-test is used to test the statistical significance of the entire model. This is done to determine the overall significance of behaviour of all explanatory variables adopted in the model. It is done by comparing the F-statistics in the OLS result and the table value (F-test). The hypothesis is formulated </w:t>
      </w:r>
      <w:r>
        <w:rPr>
          <w:rFonts w:ascii="Cambria"/>
          <w:position w:val="1"/>
        </w:rPr>
        <w:t>as</w:t>
      </w:r>
      <w:r>
        <w:rPr>
          <w:rFonts w:ascii="Cambria"/>
          <w:spacing w:val="-1"/>
          <w:position w:val="1"/>
        </w:rPr>
        <w:t> </w:t>
      </w:r>
      <w:r>
        <w:rPr>
          <w:rFonts w:ascii="Cambria"/>
          <w:position w:val="1"/>
        </w:rPr>
        <w:t>depicted</w:t>
      </w:r>
      <w:r>
        <w:rPr>
          <w:rFonts w:ascii="Cambria"/>
          <w:spacing w:val="-2"/>
          <w:position w:val="1"/>
        </w:rPr>
        <w:t> </w:t>
      </w:r>
      <w:r>
        <w:rPr>
          <w:rFonts w:ascii="Cambria"/>
          <w:position w:val="1"/>
        </w:rPr>
        <w:t>below:</w:t>
      </w:r>
      <w:r>
        <w:rPr>
          <w:rFonts w:ascii="Cambria"/>
          <w:spacing w:val="-1"/>
          <w:position w:val="1"/>
        </w:rPr>
        <w:t> </w:t>
      </w:r>
      <w:r>
        <w:rPr>
          <w:rFonts w:ascii="Cambria"/>
          <w:position w:val="1"/>
        </w:rPr>
        <w:t>H</w:t>
      </w:r>
      <w:r>
        <w:rPr>
          <w:rFonts w:ascii="Cambria"/>
          <w:sz w:val="16"/>
        </w:rPr>
        <w:t>0</w:t>
      </w:r>
      <w:r>
        <w:rPr>
          <w:rFonts w:ascii="Cambria"/>
          <w:position w:val="1"/>
        </w:rPr>
        <w:t>:</w:t>
      </w:r>
      <w:r>
        <w:rPr>
          <w:rFonts w:ascii="Cambria"/>
          <w:spacing w:val="-2"/>
          <w:position w:val="1"/>
        </w:rPr>
        <w:t> </w:t>
      </w:r>
      <w:r>
        <w:rPr>
          <w:rFonts w:ascii="Cambria"/>
          <w:position w:val="1"/>
        </w:rPr>
        <w:t>The</w:t>
      </w:r>
      <w:r>
        <w:rPr>
          <w:rFonts w:ascii="Cambria"/>
          <w:spacing w:val="-1"/>
          <w:position w:val="1"/>
        </w:rPr>
        <w:t> </w:t>
      </w:r>
      <w:r>
        <w:rPr>
          <w:rFonts w:ascii="Cambria"/>
          <w:position w:val="1"/>
        </w:rPr>
        <w:t>overall</w:t>
      </w:r>
      <w:r>
        <w:rPr>
          <w:rFonts w:ascii="Cambria"/>
          <w:spacing w:val="-2"/>
          <w:position w:val="1"/>
        </w:rPr>
        <w:t> </w:t>
      </w:r>
      <w:r>
        <w:rPr>
          <w:rFonts w:ascii="Cambria"/>
          <w:position w:val="1"/>
        </w:rPr>
        <w:t>model</w:t>
      </w:r>
      <w:r>
        <w:rPr>
          <w:rFonts w:ascii="Cambria"/>
          <w:spacing w:val="-2"/>
          <w:position w:val="1"/>
        </w:rPr>
        <w:t> </w:t>
      </w:r>
      <w:r>
        <w:rPr>
          <w:rFonts w:ascii="Cambria"/>
          <w:position w:val="1"/>
        </w:rPr>
        <w:t>is</w:t>
      </w:r>
      <w:r>
        <w:rPr>
          <w:rFonts w:ascii="Cambria"/>
          <w:spacing w:val="-1"/>
          <w:position w:val="1"/>
        </w:rPr>
        <w:t> </w:t>
      </w:r>
      <w:r>
        <w:rPr>
          <w:rFonts w:ascii="Cambria"/>
          <w:position w:val="1"/>
        </w:rPr>
        <w:t>not significant</w:t>
      </w:r>
      <w:r>
        <w:rPr>
          <w:rFonts w:ascii="Cambria"/>
          <w:spacing w:val="-2"/>
          <w:position w:val="1"/>
        </w:rPr>
        <w:t> </w:t>
      </w:r>
      <w:r>
        <w:rPr>
          <w:rFonts w:ascii="Cambria"/>
          <w:position w:val="1"/>
        </w:rPr>
        <w:t>H</w:t>
      </w:r>
      <w:r>
        <w:rPr>
          <w:rFonts w:ascii="Cambria"/>
          <w:sz w:val="16"/>
        </w:rPr>
        <w:t>1</w:t>
      </w:r>
      <w:r>
        <w:rPr>
          <w:rFonts w:ascii="Cambria"/>
          <w:position w:val="1"/>
        </w:rPr>
        <w:t>:</w:t>
      </w:r>
      <w:r>
        <w:rPr>
          <w:rFonts w:ascii="Cambria"/>
          <w:spacing w:val="80"/>
          <w:position w:val="1"/>
        </w:rPr>
        <w:t> </w:t>
      </w:r>
      <w:r>
        <w:rPr>
          <w:rFonts w:ascii="Cambria"/>
          <w:position w:val="1"/>
        </w:rPr>
        <w:t>The</w:t>
      </w:r>
      <w:r>
        <w:rPr>
          <w:rFonts w:ascii="Cambria"/>
          <w:spacing w:val="40"/>
          <w:position w:val="1"/>
        </w:rPr>
        <w:t> </w:t>
      </w:r>
      <w:r>
        <w:rPr>
          <w:rFonts w:ascii="Cambria"/>
          <w:position w:val="1"/>
        </w:rPr>
        <w:t>overall</w:t>
      </w:r>
      <w:r>
        <w:rPr>
          <w:rFonts w:ascii="Cambria"/>
          <w:spacing w:val="40"/>
          <w:position w:val="1"/>
        </w:rPr>
        <w:t> </w:t>
      </w:r>
      <w:r>
        <w:rPr>
          <w:rFonts w:ascii="Cambria"/>
          <w:position w:val="1"/>
        </w:rPr>
        <w:t>model</w:t>
      </w:r>
      <w:r>
        <w:rPr>
          <w:rFonts w:ascii="Cambria"/>
          <w:spacing w:val="40"/>
          <w:position w:val="1"/>
        </w:rPr>
        <w:t> </w:t>
      </w:r>
      <w:r>
        <w:rPr>
          <w:rFonts w:ascii="Cambria"/>
          <w:position w:val="1"/>
        </w:rPr>
        <w:t>is</w:t>
      </w:r>
      <w:r>
        <w:rPr>
          <w:rFonts w:ascii="Cambria"/>
          <w:spacing w:val="40"/>
          <w:position w:val="1"/>
        </w:rPr>
        <w:t> </w:t>
      </w:r>
      <w:r>
        <w:rPr>
          <w:rFonts w:ascii="Cambria"/>
          <w:position w:val="1"/>
        </w:rPr>
        <w:t>significant.</w:t>
      </w:r>
      <w:r>
        <w:rPr>
          <w:rFonts w:ascii="Cambria"/>
          <w:spacing w:val="40"/>
          <w:position w:val="1"/>
        </w:rPr>
        <w:t> </w:t>
      </w:r>
      <w:r>
        <w:rPr>
          <w:rFonts w:ascii="Cambria"/>
          <w:position w:val="1"/>
        </w:rPr>
        <w:t>The </w:t>
      </w:r>
      <w:r>
        <w:rPr>
          <w:rFonts w:ascii="Cambria"/>
        </w:rPr>
        <w:t>decision rule is to accept the alternative hypothesis if the F-calculated is greater than F-tabulated and vice versa.</w:t>
      </w:r>
      <w:r>
        <w:rPr>
          <w:rFonts w:ascii="Cambria"/>
          <w:spacing w:val="40"/>
        </w:rPr>
        <w:t> </w:t>
      </w:r>
      <w:r>
        <w:rPr>
          <w:rFonts w:ascii="Cambria"/>
        </w:rPr>
        <w:t>For this model, </w:t>
      </w:r>
      <w:r>
        <w:rPr/>
        <w:t>The F-statistic caculatedvalue is 89.18940 while the F-tabulated value 2.27, hence the accept Ho:</w:t>
      </w:r>
      <w:r>
        <w:rPr>
          <w:spacing w:val="40"/>
        </w:rPr>
        <w:t> </w:t>
      </w:r>
      <w:r>
        <w:rPr/>
        <w:t>ie the model is statistically significant.</w:t>
      </w:r>
    </w:p>
    <w:p>
      <w:pPr>
        <w:pStyle w:val="Heading6"/>
        <w:spacing w:before="1"/>
        <w:rPr>
          <w:rFonts w:ascii="Cambria"/>
        </w:rPr>
      </w:pPr>
      <w:r>
        <w:rPr>
          <w:rFonts w:ascii="Cambria"/>
        </w:rPr>
        <w:t>4.5.5</w:t>
      </w:r>
      <w:r>
        <w:rPr>
          <w:rFonts w:ascii="Cambria"/>
          <w:spacing w:val="-4"/>
        </w:rPr>
        <w:t> </w:t>
      </w:r>
      <w:r>
        <w:rPr>
          <w:rFonts w:ascii="Cambria"/>
        </w:rPr>
        <w:t>Tests</w:t>
      </w:r>
      <w:r>
        <w:rPr>
          <w:rFonts w:ascii="Cambria"/>
          <w:spacing w:val="-5"/>
        </w:rPr>
        <w:t> </w:t>
      </w:r>
      <w:r>
        <w:rPr>
          <w:rFonts w:ascii="Cambria"/>
        </w:rPr>
        <w:t>for</w:t>
      </w:r>
      <w:r>
        <w:rPr>
          <w:rFonts w:ascii="Cambria"/>
          <w:spacing w:val="-4"/>
        </w:rPr>
        <w:t> </w:t>
      </w:r>
      <w:r>
        <w:rPr>
          <w:rFonts w:ascii="Cambria"/>
        </w:rPr>
        <w:t>Overall</w:t>
      </w:r>
      <w:r>
        <w:rPr>
          <w:rFonts w:ascii="Cambria"/>
          <w:spacing w:val="-4"/>
        </w:rPr>
        <w:t> </w:t>
      </w:r>
      <w:r>
        <w:rPr>
          <w:rFonts w:ascii="Cambria"/>
        </w:rPr>
        <w:t>Significance</w:t>
      </w:r>
      <w:r>
        <w:rPr>
          <w:rFonts w:ascii="Cambria"/>
          <w:spacing w:val="-4"/>
        </w:rPr>
        <w:t> </w:t>
      </w:r>
      <w:r>
        <w:rPr>
          <w:rFonts w:ascii="Cambria"/>
        </w:rPr>
        <w:t>of</w:t>
      </w:r>
      <w:r>
        <w:rPr>
          <w:rFonts w:ascii="Cambria"/>
          <w:spacing w:val="-3"/>
        </w:rPr>
        <w:t> </w:t>
      </w:r>
      <w:r>
        <w:rPr>
          <w:rFonts w:ascii="Cambria"/>
        </w:rPr>
        <w:t>Model</w:t>
      </w:r>
      <w:r>
        <w:rPr>
          <w:rFonts w:ascii="Cambria"/>
          <w:spacing w:val="-5"/>
        </w:rPr>
        <w:t> 1B.</w:t>
      </w:r>
    </w:p>
    <w:p>
      <w:pPr>
        <w:pStyle w:val="BodyText"/>
        <w:spacing w:before="1"/>
        <w:rPr>
          <w:rFonts w:ascii="Cambria"/>
          <w:b/>
        </w:rPr>
      </w:pPr>
    </w:p>
    <w:p>
      <w:pPr>
        <w:pStyle w:val="BodyText"/>
        <w:spacing w:line="480" w:lineRule="auto"/>
        <w:ind w:left="711" w:right="471"/>
        <w:jc w:val="both"/>
        <w:rPr>
          <w:rFonts w:ascii="Cambria"/>
        </w:rPr>
      </w:pPr>
      <w:r>
        <w:rPr>
          <w:rFonts w:ascii="Cambria"/>
        </w:rPr>
        <w:t>The presence of autocorrelation is tested using the Durbin Watson test and it value is gotton from E- view analysis. The DW statistics gotten from the parsimonious model was used in other to obtain the most reliable result after all adjustment has been made.</w:t>
      </w:r>
    </w:p>
    <w:p>
      <w:pPr>
        <w:pStyle w:val="BodyText"/>
        <w:spacing w:line="480" w:lineRule="auto"/>
        <w:ind w:left="711" w:right="473"/>
        <w:jc w:val="both"/>
      </w:pPr>
      <w:r>
        <w:rPr>
          <w:rFonts w:ascii="Cambria"/>
        </w:rPr>
        <w:t>For model 1 (World Bank &amp; Erbe (1985), the value of DW statistics is </w:t>
      </w:r>
      <w:r>
        <w:rPr/>
        <w:t>1.772730 while the degree of freedom is 8 (9-1) and the number of year is 42 years</w:t>
      </w:r>
    </w:p>
    <w:p>
      <w:pPr>
        <w:spacing w:before="0"/>
        <w:ind w:left="711" w:right="0" w:firstLine="0"/>
        <w:jc w:val="both"/>
        <w:rPr>
          <w:sz w:val="24"/>
        </w:rPr>
      </w:pPr>
      <w:r>
        <w:rPr/>
        <mc:AlternateContent>
          <mc:Choice Requires="wps">
            <w:drawing>
              <wp:anchor distT="0" distB="0" distL="0" distR="0" allowOverlap="1" layoutInCell="1" locked="0" behindDoc="1" simplePos="0" relativeHeight="464177152">
                <wp:simplePos x="0" y="0"/>
                <wp:positionH relativeFrom="page">
                  <wp:posOffset>1530350</wp:posOffset>
                </wp:positionH>
                <wp:positionV relativeFrom="paragraph">
                  <wp:posOffset>883158</wp:posOffset>
                </wp:positionV>
                <wp:extent cx="735965" cy="179070"/>
                <wp:effectExtent l="0" t="0" r="0" b="0"/>
                <wp:wrapNone/>
                <wp:docPr id="150" name="Textbox 150"/>
                <wp:cNvGraphicFramePr>
                  <a:graphicFrameLocks/>
                </wp:cNvGraphicFramePr>
                <a:graphic>
                  <a:graphicData uri="http://schemas.microsoft.com/office/word/2010/wordprocessingShape">
                    <wps:wsp>
                      <wps:cNvPr id="150" name="Textbox 150"/>
                      <wps:cNvSpPr txBox="1"/>
                      <wps:spPr>
                        <a:xfrm>
                          <a:off x="0" y="0"/>
                          <a:ext cx="735965" cy="179070"/>
                        </a:xfrm>
                        <a:prstGeom prst="rect">
                          <a:avLst/>
                        </a:prstGeom>
                      </wps:spPr>
                      <wps:txbx>
                        <w:txbxContent>
                          <w:p>
                            <w:pPr>
                              <w:pStyle w:val="BodyText"/>
                              <w:rPr>
                                <w:rFonts w:ascii="Cambria"/>
                              </w:rPr>
                            </w:pPr>
                            <w:r>
                              <w:rPr>
                                <w:rFonts w:ascii="Cambria"/>
                              </w:rPr>
                              <w:t>Incon</w:t>
                            </w:r>
                            <w:r>
                              <w:rPr>
                                <w:rFonts w:ascii="Cambria"/>
                                <w:spacing w:val="-6"/>
                              </w:rPr>
                              <w:t> </w:t>
                            </w:r>
                            <w:r>
                              <w:rPr>
                                <w:rFonts w:ascii="Cambria"/>
                                <w:spacing w:val="-2"/>
                              </w:rPr>
                              <w:t>regio</w:t>
                            </w:r>
                          </w:p>
                        </w:txbxContent>
                      </wps:txbx>
                      <wps:bodyPr wrap="square" lIns="0" tIns="0" rIns="0" bIns="0" rtlCol="0">
                        <a:noAutofit/>
                      </wps:bodyPr>
                    </wps:wsp>
                  </a:graphicData>
                </a:graphic>
              </wp:anchor>
            </w:drawing>
          </mc:Choice>
          <mc:Fallback>
            <w:pict>
              <v:shape style="position:absolute;margin-left:120.5pt;margin-top:69.540077pt;width:57.95pt;height:14.1pt;mso-position-horizontal-relative:page;mso-position-vertical-relative:paragraph;z-index:-39139328" type="#_x0000_t202" id="docshape136" filled="false" stroked="false">
                <v:textbox inset="0,0,0,0">
                  <w:txbxContent>
                    <w:p>
                      <w:pPr>
                        <w:pStyle w:val="BodyText"/>
                        <w:rPr>
                          <w:rFonts w:ascii="Cambria"/>
                        </w:rPr>
                      </w:pPr>
                      <w:r>
                        <w:rPr>
                          <w:rFonts w:ascii="Cambria"/>
                        </w:rPr>
                        <w:t>Incon</w:t>
                      </w:r>
                      <w:r>
                        <w:rPr>
                          <w:rFonts w:ascii="Cambria"/>
                          <w:spacing w:val="-6"/>
                        </w:rPr>
                        <w:t> </w:t>
                      </w:r>
                      <w:r>
                        <w:rPr>
                          <w:rFonts w:ascii="Cambria"/>
                          <w:spacing w:val="-2"/>
                        </w:rPr>
                        <w:t>regio</w:t>
                      </w:r>
                    </w:p>
                  </w:txbxContent>
                </v:textbox>
                <w10:wrap type="none"/>
              </v:shape>
            </w:pict>
          </mc:Fallback>
        </mc:AlternateContent>
      </w:r>
      <w:r>
        <w:rPr/>
        <mc:AlternateContent>
          <mc:Choice Requires="wps">
            <w:drawing>
              <wp:anchor distT="0" distB="0" distL="0" distR="0" allowOverlap="1" layoutInCell="1" locked="0" behindDoc="1" simplePos="0" relativeHeight="464177664">
                <wp:simplePos x="0" y="0"/>
                <wp:positionH relativeFrom="page">
                  <wp:posOffset>2265975</wp:posOffset>
                </wp:positionH>
                <wp:positionV relativeFrom="paragraph">
                  <wp:posOffset>883158</wp:posOffset>
                </wp:positionV>
                <wp:extent cx="245745" cy="179070"/>
                <wp:effectExtent l="0" t="0" r="0" b="0"/>
                <wp:wrapNone/>
                <wp:docPr id="151" name="Textbox 151"/>
                <wp:cNvGraphicFramePr>
                  <a:graphicFrameLocks/>
                </wp:cNvGraphicFramePr>
                <a:graphic>
                  <a:graphicData uri="http://schemas.microsoft.com/office/word/2010/wordprocessingShape">
                    <wps:wsp>
                      <wps:cNvPr id="151" name="Textbox 151"/>
                      <wps:cNvSpPr txBox="1"/>
                      <wps:spPr>
                        <a:xfrm>
                          <a:off x="0" y="0"/>
                          <a:ext cx="245745" cy="179070"/>
                        </a:xfrm>
                        <a:prstGeom prst="rect">
                          <a:avLst/>
                        </a:prstGeom>
                      </wps:spPr>
                      <wps:txbx>
                        <w:txbxContent>
                          <w:p>
                            <w:pPr>
                              <w:pStyle w:val="BodyText"/>
                              <w:rPr>
                                <w:rFonts w:ascii="Cambria"/>
                              </w:rPr>
                            </w:pPr>
                            <w:r>
                              <w:rPr>
                                <w:rFonts w:ascii="Cambria"/>
                              </w:rPr>
                              <w:t>n</w:t>
                            </w:r>
                            <w:r>
                              <w:rPr>
                                <w:rFonts w:ascii="Cambria"/>
                                <w:spacing w:val="-1"/>
                              </w:rPr>
                              <w:t> </w:t>
                            </w:r>
                            <w:r>
                              <w:rPr>
                                <w:rFonts w:ascii="Cambria"/>
                                <w:spacing w:val="-7"/>
                              </w:rPr>
                              <w:t>of</w:t>
                            </w:r>
                          </w:p>
                        </w:txbxContent>
                      </wps:txbx>
                      <wps:bodyPr wrap="square" lIns="0" tIns="0" rIns="0" bIns="0" rtlCol="0">
                        <a:noAutofit/>
                      </wps:bodyPr>
                    </wps:wsp>
                  </a:graphicData>
                </a:graphic>
              </wp:anchor>
            </w:drawing>
          </mc:Choice>
          <mc:Fallback>
            <w:pict>
              <v:shape style="position:absolute;margin-left:178.423248pt;margin-top:69.540077pt;width:19.350pt;height:14.1pt;mso-position-horizontal-relative:page;mso-position-vertical-relative:paragraph;z-index:-39138816" type="#_x0000_t202" id="docshape137" filled="false" stroked="false">
                <v:textbox inset="0,0,0,0">
                  <w:txbxContent>
                    <w:p>
                      <w:pPr>
                        <w:pStyle w:val="BodyText"/>
                        <w:rPr>
                          <w:rFonts w:ascii="Cambria"/>
                        </w:rPr>
                      </w:pPr>
                      <w:r>
                        <w:rPr>
                          <w:rFonts w:ascii="Cambria"/>
                        </w:rPr>
                        <w:t>n</w:t>
                      </w:r>
                      <w:r>
                        <w:rPr>
                          <w:rFonts w:ascii="Cambria"/>
                          <w:spacing w:val="-1"/>
                        </w:rPr>
                        <w:t> </w:t>
                      </w:r>
                      <w:r>
                        <w:rPr>
                          <w:rFonts w:ascii="Cambria"/>
                          <w:spacing w:val="-7"/>
                        </w:rPr>
                        <w:t>of</w:t>
                      </w:r>
                    </w:p>
                  </w:txbxContent>
                </v:textbox>
                <w10:wrap type="none"/>
              </v:shape>
            </w:pict>
          </mc:Fallback>
        </mc:AlternateContent>
      </w:r>
      <w:r>
        <w:rPr>
          <w:b/>
          <w:sz w:val="24"/>
        </w:rPr>
        <w:t>Figure</w:t>
      </w:r>
      <w:r>
        <w:rPr>
          <w:b/>
          <w:spacing w:val="-4"/>
          <w:sz w:val="24"/>
        </w:rPr>
        <w:t> </w:t>
      </w:r>
      <w:r>
        <w:rPr>
          <w:spacing w:val="-5"/>
          <w:sz w:val="24"/>
        </w:rPr>
        <w:t>4.6</w:t>
      </w:r>
    </w:p>
    <w:p>
      <w:pPr>
        <w:pStyle w:val="BodyText"/>
        <w:rPr>
          <w:sz w:val="20"/>
        </w:rPr>
      </w:pPr>
    </w:p>
    <w:p>
      <w:pPr>
        <w:pStyle w:val="BodyText"/>
        <w:spacing w:before="125"/>
        <w:rPr>
          <w:sz w:val="20"/>
        </w:rPr>
      </w:pPr>
      <w:r>
        <w:rPr/>
        <mc:AlternateContent>
          <mc:Choice Requires="wps">
            <w:drawing>
              <wp:anchor distT="0" distB="0" distL="0" distR="0" allowOverlap="1" layoutInCell="1" locked="0" behindDoc="1" simplePos="0" relativeHeight="487612928">
                <wp:simplePos x="0" y="0"/>
                <wp:positionH relativeFrom="page">
                  <wp:posOffset>653795</wp:posOffset>
                </wp:positionH>
                <wp:positionV relativeFrom="paragraph">
                  <wp:posOffset>240652</wp:posOffset>
                </wp:positionV>
                <wp:extent cx="5652135" cy="3362960"/>
                <wp:effectExtent l="0" t="0" r="0" b="0"/>
                <wp:wrapTopAndBottom/>
                <wp:docPr id="152" name="Group 152"/>
                <wp:cNvGraphicFramePr>
                  <a:graphicFrameLocks/>
                </wp:cNvGraphicFramePr>
                <a:graphic>
                  <a:graphicData uri="http://schemas.microsoft.com/office/word/2010/wordprocessingGroup">
                    <wpg:wgp>
                      <wpg:cNvPr id="152" name="Group 152"/>
                      <wpg:cNvGrpSpPr/>
                      <wpg:grpSpPr>
                        <a:xfrm>
                          <a:off x="0" y="0"/>
                          <a:ext cx="5652135" cy="3362960"/>
                          <a:chExt cx="5652135" cy="3362960"/>
                        </a:xfrm>
                      </wpg:grpSpPr>
                      <wps:wsp>
                        <wps:cNvPr id="153" name="Graphic 153"/>
                        <wps:cNvSpPr/>
                        <wps:spPr>
                          <a:xfrm>
                            <a:off x="79628" y="743244"/>
                            <a:ext cx="5286375" cy="2257425"/>
                          </a:xfrm>
                          <a:custGeom>
                            <a:avLst/>
                            <a:gdLst/>
                            <a:ahLst/>
                            <a:cxnLst/>
                            <a:rect l="l" t="t" r="r" b="b"/>
                            <a:pathLst>
                              <a:path w="5286375" h="2257425">
                                <a:moveTo>
                                  <a:pt x="0" y="2257155"/>
                                </a:moveTo>
                                <a:lnTo>
                                  <a:pt x="37966" y="2214626"/>
                                </a:lnTo>
                                <a:lnTo>
                                  <a:pt x="75923" y="2172116"/>
                                </a:lnTo>
                                <a:lnTo>
                                  <a:pt x="113860" y="2129644"/>
                                </a:lnTo>
                                <a:lnTo>
                                  <a:pt x="151765" y="2087227"/>
                                </a:lnTo>
                                <a:lnTo>
                                  <a:pt x="189627" y="2044885"/>
                                </a:lnTo>
                                <a:lnTo>
                                  <a:pt x="227435" y="2002637"/>
                                </a:lnTo>
                                <a:lnTo>
                                  <a:pt x="265179" y="1960501"/>
                                </a:lnTo>
                                <a:lnTo>
                                  <a:pt x="302845" y="1918496"/>
                                </a:lnTo>
                                <a:lnTo>
                                  <a:pt x="340424" y="1876641"/>
                                </a:lnTo>
                                <a:lnTo>
                                  <a:pt x="377905" y="1834954"/>
                                </a:lnTo>
                                <a:lnTo>
                                  <a:pt x="415275" y="1793453"/>
                                </a:lnTo>
                                <a:lnTo>
                                  <a:pt x="452524" y="1752159"/>
                                </a:lnTo>
                                <a:lnTo>
                                  <a:pt x="489640" y="1711089"/>
                                </a:lnTo>
                                <a:lnTo>
                                  <a:pt x="526612" y="1670261"/>
                                </a:lnTo>
                                <a:lnTo>
                                  <a:pt x="563430" y="1629696"/>
                                </a:lnTo>
                                <a:lnTo>
                                  <a:pt x="600082" y="1589411"/>
                                </a:lnTo>
                                <a:lnTo>
                                  <a:pt x="636556" y="1549424"/>
                                </a:lnTo>
                                <a:lnTo>
                                  <a:pt x="672842" y="1509756"/>
                                </a:lnTo>
                                <a:lnTo>
                                  <a:pt x="708927" y="1470424"/>
                                </a:lnTo>
                                <a:lnTo>
                                  <a:pt x="744802" y="1431447"/>
                                </a:lnTo>
                                <a:lnTo>
                                  <a:pt x="780455" y="1392845"/>
                                </a:lnTo>
                                <a:lnTo>
                                  <a:pt x="815874" y="1354634"/>
                                </a:lnTo>
                                <a:lnTo>
                                  <a:pt x="851049" y="1316835"/>
                                </a:lnTo>
                                <a:lnTo>
                                  <a:pt x="885968" y="1279466"/>
                                </a:lnTo>
                                <a:lnTo>
                                  <a:pt x="920619" y="1242545"/>
                                </a:lnTo>
                                <a:lnTo>
                                  <a:pt x="954993" y="1206091"/>
                                </a:lnTo>
                                <a:lnTo>
                                  <a:pt x="989077" y="1170124"/>
                                </a:lnTo>
                                <a:lnTo>
                                  <a:pt x="1022860" y="1134661"/>
                                </a:lnTo>
                                <a:lnTo>
                                  <a:pt x="1056331" y="1099721"/>
                                </a:lnTo>
                                <a:lnTo>
                                  <a:pt x="1089479" y="1065324"/>
                                </a:lnTo>
                                <a:lnTo>
                                  <a:pt x="1122293" y="1031487"/>
                                </a:lnTo>
                                <a:lnTo>
                                  <a:pt x="1154762" y="998229"/>
                                </a:lnTo>
                                <a:lnTo>
                                  <a:pt x="1186873" y="965570"/>
                                </a:lnTo>
                                <a:lnTo>
                                  <a:pt x="1218617" y="933527"/>
                                </a:lnTo>
                                <a:lnTo>
                                  <a:pt x="1249981" y="902120"/>
                                </a:lnTo>
                                <a:lnTo>
                                  <a:pt x="1280955" y="871366"/>
                                </a:lnTo>
                                <a:lnTo>
                                  <a:pt x="1311527" y="841286"/>
                                </a:lnTo>
                                <a:lnTo>
                                  <a:pt x="1341687" y="811897"/>
                                </a:lnTo>
                                <a:lnTo>
                                  <a:pt x="1371422" y="783219"/>
                                </a:lnTo>
                                <a:lnTo>
                                  <a:pt x="1400723" y="755269"/>
                                </a:lnTo>
                                <a:lnTo>
                                  <a:pt x="1429576" y="728067"/>
                                </a:lnTo>
                                <a:lnTo>
                                  <a:pt x="1457972" y="701631"/>
                                </a:lnTo>
                                <a:lnTo>
                                  <a:pt x="1541659" y="625898"/>
                                </a:lnTo>
                                <a:lnTo>
                                  <a:pt x="1595598" y="578965"/>
                                </a:lnTo>
                                <a:lnTo>
                                  <a:pt x="1647797" y="535032"/>
                                </a:lnTo>
                                <a:lnTo>
                                  <a:pt x="1698335" y="493947"/>
                                </a:lnTo>
                                <a:lnTo>
                                  <a:pt x="1747294" y="455560"/>
                                </a:lnTo>
                                <a:lnTo>
                                  <a:pt x="1794754" y="419721"/>
                                </a:lnTo>
                                <a:lnTo>
                                  <a:pt x="1840794" y="386279"/>
                                </a:lnTo>
                                <a:lnTo>
                                  <a:pt x="1885495" y="355082"/>
                                </a:lnTo>
                                <a:lnTo>
                                  <a:pt x="1928937" y="325982"/>
                                </a:lnTo>
                                <a:lnTo>
                                  <a:pt x="1971200" y="298826"/>
                                </a:lnTo>
                                <a:lnTo>
                                  <a:pt x="2012365" y="273465"/>
                                </a:lnTo>
                                <a:lnTo>
                                  <a:pt x="2052512" y="249748"/>
                                </a:lnTo>
                                <a:lnTo>
                                  <a:pt x="2091721" y="227525"/>
                                </a:lnTo>
                                <a:lnTo>
                                  <a:pt x="2130072" y="206644"/>
                                </a:lnTo>
                                <a:lnTo>
                                  <a:pt x="2167645" y="186956"/>
                                </a:lnTo>
                                <a:lnTo>
                                  <a:pt x="2204521" y="168309"/>
                                </a:lnTo>
                                <a:lnTo>
                                  <a:pt x="2240780" y="150553"/>
                                </a:lnTo>
                                <a:lnTo>
                                  <a:pt x="2276502" y="133538"/>
                                </a:lnTo>
                                <a:lnTo>
                                  <a:pt x="2311768" y="117113"/>
                                </a:lnTo>
                                <a:lnTo>
                                  <a:pt x="2346657" y="101127"/>
                                </a:lnTo>
                                <a:lnTo>
                                  <a:pt x="2443853" y="58687"/>
                                </a:lnTo>
                                <a:lnTo>
                                  <a:pt x="2500759" y="37677"/>
                                </a:lnTo>
                                <a:lnTo>
                                  <a:pt x="2553043" y="21869"/>
                                </a:lnTo>
                                <a:lnTo>
                                  <a:pt x="2601777" y="10730"/>
                                </a:lnTo>
                                <a:lnTo>
                                  <a:pt x="2648035" y="3726"/>
                                </a:lnTo>
                                <a:lnTo>
                                  <a:pt x="2692891" y="327"/>
                                </a:lnTo>
                                <a:lnTo>
                                  <a:pt x="2737417" y="0"/>
                                </a:lnTo>
                                <a:lnTo>
                                  <a:pt x="2782688" y="2211"/>
                                </a:lnTo>
                                <a:lnTo>
                                  <a:pt x="2829776" y="6429"/>
                                </a:lnTo>
                                <a:lnTo>
                                  <a:pt x="2879756" y="12121"/>
                                </a:lnTo>
                                <a:lnTo>
                                  <a:pt x="2933700" y="18755"/>
                                </a:lnTo>
                                <a:lnTo>
                                  <a:pt x="2978786" y="24854"/>
                                </a:lnTo>
                                <a:lnTo>
                                  <a:pt x="3025439" y="32290"/>
                                </a:lnTo>
                                <a:lnTo>
                                  <a:pt x="3073417" y="41094"/>
                                </a:lnTo>
                                <a:lnTo>
                                  <a:pt x="3122478" y="51301"/>
                                </a:lnTo>
                                <a:lnTo>
                                  <a:pt x="3172380" y="62943"/>
                                </a:lnTo>
                                <a:lnTo>
                                  <a:pt x="3222882" y="76055"/>
                                </a:lnTo>
                                <a:lnTo>
                                  <a:pt x="3273742" y="90668"/>
                                </a:lnTo>
                                <a:lnTo>
                                  <a:pt x="3324719" y="106818"/>
                                </a:lnTo>
                                <a:lnTo>
                                  <a:pt x="3375571" y="124536"/>
                                </a:lnTo>
                                <a:lnTo>
                                  <a:pt x="3426056" y="143857"/>
                                </a:lnTo>
                                <a:lnTo>
                                  <a:pt x="3475933" y="164813"/>
                                </a:lnTo>
                                <a:lnTo>
                                  <a:pt x="3524960" y="187439"/>
                                </a:lnTo>
                                <a:lnTo>
                                  <a:pt x="3572896" y="211766"/>
                                </a:lnTo>
                                <a:lnTo>
                                  <a:pt x="3619500" y="237830"/>
                                </a:lnTo>
                                <a:lnTo>
                                  <a:pt x="3658455" y="260842"/>
                                </a:lnTo>
                                <a:lnTo>
                                  <a:pt x="3695342" y="283044"/>
                                </a:lnTo>
                                <a:lnTo>
                                  <a:pt x="3730562" y="304903"/>
                                </a:lnTo>
                                <a:lnTo>
                                  <a:pt x="3764518" y="326888"/>
                                </a:lnTo>
                                <a:lnTo>
                                  <a:pt x="3797610" y="349469"/>
                                </a:lnTo>
                                <a:lnTo>
                                  <a:pt x="3830240" y="373114"/>
                                </a:lnTo>
                                <a:lnTo>
                                  <a:pt x="3862811" y="398292"/>
                                </a:lnTo>
                                <a:lnTo>
                                  <a:pt x="3895725" y="425472"/>
                                </a:lnTo>
                                <a:lnTo>
                                  <a:pt x="3929382" y="455122"/>
                                </a:lnTo>
                                <a:lnTo>
                                  <a:pt x="3964185" y="487712"/>
                                </a:lnTo>
                                <a:lnTo>
                                  <a:pt x="4000537" y="523710"/>
                                </a:lnTo>
                                <a:lnTo>
                                  <a:pt x="4038838" y="563585"/>
                                </a:lnTo>
                                <a:lnTo>
                                  <a:pt x="4079490" y="607805"/>
                                </a:lnTo>
                                <a:lnTo>
                                  <a:pt x="4122896" y="656840"/>
                                </a:lnTo>
                                <a:lnTo>
                                  <a:pt x="4169457" y="711159"/>
                                </a:lnTo>
                                <a:lnTo>
                                  <a:pt x="4219575" y="771230"/>
                                </a:lnTo>
                                <a:lnTo>
                                  <a:pt x="4268785" y="832345"/>
                                </a:lnTo>
                                <a:lnTo>
                                  <a:pt x="4295463" y="866436"/>
                                </a:lnTo>
                                <a:lnTo>
                                  <a:pt x="4323390" y="902672"/>
                                </a:lnTo>
                                <a:lnTo>
                                  <a:pt x="4352470" y="940898"/>
                                </a:lnTo>
                                <a:lnTo>
                                  <a:pt x="4382602" y="980956"/>
                                </a:lnTo>
                                <a:lnTo>
                                  <a:pt x="4413688" y="1022690"/>
                                </a:lnTo>
                                <a:lnTo>
                                  <a:pt x="4445629" y="1065943"/>
                                </a:lnTo>
                                <a:lnTo>
                                  <a:pt x="4478327" y="1110558"/>
                                </a:lnTo>
                                <a:lnTo>
                                  <a:pt x="4511683" y="1156379"/>
                                </a:lnTo>
                                <a:lnTo>
                                  <a:pt x="4545597" y="1203248"/>
                                </a:lnTo>
                                <a:lnTo>
                                  <a:pt x="4579972" y="1251008"/>
                                </a:lnTo>
                                <a:lnTo>
                                  <a:pt x="4614709" y="1299504"/>
                                </a:lnTo>
                                <a:lnTo>
                                  <a:pt x="4649708" y="1348578"/>
                                </a:lnTo>
                                <a:lnTo>
                                  <a:pt x="4684872" y="1398074"/>
                                </a:lnTo>
                                <a:lnTo>
                                  <a:pt x="4720101" y="1447834"/>
                                </a:lnTo>
                                <a:lnTo>
                                  <a:pt x="4755297" y="1497701"/>
                                </a:lnTo>
                                <a:lnTo>
                                  <a:pt x="4790360" y="1547520"/>
                                </a:lnTo>
                                <a:lnTo>
                                  <a:pt x="4825193" y="1597134"/>
                                </a:lnTo>
                                <a:lnTo>
                                  <a:pt x="4859696" y="1646384"/>
                                </a:lnTo>
                                <a:lnTo>
                                  <a:pt x="4893771" y="1695116"/>
                                </a:lnTo>
                                <a:lnTo>
                                  <a:pt x="4927320" y="1743171"/>
                                </a:lnTo>
                                <a:lnTo>
                                  <a:pt x="4960242" y="1790393"/>
                                </a:lnTo>
                                <a:lnTo>
                                  <a:pt x="4992440" y="1836626"/>
                                </a:lnTo>
                                <a:lnTo>
                                  <a:pt x="5023815" y="1881712"/>
                                </a:lnTo>
                                <a:lnTo>
                                  <a:pt x="5054268" y="1925495"/>
                                </a:lnTo>
                                <a:lnTo>
                                  <a:pt x="5083700" y="1967819"/>
                                </a:lnTo>
                                <a:lnTo>
                                  <a:pt x="5112013" y="2008525"/>
                                </a:lnTo>
                                <a:lnTo>
                                  <a:pt x="5139108" y="2047457"/>
                                </a:lnTo>
                                <a:lnTo>
                                  <a:pt x="5164887" y="2084460"/>
                                </a:lnTo>
                                <a:lnTo>
                                  <a:pt x="5189249" y="2119375"/>
                                </a:lnTo>
                                <a:lnTo>
                                  <a:pt x="5212098" y="2152046"/>
                                </a:lnTo>
                                <a:lnTo>
                                  <a:pt x="5252857" y="2210029"/>
                                </a:lnTo>
                                <a:lnTo>
                                  <a:pt x="5270570" y="2235028"/>
                                </a:lnTo>
                                <a:lnTo>
                                  <a:pt x="5286375" y="2257155"/>
                                </a:lnTo>
                              </a:path>
                            </a:pathLst>
                          </a:custGeom>
                          <a:ln w="19050">
                            <a:solidFill>
                              <a:srgbClr val="000000"/>
                            </a:solidFill>
                            <a:prstDash val="solid"/>
                          </a:ln>
                        </wps:spPr>
                        <wps:bodyPr wrap="square" lIns="0" tIns="0" rIns="0" bIns="0" rtlCol="0">
                          <a:prstTxWarp prst="textNoShape">
                            <a:avLst/>
                          </a:prstTxWarp>
                          <a:noAutofit/>
                        </wps:bodyPr>
                      </wps:wsp>
                      <wps:wsp>
                        <wps:cNvPr id="154" name="Graphic 154"/>
                        <wps:cNvSpPr/>
                        <wps:spPr>
                          <a:xfrm>
                            <a:off x="41529" y="0"/>
                            <a:ext cx="5610225" cy="3048635"/>
                          </a:xfrm>
                          <a:custGeom>
                            <a:avLst/>
                            <a:gdLst/>
                            <a:ahLst/>
                            <a:cxnLst/>
                            <a:rect l="l" t="t" r="r" b="b"/>
                            <a:pathLst>
                              <a:path w="5610225" h="3048635">
                                <a:moveTo>
                                  <a:pt x="5610225" y="3009925"/>
                                </a:moveTo>
                                <a:lnTo>
                                  <a:pt x="5600700" y="3005163"/>
                                </a:lnTo>
                                <a:lnTo>
                                  <a:pt x="5534025" y="2971825"/>
                                </a:lnTo>
                                <a:lnTo>
                                  <a:pt x="5534025" y="3005163"/>
                                </a:lnTo>
                                <a:lnTo>
                                  <a:pt x="42862" y="3005163"/>
                                </a:lnTo>
                                <a:lnTo>
                                  <a:pt x="42862" y="76200"/>
                                </a:lnTo>
                                <a:lnTo>
                                  <a:pt x="76200" y="76200"/>
                                </a:lnTo>
                                <a:lnTo>
                                  <a:pt x="69850" y="63500"/>
                                </a:lnTo>
                                <a:lnTo>
                                  <a:pt x="38100" y="0"/>
                                </a:lnTo>
                                <a:lnTo>
                                  <a:pt x="0" y="76200"/>
                                </a:lnTo>
                                <a:lnTo>
                                  <a:pt x="33337" y="76200"/>
                                </a:lnTo>
                                <a:lnTo>
                                  <a:pt x="33337" y="3009925"/>
                                </a:lnTo>
                                <a:lnTo>
                                  <a:pt x="38100" y="3009925"/>
                                </a:lnTo>
                                <a:lnTo>
                                  <a:pt x="38100" y="3014688"/>
                                </a:lnTo>
                                <a:lnTo>
                                  <a:pt x="5534025" y="3014688"/>
                                </a:lnTo>
                                <a:lnTo>
                                  <a:pt x="5534025" y="3048025"/>
                                </a:lnTo>
                                <a:lnTo>
                                  <a:pt x="5600700" y="3014688"/>
                                </a:lnTo>
                                <a:lnTo>
                                  <a:pt x="5610225" y="3009925"/>
                                </a:lnTo>
                                <a:close/>
                              </a:path>
                            </a:pathLst>
                          </a:custGeom>
                          <a:solidFill>
                            <a:srgbClr val="000000"/>
                          </a:solidFill>
                        </wps:spPr>
                        <wps:bodyPr wrap="square" lIns="0" tIns="0" rIns="0" bIns="0" rtlCol="0">
                          <a:prstTxWarp prst="textNoShape">
                            <a:avLst/>
                          </a:prstTxWarp>
                          <a:noAutofit/>
                        </wps:bodyPr>
                      </wps:wsp>
                      <pic:pic>
                        <pic:nvPicPr>
                          <pic:cNvPr id="155" name="Image 155"/>
                          <pic:cNvPicPr/>
                        </pic:nvPicPr>
                        <pic:blipFill>
                          <a:blip r:embed="rId56" cstate="print"/>
                          <a:stretch>
                            <a:fillRect/>
                          </a:stretch>
                        </pic:blipFill>
                        <pic:spPr>
                          <a:xfrm>
                            <a:off x="79628" y="266725"/>
                            <a:ext cx="771525" cy="2743200"/>
                          </a:xfrm>
                          <a:prstGeom prst="rect">
                            <a:avLst/>
                          </a:prstGeom>
                        </pic:spPr>
                      </pic:pic>
                      <wps:wsp>
                        <wps:cNvPr id="156" name="Graphic 156"/>
                        <wps:cNvSpPr/>
                        <wps:spPr>
                          <a:xfrm>
                            <a:off x="79628" y="266725"/>
                            <a:ext cx="771525" cy="2743200"/>
                          </a:xfrm>
                          <a:custGeom>
                            <a:avLst/>
                            <a:gdLst/>
                            <a:ahLst/>
                            <a:cxnLst/>
                            <a:rect l="l" t="t" r="r" b="b"/>
                            <a:pathLst>
                              <a:path w="771525" h="2743200">
                                <a:moveTo>
                                  <a:pt x="0" y="2743200"/>
                                </a:moveTo>
                                <a:lnTo>
                                  <a:pt x="771525" y="2743200"/>
                                </a:lnTo>
                                <a:lnTo>
                                  <a:pt x="771525" y="0"/>
                                </a:lnTo>
                                <a:lnTo>
                                  <a:pt x="0" y="0"/>
                                </a:lnTo>
                                <a:lnTo>
                                  <a:pt x="0" y="2743200"/>
                                </a:lnTo>
                                <a:close/>
                              </a:path>
                            </a:pathLst>
                          </a:custGeom>
                          <a:ln w="9525">
                            <a:solidFill>
                              <a:srgbClr val="000000"/>
                            </a:solidFill>
                            <a:prstDash val="solid"/>
                          </a:ln>
                        </wps:spPr>
                        <wps:bodyPr wrap="square" lIns="0" tIns="0" rIns="0" bIns="0" rtlCol="0">
                          <a:prstTxWarp prst="textNoShape">
                            <a:avLst/>
                          </a:prstTxWarp>
                          <a:noAutofit/>
                        </wps:bodyPr>
                      </wps:wsp>
                      <wps:wsp>
                        <wps:cNvPr id="157" name="Graphic 157"/>
                        <wps:cNvSpPr/>
                        <wps:spPr>
                          <a:xfrm>
                            <a:off x="851153" y="266725"/>
                            <a:ext cx="771525" cy="2743200"/>
                          </a:xfrm>
                          <a:custGeom>
                            <a:avLst/>
                            <a:gdLst/>
                            <a:ahLst/>
                            <a:cxnLst/>
                            <a:rect l="l" t="t" r="r" b="b"/>
                            <a:pathLst>
                              <a:path w="771525" h="2743200">
                                <a:moveTo>
                                  <a:pt x="771525" y="0"/>
                                </a:moveTo>
                                <a:lnTo>
                                  <a:pt x="0" y="0"/>
                                </a:lnTo>
                                <a:lnTo>
                                  <a:pt x="0" y="2743200"/>
                                </a:lnTo>
                                <a:lnTo>
                                  <a:pt x="771525" y="2743200"/>
                                </a:lnTo>
                                <a:lnTo>
                                  <a:pt x="771525" y="0"/>
                                </a:lnTo>
                                <a:close/>
                              </a:path>
                            </a:pathLst>
                          </a:custGeom>
                          <a:solidFill>
                            <a:srgbClr val="FFFFFF"/>
                          </a:solidFill>
                        </wps:spPr>
                        <wps:bodyPr wrap="square" lIns="0" tIns="0" rIns="0" bIns="0" rtlCol="0">
                          <a:prstTxWarp prst="textNoShape">
                            <a:avLst/>
                          </a:prstTxWarp>
                          <a:noAutofit/>
                        </wps:bodyPr>
                      </wps:wsp>
                      <wps:wsp>
                        <wps:cNvPr id="158" name="Graphic 158"/>
                        <wps:cNvSpPr/>
                        <wps:spPr>
                          <a:xfrm>
                            <a:off x="851153" y="266725"/>
                            <a:ext cx="771525" cy="2743200"/>
                          </a:xfrm>
                          <a:custGeom>
                            <a:avLst/>
                            <a:gdLst/>
                            <a:ahLst/>
                            <a:cxnLst/>
                            <a:rect l="l" t="t" r="r" b="b"/>
                            <a:pathLst>
                              <a:path w="771525" h="2743200">
                                <a:moveTo>
                                  <a:pt x="0" y="2743200"/>
                                </a:moveTo>
                                <a:lnTo>
                                  <a:pt x="771525" y="2743200"/>
                                </a:lnTo>
                                <a:lnTo>
                                  <a:pt x="771525" y="0"/>
                                </a:lnTo>
                                <a:lnTo>
                                  <a:pt x="0" y="0"/>
                                </a:lnTo>
                                <a:lnTo>
                                  <a:pt x="0" y="2743200"/>
                                </a:lnTo>
                                <a:close/>
                              </a:path>
                            </a:pathLst>
                          </a:custGeom>
                          <a:ln w="9525">
                            <a:solidFill>
                              <a:srgbClr val="000000"/>
                            </a:solidFill>
                            <a:prstDash val="solid"/>
                          </a:ln>
                        </wps:spPr>
                        <wps:bodyPr wrap="square" lIns="0" tIns="0" rIns="0" bIns="0" rtlCol="0">
                          <a:prstTxWarp prst="textNoShape">
                            <a:avLst/>
                          </a:prstTxWarp>
                          <a:noAutofit/>
                        </wps:bodyPr>
                      </wps:wsp>
                      <wps:wsp>
                        <wps:cNvPr id="159" name="Graphic 159"/>
                        <wps:cNvSpPr/>
                        <wps:spPr>
                          <a:xfrm>
                            <a:off x="1622678" y="266725"/>
                            <a:ext cx="2076450" cy="2743200"/>
                          </a:xfrm>
                          <a:custGeom>
                            <a:avLst/>
                            <a:gdLst/>
                            <a:ahLst/>
                            <a:cxnLst/>
                            <a:rect l="l" t="t" r="r" b="b"/>
                            <a:pathLst>
                              <a:path w="2076450" h="2743200">
                                <a:moveTo>
                                  <a:pt x="2076450" y="0"/>
                                </a:moveTo>
                                <a:lnTo>
                                  <a:pt x="0" y="0"/>
                                </a:lnTo>
                                <a:lnTo>
                                  <a:pt x="0" y="2743200"/>
                                </a:lnTo>
                                <a:lnTo>
                                  <a:pt x="2076450" y="2743200"/>
                                </a:lnTo>
                                <a:lnTo>
                                  <a:pt x="2076450" y="0"/>
                                </a:lnTo>
                                <a:close/>
                              </a:path>
                            </a:pathLst>
                          </a:custGeom>
                          <a:solidFill>
                            <a:srgbClr val="FFFFFF"/>
                          </a:solidFill>
                        </wps:spPr>
                        <wps:bodyPr wrap="square" lIns="0" tIns="0" rIns="0" bIns="0" rtlCol="0">
                          <a:prstTxWarp prst="textNoShape">
                            <a:avLst/>
                          </a:prstTxWarp>
                          <a:noAutofit/>
                        </wps:bodyPr>
                      </wps:wsp>
                      <wps:wsp>
                        <wps:cNvPr id="160" name="Graphic 160"/>
                        <wps:cNvSpPr/>
                        <wps:spPr>
                          <a:xfrm>
                            <a:off x="1622678" y="266725"/>
                            <a:ext cx="2076450" cy="2743200"/>
                          </a:xfrm>
                          <a:custGeom>
                            <a:avLst/>
                            <a:gdLst/>
                            <a:ahLst/>
                            <a:cxnLst/>
                            <a:rect l="l" t="t" r="r" b="b"/>
                            <a:pathLst>
                              <a:path w="2076450" h="2743200">
                                <a:moveTo>
                                  <a:pt x="0" y="2743200"/>
                                </a:moveTo>
                                <a:lnTo>
                                  <a:pt x="2076450" y="2743200"/>
                                </a:lnTo>
                                <a:lnTo>
                                  <a:pt x="2076450" y="0"/>
                                </a:lnTo>
                                <a:lnTo>
                                  <a:pt x="0" y="0"/>
                                </a:lnTo>
                                <a:lnTo>
                                  <a:pt x="0" y="2743200"/>
                                </a:lnTo>
                                <a:close/>
                              </a:path>
                            </a:pathLst>
                          </a:custGeom>
                          <a:ln w="9525">
                            <a:solidFill>
                              <a:srgbClr val="000000"/>
                            </a:solidFill>
                            <a:prstDash val="solid"/>
                          </a:ln>
                        </wps:spPr>
                        <wps:bodyPr wrap="square" lIns="0" tIns="0" rIns="0" bIns="0" rtlCol="0">
                          <a:prstTxWarp prst="textNoShape">
                            <a:avLst/>
                          </a:prstTxWarp>
                          <a:noAutofit/>
                        </wps:bodyPr>
                      </wps:wsp>
                      <wps:wsp>
                        <wps:cNvPr id="161" name="Graphic 161"/>
                        <wps:cNvSpPr/>
                        <wps:spPr>
                          <a:xfrm>
                            <a:off x="3699128" y="266725"/>
                            <a:ext cx="847725" cy="2743200"/>
                          </a:xfrm>
                          <a:custGeom>
                            <a:avLst/>
                            <a:gdLst/>
                            <a:ahLst/>
                            <a:cxnLst/>
                            <a:rect l="l" t="t" r="r" b="b"/>
                            <a:pathLst>
                              <a:path w="847725" h="2743200">
                                <a:moveTo>
                                  <a:pt x="847725" y="0"/>
                                </a:moveTo>
                                <a:lnTo>
                                  <a:pt x="0" y="0"/>
                                </a:lnTo>
                                <a:lnTo>
                                  <a:pt x="0" y="2743200"/>
                                </a:lnTo>
                                <a:lnTo>
                                  <a:pt x="847725" y="2743200"/>
                                </a:lnTo>
                                <a:lnTo>
                                  <a:pt x="847725" y="0"/>
                                </a:lnTo>
                                <a:close/>
                              </a:path>
                            </a:pathLst>
                          </a:custGeom>
                          <a:solidFill>
                            <a:srgbClr val="FFFFFF"/>
                          </a:solidFill>
                        </wps:spPr>
                        <wps:bodyPr wrap="square" lIns="0" tIns="0" rIns="0" bIns="0" rtlCol="0">
                          <a:prstTxWarp prst="textNoShape">
                            <a:avLst/>
                          </a:prstTxWarp>
                          <a:noAutofit/>
                        </wps:bodyPr>
                      </wps:wsp>
                      <wps:wsp>
                        <wps:cNvPr id="162" name="Graphic 162"/>
                        <wps:cNvSpPr/>
                        <wps:spPr>
                          <a:xfrm>
                            <a:off x="3699128" y="266725"/>
                            <a:ext cx="847725" cy="2743200"/>
                          </a:xfrm>
                          <a:custGeom>
                            <a:avLst/>
                            <a:gdLst/>
                            <a:ahLst/>
                            <a:cxnLst/>
                            <a:rect l="l" t="t" r="r" b="b"/>
                            <a:pathLst>
                              <a:path w="847725" h="2743200">
                                <a:moveTo>
                                  <a:pt x="0" y="2743200"/>
                                </a:moveTo>
                                <a:lnTo>
                                  <a:pt x="847725" y="2743200"/>
                                </a:lnTo>
                                <a:lnTo>
                                  <a:pt x="847725" y="0"/>
                                </a:lnTo>
                                <a:lnTo>
                                  <a:pt x="0" y="0"/>
                                </a:lnTo>
                                <a:lnTo>
                                  <a:pt x="0" y="2743200"/>
                                </a:lnTo>
                                <a:close/>
                              </a:path>
                            </a:pathLst>
                          </a:custGeom>
                          <a:ln w="9525">
                            <a:solidFill>
                              <a:srgbClr val="000000"/>
                            </a:solidFill>
                            <a:prstDash val="solid"/>
                          </a:ln>
                        </wps:spPr>
                        <wps:bodyPr wrap="square" lIns="0" tIns="0" rIns="0" bIns="0" rtlCol="0">
                          <a:prstTxWarp prst="textNoShape">
                            <a:avLst/>
                          </a:prstTxWarp>
                          <a:noAutofit/>
                        </wps:bodyPr>
                      </wps:wsp>
                      <pic:pic>
                        <pic:nvPicPr>
                          <pic:cNvPr id="163" name="Image 163"/>
                          <pic:cNvPicPr/>
                        </pic:nvPicPr>
                        <pic:blipFill>
                          <a:blip r:embed="rId57" cstate="print"/>
                          <a:stretch>
                            <a:fillRect/>
                          </a:stretch>
                        </pic:blipFill>
                        <pic:spPr>
                          <a:xfrm>
                            <a:off x="4537328" y="266725"/>
                            <a:ext cx="809625" cy="2743200"/>
                          </a:xfrm>
                          <a:prstGeom prst="rect">
                            <a:avLst/>
                          </a:prstGeom>
                        </pic:spPr>
                      </pic:pic>
                      <wps:wsp>
                        <wps:cNvPr id="164" name="Graphic 164"/>
                        <wps:cNvSpPr/>
                        <wps:spPr>
                          <a:xfrm>
                            <a:off x="4537328" y="266725"/>
                            <a:ext cx="809625" cy="2743200"/>
                          </a:xfrm>
                          <a:custGeom>
                            <a:avLst/>
                            <a:gdLst/>
                            <a:ahLst/>
                            <a:cxnLst/>
                            <a:rect l="l" t="t" r="r" b="b"/>
                            <a:pathLst>
                              <a:path w="809625" h="2743200">
                                <a:moveTo>
                                  <a:pt x="0" y="2743200"/>
                                </a:moveTo>
                                <a:lnTo>
                                  <a:pt x="809625" y="2743200"/>
                                </a:lnTo>
                                <a:lnTo>
                                  <a:pt x="809625" y="0"/>
                                </a:lnTo>
                                <a:lnTo>
                                  <a:pt x="0" y="0"/>
                                </a:lnTo>
                                <a:lnTo>
                                  <a:pt x="0" y="2743200"/>
                                </a:lnTo>
                                <a:close/>
                              </a:path>
                            </a:pathLst>
                          </a:custGeom>
                          <a:ln w="9525">
                            <a:solidFill>
                              <a:srgbClr val="000000"/>
                            </a:solidFill>
                            <a:prstDash val="solid"/>
                          </a:ln>
                        </wps:spPr>
                        <wps:bodyPr wrap="square" lIns="0" tIns="0" rIns="0" bIns="0" rtlCol="0">
                          <a:prstTxWarp prst="textNoShape">
                            <a:avLst/>
                          </a:prstTxWarp>
                          <a:noAutofit/>
                        </wps:bodyPr>
                      </wps:wsp>
                      <wps:wsp>
                        <wps:cNvPr id="165" name="Graphic 165"/>
                        <wps:cNvSpPr/>
                        <wps:spPr>
                          <a:xfrm>
                            <a:off x="2651379" y="304800"/>
                            <a:ext cx="1270" cy="2705735"/>
                          </a:xfrm>
                          <a:custGeom>
                            <a:avLst/>
                            <a:gdLst/>
                            <a:ahLst/>
                            <a:cxnLst/>
                            <a:rect l="l" t="t" r="r" b="b"/>
                            <a:pathLst>
                              <a:path w="0" h="2705735">
                                <a:moveTo>
                                  <a:pt x="0" y="0"/>
                                </a:moveTo>
                                <a:lnTo>
                                  <a:pt x="0" y="2705125"/>
                                </a:lnTo>
                              </a:path>
                            </a:pathLst>
                          </a:custGeom>
                          <a:ln w="19050">
                            <a:solidFill>
                              <a:srgbClr val="000000"/>
                            </a:solidFill>
                            <a:prstDash val="sysDot"/>
                          </a:ln>
                        </wps:spPr>
                        <wps:bodyPr wrap="square" lIns="0" tIns="0" rIns="0" bIns="0" rtlCol="0">
                          <a:prstTxWarp prst="textNoShape">
                            <a:avLst/>
                          </a:prstTxWarp>
                          <a:noAutofit/>
                        </wps:bodyPr>
                      </wps:wsp>
                      <wps:wsp>
                        <wps:cNvPr id="166" name="Graphic 166"/>
                        <wps:cNvSpPr/>
                        <wps:spPr>
                          <a:xfrm>
                            <a:off x="117729" y="213995"/>
                            <a:ext cx="5248275" cy="90805"/>
                          </a:xfrm>
                          <a:custGeom>
                            <a:avLst/>
                            <a:gdLst/>
                            <a:ahLst/>
                            <a:cxnLst/>
                            <a:rect l="l" t="t" r="r" b="b"/>
                            <a:pathLst>
                              <a:path w="5248275" h="90805">
                                <a:moveTo>
                                  <a:pt x="5248275" y="0"/>
                                </a:moveTo>
                                <a:lnTo>
                                  <a:pt x="0" y="0"/>
                                </a:lnTo>
                                <a:lnTo>
                                  <a:pt x="0" y="90804"/>
                                </a:lnTo>
                                <a:lnTo>
                                  <a:pt x="5248275" y="90804"/>
                                </a:lnTo>
                                <a:lnTo>
                                  <a:pt x="5248275" y="0"/>
                                </a:lnTo>
                                <a:close/>
                              </a:path>
                            </a:pathLst>
                          </a:custGeom>
                          <a:solidFill>
                            <a:srgbClr val="FFFFFF"/>
                          </a:solidFill>
                        </wps:spPr>
                        <wps:bodyPr wrap="square" lIns="0" tIns="0" rIns="0" bIns="0" rtlCol="0">
                          <a:prstTxWarp prst="textNoShape">
                            <a:avLst/>
                          </a:prstTxWarp>
                          <a:noAutofit/>
                        </wps:bodyPr>
                      </wps:wsp>
                      <wps:wsp>
                        <wps:cNvPr id="167" name="Graphic 167"/>
                        <wps:cNvSpPr/>
                        <wps:spPr>
                          <a:xfrm>
                            <a:off x="1348358" y="2971825"/>
                            <a:ext cx="76200" cy="390525"/>
                          </a:xfrm>
                          <a:custGeom>
                            <a:avLst/>
                            <a:gdLst/>
                            <a:ahLst/>
                            <a:cxnLst/>
                            <a:rect l="l" t="t" r="r" b="b"/>
                            <a:pathLst>
                              <a:path w="76200" h="390525">
                                <a:moveTo>
                                  <a:pt x="33396" y="314325"/>
                                </a:moveTo>
                                <a:lnTo>
                                  <a:pt x="0" y="314325"/>
                                </a:lnTo>
                                <a:lnTo>
                                  <a:pt x="38100" y="390525"/>
                                </a:lnTo>
                                <a:lnTo>
                                  <a:pt x="69850" y="327025"/>
                                </a:lnTo>
                                <a:lnTo>
                                  <a:pt x="33400" y="327025"/>
                                </a:lnTo>
                                <a:lnTo>
                                  <a:pt x="33396" y="314325"/>
                                </a:lnTo>
                                <a:close/>
                              </a:path>
                              <a:path w="76200" h="390525">
                                <a:moveTo>
                                  <a:pt x="42799" y="0"/>
                                </a:moveTo>
                                <a:lnTo>
                                  <a:pt x="33274" y="0"/>
                                </a:lnTo>
                                <a:lnTo>
                                  <a:pt x="33400" y="327025"/>
                                </a:lnTo>
                                <a:lnTo>
                                  <a:pt x="42925" y="327025"/>
                                </a:lnTo>
                                <a:lnTo>
                                  <a:pt x="42799" y="0"/>
                                </a:lnTo>
                                <a:close/>
                              </a:path>
                              <a:path w="76200" h="390525">
                                <a:moveTo>
                                  <a:pt x="76200" y="314325"/>
                                </a:moveTo>
                                <a:lnTo>
                                  <a:pt x="42921" y="314325"/>
                                </a:lnTo>
                                <a:lnTo>
                                  <a:pt x="42925" y="327025"/>
                                </a:lnTo>
                                <a:lnTo>
                                  <a:pt x="69850" y="327025"/>
                                </a:lnTo>
                                <a:lnTo>
                                  <a:pt x="76200" y="314325"/>
                                </a:lnTo>
                                <a:close/>
                              </a:path>
                            </a:pathLst>
                          </a:custGeom>
                          <a:solidFill>
                            <a:srgbClr val="000000"/>
                          </a:solidFill>
                        </wps:spPr>
                        <wps:bodyPr wrap="square" lIns="0" tIns="0" rIns="0" bIns="0" rtlCol="0">
                          <a:prstTxWarp prst="textNoShape">
                            <a:avLst/>
                          </a:prstTxWarp>
                          <a:noAutofit/>
                        </wps:bodyPr>
                      </wps:wsp>
                      <wps:wsp>
                        <wps:cNvPr id="168" name="Graphic 168"/>
                        <wps:cNvSpPr/>
                        <wps:spPr>
                          <a:xfrm>
                            <a:off x="79628" y="713377"/>
                            <a:ext cx="5267325" cy="2287270"/>
                          </a:xfrm>
                          <a:custGeom>
                            <a:avLst/>
                            <a:gdLst/>
                            <a:ahLst/>
                            <a:cxnLst/>
                            <a:rect l="l" t="t" r="r" b="b"/>
                            <a:pathLst>
                              <a:path w="5267325" h="2287270">
                                <a:moveTo>
                                  <a:pt x="0" y="2287023"/>
                                </a:moveTo>
                                <a:lnTo>
                                  <a:pt x="31476" y="2240872"/>
                                </a:lnTo>
                                <a:lnTo>
                                  <a:pt x="62952" y="2194745"/>
                                </a:lnTo>
                                <a:lnTo>
                                  <a:pt x="94425" y="2148661"/>
                                </a:lnTo>
                                <a:lnTo>
                                  <a:pt x="125893" y="2102642"/>
                                </a:lnTo>
                                <a:lnTo>
                                  <a:pt x="157353" y="2056708"/>
                                </a:lnTo>
                                <a:lnTo>
                                  <a:pt x="188803" y="2010880"/>
                                </a:lnTo>
                                <a:lnTo>
                                  <a:pt x="220240" y="1965179"/>
                                </a:lnTo>
                                <a:lnTo>
                                  <a:pt x="251663" y="1919625"/>
                                </a:lnTo>
                                <a:lnTo>
                                  <a:pt x="283068" y="1874240"/>
                                </a:lnTo>
                                <a:lnTo>
                                  <a:pt x="314453" y="1829044"/>
                                </a:lnTo>
                                <a:lnTo>
                                  <a:pt x="345817" y="1784058"/>
                                </a:lnTo>
                                <a:lnTo>
                                  <a:pt x="377155" y="1739303"/>
                                </a:lnTo>
                                <a:lnTo>
                                  <a:pt x="408467" y="1694800"/>
                                </a:lnTo>
                                <a:lnTo>
                                  <a:pt x="439749" y="1650568"/>
                                </a:lnTo>
                                <a:lnTo>
                                  <a:pt x="470999" y="1606630"/>
                                </a:lnTo>
                                <a:lnTo>
                                  <a:pt x="502215" y="1563006"/>
                                </a:lnTo>
                                <a:lnTo>
                                  <a:pt x="533395" y="1519717"/>
                                </a:lnTo>
                                <a:lnTo>
                                  <a:pt x="564535" y="1476784"/>
                                </a:lnTo>
                                <a:lnTo>
                                  <a:pt x="595634" y="1434226"/>
                                </a:lnTo>
                                <a:lnTo>
                                  <a:pt x="626689" y="1392066"/>
                                </a:lnTo>
                                <a:lnTo>
                                  <a:pt x="657697" y="1350324"/>
                                </a:lnTo>
                                <a:lnTo>
                                  <a:pt x="688657" y="1309021"/>
                                </a:lnTo>
                                <a:lnTo>
                                  <a:pt x="719566" y="1268177"/>
                                </a:lnTo>
                                <a:lnTo>
                                  <a:pt x="750421" y="1227814"/>
                                </a:lnTo>
                                <a:lnTo>
                                  <a:pt x="781220" y="1187952"/>
                                </a:lnTo>
                                <a:lnTo>
                                  <a:pt x="811960" y="1148611"/>
                                </a:lnTo>
                                <a:lnTo>
                                  <a:pt x="842640" y="1109814"/>
                                </a:lnTo>
                                <a:lnTo>
                                  <a:pt x="873257" y="1071580"/>
                                </a:lnTo>
                                <a:lnTo>
                                  <a:pt x="903808" y="1033930"/>
                                </a:lnTo>
                                <a:lnTo>
                                  <a:pt x="934290" y="996886"/>
                                </a:lnTo>
                                <a:lnTo>
                                  <a:pt x="964703" y="960467"/>
                                </a:lnTo>
                                <a:lnTo>
                                  <a:pt x="995042" y="924695"/>
                                </a:lnTo>
                                <a:lnTo>
                                  <a:pt x="1025306" y="889591"/>
                                </a:lnTo>
                                <a:lnTo>
                                  <a:pt x="1055493" y="855175"/>
                                </a:lnTo>
                                <a:lnTo>
                                  <a:pt x="1085599" y="821468"/>
                                </a:lnTo>
                                <a:lnTo>
                                  <a:pt x="1115622" y="788491"/>
                                </a:lnTo>
                                <a:lnTo>
                                  <a:pt x="1145561" y="756265"/>
                                </a:lnTo>
                                <a:lnTo>
                                  <a:pt x="1175412" y="724810"/>
                                </a:lnTo>
                                <a:lnTo>
                                  <a:pt x="1205174" y="694147"/>
                                </a:lnTo>
                                <a:lnTo>
                                  <a:pt x="1234843" y="664298"/>
                                </a:lnTo>
                                <a:lnTo>
                                  <a:pt x="1264418" y="635282"/>
                                </a:lnTo>
                                <a:lnTo>
                                  <a:pt x="1293895" y="607122"/>
                                </a:lnTo>
                                <a:lnTo>
                                  <a:pt x="1323273" y="579836"/>
                                </a:lnTo>
                                <a:lnTo>
                                  <a:pt x="1352550" y="553447"/>
                                </a:lnTo>
                                <a:lnTo>
                                  <a:pt x="1400020" y="512161"/>
                                </a:lnTo>
                                <a:lnTo>
                                  <a:pt x="1447192" y="472802"/>
                                </a:lnTo>
                                <a:lnTo>
                                  <a:pt x="1494079" y="435334"/>
                                </a:lnTo>
                                <a:lnTo>
                                  <a:pt x="1540696" y="399718"/>
                                </a:lnTo>
                                <a:lnTo>
                                  <a:pt x="1587057" y="365919"/>
                                </a:lnTo>
                                <a:lnTo>
                                  <a:pt x="1633178" y="333898"/>
                                </a:lnTo>
                                <a:lnTo>
                                  <a:pt x="1679072" y="303617"/>
                                </a:lnTo>
                                <a:lnTo>
                                  <a:pt x="1724754" y="275040"/>
                                </a:lnTo>
                                <a:lnTo>
                                  <a:pt x="1770238" y="248130"/>
                                </a:lnTo>
                                <a:lnTo>
                                  <a:pt x="1815540" y="222848"/>
                                </a:lnTo>
                                <a:lnTo>
                                  <a:pt x="1860673" y="199158"/>
                                </a:lnTo>
                                <a:lnTo>
                                  <a:pt x="1905653" y="177022"/>
                                </a:lnTo>
                                <a:lnTo>
                                  <a:pt x="1950493" y="156403"/>
                                </a:lnTo>
                                <a:lnTo>
                                  <a:pt x="1995208" y="137263"/>
                                </a:lnTo>
                                <a:lnTo>
                                  <a:pt x="2039813" y="119565"/>
                                </a:lnTo>
                                <a:lnTo>
                                  <a:pt x="2084322" y="103272"/>
                                </a:lnTo>
                                <a:lnTo>
                                  <a:pt x="2128750" y="88347"/>
                                </a:lnTo>
                                <a:lnTo>
                                  <a:pt x="2173111" y="74751"/>
                                </a:lnTo>
                                <a:lnTo>
                                  <a:pt x="2217419" y="62448"/>
                                </a:lnTo>
                                <a:lnTo>
                                  <a:pt x="2261690" y="51401"/>
                                </a:lnTo>
                                <a:lnTo>
                                  <a:pt x="2305938" y="41571"/>
                                </a:lnTo>
                                <a:lnTo>
                                  <a:pt x="2350177" y="32922"/>
                                </a:lnTo>
                                <a:lnTo>
                                  <a:pt x="2394422" y="25416"/>
                                </a:lnTo>
                                <a:lnTo>
                                  <a:pt x="2438687" y="19016"/>
                                </a:lnTo>
                                <a:lnTo>
                                  <a:pt x="2482987" y="13684"/>
                                </a:lnTo>
                                <a:lnTo>
                                  <a:pt x="2527336" y="9384"/>
                                </a:lnTo>
                                <a:lnTo>
                                  <a:pt x="2571750" y="6077"/>
                                </a:lnTo>
                                <a:lnTo>
                                  <a:pt x="2617618" y="3452"/>
                                </a:lnTo>
                                <a:lnTo>
                                  <a:pt x="2662947" y="1502"/>
                                </a:lnTo>
                                <a:lnTo>
                                  <a:pt x="2707798" y="320"/>
                                </a:lnTo>
                                <a:lnTo>
                                  <a:pt x="2752236" y="0"/>
                                </a:lnTo>
                                <a:lnTo>
                                  <a:pt x="2796323" y="635"/>
                                </a:lnTo>
                                <a:lnTo>
                                  <a:pt x="2840123" y="2321"/>
                                </a:lnTo>
                                <a:lnTo>
                                  <a:pt x="2883698" y="5150"/>
                                </a:lnTo>
                                <a:lnTo>
                                  <a:pt x="2927111" y="9217"/>
                                </a:lnTo>
                                <a:lnTo>
                                  <a:pt x="2970426" y="14616"/>
                                </a:lnTo>
                                <a:lnTo>
                                  <a:pt x="3013706" y="21439"/>
                                </a:lnTo>
                                <a:lnTo>
                                  <a:pt x="3057013" y="29782"/>
                                </a:lnTo>
                                <a:lnTo>
                                  <a:pt x="3100412" y="39738"/>
                                </a:lnTo>
                                <a:lnTo>
                                  <a:pt x="3143964" y="51400"/>
                                </a:lnTo>
                                <a:lnTo>
                                  <a:pt x="3187733" y="64864"/>
                                </a:lnTo>
                                <a:lnTo>
                                  <a:pt x="3231782" y="80222"/>
                                </a:lnTo>
                                <a:lnTo>
                                  <a:pt x="3276175" y="97568"/>
                                </a:lnTo>
                                <a:lnTo>
                                  <a:pt x="3320973" y="116997"/>
                                </a:lnTo>
                                <a:lnTo>
                                  <a:pt x="3366241" y="138602"/>
                                </a:lnTo>
                                <a:lnTo>
                                  <a:pt x="3412041" y="162477"/>
                                </a:lnTo>
                                <a:lnTo>
                                  <a:pt x="3458437" y="188716"/>
                                </a:lnTo>
                                <a:lnTo>
                                  <a:pt x="3505492" y="217412"/>
                                </a:lnTo>
                                <a:lnTo>
                                  <a:pt x="3553268" y="248661"/>
                                </a:lnTo>
                                <a:lnTo>
                                  <a:pt x="3601828" y="282554"/>
                                </a:lnTo>
                                <a:lnTo>
                                  <a:pt x="3651237" y="319187"/>
                                </a:lnTo>
                                <a:lnTo>
                                  <a:pt x="3701556" y="358654"/>
                                </a:lnTo>
                                <a:lnTo>
                                  <a:pt x="3752850" y="401047"/>
                                </a:lnTo>
                                <a:lnTo>
                                  <a:pt x="3809398" y="450504"/>
                                </a:lnTo>
                                <a:lnTo>
                                  <a:pt x="3837988" y="476636"/>
                                </a:lnTo>
                                <a:lnTo>
                                  <a:pt x="3866783" y="503676"/>
                                </a:lnTo>
                                <a:lnTo>
                                  <a:pt x="3895779" y="531604"/>
                                </a:lnTo>
                                <a:lnTo>
                                  <a:pt x="3924969" y="560401"/>
                                </a:lnTo>
                                <a:lnTo>
                                  <a:pt x="3954351" y="590046"/>
                                </a:lnTo>
                                <a:lnTo>
                                  <a:pt x="3983919" y="620519"/>
                                </a:lnTo>
                                <a:lnTo>
                                  <a:pt x="4013669" y="651800"/>
                                </a:lnTo>
                                <a:lnTo>
                                  <a:pt x="4043596" y="683868"/>
                                </a:lnTo>
                                <a:lnTo>
                                  <a:pt x="4073696" y="716704"/>
                                </a:lnTo>
                                <a:lnTo>
                                  <a:pt x="4103965" y="750288"/>
                                </a:lnTo>
                                <a:lnTo>
                                  <a:pt x="4134397" y="784598"/>
                                </a:lnTo>
                                <a:lnTo>
                                  <a:pt x="4164988" y="819616"/>
                                </a:lnTo>
                                <a:lnTo>
                                  <a:pt x="4195734" y="855320"/>
                                </a:lnTo>
                                <a:lnTo>
                                  <a:pt x="4226630" y="891692"/>
                                </a:lnTo>
                                <a:lnTo>
                                  <a:pt x="4257672" y="928709"/>
                                </a:lnTo>
                                <a:lnTo>
                                  <a:pt x="4288854" y="966354"/>
                                </a:lnTo>
                                <a:lnTo>
                                  <a:pt x="4320173" y="1004604"/>
                                </a:lnTo>
                                <a:lnTo>
                                  <a:pt x="4351624" y="1043441"/>
                                </a:lnTo>
                                <a:lnTo>
                                  <a:pt x="4383202" y="1082844"/>
                                </a:lnTo>
                                <a:lnTo>
                                  <a:pt x="4414903" y="1122792"/>
                                </a:lnTo>
                                <a:lnTo>
                                  <a:pt x="4446722" y="1163266"/>
                                </a:lnTo>
                                <a:lnTo>
                                  <a:pt x="4478655" y="1204246"/>
                                </a:lnTo>
                                <a:lnTo>
                                  <a:pt x="4510696" y="1245711"/>
                                </a:lnTo>
                                <a:lnTo>
                                  <a:pt x="4542843" y="1287641"/>
                                </a:lnTo>
                                <a:lnTo>
                                  <a:pt x="4575090" y="1330017"/>
                                </a:lnTo>
                                <a:lnTo>
                                  <a:pt x="4607432" y="1372817"/>
                                </a:lnTo>
                                <a:lnTo>
                                  <a:pt x="4639865" y="1416022"/>
                                </a:lnTo>
                                <a:lnTo>
                                  <a:pt x="4672384" y="1459612"/>
                                </a:lnTo>
                                <a:lnTo>
                                  <a:pt x="4704985" y="1503566"/>
                                </a:lnTo>
                                <a:lnTo>
                                  <a:pt x="4737664" y="1547865"/>
                                </a:lnTo>
                                <a:lnTo>
                                  <a:pt x="4770415" y="1592487"/>
                                </a:lnTo>
                                <a:lnTo>
                                  <a:pt x="4803235" y="1637414"/>
                                </a:lnTo>
                                <a:lnTo>
                                  <a:pt x="4836118" y="1682625"/>
                                </a:lnTo>
                                <a:lnTo>
                                  <a:pt x="4869060" y="1728099"/>
                                </a:lnTo>
                                <a:lnTo>
                                  <a:pt x="4902057" y="1773817"/>
                                </a:lnTo>
                                <a:lnTo>
                                  <a:pt x="4935104" y="1819758"/>
                                </a:lnTo>
                                <a:lnTo>
                                  <a:pt x="4968197" y="1865902"/>
                                </a:lnTo>
                                <a:lnTo>
                                  <a:pt x="5001330" y="1912230"/>
                                </a:lnTo>
                                <a:lnTo>
                                  <a:pt x="5034500" y="1958720"/>
                                </a:lnTo>
                                <a:lnTo>
                                  <a:pt x="5067701" y="2005353"/>
                                </a:lnTo>
                                <a:lnTo>
                                  <a:pt x="5100930" y="2052109"/>
                                </a:lnTo>
                                <a:lnTo>
                                  <a:pt x="5134182" y="2098968"/>
                                </a:lnTo>
                                <a:lnTo>
                                  <a:pt x="5167452" y="2145908"/>
                                </a:lnTo>
                                <a:lnTo>
                                  <a:pt x="5200735" y="2192911"/>
                                </a:lnTo>
                                <a:lnTo>
                                  <a:pt x="5234027" y="2239956"/>
                                </a:lnTo>
                                <a:lnTo>
                                  <a:pt x="5267325" y="2287023"/>
                                </a:lnTo>
                              </a:path>
                            </a:pathLst>
                          </a:custGeom>
                          <a:ln w="9525">
                            <a:solidFill>
                              <a:srgbClr val="000000"/>
                            </a:solidFill>
                            <a:prstDash val="solid"/>
                          </a:ln>
                        </wps:spPr>
                        <wps:bodyPr wrap="square" lIns="0" tIns="0" rIns="0" bIns="0" rtlCol="0">
                          <a:prstTxWarp prst="textNoShape">
                            <a:avLst/>
                          </a:prstTxWarp>
                          <a:noAutofit/>
                        </wps:bodyPr>
                      </wps:wsp>
                      <wps:wsp>
                        <wps:cNvPr id="169" name="Textbox 169"/>
                        <wps:cNvSpPr txBox="1"/>
                        <wps:spPr>
                          <a:xfrm>
                            <a:off x="1610808" y="890708"/>
                            <a:ext cx="69215" cy="140335"/>
                          </a:xfrm>
                          <a:prstGeom prst="rect">
                            <a:avLst/>
                          </a:prstGeom>
                        </wps:spPr>
                        <wps:txbx>
                          <w:txbxContent>
                            <w:p>
                              <w:pPr>
                                <w:spacing w:line="221" w:lineRule="exact" w:before="0"/>
                                <w:ind w:left="0" w:right="0" w:firstLine="0"/>
                                <w:jc w:val="left"/>
                                <w:rPr>
                                  <w:b/>
                                  <w:sz w:val="20"/>
                                </w:rPr>
                              </w:pPr>
                              <w:r>
                                <w:rPr>
                                  <w:b/>
                                  <w:spacing w:val="-10"/>
                                  <w:sz w:val="20"/>
                                </w:rPr>
                                <w:t>e</w:t>
                              </w:r>
                            </w:p>
                          </w:txbxContent>
                        </wps:txbx>
                        <wps:bodyPr wrap="square" lIns="0" tIns="0" rIns="0" bIns="0" rtlCol="0">
                          <a:noAutofit/>
                        </wps:bodyPr>
                      </wps:wsp>
                      <wps:wsp>
                        <wps:cNvPr id="170" name="Textbox 170"/>
                        <wps:cNvSpPr txBox="1"/>
                        <wps:spPr>
                          <a:xfrm>
                            <a:off x="2170810" y="1043108"/>
                            <a:ext cx="1003300" cy="433070"/>
                          </a:xfrm>
                          <a:prstGeom prst="rect">
                            <a:avLst/>
                          </a:prstGeom>
                        </wps:spPr>
                        <wps:txbx>
                          <w:txbxContent>
                            <w:p>
                              <w:pPr>
                                <w:spacing w:line="221" w:lineRule="exact" w:before="0"/>
                                <w:ind w:left="0" w:right="18" w:firstLine="0"/>
                                <w:jc w:val="center"/>
                                <w:rPr>
                                  <w:sz w:val="20"/>
                                </w:rPr>
                              </w:pPr>
                              <w:r>
                                <w:rPr>
                                  <w:sz w:val="20"/>
                                </w:rPr>
                                <w:t>No</w:t>
                              </w:r>
                              <w:r>
                                <w:rPr>
                                  <w:spacing w:val="-2"/>
                                  <w:sz w:val="20"/>
                                </w:rPr>
                                <w:t> </w:t>
                              </w:r>
                              <w:r>
                                <w:rPr>
                                  <w:spacing w:val="-2"/>
                                  <w:sz w:val="20"/>
                                </w:rPr>
                                <w:t>Autocorrelation</w:t>
                              </w:r>
                            </w:p>
                            <w:p>
                              <w:pPr>
                                <w:spacing w:before="0"/>
                                <w:ind w:left="0" w:right="12" w:firstLine="0"/>
                                <w:jc w:val="center"/>
                                <w:rPr>
                                  <w:sz w:val="20"/>
                                </w:rPr>
                              </w:pPr>
                              <w:r>
                                <w:rPr>
                                  <w:spacing w:val="-5"/>
                                  <w:sz w:val="20"/>
                                </w:rPr>
                                <w:t>or</w:t>
                              </w:r>
                            </w:p>
                            <w:p>
                              <w:pPr>
                                <w:spacing w:before="1"/>
                                <w:ind w:left="0" w:right="20" w:firstLine="0"/>
                                <w:jc w:val="center"/>
                                <w:rPr>
                                  <w:sz w:val="20"/>
                                </w:rPr>
                              </w:pPr>
                              <w:r>
                                <w:rPr>
                                  <w:sz w:val="20"/>
                                </w:rPr>
                                <w:t>Acceptance</w:t>
                              </w:r>
                              <w:r>
                                <w:rPr>
                                  <w:spacing w:val="-12"/>
                                  <w:sz w:val="20"/>
                                </w:rPr>
                                <w:t> </w:t>
                              </w:r>
                              <w:r>
                                <w:rPr>
                                  <w:spacing w:val="-2"/>
                                  <w:sz w:val="20"/>
                                </w:rPr>
                                <w:t>Region</w:t>
                              </w:r>
                            </w:p>
                          </w:txbxContent>
                        </wps:txbx>
                        <wps:bodyPr wrap="square" lIns="0" tIns="0" rIns="0" bIns="0" rtlCol="0">
                          <a:noAutofit/>
                        </wps:bodyPr>
                      </wps:wsp>
                      <wps:wsp>
                        <wps:cNvPr id="171" name="Textbox 171"/>
                        <wps:cNvSpPr txBox="1"/>
                        <wps:spPr>
                          <a:xfrm>
                            <a:off x="0" y="2959106"/>
                            <a:ext cx="76200" cy="140335"/>
                          </a:xfrm>
                          <a:prstGeom prst="rect">
                            <a:avLst/>
                          </a:prstGeom>
                        </wps:spPr>
                        <wps:txbx>
                          <w:txbxContent>
                            <w:p>
                              <w:pPr>
                                <w:spacing w:line="221" w:lineRule="exact" w:before="0"/>
                                <w:ind w:left="0" w:right="0" w:firstLine="0"/>
                                <w:jc w:val="left"/>
                                <w:rPr>
                                  <w:sz w:val="20"/>
                                </w:rPr>
                              </w:pPr>
                              <w:r>
                                <w:rPr>
                                  <w:spacing w:val="-10"/>
                                  <w:sz w:val="20"/>
                                </w:rPr>
                                <w:t>0</w:t>
                              </w:r>
                            </w:p>
                          </w:txbxContent>
                        </wps:txbx>
                        <wps:bodyPr wrap="square" lIns="0" tIns="0" rIns="0" bIns="0" rtlCol="0">
                          <a:noAutofit/>
                        </wps:bodyPr>
                      </wps:wsp>
                      <wps:wsp>
                        <wps:cNvPr id="172" name="Textbox 172"/>
                        <wps:cNvSpPr txBox="1"/>
                        <wps:spPr>
                          <a:xfrm>
                            <a:off x="771398" y="3006350"/>
                            <a:ext cx="198755" cy="287655"/>
                          </a:xfrm>
                          <a:prstGeom prst="rect">
                            <a:avLst/>
                          </a:prstGeom>
                        </wps:spPr>
                        <wps:txbx>
                          <w:txbxContent>
                            <w:p>
                              <w:pPr>
                                <w:spacing w:line="225" w:lineRule="exact" w:before="0"/>
                                <w:ind w:left="0" w:right="0" w:firstLine="0"/>
                                <w:jc w:val="left"/>
                                <w:rPr>
                                  <w:sz w:val="13"/>
                                </w:rPr>
                              </w:pPr>
                              <w:r>
                                <w:rPr>
                                  <w:spacing w:val="-5"/>
                                  <w:position w:val="2"/>
                                  <w:sz w:val="20"/>
                                </w:rPr>
                                <w:t>d</w:t>
                              </w:r>
                              <w:r>
                                <w:rPr>
                                  <w:spacing w:val="-5"/>
                                  <w:sz w:val="13"/>
                                </w:rPr>
                                <w:t>L</w:t>
                              </w:r>
                            </w:p>
                            <w:p>
                              <w:pPr>
                                <w:spacing w:before="78"/>
                                <w:ind w:left="0" w:right="0" w:firstLine="0"/>
                                <w:jc w:val="left"/>
                                <w:rPr>
                                  <w:sz w:val="13"/>
                                </w:rPr>
                              </w:pPr>
                              <w:r>
                                <w:rPr>
                                  <w:spacing w:val="-2"/>
                                  <w:sz w:val="13"/>
                                </w:rPr>
                                <w:t>1.064</w:t>
                              </w:r>
                            </w:p>
                          </w:txbxContent>
                        </wps:txbx>
                        <wps:bodyPr wrap="square" lIns="0" tIns="0" rIns="0" bIns="0" rtlCol="0">
                          <a:noAutofit/>
                        </wps:bodyPr>
                      </wps:wsp>
                      <wps:wsp>
                        <wps:cNvPr id="173" name="Textbox 173"/>
                        <wps:cNvSpPr txBox="1"/>
                        <wps:spPr>
                          <a:xfrm>
                            <a:off x="1571497" y="2995682"/>
                            <a:ext cx="198755" cy="289560"/>
                          </a:xfrm>
                          <a:prstGeom prst="rect">
                            <a:avLst/>
                          </a:prstGeom>
                        </wps:spPr>
                        <wps:txbx>
                          <w:txbxContent>
                            <w:p>
                              <w:pPr>
                                <w:spacing w:line="225" w:lineRule="exact" w:before="0"/>
                                <w:ind w:left="0" w:right="0" w:firstLine="0"/>
                                <w:jc w:val="left"/>
                                <w:rPr>
                                  <w:sz w:val="13"/>
                                </w:rPr>
                              </w:pPr>
                              <w:r>
                                <w:rPr>
                                  <w:spacing w:val="-5"/>
                                  <w:position w:val="2"/>
                                  <w:sz w:val="20"/>
                                </w:rPr>
                                <w:t>d</w:t>
                              </w:r>
                              <w:r>
                                <w:rPr>
                                  <w:spacing w:val="-5"/>
                                  <w:sz w:val="13"/>
                                </w:rPr>
                                <w:t>U</w:t>
                              </w:r>
                            </w:p>
                            <w:p>
                              <w:pPr>
                                <w:spacing w:before="81"/>
                                <w:ind w:left="0" w:right="0" w:firstLine="0"/>
                                <w:jc w:val="left"/>
                                <w:rPr>
                                  <w:sz w:val="13"/>
                                </w:rPr>
                              </w:pPr>
                              <w:r>
                                <w:rPr>
                                  <w:spacing w:val="-2"/>
                                  <w:sz w:val="13"/>
                                </w:rPr>
                                <w:t>1.997</w:t>
                              </w:r>
                            </w:p>
                          </w:txbxContent>
                        </wps:txbx>
                        <wps:bodyPr wrap="square" lIns="0" tIns="0" rIns="0" bIns="0" rtlCol="0">
                          <a:noAutofit/>
                        </wps:bodyPr>
                      </wps:wsp>
                      <wps:wsp>
                        <wps:cNvPr id="174" name="Textbox 174"/>
                        <wps:cNvSpPr txBox="1"/>
                        <wps:spPr>
                          <a:xfrm>
                            <a:off x="2618867" y="3015494"/>
                            <a:ext cx="76200" cy="140335"/>
                          </a:xfrm>
                          <a:prstGeom prst="rect">
                            <a:avLst/>
                          </a:prstGeom>
                        </wps:spPr>
                        <wps:txbx>
                          <w:txbxContent>
                            <w:p>
                              <w:pPr>
                                <w:spacing w:line="221" w:lineRule="exact" w:before="0"/>
                                <w:ind w:left="0" w:right="0" w:firstLine="0"/>
                                <w:jc w:val="left"/>
                                <w:rPr>
                                  <w:sz w:val="20"/>
                                </w:rPr>
                              </w:pPr>
                              <w:r>
                                <w:rPr>
                                  <w:spacing w:val="-10"/>
                                  <w:sz w:val="20"/>
                                </w:rPr>
                                <w:t>2</w:t>
                              </w:r>
                            </w:p>
                          </w:txbxContent>
                        </wps:txbx>
                        <wps:bodyPr wrap="square" lIns="0" tIns="0" rIns="0" bIns="0" rtlCol="0">
                          <a:noAutofit/>
                        </wps:bodyPr>
                      </wps:wsp>
                      <wps:wsp>
                        <wps:cNvPr id="175" name="Textbox 175"/>
                        <wps:cNvSpPr txBox="1"/>
                        <wps:spPr>
                          <a:xfrm>
                            <a:off x="3609721" y="3006350"/>
                            <a:ext cx="241300" cy="287655"/>
                          </a:xfrm>
                          <a:prstGeom prst="rect">
                            <a:avLst/>
                          </a:prstGeom>
                        </wps:spPr>
                        <wps:txbx>
                          <w:txbxContent>
                            <w:p>
                              <w:pPr>
                                <w:spacing w:line="225" w:lineRule="exact" w:before="0"/>
                                <w:ind w:left="0" w:right="0" w:firstLine="0"/>
                                <w:jc w:val="left"/>
                                <w:rPr>
                                  <w:sz w:val="13"/>
                                </w:rPr>
                              </w:pPr>
                              <w:r>
                                <w:rPr>
                                  <w:spacing w:val="-2"/>
                                  <w:position w:val="2"/>
                                  <w:sz w:val="20"/>
                                </w:rPr>
                                <w:t>4-</w:t>
                              </w:r>
                              <w:r>
                                <w:rPr>
                                  <w:spacing w:val="-5"/>
                                  <w:position w:val="2"/>
                                  <w:sz w:val="20"/>
                                </w:rPr>
                                <w:t>d</w:t>
                              </w:r>
                              <w:r>
                                <w:rPr>
                                  <w:spacing w:val="-5"/>
                                  <w:sz w:val="13"/>
                                </w:rPr>
                                <w:t>U</w:t>
                              </w:r>
                            </w:p>
                            <w:p>
                              <w:pPr>
                                <w:spacing w:before="78"/>
                                <w:ind w:left="0" w:right="0" w:firstLine="0"/>
                                <w:jc w:val="left"/>
                                <w:rPr>
                                  <w:sz w:val="13"/>
                                </w:rPr>
                              </w:pPr>
                              <w:r>
                                <w:rPr>
                                  <w:spacing w:val="-2"/>
                                  <w:sz w:val="13"/>
                                </w:rPr>
                                <w:t>2..003</w:t>
                              </w:r>
                            </w:p>
                          </w:txbxContent>
                        </wps:txbx>
                        <wps:bodyPr wrap="square" lIns="0" tIns="0" rIns="0" bIns="0" rtlCol="0">
                          <a:noAutofit/>
                        </wps:bodyPr>
                      </wps:wsp>
                      <wps:wsp>
                        <wps:cNvPr id="176" name="Textbox 176"/>
                        <wps:cNvSpPr txBox="1"/>
                        <wps:spPr>
                          <a:xfrm>
                            <a:off x="4409821" y="2995682"/>
                            <a:ext cx="232410" cy="289560"/>
                          </a:xfrm>
                          <a:prstGeom prst="rect">
                            <a:avLst/>
                          </a:prstGeom>
                        </wps:spPr>
                        <wps:txbx>
                          <w:txbxContent>
                            <w:p>
                              <w:pPr>
                                <w:spacing w:line="225" w:lineRule="exact" w:before="0"/>
                                <w:ind w:left="0" w:right="0" w:firstLine="0"/>
                                <w:jc w:val="left"/>
                                <w:rPr>
                                  <w:sz w:val="13"/>
                                </w:rPr>
                              </w:pPr>
                              <w:r>
                                <w:rPr>
                                  <w:spacing w:val="-2"/>
                                  <w:position w:val="2"/>
                                  <w:sz w:val="20"/>
                                </w:rPr>
                                <w:t>4-</w:t>
                              </w:r>
                              <w:r>
                                <w:rPr>
                                  <w:spacing w:val="-5"/>
                                  <w:position w:val="2"/>
                                  <w:sz w:val="20"/>
                                </w:rPr>
                                <w:t>d</w:t>
                              </w:r>
                              <w:r>
                                <w:rPr>
                                  <w:spacing w:val="-5"/>
                                  <w:sz w:val="13"/>
                                </w:rPr>
                                <w:t>L</w:t>
                              </w:r>
                            </w:p>
                            <w:p>
                              <w:pPr>
                                <w:spacing w:before="81"/>
                                <w:ind w:left="0" w:right="0" w:firstLine="0"/>
                                <w:jc w:val="left"/>
                                <w:rPr>
                                  <w:sz w:val="13"/>
                                </w:rPr>
                              </w:pPr>
                              <w:r>
                                <w:rPr>
                                  <w:spacing w:val="-2"/>
                                  <w:sz w:val="13"/>
                                </w:rPr>
                                <w:t>2.936</w:t>
                              </w:r>
                            </w:p>
                          </w:txbxContent>
                        </wps:txbx>
                        <wps:bodyPr wrap="square" lIns="0" tIns="0" rIns="0" bIns="0" rtlCol="0">
                          <a:noAutofit/>
                        </wps:bodyPr>
                      </wps:wsp>
                      <wps:wsp>
                        <wps:cNvPr id="177" name="Textbox 177"/>
                        <wps:cNvSpPr txBox="1"/>
                        <wps:spPr>
                          <a:xfrm>
                            <a:off x="5297170" y="3006350"/>
                            <a:ext cx="76200" cy="140335"/>
                          </a:xfrm>
                          <a:prstGeom prst="rect">
                            <a:avLst/>
                          </a:prstGeom>
                        </wps:spPr>
                        <wps:txbx>
                          <w:txbxContent>
                            <w:p>
                              <w:pPr>
                                <w:spacing w:line="221" w:lineRule="exact" w:before="0"/>
                                <w:ind w:left="0" w:right="0" w:firstLine="0"/>
                                <w:jc w:val="left"/>
                                <w:rPr>
                                  <w:sz w:val="20"/>
                                </w:rPr>
                              </w:pPr>
                              <w:r>
                                <w:rPr>
                                  <w:spacing w:val="-10"/>
                                  <w:sz w:val="20"/>
                                </w:rPr>
                                <w:t>4</w:t>
                              </w:r>
                            </w:p>
                          </w:txbxContent>
                        </wps:txbx>
                        <wps:bodyPr wrap="square" lIns="0" tIns="0" rIns="0" bIns="0" rtlCol="0">
                          <a:noAutofit/>
                        </wps:bodyPr>
                      </wps:wsp>
                      <wps:wsp>
                        <wps:cNvPr id="178" name="Textbox 178"/>
                        <wps:cNvSpPr txBox="1"/>
                        <wps:spPr>
                          <a:xfrm>
                            <a:off x="84391" y="271487"/>
                            <a:ext cx="762000" cy="2733675"/>
                          </a:xfrm>
                          <a:prstGeom prst="rect">
                            <a:avLst/>
                          </a:prstGeom>
                        </wps:spPr>
                        <wps:txbx>
                          <w:txbxContent>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71"/>
                                <w:rPr>
                                  <w:sz w:val="20"/>
                                </w:rPr>
                              </w:pPr>
                            </w:p>
                            <w:p>
                              <w:pPr>
                                <w:spacing w:before="0"/>
                                <w:ind w:left="76" w:right="0" w:firstLine="0"/>
                                <w:jc w:val="left"/>
                                <w:rPr>
                                  <w:b/>
                                  <w:sz w:val="20"/>
                                </w:rPr>
                              </w:pPr>
                              <w:r>
                                <w:rPr>
                                  <w:b/>
                                  <w:spacing w:val="-2"/>
                                  <w:sz w:val="20"/>
                                </w:rPr>
                                <w:t>Positive Autocorrelat </w:t>
                              </w:r>
                              <w:r>
                                <w:rPr>
                                  <w:b/>
                                  <w:sz w:val="20"/>
                                </w:rPr>
                                <w:t>ion region</w:t>
                              </w:r>
                            </w:p>
                          </w:txbxContent>
                        </wps:txbx>
                        <wps:bodyPr wrap="square" lIns="0" tIns="0" rIns="0" bIns="0" rtlCol="0">
                          <a:noAutofit/>
                        </wps:bodyPr>
                      </wps:wsp>
                      <wps:wsp>
                        <wps:cNvPr id="179" name="Textbox 179"/>
                        <wps:cNvSpPr txBox="1"/>
                        <wps:spPr>
                          <a:xfrm>
                            <a:off x="4551616" y="213995"/>
                            <a:ext cx="790575" cy="2791460"/>
                          </a:xfrm>
                          <a:prstGeom prst="rect">
                            <a:avLst/>
                          </a:prstGeom>
                        </wps:spPr>
                        <wps:txbx>
                          <w:txbxContent>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7"/>
                                <w:rPr>
                                  <w:sz w:val="20"/>
                                </w:rPr>
                              </w:pPr>
                            </w:p>
                            <w:p>
                              <w:pPr>
                                <w:spacing w:before="0"/>
                                <w:ind w:left="107" w:right="0" w:firstLine="0"/>
                                <w:jc w:val="left"/>
                                <w:rPr>
                                  <w:b/>
                                  <w:sz w:val="20"/>
                                </w:rPr>
                              </w:pPr>
                              <w:r>
                                <w:rPr>
                                  <w:b/>
                                  <w:spacing w:val="-2"/>
                                  <w:sz w:val="20"/>
                                </w:rPr>
                                <w:t>Negative Autocorrelat </w:t>
                              </w:r>
                              <w:r>
                                <w:rPr>
                                  <w:b/>
                                  <w:sz w:val="20"/>
                                </w:rPr>
                                <w:t>ion region</w:t>
                              </w:r>
                            </w:p>
                          </w:txbxContent>
                        </wps:txbx>
                        <wps:bodyPr wrap="square" lIns="0" tIns="0" rIns="0" bIns="0" rtlCol="0">
                          <a:noAutofit/>
                        </wps:bodyPr>
                      </wps:wsp>
                      <wps:wsp>
                        <wps:cNvPr id="180" name="Textbox 180"/>
                        <wps:cNvSpPr txBox="1"/>
                        <wps:spPr>
                          <a:xfrm>
                            <a:off x="3703891" y="213995"/>
                            <a:ext cx="828675" cy="2791460"/>
                          </a:xfrm>
                          <a:prstGeom prst="rect">
                            <a:avLst/>
                          </a:prstGeom>
                        </wps:spPr>
                        <wps:txbx>
                          <w:txbxContent>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22"/>
                                <w:rPr>
                                  <w:sz w:val="20"/>
                                </w:rPr>
                              </w:pPr>
                            </w:p>
                            <w:p>
                              <w:pPr>
                                <w:spacing w:before="0"/>
                                <w:ind w:left="197" w:right="0" w:firstLine="0"/>
                                <w:jc w:val="left"/>
                                <w:rPr>
                                  <w:b/>
                                  <w:sz w:val="20"/>
                                </w:rPr>
                              </w:pPr>
                              <w:r>
                                <w:rPr>
                                  <w:b/>
                                  <w:spacing w:val="-2"/>
                                  <w:sz w:val="20"/>
                                </w:rPr>
                                <w:t>Inconclusive Region</w:t>
                              </w:r>
                            </w:p>
                          </w:txbxContent>
                        </wps:txbx>
                        <wps:bodyPr wrap="square" lIns="0" tIns="0" rIns="0" bIns="0" rtlCol="0">
                          <a:noAutofit/>
                        </wps:bodyPr>
                      </wps:wsp>
                      <wps:wsp>
                        <wps:cNvPr id="181" name="Textbox 181"/>
                        <wps:cNvSpPr txBox="1"/>
                        <wps:spPr>
                          <a:xfrm>
                            <a:off x="855916" y="213995"/>
                            <a:ext cx="762000" cy="2791460"/>
                          </a:xfrm>
                          <a:prstGeom prst="rect">
                            <a:avLst/>
                          </a:prstGeom>
                        </wps:spPr>
                        <wps:txbx>
                          <w:txbxContent>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36"/>
                                <w:rPr>
                                  <w:sz w:val="20"/>
                                </w:rPr>
                              </w:pPr>
                            </w:p>
                            <w:p>
                              <w:pPr>
                                <w:spacing w:before="0"/>
                                <w:ind w:left="212" w:right="0" w:firstLine="0"/>
                                <w:jc w:val="left"/>
                                <w:rPr>
                                  <w:b/>
                                  <w:sz w:val="20"/>
                                </w:rPr>
                              </w:pPr>
                              <w:r>
                                <w:rPr>
                                  <w:b/>
                                  <w:spacing w:val="-2"/>
                                  <w:sz w:val="20"/>
                                </w:rPr>
                                <w:t>Inconclusiv Region</w:t>
                              </w:r>
                            </w:p>
                          </w:txbxContent>
                        </wps:txbx>
                        <wps:bodyPr wrap="square" lIns="0" tIns="0" rIns="0" bIns="0" rtlCol="0">
                          <a:noAutofit/>
                        </wps:bodyPr>
                      </wps:wsp>
                    </wpg:wgp>
                  </a:graphicData>
                </a:graphic>
              </wp:anchor>
            </w:drawing>
          </mc:Choice>
          <mc:Fallback>
            <w:pict>
              <v:group style="position:absolute;margin-left:51.48pt;margin-top:18.949024pt;width:445.05pt;height:264.8pt;mso-position-horizontal-relative:page;mso-position-vertical-relative:paragraph;z-index:-15703552;mso-wrap-distance-left:0;mso-wrap-distance-right:0" id="docshapegroup138" coordorigin="1030,379" coordsize="8901,5296">
                <v:shape style="position:absolute;left:1155;top:1549;width:8325;height:3555" id="docshape139" coordorigin="1155,1549" coordsize="8325,3555" path="m1155,5104l1215,5037,1275,4970,1334,4903,1394,4836,1454,4770,1513,4703,1573,4637,1632,4571,1691,4505,1750,4439,1809,4374,1868,4309,1926,4244,1984,4180,2042,4116,2100,4052,2157,3989,2215,3927,2271,3865,2328,3804,2384,3743,2440,3683,2495,3623,2550,3564,2605,3506,2659,3449,2713,3392,2766,3336,2819,3281,2871,3227,2922,3174,2974,3121,3024,3070,3074,3020,3123,2970,3172,2922,3220,2874,3268,2828,3315,2783,3361,2739,3406,2696,3451,2654,3583,2535,3668,2461,3750,2392,3830,2327,3907,2267,3981,2210,4054,2158,4124,2109,4193,2063,4259,2020,4324,1980,4387,1943,4449,1908,4509,1875,4569,1844,4627,1814,4684,1787,4740,1760,4796,1734,4851,1709,5004,1642,5093,1609,5176,1584,5252,1566,5325,1555,5396,1550,5466,1549,5537,1553,5611,1560,5690,1569,5775,1579,5846,1589,5919,1600,5995,1614,6072,1630,6151,1649,6230,1669,6310,1692,6391,1718,6471,1746,6550,1776,6629,1809,6706,1845,6782,1883,6855,1924,6916,1960,6974,1995,7030,2030,7083,2064,7135,2100,7187,2137,7238,2177,7290,2219,7343,2266,7398,2317,7455,2374,7515,2437,7579,2507,7648,2584,7721,2669,7800,2764,7877,2860,7920,2914,7963,2971,8009,3031,8057,3094,8106,3160,8156,3228,8207,3298,8260,3371,8313,3444,8368,3520,8422,3596,8477,3673,8533,3751,8588,3829,8644,3908,8699,3986,8754,4065,8808,4142,8862,4219,8915,4295,8966,4369,9017,4442,9067,4513,9114,4582,9161,4648,9205,4712,9248,4774,9289,4832,9327,4887,9363,4938,9427,5030,9455,5069,9480,5104e" filled="false" stroked="true" strokeweight="1.5pt" strokecolor="#000000">
                  <v:path arrowok="t"/>
                  <v:stroke dashstyle="solid"/>
                </v:shape>
                <v:shape style="position:absolute;left:1095;top:378;width:8835;height:4801" id="docshape140" coordorigin="1095,379" coordsize="8835,4801" path="m9930,5119l9915,5112,9810,5059,9810,5112,1163,5112,1163,499,1215,499,1205,479,1155,379,1095,499,1148,499,1148,5119,1155,5119,1155,5127,9810,5127,9810,5179,9915,5127,9930,5119xe" filled="true" fillcolor="#000000" stroked="false">
                  <v:path arrowok="t"/>
                  <v:fill type="solid"/>
                </v:shape>
                <v:shape style="position:absolute;left:1155;top:799;width:1215;height:4320" type="#_x0000_t75" id="docshape141" stroked="false">
                  <v:imagedata r:id="rId56" o:title=""/>
                </v:shape>
                <v:rect style="position:absolute;left:1155;top:799;width:1215;height:4320" id="docshape142" filled="false" stroked="true" strokeweight=".75pt" strokecolor="#000000">
                  <v:stroke dashstyle="solid"/>
                </v:rect>
                <v:rect style="position:absolute;left:2370;top:799;width:1215;height:4320" id="docshape143" filled="true" fillcolor="#ffffff" stroked="false">
                  <v:fill type="solid"/>
                </v:rect>
                <v:rect style="position:absolute;left:2370;top:799;width:1215;height:4320" id="docshape144" filled="false" stroked="true" strokeweight=".75pt" strokecolor="#000000">
                  <v:stroke dashstyle="solid"/>
                </v:rect>
                <v:rect style="position:absolute;left:3585;top:799;width:3270;height:4320" id="docshape145" filled="true" fillcolor="#ffffff" stroked="false">
                  <v:fill type="solid"/>
                </v:rect>
                <v:rect style="position:absolute;left:3585;top:799;width:3270;height:4320" id="docshape146" filled="false" stroked="true" strokeweight=".75pt" strokecolor="#000000">
                  <v:stroke dashstyle="solid"/>
                </v:rect>
                <v:rect style="position:absolute;left:6855;top:799;width:1335;height:4320" id="docshape147" filled="true" fillcolor="#ffffff" stroked="false">
                  <v:fill type="solid"/>
                </v:rect>
                <v:rect style="position:absolute;left:6855;top:799;width:1335;height:4320" id="docshape148" filled="false" stroked="true" strokeweight=".75pt" strokecolor="#000000">
                  <v:stroke dashstyle="solid"/>
                </v:rect>
                <v:shape style="position:absolute;left:8175;top:799;width:1275;height:4320" type="#_x0000_t75" id="docshape149" stroked="false">
                  <v:imagedata r:id="rId57" o:title=""/>
                </v:shape>
                <v:rect style="position:absolute;left:8175;top:799;width:1275;height:4320" id="docshape150" filled="false" stroked="true" strokeweight=".75pt" strokecolor="#000000">
                  <v:stroke dashstyle="solid"/>
                </v:rect>
                <v:line style="position:absolute" from="5205,859" to="5205,5119" stroked="true" strokeweight="1.5pt" strokecolor="#000000">
                  <v:stroke dashstyle="shortdot"/>
                </v:line>
                <v:rect style="position:absolute;left:1215;top:715;width:8265;height:143" id="docshape151" filled="true" fillcolor="#ffffff" stroked="false">
                  <v:fill type="solid"/>
                </v:rect>
                <v:shape style="position:absolute;left:3153;top:5059;width:120;height:615" id="docshape152" coordorigin="3153,5059" coordsize="120,615" path="m3206,5554l3153,5554,3213,5674,3263,5574,3206,5574,3206,5554xm3220,5059l3205,5059,3206,5574,3221,5574,3220,5059xm3273,5554l3221,5554,3221,5574,3263,5574,3273,5554xe" filled="true" fillcolor="#000000" stroked="false">
                  <v:path arrowok="t"/>
                  <v:fill type="solid"/>
                </v:shape>
                <v:shape style="position:absolute;left:1155;top:1502;width:8295;height:3602" id="docshape153" coordorigin="1155,1502" coordsize="8295,3602" path="m1155,5104l1205,5031,1254,4959,1304,4886,1353,4814,1403,4741,1452,4669,1502,4597,1551,4525,1601,4454,1650,4383,1700,4312,1749,4241,1798,4171,1848,4102,1897,4033,1946,3964,1995,3896,2044,3828,2093,3761,2142,3695,2191,3629,2239,3564,2288,3500,2337,3436,2385,3373,2434,3311,2482,3250,2530,3190,2578,3131,2626,3072,2674,3015,2722,2959,2770,2903,2817,2849,2865,2796,2912,2744,2959,2693,3006,2644,3053,2596,3100,2549,3146,2503,3193,2459,3239,2416,3285,2374,3360,2309,3434,2247,3508,2188,3581,2132,3654,2079,3727,2028,3799,1981,3871,1936,3943,1893,4014,1853,4085,1816,4156,1781,4227,1749,4297,1719,4367,1691,4437,1665,4507,1642,4577,1620,4647,1601,4717,1583,4786,1568,4856,1554,4926,1542,4995,1532,5065,1524,5135,1517,5205,1512,5277,1508,5349,1505,5419,1503,5489,1502,5559,1503,5628,1506,5696,1511,5765,1517,5833,1525,5901,1536,5969,1549,6038,1565,6106,1583,6175,1605,6244,1629,6314,1656,6385,1687,6456,1721,6528,1758,6601,1800,6675,1845,6751,1894,6827,1947,6905,2005,6984,2067,7065,2134,7154,2212,7199,2253,7244,2296,7290,2340,7336,2385,7382,2432,7429,2480,7476,2529,7523,2579,7570,2631,7618,2684,7666,2738,7714,2793,7762,2849,7811,2907,7860,2965,7909,3024,7958,3084,8008,3146,8058,3208,8108,3271,8158,3334,8208,3399,8258,3464,8309,3530,8360,3597,8411,3664,8462,3732,8513,3801,8564,3870,8616,3940,8667,4010,8719,4081,8771,4152,8823,4224,8875,4296,8927,4368,8979,4441,9031,4514,9083,4587,9136,4660,9188,4734,9240,4808,9293,4882,9345,4956,9398,5030,9450,5104e" filled="false" stroked="true" strokeweight=".75pt" strokecolor="#000000">
                  <v:path arrowok="t"/>
                  <v:stroke dashstyle="solid"/>
                </v:shape>
                <v:shape style="position:absolute;left:3566;top:1781;width:109;height:221" type="#_x0000_t202" id="docshape154" filled="false" stroked="false">
                  <v:textbox inset="0,0,0,0">
                    <w:txbxContent>
                      <w:p>
                        <w:pPr>
                          <w:spacing w:line="221" w:lineRule="exact" w:before="0"/>
                          <w:ind w:left="0" w:right="0" w:firstLine="0"/>
                          <w:jc w:val="left"/>
                          <w:rPr>
                            <w:b/>
                            <w:sz w:val="20"/>
                          </w:rPr>
                        </w:pPr>
                        <w:r>
                          <w:rPr>
                            <w:b/>
                            <w:spacing w:val="-10"/>
                            <w:sz w:val="20"/>
                          </w:rPr>
                          <w:t>e</w:t>
                        </w:r>
                      </w:p>
                    </w:txbxContent>
                  </v:textbox>
                  <w10:wrap type="none"/>
                </v:shape>
                <v:shape style="position:absolute;left:4448;top:2021;width:1580;height:682" type="#_x0000_t202" id="docshape155" filled="false" stroked="false">
                  <v:textbox inset="0,0,0,0">
                    <w:txbxContent>
                      <w:p>
                        <w:pPr>
                          <w:spacing w:line="221" w:lineRule="exact" w:before="0"/>
                          <w:ind w:left="0" w:right="18" w:firstLine="0"/>
                          <w:jc w:val="center"/>
                          <w:rPr>
                            <w:sz w:val="20"/>
                          </w:rPr>
                        </w:pPr>
                        <w:r>
                          <w:rPr>
                            <w:sz w:val="20"/>
                          </w:rPr>
                          <w:t>No</w:t>
                        </w:r>
                        <w:r>
                          <w:rPr>
                            <w:spacing w:val="-2"/>
                            <w:sz w:val="20"/>
                          </w:rPr>
                          <w:t> </w:t>
                        </w:r>
                        <w:r>
                          <w:rPr>
                            <w:spacing w:val="-2"/>
                            <w:sz w:val="20"/>
                          </w:rPr>
                          <w:t>Autocorrelation</w:t>
                        </w:r>
                      </w:p>
                      <w:p>
                        <w:pPr>
                          <w:spacing w:before="0"/>
                          <w:ind w:left="0" w:right="12" w:firstLine="0"/>
                          <w:jc w:val="center"/>
                          <w:rPr>
                            <w:sz w:val="20"/>
                          </w:rPr>
                        </w:pPr>
                        <w:r>
                          <w:rPr>
                            <w:spacing w:val="-5"/>
                            <w:sz w:val="20"/>
                          </w:rPr>
                          <w:t>or</w:t>
                        </w:r>
                      </w:p>
                      <w:p>
                        <w:pPr>
                          <w:spacing w:before="1"/>
                          <w:ind w:left="0" w:right="20" w:firstLine="0"/>
                          <w:jc w:val="center"/>
                          <w:rPr>
                            <w:sz w:val="20"/>
                          </w:rPr>
                        </w:pPr>
                        <w:r>
                          <w:rPr>
                            <w:sz w:val="20"/>
                          </w:rPr>
                          <w:t>Acceptance</w:t>
                        </w:r>
                        <w:r>
                          <w:rPr>
                            <w:spacing w:val="-12"/>
                            <w:sz w:val="20"/>
                          </w:rPr>
                          <w:t> </w:t>
                        </w:r>
                        <w:r>
                          <w:rPr>
                            <w:spacing w:val="-2"/>
                            <w:sz w:val="20"/>
                          </w:rPr>
                          <w:t>Region</w:t>
                        </w:r>
                      </w:p>
                    </w:txbxContent>
                  </v:textbox>
                  <w10:wrap type="none"/>
                </v:shape>
                <v:shape style="position:absolute;left:1029;top:5039;width:120;height:221" type="#_x0000_t202" id="docshape156" filled="false" stroked="false">
                  <v:textbox inset="0,0,0,0">
                    <w:txbxContent>
                      <w:p>
                        <w:pPr>
                          <w:spacing w:line="221" w:lineRule="exact" w:before="0"/>
                          <w:ind w:left="0" w:right="0" w:firstLine="0"/>
                          <w:jc w:val="left"/>
                          <w:rPr>
                            <w:sz w:val="20"/>
                          </w:rPr>
                        </w:pPr>
                        <w:r>
                          <w:rPr>
                            <w:spacing w:val="-10"/>
                            <w:sz w:val="20"/>
                          </w:rPr>
                          <w:t>0</w:t>
                        </w:r>
                      </w:p>
                    </w:txbxContent>
                  </v:textbox>
                  <w10:wrap type="none"/>
                </v:shape>
                <v:shape style="position:absolute;left:2244;top:5113;width:313;height:453" type="#_x0000_t202" id="docshape157" filled="false" stroked="false">
                  <v:textbox inset="0,0,0,0">
                    <w:txbxContent>
                      <w:p>
                        <w:pPr>
                          <w:spacing w:line="225" w:lineRule="exact" w:before="0"/>
                          <w:ind w:left="0" w:right="0" w:firstLine="0"/>
                          <w:jc w:val="left"/>
                          <w:rPr>
                            <w:sz w:val="13"/>
                          </w:rPr>
                        </w:pPr>
                        <w:r>
                          <w:rPr>
                            <w:spacing w:val="-5"/>
                            <w:position w:val="2"/>
                            <w:sz w:val="20"/>
                          </w:rPr>
                          <w:t>d</w:t>
                        </w:r>
                        <w:r>
                          <w:rPr>
                            <w:spacing w:val="-5"/>
                            <w:sz w:val="13"/>
                          </w:rPr>
                          <w:t>L</w:t>
                        </w:r>
                      </w:p>
                      <w:p>
                        <w:pPr>
                          <w:spacing w:before="78"/>
                          <w:ind w:left="0" w:right="0" w:firstLine="0"/>
                          <w:jc w:val="left"/>
                          <w:rPr>
                            <w:sz w:val="13"/>
                          </w:rPr>
                        </w:pPr>
                        <w:r>
                          <w:rPr>
                            <w:spacing w:val="-2"/>
                            <w:sz w:val="13"/>
                          </w:rPr>
                          <w:t>1.064</w:t>
                        </w:r>
                      </w:p>
                    </w:txbxContent>
                  </v:textbox>
                  <w10:wrap type="none"/>
                </v:shape>
                <v:shape style="position:absolute;left:3504;top:5096;width:313;height:456" type="#_x0000_t202" id="docshape158" filled="false" stroked="false">
                  <v:textbox inset="0,0,0,0">
                    <w:txbxContent>
                      <w:p>
                        <w:pPr>
                          <w:spacing w:line="225" w:lineRule="exact" w:before="0"/>
                          <w:ind w:left="0" w:right="0" w:firstLine="0"/>
                          <w:jc w:val="left"/>
                          <w:rPr>
                            <w:sz w:val="13"/>
                          </w:rPr>
                        </w:pPr>
                        <w:r>
                          <w:rPr>
                            <w:spacing w:val="-5"/>
                            <w:position w:val="2"/>
                            <w:sz w:val="20"/>
                          </w:rPr>
                          <w:t>d</w:t>
                        </w:r>
                        <w:r>
                          <w:rPr>
                            <w:spacing w:val="-5"/>
                            <w:sz w:val="13"/>
                          </w:rPr>
                          <w:t>U</w:t>
                        </w:r>
                      </w:p>
                      <w:p>
                        <w:pPr>
                          <w:spacing w:before="81"/>
                          <w:ind w:left="0" w:right="0" w:firstLine="0"/>
                          <w:jc w:val="left"/>
                          <w:rPr>
                            <w:sz w:val="13"/>
                          </w:rPr>
                        </w:pPr>
                        <w:r>
                          <w:rPr>
                            <w:spacing w:val="-2"/>
                            <w:sz w:val="13"/>
                          </w:rPr>
                          <w:t>1.997</w:t>
                        </w:r>
                      </w:p>
                    </w:txbxContent>
                  </v:textbox>
                  <w10:wrap type="none"/>
                </v:shape>
                <v:shape style="position:absolute;left:5153;top:5127;width:120;height:221" type="#_x0000_t202" id="docshape159" filled="false" stroked="false">
                  <v:textbox inset="0,0,0,0">
                    <w:txbxContent>
                      <w:p>
                        <w:pPr>
                          <w:spacing w:line="221" w:lineRule="exact" w:before="0"/>
                          <w:ind w:left="0" w:right="0" w:firstLine="0"/>
                          <w:jc w:val="left"/>
                          <w:rPr>
                            <w:sz w:val="20"/>
                          </w:rPr>
                        </w:pPr>
                        <w:r>
                          <w:rPr>
                            <w:spacing w:val="-10"/>
                            <w:sz w:val="20"/>
                          </w:rPr>
                          <w:t>2</w:t>
                        </w:r>
                      </w:p>
                    </w:txbxContent>
                  </v:textbox>
                  <w10:wrap type="none"/>
                </v:shape>
                <v:shape style="position:absolute;left:6714;top:5113;width:380;height:453" type="#_x0000_t202" id="docshape160" filled="false" stroked="false">
                  <v:textbox inset="0,0,0,0">
                    <w:txbxContent>
                      <w:p>
                        <w:pPr>
                          <w:spacing w:line="225" w:lineRule="exact" w:before="0"/>
                          <w:ind w:left="0" w:right="0" w:firstLine="0"/>
                          <w:jc w:val="left"/>
                          <w:rPr>
                            <w:sz w:val="13"/>
                          </w:rPr>
                        </w:pPr>
                        <w:r>
                          <w:rPr>
                            <w:spacing w:val="-2"/>
                            <w:position w:val="2"/>
                            <w:sz w:val="20"/>
                          </w:rPr>
                          <w:t>4-</w:t>
                        </w:r>
                        <w:r>
                          <w:rPr>
                            <w:spacing w:val="-5"/>
                            <w:position w:val="2"/>
                            <w:sz w:val="20"/>
                          </w:rPr>
                          <w:t>d</w:t>
                        </w:r>
                        <w:r>
                          <w:rPr>
                            <w:spacing w:val="-5"/>
                            <w:sz w:val="13"/>
                          </w:rPr>
                          <w:t>U</w:t>
                        </w:r>
                      </w:p>
                      <w:p>
                        <w:pPr>
                          <w:spacing w:before="78"/>
                          <w:ind w:left="0" w:right="0" w:firstLine="0"/>
                          <w:jc w:val="left"/>
                          <w:rPr>
                            <w:sz w:val="13"/>
                          </w:rPr>
                        </w:pPr>
                        <w:r>
                          <w:rPr>
                            <w:spacing w:val="-2"/>
                            <w:sz w:val="13"/>
                          </w:rPr>
                          <w:t>2..003</w:t>
                        </w:r>
                      </w:p>
                    </w:txbxContent>
                  </v:textbox>
                  <w10:wrap type="none"/>
                </v:shape>
                <v:shape style="position:absolute;left:7974;top:5096;width:366;height:456" type="#_x0000_t202" id="docshape161" filled="false" stroked="false">
                  <v:textbox inset="0,0,0,0">
                    <w:txbxContent>
                      <w:p>
                        <w:pPr>
                          <w:spacing w:line="225" w:lineRule="exact" w:before="0"/>
                          <w:ind w:left="0" w:right="0" w:firstLine="0"/>
                          <w:jc w:val="left"/>
                          <w:rPr>
                            <w:sz w:val="13"/>
                          </w:rPr>
                        </w:pPr>
                        <w:r>
                          <w:rPr>
                            <w:spacing w:val="-2"/>
                            <w:position w:val="2"/>
                            <w:sz w:val="20"/>
                          </w:rPr>
                          <w:t>4-</w:t>
                        </w:r>
                        <w:r>
                          <w:rPr>
                            <w:spacing w:val="-5"/>
                            <w:position w:val="2"/>
                            <w:sz w:val="20"/>
                          </w:rPr>
                          <w:t>d</w:t>
                        </w:r>
                        <w:r>
                          <w:rPr>
                            <w:spacing w:val="-5"/>
                            <w:sz w:val="13"/>
                          </w:rPr>
                          <w:t>L</w:t>
                        </w:r>
                      </w:p>
                      <w:p>
                        <w:pPr>
                          <w:spacing w:before="81"/>
                          <w:ind w:left="0" w:right="0" w:firstLine="0"/>
                          <w:jc w:val="left"/>
                          <w:rPr>
                            <w:sz w:val="13"/>
                          </w:rPr>
                        </w:pPr>
                        <w:r>
                          <w:rPr>
                            <w:spacing w:val="-2"/>
                            <w:sz w:val="13"/>
                          </w:rPr>
                          <w:t>2.936</w:t>
                        </w:r>
                      </w:p>
                    </w:txbxContent>
                  </v:textbox>
                  <w10:wrap type="none"/>
                </v:shape>
                <v:shape style="position:absolute;left:9371;top:5113;width:120;height:221" type="#_x0000_t202" id="docshape162" filled="false" stroked="false">
                  <v:textbox inset="0,0,0,0">
                    <w:txbxContent>
                      <w:p>
                        <w:pPr>
                          <w:spacing w:line="221" w:lineRule="exact" w:before="0"/>
                          <w:ind w:left="0" w:right="0" w:firstLine="0"/>
                          <w:jc w:val="left"/>
                          <w:rPr>
                            <w:sz w:val="20"/>
                          </w:rPr>
                        </w:pPr>
                        <w:r>
                          <w:rPr>
                            <w:spacing w:val="-10"/>
                            <w:sz w:val="20"/>
                          </w:rPr>
                          <w:t>4</w:t>
                        </w:r>
                      </w:p>
                    </w:txbxContent>
                  </v:textbox>
                  <w10:wrap type="none"/>
                </v:shape>
                <v:shape style="position:absolute;left:1162;top:806;width:1200;height:4305" type="#_x0000_t202" id="docshape163" filled="false" stroked="false">
                  <v:textbox inset="0,0,0,0">
                    <w:txbxContent>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71"/>
                          <w:rPr>
                            <w:sz w:val="20"/>
                          </w:rPr>
                        </w:pPr>
                      </w:p>
                      <w:p>
                        <w:pPr>
                          <w:spacing w:before="0"/>
                          <w:ind w:left="76" w:right="0" w:firstLine="0"/>
                          <w:jc w:val="left"/>
                          <w:rPr>
                            <w:b/>
                            <w:sz w:val="20"/>
                          </w:rPr>
                        </w:pPr>
                        <w:r>
                          <w:rPr>
                            <w:b/>
                            <w:spacing w:val="-2"/>
                            <w:sz w:val="20"/>
                          </w:rPr>
                          <w:t>Positive Autocorrelat </w:t>
                        </w:r>
                        <w:r>
                          <w:rPr>
                            <w:b/>
                            <w:sz w:val="20"/>
                          </w:rPr>
                          <w:t>ion region</w:t>
                        </w:r>
                      </w:p>
                    </w:txbxContent>
                  </v:textbox>
                  <w10:wrap type="none"/>
                </v:shape>
                <v:shape style="position:absolute;left:8197;top:715;width:1245;height:4396" type="#_x0000_t202" id="docshape164" filled="false" stroked="false">
                  <v:textbox inset="0,0,0,0">
                    <w:txbxContent>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7"/>
                          <w:rPr>
                            <w:sz w:val="20"/>
                          </w:rPr>
                        </w:pPr>
                      </w:p>
                      <w:p>
                        <w:pPr>
                          <w:spacing w:before="0"/>
                          <w:ind w:left="107" w:right="0" w:firstLine="0"/>
                          <w:jc w:val="left"/>
                          <w:rPr>
                            <w:b/>
                            <w:sz w:val="20"/>
                          </w:rPr>
                        </w:pPr>
                        <w:r>
                          <w:rPr>
                            <w:b/>
                            <w:spacing w:val="-2"/>
                            <w:sz w:val="20"/>
                          </w:rPr>
                          <w:t>Negative Autocorrelat </w:t>
                        </w:r>
                        <w:r>
                          <w:rPr>
                            <w:b/>
                            <w:sz w:val="20"/>
                          </w:rPr>
                          <w:t>ion region</w:t>
                        </w:r>
                      </w:p>
                    </w:txbxContent>
                  </v:textbox>
                  <w10:wrap type="none"/>
                </v:shape>
                <v:shape style="position:absolute;left:6862;top:715;width:1305;height:4396" type="#_x0000_t202" id="docshape165" filled="false" stroked="false">
                  <v:textbox inset="0,0,0,0">
                    <w:txbxContent>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22"/>
                          <w:rPr>
                            <w:sz w:val="20"/>
                          </w:rPr>
                        </w:pPr>
                      </w:p>
                      <w:p>
                        <w:pPr>
                          <w:spacing w:before="0"/>
                          <w:ind w:left="197" w:right="0" w:firstLine="0"/>
                          <w:jc w:val="left"/>
                          <w:rPr>
                            <w:b/>
                            <w:sz w:val="20"/>
                          </w:rPr>
                        </w:pPr>
                        <w:r>
                          <w:rPr>
                            <w:b/>
                            <w:spacing w:val="-2"/>
                            <w:sz w:val="20"/>
                          </w:rPr>
                          <w:t>Inconclusive Region</w:t>
                        </w:r>
                      </w:p>
                    </w:txbxContent>
                  </v:textbox>
                  <w10:wrap type="none"/>
                </v:shape>
                <v:shape style="position:absolute;left:2377;top:715;width:1200;height:4396" type="#_x0000_t202" id="docshape166" filled="false" stroked="false">
                  <v:textbox inset="0,0,0,0">
                    <w:txbxContent>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36"/>
                          <w:rPr>
                            <w:sz w:val="20"/>
                          </w:rPr>
                        </w:pPr>
                      </w:p>
                      <w:p>
                        <w:pPr>
                          <w:spacing w:before="0"/>
                          <w:ind w:left="212" w:right="0" w:firstLine="0"/>
                          <w:jc w:val="left"/>
                          <w:rPr>
                            <w:b/>
                            <w:sz w:val="20"/>
                          </w:rPr>
                        </w:pPr>
                        <w:r>
                          <w:rPr>
                            <w:b/>
                            <w:spacing w:val="-2"/>
                            <w:sz w:val="20"/>
                          </w:rPr>
                          <w:t>Inconclusiv Region</w:t>
                        </w:r>
                      </w:p>
                    </w:txbxContent>
                  </v:textbox>
                  <w10:wrap type="none"/>
                </v:shape>
                <w10:wrap type="topAndBottom"/>
              </v:group>
            </w:pict>
          </mc:Fallback>
        </mc:AlternateContent>
      </w:r>
    </w:p>
    <w:p>
      <w:pPr>
        <w:spacing w:after="0"/>
        <w:rPr>
          <w:sz w:val="20"/>
        </w:rPr>
        <w:sectPr>
          <w:pgSz w:w="11910" w:h="16840"/>
          <w:pgMar w:header="0" w:footer="979" w:top="1340" w:bottom="1240" w:left="280" w:right="0"/>
        </w:sectPr>
      </w:pPr>
    </w:p>
    <w:p>
      <w:pPr>
        <w:spacing w:before="62"/>
        <w:ind w:left="678" w:right="6151" w:firstLine="0"/>
        <w:jc w:val="center"/>
        <w:rPr>
          <w:sz w:val="20"/>
        </w:rPr>
      </w:pPr>
      <w:r>
        <w:rPr>
          <w:sz w:val="20"/>
        </w:rPr>
        <w:t>DW*</w:t>
      </w:r>
      <w:r>
        <w:rPr>
          <w:spacing w:val="-6"/>
          <w:sz w:val="20"/>
        </w:rPr>
        <w:t> </w:t>
      </w:r>
      <w:r>
        <w:rPr>
          <w:spacing w:val="-2"/>
          <w:sz w:val="20"/>
        </w:rPr>
        <w:t>=1.772730</w:t>
      </w:r>
    </w:p>
    <w:p>
      <w:pPr>
        <w:pStyle w:val="BodyText"/>
        <w:ind w:left="678" w:right="6190"/>
        <w:jc w:val="center"/>
        <w:rPr>
          <w:rFonts w:ascii="Cambria"/>
        </w:rPr>
      </w:pPr>
      <w:r>
        <w:rPr>
          <w:rFonts w:ascii="Cambria"/>
        </w:rPr>
        <w:t>Graph</w:t>
      </w:r>
      <w:r>
        <w:rPr>
          <w:rFonts w:ascii="Cambria"/>
          <w:spacing w:val="-3"/>
        </w:rPr>
        <w:t> </w:t>
      </w:r>
      <w:r>
        <w:rPr>
          <w:rFonts w:ascii="Cambria"/>
        </w:rPr>
        <w:t>4.6</w:t>
      </w:r>
      <w:r>
        <w:rPr>
          <w:rFonts w:ascii="Cambria"/>
          <w:spacing w:val="-4"/>
        </w:rPr>
        <w:t> </w:t>
      </w:r>
      <w:r>
        <w:rPr>
          <w:rFonts w:ascii="Cambria"/>
        </w:rPr>
        <w:t>Durbin</w:t>
      </w:r>
      <w:r>
        <w:rPr>
          <w:rFonts w:ascii="Cambria"/>
          <w:spacing w:val="-3"/>
        </w:rPr>
        <w:t> </w:t>
      </w:r>
      <w:r>
        <w:rPr>
          <w:rFonts w:ascii="Cambria"/>
        </w:rPr>
        <w:t>Watson</w:t>
      </w:r>
      <w:r>
        <w:rPr>
          <w:rFonts w:ascii="Cambria"/>
          <w:spacing w:val="-3"/>
        </w:rPr>
        <w:t> </w:t>
      </w:r>
      <w:r>
        <w:rPr>
          <w:rFonts w:ascii="Cambria"/>
        </w:rPr>
        <w:t>graph</w:t>
      </w:r>
      <w:r>
        <w:rPr>
          <w:rFonts w:ascii="Cambria"/>
          <w:spacing w:val="-2"/>
        </w:rPr>
        <w:t> </w:t>
      </w:r>
      <w:r>
        <w:rPr>
          <w:rFonts w:ascii="Cambria"/>
        </w:rPr>
        <w:t>for</w:t>
      </w:r>
      <w:r>
        <w:rPr>
          <w:rFonts w:ascii="Cambria"/>
          <w:spacing w:val="-3"/>
        </w:rPr>
        <w:t> </w:t>
      </w:r>
      <w:r>
        <w:rPr>
          <w:rFonts w:ascii="Cambria"/>
        </w:rPr>
        <w:t>Model </w:t>
      </w:r>
      <w:r>
        <w:rPr>
          <w:rFonts w:ascii="Cambria"/>
          <w:spacing w:val="-5"/>
        </w:rPr>
        <w:t>1A.</w:t>
      </w:r>
    </w:p>
    <w:p>
      <w:pPr>
        <w:pStyle w:val="BodyText"/>
        <w:spacing w:line="480" w:lineRule="auto" w:before="280"/>
        <w:ind w:left="711" w:right="475"/>
        <w:rPr>
          <w:sz w:val="20"/>
        </w:rPr>
      </w:pPr>
      <w:r>
        <w:rPr>
          <w:rFonts w:ascii="Cambria"/>
        </w:rPr>
        <w:t>From</w:t>
      </w:r>
      <w:r>
        <w:rPr>
          <w:rFonts w:ascii="Cambria"/>
          <w:spacing w:val="20"/>
        </w:rPr>
        <w:t> </w:t>
      </w:r>
      <w:r>
        <w:rPr>
          <w:rFonts w:ascii="Cambria"/>
        </w:rPr>
        <w:t>the</w:t>
      </w:r>
      <w:r>
        <w:rPr>
          <w:rFonts w:ascii="Cambria"/>
          <w:spacing w:val="22"/>
        </w:rPr>
        <w:t> </w:t>
      </w:r>
      <w:r>
        <w:rPr>
          <w:rFonts w:ascii="Cambria"/>
        </w:rPr>
        <w:t>above</w:t>
      </w:r>
      <w:r>
        <w:rPr>
          <w:rFonts w:ascii="Cambria"/>
          <w:spacing w:val="23"/>
        </w:rPr>
        <w:t> </w:t>
      </w:r>
      <w:r>
        <w:rPr>
          <w:rFonts w:ascii="Cambria"/>
        </w:rPr>
        <w:t>graph,</w:t>
      </w:r>
      <w:r>
        <w:rPr>
          <w:rFonts w:ascii="Cambria"/>
          <w:spacing w:val="22"/>
        </w:rPr>
        <w:t> </w:t>
      </w:r>
      <w:r>
        <w:rPr>
          <w:rFonts w:ascii="Cambria"/>
        </w:rPr>
        <w:t>the</w:t>
      </w:r>
      <w:r>
        <w:rPr>
          <w:rFonts w:ascii="Cambria"/>
          <w:spacing w:val="23"/>
        </w:rPr>
        <w:t> </w:t>
      </w:r>
      <w:r>
        <w:rPr>
          <w:rFonts w:ascii="Cambria"/>
        </w:rPr>
        <w:t>DW</w:t>
      </w:r>
      <w:r>
        <w:rPr>
          <w:rFonts w:ascii="Cambria"/>
          <w:spacing w:val="20"/>
        </w:rPr>
        <w:t> </w:t>
      </w:r>
      <w:r>
        <w:rPr>
          <w:rFonts w:ascii="Cambria"/>
        </w:rPr>
        <w:t>statistics</w:t>
      </w:r>
      <w:r>
        <w:rPr>
          <w:rFonts w:ascii="Cambria"/>
          <w:spacing w:val="22"/>
        </w:rPr>
        <w:t> </w:t>
      </w:r>
      <w:r>
        <w:rPr>
          <w:rFonts w:ascii="Cambria"/>
        </w:rPr>
        <w:t>value</w:t>
      </w:r>
      <w:r>
        <w:rPr>
          <w:rFonts w:ascii="Cambria"/>
          <w:spacing w:val="22"/>
        </w:rPr>
        <w:t> </w:t>
      </w:r>
      <w:r>
        <w:rPr>
          <w:rFonts w:ascii="Cambria"/>
        </w:rPr>
        <w:t>of</w:t>
      </w:r>
      <w:r>
        <w:rPr>
          <w:rFonts w:ascii="Cambria"/>
          <w:spacing w:val="20"/>
        </w:rPr>
        <w:t> </w:t>
      </w:r>
      <w:r>
        <w:rPr>
          <w:rFonts w:ascii="Cambria"/>
        </w:rPr>
        <w:t>1.772730</w:t>
      </w:r>
      <w:r>
        <w:rPr>
          <w:rFonts w:ascii="Cambria"/>
          <w:spacing w:val="30"/>
        </w:rPr>
        <w:t> </w:t>
      </w:r>
      <w:r>
        <w:rPr/>
        <w:t>falls</w:t>
      </w:r>
      <w:r>
        <w:rPr>
          <w:spacing w:val="22"/>
        </w:rPr>
        <w:t> </w:t>
      </w:r>
      <w:r>
        <w:rPr/>
        <w:t>within</w:t>
      </w:r>
      <w:r>
        <w:rPr>
          <w:spacing w:val="22"/>
        </w:rPr>
        <w:t> </w:t>
      </w:r>
      <w:r>
        <w:rPr/>
        <w:t>the inconclusive region. Since this value tends toward 2, there is no evidence of </w:t>
      </w:r>
      <w:r>
        <w:rPr>
          <w:sz w:val="20"/>
        </w:rPr>
        <w:t>autocorrelation.</w:t>
      </w:r>
    </w:p>
    <w:p>
      <w:pPr>
        <w:pStyle w:val="BodyText"/>
        <w:spacing w:before="47"/>
      </w:pPr>
    </w:p>
    <w:p>
      <w:pPr>
        <w:pStyle w:val="Heading2"/>
        <w:jc w:val="left"/>
      </w:pPr>
      <w:r>
        <w:rPr/>
        <w:t>Table</w:t>
      </w:r>
      <w:r>
        <w:rPr>
          <w:spacing w:val="-6"/>
        </w:rPr>
        <w:t> </w:t>
      </w:r>
      <w:r>
        <w:rPr/>
        <w:t>4.15</w:t>
      </w:r>
      <w:r>
        <w:rPr>
          <w:spacing w:val="-4"/>
        </w:rPr>
        <w:t> </w:t>
      </w:r>
      <w:r>
        <w:rPr/>
        <w:t>Result</w:t>
      </w:r>
      <w:r>
        <w:rPr>
          <w:spacing w:val="-4"/>
        </w:rPr>
        <w:t> </w:t>
      </w:r>
      <w:r>
        <w:rPr/>
        <w:t>of</w:t>
      </w:r>
      <w:r>
        <w:rPr>
          <w:spacing w:val="-6"/>
        </w:rPr>
        <w:t> </w:t>
      </w:r>
      <w:r>
        <w:rPr/>
        <w:t>Cointegration</w:t>
      </w:r>
      <w:r>
        <w:rPr>
          <w:spacing w:val="-7"/>
        </w:rPr>
        <w:t> </w:t>
      </w:r>
      <w:r>
        <w:rPr/>
        <w:t>Test</w:t>
      </w:r>
      <w:r>
        <w:rPr>
          <w:spacing w:val="-4"/>
        </w:rPr>
        <w:t> </w:t>
      </w:r>
      <w:r>
        <w:rPr/>
        <w:t>for</w:t>
      </w:r>
      <w:r>
        <w:rPr>
          <w:spacing w:val="-4"/>
        </w:rPr>
        <w:t> </w:t>
      </w:r>
      <w:r>
        <w:rPr/>
        <w:t>Model</w:t>
      </w:r>
      <w:r>
        <w:rPr>
          <w:spacing w:val="-1"/>
        </w:rPr>
        <w:t> </w:t>
      </w:r>
      <w:r>
        <w:rPr>
          <w:spacing w:val="-5"/>
        </w:rPr>
        <w:t>1B</w:t>
      </w:r>
    </w:p>
    <w:p>
      <w:pPr>
        <w:spacing w:before="0"/>
        <w:ind w:left="1530" w:right="0" w:firstLine="0"/>
        <w:jc w:val="left"/>
        <w:rPr>
          <w:sz w:val="20"/>
        </w:rPr>
      </w:pPr>
      <w:r>
        <w:rPr>
          <w:sz w:val="20"/>
        </w:rPr>
        <w:t>Series:</w:t>
      </w:r>
      <w:r>
        <w:rPr>
          <w:spacing w:val="-6"/>
          <w:sz w:val="20"/>
        </w:rPr>
        <w:t> </w:t>
      </w:r>
      <w:r>
        <w:rPr>
          <w:sz w:val="20"/>
        </w:rPr>
        <w:t>KFM</w:t>
      </w:r>
      <w:r>
        <w:rPr>
          <w:spacing w:val="-5"/>
          <w:sz w:val="20"/>
        </w:rPr>
        <w:t> </w:t>
      </w:r>
      <w:r>
        <w:rPr>
          <w:sz w:val="20"/>
        </w:rPr>
        <w:t>EXTDEBT</w:t>
      </w:r>
      <w:r>
        <w:rPr>
          <w:spacing w:val="-3"/>
          <w:sz w:val="20"/>
        </w:rPr>
        <w:t> </w:t>
      </w:r>
      <w:r>
        <w:rPr>
          <w:sz w:val="20"/>
        </w:rPr>
        <w:t>DOP</w:t>
      </w:r>
      <w:r>
        <w:rPr>
          <w:spacing w:val="-3"/>
          <w:sz w:val="20"/>
        </w:rPr>
        <w:t> </w:t>
      </w:r>
      <w:r>
        <w:rPr>
          <w:sz w:val="20"/>
        </w:rPr>
        <w:t>INF</w:t>
      </w:r>
      <w:r>
        <w:rPr>
          <w:spacing w:val="-6"/>
          <w:sz w:val="20"/>
        </w:rPr>
        <w:t> </w:t>
      </w:r>
      <w:r>
        <w:rPr>
          <w:sz w:val="20"/>
        </w:rPr>
        <w:t>GCF</w:t>
      </w:r>
      <w:r>
        <w:rPr>
          <w:spacing w:val="-6"/>
          <w:sz w:val="20"/>
        </w:rPr>
        <w:t> </w:t>
      </w:r>
      <w:r>
        <w:rPr>
          <w:sz w:val="20"/>
        </w:rPr>
        <w:t>DR</w:t>
      </w:r>
      <w:r>
        <w:rPr>
          <w:spacing w:val="-5"/>
          <w:sz w:val="20"/>
        </w:rPr>
        <w:t> </w:t>
      </w:r>
      <w:r>
        <w:rPr>
          <w:sz w:val="20"/>
        </w:rPr>
        <w:t>PRIVCR</w:t>
      </w:r>
      <w:r>
        <w:rPr>
          <w:spacing w:val="-6"/>
          <w:sz w:val="20"/>
        </w:rPr>
        <w:t> </w:t>
      </w:r>
      <w:r>
        <w:rPr>
          <w:sz w:val="20"/>
        </w:rPr>
        <w:t>INTDIFF</w:t>
      </w:r>
      <w:r>
        <w:rPr>
          <w:spacing w:val="-6"/>
          <w:sz w:val="20"/>
        </w:rPr>
        <w:t> </w:t>
      </w:r>
      <w:r>
        <w:rPr>
          <w:spacing w:val="-4"/>
          <w:sz w:val="20"/>
        </w:rPr>
        <w:t>GOCE</w:t>
      </w:r>
    </w:p>
    <w:p>
      <w:pPr>
        <w:spacing w:before="1"/>
        <w:ind w:left="831" w:right="0" w:firstLine="0"/>
        <w:jc w:val="left"/>
        <w:rPr>
          <w:sz w:val="20"/>
        </w:rPr>
      </w:pPr>
      <w:r>
        <w:rPr>
          <w:sz w:val="20"/>
        </w:rPr>
        <w:t>Lags</w:t>
      </w:r>
      <w:r>
        <w:rPr>
          <w:spacing w:val="-5"/>
          <w:sz w:val="20"/>
        </w:rPr>
        <w:t> </w:t>
      </w:r>
      <w:r>
        <w:rPr>
          <w:sz w:val="20"/>
        </w:rPr>
        <w:t>interval:</w:t>
      </w:r>
      <w:r>
        <w:rPr>
          <w:spacing w:val="-5"/>
          <w:sz w:val="20"/>
        </w:rPr>
        <w:t> </w:t>
      </w:r>
      <w:r>
        <w:rPr>
          <w:sz w:val="20"/>
        </w:rPr>
        <w:t>1</w:t>
      </w:r>
      <w:r>
        <w:rPr>
          <w:spacing w:val="-3"/>
          <w:sz w:val="20"/>
        </w:rPr>
        <w:t> </w:t>
      </w:r>
      <w:r>
        <w:rPr>
          <w:sz w:val="20"/>
        </w:rPr>
        <w:t>to</w:t>
      </w:r>
      <w:r>
        <w:rPr>
          <w:spacing w:val="-3"/>
          <w:sz w:val="20"/>
        </w:rPr>
        <w:t> </w:t>
      </w:r>
      <w:r>
        <w:rPr>
          <w:spacing w:val="-10"/>
          <w:sz w:val="20"/>
        </w:rPr>
        <w:t>1</w:t>
      </w:r>
    </w:p>
    <w:tbl>
      <w:tblPr>
        <w:tblW w:w="0" w:type="auto"/>
        <w:jc w:val="left"/>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48"/>
        <w:gridCol w:w="1645"/>
        <w:gridCol w:w="2250"/>
        <w:gridCol w:w="1712"/>
        <w:gridCol w:w="1890"/>
      </w:tblGrid>
      <w:tr>
        <w:trPr>
          <w:trHeight w:val="460" w:hRule="atLeast"/>
        </w:trPr>
        <w:tc>
          <w:tcPr>
            <w:tcW w:w="2048" w:type="dxa"/>
          </w:tcPr>
          <w:p>
            <w:pPr>
              <w:pStyle w:val="TableParagraph"/>
              <w:ind w:left="809"/>
              <w:rPr>
                <w:sz w:val="20"/>
              </w:rPr>
            </w:pPr>
            <w:r>
              <w:rPr>
                <w:spacing w:val="-2"/>
                <w:sz w:val="20"/>
              </w:rPr>
              <w:t>Eigenvalue</w:t>
            </w:r>
          </w:p>
        </w:tc>
        <w:tc>
          <w:tcPr>
            <w:tcW w:w="1645" w:type="dxa"/>
          </w:tcPr>
          <w:p>
            <w:pPr>
              <w:pStyle w:val="TableParagraph"/>
              <w:ind w:left="104"/>
              <w:rPr>
                <w:sz w:val="20"/>
              </w:rPr>
            </w:pPr>
            <w:r>
              <w:rPr>
                <w:sz w:val="20"/>
              </w:rPr>
              <w:t>Likelihood</w:t>
            </w:r>
            <w:r>
              <w:rPr>
                <w:spacing w:val="-8"/>
                <w:sz w:val="20"/>
              </w:rPr>
              <w:t> </w:t>
            </w:r>
            <w:r>
              <w:rPr>
                <w:spacing w:val="-2"/>
                <w:sz w:val="20"/>
              </w:rPr>
              <w:t>Ratio</w:t>
            </w:r>
          </w:p>
        </w:tc>
        <w:tc>
          <w:tcPr>
            <w:tcW w:w="2250" w:type="dxa"/>
          </w:tcPr>
          <w:p>
            <w:pPr>
              <w:pStyle w:val="TableParagraph"/>
              <w:ind w:left="104"/>
              <w:rPr>
                <w:sz w:val="20"/>
              </w:rPr>
            </w:pPr>
            <w:r>
              <w:rPr>
                <w:sz w:val="20"/>
              </w:rPr>
              <w:t>5</w:t>
            </w:r>
            <w:r>
              <w:rPr>
                <w:spacing w:val="-4"/>
                <w:sz w:val="20"/>
              </w:rPr>
              <w:t> </w:t>
            </w:r>
            <w:r>
              <w:rPr>
                <w:sz w:val="20"/>
              </w:rPr>
              <w:t>Percent</w:t>
            </w:r>
            <w:r>
              <w:rPr>
                <w:spacing w:val="-5"/>
                <w:sz w:val="20"/>
              </w:rPr>
              <w:t> </w:t>
            </w:r>
            <w:r>
              <w:rPr>
                <w:sz w:val="20"/>
              </w:rPr>
              <w:t>Critical</w:t>
            </w:r>
            <w:r>
              <w:rPr>
                <w:spacing w:val="-5"/>
                <w:sz w:val="20"/>
              </w:rPr>
              <w:t> </w:t>
            </w:r>
            <w:r>
              <w:rPr>
                <w:spacing w:val="-4"/>
                <w:sz w:val="20"/>
              </w:rPr>
              <w:t>Value</w:t>
            </w:r>
          </w:p>
        </w:tc>
        <w:tc>
          <w:tcPr>
            <w:tcW w:w="1712" w:type="dxa"/>
          </w:tcPr>
          <w:p>
            <w:pPr>
              <w:pStyle w:val="TableParagraph"/>
              <w:spacing w:line="230" w:lineRule="atLeast"/>
              <w:ind w:left="103"/>
              <w:rPr>
                <w:sz w:val="20"/>
              </w:rPr>
            </w:pPr>
            <w:r>
              <w:rPr>
                <w:sz w:val="20"/>
              </w:rPr>
              <w:t>1</w:t>
            </w:r>
            <w:r>
              <w:rPr>
                <w:spacing w:val="-13"/>
                <w:sz w:val="20"/>
              </w:rPr>
              <w:t> </w:t>
            </w:r>
            <w:r>
              <w:rPr>
                <w:sz w:val="20"/>
              </w:rPr>
              <w:t>Percent</w:t>
            </w:r>
            <w:r>
              <w:rPr>
                <w:spacing w:val="-12"/>
                <w:sz w:val="20"/>
              </w:rPr>
              <w:t> </w:t>
            </w:r>
            <w:r>
              <w:rPr>
                <w:sz w:val="20"/>
              </w:rPr>
              <w:t>Critical</w:t>
            </w:r>
            <w:r>
              <w:rPr>
                <w:sz w:val="20"/>
              </w:rPr>
              <w:t> </w:t>
            </w:r>
            <w:r>
              <w:rPr>
                <w:spacing w:val="-2"/>
                <w:sz w:val="20"/>
              </w:rPr>
              <w:t>Value</w:t>
            </w:r>
          </w:p>
        </w:tc>
        <w:tc>
          <w:tcPr>
            <w:tcW w:w="1890" w:type="dxa"/>
          </w:tcPr>
          <w:p>
            <w:pPr>
              <w:pStyle w:val="TableParagraph"/>
              <w:spacing w:line="230" w:lineRule="atLeast"/>
              <w:ind w:left="103" w:right="170"/>
              <w:rPr>
                <w:sz w:val="20"/>
              </w:rPr>
            </w:pPr>
            <w:r>
              <w:rPr>
                <w:sz w:val="20"/>
              </w:rPr>
              <w:t>Hypothesized</w:t>
            </w:r>
            <w:r>
              <w:rPr>
                <w:spacing w:val="16"/>
                <w:sz w:val="20"/>
              </w:rPr>
              <w:t> </w:t>
            </w:r>
            <w:r>
              <w:rPr>
                <w:sz w:val="20"/>
              </w:rPr>
              <w:t>No. of CE(s)</w:t>
            </w:r>
          </w:p>
        </w:tc>
      </w:tr>
      <w:tr>
        <w:trPr>
          <w:trHeight w:val="232" w:hRule="atLeast"/>
        </w:trPr>
        <w:tc>
          <w:tcPr>
            <w:tcW w:w="2048" w:type="dxa"/>
          </w:tcPr>
          <w:p>
            <w:pPr>
              <w:pStyle w:val="TableParagraph"/>
              <w:spacing w:line="212" w:lineRule="exact"/>
              <w:ind w:left="672"/>
              <w:rPr>
                <w:sz w:val="20"/>
              </w:rPr>
            </w:pPr>
            <w:r>
              <w:rPr>
                <w:spacing w:val="-2"/>
                <w:sz w:val="20"/>
              </w:rPr>
              <w:t>0.932707</w:t>
            </w:r>
          </w:p>
        </w:tc>
        <w:tc>
          <w:tcPr>
            <w:tcW w:w="1645" w:type="dxa"/>
          </w:tcPr>
          <w:p>
            <w:pPr>
              <w:pStyle w:val="TableParagraph"/>
              <w:spacing w:line="212" w:lineRule="exact"/>
              <w:ind w:left="469"/>
              <w:rPr>
                <w:sz w:val="20"/>
              </w:rPr>
            </w:pPr>
            <w:r>
              <w:rPr>
                <w:spacing w:val="-2"/>
                <w:sz w:val="20"/>
              </w:rPr>
              <w:t>299.3141</w:t>
            </w:r>
          </w:p>
        </w:tc>
        <w:tc>
          <w:tcPr>
            <w:tcW w:w="2250" w:type="dxa"/>
          </w:tcPr>
          <w:p>
            <w:pPr>
              <w:pStyle w:val="TableParagraph"/>
              <w:spacing w:line="212" w:lineRule="exact"/>
              <w:ind w:left="100" w:right="98"/>
              <w:jc w:val="center"/>
              <w:rPr>
                <w:sz w:val="20"/>
              </w:rPr>
            </w:pPr>
            <w:r>
              <w:rPr>
                <w:spacing w:val="-2"/>
                <w:sz w:val="20"/>
              </w:rPr>
              <w:t>192.89</w:t>
            </w:r>
          </w:p>
        </w:tc>
        <w:tc>
          <w:tcPr>
            <w:tcW w:w="1712" w:type="dxa"/>
          </w:tcPr>
          <w:p>
            <w:pPr>
              <w:pStyle w:val="TableParagraph"/>
              <w:spacing w:line="212" w:lineRule="exact"/>
              <w:ind w:left="99" w:right="100"/>
              <w:jc w:val="center"/>
              <w:rPr>
                <w:sz w:val="20"/>
              </w:rPr>
            </w:pPr>
            <w:r>
              <w:rPr>
                <w:spacing w:val="-2"/>
                <w:sz w:val="20"/>
              </w:rPr>
              <w:t>204.95</w:t>
            </w:r>
          </w:p>
        </w:tc>
        <w:tc>
          <w:tcPr>
            <w:tcW w:w="1890" w:type="dxa"/>
          </w:tcPr>
          <w:p>
            <w:pPr>
              <w:pStyle w:val="TableParagraph"/>
              <w:spacing w:line="212" w:lineRule="exact"/>
              <w:ind w:left="405"/>
              <w:rPr>
                <w:sz w:val="20"/>
              </w:rPr>
            </w:pPr>
            <w:r>
              <w:rPr>
                <w:sz w:val="20"/>
              </w:rPr>
              <w:t>None</w:t>
            </w:r>
            <w:r>
              <w:rPr>
                <w:spacing w:val="-6"/>
                <w:sz w:val="20"/>
              </w:rPr>
              <w:t> </w:t>
            </w:r>
            <w:r>
              <w:rPr>
                <w:spacing w:val="-5"/>
                <w:sz w:val="20"/>
              </w:rPr>
              <w:t>**</w:t>
            </w:r>
          </w:p>
        </w:tc>
      </w:tr>
      <w:tr>
        <w:trPr>
          <w:trHeight w:val="235" w:hRule="atLeast"/>
        </w:trPr>
        <w:tc>
          <w:tcPr>
            <w:tcW w:w="2048" w:type="dxa"/>
          </w:tcPr>
          <w:p>
            <w:pPr>
              <w:pStyle w:val="TableParagraph"/>
              <w:spacing w:line="215" w:lineRule="exact" w:before="1"/>
              <w:ind w:left="672"/>
              <w:rPr>
                <w:sz w:val="20"/>
              </w:rPr>
            </w:pPr>
            <w:r>
              <w:rPr>
                <w:spacing w:val="-2"/>
                <w:sz w:val="20"/>
              </w:rPr>
              <w:t>0.825263</w:t>
            </w:r>
          </w:p>
        </w:tc>
        <w:tc>
          <w:tcPr>
            <w:tcW w:w="1645" w:type="dxa"/>
          </w:tcPr>
          <w:p>
            <w:pPr>
              <w:pStyle w:val="TableParagraph"/>
              <w:spacing w:line="215" w:lineRule="exact" w:before="1"/>
              <w:ind w:left="469"/>
              <w:rPr>
                <w:sz w:val="20"/>
              </w:rPr>
            </w:pPr>
            <w:r>
              <w:rPr>
                <w:spacing w:val="-2"/>
                <w:sz w:val="20"/>
              </w:rPr>
              <w:t>199.4624</w:t>
            </w:r>
          </w:p>
        </w:tc>
        <w:tc>
          <w:tcPr>
            <w:tcW w:w="2250" w:type="dxa"/>
          </w:tcPr>
          <w:p>
            <w:pPr>
              <w:pStyle w:val="TableParagraph"/>
              <w:spacing w:line="215" w:lineRule="exact" w:before="1"/>
              <w:ind w:left="100" w:right="98"/>
              <w:jc w:val="center"/>
              <w:rPr>
                <w:sz w:val="20"/>
              </w:rPr>
            </w:pPr>
            <w:r>
              <w:rPr>
                <w:spacing w:val="-2"/>
                <w:sz w:val="20"/>
              </w:rPr>
              <w:t>156.00</w:t>
            </w:r>
          </w:p>
        </w:tc>
        <w:tc>
          <w:tcPr>
            <w:tcW w:w="1712" w:type="dxa"/>
          </w:tcPr>
          <w:p>
            <w:pPr>
              <w:pStyle w:val="TableParagraph"/>
              <w:spacing w:line="215" w:lineRule="exact" w:before="1"/>
              <w:ind w:left="99" w:right="100"/>
              <w:jc w:val="center"/>
              <w:rPr>
                <w:sz w:val="20"/>
              </w:rPr>
            </w:pPr>
            <w:r>
              <w:rPr>
                <w:spacing w:val="-2"/>
                <w:sz w:val="20"/>
              </w:rPr>
              <w:t>168.36</w:t>
            </w:r>
          </w:p>
        </w:tc>
        <w:tc>
          <w:tcPr>
            <w:tcW w:w="1890" w:type="dxa"/>
          </w:tcPr>
          <w:p>
            <w:pPr>
              <w:pStyle w:val="TableParagraph"/>
              <w:spacing w:line="215" w:lineRule="exact" w:before="1"/>
              <w:ind w:left="254"/>
              <w:rPr>
                <w:sz w:val="20"/>
              </w:rPr>
            </w:pPr>
            <w:r>
              <w:rPr>
                <w:sz w:val="20"/>
              </w:rPr>
              <w:t>At</w:t>
            </w:r>
            <w:r>
              <w:rPr>
                <w:spacing w:val="-3"/>
                <w:sz w:val="20"/>
              </w:rPr>
              <w:t> </w:t>
            </w:r>
            <w:r>
              <w:rPr>
                <w:sz w:val="20"/>
              </w:rPr>
              <w:t>most</w:t>
            </w:r>
            <w:r>
              <w:rPr>
                <w:spacing w:val="-4"/>
                <w:sz w:val="20"/>
              </w:rPr>
              <w:t> </w:t>
            </w:r>
            <w:r>
              <w:rPr>
                <w:sz w:val="20"/>
              </w:rPr>
              <w:t>1</w:t>
            </w:r>
            <w:r>
              <w:rPr>
                <w:spacing w:val="-1"/>
                <w:sz w:val="20"/>
              </w:rPr>
              <w:t> </w:t>
            </w:r>
            <w:r>
              <w:rPr>
                <w:spacing w:val="-5"/>
                <w:sz w:val="20"/>
              </w:rPr>
              <w:t>**</w:t>
            </w:r>
          </w:p>
        </w:tc>
      </w:tr>
      <w:tr>
        <w:trPr>
          <w:trHeight w:val="234" w:hRule="atLeast"/>
        </w:trPr>
        <w:tc>
          <w:tcPr>
            <w:tcW w:w="2048" w:type="dxa"/>
          </w:tcPr>
          <w:p>
            <w:pPr>
              <w:pStyle w:val="TableParagraph"/>
              <w:spacing w:line="215" w:lineRule="exact"/>
              <w:ind w:left="672"/>
              <w:rPr>
                <w:sz w:val="20"/>
              </w:rPr>
            </w:pPr>
            <w:r>
              <w:rPr>
                <w:spacing w:val="-2"/>
                <w:sz w:val="20"/>
              </w:rPr>
              <w:t>0.680666</w:t>
            </w:r>
          </w:p>
        </w:tc>
        <w:tc>
          <w:tcPr>
            <w:tcW w:w="1645" w:type="dxa"/>
          </w:tcPr>
          <w:p>
            <w:pPr>
              <w:pStyle w:val="TableParagraph"/>
              <w:spacing w:line="215" w:lineRule="exact"/>
              <w:ind w:left="469"/>
              <w:rPr>
                <w:sz w:val="20"/>
              </w:rPr>
            </w:pPr>
            <w:r>
              <w:rPr>
                <w:spacing w:val="-2"/>
                <w:sz w:val="20"/>
              </w:rPr>
              <w:t>134.9168</w:t>
            </w:r>
          </w:p>
        </w:tc>
        <w:tc>
          <w:tcPr>
            <w:tcW w:w="2250" w:type="dxa"/>
          </w:tcPr>
          <w:p>
            <w:pPr>
              <w:pStyle w:val="TableParagraph"/>
              <w:spacing w:line="215" w:lineRule="exact"/>
              <w:ind w:left="100" w:right="98"/>
              <w:jc w:val="center"/>
              <w:rPr>
                <w:sz w:val="20"/>
              </w:rPr>
            </w:pPr>
            <w:r>
              <w:rPr>
                <w:spacing w:val="-2"/>
                <w:sz w:val="20"/>
              </w:rPr>
              <w:t>124.24</w:t>
            </w:r>
          </w:p>
        </w:tc>
        <w:tc>
          <w:tcPr>
            <w:tcW w:w="1712" w:type="dxa"/>
          </w:tcPr>
          <w:p>
            <w:pPr>
              <w:pStyle w:val="TableParagraph"/>
              <w:spacing w:line="215" w:lineRule="exact"/>
              <w:ind w:left="99" w:right="100"/>
              <w:jc w:val="center"/>
              <w:rPr>
                <w:sz w:val="20"/>
              </w:rPr>
            </w:pPr>
            <w:r>
              <w:rPr>
                <w:spacing w:val="-2"/>
                <w:sz w:val="20"/>
              </w:rPr>
              <w:t>133.57</w:t>
            </w:r>
          </w:p>
        </w:tc>
        <w:tc>
          <w:tcPr>
            <w:tcW w:w="1890" w:type="dxa"/>
          </w:tcPr>
          <w:p>
            <w:pPr>
              <w:pStyle w:val="TableParagraph"/>
              <w:spacing w:line="215" w:lineRule="exact"/>
              <w:ind w:left="254"/>
              <w:rPr>
                <w:sz w:val="20"/>
              </w:rPr>
            </w:pPr>
            <w:r>
              <w:rPr>
                <w:sz w:val="20"/>
              </w:rPr>
              <w:t>At</w:t>
            </w:r>
            <w:r>
              <w:rPr>
                <w:spacing w:val="-3"/>
                <w:sz w:val="20"/>
              </w:rPr>
              <w:t> </w:t>
            </w:r>
            <w:r>
              <w:rPr>
                <w:sz w:val="20"/>
              </w:rPr>
              <w:t>most</w:t>
            </w:r>
            <w:r>
              <w:rPr>
                <w:spacing w:val="-4"/>
                <w:sz w:val="20"/>
              </w:rPr>
              <w:t> </w:t>
            </w:r>
            <w:r>
              <w:rPr>
                <w:sz w:val="20"/>
              </w:rPr>
              <w:t>2</w:t>
            </w:r>
            <w:r>
              <w:rPr>
                <w:spacing w:val="-1"/>
                <w:sz w:val="20"/>
              </w:rPr>
              <w:t> </w:t>
            </w:r>
            <w:r>
              <w:rPr>
                <w:spacing w:val="-5"/>
                <w:sz w:val="20"/>
              </w:rPr>
              <w:t>**</w:t>
            </w:r>
          </w:p>
        </w:tc>
      </w:tr>
      <w:tr>
        <w:trPr>
          <w:trHeight w:val="232" w:hRule="atLeast"/>
        </w:trPr>
        <w:tc>
          <w:tcPr>
            <w:tcW w:w="2048" w:type="dxa"/>
          </w:tcPr>
          <w:p>
            <w:pPr>
              <w:pStyle w:val="TableParagraph"/>
              <w:spacing w:line="212" w:lineRule="exact"/>
              <w:ind w:left="672"/>
              <w:rPr>
                <w:sz w:val="20"/>
              </w:rPr>
            </w:pPr>
            <w:r>
              <w:rPr>
                <w:spacing w:val="-2"/>
                <w:sz w:val="20"/>
              </w:rPr>
              <w:t>0.565902</w:t>
            </w:r>
          </w:p>
        </w:tc>
        <w:tc>
          <w:tcPr>
            <w:tcW w:w="1645" w:type="dxa"/>
          </w:tcPr>
          <w:p>
            <w:pPr>
              <w:pStyle w:val="TableParagraph"/>
              <w:spacing w:line="212" w:lineRule="exact"/>
              <w:ind w:left="469"/>
              <w:rPr>
                <w:sz w:val="20"/>
              </w:rPr>
            </w:pPr>
            <w:r>
              <w:rPr>
                <w:spacing w:val="-2"/>
                <w:sz w:val="20"/>
              </w:rPr>
              <w:t>92.68063</w:t>
            </w:r>
          </w:p>
        </w:tc>
        <w:tc>
          <w:tcPr>
            <w:tcW w:w="2250" w:type="dxa"/>
          </w:tcPr>
          <w:p>
            <w:pPr>
              <w:pStyle w:val="TableParagraph"/>
              <w:spacing w:line="212" w:lineRule="exact"/>
              <w:ind w:left="100" w:right="50"/>
              <w:jc w:val="center"/>
              <w:rPr>
                <w:sz w:val="20"/>
              </w:rPr>
            </w:pPr>
            <w:r>
              <w:rPr>
                <w:spacing w:val="-2"/>
                <w:sz w:val="20"/>
              </w:rPr>
              <w:t>94.15</w:t>
            </w:r>
          </w:p>
        </w:tc>
        <w:tc>
          <w:tcPr>
            <w:tcW w:w="1712" w:type="dxa"/>
          </w:tcPr>
          <w:p>
            <w:pPr>
              <w:pStyle w:val="TableParagraph"/>
              <w:spacing w:line="212" w:lineRule="exact"/>
              <w:ind w:left="99" w:right="100"/>
              <w:jc w:val="center"/>
              <w:rPr>
                <w:sz w:val="20"/>
              </w:rPr>
            </w:pPr>
            <w:r>
              <w:rPr>
                <w:spacing w:val="-2"/>
                <w:sz w:val="20"/>
              </w:rPr>
              <w:t>103.18</w:t>
            </w:r>
          </w:p>
        </w:tc>
        <w:tc>
          <w:tcPr>
            <w:tcW w:w="1890" w:type="dxa"/>
          </w:tcPr>
          <w:p>
            <w:pPr>
              <w:pStyle w:val="TableParagraph"/>
              <w:spacing w:line="212" w:lineRule="exact"/>
              <w:ind w:left="254"/>
              <w:rPr>
                <w:sz w:val="20"/>
              </w:rPr>
            </w:pPr>
            <w:r>
              <w:rPr>
                <w:sz w:val="20"/>
              </w:rPr>
              <w:t>At</w:t>
            </w:r>
            <w:r>
              <w:rPr>
                <w:spacing w:val="-4"/>
                <w:sz w:val="20"/>
              </w:rPr>
              <w:t> </w:t>
            </w:r>
            <w:r>
              <w:rPr>
                <w:sz w:val="20"/>
              </w:rPr>
              <w:t>most</w:t>
            </w:r>
            <w:r>
              <w:rPr>
                <w:spacing w:val="-6"/>
                <w:sz w:val="20"/>
              </w:rPr>
              <w:t> </w:t>
            </w:r>
            <w:r>
              <w:rPr>
                <w:spacing w:val="-10"/>
                <w:sz w:val="20"/>
              </w:rPr>
              <w:t>3</w:t>
            </w:r>
          </w:p>
        </w:tc>
      </w:tr>
      <w:tr>
        <w:trPr>
          <w:trHeight w:val="234" w:hRule="atLeast"/>
        </w:trPr>
        <w:tc>
          <w:tcPr>
            <w:tcW w:w="2048" w:type="dxa"/>
          </w:tcPr>
          <w:p>
            <w:pPr>
              <w:pStyle w:val="TableParagraph"/>
              <w:spacing w:line="215" w:lineRule="exact"/>
              <w:ind w:left="672"/>
              <w:rPr>
                <w:sz w:val="20"/>
              </w:rPr>
            </w:pPr>
            <w:r>
              <w:rPr>
                <w:spacing w:val="-2"/>
                <w:sz w:val="20"/>
              </w:rPr>
              <w:t>0.524678</w:t>
            </w:r>
          </w:p>
        </w:tc>
        <w:tc>
          <w:tcPr>
            <w:tcW w:w="1645" w:type="dxa"/>
          </w:tcPr>
          <w:p>
            <w:pPr>
              <w:pStyle w:val="TableParagraph"/>
              <w:spacing w:line="215" w:lineRule="exact"/>
              <w:ind w:left="469"/>
              <w:rPr>
                <w:sz w:val="20"/>
              </w:rPr>
            </w:pPr>
            <w:r>
              <w:rPr>
                <w:spacing w:val="-2"/>
                <w:sz w:val="20"/>
              </w:rPr>
              <w:t>61.80468</w:t>
            </w:r>
          </w:p>
        </w:tc>
        <w:tc>
          <w:tcPr>
            <w:tcW w:w="2250" w:type="dxa"/>
          </w:tcPr>
          <w:p>
            <w:pPr>
              <w:pStyle w:val="TableParagraph"/>
              <w:spacing w:line="215" w:lineRule="exact"/>
              <w:ind w:left="100" w:right="50"/>
              <w:jc w:val="center"/>
              <w:rPr>
                <w:sz w:val="20"/>
              </w:rPr>
            </w:pPr>
            <w:r>
              <w:rPr>
                <w:spacing w:val="-2"/>
                <w:sz w:val="20"/>
              </w:rPr>
              <w:t>68.52</w:t>
            </w:r>
          </w:p>
        </w:tc>
        <w:tc>
          <w:tcPr>
            <w:tcW w:w="1712" w:type="dxa"/>
          </w:tcPr>
          <w:p>
            <w:pPr>
              <w:pStyle w:val="TableParagraph"/>
              <w:spacing w:line="215" w:lineRule="exact"/>
              <w:ind w:left="99" w:right="50"/>
              <w:jc w:val="center"/>
              <w:rPr>
                <w:sz w:val="20"/>
              </w:rPr>
            </w:pPr>
            <w:r>
              <w:rPr>
                <w:spacing w:val="-2"/>
                <w:sz w:val="20"/>
              </w:rPr>
              <w:t>76.07</w:t>
            </w:r>
          </w:p>
        </w:tc>
        <w:tc>
          <w:tcPr>
            <w:tcW w:w="1890" w:type="dxa"/>
          </w:tcPr>
          <w:p>
            <w:pPr>
              <w:pStyle w:val="TableParagraph"/>
              <w:spacing w:line="215" w:lineRule="exact"/>
              <w:ind w:left="254"/>
              <w:rPr>
                <w:sz w:val="20"/>
              </w:rPr>
            </w:pPr>
            <w:r>
              <w:rPr>
                <w:sz w:val="20"/>
              </w:rPr>
              <w:t>At</w:t>
            </w:r>
            <w:r>
              <w:rPr>
                <w:spacing w:val="-4"/>
                <w:sz w:val="20"/>
              </w:rPr>
              <w:t> </w:t>
            </w:r>
            <w:r>
              <w:rPr>
                <w:sz w:val="20"/>
              </w:rPr>
              <w:t>most</w:t>
            </w:r>
            <w:r>
              <w:rPr>
                <w:spacing w:val="-6"/>
                <w:sz w:val="20"/>
              </w:rPr>
              <w:t> </w:t>
            </w:r>
            <w:r>
              <w:rPr>
                <w:spacing w:val="-10"/>
                <w:sz w:val="20"/>
              </w:rPr>
              <w:t>4</w:t>
            </w:r>
          </w:p>
        </w:tc>
      </w:tr>
      <w:tr>
        <w:trPr>
          <w:trHeight w:val="234" w:hRule="atLeast"/>
        </w:trPr>
        <w:tc>
          <w:tcPr>
            <w:tcW w:w="2048" w:type="dxa"/>
          </w:tcPr>
          <w:p>
            <w:pPr>
              <w:pStyle w:val="TableParagraph"/>
              <w:spacing w:line="215" w:lineRule="exact"/>
              <w:ind w:left="672"/>
              <w:rPr>
                <w:sz w:val="20"/>
              </w:rPr>
            </w:pPr>
            <w:r>
              <w:rPr>
                <w:spacing w:val="-2"/>
                <w:sz w:val="20"/>
              </w:rPr>
              <w:t>0.402360</w:t>
            </w:r>
          </w:p>
        </w:tc>
        <w:tc>
          <w:tcPr>
            <w:tcW w:w="1645" w:type="dxa"/>
          </w:tcPr>
          <w:p>
            <w:pPr>
              <w:pStyle w:val="TableParagraph"/>
              <w:spacing w:line="215" w:lineRule="exact"/>
              <w:ind w:left="469"/>
              <w:rPr>
                <w:sz w:val="20"/>
              </w:rPr>
            </w:pPr>
            <w:r>
              <w:rPr>
                <w:spacing w:val="-2"/>
                <w:sz w:val="20"/>
              </w:rPr>
              <w:t>34.28549</w:t>
            </w:r>
          </w:p>
        </w:tc>
        <w:tc>
          <w:tcPr>
            <w:tcW w:w="2250" w:type="dxa"/>
          </w:tcPr>
          <w:p>
            <w:pPr>
              <w:pStyle w:val="TableParagraph"/>
              <w:spacing w:line="215" w:lineRule="exact"/>
              <w:ind w:left="100" w:right="50"/>
              <w:jc w:val="center"/>
              <w:rPr>
                <w:sz w:val="20"/>
              </w:rPr>
            </w:pPr>
            <w:r>
              <w:rPr>
                <w:spacing w:val="-2"/>
                <w:sz w:val="20"/>
              </w:rPr>
              <w:t>47.21</w:t>
            </w:r>
          </w:p>
        </w:tc>
        <w:tc>
          <w:tcPr>
            <w:tcW w:w="1712" w:type="dxa"/>
          </w:tcPr>
          <w:p>
            <w:pPr>
              <w:pStyle w:val="TableParagraph"/>
              <w:spacing w:line="215" w:lineRule="exact"/>
              <w:ind w:left="99" w:right="50"/>
              <w:jc w:val="center"/>
              <w:rPr>
                <w:sz w:val="20"/>
              </w:rPr>
            </w:pPr>
            <w:r>
              <w:rPr>
                <w:spacing w:val="-2"/>
                <w:sz w:val="20"/>
              </w:rPr>
              <w:t>54.46</w:t>
            </w:r>
          </w:p>
        </w:tc>
        <w:tc>
          <w:tcPr>
            <w:tcW w:w="1890" w:type="dxa"/>
          </w:tcPr>
          <w:p>
            <w:pPr>
              <w:pStyle w:val="TableParagraph"/>
              <w:spacing w:line="215" w:lineRule="exact"/>
              <w:ind w:left="254"/>
              <w:rPr>
                <w:sz w:val="20"/>
              </w:rPr>
            </w:pPr>
            <w:r>
              <w:rPr>
                <w:sz w:val="20"/>
              </w:rPr>
              <w:t>At</w:t>
            </w:r>
            <w:r>
              <w:rPr>
                <w:spacing w:val="-4"/>
                <w:sz w:val="20"/>
              </w:rPr>
              <w:t> </w:t>
            </w:r>
            <w:r>
              <w:rPr>
                <w:sz w:val="20"/>
              </w:rPr>
              <w:t>most</w:t>
            </w:r>
            <w:r>
              <w:rPr>
                <w:spacing w:val="-6"/>
                <w:sz w:val="20"/>
              </w:rPr>
              <w:t> </w:t>
            </w:r>
            <w:r>
              <w:rPr>
                <w:spacing w:val="-10"/>
                <w:sz w:val="20"/>
              </w:rPr>
              <w:t>5</w:t>
            </w:r>
          </w:p>
        </w:tc>
      </w:tr>
      <w:tr>
        <w:trPr>
          <w:trHeight w:val="376" w:hRule="atLeast"/>
        </w:trPr>
        <w:tc>
          <w:tcPr>
            <w:tcW w:w="2048" w:type="dxa"/>
          </w:tcPr>
          <w:p>
            <w:pPr>
              <w:pStyle w:val="TableParagraph"/>
              <w:ind w:left="672"/>
              <w:rPr>
                <w:sz w:val="20"/>
              </w:rPr>
            </w:pPr>
            <w:r>
              <w:rPr>
                <w:spacing w:val="-2"/>
                <w:sz w:val="20"/>
              </w:rPr>
              <w:t>0.283212</w:t>
            </w:r>
          </w:p>
        </w:tc>
        <w:tc>
          <w:tcPr>
            <w:tcW w:w="1645" w:type="dxa"/>
          </w:tcPr>
          <w:p>
            <w:pPr>
              <w:pStyle w:val="TableParagraph"/>
              <w:ind w:left="469"/>
              <w:rPr>
                <w:sz w:val="20"/>
              </w:rPr>
            </w:pPr>
            <w:r>
              <w:rPr>
                <w:spacing w:val="-2"/>
                <w:sz w:val="20"/>
              </w:rPr>
              <w:t>15.23910</w:t>
            </w:r>
          </w:p>
        </w:tc>
        <w:tc>
          <w:tcPr>
            <w:tcW w:w="2250" w:type="dxa"/>
          </w:tcPr>
          <w:p>
            <w:pPr>
              <w:pStyle w:val="TableParagraph"/>
              <w:ind w:left="100" w:right="50"/>
              <w:jc w:val="center"/>
              <w:rPr>
                <w:sz w:val="20"/>
              </w:rPr>
            </w:pPr>
            <w:r>
              <w:rPr>
                <w:spacing w:val="-2"/>
                <w:sz w:val="20"/>
              </w:rPr>
              <w:t>29.68</w:t>
            </w:r>
          </w:p>
        </w:tc>
        <w:tc>
          <w:tcPr>
            <w:tcW w:w="1712" w:type="dxa"/>
          </w:tcPr>
          <w:p>
            <w:pPr>
              <w:pStyle w:val="TableParagraph"/>
              <w:ind w:left="99" w:right="50"/>
              <w:jc w:val="center"/>
              <w:rPr>
                <w:sz w:val="20"/>
              </w:rPr>
            </w:pPr>
            <w:r>
              <w:rPr>
                <w:spacing w:val="-2"/>
                <w:sz w:val="20"/>
              </w:rPr>
              <w:t>35.65</w:t>
            </w:r>
          </w:p>
        </w:tc>
        <w:tc>
          <w:tcPr>
            <w:tcW w:w="1890" w:type="dxa"/>
          </w:tcPr>
          <w:p>
            <w:pPr>
              <w:pStyle w:val="TableParagraph"/>
              <w:ind w:left="254"/>
              <w:rPr>
                <w:sz w:val="20"/>
              </w:rPr>
            </w:pPr>
            <w:r>
              <w:rPr>
                <w:sz w:val="20"/>
              </w:rPr>
              <w:t>At</w:t>
            </w:r>
            <w:r>
              <w:rPr>
                <w:spacing w:val="-4"/>
                <w:sz w:val="20"/>
              </w:rPr>
              <w:t> </w:t>
            </w:r>
            <w:r>
              <w:rPr>
                <w:sz w:val="20"/>
              </w:rPr>
              <w:t>most</w:t>
            </w:r>
            <w:r>
              <w:rPr>
                <w:spacing w:val="-6"/>
                <w:sz w:val="20"/>
              </w:rPr>
              <w:t> </w:t>
            </w:r>
            <w:r>
              <w:rPr>
                <w:spacing w:val="-10"/>
                <w:sz w:val="20"/>
              </w:rPr>
              <w:t>6</w:t>
            </w:r>
          </w:p>
        </w:tc>
      </w:tr>
      <w:tr>
        <w:trPr>
          <w:trHeight w:val="412" w:hRule="atLeast"/>
        </w:trPr>
        <w:tc>
          <w:tcPr>
            <w:tcW w:w="2048" w:type="dxa"/>
          </w:tcPr>
          <w:p>
            <w:pPr>
              <w:pStyle w:val="TableParagraph"/>
              <w:ind w:left="672"/>
              <w:rPr>
                <w:sz w:val="20"/>
              </w:rPr>
            </w:pPr>
            <w:r>
              <w:rPr>
                <w:spacing w:val="-2"/>
                <w:sz w:val="20"/>
              </w:rPr>
              <w:t>0.071884</w:t>
            </w:r>
          </w:p>
        </w:tc>
        <w:tc>
          <w:tcPr>
            <w:tcW w:w="1645" w:type="dxa"/>
          </w:tcPr>
          <w:p>
            <w:pPr>
              <w:pStyle w:val="TableParagraph"/>
              <w:ind w:left="469"/>
              <w:rPr>
                <w:sz w:val="20"/>
              </w:rPr>
            </w:pPr>
            <w:r>
              <w:rPr>
                <w:spacing w:val="-2"/>
                <w:sz w:val="20"/>
              </w:rPr>
              <w:t>2.919011</w:t>
            </w:r>
          </w:p>
        </w:tc>
        <w:tc>
          <w:tcPr>
            <w:tcW w:w="2250" w:type="dxa"/>
          </w:tcPr>
          <w:p>
            <w:pPr>
              <w:pStyle w:val="TableParagraph"/>
              <w:ind w:left="100" w:right="50"/>
              <w:jc w:val="center"/>
              <w:rPr>
                <w:sz w:val="20"/>
              </w:rPr>
            </w:pPr>
            <w:r>
              <w:rPr>
                <w:spacing w:val="-2"/>
                <w:sz w:val="20"/>
              </w:rPr>
              <w:t>15.41</w:t>
            </w:r>
          </w:p>
        </w:tc>
        <w:tc>
          <w:tcPr>
            <w:tcW w:w="1712" w:type="dxa"/>
          </w:tcPr>
          <w:p>
            <w:pPr>
              <w:pStyle w:val="TableParagraph"/>
              <w:ind w:left="99" w:right="50"/>
              <w:jc w:val="center"/>
              <w:rPr>
                <w:sz w:val="20"/>
              </w:rPr>
            </w:pPr>
            <w:r>
              <w:rPr>
                <w:spacing w:val="-2"/>
                <w:sz w:val="20"/>
              </w:rPr>
              <w:t>20.04</w:t>
            </w:r>
          </w:p>
        </w:tc>
        <w:tc>
          <w:tcPr>
            <w:tcW w:w="1890" w:type="dxa"/>
          </w:tcPr>
          <w:p>
            <w:pPr>
              <w:pStyle w:val="TableParagraph"/>
              <w:ind w:left="254"/>
              <w:rPr>
                <w:sz w:val="20"/>
              </w:rPr>
            </w:pPr>
            <w:r>
              <w:rPr>
                <w:sz w:val="20"/>
              </w:rPr>
              <w:t>At</w:t>
            </w:r>
            <w:r>
              <w:rPr>
                <w:spacing w:val="-4"/>
                <w:sz w:val="20"/>
              </w:rPr>
              <w:t> </w:t>
            </w:r>
            <w:r>
              <w:rPr>
                <w:sz w:val="20"/>
              </w:rPr>
              <w:t>most</w:t>
            </w:r>
            <w:r>
              <w:rPr>
                <w:spacing w:val="-6"/>
                <w:sz w:val="20"/>
              </w:rPr>
              <w:t> </w:t>
            </w:r>
            <w:r>
              <w:rPr>
                <w:spacing w:val="-10"/>
                <w:sz w:val="20"/>
              </w:rPr>
              <w:t>7</w:t>
            </w:r>
          </w:p>
        </w:tc>
      </w:tr>
      <w:tr>
        <w:trPr>
          <w:trHeight w:val="513" w:hRule="atLeast"/>
        </w:trPr>
        <w:tc>
          <w:tcPr>
            <w:tcW w:w="2048" w:type="dxa"/>
          </w:tcPr>
          <w:p>
            <w:pPr>
              <w:pStyle w:val="TableParagraph"/>
              <w:ind w:left="672"/>
              <w:rPr>
                <w:sz w:val="20"/>
              </w:rPr>
            </w:pPr>
            <w:r>
              <w:rPr>
                <w:spacing w:val="-2"/>
                <w:sz w:val="20"/>
              </w:rPr>
              <w:t>0.004285</w:t>
            </w:r>
          </w:p>
        </w:tc>
        <w:tc>
          <w:tcPr>
            <w:tcW w:w="1645" w:type="dxa"/>
          </w:tcPr>
          <w:p>
            <w:pPr>
              <w:pStyle w:val="TableParagraph"/>
              <w:ind w:left="469"/>
              <w:rPr>
                <w:sz w:val="20"/>
              </w:rPr>
            </w:pPr>
            <w:r>
              <w:rPr>
                <w:spacing w:val="-2"/>
                <w:sz w:val="20"/>
              </w:rPr>
              <w:t>0.158882</w:t>
            </w:r>
          </w:p>
        </w:tc>
        <w:tc>
          <w:tcPr>
            <w:tcW w:w="2250" w:type="dxa"/>
          </w:tcPr>
          <w:p>
            <w:pPr>
              <w:pStyle w:val="TableParagraph"/>
              <w:ind w:left="100"/>
              <w:jc w:val="center"/>
              <w:rPr>
                <w:sz w:val="20"/>
              </w:rPr>
            </w:pPr>
            <w:r>
              <w:rPr>
                <w:spacing w:val="-4"/>
                <w:sz w:val="20"/>
              </w:rPr>
              <w:t>3.76</w:t>
            </w:r>
          </w:p>
        </w:tc>
        <w:tc>
          <w:tcPr>
            <w:tcW w:w="1712" w:type="dxa"/>
          </w:tcPr>
          <w:p>
            <w:pPr>
              <w:pStyle w:val="TableParagraph"/>
              <w:ind w:left="100" w:right="1"/>
              <w:jc w:val="center"/>
              <w:rPr>
                <w:sz w:val="20"/>
              </w:rPr>
            </w:pPr>
            <w:r>
              <w:rPr>
                <w:spacing w:val="-4"/>
                <w:sz w:val="20"/>
              </w:rPr>
              <w:t>6.65</w:t>
            </w:r>
          </w:p>
        </w:tc>
        <w:tc>
          <w:tcPr>
            <w:tcW w:w="1890" w:type="dxa"/>
          </w:tcPr>
          <w:p>
            <w:pPr>
              <w:pStyle w:val="TableParagraph"/>
              <w:ind w:left="254"/>
              <w:rPr>
                <w:sz w:val="20"/>
              </w:rPr>
            </w:pPr>
            <w:r>
              <w:rPr>
                <w:sz w:val="20"/>
              </w:rPr>
              <w:t>At</w:t>
            </w:r>
            <w:r>
              <w:rPr>
                <w:spacing w:val="-4"/>
                <w:sz w:val="20"/>
              </w:rPr>
              <w:t> </w:t>
            </w:r>
            <w:r>
              <w:rPr>
                <w:sz w:val="20"/>
              </w:rPr>
              <w:t>most</w:t>
            </w:r>
            <w:r>
              <w:rPr>
                <w:spacing w:val="-6"/>
                <w:sz w:val="20"/>
              </w:rPr>
              <w:t> </w:t>
            </w:r>
            <w:r>
              <w:rPr>
                <w:spacing w:val="-10"/>
                <w:sz w:val="20"/>
              </w:rPr>
              <w:t>8</w:t>
            </w:r>
          </w:p>
        </w:tc>
      </w:tr>
    </w:tbl>
    <w:p>
      <w:pPr>
        <w:spacing w:before="3"/>
        <w:ind w:left="111" w:right="831" w:firstLine="50"/>
        <w:jc w:val="left"/>
        <w:rPr>
          <w:sz w:val="22"/>
        </w:rPr>
      </w:pPr>
      <w:r>
        <w:rPr>
          <w:sz w:val="22"/>
        </w:rPr>
        <w:t>*(**)</w:t>
      </w:r>
      <w:r>
        <w:rPr>
          <w:spacing w:val="-2"/>
          <w:sz w:val="22"/>
        </w:rPr>
        <w:t> </w:t>
      </w:r>
      <w:r>
        <w:rPr>
          <w:sz w:val="22"/>
        </w:rPr>
        <w:t>denotes</w:t>
      </w:r>
      <w:r>
        <w:rPr>
          <w:spacing w:val="-2"/>
          <w:sz w:val="22"/>
        </w:rPr>
        <w:t> </w:t>
      </w:r>
      <w:r>
        <w:rPr>
          <w:sz w:val="22"/>
        </w:rPr>
        <w:t>rejection</w:t>
      </w:r>
      <w:r>
        <w:rPr>
          <w:spacing w:val="-2"/>
          <w:sz w:val="22"/>
        </w:rPr>
        <w:t> </w:t>
      </w:r>
      <w:r>
        <w:rPr>
          <w:sz w:val="22"/>
        </w:rPr>
        <w:t>of</w:t>
      </w:r>
      <w:r>
        <w:rPr>
          <w:spacing w:val="-2"/>
          <w:sz w:val="22"/>
        </w:rPr>
        <w:t> </w:t>
      </w:r>
      <w:r>
        <w:rPr>
          <w:sz w:val="22"/>
        </w:rPr>
        <w:t>the</w:t>
      </w:r>
      <w:r>
        <w:rPr>
          <w:spacing w:val="-2"/>
          <w:sz w:val="22"/>
        </w:rPr>
        <w:t> </w:t>
      </w:r>
      <w:r>
        <w:rPr>
          <w:sz w:val="22"/>
        </w:rPr>
        <w:t>hypothesis</w:t>
      </w:r>
      <w:r>
        <w:rPr>
          <w:spacing w:val="-4"/>
          <w:sz w:val="22"/>
        </w:rPr>
        <w:t> </w:t>
      </w:r>
      <w:r>
        <w:rPr>
          <w:sz w:val="22"/>
        </w:rPr>
        <w:t>at</w:t>
      </w:r>
      <w:r>
        <w:rPr>
          <w:spacing w:val="-4"/>
          <w:sz w:val="22"/>
        </w:rPr>
        <w:t> </w:t>
      </w:r>
      <w:r>
        <w:rPr>
          <w:sz w:val="22"/>
        </w:rPr>
        <w:t>5</w:t>
      </w:r>
      <w:r>
        <w:rPr>
          <w:spacing w:val="-2"/>
          <w:sz w:val="22"/>
        </w:rPr>
        <w:t> </w:t>
      </w:r>
      <w:r>
        <w:rPr>
          <w:sz w:val="22"/>
        </w:rPr>
        <w:t>%(1%)</w:t>
      </w:r>
      <w:r>
        <w:rPr>
          <w:spacing w:val="-2"/>
          <w:sz w:val="22"/>
        </w:rPr>
        <w:t> </w:t>
      </w:r>
      <w:r>
        <w:rPr>
          <w:sz w:val="22"/>
        </w:rPr>
        <w:t>significance</w:t>
      </w:r>
      <w:r>
        <w:rPr>
          <w:spacing w:val="-2"/>
          <w:sz w:val="22"/>
        </w:rPr>
        <w:t> </w:t>
      </w:r>
      <w:r>
        <w:rPr>
          <w:sz w:val="22"/>
        </w:rPr>
        <w:t>level</w:t>
      </w:r>
      <w:r>
        <w:rPr>
          <w:spacing w:val="-1"/>
          <w:sz w:val="22"/>
        </w:rPr>
        <w:t> </w:t>
      </w:r>
      <w:r>
        <w:rPr>
          <w:sz w:val="22"/>
        </w:rPr>
        <w:t>L.R.</w:t>
      </w:r>
      <w:r>
        <w:rPr>
          <w:spacing w:val="-2"/>
          <w:sz w:val="22"/>
        </w:rPr>
        <w:t> </w:t>
      </w:r>
      <w:r>
        <w:rPr>
          <w:sz w:val="22"/>
        </w:rPr>
        <w:t>test</w:t>
      </w:r>
      <w:r>
        <w:rPr>
          <w:spacing w:val="-1"/>
          <w:sz w:val="22"/>
        </w:rPr>
        <w:t> </w:t>
      </w:r>
      <w:r>
        <w:rPr>
          <w:sz w:val="22"/>
        </w:rPr>
        <w:t>indicates</w:t>
      </w:r>
      <w:r>
        <w:rPr>
          <w:spacing w:val="-2"/>
          <w:sz w:val="22"/>
        </w:rPr>
        <w:t> </w:t>
      </w:r>
      <w:r>
        <w:rPr>
          <w:sz w:val="22"/>
        </w:rPr>
        <w:t>3</w:t>
      </w:r>
      <w:r>
        <w:rPr>
          <w:spacing w:val="-2"/>
          <w:sz w:val="22"/>
        </w:rPr>
        <w:t> </w:t>
      </w:r>
      <w:r>
        <w:rPr>
          <w:sz w:val="22"/>
        </w:rPr>
        <w:t>cointegrating equation(s)</w:t>
      </w:r>
      <w:r>
        <w:rPr>
          <w:spacing w:val="-4"/>
          <w:sz w:val="22"/>
        </w:rPr>
        <w:t> </w:t>
      </w:r>
      <w:r>
        <w:rPr>
          <w:sz w:val="22"/>
        </w:rPr>
        <w:t>at 5% significance level.</w:t>
      </w:r>
    </w:p>
    <w:p>
      <w:pPr>
        <w:pStyle w:val="BodyText"/>
        <w:spacing w:before="1"/>
        <w:ind w:left="111"/>
        <w:rPr>
          <w:b/>
        </w:rPr>
      </w:pPr>
      <w:r>
        <w:rPr/>
        <w:t>Source:</w:t>
      </w:r>
      <w:r>
        <w:rPr>
          <w:spacing w:val="-4"/>
        </w:rPr>
        <w:t> </w:t>
      </w:r>
      <w:r>
        <w:rPr/>
        <w:t>Computation,</w:t>
      </w:r>
      <w:r>
        <w:rPr>
          <w:spacing w:val="-2"/>
        </w:rPr>
        <w:t> </w:t>
      </w:r>
      <w:r>
        <w:rPr/>
        <w:t>using</w:t>
      </w:r>
      <w:r>
        <w:rPr>
          <w:spacing w:val="-4"/>
        </w:rPr>
        <w:t> </w:t>
      </w:r>
      <w:r>
        <w:rPr/>
        <w:t>E-view</w:t>
      </w:r>
      <w:r>
        <w:rPr>
          <w:spacing w:val="-2"/>
        </w:rPr>
        <w:t> </w:t>
      </w:r>
      <w:r>
        <w:rPr/>
        <w:t>statistical</w:t>
      </w:r>
      <w:r>
        <w:rPr>
          <w:spacing w:val="-1"/>
        </w:rPr>
        <w:t> </w:t>
      </w:r>
      <w:r>
        <w:rPr>
          <w:spacing w:val="-2"/>
        </w:rPr>
        <w:t>package</w:t>
      </w:r>
      <w:r>
        <w:rPr>
          <w:b/>
          <w:spacing w:val="-2"/>
        </w:rPr>
        <w:t>.</w:t>
      </w:r>
    </w:p>
    <w:p>
      <w:pPr>
        <w:pStyle w:val="BodyText"/>
        <w:rPr>
          <w:b/>
        </w:rPr>
      </w:pPr>
    </w:p>
    <w:p>
      <w:pPr>
        <w:pStyle w:val="BodyText"/>
        <w:spacing w:before="139"/>
        <w:rPr>
          <w:b/>
        </w:rPr>
      </w:pPr>
    </w:p>
    <w:p>
      <w:pPr>
        <w:pStyle w:val="BodyText"/>
        <w:spacing w:line="480" w:lineRule="auto" w:before="1"/>
        <w:ind w:left="711" w:right="469"/>
        <w:jc w:val="both"/>
      </w:pPr>
      <w:r>
        <w:rPr/>
        <w:t>Table 4.15 above</w:t>
      </w:r>
      <w:r>
        <w:rPr>
          <w:spacing w:val="-1"/>
        </w:rPr>
        <w:t> </w:t>
      </w:r>
      <w:r>
        <w:rPr/>
        <w:t>shows that a</w:t>
      </w:r>
      <w:r>
        <w:rPr>
          <w:spacing w:val="-1"/>
        </w:rPr>
        <w:t> </w:t>
      </w:r>
      <w:r>
        <w:rPr/>
        <w:t>long</w:t>
      </w:r>
      <w:r>
        <w:rPr>
          <w:spacing w:val="-3"/>
        </w:rPr>
        <w:t> </w:t>
      </w:r>
      <w:r>
        <w:rPr/>
        <w:t>run equilibrium relationship exists in the Morgan Guaranty</w:t>
      </w:r>
      <w:r>
        <w:rPr>
          <w:spacing w:val="-5"/>
        </w:rPr>
        <w:t> </w:t>
      </w:r>
      <w:r>
        <w:rPr/>
        <w:t>Trust (1986) approach of Model as likelihood ratio of </w:t>
      </w:r>
      <w:r>
        <w:rPr>
          <w:sz w:val="20"/>
        </w:rPr>
        <w:t>299.3141 </w:t>
      </w:r>
      <w:r>
        <w:rPr/>
        <w:t>is greater than 5 per cent critical value of 192.89 at none hypothesized (None**). The analysis indicates that there are three cointegrating equations at 5%</w:t>
      </w:r>
      <w:r>
        <w:rPr>
          <w:spacing w:val="40"/>
        </w:rPr>
        <w:t> </w:t>
      </w:r>
      <w:r>
        <w:rPr/>
        <w:t>significance level. The</w:t>
      </w:r>
      <w:r>
        <w:rPr>
          <w:spacing w:val="40"/>
        </w:rPr>
        <w:t> </w:t>
      </w:r>
      <w:r>
        <w:rPr/>
        <w:t>results confirmed that various determinants of capital flight namely: external debt (EXTDEBT), degree of openness (DOP), inflation rate (INF), gross capital formation (GCF), deposit rate (DR), private sector credit (PRIVCR), interest rate differential (USIRD) and government current</w:t>
      </w:r>
      <w:r>
        <w:rPr>
          <w:spacing w:val="40"/>
        </w:rPr>
        <w:t> </w:t>
      </w:r>
      <w:r>
        <w:rPr>
          <w:position w:val="2"/>
        </w:rPr>
        <w:t>expenditure (GOCE)</w:t>
      </w:r>
      <w:r>
        <w:rPr>
          <w:spacing w:val="40"/>
          <w:position w:val="2"/>
        </w:rPr>
        <w:t> </w:t>
      </w:r>
      <w:r>
        <w:rPr>
          <w:position w:val="2"/>
        </w:rPr>
        <w:t>are co-integrated in the long run. Hence, the hypothesis of no co-integration (H</w:t>
      </w:r>
      <w:r>
        <w:rPr>
          <w:sz w:val="16"/>
        </w:rPr>
        <w:t>0</w:t>
      </w:r>
      <w:r>
        <w:rPr>
          <w:position w:val="2"/>
        </w:rPr>
        <w:t>) is rejected and that of presence of co-integration (H</w:t>
      </w:r>
      <w:r>
        <w:rPr>
          <w:sz w:val="16"/>
        </w:rPr>
        <w:t>1</w:t>
      </w:r>
      <w:r>
        <w:rPr>
          <w:position w:val="2"/>
        </w:rPr>
        <w:t>) is upheld.</w:t>
      </w:r>
    </w:p>
    <w:p>
      <w:pPr>
        <w:pStyle w:val="Heading6"/>
        <w:numPr>
          <w:ilvl w:val="1"/>
          <w:numId w:val="25"/>
        </w:numPr>
        <w:tabs>
          <w:tab w:pos="1131" w:val="left" w:leader="none"/>
        </w:tabs>
        <w:spacing w:line="272" w:lineRule="exact" w:before="0" w:after="0"/>
        <w:ind w:left="1131" w:right="0" w:hanging="420"/>
        <w:jc w:val="left"/>
      </w:pPr>
      <w:r>
        <w:rPr/>
        <w:t>The</w:t>
      </w:r>
      <w:r>
        <w:rPr>
          <w:spacing w:val="-3"/>
        </w:rPr>
        <w:t> </w:t>
      </w:r>
      <w:r>
        <w:rPr/>
        <w:t>Long Run</w:t>
      </w:r>
      <w:r>
        <w:rPr>
          <w:spacing w:val="1"/>
        </w:rPr>
        <w:t> </w:t>
      </w:r>
      <w:r>
        <w:rPr>
          <w:spacing w:val="-4"/>
        </w:rPr>
        <w:t>Model</w:t>
      </w:r>
    </w:p>
    <w:p>
      <w:pPr>
        <w:pStyle w:val="BodyText"/>
        <w:rPr>
          <w:b/>
        </w:rPr>
      </w:pPr>
    </w:p>
    <w:p>
      <w:pPr>
        <w:pStyle w:val="BodyText"/>
        <w:ind w:left="711"/>
        <w:jc w:val="both"/>
        <w:rPr>
          <w:rFonts w:ascii="Cambria"/>
        </w:rPr>
      </w:pPr>
      <w:r>
        <w:rPr>
          <w:rFonts w:ascii="Cambria"/>
        </w:rPr>
        <w:t>The</w:t>
      </w:r>
      <w:r>
        <w:rPr>
          <w:rFonts w:ascii="Cambria"/>
          <w:spacing w:val="9"/>
        </w:rPr>
        <w:t> </w:t>
      </w:r>
      <w:r>
        <w:rPr>
          <w:rFonts w:ascii="Cambria"/>
        </w:rPr>
        <w:t>long</w:t>
      </w:r>
      <w:r>
        <w:rPr>
          <w:rFonts w:ascii="Cambria"/>
          <w:spacing w:val="10"/>
        </w:rPr>
        <w:t> </w:t>
      </w:r>
      <w:r>
        <w:rPr>
          <w:rFonts w:ascii="Cambria"/>
        </w:rPr>
        <w:t>run</w:t>
      </w:r>
      <w:r>
        <w:rPr>
          <w:rFonts w:ascii="Cambria"/>
          <w:spacing w:val="11"/>
        </w:rPr>
        <w:t> </w:t>
      </w:r>
      <w:r>
        <w:rPr>
          <w:rFonts w:ascii="Cambria"/>
        </w:rPr>
        <w:t>model</w:t>
      </w:r>
      <w:r>
        <w:rPr>
          <w:rFonts w:ascii="Cambria"/>
          <w:spacing w:val="12"/>
        </w:rPr>
        <w:t> </w:t>
      </w:r>
      <w:r>
        <w:rPr>
          <w:rFonts w:ascii="Cambria"/>
        </w:rPr>
        <w:t>is</w:t>
      </w:r>
      <w:r>
        <w:rPr>
          <w:rFonts w:ascii="Cambria"/>
          <w:spacing w:val="12"/>
        </w:rPr>
        <w:t> </w:t>
      </w:r>
      <w:r>
        <w:rPr>
          <w:rFonts w:ascii="Cambria"/>
        </w:rPr>
        <w:t>derived</w:t>
      </w:r>
      <w:r>
        <w:rPr>
          <w:rFonts w:ascii="Cambria"/>
          <w:spacing w:val="11"/>
        </w:rPr>
        <w:t> </w:t>
      </w:r>
      <w:r>
        <w:rPr>
          <w:rFonts w:ascii="Cambria"/>
        </w:rPr>
        <w:t>from</w:t>
      </w:r>
      <w:r>
        <w:rPr>
          <w:rFonts w:ascii="Cambria"/>
          <w:spacing w:val="11"/>
        </w:rPr>
        <w:t> </w:t>
      </w:r>
      <w:r>
        <w:rPr>
          <w:rFonts w:ascii="Cambria"/>
        </w:rPr>
        <w:t>the</w:t>
      </w:r>
      <w:r>
        <w:rPr>
          <w:rFonts w:ascii="Cambria"/>
          <w:spacing w:val="13"/>
        </w:rPr>
        <w:t> </w:t>
      </w:r>
      <w:r>
        <w:rPr>
          <w:rFonts w:ascii="Cambria"/>
        </w:rPr>
        <w:t>Johansen</w:t>
      </w:r>
      <w:r>
        <w:rPr>
          <w:rFonts w:ascii="Cambria"/>
          <w:spacing w:val="10"/>
        </w:rPr>
        <w:t> </w:t>
      </w:r>
      <w:r>
        <w:rPr>
          <w:rFonts w:ascii="Cambria"/>
        </w:rPr>
        <w:t>co-integration</w:t>
      </w:r>
      <w:r>
        <w:rPr>
          <w:rFonts w:ascii="Cambria"/>
          <w:spacing w:val="10"/>
        </w:rPr>
        <w:t> </w:t>
      </w:r>
      <w:r>
        <w:rPr>
          <w:rFonts w:ascii="Cambria"/>
        </w:rPr>
        <w:t>result</w:t>
      </w:r>
      <w:r>
        <w:rPr>
          <w:rFonts w:ascii="Cambria"/>
          <w:spacing w:val="9"/>
        </w:rPr>
        <w:t> </w:t>
      </w:r>
      <w:r>
        <w:rPr>
          <w:rFonts w:ascii="Cambria"/>
        </w:rPr>
        <w:t>from</w:t>
      </w:r>
      <w:r>
        <w:rPr>
          <w:rFonts w:ascii="Cambria"/>
          <w:spacing w:val="11"/>
        </w:rPr>
        <w:t> </w:t>
      </w:r>
      <w:r>
        <w:rPr>
          <w:rFonts w:ascii="Cambria"/>
        </w:rPr>
        <w:t>which</w:t>
      </w:r>
      <w:r>
        <w:rPr>
          <w:rFonts w:ascii="Cambria"/>
          <w:spacing w:val="9"/>
        </w:rPr>
        <w:t> </w:t>
      </w:r>
      <w:r>
        <w:rPr>
          <w:rFonts w:ascii="Cambria"/>
        </w:rPr>
        <w:t>the</w:t>
      </w:r>
      <w:r>
        <w:rPr>
          <w:rFonts w:ascii="Cambria"/>
          <w:spacing w:val="10"/>
        </w:rPr>
        <w:t> </w:t>
      </w:r>
      <w:r>
        <w:rPr>
          <w:rFonts w:ascii="Cambria"/>
        </w:rPr>
        <w:t>equation</w:t>
      </w:r>
      <w:r>
        <w:rPr>
          <w:rFonts w:ascii="Cambria"/>
          <w:spacing w:val="10"/>
        </w:rPr>
        <w:t> </w:t>
      </w:r>
      <w:r>
        <w:rPr>
          <w:rFonts w:ascii="Cambria"/>
          <w:spacing w:val="-4"/>
        </w:rPr>
        <w:t>with</w:t>
      </w:r>
    </w:p>
    <w:p>
      <w:pPr>
        <w:pStyle w:val="BodyText"/>
        <w:spacing w:line="560" w:lineRule="atLeast" w:before="4"/>
        <w:ind w:left="711" w:right="473"/>
        <w:jc w:val="both"/>
      </w:pPr>
      <w:r>
        <w:rPr>
          <w:rFonts w:ascii="Cambria"/>
        </w:rPr>
        <w:t>the lowest log-likelihood ratio is chosen. The equation with the lowest log-likelihood ratio is the first equation with the corresponding value of -</w:t>
      </w:r>
      <w:r>
        <w:rPr/>
        <w:t>132.5319 and it is presented as follows:</w:t>
      </w:r>
    </w:p>
    <w:p>
      <w:pPr>
        <w:spacing w:after="0" w:line="560" w:lineRule="atLeast"/>
        <w:jc w:val="both"/>
        <w:sectPr>
          <w:pgSz w:w="11910" w:h="16840"/>
          <w:pgMar w:header="0" w:footer="979" w:top="1360" w:bottom="1160" w:left="280" w:right="0"/>
        </w:sectPr>
      </w:pPr>
    </w:p>
    <w:p>
      <w:pPr>
        <w:spacing w:before="60"/>
        <w:ind w:left="711" w:right="0" w:firstLine="0"/>
        <w:jc w:val="both"/>
        <w:rPr>
          <w:i/>
          <w:sz w:val="16"/>
        </w:rPr>
      </w:pPr>
      <w:r>
        <w:rPr>
          <w:i/>
          <w:position w:val="2"/>
          <w:sz w:val="24"/>
        </w:rPr>
        <w:t>KFM</w:t>
      </w:r>
      <w:r>
        <w:rPr>
          <w:i/>
          <w:spacing w:val="-5"/>
          <w:position w:val="2"/>
          <w:sz w:val="24"/>
        </w:rPr>
        <w:t> </w:t>
      </w:r>
      <w:r>
        <w:rPr>
          <w:i/>
          <w:position w:val="2"/>
          <w:sz w:val="24"/>
        </w:rPr>
        <w:t>=</w:t>
      </w:r>
      <w:r>
        <w:rPr>
          <w:i/>
          <w:spacing w:val="-6"/>
          <w:position w:val="2"/>
          <w:sz w:val="24"/>
        </w:rPr>
        <w:t> </w:t>
      </w:r>
      <w:r>
        <w:rPr>
          <w:i/>
          <w:position w:val="2"/>
          <w:sz w:val="24"/>
        </w:rPr>
        <w:t>6.393578</w:t>
      </w:r>
      <w:r>
        <w:rPr>
          <w:i/>
          <w:spacing w:val="-13"/>
          <w:position w:val="2"/>
          <w:sz w:val="24"/>
        </w:rPr>
        <w:t> </w:t>
      </w:r>
      <w:r>
        <w:rPr>
          <w:i/>
          <w:position w:val="2"/>
          <w:sz w:val="20"/>
        </w:rPr>
        <w:t>δ</w:t>
      </w:r>
      <w:r>
        <w:rPr>
          <w:i/>
          <w:sz w:val="13"/>
        </w:rPr>
        <w:t>EXTDEBT</w:t>
      </w:r>
      <w:r>
        <w:rPr>
          <w:i/>
          <w:spacing w:val="38"/>
          <w:sz w:val="13"/>
        </w:rPr>
        <w:t>  </w:t>
      </w:r>
      <w:r>
        <w:rPr>
          <w:i/>
          <w:position w:val="2"/>
          <w:sz w:val="20"/>
        </w:rPr>
        <w:t>+</w:t>
      </w:r>
      <w:r>
        <w:rPr>
          <w:i/>
          <w:spacing w:val="-2"/>
          <w:position w:val="2"/>
          <w:sz w:val="20"/>
        </w:rPr>
        <w:t> </w:t>
      </w:r>
      <w:r>
        <w:rPr>
          <w:i/>
          <w:position w:val="2"/>
          <w:sz w:val="20"/>
        </w:rPr>
        <w:t>3.054460</w:t>
      </w:r>
      <w:r>
        <w:rPr>
          <w:i/>
          <w:sz w:val="16"/>
        </w:rPr>
        <w:t>DOP</w:t>
      </w:r>
      <w:r>
        <w:rPr>
          <w:i/>
          <w:spacing w:val="-1"/>
          <w:sz w:val="16"/>
        </w:rPr>
        <w:t> </w:t>
      </w:r>
      <w:r>
        <w:rPr>
          <w:i/>
          <w:sz w:val="16"/>
        </w:rPr>
        <w:t>-</w:t>
      </w:r>
      <w:r>
        <w:rPr>
          <w:i/>
          <w:spacing w:val="15"/>
          <w:sz w:val="16"/>
        </w:rPr>
        <w:t> </w:t>
      </w:r>
      <w:r>
        <w:rPr>
          <w:i/>
          <w:position w:val="2"/>
          <w:sz w:val="24"/>
        </w:rPr>
        <w:t>0.369674</w:t>
      </w:r>
      <w:r>
        <w:rPr>
          <w:i/>
          <w:sz w:val="16"/>
        </w:rPr>
        <w:t>INF</w:t>
      </w:r>
      <w:r>
        <w:rPr>
          <w:i/>
          <w:spacing w:val="16"/>
          <w:sz w:val="16"/>
        </w:rPr>
        <w:t> </w:t>
      </w:r>
      <w:r>
        <w:rPr>
          <w:i/>
          <w:position w:val="2"/>
          <w:sz w:val="24"/>
        </w:rPr>
        <w:t>+</w:t>
      </w:r>
      <w:r>
        <w:rPr>
          <w:i/>
          <w:spacing w:val="-4"/>
          <w:position w:val="2"/>
          <w:sz w:val="24"/>
        </w:rPr>
        <w:t> </w:t>
      </w:r>
      <w:r>
        <w:rPr>
          <w:i/>
          <w:position w:val="2"/>
          <w:sz w:val="24"/>
        </w:rPr>
        <w:t>6.127230</w:t>
      </w:r>
      <w:r>
        <w:rPr>
          <w:i/>
          <w:sz w:val="13"/>
        </w:rPr>
        <w:t>GCF</w:t>
      </w:r>
      <w:r>
        <w:rPr>
          <w:i/>
          <w:spacing w:val="-4"/>
          <w:sz w:val="13"/>
        </w:rPr>
        <w:t> </w:t>
      </w:r>
      <w:r>
        <w:rPr>
          <w:i/>
          <w:position w:val="2"/>
          <w:sz w:val="20"/>
        </w:rPr>
        <w:t>–</w:t>
      </w:r>
      <w:r>
        <w:rPr>
          <w:i/>
          <w:spacing w:val="-2"/>
          <w:position w:val="2"/>
          <w:sz w:val="20"/>
        </w:rPr>
        <w:t> </w:t>
      </w:r>
      <w:r>
        <w:rPr>
          <w:i/>
          <w:position w:val="2"/>
          <w:sz w:val="20"/>
        </w:rPr>
        <w:t>9.30069</w:t>
      </w:r>
      <w:r>
        <w:rPr>
          <w:i/>
          <w:sz w:val="13"/>
        </w:rPr>
        <w:t>DR</w:t>
      </w:r>
      <w:r>
        <w:rPr>
          <w:i/>
          <w:spacing w:val="-1"/>
          <w:sz w:val="13"/>
        </w:rPr>
        <w:t> </w:t>
      </w:r>
      <w:r>
        <w:rPr>
          <w:i/>
          <w:position w:val="2"/>
          <w:sz w:val="20"/>
        </w:rPr>
        <w:t>–</w:t>
      </w:r>
      <w:r>
        <w:rPr>
          <w:i/>
          <w:spacing w:val="-2"/>
          <w:position w:val="2"/>
          <w:sz w:val="20"/>
        </w:rPr>
        <w:t> </w:t>
      </w:r>
      <w:r>
        <w:rPr>
          <w:i/>
          <w:position w:val="2"/>
          <w:sz w:val="20"/>
        </w:rPr>
        <w:t>1.080118</w:t>
      </w:r>
      <w:r>
        <w:rPr>
          <w:i/>
          <w:sz w:val="13"/>
        </w:rPr>
        <w:t>PRIVCR</w:t>
      </w:r>
      <w:r>
        <w:rPr>
          <w:i/>
          <w:spacing w:val="-1"/>
          <w:sz w:val="13"/>
        </w:rPr>
        <w:t> </w:t>
      </w:r>
      <w:r>
        <w:rPr>
          <w:i/>
          <w:spacing w:val="-10"/>
          <w:sz w:val="16"/>
        </w:rPr>
        <w:t>–</w:t>
      </w:r>
    </w:p>
    <w:p>
      <w:pPr>
        <w:tabs>
          <w:tab w:pos="3704" w:val="left" w:leader="none"/>
          <w:tab w:pos="4840" w:val="left" w:leader="none"/>
          <w:tab w:pos="6271" w:val="left" w:leader="none"/>
          <w:tab w:pos="7600" w:val="left" w:leader="none"/>
          <w:tab w:pos="8687" w:val="left" w:leader="none"/>
        </w:tabs>
        <w:spacing w:before="40"/>
        <w:ind w:left="1551" w:right="0" w:firstLine="0"/>
        <w:jc w:val="left"/>
        <w:rPr>
          <w:i/>
          <w:sz w:val="20"/>
        </w:rPr>
      </w:pPr>
      <w:r>
        <w:rPr>
          <w:i/>
          <w:spacing w:val="-2"/>
          <w:sz w:val="20"/>
        </w:rPr>
        <w:t>(3.23847)</w:t>
      </w:r>
      <w:r>
        <w:rPr>
          <w:i/>
          <w:sz w:val="20"/>
        </w:rPr>
        <w:tab/>
      </w:r>
      <w:r>
        <w:rPr>
          <w:i/>
          <w:spacing w:val="-2"/>
          <w:sz w:val="20"/>
        </w:rPr>
        <w:t>(2.84440)</w:t>
      </w:r>
      <w:r>
        <w:rPr>
          <w:i/>
          <w:sz w:val="20"/>
        </w:rPr>
        <w:tab/>
      </w:r>
      <w:r>
        <w:rPr>
          <w:i/>
          <w:spacing w:val="-2"/>
          <w:sz w:val="20"/>
        </w:rPr>
        <w:t>(0.92346)</w:t>
      </w:r>
      <w:r>
        <w:rPr>
          <w:i/>
          <w:sz w:val="20"/>
        </w:rPr>
        <w:tab/>
      </w:r>
      <w:r>
        <w:rPr>
          <w:i/>
          <w:spacing w:val="-2"/>
          <w:sz w:val="20"/>
        </w:rPr>
        <w:t>(3.07466)</w:t>
      </w:r>
      <w:r>
        <w:rPr>
          <w:i/>
          <w:sz w:val="20"/>
        </w:rPr>
        <w:tab/>
      </w:r>
      <w:r>
        <w:rPr>
          <w:i/>
          <w:spacing w:val="-2"/>
          <w:sz w:val="20"/>
        </w:rPr>
        <w:t>(4.57815)</w:t>
      </w:r>
      <w:r>
        <w:rPr>
          <w:i/>
          <w:sz w:val="20"/>
        </w:rPr>
        <w:tab/>
      </w:r>
      <w:r>
        <w:rPr>
          <w:i/>
          <w:spacing w:val="-2"/>
          <w:sz w:val="20"/>
        </w:rPr>
        <w:t>(1.44636)</w:t>
      </w:r>
    </w:p>
    <w:p>
      <w:pPr>
        <w:tabs>
          <w:tab w:pos="9029" w:val="left" w:leader="dot"/>
        </w:tabs>
        <w:spacing w:before="32"/>
        <w:ind w:left="1371" w:right="0" w:firstLine="0"/>
        <w:jc w:val="left"/>
        <w:rPr>
          <w:i/>
          <w:sz w:val="24"/>
        </w:rPr>
      </w:pPr>
      <w:r>
        <w:rPr>
          <w:i/>
          <w:position w:val="2"/>
          <w:sz w:val="24"/>
        </w:rPr>
        <w:t>7.390905</w:t>
      </w:r>
      <w:r>
        <w:rPr>
          <w:i/>
          <w:sz w:val="16"/>
        </w:rPr>
        <w:t>USIRD</w:t>
      </w:r>
      <w:r>
        <w:rPr>
          <w:i/>
          <w:spacing w:val="-2"/>
          <w:sz w:val="16"/>
        </w:rPr>
        <w:t> </w:t>
      </w:r>
      <w:r>
        <w:rPr>
          <w:i/>
          <w:position w:val="2"/>
          <w:sz w:val="24"/>
        </w:rPr>
        <w:t>–</w:t>
      </w:r>
      <w:r>
        <w:rPr>
          <w:i/>
          <w:spacing w:val="-1"/>
          <w:position w:val="2"/>
          <w:sz w:val="24"/>
        </w:rPr>
        <w:t> </w:t>
      </w:r>
      <w:r>
        <w:rPr>
          <w:i/>
          <w:spacing w:val="-2"/>
          <w:position w:val="2"/>
          <w:sz w:val="24"/>
        </w:rPr>
        <w:t>10.74542</w:t>
      </w:r>
      <w:r>
        <w:rPr>
          <w:i/>
          <w:spacing w:val="-2"/>
          <w:sz w:val="16"/>
        </w:rPr>
        <w:t>GOCE…</w:t>
      </w:r>
      <w:r>
        <w:rPr>
          <w:sz w:val="16"/>
        </w:rPr>
        <w:tab/>
      </w:r>
      <w:r>
        <w:rPr>
          <w:i/>
          <w:spacing w:val="-2"/>
          <w:position w:val="2"/>
          <w:sz w:val="24"/>
        </w:rPr>
        <w:t>(4.14)</w:t>
      </w:r>
    </w:p>
    <w:p>
      <w:pPr>
        <w:tabs>
          <w:tab w:pos="2912" w:val="left" w:leader="none"/>
        </w:tabs>
        <w:spacing w:before="42"/>
        <w:ind w:left="1311" w:right="0" w:firstLine="0"/>
        <w:jc w:val="left"/>
        <w:rPr>
          <w:i/>
          <w:sz w:val="24"/>
        </w:rPr>
      </w:pPr>
      <w:r>
        <w:rPr>
          <w:i/>
          <w:spacing w:val="-2"/>
          <w:sz w:val="24"/>
        </w:rPr>
        <w:t>(3.85363)</w:t>
      </w:r>
      <w:r>
        <w:rPr>
          <w:i/>
          <w:sz w:val="24"/>
        </w:rPr>
        <w:tab/>
      </w:r>
      <w:r>
        <w:rPr>
          <w:i/>
          <w:spacing w:val="-2"/>
          <w:sz w:val="24"/>
        </w:rPr>
        <w:t>(1.44636)</w:t>
      </w:r>
    </w:p>
    <w:p>
      <w:pPr>
        <w:pStyle w:val="BodyText"/>
        <w:spacing w:before="41"/>
        <w:ind w:left="711"/>
        <w:jc w:val="both"/>
        <w:rPr>
          <w:rFonts w:ascii="Cambria"/>
        </w:rPr>
      </w:pPr>
      <w:r>
        <w:rPr>
          <w:rFonts w:ascii="Cambria"/>
          <w:b/>
        </w:rPr>
        <w:t>Note:</w:t>
      </w:r>
      <w:r>
        <w:rPr>
          <w:rFonts w:ascii="Cambria"/>
          <w:b/>
          <w:spacing w:val="79"/>
        </w:rPr>
        <w:t> </w:t>
      </w:r>
      <w:r>
        <w:rPr>
          <w:rFonts w:ascii="Cambria"/>
        </w:rPr>
        <w:t>Standard</w:t>
      </w:r>
      <w:r>
        <w:rPr>
          <w:rFonts w:ascii="Cambria"/>
          <w:spacing w:val="-3"/>
        </w:rPr>
        <w:t> </w:t>
      </w:r>
      <w:r>
        <w:rPr>
          <w:rFonts w:ascii="Cambria"/>
        </w:rPr>
        <w:t>error</w:t>
      </w:r>
      <w:r>
        <w:rPr>
          <w:rFonts w:ascii="Cambria"/>
          <w:spacing w:val="-3"/>
        </w:rPr>
        <w:t> </w:t>
      </w:r>
      <w:r>
        <w:rPr>
          <w:rFonts w:ascii="Cambria"/>
        </w:rPr>
        <w:t>statistics</w:t>
      </w:r>
      <w:r>
        <w:rPr>
          <w:rFonts w:ascii="Cambria"/>
          <w:spacing w:val="-2"/>
        </w:rPr>
        <w:t> </w:t>
      </w:r>
      <w:r>
        <w:rPr>
          <w:rFonts w:ascii="Cambria"/>
        </w:rPr>
        <w:t>are</w:t>
      </w:r>
      <w:r>
        <w:rPr>
          <w:rFonts w:ascii="Cambria"/>
          <w:spacing w:val="-1"/>
        </w:rPr>
        <w:t> </w:t>
      </w:r>
      <w:r>
        <w:rPr>
          <w:rFonts w:ascii="Cambria"/>
        </w:rPr>
        <w:t>given</w:t>
      </w:r>
      <w:r>
        <w:rPr>
          <w:rFonts w:ascii="Cambria"/>
          <w:spacing w:val="-1"/>
        </w:rPr>
        <w:t> </w:t>
      </w:r>
      <w:r>
        <w:rPr>
          <w:rFonts w:ascii="Cambria"/>
        </w:rPr>
        <w:t>in</w:t>
      </w:r>
      <w:r>
        <w:rPr>
          <w:rFonts w:ascii="Cambria"/>
          <w:spacing w:val="-1"/>
        </w:rPr>
        <w:t> </w:t>
      </w:r>
      <w:r>
        <w:rPr>
          <w:rFonts w:ascii="Cambria"/>
          <w:spacing w:val="-2"/>
        </w:rPr>
        <w:t>parentheses</w:t>
      </w:r>
    </w:p>
    <w:p>
      <w:pPr>
        <w:pStyle w:val="BodyText"/>
        <w:spacing w:line="480" w:lineRule="auto" w:before="280"/>
        <w:ind w:left="711" w:right="469"/>
        <w:jc w:val="both"/>
      </w:pPr>
      <w:r>
        <w:rPr/>
        <w:t>A critical appraisal of the above result shows that it is similar to the short run result, specifically, change in external debt are</w:t>
      </w:r>
      <w:r>
        <w:rPr>
          <w:spacing w:val="-2"/>
        </w:rPr>
        <w:t> </w:t>
      </w:r>
      <w:r>
        <w:rPr/>
        <w:t>positively</w:t>
      </w:r>
      <w:r>
        <w:rPr>
          <w:spacing w:val="-5"/>
        </w:rPr>
        <w:t> </w:t>
      </w:r>
      <w:r>
        <w:rPr/>
        <w:t>signed in both results while , inflation</w:t>
      </w:r>
      <w:r>
        <w:rPr>
          <w:spacing w:val="40"/>
        </w:rPr>
        <w:t> </w:t>
      </w:r>
      <w:r>
        <w:rPr/>
        <w:t>and deposit rates</w:t>
      </w:r>
      <w:r>
        <w:rPr>
          <w:spacing w:val="-1"/>
        </w:rPr>
        <w:t> </w:t>
      </w:r>
      <w:r>
        <w:rPr/>
        <w:t>are</w:t>
      </w:r>
      <w:r>
        <w:rPr>
          <w:spacing w:val="-2"/>
        </w:rPr>
        <w:t> </w:t>
      </w:r>
      <w:r>
        <w:rPr/>
        <w:t>negatively</w:t>
      </w:r>
      <w:r>
        <w:rPr>
          <w:spacing w:val="-3"/>
        </w:rPr>
        <w:t> </w:t>
      </w:r>
      <w:r>
        <w:rPr/>
        <w:t>related to capital flight in both short and long</w:t>
      </w:r>
      <w:r>
        <w:rPr>
          <w:spacing w:val="-2"/>
        </w:rPr>
        <w:t> </w:t>
      </w:r>
      <w:r>
        <w:rPr/>
        <w:t>run.</w:t>
      </w:r>
      <w:r>
        <w:rPr>
          <w:spacing w:val="40"/>
        </w:rPr>
        <w:t> </w:t>
      </w:r>
      <w:r>
        <w:rPr/>
        <w:t>However, the</w:t>
      </w:r>
      <w:r>
        <w:rPr>
          <w:spacing w:val="-1"/>
        </w:rPr>
        <w:t> </w:t>
      </w:r>
      <w:r>
        <w:rPr/>
        <w:t>degree</w:t>
      </w:r>
      <w:r>
        <w:rPr>
          <w:spacing w:val="-1"/>
        </w:rPr>
        <w:t> </w:t>
      </w:r>
      <w:r>
        <w:rPr/>
        <w:t>of</w:t>
      </w:r>
      <w:r>
        <w:rPr>
          <w:spacing w:val="-1"/>
        </w:rPr>
        <w:t> </w:t>
      </w:r>
      <w:r>
        <w:rPr/>
        <w:t>openness (DOP)</w:t>
      </w:r>
      <w:r>
        <w:rPr>
          <w:spacing w:val="-1"/>
        </w:rPr>
        <w:t> </w:t>
      </w:r>
      <w:r>
        <w:rPr/>
        <w:t>that was positively</w:t>
      </w:r>
      <w:r>
        <w:rPr>
          <w:spacing w:val="-2"/>
        </w:rPr>
        <w:t> </w:t>
      </w:r>
      <w:r>
        <w:rPr/>
        <w:t>related to capital flight in the short run is now positively related. This shows that an open economy</w:t>
      </w:r>
      <w:r>
        <w:rPr>
          <w:spacing w:val="-2"/>
        </w:rPr>
        <w:t> </w:t>
      </w:r>
      <w:r>
        <w:rPr/>
        <w:t>is prone to high capital flight in the long run. In like manner, gross capital formation (GCF) that was positively related to capital flight in the short run is now negatively</w:t>
      </w:r>
      <w:r>
        <w:rPr>
          <w:spacing w:val="-3"/>
        </w:rPr>
        <w:t> </w:t>
      </w:r>
      <w:r>
        <w:rPr/>
        <w:t>related</w:t>
      </w:r>
      <w:r>
        <w:rPr>
          <w:spacing w:val="40"/>
        </w:rPr>
        <w:t> </w:t>
      </w:r>
      <w:r>
        <w:rPr/>
        <w:t>while the credit to private sector (PRIVCR) that was positively signed in the short run is now negatively related to capital flight (KF), both the gross capital formation (GCF) and private sector credit (PRIVCR)</w:t>
      </w:r>
      <w:r>
        <w:rPr>
          <w:spacing w:val="80"/>
        </w:rPr>
        <w:t> </w:t>
      </w:r>
      <w:r>
        <w:rPr/>
        <w:t>are now appropriately signed. The government</w:t>
      </w:r>
      <w:r>
        <w:rPr>
          <w:spacing w:val="40"/>
        </w:rPr>
        <w:t> </w:t>
      </w:r>
      <w:r>
        <w:rPr/>
        <w:t>current expenditure with negative sign in the long run is now in line with the expected result. Generally, INF, DR, DOP, PRIVCR, USIRD and GOCE are appropriately signed in line with the apriori expectation.</w:t>
      </w:r>
    </w:p>
    <w:p>
      <w:pPr>
        <w:pStyle w:val="BodyText"/>
        <w:spacing w:line="480" w:lineRule="auto" w:before="1"/>
        <w:ind w:left="711" w:right="475" w:firstLine="120"/>
        <w:jc w:val="both"/>
      </w:pPr>
      <w:r>
        <w:rPr/>
        <w:t>However, change in external debt (δEXDEBT) maintains the same positive relationship with capital flight both in the short and long run. This proved that increased debt accumulation in Nigeria has brought about increase capital flight; this confirmed the debt volatility nature of the Nigerian debt. Also, inflation rate (INF) and deposit rate (DR) maintains the same negative relationship, these variables are appropriately signed because high deposit rate on will encourage domestic wealth holders to invest at home rather to moving their capital abroad for higher returns while a persistent increase in inflation rate will prompt local investors to move their capital to other economies with stable rate.</w:t>
      </w:r>
      <w:r>
        <w:rPr>
          <w:spacing w:val="80"/>
        </w:rPr>
        <w:t> </w:t>
      </w:r>
      <w:r>
        <w:rPr/>
        <w:t>Having investigated the existence of long run relationship in the models, the next is to conduct the error correlation mechanism.</w:t>
      </w:r>
    </w:p>
    <w:p>
      <w:pPr>
        <w:pStyle w:val="BodyText"/>
      </w:pPr>
    </w:p>
    <w:p>
      <w:pPr>
        <w:pStyle w:val="BodyText"/>
        <w:spacing w:before="1"/>
      </w:pPr>
    </w:p>
    <w:p>
      <w:pPr>
        <w:pStyle w:val="Heading6"/>
        <w:numPr>
          <w:ilvl w:val="2"/>
          <w:numId w:val="25"/>
        </w:numPr>
        <w:tabs>
          <w:tab w:pos="1431" w:val="left" w:leader="none"/>
        </w:tabs>
        <w:spacing w:line="240" w:lineRule="auto" w:before="0" w:after="0"/>
        <w:ind w:left="1431" w:right="0" w:hanging="720"/>
        <w:jc w:val="left"/>
      </w:pPr>
      <w:r>
        <w:rPr/>
        <w:t>Error</w:t>
      </w:r>
      <w:r>
        <w:rPr>
          <w:spacing w:val="-5"/>
        </w:rPr>
        <w:t> </w:t>
      </w:r>
      <w:r>
        <w:rPr/>
        <w:t>Correction</w:t>
      </w:r>
      <w:r>
        <w:rPr>
          <w:spacing w:val="-1"/>
        </w:rPr>
        <w:t> </w:t>
      </w:r>
      <w:r>
        <w:rPr/>
        <w:t>Test</w:t>
      </w:r>
      <w:r>
        <w:rPr>
          <w:spacing w:val="-1"/>
        </w:rPr>
        <w:t> </w:t>
      </w:r>
      <w:r>
        <w:rPr/>
        <w:t>for</w:t>
      </w:r>
      <w:r>
        <w:rPr>
          <w:spacing w:val="-2"/>
        </w:rPr>
        <w:t> </w:t>
      </w:r>
      <w:r>
        <w:rPr/>
        <w:t>Model</w:t>
      </w:r>
      <w:r>
        <w:rPr>
          <w:spacing w:val="-1"/>
        </w:rPr>
        <w:t> </w:t>
      </w:r>
      <w:r>
        <w:rPr/>
        <w:t>1B</w:t>
      </w:r>
      <w:r>
        <w:rPr>
          <w:spacing w:val="-2"/>
        </w:rPr>
        <w:t> </w:t>
      </w:r>
      <w:r>
        <w:rPr/>
        <w:t>(Morgan</w:t>
      </w:r>
      <w:r>
        <w:rPr>
          <w:spacing w:val="2"/>
        </w:rPr>
        <w:t> </w:t>
      </w:r>
      <w:r>
        <w:rPr/>
        <w:t>Guaranty</w:t>
      </w:r>
      <w:r>
        <w:rPr>
          <w:spacing w:val="-1"/>
        </w:rPr>
        <w:t> </w:t>
      </w:r>
      <w:r>
        <w:rPr/>
        <w:t>Trust</w:t>
      </w:r>
      <w:r>
        <w:rPr>
          <w:spacing w:val="-1"/>
        </w:rPr>
        <w:t> </w:t>
      </w:r>
      <w:r>
        <w:rPr/>
        <w:t>(1986) </w:t>
      </w:r>
      <w:r>
        <w:rPr>
          <w:spacing w:val="-2"/>
        </w:rPr>
        <w:t>Approach)</w:t>
      </w:r>
    </w:p>
    <w:p>
      <w:pPr>
        <w:pStyle w:val="BodyText"/>
        <w:rPr>
          <w:b/>
        </w:rPr>
      </w:pPr>
    </w:p>
    <w:p>
      <w:pPr>
        <w:pStyle w:val="BodyText"/>
        <w:spacing w:line="480" w:lineRule="auto"/>
        <w:ind w:left="711" w:right="474"/>
        <w:jc w:val="both"/>
      </w:pPr>
      <w:r>
        <w:rPr/>
        <w:t>In line with the</w:t>
      </w:r>
      <w:r>
        <w:rPr>
          <w:spacing w:val="-1"/>
        </w:rPr>
        <w:t> </w:t>
      </w:r>
      <w:r>
        <w:rPr/>
        <w:t>result obtained in the</w:t>
      </w:r>
      <w:r>
        <w:rPr>
          <w:spacing w:val="-1"/>
        </w:rPr>
        <w:t> </w:t>
      </w:r>
      <w:r>
        <w:rPr/>
        <w:t>unit root</w:t>
      </w:r>
      <w:r>
        <w:rPr>
          <w:spacing w:val="-1"/>
        </w:rPr>
        <w:t> </w:t>
      </w:r>
      <w:r>
        <w:rPr/>
        <w:t>test, the</w:t>
      </w:r>
      <w:r>
        <w:rPr>
          <w:spacing w:val="-1"/>
        </w:rPr>
        <w:t> </w:t>
      </w:r>
      <w:r>
        <w:rPr/>
        <w:t>result of</w:t>
      </w:r>
      <w:r>
        <w:rPr>
          <w:spacing w:val="-1"/>
        </w:rPr>
        <w:t> </w:t>
      </w:r>
      <w:r>
        <w:rPr/>
        <w:t>the</w:t>
      </w:r>
      <w:r>
        <w:rPr>
          <w:spacing w:val="-1"/>
        </w:rPr>
        <w:t> </w:t>
      </w:r>
      <w:r>
        <w:rPr/>
        <w:t>over-parametized error</w:t>
      </w:r>
      <w:r>
        <w:rPr>
          <w:spacing w:val="-1"/>
        </w:rPr>
        <w:t> </w:t>
      </w:r>
      <w:r>
        <w:rPr/>
        <w:t>correction model (ECM1) is presented in table 4.15.1 below:</w:t>
      </w:r>
    </w:p>
    <w:p>
      <w:pPr>
        <w:spacing w:after="0" w:line="480" w:lineRule="auto"/>
        <w:jc w:val="both"/>
        <w:sectPr>
          <w:pgSz w:w="11910" w:h="16840"/>
          <w:pgMar w:header="0" w:footer="979" w:top="1360" w:bottom="1240" w:left="280" w:right="0"/>
        </w:sectPr>
      </w:pPr>
    </w:p>
    <w:p>
      <w:pPr>
        <w:pStyle w:val="Heading6"/>
        <w:spacing w:before="60"/>
        <w:jc w:val="left"/>
      </w:pPr>
      <w:r>
        <w:rPr/>
        <w:t>Table</w:t>
      </w:r>
      <w:r>
        <w:rPr>
          <w:spacing w:val="-2"/>
        </w:rPr>
        <w:t> </w:t>
      </w:r>
      <w:r>
        <w:rPr/>
        <w:t>4.15.1</w:t>
      </w:r>
      <w:r>
        <w:rPr>
          <w:spacing w:val="-1"/>
        </w:rPr>
        <w:t> </w:t>
      </w:r>
      <w:r>
        <w:rPr/>
        <w:t>Overparameterized ECM</w:t>
      </w:r>
      <w:r>
        <w:rPr>
          <w:spacing w:val="-3"/>
        </w:rPr>
        <w:t> </w:t>
      </w:r>
      <w:r>
        <w:rPr/>
        <w:t>1</w:t>
      </w:r>
      <w:r>
        <w:rPr>
          <w:spacing w:val="-2"/>
        </w:rPr>
        <w:t> </w:t>
      </w:r>
      <w:r>
        <w:rPr/>
        <w:t>for Model</w:t>
      </w:r>
      <w:r>
        <w:rPr>
          <w:spacing w:val="-1"/>
        </w:rPr>
        <w:t> </w:t>
      </w:r>
      <w:r>
        <w:rPr>
          <w:spacing w:val="-5"/>
        </w:rPr>
        <w:t>1B</w:t>
      </w:r>
    </w:p>
    <w:p>
      <w:pPr>
        <w:pStyle w:val="BodyText"/>
        <w:spacing w:before="1"/>
        <w:rPr>
          <w:b/>
        </w:rPr>
      </w:pPr>
    </w:p>
    <w:p>
      <w:pPr>
        <w:pStyle w:val="BodyText"/>
        <w:ind w:left="711"/>
      </w:pPr>
      <w:r>
        <w:rPr/>
        <w:t>This</w:t>
      </w:r>
      <w:r>
        <w:rPr>
          <w:spacing w:val="-1"/>
        </w:rPr>
        <w:t> </w:t>
      </w:r>
      <w:r>
        <w:rPr/>
        <w:t>table</w:t>
      </w:r>
      <w:r>
        <w:rPr>
          <w:spacing w:val="-1"/>
        </w:rPr>
        <w:t> </w:t>
      </w:r>
      <w:r>
        <w:rPr/>
        <w:t>shows</w:t>
      </w:r>
      <w:r>
        <w:rPr>
          <w:spacing w:val="-1"/>
        </w:rPr>
        <w:t> </w:t>
      </w:r>
      <w:r>
        <w:rPr/>
        <w:t>the</w:t>
      </w:r>
      <w:r>
        <w:rPr>
          <w:spacing w:val="-1"/>
        </w:rPr>
        <w:t> </w:t>
      </w:r>
      <w:r>
        <w:rPr/>
        <w:t>over</w:t>
      </w:r>
      <w:r>
        <w:rPr>
          <w:spacing w:val="1"/>
        </w:rPr>
        <w:t> </w:t>
      </w:r>
      <w:r>
        <w:rPr/>
        <w:t>parameterized</w:t>
      </w:r>
      <w:r>
        <w:rPr>
          <w:spacing w:val="-1"/>
        </w:rPr>
        <w:t> </w:t>
      </w:r>
      <w:r>
        <w:rPr/>
        <w:t>ECM</w:t>
      </w:r>
      <w:r>
        <w:rPr>
          <w:spacing w:val="-1"/>
        </w:rPr>
        <w:t> </w:t>
      </w:r>
      <w:r>
        <w:rPr/>
        <w:t>for model </w:t>
      </w:r>
      <w:r>
        <w:rPr>
          <w:spacing w:val="-5"/>
        </w:rPr>
        <w:t>1B.</w:t>
      </w:r>
    </w:p>
    <w:p>
      <w:pPr>
        <w:pStyle w:val="BodyText"/>
        <w:rPr>
          <w:sz w:val="20"/>
        </w:rPr>
      </w:pPr>
    </w:p>
    <w:p>
      <w:pPr>
        <w:pStyle w:val="BodyText"/>
        <w:spacing w:before="47"/>
        <w:rPr>
          <w:sz w:val="20"/>
        </w:rPr>
      </w:pPr>
    </w:p>
    <w:tbl>
      <w:tblPr>
        <w:tblW w:w="0" w:type="auto"/>
        <w:jc w:val="left"/>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40"/>
        <w:gridCol w:w="1938"/>
        <w:gridCol w:w="1940"/>
        <w:gridCol w:w="1940"/>
        <w:gridCol w:w="1941"/>
      </w:tblGrid>
      <w:tr>
        <w:trPr>
          <w:trHeight w:val="230" w:hRule="atLeast"/>
        </w:trPr>
        <w:tc>
          <w:tcPr>
            <w:tcW w:w="1940" w:type="dxa"/>
          </w:tcPr>
          <w:p>
            <w:pPr>
              <w:pStyle w:val="TableParagraph"/>
              <w:spacing w:line="210" w:lineRule="exact"/>
              <w:ind w:left="10" w:right="4"/>
              <w:jc w:val="center"/>
              <w:rPr>
                <w:sz w:val="20"/>
              </w:rPr>
            </w:pPr>
            <w:r>
              <w:rPr>
                <w:spacing w:val="-2"/>
                <w:sz w:val="20"/>
              </w:rPr>
              <w:t>Variable</w:t>
            </w:r>
          </w:p>
        </w:tc>
        <w:tc>
          <w:tcPr>
            <w:tcW w:w="1938" w:type="dxa"/>
          </w:tcPr>
          <w:p>
            <w:pPr>
              <w:pStyle w:val="TableParagraph"/>
              <w:spacing w:line="210" w:lineRule="exact"/>
              <w:ind w:right="100"/>
              <w:jc w:val="right"/>
              <w:rPr>
                <w:sz w:val="20"/>
              </w:rPr>
            </w:pPr>
            <w:r>
              <w:rPr>
                <w:spacing w:val="-2"/>
                <w:sz w:val="20"/>
              </w:rPr>
              <w:t>Coefficient</w:t>
            </w:r>
          </w:p>
        </w:tc>
        <w:tc>
          <w:tcPr>
            <w:tcW w:w="1940" w:type="dxa"/>
          </w:tcPr>
          <w:p>
            <w:pPr>
              <w:pStyle w:val="TableParagraph"/>
              <w:spacing w:line="210" w:lineRule="exact"/>
              <w:ind w:right="100"/>
              <w:jc w:val="right"/>
              <w:rPr>
                <w:sz w:val="20"/>
              </w:rPr>
            </w:pPr>
            <w:r>
              <w:rPr>
                <w:sz w:val="20"/>
              </w:rPr>
              <w:t>Std.</w:t>
            </w:r>
            <w:r>
              <w:rPr>
                <w:spacing w:val="-4"/>
                <w:sz w:val="20"/>
              </w:rPr>
              <w:t> </w:t>
            </w:r>
            <w:r>
              <w:rPr>
                <w:spacing w:val="-2"/>
                <w:sz w:val="20"/>
              </w:rPr>
              <w:t>Error</w:t>
            </w:r>
          </w:p>
        </w:tc>
        <w:tc>
          <w:tcPr>
            <w:tcW w:w="1940" w:type="dxa"/>
          </w:tcPr>
          <w:p>
            <w:pPr>
              <w:pStyle w:val="TableParagraph"/>
              <w:spacing w:line="210" w:lineRule="exact"/>
              <w:ind w:right="103"/>
              <w:jc w:val="right"/>
              <w:rPr>
                <w:sz w:val="20"/>
              </w:rPr>
            </w:pPr>
            <w:r>
              <w:rPr>
                <w:spacing w:val="-4"/>
                <w:sz w:val="20"/>
              </w:rPr>
              <w:t>t-</w:t>
            </w:r>
            <w:r>
              <w:rPr>
                <w:spacing w:val="-2"/>
                <w:sz w:val="20"/>
              </w:rPr>
              <w:t>Statistic</w:t>
            </w:r>
          </w:p>
        </w:tc>
        <w:tc>
          <w:tcPr>
            <w:tcW w:w="1941" w:type="dxa"/>
          </w:tcPr>
          <w:p>
            <w:pPr>
              <w:pStyle w:val="TableParagraph"/>
              <w:spacing w:line="210" w:lineRule="exact"/>
              <w:ind w:right="103"/>
              <w:jc w:val="right"/>
              <w:rPr>
                <w:sz w:val="20"/>
              </w:rPr>
            </w:pPr>
            <w:r>
              <w:rPr>
                <w:spacing w:val="-2"/>
                <w:sz w:val="20"/>
              </w:rPr>
              <w:t>Prob.</w:t>
            </w:r>
          </w:p>
        </w:tc>
      </w:tr>
      <w:tr>
        <w:trPr>
          <w:trHeight w:val="230" w:hRule="atLeast"/>
        </w:trPr>
        <w:tc>
          <w:tcPr>
            <w:tcW w:w="1940" w:type="dxa"/>
          </w:tcPr>
          <w:p>
            <w:pPr>
              <w:pStyle w:val="TableParagraph"/>
              <w:spacing w:line="210" w:lineRule="exact"/>
              <w:ind w:left="10" w:right="3"/>
              <w:jc w:val="center"/>
              <w:rPr>
                <w:sz w:val="20"/>
              </w:rPr>
            </w:pPr>
            <w:r>
              <w:rPr>
                <w:spacing w:val="-2"/>
                <w:sz w:val="20"/>
              </w:rPr>
              <w:t>D(KFM(-1),2)</w:t>
            </w:r>
          </w:p>
        </w:tc>
        <w:tc>
          <w:tcPr>
            <w:tcW w:w="1938" w:type="dxa"/>
          </w:tcPr>
          <w:p>
            <w:pPr>
              <w:pStyle w:val="TableParagraph"/>
              <w:spacing w:line="210" w:lineRule="exact"/>
              <w:ind w:right="97"/>
              <w:jc w:val="right"/>
              <w:rPr>
                <w:sz w:val="20"/>
              </w:rPr>
            </w:pPr>
            <w:r>
              <w:rPr>
                <w:spacing w:val="-4"/>
                <w:sz w:val="20"/>
              </w:rPr>
              <w:t>-</w:t>
            </w:r>
            <w:r>
              <w:rPr>
                <w:spacing w:val="-2"/>
                <w:sz w:val="20"/>
              </w:rPr>
              <w:t>0.296670</w:t>
            </w:r>
          </w:p>
        </w:tc>
        <w:tc>
          <w:tcPr>
            <w:tcW w:w="1940" w:type="dxa"/>
          </w:tcPr>
          <w:p>
            <w:pPr>
              <w:pStyle w:val="TableParagraph"/>
              <w:spacing w:line="210" w:lineRule="exact"/>
              <w:ind w:right="100"/>
              <w:jc w:val="right"/>
              <w:rPr>
                <w:sz w:val="20"/>
              </w:rPr>
            </w:pPr>
            <w:r>
              <w:rPr>
                <w:spacing w:val="-2"/>
                <w:sz w:val="20"/>
              </w:rPr>
              <w:t>0.124142</w:t>
            </w:r>
          </w:p>
        </w:tc>
        <w:tc>
          <w:tcPr>
            <w:tcW w:w="1940" w:type="dxa"/>
          </w:tcPr>
          <w:p>
            <w:pPr>
              <w:pStyle w:val="TableParagraph"/>
              <w:spacing w:line="210" w:lineRule="exact"/>
              <w:ind w:right="100"/>
              <w:jc w:val="right"/>
              <w:rPr>
                <w:sz w:val="20"/>
              </w:rPr>
            </w:pPr>
            <w:r>
              <w:rPr>
                <w:spacing w:val="-4"/>
                <w:sz w:val="20"/>
              </w:rPr>
              <w:t>-</w:t>
            </w:r>
            <w:r>
              <w:rPr>
                <w:spacing w:val="-2"/>
                <w:sz w:val="20"/>
              </w:rPr>
              <w:t>2.389769</w:t>
            </w:r>
          </w:p>
        </w:tc>
        <w:tc>
          <w:tcPr>
            <w:tcW w:w="1941" w:type="dxa"/>
          </w:tcPr>
          <w:p>
            <w:pPr>
              <w:pStyle w:val="TableParagraph"/>
              <w:spacing w:line="210" w:lineRule="exact"/>
              <w:ind w:right="101"/>
              <w:jc w:val="right"/>
              <w:rPr>
                <w:sz w:val="20"/>
              </w:rPr>
            </w:pPr>
            <w:r>
              <w:rPr>
                <w:spacing w:val="-2"/>
                <w:sz w:val="20"/>
              </w:rPr>
              <w:t>0.0287</w:t>
            </w:r>
          </w:p>
        </w:tc>
      </w:tr>
      <w:tr>
        <w:trPr>
          <w:trHeight w:val="230" w:hRule="atLeast"/>
        </w:trPr>
        <w:tc>
          <w:tcPr>
            <w:tcW w:w="1940" w:type="dxa"/>
          </w:tcPr>
          <w:p>
            <w:pPr>
              <w:pStyle w:val="TableParagraph"/>
              <w:spacing w:line="210" w:lineRule="exact"/>
              <w:ind w:left="10" w:right="1"/>
              <w:jc w:val="center"/>
              <w:rPr>
                <w:sz w:val="20"/>
              </w:rPr>
            </w:pPr>
            <w:r>
              <w:rPr>
                <w:spacing w:val="-2"/>
                <w:sz w:val="20"/>
              </w:rPr>
              <w:t>D(EXTDEBT,2)</w:t>
            </w:r>
          </w:p>
        </w:tc>
        <w:tc>
          <w:tcPr>
            <w:tcW w:w="1938" w:type="dxa"/>
          </w:tcPr>
          <w:p>
            <w:pPr>
              <w:pStyle w:val="TableParagraph"/>
              <w:spacing w:line="210" w:lineRule="exact"/>
              <w:ind w:right="97"/>
              <w:jc w:val="right"/>
              <w:rPr>
                <w:sz w:val="20"/>
              </w:rPr>
            </w:pPr>
            <w:r>
              <w:rPr>
                <w:spacing w:val="-2"/>
                <w:sz w:val="20"/>
              </w:rPr>
              <w:t>0.407838</w:t>
            </w:r>
          </w:p>
        </w:tc>
        <w:tc>
          <w:tcPr>
            <w:tcW w:w="1940" w:type="dxa"/>
          </w:tcPr>
          <w:p>
            <w:pPr>
              <w:pStyle w:val="TableParagraph"/>
              <w:spacing w:line="210" w:lineRule="exact"/>
              <w:ind w:right="100"/>
              <w:jc w:val="right"/>
              <w:rPr>
                <w:sz w:val="20"/>
              </w:rPr>
            </w:pPr>
            <w:r>
              <w:rPr>
                <w:spacing w:val="-2"/>
                <w:sz w:val="20"/>
              </w:rPr>
              <w:t>0.112662</w:t>
            </w:r>
          </w:p>
        </w:tc>
        <w:tc>
          <w:tcPr>
            <w:tcW w:w="1940" w:type="dxa"/>
          </w:tcPr>
          <w:p>
            <w:pPr>
              <w:pStyle w:val="TableParagraph"/>
              <w:spacing w:line="210" w:lineRule="exact"/>
              <w:ind w:right="100"/>
              <w:jc w:val="right"/>
              <w:rPr>
                <w:sz w:val="20"/>
              </w:rPr>
            </w:pPr>
            <w:r>
              <w:rPr>
                <w:spacing w:val="-2"/>
                <w:sz w:val="20"/>
              </w:rPr>
              <w:t>3.620029</w:t>
            </w:r>
          </w:p>
        </w:tc>
        <w:tc>
          <w:tcPr>
            <w:tcW w:w="1941" w:type="dxa"/>
          </w:tcPr>
          <w:p>
            <w:pPr>
              <w:pStyle w:val="TableParagraph"/>
              <w:spacing w:line="210" w:lineRule="exact"/>
              <w:ind w:right="101"/>
              <w:jc w:val="right"/>
              <w:rPr>
                <w:sz w:val="20"/>
              </w:rPr>
            </w:pPr>
            <w:r>
              <w:rPr>
                <w:spacing w:val="-2"/>
                <w:sz w:val="20"/>
              </w:rPr>
              <w:t>0.0021</w:t>
            </w:r>
          </w:p>
        </w:tc>
      </w:tr>
      <w:tr>
        <w:trPr>
          <w:trHeight w:val="230" w:hRule="atLeast"/>
        </w:trPr>
        <w:tc>
          <w:tcPr>
            <w:tcW w:w="1940" w:type="dxa"/>
          </w:tcPr>
          <w:p>
            <w:pPr>
              <w:pStyle w:val="TableParagraph"/>
              <w:spacing w:line="210" w:lineRule="exact"/>
              <w:ind w:left="10" w:right="3"/>
              <w:jc w:val="center"/>
              <w:rPr>
                <w:sz w:val="20"/>
              </w:rPr>
            </w:pPr>
            <w:r>
              <w:rPr>
                <w:spacing w:val="-2"/>
                <w:sz w:val="20"/>
              </w:rPr>
              <w:t>D(EXTDEBT(-</w:t>
            </w:r>
            <w:r>
              <w:rPr>
                <w:spacing w:val="-4"/>
                <w:sz w:val="20"/>
              </w:rPr>
              <w:t>1),2)</w:t>
            </w:r>
          </w:p>
        </w:tc>
        <w:tc>
          <w:tcPr>
            <w:tcW w:w="1938" w:type="dxa"/>
          </w:tcPr>
          <w:p>
            <w:pPr>
              <w:pStyle w:val="TableParagraph"/>
              <w:spacing w:line="210" w:lineRule="exact"/>
              <w:ind w:right="97"/>
              <w:jc w:val="right"/>
              <w:rPr>
                <w:sz w:val="20"/>
              </w:rPr>
            </w:pPr>
            <w:r>
              <w:rPr>
                <w:spacing w:val="-2"/>
                <w:sz w:val="20"/>
              </w:rPr>
              <w:t>0.142340</w:t>
            </w:r>
          </w:p>
        </w:tc>
        <w:tc>
          <w:tcPr>
            <w:tcW w:w="1940" w:type="dxa"/>
          </w:tcPr>
          <w:p>
            <w:pPr>
              <w:pStyle w:val="TableParagraph"/>
              <w:spacing w:line="210" w:lineRule="exact"/>
              <w:ind w:right="100"/>
              <w:jc w:val="right"/>
              <w:rPr>
                <w:sz w:val="20"/>
              </w:rPr>
            </w:pPr>
            <w:r>
              <w:rPr>
                <w:spacing w:val="-2"/>
                <w:sz w:val="20"/>
              </w:rPr>
              <w:t>0.103164</w:t>
            </w:r>
          </w:p>
        </w:tc>
        <w:tc>
          <w:tcPr>
            <w:tcW w:w="1940" w:type="dxa"/>
          </w:tcPr>
          <w:p>
            <w:pPr>
              <w:pStyle w:val="TableParagraph"/>
              <w:spacing w:line="210" w:lineRule="exact"/>
              <w:ind w:right="100"/>
              <w:jc w:val="right"/>
              <w:rPr>
                <w:sz w:val="20"/>
              </w:rPr>
            </w:pPr>
            <w:r>
              <w:rPr>
                <w:spacing w:val="-2"/>
                <w:sz w:val="20"/>
              </w:rPr>
              <w:t>1.379748</w:t>
            </w:r>
          </w:p>
        </w:tc>
        <w:tc>
          <w:tcPr>
            <w:tcW w:w="1941" w:type="dxa"/>
          </w:tcPr>
          <w:p>
            <w:pPr>
              <w:pStyle w:val="TableParagraph"/>
              <w:spacing w:line="210" w:lineRule="exact"/>
              <w:ind w:right="101"/>
              <w:jc w:val="right"/>
              <w:rPr>
                <w:sz w:val="20"/>
              </w:rPr>
            </w:pPr>
            <w:r>
              <w:rPr>
                <w:spacing w:val="-2"/>
                <w:sz w:val="20"/>
              </w:rPr>
              <w:t>0.1855</w:t>
            </w:r>
          </w:p>
        </w:tc>
      </w:tr>
      <w:tr>
        <w:trPr>
          <w:trHeight w:val="230" w:hRule="atLeast"/>
        </w:trPr>
        <w:tc>
          <w:tcPr>
            <w:tcW w:w="1940" w:type="dxa"/>
          </w:tcPr>
          <w:p>
            <w:pPr>
              <w:pStyle w:val="TableParagraph"/>
              <w:spacing w:line="210" w:lineRule="exact"/>
              <w:ind w:left="10" w:right="2"/>
              <w:jc w:val="center"/>
              <w:rPr>
                <w:sz w:val="20"/>
              </w:rPr>
            </w:pPr>
            <w:r>
              <w:rPr>
                <w:spacing w:val="-2"/>
                <w:sz w:val="20"/>
              </w:rPr>
              <w:t>D(DOP,2)</w:t>
            </w:r>
          </w:p>
        </w:tc>
        <w:tc>
          <w:tcPr>
            <w:tcW w:w="1938" w:type="dxa"/>
          </w:tcPr>
          <w:p>
            <w:pPr>
              <w:pStyle w:val="TableParagraph"/>
              <w:spacing w:line="210" w:lineRule="exact"/>
              <w:ind w:right="97"/>
              <w:jc w:val="right"/>
              <w:rPr>
                <w:sz w:val="20"/>
              </w:rPr>
            </w:pPr>
            <w:r>
              <w:rPr>
                <w:spacing w:val="-4"/>
                <w:sz w:val="20"/>
              </w:rPr>
              <w:t>-</w:t>
            </w:r>
            <w:r>
              <w:rPr>
                <w:spacing w:val="-2"/>
                <w:sz w:val="20"/>
              </w:rPr>
              <w:t>2.525752</w:t>
            </w:r>
          </w:p>
        </w:tc>
        <w:tc>
          <w:tcPr>
            <w:tcW w:w="1940" w:type="dxa"/>
          </w:tcPr>
          <w:p>
            <w:pPr>
              <w:pStyle w:val="TableParagraph"/>
              <w:spacing w:line="210" w:lineRule="exact"/>
              <w:ind w:right="100"/>
              <w:jc w:val="right"/>
              <w:rPr>
                <w:sz w:val="20"/>
              </w:rPr>
            </w:pPr>
            <w:r>
              <w:rPr>
                <w:spacing w:val="-2"/>
                <w:sz w:val="20"/>
              </w:rPr>
              <w:t>0.989287</w:t>
            </w:r>
          </w:p>
        </w:tc>
        <w:tc>
          <w:tcPr>
            <w:tcW w:w="1940" w:type="dxa"/>
          </w:tcPr>
          <w:p>
            <w:pPr>
              <w:pStyle w:val="TableParagraph"/>
              <w:spacing w:line="210" w:lineRule="exact"/>
              <w:ind w:right="100"/>
              <w:jc w:val="right"/>
              <w:rPr>
                <w:sz w:val="20"/>
              </w:rPr>
            </w:pPr>
            <w:r>
              <w:rPr>
                <w:spacing w:val="-4"/>
                <w:sz w:val="20"/>
              </w:rPr>
              <w:t>-</w:t>
            </w:r>
            <w:r>
              <w:rPr>
                <w:spacing w:val="-2"/>
                <w:sz w:val="20"/>
              </w:rPr>
              <w:t>2.553103</w:t>
            </w:r>
          </w:p>
        </w:tc>
        <w:tc>
          <w:tcPr>
            <w:tcW w:w="1941" w:type="dxa"/>
          </w:tcPr>
          <w:p>
            <w:pPr>
              <w:pStyle w:val="TableParagraph"/>
              <w:spacing w:line="210" w:lineRule="exact"/>
              <w:ind w:right="101"/>
              <w:jc w:val="right"/>
              <w:rPr>
                <w:sz w:val="20"/>
              </w:rPr>
            </w:pPr>
            <w:r>
              <w:rPr>
                <w:spacing w:val="-2"/>
                <w:sz w:val="20"/>
              </w:rPr>
              <w:t>0.0206</w:t>
            </w:r>
          </w:p>
        </w:tc>
      </w:tr>
      <w:tr>
        <w:trPr>
          <w:trHeight w:val="230" w:hRule="atLeast"/>
        </w:trPr>
        <w:tc>
          <w:tcPr>
            <w:tcW w:w="1940" w:type="dxa"/>
          </w:tcPr>
          <w:p>
            <w:pPr>
              <w:pStyle w:val="TableParagraph"/>
              <w:spacing w:line="210" w:lineRule="exact"/>
              <w:ind w:left="10"/>
              <w:jc w:val="center"/>
              <w:rPr>
                <w:sz w:val="20"/>
              </w:rPr>
            </w:pPr>
            <w:r>
              <w:rPr>
                <w:spacing w:val="-2"/>
                <w:sz w:val="20"/>
              </w:rPr>
              <w:t>D(DOP(-1),2)</w:t>
            </w:r>
          </w:p>
        </w:tc>
        <w:tc>
          <w:tcPr>
            <w:tcW w:w="1938" w:type="dxa"/>
          </w:tcPr>
          <w:p>
            <w:pPr>
              <w:pStyle w:val="TableParagraph"/>
              <w:spacing w:line="210" w:lineRule="exact"/>
              <w:ind w:right="97"/>
              <w:jc w:val="right"/>
              <w:rPr>
                <w:sz w:val="20"/>
              </w:rPr>
            </w:pPr>
            <w:r>
              <w:rPr>
                <w:spacing w:val="-4"/>
                <w:sz w:val="20"/>
              </w:rPr>
              <w:t>-</w:t>
            </w:r>
            <w:r>
              <w:rPr>
                <w:spacing w:val="-2"/>
                <w:sz w:val="20"/>
              </w:rPr>
              <w:t>2.306569</w:t>
            </w:r>
          </w:p>
        </w:tc>
        <w:tc>
          <w:tcPr>
            <w:tcW w:w="1940" w:type="dxa"/>
          </w:tcPr>
          <w:p>
            <w:pPr>
              <w:pStyle w:val="TableParagraph"/>
              <w:spacing w:line="210" w:lineRule="exact"/>
              <w:ind w:right="100"/>
              <w:jc w:val="right"/>
              <w:rPr>
                <w:sz w:val="20"/>
              </w:rPr>
            </w:pPr>
            <w:r>
              <w:rPr>
                <w:spacing w:val="-2"/>
                <w:sz w:val="20"/>
              </w:rPr>
              <w:t>0.960885</w:t>
            </w:r>
          </w:p>
        </w:tc>
        <w:tc>
          <w:tcPr>
            <w:tcW w:w="1940" w:type="dxa"/>
          </w:tcPr>
          <w:p>
            <w:pPr>
              <w:pStyle w:val="TableParagraph"/>
              <w:spacing w:line="210" w:lineRule="exact"/>
              <w:ind w:right="100"/>
              <w:jc w:val="right"/>
              <w:rPr>
                <w:sz w:val="20"/>
              </w:rPr>
            </w:pPr>
            <w:r>
              <w:rPr>
                <w:spacing w:val="-4"/>
                <w:sz w:val="20"/>
              </w:rPr>
              <w:t>-</w:t>
            </w:r>
            <w:r>
              <w:rPr>
                <w:spacing w:val="-2"/>
                <w:sz w:val="20"/>
              </w:rPr>
              <w:t>2.400463</w:t>
            </w:r>
          </w:p>
        </w:tc>
        <w:tc>
          <w:tcPr>
            <w:tcW w:w="1941" w:type="dxa"/>
          </w:tcPr>
          <w:p>
            <w:pPr>
              <w:pStyle w:val="TableParagraph"/>
              <w:spacing w:line="210" w:lineRule="exact"/>
              <w:ind w:right="101"/>
              <w:jc w:val="right"/>
              <w:rPr>
                <w:sz w:val="20"/>
              </w:rPr>
            </w:pPr>
            <w:r>
              <w:rPr>
                <w:spacing w:val="-2"/>
                <w:sz w:val="20"/>
              </w:rPr>
              <w:t>0.0281</w:t>
            </w:r>
          </w:p>
        </w:tc>
      </w:tr>
      <w:tr>
        <w:trPr>
          <w:trHeight w:val="230" w:hRule="atLeast"/>
        </w:trPr>
        <w:tc>
          <w:tcPr>
            <w:tcW w:w="1940" w:type="dxa"/>
          </w:tcPr>
          <w:p>
            <w:pPr>
              <w:pStyle w:val="TableParagraph"/>
              <w:spacing w:line="210" w:lineRule="exact"/>
              <w:ind w:left="10"/>
              <w:jc w:val="center"/>
              <w:rPr>
                <w:sz w:val="20"/>
              </w:rPr>
            </w:pPr>
            <w:r>
              <w:rPr>
                <w:spacing w:val="-2"/>
                <w:sz w:val="20"/>
              </w:rPr>
              <w:t>D(INF,2)</w:t>
            </w:r>
          </w:p>
        </w:tc>
        <w:tc>
          <w:tcPr>
            <w:tcW w:w="1938" w:type="dxa"/>
          </w:tcPr>
          <w:p>
            <w:pPr>
              <w:pStyle w:val="TableParagraph"/>
              <w:spacing w:line="210" w:lineRule="exact"/>
              <w:ind w:right="97"/>
              <w:jc w:val="right"/>
              <w:rPr>
                <w:sz w:val="20"/>
              </w:rPr>
            </w:pPr>
            <w:r>
              <w:rPr>
                <w:spacing w:val="-2"/>
                <w:sz w:val="20"/>
              </w:rPr>
              <w:t>0.372836</w:t>
            </w:r>
          </w:p>
        </w:tc>
        <w:tc>
          <w:tcPr>
            <w:tcW w:w="1940" w:type="dxa"/>
          </w:tcPr>
          <w:p>
            <w:pPr>
              <w:pStyle w:val="TableParagraph"/>
              <w:spacing w:line="210" w:lineRule="exact"/>
              <w:ind w:right="100"/>
              <w:jc w:val="right"/>
              <w:rPr>
                <w:sz w:val="20"/>
              </w:rPr>
            </w:pPr>
            <w:r>
              <w:rPr>
                <w:spacing w:val="-2"/>
                <w:sz w:val="20"/>
              </w:rPr>
              <w:t>0.262252</w:t>
            </w:r>
          </w:p>
        </w:tc>
        <w:tc>
          <w:tcPr>
            <w:tcW w:w="1940" w:type="dxa"/>
          </w:tcPr>
          <w:p>
            <w:pPr>
              <w:pStyle w:val="TableParagraph"/>
              <w:spacing w:line="210" w:lineRule="exact"/>
              <w:ind w:right="100"/>
              <w:jc w:val="right"/>
              <w:rPr>
                <w:sz w:val="20"/>
              </w:rPr>
            </w:pPr>
            <w:r>
              <w:rPr>
                <w:spacing w:val="-2"/>
                <w:sz w:val="20"/>
              </w:rPr>
              <w:t>1.421671</w:t>
            </w:r>
          </w:p>
        </w:tc>
        <w:tc>
          <w:tcPr>
            <w:tcW w:w="1941" w:type="dxa"/>
          </w:tcPr>
          <w:p>
            <w:pPr>
              <w:pStyle w:val="TableParagraph"/>
              <w:spacing w:line="210" w:lineRule="exact"/>
              <w:ind w:right="101"/>
              <w:jc w:val="right"/>
              <w:rPr>
                <w:sz w:val="20"/>
              </w:rPr>
            </w:pPr>
            <w:r>
              <w:rPr>
                <w:spacing w:val="-2"/>
                <w:sz w:val="20"/>
              </w:rPr>
              <w:t>0.1732</w:t>
            </w:r>
          </w:p>
        </w:tc>
      </w:tr>
      <w:tr>
        <w:trPr>
          <w:trHeight w:val="230" w:hRule="atLeast"/>
        </w:trPr>
        <w:tc>
          <w:tcPr>
            <w:tcW w:w="1940" w:type="dxa"/>
          </w:tcPr>
          <w:p>
            <w:pPr>
              <w:pStyle w:val="TableParagraph"/>
              <w:spacing w:line="210" w:lineRule="exact"/>
              <w:ind w:left="10" w:right="2"/>
              <w:jc w:val="center"/>
              <w:rPr>
                <w:sz w:val="20"/>
              </w:rPr>
            </w:pPr>
            <w:r>
              <w:rPr>
                <w:spacing w:val="-2"/>
                <w:sz w:val="20"/>
              </w:rPr>
              <w:t>D(INF(-1),2)</w:t>
            </w:r>
          </w:p>
        </w:tc>
        <w:tc>
          <w:tcPr>
            <w:tcW w:w="1938" w:type="dxa"/>
          </w:tcPr>
          <w:p>
            <w:pPr>
              <w:pStyle w:val="TableParagraph"/>
              <w:spacing w:line="210" w:lineRule="exact"/>
              <w:ind w:right="97"/>
              <w:jc w:val="right"/>
              <w:rPr>
                <w:sz w:val="20"/>
              </w:rPr>
            </w:pPr>
            <w:r>
              <w:rPr>
                <w:spacing w:val="-4"/>
                <w:sz w:val="20"/>
              </w:rPr>
              <w:t>-</w:t>
            </w:r>
            <w:r>
              <w:rPr>
                <w:spacing w:val="-2"/>
                <w:sz w:val="20"/>
              </w:rPr>
              <w:t>0.351650</w:t>
            </w:r>
          </w:p>
        </w:tc>
        <w:tc>
          <w:tcPr>
            <w:tcW w:w="1940" w:type="dxa"/>
          </w:tcPr>
          <w:p>
            <w:pPr>
              <w:pStyle w:val="TableParagraph"/>
              <w:spacing w:line="210" w:lineRule="exact"/>
              <w:ind w:right="100"/>
              <w:jc w:val="right"/>
              <w:rPr>
                <w:sz w:val="20"/>
              </w:rPr>
            </w:pPr>
            <w:r>
              <w:rPr>
                <w:spacing w:val="-2"/>
                <w:sz w:val="20"/>
              </w:rPr>
              <w:t>0.309168</w:t>
            </w:r>
          </w:p>
        </w:tc>
        <w:tc>
          <w:tcPr>
            <w:tcW w:w="1940" w:type="dxa"/>
          </w:tcPr>
          <w:p>
            <w:pPr>
              <w:pStyle w:val="TableParagraph"/>
              <w:spacing w:line="210" w:lineRule="exact"/>
              <w:ind w:right="100"/>
              <w:jc w:val="right"/>
              <w:rPr>
                <w:sz w:val="20"/>
              </w:rPr>
            </w:pPr>
            <w:r>
              <w:rPr>
                <w:spacing w:val="-4"/>
                <w:sz w:val="20"/>
              </w:rPr>
              <w:t>-</w:t>
            </w:r>
            <w:r>
              <w:rPr>
                <w:spacing w:val="-2"/>
                <w:sz w:val="20"/>
              </w:rPr>
              <w:t>1.137408</w:t>
            </w:r>
          </w:p>
        </w:tc>
        <w:tc>
          <w:tcPr>
            <w:tcW w:w="1941" w:type="dxa"/>
          </w:tcPr>
          <w:p>
            <w:pPr>
              <w:pStyle w:val="TableParagraph"/>
              <w:spacing w:line="210" w:lineRule="exact"/>
              <w:ind w:right="101"/>
              <w:jc w:val="right"/>
              <w:rPr>
                <w:sz w:val="20"/>
              </w:rPr>
            </w:pPr>
            <w:r>
              <w:rPr>
                <w:spacing w:val="-2"/>
                <w:sz w:val="20"/>
              </w:rPr>
              <w:t>0.2711</w:t>
            </w:r>
          </w:p>
        </w:tc>
      </w:tr>
      <w:tr>
        <w:trPr>
          <w:trHeight w:val="230" w:hRule="atLeast"/>
        </w:trPr>
        <w:tc>
          <w:tcPr>
            <w:tcW w:w="1940" w:type="dxa"/>
          </w:tcPr>
          <w:p>
            <w:pPr>
              <w:pStyle w:val="TableParagraph"/>
              <w:spacing w:line="210" w:lineRule="exact"/>
              <w:ind w:left="10" w:right="2"/>
              <w:jc w:val="center"/>
              <w:rPr>
                <w:sz w:val="20"/>
              </w:rPr>
            </w:pPr>
            <w:r>
              <w:rPr>
                <w:spacing w:val="-2"/>
                <w:sz w:val="20"/>
              </w:rPr>
              <w:t>D(GCF,2)</w:t>
            </w:r>
          </w:p>
        </w:tc>
        <w:tc>
          <w:tcPr>
            <w:tcW w:w="1938" w:type="dxa"/>
          </w:tcPr>
          <w:p>
            <w:pPr>
              <w:pStyle w:val="TableParagraph"/>
              <w:spacing w:line="210" w:lineRule="exact"/>
              <w:ind w:right="97"/>
              <w:jc w:val="right"/>
              <w:rPr>
                <w:sz w:val="20"/>
              </w:rPr>
            </w:pPr>
            <w:r>
              <w:rPr>
                <w:spacing w:val="-4"/>
                <w:sz w:val="20"/>
              </w:rPr>
              <w:t>-</w:t>
            </w:r>
            <w:r>
              <w:rPr>
                <w:spacing w:val="-2"/>
                <w:sz w:val="20"/>
              </w:rPr>
              <w:t>0.102316</w:t>
            </w:r>
          </w:p>
        </w:tc>
        <w:tc>
          <w:tcPr>
            <w:tcW w:w="1940" w:type="dxa"/>
          </w:tcPr>
          <w:p>
            <w:pPr>
              <w:pStyle w:val="TableParagraph"/>
              <w:spacing w:line="210" w:lineRule="exact"/>
              <w:ind w:right="100"/>
              <w:jc w:val="right"/>
              <w:rPr>
                <w:sz w:val="20"/>
              </w:rPr>
            </w:pPr>
            <w:r>
              <w:rPr>
                <w:spacing w:val="-2"/>
                <w:sz w:val="20"/>
              </w:rPr>
              <w:t>0.074613</w:t>
            </w:r>
          </w:p>
        </w:tc>
        <w:tc>
          <w:tcPr>
            <w:tcW w:w="1940" w:type="dxa"/>
          </w:tcPr>
          <w:p>
            <w:pPr>
              <w:pStyle w:val="TableParagraph"/>
              <w:spacing w:line="210" w:lineRule="exact"/>
              <w:ind w:right="100"/>
              <w:jc w:val="right"/>
              <w:rPr>
                <w:sz w:val="20"/>
              </w:rPr>
            </w:pPr>
            <w:r>
              <w:rPr>
                <w:spacing w:val="-4"/>
                <w:sz w:val="20"/>
              </w:rPr>
              <w:t>-</w:t>
            </w:r>
            <w:r>
              <w:rPr>
                <w:spacing w:val="-2"/>
                <w:sz w:val="20"/>
              </w:rPr>
              <w:t>1.371298</w:t>
            </w:r>
          </w:p>
        </w:tc>
        <w:tc>
          <w:tcPr>
            <w:tcW w:w="1941" w:type="dxa"/>
          </w:tcPr>
          <w:p>
            <w:pPr>
              <w:pStyle w:val="TableParagraph"/>
              <w:spacing w:line="210" w:lineRule="exact"/>
              <w:ind w:right="101"/>
              <w:jc w:val="right"/>
              <w:rPr>
                <w:sz w:val="20"/>
              </w:rPr>
            </w:pPr>
            <w:r>
              <w:rPr>
                <w:spacing w:val="-2"/>
                <w:sz w:val="20"/>
              </w:rPr>
              <w:t>0.1881</w:t>
            </w:r>
          </w:p>
        </w:tc>
      </w:tr>
      <w:tr>
        <w:trPr>
          <w:trHeight w:val="229" w:hRule="atLeast"/>
        </w:trPr>
        <w:tc>
          <w:tcPr>
            <w:tcW w:w="1940" w:type="dxa"/>
          </w:tcPr>
          <w:p>
            <w:pPr>
              <w:pStyle w:val="TableParagraph"/>
              <w:spacing w:line="210" w:lineRule="exact"/>
              <w:ind w:left="10" w:right="3"/>
              <w:jc w:val="center"/>
              <w:rPr>
                <w:sz w:val="20"/>
              </w:rPr>
            </w:pPr>
            <w:r>
              <w:rPr>
                <w:spacing w:val="-2"/>
                <w:sz w:val="20"/>
              </w:rPr>
              <w:t>D(GCF(-1),2)</w:t>
            </w:r>
          </w:p>
        </w:tc>
        <w:tc>
          <w:tcPr>
            <w:tcW w:w="1938" w:type="dxa"/>
          </w:tcPr>
          <w:p>
            <w:pPr>
              <w:pStyle w:val="TableParagraph"/>
              <w:spacing w:line="210" w:lineRule="exact"/>
              <w:ind w:right="97"/>
              <w:jc w:val="right"/>
              <w:rPr>
                <w:sz w:val="20"/>
              </w:rPr>
            </w:pPr>
            <w:r>
              <w:rPr>
                <w:spacing w:val="-2"/>
                <w:sz w:val="20"/>
              </w:rPr>
              <w:t>0.117949</w:t>
            </w:r>
          </w:p>
        </w:tc>
        <w:tc>
          <w:tcPr>
            <w:tcW w:w="1940" w:type="dxa"/>
          </w:tcPr>
          <w:p>
            <w:pPr>
              <w:pStyle w:val="TableParagraph"/>
              <w:spacing w:line="210" w:lineRule="exact"/>
              <w:ind w:right="100"/>
              <w:jc w:val="right"/>
              <w:rPr>
                <w:sz w:val="20"/>
              </w:rPr>
            </w:pPr>
            <w:r>
              <w:rPr>
                <w:spacing w:val="-2"/>
                <w:sz w:val="20"/>
              </w:rPr>
              <w:t>0.088729</w:t>
            </w:r>
          </w:p>
        </w:tc>
        <w:tc>
          <w:tcPr>
            <w:tcW w:w="1940" w:type="dxa"/>
          </w:tcPr>
          <w:p>
            <w:pPr>
              <w:pStyle w:val="TableParagraph"/>
              <w:spacing w:line="210" w:lineRule="exact"/>
              <w:ind w:right="100"/>
              <w:jc w:val="right"/>
              <w:rPr>
                <w:sz w:val="20"/>
              </w:rPr>
            </w:pPr>
            <w:r>
              <w:rPr>
                <w:spacing w:val="-2"/>
                <w:sz w:val="20"/>
              </w:rPr>
              <w:t>1.329319</w:t>
            </w:r>
          </w:p>
        </w:tc>
        <w:tc>
          <w:tcPr>
            <w:tcW w:w="1941" w:type="dxa"/>
          </w:tcPr>
          <w:p>
            <w:pPr>
              <w:pStyle w:val="TableParagraph"/>
              <w:spacing w:line="210" w:lineRule="exact"/>
              <w:ind w:right="101"/>
              <w:jc w:val="right"/>
              <w:rPr>
                <w:sz w:val="20"/>
              </w:rPr>
            </w:pPr>
            <w:r>
              <w:rPr>
                <w:spacing w:val="-2"/>
                <w:sz w:val="20"/>
              </w:rPr>
              <w:t>0.2013</w:t>
            </w:r>
          </w:p>
        </w:tc>
      </w:tr>
      <w:tr>
        <w:trPr>
          <w:trHeight w:val="230" w:hRule="atLeast"/>
        </w:trPr>
        <w:tc>
          <w:tcPr>
            <w:tcW w:w="1940" w:type="dxa"/>
          </w:tcPr>
          <w:p>
            <w:pPr>
              <w:pStyle w:val="TableParagraph"/>
              <w:spacing w:line="210" w:lineRule="exact" w:before="1"/>
              <w:ind w:left="10" w:right="2"/>
              <w:jc w:val="center"/>
              <w:rPr>
                <w:sz w:val="20"/>
              </w:rPr>
            </w:pPr>
            <w:r>
              <w:rPr>
                <w:spacing w:val="-2"/>
                <w:sz w:val="20"/>
              </w:rPr>
              <w:t>D(DR,2)</w:t>
            </w:r>
          </w:p>
        </w:tc>
        <w:tc>
          <w:tcPr>
            <w:tcW w:w="1938" w:type="dxa"/>
          </w:tcPr>
          <w:p>
            <w:pPr>
              <w:pStyle w:val="TableParagraph"/>
              <w:spacing w:line="210" w:lineRule="exact" w:before="1"/>
              <w:ind w:right="97"/>
              <w:jc w:val="right"/>
              <w:rPr>
                <w:sz w:val="20"/>
              </w:rPr>
            </w:pPr>
            <w:r>
              <w:rPr>
                <w:spacing w:val="-2"/>
                <w:sz w:val="20"/>
              </w:rPr>
              <w:t>0.364575</w:t>
            </w:r>
          </w:p>
        </w:tc>
        <w:tc>
          <w:tcPr>
            <w:tcW w:w="1940" w:type="dxa"/>
          </w:tcPr>
          <w:p>
            <w:pPr>
              <w:pStyle w:val="TableParagraph"/>
              <w:spacing w:line="210" w:lineRule="exact" w:before="1"/>
              <w:ind w:right="100"/>
              <w:jc w:val="right"/>
              <w:rPr>
                <w:sz w:val="20"/>
              </w:rPr>
            </w:pPr>
            <w:r>
              <w:rPr>
                <w:spacing w:val="-2"/>
                <w:sz w:val="20"/>
              </w:rPr>
              <w:t>0.970312</w:t>
            </w:r>
          </w:p>
        </w:tc>
        <w:tc>
          <w:tcPr>
            <w:tcW w:w="1940" w:type="dxa"/>
          </w:tcPr>
          <w:p>
            <w:pPr>
              <w:pStyle w:val="TableParagraph"/>
              <w:spacing w:line="210" w:lineRule="exact" w:before="1"/>
              <w:ind w:right="100"/>
              <w:jc w:val="right"/>
              <w:rPr>
                <w:sz w:val="20"/>
              </w:rPr>
            </w:pPr>
            <w:r>
              <w:rPr>
                <w:spacing w:val="-2"/>
                <w:sz w:val="20"/>
              </w:rPr>
              <w:t>0.375730</w:t>
            </w:r>
          </w:p>
        </w:tc>
        <w:tc>
          <w:tcPr>
            <w:tcW w:w="1941" w:type="dxa"/>
          </w:tcPr>
          <w:p>
            <w:pPr>
              <w:pStyle w:val="TableParagraph"/>
              <w:spacing w:line="210" w:lineRule="exact" w:before="1"/>
              <w:ind w:right="101"/>
              <w:jc w:val="right"/>
              <w:rPr>
                <w:sz w:val="20"/>
              </w:rPr>
            </w:pPr>
            <w:r>
              <w:rPr>
                <w:spacing w:val="-2"/>
                <w:sz w:val="20"/>
              </w:rPr>
              <w:t>0.7118</w:t>
            </w:r>
          </w:p>
        </w:tc>
      </w:tr>
      <w:tr>
        <w:trPr>
          <w:trHeight w:val="230" w:hRule="atLeast"/>
        </w:trPr>
        <w:tc>
          <w:tcPr>
            <w:tcW w:w="1940" w:type="dxa"/>
          </w:tcPr>
          <w:p>
            <w:pPr>
              <w:pStyle w:val="TableParagraph"/>
              <w:spacing w:line="210" w:lineRule="exact"/>
              <w:ind w:left="10" w:right="5"/>
              <w:jc w:val="center"/>
              <w:rPr>
                <w:sz w:val="20"/>
              </w:rPr>
            </w:pPr>
            <w:r>
              <w:rPr>
                <w:spacing w:val="-2"/>
                <w:sz w:val="20"/>
              </w:rPr>
              <w:t>D(DR(-1),2)</w:t>
            </w:r>
          </w:p>
        </w:tc>
        <w:tc>
          <w:tcPr>
            <w:tcW w:w="1938" w:type="dxa"/>
          </w:tcPr>
          <w:p>
            <w:pPr>
              <w:pStyle w:val="TableParagraph"/>
              <w:spacing w:line="210" w:lineRule="exact"/>
              <w:ind w:right="97"/>
              <w:jc w:val="right"/>
              <w:rPr>
                <w:sz w:val="20"/>
              </w:rPr>
            </w:pPr>
            <w:r>
              <w:rPr>
                <w:spacing w:val="-2"/>
                <w:sz w:val="20"/>
              </w:rPr>
              <w:t>1.774326</w:t>
            </w:r>
          </w:p>
        </w:tc>
        <w:tc>
          <w:tcPr>
            <w:tcW w:w="1940" w:type="dxa"/>
          </w:tcPr>
          <w:p>
            <w:pPr>
              <w:pStyle w:val="TableParagraph"/>
              <w:spacing w:line="210" w:lineRule="exact"/>
              <w:ind w:right="100"/>
              <w:jc w:val="right"/>
              <w:rPr>
                <w:sz w:val="20"/>
              </w:rPr>
            </w:pPr>
            <w:r>
              <w:rPr>
                <w:spacing w:val="-2"/>
                <w:sz w:val="20"/>
              </w:rPr>
              <w:t>1.151708</w:t>
            </w:r>
          </w:p>
        </w:tc>
        <w:tc>
          <w:tcPr>
            <w:tcW w:w="1940" w:type="dxa"/>
          </w:tcPr>
          <w:p>
            <w:pPr>
              <w:pStyle w:val="TableParagraph"/>
              <w:spacing w:line="210" w:lineRule="exact"/>
              <w:ind w:right="100"/>
              <w:jc w:val="right"/>
              <w:rPr>
                <w:sz w:val="20"/>
              </w:rPr>
            </w:pPr>
            <w:r>
              <w:rPr>
                <w:spacing w:val="-2"/>
                <w:sz w:val="20"/>
              </w:rPr>
              <w:t>1.540603</w:t>
            </w:r>
          </w:p>
        </w:tc>
        <w:tc>
          <w:tcPr>
            <w:tcW w:w="1941" w:type="dxa"/>
          </w:tcPr>
          <w:p>
            <w:pPr>
              <w:pStyle w:val="TableParagraph"/>
              <w:spacing w:line="210" w:lineRule="exact"/>
              <w:ind w:right="101"/>
              <w:jc w:val="right"/>
              <w:rPr>
                <w:sz w:val="20"/>
              </w:rPr>
            </w:pPr>
            <w:r>
              <w:rPr>
                <w:spacing w:val="-2"/>
                <w:sz w:val="20"/>
              </w:rPr>
              <w:t>0.1418</w:t>
            </w:r>
          </w:p>
        </w:tc>
      </w:tr>
      <w:tr>
        <w:trPr>
          <w:trHeight w:val="230" w:hRule="atLeast"/>
        </w:trPr>
        <w:tc>
          <w:tcPr>
            <w:tcW w:w="1940" w:type="dxa"/>
          </w:tcPr>
          <w:p>
            <w:pPr>
              <w:pStyle w:val="TableParagraph"/>
              <w:spacing w:line="210" w:lineRule="exact"/>
              <w:ind w:left="10" w:right="5"/>
              <w:jc w:val="center"/>
              <w:rPr>
                <w:sz w:val="20"/>
              </w:rPr>
            </w:pPr>
            <w:r>
              <w:rPr>
                <w:spacing w:val="-2"/>
                <w:sz w:val="20"/>
              </w:rPr>
              <w:t>D(PRIVCR,2)</w:t>
            </w:r>
          </w:p>
        </w:tc>
        <w:tc>
          <w:tcPr>
            <w:tcW w:w="1938" w:type="dxa"/>
          </w:tcPr>
          <w:p>
            <w:pPr>
              <w:pStyle w:val="TableParagraph"/>
              <w:spacing w:line="210" w:lineRule="exact"/>
              <w:ind w:right="97"/>
              <w:jc w:val="right"/>
              <w:rPr>
                <w:sz w:val="20"/>
              </w:rPr>
            </w:pPr>
            <w:r>
              <w:rPr>
                <w:spacing w:val="-4"/>
                <w:sz w:val="20"/>
              </w:rPr>
              <w:t>-</w:t>
            </w:r>
            <w:r>
              <w:rPr>
                <w:spacing w:val="-2"/>
                <w:sz w:val="20"/>
              </w:rPr>
              <w:t>1.942842</w:t>
            </w:r>
          </w:p>
        </w:tc>
        <w:tc>
          <w:tcPr>
            <w:tcW w:w="1940" w:type="dxa"/>
          </w:tcPr>
          <w:p>
            <w:pPr>
              <w:pStyle w:val="TableParagraph"/>
              <w:spacing w:line="210" w:lineRule="exact"/>
              <w:ind w:right="100"/>
              <w:jc w:val="right"/>
              <w:rPr>
                <w:sz w:val="20"/>
              </w:rPr>
            </w:pPr>
            <w:r>
              <w:rPr>
                <w:spacing w:val="-2"/>
                <w:sz w:val="20"/>
              </w:rPr>
              <w:t>1.929214</w:t>
            </w:r>
          </w:p>
        </w:tc>
        <w:tc>
          <w:tcPr>
            <w:tcW w:w="1940" w:type="dxa"/>
          </w:tcPr>
          <w:p>
            <w:pPr>
              <w:pStyle w:val="TableParagraph"/>
              <w:spacing w:line="210" w:lineRule="exact"/>
              <w:ind w:right="100"/>
              <w:jc w:val="right"/>
              <w:rPr>
                <w:sz w:val="20"/>
              </w:rPr>
            </w:pPr>
            <w:r>
              <w:rPr>
                <w:spacing w:val="-4"/>
                <w:sz w:val="20"/>
              </w:rPr>
              <w:t>-</w:t>
            </w:r>
            <w:r>
              <w:rPr>
                <w:spacing w:val="-2"/>
                <w:sz w:val="20"/>
              </w:rPr>
              <w:t>1.007064</w:t>
            </w:r>
          </w:p>
        </w:tc>
        <w:tc>
          <w:tcPr>
            <w:tcW w:w="1941" w:type="dxa"/>
          </w:tcPr>
          <w:p>
            <w:pPr>
              <w:pStyle w:val="TableParagraph"/>
              <w:spacing w:line="210" w:lineRule="exact"/>
              <w:ind w:right="101"/>
              <w:jc w:val="right"/>
              <w:rPr>
                <w:sz w:val="20"/>
              </w:rPr>
            </w:pPr>
            <w:r>
              <w:rPr>
                <w:spacing w:val="-2"/>
                <w:sz w:val="20"/>
              </w:rPr>
              <w:t>0.3280</w:t>
            </w:r>
          </w:p>
        </w:tc>
      </w:tr>
      <w:tr>
        <w:trPr>
          <w:trHeight w:val="230" w:hRule="atLeast"/>
        </w:trPr>
        <w:tc>
          <w:tcPr>
            <w:tcW w:w="1940" w:type="dxa"/>
          </w:tcPr>
          <w:p>
            <w:pPr>
              <w:pStyle w:val="TableParagraph"/>
              <w:spacing w:line="210" w:lineRule="exact"/>
              <w:ind w:left="10" w:right="3"/>
              <w:jc w:val="center"/>
              <w:rPr>
                <w:sz w:val="20"/>
              </w:rPr>
            </w:pPr>
            <w:r>
              <w:rPr>
                <w:spacing w:val="-2"/>
                <w:sz w:val="20"/>
              </w:rPr>
              <w:t>D(PRIVCR(-1),2)</w:t>
            </w:r>
          </w:p>
        </w:tc>
        <w:tc>
          <w:tcPr>
            <w:tcW w:w="1938" w:type="dxa"/>
          </w:tcPr>
          <w:p>
            <w:pPr>
              <w:pStyle w:val="TableParagraph"/>
              <w:spacing w:line="210" w:lineRule="exact"/>
              <w:ind w:right="97"/>
              <w:jc w:val="right"/>
              <w:rPr>
                <w:sz w:val="20"/>
              </w:rPr>
            </w:pPr>
            <w:r>
              <w:rPr>
                <w:spacing w:val="-4"/>
                <w:sz w:val="20"/>
              </w:rPr>
              <w:t>-</w:t>
            </w:r>
            <w:r>
              <w:rPr>
                <w:spacing w:val="-2"/>
                <w:sz w:val="20"/>
              </w:rPr>
              <w:t>3.671129</w:t>
            </w:r>
          </w:p>
        </w:tc>
        <w:tc>
          <w:tcPr>
            <w:tcW w:w="1940" w:type="dxa"/>
          </w:tcPr>
          <w:p>
            <w:pPr>
              <w:pStyle w:val="TableParagraph"/>
              <w:spacing w:line="210" w:lineRule="exact"/>
              <w:ind w:right="100"/>
              <w:jc w:val="right"/>
              <w:rPr>
                <w:sz w:val="20"/>
              </w:rPr>
            </w:pPr>
            <w:r>
              <w:rPr>
                <w:spacing w:val="-2"/>
                <w:sz w:val="20"/>
              </w:rPr>
              <w:t>1.835121</w:t>
            </w:r>
          </w:p>
        </w:tc>
        <w:tc>
          <w:tcPr>
            <w:tcW w:w="1940" w:type="dxa"/>
          </w:tcPr>
          <w:p>
            <w:pPr>
              <w:pStyle w:val="TableParagraph"/>
              <w:spacing w:line="210" w:lineRule="exact"/>
              <w:ind w:right="100"/>
              <w:jc w:val="right"/>
              <w:rPr>
                <w:sz w:val="20"/>
              </w:rPr>
            </w:pPr>
            <w:r>
              <w:rPr>
                <w:spacing w:val="-4"/>
                <w:sz w:val="20"/>
              </w:rPr>
              <w:t>-</w:t>
            </w:r>
            <w:r>
              <w:rPr>
                <w:spacing w:val="-2"/>
                <w:sz w:val="20"/>
              </w:rPr>
              <w:t>2.000483</w:t>
            </w:r>
          </w:p>
        </w:tc>
        <w:tc>
          <w:tcPr>
            <w:tcW w:w="1941" w:type="dxa"/>
          </w:tcPr>
          <w:p>
            <w:pPr>
              <w:pStyle w:val="TableParagraph"/>
              <w:spacing w:line="210" w:lineRule="exact"/>
              <w:ind w:right="101"/>
              <w:jc w:val="right"/>
              <w:rPr>
                <w:sz w:val="20"/>
              </w:rPr>
            </w:pPr>
            <w:r>
              <w:rPr>
                <w:spacing w:val="-2"/>
                <w:sz w:val="20"/>
              </w:rPr>
              <w:t>0.0617</w:t>
            </w:r>
          </w:p>
        </w:tc>
      </w:tr>
      <w:tr>
        <w:trPr>
          <w:trHeight w:val="230" w:hRule="atLeast"/>
        </w:trPr>
        <w:tc>
          <w:tcPr>
            <w:tcW w:w="1940" w:type="dxa"/>
          </w:tcPr>
          <w:p>
            <w:pPr>
              <w:pStyle w:val="TableParagraph"/>
              <w:spacing w:line="210" w:lineRule="exact"/>
              <w:ind w:left="10" w:right="1"/>
              <w:jc w:val="center"/>
              <w:rPr>
                <w:sz w:val="20"/>
              </w:rPr>
            </w:pPr>
            <w:r>
              <w:rPr>
                <w:spacing w:val="-2"/>
                <w:sz w:val="20"/>
              </w:rPr>
              <w:t>D(INTDIFF,2)</w:t>
            </w:r>
          </w:p>
        </w:tc>
        <w:tc>
          <w:tcPr>
            <w:tcW w:w="1938" w:type="dxa"/>
          </w:tcPr>
          <w:p>
            <w:pPr>
              <w:pStyle w:val="TableParagraph"/>
              <w:spacing w:line="210" w:lineRule="exact"/>
              <w:ind w:right="97"/>
              <w:jc w:val="right"/>
              <w:rPr>
                <w:sz w:val="20"/>
              </w:rPr>
            </w:pPr>
            <w:r>
              <w:rPr>
                <w:spacing w:val="-2"/>
                <w:sz w:val="20"/>
              </w:rPr>
              <w:t>0.626482</w:t>
            </w:r>
          </w:p>
        </w:tc>
        <w:tc>
          <w:tcPr>
            <w:tcW w:w="1940" w:type="dxa"/>
          </w:tcPr>
          <w:p>
            <w:pPr>
              <w:pStyle w:val="TableParagraph"/>
              <w:spacing w:line="210" w:lineRule="exact"/>
              <w:ind w:right="100"/>
              <w:jc w:val="right"/>
              <w:rPr>
                <w:sz w:val="20"/>
              </w:rPr>
            </w:pPr>
            <w:r>
              <w:rPr>
                <w:spacing w:val="-2"/>
                <w:sz w:val="20"/>
              </w:rPr>
              <w:t>0.303848</w:t>
            </w:r>
          </w:p>
        </w:tc>
        <w:tc>
          <w:tcPr>
            <w:tcW w:w="1940" w:type="dxa"/>
          </w:tcPr>
          <w:p>
            <w:pPr>
              <w:pStyle w:val="TableParagraph"/>
              <w:spacing w:line="210" w:lineRule="exact"/>
              <w:ind w:right="100"/>
              <w:jc w:val="right"/>
              <w:rPr>
                <w:sz w:val="20"/>
              </w:rPr>
            </w:pPr>
            <w:r>
              <w:rPr>
                <w:spacing w:val="-2"/>
                <w:sz w:val="20"/>
              </w:rPr>
              <w:t>2.061826</w:t>
            </w:r>
          </w:p>
        </w:tc>
        <w:tc>
          <w:tcPr>
            <w:tcW w:w="1941" w:type="dxa"/>
          </w:tcPr>
          <w:p>
            <w:pPr>
              <w:pStyle w:val="TableParagraph"/>
              <w:spacing w:line="210" w:lineRule="exact"/>
              <w:ind w:right="101"/>
              <w:jc w:val="right"/>
              <w:rPr>
                <w:sz w:val="20"/>
              </w:rPr>
            </w:pPr>
            <w:r>
              <w:rPr>
                <w:spacing w:val="-2"/>
                <w:sz w:val="20"/>
              </w:rPr>
              <w:t>0.0549</w:t>
            </w:r>
          </w:p>
        </w:tc>
      </w:tr>
      <w:tr>
        <w:trPr>
          <w:trHeight w:val="229" w:hRule="atLeast"/>
        </w:trPr>
        <w:tc>
          <w:tcPr>
            <w:tcW w:w="1940" w:type="dxa"/>
          </w:tcPr>
          <w:p>
            <w:pPr>
              <w:pStyle w:val="TableParagraph"/>
              <w:spacing w:line="210" w:lineRule="exact"/>
              <w:ind w:left="10" w:right="3"/>
              <w:jc w:val="center"/>
              <w:rPr>
                <w:sz w:val="20"/>
              </w:rPr>
            </w:pPr>
            <w:r>
              <w:rPr>
                <w:spacing w:val="-2"/>
                <w:sz w:val="20"/>
              </w:rPr>
              <w:t>D(INTDIFF(-</w:t>
            </w:r>
            <w:r>
              <w:rPr>
                <w:spacing w:val="-4"/>
                <w:sz w:val="20"/>
              </w:rPr>
              <w:t>1),2)</w:t>
            </w:r>
          </w:p>
        </w:tc>
        <w:tc>
          <w:tcPr>
            <w:tcW w:w="1938" w:type="dxa"/>
          </w:tcPr>
          <w:p>
            <w:pPr>
              <w:pStyle w:val="TableParagraph"/>
              <w:spacing w:line="210" w:lineRule="exact"/>
              <w:ind w:right="97"/>
              <w:jc w:val="right"/>
              <w:rPr>
                <w:sz w:val="20"/>
              </w:rPr>
            </w:pPr>
            <w:r>
              <w:rPr>
                <w:spacing w:val="-2"/>
                <w:sz w:val="20"/>
              </w:rPr>
              <w:t>0.201748</w:t>
            </w:r>
          </w:p>
        </w:tc>
        <w:tc>
          <w:tcPr>
            <w:tcW w:w="1940" w:type="dxa"/>
          </w:tcPr>
          <w:p>
            <w:pPr>
              <w:pStyle w:val="TableParagraph"/>
              <w:spacing w:line="210" w:lineRule="exact"/>
              <w:ind w:right="100"/>
              <w:jc w:val="right"/>
              <w:rPr>
                <w:sz w:val="20"/>
              </w:rPr>
            </w:pPr>
            <w:r>
              <w:rPr>
                <w:spacing w:val="-2"/>
                <w:sz w:val="20"/>
              </w:rPr>
              <w:t>0.286358</w:t>
            </w:r>
          </w:p>
        </w:tc>
        <w:tc>
          <w:tcPr>
            <w:tcW w:w="1940" w:type="dxa"/>
          </w:tcPr>
          <w:p>
            <w:pPr>
              <w:pStyle w:val="TableParagraph"/>
              <w:spacing w:line="210" w:lineRule="exact"/>
              <w:ind w:right="100"/>
              <w:jc w:val="right"/>
              <w:rPr>
                <w:sz w:val="20"/>
              </w:rPr>
            </w:pPr>
            <w:r>
              <w:rPr>
                <w:spacing w:val="-2"/>
                <w:sz w:val="20"/>
              </w:rPr>
              <w:t>0.704529</w:t>
            </w:r>
          </w:p>
        </w:tc>
        <w:tc>
          <w:tcPr>
            <w:tcW w:w="1941" w:type="dxa"/>
          </w:tcPr>
          <w:p>
            <w:pPr>
              <w:pStyle w:val="TableParagraph"/>
              <w:spacing w:line="210" w:lineRule="exact"/>
              <w:ind w:right="101"/>
              <w:jc w:val="right"/>
              <w:rPr>
                <w:sz w:val="20"/>
              </w:rPr>
            </w:pPr>
            <w:r>
              <w:rPr>
                <w:spacing w:val="-2"/>
                <w:sz w:val="20"/>
              </w:rPr>
              <w:t>0.4906</w:t>
            </w:r>
          </w:p>
        </w:tc>
      </w:tr>
      <w:tr>
        <w:trPr>
          <w:trHeight w:val="230" w:hRule="atLeast"/>
        </w:trPr>
        <w:tc>
          <w:tcPr>
            <w:tcW w:w="1940" w:type="dxa"/>
          </w:tcPr>
          <w:p>
            <w:pPr>
              <w:pStyle w:val="TableParagraph"/>
              <w:spacing w:line="210" w:lineRule="exact"/>
              <w:ind w:left="10" w:right="5"/>
              <w:jc w:val="center"/>
              <w:rPr>
                <w:sz w:val="20"/>
              </w:rPr>
            </w:pPr>
            <w:r>
              <w:rPr>
                <w:spacing w:val="-2"/>
                <w:sz w:val="20"/>
              </w:rPr>
              <w:t>D(GOCE,2)</w:t>
            </w:r>
          </w:p>
        </w:tc>
        <w:tc>
          <w:tcPr>
            <w:tcW w:w="1938" w:type="dxa"/>
          </w:tcPr>
          <w:p>
            <w:pPr>
              <w:pStyle w:val="TableParagraph"/>
              <w:spacing w:line="210" w:lineRule="exact"/>
              <w:ind w:right="97"/>
              <w:jc w:val="right"/>
              <w:rPr>
                <w:sz w:val="20"/>
              </w:rPr>
            </w:pPr>
            <w:r>
              <w:rPr>
                <w:spacing w:val="-2"/>
                <w:sz w:val="20"/>
              </w:rPr>
              <w:t>1.059232</w:t>
            </w:r>
          </w:p>
        </w:tc>
        <w:tc>
          <w:tcPr>
            <w:tcW w:w="1940" w:type="dxa"/>
          </w:tcPr>
          <w:p>
            <w:pPr>
              <w:pStyle w:val="TableParagraph"/>
              <w:spacing w:line="210" w:lineRule="exact"/>
              <w:ind w:right="100"/>
              <w:jc w:val="right"/>
              <w:rPr>
                <w:sz w:val="20"/>
              </w:rPr>
            </w:pPr>
            <w:r>
              <w:rPr>
                <w:spacing w:val="-2"/>
                <w:sz w:val="20"/>
              </w:rPr>
              <w:t>1.181667</w:t>
            </w:r>
          </w:p>
        </w:tc>
        <w:tc>
          <w:tcPr>
            <w:tcW w:w="1940" w:type="dxa"/>
          </w:tcPr>
          <w:p>
            <w:pPr>
              <w:pStyle w:val="TableParagraph"/>
              <w:spacing w:line="210" w:lineRule="exact"/>
              <w:ind w:right="100"/>
              <w:jc w:val="right"/>
              <w:rPr>
                <w:sz w:val="20"/>
              </w:rPr>
            </w:pPr>
            <w:r>
              <w:rPr>
                <w:spacing w:val="-2"/>
                <w:sz w:val="20"/>
              </w:rPr>
              <w:t>0.896388</w:t>
            </w:r>
          </w:p>
        </w:tc>
        <w:tc>
          <w:tcPr>
            <w:tcW w:w="1941" w:type="dxa"/>
          </w:tcPr>
          <w:p>
            <w:pPr>
              <w:pStyle w:val="TableParagraph"/>
              <w:spacing w:line="210" w:lineRule="exact"/>
              <w:ind w:right="101"/>
              <w:jc w:val="right"/>
              <w:rPr>
                <w:sz w:val="20"/>
              </w:rPr>
            </w:pPr>
            <w:r>
              <w:rPr>
                <w:spacing w:val="-2"/>
                <w:sz w:val="20"/>
              </w:rPr>
              <w:t>0.3826</w:t>
            </w:r>
          </w:p>
        </w:tc>
      </w:tr>
      <w:tr>
        <w:trPr>
          <w:trHeight w:val="230" w:hRule="atLeast"/>
        </w:trPr>
        <w:tc>
          <w:tcPr>
            <w:tcW w:w="1940" w:type="dxa"/>
          </w:tcPr>
          <w:p>
            <w:pPr>
              <w:pStyle w:val="TableParagraph"/>
              <w:spacing w:line="210" w:lineRule="exact"/>
              <w:ind w:left="10" w:right="3"/>
              <w:jc w:val="center"/>
              <w:rPr>
                <w:sz w:val="20"/>
              </w:rPr>
            </w:pPr>
            <w:r>
              <w:rPr>
                <w:spacing w:val="-2"/>
                <w:sz w:val="20"/>
              </w:rPr>
              <w:t>D(GOCE(-1),2)</w:t>
            </w:r>
          </w:p>
        </w:tc>
        <w:tc>
          <w:tcPr>
            <w:tcW w:w="1938" w:type="dxa"/>
          </w:tcPr>
          <w:p>
            <w:pPr>
              <w:pStyle w:val="TableParagraph"/>
              <w:spacing w:line="210" w:lineRule="exact"/>
              <w:ind w:right="97"/>
              <w:jc w:val="right"/>
              <w:rPr>
                <w:sz w:val="20"/>
              </w:rPr>
            </w:pPr>
            <w:r>
              <w:rPr>
                <w:spacing w:val="-4"/>
                <w:sz w:val="20"/>
              </w:rPr>
              <w:t>-</w:t>
            </w:r>
            <w:r>
              <w:rPr>
                <w:spacing w:val="-2"/>
                <w:sz w:val="20"/>
              </w:rPr>
              <w:t>0.274093</w:t>
            </w:r>
          </w:p>
        </w:tc>
        <w:tc>
          <w:tcPr>
            <w:tcW w:w="1940" w:type="dxa"/>
          </w:tcPr>
          <w:p>
            <w:pPr>
              <w:pStyle w:val="TableParagraph"/>
              <w:spacing w:line="210" w:lineRule="exact"/>
              <w:ind w:right="100"/>
              <w:jc w:val="right"/>
              <w:rPr>
                <w:sz w:val="20"/>
              </w:rPr>
            </w:pPr>
            <w:r>
              <w:rPr>
                <w:spacing w:val="-2"/>
                <w:sz w:val="20"/>
              </w:rPr>
              <w:t>0.879277</w:t>
            </w:r>
          </w:p>
        </w:tc>
        <w:tc>
          <w:tcPr>
            <w:tcW w:w="1940" w:type="dxa"/>
          </w:tcPr>
          <w:p>
            <w:pPr>
              <w:pStyle w:val="TableParagraph"/>
              <w:spacing w:line="210" w:lineRule="exact"/>
              <w:ind w:right="100"/>
              <w:jc w:val="right"/>
              <w:rPr>
                <w:sz w:val="20"/>
              </w:rPr>
            </w:pPr>
            <w:r>
              <w:rPr>
                <w:spacing w:val="-4"/>
                <w:sz w:val="20"/>
              </w:rPr>
              <w:t>-</w:t>
            </w:r>
            <w:r>
              <w:rPr>
                <w:spacing w:val="-2"/>
                <w:sz w:val="20"/>
              </w:rPr>
              <w:t>0.311726</w:t>
            </w:r>
          </w:p>
        </w:tc>
        <w:tc>
          <w:tcPr>
            <w:tcW w:w="1941" w:type="dxa"/>
          </w:tcPr>
          <w:p>
            <w:pPr>
              <w:pStyle w:val="TableParagraph"/>
              <w:spacing w:line="210" w:lineRule="exact"/>
              <w:ind w:right="101"/>
              <w:jc w:val="right"/>
              <w:rPr>
                <w:sz w:val="20"/>
              </w:rPr>
            </w:pPr>
            <w:r>
              <w:rPr>
                <w:spacing w:val="-2"/>
                <w:sz w:val="20"/>
              </w:rPr>
              <w:t>0.7590</w:t>
            </w:r>
          </w:p>
        </w:tc>
      </w:tr>
      <w:tr>
        <w:trPr>
          <w:trHeight w:val="230" w:hRule="atLeast"/>
        </w:trPr>
        <w:tc>
          <w:tcPr>
            <w:tcW w:w="1940" w:type="dxa"/>
          </w:tcPr>
          <w:p>
            <w:pPr>
              <w:pStyle w:val="TableParagraph"/>
              <w:spacing w:line="210" w:lineRule="exact"/>
              <w:ind w:left="10" w:right="3"/>
              <w:jc w:val="center"/>
              <w:rPr>
                <w:sz w:val="20"/>
              </w:rPr>
            </w:pPr>
            <w:r>
              <w:rPr>
                <w:spacing w:val="-2"/>
                <w:sz w:val="20"/>
              </w:rPr>
              <w:t>ECM(-</w:t>
            </w:r>
            <w:r>
              <w:rPr>
                <w:spacing w:val="-5"/>
                <w:sz w:val="20"/>
              </w:rPr>
              <w:t>1)</w:t>
            </w:r>
          </w:p>
        </w:tc>
        <w:tc>
          <w:tcPr>
            <w:tcW w:w="1938" w:type="dxa"/>
          </w:tcPr>
          <w:p>
            <w:pPr>
              <w:pStyle w:val="TableParagraph"/>
              <w:spacing w:line="210" w:lineRule="exact"/>
              <w:ind w:right="97"/>
              <w:jc w:val="right"/>
              <w:rPr>
                <w:sz w:val="20"/>
              </w:rPr>
            </w:pPr>
            <w:r>
              <w:rPr>
                <w:spacing w:val="-4"/>
                <w:sz w:val="20"/>
              </w:rPr>
              <w:t>-</w:t>
            </w:r>
            <w:r>
              <w:rPr>
                <w:spacing w:val="-2"/>
                <w:sz w:val="20"/>
              </w:rPr>
              <w:t>1.064011</w:t>
            </w:r>
          </w:p>
        </w:tc>
        <w:tc>
          <w:tcPr>
            <w:tcW w:w="1940" w:type="dxa"/>
          </w:tcPr>
          <w:p>
            <w:pPr>
              <w:pStyle w:val="TableParagraph"/>
              <w:spacing w:line="210" w:lineRule="exact"/>
              <w:ind w:right="100"/>
              <w:jc w:val="right"/>
              <w:rPr>
                <w:sz w:val="20"/>
              </w:rPr>
            </w:pPr>
            <w:r>
              <w:rPr>
                <w:spacing w:val="-2"/>
                <w:sz w:val="20"/>
              </w:rPr>
              <w:t>0.201494</w:t>
            </w:r>
          </w:p>
        </w:tc>
        <w:tc>
          <w:tcPr>
            <w:tcW w:w="1940" w:type="dxa"/>
          </w:tcPr>
          <w:p>
            <w:pPr>
              <w:pStyle w:val="TableParagraph"/>
              <w:spacing w:line="210" w:lineRule="exact"/>
              <w:ind w:right="100"/>
              <w:jc w:val="right"/>
              <w:rPr>
                <w:sz w:val="20"/>
              </w:rPr>
            </w:pPr>
            <w:r>
              <w:rPr>
                <w:spacing w:val="-4"/>
                <w:sz w:val="20"/>
              </w:rPr>
              <w:t>-</w:t>
            </w:r>
            <w:r>
              <w:rPr>
                <w:spacing w:val="-2"/>
                <w:sz w:val="20"/>
              </w:rPr>
              <w:t>5.280620</w:t>
            </w:r>
          </w:p>
        </w:tc>
        <w:tc>
          <w:tcPr>
            <w:tcW w:w="1941" w:type="dxa"/>
          </w:tcPr>
          <w:p>
            <w:pPr>
              <w:pStyle w:val="TableParagraph"/>
              <w:spacing w:line="210" w:lineRule="exact"/>
              <w:ind w:right="101"/>
              <w:jc w:val="right"/>
              <w:rPr>
                <w:sz w:val="20"/>
              </w:rPr>
            </w:pPr>
            <w:r>
              <w:rPr>
                <w:spacing w:val="-2"/>
                <w:sz w:val="20"/>
              </w:rPr>
              <w:t>0.0001</w:t>
            </w:r>
          </w:p>
        </w:tc>
      </w:tr>
    </w:tbl>
    <w:tbl>
      <w:tblPr>
        <w:tblW w:w="0" w:type="auto"/>
        <w:jc w:val="left"/>
        <w:tblInd w:w="7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93"/>
        <w:gridCol w:w="1998"/>
        <w:gridCol w:w="2926"/>
        <w:gridCol w:w="1924"/>
      </w:tblGrid>
      <w:tr>
        <w:trPr>
          <w:trHeight w:val="241" w:hRule="atLeast"/>
        </w:trPr>
        <w:tc>
          <w:tcPr>
            <w:tcW w:w="2693" w:type="dxa"/>
          </w:tcPr>
          <w:p>
            <w:pPr>
              <w:pStyle w:val="TableParagraph"/>
              <w:spacing w:line="221" w:lineRule="exact"/>
              <w:ind w:left="50"/>
              <w:rPr>
                <w:sz w:val="20"/>
              </w:rPr>
            </w:pPr>
            <w:r>
              <w:rPr>
                <w:spacing w:val="-2"/>
                <w:sz w:val="20"/>
              </w:rPr>
              <w:t>R-squared</w:t>
            </w:r>
          </w:p>
        </w:tc>
        <w:tc>
          <w:tcPr>
            <w:tcW w:w="1998" w:type="dxa"/>
          </w:tcPr>
          <w:p>
            <w:pPr>
              <w:pStyle w:val="TableParagraph"/>
              <w:spacing w:line="221" w:lineRule="exact"/>
              <w:ind w:right="128"/>
              <w:jc w:val="right"/>
              <w:rPr>
                <w:sz w:val="20"/>
              </w:rPr>
            </w:pPr>
            <w:r>
              <w:rPr>
                <w:spacing w:val="-2"/>
                <w:sz w:val="20"/>
              </w:rPr>
              <w:t>0.928954</w:t>
            </w:r>
          </w:p>
        </w:tc>
        <w:tc>
          <w:tcPr>
            <w:tcW w:w="2926" w:type="dxa"/>
          </w:tcPr>
          <w:p>
            <w:pPr>
              <w:pStyle w:val="TableParagraph"/>
              <w:spacing w:line="221" w:lineRule="exact"/>
              <w:ind w:left="131"/>
              <w:rPr>
                <w:sz w:val="20"/>
              </w:rPr>
            </w:pPr>
            <w:r>
              <w:rPr>
                <w:sz w:val="20"/>
              </w:rPr>
              <w:t>Mean</w:t>
            </w:r>
            <w:r>
              <w:rPr>
                <w:spacing w:val="-7"/>
                <w:sz w:val="20"/>
              </w:rPr>
              <w:t> </w:t>
            </w:r>
            <w:r>
              <w:rPr>
                <w:sz w:val="20"/>
              </w:rPr>
              <w:t>dependent</w:t>
            </w:r>
            <w:r>
              <w:rPr>
                <w:spacing w:val="-7"/>
                <w:sz w:val="20"/>
              </w:rPr>
              <w:t> </w:t>
            </w:r>
            <w:r>
              <w:rPr>
                <w:spacing w:val="-5"/>
                <w:sz w:val="20"/>
              </w:rPr>
              <w:t>var</w:t>
            </w:r>
          </w:p>
        </w:tc>
        <w:tc>
          <w:tcPr>
            <w:tcW w:w="1924" w:type="dxa"/>
          </w:tcPr>
          <w:p>
            <w:pPr>
              <w:pStyle w:val="TableParagraph"/>
              <w:spacing w:line="221" w:lineRule="exact"/>
              <w:ind w:right="47"/>
              <w:jc w:val="right"/>
              <w:rPr>
                <w:sz w:val="20"/>
              </w:rPr>
            </w:pPr>
            <w:r>
              <w:rPr>
                <w:spacing w:val="-2"/>
                <w:sz w:val="20"/>
              </w:rPr>
              <w:t>0.061694</w:t>
            </w:r>
          </w:p>
        </w:tc>
      </w:tr>
      <w:tr>
        <w:trPr>
          <w:trHeight w:val="254" w:hRule="atLeast"/>
        </w:trPr>
        <w:tc>
          <w:tcPr>
            <w:tcW w:w="2693" w:type="dxa"/>
          </w:tcPr>
          <w:p>
            <w:pPr>
              <w:pStyle w:val="TableParagraph"/>
              <w:spacing w:line="223" w:lineRule="exact" w:before="11"/>
              <w:ind w:left="50"/>
              <w:rPr>
                <w:sz w:val="20"/>
              </w:rPr>
            </w:pPr>
            <w:r>
              <w:rPr>
                <w:sz w:val="20"/>
              </w:rPr>
              <w:t>Adjusted</w:t>
            </w:r>
            <w:r>
              <w:rPr>
                <w:spacing w:val="-10"/>
                <w:sz w:val="20"/>
              </w:rPr>
              <w:t> </w:t>
            </w:r>
            <w:r>
              <w:rPr>
                <w:sz w:val="20"/>
              </w:rPr>
              <w:t>R-</w:t>
            </w:r>
            <w:r>
              <w:rPr>
                <w:spacing w:val="-2"/>
                <w:sz w:val="20"/>
              </w:rPr>
              <w:t>squared</w:t>
            </w:r>
          </w:p>
        </w:tc>
        <w:tc>
          <w:tcPr>
            <w:tcW w:w="1998" w:type="dxa"/>
          </w:tcPr>
          <w:p>
            <w:pPr>
              <w:pStyle w:val="TableParagraph"/>
              <w:spacing w:line="223" w:lineRule="exact" w:before="11"/>
              <w:ind w:right="128"/>
              <w:jc w:val="right"/>
              <w:rPr>
                <w:sz w:val="20"/>
              </w:rPr>
            </w:pPr>
            <w:r>
              <w:rPr>
                <w:spacing w:val="-2"/>
                <w:sz w:val="20"/>
              </w:rPr>
              <w:t>0.857907</w:t>
            </w:r>
          </w:p>
        </w:tc>
        <w:tc>
          <w:tcPr>
            <w:tcW w:w="2926" w:type="dxa"/>
          </w:tcPr>
          <w:p>
            <w:pPr>
              <w:pStyle w:val="TableParagraph"/>
              <w:spacing w:line="223" w:lineRule="exact" w:before="11"/>
              <w:ind w:left="131"/>
              <w:rPr>
                <w:sz w:val="20"/>
              </w:rPr>
            </w:pPr>
            <w:r>
              <w:rPr>
                <w:sz w:val="20"/>
              </w:rPr>
              <w:t>S.D.</w:t>
            </w:r>
            <w:r>
              <w:rPr>
                <w:spacing w:val="-5"/>
                <w:sz w:val="20"/>
              </w:rPr>
              <w:t> </w:t>
            </w:r>
            <w:r>
              <w:rPr>
                <w:sz w:val="20"/>
              </w:rPr>
              <w:t>dependent</w:t>
            </w:r>
            <w:r>
              <w:rPr>
                <w:spacing w:val="-6"/>
                <w:sz w:val="20"/>
              </w:rPr>
              <w:t> </w:t>
            </w:r>
            <w:r>
              <w:rPr>
                <w:spacing w:val="-5"/>
                <w:sz w:val="20"/>
              </w:rPr>
              <w:t>var</w:t>
            </w:r>
          </w:p>
        </w:tc>
        <w:tc>
          <w:tcPr>
            <w:tcW w:w="1924" w:type="dxa"/>
          </w:tcPr>
          <w:p>
            <w:pPr>
              <w:pStyle w:val="TableParagraph"/>
              <w:spacing w:line="223" w:lineRule="exact" w:before="11"/>
              <w:ind w:right="47"/>
              <w:jc w:val="right"/>
              <w:rPr>
                <w:sz w:val="20"/>
              </w:rPr>
            </w:pPr>
            <w:r>
              <w:rPr>
                <w:spacing w:val="-2"/>
                <w:sz w:val="20"/>
              </w:rPr>
              <w:t>2.645017</w:t>
            </w:r>
          </w:p>
        </w:tc>
      </w:tr>
      <w:tr>
        <w:trPr>
          <w:trHeight w:val="247" w:hRule="atLeast"/>
        </w:trPr>
        <w:tc>
          <w:tcPr>
            <w:tcW w:w="2693" w:type="dxa"/>
          </w:tcPr>
          <w:p>
            <w:pPr>
              <w:pStyle w:val="TableParagraph"/>
              <w:spacing w:line="223" w:lineRule="exact" w:before="4"/>
              <w:ind w:left="50"/>
              <w:rPr>
                <w:sz w:val="20"/>
              </w:rPr>
            </w:pPr>
            <w:r>
              <w:rPr>
                <w:sz w:val="20"/>
              </w:rPr>
              <w:t>S.E.</w:t>
            </w:r>
            <w:r>
              <w:rPr>
                <w:spacing w:val="-3"/>
                <w:sz w:val="20"/>
              </w:rPr>
              <w:t> </w:t>
            </w:r>
            <w:r>
              <w:rPr>
                <w:sz w:val="20"/>
              </w:rPr>
              <w:t>of</w:t>
            </w:r>
            <w:r>
              <w:rPr>
                <w:spacing w:val="-3"/>
                <w:sz w:val="20"/>
              </w:rPr>
              <w:t> </w:t>
            </w:r>
            <w:r>
              <w:rPr>
                <w:spacing w:val="-2"/>
                <w:sz w:val="20"/>
              </w:rPr>
              <w:t>regression</w:t>
            </w:r>
          </w:p>
        </w:tc>
        <w:tc>
          <w:tcPr>
            <w:tcW w:w="1998" w:type="dxa"/>
          </w:tcPr>
          <w:p>
            <w:pPr>
              <w:pStyle w:val="TableParagraph"/>
              <w:spacing w:line="223" w:lineRule="exact" w:before="4"/>
              <w:ind w:right="128"/>
              <w:jc w:val="right"/>
              <w:rPr>
                <w:sz w:val="20"/>
              </w:rPr>
            </w:pPr>
            <w:r>
              <w:rPr>
                <w:spacing w:val="-2"/>
                <w:sz w:val="20"/>
              </w:rPr>
              <w:t>0.997044</w:t>
            </w:r>
          </w:p>
        </w:tc>
        <w:tc>
          <w:tcPr>
            <w:tcW w:w="2926" w:type="dxa"/>
          </w:tcPr>
          <w:p>
            <w:pPr>
              <w:pStyle w:val="TableParagraph"/>
              <w:spacing w:line="223" w:lineRule="exact" w:before="4"/>
              <w:ind w:left="131"/>
              <w:rPr>
                <w:sz w:val="20"/>
              </w:rPr>
            </w:pPr>
            <w:r>
              <w:rPr>
                <w:sz w:val="20"/>
              </w:rPr>
              <w:t>Akaike</w:t>
            </w:r>
            <w:r>
              <w:rPr>
                <w:spacing w:val="-8"/>
                <w:sz w:val="20"/>
              </w:rPr>
              <w:t> </w:t>
            </w:r>
            <w:r>
              <w:rPr>
                <w:sz w:val="20"/>
              </w:rPr>
              <w:t>info</w:t>
            </w:r>
            <w:r>
              <w:rPr>
                <w:spacing w:val="-7"/>
                <w:sz w:val="20"/>
              </w:rPr>
              <w:t> </w:t>
            </w:r>
            <w:r>
              <w:rPr>
                <w:spacing w:val="-2"/>
                <w:sz w:val="20"/>
              </w:rPr>
              <w:t>criterion</w:t>
            </w:r>
          </w:p>
        </w:tc>
        <w:tc>
          <w:tcPr>
            <w:tcW w:w="1924" w:type="dxa"/>
          </w:tcPr>
          <w:p>
            <w:pPr>
              <w:pStyle w:val="TableParagraph"/>
              <w:spacing w:line="223" w:lineRule="exact" w:before="4"/>
              <w:ind w:right="47"/>
              <w:jc w:val="right"/>
              <w:rPr>
                <w:sz w:val="20"/>
              </w:rPr>
            </w:pPr>
            <w:r>
              <w:rPr>
                <w:spacing w:val="-2"/>
                <w:sz w:val="20"/>
              </w:rPr>
              <w:t>3.138394</w:t>
            </w:r>
          </w:p>
        </w:tc>
      </w:tr>
      <w:tr>
        <w:trPr>
          <w:trHeight w:val="255" w:hRule="atLeast"/>
        </w:trPr>
        <w:tc>
          <w:tcPr>
            <w:tcW w:w="2693" w:type="dxa"/>
          </w:tcPr>
          <w:p>
            <w:pPr>
              <w:pStyle w:val="TableParagraph"/>
              <w:spacing w:before="4"/>
              <w:ind w:left="50"/>
              <w:rPr>
                <w:sz w:val="20"/>
              </w:rPr>
            </w:pPr>
            <w:r>
              <w:rPr>
                <w:sz w:val="20"/>
              </w:rPr>
              <w:t>Sum</w:t>
            </w:r>
            <w:r>
              <w:rPr>
                <w:spacing w:val="-8"/>
                <w:sz w:val="20"/>
              </w:rPr>
              <w:t> </w:t>
            </w:r>
            <w:r>
              <w:rPr>
                <w:sz w:val="20"/>
              </w:rPr>
              <w:t>squared</w:t>
            </w:r>
            <w:r>
              <w:rPr>
                <w:spacing w:val="-4"/>
                <w:sz w:val="20"/>
              </w:rPr>
              <w:t> </w:t>
            </w:r>
            <w:r>
              <w:rPr>
                <w:spacing w:val="-2"/>
                <w:sz w:val="20"/>
              </w:rPr>
              <w:t>resid</w:t>
            </w:r>
          </w:p>
        </w:tc>
        <w:tc>
          <w:tcPr>
            <w:tcW w:w="1998" w:type="dxa"/>
          </w:tcPr>
          <w:p>
            <w:pPr>
              <w:pStyle w:val="TableParagraph"/>
              <w:spacing w:before="4"/>
              <w:ind w:right="128"/>
              <w:jc w:val="right"/>
              <w:rPr>
                <w:sz w:val="20"/>
              </w:rPr>
            </w:pPr>
            <w:r>
              <w:rPr>
                <w:spacing w:val="-2"/>
                <w:sz w:val="20"/>
              </w:rPr>
              <w:t>16.89966</w:t>
            </w:r>
          </w:p>
        </w:tc>
        <w:tc>
          <w:tcPr>
            <w:tcW w:w="2926" w:type="dxa"/>
          </w:tcPr>
          <w:p>
            <w:pPr>
              <w:pStyle w:val="TableParagraph"/>
              <w:spacing w:before="4"/>
              <w:ind w:left="131"/>
              <w:rPr>
                <w:sz w:val="20"/>
              </w:rPr>
            </w:pPr>
            <w:r>
              <w:rPr>
                <w:sz w:val="20"/>
              </w:rPr>
              <w:t>Schwarz</w:t>
            </w:r>
            <w:r>
              <w:rPr>
                <w:spacing w:val="-8"/>
                <w:sz w:val="20"/>
              </w:rPr>
              <w:t> </w:t>
            </w:r>
            <w:r>
              <w:rPr>
                <w:spacing w:val="-2"/>
                <w:sz w:val="20"/>
              </w:rPr>
              <w:t>criterion</w:t>
            </w:r>
          </w:p>
        </w:tc>
        <w:tc>
          <w:tcPr>
            <w:tcW w:w="1924" w:type="dxa"/>
          </w:tcPr>
          <w:p>
            <w:pPr>
              <w:pStyle w:val="TableParagraph"/>
              <w:spacing w:before="4"/>
              <w:ind w:right="47"/>
              <w:jc w:val="right"/>
              <w:rPr>
                <w:sz w:val="20"/>
              </w:rPr>
            </w:pPr>
            <w:r>
              <w:rPr>
                <w:spacing w:val="-2"/>
                <w:sz w:val="20"/>
              </w:rPr>
              <w:t>3.938287</w:t>
            </w:r>
          </w:p>
        </w:tc>
      </w:tr>
      <w:tr>
        <w:trPr>
          <w:trHeight w:val="242" w:hRule="atLeast"/>
        </w:trPr>
        <w:tc>
          <w:tcPr>
            <w:tcW w:w="2693" w:type="dxa"/>
          </w:tcPr>
          <w:p>
            <w:pPr>
              <w:pStyle w:val="TableParagraph"/>
              <w:spacing w:line="210" w:lineRule="exact" w:before="12"/>
              <w:ind w:left="50"/>
              <w:rPr>
                <w:sz w:val="20"/>
              </w:rPr>
            </w:pPr>
            <w:r>
              <w:rPr>
                <w:sz w:val="20"/>
              </w:rPr>
              <w:t>Log</w:t>
            </w:r>
            <w:r>
              <w:rPr>
                <w:spacing w:val="-6"/>
                <w:sz w:val="20"/>
              </w:rPr>
              <w:t> </w:t>
            </w:r>
            <w:r>
              <w:rPr>
                <w:spacing w:val="-2"/>
                <w:sz w:val="20"/>
              </w:rPr>
              <w:t>likelihood</w:t>
            </w:r>
          </w:p>
        </w:tc>
        <w:tc>
          <w:tcPr>
            <w:tcW w:w="1998" w:type="dxa"/>
          </w:tcPr>
          <w:p>
            <w:pPr>
              <w:pStyle w:val="TableParagraph"/>
              <w:spacing w:line="210" w:lineRule="exact" w:before="12"/>
              <w:ind w:right="128"/>
              <w:jc w:val="right"/>
              <w:rPr>
                <w:sz w:val="20"/>
              </w:rPr>
            </w:pPr>
            <w:r>
              <w:rPr>
                <w:spacing w:val="-4"/>
                <w:sz w:val="20"/>
              </w:rPr>
              <w:t>-</w:t>
            </w:r>
            <w:r>
              <w:rPr>
                <w:spacing w:val="-2"/>
                <w:sz w:val="20"/>
              </w:rPr>
              <w:t>36.92189</w:t>
            </w:r>
          </w:p>
        </w:tc>
        <w:tc>
          <w:tcPr>
            <w:tcW w:w="2926" w:type="dxa"/>
          </w:tcPr>
          <w:p>
            <w:pPr>
              <w:pStyle w:val="TableParagraph"/>
              <w:spacing w:line="210" w:lineRule="exact" w:before="12"/>
              <w:ind w:left="131"/>
              <w:rPr>
                <w:sz w:val="20"/>
              </w:rPr>
            </w:pPr>
            <w:r>
              <w:rPr>
                <w:spacing w:val="-2"/>
                <w:sz w:val="20"/>
              </w:rPr>
              <w:t>Durbin-Watson</w:t>
            </w:r>
            <w:r>
              <w:rPr>
                <w:spacing w:val="12"/>
                <w:sz w:val="20"/>
              </w:rPr>
              <w:t> </w:t>
            </w:r>
            <w:r>
              <w:rPr>
                <w:spacing w:val="-4"/>
                <w:sz w:val="20"/>
              </w:rPr>
              <w:t>stat</w:t>
            </w:r>
          </w:p>
        </w:tc>
        <w:tc>
          <w:tcPr>
            <w:tcW w:w="1924" w:type="dxa"/>
          </w:tcPr>
          <w:p>
            <w:pPr>
              <w:pStyle w:val="TableParagraph"/>
              <w:spacing w:line="210" w:lineRule="exact" w:before="12"/>
              <w:ind w:right="47"/>
              <w:jc w:val="right"/>
              <w:rPr>
                <w:sz w:val="20"/>
              </w:rPr>
            </w:pPr>
            <w:r>
              <w:rPr>
                <w:spacing w:val="-2"/>
                <w:sz w:val="20"/>
              </w:rPr>
              <w:t>1.257679</w:t>
            </w:r>
          </w:p>
        </w:tc>
      </w:tr>
    </w:tbl>
    <w:p>
      <w:pPr>
        <w:pStyle w:val="BodyText"/>
        <w:spacing w:before="44"/>
        <w:ind w:left="711"/>
        <w:jc w:val="both"/>
      </w:pPr>
      <w:r>
        <w:rPr>
          <w:b/>
        </w:rPr>
        <w:t>Source:</w:t>
      </w:r>
      <w:r>
        <w:rPr>
          <w:b/>
          <w:spacing w:val="-2"/>
        </w:rPr>
        <w:t> </w:t>
      </w:r>
      <w:r>
        <w:rPr/>
        <w:t>Computation,</w:t>
      </w:r>
      <w:r>
        <w:rPr>
          <w:spacing w:val="-1"/>
        </w:rPr>
        <w:t> </w:t>
      </w:r>
      <w:r>
        <w:rPr/>
        <w:t>using</w:t>
      </w:r>
      <w:r>
        <w:rPr>
          <w:spacing w:val="-4"/>
        </w:rPr>
        <w:t> </w:t>
      </w:r>
      <w:r>
        <w:rPr/>
        <w:t>E-view</w:t>
      </w:r>
      <w:r>
        <w:rPr>
          <w:spacing w:val="-1"/>
        </w:rPr>
        <w:t> </w:t>
      </w:r>
      <w:r>
        <w:rPr/>
        <w:t>statistical</w:t>
      </w:r>
      <w:r>
        <w:rPr>
          <w:spacing w:val="-1"/>
        </w:rPr>
        <w:t> </w:t>
      </w:r>
      <w:r>
        <w:rPr>
          <w:spacing w:val="-2"/>
        </w:rPr>
        <w:t>package.</w:t>
      </w:r>
    </w:p>
    <w:p>
      <w:pPr>
        <w:pStyle w:val="BodyText"/>
      </w:pPr>
    </w:p>
    <w:p>
      <w:pPr>
        <w:pStyle w:val="BodyText"/>
        <w:spacing w:line="480" w:lineRule="auto"/>
        <w:ind w:left="711" w:right="470"/>
        <w:jc w:val="both"/>
        <w:rPr>
          <w:rFonts w:ascii="Arial MT" w:hAnsi="Arial MT"/>
        </w:rPr>
      </w:pPr>
      <w:r>
        <w:rPr/>
        <w:t>The</w:t>
      </w:r>
      <w:r>
        <w:rPr>
          <w:spacing w:val="-1"/>
        </w:rPr>
        <w:t> </w:t>
      </w:r>
      <w:r>
        <w:rPr/>
        <w:t>summary</w:t>
      </w:r>
      <w:r>
        <w:rPr>
          <w:spacing w:val="-2"/>
        </w:rPr>
        <w:t> </w:t>
      </w:r>
      <w:r>
        <w:rPr/>
        <w:t>of the over-parametized ECM above shows that the coefficient of the ECM is significant with the negative sign (-). This implies it effectiveness in the correction of any deviation that may occur in the long-run. It shows the speed of adjustment in the dependent if there is deviation in the independent</w:t>
      </w:r>
      <w:r>
        <w:rPr>
          <w:spacing w:val="40"/>
        </w:rPr>
        <w:t> </w:t>
      </w:r>
      <w:r>
        <w:rPr/>
        <w:t>variables. The coefficient is </w:t>
      </w:r>
      <w:r>
        <w:rPr>
          <w:sz w:val="20"/>
        </w:rPr>
        <w:t>-1.064011 </w:t>
      </w:r>
      <w:r>
        <w:rPr/>
        <w:t>which implies a sharp adjustment rate of approximately -1.1 units to any changes that may occur on the long-run and rate of correction of past deviation in the present period. These means that the present value of KFW adjust very sharply to changes in (δ</w:t>
      </w:r>
      <w:r>
        <w:rPr>
          <w:rFonts w:ascii="Cambria" w:hAnsi="Cambria"/>
        </w:rPr>
        <w:t>EXTDEBT, DOP,</w:t>
      </w:r>
      <w:r>
        <w:rPr>
          <w:rFonts w:ascii="Cambria" w:hAnsi="Cambria"/>
          <w:spacing w:val="-7"/>
        </w:rPr>
        <w:t> </w:t>
      </w:r>
      <w:r>
        <w:rPr>
          <w:rFonts w:ascii="Cambria" w:hAnsi="Cambria"/>
        </w:rPr>
        <w:t>INF, GCF, </w:t>
      </w:r>
      <w:r>
        <w:rPr>
          <w:rFonts w:ascii="Cambria" w:hAnsi="Cambria"/>
          <w:position w:val="1"/>
        </w:rPr>
        <w:t>DR, PRIVCR, USIRD</w:t>
      </w:r>
      <w:r>
        <w:rPr>
          <w:rFonts w:ascii="Cambria" w:hAnsi="Cambria"/>
          <w:i/>
          <w:sz w:val="16"/>
        </w:rPr>
        <w:t>,</w:t>
      </w:r>
      <w:r>
        <w:rPr>
          <w:rFonts w:ascii="Cambria" w:hAnsi="Cambria"/>
          <w:i/>
          <w:spacing w:val="40"/>
          <w:sz w:val="16"/>
        </w:rPr>
        <w:t> </w:t>
      </w:r>
      <w:r>
        <w:rPr>
          <w:rFonts w:ascii="Arial MT" w:hAnsi="Arial MT"/>
          <w:position w:val="1"/>
        </w:rPr>
        <w:t>GOCE)</w:t>
      </w:r>
    </w:p>
    <w:p>
      <w:pPr>
        <w:pStyle w:val="BodyText"/>
        <w:spacing w:line="480" w:lineRule="auto" w:before="1"/>
        <w:ind w:left="711" w:right="469"/>
        <w:jc w:val="both"/>
      </w:pPr>
      <w:r>
        <w:rPr/>
        <w:t>In order to attain effectiveness of the model, there is the need to simplify</w:t>
      </w:r>
      <w:r>
        <w:rPr>
          <w:spacing w:val="-2"/>
        </w:rPr>
        <w:t> </w:t>
      </w:r>
      <w:r>
        <w:rPr/>
        <w:t>the model to a more parsimonious model. The parsimonious model is gotten by estimating the equation of only those variables that appear significant in the over-parametized ECM. The coefficient of multiple determinations denoted as R</w:t>
      </w:r>
      <w:r>
        <w:rPr>
          <w:vertAlign w:val="superscript"/>
        </w:rPr>
        <w:t>2</w:t>
      </w:r>
      <w:r>
        <w:rPr>
          <w:vertAlign w:val="baseline"/>
        </w:rPr>
        <w:t> shows that</w:t>
      </w:r>
      <w:r>
        <w:rPr>
          <w:spacing w:val="-2"/>
          <w:vertAlign w:val="baseline"/>
        </w:rPr>
        <w:t> </w:t>
      </w:r>
      <w:r>
        <w:rPr>
          <w:vertAlign w:val="baseline"/>
        </w:rPr>
        <w:t>about 93%</w:t>
      </w:r>
      <w:r>
        <w:rPr>
          <w:spacing w:val="2"/>
          <w:vertAlign w:val="baseline"/>
        </w:rPr>
        <w:t> </w:t>
      </w:r>
      <w:r>
        <w:rPr>
          <w:vertAlign w:val="baseline"/>
        </w:rPr>
        <w:t>in KF</w:t>
      </w:r>
      <w:r>
        <w:rPr>
          <w:spacing w:val="-2"/>
          <w:vertAlign w:val="baseline"/>
        </w:rPr>
        <w:t> </w:t>
      </w:r>
      <w:r>
        <w:rPr>
          <w:vertAlign w:val="baseline"/>
        </w:rPr>
        <w:t>can</w:t>
      </w:r>
      <w:r>
        <w:rPr>
          <w:spacing w:val="1"/>
          <w:vertAlign w:val="baseline"/>
        </w:rPr>
        <w:t> </w:t>
      </w:r>
      <w:r>
        <w:rPr>
          <w:vertAlign w:val="baseline"/>
        </w:rPr>
        <w:t>be</w:t>
      </w:r>
      <w:r>
        <w:rPr>
          <w:spacing w:val="1"/>
          <w:vertAlign w:val="baseline"/>
        </w:rPr>
        <w:t> </w:t>
      </w:r>
      <w:r>
        <w:rPr>
          <w:vertAlign w:val="baseline"/>
        </w:rPr>
        <w:t>explained</w:t>
      </w:r>
      <w:r>
        <w:rPr>
          <w:spacing w:val="1"/>
          <w:vertAlign w:val="baseline"/>
        </w:rPr>
        <w:t> </w:t>
      </w:r>
      <w:r>
        <w:rPr>
          <w:vertAlign w:val="baseline"/>
        </w:rPr>
        <w:t>by</w:t>
      </w:r>
      <w:r>
        <w:rPr>
          <w:spacing w:val="-5"/>
          <w:vertAlign w:val="baseline"/>
        </w:rPr>
        <w:t> </w:t>
      </w:r>
      <w:r>
        <w:rPr>
          <w:vertAlign w:val="baseline"/>
        </w:rPr>
        <w:t>the</w:t>
      </w:r>
      <w:r>
        <w:rPr>
          <w:spacing w:val="-1"/>
          <w:vertAlign w:val="baseline"/>
        </w:rPr>
        <w:t> </w:t>
      </w:r>
      <w:r>
        <w:rPr>
          <w:vertAlign w:val="baseline"/>
        </w:rPr>
        <w:t>independent</w:t>
      </w:r>
      <w:r>
        <w:rPr>
          <w:spacing w:val="5"/>
          <w:vertAlign w:val="baseline"/>
        </w:rPr>
        <w:t> </w:t>
      </w:r>
      <w:r>
        <w:rPr>
          <w:vertAlign w:val="baseline"/>
        </w:rPr>
        <w:t>variables</w:t>
      </w:r>
      <w:r>
        <w:rPr>
          <w:spacing w:val="1"/>
          <w:vertAlign w:val="baseline"/>
        </w:rPr>
        <w:t> </w:t>
      </w:r>
      <w:r>
        <w:rPr>
          <w:vertAlign w:val="baseline"/>
        </w:rPr>
        <w:t>while</w:t>
      </w:r>
      <w:r>
        <w:rPr>
          <w:spacing w:val="2"/>
          <w:vertAlign w:val="baseline"/>
        </w:rPr>
        <w:t> </w:t>
      </w:r>
      <w:r>
        <w:rPr>
          <w:vertAlign w:val="baseline"/>
        </w:rPr>
        <w:t>the remaining</w:t>
      </w:r>
      <w:r>
        <w:rPr>
          <w:spacing w:val="-3"/>
          <w:vertAlign w:val="baseline"/>
        </w:rPr>
        <w:t> </w:t>
      </w:r>
      <w:r>
        <w:rPr>
          <w:vertAlign w:val="baseline"/>
        </w:rPr>
        <w:t>7% is</w:t>
      </w:r>
      <w:r>
        <w:rPr>
          <w:spacing w:val="2"/>
          <w:vertAlign w:val="baseline"/>
        </w:rPr>
        <w:t> </w:t>
      </w:r>
      <w:r>
        <w:rPr>
          <w:vertAlign w:val="baseline"/>
        </w:rPr>
        <w:t>explained</w:t>
      </w:r>
      <w:r>
        <w:rPr>
          <w:spacing w:val="1"/>
          <w:vertAlign w:val="baseline"/>
        </w:rPr>
        <w:t> </w:t>
      </w:r>
      <w:r>
        <w:rPr>
          <w:spacing w:val="-5"/>
          <w:vertAlign w:val="baseline"/>
        </w:rPr>
        <w:t>by</w:t>
      </w:r>
    </w:p>
    <w:p>
      <w:pPr>
        <w:spacing w:after="0" w:line="480" w:lineRule="auto"/>
        <w:jc w:val="both"/>
        <w:sectPr>
          <w:pgSz w:w="11910" w:h="16840"/>
          <w:pgMar w:header="0" w:footer="979" w:top="1360" w:bottom="1240" w:left="280" w:right="0"/>
        </w:sectPr>
      </w:pPr>
    </w:p>
    <w:p>
      <w:pPr>
        <w:spacing w:line="480" w:lineRule="auto" w:before="60"/>
        <w:ind w:left="711" w:right="471" w:firstLine="0"/>
        <w:jc w:val="both"/>
        <w:rPr>
          <w:sz w:val="24"/>
        </w:rPr>
      </w:pPr>
      <w:r>
        <w:rPr>
          <w:sz w:val="24"/>
        </w:rPr>
        <w:t>stochastic variables and the </w:t>
      </w:r>
      <w:r>
        <w:rPr>
          <w:sz w:val="20"/>
        </w:rPr>
        <w:t>Durbin-Watson statistic of 1.257679 </w:t>
      </w:r>
      <w:r>
        <w:rPr>
          <w:sz w:val="24"/>
        </w:rPr>
        <w:t>falls</w:t>
      </w:r>
      <w:r>
        <w:rPr>
          <w:spacing w:val="-1"/>
          <w:sz w:val="24"/>
        </w:rPr>
        <w:t> </w:t>
      </w:r>
      <w:r>
        <w:rPr>
          <w:sz w:val="24"/>
        </w:rPr>
        <w:t>within</w:t>
      </w:r>
      <w:r>
        <w:rPr>
          <w:spacing w:val="-1"/>
          <w:sz w:val="24"/>
        </w:rPr>
        <w:t> </w:t>
      </w:r>
      <w:r>
        <w:rPr>
          <w:sz w:val="24"/>
        </w:rPr>
        <w:t>the inconclusive region. Table 4.15.2 below shows the result of the parsimonious model estimated.</w:t>
      </w:r>
    </w:p>
    <w:p>
      <w:pPr>
        <w:pStyle w:val="Heading6"/>
        <w:spacing w:before="1"/>
        <w:jc w:val="left"/>
      </w:pPr>
      <w:r>
        <w:rPr/>
        <w:t>Table</w:t>
      </w:r>
      <w:r>
        <w:rPr>
          <w:spacing w:val="-2"/>
        </w:rPr>
        <w:t> </w:t>
      </w:r>
      <w:r>
        <w:rPr/>
        <w:t>4.15.2</w:t>
      </w:r>
      <w:r>
        <w:rPr>
          <w:spacing w:val="-1"/>
        </w:rPr>
        <w:t> </w:t>
      </w:r>
      <w:r>
        <w:rPr/>
        <w:t>Parsimonous ECM</w:t>
      </w:r>
      <w:r>
        <w:rPr>
          <w:spacing w:val="-4"/>
        </w:rPr>
        <w:t> </w:t>
      </w:r>
      <w:r>
        <w:rPr/>
        <w:t>2</w:t>
      </w:r>
      <w:r>
        <w:rPr>
          <w:spacing w:val="-1"/>
        </w:rPr>
        <w:t> </w:t>
      </w:r>
      <w:r>
        <w:rPr/>
        <w:t>for</w:t>
      </w:r>
      <w:r>
        <w:rPr>
          <w:spacing w:val="-2"/>
        </w:rPr>
        <w:t> </w:t>
      </w:r>
      <w:r>
        <w:rPr/>
        <w:t>(Morgan</w:t>
      </w:r>
      <w:r>
        <w:rPr>
          <w:spacing w:val="-2"/>
        </w:rPr>
        <w:t> </w:t>
      </w:r>
      <w:r>
        <w:rPr/>
        <w:t>Guaranty</w:t>
      </w:r>
      <w:r>
        <w:rPr>
          <w:spacing w:val="-1"/>
        </w:rPr>
        <w:t> </w:t>
      </w:r>
      <w:r>
        <w:rPr/>
        <w:t>Trust</w:t>
      </w:r>
      <w:r>
        <w:rPr>
          <w:spacing w:val="-1"/>
        </w:rPr>
        <w:t> </w:t>
      </w:r>
      <w:r>
        <w:rPr/>
        <w:t>(1986) </w:t>
      </w:r>
      <w:r>
        <w:rPr>
          <w:spacing w:val="-2"/>
        </w:rPr>
        <w:t>Approach)</w:t>
      </w:r>
    </w:p>
    <w:p>
      <w:pPr>
        <w:pStyle w:val="BodyText"/>
        <w:rPr>
          <w:b/>
        </w:rPr>
      </w:pPr>
    </w:p>
    <w:p>
      <w:pPr>
        <w:pStyle w:val="BodyText"/>
        <w:ind w:left="711"/>
      </w:pPr>
      <w:r>
        <w:rPr/>
        <w:t>This</w:t>
      </w:r>
      <w:r>
        <w:rPr>
          <w:spacing w:val="-3"/>
        </w:rPr>
        <w:t> </w:t>
      </w:r>
      <w:r>
        <w:rPr/>
        <w:t>table</w:t>
      </w:r>
      <w:r>
        <w:rPr>
          <w:spacing w:val="-1"/>
        </w:rPr>
        <w:t> </w:t>
      </w:r>
      <w:r>
        <w:rPr/>
        <w:t>shows the</w:t>
      </w:r>
      <w:r>
        <w:rPr>
          <w:spacing w:val="-1"/>
        </w:rPr>
        <w:t> </w:t>
      </w:r>
      <w:r>
        <w:rPr/>
        <w:t>over parameterized and</w:t>
      </w:r>
      <w:r>
        <w:rPr>
          <w:spacing w:val="-1"/>
        </w:rPr>
        <w:t> </w:t>
      </w:r>
      <w:r>
        <w:rPr/>
        <w:t>parsimonious</w:t>
      </w:r>
      <w:r>
        <w:rPr>
          <w:spacing w:val="-1"/>
        </w:rPr>
        <w:t> </w:t>
      </w:r>
      <w:r>
        <w:rPr/>
        <w:t>ECM for</w:t>
      </w:r>
      <w:r>
        <w:rPr>
          <w:spacing w:val="-3"/>
        </w:rPr>
        <w:t> </w:t>
      </w:r>
      <w:r>
        <w:rPr/>
        <w:t>model </w:t>
      </w:r>
      <w:r>
        <w:rPr>
          <w:spacing w:val="-5"/>
        </w:rPr>
        <w:t>1.</w:t>
      </w:r>
    </w:p>
    <w:p>
      <w:pPr>
        <w:pStyle w:val="BodyText"/>
        <w:spacing w:before="47"/>
        <w:rPr>
          <w:sz w:val="20"/>
        </w:rPr>
      </w:pPr>
    </w:p>
    <w:tbl>
      <w:tblPr>
        <w:tblW w:w="0" w:type="auto"/>
        <w:jc w:val="left"/>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40"/>
        <w:gridCol w:w="1938"/>
        <w:gridCol w:w="1940"/>
        <w:gridCol w:w="1940"/>
        <w:gridCol w:w="1941"/>
      </w:tblGrid>
      <w:tr>
        <w:trPr>
          <w:trHeight w:val="230" w:hRule="atLeast"/>
        </w:trPr>
        <w:tc>
          <w:tcPr>
            <w:tcW w:w="1940" w:type="dxa"/>
          </w:tcPr>
          <w:p>
            <w:pPr>
              <w:pStyle w:val="TableParagraph"/>
              <w:spacing w:line="210" w:lineRule="exact"/>
              <w:ind w:left="10" w:right="4"/>
              <w:jc w:val="center"/>
              <w:rPr>
                <w:sz w:val="20"/>
              </w:rPr>
            </w:pPr>
            <w:r>
              <w:rPr>
                <w:spacing w:val="-2"/>
                <w:sz w:val="20"/>
              </w:rPr>
              <w:t>Variable</w:t>
            </w:r>
          </w:p>
        </w:tc>
        <w:tc>
          <w:tcPr>
            <w:tcW w:w="1938" w:type="dxa"/>
          </w:tcPr>
          <w:p>
            <w:pPr>
              <w:pStyle w:val="TableParagraph"/>
              <w:spacing w:line="210" w:lineRule="exact"/>
              <w:ind w:right="100"/>
              <w:jc w:val="right"/>
              <w:rPr>
                <w:sz w:val="20"/>
              </w:rPr>
            </w:pPr>
            <w:r>
              <w:rPr>
                <w:spacing w:val="-2"/>
                <w:sz w:val="20"/>
              </w:rPr>
              <w:t>Coefficient</w:t>
            </w:r>
          </w:p>
        </w:tc>
        <w:tc>
          <w:tcPr>
            <w:tcW w:w="1940" w:type="dxa"/>
          </w:tcPr>
          <w:p>
            <w:pPr>
              <w:pStyle w:val="TableParagraph"/>
              <w:spacing w:line="210" w:lineRule="exact"/>
              <w:ind w:right="100"/>
              <w:jc w:val="right"/>
              <w:rPr>
                <w:sz w:val="20"/>
              </w:rPr>
            </w:pPr>
            <w:r>
              <w:rPr>
                <w:sz w:val="20"/>
              </w:rPr>
              <w:t>Std.</w:t>
            </w:r>
            <w:r>
              <w:rPr>
                <w:spacing w:val="-4"/>
                <w:sz w:val="20"/>
              </w:rPr>
              <w:t> </w:t>
            </w:r>
            <w:r>
              <w:rPr>
                <w:spacing w:val="-2"/>
                <w:sz w:val="20"/>
              </w:rPr>
              <w:t>Error</w:t>
            </w:r>
          </w:p>
        </w:tc>
        <w:tc>
          <w:tcPr>
            <w:tcW w:w="1940" w:type="dxa"/>
          </w:tcPr>
          <w:p>
            <w:pPr>
              <w:pStyle w:val="TableParagraph"/>
              <w:spacing w:line="210" w:lineRule="exact"/>
              <w:ind w:right="103"/>
              <w:jc w:val="right"/>
              <w:rPr>
                <w:sz w:val="20"/>
              </w:rPr>
            </w:pPr>
            <w:r>
              <w:rPr>
                <w:spacing w:val="-4"/>
                <w:sz w:val="20"/>
              </w:rPr>
              <w:t>t-</w:t>
            </w:r>
            <w:r>
              <w:rPr>
                <w:spacing w:val="-2"/>
                <w:sz w:val="20"/>
              </w:rPr>
              <w:t>Statistic</w:t>
            </w:r>
          </w:p>
        </w:tc>
        <w:tc>
          <w:tcPr>
            <w:tcW w:w="1941" w:type="dxa"/>
          </w:tcPr>
          <w:p>
            <w:pPr>
              <w:pStyle w:val="TableParagraph"/>
              <w:spacing w:line="210" w:lineRule="exact"/>
              <w:ind w:right="103"/>
              <w:jc w:val="right"/>
              <w:rPr>
                <w:sz w:val="20"/>
              </w:rPr>
            </w:pPr>
            <w:r>
              <w:rPr>
                <w:spacing w:val="-2"/>
                <w:sz w:val="20"/>
              </w:rPr>
              <w:t>Prob.</w:t>
            </w:r>
          </w:p>
        </w:tc>
      </w:tr>
      <w:tr>
        <w:trPr>
          <w:trHeight w:val="230" w:hRule="atLeast"/>
        </w:trPr>
        <w:tc>
          <w:tcPr>
            <w:tcW w:w="1940" w:type="dxa"/>
          </w:tcPr>
          <w:p>
            <w:pPr>
              <w:pStyle w:val="TableParagraph"/>
              <w:spacing w:line="210" w:lineRule="exact"/>
              <w:ind w:left="10" w:right="1"/>
              <w:jc w:val="center"/>
              <w:rPr>
                <w:sz w:val="20"/>
              </w:rPr>
            </w:pPr>
            <w:r>
              <w:rPr>
                <w:spacing w:val="-2"/>
                <w:sz w:val="20"/>
              </w:rPr>
              <w:t>D(EXTDEBT,2)</w:t>
            </w:r>
          </w:p>
        </w:tc>
        <w:tc>
          <w:tcPr>
            <w:tcW w:w="1938" w:type="dxa"/>
          </w:tcPr>
          <w:p>
            <w:pPr>
              <w:pStyle w:val="TableParagraph"/>
              <w:spacing w:line="210" w:lineRule="exact"/>
              <w:ind w:right="97"/>
              <w:jc w:val="right"/>
              <w:rPr>
                <w:sz w:val="20"/>
              </w:rPr>
            </w:pPr>
            <w:r>
              <w:rPr>
                <w:spacing w:val="-2"/>
                <w:sz w:val="20"/>
              </w:rPr>
              <w:t>0.262969</w:t>
            </w:r>
          </w:p>
        </w:tc>
        <w:tc>
          <w:tcPr>
            <w:tcW w:w="1940" w:type="dxa"/>
          </w:tcPr>
          <w:p>
            <w:pPr>
              <w:pStyle w:val="TableParagraph"/>
              <w:spacing w:line="210" w:lineRule="exact"/>
              <w:ind w:right="100"/>
              <w:jc w:val="right"/>
              <w:rPr>
                <w:sz w:val="20"/>
              </w:rPr>
            </w:pPr>
            <w:r>
              <w:rPr>
                <w:spacing w:val="-2"/>
                <w:sz w:val="20"/>
              </w:rPr>
              <w:t>0.086956</w:t>
            </w:r>
          </w:p>
        </w:tc>
        <w:tc>
          <w:tcPr>
            <w:tcW w:w="1940" w:type="dxa"/>
          </w:tcPr>
          <w:p>
            <w:pPr>
              <w:pStyle w:val="TableParagraph"/>
              <w:spacing w:line="210" w:lineRule="exact"/>
              <w:ind w:right="100"/>
              <w:jc w:val="right"/>
              <w:rPr>
                <w:sz w:val="20"/>
              </w:rPr>
            </w:pPr>
            <w:r>
              <w:rPr>
                <w:spacing w:val="-2"/>
                <w:sz w:val="20"/>
              </w:rPr>
              <w:t>3.024167</w:t>
            </w:r>
          </w:p>
        </w:tc>
        <w:tc>
          <w:tcPr>
            <w:tcW w:w="1941" w:type="dxa"/>
          </w:tcPr>
          <w:p>
            <w:pPr>
              <w:pStyle w:val="TableParagraph"/>
              <w:spacing w:line="210" w:lineRule="exact"/>
              <w:ind w:right="101"/>
              <w:jc w:val="right"/>
              <w:rPr>
                <w:sz w:val="20"/>
              </w:rPr>
            </w:pPr>
            <w:r>
              <w:rPr>
                <w:spacing w:val="-2"/>
                <w:sz w:val="20"/>
              </w:rPr>
              <w:t>0.0054</w:t>
            </w:r>
          </w:p>
        </w:tc>
      </w:tr>
      <w:tr>
        <w:trPr>
          <w:trHeight w:val="230" w:hRule="atLeast"/>
        </w:trPr>
        <w:tc>
          <w:tcPr>
            <w:tcW w:w="1940" w:type="dxa"/>
          </w:tcPr>
          <w:p>
            <w:pPr>
              <w:pStyle w:val="TableParagraph"/>
              <w:spacing w:line="210" w:lineRule="exact"/>
              <w:ind w:left="10" w:right="2"/>
              <w:jc w:val="center"/>
              <w:rPr>
                <w:sz w:val="20"/>
              </w:rPr>
            </w:pPr>
            <w:r>
              <w:rPr>
                <w:spacing w:val="-2"/>
                <w:sz w:val="20"/>
              </w:rPr>
              <w:t>D(DOP,2)</w:t>
            </w:r>
          </w:p>
        </w:tc>
        <w:tc>
          <w:tcPr>
            <w:tcW w:w="1938" w:type="dxa"/>
          </w:tcPr>
          <w:p>
            <w:pPr>
              <w:pStyle w:val="TableParagraph"/>
              <w:spacing w:line="210" w:lineRule="exact"/>
              <w:ind w:right="97"/>
              <w:jc w:val="right"/>
              <w:rPr>
                <w:sz w:val="20"/>
              </w:rPr>
            </w:pPr>
            <w:r>
              <w:rPr>
                <w:spacing w:val="-2"/>
                <w:sz w:val="20"/>
              </w:rPr>
              <w:t>0.034053</w:t>
            </w:r>
          </w:p>
        </w:tc>
        <w:tc>
          <w:tcPr>
            <w:tcW w:w="1940" w:type="dxa"/>
          </w:tcPr>
          <w:p>
            <w:pPr>
              <w:pStyle w:val="TableParagraph"/>
              <w:spacing w:line="210" w:lineRule="exact"/>
              <w:ind w:right="100"/>
              <w:jc w:val="right"/>
              <w:rPr>
                <w:sz w:val="20"/>
              </w:rPr>
            </w:pPr>
            <w:r>
              <w:rPr>
                <w:spacing w:val="-2"/>
                <w:sz w:val="20"/>
              </w:rPr>
              <w:t>0.730133</w:t>
            </w:r>
          </w:p>
        </w:tc>
        <w:tc>
          <w:tcPr>
            <w:tcW w:w="1940" w:type="dxa"/>
          </w:tcPr>
          <w:p>
            <w:pPr>
              <w:pStyle w:val="TableParagraph"/>
              <w:spacing w:line="210" w:lineRule="exact"/>
              <w:ind w:right="100"/>
              <w:jc w:val="right"/>
              <w:rPr>
                <w:sz w:val="20"/>
              </w:rPr>
            </w:pPr>
            <w:r>
              <w:rPr>
                <w:spacing w:val="-2"/>
                <w:sz w:val="20"/>
              </w:rPr>
              <w:t>0.046640</w:t>
            </w:r>
          </w:p>
        </w:tc>
        <w:tc>
          <w:tcPr>
            <w:tcW w:w="1941" w:type="dxa"/>
          </w:tcPr>
          <w:p>
            <w:pPr>
              <w:pStyle w:val="TableParagraph"/>
              <w:spacing w:line="210" w:lineRule="exact"/>
              <w:ind w:right="101"/>
              <w:jc w:val="right"/>
              <w:rPr>
                <w:sz w:val="20"/>
              </w:rPr>
            </w:pPr>
            <w:r>
              <w:rPr>
                <w:spacing w:val="-2"/>
                <w:sz w:val="20"/>
              </w:rPr>
              <w:t>0.9631</w:t>
            </w:r>
          </w:p>
        </w:tc>
      </w:tr>
      <w:tr>
        <w:trPr>
          <w:trHeight w:val="230" w:hRule="atLeast"/>
        </w:trPr>
        <w:tc>
          <w:tcPr>
            <w:tcW w:w="1940" w:type="dxa"/>
          </w:tcPr>
          <w:p>
            <w:pPr>
              <w:pStyle w:val="TableParagraph"/>
              <w:spacing w:line="210" w:lineRule="exact"/>
              <w:ind w:left="10"/>
              <w:jc w:val="center"/>
              <w:rPr>
                <w:sz w:val="20"/>
              </w:rPr>
            </w:pPr>
            <w:r>
              <w:rPr>
                <w:spacing w:val="-2"/>
                <w:sz w:val="20"/>
              </w:rPr>
              <w:t>D(INF,2)</w:t>
            </w:r>
          </w:p>
        </w:tc>
        <w:tc>
          <w:tcPr>
            <w:tcW w:w="1938" w:type="dxa"/>
          </w:tcPr>
          <w:p>
            <w:pPr>
              <w:pStyle w:val="TableParagraph"/>
              <w:spacing w:line="210" w:lineRule="exact"/>
              <w:ind w:right="97"/>
              <w:jc w:val="right"/>
              <w:rPr>
                <w:sz w:val="20"/>
              </w:rPr>
            </w:pPr>
            <w:r>
              <w:rPr>
                <w:spacing w:val="-2"/>
                <w:sz w:val="20"/>
              </w:rPr>
              <w:t>0.100925</w:t>
            </w:r>
          </w:p>
        </w:tc>
        <w:tc>
          <w:tcPr>
            <w:tcW w:w="1940" w:type="dxa"/>
          </w:tcPr>
          <w:p>
            <w:pPr>
              <w:pStyle w:val="TableParagraph"/>
              <w:spacing w:line="210" w:lineRule="exact"/>
              <w:ind w:right="100"/>
              <w:jc w:val="right"/>
              <w:rPr>
                <w:sz w:val="20"/>
              </w:rPr>
            </w:pPr>
            <w:r>
              <w:rPr>
                <w:spacing w:val="-2"/>
                <w:sz w:val="20"/>
              </w:rPr>
              <w:t>0.208266</w:t>
            </w:r>
          </w:p>
        </w:tc>
        <w:tc>
          <w:tcPr>
            <w:tcW w:w="1940" w:type="dxa"/>
          </w:tcPr>
          <w:p>
            <w:pPr>
              <w:pStyle w:val="TableParagraph"/>
              <w:spacing w:line="210" w:lineRule="exact"/>
              <w:ind w:right="100"/>
              <w:jc w:val="right"/>
              <w:rPr>
                <w:sz w:val="20"/>
              </w:rPr>
            </w:pPr>
            <w:r>
              <w:rPr>
                <w:spacing w:val="-2"/>
                <w:sz w:val="20"/>
              </w:rPr>
              <w:t>0.484599</w:t>
            </w:r>
          </w:p>
        </w:tc>
        <w:tc>
          <w:tcPr>
            <w:tcW w:w="1941" w:type="dxa"/>
          </w:tcPr>
          <w:p>
            <w:pPr>
              <w:pStyle w:val="TableParagraph"/>
              <w:spacing w:line="210" w:lineRule="exact"/>
              <w:ind w:right="101"/>
              <w:jc w:val="right"/>
              <w:rPr>
                <w:sz w:val="20"/>
              </w:rPr>
            </w:pPr>
            <w:r>
              <w:rPr>
                <w:spacing w:val="-2"/>
                <w:sz w:val="20"/>
              </w:rPr>
              <w:t>0.6319</w:t>
            </w:r>
          </w:p>
        </w:tc>
      </w:tr>
      <w:tr>
        <w:trPr>
          <w:trHeight w:val="230" w:hRule="atLeast"/>
        </w:trPr>
        <w:tc>
          <w:tcPr>
            <w:tcW w:w="1940" w:type="dxa"/>
          </w:tcPr>
          <w:p>
            <w:pPr>
              <w:pStyle w:val="TableParagraph"/>
              <w:spacing w:line="210" w:lineRule="exact"/>
              <w:ind w:left="10" w:right="2"/>
              <w:jc w:val="center"/>
              <w:rPr>
                <w:sz w:val="20"/>
              </w:rPr>
            </w:pPr>
            <w:r>
              <w:rPr>
                <w:spacing w:val="-2"/>
                <w:sz w:val="20"/>
              </w:rPr>
              <w:t>D(GCF,2)</w:t>
            </w:r>
          </w:p>
        </w:tc>
        <w:tc>
          <w:tcPr>
            <w:tcW w:w="1938" w:type="dxa"/>
          </w:tcPr>
          <w:p>
            <w:pPr>
              <w:pStyle w:val="TableParagraph"/>
              <w:spacing w:line="210" w:lineRule="exact"/>
              <w:ind w:right="97"/>
              <w:jc w:val="right"/>
              <w:rPr>
                <w:sz w:val="20"/>
              </w:rPr>
            </w:pPr>
            <w:r>
              <w:rPr>
                <w:spacing w:val="-4"/>
                <w:sz w:val="20"/>
              </w:rPr>
              <w:t>-</w:t>
            </w:r>
            <w:r>
              <w:rPr>
                <w:spacing w:val="-2"/>
                <w:sz w:val="20"/>
              </w:rPr>
              <w:t>0.048238</w:t>
            </w:r>
          </w:p>
        </w:tc>
        <w:tc>
          <w:tcPr>
            <w:tcW w:w="1940" w:type="dxa"/>
          </w:tcPr>
          <w:p>
            <w:pPr>
              <w:pStyle w:val="TableParagraph"/>
              <w:spacing w:line="210" w:lineRule="exact"/>
              <w:ind w:right="100"/>
              <w:jc w:val="right"/>
              <w:rPr>
                <w:sz w:val="20"/>
              </w:rPr>
            </w:pPr>
            <w:r>
              <w:rPr>
                <w:spacing w:val="-2"/>
                <w:sz w:val="20"/>
              </w:rPr>
              <w:t>0.068629</w:t>
            </w:r>
          </w:p>
        </w:tc>
        <w:tc>
          <w:tcPr>
            <w:tcW w:w="1940" w:type="dxa"/>
          </w:tcPr>
          <w:p>
            <w:pPr>
              <w:pStyle w:val="TableParagraph"/>
              <w:spacing w:line="210" w:lineRule="exact"/>
              <w:ind w:right="100"/>
              <w:jc w:val="right"/>
              <w:rPr>
                <w:sz w:val="20"/>
              </w:rPr>
            </w:pPr>
            <w:r>
              <w:rPr>
                <w:spacing w:val="-4"/>
                <w:sz w:val="20"/>
              </w:rPr>
              <w:t>-</w:t>
            </w:r>
            <w:r>
              <w:rPr>
                <w:spacing w:val="-2"/>
                <w:sz w:val="20"/>
              </w:rPr>
              <w:t>0.702876</w:t>
            </w:r>
          </w:p>
        </w:tc>
        <w:tc>
          <w:tcPr>
            <w:tcW w:w="1941" w:type="dxa"/>
          </w:tcPr>
          <w:p>
            <w:pPr>
              <w:pStyle w:val="TableParagraph"/>
              <w:spacing w:line="210" w:lineRule="exact"/>
              <w:ind w:right="101"/>
              <w:jc w:val="right"/>
              <w:rPr>
                <w:sz w:val="20"/>
              </w:rPr>
            </w:pPr>
            <w:r>
              <w:rPr>
                <w:spacing w:val="-2"/>
                <w:sz w:val="20"/>
              </w:rPr>
              <w:t>0.4881</w:t>
            </w:r>
          </w:p>
        </w:tc>
      </w:tr>
      <w:tr>
        <w:trPr>
          <w:trHeight w:val="230" w:hRule="atLeast"/>
        </w:trPr>
        <w:tc>
          <w:tcPr>
            <w:tcW w:w="1940" w:type="dxa"/>
          </w:tcPr>
          <w:p>
            <w:pPr>
              <w:pStyle w:val="TableParagraph"/>
              <w:spacing w:line="210" w:lineRule="exact"/>
              <w:ind w:left="10" w:right="5"/>
              <w:jc w:val="center"/>
              <w:rPr>
                <w:sz w:val="20"/>
              </w:rPr>
            </w:pPr>
            <w:r>
              <w:rPr>
                <w:spacing w:val="-2"/>
                <w:sz w:val="20"/>
              </w:rPr>
              <w:t>D(DR(-1),2)</w:t>
            </w:r>
          </w:p>
        </w:tc>
        <w:tc>
          <w:tcPr>
            <w:tcW w:w="1938" w:type="dxa"/>
          </w:tcPr>
          <w:p>
            <w:pPr>
              <w:pStyle w:val="TableParagraph"/>
              <w:spacing w:line="210" w:lineRule="exact"/>
              <w:ind w:right="97"/>
              <w:jc w:val="right"/>
              <w:rPr>
                <w:sz w:val="20"/>
              </w:rPr>
            </w:pPr>
            <w:r>
              <w:rPr>
                <w:spacing w:val="-2"/>
                <w:sz w:val="20"/>
              </w:rPr>
              <w:t>0.592191</w:t>
            </w:r>
          </w:p>
        </w:tc>
        <w:tc>
          <w:tcPr>
            <w:tcW w:w="1940" w:type="dxa"/>
          </w:tcPr>
          <w:p>
            <w:pPr>
              <w:pStyle w:val="TableParagraph"/>
              <w:spacing w:line="210" w:lineRule="exact"/>
              <w:ind w:right="100"/>
              <w:jc w:val="right"/>
              <w:rPr>
                <w:sz w:val="20"/>
              </w:rPr>
            </w:pPr>
            <w:r>
              <w:rPr>
                <w:spacing w:val="-2"/>
                <w:sz w:val="20"/>
              </w:rPr>
              <w:t>0.793468</w:t>
            </w:r>
          </w:p>
        </w:tc>
        <w:tc>
          <w:tcPr>
            <w:tcW w:w="1940" w:type="dxa"/>
          </w:tcPr>
          <w:p>
            <w:pPr>
              <w:pStyle w:val="TableParagraph"/>
              <w:spacing w:line="210" w:lineRule="exact"/>
              <w:ind w:right="100"/>
              <w:jc w:val="right"/>
              <w:rPr>
                <w:sz w:val="20"/>
              </w:rPr>
            </w:pPr>
            <w:r>
              <w:rPr>
                <w:spacing w:val="-2"/>
                <w:sz w:val="20"/>
              </w:rPr>
              <w:t>0.746333</w:t>
            </w:r>
          </w:p>
        </w:tc>
        <w:tc>
          <w:tcPr>
            <w:tcW w:w="1941" w:type="dxa"/>
          </w:tcPr>
          <w:p>
            <w:pPr>
              <w:pStyle w:val="TableParagraph"/>
              <w:spacing w:line="210" w:lineRule="exact"/>
              <w:ind w:right="101"/>
              <w:jc w:val="right"/>
              <w:rPr>
                <w:sz w:val="20"/>
              </w:rPr>
            </w:pPr>
            <w:r>
              <w:rPr>
                <w:spacing w:val="-2"/>
                <w:sz w:val="20"/>
              </w:rPr>
              <w:t>0.4619</w:t>
            </w:r>
          </w:p>
        </w:tc>
      </w:tr>
      <w:tr>
        <w:trPr>
          <w:trHeight w:val="230" w:hRule="atLeast"/>
        </w:trPr>
        <w:tc>
          <w:tcPr>
            <w:tcW w:w="1940" w:type="dxa"/>
          </w:tcPr>
          <w:p>
            <w:pPr>
              <w:pStyle w:val="TableParagraph"/>
              <w:spacing w:line="210" w:lineRule="exact" w:before="1"/>
              <w:ind w:left="10" w:right="3"/>
              <w:jc w:val="center"/>
              <w:rPr>
                <w:sz w:val="20"/>
              </w:rPr>
            </w:pPr>
            <w:r>
              <w:rPr>
                <w:spacing w:val="-2"/>
                <w:sz w:val="20"/>
              </w:rPr>
              <w:t>D(PRIVCR(-1),2)</w:t>
            </w:r>
          </w:p>
        </w:tc>
        <w:tc>
          <w:tcPr>
            <w:tcW w:w="1938" w:type="dxa"/>
          </w:tcPr>
          <w:p>
            <w:pPr>
              <w:pStyle w:val="TableParagraph"/>
              <w:spacing w:line="210" w:lineRule="exact" w:before="1"/>
              <w:ind w:right="97"/>
              <w:jc w:val="right"/>
              <w:rPr>
                <w:sz w:val="20"/>
              </w:rPr>
            </w:pPr>
            <w:r>
              <w:rPr>
                <w:spacing w:val="-4"/>
                <w:sz w:val="20"/>
              </w:rPr>
              <w:t>-</w:t>
            </w:r>
            <w:r>
              <w:rPr>
                <w:spacing w:val="-2"/>
                <w:sz w:val="20"/>
              </w:rPr>
              <w:t>1.998049</w:t>
            </w:r>
          </w:p>
        </w:tc>
        <w:tc>
          <w:tcPr>
            <w:tcW w:w="1940" w:type="dxa"/>
          </w:tcPr>
          <w:p>
            <w:pPr>
              <w:pStyle w:val="TableParagraph"/>
              <w:spacing w:line="210" w:lineRule="exact" w:before="1"/>
              <w:ind w:right="100"/>
              <w:jc w:val="right"/>
              <w:rPr>
                <w:sz w:val="20"/>
              </w:rPr>
            </w:pPr>
            <w:r>
              <w:rPr>
                <w:spacing w:val="-2"/>
                <w:sz w:val="20"/>
              </w:rPr>
              <w:t>1.597741</w:t>
            </w:r>
          </w:p>
        </w:tc>
        <w:tc>
          <w:tcPr>
            <w:tcW w:w="1940" w:type="dxa"/>
          </w:tcPr>
          <w:p>
            <w:pPr>
              <w:pStyle w:val="TableParagraph"/>
              <w:spacing w:line="210" w:lineRule="exact" w:before="1"/>
              <w:ind w:right="100"/>
              <w:jc w:val="right"/>
              <w:rPr>
                <w:sz w:val="20"/>
              </w:rPr>
            </w:pPr>
            <w:r>
              <w:rPr>
                <w:spacing w:val="-4"/>
                <w:sz w:val="20"/>
              </w:rPr>
              <w:t>-</w:t>
            </w:r>
            <w:r>
              <w:rPr>
                <w:spacing w:val="-2"/>
                <w:sz w:val="20"/>
              </w:rPr>
              <w:t>1.250547</w:t>
            </w:r>
          </w:p>
        </w:tc>
        <w:tc>
          <w:tcPr>
            <w:tcW w:w="1941" w:type="dxa"/>
          </w:tcPr>
          <w:p>
            <w:pPr>
              <w:pStyle w:val="TableParagraph"/>
              <w:spacing w:line="210" w:lineRule="exact" w:before="1"/>
              <w:ind w:right="101"/>
              <w:jc w:val="right"/>
              <w:rPr>
                <w:sz w:val="20"/>
              </w:rPr>
            </w:pPr>
            <w:r>
              <w:rPr>
                <w:spacing w:val="-2"/>
                <w:sz w:val="20"/>
              </w:rPr>
              <w:t>0.2218</w:t>
            </w:r>
          </w:p>
        </w:tc>
      </w:tr>
      <w:tr>
        <w:trPr>
          <w:trHeight w:val="230" w:hRule="atLeast"/>
        </w:trPr>
        <w:tc>
          <w:tcPr>
            <w:tcW w:w="1940" w:type="dxa"/>
          </w:tcPr>
          <w:p>
            <w:pPr>
              <w:pStyle w:val="TableParagraph"/>
              <w:spacing w:line="210" w:lineRule="exact"/>
              <w:ind w:left="10" w:right="1"/>
              <w:jc w:val="center"/>
              <w:rPr>
                <w:sz w:val="20"/>
              </w:rPr>
            </w:pPr>
            <w:r>
              <w:rPr>
                <w:spacing w:val="-2"/>
                <w:sz w:val="20"/>
              </w:rPr>
              <w:t>D(INTDIFF,2)</w:t>
            </w:r>
          </w:p>
        </w:tc>
        <w:tc>
          <w:tcPr>
            <w:tcW w:w="1938" w:type="dxa"/>
          </w:tcPr>
          <w:p>
            <w:pPr>
              <w:pStyle w:val="TableParagraph"/>
              <w:spacing w:line="210" w:lineRule="exact"/>
              <w:ind w:right="97"/>
              <w:jc w:val="right"/>
              <w:rPr>
                <w:sz w:val="20"/>
              </w:rPr>
            </w:pPr>
            <w:r>
              <w:rPr>
                <w:spacing w:val="-2"/>
                <w:sz w:val="20"/>
              </w:rPr>
              <w:t>0.403307</w:t>
            </w:r>
          </w:p>
        </w:tc>
        <w:tc>
          <w:tcPr>
            <w:tcW w:w="1940" w:type="dxa"/>
          </w:tcPr>
          <w:p>
            <w:pPr>
              <w:pStyle w:val="TableParagraph"/>
              <w:spacing w:line="210" w:lineRule="exact"/>
              <w:ind w:right="100"/>
              <w:jc w:val="right"/>
              <w:rPr>
                <w:sz w:val="20"/>
              </w:rPr>
            </w:pPr>
            <w:r>
              <w:rPr>
                <w:spacing w:val="-2"/>
                <w:sz w:val="20"/>
              </w:rPr>
              <w:t>0.278648</w:t>
            </w:r>
          </w:p>
        </w:tc>
        <w:tc>
          <w:tcPr>
            <w:tcW w:w="1940" w:type="dxa"/>
          </w:tcPr>
          <w:p>
            <w:pPr>
              <w:pStyle w:val="TableParagraph"/>
              <w:spacing w:line="210" w:lineRule="exact"/>
              <w:ind w:right="100"/>
              <w:jc w:val="right"/>
              <w:rPr>
                <w:sz w:val="20"/>
              </w:rPr>
            </w:pPr>
            <w:r>
              <w:rPr>
                <w:spacing w:val="-2"/>
                <w:sz w:val="20"/>
              </w:rPr>
              <w:t>1.447371</w:t>
            </w:r>
          </w:p>
        </w:tc>
        <w:tc>
          <w:tcPr>
            <w:tcW w:w="1941" w:type="dxa"/>
          </w:tcPr>
          <w:p>
            <w:pPr>
              <w:pStyle w:val="TableParagraph"/>
              <w:spacing w:line="210" w:lineRule="exact"/>
              <w:ind w:right="101"/>
              <w:jc w:val="right"/>
              <w:rPr>
                <w:sz w:val="20"/>
              </w:rPr>
            </w:pPr>
            <w:r>
              <w:rPr>
                <w:spacing w:val="-2"/>
                <w:sz w:val="20"/>
              </w:rPr>
              <w:t>0.1593</w:t>
            </w:r>
          </w:p>
        </w:tc>
      </w:tr>
      <w:tr>
        <w:trPr>
          <w:trHeight w:val="230" w:hRule="atLeast"/>
        </w:trPr>
        <w:tc>
          <w:tcPr>
            <w:tcW w:w="1940" w:type="dxa"/>
          </w:tcPr>
          <w:p>
            <w:pPr>
              <w:pStyle w:val="TableParagraph"/>
              <w:spacing w:line="210" w:lineRule="exact"/>
              <w:ind w:left="10" w:right="5"/>
              <w:jc w:val="center"/>
              <w:rPr>
                <w:sz w:val="20"/>
              </w:rPr>
            </w:pPr>
            <w:r>
              <w:rPr>
                <w:spacing w:val="-2"/>
                <w:sz w:val="20"/>
              </w:rPr>
              <w:t>D(GOCE,2)</w:t>
            </w:r>
          </w:p>
        </w:tc>
        <w:tc>
          <w:tcPr>
            <w:tcW w:w="1938" w:type="dxa"/>
          </w:tcPr>
          <w:p>
            <w:pPr>
              <w:pStyle w:val="TableParagraph"/>
              <w:spacing w:line="210" w:lineRule="exact"/>
              <w:ind w:right="97"/>
              <w:jc w:val="right"/>
              <w:rPr>
                <w:sz w:val="20"/>
              </w:rPr>
            </w:pPr>
            <w:r>
              <w:rPr>
                <w:spacing w:val="-2"/>
                <w:sz w:val="20"/>
              </w:rPr>
              <w:t>0.920045</w:t>
            </w:r>
          </w:p>
        </w:tc>
        <w:tc>
          <w:tcPr>
            <w:tcW w:w="1940" w:type="dxa"/>
          </w:tcPr>
          <w:p>
            <w:pPr>
              <w:pStyle w:val="TableParagraph"/>
              <w:spacing w:line="210" w:lineRule="exact"/>
              <w:ind w:right="100"/>
              <w:jc w:val="right"/>
              <w:rPr>
                <w:sz w:val="20"/>
              </w:rPr>
            </w:pPr>
            <w:r>
              <w:rPr>
                <w:spacing w:val="-2"/>
                <w:sz w:val="20"/>
              </w:rPr>
              <w:t>0.781819</w:t>
            </w:r>
          </w:p>
        </w:tc>
        <w:tc>
          <w:tcPr>
            <w:tcW w:w="1940" w:type="dxa"/>
          </w:tcPr>
          <w:p>
            <w:pPr>
              <w:pStyle w:val="TableParagraph"/>
              <w:spacing w:line="210" w:lineRule="exact"/>
              <w:ind w:right="100"/>
              <w:jc w:val="right"/>
              <w:rPr>
                <w:sz w:val="20"/>
              </w:rPr>
            </w:pPr>
            <w:r>
              <w:rPr>
                <w:spacing w:val="-2"/>
                <w:sz w:val="20"/>
              </w:rPr>
              <w:t>1.176800</w:t>
            </w:r>
          </w:p>
        </w:tc>
        <w:tc>
          <w:tcPr>
            <w:tcW w:w="1941" w:type="dxa"/>
          </w:tcPr>
          <w:p>
            <w:pPr>
              <w:pStyle w:val="TableParagraph"/>
              <w:spacing w:line="210" w:lineRule="exact"/>
              <w:ind w:right="101"/>
              <w:jc w:val="right"/>
              <w:rPr>
                <w:sz w:val="20"/>
              </w:rPr>
            </w:pPr>
            <w:r>
              <w:rPr>
                <w:spacing w:val="-2"/>
                <w:sz w:val="20"/>
              </w:rPr>
              <w:t>0.2495</w:t>
            </w:r>
          </w:p>
        </w:tc>
      </w:tr>
      <w:tr>
        <w:trPr>
          <w:trHeight w:val="230" w:hRule="atLeast"/>
        </w:trPr>
        <w:tc>
          <w:tcPr>
            <w:tcW w:w="1940" w:type="dxa"/>
          </w:tcPr>
          <w:p>
            <w:pPr>
              <w:pStyle w:val="TableParagraph"/>
              <w:spacing w:line="210" w:lineRule="exact"/>
              <w:ind w:left="10" w:right="3"/>
              <w:jc w:val="center"/>
              <w:rPr>
                <w:sz w:val="20"/>
              </w:rPr>
            </w:pPr>
            <w:r>
              <w:rPr>
                <w:spacing w:val="-2"/>
                <w:sz w:val="20"/>
              </w:rPr>
              <w:t>ECM(-</w:t>
            </w:r>
            <w:r>
              <w:rPr>
                <w:spacing w:val="-5"/>
                <w:sz w:val="20"/>
              </w:rPr>
              <w:t>1)</w:t>
            </w:r>
          </w:p>
        </w:tc>
        <w:tc>
          <w:tcPr>
            <w:tcW w:w="1938" w:type="dxa"/>
          </w:tcPr>
          <w:p>
            <w:pPr>
              <w:pStyle w:val="TableParagraph"/>
              <w:spacing w:line="210" w:lineRule="exact"/>
              <w:ind w:right="97"/>
              <w:jc w:val="right"/>
              <w:rPr>
                <w:sz w:val="20"/>
              </w:rPr>
            </w:pPr>
            <w:r>
              <w:rPr>
                <w:spacing w:val="-4"/>
                <w:sz w:val="20"/>
              </w:rPr>
              <w:t>-</w:t>
            </w:r>
            <w:r>
              <w:rPr>
                <w:spacing w:val="-2"/>
                <w:sz w:val="20"/>
              </w:rPr>
              <w:t>1.522111</w:t>
            </w:r>
          </w:p>
        </w:tc>
        <w:tc>
          <w:tcPr>
            <w:tcW w:w="1940" w:type="dxa"/>
          </w:tcPr>
          <w:p>
            <w:pPr>
              <w:pStyle w:val="TableParagraph"/>
              <w:spacing w:line="210" w:lineRule="exact"/>
              <w:ind w:right="100"/>
              <w:jc w:val="right"/>
              <w:rPr>
                <w:sz w:val="20"/>
              </w:rPr>
            </w:pPr>
            <w:r>
              <w:rPr>
                <w:spacing w:val="-2"/>
                <w:sz w:val="20"/>
              </w:rPr>
              <w:t>0.226557</w:t>
            </w:r>
          </w:p>
        </w:tc>
        <w:tc>
          <w:tcPr>
            <w:tcW w:w="1940" w:type="dxa"/>
          </w:tcPr>
          <w:p>
            <w:pPr>
              <w:pStyle w:val="TableParagraph"/>
              <w:spacing w:line="210" w:lineRule="exact"/>
              <w:ind w:right="100"/>
              <w:jc w:val="right"/>
              <w:rPr>
                <w:sz w:val="20"/>
              </w:rPr>
            </w:pPr>
            <w:r>
              <w:rPr>
                <w:spacing w:val="-4"/>
                <w:sz w:val="20"/>
              </w:rPr>
              <w:t>-</w:t>
            </w:r>
            <w:r>
              <w:rPr>
                <w:spacing w:val="-2"/>
                <w:sz w:val="20"/>
              </w:rPr>
              <w:t>6.718456</w:t>
            </w:r>
          </w:p>
        </w:tc>
        <w:tc>
          <w:tcPr>
            <w:tcW w:w="1941" w:type="dxa"/>
          </w:tcPr>
          <w:p>
            <w:pPr>
              <w:pStyle w:val="TableParagraph"/>
              <w:spacing w:line="210" w:lineRule="exact"/>
              <w:ind w:right="101"/>
              <w:jc w:val="right"/>
              <w:rPr>
                <w:sz w:val="20"/>
              </w:rPr>
            </w:pPr>
            <w:r>
              <w:rPr>
                <w:spacing w:val="-2"/>
                <w:sz w:val="20"/>
              </w:rPr>
              <w:t>0.0000</w:t>
            </w:r>
          </w:p>
        </w:tc>
      </w:tr>
    </w:tbl>
    <w:tbl>
      <w:tblPr>
        <w:tblW w:w="0" w:type="auto"/>
        <w:jc w:val="left"/>
        <w:tblInd w:w="7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08"/>
        <w:gridCol w:w="2013"/>
        <w:gridCol w:w="2942"/>
        <w:gridCol w:w="1940"/>
      </w:tblGrid>
      <w:tr>
        <w:trPr>
          <w:trHeight w:val="242" w:hRule="atLeast"/>
        </w:trPr>
        <w:tc>
          <w:tcPr>
            <w:tcW w:w="2708" w:type="dxa"/>
          </w:tcPr>
          <w:p>
            <w:pPr>
              <w:pStyle w:val="TableParagraph"/>
              <w:spacing w:line="221" w:lineRule="exact"/>
              <w:ind w:left="50"/>
              <w:rPr>
                <w:sz w:val="20"/>
              </w:rPr>
            </w:pPr>
            <w:r>
              <w:rPr>
                <w:spacing w:val="-2"/>
                <w:sz w:val="20"/>
              </w:rPr>
              <w:t>R-squared</w:t>
            </w:r>
          </w:p>
        </w:tc>
        <w:tc>
          <w:tcPr>
            <w:tcW w:w="2013" w:type="dxa"/>
          </w:tcPr>
          <w:p>
            <w:pPr>
              <w:pStyle w:val="TableParagraph"/>
              <w:spacing w:line="221" w:lineRule="exact"/>
              <w:ind w:right="129"/>
              <w:jc w:val="right"/>
              <w:rPr>
                <w:sz w:val="20"/>
              </w:rPr>
            </w:pPr>
            <w:r>
              <w:rPr>
                <w:spacing w:val="-2"/>
                <w:sz w:val="20"/>
              </w:rPr>
              <w:t>0.805508</w:t>
            </w:r>
          </w:p>
        </w:tc>
        <w:tc>
          <w:tcPr>
            <w:tcW w:w="2942" w:type="dxa"/>
          </w:tcPr>
          <w:p>
            <w:pPr>
              <w:pStyle w:val="TableParagraph"/>
              <w:spacing w:line="221" w:lineRule="exact"/>
              <w:ind w:left="130"/>
              <w:rPr>
                <w:sz w:val="20"/>
              </w:rPr>
            </w:pPr>
            <w:r>
              <w:rPr>
                <w:sz w:val="20"/>
              </w:rPr>
              <w:t>Mean</w:t>
            </w:r>
            <w:r>
              <w:rPr>
                <w:spacing w:val="-7"/>
                <w:sz w:val="20"/>
              </w:rPr>
              <w:t> </w:t>
            </w:r>
            <w:r>
              <w:rPr>
                <w:sz w:val="20"/>
              </w:rPr>
              <w:t>dependent</w:t>
            </w:r>
            <w:r>
              <w:rPr>
                <w:spacing w:val="-7"/>
                <w:sz w:val="20"/>
              </w:rPr>
              <w:t> </w:t>
            </w:r>
            <w:r>
              <w:rPr>
                <w:spacing w:val="-5"/>
                <w:sz w:val="20"/>
              </w:rPr>
              <w:t>var</w:t>
            </w:r>
          </w:p>
        </w:tc>
        <w:tc>
          <w:tcPr>
            <w:tcW w:w="1940" w:type="dxa"/>
          </w:tcPr>
          <w:p>
            <w:pPr>
              <w:pStyle w:val="TableParagraph"/>
              <w:spacing w:line="221" w:lineRule="exact"/>
              <w:ind w:right="49"/>
              <w:jc w:val="right"/>
              <w:rPr>
                <w:sz w:val="20"/>
              </w:rPr>
            </w:pPr>
            <w:r>
              <w:rPr>
                <w:spacing w:val="-2"/>
                <w:sz w:val="20"/>
              </w:rPr>
              <w:t>0.044053</w:t>
            </w:r>
          </w:p>
        </w:tc>
      </w:tr>
      <w:tr>
        <w:trPr>
          <w:trHeight w:val="263" w:hRule="atLeast"/>
        </w:trPr>
        <w:tc>
          <w:tcPr>
            <w:tcW w:w="2708" w:type="dxa"/>
          </w:tcPr>
          <w:p>
            <w:pPr>
              <w:pStyle w:val="TableParagraph"/>
              <w:spacing w:before="12"/>
              <w:ind w:left="50"/>
              <w:rPr>
                <w:sz w:val="20"/>
              </w:rPr>
            </w:pPr>
            <w:r>
              <w:rPr>
                <w:sz w:val="20"/>
              </w:rPr>
              <w:t>Adjusted</w:t>
            </w:r>
            <w:r>
              <w:rPr>
                <w:spacing w:val="-10"/>
                <w:sz w:val="20"/>
              </w:rPr>
              <w:t> </w:t>
            </w:r>
            <w:r>
              <w:rPr>
                <w:sz w:val="20"/>
              </w:rPr>
              <w:t>R-</w:t>
            </w:r>
            <w:r>
              <w:rPr>
                <w:spacing w:val="-2"/>
                <w:sz w:val="20"/>
              </w:rPr>
              <w:t>squared</w:t>
            </w:r>
          </w:p>
        </w:tc>
        <w:tc>
          <w:tcPr>
            <w:tcW w:w="2013" w:type="dxa"/>
          </w:tcPr>
          <w:p>
            <w:pPr>
              <w:pStyle w:val="TableParagraph"/>
              <w:spacing w:before="12"/>
              <w:ind w:right="129"/>
              <w:jc w:val="right"/>
              <w:rPr>
                <w:sz w:val="20"/>
              </w:rPr>
            </w:pPr>
            <w:r>
              <w:rPr>
                <w:spacing w:val="-2"/>
                <w:sz w:val="20"/>
              </w:rPr>
              <w:t>0.747880</w:t>
            </w:r>
          </w:p>
        </w:tc>
        <w:tc>
          <w:tcPr>
            <w:tcW w:w="2942" w:type="dxa"/>
          </w:tcPr>
          <w:p>
            <w:pPr>
              <w:pStyle w:val="TableParagraph"/>
              <w:spacing w:before="12"/>
              <w:ind w:left="130"/>
              <w:rPr>
                <w:sz w:val="20"/>
              </w:rPr>
            </w:pPr>
            <w:r>
              <w:rPr>
                <w:sz w:val="20"/>
              </w:rPr>
              <w:t>S.D.</w:t>
            </w:r>
            <w:r>
              <w:rPr>
                <w:spacing w:val="-5"/>
                <w:sz w:val="20"/>
              </w:rPr>
              <w:t> </w:t>
            </w:r>
            <w:r>
              <w:rPr>
                <w:sz w:val="20"/>
              </w:rPr>
              <w:t>dependent</w:t>
            </w:r>
            <w:r>
              <w:rPr>
                <w:spacing w:val="-6"/>
                <w:sz w:val="20"/>
              </w:rPr>
              <w:t> </w:t>
            </w:r>
            <w:r>
              <w:rPr>
                <w:spacing w:val="-5"/>
                <w:sz w:val="20"/>
              </w:rPr>
              <w:t>var</w:t>
            </w:r>
          </w:p>
        </w:tc>
        <w:tc>
          <w:tcPr>
            <w:tcW w:w="1940" w:type="dxa"/>
          </w:tcPr>
          <w:p>
            <w:pPr>
              <w:pStyle w:val="TableParagraph"/>
              <w:spacing w:before="12"/>
              <w:ind w:right="49"/>
              <w:jc w:val="right"/>
              <w:rPr>
                <w:sz w:val="20"/>
              </w:rPr>
            </w:pPr>
            <w:r>
              <w:rPr>
                <w:spacing w:val="-2"/>
                <w:sz w:val="20"/>
              </w:rPr>
              <w:t>2.609105</w:t>
            </w:r>
          </w:p>
        </w:tc>
      </w:tr>
      <w:tr>
        <w:trPr>
          <w:trHeight w:val="272" w:hRule="atLeast"/>
        </w:trPr>
        <w:tc>
          <w:tcPr>
            <w:tcW w:w="2708" w:type="dxa"/>
          </w:tcPr>
          <w:p>
            <w:pPr>
              <w:pStyle w:val="TableParagraph"/>
              <w:spacing w:before="12"/>
              <w:ind w:left="50"/>
              <w:rPr>
                <w:sz w:val="20"/>
              </w:rPr>
            </w:pPr>
            <w:r>
              <w:rPr>
                <w:sz w:val="20"/>
              </w:rPr>
              <w:t>S.E.</w:t>
            </w:r>
            <w:r>
              <w:rPr>
                <w:spacing w:val="-3"/>
                <w:sz w:val="20"/>
              </w:rPr>
              <w:t> </w:t>
            </w:r>
            <w:r>
              <w:rPr>
                <w:sz w:val="20"/>
              </w:rPr>
              <w:t>of</w:t>
            </w:r>
            <w:r>
              <w:rPr>
                <w:spacing w:val="-3"/>
                <w:sz w:val="20"/>
              </w:rPr>
              <w:t> </w:t>
            </w:r>
            <w:r>
              <w:rPr>
                <w:spacing w:val="-2"/>
                <w:sz w:val="20"/>
              </w:rPr>
              <w:t>regression</w:t>
            </w:r>
          </w:p>
        </w:tc>
        <w:tc>
          <w:tcPr>
            <w:tcW w:w="2013" w:type="dxa"/>
          </w:tcPr>
          <w:p>
            <w:pPr>
              <w:pStyle w:val="TableParagraph"/>
              <w:spacing w:before="12"/>
              <w:ind w:right="129"/>
              <w:jc w:val="right"/>
              <w:rPr>
                <w:sz w:val="20"/>
              </w:rPr>
            </w:pPr>
            <w:r>
              <w:rPr>
                <w:spacing w:val="-2"/>
                <w:sz w:val="20"/>
              </w:rPr>
              <w:t>1.310072</w:t>
            </w:r>
          </w:p>
        </w:tc>
        <w:tc>
          <w:tcPr>
            <w:tcW w:w="2942" w:type="dxa"/>
          </w:tcPr>
          <w:p>
            <w:pPr>
              <w:pStyle w:val="TableParagraph"/>
              <w:spacing w:before="12"/>
              <w:ind w:left="130"/>
              <w:rPr>
                <w:sz w:val="20"/>
              </w:rPr>
            </w:pPr>
            <w:r>
              <w:rPr>
                <w:sz w:val="20"/>
              </w:rPr>
              <w:t>Akaike</w:t>
            </w:r>
            <w:r>
              <w:rPr>
                <w:spacing w:val="-8"/>
                <w:sz w:val="20"/>
              </w:rPr>
              <w:t> </w:t>
            </w:r>
            <w:r>
              <w:rPr>
                <w:sz w:val="20"/>
              </w:rPr>
              <w:t>info</w:t>
            </w:r>
            <w:r>
              <w:rPr>
                <w:spacing w:val="-7"/>
                <w:sz w:val="20"/>
              </w:rPr>
              <w:t> </w:t>
            </w:r>
            <w:r>
              <w:rPr>
                <w:spacing w:val="-2"/>
                <w:sz w:val="20"/>
              </w:rPr>
              <w:t>criterion</w:t>
            </w:r>
          </w:p>
        </w:tc>
        <w:tc>
          <w:tcPr>
            <w:tcW w:w="1940" w:type="dxa"/>
          </w:tcPr>
          <w:p>
            <w:pPr>
              <w:pStyle w:val="TableParagraph"/>
              <w:spacing w:before="12"/>
              <w:ind w:right="49"/>
              <w:jc w:val="right"/>
              <w:rPr>
                <w:sz w:val="20"/>
              </w:rPr>
            </w:pPr>
            <w:r>
              <w:rPr>
                <w:spacing w:val="-2"/>
                <w:sz w:val="20"/>
              </w:rPr>
              <w:t>3.590359</w:t>
            </w:r>
          </w:p>
        </w:tc>
      </w:tr>
      <w:tr>
        <w:trPr>
          <w:trHeight w:val="272" w:hRule="atLeast"/>
        </w:trPr>
        <w:tc>
          <w:tcPr>
            <w:tcW w:w="2708" w:type="dxa"/>
          </w:tcPr>
          <w:p>
            <w:pPr>
              <w:pStyle w:val="TableParagraph"/>
              <w:spacing w:before="21"/>
              <w:ind w:left="50"/>
              <w:rPr>
                <w:sz w:val="20"/>
              </w:rPr>
            </w:pPr>
            <w:r>
              <w:rPr>
                <w:sz w:val="20"/>
              </w:rPr>
              <w:t>Sum</w:t>
            </w:r>
            <w:r>
              <w:rPr>
                <w:spacing w:val="-8"/>
                <w:sz w:val="20"/>
              </w:rPr>
              <w:t> </w:t>
            </w:r>
            <w:r>
              <w:rPr>
                <w:sz w:val="20"/>
              </w:rPr>
              <w:t>squared</w:t>
            </w:r>
            <w:r>
              <w:rPr>
                <w:spacing w:val="-4"/>
                <w:sz w:val="20"/>
              </w:rPr>
              <w:t> </w:t>
            </w:r>
            <w:r>
              <w:rPr>
                <w:spacing w:val="-2"/>
                <w:sz w:val="20"/>
              </w:rPr>
              <w:t>resid</w:t>
            </w:r>
          </w:p>
        </w:tc>
        <w:tc>
          <w:tcPr>
            <w:tcW w:w="2013" w:type="dxa"/>
          </w:tcPr>
          <w:p>
            <w:pPr>
              <w:pStyle w:val="TableParagraph"/>
              <w:spacing w:before="21"/>
              <w:ind w:right="129"/>
              <w:jc w:val="right"/>
              <w:rPr>
                <w:sz w:val="20"/>
              </w:rPr>
            </w:pPr>
            <w:r>
              <w:rPr>
                <w:spacing w:val="-2"/>
                <w:sz w:val="20"/>
              </w:rPr>
              <w:t>46.33977</w:t>
            </w:r>
          </w:p>
        </w:tc>
        <w:tc>
          <w:tcPr>
            <w:tcW w:w="2942" w:type="dxa"/>
          </w:tcPr>
          <w:p>
            <w:pPr>
              <w:pStyle w:val="TableParagraph"/>
              <w:spacing w:before="21"/>
              <w:ind w:left="130"/>
              <w:rPr>
                <w:sz w:val="20"/>
              </w:rPr>
            </w:pPr>
            <w:r>
              <w:rPr>
                <w:sz w:val="20"/>
              </w:rPr>
              <w:t>Schwarz</w:t>
            </w:r>
            <w:r>
              <w:rPr>
                <w:spacing w:val="-8"/>
                <w:sz w:val="20"/>
              </w:rPr>
              <w:t> </w:t>
            </w:r>
            <w:r>
              <w:rPr>
                <w:spacing w:val="-2"/>
                <w:sz w:val="20"/>
              </w:rPr>
              <w:t>criterion</w:t>
            </w:r>
          </w:p>
        </w:tc>
        <w:tc>
          <w:tcPr>
            <w:tcW w:w="1940" w:type="dxa"/>
          </w:tcPr>
          <w:p>
            <w:pPr>
              <w:pStyle w:val="TableParagraph"/>
              <w:spacing w:before="21"/>
              <w:ind w:right="49"/>
              <w:jc w:val="right"/>
              <w:rPr>
                <w:sz w:val="20"/>
              </w:rPr>
            </w:pPr>
            <w:r>
              <w:rPr>
                <w:spacing w:val="-2"/>
                <w:sz w:val="20"/>
              </w:rPr>
              <w:t>3.986238</w:t>
            </w:r>
          </w:p>
        </w:tc>
      </w:tr>
      <w:tr>
        <w:trPr>
          <w:trHeight w:val="242" w:hRule="atLeast"/>
        </w:trPr>
        <w:tc>
          <w:tcPr>
            <w:tcW w:w="2708" w:type="dxa"/>
          </w:tcPr>
          <w:p>
            <w:pPr>
              <w:pStyle w:val="TableParagraph"/>
              <w:spacing w:line="210" w:lineRule="exact" w:before="12"/>
              <w:ind w:left="50"/>
              <w:rPr>
                <w:sz w:val="20"/>
              </w:rPr>
            </w:pPr>
            <w:r>
              <w:rPr>
                <w:sz w:val="20"/>
              </w:rPr>
              <w:t>Log</w:t>
            </w:r>
            <w:r>
              <w:rPr>
                <w:spacing w:val="-6"/>
                <w:sz w:val="20"/>
              </w:rPr>
              <w:t> </w:t>
            </w:r>
            <w:r>
              <w:rPr>
                <w:spacing w:val="-2"/>
                <w:sz w:val="20"/>
              </w:rPr>
              <w:t>likelihood</w:t>
            </w:r>
          </w:p>
        </w:tc>
        <w:tc>
          <w:tcPr>
            <w:tcW w:w="2013" w:type="dxa"/>
          </w:tcPr>
          <w:p>
            <w:pPr>
              <w:pStyle w:val="TableParagraph"/>
              <w:spacing w:line="210" w:lineRule="exact" w:before="12"/>
              <w:ind w:right="129"/>
              <w:jc w:val="right"/>
              <w:rPr>
                <w:sz w:val="20"/>
              </w:rPr>
            </w:pPr>
            <w:r>
              <w:rPr>
                <w:spacing w:val="-4"/>
                <w:sz w:val="20"/>
              </w:rPr>
              <w:t>-</w:t>
            </w:r>
            <w:r>
              <w:rPr>
                <w:spacing w:val="-2"/>
                <w:sz w:val="20"/>
              </w:rPr>
              <w:t>55.62646</w:t>
            </w:r>
          </w:p>
        </w:tc>
        <w:tc>
          <w:tcPr>
            <w:tcW w:w="2942" w:type="dxa"/>
          </w:tcPr>
          <w:p>
            <w:pPr>
              <w:pStyle w:val="TableParagraph"/>
              <w:spacing w:line="210" w:lineRule="exact" w:before="12"/>
              <w:ind w:left="130"/>
              <w:rPr>
                <w:sz w:val="20"/>
              </w:rPr>
            </w:pPr>
            <w:r>
              <w:rPr>
                <w:spacing w:val="-2"/>
                <w:sz w:val="20"/>
              </w:rPr>
              <w:t>Durbin-Watson</w:t>
            </w:r>
            <w:r>
              <w:rPr>
                <w:spacing w:val="12"/>
                <w:sz w:val="20"/>
              </w:rPr>
              <w:t> </w:t>
            </w:r>
            <w:r>
              <w:rPr>
                <w:spacing w:val="-4"/>
                <w:sz w:val="20"/>
              </w:rPr>
              <w:t>stat</w:t>
            </w:r>
          </w:p>
        </w:tc>
        <w:tc>
          <w:tcPr>
            <w:tcW w:w="1940" w:type="dxa"/>
          </w:tcPr>
          <w:p>
            <w:pPr>
              <w:pStyle w:val="TableParagraph"/>
              <w:spacing w:line="210" w:lineRule="exact" w:before="12"/>
              <w:ind w:right="49"/>
              <w:jc w:val="right"/>
              <w:rPr>
                <w:sz w:val="20"/>
              </w:rPr>
            </w:pPr>
            <w:r>
              <w:rPr>
                <w:spacing w:val="-2"/>
                <w:sz w:val="20"/>
              </w:rPr>
              <w:t>1.868760</w:t>
            </w:r>
          </w:p>
        </w:tc>
      </w:tr>
    </w:tbl>
    <w:p>
      <w:pPr>
        <w:pStyle w:val="BodyText"/>
        <w:spacing w:before="45"/>
        <w:ind w:left="711"/>
        <w:rPr>
          <w:b/>
        </w:rPr>
      </w:pPr>
      <w:r>
        <w:rPr/>
        <w:t>Source:</w:t>
      </w:r>
      <w:r>
        <w:rPr>
          <w:spacing w:val="-3"/>
        </w:rPr>
        <w:t> </w:t>
      </w:r>
      <w:r>
        <w:rPr/>
        <w:t>Computation,</w:t>
      </w:r>
      <w:r>
        <w:rPr>
          <w:spacing w:val="-2"/>
        </w:rPr>
        <w:t> </w:t>
      </w:r>
      <w:r>
        <w:rPr/>
        <w:t>using</w:t>
      </w:r>
      <w:r>
        <w:rPr>
          <w:spacing w:val="-4"/>
        </w:rPr>
        <w:t> </w:t>
      </w:r>
      <w:r>
        <w:rPr/>
        <w:t>E-view</w:t>
      </w:r>
      <w:r>
        <w:rPr>
          <w:spacing w:val="-2"/>
        </w:rPr>
        <w:t> </w:t>
      </w:r>
      <w:r>
        <w:rPr/>
        <w:t>statistical</w:t>
      </w:r>
      <w:r>
        <w:rPr>
          <w:spacing w:val="-1"/>
        </w:rPr>
        <w:t> </w:t>
      </w:r>
      <w:r>
        <w:rPr>
          <w:spacing w:val="-2"/>
        </w:rPr>
        <w:t>package</w:t>
      </w:r>
      <w:r>
        <w:rPr>
          <w:b/>
          <w:spacing w:val="-2"/>
        </w:rPr>
        <w:t>.</w:t>
      </w:r>
    </w:p>
    <w:p>
      <w:pPr>
        <w:pStyle w:val="BodyText"/>
        <w:rPr>
          <w:b/>
        </w:rPr>
      </w:pPr>
    </w:p>
    <w:p>
      <w:pPr>
        <w:pStyle w:val="BodyText"/>
        <w:rPr>
          <w:b/>
        </w:rPr>
      </w:pPr>
    </w:p>
    <w:p>
      <w:pPr>
        <w:pStyle w:val="BodyText"/>
        <w:spacing w:before="13"/>
        <w:rPr>
          <w:b/>
        </w:rPr>
      </w:pPr>
    </w:p>
    <w:p>
      <w:pPr>
        <w:pStyle w:val="BodyText"/>
        <w:spacing w:line="480" w:lineRule="auto"/>
        <w:ind w:left="711" w:right="468"/>
        <w:jc w:val="both"/>
      </w:pPr>
      <w:r>
        <w:rPr>
          <w:rFonts w:ascii="Cambria" w:hAnsi="Cambria"/>
        </w:rPr>
        <w:t>From</w:t>
      </w:r>
      <w:r>
        <w:rPr>
          <w:rFonts w:ascii="Cambria" w:hAnsi="Cambria"/>
          <w:spacing w:val="-3"/>
        </w:rPr>
        <w:t> </w:t>
      </w:r>
      <w:r>
        <w:rPr>
          <w:rFonts w:ascii="Cambria" w:hAnsi="Cambria"/>
        </w:rPr>
        <w:t>the</w:t>
      </w:r>
      <w:r>
        <w:rPr>
          <w:rFonts w:ascii="Cambria" w:hAnsi="Cambria"/>
          <w:spacing w:val="-2"/>
        </w:rPr>
        <w:t> </w:t>
      </w:r>
      <w:r>
        <w:rPr>
          <w:rFonts w:ascii="Cambria" w:hAnsi="Cambria"/>
        </w:rPr>
        <w:t>result</w:t>
      </w:r>
      <w:r>
        <w:rPr>
          <w:rFonts w:ascii="Cambria" w:hAnsi="Cambria"/>
          <w:spacing w:val="-3"/>
        </w:rPr>
        <w:t> </w:t>
      </w:r>
      <w:r>
        <w:rPr>
          <w:rFonts w:ascii="Cambria" w:hAnsi="Cambria"/>
        </w:rPr>
        <w:t>above,</w:t>
      </w:r>
      <w:r>
        <w:rPr>
          <w:rFonts w:ascii="Cambria" w:hAnsi="Cambria"/>
          <w:spacing w:val="-1"/>
        </w:rPr>
        <w:t> </w:t>
      </w:r>
      <w:r>
        <w:rPr>
          <w:rFonts w:ascii="Cambria" w:hAnsi="Cambria"/>
        </w:rPr>
        <w:t>the</w:t>
      </w:r>
      <w:r>
        <w:rPr>
          <w:rFonts w:ascii="Cambria" w:hAnsi="Cambria"/>
          <w:spacing w:val="-2"/>
        </w:rPr>
        <w:t> </w:t>
      </w:r>
      <w:r>
        <w:rPr>
          <w:rFonts w:ascii="Cambria" w:hAnsi="Cambria"/>
        </w:rPr>
        <w:t>coefficient</w:t>
      </w:r>
      <w:r>
        <w:rPr>
          <w:rFonts w:ascii="Cambria" w:hAnsi="Cambria"/>
          <w:spacing w:val="-3"/>
        </w:rPr>
        <w:t> </w:t>
      </w:r>
      <w:r>
        <w:rPr>
          <w:rFonts w:ascii="Cambria" w:hAnsi="Cambria"/>
        </w:rPr>
        <w:t>of</w:t>
      </w:r>
      <w:r>
        <w:rPr>
          <w:rFonts w:ascii="Cambria" w:hAnsi="Cambria"/>
          <w:spacing w:val="-2"/>
        </w:rPr>
        <w:t> </w:t>
      </w:r>
      <w:r>
        <w:rPr>
          <w:rFonts w:ascii="Cambria" w:hAnsi="Cambria"/>
        </w:rPr>
        <w:t>the</w:t>
      </w:r>
      <w:r>
        <w:rPr>
          <w:rFonts w:ascii="Cambria" w:hAnsi="Cambria"/>
          <w:spacing w:val="-2"/>
        </w:rPr>
        <w:t> </w:t>
      </w:r>
      <w:r>
        <w:rPr>
          <w:rFonts w:ascii="Cambria" w:hAnsi="Cambria"/>
        </w:rPr>
        <w:t>ECM</w:t>
      </w:r>
      <w:r>
        <w:rPr>
          <w:rFonts w:ascii="Cambria" w:hAnsi="Cambria"/>
          <w:spacing w:val="-2"/>
        </w:rPr>
        <w:t> </w:t>
      </w:r>
      <w:r>
        <w:rPr>
          <w:rFonts w:ascii="Cambria" w:hAnsi="Cambria"/>
        </w:rPr>
        <w:t>is</w:t>
      </w:r>
      <w:r>
        <w:rPr>
          <w:rFonts w:ascii="Cambria" w:hAnsi="Cambria"/>
          <w:spacing w:val="-2"/>
        </w:rPr>
        <w:t> </w:t>
      </w:r>
      <w:r>
        <w:rPr>
          <w:rFonts w:ascii="Cambria" w:hAnsi="Cambria"/>
        </w:rPr>
        <w:t>further</w:t>
      </w:r>
      <w:r>
        <w:rPr>
          <w:rFonts w:ascii="Cambria" w:hAnsi="Cambria"/>
          <w:spacing w:val="-2"/>
        </w:rPr>
        <w:t> </w:t>
      </w:r>
      <w:r>
        <w:rPr>
          <w:rFonts w:ascii="Cambria" w:hAnsi="Cambria"/>
        </w:rPr>
        <w:t>proven</w:t>
      </w:r>
      <w:r>
        <w:rPr>
          <w:rFonts w:ascii="Cambria" w:hAnsi="Cambria"/>
          <w:spacing w:val="-2"/>
        </w:rPr>
        <w:t> </w:t>
      </w:r>
      <w:r>
        <w:rPr>
          <w:rFonts w:ascii="Cambria" w:hAnsi="Cambria"/>
        </w:rPr>
        <w:t>significant</w:t>
      </w:r>
      <w:r>
        <w:rPr>
          <w:rFonts w:ascii="Cambria" w:hAnsi="Cambria"/>
          <w:spacing w:val="-2"/>
        </w:rPr>
        <w:t> </w:t>
      </w:r>
      <w:r>
        <w:rPr>
          <w:rFonts w:ascii="Cambria" w:hAnsi="Cambria"/>
        </w:rPr>
        <w:t>with</w:t>
      </w:r>
      <w:r>
        <w:rPr>
          <w:rFonts w:ascii="Cambria" w:hAnsi="Cambria"/>
          <w:spacing w:val="-2"/>
        </w:rPr>
        <w:t> </w:t>
      </w:r>
      <w:r>
        <w:rPr>
          <w:rFonts w:ascii="Cambria" w:hAnsi="Cambria"/>
        </w:rPr>
        <w:t>it</w:t>
      </w:r>
      <w:r>
        <w:rPr>
          <w:rFonts w:ascii="Cambria" w:hAnsi="Cambria"/>
          <w:spacing w:val="-3"/>
        </w:rPr>
        <w:t> </w:t>
      </w:r>
      <w:r>
        <w:rPr>
          <w:rFonts w:ascii="Cambria" w:hAnsi="Cambria"/>
        </w:rPr>
        <w:t>conformity</w:t>
      </w:r>
      <w:r>
        <w:rPr>
          <w:rFonts w:ascii="Cambria" w:hAnsi="Cambria"/>
          <w:spacing w:val="-3"/>
        </w:rPr>
        <w:t> </w:t>
      </w:r>
      <w:r>
        <w:rPr>
          <w:rFonts w:ascii="Cambria" w:hAnsi="Cambria"/>
        </w:rPr>
        <w:t>to</w:t>
      </w:r>
      <w:r>
        <w:rPr>
          <w:rFonts w:ascii="Cambria" w:hAnsi="Cambria"/>
          <w:spacing w:val="-2"/>
        </w:rPr>
        <w:t> </w:t>
      </w:r>
      <w:r>
        <w:rPr>
          <w:rFonts w:ascii="Cambria" w:hAnsi="Cambria"/>
        </w:rPr>
        <w:t>the over-parametized ECM. The value of the ECM shows a negative of -</w:t>
      </w:r>
      <w:r>
        <w:rPr>
          <w:sz w:val="20"/>
        </w:rPr>
        <w:t>1.522111</w:t>
      </w:r>
      <w:r>
        <w:rPr>
          <w:rFonts w:ascii="Cambria" w:hAnsi="Cambria"/>
        </w:rPr>
        <w:t>. This coefficient in it negative form implies that the speed of adjustment of any past deviation to long-run equilibrium in present period. </w:t>
      </w:r>
      <w:r>
        <w:rPr/>
        <w:t>This implies that the present value of KF adjust rapidly to change in DOP, INF, GCF, δEXDEBT, DR, PRIVCR, USIRD and GOCE. The ECM value of </w:t>
      </w:r>
      <w:r>
        <w:rPr>
          <w:rFonts w:ascii="Cambria" w:hAnsi="Cambria"/>
        </w:rPr>
        <w:t>-</w:t>
      </w:r>
      <w:r>
        <w:rPr>
          <w:sz w:val="20"/>
        </w:rPr>
        <w:t>1.522111 </w:t>
      </w:r>
      <w:r>
        <w:rPr/>
        <w:t>in ECM 2 shows a feedback of the value from the previous period disequilibrium of the present level of KF in the determination of</w:t>
      </w:r>
      <w:r>
        <w:rPr>
          <w:spacing w:val="40"/>
        </w:rPr>
        <w:t> </w:t>
      </w:r>
      <w:r>
        <w:rPr/>
        <w:t>causality between the past level of capital flight (KF) and the present and past level of DOP, INF, GCF, δ EXDEBT, DR, PRIVCR, USIRD and GOCE. The coefficient of multiple determinations denoted as R</w:t>
      </w:r>
      <w:r>
        <w:rPr>
          <w:vertAlign w:val="superscript"/>
        </w:rPr>
        <w:t>2</w:t>
      </w:r>
      <w:r>
        <w:rPr>
          <w:vertAlign w:val="baseline"/>
        </w:rPr>
        <w:t> shows that about 81% in KF can be explained by the independent variables while the remaining 19% is explained by stochastic variables. </w:t>
      </w:r>
      <w:r>
        <w:rPr>
          <w:sz w:val="20"/>
          <w:vertAlign w:val="baseline"/>
        </w:rPr>
        <w:t>Durbin-Watson statistic of 1.868760 </w:t>
      </w:r>
      <w:r>
        <w:rPr>
          <w:vertAlign w:val="baseline"/>
        </w:rPr>
        <w:t>falls within the inconclusive region.</w:t>
      </w:r>
    </w:p>
    <w:p>
      <w:pPr>
        <w:pStyle w:val="Heading6"/>
        <w:tabs>
          <w:tab w:pos="1563" w:val="left" w:leader="none"/>
        </w:tabs>
        <w:jc w:val="left"/>
        <w:rPr>
          <w:rFonts w:ascii="Cambria"/>
        </w:rPr>
      </w:pPr>
      <w:r>
        <w:rPr>
          <w:rFonts w:ascii="Cambria"/>
        </w:rPr>
        <w:t>4.</w:t>
      </w:r>
      <w:r>
        <w:rPr>
          <w:rFonts w:ascii="Cambria"/>
          <w:spacing w:val="-1"/>
        </w:rPr>
        <w:t> </w:t>
      </w:r>
      <w:r>
        <w:rPr>
          <w:rFonts w:ascii="Cambria"/>
          <w:spacing w:val="-5"/>
        </w:rPr>
        <w:t>6.3</w:t>
      </w:r>
      <w:r>
        <w:rPr>
          <w:rFonts w:ascii="Cambria"/>
        </w:rPr>
        <w:tab/>
        <w:t>Tests</w:t>
      </w:r>
      <w:r>
        <w:rPr>
          <w:rFonts w:ascii="Cambria"/>
          <w:spacing w:val="-7"/>
        </w:rPr>
        <w:t> </w:t>
      </w:r>
      <w:r>
        <w:rPr>
          <w:rFonts w:ascii="Cambria"/>
        </w:rPr>
        <w:t>for</w:t>
      </w:r>
      <w:r>
        <w:rPr>
          <w:rFonts w:ascii="Cambria"/>
          <w:spacing w:val="-5"/>
        </w:rPr>
        <w:t> </w:t>
      </w:r>
      <w:r>
        <w:rPr>
          <w:rFonts w:ascii="Cambria"/>
        </w:rPr>
        <w:t>the</w:t>
      </w:r>
      <w:r>
        <w:rPr>
          <w:rFonts w:ascii="Cambria"/>
          <w:spacing w:val="-4"/>
        </w:rPr>
        <w:t> </w:t>
      </w:r>
      <w:r>
        <w:rPr>
          <w:rFonts w:ascii="Cambria"/>
        </w:rPr>
        <w:t>Statistical</w:t>
      </w:r>
      <w:r>
        <w:rPr>
          <w:rFonts w:ascii="Cambria"/>
          <w:spacing w:val="-5"/>
        </w:rPr>
        <w:t> </w:t>
      </w:r>
      <w:r>
        <w:rPr>
          <w:rFonts w:ascii="Cambria"/>
        </w:rPr>
        <w:t>Significance</w:t>
      </w:r>
      <w:r>
        <w:rPr>
          <w:rFonts w:ascii="Cambria"/>
          <w:spacing w:val="-4"/>
        </w:rPr>
        <w:t> </w:t>
      </w:r>
      <w:r>
        <w:rPr>
          <w:rFonts w:ascii="Cambria"/>
        </w:rPr>
        <w:t>of</w:t>
      </w:r>
      <w:r>
        <w:rPr>
          <w:rFonts w:ascii="Cambria"/>
          <w:spacing w:val="-4"/>
        </w:rPr>
        <w:t> </w:t>
      </w:r>
      <w:r>
        <w:rPr>
          <w:rFonts w:ascii="Cambria"/>
          <w:spacing w:val="-2"/>
        </w:rPr>
        <w:t>Parameters</w:t>
      </w:r>
    </w:p>
    <w:p>
      <w:pPr>
        <w:pStyle w:val="BodyText"/>
        <w:spacing w:line="564" w:lineRule="exact" w:before="57"/>
        <w:ind w:left="711" w:right="475"/>
        <w:rPr>
          <w:rFonts w:ascii="Cambria"/>
        </w:rPr>
      </w:pPr>
      <w:r>
        <w:rPr>
          <w:rFonts w:ascii="Cambria"/>
        </w:rPr>
        <w:t>The statistical significance of</w:t>
      </w:r>
      <w:r>
        <w:rPr>
          <w:rFonts w:ascii="Cambria"/>
          <w:spacing w:val="-1"/>
        </w:rPr>
        <w:t> </w:t>
      </w:r>
      <w:r>
        <w:rPr>
          <w:rFonts w:ascii="Cambria"/>
        </w:rPr>
        <w:t>each</w:t>
      </w:r>
      <w:r>
        <w:rPr>
          <w:rFonts w:ascii="Cambria"/>
          <w:spacing w:val="-1"/>
        </w:rPr>
        <w:t> </w:t>
      </w:r>
      <w:r>
        <w:rPr>
          <w:rFonts w:ascii="Cambria"/>
        </w:rPr>
        <w:t>variable was tested</w:t>
      </w:r>
      <w:r>
        <w:rPr>
          <w:rFonts w:ascii="Cambria"/>
          <w:spacing w:val="-2"/>
        </w:rPr>
        <w:t> </w:t>
      </w:r>
      <w:r>
        <w:rPr>
          <w:rFonts w:ascii="Cambria"/>
        </w:rPr>
        <w:t>with</w:t>
      </w:r>
      <w:r>
        <w:rPr>
          <w:rFonts w:ascii="Cambria"/>
          <w:spacing w:val="-1"/>
        </w:rPr>
        <w:t> </w:t>
      </w:r>
      <w:r>
        <w:rPr>
          <w:rFonts w:ascii="Cambria"/>
        </w:rPr>
        <w:t>the use of</w:t>
      </w:r>
      <w:r>
        <w:rPr>
          <w:rFonts w:ascii="Cambria"/>
          <w:spacing w:val="-1"/>
        </w:rPr>
        <w:t> </w:t>
      </w:r>
      <w:r>
        <w:rPr>
          <w:rFonts w:ascii="Cambria"/>
        </w:rPr>
        <w:t>standard</w:t>
      </w:r>
      <w:r>
        <w:rPr>
          <w:rFonts w:ascii="Cambria"/>
          <w:spacing w:val="-2"/>
        </w:rPr>
        <w:t> </w:t>
      </w:r>
      <w:r>
        <w:rPr>
          <w:rFonts w:ascii="Cambria"/>
        </w:rPr>
        <w:t>error</w:t>
      </w:r>
      <w:r>
        <w:rPr>
          <w:rFonts w:ascii="Cambria"/>
          <w:spacing w:val="-1"/>
        </w:rPr>
        <w:t> </w:t>
      </w:r>
      <w:r>
        <w:rPr>
          <w:rFonts w:ascii="Cambria"/>
        </w:rPr>
        <w:t>test. This is done by</w:t>
      </w:r>
      <w:r>
        <w:rPr>
          <w:rFonts w:ascii="Cambria"/>
          <w:spacing w:val="9"/>
        </w:rPr>
        <w:t> </w:t>
      </w:r>
      <w:r>
        <w:rPr>
          <w:rFonts w:ascii="Cambria"/>
        </w:rPr>
        <w:t>comparing</w:t>
      </w:r>
      <w:r>
        <w:rPr>
          <w:rFonts w:ascii="Cambria"/>
          <w:spacing w:val="10"/>
        </w:rPr>
        <w:t> </w:t>
      </w:r>
      <w:r>
        <w:rPr>
          <w:rFonts w:ascii="Cambria"/>
        </w:rPr>
        <w:t>the</w:t>
      </w:r>
      <w:r>
        <w:rPr>
          <w:rFonts w:ascii="Cambria"/>
          <w:spacing w:val="12"/>
        </w:rPr>
        <w:t> </w:t>
      </w:r>
      <w:r>
        <w:rPr>
          <w:rFonts w:ascii="Cambria"/>
        </w:rPr>
        <w:t>standard</w:t>
      </w:r>
      <w:r>
        <w:rPr>
          <w:rFonts w:ascii="Cambria"/>
          <w:spacing w:val="9"/>
        </w:rPr>
        <w:t> </w:t>
      </w:r>
      <w:r>
        <w:rPr>
          <w:rFonts w:ascii="Cambria"/>
        </w:rPr>
        <w:t>error</w:t>
      </w:r>
      <w:r>
        <w:rPr>
          <w:rFonts w:ascii="Cambria"/>
          <w:spacing w:val="9"/>
        </w:rPr>
        <w:t> </w:t>
      </w:r>
      <w:r>
        <w:rPr>
          <w:rFonts w:ascii="Cambria"/>
        </w:rPr>
        <w:t>statistics</w:t>
      </w:r>
      <w:r>
        <w:rPr>
          <w:rFonts w:ascii="Cambria"/>
          <w:spacing w:val="11"/>
        </w:rPr>
        <w:t> </w:t>
      </w:r>
      <w:r>
        <w:rPr>
          <w:rFonts w:ascii="Cambria"/>
        </w:rPr>
        <w:t>with</w:t>
      </w:r>
      <w:r>
        <w:rPr>
          <w:rFonts w:ascii="Cambria"/>
          <w:spacing w:val="10"/>
        </w:rPr>
        <w:t> </w:t>
      </w:r>
      <w:r>
        <w:rPr>
          <w:rFonts w:ascii="Cambria"/>
        </w:rPr>
        <w:t>half</w:t>
      </w:r>
      <w:r>
        <w:rPr>
          <w:rFonts w:ascii="Cambria"/>
          <w:spacing w:val="9"/>
        </w:rPr>
        <w:t> </w:t>
      </w:r>
      <w:r>
        <w:rPr>
          <w:rFonts w:ascii="Cambria"/>
        </w:rPr>
        <w:t>of</w:t>
      </w:r>
      <w:r>
        <w:rPr>
          <w:rFonts w:ascii="Cambria"/>
          <w:spacing w:val="11"/>
        </w:rPr>
        <w:t> </w:t>
      </w:r>
      <w:r>
        <w:rPr>
          <w:rFonts w:ascii="Cambria"/>
        </w:rPr>
        <w:t>the</w:t>
      </w:r>
      <w:r>
        <w:rPr>
          <w:rFonts w:ascii="Cambria"/>
          <w:spacing w:val="11"/>
        </w:rPr>
        <w:t> </w:t>
      </w:r>
      <w:r>
        <w:rPr>
          <w:rFonts w:ascii="Cambria"/>
        </w:rPr>
        <w:t>coefficient</w:t>
      </w:r>
      <w:r>
        <w:rPr>
          <w:rFonts w:ascii="Cambria"/>
          <w:spacing w:val="11"/>
        </w:rPr>
        <w:t> </w:t>
      </w:r>
      <w:r>
        <w:rPr>
          <w:rFonts w:ascii="Cambria"/>
        </w:rPr>
        <w:t>of</w:t>
      </w:r>
      <w:r>
        <w:rPr>
          <w:rFonts w:ascii="Cambria"/>
          <w:spacing w:val="10"/>
        </w:rPr>
        <w:t> </w:t>
      </w:r>
      <w:r>
        <w:rPr>
          <w:rFonts w:ascii="Cambria"/>
        </w:rPr>
        <w:t>each</w:t>
      </w:r>
      <w:r>
        <w:rPr>
          <w:rFonts w:ascii="Cambria"/>
          <w:spacing w:val="10"/>
        </w:rPr>
        <w:t> </w:t>
      </w:r>
      <w:r>
        <w:rPr>
          <w:rFonts w:ascii="Cambria"/>
        </w:rPr>
        <w:t>variable</w:t>
      </w:r>
      <w:r>
        <w:rPr>
          <w:rFonts w:ascii="Cambria"/>
          <w:spacing w:val="11"/>
        </w:rPr>
        <w:t> </w:t>
      </w:r>
      <w:r>
        <w:rPr>
          <w:rFonts w:ascii="Cambria"/>
        </w:rPr>
        <w:t>as</w:t>
      </w:r>
      <w:r>
        <w:rPr>
          <w:rFonts w:ascii="Cambria"/>
          <w:spacing w:val="12"/>
        </w:rPr>
        <w:t> </w:t>
      </w:r>
      <w:r>
        <w:rPr>
          <w:rFonts w:ascii="Cambria"/>
        </w:rPr>
        <w:t>given</w:t>
      </w:r>
      <w:r>
        <w:rPr>
          <w:rFonts w:ascii="Cambria"/>
          <w:spacing w:val="11"/>
        </w:rPr>
        <w:t> </w:t>
      </w:r>
      <w:r>
        <w:rPr>
          <w:rFonts w:ascii="Cambria"/>
        </w:rPr>
        <w:t>in</w:t>
      </w:r>
      <w:r>
        <w:rPr>
          <w:rFonts w:ascii="Cambria"/>
          <w:spacing w:val="12"/>
        </w:rPr>
        <w:t> </w:t>
      </w:r>
      <w:r>
        <w:rPr>
          <w:rFonts w:ascii="Cambria"/>
          <w:spacing w:val="-5"/>
        </w:rPr>
        <w:t>the</w:t>
      </w:r>
    </w:p>
    <w:p>
      <w:pPr>
        <w:spacing w:after="0" w:line="564" w:lineRule="exact"/>
        <w:rPr>
          <w:rFonts w:ascii="Cambria"/>
        </w:rPr>
        <w:sectPr>
          <w:pgSz w:w="11910" w:h="16840"/>
          <w:pgMar w:header="0" w:footer="979" w:top="1360" w:bottom="1240" w:left="280" w:right="0"/>
        </w:sectPr>
      </w:pPr>
    </w:p>
    <w:p>
      <w:pPr>
        <w:pStyle w:val="BodyText"/>
        <w:spacing w:line="480" w:lineRule="auto" w:before="81"/>
        <w:ind w:left="711" w:right="475"/>
        <w:jc w:val="both"/>
        <w:rPr>
          <w:rFonts w:ascii="Cambria"/>
        </w:rPr>
      </w:pPr>
      <w:r>
        <w:rPr>
          <w:rFonts w:ascii="Cambria"/>
        </w:rPr>
        <w:t>Johansen co-integration result in absolute terms. The table below displays the standard error test for the World Bank &amp; Erbe approach of model 1.</w:t>
      </w:r>
    </w:p>
    <w:p>
      <w:pPr>
        <w:spacing w:before="125"/>
        <w:ind w:left="711" w:right="0" w:firstLine="0"/>
        <w:jc w:val="both"/>
        <w:rPr>
          <w:rFonts w:ascii="Cambria"/>
          <w:b/>
          <w:sz w:val="21"/>
        </w:rPr>
      </w:pPr>
      <w:r>
        <w:rPr>
          <w:rFonts w:ascii="Cambria"/>
          <w:b/>
          <w:sz w:val="21"/>
        </w:rPr>
        <w:t>Table</w:t>
      </w:r>
      <w:r>
        <w:rPr>
          <w:rFonts w:ascii="Cambria"/>
          <w:b/>
          <w:spacing w:val="-4"/>
          <w:sz w:val="21"/>
        </w:rPr>
        <w:t> </w:t>
      </w:r>
      <w:r>
        <w:rPr>
          <w:rFonts w:ascii="Cambria"/>
          <w:b/>
          <w:sz w:val="21"/>
        </w:rPr>
        <w:t>4.15.</w:t>
      </w:r>
      <w:r>
        <w:rPr>
          <w:rFonts w:ascii="Cambria"/>
          <w:b/>
          <w:spacing w:val="-5"/>
          <w:sz w:val="21"/>
        </w:rPr>
        <w:t> </w:t>
      </w:r>
      <w:r>
        <w:rPr>
          <w:rFonts w:ascii="Cambria"/>
          <w:b/>
          <w:sz w:val="21"/>
        </w:rPr>
        <w:t>3.</w:t>
      </w:r>
      <w:r>
        <w:rPr>
          <w:rFonts w:ascii="Cambria"/>
          <w:b/>
          <w:spacing w:val="-5"/>
          <w:sz w:val="21"/>
        </w:rPr>
        <w:t> </w:t>
      </w:r>
      <w:r>
        <w:rPr>
          <w:rFonts w:ascii="Cambria"/>
          <w:b/>
          <w:sz w:val="21"/>
        </w:rPr>
        <w:t>Standard</w:t>
      </w:r>
      <w:r>
        <w:rPr>
          <w:rFonts w:ascii="Cambria"/>
          <w:b/>
          <w:spacing w:val="-3"/>
          <w:sz w:val="21"/>
        </w:rPr>
        <w:t> </w:t>
      </w:r>
      <w:r>
        <w:rPr>
          <w:rFonts w:ascii="Cambria"/>
          <w:b/>
          <w:sz w:val="21"/>
        </w:rPr>
        <w:t>Error</w:t>
      </w:r>
      <w:r>
        <w:rPr>
          <w:rFonts w:ascii="Cambria"/>
          <w:b/>
          <w:spacing w:val="-4"/>
          <w:sz w:val="21"/>
        </w:rPr>
        <w:t> </w:t>
      </w:r>
      <w:r>
        <w:rPr>
          <w:rFonts w:ascii="Cambria"/>
          <w:b/>
          <w:sz w:val="21"/>
        </w:rPr>
        <w:t>Test</w:t>
      </w:r>
      <w:r>
        <w:rPr>
          <w:rFonts w:ascii="Cambria"/>
          <w:b/>
          <w:spacing w:val="-4"/>
          <w:sz w:val="21"/>
        </w:rPr>
        <w:t> </w:t>
      </w:r>
      <w:r>
        <w:rPr>
          <w:rFonts w:ascii="Cambria"/>
          <w:b/>
          <w:sz w:val="21"/>
        </w:rPr>
        <w:t>for</w:t>
      </w:r>
      <w:r>
        <w:rPr>
          <w:rFonts w:ascii="Cambria"/>
          <w:b/>
          <w:spacing w:val="-4"/>
          <w:sz w:val="21"/>
        </w:rPr>
        <w:t> </w:t>
      </w:r>
      <w:r>
        <w:rPr>
          <w:rFonts w:ascii="Cambria"/>
          <w:b/>
          <w:sz w:val="21"/>
        </w:rPr>
        <w:t>Model</w:t>
      </w:r>
      <w:r>
        <w:rPr>
          <w:rFonts w:ascii="Cambria"/>
          <w:b/>
          <w:spacing w:val="-4"/>
          <w:sz w:val="21"/>
        </w:rPr>
        <w:t> </w:t>
      </w:r>
      <w:r>
        <w:rPr>
          <w:rFonts w:ascii="Cambria"/>
          <w:b/>
          <w:sz w:val="21"/>
        </w:rPr>
        <w:t>1B</w:t>
      </w:r>
      <w:r>
        <w:rPr>
          <w:rFonts w:ascii="Cambria"/>
          <w:b/>
          <w:spacing w:val="-6"/>
          <w:sz w:val="21"/>
        </w:rPr>
        <w:t> </w:t>
      </w:r>
      <w:r>
        <w:rPr>
          <w:rFonts w:ascii="Cambria"/>
          <w:b/>
          <w:sz w:val="21"/>
        </w:rPr>
        <w:t>(</w:t>
      </w:r>
      <w:r>
        <w:rPr>
          <w:b/>
          <w:sz w:val="21"/>
        </w:rPr>
        <w:t>Morgan</w:t>
      </w:r>
      <w:r>
        <w:rPr>
          <w:b/>
          <w:spacing w:val="-3"/>
          <w:sz w:val="21"/>
        </w:rPr>
        <w:t> </w:t>
      </w:r>
      <w:r>
        <w:rPr>
          <w:b/>
          <w:sz w:val="21"/>
        </w:rPr>
        <w:t>Guaranty</w:t>
      </w:r>
      <w:r>
        <w:rPr>
          <w:b/>
          <w:spacing w:val="-7"/>
          <w:sz w:val="21"/>
        </w:rPr>
        <w:t> </w:t>
      </w:r>
      <w:r>
        <w:rPr>
          <w:b/>
          <w:sz w:val="21"/>
        </w:rPr>
        <w:t>Trust</w:t>
      </w:r>
      <w:r>
        <w:rPr>
          <w:b/>
          <w:spacing w:val="-5"/>
          <w:sz w:val="21"/>
        </w:rPr>
        <w:t> </w:t>
      </w:r>
      <w:r>
        <w:rPr>
          <w:b/>
          <w:sz w:val="21"/>
        </w:rPr>
        <w:t>(1986)</w:t>
      </w:r>
      <w:r>
        <w:rPr>
          <w:b/>
          <w:spacing w:val="-6"/>
          <w:sz w:val="21"/>
        </w:rPr>
        <w:t> </w:t>
      </w:r>
      <w:r>
        <w:rPr>
          <w:b/>
          <w:sz w:val="21"/>
        </w:rPr>
        <w:t>Approach</w:t>
      </w:r>
      <w:r>
        <w:rPr>
          <w:b/>
          <w:spacing w:val="-9"/>
          <w:sz w:val="21"/>
        </w:rPr>
        <w:t> </w:t>
      </w:r>
      <w:r>
        <w:rPr>
          <w:rFonts w:ascii="Cambria"/>
          <w:b/>
          <w:spacing w:val="-10"/>
          <w:sz w:val="21"/>
        </w:rPr>
        <w:t>)</w:t>
      </w:r>
    </w:p>
    <w:p>
      <w:pPr>
        <w:pStyle w:val="BodyText"/>
        <w:spacing w:before="146"/>
        <w:rPr>
          <w:rFonts w:ascii="Cambria"/>
          <w:b/>
          <w:sz w:val="20"/>
        </w:rPr>
      </w:pPr>
    </w:p>
    <w:tbl>
      <w:tblPr>
        <w:tblW w:w="0" w:type="auto"/>
        <w:jc w:val="left"/>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24"/>
        <w:gridCol w:w="1839"/>
        <w:gridCol w:w="1949"/>
        <w:gridCol w:w="2302"/>
        <w:gridCol w:w="1409"/>
      </w:tblGrid>
      <w:tr>
        <w:trPr>
          <w:trHeight w:val="561" w:hRule="atLeast"/>
        </w:trPr>
        <w:tc>
          <w:tcPr>
            <w:tcW w:w="1824" w:type="dxa"/>
          </w:tcPr>
          <w:p>
            <w:pPr>
              <w:pStyle w:val="TableParagraph"/>
              <w:spacing w:line="281" w:lineRule="exact"/>
              <w:ind w:left="10" w:right="3"/>
              <w:jc w:val="center"/>
              <w:rPr>
                <w:rFonts w:ascii="Cambria"/>
                <w:b/>
                <w:sz w:val="24"/>
              </w:rPr>
            </w:pPr>
            <w:r>
              <w:rPr>
                <w:rFonts w:ascii="Cambria"/>
                <w:b/>
                <w:spacing w:val="-2"/>
                <w:sz w:val="24"/>
              </w:rPr>
              <w:t>VARIABLES</w:t>
            </w:r>
          </w:p>
        </w:tc>
        <w:tc>
          <w:tcPr>
            <w:tcW w:w="1839" w:type="dxa"/>
          </w:tcPr>
          <w:p>
            <w:pPr>
              <w:pStyle w:val="TableParagraph"/>
              <w:spacing w:line="281" w:lineRule="exact"/>
              <w:ind w:left="182"/>
              <w:rPr>
                <w:rFonts w:ascii="Cambria"/>
                <w:b/>
                <w:sz w:val="24"/>
              </w:rPr>
            </w:pPr>
            <w:r>
              <w:rPr>
                <w:rFonts w:ascii="Cambria"/>
                <w:b/>
                <w:spacing w:val="-2"/>
                <w:sz w:val="24"/>
              </w:rPr>
              <w:t>COEFFICIENT</w:t>
            </w:r>
          </w:p>
        </w:tc>
        <w:tc>
          <w:tcPr>
            <w:tcW w:w="1949" w:type="dxa"/>
          </w:tcPr>
          <w:p>
            <w:pPr>
              <w:pStyle w:val="TableParagraph"/>
              <w:spacing w:line="281" w:lineRule="exact"/>
              <w:ind w:left="6" w:right="2"/>
              <w:jc w:val="center"/>
              <w:rPr>
                <w:rFonts w:ascii="Cambria"/>
                <w:b/>
                <w:sz w:val="24"/>
              </w:rPr>
            </w:pPr>
            <w:r>
              <w:rPr>
                <w:rFonts w:ascii="Cambria"/>
                <w:b/>
                <w:spacing w:val="-2"/>
                <w:sz w:val="24"/>
              </w:rPr>
              <w:t>COEFFICIENT/2</w:t>
            </w:r>
          </w:p>
        </w:tc>
        <w:tc>
          <w:tcPr>
            <w:tcW w:w="2302" w:type="dxa"/>
          </w:tcPr>
          <w:p>
            <w:pPr>
              <w:pStyle w:val="TableParagraph"/>
              <w:spacing w:line="281" w:lineRule="exact"/>
              <w:ind w:right="98"/>
              <w:jc w:val="right"/>
              <w:rPr>
                <w:rFonts w:ascii="Cambria"/>
                <w:b/>
                <w:sz w:val="24"/>
              </w:rPr>
            </w:pPr>
            <w:r>
              <w:rPr>
                <w:rFonts w:ascii="Cambria"/>
                <w:b/>
                <w:sz w:val="24"/>
              </w:rPr>
              <w:t>STANDARD</w:t>
            </w:r>
            <w:r>
              <w:rPr>
                <w:rFonts w:ascii="Cambria"/>
                <w:b/>
                <w:spacing w:val="-4"/>
                <w:sz w:val="24"/>
              </w:rPr>
              <w:t> </w:t>
            </w:r>
            <w:r>
              <w:rPr>
                <w:rFonts w:ascii="Cambria"/>
                <w:b/>
                <w:spacing w:val="-2"/>
                <w:sz w:val="24"/>
              </w:rPr>
              <w:t>ERROR</w:t>
            </w:r>
          </w:p>
        </w:tc>
        <w:tc>
          <w:tcPr>
            <w:tcW w:w="1409" w:type="dxa"/>
          </w:tcPr>
          <w:p>
            <w:pPr>
              <w:pStyle w:val="TableParagraph"/>
              <w:spacing w:line="281" w:lineRule="exact"/>
              <w:ind w:left="13" w:right="6"/>
              <w:jc w:val="center"/>
              <w:rPr>
                <w:rFonts w:ascii="Cambria"/>
                <w:b/>
                <w:sz w:val="24"/>
              </w:rPr>
            </w:pPr>
            <w:r>
              <w:rPr>
                <w:rFonts w:ascii="Cambria"/>
                <w:b/>
                <w:spacing w:val="-2"/>
                <w:sz w:val="24"/>
              </w:rPr>
              <w:t>DECISION</w:t>
            </w:r>
          </w:p>
        </w:tc>
      </w:tr>
      <w:tr>
        <w:trPr>
          <w:trHeight w:val="657" w:hRule="atLeast"/>
        </w:trPr>
        <w:tc>
          <w:tcPr>
            <w:tcW w:w="1824" w:type="dxa"/>
          </w:tcPr>
          <w:p>
            <w:pPr>
              <w:pStyle w:val="TableParagraph"/>
              <w:spacing w:before="124"/>
              <w:ind w:left="10" w:right="3"/>
              <w:jc w:val="center"/>
              <w:rPr>
                <w:sz w:val="18"/>
              </w:rPr>
            </w:pPr>
            <w:r>
              <w:rPr>
                <w:spacing w:val="-2"/>
                <w:sz w:val="18"/>
              </w:rPr>
              <w:t>δEXTDEBT</w:t>
            </w:r>
          </w:p>
        </w:tc>
        <w:tc>
          <w:tcPr>
            <w:tcW w:w="1839" w:type="dxa"/>
          </w:tcPr>
          <w:p>
            <w:pPr>
              <w:pStyle w:val="TableParagraph"/>
              <w:spacing w:before="124"/>
              <w:ind w:right="97"/>
              <w:jc w:val="right"/>
              <w:rPr>
                <w:sz w:val="18"/>
              </w:rPr>
            </w:pPr>
            <w:r>
              <w:rPr>
                <w:spacing w:val="-2"/>
                <w:sz w:val="18"/>
              </w:rPr>
              <w:t>2.260204</w:t>
            </w:r>
          </w:p>
        </w:tc>
        <w:tc>
          <w:tcPr>
            <w:tcW w:w="1949" w:type="dxa"/>
          </w:tcPr>
          <w:p>
            <w:pPr>
              <w:pStyle w:val="TableParagraph"/>
              <w:spacing w:before="114"/>
              <w:ind w:left="6"/>
              <w:jc w:val="center"/>
              <w:rPr>
                <w:rFonts w:ascii="Cambria"/>
                <w:sz w:val="18"/>
              </w:rPr>
            </w:pPr>
            <w:r>
              <w:rPr>
                <w:rFonts w:ascii="Cambria"/>
                <w:spacing w:val="-2"/>
                <w:sz w:val="18"/>
              </w:rPr>
              <w:t>1.619235</w:t>
            </w:r>
          </w:p>
        </w:tc>
        <w:tc>
          <w:tcPr>
            <w:tcW w:w="2302" w:type="dxa"/>
          </w:tcPr>
          <w:p>
            <w:pPr>
              <w:pStyle w:val="TableParagraph"/>
              <w:spacing w:before="124"/>
              <w:ind w:right="95"/>
              <w:jc w:val="right"/>
              <w:rPr>
                <w:sz w:val="18"/>
              </w:rPr>
            </w:pPr>
            <w:r>
              <w:rPr>
                <w:spacing w:val="-2"/>
                <w:sz w:val="18"/>
              </w:rPr>
              <w:t>0.73588</w:t>
            </w:r>
          </w:p>
        </w:tc>
        <w:tc>
          <w:tcPr>
            <w:tcW w:w="1409" w:type="dxa"/>
          </w:tcPr>
          <w:p>
            <w:pPr>
              <w:pStyle w:val="TableParagraph"/>
              <w:spacing w:before="114"/>
              <w:ind w:left="13" w:right="2"/>
              <w:jc w:val="center"/>
              <w:rPr>
                <w:rFonts w:ascii="Cambria"/>
                <w:sz w:val="18"/>
              </w:rPr>
            </w:pPr>
            <w:r>
              <w:rPr>
                <w:rFonts w:ascii="Cambria"/>
                <w:spacing w:val="-2"/>
                <w:sz w:val="18"/>
              </w:rPr>
              <w:t>Significant</w:t>
            </w:r>
          </w:p>
        </w:tc>
      </w:tr>
      <w:tr>
        <w:trPr>
          <w:trHeight w:val="657" w:hRule="atLeast"/>
        </w:trPr>
        <w:tc>
          <w:tcPr>
            <w:tcW w:w="1824" w:type="dxa"/>
          </w:tcPr>
          <w:p>
            <w:pPr>
              <w:pStyle w:val="TableParagraph"/>
              <w:spacing w:before="124"/>
              <w:ind w:left="10" w:right="1"/>
              <w:jc w:val="center"/>
              <w:rPr>
                <w:sz w:val="18"/>
              </w:rPr>
            </w:pPr>
            <w:r>
              <w:rPr>
                <w:spacing w:val="-5"/>
                <w:sz w:val="18"/>
              </w:rPr>
              <w:t>DOP</w:t>
            </w:r>
          </w:p>
        </w:tc>
        <w:tc>
          <w:tcPr>
            <w:tcW w:w="1839" w:type="dxa"/>
          </w:tcPr>
          <w:p>
            <w:pPr>
              <w:pStyle w:val="TableParagraph"/>
              <w:spacing w:before="124"/>
              <w:ind w:right="97"/>
              <w:jc w:val="right"/>
              <w:rPr>
                <w:sz w:val="18"/>
              </w:rPr>
            </w:pPr>
            <w:r>
              <w:rPr>
                <w:spacing w:val="-2"/>
                <w:sz w:val="18"/>
              </w:rPr>
              <w:t>0.165123</w:t>
            </w:r>
          </w:p>
        </w:tc>
        <w:tc>
          <w:tcPr>
            <w:tcW w:w="1949" w:type="dxa"/>
          </w:tcPr>
          <w:p>
            <w:pPr>
              <w:pStyle w:val="TableParagraph"/>
              <w:spacing w:before="114"/>
              <w:ind w:left="6" w:right="3"/>
              <w:jc w:val="center"/>
              <w:rPr>
                <w:rFonts w:ascii="Cambria"/>
                <w:sz w:val="18"/>
              </w:rPr>
            </w:pPr>
            <w:r>
              <w:rPr>
                <w:rFonts w:ascii="Cambria"/>
                <w:spacing w:val="-2"/>
                <w:sz w:val="18"/>
              </w:rPr>
              <w:t>1.4222</w:t>
            </w:r>
          </w:p>
        </w:tc>
        <w:tc>
          <w:tcPr>
            <w:tcW w:w="2302" w:type="dxa"/>
          </w:tcPr>
          <w:p>
            <w:pPr>
              <w:pStyle w:val="TableParagraph"/>
              <w:spacing w:before="124"/>
              <w:ind w:right="95"/>
              <w:jc w:val="right"/>
              <w:rPr>
                <w:sz w:val="18"/>
              </w:rPr>
            </w:pPr>
            <w:r>
              <w:rPr>
                <w:spacing w:val="-2"/>
                <w:sz w:val="18"/>
              </w:rPr>
              <w:t>0.81570</w:t>
            </w:r>
          </w:p>
        </w:tc>
        <w:tc>
          <w:tcPr>
            <w:tcW w:w="1409" w:type="dxa"/>
          </w:tcPr>
          <w:p>
            <w:pPr>
              <w:pStyle w:val="TableParagraph"/>
              <w:spacing w:before="114"/>
              <w:ind w:left="13" w:right="3"/>
              <w:jc w:val="center"/>
              <w:rPr>
                <w:rFonts w:ascii="Cambria"/>
                <w:sz w:val="18"/>
              </w:rPr>
            </w:pPr>
            <w:r>
              <w:rPr>
                <w:rFonts w:ascii="Cambria"/>
                <w:spacing w:val="-2"/>
                <w:sz w:val="18"/>
              </w:rPr>
              <w:t>Significant</w:t>
            </w:r>
          </w:p>
        </w:tc>
      </w:tr>
      <w:tr>
        <w:trPr>
          <w:trHeight w:val="655" w:hRule="atLeast"/>
        </w:trPr>
        <w:tc>
          <w:tcPr>
            <w:tcW w:w="1824" w:type="dxa"/>
          </w:tcPr>
          <w:p>
            <w:pPr>
              <w:pStyle w:val="TableParagraph"/>
              <w:spacing w:before="124"/>
              <w:ind w:left="10" w:right="3"/>
              <w:jc w:val="center"/>
              <w:rPr>
                <w:sz w:val="18"/>
              </w:rPr>
            </w:pPr>
            <w:r>
              <w:rPr>
                <w:spacing w:val="-5"/>
                <w:sz w:val="18"/>
              </w:rPr>
              <w:t>INF</w:t>
            </w:r>
          </w:p>
        </w:tc>
        <w:tc>
          <w:tcPr>
            <w:tcW w:w="1839" w:type="dxa"/>
          </w:tcPr>
          <w:p>
            <w:pPr>
              <w:pStyle w:val="TableParagraph"/>
              <w:spacing w:before="124"/>
              <w:ind w:right="97"/>
              <w:jc w:val="right"/>
              <w:rPr>
                <w:sz w:val="18"/>
              </w:rPr>
            </w:pPr>
            <w:r>
              <w:rPr>
                <w:spacing w:val="-2"/>
                <w:sz w:val="18"/>
              </w:rPr>
              <w:t>0.926431</w:t>
            </w:r>
          </w:p>
        </w:tc>
        <w:tc>
          <w:tcPr>
            <w:tcW w:w="1949" w:type="dxa"/>
          </w:tcPr>
          <w:p>
            <w:pPr>
              <w:pStyle w:val="TableParagraph"/>
              <w:spacing w:before="114"/>
              <w:ind w:left="6" w:right="3"/>
              <w:jc w:val="center"/>
              <w:rPr>
                <w:rFonts w:ascii="Cambria"/>
                <w:sz w:val="18"/>
              </w:rPr>
            </w:pPr>
            <w:r>
              <w:rPr>
                <w:rFonts w:ascii="Cambria"/>
                <w:spacing w:val="-2"/>
                <w:sz w:val="18"/>
              </w:rPr>
              <w:t>0.46173</w:t>
            </w:r>
          </w:p>
        </w:tc>
        <w:tc>
          <w:tcPr>
            <w:tcW w:w="2302" w:type="dxa"/>
          </w:tcPr>
          <w:p>
            <w:pPr>
              <w:pStyle w:val="TableParagraph"/>
              <w:spacing w:before="124"/>
              <w:ind w:right="95"/>
              <w:jc w:val="right"/>
              <w:rPr>
                <w:sz w:val="18"/>
              </w:rPr>
            </w:pPr>
            <w:r>
              <w:rPr>
                <w:spacing w:val="-2"/>
                <w:sz w:val="18"/>
              </w:rPr>
              <w:t>0.38151</w:t>
            </w:r>
          </w:p>
        </w:tc>
        <w:tc>
          <w:tcPr>
            <w:tcW w:w="1409" w:type="dxa"/>
          </w:tcPr>
          <w:p>
            <w:pPr>
              <w:pStyle w:val="TableParagraph"/>
              <w:spacing w:before="114"/>
              <w:ind w:left="13" w:right="2"/>
              <w:jc w:val="center"/>
              <w:rPr>
                <w:rFonts w:ascii="Cambria"/>
                <w:sz w:val="18"/>
              </w:rPr>
            </w:pPr>
            <w:r>
              <w:rPr>
                <w:rFonts w:ascii="Cambria"/>
                <w:spacing w:val="-2"/>
                <w:sz w:val="18"/>
              </w:rPr>
              <w:t>Significant</w:t>
            </w:r>
          </w:p>
        </w:tc>
      </w:tr>
      <w:tr>
        <w:trPr>
          <w:trHeight w:val="657" w:hRule="atLeast"/>
        </w:trPr>
        <w:tc>
          <w:tcPr>
            <w:tcW w:w="1824" w:type="dxa"/>
          </w:tcPr>
          <w:p>
            <w:pPr>
              <w:pStyle w:val="TableParagraph"/>
              <w:spacing w:before="127"/>
              <w:ind w:left="10" w:right="3"/>
              <w:jc w:val="center"/>
              <w:rPr>
                <w:sz w:val="18"/>
              </w:rPr>
            </w:pPr>
            <w:r>
              <w:rPr>
                <w:spacing w:val="-5"/>
                <w:sz w:val="18"/>
              </w:rPr>
              <w:t>GCF</w:t>
            </w:r>
          </w:p>
        </w:tc>
        <w:tc>
          <w:tcPr>
            <w:tcW w:w="1839" w:type="dxa"/>
          </w:tcPr>
          <w:p>
            <w:pPr>
              <w:pStyle w:val="TableParagraph"/>
              <w:spacing w:before="127"/>
              <w:ind w:right="97"/>
              <w:jc w:val="right"/>
              <w:rPr>
                <w:sz w:val="18"/>
              </w:rPr>
            </w:pPr>
            <w:r>
              <w:rPr>
                <w:spacing w:val="-2"/>
                <w:sz w:val="18"/>
              </w:rPr>
              <w:t>2.080895</w:t>
            </w:r>
          </w:p>
        </w:tc>
        <w:tc>
          <w:tcPr>
            <w:tcW w:w="1949" w:type="dxa"/>
          </w:tcPr>
          <w:p>
            <w:pPr>
              <w:pStyle w:val="TableParagraph"/>
              <w:spacing w:before="116"/>
              <w:ind w:left="6" w:right="3"/>
              <w:jc w:val="center"/>
              <w:rPr>
                <w:rFonts w:ascii="Cambria"/>
                <w:sz w:val="18"/>
              </w:rPr>
            </w:pPr>
            <w:r>
              <w:rPr>
                <w:rFonts w:ascii="Cambria"/>
                <w:spacing w:val="-2"/>
                <w:sz w:val="18"/>
              </w:rPr>
              <w:t>1.53733</w:t>
            </w:r>
          </w:p>
        </w:tc>
        <w:tc>
          <w:tcPr>
            <w:tcW w:w="2302" w:type="dxa"/>
          </w:tcPr>
          <w:p>
            <w:pPr>
              <w:pStyle w:val="TableParagraph"/>
              <w:spacing w:before="127"/>
              <w:ind w:right="95"/>
              <w:jc w:val="right"/>
              <w:rPr>
                <w:sz w:val="18"/>
              </w:rPr>
            </w:pPr>
            <w:r>
              <w:rPr>
                <w:spacing w:val="-2"/>
                <w:sz w:val="18"/>
              </w:rPr>
              <w:t>0.59936</w:t>
            </w:r>
          </w:p>
        </w:tc>
        <w:tc>
          <w:tcPr>
            <w:tcW w:w="1409" w:type="dxa"/>
          </w:tcPr>
          <w:p>
            <w:pPr>
              <w:pStyle w:val="TableParagraph"/>
              <w:spacing w:before="116"/>
              <w:ind w:left="13" w:right="2"/>
              <w:jc w:val="center"/>
              <w:rPr>
                <w:rFonts w:ascii="Cambria"/>
                <w:sz w:val="18"/>
              </w:rPr>
            </w:pPr>
            <w:r>
              <w:rPr>
                <w:rFonts w:ascii="Cambria"/>
                <w:spacing w:val="-2"/>
                <w:sz w:val="18"/>
              </w:rPr>
              <w:t>Significant</w:t>
            </w:r>
          </w:p>
        </w:tc>
      </w:tr>
      <w:tr>
        <w:trPr>
          <w:trHeight w:val="657" w:hRule="atLeast"/>
        </w:trPr>
        <w:tc>
          <w:tcPr>
            <w:tcW w:w="1824" w:type="dxa"/>
          </w:tcPr>
          <w:p>
            <w:pPr>
              <w:pStyle w:val="TableParagraph"/>
              <w:spacing w:before="124"/>
              <w:ind w:left="10"/>
              <w:jc w:val="center"/>
              <w:rPr>
                <w:sz w:val="18"/>
              </w:rPr>
            </w:pPr>
            <w:r>
              <w:rPr>
                <w:spacing w:val="-5"/>
                <w:sz w:val="18"/>
              </w:rPr>
              <w:t>DR</w:t>
            </w:r>
          </w:p>
        </w:tc>
        <w:tc>
          <w:tcPr>
            <w:tcW w:w="1839" w:type="dxa"/>
          </w:tcPr>
          <w:p>
            <w:pPr>
              <w:pStyle w:val="TableParagraph"/>
              <w:spacing w:before="124"/>
              <w:ind w:right="100"/>
              <w:jc w:val="right"/>
              <w:rPr>
                <w:sz w:val="18"/>
              </w:rPr>
            </w:pPr>
            <w:r>
              <w:rPr>
                <w:spacing w:val="-2"/>
                <w:sz w:val="18"/>
              </w:rPr>
              <w:t>4.191684</w:t>
            </w:r>
          </w:p>
        </w:tc>
        <w:tc>
          <w:tcPr>
            <w:tcW w:w="1949" w:type="dxa"/>
          </w:tcPr>
          <w:p>
            <w:pPr>
              <w:pStyle w:val="TableParagraph"/>
              <w:spacing w:before="114"/>
              <w:ind w:left="6"/>
              <w:jc w:val="center"/>
              <w:rPr>
                <w:rFonts w:ascii="Cambria"/>
                <w:sz w:val="18"/>
              </w:rPr>
            </w:pPr>
            <w:r>
              <w:rPr>
                <w:rFonts w:ascii="Cambria"/>
                <w:spacing w:val="-2"/>
                <w:sz w:val="18"/>
              </w:rPr>
              <w:t>2.289075</w:t>
            </w:r>
          </w:p>
        </w:tc>
        <w:tc>
          <w:tcPr>
            <w:tcW w:w="2302" w:type="dxa"/>
          </w:tcPr>
          <w:p>
            <w:pPr>
              <w:pStyle w:val="TableParagraph"/>
              <w:spacing w:before="124"/>
              <w:ind w:right="95"/>
              <w:jc w:val="right"/>
              <w:rPr>
                <w:sz w:val="18"/>
              </w:rPr>
            </w:pPr>
            <w:r>
              <w:rPr>
                <w:spacing w:val="-2"/>
                <w:sz w:val="18"/>
              </w:rPr>
              <w:t>1.33736</w:t>
            </w:r>
          </w:p>
        </w:tc>
        <w:tc>
          <w:tcPr>
            <w:tcW w:w="1409" w:type="dxa"/>
          </w:tcPr>
          <w:p>
            <w:pPr>
              <w:pStyle w:val="TableParagraph"/>
              <w:spacing w:before="114"/>
              <w:ind w:left="13"/>
              <w:jc w:val="center"/>
              <w:rPr>
                <w:rFonts w:ascii="Cambria"/>
                <w:sz w:val="18"/>
              </w:rPr>
            </w:pPr>
            <w:r>
              <w:rPr>
                <w:rFonts w:ascii="Cambria"/>
                <w:spacing w:val="-2"/>
                <w:sz w:val="18"/>
              </w:rPr>
              <w:t>Signficant</w:t>
            </w:r>
          </w:p>
        </w:tc>
      </w:tr>
      <w:tr>
        <w:trPr>
          <w:trHeight w:val="657" w:hRule="atLeast"/>
        </w:trPr>
        <w:tc>
          <w:tcPr>
            <w:tcW w:w="1824" w:type="dxa"/>
          </w:tcPr>
          <w:p>
            <w:pPr>
              <w:pStyle w:val="TableParagraph"/>
              <w:spacing w:before="124"/>
              <w:ind w:left="10"/>
              <w:jc w:val="center"/>
              <w:rPr>
                <w:sz w:val="18"/>
              </w:rPr>
            </w:pPr>
            <w:r>
              <w:rPr>
                <w:spacing w:val="-2"/>
                <w:sz w:val="18"/>
              </w:rPr>
              <w:t>PRIVCR</w:t>
            </w:r>
          </w:p>
        </w:tc>
        <w:tc>
          <w:tcPr>
            <w:tcW w:w="1839" w:type="dxa"/>
          </w:tcPr>
          <w:p>
            <w:pPr>
              <w:pStyle w:val="TableParagraph"/>
              <w:spacing w:before="124"/>
              <w:ind w:right="97"/>
              <w:jc w:val="right"/>
              <w:rPr>
                <w:sz w:val="18"/>
              </w:rPr>
            </w:pPr>
            <w:r>
              <w:rPr>
                <w:spacing w:val="-2"/>
                <w:sz w:val="18"/>
              </w:rPr>
              <w:t>0.436799</w:t>
            </w:r>
          </w:p>
        </w:tc>
        <w:tc>
          <w:tcPr>
            <w:tcW w:w="1949" w:type="dxa"/>
          </w:tcPr>
          <w:p>
            <w:pPr>
              <w:pStyle w:val="TableParagraph"/>
              <w:spacing w:before="114"/>
              <w:ind w:left="6" w:right="3"/>
              <w:jc w:val="center"/>
              <w:rPr>
                <w:rFonts w:ascii="Cambria"/>
                <w:sz w:val="18"/>
              </w:rPr>
            </w:pPr>
            <w:r>
              <w:rPr>
                <w:rFonts w:ascii="Cambria"/>
                <w:spacing w:val="-2"/>
                <w:sz w:val="18"/>
              </w:rPr>
              <w:t>0.72318</w:t>
            </w:r>
          </w:p>
        </w:tc>
        <w:tc>
          <w:tcPr>
            <w:tcW w:w="2302" w:type="dxa"/>
          </w:tcPr>
          <w:p>
            <w:pPr>
              <w:pStyle w:val="TableParagraph"/>
              <w:spacing w:before="124"/>
              <w:ind w:right="95"/>
              <w:jc w:val="right"/>
              <w:rPr>
                <w:sz w:val="18"/>
              </w:rPr>
            </w:pPr>
            <w:r>
              <w:rPr>
                <w:spacing w:val="-2"/>
                <w:sz w:val="18"/>
              </w:rPr>
              <w:t>0.41330</w:t>
            </w:r>
          </w:p>
        </w:tc>
        <w:tc>
          <w:tcPr>
            <w:tcW w:w="1409" w:type="dxa"/>
          </w:tcPr>
          <w:p>
            <w:pPr>
              <w:pStyle w:val="TableParagraph"/>
              <w:spacing w:before="114"/>
              <w:ind w:left="13" w:right="3"/>
              <w:jc w:val="center"/>
              <w:rPr>
                <w:rFonts w:ascii="Cambria"/>
                <w:sz w:val="18"/>
              </w:rPr>
            </w:pPr>
            <w:r>
              <w:rPr>
                <w:rFonts w:ascii="Cambria"/>
                <w:spacing w:val="-2"/>
                <w:sz w:val="18"/>
              </w:rPr>
              <w:t>Significant</w:t>
            </w:r>
          </w:p>
        </w:tc>
      </w:tr>
      <w:tr>
        <w:trPr>
          <w:trHeight w:val="654" w:hRule="atLeast"/>
        </w:trPr>
        <w:tc>
          <w:tcPr>
            <w:tcW w:w="1824" w:type="dxa"/>
          </w:tcPr>
          <w:p>
            <w:pPr>
              <w:pStyle w:val="TableParagraph"/>
              <w:spacing w:before="124"/>
              <w:ind w:left="10" w:right="2"/>
              <w:jc w:val="center"/>
              <w:rPr>
                <w:sz w:val="18"/>
              </w:rPr>
            </w:pPr>
            <w:r>
              <w:rPr>
                <w:spacing w:val="-2"/>
                <w:sz w:val="18"/>
              </w:rPr>
              <w:t>USIRD</w:t>
            </w:r>
          </w:p>
        </w:tc>
        <w:tc>
          <w:tcPr>
            <w:tcW w:w="1839" w:type="dxa"/>
          </w:tcPr>
          <w:p>
            <w:pPr>
              <w:pStyle w:val="TableParagraph"/>
              <w:spacing w:before="124"/>
              <w:ind w:right="97"/>
              <w:jc w:val="right"/>
              <w:rPr>
                <w:sz w:val="18"/>
              </w:rPr>
            </w:pPr>
            <w:r>
              <w:rPr>
                <w:spacing w:val="-2"/>
                <w:sz w:val="18"/>
              </w:rPr>
              <w:t>2.335059</w:t>
            </w:r>
          </w:p>
        </w:tc>
        <w:tc>
          <w:tcPr>
            <w:tcW w:w="1949" w:type="dxa"/>
          </w:tcPr>
          <w:p>
            <w:pPr>
              <w:pStyle w:val="TableParagraph"/>
              <w:spacing w:before="114"/>
              <w:ind w:left="6"/>
              <w:jc w:val="center"/>
              <w:rPr>
                <w:rFonts w:ascii="Cambria"/>
                <w:sz w:val="18"/>
              </w:rPr>
            </w:pPr>
            <w:r>
              <w:rPr>
                <w:rFonts w:ascii="Cambria"/>
                <w:spacing w:val="-2"/>
                <w:sz w:val="18"/>
              </w:rPr>
              <w:t>1.926815</w:t>
            </w:r>
          </w:p>
        </w:tc>
        <w:tc>
          <w:tcPr>
            <w:tcW w:w="2302" w:type="dxa"/>
          </w:tcPr>
          <w:p>
            <w:pPr>
              <w:pStyle w:val="TableParagraph"/>
              <w:spacing w:before="124"/>
              <w:ind w:right="95"/>
              <w:jc w:val="right"/>
              <w:rPr>
                <w:sz w:val="18"/>
              </w:rPr>
            </w:pPr>
            <w:r>
              <w:rPr>
                <w:spacing w:val="-2"/>
                <w:sz w:val="18"/>
              </w:rPr>
              <w:t>0.75457</w:t>
            </w:r>
          </w:p>
        </w:tc>
        <w:tc>
          <w:tcPr>
            <w:tcW w:w="1409" w:type="dxa"/>
          </w:tcPr>
          <w:p>
            <w:pPr>
              <w:pStyle w:val="TableParagraph"/>
              <w:spacing w:before="114"/>
              <w:ind w:left="13" w:right="2"/>
              <w:jc w:val="center"/>
              <w:rPr>
                <w:rFonts w:ascii="Cambria"/>
                <w:sz w:val="18"/>
              </w:rPr>
            </w:pPr>
            <w:r>
              <w:rPr>
                <w:rFonts w:ascii="Cambria"/>
                <w:spacing w:val="-2"/>
                <w:sz w:val="18"/>
              </w:rPr>
              <w:t>Significant</w:t>
            </w:r>
          </w:p>
        </w:tc>
      </w:tr>
      <w:tr>
        <w:trPr>
          <w:trHeight w:val="657" w:hRule="atLeast"/>
        </w:trPr>
        <w:tc>
          <w:tcPr>
            <w:tcW w:w="1824" w:type="dxa"/>
          </w:tcPr>
          <w:p>
            <w:pPr>
              <w:pStyle w:val="TableParagraph"/>
              <w:spacing w:before="125"/>
              <w:ind w:left="10" w:right="2"/>
              <w:jc w:val="center"/>
              <w:rPr>
                <w:sz w:val="18"/>
              </w:rPr>
            </w:pPr>
            <w:r>
              <w:rPr>
                <w:spacing w:val="-4"/>
                <w:sz w:val="18"/>
              </w:rPr>
              <w:t>GOCE</w:t>
            </w:r>
          </w:p>
        </w:tc>
        <w:tc>
          <w:tcPr>
            <w:tcW w:w="1839" w:type="dxa"/>
          </w:tcPr>
          <w:p>
            <w:pPr>
              <w:pStyle w:val="TableParagraph"/>
              <w:spacing w:before="125"/>
              <w:ind w:right="97"/>
              <w:jc w:val="right"/>
              <w:rPr>
                <w:sz w:val="18"/>
              </w:rPr>
            </w:pPr>
            <w:r>
              <w:rPr>
                <w:spacing w:val="-2"/>
                <w:sz w:val="18"/>
              </w:rPr>
              <w:t>4.359956</w:t>
            </w:r>
          </w:p>
        </w:tc>
        <w:tc>
          <w:tcPr>
            <w:tcW w:w="1949" w:type="dxa"/>
          </w:tcPr>
          <w:p>
            <w:pPr>
              <w:pStyle w:val="TableParagraph"/>
              <w:spacing w:before="114"/>
              <w:ind w:left="6" w:right="3"/>
              <w:jc w:val="center"/>
              <w:rPr>
                <w:rFonts w:ascii="Cambria"/>
                <w:sz w:val="18"/>
              </w:rPr>
            </w:pPr>
            <w:r>
              <w:rPr>
                <w:rFonts w:ascii="Cambria"/>
                <w:spacing w:val="-2"/>
                <w:sz w:val="18"/>
              </w:rPr>
              <w:t>0.72318</w:t>
            </w:r>
          </w:p>
        </w:tc>
        <w:tc>
          <w:tcPr>
            <w:tcW w:w="2302" w:type="dxa"/>
          </w:tcPr>
          <w:p>
            <w:pPr>
              <w:pStyle w:val="TableParagraph"/>
              <w:spacing w:before="125"/>
              <w:ind w:right="95"/>
              <w:jc w:val="right"/>
              <w:rPr>
                <w:sz w:val="18"/>
              </w:rPr>
            </w:pPr>
            <w:r>
              <w:rPr>
                <w:spacing w:val="-2"/>
                <w:sz w:val="18"/>
              </w:rPr>
              <w:t>1.19669</w:t>
            </w:r>
          </w:p>
        </w:tc>
        <w:tc>
          <w:tcPr>
            <w:tcW w:w="1409" w:type="dxa"/>
          </w:tcPr>
          <w:p>
            <w:pPr>
              <w:pStyle w:val="TableParagraph"/>
              <w:spacing w:before="114"/>
              <w:ind w:left="13"/>
              <w:jc w:val="center"/>
              <w:rPr>
                <w:rFonts w:ascii="Cambria"/>
                <w:sz w:val="18"/>
              </w:rPr>
            </w:pPr>
            <w:r>
              <w:rPr>
                <w:rFonts w:ascii="Cambria"/>
                <w:spacing w:val="-2"/>
                <w:sz w:val="18"/>
              </w:rPr>
              <w:t>Insignificant</w:t>
            </w:r>
          </w:p>
        </w:tc>
      </w:tr>
    </w:tbl>
    <w:p>
      <w:pPr>
        <w:spacing w:line="480" w:lineRule="auto" w:before="1"/>
        <w:ind w:left="711" w:right="5603" w:firstLine="0"/>
        <w:jc w:val="both"/>
        <w:rPr>
          <w:sz w:val="24"/>
        </w:rPr>
      </w:pPr>
      <w:r>
        <w:rPr>
          <w:sz w:val="24"/>
        </w:rPr>
        <w:t>Source:</w:t>
      </w:r>
      <w:r>
        <w:rPr>
          <w:spacing w:val="-7"/>
          <w:sz w:val="24"/>
        </w:rPr>
        <w:t> </w:t>
      </w:r>
      <w:r>
        <w:rPr>
          <w:sz w:val="24"/>
        </w:rPr>
        <w:t>Computation,</w:t>
      </w:r>
      <w:r>
        <w:rPr>
          <w:spacing w:val="-7"/>
          <w:sz w:val="24"/>
        </w:rPr>
        <w:t> </w:t>
      </w:r>
      <w:r>
        <w:rPr>
          <w:sz w:val="24"/>
        </w:rPr>
        <w:t>using</w:t>
      </w:r>
      <w:r>
        <w:rPr>
          <w:spacing w:val="-10"/>
          <w:sz w:val="24"/>
        </w:rPr>
        <w:t> </w:t>
      </w:r>
      <w:r>
        <w:rPr>
          <w:sz w:val="24"/>
        </w:rPr>
        <w:t>E-view</w:t>
      </w:r>
      <w:r>
        <w:rPr>
          <w:spacing w:val="-7"/>
          <w:sz w:val="24"/>
        </w:rPr>
        <w:t> </w:t>
      </w:r>
      <w:r>
        <w:rPr>
          <w:sz w:val="24"/>
        </w:rPr>
        <w:t>statistical</w:t>
      </w:r>
      <w:r>
        <w:rPr>
          <w:spacing w:val="-7"/>
          <w:sz w:val="24"/>
        </w:rPr>
        <w:t> </w:t>
      </w:r>
      <w:r>
        <w:rPr>
          <w:sz w:val="24"/>
        </w:rPr>
        <w:t>package</w:t>
      </w:r>
      <w:r>
        <w:rPr>
          <w:b/>
          <w:sz w:val="24"/>
        </w:rPr>
        <w:t>. Validation and testing of hypotheses</w:t>
      </w:r>
      <w:r>
        <w:rPr>
          <w:sz w:val="24"/>
        </w:rPr>
        <w:t>:</w:t>
      </w:r>
    </w:p>
    <w:p>
      <w:pPr>
        <w:pStyle w:val="BodyText"/>
        <w:spacing w:line="496" w:lineRule="auto" w:before="1"/>
        <w:ind w:left="711" w:right="470"/>
        <w:jc w:val="both"/>
      </w:pPr>
      <w:r>
        <w:rPr/>
        <w:t>Table 4.15.3 above indicates that seven of the eight explanatory variables are significant in determining the level of capital flight in Nigeria under Morgan Guaranty Trust (1986) approach to estimating capital flight. These</w:t>
      </w:r>
      <w:r>
        <w:rPr>
          <w:spacing w:val="48"/>
        </w:rPr>
        <w:t> </w:t>
      </w:r>
      <w:r>
        <w:rPr/>
        <w:t>variables</w:t>
      </w:r>
      <w:r>
        <w:rPr>
          <w:spacing w:val="49"/>
        </w:rPr>
        <w:t> </w:t>
      </w:r>
      <w:r>
        <w:rPr/>
        <w:t>are:</w:t>
      </w:r>
      <w:r>
        <w:rPr>
          <w:spacing w:val="52"/>
        </w:rPr>
        <w:t> </w:t>
      </w:r>
      <w:r>
        <w:rPr>
          <w:vertAlign w:val="subscript"/>
        </w:rPr>
        <w:t>δEXTDEBT</w:t>
      </w:r>
      <w:r>
        <w:rPr>
          <w:vertAlign w:val="baseline"/>
        </w:rPr>
        <w:t>,</w:t>
      </w:r>
      <w:r>
        <w:rPr>
          <w:spacing w:val="50"/>
          <w:vertAlign w:val="baseline"/>
        </w:rPr>
        <w:t> </w:t>
      </w:r>
      <w:r>
        <w:rPr>
          <w:vertAlign w:val="subscript"/>
        </w:rPr>
        <w:t>INF,</w:t>
      </w:r>
      <w:r>
        <w:rPr>
          <w:spacing w:val="32"/>
          <w:vertAlign w:val="baseline"/>
        </w:rPr>
        <w:t> </w:t>
      </w:r>
      <w:r>
        <w:rPr>
          <w:vertAlign w:val="subscript"/>
        </w:rPr>
        <w:t>DOP,</w:t>
      </w:r>
      <w:r>
        <w:rPr>
          <w:spacing w:val="29"/>
          <w:vertAlign w:val="baseline"/>
        </w:rPr>
        <w:t> </w:t>
      </w:r>
      <w:r>
        <w:rPr>
          <w:vertAlign w:val="subscript"/>
        </w:rPr>
        <w:t>DR,</w:t>
      </w:r>
      <w:r>
        <w:rPr>
          <w:spacing w:val="32"/>
          <w:vertAlign w:val="baseline"/>
        </w:rPr>
        <w:t> </w:t>
      </w:r>
      <w:r>
        <w:rPr>
          <w:vertAlign w:val="subscript"/>
        </w:rPr>
        <w:t>GCF,</w:t>
      </w:r>
      <w:r>
        <w:rPr>
          <w:spacing w:val="29"/>
          <w:vertAlign w:val="baseline"/>
        </w:rPr>
        <w:t> </w:t>
      </w:r>
      <w:r>
        <w:rPr>
          <w:vertAlign w:val="subscript"/>
        </w:rPr>
        <w:t>USIRD</w:t>
      </w:r>
      <w:r>
        <w:rPr>
          <w:spacing w:val="30"/>
          <w:vertAlign w:val="baseline"/>
        </w:rPr>
        <w:t> </w:t>
      </w:r>
      <w:r>
        <w:rPr>
          <w:vertAlign w:val="subscript"/>
        </w:rPr>
        <w:t>and</w:t>
      </w:r>
      <w:r>
        <w:rPr>
          <w:spacing w:val="29"/>
          <w:vertAlign w:val="baseline"/>
        </w:rPr>
        <w:t>  </w:t>
      </w:r>
      <w:r>
        <w:rPr>
          <w:vertAlign w:val="subscript"/>
        </w:rPr>
        <w:t>PRIVCR.</w:t>
      </w:r>
      <w:r>
        <w:rPr>
          <w:spacing w:val="39"/>
          <w:vertAlign w:val="baseline"/>
        </w:rPr>
        <w:t>  </w:t>
      </w:r>
      <w:r>
        <w:rPr>
          <w:vertAlign w:val="baseline"/>
        </w:rPr>
        <w:t>This</w:t>
      </w:r>
      <w:r>
        <w:rPr>
          <w:spacing w:val="49"/>
          <w:vertAlign w:val="baseline"/>
        </w:rPr>
        <w:t> </w:t>
      </w:r>
      <w:r>
        <w:rPr>
          <w:vertAlign w:val="baseline"/>
        </w:rPr>
        <w:t>implies</w:t>
      </w:r>
      <w:r>
        <w:rPr>
          <w:spacing w:val="48"/>
          <w:vertAlign w:val="baseline"/>
        </w:rPr>
        <w:t> </w:t>
      </w:r>
      <w:r>
        <w:rPr>
          <w:vertAlign w:val="baseline"/>
        </w:rPr>
        <w:t>these</w:t>
      </w:r>
      <w:r>
        <w:rPr>
          <w:spacing w:val="48"/>
          <w:vertAlign w:val="baseline"/>
        </w:rPr>
        <w:t> </w:t>
      </w:r>
      <w:r>
        <w:rPr>
          <w:vertAlign w:val="baseline"/>
        </w:rPr>
        <w:t>seven</w:t>
      </w:r>
      <w:r>
        <w:rPr>
          <w:spacing w:val="49"/>
          <w:vertAlign w:val="baseline"/>
        </w:rPr>
        <w:t> </w:t>
      </w:r>
      <w:r>
        <w:rPr>
          <w:vertAlign w:val="baseline"/>
        </w:rPr>
        <w:t>variables</w:t>
      </w:r>
      <w:r>
        <w:rPr>
          <w:spacing w:val="49"/>
          <w:vertAlign w:val="baseline"/>
        </w:rPr>
        <w:t> </w:t>
      </w:r>
      <w:r>
        <w:rPr>
          <w:spacing w:val="-5"/>
          <w:vertAlign w:val="baseline"/>
        </w:rPr>
        <w:t>are</w:t>
      </w:r>
    </w:p>
    <w:p>
      <w:pPr>
        <w:pStyle w:val="BodyText"/>
        <w:spacing w:line="480" w:lineRule="auto" w:before="33"/>
        <w:ind w:left="711" w:right="471"/>
        <w:jc w:val="both"/>
      </w:pPr>
      <w:r>
        <w:rPr/>
        <w:t>statistically significant in the explanation the behaviour of capital flight in Nigeria for the period under study. This result confirmed the World Bank and Erbe (1986) approach where six of the seven variables were found to be responsible for the behaviour of capital flight.</w:t>
      </w:r>
    </w:p>
    <w:p>
      <w:pPr>
        <w:pStyle w:val="BodyText"/>
        <w:spacing w:line="480" w:lineRule="auto" w:before="1"/>
        <w:ind w:left="711" w:right="473"/>
        <w:jc w:val="both"/>
      </w:pPr>
      <w:r>
        <w:rPr/>
        <w:t>Based on the above, the under listed hypotheses were tested under model 1 (Morgan Guaranty Trust (1986) </w:t>
      </w:r>
      <w:r>
        <w:rPr>
          <w:spacing w:val="-2"/>
        </w:rPr>
        <w:t>approach).</w:t>
      </w:r>
    </w:p>
    <w:p>
      <w:pPr>
        <w:pStyle w:val="BodyText"/>
        <w:spacing w:line="278" w:lineRule="exact"/>
        <w:ind w:left="711"/>
        <w:jc w:val="both"/>
      </w:pPr>
      <w:r>
        <w:rPr>
          <w:position w:val="2"/>
        </w:rPr>
        <w:t>H</w:t>
      </w:r>
      <w:r>
        <w:rPr>
          <w:sz w:val="16"/>
        </w:rPr>
        <w:t>01</w:t>
      </w:r>
      <w:r>
        <w:rPr>
          <w:position w:val="2"/>
        </w:rPr>
        <w:t>:</w:t>
      </w:r>
      <w:r>
        <w:rPr>
          <w:spacing w:val="26"/>
          <w:position w:val="2"/>
        </w:rPr>
        <w:t>  </w:t>
      </w:r>
      <w:r>
        <w:rPr>
          <w:position w:val="2"/>
        </w:rPr>
        <w:t>Macroeconomic,</w:t>
      </w:r>
      <w:r>
        <w:rPr>
          <w:spacing w:val="-1"/>
          <w:position w:val="2"/>
        </w:rPr>
        <w:t> </w:t>
      </w:r>
      <w:r>
        <w:rPr>
          <w:position w:val="2"/>
        </w:rPr>
        <w:t>Political</w:t>
      </w:r>
      <w:r>
        <w:rPr>
          <w:spacing w:val="-2"/>
          <w:position w:val="2"/>
        </w:rPr>
        <w:t> </w:t>
      </w:r>
      <w:r>
        <w:rPr>
          <w:position w:val="2"/>
        </w:rPr>
        <w:t>and Institutional</w:t>
      </w:r>
      <w:r>
        <w:rPr>
          <w:spacing w:val="-1"/>
          <w:position w:val="2"/>
        </w:rPr>
        <w:t> </w:t>
      </w:r>
      <w:r>
        <w:rPr>
          <w:position w:val="2"/>
        </w:rPr>
        <w:t>factors</w:t>
      </w:r>
      <w:r>
        <w:rPr>
          <w:spacing w:val="-1"/>
          <w:position w:val="2"/>
        </w:rPr>
        <w:t> </w:t>
      </w:r>
      <w:r>
        <w:rPr>
          <w:position w:val="2"/>
        </w:rPr>
        <w:t>do</w:t>
      </w:r>
      <w:r>
        <w:rPr>
          <w:spacing w:val="-1"/>
          <w:position w:val="2"/>
        </w:rPr>
        <w:t> </w:t>
      </w:r>
      <w:r>
        <w:rPr>
          <w:position w:val="2"/>
        </w:rPr>
        <w:t>not</w:t>
      </w:r>
      <w:r>
        <w:rPr>
          <w:spacing w:val="2"/>
          <w:position w:val="2"/>
        </w:rPr>
        <w:t> </w:t>
      </w:r>
      <w:r>
        <w:rPr>
          <w:position w:val="2"/>
        </w:rPr>
        <w:t>cause</w:t>
      </w:r>
      <w:r>
        <w:rPr>
          <w:spacing w:val="-2"/>
          <w:position w:val="2"/>
        </w:rPr>
        <w:t> </w:t>
      </w:r>
      <w:r>
        <w:rPr>
          <w:position w:val="2"/>
        </w:rPr>
        <w:t>capital</w:t>
      </w:r>
      <w:r>
        <w:rPr>
          <w:spacing w:val="-1"/>
          <w:position w:val="2"/>
        </w:rPr>
        <w:t> </w:t>
      </w:r>
      <w:r>
        <w:rPr>
          <w:position w:val="2"/>
        </w:rPr>
        <w:t>flight</w:t>
      </w:r>
      <w:r>
        <w:rPr>
          <w:spacing w:val="-1"/>
          <w:position w:val="2"/>
        </w:rPr>
        <w:t> </w:t>
      </w:r>
      <w:r>
        <w:rPr>
          <w:position w:val="2"/>
        </w:rPr>
        <w:t>in</w:t>
      </w:r>
      <w:r>
        <w:rPr>
          <w:spacing w:val="-1"/>
          <w:position w:val="2"/>
        </w:rPr>
        <w:t> </w:t>
      </w:r>
      <w:r>
        <w:rPr>
          <w:spacing w:val="-2"/>
          <w:position w:val="2"/>
        </w:rPr>
        <w:t>Nigeria.</w:t>
      </w:r>
    </w:p>
    <w:p>
      <w:pPr>
        <w:spacing w:after="0" w:line="278" w:lineRule="exact"/>
        <w:jc w:val="both"/>
        <w:sectPr>
          <w:pgSz w:w="11910" w:h="16840"/>
          <w:pgMar w:header="0" w:footer="979" w:top="1340" w:bottom="1240" w:left="280" w:right="0"/>
        </w:sectPr>
      </w:pPr>
    </w:p>
    <w:p>
      <w:pPr>
        <w:pStyle w:val="BodyText"/>
        <w:spacing w:line="477" w:lineRule="auto" w:before="60"/>
        <w:ind w:left="711" w:right="477"/>
        <w:jc w:val="both"/>
      </w:pPr>
      <w:r>
        <w:rPr>
          <w:position w:val="2"/>
        </w:rPr>
        <w:t>H</w:t>
      </w:r>
      <w:r>
        <w:rPr>
          <w:sz w:val="16"/>
        </w:rPr>
        <w:t>03</w:t>
      </w:r>
      <w:r>
        <w:rPr>
          <w:position w:val="2"/>
        </w:rPr>
        <w:t>:</w:t>
      </w:r>
      <w:r>
        <w:rPr>
          <w:spacing w:val="40"/>
          <w:position w:val="2"/>
        </w:rPr>
        <w:t>  </w:t>
      </w:r>
      <w:r>
        <w:rPr>
          <w:position w:val="2"/>
        </w:rPr>
        <w:t>Macroeconomic, Political and Institutional factors do not influence the choice of private wealth </w:t>
      </w:r>
      <w:r>
        <w:rPr/>
        <w:t>holders in Nigeria.</w:t>
      </w:r>
    </w:p>
    <w:p>
      <w:pPr>
        <w:pStyle w:val="BodyText"/>
        <w:tabs>
          <w:tab w:pos="1287" w:val="left" w:leader="none"/>
        </w:tabs>
        <w:spacing w:before="3"/>
        <w:ind w:left="711"/>
      </w:pPr>
      <w:r>
        <w:rPr>
          <w:spacing w:val="-5"/>
          <w:position w:val="2"/>
        </w:rPr>
        <w:t>H</w:t>
      </w:r>
      <w:r>
        <w:rPr>
          <w:spacing w:val="-5"/>
          <w:sz w:val="16"/>
        </w:rPr>
        <w:t>04</w:t>
      </w:r>
      <w:r>
        <w:rPr>
          <w:sz w:val="16"/>
        </w:rPr>
        <w:tab/>
      </w:r>
      <w:r>
        <w:rPr>
          <w:position w:val="2"/>
        </w:rPr>
        <w:t>Capital</w:t>
      </w:r>
      <w:r>
        <w:rPr>
          <w:spacing w:val="-4"/>
          <w:position w:val="2"/>
        </w:rPr>
        <w:t> </w:t>
      </w:r>
      <w:r>
        <w:rPr>
          <w:position w:val="2"/>
        </w:rPr>
        <w:t>flight</w:t>
      </w:r>
      <w:r>
        <w:rPr>
          <w:spacing w:val="-1"/>
          <w:position w:val="2"/>
        </w:rPr>
        <w:t> </w:t>
      </w:r>
      <w:r>
        <w:rPr>
          <w:position w:val="2"/>
        </w:rPr>
        <w:t>cannot</w:t>
      </w:r>
      <w:r>
        <w:rPr>
          <w:spacing w:val="-1"/>
          <w:position w:val="2"/>
        </w:rPr>
        <w:t> </w:t>
      </w:r>
      <w:r>
        <w:rPr>
          <w:position w:val="2"/>
        </w:rPr>
        <w:t>be</w:t>
      </w:r>
      <w:r>
        <w:rPr>
          <w:spacing w:val="-2"/>
          <w:position w:val="2"/>
        </w:rPr>
        <w:t> </w:t>
      </w:r>
      <w:r>
        <w:rPr>
          <w:position w:val="2"/>
        </w:rPr>
        <w:t>stemmed</w:t>
      </w:r>
      <w:r>
        <w:rPr>
          <w:spacing w:val="-1"/>
          <w:position w:val="2"/>
        </w:rPr>
        <w:t> </w:t>
      </w:r>
      <w:r>
        <w:rPr>
          <w:position w:val="2"/>
        </w:rPr>
        <w:t>nor</w:t>
      </w:r>
      <w:r>
        <w:rPr>
          <w:spacing w:val="-2"/>
          <w:position w:val="2"/>
        </w:rPr>
        <w:t> </w:t>
      </w:r>
      <w:r>
        <w:rPr>
          <w:position w:val="2"/>
        </w:rPr>
        <w:t>reversed</w:t>
      </w:r>
      <w:r>
        <w:rPr>
          <w:spacing w:val="-1"/>
          <w:position w:val="2"/>
        </w:rPr>
        <w:t> </w:t>
      </w:r>
      <w:r>
        <w:rPr>
          <w:position w:val="2"/>
        </w:rPr>
        <w:t>in</w:t>
      </w:r>
      <w:r>
        <w:rPr>
          <w:spacing w:val="-1"/>
          <w:position w:val="2"/>
        </w:rPr>
        <w:t> </w:t>
      </w:r>
      <w:r>
        <w:rPr>
          <w:spacing w:val="-2"/>
          <w:position w:val="2"/>
        </w:rPr>
        <w:t>Nigeria.</w:t>
      </w:r>
    </w:p>
    <w:p>
      <w:pPr>
        <w:pStyle w:val="BodyText"/>
        <w:spacing w:before="239"/>
      </w:pPr>
    </w:p>
    <w:p>
      <w:pPr>
        <w:pStyle w:val="BodyText"/>
        <w:spacing w:line="504" w:lineRule="auto"/>
        <w:ind w:left="711" w:right="471"/>
        <w:jc w:val="both"/>
      </w:pPr>
      <w:r>
        <w:rPr>
          <w:rFonts w:ascii="Cambria" w:hAnsi="Cambria"/>
          <w:b/>
        </w:rPr>
        <w:t>Hypothesis 1: </w:t>
      </w:r>
      <w:r>
        <w:rPr>
          <w:rFonts w:ascii="Cambria" w:hAnsi="Cambria"/>
        </w:rPr>
        <w:t>the alternative hypothsis is accepted because the significant variables can be grouped into political, economic and institutional factors as follows:</w:t>
      </w:r>
      <w:r>
        <w:rPr>
          <w:rFonts w:ascii="Cambria" w:hAnsi="Cambria"/>
          <w:spacing w:val="40"/>
        </w:rPr>
        <w:t> </w:t>
      </w:r>
      <w:r>
        <w:rPr>
          <w:rFonts w:ascii="Cambria" w:hAnsi="Cambria"/>
        </w:rPr>
        <w:t>Political: debt volatility (</w:t>
      </w:r>
      <w:r>
        <w:rPr>
          <w:vertAlign w:val="subscript"/>
        </w:rPr>
        <w:t>δEXTDEBT</w:t>
      </w:r>
      <w:r>
        <w:rPr>
          <w:vertAlign w:val="baseline"/>
        </w:rPr>
        <w:t>) and government current expenditure (GOCE), economic: inflation rate (INF, gross capital formation (GCF), degree</w:t>
      </w:r>
      <w:r>
        <w:rPr>
          <w:spacing w:val="2"/>
          <w:vertAlign w:val="baseline"/>
        </w:rPr>
        <w:t> </w:t>
      </w:r>
      <w:r>
        <w:rPr>
          <w:vertAlign w:val="baseline"/>
        </w:rPr>
        <w:t>of</w:t>
      </w:r>
      <w:r>
        <w:rPr>
          <w:spacing w:val="2"/>
          <w:vertAlign w:val="baseline"/>
        </w:rPr>
        <w:t> </w:t>
      </w:r>
      <w:r>
        <w:rPr>
          <w:vertAlign w:val="baseline"/>
        </w:rPr>
        <w:t>openness</w:t>
      </w:r>
      <w:r>
        <w:rPr>
          <w:spacing w:val="1"/>
          <w:vertAlign w:val="baseline"/>
        </w:rPr>
        <w:t> </w:t>
      </w:r>
      <w:r>
        <w:rPr>
          <w:vertAlign w:val="baseline"/>
        </w:rPr>
        <w:t>(DOP)</w:t>
      </w:r>
      <w:r>
        <w:rPr>
          <w:spacing w:val="3"/>
          <w:vertAlign w:val="baseline"/>
        </w:rPr>
        <w:t> </w:t>
      </w:r>
      <w:r>
        <w:rPr>
          <w:vertAlign w:val="baseline"/>
        </w:rPr>
        <w:t>and</w:t>
      </w:r>
      <w:r>
        <w:rPr>
          <w:spacing w:val="1"/>
          <w:vertAlign w:val="baseline"/>
        </w:rPr>
        <w:t> </w:t>
      </w:r>
      <w:r>
        <w:rPr>
          <w:vertAlign w:val="baseline"/>
        </w:rPr>
        <w:t>interest</w:t>
      </w:r>
      <w:r>
        <w:rPr>
          <w:spacing w:val="1"/>
          <w:vertAlign w:val="baseline"/>
        </w:rPr>
        <w:t> </w:t>
      </w:r>
      <w:r>
        <w:rPr>
          <w:vertAlign w:val="baseline"/>
        </w:rPr>
        <w:t>rate</w:t>
      </w:r>
      <w:r>
        <w:rPr>
          <w:spacing w:val="1"/>
          <w:vertAlign w:val="baseline"/>
        </w:rPr>
        <w:t> </w:t>
      </w:r>
      <w:r>
        <w:rPr>
          <w:vertAlign w:val="baseline"/>
        </w:rPr>
        <w:t>differential</w:t>
      </w:r>
      <w:r>
        <w:rPr>
          <w:spacing w:val="1"/>
          <w:vertAlign w:val="baseline"/>
        </w:rPr>
        <w:t> </w:t>
      </w:r>
      <w:r>
        <w:rPr>
          <w:vertAlign w:val="baseline"/>
        </w:rPr>
        <w:t>(USIRD),</w:t>
      </w:r>
      <w:r>
        <w:rPr>
          <w:spacing w:val="3"/>
          <w:vertAlign w:val="baseline"/>
        </w:rPr>
        <w:t> </w:t>
      </w:r>
      <w:r>
        <w:rPr>
          <w:vertAlign w:val="baseline"/>
        </w:rPr>
        <w:t>institutional:</w:t>
      </w:r>
      <w:r>
        <w:rPr>
          <w:spacing w:val="1"/>
          <w:vertAlign w:val="baseline"/>
        </w:rPr>
        <w:t> </w:t>
      </w:r>
      <w:r>
        <w:rPr>
          <w:vertAlign w:val="baseline"/>
        </w:rPr>
        <w:t>deposit</w:t>
      </w:r>
      <w:r>
        <w:rPr>
          <w:spacing w:val="1"/>
          <w:vertAlign w:val="baseline"/>
        </w:rPr>
        <w:t> </w:t>
      </w:r>
      <w:r>
        <w:rPr>
          <w:vertAlign w:val="baseline"/>
        </w:rPr>
        <w:t>rate (DR)</w:t>
      </w:r>
      <w:r>
        <w:rPr>
          <w:spacing w:val="11"/>
          <w:vertAlign w:val="baseline"/>
        </w:rPr>
        <w:t> </w:t>
      </w:r>
      <w:r>
        <w:rPr>
          <w:vertAlign w:val="baseline"/>
        </w:rPr>
        <w:t>and</w:t>
      </w:r>
      <w:r>
        <w:rPr>
          <w:spacing w:val="2"/>
          <w:vertAlign w:val="baseline"/>
        </w:rPr>
        <w:t> </w:t>
      </w:r>
      <w:r>
        <w:rPr>
          <w:spacing w:val="-2"/>
          <w:vertAlign w:val="baseline"/>
        </w:rPr>
        <w:t>private</w:t>
      </w:r>
    </w:p>
    <w:p>
      <w:pPr>
        <w:pStyle w:val="BodyText"/>
        <w:spacing w:before="8"/>
        <w:ind w:left="711"/>
      </w:pPr>
      <w:r>
        <w:rPr/>
        <w:t>sector</w:t>
      </w:r>
      <w:r>
        <w:rPr>
          <w:spacing w:val="-2"/>
        </w:rPr>
        <w:t> </w:t>
      </w:r>
      <w:r>
        <w:rPr/>
        <w:t>credit</w:t>
      </w:r>
      <w:r>
        <w:rPr>
          <w:spacing w:val="-1"/>
        </w:rPr>
        <w:t> </w:t>
      </w:r>
      <w:r>
        <w:rPr/>
        <w:t>(</w:t>
      </w:r>
      <w:r>
        <w:rPr>
          <w:spacing w:val="-1"/>
        </w:rPr>
        <w:t> </w:t>
      </w:r>
      <w:r>
        <w:rPr>
          <w:spacing w:val="-2"/>
          <w:vertAlign w:val="subscript"/>
        </w:rPr>
        <w:t>PRIVCR)</w:t>
      </w:r>
      <w:r>
        <w:rPr>
          <w:spacing w:val="-2"/>
          <w:vertAlign w:val="baseline"/>
        </w:rPr>
        <w:t>.</w:t>
      </w:r>
    </w:p>
    <w:p>
      <w:pPr>
        <w:pStyle w:val="BodyText"/>
        <w:spacing w:before="88"/>
      </w:pPr>
    </w:p>
    <w:p>
      <w:pPr>
        <w:pStyle w:val="BodyText"/>
        <w:spacing w:line="499" w:lineRule="auto"/>
        <w:ind w:left="711" w:right="473"/>
        <w:jc w:val="both"/>
      </w:pPr>
      <w:r>
        <w:rPr>
          <w:rFonts w:ascii="Cambria" w:hAnsi="Cambria"/>
          <w:b/>
        </w:rPr>
        <w:t>Hypothesis</w:t>
      </w:r>
      <w:r>
        <w:rPr>
          <w:rFonts w:ascii="Cambria" w:hAnsi="Cambria"/>
          <w:b/>
          <w:spacing w:val="40"/>
        </w:rPr>
        <w:t> </w:t>
      </w:r>
      <w:r>
        <w:rPr>
          <w:rFonts w:ascii="Cambria" w:hAnsi="Cambria"/>
          <w:b/>
        </w:rPr>
        <w:t>3:</w:t>
      </w:r>
      <w:r>
        <w:rPr>
          <w:rFonts w:ascii="Cambria" w:hAnsi="Cambria"/>
          <w:b/>
          <w:spacing w:val="40"/>
        </w:rPr>
        <w:t> </w:t>
      </w:r>
      <w:r>
        <w:rPr>
          <w:rFonts w:ascii="Cambria" w:hAnsi="Cambria"/>
          <w:b/>
        </w:rPr>
        <w:t>since</w:t>
      </w:r>
      <w:r>
        <w:rPr>
          <w:rFonts w:ascii="Cambria" w:hAnsi="Cambria"/>
          <w:b/>
          <w:spacing w:val="40"/>
        </w:rPr>
        <w:t> </w:t>
      </w:r>
      <w:r>
        <w:rPr>
          <w:vertAlign w:val="subscript"/>
        </w:rPr>
        <w:t>δEXTDEBT</w:t>
      </w:r>
      <w:r>
        <w:rPr>
          <w:vertAlign w:val="baseline"/>
        </w:rPr>
        <w:t>,</w:t>
      </w:r>
      <w:r>
        <w:rPr>
          <w:spacing w:val="40"/>
          <w:vertAlign w:val="baseline"/>
        </w:rPr>
        <w:t> </w:t>
      </w:r>
      <w:r>
        <w:rPr>
          <w:vertAlign w:val="subscript"/>
        </w:rPr>
        <w:t>INF,</w:t>
      </w:r>
      <w:r>
        <w:rPr>
          <w:spacing w:val="40"/>
          <w:vertAlign w:val="baseline"/>
        </w:rPr>
        <w:t> </w:t>
      </w:r>
      <w:r>
        <w:rPr>
          <w:vertAlign w:val="subscript"/>
        </w:rPr>
        <w:t>DOP,</w:t>
      </w:r>
      <w:r>
        <w:rPr>
          <w:spacing w:val="40"/>
          <w:vertAlign w:val="baseline"/>
        </w:rPr>
        <w:t> </w:t>
      </w:r>
      <w:r>
        <w:rPr>
          <w:vertAlign w:val="subscript"/>
        </w:rPr>
        <w:t>DR,</w:t>
      </w:r>
      <w:r>
        <w:rPr>
          <w:vertAlign w:val="baseline"/>
        </w:rPr>
        <w:t> </w:t>
      </w:r>
      <w:r>
        <w:rPr>
          <w:vertAlign w:val="subscript"/>
        </w:rPr>
        <w:t>GCF,</w:t>
      </w:r>
      <w:r>
        <w:rPr>
          <w:spacing w:val="40"/>
          <w:vertAlign w:val="baseline"/>
        </w:rPr>
        <w:t> </w:t>
      </w:r>
      <w:r>
        <w:rPr>
          <w:vertAlign w:val="subscript"/>
        </w:rPr>
        <w:t>USIRD</w:t>
      </w:r>
      <w:r>
        <w:rPr>
          <w:spacing w:val="40"/>
          <w:vertAlign w:val="baseline"/>
        </w:rPr>
        <w:t> </w:t>
      </w:r>
      <w:r>
        <w:rPr>
          <w:vertAlign w:val="subscript"/>
        </w:rPr>
        <w:t>and</w:t>
      </w:r>
      <w:r>
        <w:rPr>
          <w:spacing w:val="80"/>
          <w:vertAlign w:val="baseline"/>
        </w:rPr>
        <w:t> </w:t>
      </w:r>
      <w:r>
        <w:rPr>
          <w:vertAlign w:val="subscript"/>
        </w:rPr>
        <w:t>PRIVCR</w:t>
      </w:r>
      <w:r>
        <w:rPr>
          <w:spacing w:val="40"/>
          <w:vertAlign w:val="baseline"/>
        </w:rPr>
        <w:t> </w:t>
      </w:r>
      <w:r>
        <w:rPr>
          <w:vertAlign w:val="baseline"/>
        </w:rPr>
        <w:t>have</w:t>
      </w:r>
      <w:r>
        <w:rPr>
          <w:spacing w:val="40"/>
          <w:vertAlign w:val="baseline"/>
        </w:rPr>
        <w:t> </w:t>
      </w:r>
      <w:r>
        <w:rPr>
          <w:rFonts w:ascii="Cambria" w:hAnsi="Cambria"/>
          <w:vertAlign w:val="baseline"/>
        </w:rPr>
        <w:t>been</w:t>
      </w:r>
      <w:r>
        <w:rPr>
          <w:rFonts w:ascii="Cambria" w:hAnsi="Cambria"/>
          <w:spacing w:val="40"/>
          <w:vertAlign w:val="baseline"/>
        </w:rPr>
        <w:t> </w:t>
      </w:r>
      <w:r>
        <w:rPr>
          <w:rFonts w:ascii="Cambria" w:hAnsi="Cambria"/>
          <w:vertAlign w:val="baseline"/>
        </w:rPr>
        <w:t>identified</w:t>
      </w:r>
      <w:r>
        <w:rPr>
          <w:rFonts w:ascii="Cambria" w:hAnsi="Cambria"/>
          <w:spacing w:val="40"/>
          <w:vertAlign w:val="baseline"/>
        </w:rPr>
        <w:t> </w:t>
      </w:r>
      <w:r>
        <w:rPr>
          <w:rFonts w:ascii="Cambria" w:hAnsi="Cambria"/>
          <w:vertAlign w:val="baseline"/>
        </w:rPr>
        <w:t>as</w:t>
      </w:r>
      <w:r>
        <w:rPr>
          <w:rFonts w:ascii="Cambria" w:hAnsi="Cambria"/>
          <w:spacing w:val="40"/>
          <w:vertAlign w:val="baseline"/>
        </w:rPr>
        <w:t> </w:t>
      </w:r>
      <w:r>
        <w:rPr>
          <w:rFonts w:ascii="Cambria" w:hAnsi="Cambria"/>
          <w:vertAlign w:val="baseline"/>
        </w:rPr>
        <w:t>the determinants of capital flight in Nigera, it thus followed that the factors </w:t>
      </w:r>
      <w:r>
        <w:rPr>
          <w:vertAlign w:val="baseline"/>
        </w:rPr>
        <w:t>that influence the choice of private</w:t>
      </w:r>
      <w:r>
        <w:rPr>
          <w:spacing w:val="51"/>
          <w:w w:val="150"/>
          <w:vertAlign w:val="baseline"/>
        </w:rPr>
        <w:t> </w:t>
      </w:r>
      <w:r>
        <w:rPr>
          <w:vertAlign w:val="baseline"/>
        </w:rPr>
        <w:t>wealth</w:t>
      </w:r>
      <w:r>
        <w:rPr>
          <w:spacing w:val="55"/>
          <w:w w:val="150"/>
          <w:vertAlign w:val="baseline"/>
        </w:rPr>
        <w:t> </w:t>
      </w:r>
      <w:r>
        <w:rPr>
          <w:vertAlign w:val="baseline"/>
        </w:rPr>
        <w:t>holders</w:t>
      </w:r>
      <w:r>
        <w:rPr>
          <w:spacing w:val="56"/>
          <w:w w:val="150"/>
          <w:vertAlign w:val="baseline"/>
        </w:rPr>
        <w:t> </w:t>
      </w:r>
      <w:r>
        <w:rPr>
          <w:vertAlign w:val="baseline"/>
        </w:rPr>
        <w:t>in</w:t>
      </w:r>
      <w:r>
        <w:rPr>
          <w:spacing w:val="55"/>
          <w:w w:val="150"/>
          <w:vertAlign w:val="baseline"/>
        </w:rPr>
        <w:t> </w:t>
      </w:r>
      <w:r>
        <w:rPr>
          <w:vertAlign w:val="baseline"/>
        </w:rPr>
        <w:t>Nigeria</w:t>
      </w:r>
      <w:r>
        <w:rPr>
          <w:spacing w:val="55"/>
          <w:w w:val="150"/>
          <w:vertAlign w:val="baseline"/>
        </w:rPr>
        <w:t> </w:t>
      </w:r>
      <w:r>
        <w:rPr>
          <w:vertAlign w:val="baseline"/>
        </w:rPr>
        <w:t>are</w:t>
      </w:r>
      <w:r>
        <w:rPr>
          <w:spacing w:val="53"/>
          <w:w w:val="150"/>
          <w:vertAlign w:val="baseline"/>
        </w:rPr>
        <w:t> </w:t>
      </w:r>
      <w:r>
        <w:rPr>
          <w:vertAlign w:val="baseline"/>
        </w:rPr>
        <w:t>political,</w:t>
      </w:r>
      <w:r>
        <w:rPr>
          <w:spacing w:val="55"/>
          <w:w w:val="150"/>
          <w:vertAlign w:val="baseline"/>
        </w:rPr>
        <w:t> </w:t>
      </w:r>
      <w:r>
        <w:rPr>
          <w:vertAlign w:val="baseline"/>
        </w:rPr>
        <w:t>economic</w:t>
      </w:r>
      <w:r>
        <w:rPr>
          <w:spacing w:val="55"/>
          <w:w w:val="150"/>
          <w:vertAlign w:val="baseline"/>
        </w:rPr>
        <w:t> </w:t>
      </w:r>
      <w:r>
        <w:rPr>
          <w:vertAlign w:val="baseline"/>
        </w:rPr>
        <w:t>and</w:t>
      </w:r>
      <w:r>
        <w:rPr>
          <w:spacing w:val="55"/>
          <w:w w:val="150"/>
          <w:vertAlign w:val="baseline"/>
        </w:rPr>
        <w:t> </w:t>
      </w:r>
      <w:r>
        <w:rPr>
          <w:vertAlign w:val="baseline"/>
        </w:rPr>
        <w:t>institutional</w:t>
      </w:r>
      <w:r>
        <w:rPr>
          <w:spacing w:val="54"/>
          <w:w w:val="150"/>
          <w:vertAlign w:val="baseline"/>
        </w:rPr>
        <w:t> </w:t>
      </w:r>
      <w:r>
        <w:rPr>
          <w:vertAlign w:val="baseline"/>
        </w:rPr>
        <w:t>uncertainties.</w:t>
      </w:r>
      <w:r>
        <w:rPr>
          <w:spacing w:val="57"/>
          <w:w w:val="150"/>
          <w:vertAlign w:val="baseline"/>
        </w:rPr>
        <w:t> </w:t>
      </w:r>
      <w:r>
        <w:rPr>
          <w:vertAlign w:val="baseline"/>
        </w:rPr>
        <w:t>Hence</w:t>
      </w:r>
      <w:r>
        <w:rPr>
          <w:spacing w:val="54"/>
          <w:w w:val="150"/>
          <w:vertAlign w:val="baseline"/>
        </w:rPr>
        <w:t> </w:t>
      </w:r>
      <w:r>
        <w:rPr>
          <w:spacing w:val="-5"/>
          <w:vertAlign w:val="baseline"/>
        </w:rPr>
        <w:t>the</w:t>
      </w:r>
    </w:p>
    <w:p>
      <w:pPr>
        <w:pStyle w:val="BodyText"/>
        <w:spacing w:line="525" w:lineRule="auto" w:before="18"/>
        <w:ind w:left="711" w:right="475"/>
      </w:pPr>
      <w:r>
        <w:rPr/>
        <w:t>alternative</w:t>
      </w:r>
      <w:r>
        <w:rPr>
          <w:spacing w:val="33"/>
        </w:rPr>
        <w:t> </w:t>
      </w:r>
      <w:r>
        <w:rPr/>
        <w:t>hypothesis</w:t>
      </w:r>
      <w:r>
        <w:rPr>
          <w:spacing w:val="36"/>
        </w:rPr>
        <w:t> </w:t>
      </w:r>
      <w:r>
        <w:rPr/>
        <w:t>is</w:t>
      </w:r>
      <w:r>
        <w:rPr>
          <w:spacing w:val="40"/>
        </w:rPr>
        <w:t> </w:t>
      </w:r>
      <w:r>
        <w:rPr/>
        <w:t>accepted</w:t>
      </w:r>
      <w:r>
        <w:rPr>
          <w:spacing w:val="33"/>
        </w:rPr>
        <w:t> </w:t>
      </w:r>
      <w:r>
        <w:rPr/>
        <w:t>for</w:t>
      </w:r>
      <w:r>
        <w:rPr>
          <w:spacing w:val="16"/>
        </w:rPr>
        <w:t> </w:t>
      </w:r>
      <w:r>
        <w:rPr>
          <w:vertAlign w:val="subscript"/>
        </w:rPr>
        <w:t>δEXTDEBT</w:t>
      </w:r>
      <w:r>
        <w:rPr>
          <w:vertAlign w:val="baseline"/>
        </w:rPr>
        <w:t>,</w:t>
      </w:r>
      <w:r>
        <w:rPr>
          <w:spacing w:val="34"/>
          <w:vertAlign w:val="baseline"/>
        </w:rPr>
        <w:t> </w:t>
      </w:r>
      <w:r>
        <w:rPr>
          <w:vertAlign w:val="subscript"/>
        </w:rPr>
        <w:t>INF,</w:t>
      </w:r>
      <w:r>
        <w:rPr>
          <w:vertAlign w:val="baseline"/>
        </w:rPr>
        <w:t> </w:t>
      </w:r>
      <w:r>
        <w:rPr>
          <w:vertAlign w:val="subscript"/>
        </w:rPr>
        <w:t>DOP,</w:t>
      </w:r>
      <w:r>
        <w:rPr>
          <w:vertAlign w:val="baseline"/>
        </w:rPr>
        <w:t> </w:t>
      </w:r>
      <w:r>
        <w:rPr>
          <w:vertAlign w:val="subscript"/>
        </w:rPr>
        <w:t>DR,</w:t>
      </w:r>
      <w:r>
        <w:rPr>
          <w:vertAlign w:val="baseline"/>
        </w:rPr>
        <w:t> </w:t>
      </w:r>
      <w:r>
        <w:rPr>
          <w:vertAlign w:val="subscript"/>
        </w:rPr>
        <w:t>GCF,</w:t>
      </w:r>
      <w:r>
        <w:rPr>
          <w:vertAlign w:val="baseline"/>
        </w:rPr>
        <w:t> </w:t>
      </w:r>
      <w:r>
        <w:rPr>
          <w:vertAlign w:val="subscript"/>
        </w:rPr>
        <w:t>USIRD</w:t>
      </w:r>
      <w:r>
        <w:rPr>
          <w:vertAlign w:val="baseline"/>
        </w:rPr>
        <w:t> </w:t>
      </w:r>
      <w:r>
        <w:rPr>
          <w:vertAlign w:val="subscript"/>
        </w:rPr>
        <w:t>and</w:t>
      </w:r>
      <w:r>
        <w:rPr>
          <w:spacing w:val="80"/>
          <w:vertAlign w:val="baseline"/>
        </w:rPr>
        <w:t> </w:t>
      </w:r>
      <w:r>
        <w:rPr>
          <w:vertAlign w:val="subscript"/>
        </w:rPr>
        <w:t>PRIVCR</w:t>
      </w:r>
      <w:r>
        <w:rPr>
          <w:spacing w:val="36"/>
          <w:vertAlign w:val="baseline"/>
        </w:rPr>
        <w:t> </w:t>
      </w:r>
      <w:r>
        <w:rPr>
          <w:vertAlign w:val="baseline"/>
        </w:rPr>
        <w:t>that</w:t>
      </w:r>
      <w:r>
        <w:rPr>
          <w:spacing w:val="34"/>
          <w:vertAlign w:val="baseline"/>
        </w:rPr>
        <w:t> </w:t>
      </w:r>
      <w:r>
        <w:rPr>
          <w:vertAlign w:val="baseline"/>
        </w:rPr>
        <w:t>are</w:t>
      </w:r>
      <w:r>
        <w:rPr>
          <w:spacing w:val="32"/>
          <w:vertAlign w:val="baseline"/>
        </w:rPr>
        <w:t> </w:t>
      </w:r>
      <w:r>
        <w:rPr>
          <w:vertAlign w:val="baseline"/>
        </w:rPr>
        <w:t>significant</w:t>
      </w:r>
      <w:r>
        <w:rPr>
          <w:spacing w:val="34"/>
          <w:vertAlign w:val="baseline"/>
        </w:rPr>
        <w:t> </w:t>
      </w:r>
      <w:r>
        <w:rPr>
          <w:vertAlign w:val="baseline"/>
        </w:rPr>
        <w:t>while the null hypothesis is accepted for GOCE</w:t>
      </w:r>
      <w:r>
        <w:rPr>
          <w:spacing w:val="40"/>
          <w:vertAlign w:val="baseline"/>
        </w:rPr>
        <w:t> </w:t>
      </w:r>
      <w:r>
        <w:rPr>
          <w:vertAlign w:val="baseline"/>
        </w:rPr>
        <w:t>that is</w:t>
      </w:r>
      <w:r>
        <w:rPr>
          <w:spacing w:val="40"/>
          <w:vertAlign w:val="baseline"/>
        </w:rPr>
        <w:t> </w:t>
      </w:r>
      <w:r>
        <w:rPr>
          <w:vertAlign w:val="baseline"/>
        </w:rPr>
        <w:t>not statistically significant.</w:t>
      </w:r>
    </w:p>
    <w:p>
      <w:pPr>
        <w:pStyle w:val="BodyText"/>
        <w:spacing w:line="480" w:lineRule="auto" w:before="190"/>
        <w:ind w:left="711" w:right="472"/>
        <w:jc w:val="both"/>
        <w:rPr>
          <w:rFonts w:ascii="Cambria"/>
        </w:rPr>
      </w:pPr>
      <w:r>
        <w:rPr>
          <w:rFonts w:ascii="Cambria"/>
          <w:b/>
        </w:rPr>
        <w:t>Hypothesis 4</w:t>
      </w:r>
      <w:r>
        <w:rPr>
          <w:rFonts w:ascii="Cambria"/>
        </w:rPr>
        <w:t>: since the major determinants have been identified, it is possible to</w:t>
      </w:r>
      <w:r>
        <w:rPr>
          <w:rFonts w:ascii="Cambria"/>
          <w:spacing w:val="80"/>
        </w:rPr>
        <w:t> </w:t>
      </w:r>
      <w:r>
        <w:rPr>
          <w:rFonts w:ascii="Cambria"/>
        </w:rPr>
        <w:t>reverse capital flight trend in Nigeria through the implementation of policies and recommendations proffered in this study. Hence the null hypothesis is rejected and alternative accepted for hypothesis 4.</w:t>
      </w:r>
    </w:p>
    <w:p>
      <w:pPr>
        <w:pStyle w:val="Heading6"/>
        <w:numPr>
          <w:ilvl w:val="2"/>
          <w:numId w:val="26"/>
        </w:numPr>
        <w:tabs>
          <w:tab w:pos="1296" w:val="left" w:leader="none"/>
        </w:tabs>
        <w:spacing w:line="321" w:lineRule="exact" w:before="0" w:after="0"/>
        <w:ind w:left="1296" w:right="0" w:hanging="585"/>
        <w:jc w:val="both"/>
      </w:pPr>
      <w:r>
        <w:rPr>
          <w:rFonts w:ascii="Cambria"/>
        </w:rPr>
        <w:t>Tests</w:t>
      </w:r>
      <w:r>
        <w:rPr>
          <w:rFonts w:ascii="Cambria"/>
          <w:spacing w:val="-6"/>
        </w:rPr>
        <w:t> </w:t>
      </w:r>
      <w:r>
        <w:rPr>
          <w:rFonts w:ascii="Cambria"/>
        </w:rPr>
        <w:t>for</w:t>
      </w:r>
      <w:r>
        <w:rPr>
          <w:rFonts w:ascii="Cambria"/>
          <w:spacing w:val="-4"/>
        </w:rPr>
        <w:t> </w:t>
      </w:r>
      <w:r>
        <w:rPr>
          <w:rFonts w:ascii="Cambria"/>
        </w:rPr>
        <w:t>Overall</w:t>
      </w:r>
      <w:r>
        <w:rPr>
          <w:rFonts w:ascii="Cambria"/>
          <w:spacing w:val="-4"/>
        </w:rPr>
        <w:t> </w:t>
      </w:r>
      <w:r>
        <w:rPr>
          <w:rFonts w:ascii="Cambria"/>
        </w:rPr>
        <w:t>Significance</w:t>
      </w:r>
      <w:r>
        <w:rPr>
          <w:rFonts w:ascii="Cambria"/>
          <w:spacing w:val="-3"/>
        </w:rPr>
        <w:t> </w:t>
      </w:r>
      <w:r>
        <w:rPr>
          <w:rFonts w:ascii="Cambria"/>
        </w:rPr>
        <w:t>of</w:t>
      </w:r>
      <w:r>
        <w:rPr>
          <w:rFonts w:ascii="Cambria"/>
          <w:spacing w:val="1"/>
        </w:rPr>
        <w:t> </w:t>
      </w:r>
      <w:r>
        <w:rPr>
          <w:rFonts w:ascii="Cambria"/>
        </w:rPr>
        <w:t>Model1A</w:t>
      </w:r>
      <w:r>
        <w:rPr>
          <w:rFonts w:ascii="Cambria"/>
          <w:spacing w:val="12"/>
        </w:rPr>
        <w:t> </w:t>
      </w:r>
      <w:r>
        <w:rPr>
          <w:sz w:val="28"/>
        </w:rPr>
        <w:t>(</w:t>
      </w:r>
      <w:r>
        <w:rPr/>
        <w:t>Morgan</w:t>
      </w:r>
      <w:r>
        <w:rPr>
          <w:spacing w:val="-1"/>
        </w:rPr>
        <w:t> </w:t>
      </w:r>
      <w:r>
        <w:rPr/>
        <w:t>Guaranty</w:t>
      </w:r>
      <w:r>
        <w:rPr>
          <w:spacing w:val="-2"/>
        </w:rPr>
        <w:t> </w:t>
      </w:r>
      <w:r>
        <w:rPr/>
        <w:t>Trust</w:t>
      </w:r>
      <w:r>
        <w:rPr>
          <w:spacing w:val="-3"/>
        </w:rPr>
        <w:t> </w:t>
      </w:r>
      <w:r>
        <w:rPr/>
        <w:t>(1986)</w:t>
      </w:r>
      <w:r>
        <w:rPr>
          <w:spacing w:val="-3"/>
        </w:rPr>
        <w:t> </w:t>
      </w:r>
      <w:r>
        <w:rPr>
          <w:spacing w:val="-2"/>
        </w:rPr>
        <w:t>Approach)</w:t>
      </w:r>
    </w:p>
    <w:p>
      <w:pPr>
        <w:pStyle w:val="BodyText"/>
        <w:spacing w:before="47"/>
        <w:rPr>
          <w:b/>
        </w:rPr>
      </w:pPr>
    </w:p>
    <w:p>
      <w:pPr>
        <w:pStyle w:val="BodyText"/>
        <w:spacing w:line="480" w:lineRule="auto"/>
        <w:ind w:left="711" w:right="471"/>
        <w:jc w:val="both"/>
      </w:pPr>
      <w:r>
        <w:rPr>
          <w:rFonts w:ascii="Cambria"/>
        </w:rPr>
        <w:t>The F-test is used to test the statistical significance of the entire model. This is done to determine the overall significance of behaviour of all explanatory variables adopted in the model. It is done by comparing the F-statistics in the OLS result and the table value (F-test). The hypothesis is formulated </w:t>
      </w:r>
      <w:r>
        <w:rPr>
          <w:rFonts w:ascii="Cambria"/>
          <w:position w:val="1"/>
        </w:rPr>
        <w:t>as depicted below: H</w:t>
      </w:r>
      <w:r>
        <w:rPr>
          <w:rFonts w:ascii="Cambria"/>
          <w:sz w:val="16"/>
        </w:rPr>
        <w:t>0</w:t>
      </w:r>
      <w:r>
        <w:rPr>
          <w:rFonts w:ascii="Cambria"/>
          <w:position w:val="1"/>
        </w:rPr>
        <w:t>: The overall model is not significant H</w:t>
      </w:r>
      <w:r>
        <w:rPr>
          <w:rFonts w:ascii="Cambria"/>
          <w:sz w:val="16"/>
        </w:rPr>
        <w:t>1</w:t>
      </w:r>
      <w:r>
        <w:rPr>
          <w:rFonts w:ascii="Cambria"/>
          <w:position w:val="1"/>
        </w:rPr>
        <w:t>: The overall model is significant. The </w:t>
      </w:r>
      <w:r>
        <w:rPr>
          <w:rFonts w:ascii="Cambria"/>
        </w:rPr>
        <w:t>decision rule is to accept the alternative hypothesis if the F-calculated is greater than F-tabulated and vice</w:t>
      </w:r>
      <w:r>
        <w:rPr>
          <w:rFonts w:ascii="Cambria"/>
          <w:spacing w:val="24"/>
        </w:rPr>
        <w:t> </w:t>
      </w:r>
      <w:r>
        <w:rPr>
          <w:rFonts w:ascii="Cambria"/>
        </w:rPr>
        <w:t>versa.</w:t>
      </w:r>
      <w:r>
        <w:rPr>
          <w:rFonts w:ascii="Cambria"/>
          <w:spacing w:val="78"/>
          <w:w w:val="150"/>
        </w:rPr>
        <w:t> </w:t>
      </w:r>
      <w:r>
        <w:rPr>
          <w:rFonts w:ascii="Cambria"/>
        </w:rPr>
        <w:t>For</w:t>
      </w:r>
      <w:r>
        <w:rPr>
          <w:rFonts w:ascii="Cambria"/>
          <w:spacing w:val="25"/>
        </w:rPr>
        <w:t> </w:t>
      </w:r>
      <w:r>
        <w:rPr>
          <w:rFonts w:ascii="Cambria"/>
        </w:rPr>
        <w:t>this</w:t>
      </w:r>
      <w:r>
        <w:rPr>
          <w:rFonts w:ascii="Cambria"/>
          <w:spacing w:val="23"/>
        </w:rPr>
        <w:t> </w:t>
      </w:r>
      <w:r>
        <w:rPr>
          <w:rFonts w:ascii="Cambria"/>
        </w:rPr>
        <w:t>model,</w:t>
      </w:r>
      <w:r>
        <w:rPr>
          <w:rFonts w:ascii="Cambria"/>
          <w:spacing w:val="28"/>
        </w:rPr>
        <w:t> </w:t>
      </w:r>
      <w:r>
        <w:rPr/>
        <w:t>The</w:t>
      </w:r>
      <w:r>
        <w:rPr>
          <w:spacing w:val="26"/>
        </w:rPr>
        <w:t> </w:t>
      </w:r>
      <w:r>
        <w:rPr/>
        <w:t>F-statistic</w:t>
      </w:r>
      <w:r>
        <w:rPr>
          <w:spacing w:val="26"/>
        </w:rPr>
        <w:t> </w:t>
      </w:r>
      <w:r>
        <w:rPr/>
        <w:t>caculatedvalue</w:t>
      </w:r>
      <w:r>
        <w:rPr>
          <w:spacing w:val="24"/>
        </w:rPr>
        <w:t> </w:t>
      </w:r>
      <w:r>
        <w:rPr/>
        <w:t>is</w:t>
      </w:r>
      <w:r>
        <w:rPr>
          <w:spacing w:val="28"/>
        </w:rPr>
        <w:t> </w:t>
      </w:r>
      <w:r>
        <w:rPr/>
        <w:t>29.74016</w:t>
      </w:r>
      <w:r>
        <w:rPr>
          <w:spacing w:val="29"/>
        </w:rPr>
        <w:t> </w:t>
      </w:r>
      <w:r>
        <w:rPr/>
        <w:t>while</w:t>
      </w:r>
      <w:r>
        <w:rPr>
          <w:spacing w:val="25"/>
        </w:rPr>
        <w:t> </w:t>
      </w:r>
      <w:r>
        <w:rPr/>
        <w:t>the</w:t>
      </w:r>
      <w:r>
        <w:rPr>
          <w:spacing w:val="27"/>
        </w:rPr>
        <w:t> </w:t>
      </w:r>
      <w:r>
        <w:rPr/>
        <w:t>F-tabulated</w:t>
      </w:r>
      <w:r>
        <w:rPr>
          <w:spacing w:val="25"/>
        </w:rPr>
        <w:t> </w:t>
      </w:r>
      <w:r>
        <w:rPr/>
        <w:t>value</w:t>
      </w:r>
      <w:r>
        <w:rPr>
          <w:spacing w:val="24"/>
        </w:rPr>
        <w:t> </w:t>
      </w:r>
      <w:r>
        <w:rPr>
          <w:spacing w:val="-2"/>
        </w:rPr>
        <w:t>2.27,</w:t>
      </w:r>
    </w:p>
    <w:p>
      <w:pPr>
        <w:pStyle w:val="BodyText"/>
        <w:ind w:left="711"/>
      </w:pPr>
      <w:r>
        <w:rPr/>
        <w:t>hence</w:t>
      </w:r>
      <w:r>
        <w:rPr>
          <w:spacing w:val="-2"/>
        </w:rPr>
        <w:t> </w:t>
      </w:r>
      <w:r>
        <w:rPr/>
        <w:t>the</w:t>
      </w:r>
      <w:r>
        <w:rPr>
          <w:spacing w:val="1"/>
        </w:rPr>
        <w:t> </w:t>
      </w:r>
      <w:r>
        <w:rPr/>
        <w:t>accept Ho:</w:t>
      </w:r>
      <w:r>
        <w:rPr>
          <w:spacing w:val="60"/>
        </w:rPr>
        <w:t> </w:t>
      </w:r>
      <w:r>
        <w:rPr/>
        <w:t>ie</w:t>
      </w:r>
      <w:r>
        <w:rPr>
          <w:spacing w:val="-1"/>
        </w:rPr>
        <w:t> </w:t>
      </w:r>
      <w:r>
        <w:rPr/>
        <w:t>the</w:t>
      </w:r>
      <w:r>
        <w:rPr>
          <w:spacing w:val="-1"/>
        </w:rPr>
        <w:t> </w:t>
      </w:r>
      <w:r>
        <w:rPr/>
        <w:t>model is statistically</w:t>
      </w:r>
      <w:r>
        <w:rPr>
          <w:spacing w:val="-5"/>
        </w:rPr>
        <w:t> </w:t>
      </w:r>
      <w:r>
        <w:rPr>
          <w:spacing w:val="-2"/>
        </w:rPr>
        <w:t>significant.</w:t>
      </w:r>
    </w:p>
    <w:p>
      <w:pPr>
        <w:spacing w:after="0"/>
        <w:sectPr>
          <w:pgSz w:w="11910" w:h="16840"/>
          <w:pgMar w:header="0" w:footer="979" w:top="1360" w:bottom="1240" w:left="280" w:right="0"/>
        </w:sectPr>
      </w:pPr>
    </w:p>
    <w:p>
      <w:pPr>
        <w:pStyle w:val="Heading6"/>
        <w:numPr>
          <w:ilvl w:val="2"/>
          <w:numId w:val="26"/>
        </w:numPr>
        <w:tabs>
          <w:tab w:pos="1563" w:val="left" w:leader="none"/>
        </w:tabs>
        <w:spacing w:line="240" w:lineRule="auto" w:before="81" w:after="0"/>
        <w:ind w:left="1563" w:right="0" w:hanging="852"/>
        <w:jc w:val="left"/>
        <w:rPr>
          <w:rFonts w:ascii="Cambria"/>
        </w:rPr>
      </w:pPr>
      <w:r>
        <w:rPr>
          <w:rFonts w:ascii="Cambria"/>
        </w:rPr>
        <w:t>Tests</w:t>
      </w:r>
      <w:r>
        <w:rPr>
          <w:rFonts w:ascii="Cambria"/>
          <w:spacing w:val="-4"/>
        </w:rPr>
        <w:t> </w:t>
      </w:r>
      <w:r>
        <w:rPr>
          <w:rFonts w:ascii="Cambria"/>
        </w:rPr>
        <w:t>for</w:t>
      </w:r>
      <w:r>
        <w:rPr>
          <w:rFonts w:ascii="Cambria"/>
          <w:spacing w:val="-3"/>
        </w:rPr>
        <w:t> </w:t>
      </w:r>
      <w:r>
        <w:rPr>
          <w:rFonts w:ascii="Cambria"/>
        </w:rPr>
        <w:t>Presence</w:t>
      </w:r>
      <w:r>
        <w:rPr>
          <w:rFonts w:ascii="Cambria"/>
          <w:spacing w:val="-3"/>
        </w:rPr>
        <w:t> </w:t>
      </w:r>
      <w:r>
        <w:rPr>
          <w:rFonts w:ascii="Cambria"/>
        </w:rPr>
        <w:t>of</w:t>
      </w:r>
      <w:r>
        <w:rPr>
          <w:rFonts w:ascii="Cambria"/>
          <w:spacing w:val="-2"/>
        </w:rPr>
        <w:t> </w:t>
      </w:r>
      <w:r>
        <w:rPr>
          <w:rFonts w:ascii="Cambria"/>
        </w:rPr>
        <w:t>Autocorrelation</w:t>
      </w:r>
      <w:r>
        <w:rPr>
          <w:rFonts w:ascii="Cambria"/>
          <w:spacing w:val="-3"/>
        </w:rPr>
        <w:t> </w:t>
      </w:r>
      <w:r>
        <w:rPr>
          <w:rFonts w:ascii="Cambria"/>
        </w:rPr>
        <w:t>in</w:t>
      </w:r>
      <w:r>
        <w:rPr>
          <w:rFonts w:ascii="Cambria"/>
          <w:spacing w:val="-3"/>
        </w:rPr>
        <w:t> </w:t>
      </w:r>
      <w:r>
        <w:rPr>
          <w:rFonts w:ascii="Cambria"/>
        </w:rPr>
        <w:t>the</w:t>
      </w:r>
      <w:r>
        <w:rPr>
          <w:rFonts w:ascii="Cambria"/>
          <w:spacing w:val="-3"/>
        </w:rPr>
        <w:t> </w:t>
      </w:r>
      <w:r>
        <w:rPr>
          <w:rFonts w:ascii="Cambria"/>
        </w:rPr>
        <w:t>Model</w:t>
      </w:r>
      <w:r>
        <w:rPr>
          <w:rFonts w:ascii="Cambria"/>
          <w:spacing w:val="-3"/>
        </w:rPr>
        <w:t> </w:t>
      </w:r>
      <w:r>
        <w:rPr>
          <w:rFonts w:ascii="Cambria"/>
          <w:spacing w:val="-5"/>
        </w:rPr>
        <w:t>1B</w:t>
      </w:r>
    </w:p>
    <w:p>
      <w:pPr>
        <w:pStyle w:val="BodyText"/>
        <w:spacing w:line="480" w:lineRule="auto" w:before="281"/>
        <w:ind w:left="711" w:right="471"/>
        <w:jc w:val="both"/>
      </w:pPr>
      <w:r>
        <w:rPr>
          <w:rFonts w:ascii="Cambria"/>
        </w:rPr>
        <w:t>The presence of autocorrelation is tested using the Durbin Watson test and it value is gotton from E- view analysis. The DW statistics gotten from the parsimonious model was used in other to obtain the most reliable result after</w:t>
      </w:r>
      <w:r>
        <w:rPr>
          <w:rFonts w:ascii="Cambria"/>
          <w:spacing w:val="-1"/>
        </w:rPr>
        <w:t> </w:t>
      </w:r>
      <w:r>
        <w:rPr>
          <w:rFonts w:ascii="Cambria"/>
        </w:rPr>
        <w:t>all adjustment has been made.</w:t>
      </w:r>
      <w:r>
        <w:rPr>
          <w:rFonts w:ascii="Cambria"/>
          <w:spacing w:val="40"/>
        </w:rPr>
        <w:t> </w:t>
      </w:r>
      <w:r>
        <w:rPr>
          <w:rFonts w:ascii="Cambria"/>
        </w:rPr>
        <w:t>For model 1</w:t>
      </w:r>
      <w:r>
        <w:rPr>
          <w:rFonts w:ascii="Cambria"/>
          <w:spacing w:val="-1"/>
        </w:rPr>
        <w:t> </w:t>
      </w:r>
      <w:r>
        <w:rPr>
          <w:rFonts w:ascii="Cambria"/>
        </w:rPr>
        <w:t>(Morgan Guaranty Trust (1986), the value of DW statistics is 1.868760 </w:t>
      </w:r>
      <w:r>
        <w:rPr/>
        <w:t>while the degree of freedom is 8 (9-1) and the number of year is 42 </w:t>
      </w:r>
      <w:r>
        <w:rPr>
          <w:spacing w:val="-4"/>
        </w:rPr>
        <w:t>years</w:t>
      </w:r>
    </w:p>
    <w:p>
      <w:pPr>
        <w:pStyle w:val="BodyText"/>
        <w:spacing w:before="1"/>
      </w:pPr>
    </w:p>
    <w:p>
      <w:pPr>
        <w:spacing w:before="0"/>
        <w:ind w:left="711" w:right="0" w:firstLine="0"/>
        <w:jc w:val="both"/>
        <w:rPr>
          <w:rFonts w:ascii="Cambria"/>
          <w:sz w:val="24"/>
        </w:rPr>
      </w:pPr>
      <w:r>
        <w:rPr/>
        <mc:AlternateContent>
          <mc:Choice Requires="wps">
            <w:drawing>
              <wp:anchor distT="0" distB="0" distL="0" distR="0" allowOverlap="1" layoutInCell="1" locked="0" behindDoc="1" simplePos="0" relativeHeight="464178688">
                <wp:simplePos x="0" y="0"/>
                <wp:positionH relativeFrom="page">
                  <wp:posOffset>1530350</wp:posOffset>
                </wp:positionH>
                <wp:positionV relativeFrom="paragraph">
                  <wp:posOffset>714831</wp:posOffset>
                </wp:positionV>
                <wp:extent cx="735965" cy="179070"/>
                <wp:effectExtent l="0" t="0" r="0" b="0"/>
                <wp:wrapNone/>
                <wp:docPr id="182" name="Textbox 182"/>
                <wp:cNvGraphicFramePr>
                  <a:graphicFrameLocks/>
                </wp:cNvGraphicFramePr>
                <a:graphic>
                  <a:graphicData uri="http://schemas.microsoft.com/office/word/2010/wordprocessingShape">
                    <wps:wsp>
                      <wps:cNvPr id="182" name="Textbox 182"/>
                      <wps:cNvSpPr txBox="1"/>
                      <wps:spPr>
                        <a:xfrm>
                          <a:off x="0" y="0"/>
                          <a:ext cx="735965" cy="179070"/>
                        </a:xfrm>
                        <a:prstGeom prst="rect">
                          <a:avLst/>
                        </a:prstGeom>
                      </wps:spPr>
                      <wps:txbx>
                        <w:txbxContent>
                          <w:p>
                            <w:pPr>
                              <w:pStyle w:val="BodyText"/>
                              <w:rPr>
                                <w:rFonts w:ascii="Cambria"/>
                              </w:rPr>
                            </w:pPr>
                            <w:r>
                              <w:rPr>
                                <w:rFonts w:ascii="Cambria"/>
                                <w:color w:val="FF0000"/>
                              </w:rPr>
                              <w:t>Incon</w:t>
                            </w:r>
                            <w:r>
                              <w:rPr>
                                <w:rFonts w:ascii="Cambria"/>
                                <w:color w:val="FF0000"/>
                                <w:spacing w:val="-6"/>
                              </w:rPr>
                              <w:t> </w:t>
                            </w:r>
                            <w:r>
                              <w:rPr>
                                <w:rFonts w:ascii="Cambria"/>
                                <w:color w:val="FF0000"/>
                                <w:spacing w:val="-2"/>
                              </w:rPr>
                              <w:t>regio</w:t>
                            </w:r>
                          </w:p>
                        </w:txbxContent>
                      </wps:txbx>
                      <wps:bodyPr wrap="square" lIns="0" tIns="0" rIns="0" bIns="0" rtlCol="0">
                        <a:noAutofit/>
                      </wps:bodyPr>
                    </wps:wsp>
                  </a:graphicData>
                </a:graphic>
              </wp:anchor>
            </w:drawing>
          </mc:Choice>
          <mc:Fallback>
            <w:pict>
              <v:shape style="position:absolute;margin-left:120.5pt;margin-top:56.285938pt;width:57.95pt;height:14.1pt;mso-position-horizontal-relative:page;mso-position-vertical-relative:paragraph;z-index:-39137792" type="#_x0000_t202" id="docshape167" filled="false" stroked="false">
                <v:textbox inset="0,0,0,0">
                  <w:txbxContent>
                    <w:p>
                      <w:pPr>
                        <w:pStyle w:val="BodyText"/>
                        <w:rPr>
                          <w:rFonts w:ascii="Cambria"/>
                        </w:rPr>
                      </w:pPr>
                      <w:r>
                        <w:rPr>
                          <w:rFonts w:ascii="Cambria"/>
                          <w:color w:val="FF0000"/>
                        </w:rPr>
                        <w:t>Incon</w:t>
                      </w:r>
                      <w:r>
                        <w:rPr>
                          <w:rFonts w:ascii="Cambria"/>
                          <w:color w:val="FF0000"/>
                          <w:spacing w:val="-6"/>
                        </w:rPr>
                        <w:t> </w:t>
                      </w:r>
                      <w:r>
                        <w:rPr>
                          <w:rFonts w:ascii="Cambria"/>
                          <w:color w:val="FF0000"/>
                          <w:spacing w:val="-2"/>
                        </w:rPr>
                        <w:t>regio</w:t>
                      </w:r>
                    </w:p>
                  </w:txbxContent>
                </v:textbox>
                <w10:wrap type="none"/>
              </v:shape>
            </w:pict>
          </mc:Fallback>
        </mc:AlternateContent>
      </w:r>
      <w:r>
        <w:rPr/>
        <mc:AlternateContent>
          <mc:Choice Requires="wps">
            <w:drawing>
              <wp:anchor distT="0" distB="0" distL="0" distR="0" allowOverlap="1" layoutInCell="1" locked="0" behindDoc="1" simplePos="0" relativeHeight="464179200">
                <wp:simplePos x="0" y="0"/>
                <wp:positionH relativeFrom="page">
                  <wp:posOffset>2265975</wp:posOffset>
                </wp:positionH>
                <wp:positionV relativeFrom="paragraph">
                  <wp:posOffset>714831</wp:posOffset>
                </wp:positionV>
                <wp:extent cx="245745" cy="179070"/>
                <wp:effectExtent l="0" t="0" r="0" b="0"/>
                <wp:wrapNone/>
                <wp:docPr id="183" name="Textbox 183"/>
                <wp:cNvGraphicFramePr>
                  <a:graphicFrameLocks/>
                </wp:cNvGraphicFramePr>
                <a:graphic>
                  <a:graphicData uri="http://schemas.microsoft.com/office/word/2010/wordprocessingShape">
                    <wps:wsp>
                      <wps:cNvPr id="183" name="Textbox 183"/>
                      <wps:cNvSpPr txBox="1"/>
                      <wps:spPr>
                        <a:xfrm>
                          <a:off x="0" y="0"/>
                          <a:ext cx="245745" cy="179070"/>
                        </a:xfrm>
                        <a:prstGeom prst="rect">
                          <a:avLst/>
                        </a:prstGeom>
                      </wps:spPr>
                      <wps:txbx>
                        <w:txbxContent>
                          <w:p>
                            <w:pPr>
                              <w:pStyle w:val="BodyText"/>
                              <w:rPr>
                                <w:rFonts w:ascii="Cambria"/>
                              </w:rPr>
                            </w:pPr>
                            <w:r>
                              <w:rPr>
                                <w:rFonts w:ascii="Cambria"/>
                                <w:color w:val="FF0000"/>
                              </w:rPr>
                              <w:t>n</w:t>
                            </w:r>
                            <w:r>
                              <w:rPr>
                                <w:rFonts w:ascii="Cambria"/>
                                <w:color w:val="FF0000"/>
                                <w:spacing w:val="-1"/>
                              </w:rPr>
                              <w:t> </w:t>
                            </w:r>
                            <w:r>
                              <w:rPr>
                                <w:rFonts w:ascii="Cambria"/>
                                <w:color w:val="FF0000"/>
                                <w:spacing w:val="-7"/>
                              </w:rPr>
                              <w:t>of</w:t>
                            </w:r>
                          </w:p>
                        </w:txbxContent>
                      </wps:txbx>
                      <wps:bodyPr wrap="square" lIns="0" tIns="0" rIns="0" bIns="0" rtlCol="0">
                        <a:noAutofit/>
                      </wps:bodyPr>
                    </wps:wsp>
                  </a:graphicData>
                </a:graphic>
              </wp:anchor>
            </w:drawing>
          </mc:Choice>
          <mc:Fallback>
            <w:pict>
              <v:shape style="position:absolute;margin-left:178.423248pt;margin-top:56.285938pt;width:19.350pt;height:14.1pt;mso-position-horizontal-relative:page;mso-position-vertical-relative:paragraph;z-index:-39137280" type="#_x0000_t202" id="docshape168" filled="false" stroked="false">
                <v:textbox inset="0,0,0,0">
                  <w:txbxContent>
                    <w:p>
                      <w:pPr>
                        <w:pStyle w:val="BodyText"/>
                        <w:rPr>
                          <w:rFonts w:ascii="Cambria"/>
                        </w:rPr>
                      </w:pPr>
                      <w:r>
                        <w:rPr>
                          <w:rFonts w:ascii="Cambria"/>
                          <w:color w:val="FF0000"/>
                        </w:rPr>
                        <w:t>n</w:t>
                      </w:r>
                      <w:r>
                        <w:rPr>
                          <w:rFonts w:ascii="Cambria"/>
                          <w:color w:val="FF0000"/>
                          <w:spacing w:val="-1"/>
                        </w:rPr>
                        <w:t> </w:t>
                      </w:r>
                      <w:r>
                        <w:rPr>
                          <w:rFonts w:ascii="Cambria"/>
                          <w:color w:val="FF0000"/>
                          <w:spacing w:val="-7"/>
                        </w:rPr>
                        <w:t>of</w:t>
                      </w:r>
                    </w:p>
                  </w:txbxContent>
                </v:textbox>
                <w10:wrap type="none"/>
              </v:shape>
            </w:pict>
          </mc:Fallback>
        </mc:AlternateContent>
      </w:r>
      <w:r>
        <w:rPr>
          <w:b/>
          <w:sz w:val="24"/>
        </w:rPr>
        <w:t>Figure</w:t>
      </w:r>
      <w:r>
        <w:rPr>
          <w:b/>
          <w:spacing w:val="-8"/>
          <w:sz w:val="24"/>
        </w:rPr>
        <w:t> </w:t>
      </w:r>
      <w:r>
        <w:rPr>
          <w:rFonts w:ascii="Cambria"/>
          <w:spacing w:val="-5"/>
          <w:sz w:val="24"/>
        </w:rPr>
        <w:t>4.7</w:t>
      </w:r>
    </w:p>
    <w:p>
      <w:pPr>
        <w:pStyle w:val="BodyText"/>
        <w:spacing w:before="81"/>
        <w:rPr>
          <w:rFonts w:ascii="Cambria"/>
          <w:sz w:val="20"/>
        </w:rPr>
      </w:pPr>
      <w:r>
        <w:rPr/>
        <mc:AlternateContent>
          <mc:Choice Requires="wps">
            <w:drawing>
              <wp:anchor distT="0" distB="0" distL="0" distR="0" allowOverlap="1" layoutInCell="1" locked="0" behindDoc="1" simplePos="0" relativeHeight="487614464">
                <wp:simplePos x="0" y="0"/>
                <wp:positionH relativeFrom="page">
                  <wp:posOffset>653795</wp:posOffset>
                </wp:positionH>
                <wp:positionV relativeFrom="paragraph">
                  <wp:posOffset>216153</wp:posOffset>
                </wp:positionV>
                <wp:extent cx="5652135" cy="3362325"/>
                <wp:effectExtent l="0" t="0" r="0" b="0"/>
                <wp:wrapTopAndBottom/>
                <wp:docPr id="184" name="Group 184"/>
                <wp:cNvGraphicFramePr>
                  <a:graphicFrameLocks/>
                </wp:cNvGraphicFramePr>
                <a:graphic>
                  <a:graphicData uri="http://schemas.microsoft.com/office/word/2010/wordprocessingGroup">
                    <wpg:wgp>
                      <wpg:cNvPr id="184" name="Group 184"/>
                      <wpg:cNvGrpSpPr/>
                      <wpg:grpSpPr>
                        <a:xfrm>
                          <a:off x="0" y="0"/>
                          <a:ext cx="5652135" cy="3362325"/>
                          <a:chExt cx="5652135" cy="3362325"/>
                        </a:xfrm>
                      </wpg:grpSpPr>
                      <wps:wsp>
                        <wps:cNvPr id="185" name="Graphic 185"/>
                        <wps:cNvSpPr/>
                        <wps:spPr>
                          <a:xfrm>
                            <a:off x="79628" y="743244"/>
                            <a:ext cx="5286375" cy="2257425"/>
                          </a:xfrm>
                          <a:custGeom>
                            <a:avLst/>
                            <a:gdLst/>
                            <a:ahLst/>
                            <a:cxnLst/>
                            <a:rect l="l" t="t" r="r" b="b"/>
                            <a:pathLst>
                              <a:path w="5286375" h="2257425">
                                <a:moveTo>
                                  <a:pt x="0" y="2257130"/>
                                </a:moveTo>
                                <a:lnTo>
                                  <a:pt x="37966" y="2214603"/>
                                </a:lnTo>
                                <a:lnTo>
                                  <a:pt x="75923" y="2172094"/>
                                </a:lnTo>
                                <a:lnTo>
                                  <a:pt x="113860" y="2129623"/>
                                </a:lnTo>
                                <a:lnTo>
                                  <a:pt x="151765" y="2087208"/>
                                </a:lnTo>
                                <a:lnTo>
                                  <a:pt x="189627" y="2044868"/>
                                </a:lnTo>
                                <a:lnTo>
                                  <a:pt x="227435" y="2002621"/>
                                </a:lnTo>
                                <a:lnTo>
                                  <a:pt x="265179" y="1960486"/>
                                </a:lnTo>
                                <a:lnTo>
                                  <a:pt x="302845" y="1918483"/>
                                </a:lnTo>
                                <a:lnTo>
                                  <a:pt x="340424" y="1876628"/>
                                </a:lnTo>
                                <a:lnTo>
                                  <a:pt x="377905" y="1834942"/>
                                </a:lnTo>
                                <a:lnTo>
                                  <a:pt x="415275" y="1793443"/>
                                </a:lnTo>
                                <a:lnTo>
                                  <a:pt x="452524" y="1752149"/>
                                </a:lnTo>
                                <a:lnTo>
                                  <a:pt x="489640" y="1711080"/>
                                </a:lnTo>
                                <a:lnTo>
                                  <a:pt x="526612" y="1670253"/>
                                </a:lnTo>
                                <a:lnTo>
                                  <a:pt x="563430" y="1629689"/>
                                </a:lnTo>
                                <a:lnTo>
                                  <a:pt x="600082" y="1589404"/>
                                </a:lnTo>
                                <a:lnTo>
                                  <a:pt x="636556" y="1549419"/>
                                </a:lnTo>
                                <a:lnTo>
                                  <a:pt x="672842" y="1509751"/>
                                </a:lnTo>
                                <a:lnTo>
                                  <a:pt x="708927" y="1470420"/>
                                </a:lnTo>
                                <a:lnTo>
                                  <a:pt x="744802" y="1431444"/>
                                </a:lnTo>
                                <a:lnTo>
                                  <a:pt x="780455" y="1392841"/>
                                </a:lnTo>
                                <a:lnTo>
                                  <a:pt x="815874" y="1354631"/>
                                </a:lnTo>
                                <a:lnTo>
                                  <a:pt x="851049" y="1316832"/>
                                </a:lnTo>
                                <a:lnTo>
                                  <a:pt x="885968" y="1279463"/>
                                </a:lnTo>
                                <a:lnTo>
                                  <a:pt x="920619" y="1242543"/>
                                </a:lnTo>
                                <a:lnTo>
                                  <a:pt x="954993" y="1206090"/>
                                </a:lnTo>
                                <a:lnTo>
                                  <a:pt x="989077" y="1170122"/>
                                </a:lnTo>
                                <a:lnTo>
                                  <a:pt x="1022860" y="1134660"/>
                                </a:lnTo>
                                <a:lnTo>
                                  <a:pt x="1056331" y="1099720"/>
                                </a:lnTo>
                                <a:lnTo>
                                  <a:pt x="1089479" y="1065323"/>
                                </a:lnTo>
                                <a:lnTo>
                                  <a:pt x="1122293" y="1031486"/>
                                </a:lnTo>
                                <a:lnTo>
                                  <a:pt x="1154762" y="998229"/>
                                </a:lnTo>
                                <a:lnTo>
                                  <a:pt x="1186873" y="965569"/>
                                </a:lnTo>
                                <a:lnTo>
                                  <a:pt x="1218617" y="933527"/>
                                </a:lnTo>
                                <a:lnTo>
                                  <a:pt x="1249981" y="902119"/>
                                </a:lnTo>
                                <a:lnTo>
                                  <a:pt x="1280955" y="871366"/>
                                </a:lnTo>
                                <a:lnTo>
                                  <a:pt x="1311527" y="841286"/>
                                </a:lnTo>
                                <a:lnTo>
                                  <a:pt x="1341687" y="811897"/>
                                </a:lnTo>
                                <a:lnTo>
                                  <a:pt x="1371422" y="783219"/>
                                </a:lnTo>
                                <a:lnTo>
                                  <a:pt x="1400723" y="755269"/>
                                </a:lnTo>
                                <a:lnTo>
                                  <a:pt x="1429576" y="728067"/>
                                </a:lnTo>
                                <a:lnTo>
                                  <a:pt x="1457972" y="701631"/>
                                </a:lnTo>
                                <a:lnTo>
                                  <a:pt x="1541659" y="625898"/>
                                </a:lnTo>
                                <a:lnTo>
                                  <a:pt x="1595598" y="578965"/>
                                </a:lnTo>
                                <a:lnTo>
                                  <a:pt x="1647797" y="535032"/>
                                </a:lnTo>
                                <a:lnTo>
                                  <a:pt x="1698335" y="493947"/>
                                </a:lnTo>
                                <a:lnTo>
                                  <a:pt x="1747294" y="455560"/>
                                </a:lnTo>
                                <a:lnTo>
                                  <a:pt x="1794754" y="419721"/>
                                </a:lnTo>
                                <a:lnTo>
                                  <a:pt x="1840794" y="386279"/>
                                </a:lnTo>
                                <a:lnTo>
                                  <a:pt x="1885495" y="355082"/>
                                </a:lnTo>
                                <a:lnTo>
                                  <a:pt x="1928937" y="325982"/>
                                </a:lnTo>
                                <a:lnTo>
                                  <a:pt x="1971200" y="298826"/>
                                </a:lnTo>
                                <a:lnTo>
                                  <a:pt x="2012365" y="273465"/>
                                </a:lnTo>
                                <a:lnTo>
                                  <a:pt x="2052512" y="249748"/>
                                </a:lnTo>
                                <a:lnTo>
                                  <a:pt x="2091721" y="227525"/>
                                </a:lnTo>
                                <a:lnTo>
                                  <a:pt x="2130072" y="206644"/>
                                </a:lnTo>
                                <a:lnTo>
                                  <a:pt x="2167645" y="186956"/>
                                </a:lnTo>
                                <a:lnTo>
                                  <a:pt x="2204521" y="168309"/>
                                </a:lnTo>
                                <a:lnTo>
                                  <a:pt x="2240780" y="150553"/>
                                </a:lnTo>
                                <a:lnTo>
                                  <a:pt x="2276502" y="133538"/>
                                </a:lnTo>
                                <a:lnTo>
                                  <a:pt x="2311768" y="117113"/>
                                </a:lnTo>
                                <a:lnTo>
                                  <a:pt x="2346657" y="101127"/>
                                </a:lnTo>
                                <a:lnTo>
                                  <a:pt x="2443853" y="58687"/>
                                </a:lnTo>
                                <a:lnTo>
                                  <a:pt x="2500759" y="37677"/>
                                </a:lnTo>
                                <a:lnTo>
                                  <a:pt x="2553043" y="21869"/>
                                </a:lnTo>
                                <a:lnTo>
                                  <a:pt x="2601777" y="10730"/>
                                </a:lnTo>
                                <a:lnTo>
                                  <a:pt x="2648035" y="3726"/>
                                </a:lnTo>
                                <a:lnTo>
                                  <a:pt x="2692891" y="327"/>
                                </a:lnTo>
                                <a:lnTo>
                                  <a:pt x="2737417" y="0"/>
                                </a:lnTo>
                                <a:lnTo>
                                  <a:pt x="2782688" y="2211"/>
                                </a:lnTo>
                                <a:lnTo>
                                  <a:pt x="2829776" y="6429"/>
                                </a:lnTo>
                                <a:lnTo>
                                  <a:pt x="2879756" y="12121"/>
                                </a:lnTo>
                                <a:lnTo>
                                  <a:pt x="2933700" y="18755"/>
                                </a:lnTo>
                                <a:lnTo>
                                  <a:pt x="2978786" y="24854"/>
                                </a:lnTo>
                                <a:lnTo>
                                  <a:pt x="3025439" y="32290"/>
                                </a:lnTo>
                                <a:lnTo>
                                  <a:pt x="3073417" y="41094"/>
                                </a:lnTo>
                                <a:lnTo>
                                  <a:pt x="3122478" y="51301"/>
                                </a:lnTo>
                                <a:lnTo>
                                  <a:pt x="3172380" y="62943"/>
                                </a:lnTo>
                                <a:lnTo>
                                  <a:pt x="3222882" y="76055"/>
                                </a:lnTo>
                                <a:lnTo>
                                  <a:pt x="3273742" y="90668"/>
                                </a:lnTo>
                                <a:lnTo>
                                  <a:pt x="3324719" y="106818"/>
                                </a:lnTo>
                                <a:lnTo>
                                  <a:pt x="3375571" y="124536"/>
                                </a:lnTo>
                                <a:lnTo>
                                  <a:pt x="3426056" y="143857"/>
                                </a:lnTo>
                                <a:lnTo>
                                  <a:pt x="3475933" y="164813"/>
                                </a:lnTo>
                                <a:lnTo>
                                  <a:pt x="3524960" y="187439"/>
                                </a:lnTo>
                                <a:lnTo>
                                  <a:pt x="3572896" y="211766"/>
                                </a:lnTo>
                                <a:lnTo>
                                  <a:pt x="3619500" y="237830"/>
                                </a:lnTo>
                                <a:lnTo>
                                  <a:pt x="3658455" y="260842"/>
                                </a:lnTo>
                                <a:lnTo>
                                  <a:pt x="3695342" y="283044"/>
                                </a:lnTo>
                                <a:lnTo>
                                  <a:pt x="3730562" y="304903"/>
                                </a:lnTo>
                                <a:lnTo>
                                  <a:pt x="3764518" y="326888"/>
                                </a:lnTo>
                                <a:lnTo>
                                  <a:pt x="3797610" y="349469"/>
                                </a:lnTo>
                                <a:lnTo>
                                  <a:pt x="3830240" y="373114"/>
                                </a:lnTo>
                                <a:lnTo>
                                  <a:pt x="3862811" y="398292"/>
                                </a:lnTo>
                                <a:lnTo>
                                  <a:pt x="3895725" y="425472"/>
                                </a:lnTo>
                                <a:lnTo>
                                  <a:pt x="3929382" y="455122"/>
                                </a:lnTo>
                                <a:lnTo>
                                  <a:pt x="3964185" y="487712"/>
                                </a:lnTo>
                                <a:lnTo>
                                  <a:pt x="4000537" y="523710"/>
                                </a:lnTo>
                                <a:lnTo>
                                  <a:pt x="4038838" y="563585"/>
                                </a:lnTo>
                                <a:lnTo>
                                  <a:pt x="4079490" y="607805"/>
                                </a:lnTo>
                                <a:lnTo>
                                  <a:pt x="4122896" y="656840"/>
                                </a:lnTo>
                                <a:lnTo>
                                  <a:pt x="4169457" y="711159"/>
                                </a:lnTo>
                                <a:lnTo>
                                  <a:pt x="4219575" y="771230"/>
                                </a:lnTo>
                                <a:lnTo>
                                  <a:pt x="4268785" y="832345"/>
                                </a:lnTo>
                                <a:lnTo>
                                  <a:pt x="4295463" y="866436"/>
                                </a:lnTo>
                                <a:lnTo>
                                  <a:pt x="4323390" y="902672"/>
                                </a:lnTo>
                                <a:lnTo>
                                  <a:pt x="4352470" y="940898"/>
                                </a:lnTo>
                                <a:lnTo>
                                  <a:pt x="4382602" y="980956"/>
                                </a:lnTo>
                                <a:lnTo>
                                  <a:pt x="4413688" y="1022690"/>
                                </a:lnTo>
                                <a:lnTo>
                                  <a:pt x="4445629" y="1065943"/>
                                </a:lnTo>
                                <a:lnTo>
                                  <a:pt x="4478327" y="1110558"/>
                                </a:lnTo>
                                <a:lnTo>
                                  <a:pt x="4511683" y="1156378"/>
                                </a:lnTo>
                                <a:lnTo>
                                  <a:pt x="4545597" y="1203247"/>
                                </a:lnTo>
                                <a:lnTo>
                                  <a:pt x="4579972" y="1251007"/>
                                </a:lnTo>
                                <a:lnTo>
                                  <a:pt x="4614709" y="1299503"/>
                                </a:lnTo>
                                <a:lnTo>
                                  <a:pt x="4649708" y="1348577"/>
                                </a:lnTo>
                                <a:lnTo>
                                  <a:pt x="4684872" y="1398072"/>
                                </a:lnTo>
                                <a:lnTo>
                                  <a:pt x="4720101" y="1447831"/>
                                </a:lnTo>
                                <a:lnTo>
                                  <a:pt x="4755297" y="1497699"/>
                                </a:lnTo>
                                <a:lnTo>
                                  <a:pt x="4790360" y="1547517"/>
                                </a:lnTo>
                                <a:lnTo>
                                  <a:pt x="4825193" y="1597130"/>
                                </a:lnTo>
                                <a:lnTo>
                                  <a:pt x="4859696" y="1646380"/>
                                </a:lnTo>
                                <a:lnTo>
                                  <a:pt x="4893771" y="1695111"/>
                                </a:lnTo>
                                <a:lnTo>
                                  <a:pt x="4927320" y="1743165"/>
                                </a:lnTo>
                                <a:lnTo>
                                  <a:pt x="4960242" y="1790387"/>
                                </a:lnTo>
                                <a:lnTo>
                                  <a:pt x="4992440" y="1836619"/>
                                </a:lnTo>
                                <a:lnTo>
                                  <a:pt x="5023815" y="1881704"/>
                                </a:lnTo>
                                <a:lnTo>
                                  <a:pt x="5054268" y="1925486"/>
                                </a:lnTo>
                                <a:lnTo>
                                  <a:pt x="5083700" y="1967808"/>
                                </a:lnTo>
                                <a:lnTo>
                                  <a:pt x="5112013" y="2008513"/>
                                </a:lnTo>
                                <a:lnTo>
                                  <a:pt x="5139108" y="2047444"/>
                                </a:lnTo>
                                <a:lnTo>
                                  <a:pt x="5164887" y="2084445"/>
                                </a:lnTo>
                                <a:lnTo>
                                  <a:pt x="5189249" y="2119359"/>
                                </a:lnTo>
                                <a:lnTo>
                                  <a:pt x="5212098" y="2152028"/>
                                </a:lnTo>
                                <a:lnTo>
                                  <a:pt x="5252857" y="2210008"/>
                                </a:lnTo>
                                <a:lnTo>
                                  <a:pt x="5270570" y="2235004"/>
                                </a:lnTo>
                                <a:lnTo>
                                  <a:pt x="5286375" y="2257130"/>
                                </a:lnTo>
                              </a:path>
                            </a:pathLst>
                          </a:custGeom>
                          <a:ln w="19050">
                            <a:solidFill>
                              <a:srgbClr val="000000"/>
                            </a:solidFill>
                            <a:prstDash val="solid"/>
                          </a:ln>
                        </wps:spPr>
                        <wps:bodyPr wrap="square" lIns="0" tIns="0" rIns="0" bIns="0" rtlCol="0">
                          <a:prstTxWarp prst="textNoShape">
                            <a:avLst/>
                          </a:prstTxWarp>
                          <a:noAutofit/>
                        </wps:bodyPr>
                      </wps:wsp>
                      <wps:wsp>
                        <wps:cNvPr id="186" name="Graphic 186"/>
                        <wps:cNvSpPr/>
                        <wps:spPr>
                          <a:xfrm>
                            <a:off x="41529" y="0"/>
                            <a:ext cx="5610225" cy="3048000"/>
                          </a:xfrm>
                          <a:custGeom>
                            <a:avLst/>
                            <a:gdLst/>
                            <a:ahLst/>
                            <a:cxnLst/>
                            <a:rect l="l" t="t" r="r" b="b"/>
                            <a:pathLst>
                              <a:path w="5610225" h="3048000">
                                <a:moveTo>
                                  <a:pt x="5610225" y="3009900"/>
                                </a:moveTo>
                                <a:lnTo>
                                  <a:pt x="5600573" y="3005074"/>
                                </a:lnTo>
                                <a:lnTo>
                                  <a:pt x="5534025" y="2971800"/>
                                </a:lnTo>
                                <a:lnTo>
                                  <a:pt x="5534025" y="3005074"/>
                                </a:lnTo>
                                <a:lnTo>
                                  <a:pt x="42862" y="3005074"/>
                                </a:lnTo>
                                <a:lnTo>
                                  <a:pt x="42862" y="76200"/>
                                </a:lnTo>
                                <a:lnTo>
                                  <a:pt x="76200" y="76200"/>
                                </a:lnTo>
                                <a:lnTo>
                                  <a:pt x="69850" y="63500"/>
                                </a:lnTo>
                                <a:lnTo>
                                  <a:pt x="38100" y="0"/>
                                </a:lnTo>
                                <a:lnTo>
                                  <a:pt x="0" y="76200"/>
                                </a:lnTo>
                                <a:lnTo>
                                  <a:pt x="33337" y="76200"/>
                                </a:lnTo>
                                <a:lnTo>
                                  <a:pt x="33337" y="3009900"/>
                                </a:lnTo>
                                <a:lnTo>
                                  <a:pt x="38100" y="3009900"/>
                                </a:lnTo>
                                <a:lnTo>
                                  <a:pt x="38100" y="3014599"/>
                                </a:lnTo>
                                <a:lnTo>
                                  <a:pt x="5534025" y="3014599"/>
                                </a:lnTo>
                                <a:lnTo>
                                  <a:pt x="5534025" y="3048000"/>
                                </a:lnTo>
                                <a:lnTo>
                                  <a:pt x="5600827" y="3014599"/>
                                </a:lnTo>
                                <a:lnTo>
                                  <a:pt x="5610225" y="3009900"/>
                                </a:lnTo>
                                <a:close/>
                              </a:path>
                            </a:pathLst>
                          </a:custGeom>
                          <a:solidFill>
                            <a:srgbClr val="000000"/>
                          </a:solidFill>
                        </wps:spPr>
                        <wps:bodyPr wrap="square" lIns="0" tIns="0" rIns="0" bIns="0" rtlCol="0">
                          <a:prstTxWarp prst="textNoShape">
                            <a:avLst/>
                          </a:prstTxWarp>
                          <a:noAutofit/>
                        </wps:bodyPr>
                      </wps:wsp>
                      <pic:pic>
                        <pic:nvPicPr>
                          <pic:cNvPr id="187" name="Image 187"/>
                          <pic:cNvPicPr/>
                        </pic:nvPicPr>
                        <pic:blipFill>
                          <a:blip r:embed="rId58" cstate="print"/>
                          <a:stretch>
                            <a:fillRect/>
                          </a:stretch>
                        </pic:blipFill>
                        <pic:spPr>
                          <a:xfrm>
                            <a:off x="79628" y="266700"/>
                            <a:ext cx="771525" cy="2743200"/>
                          </a:xfrm>
                          <a:prstGeom prst="rect">
                            <a:avLst/>
                          </a:prstGeom>
                        </pic:spPr>
                      </pic:pic>
                      <wps:wsp>
                        <wps:cNvPr id="188" name="Graphic 188"/>
                        <wps:cNvSpPr/>
                        <wps:spPr>
                          <a:xfrm>
                            <a:off x="79628" y="266700"/>
                            <a:ext cx="771525" cy="2743200"/>
                          </a:xfrm>
                          <a:custGeom>
                            <a:avLst/>
                            <a:gdLst/>
                            <a:ahLst/>
                            <a:cxnLst/>
                            <a:rect l="l" t="t" r="r" b="b"/>
                            <a:pathLst>
                              <a:path w="771525" h="2743200">
                                <a:moveTo>
                                  <a:pt x="0" y="2743200"/>
                                </a:moveTo>
                                <a:lnTo>
                                  <a:pt x="771525" y="2743200"/>
                                </a:lnTo>
                                <a:lnTo>
                                  <a:pt x="771525" y="0"/>
                                </a:lnTo>
                                <a:lnTo>
                                  <a:pt x="0" y="0"/>
                                </a:lnTo>
                                <a:lnTo>
                                  <a:pt x="0" y="2743200"/>
                                </a:lnTo>
                                <a:close/>
                              </a:path>
                            </a:pathLst>
                          </a:custGeom>
                          <a:ln w="9525">
                            <a:solidFill>
                              <a:srgbClr val="000000"/>
                            </a:solidFill>
                            <a:prstDash val="solid"/>
                          </a:ln>
                        </wps:spPr>
                        <wps:bodyPr wrap="square" lIns="0" tIns="0" rIns="0" bIns="0" rtlCol="0">
                          <a:prstTxWarp prst="textNoShape">
                            <a:avLst/>
                          </a:prstTxWarp>
                          <a:noAutofit/>
                        </wps:bodyPr>
                      </wps:wsp>
                      <wps:wsp>
                        <wps:cNvPr id="189" name="Graphic 189"/>
                        <wps:cNvSpPr/>
                        <wps:spPr>
                          <a:xfrm>
                            <a:off x="851153" y="266700"/>
                            <a:ext cx="771525" cy="2743200"/>
                          </a:xfrm>
                          <a:custGeom>
                            <a:avLst/>
                            <a:gdLst/>
                            <a:ahLst/>
                            <a:cxnLst/>
                            <a:rect l="l" t="t" r="r" b="b"/>
                            <a:pathLst>
                              <a:path w="771525" h="2743200">
                                <a:moveTo>
                                  <a:pt x="771525" y="0"/>
                                </a:moveTo>
                                <a:lnTo>
                                  <a:pt x="0" y="0"/>
                                </a:lnTo>
                                <a:lnTo>
                                  <a:pt x="0" y="2743200"/>
                                </a:lnTo>
                                <a:lnTo>
                                  <a:pt x="771525" y="2743200"/>
                                </a:lnTo>
                                <a:lnTo>
                                  <a:pt x="771525" y="0"/>
                                </a:lnTo>
                                <a:close/>
                              </a:path>
                            </a:pathLst>
                          </a:custGeom>
                          <a:solidFill>
                            <a:srgbClr val="FFFFFF"/>
                          </a:solidFill>
                        </wps:spPr>
                        <wps:bodyPr wrap="square" lIns="0" tIns="0" rIns="0" bIns="0" rtlCol="0">
                          <a:prstTxWarp prst="textNoShape">
                            <a:avLst/>
                          </a:prstTxWarp>
                          <a:noAutofit/>
                        </wps:bodyPr>
                      </wps:wsp>
                      <wps:wsp>
                        <wps:cNvPr id="190" name="Graphic 190"/>
                        <wps:cNvSpPr/>
                        <wps:spPr>
                          <a:xfrm>
                            <a:off x="851153" y="266700"/>
                            <a:ext cx="771525" cy="2743200"/>
                          </a:xfrm>
                          <a:custGeom>
                            <a:avLst/>
                            <a:gdLst/>
                            <a:ahLst/>
                            <a:cxnLst/>
                            <a:rect l="l" t="t" r="r" b="b"/>
                            <a:pathLst>
                              <a:path w="771525" h="2743200">
                                <a:moveTo>
                                  <a:pt x="0" y="2743200"/>
                                </a:moveTo>
                                <a:lnTo>
                                  <a:pt x="771525" y="2743200"/>
                                </a:lnTo>
                                <a:lnTo>
                                  <a:pt x="771525" y="0"/>
                                </a:lnTo>
                                <a:lnTo>
                                  <a:pt x="0" y="0"/>
                                </a:lnTo>
                                <a:lnTo>
                                  <a:pt x="0" y="2743200"/>
                                </a:lnTo>
                                <a:close/>
                              </a:path>
                            </a:pathLst>
                          </a:custGeom>
                          <a:ln w="9525">
                            <a:solidFill>
                              <a:srgbClr val="000000"/>
                            </a:solidFill>
                            <a:prstDash val="solid"/>
                          </a:ln>
                        </wps:spPr>
                        <wps:bodyPr wrap="square" lIns="0" tIns="0" rIns="0" bIns="0" rtlCol="0">
                          <a:prstTxWarp prst="textNoShape">
                            <a:avLst/>
                          </a:prstTxWarp>
                          <a:noAutofit/>
                        </wps:bodyPr>
                      </wps:wsp>
                      <wps:wsp>
                        <wps:cNvPr id="191" name="Graphic 191"/>
                        <wps:cNvSpPr/>
                        <wps:spPr>
                          <a:xfrm>
                            <a:off x="1622678" y="266700"/>
                            <a:ext cx="2076450" cy="2743200"/>
                          </a:xfrm>
                          <a:custGeom>
                            <a:avLst/>
                            <a:gdLst/>
                            <a:ahLst/>
                            <a:cxnLst/>
                            <a:rect l="l" t="t" r="r" b="b"/>
                            <a:pathLst>
                              <a:path w="2076450" h="2743200">
                                <a:moveTo>
                                  <a:pt x="2076450" y="0"/>
                                </a:moveTo>
                                <a:lnTo>
                                  <a:pt x="0" y="0"/>
                                </a:lnTo>
                                <a:lnTo>
                                  <a:pt x="0" y="2743200"/>
                                </a:lnTo>
                                <a:lnTo>
                                  <a:pt x="2076450" y="2743200"/>
                                </a:lnTo>
                                <a:lnTo>
                                  <a:pt x="2076450" y="0"/>
                                </a:lnTo>
                                <a:close/>
                              </a:path>
                            </a:pathLst>
                          </a:custGeom>
                          <a:solidFill>
                            <a:srgbClr val="FFFFFF"/>
                          </a:solidFill>
                        </wps:spPr>
                        <wps:bodyPr wrap="square" lIns="0" tIns="0" rIns="0" bIns="0" rtlCol="0">
                          <a:prstTxWarp prst="textNoShape">
                            <a:avLst/>
                          </a:prstTxWarp>
                          <a:noAutofit/>
                        </wps:bodyPr>
                      </wps:wsp>
                      <wps:wsp>
                        <wps:cNvPr id="192" name="Graphic 192"/>
                        <wps:cNvSpPr/>
                        <wps:spPr>
                          <a:xfrm>
                            <a:off x="1622678" y="266700"/>
                            <a:ext cx="2076450" cy="2743200"/>
                          </a:xfrm>
                          <a:custGeom>
                            <a:avLst/>
                            <a:gdLst/>
                            <a:ahLst/>
                            <a:cxnLst/>
                            <a:rect l="l" t="t" r="r" b="b"/>
                            <a:pathLst>
                              <a:path w="2076450" h="2743200">
                                <a:moveTo>
                                  <a:pt x="0" y="2743200"/>
                                </a:moveTo>
                                <a:lnTo>
                                  <a:pt x="2076450" y="2743200"/>
                                </a:lnTo>
                                <a:lnTo>
                                  <a:pt x="2076450" y="0"/>
                                </a:lnTo>
                                <a:lnTo>
                                  <a:pt x="0" y="0"/>
                                </a:lnTo>
                                <a:lnTo>
                                  <a:pt x="0" y="2743200"/>
                                </a:lnTo>
                                <a:close/>
                              </a:path>
                            </a:pathLst>
                          </a:custGeom>
                          <a:ln w="9525">
                            <a:solidFill>
                              <a:srgbClr val="000000"/>
                            </a:solidFill>
                            <a:prstDash val="solid"/>
                          </a:ln>
                        </wps:spPr>
                        <wps:bodyPr wrap="square" lIns="0" tIns="0" rIns="0" bIns="0" rtlCol="0">
                          <a:prstTxWarp prst="textNoShape">
                            <a:avLst/>
                          </a:prstTxWarp>
                          <a:noAutofit/>
                        </wps:bodyPr>
                      </wps:wsp>
                      <wps:wsp>
                        <wps:cNvPr id="193" name="Graphic 193"/>
                        <wps:cNvSpPr/>
                        <wps:spPr>
                          <a:xfrm>
                            <a:off x="3699128" y="266700"/>
                            <a:ext cx="847725" cy="2743200"/>
                          </a:xfrm>
                          <a:custGeom>
                            <a:avLst/>
                            <a:gdLst/>
                            <a:ahLst/>
                            <a:cxnLst/>
                            <a:rect l="l" t="t" r="r" b="b"/>
                            <a:pathLst>
                              <a:path w="847725" h="2743200">
                                <a:moveTo>
                                  <a:pt x="847725" y="0"/>
                                </a:moveTo>
                                <a:lnTo>
                                  <a:pt x="0" y="0"/>
                                </a:lnTo>
                                <a:lnTo>
                                  <a:pt x="0" y="2743200"/>
                                </a:lnTo>
                                <a:lnTo>
                                  <a:pt x="847725" y="2743200"/>
                                </a:lnTo>
                                <a:lnTo>
                                  <a:pt x="847725" y="0"/>
                                </a:lnTo>
                                <a:close/>
                              </a:path>
                            </a:pathLst>
                          </a:custGeom>
                          <a:solidFill>
                            <a:srgbClr val="FFFFFF"/>
                          </a:solidFill>
                        </wps:spPr>
                        <wps:bodyPr wrap="square" lIns="0" tIns="0" rIns="0" bIns="0" rtlCol="0">
                          <a:prstTxWarp prst="textNoShape">
                            <a:avLst/>
                          </a:prstTxWarp>
                          <a:noAutofit/>
                        </wps:bodyPr>
                      </wps:wsp>
                      <wps:wsp>
                        <wps:cNvPr id="194" name="Graphic 194"/>
                        <wps:cNvSpPr/>
                        <wps:spPr>
                          <a:xfrm>
                            <a:off x="3699128" y="266700"/>
                            <a:ext cx="847725" cy="2743200"/>
                          </a:xfrm>
                          <a:custGeom>
                            <a:avLst/>
                            <a:gdLst/>
                            <a:ahLst/>
                            <a:cxnLst/>
                            <a:rect l="l" t="t" r="r" b="b"/>
                            <a:pathLst>
                              <a:path w="847725" h="2743200">
                                <a:moveTo>
                                  <a:pt x="0" y="2743200"/>
                                </a:moveTo>
                                <a:lnTo>
                                  <a:pt x="847725" y="2743200"/>
                                </a:lnTo>
                                <a:lnTo>
                                  <a:pt x="847725" y="0"/>
                                </a:lnTo>
                                <a:lnTo>
                                  <a:pt x="0" y="0"/>
                                </a:lnTo>
                                <a:lnTo>
                                  <a:pt x="0" y="2743200"/>
                                </a:lnTo>
                                <a:close/>
                              </a:path>
                            </a:pathLst>
                          </a:custGeom>
                          <a:ln w="9525">
                            <a:solidFill>
                              <a:srgbClr val="000000"/>
                            </a:solidFill>
                            <a:prstDash val="solid"/>
                          </a:ln>
                        </wps:spPr>
                        <wps:bodyPr wrap="square" lIns="0" tIns="0" rIns="0" bIns="0" rtlCol="0">
                          <a:prstTxWarp prst="textNoShape">
                            <a:avLst/>
                          </a:prstTxWarp>
                          <a:noAutofit/>
                        </wps:bodyPr>
                      </wps:wsp>
                      <pic:pic>
                        <pic:nvPicPr>
                          <pic:cNvPr id="195" name="Image 195"/>
                          <pic:cNvPicPr/>
                        </pic:nvPicPr>
                        <pic:blipFill>
                          <a:blip r:embed="rId59" cstate="print"/>
                          <a:stretch>
                            <a:fillRect/>
                          </a:stretch>
                        </pic:blipFill>
                        <pic:spPr>
                          <a:xfrm>
                            <a:off x="4537328" y="266700"/>
                            <a:ext cx="809625" cy="2743200"/>
                          </a:xfrm>
                          <a:prstGeom prst="rect">
                            <a:avLst/>
                          </a:prstGeom>
                        </pic:spPr>
                      </pic:pic>
                      <wps:wsp>
                        <wps:cNvPr id="196" name="Graphic 196"/>
                        <wps:cNvSpPr/>
                        <wps:spPr>
                          <a:xfrm>
                            <a:off x="4537328" y="266700"/>
                            <a:ext cx="809625" cy="2743200"/>
                          </a:xfrm>
                          <a:custGeom>
                            <a:avLst/>
                            <a:gdLst/>
                            <a:ahLst/>
                            <a:cxnLst/>
                            <a:rect l="l" t="t" r="r" b="b"/>
                            <a:pathLst>
                              <a:path w="809625" h="2743200">
                                <a:moveTo>
                                  <a:pt x="0" y="2743200"/>
                                </a:moveTo>
                                <a:lnTo>
                                  <a:pt x="809625" y="2743200"/>
                                </a:lnTo>
                                <a:lnTo>
                                  <a:pt x="809625" y="0"/>
                                </a:lnTo>
                                <a:lnTo>
                                  <a:pt x="0" y="0"/>
                                </a:lnTo>
                                <a:lnTo>
                                  <a:pt x="0" y="2743200"/>
                                </a:lnTo>
                                <a:close/>
                              </a:path>
                            </a:pathLst>
                          </a:custGeom>
                          <a:ln w="9525">
                            <a:solidFill>
                              <a:srgbClr val="000000"/>
                            </a:solidFill>
                            <a:prstDash val="solid"/>
                          </a:ln>
                        </wps:spPr>
                        <wps:bodyPr wrap="square" lIns="0" tIns="0" rIns="0" bIns="0" rtlCol="0">
                          <a:prstTxWarp prst="textNoShape">
                            <a:avLst/>
                          </a:prstTxWarp>
                          <a:noAutofit/>
                        </wps:bodyPr>
                      </wps:wsp>
                      <wps:wsp>
                        <wps:cNvPr id="197" name="Graphic 197"/>
                        <wps:cNvSpPr/>
                        <wps:spPr>
                          <a:xfrm>
                            <a:off x="2651379" y="304800"/>
                            <a:ext cx="1270" cy="2705100"/>
                          </a:xfrm>
                          <a:custGeom>
                            <a:avLst/>
                            <a:gdLst/>
                            <a:ahLst/>
                            <a:cxnLst/>
                            <a:rect l="l" t="t" r="r" b="b"/>
                            <a:pathLst>
                              <a:path w="0" h="2705100">
                                <a:moveTo>
                                  <a:pt x="0" y="0"/>
                                </a:moveTo>
                                <a:lnTo>
                                  <a:pt x="0" y="2705100"/>
                                </a:lnTo>
                              </a:path>
                            </a:pathLst>
                          </a:custGeom>
                          <a:ln w="19050">
                            <a:solidFill>
                              <a:srgbClr val="000000"/>
                            </a:solidFill>
                            <a:prstDash val="sysDot"/>
                          </a:ln>
                        </wps:spPr>
                        <wps:bodyPr wrap="square" lIns="0" tIns="0" rIns="0" bIns="0" rtlCol="0">
                          <a:prstTxWarp prst="textNoShape">
                            <a:avLst/>
                          </a:prstTxWarp>
                          <a:noAutofit/>
                        </wps:bodyPr>
                      </wps:wsp>
                      <wps:wsp>
                        <wps:cNvPr id="198" name="Graphic 198"/>
                        <wps:cNvSpPr/>
                        <wps:spPr>
                          <a:xfrm>
                            <a:off x="117729" y="213995"/>
                            <a:ext cx="5248275" cy="90805"/>
                          </a:xfrm>
                          <a:custGeom>
                            <a:avLst/>
                            <a:gdLst/>
                            <a:ahLst/>
                            <a:cxnLst/>
                            <a:rect l="l" t="t" r="r" b="b"/>
                            <a:pathLst>
                              <a:path w="5248275" h="90805">
                                <a:moveTo>
                                  <a:pt x="5248275" y="0"/>
                                </a:moveTo>
                                <a:lnTo>
                                  <a:pt x="0" y="0"/>
                                </a:lnTo>
                                <a:lnTo>
                                  <a:pt x="0" y="90804"/>
                                </a:lnTo>
                                <a:lnTo>
                                  <a:pt x="5248275" y="90804"/>
                                </a:lnTo>
                                <a:lnTo>
                                  <a:pt x="5248275" y="0"/>
                                </a:lnTo>
                                <a:close/>
                              </a:path>
                            </a:pathLst>
                          </a:custGeom>
                          <a:solidFill>
                            <a:srgbClr val="FFFFFF"/>
                          </a:solidFill>
                        </wps:spPr>
                        <wps:bodyPr wrap="square" lIns="0" tIns="0" rIns="0" bIns="0" rtlCol="0">
                          <a:prstTxWarp prst="textNoShape">
                            <a:avLst/>
                          </a:prstTxWarp>
                          <a:noAutofit/>
                        </wps:bodyPr>
                      </wps:wsp>
                      <wps:wsp>
                        <wps:cNvPr id="199" name="Graphic 199"/>
                        <wps:cNvSpPr/>
                        <wps:spPr>
                          <a:xfrm>
                            <a:off x="1348358" y="2971800"/>
                            <a:ext cx="76200" cy="390525"/>
                          </a:xfrm>
                          <a:custGeom>
                            <a:avLst/>
                            <a:gdLst/>
                            <a:ahLst/>
                            <a:cxnLst/>
                            <a:rect l="l" t="t" r="r" b="b"/>
                            <a:pathLst>
                              <a:path w="76200" h="390525">
                                <a:moveTo>
                                  <a:pt x="33396" y="314325"/>
                                </a:moveTo>
                                <a:lnTo>
                                  <a:pt x="0" y="314325"/>
                                </a:lnTo>
                                <a:lnTo>
                                  <a:pt x="38100" y="390525"/>
                                </a:lnTo>
                                <a:lnTo>
                                  <a:pt x="69850" y="327025"/>
                                </a:lnTo>
                                <a:lnTo>
                                  <a:pt x="33400" y="327025"/>
                                </a:lnTo>
                                <a:lnTo>
                                  <a:pt x="33396" y="314325"/>
                                </a:lnTo>
                                <a:close/>
                              </a:path>
                              <a:path w="76200" h="390525">
                                <a:moveTo>
                                  <a:pt x="42799" y="0"/>
                                </a:moveTo>
                                <a:lnTo>
                                  <a:pt x="33274" y="0"/>
                                </a:lnTo>
                                <a:lnTo>
                                  <a:pt x="33400" y="327025"/>
                                </a:lnTo>
                                <a:lnTo>
                                  <a:pt x="42925" y="327025"/>
                                </a:lnTo>
                                <a:lnTo>
                                  <a:pt x="42799" y="0"/>
                                </a:lnTo>
                                <a:close/>
                              </a:path>
                              <a:path w="76200" h="390525">
                                <a:moveTo>
                                  <a:pt x="76200" y="314325"/>
                                </a:moveTo>
                                <a:lnTo>
                                  <a:pt x="42921" y="314325"/>
                                </a:lnTo>
                                <a:lnTo>
                                  <a:pt x="42925" y="327025"/>
                                </a:lnTo>
                                <a:lnTo>
                                  <a:pt x="69850" y="327025"/>
                                </a:lnTo>
                                <a:lnTo>
                                  <a:pt x="76200" y="314325"/>
                                </a:lnTo>
                                <a:close/>
                              </a:path>
                            </a:pathLst>
                          </a:custGeom>
                          <a:solidFill>
                            <a:srgbClr val="000000"/>
                          </a:solidFill>
                        </wps:spPr>
                        <wps:bodyPr wrap="square" lIns="0" tIns="0" rIns="0" bIns="0" rtlCol="0">
                          <a:prstTxWarp prst="textNoShape">
                            <a:avLst/>
                          </a:prstTxWarp>
                          <a:noAutofit/>
                        </wps:bodyPr>
                      </wps:wsp>
                      <wps:wsp>
                        <wps:cNvPr id="200" name="Graphic 200"/>
                        <wps:cNvSpPr/>
                        <wps:spPr>
                          <a:xfrm>
                            <a:off x="79628" y="713377"/>
                            <a:ext cx="5267325" cy="2287270"/>
                          </a:xfrm>
                          <a:custGeom>
                            <a:avLst/>
                            <a:gdLst/>
                            <a:ahLst/>
                            <a:cxnLst/>
                            <a:rect l="l" t="t" r="r" b="b"/>
                            <a:pathLst>
                              <a:path w="5267325" h="2287270">
                                <a:moveTo>
                                  <a:pt x="0" y="2286997"/>
                                </a:moveTo>
                                <a:lnTo>
                                  <a:pt x="31476" y="2240849"/>
                                </a:lnTo>
                                <a:lnTo>
                                  <a:pt x="62952" y="2194723"/>
                                </a:lnTo>
                                <a:lnTo>
                                  <a:pt x="94425" y="2148641"/>
                                </a:lnTo>
                                <a:lnTo>
                                  <a:pt x="125893" y="2102623"/>
                                </a:lnTo>
                                <a:lnTo>
                                  <a:pt x="157353" y="2056690"/>
                                </a:lnTo>
                                <a:lnTo>
                                  <a:pt x="188803" y="2010864"/>
                                </a:lnTo>
                                <a:lnTo>
                                  <a:pt x="220240" y="1965164"/>
                                </a:lnTo>
                                <a:lnTo>
                                  <a:pt x="251663" y="1919611"/>
                                </a:lnTo>
                                <a:lnTo>
                                  <a:pt x="283068" y="1874227"/>
                                </a:lnTo>
                                <a:lnTo>
                                  <a:pt x="314453" y="1829032"/>
                                </a:lnTo>
                                <a:lnTo>
                                  <a:pt x="345817" y="1784047"/>
                                </a:lnTo>
                                <a:lnTo>
                                  <a:pt x="377155" y="1739293"/>
                                </a:lnTo>
                                <a:lnTo>
                                  <a:pt x="408467" y="1694791"/>
                                </a:lnTo>
                                <a:lnTo>
                                  <a:pt x="439749" y="1650560"/>
                                </a:lnTo>
                                <a:lnTo>
                                  <a:pt x="470999" y="1606623"/>
                                </a:lnTo>
                                <a:lnTo>
                                  <a:pt x="502215" y="1563000"/>
                                </a:lnTo>
                                <a:lnTo>
                                  <a:pt x="533395" y="1519711"/>
                                </a:lnTo>
                                <a:lnTo>
                                  <a:pt x="564535" y="1476778"/>
                                </a:lnTo>
                                <a:lnTo>
                                  <a:pt x="595634" y="1434222"/>
                                </a:lnTo>
                                <a:lnTo>
                                  <a:pt x="626689" y="1392062"/>
                                </a:lnTo>
                                <a:lnTo>
                                  <a:pt x="657697" y="1350321"/>
                                </a:lnTo>
                                <a:lnTo>
                                  <a:pt x="688657" y="1309018"/>
                                </a:lnTo>
                                <a:lnTo>
                                  <a:pt x="719566" y="1268175"/>
                                </a:lnTo>
                                <a:lnTo>
                                  <a:pt x="750421" y="1227812"/>
                                </a:lnTo>
                                <a:lnTo>
                                  <a:pt x="781220" y="1187950"/>
                                </a:lnTo>
                                <a:lnTo>
                                  <a:pt x="811960" y="1148610"/>
                                </a:lnTo>
                                <a:lnTo>
                                  <a:pt x="842640" y="1109812"/>
                                </a:lnTo>
                                <a:lnTo>
                                  <a:pt x="873257" y="1071579"/>
                                </a:lnTo>
                                <a:lnTo>
                                  <a:pt x="903808" y="1033929"/>
                                </a:lnTo>
                                <a:lnTo>
                                  <a:pt x="934290" y="996885"/>
                                </a:lnTo>
                                <a:lnTo>
                                  <a:pt x="964703" y="960466"/>
                                </a:lnTo>
                                <a:lnTo>
                                  <a:pt x="995042" y="924695"/>
                                </a:lnTo>
                                <a:lnTo>
                                  <a:pt x="1025306" y="889590"/>
                                </a:lnTo>
                                <a:lnTo>
                                  <a:pt x="1055493" y="855175"/>
                                </a:lnTo>
                                <a:lnTo>
                                  <a:pt x="1085599" y="821468"/>
                                </a:lnTo>
                                <a:lnTo>
                                  <a:pt x="1115622" y="788491"/>
                                </a:lnTo>
                                <a:lnTo>
                                  <a:pt x="1145561" y="756264"/>
                                </a:lnTo>
                                <a:lnTo>
                                  <a:pt x="1175412" y="724810"/>
                                </a:lnTo>
                                <a:lnTo>
                                  <a:pt x="1205174" y="694147"/>
                                </a:lnTo>
                                <a:lnTo>
                                  <a:pt x="1234843" y="664298"/>
                                </a:lnTo>
                                <a:lnTo>
                                  <a:pt x="1264418" y="635282"/>
                                </a:lnTo>
                                <a:lnTo>
                                  <a:pt x="1293895" y="607122"/>
                                </a:lnTo>
                                <a:lnTo>
                                  <a:pt x="1323273" y="579836"/>
                                </a:lnTo>
                                <a:lnTo>
                                  <a:pt x="1352550" y="553447"/>
                                </a:lnTo>
                                <a:lnTo>
                                  <a:pt x="1400020" y="512161"/>
                                </a:lnTo>
                                <a:lnTo>
                                  <a:pt x="1447192" y="472802"/>
                                </a:lnTo>
                                <a:lnTo>
                                  <a:pt x="1494079" y="435334"/>
                                </a:lnTo>
                                <a:lnTo>
                                  <a:pt x="1540696" y="399718"/>
                                </a:lnTo>
                                <a:lnTo>
                                  <a:pt x="1587057" y="365919"/>
                                </a:lnTo>
                                <a:lnTo>
                                  <a:pt x="1633178" y="333898"/>
                                </a:lnTo>
                                <a:lnTo>
                                  <a:pt x="1679072" y="303617"/>
                                </a:lnTo>
                                <a:lnTo>
                                  <a:pt x="1724754" y="275040"/>
                                </a:lnTo>
                                <a:lnTo>
                                  <a:pt x="1770238" y="248130"/>
                                </a:lnTo>
                                <a:lnTo>
                                  <a:pt x="1815540" y="222848"/>
                                </a:lnTo>
                                <a:lnTo>
                                  <a:pt x="1860673" y="199158"/>
                                </a:lnTo>
                                <a:lnTo>
                                  <a:pt x="1905653" y="177022"/>
                                </a:lnTo>
                                <a:lnTo>
                                  <a:pt x="1950493" y="156403"/>
                                </a:lnTo>
                                <a:lnTo>
                                  <a:pt x="1995208" y="137263"/>
                                </a:lnTo>
                                <a:lnTo>
                                  <a:pt x="2039813" y="119565"/>
                                </a:lnTo>
                                <a:lnTo>
                                  <a:pt x="2084322" y="103272"/>
                                </a:lnTo>
                                <a:lnTo>
                                  <a:pt x="2128750" y="88347"/>
                                </a:lnTo>
                                <a:lnTo>
                                  <a:pt x="2173111" y="74751"/>
                                </a:lnTo>
                                <a:lnTo>
                                  <a:pt x="2217419" y="62448"/>
                                </a:lnTo>
                                <a:lnTo>
                                  <a:pt x="2261690" y="51401"/>
                                </a:lnTo>
                                <a:lnTo>
                                  <a:pt x="2305938" y="41571"/>
                                </a:lnTo>
                                <a:lnTo>
                                  <a:pt x="2350177" y="32922"/>
                                </a:lnTo>
                                <a:lnTo>
                                  <a:pt x="2394422" y="25416"/>
                                </a:lnTo>
                                <a:lnTo>
                                  <a:pt x="2438687" y="19016"/>
                                </a:lnTo>
                                <a:lnTo>
                                  <a:pt x="2482987" y="13684"/>
                                </a:lnTo>
                                <a:lnTo>
                                  <a:pt x="2527336" y="9384"/>
                                </a:lnTo>
                                <a:lnTo>
                                  <a:pt x="2571750" y="6077"/>
                                </a:lnTo>
                                <a:lnTo>
                                  <a:pt x="2617618" y="3452"/>
                                </a:lnTo>
                                <a:lnTo>
                                  <a:pt x="2662947" y="1502"/>
                                </a:lnTo>
                                <a:lnTo>
                                  <a:pt x="2707798" y="320"/>
                                </a:lnTo>
                                <a:lnTo>
                                  <a:pt x="2752236" y="0"/>
                                </a:lnTo>
                                <a:lnTo>
                                  <a:pt x="2796323" y="635"/>
                                </a:lnTo>
                                <a:lnTo>
                                  <a:pt x="2840123" y="2321"/>
                                </a:lnTo>
                                <a:lnTo>
                                  <a:pt x="2883698" y="5150"/>
                                </a:lnTo>
                                <a:lnTo>
                                  <a:pt x="2927111" y="9217"/>
                                </a:lnTo>
                                <a:lnTo>
                                  <a:pt x="2970426" y="14616"/>
                                </a:lnTo>
                                <a:lnTo>
                                  <a:pt x="3013706" y="21439"/>
                                </a:lnTo>
                                <a:lnTo>
                                  <a:pt x="3057013" y="29782"/>
                                </a:lnTo>
                                <a:lnTo>
                                  <a:pt x="3100412" y="39738"/>
                                </a:lnTo>
                                <a:lnTo>
                                  <a:pt x="3143964" y="51400"/>
                                </a:lnTo>
                                <a:lnTo>
                                  <a:pt x="3187733" y="64864"/>
                                </a:lnTo>
                                <a:lnTo>
                                  <a:pt x="3231782" y="80222"/>
                                </a:lnTo>
                                <a:lnTo>
                                  <a:pt x="3276175" y="97568"/>
                                </a:lnTo>
                                <a:lnTo>
                                  <a:pt x="3320973" y="116997"/>
                                </a:lnTo>
                                <a:lnTo>
                                  <a:pt x="3366241" y="138602"/>
                                </a:lnTo>
                                <a:lnTo>
                                  <a:pt x="3412041" y="162477"/>
                                </a:lnTo>
                                <a:lnTo>
                                  <a:pt x="3458437" y="188716"/>
                                </a:lnTo>
                                <a:lnTo>
                                  <a:pt x="3505492" y="217412"/>
                                </a:lnTo>
                                <a:lnTo>
                                  <a:pt x="3553268" y="248661"/>
                                </a:lnTo>
                                <a:lnTo>
                                  <a:pt x="3601828" y="282554"/>
                                </a:lnTo>
                                <a:lnTo>
                                  <a:pt x="3651237" y="319187"/>
                                </a:lnTo>
                                <a:lnTo>
                                  <a:pt x="3701556" y="358654"/>
                                </a:lnTo>
                                <a:lnTo>
                                  <a:pt x="3752850" y="401047"/>
                                </a:lnTo>
                                <a:lnTo>
                                  <a:pt x="3809398" y="450504"/>
                                </a:lnTo>
                                <a:lnTo>
                                  <a:pt x="3837988" y="476636"/>
                                </a:lnTo>
                                <a:lnTo>
                                  <a:pt x="3866783" y="503676"/>
                                </a:lnTo>
                                <a:lnTo>
                                  <a:pt x="3895779" y="531604"/>
                                </a:lnTo>
                                <a:lnTo>
                                  <a:pt x="3924969" y="560401"/>
                                </a:lnTo>
                                <a:lnTo>
                                  <a:pt x="3954351" y="590046"/>
                                </a:lnTo>
                                <a:lnTo>
                                  <a:pt x="3983919" y="620519"/>
                                </a:lnTo>
                                <a:lnTo>
                                  <a:pt x="4013669" y="651800"/>
                                </a:lnTo>
                                <a:lnTo>
                                  <a:pt x="4043596" y="683868"/>
                                </a:lnTo>
                                <a:lnTo>
                                  <a:pt x="4073696" y="716704"/>
                                </a:lnTo>
                                <a:lnTo>
                                  <a:pt x="4103965" y="750287"/>
                                </a:lnTo>
                                <a:lnTo>
                                  <a:pt x="4134397" y="784598"/>
                                </a:lnTo>
                                <a:lnTo>
                                  <a:pt x="4164988" y="819615"/>
                                </a:lnTo>
                                <a:lnTo>
                                  <a:pt x="4195734" y="855320"/>
                                </a:lnTo>
                                <a:lnTo>
                                  <a:pt x="4226630" y="891691"/>
                                </a:lnTo>
                                <a:lnTo>
                                  <a:pt x="4257672" y="928708"/>
                                </a:lnTo>
                                <a:lnTo>
                                  <a:pt x="4288854" y="966352"/>
                                </a:lnTo>
                                <a:lnTo>
                                  <a:pt x="4320173" y="1004603"/>
                                </a:lnTo>
                                <a:lnTo>
                                  <a:pt x="4351624" y="1043439"/>
                                </a:lnTo>
                                <a:lnTo>
                                  <a:pt x="4383202" y="1082841"/>
                                </a:lnTo>
                                <a:lnTo>
                                  <a:pt x="4414903" y="1122790"/>
                                </a:lnTo>
                                <a:lnTo>
                                  <a:pt x="4446722" y="1163263"/>
                                </a:lnTo>
                                <a:lnTo>
                                  <a:pt x="4478655" y="1204243"/>
                                </a:lnTo>
                                <a:lnTo>
                                  <a:pt x="4510696" y="1245708"/>
                                </a:lnTo>
                                <a:lnTo>
                                  <a:pt x="4542843" y="1287637"/>
                                </a:lnTo>
                                <a:lnTo>
                                  <a:pt x="4575090" y="1330012"/>
                                </a:lnTo>
                                <a:lnTo>
                                  <a:pt x="4607432" y="1372812"/>
                                </a:lnTo>
                                <a:lnTo>
                                  <a:pt x="4639865" y="1416017"/>
                                </a:lnTo>
                                <a:lnTo>
                                  <a:pt x="4672384" y="1459606"/>
                                </a:lnTo>
                                <a:lnTo>
                                  <a:pt x="4704985" y="1503559"/>
                                </a:lnTo>
                                <a:lnTo>
                                  <a:pt x="4737664" y="1547857"/>
                                </a:lnTo>
                                <a:lnTo>
                                  <a:pt x="4770415" y="1592479"/>
                                </a:lnTo>
                                <a:lnTo>
                                  <a:pt x="4803235" y="1637405"/>
                                </a:lnTo>
                                <a:lnTo>
                                  <a:pt x="4836118" y="1682615"/>
                                </a:lnTo>
                                <a:lnTo>
                                  <a:pt x="4869060" y="1728088"/>
                                </a:lnTo>
                                <a:lnTo>
                                  <a:pt x="4902057" y="1773805"/>
                                </a:lnTo>
                                <a:lnTo>
                                  <a:pt x="4935104" y="1819745"/>
                                </a:lnTo>
                                <a:lnTo>
                                  <a:pt x="4968197" y="1865889"/>
                                </a:lnTo>
                                <a:lnTo>
                                  <a:pt x="5001330" y="1912215"/>
                                </a:lnTo>
                                <a:lnTo>
                                  <a:pt x="5034500" y="1958704"/>
                                </a:lnTo>
                                <a:lnTo>
                                  <a:pt x="5067701" y="2005336"/>
                                </a:lnTo>
                                <a:lnTo>
                                  <a:pt x="5100930" y="2052091"/>
                                </a:lnTo>
                                <a:lnTo>
                                  <a:pt x="5134182" y="2098948"/>
                                </a:lnTo>
                                <a:lnTo>
                                  <a:pt x="5167452" y="2145887"/>
                                </a:lnTo>
                                <a:lnTo>
                                  <a:pt x="5200735" y="2192889"/>
                                </a:lnTo>
                                <a:lnTo>
                                  <a:pt x="5234027" y="2239932"/>
                                </a:lnTo>
                                <a:lnTo>
                                  <a:pt x="5267325" y="2286997"/>
                                </a:lnTo>
                              </a:path>
                            </a:pathLst>
                          </a:custGeom>
                          <a:ln w="9525">
                            <a:solidFill>
                              <a:srgbClr val="000000"/>
                            </a:solidFill>
                            <a:prstDash val="solid"/>
                          </a:ln>
                        </wps:spPr>
                        <wps:bodyPr wrap="square" lIns="0" tIns="0" rIns="0" bIns="0" rtlCol="0">
                          <a:prstTxWarp prst="textNoShape">
                            <a:avLst/>
                          </a:prstTxWarp>
                          <a:noAutofit/>
                        </wps:bodyPr>
                      </wps:wsp>
                      <wps:wsp>
                        <wps:cNvPr id="201" name="Textbox 201"/>
                        <wps:cNvSpPr txBox="1"/>
                        <wps:spPr>
                          <a:xfrm>
                            <a:off x="1610808" y="890073"/>
                            <a:ext cx="69215" cy="140335"/>
                          </a:xfrm>
                          <a:prstGeom prst="rect">
                            <a:avLst/>
                          </a:prstGeom>
                        </wps:spPr>
                        <wps:txbx>
                          <w:txbxContent>
                            <w:p>
                              <w:pPr>
                                <w:spacing w:line="221" w:lineRule="exact" w:before="0"/>
                                <w:ind w:left="0" w:right="0" w:firstLine="0"/>
                                <w:jc w:val="left"/>
                                <w:rPr>
                                  <w:b/>
                                  <w:sz w:val="20"/>
                                </w:rPr>
                              </w:pPr>
                              <w:r>
                                <w:rPr>
                                  <w:b/>
                                  <w:spacing w:val="-10"/>
                                  <w:sz w:val="20"/>
                                </w:rPr>
                                <w:t>e</w:t>
                              </w:r>
                            </w:p>
                          </w:txbxContent>
                        </wps:txbx>
                        <wps:bodyPr wrap="square" lIns="0" tIns="0" rIns="0" bIns="0" rtlCol="0">
                          <a:noAutofit/>
                        </wps:bodyPr>
                      </wps:wsp>
                      <wps:wsp>
                        <wps:cNvPr id="202" name="Textbox 202"/>
                        <wps:cNvSpPr txBox="1"/>
                        <wps:spPr>
                          <a:xfrm>
                            <a:off x="2170810" y="1042473"/>
                            <a:ext cx="1003300" cy="433070"/>
                          </a:xfrm>
                          <a:prstGeom prst="rect">
                            <a:avLst/>
                          </a:prstGeom>
                        </wps:spPr>
                        <wps:txbx>
                          <w:txbxContent>
                            <w:p>
                              <w:pPr>
                                <w:spacing w:line="240" w:lineRule="auto" w:before="0"/>
                                <w:ind w:left="698" w:right="13" w:hanging="699"/>
                                <w:jc w:val="left"/>
                                <w:rPr>
                                  <w:sz w:val="20"/>
                                </w:rPr>
                              </w:pPr>
                              <w:r>
                                <w:rPr>
                                  <w:sz w:val="20"/>
                                </w:rPr>
                                <w:t>No</w:t>
                              </w:r>
                              <w:r>
                                <w:rPr>
                                  <w:spacing w:val="-13"/>
                                  <w:sz w:val="20"/>
                                </w:rPr>
                                <w:t> </w:t>
                              </w:r>
                              <w:r>
                                <w:rPr>
                                  <w:sz w:val="20"/>
                                </w:rPr>
                                <w:t>Autocorrelation </w:t>
                              </w:r>
                              <w:r>
                                <w:rPr>
                                  <w:spacing w:val="-6"/>
                                  <w:sz w:val="20"/>
                                </w:rPr>
                                <w:t>or</w:t>
                              </w:r>
                            </w:p>
                            <w:p>
                              <w:pPr>
                                <w:spacing w:before="0"/>
                                <w:ind w:left="0" w:right="0" w:firstLine="0"/>
                                <w:jc w:val="left"/>
                                <w:rPr>
                                  <w:sz w:val="20"/>
                                </w:rPr>
                              </w:pPr>
                              <w:r>
                                <w:rPr>
                                  <w:sz w:val="20"/>
                                </w:rPr>
                                <w:t>Acceptance</w:t>
                              </w:r>
                              <w:r>
                                <w:rPr>
                                  <w:spacing w:val="-12"/>
                                  <w:sz w:val="20"/>
                                </w:rPr>
                                <w:t> </w:t>
                              </w:r>
                              <w:r>
                                <w:rPr>
                                  <w:spacing w:val="-2"/>
                                  <w:sz w:val="20"/>
                                </w:rPr>
                                <w:t>Region</w:t>
                              </w:r>
                            </w:p>
                          </w:txbxContent>
                        </wps:txbx>
                        <wps:bodyPr wrap="square" lIns="0" tIns="0" rIns="0" bIns="0" rtlCol="0">
                          <a:noAutofit/>
                        </wps:bodyPr>
                      </wps:wsp>
                      <wps:wsp>
                        <wps:cNvPr id="203" name="Textbox 203"/>
                        <wps:cNvSpPr txBox="1"/>
                        <wps:spPr>
                          <a:xfrm>
                            <a:off x="0" y="2958395"/>
                            <a:ext cx="76200" cy="140335"/>
                          </a:xfrm>
                          <a:prstGeom prst="rect">
                            <a:avLst/>
                          </a:prstGeom>
                        </wps:spPr>
                        <wps:txbx>
                          <w:txbxContent>
                            <w:p>
                              <w:pPr>
                                <w:spacing w:line="221" w:lineRule="exact" w:before="0"/>
                                <w:ind w:left="0" w:right="0" w:firstLine="0"/>
                                <w:jc w:val="left"/>
                                <w:rPr>
                                  <w:sz w:val="20"/>
                                </w:rPr>
                              </w:pPr>
                              <w:r>
                                <w:rPr>
                                  <w:spacing w:val="-10"/>
                                  <w:sz w:val="20"/>
                                </w:rPr>
                                <w:t>0</w:t>
                              </w:r>
                            </w:p>
                          </w:txbxContent>
                        </wps:txbx>
                        <wps:bodyPr wrap="square" lIns="0" tIns="0" rIns="0" bIns="0" rtlCol="0">
                          <a:noAutofit/>
                        </wps:bodyPr>
                      </wps:wsp>
                      <wps:wsp>
                        <wps:cNvPr id="204" name="Textbox 204"/>
                        <wps:cNvSpPr txBox="1"/>
                        <wps:spPr>
                          <a:xfrm>
                            <a:off x="771398" y="3005639"/>
                            <a:ext cx="198755" cy="287655"/>
                          </a:xfrm>
                          <a:prstGeom prst="rect">
                            <a:avLst/>
                          </a:prstGeom>
                        </wps:spPr>
                        <wps:txbx>
                          <w:txbxContent>
                            <w:p>
                              <w:pPr>
                                <w:spacing w:line="225" w:lineRule="exact" w:before="0"/>
                                <w:ind w:left="0" w:right="0" w:firstLine="0"/>
                                <w:jc w:val="left"/>
                                <w:rPr>
                                  <w:sz w:val="13"/>
                                </w:rPr>
                              </w:pPr>
                              <w:r>
                                <w:rPr>
                                  <w:spacing w:val="-5"/>
                                  <w:position w:val="2"/>
                                  <w:sz w:val="20"/>
                                </w:rPr>
                                <w:t>d</w:t>
                              </w:r>
                              <w:r>
                                <w:rPr>
                                  <w:spacing w:val="-5"/>
                                  <w:sz w:val="13"/>
                                </w:rPr>
                                <w:t>L</w:t>
                              </w:r>
                            </w:p>
                            <w:p>
                              <w:pPr>
                                <w:spacing w:before="78"/>
                                <w:ind w:left="0" w:right="0" w:firstLine="0"/>
                                <w:jc w:val="left"/>
                                <w:rPr>
                                  <w:sz w:val="13"/>
                                </w:rPr>
                              </w:pPr>
                              <w:r>
                                <w:rPr>
                                  <w:spacing w:val="-2"/>
                                  <w:sz w:val="13"/>
                                </w:rPr>
                                <w:t>1.064</w:t>
                              </w:r>
                            </w:p>
                          </w:txbxContent>
                        </wps:txbx>
                        <wps:bodyPr wrap="square" lIns="0" tIns="0" rIns="0" bIns="0" rtlCol="0">
                          <a:noAutofit/>
                        </wps:bodyPr>
                      </wps:wsp>
                      <wps:wsp>
                        <wps:cNvPr id="205" name="Textbox 205"/>
                        <wps:cNvSpPr txBox="1"/>
                        <wps:spPr>
                          <a:xfrm>
                            <a:off x="1571497" y="2994971"/>
                            <a:ext cx="198755" cy="289560"/>
                          </a:xfrm>
                          <a:prstGeom prst="rect">
                            <a:avLst/>
                          </a:prstGeom>
                        </wps:spPr>
                        <wps:txbx>
                          <w:txbxContent>
                            <w:p>
                              <w:pPr>
                                <w:spacing w:line="225" w:lineRule="exact" w:before="0"/>
                                <w:ind w:left="0" w:right="0" w:firstLine="0"/>
                                <w:jc w:val="left"/>
                                <w:rPr>
                                  <w:sz w:val="13"/>
                                </w:rPr>
                              </w:pPr>
                              <w:r>
                                <w:rPr>
                                  <w:spacing w:val="-5"/>
                                  <w:position w:val="2"/>
                                  <w:sz w:val="20"/>
                                </w:rPr>
                                <w:t>d</w:t>
                              </w:r>
                              <w:r>
                                <w:rPr>
                                  <w:spacing w:val="-5"/>
                                  <w:sz w:val="13"/>
                                </w:rPr>
                                <w:t>U</w:t>
                              </w:r>
                            </w:p>
                            <w:p>
                              <w:pPr>
                                <w:spacing w:before="81"/>
                                <w:ind w:left="0" w:right="0" w:firstLine="0"/>
                                <w:jc w:val="left"/>
                                <w:rPr>
                                  <w:sz w:val="13"/>
                                </w:rPr>
                              </w:pPr>
                              <w:r>
                                <w:rPr>
                                  <w:spacing w:val="-2"/>
                                  <w:sz w:val="13"/>
                                </w:rPr>
                                <w:t>1.997</w:t>
                              </w:r>
                            </w:p>
                          </w:txbxContent>
                        </wps:txbx>
                        <wps:bodyPr wrap="square" lIns="0" tIns="0" rIns="0" bIns="0" rtlCol="0">
                          <a:noAutofit/>
                        </wps:bodyPr>
                      </wps:wsp>
                      <wps:wsp>
                        <wps:cNvPr id="206" name="Textbox 206"/>
                        <wps:cNvSpPr txBox="1"/>
                        <wps:spPr>
                          <a:xfrm>
                            <a:off x="2618867" y="3014783"/>
                            <a:ext cx="76200" cy="140335"/>
                          </a:xfrm>
                          <a:prstGeom prst="rect">
                            <a:avLst/>
                          </a:prstGeom>
                        </wps:spPr>
                        <wps:txbx>
                          <w:txbxContent>
                            <w:p>
                              <w:pPr>
                                <w:spacing w:line="221" w:lineRule="exact" w:before="0"/>
                                <w:ind w:left="0" w:right="0" w:firstLine="0"/>
                                <w:jc w:val="left"/>
                                <w:rPr>
                                  <w:sz w:val="20"/>
                                </w:rPr>
                              </w:pPr>
                              <w:r>
                                <w:rPr>
                                  <w:spacing w:val="-10"/>
                                  <w:sz w:val="20"/>
                                </w:rPr>
                                <w:t>2</w:t>
                              </w:r>
                            </w:p>
                          </w:txbxContent>
                        </wps:txbx>
                        <wps:bodyPr wrap="square" lIns="0" tIns="0" rIns="0" bIns="0" rtlCol="0">
                          <a:noAutofit/>
                        </wps:bodyPr>
                      </wps:wsp>
                      <wps:wsp>
                        <wps:cNvPr id="207" name="Textbox 207"/>
                        <wps:cNvSpPr txBox="1"/>
                        <wps:spPr>
                          <a:xfrm>
                            <a:off x="3609721" y="3005639"/>
                            <a:ext cx="241300" cy="287655"/>
                          </a:xfrm>
                          <a:prstGeom prst="rect">
                            <a:avLst/>
                          </a:prstGeom>
                        </wps:spPr>
                        <wps:txbx>
                          <w:txbxContent>
                            <w:p>
                              <w:pPr>
                                <w:spacing w:line="225" w:lineRule="exact" w:before="0"/>
                                <w:ind w:left="0" w:right="0" w:firstLine="0"/>
                                <w:jc w:val="left"/>
                                <w:rPr>
                                  <w:sz w:val="13"/>
                                </w:rPr>
                              </w:pPr>
                              <w:r>
                                <w:rPr>
                                  <w:spacing w:val="-2"/>
                                  <w:position w:val="2"/>
                                  <w:sz w:val="20"/>
                                </w:rPr>
                                <w:t>4-</w:t>
                              </w:r>
                              <w:r>
                                <w:rPr>
                                  <w:spacing w:val="-5"/>
                                  <w:position w:val="2"/>
                                  <w:sz w:val="20"/>
                                </w:rPr>
                                <w:t>d</w:t>
                              </w:r>
                              <w:r>
                                <w:rPr>
                                  <w:spacing w:val="-5"/>
                                  <w:sz w:val="13"/>
                                </w:rPr>
                                <w:t>U</w:t>
                              </w:r>
                            </w:p>
                            <w:p>
                              <w:pPr>
                                <w:spacing w:before="78"/>
                                <w:ind w:left="0" w:right="0" w:firstLine="0"/>
                                <w:jc w:val="left"/>
                                <w:rPr>
                                  <w:sz w:val="13"/>
                                </w:rPr>
                              </w:pPr>
                              <w:r>
                                <w:rPr>
                                  <w:spacing w:val="-2"/>
                                  <w:sz w:val="13"/>
                                </w:rPr>
                                <w:t>2..003</w:t>
                              </w:r>
                            </w:p>
                          </w:txbxContent>
                        </wps:txbx>
                        <wps:bodyPr wrap="square" lIns="0" tIns="0" rIns="0" bIns="0" rtlCol="0">
                          <a:noAutofit/>
                        </wps:bodyPr>
                      </wps:wsp>
                      <wps:wsp>
                        <wps:cNvPr id="208" name="Textbox 208"/>
                        <wps:cNvSpPr txBox="1"/>
                        <wps:spPr>
                          <a:xfrm>
                            <a:off x="4409821" y="2994971"/>
                            <a:ext cx="232410" cy="289560"/>
                          </a:xfrm>
                          <a:prstGeom prst="rect">
                            <a:avLst/>
                          </a:prstGeom>
                        </wps:spPr>
                        <wps:txbx>
                          <w:txbxContent>
                            <w:p>
                              <w:pPr>
                                <w:spacing w:line="225" w:lineRule="exact" w:before="0"/>
                                <w:ind w:left="0" w:right="0" w:firstLine="0"/>
                                <w:jc w:val="left"/>
                                <w:rPr>
                                  <w:sz w:val="13"/>
                                </w:rPr>
                              </w:pPr>
                              <w:r>
                                <w:rPr>
                                  <w:spacing w:val="-2"/>
                                  <w:position w:val="2"/>
                                  <w:sz w:val="20"/>
                                </w:rPr>
                                <w:t>4-</w:t>
                              </w:r>
                              <w:r>
                                <w:rPr>
                                  <w:spacing w:val="-5"/>
                                  <w:position w:val="2"/>
                                  <w:sz w:val="20"/>
                                </w:rPr>
                                <w:t>d</w:t>
                              </w:r>
                              <w:r>
                                <w:rPr>
                                  <w:spacing w:val="-5"/>
                                  <w:sz w:val="13"/>
                                </w:rPr>
                                <w:t>L</w:t>
                              </w:r>
                            </w:p>
                            <w:p>
                              <w:pPr>
                                <w:spacing w:before="81"/>
                                <w:ind w:left="0" w:right="0" w:firstLine="0"/>
                                <w:jc w:val="left"/>
                                <w:rPr>
                                  <w:sz w:val="13"/>
                                </w:rPr>
                              </w:pPr>
                              <w:r>
                                <w:rPr>
                                  <w:spacing w:val="-2"/>
                                  <w:sz w:val="13"/>
                                </w:rPr>
                                <w:t>2.936</w:t>
                              </w:r>
                            </w:p>
                          </w:txbxContent>
                        </wps:txbx>
                        <wps:bodyPr wrap="square" lIns="0" tIns="0" rIns="0" bIns="0" rtlCol="0">
                          <a:noAutofit/>
                        </wps:bodyPr>
                      </wps:wsp>
                      <wps:wsp>
                        <wps:cNvPr id="209" name="Textbox 209"/>
                        <wps:cNvSpPr txBox="1"/>
                        <wps:spPr>
                          <a:xfrm>
                            <a:off x="5297170" y="3005639"/>
                            <a:ext cx="76200" cy="140335"/>
                          </a:xfrm>
                          <a:prstGeom prst="rect">
                            <a:avLst/>
                          </a:prstGeom>
                        </wps:spPr>
                        <wps:txbx>
                          <w:txbxContent>
                            <w:p>
                              <w:pPr>
                                <w:spacing w:line="221" w:lineRule="exact" w:before="0"/>
                                <w:ind w:left="0" w:right="0" w:firstLine="0"/>
                                <w:jc w:val="left"/>
                                <w:rPr>
                                  <w:sz w:val="20"/>
                                </w:rPr>
                              </w:pPr>
                              <w:r>
                                <w:rPr>
                                  <w:spacing w:val="-10"/>
                                  <w:sz w:val="20"/>
                                </w:rPr>
                                <w:t>4</w:t>
                              </w:r>
                            </w:p>
                          </w:txbxContent>
                        </wps:txbx>
                        <wps:bodyPr wrap="square" lIns="0" tIns="0" rIns="0" bIns="0" rtlCol="0">
                          <a:noAutofit/>
                        </wps:bodyPr>
                      </wps:wsp>
                      <wps:wsp>
                        <wps:cNvPr id="210" name="Textbox 210"/>
                        <wps:cNvSpPr txBox="1"/>
                        <wps:spPr>
                          <a:xfrm>
                            <a:off x="84391" y="271462"/>
                            <a:ext cx="762000" cy="2733675"/>
                          </a:xfrm>
                          <a:prstGeom prst="rect">
                            <a:avLst/>
                          </a:prstGeom>
                        </wps:spPr>
                        <wps:txbx>
                          <w:txbxContent>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129"/>
                                <w:rPr>
                                  <w:rFonts w:ascii="Cambria"/>
                                  <w:sz w:val="20"/>
                                </w:rPr>
                              </w:pPr>
                            </w:p>
                            <w:p>
                              <w:pPr>
                                <w:spacing w:before="0"/>
                                <w:ind w:left="76" w:right="0" w:firstLine="0"/>
                                <w:jc w:val="left"/>
                                <w:rPr>
                                  <w:b/>
                                  <w:sz w:val="20"/>
                                </w:rPr>
                              </w:pPr>
                              <w:r>
                                <w:rPr>
                                  <w:b/>
                                  <w:spacing w:val="-2"/>
                                  <w:sz w:val="20"/>
                                </w:rPr>
                                <w:t>Positive Autocorrelat </w:t>
                              </w:r>
                              <w:r>
                                <w:rPr>
                                  <w:b/>
                                  <w:sz w:val="20"/>
                                </w:rPr>
                                <w:t>ion region</w:t>
                              </w:r>
                            </w:p>
                          </w:txbxContent>
                        </wps:txbx>
                        <wps:bodyPr wrap="square" lIns="0" tIns="0" rIns="0" bIns="0" rtlCol="0">
                          <a:noAutofit/>
                        </wps:bodyPr>
                      </wps:wsp>
                      <wps:wsp>
                        <wps:cNvPr id="211" name="Textbox 211"/>
                        <wps:cNvSpPr txBox="1"/>
                        <wps:spPr>
                          <a:xfrm>
                            <a:off x="4551616" y="213995"/>
                            <a:ext cx="790575" cy="2791460"/>
                          </a:xfrm>
                          <a:prstGeom prst="rect">
                            <a:avLst/>
                          </a:prstGeom>
                        </wps:spPr>
                        <wps:txbx>
                          <w:txbxContent>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205"/>
                                <w:rPr>
                                  <w:rFonts w:ascii="Cambria"/>
                                  <w:sz w:val="20"/>
                                </w:rPr>
                              </w:pPr>
                            </w:p>
                            <w:p>
                              <w:pPr>
                                <w:spacing w:before="0"/>
                                <w:ind w:left="107" w:right="0" w:firstLine="0"/>
                                <w:jc w:val="left"/>
                                <w:rPr>
                                  <w:b/>
                                  <w:sz w:val="20"/>
                                </w:rPr>
                              </w:pPr>
                              <w:r>
                                <w:rPr>
                                  <w:b/>
                                  <w:spacing w:val="-2"/>
                                  <w:sz w:val="20"/>
                                </w:rPr>
                                <w:t>Negative Autocorrelat </w:t>
                              </w:r>
                              <w:r>
                                <w:rPr>
                                  <w:b/>
                                  <w:sz w:val="20"/>
                                </w:rPr>
                                <w:t>ion region</w:t>
                              </w:r>
                            </w:p>
                          </w:txbxContent>
                        </wps:txbx>
                        <wps:bodyPr wrap="square" lIns="0" tIns="0" rIns="0" bIns="0" rtlCol="0">
                          <a:noAutofit/>
                        </wps:bodyPr>
                      </wps:wsp>
                      <wps:wsp>
                        <wps:cNvPr id="212" name="Textbox 212"/>
                        <wps:cNvSpPr txBox="1"/>
                        <wps:spPr>
                          <a:xfrm>
                            <a:off x="3703891" y="213995"/>
                            <a:ext cx="828675" cy="2791460"/>
                          </a:xfrm>
                          <a:prstGeom prst="rect">
                            <a:avLst/>
                          </a:prstGeom>
                        </wps:spPr>
                        <wps:txbx>
                          <w:txbxContent>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103"/>
                                <w:rPr>
                                  <w:rFonts w:ascii="Cambria"/>
                                  <w:sz w:val="20"/>
                                </w:rPr>
                              </w:pPr>
                            </w:p>
                            <w:p>
                              <w:pPr>
                                <w:spacing w:before="0"/>
                                <w:ind w:left="197" w:right="0" w:firstLine="0"/>
                                <w:jc w:val="left"/>
                                <w:rPr>
                                  <w:b/>
                                  <w:sz w:val="20"/>
                                </w:rPr>
                              </w:pPr>
                              <w:r>
                                <w:rPr>
                                  <w:b/>
                                  <w:spacing w:val="-2"/>
                                  <w:sz w:val="20"/>
                                </w:rPr>
                                <w:t>Inconclusive Region</w:t>
                              </w:r>
                            </w:p>
                          </w:txbxContent>
                        </wps:txbx>
                        <wps:bodyPr wrap="square" lIns="0" tIns="0" rIns="0" bIns="0" rtlCol="0">
                          <a:noAutofit/>
                        </wps:bodyPr>
                      </wps:wsp>
                      <wps:wsp>
                        <wps:cNvPr id="213" name="Textbox 213"/>
                        <wps:cNvSpPr txBox="1"/>
                        <wps:spPr>
                          <a:xfrm>
                            <a:off x="855916" y="213995"/>
                            <a:ext cx="762000" cy="2791460"/>
                          </a:xfrm>
                          <a:prstGeom prst="rect">
                            <a:avLst/>
                          </a:prstGeom>
                        </wps:spPr>
                        <wps:txbx>
                          <w:txbxContent>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117"/>
                                <w:rPr>
                                  <w:rFonts w:ascii="Cambria"/>
                                  <w:sz w:val="20"/>
                                </w:rPr>
                              </w:pPr>
                            </w:p>
                            <w:p>
                              <w:pPr>
                                <w:spacing w:before="0"/>
                                <w:ind w:left="212" w:right="0" w:firstLine="0"/>
                                <w:jc w:val="left"/>
                                <w:rPr>
                                  <w:b/>
                                  <w:sz w:val="20"/>
                                </w:rPr>
                              </w:pPr>
                              <w:r>
                                <w:rPr>
                                  <w:b/>
                                  <w:spacing w:val="-2"/>
                                  <w:sz w:val="20"/>
                                </w:rPr>
                                <w:t>Inconclusiv Region</w:t>
                              </w:r>
                            </w:p>
                          </w:txbxContent>
                        </wps:txbx>
                        <wps:bodyPr wrap="square" lIns="0" tIns="0" rIns="0" bIns="0" rtlCol="0">
                          <a:noAutofit/>
                        </wps:bodyPr>
                      </wps:wsp>
                    </wpg:wgp>
                  </a:graphicData>
                </a:graphic>
              </wp:anchor>
            </w:drawing>
          </mc:Choice>
          <mc:Fallback>
            <w:pict>
              <v:group style="position:absolute;margin-left:51.48pt;margin-top:17.019922pt;width:445.05pt;height:264.75pt;mso-position-horizontal-relative:page;mso-position-vertical-relative:paragraph;z-index:-15702016;mso-wrap-distance-left:0;mso-wrap-distance-right:0" id="docshapegroup169" coordorigin="1030,340" coordsize="8901,5295">
                <v:shape style="position:absolute;left:1155;top:1510;width:8325;height:3555" id="docshape170" coordorigin="1155,1511" coordsize="8325,3555" path="m1155,5065l1215,4998,1275,4931,1334,4865,1394,4798,1454,4731,1513,4665,1573,4598,1632,4532,1691,4466,1750,4401,1809,4335,1868,4270,1926,4205,1984,4141,2042,4077,2100,4014,2157,3951,2215,3888,2271,3826,2328,3765,2384,3704,2440,3644,2495,3585,2550,3526,2605,3468,2659,3410,2713,3354,2766,3298,2819,3243,2871,3189,2922,3135,2974,3083,3024,3031,3074,2981,3123,2932,3172,2883,3220,2836,3268,2789,3315,2744,3361,2700,3406,2657,3451,2616,3583,2497,3668,2423,3750,2353,3830,2289,3907,2228,3981,2172,4054,2119,4124,2070,4193,2024,4259,1981,4324,1942,4387,1904,4449,1869,4509,1836,4569,1805,4627,1776,4684,1748,4740,1721,4796,1695,4851,1670,5004,1603,5093,1570,5176,1545,5252,1528,5325,1517,5396,1511,5466,1511,5537,1514,5611,1521,5690,1530,5775,1540,5846,1550,5919,1562,5995,1576,6072,1592,6151,1610,6230,1631,6310,1654,6391,1679,6471,1707,6550,1737,6629,1770,6706,1806,6782,1844,6855,1885,6916,1922,6974,1957,7030,1991,7083,2026,7135,2061,7187,2098,7238,2138,7290,2181,7343,2228,7398,2279,7455,2336,7515,2398,7579,2468,7648,2545,7721,2631,7800,2725,7877,2822,7920,2875,7963,2932,8009,2993,8057,3056,8106,3121,8156,3190,8207,3260,8260,3332,8313,3406,8368,3481,8422,3557,8477,3635,8533,3713,8588,3791,8644,3869,8699,3948,8754,4026,8808,4104,8862,4180,8915,4256,8966,4330,9017,4403,9067,4474,9114,4543,9161,4610,9205,4674,9248,4735,9289,4793,9327,4848,9363,4900,9427,4991,9455,5031,9480,5065e" filled="false" stroked="true" strokeweight="1.5pt" strokecolor="#000000">
                  <v:path arrowok="t"/>
                  <v:stroke dashstyle="solid"/>
                </v:shape>
                <v:shape style="position:absolute;left:1095;top:340;width:8835;height:4800" id="docshape171" coordorigin="1095,340" coordsize="8835,4800" path="m9930,5080l9915,5073,9810,5020,9810,5073,1163,5073,1163,460,1215,460,1205,440,1155,340,1095,460,1148,460,1148,5080,1155,5080,1155,5088,9810,5088,9810,5140,9915,5088,9930,5080xe" filled="true" fillcolor="#000000" stroked="false">
                  <v:path arrowok="t"/>
                  <v:fill type="solid"/>
                </v:shape>
                <v:shape style="position:absolute;left:1155;top:760;width:1215;height:4320" type="#_x0000_t75" id="docshape172" stroked="false">
                  <v:imagedata r:id="rId58" o:title=""/>
                </v:shape>
                <v:rect style="position:absolute;left:1155;top:760;width:1215;height:4320" id="docshape173" filled="false" stroked="true" strokeweight=".75pt" strokecolor="#000000">
                  <v:stroke dashstyle="solid"/>
                </v:rect>
                <v:rect style="position:absolute;left:2370;top:760;width:1215;height:4320" id="docshape174" filled="true" fillcolor="#ffffff" stroked="false">
                  <v:fill type="solid"/>
                </v:rect>
                <v:rect style="position:absolute;left:2370;top:760;width:1215;height:4320" id="docshape175" filled="false" stroked="true" strokeweight=".75pt" strokecolor="#000000">
                  <v:stroke dashstyle="solid"/>
                </v:rect>
                <v:rect style="position:absolute;left:3585;top:760;width:3270;height:4320" id="docshape176" filled="true" fillcolor="#ffffff" stroked="false">
                  <v:fill type="solid"/>
                </v:rect>
                <v:rect style="position:absolute;left:3585;top:760;width:3270;height:4320" id="docshape177" filled="false" stroked="true" strokeweight=".75pt" strokecolor="#000000">
                  <v:stroke dashstyle="solid"/>
                </v:rect>
                <v:rect style="position:absolute;left:6855;top:760;width:1335;height:4320" id="docshape178" filled="true" fillcolor="#ffffff" stroked="false">
                  <v:fill type="solid"/>
                </v:rect>
                <v:rect style="position:absolute;left:6855;top:760;width:1335;height:4320" id="docshape179" filled="false" stroked="true" strokeweight=".75pt" strokecolor="#000000">
                  <v:stroke dashstyle="solid"/>
                </v:rect>
                <v:shape style="position:absolute;left:8175;top:760;width:1275;height:4320" type="#_x0000_t75" id="docshape180" stroked="false">
                  <v:imagedata r:id="rId59" o:title=""/>
                </v:shape>
                <v:rect style="position:absolute;left:8175;top:760;width:1275;height:4320" id="docshape181" filled="false" stroked="true" strokeweight=".75pt" strokecolor="#000000">
                  <v:stroke dashstyle="solid"/>
                </v:rect>
                <v:line style="position:absolute" from="5205,820" to="5205,5080" stroked="true" strokeweight="1.5pt" strokecolor="#000000">
                  <v:stroke dashstyle="shortdot"/>
                </v:line>
                <v:rect style="position:absolute;left:1215;top:677;width:8265;height:143" id="docshape182" filled="true" fillcolor="#ffffff" stroked="false">
                  <v:fill type="solid"/>
                </v:rect>
                <v:shape style="position:absolute;left:3153;top:5020;width:120;height:615" id="docshape183" coordorigin="3153,5020" coordsize="120,615" path="m3206,5515l3153,5515,3213,5635,3263,5535,3206,5535,3206,5515xm3220,5020l3205,5020,3206,5535,3221,5535,3220,5020xm3273,5515l3221,5515,3221,5535,3263,5535,3273,5515xe" filled="true" fillcolor="#000000" stroked="false">
                  <v:path arrowok="t"/>
                  <v:fill type="solid"/>
                </v:shape>
                <v:shape style="position:absolute;left:1155;top:1463;width:8295;height:3602" id="docshape184" coordorigin="1155,1464" coordsize="8295,3602" path="m1155,5065l1205,4993,1254,4920,1304,4848,1353,4775,1403,4703,1452,4631,1502,4559,1551,4487,1601,4415,1650,4344,1700,4273,1749,4203,1798,4133,1848,4063,1897,3994,1946,3925,1995,3857,2044,3789,2093,3722,2142,3656,2191,3590,2239,3525,2288,3461,2337,3397,2385,3335,2434,3273,2482,3212,2530,3151,2578,3092,2626,3034,2674,2976,2722,2920,2770,2865,2817,2811,2865,2757,2912,2706,2959,2655,3006,2605,3053,2557,3100,2510,3146,2464,3193,2420,3239,2377,3285,2335,3360,2270,3434,2208,3508,2149,3581,2093,3654,2040,3727,1990,3799,1942,3871,1897,3943,1855,4014,1815,4085,1777,4156,1743,4227,1710,4297,1680,4367,1652,4437,1626,4507,1603,4577,1582,4647,1562,4717,1545,4786,1529,4856,1516,4926,1504,4995,1494,5065,1485,5135,1479,5205,1473,5277,1469,5349,1466,5419,1464,5489,1464,5559,1465,5628,1467,5696,1472,5765,1478,5833,1487,5901,1498,5969,1511,6038,1526,6106,1545,6175,1566,6244,1590,6314,1617,6385,1648,6456,1682,6528,1720,6601,1761,6675,1806,6751,1855,6827,1909,6905,1966,6984,2029,7065,2095,7154,2173,7199,2214,7244,2257,7290,2301,7336,2346,7382,2393,7429,2441,7476,2490,7523,2541,7570,2592,7618,2645,7666,2699,7714,2755,7762,2811,7811,2868,7860,2926,7909,2986,7958,3046,8008,3107,8058,3169,8108,3232,8158,3296,8208,3360,8258,3426,8309,3492,8360,3558,8411,3626,8462,3694,8513,3762,8564,3832,8616,3901,8667,3972,8719,4042,8771,4114,8823,4185,8875,4257,8927,4330,8979,4402,9031,4475,9083,4548,9136,4622,9188,4695,9240,4769,9293,4843,9345,4917,9398,4991,9450,5065e" filled="false" stroked="true" strokeweight=".75pt" strokecolor="#000000">
                  <v:path arrowok="t"/>
                  <v:stroke dashstyle="solid"/>
                </v:shape>
                <v:shape style="position:absolute;left:3566;top:1742;width:109;height:221" type="#_x0000_t202" id="docshape185" filled="false" stroked="false">
                  <v:textbox inset="0,0,0,0">
                    <w:txbxContent>
                      <w:p>
                        <w:pPr>
                          <w:spacing w:line="221" w:lineRule="exact" w:before="0"/>
                          <w:ind w:left="0" w:right="0" w:firstLine="0"/>
                          <w:jc w:val="left"/>
                          <w:rPr>
                            <w:b/>
                            <w:sz w:val="20"/>
                          </w:rPr>
                        </w:pPr>
                        <w:r>
                          <w:rPr>
                            <w:b/>
                            <w:spacing w:val="-10"/>
                            <w:sz w:val="20"/>
                          </w:rPr>
                          <w:t>e</w:t>
                        </w:r>
                      </w:p>
                    </w:txbxContent>
                  </v:textbox>
                  <w10:wrap type="none"/>
                </v:shape>
                <v:shape style="position:absolute;left:4448;top:1982;width:1580;height:682" type="#_x0000_t202" id="docshape186" filled="false" stroked="false">
                  <v:textbox inset="0,0,0,0">
                    <w:txbxContent>
                      <w:p>
                        <w:pPr>
                          <w:spacing w:line="240" w:lineRule="auto" w:before="0"/>
                          <w:ind w:left="698" w:right="13" w:hanging="699"/>
                          <w:jc w:val="left"/>
                          <w:rPr>
                            <w:sz w:val="20"/>
                          </w:rPr>
                        </w:pPr>
                        <w:r>
                          <w:rPr>
                            <w:sz w:val="20"/>
                          </w:rPr>
                          <w:t>No</w:t>
                        </w:r>
                        <w:r>
                          <w:rPr>
                            <w:spacing w:val="-13"/>
                            <w:sz w:val="20"/>
                          </w:rPr>
                          <w:t> </w:t>
                        </w:r>
                        <w:r>
                          <w:rPr>
                            <w:sz w:val="20"/>
                          </w:rPr>
                          <w:t>Autocorrelation </w:t>
                        </w:r>
                        <w:r>
                          <w:rPr>
                            <w:spacing w:val="-6"/>
                            <w:sz w:val="20"/>
                          </w:rPr>
                          <w:t>or</w:t>
                        </w:r>
                      </w:p>
                      <w:p>
                        <w:pPr>
                          <w:spacing w:before="0"/>
                          <w:ind w:left="0" w:right="0" w:firstLine="0"/>
                          <w:jc w:val="left"/>
                          <w:rPr>
                            <w:sz w:val="20"/>
                          </w:rPr>
                        </w:pPr>
                        <w:r>
                          <w:rPr>
                            <w:sz w:val="20"/>
                          </w:rPr>
                          <w:t>Acceptance</w:t>
                        </w:r>
                        <w:r>
                          <w:rPr>
                            <w:spacing w:val="-12"/>
                            <w:sz w:val="20"/>
                          </w:rPr>
                          <w:t> </w:t>
                        </w:r>
                        <w:r>
                          <w:rPr>
                            <w:spacing w:val="-2"/>
                            <w:sz w:val="20"/>
                          </w:rPr>
                          <w:t>Region</w:t>
                        </w:r>
                      </w:p>
                    </w:txbxContent>
                  </v:textbox>
                  <w10:wrap type="none"/>
                </v:shape>
                <v:shape style="position:absolute;left:1029;top:4999;width:120;height:221" type="#_x0000_t202" id="docshape187" filled="false" stroked="false">
                  <v:textbox inset="0,0,0,0">
                    <w:txbxContent>
                      <w:p>
                        <w:pPr>
                          <w:spacing w:line="221" w:lineRule="exact" w:before="0"/>
                          <w:ind w:left="0" w:right="0" w:firstLine="0"/>
                          <w:jc w:val="left"/>
                          <w:rPr>
                            <w:sz w:val="20"/>
                          </w:rPr>
                        </w:pPr>
                        <w:r>
                          <w:rPr>
                            <w:spacing w:val="-10"/>
                            <w:sz w:val="20"/>
                          </w:rPr>
                          <w:t>0</w:t>
                        </w:r>
                      </w:p>
                    </w:txbxContent>
                  </v:textbox>
                  <w10:wrap type="none"/>
                </v:shape>
                <v:shape style="position:absolute;left:2244;top:5073;width:313;height:453" type="#_x0000_t202" id="docshape188" filled="false" stroked="false">
                  <v:textbox inset="0,0,0,0">
                    <w:txbxContent>
                      <w:p>
                        <w:pPr>
                          <w:spacing w:line="225" w:lineRule="exact" w:before="0"/>
                          <w:ind w:left="0" w:right="0" w:firstLine="0"/>
                          <w:jc w:val="left"/>
                          <w:rPr>
                            <w:sz w:val="13"/>
                          </w:rPr>
                        </w:pPr>
                        <w:r>
                          <w:rPr>
                            <w:spacing w:val="-5"/>
                            <w:position w:val="2"/>
                            <w:sz w:val="20"/>
                          </w:rPr>
                          <w:t>d</w:t>
                        </w:r>
                        <w:r>
                          <w:rPr>
                            <w:spacing w:val="-5"/>
                            <w:sz w:val="13"/>
                          </w:rPr>
                          <w:t>L</w:t>
                        </w:r>
                      </w:p>
                      <w:p>
                        <w:pPr>
                          <w:spacing w:before="78"/>
                          <w:ind w:left="0" w:right="0" w:firstLine="0"/>
                          <w:jc w:val="left"/>
                          <w:rPr>
                            <w:sz w:val="13"/>
                          </w:rPr>
                        </w:pPr>
                        <w:r>
                          <w:rPr>
                            <w:spacing w:val="-2"/>
                            <w:sz w:val="13"/>
                          </w:rPr>
                          <w:t>1.064</w:t>
                        </w:r>
                      </w:p>
                    </w:txbxContent>
                  </v:textbox>
                  <w10:wrap type="none"/>
                </v:shape>
                <v:shape style="position:absolute;left:3504;top:5056;width:313;height:456" type="#_x0000_t202" id="docshape189" filled="false" stroked="false">
                  <v:textbox inset="0,0,0,0">
                    <w:txbxContent>
                      <w:p>
                        <w:pPr>
                          <w:spacing w:line="225" w:lineRule="exact" w:before="0"/>
                          <w:ind w:left="0" w:right="0" w:firstLine="0"/>
                          <w:jc w:val="left"/>
                          <w:rPr>
                            <w:sz w:val="13"/>
                          </w:rPr>
                        </w:pPr>
                        <w:r>
                          <w:rPr>
                            <w:spacing w:val="-5"/>
                            <w:position w:val="2"/>
                            <w:sz w:val="20"/>
                          </w:rPr>
                          <w:t>d</w:t>
                        </w:r>
                        <w:r>
                          <w:rPr>
                            <w:spacing w:val="-5"/>
                            <w:sz w:val="13"/>
                          </w:rPr>
                          <w:t>U</w:t>
                        </w:r>
                      </w:p>
                      <w:p>
                        <w:pPr>
                          <w:spacing w:before="81"/>
                          <w:ind w:left="0" w:right="0" w:firstLine="0"/>
                          <w:jc w:val="left"/>
                          <w:rPr>
                            <w:sz w:val="13"/>
                          </w:rPr>
                        </w:pPr>
                        <w:r>
                          <w:rPr>
                            <w:spacing w:val="-2"/>
                            <w:sz w:val="13"/>
                          </w:rPr>
                          <w:t>1.997</w:t>
                        </w:r>
                      </w:p>
                    </w:txbxContent>
                  </v:textbox>
                  <w10:wrap type="none"/>
                </v:shape>
                <v:shape style="position:absolute;left:5153;top:5088;width:120;height:221" type="#_x0000_t202" id="docshape190" filled="false" stroked="false">
                  <v:textbox inset="0,0,0,0">
                    <w:txbxContent>
                      <w:p>
                        <w:pPr>
                          <w:spacing w:line="221" w:lineRule="exact" w:before="0"/>
                          <w:ind w:left="0" w:right="0" w:firstLine="0"/>
                          <w:jc w:val="left"/>
                          <w:rPr>
                            <w:sz w:val="20"/>
                          </w:rPr>
                        </w:pPr>
                        <w:r>
                          <w:rPr>
                            <w:spacing w:val="-10"/>
                            <w:sz w:val="20"/>
                          </w:rPr>
                          <w:t>2</w:t>
                        </w:r>
                      </w:p>
                    </w:txbxContent>
                  </v:textbox>
                  <w10:wrap type="none"/>
                </v:shape>
                <v:shape style="position:absolute;left:6714;top:5073;width:380;height:453" type="#_x0000_t202" id="docshape191" filled="false" stroked="false">
                  <v:textbox inset="0,0,0,0">
                    <w:txbxContent>
                      <w:p>
                        <w:pPr>
                          <w:spacing w:line="225" w:lineRule="exact" w:before="0"/>
                          <w:ind w:left="0" w:right="0" w:firstLine="0"/>
                          <w:jc w:val="left"/>
                          <w:rPr>
                            <w:sz w:val="13"/>
                          </w:rPr>
                        </w:pPr>
                        <w:r>
                          <w:rPr>
                            <w:spacing w:val="-2"/>
                            <w:position w:val="2"/>
                            <w:sz w:val="20"/>
                          </w:rPr>
                          <w:t>4-</w:t>
                        </w:r>
                        <w:r>
                          <w:rPr>
                            <w:spacing w:val="-5"/>
                            <w:position w:val="2"/>
                            <w:sz w:val="20"/>
                          </w:rPr>
                          <w:t>d</w:t>
                        </w:r>
                        <w:r>
                          <w:rPr>
                            <w:spacing w:val="-5"/>
                            <w:sz w:val="13"/>
                          </w:rPr>
                          <w:t>U</w:t>
                        </w:r>
                      </w:p>
                      <w:p>
                        <w:pPr>
                          <w:spacing w:before="78"/>
                          <w:ind w:left="0" w:right="0" w:firstLine="0"/>
                          <w:jc w:val="left"/>
                          <w:rPr>
                            <w:sz w:val="13"/>
                          </w:rPr>
                        </w:pPr>
                        <w:r>
                          <w:rPr>
                            <w:spacing w:val="-2"/>
                            <w:sz w:val="13"/>
                          </w:rPr>
                          <w:t>2..003</w:t>
                        </w:r>
                      </w:p>
                    </w:txbxContent>
                  </v:textbox>
                  <w10:wrap type="none"/>
                </v:shape>
                <v:shape style="position:absolute;left:7974;top:5056;width:366;height:456" type="#_x0000_t202" id="docshape192" filled="false" stroked="false">
                  <v:textbox inset="0,0,0,0">
                    <w:txbxContent>
                      <w:p>
                        <w:pPr>
                          <w:spacing w:line="225" w:lineRule="exact" w:before="0"/>
                          <w:ind w:left="0" w:right="0" w:firstLine="0"/>
                          <w:jc w:val="left"/>
                          <w:rPr>
                            <w:sz w:val="13"/>
                          </w:rPr>
                        </w:pPr>
                        <w:r>
                          <w:rPr>
                            <w:spacing w:val="-2"/>
                            <w:position w:val="2"/>
                            <w:sz w:val="20"/>
                          </w:rPr>
                          <w:t>4-</w:t>
                        </w:r>
                        <w:r>
                          <w:rPr>
                            <w:spacing w:val="-5"/>
                            <w:position w:val="2"/>
                            <w:sz w:val="20"/>
                          </w:rPr>
                          <w:t>d</w:t>
                        </w:r>
                        <w:r>
                          <w:rPr>
                            <w:spacing w:val="-5"/>
                            <w:sz w:val="13"/>
                          </w:rPr>
                          <w:t>L</w:t>
                        </w:r>
                      </w:p>
                      <w:p>
                        <w:pPr>
                          <w:spacing w:before="81"/>
                          <w:ind w:left="0" w:right="0" w:firstLine="0"/>
                          <w:jc w:val="left"/>
                          <w:rPr>
                            <w:sz w:val="13"/>
                          </w:rPr>
                        </w:pPr>
                        <w:r>
                          <w:rPr>
                            <w:spacing w:val="-2"/>
                            <w:sz w:val="13"/>
                          </w:rPr>
                          <w:t>2.936</w:t>
                        </w:r>
                      </w:p>
                    </w:txbxContent>
                  </v:textbox>
                  <w10:wrap type="none"/>
                </v:shape>
                <v:shape style="position:absolute;left:9371;top:5073;width:120;height:221" type="#_x0000_t202" id="docshape193" filled="false" stroked="false">
                  <v:textbox inset="0,0,0,0">
                    <w:txbxContent>
                      <w:p>
                        <w:pPr>
                          <w:spacing w:line="221" w:lineRule="exact" w:before="0"/>
                          <w:ind w:left="0" w:right="0" w:firstLine="0"/>
                          <w:jc w:val="left"/>
                          <w:rPr>
                            <w:sz w:val="20"/>
                          </w:rPr>
                        </w:pPr>
                        <w:r>
                          <w:rPr>
                            <w:spacing w:val="-10"/>
                            <w:sz w:val="20"/>
                          </w:rPr>
                          <w:t>4</w:t>
                        </w:r>
                      </w:p>
                    </w:txbxContent>
                  </v:textbox>
                  <w10:wrap type="none"/>
                </v:shape>
                <v:shape style="position:absolute;left:1162;top:767;width:1200;height:4305" type="#_x0000_t202" id="docshape194" filled="false" stroked="false">
                  <v:textbox inset="0,0,0,0">
                    <w:txbxContent>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129"/>
                          <w:rPr>
                            <w:rFonts w:ascii="Cambria"/>
                            <w:sz w:val="20"/>
                          </w:rPr>
                        </w:pPr>
                      </w:p>
                      <w:p>
                        <w:pPr>
                          <w:spacing w:before="0"/>
                          <w:ind w:left="76" w:right="0" w:firstLine="0"/>
                          <w:jc w:val="left"/>
                          <w:rPr>
                            <w:b/>
                            <w:sz w:val="20"/>
                          </w:rPr>
                        </w:pPr>
                        <w:r>
                          <w:rPr>
                            <w:b/>
                            <w:spacing w:val="-2"/>
                            <w:sz w:val="20"/>
                          </w:rPr>
                          <w:t>Positive Autocorrelat </w:t>
                        </w:r>
                        <w:r>
                          <w:rPr>
                            <w:b/>
                            <w:sz w:val="20"/>
                          </w:rPr>
                          <w:t>ion region</w:t>
                        </w:r>
                      </w:p>
                    </w:txbxContent>
                  </v:textbox>
                  <w10:wrap type="none"/>
                </v:shape>
                <v:shape style="position:absolute;left:8197;top:677;width:1245;height:4396" type="#_x0000_t202" id="docshape195" filled="false" stroked="false">
                  <v:textbox inset="0,0,0,0">
                    <w:txbxContent>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205"/>
                          <w:rPr>
                            <w:rFonts w:ascii="Cambria"/>
                            <w:sz w:val="20"/>
                          </w:rPr>
                        </w:pPr>
                      </w:p>
                      <w:p>
                        <w:pPr>
                          <w:spacing w:before="0"/>
                          <w:ind w:left="107" w:right="0" w:firstLine="0"/>
                          <w:jc w:val="left"/>
                          <w:rPr>
                            <w:b/>
                            <w:sz w:val="20"/>
                          </w:rPr>
                        </w:pPr>
                        <w:r>
                          <w:rPr>
                            <w:b/>
                            <w:spacing w:val="-2"/>
                            <w:sz w:val="20"/>
                          </w:rPr>
                          <w:t>Negative Autocorrelat </w:t>
                        </w:r>
                        <w:r>
                          <w:rPr>
                            <w:b/>
                            <w:sz w:val="20"/>
                          </w:rPr>
                          <w:t>ion region</w:t>
                        </w:r>
                      </w:p>
                    </w:txbxContent>
                  </v:textbox>
                  <w10:wrap type="none"/>
                </v:shape>
                <v:shape style="position:absolute;left:6862;top:677;width:1305;height:4396" type="#_x0000_t202" id="docshape196" filled="false" stroked="false">
                  <v:textbox inset="0,0,0,0">
                    <w:txbxContent>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103"/>
                          <w:rPr>
                            <w:rFonts w:ascii="Cambria"/>
                            <w:sz w:val="20"/>
                          </w:rPr>
                        </w:pPr>
                      </w:p>
                      <w:p>
                        <w:pPr>
                          <w:spacing w:before="0"/>
                          <w:ind w:left="197" w:right="0" w:firstLine="0"/>
                          <w:jc w:val="left"/>
                          <w:rPr>
                            <w:b/>
                            <w:sz w:val="20"/>
                          </w:rPr>
                        </w:pPr>
                        <w:r>
                          <w:rPr>
                            <w:b/>
                            <w:spacing w:val="-2"/>
                            <w:sz w:val="20"/>
                          </w:rPr>
                          <w:t>Inconclusive Region</w:t>
                        </w:r>
                      </w:p>
                    </w:txbxContent>
                  </v:textbox>
                  <w10:wrap type="none"/>
                </v:shape>
                <v:shape style="position:absolute;left:2377;top:677;width:1200;height:4396" type="#_x0000_t202" id="docshape197" filled="false" stroked="false">
                  <v:textbox inset="0,0,0,0">
                    <w:txbxContent>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117"/>
                          <w:rPr>
                            <w:rFonts w:ascii="Cambria"/>
                            <w:sz w:val="20"/>
                          </w:rPr>
                        </w:pPr>
                      </w:p>
                      <w:p>
                        <w:pPr>
                          <w:spacing w:before="0"/>
                          <w:ind w:left="212" w:right="0" w:firstLine="0"/>
                          <w:jc w:val="left"/>
                          <w:rPr>
                            <w:b/>
                            <w:sz w:val="20"/>
                          </w:rPr>
                        </w:pPr>
                        <w:r>
                          <w:rPr>
                            <w:b/>
                            <w:spacing w:val="-2"/>
                            <w:sz w:val="20"/>
                          </w:rPr>
                          <w:t>Inconclusiv Region</w:t>
                        </w:r>
                      </w:p>
                    </w:txbxContent>
                  </v:textbox>
                  <w10:wrap type="none"/>
                </v:shape>
                <w10:wrap type="topAndBottom"/>
              </v:group>
            </w:pict>
          </mc:Fallback>
        </mc:AlternateContent>
      </w:r>
    </w:p>
    <w:p>
      <w:pPr>
        <w:tabs>
          <w:tab w:pos="2936" w:val="left" w:leader="none"/>
        </w:tabs>
        <w:spacing w:before="275"/>
        <w:ind w:left="2130" w:right="0" w:firstLine="0"/>
        <w:jc w:val="left"/>
        <w:rPr>
          <w:rFonts w:ascii="Cambria"/>
          <w:sz w:val="24"/>
        </w:rPr>
      </w:pPr>
      <w:r>
        <w:rPr>
          <w:sz w:val="20"/>
        </w:rPr>
        <w:t>DW*</w:t>
      </w:r>
      <w:r>
        <w:rPr>
          <w:spacing w:val="-6"/>
          <w:sz w:val="20"/>
        </w:rPr>
        <w:t> </w:t>
      </w:r>
      <w:r>
        <w:rPr>
          <w:spacing w:val="-10"/>
          <w:sz w:val="20"/>
        </w:rPr>
        <w:t>=</w:t>
      </w:r>
      <w:r>
        <w:rPr>
          <w:sz w:val="20"/>
        </w:rPr>
        <w:tab/>
      </w:r>
      <w:r>
        <w:rPr>
          <w:rFonts w:ascii="Cambria"/>
          <w:spacing w:val="-2"/>
          <w:sz w:val="24"/>
        </w:rPr>
        <w:t>1.868760</w:t>
      </w:r>
    </w:p>
    <w:p>
      <w:pPr>
        <w:pStyle w:val="BodyText"/>
        <w:spacing w:line="281" w:lineRule="exact" w:before="281"/>
        <w:ind w:left="816"/>
        <w:jc w:val="both"/>
        <w:rPr>
          <w:rFonts w:ascii="Cambria"/>
        </w:rPr>
      </w:pPr>
      <w:r>
        <w:rPr>
          <w:rFonts w:ascii="Cambria"/>
        </w:rPr>
        <w:t>Graph</w:t>
      </w:r>
      <w:r>
        <w:rPr>
          <w:rFonts w:ascii="Cambria"/>
          <w:spacing w:val="-5"/>
        </w:rPr>
        <w:t> </w:t>
      </w:r>
      <w:r>
        <w:rPr>
          <w:rFonts w:ascii="Cambria"/>
        </w:rPr>
        <w:t>4.7.</w:t>
      </w:r>
      <w:r>
        <w:rPr>
          <w:rFonts w:ascii="Cambria"/>
          <w:spacing w:val="-2"/>
        </w:rPr>
        <w:t> </w:t>
      </w:r>
      <w:r>
        <w:rPr>
          <w:rFonts w:ascii="Cambria"/>
        </w:rPr>
        <w:t>Durbin</w:t>
      </w:r>
      <w:r>
        <w:rPr>
          <w:rFonts w:ascii="Cambria"/>
          <w:spacing w:val="-2"/>
        </w:rPr>
        <w:t> </w:t>
      </w:r>
      <w:r>
        <w:rPr>
          <w:rFonts w:ascii="Cambria"/>
        </w:rPr>
        <w:t>Watson</w:t>
      </w:r>
      <w:r>
        <w:rPr>
          <w:rFonts w:ascii="Cambria"/>
          <w:spacing w:val="-3"/>
        </w:rPr>
        <w:t> </w:t>
      </w:r>
      <w:r>
        <w:rPr>
          <w:rFonts w:ascii="Cambria"/>
        </w:rPr>
        <w:t>graph</w:t>
      </w:r>
      <w:r>
        <w:rPr>
          <w:rFonts w:ascii="Cambria"/>
          <w:spacing w:val="-2"/>
        </w:rPr>
        <w:t> </w:t>
      </w:r>
      <w:r>
        <w:rPr>
          <w:rFonts w:ascii="Cambria"/>
        </w:rPr>
        <w:t>for</w:t>
      </w:r>
      <w:r>
        <w:rPr>
          <w:rFonts w:ascii="Cambria"/>
          <w:spacing w:val="-4"/>
        </w:rPr>
        <w:t> </w:t>
      </w:r>
      <w:r>
        <w:rPr>
          <w:rFonts w:ascii="Cambria"/>
        </w:rPr>
        <w:t>Model 1B (Morgan</w:t>
      </w:r>
      <w:r>
        <w:rPr>
          <w:rFonts w:ascii="Cambria"/>
          <w:spacing w:val="-2"/>
        </w:rPr>
        <w:t> </w:t>
      </w:r>
      <w:r>
        <w:rPr>
          <w:rFonts w:ascii="Cambria"/>
        </w:rPr>
        <w:t>Guaranty</w:t>
      </w:r>
      <w:r>
        <w:rPr>
          <w:rFonts w:ascii="Cambria"/>
          <w:spacing w:val="-3"/>
        </w:rPr>
        <w:t> </w:t>
      </w:r>
      <w:r>
        <w:rPr>
          <w:rFonts w:ascii="Cambria"/>
        </w:rPr>
        <w:t>Trust</w:t>
      </w:r>
      <w:r>
        <w:rPr>
          <w:rFonts w:ascii="Cambria"/>
          <w:spacing w:val="-3"/>
        </w:rPr>
        <w:t> </w:t>
      </w:r>
      <w:r>
        <w:rPr>
          <w:rFonts w:ascii="Cambria"/>
        </w:rPr>
        <w:t>(</w:t>
      </w:r>
      <w:r>
        <w:rPr>
          <w:rFonts w:ascii="Cambria"/>
          <w:spacing w:val="-3"/>
        </w:rPr>
        <w:t> </w:t>
      </w:r>
      <w:r>
        <w:rPr>
          <w:rFonts w:ascii="Cambria"/>
        </w:rPr>
        <w:t>1986)</w:t>
      </w:r>
      <w:r>
        <w:rPr>
          <w:rFonts w:ascii="Cambria"/>
          <w:spacing w:val="-3"/>
        </w:rPr>
        <w:t> </w:t>
      </w:r>
      <w:r>
        <w:rPr>
          <w:rFonts w:ascii="Cambria"/>
          <w:spacing w:val="-2"/>
        </w:rPr>
        <w:t>approach</w:t>
      </w:r>
    </w:p>
    <w:p>
      <w:pPr>
        <w:pStyle w:val="BodyText"/>
        <w:spacing w:line="480" w:lineRule="auto"/>
        <w:ind w:left="711" w:right="474"/>
        <w:jc w:val="both"/>
        <w:rPr>
          <w:sz w:val="20"/>
        </w:rPr>
      </w:pPr>
      <w:r>
        <w:rPr>
          <w:rFonts w:ascii="Cambria"/>
        </w:rPr>
        <w:t>From</w:t>
      </w:r>
      <w:r>
        <w:rPr>
          <w:rFonts w:ascii="Cambria"/>
          <w:spacing w:val="-3"/>
        </w:rPr>
        <w:t> </w:t>
      </w:r>
      <w:r>
        <w:rPr>
          <w:rFonts w:ascii="Cambria"/>
        </w:rPr>
        <w:t>the</w:t>
      </w:r>
      <w:r>
        <w:rPr>
          <w:rFonts w:ascii="Cambria"/>
          <w:spacing w:val="-2"/>
        </w:rPr>
        <w:t> </w:t>
      </w:r>
      <w:r>
        <w:rPr>
          <w:rFonts w:ascii="Cambria"/>
        </w:rPr>
        <w:t>above graph,</w:t>
      </w:r>
      <w:r>
        <w:rPr>
          <w:rFonts w:ascii="Cambria"/>
          <w:spacing w:val="-2"/>
        </w:rPr>
        <w:t> </w:t>
      </w:r>
      <w:r>
        <w:rPr>
          <w:rFonts w:ascii="Cambria"/>
        </w:rPr>
        <w:t>the</w:t>
      </w:r>
      <w:r>
        <w:rPr>
          <w:rFonts w:ascii="Cambria"/>
          <w:spacing w:val="-2"/>
        </w:rPr>
        <w:t> </w:t>
      </w:r>
      <w:r>
        <w:rPr>
          <w:rFonts w:ascii="Cambria"/>
        </w:rPr>
        <w:t>DW</w:t>
      </w:r>
      <w:r>
        <w:rPr>
          <w:rFonts w:ascii="Cambria"/>
          <w:spacing w:val="-3"/>
        </w:rPr>
        <w:t> </w:t>
      </w:r>
      <w:r>
        <w:rPr>
          <w:rFonts w:ascii="Cambria"/>
        </w:rPr>
        <w:t>statistics</w:t>
      </w:r>
      <w:r>
        <w:rPr>
          <w:rFonts w:ascii="Cambria"/>
          <w:spacing w:val="-2"/>
        </w:rPr>
        <w:t> </w:t>
      </w:r>
      <w:r>
        <w:rPr>
          <w:rFonts w:ascii="Cambria"/>
        </w:rPr>
        <w:t>value of 1.868760</w:t>
      </w:r>
      <w:r>
        <w:rPr/>
        <w:t>falls</w:t>
      </w:r>
      <w:r>
        <w:rPr>
          <w:spacing w:val="-2"/>
        </w:rPr>
        <w:t> </w:t>
      </w:r>
      <w:r>
        <w:rPr/>
        <w:t>within</w:t>
      </w:r>
      <w:r>
        <w:rPr>
          <w:spacing w:val="-2"/>
        </w:rPr>
        <w:t> </w:t>
      </w:r>
      <w:r>
        <w:rPr/>
        <w:t>the</w:t>
      </w:r>
      <w:r>
        <w:rPr>
          <w:spacing w:val="-2"/>
        </w:rPr>
        <w:t> </w:t>
      </w:r>
      <w:r>
        <w:rPr/>
        <w:t>inconclusive</w:t>
      </w:r>
      <w:r>
        <w:rPr>
          <w:spacing w:val="-1"/>
        </w:rPr>
        <w:t> </w:t>
      </w:r>
      <w:r>
        <w:rPr/>
        <w:t>region. Since</w:t>
      </w:r>
      <w:r>
        <w:rPr>
          <w:spacing w:val="-4"/>
        </w:rPr>
        <w:t> </w:t>
      </w:r>
      <w:r>
        <w:rPr/>
        <w:t>this value tends toward 2, there is no evidence of </w:t>
      </w:r>
      <w:r>
        <w:rPr>
          <w:sz w:val="20"/>
        </w:rPr>
        <w:t>autocorrelation.</w:t>
      </w:r>
    </w:p>
    <w:p>
      <w:pPr>
        <w:spacing w:after="0" w:line="480" w:lineRule="auto"/>
        <w:jc w:val="both"/>
        <w:rPr>
          <w:sz w:val="20"/>
        </w:rPr>
        <w:sectPr>
          <w:pgSz w:w="11910" w:h="16840"/>
          <w:pgMar w:header="0" w:footer="979" w:top="1340" w:bottom="1240" w:left="280" w:right="0"/>
        </w:sectPr>
      </w:pPr>
    </w:p>
    <w:p>
      <w:pPr>
        <w:pStyle w:val="Heading6"/>
        <w:spacing w:before="60"/>
        <w:jc w:val="left"/>
      </w:pPr>
      <w:r>
        <w:rPr/>
        <w:t>Table</w:t>
      </w:r>
      <w:r>
        <w:rPr>
          <w:spacing w:val="-3"/>
        </w:rPr>
        <w:t> </w:t>
      </w:r>
      <w:r>
        <w:rPr/>
        <w:t>4.16</w:t>
      </w:r>
      <w:r>
        <w:rPr>
          <w:spacing w:val="-2"/>
        </w:rPr>
        <w:t> </w:t>
      </w:r>
      <w:r>
        <w:rPr/>
        <w:t>Result</w:t>
      </w:r>
      <w:r>
        <w:rPr>
          <w:spacing w:val="-1"/>
        </w:rPr>
        <w:t> </w:t>
      </w:r>
      <w:r>
        <w:rPr/>
        <w:t>of Cointegration Test</w:t>
      </w:r>
      <w:r>
        <w:rPr>
          <w:spacing w:val="-1"/>
        </w:rPr>
        <w:t> </w:t>
      </w:r>
      <w:r>
        <w:rPr/>
        <w:t>for</w:t>
      </w:r>
      <w:r>
        <w:rPr>
          <w:spacing w:val="-2"/>
        </w:rPr>
        <w:t> </w:t>
      </w:r>
      <w:r>
        <w:rPr/>
        <w:t>Model</w:t>
      </w:r>
      <w:r>
        <w:rPr>
          <w:spacing w:val="2"/>
        </w:rPr>
        <w:t> </w:t>
      </w:r>
      <w:r>
        <w:rPr/>
        <w:t>2A</w:t>
      </w:r>
      <w:r>
        <w:rPr>
          <w:spacing w:val="-2"/>
        </w:rPr>
        <w:t> </w:t>
      </w:r>
      <w:r>
        <w:rPr/>
        <w:t>(World</w:t>
      </w:r>
      <w:r>
        <w:rPr>
          <w:spacing w:val="1"/>
        </w:rPr>
        <w:t> </w:t>
      </w:r>
      <w:r>
        <w:rPr/>
        <w:t>Bank</w:t>
      </w:r>
      <w:r>
        <w:rPr>
          <w:spacing w:val="-1"/>
        </w:rPr>
        <w:t> </w:t>
      </w:r>
      <w:r>
        <w:rPr/>
        <w:t>&amp;</w:t>
      </w:r>
      <w:r>
        <w:rPr>
          <w:spacing w:val="-5"/>
        </w:rPr>
        <w:t> </w:t>
      </w:r>
      <w:r>
        <w:rPr/>
        <w:t>Erbe</w:t>
      </w:r>
      <w:r>
        <w:rPr>
          <w:spacing w:val="-2"/>
        </w:rPr>
        <w:t> </w:t>
      </w:r>
      <w:r>
        <w:rPr/>
        <w:t>1985 </w:t>
      </w:r>
      <w:r>
        <w:rPr>
          <w:spacing w:val="-2"/>
        </w:rPr>
        <w:t>approach)</w:t>
      </w:r>
    </w:p>
    <w:p>
      <w:pPr>
        <w:spacing w:before="1"/>
        <w:ind w:left="1494" w:right="0" w:firstLine="0"/>
        <w:jc w:val="left"/>
        <w:rPr>
          <w:rFonts w:ascii="Arial MT"/>
          <w:sz w:val="20"/>
        </w:rPr>
      </w:pPr>
      <w:r>
        <w:rPr>
          <w:rFonts w:ascii="Arial MT"/>
          <w:sz w:val="20"/>
        </w:rPr>
        <w:t>Series:</w:t>
      </w:r>
      <w:r>
        <w:rPr>
          <w:rFonts w:ascii="Arial MT"/>
          <w:spacing w:val="-7"/>
          <w:sz w:val="20"/>
        </w:rPr>
        <w:t> </w:t>
      </w:r>
      <w:r>
        <w:rPr>
          <w:rFonts w:ascii="Arial MT"/>
          <w:sz w:val="20"/>
        </w:rPr>
        <w:t>GDP</w:t>
      </w:r>
      <w:r>
        <w:rPr>
          <w:rFonts w:ascii="Arial MT"/>
          <w:spacing w:val="-5"/>
          <w:sz w:val="20"/>
        </w:rPr>
        <w:t> </w:t>
      </w:r>
      <w:r>
        <w:rPr>
          <w:rFonts w:ascii="Arial MT"/>
          <w:sz w:val="20"/>
        </w:rPr>
        <w:t>EXDEBT</w:t>
      </w:r>
      <w:r>
        <w:rPr>
          <w:rFonts w:ascii="Arial MT"/>
          <w:spacing w:val="-4"/>
          <w:sz w:val="20"/>
        </w:rPr>
        <w:t> </w:t>
      </w:r>
      <w:r>
        <w:rPr>
          <w:rFonts w:ascii="Arial MT"/>
          <w:sz w:val="20"/>
        </w:rPr>
        <w:t>DFI</w:t>
      </w:r>
      <w:r>
        <w:rPr>
          <w:rFonts w:ascii="Arial MT"/>
          <w:spacing w:val="-7"/>
          <w:sz w:val="20"/>
        </w:rPr>
        <w:t> </w:t>
      </w:r>
      <w:r>
        <w:rPr>
          <w:rFonts w:ascii="Arial MT"/>
          <w:sz w:val="20"/>
        </w:rPr>
        <w:t>CAB</w:t>
      </w:r>
      <w:r>
        <w:rPr>
          <w:rFonts w:ascii="Arial MT"/>
          <w:spacing w:val="-4"/>
          <w:sz w:val="20"/>
        </w:rPr>
        <w:t> </w:t>
      </w:r>
      <w:r>
        <w:rPr>
          <w:rFonts w:ascii="Arial MT"/>
          <w:spacing w:val="-5"/>
          <w:sz w:val="20"/>
        </w:rPr>
        <w:t>RES</w:t>
      </w:r>
    </w:p>
    <w:p>
      <w:pPr>
        <w:spacing w:before="1"/>
        <w:ind w:left="773" w:right="0" w:firstLine="0"/>
        <w:jc w:val="left"/>
        <w:rPr>
          <w:rFonts w:ascii="Arial MT"/>
          <w:sz w:val="20"/>
        </w:rPr>
      </w:pPr>
      <w:r>
        <w:rPr>
          <w:rFonts w:ascii="Arial MT"/>
          <w:sz w:val="20"/>
        </w:rPr>
        <w:t>Lags</w:t>
      </w:r>
      <w:r>
        <w:rPr>
          <w:rFonts w:ascii="Arial MT"/>
          <w:spacing w:val="-6"/>
          <w:sz w:val="20"/>
        </w:rPr>
        <w:t> </w:t>
      </w:r>
      <w:r>
        <w:rPr>
          <w:rFonts w:ascii="Arial MT"/>
          <w:sz w:val="20"/>
        </w:rPr>
        <w:t>interval</w:t>
      </w:r>
      <w:r>
        <w:rPr>
          <w:rFonts w:ascii="Arial MT"/>
          <w:spacing w:val="-8"/>
          <w:sz w:val="20"/>
        </w:rPr>
        <w:t> </w:t>
      </w:r>
      <w:r>
        <w:rPr>
          <w:rFonts w:ascii="Arial MT"/>
          <w:sz w:val="20"/>
        </w:rPr>
        <w:t>(in</w:t>
      </w:r>
      <w:r>
        <w:rPr>
          <w:rFonts w:ascii="Arial MT"/>
          <w:spacing w:val="-6"/>
          <w:sz w:val="20"/>
        </w:rPr>
        <w:t> </w:t>
      </w:r>
      <w:r>
        <w:rPr>
          <w:rFonts w:ascii="Arial MT"/>
          <w:sz w:val="20"/>
        </w:rPr>
        <w:t>first</w:t>
      </w:r>
      <w:r>
        <w:rPr>
          <w:rFonts w:ascii="Arial MT"/>
          <w:spacing w:val="-7"/>
          <w:sz w:val="20"/>
        </w:rPr>
        <w:t> </w:t>
      </w:r>
      <w:r>
        <w:rPr>
          <w:rFonts w:ascii="Arial MT"/>
          <w:sz w:val="20"/>
        </w:rPr>
        <w:t>differences):</w:t>
      </w:r>
      <w:r>
        <w:rPr>
          <w:rFonts w:ascii="Arial MT"/>
          <w:spacing w:val="-6"/>
          <w:sz w:val="20"/>
        </w:rPr>
        <w:t> </w:t>
      </w:r>
      <w:r>
        <w:rPr>
          <w:rFonts w:ascii="Arial MT"/>
          <w:sz w:val="20"/>
        </w:rPr>
        <w:t>1</w:t>
      </w:r>
      <w:r>
        <w:rPr>
          <w:rFonts w:ascii="Arial MT"/>
          <w:spacing w:val="-7"/>
          <w:sz w:val="20"/>
        </w:rPr>
        <w:t> </w:t>
      </w:r>
      <w:r>
        <w:rPr>
          <w:rFonts w:ascii="Arial MT"/>
          <w:sz w:val="20"/>
        </w:rPr>
        <w:t>to</w:t>
      </w:r>
      <w:r>
        <w:rPr>
          <w:rFonts w:ascii="Arial MT"/>
          <w:spacing w:val="-6"/>
          <w:sz w:val="20"/>
        </w:rPr>
        <w:t> </w:t>
      </w:r>
      <w:r>
        <w:rPr>
          <w:rFonts w:ascii="Arial MT"/>
          <w:spacing w:val="-10"/>
          <w:sz w:val="20"/>
        </w:rPr>
        <w:t>1</w:t>
      </w:r>
    </w:p>
    <w:tbl>
      <w:tblPr>
        <w:tblW w:w="0" w:type="auto"/>
        <w:jc w:val="left"/>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8"/>
        <w:gridCol w:w="1848"/>
        <w:gridCol w:w="1848"/>
        <w:gridCol w:w="1848"/>
        <w:gridCol w:w="1954"/>
      </w:tblGrid>
      <w:tr>
        <w:trPr>
          <w:trHeight w:val="1125" w:hRule="atLeast"/>
        </w:trPr>
        <w:tc>
          <w:tcPr>
            <w:tcW w:w="1848" w:type="dxa"/>
          </w:tcPr>
          <w:p>
            <w:pPr>
              <w:pStyle w:val="TableParagraph"/>
              <w:spacing w:before="4"/>
              <w:rPr>
                <w:rFonts w:ascii="Arial MT"/>
                <w:sz w:val="24"/>
              </w:rPr>
            </w:pPr>
          </w:p>
          <w:p>
            <w:pPr>
              <w:pStyle w:val="TableParagraph"/>
              <w:ind w:left="107"/>
              <w:rPr>
                <w:rFonts w:ascii="Cambria"/>
                <w:b/>
                <w:sz w:val="24"/>
              </w:rPr>
            </w:pPr>
            <w:r>
              <w:rPr>
                <w:rFonts w:ascii="Cambria"/>
                <w:b/>
                <w:sz w:val="24"/>
              </w:rPr>
              <w:t>EIGEN</w:t>
            </w:r>
            <w:r>
              <w:rPr>
                <w:rFonts w:ascii="Cambria"/>
                <w:b/>
                <w:spacing w:val="-2"/>
                <w:sz w:val="24"/>
              </w:rPr>
              <w:t> VALUE</w:t>
            </w:r>
          </w:p>
        </w:tc>
        <w:tc>
          <w:tcPr>
            <w:tcW w:w="1848" w:type="dxa"/>
          </w:tcPr>
          <w:p>
            <w:pPr>
              <w:pStyle w:val="TableParagraph"/>
              <w:spacing w:line="281" w:lineRule="exact"/>
              <w:ind w:left="105"/>
              <w:rPr>
                <w:rFonts w:ascii="Cambria"/>
                <w:b/>
                <w:sz w:val="24"/>
              </w:rPr>
            </w:pPr>
            <w:r>
              <w:rPr>
                <w:rFonts w:ascii="Cambria"/>
                <w:b/>
                <w:spacing w:val="-2"/>
                <w:sz w:val="24"/>
              </w:rPr>
              <w:t>LIKELIHOOD</w:t>
            </w:r>
          </w:p>
          <w:p>
            <w:pPr>
              <w:pStyle w:val="TableParagraph"/>
              <w:spacing w:before="4"/>
              <w:rPr>
                <w:rFonts w:ascii="Arial MT"/>
                <w:sz w:val="24"/>
              </w:rPr>
            </w:pPr>
          </w:p>
          <w:p>
            <w:pPr>
              <w:pStyle w:val="TableParagraph"/>
              <w:ind w:left="105"/>
              <w:rPr>
                <w:rFonts w:ascii="Cambria"/>
                <w:b/>
                <w:sz w:val="24"/>
              </w:rPr>
            </w:pPr>
            <w:r>
              <w:rPr>
                <w:rFonts w:ascii="Cambria"/>
                <w:b/>
                <w:spacing w:val="-2"/>
                <w:sz w:val="24"/>
              </w:rPr>
              <w:t>RATIO</w:t>
            </w:r>
          </w:p>
        </w:tc>
        <w:tc>
          <w:tcPr>
            <w:tcW w:w="1848" w:type="dxa"/>
          </w:tcPr>
          <w:p>
            <w:pPr>
              <w:pStyle w:val="TableParagraph"/>
              <w:tabs>
                <w:tab w:pos="694" w:val="left" w:leader="none"/>
              </w:tabs>
              <w:spacing w:line="281" w:lineRule="exact"/>
              <w:ind w:left="106"/>
              <w:rPr>
                <w:rFonts w:ascii="Cambria"/>
                <w:b/>
                <w:sz w:val="24"/>
              </w:rPr>
            </w:pPr>
            <w:r>
              <w:rPr>
                <w:rFonts w:ascii="Cambria"/>
                <w:b/>
                <w:spacing w:val="-5"/>
                <w:sz w:val="24"/>
              </w:rPr>
              <w:t>5%</w:t>
            </w:r>
            <w:r>
              <w:rPr>
                <w:rFonts w:ascii="Cambria"/>
                <w:b/>
                <w:sz w:val="24"/>
              </w:rPr>
              <w:tab/>
            </w:r>
            <w:r>
              <w:rPr>
                <w:rFonts w:ascii="Cambria"/>
                <w:b/>
                <w:spacing w:val="-2"/>
                <w:sz w:val="24"/>
              </w:rPr>
              <w:t>CRITICAL</w:t>
            </w:r>
          </w:p>
          <w:p>
            <w:pPr>
              <w:pStyle w:val="TableParagraph"/>
              <w:spacing w:before="4"/>
              <w:rPr>
                <w:rFonts w:ascii="Arial MT"/>
                <w:sz w:val="24"/>
              </w:rPr>
            </w:pPr>
          </w:p>
          <w:p>
            <w:pPr>
              <w:pStyle w:val="TableParagraph"/>
              <w:ind w:left="106"/>
              <w:rPr>
                <w:rFonts w:ascii="Cambria"/>
                <w:b/>
                <w:sz w:val="24"/>
              </w:rPr>
            </w:pPr>
            <w:r>
              <w:rPr>
                <w:rFonts w:ascii="Cambria"/>
                <w:b/>
                <w:spacing w:val="-2"/>
                <w:sz w:val="24"/>
              </w:rPr>
              <w:t>VALUE</w:t>
            </w:r>
          </w:p>
        </w:tc>
        <w:tc>
          <w:tcPr>
            <w:tcW w:w="1848" w:type="dxa"/>
          </w:tcPr>
          <w:p>
            <w:pPr>
              <w:pStyle w:val="TableParagraph"/>
              <w:tabs>
                <w:tab w:pos="697" w:val="left" w:leader="none"/>
              </w:tabs>
              <w:spacing w:line="281" w:lineRule="exact"/>
              <w:ind w:left="106"/>
              <w:rPr>
                <w:rFonts w:ascii="Cambria"/>
                <w:b/>
                <w:sz w:val="24"/>
              </w:rPr>
            </w:pPr>
            <w:r>
              <w:rPr>
                <w:rFonts w:ascii="Cambria"/>
                <w:b/>
                <w:spacing w:val="-5"/>
                <w:sz w:val="24"/>
              </w:rPr>
              <w:t>1%</w:t>
            </w:r>
            <w:r>
              <w:rPr>
                <w:rFonts w:ascii="Cambria"/>
                <w:b/>
                <w:sz w:val="24"/>
              </w:rPr>
              <w:tab/>
            </w:r>
            <w:r>
              <w:rPr>
                <w:rFonts w:ascii="Cambria"/>
                <w:b/>
                <w:spacing w:val="-2"/>
                <w:sz w:val="24"/>
              </w:rPr>
              <w:t>CRITICAL</w:t>
            </w:r>
          </w:p>
          <w:p>
            <w:pPr>
              <w:pStyle w:val="TableParagraph"/>
              <w:spacing w:before="4"/>
              <w:rPr>
                <w:rFonts w:ascii="Arial MT"/>
                <w:sz w:val="24"/>
              </w:rPr>
            </w:pPr>
          </w:p>
          <w:p>
            <w:pPr>
              <w:pStyle w:val="TableParagraph"/>
              <w:ind w:left="106"/>
              <w:rPr>
                <w:rFonts w:ascii="Cambria"/>
                <w:b/>
                <w:sz w:val="24"/>
              </w:rPr>
            </w:pPr>
            <w:r>
              <w:rPr>
                <w:rFonts w:ascii="Cambria"/>
                <w:b/>
                <w:spacing w:val="-2"/>
                <w:sz w:val="24"/>
              </w:rPr>
              <w:t>VALUE</w:t>
            </w:r>
          </w:p>
        </w:tc>
        <w:tc>
          <w:tcPr>
            <w:tcW w:w="1954" w:type="dxa"/>
          </w:tcPr>
          <w:p>
            <w:pPr>
              <w:pStyle w:val="TableParagraph"/>
              <w:spacing w:line="281" w:lineRule="exact"/>
              <w:ind w:left="109"/>
              <w:rPr>
                <w:rFonts w:ascii="Cambria"/>
                <w:b/>
                <w:sz w:val="24"/>
              </w:rPr>
            </w:pPr>
            <w:r>
              <w:rPr>
                <w:rFonts w:ascii="Cambria"/>
                <w:b/>
                <w:spacing w:val="-2"/>
                <w:sz w:val="24"/>
              </w:rPr>
              <w:t>HYPOTHESISED</w:t>
            </w:r>
          </w:p>
          <w:p>
            <w:pPr>
              <w:pStyle w:val="TableParagraph"/>
              <w:spacing w:before="3"/>
              <w:rPr>
                <w:rFonts w:ascii="Arial MT"/>
                <w:sz w:val="24"/>
              </w:rPr>
            </w:pPr>
          </w:p>
          <w:p>
            <w:pPr>
              <w:pStyle w:val="TableParagraph"/>
              <w:spacing w:before="1"/>
              <w:ind w:left="109"/>
              <w:rPr>
                <w:rFonts w:ascii="Cambria"/>
                <w:b/>
                <w:sz w:val="24"/>
              </w:rPr>
            </w:pPr>
            <w:r>
              <w:rPr>
                <w:rFonts w:ascii="Cambria"/>
                <w:b/>
                <w:position w:val="1"/>
                <w:sz w:val="24"/>
              </w:rPr>
              <w:t>NO OF</w:t>
            </w:r>
            <w:r>
              <w:rPr>
                <w:rFonts w:ascii="Cambria"/>
                <w:b/>
                <w:spacing w:val="-1"/>
                <w:position w:val="1"/>
                <w:sz w:val="24"/>
              </w:rPr>
              <w:t> </w:t>
            </w:r>
            <w:r>
              <w:rPr>
                <w:rFonts w:ascii="Cambria"/>
                <w:b/>
                <w:spacing w:val="-2"/>
                <w:position w:val="1"/>
                <w:sz w:val="24"/>
              </w:rPr>
              <w:t>(CE</w:t>
            </w:r>
            <w:r>
              <w:rPr>
                <w:rFonts w:ascii="Cambria"/>
                <w:b/>
                <w:spacing w:val="-2"/>
                <w:sz w:val="16"/>
              </w:rPr>
              <w:t>S</w:t>
            </w:r>
            <w:r>
              <w:rPr>
                <w:rFonts w:ascii="Cambria"/>
                <w:b/>
                <w:spacing w:val="-2"/>
                <w:position w:val="1"/>
                <w:sz w:val="24"/>
              </w:rPr>
              <w:t>)</w:t>
            </w:r>
          </w:p>
        </w:tc>
      </w:tr>
      <w:tr>
        <w:trPr>
          <w:trHeight w:val="304" w:hRule="atLeast"/>
        </w:trPr>
        <w:tc>
          <w:tcPr>
            <w:tcW w:w="1848" w:type="dxa"/>
          </w:tcPr>
          <w:p>
            <w:pPr>
              <w:pStyle w:val="TableParagraph"/>
              <w:spacing w:line="229" w:lineRule="exact"/>
              <w:ind w:left="533"/>
              <w:rPr>
                <w:rFonts w:ascii="Arial MT"/>
                <w:sz w:val="20"/>
              </w:rPr>
            </w:pPr>
            <w:r>
              <w:rPr>
                <w:rFonts w:ascii="Arial MT"/>
                <w:spacing w:val="-2"/>
                <w:sz w:val="20"/>
              </w:rPr>
              <w:t>0.474747</w:t>
            </w:r>
          </w:p>
        </w:tc>
        <w:tc>
          <w:tcPr>
            <w:tcW w:w="1848" w:type="dxa"/>
          </w:tcPr>
          <w:p>
            <w:pPr>
              <w:pStyle w:val="TableParagraph"/>
              <w:spacing w:line="229" w:lineRule="exact"/>
              <w:ind w:left="113" w:right="58"/>
              <w:jc w:val="center"/>
              <w:rPr>
                <w:rFonts w:ascii="Arial MT"/>
                <w:sz w:val="20"/>
              </w:rPr>
            </w:pPr>
            <w:r>
              <w:rPr>
                <w:rFonts w:ascii="Arial MT"/>
                <w:spacing w:val="-2"/>
                <w:sz w:val="20"/>
              </w:rPr>
              <w:t>70.40447</w:t>
            </w:r>
          </w:p>
        </w:tc>
        <w:tc>
          <w:tcPr>
            <w:tcW w:w="1848" w:type="dxa"/>
          </w:tcPr>
          <w:p>
            <w:pPr>
              <w:pStyle w:val="TableParagraph"/>
              <w:spacing w:line="229" w:lineRule="exact"/>
              <w:ind w:left="113" w:right="54"/>
              <w:jc w:val="center"/>
              <w:rPr>
                <w:rFonts w:ascii="Arial MT"/>
                <w:sz w:val="20"/>
              </w:rPr>
            </w:pPr>
            <w:r>
              <w:rPr>
                <w:rFonts w:ascii="Arial MT"/>
                <w:spacing w:val="-2"/>
                <w:sz w:val="20"/>
              </w:rPr>
              <w:t>68.52</w:t>
            </w:r>
          </w:p>
        </w:tc>
        <w:tc>
          <w:tcPr>
            <w:tcW w:w="1848" w:type="dxa"/>
          </w:tcPr>
          <w:p>
            <w:pPr>
              <w:pStyle w:val="TableParagraph"/>
              <w:spacing w:line="229" w:lineRule="exact"/>
              <w:ind w:left="113" w:right="53"/>
              <w:jc w:val="center"/>
              <w:rPr>
                <w:rFonts w:ascii="Arial MT"/>
                <w:sz w:val="20"/>
              </w:rPr>
            </w:pPr>
            <w:r>
              <w:rPr>
                <w:rFonts w:ascii="Arial MT"/>
                <w:spacing w:val="-2"/>
                <w:sz w:val="20"/>
              </w:rPr>
              <w:t>76.07</w:t>
            </w:r>
          </w:p>
        </w:tc>
        <w:tc>
          <w:tcPr>
            <w:tcW w:w="1954" w:type="dxa"/>
          </w:tcPr>
          <w:p>
            <w:pPr>
              <w:pStyle w:val="TableParagraph"/>
              <w:spacing w:line="229" w:lineRule="exact"/>
              <w:ind w:right="889"/>
              <w:jc w:val="right"/>
              <w:rPr>
                <w:rFonts w:ascii="Arial MT"/>
                <w:sz w:val="20"/>
              </w:rPr>
            </w:pPr>
            <w:r>
              <w:rPr>
                <w:rFonts w:ascii="Arial MT"/>
                <w:sz w:val="20"/>
              </w:rPr>
              <w:t>None</w:t>
            </w:r>
            <w:r>
              <w:rPr>
                <w:rFonts w:ascii="Arial MT"/>
                <w:spacing w:val="-6"/>
                <w:sz w:val="20"/>
              </w:rPr>
              <w:t> </w:t>
            </w:r>
            <w:r>
              <w:rPr>
                <w:rFonts w:ascii="Arial MT"/>
                <w:spacing w:val="-10"/>
                <w:sz w:val="20"/>
              </w:rPr>
              <w:t>*</w:t>
            </w:r>
          </w:p>
        </w:tc>
      </w:tr>
      <w:tr>
        <w:trPr>
          <w:trHeight w:val="350" w:hRule="atLeast"/>
        </w:trPr>
        <w:tc>
          <w:tcPr>
            <w:tcW w:w="1848" w:type="dxa"/>
          </w:tcPr>
          <w:p>
            <w:pPr>
              <w:pStyle w:val="TableParagraph"/>
              <w:spacing w:line="229" w:lineRule="exact"/>
              <w:ind w:left="533"/>
              <w:rPr>
                <w:rFonts w:ascii="Arial MT"/>
                <w:sz w:val="20"/>
              </w:rPr>
            </w:pPr>
            <w:r>
              <w:rPr>
                <w:rFonts w:ascii="Arial MT"/>
                <w:spacing w:val="-2"/>
                <w:sz w:val="20"/>
              </w:rPr>
              <w:t>0.441328</w:t>
            </w:r>
          </w:p>
        </w:tc>
        <w:tc>
          <w:tcPr>
            <w:tcW w:w="1848" w:type="dxa"/>
          </w:tcPr>
          <w:p>
            <w:pPr>
              <w:pStyle w:val="TableParagraph"/>
              <w:spacing w:line="229" w:lineRule="exact"/>
              <w:ind w:left="113" w:right="58"/>
              <w:jc w:val="center"/>
              <w:rPr>
                <w:rFonts w:ascii="Arial MT"/>
                <w:sz w:val="20"/>
              </w:rPr>
            </w:pPr>
            <w:r>
              <w:rPr>
                <w:rFonts w:ascii="Arial MT"/>
                <w:spacing w:val="-2"/>
                <w:sz w:val="20"/>
              </w:rPr>
              <w:t>44.64948</w:t>
            </w:r>
          </w:p>
        </w:tc>
        <w:tc>
          <w:tcPr>
            <w:tcW w:w="1848" w:type="dxa"/>
          </w:tcPr>
          <w:p>
            <w:pPr>
              <w:pStyle w:val="TableParagraph"/>
              <w:spacing w:line="229" w:lineRule="exact"/>
              <w:ind w:left="113" w:right="54"/>
              <w:jc w:val="center"/>
              <w:rPr>
                <w:rFonts w:ascii="Arial MT"/>
                <w:sz w:val="20"/>
              </w:rPr>
            </w:pPr>
            <w:r>
              <w:rPr>
                <w:rFonts w:ascii="Arial MT"/>
                <w:spacing w:val="-2"/>
                <w:sz w:val="20"/>
              </w:rPr>
              <w:t>47.21</w:t>
            </w:r>
          </w:p>
        </w:tc>
        <w:tc>
          <w:tcPr>
            <w:tcW w:w="1848" w:type="dxa"/>
          </w:tcPr>
          <w:p>
            <w:pPr>
              <w:pStyle w:val="TableParagraph"/>
              <w:spacing w:line="229" w:lineRule="exact"/>
              <w:ind w:left="113" w:right="53"/>
              <w:jc w:val="center"/>
              <w:rPr>
                <w:rFonts w:ascii="Arial MT"/>
                <w:sz w:val="20"/>
              </w:rPr>
            </w:pPr>
            <w:r>
              <w:rPr>
                <w:rFonts w:ascii="Arial MT"/>
                <w:spacing w:val="-2"/>
                <w:sz w:val="20"/>
              </w:rPr>
              <w:t>54.46</w:t>
            </w:r>
          </w:p>
        </w:tc>
        <w:tc>
          <w:tcPr>
            <w:tcW w:w="1954" w:type="dxa"/>
          </w:tcPr>
          <w:p>
            <w:pPr>
              <w:pStyle w:val="TableParagraph"/>
              <w:spacing w:line="229" w:lineRule="exact"/>
              <w:ind w:right="821"/>
              <w:jc w:val="right"/>
              <w:rPr>
                <w:rFonts w:ascii="Arial MT"/>
                <w:sz w:val="20"/>
              </w:rPr>
            </w:pPr>
            <w:r>
              <w:rPr>
                <w:rFonts w:ascii="Arial MT"/>
                <w:sz w:val="20"/>
              </w:rPr>
              <w:t>At</w:t>
            </w:r>
            <w:r>
              <w:rPr>
                <w:rFonts w:ascii="Arial MT"/>
                <w:spacing w:val="-4"/>
                <w:sz w:val="20"/>
              </w:rPr>
              <w:t> </w:t>
            </w:r>
            <w:r>
              <w:rPr>
                <w:rFonts w:ascii="Arial MT"/>
                <w:sz w:val="20"/>
              </w:rPr>
              <w:t>most</w:t>
            </w:r>
            <w:r>
              <w:rPr>
                <w:rFonts w:ascii="Arial MT"/>
                <w:spacing w:val="-3"/>
                <w:sz w:val="20"/>
              </w:rPr>
              <w:t> </w:t>
            </w:r>
            <w:r>
              <w:rPr>
                <w:rFonts w:ascii="Arial MT"/>
                <w:spacing w:val="-10"/>
                <w:sz w:val="20"/>
              </w:rPr>
              <w:t>1</w:t>
            </w:r>
          </w:p>
        </w:tc>
      </w:tr>
      <w:tr>
        <w:trPr>
          <w:trHeight w:val="359" w:hRule="atLeast"/>
        </w:trPr>
        <w:tc>
          <w:tcPr>
            <w:tcW w:w="1848" w:type="dxa"/>
          </w:tcPr>
          <w:p>
            <w:pPr>
              <w:pStyle w:val="TableParagraph"/>
              <w:spacing w:line="229" w:lineRule="exact"/>
              <w:ind w:left="533"/>
              <w:rPr>
                <w:rFonts w:ascii="Arial MT"/>
                <w:sz w:val="20"/>
              </w:rPr>
            </w:pPr>
            <w:r>
              <w:rPr>
                <w:rFonts w:ascii="Arial MT"/>
                <w:spacing w:val="-2"/>
                <w:sz w:val="20"/>
              </w:rPr>
              <w:t>0.283674</w:t>
            </w:r>
          </w:p>
        </w:tc>
        <w:tc>
          <w:tcPr>
            <w:tcW w:w="1848" w:type="dxa"/>
          </w:tcPr>
          <w:p>
            <w:pPr>
              <w:pStyle w:val="TableParagraph"/>
              <w:spacing w:line="229" w:lineRule="exact"/>
              <w:ind w:left="113" w:right="58"/>
              <w:jc w:val="center"/>
              <w:rPr>
                <w:rFonts w:ascii="Arial MT"/>
                <w:sz w:val="20"/>
              </w:rPr>
            </w:pPr>
            <w:r>
              <w:rPr>
                <w:rFonts w:ascii="Arial MT"/>
                <w:spacing w:val="-2"/>
                <w:sz w:val="20"/>
              </w:rPr>
              <w:t>21.36175</w:t>
            </w:r>
          </w:p>
        </w:tc>
        <w:tc>
          <w:tcPr>
            <w:tcW w:w="1848" w:type="dxa"/>
          </w:tcPr>
          <w:p>
            <w:pPr>
              <w:pStyle w:val="TableParagraph"/>
              <w:spacing w:line="229" w:lineRule="exact"/>
              <w:ind w:left="113" w:right="54"/>
              <w:jc w:val="center"/>
              <w:rPr>
                <w:rFonts w:ascii="Arial MT"/>
                <w:sz w:val="20"/>
              </w:rPr>
            </w:pPr>
            <w:r>
              <w:rPr>
                <w:rFonts w:ascii="Arial MT"/>
                <w:spacing w:val="-2"/>
                <w:sz w:val="20"/>
              </w:rPr>
              <w:t>29.68</w:t>
            </w:r>
          </w:p>
        </w:tc>
        <w:tc>
          <w:tcPr>
            <w:tcW w:w="1848" w:type="dxa"/>
          </w:tcPr>
          <w:p>
            <w:pPr>
              <w:pStyle w:val="TableParagraph"/>
              <w:spacing w:line="229" w:lineRule="exact"/>
              <w:ind w:left="113" w:right="53"/>
              <w:jc w:val="center"/>
              <w:rPr>
                <w:rFonts w:ascii="Arial MT"/>
                <w:sz w:val="20"/>
              </w:rPr>
            </w:pPr>
            <w:r>
              <w:rPr>
                <w:rFonts w:ascii="Arial MT"/>
                <w:spacing w:val="-2"/>
                <w:sz w:val="20"/>
              </w:rPr>
              <w:t>35.65</w:t>
            </w:r>
          </w:p>
        </w:tc>
        <w:tc>
          <w:tcPr>
            <w:tcW w:w="1954" w:type="dxa"/>
          </w:tcPr>
          <w:p>
            <w:pPr>
              <w:pStyle w:val="TableParagraph"/>
              <w:spacing w:line="229" w:lineRule="exact"/>
              <w:ind w:right="821"/>
              <w:jc w:val="right"/>
              <w:rPr>
                <w:rFonts w:ascii="Arial MT"/>
                <w:sz w:val="20"/>
              </w:rPr>
            </w:pPr>
            <w:r>
              <w:rPr>
                <w:rFonts w:ascii="Arial MT"/>
                <w:sz w:val="20"/>
              </w:rPr>
              <w:t>At</w:t>
            </w:r>
            <w:r>
              <w:rPr>
                <w:rFonts w:ascii="Arial MT"/>
                <w:spacing w:val="-4"/>
                <w:sz w:val="20"/>
              </w:rPr>
              <w:t> </w:t>
            </w:r>
            <w:r>
              <w:rPr>
                <w:rFonts w:ascii="Arial MT"/>
                <w:sz w:val="20"/>
              </w:rPr>
              <w:t>most</w:t>
            </w:r>
            <w:r>
              <w:rPr>
                <w:rFonts w:ascii="Arial MT"/>
                <w:spacing w:val="-3"/>
                <w:sz w:val="20"/>
              </w:rPr>
              <w:t> </w:t>
            </w:r>
            <w:r>
              <w:rPr>
                <w:rFonts w:ascii="Arial MT"/>
                <w:spacing w:val="-10"/>
                <w:sz w:val="20"/>
              </w:rPr>
              <w:t>2</w:t>
            </w:r>
          </w:p>
        </w:tc>
      </w:tr>
      <w:tr>
        <w:trPr>
          <w:trHeight w:val="350" w:hRule="atLeast"/>
        </w:trPr>
        <w:tc>
          <w:tcPr>
            <w:tcW w:w="1848" w:type="dxa"/>
          </w:tcPr>
          <w:p>
            <w:pPr>
              <w:pStyle w:val="TableParagraph"/>
              <w:spacing w:line="229" w:lineRule="exact"/>
              <w:ind w:left="533"/>
              <w:rPr>
                <w:rFonts w:ascii="Arial MT"/>
                <w:sz w:val="20"/>
              </w:rPr>
            </w:pPr>
            <w:r>
              <w:rPr>
                <w:rFonts w:ascii="Arial MT"/>
                <w:spacing w:val="-2"/>
                <w:sz w:val="20"/>
              </w:rPr>
              <w:t>0.170620</w:t>
            </w:r>
          </w:p>
        </w:tc>
        <w:tc>
          <w:tcPr>
            <w:tcW w:w="1848" w:type="dxa"/>
          </w:tcPr>
          <w:p>
            <w:pPr>
              <w:pStyle w:val="TableParagraph"/>
              <w:spacing w:line="229" w:lineRule="exact"/>
              <w:ind w:left="113" w:right="58"/>
              <w:jc w:val="center"/>
              <w:rPr>
                <w:rFonts w:ascii="Arial MT"/>
                <w:sz w:val="20"/>
              </w:rPr>
            </w:pPr>
            <w:r>
              <w:rPr>
                <w:rFonts w:ascii="Arial MT"/>
                <w:spacing w:val="-2"/>
                <w:sz w:val="20"/>
              </w:rPr>
              <w:t>8.016926</w:t>
            </w:r>
          </w:p>
        </w:tc>
        <w:tc>
          <w:tcPr>
            <w:tcW w:w="1848" w:type="dxa"/>
          </w:tcPr>
          <w:p>
            <w:pPr>
              <w:pStyle w:val="TableParagraph"/>
              <w:spacing w:line="229" w:lineRule="exact"/>
              <w:ind w:left="113" w:right="54"/>
              <w:jc w:val="center"/>
              <w:rPr>
                <w:rFonts w:ascii="Arial MT"/>
                <w:sz w:val="20"/>
              </w:rPr>
            </w:pPr>
            <w:r>
              <w:rPr>
                <w:rFonts w:ascii="Arial MT"/>
                <w:spacing w:val="-2"/>
                <w:sz w:val="20"/>
              </w:rPr>
              <w:t>15.41</w:t>
            </w:r>
          </w:p>
        </w:tc>
        <w:tc>
          <w:tcPr>
            <w:tcW w:w="1848" w:type="dxa"/>
          </w:tcPr>
          <w:p>
            <w:pPr>
              <w:pStyle w:val="TableParagraph"/>
              <w:spacing w:line="229" w:lineRule="exact"/>
              <w:ind w:left="113" w:right="53"/>
              <w:jc w:val="center"/>
              <w:rPr>
                <w:rFonts w:ascii="Arial MT"/>
                <w:sz w:val="20"/>
              </w:rPr>
            </w:pPr>
            <w:r>
              <w:rPr>
                <w:rFonts w:ascii="Arial MT"/>
                <w:spacing w:val="-2"/>
                <w:sz w:val="20"/>
              </w:rPr>
              <w:t>20.04</w:t>
            </w:r>
          </w:p>
        </w:tc>
        <w:tc>
          <w:tcPr>
            <w:tcW w:w="1954" w:type="dxa"/>
          </w:tcPr>
          <w:p>
            <w:pPr>
              <w:pStyle w:val="TableParagraph"/>
              <w:spacing w:line="229" w:lineRule="exact"/>
              <w:ind w:right="821"/>
              <w:jc w:val="right"/>
              <w:rPr>
                <w:rFonts w:ascii="Arial MT"/>
                <w:sz w:val="20"/>
              </w:rPr>
            </w:pPr>
            <w:r>
              <w:rPr>
                <w:rFonts w:ascii="Arial MT"/>
                <w:sz w:val="20"/>
              </w:rPr>
              <w:t>At</w:t>
            </w:r>
            <w:r>
              <w:rPr>
                <w:rFonts w:ascii="Arial MT"/>
                <w:spacing w:val="-4"/>
                <w:sz w:val="20"/>
              </w:rPr>
              <w:t> </w:t>
            </w:r>
            <w:r>
              <w:rPr>
                <w:rFonts w:ascii="Arial MT"/>
                <w:sz w:val="20"/>
              </w:rPr>
              <w:t>most</w:t>
            </w:r>
            <w:r>
              <w:rPr>
                <w:rFonts w:ascii="Arial MT"/>
                <w:spacing w:val="-3"/>
                <w:sz w:val="20"/>
              </w:rPr>
              <w:t> </w:t>
            </w:r>
            <w:r>
              <w:rPr>
                <w:rFonts w:ascii="Arial MT"/>
                <w:spacing w:val="-10"/>
                <w:sz w:val="20"/>
              </w:rPr>
              <w:t>3</w:t>
            </w:r>
          </w:p>
        </w:tc>
      </w:tr>
      <w:tr>
        <w:trPr>
          <w:trHeight w:val="350" w:hRule="atLeast"/>
        </w:trPr>
        <w:tc>
          <w:tcPr>
            <w:tcW w:w="1848" w:type="dxa"/>
          </w:tcPr>
          <w:p>
            <w:pPr>
              <w:pStyle w:val="TableParagraph"/>
              <w:spacing w:line="229" w:lineRule="exact"/>
              <w:ind w:left="533"/>
              <w:rPr>
                <w:rFonts w:ascii="Arial MT"/>
                <w:sz w:val="20"/>
              </w:rPr>
            </w:pPr>
            <w:r>
              <w:rPr>
                <w:rFonts w:ascii="Arial MT"/>
                <w:spacing w:val="-2"/>
                <w:sz w:val="20"/>
              </w:rPr>
              <w:t>0.013257</w:t>
            </w:r>
          </w:p>
        </w:tc>
        <w:tc>
          <w:tcPr>
            <w:tcW w:w="1848" w:type="dxa"/>
          </w:tcPr>
          <w:p>
            <w:pPr>
              <w:pStyle w:val="TableParagraph"/>
              <w:spacing w:line="229" w:lineRule="exact"/>
              <w:ind w:left="113" w:right="58"/>
              <w:jc w:val="center"/>
              <w:rPr>
                <w:rFonts w:ascii="Arial MT"/>
                <w:sz w:val="20"/>
              </w:rPr>
            </w:pPr>
            <w:r>
              <w:rPr>
                <w:rFonts w:ascii="Arial MT"/>
                <w:spacing w:val="-2"/>
                <w:sz w:val="20"/>
              </w:rPr>
              <w:t>0.533835</w:t>
            </w:r>
          </w:p>
        </w:tc>
        <w:tc>
          <w:tcPr>
            <w:tcW w:w="1848" w:type="dxa"/>
          </w:tcPr>
          <w:p>
            <w:pPr>
              <w:pStyle w:val="TableParagraph"/>
              <w:spacing w:line="229" w:lineRule="exact"/>
              <w:ind w:left="113" w:right="1"/>
              <w:jc w:val="center"/>
              <w:rPr>
                <w:rFonts w:ascii="Arial MT"/>
                <w:sz w:val="20"/>
              </w:rPr>
            </w:pPr>
            <w:r>
              <w:rPr>
                <w:rFonts w:ascii="Arial MT"/>
                <w:spacing w:val="-4"/>
                <w:sz w:val="20"/>
              </w:rPr>
              <w:t>3.76</w:t>
            </w:r>
          </w:p>
        </w:tc>
        <w:tc>
          <w:tcPr>
            <w:tcW w:w="1848" w:type="dxa"/>
          </w:tcPr>
          <w:p>
            <w:pPr>
              <w:pStyle w:val="TableParagraph"/>
              <w:spacing w:line="229" w:lineRule="exact"/>
              <w:ind w:left="113"/>
              <w:jc w:val="center"/>
              <w:rPr>
                <w:rFonts w:ascii="Arial MT"/>
                <w:sz w:val="20"/>
              </w:rPr>
            </w:pPr>
            <w:r>
              <w:rPr>
                <w:rFonts w:ascii="Arial MT"/>
                <w:spacing w:val="-4"/>
                <w:sz w:val="20"/>
              </w:rPr>
              <w:t>6.65</w:t>
            </w:r>
          </w:p>
        </w:tc>
        <w:tc>
          <w:tcPr>
            <w:tcW w:w="1954" w:type="dxa"/>
          </w:tcPr>
          <w:p>
            <w:pPr>
              <w:pStyle w:val="TableParagraph"/>
              <w:spacing w:line="229" w:lineRule="exact"/>
              <w:ind w:right="821"/>
              <w:jc w:val="right"/>
              <w:rPr>
                <w:rFonts w:ascii="Arial MT"/>
                <w:sz w:val="20"/>
              </w:rPr>
            </w:pPr>
            <w:r>
              <w:rPr>
                <w:rFonts w:ascii="Arial MT"/>
                <w:sz w:val="20"/>
              </w:rPr>
              <w:t>At</w:t>
            </w:r>
            <w:r>
              <w:rPr>
                <w:rFonts w:ascii="Arial MT"/>
                <w:spacing w:val="-4"/>
                <w:sz w:val="20"/>
              </w:rPr>
              <w:t> </w:t>
            </w:r>
            <w:r>
              <w:rPr>
                <w:rFonts w:ascii="Arial MT"/>
                <w:sz w:val="20"/>
              </w:rPr>
              <w:t>most</w:t>
            </w:r>
            <w:r>
              <w:rPr>
                <w:rFonts w:ascii="Arial MT"/>
                <w:spacing w:val="-3"/>
                <w:sz w:val="20"/>
              </w:rPr>
              <w:t> </w:t>
            </w:r>
            <w:r>
              <w:rPr>
                <w:rFonts w:ascii="Arial MT"/>
                <w:spacing w:val="-10"/>
                <w:sz w:val="20"/>
              </w:rPr>
              <w:t>4</w:t>
            </w:r>
          </w:p>
        </w:tc>
      </w:tr>
    </w:tbl>
    <w:p>
      <w:pPr>
        <w:spacing w:line="480" w:lineRule="auto" w:before="1"/>
        <w:ind w:left="711" w:right="474" w:firstLine="0"/>
        <w:jc w:val="both"/>
        <w:rPr>
          <w:rFonts w:ascii="Cambria"/>
          <w:sz w:val="24"/>
        </w:rPr>
      </w:pPr>
      <w:r>
        <w:rPr>
          <w:rFonts w:ascii="Cambria"/>
          <w:sz w:val="24"/>
        </w:rPr>
        <w:t>*(**) denotes rejection of hypothesis @ 5 %( 1%) Significant level L.R. test indicates </w:t>
      </w:r>
      <w:r>
        <w:rPr>
          <w:rFonts w:ascii="Arial MT"/>
          <w:sz w:val="20"/>
        </w:rPr>
        <w:t>test indicates 1 cointegrating equation(s) at 5% significance level</w:t>
      </w:r>
      <w:r>
        <w:rPr>
          <w:rFonts w:ascii="Cambria"/>
          <w:sz w:val="24"/>
        </w:rPr>
        <w:t>.</w:t>
      </w:r>
    </w:p>
    <w:p>
      <w:pPr>
        <w:pStyle w:val="BodyText"/>
        <w:spacing w:line="275" w:lineRule="exact"/>
        <w:ind w:left="711"/>
        <w:rPr>
          <w:b/>
        </w:rPr>
      </w:pPr>
      <w:r>
        <w:rPr/>
        <w:t>Source:</w:t>
      </w:r>
      <w:r>
        <w:rPr>
          <w:spacing w:val="-4"/>
        </w:rPr>
        <w:t> </w:t>
      </w:r>
      <w:r>
        <w:rPr/>
        <w:t>Computation,</w:t>
      </w:r>
      <w:r>
        <w:rPr>
          <w:spacing w:val="-1"/>
        </w:rPr>
        <w:t> </w:t>
      </w:r>
      <w:r>
        <w:rPr/>
        <w:t>using</w:t>
      </w:r>
      <w:r>
        <w:rPr>
          <w:spacing w:val="-5"/>
        </w:rPr>
        <w:t> </w:t>
      </w:r>
      <w:r>
        <w:rPr/>
        <w:t>E-view</w:t>
      </w:r>
      <w:r>
        <w:rPr>
          <w:spacing w:val="-1"/>
        </w:rPr>
        <w:t> </w:t>
      </w:r>
      <w:r>
        <w:rPr/>
        <w:t>statistical</w:t>
      </w:r>
      <w:r>
        <w:rPr>
          <w:spacing w:val="-1"/>
        </w:rPr>
        <w:t> </w:t>
      </w:r>
      <w:r>
        <w:rPr>
          <w:spacing w:val="-2"/>
        </w:rPr>
        <w:t>package</w:t>
      </w:r>
      <w:r>
        <w:rPr>
          <w:b/>
          <w:spacing w:val="-2"/>
        </w:rPr>
        <w:t>.</w:t>
      </w:r>
    </w:p>
    <w:p>
      <w:pPr>
        <w:pStyle w:val="BodyText"/>
        <w:spacing w:before="1"/>
        <w:rPr>
          <w:b/>
        </w:rPr>
      </w:pPr>
    </w:p>
    <w:p>
      <w:pPr>
        <w:pStyle w:val="BodyText"/>
        <w:spacing w:line="480" w:lineRule="auto"/>
        <w:ind w:left="711" w:right="470"/>
        <w:jc w:val="both"/>
      </w:pPr>
      <w:r>
        <w:rPr>
          <w:rFonts w:ascii="Cambria"/>
        </w:rPr>
        <w:t>The table above shows that long-run relationship (co-integration) exist among Gross domestic product and it identified determinants; external debt (EXTDEBT), direct foreign investment (DFI), current account balance (CAB),</w:t>
      </w:r>
      <w:r>
        <w:rPr>
          <w:rFonts w:ascii="Cambria"/>
          <w:spacing w:val="80"/>
        </w:rPr>
        <w:t> </w:t>
      </w:r>
      <w:r>
        <w:rPr>
          <w:rFonts w:ascii="Cambria"/>
        </w:rPr>
        <w:t>and reserve (RES). This is reflected in the likelihood value of 70.40447 which is greater than 68.52 critical value at 5%. Thus, the hypothesis of no co-integration </w:t>
      </w:r>
      <w:r>
        <w:rPr>
          <w:rFonts w:ascii="Cambria"/>
          <w:position w:val="1"/>
        </w:rPr>
        <w:t>(H</w:t>
      </w:r>
      <w:r>
        <w:rPr>
          <w:rFonts w:ascii="Cambria"/>
          <w:sz w:val="16"/>
        </w:rPr>
        <w:t>0</w:t>
      </w:r>
      <w:r>
        <w:rPr>
          <w:rFonts w:ascii="Cambria"/>
          <w:position w:val="1"/>
        </w:rPr>
        <w:t>) is rejected and that of presence of co-integration (H</w:t>
      </w:r>
      <w:r>
        <w:rPr>
          <w:rFonts w:ascii="Cambria"/>
          <w:sz w:val="16"/>
        </w:rPr>
        <w:t>1</w:t>
      </w:r>
      <w:r>
        <w:rPr>
          <w:rFonts w:ascii="Cambria"/>
          <w:position w:val="1"/>
        </w:rPr>
        <w:t>) is upheld. </w:t>
      </w:r>
      <w:r>
        <w:rPr>
          <w:position w:val="1"/>
        </w:rPr>
        <w:t>The analysis indicates that there is </w:t>
      </w:r>
      <w:r>
        <w:rPr/>
        <w:t>one cointegrating equations at 5% significance level.</w:t>
      </w:r>
    </w:p>
    <w:p>
      <w:pPr>
        <w:pStyle w:val="BodyText"/>
        <w:spacing w:before="275"/>
      </w:pPr>
    </w:p>
    <w:p>
      <w:pPr>
        <w:pStyle w:val="Heading6"/>
        <w:numPr>
          <w:ilvl w:val="2"/>
          <w:numId w:val="27"/>
        </w:numPr>
        <w:tabs>
          <w:tab w:pos="1251" w:val="left" w:leader="none"/>
        </w:tabs>
        <w:spacing w:line="240" w:lineRule="auto" w:before="0" w:after="0"/>
        <w:ind w:left="1251" w:right="0" w:hanging="540"/>
        <w:jc w:val="left"/>
      </w:pPr>
      <w:bookmarkStart w:name="_TOC_250009" w:id="18"/>
      <w:r>
        <w:rPr/>
        <w:t>The</w:t>
      </w:r>
      <w:r>
        <w:rPr>
          <w:spacing w:val="-3"/>
        </w:rPr>
        <w:t> </w:t>
      </w:r>
      <w:r>
        <w:rPr/>
        <w:t>Long Run</w:t>
      </w:r>
      <w:r>
        <w:rPr>
          <w:spacing w:val="1"/>
        </w:rPr>
        <w:t> </w:t>
      </w:r>
      <w:bookmarkEnd w:id="18"/>
      <w:r>
        <w:rPr>
          <w:spacing w:val="-4"/>
        </w:rPr>
        <w:t>Model</w:t>
      </w:r>
    </w:p>
    <w:p>
      <w:pPr>
        <w:pStyle w:val="BodyText"/>
        <w:rPr>
          <w:b/>
        </w:rPr>
      </w:pPr>
    </w:p>
    <w:p>
      <w:pPr>
        <w:pStyle w:val="BodyText"/>
        <w:spacing w:line="480" w:lineRule="auto" w:before="1"/>
        <w:ind w:left="711" w:right="472"/>
        <w:jc w:val="both"/>
      </w:pPr>
      <w:r>
        <w:rPr>
          <w:rFonts w:ascii="Cambria"/>
        </w:rPr>
        <w:t>The long run model is derived from the Johansen co-integration result from which the equation with the lowest log-likelihood ratio is chosen. The equation with the lowest log-likelihood ratio is the first equation with the corresponding value of </w:t>
      </w:r>
      <w:r>
        <w:rPr>
          <w:rFonts w:ascii="Arial MT"/>
          <w:sz w:val="20"/>
        </w:rPr>
        <w:t>-210.7416 </w:t>
      </w:r>
      <w:r>
        <w:rPr/>
        <w:t>and it is presented as follows:</w:t>
      </w:r>
    </w:p>
    <w:p>
      <w:pPr>
        <w:tabs>
          <w:tab w:pos="9583" w:val="left" w:leader="dot"/>
        </w:tabs>
        <w:spacing w:line="289" w:lineRule="exact" w:before="39"/>
        <w:ind w:left="711" w:right="0" w:firstLine="0"/>
        <w:jc w:val="left"/>
        <w:rPr>
          <w:i/>
          <w:sz w:val="18"/>
        </w:rPr>
      </w:pPr>
      <w:r>
        <w:rPr>
          <w:i/>
          <w:sz w:val="24"/>
        </w:rPr>
        <w:t>GDP</w:t>
      </w:r>
      <w:r>
        <w:rPr>
          <w:i/>
          <w:spacing w:val="-3"/>
          <w:sz w:val="24"/>
        </w:rPr>
        <w:t> </w:t>
      </w:r>
      <w:r>
        <w:rPr>
          <w:i/>
          <w:sz w:val="24"/>
        </w:rPr>
        <w:t>=-1.406198 +0.039389</w:t>
      </w:r>
      <w:r>
        <w:rPr>
          <w:i/>
          <w:spacing w:val="-10"/>
          <w:sz w:val="24"/>
        </w:rPr>
        <w:t> </w:t>
      </w:r>
      <w:r>
        <w:rPr>
          <w:i/>
          <w:sz w:val="20"/>
        </w:rPr>
        <w:t>δ</w:t>
      </w:r>
      <w:r>
        <w:rPr>
          <w:i/>
          <w:sz w:val="20"/>
          <w:vertAlign w:val="subscript"/>
        </w:rPr>
        <w:t>EXTDEBT</w:t>
      </w:r>
      <w:r>
        <w:rPr>
          <w:i/>
          <w:spacing w:val="48"/>
          <w:sz w:val="20"/>
          <w:vertAlign w:val="baseline"/>
        </w:rPr>
        <w:t> </w:t>
      </w:r>
      <w:r>
        <w:rPr>
          <w:i/>
          <w:sz w:val="20"/>
          <w:vertAlign w:val="baseline"/>
        </w:rPr>
        <w:t>- </w:t>
      </w:r>
      <w:r>
        <w:rPr>
          <w:i/>
          <w:sz w:val="24"/>
          <w:vertAlign w:val="baseline"/>
        </w:rPr>
        <w:t>0.796985</w:t>
      </w:r>
      <w:r>
        <w:rPr>
          <w:i/>
          <w:sz w:val="24"/>
          <w:vertAlign w:val="subscript"/>
        </w:rPr>
        <w:t>DFI</w:t>
      </w:r>
      <w:r>
        <w:rPr>
          <w:i/>
          <w:spacing w:val="-20"/>
          <w:sz w:val="24"/>
          <w:vertAlign w:val="baseline"/>
        </w:rPr>
        <w:t> </w:t>
      </w:r>
      <w:r>
        <w:rPr>
          <w:i/>
          <w:sz w:val="24"/>
          <w:vertAlign w:val="baseline"/>
        </w:rPr>
        <w:t>+</w:t>
      </w:r>
      <w:r>
        <w:rPr>
          <w:i/>
          <w:spacing w:val="-21"/>
          <w:sz w:val="24"/>
          <w:vertAlign w:val="baseline"/>
        </w:rPr>
        <w:t> </w:t>
      </w:r>
      <w:r>
        <w:rPr>
          <w:i/>
          <w:sz w:val="24"/>
          <w:vertAlign w:val="baseline"/>
        </w:rPr>
        <w:t>0.174985</w:t>
      </w:r>
      <w:r>
        <w:rPr>
          <w:i/>
          <w:sz w:val="24"/>
          <w:vertAlign w:val="subscript"/>
        </w:rPr>
        <w:t>CAB</w:t>
      </w:r>
      <w:r>
        <w:rPr>
          <w:i/>
          <w:spacing w:val="-1"/>
          <w:sz w:val="24"/>
          <w:vertAlign w:val="baseline"/>
        </w:rPr>
        <w:t> </w:t>
      </w:r>
      <w:r>
        <w:rPr>
          <w:i/>
          <w:spacing w:val="-2"/>
          <w:sz w:val="24"/>
          <w:vertAlign w:val="baseline"/>
        </w:rPr>
        <w:t>0.595361</w:t>
      </w:r>
      <w:r>
        <w:rPr>
          <w:i/>
          <w:spacing w:val="-2"/>
          <w:sz w:val="20"/>
          <w:vertAlign w:val="baseline"/>
        </w:rPr>
        <w:t>δ</w:t>
      </w:r>
      <w:r>
        <w:rPr>
          <w:i/>
          <w:spacing w:val="-2"/>
          <w:position w:val="-1"/>
          <w:sz w:val="16"/>
          <w:vertAlign w:val="baseline"/>
        </w:rPr>
        <w:t>RES</w:t>
      </w:r>
      <w:r>
        <w:rPr>
          <w:i/>
          <w:position w:val="-1"/>
          <w:sz w:val="16"/>
          <w:vertAlign w:val="baseline"/>
        </w:rPr>
        <w:tab/>
      </w:r>
      <w:r>
        <w:rPr>
          <w:i/>
          <w:spacing w:val="-2"/>
          <w:position w:val="-2"/>
          <w:sz w:val="18"/>
          <w:vertAlign w:val="baseline"/>
        </w:rPr>
        <w:t>(4.15)</w:t>
      </w:r>
    </w:p>
    <w:p>
      <w:pPr>
        <w:tabs>
          <w:tab w:pos="4614" w:val="left" w:leader="none"/>
          <w:tab w:pos="6448" w:val="left" w:leader="none"/>
          <w:tab w:pos="7881" w:val="left" w:leader="none"/>
        </w:tabs>
        <w:spacing w:line="226" w:lineRule="exact" w:before="0"/>
        <w:ind w:left="2480" w:right="0" w:firstLine="0"/>
        <w:jc w:val="left"/>
        <w:rPr>
          <w:i/>
          <w:sz w:val="20"/>
        </w:rPr>
      </w:pPr>
      <w:r>
        <w:rPr>
          <w:i/>
          <w:spacing w:val="-2"/>
          <w:sz w:val="20"/>
        </w:rPr>
        <w:t>(0.03457)</w:t>
      </w:r>
      <w:r>
        <w:rPr>
          <w:i/>
          <w:sz w:val="20"/>
        </w:rPr>
        <w:tab/>
      </w:r>
      <w:r>
        <w:rPr>
          <w:i/>
          <w:spacing w:val="-2"/>
          <w:sz w:val="20"/>
        </w:rPr>
        <w:t>(0.10911)</w:t>
      </w:r>
      <w:r>
        <w:rPr>
          <w:i/>
          <w:sz w:val="20"/>
        </w:rPr>
        <w:tab/>
      </w:r>
      <w:r>
        <w:rPr>
          <w:i/>
          <w:spacing w:val="-2"/>
          <w:sz w:val="20"/>
        </w:rPr>
        <w:t>(0.10106)</w:t>
      </w:r>
      <w:r>
        <w:rPr>
          <w:i/>
          <w:sz w:val="20"/>
        </w:rPr>
        <w:tab/>
      </w:r>
      <w:r>
        <w:rPr>
          <w:i/>
          <w:spacing w:val="-2"/>
          <w:sz w:val="20"/>
        </w:rPr>
        <w:t>(0.12391)</w:t>
      </w:r>
    </w:p>
    <w:p>
      <w:pPr>
        <w:pStyle w:val="BodyText"/>
        <w:spacing w:before="87"/>
        <w:rPr>
          <w:i/>
          <w:sz w:val="20"/>
        </w:rPr>
      </w:pPr>
    </w:p>
    <w:p>
      <w:pPr>
        <w:pStyle w:val="BodyText"/>
        <w:ind w:left="711"/>
        <w:jc w:val="both"/>
        <w:rPr>
          <w:rFonts w:ascii="Cambria"/>
        </w:rPr>
      </w:pPr>
      <w:r>
        <w:rPr>
          <w:rFonts w:ascii="Cambria"/>
          <w:b/>
        </w:rPr>
        <w:t>Note:</w:t>
      </w:r>
      <w:r>
        <w:rPr>
          <w:rFonts w:ascii="Cambria"/>
          <w:b/>
          <w:spacing w:val="79"/>
        </w:rPr>
        <w:t> </w:t>
      </w:r>
      <w:r>
        <w:rPr>
          <w:rFonts w:ascii="Cambria"/>
        </w:rPr>
        <w:t>Standard</w:t>
      </w:r>
      <w:r>
        <w:rPr>
          <w:rFonts w:ascii="Cambria"/>
          <w:spacing w:val="-3"/>
        </w:rPr>
        <w:t> </w:t>
      </w:r>
      <w:r>
        <w:rPr>
          <w:rFonts w:ascii="Cambria"/>
        </w:rPr>
        <w:t>error</w:t>
      </w:r>
      <w:r>
        <w:rPr>
          <w:rFonts w:ascii="Cambria"/>
          <w:spacing w:val="-3"/>
        </w:rPr>
        <w:t> </w:t>
      </w:r>
      <w:r>
        <w:rPr>
          <w:rFonts w:ascii="Cambria"/>
        </w:rPr>
        <w:t>statistics</w:t>
      </w:r>
      <w:r>
        <w:rPr>
          <w:rFonts w:ascii="Cambria"/>
          <w:spacing w:val="-2"/>
        </w:rPr>
        <w:t> </w:t>
      </w:r>
      <w:r>
        <w:rPr>
          <w:rFonts w:ascii="Cambria"/>
        </w:rPr>
        <w:t>are</w:t>
      </w:r>
      <w:r>
        <w:rPr>
          <w:rFonts w:ascii="Cambria"/>
          <w:spacing w:val="-1"/>
        </w:rPr>
        <w:t> </w:t>
      </w:r>
      <w:r>
        <w:rPr>
          <w:rFonts w:ascii="Cambria"/>
        </w:rPr>
        <w:t>given</w:t>
      </w:r>
      <w:r>
        <w:rPr>
          <w:rFonts w:ascii="Cambria"/>
          <w:spacing w:val="-1"/>
        </w:rPr>
        <w:t> </w:t>
      </w:r>
      <w:r>
        <w:rPr>
          <w:rFonts w:ascii="Cambria"/>
        </w:rPr>
        <w:t>in</w:t>
      </w:r>
      <w:r>
        <w:rPr>
          <w:rFonts w:ascii="Cambria"/>
          <w:spacing w:val="-1"/>
        </w:rPr>
        <w:t> </w:t>
      </w:r>
      <w:r>
        <w:rPr>
          <w:rFonts w:ascii="Cambria"/>
          <w:spacing w:val="-2"/>
        </w:rPr>
        <w:t>parentheses</w:t>
      </w:r>
    </w:p>
    <w:p>
      <w:pPr>
        <w:spacing w:after="0"/>
        <w:jc w:val="both"/>
        <w:rPr>
          <w:rFonts w:ascii="Cambria"/>
        </w:rPr>
        <w:sectPr>
          <w:pgSz w:w="11910" w:h="16840"/>
          <w:pgMar w:header="0" w:footer="979" w:top="1360" w:bottom="1240" w:left="280" w:right="0"/>
        </w:sectPr>
      </w:pPr>
    </w:p>
    <w:p>
      <w:pPr>
        <w:pStyle w:val="BodyText"/>
        <w:spacing w:line="480" w:lineRule="auto" w:before="60"/>
        <w:ind w:left="711" w:right="471"/>
        <w:jc w:val="both"/>
      </w:pPr>
      <w:r>
        <w:rPr/>
        <w:t>The long run Cointegration equation moves slightly in deviation to its short run results.</w:t>
      </w:r>
      <w:r>
        <w:rPr>
          <w:spacing w:val="40"/>
        </w:rPr>
        <w:t> </w:t>
      </w:r>
      <w:r>
        <w:rPr/>
        <w:t>The constant and direct foreign investment (DFI) is negatively signed whereas all the variables were positively signed in the short run. The negative sign exhibited by DFI is not in conformity with the expected result of positive relationship with the GDP, this is because increase level of DFI IS expected to create employment in the domestic economy and boost economic growth.</w:t>
      </w:r>
    </w:p>
    <w:p>
      <w:pPr>
        <w:pStyle w:val="BodyText"/>
      </w:pPr>
    </w:p>
    <w:p>
      <w:pPr>
        <w:pStyle w:val="BodyText"/>
        <w:spacing w:before="1"/>
      </w:pPr>
    </w:p>
    <w:p>
      <w:pPr>
        <w:pStyle w:val="Heading6"/>
        <w:numPr>
          <w:ilvl w:val="2"/>
          <w:numId w:val="27"/>
        </w:numPr>
        <w:tabs>
          <w:tab w:pos="1431" w:val="left" w:leader="none"/>
        </w:tabs>
        <w:spacing w:line="240" w:lineRule="auto" w:before="0" w:after="0"/>
        <w:ind w:left="1431" w:right="0" w:hanging="720"/>
        <w:jc w:val="left"/>
      </w:pPr>
      <w:r>
        <w:rPr/>
        <w:t>Error</w:t>
      </w:r>
      <w:r>
        <w:rPr>
          <w:spacing w:val="-4"/>
        </w:rPr>
        <w:t> </w:t>
      </w:r>
      <w:r>
        <w:rPr/>
        <w:t>Correction</w:t>
      </w:r>
      <w:r>
        <w:rPr>
          <w:spacing w:val="-1"/>
        </w:rPr>
        <w:t> </w:t>
      </w:r>
      <w:r>
        <w:rPr/>
        <w:t>Test</w:t>
      </w:r>
      <w:r>
        <w:rPr>
          <w:spacing w:val="-1"/>
        </w:rPr>
        <w:t> </w:t>
      </w:r>
      <w:r>
        <w:rPr/>
        <w:t>for</w:t>
      </w:r>
      <w:r>
        <w:rPr>
          <w:spacing w:val="-1"/>
        </w:rPr>
        <w:t> </w:t>
      </w:r>
      <w:r>
        <w:rPr/>
        <w:t>Model</w:t>
      </w:r>
      <w:r>
        <w:rPr>
          <w:spacing w:val="2"/>
        </w:rPr>
        <w:t> </w:t>
      </w:r>
      <w:r>
        <w:rPr/>
        <w:t>2A</w:t>
      </w:r>
      <w:r>
        <w:rPr>
          <w:spacing w:val="-2"/>
        </w:rPr>
        <w:t> </w:t>
      </w:r>
      <w:r>
        <w:rPr/>
        <w:t>(World Bank &amp;</w:t>
      </w:r>
      <w:r>
        <w:rPr>
          <w:spacing w:val="-2"/>
        </w:rPr>
        <w:t> </w:t>
      </w:r>
      <w:r>
        <w:rPr/>
        <w:t>Erbe</w:t>
      </w:r>
      <w:r>
        <w:rPr>
          <w:spacing w:val="-2"/>
        </w:rPr>
        <w:t> </w:t>
      </w:r>
      <w:r>
        <w:rPr/>
        <w:t>(1985) </w:t>
      </w:r>
      <w:r>
        <w:rPr>
          <w:spacing w:val="-2"/>
        </w:rPr>
        <w:t>approach).</w:t>
      </w:r>
    </w:p>
    <w:p>
      <w:pPr>
        <w:pStyle w:val="BodyText"/>
        <w:spacing w:before="1"/>
        <w:rPr>
          <w:b/>
        </w:rPr>
      </w:pPr>
    </w:p>
    <w:p>
      <w:pPr>
        <w:pStyle w:val="BodyText"/>
        <w:spacing w:line="480" w:lineRule="auto"/>
        <w:ind w:left="711" w:right="469"/>
        <w:jc w:val="both"/>
      </w:pPr>
      <w:r>
        <w:rPr/>
        <w:t>In line with the result obtained in the unit root test, the error correction mechanism showed that the ECM is stationary</w:t>
      </w:r>
      <w:r>
        <w:rPr>
          <w:spacing w:val="-3"/>
        </w:rPr>
        <w:t> </w:t>
      </w:r>
      <w:r>
        <w:rPr/>
        <w:t>at level; therefore, an over-parametized error</w:t>
      </w:r>
      <w:r>
        <w:rPr>
          <w:spacing w:val="-1"/>
        </w:rPr>
        <w:t> </w:t>
      </w:r>
      <w:r>
        <w:rPr/>
        <w:t>correction model is required in this analysis and was obtained by using the lag length to ensure that the dynamics of the model is not compromised and properly captured. The result of the over-parametized error correction model (ECM1) is presented in table 4.16.1 </w:t>
      </w:r>
      <w:r>
        <w:rPr>
          <w:spacing w:val="-2"/>
        </w:rPr>
        <w:t>below:</w:t>
      </w:r>
    </w:p>
    <w:p>
      <w:pPr>
        <w:pStyle w:val="Heading6"/>
        <w:spacing w:before="1"/>
        <w:ind w:right="471"/>
      </w:pPr>
      <w:r>
        <w:rPr>
          <w:rFonts w:ascii="Cambria"/>
        </w:rPr>
        <w:t>Table 4.16.1 Over-Parametized Model (ECM 1)</w:t>
      </w:r>
      <w:r>
        <w:rPr>
          <w:rFonts w:ascii="Cambria"/>
          <w:spacing w:val="40"/>
        </w:rPr>
        <w:t> </w:t>
      </w:r>
      <w:r>
        <w:rPr>
          <w:rFonts w:ascii="Cambria"/>
        </w:rPr>
        <w:t>for Model 2A </w:t>
      </w:r>
      <w:r>
        <w:rPr/>
        <w:t>(World Bank &amp; Erbe 1985</w:t>
      </w:r>
      <w:r>
        <w:rPr>
          <w:spacing w:val="40"/>
        </w:rPr>
        <w:t> </w:t>
      </w:r>
      <w:r>
        <w:rPr>
          <w:spacing w:val="-2"/>
        </w:rPr>
        <w:t>approach)</w:t>
      </w:r>
    </w:p>
    <w:p>
      <w:pPr>
        <w:pStyle w:val="BodyText"/>
        <w:spacing w:before="4"/>
        <w:rPr>
          <w:b/>
        </w:rPr>
      </w:pPr>
    </w:p>
    <w:p>
      <w:pPr>
        <w:pStyle w:val="BodyText"/>
        <w:ind w:left="711"/>
        <w:jc w:val="both"/>
        <w:rPr>
          <w:rFonts w:ascii="Cambria"/>
        </w:rPr>
      </w:pPr>
      <w:r>
        <w:rPr>
          <w:rFonts w:ascii="Cambria"/>
        </w:rPr>
        <w:t>Dependent</w:t>
      </w:r>
      <w:r>
        <w:rPr>
          <w:rFonts w:ascii="Cambria"/>
          <w:spacing w:val="-2"/>
        </w:rPr>
        <w:t> </w:t>
      </w:r>
      <w:r>
        <w:rPr>
          <w:rFonts w:ascii="Cambria"/>
        </w:rPr>
        <w:t>Variable</w:t>
      </w:r>
      <w:r>
        <w:rPr>
          <w:rFonts w:ascii="Cambria"/>
          <w:spacing w:val="-2"/>
        </w:rPr>
        <w:t> </w:t>
      </w:r>
      <w:r>
        <w:rPr>
          <w:rFonts w:ascii="Cambria"/>
        </w:rPr>
        <w:t>=</w:t>
      </w:r>
      <w:r>
        <w:rPr>
          <w:rFonts w:ascii="Cambria"/>
          <w:spacing w:val="-4"/>
        </w:rPr>
        <w:t> </w:t>
      </w:r>
      <w:r>
        <w:rPr>
          <w:rFonts w:ascii="Cambria"/>
        </w:rPr>
        <w:t>D</w:t>
      </w:r>
      <w:r>
        <w:rPr>
          <w:rFonts w:ascii="Cambria"/>
          <w:spacing w:val="-2"/>
        </w:rPr>
        <w:t> </w:t>
      </w:r>
      <w:r>
        <w:rPr>
          <w:rFonts w:ascii="Cambria"/>
        </w:rPr>
        <w:t>(GDP,</w:t>
      </w:r>
      <w:r>
        <w:rPr>
          <w:rFonts w:ascii="Cambria"/>
          <w:spacing w:val="-2"/>
        </w:rPr>
        <w:t> </w:t>
      </w:r>
      <w:r>
        <w:rPr>
          <w:rFonts w:ascii="Cambria"/>
          <w:spacing w:val="-5"/>
        </w:rPr>
        <w:t>2)</w:t>
      </w:r>
    </w:p>
    <w:tbl>
      <w:tblPr>
        <w:tblW w:w="0" w:type="auto"/>
        <w:jc w:val="left"/>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8"/>
        <w:gridCol w:w="1848"/>
        <w:gridCol w:w="2443"/>
        <w:gridCol w:w="1889"/>
        <w:gridCol w:w="1800"/>
      </w:tblGrid>
      <w:tr>
        <w:trPr>
          <w:trHeight w:val="563" w:hRule="atLeast"/>
        </w:trPr>
        <w:tc>
          <w:tcPr>
            <w:tcW w:w="1848" w:type="dxa"/>
          </w:tcPr>
          <w:p>
            <w:pPr>
              <w:pStyle w:val="TableParagraph"/>
              <w:spacing w:before="2"/>
              <w:ind w:left="107"/>
              <w:rPr>
                <w:rFonts w:ascii="Cambria"/>
                <w:b/>
                <w:sz w:val="24"/>
              </w:rPr>
            </w:pPr>
            <w:r>
              <w:rPr>
                <w:rFonts w:ascii="Cambria"/>
                <w:b/>
                <w:spacing w:val="-2"/>
                <w:sz w:val="24"/>
              </w:rPr>
              <w:t>VARIABLES</w:t>
            </w:r>
          </w:p>
        </w:tc>
        <w:tc>
          <w:tcPr>
            <w:tcW w:w="1848" w:type="dxa"/>
          </w:tcPr>
          <w:p>
            <w:pPr>
              <w:pStyle w:val="TableParagraph"/>
              <w:spacing w:before="2"/>
              <w:ind w:right="139"/>
              <w:jc w:val="right"/>
              <w:rPr>
                <w:rFonts w:ascii="Cambria"/>
                <w:b/>
                <w:sz w:val="24"/>
              </w:rPr>
            </w:pPr>
            <w:r>
              <w:rPr>
                <w:rFonts w:ascii="Cambria"/>
                <w:b/>
                <w:spacing w:val="-2"/>
                <w:sz w:val="24"/>
              </w:rPr>
              <w:t>COEFFICIENTS</w:t>
            </w:r>
          </w:p>
        </w:tc>
        <w:tc>
          <w:tcPr>
            <w:tcW w:w="2443" w:type="dxa"/>
          </w:tcPr>
          <w:p>
            <w:pPr>
              <w:pStyle w:val="TableParagraph"/>
              <w:spacing w:before="2"/>
              <w:ind w:left="106"/>
              <w:rPr>
                <w:rFonts w:ascii="Cambria"/>
                <w:b/>
                <w:sz w:val="24"/>
              </w:rPr>
            </w:pPr>
            <w:r>
              <w:rPr>
                <w:rFonts w:ascii="Cambria"/>
                <w:b/>
                <w:sz w:val="24"/>
              </w:rPr>
              <w:t>STANDARD</w:t>
            </w:r>
            <w:r>
              <w:rPr>
                <w:rFonts w:ascii="Cambria"/>
                <w:b/>
                <w:spacing w:val="-4"/>
                <w:sz w:val="24"/>
              </w:rPr>
              <w:t> </w:t>
            </w:r>
            <w:r>
              <w:rPr>
                <w:rFonts w:ascii="Cambria"/>
                <w:b/>
                <w:spacing w:val="-2"/>
                <w:sz w:val="24"/>
              </w:rPr>
              <w:t>ERROR</w:t>
            </w:r>
          </w:p>
        </w:tc>
        <w:tc>
          <w:tcPr>
            <w:tcW w:w="1889" w:type="dxa"/>
          </w:tcPr>
          <w:p>
            <w:pPr>
              <w:pStyle w:val="TableParagraph"/>
              <w:spacing w:before="2"/>
              <w:ind w:left="107"/>
              <w:rPr>
                <w:rFonts w:ascii="Cambria"/>
                <w:b/>
                <w:sz w:val="24"/>
              </w:rPr>
            </w:pPr>
            <w:r>
              <w:rPr>
                <w:rFonts w:ascii="Cambria"/>
                <w:b/>
                <w:sz w:val="24"/>
              </w:rPr>
              <w:t>T-</w:t>
            </w:r>
            <w:r>
              <w:rPr>
                <w:rFonts w:ascii="Cambria"/>
                <w:b/>
                <w:spacing w:val="-2"/>
                <w:sz w:val="24"/>
              </w:rPr>
              <w:t>STATISTICS</w:t>
            </w:r>
          </w:p>
        </w:tc>
        <w:tc>
          <w:tcPr>
            <w:tcW w:w="1800" w:type="dxa"/>
          </w:tcPr>
          <w:p>
            <w:pPr>
              <w:pStyle w:val="TableParagraph"/>
              <w:spacing w:before="2"/>
              <w:ind w:left="107"/>
              <w:rPr>
                <w:rFonts w:ascii="Cambria"/>
                <w:b/>
                <w:sz w:val="24"/>
              </w:rPr>
            </w:pPr>
            <w:r>
              <w:rPr>
                <w:rFonts w:ascii="Cambria"/>
                <w:b/>
                <w:sz w:val="24"/>
              </w:rPr>
              <w:t>PROB</w:t>
            </w:r>
            <w:r>
              <w:rPr>
                <w:rFonts w:ascii="Cambria"/>
                <w:b/>
                <w:spacing w:val="-3"/>
                <w:sz w:val="24"/>
              </w:rPr>
              <w:t> </w:t>
            </w:r>
            <w:r>
              <w:rPr>
                <w:rFonts w:ascii="Cambria"/>
                <w:b/>
                <w:spacing w:val="-2"/>
                <w:sz w:val="24"/>
              </w:rPr>
              <w:t>VALUE</w:t>
            </w:r>
          </w:p>
        </w:tc>
      </w:tr>
      <w:tr>
        <w:trPr>
          <w:trHeight w:val="230" w:hRule="atLeast"/>
        </w:trPr>
        <w:tc>
          <w:tcPr>
            <w:tcW w:w="1848" w:type="dxa"/>
          </w:tcPr>
          <w:p>
            <w:pPr>
              <w:pStyle w:val="TableParagraph"/>
              <w:spacing w:line="210" w:lineRule="exact"/>
              <w:ind w:left="552"/>
              <w:rPr>
                <w:rFonts w:ascii="Arial MT"/>
                <w:sz w:val="20"/>
              </w:rPr>
            </w:pPr>
            <w:r>
              <w:rPr>
                <w:rFonts w:ascii="Arial MT"/>
                <w:spacing w:val="-2"/>
                <w:sz w:val="20"/>
              </w:rPr>
              <w:t>GDP(-</w:t>
            </w:r>
            <w:r>
              <w:rPr>
                <w:rFonts w:ascii="Arial MT"/>
                <w:spacing w:val="-5"/>
                <w:sz w:val="20"/>
              </w:rPr>
              <w:t>1)</w:t>
            </w:r>
          </w:p>
        </w:tc>
        <w:tc>
          <w:tcPr>
            <w:tcW w:w="1848" w:type="dxa"/>
          </w:tcPr>
          <w:p>
            <w:pPr>
              <w:pStyle w:val="TableParagraph"/>
              <w:spacing w:line="210" w:lineRule="exact"/>
              <w:ind w:right="100"/>
              <w:jc w:val="right"/>
              <w:rPr>
                <w:rFonts w:ascii="Arial MT"/>
                <w:sz w:val="20"/>
              </w:rPr>
            </w:pPr>
            <w:r>
              <w:rPr>
                <w:rFonts w:ascii="Arial MT"/>
                <w:spacing w:val="-2"/>
                <w:sz w:val="20"/>
              </w:rPr>
              <w:t>0.001263</w:t>
            </w:r>
          </w:p>
        </w:tc>
        <w:tc>
          <w:tcPr>
            <w:tcW w:w="2443" w:type="dxa"/>
          </w:tcPr>
          <w:p>
            <w:pPr>
              <w:pStyle w:val="TableParagraph"/>
              <w:spacing w:line="210" w:lineRule="exact"/>
              <w:ind w:right="99"/>
              <w:jc w:val="right"/>
              <w:rPr>
                <w:rFonts w:ascii="Arial MT"/>
                <w:sz w:val="20"/>
              </w:rPr>
            </w:pPr>
            <w:r>
              <w:rPr>
                <w:rFonts w:ascii="Arial MT"/>
                <w:spacing w:val="-2"/>
                <w:sz w:val="20"/>
              </w:rPr>
              <w:t>0.002219</w:t>
            </w:r>
          </w:p>
        </w:tc>
        <w:tc>
          <w:tcPr>
            <w:tcW w:w="1889" w:type="dxa"/>
          </w:tcPr>
          <w:p>
            <w:pPr>
              <w:pStyle w:val="TableParagraph"/>
              <w:spacing w:line="210" w:lineRule="exact"/>
              <w:ind w:right="99"/>
              <w:jc w:val="right"/>
              <w:rPr>
                <w:rFonts w:ascii="Arial MT"/>
                <w:sz w:val="20"/>
              </w:rPr>
            </w:pPr>
            <w:r>
              <w:rPr>
                <w:rFonts w:ascii="Arial MT"/>
                <w:spacing w:val="-2"/>
                <w:sz w:val="20"/>
              </w:rPr>
              <w:t>0.569088</w:t>
            </w:r>
          </w:p>
        </w:tc>
        <w:tc>
          <w:tcPr>
            <w:tcW w:w="1800" w:type="dxa"/>
          </w:tcPr>
          <w:p>
            <w:pPr>
              <w:pStyle w:val="TableParagraph"/>
              <w:spacing w:line="210" w:lineRule="exact"/>
              <w:ind w:right="98"/>
              <w:jc w:val="right"/>
              <w:rPr>
                <w:rFonts w:ascii="Arial MT"/>
                <w:sz w:val="20"/>
              </w:rPr>
            </w:pPr>
            <w:r>
              <w:rPr>
                <w:rFonts w:ascii="Arial MT"/>
                <w:spacing w:val="-2"/>
                <w:sz w:val="20"/>
              </w:rPr>
              <w:t>0.5737</w:t>
            </w:r>
          </w:p>
        </w:tc>
      </w:tr>
      <w:tr>
        <w:trPr>
          <w:trHeight w:val="230" w:hRule="atLeast"/>
        </w:trPr>
        <w:tc>
          <w:tcPr>
            <w:tcW w:w="1848" w:type="dxa"/>
          </w:tcPr>
          <w:p>
            <w:pPr>
              <w:pStyle w:val="TableParagraph"/>
              <w:spacing w:line="210" w:lineRule="exact"/>
              <w:ind w:left="300"/>
              <w:rPr>
                <w:rFonts w:ascii="Arial MT"/>
                <w:sz w:val="20"/>
              </w:rPr>
            </w:pPr>
            <w:r>
              <w:rPr>
                <w:rFonts w:ascii="Arial MT"/>
                <w:spacing w:val="-2"/>
                <w:sz w:val="20"/>
              </w:rPr>
              <w:t>D(EXDEBT,2)</w:t>
            </w:r>
          </w:p>
        </w:tc>
        <w:tc>
          <w:tcPr>
            <w:tcW w:w="1848" w:type="dxa"/>
          </w:tcPr>
          <w:p>
            <w:pPr>
              <w:pStyle w:val="TableParagraph"/>
              <w:spacing w:line="210" w:lineRule="exact"/>
              <w:ind w:right="100"/>
              <w:jc w:val="right"/>
              <w:rPr>
                <w:rFonts w:ascii="Arial MT"/>
                <w:sz w:val="20"/>
              </w:rPr>
            </w:pPr>
            <w:r>
              <w:rPr>
                <w:rFonts w:ascii="Arial MT"/>
                <w:spacing w:val="-2"/>
                <w:sz w:val="20"/>
              </w:rPr>
              <w:t>0.033810</w:t>
            </w:r>
          </w:p>
        </w:tc>
        <w:tc>
          <w:tcPr>
            <w:tcW w:w="2443" w:type="dxa"/>
          </w:tcPr>
          <w:p>
            <w:pPr>
              <w:pStyle w:val="TableParagraph"/>
              <w:spacing w:line="210" w:lineRule="exact"/>
              <w:ind w:right="99"/>
              <w:jc w:val="right"/>
              <w:rPr>
                <w:rFonts w:ascii="Arial MT"/>
                <w:sz w:val="20"/>
              </w:rPr>
            </w:pPr>
            <w:r>
              <w:rPr>
                <w:rFonts w:ascii="Arial MT"/>
                <w:spacing w:val="-2"/>
                <w:sz w:val="20"/>
              </w:rPr>
              <w:t>0.009991</w:t>
            </w:r>
          </w:p>
        </w:tc>
        <w:tc>
          <w:tcPr>
            <w:tcW w:w="1889" w:type="dxa"/>
          </w:tcPr>
          <w:p>
            <w:pPr>
              <w:pStyle w:val="TableParagraph"/>
              <w:spacing w:line="210" w:lineRule="exact"/>
              <w:ind w:right="99"/>
              <w:jc w:val="right"/>
              <w:rPr>
                <w:rFonts w:ascii="Arial MT"/>
                <w:sz w:val="20"/>
              </w:rPr>
            </w:pPr>
            <w:r>
              <w:rPr>
                <w:rFonts w:ascii="Arial MT"/>
                <w:spacing w:val="-2"/>
                <w:sz w:val="20"/>
              </w:rPr>
              <w:t>3.384023</w:t>
            </w:r>
          </w:p>
        </w:tc>
        <w:tc>
          <w:tcPr>
            <w:tcW w:w="1800" w:type="dxa"/>
          </w:tcPr>
          <w:p>
            <w:pPr>
              <w:pStyle w:val="TableParagraph"/>
              <w:spacing w:line="210" w:lineRule="exact"/>
              <w:ind w:right="98"/>
              <w:jc w:val="right"/>
              <w:rPr>
                <w:rFonts w:ascii="Arial MT"/>
                <w:sz w:val="20"/>
              </w:rPr>
            </w:pPr>
            <w:r>
              <w:rPr>
                <w:rFonts w:ascii="Arial MT"/>
                <w:spacing w:val="-2"/>
                <w:sz w:val="20"/>
              </w:rPr>
              <w:t>0.0021</w:t>
            </w:r>
          </w:p>
        </w:tc>
      </w:tr>
      <w:tr>
        <w:trPr>
          <w:trHeight w:val="230" w:hRule="atLeast"/>
        </w:trPr>
        <w:tc>
          <w:tcPr>
            <w:tcW w:w="1848" w:type="dxa"/>
          </w:tcPr>
          <w:p>
            <w:pPr>
              <w:pStyle w:val="TableParagraph"/>
              <w:spacing w:line="210" w:lineRule="exact"/>
              <w:ind w:left="146"/>
              <w:rPr>
                <w:rFonts w:ascii="Arial MT"/>
                <w:sz w:val="20"/>
              </w:rPr>
            </w:pPr>
            <w:r>
              <w:rPr>
                <w:rFonts w:ascii="Arial MT"/>
                <w:spacing w:val="-2"/>
                <w:sz w:val="20"/>
              </w:rPr>
              <w:t>D(EXDEBT(-1),2)</w:t>
            </w:r>
          </w:p>
        </w:tc>
        <w:tc>
          <w:tcPr>
            <w:tcW w:w="1848" w:type="dxa"/>
          </w:tcPr>
          <w:p>
            <w:pPr>
              <w:pStyle w:val="TableParagraph"/>
              <w:spacing w:line="210" w:lineRule="exact"/>
              <w:ind w:right="100"/>
              <w:jc w:val="right"/>
              <w:rPr>
                <w:rFonts w:ascii="Arial MT"/>
                <w:sz w:val="20"/>
              </w:rPr>
            </w:pPr>
            <w:r>
              <w:rPr>
                <w:rFonts w:ascii="Arial MT"/>
                <w:spacing w:val="-2"/>
                <w:sz w:val="20"/>
              </w:rPr>
              <w:t>0.006862</w:t>
            </w:r>
          </w:p>
        </w:tc>
        <w:tc>
          <w:tcPr>
            <w:tcW w:w="2443" w:type="dxa"/>
          </w:tcPr>
          <w:p>
            <w:pPr>
              <w:pStyle w:val="TableParagraph"/>
              <w:spacing w:line="210" w:lineRule="exact"/>
              <w:ind w:right="99"/>
              <w:jc w:val="right"/>
              <w:rPr>
                <w:rFonts w:ascii="Arial MT"/>
                <w:sz w:val="20"/>
              </w:rPr>
            </w:pPr>
            <w:r>
              <w:rPr>
                <w:rFonts w:ascii="Arial MT"/>
                <w:spacing w:val="-2"/>
                <w:sz w:val="20"/>
              </w:rPr>
              <w:t>0.009622</w:t>
            </w:r>
          </w:p>
        </w:tc>
        <w:tc>
          <w:tcPr>
            <w:tcW w:w="1889" w:type="dxa"/>
          </w:tcPr>
          <w:p>
            <w:pPr>
              <w:pStyle w:val="TableParagraph"/>
              <w:spacing w:line="210" w:lineRule="exact"/>
              <w:ind w:right="99"/>
              <w:jc w:val="right"/>
              <w:rPr>
                <w:rFonts w:ascii="Arial MT"/>
                <w:sz w:val="20"/>
              </w:rPr>
            </w:pPr>
            <w:r>
              <w:rPr>
                <w:rFonts w:ascii="Arial MT"/>
                <w:spacing w:val="-2"/>
                <w:sz w:val="20"/>
              </w:rPr>
              <w:t>0.713097</w:t>
            </w:r>
          </w:p>
        </w:tc>
        <w:tc>
          <w:tcPr>
            <w:tcW w:w="1800" w:type="dxa"/>
          </w:tcPr>
          <w:p>
            <w:pPr>
              <w:pStyle w:val="TableParagraph"/>
              <w:spacing w:line="210" w:lineRule="exact"/>
              <w:ind w:right="98"/>
              <w:jc w:val="right"/>
              <w:rPr>
                <w:rFonts w:ascii="Arial MT"/>
                <w:sz w:val="20"/>
              </w:rPr>
            </w:pPr>
            <w:r>
              <w:rPr>
                <w:rFonts w:ascii="Arial MT"/>
                <w:spacing w:val="-2"/>
                <w:sz w:val="20"/>
              </w:rPr>
              <w:t>0.4815</w:t>
            </w:r>
          </w:p>
        </w:tc>
      </w:tr>
      <w:tr>
        <w:trPr>
          <w:trHeight w:val="230" w:hRule="atLeast"/>
        </w:trPr>
        <w:tc>
          <w:tcPr>
            <w:tcW w:w="1848" w:type="dxa"/>
          </w:tcPr>
          <w:p>
            <w:pPr>
              <w:pStyle w:val="TableParagraph"/>
              <w:spacing w:line="210" w:lineRule="exact"/>
              <w:ind w:left="540"/>
              <w:rPr>
                <w:rFonts w:ascii="Arial MT"/>
                <w:sz w:val="20"/>
              </w:rPr>
            </w:pPr>
            <w:r>
              <w:rPr>
                <w:rFonts w:ascii="Arial MT"/>
                <w:spacing w:val="-2"/>
                <w:sz w:val="20"/>
              </w:rPr>
              <w:t>D(DFI,2)</w:t>
            </w:r>
          </w:p>
        </w:tc>
        <w:tc>
          <w:tcPr>
            <w:tcW w:w="1848" w:type="dxa"/>
          </w:tcPr>
          <w:p>
            <w:pPr>
              <w:pStyle w:val="TableParagraph"/>
              <w:spacing w:line="210" w:lineRule="exact"/>
              <w:ind w:right="100"/>
              <w:jc w:val="right"/>
              <w:rPr>
                <w:rFonts w:ascii="Arial MT"/>
                <w:sz w:val="20"/>
              </w:rPr>
            </w:pPr>
            <w:r>
              <w:rPr>
                <w:rFonts w:ascii="Arial MT"/>
                <w:spacing w:val="-2"/>
                <w:sz w:val="20"/>
              </w:rPr>
              <w:t>0.121590</w:t>
            </w:r>
          </w:p>
        </w:tc>
        <w:tc>
          <w:tcPr>
            <w:tcW w:w="2443" w:type="dxa"/>
          </w:tcPr>
          <w:p>
            <w:pPr>
              <w:pStyle w:val="TableParagraph"/>
              <w:spacing w:line="210" w:lineRule="exact"/>
              <w:ind w:right="99"/>
              <w:jc w:val="right"/>
              <w:rPr>
                <w:rFonts w:ascii="Arial MT"/>
                <w:sz w:val="20"/>
              </w:rPr>
            </w:pPr>
            <w:r>
              <w:rPr>
                <w:rFonts w:ascii="Arial MT"/>
                <w:spacing w:val="-2"/>
                <w:sz w:val="20"/>
              </w:rPr>
              <w:t>0.068377</w:t>
            </w:r>
          </w:p>
        </w:tc>
        <w:tc>
          <w:tcPr>
            <w:tcW w:w="1889" w:type="dxa"/>
          </w:tcPr>
          <w:p>
            <w:pPr>
              <w:pStyle w:val="TableParagraph"/>
              <w:spacing w:line="210" w:lineRule="exact"/>
              <w:ind w:right="99"/>
              <w:jc w:val="right"/>
              <w:rPr>
                <w:rFonts w:ascii="Arial MT"/>
                <w:sz w:val="20"/>
              </w:rPr>
            </w:pPr>
            <w:r>
              <w:rPr>
                <w:rFonts w:ascii="Arial MT"/>
                <w:spacing w:val="-2"/>
                <w:sz w:val="20"/>
              </w:rPr>
              <w:t>1.778235</w:t>
            </w:r>
          </w:p>
        </w:tc>
        <w:tc>
          <w:tcPr>
            <w:tcW w:w="1800" w:type="dxa"/>
          </w:tcPr>
          <w:p>
            <w:pPr>
              <w:pStyle w:val="TableParagraph"/>
              <w:spacing w:line="210" w:lineRule="exact"/>
              <w:ind w:right="98"/>
              <w:jc w:val="right"/>
              <w:rPr>
                <w:rFonts w:ascii="Arial MT"/>
                <w:sz w:val="20"/>
              </w:rPr>
            </w:pPr>
            <w:r>
              <w:rPr>
                <w:rFonts w:ascii="Arial MT"/>
                <w:spacing w:val="-2"/>
                <w:sz w:val="20"/>
              </w:rPr>
              <w:t>0.0859</w:t>
            </w:r>
          </w:p>
        </w:tc>
      </w:tr>
      <w:tr>
        <w:trPr>
          <w:trHeight w:val="230" w:hRule="atLeast"/>
        </w:trPr>
        <w:tc>
          <w:tcPr>
            <w:tcW w:w="1848" w:type="dxa"/>
          </w:tcPr>
          <w:p>
            <w:pPr>
              <w:pStyle w:val="TableParagraph"/>
              <w:spacing w:line="210" w:lineRule="exact"/>
              <w:ind w:left="384"/>
              <w:rPr>
                <w:rFonts w:ascii="Arial MT"/>
                <w:sz w:val="20"/>
              </w:rPr>
            </w:pPr>
            <w:r>
              <w:rPr>
                <w:rFonts w:ascii="Arial MT"/>
                <w:spacing w:val="-2"/>
                <w:sz w:val="20"/>
              </w:rPr>
              <w:t>D(DFI(-1),2)</w:t>
            </w:r>
          </w:p>
        </w:tc>
        <w:tc>
          <w:tcPr>
            <w:tcW w:w="1848" w:type="dxa"/>
          </w:tcPr>
          <w:p>
            <w:pPr>
              <w:pStyle w:val="TableParagraph"/>
              <w:spacing w:line="210" w:lineRule="exact"/>
              <w:ind w:right="100"/>
              <w:jc w:val="right"/>
              <w:rPr>
                <w:rFonts w:ascii="Arial MT"/>
                <w:sz w:val="20"/>
              </w:rPr>
            </w:pPr>
            <w:r>
              <w:rPr>
                <w:rFonts w:ascii="Arial MT"/>
                <w:spacing w:val="-2"/>
                <w:sz w:val="20"/>
              </w:rPr>
              <w:t>-0.049764</w:t>
            </w:r>
          </w:p>
        </w:tc>
        <w:tc>
          <w:tcPr>
            <w:tcW w:w="2443" w:type="dxa"/>
          </w:tcPr>
          <w:p>
            <w:pPr>
              <w:pStyle w:val="TableParagraph"/>
              <w:spacing w:line="210" w:lineRule="exact"/>
              <w:ind w:right="99"/>
              <w:jc w:val="right"/>
              <w:rPr>
                <w:rFonts w:ascii="Arial MT"/>
                <w:sz w:val="20"/>
              </w:rPr>
            </w:pPr>
            <w:r>
              <w:rPr>
                <w:rFonts w:ascii="Arial MT"/>
                <w:spacing w:val="-2"/>
                <w:sz w:val="20"/>
              </w:rPr>
              <w:t>0.072732</w:t>
            </w:r>
          </w:p>
        </w:tc>
        <w:tc>
          <w:tcPr>
            <w:tcW w:w="1889" w:type="dxa"/>
          </w:tcPr>
          <w:p>
            <w:pPr>
              <w:pStyle w:val="TableParagraph"/>
              <w:spacing w:line="210" w:lineRule="exact"/>
              <w:ind w:right="99"/>
              <w:jc w:val="right"/>
              <w:rPr>
                <w:rFonts w:ascii="Arial MT"/>
                <w:sz w:val="20"/>
              </w:rPr>
            </w:pPr>
            <w:r>
              <w:rPr>
                <w:rFonts w:ascii="Arial MT"/>
                <w:spacing w:val="-2"/>
                <w:sz w:val="20"/>
              </w:rPr>
              <w:t>-0.684206</w:t>
            </w:r>
          </w:p>
        </w:tc>
        <w:tc>
          <w:tcPr>
            <w:tcW w:w="1800" w:type="dxa"/>
          </w:tcPr>
          <w:p>
            <w:pPr>
              <w:pStyle w:val="TableParagraph"/>
              <w:spacing w:line="210" w:lineRule="exact"/>
              <w:ind w:right="98"/>
              <w:jc w:val="right"/>
              <w:rPr>
                <w:rFonts w:ascii="Arial MT"/>
                <w:sz w:val="20"/>
              </w:rPr>
            </w:pPr>
            <w:r>
              <w:rPr>
                <w:rFonts w:ascii="Arial MT"/>
                <w:spacing w:val="-2"/>
                <w:sz w:val="20"/>
              </w:rPr>
              <w:t>0.4993</w:t>
            </w:r>
          </w:p>
        </w:tc>
      </w:tr>
      <w:tr>
        <w:trPr>
          <w:trHeight w:val="230" w:hRule="atLeast"/>
        </w:trPr>
        <w:tc>
          <w:tcPr>
            <w:tcW w:w="1848" w:type="dxa"/>
          </w:tcPr>
          <w:p>
            <w:pPr>
              <w:pStyle w:val="TableParagraph"/>
              <w:spacing w:line="210" w:lineRule="exact"/>
              <w:ind w:left="494"/>
              <w:rPr>
                <w:rFonts w:ascii="Arial MT"/>
                <w:sz w:val="20"/>
              </w:rPr>
            </w:pPr>
            <w:r>
              <w:rPr>
                <w:rFonts w:ascii="Arial MT"/>
                <w:spacing w:val="-2"/>
                <w:sz w:val="20"/>
              </w:rPr>
              <w:t>D(CAB,2)</w:t>
            </w:r>
          </w:p>
        </w:tc>
        <w:tc>
          <w:tcPr>
            <w:tcW w:w="1848" w:type="dxa"/>
          </w:tcPr>
          <w:p>
            <w:pPr>
              <w:pStyle w:val="TableParagraph"/>
              <w:spacing w:line="210" w:lineRule="exact"/>
              <w:ind w:right="100"/>
              <w:jc w:val="right"/>
              <w:rPr>
                <w:rFonts w:ascii="Arial MT"/>
                <w:sz w:val="20"/>
              </w:rPr>
            </w:pPr>
            <w:r>
              <w:rPr>
                <w:rFonts w:ascii="Arial MT"/>
                <w:spacing w:val="-2"/>
                <w:sz w:val="20"/>
              </w:rPr>
              <w:t>0.039083</w:t>
            </w:r>
          </w:p>
        </w:tc>
        <w:tc>
          <w:tcPr>
            <w:tcW w:w="2443" w:type="dxa"/>
          </w:tcPr>
          <w:p>
            <w:pPr>
              <w:pStyle w:val="TableParagraph"/>
              <w:spacing w:line="210" w:lineRule="exact"/>
              <w:ind w:right="99"/>
              <w:jc w:val="right"/>
              <w:rPr>
                <w:rFonts w:ascii="Arial MT"/>
                <w:sz w:val="20"/>
              </w:rPr>
            </w:pPr>
            <w:r>
              <w:rPr>
                <w:rFonts w:ascii="Arial MT"/>
                <w:spacing w:val="-2"/>
                <w:sz w:val="20"/>
              </w:rPr>
              <w:t>0.015798</w:t>
            </w:r>
          </w:p>
        </w:tc>
        <w:tc>
          <w:tcPr>
            <w:tcW w:w="1889" w:type="dxa"/>
          </w:tcPr>
          <w:p>
            <w:pPr>
              <w:pStyle w:val="TableParagraph"/>
              <w:spacing w:line="210" w:lineRule="exact"/>
              <w:ind w:right="99"/>
              <w:jc w:val="right"/>
              <w:rPr>
                <w:rFonts w:ascii="Arial MT"/>
                <w:sz w:val="20"/>
              </w:rPr>
            </w:pPr>
            <w:r>
              <w:rPr>
                <w:rFonts w:ascii="Arial MT"/>
                <w:spacing w:val="-2"/>
                <w:sz w:val="20"/>
              </w:rPr>
              <w:t>2.473946</w:t>
            </w:r>
          </w:p>
        </w:tc>
        <w:tc>
          <w:tcPr>
            <w:tcW w:w="1800" w:type="dxa"/>
          </w:tcPr>
          <w:p>
            <w:pPr>
              <w:pStyle w:val="TableParagraph"/>
              <w:spacing w:line="210" w:lineRule="exact"/>
              <w:ind w:right="98"/>
              <w:jc w:val="right"/>
              <w:rPr>
                <w:rFonts w:ascii="Arial MT"/>
                <w:sz w:val="20"/>
              </w:rPr>
            </w:pPr>
            <w:r>
              <w:rPr>
                <w:rFonts w:ascii="Arial MT"/>
                <w:spacing w:val="-2"/>
                <w:sz w:val="20"/>
              </w:rPr>
              <w:t>0.0195</w:t>
            </w:r>
          </w:p>
        </w:tc>
      </w:tr>
      <w:tr>
        <w:trPr>
          <w:trHeight w:val="230" w:hRule="atLeast"/>
        </w:trPr>
        <w:tc>
          <w:tcPr>
            <w:tcW w:w="1848" w:type="dxa"/>
          </w:tcPr>
          <w:p>
            <w:pPr>
              <w:pStyle w:val="TableParagraph"/>
              <w:spacing w:line="210" w:lineRule="exact"/>
              <w:ind w:left="341"/>
              <w:rPr>
                <w:rFonts w:ascii="Arial MT"/>
                <w:sz w:val="20"/>
              </w:rPr>
            </w:pPr>
            <w:r>
              <w:rPr>
                <w:rFonts w:ascii="Arial MT"/>
                <w:spacing w:val="-2"/>
                <w:sz w:val="20"/>
              </w:rPr>
              <w:t>D(CAB(-1),2)</w:t>
            </w:r>
          </w:p>
        </w:tc>
        <w:tc>
          <w:tcPr>
            <w:tcW w:w="1848" w:type="dxa"/>
          </w:tcPr>
          <w:p>
            <w:pPr>
              <w:pStyle w:val="TableParagraph"/>
              <w:spacing w:line="210" w:lineRule="exact"/>
              <w:ind w:right="100"/>
              <w:jc w:val="right"/>
              <w:rPr>
                <w:rFonts w:ascii="Arial MT"/>
                <w:sz w:val="20"/>
              </w:rPr>
            </w:pPr>
            <w:r>
              <w:rPr>
                <w:rFonts w:ascii="Arial MT"/>
                <w:spacing w:val="-2"/>
                <w:sz w:val="20"/>
              </w:rPr>
              <w:t>-0.012220</w:t>
            </w:r>
          </w:p>
        </w:tc>
        <w:tc>
          <w:tcPr>
            <w:tcW w:w="2443" w:type="dxa"/>
          </w:tcPr>
          <w:p>
            <w:pPr>
              <w:pStyle w:val="TableParagraph"/>
              <w:spacing w:line="210" w:lineRule="exact"/>
              <w:ind w:right="99"/>
              <w:jc w:val="right"/>
              <w:rPr>
                <w:rFonts w:ascii="Arial MT"/>
                <w:sz w:val="20"/>
              </w:rPr>
            </w:pPr>
            <w:r>
              <w:rPr>
                <w:rFonts w:ascii="Arial MT"/>
                <w:spacing w:val="-2"/>
                <w:sz w:val="20"/>
              </w:rPr>
              <w:t>0.014623</w:t>
            </w:r>
          </w:p>
        </w:tc>
        <w:tc>
          <w:tcPr>
            <w:tcW w:w="1889" w:type="dxa"/>
          </w:tcPr>
          <w:p>
            <w:pPr>
              <w:pStyle w:val="TableParagraph"/>
              <w:spacing w:line="210" w:lineRule="exact"/>
              <w:ind w:right="99"/>
              <w:jc w:val="right"/>
              <w:rPr>
                <w:rFonts w:ascii="Arial MT"/>
                <w:sz w:val="20"/>
              </w:rPr>
            </w:pPr>
            <w:r>
              <w:rPr>
                <w:rFonts w:ascii="Arial MT"/>
                <w:spacing w:val="-2"/>
                <w:sz w:val="20"/>
              </w:rPr>
              <w:t>-0.835679</w:t>
            </w:r>
          </w:p>
        </w:tc>
        <w:tc>
          <w:tcPr>
            <w:tcW w:w="1800" w:type="dxa"/>
          </w:tcPr>
          <w:p>
            <w:pPr>
              <w:pStyle w:val="TableParagraph"/>
              <w:spacing w:line="210" w:lineRule="exact"/>
              <w:ind w:right="98"/>
              <w:jc w:val="right"/>
              <w:rPr>
                <w:rFonts w:ascii="Arial MT"/>
                <w:sz w:val="20"/>
              </w:rPr>
            </w:pPr>
            <w:r>
              <w:rPr>
                <w:rFonts w:ascii="Arial MT"/>
                <w:spacing w:val="-2"/>
                <w:sz w:val="20"/>
              </w:rPr>
              <w:t>0.4102</w:t>
            </w:r>
          </w:p>
        </w:tc>
      </w:tr>
      <w:tr>
        <w:trPr>
          <w:trHeight w:val="230" w:hRule="atLeast"/>
        </w:trPr>
        <w:tc>
          <w:tcPr>
            <w:tcW w:w="1848" w:type="dxa"/>
          </w:tcPr>
          <w:p>
            <w:pPr>
              <w:pStyle w:val="TableParagraph"/>
              <w:spacing w:line="210" w:lineRule="exact"/>
              <w:ind w:left="494"/>
              <w:rPr>
                <w:rFonts w:ascii="Arial MT"/>
                <w:sz w:val="20"/>
              </w:rPr>
            </w:pPr>
            <w:r>
              <w:rPr>
                <w:rFonts w:ascii="Arial MT"/>
                <w:spacing w:val="-2"/>
                <w:sz w:val="20"/>
              </w:rPr>
              <w:t>D(RES,2)</w:t>
            </w:r>
          </w:p>
        </w:tc>
        <w:tc>
          <w:tcPr>
            <w:tcW w:w="1848" w:type="dxa"/>
          </w:tcPr>
          <w:p>
            <w:pPr>
              <w:pStyle w:val="TableParagraph"/>
              <w:spacing w:line="210" w:lineRule="exact"/>
              <w:ind w:right="100"/>
              <w:jc w:val="right"/>
              <w:rPr>
                <w:rFonts w:ascii="Arial MT"/>
                <w:sz w:val="20"/>
              </w:rPr>
            </w:pPr>
            <w:r>
              <w:rPr>
                <w:rFonts w:ascii="Arial MT"/>
                <w:spacing w:val="-2"/>
                <w:sz w:val="20"/>
              </w:rPr>
              <w:t>0.053470</w:t>
            </w:r>
          </w:p>
        </w:tc>
        <w:tc>
          <w:tcPr>
            <w:tcW w:w="2443" w:type="dxa"/>
          </w:tcPr>
          <w:p>
            <w:pPr>
              <w:pStyle w:val="TableParagraph"/>
              <w:spacing w:line="210" w:lineRule="exact"/>
              <w:ind w:right="99"/>
              <w:jc w:val="right"/>
              <w:rPr>
                <w:rFonts w:ascii="Arial MT"/>
                <w:sz w:val="20"/>
              </w:rPr>
            </w:pPr>
            <w:r>
              <w:rPr>
                <w:rFonts w:ascii="Arial MT"/>
                <w:spacing w:val="-2"/>
                <w:sz w:val="20"/>
              </w:rPr>
              <w:t>0.018522</w:t>
            </w:r>
          </w:p>
        </w:tc>
        <w:tc>
          <w:tcPr>
            <w:tcW w:w="1889" w:type="dxa"/>
          </w:tcPr>
          <w:p>
            <w:pPr>
              <w:pStyle w:val="TableParagraph"/>
              <w:spacing w:line="210" w:lineRule="exact"/>
              <w:ind w:right="99"/>
              <w:jc w:val="right"/>
              <w:rPr>
                <w:rFonts w:ascii="Arial MT"/>
                <w:sz w:val="20"/>
              </w:rPr>
            </w:pPr>
            <w:r>
              <w:rPr>
                <w:rFonts w:ascii="Arial MT"/>
                <w:spacing w:val="-2"/>
                <w:sz w:val="20"/>
              </w:rPr>
              <w:t>2.886919</w:t>
            </w:r>
          </w:p>
        </w:tc>
        <w:tc>
          <w:tcPr>
            <w:tcW w:w="1800" w:type="dxa"/>
          </w:tcPr>
          <w:p>
            <w:pPr>
              <w:pStyle w:val="TableParagraph"/>
              <w:spacing w:line="210" w:lineRule="exact"/>
              <w:ind w:right="98"/>
              <w:jc w:val="right"/>
              <w:rPr>
                <w:rFonts w:ascii="Arial MT"/>
                <w:sz w:val="20"/>
              </w:rPr>
            </w:pPr>
            <w:r>
              <w:rPr>
                <w:rFonts w:ascii="Arial MT"/>
                <w:spacing w:val="-2"/>
                <w:sz w:val="20"/>
              </w:rPr>
              <w:t>0.0073</w:t>
            </w:r>
          </w:p>
        </w:tc>
      </w:tr>
      <w:tr>
        <w:trPr>
          <w:trHeight w:val="229" w:hRule="atLeast"/>
        </w:trPr>
        <w:tc>
          <w:tcPr>
            <w:tcW w:w="1848" w:type="dxa"/>
          </w:tcPr>
          <w:p>
            <w:pPr>
              <w:pStyle w:val="TableParagraph"/>
              <w:spacing w:line="210" w:lineRule="exact"/>
              <w:ind w:left="341"/>
              <w:rPr>
                <w:rFonts w:ascii="Arial MT"/>
                <w:sz w:val="20"/>
              </w:rPr>
            </w:pPr>
            <w:r>
              <w:rPr>
                <w:rFonts w:ascii="Arial MT"/>
                <w:spacing w:val="-2"/>
                <w:sz w:val="20"/>
              </w:rPr>
              <w:t>D(RES(-1),2)</w:t>
            </w:r>
          </w:p>
        </w:tc>
        <w:tc>
          <w:tcPr>
            <w:tcW w:w="1848" w:type="dxa"/>
          </w:tcPr>
          <w:p>
            <w:pPr>
              <w:pStyle w:val="TableParagraph"/>
              <w:spacing w:line="210" w:lineRule="exact"/>
              <w:ind w:right="100"/>
              <w:jc w:val="right"/>
              <w:rPr>
                <w:rFonts w:ascii="Arial MT"/>
                <w:sz w:val="20"/>
              </w:rPr>
            </w:pPr>
            <w:r>
              <w:rPr>
                <w:rFonts w:ascii="Arial MT"/>
                <w:spacing w:val="-2"/>
                <w:sz w:val="20"/>
              </w:rPr>
              <w:t>0.015641</w:t>
            </w:r>
          </w:p>
        </w:tc>
        <w:tc>
          <w:tcPr>
            <w:tcW w:w="2443" w:type="dxa"/>
          </w:tcPr>
          <w:p>
            <w:pPr>
              <w:pStyle w:val="TableParagraph"/>
              <w:spacing w:line="210" w:lineRule="exact"/>
              <w:ind w:right="99"/>
              <w:jc w:val="right"/>
              <w:rPr>
                <w:rFonts w:ascii="Arial MT"/>
                <w:sz w:val="20"/>
              </w:rPr>
            </w:pPr>
            <w:r>
              <w:rPr>
                <w:rFonts w:ascii="Arial MT"/>
                <w:spacing w:val="-2"/>
                <w:sz w:val="20"/>
              </w:rPr>
              <w:t>0.018576</w:t>
            </w:r>
          </w:p>
        </w:tc>
        <w:tc>
          <w:tcPr>
            <w:tcW w:w="1889" w:type="dxa"/>
          </w:tcPr>
          <w:p>
            <w:pPr>
              <w:pStyle w:val="TableParagraph"/>
              <w:spacing w:line="210" w:lineRule="exact"/>
              <w:ind w:right="99"/>
              <w:jc w:val="right"/>
              <w:rPr>
                <w:rFonts w:ascii="Arial MT"/>
                <w:sz w:val="20"/>
              </w:rPr>
            </w:pPr>
            <w:r>
              <w:rPr>
                <w:rFonts w:ascii="Arial MT"/>
                <w:spacing w:val="-2"/>
                <w:sz w:val="20"/>
              </w:rPr>
              <w:t>0.841989</w:t>
            </w:r>
          </w:p>
        </w:tc>
        <w:tc>
          <w:tcPr>
            <w:tcW w:w="1800" w:type="dxa"/>
          </w:tcPr>
          <w:p>
            <w:pPr>
              <w:pStyle w:val="TableParagraph"/>
              <w:spacing w:line="210" w:lineRule="exact"/>
              <w:ind w:right="98"/>
              <w:jc w:val="right"/>
              <w:rPr>
                <w:rFonts w:ascii="Arial MT"/>
                <w:sz w:val="20"/>
              </w:rPr>
            </w:pPr>
            <w:r>
              <w:rPr>
                <w:rFonts w:ascii="Arial MT"/>
                <w:spacing w:val="-2"/>
                <w:sz w:val="20"/>
              </w:rPr>
              <w:t>0.4067</w:t>
            </w:r>
          </w:p>
        </w:tc>
      </w:tr>
      <w:tr>
        <w:trPr>
          <w:trHeight w:val="230" w:hRule="atLeast"/>
        </w:trPr>
        <w:tc>
          <w:tcPr>
            <w:tcW w:w="1848" w:type="dxa"/>
          </w:tcPr>
          <w:p>
            <w:pPr>
              <w:pStyle w:val="TableParagraph"/>
              <w:spacing w:line="210" w:lineRule="exact"/>
              <w:ind w:left="545"/>
              <w:rPr>
                <w:rFonts w:ascii="Arial MT"/>
                <w:sz w:val="20"/>
              </w:rPr>
            </w:pPr>
            <w:r>
              <w:rPr>
                <w:rFonts w:ascii="Arial MT"/>
                <w:spacing w:val="-2"/>
                <w:sz w:val="20"/>
              </w:rPr>
              <w:t>ECM(-</w:t>
            </w:r>
            <w:r>
              <w:rPr>
                <w:rFonts w:ascii="Arial MT"/>
                <w:spacing w:val="-5"/>
                <w:sz w:val="20"/>
              </w:rPr>
              <w:t>1)</w:t>
            </w:r>
          </w:p>
        </w:tc>
        <w:tc>
          <w:tcPr>
            <w:tcW w:w="1848" w:type="dxa"/>
          </w:tcPr>
          <w:p>
            <w:pPr>
              <w:pStyle w:val="TableParagraph"/>
              <w:spacing w:line="210" w:lineRule="exact"/>
              <w:ind w:right="100"/>
              <w:jc w:val="right"/>
              <w:rPr>
                <w:rFonts w:ascii="Arial MT"/>
                <w:sz w:val="20"/>
              </w:rPr>
            </w:pPr>
            <w:r>
              <w:rPr>
                <w:rFonts w:ascii="Arial MT"/>
                <w:spacing w:val="-2"/>
                <w:sz w:val="20"/>
              </w:rPr>
              <w:t>-0.356701</w:t>
            </w:r>
          </w:p>
        </w:tc>
        <w:tc>
          <w:tcPr>
            <w:tcW w:w="2443" w:type="dxa"/>
          </w:tcPr>
          <w:p>
            <w:pPr>
              <w:pStyle w:val="TableParagraph"/>
              <w:spacing w:line="210" w:lineRule="exact"/>
              <w:ind w:right="99"/>
              <w:jc w:val="right"/>
              <w:rPr>
                <w:rFonts w:ascii="Arial MT"/>
                <w:sz w:val="20"/>
              </w:rPr>
            </w:pPr>
            <w:r>
              <w:rPr>
                <w:rFonts w:ascii="Arial MT"/>
                <w:spacing w:val="-2"/>
                <w:sz w:val="20"/>
              </w:rPr>
              <w:t>0.119944</w:t>
            </w:r>
          </w:p>
        </w:tc>
        <w:tc>
          <w:tcPr>
            <w:tcW w:w="1889" w:type="dxa"/>
          </w:tcPr>
          <w:p>
            <w:pPr>
              <w:pStyle w:val="TableParagraph"/>
              <w:spacing w:line="210" w:lineRule="exact"/>
              <w:ind w:right="99"/>
              <w:jc w:val="right"/>
              <w:rPr>
                <w:rFonts w:ascii="Arial MT"/>
                <w:sz w:val="20"/>
              </w:rPr>
            </w:pPr>
            <w:r>
              <w:rPr>
                <w:rFonts w:ascii="Arial MT"/>
                <w:spacing w:val="-2"/>
                <w:sz w:val="20"/>
              </w:rPr>
              <w:t>-2.973910</w:t>
            </w:r>
          </w:p>
        </w:tc>
        <w:tc>
          <w:tcPr>
            <w:tcW w:w="1800" w:type="dxa"/>
          </w:tcPr>
          <w:p>
            <w:pPr>
              <w:pStyle w:val="TableParagraph"/>
              <w:spacing w:line="210" w:lineRule="exact"/>
              <w:ind w:right="98"/>
              <w:jc w:val="right"/>
              <w:rPr>
                <w:rFonts w:ascii="Arial MT"/>
                <w:sz w:val="20"/>
              </w:rPr>
            </w:pPr>
            <w:r>
              <w:rPr>
                <w:rFonts w:ascii="Arial MT"/>
                <w:spacing w:val="-2"/>
                <w:sz w:val="20"/>
              </w:rPr>
              <w:t>0.0059</w:t>
            </w:r>
          </w:p>
        </w:tc>
      </w:tr>
    </w:tbl>
    <w:p>
      <w:pPr>
        <w:pStyle w:val="BodyText"/>
        <w:spacing w:before="265"/>
        <w:ind w:left="771"/>
        <w:jc w:val="both"/>
        <w:rPr>
          <w:b/>
        </w:rPr>
      </w:pPr>
      <w:r>
        <w:rPr/>
        <w:t>Source:</w:t>
      </w:r>
      <w:r>
        <w:rPr>
          <w:spacing w:val="-4"/>
        </w:rPr>
        <w:t> </w:t>
      </w:r>
      <w:r>
        <w:rPr/>
        <w:t>Computation,</w:t>
      </w:r>
      <w:r>
        <w:rPr>
          <w:spacing w:val="-1"/>
        </w:rPr>
        <w:t> </w:t>
      </w:r>
      <w:r>
        <w:rPr/>
        <w:t>using</w:t>
      </w:r>
      <w:r>
        <w:rPr>
          <w:spacing w:val="-5"/>
        </w:rPr>
        <w:t> </w:t>
      </w:r>
      <w:r>
        <w:rPr/>
        <w:t>E-view</w:t>
      </w:r>
      <w:r>
        <w:rPr>
          <w:spacing w:val="-1"/>
        </w:rPr>
        <w:t> </w:t>
      </w:r>
      <w:r>
        <w:rPr/>
        <w:t>statistical</w:t>
      </w:r>
      <w:r>
        <w:rPr>
          <w:spacing w:val="-1"/>
        </w:rPr>
        <w:t> </w:t>
      </w:r>
      <w:r>
        <w:rPr>
          <w:spacing w:val="-2"/>
        </w:rPr>
        <w:t>package</w:t>
      </w:r>
      <w:r>
        <w:rPr>
          <w:b/>
          <w:spacing w:val="-2"/>
        </w:rPr>
        <w:t>.</w:t>
      </w:r>
    </w:p>
    <w:p>
      <w:pPr>
        <w:pStyle w:val="BodyText"/>
        <w:rPr>
          <w:b/>
        </w:rPr>
      </w:pPr>
    </w:p>
    <w:p>
      <w:pPr>
        <w:pStyle w:val="BodyText"/>
        <w:rPr>
          <w:b/>
        </w:rPr>
      </w:pPr>
    </w:p>
    <w:p>
      <w:pPr>
        <w:pStyle w:val="BodyText"/>
        <w:spacing w:before="187"/>
        <w:rPr>
          <w:b/>
        </w:rPr>
      </w:pPr>
    </w:p>
    <w:p>
      <w:pPr>
        <w:pStyle w:val="BodyText"/>
        <w:spacing w:line="480" w:lineRule="auto"/>
        <w:ind w:left="711" w:right="467"/>
        <w:jc w:val="both"/>
      </w:pPr>
      <w:r>
        <w:rPr/>
        <w:t>The summary</w:t>
      </w:r>
      <w:r>
        <w:rPr>
          <w:spacing w:val="-1"/>
        </w:rPr>
        <w:t> </w:t>
      </w:r>
      <w:r>
        <w:rPr/>
        <w:t>of the over-parametized ECM above shows that the coefficient of the ECM is significant with the negative sign (-). It implies it effectiveness in the correction of any</w:t>
      </w:r>
      <w:r>
        <w:rPr>
          <w:spacing w:val="-3"/>
        </w:rPr>
        <w:t> </w:t>
      </w:r>
      <w:r>
        <w:rPr/>
        <w:t>deviation that may</w:t>
      </w:r>
      <w:r>
        <w:rPr>
          <w:spacing w:val="-5"/>
        </w:rPr>
        <w:t> </w:t>
      </w:r>
      <w:r>
        <w:rPr/>
        <w:t>occur in the long- run.</w:t>
      </w:r>
      <w:r>
        <w:rPr>
          <w:spacing w:val="64"/>
          <w:w w:val="150"/>
        </w:rPr>
        <w:t> </w:t>
      </w:r>
      <w:r>
        <w:rPr/>
        <w:t>The</w:t>
      </w:r>
      <w:r>
        <w:rPr>
          <w:spacing w:val="18"/>
        </w:rPr>
        <w:t> </w:t>
      </w:r>
      <w:r>
        <w:rPr/>
        <w:t>coefficient</w:t>
      </w:r>
      <w:r>
        <w:rPr>
          <w:spacing w:val="20"/>
        </w:rPr>
        <w:t> </w:t>
      </w:r>
      <w:r>
        <w:rPr/>
        <w:t>is</w:t>
      </w:r>
      <w:r>
        <w:rPr>
          <w:spacing w:val="21"/>
        </w:rPr>
        <w:t> </w:t>
      </w:r>
      <w:r>
        <w:rPr>
          <w:sz w:val="20"/>
        </w:rPr>
        <w:t>-0.356701</w:t>
      </w:r>
      <w:r>
        <w:rPr>
          <w:spacing w:val="31"/>
          <w:sz w:val="20"/>
        </w:rPr>
        <w:t> </w:t>
      </w:r>
      <w:r>
        <w:rPr/>
        <w:t>which</w:t>
      </w:r>
      <w:r>
        <w:rPr>
          <w:spacing w:val="17"/>
        </w:rPr>
        <w:t> </w:t>
      </w:r>
      <w:r>
        <w:rPr/>
        <w:t>implies</w:t>
      </w:r>
      <w:r>
        <w:rPr>
          <w:spacing w:val="18"/>
        </w:rPr>
        <w:t> </w:t>
      </w:r>
      <w:r>
        <w:rPr/>
        <w:t>a</w:t>
      </w:r>
      <w:r>
        <w:rPr>
          <w:spacing w:val="17"/>
        </w:rPr>
        <w:t> </w:t>
      </w:r>
      <w:r>
        <w:rPr/>
        <w:t>sharp</w:t>
      </w:r>
      <w:r>
        <w:rPr>
          <w:spacing w:val="19"/>
        </w:rPr>
        <w:t> </w:t>
      </w:r>
      <w:r>
        <w:rPr/>
        <w:t>adjustment</w:t>
      </w:r>
      <w:r>
        <w:rPr>
          <w:spacing w:val="17"/>
        </w:rPr>
        <w:t> </w:t>
      </w:r>
      <w:r>
        <w:rPr/>
        <w:t>rate</w:t>
      </w:r>
      <w:r>
        <w:rPr>
          <w:spacing w:val="19"/>
        </w:rPr>
        <w:t> </w:t>
      </w:r>
      <w:r>
        <w:rPr/>
        <w:t>of</w:t>
      </w:r>
      <w:r>
        <w:rPr>
          <w:spacing w:val="19"/>
        </w:rPr>
        <w:t> </w:t>
      </w:r>
      <w:r>
        <w:rPr/>
        <w:t>approximately</w:t>
      </w:r>
      <w:r>
        <w:rPr>
          <w:spacing w:val="21"/>
        </w:rPr>
        <w:t> </w:t>
      </w:r>
      <w:r>
        <w:rPr>
          <w:sz w:val="20"/>
        </w:rPr>
        <w:t>-0.36</w:t>
      </w:r>
      <w:r>
        <w:rPr>
          <w:spacing w:val="20"/>
          <w:sz w:val="20"/>
        </w:rPr>
        <w:t> </w:t>
      </w:r>
      <w:r>
        <w:rPr/>
        <w:t>units</w:t>
      </w:r>
      <w:r>
        <w:rPr>
          <w:spacing w:val="18"/>
        </w:rPr>
        <w:t> </w:t>
      </w:r>
      <w:r>
        <w:rPr/>
        <w:t>to</w:t>
      </w:r>
      <w:r>
        <w:rPr>
          <w:spacing w:val="18"/>
        </w:rPr>
        <w:t> </w:t>
      </w:r>
      <w:r>
        <w:rPr>
          <w:spacing w:val="-5"/>
        </w:rPr>
        <w:t>any</w:t>
      </w:r>
    </w:p>
    <w:p>
      <w:pPr>
        <w:spacing w:after="0" w:line="480" w:lineRule="auto"/>
        <w:jc w:val="both"/>
        <w:sectPr>
          <w:pgSz w:w="11910" w:h="16840"/>
          <w:pgMar w:header="0" w:footer="979" w:top="1360" w:bottom="1240" w:left="280" w:right="0"/>
        </w:sectPr>
      </w:pPr>
    </w:p>
    <w:p>
      <w:pPr>
        <w:pStyle w:val="BodyText"/>
        <w:spacing w:line="480" w:lineRule="auto" w:before="60"/>
        <w:ind w:left="711" w:right="473"/>
        <w:jc w:val="both"/>
        <w:rPr>
          <w:rFonts w:ascii="Cambria"/>
        </w:rPr>
      </w:pPr>
      <w:r>
        <w:rPr/>
        <w:t>changes that may occur on the long-run and rate of correction of past deviation in the present period. These means that the present value of GDP adjust very sharply to changes in EXTDEBT, DFI, CAB and RES.In order to attain effectiveness of the model, there is the need to simplify the model to a more parsimonious model. The parsimonious model would be gotten by estimating the equation of only those variables that appear significant in the over-parametized ECM1. The table below shows the result of the parsimonious model estimated</w:t>
      </w:r>
      <w:r>
        <w:rPr>
          <w:rFonts w:ascii="Cambria"/>
        </w:rPr>
        <w:t>.</w:t>
      </w:r>
    </w:p>
    <w:p>
      <w:pPr>
        <w:pStyle w:val="Heading6"/>
        <w:spacing w:before="1"/>
      </w:pPr>
      <w:r>
        <w:rPr>
          <w:rFonts w:ascii="Cambria"/>
        </w:rPr>
        <w:t>Table</w:t>
      </w:r>
      <w:r>
        <w:rPr>
          <w:rFonts w:ascii="Cambria"/>
          <w:spacing w:val="-5"/>
        </w:rPr>
        <w:t> </w:t>
      </w:r>
      <w:r>
        <w:rPr>
          <w:rFonts w:ascii="Cambria"/>
        </w:rPr>
        <w:t>4.16.2:</w:t>
      </w:r>
      <w:r>
        <w:rPr>
          <w:rFonts w:ascii="Cambria"/>
          <w:spacing w:val="-2"/>
        </w:rPr>
        <w:t> </w:t>
      </w:r>
      <w:r>
        <w:rPr>
          <w:rFonts w:ascii="Cambria"/>
        </w:rPr>
        <w:t>Parsimonious</w:t>
      </w:r>
      <w:r>
        <w:rPr>
          <w:rFonts w:ascii="Cambria"/>
          <w:spacing w:val="-3"/>
        </w:rPr>
        <w:t> </w:t>
      </w:r>
      <w:r>
        <w:rPr>
          <w:rFonts w:ascii="Cambria"/>
        </w:rPr>
        <w:t>Model</w:t>
      </w:r>
      <w:r>
        <w:rPr>
          <w:rFonts w:ascii="Cambria"/>
          <w:spacing w:val="-3"/>
        </w:rPr>
        <w:t> </w:t>
      </w:r>
      <w:r>
        <w:rPr>
          <w:rFonts w:ascii="Cambria"/>
        </w:rPr>
        <w:t>(ECM2)</w:t>
      </w:r>
      <w:r>
        <w:rPr>
          <w:rFonts w:ascii="Cambria"/>
          <w:spacing w:val="-2"/>
        </w:rPr>
        <w:t> </w:t>
      </w:r>
      <w:r>
        <w:rPr/>
        <w:t>(World</w:t>
      </w:r>
      <w:r>
        <w:rPr>
          <w:spacing w:val="-1"/>
        </w:rPr>
        <w:t> </w:t>
      </w:r>
      <w:r>
        <w:rPr/>
        <w:t>Bank</w:t>
      </w:r>
      <w:r>
        <w:rPr>
          <w:spacing w:val="-3"/>
        </w:rPr>
        <w:t> </w:t>
      </w:r>
      <w:r>
        <w:rPr/>
        <w:t>&amp;</w:t>
      </w:r>
      <w:r>
        <w:rPr>
          <w:spacing w:val="-3"/>
        </w:rPr>
        <w:t> </w:t>
      </w:r>
      <w:r>
        <w:rPr/>
        <w:t>Erbe</w:t>
      </w:r>
      <w:r>
        <w:rPr>
          <w:spacing w:val="-3"/>
        </w:rPr>
        <w:t> </w:t>
      </w:r>
      <w:r>
        <w:rPr/>
        <w:t>1985</w:t>
      </w:r>
      <w:r>
        <w:rPr>
          <w:spacing w:val="-2"/>
        </w:rPr>
        <w:t> approach)</w:t>
      </w:r>
    </w:p>
    <w:p>
      <w:pPr>
        <w:pStyle w:val="BodyText"/>
        <w:spacing w:before="6"/>
        <w:rPr>
          <w:b/>
        </w:rPr>
      </w:pPr>
    </w:p>
    <w:p>
      <w:pPr>
        <w:spacing w:before="1"/>
        <w:ind w:left="742" w:right="7009" w:firstLine="100"/>
        <w:jc w:val="left"/>
        <w:rPr>
          <w:rFonts w:ascii="Arial MT"/>
          <w:sz w:val="20"/>
        </w:rPr>
      </w:pPr>
      <w:r>
        <w:rPr>
          <w:rFonts w:ascii="Arial MT"/>
          <w:sz w:val="20"/>
        </w:rPr>
        <w:t>Dependent</w:t>
      </w:r>
      <w:r>
        <w:rPr>
          <w:rFonts w:ascii="Arial MT"/>
          <w:spacing w:val="-14"/>
          <w:sz w:val="20"/>
        </w:rPr>
        <w:t> </w:t>
      </w:r>
      <w:r>
        <w:rPr>
          <w:rFonts w:ascii="Arial MT"/>
          <w:sz w:val="20"/>
        </w:rPr>
        <w:t>Variable:</w:t>
      </w:r>
      <w:r>
        <w:rPr>
          <w:rFonts w:ascii="Arial MT"/>
          <w:spacing w:val="-14"/>
          <w:sz w:val="20"/>
        </w:rPr>
        <w:t> </w:t>
      </w:r>
      <w:r>
        <w:rPr>
          <w:rFonts w:ascii="Arial MT"/>
          <w:sz w:val="20"/>
        </w:rPr>
        <w:t>D(EXDEBT(-1),2) Method: Least Squares</w:t>
      </w:r>
    </w:p>
    <w:tbl>
      <w:tblPr>
        <w:tblW w:w="0" w:type="auto"/>
        <w:jc w:val="left"/>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48"/>
        <w:gridCol w:w="1891"/>
        <w:gridCol w:w="2481"/>
        <w:gridCol w:w="1746"/>
        <w:gridCol w:w="1891"/>
      </w:tblGrid>
      <w:tr>
        <w:trPr>
          <w:trHeight w:val="1127" w:hRule="atLeast"/>
        </w:trPr>
        <w:tc>
          <w:tcPr>
            <w:tcW w:w="1548" w:type="dxa"/>
          </w:tcPr>
          <w:p>
            <w:pPr>
              <w:pStyle w:val="TableParagraph"/>
              <w:spacing w:before="6"/>
              <w:rPr>
                <w:rFonts w:ascii="Arial MT"/>
                <w:sz w:val="24"/>
              </w:rPr>
            </w:pPr>
          </w:p>
          <w:p>
            <w:pPr>
              <w:pStyle w:val="TableParagraph"/>
              <w:spacing w:before="1"/>
              <w:ind w:left="9" w:right="73"/>
              <w:jc w:val="center"/>
              <w:rPr>
                <w:rFonts w:ascii="Cambria"/>
                <w:b/>
                <w:sz w:val="24"/>
              </w:rPr>
            </w:pPr>
            <w:r>
              <w:rPr>
                <w:rFonts w:ascii="Cambria"/>
                <w:b/>
                <w:spacing w:val="-2"/>
                <w:sz w:val="24"/>
              </w:rPr>
              <w:t>VARIABLES</w:t>
            </w:r>
          </w:p>
        </w:tc>
        <w:tc>
          <w:tcPr>
            <w:tcW w:w="1891" w:type="dxa"/>
          </w:tcPr>
          <w:p>
            <w:pPr>
              <w:pStyle w:val="TableParagraph"/>
              <w:spacing w:before="6"/>
              <w:rPr>
                <w:rFonts w:ascii="Arial MT"/>
                <w:sz w:val="24"/>
              </w:rPr>
            </w:pPr>
          </w:p>
          <w:p>
            <w:pPr>
              <w:pStyle w:val="TableParagraph"/>
              <w:spacing w:before="1"/>
              <w:ind w:left="105"/>
              <w:rPr>
                <w:rFonts w:ascii="Cambria"/>
                <w:b/>
                <w:sz w:val="24"/>
              </w:rPr>
            </w:pPr>
            <w:r>
              <w:rPr>
                <w:rFonts w:ascii="Cambria"/>
                <w:b/>
                <w:spacing w:val="-2"/>
                <w:sz w:val="24"/>
              </w:rPr>
              <w:t>COEFFICIENTS</w:t>
            </w:r>
          </w:p>
        </w:tc>
        <w:tc>
          <w:tcPr>
            <w:tcW w:w="2481" w:type="dxa"/>
          </w:tcPr>
          <w:p>
            <w:pPr>
              <w:pStyle w:val="TableParagraph"/>
              <w:spacing w:before="6"/>
              <w:rPr>
                <w:rFonts w:ascii="Arial MT"/>
                <w:sz w:val="24"/>
              </w:rPr>
            </w:pPr>
          </w:p>
          <w:p>
            <w:pPr>
              <w:pStyle w:val="TableParagraph"/>
              <w:spacing w:before="1"/>
              <w:ind w:left="106"/>
              <w:rPr>
                <w:rFonts w:ascii="Cambria"/>
                <w:b/>
                <w:sz w:val="24"/>
              </w:rPr>
            </w:pPr>
            <w:r>
              <w:rPr>
                <w:rFonts w:ascii="Cambria"/>
                <w:b/>
                <w:sz w:val="24"/>
              </w:rPr>
              <w:t>STANDARD</w:t>
            </w:r>
            <w:r>
              <w:rPr>
                <w:rFonts w:ascii="Cambria"/>
                <w:b/>
                <w:spacing w:val="-4"/>
                <w:sz w:val="24"/>
              </w:rPr>
              <w:t> </w:t>
            </w:r>
            <w:r>
              <w:rPr>
                <w:rFonts w:ascii="Cambria"/>
                <w:b/>
                <w:spacing w:val="-2"/>
                <w:sz w:val="24"/>
              </w:rPr>
              <w:t>ERROR</w:t>
            </w:r>
          </w:p>
        </w:tc>
        <w:tc>
          <w:tcPr>
            <w:tcW w:w="1746" w:type="dxa"/>
          </w:tcPr>
          <w:p>
            <w:pPr>
              <w:pStyle w:val="TableParagraph"/>
              <w:spacing w:before="6"/>
              <w:rPr>
                <w:rFonts w:ascii="Arial MT"/>
                <w:sz w:val="24"/>
              </w:rPr>
            </w:pPr>
          </w:p>
          <w:p>
            <w:pPr>
              <w:pStyle w:val="TableParagraph"/>
              <w:spacing w:before="1"/>
              <w:ind w:right="101"/>
              <w:jc w:val="right"/>
              <w:rPr>
                <w:rFonts w:ascii="Cambria"/>
                <w:b/>
                <w:sz w:val="24"/>
              </w:rPr>
            </w:pPr>
            <w:r>
              <w:rPr>
                <w:rFonts w:ascii="Cambria"/>
                <w:b/>
                <w:sz w:val="24"/>
              </w:rPr>
              <w:t>T-</w:t>
            </w:r>
            <w:r>
              <w:rPr>
                <w:rFonts w:ascii="Cambria"/>
                <w:b/>
                <w:spacing w:val="-2"/>
                <w:sz w:val="24"/>
              </w:rPr>
              <w:t>STATISTICS</w:t>
            </w:r>
          </w:p>
        </w:tc>
        <w:tc>
          <w:tcPr>
            <w:tcW w:w="1891" w:type="dxa"/>
          </w:tcPr>
          <w:p>
            <w:pPr>
              <w:pStyle w:val="TableParagraph"/>
              <w:spacing w:before="2"/>
              <w:ind w:left="108"/>
              <w:rPr>
                <w:rFonts w:ascii="Cambria"/>
                <w:b/>
                <w:sz w:val="24"/>
              </w:rPr>
            </w:pPr>
            <w:r>
              <w:rPr>
                <w:rFonts w:ascii="Cambria"/>
                <w:b/>
                <w:sz w:val="24"/>
              </w:rPr>
              <w:t>PROB</w:t>
            </w:r>
            <w:r>
              <w:rPr>
                <w:rFonts w:ascii="Cambria"/>
                <w:b/>
                <w:spacing w:val="79"/>
                <w:sz w:val="24"/>
              </w:rPr>
              <w:t> </w:t>
            </w:r>
            <w:r>
              <w:rPr>
                <w:rFonts w:ascii="Cambria"/>
                <w:b/>
                <w:spacing w:val="-2"/>
                <w:sz w:val="24"/>
              </w:rPr>
              <w:t>ABILITY</w:t>
            </w:r>
          </w:p>
          <w:p>
            <w:pPr>
              <w:pStyle w:val="TableParagraph"/>
              <w:spacing w:before="4"/>
              <w:rPr>
                <w:rFonts w:ascii="Arial MT"/>
                <w:sz w:val="24"/>
              </w:rPr>
            </w:pPr>
          </w:p>
          <w:p>
            <w:pPr>
              <w:pStyle w:val="TableParagraph"/>
              <w:ind w:left="108"/>
              <w:rPr>
                <w:rFonts w:ascii="Cambria"/>
                <w:b/>
                <w:sz w:val="24"/>
              </w:rPr>
            </w:pPr>
            <w:r>
              <w:rPr>
                <w:rFonts w:ascii="Cambria"/>
                <w:b/>
                <w:spacing w:val="-2"/>
                <w:sz w:val="24"/>
              </w:rPr>
              <w:t>VALUE</w:t>
            </w:r>
          </w:p>
        </w:tc>
      </w:tr>
      <w:tr>
        <w:trPr>
          <w:trHeight w:val="230" w:hRule="atLeast"/>
        </w:trPr>
        <w:tc>
          <w:tcPr>
            <w:tcW w:w="1548" w:type="dxa"/>
          </w:tcPr>
          <w:p>
            <w:pPr>
              <w:pStyle w:val="TableParagraph"/>
              <w:spacing w:line="210" w:lineRule="exact"/>
              <w:ind w:left="73" w:right="64"/>
              <w:jc w:val="center"/>
              <w:rPr>
                <w:rFonts w:ascii="Arial MT"/>
                <w:sz w:val="20"/>
              </w:rPr>
            </w:pPr>
            <w:r>
              <w:rPr>
                <w:rFonts w:ascii="Arial MT"/>
                <w:spacing w:val="-2"/>
                <w:sz w:val="20"/>
              </w:rPr>
              <w:t>D(DFI(-1),2)</w:t>
            </w:r>
          </w:p>
        </w:tc>
        <w:tc>
          <w:tcPr>
            <w:tcW w:w="1891" w:type="dxa"/>
          </w:tcPr>
          <w:p>
            <w:pPr>
              <w:pStyle w:val="TableParagraph"/>
              <w:spacing w:line="210" w:lineRule="exact"/>
              <w:ind w:right="102"/>
              <w:jc w:val="right"/>
              <w:rPr>
                <w:rFonts w:ascii="Arial MT"/>
                <w:sz w:val="20"/>
              </w:rPr>
            </w:pPr>
            <w:r>
              <w:rPr>
                <w:rFonts w:ascii="Arial MT"/>
                <w:spacing w:val="-2"/>
                <w:sz w:val="20"/>
              </w:rPr>
              <w:t>-0.479119</w:t>
            </w:r>
          </w:p>
        </w:tc>
        <w:tc>
          <w:tcPr>
            <w:tcW w:w="2481" w:type="dxa"/>
          </w:tcPr>
          <w:p>
            <w:pPr>
              <w:pStyle w:val="TableParagraph"/>
              <w:spacing w:line="210" w:lineRule="exact"/>
              <w:ind w:right="99"/>
              <w:jc w:val="right"/>
              <w:rPr>
                <w:rFonts w:ascii="Arial MT"/>
                <w:sz w:val="20"/>
              </w:rPr>
            </w:pPr>
            <w:r>
              <w:rPr>
                <w:rFonts w:ascii="Arial MT"/>
                <w:spacing w:val="-2"/>
                <w:sz w:val="20"/>
              </w:rPr>
              <w:t>1.205027</w:t>
            </w:r>
          </w:p>
        </w:tc>
        <w:tc>
          <w:tcPr>
            <w:tcW w:w="1746" w:type="dxa"/>
          </w:tcPr>
          <w:p>
            <w:pPr>
              <w:pStyle w:val="TableParagraph"/>
              <w:spacing w:line="210" w:lineRule="exact"/>
              <w:ind w:right="97"/>
              <w:jc w:val="right"/>
              <w:rPr>
                <w:rFonts w:ascii="Arial MT"/>
                <w:sz w:val="20"/>
              </w:rPr>
            </w:pPr>
            <w:r>
              <w:rPr>
                <w:rFonts w:ascii="Arial MT"/>
                <w:spacing w:val="-2"/>
                <w:sz w:val="20"/>
              </w:rPr>
              <w:t>-0.397600</w:t>
            </w:r>
          </w:p>
        </w:tc>
        <w:tc>
          <w:tcPr>
            <w:tcW w:w="1891" w:type="dxa"/>
          </w:tcPr>
          <w:p>
            <w:pPr>
              <w:pStyle w:val="TableParagraph"/>
              <w:spacing w:line="210" w:lineRule="exact"/>
              <w:ind w:right="98"/>
              <w:jc w:val="right"/>
              <w:rPr>
                <w:rFonts w:ascii="Arial MT"/>
                <w:sz w:val="20"/>
              </w:rPr>
            </w:pPr>
            <w:r>
              <w:rPr>
                <w:rFonts w:ascii="Arial MT"/>
                <w:spacing w:val="-2"/>
                <w:sz w:val="20"/>
              </w:rPr>
              <w:t>0.6933</w:t>
            </w:r>
          </w:p>
        </w:tc>
      </w:tr>
      <w:tr>
        <w:trPr>
          <w:trHeight w:val="230" w:hRule="atLeast"/>
        </w:trPr>
        <w:tc>
          <w:tcPr>
            <w:tcW w:w="1548" w:type="dxa"/>
          </w:tcPr>
          <w:p>
            <w:pPr>
              <w:pStyle w:val="TableParagraph"/>
              <w:spacing w:line="210" w:lineRule="exact"/>
              <w:ind w:left="68" w:right="64"/>
              <w:jc w:val="center"/>
              <w:rPr>
                <w:rFonts w:ascii="Arial MT"/>
                <w:sz w:val="20"/>
              </w:rPr>
            </w:pPr>
            <w:r>
              <w:rPr>
                <w:rFonts w:ascii="Arial MT"/>
                <w:spacing w:val="-2"/>
                <w:sz w:val="20"/>
              </w:rPr>
              <w:t>D(CAB(-1),2)</w:t>
            </w:r>
          </w:p>
        </w:tc>
        <w:tc>
          <w:tcPr>
            <w:tcW w:w="1891" w:type="dxa"/>
          </w:tcPr>
          <w:p>
            <w:pPr>
              <w:pStyle w:val="TableParagraph"/>
              <w:spacing w:line="210" w:lineRule="exact"/>
              <w:ind w:right="102"/>
              <w:jc w:val="right"/>
              <w:rPr>
                <w:rFonts w:ascii="Arial MT"/>
                <w:sz w:val="20"/>
              </w:rPr>
            </w:pPr>
            <w:r>
              <w:rPr>
                <w:rFonts w:ascii="Arial MT"/>
                <w:spacing w:val="-2"/>
                <w:sz w:val="20"/>
              </w:rPr>
              <w:t>-0.234175</w:t>
            </w:r>
          </w:p>
        </w:tc>
        <w:tc>
          <w:tcPr>
            <w:tcW w:w="2481" w:type="dxa"/>
          </w:tcPr>
          <w:p>
            <w:pPr>
              <w:pStyle w:val="TableParagraph"/>
              <w:spacing w:line="210" w:lineRule="exact"/>
              <w:ind w:right="99"/>
              <w:jc w:val="right"/>
              <w:rPr>
                <w:rFonts w:ascii="Arial MT"/>
                <w:sz w:val="20"/>
              </w:rPr>
            </w:pPr>
            <w:r>
              <w:rPr>
                <w:rFonts w:ascii="Arial MT"/>
                <w:spacing w:val="-2"/>
                <w:sz w:val="20"/>
              </w:rPr>
              <w:t>0.221241</w:t>
            </w:r>
          </w:p>
        </w:tc>
        <w:tc>
          <w:tcPr>
            <w:tcW w:w="1746" w:type="dxa"/>
          </w:tcPr>
          <w:p>
            <w:pPr>
              <w:pStyle w:val="TableParagraph"/>
              <w:spacing w:line="210" w:lineRule="exact"/>
              <w:ind w:right="97"/>
              <w:jc w:val="right"/>
              <w:rPr>
                <w:rFonts w:ascii="Arial MT"/>
                <w:sz w:val="20"/>
              </w:rPr>
            </w:pPr>
            <w:r>
              <w:rPr>
                <w:rFonts w:ascii="Arial MT"/>
                <w:spacing w:val="-2"/>
                <w:sz w:val="20"/>
              </w:rPr>
              <w:t>-1.058460</w:t>
            </w:r>
          </w:p>
        </w:tc>
        <w:tc>
          <w:tcPr>
            <w:tcW w:w="1891" w:type="dxa"/>
          </w:tcPr>
          <w:p>
            <w:pPr>
              <w:pStyle w:val="TableParagraph"/>
              <w:spacing w:line="210" w:lineRule="exact"/>
              <w:ind w:right="98"/>
              <w:jc w:val="right"/>
              <w:rPr>
                <w:rFonts w:ascii="Arial MT"/>
                <w:sz w:val="20"/>
              </w:rPr>
            </w:pPr>
            <w:r>
              <w:rPr>
                <w:rFonts w:ascii="Arial MT"/>
                <w:spacing w:val="-2"/>
                <w:sz w:val="20"/>
              </w:rPr>
              <w:t>0.2971</w:t>
            </w:r>
          </w:p>
        </w:tc>
      </w:tr>
      <w:tr>
        <w:trPr>
          <w:trHeight w:val="230" w:hRule="atLeast"/>
        </w:trPr>
        <w:tc>
          <w:tcPr>
            <w:tcW w:w="1548" w:type="dxa"/>
          </w:tcPr>
          <w:p>
            <w:pPr>
              <w:pStyle w:val="TableParagraph"/>
              <w:spacing w:line="210" w:lineRule="exact"/>
              <w:ind w:left="68" w:right="64"/>
              <w:jc w:val="center"/>
              <w:rPr>
                <w:rFonts w:ascii="Arial MT"/>
                <w:sz w:val="20"/>
              </w:rPr>
            </w:pPr>
            <w:r>
              <w:rPr>
                <w:rFonts w:ascii="Arial MT"/>
                <w:spacing w:val="-2"/>
                <w:sz w:val="20"/>
              </w:rPr>
              <w:t>D(RES(-1),2)</w:t>
            </w:r>
          </w:p>
        </w:tc>
        <w:tc>
          <w:tcPr>
            <w:tcW w:w="1891" w:type="dxa"/>
          </w:tcPr>
          <w:p>
            <w:pPr>
              <w:pStyle w:val="TableParagraph"/>
              <w:spacing w:line="210" w:lineRule="exact"/>
              <w:ind w:right="102"/>
              <w:jc w:val="right"/>
              <w:rPr>
                <w:rFonts w:ascii="Arial MT"/>
                <w:sz w:val="20"/>
              </w:rPr>
            </w:pPr>
            <w:r>
              <w:rPr>
                <w:rFonts w:ascii="Arial MT"/>
                <w:spacing w:val="-2"/>
                <w:sz w:val="20"/>
              </w:rPr>
              <w:t>0.438762</w:t>
            </w:r>
          </w:p>
        </w:tc>
        <w:tc>
          <w:tcPr>
            <w:tcW w:w="2481" w:type="dxa"/>
          </w:tcPr>
          <w:p>
            <w:pPr>
              <w:pStyle w:val="TableParagraph"/>
              <w:spacing w:line="210" w:lineRule="exact"/>
              <w:ind w:right="99"/>
              <w:jc w:val="right"/>
              <w:rPr>
                <w:rFonts w:ascii="Arial MT"/>
                <w:sz w:val="20"/>
              </w:rPr>
            </w:pPr>
            <w:r>
              <w:rPr>
                <w:rFonts w:ascii="Arial MT"/>
                <w:spacing w:val="-2"/>
                <w:sz w:val="20"/>
              </w:rPr>
              <w:t>0.285467</w:t>
            </w:r>
          </w:p>
        </w:tc>
        <w:tc>
          <w:tcPr>
            <w:tcW w:w="1746" w:type="dxa"/>
          </w:tcPr>
          <w:p>
            <w:pPr>
              <w:pStyle w:val="TableParagraph"/>
              <w:spacing w:line="210" w:lineRule="exact"/>
              <w:ind w:right="97"/>
              <w:jc w:val="right"/>
              <w:rPr>
                <w:rFonts w:ascii="Arial MT"/>
                <w:sz w:val="20"/>
              </w:rPr>
            </w:pPr>
            <w:r>
              <w:rPr>
                <w:rFonts w:ascii="Arial MT"/>
                <w:spacing w:val="-2"/>
                <w:sz w:val="20"/>
              </w:rPr>
              <w:t>1.536995</w:t>
            </w:r>
          </w:p>
        </w:tc>
        <w:tc>
          <w:tcPr>
            <w:tcW w:w="1891" w:type="dxa"/>
          </w:tcPr>
          <w:p>
            <w:pPr>
              <w:pStyle w:val="TableParagraph"/>
              <w:spacing w:line="210" w:lineRule="exact"/>
              <w:ind w:right="98"/>
              <w:jc w:val="right"/>
              <w:rPr>
                <w:rFonts w:ascii="Arial MT"/>
                <w:sz w:val="20"/>
              </w:rPr>
            </w:pPr>
            <w:r>
              <w:rPr>
                <w:rFonts w:ascii="Arial MT"/>
                <w:spacing w:val="-2"/>
                <w:sz w:val="20"/>
              </w:rPr>
              <w:t>0.1333</w:t>
            </w:r>
          </w:p>
        </w:tc>
      </w:tr>
      <w:tr>
        <w:trPr>
          <w:trHeight w:val="230" w:hRule="atLeast"/>
        </w:trPr>
        <w:tc>
          <w:tcPr>
            <w:tcW w:w="1548" w:type="dxa"/>
          </w:tcPr>
          <w:p>
            <w:pPr>
              <w:pStyle w:val="TableParagraph"/>
              <w:spacing w:line="210" w:lineRule="exact"/>
              <w:ind w:left="70" w:right="64"/>
              <w:jc w:val="center"/>
              <w:rPr>
                <w:rFonts w:ascii="Arial MT"/>
                <w:sz w:val="20"/>
              </w:rPr>
            </w:pPr>
            <w:r>
              <w:rPr>
                <w:rFonts w:ascii="Arial MT"/>
                <w:spacing w:val="-2"/>
                <w:sz w:val="20"/>
              </w:rPr>
              <w:t>ECM(-</w:t>
            </w:r>
            <w:r>
              <w:rPr>
                <w:rFonts w:ascii="Arial MT"/>
                <w:spacing w:val="-5"/>
                <w:sz w:val="20"/>
              </w:rPr>
              <w:t>1)</w:t>
            </w:r>
          </w:p>
        </w:tc>
        <w:tc>
          <w:tcPr>
            <w:tcW w:w="1891" w:type="dxa"/>
          </w:tcPr>
          <w:p>
            <w:pPr>
              <w:pStyle w:val="TableParagraph"/>
              <w:spacing w:line="210" w:lineRule="exact"/>
              <w:ind w:right="102"/>
              <w:jc w:val="right"/>
              <w:rPr>
                <w:rFonts w:ascii="Arial MT"/>
                <w:sz w:val="20"/>
              </w:rPr>
            </w:pPr>
            <w:r>
              <w:rPr>
                <w:rFonts w:ascii="Arial MT"/>
                <w:spacing w:val="-2"/>
                <w:sz w:val="20"/>
              </w:rPr>
              <w:t>0.307254</w:t>
            </w:r>
          </w:p>
        </w:tc>
        <w:tc>
          <w:tcPr>
            <w:tcW w:w="2481" w:type="dxa"/>
          </w:tcPr>
          <w:p>
            <w:pPr>
              <w:pStyle w:val="TableParagraph"/>
              <w:spacing w:line="210" w:lineRule="exact"/>
              <w:ind w:right="99"/>
              <w:jc w:val="right"/>
              <w:rPr>
                <w:rFonts w:ascii="Arial MT"/>
                <w:sz w:val="20"/>
              </w:rPr>
            </w:pPr>
            <w:r>
              <w:rPr>
                <w:rFonts w:ascii="Arial MT"/>
                <w:spacing w:val="-2"/>
                <w:sz w:val="20"/>
              </w:rPr>
              <w:t>1.764498</w:t>
            </w:r>
          </w:p>
        </w:tc>
        <w:tc>
          <w:tcPr>
            <w:tcW w:w="1746" w:type="dxa"/>
          </w:tcPr>
          <w:p>
            <w:pPr>
              <w:pStyle w:val="TableParagraph"/>
              <w:spacing w:line="210" w:lineRule="exact"/>
              <w:ind w:right="97"/>
              <w:jc w:val="right"/>
              <w:rPr>
                <w:rFonts w:ascii="Arial MT"/>
                <w:sz w:val="20"/>
              </w:rPr>
            </w:pPr>
            <w:r>
              <w:rPr>
                <w:rFonts w:ascii="Arial MT"/>
                <w:spacing w:val="-2"/>
                <w:sz w:val="20"/>
              </w:rPr>
              <w:t>0.174131</w:t>
            </w:r>
          </w:p>
        </w:tc>
        <w:tc>
          <w:tcPr>
            <w:tcW w:w="1891" w:type="dxa"/>
          </w:tcPr>
          <w:p>
            <w:pPr>
              <w:pStyle w:val="TableParagraph"/>
              <w:spacing w:line="210" w:lineRule="exact"/>
              <w:ind w:right="98"/>
              <w:jc w:val="right"/>
              <w:rPr>
                <w:rFonts w:ascii="Arial MT"/>
                <w:sz w:val="20"/>
              </w:rPr>
            </w:pPr>
            <w:r>
              <w:rPr>
                <w:rFonts w:ascii="Arial MT"/>
                <w:spacing w:val="-2"/>
                <w:sz w:val="20"/>
              </w:rPr>
              <w:t>0.8628</w:t>
            </w:r>
          </w:p>
        </w:tc>
      </w:tr>
    </w:tbl>
    <w:tbl>
      <w:tblPr>
        <w:tblW w:w="0" w:type="auto"/>
        <w:jc w:val="left"/>
        <w:tblInd w:w="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31"/>
        <w:gridCol w:w="2055"/>
        <w:gridCol w:w="2867"/>
        <w:gridCol w:w="1840"/>
      </w:tblGrid>
      <w:tr>
        <w:trPr>
          <w:trHeight w:val="225" w:hRule="atLeast"/>
        </w:trPr>
        <w:tc>
          <w:tcPr>
            <w:tcW w:w="2831" w:type="dxa"/>
          </w:tcPr>
          <w:p>
            <w:pPr>
              <w:pStyle w:val="TableParagraph"/>
              <w:spacing w:line="205" w:lineRule="exact"/>
              <w:ind w:left="50"/>
              <w:rPr>
                <w:rFonts w:ascii="Arial MT"/>
                <w:sz w:val="20"/>
              </w:rPr>
            </w:pPr>
            <w:r>
              <w:rPr>
                <w:rFonts w:ascii="Arial MT"/>
                <w:spacing w:val="-2"/>
                <w:sz w:val="20"/>
              </w:rPr>
              <w:t>R-squared</w:t>
            </w:r>
          </w:p>
        </w:tc>
        <w:tc>
          <w:tcPr>
            <w:tcW w:w="2055" w:type="dxa"/>
          </w:tcPr>
          <w:p>
            <w:pPr>
              <w:pStyle w:val="TableParagraph"/>
              <w:spacing w:line="205" w:lineRule="exact"/>
              <w:ind w:right="141"/>
              <w:jc w:val="right"/>
              <w:rPr>
                <w:rFonts w:ascii="Arial MT"/>
                <w:sz w:val="20"/>
              </w:rPr>
            </w:pPr>
            <w:r>
              <w:rPr>
                <w:rFonts w:ascii="Arial MT"/>
                <w:spacing w:val="-2"/>
                <w:sz w:val="20"/>
              </w:rPr>
              <w:t>0.073753</w:t>
            </w:r>
          </w:p>
        </w:tc>
        <w:tc>
          <w:tcPr>
            <w:tcW w:w="2867" w:type="dxa"/>
          </w:tcPr>
          <w:p>
            <w:pPr>
              <w:pStyle w:val="TableParagraph"/>
              <w:spacing w:line="205" w:lineRule="exact"/>
              <w:ind w:left="142"/>
              <w:rPr>
                <w:rFonts w:ascii="Arial MT"/>
                <w:sz w:val="20"/>
              </w:rPr>
            </w:pPr>
            <w:r>
              <w:rPr>
                <w:rFonts w:ascii="Arial MT"/>
                <w:sz w:val="20"/>
              </w:rPr>
              <w:t>Mean</w:t>
            </w:r>
            <w:r>
              <w:rPr>
                <w:rFonts w:ascii="Arial MT"/>
                <w:spacing w:val="-10"/>
                <w:sz w:val="20"/>
              </w:rPr>
              <w:t> </w:t>
            </w:r>
            <w:r>
              <w:rPr>
                <w:rFonts w:ascii="Arial MT"/>
                <w:sz w:val="20"/>
              </w:rPr>
              <w:t>dependent</w:t>
            </w:r>
            <w:r>
              <w:rPr>
                <w:rFonts w:ascii="Arial MT"/>
                <w:spacing w:val="-9"/>
                <w:sz w:val="20"/>
              </w:rPr>
              <w:t> </w:t>
            </w:r>
            <w:r>
              <w:rPr>
                <w:rFonts w:ascii="Arial MT"/>
                <w:spacing w:val="-5"/>
                <w:sz w:val="20"/>
              </w:rPr>
              <w:t>var</w:t>
            </w:r>
          </w:p>
        </w:tc>
        <w:tc>
          <w:tcPr>
            <w:tcW w:w="1840" w:type="dxa"/>
          </w:tcPr>
          <w:p>
            <w:pPr>
              <w:pStyle w:val="TableParagraph"/>
              <w:spacing w:line="205" w:lineRule="exact"/>
              <w:ind w:right="49"/>
              <w:jc w:val="right"/>
              <w:rPr>
                <w:rFonts w:ascii="Arial MT"/>
                <w:sz w:val="20"/>
              </w:rPr>
            </w:pPr>
            <w:r>
              <w:rPr>
                <w:rFonts w:ascii="Arial MT"/>
                <w:spacing w:val="-2"/>
                <w:sz w:val="20"/>
              </w:rPr>
              <w:t>-0.037285</w:t>
            </w:r>
          </w:p>
        </w:tc>
      </w:tr>
      <w:tr>
        <w:trPr>
          <w:trHeight w:val="229" w:hRule="atLeast"/>
        </w:trPr>
        <w:tc>
          <w:tcPr>
            <w:tcW w:w="2831" w:type="dxa"/>
          </w:tcPr>
          <w:p>
            <w:pPr>
              <w:pStyle w:val="TableParagraph"/>
              <w:spacing w:line="209" w:lineRule="exact"/>
              <w:ind w:left="50"/>
              <w:rPr>
                <w:rFonts w:ascii="Arial MT"/>
                <w:sz w:val="20"/>
              </w:rPr>
            </w:pPr>
            <w:r>
              <w:rPr>
                <w:rFonts w:ascii="Arial MT"/>
                <w:sz w:val="20"/>
              </w:rPr>
              <w:t>Adjusted</w:t>
            </w:r>
            <w:r>
              <w:rPr>
                <w:rFonts w:ascii="Arial MT"/>
                <w:spacing w:val="-13"/>
                <w:sz w:val="20"/>
              </w:rPr>
              <w:t> </w:t>
            </w:r>
            <w:r>
              <w:rPr>
                <w:rFonts w:ascii="Arial MT"/>
                <w:sz w:val="20"/>
              </w:rPr>
              <w:t>R-</w:t>
            </w:r>
            <w:r>
              <w:rPr>
                <w:rFonts w:ascii="Arial MT"/>
                <w:spacing w:val="-2"/>
                <w:sz w:val="20"/>
              </w:rPr>
              <w:t>squared</w:t>
            </w:r>
          </w:p>
        </w:tc>
        <w:tc>
          <w:tcPr>
            <w:tcW w:w="2055" w:type="dxa"/>
          </w:tcPr>
          <w:p>
            <w:pPr>
              <w:pStyle w:val="TableParagraph"/>
              <w:spacing w:line="209" w:lineRule="exact"/>
              <w:ind w:right="140"/>
              <w:jc w:val="right"/>
              <w:rPr>
                <w:rFonts w:ascii="Arial MT"/>
                <w:sz w:val="20"/>
              </w:rPr>
            </w:pPr>
            <w:r>
              <w:rPr>
                <w:rFonts w:ascii="Arial MT"/>
                <w:spacing w:val="-2"/>
                <w:sz w:val="20"/>
              </w:rPr>
              <w:t>-0.005640</w:t>
            </w:r>
          </w:p>
        </w:tc>
        <w:tc>
          <w:tcPr>
            <w:tcW w:w="2867" w:type="dxa"/>
          </w:tcPr>
          <w:p>
            <w:pPr>
              <w:pStyle w:val="TableParagraph"/>
              <w:spacing w:line="209" w:lineRule="exact"/>
              <w:ind w:left="142"/>
              <w:rPr>
                <w:rFonts w:ascii="Arial MT"/>
                <w:sz w:val="20"/>
              </w:rPr>
            </w:pPr>
            <w:r>
              <w:rPr>
                <w:rFonts w:ascii="Arial MT"/>
                <w:sz w:val="20"/>
              </w:rPr>
              <w:t>S.D.</w:t>
            </w:r>
            <w:r>
              <w:rPr>
                <w:rFonts w:ascii="Arial MT"/>
                <w:spacing w:val="-8"/>
                <w:sz w:val="20"/>
              </w:rPr>
              <w:t> </w:t>
            </w:r>
            <w:r>
              <w:rPr>
                <w:rFonts w:ascii="Arial MT"/>
                <w:sz w:val="20"/>
              </w:rPr>
              <w:t>dependent</w:t>
            </w:r>
            <w:r>
              <w:rPr>
                <w:rFonts w:ascii="Arial MT"/>
                <w:spacing w:val="-6"/>
                <w:sz w:val="20"/>
              </w:rPr>
              <w:t> </w:t>
            </w:r>
            <w:r>
              <w:rPr>
                <w:rFonts w:ascii="Arial MT"/>
                <w:spacing w:val="-5"/>
                <w:sz w:val="20"/>
              </w:rPr>
              <w:t>var</w:t>
            </w:r>
          </w:p>
        </w:tc>
        <w:tc>
          <w:tcPr>
            <w:tcW w:w="1840" w:type="dxa"/>
          </w:tcPr>
          <w:p>
            <w:pPr>
              <w:pStyle w:val="TableParagraph"/>
              <w:spacing w:line="209" w:lineRule="exact"/>
              <w:ind w:right="49"/>
              <w:jc w:val="right"/>
              <w:rPr>
                <w:rFonts w:ascii="Arial MT"/>
                <w:sz w:val="20"/>
              </w:rPr>
            </w:pPr>
            <w:r>
              <w:rPr>
                <w:rFonts w:ascii="Arial MT"/>
                <w:spacing w:val="-2"/>
                <w:sz w:val="20"/>
              </w:rPr>
              <w:t>3.792771</w:t>
            </w:r>
          </w:p>
        </w:tc>
      </w:tr>
      <w:tr>
        <w:trPr>
          <w:trHeight w:val="230" w:hRule="atLeast"/>
        </w:trPr>
        <w:tc>
          <w:tcPr>
            <w:tcW w:w="2831" w:type="dxa"/>
          </w:tcPr>
          <w:p>
            <w:pPr>
              <w:pStyle w:val="TableParagraph"/>
              <w:spacing w:line="210" w:lineRule="exact"/>
              <w:ind w:left="50"/>
              <w:rPr>
                <w:rFonts w:ascii="Arial MT"/>
                <w:sz w:val="20"/>
              </w:rPr>
            </w:pPr>
            <w:r>
              <w:rPr>
                <w:rFonts w:ascii="Arial MT"/>
                <w:sz w:val="20"/>
              </w:rPr>
              <w:t>S.E.</w:t>
            </w:r>
            <w:r>
              <w:rPr>
                <w:rFonts w:ascii="Arial MT"/>
                <w:spacing w:val="-3"/>
                <w:sz w:val="20"/>
              </w:rPr>
              <w:t> </w:t>
            </w:r>
            <w:r>
              <w:rPr>
                <w:rFonts w:ascii="Arial MT"/>
                <w:sz w:val="20"/>
              </w:rPr>
              <w:t>of</w:t>
            </w:r>
            <w:r>
              <w:rPr>
                <w:rFonts w:ascii="Arial MT"/>
                <w:spacing w:val="-3"/>
                <w:sz w:val="20"/>
              </w:rPr>
              <w:t> </w:t>
            </w:r>
            <w:r>
              <w:rPr>
                <w:rFonts w:ascii="Arial MT"/>
                <w:spacing w:val="-2"/>
                <w:sz w:val="20"/>
              </w:rPr>
              <w:t>regression</w:t>
            </w:r>
          </w:p>
        </w:tc>
        <w:tc>
          <w:tcPr>
            <w:tcW w:w="2055" w:type="dxa"/>
          </w:tcPr>
          <w:p>
            <w:pPr>
              <w:pStyle w:val="TableParagraph"/>
              <w:spacing w:line="210" w:lineRule="exact"/>
              <w:ind w:right="141"/>
              <w:jc w:val="right"/>
              <w:rPr>
                <w:rFonts w:ascii="Arial MT"/>
                <w:sz w:val="20"/>
              </w:rPr>
            </w:pPr>
            <w:r>
              <w:rPr>
                <w:rFonts w:ascii="Arial MT"/>
                <w:spacing w:val="-2"/>
                <w:sz w:val="20"/>
              </w:rPr>
              <w:t>3.803451</w:t>
            </w:r>
          </w:p>
        </w:tc>
        <w:tc>
          <w:tcPr>
            <w:tcW w:w="2867" w:type="dxa"/>
          </w:tcPr>
          <w:p>
            <w:pPr>
              <w:pStyle w:val="TableParagraph"/>
              <w:spacing w:line="210" w:lineRule="exact"/>
              <w:ind w:left="142"/>
              <w:rPr>
                <w:rFonts w:ascii="Arial MT"/>
                <w:sz w:val="20"/>
              </w:rPr>
            </w:pPr>
            <w:r>
              <w:rPr>
                <w:rFonts w:ascii="Arial MT"/>
                <w:sz w:val="20"/>
              </w:rPr>
              <w:t>Akaike</w:t>
            </w:r>
            <w:r>
              <w:rPr>
                <w:rFonts w:ascii="Arial MT"/>
                <w:spacing w:val="-6"/>
                <w:sz w:val="20"/>
              </w:rPr>
              <w:t> </w:t>
            </w:r>
            <w:r>
              <w:rPr>
                <w:rFonts w:ascii="Arial MT"/>
                <w:sz w:val="20"/>
              </w:rPr>
              <w:t>info</w:t>
            </w:r>
            <w:r>
              <w:rPr>
                <w:rFonts w:ascii="Arial MT"/>
                <w:spacing w:val="-5"/>
                <w:sz w:val="20"/>
              </w:rPr>
              <w:t> </w:t>
            </w:r>
            <w:r>
              <w:rPr>
                <w:rFonts w:ascii="Arial MT"/>
                <w:spacing w:val="-2"/>
                <w:sz w:val="20"/>
              </w:rPr>
              <w:t>criterion</w:t>
            </w:r>
          </w:p>
        </w:tc>
        <w:tc>
          <w:tcPr>
            <w:tcW w:w="1840" w:type="dxa"/>
          </w:tcPr>
          <w:p>
            <w:pPr>
              <w:pStyle w:val="TableParagraph"/>
              <w:spacing w:line="210" w:lineRule="exact"/>
              <w:ind w:right="49"/>
              <w:jc w:val="right"/>
              <w:rPr>
                <w:rFonts w:ascii="Arial MT"/>
                <w:sz w:val="20"/>
              </w:rPr>
            </w:pPr>
            <w:r>
              <w:rPr>
                <w:rFonts w:ascii="Arial MT"/>
                <w:spacing w:val="-2"/>
                <w:sz w:val="20"/>
              </w:rPr>
              <w:t>5.606609</w:t>
            </w:r>
          </w:p>
        </w:tc>
      </w:tr>
      <w:tr>
        <w:trPr>
          <w:trHeight w:val="230" w:hRule="atLeast"/>
        </w:trPr>
        <w:tc>
          <w:tcPr>
            <w:tcW w:w="2831" w:type="dxa"/>
          </w:tcPr>
          <w:p>
            <w:pPr>
              <w:pStyle w:val="TableParagraph"/>
              <w:spacing w:line="211" w:lineRule="exact"/>
              <w:ind w:left="50"/>
              <w:rPr>
                <w:rFonts w:ascii="Arial MT"/>
                <w:sz w:val="20"/>
              </w:rPr>
            </w:pPr>
            <w:r>
              <w:rPr>
                <w:rFonts w:ascii="Arial MT"/>
                <w:sz w:val="20"/>
              </w:rPr>
              <w:t>Sum</w:t>
            </w:r>
            <w:r>
              <w:rPr>
                <w:rFonts w:ascii="Arial MT"/>
                <w:spacing w:val="-6"/>
                <w:sz w:val="20"/>
              </w:rPr>
              <w:t> </w:t>
            </w:r>
            <w:r>
              <w:rPr>
                <w:rFonts w:ascii="Arial MT"/>
                <w:sz w:val="20"/>
              </w:rPr>
              <w:t>squared</w:t>
            </w:r>
            <w:r>
              <w:rPr>
                <w:rFonts w:ascii="Arial MT"/>
                <w:spacing w:val="-10"/>
                <w:sz w:val="20"/>
              </w:rPr>
              <w:t> </w:t>
            </w:r>
            <w:r>
              <w:rPr>
                <w:rFonts w:ascii="Arial MT"/>
                <w:spacing w:val="-4"/>
                <w:sz w:val="20"/>
              </w:rPr>
              <w:t>resid</w:t>
            </w:r>
          </w:p>
        </w:tc>
        <w:tc>
          <w:tcPr>
            <w:tcW w:w="2055" w:type="dxa"/>
          </w:tcPr>
          <w:p>
            <w:pPr>
              <w:pStyle w:val="TableParagraph"/>
              <w:spacing w:line="211" w:lineRule="exact"/>
              <w:ind w:right="141"/>
              <w:jc w:val="right"/>
              <w:rPr>
                <w:rFonts w:ascii="Arial MT"/>
                <w:sz w:val="20"/>
              </w:rPr>
            </w:pPr>
            <w:r>
              <w:rPr>
                <w:rFonts w:ascii="Arial MT"/>
                <w:spacing w:val="-2"/>
                <w:sz w:val="20"/>
              </w:rPr>
              <w:t>506.3185</w:t>
            </w:r>
          </w:p>
        </w:tc>
        <w:tc>
          <w:tcPr>
            <w:tcW w:w="2867" w:type="dxa"/>
          </w:tcPr>
          <w:p>
            <w:pPr>
              <w:pStyle w:val="TableParagraph"/>
              <w:spacing w:line="211" w:lineRule="exact"/>
              <w:ind w:left="142"/>
              <w:rPr>
                <w:rFonts w:ascii="Arial MT"/>
                <w:sz w:val="20"/>
              </w:rPr>
            </w:pPr>
            <w:r>
              <w:rPr>
                <w:rFonts w:ascii="Arial MT"/>
                <w:sz w:val="20"/>
              </w:rPr>
              <w:t>Schwarz</w:t>
            </w:r>
            <w:r>
              <w:rPr>
                <w:rFonts w:ascii="Arial MT"/>
                <w:spacing w:val="-9"/>
                <w:sz w:val="20"/>
              </w:rPr>
              <w:t> </w:t>
            </w:r>
            <w:r>
              <w:rPr>
                <w:rFonts w:ascii="Arial MT"/>
                <w:spacing w:val="-2"/>
                <w:sz w:val="20"/>
              </w:rPr>
              <w:t>criterion</w:t>
            </w:r>
          </w:p>
        </w:tc>
        <w:tc>
          <w:tcPr>
            <w:tcW w:w="1840" w:type="dxa"/>
          </w:tcPr>
          <w:p>
            <w:pPr>
              <w:pStyle w:val="TableParagraph"/>
              <w:spacing w:line="211" w:lineRule="exact"/>
              <w:ind w:right="49"/>
              <w:jc w:val="right"/>
              <w:rPr>
                <w:rFonts w:ascii="Arial MT"/>
                <w:sz w:val="20"/>
              </w:rPr>
            </w:pPr>
            <w:r>
              <w:rPr>
                <w:rFonts w:ascii="Arial MT"/>
                <w:spacing w:val="-2"/>
                <w:sz w:val="20"/>
              </w:rPr>
              <w:t>5.777231</w:t>
            </w:r>
          </w:p>
        </w:tc>
      </w:tr>
      <w:tr>
        <w:trPr>
          <w:trHeight w:val="226" w:hRule="atLeast"/>
        </w:trPr>
        <w:tc>
          <w:tcPr>
            <w:tcW w:w="2831" w:type="dxa"/>
          </w:tcPr>
          <w:p>
            <w:pPr>
              <w:pStyle w:val="TableParagraph"/>
              <w:spacing w:line="207" w:lineRule="exact"/>
              <w:ind w:left="50"/>
              <w:rPr>
                <w:rFonts w:ascii="Arial MT"/>
                <w:sz w:val="20"/>
              </w:rPr>
            </w:pPr>
            <w:r>
              <w:rPr>
                <w:rFonts w:ascii="Arial MT"/>
                <w:sz w:val="20"/>
              </w:rPr>
              <w:t>Log</w:t>
            </w:r>
            <w:r>
              <w:rPr>
                <w:rFonts w:ascii="Arial MT"/>
                <w:spacing w:val="-4"/>
                <w:sz w:val="20"/>
              </w:rPr>
              <w:t> </w:t>
            </w:r>
            <w:r>
              <w:rPr>
                <w:rFonts w:ascii="Arial MT"/>
                <w:spacing w:val="-2"/>
                <w:sz w:val="20"/>
              </w:rPr>
              <w:t>likelihood</w:t>
            </w:r>
          </w:p>
        </w:tc>
        <w:tc>
          <w:tcPr>
            <w:tcW w:w="2055" w:type="dxa"/>
          </w:tcPr>
          <w:p>
            <w:pPr>
              <w:pStyle w:val="TableParagraph"/>
              <w:spacing w:line="207" w:lineRule="exact"/>
              <w:ind w:right="140"/>
              <w:jc w:val="right"/>
              <w:rPr>
                <w:rFonts w:ascii="Arial MT"/>
                <w:sz w:val="20"/>
              </w:rPr>
            </w:pPr>
            <w:r>
              <w:rPr>
                <w:rFonts w:ascii="Arial MT"/>
                <w:spacing w:val="-2"/>
                <w:sz w:val="20"/>
              </w:rPr>
              <w:t>-105.3289</w:t>
            </w:r>
          </w:p>
        </w:tc>
        <w:tc>
          <w:tcPr>
            <w:tcW w:w="2867" w:type="dxa"/>
          </w:tcPr>
          <w:p>
            <w:pPr>
              <w:pStyle w:val="TableParagraph"/>
              <w:spacing w:line="207" w:lineRule="exact"/>
              <w:ind w:left="142"/>
              <w:rPr>
                <w:rFonts w:ascii="Arial MT"/>
                <w:sz w:val="20"/>
              </w:rPr>
            </w:pPr>
            <w:r>
              <w:rPr>
                <w:rFonts w:ascii="Arial MT"/>
                <w:sz w:val="20"/>
              </w:rPr>
              <w:t>Durbin-Watson</w:t>
            </w:r>
            <w:r>
              <w:rPr>
                <w:rFonts w:ascii="Arial MT"/>
                <w:spacing w:val="-12"/>
                <w:sz w:val="20"/>
              </w:rPr>
              <w:t> </w:t>
            </w:r>
            <w:r>
              <w:rPr>
                <w:rFonts w:ascii="Arial MT"/>
                <w:spacing w:val="-4"/>
                <w:sz w:val="20"/>
              </w:rPr>
              <w:t>stat</w:t>
            </w:r>
          </w:p>
        </w:tc>
        <w:tc>
          <w:tcPr>
            <w:tcW w:w="1840" w:type="dxa"/>
          </w:tcPr>
          <w:p>
            <w:pPr>
              <w:pStyle w:val="TableParagraph"/>
              <w:spacing w:line="207" w:lineRule="exact"/>
              <w:ind w:right="49"/>
              <w:jc w:val="right"/>
              <w:rPr>
                <w:rFonts w:ascii="Arial MT"/>
                <w:sz w:val="20"/>
              </w:rPr>
            </w:pPr>
            <w:r>
              <w:rPr>
                <w:rFonts w:ascii="Arial MT"/>
                <w:spacing w:val="-2"/>
                <w:sz w:val="20"/>
              </w:rPr>
              <w:t>3.054369</w:t>
            </w:r>
          </w:p>
        </w:tc>
      </w:tr>
    </w:tbl>
    <w:p>
      <w:pPr>
        <w:pStyle w:val="BodyText"/>
        <w:spacing w:before="8"/>
        <w:ind w:left="711"/>
        <w:jc w:val="both"/>
        <w:rPr>
          <w:b/>
        </w:rPr>
      </w:pPr>
      <w:r>
        <w:rPr/>
        <w:t>Source:</w:t>
      </w:r>
      <w:r>
        <w:rPr>
          <w:spacing w:val="-4"/>
        </w:rPr>
        <w:t> </w:t>
      </w:r>
      <w:r>
        <w:rPr/>
        <w:t>Computation,</w:t>
      </w:r>
      <w:r>
        <w:rPr>
          <w:spacing w:val="-1"/>
        </w:rPr>
        <w:t> </w:t>
      </w:r>
      <w:r>
        <w:rPr/>
        <w:t>using</w:t>
      </w:r>
      <w:r>
        <w:rPr>
          <w:spacing w:val="-5"/>
        </w:rPr>
        <w:t> </w:t>
      </w:r>
      <w:r>
        <w:rPr/>
        <w:t>E-view</w:t>
      </w:r>
      <w:r>
        <w:rPr>
          <w:spacing w:val="-1"/>
        </w:rPr>
        <w:t> </w:t>
      </w:r>
      <w:r>
        <w:rPr/>
        <w:t>statistical</w:t>
      </w:r>
      <w:r>
        <w:rPr>
          <w:spacing w:val="-1"/>
        </w:rPr>
        <w:t> </w:t>
      </w:r>
      <w:r>
        <w:rPr>
          <w:spacing w:val="-2"/>
        </w:rPr>
        <w:t>package</w:t>
      </w:r>
      <w:r>
        <w:rPr>
          <w:b/>
          <w:spacing w:val="-2"/>
        </w:rPr>
        <w:t>.</w:t>
      </w:r>
    </w:p>
    <w:p>
      <w:pPr>
        <w:pStyle w:val="BodyText"/>
        <w:rPr>
          <w:b/>
        </w:rPr>
      </w:pPr>
    </w:p>
    <w:p>
      <w:pPr>
        <w:pStyle w:val="BodyText"/>
        <w:spacing w:line="360" w:lineRule="auto"/>
        <w:ind w:left="711" w:right="470"/>
        <w:jc w:val="both"/>
      </w:pPr>
      <w:r>
        <w:rPr/>
        <w:t>From the result above, the coefficient of the ECM2 is significant with it conformity</w:t>
      </w:r>
      <w:r>
        <w:rPr>
          <w:spacing w:val="-2"/>
        </w:rPr>
        <w:t> </w:t>
      </w:r>
      <w:r>
        <w:rPr/>
        <w:t>to the over-parametized ECM.</w:t>
      </w:r>
      <w:r>
        <w:rPr>
          <w:spacing w:val="-2"/>
        </w:rPr>
        <w:t> </w:t>
      </w:r>
      <w:r>
        <w:rPr/>
        <w:t>The</w:t>
      </w:r>
      <w:r>
        <w:rPr>
          <w:spacing w:val="-2"/>
        </w:rPr>
        <w:t> </w:t>
      </w:r>
      <w:r>
        <w:rPr/>
        <w:t>value</w:t>
      </w:r>
      <w:r>
        <w:rPr>
          <w:spacing w:val="-2"/>
        </w:rPr>
        <w:t> </w:t>
      </w:r>
      <w:r>
        <w:rPr/>
        <w:t>of</w:t>
      </w:r>
      <w:r>
        <w:rPr>
          <w:spacing w:val="-1"/>
        </w:rPr>
        <w:t> </w:t>
      </w:r>
      <w:r>
        <w:rPr/>
        <w:t>the</w:t>
      </w:r>
      <w:r>
        <w:rPr>
          <w:spacing w:val="-2"/>
        </w:rPr>
        <w:t> </w:t>
      </w:r>
      <w:r>
        <w:rPr/>
        <w:t>ECM2</w:t>
      </w:r>
      <w:r>
        <w:rPr>
          <w:spacing w:val="-2"/>
        </w:rPr>
        <w:t> </w:t>
      </w:r>
      <w:r>
        <w:rPr/>
        <w:t>shows</w:t>
      </w:r>
      <w:r>
        <w:rPr>
          <w:spacing w:val="-2"/>
        </w:rPr>
        <w:t> </w:t>
      </w:r>
      <w:r>
        <w:rPr/>
        <w:t>a</w:t>
      </w:r>
      <w:r>
        <w:rPr>
          <w:spacing w:val="-2"/>
        </w:rPr>
        <w:t> </w:t>
      </w:r>
      <w:r>
        <w:rPr/>
        <w:t>negative</w:t>
      </w:r>
      <w:r>
        <w:rPr>
          <w:spacing w:val="-2"/>
        </w:rPr>
        <w:t> </w:t>
      </w:r>
      <w:r>
        <w:rPr/>
        <w:t>of</w:t>
      </w:r>
      <w:r>
        <w:rPr>
          <w:rFonts w:ascii="Arial MT"/>
          <w:sz w:val="20"/>
        </w:rPr>
        <w:t>-105.3289</w:t>
      </w:r>
      <w:r>
        <w:rPr/>
        <w:t>.</w:t>
      </w:r>
      <w:r>
        <w:rPr>
          <w:spacing w:val="-2"/>
        </w:rPr>
        <w:t> </w:t>
      </w:r>
      <w:r>
        <w:rPr/>
        <w:t>This coefficient</w:t>
      </w:r>
      <w:r>
        <w:rPr>
          <w:spacing w:val="-2"/>
        </w:rPr>
        <w:t> </w:t>
      </w:r>
      <w:r>
        <w:rPr/>
        <w:t>in</w:t>
      </w:r>
      <w:r>
        <w:rPr>
          <w:spacing w:val="-2"/>
        </w:rPr>
        <w:t> </w:t>
      </w:r>
      <w:r>
        <w:rPr/>
        <w:t>it</w:t>
      </w:r>
      <w:r>
        <w:rPr>
          <w:spacing w:val="-2"/>
        </w:rPr>
        <w:t> </w:t>
      </w:r>
      <w:r>
        <w:rPr/>
        <w:t>negative</w:t>
      </w:r>
      <w:r>
        <w:rPr>
          <w:spacing w:val="-1"/>
        </w:rPr>
        <w:t> </w:t>
      </w:r>
      <w:r>
        <w:rPr/>
        <w:t>form</w:t>
      </w:r>
      <w:r>
        <w:rPr>
          <w:spacing w:val="-2"/>
        </w:rPr>
        <w:t> </w:t>
      </w:r>
      <w:r>
        <w:rPr/>
        <w:t>implies</w:t>
      </w:r>
      <w:r>
        <w:rPr>
          <w:spacing w:val="-2"/>
        </w:rPr>
        <w:t> </w:t>
      </w:r>
      <w:r>
        <w:rPr/>
        <w:t>that the</w:t>
      </w:r>
      <w:r>
        <w:rPr>
          <w:spacing w:val="-2"/>
        </w:rPr>
        <w:t> </w:t>
      </w:r>
      <w:r>
        <w:rPr/>
        <w:t>speed</w:t>
      </w:r>
      <w:r>
        <w:rPr>
          <w:spacing w:val="-2"/>
        </w:rPr>
        <w:t> </w:t>
      </w:r>
      <w:r>
        <w:rPr/>
        <w:t>of</w:t>
      </w:r>
      <w:r>
        <w:rPr>
          <w:spacing w:val="-2"/>
        </w:rPr>
        <w:t> </w:t>
      </w:r>
      <w:r>
        <w:rPr/>
        <w:t>adjustment</w:t>
      </w:r>
      <w:r>
        <w:rPr>
          <w:spacing w:val="-2"/>
        </w:rPr>
        <w:t> </w:t>
      </w:r>
      <w:r>
        <w:rPr/>
        <w:t>of</w:t>
      </w:r>
      <w:r>
        <w:rPr>
          <w:spacing w:val="-2"/>
        </w:rPr>
        <w:t> </w:t>
      </w:r>
      <w:r>
        <w:rPr/>
        <w:t>any</w:t>
      </w:r>
      <w:r>
        <w:rPr>
          <w:spacing w:val="-7"/>
        </w:rPr>
        <w:t> </w:t>
      </w:r>
      <w:r>
        <w:rPr/>
        <w:t>past</w:t>
      </w:r>
      <w:r>
        <w:rPr>
          <w:spacing w:val="-2"/>
        </w:rPr>
        <w:t> </w:t>
      </w:r>
      <w:r>
        <w:rPr/>
        <w:t>deviation</w:t>
      </w:r>
      <w:r>
        <w:rPr>
          <w:spacing w:val="-2"/>
        </w:rPr>
        <w:t> </w:t>
      </w:r>
      <w:r>
        <w:rPr/>
        <w:t>to</w:t>
      </w:r>
      <w:r>
        <w:rPr>
          <w:spacing w:val="-2"/>
        </w:rPr>
        <w:t> </w:t>
      </w:r>
      <w:r>
        <w:rPr/>
        <w:t>long-run</w:t>
      </w:r>
      <w:r>
        <w:rPr>
          <w:spacing w:val="-2"/>
        </w:rPr>
        <w:t> </w:t>
      </w:r>
      <w:r>
        <w:rPr/>
        <w:t>equilibrium</w:t>
      </w:r>
      <w:r>
        <w:rPr>
          <w:spacing w:val="-2"/>
        </w:rPr>
        <w:t> </w:t>
      </w:r>
      <w:r>
        <w:rPr/>
        <w:t>in</w:t>
      </w:r>
      <w:r>
        <w:rPr>
          <w:spacing w:val="-2"/>
        </w:rPr>
        <w:t> </w:t>
      </w:r>
      <w:r>
        <w:rPr/>
        <w:t>present</w:t>
      </w:r>
      <w:r>
        <w:rPr>
          <w:spacing w:val="-2"/>
        </w:rPr>
        <w:t> </w:t>
      </w:r>
      <w:r>
        <w:rPr/>
        <w:t>period. It</w:t>
      </w:r>
      <w:r>
        <w:rPr>
          <w:spacing w:val="-2"/>
        </w:rPr>
        <w:t> </w:t>
      </w:r>
      <w:r>
        <w:rPr/>
        <w:t>therefore</w:t>
      </w:r>
      <w:r>
        <w:rPr>
          <w:spacing w:val="-1"/>
        </w:rPr>
        <w:t> </w:t>
      </w:r>
      <w:r>
        <w:rPr/>
        <w:t>indicates that the value of the GDP</w:t>
      </w:r>
      <w:r>
        <w:rPr>
          <w:spacing w:val="-1"/>
        </w:rPr>
        <w:t> </w:t>
      </w:r>
      <w:r>
        <w:rPr/>
        <w:t>adjust more</w:t>
      </w:r>
      <w:r>
        <w:rPr>
          <w:spacing w:val="-1"/>
        </w:rPr>
        <w:t> </w:t>
      </w:r>
      <w:r>
        <w:rPr/>
        <w:t>sharply</w:t>
      </w:r>
      <w:r>
        <w:rPr>
          <w:spacing w:val="-7"/>
        </w:rPr>
        <w:t> </w:t>
      </w:r>
      <w:r>
        <w:rPr/>
        <w:t>to changes in the explanatory</w:t>
      </w:r>
      <w:r>
        <w:rPr>
          <w:spacing w:val="-2"/>
        </w:rPr>
        <w:t> </w:t>
      </w:r>
      <w:r>
        <w:rPr/>
        <w:t>variables that it was in</w:t>
      </w:r>
      <w:r>
        <w:rPr>
          <w:spacing w:val="-1"/>
        </w:rPr>
        <w:t> </w:t>
      </w:r>
      <w:r>
        <w:rPr/>
        <w:t>the over- parametized model.</w:t>
      </w:r>
    </w:p>
    <w:p>
      <w:pPr>
        <w:pStyle w:val="BodyText"/>
        <w:spacing w:line="360" w:lineRule="auto"/>
        <w:ind w:left="711" w:right="472"/>
        <w:jc w:val="both"/>
      </w:pPr>
      <w:r>
        <w:rPr/>
        <w:t>Therefore, it can be deduced from the parsimonious model above that changes in the dependent variable (GDP) are determined by all the variables except DFI in the short-run while other variables and also, determines this changes in the long-run. The coefficient of multiple determinants (R</w:t>
      </w:r>
      <w:r>
        <w:rPr>
          <w:vertAlign w:val="superscript"/>
        </w:rPr>
        <w:t>2</w:t>
      </w:r>
      <w:r>
        <w:rPr>
          <w:vertAlign w:val="baseline"/>
        </w:rPr>
        <w:t>) showed an approximate value of </w:t>
      </w:r>
      <w:r>
        <w:rPr>
          <w:rFonts w:ascii="Arial MT"/>
          <w:sz w:val="20"/>
          <w:vertAlign w:val="baseline"/>
        </w:rPr>
        <w:t>0.073753 </w:t>
      </w:r>
      <w:r>
        <w:rPr>
          <w:vertAlign w:val="baseline"/>
        </w:rPr>
        <w:t>which implies that the variables that makes up the model can account for</w:t>
      </w:r>
      <w:r>
        <w:rPr>
          <w:spacing w:val="40"/>
          <w:vertAlign w:val="baseline"/>
        </w:rPr>
        <w:t> </w:t>
      </w:r>
      <w:r>
        <w:rPr>
          <w:vertAlign w:val="baseline"/>
        </w:rPr>
        <w:t>only approximately 7% of the behaviour of gross domestic product (GDP).</w:t>
      </w:r>
    </w:p>
    <w:p>
      <w:pPr>
        <w:spacing w:after="0" w:line="360" w:lineRule="auto"/>
        <w:jc w:val="both"/>
        <w:sectPr>
          <w:pgSz w:w="11910" w:h="16840"/>
          <w:pgMar w:header="0" w:footer="979" w:top="1360" w:bottom="1240" w:left="280" w:right="0"/>
        </w:sectPr>
      </w:pPr>
    </w:p>
    <w:p>
      <w:pPr>
        <w:pStyle w:val="Heading6"/>
        <w:numPr>
          <w:ilvl w:val="2"/>
          <w:numId w:val="27"/>
        </w:numPr>
        <w:tabs>
          <w:tab w:pos="1563" w:val="left" w:leader="none"/>
        </w:tabs>
        <w:spacing w:line="240" w:lineRule="auto" w:before="60" w:after="0"/>
        <w:ind w:left="1563" w:right="0" w:hanging="852"/>
        <w:jc w:val="both"/>
      </w:pPr>
      <w:bookmarkStart w:name="_TOC_250008" w:id="19"/>
      <w:r>
        <w:rPr/>
        <w:t>Tests</w:t>
      </w:r>
      <w:r>
        <w:rPr>
          <w:spacing w:val="-1"/>
        </w:rPr>
        <w:t> </w:t>
      </w:r>
      <w:r>
        <w:rPr/>
        <w:t>for</w:t>
      </w:r>
      <w:r>
        <w:rPr>
          <w:spacing w:val="-1"/>
        </w:rPr>
        <w:t> </w:t>
      </w:r>
      <w:r>
        <w:rPr/>
        <w:t>the Statistical Significance</w:t>
      </w:r>
      <w:r>
        <w:rPr>
          <w:spacing w:val="-2"/>
        </w:rPr>
        <w:t> </w:t>
      </w:r>
      <w:r>
        <w:rPr/>
        <w:t>of</w:t>
      </w:r>
      <w:r>
        <w:rPr>
          <w:spacing w:val="1"/>
        </w:rPr>
        <w:t> </w:t>
      </w:r>
      <w:bookmarkEnd w:id="19"/>
      <w:r>
        <w:rPr>
          <w:spacing w:val="-2"/>
        </w:rPr>
        <w:t>Parameters</w:t>
      </w:r>
    </w:p>
    <w:p>
      <w:pPr>
        <w:pStyle w:val="BodyText"/>
        <w:spacing w:before="1"/>
        <w:rPr>
          <w:b/>
        </w:rPr>
      </w:pPr>
    </w:p>
    <w:p>
      <w:pPr>
        <w:pStyle w:val="BodyText"/>
        <w:spacing w:line="480" w:lineRule="auto"/>
        <w:ind w:left="711" w:right="475"/>
        <w:jc w:val="both"/>
      </w:pPr>
      <w:r>
        <w:rPr/>
        <w:t>. The table below shows the results of the standard error test conducted with the level of significance of the explanatory variables in absolute terms.</w:t>
      </w:r>
    </w:p>
    <w:p>
      <w:pPr>
        <w:pStyle w:val="Heading6"/>
        <w:spacing w:before="1"/>
      </w:pPr>
      <w:r>
        <w:rPr>
          <w:rFonts w:ascii="Cambria"/>
        </w:rPr>
        <w:t>Table</w:t>
      </w:r>
      <w:r>
        <w:rPr>
          <w:rFonts w:ascii="Cambria"/>
          <w:spacing w:val="-4"/>
        </w:rPr>
        <w:t> </w:t>
      </w:r>
      <w:r>
        <w:rPr>
          <w:rFonts w:ascii="Cambria"/>
        </w:rPr>
        <w:t>4.16.3</w:t>
      </w:r>
      <w:r>
        <w:rPr>
          <w:rFonts w:ascii="Cambria"/>
          <w:spacing w:val="26"/>
        </w:rPr>
        <w:t> </w:t>
      </w:r>
      <w:r>
        <w:rPr>
          <w:rFonts w:ascii="Cambria"/>
        </w:rPr>
        <w:t>Standard</w:t>
      </w:r>
      <w:r>
        <w:rPr>
          <w:rFonts w:ascii="Cambria"/>
          <w:spacing w:val="-3"/>
        </w:rPr>
        <w:t> </w:t>
      </w:r>
      <w:r>
        <w:rPr>
          <w:rFonts w:ascii="Cambria"/>
        </w:rPr>
        <w:t>Error</w:t>
      </w:r>
      <w:r>
        <w:rPr>
          <w:rFonts w:ascii="Cambria"/>
          <w:spacing w:val="-2"/>
        </w:rPr>
        <w:t> </w:t>
      </w:r>
      <w:r>
        <w:rPr>
          <w:rFonts w:ascii="Cambria"/>
        </w:rPr>
        <w:t>Test</w:t>
      </w:r>
      <w:r>
        <w:rPr>
          <w:rFonts w:ascii="Cambria"/>
          <w:spacing w:val="-2"/>
        </w:rPr>
        <w:t> </w:t>
      </w:r>
      <w:r>
        <w:rPr>
          <w:rFonts w:ascii="Cambria"/>
        </w:rPr>
        <w:t>Model</w:t>
      </w:r>
      <w:r>
        <w:rPr>
          <w:rFonts w:ascii="Cambria"/>
          <w:spacing w:val="-2"/>
        </w:rPr>
        <w:t> </w:t>
      </w:r>
      <w:r>
        <w:rPr>
          <w:rFonts w:ascii="Cambria"/>
        </w:rPr>
        <w:t>2</w:t>
      </w:r>
      <w:r>
        <w:rPr/>
        <w:t>(World</w:t>
      </w:r>
      <w:r>
        <w:rPr>
          <w:spacing w:val="-1"/>
        </w:rPr>
        <w:t> </w:t>
      </w:r>
      <w:r>
        <w:rPr/>
        <w:t>Bank</w:t>
      </w:r>
      <w:r>
        <w:rPr>
          <w:spacing w:val="-4"/>
        </w:rPr>
        <w:t> </w:t>
      </w:r>
      <w:r>
        <w:rPr/>
        <w:t>&amp;</w:t>
      </w:r>
      <w:r>
        <w:rPr>
          <w:spacing w:val="-3"/>
        </w:rPr>
        <w:t> </w:t>
      </w:r>
      <w:r>
        <w:rPr/>
        <w:t>Erbe</w:t>
      </w:r>
      <w:r>
        <w:rPr>
          <w:spacing w:val="-3"/>
        </w:rPr>
        <w:t> </w:t>
      </w:r>
      <w:r>
        <w:rPr/>
        <w:t>1985</w:t>
      </w:r>
      <w:r>
        <w:rPr>
          <w:spacing w:val="-1"/>
        </w:rPr>
        <w:t> </w:t>
      </w:r>
      <w:r>
        <w:rPr>
          <w:spacing w:val="-2"/>
        </w:rPr>
        <w:t>approach)</w:t>
      </w:r>
    </w:p>
    <w:p>
      <w:pPr>
        <w:pStyle w:val="BodyText"/>
        <w:spacing w:before="50"/>
        <w:rPr>
          <w:b/>
          <w:sz w:val="20"/>
        </w:rPr>
      </w:pPr>
    </w:p>
    <w:tbl>
      <w:tblPr>
        <w:tblW w:w="0" w:type="auto"/>
        <w:jc w:val="left"/>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3"/>
        <w:gridCol w:w="1830"/>
        <w:gridCol w:w="1947"/>
        <w:gridCol w:w="2249"/>
        <w:gridCol w:w="1496"/>
      </w:tblGrid>
      <w:tr>
        <w:trPr>
          <w:trHeight w:val="1127" w:hRule="atLeast"/>
        </w:trPr>
        <w:tc>
          <w:tcPr>
            <w:tcW w:w="1803" w:type="dxa"/>
          </w:tcPr>
          <w:p>
            <w:pPr>
              <w:pStyle w:val="TableParagraph"/>
              <w:spacing w:before="6"/>
              <w:rPr>
                <w:b/>
                <w:sz w:val="24"/>
              </w:rPr>
            </w:pPr>
          </w:p>
          <w:p>
            <w:pPr>
              <w:pStyle w:val="TableParagraph"/>
              <w:spacing w:before="1"/>
              <w:ind w:left="8" w:right="4"/>
              <w:jc w:val="center"/>
              <w:rPr>
                <w:rFonts w:ascii="Cambria"/>
                <w:b/>
                <w:sz w:val="24"/>
              </w:rPr>
            </w:pPr>
            <w:r>
              <w:rPr>
                <w:rFonts w:ascii="Cambria"/>
                <w:b/>
                <w:spacing w:val="-2"/>
                <w:sz w:val="24"/>
              </w:rPr>
              <w:t>VARIABLES</w:t>
            </w:r>
          </w:p>
        </w:tc>
        <w:tc>
          <w:tcPr>
            <w:tcW w:w="1830" w:type="dxa"/>
          </w:tcPr>
          <w:p>
            <w:pPr>
              <w:pStyle w:val="TableParagraph"/>
              <w:spacing w:before="6"/>
              <w:rPr>
                <w:b/>
                <w:sz w:val="24"/>
              </w:rPr>
            </w:pPr>
          </w:p>
          <w:p>
            <w:pPr>
              <w:pStyle w:val="TableParagraph"/>
              <w:spacing w:before="1"/>
              <w:ind w:left="177"/>
              <w:rPr>
                <w:rFonts w:ascii="Cambria"/>
                <w:b/>
                <w:sz w:val="24"/>
              </w:rPr>
            </w:pPr>
            <w:r>
              <w:rPr>
                <w:rFonts w:ascii="Cambria"/>
                <w:b/>
                <w:spacing w:val="-2"/>
                <w:sz w:val="24"/>
              </w:rPr>
              <w:t>COEFFICIENT</w:t>
            </w:r>
          </w:p>
        </w:tc>
        <w:tc>
          <w:tcPr>
            <w:tcW w:w="1947" w:type="dxa"/>
          </w:tcPr>
          <w:p>
            <w:pPr>
              <w:pStyle w:val="TableParagraph"/>
              <w:spacing w:before="6"/>
              <w:rPr>
                <w:b/>
                <w:sz w:val="24"/>
              </w:rPr>
            </w:pPr>
          </w:p>
          <w:p>
            <w:pPr>
              <w:pStyle w:val="TableParagraph"/>
              <w:spacing w:before="1"/>
              <w:ind w:left="4"/>
              <w:jc w:val="center"/>
              <w:rPr>
                <w:rFonts w:ascii="Cambria"/>
                <w:b/>
                <w:sz w:val="24"/>
              </w:rPr>
            </w:pPr>
            <w:r>
              <w:rPr>
                <w:rFonts w:ascii="Cambria"/>
                <w:b/>
                <w:spacing w:val="-2"/>
                <w:sz w:val="24"/>
              </w:rPr>
              <w:t>COEFFICIENT/2</w:t>
            </w:r>
          </w:p>
        </w:tc>
        <w:tc>
          <w:tcPr>
            <w:tcW w:w="2249" w:type="dxa"/>
          </w:tcPr>
          <w:p>
            <w:pPr>
              <w:pStyle w:val="TableParagraph"/>
              <w:spacing w:before="2"/>
              <w:ind w:left="6"/>
              <w:jc w:val="center"/>
              <w:rPr>
                <w:rFonts w:ascii="Cambria"/>
                <w:b/>
                <w:sz w:val="24"/>
              </w:rPr>
            </w:pPr>
            <w:r>
              <w:rPr>
                <w:rFonts w:ascii="Cambria"/>
                <w:b/>
                <w:spacing w:val="-2"/>
                <w:sz w:val="24"/>
              </w:rPr>
              <w:t>STANDARD</w:t>
            </w:r>
          </w:p>
          <w:p>
            <w:pPr>
              <w:pStyle w:val="TableParagraph"/>
              <w:spacing w:before="4"/>
              <w:rPr>
                <w:b/>
                <w:sz w:val="24"/>
              </w:rPr>
            </w:pPr>
          </w:p>
          <w:p>
            <w:pPr>
              <w:pStyle w:val="TableParagraph"/>
              <w:ind w:left="6" w:right="2"/>
              <w:jc w:val="center"/>
              <w:rPr>
                <w:rFonts w:ascii="Cambria"/>
                <w:b/>
                <w:sz w:val="24"/>
              </w:rPr>
            </w:pPr>
            <w:r>
              <w:rPr>
                <w:rFonts w:ascii="Cambria"/>
                <w:b/>
                <w:spacing w:val="-2"/>
                <w:sz w:val="24"/>
              </w:rPr>
              <w:t>ERROR</w:t>
            </w:r>
          </w:p>
        </w:tc>
        <w:tc>
          <w:tcPr>
            <w:tcW w:w="1496" w:type="dxa"/>
          </w:tcPr>
          <w:p>
            <w:pPr>
              <w:pStyle w:val="TableParagraph"/>
              <w:spacing w:before="6"/>
              <w:rPr>
                <w:b/>
                <w:sz w:val="24"/>
              </w:rPr>
            </w:pPr>
          </w:p>
          <w:p>
            <w:pPr>
              <w:pStyle w:val="TableParagraph"/>
              <w:spacing w:before="1"/>
              <w:ind w:left="9" w:right="5"/>
              <w:jc w:val="center"/>
              <w:rPr>
                <w:rFonts w:ascii="Cambria"/>
                <w:b/>
                <w:sz w:val="24"/>
              </w:rPr>
            </w:pPr>
            <w:r>
              <w:rPr>
                <w:rFonts w:ascii="Cambria"/>
                <w:b/>
                <w:spacing w:val="-2"/>
                <w:sz w:val="24"/>
              </w:rPr>
              <w:t>DECISION</w:t>
            </w:r>
          </w:p>
        </w:tc>
      </w:tr>
      <w:tr>
        <w:trPr>
          <w:trHeight w:val="561" w:hRule="atLeast"/>
        </w:trPr>
        <w:tc>
          <w:tcPr>
            <w:tcW w:w="1803" w:type="dxa"/>
          </w:tcPr>
          <w:p>
            <w:pPr>
              <w:pStyle w:val="TableParagraph"/>
              <w:spacing w:line="229" w:lineRule="exact"/>
              <w:ind w:left="8" w:right="2"/>
              <w:jc w:val="center"/>
              <w:rPr>
                <w:rFonts w:ascii="Arial MT" w:hAnsi="Arial MT"/>
                <w:sz w:val="20"/>
              </w:rPr>
            </w:pPr>
            <w:r>
              <w:rPr>
                <w:rFonts w:ascii="Arial MT" w:hAnsi="Arial MT"/>
                <w:spacing w:val="-2"/>
                <w:sz w:val="20"/>
              </w:rPr>
              <w:t>δEXTDEBT</w:t>
            </w:r>
          </w:p>
        </w:tc>
        <w:tc>
          <w:tcPr>
            <w:tcW w:w="1830" w:type="dxa"/>
          </w:tcPr>
          <w:p>
            <w:pPr>
              <w:pStyle w:val="TableParagraph"/>
              <w:spacing w:line="275" w:lineRule="exact"/>
              <w:ind w:right="101"/>
              <w:jc w:val="right"/>
              <w:rPr>
                <w:i/>
                <w:sz w:val="24"/>
              </w:rPr>
            </w:pPr>
            <w:r>
              <w:rPr>
                <w:i/>
                <w:spacing w:val="-2"/>
                <w:sz w:val="24"/>
              </w:rPr>
              <w:t>0.039389</w:t>
            </w:r>
          </w:p>
        </w:tc>
        <w:tc>
          <w:tcPr>
            <w:tcW w:w="1947" w:type="dxa"/>
          </w:tcPr>
          <w:p>
            <w:pPr>
              <w:pStyle w:val="TableParagraph"/>
              <w:spacing w:line="281" w:lineRule="exact"/>
              <w:ind w:left="4" w:right="2"/>
              <w:jc w:val="center"/>
              <w:rPr>
                <w:rFonts w:ascii="Cambria"/>
                <w:sz w:val="24"/>
              </w:rPr>
            </w:pPr>
            <w:r>
              <w:rPr>
                <w:rFonts w:ascii="Cambria"/>
                <w:spacing w:val="-2"/>
                <w:sz w:val="24"/>
              </w:rPr>
              <w:t>0.0196945</w:t>
            </w:r>
          </w:p>
        </w:tc>
        <w:tc>
          <w:tcPr>
            <w:tcW w:w="2249" w:type="dxa"/>
          </w:tcPr>
          <w:p>
            <w:pPr>
              <w:pStyle w:val="TableParagraph"/>
              <w:ind w:left="558"/>
              <w:rPr>
                <w:sz w:val="20"/>
              </w:rPr>
            </w:pPr>
            <w:r>
              <w:rPr>
                <w:spacing w:val="-2"/>
                <w:sz w:val="20"/>
              </w:rPr>
              <w:t>0.03457</w:t>
            </w:r>
          </w:p>
        </w:tc>
        <w:tc>
          <w:tcPr>
            <w:tcW w:w="1496" w:type="dxa"/>
          </w:tcPr>
          <w:p>
            <w:pPr>
              <w:pStyle w:val="TableParagraph"/>
              <w:spacing w:line="281" w:lineRule="exact"/>
              <w:ind w:left="9" w:right="3"/>
              <w:jc w:val="center"/>
              <w:rPr>
                <w:rFonts w:ascii="Cambria"/>
                <w:sz w:val="24"/>
              </w:rPr>
            </w:pPr>
            <w:r>
              <w:rPr>
                <w:rFonts w:ascii="Cambria"/>
                <w:spacing w:val="-2"/>
                <w:sz w:val="24"/>
              </w:rPr>
              <w:t>Insignificant</w:t>
            </w:r>
          </w:p>
        </w:tc>
      </w:tr>
      <w:tr>
        <w:trPr>
          <w:trHeight w:val="563" w:hRule="atLeast"/>
        </w:trPr>
        <w:tc>
          <w:tcPr>
            <w:tcW w:w="1803" w:type="dxa"/>
          </w:tcPr>
          <w:p>
            <w:pPr>
              <w:pStyle w:val="TableParagraph"/>
              <w:spacing w:line="229" w:lineRule="exact"/>
              <w:ind w:left="8" w:right="1"/>
              <w:jc w:val="center"/>
              <w:rPr>
                <w:rFonts w:ascii="Arial MT"/>
                <w:sz w:val="20"/>
              </w:rPr>
            </w:pPr>
            <w:r>
              <w:rPr>
                <w:rFonts w:ascii="Arial MT"/>
                <w:spacing w:val="-5"/>
                <w:sz w:val="20"/>
              </w:rPr>
              <w:t>DFI</w:t>
            </w:r>
          </w:p>
        </w:tc>
        <w:tc>
          <w:tcPr>
            <w:tcW w:w="1830" w:type="dxa"/>
          </w:tcPr>
          <w:p>
            <w:pPr>
              <w:pStyle w:val="TableParagraph"/>
              <w:spacing w:line="275" w:lineRule="exact"/>
              <w:ind w:right="101"/>
              <w:jc w:val="right"/>
              <w:rPr>
                <w:i/>
                <w:sz w:val="24"/>
              </w:rPr>
            </w:pPr>
            <w:r>
              <w:rPr>
                <w:i/>
                <w:sz w:val="20"/>
              </w:rPr>
              <w:t>- </w:t>
            </w:r>
            <w:r>
              <w:rPr>
                <w:i/>
                <w:spacing w:val="-2"/>
                <w:sz w:val="24"/>
              </w:rPr>
              <w:t>0.796985</w:t>
            </w:r>
          </w:p>
        </w:tc>
        <w:tc>
          <w:tcPr>
            <w:tcW w:w="1947" w:type="dxa"/>
          </w:tcPr>
          <w:p>
            <w:pPr>
              <w:pStyle w:val="TableParagraph"/>
              <w:spacing w:line="281" w:lineRule="exact"/>
              <w:ind w:left="4" w:right="2"/>
              <w:jc w:val="center"/>
              <w:rPr>
                <w:rFonts w:ascii="Cambria"/>
                <w:sz w:val="24"/>
              </w:rPr>
            </w:pPr>
            <w:r>
              <w:rPr>
                <w:rFonts w:ascii="Cambria"/>
                <w:spacing w:val="-2"/>
                <w:sz w:val="24"/>
              </w:rPr>
              <w:t>0.3984925</w:t>
            </w:r>
          </w:p>
        </w:tc>
        <w:tc>
          <w:tcPr>
            <w:tcW w:w="2249" w:type="dxa"/>
          </w:tcPr>
          <w:p>
            <w:pPr>
              <w:pStyle w:val="TableParagraph"/>
              <w:ind w:left="608"/>
              <w:rPr>
                <w:sz w:val="20"/>
              </w:rPr>
            </w:pPr>
            <w:r>
              <w:rPr>
                <w:spacing w:val="-2"/>
                <w:sz w:val="20"/>
              </w:rPr>
              <w:t>0.10911</w:t>
            </w:r>
          </w:p>
        </w:tc>
        <w:tc>
          <w:tcPr>
            <w:tcW w:w="1496" w:type="dxa"/>
          </w:tcPr>
          <w:p>
            <w:pPr>
              <w:pStyle w:val="TableParagraph"/>
              <w:spacing w:line="281" w:lineRule="exact"/>
              <w:ind w:left="9"/>
              <w:jc w:val="center"/>
              <w:rPr>
                <w:rFonts w:ascii="Cambria"/>
                <w:sz w:val="24"/>
              </w:rPr>
            </w:pPr>
            <w:r>
              <w:rPr>
                <w:rFonts w:ascii="Cambria"/>
                <w:spacing w:val="-2"/>
                <w:sz w:val="24"/>
              </w:rPr>
              <w:t>Significant</w:t>
            </w:r>
          </w:p>
        </w:tc>
      </w:tr>
      <w:tr>
        <w:trPr>
          <w:trHeight w:val="561" w:hRule="atLeast"/>
        </w:trPr>
        <w:tc>
          <w:tcPr>
            <w:tcW w:w="1803" w:type="dxa"/>
          </w:tcPr>
          <w:p>
            <w:pPr>
              <w:pStyle w:val="TableParagraph"/>
              <w:spacing w:line="229" w:lineRule="exact"/>
              <w:ind w:left="8"/>
              <w:jc w:val="center"/>
              <w:rPr>
                <w:rFonts w:ascii="Arial MT"/>
                <w:sz w:val="20"/>
              </w:rPr>
            </w:pPr>
            <w:r>
              <w:rPr>
                <w:rFonts w:ascii="Arial MT"/>
                <w:spacing w:val="-5"/>
                <w:sz w:val="20"/>
              </w:rPr>
              <w:t>CAB</w:t>
            </w:r>
          </w:p>
        </w:tc>
        <w:tc>
          <w:tcPr>
            <w:tcW w:w="1830" w:type="dxa"/>
          </w:tcPr>
          <w:p>
            <w:pPr>
              <w:pStyle w:val="TableParagraph"/>
              <w:spacing w:line="275" w:lineRule="exact"/>
              <w:ind w:right="101"/>
              <w:jc w:val="right"/>
              <w:rPr>
                <w:i/>
                <w:sz w:val="24"/>
              </w:rPr>
            </w:pPr>
            <w:r>
              <w:rPr>
                <w:i/>
                <w:spacing w:val="-2"/>
                <w:sz w:val="24"/>
              </w:rPr>
              <w:t>0.174985</w:t>
            </w:r>
          </w:p>
        </w:tc>
        <w:tc>
          <w:tcPr>
            <w:tcW w:w="1947" w:type="dxa"/>
          </w:tcPr>
          <w:p>
            <w:pPr>
              <w:pStyle w:val="TableParagraph"/>
              <w:spacing w:line="281" w:lineRule="exact"/>
              <w:ind w:left="4" w:right="2"/>
              <w:jc w:val="center"/>
              <w:rPr>
                <w:rFonts w:ascii="Cambria"/>
                <w:sz w:val="24"/>
              </w:rPr>
            </w:pPr>
            <w:r>
              <w:rPr>
                <w:rFonts w:ascii="Cambria"/>
                <w:spacing w:val="-2"/>
                <w:sz w:val="24"/>
              </w:rPr>
              <w:t>0.0874925</w:t>
            </w:r>
          </w:p>
        </w:tc>
        <w:tc>
          <w:tcPr>
            <w:tcW w:w="2249" w:type="dxa"/>
          </w:tcPr>
          <w:p>
            <w:pPr>
              <w:pStyle w:val="TableParagraph"/>
              <w:ind w:left="608"/>
              <w:rPr>
                <w:sz w:val="20"/>
              </w:rPr>
            </w:pPr>
            <w:r>
              <w:rPr>
                <w:spacing w:val="-2"/>
                <w:sz w:val="20"/>
              </w:rPr>
              <w:t>0.10106</w:t>
            </w:r>
          </w:p>
        </w:tc>
        <w:tc>
          <w:tcPr>
            <w:tcW w:w="1496" w:type="dxa"/>
          </w:tcPr>
          <w:p>
            <w:pPr>
              <w:pStyle w:val="TableParagraph"/>
              <w:spacing w:line="281" w:lineRule="exact"/>
              <w:ind w:left="9" w:right="3"/>
              <w:jc w:val="center"/>
              <w:rPr>
                <w:rFonts w:ascii="Cambria"/>
                <w:sz w:val="24"/>
              </w:rPr>
            </w:pPr>
            <w:r>
              <w:rPr>
                <w:rFonts w:ascii="Cambria"/>
                <w:spacing w:val="-2"/>
                <w:sz w:val="24"/>
              </w:rPr>
              <w:t>Insignificant</w:t>
            </w:r>
          </w:p>
        </w:tc>
      </w:tr>
      <w:tr>
        <w:trPr>
          <w:trHeight w:val="779" w:hRule="atLeast"/>
        </w:trPr>
        <w:tc>
          <w:tcPr>
            <w:tcW w:w="1803" w:type="dxa"/>
          </w:tcPr>
          <w:p>
            <w:pPr>
              <w:pStyle w:val="TableParagraph"/>
              <w:spacing w:line="229" w:lineRule="exact"/>
              <w:ind w:left="8" w:right="3"/>
              <w:jc w:val="center"/>
              <w:rPr>
                <w:rFonts w:ascii="Arial MT" w:hAnsi="Arial MT"/>
                <w:sz w:val="20"/>
              </w:rPr>
            </w:pPr>
            <w:r>
              <w:rPr>
                <w:rFonts w:ascii="Arial MT" w:hAnsi="Arial MT"/>
                <w:spacing w:val="-4"/>
                <w:w w:val="95"/>
                <w:sz w:val="20"/>
              </w:rPr>
              <w:t>δRES</w:t>
            </w:r>
          </w:p>
        </w:tc>
        <w:tc>
          <w:tcPr>
            <w:tcW w:w="1830" w:type="dxa"/>
          </w:tcPr>
          <w:p>
            <w:pPr>
              <w:pStyle w:val="TableParagraph"/>
              <w:spacing w:before="1"/>
              <w:ind w:right="101"/>
              <w:jc w:val="right"/>
              <w:rPr>
                <w:i/>
                <w:sz w:val="24"/>
              </w:rPr>
            </w:pPr>
            <w:r>
              <w:rPr>
                <w:i/>
                <w:spacing w:val="-2"/>
                <w:sz w:val="24"/>
              </w:rPr>
              <w:t>0.595361</w:t>
            </w:r>
          </w:p>
        </w:tc>
        <w:tc>
          <w:tcPr>
            <w:tcW w:w="1947" w:type="dxa"/>
          </w:tcPr>
          <w:p>
            <w:pPr>
              <w:pStyle w:val="TableParagraph"/>
              <w:spacing w:before="107"/>
              <w:ind w:left="4" w:right="2"/>
              <w:jc w:val="center"/>
              <w:rPr>
                <w:rFonts w:ascii="Cambria"/>
                <w:sz w:val="24"/>
              </w:rPr>
            </w:pPr>
            <w:r>
              <w:rPr>
                <w:rFonts w:ascii="Cambria"/>
                <w:spacing w:val="-2"/>
                <w:sz w:val="24"/>
              </w:rPr>
              <w:t>0.2976805</w:t>
            </w:r>
          </w:p>
        </w:tc>
        <w:tc>
          <w:tcPr>
            <w:tcW w:w="2249" w:type="dxa"/>
          </w:tcPr>
          <w:p>
            <w:pPr>
              <w:pStyle w:val="TableParagraph"/>
              <w:ind w:left="608"/>
              <w:rPr>
                <w:sz w:val="20"/>
              </w:rPr>
            </w:pPr>
            <w:r>
              <w:rPr>
                <w:spacing w:val="-2"/>
                <w:sz w:val="20"/>
              </w:rPr>
              <w:t>0.12391</w:t>
            </w:r>
          </w:p>
        </w:tc>
        <w:tc>
          <w:tcPr>
            <w:tcW w:w="1496" w:type="dxa"/>
          </w:tcPr>
          <w:p>
            <w:pPr>
              <w:pStyle w:val="TableParagraph"/>
              <w:spacing w:before="107"/>
              <w:ind w:left="9" w:right="1"/>
              <w:jc w:val="center"/>
              <w:rPr>
                <w:rFonts w:ascii="Cambria"/>
                <w:sz w:val="24"/>
              </w:rPr>
            </w:pPr>
            <w:r>
              <w:rPr>
                <w:rFonts w:ascii="Cambria"/>
                <w:spacing w:val="-2"/>
                <w:sz w:val="24"/>
              </w:rPr>
              <w:t>Significant</w:t>
            </w:r>
          </w:p>
        </w:tc>
      </w:tr>
    </w:tbl>
    <w:p>
      <w:pPr>
        <w:pStyle w:val="BodyText"/>
        <w:spacing w:before="1"/>
        <w:ind w:left="711"/>
        <w:jc w:val="both"/>
        <w:rPr>
          <w:b/>
        </w:rPr>
      </w:pPr>
      <w:r>
        <w:rPr/>
        <w:t>Source:</w:t>
      </w:r>
      <w:r>
        <w:rPr>
          <w:spacing w:val="-4"/>
        </w:rPr>
        <w:t> </w:t>
      </w:r>
      <w:r>
        <w:rPr/>
        <w:t>Computation,</w:t>
      </w:r>
      <w:r>
        <w:rPr>
          <w:spacing w:val="-1"/>
        </w:rPr>
        <w:t> </w:t>
      </w:r>
      <w:r>
        <w:rPr/>
        <w:t>using</w:t>
      </w:r>
      <w:r>
        <w:rPr>
          <w:spacing w:val="-4"/>
        </w:rPr>
        <w:t> </w:t>
      </w:r>
      <w:r>
        <w:rPr/>
        <w:t>E-view</w:t>
      </w:r>
      <w:r>
        <w:rPr>
          <w:spacing w:val="-2"/>
        </w:rPr>
        <w:t> </w:t>
      </w:r>
      <w:r>
        <w:rPr/>
        <w:t>statistical</w:t>
      </w:r>
      <w:r>
        <w:rPr>
          <w:spacing w:val="-1"/>
        </w:rPr>
        <w:t> </w:t>
      </w:r>
      <w:r>
        <w:rPr>
          <w:spacing w:val="-2"/>
        </w:rPr>
        <w:t>package</w:t>
      </w:r>
      <w:r>
        <w:rPr>
          <w:b/>
          <w:spacing w:val="-2"/>
        </w:rPr>
        <w:t>.</w:t>
      </w:r>
    </w:p>
    <w:p>
      <w:pPr>
        <w:pStyle w:val="BodyText"/>
        <w:rPr>
          <w:b/>
        </w:rPr>
      </w:pPr>
    </w:p>
    <w:p>
      <w:pPr>
        <w:spacing w:line="480" w:lineRule="auto" w:before="0"/>
        <w:ind w:left="711" w:right="472" w:firstLine="0"/>
        <w:jc w:val="both"/>
        <w:rPr>
          <w:sz w:val="20"/>
        </w:rPr>
      </w:pPr>
      <w:r>
        <w:rPr>
          <w:sz w:val="24"/>
        </w:rPr>
        <w:t>Two out of the independent variables are statisticaly significant in explaning the behaviour of GDP. These variables are: </w:t>
      </w:r>
      <w:r>
        <w:rPr>
          <w:sz w:val="20"/>
        </w:rPr>
        <w:t>DFI and δRES, δEXTDEBT and CAB are however not statisticaly significant in explaning the behaviour of the dependent</w:t>
      </w:r>
      <w:r>
        <w:rPr>
          <w:spacing w:val="-1"/>
          <w:sz w:val="20"/>
        </w:rPr>
        <w:t> </w:t>
      </w:r>
      <w:r>
        <w:rPr>
          <w:sz w:val="20"/>
        </w:rPr>
        <w:t>variable</w:t>
      </w:r>
      <w:r>
        <w:rPr>
          <w:spacing w:val="-1"/>
          <w:sz w:val="20"/>
        </w:rPr>
        <w:t> </w:t>
      </w:r>
      <w:r>
        <w:rPr>
          <w:sz w:val="20"/>
        </w:rPr>
        <w:t>(GDP) </w:t>
      </w:r>
      <w:r>
        <w:rPr>
          <w:sz w:val="24"/>
        </w:rPr>
        <w:t>.</w:t>
      </w:r>
      <w:r>
        <w:rPr>
          <w:spacing w:val="-1"/>
          <w:sz w:val="24"/>
        </w:rPr>
        <w:t> </w:t>
      </w:r>
      <w:r>
        <w:rPr>
          <w:sz w:val="24"/>
        </w:rPr>
        <w:t>This</w:t>
      </w:r>
      <w:r>
        <w:rPr>
          <w:spacing w:val="-1"/>
          <w:sz w:val="24"/>
        </w:rPr>
        <w:t> </w:t>
      </w:r>
      <w:r>
        <w:rPr>
          <w:sz w:val="24"/>
        </w:rPr>
        <w:t>confirmed</w:t>
      </w:r>
      <w:r>
        <w:rPr>
          <w:spacing w:val="-2"/>
          <w:sz w:val="24"/>
        </w:rPr>
        <w:t> </w:t>
      </w:r>
      <w:r>
        <w:rPr>
          <w:sz w:val="24"/>
        </w:rPr>
        <w:t>that </w:t>
      </w:r>
      <w:r>
        <w:rPr>
          <w:sz w:val="20"/>
        </w:rPr>
        <w:t>δEXTDEBT and CAB </w:t>
      </w:r>
      <w:r>
        <w:rPr>
          <w:sz w:val="24"/>
        </w:rPr>
        <w:t>impacted</w:t>
      </w:r>
      <w:r>
        <w:rPr>
          <w:spacing w:val="-1"/>
          <w:sz w:val="24"/>
        </w:rPr>
        <w:t> </w:t>
      </w:r>
      <w:r>
        <w:rPr>
          <w:sz w:val="24"/>
        </w:rPr>
        <w:t>negatively</w:t>
      </w:r>
      <w:r>
        <w:rPr>
          <w:spacing w:val="-6"/>
          <w:sz w:val="24"/>
        </w:rPr>
        <w:t> </w:t>
      </w:r>
      <w:r>
        <w:rPr>
          <w:sz w:val="24"/>
        </w:rPr>
        <w:t>on the economic growth during the coverage of this study while DFI and δRES </w:t>
      </w:r>
      <w:r>
        <w:rPr>
          <w:sz w:val="20"/>
        </w:rPr>
        <w:t>impact positively.</w:t>
      </w:r>
    </w:p>
    <w:p>
      <w:pPr>
        <w:pStyle w:val="BodyText"/>
        <w:spacing w:line="477" w:lineRule="auto"/>
        <w:ind w:left="711" w:right="469"/>
        <w:jc w:val="both"/>
      </w:pPr>
      <w:r>
        <w:rPr>
          <w:b/>
          <w:position w:val="2"/>
        </w:rPr>
        <w:t>Validation and testing of hypotheses</w:t>
      </w:r>
      <w:r>
        <w:rPr>
          <w:position w:val="2"/>
        </w:rPr>
        <w:t>: The</w:t>
      </w:r>
      <w:r>
        <w:rPr>
          <w:spacing w:val="-1"/>
          <w:position w:val="2"/>
        </w:rPr>
        <w:t> </w:t>
      </w:r>
      <w:r>
        <w:rPr>
          <w:position w:val="2"/>
        </w:rPr>
        <w:t>second hypothesis (Ho</w:t>
      </w:r>
      <w:r>
        <w:rPr>
          <w:sz w:val="16"/>
        </w:rPr>
        <w:t>2</w:t>
      </w:r>
      <w:r>
        <w:rPr>
          <w:position w:val="2"/>
        </w:rPr>
        <w:t>)</w:t>
      </w:r>
      <w:r>
        <w:rPr>
          <w:spacing w:val="-1"/>
          <w:position w:val="2"/>
        </w:rPr>
        <w:t> </w:t>
      </w:r>
      <w:r>
        <w:rPr>
          <w:position w:val="2"/>
        </w:rPr>
        <w:t>was tested</w:t>
      </w:r>
      <w:r>
        <w:rPr>
          <w:spacing w:val="-1"/>
          <w:position w:val="2"/>
        </w:rPr>
        <w:t> </w:t>
      </w:r>
      <w:r>
        <w:rPr>
          <w:position w:val="2"/>
        </w:rPr>
        <w:t>under the</w:t>
      </w:r>
      <w:r>
        <w:rPr>
          <w:spacing w:val="-1"/>
          <w:position w:val="2"/>
        </w:rPr>
        <w:t> </w:t>
      </w:r>
      <w:r>
        <w:rPr>
          <w:position w:val="2"/>
        </w:rPr>
        <w:t>Morgan Guaranty </w:t>
      </w:r>
      <w:r>
        <w:rPr/>
        <w:t>Trust version of (1986) of model 2. The hypothesis tested the ecffect of capital flight on economic growth.</w:t>
      </w:r>
    </w:p>
    <w:p>
      <w:pPr>
        <w:pStyle w:val="BodyText"/>
        <w:spacing w:before="4"/>
        <w:ind w:left="711"/>
        <w:jc w:val="both"/>
      </w:pPr>
      <w:r>
        <w:rPr/>
        <w:t>The</w:t>
      </w:r>
      <w:r>
        <w:rPr>
          <w:spacing w:val="-3"/>
        </w:rPr>
        <w:t> </w:t>
      </w:r>
      <w:r>
        <w:rPr/>
        <w:t>hypothesis is re-stated</w:t>
      </w:r>
      <w:r>
        <w:rPr>
          <w:spacing w:val="-1"/>
        </w:rPr>
        <w:t> </w:t>
      </w:r>
      <w:r>
        <w:rPr/>
        <w:t>in</w:t>
      </w:r>
      <w:r>
        <w:rPr>
          <w:spacing w:val="1"/>
        </w:rPr>
        <w:t> </w:t>
      </w:r>
      <w:r>
        <w:rPr/>
        <w:t>the null</w:t>
      </w:r>
      <w:r>
        <w:rPr>
          <w:spacing w:val="-1"/>
        </w:rPr>
        <w:t> </w:t>
      </w:r>
      <w:r>
        <w:rPr/>
        <w:t>form as </w:t>
      </w:r>
      <w:r>
        <w:rPr>
          <w:spacing w:val="-2"/>
        </w:rPr>
        <w:t>follows;</w:t>
      </w:r>
    </w:p>
    <w:p>
      <w:pPr>
        <w:pStyle w:val="Heading6"/>
        <w:spacing w:before="275"/>
        <w:rPr>
          <w:b w:val="0"/>
        </w:rPr>
      </w:pPr>
      <w:r>
        <w:rPr>
          <w:position w:val="1"/>
        </w:rPr>
        <w:t>H</w:t>
      </w:r>
      <w:r>
        <w:rPr>
          <w:sz w:val="16"/>
        </w:rPr>
        <w:t>02</w:t>
      </w:r>
      <w:r>
        <w:rPr>
          <w:position w:val="1"/>
        </w:rPr>
        <w:t>:</w:t>
      </w:r>
      <w:r>
        <w:rPr>
          <w:spacing w:val="57"/>
          <w:position w:val="1"/>
        </w:rPr>
        <w:t>  </w:t>
      </w:r>
      <w:r>
        <w:rPr>
          <w:position w:val="1"/>
        </w:rPr>
        <w:t>Capital</w:t>
      </w:r>
      <w:r>
        <w:rPr>
          <w:spacing w:val="-1"/>
          <w:position w:val="1"/>
        </w:rPr>
        <w:t> </w:t>
      </w:r>
      <w:r>
        <w:rPr>
          <w:position w:val="1"/>
        </w:rPr>
        <w:t>flight</w:t>
      </w:r>
      <w:r>
        <w:rPr>
          <w:spacing w:val="-1"/>
          <w:position w:val="1"/>
        </w:rPr>
        <w:t> </w:t>
      </w:r>
      <w:r>
        <w:rPr>
          <w:position w:val="1"/>
        </w:rPr>
        <w:t>has</w:t>
      </w:r>
      <w:r>
        <w:rPr>
          <w:spacing w:val="-3"/>
          <w:position w:val="1"/>
        </w:rPr>
        <w:t> </w:t>
      </w:r>
      <w:r>
        <w:rPr>
          <w:position w:val="1"/>
        </w:rPr>
        <w:t>no</w:t>
      </w:r>
      <w:r>
        <w:rPr>
          <w:spacing w:val="-1"/>
          <w:position w:val="1"/>
        </w:rPr>
        <w:t> </w:t>
      </w:r>
      <w:r>
        <w:rPr>
          <w:position w:val="1"/>
        </w:rPr>
        <w:t>significant</w:t>
      </w:r>
      <w:r>
        <w:rPr>
          <w:spacing w:val="-1"/>
          <w:position w:val="1"/>
        </w:rPr>
        <w:t> </w:t>
      </w:r>
      <w:r>
        <w:rPr>
          <w:position w:val="1"/>
        </w:rPr>
        <w:t>effect</w:t>
      </w:r>
      <w:r>
        <w:rPr>
          <w:spacing w:val="-2"/>
          <w:position w:val="1"/>
        </w:rPr>
        <w:t> </w:t>
      </w:r>
      <w:r>
        <w:rPr>
          <w:position w:val="1"/>
        </w:rPr>
        <w:t>on</w:t>
      </w:r>
      <w:r>
        <w:rPr>
          <w:spacing w:val="1"/>
          <w:position w:val="1"/>
        </w:rPr>
        <w:t> </w:t>
      </w:r>
      <w:r>
        <w:rPr>
          <w:position w:val="1"/>
        </w:rPr>
        <w:t>the</w:t>
      </w:r>
      <w:r>
        <w:rPr>
          <w:spacing w:val="-2"/>
          <w:position w:val="1"/>
        </w:rPr>
        <w:t> </w:t>
      </w:r>
      <w:r>
        <w:rPr>
          <w:position w:val="1"/>
        </w:rPr>
        <w:t>Nigeria’s</w:t>
      </w:r>
      <w:r>
        <w:rPr>
          <w:spacing w:val="1"/>
          <w:position w:val="1"/>
        </w:rPr>
        <w:t> </w:t>
      </w:r>
      <w:r>
        <w:rPr>
          <w:position w:val="1"/>
        </w:rPr>
        <w:t>economic</w:t>
      </w:r>
      <w:r>
        <w:rPr>
          <w:spacing w:val="1"/>
          <w:position w:val="1"/>
        </w:rPr>
        <w:t> </w:t>
      </w:r>
      <w:r>
        <w:rPr>
          <w:spacing w:val="-2"/>
          <w:position w:val="1"/>
        </w:rPr>
        <w:t>growth</w:t>
      </w:r>
      <w:r>
        <w:rPr>
          <w:b w:val="0"/>
          <w:spacing w:val="-2"/>
          <w:position w:val="1"/>
        </w:rPr>
        <w:t>.</w:t>
      </w:r>
    </w:p>
    <w:p>
      <w:pPr>
        <w:spacing w:line="480" w:lineRule="auto" w:before="275"/>
        <w:ind w:left="711" w:right="472" w:firstLine="0"/>
        <w:jc w:val="both"/>
        <w:rPr>
          <w:sz w:val="24"/>
        </w:rPr>
      </w:pPr>
      <w:r>
        <w:rPr>
          <w:sz w:val="24"/>
        </w:rPr>
        <w:t>Since DFI and </w:t>
      </w:r>
      <w:r>
        <w:rPr>
          <w:rFonts w:ascii="Arial MT" w:hAnsi="Arial MT"/>
          <w:sz w:val="20"/>
        </w:rPr>
        <w:t>δRES </w:t>
      </w:r>
      <w:r>
        <w:rPr>
          <w:sz w:val="24"/>
        </w:rPr>
        <w:t>are significant and these variables are economic, it is concluded that they impact positively</w:t>
      </w:r>
      <w:r>
        <w:rPr>
          <w:spacing w:val="-13"/>
          <w:sz w:val="24"/>
        </w:rPr>
        <w:t> </w:t>
      </w:r>
      <w:r>
        <w:rPr>
          <w:sz w:val="24"/>
        </w:rPr>
        <w:t>on</w:t>
      </w:r>
      <w:r>
        <w:rPr>
          <w:spacing w:val="-9"/>
          <w:sz w:val="24"/>
        </w:rPr>
        <w:t> </w:t>
      </w:r>
      <w:r>
        <w:rPr>
          <w:sz w:val="24"/>
        </w:rPr>
        <w:t>economic</w:t>
      </w:r>
      <w:r>
        <w:rPr>
          <w:spacing w:val="-6"/>
          <w:sz w:val="24"/>
        </w:rPr>
        <w:t> </w:t>
      </w:r>
      <w:r>
        <w:rPr>
          <w:sz w:val="24"/>
        </w:rPr>
        <w:t>growth;</w:t>
      </w:r>
      <w:r>
        <w:rPr>
          <w:spacing w:val="-8"/>
          <w:sz w:val="24"/>
        </w:rPr>
        <w:t> </w:t>
      </w:r>
      <w:r>
        <w:rPr>
          <w:sz w:val="24"/>
        </w:rPr>
        <w:t>hence</w:t>
      </w:r>
      <w:r>
        <w:rPr>
          <w:spacing w:val="-8"/>
          <w:sz w:val="24"/>
        </w:rPr>
        <w:t> </w:t>
      </w:r>
      <w:r>
        <w:rPr>
          <w:sz w:val="24"/>
        </w:rPr>
        <w:t>the</w:t>
      </w:r>
      <w:r>
        <w:rPr>
          <w:spacing w:val="-9"/>
          <w:sz w:val="24"/>
        </w:rPr>
        <w:t> </w:t>
      </w:r>
      <w:r>
        <w:rPr>
          <w:sz w:val="24"/>
        </w:rPr>
        <w:t>alternative</w:t>
      </w:r>
      <w:r>
        <w:rPr>
          <w:spacing w:val="-10"/>
          <w:sz w:val="24"/>
        </w:rPr>
        <w:t> </w:t>
      </w:r>
      <w:r>
        <w:rPr>
          <w:sz w:val="24"/>
        </w:rPr>
        <w:t>hypothesis</w:t>
      </w:r>
      <w:r>
        <w:rPr>
          <w:spacing w:val="-9"/>
          <w:sz w:val="24"/>
        </w:rPr>
        <w:t> </w:t>
      </w:r>
      <w:r>
        <w:rPr>
          <w:sz w:val="24"/>
        </w:rPr>
        <w:t>is</w:t>
      </w:r>
      <w:r>
        <w:rPr>
          <w:spacing w:val="-9"/>
          <w:sz w:val="24"/>
        </w:rPr>
        <w:t> </w:t>
      </w:r>
      <w:r>
        <w:rPr>
          <w:sz w:val="24"/>
        </w:rPr>
        <w:t>accepted.</w:t>
      </w:r>
      <w:r>
        <w:rPr>
          <w:spacing w:val="-9"/>
          <w:sz w:val="24"/>
        </w:rPr>
        <w:t> </w:t>
      </w:r>
      <w:r>
        <w:rPr>
          <w:sz w:val="24"/>
        </w:rPr>
        <w:t>For</w:t>
      </w:r>
      <w:r>
        <w:rPr>
          <w:spacing w:val="-5"/>
          <w:sz w:val="24"/>
        </w:rPr>
        <w:t> </w:t>
      </w:r>
      <w:r>
        <w:rPr>
          <w:rFonts w:ascii="Arial MT" w:hAnsi="Arial MT"/>
          <w:sz w:val="20"/>
        </w:rPr>
        <w:t>δEXTDEBT</w:t>
      </w:r>
      <w:r>
        <w:rPr>
          <w:rFonts w:ascii="Arial MT" w:hAnsi="Arial MT"/>
          <w:spacing w:val="-7"/>
          <w:sz w:val="20"/>
        </w:rPr>
        <w:t> </w:t>
      </w:r>
      <w:r>
        <w:rPr>
          <w:rFonts w:ascii="Arial MT" w:hAnsi="Arial MT"/>
          <w:sz w:val="20"/>
        </w:rPr>
        <w:t>and</w:t>
      </w:r>
      <w:r>
        <w:rPr>
          <w:rFonts w:ascii="Arial MT" w:hAnsi="Arial MT"/>
          <w:spacing w:val="-7"/>
          <w:sz w:val="20"/>
        </w:rPr>
        <w:t> </w:t>
      </w:r>
      <w:r>
        <w:rPr>
          <w:rFonts w:ascii="Arial MT" w:hAnsi="Arial MT"/>
          <w:sz w:val="20"/>
        </w:rPr>
        <w:t>CAB</w:t>
      </w:r>
      <w:r>
        <w:rPr>
          <w:rFonts w:ascii="Arial MT" w:hAnsi="Arial MT"/>
          <w:spacing w:val="-7"/>
          <w:sz w:val="20"/>
        </w:rPr>
        <w:t> </w:t>
      </w:r>
      <w:r>
        <w:rPr>
          <w:rFonts w:ascii="Arial MT" w:hAnsi="Arial MT"/>
          <w:sz w:val="20"/>
        </w:rPr>
        <w:t>that</w:t>
      </w:r>
      <w:r>
        <w:rPr>
          <w:rFonts w:ascii="Arial MT" w:hAnsi="Arial MT"/>
          <w:spacing w:val="-7"/>
          <w:sz w:val="20"/>
        </w:rPr>
        <w:t> </w:t>
      </w:r>
      <w:r>
        <w:rPr>
          <w:rFonts w:ascii="Arial MT" w:hAnsi="Arial MT"/>
          <w:sz w:val="20"/>
        </w:rPr>
        <w:t>are not significant, the the null hypothsis is accepted for them</w:t>
      </w:r>
      <w:r>
        <w:rPr>
          <w:sz w:val="24"/>
        </w:rPr>
        <w:t>.</w:t>
      </w:r>
    </w:p>
    <w:p>
      <w:pPr>
        <w:pStyle w:val="Heading6"/>
        <w:numPr>
          <w:ilvl w:val="2"/>
          <w:numId w:val="27"/>
        </w:numPr>
        <w:tabs>
          <w:tab w:pos="1431" w:val="left" w:leader="none"/>
        </w:tabs>
        <w:spacing w:line="240" w:lineRule="auto" w:before="0" w:after="0"/>
        <w:ind w:left="1431" w:right="0" w:hanging="720"/>
        <w:jc w:val="both"/>
      </w:pPr>
      <w:bookmarkStart w:name="_TOC_250007" w:id="20"/>
      <w:r>
        <w:rPr/>
        <w:t>Tests</w:t>
      </w:r>
      <w:r>
        <w:rPr>
          <w:spacing w:val="-2"/>
        </w:rPr>
        <w:t> </w:t>
      </w:r>
      <w:r>
        <w:rPr/>
        <w:t>for</w:t>
      </w:r>
      <w:r>
        <w:rPr>
          <w:spacing w:val="-2"/>
        </w:rPr>
        <w:t> </w:t>
      </w:r>
      <w:r>
        <w:rPr/>
        <w:t>Overall</w:t>
      </w:r>
      <w:r>
        <w:rPr>
          <w:spacing w:val="-1"/>
        </w:rPr>
        <w:t> </w:t>
      </w:r>
      <w:r>
        <w:rPr/>
        <w:t>Significance</w:t>
      </w:r>
      <w:r>
        <w:rPr>
          <w:spacing w:val="-2"/>
        </w:rPr>
        <w:t> </w:t>
      </w:r>
      <w:r>
        <w:rPr/>
        <w:t>of Model</w:t>
      </w:r>
      <w:r>
        <w:rPr>
          <w:spacing w:val="-1"/>
        </w:rPr>
        <w:t> </w:t>
      </w:r>
      <w:r>
        <w:rPr/>
        <w:t>(F-</w:t>
      </w:r>
      <w:bookmarkEnd w:id="20"/>
      <w:r>
        <w:rPr>
          <w:spacing w:val="-4"/>
        </w:rPr>
        <w:t>Test)</w:t>
      </w:r>
    </w:p>
    <w:p>
      <w:pPr>
        <w:pStyle w:val="BodyText"/>
        <w:spacing w:line="480" w:lineRule="auto" w:before="258"/>
        <w:ind w:left="711" w:right="470"/>
        <w:jc w:val="both"/>
        <w:rPr>
          <w:rFonts w:ascii="Cambria"/>
        </w:rPr>
      </w:pPr>
      <w:r>
        <w:rPr>
          <w:rFonts w:ascii="Cambria"/>
        </w:rPr>
        <w:t>The F-test which determine the statistical significance of the entire model confirmed that the over all model</w:t>
      </w:r>
      <w:r>
        <w:rPr>
          <w:rFonts w:ascii="Cambria"/>
          <w:spacing w:val="63"/>
        </w:rPr>
        <w:t> </w:t>
      </w:r>
      <w:r>
        <w:rPr>
          <w:rFonts w:ascii="Cambria"/>
        </w:rPr>
        <w:t>is</w:t>
      </w:r>
      <w:r>
        <w:rPr>
          <w:rFonts w:ascii="Cambria"/>
          <w:spacing w:val="67"/>
        </w:rPr>
        <w:t> </w:t>
      </w:r>
      <w:r>
        <w:rPr>
          <w:rFonts w:ascii="Cambria"/>
        </w:rPr>
        <w:t>statistical</w:t>
      </w:r>
      <w:r>
        <w:rPr>
          <w:rFonts w:ascii="Cambria"/>
          <w:spacing w:val="65"/>
        </w:rPr>
        <w:t> </w:t>
      </w:r>
      <w:r>
        <w:rPr>
          <w:rFonts w:ascii="Cambria"/>
        </w:rPr>
        <w:t>significance.</w:t>
      </w:r>
      <w:r>
        <w:rPr>
          <w:rFonts w:ascii="Cambria"/>
          <w:spacing w:val="67"/>
        </w:rPr>
        <w:t> </w:t>
      </w:r>
      <w:r>
        <w:rPr>
          <w:rFonts w:ascii="Cambria"/>
        </w:rPr>
        <w:t>The</w:t>
      </w:r>
      <w:r>
        <w:rPr>
          <w:rFonts w:ascii="Cambria"/>
          <w:spacing w:val="65"/>
        </w:rPr>
        <w:t> </w:t>
      </w:r>
      <w:r>
        <w:rPr>
          <w:rFonts w:ascii="Cambria"/>
        </w:rPr>
        <w:t>formulated</w:t>
      </w:r>
      <w:r>
        <w:rPr>
          <w:rFonts w:ascii="Cambria"/>
          <w:spacing w:val="65"/>
        </w:rPr>
        <w:t> </w:t>
      </w:r>
      <w:r>
        <w:rPr>
          <w:rFonts w:ascii="Cambria"/>
        </w:rPr>
        <w:t>hypothesis</w:t>
      </w:r>
      <w:r>
        <w:rPr>
          <w:rFonts w:ascii="Cambria"/>
          <w:spacing w:val="65"/>
        </w:rPr>
        <w:t> </w:t>
      </w:r>
      <w:r>
        <w:rPr>
          <w:rFonts w:ascii="Cambria"/>
        </w:rPr>
        <w:t>was</w:t>
      </w:r>
      <w:r>
        <w:rPr>
          <w:rFonts w:ascii="Cambria"/>
          <w:spacing w:val="67"/>
        </w:rPr>
        <w:t> </w:t>
      </w:r>
      <w:r>
        <w:rPr>
          <w:rFonts w:ascii="Cambria"/>
        </w:rPr>
        <w:t>tested</w:t>
      </w:r>
      <w:r>
        <w:rPr>
          <w:rFonts w:ascii="Cambria"/>
          <w:spacing w:val="64"/>
        </w:rPr>
        <w:t> </w:t>
      </w:r>
      <w:r>
        <w:rPr>
          <w:rFonts w:ascii="Cambria"/>
        </w:rPr>
        <w:t>as</w:t>
      </w:r>
      <w:r>
        <w:rPr>
          <w:rFonts w:ascii="Cambria"/>
          <w:spacing w:val="67"/>
        </w:rPr>
        <w:t> </w:t>
      </w:r>
      <w:r>
        <w:rPr>
          <w:rFonts w:ascii="Cambria"/>
        </w:rPr>
        <w:t>follows:</w:t>
      </w:r>
      <w:r>
        <w:rPr>
          <w:rFonts w:ascii="Cambria"/>
          <w:spacing w:val="65"/>
        </w:rPr>
        <w:t> </w:t>
      </w:r>
      <w:r>
        <w:rPr>
          <w:rFonts w:ascii="Cambria"/>
        </w:rPr>
        <w:t>F-</w:t>
      </w:r>
      <w:r>
        <w:rPr>
          <w:rFonts w:ascii="Cambria"/>
          <w:spacing w:val="-2"/>
        </w:rPr>
        <w:t>caculated=</w:t>
      </w:r>
    </w:p>
    <w:p>
      <w:pPr>
        <w:spacing w:after="0" w:line="480" w:lineRule="auto"/>
        <w:jc w:val="both"/>
        <w:rPr>
          <w:rFonts w:ascii="Cambria"/>
        </w:rPr>
        <w:sectPr>
          <w:pgSz w:w="11910" w:h="16840"/>
          <w:pgMar w:header="0" w:footer="979" w:top="1360" w:bottom="1240" w:left="280" w:right="0"/>
        </w:sectPr>
      </w:pPr>
    </w:p>
    <w:p>
      <w:pPr>
        <w:pStyle w:val="BodyText"/>
        <w:spacing w:line="480" w:lineRule="auto" w:before="81"/>
        <w:ind w:left="711" w:right="585"/>
        <w:rPr>
          <w:rFonts w:ascii="Cambria"/>
        </w:rPr>
      </w:pPr>
      <w:r>
        <w:rPr/>
        <mc:AlternateContent>
          <mc:Choice Requires="wps">
            <w:drawing>
              <wp:anchor distT="0" distB="0" distL="0" distR="0" allowOverlap="1" layoutInCell="1" locked="0" behindDoc="1" simplePos="0" relativeHeight="464180736">
                <wp:simplePos x="0" y="0"/>
                <wp:positionH relativeFrom="page">
                  <wp:posOffset>2281027</wp:posOffset>
                </wp:positionH>
                <wp:positionV relativeFrom="page">
                  <wp:posOffset>5918551</wp:posOffset>
                </wp:positionV>
                <wp:extent cx="575310" cy="179070"/>
                <wp:effectExtent l="0" t="0" r="0" b="0"/>
                <wp:wrapNone/>
                <wp:docPr id="214" name="Textbox 214"/>
                <wp:cNvGraphicFramePr>
                  <a:graphicFrameLocks/>
                </wp:cNvGraphicFramePr>
                <a:graphic>
                  <a:graphicData uri="http://schemas.microsoft.com/office/word/2010/wordprocessingShape">
                    <wps:wsp>
                      <wps:cNvPr id="214" name="Textbox 214"/>
                      <wps:cNvSpPr txBox="1"/>
                      <wps:spPr>
                        <a:xfrm>
                          <a:off x="0" y="0"/>
                          <a:ext cx="575310" cy="179070"/>
                        </a:xfrm>
                        <a:prstGeom prst="rect">
                          <a:avLst/>
                        </a:prstGeom>
                      </wps:spPr>
                      <wps:txbx>
                        <w:txbxContent>
                          <w:p>
                            <w:pPr>
                              <w:spacing w:before="0"/>
                              <w:ind w:left="0" w:right="0" w:firstLine="0"/>
                              <w:jc w:val="left"/>
                              <w:rPr>
                                <w:rFonts w:ascii="Cambria"/>
                                <w:i/>
                                <w:sz w:val="24"/>
                              </w:rPr>
                            </w:pPr>
                            <w:r>
                              <w:rPr>
                                <w:rFonts w:ascii="Cambria"/>
                                <w:i/>
                                <w:sz w:val="24"/>
                              </w:rPr>
                              <w:t>on</w:t>
                            </w:r>
                            <w:r>
                              <w:rPr>
                                <w:rFonts w:ascii="Cambria"/>
                                <w:i/>
                                <w:spacing w:val="-2"/>
                                <w:sz w:val="24"/>
                              </w:rPr>
                              <w:t> </w:t>
                            </w:r>
                            <w:r>
                              <w:rPr>
                                <w:rFonts w:ascii="Cambria"/>
                                <w:i/>
                                <w:spacing w:val="-2"/>
                                <w:sz w:val="24"/>
                              </w:rPr>
                              <w:t>graph</w:t>
                            </w:r>
                          </w:p>
                        </w:txbxContent>
                      </wps:txbx>
                      <wps:bodyPr wrap="square" lIns="0" tIns="0" rIns="0" bIns="0" rtlCol="0">
                        <a:noAutofit/>
                      </wps:bodyPr>
                    </wps:wsp>
                  </a:graphicData>
                </a:graphic>
              </wp:anchor>
            </w:drawing>
          </mc:Choice>
          <mc:Fallback>
            <w:pict>
              <v:shape style="position:absolute;margin-left:179.608459pt;margin-top:466.027649pt;width:45.3pt;height:14.1pt;mso-position-horizontal-relative:page;mso-position-vertical-relative:page;z-index:-39135744" type="#_x0000_t202" id="docshape198" filled="false" stroked="false">
                <v:textbox inset="0,0,0,0">
                  <w:txbxContent>
                    <w:p>
                      <w:pPr>
                        <w:spacing w:before="0"/>
                        <w:ind w:left="0" w:right="0" w:firstLine="0"/>
                        <w:jc w:val="left"/>
                        <w:rPr>
                          <w:rFonts w:ascii="Cambria"/>
                          <w:i/>
                          <w:sz w:val="24"/>
                        </w:rPr>
                      </w:pPr>
                      <w:r>
                        <w:rPr>
                          <w:rFonts w:ascii="Cambria"/>
                          <w:i/>
                          <w:sz w:val="24"/>
                        </w:rPr>
                        <w:t>on</w:t>
                      </w:r>
                      <w:r>
                        <w:rPr>
                          <w:rFonts w:ascii="Cambria"/>
                          <w:i/>
                          <w:spacing w:val="-2"/>
                          <w:sz w:val="24"/>
                        </w:rPr>
                        <w:t> </w:t>
                      </w:r>
                      <w:r>
                        <w:rPr>
                          <w:rFonts w:ascii="Cambria"/>
                          <w:i/>
                          <w:spacing w:val="-2"/>
                          <w:sz w:val="24"/>
                        </w:rPr>
                        <w:t>graph</w:t>
                      </w:r>
                    </w:p>
                  </w:txbxContent>
                </v:textbox>
                <w10:wrap type="none"/>
              </v:shape>
            </w:pict>
          </mc:Fallback>
        </mc:AlternateContent>
      </w:r>
      <w:r>
        <w:rPr>
          <w:rFonts w:ascii="Cambria"/>
        </w:rPr>
        <w:t>462.6337, F=tabulated -2.76. Since f-caculated (697.0697) is greater than f-tabulated (2.76) the over </w:t>
      </w:r>
      <w:r>
        <w:rPr>
          <w:rFonts w:ascii="Cambria"/>
          <w:position w:val="1"/>
        </w:rPr>
        <w:t>model is significant, thus the overall model is significant and H</w:t>
      </w:r>
      <w:r>
        <w:rPr>
          <w:rFonts w:ascii="Cambria"/>
          <w:sz w:val="16"/>
        </w:rPr>
        <w:t>1</w:t>
      </w:r>
      <w:r>
        <w:rPr>
          <w:rFonts w:ascii="Cambria"/>
          <w:spacing w:val="28"/>
          <w:sz w:val="16"/>
        </w:rPr>
        <w:t> </w:t>
      </w:r>
      <w:r>
        <w:rPr>
          <w:rFonts w:ascii="Cambria"/>
          <w:position w:val="1"/>
        </w:rPr>
        <w:t>is accepted.</w:t>
      </w:r>
    </w:p>
    <w:p>
      <w:pPr>
        <w:pStyle w:val="Heading6"/>
        <w:spacing w:before="1"/>
        <w:jc w:val="left"/>
      </w:pPr>
      <w:r>
        <w:rPr>
          <w:rFonts w:ascii="Cambria"/>
        </w:rPr>
        <w:t>4.7.5.</w:t>
      </w:r>
      <w:r>
        <w:rPr>
          <w:rFonts w:ascii="Cambria"/>
          <w:spacing w:val="-6"/>
        </w:rPr>
        <w:t> </w:t>
      </w:r>
      <w:r>
        <w:rPr>
          <w:rFonts w:ascii="Cambria"/>
        </w:rPr>
        <w:t>Tests</w:t>
      </w:r>
      <w:r>
        <w:rPr>
          <w:rFonts w:ascii="Cambria"/>
          <w:spacing w:val="-3"/>
        </w:rPr>
        <w:t> </w:t>
      </w:r>
      <w:r>
        <w:rPr>
          <w:rFonts w:ascii="Cambria"/>
        </w:rPr>
        <w:t>for</w:t>
      </w:r>
      <w:r>
        <w:rPr>
          <w:rFonts w:ascii="Cambria"/>
          <w:spacing w:val="-3"/>
        </w:rPr>
        <w:t> </w:t>
      </w:r>
      <w:r>
        <w:rPr>
          <w:rFonts w:ascii="Cambria"/>
        </w:rPr>
        <w:t>Presence</w:t>
      </w:r>
      <w:r>
        <w:rPr>
          <w:rFonts w:ascii="Cambria"/>
          <w:spacing w:val="-2"/>
        </w:rPr>
        <w:t> </w:t>
      </w:r>
      <w:r>
        <w:rPr>
          <w:rFonts w:ascii="Cambria"/>
        </w:rPr>
        <w:t>of</w:t>
      </w:r>
      <w:r>
        <w:rPr>
          <w:rFonts w:ascii="Cambria"/>
          <w:spacing w:val="-3"/>
        </w:rPr>
        <w:t> </w:t>
      </w:r>
      <w:r>
        <w:rPr>
          <w:rFonts w:ascii="Cambria"/>
        </w:rPr>
        <w:t>Autocorrelation</w:t>
      </w:r>
      <w:r>
        <w:rPr>
          <w:rFonts w:ascii="Cambria"/>
          <w:spacing w:val="-2"/>
        </w:rPr>
        <w:t> </w:t>
      </w:r>
      <w:r>
        <w:rPr>
          <w:rFonts w:ascii="Cambria"/>
        </w:rPr>
        <w:t>in</w:t>
      </w:r>
      <w:r>
        <w:rPr>
          <w:rFonts w:ascii="Cambria"/>
          <w:spacing w:val="-3"/>
        </w:rPr>
        <w:t> </w:t>
      </w:r>
      <w:r>
        <w:rPr>
          <w:rFonts w:ascii="Cambria"/>
        </w:rPr>
        <w:t>Model</w:t>
      </w:r>
      <w:r>
        <w:rPr>
          <w:rFonts w:ascii="Cambria"/>
          <w:spacing w:val="-3"/>
        </w:rPr>
        <w:t> </w:t>
      </w:r>
      <w:r>
        <w:rPr>
          <w:rFonts w:ascii="Cambria"/>
        </w:rPr>
        <w:t>2</w:t>
      </w:r>
      <w:r>
        <w:rPr>
          <w:rFonts w:ascii="Cambria"/>
          <w:spacing w:val="-1"/>
        </w:rPr>
        <w:t> </w:t>
      </w:r>
      <w:r>
        <w:rPr/>
        <w:t>(Morgan</w:t>
      </w:r>
      <w:r>
        <w:rPr>
          <w:spacing w:val="-2"/>
        </w:rPr>
        <w:t> </w:t>
      </w:r>
      <w:r>
        <w:rPr/>
        <w:t>Trust</w:t>
      </w:r>
      <w:r>
        <w:rPr>
          <w:spacing w:val="-3"/>
        </w:rPr>
        <w:t> </w:t>
      </w:r>
      <w:r>
        <w:rPr/>
        <w:t>(1986)</w:t>
      </w:r>
      <w:r>
        <w:rPr>
          <w:spacing w:val="-3"/>
        </w:rPr>
        <w:t> </w:t>
      </w:r>
      <w:r>
        <w:rPr>
          <w:spacing w:val="-2"/>
        </w:rPr>
        <w:t>Approach)</w:t>
      </w:r>
    </w:p>
    <w:p>
      <w:pPr>
        <w:pStyle w:val="BodyText"/>
        <w:spacing w:before="4"/>
        <w:rPr>
          <w:b/>
        </w:rPr>
      </w:pPr>
    </w:p>
    <w:p>
      <w:pPr>
        <w:pStyle w:val="BodyText"/>
        <w:spacing w:line="480" w:lineRule="auto"/>
        <w:ind w:left="711" w:right="585"/>
        <w:rPr>
          <w:rFonts w:ascii="Cambria"/>
        </w:rPr>
      </w:pPr>
      <w:r>
        <w:rPr>
          <w:rFonts w:ascii="Cambria"/>
        </w:rPr>
        <w:t>The Durbin Watson test conducted to test for the presence of autocorrelation in the model is depited by the diagram below:</w:t>
      </w:r>
    </w:p>
    <w:p>
      <w:pPr>
        <w:pStyle w:val="BodyText"/>
        <w:spacing w:line="281" w:lineRule="exact"/>
        <w:ind w:left="711"/>
        <w:rPr>
          <w:rFonts w:ascii="Cambria" w:hAnsi="Cambria"/>
        </w:rPr>
      </w:pPr>
      <w:r>
        <w:rPr>
          <w:rFonts w:ascii="Cambria" w:hAnsi="Cambria"/>
          <w:position w:val="1"/>
        </w:rPr>
        <w:t>The</w:t>
      </w:r>
      <w:r>
        <w:rPr>
          <w:rFonts w:ascii="Cambria" w:hAnsi="Cambria"/>
          <w:spacing w:val="11"/>
          <w:position w:val="1"/>
        </w:rPr>
        <w:t> </w:t>
      </w:r>
      <w:r>
        <w:rPr>
          <w:rFonts w:ascii="Cambria" w:hAnsi="Cambria"/>
          <w:position w:val="1"/>
        </w:rPr>
        <w:t>degree</w:t>
      </w:r>
      <w:r>
        <w:rPr>
          <w:rFonts w:ascii="Cambria" w:hAnsi="Cambria"/>
          <w:spacing w:val="13"/>
          <w:position w:val="1"/>
        </w:rPr>
        <w:t> </w:t>
      </w:r>
      <w:r>
        <w:rPr>
          <w:rFonts w:ascii="Cambria" w:hAnsi="Cambria"/>
          <w:position w:val="1"/>
        </w:rPr>
        <w:t>of</w:t>
      </w:r>
      <w:r>
        <w:rPr>
          <w:rFonts w:ascii="Cambria" w:hAnsi="Cambria"/>
          <w:spacing w:val="12"/>
          <w:position w:val="1"/>
        </w:rPr>
        <w:t> </w:t>
      </w:r>
      <w:r>
        <w:rPr>
          <w:rFonts w:ascii="Cambria" w:hAnsi="Cambria"/>
          <w:position w:val="1"/>
        </w:rPr>
        <w:t>freedom</w:t>
      </w:r>
      <w:r>
        <w:rPr>
          <w:rFonts w:ascii="Cambria" w:hAnsi="Cambria"/>
          <w:spacing w:val="13"/>
          <w:position w:val="1"/>
        </w:rPr>
        <w:t> </w:t>
      </w:r>
      <w:r>
        <w:rPr>
          <w:rFonts w:ascii="Cambria" w:hAnsi="Cambria"/>
          <w:position w:val="1"/>
        </w:rPr>
        <w:t>=</w:t>
      </w:r>
      <w:r>
        <w:rPr>
          <w:rFonts w:ascii="Cambria" w:hAnsi="Cambria"/>
          <w:spacing w:val="12"/>
          <w:position w:val="1"/>
        </w:rPr>
        <w:t> </w:t>
      </w:r>
      <w:r>
        <w:rPr>
          <w:rFonts w:ascii="Cambria" w:hAnsi="Cambria"/>
          <w:position w:val="1"/>
        </w:rPr>
        <w:t>K’</w:t>
      </w:r>
      <w:r>
        <w:rPr>
          <w:rFonts w:ascii="Cambria" w:hAnsi="Cambria"/>
          <w:spacing w:val="13"/>
          <w:position w:val="1"/>
        </w:rPr>
        <w:t> </w:t>
      </w:r>
      <w:r>
        <w:rPr>
          <w:rFonts w:ascii="Cambria" w:hAnsi="Cambria"/>
          <w:position w:val="1"/>
        </w:rPr>
        <w:t>and</w:t>
      </w:r>
      <w:r>
        <w:rPr>
          <w:rFonts w:ascii="Cambria" w:hAnsi="Cambria"/>
          <w:spacing w:val="12"/>
          <w:position w:val="1"/>
        </w:rPr>
        <w:t> </w:t>
      </w:r>
      <w:r>
        <w:rPr>
          <w:rFonts w:ascii="Cambria" w:hAnsi="Cambria"/>
          <w:position w:val="1"/>
        </w:rPr>
        <w:t>=</w:t>
      </w:r>
      <w:r>
        <w:rPr>
          <w:rFonts w:ascii="Cambria" w:hAnsi="Cambria"/>
          <w:spacing w:val="12"/>
          <w:position w:val="1"/>
        </w:rPr>
        <w:t> </w:t>
      </w:r>
      <w:r>
        <w:rPr>
          <w:rFonts w:ascii="Cambria" w:hAnsi="Cambria"/>
          <w:position w:val="1"/>
        </w:rPr>
        <w:t>K</w:t>
      </w:r>
      <w:r>
        <w:rPr>
          <w:rFonts w:ascii="Cambria" w:hAnsi="Cambria"/>
          <w:spacing w:val="17"/>
          <w:position w:val="1"/>
        </w:rPr>
        <w:t> </w:t>
      </w:r>
      <w:r>
        <w:rPr>
          <w:rFonts w:ascii="Cambria" w:hAnsi="Cambria"/>
          <w:position w:val="1"/>
        </w:rPr>
        <w:t>–</w:t>
      </w:r>
      <w:r>
        <w:rPr>
          <w:rFonts w:ascii="Cambria" w:hAnsi="Cambria"/>
          <w:spacing w:val="14"/>
          <w:position w:val="1"/>
        </w:rPr>
        <w:t> </w:t>
      </w:r>
      <w:r>
        <w:rPr>
          <w:rFonts w:ascii="Cambria" w:hAnsi="Cambria"/>
          <w:position w:val="1"/>
        </w:rPr>
        <w:t>1</w:t>
      </w:r>
      <w:r>
        <w:rPr>
          <w:rFonts w:ascii="Cambria" w:hAnsi="Cambria"/>
          <w:spacing w:val="12"/>
          <w:position w:val="1"/>
        </w:rPr>
        <w:t> </w:t>
      </w:r>
      <w:r>
        <w:rPr>
          <w:rFonts w:ascii="Cambria" w:hAnsi="Cambria"/>
          <w:position w:val="1"/>
        </w:rPr>
        <w:t>=</w:t>
      </w:r>
      <w:r>
        <w:rPr>
          <w:rFonts w:ascii="Cambria" w:hAnsi="Cambria"/>
          <w:spacing w:val="12"/>
          <w:position w:val="1"/>
        </w:rPr>
        <w:t> </w:t>
      </w:r>
      <w:r>
        <w:rPr>
          <w:rFonts w:ascii="Cambria" w:hAnsi="Cambria"/>
          <w:position w:val="1"/>
        </w:rPr>
        <w:t>6</w:t>
      </w:r>
      <w:r>
        <w:rPr>
          <w:rFonts w:ascii="Cambria" w:hAnsi="Cambria"/>
          <w:spacing w:val="13"/>
          <w:position w:val="1"/>
        </w:rPr>
        <w:t> </w:t>
      </w:r>
      <w:r>
        <w:rPr>
          <w:rFonts w:ascii="Cambria" w:hAnsi="Cambria"/>
          <w:position w:val="1"/>
        </w:rPr>
        <w:t>–</w:t>
      </w:r>
      <w:r>
        <w:rPr>
          <w:rFonts w:ascii="Cambria" w:hAnsi="Cambria"/>
          <w:spacing w:val="13"/>
          <w:position w:val="1"/>
        </w:rPr>
        <w:t> </w:t>
      </w:r>
      <w:r>
        <w:rPr>
          <w:rFonts w:ascii="Cambria" w:hAnsi="Cambria"/>
          <w:position w:val="1"/>
        </w:rPr>
        <w:t>1</w:t>
      </w:r>
      <w:r>
        <w:rPr>
          <w:rFonts w:ascii="Cambria" w:hAnsi="Cambria"/>
          <w:spacing w:val="12"/>
          <w:position w:val="1"/>
        </w:rPr>
        <w:t> </w:t>
      </w:r>
      <w:r>
        <w:rPr>
          <w:rFonts w:ascii="Cambria" w:hAnsi="Cambria"/>
          <w:position w:val="1"/>
        </w:rPr>
        <w:t>=</w:t>
      </w:r>
      <w:r>
        <w:rPr>
          <w:rFonts w:ascii="Cambria" w:hAnsi="Cambria"/>
          <w:spacing w:val="13"/>
          <w:position w:val="1"/>
        </w:rPr>
        <w:t> </w:t>
      </w:r>
      <w:r>
        <w:rPr>
          <w:rFonts w:ascii="Cambria" w:hAnsi="Cambria"/>
          <w:position w:val="1"/>
        </w:rPr>
        <w:t>5</w:t>
      </w:r>
      <w:r>
        <w:rPr>
          <w:rFonts w:ascii="Cambria" w:hAnsi="Cambria"/>
          <w:spacing w:val="12"/>
          <w:position w:val="1"/>
        </w:rPr>
        <w:t> </w:t>
      </w:r>
      <w:r>
        <w:rPr>
          <w:rFonts w:ascii="Cambria" w:hAnsi="Cambria"/>
          <w:position w:val="1"/>
        </w:rPr>
        <w:t>and</w:t>
      </w:r>
      <w:r>
        <w:rPr>
          <w:rFonts w:ascii="Cambria" w:hAnsi="Cambria"/>
          <w:spacing w:val="11"/>
          <w:position w:val="1"/>
        </w:rPr>
        <w:t> </w:t>
      </w:r>
      <w:r>
        <w:rPr>
          <w:rFonts w:ascii="Cambria" w:hAnsi="Cambria"/>
          <w:position w:val="1"/>
        </w:rPr>
        <w:t>the</w:t>
      </w:r>
      <w:r>
        <w:rPr>
          <w:rFonts w:ascii="Cambria" w:hAnsi="Cambria"/>
          <w:spacing w:val="14"/>
          <w:position w:val="1"/>
        </w:rPr>
        <w:t> </w:t>
      </w:r>
      <w:r>
        <w:rPr>
          <w:rFonts w:ascii="Cambria" w:hAnsi="Cambria"/>
          <w:position w:val="1"/>
        </w:rPr>
        <w:t>number</w:t>
      </w:r>
      <w:r>
        <w:rPr>
          <w:rFonts w:ascii="Cambria" w:hAnsi="Cambria"/>
          <w:spacing w:val="12"/>
          <w:position w:val="1"/>
        </w:rPr>
        <w:t> </w:t>
      </w:r>
      <w:r>
        <w:rPr>
          <w:rFonts w:ascii="Cambria" w:hAnsi="Cambria"/>
          <w:position w:val="1"/>
        </w:rPr>
        <w:t>of</w:t>
      </w:r>
      <w:r>
        <w:rPr>
          <w:rFonts w:ascii="Cambria" w:hAnsi="Cambria"/>
          <w:spacing w:val="12"/>
          <w:position w:val="1"/>
        </w:rPr>
        <w:t> </w:t>
      </w:r>
      <w:r>
        <w:rPr>
          <w:rFonts w:ascii="Cambria" w:hAnsi="Cambria"/>
          <w:position w:val="1"/>
        </w:rPr>
        <w:t>years</w:t>
      </w:r>
      <w:r>
        <w:rPr>
          <w:rFonts w:ascii="Cambria" w:hAnsi="Cambria"/>
          <w:spacing w:val="14"/>
          <w:position w:val="1"/>
        </w:rPr>
        <w:t> </w:t>
      </w:r>
      <w:r>
        <w:rPr>
          <w:rFonts w:ascii="Cambria" w:hAnsi="Cambria"/>
          <w:position w:val="1"/>
        </w:rPr>
        <w:t>is</w:t>
      </w:r>
      <w:r>
        <w:rPr>
          <w:rFonts w:ascii="Cambria" w:hAnsi="Cambria"/>
          <w:spacing w:val="13"/>
          <w:position w:val="1"/>
        </w:rPr>
        <w:t> </w:t>
      </w:r>
      <w:r>
        <w:rPr>
          <w:rFonts w:ascii="Cambria" w:hAnsi="Cambria"/>
          <w:position w:val="1"/>
        </w:rPr>
        <w:t>42</w:t>
      </w:r>
      <w:r>
        <w:rPr>
          <w:rFonts w:ascii="Cambria" w:hAnsi="Cambria"/>
          <w:spacing w:val="12"/>
          <w:position w:val="1"/>
        </w:rPr>
        <w:t> </w:t>
      </w:r>
      <w:r>
        <w:rPr>
          <w:rFonts w:ascii="Cambria" w:hAnsi="Cambria"/>
          <w:position w:val="1"/>
        </w:rPr>
        <w:t>years.</w:t>
      </w:r>
      <w:r>
        <w:rPr>
          <w:rFonts w:ascii="Cambria" w:hAnsi="Cambria"/>
          <w:spacing w:val="15"/>
          <w:position w:val="1"/>
        </w:rPr>
        <w:t> </w:t>
      </w:r>
      <w:r>
        <w:rPr>
          <w:rFonts w:ascii="Cambria" w:hAnsi="Cambria"/>
          <w:position w:val="1"/>
        </w:rPr>
        <w:t>Thus,</w:t>
      </w:r>
      <w:r>
        <w:rPr>
          <w:rFonts w:ascii="Cambria" w:hAnsi="Cambria"/>
          <w:spacing w:val="78"/>
          <w:position w:val="1"/>
        </w:rPr>
        <w:t> </w:t>
      </w:r>
      <w:r>
        <w:rPr>
          <w:rFonts w:ascii="Cambria" w:hAnsi="Cambria"/>
          <w:position w:val="1"/>
        </w:rPr>
        <w:t>*D</w:t>
      </w:r>
      <w:r>
        <w:rPr>
          <w:rFonts w:ascii="Cambria" w:hAnsi="Cambria"/>
          <w:sz w:val="16"/>
        </w:rPr>
        <w:t>L</w:t>
      </w:r>
      <w:r>
        <w:rPr>
          <w:rFonts w:ascii="Cambria" w:hAnsi="Cambria"/>
          <w:spacing w:val="32"/>
          <w:sz w:val="16"/>
        </w:rPr>
        <w:t> </w:t>
      </w:r>
      <w:r>
        <w:rPr>
          <w:rFonts w:ascii="Cambria" w:hAnsi="Cambria"/>
          <w:spacing w:val="-10"/>
          <w:position w:val="1"/>
        </w:rPr>
        <w:t>=</w:t>
      </w:r>
    </w:p>
    <w:p>
      <w:pPr>
        <w:pStyle w:val="BodyText"/>
        <w:spacing w:before="1"/>
        <w:rPr>
          <w:rFonts w:ascii="Cambria"/>
        </w:rPr>
      </w:pPr>
    </w:p>
    <w:p>
      <w:pPr>
        <w:pStyle w:val="BodyText"/>
        <w:tabs>
          <w:tab w:pos="2871" w:val="left" w:leader="none"/>
        </w:tabs>
        <w:ind w:left="711"/>
        <w:rPr>
          <w:rFonts w:ascii="Cambria" w:hAnsi="Cambria"/>
        </w:rPr>
      </w:pPr>
      <w:r>
        <w:rPr>
          <w:rFonts w:ascii="Cambria" w:hAnsi="Cambria"/>
          <w:position w:val="1"/>
        </w:rPr>
        <w:t>1.230</w:t>
      </w:r>
      <w:r>
        <w:rPr>
          <w:rFonts w:ascii="Cambria" w:hAnsi="Cambria"/>
          <w:spacing w:val="58"/>
          <w:w w:val="150"/>
          <w:position w:val="1"/>
        </w:rPr>
        <w:t> </w:t>
      </w:r>
      <w:r>
        <w:rPr>
          <w:rFonts w:ascii="Cambria" w:hAnsi="Cambria"/>
          <w:position w:val="1"/>
        </w:rPr>
        <w:t>*D</w:t>
      </w:r>
      <w:r>
        <w:rPr>
          <w:rFonts w:ascii="Cambria" w:hAnsi="Cambria"/>
          <w:sz w:val="16"/>
        </w:rPr>
        <w:t>u</w:t>
      </w:r>
      <w:r>
        <w:rPr>
          <w:rFonts w:ascii="Cambria" w:hAnsi="Cambria"/>
          <w:spacing w:val="16"/>
          <w:sz w:val="16"/>
        </w:rPr>
        <w:t> </w:t>
      </w:r>
      <w:r>
        <w:rPr>
          <w:rFonts w:ascii="Cambria" w:hAnsi="Cambria"/>
          <w:position w:val="1"/>
        </w:rPr>
        <w:t>=</w:t>
      </w:r>
      <w:r>
        <w:rPr>
          <w:rFonts w:ascii="Cambria" w:hAnsi="Cambria"/>
          <w:spacing w:val="-2"/>
          <w:position w:val="1"/>
        </w:rPr>
        <w:t> </w:t>
      </w:r>
      <w:r>
        <w:rPr>
          <w:rFonts w:ascii="Cambria" w:hAnsi="Cambria"/>
          <w:spacing w:val="-4"/>
          <w:position w:val="1"/>
        </w:rPr>
        <w:t>1.786</w:t>
      </w:r>
      <w:r>
        <w:rPr>
          <w:rFonts w:ascii="Cambria" w:hAnsi="Cambria"/>
          <w:position w:val="1"/>
        </w:rPr>
        <w:tab/>
        <w:t>at</w:t>
      </w:r>
      <w:r>
        <w:rPr>
          <w:rFonts w:ascii="Cambria" w:hAnsi="Cambria"/>
          <w:spacing w:val="4"/>
          <w:position w:val="1"/>
        </w:rPr>
        <w:t> </w:t>
      </w:r>
      <w:r>
        <w:rPr>
          <w:rFonts w:ascii="Cambria" w:hAnsi="Cambria"/>
          <w:position w:val="1"/>
        </w:rPr>
        <w:t>5%</w:t>
      </w:r>
      <w:r>
        <w:rPr>
          <w:rFonts w:ascii="Cambria" w:hAnsi="Cambria"/>
          <w:spacing w:val="6"/>
          <w:position w:val="1"/>
        </w:rPr>
        <w:t> </w:t>
      </w:r>
      <w:r>
        <w:rPr>
          <w:rFonts w:ascii="Cambria" w:hAnsi="Cambria"/>
          <w:position w:val="1"/>
        </w:rPr>
        <w:t>significant</w:t>
      </w:r>
      <w:r>
        <w:rPr>
          <w:rFonts w:ascii="Cambria" w:hAnsi="Cambria"/>
          <w:spacing w:val="6"/>
          <w:position w:val="1"/>
        </w:rPr>
        <w:t> </w:t>
      </w:r>
      <w:r>
        <w:rPr>
          <w:rFonts w:ascii="Cambria" w:hAnsi="Cambria"/>
          <w:position w:val="1"/>
        </w:rPr>
        <w:t>level</w:t>
      </w:r>
      <w:r>
        <w:rPr>
          <w:rFonts w:ascii="Cambria" w:hAnsi="Cambria"/>
          <w:spacing w:val="6"/>
          <w:position w:val="1"/>
        </w:rPr>
        <w:t> </w:t>
      </w:r>
      <w:r>
        <w:rPr>
          <w:rFonts w:ascii="Cambria" w:hAnsi="Cambria"/>
          <w:position w:val="1"/>
        </w:rPr>
        <w:t>(as</w:t>
      </w:r>
      <w:r>
        <w:rPr>
          <w:rFonts w:ascii="Cambria" w:hAnsi="Cambria"/>
          <w:spacing w:val="6"/>
          <w:position w:val="1"/>
        </w:rPr>
        <w:t> </w:t>
      </w:r>
      <w:r>
        <w:rPr>
          <w:rFonts w:ascii="Cambria" w:hAnsi="Cambria"/>
          <w:position w:val="1"/>
        </w:rPr>
        <w:t>in</w:t>
      </w:r>
      <w:r>
        <w:rPr>
          <w:rFonts w:ascii="Cambria" w:hAnsi="Cambria"/>
          <w:spacing w:val="6"/>
          <w:position w:val="1"/>
        </w:rPr>
        <w:t> </w:t>
      </w:r>
      <w:r>
        <w:rPr>
          <w:rFonts w:ascii="Cambria" w:hAnsi="Cambria"/>
          <w:position w:val="1"/>
        </w:rPr>
        <w:t>table</w:t>
      </w:r>
      <w:r>
        <w:rPr>
          <w:rFonts w:ascii="Cambria" w:hAnsi="Cambria"/>
          <w:spacing w:val="6"/>
          <w:position w:val="1"/>
        </w:rPr>
        <w:t> </w:t>
      </w:r>
      <w:r>
        <w:rPr>
          <w:rFonts w:ascii="Cambria" w:hAnsi="Cambria"/>
          <w:position w:val="1"/>
        </w:rPr>
        <w:t>value),</w:t>
      </w:r>
      <w:r>
        <w:rPr>
          <w:rFonts w:ascii="Cambria" w:hAnsi="Cambria"/>
          <w:spacing w:val="6"/>
          <w:position w:val="1"/>
        </w:rPr>
        <w:t> </w:t>
      </w:r>
      <w:r>
        <w:rPr>
          <w:rFonts w:ascii="Cambria" w:hAnsi="Cambria"/>
          <w:position w:val="1"/>
        </w:rPr>
        <w:t>4</w:t>
      </w:r>
      <w:r>
        <w:rPr>
          <w:rFonts w:ascii="Cambria" w:hAnsi="Cambria"/>
          <w:spacing w:val="8"/>
          <w:position w:val="1"/>
        </w:rPr>
        <w:t> </w:t>
      </w:r>
      <w:r>
        <w:rPr>
          <w:rFonts w:ascii="Cambria" w:hAnsi="Cambria"/>
          <w:position w:val="1"/>
        </w:rPr>
        <w:t>–</w:t>
      </w:r>
      <w:r>
        <w:rPr>
          <w:rFonts w:ascii="Cambria" w:hAnsi="Cambria"/>
          <w:spacing w:val="6"/>
          <w:position w:val="1"/>
        </w:rPr>
        <w:t> </w:t>
      </w:r>
      <w:r>
        <w:rPr>
          <w:rFonts w:ascii="Cambria" w:hAnsi="Cambria"/>
          <w:position w:val="1"/>
        </w:rPr>
        <w:t>D</w:t>
      </w:r>
      <w:r>
        <w:rPr>
          <w:rFonts w:ascii="Cambria" w:hAnsi="Cambria"/>
          <w:sz w:val="16"/>
        </w:rPr>
        <w:t>L</w:t>
      </w:r>
      <w:r>
        <w:rPr>
          <w:rFonts w:ascii="Cambria" w:hAnsi="Cambria"/>
          <w:spacing w:val="23"/>
          <w:sz w:val="16"/>
        </w:rPr>
        <w:t> </w:t>
      </w:r>
      <w:r>
        <w:rPr>
          <w:rFonts w:ascii="Cambria" w:hAnsi="Cambria"/>
          <w:position w:val="1"/>
        </w:rPr>
        <w:t>=</w:t>
      </w:r>
      <w:r>
        <w:rPr>
          <w:rFonts w:ascii="Cambria" w:hAnsi="Cambria"/>
          <w:spacing w:val="6"/>
          <w:position w:val="1"/>
        </w:rPr>
        <w:t> </w:t>
      </w:r>
      <w:r>
        <w:rPr>
          <w:rFonts w:ascii="Cambria" w:hAnsi="Cambria"/>
          <w:position w:val="1"/>
        </w:rPr>
        <w:t>4</w:t>
      </w:r>
      <w:r>
        <w:rPr>
          <w:rFonts w:ascii="Cambria" w:hAnsi="Cambria"/>
          <w:spacing w:val="5"/>
          <w:position w:val="1"/>
        </w:rPr>
        <w:t> </w:t>
      </w:r>
      <w:r>
        <w:rPr>
          <w:rFonts w:ascii="Cambria" w:hAnsi="Cambria"/>
          <w:position w:val="1"/>
        </w:rPr>
        <w:t>–</w:t>
      </w:r>
      <w:r>
        <w:rPr>
          <w:rFonts w:ascii="Cambria" w:hAnsi="Cambria"/>
          <w:spacing w:val="7"/>
          <w:position w:val="1"/>
        </w:rPr>
        <w:t> </w:t>
      </w:r>
      <w:r>
        <w:rPr>
          <w:rFonts w:ascii="Cambria" w:hAnsi="Cambria"/>
          <w:position w:val="1"/>
        </w:rPr>
        <w:t>1.230</w:t>
      </w:r>
      <w:r>
        <w:rPr>
          <w:rFonts w:ascii="Cambria" w:hAnsi="Cambria"/>
          <w:spacing w:val="7"/>
          <w:position w:val="1"/>
        </w:rPr>
        <w:t> </w:t>
      </w:r>
      <w:r>
        <w:rPr>
          <w:rFonts w:ascii="Cambria" w:hAnsi="Cambria"/>
          <w:position w:val="1"/>
        </w:rPr>
        <w:t>=</w:t>
      </w:r>
      <w:r>
        <w:rPr>
          <w:rFonts w:ascii="Cambria" w:hAnsi="Cambria"/>
          <w:spacing w:val="5"/>
          <w:position w:val="1"/>
        </w:rPr>
        <w:t> </w:t>
      </w:r>
      <w:r>
        <w:rPr>
          <w:rFonts w:ascii="Cambria" w:hAnsi="Cambria"/>
          <w:position w:val="1"/>
        </w:rPr>
        <w:t>2.774</w:t>
      </w:r>
      <w:r>
        <w:rPr>
          <w:rFonts w:ascii="Cambria" w:hAnsi="Cambria"/>
          <w:spacing w:val="6"/>
          <w:position w:val="1"/>
        </w:rPr>
        <w:t> </w:t>
      </w:r>
      <w:r>
        <w:rPr>
          <w:rFonts w:ascii="Cambria" w:hAnsi="Cambria"/>
          <w:position w:val="1"/>
        </w:rPr>
        <w:t>and</w:t>
      </w:r>
      <w:r>
        <w:rPr>
          <w:rFonts w:ascii="Cambria" w:hAnsi="Cambria"/>
          <w:spacing w:val="4"/>
          <w:position w:val="1"/>
        </w:rPr>
        <w:t> </w:t>
      </w:r>
      <w:r>
        <w:rPr>
          <w:rFonts w:ascii="Cambria" w:hAnsi="Cambria"/>
          <w:position w:val="1"/>
        </w:rPr>
        <w:t>4</w:t>
      </w:r>
      <w:r>
        <w:rPr>
          <w:rFonts w:ascii="Cambria" w:hAnsi="Cambria"/>
          <w:spacing w:val="7"/>
          <w:position w:val="1"/>
        </w:rPr>
        <w:t> </w:t>
      </w:r>
      <w:r>
        <w:rPr>
          <w:rFonts w:ascii="Cambria" w:hAnsi="Cambria"/>
          <w:position w:val="1"/>
        </w:rPr>
        <w:t>–</w:t>
      </w:r>
      <w:r>
        <w:rPr>
          <w:rFonts w:ascii="Cambria" w:hAnsi="Cambria"/>
          <w:spacing w:val="7"/>
          <w:position w:val="1"/>
        </w:rPr>
        <w:t> </w:t>
      </w:r>
      <w:r>
        <w:rPr>
          <w:rFonts w:ascii="Cambria" w:hAnsi="Cambria"/>
          <w:position w:val="1"/>
        </w:rPr>
        <w:t>D</w:t>
      </w:r>
      <w:r>
        <w:rPr>
          <w:rFonts w:ascii="Cambria" w:hAnsi="Cambria"/>
          <w:sz w:val="16"/>
        </w:rPr>
        <w:t>u</w:t>
      </w:r>
      <w:r>
        <w:rPr>
          <w:rFonts w:ascii="Cambria" w:hAnsi="Cambria"/>
          <w:spacing w:val="24"/>
          <w:sz w:val="16"/>
        </w:rPr>
        <w:t> </w:t>
      </w:r>
      <w:r>
        <w:rPr>
          <w:rFonts w:ascii="Cambria" w:hAnsi="Cambria"/>
          <w:spacing w:val="-10"/>
          <w:position w:val="1"/>
        </w:rPr>
        <w:t>=</w:t>
      </w:r>
    </w:p>
    <w:p>
      <w:pPr>
        <w:pStyle w:val="BodyText"/>
        <w:rPr>
          <w:rFonts w:ascii="Cambria"/>
        </w:rPr>
      </w:pPr>
    </w:p>
    <w:p>
      <w:pPr>
        <w:pStyle w:val="BodyText"/>
        <w:ind w:left="711"/>
        <w:rPr>
          <w:rFonts w:ascii="Cambria" w:hAnsi="Cambria"/>
        </w:rPr>
      </w:pPr>
      <w:r>
        <w:rPr/>
        <mc:AlternateContent>
          <mc:Choice Requires="wps">
            <w:drawing>
              <wp:anchor distT="0" distB="0" distL="0" distR="0" allowOverlap="1" layoutInCell="1" locked="0" behindDoc="1" simplePos="0" relativeHeight="464180224">
                <wp:simplePos x="0" y="0"/>
                <wp:positionH relativeFrom="page">
                  <wp:posOffset>1475302</wp:posOffset>
                </wp:positionH>
                <wp:positionV relativeFrom="paragraph">
                  <wp:posOffset>1073195</wp:posOffset>
                </wp:positionV>
                <wp:extent cx="805815" cy="1608455"/>
                <wp:effectExtent l="0" t="0" r="0" b="0"/>
                <wp:wrapNone/>
                <wp:docPr id="215" name="Textbox 215"/>
                <wp:cNvGraphicFramePr>
                  <a:graphicFrameLocks/>
                </wp:cNvGraphicFramePr>
                <a:graphic>
                  <a:graphicData uri="http://schemas.microsoft.com/office/word/2010/wordprocessingShape">
                    <wps:wsp>
                      <wps:cNvPr id="215" name="Textbox 215"/>
                      <wps:cNvSpPr txBox="1"/>
                      <wps:spPr>
                        <a:xfrm>
                          <a:off x="0" y="0"/>
                          <a:ext cx="805815" cy="1608455"/>
                        </a:xfrm>
                        <a:prstGeom prst="rect">
                          <a:avLst/>
                        </a:prstGeom>
                      </wps:spPr>
                      <wps:txbx>
                        <w:txbxContent>
                          <w:p>
                            <w:pPr>
                              <w:pStyle w:val="BodyText"/>
                              <w:ind w:left="86"/>
                              <w:rPr>
                                <w:rFonts w:ascii="Cambria"/>
                              </w:rPr>
                            </w:pPr>
                            <w:r>
                              <w:rPr>
                                <w:rFonts w:ascii="Cambria"/>
                                <w:spacing w:val="-2"/>
                              </w:rPr>
                              <w:t>Graph</w:t>
                            </w:r>
                          </w:p>
                          <w:p>
                            <w:pPr>
                              <w:pStyle w:val="BodyText"/>
                              <w:rPr>
                                <w:rFonts w:ascii="Cambria"/>
                              </w:rPr>
                            </w:pPr>
                          </w:p>
                          <w:p>
                            <w:pPr>
                              <w:pStyle w:val="BodyText"/>
                              <w:rPr>
                                <w:rFonts w:ascii="Cambria"/>
                              </w:rPr>
                            </w:pPr>
                          </w:p>
                          <w:p>
                            <w:pPr>
                              <w:pStyle w:val="BodyText"/>
                              <w:rPr>
                                <w:rFonts w:ascii="Cambria"/>
                              </w:rPr>
                            </w:pPr>
                          </w:p>
                          <w:p>
                            <w:pPr>
                              <w:pStyle w:val="BodyText"/>
                              <w:rPr>
                                <w:rFonts w:ascii="Cambria"/>
                              </w:rPr>
                            </w:pPr>
                          </w:p>
                          <w:p>
                            <w:pPr>
                              <w:pStyle w:val="BodyText"/>
                              <w:rPr>
                                <w:rFonts w:ascii="Cambria"/>
                              </w:rPr>
                            </w:pPr>
                          </w:p>
                          <w:p>
                            <w:pPr>
                              <w:pStyle w:val="BodyText"/>
                              <w:rPr>
                                <w:rFonts w:ascii="Cambria"/>
                              </w:rPr>
                            </w:pPr>
                          </w:p>
                          <w:p>
                            <w:pPr>
                              <w:pStyle w:val="BodyText"/>
                              <w:rPr>
                                <w:rFonts w:ascii="Cambria"/>
                              </w:rPr>
                            </w:pPr>
                          </w:p>
                          <w:p>
                            <w:pPr>
                              <w:spacing w:before="0"/>
                              <w:ind w:left="0" w:right="0" w:firstLine="0"/>
                              <w:jc w:val="left"/>
                              <w:rPr>
                                <w:rFonts w:ascii="Cambria"/>
                                <w:i/>
                                <w:sz w:val="24"/>
                              </w:rPr>
                            </w:pPr>
                            <w:r>
                              <w:rPr>
                                <w:rFonts w:ascii="Cambria"/>
                                <w:i/>
                                <w:sz w:val="24"/>
                              </w:rPr>
                              <w:t>Durbin</w:t>
                            </w:r>
                            <w:r>
                              <w:rPr>
                                <w:rFonts w:ascii="Cambria"/>
                                <w:i/>
                                <w:spacing w:val="-5"/>
                                <w:sz w:val="24"/>
                              </w:rPr>
                              <w:t> </w:t>
                            </w:r>
                            <w:r>
                              <w:rPr>
                                <w:rFonts w:ascii="Cambria"/>
                                <w:i/>
                                <w:spacing w:val="-4"/>
                                <w:sz w:val="24"/>
                              </w:rPr>
                              <w:t>Wats</w:t>
                            </w:r>
                          </w:p>
                        </w:txbxContent>
                      </wps:txbx>
                      <wps:bodyPr wrap="square" lIns="0" tIns="0" rIns="0" bIns="0" rtlCol="0">
                        <a:noAutofit/>
                      </wps:bodyPr>
                    </wps:wsp>
                  </a:graphicData>
                </a:graphic>
              </wp:anchor>
            </w:drawing>
          </mc:Choice>
          <mc:Fallback>
            <w:pict>
              <v:shape style="position:absolute;margin-left:116.165535pt;margin-top:84.503586pt;width:63.45pt;height:126.65pt;mso-position-horizontal-relative:page;mso-position-vertical-relative:paragraph;z-index:-39136256" type="#_x0000_t202" id="docshape199" filled="false" stroked="false">
                <v:textbox inset="0,0,0,0">
                  <w:txbxContent>
                    <w:p>
                      <w:pPr>
                        <w:pStyle w:val="BodyText"/>
                        <w:ind w:left="86"/>
                        <w:rPr>
                          <w:rFonts w:ascii="Cambria"/>
                        </w:rPr>
                      </w:pPr>
                      <w:r>
                        <w:rPr>
                          <w:rFonts w:ascii="Cambria"/>
                          <w:spacing w:val="-2"/>
                        </w:rPr>
                        <w:t>Graph</w:t>
                      </w:r>
                    </w:p>
                    <w:p>
                      <w:pPr>
                        <w:pStyle w:val="BodyText"/>
                        <w:rPr>
                          <w:rFonts w:ascii="Cambria"/>
                        </w:rPr>
                      </w:pPr>
                    </w:p>
                    <w:p>
                      <w:pPr>
                        <w:pStyle w:val="BodyText"/>
                        <w:rPr>
                          <w:rFonts w:ascii="Cambria"/>
                        </w:rPr>
                      </w:pPr>
                    </w:p>
                    <w:p>
                      <w:pPr>
                        <w:pStyle w:val="BodyText"/>
                        <w:rPr>
                          <w:rFonts w:ascii="Cambria"/>
                        </w:rPr>
                      </w:pPr>
                    </w:p>
                    <w:p>
                      <w:pPr>
                        <w:pStyle w:val="BodyText"/>
                        <w:rPr>
                          <w:rFonts w:ascii="Cambria"/>
                        </w:rPr>
                      </w:pPr>
                    </w:p>
                    <w:p>
                      <w:pPr>
                        <w:pStyle w:val="BodyText"/>
                        <w:rPr>
                          <w:rFonts w:ascii="Cambria"/>
                        </w:rPr>
                      </w:pPr>
                    </w:p>
                    <w:p>
                      <w:pPr>
                        <w:pStyle w:val="BodyText"/>
                        <w:rPr>
                          <w:rFonts w:ascii="Cambria"/>
                        </w:rPr>
                      </w:pPr>
                    </w:p>
                    <w:p>
                      <w:pPr>
                        <w:pStyle w:val="BodyText"/>
                        <w:rPr>
                          <w:rFonts w:ascii="Cambria"/>
                        </w:rPr>
                      </w:pPr>
                    </w:p>
                    <w:p>
                      <w:pPr>
                        <w:spacing w:before="0"/>
                        <w:ind w:left="0" w:right="0" w:firstLine="0"/>
                        <w:jc w:val="left"/>
                        <w:rPr>
                          <w:rFonts w:ascii="Cambria"/>
                          <w:i/>
                          <w:sz w:val="24"/>
                        </w:rPr>
                      </w:pPr>
                      <w:r>
                        <w:rPr>
                          <w:rFonts w:ascii="Cambria"/>
                          <w:i/>
                          <w:sz w:val="24"/>
                        </w:rPr>
                        <w:t>Durbin</w:t>
                      </w:r>
                      <w:r>
                        <w:rPr>
                          <w:rFonts w:ascii="Cambria"/>
                          <w:i/>
                          <w:spacing w:val="-5"/>
                          <w:sz w:val="24"/>
                        </w:rPr>
                        <w:t> </w:t>
                      </w:r>
                      <w:r>
                        <w:rPr>
                          <w:rFonts w:ascii="Cambria"/>
                          <w:i/>
                          <w:spacing w:val="-4"/>
                          <w:sz w:val="24"/>
                        </w:rPr>
                        <w:t>Wats</w:t>
                      </w:r>
                    </w:p>
                  </w:txbxContent>
                </v:textbox>
                <w10:wrap type="none"/>
              </v:shape>
            </w:pict>
          </mc:Fallback>
        </mc:AlternateContent>
      </w:r>
      <w:r>
        <w:rPr>
          <w:rFonts w:ascii="Cambria" w:hAnsi="Cambria"/>
        </w:rPr>
        <w:t>4</w:t>
      </w:r>
      <w:r>
        <w:rPr>
          <w:rFonts w:ascii="Cambria" w:hAnsi="Cambria"/>
          <w:spacing w:val="-4"/>
        </w:rPr>
        <w:t> </w:t>
      </w:r>
      <w:r>
        <w:rPr>
          <w:rFonts w:ascii="Cambria" w:hAnsi="Cambria"/>
        </w:rPr>
        <w:t>–</w:t>
      </w:r>
      <w:r>
        <w:rPr>
          <w:rFonts w:ascii="Cambria" w:hAnsi="Cambria"/>
          <w:spacing w:val="-1"/>
        </w:rPr>
        <w:t> </w:t>
      </w:r>
      <w:r>
        <w:rPr>
          <w:rFonts w:ascii="Cambria" w:hAnsi="Cambria"/>
        </w:rPr>
        <w:t>1.786 =</w:t>
      </w:r>
      <w:r>
        <w:rPr>
          <w:rFonts w:ascii="Cambria" w:hAnsi="Cambria"/>
          <w:spacing w:val="-1"/>
        </w:rPr>
        <w:t> </w:t>
      </w:r>
      <w:r>
        <w:rPr>
          <w:rFonts w:ascii="Cambria" w:hAnsi="Cambria"/>
          <w:spacing w:val="-4"/>
        </w:rPr>
        <w:t>2.214</w:t>
      </w:r>
    </w:p>
    <w:p>
      <w:pPr>
        <w:pStyle w:val="BodyText"/>
        <w:spacing w:before="24"/>
        <w:rPr>
          <w:rFonts w:ascii="Cambria"/>
          <w:sz w:val="20"/>
        </w:rPr>
      </w:pPr>
      <w:r>
        <w:rPr/>
        <mc:AlternateContent>
          <mc:Choice Requires="wps">
            <w:drawing>
              <wp:anchor distT="0" distB="0" distL="0" distR="0" allowOverlap="1" layoutInCell="1" locked="0" behindDoc="1" simplePos="0" relativeHeight="487616000">
                <wp:simplePos x="0" y="0"/>
                <wp:positionH relativeFrom="page">
                  <wp:posOffset>653795</wp:posOffset>
                </wp:positionH>
                <wp:positionV relativeFrom="paragraph">
                  <wp:posOffset>179771</wp:posOffset>
                </wp:positionV>
                <wp:extent cx="5652135" cy="4540250"/>
                <wp:effectExtent l="0" t="0" r="0" b="0"/>
                <wp:wrapTopAndBottom/>
                <wp:docPr id="216" name="Group 216"/>
                <wp:cNvGraphicFramePr>
                  <a:graphicFrameLocks/>
                </wp:cNvGraphicFramePr>
                <a:graphic>
                  <a:graphicData uri="http://schemas.microsoft.com/office/word/2010/wordprocessingGroup">
                    <wpg:wgp>
                      <wpg:cNvPr id="216" name="Group 216"/>
                      <wpg:cNvGrpSpPr/>
                      <wpg:grpSpPr>
                        <a:xfrm>
                          <a:off x="0" y="0"/>
                          <a:ext cx="5652135" cy="4540250"/>
                          <a:chExt cx="5652135" cy="4540250"/>
                        </a:xfrm>
                      </wpg:grpSpPr>
                      <wps:wsp>
                        <wps:cNvPr id="217" name="Graphic 217"/>
                        <wps:cNvSpPr/>
                        <wps:spPr>
                          <a:xfrm>
                            <a:off x="79628" y="1074739"/>
                            <a:ext cx="5286375" cy="2934335"/>
                          </a:xfrm>
                          <a:custGeom>
                            <a:avLst/>
                            <a:gdLst/>
                            <a:ahLst/>
                            <a:cxnLst/>
                            <a:rect l="l" t="t" r="r" b="b"/>
                            <a:pathLst>
                              <a:path w="5286375" h="2934335">
                                <a:moveTo>
                                  <a:pt x="0" y="2933918"/>
                                </a:moveTo>
                                <a:lnTo>
                                  <a:pt x="32651" y="2886379"/>
                                </a:lnTo>
                                <a:lnTo>
                                  <a:pt x="65296" y="2838856"/>
                                </a:lnTo>
                                <a:lnTo>
                                  <a:pt x="97929" y="2791364"/>
                                </a:lnTo>
                                <a:lnTo>
                                  <a:pt x="130542" y="2743918"/>
                                </a:lnTo>
                                <a:lnTo>
                                  <a:pt x="163128" y="2696534"/>
                                </a:lnTo>
                                <a:lnTo>
                                  <a:pt x="195680" y="2649227"/>
                                </a:lnTo>
                                <a:lnTo>
                                  <a:pt x="228191" y="2602013"/>
                                </a:lnTo>
                                <a:lnTo>
                                  <a:pt x="260653" y="2554907"/>
                                </a:lnTo>
                                <a:lnTo>
                                  <a:pt x="293060" y="2507925"/>
                                </a:lnTo>
                                <a:lnTo>
                                  <a:pt x="325404" y="2461082"/>
                                </a:lnTo>
                                <a:lnTo>
                                  <a:pt x="357678" y="2414393"/>
                                </a:lnTo>
                                <a:lnTo>
                                  <a:pt x="389876" y="2367874"/>
                                </a:lnTo>
                                <a:lnTo>
                                  <a:pt x="421989" y="2321541"/>
                                </a:lnTo>
                                <a:lnTo>
                                  <a:pt x="454011" y="2275409"/>
                                </a:lnTo>
                                <a:lnTo>
                                  <a:pt x="485935" y="2229493"/>
                                </a:lnTo>
                                <a:lnTo>
                                  <a:pt x="517753" y="2183809"/>
                                </a:lnTo>
                                <a:lnTo>
                                  <a:pt x="549458" y="2138372"/>
                                </a:lnTo>
                                <a:lnTo>
                                  <a:pt x="581044" y="2093198"/>
                                </a:lnTo>
                                <a:lnTo>
                                  <a:pt x="612503" y="2048301"/>
                                </a:lnTo>
                                <a:lnTo>
                                  <a:pt x="643829" y="2003699"/>
                                </a:lnTo>
                                <a:lnTo>
                                  <a:pt x="675013" y="1959406"/>
                                </a:lnTo>
                                <a:lnTo>
                                  <a:pt x="706048" y="1915437"/>
                                </a:lnTo>
                                <a:lnTo>
                                  <a:pt x="736929" y="1871808"/>
                                </a:lnTo>
                                <a:lnTo>
                                  <a:pt x="767646" y="1828534"/>
                                </a:lnTo>
                                <a:lnTo>
                                  <a:pt x="798195" y="1785632"/>
                                </a:lnTo>
                                <a:lnTo>
                                  <a:pt x="828566" y="1743115"/>
                                </a:lnTo>
                                <a:lnTo>
                                  <a:pt x="858753" y="1701001"/>
                                </a:lnTo>
                                <a:lnTo>
                                  <a:pt x="888750" y="1659304"/>
                                </a:lnTo>
                                <a:lnTo>
                                  <a:pt x="918548" y="1618039"/>
                                </a:lnTo>
                                <a:lnTo>
                                  <a:pt x="948141" y="1577223"/>
                                </a:lnTo>
                                <a:lnTo>
                                  <a:pt x="977521" y="1536870"/>
                                </a:lnTo>
                                <a:lnTo>
                                  <a:pt x="1006682" y="1496996"/>
                                </a:lnTo>
                                <a:lnTo>
                                  <a:pt x="1035616" y="1457617"/>
                                </a:lnTo>
                                <a:lnTo>
                                  <a:pt x="1064317" y="1418748"/>
                                </a:lnTo>
                                <a:lnTo>
                                  <a:pt x="1092776" y="1380404"/>
                                </a:lnTo>
                                <a:lnTo>
                                  <a:pt x="1120987" y="1342601"/>
                                </a:lnTo>
                                <a:lnTo>
                                  <a:pt x="1148943" y="1305354"/>
                                </a:lnTo>
                                <a:lnTo>
                                  <a:pt x="1176637" y="1268679"/>
                                </a:lnTo>
                                <a:lnTo>
                                  <a:pt x="1204061" y="1232592"/>
                                </a:lnTo>
                                <a:lnTo>
                                  <a:pt x="1231209" y="1197107"/>
                                </a:lnTo>
                                <a:lnTo>
                                  <a:pt x="1258072" y="1162240"/>
                                </a:lnTo>
                                <a:lnTo>
                                  <a:pt x="1284645" y="1128007"/>
                                </a:lnTo>
                                <a:lnTo>
                                  <a:pt x="1310920" y="1094422"/>
                                </a:lnTo>
                                <a:lnTo>
                                  <a:pt x="1336890" y="1061503"/>
                                </a:lnTo>
                                <a:lnTo>
                                  <a:pt x="1362547" y="1029263"/>
                                </a:lnTo>
                                <a:lnTo>
                                  <a:pt x="1387885" y="997719"/>
                                </a:lnTo>
                                <a:lnTo>
                                  <a:pt x="1412896" y="966885"/>
                                </a:lnTo>
                                <a:lnTo>
                                  <a:pt x="1437574" y="936778"/>
                                </a:lnTo>
                                <a:lnTo>
                                  <a:pt x="1461911" y="907412"/>
                                </a:lnTo>
                                <a:lnTo>
                                  <a:pt x="1534790" y="821623"/>
                                </a:lnTo>
                                <a:lnTo>
                                  <a:pt x="1582279" y="767594"/>
                                </a:lnTo>
                                <a:lnTo>
                                  <a:pt x="1628421" y="716587"/>
                                </a:lnTo>
                                <a:lnTo>
                                  <a:pt x="1673269" y="668470"/>
                                </a:lnTo>
                                <a:lnTo>
                                  <a:pt x="1716876" y="623112"/>
                                </a:lnTo>
                                <a:lnTo>
                                  <a:pt x="1759297" y="580382"/>
                                </a:lnTo>
                                <a:lnTo>
                                  <a:pt x="1800585" y="540149"/>
                                </a:lnTo>
                                <a:lnTo>
                                  <a:pt x="1840794" y="502282"/>
                                </a:lnTo>
                                <a:lnTo>
                                  <a:pt x="1879978" y="466650"/>
                                </a:lnTo>
                                <a:lnTo>
                                  <a:pt x="1918190" y="433122"/>
                                </a:lnTo>
                                <a:lnTo>
                                  <a:pt x="1955485" y="401566"/>
                                </a:lnTo>
                                <a:lnTo>
                                  <a:pt x="1991915" y="371852"/>
                                </a:lnTo>
                                <a:lnTo>
                                  <a:pt x="2027535" y="343848"/>
                                </a:lnTo>
                                <a:lnTo>
                                  <a:pt x="2062399" y="317424"/>
                                </a:lnTo>
                                <a:lnTo>
                                  <a:pt x="2096560" y="292449"/>
                                </a:lnTo>
                                <a:lnTo>
                                  <a:pt x="2130072" y="268790"/>
                                </a:lnTo>
                                <a:lnTo>
                                  <a:pt x="2162988" y="246318"/>
                                </a:lnTo>
                                <a:lnTo>
                                  <a:pt x="2195363" y="224901"/>
                                </a:lnTo>
                                <a:lnTo>
                                  <a:pt x="2258703" y="184708"/>
                                </a:lnTo>
                                <a:lnTo>
                                  <a:pt x="2320522" y="147163"/>
                                </a:lnTo>
                                <a:lnTo>
                                  <a:pt x="2381250" y="111216"/>
                                </a:lnTo>
                                <a:lnTo>
                                  <a:pt x="2438868" y="79054"/>
                                </a:lnTo>
                                <a:lnTo>
                                  <a:pt x="2491625" y="53206"/>
                                </a:lnTo>
                                <a:lnTo>
                                  <a:pt x="2540347" y="33139"/>
                                </a:lnTo>
                                <a:lnTo>
                                  <a:pt x="2585861" y="18318"/>
                                </a:lnTo>
                                <a:lnTo>
                                  <a:pt x="2628993" y="8210"/>
                                </a:lnTo>
                                <a:lnTo>
                                  <a:pt x="2670571" y="2282"/>
                                </a:lnTo>
                                <a:lnTo>
                                  <a:pt x="2711422" y="0"/>
                                </a:lnTo>
                                <a:lnTo>
                                  <a:pt x="2752372" y="830"/>
                                </a:lnTo>
                                <a:lnTo>
                                  <a:pt x="2794248" y="4238"/>
                                </a:lnTo>
                                <a:lnTo>
                                  <a:pt x="2837876" y="9693"/>
                                </a:lnTo>
                                <a:lnTo>
                                  <a:pt x="2884085" y="16658"/>
                                </a:lnTo>
                                <a:lnTo>
                                  <a:pt x="2933700" y="24602"/>
                                </a:lnTo>
                                <a:lnTo>
                                  <a:pt x="2975729" y="31949"/>
                                </a:lnTo>
                                <a:lnTo>
                                  <a:pt x="3019137" y="40804"/>
                                </a:lnTo>
                                <a:lnTo>
                                  <a:pt x="3063727" y="51203"/>
                                </a:lnTo>
                                <a:lnTo>
                                  <a:pt x="3109303" y="63182"/>
                                </a:lnTo>
                                <a:lnTo>
                                  <a:pt x="3155667" y="76776"/>
                                </a:lnTo>
                                <a:lnTo>
                                  <a:pt x="3202625" y="92020"/>
                                </a:lnTo>
                                <a:lnTo>
                                  <a:pt x="3249978" y="108950"/>
                                </a:lnTo>
                                <a:lnTo>
                                  <a:pt x="3297531" y="127601"/>
                                </a:lnTo>
                                <a:lnTo>
                                  <a:pt x="3345088" y="148009"/>
                                </a:lnTo>
                                <a:lnTo>
                                  <a:pt x="3392452" y="170210"/>
                                </a:lnTo>
                                <a:lnTo>
                                  <a:pt x="3439426" y="194238"/>
                                </a:lnTo>
                                <a:lnTo>
                                  <a:pt x="3485814" y="220129"/>
                                </a:lnTo>
                                <a:lnTo>
                                  <a:pt x="3531420" y="247919"/>
                                </a:lnTo>
                                <a:lnTo>
                                  <a:pt x="3576047" y="277643"/>
                                </a:lnTo>
                                <a:lnTo>
                                  <a:pt x="3619500" y="309336"/>
                                </a:lnTo>
                                <a:lnTo>
                                  <a:pt x="3654236" y="335990"/>
                                </a:lnTo>
                                <a:lnTo>
                                  <a:pt x="3687303" y="361756"/>
                                </a:lnTo>
                                <a:lnTo>
                                  <a:pt x="3718983" y="387061"/>
                                </a:lnTo>
                                <a:lnTo>
                                  <a:pt x="3749557" y="412334"/>
                                </a:lnTo>
                                <a:lnTo>
                                  <a:pt x="3779308" y="438003"/>
                                </a:lnTo>
                                <a:lnTo>
                                  <a:pt x="3808518" y="464497"/>
                                </a:lnTo>
                                <a:lnTo>
                                  <a:pt x="3837469" y="492244"/>
                                </a:lnTo>
                                <a:lnTo>
                                  <a:pt x="3866444" y="521671"/>
                                </a:lnTo>
                                <a:lnTo>
                                  <a:pt x="3895725" y="553208"/>
                                </a:lnTo>
                                <a:lnTo>
                                  <a:pt x="3925593" y="587282"/>
                                </a:lnTo>
                                <a:lnTo>
                                  <a:pt x="3956332" y="624323"/>
                                </a:lnTo>
                                <a:lnTo>
                                  <a:pt x="3988223" y="664757"/>
                                </a:lnTo>
                                <a:lnTo>
                                  <a:pt x="4021549" y="709015"/>
                                </a:lnTo>
                                <a:lnTo>
                                  <a:pt x="4056591" y="757523"/>
                                </a:lnTo>
                                <a:lnTo>
                                  <a:pt x="4093633" y="810710"/>
                                </a:lnTo>
                                <a:lnTo>
                                  <a:pt x="4132956" y="869004"/>
                                </a:lnTo>
                                <a:lnTo>
                                  <a:pt x="4174842" y="932835"/>
                                </a:lnTo>
                                <a:lnTo>
                                  <a:pt x="4219575" y="1002629"/>
                                </a:lnTo>
                                <a:lnTo>
                                  <a:pt x="4260385" y="1068268"/>
                                </a:lnTo>
                                <a:lnTo>
                                  <a:pt x="4282272" y="1104364"/>
                                </a:lnTo>
                                <a:lnTo>
                                  <a:pt x="4305068" y="1142485"/>
                                </a:lnTo>
                                <a:lnTo>
                                  <a:pt x="4328716" y="1182511"/>
                                </a:lnTo>
                                <a:lnTo>
                                  <a:pt x="4353159" y="1224323"/>
                                </a:lnTo>
                                <a:lnTo>
                                  <a:pt x="4378338" y="1267801"/>
                                </a:lnTo>
                                <a:lnTo>
                                  <a:pt x="4404195" y="1312826"/>
                                </a:lnTo>
                                <a:lnTo>
                                  <a:pt x="4430673" y="1359278"/>
                                </a:lnTo>
                                <a:lnTo>
                                  <a:pt x="4457713" y="1407037"/>
                                </a:lnTo>
                                <a:lnTo>
                                  <a:pt x="4485257" y="1455984"/>
                                </a:lnTo>
                                <a:lnTo>
                                  <a:pt x="4513248" y="1506000"/>
                                </a:lnTo>
                                <a:lnTo>
                                  <a:pt x="4541628" y="1556964"/>
                                </a:lnTo>
                                <a:lnTo>
                                  <a:pt x="4570339" y="1608757"/>
                                </a:lnTo>
                                <a:lnTo>
                                  <a:pt x="4599322" y="1661260"/>
                                </a:lnTo>
                                <a:lnTo>
                                  <a:pt x="4628520" y="1714353"/>
                                </a:lnTo>
                                <a:lnTo>
                                  <a:pt x="4657875" y="1767916"/>
                                </a:lnTo>
                                <a:lnTo>
                                  <a:pt x="4687329" y="1821830"/>
                                </a:lnTo>
                                <a:lnTo>
                                  <a:pt x="4716824" y="1875975"/>
                                </a:lnTo>
                                <a:lnTo>
                                  <a:pt x="4746302" y="1930232"/>
                                </a:lnTo>
                                <a:lnTo>
                                  <a:pt x="4775705" y="1984481"/>
                                </a:lnTo>
                                <a:lnTo>
                                  <a:pt x="4804975" y="2038602"/>
                                </a:lnTo>
                                <a:lnTo>
                                  <a:pt x="4834055" y="2092476"/>
                                </a:lnTo>
                                <a:lnTo>
                                  <a:pt x="4862886" y="2145984"/>
                                </a:lnTo>
                                <a:lnTo>
                                  <a:pt x="4891410" y="2199005"/>
                                </a:lnTo>
                                <a:lnTo>
                                  <a:pt x="4919570" y="2251421"/>
                                </a:lnTo>
                                <a:lnTo>
                                  <a:pt x="4947307" y="2303111"/>
                                </a:lnTo>
                                <a:lnTo>
                                  <a:pt x="4974564" y="2353956"/>
                                </a:lnTo>
                                <a:lnTo>
                                  <a:pt x="5001283" y="2403836"/>
                                </a:lnTo>
                                <a:lnTo>
                                  <a:pt x="5027405" y="2452633"/>
                                </a:lnTo>
                                <a:lnTo>
                                  <a:pt x="5052873" y="2500225"/>
                                </a:lnTo>
                                <a:lnTo>
                                  <a:pt x="5077629" y="2546495"/>
                                </a:lnTo>
                                <a:lnTo>
                                  <a:pt x="5101615" y="2591321"/>
                                </a:lnTo>
                                <a:lnTo>
                                  <a:pt x="5124773" y="2634585"/>
                                </a:lnTo>
                                <a:lnTo>
                                  <a:pt x="5147045" y="2676167"/>
                                </a:lnTo>
                                <a:lnTo>
                                  <a:pt x="5168373" y="2715947"/>
                                </a:lnTo>
                                <a:lnTo>
                                  <a:pt x="5188700" y="2753806"/>
                                </a:lnTo>
                                <a:lnTo>
                                  <a:pt x="5207966" y="2789624"/>
                                </a:lnTo>
                                <a:lnTo>
                                  <a:pt x="5226115" y="2823282"/>
                                </a:lnTo>
                                <a:lnTo>
                                  <a:pt x="5258828" y="2883638"/>
                                </a:lnTo>
                                <a:lnTo>
                                  <a:pt x="5273276" y="2910098"/>
                                </a:lnTo>
                                <a:lnTo>
                                  <a:pt x="5286375" y="2933918"/>
                                </a:lnTo>
                              </a:path>
                            </a:pathLst>
                          </a:custGeom>
                          <a:ln w="19050">
                            <a:solidFill>
                              <a:srgbClr val="000000"/>
                            </a:solidFill>
                            <a:prstDash val="solid"/>
                          </a:ln>
                        </wps:spPr>
                        <wps:bodyPr wrap="square" lIns="0" tIns="0" rIns="0" bIns="0" rtlCol="0">
                          <a:prstTxWarp prst="textNoShape">
                            <a:avLst/>
                          </a:prstTxWarp>
                          <a:noAutofit/>
                        </wps:bodyPr>
                      </wps:wsp>
                      <wps:wsp>
                        <wps:cNvPr id="218" name="Graphic 218"/>
                        <wps:cNvSpPr/>
                        <wps:spPr>
                          <a:xfrm>
                            <a:off x="41529" y="108868"/>
                            <a:ext cx="5610225" cy="3950335"/>
                          </a:xfrm>
                          <a:custGeom>
                            <a:avLst/>
                            <a:gdLst/>
                            <a:ahLst/>
                            <a:cxnLst/>
                            <a:rect l="l" t="t" r="r" b="b"/>
                            <a:pathLst>
                              <a:path w="5610225" h="3950335">
                                <a:moveTo>
                                  <a:pt x="5610225" y="3912108"/>
                                </a:moveTo>
                                <a:lnTo>
                                  <a:pt x="5600827" y="3907409"/>
                                </a:lnTo>
                                <a:lnTo>
                                  <a:pt x="5534025" y="3874008"/>
                                </a:lnTo>
                                <a:lnTo>
                                  <a:pt x="5534025" y="3907409"/>
                                </a:lnTo>
                                <a:lnTo>
                                  <a:pt x="42862" y="3907409"/>
                                </a:lnTo>
                                <a:lnTo>
                                  <a:pt x="42862" y="76200"/>
                                </a:lnTo>
                                <a:lnTo>
                                  <a:pt x="76200" y="76200"/>
                                </a:lnTo>
                                <a:lnTo>
                                  <a:pt x="69850" y="63500"/>
                                </a:lnTo>
                                <a:lnTo>
                                  <a:pt x="38100" y="0"/>
                                </a:lnTo>
                                <a:lnTo>
                                  <a:pt x="0" y="76200"/>
                                </a:lnTo>
                                <a:lnTo>
                                  <a:pt x="33337" y="76200"/>
                                </a:lnTo>
                                <a:lnTo>
                                  <a:pt x="33337" y="3912108"/>
                                </a:lnTo>
                                <a:lnTo>
                                  <a:pt x="38100" y="3912108"/>
                                </a:lnTo>
                                <a:lnTo>
                                  <a:pt x="38100" y="3916934"/>
                                </a:lnTo>
                                <a:lnTo>
                                  <a:pt x="5534025" y="3916934"/>
                                </a:lnTo>
                                <a:lnTo>
                                  <a:pt x="5534025" y="3950208"/>
                                </a:lnTo>
                                <a:lnTo>
                                  <a:pt x="5600573" y="3916934"/>
                                </a:lnTo>
                                <a:lnTo>
                                  <a:pt x="5610225" y="3912108"/>
                                </a:lnTo>
                                <a:close/>
                              </a:path>
                            </a:pathLst>
                          </a:custGeom>
                          <a:solidFill>
                            <a:srgbClr val="000000"/>
                          </a:solidFill>
                        </wps:spPr>
                        <wps:bodyPr wrap="square" lIns="0" tIns="0" rIns="0" bIns="0" rtlCol="0">
                          <a:prstTxWarp prst="textNoShape">
                            <a:avLst/>
                          </a:prstTxWarp>
                          <a:noAutofit/>
                        </wps:bodyPr>
                      </wps:wsp>
                      <pic:pic>
                        <pic:nvPicPr>
                          <pic:cNvPr id="219" name="Image 219"/>
                          <pic:cNvPicPr/>
                        </pic:nvPicPr>
                        <pic:blipFill>
                          <a:blip r:embed="rId60" cstate="print"/>
                          <a:stretch>
                            <a:fillRect/>
                          </a:stretch>
                        </pic:blipFill>
                        <pic:spPr>
                          <a:xfrm>
                            <a:off x="79628" y="455578"/>
                            <a:ext cx="771525" cy="3565398"/>
                          </a:xfrm>
                          <a:prstGeom prst="rect">
                            <a:avLst/>
                          </a:prstGeom>
                        </pic:spPr>
                      </pic:pic>
                      <wps:wsp>
                        <wps:cNvPr id="220" name="Graphic 220"/>
                        <wps:cNvSpPr/>
                        <wps:spPr>
                          <a:xfrm>
                            <a:off x="79628" y="455578"/>
                            <a:ext cx="771525" cy="3565525"/>
                          </a:xfrm>
                          <a:custGeom>
                            <a:avLst/>
                            <a:gdLst/>
                            <a:ahLst/>
                            <a:cxnLst/>
                            <a:rect l="l" t="t" r="r" b="b"/>
                            <a:pathLst>
                              <a:path w="771525" h="3565525">
                                <a:moveTo>
                                  <a:pt x="0" y="3565398"/>
                                </a:moveTo>
                                <a:lnTo>
                                  <a:pt x="771525" y="3565398"/>
                                </a:lnTo>
                                <a:lnTo>
                                  <a:pt x="771525" y="0"/>
                                </a:lnTo>
                                <a:lnTo>
                                  <a:pt x="0" y="0"/>
                                </a:lnTo>
                                <a:lnTo>
                                  <a:pt x="0" y="3565398"/>
                                </a:lnTo>
                                <a:close/>
                              </a:path>
                            </a:pathLst>
                          </a:custGeom>
                          <a:ln w="9525">
                            <a:solidFill>
                              <a:srgbClr val="000000"/>
                            </a:solidFill>
                            <a:prstDash val="solid"/>
                          </a:ln>
                        </wps:spPr>
                        <wps:bodyPr wrap="square" lIns="0" tIns="0" rIns="0" bIns="0" rtlCol="0">
                          <a:prstTxWarp prst="textNoShape">
                            <a:avLst/>
                          </a:prstTxWarp>
                          <a:noAutofit/>
                        </wps:bodyPr>
                      </wps:wsp>
                      <wps:wsp>
                        <wps:cNvPr id="221" name="Graphic 221"/>
                        <wps:cNvSpPr/>
                        <wps:spPr>
                          <a:xfrm>
                            <a:off x="851153" y="455578"/>
                            <a:ext cx="771525" cy="3565525"/>
                          </a:xfrm>
                          <a:custGeom>
                            <a:avLst/>
                            <a:gdLst/>
                            <a:ahLst/>
                            <a:cxnLst/>
                            <a:rect l="l" t="t" r="r" b="b"/>
                            <a:pathLst>
                              <a:path w="771525" h="3565525">
                                <a:moveTo>
                                  <a:pt x="771525" y="0"/>
                                </a:moveTo>
                                <a:lnTo>
                                  <a:pt x="0" y="0"/>
                                </a:lnTo>
                                <a:lnTo>
                                  <a:pt x="0" y="3565398"/>
                                </a:lnTo>
                                <a:lnTo>
                                  <a:pt x="771525" y="3565398"/>
                                </a:lnTo>
                                <a:lnTo>
                                  <a:pt x="771525" y="0"/>
                                </a:lnTo>
                                <a:close/>
                              </a:path>
                            </a:pathLst>
                          </a:custGeom>
                          <a:solidFill>
                            <a:srgbClr val="FFFFFF"/>
                          </a:solidFill>
                        </wps:spPr>
                        <wps:bodyPr wrap="square" lIns="0" tIns="0" rIns="0" bIns="0" rtlCol="0">
                          <a:prstTxWarp prst="textNoShape">
                            <a:avLst/>
                          </a:prstTxWarp>
                          <a:noAutofit/>
                        </wps:bodyPr>
                      </wps:wsp>
                      <wps:wsp>
                        <wps:cNvPr id="222" name="Graphic 222"/>
                        <wps:cNvSpPr/>
                        <wps:spPr>
                          <a:xfrm>
                            <a:off x="851153" y="455578"/>
                            <a:ext cx="771525" cy="3565525"/>
                          </a:xfrm>
                          <a:custGeom>
                            <a:avLst/>
                            <a:gdLst/>
                            <a:ahLst/>
                            <a:cxnLst/>
                            <a:rect l="l" t="t" r="r" b="b"/>
                            <a:pathLst>
                              <a:path w="771525" h="3565525">
                                <a:moveTo>
                                  <a:pt x="0" y="3565398"/>
                                </a:moveTo>
                                <a:lnTo>
                                  <a:pt x="771525" y="3565398"/>
                                </a:lnTo>
                                <a:lnTo>
                                  <a:pt x="771525" y="0"/>
                                </a:lnTo>
                                <a:lnTo>
                                  <a:pt x="0" y="0"/>
                                </a:lnTo>
                                <a:lnTo>
                                  <a:pt x="0" y="3565398"/>
                                </a:lnTo>
                                <a:close/>
                              </a:path>
                            </a:pathLst>
                          </a:custGeom>
                          <a:ln w="9525">
                            <a:solidFill>
                              <a:srgbClr val="000000"/>
                            </a:solidFill>
                            <a:prstDash val="solid"/>
                          </a:ln>
                        </wps:spPr>
                        <wps:bodyPr wrap="square" lIns="0" tIns="0" rIns="0" bIns="0" rtlCol="0">
                          <a:prstTxWarp prst="textNoShape">
                            <a:avLst/>
                          </a:prstTxWarp>
                          <a:noAutofit/>
                        </wps:bodyPr>
                      </wps:wsp>
                      <wps:wsp>
                        <wps:cNvPr id="223" name="Graphic 223"/>
                        <wps:cNvSpPr/>
                        <wps:spPr>
                          <a:xfrm>
                            <a:off x="1622678" y="455578"/>
                            <a:ext cx="2076450" cy="3565525"/>
                          </a:xfrm>
                          <a:custGeom>
                            <a:avLst/>
                            <a:gdLst/>
                            <a:ahLst/>
                            <a:cxnLst/>
                            <a:rect l="l" t="t" r="r" b="b"/>
                            <a:pathLst>
                              <a:path w="2076450" h="3565525">
                                <a:moveTo>
                                  <a:pt x="2076450" y="0"/>
                                </a:moveTo>
                                <a:lnTo>
                                  <a:pt x="0" y="0"/>
                                </a:lnTo>
                                <a:lnTo>
                                  <a:pt x="0" y="3565398"/>
                                </a:lnTo>
                                <a:lnTo>
                                  <a:pt x="2076450" y="3565398"/>
                                </a:lnTo>
                                <a:lnTo>
                                  <a:pt x="2076450" y="0"/>
                                </a:lnTo>
                                <a:close/>
                              </a:path>
                            </a:pathLst>
                          </a:custGeom>
                          <a:solidFill>
                            <a:srgbClr val="FFFFFF"/>
                          </a:solidFill>
                        </wps:spPr>
                        <wps:bodyPr wrap="square" lIns="0" tIns="0" rIns="0" bIns="0" rtlCol="0">
                          <a:prstTxWarp prst="textNoShape">
                            <a:avLst/>
                          </a:prstTxWarp>
                          <a:noAutofit/>
                        </wps:bodyPr>
                      </wps:wsp>
                      <wps:wsp>
                        <wps:cNvPr id="224" name="Graphic 224"/>
                        <wps:cNvSpPr/>
                        <wps:spPr>
                          <a:xfrm>
                            <a:off x="1622678" y="455578"/>
                            <a:ext cx="2076450" cy="3565525"/>
                          </a:xfrm>
                          <a:custGeom>
                            <a:avLst/>
                            <a:gdLst/>
                            <a:ahLst/>
                            <a:cxnLst/>
                            <a:rect l="l" t="t" r="r" b="b"/>
                            <a:pathLst>
                              <a:path w="2076450" h="3565525">
                                <a:moveTo>
                                  <a:pt x="0" y="3565398"/>
                                </a:moveTo>
                                <a:lnTo>
                                  <a:pt x="2076450" y="3565398"/>
                                </a:lnTo>
                                <a:lnTo>
                                  <a:pt x="2076450" y="0"/>
                                </a:lnTo>
                                <a:lnTo>
                                  <a:pt x="0" y="0"/>
                                </a:lnTo>
                                <a:lnTo>
                                  <a:pt x="0" y="3565398"/>
                                </a:lnTo>
                                <a:close/>
                              </a:path>
                            </a:pathLst>
                          </a:custGeom>
                          <a:ln w="9525">
                            <a:solidFill>
                              <a:srgbClr val="000000"/>
                            </a:solidFill>
                            <a:prstDash val="solid"/>
                          </a:ln>
                        </wps:spPr>
                        <wps:bodyPr wrap="square" lIns="0" tIns="0" rIns="0" bIns="0" rtlCol="0">
                          <a:prstTxWarp prst="textNoShape">
                            <a:avLst/>
                          </a:prstTxWarp>
                          <a:noAutofit/>
                        </wps:bodyPr>
                      </wps:wsp>
                      <wps:wsp>
                        <wps:cNvPr id="225" name="Graphic 225"/>
                        <wps:cNvSpPr/>
                        <wps:spPr>
                          <a:xfrm>
                            <a:off x="3699128" y="455578"/>
                            <a:ext cx="847725" cy="3565525"/>
                          </a:xfrm>
                          <a:custGeom>
                            <a:avLst/>
                            <a:gdLst/>
                            <a:ahLst/>
                            <a:cxnLst/>
                            <a:rect l="l" t="t" r="r" b="b"/>
                            <a:pathLst>
                              <a:path w="847725" h="3565525">
                                <a:moveTo>
                                  <a:pt x="847725" y="0"/>
                                </a:moveTo>
                                <a:lnTo>
                                  <a:pt x="0" y="0"/>
                                </a:lnTo>
                                <a:lnTo>
                                  <a:pt x="0" y="3565398"/>
                                </a:lnTo>
                                <a:lnTo>
                                  <a:pt x="847725" y="3565398"/>
                                </a:lnTo>
                                <a:lnTo>
                                  <a:pt x="847725" y="0"/>
                                </a:lnTo>
                                <a:close/>
                              </a:path>
                            </a:pathLst>
                          </a:custGeom>
                          <a:solidFill>
                            <a:srgbClr val="FFFFFF"/>
                          </a:solidFill>
                        </wps:spPr>
                        <wps:bodyPr wrap="square" lIns="0" tIns="0" rIns="0" bIns="0" rtlCol="0">
                          <a:prstTxWarp prst="textNoShape">
                            <a:avLst/>
                          </a:prstTxWarp>
                          <a:noAutofit/>
                        </wps:bodyPr>
                      </wps:wsp>
                      <wps:wsp>
                        <wps:cNvPr id="226" name="Graphic 226"/>
                        <wps:cNvSpPr/>
                        <wps:spPr>
                          <a:xfrm>
                            <a:off x="3699128" y="455578"/>
                            <a:ext cx="847725" cy="3565525"/>
                          </a:xfrm>
                          <a:custGeom>
                            <a:avLst/>
                            <a:gdLst/>
                            <a:ahLst/>
                            <a:cxnLst/>
                            <a:rect l="l" t="t" r="r" b="b"/>
                            <a:pathLst>
                              <a:path w="847725" h="3565525">
                                <a:moveTo>
                                  <a:pt x="0" y="3565398"/>
                                </a:moveTo>
                                <a:lnTo>
                                  <a:pt x="847725" y="3565398"/>
                                </a:lnTo>
                                <a:lnTo>
                                  <a:pt x="847725" y="0"/>
                                </a:lnTo>
                                <a:lnTo>
                                  <a:pt x="0" y="0"/>
                                </a:lnTo>
                                <a:lnTo>
                                  <a:pt x="0" y="3565398"/>
                                </a:lnTo>
                                <a:close/>
                              </a:path>
                            </a:pathLst>
                          </a:custGeom>
                          <a:ln w="9525">
                            <a:solidFill>
                              <a:srgbClr val="000000"/>
                            </a:solidFill>
                            <a:prstDash val="solid"/>
                          </a:ln>
                        </wps:spPr>
                        <wps:bodyPr wrap="square" lIns="0" tIns="0" rIns="0" bIns="0" rtlCol="0">
                          <a:prstTxWarp prst="textNoShape">
                            <a:avLst/>
                          </a:prstTxWarp>
                          <a:noAutofit/>
                        </wps:bodyPr>
                      </wps:wsp>
                      <pic:pic>
                        <pic:nvPicPr>
                          <pic:cNvPr id="227" name="Image 227"/>
                          <pic:cNvPicPr/>
                        </pic:nvPicPr>
                        <pic:blipFill>
                          <a:blip r:embed="rId61" cstate="print"/>
                          <a:stretch>
                            <a:fillRect/>
                          </a:stretch>
                        </pic:blipFill>
                        <pic:spPr>
                          <a:xfrm>
                            <a:off x="4537328" y="455578"/>
                            <a:ext cx="809625" cy="3565398"/>
                          </a:xfrm>
                          <a:prstGeom prst="rect">
                            <a:avLst/>
                          </a:prstGeom>
                        </pic:spPr>
                      </pic:pic>
                      <wps:wsp>
                        <wps:cNvPr id="228" name="Graphic 228"/>
                        <wps:cNvSpPr/>
                        <wps:spPr>
                          <a:xfrm>
                            <a:off x="4537328" y="455578"/>
                            <a:ext cx="809625" cy="3565525"/>
                          </a:xfrm>
                          <a:custGeom>
                            <a:avLst/>
                            <a:gdLst/>
                            <a:ahLst/>
                            <a:cxnLst/>
                            <a:rect l="l" t="t" r="r" b="b"/>
                            <a:pathLst>
                              <a:path w="809625" h="3565525">
                                <a:moveTo>
                                  <a:pt x="0" y="3565398"/>
                                </a:moveTo>
                                <a:lnTo>
                                  <a:pt x="809625" y="3565398"/>
                                </a:lnTo>
                                <a:lnTo>
                                  <a:pt x="809625" y="0"/>
                                </a:lnTo>
                                <a:lnTo>
                                  <a:pt x="0" y="0"/>
                                </a:lnTo>
                                <a:lnTo>
                                  <a:pt x="0" y="3565398"/>
                                </a:lnTo>
                                <a:close/>
                              </a:path>
                            </a:pathLst>
                          </a:custGeom>
                          <a:ln w="9525">
                            <a:solidFill>
                              <a:srgbClr val="000000"/>
                            </a:solidFill>
                            <a:prstDash val="solid"/>
                          </a:ln>
                        </wps:spPr>
                        <wps:bodyPr wrap="square" lIns="0" tIns="0" rIns="0" bIns="0" rtlCol="0">
                          <a:prstTxWarp prst="textNoShape">
                            <a:avLst/>
                          </a:prstTxWarp>
                          <a:noAutofit/>
                        </wps:bodyPr>
                      </wps:wsp>
                      <wps:wsp>
                        <wps:cNvPr id="229" name="Graphic 229"/>
                        <wps:cNvSpPr/>
                        <wps:spPr>
                          <a:xfrm>
                            <a:off x="2651379" y="505108"/>
                            <a:ext cx="1270" cy="3515995"/>
                          </a:xfrm>
                          <a:custGeom>
                            <a:avLst/>
                            <a:gdLst/>
                            <a:ahLst/>
                            <a:cxnLst/>
                            <a:rect l="l" t="t" r="r" b="b"/>
                            <a:pathLst>
                              <a:path w="0" h="3515995">
                                <a:moveTo>
                                  <a:pt x="0" y="0"/>
                                </a:moveTo>
                                <a:lnTo>
                                  <a:pt x="0" y="3515868"/>
                                </a:lnTo>
                              </a:path>
                            </a:pathLst>
                          </a:custGeom>
                          <a:ln w="19050">
                            <a:solidFill>
                              <a:srgbClr val="000000"/>
                            </a:solidFill>
                            <a:prstDash val="sysDot"/>
                          </a:ln>
                        </wps:spPr>
                        <wps:bodyPr wrap="square" lIns="0" tIns="0" rIns="0" bIns="0" rtlCol="0">
                          <a:prstTxWarp prst="textNoShape">
                            <a:avLst/>
                          </a:prstTxWarp>
                          <a:noAutofit/>
                        </wps:bodyPr>
                      </wps:wsp>
                      <wps:wsp>
                        <wps:cNvPr id="230" name="Graphic 230"/>
                        <wps:cNvSpPr/>
                        <wps:spPr>
                          <a:xfrm>
                            <a:off x="117729" y="387085"/>
                            <a:ext cx="5248275" cy="118110"/>
                          </a:xfrm>
                          <a:custGeom>
                            <a:avLst/>
                            <a:gdLst/>
                            <a:ahLst/>
                            <a:cxnLst/>
                            <a:rect l="l" t="t" r="r" b="b"/>
                            <a:pathLst>
                              <a:path w="5248275" h="118110">
                                <a:moveTo>
                                  <a:pt x="5248275" y="0"/>
                                </a:moveTo>
                                <a:lnTo>
                                  <a:pt x="0" y="0"/>
                                </a:lnTo>
                                <a:lnTo>
                                  <a:pt x="0" y="118023"/>
                                </a:lnTo>
                                <a:lnTo>
                                  <a:pt x="5248275" y="118023"/>
                                </a:lnTo>
                                <a:lnTo>
                                  <a:pt x="5248275" y="0"/>
                                </a:lnTo>
                                <a:close/>
                              </a:path>
                            </a:pathLst>
                          </a:custGeom>
                          <a:solidFill>
                            <a:srgbClr val="FFFFFF"/>
                          </a:solidFill>
                        </wps:spPr>
                        <wps:bodyPr wrap="square" lIns="0" tIns="0" rIns="0" bIns="0" rtlCol="0">
                          <a:prstTxWarp prst="textNoShape">
                            <a:avLst/>
                          </a:prstTxWarp>
                          <a:noAutofit/>
                        </wps:bodyPr>
                      </wps:wsp>
                      <wps:wsp>
                        <wps:cNvPr id="231" name="Graphic 231"/>
                        <wps:cNvSpPr/>
                        <wps:spPr>
                          <a:xfrm>
                            <a:off x="4986909" y="4032533"/>
                            <a:ext cx="76200" cy="508000"/>
                          </a:xfrm>
                          <a:custGeom>
                            <a:avLst/>
                            <a:gdLst/>
                            <a:ahLst/>
                            <a:cxnLst/>
                            <a:rect l="l" t="t" r="r" b="b"/>
                            <a:pathLst>
                              <a:path w="76200" h="508000">
                                <a:moveTo>
                                  <a:pt x="33274" y="431419"/>
                                </a:moveTo>
                                <a:lnTo>
                                  <a:pt x="0" y="431419"/>
                                </a:lnTo>
                                <a:lnTo>
                                  <a:pt x="38100" y="507619"/>
                                </a:lnTo>
                                <a:lnTo>
                                  <a:pt x="69850" y="444119"/>
                                </a:lnTo>
                                <a:lnTo>
                                  <a:pt x="33274" y="444119"/>
                                </a:lnTo>
                                <a:lnTo>
                                  <a:pt x="33274" y="431419"/>
                                </a:lnTo>
                                <a:close/>
                              </a:path>
                              <a:path w="76200" h="508000">
                                <a:moveTo>
                                  <a:pt x="42799" y="0"/>
                                </a:moveTo>
                                <a:lnTo>
                                  <a:pt x="33274" y="0"/>
                                </a:lnTo>
                                <a:lnTo>
                                  <a:pt x="33274" y="444119"/>
                                </a:lnTo>
                                <a:lnTo>
                                  <a:pt x="42799" y="444119"/>
                                </a:lnTo>
                                <a:lnTo>
                                  <a:pt x="42799" y="0"/>
                                </a:lnTo>
                                <a:close/>
                              </a:path>
                              <a:path w="76200" h="508000">
                                <a:moveTo>
                                  <a:pt x="76200" y="431419"/>
                                </a:moveTo>
                                <a:lnTo>
                                  <a:pt x="42799" y="431419"/>
                                </a:lnTo>
                                <a:lnTo>
                                  <a:pt x="42799" y="444119"/>
                                </a:lnTo>
                                <a:lnTo>
                                  <a:pt x="69850" y="444119"/>
                                </a:lnTo>
                                <a:lnTo>
                                  <a:pt x="76200" y="431419"/>
                                </a:lnTo>
                                <a:close/>
                              </a:path>
                            </a:pathLst>
                          </a:custGeom>
                          <a:solidFill>
                            <a:srgbClr val="000000"/>
                          </a:solidFill>
                        </wps:spPr>
                        <wps:bodyPr wrap="square" lIns="0" tIns="0" rIns="0" bIns="0" rtlCol="0">
                          <a:prstTxWarp prst="textNoShape">
                            <a:avLst/>
                          </a:prstTxWarp>
                          <a:noAutofit/>
                        </wps:bodyPr>
                      </wps:wsp>
                      <wps:wsp>
                        <wps:cNvPr id="232" name="Graphic 232"/>
                        <wps:cNvSpPr/>
                        <wps:spPr>
                          <a:xfrm>
                            <a:off x="79628" y="1036069"/>
                            <a:ext cx="5267325" cy="2973070"/>
                          </a:xfrm>
                          <a:custGeom>
                            <a:avLst/>
                            <a:gdLst/>
                            <a:ahLst/>
                            <a:cxnLst/>
                            <a:rect l="l" t="t" r="r" b="b"/>
                            <a:pathLst>
                              <a:path w="5267325" h="2973070">
                                <a:moveTo>
                                  <a:pt x="0" y="2972588"/>
                                </a:moveTo>
                                <a:lnTo>
                                  <a:pt x="26633" y="2921831"/>
                                </a:lnTo>
                                <a:lnTo>
                                  <a:pt x="53267" y="2871092"/>
                                </a:lnTo>
                                <a:lnTo>
                                  <a:pt x="79899" y="2820388"/>
                                </a:lnTo>
                                <a:lnTo>
                                  <a:pt x="106529" y="2769735"/>
                                </a:lnTo>
                                <a:lnTo>
                                  <a:pt x="133153" y="2719149"/>
                                </a:lnTo>
                                <a:lnTo>
                                  <a:pt x="159772" y="2668647"/>
                                </a:lnTo>
                                <a:lnTo>
                                  <a:pt x="186384" y="2618246"/>
                                </a:lnTo>
                                <a:lnTo>
                                  <a:pt x="212987" y="2567961"/>
                                </a:lnTo>
                                <a:lnTo>
                                  <a:pt x="239579" y="2517809"/>
                                </a:lnTo>
                                <a:lnTo>
                                  <a:pt x="266160" y="2467806"/>
                                </a:lnTo>
                                <a:lnTo>
                                  <a:pt x="292727" y="2417969"/>
                                </a:lnTo>
                                <a:lnTo>
                                  <a:pt x="319280" y="2368314"/>
                                </a:lnTo>
                                <a:lnTo>
                                  <a:pt x="345817" y="2318857"/>
                                </a:lnTo>
                                <a:lnTo>
                                  <a:pt x="372336" y="2269616"/>
                                </a:lnTo>
                                <a:lnTo>
                                  <a:pt x="398835" y="2220605"/>
                                </a:lnTo>
                                <a:lnTo>
                                  <a:pt x="425315" y="2171842"/>
                                </a:lnTo>
                                <a:lnTo>
                                  <a:pt x="451772" y="2123343"/>
                                </a:lnTo>
                                <a:lnTo>
                                  <a:pt x="478206" y="2075124"/>
                                </a:lnTo>
                                <a:lnTo>
                                  <a:pt x="504615" y="2027202"/>
                                </a:lnTo>
                                <a:lnTo>
                                  <a:pt x="530998" y="1979593"/>
                                </a:lnTo>
                                <a:lnTo>
                                  <a:pt x="557352" y="1932313"/>
                                </a:lnTo>
                                <a:lnTo>
                                  <a:pt x="583678" y="1885379"/>
                                </a:lnTo>
                                <a:lnTo>
                                  <a:pt x="609972" y="1838808"/>
                                </a:lnTo>
                                <a:lnTo>
                                  <a:pt x="636235" y="1792614"/>
                                </a:lnTo>
                                <a:lnTo>
                                  <a:pt x="662463" y="1746816"/>
                                </a:lnTo>
                                <a:lnTo>
                                  <a:pt x="688657" y="1701429"/>
                                </a:lnTo>
                                <a:lnTo>
                                  <a:pt x="714814" y="1656469"/>
                                </a:lnTo>
                                <a:lnTo>
                                  <a:pt x="740933" y="1611954"/>
                                </a:lnTo>
                                <a:lnTo>
                                  <a:pt x="767012" y="1567899"/>
                                </a:lnTo>
                                <a:lnTo>
                                  <a:pt x="793050" y="1524321"/>
                                </a:lnTo>
                                <a:lnTo>
                                  <a:pt x="819046" y="1481236"/>
                                </a:lnTo>
                                <a:lnTo>
                                  <a:pt x="844997" y="1438660"/>
                                </a:lnTo>
                                <a:lnTo>
                                  <a:pt x="870904" y="1396610"/>
                                </a:lnTo>
                                <a:lnTo>
                                  <a:pt x="896763" y="1355103"/>
                                </a:lnTo>
                                <a:lnTo>
                                  <a:pt x="922574" y="1314154"/>
                                </a:lnTo>
                                <a:lnTo>
                                  <a:pt x="948336" y="1273780"/>
                                </a:lnTo>
                                <a:lnTo>
                                  <a:pt x="974046" y="1233997"/>
                                </a:lnTo>
                                <a:lnTo>
                                  <a:pt x="999703" y="1194822"/>
                                </a:lnTo>
                                <a:lnTo>
                                  <a:pt x="1025306" y="1156271"/>
                                </a:lnTo>
                                <a:lnTo>
                                  <a:pt x="1050854" y="1118361"/>
                                </a:lnTo>
                                <a:lnTo>
                                  <a:pt x="1076344" y="1081108"/>
                                </a:lnTo>
                                <a:lnTo>
                                  <a:pt x="1101776" y="1044528"/>
                                </a:lnTo>
                                <a:lnTo>
                                  <a:pt x="1127148" y="1008637"/>
                                </a:lnTo>
                                <a:lnTo>
                                  <a:pt x="1152458" y="973452"/>
                                </a:lnTo>
                                <a:lnTo>
                                  <a:pt x="1177705" y="938990"/>
                                </a:lnTo>
                                <a:lnTo>
                                  <a:pt x="1202888" y="905266"/>
                                </a:lnTo>
                                <a:lnTo>
                                  <a:pt x="1228005" y="872298"/>
                                </a:lnTo>
                                <a:lnTo>
                                  <a:pt x="1253054" y="840100"/>
                                </a:lnTo>
                                <a:lnTo>
                                  <a:pt x="1278035" y="808691"/>
                                </a:lnTo>
                                <a:lnTo>
                                  <a:pt x="1302945" y="778086"/>
                                </a:lnTo>
                                <a:lnTo>
                                  <a:pt x="1327784" y="748301"/>
                                </a:lnTo>
                                <a:lnTo>
                                  <a:pt x="1396756" y="669321"/>
                                </a:lnTo>
                                <a:lnTo>
                                  <a:pt x="1440703" y="621461"/>
                                </a:lnTo>
                                <a:lnTo>
                                  <a:pt x="1484401" y="575736"/>
                                </a:lnTo>
                                <a:lnTo>
                                  <a:pt x="1527862" y="532106"/>
                                </a:lnTo>
                                <a:lnTo>
                                  <a:pt x="1571098" y="490532"/>
                                </a:lnTo>
                                <a:lnTo>
                                  <a:pt x="1614122" y="450976"/>
                                </a:lnTo>
                                <a:lnTo>
                                  <a:pt x="1656943" y="413397"/>
                                </a:lnTo>
                                <a:lnTo>
                                  <a:pt x="1699575" y="377757"/>
                                </a:lnTo>
                                <a:lnTo>
                                  <a:pt x="1742029" y="344016"/>
                                </a:lnTo>
                                <a:lnTo>
                                  <a:pt x="1784316" y="312136"/>
                                </a:lnTo>
                                <a:lnTo>
                                  <a:pt x="1826449" y="282078"/>
                                </a:lnTo>
                                <a:lnTo>
                                  <a:pt x="1868439" y="253802"/>
                                </a:lnTo>
                                <a:lnTo>
                                  <a:pt x="1910298" y="227269"/>
                                </a:lnTo>
                                <a:lnTo>
                                  <a:pt x="1952037" y="202440"/>
                                </a:lnTo>
                                <a:lnTo>
                                  <a:pt x="1993668" y="179277"/>
                                </a:lnTo>
                                <a:lnTo>
                                  <a:pt x="2035203" y="157739"/>
                                </a:lnTo>
                                <a:lnTo>
                                  <a:pt x="2076654" y="137787"/>
                                </a:lnTo>
                                <a:lnTo>
                                  <a:pt x="2118032" y="119384"/>
                                </a:lnTo>
                                <a:lnTo>
                                  <a:pt x="2159350" y="102489"/>
                                </a:lnTo>
                                <a:lnTo>
                                  <a:pt x="2200618" y="87063"/>
                                </a:lnTo>
                                <a:lnTo>
                                  <a:pt x="2241848" y="73068"/>
                                </a:lnTo>
                                <a:lnTo>
                                  <a:pt x="2283053" y="60463"/>
                                </a:lnTo>
                                <a:lnTo>
                                  <a:pt x="2324244" y="49211"/>
                                </a:lnTo>
                                <a:lnTo>
                                  <a:pt x="2365432" y="39272"/>
                                </a:lnTo>
                                <a:lnTo>
                                  <a:pt x="2406630" y="30606"/>
                                </a:lnTo>
                                <a:lnTo>
                                  <a:pt x="2447849" y="23175"/>
                                </a:lnTo>
                                <a:lnTo>
                                  <a:pt x="2489101" y="16940"/>
                                </a:lnTo>
                                <a:lnTo>
                                  <a:pt x="2530397" y="11861"/>
                                </a:lnTo>
                                <a:lnTo>
                                  <a:pt x="2571750" y="7900"/>
                                </a:lnTo>
                                <a:lnTo>
                                  <a:pt x="2614360" y="4704"/>
                                </a:lnTo>
                                <a:lnTo>
                                  <a:pt x="2656502" y="2257"/>
                                </a:lnTo>
                                <a:lnTo>
                                  <a:pt x="2698224" y="656"/>
                                </a:lnTo>
                                <a:lnTo>
                                  <a:pt x="2739578" y="0"/>
                                </a:lnTo>
                                <a:lnTo>
                                  <a:pt x="2780614" y="385"/>
                                </a:lnTo>
                                <a:lnTo>
                                  <a:pt x="2821383" y="1909"/>
                                </a:lnTo>
                                <a:lnTo>
                                  <a:pt x="2861935" y="4671"/>
                                </a:lnTo>
                                <a:lnTo>
                                  <a:pt x="2902320" y="8768"/>
                                </a:lnTo>
                                <a:lnTo>
                                  <a:pt x="2942589" y="14297"/>
                                </a:lnTo>
                                <a:lnTo>
                                  <a:pt x="2982793" y="21355"/>
                                </a:lnTo>
                                <a:lnTo>
                                  <a:pt x="3022982" y="30042"/>
                                </a:lnTo>
                                <a:lnTo>
                                  <a:pt x="3063206" y="40454"/>
                                </a:lnTo>
                                <a:lnTo>
                                  <a:pt x="3103517" y="52688"/>
                                </a:lnTo>
                                <a:lnTo>
                                  <a:pt x="3143964" y="66844"/>
                                </a:lnTo>
                                <a:lnTo>
                                  <a:pt x="3184598" y="83017"/>
                                </a:lnTo>
                                <a:lnTo>
                                  <a:pt x="3225470" y="101307"/>
                                </a:lnTo>
                                <a:lnTo>
                                  <a:pt x="3266630" y="121810"/>
                                </a:lnTo>
                                <a:lnTo>
                                  <a:pt x="3308128" y="144624"/>
                                </a:lnTo>
                                <a:lnTo>
                                  <a:pt x="3350016" y="169847"/>
                                </a:lnTo>
                                <a:lnTo>
                                  <a:pt x="3392344" y="197576"/>
                                </a:lnTo>
                                <a:lnTo>
                                  <a:pt x="3435161" y="227909"/>
                                </a:lnTo>
                                <a:lnTo>
                                  <a:pt x="3478519" y="260945"/>
                                </a:lnTo>
                                <a:lnTo>
                                  <a:pt x="3522468" y="296779"/>
                                </a:lnTo>
                                <a:lnTo>
                                  <a:pt x="3567059" y="335511"/>
                                </a:lnTo>
                                <a:lnTo>
                                  <a:pt x="3612342" y="377237"/>
                                </a:lnTo>
                                <a:lnTo>
                                  <a:pt x="3658368" y="422056"/>
                                </a:lnTo>
                                <a:lnTo>
                                  <a:pt x="3705187" y="470065"/>
                                </a:lnTo>
                                <a:lnTo>
                                  <a:pt x="3752850" y="521361"/>
                                </a:lnTo>
                                <a:lnTo>
                                  <a:pt x="3800413" y="575157"/>
                                </a:lnTo>
                                <a:lnTo>
                                  <a:pt x="3848574" y="632400"/>
                                </a:lnTo>
                                <a:lnTo>
                                  <a:pt x="3872871" y="662276"/>
                                </a:lnTo>
                                <a:lnTo>
                                  <a:pt x="3897310" y="692967"/>
                                </a:lnTo>
                                <a:lnTo>
                                  <a:pt x="3921887" y="724458"/>
                                </a:lnTo>
                                <a:lnTo>
                                  <a:pt x="3946601" y="756732"/>
                                </a:lnTo>
                                <a:lnTo>
                                  <a:pt x="3971447" y="789775"/>
                                </a:lnTo>
                                <a:lnTo>
                                  <a:pt x="3996423" y="823570"/>
                                </a:lnTo>
                                <a:lnTo>
                                  <a:pt x="4021528" y="858102"/>
                                </a:lnTo>
                                <a:lnTo>
                                  <a:pt x="4046757" y="893355"/>
                                </a:lnTo>
                                <a:lnTo>
                                  <a:pt x="4072108" y="929314"/>
                                </a:lnTo>
                                <a:lnTo>
                                  <a:pt x="4097579" y="965963"/>
                                </a:lnTo>
                                <a:lnTo>
                                  <a:pt x="4123166" y="1003286"/>
                                </a:lnTo>
                                <a:lnTo>
                                  <a:pt x="4148868" y="1041268"/>
                                </a:lnTo>
                                <a:lnTo>
                                  <a:pt x="4174681" y="1079893"/>
                                </a:lnTo>
                                <a:lnTo>
                                  <a:pt x="4200603" y="1119145"/>
                                </a:lnTo>
                                <a:lnTo>
                                  <a:pt x="4226630" y="1159009"/>
                                </a:lnTo>
                                <a:lnTo>
                                  <a:pt x="4252761" y="1199469"/>
                                </a:lnTo>
                                <a:lnTo>
                                  <a:pt x="4278992" y="1240510"/>
                                </a:lnTo>
                                <a:lnTo>
                                  <a:pt x="4305321" y="1282115"/>
                                </a:lnTo>
                                <a:lnTo>
                                  <a:pt x="4331745" y="1324270"/>
                                </a:lnTo>
                                <a:lnTo>
                                  <a:pt x="4358261" y="1366958"/>
                                </a:lnTo>
                                <a:lnTo>
                                  <a:pt x="4384867" y="1410164"/>
                                </a:lnTo>
                                <a:lnTo>
                                  <a:pt x="4411560" y="1453872"/>
                                </a:lnTo>
                                <a:lnTo>
                                  <a:pt x="4438337" y="1498067"/>
                                </a:lnTo>
                                <a:lnTo>
                                  <a:pt x="4465196" y="1542733"/>
                                </a:lnTo>
                                <a:lnTo>
                                  <a:pt x="4492133" y="1587854"/>
                                </a:lnTo>
                                <a:lnTo>
                                  <a:pt x="4519146" y="1633415"/>
                                </a:lnTo>
                                <a:lnTo>
                                  <a:pt x="4546233" y="1679399"/>
                                </a:lnTo>
                                <a:lnTo>
                                  <a:pt x="4573390" y="1725793"/>
                                </a:lnTo>
                                <a:lnTo>
                                  <a:pt x="4600615" y="1772578"/>
                                </a:lnTo>
                                <a:lnTo>
                                  <a:pt x="4627905" y="1819741"/>
                                </a:lnTo>
                                <a:lnTo>
                                  <a:pt x="4655258" y="1867266"/>
                                </a:lnTo>
                                <a:lnTo>
                                  <a:pt x="4682671" y="1915136"/>
                                </a:lnTo>
                                <a:lnTo>
                                  <a:pt x="4710140" y="1963337"/>
                                </a:lnTo>
                                <a:lnTo>
                                  <a:pt x="4737664" y="2011852"/>
                                </a:lnTo>
                                <a:lnTo>
                                  <a:pt x="4765239" y="2060665"/>
                                </a:lnTo>
                                <a:lnTo>
                                  <a:pt x="4792864" y="2109762"/>
                                </a:lnTo>
                                <a:lnTo>
                                  <a:pt x="4820534" y="2159127"/>
                                </a:lnTo>
                                <a:lnTo>
                                  <a:pt x="4848248" y="2208744"/>
                                </a:lnTo>
                                <a:lnTo>
                                  <a:pt x="4876003" y="2258597"/>
                                </a:lnTo>
                                <a:lnTo>
                                  <a:pt x="4903795" y="2308670"/>
                                </a:lnTo>
                                <a:lnTo>
                                  <a:pt x="4931623" y="2358949"/>
                                </a:lnTo>
                                <a:lnTo>
                                  <a:pt x="4959484" y="2409417"/>
                                </a:lnTo>
                                <a:lnTo>
                                  <a:pt x="4987374" y="2460058"/>
                                </a:lnTo>
                                <a:lnTo>
                                  <a:pt x="5015292" y="2510858"/>
                                </a:lnTo>
                                <a:lnTo>
                                  <a:pt x="5043234" y="2561800"/>
                                </a:lnTo>
                                <a:lnTo>
                                  <a:pt x="5071198" y="2612869"/>
                                </a:lnTo>
                                <a:lnTo>
                                  <a:pt x="5099181" y="2664049"/>
                                </a:lnTo>
                                <a:lnTo>
                                  <a:pt x="5127180" y="2715325"/>
                                </a:lnTo>
                                <a:lnTo>
                                  <a:pt x="5155192" y="2766680"/>
                                </a:lnTo>
                                <a:lnTo>
                                  <a:pt x="5183216" y="2818100"/>
                                </a:lnTo>
                                <a:lnTo>
                                  <a:pt x="5211248" y="2869568"/>
                                </a:lnTo>
                                <a:lnTo>
                                  <a:pt x="5239285" y="2921069"/>
                                </a:lnTo>
                                <a:lnTo>
                                  <a:pt x="5267325" y="2972588"/>
                                </a:lnTo>
                              </a:path>
                            </a:pathLst>
                          </a:custGeom>
                          <a:ln w="9525">
                            <a:solidFill>
                              <a:srgbClr val="000000"/>
                            </a:solidFill>
                            <a:prstDash val="solid"/>
                          </a:ln>
                        </wps:spPr>
                        <wps:bodyPr wrap="square" lIns="0" tIns="0" rIns="0" bIns="0" rtlCol="0">
                          <a:prstTxWarp prst="textNoShape">
                            <a:avLst/>
                          </a:prstTxWarp>
                          <a:noAutofit/>
                        </wps:bodyPr>
                      </wps:wsp>
                      <wps:wsp>
                        <wps:cNvPr id="233" name="Textbox 233"/>
                        <wps:cNvSpPr txBox="1"/>
                        <wps:spPr>
                          <a:xfrm>
                            <a:off x="876553" y="0"/>
                            <a:ext cx="744855" cy="179070"/>
                          </a:xfrm>
                          <a:prstGeom prst="rect">
                            <a:avLst/>
                          </a:prstGeom>
                        </wps:spPr>
                        <wps:txbx>
                          <w:txbxContent>
                            <w:p>
                              <w:pPr>
                                <w:spacing w:before="0"/>
                                <w:ind w:left="0" w:right="0" w:firstLine="0"/>
                                <w:jc w:val="left"/>
                                <w:rPr>
                                  <w:rFonts w:ascii="Cambria"/>
                                  <w:sz w:val="24"/>
                                </w:rPr>
                              </w:pPr>
                              <w:r>
                                <w:rPr>
                                  <w:b/>
                                  <w:sz w:val="24"/>
                                </w:rPr>
                                <w:t>Figure</w:t>
                              </w:r>
                              <w:r>
                                <w:rPr>
                                  <w:b/>
                                  <w:spacing w:val="44"/>
                                  <w:sz w:val="24"/>
                                </w:rPr>
                                <w:t> </w:t>
                              </w:r>
                              <w:r>
                                <w:rPr>
                                  <w:rFonts w:ascii="Cambria"/>
                                  <w:sz w:val="24"/>
                                </w:rPr>
                                <w:t>4. </w:t>
                              </w:r>
                              <w:r>
                                <w:rPr>
                                  <w:rFonts w:ascii="Cambria"/>
                                  <w:spacing w:val="-10"/>
                                  <w:sz w:val="24"/>
                                </w:rPr>
                                <w:t>8</w:t>
                              </w:r>
                            </w:p>
                          </w:txbxContent>
                        </wps:txbx>
                        <wps:bodyPr wrap="square" lIns="0" tIns="0" rIns="0" bIns="0" rtlCol="0">
                          <a:noAutofit/>
                        </wps:bodyPr>
                      </wps:wsp>
                      <wps:wsp>
                        <wps:cNvPr id="234" name="Textbox 234"/>
                        <wps:cNvSpPr txBox="1"/>
                        <wps:spPr>
                          <a:xfrm>
                            <a:off x="1610808" y="1251291"/>
                            <a:ext cx="69215" cy="140335"/>
                          </a:xfrm>
                          <a:prstGeom prst="rect">
                            <a:avLst/>
                          </a:prstGeom>
                        </wps:spPr>
                        <wps:txbx>
                          <w:txbxContent>
                            <w:p>
                              <w:pPr>
                                <w:spacing w:line="221" w:lineRule="exact" w:before="0"/>
                                <w:ind w:left="0" w:right="0" w:firstLine="0"/>
                                <w:jc w:val="left"/>
                                <w:rPr>
                                  <w:b/>
                                  <w:sz w:val="20"/>
                                </w:rPr>
                              </w:pPr>
                              <w:r>
                                <w:rPr>
                                  <w:b/>
                                  <w:spacing w:val="-10"/>
                                  <w:sz w:val="20"/>
                                </w:rPr>
                                <w:t>e</w:t>
                              </w:r>
                            </w:p>
                          </w:txbxContent>
                        </wps:txbx>
                        <wps:bodyPr wrap="square" lIns="0" tIns="0" rIns="0" bIns="0" rtlCol="0">
                          <a:noAutofit/>
                        </wps:bodyPr>
                      </wps:wsp>
                      <wps:wsp>
                        <wps:cNvPr id="235" name="Textbox 235"/>
                        <wps:cNvSpPr txBox="1"/>
                        <wps:spPr>
                          <a:xfrm>
                            <a:off x="2170810" y="1449411"/>
                            <a:ext cx="1003300" cy="433070"/>
                          </a:xfrm>
                          <a:prstGeom prst="rect">
                            <a:avLst/>
                          </a:prstGeom>
                        </wps:spPr>
                        <wps:txbx>
                          <w:txbxContent>
                            <w:p>
                              <w:pPr>
                                <w:spacing w:line="221" w:lineRule="exact" w:before="0"/>
                                <w:ind w:left="0" w:right="18" w:firstLine="0"/>
                                <w:jc w:val="center"/>
                                <w:rPr>
                                  <w:sz w:val="20"/>
                                </w:rPr>
                              </w:pPr>
                              <w:r>
                                <w:rPr>
                                  <w:sz w:val="20"/>
                                </w:rPr>
                                <w:t>No</w:t>
                              </w:r>
                              <w:r>
                                <w:rPr>
                                  <w:spacing w:val="-2"/>
                                  <w:sz w:val="20"/>
                                </w:rPr>
                                <w:t> </w:t>
                              </w:r>
                              <w:r>
                                <w:rPr>
                                  <w:spacing w:val="-2"/>
                                  <w:sz w:val="20"/>
                                </w:rPr>
                                <w:t>Autocorrelation</w:t>
                              </w:r>
                            </w:p>
                            <w:p>
                              <w:pPr>
                                <w:spacing w:before="0"/>
                                <w:ind w:left="0" w:right="12" w:firstLine="0"/>
                                <w:jc w:val="center"/>
                                <w:rPr>
                                  <w:sz w:val="20"/>
                                </w:rPr>
                              </w:pPr>
                              <w:r>
                                <w:rPr>
                                  <w:spacing w:val="-5"/>
                                  <w:sz w:val="20"/>
                                </w:rPr>
                                <w:t>or</w:t>
                              </w:r>
                            </w:p>
                            <w:p>
                              <w:pPr>
                                <w:spacing w:before="1"/>
                                <w:ind w:left="0" w:right="20" w:firstLine="0"/>
                                <w:jc w:val="center"/>
                                <w:rPr>
                                  <w:sz w:val="20"/>
                                </w:rPr>
                              </w:pPr>
                              <w:r>
                                <w:rPr>
                                  <w:sz w:val="20"/>
                                </w:rPr>
                                <w:t>Acceptance</w:t>
                              </w:r>
                              <w:r>
                                <w:rPr>
                                  <w:spacing w:val="-12"/>
                                  <w:sz w:val="20"/>
                                </w:rPr>
                                <w:t> </w:t>
                              </w:r>
                              <w:r>
                                <w:rPr>
                                  <w:spacing w:val="-2"/>
                                  <w:sz w:val="20"/>
                                </w:rPr>
                                <w:t>Region</w:t>
                              </w:r>
                            </w:p>
                          </w:txbxContent>
                        </wps:txbx>
                        <wps:bodyPr wrap="square" lIns="0" tIns="0" rIns="0" bIns="0" rtlCol="0">
                          <a:noAutofit/>
                        </wps:bodyPr>
                      </wps:wsp>
                      <wps:wsp>
                        <wps:cNvPr id="236" name="Textbox 236"/>
                        <wps:cNvSpPr txBox="1"/>
                        <wps:spPr>
                          <a:xfrm>
                            <a:off x="0" y="3936561"/>
                            <a:ext cx="76200" cy="140970"/>
                          </a:xfrm>
                          <a:prstGeom prst="rect">
                            <a:avLst/>
                          </a:prstGeom>
                        </wps:spPr>
                        <wps:txbx>
                          <w:txbxContent>
                            <w:p>
                              <w:pPr>
                                <w:spacing w:line="221" w:lineRule="exact" w:before="0"/>
                                <w:ind w:left="0" w:right="0" w:firstLine="0"/>
                                <w:jc w:val="left"/>
                                <w:rPr>
                                  <w:sz w:val="20"/>
                                </w:rPr>
                              </w:pPr>
                              <w:r>
                                <w:rPr>
                                  <w:spacing w:val="-10"/>
                                  <w:sz w:val="20"/>
                                </w:rPr>
                                <w:t>0</w:t>
                              </w:r>
                            </w:p>
                          </w:txbxContent>
                        </wps:txbx>
                        <wps:bodyPr wrap="square" lIns="0" tIns="0" rIns="0" bIns="0" rtlCol="0">
                          <a:noAutofit/>
                        </wps:bodyPr>
                      </wps:wsp>
                      <wps:wsp>
                        <wps:cNvPr id="237" name="Textbox 237"/>
                        <wps:cNvSpPr txBox="1"/>
                        <wps:spPr>
                          <a:xfrm>
                            <a:off x="771398" y="3999698"/>
                            <a:ext cx="647065" cy="314960"/>
                          </a:xfrm>
                          <a:prstGeom prst="rect">
                            <a:avLst/>
                          </a:prstGeom>
                        </wps:spPr>
                        <wps:txbx>
                          <w:txbxContent>
                            <w:p>
                              <w:pPr>
                                <w:spacing w:line="225" w:lineRule="exact" w:before="0"/>
                                <w:ind w:left="0" w:right="0" w:firstLine="0"/>
                                <w:jc w:val="left"/>
                                <w:rPr>
                                  <w:sz w:val="13"/>
                                </w:rPr>
                              </w:pPr>
                              <w:r>
                                <w:rPr>
                                  <w:spacing w:val="-5"/>
                                  <w:position w:val="2"/>
                                  <w:sz w:val="20"/>
                                </w:rPr>
                                <w:t>d</w:t>
                              </w:r>
                              <w:r>
                                <w:rPr>
                                  <w:spacing w:val="-5"/>
                                  <w:sz w:val="13"/>
                                </w:rPr>
                                <w:t>L</w:t>
                              </w:r>
                            </w:p>
                            <w:p>
                              <w:pPr>
                                <w:spacing w:before="41"/>
                                <w:ind w:left="0" w:right="0" w:firstLine="0"/>
                                <w:jc w:val="left"/>
                                <w:rPr>
                                  <w:rFonts w:ascii="Arial MT"/>
                                  <w:sz w:val="20"/>
                                </w:rPr>
                              </w:pPr>
                              <w:r>
                                <w:rPr>
                                  <w:spacing w:val="-11"/>
                                  <w:position w:val="3"/>
                                  <w:sz w:val="13"/>
                                </w:rPr>
                                <w:t>1.23</w:t>
                              </w:r>
                              <w:r>
                                <w:rPr>
                                  <w:rFonts w:ascii="Arial MT"/>
                                  <w:spacing w:val="-11"/>
                                  <w:sz w:val="20"/>
                                </w:rPr>
                                <w:t>3</w:t>
                              </w:r>
                              <w:r>
                                <w:rPr>
                                  <w:spacing w:val="-11"/>
                                  <w:position w:val="3"/>
                                  <w:sz w:val="13"/>
                                </w:rPr>
                                <w:t>0</w:t>
                              </w:r>
                              <w:r>
                                <w:rPr>
                                  <w:rFonts w:ascii="Arial MT"/>
                                  <w:spacing w:val="-11"/>
                                  <w:sz w:val="20"/>
                                </w:rPr>
                                <w:t>.054369</w:t>
                              </w:r>
                            </w:p>
                          </w:txbxContent>
                        </wps:txbx>
                        <wps:bodyPr wrap="square" lIns="0" tIns="0" rIns="0" bIns="0" rtlCol="0">
                          <a:noAutofit/>
                        </wps:bodyPr>
                      </wps:wsp>
                      <wps:wsp>
                        <wps:cNvPr id="238" name="Textbox 238"/>
                        <wps:cNvSpPr txBox="1"/>
                        <wps:spPr>
                          <a:xfrm>
                            <a:off x="1571497" y="3987506"/>
                            <a:ext cx="198755" cy="289560"/>
                          </a:xfrm>
                          <a:prstGeom prst="rect">
                            <a:avLst/>
                          </a:prstGeom>
                        </wps:spPr>
                        <wps:txbx>
                          <w:txbxContent>
                            <w:p>
                              <w:pPr>
                                <w:spacing w:line="225" w:lineRule="exact" w:before="0"/>
                                <w:ind w:left="0" w:right="0" w:firstLine="0"/>
                                <w:jc w:val="left"/>
                                <w:rPr>
                                  <w:sz w:val="13"/>
                                </w:rPr>
                              </w:pPr>
                              <w:r>
                                <w:rPr>
                                  <w:spacing w:val="-5"/>
                                  <w:position w:val="2"/>
                                  <w:sz w:val="20"/>
                                </w:rPr>
                                <w:t>d</w:t>
                              </w:r>
                              <w:r>
                                <w:rPr>
                                  <w:spacing w:val="-5"/>
                                  <w:sz w:val="13"/>
                                </w:rPr>
                                <w:t>U</w:t>
                              </w:r>
                            </w:p>
                            <w:p>
                              <w:pPr>
                                <w:spacing w:before="81"/>
                                <w:ind w:left="0" w:right="0" w:firstLine="0"/>
                                <w:jc w:val="left"/>
                                <w:rPr>
                                  <w:sz w:val="13"/>
                                </w:rPr>
                              </w:pPr>
                              <w:r>
                                <w:rPr>
                                  <w:spacing w:val="-2"/>
                                  <w:sz w:val="13"/>
                                </w:rPr>
                                <w:t>1.786</w:t>
                              </w:r>
                            </w:p>
                          </w:txbxContent>
                        </wps:txbx>
                        <wps:bodyPr wrap="square" lIns="0" tIns="0" rIns="0" bIns="0" rtlCol="0">
                          <a:noAutofit/>
                        </wps:bodyPr>
                      </wps:wsp>
                      <wps:wsp>
                        <wps:cNvPr id="239" name="Textbox 239"/>
                        <wps:cNvSpPr txBox="1"/>
                        <wps:spPr>
                          <a:xfrm>
                            <a:off x="2618867" y="4011890"/>
                            <a:ext cx="76200" cy="140335"/>
                          </a:xfrm>
                          <a:prstGeom prst="rect">
                            <a:avLst/>
                          </a:prstGeom>
                        </wps:spPr>
                        <wps:txbx>
                          <w:txbxContent>
                            <w:p>
                              <w:pPr>
                                <w:spacing w:line="221" w:lineRule="exact" w:before="0"/>
                                <w:ind w:left="0" w:right="0" w:firstLine="0"/>
                                <w:jc w:val="left"/>
                                <w:rPr>
                                  <w:sz w:val="20"/>
                                </w:rPr>
                              </w:pPr>
                              <w:r>
                                <w:rPr>
                                  <w:spacing w:val="-10"/>
                                  <w:sz w:val="20"/>
                                </w:rPr>
                                <w:t>2</w:t>
                              </w:r>
                            </w:p>
                          </w:txbxContent>
                        </wps:txbx>
                        <wps:bodyPr wrap="square" lIns="0" tIns="0" rIns="0" bIns="0" rtlCol="0">
                          <a:noAutofit/>
                        </wps:bodyPr>
                      </wps:wsp>
                      <wps:wsp>
                        <wps:cNvPr id="240" name="Textbox 240"/>
                        <wps:cNvSpPr txBox="1"/>
                        <wps:spPr>
                          <a:xfrm>
                            <a:off x="3609721" y="3999698"/>
                            <a:ext cx="241300" cy="289560"/>
                          </a:xfrm>
                          <a:prstGeom prst="rect">
                            <a:avLst/>
                          </a:prstGeom>
                        </wps:spPr>
                        <wps:txbx>
                          <w:txbxContent>
                            <w:p>
                              <w:pPr>
                                <w:spacing w:line="225" w:lineRule="exact" w:before="0"/>
                                <w:ind w:left="0" w:right="0" w:firstLine="0"/>
                                <w:jc w:val="left"/>
                                <w:rPr>
                                  <w:sz w:val="13"/>
                                </w:rPr>
                              </w:pPr>
                              <w:r>
                                <w:rPr>
                                  <w:spacing w:val="-2"/>
                                  <w:position w:val="2"/>
                                  <w:sz w:val="20"/>
                                </w:rPr>
                                <w:t>4-</w:t>
                              </w:r>
                              <w:r>
                                <w:rPr>
                                  <w:spacing w:val="-5"/>
                                  <w:position w:val="2"/>
                                  <w:sz w:val="20"/>
                                </w:rPr>
                                <w:t>d</w:t>
                              </w:r>
                              <w:r>
                                <w:rPr>
                                  <w:spacing w:val="-5"/>
                                  <w:sz w:val="13"/>
                                </w:rPr>
                                <w:t>U</w:t>
                              </w:r>
                            </w:p>
                            <w:p>
                              <w:pPr>
                                <w:spacing w:before="81"/>
                                <w:ind w:left="0" w:right="0" w:firstLine="0"/>
                                <w:jc w:val="left"/>
                                <w:rPr>
                                  <w:sz w:val="13"/>
                                </w:rPr>
                              </w:pPr>
                              <w:r>
                                <w:rPr>
                                  <w:spacing w:val="-2"/>
                                  <w:sz w:val="13"/>
                                </w:rPr>
                                <w:t>2.214</w:t>
                              </w:r>
                            </w:p>
                          </w:txbxContent>
                        </wps:txbx>
                        <wps:bodyPr wrap="square" lIns="0" tIns="0" rIns="0" bIns="0" rtlCol="0">
                          <a:noAutofit/>
                        </wps:bodyPr>
                      </wps:wsp>
                      <wps:wsp>
                        <wps:cNvPr id="241" name="Textbox 241"/>
                        <wps:cNvSpPr txBox="1"/>
                        <wps:spPr>
                          <a:xfrm>
                            <a:off x="4534789" y="4011890"/>
                            <a:ext cx="223520" cy="289560"/>
                          </a:xfrm>
                          <a:prstGeom prst="rect">
                            <a:avLst/>
                          </a:prstGeom>
                        </wps:spPr>
                        <wps:txbx>
                          <w:txbxContent>
                            <w:p>
                              <w:pPr>
                                <w:spacing w:line="225" w:lineRule="exact" w:before="0"/>
                                <w:ind w:left="0" w:right="0" w:firstLine="0"/>
                                <w:jc w:val="left"/>
                                <w:rPr>
                                  <w:sz w:val="13"/>
                                </w:rPr>
                              </w:pPr>
                              <w:r>
                                <w:rPr>
                                  <w:spacing w:val="-2"/>
                                  <w:position w:val="2"/>
                                  <w:sz w:val="20"/>
                                </w:rPr>
                                <w:t>4-</w:t>
                              </w:r>
                              <w:r>
                                <w:rPr>
                                  <w:spacing w:val="-5"/>
                                  <w:position w:val="2"/>
                                  <w:sz w:val="20"/>
                                </w:rPr>
                                <w:t>d</w:t>
                              </w:r>
                              <w:r>
                                <w:rPr>
                                  <w:spacing w:val="-5"/>
                                  <w:sz w:val="13"/>
                                </w:rPr>
                                <w:t>0</w:t>
                              </w:r>
                            </w:p>
                            <w:p>
                              <w:pPr>
                                <w:spacing w:before="81"/>
                                <w:ind w:left="0" w:right="0" w:firstLine="0"/>
                                <w:jc w:val="left"/>
                                <w:rPr>
                                  <w:sz w:val="13"/>
                                </w:rPr>
                              </w:pPr>
                              <w:r>
                                <w:rPr>
                                  <w:spacing w:val="-2"/>
                                  <w:sz w:val="13"/>
                                </w:rPr>
                                <w:t>2.774</w:t>
                              </w:r>
                            </w:p>
                          </w:txbxContent>
                        </wps:txbx>
                        <wps:bodyPr wrap="square" lIns="0" tIns="0" rIns="0" bIns="0" rtlCol="0">
                          <a:noAutofit/>
                        </wps:bodyPr>
                      </wps:wsp>
                      <wps:wsp>
                        <wps:cNvPr id="242" name="Textbox 242"/>
                        <wps:cNvSpPr txBox="1"/>
                        <wps:spPr>
                          <a:xfrm>
                            <a:off x="5297170" y="3999698"/>
                            <a:ext cx="76200" cy="140335"/>
                          </a:xfrm>
                          <a:prstGeom prst="rect">
                            <a:avLst/>
                          </a:prstGeom>
                        </wps:spPr>
                        <wps:txbx>
                          <w:txbxContent>
                            <w:p>
                              <w:pPr>
                                <w:spacing w:line="221" w:lineRule="exact" w:before="0"/>
                                <w:ind w:left="0" w:right="0" w:firstLine="0"/>
                                <w:jc w:val="left"/>
                                <w:rPr>
                                  <w:sz w:val="20"/>
                                </w:rPr>
                              </w:pPr>
                              <w:r>
                                <w:rPr>
                                  <w:spacing w:val="-10"/>
                                  <w:sz w:val="20"/>
                                </w:rPr>
                                <w:t>4</w:t>
                              </w:r>
                            </w:p>
                          </w:txbxContent>
                        </wps:txbx>
                        <wps:bodyPr wrap="square" lIns="0" tIns="0" rIns="0" bIns="0" rtlCol="0">
                          <a:noAutofit/>
                        </wps:bodyPr>
                      </wps:wsp>
                      <wps:wsp>
                        <wps:cNvPr id="243" name="Textbox 243"/>
                        <wps:cNvSpPr txBox="1"/>
                        <wps:spPr>
                          <a:xfrm>
                            <a:off x="84391" y="460341"/>
                            <a:ext cx="762000" cy="3556000"/>
                          </a:xfrm>
                          <a:prstGeom prst="rect">
                            <a:avLst/>
                          </a:prstGeom>
                        </wps:spPr>
                        <wps:txbx>
                          <w:txbxContent>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93"/>
                                <w:rPr>
                                  <w:rFonts w:ascii="Cambria"/>
                                  <w:sz w:val="20"/>
                                </w:rPr>
                              </w:pPr>
                            </w:p>
                            <w:p>
                              <w:pPr>
                                <w:spacing w:line="218" w:lineRule="auto" w:before="0"/>
                                <w:ind w:left="76" w:right="0" w:firstLine="472"/>
                                <w:jc w:val="left"/>
                                <w:rPr>
                                  <w:b/>
                                  <w:sz w:val="20"/>
                                </w:rPr>
                              </w:pPr>
                              <w:r>
                                <w:rPr>
                                  <w:rFonts w:ascii="Cambria"/>
                                  <w:i/>
                                  <w:sz w:val="24"/>
                                </w:rPr>
                                <w:t>Fig 1: </w:t>
                              </w:r>
                              <w:r>
                                <w:rPr>
                                  <w:b/>
                                  <w:spacing w:val="-2"/>
                                  <w:sz w:val="20"/>
                                </w:rPr>
                                <w:t>Positive Autocorrelat</w:t>
                              </w:r>
                            </w:p>
                            <w:p>
                              <w:pPr>
                                <w:spacing w:before="6"/>
                                <w:ind w:left="76" w:right="0" w:firstLine="0"/>
                                <w:jc w:val="left"/>
                                <w:rPr>
                                  <w:b/>
                                  <w:sz w:val="20"/>
                                </w:rPr>
                              </w:pPr>
                              <w:r>
                                <w:rPr>
                                  <w:b/>
                                  <w:sz w:val="20"/>
                                </w:rPr>
                                <w:t>ion</w:t>
                              </w:r>
                              <w:r>
                                <w:rPr>
                                  <w:b/>
                                  <w:spacing w:val="-4"/>
                                  <w:sz w:val="20"/>
                                </w:rPr>
                                <w:t> </w:t>
                              </w:r>
                              <w:r>
                                <w:rPr>
                                  <w:b/>
                                  <w:spacing w:val="-2"/>
                                  <w:sz w:val="20"/>
                                </w:rPr>
                                <w:t>region</w:t>
                              </w:r>
                            </w:p>
                          </w:txbxContent>
                        </wps:txbx>
                        <wps:bodyPr wrap="square" lIns="0" tIns="0" rIns="0" bIns="0" rtlCol="0">
                          <a:noAutofit/>
                        </wps:bodyPr>
                      </wps:wsp>
                      <wps:wsp>
                        <wps:cNvPr id="244" name="Textbox 244"/>
                        <wps:cNvSpPr txBox="1"/>
                        <wps:spPr>
                          <a:xfrm>
                            <a:off x="4551616" y="387085"/>
                            <a:ext cx="790575" cy="3629660"/>
                          </a:xfrm>
                          <a:prstGeom prst="rect">
                            <a:avLst/>
                          </a:prstGeom>
                        </wps:spPr>
                        <wps:txbx>
                          <w:txbxContent>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175"/>
                                <w:rPr>
                                  <w:rFonts w:ascii="Cambria"/>
                                  <w:sz w:val="20"/>
                                </w:rPr>
                              </w:pPr>
                            </w:p>
                            <w:p>
                              <w:pPr>
                                <w:spacing w:before="0"/>
                                <w:ind w:left="107" w:right="0" w:firstLine="0"/>
                                <w:jc w:val="left"/>
                                <w:rPr>
                                  <w:b/>
                                  <w:sz w:val="20"/>
                                </w:rPr>
                              </w:pPr>
                              <w:r>
                                <w:rPr>
                                  <w:b/>
                                  <w:spacing w:val="-2"/>
                                  <w:sz w:val="20"/>
                                </w:rPr>
                                <w:t>Negative Autocorrelat </w:t>
                              </w:r>
                              <w:r>
                                <w:rPr>
                                  <w:b/>
                                  <w:sz w:val="20"/>
                                </w:rPr>
                                <w:t>ion region</w:t>
                              </w:r>
                            </w:p>
                          </w:txbxContent>
                        </wps:txbx>
                        <wps:bodyPr wrap="square" lIns="0" tIns="0" rIns="0" bIns="0" rtlCol="0">
                          <a:noAutofit/>
                        </wps:bodyPr>
                      </wps:wsp>
                      <wps:wsp>
                        <wps:cNvPr id="245" name="Textbox 245"/>
                        <wps:cNvSpPr txBox="1"/>
                        <wps:spPr>
                          <a:xfrm>
                            <a:off x="3703891" y="387085"/>
                            <a:ext cx="828675" cy="3629660"/>
                          </a:xfrm>
                          <a:prstGeom prst="rect">
                            <a:avLst/>
                          </a:prstGeom>
                        </wps:spPr>
                        <wps:txbx>
                          <w:txbxContent>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157"/>
                                <w:rPr>
                                  <w:rFonts w:ascii="Cambria"/>
                                  <w:sz w:val="20"/>
                                </w:rPr>
                              </w:pPr>
                            </w:p>
                            <w:p>
                              <w:pPr>
                                <w:spacing w:before="0"/>
                                <w:ind w:left="197" w:right="0" w:firstLine="0"/>
                                <w:jc w:val="left"/>
                                <w:rPr>
                                  <w:b/>
                                  <w:sz w:val="20"/>
                                </w:rPr>
                              </w:pPr>
                              <w:r>
                                <w:rPr>
                                  <w:b/>
                                  <w:spacing w:val="-2"/>
                                  <w:sz w:val="20"/>
                                </w:rPr>
                                <w:t>Inconclusive Region</w:t>
                              </w:r>
                            </w:p>
                          </w:txbxContent>
                        </wps:txbx>
                        <wps:bodyPr wrap="square" lIns="0" tIns="0" rIns="0" bIns="0" rtlCol="0">
                          <a:noAutofit/>
                        </wps:bodyPr>
                      </wps:wsp>
                      <wps:wsp>
                        <wps:cNvPr id="246" name="Textbox 246"/>
                        <wps:cNvSpPr txBox="1"/>
                        <wps:spPr>
                          <a:xfrm>
                            <a:off x="855916" y="387085"/>
                            <a:ext cx="762000" cy="3629660"/>
                          </a:xfrm>
                          <a:prstGeom prst="rect">
                            <a:avLst/>
                          </a:prstGeom>
                        </wps:spPr>
                        <wps:txbx>
                          <w:txbxContent>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179"/>
                                <w:rPr>
                                  <w:rFonts w:ascii="Cambria"/>
                                  <w:sz w:val="20"/>
                                </w:rPr>
                              </w:pPr>
                            </w:p>
                            <w:p>
                              <w:pPr>
                                <w:spacing w:before="0"/>
                                <w:ind w:left="212" w:right="0" w:firstLine="0"/>
                                <w:jc w:val="left"/>
                                <w:rPr>
                                  <w:b/>
                                  <w:sz w:val="20"/>
                                </w:rPr>
                              </w:pPr>
                              <w:r>
                                <w:rPr>
                                  <w:b/>
                                  <w:spacing w:val="-2"/>
                                  <w:sz w:val="20"/>
                                </w:rPr>
                                <w:t>Inconclusiv Region</w:t>
                              </w:r>
                            </w:p>
                          </w:txbxContent>
                        </wps:txbx>
                        <wps:bodyPr wrap="square" lIns="0" tIns="0" rIns="0" bIns="0" rtlCol="0">
                          <a:noAutofit/>
                        </wps:bodyPr>
                      </wps:wsp>
                    </wpg:wgp>
                  </a:graphicData>
                </a:graphic>
              </wp:anchor>
            </w:drawing>
          </mc:Choice>
          <mc:Fallback>
            <w:pict>
              <v:group style="position:absolute;margin-left:51.48pt;margin-top:14.155225pt;width:445.05pt;height:357.5pt;mso-position-horizontal-relative:page;mso-position-vertical-relative:paragraph;z-index:-15700480;mso-wrap-distance-left:0;mso-wrap-distance-right:0" id="docshapegroup200" coordorigin="1030,283" coordsize="8901,7150">
                <v:shape style="position:absolute;left:1155;top:1975;width:8325;height:4621" id="docshape201" coordorigin="1155,1976" coordsize="8325,4621" path="m1155,6596l1206,6521,1258,6446,1309,6371,1361,6297,1412,6222,1463,6148,1514,6073,1565,5999,1617,5925,1667,5851,1718,5778,1769,5705,1820,5632,1870,5559,1920,5487,1970,5415,2020,5343,2070,5272,2120,5201,2169,5131,2218,5061,2267,4992,2316,4923,2364,4855,2412,4788,2460,4721,2507,4654,2555,4589,2602,4524,2648,4459,2694,4396,2740,4333,2786,4271,2831,4210,2876,4149,2920,4090,2964,4031,3008,3974,3051,3917,3094,3861,3136,3806,3178,3752,3219,3699,3260,3647,3301,3596,3341,3547,3380,3498,3419,3451,3457,3405,3572,3270,3647,3184,3719,3104,3790,3028,3859,2957,3926,2890,3991,2826,4054,2767,4116,2710,4176,2658,4235,2608,4292,2561,4348,2517,4403,2475,4457,2436,4509,2399,4561,2364,4612,2330,4712,2266,4809,2207,4905,2151,4996,2100,5079,2059,5156,2028,5227,2004,5295,1989,5361,1979,5425,1976,5489,1977,5555,1982,5624,1991,5697,2002,5775,2014,5841,2026,5910,2040,5980,2056,6052,2075,6125,2097,6199,2121,6273,2147,6348,2177,6423,2209,6497,2244,6571,2281,6644,2322,6716,2366,6787,2413,6855,2463,6910,2505,6962,2545,7012,2585,7060,2625,7107,2665,7153,2707,7198,2751,7244,2797,7290,2847,7337,2900,7385,2959,7436,3022,7488,3092,7543,3169,7602,3252,7664,3344,7730,3445,7800,3555,7864,3658,7899,3715,7935,3775,7972,3838,8010,3904,8050,3972,8091,4043,8132,4116,8175,4191,8218,4268,8262,4347,8307,4428,8352,4509,8398,4592,8444,4675,8490,4760,8537,4845,8583,4930,8629,5015,8676,5101,8722,5186,8768,5271,8813,5355,8858,5439,8902,5521,8946,5603,8989,5683,9031,5761,9072,5838,9112,5913,9151,5986,9189,6056,9226,6125,9261,6190,9294,6253,9326,6312,9357,6369,9385,6422,9437,6517,9459,6558,9480,6596e" filled="false" stroked="true" strokeweight="1.5pt" strokecolor="#000000">
                  <v:path arrowok="t"/>
                  <v:stroke dashstyle="solid"/>
                </v:shape>
                <v:shape style="position:absolute;left:1095;top:454;width:8835;height:6221" id="docshape202" coordorigin="1095,455" coordsize="8835,6221" path="m9930,6615l9915,6608,9810,6555,9810,6608,1163,6608,1163,575,1215,575,1205,555,1155,455,1095,575,1148,575,1148,6615,1155,6615,1155,6623,9810,6623,9810,6675,9915,6623,9930,6615xe" filled="true" fillcolor="#000000" stroked="false">
                  <v:path arrowok="t"/>
                  <v:fill type="solid"/>
                </v:shape>
                <v:shape style="position:absolute;left:1155;top:1000;width:1215;height:5615" type="#_x0000_t75" id="docshape203" stroked="false">
                  <v:imagedata r:id="rId60" o:title=""/>
                </v:shape>
                <v:rect style="position:absolute;left:1155;top:1000;width:1215;height:5615" id="docshape204" filled="false" stroked="true" strokeweight=".75pt" strokecolor="#000000">
                  <v:stroke dashstyle="solid"/>
                </v:rect>
                <v:rect style="position:absolute;left:2370;top:1000;width:1215;height:5615" id="docshape205" filled="true" fillcolor="#ffffff" stroked="false">
                  <v:fill type="solid"/>
                </v:rect>
                <v:rect style="position:absolute;left:2370;top:1000;width:1215;height:5615" id="docshape206" filled="false" stroked="true" strokeweight=".75pt" strokecolor="#000000">
                  <v:stroke dashstyle="solid"/>
                </v:rect>
                <v:rect style="position:absolute;left:3585;top:1000;width:3270;height:5615" id="docshape207" filled="true" fillcolor="#ffffff" stroked="false">
                  <v:fill type="solid"/>
                </v:rect>
                <v:rect style="position:absolute;left:3585;top:1000;width:3270;height:5615" id="docshape208" filled="false" stroked="true" strokeweight=".75pt" strokecolor="#000000">
                  <v:stroke dashstyle="solid"/>
                </v:rect>
                <v:rect style="position:absolute;left:6855;top:1000;width:1335;height:5615" id="docshape209" filled="true" fillcolor="#ffffff" stroked="false">
                  <v:fill type="solid"/>
                </v:rect>
                <v:rect style="position:absolute;left:6855;top:1000;width:1335;height:5615" id="docshape210" filled="false" stroked="true" strokeweight=".75pt" strokecolor="#000000">
                  <v:stroke dashstyle="solid"/>
                </v:rect>
                <v:shape style="position:absolute;left:8175;top:1000;width:1275;height:5615" type="#_x0000_t75" id="docshape211" stroked="false">
                  <v:imagedata r:id="rId61" o:title=""/>
                </v:shape>
                <v:rect style="position:absolute;left:8175;top:1000;width:1275;height:5615" id="docshape212" filled="false" stroked="true" strokeweight=".75pt" strokecolor="#000000">
                  <v:stroke dashstyle="solid"/>
                </v:rect>
                <v:line style="position:absolute" from="5205,1079" to="5205,6615" stroked="true" strokeweight="1.5pt" strokecolor="#000000">
                  <v:stroke dashstyle="shortdot"/>
                </v:line>
                <v:rect style="position:absolute;left:1215;top:892;width:8265;height:186" id="docshape213" filled="true" fillcolor="#ffffff" stroked="false">
                  <v:fill type="solid"/>
                </v:rect>
                <v:shape style="position:absolute;left:8883;top:6633;width:120;height:800" id="docshape214" coordorigin="8883,6634" coordsize="120,800" path="m8935,7313l8883,7313,8943,7433,8993,7333,8935,7333,8935,7313xm8950,6634l8935,6634,8935,7333,8950,7333,8950,6634xm9003,7313l8950,7313,8950,7333,8993,7333,9003,7313xe" filled="true" fillcolor="#000000" stroked="false">
                  <v:path arrowok="t"/>
                  <v:fill type="solid"/>
                </v:shape>
                <v:shape style="position:absolute;left:1155;top:1914;width:8295;height:4682" id="docshape215" coordorigin="1155,1915" coordsize="8295,4682" path="m1155,6596l1197,6516,1239,6436,1281,6356,1323,6276,1365,6197,1407,6117,1449,6038,1490,5959,1532,5880,1574,5801,1616,5723,1658,5644,1700,5566,1741,5489,1783,5412,1825,5335,1866,5259,1908,5183,1950,5107,1991,5032,2033,4958,2074,4884,2116,4810,2157,4738,2198,4666,2239,4594,2281,4523,2322,4453,2363,4384,2404,4315,2445,4247,2486,4180,2527,4114,2567,4049,2608,3984,2648,3921,2689,3858,2729,3796,2770,3736,2810,3676,2850,3617,2890,3560,2930,3503,2970,3448,3010,3393,3049,3340,3089,3288,3128,3238,3168,3188,3207,3140,3246,3093,3355,2969,3424,2893,3493,2821,3561,2753,3629,2687,3697,2625,3764,2566,3831,2510,3898,2456,3965,2406,4031,2359,4097,2314,4163,2273,4229,2234,4295,2197,4360,2163,4425,2132,4490,2103,4556,2076,4621,2052,4685,2030,4750,2010,4815,1992,4880,1977,4945,1963,5010,1951,5075,1941,5140,1933,5205,1927,5272,1922,5338,1918,5404,1916,5469,1915,5534,1915,5598,1918,5662,1922,5726,1929,5789,1937,5852,1948,5916,1962,5979,1978,6042,1998,6106,2020,6170,2045,6234,2074,6299,2107,6365,2142,6431,2182,6497,2226,6565,2274,6633,2326,6702,2382,6772,2443,6844,2509,6916,2579,6990,2655,7065,2736,7140,2820,7216,2911,7254,2958,7292,3006,7331,3056,7370,3106,7409,3158,7449,3212,7488,3266,7528,3322,7568,3378,7608,3436,7648,3495,7689,3555,7729,3615,7770,3677,7811,3740,7852,3804,7894,3868,7935,3934,7977,4000,8018,4067,8060,4135,8102,4204,8145,4274,8187,4344,8229,4415,8272,4487,8314,4559,8357,4632,8400,4706,8443,4780,8486,4855,8529,4931,8573,5007,8616,5083,8659,5160,8703,5237,8746,5315,8790,5393,8834,5472,8878,5550,8921,5630,8965,5709,9009,5789,9053,5869,9097,5949,9141,6029,9185,6110,9229,6191,9273,6272,9318,6353,9362,6434,9406,6515,9450,6596e" filled="false" stroked="true" strokeweight=".75pt" strokecolor="#000000">
                  <v:path arrowok="t"/>
                  <v:stroke dashstyle="solid"/>
                </v:shape>
                <v:shape style="position:absolute;left:2410;top:283;width:1173;height:282" type="#_x0000_t202" id="docshape216" filled="false" stroked="false">
                  <v:textbox inset="0,0,0,0">
                    <w:txbxContent>
                      <w:p>
                        <w:pPr>
                          <w:spacing w:before="0"/>
                          <w:ind w:left="0" w:right="0" w:firstLine="0"/>
                          <w:jc w:val="left"/>
                          <w:rPr>
                            <w:rFonts w:ascii="Cambria"/>
                            <w:sz w:val="24"/>
                          </w:rPr>
                        </w:pPr>
                        <w:r>
                          <w:rPr>
                            <w:b/>
                            <w:sz w:val="24"/>
                          </w:rPr>
                          <w:t>Figure</w:t>
                        </w:r>
                        <w:r>
                          <w:rPr>
                            <w:b/>
                            <w:spacing w:val="44"/>
                            <w:sz w:val="24"/>
                          </w:rPr>
                          <w:t> </w:t>
                        </w:r>
                        <w:r>
                          <w:rPr>
                            <w:rFonts w:ascii="Cambria"/>
                            <w:sz w:val="24"/>
                          </w:rPr>
                          <w:t>4. </w:t>
                        </w:r>
                        <w:r>
                          <w:rPr>
                            <w:rFonts w:ascii="Cambria"/>
                            <w:spacing w:val="-10"/>
                            <w:sz w:val="24"/>
                          </w:rPr>
                          <w:t>8</w:t>
                        </w:r>
                      </w:p>
                    </w:txbxContent>
                  </v:textbox>
                  <w10:wrap type="none"/>
                </v:shape>
                <v:shape style="position:absolute;left:3566;top:2253;width:109;height:221" type="#_x0000_t202" id="docshape217" filled="false" stroked="false">
                  <v:textbox inset="0,0,0,0">
                    <w:txbxContent>
                      <w:p>
                        <w:pPr>
                          <w:spacing w:line="221" w:lineRule="exact" w:before="0"/>
                          <w:ind w:left="0" w:right="0" w:firstLine="0"/>
                          <w:jc w:val="left"/>
                          <w:rPr>
                            <w:b/>
                            <w:sz w:val="20"/>
                          </w:rPr>
                        </w:pPr>
                        <w:r>
                          <w:rPr>
                            <w:b/>
                            <w:spacing w:val="-10"/>
                            <w:sz w:val="20"/>
                          </w:rPr>
                          <w:t>e</w:t>
                        </w:r>
                      </w:p>
                    </w:txbxContent>
                  </v:textbox>
                  <w10:wrap type="none"/>
                </v:shape>
                <v:shape style="position:absolute;left:4448;top:2565;width:1580;height:682" type="#_x0000_t202" id="docshape218" filled="false" stroked="false">
                  <v:textbox inset="0,0,0,0">
                    <w:txbxContent>
                      <w:p>
                        <w:pPr>
                          <w:spacing w:line="221" w:lineRule="exact" w:before="0"/>
                          <w:ind w:left="0" w:right="18" w:firstLine="0"/>
                          <w:jc w:val="center"/>
                          <w:rPr>
                            <w:sz w:val="20"/>
                          </w:rPr>
                        </w:pPr>
                        <w:r>
                          <w:rPr>
                            <w:sz w:val="20"/>
                          </w:rPr>
                          <w:t>No</w:t>
                        </w:r>
                        <w:r>
                          <w:rPr>
                            <w:spacing w:val="-2"/>
                            <w:sz w:val="20"/>
                          </w:rPr>
                          <w:t> </w:t>
                        </w:r>
                        <w:r>
                          <w:rPr>
                            <w:spacing w:val="-2"/>
                            <w:sz w:val="20"/>
                          </w:rPr>
                          <w:t>Autocorrelation</w:t>
                        </w:r>
                      </w:p>
                      <w:p>
                        <w:pPr>
                          <w:spacing w:before="0"/>
                          <w:ind w:left="0" w:right="12" w:firstLine="0"/>
                          <w:jc w:val="center"/>
                          <w:rPr>
                            <w:sz w:val="20"/>
                          </w:rPr>
                        </w:pPr>
                        <w:r>
                          <w:rPr>
                            <w:spacing w:val="-5"/>
                            <w:sz w:val="20"/>
                          </w:rPr>
                          <w:t>or</w:t>
                        </w:r>
                      </w:p>
                      <w:p>
                        <w:pPr>
                          <w:spacing w:before="1"/>
                          <w:ind w:left="0" w:right="20" w:firstLine="0"/>
                          <w:jc w:val="center"/>
                          <w:rPr>
                            <w:sz w:val="20"/>
                          </w:rPr>
                        </w:pPr>
                        <w:r>
                          <w:rPr>
                            <w:sz w:val="20"/>
                          </w:rPr>
                          <w:t>Acceptance</w:t>
                        </w:r>
                        <w:r>
                          <w:rPr>
                            <w:spacing w:val="-12"/>
                            <w:sz w:val="20"/>
                          </w:rPr>
                          <w:t> </w:t>
                        </w:r>
                        <w:r>
                          <w:rPr>
                            <w:spacing w:val="-2"/>
                            <w:sz w:val="20"/>
                          </w:rPr>
                          <w:t>Region</w:t>
                        </w:r>
                      </w:p>
                    </w:txbxContent>
                  </v:textbox>
                  <w10:wrap type="none"/>
                </v:shape>
                <v:shape style="position:absolute;left:1029;top:6482;width:120;height:222" type="#_x0000_t202" id="docshape219" filled="false" stroked="false">
                  <v:textbox inset="0,0,0,0">
                    <w:txbxContent>
                      <w:p>
                        <w:pPr>
                          <w:spacing w:line="221" w:lineRule="exact" w:before="0"/>
                          <w:ind w:left="0" w:right="0" w:firstLine="0"/>
                          <w:jc w:val="left"/>
                          <w:rPr>
                            <w:sz w:val="20"/>
                          </w:rPr>
                        </w:pPr>
                        <w:r>
                          <w:rPr>
                            <w:spacing w:val="-10"/>
                            <w:sz w:val="20"/>
                          </w:rPr>
                          <w:t>0</w:t>
                        </w:r>
                      </w:p>
                    </w:txbxContent>
                  </v:textbox>
                  <w10:wrap type="none"/>
                </v:shape>
                <v:shape style="position:absolute;left:2244;top:6581;width:1019;height:496" type="#_x0000_t202" id="docshape220" filled="false" stroked="false">
                  <v:textbox inset="0,0,0,0">
                    <w:txbxContent>
                      <w:p>
                        <w:pPr>
                          <w:spacing w:line="225" w:lineRule="exact" w:before="0"/>
                          <w:ind w:left="0" w:right="0" w:firstLine="0"/>
                          <w:jc w:val="left"/>
                          <w:rPr>
                            <w:sz w:val="13"/>
                          </w:rPr>
                        </w:pPr>
                        <w:r>
                          <w:rPr>
                            <w:spacing w:val="-5"/>
                            <w:position w:val="2"/>
                            <w:sz w:val="20"/>
                          </w:rPr>
                          <w:t>d</w:t>
                        </w:r>
                        <w:r>
                          <w:rPr>
                            <w:spacing w:val="-5"/>
                            <w:sz w:val="13"/>
                          </w:rPr>
                          <w:t>L</w:t>
                        </w:r>
                      </w:p>
                      <w:p>
                        <w:pPr>
                          <w:spacing w:before="41"/>
                          <w:ind w:left="0" w:right="0" w:firstLine="0"/>
                          <w:jc w:val="left"/>
                          <w:rPr>
                            <w:rFonts w:ascii="Arial MT"/>
                            <w:sz w:val="20"/>
                          </w:rPr>
                        </w:pPr>
                        <w:r>
                          <w:rPr>
                            <w:spacing w:val="-11"/>
                            <w:position w:val="3"/>
                            <w:sz w:val="13"/>
                          </w:rPr>
                          <w:t>1.23</w:t>
                        </w:r>
                        <w:r>
                          <w:rPr>
                            <w:rFonts w:ascii="Arial MT"/>
                            <w:spacing w:val="-11"/>
                            <w:sz w:val="20"/>
                          </w:rPr>
                          <w:t>3</w:t>
                        </w:r>
                        <w:r>
                          <w:rPr>
                            <w:spacing w:val="-11"/>
                            <w:position w:val="3"/>
                            <w:sz w:val="13"/>
                          </w:rPr>
                          <w:t>0</w:t>
                        </w:r>
                        <w:r>
                          <w:rPr>
                            <w:rFonts w:ascii="Arial MT"/>
                            <w:spacing w:val="-11"/>
                            <w:sz w:val="20"/>
                          </w:rPr>
                          <w:t>.054369</w:t>
                        </w:r>
                      </w:p>
                    </w:txbxContent>
                  </v:textbox>
                  <w10:wrap type="none"/>
                </v:shape>
                <v:shape style="position:absolute;left:3504;top:6562;width:313;height:456" type="#_x0000_t202" id="docshape221" filled="false" stroked="false">
                  <v:textbox inset="0,0,0,0">
                    <w:txbxContent>
                      <w:p>
                        <w:pPr>
                          <w:spacing w:line="225" w:lineRule="exact" w:before="0"/>
                          <w:ind w:left="0" w:right="0" w:firstLine="0"/>
                          <w:jc w:val="left"/>
                          <w:rPr>
                            <w:sz w:val="13"/>
                          </w:rPr>
                        </w:pPr>
                        <w:r>
                          <w:rPr>
                            <w:spacing w:val="-5"/>
                            <w:position w:val="2"/>
                            <w:sz w:val="20"/>
                          </w:rPr>
                          <w:t>d</w:t>
                        </w:r>
                        <w:r>
                          <w:rPr>
                            <w:spacing w:val="-5"/>
                            <w:sz w:val="13"/>
                          </w:rPr>
                          <w:t>U</w:t>
                        </w:r>
                      </w:p>
                      <w:p>
                        <w:pPr>
                          <w:spacing w:before="81"/>
                          <w:ind w:left="0" w:right="0" w:firstLine="0"/>
                          <w:jc w:val="left"/>
                          <w:rPr>
                            <w:sz w:val="13"/>
                          </w:rPr>
                        </w:pPr>
                        <w:r>
                          <w:rPr>
                            <w:spacing w:val="-2"/>
                            <w:sz w:val="13"/>
                          </w:rPr>
                          <w:t>1.786</w:t>
                        </w:r>
                      </w:p>
                    </w:txbxContent>
                  </v:textbox>
                  <w10:wrap type="none"/>
                </v:shape>
                <v:shape style="position:absolute;left:5153;top:6601;width:120;height:221" type="#_x0000_t202" id="docshape222" filled="false" stroked="false">
                  <v:textbox inset="0,0,0,0">
                    <w:txbxContent>
                      <w:p>
                        <w:pPr>
                          <w:spacing w:line="221" w:lineRule="exact" w:before="0"/>
                          <w:ind w:left="0" w:right="0" w:firstLine="0"/>
                          <w:jc w:val="left"/>
                          <w:rPr>
                            <w:sz w:val="20"/>
                          </w:rPr>
                        </w:pPr>
                        <w:r>
                          <w:rPr>
                            <w:spacing w:val="-10"/>
                            <w:sz w:val="20"/>
                          </w:rPr>
                          <w:t>2</w:t>
                        </w:r>
                      </w:p>
                    </w:txbxContent>
                  </v:textbox>
                  <w10:wrap type="none"/>
                </v:shape>
                <v:shape style="position:absolute;left:6714;top:6581;width:380;height:456" type="#_x0000_t202" id="docshape223" filled="false" stroked="false">
                  <v:textbox inset="0,0,0,0">
                    <w:txbxContent>
                      <w:p>
                        <w:pPr>
                          <w:spacing w:line="225" w:lineRule="exact" w:before="0"/>
                          <w:ind w:left="0" w:right="0" w:firstLine="0"/>
                          <w:jc w:val="left"/>
                          <w:rPr>
                            <w:sz w:val="13"/>
                          </w:rPr>
                        </w:pPr>
                        <w:r>
                          <w:rPr>
                            <w:spacing w:val="-2"/>
                            <w:position w:val="2"/>
                            <w:sz w:val="20"/>
                          </w:rPr>
                          <w:t>4-</w:t>
                        </w:r>
                        <w:r>
                          <w:rPr>
                            <w:spacing w:val="-5"/>
                            <w:position w:val="2"/>
                            <w:sz w:val="20"/>
                          </w:rPr>
                          <w:t>d</w:t>
                        </w:r>
                        <w:r>
                          <w:rPr>
                            <w:spacing w:val="-5"/>
                            <w:sz w:val="13"/>
                          </w:rPr>
                          <w:t>U</w:t>
                        </w:r>
                      </w:p>
                      <w:p>
                        <w:pPr>
                          <w:spacing w:before="81"/>
                          <w:ind w:left="0" w:right="0" w:firstLine="0"/>
                          <w:jc w:val="left"/>
                          <w:rPr>
                            <w:sz w:val="13"/>
                          </w:rPr>
                        </w:pPr>
                        <w:r>
                          <w:rPr>
                            <w:spacing w:val="-2"/>
                            <w:sz w:val="13"/>
                          </w:rPr>
                          <w:t>2.214</w:t>
                        </w:r>
                      </w:p>
                    </w:txbxContent>
                  </v:textbox>
                  <w10:wrap type="none"/>
                </v:shape>
                <v:shape style="position:absolute;left:8171;top:6601;width:352;height:456" type="#_x0000_t202" id="docshape224" filled="false" stroked="false">
                  <v:textbox inset="0,0,0,0">
                    <w:txbxContent>
                      <w:p>
                        <w:pPr>
                          <w:spacing w:line="225" w:lineRule="exact" w:before="0"/>
                          <w:ind w:left="0" w:right="0" w:firstLine="0"/>
                          <w:jc w:val="left"/>
                          <w:rPr>
                            <w:sz w:val="13"/>
                          </w:rPr>
                        </w:pPr>
                        <w:r>
                          <w:rPr>
                            <w:spacing w:val="-2"/>
                            <w:position w:val="2"/>
                            <w:sz w:val="20"/>
                          </w:rPr>
                          <w:t>4-</w:t>
                        </w:r>
                        <w:r>
                          <w:rPr>
                            <w:spacing w:val="-5"/>
                            <w:position w:val="2"/>
                            <w:sz w:val="20"/>
                          </w:rPr>
                          <w:t>d</w:t>
                        </w:r>
                        <w:r>
                          <w:rPr>
                            <w:spacing w:val="-5"/>
                            <w:sz w:val="13"/>
                          </w:rPr>
                          <w:t>0</w:t>
                        </w:r>
                      </w:p>
                      <w:p>
                        <w:pPr>
                          <w:spacing w:before="81"/>
                          <w:ind w:left="0" w:right="0" w:firstLine="0"/>
                          <w:jc w:val="left"/>
                          <w:rPr>
                            <w:sz w:val="13"/>
                          </w:rPr>
                        </w:pPr>
                        <w:r>
                          <w:rPr>
                            <w:spacing w:val="-2"/>
                            <w:sz w:val="13"/>
                          </w:rPr>
                          <w:t>2.774</w:t>
                        </w:r>
                      </w:p>
                    </w:txbxContent>
                  </v:textbox>
                  <w10:wrap type="none"/>
                </v:shape>
                <v:shape style="position:absolute;left:9371;top:6581;width:120;height:221" type="#_x0000_t202" id="docshape225" filled="false" stroked="false">
                  <v:textbox inset="0,0,0,0">
                    <w:txbxContent>
                      <w:p>
                        <w:pPr>
                          <w:spacing w:line="221" w:lineRule="exact" w:before="0"/>
                          <w:ind w:left="0" w:right="0" w:firstLine="0"/>
                          <w:jc w:val="left"/>
                          <w:rPr>
                            <w:sz w:val="20"/>
                          </w:rPr>
                        </w:pPr>
                        <w:r>
                          <w:rPr>
                            <w:spacing w:val="-10"/>
                            <w:sz w:val="20"/>
                          </w:rPr>
                          <w:t>4</w:t>
                        </w:r>
                      </w:p>
                    </w:txbxContent>
                  </v:textbox>
                  <w10:wrap type="none"/>
                </v:shape>
                <v:shape style="position:absolute;left:1162;top:1008;width:1200;height:5600" type="#_x0000_t202" id="docshape226" filled="false" stroked="false">
                  <v:textbox inset="0,0,0,0">
                    <w:txbxContent>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93"/>
                          <w:rPr>
                            <w:rFonts w:ascii="Cambria"/>
                            <w:sz w:val="20"/>
                          </w:rPr>
                        </w:pPr>
                      </w:p>
                      <w:p>
                        <w:pPr>
                          <w:spacing w:line="218" w:lineRule="auto" w:before="0"/>
                          <w:ind w:left="76" w:right="0" w:firstLine="472"/>
                          <w:jc w:val="left"/>
                          <w:rPr>
                            <w:b/>
                            <w:sz w:val="20"/>
                          </w:rPr>
                        </w:pPr>
                        <w:r>
                          <w:rPr>
                            <w:rFonts w:ascii="Cambria"/>
                            <w:i/>
                            <w:sz w:val="24"/>
                          </w:rPr>
                          <w:t>Fig 1: </w:t>
                        </w:r>
                        <w:r>
                          <w:rPr>
                            <w:b/>
                            <w:spacing w:val="-2"/>
                            <w:sz w:val="20"/>
                          </w:rPr>
                          <w:t>Positive Autocorrelat</w:t>
                        </w:r>
                      </w:p>
                      <w:p>
                        <w:pPr>
                          <w:spacing w:before="6"/>
                          <w:ind w:left="76" w:right="0" w:firstLine="0"/>
                          <w:jc w:val="left"/>
                          <w:rPr>
                            <w:b/>
                            <w:sz w:val="20"/>
                          </w:rPr>
                        </w:pPr>
                        <w:r>
                          <w:rPr>
                            <w:b/>
                            <w:sz w:val="20"/>
                          </w:rPr>
                          <w:t>ion</w:t>
                        </w:r>
                        <w:r>
                          <w:rPr>
                            <w:b/>
                            <w:spacing w:val="-4"/>
                            <w:sz w:val="20"/>
                          </w:rPr>
                          <w:t> </w:t>
                        </w:r>
                        <w:r>
                          <w:rPr>
                            <w:b/>
                            <w:spacing w:val="-2"/>
                            <w:sz w:val="20"/>
                          </w:rPr>
                          <w:t>region</w:t>
                        </w:r>
                      </w:p>
                    </w:txbxContent>
                  </v:textbox>
                  <w10:wrap type="none"/>
                </v:shape>
                <v:shape style="position:absolute;left:8197;top:892;width:1245;height:5716" type="#_x0000_t202" id="docshape227" filled="false" stroked="false">
                  <v:textbox inset="0,0,0,0">
                    <w:txbxContent>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175"/>
                          <w:rPr>
                            <w:rFonts w:ascii="Cambria"/>
                            <w:sz w:val="20"/>
                          </w:rPr>
                        </w:pPr>
                      </w:p>
                      <w:p>
                        <w:pPr>
                          <w:spacing w:before="0"/>
                          <w:ind w:left="107" w:right="0" w:firstLine="0"/>
                          <w:jc w:val="left"/>
                          <w:rPr>
                            <w:b/>
                            <w:sz w:val="20"/>
                          </w:rPr>
                        </w:pPr>
                        <w:r>
                          <w:rPr>
                            <w:b/>
                            <w:spacing w:val="-2"/>
                            <w:sz w:val="20"/>
                          </w:rPr>
                          <w:t>Negative Autocorrelat </w:t>
                        </w:r>
                        <w:r>
                          <w:rPr>
                            <w:b/>
                            <w:sz w:val="20"/>
                          </w:rPr>
                          <w:t>ion region</w:t>
                        </w:r>
                      </w:p>
                    </w:txbxContent>
                  </v:textbox>
                  <w10:wrap type="none"/>
                </v:shape>
                <v:shape style="position:absolute;left:6862;top:892;width:1305;height:5716" type="#_x0000_t202" id="docshape228" filled="false" stroked="false">
                  <v:textbox inset="0,0,0,0">
                    <w:txbxContent>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157"/>
                          <w:rPr>
                            <w:rFonts w:ascii="Cambria"/>
                            <w:sz w:val="20"/>
                          </w:rPr>
                        </w:pPr>
                      </w:p>
                      <w:p>
                        <w:pPr>
                          <w:spacing w:before="0"/>
                          <w:ind w:left="197" w:right="0" w:firstLine="0"/>
                          <w:jc w:val="left"/>
                          <w:rPr>
                            <w:b/>
                            <w:sz w:val="20"/>
                          </w:rPr>
                        </w:pPr>
                        <w:r>
                          <w:rPr>
                            <w:b/>
                            <w:spacing w:val="-2"/>
                            <w:sz w:val="20"/>
                          </w:rPr>
                          <w:t>Inconclusive Region</w:t>
                        </w:r>
                      </w:p>
                    </w:txbxContent>
                  </v:textbox>
                  <w10:wrap type="none"/>
                </v:shape>
                <v:shape style="position:absolute;left:2377;top:892;width:1200;height:5716" type="#_x0000_t202" id="docshape229" filled="false" stroked="false">
                  <v:textbox inset="0,0,0,0">
                    <w:txbxContent>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179"/>
                          <w:rPr>
                            <w:rFonts w:ascii="Cambria"/>
                            <w:sz w:val="20"/>
                          </w:rPr>
                        </w:pPr>
                      </w:p>
                      <w:p>
                        <w:pPr>
                          <w:spacing w:before="0"/>
                          <w:ind w:left="212" w:right="0" w:firstLine="0"/>
                          <w:jc w:val="left"/>
                          <w:rPr>
                            <w:b/>
                            <w:sz w:val="20"/>
                          </w:rPr>
                        </w:pPr>
                        <w:r>
                          <w:rPr>
                            <w:b/>
                            <w:spacing w:val="-2"/>
                            <w:sz w:val="20"/>
                          </w:rPr>
                          <w:t>Inconclusiv Region</w:t>
                        </w:r>
                      </w:p>
                    </w:txbxContent>
                  </v:textbox>
                  <w10:wrap type="none"/>
                </v:shape>
                <w10:wrap type="topAndBottom"/>
              </v:group>
            </w:pict>
          </mc:Fallback>
        </mc:AlternateContent>
      </w:r>
    </w:p>
    <w:p>
      <w:pPr>
        <w:spacing w:before="37"/>
        <w:ind w:left="8219" w:right="0" w:firstLine="0"/>
        <w:jc w:val="left"/>
        <w:rPr>
          <w:sz w:val="20"/>
        </w:rPr>
      </w:pPr>
      <w:r>
        <w:rPr>
          <w:spacing w:val="-5"/>
          <w:sz w:val="20"/>
        </w:rPr>
        <w:t>DW*</w:t>
      </w:r>
    </w:p>
    <w:p>
      <w:pPr>
        <w:spacing w:before="0"/>
        <w:ind w:left="8219" w:right="0" w:firstLine="0"/>
        <w:jc w:val="left"/>
        <w:rPr>
          <w:sz w:val="20"/>
        </w:rPr>
      </w:pPr>
      <w:r>
        <w:rPr>
          <w:spacing w:val="-2"/>
          <w:sz w:val="20"/>
        </w:rPr>
        <w:t>=3.054</w:t>
      </w:r>
    </w:p>
    <w:p>
      <w:pPr>
        <w:pStyle w:val="Heading6"/>
        <w:spacing w:before="34"/>
        <w:jc w:val="left"/>
      </w:pPr>
      <w:r>
        <w:rPr>
          <w:rFonts w:ascii="Cambria"/>
        </w:rPr>
        <w:t>Figure</w:t>
      </w:r>
      <w:r>
        <w:rPr>
          <w:rFonts w:ascii="Cambria"/>
          <w:spacing w:val="-4"/>
        </w:rPr>
        <w:t> </w:t>
      </w:r>
      <w:r>
        <w:rPr>
          <w:rFonts w:ascii="Cambria"/>
        </w:rPr>
        <w:t>4.8: Durbin Watson</w:t>
      </w:r>
      <w:r>
        <w:rPr>
          <w:rFonts w:ascii="Cambria"/>
          <w:spacing w:val="-2"/>
        </w:rPr>
        <w:t> </w:t>
      </w:r>
      <w:r>
        <w:rPr>
          <w:rFonts w:ascii="Cambria"/>
        </w:rPr>
        <w:t>graph</w:t>
      </w:r>
      <w:r>
        <w:rPr>
          <w:rFonts w:ascii="Cambria"/>
          <w:spacing w:val="-4"/>
        </w:rPr>
        <w:t> </w:t>
      </w:r>
      <w:r>
        <w:rPr>
          <w:rFonts w:ascii="Cambria"/>
        </w:rPr>
        <w:t>for</w:t>
      </w:r>
      <w:r>
        <w:rPr>
          <w:rFonts w:ascii="Cambria"/>
          <w:spacing w:val="-2"/>
        </w:rPr>
        <w:t> </w:t>
      </w:r>
      <w:r>
        <w:rPr>
          <w:rFonts w:ascii="Cambria"/>
        </w:rPr>
        <w:t>Model</w:t>
      </w:r>
      <w:r>
        <w:rPr>
          <w:rFonts w:ascii="Cambria"/>
          <w:spacing w:val="-5"/>
        </w:rPr>
        <w:t> </w:t>
      </w:r>
      <w:r>
        <w:rPr>
          <w:rFonts w:ascii="Cambria"/>
        </w:rPr>
        <w:t>2A</w:t>
      </w:r>
      <w:r>
        <w:rPr>
          <w:rFonts w:ascii="Cambria"/>
          <w:spacing w:val="-2"/>
        </w:rPr>
        <w:t> </w:t>
      </w:r>
      <w:r>
        <w:rPr/>
        <w:t>(World</w:t>
      </w:r>
      <w:r>
        <w:rPr>
          <w:spacing w:val="-1"/>
        </w:rPr>
        <w:t> </w:t>
      </w:r>
      <w:r>
        <w:rPr/>
        <w:t>Bank</w:t>
      </w:r>
      <w:r>
        <w:rPr>
          <w:spacing w:val="-2"/>
        </w:rPr>
        <w:t> </w:t>
      </w:r>
      <w:r>
        <w:rPr/>
        <w:t>&amp;</w:t>
      </w:r>
      <w:r>
        <w:rPr>
          <w:spacing w:val="-3"/>
        </w:rPr>
        <w:t> </w:t>
      </w:r>
      <w:r>
        <w:rPr/>
        <w:t>Erbet</w:t>
      </w:r>
      <w:r>
        <w:rPr>
          <w:spacing w:val="-2"/>
        </w:rPr>
        <w:t> </w:t>
      </w:r>
      <w:r>
        <w:rPr/>
        <w:t>(1985) </w:t>
      </w:r>
      <w:r>
        <w:rPr>
          <w:spacing w:val="-2"/>
        </w:rPr>
        <w:t>Approach)</w:t>
      </w:r>
    </w:p>
    <w:p>
      <w:pPr>
        <w:pStyle w:val="BodyText"/>
        <w:spacing w:before="6"/>
        <w:rPr>
          <w:b/>
        </w:rPr>
      </w:pPr>
    </w:p>
    <w:p>
      <w:pPr>
        <w:pStyle w:val="BodyText"/>
        <w:spacing w:line="480" w:lineRule="auto" w:before="1"/>
        <w:ind w:left="711"/>
        <w:rPr>
          <w:rFonts w:ascii="Cambria"/>
        </w:rPr>
      </w:pPr>
      <w:r>
        <w:rPr>
          <w:rFonts w:ascii="Cambria"/>
        </w:rPr>
        <w:t>The graph above shows that the Durbin Watson statistics of 3.05 is above 2.00, hencethe problem of autocorrelation does not arise.</w:t>
      </w:r>
    </w:p>
    <w:p>
      <w:pPr>
        <w:spacing w:after="0" w:line="480" w:lineRule="auto"/>
        <w:rPr>
          <w:rFonts w:ascii="Cambria"/>
        </w:rPr>
        <w:sectPr>
          <w:pgSz w:w="11910" w:h="16840"/>
          <w:pgMar w:header="0" w:footer="979" w:top="1340" w:bottom="1240" w:left="280" w:right="0"/>
        </w:sectPr>
      </w:pPr>
    </w:p>
    <w:p>
      <w:pPr>
        <w:pStyle w:val="Heading6"/>
        <w:spacing w:before="77"/>
      </w:pPr>
      <w:r>
        <w:rPr/>
        <w:t>Table</w:t>
      </w:r>
      <w:r>
        <w:rPr>
          <w:spacing w:val="-3"/>
        </w:rPr>
        <w:t> </w:t>
      </w:r>
      <w:r>
        <w:rPr/>
        <w:t>4.17</w:t>
      </w:r>
      <w:r>
        <w:rPr>
          <w:spacing w:val="-2"/>
        </w:rPr>
        <w:t> </w:t>
      </w:r>
      <w:r>
        <w:rPr/>
        <w:t>Result</w:t>
      </w:r>
      <w:r>
        <w:rPr>
          <w:spacing w:val="-1"/>
        </w:rPr>
        <w:t> </w:t>
      </w:r>
      <w:r>
        <w:rPr/>
        <w:t>of Cointegration</w:t>
      </w:r>
      <w:r>
        <w:rPr>
          <w:spacing w:val="-1"/>
        </w:rPr>
        <w:t> </w:t>
      </w:r>
      <w:r>
        <w:rPr/>
        <w:t>Test</w:t>
      </w:r>
      <w:r>
        <w:rPr>
          <w:spacing w:val="-1"/>
        </w:rPr>
        <w:t> </w:t>
      </w:r>
      <w:r>
        <w:rPr/>
        <w:t>for</w:t>
      </w:r>
      <w:r>
        <w:rPr>
          <w:spacing w:val="-2"/>
        </w:rPr>
        <w:t> </w:t>
      </w:r>
      <w:r>
        <w:rPr/>
        <w:t>Model</w:t>
      </w:r>
      <w:r>
        <w:rPr>
          <w:spacing w:val="2"/>
        </w:rPr>
        <w:t> </w:t>
      </w:r>
      <w:r>
        <w:rPr/>
        <w:t>2B</w:t>
      </w:r>
      <w:r>
        <w:rPr>
          <w:spacing w:val="-1"/>
        </w:rPr>
        <w:t> </w:t>
      </w:r>
      <w:r>
        <w:rPr/>
        <w:t>(Morgan</w:t>
      </w:r>
      <w:r>
        <w:rPr>
          <w:spacing w:val="-1"/>
        </w:rPr>
        <w:t> </w:t>
      </w:r>
      <w:r>
        <w:rPr/>
        <w:t>Guaranty</w:t>
      </w:r>
      <w:r>
        <w:rPr>
          <w:spacing w:val="-1"/>
        </w:rPr>
        <w:t> </w:t>
      </w:r>
      <w:r>
        <w:rPr/>
        <w:t>Trust 1986</w:t>
      </w:r>
      <w:r>
        <w:rPr>
          <w:spacing w:val="-1"/>
        </w:rPr>
        <w:t> </w:t>
      </w:r>
      <w:r>
        <w:rPr>
          <w:spacing w:val="-2"/>
        </w:rPr>
        <w:t>approach)</w:t>
      </w:r>
    </w:p>
    <w:p>
      <w:pPr>
        <w:spacing w:before="0"/>
        <w:ind w:left="773" w:right="0" w:firstLine="0"/>
        <w:jc w:val="both"/>
        <w:rPr>
          <w:rFonts w:ascii="Arial MT" w:hAnsi="Arial MT"/>
          <w:sz w:val="20"/>
        </w:rPr>
      </w:pPr>
      <w:r>
        <w:rPr>
          <w:rFonts w:ascii="Arial MT" w:hAnsi="Arial MT"/>
          <w:spacing w:val="-2"/>
          <w:sz w:val="20"/>
        </w:rPr>
        <w:t>Series:</w:t>
      </w:r>
      <w:r>
        <w:rPr>
          <w:rFonts w:ascii="Arial MT" w:hAnsi="Arial MT"/>
          <w:spacing w:val="-14"/>
          <w:sz w:val="20"/>
        </w:rPr>
        <w:t> </w:t>
      </w:r>
      <w:r>
        <w:rPr>
          <w:rFonts w:ascii="Arial MT" w:hAnsi="Arial MT"/>
          <w:spacing w:val="-2"/>
          <w:sz w:val="20"/>
        </w:rPr>
        <w:t>GDP</w:t>
      </w:r>
      <w:r>
        <w:rPr>
          <w:rFonts w:ascii="Arial MT" w:hAnsi="Arial MT"/>
          <w:spacing w:val="-11"/>
          <w:sz w:val="20"/>
        </w:rPr>
        <w:t> </w:t>
      </w:r>
      <w:r>
        <w:rPr>
          <w:rFonts w:ascii="Arial MT" w:hAnsi="Arial MT"/>
          <w:spacing w:val="-2"/>
          <w:sz w:val="20"/>
        </w:rPr>
        <w:t>δEXDEBT</w:t>
      </w:r>
      <w:r>
        <w:rPr>
          <w:rFonts w:ascii="Arial MT" w:hAnsi="Arial MT"/>
          <w:spacing w:val="-10"/>
          <w:sz w:val="20"/>
        </w:rPr>
        <w:t> </w:t>
      </w:r>
      <w:r>
        <w:rPr>
          <w:rFonts w:ascii="Arial MT" w:hAnsi="Arial MT"/>
          <w:spacing w:val="-2"/>
          <w:sz w:val="20"/>
        </w:rPr>
        <w:t>DFI</w:t>
      </w:r>
      <w:r>
        <w:rPr>
          <w:rFonts w:ascii="Arial MT" w:hAnsi="Arial MT"/>
          <w:spacing w:val="-12"/>
          <w:sz w:val="20"/>
        </w:rPr>
        <w:t> </w:t>
      </w:r>
      <w:r>
        <w:rPr>
          <w:rFonts w:ascii="Arial MT" w:hAnsi="Arial MT"/>
          <w:spacing w:val="-2"/>
          <w:sz w:val="20"/>
        </w:rPr>
        <w:t>CAB</w:t>
      </w:r>
      <w:r>
        <w:rPr>
          <w:rFonts w:ascii="Arial MT" w:hAnsi="Arial MT"/>
          <w:spacing w:val="-12"/>
          <w:sz w:val="20"/>
        </w:rPr>
        <w:t> </w:t>
      </w:r>
      <w:r>
        <w:rPr>
          <w:rFonts w:ascii="Arial MT" w:hAnsi="Arial MT"/>
          <w:spacing w:val="-2"/>
          <w:sz w:val="20"/>
        </w:rPr>
        <w:t>RES</w:t>
      </w:r>
      <w:r>
        <w:rPr>
          <w:rFonts w:ascii="Arial MT" w:hAnsi="Arial MT"/>
          <w:spacing w:val="-9"/>
          <w:sz w:val="20"/>
        </w:rPr>
        <w:t> </w:t>
      </w:r>
      <w:r>
        <w:rPr>
          <w:rFonts w:ascii="Arial MT" w:hAnsi="Arial MT"/>
          <w:spacing w:val="-2"/>
          <w:sz w:val="20"/>
        </w:rPr>
        <w:t>NEXTAS</w:t>
      </w:r>
    </w:p>
    <w:p>
      <w:pPr>
        <w:spacing w:before="1"/>
        <w:ind w:left="773" w:right="0" w:firstLine="0"/>
        <w:jc w:val="both"/>
        <w:rPr>
          <w:rFonts w:ascii="Arial MT"/>
          <w:sz w:val="20"/>
        </w:rPr>
      </w:pPr>
      <w:r>
        <w:rPr>
          <w:rFonts w:ascii="Arial MT"/>
          <w:sz w:val="20"/>
        </w:rPr>
        <w:t>Lags</w:t>
      </w:r>
      <w:r>
        <w:rPr>
          <w:rFonts w:ascii="Arial MT"/>
          <w:spacing w:val="-6"/>
          <w:sz w:val="20"/>
        </w:rPr>
        <w:t> </w:t>
      </w:r>
      <w:r>
        <w:rPr>
          <w:rFonts w:ascii="Arial MT"/>
          <w:sz w:val="20"/>
        </w:rPr>
        <w:t>interval</w:t>
      </w:r>
      <w:r>
        <w:rPr>
          <w:rFonts w:ascii="Arial MT"/>
          <w:spacing w:val="-8"/>
          <w:sz w:val="20"/>
        </w:rPr>
        <w:t> </w:t>
      </w:r>
      <w:r>
        <w:rPr>
          <w:rFonts w:ascii="Arial MT"/>
          <w:sz w:val="20"/>
        </w:rPr>
        <w:t>(in</w:t>
      </w:r>
      <w:r>
        <w:rPr>
          <w:rFonts w:ascii="Arial MT"/>
          <w:spacing w:val="-6"/>
          <w:sz w:val="20"/>
        </w:rPr>
        <w:t> </w:t>
      </w:r>
      <w:r>
        <w:rPr>
          <w:rFonts w:ascii="Arial MT"/>
          <w:sz w:val="20"/>
        </w:rPr>
        <w:t>first</w:t>
      </w:r>
      <w:r>
        <w:rPr>
          <w:rFonts w:ascii="Arial MT"/>
          <w:spacing w:val="-7"/>
          <w:sz w:val="20"/>
        </w:rPr>
        <w:t> </w:t>
      </w:r>
      <w:r>
        <w:rPr>
          <w:rFonts w:ascii="Arial MT"/>
          <w:sz w:val="20"/>
        </w:rPr>
        <w:t>differences):</w:t>
      </w:r>
      <w:r>
        <w:rPr>
          <w:rFonts w:ascii="Arial MT"/>
          <w:spacing w:val="-6"/>
          <w:sz w:val="20"/>
        </w:rPr>
        <w:t> </w:t>
      </w:r>
      <w:r>
        <w:rPr>
          <w:rFonts w:ascii="Arial MT"/>
          <w:sz w:val="20"/>
        </w:rPr>
        <w:t>1</w:t>
      </w:r>
      <w:r>
        <w:rPr>
          <w:rFonts w:ascii="Arial MT"/>
          <w:spacing w:val="-7"/>
          <w:sz w:val="20"/>
        </w:rPr>
        <w:t> </w:t>
      </w:r>
      <w:r>
        <w:rPr>
          <w:rFonts w:ascii="Arial MT"/>
          <w:sz w:val="20"/>
        </w:rPr>
        <w:t>to</w:t>
      </w:r>
      <w:r>
        <w:rPr>
          <w:rFonts w:ascii="Arial MT"/>
          <w:spacing w:val="-6"/>
          <w:sz w:val="20"/>
        </w:rPr>
        <w:t> </w:t>
      </w:r>
      <w:r>
        <w:rPr>
          <w:rFonts w:ascii="Arial MT"/>
          <w:spacing w:val="-10"/>
          <w:sz w:val="20"/>
        </w:rPr>
        <w:t>1</w:t>
      </w:r>
    </w:p>
    <w:tbl>
      <w:tblPr>
        <w:tblW w:w="0" w:type="auto"/>
        <w:jc w:val="left"/>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8"/>
        <w:gridCol w:w="1848"/>
        <w:gridCol w:w="1848"/>
        <w:gridCol w:w="1848"/>
        <w:gridCol w:w="1954"/>
      </w:tblGrid>
      <w:tr>
        <w:trPr>
          <w:trHeight w:val="1125" w:hRule="atLeast"/>
        </w:trPr>
        <w:tc>
          <w:tcPr>
            <w:tcW w:w="1848" w:type="dxa"/>
          </w:tcPr>
          <w:p>
            <w:pPr>
              <w:pStyle w:val="TableParagraph"/>
              <w:spacing w:before="4"/>
              <w:rPr>
                <w:rFonts w:ascii="Arial MT"/>
                <w:sz w:val="24"/>
              </w:rPr>
            </w:pPr>
          </w:p>
          <w:p>
            <w:pPr>
              <w:pStyle w:val="TableParagraph"/>
              <w:ind w:left="107"/>
              <w:rPr>
                <w:rFonts w:ascii="Cambria"/>
                <w:b/>
                <w:sz w:val="24"/>
              </w:rPr>
            </w:pPr>
            <w:r>
              <w:rPr>
                <w:rFonts w:ascii="Cambria"/>
                <w:b/>
                <w:sz w:val="24"/>
              </w:rPr>
              <w:t>EIGEN</w:t>
            </w:r>
            <w:r>
              <w:rPr>
                <w:rFonts w:ascii="Cambria"/>
                <w:b/>
                <w:spacing w:val="-2"/>
                <w:sz w:val="24"/>
              </w:rPr>
              <w:t> VALUE</w:t>
            </w:r>
          </w:p>
        </w:tc>
        <w:tc>
          <w:tcPr>
            <w:tcW w:w="1848" w:type="dxa"/>
          </w:tcPr>
          <w:p>
            <w:pPr>
              <w:pStyle w:val="TableParagraph"/>
              <w:spacing w:line="281" w:lineRule="exact"/>
              <w:ind w:left="105"/>
              <w:rPr>
                <w:rFonts w:ascii="Cambria"/>
                <w:b/>
                <w:sz w:val="24"/>
              </w:rPr>
            </w:pPr>
            <w:r>
              <w:rPr>
                <w:rFonts w:ascii="Cambria"/>
                <w:b/>
                <w:spacing w:val="-2"/>
                <w:sz w:val="24"/>
              </w:rPr>
              <w:t>LIKELIHOOD</w:t>
            </w:r>
          </w:p>
          <w:p>
            <w:pPr>
              <w:pStyle w:val="TableParagraph"/>
              <w:spacing w:before="4"/>
              <w:rPr>
                <w:rFonts w:ascii="Arial MT"/>
                <w:sz w:val="24"/>
              </w:rPr>
            </w:pPr>
          </w:p>
          <w:p>
            <w:pPr>
              <w:pStyle w:val="TableParagraph"/>
              <w:ind w:left="105"/>
              <w:rPr>
                <w:rFonts w:ascii="Cambria"/>
                <w:b/>
                <w:sz w:val="24"/>
              </w:rPr>
            </w:pPr>
            <w:r>
              <w:rPr>
                <w:rFonts w:ascii="Cambria"/>
                <w:b/>
                <w:spacing w:val="-2"/>
                <w:sz w:val="24"/>
              </w:rPr>
              <w:t>RATIO</w:t>
            </w:r>
          </w:p>
        </w:tc>
        <w:tc>
          <w:tcPr>
            <w:tcW w:w="1848" w:type="dxa"/>
          </w:tcPr>
          <w:p>
            <w:pPr>
              <w:pStyle w:val="TableParagraph"/>
              <w:tabs>
                <w:tab w:pos="694" w:val="left" w:leader="none"/>
              </w:tabs>
              <w:spacing w:line="281" w:lineRule="exact"/>
              <w:ind w:left="106"/>
              <w:rPr>
                <w:rFonts w:ascii="Cambria"/>
                <w:b/>
                <w:sz w:val="24"/>
              </w:rPr>
            </w:pPr>
            <w:r>
              <w:rPr>
                <w:rFonts w:ascii="Cambria"/>
                <w:b/>
                <w:spacing w:val="-5"/>
                <w:sz w:val="24"/>
              </w:rPr>
              <w:t>5%</w:t>
            </w:r>
            <w:r>
              <w:rPr>
                <w:rFonts w:ascii="Cambria"/>
                <w:b/>
                <w:sz w:val="24"/>
              </w:rPr>
              <w:tab/>
            </w:r>
            <w:r>
              <w:rPr>
                <w:rFonts w:ascii="Cambria"/>
                <w:b/>
                <w:spacing w:val="-2"/>
                <w:sz w:val="24"/>
              </w:rPr>
              <w:t>CRITICAL</w:t>
            </w:r>
          </w:p>
          <w:p>
            <w:pPr>
              <w:pStyle w:val="TableParagraph"/>
              <w:spacing w:before="4"/>
              <w:rPr>
                <w:rFonts w:ascii="Arial MT"/>
                <w:sz w:val="24"/>
              </w:rPr>
            </w:pPr>
          </w:p>
          <w:p>
            <w:pPr>
              <w:pStyle w:val="TableParagraph"/>
              <w:ind w:left="106"/>
              <w:rPr>
                <w:rFonts w:ascii="Cambria"/>
                <w:b/>
                <w:sz w:val="24"/>
              </w:rPr>
            </w:pPr>
            <w:r>
              <w:rPr>
                <w:rFonts w:ascii="Cambria"/>
                <w:b/>
                <w:spacing w:val="-2"/>
                <w:sz w:val="24"/>
              </w:rPr>
              <w:t>VALUE</w:t>
            </w:r>
          </w:p>
        </w:tc>
        <w:tc>
          <w:tcPr>
            <w:tcW w:w="1848" w:type="dxa"/>
          </w:tcPr>
          <w:p>
            <w:pPr>
              <w:pStyle w:val="TableParagraph"/>
              <w:tabs>
                <w:tab w:pos="697" w:val="left" w:leader="none"/>
              </w:tabs>
              <w:spacing w:line="281" w:lineRule="exact"/>
              <w:ind w:left="106"/>
              <w:rPr>
                <w:rFonts w:ascii="Cambria"/>
                <w:b/>
                <w:sz w:val="24"/>
              </w:rPr>
            </w:pPr>
            <w:r>
              <w:rPr>
                <w:rFonts w:ascii="Cambria"/>
                <w:b/>
                <w:spacing w:val="-5"/>
                <w:sz w:val="24"/>
              </w:rPr>
              <w:t>1%</w:t>
            </w:r>
            <w:r>
              <w:rPr>
                <w:rFonts w:ascii="Cambria"/>
                <w:b/>
                <w:sz w:val="24"/>
              </w:rPr>
              <w:tab/>
            </w:r>
            <w:r>
              <w:rPr>
                <w:rFonts w:ascii="Cambria"/>
                <w:b/>
                <w:spacing w:val="-2"/>
                <w:sz w:val="24"/>
              </w:rPr>
              <w:t>CRITICAL</w:t>
            </w:r>
          </w:p>
          <w:p>
            <w:pPr>
              <w:pStyle w:val="TableParagraph"/>
              <w:spacing w:before="4"/>
              <w:rPr>
                <w:rFonts w:ascii="Arial MT"/>
                <w:sz w:val="24"/>
              </w:rPr>
            </w:pPr>
          </w:p>
          <w:p>
            <w:pPr>
              <w:pStyle w:val="TableParagraph"/>
              <w:ind w:left="106"/>
              <w:rPr>
                <w:rFonts w:ascii="Cambria"/>
                <w:b/>
                <w:sz w:val="24"/>
              </w:rPr>
            </w:pPr>
            <w:r>
              <w:rPr>
                <w:rFonts w:ascii="Cambria"/>
                <w:b/>
                <w:spacing w:val="-2"/>
                <w:sz w:val="24"/>
              </w:rPr>
              <w:t>VALUE</w:t>
            </w:r>
          </w:p>
        </w:tc>
        <w:tc>
          <w:tcPr>
            <w:tcW w:w="1954" w:type="dxa"/>
          </w:tcPr>
          <w:p>
            <w:pPr>
              <w:pStyle w:val="TableParagraph"/>
              <w:spacing w:line="281" w:lineRule="exact"/>
              <w:ind w:left="109"/>
              <w:rPr>
                <w:rFonts w:ascii="Cambria"/>
                <w:b/>
                <w:sz w:val="24"/>
              </w:rPr>
            </w:pPr>
            <w:r>
              <w:rPr>
                <w:rFonts w:ascii="Cambria"/>
                <w:b/>
                <w:spacing w:val="-2"/>
                <w:sz w:val="24"/>
              </w:rPr>
              <w:t>HYPOTHESISED</w:t>
            </w:r>
          </w:p>
          <w:p>
            <w:pPr>
              <w:pStyle w:val="TableParagraph"/>
              <w:spacing w:before="3"/>
              <w:rPr>
                <w:rFonts w:ascii="Arial MT"/>
                <w:sz w:val="24"/>
              </w:rPr>
            </w:pPr>
          </w:p>
          <w:p>
            <w:pPr>
              <w:pStyle w:val="TableParagraph"/>
              <w:spacing w:before="1"/>
              <w:ind w:left="109"/>
              <w:rPr>
                <w:rFonts w:ascii="Cambria"/>
                <w:b/>
                <w:sz w:val="24"/>
              </w:rPr>
            </w:pPr>
            <w:r>
              <w:rPr>
                <w:rFonts w:ascii="Cambria"/>
                <w:b/>
                <w:position w:val="1"/>
                <w:sz w:val="24"/>
              </w:rPr>
              <w:t>NO OF</w:t>
            </w:r>
            <w:r>
              <w:rPr>
                <w:rFonts w:ascii="Cambria"/>
                <w:b/>
                <w:spacing w:val="-1"/>
                <w:position w:val="1"/>
                <w:sz w:val="24"/>
              </w:rPr>
              <w:t> </w:t>
            </w:r>
            <w:r>
              <w:rPr>
                <w:rFonts w:ascii="Cambria"/>
                <w:b/>
                <w:spacing w:val="-2"/>
                <w:position w:val="1"/>
                <w:sz w:val="24"/>
              </w:rPr>
              <w:t>(CE</w:t>
            </w:r>
            <w:r>
              <w:rPr>
                <w:rFonts w:ascii="Cambria"/>
                <w:b/>
                <w:spacing w:val="-2"/>
                <w:sz w:val="16"/>
              </w:rPr>
              <w:t>S</w:t>
            </w:r>
            <w:r>
              <w:rPr>
                <w:rFonts w:ascii="Cambria"/>
                <w:b/>
                <w:spacing w:val="-2"/>
                <w:position w:val="1"/>
                <w:sz w:val="24"/>
              </w:rPr>
              <w:t>)</w:t>
            </w:r>
          </w:p>
        </w:tc>
      </w:tr>
      <w:tr>
        <w:trPr>
          <w:trHeight w:val="304" w:hRule="atLeast"/>
        </w:trPr>
        <w:tc>
          <w:tcPr>
            <w:tcW w:w="1848" w:type="dxa"/>
          </w:tcPr>
          <w:p>
            <w:pPr>
              <w:pStyle w:val="TableParagraph"/>
              <w:ind w:left="573"/>
              <w:rPr>
                <w:sz w:val="20"/>
              </w:rPr>
            </w:pPr>
            <w:r>
              <w:rPr>
                <w:spacing w:val="-2"/>
                <w:sz w:val="20"/>
              </w:rPr>
              <w:t>0.560985</w:t>
            </w:r>
          </w:p>
        </w:tc>
        <w:tc>
          <w:tcPr>
            <w:tcW w:w="1848" w:type="dxa"/>
          </w:tcPr>
          <w:p>
            <w:pPr>
              <w:pStyle w:val="TableParagraph"/>
              <w:ind w:left="113" w:right="60"/>
              <w:jc w:val="center"/>
              <w:rPr>
                <w:sz w:val="20"/>
              </w:rPr>
            </w:pPr>
            <w:r>
              <w:rPr>
                <w:spacing w:val="-2"/>
                <w:sz w:val="20"/>
              </w:rPr>
              <w:t>95.95913</w:t>
            </w:r>
          </w:p>
        </w:tc>
        <w:tc>
          <w:tcPr>
            <w:tcW w:w="1848" w:type="dxa"/>
          </w:tcPr>
          <w:p>
            <w:pPr>
              <w:pStyle w:val="TableParagraph"/>
              <w:ind w:left="113" w:right="56"/>
              <w:jc w:val="center"/>
              <w:rPr>
                <w:sz w:val="20"/>
              </w:rPr>
            </w:pPr>
            <w:r>
              <w:rPr>
                <w:spacing w:val="-2"/>
                <w:sz w:val="20"/>
              </w:rPr>
              <w:t>94.15</w:t>
            </w:r>
          </w:p>
        </w:tc>
        <w:tc>
          <w:tcPr>
            <w:tcW w:w="1848" w:type="dxa"/>
          </w:tcPr>
          <w:p>
            <w:pPr>
              <w:pStyle w:val="TableParagraph"/>
              <w:ind w:left="113" w:right="108"/>
              <w:jc w:val="center"/>
              <w:rPr>
                <w:sz w:val="20"/>
              </w:rPr>
            </w:pPr>
            <w:r>
              <w:rPr>
                <w:spacing w:val="-2"/>
                <w:sz w:val="20"/>
              </w:rPr>
              <w:t>103.18</w:t>
            </w:r>
          </w:p>
        </w:tc>
        <w:tc>
          <w:tcPr>
            <w:tcW w:w="1954" w:type="dxa"/>
          </w:tcPr>
          <w:p>
            <w:pPr>
              <w:pStyle w:val="TableParagraph"/>
              <w:ind w:right="537"/>
              <w:jc w:val="center"/>
              <w:rPr>
                <w:sz w:val="20"/>
              </w:rPr>
            </w:pPr>
            <w:r>
              <w:rPr>
                <w:sz w:val="20"/>
              </w:rPr>
              <w:t>None</w:t>
            </w:r>
            <w:r>
              <w:rPr>
                <w:spacing w:val="-6"/>
                <w:sz w:val="20"/>
              </w:rPr>
              <w:t> </w:t>
            </w:r>
            <w:r>
              <w:rPr>
                <w:spacing w:val="-10"/>
                <w:sz w:val="20"/>
              </w:rPr>
              <w:t>*</w:t>
            </w:r>
          </w:p>
        </w:tc>
      </w:tr>
      <w:tr>
        <w:trPr>
          <w:trHeight w:val="350" w:hRule="atLeast"/>
        </w:trPr>
        <w:tc>
          <w:tcPr>
            <w:tcW w:w="1848" w:type="dxa"/>
          </w:tcPr>
          <w:p>
            <w:pPr>
              <w:pStyle w:val="TableParagraph"/>
              <w:ind w:left="573"/>
              <w:rPr>
                <w:sz w:val="20"/>
              </w:rPr>
            </w:pPr>
            <w:r>
              <w:rPr>
                <w:spacing w:val="-2"/>
                <w:sz w:val="20"/>
              </w:rPr>
              <w:t>0.457967</w:t>
            </w:r>
          </w:p>
        </w:tc>
        <w:tc>
          <w:tcPr>
            <w:tcW w:w="1848" w:type="dxa"/>
          </w:tcPr>
          <w:p>
            <w:pPr>
              <w:pStyle w:val="TableParagraph"/>
              <w:ind w:left="113" w:right="60"/>
              <w:jc w:val="center"/>
              <w:rPr>
                <w:sz w:val="20"/>
              </w:rPr>
            </w:pPr>
            <w:r>
              <w:rPr>
                <w:spacing w:val="-2"/>
                <w:sz w:val="20"/>
              </w:rPr>
              <w:t>63.03029</w:t>
            </w:r>
          </w:p>
        </w:tc>
        <w:tc>
          <w:tcPr>
            <w:tcW w:w="1848" w:type="dxa"/>
          </w:tcPr>
          <w:p>
            <w:pPr>
              <w:pStyle w:val="TableParagraph"/>
              <w:ind w:left="113" w:right="56"/>
              <w:jc w:val="center"/>
              <w:rPr>
                <w:sz w:val="20"/>
              </w:rPr>
            </w:pPr>
            <w:r>
              <w:rPr>
                <w:spacing w:val="-2"/>
                <w:sz w:val="20"/>
              </w:rPr>
              <w:t>68.52</w:t>
            </w:r>
          </w:p>
        </w:tc>
        <w:tc>
          <w:tcPr>
            <w:tcW w:w="1848" w:type="dxa"/>
          </w:tcPr>
          <w:p>
            <w:pPr>
              <w:pStyle w:val="TableParagraph"/>
              <w:ind w:left="113" w:right="55"/>
              <w:jc w:val="center"/>
              <w:rPr>
                <w:sz w:val="20"/>
              </w:rPr>
            </w:pPr>
            <w:r>
              <w:rPr>
                <w:spacing w:val="-2"/>
                <w:sz w:val="20"/>
              </w:rPr>
              <w:t>76.07</w:t>
            </w:r>
          </w:p>
        </w:tc>
        <w:tc>
          <w:tcPr>
            <w:tcW w:w="1954" w:type="dxa"/>
          </w:tcPr>
          <w:p>
            <w:pPr>
              <w:pStyle w:val="TableParagraph"/>
              <w:ind w:right="635"/>
              <w:jc w:val="center"/>
              <w:rPr>
                <w:sz w:val="20"/>
              </w:rPr>
            </w:pPr>
            <w:r>
              <w:rPr>
                <w:sz w:val="20"/>
              </w:rPr>
              <w:t>At</w:t>
            </w:r>
            <w:r>
              <w:rPr>
                <w:spacing w:val="-4"/>
                <w:sz w:val="20"/>
              </w:rPr>
              <w:t> </w:t>
            </w:r>
            <w:r>
              <w:rPr>
                <w:sz w:val="20"/>
              </w:rPr>
              <w:t>most</w:t>
            </w:r>
            <w:r>
              <w:rPr>
                <w:spacing w:val="-6"/>
                <w:sz w:val="20"/>
              </w:rPr>
              <w:t> </w:t>
            </w:r>
            <w:r>
              <w:rPr>
                <w:spacing w:val="-10"/>
                <w:sz w:val="20"/>
              </w:rPr>
              <w:t>1</w:t>
            </w:r>
          </w:p>
        </w:tc>
      </w:tr>
      <w:tr>
        <w:trPr>
          <w:trHeight w:val="359" w:hRule="atLeast"/>
        </w:trPr>
        <w:tc>
          <w:tcPr>
            <w:tcW w:w="1848" w:type="dxa"/>
          </w:tcPr>
          <w:p>
            <w:pPr>
              <w:pStyle w:val="TableParagraph"/>
              <w:ind w:left="573"/>
              <w:rPr>
                <w:sz w:val="20"/>
              </w:rPr>
            </w:pPr>
            <w:r>
              <w:rPr>
                <w:spacing w:val="-2"/>
                <w:sz w:val="20"/>
              </w:rPr>
              <w:t>0.354636</w:t>
            </w:r>
          </w:p>
        </w:tc>
        <w:tc>
          <w:tcPr>
            <w:tcW w:w="1848" w:type="dxa"/>
          </w:tcPr>
          <w:p>
            <w:pPr>
              <w:pStyle w:val="TableParagraph"/>
              <w:ind w:left="113" w:right="60"/>
              <w:jc w:val="center"/>
              <w:rPr>
                <w:sz w:val="20"/>
              </w:rPr>
            </w:pPr>
            <w:r>
              <w:rPr>
                <w:spacing w:val="-2"/>
                <w:sz w:val="20"/>
              </w:rPr>
              <w:t>38.53317</w:t>
            </w:r>
          </w:p>
        </w:tc>
        <w:tc>
          <w:tcPr>
            <w:tcW w:w="1848" w:type="dxa"/>
          </w:tcPr>
          <w:p>
            <w:pPr>
              <w:pStyle w:val="TableParagraph"/>
              <w:ind w:left="113" w:right="60"/>
              <w:jc w:val="center"/>
              <w:rPr>
                <w:sz w:val="20"/>
              </w:rPr>
            </w:pPr>
            <w:r>
              <w:rPr>
                <w:spacing w:val="-10"/>
                <w:sz w:val="20"/>
              </w:rPr>
              <w:t>4</w:t>
            </w:r>
          </w:p>
        </w:tc>
        <w:tc>
          <w:tcPr>
            <w:tcW w:w="1848" w:type="dxa"/>
          </w:tcPr>
          <w:p>
            <w:pPr>
              <w:pStyle w:val="TableParagraph"/>
              <w:ind w:left="113" w:right="55"/>
              <w:jc w:val="center"/>
              <w:rPr>
                <w:sz w:val="20"/>
              </w:rPr>
            </w:pPr>
            <w:r>
              <w:rPr>
                <w:spacing w:val="-2"/>
                <w:sz w:val="20"/>
              </w:rPr>
              <w:t>54.46</w:t>
            </w:r>
          </w:p>
        </w:tc>
        <w:tc>
          <w:tcPr>
            <w:tcW w:w="1954" w:type="dxa"/>
          </w:tcPr>
          <w:p>
            <w:pPr>
              <w:pStyle w:val="TableParagraph"/>
              <w:ind w:right="635"/>
              <w:jc w:val="center"/>
              <w:rPr>
                <w:sz w:val="20"/>
              </w:rPr>
            </w:pPr>
            <w:r>
              <w:rPr>
                <w:sz w:val="20"/>
              </w:rPr>
              <w:t>At</w:t>
            </w:r>
            <w:r>
              <w:rPr>
                <w:spacing w:val="-4"/>
                <w:sz w:val="20"/>
              </w:rPr>
              <w:t> </w:t>
            </w:r>
            <w:r>
              <w:rPr>
                <w:sz w:val="20"/>
              </w:rPr>
              <w:t>most</w:t>
            </w:r>
            <w:r>
              <w:rPr>
                <w:spacing w:val="-6"/>
                <w:sz w:val="20"/>
              </w:rPr>
              <w:t> </w:t>
            </w:r>
            <w:r>
              <w:rPr>
                <w:spacing w:val="-10"/>
                <w:sz w:val="20"/>
              </w:rPr>
              <w:t>2</w:t>
            </w:r>
          </w:p>
        </w:tc>
      </w:tr>
      <w:tr>
        <w:trPr>
          <w:trHeight w:val="350" w:hRule="atLeast"/>
        </w:trPr>
        <w:tc>
          <w:tcPr>
            <w:tcW w:w="1848" w:type="dxa"/>
          </w:tcPr>
          <w:p>
            <w:pPr>
              <w:pStyle w:val="TableParagraph"/>
              <w:ind w:left="573"/>
              <w:rPr>
                <w:sz w:val="20"/>
              </w:rPr>
            </w:pPr>
            <w:r>
              <w:rPr>
                <w:spacing w:val="-2"/>
                <w:sz w:val="20"/>
              </w:rPr>
              <w:t>0.293191</w:t>
            </w:r>
          </w:p>
        </w:tc>
        <w:tc>
          <w:tcPr>
            <w:tcW w:w="1848" w:type="dxa"/>
          </w:tcPr>
          <w:p>
            <w:pPr>
              <w:pStyle w:val="TableParagraph"/>
              <w:ind w:left="113" w:right="60"/>
              <w:jc w:val="center"/>
              <w:rPr>
                <w:sz w:val="20"/>
              </w:rPr>
            </w:pPr>
            <w:r>
              <w:rPr>
                <w:spacing w:val="-2"/>
                <w:sz w:val="20"/>
              </w:rPr>
              <w:t>21.01556</w:t>
            </w:r>
          </w:p>
        </w:tc>
        <w:tc>
          <w:tcPr>
            <w:tcW w:w="1848" w:type="dxa"/>
          </w:tcPr>
          <w:p>
            <w:pPr>
              <w:pStyle w:val="TableParagraph"/>
              <w:ind w:left="113" w:right="56"/>
              <w:jc w:val="center"/>
              <w:rPr>
                <w:sz w:val="20"/>
              </w:rPr>
            </w:pPr>
            <w:r>
              <w:rPr>
                <w:spacing w:val="-2"/>
                <w:sz w:val="20"/>
              </w:rPr>
              <w:t>29.68</w:t>
            </w:r>
          </w:p>
        </w:tc>
        <w:tc>
          <w:tcPr>
            <w:tcW w:w="1848" w:type="dxa"/>
          </w:tcPr>
          <w:p>
            <w:pPr>
              <w:pStyle w:val="TableParagraph"/>
              <w:ind w:left="113" w:right="55"/>
              <w:jc w:val="center"/>
              <w:rPr>
                <w:sz w:val="20"/>
              </w:rPr>
            </w:pPr>
            <w:r>
              <w:rPr>
                <w:spacing w:val="-2"/>
                <w:sz w:val="20"/>
              </w:rPr>
              <w:t>35.65</w:t>
            </w:r>
          </w:p>
        </w:tc>
        <w:tc>
          <w:tcPr>
            <w:tcW w:w="1954" w:type="dxa"/>
          </w:tcPr>
          <w:p>
            <w:pPr>
              <w:pStyle w:val="TableParagraph"/>
              <w:ind w:right="635"/>
              <w:jc w:val="center"/>
              <w:rPr>
                <w:sz w:val="20"/>
              </w:rPr>
            </w:pPr>
            <w:r>
              <w:rPr>
                <w:sz w:val="20"/>
              </w:rPr>
              <w:t>At</w:t>
            </w:r>
            <w:r>
              <w:rPr>
                <w:spacing w:val="-4"/>
                <w:sz w:val="20"/>
              </w:rPr>
              <w:t> </w:t>
            </w:r>
            <w:r>
              <w:rPr>
                <w:sz w:val="20"/>
              </w:rPr>
              <w:t>most</w:t>
            </w:r>
            <w:r>
              <w:rPr>
                <w:spacing w:val="-6"/>
                <w:sz w:val="20"/>
              </w:rPr>
              <w:t> </w:t>
            </w:r>
            <w:r>
              <w:rPr>
                <w:spacing w:val="-10"/>
                <w:sz w:val="20"/>
              </w:rPr>
              <w:t>3</w:t>
            </w:r>
          </w:p>
        </w:tc>
      </w:tr>
      <w:tr>
        <w:trPr>
          <w:trHeight w:val="350" w:hRule="atLeast"/>
        </w:trPr>
        <w:tc>
          <w:tcPr>
            <w:tcW w:w="1848" w:type="dxa"/>
          </w:tcPr>
          <w:p>
            <w:pPr>
              <w:pStyle w:val="TableParagraph"/>
              <w:ind w:left="573"/>
              <w:rPr>
                <w:sz w:val="20"/>
              </w:rPr>
            </w:pPr>
            <w:r>
              <w:rPr>
                <w:spacing w:val="-2"/>
                <w:sz w:val="20"/>
              </w:rPr>
              <w:t>0.153943</w:t>
            </w:r>
          </w:p>
        </w:tc>
        <w:tc>
          <w:tcPr>
            <w:tcW w:w="1848" w:type="dxa"/>
          </w:tcPr>
          <w:p>
            <w:pPr>
              <w:pStyle w:val="TableParagraph"/>
              <w:ind w:left="113" w:right="60"/>
              <w:jc w:val="center"/>
              <w:rPr>
                <w:sz w:val="20"/>
              </w:rPr>
            </w:pPr>
            <w:r>
              <w:rPr>
                <w:spacing w:val="-2"/>
                <w:sz w:val="20"/>
              </w:rPr>
              <w:t>7.135782</w:t>
            </w:r>
          </w:p>
        </w:tc>
        <w:tc>
          <w:tcPr>
            <w:tcW w:w="1848" w:type="dxa"/>
          </w:tcPr>
          <w:p>
            <w:pPr>
              <w:pStyle w:val="TableParagraph"/>
              <w:ind w:left="113" w:right="56"/>
              <w:jc w:val="center"/>
              <w:rPr>
                <w:sz w:val="20"/>
              </w:rPr>
            </w:pPr>
            <w:r>
              <w:rPr>
                <w:spacing w:val="-2"/>
                <w:sz w:val="20"/>
              </w:rPr>
              <w:t>15.41</w:t>
            </w:r>
          </w:p>
        </w:tc>
        <w:tc>
          <w:tcPr>
            <w:tcW w:w="1848" w:type="dxa"/>
          </w:tcPr>
          <w:p>
            <w:pPr>
              <w:pStyle w:val="TableParagraph"/>
              <w:ind w:left="113" w:right="55"/>
              <w:jc w:val="center"/>
              <w:rPr>
                <w:sz w:val="20"/>
              </w:rPr>
            </w:pPr>
            <w:r>
              <w:rPr>
                <w:spacing w:val="-2"/>
                <w:sz w:val="20"/>
              </w:rPr>
              <w:t>20.04</w:t>
            </w:r>
          </w:p>
        </w:tc>
        <w:tc>
          <w:tcPr>
            <w:tcW w:w="1954" w:type="dxa"/>
          </w:tcPr>
          <w:p>
            <w:pPr>
              <w:pStyle w:val="TableParagraph"/>
              <w:ind w:right="635"/>
              <w:jc w:val="center"/>
              <w:rPr>
                <w:sz w:val="20"/>
              </w:rPr>
            </w:pPr>
            <w:r>
              <w:rPr>
                <w:sz w:val="20"/>
              </w:rPr>
              <w:t>At</w:t>
            </w:r>
            <w:r>
              <w:rPr>
                <w:spacing w:val="-4"/>
                <w:sz w:val="20"/>
              </w:rPr>
              <w:t> </w:t>
            </w:r>
            <w:r>
              <w:rPr>
                <w:sz w:val="20"/>
              </w:rPr>
              <w:t>most</w:t>
            </w:r>
            <w:r>
              <w:rPr>
                <w:spacing w:val="-6"/>
                <w:sz w:val="20"/>
              </w:rPr>
              <w:t> </w:t>
            </w:r>
            <w:r>
              <w:rPr>
                <w:spacing w:val="-10"/>
                <w:sz w:val="20"/>
              </w:rPr>
              <w:t>4</w:t>
            </w:r>
          </w:p>
        </w:tc>
      </w:tr>
      <w:tr>
        <w:trPr>
          <w:trHeight w:val="350" w:hRule="atLeast"/>
        </w:trPr>
        <w:tc>
          <w:tcPr>
            <w:tcW w:w="1848" w:type="dxa"/>
          </w:tcPr>
          <w:p>
            <w:pPr>
              <w:pStyle w:val="TableParagraph"/>
              <w:ind w:left="573"/>
              <w:rPr>
                <w:sz w:val="20"/>
              </w:rPr>
            </w:pPr>
            <w:r>
              <w:rPr>
                <w:spacing w:val="-2"/>
                <w:sz w:val="20"/>
              </w:rPr>
              <w:t>0.011163</w:t>
            </w:r>
          </w:p>
        </w:tc>
        <w:tc>
          <w:tcPr>
            <w:tcW w:w="1848" w:type="dxa"/>
          </w:tcPr>
          <w:p>
            <w:pPr>
              <w:pStyle w:val="TableParagraph"/>
              <w:ind w:left="113" w:right="60"/>
              <w:jc w:val="center"/>
              <w:rPr>
                <w:sz w:val="20"/>
              </w:rPr>
            </w:pPr>
            <w:r>
              <w:rPr>
                <w:spacing w:val="-2"/>
                <w:sz w:val="20"/>
              </w:rPr>
              <w:t>0.449044</w:t>
            </w:r>
          </w:p>
        </w:tc>
        <w:tc>
          <w:tcPr>
            <w:tcW w:w="1848" w:type="dxa"/>
          </w:tcPr>
          <w:p>
            <w:pPr>
              <w:pStyle w:val="TableParagraph"/>
              <w:ind w:left="113" w:right="5"/>
              <w:jc w:val="center"/>
              <w:rPr>
                <w:sz w:val="20"/>
              </w:rPr>
            </w:pPr>
            <w:r>
              <w:rPr>
                <w:spacing w:val="-4"/>
                <w:sz w:val="20"/>
              </w:rPr>
              <w:t>3.76</w:t>
            </w:r>
          </w:p>
        </w:tc>
        <w:tc>
          <w:tcPr>
            <w:tcW w:w="1848" w:type="dxa"/>
          </w:tcPr>
          <w:p>
            <w:pPr>
              <w:pStyle w:val="TableParagraph"/>
              <w:ind w:left="113" w:right="5"/>
              <w:jc w:val="center"/>
              <w:rPr>
                <w:sz w:val="20"/>
              </w:rPr>
            </w:pPr>
            <w:r>
              <w:rPr>
                <w:spacing w:val="-4"/>
                <w:sz w:val="20"/>
              </w:rPr>
              <w:t>6.65</w:t>
            </w:r>
          </w:p>
        </w:tc>
        <w:tc>
          <w:tcPr>
            <w:tcW w:w="1954" w:type="dxa"/>
          </w:tcPr>
          <w:p>
            <w:pPr>
              <w:pStyle w:val="TableParagraph"/>
              <w:ind w:right="635"/>
              <w:jc w:val="center"/>
              <w:rPr>
                <w:sz w:val="20"/>
              </w:rPr>
            </w:pPr>
            <w:r>
              <w:rPr>
                <w:sz w:val="20"/>
              </w:rPr>
              <w:t>At</w:t>
            </w:r>
            <w:r>
              <w:rPr>
                <w:spacing w:val="-4"/>
                <w:sz w:val="20"/>
              </w:rPr>
              <w:t> </w:t>
            </w:r>
            <w:r>
              <w:rPr>
                <w:sz w:val="20"/>
              </w:rPr>
              <w:t>most</w:t>
            </w:r>
            <w:r>
              <w:rPr>
                <w:spacing w:val="-6"/>
                <w:sz w:val="20"/>
              </w:rPr>
              <w:t> </w:t>
            </w:r>
            <w:r>
              <w:rPr>
                <w:spacing w:val="-10"/>
                <w:sz w:val="20"/>
              </w:rPr>
              <w:t>5</w:t>
            </w:r>
          </w:p>
        </w:tc>
      </w:tr>
    </w:tbl>
    <w:p>
      <w:pPr>
        <w:pStyle w:val="BodyText"/>
        <w:spacing w:before="1"/>
        <w:ind w:left="711"/>
        <w:jc w:val="both"/>
        <w:rPr>
          <w:rFonts w:ascii="Cambria"/>
        </w:rPr>
      </w:pPr>
      <w:r>
        <w:rPr>
          <w:rFonts w:ascii="Cambria"/>
        </w:rPr>
        <w:t>*(**)</w:t>
      </w:r>
      <w:r>
        <w:rPr>
          <w:rFonts w:ascii="Cambria"/>
          <w:spacing w:val="-3"/>
        </w:rPr>
        <w:t> </w:t>
      </w:r>
      <w:r>
        <w:rPr>
          <w:rFonts w:ascii="Cambria"/>
        </w:rPr>
        <w:t>denotes</w:t>
      </w:r>
      <w:r>
        <w:rPr>
          <w:rFonts w:ascii="Cambria"/>
          <w:spacing w:val="-2"/>
        </w:rPr>
        <w:t> </w:t>
      </w:r>
      <w:r>
        <w:rPr>
          <w:rFonts w:ascii="Cambria"/>
        </w:rPr>
        <w:t>rejection</w:t>
      </w:r>
      <w:r>
        <w:rPr>
          <w:rFonts w:ascii="Cambria"/>
          <w:spacing w:val="-4"/>
        </w:rPr>
        <w:t> </w:t>
      </w:r>
      <w:r>
        <w:rPr>
          <w:rFonts w:ascii="Cambria"/>
        </w:rPr>
        <w:t>of</w:t>
      </w:r>
      <w:r>
        <w:rPr>
          <w:rFonts w:ascii="Cambria"/>
          <w:spacing w:val="-3"/>
        </w:rPr>
        <w:t> </w:t>
      </w:r>
      <w:r>
        <w:rPr>
          <w:rFonts w:ascii="Cambria"/>
        </w:rPr>
        <w:t>hypothesis</w:t>
      </w:r>
      <w:r>
        <w:rPr>
          <w:rFonts w:ascii="Cambria"/>
          <w:spacing w:val="-2"/>
        </w:rPr>
        <w:t> </w:t>
      </w:r>
      <w:r>
        <w:rPr>
          <w:rFonts w:ascii="Cambria"/>
        </w:rPr>
        <w:t>@</w:t>
      </w:r>
      <w:r>
        <w:rPr>
          <w:rFonts w:ascii="Cambria"/>
          <w:spacing w:val="2"/>
        </w:rPr>
        <w:t> </w:t>
      </w:r>
      <w:r>
        <w:rPr>
          <w:rFonts w:ascii="Cambria"/>
        </w:rPr>
        <w:t>5</w:t>
      </w:r>
      <w:r>
        <w:rPr>
          <w:rFonts w:ascii="Cambria"/>
          <w:spacing w:val="-3"/>
        </w:rPr>
        <w:t> </w:t>
      </w:r>
      <w:r>
        <w:rPr>
          <w:rFonts w:ascii="Cambria"/>
        </w:rPr>
        <w:t>%(1%)</w:t>
      </w:r>
      <w:r>
        <w:rPr>
          <w:rFonts w:ascii="Cambria"/>
          <w:spacing w:val="-3"/>
        </w:rPr>
        <w:t> </w:t>
      </w:r>
      <w:r>
        <w:rPr>
          <w:rFonts w:ascii="Cambria"/>
        </w:rPr>
        <w:t>Significant</w:t>
      </w:r>
      <w:r>
        <w:rPr>
          <w:rFonts w:ascii="Cambria"/>
          <w:spacing w:val="-1"/>
        </w:rPr>
        <w:t> </w:t>
      </w:r>
      <w:r>
        <w:rPr>
          <w:rFonts w:ascii="Cambria"/>
          <w:spacing w:val="-2"/>
        </w:rPr>
        <w:t>level</w:t>
      </w:r>
    </w:p>
    <w:p>
      <w:pPr>
        <w:pStyle w:val="BodyText"/>
        <w:spacing w:before="43"/>
        <w:ind w:left="711"/>
        <w:rPr>
          <w:rFonts w:ascii="Cambria"/>
        </w:rPr>
      </w:pPr>
      <w:r>
        <w:rPr>
          <w:rFonts w:ascii="Cambria"/>
        </w:rPr>
        <w:t>L.R.</w:t>
      </w:r>
      <w:r>
        <w:rPr>
          <w:rFonts w:ascii="Cambria"/>
          <w:spacing w:val="-6"/>
        </w:rPr>
        <w:t> </w:t>
      </w:r>
      <w:r>
        <w:rPr>
          <w:rFonts w:ascii="Cambria"/>
        </w:rPr>
        <w:t>test</w:t>
      </w:r>
      <w:r>
        <w:rPr>
          <w:rFonts w:ascii="Cambria"/>
          <w:spacing w:val="-3"/>
        </w:rPr>
        <w:t> </w:t>
      </w:r>
      <w:r>
        <w:rPr>
          <w:rFonts w:ascii="Cambria"/>
        </w:rPr>
        <w:t>indicates</w:t>
      </w:r>
      <w:r>
        <w:rPr>
          <w:rFonts w:ascii="Cambria"/>
          <w:spacing w:val="-2"/>
        </w:rPr>
        <w:t> </w:t>
      </w:r>
      <w:r>
        <w:rPr>
          <w:rFonts w:ascii="Cambria"/>
        </w:rPr>
        <w:t>I</w:t>
      </w:r>
      <w:r>
        <w:rPr>
          <w:rFonts w:ascii="Cambria"/>
          <w:spacing w:val="-5"/>
        </w:rPr>
        <w:t> </w:t>
      </w:r>
      <w:r>
        <w:rPr>
          <w:rFonts w:ascii="Cambria"/>
        </w:rPr>
        <w:t>co-integrating</w:t>
      </w:r>
      <w:r>
        <w:rPr>
          <w:rFonts w:ascii="Cambria"/>
          <w:spacing w:val="-6"/>
        </w:rPr>
        <w:t> </w:t>
      </w:r>
      <w:r>
        <w:rPr>
          <w:rFonts w:ascii="Cambria"/>
        </w:rPr>
        <w:t>equation</w:t>
      </w:r>
      <w:r>
        <w:rPr>
          <w:rFonts w:ascii="Cambria"/>
          <w:spacing w:val="-4"/>
        </w:rPr>
        <w:t> </w:t>
      </w:r>
      <w:r>
        <w:rPr>
          <w:rFonts w:ascii="Cambria"/>
        </w:rPr>
        <w:t>@</w:t>
      </w:r>
      <w:r>
        <w:rPr>
          <w:rFonts w:ascii="Cambria"/>
          <w:spacing w:val="-5"/>
        </w:rPr>
        <w:t> </w:t>
      </w:r>
      <w:r>
        <w:rPr>
          <w:rFonts w:ascii="Cambria"/>
        </w:rPr>
        <w:t>5%</w:t>
      </w:r>
      <w:r>
        <w:rPr>
          <w:rFonts w:ascii="Cambria"/>
          <w:spacing w:val="-4"/>
        </w:rPr>
        <w:t> </w:t>
      </w:r>
      <w:r>
        <w:rPr>
          <w:rFonts w:ascii="Cambria"/>
        </w:rPr>
        <w:t>(1%)</w:t>
      </w:r>
      <w:r>
        <w:rPr>
          <w:rFonts w:ascii="Cambria"/>
          <w:spacing w:val="-4"/>
        </w:rPr>
        <w:t> </w:t>
      </w:r>
      <w:r>
        <w:rPr>
          <w:rFonts w:ascii="Cambria"/>
        </w:rPr>
        <w:t>significant</w:t>
      </w:r>
      <w:r>
        <w:rPr>
          <w:rFonts w:ascii="Cambria"/>
          <w:spacing w:val="-3"/>
        </w:rPr>
        <w:t> </w:t>
      </w:r>
      <w:r>
        <w:rPr>
          <w:rFonts w:ascii="Cambria"/>
          <w:spacing w:val="-2"/>
        </w:rPr>
        <w:t>level</w:t>
      </w:r>
    </w:p>
    <w:p>
      <w:pPr>
        <w:pStyle w:val="BodyText"/>
        <w:spacing w:before="42"/>
        <w:ind w:left="711"/>
        <w:jc w:val="both"/>
        <w:rPr>
          <w:b/>
        </w:rPr>
      </w:pPr>
      <w:r>
        <w:rPr/>
        <w:t>Source:</w:t>
      </w:r>
      <w:r>
        <w:rPr>
          <w:spacing w:val="-4"/>
        </w:rPr>
        <w:t> </w:t>
      </w:r>
      <w:r>
        <w:rPr/>
        <w:t>Computation,</w:t>
      </w:r>
      <w:r>
        <w:rPr>
          <w:spacing w:val="-1"/>
        </w:rPr>
        <w:t> </w:t>
      </w:r>
      <w:r>
        <w:rPr/>
        <w:t>using</w:t>
      </w:r>
      <w:r>
        <w:rPr>
          <w:spacing w:val="-5"/>
        </w:rPr>
        <w:t> </w:t>
      </w:r>
      <w:r>
        <w:rPr/>
        <w:t>E-view</w:t>
      </w:r>
      <w:r>
        <w:rPr>
          <w:spacing w:val="-1"/>
        </w:rPr>
        <w:t> </w:t>
      </w:r>
      <w:r>
        <w:rPr/>
        <w:t>statistical</w:t>
      </w:r>
      <w:r>
        <w:rPr>
          <w:spacing w:val="-1"/>
        </w:rPr>
        <w:t> </w:t>
      </w:r>
      <w:r>
        <w:rPr>
          <w:spacing w:val="-2"/>
        </w:rPr>
        <w:t>package</w:t>
      </w:r>
      <w:r>
        <w:rPr>
          <w:b/>
          <w:spacing w:val="-2"/>
        </w:rPr>
        <w:t>.</w:t>
      </w:r>
    </w:p>
    <w:p>
      <w:pPr>
        <w:pStyle w:val="BodyText"/>
        <w:rPr>
          <w:b/>
        </w:rPr>
      </w:pPr>
    </w:p>
    <w:p>
      <w:pPr>
        <w:pStyle w:val="BodyText"/>
        <w:spacing w:line="480" w:lineRule="auto"/>
        <w:ind w:left="711" w:right="470"/>
        <w:jc w:val="both"/>
        <w:rPr>
          <w:rFonts w:ascii="Cambria" w:hAnsi="Cambria"/>
        </w:rPr>
      </w:pPr>
      <w:r>
        <w:rPr>
          <w:rFonts w:ascii="Cambria" w:hAnsi="Cambria"/>
        </w:rPr>
        <w:t>The table 4.17 above shows that long-run relationship (co-integration) exist among Gross domestic product and it identified determinants; external debt (δEXTDEBT), direct foreign investment (DFI), current account balance (CAB), reserve (δRES) and Net external Asset (δNEXTAS). This is reflected in the likelihood value of </w:t>
      </w:r>
      <w:r>
        <w:rPr/>
        <w:t>95.95913 which is greater than </w:t>
      </w:r>
      <w:r>
        <w:rPr>
          <w:rFonts w:ascii="Cambria" w:hAnsi="Cambria"/>
        </w:rPr>
        <w:t>5% critical value of</w:t>
      </w:r>
      <w:r>
        <w:rPr>
          <w:rFonts w:ascii="Cambria" w:hAnsi="Cambria"/>
          <w:spacing w:val="80"/>
        </w:rPr>
        <w:t> </w:t>
      </w:r>
      <w:r>
        <w:rPr/>
        <w:t>94.15.</w:t>
      </w:r>
      <w:r>
        <w:rPr>
          <w:spacing w:val="-7"/>
        </w:rPr>
        <w:t> </w:t>
      </w:r>
      <w:r>
        <w:rPr>
          <w:rFonts w:ascii="Cambria" w:hAnsi="Cambria"/>
        </w:rPr>
        <w:t>Hence, the hypothesis </w:t>
      </w:r>
      <w:r>
        <w:rPr>
          <w:rFonts w:ascii="Cambria" w:hAnsi="Cambria"/>
          <w:position w:val="1"/>
        </w:rPr>
        <w:t>of no co-integration (H</w:t>
      </w:r>
      <w:r>
        <w:rPr>
          <w:rFonts w:ascii="Cambria" w:hAnsi="Cambria"/>
          <w:sz w:val="16"/>
        </w:rPr>
        <w:t>0</w:t>
      </w:r>
      <w:r>
        <w:rPr>
          <w:rFonts w:ascii="Cambria" w:hAnsi="Cambria"/>
          <w:position w:val="1"/>
        </w:rPr>
        <w:t>) is rejected and that of presence of co-integration (H</w:t>
      </w:r>
      <w:r>
        <w:rPr>
          <w:rFonts w:ascii="Cambria" w:hAnsi="Cambria"/>
          <w:sz w:val="16"/>
        </w:rPr>
        <w:t>1</w:t>
      </w:r>
      <w:r>
        <w:rPr>
          <w:rFonts w:ascii="Cambria" w:hAnsi="Cambria"/>
          <w:position w:val="1"/>
        </w:rPr>
        <w:t>) is upheld.</w:t>
      </w:r>
    </w:p>
    <w:p>
      <w:pPr>
        <w:pStyle w:val="Heading6"/>
        <w:spacing w:line="281" w:lineRule="exact"/>
        <w:jc w:val="left"/>
        <w:rPr>
          <w:rFonts w:ascii="Cambria"/>
        </w:rPr>
      </w:pPr>
      <w:bookmarkStart w:name="_TOC_250006" w:id="21"/>
      <w:r>
        <w:rPr>
          <w:rFonts w:ascii="Cambria"/>
        </w:rPr>
        <w:t>4.</w:t>
      </w:r>
      <w:r>
        <w:rPr>
          <w:rFonts w:ascii="Cambria"/>
          <w:spacing w:val="-2"/>
        </w:rPr>
        <w:t> </w:t>
      </w:r>
      <w:r>
        <w:rPr>
          <w:rFonts w:ascii="Cambria"/>
        </w:rPr>
        <w:t>8.1</w:t>
      </w:r>
      <w:r>
        <w:rPr>
          <w:rFonts w:ascii="Cambria"/>
          <w:spacing w:val="-2"/>
        </w:rPr>
        <w:t> </w:t>
      </w:r>
      <w:r>
        <w:rPr>
          <w:rFonts w:ascii="Cambria"/>
        </w:rPr>
        <w:t>Long-Run</w:t>
      </w:r>
      <w:r>
        <w:rPr>
          <w:rFonts w:ascii="Cambria"/>
          <w:spacing w:val="-1"/>
        </w:rPr>
        <w:t> </w:t>
      </w:r>
      <w:bookmarkEnd w:id="21"/>
      <w:r>
        <w:rPr>
          <w:rFonts w:ascii="Cambria"/>
          <w:spacing w:val="-4"/>
        </w:rPr>
        <w:t>Model</w:t>
      </w:r>
    </w:p>
    <w:p>
      <w:pPr>
        <w:pStyle w:val="BodyText"/>
        <w:spacing w:line="480" w:lineRule="auto" w:before="281"/>
        <w:ind w:left="711" w:right="470"/>
        <w:jc w:val="both"/>
        <w:rPr>
          <w:rFonts w:ascii="Cambria"/>
        </w:rPr>
      </w:pPr>
      <w:r>
        <w:rPr>
          <w:rFonts w:ascii="Cambria"/>
        </w:rPr>
        <w:t>Since a long run has been established in table 4.17, there is the need to establish a co-integration model derived from the Johansen co-integration result. The log-likelihood ratio with the lowest value was chosen. The equation with the lowest log-likelihood ratio is the first equation with the corresponding value of 252.2529. It is therefore presented below:</w:t>
      </w:r>
    </w:p>
    <w:p>
      <w:pPr>
        <w:tabs>
          <w:tab w:pos="3343" w:val="left" w:leader="none"/>
          <w:tab w:pos="4646" w:val="left" w:leader="none"/>
          <w:tab w:pos="6059" w:val="left" w:leader="none"/>
          <w:tab w:pos="7626" w:val="left" w:leader="none"/>
        </w:tabs>
        <w:spacing w:before="0"/>
        <w:ind w:left="1563" w:right="2741" w:hanging="853"/>
        <w:jc w:val="left"/>
        <w:rPr>
          <w:rFonts w:ascii="Cambria" w:hAnsi="Cambria"/>
          <w:i/>
          <w:sz w:val="24"/>
        </w:rPr>
      </w:pPr>
      <w:r>
        <w:rPr>
          <w:rFonts w:ascii="Cambria" w:hAnsi="Cambria"/>
          <w:i/>
          <w:position w:val="1"/>
          <w:sz w:val="24"/>
        </w:rPr>
        <w:t>GDP=</w:t>
      </w:r>
      <w:r>
        <w:rPr>
          <w:rFonts w:ascii="Cambria" w:hAnsi="Cambria"/>
          <w:i/>
          <w:spacing w:val="-5"/>
          <w:position w:val="1"/>
          <w:sz w:val="24"/>
        </w:rPr>
        <w:t> </w:t>
      </w:r>
      <w:r>
        <w:rPr>
          <w:rFonts w:ascii="Cambria" w:hAnsi="Cambria"/>
          <w:i/>
          <w:position w:val="1"/>
          <w:sz w:val="24"/>
        </w:rPr>
        <w:t>-0.009190δ</w:t>
      </w:r>
      <w:r>
        <w:rPr>
          <w:rFonts w:ascii="Cambria" w:hAnsi="Cambria"/>
          <w:i/>
          <w:sz w:val="16"/>
        </w:rPr>
        <w:t>EXDEBT</w:t>
      </w:r>
      <w:r>
        <w:rPr>
          <w:rFonts w:ascii="Cambria" w:hAnsi="Cambria"/>
          <w:i/>
          <w:position w:val="1"/>
          <w:sz w:val="24"/>
        </w:rPr>
        <w:t>-</w:t>
      </w:r>
      <w:r>
        <w:rPr>
          <w:rFonts w:ascii="Cambria" w:hAnsi="Cambria"/>
          <w:i/>
          <w:spacing w:val="-9"/>
          <w:position w:val="1"/>
          <w:sz w:val="24"/>
        </w:rPr>
        <w:t> </w:t>
      </w:r>
      <w:r>
        <w:rPr>
          <w:rFonts w:ascii="Cambria" w:hAnsi="Cambria"/>
          <w:i/>
          <w:position w:val="1"/>
          <w:sz w:val="24"/>
        </w:rPr>
        <w:t>0.559950</w:t>
      </w:r>
      <w:r>
        <w:rPr>
          <w:rFonts w:ascii="Cambria" w:hAnsi="Cambria"/>
          <w:i/>
          <w:sz w:val="16"/>
        </w:rPr>
        <w:t>DFI</w:t>
      </w:r>
      <w:r>
        <w:rPr>
          <w:rFonts w:ascii="Cambria" w:hAnsi="Cambria"/>
          <w:i/>
          <w:spacing w:val="-5"/>
          <w:sz w:val="16"/>
        </w:rPr>
        <w:t> </w:t>
      </w:r>
      <w:r>
        <w:rPr>
          <w:rFonts w:ascii="Cambria" w:hAnsi="Cambria"/>
          <w:i/>
          <w:position w:val="1"/>
          <w:sz w:val="24"/>
        </w:rPr>
        <w:t>-0.172788</w:t>
      </w:r>
      <w:r>
        <w:rPr>
          <w:rFonts w:ascii="Cambria" w:hAnsi="Cambria"/>
          <w:i/>
          <w:sz w:val="16"/>
        </w:rPr>
        <w:t>CAB</w:t>
      </w:r>
      <w:r>
        <w:rPr>
          <w:rFonts w:ascii="Cambria" w:hAnsi="Cambria"/>
          <w:i/>
          <w:spacing w:val="-3"/>
          <w:sz w:val="16"/>
        </w:rPr>
        <w:t> </w:t>
      </w:r>
      <w:r>
        <w:rPr>
          <w:rFonts w:ascii="Cambria" w:hAnsi="Cambria"/>
          <w:i/>
          <w:position w:val="1"/>
          <w:sz w:val="24"/>
        </w:rPr>
        <w:t>-0.026194δ</w:t>
      </w:r>
      <w:r>
        <w:rPr>
          <w:rFonts w:ascii="Cambria" w:hAnsi="Cambria"/>
          <w:i/>
          <w:sz w:val="16"/>
        </w:rPr>
        <w:t>RES</w:t>
      </w:r>
      <w:r>
        <w:rPr>
          <w:rFonts w:ascii="Cambria" w:hAnsi="Cambria"/>
          <w:i/>
          <w:spacing w:val="-4"/>
          <w:sz w:val="16"/>
        </w:rPr>
        <w:t> </w:t>
      </w:r>
      <w:r>
        <w:rPr>
          <w:rFonts w:ascii="Cambria" w:hAnsi="Cambria"/>
          <w:i/>
          <w:position w:val="1"/>
          <w:sz w:val="24"/>
        </w:rPr>
        <w:t>–</w:t>
      </w:r>
      <w:r>
        <w:rPr>
          <w:rFonts w:ascii="Cambria" w:hAnsi="Cambria"/>
          <w:i/>
          <w:spacing w:val="-7"/>
          <w:position w:val="1"/>
          <w:sz w:val="24"/>
        </w:rPr>
        <w:t> </w:t>
      </w:r>
      <w:r>
        <w:rPr>
          <w:rFonts w:ascii="Cambria" w:hAnsi="Cambria"/>
          <w:i/>
          <w:position w:val="1"/>
          <w:sz w:val="24"/>
        </w:rPr>
        <w:t>0.267205δ</w:t>
      </w:r>
      <w:r>
        <w:rPr>
          <w:rFonts w:ascii="Cambria" w:hAnsi="Cambria"/>
          <w:i/>
          <w:sz w:val="16"/>
        </w:rPr>
        <w:t>NEXTAS</w:t>
      </w:r>
      <w:r>
        <w:rPr>
          <w:rFonts w:ascii="Cambria" w:hAnsi="Cambria"/>
          <w:i/>
          <w:spacing w:val="40"/>
          <w:sz w:val="16"/>
        </w:rPr>
        <w:t> </w:t>
      </w:r>
      <w:r>
        <w:rPr>
          <w:rFonts w:ascii="Cambria" w:hAnsi="Cambria"/>
          <w:i/>
          <w:spacing w:val="-2"/>
          <w:sz w:val="24"/>
        </w:rPr>
        <w:t>(0.02789)</w:t>
      </w:r>
      <w:r>
        <w:rPr>
          <w:rFonts w:ascii="Cambria" w:hAnsi="Cambria"/>
          <w:i/>
          <w:sz w:val="24"/>
        </w:rPr>
        <w:tab/>
      </w:r>
      <w:r>
        <w:rPr>
          <w:rFonts w:ascii="Cambria" w:hAnsi="Cambria"/>
          <w:i/>
          <w:spacing w:val="-2"/>
          <w:sz w:val="24"/>
        </w:rPr>
        <w:t>(0.10539)</w:t>
      </w:r>
      <w:r>
        <w:rPr>
          <w:rFonts w:ascii="Cambria" w:hAnsi="Cambria"/>
          <w:i/>
          <w:sz w:val="24"/>
        </w:rPr>
        <w:tab/>
      </w:r>
      <w:r>
        <w:rPr>
          <w:rFonts w:ascii="Cambria" w:hAnsi="Cambria"/>
          <w:i/>
          <w:spacing w:val="-2"/>
          <w:sz w:val="24"/>
        </w:rPr>
        <w:t>(0.07333)</w:t>
      </w:r>
      <w:r>
        <w:rPr>
          <w:rFonts w:ascii="Cambria" w:hAnsi="Cambria"/>
          <w:i/>
          <w:sz w:val="24"/>
        </w:rPr>
        <w:tab/>
      </w:r>
      <w:r>
        <w:rPr>
          <w:rFonts w:ascii="Cambria" w:hAnsi="Cambria"/>
          <w:i/>
          <w:spacing w:val="-2"/>
          <w:sz w:val="24"/>
        </w:rPr>
        <w:t>(0.09328)</w:t>
      </w:r>
      <w:r>
        <w:rPr>
          <w:rFonts w:ascii="Cambria" w:hAnsi="Cambria"/>
          <w:i/>
          <w:sz w:val="24"/>
        </w:rPr>
        <w:tab/>
      </w:r>
      <w:r>
        <w:rPr>
          <w:rFonts w:ascii="Cambria" w:hAnsi="Cambria"/>
          <w:i/>
          <w:spacing w:val="-2"/>
          <w:sz w:val="24"/>
        </w:rPr>
        <w:t>(0.08679)</w:t>
      </w:r>
    </w:p>
    <w:p>
      <w:pPr>
        <w:pStyle w:val="BodyText"/>
        <w:rPr>
          <w:rFonts w:ascii="Cambria"/>
          <w:i/>
        </w:rPr>
      </w:pPr>
    </w:p>
    <w:p>
      <w:pPr>
        <w:pStyle w:val="BodyText"/>
        <w:rPr>
          <w:rFonts w:ascii="Cambria"/>
          <w:i/>
        </w:rPr>
      </w:pPr>
    </w:p>
    <w:p>
      <w:pPr>
        <w:tabs>
          <w:tab w:pos="8935" w:val="left" w:leader="dot"/>
        </w:tabs>
        <w:spacing w:line="281" w:lineRule="exact" w:before="1"/>
        <w:ind w:left="1563" w:right="0" w:firstLine="0"/>
        <w:jc w:val="left"/>
        <w:rPr>
          <w:rFonts w:ascii="Cambria" w:hAnsi="Cambria"/>
          <w:i/>
          <w:sz w:val="24"/>
        </w:rPr>
      </w:pPr>
      <w:r>
        <w:rPr>
          <w:rFonts w:ascii="Cambria" w:hAnsi="Cambria"/>
          <w:i/>
          <w:sz w:val="24"/>
        </w:rPr>
        <w:t>- </w:t>
      </w:r>
      <w:r>
        <w:rPr>
          <w:rFonts w:ascii="Cambria" w:hAnsi="Cambria"/>
          <w:i/>
          <w:spacing w:val="-2"/>
          <w:sz w:val="24"/>
        </w:rPr>
        <w:t>2.762386…</w:t>
      </w:r>
      <w:r>
        <w:rPr>
          <w:sz w:val="24"/>
        </w:rPr>
        <w:tab/>
      </w:r>
      <w:r>
        <w:rPr>
          <w:rFonts w:ascii="Cambria" w:hAnsi="Cambria"/>
          <w:i/>
          <w:spacing w:val="-2"/>
          <w:sz w:val="24"/>
        </w:rPr>
        <w:t>(4.15)</w:t>
      </w:r>
    </w:p>
    <w:p>
      <w:pPr>
        <w:pStyle w:val="BodyText"/>
        <w:spacing w:line="281" w:lineRule="exact"/>
        <w:ind w:left="711"/>
        <w:jc w:val="both"/>
        <w:rPr>
          <w:rFonts w:ascii="Cambria"/>
        </w:rPr>
      </w:pPr>
      <w:r>
        <w:rPr>
          <w:rFonts w:ascii="Cambria"/>
        </w:rPr>
        <w:t>Note</w:t>
      </w:r>
      <w:r>
        <w:rPr>
          <w:rFonts w:ascii="Cambria"/>
          <w:b/>
        </w:rPr>
        <w:t>:</w:t>
      </w:r>
      <w:r>
        <w:rPr>
          <w:rFonts w:ascii="Cambria"/>
          <w:b/>
          <w:spacing w:val="79"/>
          <w:w w:val="150"/>
        </w:rPr>
        <w:t> </w:t>
      </w:r>
      <w:r>
        <w:rPr>
          <w:rFonts w:ascii="Cambria"/>
        </w:rPr>
        <w:t>Standard</w:t>
      </w:r>
      <w:r>
        <w:rPr>
          <w:rFonts w:ascii="Cambria"/>
          <w:spacing w:val="-3"/>
        </w:rPr>
        <w:t> </w:t>
      </w:r>
      <w:r>
        <w:rPr>
          <w:rFonts w:ascii="Cambria"/>
        </w:rPr>
        <w:t>error</w:t>
      </w:r>
      <w:r>
        <w:rPr>
          <w:rFonts w:ascii="Cambria"/>
          <w:spacing w:val="-3"/>
        </w:rPr>
        <w:t> </w:t>
      </w:r>
      <w:r>
        <w:rPr>
          <w:rFonts w:ascii="Cambria"/>
        </w:rPr>
        <w:t>statistics</w:t>
      </w:r>
      <w:r>
        <w:rPr>
          <w:rFonts w:ascii="Cambria"/>
          <w:spacing w:val="-2"/>
        </w:rPr>
        <w:t> </w:t>
      </w:r>
      <w:r>
        <w:rPr>
          <w:rFonts w:ascii="Cambria"/>
        </w:rPr>
        <w:t>are</w:t>
      </w:r>
      <w:r>
        <w:rPr>
          <w:rFonts w:ascii="Cambria"/>
          <w:spacing w:val="-1"/>
        </w:rPr>
        <w:t> </w:t>
      </w:r>
      <w:r>
        <w:rPr>
          <w:rFonts w:ascii="Cambria"/>
        </w:rPr>
        <w:t>given</w:t>
      </w:r>
      <w:r>
        <w:rPr>
          <w:rFonts w:ascii="Cambria"/>
          <w:spacing w:val="-1"/>
        </w:rPr>
        <w:t> </w:t>
      </w:r>
      <w:r>
        <w:rPr>
          <w:rFonts w:ascii="Cambria"/>
        </w:rPr>
        <w:t>in</w:t>
      </w:r>
      <w:r>
        <w:rPr>
          <w:rFonts w:ascii="Cambria"/>
          <w:spacing w:val="-1"/>
        </w:rPr>
        <w:t> </w:t>
      </w:r>
      <w:r>
        <w:rPr>
          <w:rFonts w:ascii="Cambria"/>
          <w:spacing w:val="-2"/>
        </w:rPr>
        <w:t>parenthesis</w:t>
      </w:r>
    </w:p>
    <w:p>
      <w:pPr>
        <w:pStyle w:val="BodyText"/>
        <w:spacing w:line="480" w:lineRule="auto" w:before="242"/>
        <w:ind w:left="711" w:right="471"/>
        <w:jc w:val="both"/>
        <w:rPr>
          <w:rFonts w:ascii="Cambria"/>
        </w:rPr>
      </w:pPr>
      <w:r>
        <w:rPr>
          <w:rFonts w:ascii="Cambria"/>
        </w:rPr>
        <w:t>From the above long-run equation, all the explanatory variables including the constant showed a negative</w:t>
      </w:r>
      <w:r>
        <w:rPr>
          <w:rFonts w:ascii="Cambria"/>
          <w:spacing w:val="39"/>
        </w:rPr>
        <w:t> </w:t>
      </w:r>
      <w:r>
        <w:rPr>
          <w:rFonts w:ascii="Cambria"/>
        </w:rPr>
        <w:t>relationship</w:t>
      </w:r>
      <w:r>
        <w:rPr>
          <w:rFonts w:ascii="Cambria"/>
          <w:spacing w:val="37"/>
        </w:rPr>
        <w:t> </w:t>
      </w:r>
      <w:r>
        <w:rPr>
          <w:rFonts w:ascii="Cambria"/>
        </w:rPr>
        <w:t>with</w:t>
      </w:r>
      <w:r>
        <w:rPr>
          <w:rFonts w:ascii="Cambria"/>
          <w:spacing w:val="38"/>
        </w:rPr>
        <w:t> </w:t>
      </w:r>
      <w:r>
        <w:rPr>
          <w:rFonts w:ascii="Cambria"/>
        </w:rPr>
        <w:t>gross</w:t>
      </w:r>
      <w:r>
        <w:rPr>
          <w:rFonts w:ascii="Cambria"/>
          <w:spacing w:val="38"/>
        </w:rPr>
        <w:t> </w:t>
      </w:r>
      <w:r>
        <w:rPr>
          <w:rFonts w:ascii="Cambria"/>
        </w:rPr>
        <w:t>domestic</w:t>
      </w:r>
      <w:r>
        <w:rPr>
          <w:rFonts w:ascii="Cambria"/>
          <w:spacing w:val="39"/>
        </w:rPr>
        <w:t> </w:t>
      </w:r>
      <w:r>
        <w:rPr>
          <w:rFonts w:ascii="Cambria"/>
        </w:rPr>
        <w:t>product</w:t>
      </w:r>
      <w:r>
        <w:rPr>
          <w:rFonts w:ascii="Cambria"/>
          <w:spacing w:val="39"/>
        </w:rPr>
        <w:t> </w:t>
      </w:r>
      <w:r>
        <w:rPr>
          <w:rFonts w:ascii="Cambria"/>
        </w:rPr>
        <w:t>on</w:t>
      </w:r>
      <w:r>
        <w:rPr>
          <w:rFonts w:ascii="Cambria"/>
          <w:spacing w:val="39"/>
        </w:rPr>
        <w:t> </w:t>
      </w:r>
      <w:r>
        <w:rPr>
          <w:rFonts w:ascii="Cambria"/>
        </w:rPr>
        <w:t>the</w:t>
      </w:r>
      <w:r>
        <w:rPr>
          <w:rFonts w:ascii="Cambria"/>
          <w:spacing w:val="39"/>
        </w:rPr>
        <w:t> </w:t>
      </w:r>
      <w:r>
        <w:rPr>
          <w:rFonts w:ascii="Cambria"/>
        </w:rPr>
        <w:t>long-run</w:t>
      </w:r>
      <w:r>
        <w:rPr>
          <w:rFonts w:ascii="Cambria"/>
          <w:spacing w:val="40"/>
        </w:rPr>
        <w:t> </w:t>
      </w:r>
      <w:r>
        <w:rPr>
          <w:rFonts w:ascii="Cambria"/>
        </w:rPr>
        <w:t>in</w:t>
      </w:r>
      <w:r>
        <w:rPr>
          <w:rFonts w:ascii="Cambria"/>
          <w:spacing w:val="39"/>
        </w:rPr>
        <w:t> </w:t>
      </w:r>
      <w:r>
        <w:rPr>
          <w:rFonts w:ascii="Cambria"/>
        </w:rPr>
        <w:t>conformity</w:t>
      </w:r>
      <w:r>
        <w:rPr>
          <w:rFonts w:ascii="Cambria"/>
          <w:spacing w:val="38"/>
        </w:rPr>
        <w:t> </w:t>
      </w:r>
      <w:r>
        <w:rPr>
          <w:rFonts w:ascii="Cambria"/>
        </w:rPr>
        <w:t>with</w:t>
      </w:r>
      <w:r>
        <w:rPr>
          <w:rFonts w:ascii="Cambria"/>
          <w:spacing w:val="38"/>
        </w:rPr>
        <w:t> </w:t>
      </w:r>
      <w:r>
        <w:rPr>
          <w:rFonts w:ascii="Cambria"/>
        </w:rPr>
        <w:t>the</w:t>
      </w:r>
      <w:r>
        <w:rPr>
          <w:rFonts w:ascii="Cambria"/>
          <w:spacing w:val="39"/>
        </w:rPr>
        <w:t> </w:t>
      </w:r>
      <w:r>
        <w:rPr>
          <w:rFonts w:ascii="Cambria"/>
        </w:rPr>
        <w:t>apriori</w:t>
      </w:r>
    </w:p>
    <w:p>
      <w:pPr>
        <w:spacing w:after="0" w:line="480" w:lineRule="auto"/>
        <w:jc w:val="both"/>
        <w:rPr>
          <w:rFonts w:ascii="Cambria"/>
        </w:rPr>
        <w:sectPr>
          <w:pgSz w:w="11910" w:h="16840"/>
          <w:pgMar w:header="0" w:footer="979" w:top="1620" w:bottom="1240" w:left="280" w:right="0"/>
        </w:sectPr>
      </w:pPr>
    </w:p>
    <w:p>
      <w:pPr>
        <w:pStyle w:val="BodyText"/>
        <w:spacing w:line="480" w:lineRule="auto" w:before="81"/>
        <w:ind w:left="711" w:right="469"/>
        <w:jc w:val="both"/>
        <w:rPr>
          <w:rFonts w:ascii="Cambria"/>
        </w:rPr>
      </w:pPr>
      <w:r>
        <w:rPr>
          <w:rFonts w:ascii="Cambria"/>
        </w:rPr>
        <w:t>expectations except for net foreign assets of domestic banks.</w:t>
      </w:r>
      <w:r>
        <w:rPr>
          <w:rFonts w:ascii="Cambria"/>
          <w:spacing w:val="40"/>
        </w:rPr>
        <w:t> </w:t>
      </w:r>
      <w:r>
        <w:rPr>
          <w:rFonts w:ascii="Cambria"/>
        </w:rPr>
        <w:t>This is a wide depature from the short run results where all the independent variables were positively related to gross domestic product.</w:t>
      </w:r>
      <w:r>
        <w:rPr>
          <w:rFonts w:ascii="Cambria"/>
          <w:spacing w:val="40"/>
        </w:rPr>
        <w:t> </w:t>
      </w:r>
      <w:r>
        <w:rPr>
          <w:rFonts w:ascii="Cambria"/>
        </w:rPr>
        <w:t>The negative value of the constant parameter implied that 2.567998 if all explanatory variables are held constant, gross domestic product will decrease by 2.567998units on the long-run. The results revealed that over, the effect of external borrowing could improve economic growth if well utilized. The DFI with a positive relationship in the short run but negative in the long run confirmed that DFI could be very beficial to the economy if the profits accrued are ploughed back into the domestic environment. Favourable current account balance and increased or adequate external reserves have impacted positively on the Nigerian economy.</w:t>
      </w:r>
    </w:p>
    <w:p>
      <w:pPr>
        <w:pStyle w:val="BodyText"/>
        <w:spacing w:before="270"/>
        <w:rPr>
          <w:rFonts w:ascii="Cambria"/>
        </w:rPr>
      </w:pPr>
    </w:p>
    <w:p>
      <w:pPr>
        <w:pStyle w:val="Heading6"/>
        <w:numPr>
          <w:ilvl w:val="2"/>
          <w:numId w:val="28"/>
        </w:numPr>
        <w:tabs>
          <w:tab w:pos="1431" w:val="left" w:leader="none"/>
        </w:tabs>
        <w:spacing w:line="240" w:lineRule="auto" w:before="0" w:after="0"/>
        <w:ind w:left="1431" w:right="0" w:hanging="720"/>
        <w:jc w:val="left"/>
      </w:pPr>
      <w:r>
        <w:rPr/>
        <w:t>Error</w:t>
      </w:r>
      <w:r>
        <w:rPr>
          <w:spacing w:val="-4"/>
        </w:rPr>
        <w:t> </w:t>
      </w:r>
      <w:r>
        <w:rPr/>
        <w:t>Correction</w:t>
      </w:r>
      <w:r>
        <w:rPr>
          <w:spacing w:val="1"/>
        </w:rPr>
        <w:t> </w:t>
      </w:r>
      <w:r>
        <w:rPr/>
        <w:t>Mechanism</w:t>
      </w:r>
      <w:r>
        <w:rPr>
          <w:spacing w:val="-4"/>
        </w:rPr>
        <w:t> </w:t>
      </w:r>
      <w:r>
        <w:rPr/>
        <w:t>Test for</w:t>
      </w:r>
      <w:r>
        <w:rPr>
          <w:spacing w:val="-2"/>
        </w:rPr>
        <w:t> </w:t>
      </w:r>
      <w:r>
        <w:rPr/>
        <w:t>Model 2B (Morgan Trust</w:t>
      </w:r>
      <w:r>
        <w:rPr>
          <w:spacing w:val="-1"/>
        </w:rPr>
        <w:t> </w:t>
      </w:r>
      <w:r>
        <w:rPr/>
        <w:t>(1986) </w:t>
      </w:r>
      <w:r>
        <w:rPr>
          <w:spacing w:val="-2"/>
        </w:rPr>
        <w:t>approach).</w:t>
      </w:r>
    </w:p>
    <w:p>
      <w:pPr>
        <w:pStyle w:val="BodyText"/>
        <w:spacing w:before="1"/>
        <w:rPr>
          <w:b/>
        </w:rPr>
      </w:pPr>
    </w:p>
    <w:p>
      <w:pPr>
        <w:pStyle w:val="BodyText"/>
        <w:spacing w:line="480" w:lineRule="auto"/>
        <w:ind w:left="711" w:right="471"/>
        <w:jc w:val="both"/>
        <w:rPr>
          <w:rFonts w:ascii="Cambria"/>
        </w:rPr>
      </w:pPr>
      <w:r>
        <w:rPr>
          <w:rFonts w:ascii="Cambria"/>
        </w:rPr>
        <w:t>In line with the result obtained in the unit root test, the error correction mechanism showed that the ECM is stationary at level; the over-parametized error correction model required in this analysis was from the results of the over-parametized error correction model (ECM1) which is shown below in table 4.17.1:</w:t>
      </w:r>
    </w:p>
    <w:p>
      <w:pPr>
        <w:pStyle w:val="Heading6"/>
        <w:spacing w:line="281" w:lineRule="exact" w:before="1"/>
      </w:pPr>
      <w:r>
        <w:rPr>
          <w:rFonts w:ascii="Cambria"/>
        </w:rPr>
        <w:t>Table</w:t>
      </w:r>
      <w:r>
        <w:rPr>
          <w:rFonts w:ascii="Cambria"/>
          <w:spacing w:val="-5"/>
        </w:rPr>
        <w:t> </w:t>
      </w:r>
      <w:r>
        <w:rPr>
          <w:rFonts w:ascii="Cambria"/>
        </w:rPr>
        <w:t>4.17.1</w:t>
      </w:r>
      <w:r>
        <w:rPr>
          <w:rFonts w:ascii="Cambria"/>
          <w:spacing w:val="-4"/>
        </w:rPr>
        <w:t> </w:t>
      </w:r>
      <w:r>
        <w:rPr>
          <w:rFonts w:ascii="Cambria"/>
        </w:rPr>
        <w:t>Over-Parametized</w:t>
      </w:r>
      <w:r>
        <w:rPr>
          <w:rFonts w:ascii="Cambria"/>
          <w:spacing w:val="-2"/>
        </w:rPr>
        <w:t> </w:t>
      </w:r>
      <w:r>
        <w:rPr>
          <w:rFonts w:ascii="Cambria"/>
        </w:rPr>
        <w:t>Model</w:t>
      </w:r>
      <w:r>
        <w:rPr>
          <w:rFonts w:ascii="Cambria"/>
          <w:spacing w:val="-5"/>
        </w:rPr>
        <w:t> </w:t>
      </w:r>
      <w:r>
        <w:rPr>
          <w:rFonts w:ascii="Cambria"/>
        </w:rPr>
        <w:t>(ECM</w:t>
      </w:r>
      <w:r>
        <w:rPr>
          <w:rFonts w:ascii="Cambria"/>
          <w:spacing w:val="-5"/>
        </w:rPr>
        <w:t> </w:t>
      </w:r>
      <w:r>
        <w:rPr>
          <w:rFonts w:ascii="Cambria"/>
        </w:rPr>
        <w:t>1) for</w:t>
      </w:r>
      <w:r>
        <w:rPr>
          <w:rFonts w:ascii="Cambria"/>
          <w:spacing w:val="-3"/>
        </w:rPr>
        <w:t> </w:t>
      </w:r>
      <w:r>
        <w:rPr>
          <w:rFonts w:ascii="Cambria"/>
        </w:rPr>
        <w:t>Model</w:t>
      </w:r>
      <w:r>
        <w:rPr>
          <w:rFonts w:ascii="Cambria"/>
          <w:spacing w:val="-3"/>
        </w:rPr>
        <w:t> </w:t>
      </w:r>
      <w:r>
        <w:rPr>
          <w:rFonts w:ascii="Cambria"/>
        </w:rPr>
        <w:t>2B</w:t>
      </w:r>
      <w:r>
        <w:rPr>
          <w:rFonts w:ascii="Cambria"/>
          <w:spacing w:val="-4"/>
        </w:rPr>
        <w:t> </w:t>
      </w:r>
      <w:r>
        <w:rPr/>
        <w:t>(Morgan</w:t>
      </w:r>
      <w:r>
        <w:rPr>
          <w:spacing w:val="-2"/>
        </w:rPr>
        <w:t> </w:t>
      </w:r>
      <w:r>
        <w:rPr/>
        <w:t>Trust</w:t>
      </w:r>
      <w:r>
        <w:rPr>
          <w:spacing w:val="-3"/>
        </w:rPr>
        <w:t> </w:t>
      </w:r>
      <w:r>
        <w:rPr/>
        <w:t>(1986)</w:t>
      </w:r>
      <w:r>
        <w:rPr>
          <w:spacing w:val="-3"/>
        </w:rPr>
        <w:t> </w:t>
      </w:r>
      <w:r>
        <w:rPr>
          <w:spacing w:val="-2"/>
        </w:rPr>
        <w:t>Approach).</w:t>
      </w:r>
    </w:p>
    <w:p>
      <w:pPr>
        <w:pStyle w:val="BodyText"/>
        <w:spacing w:line="281" w:lineRule="exact" w:after="2"/>
        <w:ind w:left="711"/>
        <w:jc w:val="both"/>
        <w:rPr>
          <w:rFonts w:ascii="Cambria"/>
        </w:rPr>
      </w:pPr>
      <w:r>
        <w:rPr>
          <w:rFonts w:ascii="Cambria"/>
        </w:rPr>
        <w:t>Dependent</w:t>
      </w:r>
      <w:r>
        <w:rPr>
          <w:rFonts w:ascii="Cambria"/>
          <w:spacing w:val="-3"/>
        </w:rPr>
        <w:t> </w:t>
      </w:r>
      <w:r>
        <w:rPr>
          <w:rFonts w:ascii="Cambria"/>
        </w:rPr>
        <w:t>Variable</w:t>
      </w:r>
      <w:r>
        <w:rPr>
          <w:rFonts w:ascii="Cambria"/>
          <w:spacing w:val="-2"/>
        </w:rPr>
        <w:t> </w:t>
      </w:r>
      <w:r>
        <w:rPr>
          <w:rFonts w:ascii="Cambria"/>
        </w:rPr>
        <w:t>=</w:t>
      </w:r>
      <w:r>
        <w:rPr>
          <w:rFonts w:ascii="Cambria"/>
          <w:spacing w:val="-2"/>
        </w:rPr>
        <w:t> </w:t>
      </w:r>
      <w:r>
        <w:rPr>
          <w:rFonts w:ascii="Cambria"/>
        </w:rPr>
        <w:t>D</w:t>
      </w:r>
      <w:r>
        <w:rPr>
          <w:rFonts w:ascii="Cambria"/>
          <w:spacing w:val="-2"/>
        </w:rPr>
        <w:t> </w:t>
      </w:r>
      <w:r>
        <w:rPr>
          <w:rFonts w:ascii="Cambria"/>
        </w:rPr>
        <w:t>(GDP,</w:t>
      </w:r>
      <w:r>
        <w:rPr>
          <w:rFonts w:ascii="Cambria"/>
          <w:spacing w:val="-1"/>
        </w:rPr>
        <w:t> </w:t>
      </w:r>
      <w:r>
        <w:rPr>
          <w:rFonts w:ascii="Cambria"/>
          <w:spacing w:val="-5"/>
        </w:rPr>
        <w:t>2)</w:t>
      </w:r>
    </w:p>
    <w:tbl>
      <w:tblPr>
        <w:tblW w:w="0" w:type="auto"/>
        <w:jc w:val="left"/>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8"/>
        <w:gridCol w:w="1848"/>
        <w:gridCol w:w="2443"/>
        <w:gridCol w:w="1889"/>
        <w:gridCol w:w="1800"/>
      </w:tblGrid>
      <w:tr>
        <w:trPr>
          <w:trHeight w:val="561" w:hRule="atLeast"/>
        </w:trPr>
        <w:tc>
          <w:tcPr>
            <w:tcW w:w="1848" w:type="dxa"/>
          </w:tcPr>
          <w:p>
            <w:pPr>
              <w:pStyle w:val="TableParagraph"/>
              <w:spacing w:line="281" w:lineRule="exact"/>
              <w:ind w:left="107"/>
              <w:rPr>
                <w:rFonts w:ascii="Cambria"/>
                <w:b/>
                <w:sz w:val="24"/>
              </w:rPr>
            </w:pPr>
            <w:r>
              <w:rPr>
                <w:rFonts w:ascii="Cambria"/>
                <w:b/>
                <w:spacing w:val="-2"/>
                <w:sz w:val="24"/>
              </w:rPr>
              <w:t>VARIABLES</w:t>
            </w:r>
          </w:p>
        </w:tc>
        <w:tc>
          <w:tcPr>
            <w:tcW w:w="1848" w:type="dxa"/>
          </w:tcPr>
          <w:p>
            <w:pPr>
              <w:pStyle w:val="TableParagraph"/>
              <w:spacing w:line="281" w:lineRule="exact"/>
              <w:ind w:right="139"/>
              <w:jc w:val="right"/>
              <w:rPr>
                <w:rFonts w:ascii="Cambria"/>
                <w:b/>
                <w:sz w:val="24"/>
              </w:rPr>
            </w:pPr>
            <w:r>
              <w:rPr>
                <w:rFonts w:ascii="Cambria"/>
                <w:b/>
                <w:spacing w:val="-2"/>
                <w:sz w:val="24"/>
              </w:rPr>
              <w:t>COEFFICIENTS</w:t>
            </w:r>
          </w:p>
        </w:tc>
        <w:tc>
          <w:tcPr>
            <w:tcW w:w="2443" w:type="dxa"/>
          </w:tcPr>
          <w:p>
            <w:pPr>
              <w:pStyle w:val="TableParagraph"/>
              <w:spacing w:line="281" w:lineRule="exact"/>
              <w:ind w:left="106"/>
              <w:rPr>
                <w:rFonts w:ascii="Cambria"/>
                <w:b/>
                <w:sz w:val="24"/>
              </w:rPr>
            </w:pPr>
            <w:r>
              <w:rPr>
                <w:rFonts w:ascii="Cambria"/>
                <w:b/>
                <w:sz w:val="24"/>
              </w:rPr>
              <w:t>STANDARD</w:t>
            </w:r>
            <w:r>
              <w:rPr>
                <w:rFonts w:ascii="Cambria"/>
                <w:b/>
                <w:spacing w:val="-4"/>
                <w:sz w:val="24"/>
              </w:rPr>
              <w:t> </w:t>
            </w:r>
            <w:r>
              <w:rPr>
                <w:rFonts w:ascii="Cambria"/>
                <w:b/>
                <w:spacing w:val="-2"/>
                <w:sz w:val="24"/>
              </w:rPr>
              <w:t>ERROR</w:t>
            </w:r>
          </w:p>
        </w:tc>
        <w:tc>
          <w:tcPr>
            <w:tcW w:w="1889" w:type="dxa"/>
          </w:tcPr>
          <w:p>
            <w:pPr>
              <w:pStyle w:val="TableParagraph"/>
              <w:spacing w:line="281" w:lineRule="exact"/>
              <w:ind w:left="107"/>
              <w:rPr>
                <w:rFonts w:ascii="Cambria"/>
                <w:b/>
                <w:sz w:val="24"/>
              </w:rPr>
            </w:pPr>
            <w:r>
              <w:rPr>
                <w:rFonts w:ascii="Cambria"/>
                <w:b/>
                <w:sz w:val="24"/>
              </w:rPr>
              <w:t>T-</w:t>
            </w:r>
            <w:r>
              <w:rPr>
                <w:rFonts w:ascii="Cambria"/>
                <w:b/>
                <w:spacing w:val="-2"/>
                <w:sz w:val="24"/>
              </w:rPr>
              <w:t>STATISTICS</w:t>
            </w:r>
          </w:p>
        </w:tc>
        <w:tc>
          <w:tcPr>
            <w:tcW w:w="1800" w:type="dxa"/>
          </w:tcPr>
          <w:p>
            <w:pPr>
              <w:pStyle w:val="TableParagraph"/>
              <w:spacing w:line="281" w:lineRule="exact"/>
              <w:ind w:left="107"/>
              <w:rPr>
                <w:rFonts w:ascii="Cambria"/>
                <w:b/>
                <w:sz w:val="24"/>
              </w:rPr>
            </w:pPr>
            <w:r>
              <w:rPr>
                <w:rFonts w:ascii="Cambria"/>
                <w:b/>
                <w:sz w:val="24"/>
              </w:rPr>
              <w:t>PROB</w:t>
            </w:r>
            <w:r>
              <w:rPr>
                <w:rFonts w:ascii="Cambria"/>
                <w:b/>
                <w:spacing w:val="-3"/>
                <w:sz w:val="24"/>
              </w:rPr>
              <w:t> </w:t>
            </w:r>
            <w:r>
              <w:rPr>
                <w:rFonts w:ascii="Cambria"/>
                <w:b/>
                <w:spacing w:val="-2"/>
                <w:sz w:val="24"/>
              </w:rPr>
              <w:t>VALUE</w:t>
            </w:r>
          </w:p>
        </w:tc>
      </w:tr>
      <w:tr>
        <w:trPr>
          <w:trHeight w:val="230" w:hRule="atLeast"/>
        </w:trPr>
        <w:tc>
          <w:tcPr>
            <w:tcW w:w="1848" w:type="dxa"/>
          </w:tcPr>
          <w:p>
            <w:pPr>
              <w:pStyle w:val="TableParagraph"/>
              <w:spacing w:line="210" w:lineRule="exact"/>
              <w:ind w:left="329"/>
              <w:rPr>
                <w:rFonts w:ascii="Arial MT"/>
                <w:sz w:val="20"/>
              </w:rPr>
            </w:pPr>
            <w:r>
              <w:rPr>
                <w:rFonts w:ascii="Arial MT"/>
                <w:spacing w:val="-2"/>
                <w:sz w:val="20"/>
              </w:rPr>
              <w:t>D(GDP(-1),2)</w:t>
            </w:r>
          </w:p>
        </w:tc>
        <w:tc>
          <w:tcPr>
            <w:tcW w:w="1848" w:type="dxa"/>
          </w:tcPr>
          <w:p>
            <w:pPr>
              <w:pStyle w:val="TableParagraph"/>
              <w:spacing w:line="210" w:lineRule="exact"/>
              <w:ind w:right="100"/>
              <w:jc w:val="right"/>
              <w:rPr>
                <w:rFonts w:ascii="Arial MT"/>
                <w:sz w:val="20"/>
              </w:rPr>
            </w:pPr>
            <w:r>
              <w:rPr>
                <w:rFonts w:ascii="Arial MT"/>
                <w:spacing w:val="-2"/>
                <w:sz w:val="20"/>
              </w:rPr>
              <w:t>-0.183644</w:t>
            </w:r>
          </w:p>
        </w:tc>
        <w:tc>
          <w:tcPr>
            <w:tcW w:w="2443" w:type="dxa"/>
          </w:tcPr>
          <w:p>
            <w:pPr>
              <w:pStyle w:val="TableParagraph"/>
              <w:spacing w:line="210" w:lineRule="exact"/>
              <w:ind w:right="99"/>
              <w:jc w:val="right"/>
              <w:rPr>
                <w:rFonts w:ascii="Arial MT"/>
                <w:sz w:val="20"/>
              </w:rPr>
            </w:pPr>
            <w:r>
              <w:rPr>
                <w:rFonts w:ascii="Arial MT"/>
                <w:spacing w:val="-2"/>
                <w:sz w:val="20"/>
              </w:rPr>
              <w:t>0.180833</w:t>
            </w:r>
          </w:p>
        </w:tc>
        <w:tc>
          <w:tcPr>
            <w:tcW w:w="1889" w:type="dxa"/>
          </w:tcPr>
          <w:p>
            <w:pPr>
              <w:pStyle w:val="TableParagraph"/>
              <w:spacing w:line="210" w:lineRule="exact"/>
              <w:ind w:right="99"/>
              <w:jc w:val="right"/>
              <w:rPr>
                <w:rFonts w:ascii="Arial MT"/>
                <w:sz w:val="20"/>
              </w:rPr>
            </w:pPr>
            <w:r>
              <w:rPr>
                <w:rFonts w:ascii="Arial MT"/>
                <w:spacing w:val="-2"/>
                <w:sz w:val="20"/>
              </w:rPr>
              <w:t>-1.015549</w:t>
            </w:r>
          </w:p>
        </w:tc>
        <w:tc>
          <w:tcPr>
            <w:tcW w:w="1800" w:type="dxa"/>
          </w:tcPr>
          <w:p>
            <w:pPr>
              <w:pStyle w:val="TableParagraph"/>
              <w:spacing w:line="210" w:lineRule="exact"/>
              <w:ind w:right="98"/>
              <w:jc w:val="right"/>
              <w:rPr>
                <w:rFonts w:ascii="Arial MT"/>
                <w:sz w:val="20"/>
              </w:rPr>
            </w:pPr>
            <w:r>
              <w:rPr>
                <w:rFonts w:ascii="Arial MT"/>
                <w:spacing w:val="-2"/>
                <w:sz w:val="20"/>
              </w:rPr>
              <w:t>0.3185</w:t>
            </w:r>
          </w:p>
        </w:tc>
      </w:tr>
      <w:tr>
        <w:trPr>
          <w:trHeight w:val="230" w:hRule="atLeast"/>
        </w:trPr>
        <w:tc>
          <w:tcPr>
            <w:tcW w:w="1848" w:type="dxa"/>
          </w:tcPr>
          <w:p>
            <w:pPr>
              <w:pStyle w:val="TableParagraph"/>
              <w:spacing w:line="210" w:lineRule="exact"/>
              <w:ind w:left="239"/>
              <w:rPr>
                <w:rFonts w:ascii="Arial MT"/>
                <w:sz w:val="20"/>
              </w:rPr>
            </w:pPr>
            <w:r>
              <w:rPr>
                <w:rFonts w:ascii="Arial MT"/>
                <w:spacing w:val="-2"/>
                <w:sz w:val="20"/>
              </w:rPr>
              <w:t>D(EXTDEBT,2)</w:t>
            </w:r>
          </w:p>
        </w:tc>
        <w:tc>
          <w:tcPr>
            <w:tcW w:w="1848" w:type="dxa"/>
          </w:tcPr>
          <w:p>
            <w:pPr>
              <w:pStyle w:val="TableParagraph"/>
              <w:spacing w:line="210" w:lineRule="exact"/>
              <w:ind w:right="100"/>
              <w:jc w:val="right"/>
              <w:rPr>
                <w:rFonts w:ascii="Arial MT"/>
                <w:sz w:val="20"/>
              </w:rPr>
            </w:pPr>
            <w:r>
              <w:rPr>
                <w:rFonts w:ascii="Arial MT"/>
                <w:spacing w:val="-2"/>
                <w:sz w:val="20"/>
              </w:rPr>
              <w:t>0.013823</w:t>
            </w:r>
          </w:p>
        </w:tc>
        <w:tc>
          <w:tcPr>
            <w:tcW w:w="2443" w:type="dxa"/>
          </w:tcPr>
          <w:p>
            <w:pPr>
              <w:pStyle w:val="TableParagraph"/>
              <w:spacing w:line="210" w:lineRule="exact"/>
              <w:ind w:right="99"/>
              <w:jc w:val="right"/>
              <w:rPr>
                <w:rFonts w:ascii="Arial MT"/>
                <w:sz w:val="20"/>
              </w:rPr>
            </w:pPr>
            <w:r>
              <w:rPr>
                <w:rFonts w:ascii="Arial MT"/>
                <w:spacing w:val="-2"/>
                <w:sz w:val="20"/>
              </w:rPr>
              <w:t>0.012410</w:t>
            </w:r>
          </w:p>
        </w:tc>
        <w:tc>
          <w:tcPr>
            <w:tcW w:w="1889" w:type="dxa"/>
          </w:tcPr>
          <w:p>
            <w:pPr>
              <w:pStyle w:val="TableParagraph"/>
              <w:spacing w:line="210" w:lineRule="exact"/>
              <w:ind w:right="99"/>
              <w:jc w:val="right"/>
              <w:rPr>
                <w:rFonts w:ascii="Arial MT"/>
                <w:sz w:val="20"/>
              </w:rPr>
            </w:pPr>
            <w:r>
              <w:rPr>
                <w:rFonts w:ascii="Arial MT"/>
                <w:spacing w:val="-2"/>
                <w:sz w:val="20"/>
              </w:rPr>
              <w:t>1.113800</w:t>
            </w:r>
          </w:p>
        </w:tc>
        <w:tc>
          <w:tcPr>
            <w:tcW w:w="1800" w:type="dxa"/>
          </w:tcPr>
          <w:p>
            <w:pPr>
              <w:pStyle w:val="TableParagraph"/>
              <w:spacing w:line="210" w:lineRule="exact"/>
              <w:ind w:right="98"/>
              <w:jc w:val="right"/>
              <w:rPr>
                <w:rFonts w:ascii="Arial MT"/>
                <w:sz w:val="20"/>
              </w:rPr>
            </w:pPr>
            <w:r>
              <w:rPr>
                <w:rFonts w:ascii="Arial MT"/>
                <w:spacing w:val="-2"/>
                <w:sz w:val="20"/>
              </w:rPr>
              <w:t>0.2748</w:t>
            </w:r>
          </w:p>
        </w:tc>
      </w:tr>
      <w:tr>
        <w:trPr>
          <w:trHeight w:val="229" w:hRule="atLeast"/>
        </w:trPr>
        <w:tc>
          <w:tcPr>
            <w:tcW w:w="1848" w:type="dxa"/>
          </w:tcPr>
          <w:p>
            <w:pPr>
              <w:pStyle w:val="TableParagraph"/>
              <w:spacing w:line="210" w:lineRule="exact"/>
              <w:ind w:left="150"/>
              <w:rPr>
                <w:rFonts w:ascii="Arial MT"/>
                <w:sz w:val="20"/>
              </w:rPr>
            </w:pPr>
            <w:r>
              <w:rPr>
                <w:rFonts w:ascii="Arial MT"/>
                <w:spacing w:val="-2"/>
                <w:sz w:val="20"/>
              </w:rPr>
              <w:t>D(EXTDBT(-</w:t>
            </w:r>
            <w:r>
              <w:rPr>
                <w:rFonts w:ascii="Arial MT"/>
                <w:spacing w:val="-4"/>
                <w:sz w:val="20"/>
              </w:rPr>
              <w:t>1),2)</w:t>
            </w:r>
          </w:p>
        </w:tc>
        <w:tc>
          <w:tcPr>
            <w:tcW w:w="1848" w:type="dxa"/>
          </w:tcPr>
          <w:p>
            <w:pPr>
              <w:pStyle w:val="TableParagraph"/>
              <w:spacing w:line="210" w:lineRule="exact"/>
              <w:ind w:right="100"/>
              <w:jc w:val="right"/>
              <w:rPr>
                <w:rFonts w:ascii="Arial MT"/>
                <w:sz w:val="20"/>
              </w:rPr>
            </w:pPr>
            <w:r>
              <w:rPr>
                <w:rFonts w:ascii="Arial MT"/>
                <w:spacing w:val="-2"/>
                <w:sz w:val="20"/>
              </w:rPr>
              <w:t>-0.003551</w:t>
            </w:r>
          </w:p>
        </w:tc>
        <w:tc>
          <w:tcPr>
            <w:tcW w:w="2443" w:type="dxa"/>
          </w:tcPr>
          <w:p>
            <w:pPr>
              <w:pStyle w:val="TableParagraph"/>
              <w:spacing w:line="210" w:lineRule="exact"/>
              <w:ind w:right="99"/>
              <w:jc w:val="right"/>
              <w:rPr>
                <w:rFonts w:ascii="Arial MT"/>
                <w:sz w:val="20"/>
              </w:rPr>
            </w:pPr>
            <w:r>
              <w:rPr>
                <w:rFonts w:ascii="Arial MT"/>
                <w:spacing w:val="-2"/>
                <w:sz w:val="20"/>
              </w:rPr>
              <w:t>0.013139</w:t>
            </w:r>
          </w:p>
        </w:tc>
        <w:tc>
          <w:tcPr>
            <w:tcW w:w="1889" w:type="dxa"/>
          </w:tcPr>
          <w:p>
            <w:pPr>
              <w:pStyle w:val="TableParagraph"/>
              <w:spacing w:line="210" w:lineRule="exact"/>
              <w:ind w:right="99"/>
              <w:jc w:val="right"/>
              <w:rPr>
                <w:rFonts w:ascii="Arial MT"/>
                <w:sz w:val="20"/>
              </w:rPr>
            </w:pPr>
            <w:r>
              <w:rPr>
                <w:rFonts w:ascii="Arial MT"/>
                <w:spacing w:val="-2"/>
                <w:sz w:val="20"/>
              </w:rPr>
              <w:t>-0.270236</w:t>
            </w:r>
          </w:p>
        </w:tc>
        <w:tc>
          <w:tcPr>
            <w:tcW w:w="1800" w:type="dxa"/>
          </w:tcPr>
          <w:p>
            <w:pPr>
              <w:pStyle w:val="TableParagraph"/>
              <w:spacing w:line="210" w:lineRule="exact"/>
              <w:ind w:right="98"/>
              <w:jc w:val="right"/>
              <w:rPr>
                <w:rFonts w:ascii="Arial MT"/>
                <w:sz w:val="20"/>
              </w:rPr>
            </w:pPr>
            <w:r>
              <w:rPr>
                <w:rFonts w:ascii="Arial MT"/>
                <w:spacing w:val="-2"/>
                <w:sz w:val="20"/>
              </w:rPr>
              <w:t>0.7890</w:t>
            </w:r>
          </w:p>
        </w:tc>
      </w:tr>
      <w:tr>
        <w:trPr>
          <w:trHeight w:val="230" w:hRule="atLeast"/>
        </w:trPr>
        <w:tc>
          <w:tcPr>
            <w:tcW w:w="1848" w:type="dxa"/>
          </w:tcPr>
          <w:p>
            <w:pPr>
              <w:pStyle w:val="TableParagraph"/>
              <w:spacing w:line="210" w:lineRule="exact"/>
              <w:ind w:left="540"/>
              <w:rPr>
                <w:rFonts w:ascii="Arial MT"/>
                <w:sz w:val="20"/>
              </w:rPr>
            </w:pPr>
            <w:r>
              <w:rPr>
                <w:rFonts w:ascii="Arial MT"/>
                <w:spacing w:val="-2"/>
                <w:sz w:val="20"/>
              </w:rPr>
              <w:t>D(DFI,2)</w:t>
            </w:r>
          </w:p>
        </w:tc>
        <w:tc>
          <w:tcPr>
            <w:tcW w:w="1848" w:type="dxa"/>
          </w:tcPr>
          <w:p>
            <w:pPr>
              <w:pStyle w:val="TableParagraph"/>
              <w:spacing w:line="210" w:lineRule="exact"/>
              <w:ind w:right="100"/>
              <w:jc w:val="right"/>
              <w:rPr>
                <w:rFonts w:ascii="Arial MT"/>
                <w:sz w:val="20"/>
              </w:rPr>
            </w:pPr>
            <w:r>
              <w:rPr>
                <w:rFonts w:ascii="Arial MT"/>
                <w:spacing w:val="-2"/>
                <w:sz w:val="20"/>
              </w:rPr>
              <w:t>0.053507</w:t>
            </w:r>
          </w:p>
        </w:tc>
        <w:tc>
          <w:tcPr>
            <w:tcW w:w="2443" w:type="dxa"/>
          </w:tcPr>
          <w:p>
            <w:pPr>
              <w:pStyle w:val="TableParagraph"/>
              <w:spacing w:line="210" w:lineRule="exact"/>
              <w:ind w:right="99"/>
              <w:jc w:val="right"/>
              <w:rPr>
                <w:rFonts w:ascii="Arial MT"/>
                <w:sz w:val="20"/>
              </w:rPr>
            </w:pPr>
            <w:r>
              <w:rPr>
                <w:rFonts w:ascii="Arial MT"/>
                <w:spacing w:val="-2"/>
                <w:sz w:val="20"/>
              </w:rPr>
              <w:t>0.071463</w:t>
            </w:r>
          </w:p>
        </w:tc>
        <w:tc>
          <w:tcPr>
            <w:tcW w:w="1889" w:type="dxa"/>
          </w:tcPr>
          <w:p>
            <w:pPr>
              <w:pStyle w:val="TableParagraph"/>
              <w:spacing w:line="210" w:lineRule="exact"/>
              <w:ind w:right="99"/>
              <w:jc w:val="right"/>
              <w:rPr>
                <w:rFonts w:ascii="Arial MT"/>
                <w:sz w:val="20"/>
              </w:rPr>
            </w:pPr>
            <w:r>
              <w:rPr>
                <w:rFonts w:ascii="Arial MT"/>
                <w:spacing w:val="-2"/>
                <w:sz w:val="20"/>
              </w:rPr>
              <w:t>0.748741</w:t>
            </w:r>
          </w:p>
        </w:tc>
        <w:tc>
          <w:tcPr>
            <w:tcW w:w="1800" w:type="dxa"/>
          </w:tcPr>
          <w:p>
            <w:pPr>
              <w:pStyle w:val="TableParagraph"/>
              <w:spacing w:line="210" w:lineRule="exact"/>
              <w:ind w:right="98"/>
              <w:jc w:val="right"/>
              <w:rPr>
                <w:rFonts w:ascii="Arial MT"/>
                <w:sz w:val="20"/>
              </w:rPr>
            </w:pPr>
            <w:r>
              <w:rPr>
                <w:rFonts w:ascii="Arial MT"/>
                <w:spacing w:val="-2"/>
                <w:sz w:val="20"/>
              </w:rPr>
              <w:t>0.4603</w:t>
            </w:r>
          </w:p>
        </w:tc>
      </w:tr>
      <w:tr>
        <w:trPr>
          <w:trHeight w:val="230" w:hRule="atLeast"/>
        </w:trPr>
        <w:tc>
          <w:tcPr>
            <w:tcW w:w="1848" w:type="dxa"/>
          </w:tcPr>
          <w:p>
            <w:pPr>
              <w:pStyle w:val="TableParagraph"/>
              <w:spacing w:line="210" w:lineRule="exact"/>
              <w:ind w:left="384"/>
              <w:rPr>
                <w:rFonts w:ascii="Arial MT"/>
                <w:sz w:val="20"/>
              </w:rPr>
            </w:pPr>
            <w:r>
              <w:rPr>
                <w:rFonts w:ascii="Arial MT"/>
                <w:spacing w:val="-2"/>
                <w:sz w:val="20"/>
              </w:rPr>
              <w:t>D(DFI(-1),2)</w:t>
            </w:r>
          </w:p>
        </w:tc>
        <w:tc>
          <w:tcPr>
            <w:tcW w:w="1848" w:type="dxa"/>
          </w:tcPr>
          <w:p>
            <w:pPr>
              <w:pStyle w:val="TableParagraph"/>
              <w:spacing w:line="210" w:lineRule="exact"/>
              <w:ind w:right="100"/>
              <w:jc w:val="right"/>
              <w:rPr>
                <w:rFonts w:ascii="Arial MT"/>
                <w:sz w:val="20"/>
              </w:rPr>
            </w:pPr>
            <w:r>
              <w:rPr>
                <w:rFonts w:ascii="Arial MT"/>
                <w:spacing w:val="-2"/>
                <w:sz w:val="20"/>
              </w:rPr>
              <w:t>-0.024731</w:t>
            </w:r>
          </w:p>
        </w:tc>
        <w:tc>
          <w:tcPr>
            <w:tcW w:w="2443" w:type="dxa"/>
          </w:tcPr>
          <w:p>
            <w:pPr>
              <w:pStyle w:val="TableParagraph"/>
              <w:spacing w:line="210" w:lineRule="exact"/>
              <w:ind w:right="99"/>
              <w:jc w:val="right"/>
              <w:rPr>
                <w:rFonts w:ascii="Arial MT"/>
                <w:sz w:val="20"/>
              </w:rPr>
            </w:pPr>
            <w:r>
              <w:rPr>
                <w:rFonts w:ascii="Arial MT"/>
                <w:spacing w:val="-2"/>
                <w:sz w:val="20"/>
              </w:rPr>
              <w:t>0.079179</w:t>
            </w:r>
          </w:p>
        </w:tc>
        <w:tc>
          <w:tcPr>
            <w:tcW w:w="1889" w:type="dxa"/>
          </w:tcPr>
          <w:p>
            <w:pPr>
              <w:pStyle w:val="TableParagraph"/>
              <w:spacing w:line="210" w:lineRule="exact"/>
              <w:ind w:right="99"/>
              <w:jc w:val="right"/>
              <w:rPr>
                <w:rFonts w:ascii="Arial MT"/>
                <w:sz w:val="20"/>
              </w:rPr>
            </w:pPr>
            <w:r>
              <w:rPr>
                <w:rFonts w:ascii="Arial MT"/>
                <w:spacing w:val="-2"/>
                <w:sz w:val="20"/>
              </w:rPr>
              <w:t>-0.312339</w:t>
            </w:r>
          </w:p>
        </w:tc>
        <w:tc>
          <w:tcPr>
            <w:tcW w:w="1800" w:type="dxa"/>
          </w:tcPr>
          <w:p>
            <w:pPr>
              <w:pStyle w:val="TableParagraph"/>
              <w:spacing w:line="210" w:lineRule="exact"/>
              <w:ind w:right="98"/>
              <w:jc w:val="right"/>
              <w:rPr>
                <w:rFonts w:ascii="Arial MT"/>
                <w:sz w:val="20"/>
              </w:rPr>
            </w:pPr>
            <w:r>
              <w:rPr>
                <w:rFonts w:ascii="Arial MT"/>
                <w:spacing w:val="-2"/>
                <w:sz w:val="20"/>
              </w:rPr>
              <w:t>0.7571</w:t>
            </w:r>
          </w:p>
        </w:tc>
      </w:tr>
      <w:tr>
        <w:trPr>
          <w:trHeight w:val="230" w:hRule="atLeast"/>
        </w:trPr>
        <w:tc>
          <w:tcPr>
            <w:tcW w:w="1848" w:type="dxa"/>
          </w:tcPr>
          <w:p>
            <w:pPr>
              <w:pStyle w:val="TableParagraph"/>
              <w:spacing w:line="211" w:lineRule="exact"/>
              <w:ind w:left="494"/>
              <w:rPr>
                <w:rFonts w:ascii="Arial MT"/>
                <w:sz w:val="20"/>
              </w:rPr>
            </w:pPr>
            <w:r>
              <w:rPr>
                <w:rFonts w:ascii="Arial MT"/>
                <w:spacing w:val="-2"/>
                <w:sz w:val="20"/>
              </w:rPr>
              <w:t>D(CAB,2)</w:t>
            </w:r>
          </w:p>
        </w:tc>
        <w:tc>
          <w:tcPr>
            <w:tcW w:w="1848" w:type="dxa"/>
          </w:tcPr>
          <w:p>
            <w:pPr>
              <w:pStyle w:val="TableParagraph"/>
              <w:spacing w:line="211" w:lineRule="exact"/>
              <w:ind w:right="100"/>
              <w:jc w:val="right"/>
              <w:rPr>
                <w:rFonts w:ascii="Arial MT"/>
                <w:sz w:val="20"/>
              </w:rPr>
            </w:pPr>
            <w:r>
              <w:rPr>
                <w:rFonts w:ascii="Arial MT"/>
                <w:spacing w:val="-2"/>
                <w:sz w:val="20"/>
              </w:rPr>
              <w:t>0.010828</w:t>
            </w:r>
          </w:p>
        </w:tc>
        <w:tc>
          <w:tcPr>
            <w:tcW w:w="2443" w:type="dxa"/>
          </w:tcPr>
          <w:p>
            <w:pPr>
              <w:pStyle w:val="TableParagraph"/>
              <w:spacing w:line="211" w:lineRule="exact"/>
              <w:ind w:right="99"/>
              <w:jc w:val="right"/>
              <w:rPr>
                <w:rFonts w:ascii="Arial MT"/>
                <w:sz w:val="20"/>
              </w:rPr>
            </w:pPr>
            <w:r>
              <w:rPr>
                <w:rFonts w:ascii="Arial MT"/>
                <w:spacing w:val="-2"/>
                <w:sz w:val="20"/>
              </w:rPr>
              <w:t>0.016565</w:t>
            </w:r>
          </w:p>
        </w:tc>
        <w:tc>
          <w:tcPr>
            <w:tcW w:w="1889" w:type="dxa"/>
          </w:tcPr>
          <w:p>
            <w:pPr>
              <w:pStyle w:val="TableParagraph"/>
              <w:spacing w:line="211" w:lineRule="exact"/>
              <w:ind w:right="99"/>
              <w:jc w:val="right"/>
              <w:rPr>
                <w:rFonts w:ascii="Arial MT"/>
                <w:sz w:val="20"/>
              </w:rPr>
            </w:pPr>
            <w:r>
              <w:rPr>
                <w:rFonts w:ascii="Arial MT"/>
                <w:spacing w:val="-2"/>
                <w:sz w:val="20"/>
              </w:rPr>
              <w:t>0.653682</w:t>
            </w:r>
          </w:p>
        </w:tc>
        <w:tc>
          <w:tcPr>
            <w:tcW w:w="1800" w:type="dxa"/>
          </w:tcPr>
          <w:p>
            <w:pPr>
              <w:pStyle w:val="TableParagraph"/>
              <w:spacing w:line="211" w:lineRule="exact"/>
              <w:ind w:right="98"/>
              <w:jc w:val="right"/>
              <w:rPr>
                <w:rFonts w:ascii="Arial MT"/>
                <w:sz w:val="20"/>
              </w:rPr>
            </w:pPr>
            <w:r>
              <w:rPr>
                <w:rFonts w:ascii="Arial MT"/>
                <w:spacing w:val="-2"/>
                <w:sz w:val="20"/>
              </w:rPr>
              <w:t>0.5186</w:t>
            </w:r>
          </w:p>
        </w:tc>
      </w:tr>
      <w:tr>
        <w:trPr>
          <w:trHeight w:val="230" w:hRule="atLeast"/>
        </w:trPr>
        <w:tc>
          <w:tcPr>
            <w:tcW w:w="1848" w:type="dxa"/>
          </w:tcPr>
          <w:p>
            <w:pPr>
              <w:pStyle w:val="TableParagraph"/>
              <w:spacing w:line="210" w:lineRule="exact"/>
              <w:ind w:left="341"/>
              <w:rPr>
                <w:rFonts w:ascii="Arial MT"/>
                <w:sz w:val="20"/>
              </w:rPr>
            </w:pPr>
            <w:r>
              <w:rPr>
                <w:rFonts w:ascii="Arial MT"/>
                <w:spacing w:val="-2"/>
                <w:sz w:val="20"/>
              </w:rPr>
              <w:t>D(CAB(-1),2)</w:t>
            </w:r>
          </w:p>
        </w:tc>
        <w:tc>
          <w:tcPr>
            <w:tcW w:w="1848" w:type="dxa"/>
          </w:tcPr>
          <w:p>
            <w:pPr>
              <w:pStyle w:val="TableParagraph"/>
              <w:spacing w:line="210" w:lineRule="exact"/>
              <w:ind w:right="100"/>
              <w:jc w:val="right"/>
              <w:rPr>
                <w:rFonts w:ascii="Arial MT"/>
                <w:sz w:val="20"/>
              </w:rPr>
            </w:pPr>
            <w:r>
              <w:rPr>
                <w:rFonts w:ascii="Arial MT"/>
                <w:spacing w:val="-2"/>
                <w:sz w:val="20"/>
              </w:rPr>
              <w:t>-0.025658</w:t>
            </w:r>
          </w:p>
        </w:tc>
        <w:tc>
          <w:tcPr>
            <w:tcW w:w="2443" w:type="dxa"/>
          </w:tcPr>
          <w:p>
            <w:pPr>
              <w:pStyle w:val="TableParagraph"/>
              <w:spacing w:line="210" w:lineRule="exact"/>
              <w:ind w:right="99"/>
              <w:jc w:val="right"/>
              <w:rPr>
                <w:rFonts w:ascii="Arial MT"/>
                <w:sz w:val="20"/>
              </w:rPr>
            </w:pPr>
            <w:r>
              <w:rPr>
                <w:rFonts w:ascii="Arial MT"/>
                <w:spacing w:val="-2"/>
                <w:sz w:val="20"/>
              </w:rPr>
              <w:t>0.019272</w:t>
            </w:r>
          </w:p>
        </w:tc>
        <w:tc>
          <w:tcPr>
            <w:tcW w:w="1889" w:type="dxa"/>
          </w:tcPr>
          <w:p>
            <w:pPr>
              <w:pStyle w:val="TableParagraph"/>
              <w:spacing w:line="210" w:lineRule="exact"/>
              <w:ind w:right="99"/>
              <w:jc w:val="right"/>
              <w:rPr>
                <w:rFonts w:ascii="Arial MT"/>
                <w:sz w:val="20"/>
              </w:rPr>
            </w:pPr>
            <w:r>
              <w:rPr>
                <w:rFonts w:ascii="Arial MT"/>
                <w:spacing w:val="-2"/>
                <w:sz w:val="20"/>
              </w:rPr>
              <w:t>-1.331372</w:t>
            </w:r>
          </w:p>
        </w:tc>
        <w:tc>
          <w:tcPr>
            <w:tcW w:w="1800" w:type="dxa"/>
          </w:tcPr>
          <w:p>
            <w:pPr>
              <w:pStyle w:val="TableParagraph"/>
              <w:spacing w:line="210" w:lineRule="exact"/>
              <w:ind w:right="98"/>
              <w:jc w:val="right"/>
              <w:rPr>
                <w:rFonts w:ascii="Arial MT"/>
                <w:sz w:val="20"/>
              </w:rPr>
            </w:pPr>
            <w:r>
              <w:rPr>
                <w:rFonts w:ascii="Arial MT"/>
                <w:spacing w:val="-2"/>
                <w:sz w:val="20"/>
              </w:rPr>
              <w:t>0.1938</w:t>
            </w:r>
          </w:p>
        </w:tc>
      </w:tr>
      <w:tr>
        <w:trPr>
          <w:trHeight w:val="230" w:hRule="atLeast"/>
        </w:trPr>
        <w:tc>
          <w:tcPr>
            <w:tcW w:w="1848" w:type="dxa"/>
          </w:tcPr>
          <w:p>
            <w:pPr>
              <w:pStyle w:val="TableParagraph"/>
              <w:spacing w:line="210" w:lineRule="exact"/>
              <w:ind w:left="494"/>
              <w:rPr>
                <w:rFonts w:ascii="Arial MT"/>
                <w:sz w:val="20"/>
              </w:rPr>
            </w:pPr>
            <w:r>
              <w:rPr>
                <w:rFonts w:ascii="Arial MT"/>
                <w:spacing w:val="-2"/>
                <w:sz w:val="20"/>
              </w:rPr>
              <w:t>D(RES,2)</w:t>
            </w:r>
          </w:p>
        </w:tc>
        <w:tc>
          <w:tcPr>
            <w:tcW w:w="1848" w:type="dxa"/>
          </w:tcPr>
          <w:p>
            <w:pPr>
              <w:pStyle w:val="TableParagraph"/>
              <w:spacing w:line="210" w:lineRule="exact"/>
              <w:ind w:right="100"/>
              <w:jc w:val="right"/>
              <w:rPr>
                <w:rFonts w:ascii="Arial MT"/>
                <w:sz w:val="20"/>
              </w:rPr>
            </w:pPr>
            <w:r>
              <w:rPr>
                <w:rFonts w:ascii="Arial MT"/>
                <w:spacing w:val="-2"/>
                <w:sz w:val="20"/>
              </w:rPr>
              <w:t>0.008494</w:t>
            </w:r>
          </w:p>
        </w:tc>
        <w:tc>
          <w:tcPr>
            <w:tcW w:w="2443" w:type="dxa"/>
          </w:tcPr>
          <w:p>
            <w:pPr>
              <w:pStyle w:val="TableParagraph"/>
              <w:spacing w:line="210" w:lineRule="exact"/>
              <w:ind w:right="99"/>
              <w:jc w:val="right"/>
              <w:rPr>
                <w:rFonts w:ascii="Arial MT"/>
                <w:sz w:val="20"/>
              </w:rPr>
            </w:pPr>
            <w:r>
              <w:rPr>
                <w:rFonts w:ascii="Arial MT"/>
                <w:spacing w:val="-2"/>
                <w:sz w:val="20"/>
              </w:rPr>
              <w:t>0.025794</w:t>
            </w:r>
          </w:p>
        </w:tc>
        <w:tc>
          <w:tcPr>
            <w:tcW w:w="1889" w:type="dxa"/>
          </w:tcPr>
          <w:p>
            <w:pPr>
              <w:pStyle w:val="TableParagraph"/>
              <w:spacing w:line="210" w:lineRule="exact"/>
              <w:ind w:right="99"/>
              <w:jc w:val="right"/>
              <w:rPr>
                <w:rFonts w:ascii="Arial MT"/>
                <w:sz w:val="20"/>
              </w:rPr>
            </w:pPr>
            <w:r>
              <w:rPr>
                <w:rFonts w:ascii="Arial MT"/>
                <w:spacing w:val="-2"/>
                <w:sz w:val="20"/>
              </w:rPr>
              <w:t>0.329296</w:t>
            </w:r>
          </w:p>
        </w:tc>
        <w:tc>
          <w:tcPr>
            <w:tcW w:w="1800" w:type="dxa"/>
          </w:tcPr>
          <w:p>
            <w:pPr>
              <w:pStyle w:val="TableParagraph"/>
              <w:spacing w:line="210" w:lineRule="exact"/>
              <w:ind w:right="98"/>
              <w:jc w:val="right"/>
              <w:rPr>
                <w:rFonts w:ascii="Arial MT"/>
                <w:sz w:val="20"/>
              </w:rPr>
            </w:pPr>
            <w:r>
              <w:rPr>
                <w:rFonts w:ascii="Arial MT"/>
                <w:spacing w:val="-2"/>
                <w:sz w:val="20"/>
              </w:rPr>
              <w:t>0.7444</w:t>
            </w:r>
          </w:p>
        </w:tc>
      </w:tr>
      <w:tr>
        <w:trPr>
          <w:trHeight w:val="230" w:hRule="atLeast"/>
        </w:trPr>
        <w:tc>
          <w:tcPr>
            <w:tcW w:w="1848" w:type="dxa"/>
          </w:tcPr>
          <w:p>
            <w:pPr>
              <w:pStyle w:val="TableParagraph"/>
              <w:spacing w:line="210" w:lineRule="exact"/>
              <w:ind w:left="341"/>
              <w:rPr>
                <w:rFonts w:ascii="Arial MT"/>
                <w:sz w:val="20"/>
              </w:rPr>
            </w:pPr>
            <w:r>
              <w:rPr>
                <w:rFonts w:ascii="Arial MT"/>
                <w:spacing w:val="-2"/>
                <w:sz w:val="20"/>
              </w:rPr>
              <w:t>D(RES(-1),2)</w:t>
            </w:r>
          </w:p>
        </w:tc>
        <w:tc>
          <w:tcPr>
            <w:tcW w:w="1848" w:type="dxa"/>
          </w:tcPr>
          <w:p>
            <w:pPr>
              <w:pStyle w:val="TableParagraph"/>
              <w:spacing w:line="210" w:lineRule="exact"/>
              <w:ind w:right="100"/>
              <w:jc w:val="right"/>
              <w:rPr>
                <w:rFonts w:ascii="Arial MT"/>
                <w:sz w:val="20"/>
              </w:rPr>
            </w:pPr>
            <w:r>
              <w:rPr>
                <w:rFonts w:ascii="Arial MT"/>
                <w:spacing w:val="-2"/>
                <w:sz w:val="20"/>
              </w:rPr>
              <w:t>0.001341</w:t>
            </w:r>
          </w:p>
        </w:tc>
        <w:tc>
          <w:tcPr>
            <w:tcW w:w="2443" w:type="dxa"/>
          </w:tcPr>
          <w:p>
            <w:pPr>
              <w:pStyle w:val="TableParagraph"/>
              <w:spacing w:line="210" w:lineRule="exact"/>
              <w:ind w:right="99"/>
              <w:jc w:val="right"/>
              <w:rPr>
                <w:rFonts w:ascii="Arial MT"/>
                <w:sz w:val="20"/>
              </w:rPr>
            </w:pPr>
            <w:r>
              <w:rPr>
                <w:rFonts w:ascii="Arial MT"/>
                <w:spacing w:val="-2"/>
                <w:sz w:val="20"/>
              </w:rPr>
              <w:t>0.028179</w:t>
            </w:r>
          </w:p>
        </w:tc>
        <w:tc>
          <w:tcPr>
            <w:tcW w:w="1889" w:type="dxa"/>
          </w:tcPr>
          <w:p>
            <w:pPr>
              <w:pStyle w:val="TableParagraph"/>
              <w:spacing w:line="210" w:lineRule="exact"/>
              <w:ind w:right="99"/>
              <w:jc w:val="right"/>
              <w:rPr>
                <w:rFonts w:ascii="Arial MT"/>
                <w:sz w:val="20"/>
              </w:rPr>
            </w:pPr>
            <w:r>
              <w:rPr>
                <w:rFonts w:ascii="Arial MT"/>
                <w:spacing w:val="-2"/>
                <w:sz w:val="20"/>
              </w:rPr>
              <w:t>0.047574</w:t>
            </w:r>
          </w:p>
        </w:tc>
        <w:tc>
          <w:tcPr>
            <w:tcW w:w="1800" w:type="dxa"/>
          </w:tcPr>
          <w:p>
            <w:pPr>
              <w:pStyle w:val="TableParagraph"/>
              <w:spacing w:line="210" w:lineRule="exact"/>
              <w:ind w:right="98"/>
              <w:jc w:val="right"/>
              <w:rPr>
                <w:rFonts w:ascii="Arial MT"/>
                <w:sz w:val="20"/>
              </w:rPr>
            </w:pPr>
            <w:r>
              <w:rPr>
                <w:rFonts w:ascii="Arial MT"/>
                <w:spacing w:val="-2"/>
                <w:sz w:val="20"/>
              </w:rPr>
              <w:t>0.9624</w:t>
            </w:r>
          </w:p>
        </w:tc>
      </w:tr>
      <w:tr>
        <w:trPr>
          <w:trHeight w:val="230" w:hRule="atLeast"/>
        </w:trPr>
        <w:tc>
          <w:tcPr>
            <w:tcW w:w="1848" w:type="dxa"/>
          </w:tcPr>
          <w:p>
            <w:pPr>
              <w:pStyle w:val="TableParagraph"/>
              <w:spacing w:line="210" w:lineRule="exact"/>
              <w:ind w:left="300"/>
              <w:rPr>
                <w:rFonts w:ascii="Arial MT"/>
                <w:sz w:val="20"/>
              </w:rPr>
            </w:pPr>
            <w:r>
              <w:rPr>
                <w:rFonts w:ascii="Arial MT"/>
                <w:spacing w:val="-2"/>
                <w:sz w:val="20"/>
              </w:rPr>
              <w:t>D(NEXTAS,2)</w:t>
            </w:r>
          </w:p>
        </w:tc>
        <w:tc>
          <w:tcPr>
            <w:tcW w:w="1848" w:type="dxa"/>
          </w:tcPr>
          <w:p>
            <w:pPr>
              <w:pStyle w:val="TableParagraph"/>
              <w:spacing w:line="210" w:lineRule="exact"/>
              <w:ind w:right="100"/>
              <w:jc w:val="right"/>
              <w:rPr>
                <w:rFonts w:ascii="Arial MT"/>
                <w:sz w:val="20"/>
              </w:rPr>
            </w:pPr>
            <w:r>
              <w:rPr>
                <w:rFonts w:ascii="Arial MT"/>
                <w:spacing w:val="-2"/>
                <w:sz w:val="20"/>
              </w:rPr>
              <w:t>0.030648</w:t>
            </w:r>
          </w:p>
        </w:tc>
        <w:tc>
          <w:tcPr>
            <w:tcW w:w="2443" w:type="dxa"/>
          </w:tcPr>
          <w:p>
            <w:pPr>
              <w:pStyle w:val="TableParagraph"/>
              <w:spacing w:line="210" w:lineRule="exact"/>
              <w:ind w:right="99"/>
              <w:jc w:val="right"/>
              <w:rPr>
                <w:rFonts w:ascii="Arial MT"/>
                <w:sz w:val="20"/>
              </w:rPr>
            </w:pPr>
            <w:r>
              <w:rPr>
                <w:rFonts w:ascii="Arial MT"/>
                <w:spacing w:val="-2"/>
                <w:sz w:val="20"/>
              </w:rPr>
              <w:t>0.022491</w:t>
            </w:r>
          </w:p>
        </w:tc>
        <w:tc>
          <w:tcPr>
            <w:tcW w:w="1889" w:type="dxa"/>
          </w:tcPr>
          <w:p>
            <w:pPr>
              <w:pStyle w:val="TableParagraph"/>
              <w:spacing w:line="210" w:lineRule="exact"/>
              <w:ind w:right="99"/>
              <w:jc w:val="right"/>
              <w:rPr>
                <w:rFonts w:ascii="Arial MT"/>
                <w:sz w:val="20"/>
              </w:rPr>
            </w:pPr>
            <w:r>
              <w:rPr>
                <w:rFonts w:ascii="Arial MT"/>
                <w:spacing w:val="-2"/>
                <w:sz w:val="20"/>
              </w:rPr>
              <w:t>1.362635</w:t>
            </w:r>
          </w:p>
        </w:tc>
        <w:tc>
          <w:tcPr>
            <w:tcW w:w="1800" w:type="dxa"/>
          </w:tcPr>
          <w:p>
            <w:pPr>
              <w:pStyle w:val="TableParagraph"/>
              <w:spacing w:line="210" w:lineRule="exact"/>
              <w:ind w:right="98"/>
              <w:jc w:val="right"/>
              <w:rPr>
                <w:rFonts w:ascii="Arial MT"/>
                <w:sz w:val="20"/>
              </w:rPr>
            </w:pPr>
            <w:r>
              <w:rPr>
                <w:rFonts w:ascii="Arial MT"/>
                <w:spacing w:val="-2"/>
                <w:sz w:val="20"/>
              </w:rPr>
              <w:t>0.1839</w:t>
            </w:r>
          </w:p>
        </w:tc>
      </w:tr>
      <w:tr>
        <w:trPr>
          <w:trHeight w:val="230" w:hRule="atLeast"/>
        </w:trPr>
        <w:tc>
          <w:tcPr>
            <w:tcW w:w="1848" w:type="dxa"/>
          </w:tcPr>
          <w:p>
            <w:pPr>
              <w:pStyle w:val="TableParagraph"/>
              <w:spacing w:line="210" w:lineRule="exact"/>
              <w:ind w:left="545"/>
              <w:rPr>
                <w:rFonts w:ascii="Arial MT"/>
                <w:sz w:val="20"/>
              </w:rPr>
            </w:pPr>
            <w:r>
              <w:rPr>
                <w:rFonts w:ascii="Arial MT"/>
                <w:spacing w:val="-2"/>
                <w:sz w:val="20"/>
              </w:rPr>
              <w:t>ECM(-</w:t>
            </w:r>
            <w:r>
              <w:rPr>
                <w:rFonts w:ascii="Arial MT"/>
                <w:spacing w:val="-5"/>
                <w:sz w:val="20"/>
              </w:rPr>
              <w:t>1)</w:t>
            </w:r>
          </w:p>
        </w:tc>
        <w:tc>
          <w:tcPr>
            <w:tcW w:w="1848" w:type="dxa"/>
          </w:tcPr>
          <w:p>
            <w:pPr>
              <w:pStyle w:val="TableParagraph"/>
              <w:spacing w:line="210" w:lineRule="exact"/>
              <w:ind w:right="100"/>
              <w:jc w:val="right"/>
              <w:rPr>
                <w:rFonts w:ascii="Arial MT"/>
                <w:sz w:val="20"/>
              </w:rPr>
            </w:pPr>
            <w:r>
              <w:rPr>
                <w:rFonts w:ascii="Arial MT"/>
                <w:spacing w:val="-2"/>
                <w:sz w:val="20"/>
              </w:rPr>
              <w:t>-0.629236</w:t>
            </w:r>
          </w:p>
        </w:tc>
        <w:tc>
          <w:tcPr>
            <w:tcW w:w="2443" w:type="dxa"/>
          </w:tcPr>
          <w:p>
            <w:pPr>
              <w:pStyle w:val="TableParagraph"/>
              <w:spacing w:line="210" w:lineRule="exact"/>
              <w:ind w:right="99"/>
              <w:jc w:val="right"/>
              <w:rPr>
                <w:rFonts w:ascii="Arial MT"/>
                <w:sz w:val="20"/>
              </w:rPr>
            </w:pPr>
            <w:r>
              <w:rPr>
                <w:rFonts w:ascii="Arial MT"/>
                <w:spacing w:val="-2"/>
                <w:sz w:val="20"/>
              </w:rPr>
              <w:t>0.165242</w:t>
            </w:r>
          </w:p>
        </w:tc>
        <w:tc>
          <w:tcPr>
            <w:tcW w:w="1889" w:type="dxa"/>
          </w:tcPr>
          <w:p>
            <w:pPr>
              <w:pStyle w:val="TableParagraph"/>
              <w:spacing w:line="210" w:lineRule="exact"/>
              <w:ind w:right="99"/>
              <w:jc w:val="right"/>
              <w:rPr>
                <w:rFonts w:ascii="Arial MT"/>
                <w:sz w:val="20"/>
              </w:rPr>
            </w:pPr>
            <w:r>
              <w:rPr>
                <w:rFonts w:ascii="Arial MT"/>
                <w:spacing w:val="-2"/>
                <w:sz w:val="20"/>
              </w:rPr>
              <w:t>-4.173481</w:t>
            </w:r>
          </w:p>
        </w:tc>
        <w:tc>
          <w:tcPr>
            <w:tcW w:w="1800" w:type="dxa"/>
          </w:tcPr>
          <w:p>
            <w:pPr>
              <w:pStyle w:val="TableParagraph"/>
              <w:spacing w:line="210" w:lineRule="exact"/>
              <w:ind w:right="98"/>
              <w:jc w:val="right"/>
              <w:rPr>
                <w:rFonts w:ascii="Arial MT"/>
                <w:sz w:val="20"/>
              </w:rPr>
            </w:pPr>
            <w:r>
              <w:rPr>
                <w:rFonts w:ascii="Arial MT"/>
                <w:spacing w:val="-2"/>
                <w:sz w:val="20"/>
              </w:rPr>
              <w:t>0.0006</w:t>
            </w:r>
          </w:p>
        </w:tc>
      </w:tr>
    </w:tbl>
    <w:tbl>
      <w:tblPr>
        <w:tblW w:w="0" w:type="auto"/>
        <w:jc w:val="left"/>
        <w:tblInd w:w="7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08"/>
        <w:gridCol w:w="2548"/>
        <w:gridCol w:w="2406"/>
        <w:gridCol w:w="1469"/>
      </w:tblGrid>
      <w:tr>
        <w:trPr>
          <w:trHeight w:val="242" w:hRule="atLeast"/>
        </w:trPr>
        <w:tc>
          <w:tcPr>
            <w:tcW w:w="3308" w:type="dxa"/>
          </w:tcPr>
          <w:p>
            <w:pPr>
              <w:pStyle w:val="TableParagraph"/>
              <w:spacing w:line="221" w:lineRule="exact"/>
              <w:ind w:left="50"/>
              <w:rPr>
                <w:sz w:val="20"/>
              </w:rPr>
            </w:pPr>
            <w:r>
              <w:rPr>
                <w:spacing w:val="-2"/>
                <w:sz w:val="20"/>
              </w:rPr>
              <w:t>R-squared</w:t>
            </w:r>
          </w:p>
        </w:tc>
        <w:tc>
          <w:tcPr>
            <w:tcW w:w="2548" w:type="dxa"/>
          </w:tcPr>
          <w:p>
            <w:pPr>
              <w:pStyle w:val="TableParagraph"/>
              <w:spacing w:line="221" w:lineRule="exact"/>
              <w:ind w:right="129"/>
              <w:jc w:val="right"/>
              <w:rPr>
                <w:sz w:val="20"/>
              </w:rPr>
            </w:pPr>
            <w:r>
              <w:rPr>
                <w:spacing w:val="-2"/>
                <w:sz w:val="20"/>
              </w:rPr>
              <w:t>0.560372</w:t>
            </w:r>
          </w:p>
        </w:tc>
        <w:tc>
          <w:tcPr>
            <w:tcW w:w="2406" w:type="dxa"/>
          </w:tcPr>
          <w:p>
            <w:pPr>
              <w:pStyle w:val="TableParagraph"/>
              <w:spacing w:line="221" w:lineRule="exact"/>
              <w:ind w:left="130"/>
              <w:rPr>
                <w:sz w:val="20"/>
              </w:rPr>
            </w:pPr>
            <w:r>
              <w:rPr>
                <w:sz w:val="20"/>
              </w:rPr>
              <w:t>Mean</w:t>
            </w:r>
            <w:r>
              <w:rPr>
                <w:spacing w:val="-7"/>
                <w:sz w:val="20"/>
              </w:rPr>
              <w:t> </w:t>
            </w:r>
            <w:r>
              <w:rPr>
                <w:sz w:val="20"/>
              </w:rPr>
              <w:t>dependent</w:t>
            </w:r>
            <w:r>
              <w:rPr>
                <w:spacing w:val="-7"/>
                <w:sz w:val="20"/>
              </w:rPr>
              <w:t> </w:t>
            </w:r>
            <w:r>
              <w:rPr>
                <w:spacing w:val="-5"/>
                <w:sz w:val="20"/>
              </w:rPr>
              <w:t>var</w:t>
            </w:r>
          </w:p>
        </w:tc>
        <w:tc>
          <w:tcPr>
            <w:tcW w:w="1469" w:type="dxa"/>
          </w:tcPr>
          <w:p>
            <w:pPr>
              <w:pStyle w:val="TableParagraph"/>
              <w:spacing w:line="221" w:lineRule="exact"/>
              <w:ind w:right="48"/>
              <w:jc w:val="right"/>
              <w:rPr>
                <w:sz w:val="20"/>
              </w:rPr>
            </w:pPr>
            <w:r>
              <w:rPr>
                <w:spacing w:val="-2"/>
                <w:sz w:val="20"/>
              </w:rPr>
              <w:t>0.000564</w:t>
            </w:r>
          </w:p>
        </w:tc>
      </w:tr>
      <w:tr>
        <w:trPr>
          <w:trHeight w:val="255" w:hRule="atLeast"/>
        </w:trPr>
        <w:tc>
          <w:tcPr>
            <w:tcW w:w="3308" w:type="dxa"/>
          </w:tcPr>
          <w:p>
            <w:pPr>
              <w:pStyle w:val="TableParagraph"/>
              <w:spacing w:line="223" w:lineRule="exact" w:before="12"/>
              <w:ind w:left="50"/>
              <w:rPr>
                <w:sz w:val="20"/>
              </w:rPr>
            </w:pPr>
            <w:r>
              <w:rPr>
                <w:sz w:val="20"/>
              </w:rPr>
              <w:t>Adjusted</w:t>
            </w:r>
            <w:r>
              <w:rPr>
                <w:spacing w:val="-10"/>
                <w:sz w:val="20"/>
              </w:rPr>
              <w:t> </w:t>
            </w:r>
            <w:r>
              <w:rPr>
                <w:sz w:val="20"/>
              </w:rPr>
              <w:t>R-</w:t>
            </w:r>
            <w:r>
              <w:rPr>
                <w:spacing w:val="-2"/>
                <w:sz w:val="20"/>
              </w:rPr>
              <w:t>squared</w:t>
            </w:r>
          </w:p>
        </w:tc>
        <w:tc>
          <w:tcPr>
            <w:tcW w:w="2548" w:type="dxa"/>
          </w:tcPr>
          <w:p>
            <w:pPr>
              <w:pStyle w:val="TableParagraph"/>
              <w:spacing w:line="223" w:lineRule="exact" w:before="12"/>
              <w:ind w:right="129"/>
              <w:jc w:val="right"/>
              <w:rPr>
                <w:sz w:val="20"/>
              </w:rPr>
            </w:pPr>
            <w:r>
              <w:rPr>
                <w:spacing w:val="-2"/>
                <w:sz w:val="20"/>
              </w:rPr>
              <w:t>0.403362</w:t>
            </w:r>
          </w:p>
        </w:tc>
        <w:tc>
          <w:tcPr>
            <w:tcW w:w="2406" w:type="dxa"/>
          </w:tcPr>
          <w:p>
            <w:pPr>
              <w:pStyle w:val="TableParagraph"/>
              <w:spacing w:line="223" w:lineRule="exact" w:before="12"/>
              <w:ind w:left="130"/>
              <w:rPr>
                <w:sz w:val="20"/>
              </w:rPr>
            </w:pPr>
            <w:r>
              <w:rPr>
                <w:sz w:val="20"/>
              </w:rPr>
              <w:t>S.D.</w:t>
            </w:r>
            <w:r>
              <w:rPr>
                <w:spacing w:val="-5"/>
                <w:sz w:val="20"/>
              </w:rPr>
              <w:t> </w:t>
            </w:r>
            <w:r>
              <w:rPr>
                <w:sz w:val="20"/>
              </w:rPr>
              <w:t>dependent</w:t>
            </w:r>
            <w:r>
              <w:rPr>
                <w:spacing w:val="-6"/>
                <w:sz w:val="20"/>
              </w:rPr>
              <w:t> </w:t>
            </w:r>
            <w:r>
              <w:rPr>
                <w:spacing w:val="-5"/>
                <w:sz w:val="20"/>
              </w:rPr>
              <w:t>var</w:t>
            </w:r>
          </w:p>
        </w:tc>
        <w:tc>
          <w:tcPr>
            <w:tcW w:w="1469" w:type="dxa"/>
          </w:tcPr>
          <w:p>
            <w:pPr>
              <w:pStyle w:val="TableParagraph"/>
              <w:spacing w:line="223" w:lineRule="exact" w:before="12"/>
              <w:ind w:right="48"/>
              <w:jc w:val="right"/>
              <w:rPr>
                <w:sz w:val="20"/>
              </w:rPr>
            </w:pPr>
            <w:r>
              <w:rPr>
                <w:spacing w:val="-2"/>
                <w:sz w:val="20"/>
              </w:rPr>
              <w:t>0.252172</w:t>
            </w:r>
          </w:p>
        </w:tc>
      </w:tr>
      <w:tr>
        <w:trPr>
          <w:trHeight w:val="247" w:hRule="atLeast"/>
        </w:trPr>
        <w:tc>
          <w:tcPr>
            <w:tcW w:w="3308" w:type="dxa"/>
          </w:tcPr>
          <w:p>
            <w:pPr>
              <w:pStyle w:val="TableParagraph"/>
              <w:spacing w:line="223" w:lineRule="exact" w:before="4"/>
              <w:ind w:left="50"/>
              <w:rPr>
                <w:sz w:val="20"/>
              </w:rPr>
            </w:pPr>
            <w:r>
              <w:rPr>
                <w:sz w:val="20"/>
              </w:rPr>
              <w:t>S.E.</w:t>
            </w:r>
            <w:r>
              <w:rPr>
                <w:spacing w:val="-3"/>
                <w:sz w:val="20"/>
              </w:rPr>
              <w:t> </w:t>
            </w:r>
            <w:r>
              <w:rPr>
                <w:sz w:val="20"/>
              </w:rPr>
              <w:t>of</w:t>
            </w:r>
            <w:r>
              <w:rPr>
                <w:spacing w:val="-3"/>
                <w:sz w:val="20"/>
              </w:rPr>
              <w:t> </w:t>
            </w:r>
            <w:r>
              <w:rPr>
                <w:spacing w:val="-2"/>
                <w:sz w:val="20"/>
              </w:rPr>
              <w:t>regression</w:t>
            </w:r>
          </w:p>
        </w:tc>
        <w:tc>
          <w:tcPr>
            <w:tcW w:w="2548" w:type="dxa"/>
          </w:tcPr>
          <w:p>
            <w:pPr>
              <w:pStyle w:val="TableParagraph"/>
              <w:spacing w:line="223" w:lineRule="exact" w:before="4"/>
              <w:ind w:right="129"/>
              <w:jc w:val="right"/>
              <w:rPr>
                <w:sz w:val="20"/>
              </w:rPr>
            </w:pPr>
            <w:r>
              <w:rPr>
                <w:spacing w:val="-2"/>
                <w:sz w:val="20"/>
              </w:rPr>
              <w:t>0.194784</w:t>
            </w:r>
          </w:p>
        </w:tc>
        <w:tc>
          <w:tcPr>
            <w:tcW w:w="2406" w:type="dxa"/>
          </w:tcPr>
          <w:p>
            <w:pPr>
              <w:pStyle w:val="TableParagraph"/>
              <w:spacing w:line="223" w:lineRule="exact" w:before="4"/>
              <w:ind w:left="130"/>
              <w:rPr>
                <w:sz w:val="20"/>
              </w:rPr>
            </w:pPr>
            <w:r>
              <w:rPr>
                <w:sz w:val="20"/>
              </w:rPr>
              <w:t>Akaike</w:t>
            </w:r>
            <w:r>
              <w:rPr>
                <w:spacing w:val="-8"/>
                <w:sz w:val="20"/>
              </w:rPr>
              <w:t> </w:t>
            </w:r>
            <w:r>
              <w:rPr>
                <w:sz w:val="20"/>
              </w:rPr>
              <w:t>info</w:t>
            </w:r>
            <w:r>
              <w:rPr>
                <w:spacing w:val="-7"/>
                <w:sz w:val="20"/>
              </w:rPr>
              <w:t> </w:t>
            </w:r>
            <w:r>
              <w:rPr>
                <w:spacing w:val="-2"/>
                <w:sz w:val="20"/>
              </w:rPr>
              <w:t>criterion</w:t>
            </w:r>
          </w:p>
        </w:tc>
        <w:tc>
          <w:tcPr>
            <w:tcW w:w="1469" w:type="dxa"/>
          </w:tcPr>
          <w:p>
            <w:pPr>
              <w:pStyle w:val="TableParagraph"/>
              <w:spacing w:line="223" w:lineRule="exact" w:before="4"/>
              <w:ind w:right="48"/>
              <w:jc w:val="right"/>
              <w:rPr>
                <w:sz w:val="20"/>
              </w:rPr>
            </w:pPr>
            <w:r>
              <w:rPr>
                <w:spacing w:val="-4"/>
                <w:sz w:val="20"/>
              </w:rPr>
              <w:t>-</w:t>
            </w:r>
            <w:r>
              <w:rPr>
                <w:spacing w:val="-2"/>
                <w:sz w:val="20"/>
              </w:rPr>
              <w:t>0.201106</w:t>
            </w:r>
          </w:p>
        </w:tc>
      </w:tr>
      <w:tr>
        <w:trPr>
          <w:trHeight w:val="254" w:hRule="atLeast"/>
        </w:trPr>
        <w:tc>
          <w:tcPr>
            <w:tcW w:w="3308" w:type="dxa"/>
          </w:tcPr>
          <w:p>
            <w:pPr>
              <w:pStyle w:val="TableParagraph"/>
              <w:spacing w:before="4"/>
              <w:ind w:left="50"/>
              <w:rPr>
                <w:sz w:val="20"/>
              </w:rPr>
            </w:pPr>
            <w:r>
              <w:rPr>
                <w:sz w:val="20"/>
              </w:rPr>
              <w:t>Sum</w:t>
            </w:r>
            <w:r>
              <w:rPr>
                <w:spacing w:val="-8"/>
                <w:sz w:val="20"/>
              </w:rPr>
              <w:t> </w:t>
            </w:r>
            <w:r>
              <w:rPr>
                <w:sz w:val="20"/>
              </w:rPr>
              <w:t>squared</w:t>
            </w:r>
            <w:r>
              <w:rPr>
                <w:spacing w:val="-4"/>
                <w:sz w:val="20"/>
              </w:rPr>
              <w:t> </w:t>
            </w:r>
            <w:r>
              <w:rPr>
                <w:spacing w:val="-2"/>
                <w:sz w:val="20"/>
              </w:rPr>
              <w:t>resid</w:t>
            </w:r>
          </w:p>
        </w:tc>
        <w:tc>
          <w:tcPr>
            <w:tcW w:w="2548" w:type="dxa"/>
          </w:tcPr>
          <w:p>
            <w:pPr>
              <w:pStyle w:val="TableParagraph"/>
              <w:spacing w:before="4"/>
              <w:ind w:right="129"/>
              <w:jc w:val="right"/>
              <w:rPr>
                <w:sz w:val="20"/>
              </w:rPr>
            </w:pPr>
            <w:r>
              <w:rPr>
                <w:spacing w:val="-2"/>
                <w:sz w:val="20"/>
              </w:rPr>
              <w:t>1.062342</w:t>
            </w:r>
          </w:p>
        </w:tc>
        <w:tc>
          <w:tcPr>
            <w:tcW w:w="2406" w:type="dxa"/>
          </w:tcPr>
          <w:p>
            <w:pPr>
              <w:pStyle w:val="TableParagraph"/>
              <w:spacing w:before="4"/>
              <w:ind w:left="130"/>
              <w:rPr>
                <w:sz w:val="20"/>
              </w:rPr>
            </w:pPr>
            <w:r>
              <w:rPr>
                <w:sz w:val="20"/>
              </w:rPr>
              <w:t>Schwarz</w:t>
            </w:r>
            <w:r>
              <w:rPr>
                <w:spacing w:val="-8"/>
                <w:sz w:val="20"/>
              </w:rPr>
              <w:t> </w:t>
            </w:r>
            <w:r>
              <w:rPr>
                <w:spacing w:val="-2"/>
                <w:sz w:val="20"/>
              </w:rPr>
              <w:t>criterion</w:t>
            </w:r>
          </w:p>
        </w:tc>
        <w:tc>
          <w:tcPr>
            <w:tcW w:w="1469" w:type="dxa"/>
          </w:tcPr>
          <w:p>
            <w:pPr>
              <w:pStyle w:val="TableParagraph"/>
              <w:spacing w:before="4"/>
              <w:ind w:right="48"/>
              <w:jc w:val="right"/>
              <w:rPr>
                <w:sz w:val="20"/>
              </w:rPr>
            </w:pPr>
            <w:r>
              <w:rPr>
                <w:spacing w:val="-2"/>
                <w:sz w:val="20"/>
              </w:rPr>
              <w:t>0.268103</w:t>
            </w:r>
          </w:p>
        </w:tc>
      </w:tr>
      <w:tr>
        <w:trPr>
          <w:trHeight w:val="241" w:hRule="atLeast"/>
        </w:trPr>
        <w:tc>
          <w:tcPr>
            <w:tcW w:w="3308" w:type="dxa"/>
          </w:tcPr>
          <w:p>
            <w:pPr>
              <w:pStyle w:val="TableParagraph"/>
              <w:spacing w:line="210" w:lineRule="exact" w:before="11"/>
              <w:ind w:left="50"/>
              <w:rPr>
                <w:sz w:val="20"/>
              </w:rPr>
            </w:pPr>
            <w:r>
              <w:rPr>
                <w:sz w:val="20"/>
              </w:rPr>
              <w:t>Log</w:t>
            </w:r>
            <w:r>
              <w:rPr>
                <w:spacing w:val="-6"/>
                <w:sz w:val="20"/>
              </w:rPr>
              <w:t> </w:t>
            </w:r>
            <w:r>
              <w:rPr>
                <w:spacing w:val="-2"/>
                <w:sz w:val="20"/>
              </w:rPr>
              <w:t>likelihood</w:t>
            </w:r>
          </w:p>
        </w:tc>
        <w:tc>
          <w:tcPr>
            <w:tcW w:w="2548" w:type="dxa"/>
          </w:tcPr>
          <w:p>
            <w:pPr>
              <w:pStyle w:val="TableParagraph"/>
              <w:spacing w:line="210" w:lineRule="exact" w:before="11"/>
              <w:ind w:right="129"/>
              <w:jc w:val="right"/>
              <w:rPr>
                <w:sz w:val="20"/>
              </w:rPr>
            </w:pPr>
            <w:r>
              <w:rPr>
                <w:spacing w:val="-2"/>
                <w:sz w:val="20"/>
              </w:rPr>
              <w:t>14.92157</w:t>
            </w:r>
          </w:p>
        </w:tc>
        <w:tc>
          <w:tcPr>
            <w:tcW w:w="2406" w:type="dxa"/>
          </w:tcPr>
          <w:p>
            <w:pPr>
              <w:pStyle w:val="TableParagraph"/>
              <w:spacing w:line="210" w:lineRule="exact" w:before="11"/>
              <w:ind w:left="130"/>
              <w:rPr>
                <w:sz w:val="20"/>
              </w:rPr>
            </w:pPr>
            <w:r>
              <w:rPr>
                <w:spacing w:val="-2"/>
                <w:sz w:val="20"/>
              </w:rPr>
              <w:t>Durbin-Watson</w:t>
            </w:r>
            <w:r>
              <w:rPr>
                <w:spacing w:val="12"/>
                <w:sz w:val="20"/>
              </w:rPr>
              <w:t> </w:t>
            </w:r>
            <w:r>
              <w:rPr>
                <w:spacing w:val="-4"/>
                <w:sz w:val="20"/>
              </w:rPr>
              <w:t>stat</w:t>
            </w:r>
          </w:p>
        </w:tc>
        <w:tc>
          <w:tcPr>
            <w:tcW w:w="1469" w:type="dxa"/>
          </w:tcPr>
          <w:p>
            <w:pPr>
              <w:pStyle w:val="TableParagraph"/>
              <w:spacing w:line="210" w:lineRule="exact" w:before="11"/>
              <w:ind w:right="48"/>
              <w:jc w:val="right"/>
              <w:rPr>
                <w:sz w:val="20"/>
              </w:rPr>
            </w:pPr>
            <w:r>
              <w:rPr>
                <w:spacing w:val="-2"/>
                <w:sz w:val="20"/>
              </w:rPr>
              <w:t>2.069175</w:t>
            </w:r>
          </w:p>
        </w:tc>
      </w:tr>
    </w:tbl>
    <w:p>
      <w:pPr>
        <w:pStyle w:val="BodyText"/>
        <w:spacing w:before="45"/>
        <w:ind w:left="711"/>
        <w:jc w:val="both"/>
        <w:rPr>
          <w:b/>
        </w:rPr>
      </w:pPr>
      <w:r>
        <w:rPr/>
        <w:t>Source:</w:t>
      </w:r>
      <w:r>
        <w:rPr>
          <w:spacing w:val="-3"/>
        </w:rPr>
        <w:t> </w:t>
      </w:r>
      <w:r>
        <w:rPr/>
        <w:t>Computation,</w:t>
      </w:r>
      <w:r>
        <w:rPr>
          <w:spacing w:val="-2"/>
        </w:rPr>
        <w:t> </w:t>
      </w:r>
      <w:r>
        <w:rPr/>
        <w:t>using</w:t>
      </w:r>
      <w:r>
        <w:rPr>
          <w:spacing w:val="-4"/>
        </w:rPr>
        <w:t> </w:t>
      </w:r>
      <w:r>
        <w:rPr/>
        <w:t>E-view</w:t>
      </w:r>
      <w:r>
        <w:rPr>
          <w:spacing w:val="-2"/>
        </w:rPr>
        <w:t> </w:t>
      </w:r>
      <w:r>
        <w:rPr/>
        <w:t>statistical</w:t>
      </w:r>
      <w:r>
        <w:rPr>
          <w:spacing w:val="-1"/>
        </w:rPr>
        <w:t> </w:t>
      </w:r>
      <w:r>
        <w:rPr>
          <w:spacing w:val="-2"/>
        </w:rPr>
        <w:t>package</w:t>
      </w:r>
      <w:r>
        <w:rPr>
          <w:b/>
          <w:spacing w:val="-2"/>
        </w:rPr>
        <w:t>.</w:t>
      </w:r>
    </w:p>
    <w:p>
      <w:pPr>
        <w:spacing w:after="0"/>
        <w:jc w:val="both"/>
        <w:sectPr>
          <w:pgSz w:w="11910" w:h="16840"/>
          <w:pgMar w:header="0" w:footer="979" w:top="1340" w:bottom="1240" w:left="280" w:right="0"/>
        </w:sectPr>
      </w:pPr>
    </w:p>
    <w:p>
      <w:pPr>
        <w:pStyle w:val="BodyText"/>
        <w:spacing w:line="480" w:lineRule="auto" w:before="81"/>
        <w:ind w:left="711" w:right="469"/>
        <w:jc w:val="both"/>
        <w:rPr>
          <w:rFonts w:ascii="Cambria"/>
        </w:rPr>
      </w:pPr>
      <w:r>
        <w:rPr>
          <w:rFonts w:ascii="Cambria"/>
        </w:rPr>
        <w:t>The summary of the over-parametized ECM above shows that the coefficient of the ECM is significant with the negative sign (-). It implies it effectiveness in the correction of any deviation that may occur in the long-run.</w:t>
      </w:r>
      <w:r>
        <w:rPr>
          <w:rFonts w:ascii="Cambria"/>
          <w:spacing w:val="40"/>
        </w:rPr>
        <w:t> </w:t>
      </w:r>
      <w:r>
        <w:rPr>
          <w:rFonts w:ascii="Cambria"/>
        </w:rPr>
        <w:t>The coefficient is -0.689636 which implies a sharp adjustment rate of approximately 0.69units</w:t>
      </w:r>
      <w:r>
        <w:rPr>
          <w:rFonts w:ascii="Cambria"/>
          <w:spacing w:val="-1"/>
        </w:rPr>
        <w:t> </w:t>
      </w:r>
      <w:r>
        <w:rPr>
          <w:rFonts w:ascii="Cambria"/>
        </w:rPr>
        <w:t>to</w:t>
      </w:r>
      <w:r>
        <w:rPr>
          <w:rFonts w:ascii="Cambria"/>
          <w:spacing w:val="-1"/>
        </w:rPr>
        <w:t> </w:t>
      </w:r>
      <w:r>
        <w:rPr>
          <w:rFonts w:ascii="Cambria"/>
        </w:rPr>
        <w:t>any changes</w:t>
      </w:r>
      <w:r>
        <w:rPr>
          <w:rFonts w:ascii="Cambria"/>
          <w:spacing w:val="-1"/>
        </w:rPr>
        <w:t> </w:t>
      </w:r>
      <w:r>
        <w:rPr>
          <w:rFonts w:ascii="Cambria"/>
        </w:rPr>
        <w:t>that</w:t>
      </w:r>
      <w:r>
        <w:rPr>
          <w:rFonts w:ascii="Cambria"/>
          <w:spacing w:val="-1"/>
        </w:rPr>
        <w:t> </w:t>
      </w:r>
      <w:r>
        <w:rPr>
          <w:rFonts w:ascii="Cambria"/>
        </w:rPr>
        <w:t>may</w:t>
      </w:r>
      <w:r>
        <w:rPr>
          <w:rFonts w:ascii="Cambria"/>
          <w:spacing w:val="-2"/>
        </w:rPr>
        <w:t> </w:t>
      </w:r>
      <w:r>
        <w:rPr>
          <w:rFonts w:ascii="Cambria"/>
        </w:rPr>
        <w:t>occur on</w:t>
      </w:r>
      <w:r>
        <w:rPr>
          <w:rFonts w:ascii="Cambria"/>
          <w:spacing w:val="-2"/>
        </w:rPr>
        <w:t> </w:t>
      </w:r>
      <w:r>
        <w:rPr>
          <w:rFonts w:ascii="Cambria"/>
        </w:rPr>
        <w:t>the long-run and</w:t>
      </w:r>
      <w:r>
        <w:rPr>
          <w:rFonts w:ascii="Cambria"/>
          <w:spacing w:val="-3"/>
        </w:rPr>
        <w:t> </w:t>
      </w:r>
      <w:r>
        <w:rPr>
          <w:rFonts w:ascii="Cambria"/>
        </w:rPr>
        <w:t>rate</w:t>
      </w:r>
      <w:r>
        <w:rPr>
          <w:rFonts w:ascii="Cambria"/>
          <w:spacing w:val="-1"/>
        </w:rPr>
        <w:t> </w:t>
      </w:r>
      <w:r>
        <w:rPr>
          <w:rFonts w:ascii="Cambria"/>
        </w:rPr>
        <w:t>of</w:t>
      </w:r>
      <w:r>
        <w:rPr>
          <w:rFonts w:ascii="Cambria"/>
          <w:spacing w:val="-2"/>
        </w:rPr>
        <w:t> </w:t>
      </w:r>
      <w:r>
        <w:rPr>
          <w:rFonts w:ascii="Cambria"/>
        </w:rPr>
        <w:t>correction</w:t>
      </w:r>
      <w:r>
        <w:rPr>
          <w:rFonts w:ascii="Cambria"/>
          <w:spacing w:val="-2"/>
        </w:rPr>
        <w:t> </w:t>
      </w:r>
      <w:r>
        <w:rPr>
          <w:rFonts w:ascii="Cambria"/>
        </w:rPr>
        <w:t>of</w:t>
      </w:r>
      <w:r>
        <w:rPr>
          <w:rFonts w:ascii="Cambria"/>
          <w:spacing w:val="-1"/>
        </w:rPr>
        <w:t> </w:t>
      </w:r>
      <w:r>
        <w:rPr>
          <w:rFonts w:ascii="Cambria"/>
        </w:rPr>
        <w:t>past</w:t>
      </w:r>
      <w:r>
        <w:rPr>
          <w:rFonts w:ascii="Cambria"/>
          <w:spacing w:val="-2"/>
        </w:rPr>
        <w:t> </w:t>
      </w:r>
      <w:r>
        <w:rPr>
          <w:rFonts w:ascii="Cambria"/>
        </w:rPr>
        <w:t>deviation</w:t>
      </w:r>
      <w:r>
        <w:rPr>
          <w:rFonts w:ascii="Cambria"/>
          <w:spacing w:val="-2"/>
        </w:rPr>
        <w:t> </w:t>
      </w:r>
      <w:r>
        <w:rPr>
          <w:rFonts w:ascii="Cambria"/>
        </w:rPr>
        <w:t>in</w:t>
      </w:r>
      <w:r>
        <w:rPr>
          <w:rFonts w:ascii="Cambria"/>
          <w:spacing w:val="-2"/>
        </w:rPr>
        <w:t> </w:t>
      </w:r>
      <w:r>
        <w:rPr>
          <w:rFonts w:ascii="Cambria"/>
        </w:rPr>
        <w:t>the present period. These means that the present value of GDP adjust very sharply to changes in EXTDEBT, DFI, CAB, RES and NEXTAS.</w:t>
      </w:r>
      <w:r>
        <w:rPr>
          <w:rFonts w:ascii="Cambria"/>
          <w:spacing w:val="40"/>
        </w:rPr>
        <w:t> </w:t>
      </w:r>
      <w:r>
        <w:rPr>
          <w:rFonts w:ascii="Cambria"/>
        </w:rPr>
        <w:t>In order to attain effectiveness of the model, there is the need to simplify the model to a more parsimonious model. The parsimonious model would be gotten by estimating the equation of only those variables that appear significant in the over-parametized ECM1. The table below shows the result of the parsimonious model estimated.</w:t>
      </w:r>
    </w:p>
    <w:p>
      <w:pPr>
        <w:pStyle w:val="Heading6"/>
        <w:spacing w:before="1"/>
      </w:pPr>
      <w:r>
        <w:rPr>
          <w:rFonts w:ascii="Cambria"/>
        </w:rPr>
        <w:t>Table</w:t>
      </w:r>
      <w:r>
        <w:rPr>
          <w:rFonts w:ascii="Cambria"/>
          <w:spacing w:val="-5"/>
        </w:rPr>
        <w:t> </w:t>
      </w:r>
      <w:r>
        <w:rPr>
          <w:rFonts w:ascii="Cambria"/>
        </w:rPr>
        <w:t>4.17.2:</w:t>
      </w:r>
      <w:r>
        <w:rPr>
          <w:rFonts w:ascii="Cambria"/>
          <w:spacing w:val="-2"/>
        </w:rPr>
        <w:t> </w:t>
      </w:r>
      <w:r>
        <w:rPr>
          <w:rFonts w:ascii="Cambria"/>
        </w:rPr>
        <w:t>Parsimonious</w:t>
      </w:r>
      <w:r>
        <w:rPr>
          <w:rFonts w:ascii="Cambria"/>
          <w:spacing w:val="-1"/>
        </w:rPr>
        <w:t> </w:t>
      </w:r>
      <w:r>
        <w:rPr>
          <w:rFonts w:ascii="Cambria"/>
        </w:rPr>
        <w:t>ECM2</w:t>
      </w:r>
      <w:r>
        <w:rPr>
          <w:rFonts w:ascii="Cambria"/>
          <w:spacing w:val="-3"/>
        </w:rPr>
        <w:t> </w:t>
      </w:r>
      <w:r>
        <w:rPr>
          <w:rFonts w:ascii="Cambria"/>
        </w:rPr>
        <w:t>for</w:t>
      </w:r>
      <w:r>
        <w:rPr>
          <w:rFonts w:ascii="Cambria"/>
          <w:spacing w:val="-3"/>
        </w:rPr>
        <w:t> </w:t>
      </w:r>
      <w:r>
        <w:rPr>
          <w:rFonts w:ascii="Cambria"/>
        </w:rPr>
        <w:t>Model</w:t>
      </w:r>
      <w:r>
        <w:rPr>
          <w:rFonts w:ascii="Cambria"/>
          <w:spacing w:val="-4"/>
        </w:rPr>
        <w:t> </w:t>
      </w:r>
      <w:r>
        <w:rPr>
          <w:rFonts w:ascii="Cambria"/>
        </w:rPr>
        <w:t>2B</w:t>
      </w:r>
      <w:r>
        <w:rPr>
          <w:rFonts w:ascii="Cambria"/>
          <w:spacing w:val="-3"/>
        </w:rPr>
        <w:t> </w:t>
      </w:r>
      <w:r>
        <w:rPr/>
        <w:t>(Morgan</w:t>
      </w:r>
      <w:r>
        <w:rPr>
          <w:spacing w:val="-2"/>
        </w:rPr>
        <w:t> </w:t>
      </w:r>
      <w:r>
        <w:rPr/>
        <w:t>Trust</w:t>
      </w:r>
      <w:r>
        <w:rPr>
          <w:spacing w:val="-3"/>
        </w:rPr>
        <w:t> </w:t>
      </w:r>
      <w:r>
        <w:rPr/>
        <w:t>(1986)</w:t>
      </w:r>
      <w:r>
        <w:rPr>
          <w:spacing w:val="-2"/>
        </w:rPr>
        <w:t> Approach)</w:t>
      </w:r>
    </w:p>
    <w:p>
      <w:pPr>
        <w:pStyle w:val="BodyText"/>
        <w:spacing w:before="6"/>
        <w:rPr>
          <w:b/>
        </w:rPr>
      </w:pPr>
    </w:p>
    <w:p>
      <w:pPr>
        <w:pStyle w:val="BodyText"/>
        <w:ind w:left="711"/>
        <w:jc w:val="both"/>
        <w:rPr>
          <w:rFonts w:ascii="Cambria"/>
        </w:rPr>
      </w:pPr>
      <w:r>
        <w:rPr>
          <w:rFonts w:ascii="Cambria"/>
        </w:rPr>
        <w:t>Dependent</w:t>
      </w:r>
      <w:r>
        <w:rPr>
          <w:rFonts w:ascii="Cambria"/>
          <w:spacing w:val="-3"/>
        </w:rPr>
        <w:t> </w:t>
      </w:r>
      <w:r>
        <w:rPr>
          <w:rFonts w:ascii="Cambria"/>
        </w:rPr>
        <w:t>Variables</w:t>
      </w:r>
      <w:r>
        <w:rPr>
          <w:rFonts w:ascii="Cambria"/>
          <w:spacing w:val="-2"/>
        </w:rPr>
        <w:t> </w:t>
      </w:r>
      <w:r>
        <w:rPr>
          <w:rFonts w:ascii="Cambria"/>
        </w:rPr>
        <w:t>=</w:t>
      </w:r>
      <w:r>
        <w:rPr>
          <w:rFonts w:ascii="Cambria"/>
          <w:spacing w:val="-4"/>
        </w:rPr>
        <w:t> </w:t>
      </w:r>
      <w:r>
        <w:rPr>
          <w:rFonts w:ascii="Cambria"/>
        </w:rPr>
        <w:t>D</w:t>
      </w:r>
      <w:r>
        <w:rPr>
          <w:rFonts w:ascii="Cambria"/>
          <w:spacing w:val="-2"/>
        </w:rPr>
        <w:t> </w:t>
      </w:r>
      <w:r>
        <w:rPr>
          <w:rFonts w:ascii="Cambria"/>
        </w:rPr>
        <w:t>(GDP, </w:t>
      </w:r>
      <w:r>
        <w:rPr>
          <w:rFonts w:ascii="Cambria"/>
          <w:spacing w:val="-5"/>
        </w:rPr>
        <w:t>2)</w:t>
      </w:r>
    </w:p>
    <w:p>
      <w:pPr>
        <w:pStyle w:val="BodyText"/>
        <w:spacing w:before="46"/>
        <w:rPr>
          <w:rFonts w:ascii="Cambria"/>
          <w:sz w:val="20"/>
        </w:rPr>
      </w:pPr>
    </w:p>
    <w:tbl>
      <w:tblPr>
        <w:tblW w:w="0" w:type="auto"/>
        <w:jc w:val="left"/>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48"/>
        <w:gridCol w:w="1891"/>
        <w:gridCol w:w="2481"/>
        <w:gridCol w:w="1746"/>
        <w:gridCol w:w="1891"/>
      </w:tblGrid>
      <w:tr>
        <w:trPr>
          <w:trHeight w:val="1125" w:hRule="atLeast"/>
        </w:trPr>
        <w:tc>
          <w:tcPr>
            <w:tcW w:w="1548" w:type="dxa"/>
          </w:tcPr>
          <w:p>
            <w:pPr>
              <w:pStyle w:val="TableParagraph"/>
              <w:spacing w:before="1"/>
              <w:rPr>
                <w:rFonts w:ascii="Cambria"/>
                <w:sz w:val="24"/>
              </w:rPr>
            </w:pPr>
          </w:p>
          <w:p>
            <w:pPr>
              <w:pStyle w:val="TableParagraph"/>
              <w:ind w:left="107"/>
              <w:rPr>
                <w:rFonts w:ascii="Cambria"/>
                <w:b/>
                <w:sz w:val="24"/>
              </w:rPr>
            </w:pPr>
            <w:r>
              <w:rPr>
                <w:rFonts w:ascii="Cambria"/>
                <w:b/>
                <w:spacing w:val="-2"/>
                <w:sz w:val="24"/>
              </w:rPr>
              <w:t>VARIABLES</w:t>
            </w:r>
          </w:p>
        </w:tc>
        <w:tc>
          <w:tcPr>
            <w:tcW w:w="1891" w:type="dxa"/>
          </w:tcPr>
          <w:p>
            <w:pPr>
              <w:pStyle w:val="TableParagraph"/>
              <w:spacing w:before="1"/>
              <w:rPr>
                <w:rFonts w:ascii="Cambria"/>
                <w:sz w:val="24"/>
              </w:rPr>
            </w:pPr>
          </w:p>
          <w:p>
            <w:pPr>
              <w:pStyle w:val="TableParagraph"/>
              <w:ind w:left="105"/>
              <w:rPr>
                <w:rFonts w:ascii="Cambria"/>
                <w:b/>
                <w:sz w:val="24"/>
              </w:rPr>
            </w:pPr>
            <w:r>
              <w:rPr>
                <w:rFonts w:ascii="Cambria"/>
                <w:b/>
                <w:spacing w:val="-2"/>
                <w:sz w:val="24"/>
              </w:rPr>
              <w:t>COEFFICIENTS</w:t>
            </w:r>
          </w:p>
        </w:tc>
        <w:tc>
          <w:tcPr>
            <w:tcW w:w="2481" w:type="dxa"/>
          </w:tcPr>
          <w:p>
            <w:pPr>
              <w:pStyle w:val="TableParagraph"/>
              <w:spacing w:before="1"/>
              <w:rPr>
                <w:rFonts w:ascii="Cambria"/>
                <w:sz w:val="24"/>
              </w:rPr>
            </w:pPr>
          </w:p>
          <w:p>
            <w:pPr>
              <w:pStyle w:val="TableParagraph"/>
              <w:ind w:left="106"/>
              <w:rPr>
                <w:rFonts w:ascii="Cambria"/>
                <w:b/>
                <w:sz w:val="24"/>
              </w:rPr>
            </w:pPr>
            <w:r>
              <w:rPr>
                <w:rFonts w:ascii="Cambria"/>
                <w:b/>
                <w:sz w:val="24"/>
              </w:rPr>
              <w:t>STANDARD</w:t>
            </w:r>
            <w:r>
              <w:rPr>
                <w:rFonts w:ascii="Cambria"/>
                <w:b/>
                <w:spacing w:val="-4"/>
                <w:sz w:val="24"/>
              </w:rPr>
              <w:t> </w:t>
            </w:r>
            <w:r>
              <w:rPr>
                <w:rFonts w:ascii="Cambria"/>
                <w:b/>
                <w:spacing w:val="-2"/>
                <w:sz w:val="24"/>
              </w:rPr>
              <w:t>ERROR</w:t>
            </w:r>
          </w:p>
        </w:tc>
        <w:tc>
          <w:tcPr>
            <w:tcW w:w="1746" w:type="dxa"/>
          </w:tcPr>
          <w:p>
            <w:pPr>
              <w:pStyle w:val="TableParagraph"/>
              <w:spacing w:before="1"/>
              <w:rPr>
                <w:rFonts w:ascii="Cambria"/>
                <w:sz w:val="24"/>
              </w:rPr>
            </w:pPr>
          </w:p>
          <w:p>
            <w:pPr>
              <w:pStyle w:val="TableParagraph"/>
              <w:ind w:right="101"/>
              <w:jc w:val="right"/>
              <w:rPr>
                <w:rFonts w:ascii="Cambria"/>
                <w:b/>
                <w:sz w:val="24"/>
              </w:rPr>
            </w:pPr>
            <w:r>
              <w:rPr>
                <w:rFonts w:ascii="Cambria"/>
                <w:b/>
                <w:sz w:val="24"/>
              </w:rPr>
              <w:t>T-</w:t>
            </w:r>
            <w:r>
              <w:rPr>
                <w:rFonts w:ascii="Cambria"/>
                <w:b/>
                <w:spacing w:val="-2"/>
                <w:sz w:val="24"/>
              </w:rPr>
              <w:t>STATISTICS</w:t>
            </w:r>
          </w:p>
        </w:tc>
        <w:tc>
          <w:tcPr>
            <w:tcW w:w="1891" w:type="dxa"/>
          </w:tcPr>
          <w:p>
            <w:pPr>
              <w:pStyle w:val="TableParagraph"/>
              <w:spacing w:line="281" w:lineRule="exact"/>
              <w:ind w:left="108"/>
              <w:rPr>
                <w:rFonts w:ascii="Cambria"/>
                <w:b/>
                <w:sz w:val="24"/>
              </w:rPr>
            </w:pPr>
            <w:r>
              <w:rPr>
                <w:rFonts w:ascii="Cambria"/>
                <w:b/>
                <w:sz w:val="24"/>
              </w:rPr>
              <w:t>PROB</w:t>
            </w:r>
            <w:r>
              <w:rPr>
                <w:rFonts w:ascii="Cambria"/>
                <w:b/>
                <w:spacing w:val="79"/>
                <w:sz w:val="24"/>
              </w:rPr>
              <w:t> </w:t>
            </w:r>
            <w:r>
              <w:rPr>
                <w:rFonts w:ascii="Cambria"/>
                <w:b/>
                <w:spacing w:val="-2"/>
                <w:sz w:val="24"/>
              </w:rPr>
              <w:t>ABILITY</w:t>
            </w:r>
          </w:p>
          <w:p>
            <w:pPr>
              <w:pStyle w:val="TableParagraph"/>
              <w:spacing w:before="1"/>
              <w:rPr>
                <w:rFonts w:ascii="Cambria"/>
                <w:sz w:val="24"/>
              </w:rPr>
            </w:pPr>
          </w:p>
          <w:p>
            <w:pPr>
              <w:pStyle w:val="TableParagraph"/>
              <w:ind w:left="108"/>
              <w:rPr>
                <w:rFonts w:ascii="Cambria"/>
                <w:b/>
                <w:sz w:val="24"/>
              </w:rPr>
            </w:pPr>
            <w:r>
              <w:rPr>
                <w:rFonts w:ascii="Cambria"/>
                <w:b/>
                <w:spacing w:val="-2"/>
                <w:sz w:val="24"/>
              </w:rPr>
              <w:t>VALUE</w:t>
            </w:r>
          </w:p>
        </w:tc>
      </w:tr>
      <w:tr>
        <w:trPr>
          <w:trHeight w:val="460" w:hRule="atLeast"/>
        </w:trPr>
        <w:tc>
          <w:tcPr>
            <w:tcW w:w="1548" w:type="dxa"/>
          </w:tcPr>
          <w:p>
            <w:pPr>
              <w:pStyle w:val="TableParagraph"/>
              <w:ind w:left="71" w:right="64"/>
              <w:jc w:val="center"/>
              <w:rPr>
                <w:rFonts w:ascii="Arial MT"/>
                <w:sz w:val="20"/>
              </w:rPr>
            </w:pPr>
            <w:r>
              <w:rPr>
                <w:rFonts w:ascii="Arial MT"/>
                <w:spacing w:val="-2"/>
                <w:sz w:val="20"/>
              </w:rPr>
              <w:t>D(EXTDEBT,2</w:t>
            </w:r>
          </w:p>
          <w:p>
            <w:pPr>
              <w:pStyle w:val="TableParagraph"/>
              <w:spacing w:line="211" w:lineRule="exact"/>
              <w:ind w:left="71" w:right="64"/>
              <w:jc w:val="center"/>
              <w:rPr>
                <w:rFonts w:ascii="Arial MT"/>
                <w:sz w:val="20"/>
              </w:rPr>
            </w:pPr>
            <w:r>
              <w:rPr>
                <w:rFonts w:ascii="Arial MT"/>
                <w:spacing w:val="-10"/>
                <w:sz w:val="20"/>
              </w:rPr>
              <w:t>)</w:t>
            </w:r>
          </w:p>
        </w:tc>
        <w:tc>
          <w:tcPr>
            <w:tcW w:w="1891" w:type="dxa"/>
          </w:tcPr>
          <w:p>
            <w:pPr>
              <w:pStyle w:val="TableParagraph"/>
              <w:ind w:right="102"/>
              <w:jc w:val="right"/>
              <w:rPr>
                <w:rFonts w:ascii="Arial MT"/>
                <w:sz w:val="20"/>
              </w:rPr>
            </w:pPr>
            <w:r>
              <w:rPr>
                <w:rFonts w:ascii="Arial MT"/>
                <w:spacing w:val="-2"/>
                <w:sz w:val="20"/>
              </w:rPr>
              <w:t>0.020282</w:t>
            </w:r>
          </w:p>
        </w:tc>
        <w:tc>
          <w:tcPr>
            <w:tcW w:w="2481" w:type="dxa"/>
          </w:tcPr>
          <w:p>
            <w:pPr>
              <w:pStyle w:val="TableParagraph"/>
              <w:ind w:right="99"/>
              <w:jc w:val="right"/>
              <w:rPr>
                <w:rFonts w:ascii="Arial MT"/>
                <w:sz w:val="20"/>
              </w:rPr>
            </w:pPr>
            <w:r>
              <w:rPr>
                <w:rFonts w:ascii="Arial MT"/>
                <w:spacing w:val="-2"/>
                <w:sz w:val="20"/>
              </w:rPr>
              <w:t>0.008421</w:t>
            </w:r>
          </w:p>
        </w:tc>
        <w:tc>
          <w:tcPr>
            <w:tcW w:w="1746" w:type="dxa"/>
          </w:tcPr>
          <w:p>
            <w:pPr>
              <w:pStyle w:val="TableParagraph"/>
              <w:ind w:right="97"/>
              <w:jc w:val="right"/>
              <w:rPr>
                <w:rFonts w:ascii="Arial MT"/>
                <w:sz w:val="20"/>
              </w:rPr>
            </w:pPr>
            <w:r>
              <w:rPr>
                <w:rFonts w:ascii="Arial MT"/>
                <w:spacing w:val="-2"/>
                <w:sz w:val="20"/>
              </w:rPr>
              <w:t>2.408447</w:t>
            </w:r>
          </w:p>
        </w:tc>
        <w:tc>
          <w:tcPr>
            <w:tcW w:w="1891" w:type="dxa"/>
          </w:tcPr>
          <w:p>
            <w:pPr>
              <w:pStyle w:val="TableParagraph"/>
              <w:ind w:right="98"/>
              <w:jc w:val="right"/>
              <w:rPr>
                <w:rFonts w:ascii="Arial MT"/>
                <w:sz w:val="20"/>
              </w:rPr>
            </w:pPr>
            <w:r>
              <w:rPr>
                <w:rFonts w:ascii="Arial MT"/>
                <w:spacing w:val="-2"/>
                <w:sz w:val="20"/>
              </w:rPr>
              <w:t>0.0216</w:t>
            </w:r>
          </w:p>
        </w:tc>
      </w:tr>
      <w:tr>
        <w:trPr>
          <w:trHeight w:val="230" w:hRule="atLeast"/>
        </w:trPr>
        <w:tc>
          <w:tcPr>
            <w:tcW w:w="1548" w:type="dxa"/>
          </w:tcPr>
          <w:p>
            <w:pPr>
              <w:pStyle w:val="TableParagraph"/>
              <w:spacing w:line="210" w:lineRule="exact"/>
              <w:ind w:left="391"/>
              <w:rPr>
                <w:rFonts w:ascii="Arial MT"/>
                <w:sz w:val="20"/>
              </w:rPr>
            </w:pPr>
            <w:r>
              <w:rPr>
                <w:rFonts w:ascii="Arial MT"/>
                <w:spacing w:val="-2"/>
                <w:sz w:val="20"/>
              </w:rPr>
              <w:t>D(DFI,2)</w:t>
            </w:r>
          </w:p>
        </w:tc>
        <w:tc>
          <w:tcPr>
            <w:tcW w:w="1891" w:type="dxa"/>
          </w:tcPr>
          <w:p>
            <w:pPr>
              <w:pStyle w:val="TableParagraph"/>
              <w:spacing w:line="210" w:lineRule="exact"/>
              <w:ind w:right="102"/>
              <w:jc w:val="right"/>
              <w:rPr>
                <w:rFonts w:ascii="Arial MT"/>
                <w:sz w:val="20"/>
              </w:rPr>
            </w:pPr>
            <w:r>
              <w:rPr>
                <w:rFonts w:ascii="Arial MT"/>
                <w:spacing w:val="-2"/>
                <w:sz w:val="20"/>
              </w:rPr>
              <w:t>0.056262</w:t>
            </w:r>
          </w:p>
        </w:tc>
        <w:tc>
          <w:tcPr>
            <w:tcW w:w="2481" w:type="dxa"/>
          </w:tcPr>
          <w:p>
            <w:pPr>
              <w:pStyle w:val="TableParagraph"/>
              <w:spacing w:line="210" w:lineRule="exact"/>
              <w:ind w:right="99"/>
              <w:jc w:val="right"/>
              <w:rPr>
                <w:rFonts w:ascii="Arial MT"/>
                <w:sz w:val="20"/>
              </w:rPr>
            </w:pPr>
            <w:r>
              <w:rPr>
                <w:rFonts w:ascii="Arial MT"/>
                <w:spacing w:val="-2"/>
                <w:sz w:val="20"/>
              </w:rPr>
              <w:t>0.047964</w:t>
            </w:r>
          </w:p>
        </w:tc>
        <w:tc>
          <w:tcPr>
            <w:tcW w:w="1746" w:type="dxa"/>
          </w:tcPr>
          <w:p>
            <w:pPr>
              <w:pStyle w:val="TableParagraph"/>
              <w:spacing w:line="210" w:lineRule="exact"/>
              <w:ind w:right="97"/>
              <w:jc w:val="right"/>
              <w:rPr>
                <w:rFonts w:ascii="Arial MT"/>
                <w:sz w:val="20"/>
              </w:rPr>
            </w:pPr>
            <w:r>
              <w:rPr>
                <w:rFonts w:ascii="Arial MT"/>
                <w:spacing w:val="-2"/>
                <w:sz w:val="20"/>
              </w:rPr>
              <w:t>1.173008</w:t>
            </w:r>
          </w:p>
        </w:tc>
        <w:tc>
          <w:tcPr>
            <w:tcW w:w="1891" w:type="dxa"/>
          </w:tcPr>
          <w:p>
            <w:pPr>
              <w:pStyle w:val="TableParagraph"/>
              <w:spacing w:line="210" w:lineRule="exact"/>
              <w:ind w:right="98"/>
              <w:jc w:val="right"/>
              <w:rPr>
                <w:rFonts w:ascii="Arial MT"/>
                <w:sz w:val="20"/>
              </w:rPr>
            </w:pPr>
            <w:r>
              <w:rPr>
                <w:rFonts w:ascii="Arial MT"/>
                <w:spacing w:val="-2"/>
                <w:sz w:val="20"/>
              </w:rPr>
              <w:t>0.2489</w:t>
            </w:r>
          </w:p>
        </w:tc>
      </w:tr>
      <w:tr>
        <w:trPr>
          <w:trHeight w:val="230" w:hRule="atLeast"/>
        </w:trPr>
        <w:tc>
          <w:tcPr>
            <w:tcW w:w="1548" w:type="dxa"/>
          </w:tcPr>
          <w:p>
            <w:pPr>
              <w:pStyle w:val="TableParagraph"/>
              <w:spacing w:line="210" w:lineRule="exact"/>
              <w:ind w:left="189"/>
              <w:rPr>
                <w:rFonts w:ascii="Arial MT"/>
                <w:sz w:val="20"/>
              </w:rPr>
            </w:pPr>
            <w:r>
              <w:rPr>
                <w:rFonts w:ascii="Arial MT"/>
                <w:spacing w:val="-2"/>
                <w:sz w:val="20"/>
              </w:rPr>
              <w:t>D(CAB(-1),2)</w:t>
            </w:r>
          </w:p>
        </w:tc>
        <w:tc>
          <w:tcPr>
            <w:tcW w:w="1891" w:type="dxa"/>
          </w:tcPr>
          <w:p>
            <w:pPr>
              <w:pStyle w:val="TableParagraph"/>
              <w:spacing w:line="210" w:lineRule="exact"/>
              <w:ind w:right="102"/>
              <w:jc w:val="right"/>
              <w:rPr>
                <w:rFonts w:ascii="Arial MT"/>
                <w:sz w:val="20"/>
              </w:rPr>
            </w:pPr>
            <w:r>
              <w:rPr>
                <w:rFonts w:ascii="Arial MT"/>
                <w:spacing w:val="-2"/>
                <w:sz w:val="20"/>
              </w:rPr>
              <w:t>-0.029125</w:t>
            </w:r>
          </w:p>
        </w:tc>
        <w:tc>
          <w:tcPr>
            <w:tcW w:w="2481" w:type="dxa"/>
          </w:tcPr>
          <w:p>
            <w:pPr>
              <w:pStyle w:val="TableParagraph"/>
              <w:spacing w:line="210" w:lineRule="exact"/>
              <w:ind w:right="99"/>
              <w:jc w:val="right"/>
              <w:rPr>
                <w:rFonts w:ascii="Arial MT"/>
                <w:sz w:val="20"/>
              </w:rPr>
            </w:pPr>
            <w:r>
              <w:rPr>
                <w:rFonts w:ascii="Arial MT"/>
                <w:spacing w:val="-2"/>
                <w:sz w:val="20"/>
              </w:rPr>
              <w:t>0.010718</w:t>
            </w:r>
          </w:p>
        </w:tc>
        <w:tc>
          <w:tcPr>
            <w:tcW w:w="1746" w:type="dxa"/>
          </w:tcPr>
          <w:p>
            <w:pPr>
              <w:pStyle w:val="TableParagraph"/>
              <w:spacing w:line="210" w:lineRule="exact"/>
              <w:ind w:right="97"/>
              <w:jc w:val="right"/>
              <w:rPr>
                <w:rFonts w:ascii="Arial MT"/>
                <w:sz w:val="20"/>
              </w:rPr>
            </w:pPr>
            <w:r>
              <w:rPr>
                <w:rFonts w:ascii="Arial MT"/>
                <w:spacing w:val="-2"/>
                <w:sz w:val="20"/>
              </w:rPr>
              <w:t>-2.717354</w:t>
            </w:r>
          </w:p>
        </w:tc>
        <w:tc>
          <w:tcPr>
            <w:tcW w:w="1891" w:type="dxa"/>
          </w:tcPr>
          <w:p>
            <w:pPr>
              <w:pStyle w:val="TableParagraph"/>
              <w:spacing w:line="210" w:lineRule="exact"/>
              <w:ind w:right="98"/>
              <w:jc w:val="right"/>
              <w:rPr>
                <w:rFonts w:ascii="Arial MT"/>
                <w:sz w:val="20"/>
              </w:rPr>
            </w:pPr>
            <w:r>
              <w:rPr>
                <w:rFonts w:ascii="Arial MT"/>
                <w:spacing w:val="-2"/>
                <w:sz w:val="20"/>
              </w:rPr>
              <w:t>0.0103</w:t>
            </w:r>
          </w:p>
        </w:tc>
      </w:tr>
      <w:tr>
        <w:trPr>
          <w:trHeight w:val="230" w:hRule="atLeast"/>
        </w:trPr>
        <w:tc>
          <w:tcPr>
            <w:tcW w:w="1548" w:type="dxa"/>
          </w:tcPr>
          <w:p>
            <w:pPr>
              <w:pStyle w:val="TableParagraph"/>
              <w:spacing w:line="210" w:lineRule="exact"/>
              <w:ind w:left="345"/>
              <w:rPr>
                <w:rFonts w:ascii="Arial MT"/>
                <w:sz w:val="20"/>
              </w:rPr>
            </w:pPr>
            <w:r>
              <w:rPr>
                <w:rFonts w:ascii="Arial MT"/>
                <w:spacing w:val="-2"/>
                <w:sz w:val="20"/>
              </w:rPr>
              <w:t>D(RES,2)</w:t>
            </w:r>
          </w:p>
        </w:tc>
        <w:tc>
          <w:tcPr>
            <w:tcW w:w="1891" w:type="dxa"/>
          </w:tcPr>
          <w:p>
            <w:pPr>
              <w:pStyle w:val="TableParagraph"/>
              <w:spacing w:line="210" w:lineRule="exact"/>
              <w:ind w:right="102"/>
              <w:jc w:val="right"/>
              <w:rPr>
                <w:rFonts w:ascii="Arial MT"/>
                <w:sz w:val="20"/>
              </w:rPr>
            </w:pPr>
            <w:r>
              <w:rPr>
                <w:rFonts w:ascii="Arial MT"/>
                <w:spacing w:val="-2"/>
                <w:sz w:val="20"/>
              </w:rPr>
              <w:t>0.021311</w:t>
            </w:r>
          </w:p>
        </w:tc>
        <w:tc>
          <w:tcPr>
            <w:tcW w:w="2481" w:type="dxa"/>
          </w:tcPr>
          <w:p>
            <w:pPr>
              <w:pStyle w:val="TableParagraph"/>
              <w:spacing w:line="210" w:lineRule="exact"/>
              <w:ind w:right="99"/>
              <w:jc w:val="right"/>
              <w:rPr>
                <w:rFonts w:ascii="Arial MT"/>
                <w:sz w:val="20"/>
              </w:rPr>
            </w:pPr>
            <w:r>
              <w:rPr>
                <w:rFonts w:ascii="Arial MT"/>
                <w:spacing w:val="-2"/>
                <w:sz w:val="20"/>
              </w:rPr>
              <w:t>0.015646</w:t>
            </w:r>
          </w:p>
        </w:tc>
        <w:tc>
          <w:tcPr>
            <w:tcW w:w="1746" w:type="dxa"/>
          </w:tcPr>
          <w:p>
            <w:pPr>
              <w:pStyle w:val="TableParagraph"/>
              <w:spacing w:line="210" w:lineRule="exact"/>
              <w:ind w:right="97"/>
              <w:jc w:val="right"/>
              <w:rPr>
                <w:rFonts w:ascii="Arial MT"/>
                <w:sz w:val="20"/>
              </w:rPr>
            </w:pPr>
            <w:r>
              <w:rPr>
                <w:rFonts w:ascii="Arial MT"/>
                <w:spacing w:val="-2"/>
                <w:sz w:val="20"/>
              </w:rPr>
              <w:t>1.362056</w:t>
            </w:r>
          </w:p>
        </w:tc>
        <w:tc>
          <w:tcPr>
            <w:tcW w:w="1891" w:type="dxa"/>
          </w:tcPr>
          <w:p>
            <w:pPr>
              <w:pStyle w:val="TableParagraph"/>
              <w:spacing w:line="210" w:lineRule="exact"/>
              <w:ind w:right="98"/>
              <w:jc w:val="right"/>
              <w:rPr>
                <w:rFonts w:ascii="Arial MT"/>
                <w:sz w:val="20"/>
              </w:rPr>
            </w:pPr>
            <w:r>
              <w:rPr>
                <w:rFonts w:ascii="Arial MT"/>
                <w:spacing w:val="-2"/>
                <w:sz w:val="20"/>
              </w:rPr>
              <w:t>0.1821</w:t>
            </w:r>
          </w:p>
        </w:tc>
      </w:tr>
      <w:tr>
        <w:trPr>
          <w:trHeight w:val="563" w:hRule="atLeast"/>
        </w:trPr>
        <w:tc>
          <w:tcPr>
            <w:tcW w:w="1548" w:type="dxa"/>
          </w:tcPr>
          <w:p>
            <w:pPr>
              <w:pStyle w:val="TableParagraph"/>
              <w:spacing w:line="281" w:lineRule="exact"/>
              <w:ind w:left="107"/>
              <w:rPr>
                <w:rFonts w:ascii="Cambria"/>
                <w:b/>
                <w:sz w:val="24"/>
              </w:rPr>
            </w:pPr>
            <w:r>
              <w:rPr>
                <w:rFonts w:ascii="Cambria"/>
                <w:b/>
                <w:spacing w:val="-2"/>
                <w:sz w:val="24"/>
              </w:rPr>
              <w:t>ECM(-</w:t>
            </w:r>
            <w:r>
              <w:rPr>
                <w:rFonts w:ascii="Cambria"/>
                <w:b/>
                <w:spacing w:val="-5"/>
                <w:sz w:val="24"/>
              </w:rPr>
              <w:t>1)</w:t>
            </w:r>
          </w:p>
        </w:tc>
        <w:tc>
          <w:tcPr>
            <w:tcW w:w="1891" w:type="dxa"/>
          </w:tcPr>
          <w:p>
            <w:pPr>
              <w:pStyle w:val="TableParagraph"/>
              <w:spacing w:line="229" w:lineRule="exact"/>
              <w:ind w:right="102"/>
              <w:jc w:val="right"/>
              <w:rPr>
                <w:rFonts w:ascii="Arial MT"/>
                <w:sz w:val="20"/>
              </w:rPr>
            </w:pPr>
            <w:r>
              <w:rPr>
                <w:rFonts w:ascii="Arial MT"/>
                <w:spacing w:val="-2"/>
                <w:sz w:val="20"/>
              </w:rPr>
              <w:t>-0.633854</w:t>
            </w:r>
          </w:p>
        </w:tc>
        <w:tc>
          <w:tcPr>
            <w:tcW w:w="2481" w:type="dxa"/>
          </w:tcPr>
          <w:p>
            <w:pPr>
              <w:pStyle w:val="TableParagraph"/>
              <w:spacing w:line="229" w:lineRule="exact"/>
              <w:ind w:right="99"/>
              <w:jc w:val="right"/>
              <w:rPr>
                <w:rFonts w:ascii="Arial MT"/>
                <w:sz w:val="20"/>
              </w:rPr>
            </w:pPr>
            <w:r>
              <w:rPr>
                <w:rFonts w:ascii="Arial MT"/>
                <w:spacing w:val="-2"/>
                <w:sz w:val="20"/>
              </w:rPr>
              <w:t>0.170723</w:t>
            </w:r>
          </w:p>
        </w:tc>
        <w:tc>
          <w:tcPr>
            <w:tcW w:w="1746" w:type="dxa"/>
          </w:tcPr>
          <w:p>
            <w:pPr>
              <w:pStyle w:val="TableParagraph"/>
              <w:spacing w:line="229" w:lineRule="exact"/>
              <w:ind w:right="97"/>
              <w:jc w:val="right"/>
              <w:rPr>
                <w:rFonts w:ascii="Arial MT"/>
                <w:sz w:val="20"/>
              </w:rPr>
            </w:pPr>
            <w:r>
              <w:rPr>
                <w:rFonts w:ascii="Arial MT"/>
                <w:spacing w:val="-2"/>
                <w:sz w:val="20"/>
              </w:rPr>
              <w:t>-3.712769</w:t>
            </w:r>
          </w:p>
        </w:tc>
        <w:tc>
          <w:tcPr>
            <w:tcW w:w="1891" w:type="dxa"/>
          </w:tcPr>
          <w:p>
            <w:pPr>
              <w:pStyle w:val="TableParagraph"/>
              <w:spacing w:line="229" w:lineRule="exact"/>
              <w:ind w:right="98"/>
              <w:jc w:val="right"/>
              <w:rPr>
                <w:rFonts w:ascii="Arial MT"/>
                <w:sz w:val="20"/>
              </w:rPr>
            </w:pPr>
            <w:r>
              <w:rPr>
                <w:rFonts w:ascii="Arial MT"/>
                <w:spacing w:val="-2"/>
                <w:sz w:val="20"/>
              </w:rPr>
              <w:t>0.0011</w:t>
            </w:r>
          </w:p>
        </w:tc>
      </w:tr>
    </w:tbl>
    <w:tbl>
      <w:tblPr>
        <w:tblW w:w="0" w:type="auto"/>
        <w:jc w:val="left"/>
        <w:tblInd w:w="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81"/>
        <w:gridCol w:w="1970"/>
        <w:gridCol w:w="2890"/>
        <w:gridCol w:w="1758"/>
      </w:tblGrid>
      <w:tr>
        <w:trPr>
          <w:trHeight w:val="270" w:hRule="atLeast"/>
        </w:trPr>
        <w:tc>
          <w:tcPr>
            <w:tcW w:w="2881" w:type="dxa"/>
          </w:tcPr>
          <w:p>
            <w:pPr>
              <w:pStyle w:val="TableParagraph"/>
              <w:spacing w:line="251" w:lineRule="exact"/>
              <w:ind w:left="50"/>
              <w:rPr>
                <w:sz w:val="24"/>
              </w:rPr>
            </w:pPr>
            <w:r>
              <w:rPr>
                <w:spacing w:val="-2"/>
                <w:sz w:val="24"/>
              </w:rPr>
              <w:t>R-squared</w:t>
            </w:r>
          </w:p>
        </w:tc>
        <w:tc>
          <w:tcPr>
            <w:tcW w:w="1970" w:type="dxa"/>
          </w:tcPr>
          <w:p>
            <w:pPr>
              <w:pStyle w:val="TableParagraph"/>
              <w:spacing w:line="251" w:lineRule="exact"/>
              <w:ind w:right="146"/>
              <w:jc w:val="right"/>
              <w:rPr>
                <w:sz w:val="24"/>
              </w:rPr>
            </w:pPr>
            <w:r>
              <w:rPr>
                <w:spacing w:val="-2"/>
                <w:sz w:val="24"/>
              </w:rPr>
              <w:t>0.480657</w:t>
            </w:r>
          </w:p>
        </w:tc>
        <w:tc>
          <w:tcPr>
            <w:tcW w:w="2890" w:type="dxa"/>
          </w:tcPr>
          <w:p>
            <w:pPr>
              <w:pStyle w:val="TableParagraph"/>
              <w:spacing w:line="251" w:lineRule="exact"/>
              <w:ind w:left="151"/>
              <w:rPr>
                <w:sz w:val="24"/>
              </w:rPr>
            </w:pPr>
            <w:r>
              <w:rPr>
                <w:sz w:val="24"/>
              </w:rPr>
              <w:t>Mean</w:t>
            </w:r>
            <w:r>
              <w:rPr>
                <w:spacing w:val="-2"/>
                <w:sz w:val="24"/>
              </w:rPr>
              <w:t> </w:t>
            </w:r>
            <w:r>
              <w:rPr>
                <w:sz w:val="24"/>
              </w:rPr>
              <w:t>dependent</w:t>
            </w:r>
            <w:r>
              <w:rPr>
                <w:spacing w:val="-1"/>
                <w:sz w:val="24"/>
              </w:rPr>
              <w:t> </w:t>
            </w:r>
            <w:r>
              <w:rPr>
                <w:spacing w:val="-5"/>
                <w:sz w:val="24"/>
              </w:rPr>
              <w:t>var</w:t>
            </w:r>
          </w:p>
        </w:tc>
        <w:tc>
          <w:tcPr>
            <w:tcW w:w="1758" w:type="dxa"/>
          </w:tcPr>
          <w:p>
            <w:pPr>
              <w:pStyle w:val="TableParagraph"/>
              <w:spacing w:line="251" w:lineRule="exact"/>
              <w:ind w:right="44"/>
              <w:jc w:val="right"/>
              <w:rPr>
                <w:sz w:val="24"/>
              </w:rPr>
            </w:pPr>
            <w:r>
              <w:rPr>
                <w:spacing w:val="-2"/>
                <w:sz w:val="24"/>
              </w:rPr>
              <w:t>0.000564</w:t>
            </w:r>
          </w:p>
        </w:tc>
      </w:tr>
      <w:tr>
        <w:trPr>
          <w:trHeight w:val="275" w:hRule="atLeast"/>
        </w:trPr>
        <w:tc>
          <w:tcPr>
            <w:tcW w:w="2881" w:type="dxa"/>
          </w:tcPr>
          <w:p>
            <w:pPr>
              <w:pStyle w:val="TableParagraph"/>
              <w:spacing w:line="256" w:lineRule="exact"/>
              <w:ind w:left="50"/>
              <w:rPr>
                <w:sz w:val="24"/>
              </w:rPr>
            </w:pPr>
            <w:r>
              <w:rPr>
                <w:sz w:val="24"/>
              </w:rPr>
              <w:t>Adjusted</w:t>
            </w:r>
            <w:r>
              <w:rPr>
                <w:spacing w:val="-1"/>
                <w:sz w:val="24"/>
              </w:rPr>
              <w:t> </w:t>
            </w:r>
            <w:r>
              <w:rPr>
                <w:sz w:val="24"/>
              </w:rPr>
              <w:t>R-</w:t>
            </w:r>
            <w:r>
              <w:rPr>
                <w:spacing w:val="-2"/>
                <w:sz w:val="24"/>
              </w:rPr>
              <w:t>squared</w:t>
            </w:r>
          </w:p>
        </w:tc>
        <w:tc>
          <w:tcPr>
            <w:tcW w:w="1970" w:type="dxa"/>
          </w:tcPr>
          <w:p>
            <w:pPr>
              <w:pStyle w:val="TableParagraph"/>
              <w:spacing w:line="256" w:lineRule="exact"/>
              <w:ind w:right="146"/>
              <w:jc w:val="right"/>
              <w:rPr>
                <w:sz w:val="24"/>
              </w:rPr>
            </w:pPr>
            <w:r>
              <w:rPr>
                <w:spacing w:val="-2"/>
                <w:sz w:val="24"/>
              </w:rPr>
              <w:t>0.419558</w:t>
            </w:r>
          </w:p>
        </w:tc>
        <w:tc>
          <w:tcPr>
            <w:tcW w:w="2890" w:type="dxa"/>
          </w:tcPr>
          <w:p>
            <w:pPr>
              <w:pStyle w:val="TableParagraph"/>
              <w:spacing w:line="256" w:lineRule="exact"/>
              <w:ind w:left="151"/>
              <w:rPr>
                <w:sz w:val="24"/>
              </w:rPr>
            </w:pPr>
            <w:r>
              <w:rPr>
                <w:sz w:val="24"/>
              </w:rPr>
              <w:t>S.D.</w:t>
            </w:r>
            <w:r>
              <w:rPr>
                <w:spacing w:val="-4"/>
                <w:sz w:val="24"/>
              </w:rPr>
              <w:t> </w:t>
            </w:r>
            <w:r>
              <w:rPr>
                <w:sz w:val="24"/>
              </w:rPr>
              <w:t>dependent</w:t>
            </w:r>
            <w:r>
              <w:rPr>
                <w:spacing w:val="-2"/>
                <w:sz w:val="24"/>
              </w:rPr>
              <w:t> </w:t>
            </w:r>
            <w:r>
              <w:rPr>
                <w:spacing w:val="-5"/>
                <w:sz w:val="24"/>
              </w:rPr>
              <w:t>var</w:t>
            </w:r>
          </w:p>
        </w:tc>
        <w:tc>
          <w:tcPr>
            <w:tcW w:w="1758" w:type="dxa"/>
          </w:tcPr>
          <w:p>
            <w:pPr>
              <w:pStyle w:val="TableParagraph"/>
              <w:spacing w:line="256" w:lineRule="exact"/>
              <w:ind w:right="44"/>
              <w:jc w:val="right"/>
              <w:rPr>
                <w:sz w:val="24"/>
              </w:rPr>
            </w:pPr>
            <w:r>
              <w:rPr>
                <w:spacing w:val="-2"/>
                <w:sz w:val="24"/>
              </w:rPr>
              <w:t>0.252172</w:t>
            </w:r>
          </w:p>
        </w:tc>
      </w:tr>
      <w:tr>
        <w:trPr>
          <w:trHeight w:val="276" w:hRule="atLeast"/>
        </w:trPr>
        <w:tc>
          <w:tcPr>
            <w:tcW w:w="2881" w:type="dxa"/>
          </w:tcPr>
          <w:p>
            <w:pPr>
              <w:pStyle w:val="TableParagraph"/>
              <w:spacing w:line="256" w:lineRule="exact"/>
              <w:ind w:left="50"/>
              <w:rPr>
                <w:sz w:val="24"/>
              </w:rPr>
            </w:pPr>
            <w:r>
              <w:rPr>
                <w:sz w:val="24"/>
              </w:rPr>
              <w:t>S.E. of</w:t>
            </w:r>
            <w:r>
              <w:rPr>
                <w:spacing w:val="-1"/>
                <w:sz w:val="24"/>
              </w:rPr>
              <w:t> </w:t>
            </w:r>
            <w:r>
              <w:rPr>
                <w:spacing w:val="-2"/>
                <w:sz w:val="24"/>
              </w:rPr>
              <w:t>regression</w:t>
            </w:r>
          </w:p>
        </w:tc>
        <w:tc>
          <w:tcPr>
            <w:tcW w:w="1970" w:type="dxa"/>
          </w:tcPr>
          <w:p>
            <w:pPr>
              <w:pStyle w:val="TableParagraph"/>
              <w:spacing w:line="256" w:lineRule="exact"/>
              <w:ind w:right="146"/>
              <w:jc w:val="right"/>
              <w:rPr>
                <w:sz w:val="24"/>
              </w:rPr>
            </w:pPr>
            <w:r>
              <w:rPr>
                <w:spacing w:val="-2"/>
                <w:sz w:val="24"/>
              </w:rPr>
              <w:t>0.192122</w:t>
            </w:r>
          </w:p>
        </w:tc>
        <w:tc>
          <w:tcPr>
            <w:tcW w:w="2890" w:type="dxa"/>
          </w:tcPr>
          <w:p>
            <w:pPr>
              <w:pStyle w:val="TableParagraph"/>
              <w:spacing w:line="256" w:lineRule="exact"/>
              <w:ind w:left="151"/>
              <w:rPr>
                <w:sz w:val="24"/>
              </w:rPr>
            </w:pPr>
            <w:r>
              <w:rPr>
                <w:sz w:val="24"/>
              </w:rPr>
              <w:t>Akaike</w:t>
            </w:r>
            <w:r>
              <w:rPr>
                <w:spacing w:val="-4"/>
                <w:sz w:val="24"/>
              </w:rPr>
              <w:t> </w:t>
            </w:r>
            <w:r>
              <w:rPr>
                <w:sz w:val="24"/>
              </w:rPr>
              <w:t>info</w:t>
            </w:r>
            <w:r>
              <w:rPr>
                <w:spacing w:val="-1"/>
                <w:sz w:val="24"/>
              </w:rPr>
              <w:t> </w:t>
            </w:r>
            <w:r>
              <w:rPr>
                <w:spacing w:val="-2"/>
                <w:sz w:val="24"/>
              </w:rPr>
              <w:t>criterion</w:t>
            </w:r>
          </w:p>
        </w:tc>
        <w:tc>
          <w:tcPr>
            <w:tcW w:w="1758" w:type="dxa"/>
          </w:tcPr>
          <w:p>
            <w:pPr>
              <w:pStyle w:val="TableParagraph"/>
              <w:spacing w:line="256" w:lineRule="exact"/>
              <w:ind w:right="44"/>
              <w:jc w:val="right"/>
              <w:rPr>
                <w:sz w:val="24"/>
              </w:rPr>
            </w:pPr>
            <w:r>
              <w:rPr>
                <w:spacing w:val="-2"/>
                <w:sz w:val="24"/>
              </w:rPr>
              <w:t>-0.342164</w:t>
            </w:r>
          </w:p>
        </w:tc>
      </w:tr>
      <w:tr>
        <w:trPr>
          <w:trHeight w:val="275" w:hRule="atLeast"/>
        </w:trPr>
        <w:tc>
          <w:tcPr>
            <w:tcW w:w="2881" w:type="dxa"/>
          </w:tcPr>
          <w:p>
            <w:pPr>
              <w:pStyle w:val="TableParagraph"/>
              <w:spacing w:line="256" w:lineRule="exact"/>
              <w:ind w:left="50"/>
              <w:rPr>
                <w:sz w:val="24"/>
              </w:rPr>
            </w:pPr>
            <w:r>
              <w:rPr>
                <w:sz w:val="24"/>
              </w:rPr>
              <w:t>Sum</w:t>
            </w:r>
            <w:r>
              <w:rPr>
                <w:spacing w:val="-1"/>
                <w:sz w:val="24"/>
              </w:rPr>
              <w:t> </w:t>
            </w:r>
            <w:r>
              <w:rPr>
                <w:sz w:val="24"/>
              </w:rPr>
              <w:t>squared</w:t>
            </w:r>
            <w:r>
              <w:rPr>
                <w:spacing w:val="-1"/>
                <w:sz w:val="24"/>
              </w:rPr>
              <w:t> </w:t>
            </w:r>
            <w:r>
              <w:rPr>
                <w:spacing w:val="-4"/>
                <w:sz w:val="24"/>
              </w:rPr>
              <w:t>resid</w:t>
            </w:r>
          </w:p>
        </w:tc>
        <w:tc>
          <w:tcPr>
            <w:tcW w:w="1970" w:type="dxa"/>
          </w:tcPr>
          <w:p>
            <w:pPr>
              <w:pStyle w:val="TableParagraph"/>
              <w:spacing w:line="256" w:lineRule="exact"/>
              <w:ind w:right="146"/>
              <w:jc w:val="right"/>
              <w:rPr>
                <w:sz w:val="24"/>
              </w:rPr>
            </w:pPr>
            <w:r>
              <w:rPr>
                <w:spacing w:val="-2"/>
                <w:sz w:val="24"/>
              </w:rPr>
              <w:t>1.254969</w:t>
            </w:r>
          </w:p>
        </w:tc>
        <w:tc>
          <w:tcPr>
            <w:tcW w:w="2890" w:type="dxa"/>
          </w:tcPr>
          <w:p>
            <w:pPr>
              <w:pStyle w:val="TableParagraph"/>
              <w:spacing w:line="256" w:lineRule="exact"/>
              <w:ind w:left="151"/>
              <w:rPr>
                <w:sz w:val="24"/>
              </w:rPr>
            </w:pPr>
            <w:r>
              <w:rPr>
                <w:sz w:val="24"/>
              </w:rPr>
              <w:t>Schwarz</w:t>
            </w:r>
            <w:r>
              <w:rPr>
                <w:spacing w:val="-5"/>
                <w:sz w:val="24"/>
              </w:rPr>
              <w:t> </w:t>
            </w:r>
            <w:r>
              <w:rPr>
                <w:spacing w:val="-2"/>
                <w:sz w:val="24"/>
              </w:rPr>
              <w:t>criterion</w:t>
            </w:r>
          </w:p>
        </w:tc>
        <w:tc>
          <w:tcPr>
            <w:tcW w:w="1758" w:type="dxa"/>
          </w:tcPr>
          <w:p>
            <w:pPr>
              <w:pStyle w:val="TableParagraph"/>
              <w:spacing w:line="256" w:lineRule="exact"/>
              <w:ind w:right="44"/>
              <w:jc w:val="right"/>
              <w:rPr>
                <w:sz w:val="24"/>
              </w:rPr>
            </w:pPr>
            <w:r>
              <w:rPr>
                <w:spacing w:val="-2"/>
                <w:sz w:val="24"/>
              </w:rPr>
              <w:t>-0.128887</w:t>
            </w:r>
          </w:p>
        </w:tc>
      </w:tr>
      <w:tr>
        <w:trPr>
          <w:trHeight w:val="270" w:hRule="atLeast"/>
        </w:trPr>
        <w:tc>
          <w:tcPr>
            <w:tcW w:w="2881" w:type="dxa"/>
          </w:tcPr>
          <w:p>
            <w:pPr>
              <w:pStyle w:val="TableParagraph"/>
              <w:spacing w:line="251" w:lineRule="exact"/>
              <w:ind w:left="50"/>
              <w:rPr>
                <w:sz w:val="24"/>
              </w:rPr>
            </w:pPr>
            <w:r>
              <w:rPr>
                <w:sz w:val="24"/>
              </w:rPr>
              <w:t>Log</w:t>
            </w:r>
            <w:r>
              <w:rPr>
                <w:spacing w:val="-4"/>
                <w:sz w:val="24"/>
              </w:rPr>
              <w:t> </w:t>
            </w:r>
            <w:r>
              <w:rPr>
                <w:spacing w:val="-2"/>
                <w:sz w:val="24"/>
              </w:rPr>
              <w:t>likelihood</w:t>
            </w:r>
          </w:p>
        </w:tc>
        <w:tc>
          <w:tcPr>
            <w:tcW w:w="1970" w:type="dxa"/>
          </w:tcPr>
          <w:p>
            <w:pPr>
              <w:pStyle w:val="TableParagraph"/>
              <w:spacing w:line="251" w:lineRule="exact"/>
              <w:ind w:right="146"/>
              <w:jc w:val="right"/>
              <w:rPr>
                <w:sz w:val="24"/>
              </w:rPr>
            </w:pPr>
            <w:r>
              <w:rPr>
                <w:spacing w:val="-2"/>
                <w:sz w:val="24"/>
              </w:rPr>
              <w:t>11.67219</w:t>
            </w:r>
          </w:p>
        </w:tc>
        <w:tc>
          <w:tcPr>
            <w:tcW w:w="2890" w:type="dxa"/>
          </w:tcPr>
          <w:p>
            <w:pPr>
              <w:pStyle w:val="TableParagraph"/>
              <w:spacing w:line="251" w:lineRule="exact"/>
              <w:ind w:left="151"/>
              <w:rPr>
                <w:sz w:val="24"/>
              </w:rPr>
            </w:pPr>
            <w:r>
              <w:rPr>
                <w:sz w:val="24"/>
              </w:rPr>
              <w:t>Durbin-Watson</w:t>
            </w:r>
            <w:r>
              <w:rPr>
                <w:spacing w:val="-3"/>
                <w:sz w:val="24"/>
              </w:rPr>
              <w:t> </w:t>
            </w:r>
            <w:r>
              <w:rPr>
                <w:spacing w:val="-4"/>
                <w:sz w:val="24"/>
              </w:rPr>
              <w:t>stat</w:t>
            </w:r>
          </w:p>
        </w:tc>
        <w:tc>
          <w:tcPr>
            <w:tcW w:w="1758" w:type="dxa"/>
          </w:tcPr>
          <w:p>
            <w:pPr>
              <w:pStyle w:val="TableParagraph"/>
              <w:spacing w:line="251" w:lineRule="exact"/>
              <w:ind w:right="44"/>
              <w:jc w:val="right"/>
              <w:rPr>
                <w:sz w:val="24"/>
              </w:rPr>
            </w:pPr>
            <w:r>
              <w:rPr>
                <w:spacing w:val="-2"/>
                <w:sz w:val="24"/>
              </w:rPr>
              <w:t>2.402566</w:t>
            </w:r>
          </w:p>
        </w:tc>
      </w:tr>
    </w:tbl>
    <w:p>
      <w:pPr>
        <w:pStyle w:val="BodyText"/>
        <w:spacing w:before="14"/>
        <w:ind w:left="711"/>
        <w:jc w:val="both"/>
        <w:rPr>
          <w:b/>
        </w:rPr>
      </w:pPr>
      <w:r>
        <w:rPr/>
        <w:t>Source:</w:t>
      </w:r>
      <w:r>
        <w:rPr>
          <w:spacing w:val="-4"/>
        </w:rPr>
        <w:t> </w:t>
      </w:r>
      <w:r>
        <w:rPr/>
        <w:t>Computation,</w:t>
      </w:r>
      <w:r>
        <w:rPr>
          <w:spacing w:val="-1"/>
        </w:rPr>
        <w:t> </w:t>
      </w:r>
      <w:r>
        <w:rPr/>
        <w:t>using</w:t>
      </w:r>
      <w:r>
        <w:rPr>
          <w:spacing w:val="-5"/>
        </w:rPr>
        <w:t> </w:t>
      </w:r>
      <w:r>
        <w:rPr/>
        <w:t>E-view</w:t>
      </w:r>
      <w:r>
        <w:rPr>
          <w:spacing w:val="-1"/>
        </w:rPr>
        <w:t> </w:t>
      </w:r>
      <w:r>
        <w:rPr/>
        <w:t>statistical</w:t>
      </w:r>
      <w:r>
        <w:rPr>
          <w:spacing w:val="-1"/>
        </w:rPr>
        <w:t> </w:t>
      </w:r>
      <w:r>
        <w:rPr>
          <w:spacing w:val="-2"/>
        </w:rPr>
        <w:t>package</w:t>
      </w:r>
      <w:r>
        <w:rPr>
          <w:b/>
          <w:spacing w:val="-2"/>
        </w:rPr>
        <w:t>.</w:t>
      </w:r>
    </w:p>
    <w:p>
      <w:pPr>
        <w:pStyle w:val="BodyText"/>
        <w:rPr>
          <w:b/>
        </w:rPr>
      </w:pPr>
    </w:p>
    <w:p>
      <w:pPr>
        <w:pStyle w:val="BodyText"/>
        <w:spacing w:before="137"/>
        <w:rPr>
          <w:b/>
        </w:rPr>
      </w:pPr>
    </w:p>
    <w:p>
      <w:pPr>
        <w:pStyle w:val="BodyText"/>
        <w:spacing w:line="360" w:lineRule="auto" w:before="1"/>
        <w:ind w:left="711" w:right="473"/>
        <w:jc w:val="both"/>
      </w:pPr>
      <w:r>
        <w:rPr/>
        <w:t>From the result above, the coefficient of the ECM is further proven significant with it conformity to the over-parametized ECM. The value of the ECM shows a negative of -0.633854. This coefficient in it</w:t>
      </w:r>
      <w:r>
        <w:rPr>
          <w:spacing w:val="40"/>
        </w:rPr>
        <w:t> </w:t>
      </w:r>
      <w:r>
        <w:rPr/>
        <w:t>negative form implies that the speed of adjustment of any past deviation to long-run equilibrium in present period. It therefore indicates that the value of the GDP adjust more sharply to changes in the explanatory variables that it was in the over-parametized model.</w:t>
      </w:r>
    </w:p>
    <w:p>
      <w:pPr>
        <w:spacing w:after="0" w:line="360" w:lineRule="auto"/>
        <w:jc w:val="both"/>
        <w:sectPr>
          <w:pgSz w:w="11910" w:h="16840"/>
          <w:pgMar w:header="0" w:footer="979" w:top="1340" w:bottom="1240" w:left="280" w:right="0"/>
        </w:sectPr>
      </w:pPr>
    </w:p>
    <w:p>
      <w:pPr>
        <w:pStyle w:val="BodyText"/>
        <w:spacing w:line="360" w:lineRule="auto" w:before="60"/>
        <w:ind w:left="711" w:right="474"/>
        <w:jc w:val="both"/>
      </w:pPr>
      <w:r>
        <w:rPr/>
        <w:t>Therefore, it can be deduced from the parsimonious model above that changes in the dependent variable (GDP) are determined by all the variables except DFI in the short-run while other variables and also, determines this changes in the long-run.</w:t>
      </w:r>
    </w:p>
    <w:p>
      <w:pPr>
        <w:pStyle w:val="BodyText"/>
        <w:spacing w:line="480" w:lineRule="auto"/>
        <w:ind w:left="711" w:right="470"/>
        <w:jc w:val="both"/>
      </w:pPr>
      <w:r>
        <w:rPr/>
        <w:t>Furthermore, the table also reveals that the third variable (CAB) is inversely related with GDP with a negative coefficient of 0.029125, while the remaining four variables (EXTDEBT, DFI, RES and NEXTAS) maintained a direct relationship with GDP with their respective coefficients given as; 0.020282, 0.056262, 0.021311 and 0.019168. These therefore implies that an increase in the third variable (CAB) in the long-run will result into a decrease in the value of gross domestic product (GDP) while an increase in the value of</w:t>
      </w:r>
      <w:r>
        <w:rPr>
          <w:spacing w:val="40"/>
        </w:rPr>
        <w:t> </w:t>
      </w:r>
      <w:r>
        <w:rPr/>
        <w:t>any</w:t>
      </w:r>
      <w:r>
        <w:rPr>
          <w:spacing w:val="-3"/>
        </w:rPr>
        <w:t> </w:t>
      </w:r>
      <w:r>
        <w:rPr/>
        <w:t>of the remaining four variables (EXTDEBT, DFI, RES and NEXTAS) will result into an increase in the value of Gross Domestic Product on the long-run.</w:t>
      </w:r>
    </w:p>
    <w:p>
      <w:pPr>
        <w:pStyle w:val="BodyText"/>
      </w:pPr>
    </w:p>
    <w:p>
      <w:pPr>
        <w:pStyle w:val="BodyText"/>
        <w:spacing w:before="1"/>
      </w:pPr>
    </w:p>
    <w:p>
      <w:pPr>
        <w:pStyle w:val="BodyText"/>
        <w:spacing w:line="480" w:lineRule="auto"/>
        <w:ind w:left="711" w:right="474"/>
        <w:jc w:val="both"/>
      </w:pPr>
      <w:r>
        <w:rPr/>
        <w:t>The coefficient of multiple determinants (R</w:t>
      </w:r>
      <w:r>
        <w:rPr>
          <w:vertAlign w:val="superscript"/>
        </w:rPr>
        <w:t>2</w:t>
      </w:r>
      <w:r>
        <w:rPr>
          <w:vertAlign w:val="baseline"/>
        </w:rPr>
        <w:t>) showed an approximate value of 0.48 which implies that the variables that makes up the model can account for approximately 48% of the behaviour of gross domestic product (GDP). The remaining 52% can be linked to white noise which is usually captured by other variables not present in the model.</w:t>
      </w:r>
    </w:p>
    <w:p>
      <w:pPr>
        <w:pStyle w:val="Heading6"/>
        <w:numPr>
          <w:ilvl w:val="2"/>
          <w:numId w:val="28"/>
        </w:numPr>
        <w:tabs>
          <w:tab w:pos="1563" w:val="left" w:leader="none"/>
        </w:tabs>
        <w:spacing w:line="240" w:lineRule="auto" w:before="0" w:after="0"/>
        <w:ind w:left="1563" w:right="0" w:hanging="852"/>
        <w:jc w:val="both"/>
      </w:pPr>
      <w:r>
        <w:rPr/>
        <w:t>Tests</w:t>
      </w:r>
      <w:r>
        <w:rPr>
          <w:spacing w:val="-1"/>
        </w:rPr>
        <w:t> </w:t>
      </w:r>
      <w:r>
        <w:rPr/>
        <w:t>for</w:t>
      </w:r>
      <w:r>
        <w:rPr>
          <w:spacing w:val="-1"/>
        </w:rPr>
        <w:t> </w:t>
      </w:r>
      <w:r>
        <w:rPr/>
        <w:t>the Statistical Significance</w:t>
      </w:r>
      <w:r>
        <w:rPr>
          <w:spacing w:val="-2"/>
        </w:rPr>
        <w:t> </w:t>
      </w:r>
      <w:r>
        <w:rPr/>
        <w:t>of</w:t>
      </w:r>
      <w:r>
        <w:rPr>
          <w:spacing w:val="1"/>
        </w:rPr>
        <w:t> </w:t>
      </w:r>
      <w:r>
        <w:rPr>
          <w:spacing w:val="-2"/>
        </w:rPr>
        <w:t>Parameters</w:t>
      </w:r>
    </w:p>
    <w:p>
      <w:pPr>
        <w:pStyle w:val="BodyText"/>
        <w:rPr>
          <w:b/>
        </w:rPr>
      </w:pPr>
    </w:p>
    <w:p>
      <w:pPr>
        <w:pStyle w:val="BodyText"/>
        <w:spacing w:line="480" w:lineRule="auto"/>
        <w:ind w:left="711" w:right="476"/>
        <w:jc w:val="both"/>
      </w:pPr>
      <w:r>
        <w:rPr/>
        <w:t>. The table below shows the results of the standard error test conducted with the level of significance of the explanatory variables in absolute terms.</w:t>
      </w:r>
    </w:p>
    <w:p>
      <w:pPr>
        <w:pStyle w:val="BodyText"/>
      </w:pPr>
    </w:p>
    <w:p>
      <w:pPr>
        <w:pStyle w:val="BodyText"/>
        <w:spacing w:before="13"/>
      </w:pPr>
    </w:p>
    <w:p>
      <w:pPr>
        <w:pStyle w:val="Heading6"/>
      </w:pPr>
      <w:r>
        <w:rPr>
          <w:rFonts w:ascii="Cambria"/>
        </w:rPr>
        <w:t>Table</w:t>
      </w:r>
      <w:r>
        <w:rPr>
          <w:rFonts w:ascii="Cambria"/>
          <w:spacing w:val="-5"/>
        </w:rPr>
        <w:t> </w:t>
      </w:r>
      <w:r>
        <w:rPr>
          <w:rFonts w:ascii="Cambria"/>
        </w:rPr>
        <w:t>4.17.3</w:t>
      </w:r>
      <w:r>
        <w:rPr>
          <w:rFonts w:ascii="Cambria"/>
          <w:spacing w:val="26"/>
        </w:rPr>
        <w:t> </w:t>
      </w:r>
      <w:r>
        <w:rPr>
          <w:rFonts w:ascii="Cambria"/>
        </w:rPr>
        <w:t>Standard</w:t>
      </w:r>
      <w:r>
        <w:rPr>
          <w:rFonts w:ascii="Cambria"/>
          <w:spacing w:val="-3"/>
        </w:rPr>
        <w:t> </w:t>
      </w:r>
      <w:r>
        <w:rPr>
          <w:rFonts w:ascii="Cambria"/>
        </w:rPr>
        <w:t>Error</w:t>
      </w:r>
      <w:r>
        <w:rPr>
          <w:rFonts w:ascii="Cambria"/>
          <w:spacing w:val="-3"/>
        </w:rPr>
        <w:t> </w:t>
      </w:r>
      <w:r>
        <w:rPr>
          <w:rFonts w:ascii="Cambria"/>
        </w:rPr>
        <w:t>Test</w:t>
      </w:r>
      <w:r>
        <w:rPr>
          <w:rFonts w:ascii="Cambria"/>
          <w:spacing w:val="-2"/>
        </w:rPr>
        <w:t> </w:t>
      </w:r>
      <w:r>
        <w:rPr>
          <w:rFonts w:ascii="Cambria"/>
        </w:rPr>
        <w:t>Model</w:t>
      </w:r>
      <w:r>
        <w:rPr>
          <w:rFonts w:ascii="Cambria"/>
          <w:spacing w:val="-2"/>
        </w:rPr>
        <w:t> </w:t>
      </w:r>
      <w:r>
        <w:rPr>
          <w:rFonts w:ascii="Cambria"/>
        </w:rPr>
        <w:t>2B</w:t>
      </w:r>
      <w:r>
        <w:rPr>
          <w:rFonts w:ascii="Cambria"/>
          <w:spacing w:val="-3"/>
        </w:rPr>
        <w:t> </w:t>
      </w:r>
      <w:r>
        <w:rPr/>
        <w:t>(Morgan</w:t>
      </w:r>
      <w:r>
        <w:rPr>
          <w:spacing w:val="-3"/>
        </w:rPr>
        <w:t> </w:t>
      </w:r>
      <w:r>
        <w:rPr/>
        <w:t>Trust</w:t>
      </w:r>
      <w:r>
        <w:rPr>
          <w:spacing w:val="-2"/>
        </w:rPr>
        <w:t> </w:t>
      </w:r>
      <w:r>
        <w:rPr/>
        <w:t>(1986)</w:t>
      </w:r>
      <w:r>
        <w:rPr>
          <w:spacing w:val="-3"/>
        </w:rPr>
        <w:t> </w:t>
      </w:r>
      <w:r>
        <w:rPr>
          <w:spacing w:val="-2"/>
        </w:rPr>
        <w:t>Approach)</w:t>
      </w:r>
    </w:p>
    <w:p>
      <w:pPr>
        <w:pStyle w:val="BodyText"/>
        <w:spacing w:before="50" w:after="1"/>
        <w:rPr>
          <w:b/>
          <w:sz w:val="20"/>
        </w:rPr>
      </w:pPr>
    </w:p>
    <w:tbl>
      <w:tblPr>
        <w:tblW w:w="0" w:type="auto"/>
        <w:jc w:val="left"/>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24"/>
        <w:gridCol w:w="1839"/>
        <w:gridCol w:w="1949"/>
        <w:gridCol w:w="2302"/>
        <w:gridCol w:w="1409"/>
      </w:tblGrid>
      <w:tr>
        <w:trPr>
          <w:trHeight w:val="564" w:hRule="atLeast"/>
        </w:trPr>
        <w:tc>
          <w:tcPr>
            <w:tcW w:w="1824" w:type="dxa"/>
          </w:tcPr>
          <w:p>
            <w:pPr>
              <w:pStyle w:val="TableParagraph"/>
              <w:spacing w:line="281" w:lineRule="exact"/>
              <w:ind w:left="10" w:right="3"/>
              <w:jc w:val="center"/>
              <w:rPr>
                <w:rFonts w:ascii="Cambria"/>
                <w:b/>
                <w:sz w:val="24"/>
              </w:rPr>
            </w:pPr>
            <w:r>
              <w:rPr>
                <w:rFonts w:ascii="Cambria"/>
                <w:b/>
                <w:spacing w:val="-2"/>
                <w:sz w:val="24"/>
              </w:rPr>
              <w:t>VARIABLES</w:t>
            </w:r>
          </w:p>
        </w:tc>
        <w:tc>
          <w:tcPr>
            <w:tcW w:w="1839" w:type="dxa"/>
          </w:tcPr>
          <w:p>
            <w:pPr>
              <w:pStyle w:val="TableParagraph"/>
              <w:spacing w:line="281" w:lineRule="exact"/>
              <w:ind w:left="182"/>
              <w:rPr>
                <w:rFonts w:ascii="Cambria"/>
                <w:b/>
                <w:sz w:val="24"/>
              </w:rPr>
            </w:pPr>
            <w:r>
              <w:rPr>
                <w:rFonts w:ascii="Cambria"/>
                <w:b/>
                <w:spacing w:val="-2"/>
                <w:sz w:val="24"/>
              </w:rPr>
              <w:t>COEFFICIENT</w:t>
            </w:r>
          </w:p>
        </w:tc>
        <w:tc>
          <w:tcPr>
            <w:tcW w:w="1949" w:type="dxa"/>
          </w:tcPr>
          <w:p>
            <w:pPr>
              <w:pStyle w:val="TableParagraph"/>
              <w:spacing w:line="281" w:lineRule="exact"/>
              <w:ind w:left="6" w:right="2"/>
              <w:jc w:val="center"/>
              <w:rPr>
                <w:rFonts w:ascii="Cambria"/>
                <w:b/>
                <w:sz w:val="24"/>
              </w:rPr>
            </w:pPr>
            <w:r>
              <w:rPr>
                <w:rFonts w:ascii="Cambria"/>
                <w:b/>
                <w:spacing w:val="-2"/>
                <w:sz w:val="24"/>
              </w:rPr>
              <w:t>COEFFICIENT/2</w:t>
            </w:r>
          </w:p>
        </w:tc>
        <w:tc>
          <w:tcPr>
            <w:tcW w:w="2302" w:type="dxa"/>
          </w:tcPr>
          <w:p>
            <w:pPr>
              <w:pStyle w:val="TableParagraph"/>
              <w:spacing w:line="281" w:lineRule="exact"/>
              <w:ind w:right="98"/>
              <w:jc w:val="right"/>
              <w:rPr>
                <w:rFonts w:ascii="Cambria"/>
                <w:b/>
                <w:sz w:val="24"/>
              </w:rPr>
            </w:pPr>
            <w:r>
              <w:rPr>
                <w:rFonts w:ascii="Cambria"/>
                <w:b/>
                <w:sz w:val="24"/>
              </w:rPr>
              <w:t>STANDARD</w:t>
            </w:r>
            <w:r>
              <w:rPr>
                <w:rFonts w:ascii="Cambria"/>
                <w:b/>
                <w:spacing w:val="-4"/>
                <w:sz w:val="24"/>
              </w:rPr>
              <w:t> </w:t>
            </w:r>
            <w:r>
              <w:rPr>
                <w:rFonts w:ascii="Cambria"/>
                <w:b/>
                <w:spacing w:val="-2"/>
                <w:sz w:val="24"/>
              </w:rPr>
              <w:t>ERROR</w:t>
            </w:r>
          </w:p>
        </w:tc>
        <w:tc>
          <w:tcPr>
            <w:tcW w:w="1409" w:type="dxa"/>
          </w:tcPr>
          <w:p>
            <w:pPr>
              <w:pStyle w:val="TableParagraph"/>
              <w:spacing w:line="281" w:lineRule="exact"/>
              <w:ind w:left="13" w:right="6"/>
              <w:jc w:val="center"/>
              <w:rPr>
                <w:rFonts w:ascii="Cambria"/>
                <w:b/>
                <w:sz w:val="24"/>
              </w:rPr>
            </w:pPr>
            <w:r>
              <w:rPr>
                <w:rFonts w:ascii="Cambria"/>
                <w:b/>
                <w:spacing w:val="-2"/>
                <w:sz w:val="24"/>
              </w:rPr>
              <w:t>DECISION</w:t>
            </w:r>
          </w:p>
        </w:tc>
      </w:tr>
      <w:tr>
        <w:trPr>
          <w:trHeight w:val="561" w:hRule="atLeast"/>
        </w:trPr>
        <w:tc>
          <w:tcPr>
            <w:tcW w:w="1824" w:type="dxa"/>
          </w:tcPr>
          <w:p>
            <w:pPr>
              <w:pStyle w:val="TableParagraph"/>
              <w:spacing w:line="229" w:lineRule="exact"/>
              <w:ind w:left="10" w:right="6"/>
              <w:jc w:val="center"/>
              <w:rPr>
                <w:rFonts w:ascii="Arial MT" w:hAnsi="Arial MT"/>
                <w:sz w:val="20"/>
              </w:rPr>
            </w:pPr>
            <w:r>
              <w:rPr>
                <w:rFonts w:ascii="Arial MT" w:hAnsi="Arial MT"/>
                <w:spacing w:val="-2"/>
                <w:sz w:val="20"/>
              </w:rPr>
              <w:t>δEXTDEBT</w:t>
            </w:r>
          </w:p>
        </w:tc>
        <w:tc>
          <w:tcPr>
            <w:tcW w:w="1839" w:type="dxa"/>
          </w:tcPr>
          <w:p>
            <w:pPr>
              <w:pStyle w:val="TableParagraph"/>
              <w:spacing w:line="229" w:lineRule="exact"/>
              <w:ind w:right="101"/>
              <w:jc w:val="right"/>
              <w:rPr>
                <w:rFonts w:ascii="Arial MT"/>
                <w:sz w:val="20"/>
              </w:rPr>
            </w:pPr>
            <w:r>
              <w:rPr>
                <w:rFonts w:ascii="Arial MT"/>
                <w:spacing w:val="-2"/>
                <w:sz w:val="20"/>
              </w:rPr>
              <w:t>2.408447</w:t>
            </w:r>
          </w:p>
        </w:tc>
        <w:tc>
          <w:tcPr>
            <w:tcW w:w="1949" w:type="dxa"/>
          </w:tcPr>
          <w:p>
            <w:pPr>
              <w:pStyle w:val="TableParagraph"/>
              <w:spacing w:line="281" w:lineRule="exact"/>
              <w:ind w:left="6" w:right="3"/>
              <w:jc w:val="center"/>
              <w:rPr>
                <w:rFonts w:ascii="Cambria"/>
                <w:sz w:val="24"/>
              </w:rPr>
            </w:pPr>
            <w:r>
              <w:rPr>
                <w:rFonts w:ascii="Cambria"/>
                <w:spacing w:val="-2"/>
                <w:sz w:val="24"/>
              </w:rPr>
              <w:t>1.204224</w:t>
            </w:r>
          </w:p>
        </w:tc>
        <w:tc>
          <w:tcPr>
            <w:tcW w:w="2302" w:type="dxa"/>
          </w:tcPr>
          <w:p>
            <w:pPr>
              <w:pStyle w:val="TableParagraph"/>
              <w:spacing w:line="229" w:lineRule="exact"/>
              <w:ind w:right="98"/>
              <w:jc w:val="right"/>
              <w:rPr>
                <w:rFonts w:ascii="Arial MT"/>
                <w:sz w:val="20"/>
              </w:rPr>
            </w:pPr>
            <w:r>
              <w:rPr>
                <w:rFonts w:ascii="Arial MT"/>
                <w:spacing w:val="-2"/>
                <w:sz w:val="20"/>
              </w:rPr>
              <w:t>0.008421</w:t>
            </w:r>
          </w:p>
        </w:tc>
        <w:tc>
          <w:tcPr>
            <w:tcW w:w="1409" w:type="dxa"/>
          </w:tcPr>
          <w:p>
            <w:pPr>
              <w:pStyle w:val="TableParagraph"/>
              <w:spacing w:line="281" w:lineRule="exact"/>
              <w:ind w:left="13" w:right="1"/>
              <w:jc w:val="center"/>
              <w:rPr>
                <w:rFonts w:ascii="Cambria"/>
                <w:sz w:val="24"/>
              </w:rPr>
            </w:pPr>
            <w:r>
              <w:rPr>
                <w:rFonts w:ascii="Cambria"/>
                <w:spacing w:val="-2"/>
                <w:sz w:val="24"/>
              </w:rPr>
              <w:t>Significant</w:t>
            </w:r>
          </w:p>
        </w:tc>
      </w:tr>
      <w:tr>
        <w:trPr>
          <w:trHeight w:val="563" w:hRule="atLeast"/>
        </w:trPr>
        <w:tc>
          <w:tcPr>
            <w:tcW w:w="1824" w:type="dxa"/>
          </w:tcPr>
          <w:p>
            <w:pPr>
              <w:pStyle w:val="TableParagraph"/>
              <w:spacing w:line="229" w:lineRule="exact"/>
              <w:ind w:left="10"/>
              <w:jc w:val="center"/>
              <w:rPr>
                <w:rFonts w:ascii="Arial MT"/>
                <w:sz w:val="20"/>
              </w:rPr>
            </w:pPr>
            <w:r>
              <w:rPr>
                <w:rFonts w:ascii="Arial MT"/>
                <w:spacing w:val="-5"/>
                <w:sz w:val="20"/>
              </w:rPr>
              <w:t>DFI</w:t>
            </w:r>
          </w:p>
        </w:tc>
        <w:tc>
          <w:tcPr>
            <w:tcW w:w="1839" w:type="dxa"/>
          </w:tcPr>
          <w:p>
            <w:pPr>
              <w:pStyle w:val="TableParagraph"/>
              <w:spacing w:line="229" w:lineRule="exact"/>
              <w:ind w:right="101"/>
              <w:jc w:val="right"/>
              <w:rPr>
                <w:rFonts w:ascii="Arial MT"/>
                <w:sz w:val="20"/>
              </w:rPr>
            </w:pPr>
            <w:r>
              <w:rPr>
                <w:rFonts w:ascii="Arial MT"/>
                <w:spacing w:val="-2"/>
                <w:sz w:val="20"/>
              </w:rPr>
              <w:t>1.173008</w:t>
            </w:r>
          </w:p>
        </w:tc>
        <w:tc>
          <w:tcPr>
            <w:tcW w:w="1949" w:type="dxa"/>
          </w:tcPr>
          <w:p>
            <w:pPr>
              <w:pStyle w:val="TableParagraph"/>
              <w:spacing w:before="2"/>
              <w:ind w:left="6" w:right="3"/>
              <w:jc w:val="center"/>
              <w:rPr>
                <w:rFonts w:ascii="Cambria"/>
                <w:sz w:val="24"/>
              </w:rPr>
            </w:pPr>
            <w:r>
              <w:rPr>
                <w:rFonts w:ascii="Cambria"/>
                <w:spacing w:val="-2"/>
                <w:sz w:val="24"/>
              </w:rPr>
              <w:t>0.586504</w:t>
            </w:r>
          </w:p>
        </w:tc>
        <w:tc>
          <w:tcPr>
            <w:tcW w:w="2302" w:type="dxa"/>
          </w:tcPr>
          <w:p>
            <w:pPr>
              <w:pStyle w:val="TableParagraph"/>
              <w:spacing w:line="229" w:lineRule="exact"/>
              <w:ind w:right="98"/>
              <w:jc w:val="right"/>
              <w:rPr>
                <w:rFonts w:ascii="Arial MT"/>
                <w:sz w:val="20"/>
              </w:rPr>
            </w:pPr>
            <w:r>
              <w:rPr>
                <w:rFonts w:ascii="Arial MT"/>
                <w:spacing w:val="-2"/>
                <w:sz w:val="20"/>
              </w:rPr>
              <w:t>0.047964</w:t>
            </w:r>
          </w:p>
        </w:tc>
        <w:tc>
          <w:tcPr>
            <w:tcW w:w="1409" w:type="dxa"/>
          </w:tcPr>
          <w:p>
            <w:pPr>
              <w:pStyle w:val="TableParagraph"/>
              <w:spacing w:before="2"/>
              <w:ind w:left="13" w:right="1"/>
              <w:jc w:val="center"/>
              <w:rPr>
                <w:rFonts w:ascii="Cambria"/>
                <w:sz w:val="24"/>
              </w:rPr>
            </w:pPr>
            <w:r>
              <w:rPr>
                <w:rFonts w:ascii="Cambria"/>
                <w:spacing w:val="-2"/>
                <w:sz w:val="24"/>
              </w:rPr>
              <w:t>Significant</w:t>
            </w:r>
          </w:p>
        </w:tc>
      </w:tr>
      <w:tr>
        <w:trPr>
          <w:trHeight w:val="563" w:hRule="atLeast"/>
        </w:trPr>
        <w:tc>
          <w:tcPr>
            <w:tcW w:w="1824" w:type="dxa"/>
          </w:tcPr>
          <w:p>
            <w:pPr>
              <w:pStyle w:val="TableParagraph"/>
              <w:spacing w:line="229" w:lineRule="exact"/>
              <w:ind w:left="10" w:right="4"/>
              <w:jc w:val="center"/>
              <w:rPr>
                <w:rFonts w:ascii="Arial MT"/>
                <w:sz w:val="20"/>
              </w:rPr>
            </w:pPr>
            <w:r>
              <w:rPr>
                <w:rFonts w:ascii="Arial MT"/>
                <w:spacing w:val="-5"/>
                <w:sz w:val="20"/>
              </w:rPr>
              <w:t>CAB</w:t>
            </w:r>
          </w:p>
        </w:tc>
        <w:tc>
          <w:tcPr>
            <w:tcW w:w="1839" w:type="dxa"/>
          </w:tcPr>
          <w:p>
            <w:pPr>
              <w:pStyle w:val="TableParagraph"/>
              <w:spacing w:line="229" w:lineRule="exact"/>
              <w:ind w:right="101"/>
              <w:jc w:val="right"/>
              <w:rPr>
                <w:rFonts w:ascii="Arial MT"/>
                <w:sz w:val="20"/>
              </w:rPr>
            </w:pPr>
            <w:r>
              <w:rPr>
                <w:rFonts w:ascii="Arial MT"/>
                <w:spacing w:val="-2"/>
                <w:sz w:val="20"/>
              </w:rPr>
              <w:t>-2.717354</w:t>
            </w:r>
          </w:p>
        </w:tc>
        <w:tc>
          <w:tcPr>
            <w:tcW w:w="1949" w:type="dxa"/>
          </w:tcPr>
          <w:p>
            <w:pPr>
              <w:pStyle w:val="TableParagraph"/>
              <w:spacing w:line="281" w:lineRule="exact"/>
              <w:ind w:left="6" w:right="3"/>
              <w:jc w:val="center"/>
              <w:rPr>
                <w:rFonts w:ascii="Cambria"/>
                <w:sz w:val="24"/>
              </w:rPr>
            </w:pPr>
            <w:r>
              <w:rPr>
                <w:rFonts w:ascii="Cambria"/>
                <w:spacing w:val="-2"/>
                <w:sz w:val="24"/>
              </w:rPr>
              <w:t>1.358677</w:t>
            </w:r>
          </w:p>
        </w:tc>
        <w:tc>
          <w:tcPr>
            <w:tcW w:w="2302" w:type="dxa"/>
          </w:tcPr>
          <w:p>
            <w:pPr>
              <w:pStyle w:val="TableParagraph"/>
              <w:spacing w:line="229" w:lineRule="exact"/>
              <w:ind w:right="98"/>
              <w:jc w:val="right"/>
              <w:rPr>
                <w:rFonts w:ascii="Arial MT"/>
                <w:sz w:val="20"/>
              </w:rPr>
            </w:pPr>
            <w:r>
              <w:rPr>
                <w:rFonts w:ascii="Arial MT"/>
                <w:spacing w:val="-2"/>
                <w:sz w:val="20"/>
              </w:rPr>
              <w:t>0.010718</w:t>
            </w:r>
          </w:p>
        </w:tc>
        <w:tc>
          <w:tcPr>
            <w:tcW w:w="1409" w:type="dxa"/>
          </w:tcPr>
          <w:p>
            <w:pPr>
              <w:pStyle w:val="TableParagraph"/>
              <w:spacing w:line="281" w:lineRule="exact"/>
              <w:ind w:left="13" w:right="1"/>
              <w:jc w:val="center"/>
              <w:rPr>
                <w:rFonts w:ascii="Cambria"/>
                <w:sz w:val="24"/>
              </w:rPr>
            </w:pPr>
            <w:r>
              <w:rPr>
                <w:rFonts w:ascii="Cambria"/>
                <w:spacing w:val="-2"/>
                <w:sz w:val="24"/>
              </w:rPr>
              <w:t>Significant</w:t>
            </w:r>
          </w:p>
        </w:tc>
      </w:tr>
      <w:tr>
        <w:trPr>
          <w:trHeight w:val="561" w:hRule="atLeast"/>
        </w:trPr>
        <w:tc>
          <w:tcPr>
            <w:tcW w:w="1824" w:type="dxa"/>
          </w:tcPr>
          <w:p>
            <w:pPr>
              <w:pStyle w:val="TableParagraph"/>
              <w:spacing w:line="229" w:lineRule="exact"/>
              <w:ind w:left="10" w:right="2"/>
              <w:jc w:val="center"/>
              <w:rPr>
                <w:rFonts w:ascii="Arial MT" w:hAnsi="Arial MT"/>
                <w:sz w:val="20"/>
              </w:rPr>
            </w:pPr>
            <w:r>
              <w:rPr>
                <w:rFonts w:ascii="Arial MT" w:hAnsi="Arial MT"/>
                <w:spacing w:val="-4"/>
                <w:sz w:val="20"/>
              </w:rPr>
              <w:t>δRES</w:t>
            </w:r>
          </w:p>
        </w:tc>
        <w:tc>
          <w:tcPr>
            <w:tcW w:w="1839" w:type="dxa"/>
          </w:tcPr>
          <w:p>
            <w:pPr>
              <w:pStyle w:val="TableParagraph"/>
              <w:spacing w:line="229" w:lineRule="exact"/>
              <w:ind w:right="101"/>
              <w:jc w:val="right"/>
              <w:rPr>
                <w:rFonts w:ascii="Arial MT"/>
                <w:sz w:val="20"/>
              </w:rPr>
            </w:pPr>
            <w:r>
              <w:rPr>
                <w:rFonts w:ascii="Arial MT"/>
                <w:spacing w:val="-2"/>
                <w:sz w:val="20"/>
              </w:rPr>
              <w:t>1.362056</w:t>
            </w:r>
          </w:p>
        </w:tc>
        <w:tc>
          <w:tcPr>
            <w:tcW w:w="1949" w:type="dxa"/>
          </w:tcPr>
          <w:p>
            <w:pPr>
              <w:pStyle w:val="TableParagraph"/>
              <w:spacing w:line="281" w:lineRule="exact"/>
              <w:ind w:left="6" w:right="3"/>
              <w:jc w:val="center"/>
              <w:rPr>
                <w:rFonts w:ascii="Cambria"/>
                <w:sz w:val="24"/>
              </w:rPr>
            </w:pPr>
            <w:r>
              <w:rPr>
                <w:rFonts w:ascii="Cambria"/>
                <w:spacing w:val="-2"/>
                <w:sz w:val="24"/>
              </w:rPr>
              <w:t>0.681028</w:t>
            </w:r>
          </w:p>
        </w:tc>
        <w:tc>
          <w:tcPr>
            <w:tcW w:w="2302" w:type="dxa"/>
          </w:tcPr>
          <w:p>
            <w:pPr>
              <w:pStyle w:val="TableParagraph"/>
              <w:spacing w:line="229" w:lineRule="exact"/>
              <w:ind w:right="98"/>
              <w:jc w:val="right"/>
              <w:rPr>
                <w:rFonts w:ascii="Arial MT"/>
                <w:sz w:val="20"/>
              </w:rPr>
            </w:pPr>
            <w:r>
              <w:rPr>
                <w:rFonts w:ascii="Arial MT"/>
                <w:spacing w:val="-2"/>
                <w:sz w:val="20"/>
              </w:rPr>
              <w:t>0.015646</w:t>
            </w:r>
          </w:p>
        </w:tc>
        <w:tc>
          <w:tcPr>
            <w:tcW w:w="1409" w:type="dxa"/>
          </w:tcPr>
          <w:p>
            <w:pPr>
              <w:pStyle w:val="TableParagraph"/>
              <w:spacing w:line="281" w:lineRule="exact"/>
              <w:ind w:left="13" w:right="1"/>
              <w:jc w:val="center"/>
              <w:rPr>
                <w:rFonts w:ascii="Cambria"/>
                <w:sz w:val="24"/>
              </w:rPr>
            </w:pPr>
            <w:r>
              <w:rPr>
                <w:rFonts w:ascii="Cambria"/>
                <w:spacing w:val="-2"/>
                <w:sz w:val="24"/>
              </w:rPr>
              <w:t>Significant</w:t>
            </w:r>
          </w:p>
        </w:tc>
      </w:tr>
      <w:tr>
        <w:trPr>
          <w:trHeight w:val="563" w:hRule="atLeast"/>
        </w:trPr>
        <w:tc>
          <w:tcPr>
            <w:tcW w:w="1824" w:type="dxa"/>
          </w:tcPr>
          <w:p>
            <w:pPr>
              <w:pStyle w:val="TableParagraph"/>
              <w:spacing w:line="229" w:lineRule="exact"/>
              <w:ind w:left="10" w:right="2"/>
              <w:jc w:val="center"/>
              <w:rPr>
                <w:rFonts w:ascii="Arial MT" w:hAnsi="Arial MT"/>
                <w:sz w:val="20"/>
              </w:rPr>
            </w:pPr>
            <w:r>
              <w:rPr>
                <w:rFonts w:ascii="Arial MT" w:hAnsi="Arial MT"/>
                <w:spacing w:val="-2"/>
                <w:sz w:val="20"/>
              </w:rPr>
              <w:t>δNEXTAS</w:t>
            </w:r>
          </w:p>
        </w:tc>
        <w:tc>
          <w:tcPr>
            <w:tcW w:w="1839" w:type="dxa"/>
          </w:tcPr>
          <w:p>
            <w:pPr>
              <w:pStyle w:val="TableParagraph"/>
              <w:spacing w:line="229" w:lineRule="exact"/>
              <w:ind w:right="101"/>
              <w:jc w:val="right"/>
              <w:rPr>
                <w:rFonts w:ascii="Arial MT"/>
                <w:sz w:val="20"/>
              </w:rPr>
            </w:pPr>
            <w:r>
              <w:rPr>
                <w:rFonts w:ascii="Arial MT"/>
                <w:spacing w:val="-2"/>
                <w:sz w:val="20"/>
              </w:rPr>
              <w:t>1.234954</w:t>
            </w:r>
          </w:p>
        </w:tc>
        <w:tc>
          <w:tcPr>
            <w:tcW w:w="1949" w:type="dxa"/>
          </w:tcPr>
          <w:p>
            <w:pPr>
              <w:pStyle w:val="TableParagraph"/>
              <w:spacing w:line="281" w:lineRule="exact"/>
              <w:ind w:left="6" w:right="3"/>
              <w:jc w:val="center"/>
              <w:rPr>
                <w:rFonts w:ascii="Cambria"/>
                <w:sz w:val="24"/>
              </w:rPr>
            </w:pPr>
            <w:r>
              <w:rPr>
                <w:rFonts w:ascii="Cambria"/>
                <w:spacing w:val="-2"/>
                <w:sz w:val="24"/>
              </w:rPr>
              <w:t>0.617477</w:t>
            </w:r>
          </w:p>
        </w:tc>
        <w:tc>
          <w:tcPr>
            <w:tcW w:w="2302" w:type="dxa"/>
          </w:tcPr>
          <w:p>
            <w:pPr>
              <w:pStyle w:val="TableParagraph"/>
              <w:spacing w:line="229" w:lineRule="exact"/>
              <w:ind w:right="98"/>
              <w:jc w:val="right"/>
              <w:rPr>
                <w:rFonts w:ascii="Arial MT"/>
                <w:sz w:val="20"/>
              </w:rPr>
            </w:pPr>
            <w:r>
              <w:rPr>
                <w:rFonts w:ascii="Arial MT"/>
                <w:spacing w:val="-2"/>
                <w:sz w:val="20"/>
              </w:rPr>
              <w:t>0.015521</w:t>
            </w:r>
          </w:p>
        </w:tc>
        <w:tc>
          <w:tcPr>
            <w:tcW w:w="1409" w:type="dxa"/>
          </w:tcPr>
          <w:p>
            <w:pPr>
              <w:pStyle w:val="TableParagraph"/>
              <w:spacing w:line="281" w:lineRule="exact"/>
              <w:ind w:left="13" w:right="1"/>
              <w:jc w:val="center"/>
              <w:rPr>
                <w:rFonts w:ascii="Cambria"/>
                <w:sz w:val="24"/>
              </w:rPr>
            </w:pPr>
            <w:r>
              <w:rPr>
                <w:rFonts w:ascii="Cambria"/>
                <w:spacing w:val="-2"/>
                <w:sz w:val="24"/>
              </w:rPr>
              <w:t>Significant</w:t>
            </w:r>
          </w:p>
        </w:tc>
      </w:tr>
    </w:tbl>
    <w:p>
      <w:pPr>
        <w:spacing w:after="0" w:line="281" w:lineRule="exact"/>
        <w:jc w:val="center"/>
        <w:rPr>
          <w:rFonts w:ascii="Cambria"/>
          <w:sz w:val="24"/>
        </w:rPr>
        <w:sectPr>
          <w:pgSz w:w="11910" w:h="16840"/>
          <w:pgMar w:header="0" w:footer="979" w:top="1360" w:bottom="1220" w:left="280" w:right="0"/>
        </w:sectPr>
      </w:pPr>
    </w:p>
    <w:p>
      <w:pPr>
        <w:pStyle w:val="BodyText"/>
        <w:spacing w:before="60"/>
        <w:ind w:left="711"/>
        <w:rPr>
          <w:b/>
        </w:rPr>
      </w:pPr>
      <w:r>
        <w:rPr/>
        <w:t>Source:</w:t>
      </w:r>
      <w:r>
        <w:rPr>
          <w:spacing w:val="-4"/>
        </w:rPr>
        <w:t> </w:t>
      </w:r>
      <w:r>
        <w:rPr/>
        <w:t>Computation,</w:t>
      </w:r>
      <w:r>
        <w:rPr>
          <w:spacing w:val="-1"/>
        </w:rPr>
        <w:t> </w:t>
      </w:r>
      <w:r>
        <w:rPr/>
        <w:t>using</w:t>
      </w:r>
      <w:r>
        <w:rPr>
          <w:spacing w:val="-4"/>
        </w:rPr>
        <w:t> </w:t>
      </w:r>
      <w:r>
        <w:rPr/>
        <w:t>E-view</w:t>
      </w:r>
      <w:r>
        <w:rPr>
          <w:spacing w:val="-2"/>
        </w:rPr>
        <w:t> </w:t>
      </w:r>
      <w:r>
        <w:rPr/>
        <w:t>statistical</w:t>
      </w:r>
      <w:r>
        <w:rPr>
          <w:spacing w:val="-1"/>
        </w:rPr>
        <w:t> </w:t>
      </w:r>
      <w:r>
        <w:rPr>
          <w:spacing w:val="-2"/>
        </w:rPr>
        <w:t>package</w:t>
      </w:r>
      <w:r>
        <w:rPr>
          <w:b/>
          <w:spacing w:val="-2"/>
        </w:rPr>
        <w:t>.</w:t>
      </w:r>
    </w:p>
    <w:p>
      <w:pPr>
        <w:pStyle w:val="BodyText"/>
        <w:spacing w:before="2"/>
        <w:rPr>
          <w:b/>
        </w:rPr>
      </w:pPr>
    </w:p>
    <w:p>
      <w:pPr>
        <w:pStyle w:val="BodyText"/>
        <w:spacing w:line="480" w:lineRule="auto"/>
        <w:ind w:left="711" w:right="476"/>
        <w:jc w:val="both"/>
        <w:rPr>
          <w:rFonts w:ascii="Cambria"/>
        </w:rPr>
      </w:pPr>
      <w:r>
        <w:rPr>
          <w:rFonts w:ascii="Cambria"/>
        </w:rPr>
        <w:t>The table above indicates that all variables except are statistically significant. This implies that all the explanatory variables are statistically significant in the explanation of the determination of Gross Domestic Product. This confirmed that all the variables impacted potively on the economic growth during the coverage of this study.</w:t>
      </w:r>
    </w:p>
    <w:p>
      <w:pPr>
        <w:pStyle w:val="BodyText"/>
        <w:spacing w:line="477" w:lineRule="auto"/>
        <w:ind w:left="711" w:right="469"/>
        <w:jc w:val="both"/>
      </w:pPr>
      <w:r>
        <w:rPr>
          <w:b/>
          <w:position w:val="2"/>
        </w:rPr>
        <w:t>Validation and testing of hypotheses</w:t>
      </w:r>
      <w:r>
        <w:rPr>
          <w:position w:val="2"/>
        </w:rPr>
        <w:t>: The</w:t>
      </w:r>
      <w:r>
        <w:rPr>
          <w:spacing w:val="-1"/>
          <w:position w:val="2"/>
        </w:rPr>
        <w:t> </w:t>
      </w:r>
      <w:r>
        <w:rPr>
          <w:position w:val="2"/>
        </w:rPr>
        <w:t>second hypothesis (Ho</w:t>
      </w:r>
      <w:r>
        <w:rPr>
          <w:sz w:val="16"/>
        </w:rPr>
        <w:t>2</w:t>
      </w:r>
      <w:r>
        <w:rPr>
          <w:position w:val="2"/>
        </w:rPr>
        <w:t>)</w:t>
      </w:r>
      <w:r>
        <w:rPr>
          <w:spacing w:val="-1"/>
          <w:position w:val="2"/>
        </w:rPr>
        <w:t> </w:t>
      </w:r>
      <w:r>
        <w:rPr>
          <w:position w:val="2"/>
        </w:rPr>
        <w:t>was tested</w:t>
      </w:r>
      <w:r>
        <w:rPr>
          <w:spacing w:val="-1"/>
          <w:position w:val="2"/>
        </w:rPr>
        <w:t> </w:t>
      </w:r>
      <w:r>
        <w:rPr>
          <w:position w:val="2"/>
        </w:rPr>
        <w:t>under the</w:t>
      </w:r>
      <w:r>
        <w:rPr>
          <w:spacing w:val="-1"/>
          <w:position w:val="2"/>
        </w:rPr>
        <w:t> </w:t>
      </w:r>
      <w:r>
        <w:rPr>
          <w:position w:val="2"/>
        </w:rPr>
        <w:t>Morgan Guaranty </w:t>
      </w:r>
      <w:r>
        <w:rPr/>
        <w:t>Trust version of (1986) of model 2. The hypothesis tested the ecffect of capital flight on economic growth.</w:t>
      </w:r>
    </w:p>
    <w:p>
      <w:pPr>
        <w:pStyle w:val="BodyText"/>
        <w:spacing w:before="3"/>
        <w:ind w:left="711"/>
      </w:pPr>
      <w:r>
        <w:rPr/>
        <w:t>The</w:t>
      </w:r>
      <w:r>
        <w:rPr>
          <w:spacing w:val="-3"/>
        </w:rPr>
        <w:t> </w:t>
      </w:r>
      <w:r>
        <w:rPr/>
        <w:t>hypothesis is re-stated</w:t>
      </w:r>
      <w:r>
        <w:rPr>
          <w:spacing w:val="-1"/>
        </w:rPr>
        <w:t> </w:t>
      </w:r>
      <w:r>
        <w:rPr/>
        <w:t>in</w:t>
      </w:r>
      <w:r>
        <w:rPr>
          <w:spacing w:val="1"/>
        </w:rPr>
        <w:t> </w:t>
      </w:r>
      <w:r>
        <w:rPr/>
        <w:t>the null</w:t>
      </w:r>
      <w:r>
        <w:rPr>
          <w:spacing w:val="-1"/>
        </w:rPr>
        <w:t> </w:t>
      </w:r>
      <w:r>
        <w:rPr/>
        <w:t>form as </w:t>
      </w:r>
      <w:r>
        <w:rPr>
          <w:spacing w:val="-2"/>
        </w:rPr>
        <w:t>follows;</w:t>
      </w:r>
    </w:p>
    <w:p>
      <w:pPr>
        <w:pStyle w:val="Heading6"/>
        <w:tabs>
          <w:tab w:pos="1379" w:val="left" w:leader="none"/>
        </w:tabs>
        <w:spacing w:before="275"/>
        <w:jc w:val="left"/>
        <w:rPr>
          <w:b w:val="0"/>
        </w:rPr>
      </w:pPr>
      <w:r>
        <w:rPr>
          <w:spacing w:val="-4"/>
          <w:position w:val="1"/>
        </w:rPr>
        <w:t>H</w:t>
      </w:r>
      <w:r>
        <w:rPr>
          <w:spacing w:val="-4"/>
          <w:sz w:val="16"/>
        </w:rPr>
        <w:t>02</w:t>
      </w:r>
      <w:r>
        <w:rPr>
          <w:spacing w:val="-4"/>
          <w:position w:val="1"/>
        </w:rPr>
        <w:t>:</w:t>
      </w:r>
      <w:r>
        <w:rPr>
          <w:position w:val="1"/>
        </w:rPr>
        <w:tab/>
        <w:t>Capital</w:t>
      </w:r>
      <w:r>
        <w:rPr>
          <w:spacing w:val="-2"/>
          <w:position w:val="1"/>
        </w:rPr>
        <w:t> </w:t>
      </w:r>
      <w:r>
        <w:rPr>
          <w:position w:val="1"/>
        </w:rPr>
        <w:t>flight</w:t>
      </w:r>
      <w:r>
        <w:rPr>
          <w:spacing w:val="-2"/>
          <w:position w:val="1"/>
        </w:rPr>
        <w:t> </w:t>
      </w:r>
      <w:r>
        <w:rPr>
          <w:position w:val="1"/>
        </w:rPr>
        <w:t>has</w:t>
      </w:r>
      <w:r>
        <w:rPr>
          <w:spacing w:val="-4"/>
          <w:position w:val="1"/>
        </w:rPr>
        <w:t> </w:t>
      </w:r>
      <w:r>
        <w:rPr>
          <w:position w:val="1"/>
        </w:rPr>
        <w:t>no</w:t>
      </w:r>
      <w:r>
        <w:rPr>
          <w:spacing w:val="-1"/>
          <w:position w:val="1"/>
        </w:rPr>
        <w:t> </w:t>
      </w:r>
      <w:r>
        <w:rPr>
          <w:position w:val="1"/>
        </w:rPr>
        <w:t>significant</w:t>
      </w:r>
      <w:r>
        <w:rPr>
          <w:spacing w:val="-2"/>
          <w:position w:val="1"/>
        </w:rPr>
        <w:t> </w:t>
      </w:r>
      <w:r>
        <w:rPr>
          <w:position w:val="1"/>
        </w:rPr>
        <w:t>effect</w:t>
      </w:r>
      <w:r>
        <w:rPr>
          <w:spacing w:val="-2"/>
          <w:position w:val="1"/>
        </w:rPr>
        <w:t> </w:t>
      </w:r>
      <w:r>
        <w:rPr>
          <w:position w:val="1"/>
        </w:rPr>
        <w:t>on</w:t>
      </w:r>
      <w:r>
        <w:rPr>
          <w:spacing w:val="1"/>
          <w:position w:val="1"/>
        </w:rPr>
        <w:t> </w:t>
      </w:r>
      <w:r>
        <w:rPr>
          <w:position w:val="1"/>
        </w:rPr>
        <w:t>the</w:t>
      </w:r>
      <w:r>
        <w:rPr>
          <w:spacing w:val="-3"/>
          <w:position w:val="1"/>
        </w:rPr>
        <w:t> </w:t>
      </w:r>
      <w:r>
        <w:rPr>
          <w:position w:val="1"/>
        </w:rPr>
        <w:t>Nigeria’s economic</w:t>
      </w:r>
      <w:r>
        <w:rPr>
          <w:spacing w:val="1"/>
          <w:position w:val="1"/>
        </w:rPr>
        <w:t> </w:t>
      </w:r>
      <w:r>
        <w:rPr>
          <w:spacing w:val="-2"/>
          <w:position w:val="1"/>
        </w:rPr>
        <w:t>growth</w:t>
      </w:r>
      <w:r>
        <w:rPr>
          <w:b w:val="0"/>
          <w:spacing w:val="-2"/>
          <w:position w:val="1"/>
        </w:rPr>
        <w:t>.</w:t>
      </w:r>
    </w:p>
    <w:p>
      <w:pPr>
        <w:pStyle w:val="BodyText"/>
        <w:spacing w:before="1"/>
      </w:pPr>
    </w:p>
    <w:p>
      <w:pPr>
        <w:pStyle w:val="BodyText"/>
        <w:spacing w:line="480" w:lineRule="auto"/>
        <w:ind w:left="711" w:right="469"/>
        <w:jc w:val="both"/>
        <w:rPr>
          <w:rFonts w:ascii="Arial MT" w:hAnsi="Arial MT"/>
          <w:sz w:val="20"/>
        </w:rPr>
      </w:pPr>
      <w:r>
        <w:rPr/>
        <w:t>Since all the variables are statistically significant in explaning the behaviour of GDP, the alternative hypothesis is accepted for</w:t>
      </w:r>
      <w:r>
        <w:rPr>
          <w:spacing w:val="-2"/>
        </w:rPr>
        <w:t> </w:t>
      </w:r>
      <w:r>
        <w:rPr/>
        <w:t>all the</w:t>
      </w:r>
      <w:r>
        <w:rPr>
          <w:spacing w:val="-1"/>
        </w:rPr>
        <w:t> </w:t>
      </w:r>
      <w:r>
        <w:rPr/>
        <w:t>variables</w:t>
      </w:r>
      <w:r>
        <w:rPr>
          <w:spacing w:val="-1"/>
        </w:rPr>
        <w:t> </w:t>
      </w:r>
      <w:r>
        <w:rPr/>
        <w:t>(</w:t>
      </w:r>
      <w:r>
        <w:rPr>
          <w:rFonts w:ascii="Arial MT" w:hAnsi="Arial MT"/>
          <w:sz w:val="20"/>
        </w:rPr>
        <w:t>δEXTDEBT, DFI, CAB, δRES and δNEXTAS),</w:t>
      </w:r>
      <w:r>
        <w:rPr>
          <w:rFonts w:ascii="Arial MT" w:hAnsi="Arial MT"/>
          <w:spacing w:val="80"/>
          <w:sz w:val="20"/>
        </w:rPr>
        <w:t> </w:t>
      </w:r>
      <w:r>
        <w:rPr/>
        <w:t>This was</w:t>
      </w:r>
      <w:r>
        <w:rPr>
          <w:spacing w:val="-1"/>
        </w:rPr>
        <w:t> </w:t>
      </w:r>
      <w:r>
        <w:rPr/>
        <w:t>also the case of the short run model with the eception of the net foreign asset of domestic bank (</w:t>
      </w:r>
      <w:r>
        <w:rPr>
          <w:rFonts w:ascii="Cambria" w:hAnsi="Cambria"/>
        </w:rPr>
        <w:t>δNEXTAS) </w:t>
      </w:r>
      <w:r>
        <w:rPr/>
        <w:t>with probability value of </w:t>
      </w:r>
      <w:r>
        <w:rPr>
          <w:rFonts w:ascii="Arial MT" w:hAnsi="Arial MT"/>
          <w:sz w:val="20"/>
        </w:rPr>
        <w:t>0.9025.</w:t>
      </w:r>
    </w:p>
    <w:p>
      <w:pPr>
        <w:pStyle w:val="BodyText"/>
        <w:rPr>
          <w:rFonts w:ascii="Arial MT"/>
        </w:rPr>
      </w:pPr>
    </w:p>
    <w:p>
      <w:pPr>
        <w:pStyle w:val="BodyText"/>
        <w:spacing w:before="11"/>
        <w:rPr>
          <w:rFonts w:ascii="Arial MT"/>
        </w:rPr>
      </w:pPr>
    </w:p>
    <w:p>
      <w:pPr>
        <w:pStyle w:val="Heading6"/>
        <w:numPr>
          <w:ilvl w:val="2"/>
          <w:numId w:val="28"/>
        </w:numPr>
        <w:tabs>
          <w:tab w:pos="1431" w:val="left" w:leader="none"/>
        </w:tabs>
        <w:spacing w:line="240" w:lineRule="auto" w:before="0" w:after="0"/>
        <w:ind w:left="1431" w:right="0" w:hanging="658"/>
        <w:jc w:val="left"/>
      </w:pPr>
      <w:r>
        <w:rPr/>
        <w:t>Tests</w:t>
      </w:r>
      <w:r>
        <w:rPr>
          <w:spacing w:val="-2"/>
        </w:rPr>
        <w:t> </w:t>
      </w:r>
      <w:r>
        <w:rPr/>
        <w:t>for</w:t>
      </w:r>
      <w:r>
        <w:rPr>
          <w:spacing w:val="-2"/>
        </w:rPr>
        <w:t> </w:t>
      </w:r>
      <w:r>
        <w:rPr/>
        <w:t>Overall</w:t>
      </w:r>
      <w:r>
        <w:rPr>
          <w:spacing w:val="-1"/>
        </w:rPr>
        <w:t> </w:t>
      </w:r>
      <w:r>
        <w:rPr/>
        <w:t>Significance</w:t>
      </w:r>
      <w:r>
        <w:rPr>
          <w:spacing w:val="-3"/>
        </w:rPr>
        <w:t> </w:t>
      </w:r>
      <w:r>
        <w:rPr/>
        <w:t>of Model</w:t>
      </w:r>
      <w:r>
        <w:rPr>
          <w:spacing w:val="-1"/>
        </w:rPr>
        <w:t> </w:t>
      </w:r>
      <w:r>
        <w:rPr/>
        <w:t>2B</w:t>
      </w:r>
      <w:r>
        <w:rPr>
          <w:spacing w:val="-1"/>
        </w:rPr>
        <w:t> </w:t>
      </w:r>
      <w:r>
        <w:rPr/>
        <w:t>(F-</w:t>
      </w:r>
      <w:r>
        <w:rPr>
          <w:spacing w:val="-2"/>
        </w:rPr>
        <w:t>Test)</w:t>
      </w:r>
    </w:p>
    <w:p>
      <w:pPr>
        <w:pStyle w:val="BodyText"/>
        <w:spacing w:before="1"/>
        <w:rPr>
          <w:b/>
        </w:rPr>
      </w:pPr>
    </w:p>
    <w:p>
      <w:pPr>
        <w:pStyle w:val="BodyText"/>
        <w:spacing w:line="480" w:lineRule="auto"/>
        <w:ind w:left="711" w:right="470"/>
        <w:jc w:val="both"/>
        <w:rPr>
          <w:rFonts w:ascii="Cambria"/>
        </w:rPr>
      </w:pPr>
      <w:r>
        <w:rPr>
          <w:rFonts w:ascii="Cambria"/>
        </w:rPr>
        <w:t>The F-test which determine the statistical significance of the entire model confirmed that the over all model is statistical significance. The formulated hypothesis was tested as follows: F- caculated=697.0697, F=tabulated -2.76</w:t>
      </w:r>
    </w:p>
    <w:p>
      <w:pPr>
        <w:pStyle w:val="BodyText"/>
        <w:spacing w:line="480" w:lineRule="auto"/>
        <w:ind w:left="711" w:right="470"/>
        <w:jc w:val="both"/>
        <w:rPr>
          <w:rFonts w:ascii="Cambria"/>
        </w:rPr>
      </w:pPr>
      <w:r>
        <w:rPr>
          <w:rFonts w:ascii="Cambria"/>
        </w:rPr>
        <w:t>Since f-caculated (697.0697) is greater than f-tabulated (2.76) the over model is significant, thus the </w:t>
      </w:r>
      <w:r>
        <w:rPr>
          <w:rFonts w:ascii="Cambria"/>
          <w:position w:val="1"/>
        </w:rPr>
        <w:t>overall model is significant and H</w:t>
      </w:r>
      <w:r>
        <w:rPr>
          <w:rFonts w:ascii="Cambria"/>
          <w:sz w:val="16"/>
        </w:rPr>
        <w:t>1</w:t>
      </w:r>
      <w:r>
        <w:rPr>
          <w:rFonts w:ascii="Cambria"/>
          <w:spacing w:val="37"/>
          <w:sz w:val="16"/>
        </w:rPr>
        <w:t> </w:t>
      </w:r>
      <w:r>
        <w:rPr>
          <w:rFonts w:ascii="Cambria"/>
          <w:position w:val="1"/>
        </w:rPr>
        <w:t>is accepted.</w:t>
      </w:r>
    </w:p>
    <w:p>
      <w:pPr>
        <w:pStyle w:val="Heading6"/>
        <w:numPr>
          <w:ilvl w:val="2"/>
          <w:numId w:val="28"/>
        </w:numPr>
        <w:tabs>
          <w:tab w:pos="1245" w:val="left" w:leader="none"/>
        </w:tabs>
        <w:spacing w:line="240" w:lineRule="auto" w:before="0" w:after="0"/>
        <w:ind w:left="1245" w:right="0" w:hanging="534"/>
        <w:jc w:val="both"/>
        <w:rPr>
          <w:rFonts w:ascii="Cambria"/>
          <w:sz w:val="22"/>
        </w:rPr>
      </w:pPr>
      <w:r>
        <w:rPr>
          <w:rFonts w:ascii="Cambria"/>
        </w:rPr>
        <w:t>Tests</w:t>
      </w:r>
      <w:r>
        <w:rPr>
          <w:rFonts w:ascii="Cambria"/>
          <w:spacing w:val="-6"/>
        </w:rPr>
        <w:t> </w:t>
      </w:r>
      <w:r>
        <w:rPr>
          <w:rFonts w:ascii="Cambria"/>
        </w:rPr>
        <w:t>for</w:t>
      </w:r>
      <w:r>
        <w:rPr>
          <w:rFonts w:ascii="Cambria"/>
          <w:spacing w:val="-3"/>
        </w:rPr>
        <w:t> </w:t>
      </w:r>
      <w:r>
        <w:rPr>
          <w:rFonts w:ascii="Cambria"/>
        </w:rPr>
        <w:t>Presence</w:t>
      </w:r>
      <w:r>
        <w:rPr>
          <w:rFonts w:ascii="Cambria"/>
          <w:spacing w:val="-2"/>
        </w:rPr>
        <w:t> </w:t>
      </w:r>
      <w:r>
        <w:rPr>
          <w:rFonts w:ascii="Cambria"/>
        </w:rPr>
        <w:t>of</w:t>
      </w:r>
      <w:r>
        <w:rPr>
          <w:rFonts w:ascii="Cambria"/>
          <w:spacing w:val="-2"/>
        </w:rPr>
        <w:t> </w:t>
      </w:r>
      <w:r>
        <w:rPr>
          <w:rFonts w:ascii="Cambria"/>
        </w:rPr>
        <w:t>Autocorrelation</w:t>
      </w:r>
      <w:r>
        <w:rPr>
          <w:rFonts w:ascii="Cambria"/>
          <w:spacing w:val="-2"/>
        </w:rPr>
        <w:t> </w:t>
      </w:r>
      <w:r>
        <w:rPr>
          <w:rFonts w:ascii="Cambria"/>
        </w:rPr>
        <w:t>in</w:t>
      </w:r>
      <w:r>
        <w:rPr>
          <w:rFonts w:ascii="Cambria"/>
          <w:spacing w:val="-4"/>
        </w:rPr>
        <w:t> </w:t>
      </w:r>
      <w:r>
        <w:rPr>
          <w:rFonts w:ascii="Cambria"/>
        </w:rPr>
        <w:t>Model</w:t>
      </w:r>
      <w:r>
        <w:rPr>
          <w:rFonts w:ascii="Cambria"/>
          <w:spacing w:val="-3"/>
        </w:rPr>
        <w:t> </w:t>
      </w:r>
      <w:r>
        <w:rPr>
          <w:rFonts w:ascii="Cambria"/>
        </w:rPr>
        <w:t>2 </w:t>
      </w:r>
      <w:r>
        <w:rPr/>
        <w:t>(Morgan</w:t>
      </w:r>
      <w:r>
        <w:rPr>
          <w:spacing w:val="-3"/>
        </w:rPr>
        <w:t> </w:t>
      </w:r>
      <w:r>
        <w:rPr/>
        <w:t>Trust</w:t>
      </w:r>
      <w:r>
        <w:rPr>
          <w:spacing w:val="-2"/>
        </w:rPr>
        <w:t> </w:t>
      </w:r>
      <w:r>
        <w:rPr/>
        <w:t>(1986)</w:t>
      </w:r>
      <w:r>
        <w:rPr>
          <w:spacing w:val="-3"/>
        </w:rPr>
        <w:t> </w:t>
      </w:r>
      <w:r>
        <w:rPr>
          <w:spacing w:val="-2"/>
        </w:rPr>
        <w:t>Approach)</w:t>
      </w:r>
    </w:p>
    <w:p>
      <w:pPr>
        <w:pStyle w:val="BodyText"/>
        <w:spacing w:before="4"/>
        <w:rPr>
          <w:b/>
        </w:rPr>
      </w:pPr>
    </w:p>
    <w:p>
      <w:pPr>
        <w:pStyle w:val="BodyText"/>
        <w:spacing w:line="480" w:lineRule="auto"/>
        <w:ind w:left="711" w:right="476"/>
        <w:jc w:val="both"/>
        <w:rPr>
          <w:rFonts w:ascii="Cambria"/>
        </w:rPr>
      </w:pPr>
      <w:r>
        <w:rPr>
          <w:rFonts w:ascii="Cambria"/>
        </w:rPr>
        <w:t>The Durbin Watson test conducted to test for the presence of autocorrelation in the model is depited by the diagram below:</w:t>
      </w:r>
    </w:p>
    <w:p>
      <w:pPr>
        <w:spacing w:after="0" w:line="480" w:lineRule="auto"/>
        <w:jc w:val="both"/>
        <w:rPr>
          <w:rFonts w:ascii="Cambria"/>
        </w:rPr>
        <w:sectPr>
          <w:pgSz w:w="11910" w:h="16840"/>
          <w:pgMar w:header="0" w:footer="979" w:top="1360" w:bottom="1240" w:left="280" w:right="0"/>
        </w:sectPr>
      </w:pPr>
    </w:p>
    <w:p>
      <w:pPr>
        <w:pStyle w:val="BodyText"/>
        <w:spacing w:before="81"/>
        <w:ind w:left="711"/>
        <w:rPr>
          <w:rFonts w:ascii="Cambria" w:hAnsi="Cambria"/>
        </w:rPr>
      </w:pPr>
      <w:r>
        <w:rPr/>
        <mc:AlternateContent>
          <mc:Choice Requires="wps">
            <w:drawing>
              <wp:anchor distT="0" distB="0" distL="0" distR="0" allowOverlap="1" layoutInCell="1" locked="0" behindDoc="1" simplePos="0" relativeHeight="464181760">
                <wp:simplePos x="0" y="0"/>
                <wp:positionH relativeFrom="page">
                  <wp:posOffset>1475414</wp:posOffset>
                </wp:positionH>
                <wp:positionV relativeFrom="page">
                  <wp:posOffset>4130645</wp:posOffset>
                </wp:positionV>
                <wp:extent cx="805815" cy="179070"/>
                <wp:effectExtent l="0" t="0" r="0" b="0"/>
                <wp:wrapNone/>
                <wp:docPr id="247" name="Textbox 247"/>
                <wp:cNvGraphicFramePr>
                  <a:graphicFrameLocks/>
                </wp:cNvGraphicFramePr>
                <a:graphic>
                  <a:graphicData uri="http://schemas.microsoft.com/office/word/2010/wordprocessingShape">
                    <wps:wsp>
                      <wps:cNvPr id="247" name="Textbox 247"/>
                      <wps:cNvSpPr txBox="1"/>
                      <wps:spPr>
                        <a:xfrm>
                          <a:off x="0" y="0"/>
                          <a:ext cx="805815" cy="179070"/>
                        </a:xfrm>
                        <a:prstGeom prst="rect">
                          <a:avLst/>
                        </a:prstGeom>
                      </wps:spPr>
                      <wps:txbx>
                        <w:txbxContent>
                          <w:p>
                            <w:pPr>
                              <w:spacing w:before="0"/>
                              <w:ind w:left="0" w:right="0" w:firstLine="0"/>
                              <w:jc w:val="left"/>
                              <w:rPr>
                                <w:rFonts w:ascii="Cambria"/>
                                <w:i/>
                                <w:sz w:val="24"/>
                              </w:rPr>
                            </w:pPr>
                            <w:r>
                              <w:rPr>
                                <w:rFonts w:ascii="Cambria"/>
                                <w:i/>
                                <w:sz w:val="24"/>
                              </w:rPr>
                              <w:t>Durbin</w:t>
                            </w:r>
                            <w:r>
                              <w:rPr>
                                <w:rFonts w:ascii="Cambria"/>
                                <w:i/>
                                <w:spacing w:val="-5"/>
                                <w:sz w:val="24"/>
                              </w:rPr>
                              <w:t> </w:t>
                            </w:r>
                            <w:r>
                              <w:rPr>
                                <w:rFonts w:ascii="Cambria"/>
                                <w:i/>
                                <w:spacing w:val="-4"/>
                                <w:sz w:val="24"/>
                              </w:rPr>
                              <w:t>Wats</w:t>
                            </w:r>
                          </w:p>
                        </w:txbxContent>
                      </wps:txbx>
                      <wps:bodyPr wrap="square" lIns="0" tIns="0" rIns="0" bIns="0" rtlCol="0">
                        <a:noAutofit/>
                      </wps:bodyPr>
                    </wps:wsp>
                  </a:graphicData>
                </a:graphic>
              </wp:anchor>
            </w:drawing>
          </mc:Choice>
          <mc:Fallback>
            <w:pict>
              <v:shape style="position:absolute;margin-left:116.174377pt;margin-top:325.247650pt;width:63.45pt;height:14.1pt;mso-position-horizontal-relative:page;mso-position-vertical-relative:page;z-index:-39134720" type="#_x0000_t202" id="docshape230" filled="false" stroked="false">
                <v:textbox inset="0,0,0,0">
                  <w:txbxContent>
                    <w:p>
                      <w:pPr>
                        <w:spacing w:before="0"/>
                        <w:ind w:left="0" w:right="0" w:firstLine="0"/>
                        <w:jc w:val="left"/>
                        <w:rPr>
                          <w:rFonts w:ascii="Cambria"/>
                          <w:i/>
                          <w:sz w:val="24"/>
                        </w:rPr>
                      </w:pPr>
                      <w:r>
                        <w:rPr>
                          <w:rFonts w:ascii="Cambria"/>
                          <w:i/>
                          <w:sz w:val="24"/>
                        </w:rPr>
                        <w:t>Durbin</w:t>
                      </w:r>
                      <w:r>
                        <w:rPr>
                          <w:rFonts w:ascii="Cambria"/>
                          <w:i/>
                          <w:spacing w:val="-5"/>
                          <w:sz w:val="24"/>
                        </w:rPr>
                        <w:t> </w:t>
                      </w:r>
                      <w:r>
                        <w:rPr>
                          <w:rFonts w:ascii="Cambria"/>
                          <w:i/>
                          <w:spacing w:val="-4"/>
                          <w:sz w:val="24"/>
                        </w:rPr>
                        <w:t>Wats</w:t>
                      </w:r>
                    </w:p>
                  </w:txbxContent>
                </v:textbox>
                <w10:wrap type="none"/>
              </v:shape>
            </w:pict>
          </mc:Fallback>
        </mc:AlternateContent>
      </w:r>
      <w:r>
        <w:rPr/>
        <mc:AlternateContent>
          <mc:Choice Requires="wps">
            <w:drawing>
              <wp:anchor distT="0" distB="0" distL="0" distR="0" allowOverlap="1" layoutInCell="1" locked="0" behindDoc="1" simplePos="0" relativeHeight="464182272">
                <wp:simplePos x="0" y="0"/>
                <wp:positionH relativeFrom="page">
                  <wp:posOffset>2281139</wp:posOffset>
                </wp:positionH>
                <wp:positionV relativeFrom="page">
                  <wp:posOffset>4130645</wp:posOffset>
                </wp:positionV>
                <wp:extent cx="575310" cy="179070"/>
                <wp:effectExtent l="0" t="0" r="0" b="0"/>
                <wp:wrapNone/>
                <wp:docPr id="248" name="Textbox 248"/>
                <wp:cNvGraphicFramePr>
                  <a:graphicFrameLocks/>
                </wp:cNvGraphicFramePr>
                <a:graphic>
                  <a:graphicData uri="http://schemas.microsoft.com/office/word/2010/wordprocessingShape">
                    <wps:wsp>
                      <wps:cNvPr id="248" name="Textbox 248"/>
                      <wps:cNvSpPr txBox="1"/>
                      <wps:spPr>
                        <a:xfrm>
                          <a:off x="0" y="0"/>
                          <a:ext cx="575310" cy="179070"/>
                        </a:xfrm>
                        <a:prstGeom prst="rect">
                          <a:avLst/>
                        </a:prstGeom>
                      </wps:spPr>
                      <wps:txbx>
                        <w:txbxContent>
                          <w:p>
                            <w:pPr>
                              <w:spacing w:before="0"/>
                              <w:ind w:left="0" w:right="0" w:firstLine="0"/>
                              <w:jc w:val="left"/>
                              <w:rPr>
                                <w:rFonts w:ascii="Cambria"/>
                                <w:i/>
                                <w:sz w:val="24"/>
                              </w:rPr>
                            </w:pPr>
                            <w:r>
                              <w:rPr>
                                <w:rFonts w:ascii="Cambria"/>
                                <w:i/>
                                <w:sz w:val="24"/>
                              </w:rPr>
                              <w:t>on</w:t>
                            </w:r>
                            <w:r>
                              <w:rPr>
                                <w:rFonts w:ascii="Cambria"/>
                                <w:i/>
                                <w:spacing w:val="-2"/>
                                <w:sz w:val="24"/>
                              </w:rPr>
                              <w:t> </w:t>
                            </w:r>
                            <w:r>
                              <w:rPr>
                                <w:rFonts w:ascii="Cambria"/>
                                <w:i/>
                                <w:spacing w:val="-2"/>
                                <w:sz w:val="24"/>
                              </w:rPr>
                              <w:t>graph</w:t>
                            </w:r>
                          </w:p>
                        </w:txbxContent>
                      </wps:txbx>
                      <wps:bodyPr wrap="square" lIns="0" tIns="0" rIns="0" bIns="0" rtlCol="0">
                        <a:noAutofit/>
                      </wps:bodyPr>
                    </wps:wsp>
                  </a:graphicData>
                </a:graphic>
              </wp:anchor>
            </w:drawing>
          </mc:Choice>
          <mc:Fallback>
            <w:pict>
              <v:shape style="position:absolute;margin-left:179.617294pt;margin-top:325.247650pt;width:45.3pt;height:14.1pt;mso-position-horizontal-relative:page;mso-position-vertical-relative:page;z-index:-39134208" type="#_x0000_t202" id="docshape231" filled="false" stroked="false">
                <v:textbox inset="0,0,0,0">
                  <w:txbxContent>
                    <w:p>
                      <w:pPr>
                        <w:spacing w:before="0"/>
                        <w:ind w:left="0" w:right="0" w:firstLine="0"/>
                        <w:jc w:val="left"/>
                        <w:rPr>
                          <w:rFonts w:ascii="Cambria"/>
                          <w:i/>
                          <w:sz w:val="24"/>
                        </w:rPr>
                      </w:pPr>
                      <w:r>
                        <w:rPr>
                          <w:rFonts w:ascii="Cambria"/>
                          <w:i/>
                          <w:sz w:val="24"/>
                        </w:rPr>
                        <w:t>on</w:t>
                      </w:r>
                      <w:r>
                        <w:rPr>
                          <w:rFonts w:ascii="Cambria"/>
                          <w:i/>
                          <w:spacing w:val="-2"/>
                          <w:sz w:val="24"/>
                        </w:rPr>
                        <w:t> </w:t>
                      </w:r>
                      <w:r>
                        <w:rPr>
                          <w:rFonts w:ascii="Cambria"/>
                          <w:i/>
                          <w:spacing w:val="-2"/>
                          <w:sz w:val="24"/>
                        </w:rPr>
                        <w:t>graph</w:t>
                      </w:r>
                    </w:p>
                  </w:txbxContent>
                </v:textbox>
                <w10:wrap type="none"/>
              </v:shape>
            </w:pict>
          </mc:Fallback>
        </mc:AlternateContent>
      </w:r>
      <w:r>
        <w:rPr>
          <w:rFonts w:ascii="Cambria" w:hAnsi="Cambria"/>
          <w:position w:val="1"/>
        </w:rPr>
        <w:t>The</w:t>
      </w:r>
      <w:r>
        <w:rPr>
          <w:rFonts w:ascii="Cambria" w:hAnsi="Cambria"/>
          <w:spacing w:val="11"/>
          <w:position w:val="1"/>
        </w:rPr>
        <w:t> </w:t>
      </w:r>
      <w:r>
        <w:rPr>
          <w:rFonts w:ascii="Cambria" w:hAnsi="Cambria"/>
          <w:position w:val="1"/>
        </w:rPr>
        <w:t>degree</w:t>
      </w:r>
      <w:r>
        <w:rPr>
          <w:rFonts w:ascii="Cambria" w:hAnsi="Cambria"/>
          <w:spacing w:val="13"/>
          <w:position w:val="1"/>
        </w:rPr>
        <w:t> </w:t>
      </w:r>
      <w:r>
        <w:rPr>
          <w:rFonts w:ascii="Cambria" w:hAnsi="Cambria"/>
          <w:position w:val="1"/>
        </w:rPr>
        <w:t>of</w:t>
      </w:r>
      <w:r>
        <w:rPr>
          <w:rFonts w:ascii="Cambria" w:hAnsi="Cambria"/>
          <w:spacing w:val="12"/>
          <w:position w:val="1"/>
        </w:rPr>
        <w:t> </w:t>
      </w:r>
      <w:r>
        <w:rPr>
          <w:rFonts w:ascii="Cambria" w:hAnsi="Cambria"/>
          <w:position w:val="1"/>
        </w:rPr>
        <w:t>freedom</w:t>
      </w:r>
      <w:r>
        <w:rPr>
          <w:rFonts w:ascii="Cambria" w:hAnsi="Cambria"/>
          <w:spacing w:val="15"/>
          <w:position w:val="1"/>
        </w:rPr>
        <w:t> </w:t>
      </w:r>
      <w:r>
        <w:rPr>
          <w:rFonts w:ascii="Cambria" w:hAnsi="Cambria"/>
          <w:position w:val="1"/>
        </w:rPr>
        <w:t>=</w:t>
      </w:r>
      <w:r>
        <w:rPr>
          <w:rFonts w:ascii="Cambria" w:hAnsi="Cambria"/>
          <w:spacing w:val="12"/>
          <w:position w:val="1"/>
        </w:rPr>
        <w:t> </w:t>
      </w:r>
      <w:r>
        <w:rPr>
          <w:rFonts w:ascii="Cambria" w:hAnsi="Cambria"/>
          <w:position w:val="1"/>
        </w:rPr>
        <w:t>K’</w:t>
      </w:r>
      <w:r>
        <w:rPr>
          <w:rFonts w:ascii="Cambria" w:hAnsi="Cambria"/>
          <w:spacing w:val="13"/>
          <w:position w:val="1"/>
        </w:rPr>
        <w:t> </w:t>
      </w:r>
      <w:r>
        <w:rPr>
          <w:rFonts w:ascii="Cambria" w:hAnsi="Cambria"/>
          <w:position w:val="1"/>
        </w:rPr>
        <w:t>and</w:t>
      </w:r>
      <w:r>
        <w:rPr>
          <w:rFonts w:ascii="Cambria" w:hAnsi="Cambria"/>
          <w:spacing w:val="12"/>
          <w:position w:val="1"/>
        </w:rPr>
        <w:t> </w:t>
      </w:r>
      <w:r>
        <w:rPr>
          <w:rFonts w:ascii="Cambria" w:hAnsi="Cambria"/>
          <w:position w:val="1"/>
        </w:rPr>
        <w:t>=</w:t>
      </w:r>
      <w:r>
        <w:rPr>
          <w:rFonts w:ascii="Cambria" w:hAnsi="Cambria"/>
          <w:spacing w:val="12"/>
          <w:position w:val="1"/>
        </w:rPr>
        <w:t> </w:t>
      </w:r>
      <w:r>
        <w:rPr>
          <w:rFonts w:ascii="Cambria" w:hAnsi="Cambria"/>
          <w:position w:val="1"/>
        </w:rPr>
        <w:t>K</w:t>
      </w:r>
      <w:r>
        <w:rPr>
          <w:rFonts w:ascii="Cambria" w:hAnsi="Cambria"/>
          <w:spacing w:val="14"/>
          <w:position w:val="1"/>
        </w:rPr>
        <w:t> </w:t>
      </w:r>
      <w:r>
        <w:rPr>
          <w:rFonts w:ascii="Cambria" w:hAnsi="Cambria"/>
          <w:position w:val="1"/>
        </w:rPr>
        <w:t>–</w:t>
      </w:r>
      <w:r>
        <w:rPr>
          <w:rFonts w:ascii="Cambria" w:hAnsi="Cambria"/>
          <w:spacing w:val="14"/>
          <w:position w:val="1"/>
        </w:rPr>
        <w:t> </w:t>
      </w:r>
      <w:r>
        <w:rPr>
          <w:rFonts w:ascii="Cambria" w:hAnsi="Cambria"/>
          <w:position w:val="1"/>
        </w:rPr>
        <w:t>1</w:t>
      </w:r>
      <w:r>
        <w:rPr>
          <w:rFonts w:ascii="Cambria" w:hAnsi="Cambria"/>
          <w:spacing w:val="12"/>
          <w:position w:val="1"/>
        </w:rPr>
        <w:t> </w:t>
      </w:r>
      <w:r>
        <w:rPr>
          <w:rFonts w:ascii="Cambria" w:hAnsi="Cambria"/>
          <w:position w:val="1"/>
        </w:rPr>
        <w:t>=</w:t>
      </w:r>
      <w:r>
        <w:rPr>
          <w:rFonts w:ascii="Cambria" w:hAnsi="Cambria"/>
          <w:spacing w:val="12"/>
          <w:position w:val="1"/>
        </w:rPr>
        <w:t> </w:t>
      </w:r>
      <w:r>
        <w:rPr>
          <w:rFonts w:ascii="Cambria" w:hAnsi="Cambria"/>
          <w:position w:val="1"/>
        </w:rPr>
        <w:t>6</w:t>
      </w:r>
      <w:r>
        <w:rPr>
          <w:rFonts w:ascii="Cambria" w:hAnsi="Cambria"/>
          <w:spacing w:val="13"/>
          <w:position w:val="1"/>
        </w:rPr>
        <w:t> </w:t>
      </w:r>
      <w:r>
        <w:rPr>
          <w:rFonts w:ascii="Cambria" w:hAnsi="Cambria"/>
          <w:position w:val="1"/>
        </w:rPr>
        <w:t>–</w:t>
      </w:r>
      <w:r>
        <w:rPr>
          <w:rFonts w:ascii="Cambria" w:hAnsi="Cambria"/>
          <w:spacing w:val="13"/>
          <w:position w:val="1"/>
        </w:rPr>
        <w:t> </w:t>
      </w:r>
      <w:r>
        <w:rPr>
          <w:rFonts w:ascii="Cambria" w:hAnsi="Cambria"/>
          <w:position w:val="1"/>
        </w:rPr>
        <w:t>1</w:t>
      </w:r>
      <w:r>
        <w:rPr>
          <w:rFonts w:ascii="Cambria" w:hAnsi="Cambria"/>
          <w:spacing w:val="12"/>
          <w:position w:val="1"/>
        </w:rPr>
        <w:t> </w:t>
      </w:r>
      <w:r>
        <w:rPr>
          <w:rFonts w:ascii="Cambria" w:hAnsi="Cambria"/>
          <w:position w:val="1"/>
        </w:rPr>
        <w:t>=</w:t>
      </w:r>
      <w:r>
        <w:rPr>
          <w:rFonts w:ascii="Cambria" w:hAnsi="Cambria"/>
          <w:spacing w:val="13"/>
          <w:position w:val="1"/>
        </w:rPr>
        <w:t> </w:t>
      </w:r>
      <w:r>
        <w:rPr>
          <w:rFonts w:ascii="Cambria" w:hAnsi="Cambria"/>
          <w:position w:val="1"/>
        </w:rPr>
        <w:t>5</w:t>
      </w:r>
      <w:r>
        <w:rPr>
          <w:rFonts w:ascii="Cambria" w:hAnsi="Cambria"/>
          <w:spacing w:val="12"/>
          <w:position w:val="1"/>
        </w:rPr>
        <w:t> </w:t>
      </w:r>
      <w:r>
        <w:rPr>
          <w:rFonts w:ascii="Cambria" w:hAnsi="Cambria"/>
          <w:position w:val="1"/>
        </w:rPr>
        <w:t>and</w:t>
      </w:r>
      <w:r>
        <w:rPr>
          <w:rFonts w:ascii="Cambria" w:hAnsi="Cambria"/>
          <w:spacing w:val="11"/>
          <w:position w:val="1"/>
        </w:rPr>
        <w:t> </w:t>
      </w:r>
      <w:r>
        <w:rPr>
          <w:rFonts w:ascii="Cambria" w:hAnsi="Cambria"/>
          <w:position w:val="1"/>
        </w:rPr>
        <w:t>the</w:t>
      </w:r>
      <w:r>
        <w:rPr>
          <w:rFonts w:ascii="Cambria" w:hAnsi="Cambria"/>
          <w:spacing w:val="14"/>
          <w:position w:val="1"/>
        </w:rPr>
        <w:t> </w:t>
      </w:r>
      <w:r>
        <w:rPr>
          <w:rFonts w:ascii="Cambria" w:hAnsi="Cambria"/>
          <w:position w:val="1"/>
        </w:rPr>
        <w:t>number</w:t>
      </w:r>
      <w:r>
        <w:rPr>
          <w:rFonts w:ascii="Cambria" w:hAnsi="Cambria"/>
          <w:spacing w:val="12"/>
          <w:position w:val="1"/>
        </w:rPr>
        <w:t> </w:t>
      </w:r>
      <w:r>
        <w:rPr>
          <w:rFonts w:ascii="Cambria" w:hAnsi="Cambria"/>
          <w:position w:val="1"/>
        </w:rPr>
        <w:t>of</w:t>
      </w:r>
      <w:r>
        <w:rPr>
          <w:rFonts w:ascii="Cambria" w:hAnsi="Cambria"/>
          <w:spacing w:val="12"/>
          <w:position w:val="1"/>
        </w:rPr>
        <w:t> </w:t>
      </w:r>
      <w:r>
        <w:rPr>
          <w:rFonts w:ascii="Cambria" w:hAnsi="Cambria"/>
          <w:position w:val="1"/>
        </w:rPr>
        <w:t>years</w:t>
      </w:r>
      <w:r>
        <w:rPr>
          <w:rFonts w:ascii="Cambria" w:hAnsi="Cambria"/>
          <w:spacing w:val="14"/>
          <w:position w:val="1"/>
        </w:rPr>
        <w:t> </w:t>
      </w:r>
      <w:r>
        <w:rPr>
          <w:rFonts w:ascii="Cambria" w:hAnsi="Cambria"/>
          <w:position w:val="1"/>
        </w:rPr>
        <w:t>is</w:t>
      </w:r>
      <w:r>
        <w:rPr>
          <w:rFonts w:ascii="Cambria" w:hAnsi="Cambria"/>
          <w:spacing w:val="13"/>
          <w:position w:val="1"/>
        </w:rPr>
        <w:t> </w:t>
      </w:r>
      <w:r>
        <w:rPr>
          <w:rFonts w:ascii="Cambria" w:hAnsi="Cambria"/>
          <w:position w:val="1"/>
        </w:rPr>
        <w:t>42</w:t>
      </w:r>
      <w:r>
        <w:rPr>
          <w:rFonts w:ascii="Cambria" w:hAnsi="Cambria"/>
          <w:spacing w:val="12"/>
          <w:position w:val="1"/>
        </w:rPr>
        <w:t> </w:t>
      </w:r>
      <w:r>
        <w:rPr>
          <w:rFonts w:ascii="Cambria" w:hAnsi="Cambria"/>
          <w:position w:val="1"/>
        </w:rPr>
        <w:t>years.</w:t>
      </w:r>
      <w:r>
        <w:rPr>
          <w:rFonts w:ascii="Cambria" w:hAnsi="Cambria"/>
          <w:spacing w:val="15"/>
          <w:position w:val="1"/>
        </w:rPr>
        <w:t> </w:t>
      </w:r>
      <w:r>
        <w:rPr>
          <w:rFonts w:ascii="Cambria" w:hAnsi="Cambria"/>
          <w:position w:val="1"/>
        </w:rPr>
        <w:t>Thus,</w:t>
      </w:r>
      <w:r>
        <w:rPr>
          <w:rFonts w:ascii="Cambria" w:hAnsi="Cambria"/>
          <w:spacing w:val="78"/>
          <w:position w:val="1"/>
        </w:rPr>
        <w:t> </w:t>
      </w:r>
      <w:r>
        <w:rPr>
          <w:rFonts w:ascii="Cambria" w:hAnsi="Cambria"/>
          <w:position w:val="1"/>
        </w:rPr>
        <w:t>*D</w:t>
      </w:r>
      <w:r>
        <w:rPr>
          <w:rFonts w:ascii="Cambria" w:hAnsi="Cambria"/>
          <w:sz w:val="16"/>
        </w:rPr>
        <w:t>L</w:t>
      </w:r>
      <w:r>
        <w:rPr>
          <w:rFonts w:ascii="Cambria" w:hAnsi="Cambria"/>
          <w:spacing w:val="32"/>
          <w:sz w:val="16"/>
        </w:rPr>
        <w:t> </w:t>
      </w:r>
      <w:r>
        <w:rPr>
          <w:rFonts w:ascii="Cambria" w:hAnsi="Cambria"/>
          <w:spacing w:val="-10"/>
          <w:position w:val="1"/>
        </w:rPr>
        <w:t>=</w:t>
      </w:r>
    </w:p>
    <w:p>
      <w:pPr>
        <w:pStyle w:val="BodyText"/>
        <w:tabs>
          <w:tab w:pos="2871" w:val="left" w:leader="none"/>
        </w:tabs>
        <w:spacing w:before="280"/>
        <w:ind w:left="711"/>
        <w:rPr>
          <w:rFonts w:ascii="Cambria" w:hAnsi="Cambria"/>
        </w:rPr>
      </w:pPr>
      <w:r>
        <w:rPr>
          <w:rFonts w:ascii="Cambria" w:hAnsi="Cambria"/>
          <w:position w:val="1"/>
        </w:rPr>
        <w:t>1.230</w:t>
      </w:r>
      <w:r>
        <w:rPr>
          <w:rFonts w:ascii="Cambria" w:hAnsi="Cambria"/>
          <w:spacing w:val="58"/>
          <w:w w:val="150"/>
          <w:position w:val="1"/>
        </w:rPr>
        <w:t> </w:t>
      </w:r>
      <w:r>
        <w:rPr>
          <w:rFonts w:ascii="Cambria" w:hAnsi="Cambria"/>
          <w:position w:val="1"/>
        </w:rPr>
        <w:t>*D</w:t>
      </w:r>
      <w:r>
        <w:rPr>
          <w:rFonts w:ascii="Cambria" w:hAnsi="Cambria"/>
          <w:sz w:val="16"/>
        </w:rPr>
        <w:t>u</w:t>
      </w:r>
      <w:r>
        <w:rPr>
          <w:rFonts w:ascii="Cambria" w:hAnsi="Cambria"/>
          <w:spacing w:val="16"/>
          <w:sz w:val="16"/>
        </w:rPr>
        <w:t> </w:t>
      </w:r>
      <w:r>
        <w:rPr>
          <w:rFonts w:ascii="Cambria" w:hAnsi="Cambria"/>
          <w:position w:val="1"/>
        </w:rPr>
        <w:t>=</w:t>
      </w:r>
      <w:r>
        <w:rPr>
          <w:rFonts w:ascii="Cambria" w:hAnsi="Cambria"/>
          <w:spacing w:val="-2"/>
          <w:position w:val="1"/>
        </w:rPr>
        <w:t> </w:t>
      </w:r>
      <w:r>
        <w:rPr>
          <w:rFonts w:ascii="Cambria" w:hAnsi="Cambria"/>
          <w:spacing w:val="-4"/>
          <w:position w:val="1"/>
        </w:rPr>
        <w:t>1.786</w:t>
      </w:r>
      <w:r>
        <w:rPr>
          <w:rFonts w:ascii="Cambria" w:hAnsi="Cambria"/>
          <w:position w:val="1"/>
        </w:rPr>
        <w:tab/>
        <w:t>at</w:t>
      </w:r>
      <w:r>
        <w:rPr>
          <w:rFonts w:ascii="Cambria" w:hAnsi="Cambria"/>
          <w:spacing w:val="4"/>
          <w:position w:val="1"/>
        </w:rPr>
        <w:t> </w:t>
      </w:r>
      <w:r>
        <w:rPr>
          <w:rFonts w:ascii="Cambria" w:hAnsi="Cambria"/>
          <w:position w:val="1"/>
        </w:rPr>
        <w:t>5%</w:t>
      </w:r>
      <w:r>
        <w:rPr>
          <w:rFonts w:ascii="Cambria" w:hAnsi="Cambria"/>
          <w:spacing w:val="6"/>
          <w:position w:val="1"/>
        </w:rPr>
        <w:t> </w:t>
      </w:r>
      <w:r>
        <w:rPr>
          <w:rFonts w:ascii="Cambria" w:hAnsi="Cambria"/>
          <w:position w:val="1"/>
        </w:rPr>
        <w:t>significant</w:t>
      </w:r>
      <w:r>
        <w:rPr>
          <w:rFonts w:ascii="Cambria" w:hAnsi="Cambria"/>
          <w:spacing w:val="6"/>
          <w:position w:val="1"/>
        </w:rPr>
        <w:t> </w:t>
      </w:r>
      <w:r>
        <w:rPr>
          <w:rFonts w:ascii="Cambria" w:hAnsi="Cambria"/>
          <w:position w:val="1"/>
        </w:rPr>
        <w:t>level</w:t>
      </w:r>
      <w:r>
        <w:rPr>
          <w:rFonts w:ascii="Cambria" w:hAnsi="Cambria"/>
          <w:spacing w:val="6"/>
          <w:position w:val="1"/>
        </w:rPr>
        <w:t> </w:t>
      </w:r>
      <w:r>
        <w:rPr>
          <w:rFonts w:ascii="Cambria" w:hAnsi="Cambria"/>
          <w:position w:val="1"/>
        </w:rPr>
        <w:t>(as</w:t>
      </w:r>
      <w:r>
        <w:rPr>
          <w:rFonts w:ascii="Cambria" w:hAnsi="Cambria"/>
          <w:spacing w:val="6"/>
          <w:position w:val="1"/>
        </w:rPr>
        <w:t> </w:t>
      </w:r>
      <w:r>
        <w:rPr>
          <w:rFonts w:ascii="Cambria" w:hAnsi="Cambria"/>
          <w:position w:val="1"/>
        </w:rPr>
        <w:t>in</w:t>
      </w:r>
      <w:r>
        <w:rPr>
          <w:rFonts w:ascii="Cambria" w:hAnsi="Cambria"/>
          <w:spacing w:val="6"/>
          <w:position w:val="1"/>
        </w:rPr>
        <w:t> </w:t>
      </w:r>
      <w:r>
        <w:rPr>
          <w:rFonts w:ascii="Cambria" w:hAnsi="Cambria"/>
          <w:position w:val="1"/>
        </w:rPr>
        <w:t>table</w:t>
      </w:r>
      <w:r>
        <w:rPr>
          <w:rFonts w:ascii="Cambria" w:hAnsi="Cambria"/>
          <w:spacing w:val="6"/>
          <w:position w:val="1"/>
        </w:rPr>
        <w:t> </w:t>
      </w:r>
      <w:r>
        <w:rPr>
          <w:rFonts w:ascii="Cambria" w:hAnsi="Cambria"/>
          <w:position w:val="1"/>
        </w:rPr>
        <w:t>value),</w:t>
      </w:r>
      <w:r>
        <w:rPr>
          <w:rFonts w:ascii="Cambria" w:hAnsi="Cambria"/>
          <w:spacing w:val="6"/>
          <w:position w:val="1"/>
        </w:rPr>
        <w:t> </w:t>
      </w:r>
      <w:r>
        <w:rPr>
          <w:rFonts w:ascii="Cambria" w:hAnsi="Cambria"/>
          <w:position w:val="1"/>
        </w:rPr>
        <w:t>4</w:t>
      </w:r>
      <w:r>
        <w:rPr>
          <w:rFonts w:ascii="Cambria" w:hAnsi="Cambria"/>
          <w:spacing w:val="8"/>
          <w:position w:val="1"/>
        </w:rPr>
        <w:t> </w:t>
      </w:r>
      <w:r>
        <w:rPr>
          <w:rFonts w:ascii="Cambria" w:hAnsi="Cambria"/>
          <w:position w:val="1"/>
        </w:rPr>
        <w:t>–</w:t>
      </w:r>
      <w:r>
        <w:rPr>
          <w:rFonts w:ascii="Cambria" w:hAnsi="Cambria"/>
          <w:spacing w:val="6"/>
          <w:position w:val="1"/>
        </w:rPr>
        <w:t> </w:t>
      </w:r>
      <w:r>
        <w:rPr>
          <w:rFonts w:ascii="Cambria" w:hAnsi="Cambria"/>
          <w:position w:val="1"/>
        </w:rPr>
        <w:t>D</w:t>
      </w:r>
      <w:r>
        <w:rPr>
          <w:rFonts w:ascii="Cambria" w:hAnsi="Cambria"/>
          <w:sz w:val="16"/>
        </w:rPr>
        <w:t>L</w:t>
      </w:r>
      <w:r>
        <w:rPr>
          <w:rFonts w:ascii="Cambria" w:hAnsi="Cambria"/>
          <w:spacing w:val="23"/>
          <w:sz w:val="16"/>
        </w:rPr>
        <w:t> </w:t>
      </w:r>
      <w:r>
        <w:rPr>
          <w:rFonts w:ascii="Cambria" w:hAnsi="Cambria"/>
          <w:position w:val="1"/>
        </w:rPr>
        <w:t>=</w:t>
      </w:r>
      <w:r>
        <w:rPr>
          <w:rFonts w:ascii="Cambria" w:hAnsi="Cambria"/>
          <w:spacing w:val="6"/>
          <w:position w:val="1"/>
        </w:rPr>
        <w:t> </w:t>
      </w:r>
      <w:r>
        <w:rPr>
          <w:rFonts w:ascii="Cambria" w:hAnsi="Cambria"/>
          <w:position w:val="1"/>
        </w:rPr>
        <w:t>4</w:t>
      </w:r>
      <w:r>
        <w:rPr>
          <w:rFonts w:ascii="Cambria" w:hAnsi="Cambria"/>
          <w:spacing w:val="5"/>
          <w:position w:val="1"/>
        </w:rPr>
        <w:t> </w:t>
      </w:r>
      <w:r>
        <w:rPr>
          <w:rFonts w:ascii="Cambria" w:hAnsi="Cambria"/>
          <w:position w:val="1"/>
        </w:rPr>
        <w:t>–</w:t>
      </w:r>
      <w:r>
        <w:rPr>
          <w:rFonts w:ascii="Cambria" w:hAnsi="Cambria"/>
          <w:spacing w:val="7"/>
          <w:position w:val="1"/>
        </w:rPr>
        <w:t> </w:t>
      </w:r>
      <w:r>
        <w:rPr>
          <w:rFonts w:ascii="Cambria" w:hAnsi="Cambria"/>
          <w:position w:val="1"/>
        </w:rPr>
        <w:t>1.230</w:t>
      </w:r>
      <w:r>
        <w:rPr>
          <w:rFonts w:ascii="Cambria" w:hAnsi="Cambria"/>
          <w:spacing w:val="7"/>
          <w:position w:val="1"/>
        </w:rPr>
        <w:t> </w:t>
      </w:r>
      <w:r>
        <w:rPr>
          <w:rFonts w:ascii="Cambria" w:hAnsi="Cambria"/>
          <w:position w:val="1"/>
        </w:rPr>
        <w:t>=</w:t>
      </w:r>
      <w:r>
        <w:rPr>
          <w:rFonts w:ascii="Cambria" w:hAnsi="Cambria"/>
          <w:spacing w:val="5"/>
          <w:position w:val="1"/>
        </w:rPr>
        <w:t> </w:t>
      </w:r>
      <w:r>
        <w:rPr>
          <w:rFonts w:ascii="Cambria" w:hAnsi="Cambria"/>
          <w:position w:val="1"/>
        </w:rPr>
        <w:t>2.774</w:t>
      </w:r>
      <w:r>
        <w:rPr>
          <w:rFonts w:ascii="Cambria" w:hAnsi="Cambria"/>
          <w:spacing w:val="6"/>
          <w:position w:val="1"/>
        </w:rPr>
        <w:t> </w:t>
      </w:r>
      <w:r>
        <w:rPr>
          <w:rFonts w:ascii="Cambria" w:hAnsi="Cambria"/>
          <w:position w:val="1"/>
        </w:rPr>
        <w:t>and</w:t>
      </w:r>
      <w:r>
        <w:rPr>
          <w:rFonts w:ascii="Cambria" w:hAnsi="Cambria"/>
          <w:spacing w:val="4"/>
          <w:position w:val="1"/>
        </w:rPr>
        <w:t> </w:t>
      </w:r>
      <w:r>
        <w:rPr>
          <w:rFonts w:ascii="Cambria" w:hAnsi="Cambria"/>
          <w:position w:val="1"/>
        </w:rPr>
        <w:t>4</w:t>
      </w:r>
      <w:r>
        <w:rPr>
          <w:rFonts w:ascii="Cambria" w:hAnsi="Cambria"/>
          <w:spacing w:val="7"/>
          <w:position w:val="1"/>
        </w:rPr>
        <w:t> </w:t>
      </w:r>
      <w:r>
        <w:rPr>
          <w:rFonts w:ascii="Cambria" w:hAnsi="Cambria"/>
          <w:position w:val="1"/>
        </w:rPr>
        <w:t>–</w:t>
      </w:r>
      <w:r>
        <w:rPr>
          <w:rFonts w:ascii="Cambria" w:hAnsi="Cambria"/>
          <w:spacing w:val="7"/>
          <w:position w:val="1"/>
        </w:rPr>
        <w:t> </w:t>
      </w:r>
      <w:r>
        <w:rPr>
          <w:rFonts w:ascii="Cambria" w:hAnsi="Cambria"/>
          <w:position w:val="1"/>
        </w:rPr>
        <w:t>D</w:t>
      </w:r>
      <w:r>
        <w:rPr>
          <w:rFonts w:ascii="Cambria" w:hAnsi="Cambria"/>
          <w:sz w:val="16"/>
        </w:rPr>
        <w:t>u</w:t>
      </w:r>
      <w:r>
        <w:rPr>
          <w:rFonts w:ascii="Cambria" w:hAnsi="Cambria"/>
          <w:spacing w:val="24"/>
          <w:sz w:val="16"/>
        </w:rPr>
        <w:t> </w:t>
      </w:r>
      <w:r>
        <w:rPr>
          <w:rFonts w:ascii="Cambria" w:hAnsi="Cambria"/>
          <w:spacing w:val="-10"/>
          <w:position w:val="1"/>
        </w:rPr>
        <w:t>=</w:t>
      </w:r>
    </w:p>
    <w:p>
      <w:pPr>
        <w:pStyle w:val="BodyText"/>
        <w:spacing w:before="2"/>
        <w:rPr>
          <w:rFonts w:ascii="Cambria"/>
        </w:rPr>
      </w:pPr>
    </w:p>
    <w:p>
      <w:pPr>
        <w:pStyle w:val="BodyText"/>
        <w:ind w:left="711"/>
        <w:rPr>
          <w:rFonts w:ascii="Cambria" w:hAnsi="Cambria"/>
        </w:rPr>
      </w:pPr>
      <w:r>
        <w:rPr>
          <w:rFonts w:ascii="Cambria" w:hAnsi="Cambria"/>
        </w:rPr>
        <w:t>4</w:t>
      </w:r>
      <w:r>
        <w:rPr>
          <w:rFonts w:ascii="Cambria" w:hAnsi="Cambria"/>
          <w:spacing w:val="-4"/>
        </w:rPr>
        <w:t> </w:t>
      </w:r>
      <w:r>
        <w:rPr>
          <w:rFonts w:ascii="Cambria" w:hAnsi="Cambria"/>
        </w:rPr>
        <w:t>–</w:t>
      </w:r>
      <w:r>
        <w:rPr>
          <w:rFonts w:ascii="Cambria" w:hAnsi="Cambria"/>
          <w:spacing w:val="-1"/>
        </w:rPr>
        <w:t> </w:t>
      </w:r>
      <w:r>
        <w:rPr>
          <w:rFonts w:ascii="Cambria" w:hAnsi="Cambria"/>
        </w:rPr>
        <w:t>1.786 =</w:t>
      </w:r>
      <w:r>
        <w:rPr>
          <w:rFonts w:ascii="Cambria" w:hAnsi="Cambria"/>
          <w:spacing w:val="-1"/>
        </w:rPr>
        <w:t> </w:t>
      </w:r>
      <w:r>
        <w:rPr>
          <w:rFonts w:ascii="Cambria" w:hAnsi="Cambria"/>
          <w:spacing w:val="-4"/>
        </w:rPr>
        <w:t>2.214</w:t>
      </w:r>
    </w:p>
    <w:p>
      <w:pPr>
        <w:pStyle w:val="Heading6"/>
        <w:spacing w:before="280"/>
        <w:jc w:val="left"/>
        <w:rPr>
          <w:rFonts w:ascii="Cambria"/>
        </w:rPr>
      </w:pPr>
      <w:r>
        <w:rPr/>
        <w:t>Figure</w:t>
      </w:r>
      <w:r>
        <w:rPr>
          <w:spacing w:val="-8"/>
        </w:rPr>
        <w:t> </w:t>
      </w:r>
      <w:r>
        <w:rPr>
          <w:rFonts w:ascii="Cambria"/>
          <w:spacing w:val="-5"/>
        </w:rPr>
        <w:t>4.9</w:t>
      </w:r>
    </w:p>
    <w:p>
      <w:pPr>
        <w:pStyle w:val="BodyText"/>
        <w:spacing w:before="31"/>
        <w:rPr>
          <w:rFonts w:ascii="Cambria"/>
          <w:b/>
          <w:sz w:val="20"/>
        </w:rPr>
      </w:pPr>
      <w:r>
        <w:rPr/>
        <mc:AlternateContent>
          <mc:Choice Requires="wps">
            <w:drawing>
              <wp:anchor distT="0" distB="0" distL="0" distR="0" allowOverlap="1" layoutInCell="1" locked="0" behindDoc="1" simplePos="0" relativeHeight="487617536">
                <wp:simplePos x="0" y="0"/>
                <wp:positionH relativeFrom="page">
                  <wp:posOffset>653795</wp:posOffset>
                </wp:positionH>
                <wp:positionV relativeFrom="paragraph">
                  <wp:posOffset>184381</wp:posOffset>
                </wp:positionV>
                <wp:extent cx="5652135" cy="4407535"/>
                <wp:effectExtent l="0" t="0" r="0" b="0"/>
                <wp:wrapTopAndBottom/>
                <wp:docPr id="249" name="Group 249"/>
                <wp:cNvGraphicFramePr>
                  <a:graphicFrameLocks/>
                </wp:cNvGraphicFramePr>
                <a:graphic>
                  <a:graphicData uri="http://schemas.microsoft.com/office/word/2010/wordprocessingGroup">
                    <wpg:wgp>
                      <wpg:cNvPr id="249" name="Group 249"/>
                      <wpg:cNvGrpSpPr/>
                      <wpg:grpSpPr>
                        <a:xfrm>
                          <a:off x="0" y="0"/>
                          <a:ext cx="5652135" cy="4407535"/>
                          <a:chExt cx="5652135" cy="4407535"/>
                        </a:xfrm>
                      </wpg:grpSpPr>
                      <wps:wsp>
                        <wps:cNvPr id="250" name="Graphic 250"/>
                        <wps:cNvSpPr/>
                        <wps:spPr>
                          <a:xfrm>
                            <a:off x="79628" y="965870"/>
                            <a:ext cx="5286375" cy="2934335"/>
                          </a:xfrm>
                          <a:custGeom>
                            <a:avLst/>
                            <a:gdLst/>
                            <a:ahLst/>
                            <a:cxnLst/>
                            <a:rect l="l" t="t" r="r" b="b"/>
                            <a:pathLst>
                              <a:path w="5286375" h="2934335">
                                <a:moveTo>
                                  <a:pt x="0" y="2933918"/>
                                </a:moveTo>
                                <a:lnTo>
                                  <a:pt x="32651" y="2886379"/>
                                </a:lnTo>
                                <a:lnTo>
                                  <a:pt x="65296" y="2838856"/>
                                </a:lnTo>
                                <a:lnTo>
                                  <a:pt x="97929" y="2791364"/>
                                </a:lnTo>
                                <a:lnTo>
                                  <a:pt x="130542" y="2743918"/>
                                </a:lnTo>
                                <a:lnTo>
                                  <a:pt x="163128" y="2696534"/>
                                </a:lnTo>
                                <a:lnTo>
                                  <a:pt x="195680" y="2649227"/>
                                </a:lnTo>
                                <a:lnTo>
                                  <a:pt x="228191" y="2602013"/>
                                </a:lnTo>
                                <a:lnTo>
                                  <a:pt x="260653" y="2554907"/>
                                </a:lnTo>
                                <a:lnTo>
                                  <a:pt x="293060" y="2507925"/>
                                </a:lnTo>
                                <a:lnTo>
                                  <a:pt x="325404" y="2461082"/>
                                </a:lnTo>
                                <a:lnTo>
                                  <a:pt x="357678" y="2414393"/>
                                </a:lnTo>
                                <a:lnTo>
                                  <a:pt x="389876" y="2367874"/>
                                </a:lnTo>
                                <a:lnTo>
                                  <a:pt x="421989" y="2321541"/>
                                </a:lnTo>
                                <a:lnTo>
                                  <a:pt x="454011" y="2275409"/>
                                </a:lnTo>
                                <a:lnTo>
                                  <a:pt x="485935" y="2229493"/>
                                </a:lnTo>
                                <a:lnTo>
                                  <a:pt x="517753" y="2183809"/>
                                </a:lnTo>
                                <a:lnTo>
                                  <a:pt x="549458" y="2138372"/>
                                </a:lnTo>
                                <a:lnTo>
                                  <a:pt x="581044" y="2093198"/>
                                </a:lnTo>
                                <a:lnTo>
                                  <a:pt x="612503" y="2048301"/>
                                </a:lnTo>
                                <a:lnTo>
                                  <a:pt x="643829" y="2003699"/>
                                </a:lnTo>
                                <a:lnTo>
                                  <a:pt x="675013" y="1959406"/>
                                </a:lnTo>
                                <a:lnTo>
                                  <a:pt x="706048" y="1915437"/>
                                </a:lnTo>
                                <a:lnTo>
                                  <a:pt x="736929" y="1871808"/>
                                </a:lnTo>
                                <a:lnTo>
                                  <a:pt x="767646" y="1828534"/>
                                </a:lnTo>
                                <a:lnTo>
                                  <a:pt x="798195" y="1785632"/>
                                </a:lnTo>
                                <a:lnTo>
                                  <a:pt x="828566" y="1743115"/>
                                </a:lnTo>
                                <a:lnTo>
                                  <a:pt x="858753" y="1701001"/>
                                </a:lnTo>
                                <a:lnTo>
                                  <a:pt x="888750" y="1659304"/>
                                </a:lnTo>
                                <a:lnTo>
                                  <a:pt x="918548" y="1618039"/>
                                </a:lnTo>
                                <a:lnTo>
                                  <a:pt x="948141" y="1577223"/>
                                </a:lnTo>
                                <a:lnTo>
                                  <a:pt x="977521" y="1536870"/>
                                </a:lnTo>
                                <a:lnTo>
                                  <a:pt x="1006682" y="1496996"/>
                                </a:lnTo>
                                <a:lnTo>
                                  <a:pt x="1035616" y="1457617"/>
                                </a:lnTo>
                                <a:lnTo>
                                  <a:pt x="1064317" y="1418748"/>
                                </a:lnTo>
                                <a:lnTo>
                                  <a:pt x="1092776" y="1380404"/>
                                </a:lnTo>
                                <a:lnTo>
                                  <a:pt x="1120987" y="1342601"/>
                                </a:lnTo>
                                <a:lnTo>
                                  <a:pt x="1148943" y="1305354"/>
                                </a:lnTo>
                                <a:lnTo>
                                  <a:pt x="1176637" y="1268679"/>
                                </a:lnTo>
                                <a:lnTo>
                                  <a:pt x="1204061" y="1232592"/>
                                </a:lnTo>
                                <a:lnTo>
                                  <a:pt x="1231209" y="1197107"/>
                                </a:lnTo>
                                <a:lnTo>
                                  <a:pt x="1258072" y="1162240"/>
                                </a:lnTo>
                                <a:lnTo>
                                  <a:pt x="1284645" y="1128007"/>
                                </a:lnTo>
                                <a:lnTo>
                                  <a:pt x="1310920" y="1094422"/>
                                </a:lnTo>
                                <a:lnTo>
                                  <a:pt x="1336890" y="1061503"/>
                                </a:lnTo>
                                <a:lnTo>
                                  <a:pt x="1362547" y="1029263"/>
                                </a:lnTo>
                                <a:lnTo>
                                  <a:pt x="1387885" y="997719"/>
                                </a:lnTo>
                                <a:lnTo>
                                  <a:pt x="1412896" y="966885"/>
                                </a:lnTo>
                                <a:lnTo>
                                  <a:pt x="1437574" y="936778"/>
                                </a:lnTo>
                                <a:lnTo>
                                  <a:pt x="1461911" y="907412"/>
                                </a:lnTo>
                                <a:lnTo>
                                  <a:pt x="1534790" y="821623"/>
                                </a:lnTo>
                                <a:lnTo>
                                  <a:pt x="1582279" y="767594"/>
                                </a:lnTo>
                                <a:lnTo>
                                  <a:pt x="1628421" y="716587"/>
                                </a:lnTo>
                                <a:lnTo>
                                  <a:pt x="1673269" y="668470"/>
                                </a:lnTo>
                                <a:lnTo>
                                  <a:pt x="1716876" y="623112"/>
                                </a:lnTo>
                                <a:lnTo>
                                  <a:pt x="1759297" y="580382"/>
                                </a:lnTo>
                                <a:lnTo>
                                  <a:pt x="1800585" y="540149"/>
                                </a:lnTo>
                                <a:lnTo>
                                  <a:pt x="1840794" y="502282"/>
                                </a:lnTo>
                                <a:lnTo>
                                  <a:pt x="1879978" y="466650"/>
                                </a:lnTo>
                                <a:lnTo>
                                  <a:pt x="1918190" y="433122"/>
                                </a:lnTo>
                                <a:lnTo>
                                  <a:pt x="1955485" y="401566"/>
                                </a:lnTo>
                                <a:lnTo>
                                  <a:pt x="1991915" y="371852"/>
                                </a:lnTo>
                                <a:lnTo>
                                  <a:pt x="2027535" y="343848"/>
                                </a:lnTo>
                                <a:lnTo>
                                  <a:pt x="2062399" y="317424"/>
                                </a:lnTo>
                                <a:lnTo>
                                  <a:pt x="2096560" y="292449"/>
                                </a:lnTo>
                                <a:lnTo>
                                  <a:pt x="2130072" y="268790"/>
                                </a:lnTo>
                                <a:lnTo>
                                  <a:pt x="2162988" y="246318"/>
                                </a:lnTo>
                                <a:lnTo>
                                  <a:pt x="2195363" y="224901"/>
                                </a:lnTo>
                                <a:lnTo>
                                  <a:pt x="2258703" y="184708"/>
                                </a:lnTo>
                                <a:lnTo>
                                  <a:pt x="2320522" y="147163"/>
                                </a:lnTo>
                                <a:lnTo>
                                  <a:pt x="2381250" y="111216"/>
                                </a:lnTo>
                                <a:lnTo>
                                  <a:pt x="2438868" y="79054"/>
                                </a:lnTo>
                                <a:lnTo>
                                  <a:pt x="2491625" y="53206"/>
                                </a:lnTo>
                                <a:lnTo>
                                  <a:pt x="2540347" y="33139"/>
                                </a:lnTo>
                                <a:lnTo>
                                  <a:pt x="2585861" y="18318"/>
                                </a:lnTo>
                                <a:lnTo>
                                  <a:pt x="2628993" y="8210"/>
                                </a:lnTo>
                                <a:lnTo>
                                  <a:pt x="2670571" y="2282"/>
                                </a:lnTo>
                                <a:lnTo>
                                  <a:pt x="2711422" y="0"/>
                                </a:lnTo>
                                <a:lnTo>
                                  <a:pt x="2752372" y="830"/>
                                </a:lnTo>
                                <a:lnTo>
                                  <a:pt x="2794248" y="4238"/>
                                </a:lnTo>
                                <a:lnTo>
                                  <a:pt x="2837876" y="9693"/>
                                </a:lnTo>
                                <a:lnTo>
                                  <a:pt x="2884085" y="16658"/>
                                </a:lnTo>
                                <a:lnTo>
                                  <a:pt x="2933700" y="24602"/>
                                </a:lnTo>
                                <a:lnTo>
                                  <a:pt x="2975729" y="31949"/>
                                </a:lnTo>
                                <a:lnTo>
                                  <a:pt x="3019137" y="40804"/>
                                </a:lnTo>
                                <a:lnTo>
                                  <a:pt x="3063727" y="51203"/>
                                </a:lnTo>
                                <a:lnTo>
                                  <a:pt x="3109303" y="63182"/>
                                </a:lnTo>
                                <a:lnTo>
                                  <a:pt x="3155667" y="76776"/>
                                </a:lnTo>
                                <a:lnTo>
                                  <a:pt x="3202625" y="92020"/>
                                </a:lnTo>
                                <a:lnTo>
                                  <a:pt x="3249978" y="108950"/>
                                </a:lnTo>
                                <a:lnTo>
                                  <a:pt x="3297531" y="127601"/>
                                </a:lnTo>
                                <a:lnTo>
                                  <a:pt x="3345088" y="148009"/>
                                </a:lnTo>
                                <a:lnTo>
                                  <a:pt x="3392452" y="170210"/>
                                </a:lnTo>
                                <a:lnTo>
                                  <a:pt x="3439426" y="194238"/>
                                </a:lnTo>
                                <a:lnTo>
                                  <a:pt x="3485814" y="220129"/>
                                </a:lnTo>
                                <a:lnTo>
                                  <a:pt x="3531420" y="247919"/>
                                </a:lnTo>
                                <a:lnTo>
                                  <a:pt x="3576047" y="277643"/>
                                </a:lnTo>
                                <a:lnTo>
                                  <a:pt x="3619500" y="309336"/>
                                </a:lnTo>
                                <a:lnTo>
                                  <a:pt x="3654236" y="335990"/>
                                </a:lnTo>
                                <a:lnTo>
                                  <a:pt x="3687303" y="361756"/>
                                </a:lnTo>
                                <a:lnTo>
                                  <a:pt x="3718983" y="387061"/>
                                </a:lnTo>
                                <a:lnTo>
                                  <a:pt x="3749557" y="412334"/>
                                </a:lnTo>
                                <a:lnTo>
                                  <a:pt x="3779308" y="438003"/>
                                </a:lnTo>
                                <a:lnTo>
                                  <a:pt x="3808518" y="464497"/>
                                </a:lnTo>
                                <a:lnTo>
                                  <a:pt x="3837469" y="492244"/>
                                </a:lnTo>
                                <a:lnTo>
                                  <a:pt x="3866444" y="521671"/>
                                </a:lnTo>
                                <a:lnTo>
                                  <a:pt x="3895725" y="553208"/>
                                </a:lnTo>
                                <a:lnTo>
                                  <a:pt x="3925593" y="587282"/>
                                </a:lnTo>
                                <a:lnTo>
                                  <a:pt x="3956332" y="624323"/>
                                </a:lnTo>
                                <a:lnTo>
                                  <a:pt x="3988223" y="664757"/>
                                </a:lnTo>
                                <a:lnTo>
                                  <a:pt x="4021549" y="709015"/>
                                </a:lnTo>
                                <a:lnTo>
                                  <a:pt x="4056591" y="757523"/>
                                </a:lnTo>
                                <a:lnTo>
                                  <a:pt x="4093633" y="810710"/>
                                </a:lnTo>
                                <a:lnTo>
                                  <a:pt x="4132956" y="869004"/>
                                </a:lnTo>
                                <a:lnTo>
                                  <a:pt x="4174842" y="932835"/>
                                </a:lnTo>
                                <a:lnTo>
                                  <a:pt x="4219575" y="1002629"/>
                                </a:lnTo>
                                <a:lnTo>
                                  <a:pt x="4260385" y="1068268"/>
                                </a:lnTo>
                                <a:lnTo>
                                  <a:pt x="4282272" y="1104364"/>
                                </a:lnTo>
                                <a:lnTo>
                                  <a:pt x="4305068" y="1142485"/>
                                </a:lnTo>
                                <a:lnTo>
                                  <a:pt x="4328716" y="1182511"/>
                                </a:lnTo>
                                <a:lnTo>
                                  <a:pt x="4353159" y="1224323"/>
                                </a:lnTo>
                                <a:lnTo>
                                  <a:pt x="4378338" y="1267801"/>
                                </a:lnTo>
                                <a:lnTo>
                                  <a:pt x="4404195" y="1312826"/>
                                </a:lnTo>
                                <a:lnTo>
                                  <a:pt x="4430673" y="1359278"/>
                                </a:lnTo>
                                <a:lnTo>
                                  <a:pt x="4457713" y="1407037"/>
                                </a:lnTo>
                                <a:lnTo>
                                  <a:pt x="4485257" y="1455984"/>
                                </a:lnTo>
                                <a:lnTo>
                                  <a:pt x="4513248" y="1506000"/>
                                </a:lnTo>
                                <a:lnTo>
                                  <a:pt x="4541628" y="1556964"/>
                                </a:lnTo>
                                <a:lnTo>
                                  <a:pt x="4570339" y="1608757"/>
                                </a:lnTo>
                                <a:lnTo>
                                  <a:pt x="4599322" y="1661260"/>
                                </a:lnTo>
                                <a:lnTo>
                                  <a:pt x="4628520" y="1714353"/>
                                </a:lnTo>
                                <a:lnTo>
                                  <a:pt x="4657875" y="1767916"/>
                                </a:lnTo>
                                <a:lnTo>
                                  <a:pt x="4687329" y="1821830"/>
                                </a:lnTo>
                                <a:lnTo>
                                  <a:pt x="4716824" y="1875975"/>
                                </a:lnTo>
                                <a:lnTo>
                                  <a:pt x="4746302" y="1930232"/>
                                </a:lnTo>
                                <a:lnTo>
                                  <a:pt x="4775705" y="1984481"/>
                                </a:lnTo>
                                <a:lnTo>
                                  <a:pt x="4804975" y="2038602"/>
                                </a:lnTo>
                                <a:lnTo>
                                  <a:pt x="4834055" y="2092476"/>
                                </a:lnTo>
                                <a:lnTo>
                                  <a:pt x="4862886" y="2145984"/>
                                </a:lnTo>
                                <a:lnTo>
                                  <a:pt x="4891410" y="2199005"/>
                                </a:lnTo>
                                <a:lnTo>
                                  <a:pt x="4919570" y="2251421"/>
                                </a:lnTo>
                                <a:lnTo>
                                  <a:pt x="4947307" y="2303111"/>
                                </a:lnTo>
                                <a:lnTo>
                                  <a:pt x="4974564" y="2353956"/>
                                </a:lnTo>
                                <a:lnTo>
                                  <a:pt x="5001283" y="2403836"/>
                                </a:lnTo>
                                <a:lnTo>
                                  <a:pt x="5027405" y="2452633"/>
                                </a:lnTo>
                                <a:lnTo>
                                  <a:pt x="5052873" y="2500225"/>
                                </a:lnTo>
                                <a:lnTo>
                                  <a:pt x="5077629" y="2546495"/>
                                </a:lnTo>
                                <a:lnTo>
                                  <a:pt x="5101615" y="2591321"/>
                                </a:lnTo>
                                <a:lnTo>
                                  <a:pt x="5124773" y="2634585"/>
                                </a:lnTo>
                                <a:lnTo>
                                  <a:pt x="5147045" y="2676167"/>
                                </a:lnTo>
                                <a:lnTo>
                                  <a:pt x="5168373" y="2715947"/>
                                </a:lnTo>
                                <a:lnTo>
                                  <a:pt x="5188700" y="2753806"/>
                                </a:lnTo>
                                <a:lnTo>
                                  <a:pt x="5207966" y="2789624"/>
                                </a:lnTo>
                                <a:lnTo>
                                  <a:pt x="5226115" y="2823282"/>
                                </a:lnTo>
                                <a:lnTo>
                                  <a:pt x="5258828" y="2883638"/>
                                </a:lnTo>
                                <a:lnTo>
                                  <a:pt x="5273276" y="2910098"/>
                                </a:lnTo>
                                <a:lnTo>
                                  <a:pt x="5286375" y="2933918"/>
                                </a:lnTo>
                              </a:path>
                            </a:pathLst>
                          </a:custGeom>
                          <a:ln w="19050">
                            <a:solidFill>
                              <a:srgbClr val="000000"/>
                            </a:solidFill>
                            <a:prstDash val="solid"/>
                          </a:ln>
                        </wps:spPr>
                        <wps:bodyPr wrap="square" lIns="0" tIns="0" rIns="0" bIns="0" rtlCol="0">
                          <a:prstTxWarp prst="textNoShape">
                            <a:avLst/>
                          </a:prstTxWarp>
                          <a:noAutofit/>
                        </wps:bodyPr>
                      </wps:wsp>
                      <wps:wsp>
                        <wps:cNvPr id="251" name="Graphic 251"/>
                        <wps:cNvSpPr/>
                        <wps:spPr>
                          <a:xfrm>
                            <a:off x="41529" y="0"/>
                            <a:ext cx="5610225" cy="3950335"/>
                          </a:xfrm>
                          <a:custGeom>
                            <a:avLst/>
                            <a:gdLst/>
                            <a:ahLst/>
                            <a:cxnLst/>
                            <a:rect l="l" t="t" r="r" b="b"/>
                            <a:pathLst>
                              <a:path w="5610225" h="3950335">
                                <a:moveTo>
                                  <a:pt x="5610225" y="3912108"/>
                                </a:moveTo>
                                <a:lnTo>
                                  <a:pt x="5600827" y="3907409"/>
                                </a:lnTo>
                                <a:lnTo>
                                  <a:pt x="5534025" y="3874008"/>
                                </a:lnTo>
                                <a:lnTo>
                                  <a:pt x="5534025" y="3907409"/>
                                </a:lnTo>
                                <a:lnTo>
                                  <a:pt x="42862" y="3907409"/>
                                </a:lnTo>
                                <a:lnTo>
                                  <a:pt x="42862" y="76200"/>
                                </a:lnTo>
                                <a:lnTo>
                                  <a:pt x="76200" y="76200"/>
                                </a:lnTo>
                                <a:lnTo>
                                  <a:pt x="69850" y="63500"/>
                                </a:lnTo>
                                <a:lnTo>
                                  <a:pt x="38100" y="0"/>
                                </a:lnTo>
                                <a:lnTo>
                                  <a:pt x="0" y="76200"/>
                                </a:lnTo>
                                <a:lnTo>
                                  <a:pt x="33337" y="76200"/>
                                </a:lnTo>
                                <a:lnTo>
                                  <a:pt x="33337" y="3912108"/>
                                </a:lnTo>
                                <a:lnTo>
                                  <a:pt x="38100" y="3912108"/>
                                </a:lnTo>
                                <a:lnTo>
                                  <a:pt x="38100" y="3916934"/>
                                </a:lnTo>
                                <a:lnTo>
                                  <a:pt x="5534025" y="3916934"/>
                                </a:lnTo>
                                <a:lnTo>
                                  <a:pt x="5534025" y="3950208"/>
                                </a:lnTo>
                                <a:lnTo>
                                  <a:pt x="5600573" y="3916934"/>
                                </a:lnTo>
                                <a:lnTo>
                                  <a:pt x="5610225" y="3912108"/>
                                </a:lnTo>
                                <a:close/>
                              </a:path>
                            </a:pathLst>
                          </a:custGeom>
                          <a:solidFill>
                            <a:srgbClr val="000000"/>
                          </a:solidFill>
                        </wps:spPr>
                        <wps:bodyPr wrap="square" lIns="0" tIns="0" rIns="0" bIns="0" rtlCol="0">
                          <a:prstTxWarp prst="textNoShape">
                            <a:avLst/>
                          </a:prstTxWarp>
                          <a:noAutofit/>
                        </wps:bodyPr>
                      </wps:wsp>
                      <pic:pic>
                        <pic:nvPicPr>
                          <pic:cNvPr id="252" name="Image 252"/>
                          <pic:cNvPicPr/>
                        </pic:nvPicPr>
                        <pic:blipFill>
                          <a:blip r:embed="rId62" cstate="print"/>
                          <a:stretch>
                            <a:fillRect/>
                          </a:stretch>
                        </pic:blipFill>
                        <pic:spPr>
                          <a:xfrm>
                            <a:off x="79628" y="346709"/>
                            <a:ext cx="771525" cy="3565398"/>
                          </a:xfrm>
                          <a:prstGeom prst="rect">
                            <a:avLst/>
                          </a:prstGeom>
                        </pic:spPr>
                      </pic:pic>
                      <wps:wsp>
                        <wps:cNvPr id="253" name="Graphic 253"/>
                        <wps:cNvSpPr/>
                        <wps:spPr>
                          <a:xfrm>
                            <a:off x="79628" y="346709"/>
                            <a:ext cx="771525" cy="3565525"/>
                          </a:xfrm>
                          <a:custGeom>
                            <a:avLst/>
                            <a:gdLst/>
                            <a:ahLst/>
                            <a:cxnLst/>
                            <a:rect l="l" t="t" r="r" b="b"/>
                            <a:pathLst>
                              <a:path w="771525" h="3565525">
                                <a:moveTo>
                                  <a:pt x="0" y="3565398"/>
                                </a:moveTo>
                                <a:lnTo>
                                  <a:pt x="771525" y="3565398"/>
                                </a:lnTo>
                                <a:lnTo>
                                  <a:pt x="771525" y="0"/>
                                </a:lnTo>
                                <a:lnTo>
                                  <a:pt x="0" y="0"/>
                                </a:lnTo>
                                <a:lnTo>
                                  <a:pt x="0" y="3565398"/>
                                </a:lnTo>
                                <a:close/>
                              </a:path>
                            </a:pathLst>
                          </a:custGeom>
                          <a:ln w="9525">
                            <a:solidFill>
                              <a:srgbClr val="000000"/>
                            </a:solidFill>
                            <a:prstDash val="solid"/>
                          </a:ln>
                        </wps:spPr>
                        <wps:bodyPr wrap="square" lIns="0" tIns="0" rIns="0" bIns="0" rtlCol="0">
                          <a:prstTxWarp prst="textNoShape">
                            <a:avLst/>
                          </a:prstTxWarp>
                          <a:noAutofit/>
                        </wps:bodyPr>
                      </wps:wsp>
                      <wps:wsp>
                        <wps:cNvPr id="254" name="Graphic 254"/>
                        <wps:cNvSpPr/>
                        <wps:spPr>
                          <a:xfrm>
                            <a:off x="851153" y="346709"/>
                            <a:ext cx="771525" cy="3565525"/>
                          </a:xfrm>
                          <a:custGeom>
                            <a:avLst/>
                            <a:gdLst/>
                            <a:ahLst/>
                            <a:cxnLst/>
                            <a:rect l="l" t="t" r="r" b="b"/>
                            <a:pathLst>
                              <a:path w="771525" h="3565525">
                                <a:moveTo>
                                  <a:pt x="771525" y="0"/>
                                </a:moveTo>
                                <a:lnTo>
                                  <a:pt x="0" y="0"/>
                                </a:lnTo>
                                <a:lnTo>
                                  <a:pt x="0" y="3565398"/>
                                </a:lnTo>
                                <a:lnTo>
                                  <a:pt x="771525" y="3565398"/>
                                </a:lnTo>
                                <a:lnTo>
                                  <a:pt x="771525" y="0"/>
                                </a:lnTo>
                                <a:close/>
                              </a:path>
                            </a:pathLst>
                          </a:custGeom>
                          <a:solidFill>
                            <a:srgbClr val="FFFFFF"/>
                          </a:solidFill>
                        </wps:spPr>
                        <wps:bodyPr wrap="square" lIns="0" tIns="0" rIns="0" bIns="0" rtlCol="0">
                          <a:prstTxWarp prst="textNoShape">
                            <a:avLst/>
                          </a:prstTxWarp>
                          <a:noAutofit/>
                        </wps:bodyPr>
                      </wps:wsp>
                      <wps:wsp>
                        <wps:cNvPr id="255" name="Graphic 255"/>
                        <wps:cNvSpPr/>
                        <wps:spPr>
                          <a:xfrm>
                            <a:off x="851153" y="346709"/>
                            <a:ext cx="771525" cy="3565525"/>
                          </a:xfrm>
                          <a:custGeom>
                            <a:avLst/>
                            <a:gdLst/>
                            <a:ahLst/>
                            <a:cxnLst/>
                            <a:rect l="l" t="t" r="r" b="b"/>
                            <a:pathLst>
                              <a:path w="771525" h="3565525">
                                <a:moveTo>
                                  <a:pt x="0" y="3565398"/>
                                </a:moveTo>
                                <a:lnTo>
                                  <a:pt x="771525" y="3565398"/>
                                </a:lnTo>
                                <a:lnTo>
                                  <a:pt x="771525" y="0"/>
                                </a:lnTo>
                                <a:lnTo>
                                  <a:pt x="0" y="0"/>
                                </a:lnTo>
                                <a:lnTo>
                                  <a:pt x="0" y="3565398"/>
                                </a:lnTo>
                                <a:close/>
                              </a:path>
                            </a:pathLst>
                          </a:custGeom>
                          <a:ln w="9525">
                            <a:solidFill>
                              <a:srgbClr val="000000"/>
                            </a:solidFill>
                            <a:prstDash val="solid"/>
                          </a:ln>
                        </wps:spPr>
                        <wps:bodyPr wrap="square" lIns="0" tIns="0" rIns="0" bIns="0" rtlCol="0">
                          <a:prstTxWarp prst="textNoShape">
                            <a:avLst/>
                          </a:prstTxWarp>
                          <a:noAutofit/>
                        </wps:bodyPr>
                      </wps:wsp>
                      <wps:wsp>
                        <wps:cNvPr id="256" name="Graphic 256"/>
                        <wps:cNvSpPr/>
                        <wps:spPr>
                          <a:xfrm>
                            <a:off x="1622678" y="346709"/>
                            <a:ext cx="2076450" cy="3565525"/>
                          </a:xfrm>
                          <a:custGeom>
                            <a:avLst/>
                            <a:gdLst/>
                            <a:ahLst/>
                            <a:cxnLst/>
                            <a:rect l="l" t="t" r="r" b="b"/>
                            <a:pathLst>
                              <a:path w="2076450" h="3565525">
                                <a:moveTo>
                                  <a:pt x="2076450" y="0"/>
                                </a:moveTo>
                                <a:lnTo>
                                  <a:pt x="0" y="0"/>
                                </a:lnTo>
                                <a:lnTo>
                                  <a:pt x="0" y="3565398"/>
                                </a:lnTo>
                                <a:lnTo>
                                  <a:pt x="2076450" y="3565398"/>
                                </a:lnTo>
                                <a:lnTo>
                                  <a:pt x="2076450" y="0"/>
                                </a:lnTo>
                                <a:close/>
                              </a:path>
                            </a:pathLst>
                          </a:custGeom>
                          <a:solidFill>
                            <a:srgbClr val="FFFFFF"/>
                          </a:solidFill>
                        </wps:spPr>
                        <wps:bodyPr wrap="square" lIns="0" tIns="0" rIns="0" bIns="0" rtlCol="0">
                          <a:prstTxWarp prst="textNoShape">
                            <a:avLst/>
                          </a:prstTxWarp>
                          <a:noAutofit/>
                        </wps:bodyPr>
                      </wps:wsp>
                      <wps:wsp>
                        <wps:cNvPr id="257" name="Graphic 257"/>
                        <wps:cNvSpPr/>
                        <wps:spPr>
                          <a:xfrm>
                            <a:off x="1622678" y="346709"/>
                            <a:ext cx="2076450" cy="3565525"/>
                          </a:xfrm>
                          <a:custGeom>
                            <a:avLst/>
                            <a:gdLst/>
                            <a:ahLst/>
                            <a:cxnLst/>
                            <a:rect l="l" t="t" r="r" b="b"/>
                            <a:pathLst>
                              <a:path w="2076450" h="3565525">
                                <a:moveTo>
                                  <a:pt x="0" y="3565398"/>
                                </a:moveTo>
                                <a:lnTo>
                                  <a:pt x="2076450" y="3565398"/>
                                </a:lnTo>
                                <a:lnTo>
                                  <a:pt x="2076450" y="0"/>
                                </a:lnTo>
                                <a:lnTo>
                                  <a:pt x="0" y="0"/>
                                </a:lnTo>
                                <a:lnTo>
                                  <a:pt x="0" y="3565398"/>
                                </a:lnTo>
                                <a:close/>
                              </a:path>
                            </a:pathLst>
                          </a:custGeom>
                          <a:ln w="9525">
                            <a:solidFill>
                              <a:srgbClr val="000000"/>
                            </a:solidFill>
                            <a:prstDash val="solid"/>
                          </a:ln>
                        </wps:spPr>
                        <wps:bodyPr wrap="square" lIns="0" tIns="0" rIns="0" bIns="0" rtlCol="0">
                          <a:prstTxWarp prst="textNoShape">
                            <a:avLst/>
                          </a:prstTxWarp>
                          <a:noAutofit/>
                        </wps:bodyPr>
                      </wps:wsp>
                      <wps:wsp>
                        <wps:cNvPr id="258" name="Graphic 258"/>
                        <wps:cNvSpPr/>
                        <wps:spPr>
                          <a:xfrm>
                            <a:off x="3699128" y="346709"/>
                            <a:ext cx="847725" cy="3565525"/>
                          </a:xfrm>
                          <a:custGeom>
                            <a:avLst/>
                            <a:gdLst/>
                            <a:ahLst/>
                            <a:cxnLst/>
                            <a:rect l="l" t="t" r="r" b="b"/>
                            <a:pathLst>
                              <a:path w="847725" h="3565525">
                                <a:moveTo>
                                  <a:pt x="847725" y="0"/>
                                </a:moveTo>
                                <a:lnTo>
                                  <a:pt x="0" y="0"/>
                                </a:lnTo>
                                <a:lnTo>
                                  <a:pt x="0" y="3565398"/>
                                </a:lnTo>
                                <a:lnTo>
                                  <a:pt x="847725" y="3565398"/>
                                </a:lnTo>
                                <a:lnTo>
                                  <a:pt x="847725" y="0"/>
                                </a:lnTo>
                                <a:close/>
                              </a:path>
                            </a:pathLst>
                          </a:custGeom>
                          <a:solidFill>
                            <a:srgbClr val="FFFFFF"/>
                          </a:solidFill>
                        </wps:spPr>
                        <wps:bodyPr wrap="square" lIns="0" tIns="0" rIns="0" bIns="0" rtlCol="0">
                          <a:prstTxWarp prst="textNoShape">
                            <a:avLst/>
                          </a:prstTxWarp>
                          <a:noAutofit/>
                        </wps:bodyPr>
                      </wps:wsp>
                      <wps:wsp>
                        <wps:cNvPr id="259" name="Graphic 259"/>
                        <wps:cNvSpPr/>
                        <wps:spPr>
                          <a:xfrm>
                            <a:off x="3699128" y="346709"/>
                            <a:ext cx="847725" cy="3565525"/>
                          </a:xfrm>
                          <a:custGeom>
                            <a:avLst/>
                            <a:gdLst/>
                            <a:ahLst/>
                            <a:cxnLst/>
                            <a:rect l="l" t="t" r="r" b="b"/>
                            <a:pathLst>
                              <a:path w="847725" h="3565525">
                                <a:moveTo>
                                  <a:pt x="0" y="3565398"/>
                                </a:moveTo>
                                <a:lnTo>
                                  <a:pt x="847725" y="3565398"/>
                                </a:lnTo>
                                <a:lnTo>
                                  <a:pt x="847725" y="0"/>
                                </a:lnTo>
                                <a:lnTo>
                                  <a:pt x="0" y="0"/>
                                </a:lnTo>
                                <a:lnTo>
                                  <a:pt x="0" y="3565398"/>
                                </a:lnTo>
                                <a:close/>
                              </a:path>
                            </a:pathLst>
                          </a:custGeom>
                          <a:ln w="9525">
                            <a:solidFill>
                              <a:srgbClr val="000000"/>
                            </a:solidFill>
                            <a:prstDash val="solid"/>
                          </a:ln>
                        </wps:spPr>
                        <wps:bodyPr wrap="square" lIns="0" tIns="0" rIns="0" bIns="0" rtlCol="0">
                          <a:prstTxWarp prst="textNoShape">
                            <a:avLst/>
                          </a:prstTxWarp>
                          <a:noAutofit/>
                        </wps:bodyPr>
                      </wps:wsp>
                      <pic:pic>
                        <pic:nvPicPr>
                          <pic:cNvPr id="260" name="Image 260"/>
                          <pic:cNvPicPr/>
                        </pic:nvPicPr>
                        <pic:blipFill>
                          <a:blip r:embed="rId63" cstate="print"/>
                          <a:stretch>
                            <a:fillRect/>
                          </a:stretch>
                        </pic:blipFill>
                        <pic:spPr>
                          <a:xfrm>
                            <a:off x="4537328" y="346709"/>
                            <a:ext cx="809625" cy="3565398"/>
                          </a:xfrm>
                          <a:prstGeom prst="rect">
                            <a:avLst/>
                          </a:prstGeom>
                        </pic:spPr>
                      </pic:pic>
                      <wps:wsp>
                        <wps:cNvPr id="261" name="Graphic 261"/>
                        <wps:cNvSpPr/>
                        <wps:spPr>
                          <a:xfrm>
                            <a:off x="4537328" y="346709"/>
                            <a:ext cx="809625" cy="3565525"/>
                          </a:xfrm>
                          <a:custGeom>
                            <a:avLst/>
                            <a:gdLst/>
                            <a:ahLst/>
                            <a:cxnLst/>
                            <a:rect l="l" t="t" r="r" b="b"/>
                            <a:pathLst>
                              <a:path w="809625" h="3565525">
                                <a:moveTo>
                                  <a:pt x="0" y="3565398"/>
                                </a:moveTo>
                                <a:lnTo>
                                  <a:pt x="809625" y="3565398"/>
                                </a:lnTo>
                                <a:lnTo>
                                  <a:pt x="809625" y="0"/>
                                </a:lnTo>
                                <a:lnTo>
                                  <a:pt x="0" y="0"/>
                                </a:lnTo>
                                <a:lnTo>
                                  <a:pt x="0" y="3565398"/>
                                </a:lnTo>
                                <a:close/>
                              </a:path>
                            </a:pathLst>
                          </a:custGeom>
                          <a:ln w="9525">
                            <a:solidFill>
                              <a:srgbClr val="000000"/>
                            </a:solidFill>
                            <a:prstDash val="solid"/>
                          </a:ln>
                        </wps:spPr>
                        <wps:bodyPr wrap="square" lIns="0" tIns="0" rIns="0" bIns="0" rtlCol="0">
                          <a:prstTxWarp prst="textNoShape">
                            <a:avLst/>
                          </a:prstTxWarp>
                          <a:noAutofit/>
                        </wps:bodyPr>
                      </wps:wsp>
                      <wps:wsp>
                        <wps:cNvPr id="262" name="Graphic 262"/>
                        <wps:cNvSpPr/>
                        <wps:spPr>
                          <a:xfrm>
                            <a:off x="2651379" y="396240"/>
                            <a:ext cx="1270" cy="3515995"/>
                          </a:xfrm>
                          <a:custGeom>
                            <a:avLst/>
                            <a:gdLst/>
                            <a:ahLst/>
                            <a:cxnLst/>
                            <a:rect l="l" t="t" r="r" b="b"/>
                            <a:pathLst>
                              <a:path w="0" h="3515995">
                                <a:moveTo>
                                  <a:pt x="0" y="0"/>
                                </a:moveTo>
                                <a:lnTo>
                                  <a:pt x="0" y="3515867"/>
                                </a:lnTo>
                              </a:path>
                            </a:pathLst>
                          </a:custGeom>
                          <a:ln w="19050">
                            <a:solidFill>
                              <a:srgbClr val="000000"/>
                            </a:solidFill>
                            <a:prstDash val="sysDot"/>
                          </a:ln>
                        </wps:spPr>
                        <wps:bodyPr wrap="square" lIns="0" tIns="0" rIns="0" bIns="0" rtlCol="0">
                          <a:prstTxWarp prst="textNoShape">
                            <a:avLst/>
                          </a:prstTxWarp>
                          <a:noAutofit/>
                        </wps:bodyPr>
                      </wps:wsp>
                      <wps:wsp>
                        <wps:cNvPr id="263" name="Graphic 263"/>
                        <wps:cNvSpPr/>
                        <wps:spPr>
                          <a:xfrm>
                            <a:off x="117729" y="278216"/>
                            <a:ext cx="5248275" cy="118110"/>
                          </a:xfrm>
                          <a:custGeom>
                            <a:avLst/>
                            <a:gdLst/>
                            <a:ahLst/>
                            <a:cxnLst/>
                            <a:rect l="l" t="t" r="r" b="b"/>
                            <a:pathLst>
                              <a:path w="5248275" h="118110">
                                <a:moveTo>
                                  <a:pt x="5248275" y="0"/>
                                </a:moveTo>
                                <a:lnTo>
                                  <a:pt x="0" y="0"/>
                                </a:lnTo>
                                <a:lnTo>
                                  <a:pt x="0" y="118023"/>
                                </a:lnTo>
                                <a:lnTo>
                                  <a:pt x="5248275" y="118023"/>
                                </a:lnTo>
                                <a:lnTo>
                                  <a:pt x="5248275" y="0"/>
                                </a:lnTo>
                                <a:close/>
                              </a:path>
                            </a:pathLst>
                          </a:custGeom>
                          <a:solidFill>
                            <a:srgbClr val="FFFFFF"/>
                          </a:solidFill>
                        </wps:spPr>
                        <wps:bodyPr wrap="square" lIns="0" tIns="0" rIns="0" bIns="0" rtlCol="0">
                          <a:prstTxWarp prst="textNoShape">
                            <a:avLst/>
                          </a:prstTxWarp>
                          <a:noAutofit/>
                        </wps:bodyPr>
                      </wps:wsp>
                      <wps:wsp>
                        <wps:cNvPr id="264" name="Graphic 264"/>
                        <wps:cNvSpPr/>
                        <wps:spPr>
                          <a:xfrm>
                            <a:off x="4215384" y="3899789"/>
                            <a:ext cx="76200" cy="508000"/>
                          </a:xfrm>
                          <a:custGeom>
                            <a:avLst/>
                            <a:gdLst/>
                            <a:ahLst/>
                            <a:cxnLst/>
                            <a:rect l="l" t="t" r="r" b="b"/>
                            <a:pathLst>
                              <a:path w="76200" h="508000">
                                <a:moveTo>
                                  <a:pt x="33274" y="431292"/>
                                </a:moveTo>
                                <a:lnTo>
                                  <a:pt x="0" y="431292"/>
                                </a:lnTo>
                                <a:lnTo>
                                  <a:pt x="38100" y="507492"/>
                                </a:lnTo>
                                <a:lnTo>
                                  <a:pt x="69850" y="443992"/>
                                </a:lnTo>
                                <a:lnTo>
                                  <a:pt x="33274" y="443992"/>
                                </a:lnTo>
                                <a:lnTo>
                                  <a:pt x="33274" y="431292"/>
                                </a:lnTo>
                                <a:close/>
                              </a:path>
                              <a:path w="76200" h="508000">
                                <a:moveTo>
                                  <a:pt x="42799" y="0"/>
                                </a:moveTo>
                                <a:lnTo>
                                  <a:pt x="33274" y="0"/>
                                </a:lnTo>
                                <a:lnTo>
                                  <a:pt x="33274" y="443992"/>
                                </a:lnTo>
                                <a:lnTo>
                                  <a:pt x="42799" y="443992"/>
                                </a:lnTo>
                                <a:lnTo>
                                  <a:pt x="42799" y="0"/>
                                </a:lnTo>
                                <a:close/>
                              </a:path>
                              <a:path w="76200" h="508000">
                                <a:moveTo>
                                  <a:pt x="76200" y="431292"/>
                                </a:moveTo>
                                <a:lnTo>
                                  <a:pt x="42799" y="431292"/>
                                </a:lnTo>
                                <a:lnTo>
                                  <a:pt x="42799" y="443992"/>
                                </a:lnTo>
                                <a:lnTo>
                                  <a:pt x="69850" y="443992"/>
                                </a:lnTo>
                                <a:lnTo>
                                  <a:pt x="76200" y="431292"/>
                                </a:lnTo>
                                <a:close/>
                              </a:path>
                            </a:pathLst>
                          </a:custGeom>
                          <a:solidFill>
                            <a:srgbClr val="000000"/>
                          </a:solidFill>
                        </wps:spPr>
                        <wps:bodyPr wrap="square" lIns="0" tIns="0" rIns="0" bIns="0" rtlCol="0">
                          <a:prstTxWarp prst="textNoShape">
                            <a:avLst/>
                          </a:prstTxWarp>
                          <a:noAutofit/>
                        </wps:bodyPr>
                      </wps:wsp>
                      <wps:wsp>
                        <wps:cNvPr id="265" name="Graphic 265"/>
                        <wps:cNvSpPr/>
                        <wps:spPr>
                          <a:xfrm>
                            <a:off x="79628" y="927200"/>
                            <a:ext cx="5267325" cy="2973070"/>
                          </a:xfrm>
                          <a:custGeom>
                            <a:avLst/>
                            <a:gdLst/>
                            <a:ahLst/>
                            <a:cxnLst/>
                            <a:rect l="l" t="t" r="r" b="b"/>
                            <a:pathLst>
                              <a:path w="5267325" h="2973070">
                                <a:moveTo>
                                  <a:pt x="0" y="2972588"/>
                                </a:moveTo>
                                <a:lnTo>
                                  <a:pt x="26633" y="2921831"/>
                                </a:lnTo>
                                <a:lnTo>
                                  <a:pt x="53267" y="2871092"/>
                                </a:lnTo>
                                <a:lnTo>
                                  <a:pt x="79899" y="2820388"/>
                                </a:lnTo>
                                <a:lnTo>
                                  <a:pt x="106529" y="2769735"/>
                                </a:lnTo>
                                <a:lnTo>
                                  <a:pt x="133153" y="2719149"/>
                                </a:lnTo>
                                <a:lnTo>
                                  <a:pt x="159772" y="2668647"/>
                                </a:lnTo>
                                <a:lnTo>
                                  <a:pt x="186384" y="2618246"/>
                                </a:lnTo>
                                <a:lnTo>
                                  <a:pt x="212987" y="2567961"/>
                                </a:lnTo>
                                <a:lnTo>
                                  <a:pt x="239579" y="2517809"/>
                                </a:lnTo>
                                <a:lnTo>
                                  <a:pt x="266160" y="2467806"/>
                                </a:lnTo>
                                <a:lnTo>
                                  <a:pt x="292727" y="2417969"/>
                                </a:lnTo>
                                <a:lnTo>
                                  <a:pt x="319280" y="2368314"/>
                                </a:lnTo>
                                <a:lnTo>
                                  <a:pt x="345817" y="2318857"/>
                                </a:lnTo>
                                <a:lnTo>
                                  <a:pt x="372336" y="2269616"/>
                                </a:lnTo>
                                <a:lnTo>
                                  <a:pt x="398835" y="2220605"/>
                                </a:lnTo>
                                <a:lnTo>
                                  <a:pt x="425315" y="2171842"/>
                                </a:lnTo>
                                <a:lnTo>
                                  <a:pt x="451772" y="2123343"/>
                                </a:lnTo>
                                <a:lnTo>
                                  <a:pt x="478206" y="2075124"/>
                                </a:lnTo>
                                <a:lnTo>
                                  <a:pt x="504615" y="2027202"/>
                                </a:lnTo>
                                <a:lnTo>
                                  <a:pt x="530998" y="1979593"/>
                                </a:lnTo>
                                <a:lnTo>
                                  <a:pt x="557352" y="1932313"/>
                                </a:lnTo>
                                <a:lnTo>
                                  <a:pt x="583678" y="1885379"/>
                                </a:lnTo>
                                <a:lnTo>
                                  <a:pt x="609972" y="1838808"/>
                                </a:lnTo>
                                <a:lnTo>
                                  <a:pt x="636235" y="1792614"/>
                                </a:lnTo>
                                <a:lnTo>
                                  <a:pt x="662463" y="1746816"/>
                                </a:lnTo>
                                <a:lnTo>
                                  <a:pt x="688657" y="1701429"/>
                                </a:lnTo>
                                <a:lnTo>
                                  <a:pt x="714814" y="1656469"/>
                                </a:lnTo>
                                <a:lnTo>
                                  <a:pt x="740933" y="1611954"/>
                                </a:lnTo>
                                <a:lnTo>
                                  <a:pt x="767012" y="1567899"/>
                                </a:lnTo>
                                <a:lnTo>
                                  <a:pt x="793050" y="1524321"/>
                                </a:lnTo>
                                <a:lnTo>
                                  <a:pt x="819046" y="1481236"/>
                                </a:lnTo>
                                <a:lnTo>
                                  <a:pt x="844997" y="1438660"/>
                                </a:lnTo>
                                <a:lnTo>
                                  <a:pt x="870904" y="1396610"/>
                                </a:lnTo>
                                <a:lnTo>
                                  <a:pt x="896763" y="1355103"/>
                                </a:lnTo>
                                <a:lnTo>
                                  <a:pt x="922574" y="1314154"/>
                                </a:lnTo>
                                <a:lnTo>
                                  <a:pt x="948336" y="1273780"/>
                                </a:lnTo>
                                <a:lnTo>
                                  <a:pt x="974046" y="1233997"/>
                                </a:lnTo>
                                <a:lnTo>
                                  <a:pt x="999703" y="1194822"/>
                                </a:lnTo>
                                <a:lnTo>
                                  <a:pt x="1025306" y="1156271"/>
                                </a:lnTo>
                                <a:lnTo>
                                  <a:pt x="1050854" y="1118361"/>
                                </a:lnTo>
                                <a:lnTo>
                                  <a:pt x="1076344" y="1081108"/>
                                </a:lnTo>
                                <a:lnTo>
                                  <a:pt x="1101776" y="1044528"/>
                                </a:lnTo>
                                <a:lnTo>
                                  <a:pt x="1127148" y="1008637"/>
                                </a:lnTo>
                                <a:lnTo>
                                  <a:pt x="1152458" y="973452"/>
                                </a:lnTo>
                                <a:lnTo>
                                  <a:pt x="1177705" y="938990"/>
                                </a:lnTo>
                                <a:lnTo>
                                  <a:pt x="1202888" y="905266"/>
                                </a:lnTo>
                                <a:lnTo>
                                  <a:pt x="1228005" y="872298"/>
                                </a:lnTo>
                                <a:lnTo>
                                  <a:pt x="1253054" y="840100"/>
                                </a:lnTo>
                                <a:lnTo>
                                  <a:pt x="1278035" y="808691"/>
                                </a:lnTo>
                                <a:lnTo>
                                  <a:pt x="1302945" y="778086"/>
                                </a:lnTo>
                                <a:lnTo>
                                  <a:pt x="1327784" y="748301"/>
                                </a:lnTo>
                                <a:lnTo>
                                  <a:pt x="1396756" y="669321"/>
                                </a:lnTo>
                                <a:lnTo>
                                  <a:pt x="1440703" y="621461"/>
                                </a:lnTo>
                                <a:lnTo>
                                  <a:pt x="1484401" y="575736"/>
                                </a:lnTo>
                                <a:lnTo>
                                  <a:pt x="1527862" y="532106"/>
                                </a:lnTo>
                                <a:lnTo>
                                  <a:pt x="1571098" y="490532"/>
                                </a:lnTo>
                                <a:lnTo>
                                  <a:pt x="1614122" y="450976"/>
                                </a:lnTo>
                                <a:lnTo>
                                  <a:pt x="1656943" y="413397"/>
                                </a:lnTo>
                                <a:lnTo>
                                  <a:pt x="1699575" y="377757"/>
                                </a:lnTo>
                                <a:lnTo>
                                  <a:pt x="1742029" y="344016"/>
                                </a:lnTo>
                                <a:lnTo>
                                  <a:pt x="1784316" y="312136"/>
                                </a:lnTo>
                                <a:lnTo>
                                  <a:pt x="1826449" y="282078"/>
                                </a:lnTo>
                                <a:lnTo>
                                  <a:pt x="1868439" y="253802"/>
                                </a:lnTo>
                                <a:lnTo>
                                  <a:pt x="1910298" y="227269"/>
                                </a:lnTo>
                                <a:lnTo>
                                  <a:pt x="1952037" y="202440"/>
                                </a:lnTo>
                                <a:lnTo>
                                  <a:pt x="1993668" y="179277"/>
                                </a:lnTo>
                                <a:lnTo>
                                  <a:pt x="2035203" y="157739"/>
                                </a:lnTo>
                                <a:lnTo>
                                  <a:pt x="2076654" y="137787"/>
                                </a:lnTo>
                                <a:lnTo>
                                  <a:pt x="2118032" y="119384"/>
                                </a:lnTo>
                                <a:lnTo>
                                  <a:pt x="2159350" y="102489"/>
                                </a:lnTo>
                                <a:lnTo>
                                  <a:pt x="2200618" y="87063"/>
                                </a:lnTo>
                                <a:lnTo>
                                  <a:pt x="2241848" y="73068"/>
                                </a:lnTo>
                                <a:lnTo>
                                  <a:pt x="2283053" y="60463"/>
                                </a:lnTo>
                                <a:lnTo>
                                  <a:pt x="2324244" y="49211"/>
                                </a:lnTo>
                                <a:lnTo>
                                  <a:pt x="2365432" y="39272"/>
                                </a:lnTo>
                                <a:lnTo>
                                  <a:pt x="2406630" y="30606"/>
                                </a:lnTo>
                                <a:lnTo>
                                  <a:pt x="2447849" y="23175"/>
                                </a:lnTo>
                                <a:lnTo>
                                  <a:pt x="2489101" y="16940"/>
                                </a:lnTo>
                                <a:lnTo>
                                  <a:pt x="2530397" y="11861"/>
                                </a:lnTo>
                                <a:lnTo>
                                  <a:pt x="2571750" y="7900"/>
                                </a:lnTo>
                                <a:lnTo>
                                  <a:pt x="2614360" y="4704"/>
                                </a:lnTo>
                                <a:lnTo>
                                  <a:pt x="2656502" y="2257"/>
                                </a:lnTo>
                                <a:lnTo>
                                  <a:pt x="2698224" y="656"/>
                                </a:lnTo>
                                <a:lnTo>
                                  <a:pt x="2739578" y="0"/>
                                </a:lnTo>
                                <a:lnTo>
                                  <a:pt x="2780614" y="385"/>
                                </a:lnTo>
                                <a:lnTo>
                                  <a:pt x="2821383" y="1909"/>
                                </a:lnTo>
                                <a:lnTo>
                                  <a:pt x="2861935" y="4671"/>
                                </a:lnTo>
                                <a:lnTo>
                                  <a:pt x="2902320" y="8768"/>
                                </a:lnTo>
                                <a:lnTo>
                                  <a:pt x="2942589" y="14297"/>
                                </a:lnTo>
                                <a:lnTo>
                                  <a:pt x="2982793" y="21355"/>
                                </a:lnTo>
                                <a:lnTo>
                                  <a:pt x="3022982" y="30042"/>
                                </a:lnTo>
                                <a:lnTo>
                                  <a:pt x="3063206" y="40454"/>
                                </a:lnTo>
                                <a:lnTo>
                                  <a:pt x="3103517" y="52688"/>
                                </a:lnTo>
                                <a:lnTo>
                                  <a:pt x="3143964" y="66844"/>
                                </a:lnTo>
                                <a:lnTo>
                                  <a:pt x="3184598" y="83017"/>
                                </a:lnTo>
                                <a:lnTo>
                                  <a:pt x="3225470" y="101307"/>
                                </a:lnTo>
                                <a:lnTo>
                                  <a:pt x="3266630" y="121810"/>
                                </a:lnTo>
                                <a:lnTo>
                                  <a:pt x="3308128" y="144624"/>
                                </a:lnTo>
                                <a:lnTo>
                                  <a:pt x="3350016" y="169847"/>
                                </a:lnTo>
                                <a:lnTo>
                                  <a:pt x="3392344" y="197576"/>
                                </a:lnTo>
                                <a:lnTo>
                                  <a:pt x="3435161" y="227909"/>
                                </a:lnTo>
                                <a:lnTo>
                                  <a:pt x="3478519" y="260945"/>
                                </a:lnTo>
                                <a:lnTo>
                                  <a:pt x="3522468" y="296779"/>
                                </a:lnTo>
                                <a:lnTo>
                                  <a:pt x="3567059" y="335511"/>
                                </a:lnTo>
                                <a:lnTo>
                                  <a:pt x="3612342" y="377237"/>
                                </a:lnTo>
                                <a:lnTo>
                                  <a:pt x="3658368" y="422056"/>
                                </a:lnTo>
                                <a:lnTo>
                                  <a:pt x="3705187" y="470065"/>
                                </a:lnTo>
                                <a:lnTo>
                                  <a:pt x="3752850" y="521361"/>
                                </a:lnTo>
                                <a:lnTo>
                                  <a:pt x="3800413" y="575157"/>
                                </a:lnTo>
                                <a:lnTo>
                                  <a:pt x="3848574" y="632400"/>
                                </a:lnTo>
                                <a:lnTo>
                                  <a:pt x="3872871" y="662276"/>
                                </a:lnTo>
                                <a:lnTo>
                                  <a:pt x="3897310" y="692967"/>
                                </a:lnTo>
                                <a:lnTo>
                                  <a:pt x="3921887" y="724458"/>
                                </a:lnTo>
                                <a:lnTo>
                                  <a:pt x="3946601" y="756732"/>
                                </a:lnTo>
                                <a:lnTo>
                                  <a:pt x="3971447" y="789775"/>
                                </a:lnTo>
                                <a:lnTo>
                                  <a:pt x="3996423" y="823570"/>
                                </a:lnTo>
                                <a:lnTo>
                                  <a:pt x="4021528" y="858102"/>
                                </a:lnTo>
                                <a:lnTo>
                                  <a:pt x="4046757" y="893355"/>
                                </a:lnTo>
                                <a:lnTo>
                                  <a:pt x="4072108" y="929314"/>
                                </a:lnTo>
                                <a:lnTo>
                                  <a:pt x="4097579" y="965963"/>
                                </a:lnTo>
                                <a:lnTo>
                                  <a:pt x="4123166" y="1003286"/>
                                </a:lnTo>
                                <a:lnTo>
                                  <a:pt x="4148868" y="1041268"/>
                                </a:lnTo>
                                <a:lnTo>
                                  <a:pt x="4174681" y="1079893"/>
                                </a:lnTo>
                                <a:lnTo>
                                  <a:pt x="4200603" y="1119145"/>
                                </a:lnTo>
                                <a:lnTo>
                                  <a:pt x="4226630" y="1159009"/>
                                </a:lnTo>
                                <a:lnTo>
                                  <a:pt x="4252761" y="1199469"/>
                                </a:lnTo>
                                <a:lnTo>
                                  <a:pt x="4278992" y="1240510"/>
                                </a:lnTo>
                                <a:lnTo>
                                  <a:pt x="4305321" y="1282115"/>
                                </a:lnTo>
                                <a:lnTo>
                                  <a:pt x="4331745" y="1324270"/>
                                </a:lnTo>
                                <a:lnTo>
                                  <a:pt x="4358261" y="1366958"/>
                                </a:lnTo>
                                <a:lnTo>
                                  <a:pt x="4384867" y="1410164"/>
                                </a:lnTo>
                                <a:lnTo>
                                  <a:pt x="4411560" y="1453872"/>
                                </a:lnTo>
                                <a:lnTo>
                                  <a:pt x="4438337" y="1498067"/>
                                </a:lnTo>
                                <a:lnTo>
                                  <a:pt x="4465196" y="1542733"/>
                                </a:lnTo>
                                <a:lnTo>
                                  <a:pt x="4492133" y="1587854"/>
                                </a:lnTo>
                                <a:lnTo>
                                  <a:pt x="4519146" y="1633415"/>
                                </a:lnTo>
                                <a:lnTo>
                                  <a:pt x="4546233" y="1679399"/>
                                </a:lnTo>
                                <a:lnTo>
                                  <a:pt x="4573390" y="1725793"/>
                                </a:lnTo>
                                <a:lnTo>
                                  <a:pt x="4600615" y="1772578"/>
                                </a:lnTo>
                                <a:lnTo>
                                  <a:pt x="4627905" y="1819741"/>
                                </a:lnTo>
                                <a:lnTo>
                                  <a:pt x="4655258" y="1867266"/>
                                </a:lnTo>
                                <a:lnTo>
                                  <a:pt x="4682671" y="1915136"/>
                                </a:lnTo>
                                <a:lnTo>
                                  <a:pt x="4710140" y="1963337"/>
                                </a:lnTo>
                                <a:lnTo>
                                  <a:pt x="4737664" y="2011852"/>
                                </a:lnTo>
                                <a:lnTo>
                                  <a:pt x="4765239" y="2060665"/>
                                </a:lnTo>
                                <a:lnTo>
                                  <a:pt x="4792864" y="2109762"/>
                                </a:lnTo>
                                <a:lnTo>
                                  <a:pt x="4820534" y="2159127"/>
                                </a:lnTo>
                                <a:lnTo>
                                  <a:pt x="4848248" y="2208744"/>
                                </a:lnTo>
                                <a:lnTo>
                                  <a:pt x="4876003" y="2258597"/>
                                </a:lnTo>
                                <a:lnTo>
                                  <a:pt x="4903795" y="2308670"/>
                                </a:lnTo>
                                <a:lnTo>
                                  <a:pt x="4931623" y="2358949"/>
                                </a:lnTo>
                                <a:lnTo>
                                  <a:pt x="4959484" y="2409417"/>
                                </a:lnTo>
                                <a:lnTo>
                                  <a:pt x="4987374" y="2460058"/>
                                </a:lnTo>
                                <a:lnTo>
                                  <a:pt x="5015292" y="2510858"/>
                                </a:lnTo>
                                <a:lnTo>
                                  <a:pt x="5043234" y="2561800"/>
                                </a:lnTo>
                                <a:lnTo>
                                  <a:pt x="5071198" y="2612869"/>
                                </a:lnTo>
                                <a:lnTo>
                                  <a:pt x="5099181" y="2664049"/>
                                </a:lnTo>
                                <a:lnTo>
                                  <a:pt x="5127180" y="2715325"/>
                                </a:lnTo>
                                <a:lnTo>
                                  <a:pt x="5155192" y="2766680"/>
                                </a:lnTo>
                                <a:lnTo>
                                  <a:pt x="5183216" y="2818100"/>
                                </a:lnTo>
                                <a:lnTo>
                                  <a:pt x="5211248" y="2869568"/>
                                </a:lnTo>
                                <a:lnTo>
                                  <a:pt x="5239285" y="2921069"/>
                                </a:lnTo>
                                <a:lnTo>
                                  <a:pt x="5267325" y="2972588"/>
                                </a:lnTo>
                              </a:path>
                            </a:pathLst>
                          </a:custGeom>
                          <a:ln w="9525">
                            <a:solidFill>
                              <a:srgbClr val="000000"/>
                            </a:solidFill>
                            <a:prstDash val="solid"/>
                          </a:ln>
                        </wps:spPr>
                        <wps:bodyPr wrap="square" lIns="0" tIns="0" rIns="0" bIns="0" rtlCol="0">
                          <a:prstTxWarp prst="textNoShape">
                            <a:avLst/>
                          </a:prstTxWarp>
                          <a:noAutofit/>
                        </wps:bodyPr>
                      </wps:wsp>
                      <wps:wsp>
                        <wps:cNvPr id="266" name="Textbox 266"/>
                        <wps:cNvSpPr txBox="1"/>
                        <wps:spPr>
                          <a:xfrm>
                            <a:off x="1610808" y="1142041"/>
                            <a:ext cx="69215" cy="140335"/>
                          </a:xfrm>
                          <a:prstGeom prst="rect">
                            <a:avLst/>
                          </a:prstGeom>
                        </wps:spPr>
                        <wps:txbx>
                          <w:txbxContent>
                            <w:p>
                              <w:pPr>
                                <w:spacing w:line="221" w:lineRule="exact" w:before="0"/>
                                <w:ind w:left="0" w:right="0" w:firstLine="0"/>
                                <w:jc w:val="left"/>
                                <w:rPr>
                                  <w:b/>
                                  <w:sz w:val="20"/>
                                </w:rPr>
                              </w:pPr>
                              <w:r>
                                <w:rPr>
                                  <w:b/>
                                  <w:spacing w:val="-10"/>
                                  <w:sz w:val="20"/>
                                </w:rPr>
                                <w:t>e</w:t>
                              </w:r>
                            </w:p>
                          </w:txbxContent>
                        </wps:txbx>
                        <wps:bodyPr wrap="square" lIns="0" tIns="0" rIns="0" bIns="0" rtlCol="0">
                          <a:noAutofit/>
                        </wps:bodyPr>
                      </wps:wsp>
                      <wps:wsp>
                        <wps:cNvPr id="267" name="Textbox 267"/>
                        <wps:cNvSpPr txBox="1"/>
                        <wps:spPr>
                          <a:xfrm>
                            <a:off x="2170810" y="1340161"/>
                            <a:ext cx="1003300" cy="433070"/>
                          </a:xfrm>
                          <a:prstGeom prst="rect">
                            <a:avLst/>
                          </a:prstGeom>
                        </wps:spPr>
                        <wps:txbx>
                          <w:txbxContent>
                            <w:p>
                              <w:pPr>
                                <w:spacing w:line="240" w:lineRule="auto" w:before="0"/>
                                <w:ind w:left="698" w:right="13" w:hanging="699"/>
                                <w:jc w:val="left"/>
                                <w:rPr>
                                  <w:sz w:val="20"/>
                                </w:rPr>
                              </w:pPr>
                              <w:r>
                                <w:rPr>
                                  <w:sz w:val="20"/>
                                </w:rPr>
                                <w:t>No</w:t>
                              </w:r>
                              <w:r>
                                <w:rPr>
                                  <w:spacing w:val="-13"/>
                                  <w:sz w:val="20"/>
                                </w:rPr>
                                <w:t> </w:t>
                              </w:r>
                              <w:r>
                                <w:rPr>
                                  <w:sz w:val="20"/>
                                </w:rPr>
                                <w:t>Autocorrelation </w:t>
                              </w:r>
                              <w:r>
                                <w:rPr>
                                  <w:spacing w:val="-6"/>
                                  <w:sz w:val="20"/>
                                </w:rPr>
                                <w:t>or</w:t>
                              </w:r>
                            </w:p>
                            <w:p>
                              <w:pPr>
                                <w:spacing w:before="0"/>
                                <w:ind w:left="0" w:right="0" w:firstLine="0"/>
                                <w:jc w:val="left"/>
                                <w:rPr>
                                  <w:sz w:val="20"/>
                                </w:rPr>
                              </w:pPr>
                              <w:r>
                                <w:rPr>
                                  <w:sz w:val="20"/>
                                </w:rPr>
                                <w:t>Acceptance</w:t>
                              </w:r>
                              <w:r>
                                <w:rPr>
                                  <w:spacing w:val="-12"/>
                                  <w:sz w:val="20"/>
                                </w:rPr>
                                <w:t> </w:t>
                              </w:r>
                              <w:r>
                                <w:rPr>
                                  <w:spacing w:val="-2"/>
                                  <w:sz w:val="20"/>
                                </w:rPr>
                                <w:t>Region</w:t>
                              </w:r>
                            </w:p>
                          </w:txbxContent>
                        </wps:txbx>
                        <wps:bodyPr wrap="square" lIns="0" tIns="0" rIns="0" bIns="0" rtlCol="0">
                          <a:noAutofit/>
                        </wps:bodyPr>
                      </wps:wsp>
                      <wps:wsp>
                        <wps:cNvPr id="268" name="Textbox 268"/>
                        <wps:cNvSpPr txBox="1"/>
                        <wps:spPr>
                          <a:xfrm>
                            <a:off x="0" y="3829107"/>
                            <a:ext cx="76200" cy="140335"/>
                          </a:xfrm>
                          <a:prstGeom prst="rect">
                            <a:avLst/>
                          </a:prstGeom>
                        </wps:spPr>
                        <wps:txbx>
                          <w:txbxContent>
                            <w:p>
                              <w:pPr>
                                <w:spacing w:line="221" w:lineRule="exact" w:before="0"/>
                                <w:ind w:left="0" w:right="0" w:firstLine="0"/>
                                <w:jc w:val="left"/>
                                <w:rPr>
                                  <w:sz w:val="20"/>
                                </w:rPr>
                              </w:pPr>
                              <w:r>
                                <w:rPr>
                                  <w:spacing w:val="-10"/>
                                  <w:sz w:val="20"/>
                                </w:rPr>
                                <w:t>0</w:t>
                              </w:r>
                            </w:p>
                          </w:txbxContent>
                        </wps:txbx>
                        <wps:bodyPr wrap="square" lIns="0" tIns="0" rIns="0" bIns="0" rtlCol="0">
                          <a:noAutofit/>
                        </wps:bodyPr>
                      </wps:wsp>
                      <wps:wsp>
                        <wps:cNvPr id="269" name="Textbox 269"/>
                        <wps:cNvSpPr txBox="1"/>
                        <wps:spPr>
                          <a:xfrm>
                            <a:off x="771398" y="3890067"/>
                            <a:ext cx="198755" cy="289560"/>
                          </a:xfrm>
                          <a:prstGeom prst="rect">
                            <a:avLst/>
                          </a:prstGeom>
                        </wps:spPr>
                        <wps:txbx>
                          <w:txbxContent>
                            <w:p>
                              <w:pPr>
                                <w:spacing w:line="225" w:lineRule="exact" w:before="0"/>
                                <w:ind w:left="0" w:right="0" w:firstLine="0"/>
                                <w:jc w:val="left"/>
                                <w:rPr>
                                  <w:sz w:val="13"/>
                                </w:rPr>
                              </w:pPr>
                              <w:r>
                                <w:rPr>
                                  <w:spacing w:val="-5"/>
                                  <w:position w:val="2"/>
                                  <w:sz w:val="20"/>
                                </w:rPr>
                                <w:t>d</w:t>
                              </w:r>
                              <w:r>
                                <w:rPr>
                                  <w:spacing w:val="-5"/>
                                  <w:sz w:val="13"/>
                                </w:rPr>
                                <w:t>L</w:t>
                              </w:r>
                            </w:p>
                            <w:p>
                              <w:pPr>
                                <w:spacing w:before="81"/>
                                <w:ind w:left="0" w:right="0" w:firstLine="0"/>
                                <w:jc w:val="left"/>
                                <w:rPr>
                                  <w:sz w:val="13"/>
                                </w:rPr>
                              </w:pPr>
                              <w:r>
                                <w:rPr>
                                  <w:spacing w:val="-2"/>
                                  <w:sz w:val="13"/>
                                </w:rPr>
                                <w:t>1.230</w:t>
                              </w:r>
                            </w:p>
                          </w:txbxContent>
                        </wps:txbx>
                        <wps:bodyPr wrap="square" lIns="0" tIns="0" rIns="0" bIns="0" rtlCol="0">
                          <a:noAutofit/>
                        </wps:bodyPr>
                      </wps:wsp>
                      <wps:wsp>
                        <wps:cNvPr id="270" name="Textbox 270"/>
                        <wps:cNvSpPr txBox="1"/>
                        <wps:spPr>
                          <a:xfrm>
                            <a:off x="1571497" y="3877875"/>
                            <a:ext cx="198755" cy="289560"/>
                          </a:xfrm>
                          <a:prstGeom prst="rect">
                            <a:avLst/>
                          </a:prstGeom>
                        </wps:spPr>
                        <wps:txbx>
                          <w:txbxContent>
                            <w:p>
                              <w:pPr>
                                <w:spacing w:line="225" w:lineRule="exact" w:before="0"/>
                                <w:ind w:left="0" w:right="0" w:firstLine="0"/>
                                <w:jc w:val="left"/>
                                <w:rPr>
                                  <w:sz w:val="13"/>
                                </w:rPr>
                              </w:pPr>
                              <w:r>
                                <w:rPr>
                                  <w:spacing w:val="-5"/>
                                  <w:position w:val="2"/>
                                  <w:sz w:val="20"/>
                                </w:rPr>
                                <w:t>d</w:t>
                              </w:r>
                              <w:r>
                                <w:rPr>
                                  <w:spacing w:val="-5"/>
                                  <w:sz w:val="13"/>
                                </w:rPr>
                                <w:t>U</w:t>
                              </w:r>
                            </w:p>
                            <w:p>
                              <w:pPr>
                                <w:spacing w:before="81"/>
                                <w:ind w:left="0" w:right="0" w:firstLine="0"/>
                                <w:jc w:val="left"/>
                                <w:rPr>
                                  <w:sz w:val="13"/>
                                </w:rPr>
                              </w:pPr>
                              <w:r>
                                <w:rPr>
                                  <w:spacing w:val="-2"/>
                                  <w:sz w:val="13"/>
                                </w:rPr>
                                <w:t>1.786</w:t>
                              </w:r>
                            </w:p>
                          </w:txbxContent>
                        </wps:txbx>
                        <wps:bodyPr wrap="square" lIns="0" tIns="0" rIns="0" bIns="0" rtlCol="0">
                          <a:noAutofit/>
                        </wps:bodyPr>
                      </wps:wsp>
                      <wps:wsp>
                        <wps:cNvPr id="271" name="Textbox 271"/>
                        <wps:cNvSpPr txBox="1"/>
                        <wps:spPr>
                          <a:xfrm>
                            <a:off x="2618867" y="3902259"/>
                            <a:ext cx="76200" cy="140335"/>
                          </a:xfrm>
                          <a:prstGeom prst="rect">
                            <a:avLst/>
                          </a:prstGeom>
                        </wps:spPr>
                        <wps:txbx>
                          <w:txbxContent>
                            <w:p>
                              <w:pPr>
                                <w:spacing w:line="221" w:lineRule="exact" w:before="0"/>
                                <w:ind w:left="0" w:right="0" w:firstLine="0"/>
                                <w:jc w:val="left"/>
                                <w:rPr>
                                  <w:sz w:val="20"/>
                                </w:rPr>
                              </w:pPr>
                              <w:r>
                                <w:rPr>
                                  <w:spacing w:val="-10"/>
                                  <w:sz w:val="20"/>
                                </w:rPr>
                                <w:t>2</w:t>
                              </w:r>
                            </w:p>
                          </w:txbxContent>
                        </wps:txbx>
                        <wps:bodyPr wrap="square" lIns="0" tIns="0" rIns="0" bIns="0" rtlCol="0">
                          <a:noAutofit/>
                        </wps:bodyPr>
                      </wps:wsp>
                      <wps:wsp>
                        <wps:cNvPr id="272" name="Textbox 272"/>
                        <wps:cNvSpPr txBox="1"/>
                        <wps:spPr>
                          <a:xfrm>
                            <a:off x="3609721" y="3890067"/>
                            <a:ext cx="241300" cy="289560"/>
                          </a:xfrm>
                          <a:prstGeom prst="rect">
                            <a:avLst/>
                          </a:prstGeom>
                        </wps:spPr>
                        <wps:txbx>
                          <w:txbxContent>
                            <w:p>
                              <w:pPr>
                                <w:spacing w:line="225" w:lineRule="exact" w:before="0"/>
                                <w:ind w:left="0" w:right="0" w:firstLine="0"/>
                                <w:jc w:val="left"/>
                                <w:rPr>
                                  <w:sz w:val="13"/>
                                </w:rPr>
                              </w:pPr>
                              <w:r>
                                <w:rPr>
                                  <w:spacing w:val="-2"/>
                                  <w:position w:val="2"/>
                                  <w:sz w:val="20"/>
                                </w:rPr>
                                <w:t>4-</w:t>
                              </w:r>
                              <w:r>
                                <w:rPr>
                                  <w:spacing w:val="-5"/>
                                  <w:position w:val="2"/>
                                  <w:sz w:val="20"/>
                                </w:rPr>
                                <w:t>d</w:t>
                              </w:r>
                              <w:r>
                                <w:rPr>
                                  <w:spacing w:val="-5"/>
                                  <w:sz w:val="13"/>
                                </w:rPr>
                                <w:t>U</w:t>
                              </w:r>
                            </w:p>
                            <w:p>
                              <w:pPr>
                                <w:spacing w:before="81"/>
                                <w:ind w:left="0" w:right="0" w:firstLine="0"/>
                                <w:jc w:val="left"/>
                                <w:rPr>
                                  <w:sz w:val="13"/>
                                </w:rPr>
                              </w:pPr>
                              <w:r>
                                <w:rPr>
                                  <w:spacing w:val="-2"/>
                                  <w:sz w:val="13"/>
                                </w:rPr>
                                <w:t>2.214</w:t>
                              </w:r>
                            </w:p>
                          </w:txbxContent>
                        </wps:txbx>
                        <wps:bodyPr wrap="square" lIns="0" tIns="0" rIns="0" bIns="0" rtlCol="0">
                          <a:noAutofit/>
                        </wps:bodyPr>
                      </wps:wsp>
                      <wps:wsp>
                        <wps:cNvPr id="273" name="Textbox 273"/>
                        <wps:cNvSpPr txBox="1"/>
                        <wps:spPr>
                          <a:xfrm>
                            <a:off x="4534789" y="3902259"/>
                            <a:ext cx="223520" cy="289560"/>
                          </a:xfrm>
                          <a:prstGeom prst="rect">
                            <a:avLst/>
                          </a:prstGeom>
                        </wps:spPr>
                        <wps:txbx>
                          <w:txbxContent>
                            <w:p>
                              <w:pPr>
                                <w:spacing w:line="225" w:lineRule="exact" w:before="0"/>
                                <w:ind w:left="0" w:right="0" w:firstLine="0"/>
                                <w:jc w:val="left"/>
                                <w:rPr>
                                  <w:sz w:val="13"/>
                                </w:rPr>
                              </w:pPr>
                              <w:r>
                                <w:rPr>
                                  <w:spacing w:val="-2"/>
                                  <w:position w:val="2"/>
                                  <w:sz w:val="20"/>
                                </w:rPr>
                                <w:t>4-</w:t>
                              </w:r>
                              <w:r>
                                <w:rPr>
                                  <w:spacing w:val="-5"/>
                                  <w:position w:val="2"/>
                                  <w:sz w:val="20"/>
                                </w:rPr>
                                <w:t>d</w:t>
                              </w:r>
                              <w:r>
                                <w:rPr>
                                  <w:spacing w:val="-5"/>
                                  <w:sz w:val="13"/>
                                </w:rPr>
                                <w:t>0</w:t>
                              </w:r>
                            </w:p>
                            <w:p>
                              <w:pPr>
                                <w:spacing w:before="81"/>
                                <w:ind w:left="0" w:right="0" w:firstLine="0"/>
                                <w:jc w:val="left"/>
                                <w:rPr>
                                  <w:sz w:val="13"/>
                                </w:rPr>
                              </w:pPr>
                              <w:r>
                                <w:rPr>
                                  <w:spacing w:val="-2"/>
                                  <w:sz w:val="13"/>
                                </w:rPr>
                                <w:t>2.774</w:t>
                              </w:r>
                            </w:p>
                          </w:txbxContent>
                        </wps:txbx>
                        <wps:bodyPr wrap="square" lIns="0" tIns="0" rIns="0" bIns="0" rtlCol="0">
                          <a:noAutofit/>
                        </wps:bodyPr>
                      </wps:wsp>
                      <wps:wsp>
                        <wps:cNvPr id="274" name="Textbox 274"/>
                        <wps:cNvSpPr txBox="1"/>
                        <wps:spPr>
                          <a:xfrm>
                            <a:off x="5297170" y="3891591"/>
                            <a:ext cx="76200" cy="140335"/>
                          </a:xfrm>
                          <a:prstGeom prst="rect">
                            <a:avLst/>
                          </a:prstGeom>
                        </wps:spPr>
                        <wps:txbx>
                          <w:txbxContent>
                            <w:p>
                              <w:pPr>
                                <w:spacing w:line="221" w:lineRule="exact" w:before="0"/>
                                <w:ind w:left="0" w:right="0" w:firstLine="0"/>
                                <w:jc w:val="left"/>
                                <w:rPr>
                                  <w:sz w:val="20"/>
                                </w:rPr>
                              </w:pPr>
                              <w:r>
                                <w:rPr>
                                  <w:spacing w:val="-10"/>
                                  <w:sz w:val="20"/>
                                </w:rPr>
                                <w:t>4</w:t>
                              </w:r>
                            </w:p>
                          </w:txbxContent>
                        </wps:txbx>
                        <wps:bodyPr wrap="square" lIns="0" tIns="0" rIns="0" bIns="0" rtlCol="0">
                          <a:noAutofit/>
                        </wps:bodyPr>
                      </wps:wsp>
                      <wps:wsp>
                        <wps:cNvPr id="275" name="Textbox 275"/>
                        <wps:cNvSpPr txBox="1"/>
                        <wps:spPr>
                          <a:xfrm>
                            <a:off x="84391" y="351472"/>
                            <a:ext cx="762000" cy="3556000"/>
                          </a:xfrm>
                          <a:prstGeom prst="rect">
                            <a:avLst/>
                          </a:prstGeom>
                        </wps:spPr>
                        <wps:txbx>
                          <w:txbxContent>
                            <w:p>
                              <w:pPr>
                                <w:spacing w:line="240" w:lineRule="auto" w:before="0"/>
                                <w:rPr>
                                  <w:rFonts w:ascii="Cambria"/>
                                  <w:b/>
                                  <w:sz w:val="24"/>
                                </w:rPr>
                              </w:pPr>
                            </w:p>
                            <w:p>
                              <w:pPr>
                                <w:spacing w:line="240" w:lineRule="auto" w:before="0"/>
                                <w:rPr>
                                  <w:rFonts w:ascii="Cambria"/>
                                  <w:b/>
                                  <w:sz w:val="24"/>
                                </w:rPr>
                              </w:pPr>
                            </w:p>
                            <w:p>
                              <w:pPr>
                                <w:spacing w:line="240" w:lineRule="auto" w:before="0"/>
                                <w:rPr>
                                  <w:rFonts w:ascii="Cambria"/>
                                  <w:b/>
                                  <w:sz w:val="24"/>
                                </w:rPr>
                              </w:pPr>
                            </w:p>
                            <w:p>
                              <w:pPr>
                                <w:spacing w:line="240" w:lineRule="auto" w:before="0"/>
                                <w:rPr>
                                  <w:rFonts w:ascii="Cambria"/>
                                  <w:b/>
                                  <w:sz w:val="24"/>
                                </w:rPr>
                              </w:pPr>
                            </w:p>
                            <w:p>
                              <w:pPr>
                                <w:spacing w:line="240" w:lineRule="auto" w:before="0"/>
                                <w:rPr>
                                  <w:rFonts w:ascii="Cambria"/>
                                  <w:b/>
                                  <w:sz w:val="24"/>
                                </w:rPr>
                              </w:pPr>
                            </w:p>
                            <w:p>
                              <w:pPr>
                                <w:spacing w:line="240" w:lineRule="auto" w:before="0"/>
                                <w:rPr>
                                  <w:rFonts w:ascii="Cambria"/>
                                  <w:b/>
                                  <w:sz w:val="24"/>
                                </w:rPr>
                              </w:pPr>
                            </w:p>
                            <w:p>
                              <w:pPr>
                                <w:spacing w:line="240" w:lineRule="auto" w:before="0"/>
                                <w:rPr>
                                  <w:rFonts w:ascii="Cambria"/>
                                  <w:b/>
                                  <w:sz w:val="24"/>
                                </w:rPr>
                              </w:pPr>
                            </w:p>
                            <w:p>
                              <w:pPr>
                                <w:spacing w:line="240" w:lineRule="auto" w:before="1"/>
                                <w:rPr>
                                  <w:rFonts w:ascii="Cambria"/>
                                  <w:b/>
                                  <w:sz w:val="24"/>
                                </w:rPr>
                              </w:pPr>
                            </w:p>
                            <w:p>
                              <w:pPr>
                                <w:spacing w:before="1"/>
                                <w:ind w:left="549" w:right="0" w:firstLine="0"/>
                                <w:jc w:val="left"/>
                                <w:rPr>
                                  <w:rFonts w:ascii="Cambria"/>
                                  <w:i/>
                                  <w:sz w:val="24"/>
                                </w:rPr>
                              </w:pPr>
                              <w:r>
                                <w:rPr>
                                  <w:rFonts w:ascii="Cambria"/>
                                  <w:i/>
                                  <w:sz w:val="24"/>
                                </w:rPr>
                                <w:t>Fig</w:t>
                              </w:r>
                              <w:r>
                                <w:rPr>
                                  <w:rFonts w:ascii="Cambria"/>
                                  <w:i/>
                                  <w:spacing w:val="-2"/>
                                  <w:sz w:val="24"/>
                                </w:rPr>
                                <w:t> </w:t>
                              </w:r>
                              <w:r>
                                <w:rPr>
                                  <w:rFonts w:ascii="Cambria"/>
                                  <w:i/>
                                  <w:spacing w:val="-5"/>
                                  <w:sz w:val="24"/>
                                </w:rPr>
                                <w:t>1:</w:t>
                              </w:r>
                            </w:p>
                            <w:p>
                              <w:pPr>
                                <w:spacing w:line="240" w:lineRule="auto" w:before="76"/>
                                <w:rPr>
                                  <w:rFonts w:ascii="Cambria"/>
                                  <w:i/>
                                  <w:sz w:val="24"/>
                                </w:rPr>
                              </w:pPr>
                            </w:p>
                            <w:p>
                              <w:pPr>
                                <w:spacing w:before="0"/>
                                <w:ind w:left="76" w:right="0" w:firstLine="0"/>
                                <w:jc w:val="left"/>
                                <w:rPr>
                                  <w:b/>
                                  <w:sz w:val="20"/>
                                </w:rPr>
                              </w:pPr>
                              <w:r>
                                <w:rPr>
                                  <w:b/>
                                  <w:spacing w:val="-2"/>
                                  <w:sz w:val="20"/>
                                </w:rPr>
                                <w:t>Positive Autocorrelat </w:t>
                              </w:r>
                              <w:r>
                                <w:rPr>
                                  <w:b/>
                                  <w:sz w:val="20"/>
                                </w:rPr>
                                <w:t>ion region</w:t>
                              </w:r>
                            </w:p>
                          </w:txbxContent>
                        </wps:txbx>
                        <wps:bodyPr wrap="square" lIns="0" tIns="0" rIns="0" bIns="0" rtlCol="0">
                          <a:noAutofit/>
                        </wps:bodyPr>
                      </wps:wsp>
                      <wps:wsp>
                        <wps:cNvPr id="276" name="Textbox 276"/>
                        <wps:cNvSpPr txBox="1"/>
                        <wps:spPr>
                          <a:xfrm>
                            <a:off x="4551616" y="278216"/>
                            <a:ext cx="790575" cy="3629660"/>
                          </a:xfrm>
                          <a:prstGeom prst="rect">
                            <a:avLst/>
                          </a:prstGeom>
                        </wps:spPr>
                        <wps:txbx>
                          <w:txbxContent>
                            <w:p>
                              <w:pPr>
                                <w:spacing w:line="240" w:lineRule="auto" w:before="0"/>
                                <w:rPr>
                                  <w:rFonts w:ascii="Cambria"/>
                                  <w:b/>
                                  <w:sz w:val="20"/>
                                </w:rPr>
                              </w:pPr>
                            </w:p>
                            <w:p>
                              <w:pPr>
                                <w:spacing w:line="240" w:lineRule="auto" w:before="0"/>
                                <w:rPr>
                                  <w:rFonts w:ascii="Cambria"/>
                                  <w:b/>
                                  <w:sz w:val="20"/>
                                </w:rPr>
                              </w:pPr>
                            </w:p>
                            <w:p>
                              <w:pPr>
                                <w:spacing w:line="240" w:lineRule="auto" w:before="0"/>
                                <w:rPr>
                                  <w:rFonts w:ascii="Cambria"/>
                                  <w:b/>
                                  <w:sz w:val="20"/>
                                </w:rPr>
                              </w:pPr>
                            </w:p>
                            <w:p>
                              <w:pPr>
                                <w:spacing w:line="240" w:lineRule="auto" w:before="0"/>
                                <w:rPr>
                                  <w:rFonts w:ascii="Cambria"/>
                                  <w:b/>
                                  <w:sz w:val="20"/>
                                </w:rPr>
                              </w:pPr>
                            </w:p>
                            <w:p>
                              <w:pPr>
                                <w:spacing w:line="240" w:lineRule="auto" w:before="0"/>
                                <w:rPr>
                                  <w:rFonts w:ascii="Cambria"/>
                                  <w:b/>
                                  <w:sz w:val="20"/>
                                </w:rPr>
                              </w:pPr>
                            </w:p>
                            <w:p>
                              <w:pPr>
                                <w:spacing w:line="240" w:lineRule="auto" w:before="0"/>
                                <w:rPr>
                                  <w:rFonts w:ascii="Cambria"/>
                                  <w:b/>
                                  <w:sz w:val="20"/>
                                </w:rPr>
                              </w:pPr>
                            </w:p>
                            <w:p>
                              <w:pPr>
                                <w:spacing w:line="240" w:lineRule="auto" w:before="0"/>
                                <w:rPr>
                                  <w:rFonts w:ascii="Cambria"/>
                                  <w:b/>
                                  <w:sz w:val="20"/>
                                </w:rPr>
                              </w:pPr>
                            </w:p>
                            <w:p>
                              <w:pPr>
                                <w:spacing w:line="240" w:lineRule="auto" w:before="0"/>
                                <w:rPr>
                                  <w:rFonts w:ascii="Cambria"/>
                                  <w:b/>
                                  <w:sz w:val="20"/>
                                </w:rPr>
                              </w:pPr>
                            </w:p>
                            <w:p>
                              <w:pPr>
                                <w:spacing w:line="240" w:lineRule="auto" w:before="0"/>
                                <w:rPr>
                                  <w:rFonts w:ascii="Cambria"/>
                                  <w:b/>
                                  <w:sz w:val="20"/>
                                </w:rPr>
                              </w:pPr>
                            </w:p>
                            <w:p>
                              <w:pPr>
                                <w:spacing w:line="240" w:lineRule="auto" w:before="0"/>
                                <w:rPr>
                                  <w:rFonts w:ascii="Cambria"/>
                                  <w:b/>
                                  <w:sz w:val="20"/>
                                </w:rPr>
                              </w:pPr>
                            </w:p>
                            <w:p>
                              <w:pPr>
                                <w:spacing w:line="240" w:lineRule="auto" w:before="0"/>
                                <w:rPr>
                                  <w:rFonts w:ascii="Cambria"/>
                                  <w:b/>
                                  <w:sz w:val="20"/>
                                </w:rPr>
                              </w:pPr>
                            </w:p>
                            <w:p>
                              <w:pPr>
                                <w:spacing w:line="240" w:lineRule="auto" w:before="174"/>
                                <w:rPr>
                                  <w:rFonts w:ascii="Cambria"/>
                                  <w:b/>
                                  <w:sz w:val="20"/>
                                </w:rPr>
                              </w:pPr>
                            </w:p>
                            <w:p>
                              <w:pPr>
                                <w:spacing w:before="0"/>
                                <w:ind w:left="107" w:right="0" w:firstLine="0"/>
                                <w:jc w:val="left"/>
                                <w:rPr>
                                  <w:b/>
                                  <w:sz w:val="20"/>
                                </w:rPr>
                              </w:pPr>
                              <w:r>
                                <w:rPr>
                                  <w:b/>
                                  <w:spacing w:val="-2"/>
                                  <w:sz w:val="20"/>
                                </w:rPr>
                                <w:t>Negative Autocorrelat </w:t>
                              </w:r>
                              <w:r>
                                <w:rPr>
                                  <w:b/>
                                  <w:sz w:val="20"/>
                                </w:rPr>
                                <w:t>ion region</w:t>
                              </w:r>
                            </w:p>
                          </w:txbxContent>
                        </wps:txbx>
                        <wps:bodyPr wrap="square" lIns="0" tIns="0" rIns="0" bIns="0" rtlCol="0">
                          <a:noAutofit/>
                        </wps:bodyPr>
                      </wps:wsp>
                      <wps:wsp>
                        <wps:cNvPr id="277" name="Textbox 277"/>
                        <wps:cNvSpPr txBox="1"/>
                        <wps:spPr>
                          <a:xfrm>
                            <a:off x="3703891" y="278216"/>
                            <a:ext cx="828675" cy="3629660"/>
                          </a:xfrm>
                          <a:prstGeom prst="rect">
                            <a:avLst/>
                          </a:prstGeom>
                        </wps:spPr>
                        <wps:txbx>
                          <w:txbxContent>
                            <w:p>
                              <w:pPr>
                                <w:spacing w:line="240" w:lineRule="auto" w:before="0"/>
                                <w:rPr>
                                  <w:rFonts w:ascii="Cambria"/>
                                  <w:b/>
                                  <w:sz w:val="20"/>
                                </w:rPr>
                              </w:pPr>
                            </w:p>
                            <w:p>
                              <w:pPr>
                                <w:spacing w:line="240" w:lineRule="auto" w:before="0"/>
                                <w:rPr>
                                  <w:rFonts w:ascii="Cambria"/>
                                  <w:b/>
                                  <w:sz w:val="20"/>
                                </w:rPr>
                              </w:pPr>
                            </w:p>
                            <w:p>
                              <w:pPr>
                                <w:spacing w:line="240" w:lineRule="auto" w:before="0"/>
                                <w:rPr>
                                  <w:rFonts w:ascii="Cambria"/>
                                  <w:b/>
                                  <w:sz w:val="20"/>
                                </w:rPr>
                              </w:pPr>
                            </w:p>
                            <w:p>
                              <w:pPr>
                                <w:spacing w:line="240" w:lineRule="auto" w:before="0"/>
                                <w:rPr>
                                  <w:rFonts w:ascii="Cambria"/>
                                  <w:b/>
                                  <w:sz w:val="20"/>
                                </w:rPr>
                              </w:pPr>
                            </w:p>
                            <w:p>
                              <w:pPr>
                                <w:spacing w:line="240" w:lineRule="auto" w:before="159"/>
                                <w:rPr>
                                  <w:rFonts w:ascii="Cambria"/>
                                  <w:b/>
                                  <w:sz w:val="20"/>
                                </w:rPr>
                              </w:pPr>
                            </w:p>
                            <w:p>
                              <w:pPr>
                                <w:spacing w:before="0"/>
                                <w:ind w:left="197" w:right="0" w:firstLine="0"/>
                                <w:jc w:val="left"/>
                                <w:rPr>
                                  <w:b/>
                                  <w:sz w:val="20"/>
                                </w:rPr>
                              </w:pPr>
                              <w:r>
                                <w:rPr>
                                  <w:b/>
                                  <w:spacing w:val="-2"/>
                                  <w:sz w:val="20"/>
                                </w:rPr>
                                <w:t>Inconclusive Region</w:t>
                              </w:r>
                            </w:p>
                          </w:txbxContent>
                        </wps:txbx>
                        <wps:bodyPr wrap="square" lIns="0" tIns="0" rIns="0" bIns="0" rtlCol="0">
                          <a:noAutofit/>
                        </wps:bodyPr>
                      </wps:wsp>
                      <wps:wsp>
                        <wps:cNvPr id="278" name="Textbox 278"/>
                        <wps:cNvSpPr txBox="1"/>
                        <wps:spPr>
                          <a:xfrm>
                            <a:off x="855916" y="278216"/>
                            <a:ext cx="762000" cy="3629660"/>
                          </a:xfrm>
                          <a:prstGeom prst="rect">
                            <a:avLst/>
                          </a:prstGeom>
                        </wps:spPr>
                        <wps:txbx>
                          <w:txbxContent>
                            <w:p>
                              <w:pPr>
                                <w:spacing w:line="240" w:lineRule="auto" w:before="0"/>
                                <w:rPr>
                                  <w:rFonts w:ascii="Cambria"/>
                                  <w:b/>
                                  <w:sz w:val="20"/>
                                </w:rPr>
                              </w:pPr>
                            </w:p>
                            <w:p>
                              <w:pPr>
                                <w:spacing w:line="240" w:lineRule="auto" w:before="0"/>
                                <w:rPr>
                                  <w:rFonts w:ascii="Cambria"/>
                                  <w:b/>
                                  <w:sz w:val="20"/>
                                </w:rPr>
                              </w:pPr>
                            </w:p>
                            <w:p>
                              <w:pPr>
                                <w:spacing w:line="240" w:lineRule="auto" w:before="0"/>
                                <w:rPr>
                                  <w:rFonts w:ascii="Cambria"/>
                                  <w:b/>
                                  <w:sz w:val="20"/>
                                </w:rPr>
                              </w:pPr>
                            </w:p>
                            <w:p>
                              <w:pPr>
                                <w:spacing w:line="240" w:lineRule="auto" w:before="0"/>
                                <w:rPr>
                                  <w:rFonts w:ascii="Cambria"/>
                                  <w:b/>
                                  <w:sz w:val="20"/>
                                </w:rPr>
                              </w:pPr>
                            </w:p>
                            <w:p>
                              <w:pPr>
                                <w:spacing w:line="240" w:lineRule="auto" w:before="178"/>
                                <w:rPr>
                                  <w:rFonts w:ascii="Cambria"/>
                                  <w:b/>
                                  <w:sz w:val="20"/>
                                </w:rPr>
                              </w:pPr>
                            </w:p>
                            <w:p>
                              <w:pPr>
                                <w:spacing w:before="0"/>
                                <w:ind w:left="212" w:right="0" w:firstLine="0"/>
                                <w:jc w:val="left"/>
                                <w:rPr>
                                  <w:b/>
                                  <w:sz w:val="20"/>
                                </w:rPr>
                              </w:pPr>
                              <w:r>
                                <w:rPr>
                                  <w:b/>
                                  <w:spacing w:val="-2"/>
                                  <w:sz w:val="20"/>
                                </w:rPr>
                                <w:t>Inconclusiv Region</w:t>
                              </w:r>
                            </w:p>
                          </w:txbxContent>
                        </wps:txbx>
                        <wps:bodyPr wrap="square" lIns="0" tIns="0" rIns="0" bIns="0" rtlCol="0">
                          <a:noAutofit/>
                        </wps:bodyPr>
                      </wps:wsp>
                    </wpg:wgp>
                  </a:graphicData>
                </a:graphic>
              </wp:anchor>
            </w:drawing>
          </mc:Choice>
          <mc:Fallback>
            <w:pict>
              <v:group style="position:absolute;margin-left:51.48pt;margin-top:14.518203pt;width:445.05pt;height:347.05pt;mso-position-horizontal-relative:page;mso-position-vertical-relative:paragraph;z-index:-15698944;mso-wrap-distance-left:0;mso-wrap-distance-right:0" id="docshapegroup232" coordorigin="1030,290" coordsize="8901,6941">
                <v:shape style="position:absolute;left:1155;top:1811;width:8325;height:4621" id="docshape233" coordorigin="1155,1811" coordsize="8325,4621" path="m1155,6432l1206,6357,1258,6282,1309,6207,1361,6133,1412,6058,1463,5983,1514,5909,1565,5835,1617,5761,1667,5687,1718,5614,1769,5540,1820,5467,1870,5395,1920,5322,1970,5250,2020,5179,2070,5108,2120,5037,2169,4967,2218,4897,2267,4828,2316,4759,2364,4691,2412,4623,2460,4556,2507,4490,2555,4424,2602,4360,2648,4295,2694,4232,2740,4169,2786,4107,2831,4046,2876,3985,2920,3926,2964,3867,3008,3809,3051,3753,3094,3697,3136,3642,3178,3588,3219,3535,3260,3483,3301,3432,3341,3383,3380,3334,3419,3287,3457,3240,3572,3105,3647,3020,3719,2940,3790,2864,3859,2793,3926,2725,3991,2662,4054,2602,4116,2546,4176,2494,4235,2444,4292,2397,4348,2353,4403,2311,4457,2272,4509,2235,4561,2199,4612,2166,4712,2102,4809,2043,4905,1987,4996,1936,5079,1895,5156,1864,5227,1840,5295,1824,5361,1815,5425,1811,5489,1813,5555,1818,5624,1827,5697,1838,5775,1850,5841,1862,5910,1876,5980,1892,6052,1911,6125,1932,6199,1956,6273,1983,6348,2012,6423,2045,6497,2079,6571,2117,6644,2158,6716,2202,6787,2249,6855,2299,6910,2341,6962,2381,7012,2421,7060,2461,7107,2501,7153,2543,7198,2587,7244,2633,7290,2683,7337,2736,7385,2795,7436,2858,7488,2928,7543,3004,7602,3088,7664,3180,7730,3280,7800,3390,7864,3494,7899,3551,7935,3611,7972,3674,8010,3739,8050,3808,8091,3879,8132,3952,8175,4027,8218,4104,8262,4183,8307,4263,8352,4345,8398,4428,8444,4511,8490,4596,8537,4680,8583,4766,8629,4851,8676,4937,8722,5022,8768,5107,8813,5191,8858,5274,8902,5357,8946,5438,8989,5518,9031,5597,9072,5674,9112,5749,9151,5822,9189,5892,9226,5960,9261,6026,9294,6089,9326,6148,9357,6205,9385,6258,9437,6353,9459,6394,9480,6432e" filled="false" stroked="true" strokeweight="1.5pt" strokecolor="#000000">
                  <v:path arrowok="t"/>
                  <v:stroke dashstyle="solid"/>
                </v:shape>
                <v:shape style="position:absolute;left:1095;top:290;width:8835;height:6221" id="docshape234" coordorigin="1095,290" coordsize="8835,6221" path="m9930,6451l9915,6444,9810,6391,9810,6444,1163,6444,1163,410,1215,410,1205,390,1155,290,1095,410,1148,410,1148,6451,1155,6451,1155,6459,9810,6459,9810,6511,9915,6459,9930,6451xe" filled="true" fillcolor="#000000" stroked="false">
                  <v:path arrowok="t"/>
                  <v:fill type="solid"/>
                </v:shape>
                <v:shape style="position:absolute;left:1155;top:836;width:1215;height:5615" type="#_x0000_t75" id="docshape235" stroked="false">
                  <v:imagedata r:id="rId62" o:title=""/>
                </v:shape>
                <v:rect style="position:absolute;left:1155;top:836;width:1215;height:5615" id="docshape236" filled="false" stroked="true" strokeweight=".75pt" strokecolor="#000000">
                  <v:stroke dashstyle="solid"/>
                </v:rect>
                <v:rect style="position:absolute;left:2370;top:836;width:1215;height:5615" id="docshape237" filled="true" fillcolor="#ffffff" stroked="false">
                  <v:fill type="solid"/>
                </v:rect>
                <v:rect style="position:absolute;left:2370;top:836;width:1215;height:5615" id="docshape238" filled="false" stroked="true" strokeweight=".75pt" strokecolor="#000000">
                  <v:stroke dashstyle="solid"/>
                </v:rect>
                <v:rect style="position:absolute;left:3585;top:836;width:3270;height:5615" id="docshape239" filled="true" fillcolor="#ffffff" stroked="false">
                  <v:fill type="solid"/>
                </v:rect>
                <v:rect style="position:absolute;left:3585;top:836;width:3270;height:5615" id="docshape240" filled="false" stroked="true" strokeweight=".75pt" strokecolor="#000000">
                  <v:stroke dashstyle="solid"/>
                </v:rect>
                <v:rect style="position:absolute;left:6855;top:836;width:1335;height:5615" id="docshape241" filled="true" fillcolor="#ffffff" stroked="false">
                  <v:fill type="solid"/>
                </v:rect>
                <v:rect style="position:absolute;left:6855;top:836;width:1335;height:5615" id="docshape242" filled="false" stroked="true" strokeweight=".75pt" strokecolor="#000000">
                  <v:stroke dashstyle="solid"/>
                </v:rect>
                <v:shape style="position:absolute;left:8175;top:836;width:1275;height:5615" type="#_x0000_t75" id="docshape243" stroked="false">
                  <v:imagedata r:id="rId63" o:title=""/>
                </v:shape>
                <v:rect style="position:absolute;left:8175;top:836;width:1275;height:5615" id="docshape244" filled="false" stroked="true" strokeweight=".75pt" strokecolor="#000000">
                  <v:stroke dashstyle="solid"/>
                </v:rect>
                <v:line style="position:absolute" from="5205,914" to="5205,6451" stroked="true" strokeweight="1.5pt" strokecolor="#000000">
                  <v:stroke dashstyle="shortdot"/>
                </v:line>
                <v:rect style="position:absolute;left:1215;top:728;width:8265;height:186" id="docshape245" filled="true" fillcolor="#ffffff" stroked="false">
                  <v:fill type="solid"/>
                </v:rect>
                <v:shape style="position:absolute;left:7668;top:6431;width:120;height:800" id="docshape246" coordorigin="7668,6432" coordsize="120,800" path="m7720,7111l7668,7111,7728,7231,7778,7131,7720,7131,7720,7111xm7735,6432l7720,6432,7720,7131,7735,7131,7735,6432xm7788,7111l7735,7111,7735,7131,7778,7131,7788,7111xe" filled="true" fillcolor="#000000" stroked="false">
                  <v:path arrowok="t"/>
                  <v:fill type="solid"/>
                </v:shape>
                <v:shape style="position:absolute;left:1155;top:1750;width:8295;height:4682" id="docshape247" coordorigin="1155,1751" coordsize="8295,4682" path="m1155,6432l1197,6352,1239,6272,1281,6192,1323,6112,1365,6033,1407,5953,1449,5874,1490,5795,1532,5716,1574,5637,1616,5558,1658,5480,1700,5402,1741,5325,1783,5248,1825,5171,1866,5094,1908,5018,1950,4943,1991,4868,2033,4794,2074,4720,2116,4646,2157,4574,2198,4501,2239,4430,2281,4359,2322,4289,2363,4220,2404,4151,2445,4083,2486,4016,2527,3950,2567,3885,2608,3820,2648,3756,2689,3694,2729,3632,2770,3571,2810,3512,2850,3453,2890,3395,2930,3339,2970,3284,3010,3229,3049,3176,3089,3124,3128,3074,3168,3024,3207,2976,3246,2929,3355,2805,3424,2729,3493,2657,3561,2588,3629,2523,3697,2461,3764,2402,3831,2345,3898,2292,3965,2242,4031,2195,4097,2150,4163,2108,4229,2069,4295,2033,4360,1999,4425,1968,4490,1939,4556,1912,4621,1888,4685,1866,4750,1846,4815,1828,4880,1812,4945,1799,5010,1787,5075,1777,5140,1769,5205,1763,5272,1758,5338,1754,5404,1752,5469,1751,5534,1751,5598,1754,5662,1758,5726,1764,5789,1773,5852,1784,5916,1798,5979,1814,6042,1833,6106,1856,6170,1881,6234,1910,6299,1942,6365,1978,6431,2018,6497,2062,6565,2109,6633,2161,6702,2218,6772,2279,6844,2345,6916,2415,6990,2491,7065,2572,7140,2656,7216,2746,7254,2793,7292,2842,7331,2891,7370,2942,7409,2994,7449,3047,7488,3102,7528,3157,7568,3214,7608,3272,7648,3331,7689,3390,7729,3451,7770,3513,7811,3576,7852,3639,7894,3704,7935,3770,7977,3836,8018,3903,8060,3971,8102,4040,8145,4110,8187,4180,8229,4251,8272,4323,8314,4395,8357,4468,8400,4542,8443,4616,8486,4691,8529,4766,8573,4842,8616,4919,8659,4996,8703,5073,8746,5151,8790,5229,8834,5307,8878,5386,8921,5465,8965,5545,9009,5625,9053,5705,9097,5785,9141,5865,9185,5946,9229,6027,9273,6108,9318,6188,9362,6270,9406,6351,9450,6432e" filled="false" stroked="true" strokeweight=".75pt" strokecolor="#000000">
                  <v:path arrowok="t"/>
                  <v:stroke dashstyle="solid"/>
                </v:shape>
                <v:shape style="position:absolute;left:3566;top:2088;width:109;height:221" type="#_x0000_t202" id="docshape248" filled="false" stroked="false">
                  <v:textbox inset="0,0,0,0">
                    <w:txbxContent>
                      <w:p>
                        <w:pPr>
                          <w:spacing w:line="221" w:lineRule="exact" w:before="0"/>
                          <w:ind w:left="0" w:right="0" w:firstLine="0"/>
                          <w:jc w:val="left"/>
                          <w:rPr>
                            <w:b/>
                            <w:sz w:val="20"/>
                          </w:rPr>
                        </w:pPr>
                        <w:r>
                          <w:rPr>
                            <w:b/>
                            <w:spacing w:val="-10"/>
                            <w:sz w:val="20"/>
                          </w:rPr>
                          <w:t>e</w:t>
                        </w:r>
                      </w:p>
                    </w:txbxContent>
                  </v:textbox>
                  <w10:wrap type="none"/>
                </v:shape>
                <v:shape style="position:absolute;left:4448;top:2400;width:1580;height:682" type="#_x0000_t202" id="docshape249" filled="false" stroked="false">
                  <v:textbox inset="0,0,0,0">
                    <w:txbxContent>
                      <w:p>
                        <w:pPr>
                          <w:spacing w:line="240" w:lineRule="auto" w:before="0"/>
                          <w:ind w:left="698" w:right="13" w:hanging="699"/>
                          <w:jc w:val="left"/>
                          <w:rPr>
                            <w:sz w:val="20"/>
                          </w:rPr>
                        </w:pPr>
                        <w:r>
                          <w:rPr>
                            <w:sz w:val="20"/>
                          </w:rPr>
                          <w:t>No</w:t>
                        </w:r>
                        <w:r>
                          <w:rPr>
                            <w:spacing w:val="-13"/>
                            <w:sz w:val="20"/>
                          </w:rPr>
                          <w:t> </w:t>
                        </w:r>
                        <w:r>
                          <w:rPr>
                            <w:sz w:val="20"/>
                          </w:rPr>
                          <w:t>Autocorrelation </w:t>
                        </w:r>
                        <w:r>
                          <w:rPr>
                            <w:spacing w:val="-6"/>
                            <w:sz w:val="20"/>
                          </w:rPr>
                          <w:t>or</w:t>
                        </w:r>
                      </w:p>
                      <w:p>
                        <w:pPr>
                          <w:spacing w:before="0"/>
                          <w:ind w:left="0" w:right="0" w:firstLine="0"/>
                          <w:jc w:val="left"/>
                          <w:rPr>
                            <w:sz w:val="20"/>
                          </w:rPr>
                        </w:pPr>
                        <w:r>
                          <w:rPr>
                            <w:sz w:val="20"/>
                          </w:rPr>
                          <w:t>Acceptance</w:t>
                        </w:r>
                        <w:r>
                          <w:rPr>
                            <w:spacing w:val="-12"/>
                            <w:sz w:val="20"/>
                          </w:rPr>
                          <w:t> </w:t>
                        </w:r>
                        <w:r>
                          <w:rPr>
                            <w:spacing w:val="-2"/>
                            <w:sz w:val="20"/>
                          </w:rPr>
                          <w:t>Region</w:t>
                        </w:r>
                      </w:p>
                    </w:txbxContent>
                  </v:textbox>
                  <w10:wrap type="none"/>
                </v:shape>
                <v:shape style="position:absolute;left:1029;top:6320;width:120;height:221" type="#_x0000_t202" id="docshape250" filled="false" stroked="false">
                  <v:textbox inset="0,0,0,0">
                    <w:txbxContent>
                      <w:p>
                        <w:pPr>
                          <w:spacing w:line="221" w:lineRule="exact" w:before="0"/>
                          <w:ind w:left="0" w:right="0" w:firstLine="0"/>
                          <w:jc w:val="left"/>
                          <w:rPr>
                            <w:sz w:val="20"/>
                          </w:rPr>
                        </w:pPr>
                        <w:r>
                          <w:rPr>
                            <w:spacing w:val="-10"/>
                            <w:sz w:val="20"/>
                          </w:rPr>
                          <w:t>0</w:t>
                        </w:r>
                      </w:p>
                    </w:txbxContent>
                  </v:textbox>
                  <w10:wrap type="none"/>
                </v:shape>
                <v:shape style="position:absolute;left:2244;top:6416;width:313;height:456" type="#_x0000_t202" id="docshape251" filled="false" stroked="false">
                  <v:textbox inset="0,0,0,0">
                    <w:txbxContent>
                      <w:p>
                        <w:pPr>
                          <w:spacing w:line="225" w:lineRule="exact" w:before="0"/>
                          <w:ind w:left="0" w:right="0" w:firstLine="0"/>
                          <w:jc w:val="left"/>
                          <w:rPr>
                            <w:sz w:val="13"/>
                          </w:rPr>
                        </w:pPr>
                        <w:r>
                          <w:rPr>
                            <w:spacing w:val="-5"/>
                            <w:position w:val="2"/>
                            <w:sz w:val="20"/>
                          </w:rPr>
                          <w:t>d</w:t>
                        </w:r>
                        <w:r>
                          <w:rPr>
                            <w:spacing w:val="-5"/>
                            <w:sz w:val="13"/>
                          </w:rPr>
                          <w:t>L</w:t>
                        </w:r>
                      </w:p>
                      <w:p>
                        <w:pPr>
                          <w:spacing w:before="81"/>
                          <w:ind w:left="0" w:right="0" w:firstLine="0"/>
                          <w:jc w:val="left"/>
                          <w:rPr>
                            <w:sz w:val="13"/>
                          </w:rPr>
                        </w:pPr>
                        <w:r>
                          <w:rPr>
                            <w:spacing w:val="-2"/>
                            <w:sz w:val="13"/>
                          </w:rPr>
                          <w:t>1.230</w:t>
                        </w:r>
                      </w:p>
                    </w:txbxContent>
                  </v:textbox>
                  <w10:wrap type="none"/>
                </v:shape>
                <v:shape style="position:absolute;left:3504;top:6397;width:313;height:456" type="#_x0000_t202" id="docshape252" filled="false" stroked="false">
                  <v:textbox inset="0,0,0,0">
                    <w:txbxContent>
                      <w:p>
                        <w:pPr>
                          <w:spacing w:line="225" w:lineRule="exact" w:before="0"/>
                          <w:ind w:left="0" w:right="0" w:firstLine="0"/>
                          <w:jc w:val="left"/>
                          <w:rPr>
                            <w:sz w:val="13"/>
                          </w:rPr>
                        </w:pPr>
                        <w:r>
                          <w:rPr>
                            <w:spacing w:val="-5"/>
                            <w:position w:val="2"/>
                            <w:sz w:val="20"/>
                          </w:rPr>
                          <w:t>d</w:t>
                        </w:r>
                        <w:r>
                          <w:rPr>
                            <w:spacing w:val="-5"/>
                            <w:sz w:val="13"/>
                          </w:rPr>
                          <w:t>U</w:t>
                        </w:r>
                      </w:p>
                      <w:p>
                        <w:pPr>
                          <w:spacing w:before="81"/>
                          <w:ind w:left="0" w:right="0" w:firstLine="0"/>
                          <w:jc w:val="left"/>
                          <w:rPr>
                            <w:sz w:val="13"/>
                          </w:rPr>
                        </w:pPr>
                        <w:r>
                          <w:rPr>
                            <w:spacing w:val="-2"/>
                            <w:sz w:val="13"/>
                          </w:rPr>
                          <w:t>1.786</w:t>
                        </w:r>
                      </w:p>
                    </w:txbxContent>
                  </v:textbox>
                  <w10:wrap type="none"/>
                </v:shape>
                <v:shape style="position:absolute;left:5153;top:6435;width:120;height:221" type="#_x0000_t202" id="docshape253" filled="false" stroked="false">
                  <v:textbox inset="0,0,0,0">
                    <w:txbxContent>
                      <w:p>
                        <w:pPr>
                          <w:spacing w:line="221" w:lineRule="exact" w:before="0"/>
                          <w:ind w:left="0" w:right="0" w:firstLine="0"/>
                          <w:jc w:val="left"/>
                          <w:rPr>
                            <w:sz w:val="20"/>
                          </w:rPr>
                        </w:pPr>
                        <w:r>
                          <w:rPr>
                            <w:spacing w:val="-10"/>
                            <w:sz w:val="20"/>
                          </w:rPr>
                          <w:t>2</w:t>
                        </w:r>
                      </w:p>
                    </w:txbxContent>
                  </v:textbox>
                  <w10:wrap type="none"/>
                </v:shape>
                <v:shape style="position:absolute;left:6714;top:6416;width:380;height:456" type="#_x0000_t202" id="docshape254" filled="false" stroked="false">
                  <v:textbox inset="0,0,0,0">
                    <w:txbxContent>
                      <w:p>
                        <w:pPr>
                          <w:spacing w:line="225" w:lineRule="exact" w:before="0"/>
                          <w:ind w:left="0" w:right="0" w:firstLine="0"/>
                          <w:jc w:val="left"/>
                          <w:rPr>
                            <w:sz w:val="13"/>
                          </w:rPr>
                        </w:pPr>
                        <w:r>
                          <w:rPr>
                            <w:spacing w:val="-2"/>
                            <w:position w:val="2"/>
                            <w:sz w:val="20"/>
                          </w:rPr>
                          <w:t>4-</w:t>
                        </w:r>
                        <w:r>
                          <w:rPr>
                            <w:spacing w:val="-5"/>
                            <w:position w:val="2"/>
                            <w:sz w:val="20"/>
                          </w:rPr>
                          <w:t>d</w:t>
                        </w:r>
                        <w:r>
                          <w:rPr>
                            <w:spacing w:val="-5"/>
                            <w:sz w:val="13"/>
                          </w:rPr>
                          <w:t>U</w:t>
                        </w:r>
                      </w:p>
                      <w:p>
                        <w:pPr>
                          <w:spacing w:before="81"/>
                          <w:ind w:left="0" w:right="0" w:firstLine="0"/>
                          <w:jc w:val="left"/>
                          <w:rPr>
                            <w:sz w:val="13"/>
                          </w:rPr>
                        </w:pPr>
                        <w:r>
                          <w:rPr>
                            <w:spacing w:val="-2"/>
                            <w:sz w:val="13"/>
                          </w:rPr>
                          <w:t>2.214</w:t>
                        </w:r>
                      </w:p>
                    </w:txbxContent>
                  </v:textbox>
                  <w10:wrap type="none"/>
                </v:shape>
                <v:shape style="position:absolute;left:8171;top:6435;width:352;height:456" type="#_x0000_t202" id="docshape255" filled="false" stroked="false">
                  <v:textbox inset="0,0,0,0">
                    <w:txbxContent>
                      <w:p>
                        <w:pPr>
                          <w:spacing w:line="225" w:lineRule="exact" w:before="0"/>
                          <w:ind w:left="0" w:right="0" w:firstLine="0"/>
                          <w:jc w:val="left"/>
                          <w:rPr>
                            <w:sz w:val="13"/>
                          </w:rPr>
                        </w:pPr>
                        <w:r>
                          <w:rPr>
                            <w:spacing w:val="-2"/>
                            <w:position w:val="2"/>
                            <w:sz w:val="20"/>
                          </w:rPr>
                          <w:t>4-</w:t>
                        </w:r>
                        <w:r>
                          <w:rPr>
                            <w:spacing w:val="-5"/>
                            <w:position w:val="2"/>
                            <w:sz w:val="20"/>
                          </w:rPr>
                          <w:t>d</w:t>
                        </w:r>
                        <w:r>
                          <w:rPr>
                            <w:spacing w:val="-5"/>
                            <w:sz w:val="13"/>
                          </w:rPr>
                          <w:t>0</w:t>
                        </w:r>
                      </w:p>
                      <w:p>
                        <w:pPr>
                          <w:spacing w:before="81"/>
                          <w:ind w:left="0" w:right="0" w:firstLine="0"/>
                          <w:jc w:val="left"/>
                          <w:rPr>
                            <w:sz w:val="13"/>
                          </w:rPr>
                        </w:pPr>
                        <w:r>
                          <w:rPr>
                            <w:spacing w:val="-2"/>
                            <w:sz w:val="13"/>
                          </w:rPr>
                          <w:t>2.774</w:t>
                        </w:r>
                      </w:p>
                    </w:txbxContent>
                  </v:textbox>
                  <w10:wrap type="none"/>
                </v:shape>
                <v:shape style="position:absolute;left:9371;top:6418;width:120;height:221" type="#_x0000_t202" id="docshape256" filled="false" stroked="false">
                  <v:textbox inset="0,0,0,0">
                    <w:txbxContent>
                      <w:p>
                        <w:pPr>
                          <w:spacing w:line="221" w:lineRule="exact" w:before="0"/>
                          <w:ind w:left="0" w:right="0" w:firstLine="0"/>
                          <w:jc w:val="left"/>
                          <w:rPr>
                            <w:sz w:val="20"/>
                          </w:rPr>
                        </w:pPr>
                        <w:r>
                          <w:rPr>
                            <w:spacing w:val="-10"/>
                            <w:sz w:val="20"/>
                          </w:rPr>
                          <w:t>4</w:t>
                        </w:r>
                      </w:p>
                    </w:txbxContent>
                  </v:textbox>
                  <w10:wrap type="none"/>
                </v:shape>
                <v:shape style="position:absolute;left:1162;top:843;width:1200;height:5600" type="#_x0000_t202" id="docshape257" filled="false" stroked="false">
                  <v:textbox inset="0,0,0,0">
                    <w:txbxContent>
                      <w:p>
                        <w:pPr>
                          <w:spacing w:line="240" w:lineRule="auto" w:before="0"/>
                          <w:rPr>
                            <w:rFonts w:ascii="Cambria"/>
                            <w:b/>
                            <w:sz w:val="24"/>
                          </w:rPr>
                        </w:pPr>
                      </w:p>
                      <w:p>
                        <w:pPr>
                          <w:spacing w:line="240" w:lineRule="auto" w:before="0"/>
                          <w:rPr>
                            <w:rFonts w:ascii="Cambria"/>
                            <w:b/>
                            <w:sz w:val="24"/>
                          </w:rPr>
                        </w:pPr>
                      </w:p>
                      <w:p>
                        <w:pPr>
                          <w:spacing w:line="240" w:lineRule="auto" w:before="0"/>
                          <w:rPr>
                            <w:rFonts w:ascii="Cambria"/>
                            <w:b/>
                            <w:sz w:val="24"/>
                          </w:rPr>
                        </w:pPr>
                      </w:p>
                      <w:p>
                        <w:pPr>
                          <w:spacing w:line="240" w:lineRule="auto" w:before="0"/>
                          <w:rPr>
                            <w:rFonts w:ascii="Cambria"/>
                            <w:b/>
                            <w:sz w:val="24"/>
                          </w:rPr>
                        </w:pPr>
                      </w:p>
                      <w:p>
                        <w:pPr>
                          <w:spacing w:line="240" w:lineRule="auto" w:before="0"/>
                          <w:rPr>
                            <w:rFonts w:ascii="Cambria"/>
                            <w:b/>
                            <w:sz w:val="24"/>
                          </w:rPr>
                        </w:pPr>
                      </w:p>
                      <w:p>
                        <w:pPr>
                          <w:spacing w:line="240" w:lineRule="auto" w:before="0"/>
                          <w:rPr>
                            <w:rFonts w:ascii="Cambria"/>
                            <w:b/>
                            <w:sz w:val="24"/>
                          </w:rPr>
                        </w:pPr>
                      </w:p>
                      <w:p>
                        <w:pPr>
                          <w:spacing w:line="240" w:lineRule="auto" w:before="0"/>
                          <w:rPr>
                            <w:rFonts w:ascii="Cambria"/>
                            <w:b/>
                            <w:sz w:val="24"/>
                          </w:rPr>
                        </w:pPr>
                      </w:p>
                      <w:p>
                        <w:pPr>
                          <w:spacing w:line="240" w:lineRule="auto" w:before="1"/>
                          <w:rPr>
                            <w:rFonts w:ascii="Cambria"/>
                            <w:b/>
                            <w:sz w:val="24"/>
                          </w:rPr>
                        </w:pPr>
                      </w:p>
                      <w:p>
                        <w:pPr>
                          <w:spacing w:before="1"/>
                          <w:ind w:left="549" w:right="0" w:firstLine="0"/>
                          <w:jc w:val="left"/>
                          <w:rPr>
                            <w:rFonts w:ascii="Cambria"/>
                            <w:i/>
                            <w:sz w:val="24"/>
                          </w:rPr>
                        </w:pPr>
                        <w:r>
                          <w:rPr>
                            <w:rFonts w:ascii="Cambria"/>
                            <w:i/>
                            <w:sz w:val="24"/>
                          </w:rPr>
                          <w:t>Fig</w:t>
                        </w:r>
                        <w:r>
                          <w:rPr>
                            <w:rFonts w:ascii="Cambria"/>
                            <w:i/>
                            <w:spacing w:val="-2"/>
                            <w:sz w:val="24"/>
                          </w:rPr>
                          <w:t> </w:t>
                        </w:r>
                        <w:r>
                          <w:rPr>
                            <w:rFonts w:ascii="Cambria"/>
                            <w:i/>
                            <w:spacing w:val="-5"/>
                            <w:sz w:val="24"/>
                          </w:rPr>
                          <w:t>1:</w:t>
                        </w:r>
                      </w:p>
                      <w:p>
                        <w:pPr>
                          <w:spacing w:line="240" w:lineRule="auto" w:before="76"/>
                          <w:rPr>
                            <w:rFonts w:ascii="Cambria"/>
                            <w:i/>
                            <w:sz w:val="24"/>
                          </w:rPr>
                        </w:pPr>
                      </w:p>
                      <w:p>
                        <w:pPr>
                          <w:spacing w:before="0"/>
                          <w:ind w:left="76" w:right="0" w:firstLine="0"/>
                          <w:jc w:val="left"/>
                          <w:rPr>
                            <w:b/>
                            <w:sz w:val="20"/>
                          </w:rPr>
                        </w:pPr>
                        <w:r>
                          <w:rPr>
                            <w:b/>
                            <w:spacing w:val="-2"/>
                            <w:sz w:val="20"/>
                          </w:rPr>
                          <w:t>Positive Autocorrelat </w:t>
                        </w:r>
                        <w:r>
                          <w:rPr>
                            <w:b/>
                            <w:sz w:val="20"/>
                          </w:rPr>
                          <w:t>ion region</w:t>
                        </w:r>
                      </w:p>
                    </w:txbxContent>
                  </v:textbox>
                  <w10:wrap type="none"/>
                </v:shape>
                <v:shape style="position:absolute;left:8197;top:728;width:1245;height:5716" type="#_x0000_t202" id="docshape258" filled="false" stroked="false">
                  <v:textbox inset="0,0,0,0">
                    <w:txbxContent>
                      <w:p>
                        <w:pPr>
                          <w:spacing w:line="240" w:lineRule="auto" w:before="0"/>
                          <w:rPr>
                            <w:rFonts w:ascii="Cambria"/>
                            <w:b/>
                            <w:sz w:val="20"/>
                          </w:rPr>
                        </w:pPr>
                      </w:p>
                      <w:p>
                        <w:pPr>
                          <w:spacing w:line="240" w:lineRule="auto" w:before="0"/>
                          <w:rPr>
                            <w:rFonts w:ascii="Cambria"/>
                            <w:b/>
                            <w:sz w:val="20"/>
                          </w:rPr>
                        </w:pPr>
                      </w:p>
                      <w:p>
                        <w:pPr>
                          <w:spacing w:line="240" w:lineRule="auto" w:before="0"/>
                          <w:rPr>
                            <w:rFonts w:ascii="Cambria"/>
                            <w:b/>
                            <w:sz w:val="20"/>
                          </w:rPr>
                        </w:pPr>
                      </w:p>
                      <w:p>
                        <w:pPr>
                          <w:spacing w:line="240" w:lineRule="auto" w:before="0"/>
                          <w:rPr>
                            <w:rFonts w:ascii="Cambria"/>
                            <w:b/>
                            <w:sz w:val="20"/>
                          </w:rPr>
                        </w:pPr>
                      </w:p>
                      <w:p>
                        <w:pPr>
                          <w:spacing w:line="240" w:lineRule="auto" w:before="0"/>
                          <w:rPr>
                            <w:rFonts w:ascii="Cambria"/>
                            <w:b/>
                            <w:sz w:val="20"/>
                          </w:rPr>
                        </w:pPr>
                      </w:p>
                      <w:p>
                        <w:pPr>
                          <w:spacing w:line="240" w:lineRule="auto" w:before="0"/>
                          <w:rPr>
                            <w:rFonts w:ascii="Cambria"/>
                            <w:b/>
                            <w:sz w:val="20"/>
                          </w:rPr>
                        </w:pPr>
                      </w:p>
                      <w:p>
                        <w:pPr>
                          <w:spacing w:line="240" w:lineRule="auto" w:before="0"/>
                          <w:rPr>
                            <w:rFonts w:ascii="Cambria"/>
                            <w:b/>
                            <w:sz w:val="20"/>
                          </w:rPr>
                        </w:pPr>
                      </w:p>
                      <w:p>
                        <w:pPr>
                          <w:spacing w:line="240" w:lineRule="auto" w:before="0"/>
                          <w:rPr>
                            <w:rFonts w:ascii="Cambria"/>
                            <w:b/>
                            <w:sz w:val="20"/>
                          </w:rPr>
                        </w:pPr>
                      </w:p>
                      <w:p>
                        <w:pPr>
                          <w:spacing w:line="240" w:lineRule="auto" w:before="0"/>
                          <w:rPr>
                            <w:rFonts w:ascii="Cambria"/>
                            <w:b/>
                            <w:sz w:val="20"/>
                          </w:rPr>
                        </w:pPr>
                      </w:p>
                      <w:p>
                        <w:pPr>
                          <w:spacing w:line="240" w:lineRule="auto" w:before="0"/>
                          <w:rPr>
                            <w:rFonts w:ascii="Cambria"/>
                            <w:b/>
                            <w:sz w:val="20"/>
                          </w:rPr>
                        </w:pPr>
                      </w:p>
                      <w:p>
                        <w:pPr>
                          <w:spacing w:line="240" w:lineRule="auto" w:before="0"/>
                          <w:rPr>
                            <w:rFonts w:ascii="Cambria"/>
                            <w:b/>
                            <w:sz w:val="20"/>
                          </w:rPr>
                        </w:pPr>
                      </w:p>
                      <w:p>
                        <w:pPr>
                          <w:spacing w:line="240" w:lineRule="auto" w:before="174"/>
                          <w:rPr>
                            <w:rFonts w:ascii="Cambria"/>
                            <w:b/>
                            <w:sz w:val="20"/>
                          </w:rPr>
                        </w:pPr>
                      </w:p>
                      <w:p>
                        <w:pPr>
                          <w:spacing w:before="0"/>
                          <w:ind w:left="107" w:right="0" w:firstLine="0"/>
                          <w:jc w:val="left"/>
                          <w:rPr>
                            <w:b/>
                            <w:sz w:val="20"/>
                          </w:rPr>
                        </w:pPr>
                        <w:r>
                          <w:rPr>
                            <w:b/>
                            <w:spacing w:val="-2"/>
                            <w:sz w:val="20"/>
                          </w:rPr>
                          <w:t>Negative Autocorrelat </w:t>
                        </w:r>
                        <w:r>
                          <w:rPr>
                            <w:b/>
                            <w:sz w:val="20"/>
                          </w:rPr>
                          <w:t>ion region</w:t>
                        </w:r>
                      </w:p>
                    </w:txbxContent>
                  </v:textbox>
                  <w10:wrap type="none"/>
                </v:shape>
                <v:shape style="position:absolute;left:6862;top:728;width:1305;height:5716" type="#_x0000_t202" id="docshape259" filled="false" stroked="false">
                  <v:textbox inset="0,0,0,0">
                    <w:txbxContent>
                      <w:p>
                        <w:pPr>
                          <w:spacing w:line="240" w:lineRule="auto" w:before="0"/>
                          <w:rPr>
                            <w:rFonts w:ascii="Cambria"/>
                            <w:b/>
                            <w:sz w:val="20"/>
                          </w:rPr>
                        </w:pPr>
                      </w:p>
                      <w:p>
                        <w:pPr>
                          <w:spacing w:line="240" w:lineRule="auto" w:before="0"/>
                          <w:rPr>
                            <w:rFonts w:ascii="Cambria"/>
                            <w:b/>
                            <w:sz w:val="20"/>
                          </w:rPr>
                        </w:pPr>
                      </w:p>
                      <w:p>
                        <w:pPr>
                          <w:spacing w:line="240" w:lineRule="auto" w:before="0"/>
                          <w:rPr>
                            <w:rFonts w:ascii="Cambria"/>
                            <w:b/>
                            <w:sz w:val="20"/>
                          </w:rPr>
                        </w:pPr>
                      </w:p>
                      <w:p>
                        <w:pPr>
                          <w:spacing w:line="240" w:lineRule="auto" w:before="0"/>
                          <w:rPr>
                            <w:rFonts w:ascii="Cambria"/>
                            <w:b/>
                            <w:sz w:val="20"/>
                          </w:rPr>
                        </w:pPr>
                      </w:p>
                      <w:p>
                        <w:pPr>
                          <w:spacing w:line="240" w:lineRule="auto" w:before="159"/>
                          <w:rPr>
                            <w:rFonts w:ascii="Cambria"/>
                            <w:b/>
                            <w:sz w:val="20"/>
                          </w:rPr>
                        </w:pPr>
                      </w:p>
                      <w:p>
                        <w:pPr>
                          <w:spacing w:before="0"/>
                          <w:ind w:left="197" w:right="0" w:firstLine="0"/>
                          <w:jc w:val="left"/>
                          <w:rPr>
                            <w:b/>
                            <w:sz w:val="20"/>
                          </w:rPr>
                        </w:pPr>
                        <w:r>
                          <w:rPr>
                            <w:b/>
                            <w:spacing w:val="-2"/>
                            <w:sz w:val="20"/>
                          </w:rPr>
                          <w:t>Inconclusive Region</w:t>
                        </w:r>
                      </w:p>
                    </w:txbxContent>
                  </v:textbox>
                  <w10:wrap type="none"/>
                </v:shape>
                <v:shape style="position:absolute;left:2377;top:728;width:1200;height:5716" type="#_x0000_t202" id="docshape260" filled="false" stroked="false">
                  <v:textbox inset="0,0,0,0">
                    <w:txbxContent>
                      <w:p>
                        <w:pPr>
                          <w:spacing w:line="240" w:lineRule="auto" w:before="0"/>
                          <w:rPr>
                            <w:rFonts w:ascii="Cambria"/>
                            <w:b/>
                            <w:sz w:val="20"/>
                          </w:rPr>
                        </w:pPr>
                      </w:p>
                      <w:p>
                        <w:pPr>
                          <w:spacing w:line="240" w:lineRule="auto" w:before="0"/>
                          <w:rPr>
                            <w:rFonts w:ascii="Cambria"/>
                            <w:b/>
                            <w:sz w:val="20"/>
                          </w:rPr>
                        </w:pPr>
                      </w:p>
                      <w:p>
                        <w:pPr>
                          <w:spacing w:line="240" w:lineRule="auto" w:before="0"/>
                          <w:rPr>
                            <w:rFonts w:ascii="Cambria"/>
                            <w:b/>
                            <w:sz w:val="20"/>
                          </w:rPr>
                        </w:pPr>
                      </w:p>
                      <w:p>
                        <w:pPr>
                          <w:spacing w:line="240" w:lineRule="auto" w:before="0"/>
                          <w:rPr>
                            <w:rFonts w:ascii="Cambria"/>
                            <w:b/>
                            <w:sz w:val="20"/>
                          </w:rPr>
                        </w:pPr>
                      </w:p>
                      <w:p>
                        <w:pPr>
                          <w:spacing w:line="240" w:lineRule="auto" w:before="178"/>
                          <w:rPr>
                            <w:rFonts w:ascii="Cambria"/>
                            <w:b/>
                            <w:sz w:val="20"/>
                          </w:rPr>
                        </w:pPr>
                      </w:p>
                      <w:p>
                        <w:pPr>
                          <w:spacing w:before="0"/>
                          <w:ind w:left="212" w:right="0" w:firstLine="0"/>
                          <w:jc w:val="left"/>
                          <w:rPr>
                            <w:b/>
                            <w:sz w:val="20"/>
                          </w:rPr>
                        </w:pPr>
                        <w:r>
                          <w:rPr>
                            <w:b/>
                            <w:spacing w:val="-2"/>
                            <w:sz w:val="20"/>
                          </w:rPr>
                          <w:t>Inconclusiv Region</w:t>
                        </w:r>
                      </w:p>
                    </w:txbxContent>
                  </v:textbox>
                  <w10:wrap type="none"/>
                </v:shape>
                <w10:wrap type="topAndBottom"/>
              </v:group>
            </w:pict>
          </mc:Fallback>
        </mc:AlternateContent>
      </w:r>
    </w:p>
    <w:p>
      <w:pPr>
        <w:spacing w:before="74"/>
        <w:ind w:left="6991" w:right="0" w:firstLine="0"/>
        <w:jc w:val="left"/>
        <w:rPr>
          <w:sz w:val="20"/>
        </w:rPr>
      </w:pPr>
      <w:r>
        <w:rPr>
          <w:sz w:val="20"/>
        </w:rPr>
        <w:t>DW*</w:t>
      </w:r>
      <w:r>
        <w:rPr>
          <w:spacing w:val="-6"/>
          <w:sz w:val="20"/>
        </w:rPr>
        <w:t> </w:t>
      </w:r>
      <w:r>
        <w:rPr>
          <w:spacing w:val="-2"/>
          <w:sz w:val="20"/>
        </w:rPr>
        <w:t>=2.66</w:t>
      </w:r>
    </w:p>
    <w:p>
      <w:pPr>
        <w:pStyle w:val="BodyText"/>
        <w:spacing w:before="163"/>
      </w:pPr>
    </w:p>
    <w:p>
      <w:pPr>
        <w:pStyle w:val="Heading6"/>
        <w:jc w:val="left"/>
      </w:pPr>
      <w:r>
        <w:rPr>
          <w:rFonts w:ascii="Cambria"/>
        </w:rPr>
        <w:t>Figure</w:t>
      </w:r>
      <w:r>
        <w:rPr>
          <w:rFonts w:ascii="Cambria"/>
          <w:spacing w:val="-5"/>
        </w:rPr>
        <w:t> </w:t>
      </w:r>
      <w:r>
        <w:rPr>
          <w:rFonts w:ascii="Cambria"/>
        </w:rPr>
        <w:t>4.9: Durbin</w:t>
      </w:r>
      <w:r>
        <w:rPr>
          <w:rFonts w:ascii="Cambria"/>
          <w:spacing w:val="-1"/>
        </w:rPr>
        <w:t> </w:t>
      </w:r>
      <w:r>
        <w:rPr>
          <w:rFonts w:ascii="Cambria"/>
        </w:rPr>
        <w:t>Watson</w:t>
      </w:r>
      <w:r>
        <w:rPr>
          <w:rFonts w:ascii="Cambria"/>
          <w:spacing w:val="-2"/>
        </w:rPr>
        <w:t> </w:t>
      </w:r>
      <w:r>
        <w:rPr>
          <w:rFonts w:ascii="Cambria"/>
        </w:rPr>
        <w:t>graph</w:t>
      </w:r>
      <w:r>
        <w:rPr>
          <w:rFonts w:ascii="Cambria"/>
          <w:spacing w:val="-2"/>
        </w:rPr>
        <w:t> </w:t>
      </w:r>
      <w:r>
        <w:rPr>
          <w:rFonts w:ascii="Cambria"/>
        </w:rPr>
        <w:t>for</w:t>
      </w:r>
      <w:r>
        <w:rPr>
          <w:rFonts w:ascii="Cambria"/>
          <w:spacing w:val="-3"/>
        </w:rPr>
        <w:t> </w:t>
      </w:r>
      <w:r>
        <w:rPr>
          <w:rFonts w:ascii="Cambria"/>
        </w:rPr>
        <w:t>Model</w:t>
      </w:r>
      <w:r>
        <w:rPr>
          <w:rFonts w:ascii="Cambria"/>
          <w:spacing w:val="-5"/>
        </w:rPr>
        <w:t> </w:t>
      </w:r>
      <w:r>
        <w:rPr>
          <w:rFonts w:ascii="Cambria"/>
        </w:rPr>
        <w:t>2B</w:t>
      </w:r>
      <w:r>
        <w:rPr>
          <w:rFonts w:ascii="Cambria"/>
          <w:spacing w:val="-3"/>
        </w:rPr>
        <w:t> </w:t>
      </w:r>
      <w:r>
        <w:rPr/>
        <w:t>(Morgan</w:t>
      </w:r>
      <w:r>
        <w:rPr>
          <w:spacing w:val="-2"/>
        </w:rPr>
        <w:t> </w:t>
      </w:r>
      <w:r>
        <w:rPr/>
        <w:t>Trust</w:t>
      </w:r>
      <w:r>
        <w:rPr>
          <w:spacing w:val="-2"/>
        </w:rPr>
        <w:t> </w:t>
      </w:r>
      <w:r>
        <w:rPr/>
        <w:t>(1986)</w:t>
      </w:r>
      <w:r>
        <w:rPr>
          <w:spacing w:val="-2"/>
        </w:rPr>
        <w:t> Approach)</w:t>
      </w:r>
    </w:p>
    <w:p>
      <w:pPr>
        <w:pStyle w:val="BodyText"/>
        <w:spacing w:before="6"/>
        <w:rPr>
          <w:b/>
        </w:rPr>
      </w:pPr>
    </w:p>
    <w:p>
      <w:pPr>
        <w:pStyle w:val="BodyText"/>
        <w:spacing w:line="480" w:lineRule="auto"/>
        <w:ind w:left="711" w:right="585"/>
        <w:rPr>
          <w:rFonts w:ascii="Cambria"/>
        </w:rPr>
      </w:pPr>
      <w:r>
        <w:rPr>
          <w:rFonts w:ascii="Cambria"/>
        </w:rPr>
        <w:t>The graph above shows that the Durbin Watson statistics of 2.66 fell within the area of Inconclusive</w:t>
      </w:r>
      <w:r>
        <w:rPr>
          <w:rFonts w:ascii="Cambria"/>
          <w:spacing w:val="40"/>
        </w:rPr>
        <w:t> </w:t>
      </w:r>
      <w:r>
        <w:rPr>
          <w:rFonts w:ascii="Cambria"/>
          <w:spacing w:val="-2"/>
        </w:rPr>
        <w:t>region.</w:t>
      </w:r>
    </w:p>
    <w:p>
      <w:pPr>
        <w:pStyle w:val="BodyText"/>
        <w:spacing w:line="480" w:lineRule="auto" w:before="1"/>
        <w:ind w:left="711"/>
        <w:rPr>
          <w:rFonts w:ascii="Cambria"/>
        </w:rPr>
      </w:pPr>
      <w:r>
        <w:rPr>
          <w:rFonts w:ascii="Cambria"/>
        </w:rPr>
        <w:t>This</w:t>
      </w:r>
      <w:r>
        <w:rPr>
          <w:rFonts w:ascii="Cambria"/>
          <w:spacing w:val="40"/>
        </w:rPr>
        <w:t> </w:t>
      </w:r>
      <w:r>
        <w:rPr>
          <w:rFonts w:ascii="Cambria"/>
        </w:rPr>
        <w:t>following</w:t>
      </w:r>
      <w:r>
        <w:rPr>
          <w:rFonts w:ascii="Cambria"/>
          <w:spacing w:val="39"/>
        </w:rPr>
        <w:t> </w:t>
      </w:r>
      <w:r>
        <w:rPr>
          <w:rFonts w:ascii="Cambria"/>
        </w:rPr>
        <w:t>section</w:t>
      </w:r>
      <w:r>
        <w:rPr>
          <w:rFonts w:ascii="Cambria"/>
          <w:spacing w:val="40"/>
        </w:rPr>
        <w:t> </w:t>
      </w:r>
      <w:r>
        <w:rPr>
          <w:rFonts w:ascii="Cambria"/>
        </w:rPr>
        <w:t>presents</w:t>
      </w:r>
      <w:r>
        <w:rPr>
          <w:rFonts w:ascii="Cambria"/>
          <w:spacing w:val="40"/>
        </w:rPr>
        <w:t> </w:t>
      </w:r>
      <w:r>
        <w:rPr>
          <w:rFonts w:ascii="Cambria"/>
        </w:rPr>
        <w:t>the</w:t>
      </w:r>
      <w:r>
        <w:rPr>
          <w:rFonts w:ascii="Cambria"/>
          <w:spacing w:val="40"/>
        </w:rPr>
        <w:t> </w:t>
      </w:r>
      <w:r>
        <w:rPr>
          <w:rFonts w:ascii="Cambria"/>
        </w:rPr>
        <w:t>result</w:t>
      </w:r>
      <w:r>
        <w:rPr>
          <w:rFonts w:ascii="Cambria"/>
          <w:spacing w:val="40"/>
        </w:rPr>
        <w:t> </w:t>
      </w:r>
      <w:r>
        <w:rPr>
          <w:rFonts w:ascii="Cambria"/>
        </w:rPr>
        <w:t>on</w:t>
      </w:r>
      <w:r>
        <w:rPr>
          <w:rFonts w:ascii="Cambria"/>
          <w:spacing w:val="37"/>
        </w:rPr>
        <w:t> </w:t>
      </w:r>
      <w:r>
        <w:rPr>
          <w:rFonts w:ascii="Cambria"/>
        </w:rPr>
        <w:t>the</w:t>
      </w:r>
      <w:r>
        <w:rPr>
          <w:rFonts w:ascii="Cambria"/>
          <w:spacing w:val="40"/>
        </w:rPr>
        <w:t> </w:t>
      </w:r>
      <w:r>
        <w:rPr>
          <w:rFonts w:ascii="Cambria"/>
        </w:rPr>
        <w:t>impact</w:t>
      </w:r>
      <w:r>
        <w:rPr>
          <w:rFonts w:ascii="Cambria"/>
          <w:spacing w:val="40"/>
        </w:rPr>
        <w:t> </w:t>
      </w:r>
      <w:r>
        <w:rPr>
          <w:rFonts w:ascii="Cambria"/>
        </w:rPr>
        <w:t>of</w:t>
      </w:r>
      <w:r>
        <w:rPr>
          <w:rFonts w:ascii="Cambria"/>
          <w:spacing w:val="39"/>
        </w:rPr>
        <w:t> </w:t>
      </w:r>
      <w:r>
        <w:rPr>
          <w:rFonts w:ascii="Cambria"/>
        </w:rPr>
        <w:t>capital</w:t>
      </w:r>
      <w:r>
        <w:rPr>
          <w:rFonts w:ascii="Cambria"/>
          <w:spacing w:val="37"/>
        </w:rPr>
        <w:t> </w:t>
      </w:r>
      <w:r>
        <w:rPr>
          <w:rFonts w:ascii="Cambria"/>
        </w:rPr>
        <w:t>flight</w:t>
      </w:r>
      <w:r>
        <w:rPr>
          <w:rFonts w:ascii="Cambria"/>
          <w:spacing w:val="40"/>
        </w:rPr>
        <w:t> </w:t>
      </w:r>
      <w:r>
        <w:rPr>
          <w:rFonts w:ascii="Cambria"/>
        </w:rPr>
        <w:t>on</w:t>
      </w:r>
      <w:r>
        <w:rPr>
          <w:rFonts w:ascii="Cambria"/>
          <w:spacing w:val="40"/>
        </w:rPr>
        <w:t> </w:t>
      </w:r>
      <w:r>
        <w:rPr>
          <w:rFonts w:ascii="Cambria"/>
        </w:rPr>
        <w:t>the</w:t>
      </w:r>
      <w:r>
        <w:rPr>
          <w:rFonts w:ascii="Cambria"/>
          <w:spacing w:val="40"/>
        </w:rPr>
        <w:t> </w:t>
      </w:r>
      <w:r>
        <w:rPr>
          <w:rFonts w:ascii="Cambria"/>
        </w:rPr>
        <w:t>Nigeria</w:t>
      </w:r>
      <w:r>
        <w:rPr>
          <w:rFonts w:ascii="Cambria"/>
          <w:spacing w:val="40"/>
        </w:rPr>
        <w:t> </w:t>
      </w:r>
      <w:r>
        <w:rPr>
          <w:rFonts w:ascii="Cambria"/>
        </w:rPr>
        <w:t>economic growth in the Post-SAP era (1986-2011):</w:t>
      </w:r>
    </w:p>
    <w:p>
      <w:pPr>
        <w:spacing w:after="0" w:line="480" w:lineRule="auto"/>
        <w:rPr>
          <w:rFonts w:ascii="Cambria"/>
        </w:rPr>
        <w:sectPr>
          <w:pgSz w:w="11910" w:h="16840"/>
          <w:pgMar w:header="0" w:footer="979" w:top="1340" w:bottom="1240" w:left="280" w:right="0"/>
        </w:sectPr>
      </w:pPr>
    </w:p>
    <w:p>
      <w:pPr>
        <w:pStyle w:val="Heading6"/>
        <w:spacing w:before="81"/>
        <w:jc w:val="left"/>
      </w:pPr>
      <w:r>
        <w:rPr>
          <w:rFonts w:ascii="Cambria"/>
          <w:b w:val="0"/>
        </w:rPr>
        <w:t>Table</w:t>
      </w:r>
      <w:r>
        <w:rPr>
          <w:rFonts w:ascii="Cambria"/>
          <w:b w:val="0"/>
          <w:spacing w:val="-5"/>
        </w:rPr>
        <w:t> </w:t>
      </w:r>
      <w:r>
        <w:rPr>
          <w:rFonts w:ascii="Cambria"/>
          <w:b w:val="0"/>
        </w:rPr>
        <w:t>4.18.</w:t>
      </w:r>
      <w:r>
        <w:rPr>
          <w:rFonts w:ascii="Cambria"/>
          <w:b w:val="0"/>
          <w:spacing w:val="-2"/>
        </w:rPr>
        <w:t> </w:t>
      </w:r>
      <w:r>
        <w:rPr>
          <w:rFonts w:ascii="Cambria"/>
          <w:b w:val="0"/>
        </w:rPr>
        <w:t>P</w:t>
      </w:r>
      <w:r>
        <w:rPr>
          <w:rFonts w:ascii="Cambria"/>
        </w:rPr>
        <w:t>resentation</w:t>
      </w:r>
      <w:r>
        <w:rPr>
          <w:rFonts w:ascii="Cambria"/>
          <w:spacing w:val="-3"/>
        </w:rPr>
        <w:t> </w:t>
      </w:r>
      <w:r>
        <w:rPr>
          <w:rFonts w:ascii="Cambria"/>
        </w:rPr>
        <w:t>of</w:t>
      </w:r>
      <w:r>
        <w:rPr>
          <w:rFonts w:ascii="Cambria"/>
          <w:spacing w:val="-3"/>
        </w:rPr>
        <w:t> </w:t>
      </w:r>
      <w:r>
        <w:rPr>
          <w:rFonts w:ascii="Cambria"/>
        </w:rPr>
        <w:t>Co-integration</w:t>
      </w:r>
      <w:r>
        <w:rPr>
          <w:rFonts w:ascii="Cambria"/>
          <w:spacing w:val="-2"/>
        </w:rPr>
        <w:t> </w:t>
      </w:r>
      <w:r>
        <w:rPr>
          <w:rFonts w:ascii="Cambria"/>
        </w:rPr>
        <w:t>Result</w:t>
      </w:r>
      <w:r>
        <w:rPr>
          <w:rFonts w:ascii="Cambria"/>
          <w:spacing w:val="-1"/>
        </w:rPr>
        <w:t> </w:t>
      </w:r>
      <w:r>
        <w:rPr>
          <w:rFonts w:ascii="Cambria"/>
        </w:rPr>
        <w:t>on</w:t>
      </w:r>
      <w:r>
        <w:rPr>
          <w:rFonts w:ascii="Cambria"/>
          <w:spacing w:val="-2"/>
        </w:rPr>
        <w:t> </w:t>
      </w:r>
      <w:r>
        <w:rPr>
          <w:rFonts w:ascii="Cambria"/>
        </w:rPr>
        <w:t>Model</w:t>
      </w:r>
      <w:r>
        <w:rPr>
          <w:rFonts w:ascii="Cambria"/>
          <w:spacing w:val="-2"/>
        </w:rPr>
        <w:t> </w:t>
      </w:r>
      <w:r>
        <w:rPr>
          <w:rFonts w:ascii="Cambria"/>
        </w:rPr>
        <w:t>6B</w:t>
      </w:r>
      <w:r>
        <w:rPr>
          <w:rFonts w:ascii="Cambria"/>
          <w:spacing w:val="-4"/>
        </w:rPr>
        <w:t> </w:t>
      </w:r>
      <w:r>
        <w:rPr>
          <w:rFonts w:ascii="Cambria"/>
        </w:rPr>
        <w:t>(</w:t>
      </w:r>
      <w:r>
        <w:rPr/>
        <w:t>Morgan</w:t>
      </w:r>
      <w:r>
        <w:rPr>
          <w:spacing w:val="-2"/>
        </w:rPr>
        <w:t> </w:t>
      </w:r>
      <w:r>
        <w:rPr/>
        <w:t>Trust</w:t>
      </w:r>
      <w:r>
        <w:rPr>
          <w:spacing w:val="-3"/>
        </w:rPr>
        <w:t> </w:t>
      </w:r>
      <w:r>
        <w:rPr/>
        <w:t>(1986)</w:t>
      </w:r>
      <w:r>
        <w:rPr>
          <w:spacing w:val="-3"/>
        </w:rPr>
        <w:t> </w:t>
      </w:r>
      <w:r>
        <w:rPr>
          <w:spacing w:val="-2"/>
        </w:rPr>
        <w:t>Approach)</w:t>
      </w:r>
    </w:p>
    <w:p>
      <w:pPr>
        <w:pStyle w:val="BodyText"/>
        <w:spacing w:before="51"/>
        <w:rPr>
          <w:b/>
          <w:sz w:val="20"/>
        </w:rPr>
      </w:pPr>
    </w:p>
    <w:tbl>
      <w:tblPr>
        <w:tblW w:w="0" w:type="auto"/>
        <w:jc w:val="left"/>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8"/>
        <w:gridCol w:w="1848"/>
        <w:gridCol w:w="1848"/>
        <w:gridCol w:w="1848"/>
        <w:gridCol w:w="1954"/>
      </w:tblGrid>
      <w:tr>
        <w:trPr>
          <w:trHeight w:val="1127" w:hRule="atLeast"/>
        </w:trPr>
        <w:tc>
          <w:tcPr>
            <w:tcW w:w="1848" w:type="dxa"/>
          </w:tcPr>
          <w:p>
            <w:pPr>
              <w:pStyle w:val="TableParagraph"/>
              <w:spacing w:before="6"/>
              <w:rPr>
                <w:b/>
                <w:sz w:val="24"/>
              </w:rPr>
            </w:pPr>
          </w:p>
          <w:p>
            <w:pPr>
              <w:pStyle w:val="TableParagraph"/>
              <w:spacing w:before="1"/>
              <w:ind w:left="107"/>
              <w:rPr>
                <w:rFonts w:ascii="Cambria"/>
                <w:b/>
                <w:sz w:val="24"/>
              </w:rPr>
            </w:pPr>
            <w:r>
              <w:rPr>
                <w:rFonts w:ascii="Cambria"/>
                <w:b/>
                <w:sz w:val="24"/>
              </w:rPr>
              <w:t>EIGEN</w:t>
            </w:r>
            <w:r>
              <w:rPr>
                <w:rFonts w:ascii="Cambria"/>
                <w:b/>
                <w:spacing w:val="-2"/>
                <w:sz w:val="24"/>
              </w:rPr>
              <w:t> VALUE</w:t>
            </w:r>
          </w:p>
        </w:tc>
        <w:tc>
          <w:tcPr>
            <w:tcW w:w="1848" w:type="dxa"/>
          </w:tcPr>
          <w:p>
            <w:pPr>
              <w:pStyle w:val="TableParagraph"/>
              <w:spacing w:before="2"/>
              <w:ind w:left="105"/>
              <w:rPr>
                <w:rFonts w:ascii="Cambria"/>
                <w:b/>
                <w:sz w:val="24"/>
              </w:rPr>
            </w:pPr>
            <w:r>
              <w:rPr>
                <w:rFonts w:ascii="Cambria"/>
                <w:b/>
                <w:spacing w:val="-2"/>
                <w:sz w:val="24"/>
              </w:rPr>
              <w:t>LIKELIHOOD</w:t>
            </w:r>
          </w:p>
          <w:p>
            <w:pPr>
              <w:pStyle w:val="TableParagraph"/>
              <w:spacing w:before="4"/>
              <w:rPr>
                <w:b/>
                <w:sz w:val="24"/>
              </w:rPr>
            </w:pPr>
          </w:p>
          <w:p>
            <w:pPr>
              <w:pStyle w:val="TableParagraph"/>
              <w:ind w:left="105"/>
              <w:rPr>
                <w:rFonts w:ascii="Cambria"/>
                <w:b/>
                <w:sz w:val="24"/>
              </w:rPr>
            </w:pPr>
            <w:r>
              <w:rPr>
                <w:rFonts w:ascii="Cambria"/>
                <w:b/>
                <w:spacing w:val="-2"/>
                <w:sz w:val="24"/>
              </w:rPr>
              <w:t>RATIO</w:t>
            </w:r>
          </w:p>
        </w:tc>
        <w:tc>
          <w:tcPr>
            <w:tcW w:w="1848" w:type="dxa"/>
          </w:tcPr>
          <w:p>
            <w:pPr>
              <w:pStyle w:val="TableParagraph"/>
              <w:tabs>
                <w:tab w:pos="694" w:val="left" w:leader="none"/>
              </w:tabs>
              <w:spacing w:before="2"/>
              <w:ind w:left="106"/>
              <w:rPr>
                <w:rFonts w:ascii="Cambria"/>
                <w:b/>
                <w:sz w:val="24"/>
              </w:rPr>
            </w:pPr>
            <w:r>
              <w:rPr>
                <w:rFonts w:ascii="Cambria"/>
                <w:b/>
                <w:spacing w:val="-5"/>
                <w:sz w:val="24"/>
              </w:rPr>
              <w:t>5%</w:t>
            </w:r>
            <w:r>
              <w:rPr>
                <w:rFonts w:ascii="Cambria"/>
                <w:b/>
                <w:sz w:val="24"/>
              </w:rPr>
              <w:tab/>
            </w:r>
            <w:r>
              <w:rPr>
                <w:rFonts w:ascii="Cambria"/>
                <w:b/>
                <w:spacing w:val="-2"/>
                <w:sz w:val="24"/>
              </w:rPr>
              <w:t>CRITICAL</w:t>
            </w:r>
          </w:p>
          <w:p>
            <w:pPr>
              <w:pStyle w:val="TableParagraph"/>
              <w:spacing w:before="4"/>
              <w:rPr>
                <w:b/>
                <w:sz w:val="24"/>
              </w:rPr>
            </w:pPr>
          </w:p>
          <w:p>
            <w:pPr>
              <w:pStyle w:val="TableParagraph"/>
              <w:ind w:left="106"/>
              <w:rPr>
                <w:rFonts w:ascii="Cambria"/>
                <w:b/>
                <w:sz w:val="24"/>
              </w:rPr>
            </w:pPr>
            <w:r>
              <w:rPr>
                <w:rFonts w:ascii="Cambria"/>
                <w:b/>
                <w:spacing w:val="-2"/>
                <w:sz w:val="24"/>
              </w:rPr>
              <w:t>VALUE</w:t>
            </w:r>
          </w:p>
        </w:tc>
        <w:tc>
          <w:tcPr>
            <w:tcW w:w="1848" w:type="dxa"/>
          </w:tcPr>
          <w:p>
            <w:pPr>
              <w:pStyle w:val="TableParagraph"/>
              <w:tabs>
                <w:tab w:pos="697" w:val="left" w:leader="none"/>
              </w:tabs>
              <w:spacing w:before="2"/>
              <w:ind w:left="106"/>
              <w:rPr>
                <w:rFonts w:ascii="Cambria"/>
                <w:b/>
                <w:sz w:val="24"/>
              </w:rPr>
            </w:pPr>
            <w:r>
              <w:rPr>
                <w:rFonts w:ascii="Cambria"/>
                <w:b/>
                <w:spacing w:val="-5"/>
                <w:sz w:val="24"/>
              </w:rPr>
              <w:t>1%</w:t>
            </w:r>
            <w:r>
              <w:rPr>
                <w:rFonts w:ascii="Cambria"/>
                <w:b/>
                <w:sz w:val="24"/>
              </w:rPr>
              <w:tab/>
            </w:r>
            <w:r>
              <w:rPr>
                <w:rFonts w:ascii="Cambria"/>
                <w:b/>
                <w:spacing w:val="-2"/>
                <w:sz w:val="24"/>
              </w:rPr>
              <w:t>CRITICAL</w:t>
            </w:r>
          </w:p>
          <w:p>
            <w:pPr>
              <w:pStyle w:val="TableParagraph"/>
              <w:spacing w:before="4"/>
              <w:rPr>
                <w:b/>
                <w:sz w:val="24"/>
              </w:rPr>
            </w:pPr>
          </w:p>
          <w:p>
            <w:pPr>
              <w:pStyle w:val="TableParagraph"/>
              <w:ind w:left="106"/>
              <w:rPr>
                <w:rFonts w:ascii="Cambria"/>
                <w:b/>
                <w:sz w:val="24"/>
              </w:rPr>
            </w:pPr>
            <w:r>
              <w:rPr>
                <w:rFonts w:ascii="Cambria"/>
                <w:b/>
                <w:spacing w:val="-2"/>
                <w:sz w:val="24"/>
              </w:rPr>
              <w:t>VALUE</w:t>
            </w:r>
          </w:p>
        </w:tc>
        <w:tc>
          <w:tcPr>
            <w:tcW w:w="1954" w:type="dxa"/>
          </w:tcPr>
          <w:p>
            <w:pPr>
              <w:pStyle w:val="TableParagraph"/>
              <w:spacing w:before="2"/>
              <w:ind w:left="109"/>
              <w:rPr>
                <w:rFonts w:ascii="Cambria"/>
                <w:b/>
                <w:sz w:val="24"/>
              </w:rPr>
            </w:pPr>
            <w:r>
              <w:rPr>
                <w:rFonts w:ascii="Cambria"/>
                <w:b/>
                <w:spacing w:val="-2"/>
                <w:sz w:val="24"/>
              </w:rPr>
              <w:t>HYPOTHESISED</w:t>
            </w:r>
          </w:p>
          <w:p>
            <w:pPr>
              <w:pStyle w:val="TableParagraph"/>
              <w:spacing w:before="4"/>
              <w:rPr>
                <w:b/>
                <w:sz w:val="24"/>
              </w:rPr>
            </w:pPr>
          </w:p>
          <w:p>
            <w:pPr>
              <w:pStyle w:val="TableParagraph"/>
              <w:ind w:left="109"/>
              <w:rPr>
                <w:rFonts w:ascii="Cambria"/>
                <w:b/>
                <w:sz w:val="24"/>
              </w:rPr>
            </w:pPr>
            <w:r>
              <w:rPr>
                <w:rFonts w:ascii="Cambria"/>
                <w:b/>
                <w:position w:val="1"/>
                <w:sz w:val="24"/>
              </w:rPr>
              <w:t>NO OF</w:t>
            </w:r>
            <w:r>
              <w:rPr>
                <w:rFonts w:ascii="Cambria"/>
                <w:b/>
                <w:spacing w:val="-1"/>
                <w:position w:val="1"/>
                <w:sz w:val="24"/>
              </w:rPr>
              <w:t> </w:t>
            </w:r>
            <w:r>
              <w:rPr>
                <w:rFonts w:ascii="Cambria"/>
                <w:b/>
                <w:spacing w:val="-2"/>
                <w:position w:val="1"/>
                <w:sz w:val="24"/>
              </w:rPr>
              <w:t>(CE</w:t>
            </w:r>
            <w:r>
              <w:rPr>
                <w:rFonts w:ascii="Cambria"/>
                <w:b/>
                <w:spacing w:val="-2"/>
                <w:sz w:val="16"/>
              </w:rPr>
              <w:t>S</w:t>
            </w:r>
            <w:r>
              <w:rPr>
                <w:rFonts w:ascii="Cambria"/>
                <w:b/>
                <w:spacing w:val="-2"/>
                <w:position w:val="1"/>
                <w:sz w:val="24"/>
              </w:rPr>
              <w:t>)</w:t>
            </w:r>
          </w:p>
        </w:tc>
      </w:tr>
      <w:tr>
        <w:trPr>
          <w:trHeight w:val="304" w:hRule="atLeast"/>
        </w:trPr>
        <w:tc>
          <w:tcPr>
            <w:tcW w:w="1848" w:type="dxa"/>
          </w:tcPr>
          <w:p>
            <w:pPr>
              <w:pStyle w:val="TableParagraph"/>
              <w:spacing w:line="207" w:lineRule="exact"/>
              <w:ind w:left="609"/>
              <w:rPr>
                <w:sz w:val="18"/>
              </w:rPr>
            </w:pPr>
            <w:r>
              <w:rPr>
                <w:spacing w:val="-2"/>
                <w:sz w:val="18"/>
              </w:rPr>
              <w:t>0.849806</w:t>
            </w:r>
          </w:p>
        </w:tc>
        <w:tc>
          <w:tcPr>
            <w:tcW w:w="1848" w:type="dxa"/>
          </w:tcPr>
          <w:p>
            <w:pPr>
              <w:pStyle w:val="TableParagraph"/>
              <w:spacing w:line="207" w:lineRule="exact"/>
              <w:ind w:left="113" w:right="62"/>
              <w:jc w:val="center"/>
              <w:rPr>
                <w:sz w:val="18"/>
              </w:rPr>
            </w:pPr>
            <w:r>
              <w:rPr>
                <w:spacing w:val="-2"/>
                <w:sz w:val="18"/>
              </w:rPr>
              <w:t>112.8849</w:t>
            </w:r>
          </w:p>
        </w:tc>
        <w:tc>
          <w:tcPr>
            <w:tcW w:w="1848" w:type="dxa"/>
          </w:tcPr>
          <w:p>
            <w:pPr>
              <w:pStyle w:val="TableParagraph"/>
              <w:spacing w:line="207" w:lineRule="exact"/>
              <w:ind w:left="113" w:right="60"/>
              <w:jc w:val="center"/>
              <w:rPr>
                <w:sz w:val="18"/>
              </w:rPr>
            </w:pPr>
            <w:r>
              <w:rPr>
                <w:spacing w:val="-2"/>
                <w:sz w:val="18"/>
              </w:rPr>
              <w:t>94.15</w:t>
            </w:r>
          </w:p>
        </w:tc>
        <w:tc>
          <w:tcPr>
            <w:tcW w:w="1848" w:type="dxa"/>
          </w:tcPr>
          <w:p>
            <w:pPr>
              <w:pStyle w:val="TableParagraph"/>
              <w:spacing w:line="207" w:lineRule="exact"/>
              <w:ind w:left="113" w:right="105"/>
              <w:jc w:val="center"/>
              <w:rPr>
                <w:sz w:val="18"/>
              </w:rPr>
            </w:pPr>
            <w:r>
              <w:rPr>
                <w:spacing w:val="-2"/>
                <w:sz w:val="18"/>
              </w:rPr>
              <w:t>103.18</w:t>
            </w:r>
          </w:p>
        </w:tc>
        <w:tc>
          <w:tcPr>
            <w:tcW w:w="1954" w:type="dxa"/>
          </w:tcPr>
          <w:p>
            <w:pPr>
              <w:pStyle w:val="TableParagraph"/>
              <w:spacing w:line="207" w:lineRule="exact"/>
              <w:ind w:left="382"/>
              <w:rPr>
                <w:sz w:val="18"/>
              </w:rPr>
            </w:pPr>
            <w:r>
              <w:rPr>
                <w:sz w:val="18"/>
              </w:rPr>
              <w:t>None</w:t>
            </w:r>
            <w:r>
              <w:rPr>
                <w:spacing w:val="-2"/>
                <w:sz w:val="18"/>
              </w:rPr>
              <w:t> </w:t>
            </w:r>
            <w:r>
              <w:rPr>
                <w:spacing w:val="-5"/>
                <w:sz w:val="18"/>
              </w:rPr>
              <w:t>**</w:t>
            </w:r>
          </w:p>
        </w:tc>
      </w:tr>
      <w:tr>
        <w:trPr>
          <w:trHeight w:val="350" w:hRule="atLeast"/>
        </w:trPr>
        <w:tc>
          <w:tcPr>
            <w:tcW w:w="1848" w:type="dxa"/>
          </w:tcPr>
          <w:p>
            <w:pPr>
              <w:pStyle w:val="TableParagraph"/>
              <w:spacing w:line="207" w:lineRule="exact"/>
              <w:ind w:left="609"/>
              <w:rPr>
                <w:sz w:val="18"/>
              </w:rPr>
            </w:pPr>
            <w:r>
              <w:rPr>
                <w:spacing w:val="-2"/>
                <w:sz w:val="18"/>
              </w:rPr>
              <w:t>0.648669</w:t>
            </w:r>
          </w:p>
        </w:tc>
        <w:tc>
          <w:tcPr>
            <w:tcW w:w="1848" w:type="dxa"/>
          </w:tcPr>
          <w:p>
            <w:pPr>
              <w:pStyle w:val="TableParagraph"/>
              <w:spacing w:line="207" w:lineRule="exact"/>
              <w:ind w:left="113" w:right="62"/>
              <w:jc w:val="center"/>
              <w:rPr>
                <w:sz w:val="18"/>
              </w:rPr>
            </w:pPr>
            <w:r>
              <w:rPr>
                <w:spacing w:val="-2"/>
                <w:sz w:val="18"/>
              </w:rPr>
              <w:t>69.28095</w:t>
            </w:r>
          </w:p>
        </w:tc>
        <w:tc>
          <w:tcPr>
            <w:tcW w:w="1848" w:type="dxa"/>
          </w:tcPr>
          <w:p>
            <w:pPr>
              <w:pStyle w:val="TableParagraph"/>
              <w:spacing w:line="207" w:lineRule="exact"/>
              <w:ind w:left="113" w:right="60"/>
              <w:jc w:val="center"/>
              <w:rPr>
                <w:sz w:val="18"/>
              </w:rPr>
            </w:pPr>
            <w:r>
              <w:rPr>
                <w:spacing w:val="-2"/>
                <w:sz w:val="18"/>
              </w:rPr>
              <w:t>68.52</w:t>
            </w:r>
          </w:p>
        </w:tc>
        <w:tc>
          <w:tcPr>
            <w:tcW w:w="1848" w:type="dxa"/>
          </w:tcPr>
          <w:p>
            <w:pPr>
              <w:pStyle w:val="TableParagraph"/>
              <w:spacing w:line="207" w:lineRule="exact"/>
              <w:ind w:left="113" w:right="59"/>
              <w:jc w:val="center"/>
              <w:rPr>
                <w:sz w:val="18"/>
              </w:rPr>
            </w:pPr>
            <w:r>
              <w:rPr>
                <w:spacing w:val="-2"/>
                <w:sz w:val="18"/>
              </w:rPr>
              <w:t>76.07</w:t>
            </w:r>
          </w:p>
        </w:tc>
        <w:tc>
          <w:tcPr>
            <w:tcW w:w="1954" w:type="dxa"/>
          </w:tcPr>
          <w:p>
            <w:pPr>
              <w:pStyle w:val="TableParagraph"/>
              <w:spacing w:line="207" w:lineRule="exact"/>
              <w:ind w:left="246"/>
              <w:rPr>
                <w:sz w:val="18"/>
              </w:rPr>
            </w:pPr>
            <w:r>
              <w:rPr>
                <w:sz w:val="18"/>
              </w:rPr>
              <w:t>At</w:t>
            </w:r>
            <w:r>
              <w:rPr>
                <w:spacing w:val="-2"/>
                <w:sz w:val="18"/>
              </w:rPr>
              <w:t> </w:t>
            </w:r>
            <w:r>
              <w:rPr>
                <w:sz w:val="18"/>
              </w:rPr>
              <w:t>most</w:t>
            </w:r>
            <w:r>
              <w:rPr>
                <w:spacing w:val="-2"/>
                <w:sz w:val="18"/>
              </w:rPr>
              <w:t> </w:t>
            </w:r>
            <w:r>
              <w:rPr>
                <w:sz w:val="18"/>
              </w:rPr>
              <w:t>1</w:t>
            </w:r>
            <w:r>
              <w:rPr>
                <w:spacing w:val="2"/>
                <w:sz w:val="18"/>
              </w:rPr>
              <w:t> </w:t>
            </w:r>
            <w:r>
              <w:rPr>
                <w:spacing w:val="-10"/>
                <w:sz w:val="18"/>
              </w:rPr>
              <w:t>*</w:t>
            </w:r>
          </w:p>
        </w:tc>
      </w:tr>
      <w:tr>
        <w:trPr>
          <w:trHeight w:val="359" w:hRule="atLeast"/>
        </w:trPr>
        <w:tc>
          <w:tcPr>
            <w:tcW w:w="1848" w:type="dxa"/>
          </w:tcPr>
          <w:p>
            <w:pPr>
              <w:pStyle w:val="TableParagraph"/>
              <w:spacing w:line="207" w:lineRule="exact"/>
              <w:ind w:left="609"/>
              <w:rPr>
                <w:sz w:val="18"/>
              </w:rPr>
            </w:pPr>
            <w:r>
              <w:rPr>
                <w:spacing w:val="-2"/>
                <w:sz w:val="18"/>
              </w:rPr>
              <w:t>0.632812</w:t>
            </w:r>
          </w:p>
        </w:tc>
        <w:tc>
          <w:tcPr>
            <w:tcW w:w="1848" w:type="dxa"/>
          </w:tcPr>
          <w:p>
            <w:pPr>
              <w:pStyle w:val="TableParagraph"/>
              <w:spacing w:line="207" w:lineRule="exact"/>
              <w:ind w:left="113" w:right="62"/>
              <w:jc w:val="center"/>
              <w:rPr>
                <w:sz w:val="18"/>
              </w:rPr>
            </w:pPr>
            <w:r>
              <w:rPr>
                <w:spacing w:val="-2"/>
                <w:sz w:val="18"/>
              </w:rPr>
              <w:t>45.22235</w:t>
            </w:r>
          </w:p>
        </w:tc>
        <w:tc>
          <w:tcPr>
            <w:tcW w:w="1848" w:type="dxa"/>
          </w:tcPr>
          <w:p>
            <w:pPr>
              <w:pStyle w:val="TableParagraph"/>
              <w:spacing w:line="207" w:lineRule="exact"/>
              <w:ind w:left="113" w:right="60"/>
              <w:jc w:val="center"/>
              <w:rPr>
                <w:sz w:val="18"/>
              </w:rPr>
            </w:pPr>
            <w:r>
              <w:rPr>
                <w:spacing w:val="-2"/>
                <w:sz w:val="18"/>
              </w:rPr>
              <w:t>47.21</w:t>
            </w:r>
          </w:p>
        </w:tc>
        <w:tc>
          <w:tcPr>
            <w:tcW w:w="1848" w:type="dxa"/>
          </w:tcPr>
          <w:p>
            <w:pPr>
              <w:pStyle w:val="TableParagraph"/>
              <w:spacing w:line="207" w:lineRule="exact"/>
              <w:ind w:left="113" w:right="59"/>
              <w:jc w:val="center"/>
              <w:rPr>
                <w:sz w:val="18"/>
              </w:rPr>
            </w:pPr>
            <w:r>
              <w:rPr>
                <w:spacing w:val="-2"/>
                <w:sz w:val="18"/>
              </w:rPr>
              <w:t>54.46</w:t>
            </w:r>
          </w:p>
        </w:tc>
        <w:tc>
          <w:tcPr>
            <w:tcW w:w="1954" w:type="dxa"/>
          </w:tcPr>
          <w:p>
            <w:pPr>
              <w:pStyle w:val="TableParagraph"/>
              <w:spacing w:line="207" w:lineRule="exact"/>
              <w:ind w:left="246"/>
              <w:rPr>
                <w:sz w:val="18"/>
              </w:rPr>
            </w:pPr>
            <w:r>
              <w:rPr>
                <w:sz w:val="18"/>
              </w:rPr>
              <w:t>At</w:t>
            </w:r>
            <w:r>
              <w:rPr>
                <w:spacing w:val="-3"/>
                <w:sz w:val="18"/>
              </w:rPr>
              <w:t> </w:t>
            </w:r>
            <w:r>
              <w:rPr>
                <w:sz w:val="18"/>
              </w:rPr>
              <w:t>most</w:t>
            </w:r>
            <w:r>
              <w:rPr>
                <w:spacing w:val="-3"/>
                <w:sz w:val="18"/>
              </w:rPr>
              <w:t> </w:t>
            </w:r>
            <w:r>
              <w:rPr>
                <w:spacing w:val="-10"/>
                <w:sz w:val="18"/>
              </w:rPr>
              <w:t>2</w:t>
            </w:r>
          </w:p>
        </w:tc>
      </w:tr>
      <w:tr>
        <w:trPr>
          <w:trHeight w:val="350" w:hRule="atLeast"/>
        </w:trPr>
        <w:tc>
          <w:tcPr>
            <w:tcW w:w="1848" w:type="dxa"/>
          </w:tcPr>
          <w:p>
            <w:pPr>
              <w:pStyle w:val="TableParagraph"/>
              <w:spacing w:line="207" w:lineRule="exact"/>
              <w:ind w:left="609"/>
              <w:rPr>
                <w:sz w:val="18"/>
              </w:rPr>
            </w:pPr>
            <w:r>
              <w:rPr>
                <w:spacing w:val="-2"/>
                <w:sz w:val="18"/>
              </w:rPr>
              <w:t>0.345955</w:t>
            </w:r>
          </w:p>
        </w:tc>
        <w:tc>
          <w:tcPr>
            <w:tcW w:w="1848" w:type="dxa"/>
          </w:tcPr>
          <w:p>
            <w:pPr>
              <w:pStyle w:val="TableParagraph"/>
              <w:spacing w:line="207" w:lineRule="exact"/>
              <w:ind w:left="113" w:right="62"/>
              <w:jc w:val="center"/>
              <w:rPr>
                <w:sz w:val="18"/>
              </w:rPr>
            </w:pPr>
            <w:r>
              <w:rPr>
                <w:spacing w:val="-2"/>
                <w:sz w:val="18"/>
              </w:rPr>
              <w:t>22.17911</w:t>
            </w:r>
          </w:p>
        </w:tc>
        <w:tc>
          <w:tcPr>
            <w:tcW w:w="1848" w:type="dxa"/>
          </w:tcPr>
          <w:p>
            <w:pPr>
              <w:pStyle w:val="TableParagraph"/>
              <w:spacing w:line="207" w:lineRule="exact"/>
              <w:ind w:left="113" w:right="60"/>
              <w:jc w:val="center"/>
              <w:rPr>
                <w:sz w:val="18"/>
              </w:rPr>
            </w:pPr>
            <w:r>
              <w:rPr>
                <w:spacing w:val="-2"/>
                <w:sz w:val="18"/>
              </w:rPr>
              <w:t>29.68</w:t>
            </w:r>
          </w:p>
        </w:tc>
        <w:tc>
          <w:tcPr>
            <w:tcW w:w="1848" w:type="dxa"/>
          </w:tcPr>
          <w:p>
            <w:pPr>
              <w:pStyle w:val="TableParagraph"/>
              <w:spacing w:line="207" w:lineRule="exact"/>
              <w:ind w:left="113" w:right="59"/>
              <w:jc w:val="center"/>
              <w:rPr>
                <w:sz w:val="18"/>
              </w:rPr>
            </w:pPr>
            <w:r>
              <w:rPr>
                <w:spacing w:val="-2"/>
                <w:sz w:val="18"/>
              </w:rPr>
              <w:t>35.65</w:t>
            </w:r>
          </w:p>
        </w:tc>
        <w:tc>
          <w:tcPr>
            <w:tcW w:w="1954" w:type="dxa"/>
          </w:tcPr>
          <w:p>
            <w:pPr>
              <w:pStyle w:val="TableParagraph"/>
              <w:spacing w:line="207" w:lineRule="exact"/>
              <w:ind w:left="246"/>
              <w:rPr>
                <w:sz w:val="18"/>
              </w:rPr>
            </w:pPr>
            <w:r>
              <w:rPr>
                <w:sz w:val="18"/>
              </w:rPr>
              <w:t>At</w:t>
            </w:r>
            <w:r>
              <w:rPr>
                <w:spacing w:val="-3"/>
                <w:sz w:val="18"/>
              </w:rPr>
              <w:t> </w:t>
            </w:r>
            <w:r>
              <w:rPr>
                <w:sz w:val="18"/>
              </w:rPr>
              <w:t>most</w:t>
            </w:r>
            <w:r>
              <w:rPr>
                <w:spacing w:val="-3"/>
                <w:sz w:val="18"/>
              </w:rPr>
              <w:t> </w:t>
            </w:r>
            <w:r>
              <w:rPr>
                <w:spacing w:val="-10"/>
                <w:sz w:val="18"/>
              </w:rPr>
              <w:t>3</w:t>
            </w:r>
          </w:p>
        </w:tc>
      </w:tr>
      <w:tr>
        <w:trPr>
          <w:trHeight w:val="350" w:hRule="atLeast"/>
        </w:trPr>
        <w:tc>
          <w:tcPr>
            <w:tcW w:w="1848" w:type="dxa"/>
          </w:tcPr>
          <w:p>
            <w:pPr>
              <w:pStyle w:val="TableParagraph"/>
              <w:spacing w:line="207" w:lineRule="exact"/>
              <w:ind w:left="609"/>
              <w:rPr>
                <w:sz w:val="18"/>
              </w:rPr>
            </w:pPr>
            <w:r>
              <w:rPr>
                <w:spacing w:val="-2"/>
                <w:sz w:val="18"/>
              </w:rPr>
              <w:t>0.303035</w:t>
            </w:r>
          </w:p>
        </w:tc>
        <w:tc>
          <w:tcPr>
            <w:tcW w:w="1848" w:type="dxa"/>
          </w:tcPr>
          <w:p>
            <w:pPr>
              <w:pStyle w:val="TableParagraph"/>
              <w:spacing w:line="207" w:lineRule="exact"/>
              <w:ind w:left="113" w:right="62"/>
              <w:jc w:val="center"/>
              <w:rPr>
                <w:sz w:val="18"/>
              </w:rPr>
            </w:pPr>
            <w:r>
              <w:rPr>
                <w:spacing w:val="-2"/>
                <w:sz w:val="18"/>
              </w:rPr>
              <w:t>12.41378</w:t>
            </w:r>
          </w:p>
        </w:tc>
        <w:tc>
          <w:tcPr>
            <w:tcW w:w="1848" w:type="dxa"/>
          </w:tcPr>
          <w:p>
            <w:pPr>
              <w:pStyle w:val="TableParagraph"/>
              <w:spacing w:line="207" w:lineRule="exact"/>
              <w:ind w:left="113" w:right="60"/>
              <w:jc w:val="center"/>
              <w:rPr>
                <w:sz w:val="18"/>
              </w:rPr>
            </w:pPr>
            <w:r>
              <w:rPr>
                <w:spacing w:val="-2"/>
                <w:sz w:val="18"/>
              </w:rPr>
              <w:t>15.41</w:t>
            </w:r>
          </w:p>
        </w:tc>
        <w:tc>
          <w:tcPr>
            <w:tcW w:w="1848" w:type="dxa"/>
          </w:tcPr>
          <w:p>
            <w:pPr>
              <w:pStyle w:val="TableParagraph"/>
              <w:spacing w:line="207" w:lineRule="exact"/>
              <w:ind w:left="113" w:right="59"/>
              <w:jc w:val="center"/>
              <w:rPr>
                <w:sz w:val="18"/>
              </w:rPr>
            </w:pPr>
            <w:r>
              <w:rPr>
                <w:spacing w:val="-2"/>
                <w:sz w:val="18"/>
              </w:rPr>
              <w:t>20.04</w:t>
            </w:r>
          </w:p>
        </w:tc>
        <w:tc>
          <w:tcPr>
            <w:tcW w:w="1954" w:type="dxa"/>
          </w:tcPr>
          <w:p>
            <w:pPr>
              <w:pStyle w:val="TableParagraph"/>
              <w:spacing w:line="207" w:lineRule="exact"/>
              <w:ind w:left="246"/>
              <w:rPr>
                <w:sz w:val="18"/>
              </w:rPr>
            </w:pPr>
            <w:r>
              <w:rPr>
                <w:sz w:val="18"/>
              </w:rPr>
              <w:t>At</w:t>
            </w:r>
            <w:r>
              <w:rPr>
                <w:spacing w:val="-3"/>
                <w:sz w:val="18"/>
              </w:rPr>
              <w:t> </w:t>
            </w:r>
            <w:r>
              <w:rPr>
                <w:sz w:val="18"/>
              </w:rPr>
              <w:t>most</w:t>
            </w:r>
            <w:r>
              <w:rPr>
                <w:spacing w:val="-3"/>
                <w:sz w:val="18"/>
              </w:rPr>
              <w:t> </w:t>
            </w:r>
            <w:r>
              <w:rPr>
                <w:spacing w:val="-10"/>
                <w:sz w:val="18"/>
              </w:rPr>
              <w:t>4</w:t>
            </w:r>
          </w:p>
        </w:tc>
      </w:tr>
      <w:tr>
        <w:trPr>
          <w:trHeight w:val="340" w:hRule="atLeast"/>
        </w:trPr>
        <w:tc>
          <w:tcPr>
            <w:tcW w:w="1848" w:type="dxa"/>
          </w:tcPr>
          <w:p>
            <w:pPr>
              <w:pStyle w:val="TableParagraph"/>
              <w:spacing w:line="207" w:lineRule="exact"/>
              <w:ind w:left="609"/>
              <w:rPr>
                <w:sz w:val="18"/>
              </w:rPr>
            </w:pPr>
            <w:r>
              <w:rPr>
                <w:spacing w:val="-2"/>
                <w:sz w:val="18"/>
              </w:rPr>
              <w:t>0.163652</w:t>
            </w:r>
          </w:p>
        </w:tc>
        <w:tc>
          <w:tcPr>
            <w:tcW w:w="1848" w:type="dxa"/>
          </w:tcPr>
          <w:p>
            <w:pPr>
              <w:pStyle w:val="TableParagraph"/>
              <w:spacing w:line="207" w:lineRule="exact"/>
              <w:ind w:left="113" w:right="62"/>
              <w:jc w:val="center"/>
              <w:rPr>
                <w:sz w:val="18"/>
              </w:rPr>
            </w:pPr>
            <w:r>
              <w:rPr>
                <w:spacing w:val="-2"/>
                <w:sz w:val="18"/>
              </w:rPr>
              <w:t>4.110334</w:t>
            </w:r>
          </w:p>
        </w:tc>
        <w:tc>
          <w:tcPr>
            <w:tcW w:w="1848" w:type="dxa"/>
          </w:tcPr>
          <w:p>
            <w:pPr>
              <w:pStyle w:val="TableParagraph"/>
              <w:spacing w:line="207" w:lineRule="exact"/>
              <w:ind w:left="113" w:right="17"/>
              <w:jc w:val="center"/>
              <w:rPr>
                <w:sz w:val="18"/>
              </w:rPr>
            </w:pPr>
            <w:r>
              <w:rPr>
                <w:spacing w:val="-4"/>
                <w:sz w:val="18"/>
              </w:rPr>
              <w:t>3.76</w:t>
            </w:r>
          </w:p>
        </w:tc>
        <w:tc>
          <w:tcPr>
            <w:tcW w:w="1848" w:type="dxa"/>
          </w:tcPr>
          <w:p>
            <w:pPr>
              <w:pStyle w:val="TableParagraph"/>
              <w:spacing w:line="207" w:lineRule="exact"/>
              <w:ind w:left="113" w:right="16"/>
              <w:jc w:val="center"/>
              <w:rPr>
                <w:sz w:val="18"/>
              </w:rPr>
            </w:pPr>
            <w:r>
              <w:rPr>
                <w:spacing w:val="-4"/>
                <w:sz w:val="18"/>
              </w:rPr>
              <w:t>6.65</w:t>
            </w:r>
          </w:p>
        </w:tc>
        <w:tc>
          <w:tcPr>
            <w:tcW w:w="1954" w:type="dxa"/>
          </w:tcPr>
          <w:p>
            <w:pPr>
              <w:pStyle w:val="TableParagraph"/>
              <w:spacing w:line="207" w:lineRule="exact"/>
              <w:ind w:left="246"/>
              <w:rPr>
                <w:sz w:val="18"/>
              </w:rPr>
            </w:pPr>
            <w:r>
              <w:rPr>
                <w:sz w:val="18"/>
              </w:rPr>
              <w:t>At</w:t>
            </w:r>
            <w:r>
              <w:rPr>
                <w:spacing w:val="-2"/>
                <w:sz w:val="18"/>
              </w:rPr>
              <w:t> </w:t>
            </w:r>
            <w:r>
              <w:rPr>
                <w:sz w:val="18"/>
              </w:rPr>
              <w:t>most</w:t>
            </w:r>
            <w:r>
              <w:rPr>
                <w:spacing w:val="-2"/>
                <w:sz w:val="18"/>
              </w:rPr>
              <w:t> </w:t>
            </w:r>
            <w:r>
              <w:rPr>
                <w:sz w:val="18"/>
              </w:rPr>
              <w:t>5</w:t>
            </w:r>
            <w:r>
              <w:rPr>
                <w:spacing w:val="2"/>
                <w:sz w:val="18"/>
              </w:rPr>
              <w:t> </w:t>
            </w:r>
            <w:r>
              <w:rPr>
                <w:spacing w:val="-10"/>
                <w:sz w:val="18"/>
              </w:rPr>
              <w:t>*</w:t>
            </w:r>
          </w:p>
        </w:tc>
      </w:tr>
    </w:tbl>
    <w:p>
      <w:pPr>
        <w:pStyle w:val="BodyText"/>
        <w:spacing w:before="2"/>
        <w:ind w:left="711"/>
        <w:rPr>
          <w:rFonts w:ascii="Cambria"/>
        </w:rPr>
      </w:pPr>
      <w:r>
        <w:rPr>
          <w:rFonts w:ascii="Cambria"/>
        </w:rPr>
        <w:t>*(**)</w:t>
      </w:r>
      <w:r>
        <w:rPr>
          <w:rFonts w:ascii="Cambria"/>
          <w:spacing w:val="-3"/>
        </w:rPr>
        <w:t> </w:t>
      </w:r>
      <w:r>
        <w:rPr>
          <w:rFonts w:ascii="Cambria"/>
        </w:rPr>
        <w:t>denotes</w:t>
      </w:r>
      <w:r>
        <w:rPr>
          <w:rFonts w:ascii="Cambria"/>
          <w:spacing w:val="-2"/>
        </w:rPr>
        <w:t> </w:t>
      </w:r>
      <w:r>
        <w:rPr>
          <w:rFonts w:ascii="Cambria"/>
        </w:rPr>
        <w:t>rejection</w:t>
      </w:r>
      <w:r>
        <w:rPr>
          <w:rFonts w:ascii="Cambria"/>
          <w:spacing w:val="-4"/>
        </w:rPr>
        <w:t> </w:t>
      </w:r>
      <w:r>
        <w:rPr>
          <w:rFonts w:ascii="Cambria"/>
        </w:rPr>
        <w:t>of</w:t>
      </w:r>
      <w:r>
        <w:rPr>
          <w:rFonts w:ascii="Cambria"/>
          <w:spacing w:val="-3"/>
        </w:rPr>
        <w:t> </w:t>
      </w:r>
      <w:r>
        <w:rPr>
          <w:rFonts w:ascii="Cambria"/>
        </w:rPr>
        <w:t>hypothesis</w:t>
      </w:r>
      <w:r>
        <w:rPr>
          <w:rFonts w:ascii="Cambria"/>
          <w:spacing w:val="-2"/>
        </w:rPr>
        <w:t> </w:t>
      </w:r>
      <w:r>
        <w:rPr>
          <w:rFonts w:ascii="Cambria"/>
        </w:rPr>
        <w:t>@</w:t>
      </w:r>
      <w:r>
        <w:rPr>
          <w:rFonts w:ascii="Cambria"/>
          <w:spacing w:val="-2"/>
        </w:rPr>
        <w:t> </w:t>
      </w:r>
      <w:r>
        <w:rPr>
          <w:rFonts w:ascii="Cambria"/>
        </w:rPr>
        <w:t>5% (1%)</w:t>
      </w:r>
      <w:r>
        <w:rPr>
          <w:rFonts w:ascii="Cambria"/>
          <w:spacing w:val="-2"/>
        </w:rPr>
        <w:t> </w:t>
      </w:r>
      <w:r>
        <w:rPr>
          <w:rFonts w:ascii="Cambria"/>
        </w:rPr>
        <w:t>Significant</w:t>
      </w:r>
      <w:r>
        <w:rPr>
          <w:rFonts w:ascii="Cambria"/>
          <w:spacing w:val="-2"/>
        </w:rPr>
        <w:t> level</w:t>
      </w:r>
    </w:p>
    <w:p>
      <w:pPr>
        <w:pStyle w:val="BodyText"/>
        <w:spacing w:line="480" w:lineRule="auto" w:before="280"/>
        <w:ind w:left="711" w:right="2267"/>
        <w:jc w:val="both"/>
        <w:rPr>
          <w:b/>
        </w:rPr>
      </w:pPr>
      <w:r>
        <w:rPr>
          <w:rFonts w:ascii="Cambria"/>
        </w:rPr>
        <w:t>The</w:t>
      </w:r>
      <w:r>
        <w:rPr>
          <w:rFonts w:ascii="Cambria"/>
          <w:spacing w:val="-3"/>
        </w:rPr>
        <w:t> </w:t>
      </w:r>
      <w:r>
        <w:rPr>
          <w:rFonts w:ascii="Cambria"/>
        </w:rPr>
        <w:t>test</w:t>
      </w:r>
      <w:r>
        <w:rPr>
          <w:rFonts w:ascii="Cambria"/>
          <w:spacing w:val="-4"/>
        </w:rPr>
        <w:t> </w:t>
      </w:r>
      <w:r>
        <w:rPr>
          <w:rFonts w:ascii="Cambria"/>
        </w:rPr>
        <w:t>indicates</w:t>
      </w:r>
      <w:r>
        <w:rPr>
          <w:rFonts w:ascii="Cambria"/>
          <w:spacing w:val="-2"/>
        </w:rPr>
        <w:t> </w:t>
      </w:r>
      <w:r>
        <w:rPr/>
        <w:t>L.R.</w:t>
      </w:r>
      <w:r>
        <w:rPr>
          <w:spacing w:val="-3"/>
        </w:rPr>
        <w:t> </w:t>
      </w:r>
      <w:r>
        <w:rPr/>
        <w:t>test</w:t>
      </w:r>
      <w:r>
        <w:rPr>
          <w:spacing w:val="-3"/>
        </w:rPr>
        <w:t> </w:t>
      </w:r>
      <w:r>
        <w:rPr/>
        <w:t>indicates</w:t>
      </w:r>
      <w:r>
        <w:rPr>
          <w:spacing w:val="-3"/>
        </w:rPr>
        <w:t> </w:t>
      </w:r>
      <w:r>
        <w:rPr/>
        <w:t>2</w:t>
      </w:r>
      <w:r>
        <w:rPr>
          <w:spacing w:val="-3"/>
        </w:rPr>
        <w:t> </w:t>
      </w:r>
      <w:r>
        <w:rPr/>
        <w:t>cointegrating</w:t>
      </w:r>
      <w:r>
        <w:rPr>
          <w:spacing w:val="-6"/>
        </w:rPr>
        <w:t> </w:t>
      </w:r>
      <w:r>
        <w:rPr/>
        <w:t>equation(s)</w:t>
      </w:r>
      <w:r>
        <w:rPr>
          <w:spacing w:val="-5"/>
        </w:rPr>
        <w:t> </w:t>
      </w:r>
      <w:r>
        <w:rPr/>
        <w:t>at</w:t>
      </w:r>
      <w:r>
        <w:rPr>
          <w:spacing w:val="-3"/>
        </w:rPr>
        <w:t> </w:t>
      </w:r>
      <w:r>
        <w:rPr/>
        <w:t>5%</w:t>
      </w:r>
      <w:r>
        <w:rPr>
          <w:spacing w:val="-3"/>
        </w:rPr>
        <w:t> </w:t>
      </w:r>
      <w:r>
        <w:rPr/>
        <w:t>significance</w:t>
      </w:r>
      <w:r>
        <w:rPr>
          <w:spacing w:val="-4"/>
        </w:rPr>
        <w:t> </w:t>
      </w:r>
      <w:r>
        <w:rPr/>
        <w:t>level</w:t>
      </w:r>
      <w:r>
        <w:rPr>
          <w:rFonts w:ascii="Cambria"/>
        </w:rPr>
        <w:t>. </w:t>
      </w:r>
      <w:r>
        <w:rPr/>
        <w:t>Source: Computation, using E-view statistical package</w:t>
      </w:r>
      <w:r>
        <w:rPr>
          <w:b/>
        </w:rPr>
        <w:t>.</w:t>
      </w:r>
    </w:p>
    <w:p>
      <w:pPr>
        <w:pStyle w:val="BodyText"/>
        <w:spacing w:line="480" w:lineRule="auto" w:before="1"/>
        <w:ind w:left="711" w:right="471"/>
        <w:jc w:val="both"/>
      </w:pPr>
      <w:r>
        <w:rPr/>
        <w:t>The</w:t>
      </w:r>
      <w:r>
        <w:rPr>
          <w:spacing w:val="-4"/>
        </w:rPr>
        <w:t> </w:t>
      </w:r>
      <w:r>
        <w:rPr/>
        <w:t>table</w:t>
      </w:r>
      <w:r>
        <w:rPr>
          <w:spacing w:val="-1"/>
        </w:rPr>
        <w:t> </w:t>
      </w:r>
      <w:r>
        <w:rPr/>
        <w:t>above</w:t>
      </w:r>
      <w:r>
        <w:rPr>
          <w:spacing w:val="-3"/>
        </w:rPr>
        <w:t> </w:t>
      </w:r>
      <w:r>
        <w:rPr/>
        <w:t>shows that</w:t>
      </w:r>
      <w:r>
        <w:rPr>
          <w:spacing w:val="-2"/>
        </w:rPr>
        <w:t> </w:t>
      </w:r>
      <w:r>
        <w:rPr/>
        <w:t>long-run</w:t>
      </w:r>
      <w:r>
        <w:rPr>
          <w:spacing w:val="-1"/>
        </w:rPr>
        <w:t> </w:t>
      </w:r>
      <w:r>
        <w:rPr/>
        <w:t>relationship</w:t>
      </w:r>
      <w:r>
        <w:rPr>
          <w:spacing w:val="-2"/>
        </w:rPr>
        <w:t> </w:t>
      </w:r>
      <w:r>
        <w:rPr/>
        <w:t>(co-integration)</w:t>
      </w:r>
      <w:r>
        <w:rPr>
          <w:spacing w:val="-1"/>
        </w:rPr>
        <w:t> </w:t>
      </w:r>
      <w:r>
        <w:rPr/>
        <w:t>exist</w:t>
      </w:r>
      <w:r>
        <w:rPr>
          <w:spacing w:val="-2"/>
        </w:rPr>
        <w:t> </w:t>
      </w:r>
      <w:r>
        <w:rPr/>
        <w:t>among</w:t>
      </w:r>
      <w:r>
        <w:rPr>
          <w:spacing w:val="-2"/>
        </w:rPr>
        <w:t> </w:t>
      </w:r>
      <w:r>
        <w:rPr/>
        <w:t>Gross</w:t>
      </w:r>
      <w:r>
        <w:rPr>
          <w:spacing w:val="-2"/>
        </w:rPr>
        <w:t> </w:t>
      </w:r>
      <w:r>
        <w:rPr/>
        <w:t>domestic</w:t>
      </w:r>
      <w:r>
        <w:rPr>
          <w:spacing w:val="-3"/>
        </w:rPr>
        <w:t> </w:t>
      </w:r>
      <w:r>
        <w:rPr/>
        <w:t>product</w:t>
      </w:r>
      <w:r>
        <w:rPr>
          <w:spacing w:val="-2"/>
        </w:rPr>
        <w:t> </w:t>
      </w:r>
      <w:r>
        <w:rPr/>
        <w:t>and</w:t>
      </w:r>
      <w:r>
        <w:rPr>
          <w:spacing w:val="-1"/>
        </w:rPr>
        <w:t> </w:t>
      </w:r>
      <w:r>
        <w:rPr/>
        <w:t>it identified determinants; external debt (δEXTDEBT), direct foreign investment (DFI), current account balance (CAB), reserve (δRES) and Net external Asset (δNEXTAS). This is reflected in the likelihood ratio of the first two rows of the second column of the table that shows a value greater than that of the 5% critical </w:t>
      </w:r>
      <w:r>
        <w:rPr>
          <w:position w:val="2"/>
        </w:rPr>
        <w:t>value</w:t>
      </w:r>
      <w:r>
        <w:rPr>
          <w:spacing w:val="-2"/>
          <w:position w:val="2"/>
        </w:rPr>
        <w:t> </w:t>
      </w:r>
      <w:r>
        <w:rPr>
          <w:position w:val="2"/>
        </w:rPr>
        <w:t>in</w:t>
      </w:r>
      <w:r>
        <w:rPr>
          <w:spacing w:val="-2"/>
          <w:position w:val="2"/>
        </w:rPr>
        <w:t> </w:t>
      </w:r>
      <w:r>
        <w:rPr>
          <w:position w:val="2"/>
        </w:rPr>
        <w:t>the</w:t>
      </w:r>
      <w:r>
        <w:rPr>
          <w:spacing w:val="-2"/>
          <w:position w:val="2"/>
        </w:rPr>
        <w:t> </w:t>
      </w:r>
      <w:r>
        <w:rPr>
          <w:position w:val="2"/>
        </w:rPr>
        <w:t>first</w:t>
      </w:r>
      <w:r>
        <w:rPr>
          <w:spacing w:val="-2"/>
          <w:position w:val="2"/>
        </w:rPr>
        <w:t> </w:t>
      </w:r>
      <w:r>
        <w:rPr>
          <w:position w:val="2"/>
        </w:rPr>
        <w:t>two</w:t>
      </w:r>
      <w:r>
        <w:rPr>
          <w:spacing w:val="-2"/>
          <w:position w:val="2"/>
        </w:rPr>
        <w:t> </w:t>
      </w:r>
      <w:r>
        <w:rPr>
          <w:position w:val="2"/>
        </w:rPr>
        <w:t>row</w:t>
      </w:r>
      <w:r>
        <w:rPr>
          <w:spacing w:val="-1"/>
          <w:position w:val="2"/>
        </w:rPr>
        <w:t> </w:t>
      </w:r>
      <w:r>
        <w:rPr>
          <w:position w:val="2"/>
        </w:rPr>
        <w:t>of</w:t>
      </w:r>
      <w:r>
        <w:rPr>
          <w:spacing w:val="-2"/>
          <w:position w:val="2"/>
        </w:rPr>
        <w:t> </w:t>
      </w:r>
      <w:r>
        <w:rPr>
          <w:position w:val="2"/>
        </w:rPr>
        <w:t>the</w:t>
      </w:r>
      <w:r>
        <w:rPr>
          <w:spacing w:val="-3"/>
          <w:position w:val="2"/>
        </w:rPr>
        <w:t> </w:t>
      </w:r>
      <w:r>
        <w:rPr>
          <w:position w:val="2"/>
        </w:rPr>
        <w:t>third</w:t>
      </w:r>
      <w:r>
        <w:rPr>
          <w:spacing w:val="-2"/>
          <w:position w:val="2"/>
        </w:rPr>
        <w:t> </w:t>
      </w:r>
      <w:r>
        <w:rPr>
          <w:position w:val="2"/>
        </w:rPr>
        <w:t>column</w:t>
      </w:r>
      <w:r>
        <w:rPr>
          <w:spacing w:val="-2"/>
          <w:position w:val="2"/>
        </w:rPr>
        <w:t> </w:t>
      </w:r>
      <w:r>
        <w:rPr>
          <w:position w:val="2"/>
        </w:rPr>
        <w:t>respectively.</w:t>
      </w:r>
      <w:r>
        <w:rPr>
          <w:spacing w:val="-2"/>
          <w:position w:val="2"/>
        </w:rPr>
        <w:t> </w:t>
      </w:r>
      <w:r>
        <w:rPr>
          <w:position w:val="2"/>
        </w:rPr>
        <w:t>Hence,</w:t>
      </w:r>
      <w:r>
        <w:rPr>
          <w:spacing w:val="-2"/>
          <w:position w:val="2"/>
        </w:rPr>
        <w:t> </w:t>
      </w:r>
      <w:r>
        <w:rPr>
          <w:position w:val="2"/>
        </w:rPr>
        <w:t>the</w:t>
      </w:r>
      <w:r>
        <w:rPr>
          <w:spacing w:val="-2"/>
          <w:position w:val="2"/>
        </w:rPr>
        <w:t> </w:t>
      </w:r>
      <w:r>
        <w:rPr>
          <w:position w:val="2"/>
        </w:rPr>
        <w:t>hypothesis</w:t>
      </w:r>
      <w:r>
        <w:rPr>
          <w:spacing w:val="-2"/>
          <w:position w:val="2"/>
        </w:rPr>
        <w:t> </w:t>
      </w:r>
      <w:r>
        <w:rPr>
          <w:position w:val="2"/>
        </w:rPr>
        <w:t>of</w:t>
      </w:r>
      <w:r>
        <w:rPr>
          <w:spacing w:val="-2"/>
          <w:position w:val="2"/>
        </w:rPr>
        <w:t> </w:t>
      </w:r>
      <w:r>
        <w:rPr>
          <w:position w:val="2"/>
        </w:rPr>
        <w:t>no</w:t>
      </w:r>
      <w:r>
        <w:rPr>
          <w:spacing w:val="-2"/>
          <w:position w:val="2"/>
        </w:rPr>
        <w:t> </w:t>
      </w:r>
      <w:r>
        <w:rPr>
          <w:position w:val="2"/>
        </w:rPr>
        <w:t>co-integration</w:t>
      </w:r>
      <w:r>
        <w:rPr>
          <w:spacing w:val="-2"/>
          <w:position w:val="2"/>
        </w:rPr>
        <w:t> </w:t>
      </w:r>
      <w:r>
        <w:rPr>
          <w:position w:val="2"/>
        </w:rPr>
        <w:t>(H</w:t>
      </w:r>
      <w:r>
        <w:rPr>
          <w:sz w:val="16"/>
        </w:rPr>
        <w:t>0</w:t>
      </w:r>
      <w:r>
        <w:rPr>
          <w:position w:val="2"/>
        </w:rPr>
        <w:t>)</w:t>
      </w:r>
      <w:r>
        <w:rPr>
          <w:spacing w:val="-2"/>
          <w:position w:val="2"/>
        </w:rPr>
        <w:t> </w:t>
      </w:r>
      <w:r>
        <w:rPr>
          <w:position w:val="2"/>
        </w:rPr>
        <w:t>is rejected and that of presence of co-integration (H</w:t>
      </w:r>
      <w:r>
        <w:rPr>
          <w:sz w:val="16"/>
        </w:rPr>
        <w:t>1</w:t>
      </w:r>
      <w:r>
        <w:rPr>
          <w:position w:val="2"/>
        </w:rPr>
        <w:t>) is upheld.</w:t>
      </w:r>
    </w:p>
    <w:p>
      <w:pPr>
        <w:pStyle w:val="Heading6"/>
        <w:numPr>
          <w:ilvl w:val="2"/>
          <w:numId w:val="29"/>
        </w:numPr>
        <w:tabs>
          <w:tab w:pos="1298" w:val="left" w:leader="none"/>
        </w:tabs>
        <w:spacing w:line="277" w:lineRule="exact" w:before="0" w:after="0"/>
        <w:ind w:left="1298" w:right="0" w:hanging="587"/>
        <w:jc w:val="left"/>
        <w:rPr>
          <w:rFonts w:ascii="Cambria"/>
        </w:rPr>
      </w:pPr>
      <w:r>
        <w:rPr>
          <w:rFonts w:ascii="Cambria"/>
        </w:rPr>
        <w:t>Long-Run</w:t>
      </w:r>
      <w:r>
        <w:rPr>
          <w:rFonts w:ascii="Cambria"/>
          <w:spacing w:val="-3"/>
        </w:rPr>
        <w:t> </w:t>
      </w:r>
      <w:r>
        <w:rPr>
          <w:rFonts w:ascii="Cambria"/>
          <w:spacing w:val="-4"/>
        </w:rPr>
        <w:t>Model</w:t>
      </w:r>
    </w:p>
    <w:p>
      <w:pPr>
        <w:pStyle w:val="BodyText"/>
        <w:spacing w:line="480" w:lineRule="auto" w:before="279"/>
        <w:ind w:left="711" w:right="471"/>
        <w:jc w:val="both"/>
      </w:pPr>
      <w:r>
        <w:rPr/>
        <w:t>From the co-integration result in the Johansen co-integration test above, it could be inferred that there is long-run relationship among the dependent and the explanatory variables. This prompted the need for the establishment of a co-integration model. This is derived from the Johansen co-integration result from which the</w:t>
      </w:r>
      <w:r>
        <w:rPr>
          <w:spacing w:val="-1"/>
        </w:rPr>
        <w:t> </w:t>
      </w:r>
      <w:r>
        <w:rPr/>
        <w:t>equation with the</w:t>
      </w:r>
      <w:r>
        <w:rPr>
          <w:spacing w:val="-1"/>
        </w:rPr>
        <w:t> </w:t>
      </w:r>
      <w:r>
        <w:rPr/>
        <w:t>lowest log-likelihood ratio is chosen. The</w:t>
      </w:r>
      <w:r>
        <w:rPr>
          <w:spacing w:val="-1"/>
        </w:rPr>
        <w:t> </w:t>
      </w:r>
      <w:r>
        <w:rPr/>
        <w:t>equation with the</w:t>
      </w:r>
      <w:r>
        <w:rPr>
          <w:spacing w:val="-1"/>
        </w:rPr>
        <w:t> </w:t>
      </w:r>
      <w:r>
        <w:rPr/>
        <w:t>lowest log-likelihood ratio is the first equation with the corresponding value of 111.3706. It is therefore presented below:</w:t>
      </w:r>
    </w:p>
    <w:p>
      <w:pPr>
        <w:tabs>
          <w:tab w:pos="3652" w:val="left" w:leader="none"/>
          <w:tab w:pos="5072" w:val="left" w:leader="none"/>
          <w:tab w:pos="6490" w:val="left" w:leader="none"/>
        </w:tabs>
        <w:spacing w:line="446" w:lineRule="auto" w:before="240"/>
        <w:ind w:left="2091" w:right="3312" w:hanging="1381"/>
        <w:jc w:val="left"/>
        <w:rPr>
          <w:i/>
          <w:sz w:val="24"/>
        </w:rPr>
      </w:pPr>
      <w:r>
        <w:rPr>
          <w:i/>
          <w:position w:val="2"/>
          <w:sz w:val="24"/>
        </w:rPr>
        <w:t>GDP</w:t>
      </w:r>
      <w:r>
        <w:rPr>
          <w:i/>
          <w:sz w:val="16"/>
        </w:rPr>
        <w:t>POSTSAP</w:t>
      </w:r>
      <w:r>
        <w:rPr>
          <w:i/>
          <w:spacing w:val="17"/>
          <w:sz w:val="16"/>
        </w:rPr>
        <w:t> </w:t>
      </w:r>
      <w:r>
        <w:rPr>
          <w:i/>
          <w:position w:val="2"/>
          <w:sz w:val="24"/>
        </w:rPr>
        <w:t>=</w:t>
      </w:r>
      <w:r>
        <w:rPr>
          <w:i/>
          <w:spacing w:val="-5"/>
          <w:position w:val="2"/>
          <w:sz w:val="24"/>
        </w:rPr>
        <w:t> </w:t>
      </w:r>
      <w:r>
        <w:rPr>
          <w:i/>
          <w:position w:val="2"/>
          <w:sz w:val="24"/>
        </w:rPr>
        <w:t>-</w:t>
      </w:r>
      <w:r>
        <w:rPr>
          <w:i/>
          <w:spacing w:val="-4"/>
          <w:position w:val="2"/>
          <w:sz w:val="24"/>
        </w:rPr>
        <w:t> </w:t>
      </w:r>
      <w:r>
        <w:rPr>
          <w:i/>
          <w:position w:val="2"/>
          <w:sz w:val="24"/>
        </w:rPr>
        <w:t>0.294556</w:t>
      </w:r>
      <w:r>
        <w:rPr>
          <w:b/>
          <w:i/>
          <w:sz w:val="16"/>
        </w:rPr>
        <w:t>EXTDEBT</w:t>
      </w:r>
      <w:r>
        <w:rPr>
          <w:b/>
          <w:i/>
          <w:spacing w:val="18"/>
          <w:sz w:val="16"/>
        </w:rPr>
        <w:t> </w:t>
      </w:r>
      <w:r>
        <w:rPr>
          <w:i/>
          <w:position w:val="2"/>
          <w:sz w:val="24"/>
        </w:rPr>
        <w:t>-</w:t>
      </w:r>
      <w:r>
        <w:rPr>
          <w:i/>
          <w:spacing w:val="-4"/>
          <w:position w:val="2"/>
          <w:sz w:val="24"/>
        </w:rPr>
        <w:t> </w:t>
      </w:r>
      <w:r>
        <w:rPr>
          <w:i/>
          <w:position w:val="2"/>
          <w:sz w:val="24"/>
        </w:rPr>
        <w:t>0.570337</w:t>
      </w:r>
      <w:r>
        <w:rPr>
          <w:b/>
          <w:i/>
          <w:sz w:val="16"/>
        </w:rPr>
        <w:t>DFI</w:t>
      </w:r>
      <w:r>
        <w:rPr>
          <w:b/>
          <w:i/>
          <w:spacing w:val="16"/>
          <w:sz w:val="16"/>
        </w:rPr>
        <w:t> </w:t>
      </w:r>
      <w:r>
        <w:rPr>
          <w:i/>
          <w:position w:val="2"/>
          <w:sz w:val="24"/>
        </w:rPr>
        <w:t>-</w:t>
      </w:r>
      <w:r>
        <w:rPr>
          <w:i/>
          <w:spacing w:val="-4"/>
          <w:position w:val="2"/>
          <w:sz w:val="24"/>
        </w:rPr>
        <w:t> </w:t>
      </w:r>
      <w:r>
        <w:rPr>
          <w:i/>
          <w:position w:val="2"/>
          <w:sz w:val="24"/>
        </w:rPr>
        <w:t>0.189012</w:t>
      </w:r>
      <w:r>
        <w:rPr>
          <w:b/>
          <w:i/>
          <w:sz w:val="16"/>
        </w:rPr>
        <w:t>CAB</w:t>
      </w:r>
      <w:r>
        <w:rPr>
          <w:b/>
          <w:i/>
          <w:spacing w:val="17"/>
          <w:sz w:val="16"/>
        </w:rPr>
        <w:t> </w:t>
      </w:r>
      <w:r>
        <w:rPr>
          <w:i/>
          <w:position w:val="2"/>
          <w:sz w:val="24"/>
        </w:rPr>
        <w:t>–</w:t>
      </w:r>
      <w:r>
        <w:rPr>
          <w:i/>
          <w:spacing w:val="-3"/>
          <w:position w:val="2"/>
          <w:sz w:val="24"/>
        </w:rPr>
        <w:t> </w:t>
      </w:r>
      <w:r>
        <w:rPr>
          <w:i/>
          <w:position w:val="2"/>
          <w:sz w:val="24"/>
        </w:rPr>
        <w:t>0.417905</w:t>
      </w:r>
      <w:r>
        <w:rPr>
          <w:b/>
          <w:i/>
          <w:sz w:val="16"/>
        </w:rPr>
        <w:t>RES</w:t>
      </w:r>
      <w:r>
        <w:rPr>
          <w:b/>
          <w:i/>
          <w:spacing w:val="16"/>
          <w:sz w:val="16"/>
        </w:rPr>
        <w:t> </w:t>
      </w:r>
      <w:r>
        <w:rPr>
          <w:i/>
          <w:position w:val="2"/>
          <w:sz w:val="24"/>
        </w:rPr>
        <w:t>- </w:t>
      </w:r>
      <w:r>
        <w:rPr>
          <w:i/>
          <w:spacing w:val="-2"/>
          <w:sz w:val="24"/>
        </w:rPr>
        <w:t>(0.07385)</w:t>
      </w:r>
      <w:r>
        <w:rPr>
          <w:i/>
          <w:sz w:val="24"/>
        </w:rPr>
        <w:tab/>
      </w:r>
      <w:r>
        <w:rPr>
          <w:i/>
          <w:spacing w:val="-2"/>
          <w:sz w:val="24"/>
        </w:rPr>
        <w:t>(0.08302)</w:t>
      </w:r>
      <w:r>
        <w:rPr>
          <w:i/>
          <w:sz w:val="24"/>
        </w:rPr>
        <w:tab/>
      </w:r>
      <w:r>
        <w:rPr>
          <w:i/>
          <w:spacing w:val="-2"/>
          <w:sz w:val="24"/>
        </w:rPr>
        <w:t>(0.06482)</w:t>
      </w:r>
      <w:r>
        <w:rPr>
          <w:i/>
          <w:sz w:val="24"/>
        </w:rPr>
        <w:tab/>
      </w:r>
      <w:r>
        <w:rPr>
          <w:i/>
          <w:spacing w:val="-2"/>
          <w:sz w:val="24"/>
        </w:rPr>
        <w:t>(0.012723)</w:t>
      </w:r>
    </w:p>
    <w:p>
      <w:pPr>
        <w:tabs>
          <w:tab w:pos="8937" w:val="left" w:leader="dot"/>
        </w:tabs>
        <w:spacing w:before="3"/>
        <w:ind w:left="1731" w:right="0" w:firstLine="0"/>
        <w:jc w:val="left"/>
        <w:rPr>
          <w:i/>
          <w:sz w:val="24"/>
        </w:rPr>
      </w:pPr>
      <w:r>
        <w:rPr>
          <w:i/>
          <w:position w:val="2"/>
          <w:sz w:val="24"/>
        </w:rPr>
        <w:t>0.491957</w:t>
      </w:r>
      <w:r>
        <w:rPr>
          <w:b/>
          <w:i/>
          <w:sz w:val="16"/>
        </w:rPr>
        <w:t>NEXTAS</w:t>
      </w:r>
      <w:r>
        <w:rPr>
          <w:b/>
          <w:i/>
          <w:spacing w:val="-3"/>
          <w:sz w:val="16"/>
        </w:rPr>
        <w:t> </w:t>
      </w:r>
      <w:r>
        <w:rPr>
          <w:i/>
          <w:position w:val="2"/>
          <w:sz w:val="24"/>
        </w:rPr>
        <w:t>-</w:t>
      </w:r>
      <w:r>
        <w:rPr>
          <w:i/>
          <w:spacing w:val="-4"/>
          <w:position w:val="2"/>
          <w:sz w:val="24"/>
        </w:rPr>
        <w:t> </w:t>
      </w:r>
      <w:r>
        <w:rPr>
          <w:i/>
          <w:spacing w:val="-2"/>
          <w:position w:val="2"/>
          <w:sz w:val="24"/>
        </w:rPr>
        <w:t>1.567038</w:t>
      </w:r>
      <w:r>
        <w:rPr>
          <w:i/>
          <w:position w:val="2"/>
          <w:sz w:val="24"/>
        </w:rPr>
        <w:tab/>
      </w:r>
      <w:r>
        <w:rPr>
          <w:i/>
          <w:spacing w:val="-2"/>
          <w:position w:val="2"/>
          <w:sz w:val="24"/>
        </w:rPr>
        <w:t>(4.16)</w:t>
      </w:r>
    </w:p>
    <w:p>
      <w:pPr>
        <w:spacing w:after="0"/>
        <w:jc w:val="left"/>
        <w:rPr>
          <w:sz w:val="24"/>
        </w:rPr>
        <w:sectPr>
          <w:pgSz w:w="11910" w:h="16840"/>
          <w:pgMar w:header="0" w:footer="979" w:top="1340" w:bottom="1240" w:left="280" w:right="0"/>
        </w:sectPr>
      </w:pPr>
    </w:p>
    <w:p>
      <w:pPr>
        <w:spacing w:before="60"/>
        <w:ind w:left="1863" w:right="0" w:firstLine="0"/>
        <w:jc w:val="left"/>
        <w:rPr>
          <w:i/>
          <w:sz w:val="24"/>
        </w:rPr>
      </w:pPr>
      <w:r>
        <w:rPr>
          <w:i/>
          <w:spacing w:val="-2"/>
          <w:sz w:val="24"/>
        </w:rPr>
        <w:t>(0.08871)</w:t>
      </w:r>
    </w:p>
    <w:p>
      <w:pPr>
        <w:spacing w:before="241"/>
        <w:ind w:left="1431" w:right="0" w:firstLine="0"/>
        <w:jc w:val="both"/>
        <w:rPr>
          <w:i/>
          <w:sz w:val="24"/>
        </w:rPr>
      </w:pPr>
      <w:r>
        <w:rPr>
          <w:i/>
          <w:sz w:val="24"/>
        </w:rPr>
        <w:t>Standard</w:t>
      </w:r>
      <w:r>
        <w:rPr>
          <w:i/>
          <w:spacing w:val="-1"/>
          <w:sz w:val="24"/>
        </w:rPr>
        <w:t> </w:t>
      </w:r>
      <w:r>
        <w:rPr>
          <w:i/>
          <w:sz w:val="24"/>
        </w:rPr>
        <w:t>error</w:t>
      </w:r>
      <w:r>
        <w:rPr>
          <w:i/>
          <w:spacing w:val="-1"/>
          <w:sz w:val="24"/>
        </w:rPr>
        <w:t> </w:t>
      </w:r>
      <w:r>
        <w:rPr>
          <w:i/>
          <w:sz w:val="24"/>
        </w:rPr>
        <w:t>statistics</w:t>
      </w:r>
      <w:r>
        <w:rPr>
          <w:i/>
          <w:spacing w:val="-3"/>
          <w:sz w:val="24"/>
        </w:rPr>
        <w:t> </w:t>
      </w:r>
      <w:r>
        <w:rPr>
          <w:i/>
          <w:sz w:val="24"/>
        </w:rPr>
        <w:t>are</w:t>
      </w:r>
      <w:r>
        <w:rPr>
          <w:i/>
          <w:spacing w:val="-1"/>
          <w:sz w:val="24"/>
        </w:rPr>
        <w:t> </w:t>
      </w:r>
      <w:r>
        <w:rPr>
          <w:i/>
          <w:sz w:val="24"/>
        </w:rPr>
        <w:t>given</w:t>
      </w:r>
      <w:r>
        <w:rPr>
          <w:i/>
          <w:spacing w:val="-1"/>
          <w:sz w:val="24"/>
        </w:rPr>
        <w:t> </w:t>
      </w:r>
      <w:r>
        <w:rPr>
          <w:i/>
          <w:sz w:val="24"/>
        </w:rPr>
        <w:t>in </w:t>
      </w:r>
      <w:r>
        <w:rPr>
          <w:i/>
          <w:spacing w:val="-2"/>
          <w:sz w:val="24"/>
        </w:rPr>
        <w:t>parenthesis</w:t>
      </w:r>
    </w:p>
    <w:p>
      <w:pPr>
        <w:pStyle w:val="BodyText"/>
        <w:spacing w:line="480" w:lineRule="auto"/>
        <w:ind w:left="711" w:right="468"/>
        <w:jc w:val="both"/>
      </w:pPr>
      <w:r>
        <w:rPr/>
        <w:t>The above result give a direct opposite result to the Post-SAP result in the short run.in the Post–S AP short run result, all the variables including the constant parameter are all positively signed whereas</w:t>
      </w:r>
      <w:r>
        <w:rPr>
          <w:spacing w:val="40"/>
        </w:rPr>
        <w:t> </w:t>
      </w:r>
      <w:r>
        <w:rPr/>
        <w:t>from the above long-run equation, all the explanatory variables showed a negative relationship with gross domestic product. The constant parameter maintained a negative value of 1.567038 implying that if all explanatory variables are held constant, gross domestic product will decrease by 1.567038units on the long-run. This suggests</w:t>
      </w:r>
      <w:r>
        <w:rPr>
          <w:spacing w:val="-3"/>
        </w:rPr>
        <w:t> </w:t>
      </w:r>
      <w:r>
        <w:rPr/>
        <w:t>that</w:t>
      </w:r>
      <w:r>
        <w:rPr>
          <w:spacing w:val="-1"/>
        </w:rPr>
        <w:t> </w:t>
      </w:r>
      <w:r>
        <w:rPr/>
        <w:t>government</w:t>
      </w:r>
      <w:r>
        <w:rPr>
          <w:spacing w:val="-1"/>
        </w:rPr>
        <w:t> </w:t>
      </w:r>
      <w:r>
        <w:rPr/>
        <w:t>policy</w:t>
      </w:r>
      <w:r>
        <w:rPr>
          <w:spacing w:val="-8"/>
        </w:rPr>
        <w:t> </w:t>
      </w:r>
      <w:r>
        <w:rPr/>
        <w:t>such</w:t>
      </w:r>
      <w:r>
        <w:rPr>
          <w:spacing w:val="-1"/>
        </w:rPr>
        <w:t> </w:t>
      </w:r>
      <w:r>
        <w:rPr/>
        <w:t>as</w:t>
      </w:r>
      <w:r>
        <w:rPr>
          <w:spacing w:val="-3"/>
        </w:rPr>
        <w:t> </w:t>
      </w:r>
      <w:r>
        <w:rPr/>
        <w:t>the</w:t>
      </w:r>
      <w:r>
        <w:rPr>
          <w:spacing w:val="-3"/>
        </w:rPr>
        <w:t> </w:t>
      </w:r>
      <w:r>
        <w:rPr/>
        <w:t>Structural Adjustment</w:t>
      </w:r>
      <w:r>
        <w:rPr>
          <w:spacing w:val="-3"/>
        </w:rPr>
        <w:t> </w:t>
      </w:r>
      <w:r>
        <w:rPr/>
        <w:t>Programme</w:t>
      </w:r>
      <w:r>
        <w:rPr>
          <w:spacing w:val="-3"/>
        </w:rPr>
        <w:t> </w:t>
      </w:r>
      <w:r>
        <w:rPr/>
        <w:t>introduced</w:t>
      </w:r>
      <w:r>
        <w:rPr>
          <w:spacing w:val="-2"/>
        </w:rPr>
        <w:t> </w:t>
      </w:r>
      <w:r>
        <w:rPr/>
        <w:t>in</w:t>
      </w:r>
      <w:r>
        <w:rPr>
          <w:spacing w:val="-3"/>
        </w:rPr>
        <w:t> </w:t>
      </w:r>
      <w:r>
        <w:rPr/>
        <w:t>1986</w:t>
      </w:r>
      <w:r>
        <w:rPr>
          <w:spacing w:val="-3"/>
        </w:rPr>
        <w:t> </w:t>
      </w:r>
      <w:r>
        <w:rPr/>
        <w:t>has</w:t>
      </w:r>
      <w:r>
        <w:rPr>
          <w:spacing w:val="-3"/>
        </w:rPr>
        <w:t> </w:t>
      </w:r>
      <w:r>
        <w:rPr/>
        <w:t>failed to impact the economy as expected. For any policy to impact the economy positively, such policy must be adapted to the peculiar situation in the economy and must be tailored toward the peculiar situation. As</w:t>
      </w:r>
      <w:r>
        <w:rPr>
          <w:spacing w:val="40"/>
        </w:rPr>
        <w:t> </w:t>
      </w:r>
      <w:r>
        <w:rPr/>
        <w:t>shown in the result, all variables showed contrary effect on the short-run.</w:t>
      </w:r>
    </w:p>
    <w:p>
      <w:pPr>
        <w:pStyle w:val="Heading6"/>
        <w:numPr>
          <w:ilvl w:val="2"/>
          <w:numId w:val="29"/>
        </w:numPr>
        <w:tabs>
          <w:tab w:pos="1431" w:val="left" w:leader="none"/>
        </w:tabs>
        <w:spacing w:line="240" w:lineRule="auto" w:before="1" w:after="0"/>
        <w:ind w:left="1431" w:right="0" w:hanging="720"/>
        <w:jc w:val="both"/>
      </w:pPr>
      <w:r>
        <w:rPr/>
        <w:t>Error</w:t>
      </w:r>
      <w:r>
        <w:rPr>
          <w:spacing w:val="-3"/>
        </w:rPr>
        <w:t> </w:t>
      </w:r>
      <w:r>
        <w:rPr/>
        <w:t>Correction</w:t>
      </w:r>
      <w:r>
        <w:rPr>
          <w:spacing w:val="-1"/>
        </w:rPr>
        <w:t> </w:t>
      </w:r>
      <w:r>
        <w:rPr>
          <w:spacing w:val="-2"/>
        </w:rPr>
        <w:t>Mechanism</w:t>
      </w:r>
    </w:p>
    <w:p>
      <w:pPr>
        <w:pStyle w:val="BodyText"/>
        <w:spacing w:before="1"/>
        <w:rPr>
          <w:b/>
        </w:rPr>
      </w:pPr>
    </w:p>
    <w:p>
      <w:pPr>
        <w:pStyle w:val="BodyText"/>
        <w:spacing w:line="480" w:lineRule="auto"/>
        <w:ind w:left="711" w:right="473"/>
        <w:jc w:val="both"/>
        <w:rPr>
          <w:rFonts w:ascii="Cambria"/>
        </w:rPr>
      </w:pPr>
      <w:r>
        <w:rPr>
          <w:rFonts w:ascii="Cambria"/>
        </w:rPr>
        <w:t>In line with the result obtained in the unit root test, above, the error correction mechanism showed that the ECM is stationary at level, therefore, an over-parametized error correction model is required in this analysis and was obtained by using the lag length to ensure that the dynamics of the model is not compromised and properly captured. The result of the over-parametized error correction model (ECM1) is presented in table 4. 18.1below:</w:t>
      </w:r>
    </w:p>
    <w:p>
      <w:pPr>
        <w:pStyle w:val="BodyText"/>
        <w:spacing w:line="480" w:lineRule="auto"/>
        <w:ind w:left="1563" w:right="4686" w:hanging="853"/>
        <w:jc w:val="both"/>
        <w:rPr>
          <w:rFonts w:ascii="Cambria"/>
        </w:rPr>
      </w:pPr>
      <w:r>
        <w:rPr>
          <w:rFonts w:ascii="Cambria"/>
          <w:b/>
        </w:rPr>
        <w:t>Table</w:t>
      </w:r>
      <w:r>
        <w:rPr>
          <w:rFonts w:ascii="Cambria"/>
          <w:b/>
          <w:spacing w:val="-4"/>
        </w:rPr>
        <w:t> </w:t>
      </w:r>
      <w:r>
        <w:rPr>
          <w:rFonts w:ascii="Cambria"/>
          <w:b/>
        </w:rPr>
        <w:t>4.18.1</w:t>
      </w:r>
      <w:r>
        <w:rPr>
          <w:rFonts w:ascii="Cambria"/>
          <w:b/>
          <w:spacing w:val="-5"/>
        </w:rPr>
        <w:t> </w:t>
      </w:r>
      <w:r>
        <w:rPr>
          <w:rFonts w:ascii="Cambria"/>
        </w:rPr>
        <w:t>Over-Parametized</w:t>
      </w:r>
      <w:r>
        <w:rPr>
          <w:rFonts w:ascii="Cambria"/>
          <w:spacing w:val="-5"/>
        </w:rPr>
        <w:t> </w:t>
      </w:r>
      <w:r>
        <w:rPr>
          <w:rFonts w:ascii="Cambria"/>
        </w:rPr>
        <w:t>Model</w:t>
      </w:r>
      <w:r>
        <w:rPr>
          <w:rFonts w:ascii="Cambria"/>
          <w:spacing w:val="-5"/>
        </w:rPr>
        <w:t> </w:t>
      </w:r>
      <w:r>
        <w:rPr>
          <w:rFonts w:ascii="Cambria"/>
        </w:rPr>
        <w:t>(ECM1)</w:t>
      </w:r>
      <w:r>
        <w:rPr>
          <w:rFonts w:ascii="Cambria"/>
          <w:spacing w:val="-3"/>
        </w:rPr>
        <w:t> </w:t>
      </w:r>
      <w:r>
        <w:rPr>
          <w:rFonts w:ascii="Cambria"/>
        </w:rPr>
        <w:t>For</w:t>
      </w:r>
      <w:r>
        <w:rPr>
          <w:rFonts w:ascii="Cambria"/>
          <w:spacing w:val="-6"/>
        </w:rPr>
        <w:t> </w:t>
      </w:r>
      <w:r>
        <w:rPr>
          <w:rFonts w:ascii="Cambria"/>
        </w:rPr>
        <w:t>Model</w:t>
      </w:r>
      <w:r>
        <w:rPr>
          <w:rFonts w:ascii="Cambria"/>
          <w:spacing w:val="-5"/>
        </w:rPr>
        <w:t> </w:t>
      </w:r>
      <w:r>
        <w:rPr>
          <w:rFonts w:ascii="Cambria"/>
        </w:rPr>
        <w:t>6b Dependent Variable = D (GDP, 2)</w:t>
      </w:r>
    </w:p>
    <w:tbl>
      <w:tblPr>
        <w:tblW w:w="0" w:type="auto"/>
        <w:jc w:val="left"/>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8"/>
        <w:gridCol w:w="1848"/>
        <w:gridCol w:w="2225"/>
        <w:gridCol w:w="1838"/>
        <w:gridCol w:w="1483"/>
      </w:tblGrid>
      <w:tr>
        <w:trPr>
          <w:trHeight w:val="1125" w:hRule="atLeast"/>
        </w:trPr>
        <w:tc>
          <w:tcPr>
            <w:tcW w:w="1848" w:type="dxa"/>
          </w:tcPr>
          <w:p>
            <w:pPr>
              <w:pStyle w:val="TableParagraph"/>
              <w:spacing w:before="280"/>
              <w:ind w:left="107"/>
              <w:rPr>
                <w:rFonts w:ascii="Cambria"/>
                <w:b/>
                <w:sz w:val="24"/>
              </w:rPr>
            </w:pPr>
            <w:r>
              <w:rPr>
                <w:rFonts w:ascii="Cambria"/>
                <w:b/>
                <w:spacing w:val="-2"/>
                <w:sz w:val="24"/>
              </w:rPr>
              <w:t>VARIABLES</w:t>
            </w:r>
          </w:p>
        </w:tc>
        <w:tc>
          <w:tcPr>
            <w:tcW w:w="1848" w:type="dxa"/>
          </w:tcPr>
          <w:p>
            <w:pPr>
              <w:pStyle w:val="TableParagraph"/>
              <w:spacing w:before="280"/>
              <w:ind w:right="139"/>
              <w:jc w:val="right"/>
              <w:rPr>
                <w:rFonts w:ascii="Cambria"/>
                <w:b/>
                <w:sz w:val="24"/>
              </w:rPr>
            </w:pPr>
            <w:r>
              <w:rPr>
                <w:rFonts w:ascii="Cambria"/>
                <w:b/>
                <w:spacing w:val="-2"/>
                <w:sz w:val="24"/>
              </w:rPr>
              <w:t>COEFFICIENTS</w:t>
            </w:r>
          </w:p>
        </w:tc>
        <w:tc>
          <w:tcPr>
            <w:tcW w:w="2225" w:type="dxa"/>
          </w:tcPr>
          <w:p>
            <w:pPr>
              <w:pStyle w:val="TableParagraph"/>
              <w:spacing w:line="281" w:lineRule="exact"/>
              <w:ind w:left="106"/>
              <w:rPr>
                <w:rFonts w:ascii="Cambria"/>
                <w:b/>
                <w:sz w:val="24"/>
              </w:rPr>
            </w:pPr>
            <w:r>
              <w:rPr>
                <w:rFonts w:ascii="Cambria"/>
                <w:b/>
                <w:spacing w:val="-2"/>
                <w:sz w:val="24"/>
              </w:rPr>
              <w:t>STANDARD</w:t>
            </w:r>
          </w:p>
          <w:p>
            <w:pPr>
              <w:pStyle w:val="TableParagraph"/>
              <w:spacing w:before="1"/>
              <w:rPr>
                <w:rFonts w:ascii="Cambria"/>
                <w:sz w:val="24"/>
              </w:rPr>
            </w:pPr>
          </w:p>
          <w:p>
            <w:pPr>
              <w:pStyle w:val="TableParagraph"/>
              <w:spacing w:before="1"/>
              <w:ind w:left="106"/>
              <w:rPr>
                <w:rFonts w:ascii="Cambria"/>
                <w:b/>
                <w:sz w:val="24"/>
              </w:rPr>
            </w:pPr>
            <w:r>
              <w:rPr>
                <w:rFonts w:ascii="Cambria"/>
                <w:b/>
                <w:spacing w:val="-2"/>
                <w:sz w:val="24"/>
              </w:rPr>
              <w:t>ERROR</w:t>
            </w:r>
          </w:p>
        </w:tc>
        <w:tc>
          <w:tcPr>
            <w:tcW w:w="1838" w:type="dxa"/>
          </w:tcPr>
          <w:p>
            <w:pPr>
              <w:pStyle w:val="TableParagraph"/>
              <w:spacing w:before="280"/>
              <w:ind w:left="106"/>
              <w:rPr>
                <w:rFonts w:ascii="Cambria"/>
                <w:b/>
                <w:sz w:val="24"/>
              </w:rPr>
            </w:pPr>
            <w:r>
              <w:rPr>
                <w:rFonts w:ascii="Cambria"/>
                <w:b/>
                <w:sz w:val="24"/>
              </w:rPr>
              <w:t>T-</w:t>
            </w:r>
            <w:r>
              <w:rPr>
                <w:rFonts w:ascii="Cambria"/>
                <w:b/>
                <w:spacing w:val="-2"/>
                <w:sz w:val="24"/>
              </w:rPr>
              <w:t>STATISTICS</w:t>
            </w:r>
          </w:p>
        </w:tc>
        <w:tc>
          <w:tcPr>
            <w:tcW w:w="1483" w:type="dxa"/>
          </w:tcPr>
          <w:p>
            <w:pPr>
              <w:pStyle w:val="TableParagraph"/>
              <w:spacing w:line="281" w:lineRule="exact"/>
              <w:ind w:left="107"/>
              <w:rPr>
                <w:rFonts w:ascii="Cambria"/>
                <w:b/>
                <w:sz w:val="24"/>
              </w:rPr>
            </w:pPr>
            <w:r>
              <w:rPr>
                <w:rFonts w:ascii="Cambria"/>
                <w:b/>
                <w:spacing w:val="-4"/>
                <w:sz w:val="24"/>
              </w:rPr>
              <w:t>PROB</w:t>
            </w:r>
          </w:p>
          <w:p>
            <w:pPr>
              <w:pStyle w:val="TableParagraph"/>
              <w:spacing w:before="1"/>
              <w:rPr>
                <w:rFonts w:ascii="Cambria"/>
                <w:sz w:val="24"/>
              </w:rPr>
            </w:pPr>
          </w:p>
          <w:p>
            <w:pPr>
              <w:pStyle w:val="TableParagraph"/>
              <w:spacing w:before="1"/>
              <w:ind w:left="107"/>
              <w:rPr>
                <w:rFonts w:ascii="Cambria"/>
                <w:b/>
                <w:sz w:val="24"/>
              </w:rPr>
            </w:pPr>
            <w:r>
              <w:rPr>
                <w:rFonts w:ascii="Cambria"/>
                <w:b/>
                <w:spacing w:val="-2"/>
                <w:sz w:val="24"/>
              </w:rPr>
              <w:t>VALUE</w:t>
            </w:r>
          </w:p>
        </w:tc>
      </w:tr>
      <w:tr>
        <w:trPr>
          <w:trHeight w:val="230" w:hRule="atLeast"/>
        </w:trPr>
        <w:tc>
          <w:tcPr>
            <w:tcW w:w="1848" w:type="dxa"/>
          </w:tcPr>
          <w:p>
            <w:pPr>
              <w:pStyle w:val="TableParagraph"/>
              <w:spacing w:line="210" w:lineRule="exact"/>
              <w:ind w:left="329"/>
              <w:rPr>
                <w:rFonts w:ascii="Arial MT"/>
                <w:sz w:val="20"/>
              </w:rPr>
            </w:pPr>
            <w:r>
              <w:rPr>
                <w:rFonts w:ascii="Arial MT"/>
                <w:spacing w:val="-2"/>
                <w:sz w:val="20"/>
              </w:rPr>
              <w:t>D(GDP(-1),2)</w:t>
            </w:r>
          </w:p>
        </w:tc>
        <w:tc>
          <w:tcPr>
            <w:tcW w:w="1848" w:type="dxa"/>
          </w:tcPr>
          <w:p>
            <w:pPr>
              <w:pStyle w:val="TableParagraph"/>
              <w:spacing w:line="207" w:lineRule="exact"/>
              <w:ind w:right="97"/>
              <w:jc w:val="right"/>
              <w:rPr>
                <w:sz w:val="18"/>
              </w:rPr>
            </w:pPr>
            <w:r>
              <w:rPr>
                <w:sz w:val="18"/>
              </w:rPr>
              <w:t>-</w:t>
            </w:r>
            <w:r>
              <w:rPr>
                <w:spacing w:val="-2"/>
                <w:sz w:val="18"/>
              </w:rPr>
              <w:t>0.148490</w:t>
            </w:r>
          </w:p>
        </w:tc>
        <w:tc>
          <w:tcPr>
            <w:tcW w:w="2225" w:type="dxa"/>
          </w:tcPr>
          <w:p>
            <w:pPr>
              <w:pStyle w:val="TableParagraph"/>
              <w:spacing w:line="207" w:lineRule="exact"/>
              <w:ind w:right="97"/>
              <w:jc w:val="right"/>
              <w:rPr>
                <w:sz w:val="18"/>
              </w:rPr>
            </w:pPr>
            <w:r>
              <w:rPr>
                <w:spacing w:val="-2"/>
                <w:sz w:val="18"/>
              </w:rPr>
              <w:t>0.348981</w:t>
            </w:r>
          </w:p>
        </w:tc>
        <w:tc>
          <w:tcPr>
            <w:tcW w:w="1838" w:type="dxa"/>
          </w:tcPr>
          <w:p>
            <w:pPr>
              <w:pStyle w:val="TableParagraph"/>
              <w:spacing w:line="207" w:lineRule="exact"/>
              <w:ind w:right="96"/>
              <w:jc w:val="right"/>
              <w:rPr>
                <w:sz w:val="18"/>
              </w:rPr>
            </w:pPr>
            <w:r>
              <w:rPr>
                <w:sz w:val="18"/>
              </w:rPr>
              <w:t>-</w:t>
            </w:r>
            <w:r>
              <w:rPr>
                <w:spacing w:val="-2"/>
                <w:sz w:val="18"/>
              </w:rPr>
              <w:t>0.425497</w:t>
            </w:r>
          </w:p>
        </w:tc>
        <w:tc>
          <w:tcPr>
            <w:tcW w:w="1483" w:type="dxa"/>
          </w:tcPr>
          <w:p>
            <w:pPr>
              <w:pStyle w:val="TableParagraph"/>
              <w:spacing w:line="207" w:lineRule="exact"/>
              <w:ind w:right="95"/>
              <w:jc w:val="right"/>
              <w:rPr>
                <w:sz w:val="18"/>
              </w:rPr>
            </w:pPr>
            <w:r>
              <w:rPr>
                <w:spacing w:val="-2"/>
                <w:sz w:val="18"/>
              </w:rPr>
              <w:t>0.6787</w:t>
            </w:r>
          </w:p>
        </w:tc>
      </w:tr>
      <w:tr>
        <w:trPr>
          <w:trHeight w:val="230" w:hRule="atLeast"/>
        </w:trPr>
        <w:tc>
          <w:tcPr>
            <w:tcW w:w="1848" w:type="dxa"/>
          </w:tcPr>
          <w:p>
            <w:pPr>
              <w:pStyle w:val="TableParagraph"/>
              <w:spacing w:line="210" w:lineRule="exact"/>
              <w:ind w:left="239"/>
              <w:rPr>
                <w:rFonts w:ascii="Arial MT"/>
                <w:sz w:val="20"/>
              </w:rPr>
            </w:pPr>
            <w:r>
              <w:rPr>
                <w:rFonts w:ascii="Arial MT"/>
                <w:spacing w:val="-2"/>
                <w:sz w:val="20"/>
              </w:rPr>
              <w:t>D(EXTDEBT,2)</w:t>
            </w:r>
          </w:p>
        </w:tc>
        <w:tc>
          <w:tcPr>
            <w:tcW w:w="1848" w:type="dxa"/>
          </w:tcPr>
          <w:p>
            <w:pPr>
              <w:pStyle w:val="TableParagraph"/>
              <w:spacing w:line="207" w:lineRule="exact"/>
              <w:ind w:right="97"/>
              <w:jc w:val="right"/>
              <w:rPr>
                <w:sz w:val="18"/>
              </w:rPr>
            </w:pPr>
            <w:r>
              <w:rPr>
                <w:spacing w:val="-2"/>
                <w:sz w:val="18"/>
              </w:rPr>
              <w:t>0.032033</w:t>
            </w:r>
          </w:p>
        </w:tc>
        <w:tc>
          <w:tcPr>
            <w:tcW w:w="2225" w:type="dxa"/>
          </w:tcPr>
          <w:p>
            <w:pPr>
              <w:pStyle w:val="TableParagraph"/>
              <w:spacing w:line="207" w:lineRule="exact"/>
              <w:ind w:right="97"/>
              <w:jc w:val="right"/>
              <w:rPr>
                <w:sz w:val="18"/>
              </w:rPr>
            </w:pPr>
            <w:r>
              <w:rPr>
                <w:spacing w:val="-2"/>
                <w:sz w:val="18"/>
              </w:rPr>
              <w:t>0.020830</w:t>
            </w:r>
          </w:p>
        </w:tc>
        <w:tc>
          <w:tcPr>
            <w:tcW w:w="1838" w:type="dxa"/>
          </w:tcPr>
          <w:p>
            <w:pPr>
              <w:pStyle w:val="TableParagraph"/>
              <w:spacing w:line="207" w:lineRule="exact"/>
              <w:ind w:right="96"/>
              <w:jc w:val="right"/>
              <w:rPr>
                <w:sz w:val="18"/>
              </w:rPr>
            </w:pPr>
            <w:r>
              <w:rPr>
                <w:spacing w:val="-2"/>
                <w:sz w:val="18"/>
              </w:rPr>
              <w:t>1.537838</w:t>
            </w:r>
          </w:p>
        </w:tc>
        <w:tc>
          <w:tcPr>
            <w:tcW w:w="1483" w:type="dxa"/>
          </w:tcPr>
          <w:p>
            <w:pPr>
              <w:pStyle w:val="TableParagraph"/>
              <w:spacing w:line="207" w:lineRule="exact"/>
              <w:ind w:right="95"/>
              <w:jc w:val="right"/>
              <w:rPr>
                <w:sz w:val="18"/>
              </w:rPr>
            </w:pPr>
            <w:r>
              <w:rPr>
                <w:spacing w:val="-2"/>
                <w:sz w:val="18"/>
              </w:rPr>
              <w:t>0.1523</w:t>
            </w:r>
          </w:p>
        </w:tc>
      </w:tr>
      <w:tr>
        <w:trPr>
          <w:trHeight w:val="230" w:hRule="atLeast"/>
        </w:trPr>
        <w:tc>
          <w:tcPr>
            <w:tcW w:w="1848" w:type="dxa"/>
          </w:tcPr>
          <w:p>
            <w:pPr>
              <w:pStyle w:val="TableParagraph"/>
              <w:spacing w:line="210" w:lineRule="exact"/>
              <w:ind w:left="150"/>
              <w:rPr>
                <w:rFonts w:ascii="Arial MT"/>
                <w:sz w:val="20"/>
              </w:rPr>
            </w:pPr>
            <w:r>
              <w:rPr>
                <w:rFonts w:ascii="Arial MT"/>
                <w:spacing w:val="-2"/>
                <w:sz w:val="20"/>
              </w:rPr>
              <w:t>D(EXTDBT(-</w:t>
            </w:r>
            <w:r>
              <w:rPr>
                <w:rFonts w:ascii="Arial MT"/>
                <w:spacing w:val="-4"/>
                <w:sz w:val="20"/>
              </w:rPr>
              <w:t>1),2)</w:t>
            </w:r>
          </w:p>
        </w:tc>
        <w:tc>
          <w:tcPr>
            <w:tcW w:w="1848" w:type="dxa"/>
          </w:tcPr>
          <w:p>
            <w:pPr>
              <w:pStyle w:val="TableParagraph"/>
              <w:spacing w:line="207" w:lineRule="exact"/>
              <w:ind w:right="97"/>
              <w:jc w:val="right"/>
              <w:rPr>
                <w:sz w:val="18"/>
              </w:rPr>
            </w:pPr>
            <w:r>
              <w:rPr>
                <w:spacing w:val="-2"/>
                <w:sz w:val="18"/>
              </w:rPr>
              <w:t>0.003211</w:t>
            </w:r>
          </w:p>
        </w:tc>
        <w:tc>
          <w:tcPr>
            <w:tcW w:w="2225" w:type="dxa"/>
          </w:tcPr>
          <w:p>
            <w:pPr>
              <w:pStyle w:val="TableParagraph"/>
              <w:spacing w:line="207" w:lineRule="exact"/>
              <w:ind w:right="97"/>
              <w:jc w:val="right"/>
              <w:rPr>
                <w:sz w:val="18"/>
              </w:rPr>
            </w:pPr>
            <w:r>
              <w:rPr>
                <w:spacing w:val="-2"/>
                <w:sz w:val="18"/>
              </w:rPr>
              <w:t>0.030288</w:t>
            </w:r>
          </w:p>
        </w:tc>
        <w:tc>
          <w:tcPr>
            <w:tcW w:w="1838" w:type="dxa"/>
          </w:tcPr>
          <w:p>
            <w:pPr>
              <w:pStyle w:val="TableParagraph"/>
              <w:spacing w:line="207" w:lineRule="exact"/>
              <w:ind w:right="96"/>
              <w:jc w:val="right"/>
              <w:rPr>
                <w:sz w:val="18"/>
              </w:rPr>
            </w:pPr>
            <w:r>
              <w:rPr>
                <w:spacing w:val="-2"/>
                <w:sz w:val="18"/>
              </w:rPr>
              <w:t>0.106002</w:t>
            </w:r>
          </w:p>
        </w:tc>
        <w:tc>
          <w:tcPr>
            <w:tcW w:w="1483" w:type="dxa"/>
          </w:tcPr>
          <w:p>
            <w:pPr>
              <w:pStyle w:val="TableParagraph"/>
              <w:spacing w:line="207" w:lineRule="exact"/>
              <w:ind w:right="95"/>
              <w:jc w:val="right"/>
              <w:rPr>
                <w:sz w:val="18"/>
              </w:rPr>
            </w:pPr>
            <w:r>
              <w:rPr>
                <w:spacing w:val="-2"/>
                <w:sz w:val="18"/>
              </w:rPr>
              <w:t>0.9175</w:t>
            </w:r>
          </w:p>
        </w:tc>
      </w:tr>
      <w:tr>
        <w:trPr>
          <w:trHeight w:val="230" w:hRule="atLeast"/>
        </w:trPr>
        <w:tc>
          <w:tcPr>
            <w:tcW w:w="1848" w:type="dxa"/>
          </w:tcPr>
          <w:p>
            <w:pPr>
              <w:pStyle w:val="TableParagraph"/>
              <w:spacing w:line="210" w:lineRule="exact"/>
              <w:ind w:left="540"/>
              <w:rPr>
                <w:rFonts w:ascii="Arial MT"/>
                <w:sz w:val="20"/>
              </w:rPr>
            </w:pPr>
            <w:r>
              <w:rPr>
                <w:rFonts w:ascii="Arial MT"/>
                <w:spacing w:val="-2"/>
                <w:sz w:val="20"/>
              </w:rPr>
              <w:t>D(DFI,2)</w:t>
            </w:r>
          </w:p>
        </w:tc>
        <w:tc>
          <w:tcPr>
            <w:tcW w:w="1848" w:type="dxa"/>
          </w:tcPr>
          <w:p>
            <w:pPr>
              <w:pStyle w:val="TableParagraph"/>
              <w:spacing w:line="207" w:lineRule="exact"/>
              <w:ind w:right="97"/>
              <w:jc w:val="right"/>
              <w:rPr>
                <w:sz w:val="18"/>
              </w:rPr>
            </w:pPr>
            <w:r>
              <w:rPr>
                <w:spacing w:val="-2"/>
                <w:sz w:val="18"/>
              </w:rPr>
              <w:t>0.051163</w:t>
            </w:r>
          </w:p>
        </w:tc>
        <w:tc>
          <w:tcPr>
            <w:tcW w:w="2225" w:type="dxa"/>
          </w:tcPr>
          <w:p>
            <w:pPr>
              <w:pStyle w:val="TableParagraph"/>
              <w:spacing w:line="207" w:lineRule="exact"/>
              <w:ind w:right="97"/>
              <w:jc w:val="right"/>
              <w:rPr>
                <w:sz w:val="18"/>
              </w:rPr>
            </w:pPr>
            <w:r>
              <w:rPr>
                <w:spacing w:val="-2"/>
                <w:sz w:val="18"/>
              </w:rPr>
              <w:t>0.074675</w:t>
            </w:r>
          </w:p>
        </w:tc>
        <w:tc>
          <w:tcPr>
            <w:tcW w:w="1838" w:type="dxa"/>
          </w:tcPr>
          <w:p>
            <w:pPr>
              <w:pStyle w:val="TableParagraph"/>
              <w:spacing w:line="207" w:lineRule="exact"/>
              <w:ind w:right="96"/>
              <w:jc w:val="right"/>
              <w:rPr>
                <w:sz w:val="18"/>
              </w:rPr>
            </w:pPr>
            <w:r>
              <w:rPr>
                <w:spacing w:val="-2"/>
                <w:sz w:val="18"/>
              </w:rPr>
              <w:t>0.685139</w:t>
            </w:r>
          </w:p>
        </w:tc>
        <w:tc>
          <w:tcPr>
            <w:tcW w:w="1483" w:type="dxa"/>
          </w:tcPr>
          <w:p>
            <w:pPr>
              <w:pStyle w:val="TableParagraph"/>
              <w:spacing w:line="207" w:lineRule="exact"/>
              <w:ind w:right="95"/>
              <w:jc w:val="right"/>
              <w:rPr>
                <w:sz w:val="18"/>
              </w:rPr>
            </w:pPr>
            <w:r>
              <w:rPr>
                <w:spacing w:val="-2"/>
                <w:sz w:val="18"/>
              </w:rPr>
              <w:t>0.5074</w:t>
            </w:r>
          </w:p>
        </w:tc>
      </w:tr>
      <w:tr>
        <w:trPr>
          <w:trHeight w:val="230" w:hRule="atLeast"/>
        </w:trPr>
        <w:tc>
          <w:tcPr>
            <w:tcW w:w="1848" w:type="dxa"/>
          </w:tcPr>
          <w:p>
            <w:pPr>
              <w:pStyle w:val="TableParagraph"/>
              <w:spacing w:line="210" w:lineRule="exact"/>
              <w:ind w:left="384"/>
              <w:rPr>
                <w:rFonts w:ascii="Arial MT"/>
                <w:sz w:val="20"/>
              </w:rPr>
            </w:pPr>
            <w:r>
              <w:rPr>
                <w:rFonts w:ascii="Arial MT"/>
                <w:spacing w:val="-2"/>
                <w:sz w:val="20"/>
              </w:rPr>
              <w:t>D(DFI(-1),2)</w:t>
            </w:r>
          </w:p>
        </w:tc>
        <w:tc>
          <w:tcPr>
            <w:tcW w:w="1848" w:type="dxa"/>
          </w:tcPr>
          <w:p>
            <w:pPr>
              <w:pStyle w:val="TableParagraph"/>
              <w:spacing w:line="207" w:lineRule="exact"/>
              <w:ind w:right="97"/>
              <w:jc w:val="right"/>
              <w:rPr>
                <w:sz w:val="18"/>
              </w:rPr>
            </w:pPr>
            <w:r>
              <w:rPr>
                <w:sz w:val="18"/>
              </w:rPr>
              <w:t>-</w:t>
            </w:r>
            <w:r>
              <w:rPr>
                <w:spacing w:val="-2"/>
                <w:sz w:val="18"/>
              </w:rPr>
              <w:t>0.026236</w:t>
            </w:r>
          </w:p>
        </w:tc>
        <w:tc>
          <w:tcPr>
            <w:tcW w:w="2225" w:type="dxa"/>
          </w:tcPr>
          <w:p>
            <w:pPr>
              <w:pStyle w:val="TableParagraph"/>
              <w:spacing w:line="207" w:lineRule="exact"/>
              <w:ind w:right="97"/>
              <w:jc w:val="right"/>
              <w:rPr>
                <w:sz w:val="18"/>
              </w:rPr>
            </w:pPr>
            <w:r>
              <w:rPr>
                <w:spacing w:val="-2"/>
                <w:sz w:val="18"/>
              </w:rPr>
              <w:t>0.085098</w:t>
            </w:r>
          </w:p>
        </w:tc>
        <w:tc>
          <w:tcPr>
            <w:tcW w:w="1838" w:type="dxa"/>
          </w:tcPr>
          <w:p>
            <w:pPr>
              <w:pStyle w:val="TableParagraph"/>
              <w:spacing w:line="207" w:lineRule="exact"/>
              <w:ind w:right="96"/>
              <w:jc w:val="right"/>
              <w:rPr>
                <w:sz w:val="18"/>
              </w:rPr>
            </w:pPr>
            <w:r>
              <w:rPr>
                <w:sz w:val="18"/>
              </w:rPr>
              <w:t>-</w:t>
            </w:r>
            <w:r>
              <w:rPr>
                <w:spacing w:val="-2"/>
                <w:sz w:val="18"/>
              </w:rPr>
              <w:t>0.308306</w:t>
            </w:r>
          </w:p>
        </w:tc>
        <w:tc>
          <w:tcPr>
            <w:tcW w:w="1483" w:type="dxa"/>
          </w:tcPr>
          <w:p>
            <w:pPr>
              <w:pStyle w:val="TableParagraph"/>
              <w:spacing w:line="207" w:lineRule="exact"/>
              <w:ind w:right="95"/>
              <w:jc w:val="right"/>
              <w:rPr>
                <w:sz w:val="18"/>
              </w:rPr>
            </w:pPr>
            <w:r>
              <w:rPr>
                <w:spacing w:val="-2"/>
                <w:sz w:val="18"/>
              </w:rPr>
              <w:t>0.7636</w:t>
            </w:r>
          </w:p>
        </w:tc>
      </w:tr>
      <w:tr>
        <w:trPr>
          <w:trHeight w:val="230" w:hRule="atLeast"/>
        </w:trPr>
        <w:tc>
          <w:tcPr>
            <w:tcW w:w="1848" w:type="dxa"/>
          </w:tcPr>
          <w:p>
            <w:pPr>
              <w:pStyle w:val="TableParagraph"/>
              <w:spacing w:line="210" w:lineRule="exact"/>
              <w:ind w:left="494"/>
              <w:rPr>
                <w:rFonts w:ascii="Arial MT"/>
                <w:sz w:val="20"/>
              </w:rPr>
            </w:pPr>
            <w:r>
              <w:rPr>
                <w:rFonts w:ascii="Arial MT"/>
                <w:spacing w:val="-2"/>
                <w:sz w:val="20"/>
              </w:rPr>
              <w:t>D(CAB,2)</w:t>
            </w:r>
          </w:p>
        </w:tc>
        <w:tc>
          <w:tcPr>
            <w:tcW w:w="1848" w:type="dxa"/>
          </w:tcPr>
          <w:p>
            <w:pPr>
              <w:pStyle w:val="TableParagraph"/>
              <w:spacing w:line="207" w:lineRule="exact"/>
              <w:ind w:right="97"/>
              <w:jc w:val="right"/>
              <w:rPr>
                <w:sz w:val="18"/>
              </w:rPr>
            </w:pPr>
            <w:r>
              <w:rPr>
                <w:spacing w:val="-2"/>
                <w:sz w:val="18"/>
              </w:rPr>
              <w:t>0.069881</w:t>
            </w:r>
          </w:p>
        </w:tc>
        <w:tc>
          <w:tcPr>
            <w:tcW w:w="2225" w:type="dxa"/>
          </w:tcPr>
          <w:p>
            <w:pPr>
              <w:pStyle w:val="TableParagraph"/>
              <w:spacing w:line="207" w:lineRule="exact"/>
              <w:ind w:right="97"/>
              <w:jc w:val="right"/>
              <w:rPr>
                <w:sz w:val="18"/>
              </w:rPr>
            </w:pPr>
            <w:r>
              <w:rPr>
                <w:spacing w:val="-2"/>
                <w:sz w:val="18"/>
              </w:rPr>
              <w:t>0.035004</w:t>
            </w:r>
          </w:p>
        </w:tc>
        <w:tc>
          <w:tcPr>
            <w:tcW w:w="1838" w:type="dxa"/>
          </w:tcPr>
          <w:p>
            <w:pPr>
              <w:pStyle w:val="TableParagraph"/>
              <w:spacing w:line="207" w:lineRule="exact"/>
              <w:ind w:right="96"/>
              <w:jc w:val="right"/>
              <w:rPr>
                <w:sz w:val="18"/>
              </w:rPr>
            </w:pPr>
            <w:r>
              <w:rPr>
                <w:spacing w:val="-2"/>
                <w:sz w:val="18"/>
              </w:rPr>
              <w:t>1.996351</w:t>
            </w:r>
          </w:p>
        </w:tc>
        <w:tc>
          <w:tcPr>
            <w:tcW w:w="1483" w:type="dxa"/>
          </w:tcPr>
          <w:p>
            <w:pPr>
              <w:pStyle w:val="TableParagraph"/>
              <w:spacing w:line="207" w:lineRule="exact"/>
              <w:ind w:right="95"/>
              <w:jc w:val="right"/>
              <w:rPr>
                <w:sz w:val="18"/>
              </w:rPr>
            </w:pPr>
            <w:r>
              <w:rPr>
                <w:spacing w:val="-2"/>
                <w:sz w:val="18"/>
              </w:rPr>
              <w:t>0.0712</w:t>
            </w:r>
          </w:p>
        </w:tc>
      </w:tr>
      <w:tr>
        <w:trPr>
          <w:trHeight w:val="230" w:hRule="atLeast"/>
        </w:trPr>
        <w:tc>
          <w:tcPr>
            <w:tcW w:w="1848" w:type="dxa"/>
          </w:tcPr>
          <w:p>
            <w:pPr>
              <w:pStyle w:val="TableParagraph"/>
              <w:spacing w:line="210" w:lineRule="exact"/>
              <w:ind w:left="341"/>
              <w:rPr>
                <w:rFonts w:ascii="Arial MT"/>
                <w:sz w:val="20"/>
              </w:rPr>
            </w:pPr>
            <w:r>
              <w:rPr>
                <w:rFonts w:ascii="Arial MT"/>
                <w:spacing w:val="-2"/>
                <w:sz w:val="20"/>
              </w:rPr>
              <w:t>D(CAB(-1),2)</w:t>
            </w:r>
          </w:p>
        </w:tc>
        <w:tc>
          <w:tcPr>
            <w:tcW w:w="1848" w:type="dxa"/>
          </w:tcPr>
          <w:p>
            <w:pPr>
              <w:pStyle w:val="TableParagraph"/>
              <w:spacing w:line="207" w:lineRule="exact"/>
              <w:ind w:right="97"/>
              <w:jc w:val="right"/>
              <w:rPr>
                <w:sz w:val="18"/>
              </w:rPr>
            </w:pPr>
            <w:r>
              <w:rPr>
                <w:sz w:val="18"/>
              </w:rPr>
              <w:t>-</w:t>
            </w:r>
            <w:r>
              <w:rPr>
                <w:spacing w:val="-2"/>
                <w:sz w:val="18"/>
              </w:rPr>
              <w:t>0.008337</w:t>
            </w:r>
          </w:p>
        </w:tc>
        <w:tc>
          <w:tcPr>
            <w:tcW w:w="2225" w:type="dxa"/>
          </w:tcPr>
          <w:p>
            <w:pPr>
              <w:pStyle w:val="TableParagraph"/>
              <w:spacing w:line="207" w:lineRule="exact"/>
              <w:ind w:right="97"/>
              <w:jc w:val="right"/>
              <w:rPr>
                <w:sz w:val="18"/>
              </w:rPr>
            </w:pPr>
            <w:r>
              <w:rPr>
                <w:spacing w:val="-2"/>
                <w:sz w:val="18"/>
              </w:rPr>
              <w:t>0.054543</w:t>
            </w:r>
          </w:p>
        </w:tc>
        <w:tc>
          <w:tcPr>
            <w:tcW w:w="1838" w:type="dxa"/>
          </w:tcPr>
          <w:p>
            <w:pPr>
              <w:pStyle w:val="TableParagraph"/>
              <w:spacing w:line="207" w:lineRule="exact"/>
              <w:ind w:right="96"/>
              <w:jc w:val="right"/>
              <w:rPr>
                <w:sz w:val="18"/>
              </w:rPr>
            </w:pPr>
            <w:r>
              <w:rPr>
                <w:sz w:val="18"/>
              </w:rPr>
              <w:t>-</w:t>
            </w:r>
            <w:r>
              <w:rPr>
                <w:spacing w:val="-2"/>
                <w:sz w:val="18"/>
              </w:rPr>
              <w:t>0.152852</w:t>
            </w:r>
          </w:p>
        </w:tc>
        <w:tc>
          <w:tcPr>
            <w:tcW w:w="1483" w:type="dxa"/>
          </w:tcPr>
          <w:p>
            <w:pPr>
              <w:pStyle w:val="TableParagraph"/>
              <w:spacing w:line="207" w:lineRule="exact"/>
              <w:ind w:right="95"/>
              <w:jc w:val="right"/>
              <w:rPr>
                <w:sz w:val="18"/>
              </w:rPr>
            </w:pPr>
            <w:r>
              <w:rPr>
                <w:spacing w:val="-2"/>
                <w:sz w:val="18"/>
              </w:rPr>
              <w:t>0.8813</w:t>
            </w:r>
          </w:p>
        </w:tc>
      </w:tr>
      <w:tr>
        <w:trPr>
          <w:trHeight w:val="230" w:hRule="atLeast"/>
        </w:trPr>
        <w:tc>
          <w:tcPr>
            <w:tcW w:w="1848" w:type="dxa"/>
          </w:tcPr>
          <w:p>
            <w:pPr>
              <w:pStyle w:val="TableParagraph"/>
              <w:spacing w:line="210" w:lineRule="exact"/>
              <w:ind w:left="494"/>
              <w:rPr>
                <w:rFonts w:ascii="Arial MT"/>
                <w:sz w:val="20"/>
              </w:rPr>
            </w:pPr>
            <w:r>
              <w:rPr>
                <w:rFonts w:ascii="Arial MT"/>
                <w:spacing w:val="-2"/>
                <w:sz w:val="20"/>
              </w:rPr>
              <w:t>D(RES,2)</w:t>
            </w:r>
          </w:p>
        </w:tc>
        <w:tc>
          <w:tcPr>
            <w:tcW w:w="1848" w:type="dxa"/>
          </w:tcPr>
          <w:p>
            <w:pPr>
              <w:pStyle w:val="TableParagraph"/>
              <w:spacing w:line="207" w:lineRule="exact"/>
              <w:ind w:right="97"/>
              <w:jc w:val="right"/>
              <w:rPr>
                <w:sz w:val="18"/>
              </w:rPr>
            </w:pPr>
            <w:r>
              <w:rPr>
                <w:sz w:val="18"/>
              </w:rPr>
              <w:t>-</w:t>
            </w:r>
            <w:r>
              <w:rPr>
                <w:spacing w:val="-2"/>
                <w:sz w:val="18"/>
              </w:rPr>
              <w:t>0.006408</w:t>
            </w:r>
          </w:p>
        </w:tc>
        <w:tc>
          <w:tcPr>
            <w:tcW w:w="2225" w:type="dxa"/>
          </w:tcPr>
          <w:p>
            <w:pPr>
              <w:pStyle w:val="TableParagraph"/>
              <w:spacing w:line="207" w:lineRule="exact"/>
              <w:ind w:right="97"/>
              <w:jc w:val="right"/>
              <w:rPr>
                <w:sz w:val="18"/>
              </w:rPr>
            </w:pPr>
            <w:r>
              <w:rPr>
                <w:spacing w:val="-2"/>
                <w:sz w:val="18"/>
              </w:rPr>
              <w:t>0.033366</w:t>
            </w:r>
          </w:p>
        </w:tc>
        <w:tc>
          <w:tcPr>
            <w:tcW w:w="1838" w:type="dxa"/>
          </w:tcPr>
          <w:p>
            <w:pPr>
              <w:pStyle w:val="TableParagraph"/>
              <w:spacing w:line="207" w:lineRule="exact"/>
              <w:ind w:right="96"/>
              <w:jc w:val="right"/>
              <w:rPr>
                <w:sz w:val="18"/>
              </w:rPr>
            </w:pPr>
            <w:r>
              <w:rPr>
                <w:sz w:val="18"/>
              </w:rPr>
              <w:t>-</w:t>
            </w:r>
            <w:r>
              <w:rPr>
                <w:spacing w:val="-2"/>
                <w:sz w:val="18"/>
              </w:rPr>
              <w:t>0.192049</w:t>
            </w:r>
          </w:p>
        </w:tc>
        <w:tc>
          <w:tcPr>
            <w:tcW w:w="1483" w:type="dxa"/>
          </w:tcPr>
          <w:p>
            <w:pPr>
              <w:pStyle w:val="TableParagraph"/>
              <w:spacing w:line="207" w:lineRule="exact"/>
              <w:ind w:right="95"/>
              <w:jc w:val="right"/>
              <w:rPr>
                <w:sz w:val="18"/>
              </w:rPr>
            </w:pPr>
            <w:r>
              <w:rPr>
                <w:spacing w:val="-2"/>
                <w:sz w:val="18"/>
              </w:rPr>
              <w:t>0.8512</w:t>
            </w:r>
          </w:p>
        </w:tc>
      </w:tr>
      <w:tr>
        <w:trPr>
          <w:trHeight w:val="229" w:hRule="atLeast"/>
        </w:trPr>
        <w:tc>
          <w:tcPr>
            <w:tcW w:w="1848" w:type="dxa"/>
          </w:tcPr>
          <w:p>
            <w:pPr>
              <w:pStyle w:val="TableParagraph"/>
              <w:spacing w:line="210" w:lineRule="exact"/>
              <w:ind w:left="341"/>
              <w:rPr>
                <w:rFonts w:ascii="Arial MT"/>
                <w:sz w:val="20"/>
              </w:rPr>
            </w:pPr>
            <w:r>
              <w:rPr>
                <w:rFonts w:ascii="Arial MT"/>
                <w:spacing w:val="-2"/>
                <w:sz w:val="20"/>
              </w:rPr>
              <w:t>D(RES(-1),2)</w:t>
            </w:r>
          </w:p>
        </w:tc>
        <w:tc>
          <w:tcPr>
            <w:tcW w:w="1848" w:type="dxa"/>
          </w:tcPr>
          <w:p>
            <w:pPr>
              <w:pStyle w:val="TableParagraph"/>
              <w:spacing w:line="207" w:lineRule="exact"/>
              <w:ind w:right="97"/>
              <w:jc w:val="right"/>
              <w:rPr>
                <w:sz w:val="18"/>
              </w:rPr>
            </w:pPr>
            <w:r>
              <w:rPr>
                <w:sz w:val="18"/>
              </w:rPr>
              <w:t>-</w:t>
            </w:r>
            <w:r>
              <w:rPr>
                <w:spacing w:val="-2"/>
                <w:sz w:val="18"/>
              </w:rPr>
              <w:t>0.035490</w:t>
            </w:r>
          </w:p>
        </w:tc>
        <w:tc>
          <w:tcPr>
            <w:tcW w:w="2225" w:type="dxa"/>
          </w:tcPr>
          <w:p>
            <w:pPr>
              <w:pStyle w:val="TableParagraph"/>
              <w:spacing w:line="207" w:lineRule="exact"/>
              <w:ind w:right="97"/>
              <w:jc w:val="right"/>
              <w:rPr>
                <w:sz w:val="18"/>
              </w:rPr>
            </w:pPr>
            <w:r>
              <w:rPr>
                <w:spacing w:val="-2"/>
                <w:sz w:val="18"/>
              </w:rPr>
              <w:t>0.063994</w:t>
            </w:r>
          </w:p>
        </w:tc>
        <w:tc>
          <w:tcPr>
            <w:tcW w:w="1838" w:type="dxa"/>
          </w:tcPr>
          <w:p>
            <w:pPr>
              <w:pStyle w:val="TableParagraph"/>
              <w:spacing w:line="207" w:lineRule="exact"/>
              <w:ind w:right="96"/>
              <w:jc w:val="right"/>
              <w:rPr>
                <w:sz w:val="18"/>
              </w:rPr>
            </w:pPr>
            <w:r>
              <w:rPr>
                <w:sz w:val="18"/>
              </w:rPr>
              <w:t>-</w:t>
            </w:r>
            <w:r>
              <w:rPr>
                <w:spacing w:val="-2"/>
                <w:sz w:val="18"/>
              </w:rPr>
              <w:t>0.554580</w:t>
            </w:r>
          </w:p>
        </w:tc>
        <w:tc>
          <w:tcPr>
            <w:tcW w:w="1483" w:type="dxa"/>
          </w:tcPr>
          <w:p>
            <w:pPr>
              <w:pStyle w:val="TableParagraph"/>
              <w:spacing w:line="207" w:lineRule="exact"/>
              <w:ind w:right="95"/>
              <w:jc w:val="right"/>
              <w:rPr>
                <w:sz w:val="18"/>
              </w:rPr>
            </w:pPr>
            <w:r>
              <w:rPr>
                <w:spacing w:val="-2"/>
                <w:sz w:val="18"/>
              </w:rPr>
              <w:t>0.5903</w:t>
            </w:r>
          </w:p>
        </w:tc>
      </w:tr>
      <w:tr>
        <w:trPr>
          <w:trHeight w:val="230" w:hRule="atLeast"/>
        </w:trPr>
        <w:tc>
          <w:tcPr>
            <w:tcW w:w="1848" w:type="dxa"/>
          </w:tcPr>
          <w:p>
            <w:pPr>
              <w:pStyle w:val="TableParagraph"/>
              <w:spacing w:line="210" w:lineRule="exact"/>
              <w:ind w:left="300"/>
              <w:rPr>
                <w:rFonts w:ascii="Arial MT"/>
                <w:sz w:val="20"/>
              </w:rPr>
            </w:pPr>
            <w:r>
              <w:rPr>
                <w:rFonts w:ascii="Arial MT"/>
                <w:spacing w:val="-2"/>
                <w:sz w:val="20"/>
              </w:rPr>
              <w:t>D(NEXTAS,2)</w:t>
            </w:r>
          </w:p>
        </w:tc>
        <w:tc>
          <w:tcPr>
            <w:tcW w:w="1848" w:type="dxa"/>
          </w:tcPr>
          <w:p>
            <w:pPr>
              <w:pStyle w:val="TableParagraph"/>
              <w:spacing w:line="207" w:lineRule="exact"/>
              <w:ind w:right="97"/>
              <w:jc w:val="right"/>
              <w:rPr>
                <w:sz w:val="18"/>
              </w:rPr>
            </w:pPr>
            <w:r>
              <w:rPr>
                <w:spacing w:val="-2"/>
                <w:sz w:val="18"/>
              </w:rPr>
              <w:t>0.006925</w:t>
            </w:r>
          </w:p>
        </w:tc>
        <w:tc>
          <w:tcPr>
            <w:tcW w:w="2225" w:type="dxa"/>
          </w:tcPr>
          <w:p>
            <w:pPr>
              <w:pStyle w:val="TableParagraph"/>
              <w:spacing w:line="207" w:lineRule="exact"/>
              <w:ind w:right="97"/>
              <w:jc w:val="right"/>
              <w:rPr>
                <w:sz w:val="18"/>
              </w:rPr>
            </w:pPr>
            <w:r>
              <w:rPr>
                <w:spacing w:val="-2"/>
                <w:sz w:val="18"/>
              </w:rPr>
              <w:t>0.048297</w:t>
            </w:r>
          </w:p>
        </w:tc>
        <w:tc>
          <w:tcPr>
            <w:tcW w:w="1838" w:type="dxa"/>
          </w:tcPr>
          <w:p>
            <w:pPr>
              <w:pStyle w:val="TableParagraph"/>
              <w:spacing w:line="207" w:lineRule="exact"/>
              <w:ind w:right="96"/>
              <w:jc w:val="right"/>
              <w:rPr>
                <w:sz w:val="18"/>
              </w:rPr>
            </w:pPr>
            <w:r>
              <w:rPr>
                <w:spacing w:val="-2"/>
                <w:sz w:val="18"/>
              </w:rPr>
              <w:t>0.143374</w:t>
            </w:r>
          </w:p>
        </w:tc>
        <w:tc>
          <w:tcPr>
            <w:tcW w:w="1483" w:type="dxa"/>
          </w:tcPr>
          <w:p>
            <w:pPr>
              <w:pStyle w:val="TableParagraph"/>
              <w:spacing w:line="207" w:lineRule="exact"/>
              <w:ind w:right="95"/>
              <w:jc w:val="right"/>
              <w:rPr>
                <w:sz w:val="18"/>
              </w:rPr>
            </w:pPr>
            <w:r>
              <w:rPr>
                <w:spacing w:val="-2"/>
                <w:sz w:val="18"/>
              </w:rPr>
              <w:t>0.8886</w:t>
            </w:r>
          </w:p>
        </w:tc>
      </w:tr>
      <w:tr>
        <w:trPr>
          <w:trHeight w:val="230" w:hRule="atLeast"/>
        </w:trPr>
        <w:tc>
          <w:tcPr>
            <w:tcW w:w="1848" w:type="dxa"/>
          </w:tcPr>
          <w:p>
            <w:pPr>
              <w:pStyle w:val="TableParagraph"/>
              <w:spacing w:line="210" w:lineRule="exact"/>
              <w:ind w:left="545"/>
              <w:rPr>
                <w:rFonts w:ascii="Arial MT"/>
                <w:sz w:val="20"/>
              </w:rPr>
            </w:pPr>
            <w:r>
              <w:rPr>
                <w:rFonts w:ascii="Arial MT"/>
                <w:spacing w:val="-2"/>
                <w:sz w:val="20"/>
              </w:rPr>
              <w:t>ECM(-</w:t>
            </w:r>
            <w:r>
              <w:rPr>
                <w:rFonts w:ascii="Arial MT"/>
                <w:spacing w:val="-5"/>
                <w:sz w:val="20"/>
              </w:rPr>
              <w:t>1)</w:t>
            </w:r>
          </w:p>
        </w:tc>
        <w:tc>
          <w:tcPr>
            <w:tcW w:w="1848" w:type="dxa"/>
          </w:tcPr>
          <w:p>
            <w:pPr>
              <w:pStyle w:val="TableParagraph"/>
              <w:spacing w:line="207" w:lineRule="exact"/>
              <w:ind w:right="97"/>
              <w:jc w:val="right"/>
              <w:rPr>
                <w:sz w:val="18"/>
              </w:rPr>
            </w:pPr>
            <w:r>
              <w:rPr>
                <w:sz w:val="18"/>
              </w:rPr>
              <w:t>-</w:t>
            </w:r>
            <w:r>
              <w:rPr>
                <w:spacing w:val="-2"/>
                <w:sz w:val="18"/>
              </w:rPr>
              <w:t>0.629546</w:t>
            </w:r>
          </w:p>
        </w:tc>
        <w:tc>
          <w:tcPr>
            <w:tcW w:w="2225" w:type="dxa"/>
          </w:tcPr>
          <w:p>
            <w:pPr>
              <w:pStyle w:val="TableParagraph"/>
              <w:spacing w:line="207" w:lineRule="exact"/>
              <w:ind w:right="97"/>
              <w:jc w:val="right"/>
              <w:rPr>
                <w:sz w:val="18"/>
              </w:rPr>
            </w:pPr>
            <w:r>
              <w:rPr>
                <w:spacing w:val="-2"/>
                <w:sz w:val="18"/>
              </w:rPr>
              <w:t>0.165242</w:t>
            </w:r>
          </w:p>
        </w:tc>
        <w:tc>
          <w:tcPr>
            <w:tcW w:w="1838" w:type="dxa"/>
          </w:tcPr>
          <w:p>
            <w:pPr>
              <w:pStyle w:val="TableParagraph"/>
              <w:spacing w:line="207" w:lineRule="exact"/>
              <w:ind w:right="96"/>
              <w:jc w:val="right"/>
              <w:rPr>
                <w:sz w:val="18"/>
              </w:rPr>
            </w:pPr>
            <w:r>
              <w:rPr>
                <w:sz w:val="18"/>
              </w:rPr>
              <w:t>-</w:t>
            </w:r>
            <w:r>
              <w:rPr>
                <w:spacing w:val="-2"/>
                <w:sz w:val="18"/>
              </w:rPr>
              <w:t>4.173481</w:t>
            </w:r>
          </w:p>
        </w:tc>
        <w:tc>
          <w:tcPr>
            <w:tcW w:w="1483" w:type="dxa"/>
          </w:tcPr>
          <w:p>
            <w:pPr>
              <w:pStyle w:val="TableParagraph"/>
              <w:spacing w:line="207" w:lineRule="exact"/>
              <w:ind w:right="95"/>
              <w:jc w:val="right"/>
              <w:rPr>
                <w:sz w:val="18"/>
              </w:rPr>
            </w:pPr>
            <w:r>
              <w:rPr>
                <w:spacing w:val="-2"/>
                <w:sz w:val="18"/>
              </w:rPr>
              <w:t>0.0006</w:t>
            </w:r>
          </w:p>
        </w:tc>
      </w:tr>
    </w:tbl>
    <w:p>
      <w:pPr>
        <w:spacing w:after="0" w:line="207" w:lineRule="exact"/>
        <w:jc w:val="right"/>
        <w:rPr>
          <w:sz w:val="18"/>
        </w:rPr>
        <w:sectPr>
          <w:pgSz w:w="11910" w:h="16840"/>
          <w:pgMar w:header="0" w:footer="979" w:top="1360" w:bottom="1240" w:left="280" w:right="0"/>
        </w:sectPr>
      </w:pPr>
    </w:p>
    <w:p>
      <w:pPr>
        <w:tabs>
          <w:tab w:pos="4312" w:val="left" w:leader="none"/>
        </w:tabs>
        <w:spacing w:before="81"/>
        <w:ind w:left="1563" w:right="0" w:firstLine="0"/>
        <w:jc w:val="left"/>
        <w:rPr>
          <w:rFonts w:ascii="Arial MT"/>
          <w:sz w:val="20"/>
        </w:rPr>
      </w:pPr>
      <w:r>
        <w:rPr>
          <w:rFonts w:ascii="Cambria"/>
          <w:b/>
          <w:sz w:val="24"/>
        </w:rPr>
        <w:t>R</w:t>
      </w:r>
      <w:r>
        <w:rPr>
          <w:rFonts w:ascii="Cambria"/>
          <w:b/>
          <w:position w:val="6"/>
          <w:sz w:val="16"/>
        </w:rPr>
        <w:t>2</w:t>
      </w:r>
      <w:r>
        <w:rPr>
          <w:rFonts w:ascii="Cambria"/>
          <w:b/>
          <w:spacing w:val="17"/>
          <w:position w:val="6"/>
          <w:sz w:val="16"/>
        </w:rPr>
        <w:t> </w:t>
      </w:r>
      <w:r>
        <w:rPr>
          <w:rFonts w:ascii="Cambria"/>
          <w:sz w:val="24"/>
        </w:rPr>
        <w:t>=</w:t>
      </w:r>
      <w:r>
        <w:rPr>
          <w:rFonts w:ascii="Cambria"/>
          <w:spacing w:val="-1"/>
          <w:sz w:val="24"/>
        </w:rPr>
        <w:t> </w:t>
      </w:r>
      <w:r>
        <w:rPr>
          <w:rFonts w:ascii="Arial MT"/>
          <w:spacing w:val="-2"/>
          <w:sz w:val="20"/>
        </w:rPr>
        <w:t>0.704073</w:t>
      </w:r>
      <w:r>
        <w:rPr>
          <w:rFonts w:ascii="Arial MT"/>
          <w:sz w:val="20"/>
        </w:rPr>
        <w:tab/>
      </w:r>
      <w:r>
        <w:rPr>
          <w:rFonts w:ascii="Cambria"/>
          <w:b/>
          <w:sz w:val="24"/>
        </w:rPr>
        <w:t>DW-STATISTICS</w:t>
      </w:r>
      <w:r>
        <w:rPr>
          <w:rFonts w:ascii="Cambria"/>
          <w:b/>
          <w:spacing w:val="-8"/>
          <w:sz w:val="24"/>
        </w:rPr>
        <w:t> </w:t>
      </w:r>
      <w:r>
        <w:rPr>
          <w:rFonts w:ascii="Cambria"/>
          <w:sz w:val="24"/>
        </w:rPr>
        <w:t>=</w:t>
      </w:r>
      <w:r>
        <w:rPr>
          <w:rFonts w:ascii="Cambria"/>
          <w:spacing w:val="-6"/>
          <w:sz w:val="24"/>
        </w:rPr>
        <w:t> </w:t>
      </w:r>
      <w:r>
        <w:rPr>
          <w:rFonts w:ascii="Arial MT"/>
          <w:spacing w:val="-2"/>
          <w:sz w:val="20"/>
        </w:rPr>
        <w:t>1.872506</w:t>
      </w:r>
    </w:p>
    <w:p>
      <w:pPr>
        <w:pStyle w:val="BodyText"/>
        <w:spacing w:before="50"/>
        <w:rPr>
          <w:rFonts w:ascii="Arial MT"/>
          <w:sz w:val="20"/>
        </w:rPr>
      </w:pPr>
    </w:p>
    <w:p>
      <w:pPr>
        <w:pStyle w:val="BodyText"/>
        <w:ind w:left="711"/>
        <w:jc w:val="both"/>
        <w:rPr>
          <w:b/>
        </w:rPr>
      </w:pPr>
      <w:r>
        <w:rPr/>
        <w:t>Source:</w:t>
      </w:r>
      <w:r>
        <w:rPr>
          <w:spacing w:val="-4"/>
        </w:rPr>
        <w:t> </w:t>
      </w:r>
      <w:r>
        <w:rPr/>
        <w:t>Computation,</w:t>
      </w:r>
      <w:r>
        <w:rPr>
          <w:spacing w:val="-1"/>
        </w:rPr>
        <w:t> </w:t>
      </w:r>
      <w:r>
        <w:rPr/>
        <w:t>using</w:t>
      </w:r>
      <w:r>
        <w:rPr>
          <w:spacing w:val="-5"/>
        </w:rPr>
        <w:t> </w:t>
      </w:r>
      <w:r>
        <w:rPr/>
        <w:t>E-view</w:t>
      </w:r>
      <w:r>
        <w:rPr>
          <w:spacing w:val="-1"/>
        </w:rPr>
        <w:t> </w:t>
      </w:r>
      <w:r>
        <w:rPr/>
        <w:t>statistical</w:t>
      </w:r>
      <w:r>
        <w:rPr>
          <w:spacing w:val="-1"/>
        </w:rPr>
        <w:t> </w:t>
      </w:r>
      <w:r>
        <w:rPr>
          <w:spacing w:val="-2"/>
        </w:rPr>
        <w:t>package</w:t>
      </w:r>
      <w:r>
        <w:rPr>
          <w:b/>
          <w:spacing w:val="-2"/>
        </w:rPr>
        <w:t>.</w:t>
      </w:r>
    </w:p>
    <w:p>
      <w:pPr>
        <w:pStyle w:val="BodyText"/>
        <w:rPr>
          <w:b/>
        </w:rPr>
      </w:pPr>
    </w:p>
    <w:p>
      <w:pPr>
        <w:pStyle w:val="BodyText"/>
        <w:spacing w:line="480" w:lineRule="auto"/>
        <w:ind w:left="711" w:right="470"/>
        <w:jc w:val="both"/>
      </w:pPr>
      <w:r>
        <w:rPr/>
        <w:t>The</w:t>
      </w:r>
      <w:r>
        <w:rPr>
          <w:spacing w:val="-1"/>
        </w:rPr>
        <w:t> </w:t>
      </w:r>
      <w:r>
        <w:rPr/>
        <w:t>summary</w:t>
      </w:r>
      <w:r>
        <w:rPr>
          <w:spacing w:val="-2"/>
        </w:rPr>
        <w:t> </w:t>
      </w:r>
      <w:r>
        <w:rPr/>
        <w:t>of the over-parametized ECM above shows that the coefficient of the ECM is significant with the negative sign (-). It implies it effectiveness in the correction of any</w:t>
      </w:r>
      <w:r>
        <w:rPr>
          <w:spacing w:val="-3"/>
        </w:rPr>
        <w:t> </w:t>
      </w:r>
      <w:r>
        <w:rPr/>
        <w:t>deviation that may</w:t>
      </w:r>
      <w:r>
        <w:rPr>
          <w:spacing w:val="-5"/>
        </w:rPr>
        <w:t> </w:t>
      </w:r>
      <w:r>
        <w:rPr/>
        <w:t>occur in the long- run.</w:t>
      </w:r>
      <w:r>
        <w:rPr>
          <w:spacing w:val="40"/>
        </w:rPr>
        <w:t> </w:t>
      </w:r>
      <w:r>
        <w:rPr/>
        <w:t>The coefficient is -0.629546 which implies a sharp adjustment rate of approximately 0.63units to any changes that may occur on the long-run and rate of correction of past deviation in the present period. These mean that the present value of GDP adjust very sharply to changes in δEXTDEBT, DFI, CAB, δRES and </w:t>
      </w:r>
      <w:r>
        <w:rPr>
          <w:spacing w:val="-2"/>
        </w:rPr>
        <w:t>δNEXTAS.</w:t>
      </w:r>
    </w:p>
    <w:p>
      <w:pPr>
        <w:pStyle w:val="BodyText"/>
        <w:spacing w:line="480" w:lineRule="auto" w:before="1"/>
        <w:ind w:left="711" w:right="477"/>
        <w:jc w:val="both"/>
      </w:pPr>
      <w:r>
        <w:rPr/>
        <w:t>In order to attain effectiveness of the model, there is the need to simplify</w:t>
      </w:r>
      <w:r>
        <w:rPr>
          <w:spacing w:val="-3"/>
        </w:rPr>
        <w:t> </w:t>
      </w:r>
      <w:r>
        <w:rPr/>
        <w:t>the model to a more parsimonious model. The parsimonious model would be gotten by estimating the equation of only those variables that appear significant in the over-parametized ECM. The table below shows the result of the parsimonious model estimated.</w:t>
      </w:r>
    </w:p>
    <w:p>
      <w:pPr>
        <w:pStyle w:val="BodyText"/>
        <w:spacing w:line="482" w:lineRule="auto" w:before="1"/>
        <w:ind w:left="1563" w:right="3485"/>
        <w:rPr>
          <w:rFonts w:ascii="Cambria"/>
        </w:rPr>
      </w:pPr>
      <w:r>
        <w:rPr>
          <w:rFonts w:ascii="Cambria"/>
          <w:b/>
        </w:rPr>
        <w:t>Table</w:t>
      </w:r>
      <w:r>
        <w:rPr>
          <w:rFonts w:ascii="Cambria"/>
          <w:b/>
          <w:spacing w:val="-4"/>
        </w:rPr>
        <w:t> </w:t>
      </w:r>
      <w:r>
        <w:rPr>
          <w:rFonts w:ascii="Cambria"/>
          <w:b/>
        </w:rPr>
        <w:t>4.18.2</w:t>
      </w:r>
      <w:r>
        <w:rPr>
          <w:rFonts w:ascii="Cambria"/>
          <w:b/>
          <w:spacing w:val="-5"/>
        </w:rPr>
        <w:t> </w:t>
      </w:r>
      <w:r>
        <w:rPr>
          <w:rFonts w:ascii="Cambria"/>
        </w:rPr>
        <w:t>Parsimonious</w:t>
      </w:r>
      <w:r>
        <w:rPr>
          <w:rFonts w:ascii="Cambria"/>
          <w:spacing w:val="-4"/>
        </w:rPr>
        <w:t> </w:t>
      </w:r>
      <w:r>
        <w:rPr>
          <w:rFonts w:ascii="Cambria"/>
        </w:rPr>
        <w:t>Model</w:t>
      </w:r>
      <w:r>
        <w:rPr>
          <w:rFonts w:ascii="Cambria"/>
          <w:spacing w:val="-5"/>
        </w:rPr>
        <w:t> </w:t>
      </w:r>
      <w:r>
        <w:rPr>
          <w:rFonts w:ascii="Cambria"/>
        </w:rPr>
        <w:t>(ECM</w:t>
      </w:r>
      <w:r>
        <w:rPr>
          <w:rFonts w:ascii="Cambria"/>
          <w:spacing w:val="-2"/>
        </w:rPr>
        <w:t> </w:t>
      </w:r>
      <w:r>
        <w:rPr>
          <w:rFonts w:ascii="Cambria"/>
        </w:rPr>
        <w:t>2)</w:t>
      </w:r>
      <w:r>
        <w:rPr>
          <w:rFonts w:ascii="Cambria"/>
          <w:spacing w:val="-5"/>
        </w:rPr>
        <w:t> </w:t>
      </w:r>
      <w:r>
        <w:rPr>
          <w:rFonts w:ascii="Cambria"/>
        </w:rPr>
        <w:t>For</w:t>
      </w:r>
      <w:r>
        <w:rPr>
          <w:rFonts w:ascii="Cambria"/>
          <w:spacing w:val="-5"/>
        </w:rPr>
        <w:t> </w:t>
      </w:r>
      <w:r>
        <w:rPr>
          <w:rFonts w:ascii="Cambria"/>
        </w:rPr>
        <w:t>Model</w:t>
      </w:r>
      <w:r>
        <w:rPr>
          <w:rFonts w:ascii="Cambria"/>
          <w:spacing w:val="-5"/>
        </w:rPr>
        <w:t> </w:t>
      </w:r>
      <w:r>
        <w:rPr>
          <w:rFonts w:ascii="Cambria"/>
        </w:rPr>
        <w:t>6b Dependent Variables = D (GDP, 2)</w:t>
      </w:r>
    </w:p>
    <w:tbl>
      <w:tblPr>
        <w:tblW w:w="0" w:type="auto"/>
        <w:jc w:val="left"/>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8"/>
        <w:gridCol w:w="1848"/>
        <w:gridCol w:w="2225"/>
        <w:gridCol w:w="1699"/>
        <w:gridCol w:w="1623"/>
      </w:tblGrid>
      <w:tr>
        <w:trPr>
          <w:trHeight w:val="1125" w:hRule="atLeast"/>
        </w:trPr>
        <w:tc>
          <w:tcPr>
            <w:tcW w:w="1848" w:type="dxa"/>
          </w:tcPr>
          <w:p>
            <w:pPr>
              <w:pStyle w:val="TableParagraph"/>
              <w:spacing w:before="278"/>
              <w:ind w:left="107"/>
              <w:rPr>
                <w:rFonts w:ascii="Cambria"/>
                <w:b/>
                <w:sz w:val="24"/>
              </w:rPr>
            </w:pPr>
            <w:r>
              <w:rPr>
                <w:rFonts w:ascii="Cambria"/>
                <w:b/>
                <w:spacing w:val="-2"/>
                <w:sz w:val="24"/>
              </w:rPr>
              <w:t>VARIABLES</w:t>
            </w:r>
          </w:p>
        </w:tc>
        <w:tc>
          <w:tcPr>
            <w:tcW w:w="1848" w:type="dxa"/>
          </w:tcPr>
          <w:p>
            <w:pPr>
              <w:pStyle w:val="TableParagraph"/>
              <w:spacing w:before="278"/>
              <w:ind w:right="139"/>
              <w:jc w:val="right"/>
              <w:rPr>
                <w:rFonts w:ascii="Cambria"/>
                <w:b/>
                <w:sz w:val="24"/>
              </w:rPr>
            </w:pPr>
            <w:r>
              <w:rPr>
                <w:rFonts w:ascii="Cambria"/>
                <w:b/>
                <w:spacing w:val="-2"/>
                <w:sz w:val="24"/>
              </w:rPr>
              <w:t>COEFFICIENTS</w:t>
            </w:r>
          </w:p>
        </w:tc>
        <w:tc>
          <w:tcPr>
            <w:tcW w:w="2225" w:type="dxa"/>
          </w:tcPr>
          <w:p>
            <w:pPr>
              <w:pStyle w:val="TableParagraph"/>
              <w:spacing w:line="276" w:lineRule="exact"/>
              <w:ind w:left="106"/>
              <w:rPr>
                <w:rFonts w:ascii="Cambria"/>
                <w:b/>
                <w:sz w:val="24"/>
              </w:rPr>
            </w:pPr>
            <w:r>
              <w:rPr>
                <w:rFonts w:ascii="Cambria"/>
                <w:b/>
                <w:spacing w:val="-2"/>
                <w:sz w:val="24"/>
              </w:rPr>
              <w:t>STANDARD</w:t>
            </w:r>
          </w:p>
          <w:p>
            <w:pPr>
              <w:pStyle w:val="TableParagraph"/>
              <w:spacing w:before="1"/>
              <w:rPr>
                <w:rFonts w:ascii="Cambria"/>
                <w:sz w:val="24"/>
              </w:rPr>
            </w:pPr>
          </w:p>
          <w:p>
            <w:pPr>
              <w:pStyle w:val="TableParagraph"/>
              <w:ind w:left="106"/>
              <w:rPr>
                <w:rFonts w:ascii="Cambria"/>
                <w:b/>
                <w:sz w:val="24"/>
              </w:rPr>
            </w:pPr>
            <w:r>
              <w:rPr>
                <w:rFonts w:ascii="Cambria"/>
                <w:b/>
                <w:spacing w:val="-2"/>
                <w:sz w:val="24"/>
              </w:rPr>
              <w:t>ERROR</w:t>
            </w:r>
          </w:p>
        </w:tc>
        <w:tc>
          <w:tcPr>
            <w:tcW w:w="1699" w:type="dxa"/>
          </w:tcPr>
          <w:p>
            <w:pPr>
              <w:pStyle w:val="TableParagraph"/>
              <w:spacing w:line="276" w:lineRule="exact"/>
              <w:ind w:left="106"/>
              <w:rPr>
                <w:rFonts w:ascii="Cambria"/>
                <w:b/>
                <w:sz w:val="24"/>
              </w:rPr>
            </w:pPr>
            <w:r>
              <w:rPr>
                <w:rFonts w:ascii="Cambria"/>
                <w:b/>
                <w:spacing w:val="-5"/>
                <w:sz w:val="24"/>
              </w:rPr>
              <w:t>T-</w:t>
            </w:r>
          </w:p>
          <w:p>
            <w:pPr>
              <w:pStyle w:val="TableParagraph"/>
              <w:spacing w:before="1"/>
              <w:rPr>
                <w:rFonts w:ascii="Cambria"/>
                <w:sz w:val="24"/>
              </w:rPr>
            </w:pPr>
          </w:p>
          <w:p>
            <w:pPr>
              <w:pStyle w:val="TableParagraph"/>
              <w:ind w:left="106"/>
              <w:rPr>
                <w:rFonts w:ascii="Cambria"/>
                <w:b/>
                <w:sz w:val="24"/>
              </w:rPr>
            </w:pPr>
            <w:r>
              <w:rPr>
                <w:rFonts w:ascii="Cambria"/>
                <w:b/>
                <w:spacing w:val="-2"/>
                <w:sz w:val="24"/>
              </w:rPr>
              <w:t>STATISTICS</w:t>
            </w:r>
          </w:p>
        </w:tc>
        <w:tc>
          <w:tcPr>
            <w:tcW w:w="1623" w:type="dxa"/>
          </w:tcPr>
          <w:p>
            <w:pPr>
              <w:pStyle w:val="TableParagraph"/>
              <w:spacing w:line="276" w:lineRule="exact"/>
              <w:ind w:left="109"/>
              <w:rPr>
                <w:rFonts w:ascii="Cambria"/>
                <w:b/>
                <w:sz w:val="24"/>
              </w:rPr>
            </w:pPr>
            <w:r>
              <w:rPr>
                <w:rFonts w:ascii="Cambria"/>
                <w:b/>
                <w:spacing w:val="-4"/>
                <w:sz w:val="24"/>
              </w:rPr>
              <w:t>PROB</w:t>
            </w:r>
          </w:p>
          <w:p>
            <w:pPr>
              <w:pStyle w:val="TableParagraph"/>
              <w:spacing w:before="1"/>
              <w:rPr>
                <w:rFonts w:ascii="Cambria"/>
                <w:sz w:val="24"/>
              </w:rPr>
            </w:pPr>
          </w:p>
          <w:p>
            <w:pPr>
              <w:pStyle w:val="TableParagraph"/>
              <w:ind w:left="109"/>
              <w:rPr>
                <w:rFonts w:ascii="Cambria"/>
                <w:b/>
                <w:sz w:val="24"/>
              </w:rPr>
            </w:pPr>
            <w:r>
              <w:rPr>
                <w:rFonts w:ascii="Cambria"/>
                <w:b/>
                <w:spacing w:val="-2"/>
                <w:sz w:val="24"/>
              </w:rPr>
              <w:t>VALUE</w:t>
            </w:r>
          </w:p>
        </w:tc>
      </w:tr>
      <w:tr>
        <w:trPr>
          <w:trHeight w:val="208" w:hRule="atLeast"/>
        </w:trPr>
        <w:tc>
          <w:tcPr>
            <w:tcW w:w="1848" w:type="dxa"/>
          </w:tcPr>
          <w:p>
            <w:pPr>
              <w:pStyle w:val="TableParagraph"/>
              <w:spacing w:line="188" w:lineRule="exact"/>
              <w:ind w:left="321"/>
              <w:rPr>
                <w:sz w:val="18"/>
              </w:rPr>
            </w:pPr>
            <w:r>
              <w:rPr>
                <w:spacing w:val="-2"/>
                <w:sz w:val="18"/>
              </w:rPr>
              <w:t>D(EXTDEBT,2)</w:t>
            </w:r>
          </w:p>
        </w:tc>
        <w:tc>
          <w:tcPr>
            <w:tcW w:w="1848" w:type="dxa"/>
          </w:tcPr>
          <w:p>
            <w:pPr>
              <w:pStyle w:val="TableParagraph"/>
              <w:spacing w:line="188" w:lineRule="exact"/>
              <w:ind w:right="97"/>
              <w:jc w:val="right"/>
              <w:rPr>
                <w:sz w:val="18"/>
              </w:rPr>
            </w:pPr>
            <w:r>
              <w:rPr>
                <w:spacing w:val="-2"/>
                <w:sz w:val="18"/>
              </w:rPr>
              <w:t>0.039304</w:t>
            </w:r>
          </w:p>
        </w:tc>
        <w:tc>
          <w:tcPr>
            <w:tcW w:w="2225" w:type="dxa"/>
          </w:tcPr>
          <w:p>
            <w:pPr>
              <w:pStyle w:val="TableParagraph"/>
              <w:spacing w:line="188" w:lineRule="exact"/>
              <w:ind w:right="97"/>
              <w:jc w:val="right"/>
              <w:rPr>
                <w:sz w:val="18"/>
              </w:rPr>
            </w:pPr>
            <w:r>
              <w:rPr>
                <w:spacing w:val="-2"/>
                <w:sz w:val="18"/>
              </w:rPr>
              <w:t>0.010005</w:t>
            </w:r>
          </w:p>
        </w:tc>
        <w:tc>
          <w:tcPr>
            <w:tcW w:w="1699" w:type="dxa"/>
          </w:tcPr>
          <w:p>
            <w:pPr>
              <w:pStyle w:val="TableParagraph"/>
              <w:spacing w:line="188" w:lineRule="exact"/>
              <w:ind w:right="94"/>
              <w:jc w:val="right"/>
              <w:rPr>
                <w:sz w:val="18"/>
              </w:rPr>
            </w:pPr>
            <w:r>
              <w:rPr>
                <w:spacing w:val="-2"/>
                <w:sz w:val="18"/>
              </w:rPr>
              <w:t>3.928356</w:t>
            </w:r>
          </w:p>
        </w:tc>
        <w:tc>
          <w:tcPr>
            <w:tcW w:w="1623" w:type="dxa"/>
          </w:tcPr>
          <w:p>
            <w:pPr>
              <w:pStyle w:val="TableParagraph"/>
              <w:spacing w:line="188" w:lineRule="exact"/>
              <w:ind w:right="96"/>
              <w:jc w:val="right"/>
              <w:rPr>
                <w:sz w:val="18"/>
              </w:rPr>
            </w:pPr>
            <w:r>
              <w:rPr>
                <w:spacing w:val="-2"/>
                <w:sz w:val="18"/>
              </w:rPr>
              <w:t>0.0011</w:t>
            </w:r>
          </w:p>
        </w:tc>
      </w:tr>
      <w:tr>
        <w:trPr>
          <w:trHeight w:val="206" w:hRule="atLeast"/>
        </w:trPr>
        <w:tc>
          <w:tcPr>
            <w:tcW w:w="1848" w:type="dxa"/>
          </w:tcPr>
          <w:p>
            <w:pPr>
              <w:pStyle w:val="TableParagraph"/>
              <w:spacing w:line="186" w:lineRule="exact"/>
              <w:ind w:left="585"/>
              <w:rPr>
                <w:sz w:val="18"/>
              </w:rPr>
            </w:pPr>
            <w:r>
              <w:rPr>
                <w:spacing w:val="-2"/>
                <w:sz w:val="18"/>
              </w:rPr>
              <w:t>D(DFI,2)</w:t>
            </w:r>
          </w:p>
        </w:tc>
        <w:tc>
          <w:tcPr>
            <w:tcW w:w="1848" w:type="dxa"/>
          </w:tcPr>
          <w:p>
            <w:pPr>
              <w:pStyle w:val="TableParagraph"/>
              <w:spacing w:line="186" w:lineRule="exact"/>
              <w:ind w:right="97"/>
              <w:jc w:val="right"/>
              <w:rPr>
                <w:sz w:val="18"/>
              </w:rPr>
            </w:pPr>
            <w:r>
              <w:rPr>
                <w:spacing w:val="-2"/>
                <w:sz w:val="18"/>
              </w:rPr>
              <w:t>0.048641</w:t>
            </w:r>
          </w:p>
        </w:tc>
        <w:tc>
          <w:tcPr>
            <w:tcW w:w="2225" w:type="dxa"/>
          </w:tcPr>
          <w:p>
            <w:pPr>
              <w:pStyle w:val="TableParagraph"/>
              <w:spacing w:line="186" w:lineRule="exact"/>
              <w:ind w:right="97"/>
              <w:jc w:val="right"/>
              <w:rPr>
                <w:sz w:val="18"/>
              </w:rPr>
            </w:pPr>
            <w:r>
              <w:rPr>
                <w:spacing w:val="-2"/>
                <w:sz w:val="18"/>
              </w:rPr>
              <w:t>0.044182</w:t>
            </w:r>
          </w:p>
        </w:tc>
        <w:tc>
          <w:tcPr>
            <w:tcW w:w="1699" w:type="dxa"/>
          </w:tcPr>
          <w:p>
            <w:pPr>
              <w:pStyle w:val="TableParagraph"/>
              <w:spacing w:line="186" w:lineRule="exact"/>
              <w:ind w:right="94"/>
              <w:jc w:val="right"/>
              <w:rPr>
                <w:sz w:val="18"/>
              </w:rPr>
            </w:pPr>
            <w:r>
              <w:rPr>
                <w:spacing w:val="-2"/>
                <w:sz w:val="18"/>
              </w:rPr>
              <w:t>1.100933</w:t>
            </w:r>
          </w:p>
        </w:tc>
        <w:tc>
          <w:tcPr>
            <w:tcW w:w="1623" w:type="dxa"/>
          </w:tcPr>
          <w:p>
            <w:pPr>
              <w:pStyle w:val="TableParagraph"/>
              <w:spacing w:line="186" w:lineRule="exact"/>
              <w:ind w:right="96"/>
              <w:jc w:val="right"/>
              <w:rPr>
                <w:sz w:val="18"/>
              </w:rPr>
            </w:pPr>
            <w:r>
              <w:rPr>
                <w:spacing w:val="-2"/>
                <w:sz w:val="18"/>
              </w:rPr>
              <w:t>0.2863</w:t>
            </w:r>
          </w:p>
        </w:tc>
      </w:tr>
      <w:tr>
        <w:trPr>
          <w:trHeight w:val="208" w:hRule="atLeast"/>
        </w:trPr>
        <w:tc>
          <w:tcPr>
            <w:tcW w:w="1848" w:type="dxa"/>
          </w:tcPr>
          <w:p>
            <w:pPr>
              <w:pStyle w:val="TableParagraph"/>
              <w:spacing w:line="188" w:lineRule="exact"/>
              <w:ind w:left="545"/>
              <w:rPr>
                <w:sz w:val="18"/>
              </w:rPr>
            </w:pPr>
            <w:r>
              <w:rPr>
                <w:spacing w:val="-2"/>
                <w:sz w:val="18"/>
              </w:rPr>
              <w:t>D(CAB,2)</w:t>
            </w:r>
          </w:p>
        </w:tc>
        <w:tc>
          <w:tcPr>
            <w:tcW w:w="1848" w:type="dxa"/>
          </w:tcPr>
          <w:p>
            <w:pPr>
              <w:pStyle w:val="TableParagraph"/>
              <w:spacing w:line="188" w:lineRule="exact"/>
              <w:ind w:right="97"/>
              <w:jc w:val="right"/>
              <w:rPr>
                <w:sz w:val="18"/>
              </w:rPr>
            </w:pPr>
            <w:r>
              <w:rPr>
                <w:spacing w:val="-2"/>
                <w:sz w:val="18"/>
              </w:rPr>
              <w:t>0.086991</w:t>
            </w:r>
          </w:p>
        </w:tc>
        <w:tc>
          <w:tcPr>
            <w:tcW w:w="2225" w:type="dxa"/>
          </w:tcPr>
          <w:p>
            <w:pPr>
              <w:pStyle w:val="TableParagraph"/>
              <w:spacing w:line="188" w:lineRule="exact"/>
              <w:ind w:right="97"/>
              <w:jc w:val="right"/>
              <w:rPr>
                <w:sz w:val="18"/>
              </w:rPr>
            </w:pPr>
            <w:r>
              <w:rPr>
                <w:spacing w:val="-2"/>
                <w:sz w:val="18"/>
              </w:rPr>
              <w:t>0.019127</w:t>
            </w:r>
          </w:p>
        </w:tc>
        <w:tc>
          <w:tcPr>
            <w:tcW w:w="1699" w:type="dxa"/>
          </w:tcPr>
          <w:p>
            <w:pPr>
              <w:pStyle w:val="TableParagraph"/>
              <w:spacing w:line="188" w:lineRule="exact"/>
              <w:ind w:right="94"/>
              <w:jc w:val="right"/>
              <w:rPr>
                <w:sz w:val="18"/>
              </w:rPr>
            </w:pPr>
            <w:r>
              <w:rPr>
                <w:spacing w:val="-2"/>
                <w:sz w:val="18"/>
              </w:rPr>
              <w:t>4.548066</w:t>
            </w:r>
          </w:p>
        </w:tc>
        <w:tc>
          <w:tcPr>
            <w:tcW w:w="1623" w:type="dxa"/>
          </w:tcPr>
          <w:p>
            <w:pPr>
              <w:pStyle w:val="TableParagraph"/>
              <w:spacing w:line="188" w:lineRule="exact"/>
              <w:ind w:right="96"/>
              <w:jc w:val="right"/>
              <w:rPr>
                <w:sz w:val="18"/>
              </w:rPr>
            </w:pPr>
            <w:r>
              <w:rPr>
                <w:spacing w:val="-2"/>
                <w:sz w:val="18"/>
              </w:rPr>
              <w:t>0.0003</w:t>
            </w:r>
          </w:p>
        </w:tc>
      </w:tr>
      <w:tr>
        <w:trPr>
          <w:trHeight w:val="206" w:hRule="atLeast"/>
        </w:trPr>
        <w:tc>
          <w:tcPr>
            <w:tcW w:w="1848" w:type="dxa"/>
          </w:tcPr>
          <w:p>
            <w:pPr>
              <w:pStyle w:val="TableParagraph"/>
              <w:spacing w:line="186" w:lineRule="exact"/>
              <w:ind w:left="432"/>
              <w:rPr>
                <w:sz w:val="18"/>
              </w:rPr>
            </w:pPr>
            <w:r>
              <w:rPr>
                <w:sz w:val="18"/>
              </w:rPr>
              <w:t>D(RES(-</w:t>
            </w:r>
            <w:r>
              <w:rPr>
                <w:spacing w:val="-2"/>
                <w:sz w:val="18"/>
              </w:rPr>
              <w:t>1),2)</w:t>
            </w:r>
          </w:p>
        </w:tc>
        <w:tc>
          <w:tcPr>
            <w:tcW w:w="1848" w:type="dxa"/>
          </w:tcPr>
          <w:p>
            <w:pPr>
              <w:pStyle w:val="TableParagraph"/>
              <w:spacing w:line="186" w:lineRule="exact"/>
              <w:ind w:right="97"/>
              <w:jc w:val="right"/>
              <w:rPr>
                <w:sz w:val="18"/>
              </w:rPr>
            </w:pPr>
            <w:r>
              <w:rPr>
                <w:sz w:val="18"/>
              </w:rPr>
              <w:t>-</w:t>
            </w:r>
            <w:r>
              <w:rPr>
                <w:spacing w:val="-2"/>
                <w:sz w:val="18"/>
              </w:rPr>
              <w:t>0.026153</w:t>
            </w:r>
          </w:p>
        </w:tc>
        <w:tc>
          <w:tcPr>
            <w:tcW w:w="2225" w:type="dxa"/>
          </w:tcPr>
          <w:p>
            <w:pPr>
              <w:pStyle w:val="TableParagraph"/>
              <w:spacing w:line="186" w:lineRule="exact"/>
              <w:ind w:right="97"/>
              <w:jc w:val="right"/>
              <w:rPr>
                <w:sz w:val="18"/>
              </w:rPr>
            </w:pPr>
            <w:r>
              <w:rPr>
                <w:spacing w:val="-2"/>
                <w:sz w:val="18"/>
              </w:rPr>
              <w:t>0.016566</w:t>
            </w:r>
          </w:p>
        </w:tc>
        <w:tc>
          <w:tcPr>
            <w:tcW w:w="1699" w:type="dxa"/>
          </w:tcPr>
          <w:p>
            <w:pPr>
              <w:pStyle w:val="TableParagraph"/>
              <w:spacing w:line="186" w:lineRule="exact"/>
              <w:ind w:right="94"/>
              <w:jc w:val="right"/>
              <w:rPr>
                <w:sz w:val="18"/>
              </w:rPr>
            </w:pPr>
            <w:r>
              <w:rPr>
                <w:sz w:val="18"/>
              </w:rPr>
              <w:t>-</w:t>
            </w:r>
            <w:r>
              <w:rPr>
                <w:spacing w:val="-2"/>
                <w:sz w:val="18"/>
              </w:rPr>
              <w:t>1.578742</w:t>
            </w:r>
          </w:p>
        </w:tc>
        <w:tc>
          <w:tcPr>
            <w:tcW w:w="1623" w:type="dxa"/>
          </w:tcPr>
          <w:p>
            <w:pPr>
              <w:pStyle w:val="TableParagraph"/>
              <w:spacing w:line="186" w:lineRule="exact"/>
              <w:ind w:right="96"/>
              <w:jc w:val="right"/>
              <w:rPr>
                <w:sz w:val="18"/>
              </w:rPr>
            </w:pPr>
            <w:r>
              <w:rPr>
                <w:spacing w:val="-2"/>
                <w:sz w:val="18"/>
              </w:rPr>
              <w:t>0.1328</w:t>
            </w:r>
          </w:p>
        </w:tc>
      </w:tr>
      <w:tr>
        <w:trPr>
          <w:trHeight w:val="205" w:hRule="atLeast"/>
        </w:trPr>
        <w:tc>
          <w:tcPr>
            <w:tcW w:w="1848" w:type="dxa"/>
          </w:tcPr>
          <w:p>
            <w:pPr>
              <w:pStyle w:val="TableParagraph"/>
              <w:spacing w:line="186" w:lineRule="exact"/>
              <w:ind w:left="377"/>
              <w:rPr>
                <w:sz w:val="18"/>
              </w:rPr>
            </w:pPr>
            <w:r>
              <w:rPr>
                <w:spacing w:val="-2"/>
                <w:sz w:val="18"/>
              </w:rPr>
              <w:t>D(NEXTAS,2)</w:t>
            </w:r>
          </w:p>
        </w:tc>
        <w:tc>
          <w:tcPr>
            <w:tcW w:w="1848" w:type="dxa"/>
          </w:tcPr>
          <w:p>
            <w:pPr>
              <w:pStyle w:val="TableParagraph"/>
              <w:spacing w:line="186" w:lineRule="exact"/>
              <w:ind w:right="97"/>
              <w:jc w:val="right"/>
              <w:rPr>
                <w:sz w:val="18"/>
              </w:rPr>
            </w:pPr>
            <w:r>
              <w:rPr>
                <w:spacing w:val="-2"/>
                <w:sz w:val="18"/>
              </w:rPr>
              <w:t>0.006925</w:t>
            </w:r>
          </w:p>
        </w:tc>
        <w:tc>
          <w:tcPr>
            <w:tcW w:w="2225" w:type="dxa"/>
          </w:tcPr>
          <w:p>
            <w:pPr>
              <w:pStyle w:val="TableParagraph"/>
              <w:spacing w:line="186" w:lineRule="exact"/>
              <w:ind w:right="97"/>
              <w:jc w:val="right"/>
              <w:rPr>
                <w:sz w:val="18"/>
              </w:rPr>
            </w:pPr>
            <w:r>
              <w:rPr>
                <w:spacing w:val="-2"/>
                <w:sz w:val="18"/>
              </w:rPr>
              <w:t>0.048297</w:t>
            </w:r>
          </w:p>
        </w:tc>
        <w:tc>
          <w:tcPr>
            <w:tcW w:w="1699" w:type="dxa"/>
          </w:tcPr>
          <w:p>
            <w:pPr>
              <w:pStyle w:val="TableParagraph"/>
              <w:spacing w:line="186" w:lineRule="exact"/>
              <w:ind w:right="94"/>
              <w:jc w:val="right"/>
              <w:rPr>
                <w:sz w:val="18"/>
              </w:rPr>
            </w:pPr>
            <w:r>
              <w:rPr>
                <w:spacing w:val="-2"/>
                <w:sz w:val="18"/>
              </w:rPr>
              <w:t>0.143374</w:t>
            </w:r>
          </w:p>
        </w:tc>
        <w:tc>
          <w:tcPr>
            <w:tcW w:w="1623" w:type="dxa"/>
          </w:tcPr>
          <w:p>
            <w:pPr>
              <w:pStyle w:val="TableParagraph"/>
              <w:spacing w:line="186" w:lineRule="exact"/>
              <w:ind w:right="96"/>
              <w:jc w:val="right"/>
              <w:rPr>
                <w:sz w:val="18"/>
              </w:rPr>
            </w:pPr>
            <w:r>
              <w:rPr>
                <w:spacing w:val="-2"/>
                <w:sz w:val="18"/>
              </w:rPr>
              <w:t>0.8886</w:t>
            </w:r>
          </w:p>
        </w:tc>
      </w:tr>
      <w:tr>
        <w:trPr>
          <w:trHeight w:val="352" w:hRule="atLeast"/>
        </w:trPr>
        <w:tc>
          <w:tcPr>
            <w:tcW w:w="1848" w:type="dxa"/>
          </w:tcPr>
          <w:p>
            <w:pPr>
              <w:pStyle w:val="TableParagraph"/>
              <w:spacing w:line="204" w:lineRule="exact"/>
              <w:ind w:left="593"/>
              <w:rPr>
                <w:sz w:val="18"/>
              </w:rPr>
            </w:pPr>
            <w:r>
              <w:rPr>
                <w:sz w:val="18"/>
              </w:rPr>
              <w:t>ECM(-</w:t>
            </w:r>
            <w:r>
              <w:rPr>
                <w:spacing w:val="-5"/>
                <w:sz w:val="18"/>
              </w:rPr>
              <w:t>1)</w:t>
            </w:r>
          </w:p>
        </w:tc>
        <w:tc>
          <w:tcPr>
            <w:tcW w:w="1848" w:type="dxa"/>
          </w:tcPr>
          <w:p>
            <w:pPr>
              <w:pStyle w:val="TableParagraph"/>
              <w:spacing w:line="204" w:lineRule="exact"/>
              <w:ind w:right="97"/>
              <w:jc w:val="right"/>
              <w:rPr>
                <w:sz w:val="18"/>
              </w:rPr>
            </w:pPr>
            <w:r>
              <w:rPr>
                <w:sz w:val="18"/>
              </w:rPr>
              <w:t>-</w:t>
            </w:r>
            <w:r>
              <w:rPr>
                <w:spacing w:val="-2"/>
                <w:sz w:val="18"/>
              </w:rPr>
              <w:t>0.652764</w:t>
            </w:r>
          </w:p>
        </w:tc>
        <w:tc>
          <w:tcPr>
            <w:tcW w:w="2225" w:type="dxa"/>
          </w:tcPr>
          <w:p>
            <w:pPr>
              <w:pStyle w:val="TableParagraph"/>
              <w:spacing w:line="204" w:lineRule="exact"/>
              <w:ind w:right="97"/>
              <w:jc w:val="right"/>
              <w:rPr>
                <w:sz w:val="18"/>
              </w:rPr>
            </w:pPr>
            <w:r>
              <w:rPr>
                <w:spacing w:val="-2"/>
                <w:sz w:val="18"/>
              </w:rPr>
              <w:t>0.170723</w:t>
            </w:r>
          </w:p>
        </w:tc>
        <w:tc>
          <w:tcPr>
            <w:tcW w:w="1699" w:type="dxa"/>
          </w:tcPr>
          <w:p>
            <w:pPr>
              <w:pStyle w:val="TableParagraph"/>
              <w:spacing w:line="204" w:lineRule="exact"/>
              <w:ind w:right="94"/>
              <w:jc w:val="right"/>
              <w:rPr>
                <w:sz w:val="18"/>
              </w:rPr>
            </w:pPr>
            <w:r>
              <w:rPr>
                <w:sz w:val="18"/>
              </w:rPr>
              <w:t>-</w:t>
            </w:r>
            <w:r>
              <w:rPr>
                <w:spacing w:val="-2"/>
                <w:sz w:val="18"/>
              </w:rPr>
              <w:t>3.712769</w:t>
            </w:r>
          </w:p>
        </w:tc>
        <w:tc>
          <w:tcPr>
            <w:tcW w:w="1623" w:type="dxa"/>
          </w:tcPr>
          <w:p>
            <w:pPr>
              <w:pStyle w:val="TableParagraph"/>
              <w:spacing w:line="204" w:lineRule="exact"/>
              <w:ind w:right="96"/>
              <w:jc w:val="right"/>
              <w:rPr>
                <w:sz w:val="18"/>
              </w:rPr>
            </w:pPr>
            <w:r>
              <w:rPr>
                <w:spacing w:val="-2"/>
                <w:sz w:val="18"/>
              </w:rPr>
              <w:t>0.0011</w:t>
            </w:r>
          </w:p>
        </w:tc>
      </w:tr>
    </w:tbl>
    <w:p>
      <w:pPr>
        <w:tabs>
          <w:tab w:pos="3592" w:val="left" w:leader="none"/>
        </w:tabs>
        <w:spacing w:before="0"/>
        <w:ind w:left="1563" w:right="0" w:firstLine="0"/>
        <w:jc w:val="left"/>
        <w:rPr>
          <w:rFonts w:ascii="Arial MT"/>
          <w:sz w:val="20"/>
        </w:rPr>
      </w:pPr>
      <w:r>
        <w:rPr>
          <w:rFonts w:ascii="Cambria"/>
          <w:b/>
          <w:sz w:val="24"/>
        </w:rPr>
        <w:t>R</w:t>
      </w:r>
      <w:r>
        <w:rPr>
          <w:rFonts w:ascii="Cambria"/>
          <w:b/>
          <w:position w:val="6"/>
          <w:sz w:val="16"/>
        </w:rPr>
        <w:t>2</w:t>
      </w:r>
      <w:r>
        <w:rPr>
          <w:rFonts w:ascii="Cambria"/>
          <w:b/>
          <w:spacing w:val="17"/>
          <w:position w:val="6"/>
          <w:sz w:val="16"/>
        </w:rPr>
        <w:t> </w:t>
      </w:r>
      <w:r>
        <w:rPr>
          <w:rFonts w:ascii="Cambria"/>
          <w:b/>
          <w:sz w:val="24"/>
        </w:rPr>
        <w:t>=</w:t>
      </w:r>
      <w:r>
        <w:rPr>
          <w:rFonts w:ascii="Cambria"/>
          <w:b/>
          <w:spacing w:val="-1"/>
          <w:sz w:val="24"/>
        </w:rPr>
        <w:t> </w:t>
      </w:r>
      <w:r>
        <w:rPr>
          <w:rFonts w:ascii="Arial MT"/>
          <w:spacing w:val="-2"/>
          <w:sz w:val="20"/>
        </w:rPr>
        <w:t>0.698553</w:t>
      </w:r>
      <w:r>
        <w:rPr>
          <w:rFonts w:ascii="Arial MT"/>
          <w:sz w:val="20"/>
        </w:rPr>
        <w:tab/>
      </w:r>
      <w:r>
        <w:rPr>
          <w:rFonts w:ascii="Cambria"/>
          <w:b/>
          <w:sz w:val="24"/>
        </w:rPr>
        <w:t>DW-STATISTICS</w:t>
      </w:r>
      <w:r>
        <w:rPr>
          <w:rFonts w:ascii="Cambria"/>
          <w:b/>
          <w:spacing w:val="-6"/>
          <w:sz w:val="24"/>
        </w:rPr>
        <w:t> </w:t>
      </w:r>
      <w:r>
        <w:rPr>
          <w:rFonts w:ascii="Cambria"/>
          <w:sz w:val="24"/>
        </w:rPr>
        <w:t>=</w:t>
      </w:r>
      <w:r>
        <w:rPr>
          <w:rFonts w:ascii="Cambria"/>
          <w:spacing w:val="-6"/>
          <w:sz w:val="24"/>
        </w:rPr>
        <w:t> </w:t>
      </w:r>
      <w:r>
        <w:rPr>
          <w:rFonts w:ascii="Arial MT"/>
          <w:spacing w:val="-2"/>
          <w:sz w:val="20"/>
        </w:rPr>
        <w:t>2.516736</w:t>
      </w:r>
    </w:p>
    <w:p>
      <w:pPr>
        <w:pStyle w:val="BodyText"/>
        <w:spacing w:before="47"/>
        <w:rPr>
          <w:rFonts w:ascii="Arial MT"/>
          <w:sz w:val="20"/>
        </w:rPr>
      </w:pPr>
    </w:p>
    <w:p>
      <w:pPr>
        <w:pStyle w:val="BodyText"/>
        <w:ind w:left="711"/>
        <w:jc w:val="both"/>
        <w:rPr>
          <w:b/>
        </w:rPr>
      </w:pPr>
      <w:r>
        <w:rPr/>
        <w:t>Source:</w:t>
      </w:r>
      <w:r>
        <w:rPr>
          <w:spacing w:val="-4"/>
        </w:rPr>
        <w:t> </w:t>
      </w:r>
      <w:r>
        <w:rPr/>
        <w:t>Computation,</w:t>
      </w:r>
      <w:r>
        <w:rPr>
          <w:spacing w:val="-1"/>
        </w:rPr>
        <w:t> </w:t>
      </w:r>
      <w:r>
        <w:rPr/>
        <w:t>using</w:t>
      </w:r>
      <w:r>
        <w:rPr>
          <w:spacing w:val="-5"/>
        </w:rPr>
        <w:t> </w:t>
      </w:r>
      <w:r>
        <w:rPr/>
        <w:t>E-view</w:t>
      </w:r>
      <w:r>
        <w:rPr>
          <w:spacing w:val="-1"/>
        </w:rPr>
        <w:t> </w:t>
      </w:r>
      <w:r>
        <w:rPr/>
        <w:t>statistical</w:t>
      </w:r>
      <w:r>
        <w:rPr>
          <w:spacing w:val="-1"/>
        </w:rPr>
        <w:t> </w:t>
      </w:r>
      <w:r>
        <w:rPr>
          <w:spacing w:val="-2"/>
        </w:rPr>
        <w:t>package</w:t>
      </w:r>
      <w:r>
        <w:rPr>
          <w:b/>
          <w:spacing w:val="-2"/>
        </w:rPr>
        <w:t>.</w:t>
      </w:r>
    </w:p>
    <w:p>
      <w:pPr>
        <w:pStyle w:val="BodyText"/>
        <w:spacing w:line="550" w:lineRule="atLeast" w:before="2"/>
        <w:ind w:left="711" w:right="473"/>
        <w:jc w:val="both"/>
      </w:pPr>
      <w:r>
        <w:rPr/>
        <w:t>From the result above, the coefficient of the ECM is further proven significant with it conformity to the over-parametized ECM. The value of the ECM shows a negative of -0.652764. This coefficient in it</w:t>
      </w:r>
      <w:r>
        <w:rPr>
          <w:spacing w:val="40"/>
        </w:rPr>
        <w:t> </w:t>
      </w:r>
      <w:r>
        <w:rPr/>
        <w:t>negative form implies that the speed of adjustment of any past deviation to long-run equilibrium in present period. It therefore indicates that the value of the GDP adjust more sharply to changes in the explanatory variables that it was in the over-parametized model.</w:t>
      </w:r>
    </w:p>
    <w:p>
      <w:pPr>
        <w:spacing w:after="0" w:line="550" w:lineRule="atLeast"/>
        <w:jc w:val="both"/>
        <w:sectPr>
          <w:pgSz w:w="11910" w:h="16840"/>
          <w:pgMar w:header="0" w:footer="979" w:top="1340" w:bottom="1240" w:left="280" w:right="0"/>
        </w:sectPr>
      </w:pPr>
    </w:p>
    <w:p>
      <w:pPr>
        <w:pStyle w:val="BodyText"/>
        <w:spacing w:line="480" w:lineRule="auto" w:before="60"/>
        <w:ind w:left="711" w:right="473"/>
        <w:jc w:val="both"/>
      </w:pPr>
      <w:r>
        <w:rPr/>
        <w:t>Furthermore, the table also reveals that only δRES is inversely related with GDP with a negative coefficient of 0.026153, while the remaining four variables (δEXTDEBT, DFI, CAB and δNEXTAS) maintained a direct relationship with GDP with their respective coefficients given as; 0.039304, 0.048641, 0.086991 and 0.006925. These therefore implies that an increase in the third variable (CAB) in the long-run will result</w:t>
      </w:r>
      <w:r>
        <w:rPr>
          <w:spacing w:val="80"/>
        </w:rPr>
        <w:t> </w:t>
      </w:r>
      <w:r>
        <w:rPr/>
        <w:t>into a decrease in the value of gross domestic product (GDP) while an increase in the value of any of the remaining four variables (δEXTDEBT, DFI, δRES and δNEXTAS) will result into an increase in the value of Gross Domestic Product on the long-run.</w:t>
      </w:r>
    </w:p>
    <w:p>
      <w:pPr>
        <w:pStyle w:val="BodyText"/>
        <w:spacing w:line="480" w:lineRule="auto" w:before="2"/>
        <w:ind w:left="711" w:right="474"/>
        <w:jc w:val="both"/>
      </w:pPr>
      <w:r>
        <w:rPr/>
        <w:t>The coefficient of multiple determinants (R</w:t>
      </w:r>
      <w:r>
        <w:rPr>
          <w:vertAlign w:val="superscript"/>
        </w:rPr>
        <w:t>2</w:t>
      </w:r>
      <w:r>
        <w:rPr>
          <w:vertAlign w:val="baseline"/>
        </w:rPr>
        <w:t>) showed an approximate value of 0.69 which implies that the variables that makes up the model can account for approximately 69% of the behaviour of gross domestic product (GDP). The remaining 31% can be linked to white noise which is usually captured by other variables not present in the model.</w:t>
      </w:r>
    </w:p>
    <w:p>
      <w:pPr>
        <w:pStyle w:val="Heading6"/>
        <w:numPr>
          <w:ilvl w:val="2"/>
          <w:numId w:val="29"/>
        </w:numPr>
        <w:tabs>
          <w:tab w:pos="1563" w:val="left" w:leader="none"/>
        </w:tabs>
        <w:spacing w:line="240" w:lineRule="auto" w:before="0" w:after="0"/>
        <w:ind w:left="1563" w:right="0" w:hanging="852"/>
        <w:jc w:val="both"/>
      </w:pPr>
      <w:r>
        <w:rPr/>
        <w:t>Tests</w:t>
      </w:r>
      <w:r>
        <w:rPr>
          <w:spacing w:val="-1"/>
        </w:rPr>
        <w:t> </w:t>
      </w:r>
      <w:r>
        <w:rPr/>
        <w:t>for</w:t>
      </w:r>
      <w:r>
        <w:rPr>
          <w:spacing w:val="-1"/>
        </w:rPr>
        <w:t> </w:t>
      </w:r>
      <w:r>
        <w:rPr/>
        <w:t>the</w:t>
      </w:r>
      <w:r>
        <w:rPr>
          <w:spacing w:val="-1"/>
        </w:rPr>
        <w:t> </w:t>
      </w:r>
      <w:r>
        <w:rPr/>
        <w:t>Statistical Significance</w:t>
      </w:r>
      <w:r>
        <w:rPr>
          <w:spacing w:val="-2"/>
        </w:rPr>
        <w:t> </w:t>
      </w:r>
      <w:r>
        <w:rPr/>
        <w:t>of</w:t>
      </w:r>
      <w:r>
        <w:rPr>
          <w:spacing w:val="1"/>
        </w:rPr>
        <w:t> </w:t>
      </w:r>
      <w:r>
        <w:rPr>
          <w:spacing w:val="-2"/>
        </w:rPr>
        <w:t>Parameters</w:t>
      </w:r>
    </w:p>
    <w:p>
      <w:pPr>
        <w:pStyle w:val="BodyText"/>
        <w:rPr>
          <w:b/>
        </w:rPr>
      </w:pPr>
    </w:p>
    <w:p>
      <w:pPr>
        <w:pStyle w:val="BodyText"/>
        <w:spacing w:line="480" w:lineRule="auto"/>
        <w:ind w:left="711" w:right="472"/>
        <w:jc w:val="both"/>
      </w:pPr>
      <w:r>
        <w:rPr/>
        <w:t>In testing for the statistical significance of each variable, the standard error test is usually employed in long- run</w:t>
      </w:r>
      <w:r>
        <w:rPr>
          <w:spacing w:val="-1"/>
        </w:rPr>
        <w:t> </w:t>
      </w:r>
      <w:r>
        <w:rPr/>
        <w:t>analysis.</w:t>
      </w:r>
      <w:r>
        <w:rPr>
          <w:spacing w:val="-1"/>
        </w:rPr>
        <w:t> </w:t>
      </w:r>
      <w:r>
        <w:rPr/>
        <w:t>This is</w:t>
      </w:r>
      <w:r>
        <w:rPr>
          <w:spacing w:val="-1"/>
        </w:rPr>
        <w:t> </w:t>
      </w:r>
      <w:r>
        <w:rPr/>
        <w:t>done by</w:t>
      </w:r>
      <w:r>
        <w:rPr>
          <w:spacing w:val="-4"/>
        </w:rPr>
        <w:t> </w:t>
      </w:r>
      <w:r>
        <w:rPr/>
        <w:t>comparing</w:t>
      </w:r>
      <w:r>
        <w:rPr>
          <w:spacing w:val="-4"/>
        </w:rPr>
        <w:t> </w:t>
      </w:r>
      <w:r>
        <w:rPr/>
        <w:t>the standard</w:t>
      </w:r>
      <w:r>
        <w:rPr>
          <w:spacing w:val="-1"/>
        </w:rPr>
        <w:t> </w:t>
      </w:r>
      <w:r>
        <w:rPr/>
        <w:t>error</w:t>
      </w:r>
      <w:r>
        <w:rPr>
          <w:spacing w:val="-3"/>
        </w:rPr>
        <w:t> </w:t>
      </w:r>
      <w:r>
        <w:rPr/>
        <w:t>statistics</w:t>
      </w:r>
      <w:r>
        <w:rPr>
          <w:spacing w:val="-1"/>
        </w:rPr>
        <w:t> </w:t>
      </w:r>
      <w:r>
        <w:rPr/>
        <w:t>with</w:t>
      </w:r>
      <w:r>
        <w:rPr>
          <w:spacing w:val="-1"/>
        </w:rPr>
        <w:t> </w:t>
      </w:r>
      <w:r>
        <w:rPr/>
        <w:t>half</w:t>
      </w:r>
      <w:r>
        <w:rPr>
          <w:spacing w:val="-1"/>
        </w:rPr>
        <w:t> </w:t>
      </w:r>
      <w:r>
        <w:rPr/>
        <w:t>the</w:t>
      </w:r>
      <w:r>
        <w:rPr>
          <w:spacing w:val="-2"/>
        </w:rPr>
        <w:t> </w:t>
      </w:r>
      <w:r>
        <w:rPr/>
        <w:t>coefficient</w:t>
      </w:r>
      <w:r>
        <w:rPr>
          <w:spacing w:val="-1"/>
        </w:rPr>
        <w:t> </w:t>
      </w:r>
      <w:r>
        <w:rPr/>
        <w:t>of each variable as given in the Johansen co-integration result in absolute terms. The table below displays the test</w:t>
      </w:r>
      <w:r>
        <w:rPr>
          <w:spacing w:val="40"/>
        </w:rPr>
        <w:t> </w:t>
      </w:r>
      <w:r>
        <w:rPr/>
        <w:t>accordingly in there absolute terms respectively.</w:t>
      </w:r>
    </w:p>
    <w:p>
      <w:pPr>
        <w:pStyle w:val="Heading6"/>
        <w:spacing w:before="1"/>
      </w:pPr>
      <w:r>
        <w:rPr/>
        <w:t>Table</w:t>
      </w:r>
      <w:r>
        <w:rPr>
          <w:spacing w:val="-3"/>
        </w:rPr>
        <w:t> </w:t>
      </w:r>
      <w:r>
        <w:rPr/>
        <w:t>4.18.3</w:t>
      </w:r>
      <w:r>
        <w:rPr>
          <w:spacing w:val="-1"/>
        </w:rPr>
        <w:t> </w:t>
      </w:r>
      <w:r>
        <w:rPr/>
        <w:t>Standard</w:t>
      </w:r>
      <w:r>
        <w:rPr>
          <w:spacing w:val="-3"/>
        </w:rPr>
        <w:t> </w:t>
      </w:r>
      <w:r>
        <w:rPr/>
        <w:t>Error</w:t>
      </w:r>
      <w:r>
        <w:rPr>
          <w:spacing w:val="-2"/>
        </w:rPr>
        <w:t> </w:t>
      </w:r>
      <w:r>
        <w:rPr/>
        <w:t>Test</w:t>
      </w:r>
      <w:r>
        <w:rPr>
          <w:spacing w:val="-1"/>
        </w:rPr>
        <w:t> </w:t>
      </w:r>
      <w:r>
        <w:rPr/>
        <w:t>for</w:t>
      </w:r>
      <w:r>
        <w:rPr>
          <w:spacing w:val="-2"/>
        </w:rPr>
        <w:t> </w:t>
      </w:r>
      <w:r>
        <w:rPr/>
        <w:t>Model </w:t>
      </w:r>
      <w:r>
        <w:rPr>
          <w:spacing w:val="-5"/>
        </w:rPr>
        <w:t>6B</w:t>
      </w:r>
    </w:p>
    <w:p>
      <w:pPr>
        <w:pStyle w:val="BodyText"/>
        <w:spacing w:before="46"/>
        <w:rPr>
          <w:b/>
          <w:sz w:val="20"/>
        </w:rPr>
      </w:pPr>
    </w:p>
    <w:tbl>
      <w:tblPr>
        <w:tblW w:w="0" w:type="auto"/>
        <w:jc w:val="left"/>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84"/>
        <w:gridCol w:w="1885"/>
        <w:gridCol w:w="2070"/>
        <w:gridCol w:w="2157"/>
        <w:gridCol w:w="1432"/>
      </w:tblGrid>
      <w:tr>
        <w:trPr>
          <w:trHeight w:val="1103" w:hRule="atLeast"/>
        </w:trPr>
        <w:tc>
          <w:tcPr>
            <w:tcW w:w="1784" w:type="dxa"/>
          </w:tcPr>
          <w:p>
            <w:pPr>
              <w:pStyle w:val="TableParagraph"/>
              <w:spacing w:before="275"/>
              <w:ind w:left="10" w:right="6"/>
              <w:jc w:val="center"/>
              <w:rPr>
                <w:b/>
                <w:sz w:val="24"/>
              </w:rPr>
            </w:pPr>
            <w:r>
              <w:rPr>
                <w:b/>
                <w:spacing w:val="-2"/>
                <w:sz w:val="24"/>
              </w:rPr>
              <w:t>VARIABLES</w:t>
            </w:r>
          </w:p>
        </w:tc>
        <w:tc>
          <w:tcPr>
            <w:tcW w:w="1885" w:type="dxa"/>
          </w:tcPr>
          <w:p>
            <w:pPr>
              <w:pStyle w:val="TableParagraph"/>
              <w:spacing w:before="275"/>
              <w:ind w:left="3" w:right="3"/>
              <w:jc w:val="center"/>
              <w:rPr>
                <w:b/>
                <w:sz w:val="24"/>
              </w:rPr>
            </w:pPr>
            <w:r>
              <w:rPr>
                <w:b/>
                <w:spacing w:val="-2"/>
                <w:sz w:val="24"/>
              </w:rPr>
              <w:t>COEFFICIENT</w:t>
            </w:r>
          </w:p>
        </w:tc>
        <w:tc>
          <w:tcPr>
            <w:tcW w:w="2070" w:type="dxa"/>
          </w:tcPr>
          <w:p>
            <w:pPr>
              <w:pStyle w:val="TableParagraph"/>
              <w:spacing w:before="275"/>
              <w:ind w:left="1"/>
              <w:jc w:val="center"/>
              <w:rPr>
                <w:b/>
                <w:sz w:val="24"/>
              </w:rPr>
            </w:pPr>
            <w:r>
              <w:rPr>
                <w:b/>
                <w:spacing w:val="-2"/>
                <w:sz w:val="24"/>
              </w:rPr>
              <w:t>COEFFICIENT/2</w:t>
            </w:r>
          </w:p>
        </w:tc>
        <w:tc>
          <w:tcPr>
            <w:tcW w:w="2157" w:type="dxa"/>
          </w:tcPr>
          <w:p>
            <w:pPr>
              <w:pStyle w:val="TableParagraph"/>
              <w:spacing w:line="275" w:lineRule="exact"/>
              <w:ind w:right="1"/>
              <w:jc w:val="center"/>
              <w:rPr>
                <w:b/>
                <w:sz w:val="24"/>
              </w:rPr>
            </w:pPr>
            <w:r>
              <w:rPr>
                <w:b/>
                <w:spacing w:val="-2"/>
                <w:sz w:val="24"/>
              </w:rPr>
              <w:t>STANDARD</w:t>
            </w:r>
          </w:p>
          <w:p>
            <w:pPr>
              <w:pStyle w:val="TableParagraph"/>
              <w:rPr>
                <w:b/>
                <w:sz w:val="24"/>
              </w:rPr>
            </w:pPr>
          </w:p>
          <w:p>
            <w:pPr>
              <w:pStyle w:val="TableParagraph"/>
              <w:ind w:left="1" w:right="1"/>
              <w:jc w:val="center"/>
              <w:rPr>
                <w:b/>
                <w:sz w:val="24"/>
              </w:rPr>
            </w:pPr>
            <w:r>
              <w:rPr>
                <w:b/>
                <w:spacing w:val="-2"/>
                <w:sz w:val="24"/>
              </w:rPr>
              <w:t>ERROR</w:t>
            </w:r>
          </w:p>
        </w:tc>
        <w:tc>
          <w:tcPr>
            <w:tcW w:w="1432" w:type="dxa"/>
          </w:tcPr>
          <w:p>
            <w:pPr>
              <w:pStyle w:val="TableParagraph"/>
              <w:spacing w:before="275"/>
              <w:ind w:left="1" w:right="1"/>
              <w:jc w:val="center"/>
              <w:rPr>
                <w:b/>
                <w:sz w:val="24"/>
              </w:rPr>
            </w:pPr>
            <w:r>
              <w:rPr>
                <w:b/>
                <w:spacing w:val="-2"/>
                <w:sz w:val="24"/>
              </w:rPr>
              <w:t>DECISION</w:t>
            </w:r>
          </w:p>
        </w:tc>
      </w:tr>
      <w:tr>
        <w:trPr>
          <w:trHeight w:val="552" w:hRule="atLeast"/>
        </w:trPr>
        <w:tc>
          <w:tcPr>
            <w:tcW w:w="1784" w:type="dxa"/>
          </w:tcPr>
          <w:p>
            <w:pPr>
              <w:pStyle w:val="TableParagraph"/>
              <w:spacing w:line="275" w:lineRule="exact"/>
              <w:ind w:left="10" w:right="4"/>
              <w:jc w:val="center"/>
              <w:rPr>
                <w:sz w:val="24"/>
              </w:rPr>
            </w:pPr>
            <w:r>
              <w:rPr>
                <w:spacing w:val="-2"/>
                <w:sz w:val="24"/>
              </w:rPr>
              <w:t>δEXTDEBT</w:t>
            </w:r>
          </w:p>
        </w:tc>
        <w:tc>
          <w:tcPr>
            <w:tcW w:w="1885" w:type="dxa"/>
          </w:tcPr>
          <w:p>
            <w:pPr>
              <w:pStyle w:val="TableParagraph"/>
              <w:spacing w:line="275" w:lineRule="exact"/>
              <w:ind w:left="3"/>
              <w:jc w:val="center"/>
              <w:rPr>
                <w:sz w:val="24"/>
              </w:rPr>
            </w:pPr>
            <w:r>
              <w:rPr>
                <w:spacing w:val="-2"/>
                <w:sz w:val="24"/>
              </w:rPr>
              <w:t>3.928356</w:t>
            </w:r>
          </w:p>
        </w:tc>
        <w:tc>
          <w:tcPr>
            <w:tcW w:w="2070" w:type="dxa"/>
          </w:tcPr>
          <w:p>
            <w:pPr>
              <w:pStyle w:val="TableParagraph"/>
              <w:spacing w:line="275" w:lineRule="exact"/>
              <w:ind w:left="1" w:right="1"/>
              <w:jc w:val="center"/>
              <w:rPr>
                <w:sz w:val="24"/>
              </w:rPr>
            </w:pPr>
            <w:r>
              <w:rPr>
                <w:spacing w:val="-2"/>
                <w:sz w:val="24"/>
              </w:rPr>
              <w:t>1.964178</w:t>
            </w:r>
          </w:p>
        </w:tc>
        <w:tc>
          <w:tcPr>
            <w:tcW w:w="2157" w:type="dxa"/>
          </w:tcPr>
          <w:p>
            <w:pPr>
              <w:pStyle w:val="TableParagraph"/>
              <w:spacing w:line="275" w:lineRule="exact"/>
              <w:ind w:left="1" w:right="1"/>
              <w:jc w:val="center"/>
              <w:rPr>
                <w:sz w:val="24"/>
              </w:rPr>
            </w:pPr>
            <w:r>
              <w:rPr>
                <w:spacing w:val="-2"/>
                <w:sz w:val="24"/>
              </w:rPr>
              <w:t>0.010005</w:t>
            </w:r>
          </w:p>
        </w:tc>
        <w:tc>
          <w:tcPr>
            <w:tcW w:w="1432" w:type="dxa"/>
          </w:tcPr>
          <w:p>
            <w:pPr>
              <w:pStyle w:val="TableParagraph"/>
              <w:spacing w:line="275" w:lineRule="exact"/>
              <w:ind w:right="1"/>
              <w:jc w:val="center"/>
              <w:rPr>
                <w:sz w:val="24"/>
              </w:rPr>
            </w:pPr>
            <w:r>
              <w:rPr>
                <w:spacing w:val="-2"/>
                <w:sz w:val="24"/>
              </w:rPr>
              <w:t>Significant</w:t>
            </w:r>
          </w:p>
        </w:tc>
      </w:tr>
      <w:tr>
        <w:trPr>
          <w:trHeight w:val="551" w:hRule="atLeast"/>
        </w:trPr>
        <w:tc>
          <w:tcPr>
            <w:tcW w:w="1784" w:type="dxa"/>
          </w:tcPr>
          <w:p>
            <w:pPr>
              <w:pStyle w:val="TableParagraph"/>
              <w:spacing w:line="275" w:lineRule="exact"/>
              <w:ind w:left="10"/>
              <w:jc w:val="center"/>
              <w:rPr>
                <w:sz w:val="24"/>
              </w:rPr>
            </w:pPr>
            <w:r>
              <w:rPr>
                <w:spacing w:val="-5"/>
                <w:sz w:val="24"/>
              </w:rPr>
              <w:t>DFI</w:t>
            </w:r>
          </w:p>
        </w:tc>
        <w:tc>
          <w:tcPr>
            <w:tcW w:w="1885" w:type="dxa"/>
          </w:tcPr>
          <w:p>
            <w:pPr>
              <w:pStyle w:val="TableParagraph"/>
              <w:spacing w:line="275" w:lineRule="exact"/>
              <w:ind w:left="3"/>
              <w:jc w:val="center"/>
              <w:rPr>
                <w:sz w:val="24"/>
              </w:rPr>
            </w:pPr>
            <w:r>
              <w:rPr>
                <w:spacing w:val="-2"/>
                <w:sz w:val="24"/>
              </w:rPr>
              <w:t>1.100933</w:t>
            </w:r>
          </w:p>
        </w:tc>
        <w:tc>
          <w:tcPr>
            <w:tcW w:w="2070" w:type="dxa"/>
          </w:tcPr>
          <w:p>
            <w:pPr>
              <w:pStyle w:val="TableParagraph"/>
              <w:spacing w:line="275" w:lineRule="exact"/>
              <w:ind w:left="1" w:right="1"/>
              <w:jc w:val="center"/>
              <w:rPr>
                <w:sz w:val="24"/>
              </w:rPr>
            </w:pPr>
            <w:r>
              <w:rPr>
                <w:spacing w:val="-2"/>
                <w:sz w:val="24"/>
              </w:rPr>
              <w:t>0.550467</w:t>
            </w:r>
          </w:p>
        </w:tc>
        <w:tc>
          <w:tcPr>
            <w:tcW w:w="2157" w:type="dxa"/>
          </w:tcPr>
          <w:p>
            <w:pPr>
              <w:pStyle w:val="TableParagraph"/>
              <w:spacing w:line="275" w:lineRule="exact"/>
              <w:ind w:left="1" w:right="1"/>
              <w:jc w:val="center"/>
              <w:rPr>
                <w:sz w:val="24"/>
              </w:rPr>
            </w:pPr>
            <w:r>
              <w:rPr>
                <w:spacing w:val="-2"/>
                <w:sz w:val="24"/>
              </w:rPr>
              <w:t>0.044182</w:t>
            </w:r>
          </w:p>
        </w:tc>
        <w:tc>
          <w:tcPr>
            <w:tcW w:w="1432" w:type="dxa"/>
          </w:tcPr>
          <w:p>
            <w:pPr>
              <w:pStyle w:val="TableParagraph"/>
              <w:spacing w:line="275" w:lineRule="exact"/>
              <w:ind w:right="1"/>
              <w:jc w:val="center"/>
              <w:rPr>
                <w:sz w:val="24"/>
              </w:rPr>
            </w:pPr>
            <w:r>
              <w:rPr>
                <w:spacing w:val="-2"/>
                <w:sz w:val="24"/>
              </w:rPr>
              <w:t>Significant</w:t>
            </w:r>
          </w:p>
        </w:tc>
      </w:tr>
      <w:tr>
        <w:trPr>
          <w:trHeight w:val="551" w:hRule="atLeast"/>
        </w:trPr>
        <w:tc>
          <w:tcPr>
            <w:tcW w:w="1784" w:type="dxa"/>
          </w:tcPr>
          <w:p>
            <w:pPr>
              <w:pStyle w:val="TableParagraph"/>
              <w:spacing w:line="275" w:lineRule="exact"/>
              <w:ind w:left="10" w:right="4"/>
              <w:jc w:val="center"/>
              <w:rPr>
                <w:sz w:val="24"/>
              </w:rPr>
            </w:pPr>
            <w:r>
              <w:rPr>
                <w:spacing w:val="-5"/>
                <w:sz w:val="24"/>
              </w:rPr>
              <w:t>CAB</w:t>
            </w:r>
          </w:p>
        </w:tc>
        <w:tc>
          <w:tcPr>
            <w:tcW w:w="1885" w:type="dxa"/>
          </w:tcPr>
          <w:p>
            <w:pPr>
              <w:pStyle w:val="TableParagraph"/>
              <w:spacing w:line="275" w:lineRule="exact"/>
              <w:ind w:left="3"/>
              <w:jc w:val="center"/>
              <w:rPr>
                <w:sz w:val="24"/>
              </w:rPr>
            </w:pPr>
            <w:r>
              <w:rPr>
                <w:spacing w:val="-2"/>
                <w:sz w:val="24"/>
              </w:rPr>
              <w:t>4.548066</w:t>
            </w:r>
          </w:p>
        </w:tc>
        <w:tc>
          <w:tcPr>
            <w:tcW w:w="2070" w:type="dxa"/>
          </w:tcPr>
          <w:p>
            <w:pPr>
              <w:pStyle w:val="TableParagraph"/>
              <w:spacing w:line="275" w:lineRule="exact"/>
              <w:ind w:left="1" w:right="1"/>
              <w:jc w:val="center"/>
              <w:rPr>
                <w:sz w:val="24"/>
              </w:rPr>
            </w:pPr>
            <w:r>
              <w:rPr>
                <w:spacing w:val="-2"/>
                <w:sz w:val="24"/>
              </w:rPr>
              <w:t>2.274033</w:t>
            </w:r>
          </w:p>
        </w:tc>
        <w:tc>
          <w:tcPr>
            <w:tcW w:w="2157" w:type="dxa"/>
          </w:tcPr>
          <w:p>
            <w:pPr>
              <w:pStyle w:val="TableParagraph"/>
              <w:spacing w:line="275" w:lineRule="exact"/>
              <w:ind w:left="1" w:right="1"/>
              <w:jc w:val="center"/>
              <w:rPr>
                <w:sz w:val="24"/>
              </w:rPr>
            </w:pPr>
            <w:r>
              <w:rPr>
                <w:spacing w:val="-2"/>
                <w:sz w:val="24"/>
              </w:rPr>
              <w:t>0.019127</w:t>
            </w:r>
          </w:p>
        </w:tc>
        <w:tc>
          <w:tcPr>
            <w:tcW w:w="1432" w:type="dxa"/>
          </w:tcPr>
          <w:p>
            <w:pPr>
              <w:pStyle w:val="TableParagraph"/>
              <w:spacing w:line="275" w:lineRule="exact"/>
              <w:ind w:right="1"/>
              <w:jc w:val="center"/>
              <w:rPr>
                <w:sz w:val="24"/>
              </w:rPr>
            </w:pPr>
            <w:r>
              <w:rPr>
                <w:spacing w:val="-2"/>
                <w:sz w:val="24"/>
              </w:rPr>
              <w:t>Significant</w:t>
            </w:r>
          </w:p>
        </w:tc>
      </w:tr>
      <w:tr>
        <w:trPr>
          <w:trHeight w:val="551" w:hRule="atLeast"/>
        </w:trPr>
        <w:tc>
          <w:tcPr>
            <w:tcW w:w="1784" w:type="dxa"/>
          </w:tcPr>
          <w:p>
            <w:pPr>
              <w:pStyle w:val="TableParagraph"/>
              <w:spacing w:line="275" w:lineRule="exact"/>
              <w:ind w:left="10" w:right="2"/>
              <w:jc w:val="center"/>
              <w:rPr>
                <w:sz w:val="24"/>
              </w:rPr>
            </w:pPr>
            <w:r>
              <w:rPr>
                <w:spacing w:val="-4"/>
                <w:sz w:val="24"/>
              </w:rPr>
              <w:t>δRES</w:t>
            </w:r>
          </w:p>
        </w:tc>
        <w:tc>
          <w:tcPr>
            <w:tcW w:w="1885" w:type="dxa"/>
          </w:tcPr>
          <w:p>
            <w:pPr>
              <w:pStyle w:val="TableParagraph"/>
              <w:spacing w:line="275" w:lineRule="exact"/>
              <w:ind w:left="3" w:right="3"/>
              <w:jc w:val="center"/>
              <w:rPr>
                <w:sz w:val="24"/>
              </w:rPr>
            </w:pPr>
            <w:r>
              <w:rPr>
                <w:spacing w:val="-2"/>
                <w:sz w:val="24"/>
              </w:rPr>
              <w:t>-1.578742</w:t>
            </w:r>
          </w:p>
        </w:tc>
        <w:tc>
          <w:tcPr>
            <w:tcW w:w="2070" w:type="dxa"/>
          </w:tcPr>
          <w:p>
            <w:pPr>
              <w:pStyle w:val="TableParagraph"/>
              <w:spacing w:line="275" w:lineRule="exact"/>
              <w:ind w:left="1" w:right="1"/>
              <w:jc w:val="center"/>
              <w:rPr>
                <w:sz w:val="24"/>
              </w:rPr>
            </w:pPr>
            <w:r>
              <w:rPr>
                <w:spacing w:val="-2"/>
                <w:sz w:val="24"/>
              </w:rPr>
              <w:t>0.789371</w:t>
            </w:r>
          </w:p>
        </w:tc>
        <w:tc>
          <w:tcPr>
            <w:tcW w:w="2157" w:type="dxa"/>
          </w:tcPr>
          <w:p>
            <w:pPr>
              <w:pStyle w:val="TableParagraph"/>
              <w:spacing w:line="275" w:lineRule="exact"/>
              <w:ind w:left="1" w:right="1"/>
              <w:jc w:val="center"/>
              <w:rPr>
                <w:sz w:val="24"/>
              </w:rPr>
            </w:pPr>
            <w:r>
              <w:rPr>
                <w:spacing w:val="-2"/>
                <w:sz w:val="24"/>
              </w:rPr>
              <w:t>0.016566</w:t>
            </w:r>
          </w:p>
        </w:tc>
        <w:tc>
          <w:tcPr>
            <w:tcW w:w="1432" w:type="dxa"/>
          </w:tcPr>
          <w:p>
            <w:pPr>
              <w:pStyle w:val="TableParagraph"/>
              <w:spacing w:line="275" w:lineRule="exact"/>
              <w:ind w:right="1"/>
              <w:jc w:val="center"/>
              <w:rPr>
                <w:sz w:val="24"/>
              </w:rPr>
            </w:pPr>
            <w:r>
              <w:rPr>
                <w:spacing w:val="-2"/>
                <w:sz w:val="24"/>
              </w:rPr>
              <w:t>Significant</w:t>
            </w:r>
          </w:p>
        </w:tc>
      </w:tr>
      <w:tr>
        <w:trPr>
          <w:trHeight w:val="553" w:hRule="atLeast"/>
        </w:trPr>
        <w:tc>
          <w:tcPr>
            <w:tcW w:w="1784" w:type="dxa"/>
          </w:tcPr>
          <w:p>
            <w:pPr>
              <w:pStyle w:val="TableParagraph"/>
              <w:spacing w:before="1"/>
              <w:ind w:left="10" w:right="5"/>
              <w:jc w:val="center"/>
              <w:rPr>
                <w:sz w:val="24"/>
              </w:rPr>
            </w:pPr>
            <w:r>
              <w:rPr>
                <w:spacing w:val="-2"/>
                <w:sz w:val="24"/>
              </w:rPr>
              <w:t>δNEXAS</w:t>
            </w:r>
          </w:p>
        </w:tc>
        <w:tc>
          <w:tcPr>
            <w:tcW w:w="1885" w:type="dxa"/>
          </w:tcPr>
          <w:p>
            <w:pPr>
              <w:pStyle w:val="TableParagraph"/>
              <w:spacing w:before="1"/>
              <w:ind w:left="3"/>
              <w:jc w:val="center"/>
              <w:rPr>
                <w:sz w:val="24"/>
              </w:rPr>
            </w:pPr>
            <w:r>
              <w:rPr>
                <w:spacing w:val="-2"/>
                <w:sz w:val="24"/>
              </w:rPr>
              <w:t>0.006925</w:t>
            </w:r>
          </w:p>
        </w:tc>
        <w:tc>
          <w:tcPr>
            <w:tcW w:w="2070" w:type="dxa"/>
          </w:tcPr>
          <w:p>
            <w:pPr>
              <w:pStyle w:val="TableParagraph"/>
              <w:spacing w:before="1"/>
              <w:ind w:left="1" w:right="1"/>
              <w:jc w:val="center"/>
              <w:rPr>
                <w:sz w:val="24"/>
              </w:rPr>
            </w:pPr>
            <w:r>
              <w:rPr>
                <w:spacing w:val="-2"/>
                <w:sz w:val="24"/>
              </w:rPr>
              <w:t>0.003463</w:t>
            </w:r>
          </w:p>
        </w:tc>
        <w:tc>
          <w:tcPr>
            <w:tcW w:w="2157" w:type="dxa"/>
          </w:tcPr>
          <w:p>
            <w:pPr>
              <w:pStyle w:val="TableParagraph"/>
              <w:spacing w:before="1"/>
              <w:ind w:left="1" w:right="1"/>
              <w:jc w:val="center"/>
              <w:rPr>
                <w:sz w:val="24"/>
              </w:rPr>
            </w:pPr>
            <w:r>
              <w:rPr>
                <w:spacing w:val="-2"/>
                <w:sz w:val="24"/>
              </w:rPr>
              <w:t>0.170723</w:t>
            </w:r>
          </w:p>
        </w:tc>
        <w:tc>
          <w:tcPr>
            <w:tcW w:w="1432" w:type="dxa"/>
          </w:tcPr>
          <w:p>
            <w:pPr>
              <w:pStyle w:val="TableParagraph"/>
              <w:spacing w:before="1"/>
              <w:ind w:right="1"/>
              <w:jc w:val="center"/>
              <w:rPr>
                <w:sz w:val="24"/>
              </w:rPr>
            </w:pPr>
            <w:r>
              <w:rPr>
                <w:spacing w:val="-2"/>
                <w:sz w:val="24"/>
              </w:rPr>
              <w:t>Insignificant</w:t>
            </w:r>
          </w:p>
        </w:tc>
      </w:tr>
    </w:tbl>
    <w:p>
      <w:pPr>
        <w:pStyle w:val="BodyText"/>
        <w:spacing w:before="2"/>
        <w:ind w:left="711"/>
        <w:jc w:val="both"/>
        <w:rPr>
          <w:b/>
        </w:rPr>
      </w:pPr>
      <w:r>
        <w:rPr/>
        <w:t>Source:</w:t>
      </w:r>
      <w:r>
        <w:rPr>
          <w:spacing w:val="-4"/>
        </w:rPr>
        <w:t> </w:t>
      </w:r>
      <w:r>
        <w:rPr/>
        <w:t>Computation,</w:t>
      </w:r>
      <w:r>
        <w:rPr>
          <w:spacing w:val="-1"/>
        </w:rPr>
        <w:t> </w:t>
      </w:r>
      <w:r>
        <w:rPr/>
        <w:t>using</w:t>
      </w:r>
      <w:r>
        <w:rPr>
          <w:spacing w:val="-5"/>
        </w:rPr>
        <w:t> </w:t>
      </w:r>
      <w:r>
        <w:rPr/>
        <w:t>E-view</w:t>
      </w:r>
      <w:r>
        <w:rPr>
          <w:spacing w:val="-1"/>
        </w:rPr>
        <w:t> </w:t>
      </w:r>
      <w:r>
        <w:rPr/>
        <w:t>statistical</w:t>
      </w:r>
      <w:r>
        <w:rPr>
          <w:spacing w:val="-1"/>
        </w:rPr>
        <w:t> </w:t>
      </w:r>
      <w:r>
        <w:rPr>
          <w:spacing w:val="-2"/>
        </w:rPr>
        <w:t>package</w:t>
      </w:r>
      <w:r>
        <w:rPr>
          <w:b/>
          <w:spacing w:val="-2"/>
        </w:rPr>
        <w:t>.</w:t>
      </w:r>
    </w:p>
    <w:p>
      <w:pPr>
        <w:spacing w:after="0"/>
        <w:jc w:val="both"/>
        <w:sectPr>
          <w:pgSz w:w="11910" w:h="16840"/>
          <w:pgMar w:header="0" w:footer="979" w:top="1360" w:bottom="1240" w:left="280" w:right="0"/>
        </w:sectPr>
      </w:pPr>
    </w:p>
    <w:p>
      <w:pPr>
        <w:pStyle w:val="BodyText"/>
        <w:spacing w:line="480" w:lineRule="auto" w:before="60"/>
        <w:ind w:left="711" w:right="473"/>
        <w:jc w:val="both"/>
      </w:pPr>
      <w:r>
        <w:rPr/>
        <w:t>The table above indicates that all variables except δNEXTAS are statistically significant. This implies that all the explanatory variables are statistically significant in the explanation of the determination of Gross Domestic Product.</w:t>
      </w:r>
    </w:p>
    <w:p>
      <w:pPr>
        <w:pStyle w:val="BodyText"/>
        <w:spacing w:line="480" w:lineRule="auto"/>
        <w:ind w:left="711" w:right="472"/>
        <w:jc w:val="both"/>
      </w:pPr>
      <w:r>
        <w:rPr>
          <w:b/>
          <w:position w:val="2"/>
        </w:rPr>
        <w:t>Validation and testing of hypotheses</w:t>
      </w:r>
      <w:r>
        <w:rPr>
          <w:position w:val="2"/>
        </w:rPr>
        <w:t>: The</w:t>
      </w:r>
      <w:r>
        <w:rPr>
          <w:spacing w:val="-2"/>
          <w:position w:val="2"/>
        </w:rPr>
        <w:t> </w:t>
      </w:r>
      <w:r>
        <w:rPr>
          <w:position w:val="2"/>
        </w:rPr>
        <w:t>second hypothesis (Ho</w:t>
      </w:r>
      <w:r>
        <w:rPr>
          <w:sz w:val="16"/>
        </w:rPr>
        <w:t>2</w:t>
      </w:r>
      <w:r>
        <w:rPr>
          <w:position w:val="2"/>
        </w:rPr>
        <w:t>)</w:t>
      </w:r>
      <w:r>
        <w:rPr>
          <w:spacing w:val="-1"/>
          <w:position w:val="2"/>
        </w:rPr>
        <w:t> </w:t>
      </w:r>
      <w:r>
        <w:rPr>
          <w:position w:val="2"/>
        </w:rPr>
        <w:t>was tested</w:t>
      </w:r>
      <w:r>
        <w:rPr>
          <w:spacing w:val="-1"/>
          <w:position w:val="2"/>
        </w:rPr>
        <w:t> </w:t>
      </w:r>
      <w:r>
        <w:rPr>
          <w:position w:val="2"/>
        </w:rPr>
        <w:t>under the</w:t>
      </w:r>
      <w:r>
        <w:rPr>
          <w:spacing w:val="-1"/>
          <w:position w:val="2"/>
        </w:rPr>
        <w:t> </w:t>
      </w:r>
      <w:r>
        <w:rPr>
          <w:position w:val="2"/>
        </w:rPr>
        <w:t>Morgan Guaranty </w:t>
      </w:r>
      <w:r>
        <w:rPr/>
        <w:t>Trust version of (1986) of model 6B. The</w:t>
      </w:r>
      <w:r>
        <w:rPr>
          <w:spacing w:val="-2"/>
        </w:rPr>
        <w:t> </w:t>
      </w:r>
      <w:r>
        <w:rPr/>
        <w:t>hypothesis tested the ecffect of capital flight on economic growth. The hypothesis is re-stated in the null form as follows;</w:t>
      </w:r>
    </w:p>
    <w:p>
      <w:pPr>
        <w:pStyle w:val="Heading6"/>
        <w:spacing w:line="274" w:lineRule="exact"/>
        <w:rPr>
          <w:b w:val="0"/>
        </w:rPr>
      </w:pPr>
      <w:r>
        <w:rPr>
          <w:position w:val="1"/>
        </w:rPr>
        <w:t>H</w:t>
      </w:r>
      <w:r>
        <w:rPr>
          <w:sz w:val="16"/>
        </w:rPr>
        <w:t>02</w:t>
      </w:r>
      <w:r>
        <w:rPr>
          <w:position w:val="1"/>
        </w:rPr>
        <w:t>:</w:t>
      </w:r>
      <w:r>
        <w:rPr>
          <w:spacing w:val="57"/>
          <w:position w:val="1"/>
        </w:rPr>
        <w:t>  </w:t>
      </w:r>
      <w:r>
        <w:rPr>
          <w:position w:val="1"/>
        </w:rPr>
        <w:t>Capital</w:t>
      </w:r>
      <w:r>
        <w:rPr>
          <w:spacing w:val="-1"/>
          <w:position w:val="1"/>
        </w:rPr>
        <w:t> </w:t>
      </w:r>
      <w:r>
        <w:rPr>
          <w:position w:val="1"/>
        </w:rPr>
        <w:t>flight</w:t>
      </w:r>
      <w:r>
        <w:rPr>
          <w:spacing w:val="-1"/>
          <w:position w:val="1"/>
        </w:rPr>
        <w:t> </w:t>
      </w:r>
      <w:r>
        <w:rPr>
          <w:position w:val="1"/>
        </w:rPr>
        <w:t>has</w:t>
      </w:r>
      <w:r>
        <w:rPr>
          <w:spacing w:val="-3"/>
          <w:position w:val="1"/>
        </w:rPr>
        <w:t> </w:t>
      </w:r>
      <w:r>
        <w:rPr>
          <w:position w:val="1"/>
        </w:rPr>
        <w:t>no</w:t>
      </w:r>
      <w:r>
        <w:rPr>
          <w:spacing w:val="-2"/>
          <w:position w:val="1"/>
        </w:rPr>
        <w:t> </w:t>
      </w:r>
      <w:r>
        <w:rPr>
          <w:position w:val="1"/>
        </w:rPr>
        <w:t>significant</w:t>
      </w:r>
      <w:r>
        <w:rPr>
          <w:spacing w:val="-1"/>
          <w:position w:val="1"/>
        </w:rPr>
        <w:t> </w:t>
      </w:r>
      <w:r>
        <w:rPr>
          <w:position w:val="1"/>
        </w:rPr>
        <w:t>effect</w:t>
      </w:r>
      <w:r>
        <w:rPr>
          <w:spacing w:val="-1"/>
          <w:position w:val="1"/>
        </w:rPr>
        <w:t> </w:t>
      </w:r>
      <w:r>
        <w:rPr>
          <w:position w:val="1"/>
        </w:rPr>
        <w:t>on</w:t>
      </w:r>
      <w:r>
        <w:rPr>
          <w:spacing w:val="1"/>
          <w:position w:val="1"/>
        </w:rPr>
        <w:t> </w:t>
      </w:r>
      <w:r>
        <w:rPr>
          <w:position w:val="1"/>
        </w:rPr>
        <w:t>the</w:t>
      </w:r>
      <w:r>
        <w:rPr>
          <w:spacing w:val="-2"/>
          <w:position w:val="1"/>
        </w:rPr>
        <w:t> </w:t>
      </w:r>
      <w:r>
        <w:rPr>
          <w:position w:val="1"/>
        </w:rPr>
        <w:t>Nigeria’s</w:t>
      </w:r>
      <w:r>
        <w:rPr>
          <w:spacing w:val="1"/>
          <w:position w:val="1"/>
        </w:rPr>
        <w:t> </w:t>
      </w:r>
      <w:r>
        <w:rPr>
          <w:position w:val="1"/>
        </w:rPr>
        <w:t>economic</w:t>
      </w:r>
      <w:r>
        <w:rPr>
          <w:spacing w:val="1"/>
          <w:position w:val="1"/>
        </w:rPr>
        <w:t> </w:t>
      </w:r>
      <w:r>
        <w:rPr>
          <w:spacing w:val="-2"/>
          <w:position w:val="1"/>
        </w:rPr>
        <w:t>growth</w:t>
      </w:r>
      <w:r>
        <w:rPr>
          <w:b w:val="0"/>
          <w:spacing w:val="-2"/>
          <w:position w:val="1"/>
        </w:rPr>
        <w:t>.</w:t>
      </w:r>
    </w:p>
    <w:p>
      <w:pPr>
        <w:pStyle w:val="BodyText"/>
        <w:spacing w:before="1"/>
      </w:pPr>
    </w:p>
    <w:p>
      <w:pPr>
        <w:pStyle w:val="BodyText"/>
        <w:spacing w:line="480" w:lineRule="auto"/>
        <w:ind w:left="711" w:right="472"/>
        <w:jc w:val="both"/>
      </w:pPr>
      <w:r>
        <w:rPr/>
        <w:t>Since δEXTDEBT, DFI, CAB and δRES are significant; they impact positively on economic growth. Basecally, these variables are classified as political and economic factors, debt volatility</w:t>
      </w:r>
      <w:r>
        <w:rPr>
          <w:spacing w:val="-3"/>
        </w:rPr>
        <w:t> </w:t>
      </w:r>
      <w:r>
        <w:rPr/>
        <w:t>represents political factor and DFI, CAB and δRES represent economic factors. The result shows</w:t>
      </w:r>
      <w:r>
        <w:rPr>
          <w:spacing w:val="40"/>
        </w:rPr>
        <w:t> </w:t>
      </w:r>
      <w:r>
        <w:rPr/>
        <w:t>that financial institutional variable represented by NEXTAS did not contribute positively towards economic growth during the period. This is because an increase in the net foreign assets of domestic banks connotes capital outflow from the domestic economy to other Countries. Based on the above results, the alternative hypothesis is accepted for For δEXTDEBT, DFI, CAB and δRES because they are statistically significant in explaning the behaviour of economic growth represented by GDP while the null alternative is accepted for δNEXTAS that is not statistically significant in explaning the behaviour of GDP.</w:t>
      </w:r>
    </w:p>
    <w:p>
      <w:pPr>
        <w:pStyle w:val="BodyText"/>
      </w:pPr>
    </w:p>
    <w:p>
      <w:pPr>
        <w:pStyle w:val="BodyText"/>
        <w:spacing w:before="1"/>
      </w:pPr>
    </w:p>
    <w:p>
      <w:pPr>
        <w:pStyle w:val="Heading6"/>
        <w:ind w:left="773"/>
      </w:pPr>
      <w:r>
        <w:rPr/>
        <w:t>4.9.4.</w:t>
      </w:r>
      <w:r>
        <w:rPr>
          <w:spacing w:val="-1"/>
        </w:rPr>
        <w:t> </w:t>
      </w:r>
      <w:r>
        <w:rPr/>
        <w:t>Tests</w:t>
      </w:r>
      <w:r>
        <w:rPr>
          <w:spacing w:val="-1"/>
        </w:rPr>
        <w:t> </w:t>
      </w:r>
      <w:r>
        <w:rPr/>
        <w:t>for</w:t>
      </w:r>
      <w:r>
        <w:rPr>
          <w:spacing w:val="-2"/>
        </w:rPr>
        <w:t> </w:t>
      </w:r>
      <w:r>
        <w:rPr/>
        <w:t>Overall Significance</w:t>
      </w:r>
      <w:r>
        <w:rPr>
          <w:spacing w:val="-3"/>
        </w:rPr>
        <w:t> </w:t>
      </w:r>
      <w:r>
        <w:rPr/>
        <w:t>of Model</w:t>
      </w:r>
      <w:r>
        <w:rPr>
          <w:spacing w:val="-1"/>
        </w:rPr>
        <w:t> </w:t>
      </w:r>
      <w:r>
        <w:rPr/>
        <w:t>6B</w:t>
      </w:r>
      <w:r>
        <w:rPr>
          <w:spacing w:val="3"/>
        </w:rPr>
        <w:t> </w:t>
      </w:r>
      <w:r>
        <w:rPr/>
        <w:t>(f-</w:t>
      </w:r>
      <w:r>
        <w:rPr>
          <w:spacing w:val="-2"/>
        </w:rPr>
        <w:t>test)</w:t>
      </w:r>
    </w:p>
    <w:p>
      <w:pPr>
        <w:pStyle w:val="BodyText"/>
        <w:rPr>
          <w:b/>
        </w:rPr>
      </w:pPr>
    </w:p>
    <w:p>
      <w:pPr>
        <w:pStyle w:val="BodyText"/>
        <w:ind w:left="711"/>
        <w:jc w:val="both"/>
      </w:pPr>
      <w:r>
        <w:rPr/>
        <w:t>Base</w:t>
      </w:r>
      <w:r>
        <w:rPr>
          <w:spacing w:val="7"/>
        </w:rPr>
        <w:t> </w:t>
      </w:r>
      <w:r>
        <w:rPr/>
        <w:t>on</w:t>
      </w:r>
      <w:r>
        <w:rPr>
          <w:spacing w:val="8"/>
        </w:rPr>
        <w:t> </w:t>
      </w:r>
      <w:r>
        <w:rPr/>
        <w:t>the</w:t>
      </w:r>
      <w:r>
        <w:rPr>
          <w:spacing w:val="9"/>
        </w:rPr>
        <w:t> </w:t>
      </w:r>
      <w:r>
        <w:rPr/>
        <w:t>F-caculated</w:t>
      </w:r>
      <w:r>
        <w:rPr>
          <w:spacing w:val="10"/>
        </w:rPr>
        <w:t> </w:t>
      </w:r>
      <w:r>
        <w:rPr/>
        <w:t>and</w:t>
      </w:r>
      <w:r>
        <w:rPr>
          <w:spacing w:val="9"/>
        </w:rPr>
        <w:t> </w:t>
      </w:r>
      <w:r>
        <w:rPr/>
        <w:t>F-tabulated</w:t>
      </w:r>
      <w:r>
        <w:rPr>
          <w:spacing w:val="8"/>
        </w:rPr>
        <w:t> </w:t>
      </w:r>
      <w:r>
        <w:rPr/>
        <w:t>values,</w:t>
      </w:r>
      <w:r>
        <w:rPr>
          <w:spacing w:val="9"/>
        </w:rPr>
        <w:t> </w:t>
      </w:r>
      <w:r>
        <w:rPr/>
        <w:t>the</w:t>
      </w:r>
      <w:r>
        <w:rPr>
          <w:spacing w:val="7"/>
        </w:rPr>
        <w:t> </w:t>
      </w:r>
      <w:r>
        <w:rPr/>
        <w:t>F-statistical</w:t>
      </w:r>
      <w:r>
        <w:rPr>
          <w:spacing w:val="9"/>
        </w:rPr>
        <w:t> </w:t>
      </w:r>
      <w:r>
        <w:rPr/>
        <w:t>test</w:t>
      </w:r>
      <w:r>
        <w:rPr>
          <w:spacing w:val="8"/>
        </w:rPr>
        <w:t> </w:t>
      </w:r>
      <w:r>
        <w:rPr/>
        <w:t>is</w:t>
      </w:r>
      <w:r>
        <w:rPr>
          <w:spacing w:val="10"/>
        </w:rPr>
        <w:t> </w:t>
      </w:r>
      <w:r>
        <w:rPr/>
        <w:t>shown</w:t>
      </w:r>
      <w:r>
        <w:rPr>
          <w:spacing w:val="8"/>
        </w:rPr>
        <w:t> </w:t>
      </w:r>
      <w:r>
        <w:rPr/>
        <w:t>as:</w:t>
      </w:r>
      <w:r>
        <w:rPr>
          <w:spacing w:val="79"/>
        </w:rPr>
        <w:t> </w:t>
      </w:r>
      <w:r>
        <w:rPr/>
        <w:t>F-cal</w:t>
      </w:r>
      <w:r>
        <w:rPr>
          <w:spacing w:val="8"/>
        </w:rPr>
        <w:t> </w:t>
      </w:r>
      <w:r>
        <w:rPr/>
        <w:t>=</w:t>
      </w:r>
      <w:r>
        <w:rPr>
          <w:spacing w:val="8"/>
        </w:rPr>
        <w:t> </w:t>
      </w:r>
      <w:r>
        <w:rPr/>
        <w:t>697.0697,</w:t>
      </w:r>
      <w:r>
        <w:rPr>
          <w:spacing w:val="8"/>
        </w:rPr>
        <w:t> </w:t>
      </w:r>
      <w:r>
        <w:rPr/>
        <w:t>,</w:t>
      </w:r>
      <w:r>
        <w:rPr>
          <w:spacing w:val="9"/>
        </w:rPr>
        <w:t> </w:t>
      </w:r>
      <w:r>
        <w:rPr/>
        <w:t>F-</w:t>
      </w:r>
      <w:r>
        <w:rPr>
          <w:spacing w:val="-5"/>
        </w:rPr>
        <w:t>tab</w:t>
      </w:r>
    </w:p>
    <w:p>
      <w:pPr>
        <w:pStyle w:val="BodyText"/>
      </w:pPr>
    </w:p>
    <w:p>
      <w:pPr>
        <w:pStyle w:val="BodyText"/>
        <w:spacing w:line="477" w:lineRule="auto"/>
        <w:ind w:left="711" w:right="473"/>
        <w:jc w:val="both"/>
      </w:pPr>
      <w:r>
        <w:rPr/>
        <w:t>= 2.76. Since F-cal (697.0697) is greater than F-tab (2.76), the model is said to be statistically</w:t>
      </w:r>
      <w:r>
        <w:rPr>
          <w:spacing w:val="-2"/>
        </w:rPr>
        <w:t> </w:t>
      </w:r>
      <w:r>
        <w:rPr/>
        <w:t>significant in </w:t>
      </w:r>
      <w:r>
        <w:rPr>
          <w:position w:val="2"/>
        </w:rPr>
        <w:t>explaining the behaviour of GDP.</w:t>
      </w:r>
      <w:r>
        <w:rPr>
          <w:spacing w:val="40"/>
          <w:position w:val="2"/>
        </w:rPr>
        <w:t> </w:t>
      </w:r>
      <w:r>
        <w:rPr>
          <w:position w:val="2"/>
        </w:rPr>
        <w:t>We therefore accept the Alternate hypothesis (H</w:t>
      </w:r>
      <w:r>
        <w:rPr>
          <w:sz w:val="16"/>
        </w:rPr>
        <w:t>1</w:t>
      </w:r>
      <w:r>
        <w:rPr>
          <w:position w:val="2"/>
        </w:rPr>
        <w:t>) and reject the Null hypothesis (H</w:t>
      </w:r>
      <w:r>
        <w:rPr>
          <w:sz w:val="16"/>
        </w:rPr>
        <w:t>0</w:t>
      </w:r>
      <w:r>
        <w:rPr>
          <w:position w:val="2"/>
        </w:rPr>
        <w:t>).</w:t>
      </w:r>
    </w:p>
    <w:p>
      <w:pPr>
        <w:pStyle w:val="Heading6"/>
        <w:spacing w:before="4"/>
      </w:pPr>
      <w:r>
        <w:rPr/>
        <w:t>4.</w:t>
      </w:r>
      <w:r>
        <w:rPr>
          <w:spacing w:val="-3"/>
        </w:rPr>
        <w:t> </w:t>
      </w:r>
      <w:r>
        <w:rPr/>
        <w:t>9.5</w:t>
      </w:r>
      <w:r>
        <w:rPr>
          <w:spacing w:val="-1"/>
        </w:rPr>
        <w:t> </w:t>
      </w:r>
      <w:r>
        <w:rPr/>
        <w:t>Tests for</w:t>
      </w:r>
      <w:r>
        <w:rPr>
          <w:spacing w:val="-2"/>
        </w:rPr>
        <w:t> </w:t>
      </w:r>
      <w:r>
        <w:rPr/>
        <w:t>the Presence</w:t>
      </w:r>
      <w:r>
        <w:rPr>
          <w:spacing w:val="-2"/>
        </w:rPr>
        <w:t> </w:t>
      </w:r>
      <w:r>
        <w:rPr/>
        <w:t>of Autocorrelation in the </w:t>
      </w:r>
      <w:r>
        <w:rPr>
          <w:spacing w:val="-2"/>
        </w:rPr>
        <w:t>Model</w:t>
      </w:r>
    </w:p>
    <w:p>
      <w:pPr>
        <w:pStyle w:val="BodyText"/>
        <w:rPr>
          <w:b/>
        </w:rPr>
      </w:pPr>
    </w:p>
    <w:p>
      <w:pPr>
        <w:pStyle w:val="BodyText"/>
        <w:spacing w:line="480" w:lineRule="auto"/>
        <w:ind w:left="711" w:right="471"/>
        <w:jc w:val="both"/>
      </w:pPr>
      <w:r>
        <w:rPr/>
        <w:t>The presence of autocorrelation is tested using the Durbin Watson test. The DW statistics gotten from the parsimonious</w:t>
      </w:r>
      <w:r>
        <w:rPr>
          <w:spacing w:val="9"/>
        </w:rPr>
        <w:t> </w:t>
      </w:r>
      <w:r>
        <w:rPr/>
        <w:t>model</w:t>
      </w:r>
      <w:r>
        <w:rPr>
          <w:spacing w:val="13"/>
        </w:rPr>
        <w:t> </w:t>
      </w:r>
      <w:r>
        <w:rPr/>
        <w:t>was</w:t>
      </w:r>
      <w:r>
        <w:rPr>
          <w:spacing w:val="13"/>
        </w:rPr>
        <w:t> </w:t>
      </w:r>
      <w:r>
        <w:rPr/>
        <w:t>used</w:t>
      </w:r>
      <w:r>
        <w:rPr>
          <w:spacing w:val="11"/>
        </w:rPr>
        <w:t> </w:t>
      </w:r>
      <w:r>
        <w:rPr/>
        <w:t>in</w:t>
      </w:r>
      <w:r>
        <w:rPr>
          <w:spacing w:val="12"/>
        </w:rPr>
        <w:t> </w:t>
      </w:r>
      <w:r>
        <w:rPr/>
        <w:t>other</w:t>
      </w:r>
      <w:r>
        <w:rPr>
          <w:spacing w:val="9"/>
        </w:rPr>
        <w:t> </w:t>
      </w:r>
      <w:r>
        <w:rPr/>
        <w:t>to</w:t>
      </w:r>
      <w:r>
        <w:rPr>
          <w:spacing w:val="12"/>
        </w:rPr>
        <w:t> </w:t>
      </w:r>
      <w:r>
        <w:rPr/>
        <w:t>obtain</w:t>
      </w:r>
      <w:r>
        <w:rPr>
          <w:spacing w:val="11"/>
        </w:rPr>
        <w:t> </w:t>
      </w:r>
      <w:r>
        <w:rPr/>
        <w:t>the</w:t>
      </w:r>
      <w:r>
        <w:rPr>
          <w:spacing w:val="9"/>
        </w:rPr>
        <w:t> </w:t>
      </w:r>
      <w:r>
        <w:rPr/>
        <w:t>most</w:t>
      </w:r>
      <w:r>
        <w:rPr>
          <w:spacing w:val="12"/>
        </w:rPr>
        <w:t> </w:t>
      </w:r>
      <w:r>
        <w:rPr/>
        <w:t>reliable</w:t>
      </w:r>
      <w:r>
        <w:rPr>
          <w:spacing w:val="11"/>
        </w:rPr>
        <w:t> </w:t>
      </w:r>
      <w:r>
        <w:rPr/>
        <w:t>result</w:t>
      </w:r>
      <w:r>
        <w:rPr>
          <w:spacing w:val="11"/>
        </w:rPr>
        <w:t> </w:t>
      </w:r>
      <w:r>
        <w:rPr/>
        <w:t>after</w:t>
      </w:r>
      <w:r>
        <w:rPr>
          <w:spacing w:val="10"/>
        </w:rPr>
        <w:t> </w:t>
      </w:r>
      <w:r>
        <w:rPr/>
        <w:t>all</w:t>
      </w:r>
      <w:r>
        <w:rPr>
          <w:spacing w:val="12"/>
        </w:rPr>
        <w:t> </w:t>
      </w:r>
      <w:r>
        <w:rPr/>
        <w:t>adjustment</w:t>
      </w:r>
      <w:r>
        <w:rPr>
          <w:spacing w:val="10"/>
        </w:rPr>
        <w:t> </w:t>
      </w:r>
      <w:r>
        <w:rPr/>
        <w:t>has</w:t>
      </w:r>
      <w:r>
        <w:rPr>
          <w:spacing w:val="12"/>
        </w:rPr>
        <w:t> </w:t>
      </w:r>
      <w:r>
        <w:rPr/>
        <w:t>been</w:t>
      </w:r>
      <w:r>
        <w:rPr>
          <w:spacing w:val="11"/>
        </w:rPr>
        <w:t> </w:t>
      </w:r>
      <w:r>
        <w:rPr>
          <w:spacing w:val="-4"/>
        </w:rPr>
        <w:t>made</w:t>
      </w:r>
    </w:p>
    <w:p>
      <w:pPr>
        <w:pStyle w:val="BodyText"/>
        <w:spacing w:before="1"/>
        <w:ind w:left="711"/>
        <w:jc w:val="both"/>
      </w:pPr>
      <w:r>
        <w:rPr/>
        <w:t>using</w:t>
      </w:r>
      <w:r>
        <w:rPr>
          <w:spacing w:val="-3"/>
        </w:rPr>
        <w:t> </w:t>
      </w:r>
      <w:r>
        <w:rPr/>
        <w:t>the following</w:t>
      </w:r>
      <w:r>
        <w:rPr>
          <w:spacing w:val="-3"/>
        </w:rPr>
        <w:t> </w:t>
      </w:r>
      <w:r>
        <w:rPr/>
        <w:t>variables:</w:t>
      </w:r>
      <w:r>
        <w:rPr>
          <w:spacing w:val="1"/>
        </w:rPr>
        <w:t> </w:t>
      </w:r>
      <w:r>
        <w:rPr/>
        <w:t>DW statistics =</w:t>
      </w:r>
      <w:r>
        <w:rPr>
          <w:spacing w:val="-2"/>
        </w:rPr>
        <w:t> </w:t>
      </w:r>
      <w:r>
        <w:rPr/>
        <w:t>2.6561 </w:t>
      </w:r>
      <w:r>
        <w:rPr>
          <w:rFonts w:ascii="Cambria Math" w:hAnsi="Cambria Math"/>
        </w:rPr>
        <w:t>≃</w:t>
      </w:r>
      <w:r>
        <w:rPr>
          <w:rFonts w:ascii="Cambria Math" w:hAnsi="Cambria Math"/>
          <w:spacing w:val="8"/>
        </w:rPr>
        <w:t> </w:t>
      </w:r>
      <w:r>
        <w:rPr>
          <w:spacing w:val="-4"/>
        </w:rPr>
        <w:t>2.66</w:t>
      </w:r>
    </w:p>
    <w:p>
      <w:pPr>
        <w:spacing w:after="0"/>
        <w:jc w:val="both"/>
        <w:sectPr>
          <w:pgSz w:w="11910" w:h="16840"/>
          <w:pgMar w:header="0" w:footer="979" w:top="1360" w:bottom="1220" w:left="280" w:right="0"/>
        </w:sectPr>
      </w:pPr>
    </w:p>
    <w:p>
      <w:pPr>
        <w:pStyle w:val="BodyText"/>
        <w:spacing w:before="81"/>
        <w:ind w:left="711"/>
        <w:rPr>
          <w:rFonts w:ascii="Cambria" w:hAnsi="Cambria"/>
        </w:rPr>
      </w:pPr>
      <w:r>
        <w:rPr>
          <w:rFonts w:ascii="Cambria" w:hAnsi="Cambria"/>
          <w:position w:val="1"/>
        </w:rPr>
        <w:t>The</w:t>
      </w:r>
      <w:r>
        <w:rPr>
          <w:rFonts w:ascii="Cambria" w:hAnsi="Cambria"/>
          <w:spacing w:val="16"/>
          <w:position w:val="1"/>
        </w:rPr>
        <w:t> </w:t>
      </w:r>
      <w:r>
        <w:rPr>
          <w:rFonts w:ascii="Cambria" w:hAnsi="Cambria"/>
          <w:position w:val="1"/>
        </w:rPr>
        <w:t>degree</w:t>
      </w:r>
      <w:r>
        <w:rPr>
          <w:rFonts w:ascii="Cambria" w:hAnsi="Cambria"/>
          <w:spacing w:val="16"/>
          <w:position w:val="1"/>
        </w:rPr>
        <w:t> </w:t>
      </w:r>
      <w:r>
        <w:rPr>
          <w:rFonts w:ascii="Cambria" w:hAnsi="Cambria"/>
          <w:position w:val="1"/>
        </w:rPr>
        <w:t>of</w:t>
      </w:r>
      <w:r>
        <w:rPr>
          <w:rFonts w:ascii="Cambria" w:hAnsi="Cambria"/>
          <w:spacing w:val="14"/>
          <w:position w:val="1"/>
        </w:rPr>
        <w:t> </w:t>
      </w:r>
      <w:r>
        <w:rPr>
          <w:rFonts w:ascii="Cambria" w:hAnsi="Cambria"/>
          <w:position w:val="1"/>
        </w:rPr>
        <w:t>freedom</w:t>
      </w:r>
      <w:r>
        <w:rPr>
          <w:rFonts w:ascii="Cambria" w:hAnsi="Cambria"/>
          <w:spacing w:val="17"/>
          <w:position w:val="1"/>
        </w:rPr>
        <w:t> </w:t>
      </w:r>
      <w:r>
        <w:rPr>
          <w:rFonts w:ascii="Cambria" w:hAnsi="Cambria"/>
          <w:position w:val="1"/>
        </w:rPr>
        <w:t>=</w:t>
      </w:r>
      <w:r>
        <w:rPr>
          <w:rFonts w:ascii="Cambria" w:hAnsi="Cambria"/>
          <w:spacing w:val="15"/>
          <w:position w:val="1"/>
        </w:rPr>
        <w:t> </w:t>
      </w:r>
      <w:r>
        <w:rPr>
          <w:rFonts w:ascii="Cambria" w:hAnsi="Cambria"/>
          <w:position w:val="1"/>
        </w:rPr>
        <w:t>K’</w:t>
      </w:r>
      <w:r>
        <w:rPr>
          <w:rFonts w:ascii="Cambria" w:hAnsi="Cambria"/>
          <w:spacing w:val="15"/>
          <w:position w:val="1"/>
        </w:rPr>
        <w:t> </w:t>
      </w:r>
      <w:r>
        <w:rPr>
          <w:rFonts w:ascii="Cambria" w:hAnsi="Cambria"/>
          <w:position w:val="1"/>
        </w:rPr>
        <w:t>and</w:t>
      </w:r>
      <w:r>
        <w:rPr>
          <w:rFonts w:ascii="Cambria" w:hAnsi="Cambria"/>
          <w:spacing w:val="14"/>
          <w:position w:val="1"/>
        </w:rPr>
        <w:t> </w:t>
      </w:r>
      <w:r>
        <w:rPr>
          <w:rFonts w:ascii="Cambria" w:hAnsi="Cambria"/>
          <w:position w:val="1"/>
        </w:rPr>
        <w:t>=</w:t>
      </w:r>
      <w:r>
        <w:rPr>
          <w:rFonts w:ascii="Cambria" w:hAnsi="Cambria"/>
          <w:spacing w:val="14"/>
          <w:position w:val="1"/>
        </w:rPr>
        <w:t> </w:t>
      </w:r>
      <w:r>
        <w:rPr>
          <w:rFonts w:ascii="Cambria" w:hAnsi="Cambria"/>
          <w:position w:val="1"/>
        </w:rPr>
        <w:t>K</w:t>
      </w:r>
      <w:r>
        <w:rPr>
          <w:rFonts w:ascii="Cambria" w:hAnsi="Cambria"/>
          <w:spacing w:val="19"/>
          <w:position w:val="1"/>
        </w:rPr>
        <w:t> </w:t>
      </w:r>
      <w:r>
        <w:rPr>
          <w:rFonts w:ascii="Cambria" w:hAnsi="Cambria"/>
          <w:position w:val="1"/>
        </w:rPr>
        <w:t>–</w:t>
      </w:r>
      <w:r>
        <w:rPr>
          <w:rFonts w:ascii="Cambria" w:hAnsi="Cambria"/>
          <w:spacing w:val="16"/>
          <w:position w:val="1"/>
        </w:rPr>
        <w:t> </w:t>
      </w:r>
      <w:r>
        <w:rPr>
          <w:rFonts w:ascii="Cambria" w:hAnsi="Cambria"/>
          <w:position w:val="1"/>
        </w:rPr>
        <w:t>1</w:t>
      </w:r>
      <w:r>
        <w:rPr>
          <w:rFonts w:ascii="Cambria" w:hAnsi="Cambria"/>
          <w:spacing w:val="14"/>
          <w:position w:val="1"/>
        </w:rPr>
        <w:t> </w:t>
      </w:r>
      <w:r>
        <w:rPr>
          <w:rFonts w:ascii="Cambria" w:hAnsi="Cambria"/>
          <w:position w:val="1"/>
        </w:rPr>
        <w:t>=5</w:t>
      </w:r>
      <w:r>
        <w:rPr>
          <w:rFonts w:ascii="Cambria" w:hAnsi="Cambria"/>
          <w:spacing w:val="14"/>
          <w:position w:val="1"/>
        </w:rPr>
        <w:t> </w:t>
      </w:r>
      <w:r>
        <w:rPr>
          <w:rFonts w:ascii="Cambria" w:hAnsi="Cambria"/>
          <w:position w:val="1"/>
        </w:rPr>
        <w:t>–</w:t>
      </w:r>
      <w:r>
        <w:rPr>
          <w:rFonts w:ascii="Cambria" w:hAnsi="Cambria"/>
          <w:spacing w:val="15"/>
          <w:position w:val="1"/>
        </w:rPr>
        <w:t> </w:t>
      </w:r>
      <w:r>
        <w:rPr>
          <w:rFonts w:ascii="Cambria" w:hAnsi="Cambria"/>
          <w:position w:val="1"/>
        </w:rPr>
        <w:t>1</w:t>
      </w:r>
      <w:r>
        <w:rPr>
          <w:rFonts w:ascii="Cambria" w:hAnsi="Cambria"/>
          <w:spacing w:val="17"/>
          <w:position w:val="1"/>
        </w:rPr>
        <w:t> </w:t>
      </w:r>
      <w:r>
        <w:rPr>
          <w:rFonts w:ascii="Cambria" w:hAnsi="Cambria"/>
          <w:position w:val="1"/>
        </w:rPr>
        <w:t>=</w:t>
      </w:r>
      <w:r>
        <w:rPr>
          <w:rFonts w:ascii="Cambria" w:hAnsi="Cambria"/>
          <w:spacing w:val="15"/>
          <w:position w:val="1"/>
        </w:rPr>
        <w:t> </w:t>
      </w:r>
      <w:r>
        <w:rPr>
          <w:rFonts w:ascii="Cambria" w:hAnsi="Cambria"/>
          <w:position w:val="1"/>
        </w:rPr>
        <w:t>4</w:t>
      </w:r>
      <w:r>
        <w:rPr>
          <w:rFonts w:ascii="Cambria" w:hAnsi="Cambria"/>
          <w:spacing w:val="14"/>
          <w:position w:val="1"/>
        </w:rPr>
        <w:t> </w:t>
      </w:r>
      <w:r>
        <w:rPr>
          <w:rFonts w:ascii="Cambria" w:hAnsi="Cambria"/>
          <w:position w:val="1"/>
        </w:rPr>
        <w:t>and</w:t>
      </w:r>
      <w:r>
        <w:rPr>
          <w:rFonts w:ascii="Cambria" w:hAnsi="Cambria"/>
          <w:spacing w:val="14"/>
          <w:position w:val="1"/>
        </w:rPr>
        <w:t> </w:t>
      </w:r>
      <w:r>
        <w:rPr>
          <w:rFonts w:ascii="Cambria" w:hAnsi="Cambria"/>
          <w:position w:val="1"/>
        </w:rPr>
        <w:t>the</w:t>
      </w:r>
      <w:r>
        <w:rPr>
          <w:rFonts w:ascii="Cambria" w:hAnsi="Cambria"/>
          <w:spacing w:val="17"/>
          <w:position w:val="1"/>
        </w:rPr>
        <w:t> </w:t>
      </w:r>
      <w:r>
        <w:rPr>
          <w:rFonts w:ascii="Cambria" w:hAnsi="Cambria"/>
          <w:position w:val="1"/>
        </w:rPr>
        <w:t>number</w:t>
      </w:r>
      <w:r>
        <w:rPr>
          <w:rFonts w:ascii="Cambria" w:hAnsi="Cambria"/>
          <w:spacing w:val="14"/>
          <w:position w:val="1"/>
        </w:rPr>
        <w:t> </w:t>
      </w:r>
      <w:r>
        <w:rPr>
          <w:rFonts w:ascii="Cambria" w:hAnsi="Cambria"/>
          <w:position w:val="1"/>
        </w:rPr>
        <w:t>of</w:t>
      </w:r>
      <w:r>
        <w:rPr>
          <w:rFonts w:ascii="Cambria" w:hAnsi="Cambria"/>
          <w:spacing w:val="14"/>
          <w:position w:val="1"/>
        </w:rPr>
        <w:t> </w:t>
      </w:r>
      <w:r>
        <w:rPr>
          <w:rFonts w:ascii="Cambria" w:hAnsi="Cambria"/>
          <w:position w:val="1"/>
        </w:rPr>
        <w:t>years</w:t>
      </w:r>
      <w:r>
        <w:rPr>
          <w:rFonts w:ascii="Cambria" w:hAnsi="Cambria"/>
          <w:spacing w:val="15"/>
          <w:position w:val="1"/>
        </w:rPr>
        <w:t> </w:t>
      </w:r>
      <w:r>
        <w:rPr>
          <w:rFonts w:ascii="Cambria" w:hAnsi="Cambria"/>
          <w:position w:val="1"/>
        </w:rPr>
        <w:t>is</w:t>
      </w:r>
      <w:r>
        <w:rPr>
          <w:rFonts w:ascii="Cambria" w:hAnsi="Cambria"/>
          <w:spacing w:val="18"/>
          <w:position w:val="1"/>
        </w:rPr>
        <w:t> </w:t>
      </w:r>
      <w:r>
        <w:rPr>
          <w:rFonts w:ascii="Cambria" w:hAnsi="Cambria"/>
          <w:position w:val="1"/>
        </w:rPr>
        <w:t>25</w:t>
      </w:r>
      <w:r>
        <w:rPr>
          <w:rFonts w:ascii="Cambria" w:hAnsi="Cambria"/>
          <w:spacing w:val="15"/>
          <w:position w:val="1"/>
        </w:rPr>
        <w:t> </w:t>
      </w:r>
      <w:r>
        <w:rPr>
          <w:rFonts w:ascii="Cambria" w:hAnsi="Cambria"/>
          <w:position w:val="1"/>
        </w:rPr>
        <w:t>years.</w:t>
      </w:r>
      <w:r>
        <w:rPr>
          <w:rFonts w:ascii="Cambria" w:hAnsi="Cambria"/>
          <w:spacing w:val="16"/>
          <w:position w:val="1"/>
        </w:rPr>
        <w:t> </w:t>
      </w:r>
      <w:r>
        <w:rPr>
          <w:rFonts w:ascii="Cambria" w:hAnsi="Cambria"/>
          <w:position w:val="1"/>
        </w:rPr>
        <w:t>Thus,</w:t>
      </w:r>
      <w:r>
        <w:rPr>
          <w:rFonts w:ascii="Cambria" w:hAnsi="Cambria"/>
          <w:spacing w:val="58"/>
          <w:w w:val="150"/>
          <w:position w:val="1"/>
        </w:rPr>
        <w:t> </w:t>
      </w:r>
      <w:r>
        <w:rPr>
          <w:rFonts w:ascii="Cambria" w:hAnsi="Cambria"/>
          <w:position w:val="1"/>
        </w:rPr>
        <w:t>*D</w:t>
      </w:r>
      <w:r>
        <w:rPr>
          <w:rFonts w:ascii="Cambria" w:hAnsi="Cambria"/>
          <w:sz w:val="16"/>
        </w:rPr>
        <w:t>L</w:t>
      </w:r>
      <w:r>
        <w:rPr>
          <w:rFonts w:ascii="Cambria" w:hAnsi="Cambria"/>
          <w:spacing w:val="31"/>
          <w:sz w:val="16"/>
        </w:rPr>
        <w:t> </w:t>
      </w:r>
      <w:r>
        <w:rPr>
          <w:rFonts w:ascii="Cambria" w:hAnsi="Cambria"/>
          <w:spacing w:val="-10"/>
          <w:position w:val="1"/>
        </w:rPr>
        <w:t>=</w:t>
      </w:r>
    </w:p>
    <w:p>
      <w:pPr>
        <w:pStyle w:val="BodyText"/>
        <w:tabs>
          <w:tab w:pos="1431" w:val="left" w:leader="none"/>
          <w:tab w:pos="2871" w:val="left" w:leader="none"/>
        </w:tabs>
        <w:spacing w:before="280"/>
        <w:ind w:left="711"/>
        <w:rPr>
          <w:rFonts w:ascii="Cambria" w:hAnsi="Cambria"/>
        </w:rPr>
      </w:pPr>
      <w:r>
        <w:rPr>
          <w:rFonts w:ascii="Cambria" w:hAnsi="Cambria"/>
          <w:spacing w:val="-4"/>
          <w:position w:val="1"/>
        </w:rPr>
        <w:t>1.16</w:t>
      </w:r>
      <w:r>
        <w:rPr>
          <w:rFonts w:ascii="Cambria" w:hAnsi="Cambria"/>
          <w:position w:val="1"/>
        </w:rPr>
        <w:tab/>
        <w:t>*D</w:t>
      </w:r>
      <w:r>
        <w:rPr>
          <w:rFonts w:ascii="Cambria" w:hAnsi="Cambria"/>
          <w:sz w:val="16"/>
        </w:rPr>
        <w:t>u</w:t>
      </w:r>
      <w:r>
        <w:rPr>
          <w:rFonts w:ascii="Cambria" w:hAnsi="Cambria"/>
          <w:spacing w:val="14"/>
          <w:sz w:val="16"/>
        </w:rPr>
        <w:t> </w:t>
      </w:r>
      <w:r>
        <w:rPr>
          <w:rFonts w:ascii="Cambria" w:hAnsi="Cambria"/>
          <w:position w:val="1"/>
        </w:rPr>
        <w:t>=</w:t>
      </w:r>
      <w:r>
        <w:rPr>
          <w:rFonts w:ascii="Cambria" w:hAnsi="Cambria"/>
          <w:spacing w:val="-1"/>
          <w:position w:val="1"/>
        </w:rPr>
        <w:t> </w:t>
      </w:r>
      <w:r>
        <w:rPr>
          <w:rFonts w:ascii="Cambria" w:hAnsi="Cambria"/>
          <w:spacing w:val="-4"/>
          <w:position w:val="1"/>
        </w:rPr>
        <w:t>1.74</w:t>
      </w:r>
      <w:r>
        <w:rPr>
          <w:rFonts w:ascii="Cambria" w:hAnsi="Cambria"/>
          <w:position w:val="1"/>
        </w:rPr>
        <w:tab/>
        <w:t>at</w:t>
      </w:r>
      <w:r>
        <w:rPr>
          <w:rFonts w:ascii="Cambria" w:hAnsi="Cambria"/>
          <w:spacing w:val="-1"/>
          <w:position w:val="1"/>
        </w:rPr>
        <w:t> </w:t>
      </w:r>
      <w:r>
        <w:rPr>
          <w:rFonts w:ascii="Cambria" w:hAnsi="Cambria"/>
          <w:position w:val="1"/>
        </w:rPr>
        <w:t>5%</w:t>
      </w:r>
      <w:r>
        <w:rPr>
          <w:rFonts w:ascii="Cambria" w:hAnsi="Cambria"/>
          <w:spacing w:val="1"/>
          <w:position w:val="1"/>
        </w:rPr>
        <w:t> </w:t>
      </w:r>
      <w:r>
        <w:rPr>
          <w:rFonts w:ascii="Cambria" w:hAnsi="Cambria"/>
          <w:position w:val="1"/>
        </w:rPr>
        <w:t>significant</w:t>
      </w:r>
      <w:r>
        <w:rPr>
          <w:rFonts w:ascii="Cambria" w:hAnsi="Cambria"/>
          <w:spacing w:val="1"/>
          <w:position w:val="1"/>
        </w:rPr>
        <w:t> </w:t>
      </w:r>
      <w:r>
        <w:rPr>
          <w:rFonts w:ascii="Cambria" w:hAnsi="Cambria"/>
          <w:position w:val="1"/>
        </w:rPr>
        <w:t>level</w:t>
      </w:r>
      <w:r>
        <w:rPr>
          <w:rFonts w:ascii="Cambria" w:hAnsi="Cambria"/>
          <w:spacing w:val="1"/>
          <w:position w:val="1"/>
        </w:rPr>
        <w:t> </w:t>
      </w:r>
      <w:r>
        <w:rPr>
          <w:rFonts w:ascii="Cambria" w:hAnsi="Cambria"/>
          <w:position w:val="1"/>
        </w:rPr>
        <w:t>(as</w:t>
      </w:r>
      <w:r>
        <w:rPr>
          <w:rFonts w:ascii="Cambria" w:hAnsi="Cambria"/>
          <w:spacing w:val="1"/>
          <w:position w:val="1"/>
        </w:rPr>
        <w:t> </w:t>
      </w:r>
      <w:r>
        <w:rPr>
          <w:rFonts w:ascii="Cambria" w:hAnsi="Cambria"/>
          <w:position w:val="1"/>
        </w:rPr>
        <w:t>in</w:t>
      </w:r>
      <w:r>
        <w:rPr>
          <w:rFonts w:ascii="Cambria" w:hAnsi="Cambria"/>
          <w:spacing w:val="1"/>
          <w:position w:val="1"/>
        </w:rPr>
        <w:t> </w:t>
      </w:r>
      <w:r>
        <w:rPr>
          <w:rFonts w:ascii="Cambria" w:hAnsi="Cambria"/>
          <w:position w:val="1"/>
        </w:rPr>
        <w:t>table</w:t>
      </w:r>
      <w:r>
        <w:rPr>
          <w:rFonts w:ascii="Cambria" w:hAnsi="Cambria"/>
          <w:spacing w:val="2"/>
          <w:position w:val="1"/>
        </w:rPr>
        <w:t> </w:t>
      </w:r>
      <w:r>
        <w:rPr>
          <w:rFonts w:ascii="Cambria" w:hAnsi="Cambria"/>
          <w:position w:val="1"/>
        </w:rPr>
        <w:t>value),</w:t>
      </w:r>
      <w:r>
        <w:rPr>
          <w:rFonts w:ascii="Cambria" w:hAnsi="Cambria"/>
          <w:spacing w:val="1"/>
          <w:position w:val="1"/>
        </w:rPr>
        <w:t> </w:t>
      </w:r>
      <w:r>
        <w:rPr>
          <w:rFonts w:ascii="Cambria" w:hAnsi="Cambria"/>
          <w:position w:val="1"/>
        </w:rPr>
        <w:t>4</w:t>
      </w:r>
      <w:r>
        <w:rPr>
          <w:rFonts w:ascii="Cambria" w:hAnsi="Cambria"/>
          <w:spacing w:val="5"/>
          <w:position w:val="1"/>
        </w:rPr>
        <w:t> </w:t>
      </w:r>
      <w:r>
        <w:rPr>
          <w:rFonts w:ascii="Cambria" w:hAnsi="Cambria"/>
          <w:position w:val="1"/>
        </w:rPr>
        <w:t>–</w:t>
      </w:r>
      <w:r>
        <w:rPr>
          <w:rFonts w:ascii="Cambria" w:hAnsi="Cambria"/>
          <w:spacing w:val="3"/>
          <w:position w:val="1"/>
        </w:rPr>
        <w:t> </w:t>
      </w:r>
      <w:r>
        <w:rPr>
          <w:rFonts w:ascii="Cambria" w:hAnsi="Cambria"/>
          <w:position w:val="1"/>
        </w:rPr>
        <w:t>D</w:t>
      </w:r>
      <w:r>
        <w:rPr>
          <w:rFonts w:ascii="Cambria" w:hAnsi="Cambria"/>
          <w:sz w:val="16"/>
        </w:rPr>
        <w:t>L</w:t>
      </w:r>
      <w:r>
        <w:rPr>
          <w:rFonts w:ascii="Cambria" w:hAnsi="Cambria"/>
          <w:spacing w:val="18"/>
          <w:sz w:val="16"/>
        </w:rPr>
        <w:t> </w:t>
      </w:r>
      <w:r>
        <w:rPr>
          <w:rFonts w:ascii="Cambria" w:hAnsi="Cambria"/>
          <w:position w:val="1"/>
        </w:rPr>
        <w:t>= 4</w:t>
      </w:r>
      <w:r>
        <w:rPr>
          <w:rFonts w:ascii="Cambria" w:hAnsi="Cambria"/>
          <w:spacing w:val="3"/>
          <w:position w:val="1"/>
        </w:rPr>
        <w:t> </w:t>
      </w:r>
      <w:r>
        <w:rPr>
          <w:rFonts w:ascii="Cambria" w:hAnsi="Cambria"/>
          <w:position w:val="1"/>
        </w:rPr>
        <w:t>–</w:t>
      </w:r>
      <w:r>
        <w:rPr>
          <w:rFonts w:ascii="Cambria" w:hAnsi="Cambria"/>
          <w:spacing w:val="1"/>
          <w:position w:val="1"/>
        </w:rPr>
        <w:t> </w:t>
      </w:r>
      <w:r>
        <w:rPr>
          <w:rFonts w:ascii="Cambria" w:hAnsi="Cambria"/>
          <w:position w:val="1"/>
        </w:rPr>
        <w:t>1.1.6=</w:t>
      </w:r>
      <w:r>
        <w:rPr>
          <w:rFonts w:ascii="Cambria" w:hAnsi="Cambria"/>
          <w:spacing w:val="1"/>
          <w:position w:val="1"/>
        </w:rPr>
        <w:t> </w:t>
      </w:r>
      <w:r>
        <w:rPr>
          <w:rFonts w:ascii="Cambria" w:hAnsi="Cambria"/>
          <w:position w:val="1"/>
        </w:rPr>
        <w:t>2.84 and</w:t>
      </w:r>
      <w:r>
        <w:rPr>
          <w:rFonts w:ascii="Cambria" w:hAnsi="Cambria"/>
          <w:spacing w:val="2"/>
          <w:position w:val="1"/>
        </w:rPr>
        <w:t> </w:t>
      </w:r>
      <w:r>
        <w:rPr>
          <w:rFonts w:ascii="Cambria" w:hAnsi="Cambria"/>
          <w:position w:val="1"/>
        </w:rPr>
        <w:t>4</w:t>
      </w:r>
      <w:r>
        <w:rPr>
          <w:rFonts w:ascii="Cambria" w:hAnsi="Cambria"/>
          <w:spacing w:val="1"/>
          <w:position w:val="1"/>
        </w:rPr>
        <w:t> </w:t>
      </w:r>
      <w:r>
        <w:rPr>
          <w:rFonts w:ascii="Cambria" w:hAnsi="Cambria"/>
          <w:position w:val="1"/>
        </w:rPr>
        <w:t>–</w:t>
      </w:r>
      <w:r>
        <w:rPr>
          <w:rFonts w:ascii="Cambria" w:hAnsi="Cambria"/>
          <w:spacing w:val="1"/>
          <w:position w:val="1"/>
        </w:rPr>
        <w:t> </w:t>
      </w:r>
      <w:r>
        <w:rPr>
          <w:rFonts w:ascii="Cambria" w:hAnsi="Cambria"/>
          <w:position w:val="1"/>
        </w:rPr>
        <w:t>D</w:t>
      </w:r>
      <w:r>
        <w:rPr>
          <w:rFonts w:ascii="Cambria" w:hAnsi="Cambria"/>
          <w:sz w:val="16"/>
        </w:rPr>
        <w:t>u</w:t>
      </w:r>
      <w:r>
        <w:rPr>
          <w:rFonts w:ascii="Cambria" w:hAnsi="Cambria"/>
          <w:spacing w:val="21"/>
          <w:sz w:val="16"/>
        </w:rPr>
        <w:t> </w:t>
      </w:r>
      <w:r>
        <w:rPr>
          <w:rFonts w:ascii="Cambria" w:hAnsi="Cambria"/>
          <w:position w:val="1"/>
        </w:rPr>
        <w:t>=</w:t>
      </w:r>
      <w:r>
        <w:rPr>
          <w:rFonts w:ascii="Cambria" w:hAnsi="Cambria"/>
          <w:spacing w:val="2"/>
          <w:position w:val="1"/>
        </w:rPr>
        <w:t> </w:t>
      </w:r>
      <w:r>
        <w:rPr>
          <w:rFonts w:ascii="Cambria" w:hAnsi="Cambria"/>
          <w:position w:val="1"/>
        </w:rPr>
        <w:t>4</w:t>
      </w:r>
      <w:r>
        <w:rPr>
          <w:rFonts w:ascii="Cambria" w:hAnsi="Cambria"/>
          <w:spacing w:val="2"/>
          <w:position w:val="1"/>
        </w:rPr>
        <w:t> </w:t>
      </w:r>
      <w:r>
        <w:rPr>
          <w:rFonts w:ascii="Cambria" w:hAnsi="Cambria"/>
          <w:spacing w:val="-10"/>
          <w:position w:val="1"/>
        </w:rPr>
        <w:t>–</w:t>
      </w:r>
    </w:p>
    <w:p>
      <w:pPr>
        <w:pStyle w:val="BodyText"/>
        <w:spacing w:before="2"/>
        <w:rPr>
          <w:rFonts w:ascii="Cambria"/>
        </w:rPr>
      </w:pPr>
    </w:p>
    <w:p>
      <w:pPr>
        <w:pStyle w:val="BodyText"/>
        <w:ind w:left="711"/>
        <w:rPr>
          <w:rFonts w:ascii="Cambria"/>
        </w:rPr>
      </w:pPr>
      <w:r>
        <w:rPr>
          <w:rFonts w:ascii="Cambria"/>
        </w:rPr>
        <w:t>1.74</w:t>
      </w:r>
      <w:r>
        <w:rPr>
          <w:rFonts w:ascii="Cambria"/>
          <w:spacing w:val="-4"/>
        </w:rPr>
        <w:t> </w:t>
      </w:r>
      <w:r>
        <w:rPr>
          <w:rFonts w:ascii="Cambria"/>
        </w:rPr>
        <w:t>=</w:t>
      </w:r>
      <w:r>
        <w:rPr>
          <w:rFonts w:ascii="Cambria"/>
          <w:spacing w:val="-2"/>
        </w:rPr>
        <w:t> </w:t>
      </w:r>
      <w:r>
        <w:rPr>
          <w:rFonts w:ascii="Cambria"/>
          <w:spacing w:val="-4"/>
        </w:rPr>
        <w:t>2.26</w:t>
      </w:r>
    </w:p>
    <w:p>
      <w:pPr>
        <w:spacing w:before="280"/>
        <w:ind w:left="711" w:right="0" w:firstLine="0"/>
        <w:jc w:val="left"/>
        <w:rPr>
          <w:rFonts w:ascii="Cambria"/>
          <w:sz w:val="24"/>
        </w:rPr>
      </w:pPr>
      <w:r>
        <w:rPr>
          <w:b/>
          <w:sz w:val="24"/>
        </w:rPr>
        <w:t>Figure</w:t>
      </w:r>
      <w:r>
        <w:rPr>
          <w:b/>
          <w:spacing w:val="-10"/>
          <w:sz w:val="24"/>
        </w:rPr>
        <w:t> </w:t>
      </w:r>
      <w:r>
        <w:rPr>
          <w:rFonts w:ascii="Cambria"/>
          <w:spacing w:val="-4"/>
          <w:sz w:val="24"/>
        </w:rPr>
        <w:t>4.10</w:t>
      </w:r>
    </w:p>
    <w:p>
      <w:pPr>
        <w:pStyle w:val="BodyText"/>
        <w:spacing w:before="83"/>
        <w:rPr>
          <w:rFonts w:ascii="Cambria"/>
          <w:sz w:val="20"/>
        </w:rPr>
      </w:pPr>
      <w:r>
        <w:rPr/>
        <mc:AlternateContent>
          <mc:Choice Requires="wps">
            <w:drawing>
              <wp:anchor distT="0" distB="0" distL="0" distR="0" allowOverlap="1" layoutInCell="1" locked="0" behindDoc="1" simplePos="0" relativeHeight="487619072">
                <wp:simplePos x="0" y="0"/>
                <wp:positionH relativeFrom="page">
                  <wp:posOffset>653795</wp:posOffset>
                </wp:positionH>
                <wp:positionV relativeFrom="paragraph">
                  <wp:posOffset>217020</wp:posOffset>
                </wp:positionV>
                <wp:extent cx="5652135" cy="3390900"/>
                <wp:effectExtent l="0" t="0" r="0" b="0"/>
                <wp:wrapTopAndBottom/>
                <wp:docPr id="279" name="Group 279"/>
                <wp:cNvGraphicFramePr>
                  <a:graphicFrameLocks/>
                </wp:cNvGraphicFramePr>
                <a:graphic>
                  <a:graphicData uri="http://schemas.microsoft.com/office/word/2010/wordprocessingGroup">
                    <wpg:wgp>
                      <wpg:cNvPr id="279" name="Group 279"/>
                      <wpg:cNvGrpSpPr/>
                      <wpg:grpSpPr>
                        <a:xfrm>
                          <a:off x="0" y="0"/>
                          <a:ext cx="5652135" cy="3390900"/>
                          <a:chExt cx="5652135" cy="3390900"/>
                        </a:xfrm>
                      </wpg:grpSpPr>
                      <wps:wsp>
                        <wps:cNvPr id="280" name="Graphic 280"/>
                        <wps:cNvSpPr/>
                        <wps:spPr>
                          <a:xfrm>
                            <a:off x="79628" y="743244"/>
                            <a:ext cx="5286375" cy="2257425"/>
                          </a:xfrm>
                          <a:custGeom>
                            <a:avLst/>
                            <a:gdLst/>
                            <a:ahLst/>
                            <a:cxnLst/>
                            <a:rect l="l" t="t" r="r" b="b"/>
                            <a:pathLst>
                              <a:path w="5286375" h="2257425">
                                <a:moveTo>
                                  <a:pt x="0" y="2257130"/>
                                </a:moveTo>
                                <a:lnTo>
                                  <a:pt x="37966" y="2214603"/>
                                </a:lnTo>
                                <a:lnTo>
                                  <a:pt x="75923" y="2172094"/>
                                </a:lnTo>
                                <a:lnTo>
                                  <a:pt x="113860" y="2129623"/>
                                </a:lnTo>
                                <a:lnTo>
                                  <a:pt x="151765" y="2087208"/>
                                </a:lnTo>
                                <a:lnTo>
                                  <a:pt x="189627" y="2044868"/>
                                </a:lnTo>
                                <a:lnTo>
                                  <a:pt x="227435" y="2002621"/>
                                </a:lnTo>
                                <a:lnTo>
                                  <a:pt x="265179" y="1960486"/>
                                </a:lnTo>
                                <a:lnTo>
                                  <a:pt x="302845" y="1918483"/>
                                </a:lnTo>
                                <a:lnTo>
                                  <a:pt x="340424" y="1876628"/>
                                </a:lnTo>
                                <a:lnTo>
                                  <a:pt x="377905" y="1834942"/>
                                </a:lnTo>
                                <a:lnTo>
                                  <a:pt x="415275" y="1793443"/>
                                </a:lnTo>
                                <a:lnTo>
                                  <a:pt x="452524" y="1752149"/>
                                </a:lnTo>
                                <a:lnTo>
                                  <a:pt x="489640" y="1711080"/>
                                </a:lnTo>
                                <a:lnTo>
                                  <a:pt x="526612" y="1670253"/>
                                </a:lnTo>
                                <a:lnTo>
                                  <a:pt x="563430" y="1629689"/>
                                </a:lnTo>
                                <a:lnTo>
                                  <a:pt x="600082" y="1589404"/>
                                </a:lnTo>
                                <a:lnTo>
                                  <a:pt x="636556" y="1549419"/>
                                </a:lnTo>
                                <a:lnTo>
                                  <a:pt x="672842" y="1509751"/>
                                </a:lnTo>
                                <a:lnTo>
                                  <a:pt x="708927" y="1470420"/>
                                </a:lnTo>
                                <a:lnTo>
                                  <a:pt x="744802" y="1431444"/>
                                </a:lnTo>
                                <a:lnTo>
                                  <a:pt x="780455" y="1392841"/>
                                </a:lnTo>
                                <a:lnTo>
                                  <a:pt x="815874" y="1354631"/>
                                </a:lnTo>
                                <a:lnTo>
                                  <a:pt x="851049" y="1316832"/>
                                </a:lnTo>
                                <a:lnTo>
                                  <a:pt x="885968" y="1279463"/>
                                </a:lnTo>
                                <a:lnTo>
                                  <a:pt x="920619" y="1242543"/>
                                </a:lnTo>
                                <a:lnTo>
                                  <a:pt x="954993" y="1206090"/>
                                </a:lnTo>
                                <a:lnTo>
                                  <a:pt x="989077" y="1170122"/>
                                </a:lnTo>
                                <a:lnTo>
                                  <a:pt x="1022860" y="1134660"/>
                                </a:lnTo>
                                <a:lnTo>
                                  <a:pt x="1056331" y="1099720"/>
                                </a:lnTo>
                                <a:lnTo>
                                  <a:pt x="1089479" y="1065323"/>
                                </a:lnTo>
                                <a:lnTo>
                                  <a:pt x="1122293" y="1031486"/>
                                </a:lnTo>
                                <a:lnTo>
                                  <a:pt x="1154762" y="998229"/>
                                </a:lnTo>
                                <a:lnTo>
                                  <a:pt x="1186873" y="965569"/>
                                </a:lnTo>
                                <a:lnTo>
                                  <a:pt x="1218617" y="933527"/>
                                </a:lnTo>
                                <a:lnTo>
                                  <a:pt x="1249981" y="902119"/>
                                </a:lnTo>
                                <a:lnTo>
                                  <a:pt x="1280955" y="871366"/>
                                </a:lnTo>
                                <a:lnTo>
                                  <a:pt x="1311527" y="841286"/>
                                </a:lnTo>
                                <a:lnTo>
                                  <a:pt x="1341687" y="811897"/>
                                </a:lnTo>
                                <a:lnTo>
                                  <a:pt x="1371422" y="783219"/>
                                </a:lnTo>
                                <a:lnTo>
                                  <a:pt x="1400723" y="755269"/>
                                </a:lnTo>
                                <a:lnTo>
                                  <a:pt x="1429576" y="728067"/>
                                </a:lnTo>
                                <a:lnTo>
                                  <a:pt x="1457972" y="701631"/>
                                </a:lnTo>
                                <a:lnTo>
                                  <a:pt x="1541659" y="625898"/>
                                </a:lnTo>
                                <a:lnTo>
                                  <a:pt x="1595598" y="578965"/>
                                </a:lnTo>
                                <a:lnTo>
                                  <a:pt x="1647797" y="535032"/>
                                </a:lnTo>
                                <a:lnTo>
                                  <a:pt x="1698335" y="493947"/>
                                </a:lnTo>
                                <a:lnTo>
                                  <a:pt x="1747294" y="455560"/>
                                </a:lnTo>
                                <a:lnTo>
                                  <a:pt x="1794754" y="419721"/>
                                </a:lnTo>
                                <a:lnTo>
                                  <a:pt x="1840794" y="386279"/>
                                </a:lnTo>
                                <a:lnTo>
                                  <a:pt x="1885495" y="355082"/>
                                </a:lnTo>
                                <a:lnTo>
                                  <a:pt x="1928937" y="325982"/>
                                </a:lnTo>
                                <a:lnTo>
                                  <a:pt x="1971200" y="298826"/>
                                </a:lnTo>
                                <a:lnTo>
                                  <a:pt x="2012365" y="273465"/>
                                </a:lnTo>
                                <a:lnTo>
                                  <a:pt x="2052512" y="249748"/>
                                </a:lnTo>
                                <a:lnTo>
                                  <a:pt x="2091721" y="227525"/>
                                </a:lnTo>
                                <a:lnTo>
                                  <a:pt x="2130072" y="206644"/>
                                </a:lnTo>
                                <a:lnTo>
                                  <a:pt x="2167645" y="186956"/>
                                </a:lnTo>
                                <a:lnTo>
                                  <a:pt x="2204521" y="168309"/>
                                </a:lnTo>
                                <a:lnTo>
                                  <a:pt x="2240780" y="150553"/>
                                </a:lnTo>
                                <a:lnTo>
                                  <a:pt x="2276502" y="133538"/>
                                </a:lnTo>
                                <a:lnTo>
                                  <a:pt x="2311768" y="117113"/>
                                </a:lnTo>
                                <a:lnTo>
                                  <a:pt x="2346657" y="101127"/>
                                </a:lnTo>
                                <a:lnTo>
                                  <a:pt x="2443853" y="58687"/>
                                </a:lnTo>
                                <a:lnTo>
                                  <a:pt x="2500759" y="37677"/>
                                </a:lnTo>
                                <a:lnTo>
                                  <a:pt x="2553043" y="21869"/>
                                </a:lnTo>
                                <a:lnTo>
                                  <a:pt x="2601777" y="10730"/>
                                </a:lnTo>
                                <a:lnTo>
                                  <a:pt x="2648035" y="3726"/>
                                </a:lnTo>
                                <a:lnTo>
                                  <a:pt x="2692891" y="327"/>
                                </a:lnTo>
                                <a:lnTo>
                                  <a:pt x="2737417" y="0"/>
                                </a:lnTo>
                                <a:lnTo>
                                  <a:pt x="2782688" y="2211"/>
                                </a:lnTo>
                                <a:lnTo>
                                  <a:pt x="2829776" y="6429"/>
                                </a:lnTo>
                                <a:lnTo>
                                  <a:pt x="2879756" y="12121"/>
                                </a:lnTo>
                                <a:lnTo>
                                  <a:pt x="2933700" y="18755"/>
                                </a:lnTo>
                                <a:lnTo>
                                  <a:pt x="2978786" y="24854"/>
                                </a:lnTo>
                                <a:lnTo>
                                  <a:pt x="3025439" y="32290"/>
                                </a:lnTo>
                                <a:lnTo>
                                  <a:pt x="3073417" y="41094"/>
                                </a:lnTo>
                                <a:lnTo>
                                  <a:pt x="3122478" y="51301"/>
                                </a:lnTo>
                                <a:lnTo>
                                  <a:pt x="3172380" y="62943"/>
                                </a:lnTo>
                                <a:lnTo>
                                  <a:pt x="3222882" y="76055"/>
                                </a:lnTo>
                                <a:lnTo>
                                  <a:pt x="3273742" y="90668"/>
                                </a:lnTo>
                                <a:lnTo>
                                  <a:pt x="3324719" y="106818"/>
                                </a:lnTo>
                                <a:lnTo>
                                  <a:pt x="3375571" y="124536"/>
                                </a:lnTo>
                                <a:lnTo>
                                  <a:pt x="3426056" y="143857"/>
                                </a:lnTo>
                                <a:lnTo>
                                  <a:pt x="3475933" y="164813"/>
                                </a:lnTo>
                                <a:lnTo>
                                  <a:pt x="3524960" y="187439"/>
                                </a:lnTo>
                                <a:lnTo>
                                  <a:pt x="3572896" y="211766"/>
                                </a:lnTo>
                                <a:lnTo>
                                  <a:pt x="3619500" y="237830"/>
                                </a:lnTo>
                                <a:lnTo>
                                  <a:pt x="3658455" y="260842"/>
                                </a:lnTo>
                                <a:lnTo>
                                  <a:pt x="3695342" y="283044"/>
                                </a:lnTo>
                                <a:lnTo>
                                  <a:pt x="3730562" y="304903"/>
                                </a:lnTo>
                                <a:lnTo>
                                  <a:pt x="3764518" y="326888"/>
                                </a:lnTo>
                                <a:lnTo>
                                  <a:pt x="3797610" y="349469"/>
                                </a:lnTo>
                                <a:lnTo>
                                  <a:pt x="3830240" y="373114"/>
                                </a:lnTo>
                                <a:lnTo>
                                  <a:pt x="3862811" y="398292"/>
                                </a:lnTo>
                                <a:lnTo>
                                  <a:pt x="3895725" y="425472"/>
                                </a:lnTo>
                                <a:lnTo>
                                  <a:pt x="3929382" y="455122"/>
                                </a:lnTo>
                                <a:lnTo>
                                  <a:pt x="3964185" y="487712"/>
                                </a:lnTo>
                                <a:lnTo>
                                  <a:pt x="4000537" y="523710"/>
                                </a:lnTo>
                                <a:lnTo>
                                  <a:pt x="4038838" y="563585"/>
                                </a:lnTo>
                                <a:lnTo>
                                  <a:pt x="4079490" y="607805"/>
                                </a:lnTo>
                                <a:lnTo>
                                  <a:pt x="4122896" y="656840"/>
                                </a:lnTo>
                                <a:lnTo>
                                  <a:pt x="4169457" y="711159"/>
                                </a:lnTo>
                                <a:lnTo>
                                  <a:pt x="4219575" y="771230"/>
                                </a:lnTo>
                                <a:lnTo>
                                  <a:pt x="4268785" y="832345"/>
                                </a:lnTo>
                                <a:lnTo>
                                  <a:pt x="4295463" y="866436"/>
                                </a:lnTo>
                                <a:lnTo>
                                  <a:pt x="4323390" y="902672"/>
                                </a:lnTo>
                                <a:lnTo>
                                  <a:pt x="4352470" y="940898"/>
                                </a:lnTo>
                                <a:lnTo>
                                  <a:pt x="4382602" y="980956"/>
                                </a:lnTo>
                                <a:lnTo>
                                  <a:pt x="4413688" y="1022690"/>
                                </a:lnTo>
                                <a:lnTo>
                                  <a:pt x="4445629" y="1065943"/>
                                </a:lnTo>
                                <a:lnTo>
                                  <a:pt x="4478327" y="1110558"/>
                                </a:lnTo>
                                <a:lnTo>
                                  <a:pt x="4511683" y="1156378"/>
                                </a:lnTo>
                                <a:lnTo>
                                  <a:pt x="4545597" y="1203247"/>
                                </a:lnTo>
                                <a:lnTo>
                                  <a:pt x="4579972" y="1251007"/>
                                </a:lnTo>
                                <a:lnTo>
                                  <a:pt x="4614709" y="1299503"/>
                                </a:lnTo>
                                <a:lnTo>
                                  <a:pt x="4649708" y="1348577"/>
                                </a:lnTo>
                                <a:lnTo>
                                  <a:pt x="4684872" y="1398072"/>
                                </a:lnTo>
                                <a:lnTo>
                                  <a:pt x="4720101" y="1447831"/>
                                </a:lnTo>
                                <a:lnTo>
                                  <a:pt x="4755297" y="1497699"/>
                                </a:lnTo>
                                <a:lnTo>
                                  <a:pt x="4790360" y="1547517"/>
                                </a:lnTo>
                                <a:lnTo>
                                  <a:pt x="4825193" y="1597130"/>
                                </a:lnTo>
                                <a:lnTo>
                                  <a:pt x="4859696" y="1646380"/>
                                </a:lnTo>
                                <a:lnTo>
                                  <a:pt x="4893771" y="1695111"/>
                                </a:lnTo>
                                <a:lnTo>
                                  <a:pt x="4927320" y="1743165"/>
                                </a:lnTo>
                                <a:lnTo>
                                  <a:pt x="4960242" y="1790387"/>
                                </a:lnTo>
                                <a:lnTo>
                                  <a:pt x="4992440" y="1836619"/>
                                </a:lnTo>
                                <a:lnTo>
                                  <a:pt x="5023815" y="1881704"/>
                                </a:lnTo>
                                <a:lnTo>
                                  <a:pt x="5054268" y="1925486"/>
                                </a:lnTo>
                                <a:lnTo>
                                  <a:pt x="5083700" y="1967808"/>
                                </a:lnTo>
                                <a:lnTo>
                                  <a:pt x="5112013" y="2008513"/>
                                </a:lnTo>
                                <a:lnTo>
                                  <a:pt x="5139108" y="2047444"/>
                                </a:lnTo>
                                <a:lnTo>
                                  <a:pt x="5164887" y="2084445"/>
                                </a:lnTo>
                                <a:lnTo>
                                  <a:pt x="5189249" y="2119359"/>
                                </a:lnTo>
                                <a:lnTo>
                                  <a:pt x="5212098" y="2152028"/>
                                </a:lnTo>
                                <a:lnTo>
                                  <a:pt x="5252857" y="2210008"/>
                                </a:lnTo>
                                <a:lnTo>
                                  <a:pt x="5270570" y="2235004"/>
                                </a:lnTo>
                                <a:lnTo>
                                  <a:pt x="5286375" y="2257130"/>
                                </a:lnTo>
                              </a:path>
                            </a:pathLst>
                          </a:custGeom>
                          <a:ln w="19050">
                            <a:solidFill>
                              <a:srgbClr val="000000"/>
                            </a:solidFill>
                            <a:prstDash val="solid"/>
                          </a:ln>
                        </wps:spPr>
                        <wps:bodyPr wrap="square" lIns="0" tIns="0" rIns="0" bIns="0" rtlCol="0">
                          <a:prstTxWarp prst="textNoShape">
                            <a:avLst/>
                          </a:prstTxWarp>
                          <a:noAutofit/>
                        </wps:bodyPr>
                      </wps:wsp>
                      <wps:wsp>
                        <wps:cNvPr id="281" name="Graphic 281"/>
                        <wps:cNvSpPr/>
                        <wps:spPr>
                          <a:xfrm>
                            <a:off x="41529" y="0"/>
                            <a:ext cx="5610225" cy="3048000"/>
                          </a:xfrm>
                          <a:custGeom>
                            <a:avLst/>
                            <a:gdLst/>
                            <a:ahLst/>
                            <a:cxnLst/>
                            <a:rect l="l" t="t" r="r" b="b"/>
                            <a:pathLst>
                              <a:path w="5610225" h="3048000">
                                <a:moveTo>
                                  <a:pt x="5610225" y="3009900"/>
                                </a:moveTo>
                                <a:lnTo>
                                  <a:pt x="5600573" y="3005074"/>
                                </a:lnTo>
                                <a:lnTo>
                                  <a:pt x="5534025" y="2971800"/>
                                </a:lnTo>
                                <a:lnTo>
                                  <a:pt x="5534025" y="3005074"/>
                                </a:lnTo>
                                <a:lnTo>
                                  <a:pt x="42862" y="3005074"/>
                                </a:lnTo>
                                <a:lnTo>
                                  <a:pt x="42862" y="76200"/>
                                </a:lnTo>
                                <a:lnTo>
                                  <a:pt x="76200" y="76200"/>
                                </a:lnTo>
                                <a:lnTo>
                                  <a:pt x="69850" y="63500"/>
                                </a:lnTo>
                                <a:lnTo>
                                  <a:pt x="38100" y="0"/>
                                </a:lnTo>
                                <a:lnTo>
                                  <a:pt x="0" y="76200"/>
                                </a:lnTo>
                                <a:lnTo>
                                  <a:pt x="33337" y="76200"/>
                                </a:lnTo>
                                <a:lnTo>
                                  <a:pt x="33337" y="3009900"/>
                                </a:lnTo>
                                <a:lnTo>
                                  <a:pt x="38100" y="3009900"/>
                                </a:lnTo>
                                <a:lnTo>
                                  <a:pt x="38100" y="3014599"/>
                                </a:lnTo>
                                <a:lnTo>
                                  <a:pt x="5534025" y="3014599"/>
                                </a:lnTo>
                                <a:lnTo>
                                  <a:pt x="5534025" y="3048000"/>
                                </a:lnTo>
                                <a:lnTo>
                                  <a:pt x="5600827" y="3014599"/>
                                </a:lnTo>
                                <a:lnTo>
                                  <a:pt x="5610225" y="3009900"/>
                                </a:lnTo>
                                <a:close/>
                              </a:path>
                            </a:pathLst>
                          </a:custGeom>
                          <a:solidFill>
                            <a:srgbClr val="000000"/>
                          </a:solidFill>
                        </wps:spPr>
                        <wps:bodyPr wrap="square" lIns="0" tIns="0" rIns="0" bIns="0" rtlCol="0">
                          <a:prstTxWarp prst="textNoShape">
                            <a:avLst/>
                          </a:prstTxWarp>
                          <a:noAutofit/>
                        </wps:bodyPr>
                      </wps:wsp>
                      <pic:pic>
                        <pic:nvPicPr>
                          <pic:cNvPr id="282" name="Image 282"/>
                          <pic:cNvPicPr/>
                        </pic:nvPicPr>
                        <pic:blipFill>
                          <a:blip r:embed="rId64" cstate="print"/>
                          <a:stretch>
                            <a:fillRect/>
                          </a:stretch>
                        </pic:blipFill>
                        <pic:spPr>
                          <a:xfrm>
                            <a:off x="79628" y="266700"/>
                            <a:ext cx="771525" cy="2743200"/>
                          </a:xfrm>
                          <a:prstGeom prst="rect">
                            <a:avLst/>
                          </a:prstGeom>
                        </pic:spPr>
                      </pic:pic>
                      <wps:wsp>
                        <wps:cNvPr id="283" name="Graphic 283"/>
                        <wps:cNvSpPr/>
                        <wps:spPr>
                          <a:xfrm>
                            <a:off x="79628" y="266700"/>
                            <a:ext cx="771525" cy="2743200"/>
                          </a:xfrm>
                          <a:custGeom>
                            <a:avLst/>
                            <a:gdLst/>
                            <a:ahLst/>
                            <a:cxnLst/>
                            <a:rect l="l" t="t" r="r" b="b"/>
                            <a:pathLst>
                              <a:path w="771525" h="2743200">
                                <a:moveTo>
                                  <a:pt x="0" y="2743200"/>
                                </a:moveTo>
                                <a:lnTo>
                                  <a:pt x="771525" y="2743200"/>
                                </a:lnTo>
                                <a:lnTo>
                                  <a:pt x="771525" y="0"/>
                                </a:lnTo>
                                <a:lnTo>
                                  <a:pt x="0" y="0"/>
                                </a:lnTo>
                                <a:lnTo>
                                  <a:pt x="0" y="2743200"/>
                                </a:lnTo>
                                <a:close/>
                              </a:path>
                            </a:pathLst>
                          </a:custGeom>
                          <a:ln w="9525">
                            <a:solidFill>
                              <a:srgbClr val="000000"/>
                            </a:solidFill>
                            <a:prstDash val="solid"/>
                          </a:ln>
                        </wps:spPr>
                        <wps:bodyPr wrap="square" lIns="0" tIns="0" rIns="0" bIns="0" rtlCol="0">
                          <a:prstTxWarp prst="textNoShape">
                            <a:avLst/>
                          </a:prstTxWarp>
                          <a:noAutofit/>
                        </wps:bodyPr>
                      </wps:wsp>
                      <wps:wsp>
                        <wps:cNvPr id="284" name="Graphic 284"/>
                        <wps:cNvSpPr/>
                        <wps:spPr>
                          <a:xfrm>
                            <a:off x="851153" y="266700"/>
                            <a:ext cx="771525" cy="2743200"/>
                          </a:xfrm>
                          <a:custGeom>
                            <a:avLst/>
                            <a:gdLst/>
                            <a:ahLst/>
                            <a:cxnLst/>
                            <a:rect l="l" t="t" r="r" b="b"/>
                            <a:pathLst>
                              <a:path w="771525" h="2743200">
                                <a:moveTo>
                                  <a:pt x="771525" y="0"/>
                                </a:moveTo>
                                <a:lnTo>
                                  <a:pt x="0" y="0"/>
                                </a:lnTo>
                                <a:lnTo>
                                  <a:pt x="0" y="2743200"/>
                                </a:lnTo>
                                <a:lnTo>
                                  <a:pt x="771525" y="2743200"/>
                                </a:lnTo>
                                <a:lnTo>
                                  <a:pt x="771525" y="0"/>
                                </a:lnTo>
                                <a:close/>
                              </a:path>
                            </a:pathLst>
                          </a:custGeom>
                          <a:solidFill>
                            <a:srgbClr val="FFFFFF"/>
                          </a:solidFill>
                        </wps:spPr>
                        <wps:bodyPr wrap="square" lIns="0" tIns="0" rIns="0" bIns="0" rtlCol="0">
                          <a:prstTxWarp prst="textNoShape">
                            <a:avLst/>
                          </a:prstTxWarp>
                          <a:noAutofit/>
                        </wps:bodyPr>
                      </wps:wsp>
                      <wps:wsp>
                        <wps:cNvPr id="285" name="Graphic 285"/>
                        <wps:cNvSpPr/>
                        <wps:spPr>
                          <a:xfrm>
                            <a:off x="851153" y="266700"/>
                            <a:ext cx="771525" cy="2743200"/>
                          </a:xfrm>
                          <a:custGeom>
                            <a:avLst/>
                            <a:gdLst/>
                            <a:ahLst/>
                            <a:cxnLst/>
                            <a:rect l="l" t="t" r="r" b="b"/>
                            <a:pathLst>
                              <a:path w="771525" h="2743200">
                                <a:moveTo>
                                  <a:pt x="0" y="2743200"/>
                                </a:moveTo>
                                <a:lnTo>
                                  <a:pt x="771525" y="2743200"/>
                                </a:lnTo>
                                <a:lnTo>
                                  <a:pt x="771525" y="0"/>
                                </a:lnTo>
                                <a:lnTo>
                                  <a:pt x="0" y="0"/>
                                </a:lnTo>
                                <a:lnTo>
                                  <a:pt x="0" y="2743200"/>
                                </a:lnTo>
                                <a:close/>
                              </a:path>
                            </a:pathLst>
                          </a:custGeom>
                          <a:ln w="9525">
                            <a:solidFill>
                              <a:srgbClr val="000000"/>
                            </a:solidFill>
                            <a:prstDash val="solid"/>
                          </a:ln>
                        </wps:spPr>
                        <wps:bodyPr wrap="square" lIns="0" tIns="0" rIns="0" bIns="0" rtlCol="0">
                          <a:prstTxWarp prst="textNoShape">
                            <a:avLst/>
                          </a:prstTxWarp>
                          <a:noAutofit/>
                        </wps:bodyPr>
                      </wps:wsp>
                      <wps:wsp>
                        <wps:cNvPr id="286" name="Graphic 286"/>
                        <wps:cNvSpPr/>
                        <wps:spPr>
                          <a:xfrm>
                            <a:off x="1622678" y="266700"/>
                            <a:ext cx="2076450" cy="2743200"/>
                          </a:xfrm>
                          <a:custGeom>
                            <a:avLst/>
                            <a:gdLst/>
                            <a:ahLst/>
                            <a:cxnLst/>
                            <a:rect l="l" t="t" r="r" b="b"/>
                            <a:pathLst>
                              <a:path w="2076450" h="2743200">
                                <a:moveTo>
                                  <a:pt x="2076450" y="0"/>
                                </a:moveTo>
                                <a:lnTo>
                                  <a:pt x="0" y="0"/>
                                </a:lnTo>
                                <a:lnTo>
                                  <a:pt x="0" y="2743200"/>
                                </a:lnTo>
                                <a:lnTo>
                                  <a:pt x="2076450" y="2743200"/>
                                </a:lnTo>
                                <a:lnTo>
                                  <a:pt x="2076450" y="0"/>
                                </a:lnTo>
                                <a:close/>
                              </a:path>
                            </a:pathLst>
                          </a:custGeom>
                          <a:solidFill>
                            <a:srgbClr val="FFFFFF"/>
                          </a:solidFill>
                        </wps:spPr>
                        <wps:bodyPr wrap="square" lIns="0" tIns="0" rIns="0" bIns="0" rtlCol="0">
                          <a:prstTxWarp prst="textNoShape">
                            <a:avLst/>
                          </a:prstTxWarp>
                          <a:noAutofit/>
                        </wps:bodyPr>
                      </wps:wsp>
                      <wps:wsp>
                        <wps:cNvPr id="287" name="Graphic 287"/>
                        <wps:cNvSpPr/>
                        <wps:spPr>
                          <a:xfrm>
                            <a:off x="1622678" y="266700"/>
                            <a:ext cx="2076450" cy="2743200"/>
                          </a:xfrm>
                          <a:custGeom>
                            <a:avLst/>
                            <a:gdLst/>
                            <a:ahLst/>
                            <a:cxnLst/>
                            <a:rect l="l" t="t" r="r" b="b"/>
                            <a:pathLst>
                              <a:path w="2076450" h="2743200">
                                <a:moveTo>
                                  <a:pt x="0" y="2743200"/>
                                </a:moveTo>
                                <a:lnTo>
                                  <a:pt x="2076450" y="2743200"/>
                                </a:lnTo>
                                <a:lnTo>
                                  <a:pt x="2076450" y="0"/>
                                </a:lnTo>
                                <a:lnTo>
                                  <a:pt x="0" y="0"/>
                                </a:lnTo>
                                <a:lnTo>
                                  <a:pt x="0" y="2743200"/>
                                </a:lnTo>
                                <a:close/>
                              </a:path>
                            </a:pathLst>
                          </a:custGeom>
                          <a:ln w="9524">
                            <a:solidFill>
                              <a:srgbClr val="000000"/>
                            </a:solidFill>
                            <a:prstDash val="solid"/>
                          </a:ln>
                        </wps:spPr>
                        <wps:bodyPr wrap="square" lIns="0" tIns="0" rIns="0" bIns="0" rtlCol="0">
                          <a:prstTxWarp prst="textNoShape">
                            <a:avLst/>
                          </a:prstTxWarp>
                          <a:noAutofit/>
                        </wps:bodyPr>
                      </wps:wsp>
                      <wps:wsp>
                        <wps:cNvPr id="288" name="Graphic 288"/>
                        <wps:cNvSpPr/>
                        <wps:spPr>
                          <a:xfrm>
                            <a:off x="3699128" y="266700"/>
                            <a:ext cx="847725" cy="2743200"/>
                          </a:xfrm>
                          <a:custGeom>
                            <a:avLst/>
                            <a:gdLst/>
                            <a:ahLst/>
                            <a:cxnLst/>
                            <a:rect l="l" t="t" r="r" b="b"/>
                            <a:pathLst>
                              <a:path w="847725" h="2743200">
                                <a:moveTo>
                                  <a:pt x="847725" y="0"/>
                                </a:moveTo>
                                <a:lnTo>
                                  <a:pt x="0" y="0"/>
                                </a:lnTo>
                                <a:lnTo>
                                  <a:pt x="0" y="2743200"/>
                                </a:lnTo>
                                <a:lnTo>
                                  <a:pt x="847725" y="2743200"/>
                                </a:lnTo>
                                <a:lnTo>
                                  <a:pt x="847725" y="0"/>
                                </a:lnTo>
                                <a:close/>
                              </a:path>
                            </a:pathLst>
                          </a:custGeom>
                          <a:solidFill>
                            <a:srgbClr val="FFFFFF"/>
                          </a:solidFill>
                        </wps:spPr>
                        <wps:bodyPr wrap="square" lIns="0" tIns="0" rIns="0" bIns="0" rtlCol="0">
                          <a:prstTxWarp prst="textNoShape">
                            <a:avLst/>
                          </a:prstTxWarp>
                          <a:noAutofit/>
                        </wps:bodyPr>
                      </wps:wsp>
                      <wps:wsp>
                        <wps:cNvPr id="289" name="Graphic 289"/>
                        <wps:cNvSpPr/>
                        <wps:spPr>
                          <a:xfrm>
                            <a:off x="3699128" y="266700"/>
                            <a:ext cx="847725" cy="2743200"/>
                          </a:xfrm>
                          <a:custGeom>
                            <a:avLst/>
                            <a:gdLst/>
                            <a:ahLst/>
                            <a:cxnLst/>
                            <a:rect l="l" t="t" r="r" b="b"/>
                            <a:pathLst>
                              <a:path w="847725" h="2743200">
                                <a:moveTo>
                                  <a:pt x="0" y="2743200"/>
                                </a:moveTo>
                                <a:lnTo>
                                  <a:pt x="847725" y="2743200"/>
                                </a:lnTo>
                                <a:lnTo>
                                  <a:pt x="847725" y="0"/>
                                </a:lnTo>
                                <a:lnTo>
                                  <a:pt x="0" y="0"/>
                                </a:lnTo>
                                <a:lnTo>
                                  <a:pt x="0" y="2743200"/>
                                </a:lnTo>
                                <a:close/>
                              </a:path>
                            </a:pathLst>
                          </a:custGeom>
                          <a:ln w="9525">
                            <a:solidFill>
                              <a:srgbClr val="000000"/>
                            </a:solidFill>
                            <a:prstDash val="solid"/>
                          </a:ln>
                        </wps:spPr>
                        <wps:bodyPr wrap="square" lIns="0" tIns="0" rIns="0" bIns="0" rtlCol="0">
                          <a:prstTxWarp prst="textNoShape">
                            <a:avLst/>
                          </a:prstTxWarp>
                          <a:noAutofit/>
                        </wps:bodyPr>
                      </wps:wsp>
                      <pic:pic>
                        <pic:nvPicPr>
                          <pic:cNvPr id="290" name="Image 290"/>
                          <pic:cNvPicPr/>
                        </pic:nvPicPr>
                        <pic:blipFill>
                          <a:blip r:embed="rId65" cstate="print"/>
                          <a:stretch>
                            <a:fillRect/>
                          </a:stretch>
                        </pic:blipFill>
                        <pic:spPr>
                          <a:xfrm>
                            <a:off x="4537328" y="266700"/>
                            <a:ext cx="809625" cy="2743200"/>
                          </a:xfrm>
                          <a:prstGeom prst="rect">
                            <a:avLst/>
                          </a:prstGeom>
                        </pic:spPr>
                      </pic:pic>
                      <wps:wsp>
                        <wps:cNvPr id="291" name="Graphic 291"/>
                        <wps:cNvSpPr/>
                        <wps:spPr>
                          <a:xfrm>
                            <a:off x="4537328" y="266700"/>
                            <a:ext cx="809625" cy="2743200"/>
                          </a:xfrm>
                          <a:custGeom>
                            <a:avLst/>
                            <a:gdLst/>
                            <a:ahLst/>
                            <a:cxnLst/>
                            <a:rect l="l" t="t" r="r" b="b"/>
                            <a:pathLst>
                              <a:path w="809625" h="2743200">
                                <a:moveTo>
                                  <a:pt x="0" y="2743200"/>
                                </a:moveTo>
                                <a:lnTo>
                                  <a:pt x="809625" y="2743200"/>
                                </a:lnTo>
                                <a:lnTo>
                                  <a:pt x="809625" y="0"/>
                                </a:lnTo>
                                <a:lnTo>
                                  <a:pt x="0" y="0"/>
                                </a:lnTo>
                                <a:lnTo>
                                  <a:pt x="0" y="2743200"/>
                                </a:lnTo>
                                <a:close/>
                              </a:path>
                            </a:pathLst>
                          </a:custGeom>
                          <a:ln w="9525">
                            <a:solidFill>
                              <a:srgbClr val="000000"/>
                            </a:solidFill>
                            <a:prstDash val="solid"/>
                          </a:ln>
                        </wps:spPr>
                        <wps:bodyPr wrap="square" lIns="0" tIns="0" rIns="0" bIns="0" rtlCol="0">
                          <a:prstTxWarp prst="textNoShape">
                            <a:avLst/>
                          </a:prstTxWarp>
                          <a:noAutofit/>
                        </wps:bodyPr>
                      </wps:wsp>
                      <wps:wsp>
                        <wps:cNvPr id="292" name="Graphic 292"/>
                        <wps:cNvSpPr/>
                        <wps:spPr>
                          <a:xfrm>
                            <a:off x="2651379" y="304800"/>
                            <a:ext cx="1270" cy="2705100"/>
                          </a:xfrm>
                          <a:custGeom>
                            <a:avLst/>
                            <a:gdLst/>
                            <a:ahLst/>
                            <a:cxnLst/>
                            <a:rect l="l" t="t" r="r" b="b"/>
                            <a:pathLst>
                              <a:path w="0" h="2705100">
                                <a:moveTo>
                                  <a:pt x="0" y="0"/>
                                </a:moveTo>
                                <a:lnTo>
                                  <a:pt x="0" y="2705099"/>
                                </a:lnTo>
                              </a:path>
                            </a:pathLst>
                          </a:custGeom>
                          <a:ln w="19050">
                            <a:solidFill>
                              <a:srgbClr val="000000"/>
                            </a:solidFill>
                            <a:prstDash val="sysDot"/>
                          </a:ln>
                        </wps:spPr>
                        <wps:bodyPr wrap="square" lIns="0" tIns="0" rIns="0" bIns="0" rtlCol="0">
                          <a:prstTxWarp prst="textNoShape">
                            <a:avLst/>
                          </a:prstTxWarp>
                          <a:noAutofit/>
                        </wps:bodyPr>
                      </wps:wsp>
                      <wps:wsp>
                        <wps:cNvPr id="293" name="Graphic 293"/>
                        <wps:cNvSpPr/>
                        <wps:spPr>
                          <a:xfrm>
                            <a:off x="117729" y="213995"/>
                            <a:ext cx="5248275" cy="90805"/>
                          </a:xfrm>
                          <a:custGeom>
                            <a:avLst/>
                            <a:gdLst/>
                            <a:ahLst/>
                            <a:cxnLst/>
                            <a:rect l="l" t="t" r="r" b="b"/>
                            <a:pathLst>
                              <a:path w="5248275" h="90805">
                                <a:moveTo>
                                  <a:pt x="5248275" y="0"/>
                                </a:moveTo>
                                <a:lnTo>
                                  <a:pt x="0" y="0"/>
                                </a:lnTo>
                                <a:lnTo>
                                  <a:pt x="0" y="90804"/>
                                </a:lnTo>
                                <a:lnTo>
                                  <a:pt x="5248275" y="90804"/>
                                </a:lnTo>
                                <a:lnTo>
                                  <a:pt x="5248275" y="0"/>
                                </a:lnTo>
                                <a:close/>
                              </a:path>
                            </a:pathLst>
                          </a:custGeom>
                          <a:solidFill>
                            <a:srgbClr val="FFFFFF"/>
                          </a:solidFill>
                        </wps:spPr>
                        <wps:bodyPr wrap="square" lIns="0" tIns="0" rIns="0" bIns="0" rtlCol="0">
                          <a:prstTxWarp prst="textNoShape">
                            <a:avLst/>
                          </a:prstTxWarp>
                          <a:noAutofit/>
                        </wps:bodyPr>
                      </wps:wsp>
                      <wps:wsp>
                        <wps:cNvPr id="294" name="Graphic 294"/>
                        <wps:cNvSpPr/>
                        <wps:spPr>
                          <a:xfrm>
                            <a:off x="4215384" y="3000375"/>
                            <a:ext cx="76200" cy="390525"/>
                          </a:xfrm>
                          <a:custGeom>
                            <a:avLst/>
                            <a:gdLst/>
                            <a:ahLst/>
                            <a:cxnLst/>
                            <a:rect l="l" t="t" r="r" b="b"/>
                            <a:pathLst>
                              <a:path w="76200" h="390525">
                                <a:moveTo>
                                  <a:pt x="33274" y="314325"/>
                                </a:moveTo>
                                <a:lnTo>
                                  <a:pt x="0" y="314325"/>
                                </a:lnTo>
                                <a:lnTo>
                                  <a:pt x="38100" y="390525"/>
                                </a:lnTo>
                                <a:lnTo>
                                  <a:pt x="69850" y="327025"/>
                                </a:lnTo>
                                <a:lnTo>
                                  <a:pt x="33274" y="327025"/>
                                </a:lnTo>
                                <a:lnTo>
                                  <a:pt x="33274" y="314325"/>
                                </a:lnTo>
                                <a:close/>
                              </a:path>
                              <a:path w="76200" h="390525">
                                <a:moveTo>
                                  <a:pt x="42799" y="0"/>
                                </a:moveTo>
                                <a:lnTo>
                                  <a:pt x="33274" y="0"/>
                                </a:lnTo>
                                <a:lnTo>
                                  <a:pt x="33274" y="327025"/>
                                </a:lnTo>
                                <a:lnTo>
                                  <a:pt x="42799" y="327025"/>
                                </a:lnTo>
                                <a:lnTo>
                                  <a:pt x="42799" y="0"/>
                                </a:lnTo>
                                <a:close/>
                              </a:path>
                              <a:path w="76200" h="390525">
                                <a:moveTo>
                                  <a:pt x="76200" y="314325"/>
                                </a:moveTo>
                                <a:lnTo>
                                  <a:pt x="42799" y="314325"/>
                                </a:lnTo>
                                <a:lnTo>
                                  <a:pt x="42799" y="327025"/>
                                </a:lnTo>
                                <a:lnTo>
                                  <a:pt x="69850" y="327025"/>
                                </a:lnTo>
                                <a:lnTo>
                                  <a:pt x="76200" y="314325"/>
                                </a:lnTo>
                                <a:close/>
                              </a:path>
                            </a:pathLst>
                          </a:custGeom>
                          <a:solidFill>
                            <a:srgbClr val="000000"/>
                          </a:solidFill>
                        </wps:spPr>
                        <wps:bodyPr wrap="square" lIns="0" tIns="0" rIns="0" bIns="0" rtlCol="0">
                          <a:prstTxWarp prst="textNoShape">
                            <a:avLst/>
                          </a:prstTxWarp>
                          <a:noAutofit/>
                        </wps:bodyPr>
                      </wps:wsp>
                      <wps:wsp>
                        <wps:cNvPr id="295" name="Graphic 295"/>
                        <wps:cNvSpPr/>
                        <wps:spPr>
                          <a:xfrm>
                            <a:off x="79628" y="713377"/>
                            <a:ext cx="5267325" cy="2287270"/>
                          </a:xfrm>
                          <a:custGeom>
                            <a:avLst/>
                            <a:gdLst/>
                            <a:ahLst/>
                            <a:cxnLst/>
                            <a:rect l="l" t="t" r="r" b="b"/>
                            <a:pathLst>
                              <a:path w="5267325" h="2287270">
                                <a:moveTo>
                                  <a:pt x="0" y="2286997"/>
                                </a:moveTo>
                                <a:lnTo>
                                  <a:pt x="31476" y="2240849"/>
                                </a:lnTo>
                                <a:lnTo>
                                  <a:pt x="62952" y="2194723"/>
                                </a:lnTo>
                                <a:lnTo>
                                  <a:pt x="94425" y="2148641"/>
                                </a:lnTo>
                                <a:lnTo>
                                  <a:pt x="125893" y="2102623"/>
                                </a:lnTo>
                                <a:lnTo>
                                  <a:pt x="157353" y="2056690"/>
                                </a:lnTo>
                                <a:lnTo>
                                  <a:pt x="188803" y="2010864"/>
                                </a:lnTo>
                                <a:lnTo>
                                  <a:pt x="220240" y="1965164"/>
                                </a:lnTo>
                                <a:lnTo>
                                  <a:pt x="251663" y="1919611"/>
                                </a:lnTo>
                                <a:lnTo>
                                  <a:pt x="283068" y="1874227"/>
                                </a:lnTo>
                                <a:lnTo>
                                  <a:pt x="314453" y="1829032"/>
                                </a:lnTo>
                                <a:lnTo>
                                  <a:pt x="345817" y="1784047"/>
                                </a:lnTo>
                                <a:lnTo>
                                  <a:pt x="377155" y="1739293"/>
                                </a:lnTo>
                                <a:lnTo>
                                  <a:pt x="408467" y="1694791"/>
                                </a:lnTo>
                                <a:lnTo>
                                  <a:pt x="439749" y="1650560"/>
                                </a:lnTo>
                                <a:lnTo>
                                  <a:pt x="470999" y="1606623"/>
                                </a:lnTo>
                                <a:lnTo>
                                  <a:pt x="502215" y="1563000"/>
                                </a:lnTo>
                                <a:lnTo>
                                  <a:pt x="533395" y="1519711"/>
                                </a:lnTo>
                                <a:lnTo>
                                  <a:pt x="564535" y="1476778"/>
                                </a:lnTo>
                                <a:lnTo>
                                  <a:pt x="595634" y="1434222"/>
                                </a:lnTo>
                                <a:lnTo>
                                  <a:pt x="626689" y="1392062"/>
                                </a:lnTo>
                                <a:lnTo>
                                  <a:pt x="657697" y="1350321"/>
                                </a:lnTo>
                                <a:lnTo>
                                  <a:pt x="688657" y="1309018"/>
                                </a:lnTo>
                                <a:lnTo>
                                  <a:pt x="719566" y="1268175"/>
                                </a:lnTo>
                                <a:lnTo>
                                  <a:pt x="750421" y="1227812"/>
                                </a:lnTo>
                                <a:lnTo>
                                  <a:pt x="781220" y="1187950"/>
                                </a:lnTo>
                                <a:lnTo>
                                  <a:pt x="811960" y="1148610"/>
                                </a:lnTo>
                                <a:lnTo>
                                  <a:pt x="842640" y="1109812"/>
                                </a:lnTo>
                                <a:lnTo>
                                  <a:pt x="873257" y="1071579"/>
                                </a:lnTo>
                                <a:lnTo>
                                  <a:pt x="903808" y="1033929"/>
                                </a:lnTo>
                                <a:lnTo>
                                  <a:pt x="934290" y="996885"/>
                                </a:lnTo>
                                <a:lnTo>
                                  <a:pt x="964703" y="960466"/>
                                </a:lnTo>
                                <a:lnTo>
                                  <a:pt x="995042" y="924695"/>
                                </a:lnTo>
                                <a:lnTo>
                                  <a:pt x="1025306" y="889590"/>
                                </a:lnTo>
                                <a:lnTo>
                                  <a:pt x="1055493" y="855175"/>
                                </a:lnTo>
                                <a:lnTo>
                                  <a:pt x="1085599" y="821468"/>
                                </a:lnTo>
                                <a:lnTo>
                                  <a:pt x="1115622" y="788491"/>
                                </a:lnTo>
                                <a:lnTo>
                                  <a:pt x="1145561" y="756264"/>
                                </a:lnTo>
                                <a:lnTo>
                                  <a:pt x="1175412" y="724810"/>
                                </a:lnTo>
                                <a:lnTo>
                                  <a:pt x="1205174" y="694147"/>
                                </a:lnTo>
                                <a:lnTo>
                                  <a:pt x="1234843" y="664298"/>
                                </a:lnTo>
                                <a:lnTo>
                                  <a:pt x="1264418" y="635282"/>
                                </a:lnTo>
                                <a:lnTo>
                                  <a:pt x="1293895" y="607122"/>
                                </a:lnTo>
                                <a:lnTo>
                                  <a:pt x="1323273" y="579836"/>
                                </a:lnTo>
                                <a:lnTo>
                                  <a:pt x="1352550" y="553447"/>
                                </a:lnTo>
                                <a:lnTo>
                                  <a:pt x="1400020" y="512161"/>
                                </a:lnTo>
                                <a:lnTo>
                                  <a:pt x="1447192" y="472802"/>
                                </a:lnTo>
                                <a:lnTo>
                                  <a:pt x="1494079" y="435334"/>
                                </a:lnTo>
                                <a:lnTo>
                                  <a:pt x="1540696" y="399718"/>
                                </a:lnTo>
                                <a:lnTo>
                                  <a:pt x="1587057" y="365919"/>
                                </a:lnTo>
                                <a:lnTo>
                                  <a:pt x="1633178" y="333898"/>
                                </a:lnTo>
                                <a:lnTo>
                                  <a:pt x="1679072" y="303617"/>
                                </a:lnTo>
                                <a:lnTo>
                                  <a:pt x="1724754" y="275040"/>
                                </a:lnTo>
                                <a:lnTo>
                                  <a:pt x="1770238" y="248130"/>
                                </a:lnTo>
                                <a:lnTo>
                                  <a:pt x="1815540" y="222848"/>
                                </a:lnTo>
                                <a:lnTo>
                                  <a:pt x="1860673" y="199158"/>
                                </a:lnTo>
                                <a:lnTo>
                                  <a:pt x="1905653" y="177022"/>
                                </a:lnTo>
                                <a:lnTo>
                                  <a:pt x="1950493" y="156403"/>
                                </a:lnTo>
                                <a:lnTo>
                                  <a:pt x="1995208" y="137263"/>
                                </a:lnTo>
                                <a:lnTo>
                                  <a:pt x="2039813" y="119565"/>
                                </a:lnTo>
                                <a:lnTo>
                                  <a:pt x="2084322" y="103272"/>
                                </a:lnTo>
                                <a:lnTo>
                                  <a:pt x="2128750" y="88347"/>
                                </a:lnTo>
                                <a:lnTo>
                                  <a:pt x="2173111" y="74751"/>
                                </a:lnTo>
                                <a:lnTo>
                                  <a:pt x="2217419" y="62448"/>
                                </a:lnTo>
                                <a:lnTo>
                                  <a:pt x="2261690" y="51401"/>
                                </a:lnTo>
                                <a:lnTo>
                                  <a:pt x="2305938" y="41571"/>
                                </a:lnTo>
                                <a:lnTo>
                                  <a:pt x="2350177" y="32922"/>
                                </a:lnTo>
                                <a:lnTo>
                                  <a:pt x="2394422" y="25416"/>
                                </a:lnTo>
                                <a:lnTo>
                                  <a:pt x="2438687" y="19016"/>
                                </a:lnTo>
                                <a:lnTo>
                                  <a:pt x="2482987" y="13684"/>
                                </a:lnTo>
                                <a:lnTo>
                                  <a:pt x="2527336" y="9384"/>
                                </a:lnTo>
                                <a:lnTo>
                                  <a:pt x="2571750" y="6077"/>
                                </a:lnTo>
                                <a:lnTo>
                                  <a:pt x="2617618" y="3452"/>
                                </a:lnTo>
                                <a:lnTo>
                                  <a:pt x="2662947" y="1502"/>
                                </a:lnTo>
                                <a:lnTo>
                                  <a:pt x="2707798" y="320"/>
                                </a:lnTo>
                                <a:lnTo>
                                  <a:pt x="2752236" y="0"/>
                                </a:lnTo>
                                <a:lnTo>
                                  <a:pt x="2796323" y="635"/>
                                </a:lnTo>
                                <a:lnTo>
                                  <a:pt x="2840123" y="2321"/>
                                </a:lnTo>
                                <a:lnTo>
                                  <a:pt x="2883698" y="5150"/>
                                </a:lnTo>
                                <a:lnTo>
                                  <a:pt x="2927111" y="9217"/>
                                </a:lnTo>
                                <a:lnTo>
                                  <a:pt x="2970426" y="14616"/>
                                </a:lnTo>
                                <a:lnTo>
                                  <a:pt x="3013706" y="21439"/>
                                </a:lnTo>
                                <a:lnTo>
                                  <a:pt x="3057013" y="29782"/>
                                </a:lnTo>
                                <a:lnTo>
                                  <a:pt x="3100412" y="39738"/>
                                </a:lnTo>
                                <a:lnTo>
                                  <a:pt x="3143964" y="51400"/>
                                </a:lnTo>
                                <a:lnTo>
                                  <a:pt x="3187733" y="64864"/>
                                </a:lnTo>
                                <a:lnTo>
                                  <a:pt x="3231782" y="80222"/>
                                </a:lnTo>
                                <a:lnTo>
                                  <a:pt x="3276175" y="97568"/>
                                </a:lnTo>
                                <a:lnTo>
                                  <a:pt x="3320973" y="116997"/>
                                </a:lnTo>
                                <a:lnTo>
                                  <a:pt x="3366241" y="138602"/>
                                </a:lnTo>
                                <a:lnTo>
                                  <a:pt x="3412041" y="162477"/>
                                </a:lnTo>
                                <a:lnTo>
                                  <a:pt x="3458437" y="188716"/>
                                </a:lnTo>
                                <a:lnTo>
                                  <a:pt x="3505492" y="217412"/>
                                </a:lnTo>
                                <a:lnTo>
                                  <a:pt x="3553268" y="248661"/>
                                </a:lnTo>
                                <a:lnTo>
                                  <a:pt x="3601828" y="282554"/>
                                </a:lnTo>
                                <a:lnTo>
                                  <a:pt x="3651237" y="319187"/>
                                </a:lnTo>
                                <a:lnTo>
                                  <a:pt x="3701556" y="358654"/>
                                </a:lnTo>
                                <a:lnTo>
                                  <a:pt x="3752850" y="401047"/>
                                </a:lnTo>
                                <a:lnTo>
                                  <a:pt x="3809398" y="450504"/>
                                </a:lnTo>
                                <a:lnTo>
                                  <a:pt x="3837988" y="476636"/>
                                </a:lnTo>
                                <a:lnTo>
                                  <a:pt x="3866783" y="503676"/>
                                </a:lnTo>
                                <a:lnTo>
                                  <a:pt x="3895779" y="531604"/>
                                </a:lnTo>
                                <a:lnTo>
                                  <a:pt x="3924969" y="560401"/>
                                </a:lnTo>
                                <a:lnTo>
                                  <a:pt x="3954351" y="590046"/>
                                </a:lnTo>
                                <a:lnTo>
                                  <a:pt x="3983919" y="620519"/>
                                </a:lnTo>
                                <a:lnTo>
                                  <a:pt x="4013669" y="651800"/>
                                </a:lnTo>
                                <a:lnTo>
                                  <a:pt x="4043596" y="683868"/>
                                </a:lnTo>
                                <a:lnTo>
                                  <a:pt x="4073696" y="716704"/>
                                </a:lnTo>
                                <a:lnTo>
                                  <a:pt x="4103965" y="750287"/>
                                </a:lnTo>
                                <a:lnTo>
                                  <a:pt x="4134397" y="784598"/>
                                </a:lnTo>
                                <a:lnTo>
                                  <a:pt x="4164988" y="819615"/>
                                </a:lnTo>
                                <a:lnTo>
                                  <a:pt x="4195734" y="855320"/>
                                </a:lnTo>
                                <a:lnTo>
                                  <a:pt x="4226630" y="891691"/>
                                </a:lnTo>
                                <a:lnTo>
                                  <a:pt x="4257672" y="928708"/>
                                </a:lnTo>
                                <a:lnTo>
                                  <a:pt x="4288854" y="966352"/>
                                </a:lnTo>
                                <a:lnTo>
                                  <a:pt x="4320173" y="1004603"/>
                                </a:lnTo>
                                <a:lnTo>
                                  <a:pt x="4351624" y="1043439"/>
                                </a:lnTo>
                                <a:lnTo>
                                  <a:pt x="4383202" y="1082841"/>
                                </a:lnTo>
                                <a:lnTo>
                                  <a:pt x="4414903" y="1122790"/>
                                </a:lnTo>
                                <a:lnTo>
                                  <a:pt x="4446722" y="1163263"/>
                                </a:lnTo>
                                <a:lnTo>
                                  <a:pt x="4478655" y="1204243"/>
                                </a:lnTo>
                                <a:lnTo>
                                  <a:pt x="4510696" y="1245708"/>
                                </a:lnTo>
                                <a:lnTo>
                                  <a:pt x="4542843" y="1287637"/>
                                </a:lnTo>
                                <a:lnTo>
                                  <a:pt x="4575090" y="1330012"/>
                                </a:lnTo>
                                <a:lnTo>
                                  <a:pt x="4607432" y="1372812"/>
                                </a:lnTo>
                                <a:lnTo>
                                  <a:pt x="4639865" y="1416017"/>
                                </a:lnTo>
                                <a:lnTo>
                                  <a:pt x="4672384" y="1459606"/>
                                </a:lnTo>
                                <a:lnTo>
                                  <a:pt x="4704985" y="1503559"/>
                                </a:lnTo>
                                <a:lnTo>
                                  <a:pt x="4737664" y="1547857"/>
                                </a:lnTo>
                                <a:lnTo>
                                  <a:pt x="4770415" y="1592479"/>
                                </a:lnTo>
                                <a:lnTo>
                                  <a:pt x="4803235" y="1637405"/>
                                </a:lnTo>
                                <a:lnTo>
                                  <a:pt x="4836118" y="1682615"/>
                                </a:lnTo>
                                <a:lnTo>
                                  <a:pt x="4869060" y="1728088"/>
                                </a:lnTo>
                                <a:lnTo>
                                  <a:pt x="4902057" y="1773805"/>
                                </a:lnTo>
                                <a:lnTo>
                                  <a:pt x="4935104" y="1819745"/>
                                </a:lnTo>
                                <a:lnTo>
                                  <a:pt x="4968197" y="1865889"/>
                                </a:lnTo>
                                <a:lnTo>
                                  <a:pt x="5001330" y="1912215"/>
                                </a:lnTo>
                                <a:lnTo>
                                  <a:pt x="5034500" y="1958704"/>
                                </a:lnTo>
                                <a:lnTo>
                                  <a:pt x="5067701" y="2005336"/>
                                </a:lnTo>
                                <a:lnTo>
                                  <a:pt x="5100930" y="2052091"/>
                                </a:lnTo>
                                <a:lnTo>
                                  <a:pt x="5134182" y="2098948"/>
                                </a:lnTo>
                                <a:lnTo>
                                  <a:pt x="5167452" y="2145887"/>
                                </a:lnTo>
                                <a:lnTo>
                                  <a:pt x="5200735" y="2192889"/>
                                </a:lnTo>
                                <a:lnTo>
                                  <a:pt x="5234027" y="2239932"/>
                                </a:lnTo>
                                <a:lnTo>
                                  <a:pt x="5267325" y="2286997"/>
                                </a:lnTo>
                              </a:path>
                            </a:pathLst>
                          </a:custGeom>
                          <a:ln w="9525">
                            <a:solidFill>
                              <a:srgbClr val="000000"/>
                            </a:solidFill>
                            <a:prstDash val="solid"/>
                          </a:ln>
                        </wps:spPr>
                        <wps:bodyPr wrap="square" lIns="0" tIns="0" rIns="0" bIns="0" rtlCol="0">
                          <a:prstTxWarp prst="textNoShape">
                            <a:avLst/>
                          </a:prstTxWarp>
                          <a:noAutofit/>
                        </wps:bodyPr>
                      </wps:wsp>
                      <wps:wsp>
                        <wps:cNvPr id="296" name="Textbox 296"/>
                        <wps:cNvSpPr txBox="1"/>
                        <wps:spPr>
                          <a:xfrm>
                            <a:off x="1610808" y="889946"/>
                            <a:ext cx="69215" cy="140335"/>
                          </a:xfrm>
                          <a:prstGeom prst="rect">
                            <a:avLst/>
                          </a:prstGeom>
                        </wps:spPr>
                        <wps:txbx>
                          <w:txbxContent>
                            <w:p>
                              <w:pPr>
                                <w:spacing w:line="221" w:lineRule="exact" w:before="0"/>
                                <w:ind w:left="0" w:right="0" w:firstLine="0"/>
                                <w:jc w:val="left"/>
                                <w:rPr>
                                  <w:b/>
                                  <w:sz w:val="20"/>
                                </w:rPr>
                              </w:pPr>
                              <w:r>
                                <w:rPr>
                                  <w:b/>
                                  <w:spacing w:val="-10"/>
                                  <w:sz w:val="20"/>
                                </w:rPr>
                                <w:t>e</w:t>
                              </w:r>
                            </w:p>
                          </w:txbxContent>
                        </wps:txbx>
                        <wps:bodyPr wrap="square" lIns="0" tIns="0" rIns="0" bIns="0" rtlCol="0">
                          <a:noAutofit/>
                        </wps:bodyPr>
                      </wps:wsp>
                      <wps:wsp>
                        <wps:cNvPr id="297" name="Textbox 297"/>
                        <wps:cNvSpPr txBox="1"/>
                        <wps:spPr>
                          <a:xfrm>
                            <a:off x="2170810" y="1042346"/>
                            <a:ext cx="1003300" cy="433070"/>
                          </a:xfrm>
                          <a:prstGeom prst="rect">
                            <a:avLst/>
                          </a:prstGeom>
                        </wps:spPr>
                        <wps:txbx>
                          <w:txbxContent>
                            <w:p>
                              <w:pPr>
                                <w:spacing w:line="240" w:lineRule="auto" w:before="0"/>
                                <w:ind w:left="698" w:right="13" w:hanging="699"/>
                                <w:jc w:val="left"/>
                                <w:rPr>
                                  <w:sz w:val="20"/>
                                </w:rPr>
                              </w:pPr>
                              <w:r>
                                <w:rPr>
                                  <w:sz w:val="20"/>
                                </w:rPr>
                                <w:t>No</w:t>
                              </w:r>
                              <w:r>
                                <w:rPr>
                                  <w:spacing w:val="-13"/>
                                  <w:sz w:val="20"/>
                                </w:rPr>
                                <w:t> </w:t>
                              </w:r>
                              <w:r>
                                <w:rPr>
                                  <w:sz w:val="20"/>
                                </w:rPr>
                                <w:t>Autocorrelation </w:t>
                              </w:r>
                              <w:r>
                                <w:rPr>
                                  <w:spacing w:val="-6"/>
                                  <w:sz w:val="20"/>
                                </w:rPr>
                                <w:t>or</w:t>
                              </w:r>
                            </w:p>
                            <w:p>
                              <w:pPr>
                                <w:spacing w:before="0"/>
                                <w:ind w:left="0" w:right="0" w:firstLine="0"/>
                                <w:jc w:val="left"/>
                                <w:rPr>
                                  <w:sz w:val="20"/>
                                </w:rPr>
                              </w:pPr>
                              <w:r>
                                <w:rPr>
                                  <w:sz w:val="20"/>
                                </w:rPr>
                                <w:t>Acceptance</w:t>
                              </w:r>
                              <w:r>
                                <w:rPr>
                                  <w:spacing w:val="-12"/>
                                  <w:sz w:val="20"/>
                                </w:rPr>
                                <w:t> </w:t>
                              </w:r>
                              <w:r>
                                <w:rPr>
                                  <w:spacing w:val="-2"/>
                                  <w:sz w:val="20"/>
                                </w:rPr>
                                <w:t>Region</w:t>
                              </w:r>
                            </w:p>
                          </w:txbxContent>
                        </wps:txbx>
                        <wps:bodyPr wrap="square" lIns="0" tIns="0" rIns="0" bIns="0" rtlCol="0">
                          <a:noAutofit/>
                        </wps:bodyPr>
                      </wps:wsp>
                      <wps:wsp>
                        <wps:cNvPr id="298" name="Textbox 298"/>
                        <wps:cNvSpPr txBox="1"/>
                        <wps:spPr>
                          <a:xfrm>
                            <a:off x="0" y="2957742"/>
                            <a:ext cx="76200" cy="140970"/>
                          </a:xfrm>
                          <a:prstGeom prst="rect">
                            <a:avLst/>
                          </a:prstGeom>
                        </wps:spPr>
                        <wps:txbx>
                          <w:txbxContent>
                            <w:p>
                              <w:pPr>
                                <w:spacing w:line="221" w:lineRule="exact" w:before="0"/>
                                <w:ind w:left="0" w:right="0" w:firstLine="0"/>
                                <w:jc w:val="left"/>
                                <w:rPr>
                                  <w:sz w:val="20"/>
                                </w:rPr>
                              </w:pPr>
                              <w:r>
                                <w:rPr>
                                  <w:spacing w:val="-10"/>
                                  <w:sz w:val="20"/>
                                </w:rPr>
                                <w:t>0</w:t>
                              </w:r>
                            </w:p>
                          </w:txbxContent>
                        </wps:txbx>
                        <wps:bodyPr wrap="square" lIns="0" tIns="0" rIns="0" bIns="0" rtlCol="0">
                          <a:noAutofit/>
                        </wps:bodyPr>
                      </wps:wsp>
                      <wps:wsp>
                        <wps:cNvPr id="299" name="Textbox 299"/>
                        <wps:cNvSpPr txBox="1"/>
                        <wps:spPr>
                          <a:xfrm>
                            <a:off x="771398" y="3004986"/>
                            <a:ext cx="157480" cy="289560"/>
                          </a:xfrm>
                          <a:prstGeom prst="rect">
                            <a:avLst/>
                          </a:prstGeom>
                        </wps:spPr>
                        <wps:txbx>
                          <w:txbxContent>
                            <w:p>
                              <w:pPr>
                                <w:spacing w:line="225" w:lineRule="exact" w:before="0"/>
                                <w:ind w:left="0" w:right="0" w:firstLine="0"/>
                                <w:jc w:val="left"/>
                                <w:rPr>
                                  <w:sz w:val="13"/>
                                </w:rPr>
                              </w:pPr>
                              <w:r>
                                <w:rPr>
                                  <w:spacing w:val="-5"/>
                                  <w:position w:val="2"/>
                                  <w:sz w:val="20"/>
                                </w:rPr>
                                <w:t>d</w:t>
                              </w:r>
                              <w:r>
                                <w:rPr>
                                  <w:spacing w:val="-5"/>
                                  <w:sz w:val="13"/>
                                </w:rPr>
                                <w:t>L</w:t>
                              </w:r>
                            </w:p>
                            <w:p>
                              <w:pPr>
                                <w:spacing w:before="81"/>
                                <w:ind w:left="0" w:right="0" w:firstLine="0"/>
                                <w:jc w:val="left"/>
                                <w:rPr>
                                  <w:sz w:val="13"/>
                                </w:rPr>
                              </w:pPr>
                              <w:r>
                                <w:rPr>
                                  <w:spacing w:val="-4"/>
                                  <w:sz w:val="13"/>
                                </w:rPr>
                                <w:t>1.16</w:t>
                              </w:r>
                            </w:p>
                          </w:txbxContent>
                        </wps:txbx>
                        <wps:bodyPr wrap="square" lIns="0" tIns="0" rIns="0" bIns="0" rtlCol="0">
                          <a:noAutofit/>
                        </wps:bodyPr>
                      </wps:wsp>
                      <wps:wsp>
                        <wps:cNvPr id="300" name="Textbox 300"/>
                        <wps:cNvSpPr txBox="1"/>
                        <wps:spPr>
                          <a:xfrm>
                            <a:off x="1571497" y="2995842"/>
                            <a:ext cx="157480" cy="288290"/>
                          </a:xfrm>
                          <a:prstGeom prst="rect">
                            <a:avLst/>
                          </a:prstGeom>
                        </wps:spPr>
                        <wps:txbx>
                          <w:txbxContent>
                            <w:p>
                              <w:pPr>
                                <w:spacing w:line="225" w:lineRule="exact" w:before="0"/>
                                <w:ind w:left="0" w:right="0" w:firstLine="0"/>
                                <w:jc w:val="left"/>
                                <w:rPr>
                                  <w:sz w:val="13"/>
                                </w:rPr>
                              </w:pPr>
                              <w:r>
                                <w:rPr>
                                  <w:spacing w:val="-5"/>
                                  <w:position w:val="2"/>
                                  <w:sz w:val="20"/>
                                </w:rPr>
                                <w:t>d</w:t>
                              </w:r>
                              <w:r>
                                <w:rPr>
                                  <w:spacing w:val="-5"/>
                                  <w:sz w:val="13"/>
                                </w:rPr>
                                <w:t>U</w:t>
                              </w:r>
                            </w:p>
                            <w:p>
                              <w:pPr>
                                <w:spacing w:before="79"/>
                                <w:ind w:left="0" w:right="0" w:firstLine="0"/>
                                <w:jc w:val="left"/>
                                <w:rPr>
                                  <w:sz w:val="13"/>
                                </w:rPr>
                              </w:pPr>
                              <w:r>
                                <w:rPr>
                                  <w:spacing w:val="-4"/>
                                  <w:sz w:val="13"/>
                                </w:rPr>
                                <w:t>1.74</w:t>
                              </w:r>
                            </w:p>
                          </w:txbxContent>
                        </wps:txbx>
                        <wps:bodyPr wrap="square" lIns="0" tIns="0" rIns="0" bIns="0" rtlCol="0">
                          <a:noAutofit/>
                        </wps:bodyPr>
                      </wps:wsp>
                      <wps:wsp>
                        <wps:cNvPr id="301" name="Textbox 301"/>
                        <wps:cNvSpPr txBox="1"/>
                        <wps:spPr>
                          <a:xfrm>
                            <a:off x="2618867" y="3014130"/>
                            <a:ext cx="76200" cy="140970"/>
                          </a:xfrm>
                          <a:prstGeom prst="rect">
                            <a:avLst/>
                          </a:prstGeom>
                        </wps:spPr>
                        <wps:txbx>
                          <w:txbxContent>
                            <w:p>
                              <w:pPr>
                                <w:spacing w:line="221" w:lineRule="exact" w:before="0"/>
                                <w:ind w:left="0" w:right="0" w:firstLine="0"/>
                                <w:jc w:val="left"/>
                                <w:rPr>
                                  <w:sz w:val="20"/>
                                </w:rPr>
                              </w:pPr>
                              <w:r>
                                <w:rPr>
                                  <w:spacing w:val="-10"/>
                                  <w:sz w:val="20"/>
                                </w:rPr>
                                <w:t>2</w:t>
                              </w:r>
                            </w:p>
                          </w:txbxContent>
                        </wps:txbx>
                        <wps:bodyPr wrap="square" lIns="0" tIns="0" rIns="0" bIns="0" rtlCol="0">
                          <a:noAutofit/>
                        </wps:bodyPr>
                      </wps:wsp>
                      <wps:wsp>
                        <wps:cNvPr id="302" name="Textbox 302"/>
                        <wps:cNvSpPr txBox="1"/>
                        <wps:spPr>
                          <a:xfrm>
                            <a:off x="3609721" y="3004986"/>
                            <a:ext cx="241935" cy="289560"/>
                          </a:xfrm>
                          <a:prstGeom prst="rect">
                            <a:avLst/>
                          </a:prstGeom>
                        </wps:spPr>
                        <wps:txbx>
                          <w:txbxContent>
                            <w:p>
                              <w:pPr>
                                <w:spacing w:line="225" w:lineRule="exact" w:before="0"/>
                                <w:ind w:left="0" w:right="0" w:firstLine="0"/>
                                <w:jc w:val="left"/>
                                <w:rPr>
                                  <w:sz w:val="13"/>
                                </w:rPr>
                              </w:pPr>
                              <w:r>
                                <w:rPr>
                                  <w:spacing w:val="-2"/>
                                  <w:position w:val="2"/>
                                  <w:sz w:val="20"/>
                                </w:rPr>
                                <w:t>4-</w:t>
                              </w:r>
                              <w:r>
                                <w:rPr>
                                  <w:spacing w:val="-5"/>
                                  <w:position w:val="2"/>
                                  <w:sz w:val="20"/>
                                </w:rPr>
                                <w:t>d</w:t>
                              </w:r>
                              <w:r>
                                <w:rPr>
                                  <w:spacing w:val="-5"/>
                                  <w:sz w:val="13"/>
                                </w:rPr>
                                <w:t>U</w:t>
                              </w:r>
                            </w:p>
                            <w:p>
                              <w:pPr>
                                <w:spacing w:before="81"/>
                                <w:ind w:left="0" w:right="0" w:firstLine="0"/>
                                <w:jc w:val="left"/>
                                <w:rPr>
                                  <w:sz w:val="13"/>
                                </w:rPr>
                              </w:pPr>
                              <w:r>
                                <w:rPr>
                                  <w:spacing w:val="-4"/>
                                  <w:sz w:val="13"/>
                                </w:rPr>
                                <w:t>2.26</w:t>
                              </w:r>
                            </w:p>
                          </w:txbxContent>
                        </wps:txbx>
                        <wps:bodyPr wrap="square" lIns="0" tIns="0" rIns="0" bIns="0" rtlCol="0">
                          <a:noAutofit/>
                        </wps:bodyPr>
                      </wps:wsp>
                      <wps:wsp>
                        <wps:cNvPr id="303" name="Textbox 303"/>
                        <wps:cNvSpPr txBox="1"/>
                        <wps:spPr>
                          <a:xfrm>
                            <a:off x="4409821" y="2995842"/>
                            <a:ext cx="232410" cy="288290"/>
                          </a:xfrm>
                          <a:prstGeom prst="rect">
                            <a:avLst/>
                          </a:prstGeom>
                        </wps:spPr>
                        <wps:txbx>
                          <w:txbxContent>
                            <w:p>
                              <w:pPr>
                                <w:spacing w:line="225" w:lineRule="exact" w:before="0"/>
                                <w:ind w:left="0" w:right="0" w:firstLine="0"/>
                                <w:jc w:val="left"/>
                                <w:rPr>
                                  <w:sz w:val="13"/>
                                </w:rPr>
                              </w:pPr>
                              <w:r>
                                <w:rPr>
                                  <w:spacing w:val="-2"/>
                                  <w:position w:val="2"/>
                                  <w:sz w:val="20"/>
                                </w:rPr>
                                <w:t>4-</w:t>
                              </w:r>
                              <w:r>
                                <w:rPr>
                                  <w:spacing w:val="-5"/>
                                  <w:position w:val="2"/>
                                  <w:sz w:val="20"/>
                                </w:rPr>
                                <w:t>d</w:t>
                              </w:r>
                              <w:r>
                                <w:rPr>
                                  <w:spacing w:val="-5"/>
                                  <w:sz w:val="13"/>
                                </w:rPr>
                                <w:t>L</w:t>
                              </w:r>
                            </w:p>
                            <w:p>
                              <w:pPr>
                                <w:spacing w:before="79"/>
                                <w:ind w:left="0" w:right="0" w:firstLine="0"/>
                                <w:jc w:val="left"/>
                                <w:rPr>
                                  <w:sz w:val="13"/>
                                </w:rPr>
                              </w:pPr>
                              <w:r>
                                <w:rPr>
                                  <w:spacing w:val="-4"/>
                                  <w:sz w:val="13"/>
                                </w:rPr>
                                <w:t>2.84</w:t>
                              </w:r>
                            </w:p>
                          </w:txbxContent>
                        </wps:txbx>
                        <wps:bodyPr wrap="square" lIns="0" tIns="0" rIns="0" bIns="0" rtlCol="0">
                          <a:noAutofit/>
                        </wps:bodyPr>
                      </wps:wsp>
                      <wps:wsp>
                        <wps:cNvPr id="304" name="Textbox 304"/>
                        <wps:cNvSpPr txBox="1"/>
                        <wps:spPr>
                          <a:xfrm>
                            <a:off x="5297170" y="3004986"/>
                            <a:ext cx="76200" cy="140970"/>
                          </a:xfrm>
                          <a:prstGeom prst="rect">
                            <a:avLst/>
                          </a:prstGeom>
                        </wps:spPr>
                        <wps:txbx>
                          <w:txbxContent>
                            <w:p>
                              <w:pPr>
                                <w:spacing w:line="221" w:lineRule="exact" w:before="0"/>
                                <w:ind w:left="0" w:right="0" w:firstLine="0"/>
                                <w:jc w:val="left"/>
                                <w:rPr>
                                  <w:sz w:val="20"/>
                                </w:rPr>
                              </w:pPr>
                              <w:r>
                                <w:rPr>
                                  <w:spacing w:val="-10"/>
                                  <w:sz w:val="20"/>
                                </w:rPr>
                                <w:t>4</w:t>
                              </w:r>
                            </w:p>
                          </w:txbxContent>
                        </wps:txbx>
                        <wps:bodyPr wrap="square" lIns="0" tIns="0" rIns="0" bIns="0" rtlCol="0">
                          <a:noAutofit/>
                        </wps:bodyPr>
                      </wps:wsp>
                      <wps:wsp>
                        <wps:cNvPr id="305" name="Textbox 305"/>
                        <wps:cNvSpPr txBox="1"/>
                        <wps:spPr>
                          <a:xfrm>
                            <a:off x="84391" y="271462"/>
                            <a:ext cx="762000" cy="2733675"/>
                          </a:xfrm>
                          <a:prstGeom prst="rect">
                            <a:avLst/>
                          </a:prstGeom>
                        </wps:spPr>
                        <wps:txbx>
                          <w:txbxContent>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131"/>
                                <w:rPr>
                                  <w:rFonts w:ascii="Cambria"/>
                                  <w:sz w:val="20"/>
                                </w:rPr>
                              </w:pPr>
                            </w:p>
                            <w:p>
                              <w:pPr>
                                <w:spacing w:before="0"/>
                                <w:ind w:left="76" w:right="0" w:firstLine="0"/>
                                <w:jc w:val="left"/>
                                <w:rPr>
                                  <w:b/>
                                  <w:sz w:val="20"/>
                                </w:rPr>
                              </w:pPr>
                              <w:r>
                                <w:rPr>
                                  <w:b/>
                                  <w:spacing w:val="-2"/>
                                  <w:sz w:val="20"/>
                                </w:rPr>
                                <w:t>Positive Autocorrelat </w:t>
                              </w:r>
                              <w:r>
                                <w:rPr>
                                  <w:b/>
                                  <w:sz w:val="20"/>
                                </w:rPr>
                                <w:t>ion region</w:t>
                              </w:r>
                            </w:p>
                          </w:txbxContent>
                        </wps:txbx>
                        <wps:bodyPr wrap="square" lIns="0" tIns="0" rIns="0" bIns="0" rtlCol="0">
                          <a:noAutofit/>
                        </wps:bodyPr>
                      </wps:wsp>
                      <wps:wsp>
                        <wps:cNvPr id="306" name="Textbox 306"/>
                        <wps:cNvSpPr txBox="1"/>
                        <wps:spPr>
                          <a:xfrm>
                            <a:off x="4551616" y="213995"/>
                            <a:ext cx="790575" cy="2791460"/>
                          </a:xfrm>
                          <a:prstGeom prst="rect">
                            <a:avLst/>
                          </a:prstGeom>
                        </wps:spPr>
                        <wps:txbx>
                          <w:txbxContent>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205"/>
                                <w:rPr>
                                  <w:rFonts w:ascii="Cambria"/>
                                  <w:sz w:val="20"/>
                                </w:rPr>
                              </w:pPr>
                            </w:p>
                            <w:p>
                              <w:pPr>
                                <w:spacing w:before="0"/>
                                <w:ind w:left="107" w:right="0" w:firstLine="0"/>
                                <w:jc w:val="left"/>
                                <w:rPr>
                                  <w:b/>
                                  <w:sz w:val="20"/>
                                </w:rPr>
                              </w:pPr>
                              <w:r>
                                <w:rPr>
                                  <w:b/>
                                  <w:spacing w:val="-2"/>
                                  <w:sz w:val="20"/>
                                </w:rPr>
                                <w:t>Negative Autocorrelat </w:t>
                              </w:r>
                              <w:r>
                                <w:rPr>
                                  <w:b/>
                                  <w:sz w:val="20"/>
                                </w:rPr>
                                <w:t>ion region</w:t>
                              </w:r>
                            </w:p>
                          </w:txbxContent>
                        </wps:txbx>
                        <wps:bodyPr wrap="square" lIns="0" tIns="0" rIns="0" bIns="0" rtlCol="0">
                          <a:noAutofit/>
                        </wps:bodyPr>
                      </wps:wsp>
                      <wps:wsp>
                        <wps:cNvPr id="307" name="Textbox 307"/>
                        <wps:cNvSpPr txBox="1"/>
                        <wps:spPr>
                          <a:xfrm>
                            <a:off x="3703891" y="213995"/>
                            <a:ext cx="828675" cy="2791460"/>
                          </a:xfrm>
                          <a:prstGeom prst="rect">
                            <a:avLst/>
                          </a:prstGeom>
                        </wps:spPr>
                        <wps:txbx>
                          <w:txbxContent>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103"/>
                                <w:rPr>
                                  <w:rFonts w:ascii="Cambria"/>
                                  <w:sz w:val="20"/>
                                </w:rPr>
                              </w:pPr>
                            </w:p>
                            <w:p>
                              <w:pPr>
                                <w:spacing w:before="0"/>
                                <w:ind w:left="197" w:right="0" w:firstLine="0"/>
                                <w:jc w:val="left"/>
                                <w:rPr>
                                  <w:b/>
                                  <w:sz w:val="20"/>
                                </w:rPr>
                              </w:pPr>
                              <w:r>
                                <w:rPr>
                                  <w:b/>
                                  <w:spacing w:val="-2"/>
                                  <w:sz w:val="20"/>
                                </w:rPr>
                                <w:t>Inconclusive Region</w:t>
                              </w:r>
                            </w:p>
                          </w:txbxContent>
                        </wps:txbx>
                        <wps:bodyPr wrap="square" lIns="0" tIns="0" rIns="0" bIns="0" rtlCol="0">
                          <a:noAutofit/>
                        </wps:bodyPr>
                      </wps:wsp>
                      <wps:wsp>
                        <wps:cNvPr id="308" name="Textbox 308"/>
                        <wps:cNvSpPr txBox="1"/>
                        <wps:spPr>
                          <a:xfrm>
                            <a:off x="855916" y="213995"/>
                            <a:ext cx="762000" cy="2791460"/>
                          </a:xfrm>
                          <a:prstGeom prst="rect">
                            <a:avLst/>
                          </a:prstGeom>
                        </wps:spPr>
                        <wps:txbx>
                          <w:txbxContent>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117"/>
                                <w:rPr>
                                  <w:rFonts w:ascii="Cambria"/>
                                  <w:sz w:val="20"/>
                                </w:rPr>
                              </w:pPr>
                            </w:p>
                            <w:p>
                              <w:pPr>
                                <w:spacing w:before="0"/>
                                <w:ind w:left="212" w:right="0" w:firstLine="0"/>
                                <w:jc w:val="left"/>
                                <w:rPr>
                                  <w:b/>
                                  <w:sz w:val="20"/>
                                </w:rPr>
                              </w:pPr>
                              <w:r>
                                <w:rPr>
                                  <w:b/>
                                  <w:spacing w:val="-2"/>
                                  <w:sz w:val="20"/>
                                </w:rPr>
                                <w:t>Inconclusiv Region</w:t>
                              </w:r>
                            </w:p>
                          </w:txbxContent>
                        </wps:txbx>
                        <wps:bodyPr wrap="square" lIns="0" tIns="0" rIns="0" bIns="0" rtlCol="0">
                          <a:noAutofit/>
                        </wps:bodyPr>
                      </wps:wsp>
                    </wpg:wgp>
                  </a:graphicData>
                </a:graphic>
              </wp:anchor>
            </w:drawing>
          </mc:Choice>
          <mc:Fallback>
            <w:pict>
              <v:group style="position:absolute;margin-left:51.48pt;margin-top:17.088203pt;width:445.05pt;height:267pt;mso-position-horizontal-relative:page;mso-position-vertical-relative:paragraph;z-index:-15697408;mso-wrap-distance-left:0;mso-wrap-distance-right:0" id="docshapegroup261" coordorigin="1030,342" coordsize="8901,5340">
                <v:shape style="position:absolute;left:1155;top:1512;width:8325;height:3555" id="docshape262" coordorigin="1155,1512" coordsize="8325,3555" path="m1155,5067l1215,5000,1275,4933,1334,4866,1394,4799,1454,4732,1513,4666,1573,4600,1632,4533,1691,4468,1750,4402,1809,4337,1868,4272,1926,4207,1984,4143,2042,4079,2100,4015,2157,3952,2215,3890,2271,3828,2328,3766,2384,3706,2440,3646,2495,3586,2550,3527,2605,3469,2659,3412,2713,3355,2766,3299,2819,3244,2871,3190,2922,3137,2974,3084,3024,3033,3074,2982,3123,2933,3172,2884,3220,2837,3268,2791,3315,2746,3361,2702,3406,2659,3451,2617,3583,2498,3668,2424,3750,2355,3830,2290,3907,2230,3981,2173,4054,2121,4124,2071,4193,2026,4259,1983,4324,1943,4387,1906,4449,1871,4509,1838,4569,1807,4627,1777,4684,1749,4740,1723,4796,1697,4851,1671,5004,1605,5093,1572,5176,1547,5252,1529,5325,1518,5396,1513,5466,1512,5537,1516,5611,1522,5690,1531,5775,1542,5846,1551,5919,1563,5995,1577,6072,1593,6151,1611,6230,1632,6310,1655,6391,1680,6471,1708,6550,1739,6629,1772,6706,1807,6782,1846,6855,1887,6916,1923,6974,1958,7030,1992,7083,2027,7135,2063,7187,2100,7238,2139,7290,2182,7343,2229,7398,2280,7455,2337,7515,2400,7579,2469,7648,2547,7721,2632,7800,2727,7877,2823,7920,2877,7963,2934,8009,2994,8057,3057,8106,3123,8156,3191,8207,3261,8260,3333,8313,3407,8368,3482,8422,3559,8477,3636,8533,3714,8588,3792,8644,3871,8699,3949,8754,4027,8808,4105,8862,4182,8915,4257,8966,4332,9017,4405,9067,4476,9114,4544,9161,4611,9205,4675,9248,4737,9289,4795,9327,4850,9363,4901,9427,4993,9455,5032,9480,5067e" filled="false" stroked="true" strokeweight="1.5pt" strokecolor="#000000">
                  <v:path arrowok="t"/>
                  <v:stroke dashstyle="solid"/>
                </v:shape>
                <v:shape style="position:absolute;left:1095;top:341;width:8835;height:4800" id="docshape263" coordorigin="1095,342" coordsize="8835,4800" path="m9930,5082l9915,5074,9810,5022,9810,5074,1163,5074,1163,462,1215,462,1205,442,1155,342,1095,462,1148,462,1148,5082,1155,5082,1155,5089,9810,5089,9810,5142,9915,5089,9930,5082xe" filled="true" fillcolor="#000000" stroked="false">
                  <v:path arrowok="t"/>
                  <v:fill type="solid"/>
                </v:shape>
                <v:shape style="position:absolute;left:1155;top:761;width:1215;height:4320" type="#_x0000_t75" id="docshape264" stroked="false">
                  <v:imagedata r:id="rId64" o:title=""/>
                </v:shape>
                <v:rect style="position:absolute;left:1155;top:761;width:1215;height:4320" id="docshape265" filled="false" stroked="true" strokeweight=".75pt" strokecolor="#000000">
                  <v:stroke dashstyle="solid"/>
                </v:rect>
                <v:rect style="position:absolute;left:2370;top:761;width:1215;height:4320" id="docshape266" filled="true" fillcolor="#ffffff" stroked="false">
                  <v:fill type="solid"/>
                </v:rect>
                <v:rect style="position:absolute;left:2370;top:761;width:1215;height:4320" id="docshape267" filled="false" stroked="true" strokeweight=".75pt" strokecolor="#000000">
                  <v:stroke dashstyle="solid"/>
                </v:rect>
                <v:rect style="position:absolute;left:3585;top:761;width:3270;height:4320" id="docshape268" filled="true" fillcolor="#ffffff" stroked="false">
                  <v:fill type="solid"/>
                </v:rect>
                <v:rect style="position:absolute;left:3585;top:761;width:3270;height:4320" id="docshape269" filled="false" stroked="true" strokeweight=".75pt" strokecolor="#000000">
                  <v:stroke dashstyle="solid"/>
                </v:rect>
                <v:rect style="position:absolute;left:6855;top:761;width:1335;height:4320" id="docshape270" filled="true" fillcolor="#ffffff" stroked="false">
                  <v:fill type="solid"/>
                </v:rect>
                <v:rect style="position:absolute;left:6855;top:761;width:1335;height:4320" id="docshape271" filled="false" stroked="true" strokeweight=".75pt" strokecolor="#000000">
                  <v:stroke dashstyle="solid"/>
                </v:rect>
                <v:shape style="position:absolute;left:8175;top:761;width:1275;height:4320" type="#_x0000_t75" id="docshape272" stroked="false">
                  <v:imagedata r:id="rId65" o:title=""/>
                </v:shape>
                <v:rect style="position:absolute;left:8175;top:761;width:1275;height:4320" id="docshape273" filled="false" stroked="true" strokeweight=".75pt" strokecolor="#000000">
                  <v:stroke dashstyle="solid"/>
                </v:rect>
                <v:line style="position:absolute" from="5205,822" to="5205,5082" stroked="true" strokeweight="1.5pt" strokecolor="#000000">
                  <v:stroke dashstyle="shortdot"/>
                </v:line>
                <v:rect style="position:absolute;left:1215;top:678;width:8265;height:143" id="docshape274" filled="true" fillcolor="#ffffff" stroked="false">
                  <v:fill type="solid"/>
                </v:rect>
                <v:shape style="position:absolute;left:7668;top:5066;width:120;height:615" id="docshape275" coordorigin="7668,5067" coordsize="120,615" path="m7720,5562l7668,5562,7728,5682,7778,5582,7720,5582,7720,5562xm7735,5067l7720,5067,7720,5582,7735,5582,7735,5067xm7788,5562l7735,5562,7735,5582,7778,5582,7788,5562xe" filled="true" fillcolor="#000000" stroked="false">
                  <v:path arrowok="t"/>
                  <v:fill type="solid"/>
                </v:shape>
                <v:shape style="position:absolute;left:1155;top:1465;width:8295;height:3602" id="docshape276" coordorigin="1155,1465" coordsize="8295,3602" path="m1155,5067l1205,4994,1254,4921,1304,4849,1353,4776,1403,4704,1452,4632,1502,4560,1551,4488,1601,4417,1650,4346,1700,4275,1749,4204,1798,4134,1848,4065,1897,3995,1946,3927,1995,3858,2044,3791,2093,3724,2142,3657,2191,3592,2239,3527,2288,3462,2337,3399,2385,3336,2434,3274,2482,3213,2530,3153,2578,3093,2626,3035,2674,2978,2722,2921,2770,2866,2817,2812,2865,2759,2912,2707,2959,2656,3006,2607,3053,2558,3100,2511,3146,2466,3193,2421,3239,2378,3285,2337,3360,2272,3434,2210,3508,2151,3581,2095,3654,2041,3727,1991,3799,1943,3871,1898,3943,1856,4014,1816,4085,1779,4156,1744,4227,1711,4297,1681,4367,1653,4437,1628,4507,1604,4577,1583,4647,1564,4717,1546,4786,1531,4856,1517,4926,1505,4995,1495,5065,1487,5135,1480,5205,1475,5277,1471,5349,1468,5419,1466,5489,1465,5559,1466,5628,1469,5696,1473,5765,1480,5833,1488,5901,1499,5969,1512,6038,1528,6106,1546,6175,1567,6244,1592,6314,1619,6385,1649,6456,1683,6528,1721,6601,1762,6675,1808,6751,1857,6827,1910,6905,1968,6984,2030,7065,2097,7154,2175,7199,2216,7244,2258,7290,2302,7336,2348,7382,2394,7429,2442,7476,2492,7523,2542,7570,2594,7618,2647,7666,2701,7714,2756,7762,2812,7811,2869,7860,2928,7909,2987,7958,3047,8008,3108,8058,3170,8108,3233,8158,3297,8208,3362,8258,3427,8309,3493,8360,3560,8411,3627,8462,3695,8513,3764,8564,3833,8616,3903,8667,3973,8719,4044,8771,4115,8823,4187,8875,4259,8927,4331,8979,4404,9031,4477,9083,4550,9136,4623,9188,4697,9240,4771,9293,4845,9345,4919,9398,4993,9450,5067e" filled="false" stroked="true" strokeweight=".75pt" strokecolor="#000000">
                  <v:path arrowok="t"/>
                  <v:stroke dashstyle="solid"/>
                </v:shape>
                <v:shape style="position:absolute;left:3566;top:1743;width:109;height:221" type="#_x0000_t202" id="docshape277" filled="false" stroked="false">
                  <v:textbox inset="0,0,0,0">
                    <w:txbxContent>
                      <w:p>
                        <w:pPr>
                          <w:spacing w:line="221" w:lineRule="exact" w:before="0"/>
                          <w:ind w:left="0" w:right="0" w:firstLine="0"/>
                          <w:jc w:val="left"/>
                          <w:rPr>
                            <w:b/>
                            <w:sz w:val="20"/>
                          </w:rPr>
                        </w:pPr>
                        <w:r>
                          <w:rPr>
                            <w:b/>
                            <w:spacing w:val="-10"/>
                            <w:sz w:val="20"/>
                          </w:rPr>
                          <w:t>e</w:t>
                        </w:r>
                      </w:p>
                    </w:txbxContent>
                  </v:textbox>
                  <w10:wrap type="none"/>
                </v:shape>
                <v:shape style="position:absolute;left:4448;top:1983;width:1580;height:682" type="#_x0000_t202" id="docshape278" filled="false" stroked="false">
                  <v:textbox inset="0,0,0,0">
                    <w:txbxContent>
                      <w:p>
                        <w:pPr>
                          <w:spacing w:line="240" w:lineRule="auto" w:before="0"/>
                          <w:ind w:left="698" w:right="13" w:hanging="699"/>
                          <w:jc w:val="left"/>
                          <w:rPr>
                            <w:sz w:val="20"/>
                          </w:rPr>
                        </w:pPr>
                        <w:r>
                          <w:rPr>
                            <w:sz w:val="20"/>
                          </w:rPr>
                          <w:t>No</w:t>
                        </w:r>
                        <w:r>
                          <w:rPr>
                            <w:spacing w:val="-13"/>
                            <w:sz w:val="20"/>
                          </w:rPr>
                          <w:t> </w:t>
                        </w:r>
                        <w:r>
                          <w:rPr>
                            <w:sz w:val="20"/>
                          </w:rPr>
                          <w:t>Autocorrelation </w:t>
                        </w:r>
                        <w:r>
                          <w:rPr>
                            <w:spacing w:val="-6"/>
                            <w:sz w:val="20"/>
                          </w:rPr>
                          <w:t>or</w:t>
                        </w:r>
                      </w:p>
                      <w:p>
                        <w:pPr>
                          <w:spacing w:before="0"/>
                          <w:ind w:left="0" w:right="0" w:firstLine="0"/>
                          <w:jc w:val="left"/>
                          <w:rPr>
                            <w:sz w:val="20"/>
                          </w:rPr>
                        </w:pPr>
                        <w:r>
                          <w:rPr>
                            <w:sz w:val="20"/>
                          </w:rPr>
                          <w:t>Acceptance</w:t>
                        </w:r>
                        <w:r>
                          <w:rPr>
                            <w:spacing w:val="-12"/>
                            <w:sz w:val="20"/>
                          </w:rPr>
                          <w:t> </w:t>
                        </w:r>
                        <w:r>
                          <w:rPr>
                            <w:spacing w:val="-2"/>
                            <w:sz w:val="20"/>
                          </w:rPr>
                          <w:t>Region</w:t>
                        </w:r>
                      </w:p>
                    </w:txbxContent>
                  </v:textbox>
                  <w10:wrap type="none"/>
                </v:shape>
                <v:shape style="position:absolute;left:1029;top:4999;width:120;height:222" type="#_x0000_t202" id="docshape279" filled="false" stroked="false">
                  <v:textbox inset="0,0,0,0">
                    <w:txbxContent>
                      <w:p>
                        <w:pPr>
                          <w:spacing w:line="221" w:lineRule="exact" w:before="0"/>
                          <w:ind w:left="0" w:right="0" w:firstLine="0"/>
                          <w:jc w:val="left"/>
                          <w:rPr>
                            <w:sz w:val="20"/>
                          </w:rPr>
                        </w:pPr>
                        <w:r>
                          <w:rPr>
                            <w:spacing w:val="-10"/>
                            <w:sz w:val="20"/>
                          </w:rPr>
                          <w:t>0</w:t>
                        </w:r>
                      </w:p>
                    </w:txbxContent>
                  </v:textbox>
                  <w10:wrap type="none"/>
                </v:shape>
                <v:shape style="position:absolute;left:2244;top:5074;width:248;height:456" type="#_x0000_t202" id="docshape280" filled="false" stroked="false">
                  <v:textbox inset="0,0,0,0">
                    <w:txbxContent>
                      <w:p>
                        <w:pPr>
                          <w:spacing w:line="225" w:lineRule="exact" w:before="0"/>
                          <w:ind w:left="0" w:right="0" w:firstLine="0"/>
                          <w:jc w:val="left"/>
                          <w:rPr>
                            <w:sz w:val="13"/>
                          </w:rPr>
                        </w:pPr>
                        <w:r>
                          <w:rPr>
                            <w:spacing w:val="-5"/>
                            <w:position w:val="2"/>
                            <w:sz w:val="20"/>
                          </w:rPr>
                          <w:t>d</w:t>
                        </w:r>
                        <w:r>
                          <w:rPr>
                            <w:spacing w:val="-5"/>
                            <w:sz w:val="13"/>
                          </w:rPr>
                          <w:t>L</w:t>
                        </w:r>
                      </w:p>
                      <w:p>
                        <w:pPr>
                          <w:spacing w:before="81"/>
                          <w:ind w:left="0" w:right="0" w:firstLine="0"/>
                          <w:jc w:val="left"/>
                          <w:rPr>
                            <w:sz w:val="13"/>
                          </w:rPr>
                        </w:pPr>
                        <w:r>
                          <w:rPr>
                            <w:spacing w:val="-4"/>
                            <w:sz w:val="13"/>
                          </w:rPr>
                          <w:t>1.16</w:t>
                        </w:r>
                      </w:p>
                    </w:txbxContent>
                  </v:textbox>
                  <w10:wrap type="none"/>
                </v:shape>
                <v:shape style="position:absolute;left:3504;top:5059;width:248;height:454" type="#_x0000_t202" id="docshape281" filled="false" stroked="false">
                  <v:textbox inset="0,0,0,0">
                    <w:txbxContent>
                      <w:p>
                        <w:pPr>
                          <w:spacing w:line="225" w:lineRule="exact" w:before="0"/>
                          <w:ind w:left="0" w:right="0" w:firstLine="0"/>
                          <w:jc w:val="left"/>
                          <w:rPr>
                            <w:sz w:val="13"/>
                          </w:rPr>
                        </w:pPr>
                        <w:r>
                          <w:rPr>
                            <w:spacing w:val="-5"/>
                            <w:position w:val="2"/>
                            <w:sz w:val="20"/>
                          </w:rPr>
                          <w:t>d</w:t>
                        </w:r>
                        <w:r>
                          <w:rPr>
                            <w:spacing w:val="-5"/>
                            <w:sz w:val="13"/>
                          </w:rPr>
                          <w:t>U</w:t>
                        </w:r>
                      </w:p>
                      <w:p>
                        <w:pPr>
                          <w:spacing w:before="79"/>
                          <w:ind w:left="0" w:right="0" w:firstLine="0"/>
                          <w:jc w:val="left"/>
                          <w:rPr>
                            <w:sz w:val="13"/>
                          </w:rPr>
                        </w:pPr>
                        <w:r>
                          <w:rPr>
                            <w:spacing w:val="-4"/>
                            <w:sz w:val="13"/>
                          </w:rPr>
                          <w:t>1.74</w:t>
                        </w:r>
                      </w:p>
                    </w:txbxContent>
                  </v:textbox>
                  <w10:wrap type="none"/>
                </v:shape>
                <v:shape style="position:absolute;left:5153;top:5088;width:120;height:222" type="#_x0000_t202" id="docshape282" filled="false" stroked="false">
                  <v:textbox inset="0,0,0,0">
                    <w:txbxContent>
                      <w:p>
                        <w:pPr>
                          <w:spacing w:line="221" w:lineRule="exact" w:before="0"/>
                          <w:ind w:left="0" w:right="0" w:firstLine="0"/>
                          <w:jc w:val="left"/>
                          <w:rPr>
                            <w:sz w:val="20"/>
                          </w:rPr>
                        </w:pPr>
                        <w:r>
                          <w:rPr>
                            <w:spacing w:val="-10"/>
                            <w:sz w:val="20"/>
                          </w:rPr>
                          <w:t>2</w:t>
                        </w:r>
                      </w:p>
                    </w:txbxContent>
                  </v:textbox>
                  <w10:wrap type="none"/>
                </v:shape>
                <v:shape style="position:absolute;left:6714;top:5074;width:381;height:456" type="#_x0000_t202" id="docshape283" filled="false" stroked="false">
                  <v:textbox inset="0,0,0,0">
                    <w:txbxContent>
                      <w:p>
                        <w:pPr>
                          <w:spacing w:line="225" w:lineRule="exact" w:before="0"/>
                          <w:ind w:left="0" w:right="0" w:firstLine="0"/>
                          <w:jc w:val="left"/>
                          <w:rPr>
                            <w:sz w:val="13"/>
                          </w:rPr>
                        </w:pPr>
                        <w:r>
                          <w:rPr>
                            <w:spacing w:val="-2"/>
                            <w:position w:val="2"/>
                            <w:sz w:val="20"/>
                          </w:rPr>
                          <w:t>4-</w:t>
                        </w:r>
                        <w:r>
                          <w:rPr>
                            <w:spacing w:val="-5"/>
                            <w:position w:val="2"/>
                            <w:sz w:val="20"/>
                          </w:rPr>
                          <w:t>d</w:t>
                        </w:r>
                        <w:r>
                          <w:rPr>
                            <w:spacing w:val="-5"/>
                            <w:sz w:val="13"/>
                          </w:rPr>
                          <w:t>U</w:t>
                        </w:r>
                      </w:p>
                      <w:p>
                        <w:pPr>
                          <w:spacing w:before="81"/>
                          <w:ind w:left="0" w:right="0" w:firstLine="0"/>
                          <w:jc w:val="left"/>
                          <w:rPr>
                            <w:sz w:val="13"/>
                          </w:rPr>
                        </w:pPr>
                        <w:r>
                          <w:rPr>
                            <w:spacing w:val="-4"/>
                            <w:sz w:val="13"/>
                          </w:rPr>
                          <w:t>2.26</w:t>
                        </w:r>
                      </w:p>
                    </w:txbxContent>
                  </v:textbox>
                  <w10:wrap type="none"/>
                </v:shape>
                <v:shape style="position:absolute;left:7974;top:5059;width:366;height:454" type="#_x0000_t202" id="docshape284" filled="false" stroked="false">
                  <v:textbox inset="0,0,0,0">
                    <w:txbxContent>
                      <w:p>
                        <w:pPr>
                          <w:spacing w:line="225" w:lineRule="exact" w:before="0"/>
                          <w:ind w:left="0" w:right="0" w:firstLine="0"/>
                          <w:jc w:val="left"/>
                          <w:rPr>
                            <w:sz w:val="13"/>
                          </w:rPr>
                        </w:pPr>
                        <w:r>
                          <w:rPr>
                            <w:spacing w:val="-2"/>
                            <w:position w:val="2"/>
                            <w:sz w:val="20"/>
                          </w:rPr>
                          <w:t>4-</w:t>
                        </w:r>
                        <w:r>
                          <w:rPr>
                            <w:spacing w:val="-5"/>
                            <w:position w:val="2"/>
                            <w:sz w:val="20"/>
                          </w:rPr>
                          <w:t>d</w:t>
                        </w:r>
                        <w:r>
                          <w:rPr>
                            <w:spacing w:val="-5"/>
                            <w:sz w:val="13"/>
                          </w:rPr>
                          <w:t>L</w:t>
                        </w:r>
                      </w:p>
                      <w:p>
                        <w:pPr>
                          <w:spacing w:before="79"/>
                          <w:ind w:left="0" w:right="0" w:firstLine="0"/>
                          <w:jc w:val="left"/>
                          <w:rPr>
                            <w:sz w:val="13"/>
                          </w:rPr>
                        </w:pPr>
                        <w:r>
                          <w:rPr>
                            <w:spacing w:val="-4"/>
                            <w:sz w:val="13"/>
                          </w:rPr>
                          <w:t>2.84</w:t>
                        </w:r>
                      </w:p>
                    </w:txbxContent>
                  </v:textbox>
                  <w10:wrap type="none"/>
                </v:shape>
                <v:shape style="position:absolute;left:9371;top:5074;width:120;height:222" type="#_x0000_t202" id="docshape285" filled="false" stroked="false">
                  <v:textbox inset="0,0,0,0">
                    <w:txbxContent>
                      <w:p>
                        <w:pPr>
                          <w:spacing w:line="221" w:lineRule="exact" w:before="0"/>
                          <w:ind w:left="0" w:right="0" w:firstLine="0"/>
                          <w:jc w:val="left"/>
                          <w:rPr>
                            <w:sz w:val="20"/>
                          </w:rPr>
                        </w:pPr>
                        <w:r>
                          <w:rPr>
                            <w:spacing w:val="-10"/>
                            <w:sz w:val="20"/>
                          </w:rPr>
                          <w:t>4</w:t>
                        </w:r>
                      </w:p>
                    </w:txbxContent>
                  </v:textbox>
                  <w10:wrap type="none"/>
                </v:shape>
                <v:shape style="position:absolute;left:1162;top:769;width:1200;height:4305" type="#_x0000_t202" id="docshape286" filled="false" stroked="false">
                  <v:textbox inset="0,0,0,0">
                    <w:txbxContent>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131"/>
                          <w:rPr>
                            <w:rFonts w:ascii="Cambria"/>
                            <w:sz w:val="20"/>
                          </w:rPr>
                        </w:pPr>
                      </w:p>
                      <w:p>
                        <w:pPr>
                          <w:spacing w:before="0"/>
                          <w:ind w:left="76" w:right="0" w:firstLine="0"/>
                          <w:jc w:val="left"/>
                          <w:rPr>
                            <w:b/>
                            <w:sz w:val="20"/>
                          </w:rPr>
                        </w:pPr>
                        <w:r>
                          <w:rPr>
                            <w:b/>
                            <w:spacing w:val="-2"/>
                            <w:sz w:val="20"/>
                          </w:rPr>
                          <w:t>Positive Autocorrelat </w:t>
                        </w:r>
                        <w:r>
                          <w:rPr>
                            <w:b/>
                            <w:sz w:val="20"/>
                          </w:rPr>
                          <w:t>ion region</w:t>
                        </w:r>
                      </w:p>
                    </w:txbxContent>
                  </v:textbox>
                  <w10:wrap type="none"/>
                </v:shape>
                <v:shape style="position:absolute;left:8197;top:678;width:1245;height:4396" type="#_x0000_t202" id="docshape287" filled="false" stroked="false">
                  <v:textbox inset="0,0,0,0">
                    <w:txbxContent>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205"/>
                          <w:rPr>
                            <w:rFonts w:ascii="Cambria"/>
                            <w:sz w:val="20"/>
                          </w:rPr>
                        </w:pPr>
                      </w:p>
                      <w:p>
                        <w:pPr>
                          <w:spacing w:before="0"/>
                          <w:ind w:left="107" w:right="0" w:firstLine="0"/>
                          <w:jc w:val="left"/>
                          <w:rPr>
                            <w:b/>
                            <w:sz w:val="20"/>
                          </w:rPr>
                        </w:pPr>
                        <w:r>
                          <w:rPr>
                            <w:b/>
                            <w:spacing w:val="-2"/>
                            <w:sz w:val="20"/>
                          </w:rPr>
                          <w:t>Negative Autocorrelat </w:t>
                        </w:r>
                        <w:r>
                          <w:rPr>
                            <w:b/>
                            <w:sz w:val="20"/>
                          </w:rPr>
                          <w:t>ion region</w:t>
                        </w:r>
                      </w:p>
                    </w:txbxContent>
                  </v:textbox>
                  <w10:wrap type="none"/>
                </v:shape>
                <v:shape style="position:absolute;left:6862;top:678;width:1305;height:4396" type="#_x0000_t202" id="docshape288" filled="false" stroked="false">
                  <v:textbox inset="0,0,0,0">
                    <w:txbxContent>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103"/>
                          <w:rPr>
                            <w:rFonts w:ascii="Cambria"/>
                            <w:sz w:val="20"/>
                          </w:rPr>
                        </w:pPr>
                      </w:p>
                      <w:p>
                        <w:pPr>
                          <w:spacing w:before="0"/>
                          <w:ind w:left="197" w:right="0" w:firstLine="0"/>
                          <w:jc w:val="left"/>
                          <w:rPr>
                            <w:b/>
                            <w:sz w:val="20"/>
                          </w:rPr>
                        </w:pPr>
                        <w:r>
                          <w:rPr>
                            <w:b/>
                            <w:spacing w:val="-2"/>
                            <w:sz w:val="20"/>
                          </w:rPr>
                          <w:t>Inconclusive Region</w:t>
                        </w:r>
                      </w:p>
                    </w:txbxContent>
                  </v:textbox>
                  <w10:wrap type="none"/>
                </v:shape>
                <v:shape style="position:absolute;left:2377;top:678;width:1200;height:4396" type="#_x0000_t202" id="docshape289" filled="false" stroked="false">
                  <v:textbox inset="0,0,0,0">
                    <w:txbxContent>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117"/>
                          <w:rPr>
                            <w:rFonts w:ascii="Cambria"/>
                            <w:sz w:val="20"/>
                          </w:rPr>
                        </w:pPr>
                      </w:p>
                      <w:p>
                        <w:pPr>
                          <w:spacing w:before="0"/>
                          <w:ind w:left="212" w:right="0" w:firstLine="0"/>
                          <w:jc w:val="left"/>
                          <w:rPr>
                            <w:b/>
                            <w:sz w:val="20"/>
                          </w:rPr>
                        </w:pPr>
                        <w:r>
                          <w:rPr>
                            <w:b/>
                            <w:spacing w:val="-2"/>
                            <w:sz w:val="20"/>
                          </w:rPr>
                          <w:t>Inconclusiv Region</w:t>
                        </w:r>
                      </w:p>
                    </w:txbxContent>
                  </v:textbox>
                  <w10:wrap type="none"/>
                </v:shape>
                <w10:wrap type="topAndBottom"/>
              </v:group>
            </w:pict>
          </mc:Fallback>
        </mc:AlternateContent>
      </w:r>
    </w:p>
    <w:p>
      <w:pPr>
        <w:spacing w:before="75"/>
        <w:ind w:left="6991" w:right="0" w:firstLine="0"/>
        <w:jc w:val="left"/>
        <w:rPr>
          <w:sz w:val="20"/>
        </w:rPr>
      </w:pPr>
      <w:r>
        <w:rPr>
          <w:sz w:val="20"/>
        </w:rPr>
        <w:t>DW*</w:t>
      </w:r>
      <w:r>
        <w:rPr>
          <w:spacing w:val="-6"/>
          <w:sz w:val="20"/>
        </w:rPr>
        <w:t> </w:t>
      </w:r>
      <w:r>
        <w:rPr>
          <w:spacing w:val="-2"/>
          <w:sz w:val="20"/>
        </w:rPr>
        <w:t>=2.66</w:t>
      </w:r>
    </w:p>
    <w:p>
      <w:pPr>
        <w:pStyle w:val="BodyText"/>
        <w:spacing w:before="211"/>
      </w:pPr>
    </w:p>
    <w:p>
      <w:pPr>
        <w:pStyle w:val="BodyText"/>
        <w:spacing w:line="480" w:lineRule="auto"/>
        <w:ind w:left="711" w:right="469"/>
        <w:jc w:val="both"/>
        <w:rPr>
          <w:rFonts w:ascii="Cambria"/>
        </w:rPr>
      </w:pPr>
      <w:r>
        <w:rPr>
          <w:rFonts w:ascii="Cambria"/>
        </w:rPr>
        <w:t>Graph 4.10 above shows that the Durbin Watson statistics for Model 6B (2.66) that falls in the area of Inconclusive region as indicated in the figure. However, since the value is above 2, it is accepted as </w:t>
      </w:r>
      <w:r>
        <w:rPr>
          <w:rFonts w:ascii="Cambria"/>
          <w:spacing w:val="-2"/>
        </w:rPr>
        <w:t>reliable</w:t>
      </w:r>
    </w:p>
    <w:p>
      <w:pPr>
        <w:pStyle w:val="Heading2"/>
        <w:spacing w:before="2"/>
        <w:jc w:val="left"/>
      </w:pPr>
      <w:r>
        <w:rPr/>
        <w:t>4.10</w:t>
      </w:r>
      <w:r>
        <w:rPr>
          <w:spacing w:val="-5"/>
        </w:rPr>
        <w:t> </w:t>
      </w:r>
      <w:r>
        <w:rPr/>
        <w:t>Policy</w:t>
      </w:r>
      <w:r>
        <w:rPr>
          <w:spacing w:val="-3"/>
        </w:rPr>
        <w:t> </w:t>
      </w:r>
      <w:r>
        <w:rPr/>
        <w:t>change,</w:t>
      </w:r>
      <w:r>
        <w:rPr>
          <w:spacing w:val="-8"/>
        </w:rPr>
        <w:t> </w:t>
      </w:r>
      <w:r>
        <w:rPr/>
        <w:t>Capital</w:t>
      </w:r>
      <w:r>
        <w:rPr>
          <w:spacing w:val="-2"/>
        </w:rPr>
        <w:t> </w:t>
      </w:r>
      <w:r>
        <w:rPr/>
        <w:t>Flight</w:t>
      </w:r>
      <w:r>
        <w:rPr>
          <w:spacing w:val="-7"/>
        </w:rPr>
        <w:t> </w:t>
      </w:r>
      <w:r>
        <w:rPr/>
        <w:t>and</w:t>
      </w:r>
      <w:r>
        <w:rPr>
          <w:spacing w:val="-5"/>
        </w:rPr>
        <w:t> </w:t>
      </w:r>
      <w:r>
        <w:rPr/>
        <w:t>Economic</w:t>
      </w:r>
      <w:r>
        <w:rPr>
          <w:spacing w:val="-4"/>
        </w:rPr>
        <w:t> </w:t>
      </w:r>
      <w:r>
        <w:rPr/>
        <w:t>Growth</w:t>
      </w:r>
      <w:r>
        <w:rPr>
          <w:spacing w:val="-7"/>
        </w:rPr>
        <w:t> </w:t>
      </w:r>
      <w:r>
        <w:rPr/>
        <w:t>in</w:t>
      </w:r>
      <w:r>
        <w:rPr>
          <w:spacing w:val="-7"/>
        </w:rPr>
        <w:t> </w:t>
      </w:r>
      <w:r>
        <w:rPr>
          <w:spacing w:val="-2"/>
        </w:rPr>
        <w:t>Nigeria</w:t>
      </w:r>
    </w:p>
    <w:p>
      <w:pPr>
        <w:pStyle w:val="BodyText"/>
        <w:spacing w:line="360" w:lineRule="auto" w:before="159"/>
        <w:ind w:left="711" w:right="475"/>
      </w:pPr>
      <w:r>
        <w:rPr/>
        <w:t>Analyses of the pre-SAP and post-SAP eras brought out vividly the policy effect adopted by the Nigerian government in 1986. The major objectives of the policy</w:t>
      </w:r>
      <w:r>
        <w:rPr>
          <w:spacing w:val="-3"/>
        </w:rPr>
        <w:t> </w:t>
      </w:r>
      <w:r>
        <w:rPr/>
        <w:t>include:</w:t>
      </w:r>
      <w:r>
        <w:rPr>
          <w:spacing w:val="80"/>
        </w:rPr>
        <w:t> </w:t>
      </w:r>
      <w:r>
        <w:rPr/>
        <w:t>to restructure and diversify</w:t>
      </w:r>
      <w:r>
        <w:rPr>
          <w:spacing w:val="-3"/>
        </w:rPr>
        <w:t> </w:t>
      </w:r>
      <w:r>
        <w:rPr/>
        <w:t>the productive </w:t>
      </w:r>
      <w:r>
        <w:rPr>
          <w:rFonts w:ascii="Arial MT"/>
        </w:rPr>
        <w:t>base </w:t>
      </w:r>
      <w:r>
        <w:rPr/>
        <w:t>of the economy in order to reduce dependency on the oil sector and on imports, to achieve fiscal </w:t>
      </w:r>
      <w:r>
        <w:rPr>
          <w:rFonts w:ascii="Arial MT"/>
        </w:rPr>
        <w:t>and </w:t>
      </w:r>
      <w:r>
        <w:rPr/>
        <w:t>balance of payments viability over the period, to lay the basis for a sustainable non-inflationary growth, to reduce</w:t>
      </w:r>
      <w:r>
        <w:rPr>
          <w:spacing w:val="-3"/>
        </w:rPr>
        <w:t> </w:t>
      </w:r>
      <w:r>
        <w:rPr/>
        <w:t>the</w:t>
      </w:r>
      <w:r>
        <w:rPr>
          <w:spacing w:val="-3"/>
        </w:rPr>
        <w:t> </w:t>
      </w:r>
      <w:r>
        <w:rPr/>
        <w:t>dominance</w:t>
      </w:r>
      <w:r>
        <w:rPr>
          <w:spacing w:val="-3"/>
        </w:rPr>
        <w:t> </w:t>
      </w:r>
      <w:r>
        <w:rPr/>
        <w:t>of</w:t>
      </w:r>
      <w:r>
        <w:rPr>
          <w:spacing w:val="-1"/>
        </w:rPr>
        <w:t> </w:t>
      </w:r>
      <w:r>
        <w:rPr/>
        <w:t>unproductive</w:t>
      </w:r>
      <w:r>
        <w:rPr>
          <w:spacing w:val="-3"/>
        </w:rPr>
        <w:t> </w:t>
      </w:r>
      <w:r>
        <w:rPr/>
        <w:t>investment in</w:t>
      </w:r>
      <w:r>
        <w:rPr>
          <w:spacing w:val="-2"/>
        </w:rPr>
        <w:t> </w:t>
      </w:r>
      <w:r>
        <w:rPr/>
        <w:t>the</w:t>
      </w:r>
      <w:r>
        <w:rPr>
          <w:spacing w:val="-3"/>
        </w:rPr>
        <w:t> </w:t>
      </w:r>
      <w:r>
        <w:rPr/>
        <w:t>public</w:t>
      </w:r>
      <w:r>
        <w:rPr>
          <w:spacing w:val="-3"/>
        </w:rPr>
        <w:t> </w:t>
      </w:r>
      <w:r>
        <w:rPr/>
        <w:t>sector</w:t>
      </w:r>
      <w:r>
        <w:rPr>
          <w:spacing w:val="-2"/>
        </w:rPr>
        <w:t> </w:t>
      </w:r>
      <w:r>
        <w:rPr/>
        <w:t>and</w:t>
      </w:r>
      <w:r>
        <w:rPr>
          <w:spacing w:val="-2"/>
        </w:rPr>
        <w:t> </w:t>
      </w:r>
      <w:r>
        <w:rPr/>
        <w:t>to</w:t>
      </w:r>
      <w:r>
        <w:rPr>
          <w:spacing w:val="-2"/>
        </w:rPr>
        <w:t> </w:t>
      </w:r>
      <w:r>
        <w:rPr/>
        <w:t>improve that</w:t>
      </w:r>
      <w:r>
        <w:rPr>
          <w:spacing w:val="-2"/>
        </w:rPr>
        <w:t> </w:t>
      </w:r>
      <w:r>
        <w:rPr/>
        <w:t>sector's</w:t>
      </w:r>
      <w:r>
        <w:rPr>
          <w:spacing w:val="-2"/>
        </w:rPr>
        <w:t> </w:t>
      </w:r>
      <w:r>
        <w:rPr/>
        <w:t>efficiency and enhance the growth potential of the Nigerian economy.</w:t>
      </w:r>
    </w:p>
    <w:p>
      <w:pPr>
        <w:spacing w:after="0" w:line="360" w:lineRule="auto"/>
        <w:sectPr>
          <w:pgSz w:w="11910" w:h="16840"/>
          <w:pgMar w:header="0" w:footer="979" w:top="1340" w:bottom="1240" w:left="280" w:right="0"/>
        </w:sectPr>
      </w:pPr>
    </w:p>
    <w:p>
      <w:pPr>
        <w:pStyle w:val="BodyText"/>
        <w:spacing w:line="360" w:lineRule="auto" w:before="60"/>
        <w:ind w:left="711" w:right="585" w:hanging="360"/>
      </w:pPr>
      <w:r>
        <w:rPr/>
        <w:t>From</w:t>
      </w:r>
      <w:r>
        <w:rPr>
          <w:spacing w:val="-3"/>
        </w:rPr>
        <w:t> </w:t>
      </w:r>
      <w:r>
        <w:rPr/>
        <w:t>model</w:t>
      </w:r>
      <w:r>
        <w:rPr>
          <w:spacing w:val="-3"/>
        </w:rPr>
        <w:t> </w:t>
      </w:r>
      <w:r>
        <w:rPr/>
        <w:t>3</w:t>
      </w:r>
      <w:r>
        <w:rPr>
          <w:spacing w:val="-3"/>
        </w:rPr>
        <w:t> </w:t>
      </w:r>
      <w:r>
        <w:rPr/>
        <w:t>and</w:t>
      </w:r>
      <w:r>
        <w:rPr>
          <w:spacing w:val="-3"/>
        </w:rPr>
        <w:t> </w:t>
      </w:r>
      <w:r>
        <w:rPr/>
        <w:t>4,</w:t>
      </w:r>
      <w:r>
        <w:rPr>
          <w:spacing w:val="-3"/>
        </w:rPr>
        <w:t> </w:t>
      </w:r>
      <w:r>
        <w:rPr/>
        <w:t>the</w:t>
      </w:r>
      <w:r>
        <w:rPr>
          <w:spacing w:val="-1"/>
        </w:rPr>
        <w:t> </w:t>
      </w:r>
      <w:r>
        <w:rPr/>
        <w:t>Pre-SAP</w:t>
      </w:r>
      <w:r>
        <w:rPr>
          <w:spacing w:val="-3"/>
        </w:rPr>
        <w:t> </w:t>
      </w:r>
      <w:r>
        <w:rPr/>
        <w:t>analysis,</w:t>
      </w:r>
      <w:r>
        <w:rPr>
          <w:spacing w:val="-3"/>
        </w:rPr>
        <w:t> </w:t>
      </w:r>
      <w:r>
        <w:rPr/>
        <w:t>change</w:t>
      </w:r>
      <w:r>
        <w:rPr>
          <w:spacing w:val="-4"/>
        </w:rPr>
        <w:t> </w:t>
      </w:r>
      <w:r>
        <w:rPr/>
        <w:t>in</w:t>
      </w:r>
      <w:r>
        <w:rPr>
          <w:spacing w:val="-3"/>
        </w:rPr>
        <w:t> </w:t>
      </w:r>
      <w:r>
        <w:rPr/>
        <w:t>external</w:t>
      </w:r>
      <w:r>
        <w:rPr>
          <w:spacing w:val="-3"/>
        </w:rPr>
        <w:t> </w:t>
      </w:r>
      <w:r>
        <w:rPr/>
        <w:t>debt</w:t>
      </w:r>
      <w:r>
        <w:rPr>
          <w:spacing w:val="-3"/>
        </w:rPr>
        <w:t> </w:t>
      </w:r>
      <w:r>
        <w:rPr/>
        <w:t>(EXDEBT), gross</w:t>
      </w:r>
      <w:r>
        <w:rPr>
          <w:spacing w:val="-1"/>
        </w:rPr>
        <w:t> </w:t>
      </w:r>
      <w:r>
        <w:rPr/>
        <w:t>capital</w:t>
      </w:r>
      <w:r>
        <w:rPr>
          <w:spacing w:val="-3"/>
        </w:rPr>
        <w:t> </w:t>
      </w:r>
      <w:r>
        <w:rPr/>
        <w:t>formation</w:t>
      </w:r>
      <w:r>
        <w:rPr>
          <w:spacing w:val="-3"/>
        </w:rPr>
        <w:t> </w:t>
      </w:r>
      <w:r>
        <w:rPr/>
        <w:t>(GCF), deposit rate (DR), private sector credit (PRIVCR) and government current expenditure (GOCE) directly influenced and induced capital flight. This connotes that increase in any of these variables led to illegal capital outflow of capital from Nigeria. Ordinarily, increase in these parameters should encourage capital retention and increase investment in the domestic economy. On the other hand, degree of openness (DOP), inflation rate (INF) and interest rate differential had negative of inverse effect on capital flight. Increase or decrease in these variables had opposite effect on the level of capital flight. However, in the Post-SAP regime, the policy change brought about some noticeable changes on the economy. The Structural Adjustment Programme introduced led to increase borrowed funds, opened up the economy and put pressure on the general price level within the economy. Due to political and economic uncertainties experienced during the period, external debt became very volatile and this in turn led to increase capital flight. The volatility nature of the country’s debt was manifested by the positive relationship between change in external debt and capital flight during the period.</w:t>
      </w:r>
    </w:p>
    <w:p>
      <w:pPr>
        <w:pStyle w:val="BodyText"/>
      </w:pPr>
    </w:p>
    <w:p>
      <w:pPr>
        <w:pStyle w:val="BodyText"/>
        <w:spacing w:before="13"/>
      </w:pPr>
    </w:p>
    <w:p>
      <w:pPr>
        <w:pStyle w:val="BodyText"/>
        <w:spacing w:line="480" w:lineRule="auto" w:before="1"/>
        <w:ind w:left="531" w:right="214" w:hanging="272"/>
        <w:rPr>
          <w:rFonts w:ascii="Cambria" w:hAnsi="Cambria"/>
        </w:rPr>
      </w:pPr>
      <w:r>
        <w:rPr>
          <w:rFonts w:ascii="Cambria" w:hAnsi="Cambria"/>
        </w:rPr>
        <w:t>The new economic policy (SAP) also brought about inlation induced rate.</w:t>
      </w:r>
      <w:r>
        <w:rPr>
          <w:rFonts w:ascii="Cambria" w:hAnsi="Cambria"/>
          <w:spacing w:val="80"/>
        </w:rPr>
        <w:t> </w:t>
      </w:r>
      <w:r>
        <w:rPr>
          <w:rFonts w:ascii="Cambria" w:hAnsi="Cambria"/>
        </w:rPr>
        <w:t>For example, Inlation rate increased from 5.4% in 1986 when SAP was introduced to unresedented 40.9% in 1989, this was evidenced by the negative sig exhibited by inflation rate in the result of the analysis. The financial institutions in particular witnessed a rapid transformation as a result of introduction of the new policy (SAP). The institution was deregulated and liberalized. The interest was no longer fixed but left to the forces of supply and denmant to determine. This improved the effcience of the financial instititions because of their ability</w:t>
      </w:r>
      <w:r>
        <w:rPr>
          <w:rFonts w:ascii="Cambria" w:hAnsi="Cambria"/>
          <w:spacing w:val="-2"/>
        </w:rPr>
        <w:t> </w:t>
      </w:r>
      <w:r>
        <w:rPr>
          <w:rFonts w:ascii="Cambria" w:hAnsi="Cambria"/>
        </w:rPr>
        <w:t>to make the best use of their financial resources.</w:t>
      </w:r>
      <w:r>
        <w:rPr>
          <w:rFonts w:ascii="Cambria" w:hAnsi="Cambria"/>
          <w:spacing w:val="40"/>
        </w:rPr>
        <w:t> </w:t>
      </w:r>
      <w:r>
        <w:rPr>
          <w:rFonts w:ascii="Cambria" w:hAnsi="Cambria"/>
        </w:rPr>
        <w:t>This change was noticed</w:t>
      </w:r>
      <w:r>
        <w:rPr>
          <w:rFonts w:ascii="Cambria" w:hAnsi="Cambria"/>
          <w:spacing w:val="-1"/>
        </w:rPr>
        <w:t> </w:t>
      </w:r>
      <w:r>
        <w:rPr>
          <w:rFonts w:ascii="Cambria" w:hAnsi="Cambria"/>
        </w:rPr>
        <w:t>in the results with the deposit</w:t>
      </w:r>
      <w:r>
        <w:rPr>
          <w:rFonts w:ascii="Cambria" w:hAnsi="Cambria"/>
          <w:spacing w:val="-1"/>
        </w:rPr>
        <w:t> </w:t>
      </w:r>
      <w:r>
        <w:rPr>
          <w:rFonts w:ascii="Cambria" w:hAnsi="Cambria"/>
        </w:rPr>
        <w:t>rate (DR)</w:t>
      </w:r>
      <w:r>
        <w:rPr>
          <w:rFonts w:ascii="Cambria" w:hAnsi="Cambria"/>
          <w:spacing w:val="-1"/>
        </w:rPr>
        <w:t> </w:t>
      </w:r>
      <w:r>
        <w:rPr>
          <w:rFonts w:ascii="Cambria" w:hAnsi="Cambria"/>
        </w:rPr>
        <w:t>and</w:t>
      </w:r>
      <w:r>
        <w:rPr>
          <w:rFonts w:ascii="Cambria" w:hAnsi="Cambria"/>
          <w:spacing w:val="-2"/>
        </w:rPr>
        <w:t> </w:t>
      </w:r>
      <w:r>
        <w:rPr>
          <w:rFonts w:ascii="Cambria" w:hAnsi="Cambria"/>
        </w:rPr>
        <w:t>private sector credit (PRIVCR)</w:t>
      </w:r>
      <w:r>
        <w:rPr>
          <w:rFonts w:ascii="Cambria" w:hAnsi="Cambria"/>
          <w:spacing w:val="-1"/>
        </w:rPr>
        <w:t> </w:t>
      </w:r>
      <w:r>
        <w:rPr>
          <w:rFonts w:ascii="Cambria" w:hAnsi="Cambria"/>
        </w:rPr>
        <w:t>that</w:t>
      </w:r>
      <w:r>
        <w:rPr>
          <w:rFonts w:ascii="Cambria" w:hAnsi="Cambria"/>
          <w:spacing w:val="-1"/>
        </w:rPr>
        <w:t> </w:t>
      </w:r>
      <w:r>
        <w:rPr>
          <w:rFonts w:ascii="Cambria" w:hAnsi="Cambria"/>
        </w:rPr>
        <w:t>were positively</w:t>
      </w:r>
      <w:r>
        <w:rPr>
          <w:rFonts w:ascii="Cambria" w:hAnsi="Cambria"/>
          <w:spacing w:val="-1"/>
        </w:rPr>
        <w:t> </w:t>
      </w:r>
      <w:r>
        <w:rPr>
          <w:rFonts w:ascii="Cambria" w:hAnsi="Cambria"/>
        </w:rPr>
        <w:t>signed</w:t>
      </w:r>
      <w:r>
        <w:rPr>
          <w:rFonts w:ascii="Cambria" w:hAnsi="Cambria"/>
          <w:spacing w:val="-1"/>
        </w:rPr>
        <w:t> </w:t>
      </w:r>
      <w:r>
        <w:rPr>
          <w:rFonts w:ascii="Cambria" w:hAnsi="Cambria"/>
        </w:rPr>
        <w:t>during the</w:t>
      </w:r>
      <w:r>
        <w:rPr>
          <w:rFonts w:ascii="Cambria" w:hAnsi="Cambria"/>
          <w:spacing w:val="-2"/>
        </w:rPr>
        <w:t> </w:t>
      </w:r>
      <w:r>
        <w:rPr>
          <w:rFonts w:ascii="Cambria" w:hAnsi="Cambria"/>
        </w:rPr>
        <w:t>pre-Sap</w:t>
      </w:r>
      <w:r>
        <w:rPr>
          <w:rFonts w:ascii="Cambria" w:hAnsi="Cambria"/>
          <w:spacing w:val="-1"/>
        </w:rPr>
        <w:t> </w:t>
      </w:r>
      <w:r>
        <w:rPr>
          <w:rFonts w:ascii="Cambria" w:hAnsi="Cambria"/>
        </w:rPr>
        <w:t>era</w:t>
      </w:r>
      <w:r>
        <w:rPr>
          <w:rFonts w:ascii="Cambria" w:hAnsi="Cambria"/>
          <w:spacing w:val="-3"/>
        </w:rPr>
        <w:t> </w:t>
      </w:r>
      <w:r>
        <w:rPr>
          <w:rFonts w:ascii="Cambria" w:hAnsi="Cambria"/>
        </w:rPr>
        <w:t>now</w:t>
      </w:r>
      <w:r>
        <w:rPr>
          <w:rFonts w:ascii="Cambria" w:hAnsi="Cambria"/>
          <w:spacing w:val="-3"/>
        </w:rPr>
        <w:t> </w:t>
      </w:r>
      <w:r>
        <w:rPr>
          <w:rFonts w:ascii="Cambria" w:hAnsi="Cambria"/>
        </w:rPr>
        <w:t>negatively</w:t>
      </w:r>
      <w:r>
        <w:rPr>
          <w:rFonts w:ascii="Cambria" w:hAnsi="Cambria"/>
          <w:spacing w:val="-4"/>
        </w:rPr>
        <w:t> </w:t>
      </w:r>
      <w:r>
        <w:rPr>
          <w:rFonts w:ascii="Cambria" w:hAnsi="Cambria"/>
        </w:rPr>
        <w:t>signed.</w:t>
      </w:r>
      <w:r>
        <w:rPr>
          <w:rFonts w:ascii="Cambria" w:hAnsi="Cambria"/>
          <w:spacing w:val="-2"/>
        </w:rPr>
        <w:t> </w:t>
      </w:r>
      <w:r>
        <w:rPr>
          <w:rFonts w:ascii="Cambria" w:hAnsi="Cambria"/>
        </w:rPr>
        <w:t>The</w:t>
      </w:r>
      <w:r>
        <w:rPr>
          <w:rFonts w:ascii="Cambria" w:hAnsi="Cambria"/>
          <w:spacing w:val="-2"/>
        </w:rPr>
        <w:t> </w:t>
      </w:r>
      <w:r>
        <w:rPr>
          <w:rFonts w:ascii="Cambria" w:hAnsi="Cambria"/>
        </w:rPr>
        <w:t>implication of</w:t>
      </w:r>
      <w:r>
        <w:rPr>
          <w:rFonts w:ascii="Cambria" w:hAnsi="Cambria"/>
          <w:spacing w:val="-3"/>
        </w:rPr>
        <w:t> </w:t>
      </w:r>
      <w:r>
        <w:rPr>
          <w:rFonts w:ascii="Cambria" w:hAnsi="Cambria"/>
        </w:rPr>
        <w:t>the</w:t>
      </w:r>
      <w:r>
        <w:rPr>
          <w:rFonts w:ascii="Cambria" w:hAnsi="Cambria"/>
          <w:spacing w:val="-2"/>
        </w:rPr>
        <w:t> </w:t>
      </w:r>
      <w:r>
        <w:rPr>
          <w:rFonts w:ascii="Cambria" w:hAnsi="Cambria"/>
        </w:rPr>
        <w:t>negative</w:t>
      </w:r>
      <w:r>
        <w:rPr>
          <w:rFonts w:ascii="Cambria" w:hAnsi="Cambria"/>
          <w:spacing w:val="-2"/>
        </w:rPr>
        <w:t> </w:t>
      </w:r>
      <w:r>
        <w:rPr>
          <w:rFonts w:ascii="Cambria" w:hAnsi="Cambria"/>
        </w:rPr>
        <w:t>signs</w:t>
      </w:r>
      <w:r>
        <w:rPr>
          <w:rFonts w:ascii="Cambria" w:hAnsi="Cambria"/>
          <w:spacing w:val="-2"/>
        </w:rPr>
        <w:t> </w:t>
      </w:r>
      <w:r>
        <w:rPr>
          <w:rFonts w:ascii="Cambria" w:hAnsi="Cambria"/>
        </w:rPr>
        <w:t>of</w:t>
      </w:r>
      <w:r>
        <w:rPr>
          <w:rFonts w:ascii="Cambria" w:hAnsi="Cambria"/>
          <w:spacing w:val="-2"/>
        </w:rPr>
        <w:t> </w:t>
      </w:r>
      <w:r>
        <w:rPr>
          <w:rFonts w:ascii="Cambria" w:hAnsi="Cambria"/>
        </w:rPr>
        <w:t>the</w:t>
      </w:r>
      <w:r>
        <w:rPr>
          <w:rFonts w:ascii="Cambria" w:hAnsi="Cambria"/>
          <w:spacing w:val="-2"/>
        </w:rPr>
        <w:t> </w:t>
      </w:r>
      <w:r>
        <w:rPr>
          <w:rFonts w:ascii="Cambria" w:hAnsi="Cambria"/>
        </w:rPr>
        <w:t>financial</w:t>
      </w:r>
      <w:r>
        <w:rPr>
          <w:rFonts w:ascii="Cambria" w:hAnsi="Cambria"/>
          <w:spacing w:val="-3"/>
        </w:rPr>
        <w:t> </w:t>
      </w:r>
      <w:r>
        <w:rPr>
          <w:rFonts w:ascii="Cambria" w:hAnsi="Cambria"/>
        </w:rPr>
        <w:t>institution’s variables is that improvement in financial institution will increase public confidence, promote</w:t>
      </w:r>
      <w:r>
        <w:rPr>
          <w:rFonts w:ascii="Cambria" w:hAnsi="Cambria"/>
          <w:spacing w:val="-1"/>
        </w:rPr>
        <w:t> </w:t>
      </w:r>
      <w:r>
        <w:rPr>
          <w:rFonts w:ascii="Cambria" w:hAnsi="Cambria"/>
        </w:rPr>
        <w:t>domestic investment and reduce capital flight. Generally, change in external debt was the most statistically significant variable that propelled capital flight in the post-SAP period.</w:t>
      </w:r>
    </w:p>
    <w:p>
      <w:pPr>
        <w:pStyle w:val="BodyText"/>
        <w:spacing w:before="3"/>
        <w:rPr>
          <w:rFonts w:ascii="Cambria"/>
        </w:rPr>
      </w:pPr>
    </w:p>
    <w:p>
      <w:pPr>
        <w:pStyle w:val="BodyText"/>
        <w:spacing w:line="560" w:lineRule="atLeast"/>
        <w:ind w:left="711"/>
        <w:rPr>
          <w:rFonts w:ascii="Cambria"/>
        </w:rPr>
      </w:pPr>
      <w:r>
        <w:rPr>
          <w:rFonts w:ascii="Cambria"/>
        </w:rPr>
        <w:t>Results</w:t>
      </w:r>
      <w:r>
        <w:rPr>
          <w:rFonts w:ascii="Cambria"/>
          <w:spacing w:val="40"/>
        </w:rPr>
        <w:t> </w:t>
      </w:r>
      <w:r>
        <w:rPr>
          <w:rFonts w:ascii="Cambria"/>
        </w:rPr>
        <w:t>from</w:t>
      </w:r>
      <w:r>
        <w:rPr>
          <w:rFonts w:ascii="Cambria"/>
          <w:spacing w:val="40"/>
        </w:rPr>
        <w:t> </w:t>
      </w:r>
      <w:r>
        <w:rPr>
          <w:rFonts w:ascii="Cambria"/>
        </w:rPr>
        <w:t>model</w:t>
      </w:r>
      <w:r>
        <w:rPr>
          <w:rFonts w:ascii="Cambria"/>
          <w:spacing w:val="40"/>
        </w:rPr>
        <w:t> </w:t>
      </w:r>
      <w:r>
        <w:rPr>
          <w:rFonts w:ascii="Cambria"/>
        </w:rPr>
        <w:t>5</w:t>
      </w:r>
      <w:r>
        <w:rPr>
          <w:rFonts w:ascii="Cambria"/>
          <w:spacing w:val="40"/>
        </w:rPr>
        <w:t> </w:t>
      </w:r>
      <w:r>
        <w:rPr>
          <w:rFonts w:ascii="Cambria"/>
        </w:rPr>
        <w:t>and</w:t>
      </w:r>
      <w:r>
        <w:rPr>
          <w:rFonts w:ascii="Cambria"/>
          <w:spacing w:val="40"/>
        </w:rPr>
        <w:t> </w:t>
      </w:r>
      <w:r>
        <w:rPr>
          <w:rFonts w:ascii="Cambria"/>
        </w:rPr>
        <w:t>6</w:t>
      </w:r>
      <w:r>
        <w:rPr>
          <w:rFonts w:ascii="Cambria"/>
          <w:spacing w:val="40"/>
        </w:rPr>
        <w:t> </w:t>
      </w:r>
      <w:r>
        <w:rPr>
          <w:rFonts w:ascii="Cambria"/>
        </w:rPr>
        <w:t>analyses,</w:t>
      </w:r>
      <w:r>
        <w:rPr>
          <w:rFonts w:ascii="Cambria"/>
          <w:spacing w:val="40"/>
        </w:rPr>
        <w:t> </w:t>
      </w:r>
      <w:r>
        <w:rPr>
          <w:rFonts w:ascii="Cambria"/>
        </w:rPr>
        <w:t>the</w:t>
      </w:r>
      <w:r>
        <w:rPr>
          <w:rFonts w:ascii="Cambria"/>
          <w:spacing w:val="40"/>
        </w:rPr>
        <w:t> </w:t>
      </w:r>
      <w:r>
        <w:rPr>
          <w:rFonts w:ascii="Cambria"/>
        </w:rPr>
        <w:t>results</w:t>
      </w:r>
      <w:r>
        <w:rPr>
          <w:rFonts w:ascii="Cambria"/>
          <w:spacing w:val="40"/>
        </w:rPr>
        <w:t> </w:t>
      </w:r>
      <w:r>
        <w:rPr>
          <w:rFonts w:ascii="Cambria"/>
        </w:rPr>
        <w:t>revealed</w:t>
      </w:r>
      <w:r>
        <w:rPr>
          <w:rFonts w:ascii="Cambria"/>
          <w:spacing w:val="40"/>
        </w:rPr>
        <w:t> </w:t>
      </w:r>
      <w:r>
        <w:rPr>
          <w:rFonts w:ascii="Cambria"/>
        </w:rPr>
        <w:t>that</w:t>
      </w:r>
      <w:r>
        <w:rPr>
          <w:rFonts w:ascii="Cambria"/>
          <w:spacing w:val="40"/>
        </w:rPr>
        <w:t> </w:t>
      </w:r>
      <w:r>
        <w:rPr>
          <w:rFonts w:ascii="Cambria"/>
        </w:rPr>
        <w:t>the</w:t>
      </w:r>
      <w:r>
        <w:rPr>
          <w:rFonts w:ascii="Cambria"/>
          <w:spacing w:val="40"/>
        </w:rPr>
        <w:t> </w:t>
      </w:r>
      <w:r>
        <w:rPr>
          <w:rFonts w:ascii="Cambria"/>
        </w:rPr>
        <w:t>Post-SAP</w:t>
      </w:r>
      <w:r>
        <w:rPr>
          <w:rFonts w:ascii="Cambria"/>
          <w:spacing w:val="40"/>
        </w:rPr>
        <w:t> </w:t>
      </w:r>
      <w:r>
        <w:rPr>
          <w:rFonts w:ascii="Cambria"/>
        </w:rPr>
        <w:t>era</w:t>
      </w:r>
      <w:r>
        <w:rPr>
          <w:rFonts w:ascii="Cambria"/>
          <w:spacing w:val="40"/>
        </w:rPr>
        <w:t> </w:t>
      </w:r>
      <w:r>
        <w:rPr>
          <w:rFonts w:ascii="Cambria"/>
        </w:rPr>
        <w:t>brought</w:t>
      </w:r>
      <w:r>
        <w:rPr>
          <w:rFonts w:ascii="Cambria"/>
          <w:spacing w:val="40"/>
        </w:rPr>
        <w:t> </w:t>
      </w:r>
      <w:r>
        <w:rPr>
          <w:rFonts w:ascii="Cambria"/>
        </w:rPr>
        <w:t>about increased</w:t>
      </w:r>
      <w:r>
        <w:rPr>
          <w:rFonts w:ascii="Cambria"/>
          <w:spacing w:val="8"/>
        </w:rPr>
        <w:t> </w:t>
      </w:r>
      <w:r>
        <w:rPr>
          <w:rFonts w:ascii="Cambria"/>
        </w:rPr>
        <w:t>foreign</w:t>
      </w:r>
      <w:r>
        <w:rPr>
          <w:rFonts w:ascii="Cambria"/>
          <w:spacing w:val="10"/>
        </w:rPr>
        <w:t> </w:t>
      </w:r>
      <w:r>
        <w:rPr>
          <w:rFonts w:ascii="Cambria"/>
        </w:rPr>
        <w:t>direct</w:t>
      </w:r>
      <w:r>
        <w:rPr>
          <w:rFonts w:ascii="Cambria"/>
          <w:spacing w:val="10"/>
        </w:rPr>
        <w:t> </w:t>
      </w:r>
      <w:r>
        <w:rPr>
          <w:rFonts w:ascii="Cambria"/>
        </w:rPr>
        <w:t>investment</w:t>
      </w:r>
      <w:r>
        <w:rPr>
          <w:rFonts w:ascii="Cambria"/>
          <w:spacing w:val="13"/>
        </w:rPr>
        <w:t> </w:t>
      </w:r>
      <w:r>
        <w:rPr>
          <w:rFonts w:ascii="Cambria"/>
        </w:rPr>
        <w:t>(DFI)</w:t>
      </w:r>
      <w:r>
        <w:rPr>
          <w:rFonts w:ascii="Cambria"/>
          <w:spacing w:val="9"/>
        </w:rPr>
        <w:t> </w:t>
      </w:r>
      <w:r>
        <w:rPr>
          <w:rFonts w:ascii="Cambria"/>
        </w:rPr>
        <w:t>to</w:t>
      </w:r>
      <w:r>
        <w:rPr>
          <w:rFonts w:ascii="Cambria"/>
          <w:spacing w:val="10"/>
        </w:rPr>
        <w:t> </w:t>
      </w:r>
      <w:r>
        <w:rPr>
          <w:rFonts w:ascii="Cambria"/>
        </w:rPr>
        <w:t>Nigeria.</w:t>
      </w:r>
      <w:r>
        <w:rPr>
          <w:rFonts w:ascii="Cambria"/>
          <w:spacing w:val="9"/>
        </w:rPr>
        <w:t> </w:t>
      </w:r>
      <w:r>
        <w:rPr>
          <w:rFonts w:ascii="Cambria"/>
        </w:rPr>
        <w:t>Evidende</w:t>
      </w:r>
      <w:r>
        <w:rPr>
          <w:rFonts w:ascii="Cambria"/>
          <w:spacing w:val="10"/>
        </w:rPr>
        <w:t> </w:t>
      </w:r>
      <w:r>
        <w:rPr>
          <w:rFonts w:ascii="Cambria"/>
        </w:rPr>
        <w:t>form</w:t>
      </w:r>
      <w:r>
        <w:rPr>
          <w:rFonts w:ascii="Cambria"/>
          <w:spacing w:val="9"/>
        </w:rPr>
        <w:t> </w:t>
      </w:r>
      <w:r>
        <w:rPr>
          <w:rFonts w:ascii="Cambria"/>
        </w:rPr>
        <w:t>the</w:t>
      </w:r>
      <w:r>
        <w:rPr>
          <w:rFonts w:ascii="Cambria"/>
          <w:spacing w:val="9"/>
        </w:rPr>
        <w:t> </w:t>
      </w:r>
      <w:r>
        <w:rPr>
          <w:rFonts w:ascii="Cambria"/>
        </w:rPr>
        <w:t>analysis</w:t>
      </w:r>
      <w:r>
        <w:rPr>
          <w:rFonts w:ascii="Cambria"/>
          <w:spacing w:val="10"/>
        </w:rPr>
        <w:t> </w:t>
      </w:r>
      <w:r>
        <w:rPr>
          <w:rFonts w:ascii="Cambria"/>
        </w:rPr>
        <w:t>showed</w:t>
      </w:r>
      <w:r>
        <w:rPr>
          <w:rFonts w:ascii="Cambria"/>
          <w:spacing w:val="9"/>
        </w:rPr>
        <w:t> </w:t>
      </w:r>
      <w:r>
        <w:rPr>
          <w:rFonts w:ascii="Cambria"/>
        </w:rPr>
        <w:t>that</w:t>
      </w:r>
      <w:r>
        <w:rPr>
          <w:rFonts w:ascii="Cambria"/>
          <w:spacing w:val="13"/>
        </w:rPr>
        <w:t> </w:t>
      </w:r>
      <w:r>
        <w:rPr>
          <w:rFonts w:ascii="Cambria"/>
          <w:spacing w:val="-2"/>
        </w:rPr>
        <w:t>change</w:t>
      </w:r>
    </w:p>
    <w:p>
      <w:pPr>
        <w:spacing w:after="0" w:line="560" w:lineRule="atLeast"/>
        <w:rPr>
          <w:rFonts w:ascii="Cambria"/>
        </w:rPr>
        <w:sectPr>
          <w:pgSz w:w="11910" w:h="16840"/>
          <w:pgMar w:header="0" w:footer="979" w:top="1360" w:bottom="1200" w:left="280" w:right="0"/>
        </w:sectPr>
      </w:pPr>
    </w:p>
    <w:p>
      <w:pPr>
        <w:pStyle w:val="BodyText"/>
        <w:spacing w:line="480" w:lineRule="auto" w:before="81"/>
        <w:ind w:left="711" w:right="467"/>
        <w:jc w:val="both"/>
        <w:rPr>
          <w:rFonts w:ascii="Cambria" w:hAnsi="Cambria"/>
        </w:rPr>
      </w:pPr>
      <w:r>
        <w:rPr>
          <w:rFonts w:ascii="Cambria" w:hAnsi="Cambria"/>
        </w:rPr>
        <w:t>in reserves (δRES)</w:t>
      </w:r>
      <w:r>
        <w:rPr>
          <w:rFonts w:ascii="Cambria" w:hAnsi="Cambria"/>
          <w:spacing w:val="-1"/>
        </w:rPr>
        <w:t> </w:t>
      </w:r>
      <w:r>
        <w:rPr>
          <w:rFonts w:ascii="Cambria" w:hAnsi="Cambria"/>
        </w:rPr>
        <w:t>and</w:t>
      </w:r>
      <w:r>
        <w:rPr>
          <w:rFonts w:ascii="Cambria" w:hAnsi="Cambria"/>
          <w:spacing w:val="-4"/>
        </w:rPr>
        <w:t> </w:t>
      </w:r>
      <w:r>
        <w:rPr>
          <w:rFonts w:ascii="Cambria" w:hAnsi="Cambria"/>
        </w:rPr>
        <w:t>direct foreign investment (DFI)</w:t>
      </w:r>
      <w:r>
        <w:rPr>
          <w:rFonts w:ascii="Cambria" w:hAnsi="Cambria"/>
          <w:spacing w:val="-1"/>
        </w:rPr>
        <w:t> </w:t>
      </w:r>
      <w:r>
        <w:rPr>
          <w:rFonts w:ascii="Cambria" w:hAnsi="Cambria"/>
        </w:rPr>
        <w:t>had</w:t>
      </w:r>
      <w:r>
        <w:rPr>
          <w:rFonts w:ascii="Cambria" w:hAnsi="Cambria"/>
          <w:spacing w:val="-2"/>
        </w:rPr>
        <w:t> </w:t>
      </w:r>
      <w:r>
        <w:rPr>
          <w:rFonts w:ascii="Cambria" w:hAnsi="Cambria"/>
        </w:rPr>
        <w:t>positive impact on</w:t>
      </w:r>
      <w:r>
        <w:rPr>
          <w:rFonts w:ascii="Cambria" w:hAnsi="Cambria"/>
          <w:spacing w:val="-3"/>
        </w:rPr>
        <w:t> </w:t>
      </w:r>
      <w:r>
        <w:rPr>
          <w:rFonts w:ascii="Cambria" w:hAnsi="Cambria"/>
        </w:rPr>
        <w:t>the economy.</w:t>
      </w:r>
      <w:r>
        <w:rPr>
          <w:rFonts w:ascii="Cambria" w:hAnsi="Cambria"/>
          <w:spacing w:val="-2"/>
        </w:rPr>
        <w:t> </w:t>
      </w:r>
      <w:r>
        <w:rPr>
          <w:rFonts w:ascii="Cambria" w:hAnsi="Cambria"/>
        </w:rPr>
        <w:t>However, the results revealed that current account balance (CAB) and net assets of domestic banks (δNEXTAS) had negative impact on the economy during the period under consideration. This is expected because for current account balance to generate positive balance of trade that could impact positively on the economy export must be more than imports and this is not yet a reality in Nigeria.</w:t>
      </w:r>
      <w:r>
        <w:rPr>
          <w:rFonts w:ascii="Cambria" w:hAnsi="Cambria"/>
          <w:spacing w:val="80"/>
        </w:rPr>
        <w:t> </w:t>
      </w:r>
      <w:r>
        <w:rPr>
          <w:rFonts w:ascii="Cambria" w:hAnsi="Cambria"/>
        </w:rPr>
        <w:t>Again the increased level of uncertainties in the financial industry in 1990s and 200s has led to incease in the</w:t>
      </w:r>
      <w:r>
        <w:rPr>
          <w:rFonts w:ascii="Cambria" w:hAnsi="Cambria"/>
          <w:spacing w:val="40"/>
        </w:rPr>
        <w:t> </w:t>
      </w:r>
      <w:r>
        <w:rPr>
          <w:rFonts w:ascii="Cambria" w:hAnsi="Cambria"/>
        </w:rPr>
        <w:t>net asset of domestic banks abroad. These funds are made available for the foreign economic growth at the expense of domestic economy.</w:t>
      </w:r>
    </w:p>
    <w:p>
      <w:pPr>
        <w:pStyle w:val="BodyText"/>
        <w:rPr>
          <w:rFonts w:ascii="Cambria"/>
        </w:rPr>
      </w:pPr>
    </w:p>
    <w:p>
      <w:pPr>
        <w:pStyle w:val="BodyText"/>
        <w:rPr>
          <w:rFonts w:ascii="Cambria"/>
        </w:rPr>
      </w:pPr>
    </w:p>
    <w:p>
      <w:pPr>
        <w:pStyle w:val="BodyText"/>
        <w:spacing w:line="480" w:lineRule="auto"/>
        <w:ind w:left="711" w:right="471"/>
        <w:jc w:val="both"/>
      </w:pPr>
      <w:r>
        <w:rPr/>
        <w:t>Apart from the above, the trend of capital flight in Nigeria</w:t>
      </w:r>
      <w:r>
        <w:rPr>
          <w:spacing w:val="-1"/>
        </w:rPr>
        <w:t> </w:t>
      </w:r>
      <w:r>
        <w:rPr/>
        <w:t>since 1970 reveals the proportion of capital flight under different regimes and policies in Nigeria. These regimes include the civilian administration, military administration, regulated and deregulated economic policies eras. The graph shown below gives the total capital flight estimates within the period under study. The estimate is based on the residual approach of the World Bank adopted for the study. A critical appraisal of the diagram shows that capital outflow is on the increase whenever there is transition from one government to another. The first level of spontaneous increase that was recorded in the level of capital flight was recorded within 1973 to 1975 which coincided with the period of oil boom. Ever since then, the level of capital flight has always been on the increase as a result of</w:t>
      </w:r>
      <w:r>
        <w:rPr>
          <w:spacing w:val="40"/>
        </w:rPr>
        <w:t> </w:t>
      </w:r>
      <w:r>
        <w:rPr/>
        <w:t>government officials moving out funds that are meant to be used for developmental process to another country. A significant increase was also recorded during the 1993 Military transition to Civilian era up to 2009. An all-time increase was record in 2010 with a massive movement of funds from the country.</w:t>
      </w:r>
    </w:p>
    <w:p>
      <w:pPr>
        <w:spacing w:after="0" w:line="480" w:lineRule="auto"/>
        <w:jc w:val="both"/>
        <w:sectPr>
          <w:pgSz w:w="11910" w:h="16840"/>
          <w:pgMar w:header="0" w:footer="979" w:top="1340" w:bottom="1240" w:left="280" w:right="0"/>
        </w:sectPr>
      </w:pPr>
    </w:p>
    <w:p>
      <w:pPr>
        <w:pStyle w:val="Heading5"/>
        <w:ind w:left="956"/>
      </w:pPr>
      <w:r>
        <w:rPr>
          <w:spacing w:val="-2"/>
        </w:rPr>
        <w:t>REFERENCES</w:t>
      </w:r>
    </w:p>
    <w:p>
      <w:pPr>
        <w:pStyle w:val="BodyText"/>
        <w:spacing w:before="1"/>
        <w:rPr>
          <w:b/>
        </w:rPr>
      </w:pPr>
    </w:p>
    <w:p>
      <w:pPr>
        <w:pStyle w:val="BodyText"/>
        <w:ind w:left="711"/>
        <w:rPr>
          <w:i/>
        </w:rPr>
      </w:pPr>
      <w:r>
        <w:rPr/>
        <w:t>Erbe,</w:t>
      </w:r>
      <w:r>
        <w:rPr>
          <w:spacing w:val="-3"/>
        </w:rPr>
        <w:t> </w:t>
      </w:r>
      <w:r>
        <w:rPr/>
        <w:t>S.(1985).</w:t>
      </w:r>
      <w:r>
        <w:rPr>
          <w:spacing w:val="59"/>
        </w:rPr>
        <w:t> </w:t>
      </w:r>
      <w:r>
        <w:rPr/>
        <w:t>The</w:t>
      </w:r>
      <w:r>
        <w:rPr>
          <w:spacing w:val="-1"/>
        </w:rPr>
        <w:t> </w:t>
      </w:r>
      <w:r>
        <w:rPr/>
        <w:t>Flight of</w:t>
      </w:r>
      <w:r>
        <w:rPr>
          <w:spacing w:val="-1"/>
        </w:rPr>
        <w:t> </w:t>
      </w:r>
      <w:r>
        <w:rPr/>
        <w:t>Capital from Developing</w:t>
      </w:r>
      <w:r>
        <w:rPr>
          <w:spacing w:val="-3"/>
        </w:rPr>
        <w:t> </w:t>
      </w:r>
      <w:r>
        <w:rPr/>
        <w:t>Countries.</w:t>
      </w:r>
      <w:r>
        <w:rPr>
          <w:spacing w:val="63"/>
        </w:rPr>
        <w:t> </w:t>
      </w:r>
      <w:r>
        <w:rPr>
          <w:i/>
          <w:spacing w:val="-2"/>
        </w:rPr>
        <w:t>Intereconomics</w:t>
      </w:r>
    </w:p>
    <w:p>
      <w:pPr>
        <w:pStyle w:val="BodyText"/>
        <w:ind w:left="1431"/>
      </w:pPr>
      <w:r>
        <w:rPr>
          <w:spacing w:val="-2"/>
        </w:rPr>
        <w:t>(November/December).</w:t>
      </w:r>
    </w:p>
    <w:p>
      <w:pPr>
        <w:spacing w:before="0"/>
        <w:ind w:left="2151" w:right="2704" w:hanging="1441"/>
        <w:jc w:val="left"/>
        <w:rPr>
          <w:sz w:val="24"/>
        </w:rPr>
      </w:pPr>
      <w:r>
        <w:rPr>
          <w:sz w:val="24"/>
        </w:rPr>
        <w:t>Morgan</w:t>
      </w:r>
      <w:r>
        <w:rPr>
          <w:spacing w:val="-4"/>
          <w:sz w:val="24"/>
        </w:rPr>
        <w:t> </w:t>
      </w:r>
      <w:r>
        <w:rPr>
          <w:sz w:val="24"/>
        </w:rPr>
        <w:t>Guaranty</w:t>
      </w:r>
      <w:r>
        <w:rPr>
          <w:spacing w:val="-9"/>
          <w:sz w:val="24"/>
        </w:rPr>
        <w:t> </w:t>
      </w:r>
      <w:r>
        <w:rPr>
          <w:sz w:val="24"/>
        </w:rPr>
        <w:t>Trust</w:t>
      </w:r>
      <w:r>
        <w:rPr>
          <w:spacing w:val="-3"/>
          <w:sz w:val="24"/>
        </w:rPr>
        <w:t> </w:t>
      </w:r>
      <w:r>
        <w:rPr>
          <w:sz w:val="24"/>
        </w:rPr>
        <w:t>Company,</w:t>
      </w:r>
      <w:r>
        <w:rPr>
          <w:spacing w:val="-3"/>
          <w:sz w:val="24"/>
        </w:rPr>
        <w:t> </w:t>
      </w:r>
      <w:r>
        <w:rPr>
          <w:sz w:val="24"/>
        </w:rPr>
        <w:t>(1986).</w:t>
      </w:r>
      <w:r>
        <w:rPr>
          <w:spacing w:val="-3"/>
          <w:sz w:val="24"/>
        </w:rPr>
        <w:t> </w:t>
      </w:r>
      <w:r>
        <w:rPr>
          <w:sz w:val="24"/>
        </w:rPr>
        <w:t>LDC</w:t>
      </w:r>
      <w:r>
        <w:rPr>
          <w:spacing w:val="-3"/>
          <w:sz w:val="24"/>
        </w:rPr>
        <w:t> </w:t>
      </w:r>
      <w:r>
        <w:rPr>
          <w:sz w:val="24"/>
        </w:rPr>
        <w:t>Capital</w:t>
      </w:r>
      <w:r>
        <w:rPr>
          <w:spacing w:val="-4"/>
          <w:sz w:val="24"/>
        </w:rPr>
        <w:t> </w:t>
      </w:r>
      <w:r>
        <w:rPr>
          <w:sz w:val="24"/>
        </w:rPr>
        <w:t>Flight.</w:t>
      </w:r>
      <w:r>
        <w:rPr>
          <w:spacing w:val="-3"/>
          <w:sz w:val="24"/>
        </w:rPr>
        <w:t> </w:t>
      </w:r>
      <w:r>
        <w:rPr>
          <w:i/>
          <w:sz w:val="24"/>
        </w:rPr>
        <w:t>World</w:t>
      </w:r>
      <w:r>
        <w:rPr>
          <w:i/>
          <w:spacing w:val="-4"/>
          <w:sz w:val="24"/>
        </w:rPr>
        <w:t> </w:t>
      </w:r>
      <w:r>
        <w:rPr>
          <w:i/>
          <w:sz w:val="24"/>
        </w:rPr>
        <w:t>Financial Markets</w:t>
      </w:r>
      <w:r>
        <w:rPr>
          <w:sz w:val="24"/>
        </w:rPr>
        <w:t>, March, 13-15.</w:t>
      </w:r>
    </w:p>
    <w:p>
      <w:pPr>
        <w:pStyle w:val="BodyText"/>
        <w:ind w:left="711"/>
        <w:rPr>
          <w:i/>
        </w:rPr>
      </w:pPr>
      <w:r>
        <w:rPr/>
        <w:t>World</w:t>
      </w:r>
      <w:r>
        <w:rPr>
          <w:spacing w:val="-1"/>
        </w:rPr>
        <w:t> </w:t>
      </w:r>
      <w:r>
        <w:rPr/>
        <w:t>Bank</w:t>
      </w:r>
      <w:r>
        <w:rPr>
          <w:spacing w:val="-1"/>
        </w:rPr>
        <w:t> </w:t>
      </w:r>
      <w:r>
        <w:rPr/>
        <w:t>and</w:t>
      </w:r>
      <w:r>
        <w:rPr>
          <w:spacing w:val="-1"/>
        </w:rPr>
        <w:t> </w:t>
      </w:r>
      <w:r>
        <w:rPr/>
        <w:t>Erbe</w:t>
      </w:r>
      <w:r>
        <w:rPr>
          <w:spacing w:val="-2"/>
        </w:rPr>
        <w:t> </w:t>
      </w:r>
      <w:r>
        <w:rPr/>
        <w:t>(1985).</w:t>
      </w:r>
      <w:r>
        <w:rPr>
          <w:spacing w:val="-2"/>
        </w:rPr>
        <w:t> </w:t>
      </w:r>
      <w:r>
        <w:rPr/>
        <w:t>World</w:t>
      </w:r>
      <w:r>
        <w:rPr>
          <w:spacing w:val="-1"/>
        </w:rPr>
        <w:t> </w:t>
      </w:r>
      <w:r>
        <w:rPr/>
        <w:t>Development</w:t>
      </w:r>
      <w:r>
        <w:rPr>
          <w:spacing w:val="-1"/>
        </w:rPr>
        <w:t> </w:t>
      </w:r>
      <w:r>
        <w:rPr/>
        <w:t>Report</w:t>
      </w:r>
      <w:r>
        <w:rPr>
          <w:spacing w:val="-1"/>
        </w:rPr>
        <w:t> </w:t>
      </w:r>
      <w:r>
        <w:rPr/>
        <w:t>1985.</w:t>
      </w:r>
      <w:r>
        <w:rPr>
          <w:spacing w:val="4"/>
        </w:rPr>
        <w:t> </w:t>
      </w:r>
      <w:r>
        <w:rPr>
          <w:i/>
        </w:rPr>
        <w:t>World </w:t>
      </w:r>
      <w:r>
        <w:rPr>
          <w:i/>
          <w:spacing w:val="-2"/>
        </w:rPr>
        <w:t>Bank.</w:t>
      </w:r>
    </w:p>
    <w:p>
      <w:pPr>
        <w:spacing w:after="0"/>
        <w:sectPr>
          <w:pgSz w:w="11910" w:h="16840"/>
          <w:pgMar w:header="0" w:footer="979" w:top="1360" w:bottom="1240" w:left="280" w:right="0"/>
        </w:sectPr>
      </w:pPr>
    </w:p>
    <w:p>
      <w:pPr>
        <w:pStyle w:val="Heading1"/>
        <w:spacing w:line="480" w:lineRule="auto"/>
        <w:ind w:left="2360" w:right="3312" w:firstLine="2518"/>
        <w:jc w:val="left"/>
      </w:pPr>
      <w:r>
        <w:rPr/>
        <w:t>CHAPTER FIVE DISCUSSION</w:t>
      </w:r>
      <w:r>
        <w:rPr>
          <w:spacing w:val="-8"/>
        </w:rPr>
        <w:t> </w:t>
      </w:r>
      <w:r>
        <w:rPr/>
        <w:t>AND</w:t>
      </w:r>
      <w:r>
        <w:rPr>
          <w:spacing w:val="-9"/>
        </w:rPr>
        <w:t> </w:t>
      </w:r>
      <w:r>
        <w:rPr/>
        <w:t>SUMMARY</w:t>
      </w:r>
      <w:r>
        <w:rPr>
          <w:spacing w:val="-8"/>
        </w:rPr>
        <w:t> </w:t>
      </w:r>
      <w:r>
        <w:rPr/>
        <w:t>OF</w:t>
      </w:r>
      <w:r>
        <w:rPr>
          <w:spacing w:val="-7"/>
        </w:rPr>
        <w:t> </w:t>
      </w:r>
      <w:r>
        <w:rPr/>
        <w:t>FINDINGS</w:t>
      </w:r>
    </w:p>
    <w:p>
      <w:pPr>
        <w:pStyle w:val="Heading6"/>
        <w:numPr>
          <w:ilvl w:val="1"/>
          <w:numId w:val="30"/>
        </w:numPr>
        <w:tabs>
          <w:tab w:pos="1791" w:val="left" w:leader="none"/>
        </w:tabs>
        <w:spacing w:line="240" w:lineRule="auto" w:before="0" w:after="0"/>
        <w:ind w:left="1791" w:right="0" w:hanging="780"/>
        <w:jc w:val="left"/>
      </w:pPr>
      <w:r>
        <w:rPr/>
        <w:t>Discusion of</w:t>
      </w:r>
      <w:r>
        <w:rPr>
          <w:spacing w:val="-1"/>
        </w:rPr>
        <w:t> </w:t>
      </w:r>
      <w:r>
        <w:rPr>
          <w:spacing w:val="-2"/>
        </w:rPr>
        <w:t>Findings</w:t>
      </w:r>
    </w:p>
    <w:p>
      <w:pPr>
        <w:pStyle w:val="BodyText"/>
        <w:rPr>
          <w:b/>
        </w:rPr>
      </w:pPr>
    </w:p>
    <w:p>
      <w:pPr>
        <w:pStyle w:val="BodyText"/>
        <w:spacing w:line="480" w:lineRule="auto"/>
        <w:ind w:left="711" w:right="468"/>
        <w:jc w:val="both"/>
      </w:pPr>
      <w:r>
        <w:rPr/>
        <w:t>Generally, the empirical investigation from the study has established both short and long run relationships between the dependent and independent variables. In model 1, 3 and 4, Change in External Debt (δEXDEBT), Private Sector Credit (PRIVCR), Government Current Expenditure (GOCE) and Degree of Openness (DOP) are statistically significant in the model in the short run while Inflation rate (INF), Gross capital formation (GCF), Deposit rate (DR) and Government Current Expenditure (GOCE) are the main determinants</w:t>
      </w:r>
      <w:r>
        <w:rPr>
          <w:spacing w:val="-2"/>
        </w:rPr>
        <w:t> </w:t>
      </w:r>
      <w:r>
        <w:rPr/>
        <w:t>of capital</w:t>
      </w:r>
      <w:r>
        <w:rPr>
          <w:spacing w:val="-2"/>
        </w:rPr>
        <w:t> </w:t>
      </w:r>
      <w:r>
        <w:rPr/>
        <w:t>flight</w:t>
      </w:r>
      <w:r>
        <w:rPr>
          <w:spacing w:val="-2"/>
        </w:rPr>
        <w:t> </w:t>
      </w:r>
      <w:r>
        <w:rPr/>
        <w:t>in</w:t>
      </w:r>
      <w:r>
        <w:rPr>
          <w:spacing w:val="-2"/>
        </w:rPr>
        <w:t> </w:t>
      </w:r>
      <w:r>
        <w:rPr/>
        <w:t>the</w:t>
      </w:r>
      <w:r>
        <w:rPr>
          <w:spacing w:val="-2"/>
        </w:rPr>
        <w:t> </w:t>
      </w:r>
      <w:r>
        <w:rPr/>
        <w:t>long</w:t>
      </w:r>
      <w:r>
        <w:rPr>
          <w:spacing w:val="-3"/>
        </w:rPr>
        <w:t> </w:t>
      </w:r>
      <w:r>
        <w:rPr/>
        <w:t>run. These</w:t>
      </w:r>
      <w:r>
        <w:rPr>
          <w:spacing w:val="-3"/>
        </w:rPr>
        <w:t> </w:t>
      </w:r>
      <w:r>
        <w:rPr/>
        <w:t>variables</w:t>
      </w:r>
      <w:r>
        <w:rPr>
          <w:spacing w:val="-1"/>
        </w:rPr>
        <w:t> </w:t>
      </w:r>
      <w:r>
        <w:rPr/>
        <w:t>had greatly</w:t>
      </w:r>
      <w:r>
        <w:rPr>
          <w:spacing w:val="-7"/>
        </w:rPr>
        <w:t> </w:t>
      </w:r>
      <w:r>
        <w:rPr/>
        <w:t>impact on</w:t>
      </w:r>
      <w:r>
        <w:rPr>
          <w:spacing w:val="-2"/>
        </w:rPr>
        <w:t> </w:t>
      </w:r>
      <w:r>
        <w:rPr/>
        <w:t>the</w:t>
      </w:r>
      <w:r>
        <w:rPr>
          <w:spacing w:val="-2"/>
        </w:rPr>
        <w:t> </w:t>
      </w:r>
      <w:r>
        <w:rPr/>
        <w:t>level</w:t>
      </w:r>
      <w:r>
        <w:rPr>
          <w:spacing w:val="-2"/>
        </w:rPr>
        <w:t> </w:t>
      </w:r>
      <w:r>
        <w:rPr/>
        <w:t>of</w:t>
      </w:r>
      <w:r>
        <w:rPr>
          <w:spacing w:val="-1"/>
        </w:rPr>
        <w:t> </w:t>
      </w:r>
      <w:r>
        <w:rPr/>
        <w:t>capital</w:t>
      </w:r>
      <w:r>
        <w:rPr>
          <w:spacing w:val="-2"/>
        </w:rPr>
        <w:t> </w:t>
      </w:r>
      <w:r>
        <w:rPr/>
        <w:t>flight in Nigeria within the period under consideration.</w:t>
      </w:r>
      <w:r>
        <w:rPr>
          <w:spacing w:val="40"/>
        </w:rPr>
        <w:t> </w:t>
      </w:r>
      <w:r>
        <w:rPr/>
        <w:t>The relationship between capital flight and inflation can best be explained by the continuous depletion of every naira retained in the country. The inflation rate has been responsible for</w:t>
      </w:r>
      <w:r>
        <w:rPr>
          <w:spacing w:val="-2"/>
        </w:rPr>
        <w:t> </w:t>
      </w:r>
      <w:r>
        <w:rPr/>
        <w:t>the change</w:t>
      </w:r>
      <w:r>
        <w:rPr>
          <w:spacing w:val="-1"/>
        </w:rPr>
        <w:t> </w:t>
      </w:r>
      <w:r>
        <w:rPr/>
        <w:t>in the</w:t>
      </w:r>
      <w:r>
        <w:rPr>
          <w:spacing w:val="-1"/>
        </w:rPr>
        <w:t> </w:t>
      </w:r>
      <w:r>
        <w:rPr/>
        <w:t>value</w:t>
      </w:r>
      <w:r>
        <w:rPr>
          <w:spacing w:val="-1"/>
        </w:rPr>
        <w:t> </w:t>
      </w:r>
      <w:r>
        <w:rPr/>
        <w:t>of</w:t>
      </w:r>
      <w:r>
        <w:rPr>
          <w:spacing w:val="-1"/>
        </w:rPr>
        <w:t> </w:t>
      </w:r>
      <w:r>
        <w:rPr/>
        <w:t>money</w:t>
      </w:r>
      <w:r>
        <w:rPr>
          <w:spacing w:val="-5"/>
        </w:rPr>
        <w:t> </w:t>
      </w:r>
      <w:r>
        <w:rPr/>
        <w:t>over</w:t>
      </w:r>
      <w:r>
        <w:rPr>
          <w:spacing w:val="-1"/>
        </w:rPr>
        <w:t> </w:t>
      </w:r>
      <w:r>
        <w:rPr/>
        <w:t>time</w:t>
      </w:r>
      <w:r>
        <w:rPr>
          <w:spacing w:val="-1"/>
        </w:rPr>
        <w:t> </w:t>
      </w:r>
      <w:r>
        <w:rPr/>
        <w:t>and to a</w:t>
      </w:r>
      <w:r>
        <w:rPr>
          <w:spacing w:val="-1"/>
        </w:rPr>
        <w:t> </w:t>
      </w:r>
      <w:r>
        <w:rPr/>
        <w:t>large</w:t>
      </w:r>
      <w:r>
        <w:rPr>
          <w:spacing w:val="-1"/>
        </w:rPr>
        <w:t> </w:t>
      </w:r>
      <w:r>
        <w:rPr/>
        <w:t>extent causes the depletion in the value of any country’s currency as the inflation in such economy is on the increase.</w:t>
      </w:r>
    </w:p>
    <w:p>
      <w:pPr>
        <w:pStyle w:val="BodyText"/>
        <w:spacing w:line="480" w:lineRule="auto"/>
        <w:ind w:left="711" w:right="470"/>
        <w:jc w:val="both"/>
      </w:pPr>
      <w:r>
        <w:rPr/>
        <w:t>The change in the fixed asset and stock of a country over a period of time captured by the Gross capital formation (GCF) is expected to maintain a negative relationship with capital flight. This is because the level of capital formation shows the rate of change that exists in the capital account of a nation. In the short-run analysis, the coefficient of Gross Capital formation shows conformity with </w:t>
      </w:r>
      <w:r>
        <w:rPr>
          <w:i/>
        </w:rPr>
        <w:t>a prior </w:t>
      </w:r>
      <w:r>
        <w:rPr/>
        <w:t>expectation. Again, Direct Foreign Investment (DFI) and current Account Balance (CAB) are statistically significant in explaining the behaviour of the dependent variable (GDP) in the short run, whereas Direct Foreign Investment (DFI) Change in External Reserve (δRES) and Net Foreign Asset of Domestic Financial Institution (δNEXTAS) are</w:t>
      </w:r>
      <w:r>
        <w:rPr>
          <w:spacing w:val="-1"/>
        </w:rPr>
        <w:t> </w:t>
      </w:r>
      <w:r>
        <w:rPr/>
        <w:t>very</w:t>
      </w:r>
      <w:r>
        <w:rPr>
          <w:spacing w:val="-4"/>
        </w:rPr>
        <w:t> </w:t>
      </w:r>
      <w:r>
        <w:rPr/>
        <w:t>significant in explaining</w:t>
      </w:r>
      <w:r>
        <w:rPr>
          <w:spacing w:val="-1"/>
        </w:rPr>
        <w:t> </w:t>
      </w:r>
      <w:r>
        <w:rPr/>
        <w:t>the behaviour of economic growth in the long run. However, Change in External Debt (δEXDEBT) is not significantly relevant in explaining the behaviour of economic growth represented by Gross Domestic Product (GDP). Thus the null hypotheses are accepted for parameters</w:t>
      </w:r>
      <w:r>
        <w:rPr>
          <w:spacing w:val="5"/>
        </w:rPr>
        <w:t> </w:t>
      </w:r>
      <w:r>
        <w:rPr/>
        <w:t>that</w:t>
      </w:r>
      <w:r>
        <w:rPr>
          <w:spacing w:val="11"/>
        </w:rPr>
        <w:t> </w:t>
      </w:r>
      <w:r>
        <w:rPr/>
        <w:t>are</w:t>
      </w:r>
      <w:r>
        <w:rPr>
          <w:spacing w:val="7"/>
        </w:rPr>
        <w:t> </w:t>
      </w:r>
      <w:r>
        <w:rPr/>
        <w:t>not</w:t>
      </w:r>
      <w:r>
        <w:rPr>
          <w:spacing w:val="9"/>
        </w:rPr>
        <w:t> </w:t>
      </w:r>
      <w:r>
        <w:rPr/>
        <w:t>significant</w:t>
      </w:r>
      <w:r>
        <w:rPr>
          <w:spacing w:val="9"/>
        </w:rPr>
        <w:t> </w:t>
      </w:r>
      <w:r>
        <w:rPr/>
        <w:t>in</w:t>
      </w:r>
      <w:r>
        <w:rPr>
          <w:spacing w:val="9"/>
        </w:rPr>
        <w:t> </w:t>
      </w:r>
      <w:r>
        <w:rPr/>
        <w:t>explaining</w:t>
      </w:r>
      <w:r>
        <w:rPr>
          <w:spacing w:val="7"/>
        </w:rPr>
        <w:t> </w:t>
      </w:r>
      <w:r>
        <w:rPr/>
        <w:t>the</w:t>
      </w:r>
      <w:r>
        <w:rPr>
          <w:spacing w:val="8"/>
        </w:rPr>
        <w:t> </w:t>
      </w:r>
      <w:r>
        <w:rPr/>
        <w:t>behaviour</w:t>
      </w:r>
      <w:r>
        <w:rPr>
          <w:spacing w:val="7"/>
        </w:rPr>
        <w:t> </w:t>
      </w:r>
      <w:r>
        <w:rPr/>
        <w:t>of</w:t>
      </w:r>
      <w:r>
        <w:rPr>
          <w:spacing w:val="8"/>
        </w:rPr>
        <w:t> </w:t>
      </w:r>
      <w:r>
        <w:rPr/>
        <w:t>the</w:t>
      </w:r>
      <w:r>
        <w:rPr>
          <w:spacing w:val="12"/>
        </w:rPr>
        <w:t> </w:t>
      </w:r>
      <w:r>
        <w:rPr/>
        <w:t>capital</w:t>
      </w:r>
      <w:r>
        <w:rPr>
          <w:spacing w:val="9"/>
        </w:rPr>
        <w:t> </w:t>
      </w:r>
      <w:r>
        <w:rPr/>
        <w:t>flight</w:t>
      </w:r>
      <w:r>
        <w:rPr>
          <w:spacing w:val="9"/>
        </w:rPr>
        <w:t> </w:t>
      </w:r>
      <w:r>
        <w:rPr/>
        <w:t>(KF)</w:t>
      </w:r>
      <w:r>
        <w:rPr>
          <w:spacing w:val="10"/>
        </w:rPr>
        <w:t> </w:t>
      </w:r>
      <w:r>
        <w:rPr/>
        <w:t>and</w:t>
      </w:r>
      <w:r>
        <w:rPr>
          <w:spacing w:val="11"/>
        </w:rPr>
        <w:t> </w:t>
      </w:r>
      <w:r>
        <w:rPr/>
        <w:t>gross</w:t>
      </w:r>
      <w:r>
        <w:rPr>
          <w:spacing w:val="9"/>
        </w:rPr>
        <w:t> </w:t>
      </w:r>
      <w:r>
        <w:rPr>
          <w:spacing w:val="-2"/>
        </w:rPr>
        <w:t>domestic</w:t>
      </w:r>
    </w:p>
    <w:p>
      <w:pPr>
        <w:spacing w:after="0" w:line="480" w:lineRule="auto"/>
        <w:jc w:val="both"/>
        <w:sectPr>
          <w:pgSz w:w="11910" w:h="16840"/>
          <w:pgMar w:header="0" w:footer="979" w:top="1360" w:bottom="1240" w:left="280" w:right="0"/>
        </w:sectPr>
      </w:pPr>
    </w:p>
    <w:p>
      <w:pPr>
        <w:pStyle w:val="BodyText"/>
        <w:spacing w:line="480" w:lineRule="auto" w:before="60"/>
        <w:ind w:left="711" w:right="478"/>
        <w:jc w:val="both"/>
      </w:pPr>
      <w:r>
        <w:rPr/>
        <w:t>product (GDP) dependent variables while the alternative hypotheses are accepted for parameters that are significant in explaining the behaviour of capital flight (KF) and gross domestic product (GDP).</w:t>
      </w:r>
    </w:p>
    <w:p>
      <w:pPr>
        <w:pStyle w:val="BodyText"/>
        <w:spacing w:line="480" w:lineRule="auto" w:before="1"/>
        <w:ind w:left="711" w:right="469"/>
        <w:jc w:val="both"/>
      </w:pPr>
      <w:r>
        <w:rPr/>
        <w:t>The study shows that the positive relationship between external debt and capital flight in both the short and long run implies that increase in external borrowing by the Nigerian government has also led to increase in the level of capital flight. The implication of the above scenarios is that the debt incurred by the</w:t>
      </w:r>
      <w:r>
        <w:rPr>
          <w:spacing w:val="80"/>
        </w:rPr>
        <w:t> </w:t>
      </w:r>
      <w:r>
        <w:rPr/>
        <w:t>Government does not translate to Economic Development because of diversion, corruption and mismanagement by pubic office holders; this is conformity with the findings of Ojo (1992) for Nigeria and Nyatepe-Coo (1994) for seven sub-saharan African Countries. Rather than been beneficial to the economy, debt has become a serious burden on the government and on the citizens at large to the point that an increasing external debt causes reduction in Nigeria External reserves as there exists an increasing trend in debt servicing payment which causes a current account deficit. This is the assertion of the volatility theory argued by Bulir and Hamann (2003) and this is the reality in most developing economies.</w:t>
      </w:r>
      <w:r>
        <w:rPr>
          <w:spacing w:val="40"/>
        </w:rPr>
        <w:t> </w:t>
      </w:r>
      <w:r>
        <w:rPr/>
        <w:t>Ordinarily, increased external borrowing is expected to boosts public sector expenditure, create domestic investment</w:t>
      </w:r>
      <w:r>
        <w:rPr>
          <w:spacing w:val="40"/>
        </w:rPr>
        <w:t> </w:t>
      </w:r>
      <w:r>
        <w:rPr/>
        <w:t>and improve the economic condition. The findings specifically revealed that Financial Institutions have a major role to play through their activities in curbing capital flight in Nigeria. This was demonstrated by the relationship of Inflation rate, Credit to Private sector and Deposits rate with capital flight in this study. A high inflation rate causes increase in capital flight while a relatively low level of banks deposit rate and credit to Private sector by financial institutions increase the rate at which money is being flown out of the country to a foreign economy. Just like the inflation rate indicates, Deposit rate also shows conformity with the expected result because it maintains a negative relationship with the dependent variable both in the short and in the long run.</w:t>
      </w:r>
      <w:r>
        <w:rPr>
          <w:spacing w:val="40"/>
        </w:rPr>
        <w:t> </w:t>
      </w:r>
      <w:r>
        <w:rPr/>
        <w:t>On the short-run, Credit to Private sector (PRIVCR) shows a positive relationship with Capital flight. This is in contrary to the result expected. The reason for the short term result is that funds given out for investment purpose may not immediately manifest until long period. This is more reason why short-run analysis of investment may look as if it enhances capital flight because the source of some of the equipments</w:t>
      </w:r>
      <w:r>
        <w:rPr>
          <w:spacing w:val="9"/>
        </w:rPr>
        <w:t> </w:t>
      </w:r>
      <w:r>
        <w:rPr/>
        <w:t>needed</w:t>
      </w:r>
      <w:r>
        <w:rPr>
          <w:spacing w:val="11"/>
        </w:rPr>
        <w:t> </w:t>
      </w:r>
      <w:r>
        <w:rPr/>
        <w:t>for</w:t>
      </w:r>
      <w:r>
        <w:rPr>
          <w:spacing w:val="11"/>
        </w:rPr>
        <w:t> </w:t>
      </w:r>
      <w:r>
        <w:rPr/>
        <w:t>these</w:t>
      </w:r>
      <w:r>
        <w:rPr>
          <w:spacing w:val="10"/>
        </w:rPr>
        <w:t> </w:t>
      </w:r>
      <w:r>
        <w:rPr/>
        <w:t>investments</w:t>
      </w:r>
      <w:r>
        <w:rPr>
          <w:spacing w:val="12"/>
        </w:rPr>
        <w:t> </w:t>
      </w:r>
      <w:r>
        <w:rPr/>
        <w:t>might</w:t>
      </w:r>
      <w:r>
        <w:rPr>
          <w:spacing w:val="13"/>
        </w:rPr>
        <w:t> </w:t>
      </w:r>
      <w:r>
        <w:rPr/>
        <w:t>be</w:t>
      </w:r>
      <w:r>
        <w:rPr>
          <w:spacing w:val="10"/>
        </w:rPr>
        <w:t> </w:t>
      </w:r>
      <w:r>
        <w:rPr/>
        <w:t>other</w:t>
      </w:r>
      <w:r>
        <w:rPr>
          <w:spacing w:val="9"/>
        </w:rPr>
        <w:t> </w:t>
      </w:r>
      <w:r>
        <w:rPr/>
        <w:t>country,</w:t>
      </w:r>
      <w:r>
        <w:rPr>
          <w:spacing w:val="11"/>
        </w:rPr>
        <w:t> </w:t>
      </w:r>
      <w:r>
        <w:rPr/>
        <w:t>thereby</w:t>
      </w:r>
      <w:r>
        <w:rPr>
          <w:spacing w:val="8"/>
        </w:rPr>
        <w:t> </w:t>
      </w:r>
      <w:r>
        <w:rPr/>
        <w:t>making</w:t>
      </w:r>
      <w:r>
        <w:rPr>
          <w:spacing w:val="9"/>
        </w:rPr>
        <w:t> </w:t>
      </w:r>
      <w:r>
        <w:rPr/>
        <w:t>it</w:t>
      </w:r>
      <w:r>
        <w:rPr>
          <w:spacing w:val="11"/>
        </w:rPr>
        <w:t> </w:t>
      </w:r>
      <w:r>
        <w:rPr/>
        <w:t>look</w:t>
      </w:r>
      <w:r>
        <w:rPr>
          <w:spacing w:val="12"/>
        </w:rPr>
        <w:t> </w:t>
      </w:r>
      <w:r>
        <w:rPr/>
        <w:t>as</w:t>
      </w:r>
      <w:r>
        <w:rPr>
          <w:spacing w:val="11"/>
        </w:rPr>
        <w:t> </w:t>
      </w:r>
      <w:r>
        <w:rPr/>
        <w:t>if</w:t>
      </w:r>
      <w:r>
        <w:rPr>
          <w:spacing w:val="11"/>
        </w:rPr>
        <w:t> </w:t>
      </w:r>
      <w:r>
        <w:rPr/>
        <w:t>the</w:t>
      </w:r>
      <w:r>
        <w:rPr>
          <w:spacing w:val="12"/>
        </w:rPr>
        <w:t> </w:t>
      </w:r>
      <w:r>
        <w:rPr/>
        <w:t>capital</w:t>
      </w:r>
      <w:r>
        <w:rPr>
          <w:spacing w:val="12"/>
        </w:rPr>
        <w:t> </w:t>
      </w:r>
      <w:r>
        <w:rPr>
          <w:spacing w:val="-5"/>
        </w:rPr>
        <w:t>is</w:t>
      </w:r>
    </w:p>
    <w:p>
      <w:pPr>
        <w:pStyle w:val="BodyText"/>
        <w:spacing w:before="3"/>
        <w:ind w:left="711"/>
        <w:jc w:val="both"/>
      </w:pPr>
      <w:r>
        <w:rPr/>
        <w:t>flown</w:t>
      </w:r>
      <w:r>
        <w:rPr>
          <w:spacing w:val="19"/>
        </w:rPr>
        <w:t> </w:t>
      </w:r>
      <w:r>
        <w:rPr/>
        <w:t>abroad,</w:t>
      </w:r>
      <w:r>
        <w:rPr>
          <w:spacing w:val="20"/>
        </w:rPr>
        <w:t> </w:t>
      </w:r>
      <w:r>
        <w:rPr/>
        <w:t>but</w:t>
      </w:r>
      <w:r>
        <w:rPr>
          <w:spacing w:val="20"/>
        </w:rPr>
        <w:t> </w:t>
      </w:r>
      <w:r>
        <w:rPr/>
        <w:t>it</w:t>
      </w:r>
      <w:r>
        <w:rPr>
          <w:spacing w:val="21"/>
        </w:rPr>
        <w:t> </w:t>
      </w:r>
      <w:r>
        <w:rPr/>
        <w:t>gives</w:t>
      </w:r>
      <w:r>
        <w:rPr>
          <w:spacing w:val="19"/>
        </w:rPr>
        <w:t> </w:t>
      </w:r>
      <w:r>
        <w:rPr/>
        <w:t>a</w:t>
      </w:r>
      <w:r>
        <w:rPr>
          <w:spacing w:val="19"/>
        </w:rPr>
        <w:t> </w:t>
      </w:r>
      <w:r>
        <w:rPr/>
        <w:t>sign</w:t>
      </w:r>
      <w:r>
        <w:rPr>
          <w:spacing w:val="20"/>
        </w:rPr>
        <w:t> </w:t>
      </w:r>
      <w:r>
        <w:rPr/>
        <w:t>of</w:t>
      </w:r>
      <w:r>
        <w:rPr>
          <w:spacing w:val="19"/>
        </w:rPr>
        <w:t> </w:t>
      </w:r>
      <w:r>
        <w:rPr/>
        <w:t>relief</w:t>
      </w:r>
      <w:r>
        <w:rPr>
          <w:spacing w:val="19"/>
        </w:rPr>
        <w:t> </w:t>
      </w:r>
      <w:r>
        <w:rPr/>
        <w:t>when</w:t>
      </w:r>
      <w:r>
        <w:rPr>
          <w:spacing w:val="19"/>
        </w:rPr>
        <w:t> </w:t>
      </w:r>
      <w:r>
        <w:rPr/>
        <w:t>these</w:t>
      </w:r>
      <w:r>
        <w:rPr>
          <w:spacing w:val="19"/>
        </w:rPr>
        <w:t> </w:t>
      </w:r>
      <w:r>
        <w:rPr/>
        <w:t>investments</w:t>
      </w:r>
      <w:r>
        <w:rPr>
          <w:spacing w:val="21"/>
        </w:rPr>
        <w:t> </w:t>
      </w:r>
      <w:r>
        <w:rPr/>
        <w:t>start</w:t>
      </w:r>
      <w:r>
        <w:rPr>
          <w:spacing w:val="23"/>
        </w:rPr>
        <w:t> </w:t>
      </w:r>
      <w:r>
        <w:rPr/>
        <w:t>yielding</w:t>
      </w:r>
      <w:r>
        <w:rPr>
          <w:spacing w:val="16"/>
        </w:rPr>
        <w:t> </w:t>
      </w:r>
      <w:r>
        <w:rPr/>
        <w:t>returns.</w:t>
      </w:r>
      <w:r>
        <w:rPr>
          <w:spacing w:val="20"/>
        </w:rPr>
        <w:t> </w:t>
      </w:r>
      <w:r>
        <w:rPr/>
        <w:t>This</w:t>
      </w:r>
      <w:r>
        <w:rPr>
          <w:spacing w:val="20"/>
        </w:rPr>
        <w:t> </w:t>
      </w:r>
      <w:r>
        <w:rPr/>
        <w:t>is</w:t>
      </w:r>
      <w:r>
        <w:rPr>
          <w:spacing w:val="21"/>
        </w:rPr>
        <w:t> </w:t>
      </w:r>
      <w:r>
        <w:rPr/>
        <w:t>where</w:t>
      </w:r>
      <w:r>
        <w:rPr>
          <w:spacing w:val="18"/>
        </w:rPr>
        <w:t> </w:t>
      </w:r>
      <w:r>
        <w:rPr>
          <w:spacing w:val="-5"/>
        </w:rPr>
        <w:t>the</w:t>
      </w:r>
    </w:p>
    <w:p>
      <w:pPr>
        <w:spacing w:after="0"/>
        <w:jc w:val="both"/>
        <w:sectPr>
          <w:pgSz w:w="11910" w:h="16840"/>
          <w:pgMar w:header="0" w:footer="979" w:top="1360" w:bottom="1240" w:left="280" w:right="0"/>
        </w:sectPr>
      </w:pPr>
    </w:p>
    <w:p>
      <w:pPr>
        <w:pStyle w:val="BodyText"/>
        <w:spacing w:line="480" w:lineRule="auto" w:before="60"/>
        <w:ind w:left="711" w:right="469"/>
        <w:jc w:val="both"/>
      </w:pPr>
      <w:r>
        <w:rPr/>
        <w:t>long-run behaviour comes in and shows the real relationship between capital flight and credit to private sector as negative. On the long-run, credit to private sectors shows a negative relationship with capital flight showing conformity with the expected result as stated earlier. These findings confirm the studies of Gurley and</w:t>
      </w:r>
      <w:r>
        <w:rPr>
          <w:spacing w:val="-2"/>
        </w:rPr>
        <w:t> </w:t>
      </w:r>
      <w:r>
        <w:rPr/>
        <w:t>Shaw,</w:t>
      </w:r>
      <w:r>
        <w:rPr>
          <w:spacing w:val="-2"/>
        </w:rPr>
        <w:t> </w:t>
      </w:r>
      <w:r>
        <w:rPr/>
        <w:t>1956,</w:t>
      </w:r>
      <w:r>
        <w:rPr>
          <w:spacing w:val="-1"/>
        </w:rPr>
        <w:t> </w:t>
      </w:r>
      <w:r>
        <w:rPr/>
        <w:t>McKinnon,</w:t>
      </w:r>
      <w:r>
        <w:rPr>
          <w:spacing w:val="-2"/>
        </w:rPr>
        <w:t> </w:t>
      </w:r>
      <w:r>
        <w:rPr/>
        <w:t>1976,</w:t>
      </w:r>
      <w:r>
        <w:rPr>
          <w:spacing w:val="-2"/>
        </w:rPr>
        <w:t> </w:t>
      </w:r>
      <w:r>
        <w:rPr/>
        <w:t>Ojo and</w:t>
      </w:r>
      <w:r>
        <w:rPr>
          <w:spacing w:val="-2"/>
        </w:rPr>
        <w:t> </w:t>
      </w:r>
      <w:r>
        <w:rPr/>
        <w:t>Wole,</w:t>
      </w:r>
      <w:r>
        <w:rPr>
          <w:spacing w:val="-2"/>
        </w:rPr>
        <w:t> </w:t>
      </w:r>
      <w:r>
        <w:rPr/>
        <w:t>1982</w:t>
      </w:r>
      <w:r>
        <w:rPr>
          <w:spacing w:val="-2"/>
        </w:rPr>
        <w:t> </w:t>
      </w:r>
      <w:r>
        <w:rPr/>
        <w:t>and Adegbite, 2007</w:t>
      </w:r>
      <w:r>
        <w:rPr>
          <w:spacing w:val="-2"/>
        </w:rPr>
        <w:t> </w:t>
      </w:r>
      <w:r>
        <w:rPr/>
        <w:t>on</w:t>
      </w:r>
      <w:r>
        <w:rPr>
          <w:spacing w:val="-2"/>
        </w:rPr>
        <w:t> </w:t>
      </w:r>
      <w:r>
        <w:rPr/>
        <w:t>the</w:t>
      </w:r>
      <w:r>
        <w:rPr>
          <w:spacing w:val="-1"/>
        </w:rPr>
        <w:t> </w:t>
      </w:r>
      <w:r>
        <w:rPr/>
        <w:t>role</w:t>
      </w:r>
      <w:r>
        <w:rPr>
          <w:spacing w:val="-2"/>
        </w:rPr>
        <w:t> </w:t>
      </w:r>
      <w:r>
        <w:rPr/>
        <w:t>financial</w:t>
      </w:r>
      <w:r>
        <w:rPr>
          <w:spacing w:val="-2"/>
        </w:rPr>
        <w:t> </w:t>
      </w:r>
      <w:r>
        <w:rPr/>
        <w:t>institutions on economic growth and development of the economy. This finding confirms that financial institutional factors contribute substantially to the level of capital flight in Nigeria.</w:t>
      </w:r>
    </w:p>
    <w:p>
      <w:pPr>
        <w:pStyle w:val="BodyText"/>
        <w:spacing w:line="480" w:lineRule="auto" w:before="1"/>
        <w:ind w:left="711" w:right="469"/>
        <w:jc w:val="both"/>
      </w:pPr>
      <w:r>
        <w:rPr/>
        <w:t>The interest rate differential and the domestic interest rate show positive relationship on the short-run. This is in conformity with </w:t>
      </w:r>
      <w:r>
        <w:rPr>
          <w:i/>
        </w:rPr>
        <w:t>a prior </w:t>
      </w:r>
      <w:r>
        <w:rPr/>
        <w:t>expectation set for this study. It shows herein that as the margin between the country’s interest rate and that of the United States increases, capital flight will be on the increase. Meanwhile, on the long-run, United State interest</w:t>
      </w:r>
      <w:r>
        <w:rPr>
          <w:spacing w:val="-1"/>
        </w:rPr>
        <w:t> </w:t>
      </w:r>
      <w:r>
        <w:rPr/>
        <w:t>rate differentials show a negative relationship with capital flight. This may be attributed to the rate of exchange depletion of the Nigerian currency. The continuous increase in the value of other country’s currency against the naira may be an explanatory factor for the deviation on the long-run. Government current expenditure gave a positive coefficient on the short-run in contrast to the prior expectation stated earlier. This is as a result of diversion of government expenditures and ineffective use of such expenditures. Meanwhile, a contrary</w:t>
      </w:r>
      <w:r>
        <w:rPr>
          <w:spacing w:val="-2"/>
        </w:rPr>
        <w:t> </w:t>
      </w:r>
      <w:r>
        <w:rPr/>
        <w:t>result to the short-run is got in the long-run analysis, as</w:t>
      </w:r>
      <w:r>
        <w:rPr>
          <w:spacing w:val="-2"/>
        </w:rPr>
        <w:t> </w:t>
      </w:r>
      <w:r>
        <w:rPr/>
        <w:t>several</w:t>
      </w:r>
      <w:r>
        <w:rPr>
          <w:spacing w:val="-2"/>
        </w:rPr>
        <w:t> </w:t>
      </w:r>
      <w:r>
        <w:rPr/>
        <w:t>adjustments</w:t>
      </w:r>
      <w:r>
        <w:rPr>
          <w:spacing w:val="-2"/>
        </w:rPr>
        <w:t> </w:t>
      </w:r>
      <w:r>
        <w:rPr/>
        <w:t>would</w:t>
      </w:r>
      <w:r>
        <w:rPr>
          <w:spacing w:val="-2"/>
        </w:rPr>
        <w:t> </w:t>
      </w:r>
      <w:r>
        <w:rPr/>
        <w:t>have</w:t>
      </w:r>
      <w:r>
        <w:rPr>
          <w:spacing w:val="-3"/>
        </w:rPr>
        <w:t> </w:t>
      </w:r>
      <w:r>
        <w:rPr/>
        <w:t>been made</w:t>
      </w:r>
      <w:r>
        <w:rPr>
          <w:spacing w:val="-4"/>
        </w:rPr>
        <w:t> </w:t>
      </w:r>
      <w:r>
        <w:rPr/>
        <w:t>to</w:t>
      </w:r>
      <w:r>
        <w:rPr>
          <w:spacing w:val="-2"/>
        </w:rPr>
        <w:t> </w:t>
      </w:r>
      <w:r>
        <w:rPr/>
        <w:t>the</w:t>
      </w:r>
      <w:r>
        <w:rPr>
          <w:spacing w:val="-3"/>
        </w:rPr>
        <w:t> </w:t>
      </w:r>
      <w:r>
        <w:rPr/>
        <w:t>scenario</w:t>
      </w:r>
      <w:r>
        <w:rPr>
          <w:spacing w:val="-2"/>
        </w:rPr>
        <w:t> </w:t>
      </w:r>
      <w:r>
        <w:rPr/>
        <w:t>over</w:t>
      </w:r>
      <w:r>
        <w:rPr>
          <w:spacing w:val="-2"/>
        </w:rPr>
        <w:t> </w:t>
      </w:r>
      <w:r>
        <w:rPr/>
        <w:t>time,</w:t>
      </w:r>
      <w:r>
        <w:rPr>
          <w:spacing w:val="-2"/>
        </w:rPr>
        <w:t> </w:t>
      </w:r>
      <w:r>
        <w:rPr/>
        <w:t>thereby</w:t>
      </w:r>
      <w:r>
        <w:rPr>
          <w:spacing w:val="-5"/>
        </w:rPr>
        <w:t> </w:t>
      </w:r>
      <w:r>
        <w:rPr/>
        <w:t>given</w:t>
      </w:r>
      <w:r>
        <w:rPr>
          <w:spacing w:val="-2"/>
        </w:rPr>
        <w:t> </w:t>
      </w:r>
      <w:r>
        <w:rPr/>
        <w:t>the</w:t>
      </w:r>
      <w:r>
        <w:rPr>
          <w:spacing w:val="-1"/>
        </w:rPr>
        <w:t> </w:t>
      </w:r>
      <w:r>
        <w:rPr/>
        <w:t>expected result. The coefficient of multiple determinations (R</w:t>
      </w:r>
      <w:r>
        <w:rPr>
          <w:vertAlign w:val="superscript"/>
        </w:rPr>
        <w:t>2</w:t>
      </w:r>
      <w:r>
        <w:rPr>
          <w:vertAlign w:val="baseline"/>
        </w:rPr>
        <w:t>) for both model 1A and 1B (the World Bank approach and</w:t>
      </w:r>
      <w:r>
        <w:rPr>
          <w:spacing w:val="15"/>
          <w:vertAlign w:val="baseline"/>
        </w:rPr>
        <w:t> </w:t>
      </w:r>
      <w:r>
        <w:rPr>
          <w:vertAlign w:val="baseline"/>
        </w:rPr>
        <w:t>the</w:t>
      </w:r>
      <w:r>
        <w:rPr>
          <w:spacing w:val="18"/>
          <w:vertAlign w:val="baseline"/>
        </w:rPr>
        <w:t> </w:t>
      </w:r>
      <w:r>
        <w:rPr>
          <w:vertAlign w:val="baseline"/>
        </w:rPr>
        <w:t>Morgan</w:t>
      </w:r>
      <w:r>
        <w:rPr>
          <w:spacing w:val="18"/>
          <w:vertAlign w:val="baseline"/>
        </w:rPr>
        <w:t> </w:t>
      </w:r>
      <w:r>
        <w:rPr>
          <w:vertAlign w:val="baseline"/>
        </w:rPr>
        <w:t>Trust</w:t>
      </w:r>
      <w:r>
        <w:rPr>
          <w:spacing w:val="19"/>
          <w:vertAlign w:val="baseline"/>
        </w:rPr>
        <w:t> </w:t>
      </w:r>
      <w:r>
        <w:rPr>
          <w:vertAlign w:val="baseline"/>
        </w:rPr>
        <w:t>approach)</w:t>
      </w:r>
      <w:r>
        <w:rPr>
          <w:spacing w:val="20"/>
          <w:vertAlign w:val="baseline"/>
        </w:rPr>
        <w:t> </w:t>
      </w:r>
      <w:r>
        <w:rPr>
          <w:vertAlign w:val="baseline"/>
        </w:rPr>
        <w:t>gave</w:t>
      </w:r>
      <w:r>
        <w:rPr>
          <w:spacing w:val="17"/>
          <w:vertAlign w:val="baseline"/>
        </w:rPr>
        <w:t> </w:t>
      </w:r>
      <w:r>
        <w:rPr>
          <w:vertAlign w:val="baseline"/>
        </w:rPr>
        <w:t>approximately</w:t>
      </w:r>
      <w:r>
        <w:rPr>
          <w:spacing w:val="14"/>
          <w:vertAlign w:val="baseline"/>
        </w:rPr>
        <w:t> </w:t>
      </w:r>
      <w:r>
        <w:rPr>
          <w:vertAlign w:val="baseline"/>
        </w:rPr>
        <w:t>the</w:t>
      </w:r>
      <w:r>
        <w:rPr>
          <w:spacing w:val="18"/>
          <w:vertAlign w:val="baseline"/>
        </w:rPr>
        <w:t> </w:t>
      </w:r>
      <w:r>
        <w:rPr>
          <w:vertAlign w:val="baseline"/>
        </w:rPr>
        <w:t>same</w:t>
      </w:r>
      <w:r>
        <w:rPr>
          <w:spacing w:val="18"/>
          <w:vertAlign w:val="baseline"/>
        </w:rPr>
        <w:t> </w:t>
      </w:r>
      <w:r>
        <w:rPr>
          <w:vertAlign w:val="baseline"/>
        </w:rPr>
        <w:t>value</w:t>
      </w:r>
      <w:r>
        <w:rPr>
          <w:spacing w:val="18"/>
          <w:vertAlign w:val="baseline"/>
        </w:rPr>
        <w:t> </w:t>
      </w:r>
      <w:r>
        <w:rPr>
          <w:vertAlign w:val="baseline"/>
        </w:rPr>
        <w:t>on</w:t>
      </w:r>
      <w:r>
        <w:rPr>
          <w:spacing w:val="17"/>
          <w:vertAlign w:val="baseline"/>
        </w:rPr>
        <w:t> </w:t>
      </w:r>
      <w:r>
        <w:rPr>
          <w:vertAlign w:val="baseline"/>
        </w:rPr>
        <w:t>the</w:t>
      </w:r>
      <w:r>
        <w:rPr>
          <w:spacing w:val="18"/>
          <w:vertAlign w:val="baseline"/>
        </w:rPr>
        <w:t> </w:t>
      </w:r>
      <w:r>
        <w:rPr>
          <w:vertAlign w:val="baseline"/>
        </w:rPr>
        <w:t>short-run</w:t>
      </w:r>
      <w:r>
        <w:rPr>
          <w:spacing w:val="18"/>
          <w:vertAlign w:val="baseline"/>
        </w:rPr>
        <w:t> </w:t>
      </w:r>
      <w:r>
        <w:rPr>
          <w:vertAlign w:val="baseline"/>
        </w:rPr>
        <w:t>with</w:t>
      </w:r>
      <w:r>
        <w:rPr>
          <w:spacing w:val="19"/>
          <w:vertAlign w:val="baseline"/>
        </w:rPr>
        <w:t> </w:t>
      </w:r>
      <w:r>
        <w:rPr>
          <w:vertAlign w:val="baseline"/>
        </w:rPr>
        <w:t>a</w:t>
      </w:r>
      <w:r>
        <w:rPr>
          <w:spacing w:val="18"/>
          <w:vertAlign w:val="baseline"/>
        </w:rPr>
        <w:t> </w:t>
      </w:r>
      <w:r>
        <w:rPr>
          <w:vertAlign w:val="baseline"/>
        </w:rPr>
        <w:t>coefficient</w:t>
      </w:r>
      <w:r>
        <w:rPr>
          <w:spacing w:val="18"/>
          <w:vertAlign w:val="baseline"/>
        </w:rPr>
        <w:t> </w:t>
      </w:r>
      <w:r>
        <w:rPr>
          <w:spacing w:val="-5"/>
          <w:vertAlign w:val="baseline"/>
        </w:rPr>
        <w:t>of</w:t>
      </w:r>
    </w:p>
    <w:p>
      <w:pPr>
        <w:pStyle w:val="BodyText"/>
        <w:spacing w:line="480" w:lineRule="auto" w:before="2"/>
        <w:ind w:left="711" w:right="470"/>
        <w:jc w:val="both"/>
      </w:pPr>
      <w:r>
        <w:rPr/>
        <w:t>0.99 implying</w:t>
      </w:r>
      <w:r>
        <w:rPr>
          <w:spacing w:val="-2"/>
        </w:rPr>
        <w:t> </w:t>
      </w:r>
      <w:r>
        <w:rPr/>
        <w:t>99% explanation of the behaviour of capital flight by</w:t>
      </w:r>
      <w:r>
        <w:rPr>
          <w:spacing w:val="-4"/>
        </w:rPr>
        <w:t> </w:t>
      </w:r>
      <w:r>
        <w:rPr/>
        <w:t>the totality</w:t>
      </w:r>
      <w:r>
        <w:rPr>
          <w:spacing w:val="-4"/>
        </w:rPr>
        <w:t> </w:t>
      </w:r>
      <w:r>
        <w:rPr/>
        <w:t>of the variables employed in the model in the short-run but differ in the long run with 0.85% and 0.79% respectively. Models 2A and 2B also gave the same value of 0.93% coefficient of multiple determinations (R</w:t>
      </w:r>
      <w:r>
        <w:rPr>
          <w:vertAlign w:val="superscript"/>
        </w:rPr>
        <w:t>2</w:t>
      </w:r>
      <w:r>
        <w:rPr>
          <w:vertAlign w:val="baseline"/>
        </w:rPr>
        <w:t>) and 0.85% and 0.86% in the long run respectively.</w:t>
      </w:r>
    </w:p>
    <w:p>
      <w:pPr>
        <w:pStyle w:val="BodyText"/>
        <w:spacing w:line="480" w:lineRule="auto"/>
        <w:ind w:left="711" w:right="475"/>
        <w:jc w:val="both"/>
      </w:pPr>
      <w:r>
        <w:rPr/>
        <w:t>In analyzing the effect of capital flight on economic growth in Nigeria, Direct Foreign Investment shows a negative effect on the Gross Domestic Product, this is in contradiction to the expected result because an increase</w:t>
      </w:r>
      <w:r>
        <w:rPr>
          <w:spacing w:val="13"/>
        </w:rPr>
        <w:t> </w:t>
      </w:r>
      <w:r>
        <w:rPr/>
        <w:t>in</w:t>
      </w:r>
      <w:r>
        <w:rPr>
          <w:spacing w:val="15"/>
        </w:rPr>
        <w:t> </w:t>
      </w:r>
      <w:r>
        <w:rPr/>
        <w:t>Direct</w:t>
      </w:r>
      <w:r>
        <w:rPr>
          <w:spacing w:val="15"/>
        </w:rPr>
        <w:t> </w:t>
      </w:r>
      <w:r>
        <w:rPr/>
        <w:t>Foreign</w:t>
      </w:r>
      <w:r>
        <w:rPr>
          <w:spacing w:val="17"/>
        </w:rPr>
        <w:t> </w:t>
      </w:r>
      <w:r>
        <w:rPr/>
        <w:t>Investment</w:t>
      </w:r>
      <w:r>
        <w:rPr>
          <w:spacing w:val="15"/>
        </w:rPr>
        <w:t> </w:t>
      </w:r>
      <w:r>
        <w:rPr/>
        <w:t>should</w:t>
      </w:r>
      <w:r>
        <w:rPr>
          <w:spacing w:val="14"/>
        </w:rPr>
        <w:t> </w:t>
      </w:r>
      <w:r>
        <w:rPr/>
        <w:t>impact</w:t>
      </w:r>
      <w:r>
        <w:rPr>
          <w:spacing w:val="15"/>
        </w:rPr>
        <w:t> </w:t>
      </w:r>
      <w:r>
        <w:rPr/>
        <w:t>positively</w:t>
      </w:r>
      <w:r>
        <w:rPr>
          <w:spacing w:val="8"/>
        </w:rPr>
        <w:t> </w:t>
      </w:r>
      <w:r>
        <w:rPr/>
        <w:t>on</w:t>
      </w:r>
      <w:r>
        <w:rPr>
          <w:spacing w:val="14"/>
        </w:rPr>
        <w:t> </w:t>
      </w:r>
      <w:r>
        <w:rPr/>
        <w:t>the</w:t>
      </w:r>
      <w:r>
        <w:rPr>
          <w:spacing w:val="14"/>
        </w:rPr>
        <w:t> </w:t>
      </w:r>
      <w:r>
        <w:rPr/>
        <w:t>level</w:t>
      </w:r>
      <w:r>
        <w:rPr>
          <w:spacing w:val="15"/>
        </w:rPr>
        <w:t> </w:t>
      </w:r>
      <w:r>
        <w:rPr/>
        <w:t>of</w:t>
      </w:r>
      <w:r>
        <w:rPr>
          <w:spacing w:val="14"/>
        </w:rPr>
        <w:t> </w:t>
      </w:r>
      <w:r>
        <w:rPr/>
        <w:t>economic</w:t>
      </w:r>
      <w:r>
        <w:rPr>
          <w:spacing w:val="13"/>
        </w:rPr>
        <w:t> </w:t>
      </w:r>
      <w:r>
        <w:rPr/>
        <w:t>growth.</w:t>
      </w:r>
      <w:r>
        <w:rPr>
          <w:spacing w:val="17"/>
        </w:rPr>
        <w:t> </w:t>
      </w:r>
      <w:r>
        <w:rPr/>
        <w:t>Also,</w:t>
      </w:r>
      <w:r>
        <w:rPr>
          <w:spacing w:val="15"/>
        </w:rPr>
        <w:t> </w:t>
      </w:r>
      <w:r>
        <w:rPr>
          <w:spacing w:val="-5"/>
        </w:rPr>
        <w:t>the</w:t>
      </w:r>
    </w:p>
    <w:p>
      <w:pPr>
        <w:pStyle w:val="BodyText"/>
        <w:spacing w:before="1"/>
        <w:ind w:left="711"/>
        <w:jc w:val="both"/>
      </w:pPr>
      <w:r>
        <w:rPr/>
        <w:t>behaviour</w:t>
      </w:r>
      <w:r>
        <w:rPr>
          <w:spacing w:val="70"/>
        </w:rPr>
        <w:t> </w:t>
      </w:r>
      <w:r>
        <w:rPr/>
        <w:t>of</w:t>
      </w:r>
      <w:r>
        <w:rPr>
          <w:spacing w:val="73"/>
        </w:rPr>
        <w:t> </w:t>
      </w:r>
      <w:r>
        <w:rPr/>
        <w:t>Current</w:t>
      </w:r>
      <w:r>
        <w:rPr>
          <w:spacing w:val="77"/>
        </w:rPr>
        <w:t> </w:t>
      </w:r>
      <w:r>
        <w:rPr/>
        <w:t>Account</w:t>
      </w:r>
      <w:r>
        <w:rPr>
          <w:spacing w:val="76"/>
        </w:rPr>
        <w:t> </w:t>
      </w:r>
      <w:r>
        <w:rPr/>
        <w:t>Balance</w:t>
      </w:r>
      <w:r>
        <w:rPr>
          <w:spacing w:val="75"/>
        </w:rPr>
        <w:t> </w:t>
      </w:r>
      <w:r>
        <w:rPr/>
        <w:t>which</w:t>
      </w:r>
      <w:r>
        <w:rPr>
          <w:spacing w:val="76"/>
        </w:rPr>
        <w:t> </w:t>
      </w:r>
      <w:r>
        <w:rPr/>
        <w:t>shows</w:t>
      </w:r>
      <w:r>
        <w:rPr>
          <w:spacing w:val="73"/>
        </w:rPr>
        <w:t> </w:t>
      </w:r>
      <w:r>
        <w:rPr/>
        <w:t>a</w:t>
      </w:r>
      <w:r>
        <w:rPr>
          <w:spacing w:val="75"/>
        </w:rPr>
        <w:t> </w:t>
      </w:r>
      <w:r>
        <w:rPr/>
        <w:t>negative</w:t>
      </w:r>
      <w:r>
        <w:rPr>
          <w:spacing w:val="74"/>
        </w:rPr>
        <w:t> </w:t>
      </w:r>
      <w:r>
        <w:rPr/>
        <w:t>and</w:t>
      </w:r>
      <w:r>
        <w:rPr>
          <w:spacing w:val="75"/>
        </w:rPr>
        <w:t>  </w:t>
      </w:r>
      <w:r>
        <w:rPr/>
        <w:t>contrary</w:t>
      </w:r>
      <w:r>
        <w:rPr>
          <w:spacing w:val="69"/>
        </w:rPr>
        <w:t> </w:t>
      </w:r>
      <w:r>
        <w:rPr/>
        <w:t>opinion</w:t>
      </w:r>
      <w:r>
        <w:rPr>
          <w:spacing w:val="73"/>
        </w:rPr>
        <w:t> </w:t>
      </w:r>
      <w:r>
        <w:rPr/>
        <w:t>to</w:t>
      </w:r>
      <w:r>
        <w:rPr>
          <w:spacing w:val="77"/>
        </w:rPr>
        <w:t> </w:t>
      </w:r>
      <w:r>
        <w:rPr/>
        <w:t>the</w:t>
      </w:r>
      <w:r>
        <w:rPr>
          <w:spacing w:val="73"/>
        </w:rPr>
        <w:t> </w:t>
      </w:r>
      <w:r>
        <w:rPr>
          <w:spacing w:val="-2"/>
        </w:rPr>
        <w:t>prior</w:t>
      </w:r>
    </w:p>
    <w:p>
      <w:pPr>
        <w:spacing w:after="0"/>
        <w:jc w:val="both"/>
        <w:sectPr>
          <w:pgSz w:w="11910" w:h="16840"/>
          <w:pgMar w:header="0" w:footer="979" w:top="1360" w:bottom="1240" w:left="280" w:right="0"/>
        </w:sectPr>
      </w:pPr>
    </w:p>
    <w:p>
      <w:pPr>
        <w:pStyle w:val="BodyText"/>
        <w:spacing w:line="480" w:lineRule="auto" w:before="60"/>
        <w:ind w:left="711" w:right="470"/>
        <w:jc w:val="both"/>
      </w:pPr>
      <w:r>
        <w:rPr/>
        <w:t>expectation is caused by the excessive import of consumables, rather than the importation of</w:t>
      </w:r>
      <w:r>
        <w:rPr>
          <w:spacing w:val="40"/>
        </w:rPr>
        <w:t> </w:t>
      </w:r>
      <w:r>
        <w:rPr/>
        <w:t>investment- able goods that are worthy of pushing the development of the country on the long-run. Increase in external reserves shows a negative effect on Gross Domestic Product on the long-run. This has no positive impact on the</w:t>
      </w:r>
      <w:r>
        <w:rPr>
          <w:spacing w:val="-2"/>
        </w:rPr>
        <w:t> </w:t>
      </w:r>
      <w:r>
        <w:rPr/>
        <w:t>economy.</w:t>
      </w:r>
      <w:r>
        <w:rPr>
          <w:spacing w:val="40"/>
        </w:rPr>
        <w:t> </w:t>
      </w:r>
      <w:r>
        <w:rPr/>
        <w:t>The</w:t>
      </w:r>
      <w:r>
        <w:rPr>
          <w:spacing w:val="-4"/>
        </w:rPr>
        <w:t> </w:t>
      </w:r>
      <w:r>
        <w:rPr/>
        <w:t>Morgan</w:t>
      </w:r>
      <w:r>
        <w:rPr>
          <w:spacing w:val="-2"/>
        </w:rPr>
        <w:t> </w:t>
      </w:r>
      <w:r>
        <w:rPr/>
        <w:t>Trust</w:t>
      </w:r>
      <w:r>
        <w:rPr>
          <w:spacing w:val="-2"/>
        </w:rPr>
        <w:t> </w:t>
      </w:r>
      <w:r>
        <w:rPr/>
        <w:t>approach</w:t>
      </w:r>
      <w:r>
        <w:rPr>
          <w:spacing w:val="-2"/>
        </w:rPr>
        <w:t> </w:t>
      </w:r>
      <w:r>
        <w:rPr/>
        <w:t>to</w:t>
      </w:r>
      <w:r>
        <w:rPr>
          <w:spacing w:val="-2"/>
        </w:rPr>
        <w:t> </w:t>
      </w:r>
      <w:r>
        <w:rPr/>
        <w:t>this study</w:t>
      </w:r>
      <w:r>
        <w:rPr>
          <w:spacing w:val="-7"/>
        </w:rPr>
        <w:t> </w:t>
      </w:r>
      <w:r>
        <w:rPr/>
        <w:t>shows</w:t>
      </w:r>
      <w:r>
        <w:rPr>
          <w:spacing w:val="-2"/>
        </w:rPr>
        <w:t> </w:t>
      </w:r>
      <w:r>
        <w:rPr/>
        <w:t>similar</w:t>
      </w:r>
      <w:r>
        <w:rPr>
          <w:spacing w:val="-4"/>
        </w:rPr>
        <w:t> </w:t>
      </w:r>
      <w:r>
        <w:rPr/>
        <w:t>results</w:t>
      </w:r>
      <w:r>
        <w:rPr>
          <w:spacing w:val="-2"/>
        </w:rPr>
        <w:t> </w:t>
      </w:r>
      <w:r>
        <w:rPr/>
        <w:t>with</w:t>
      </w:r>
      <w:r>
        <w:rPr>
          <w:spacing w:val="-2"/>
        </w:rPr>
        <w:t> </w:t>
      </w:r>
      <w:r>
        <w:rPr/>
        <w:t>the</w:t>
      </w:r>
      <w:r>
        <w:rPr>
          <w:spacing w:val="-2"/>
        </w:rPr>
        <w:t> </w:t>
      </w:r>
      <w:r>
        <w:rPr/>
        <w:t>World</w:t>
      </w:r>
      <w:r>
        <w:rPr>
          <w:spacing w:val="-2"/>
        </w:rPr>
        <w:t> </w:t>
      </w:r>
      <w:r>
        <w:rPr/>
        <w:t>Bank</w:t>
      </w:r>
      <w:r>
        <w:rPr>
          <w:spacing w:val="-2"/>
        </w:rPr>
        <w:t> </w:t>
      </w:r>
      <w:r>
        <w:rPr/>
        <w:t>approach with</w:t>
      </w:r>
      <w:r>
        <w:rPr>
          <w:spacing w:val="-2"/>
        </w:rPr>
        <w:t> </w:t>
      </w:r>
      <w:r>
        <w:rPr/>
        <w:t>the</w:t>
      </w:r>
      <w:r>
        <w:rPr>
          <w:spacing w:val="-3"/>
        </w:rPr>
        <w:t> </w:t>
      </w:r>
      <w:r>
        <w:rPr/>
        <w:t>exception</w:t>
      </w:r>
      <w:r>
        <w:rPr>
          <w:spacing w:val="-2"/>
        </w:rPr>
        <w:t> </w:t>
      </w:r>
      <w:r>
        <w:rPr/>
        <w:t>of</w:t>
      </w:r>
      <w:r>
        <w:rPr>
          <w:spacing w:val="-3"/>
        </w:rPr>
        <w:t> </w:t>
      </w:r>
      <w:r>
        <w:rPr/>
        <w:t>Change</w:t>
      </w:r>
      <w:r>
        <w:rPr>
          <w:spacing w:val="-3"/>
        </w:rPr>
        <w:t> </w:t>
      </w:r>
      <w:r>
        <w:rPr/>
        <w:t>in</w:t>
      </w:r>
      <w:r>
        <w:rPr>
          <w:spacing w:val="-2"/>
        </w:rPr>
        <w:t> </w:t>
      </w:r>
      <w:r>
        <w:rPr/>
        <w:t>External</w:t>
      </w:r>
      <w:r>
        <w:rPr>
          <w:spacing w:val="-2"/>
        </w:rPr>
        <w:t> </w:t>
      </w:r>
      <w:r>
        <w:rPr/>
        <w:t>Reserve</w:t>
      </w:r>
      <w:r>
        <w:rPr>
          <w:spacing w:val="-2"/>
        </w:rPr>
        <w:t> </w:t>
      </w:r>
      <w:r>
        <w:rPr/>
        <w:t>which</w:t>
      </w:r>
      <w:r>
        <w:rPr>
          <w:spacing w:val="-2"/>
        </w:rPr>
        <w:t> </w:t>
      </w:r>
      <w:r>
        <w:rPr/>
        <w:t>is</w:t>
      </w:r>
      <w:r>
        <w:rPr>
          <w:spacing w:val="-2"/>
        </w:rPr>
        <w:t> </w:t>
      </w:r>
      <w:r>
        <w:rPr/>
        <w:t>positively</w:t>
      </w:r>
      <w:r>
        <w:rPr>
          <w:spacing w:val="-5"/>
        </w:rPr>
        <w:t> </w:t>
      </w:r>
      <w:r>
        <w:rPr/>
        <w:t>related</w:t>
      </w:r>
      <w:r>
        <w:rPr>
          <w:spacing w:val="-2"/>
        </w:rPr>
        <w:t> </w:t>
      </w:r>
      <w:r>
        <w:rPr/>
        <w:t>to</w:t>
      </w:r>
      <w:r>
        <w:rPr>
          <w:spacing w:val="-2"/>
        </w:rPr>
        <w:t> </w:t>
      </w:r>
      <w:r>
        <w:rPr/>
        <w:t>economic growth</w:t>
      </w:r>
      <w:r>
        <w:rPr>
          <w:spacing w:val="-2"/>
        </w:rPr>
        <w:t> </w:t>
      </w:r>
      <w:r>
        <w:rPr/>
        <w:t>in the</w:t>
      </w:r>
      <w:r>
        <w:rPr>
          <w:spacing w:val="-2"/>
        </w:rPr>
        <w:t> </w:t>
      </w:r>
      <w:r>
        <w:rPr/>
        <w:t>long </w:t>
      </w:r>
      <w:r>
        <w:rPr>
          <w:spacing w:val="-4"/>
        </w:rPr>
        <w:t>run.</w:t>
      </w:r>
    </w:p>
    <w:p>
      <w:pPr>
        <w:pStyle w:val="BodyText"/>
        <w:spacing w:line="360" w:lineRule="auto" w:before="1"/>
        <w:ind w:left="711" w:right="554" w:hanging="60"/>
      </w:pPr>
      <w:r>
        <w:rPr/>
        <w:t>The the Post-SAP regime analyses show that</w:t>
      </w:r>
      <w:r>
        <w:rPr>
          <w:spacing w:val="40"/>
        </w:rPr>
        <w:t> </w:t>
      </w:r>
      <w:r>
        <w:rPr/>
        <w:t>implementation of Structural Adjustment Programmeintroduced led to increase borrowed funds, opened up the economy and put pressure on the general price level within the economy. Due</w:t>
      </w:r>
      <w:r>
        <w:rPr>
          <w:spacing w:val="-1"/>
        </w:rPr>
        <w:t> </w:t>
      </w:r>
      <w:r>
        <w:rPr/>
        <w:t>to political and economic uncertainties experienced during</w:t>
      </w:r>
      <w:r>
        <w:rPr>
          <w:spacing w:val="-2"/>
        </w:rPr>
        <w:t> </w:t>
      </w:r>
      <w:r>
        <w:rPr/>
        <w:t>the period,</w:t>
      </w:r>
      <w:r>
        <w:rPr>
          <w:spacing w:val="-2"/>
        </w:rPr>
        <w:t> </w:t>
      </w:r>
      <w:r>
        <w:rPr/>
        <w:t>external</w:t>
      </w:r>
      <w:r>
        <w:rPr>
          <w:spacing w:val="-2"/>
        </w:rPr>
        <w:t> </w:t>
      </w:r>
      <w:r>
        <w:rPr/>
        <w:t>debt</w:t>
      </w:r>
      <w:r>
        <w:rPr>
          <w:spacing w:val="-2"/>
        </w:rPr>
        <w:t> </w:t>
      </w:r>
      <w:r>
        <w:rPr/>
        <w:t>became</w:t>
      </w:r>
      <w:r>
        <w:rPr>
          <w:spacing w:val="-2"/>
        </w:rPr>
        <w:t> </w:t>
      </w:r>
      <w:r>
        <w:rPr/>
        <w:t>very</w:t>
      </w:r>
      <w:r>
        <w:rPr>
          <w:spacing w:val="-7"/>
        </w:rPr>
        <w:t> </w:t>
      </w:r>
      <w:r>
        <w:rPr/>
        <w:t>volatile</w:t>
      </w:r>
      <w:r>
        <w:rPr>
          <w:spacing w:val="-1"/>
        </w:rPr>
        <w:t> </w:t>
      </w:r>
      <w:r>
        <w:rPr/>
        <w:t>and</w:t>
      </w:r>
      <w:r>
        <w:rPr>
          <w:spacing w:val="-2"/>
        </w:rPr>
        <w:t> </w:t>
      </w:r>
      <w:r>
        <w:rPr/>
        <w:t>this</w:t>
      </w:r>
      <w:r>
        <w:rPr>
          <w:spacing w:val="-2"/>
        </w:rPr>
        <w:t> </w:t>
      </w:r>
      <w:r>
        <w:rPr/>
        <w:t>in</w:t>
      </w:r>
      <w:r>
        <w:rPr>
          <w:spacing w:val="-2"/>
        </w:rPr>
        <w:t> </w:t>
      </w:r>
      <w:r>
        <w:rPr/>
        <w:t>turn led</w:t>
      </w:r>
      <w:r>
        <w:rPr>
          <w:spacing w:val="-2"/>
        </w:rPr>
        <w:t> </w:t>
      </w:r>
      <w:r>
        <w:rPr/>
        <w:t>to</w:t>
      </w:r>
      <w:r>
        <w:rPr>
          <w:spacing w:val="-2"/>
        </w:rPr>
        <w:t> </w:t>
      </w:r>
      <w:r>
        <w:rPr/>
        <w:t>increase</w:t>
      </w:r>
      <w:r>
        <w:rPr>
          <w:spacing w:val="-1"/>
        </w:rPr>
        <w:t> </w:t>
      </w:r>
      <w:r>
        <w:rPr/>
        <w:t>capital</w:t>
      </w:r>
      <w:r>
        <w:rPr>
          <w:spacing w:val="-2"/>
        </w:rPr>
        <w:t> </w:t>
      </w:r>
      <w:r>
        <w:rPr/>
        <w:t>flight.</w:t>
      </w:r>
      <w:r>
        <w:rPr>
          <w:spacing w:val="-2"/>
        </w:rPr>
        <w:t> </w:t>
      </w:r>
      <w:r>
        <w:rPr/>
        <w:t>The</w:t>
      </w:r>
      <w:r>
        <w:rPr>
          <w:spacing w:val="-3"/>
        </w:rPr>
        <w:t> </w:t>
      </w:r>
      <w:r>
        <w:rPr/>
        <w:t>volatility</w:t>
      </w:r>
      <w:r>
        <w:rPr>
          <w:spacing w:val="-5"/>
        </w:rPr>
        <w:t> </w:t>
      </w:r>
      <w:r>
        <w:rPr/>
        <w:t>nature of the country’s debt was manifested by the positive relationship between change in external debt and capital flight during the period.</w:t>
      </w:r>
    </w:p>
    <w:p>
      <w:pPr>
        <w:pStyle w:val="BodyText"/>
        <w:spacing w:line="480" w:lineRule="auto" w:before="2"/>
        <w:ind w:left="711" w:right="510"/>
        <w:rPr>
          <w:rFonts w:ascii="Cambria" w:hAnsi="Cambria"/>
        </w:rPr>
      </w:pPr>
      <w:r>
        <w:rPr>
          <w:rFonts w:ascii="Cambria" w:hAnsi="Cambria"/>
        </w:rPr>
        <w:t>The new economic policy (SAP) also brought about inlation induced rate.</w:t>
      </w:r>
      <w:r>
        <w:rPr>
          <w:rFonts w:ascii="Cambria" w:hAnsi="Cambria"/>
          <w:spacing w:val="80"/>
        </w:rPr>
        <w:t> </w:t>
      </w:r>
      <w:r>
        <w:rPr>
          <w:rFonts w:ascii="Cambria" w:hAnsi="Cambria"/>
        </w:rPr>
        <w:t>For example, Inlation rate increased from 5.4% in 1986 when SAP was introduced to unresedented 40.9% in 1989, this was evidenced by the negative sign exhibited by inflation rate in the result of the analysis. The financial institutions in particular witnessed a rapid transformation as a result of introduction of the new policy</w:t>
      </w:r>
      <w:r>
        <w:rPr>
          <w:rFonts w:ascii="Cambria" w:hAnsi="Cambria"/>
          <w:spacing w:val="-3"/>
        </w:rPr>
        <w:t> </w:t>
      </w:r>
      <w:r>
        <w:rPr>
          <w:rFonts w:ascii="Cambria" w:hAnsi="Cambria"/>
        </w:rPr>
        <w:t>(SAP).</w:t>
      </w:r>
      <w:r>
        <w:rPr>
          <w:rFonts w:ascii="Cambria" w:hAnsi="Cambria"/>
          <w:spacing w:val="-1"/>
        </w:rPr>
        <w:t> </w:t>
      </w:r>
      <w:r>
        <w:rPr>
          <w:rFonts w:ascii="Cambria" w:hAnsi="Cambria"/>
        </w:rPr>
        <w:t>The</w:t>
      </w:r>
      <w:r>
        <w:rPr>
          <w:rFonts w:ascii="Cambria" w:hAnsi="Cambria"/>
          <w:spacing w:val="-1"/>
        </w:rPr>
        <w:t> </w:t>
      </w:r>
      <w:r>
        <w:rPr>
          <w:rFonts w:ascii="Cambria" w:hAnsi="Cambria"/>
        </w:rPr>
        <w:t>institution</w:t>
      </w:r>
      <w:r>
        <w:rPr>
          <w:rFonts w:ascii="Cambria" w:hAnsi="Cambria"/>
          <w:spacing w:val="-1"/>
        </w:rPr>
        <w:t> </w:t>
      </w:r>
      <w:r>
        <w:rPr>
          <w:rFonts w:ascii="Cambria" w:hAnsi="Cambria"/>
        </w:rPr>
        <w:t>was</w:t>
      </w:r>
      <w:r>
        <w:rPr>
          <w:rFonts w:ascii="Cambria" w:hAnsi="Cambria"/>
          <w:spacing w:val="-1"/>
        </w:rPr>
        <w:t> </w:t>
      </w:r>
      <w:r>
        <w:rPr>
          <w:rFonts w:ascii="Cambria" w:hAnsi="Cambria"/>
        </w:rPr>
        <w:t>deregulated</w:t>
      </w:r>
      <w:r>
        <w:rPr>
          <w:rFonts w:ascii="Cambria" w:hAnsi="Cambria"/>
          <w:spacing w:val="-3"/>
        </w:rPr>
        <w:t> </w:t>
      </w:r>
      <w:r>
        <w:rPr>
          <w:rFonts w:ascii="Cambria" w:hAnsi="Cambria"/>
        </w:rPr>
        <w:t>and</w:t>
      </w:r>
      <w:r>
        <w:rPr>
          <w:rFonts w:ascii="Cambria" w:hAnsi="Cambria"/>
          <w:spacing w:val="-2"/>
        </w:rPr>
        <w:t> </w:t>
      </w:r>
      <w:r>
        <w:rPr>
          <w:rFonts w:ascii="Cambria" w:hAnsi="Cambria"/>
        </w:rPr>
        <w:t>liberalized.</w:t>
      </w:r>
      <w:r>
        <w:rPr>
          <w:rFonts w:ascii="Cambria" w:hAnsi="Cambria"/>
          <w:spacing w:val="-1"/>
        </w:rPr>
        <w:t> </w:t>
      </w:r>
      <w:r>
        <w:rPr>
          <w:rFonts w:ascii="Cambria" w:hAnsi="Cambria"/>
        </w:rPr>
        <w:t>The</w:t>
      </w:r>
      <w:r>
        <w:rPr>
          <w:rFonts w:ascii="Cambria" w:hAnsi="Cambria"/>
          <w:spacing w:val="-1"/>
        </w:rPr>
        <w:t> </w:t>
      </w:r>
      <w:r>
        <w:rPr>
          <w:rFonts w:ascii="Cambria" w:hAnsi="Cambria"/>
        </w:rPr>
        <w:t>interest</w:t>
      </w:r>
      <w:r>
        <w:rPr>
          <w:rFonts w:ascii="Cambria" w:hAnsi="Cambria"/>
          <w:spacing w:val="-2"/>
        </w:rPr>
        <w:t> </w:t>
      </w:r>
      <w:r>
        <w:rPr>
          <w:rFonts w:ascii="Cambria" w:hAnsi="Cambria"/>
        </w:rPr>
        <w:t>was</w:t>
      </w:r>
      <w:r>
        <w:rPr>
          <w:rFonts w:ascii="Cambria" w:hAnsi="Cambria"/>
          <w:spacing w:val="-1"/>
        </w:rPr>
        <w:t> </w:t>
      </w:r>
      <w:r>
        <w:rPr>
          <w:rFonts w:ascii="Cambria" w:hAnsi="Cambria"/>
        </w:rPr>
        <w:t>no</w:t>
      </w:r>
      <w:r>
        <w:rPr>
          <w:rFonts w:ascii="Cambria" w:hAnsi="Cambria"/>
          <w:spacing w:val="-1"/>
        </w:rPr>
        <w:t> </w:t>
      </w:r>
      <w:r>
        <w:rPr>
          <w:rFonts w:ascii="Cambria" w:hAnsi="Cambria"/>
        </w:rPr>
        <w:t>longer</w:t>
      </w:r>
      <w:r>
        <w:rPr>
          <w:rFonts w:ascii="Cambria" w:hAnsi="Cambria"/>
          <w:spacing w:val="-1"/>
        </w:rPr>
        <w:t> </w:t>
      </w:r>
      <w:r>
        <w:rPr>
          <w:rFonts w:ascii="Cambria" w:hAnsi="Cambria"/>
        </w:rPr>
        <w:t>fixed but</w:t>
      </w:r>
      <w:r>
        <w:rPr>
          <w:rFonts w:ascii="Cambria" w:hAnsi="Cambria"/>
          <w:spacing w:val="-2"/>
        </w:rPr>
        <w:t> </w:t>
      </w:r>
      <w:r>
        <w:rPr>
          <w:rFonts w:ascii="Cambria" w:hAnsi="Cambria"/>
        </w:rPr>
        <w:t>left to the forces of supply and demand to determine. This improved the effcience of the financial instititions because of their ability to make the best use of their financial resources.</w:t>
      </w:r>
      <w:r>
        <w:rPr>
          <w:rFonts w:ascii="Cambria" w:hAnsi="Cambria"/>
          <w:spacing w:val="40"/>
        </w:rPr>
        <w:t> </w:t>
      </w:r>
      <w:r>
        <w:rPr>
          <w:rFonts w:ascii="Cambria" w:hAnsi="Cambria"/>
        </w:rPr>
        <w:t>This change was noticed in the results with the deposit rate (DR) and private sector credit (PRIVCR) that were positively signed during the pre-Sap era now negatively signed. The implication of the negative signs of the financial institution’s variables is that improvement in financial institution will increase public confidence,</w:t>
      </w:r>
      <w:r>
        <w:rPr>
          <w:rFonts w:ascii="Cambria" w:hAnsi="Cambria"/>
          <w:spacing w:val="-2"/>
        </w:rPr>
        <w:t> </w:t>
      </w:r>
      <w:r>
        <w:rPr>
          <w:rFonts w:ascii="Cambria" w:hAnsi="Cambria"/>
        </w:rPr>
        <w:t>promote</w:t>
      </w:r>
      <w:r>
        <w:rPr>
          <w:rFonts w:ascii="Cambria" w:hAnsi="Cambria"/>
          <w:spacing w:val="-3"/>
        </w:rPr>
        <w:t> </w:t>
      </w:r>
      <w:r>
        <w:rPr>
          <w:rFonts w:ascii="Cambria" w:hAnsi="Cambria"/>
        </w:rPr>
        <w:t>domestic</w:t>
      </w:r>
      <w:r>
        <w:rPr>
          <w:rFonts w:ascii="Cambria" w:hAnsi="Cambria"/>
          <w:spacing w:val="-4"/>
        </w:rPr>
        <w:t> </w:t>
      </w:r>
      <w:r>
        <w:rPr>
          <w:rFonts w:ascii="Cambria" w:hAnsi="Cambria"/>
        </w:rPr>
        <w:t>investment</w:t>
      </w:r>
      <w:r>
        <w:rPr>
          <w:rFonts w:ascii="Cambria" w:hAnsi="Cambria"/>
          <w:spacing w:val="-3"/>
        </w:rPr>
        <w:t> </w:t>
      </w:r>
      <w:r>
        <w:rPr>
          <w:rFonts w:ascii="Cambria" w:hAnsi="Cambria"/>
        </w:rPr>
        <w:t>and</w:t>
      </w:r>
      <w:r>
        <w:rPr>
          <w:rFonts w:ascii="Cambria" w:hAnsi="Cambria"/>
          <w:spacing w:val="-7"/>
        </w:rPr>
        <w:t> </w:t>
      </w:r>
      <w:r>
        <w:rPr>
          <w:rFonts w:ascii="Cambria" w:hAnsi="Cambria"/>
        </w:rPr>
        <w:t>reduce</w:t>
      </w:r>
      <w:r>
        <w:rPr>
          <w:rFonts w:ascii="Cambria" w:hAnsi="Cambria"/>
          <w:spacing w:val="-3"/>
        </w:rPr>
        <w:t> </w:t>
      </w:r>
      <w:r>
        <w:rPr>
          <w:rFonts w:ascii="Cambria" w:hAnsi="Cambria"/>
        </w:rPr>
        <w:t>capital</w:t>
      </w:r>
      <w:r>
        <w:rPr>
          <w:rFonts w:ascii="Cambria" w:hAnsi="Cambria"/>
          <w:spacing w:val="-4"/>
        </w:rPr>
        <w:t> </w:t>
      </w:r>
      <w:r>
        <w:rPr>
          <w:rFonts w:ascii="Cambria" w:hAnsi="Cambria"/>
        </w:rPr>
        <w:t>flight.</w:t>
      </w:r>
      <w:r>
        <w:rPr>
          <w:rFonts w:ascii="Cambria" w:hAnsi="Cambria"/>
          <w:spacing w:val="-2"/>
        </w:rPr>
        <w:t> </w:t>
      </w:r>
      <w:r>
        <w:rPr>
          <w:rFonts w:ascii="Cambria" w:hAnsi="Cambria"/>
        </w:rPr>
        <w:t>Generally,</w:t>
      </w:r>
      <w:r>
        <w:rPr>
          <w:rFonts w:ascii="Cambria" w:hAnsi="Cambria"/>
          <w:spacing w:val="-3"/>
        </w:rPr>
        <w:t> </w:t>
      </w:r>
      <w:r>
        <w:rPr>
          <w:rFonts w:ascii="Cambria" w:hAnsi="Cambria"/>
        </w:rPr>
        <w:t>change</w:t>
      </w:r>
      <w:r>
        <w:rPr>
          <w:rFonts w:ascii="Cambria" w:hAnsi="Cambria"/>
          <w:spacing w:val="-3"/>
        </w:rPr>
        <w:t> </w:t>
      </w:r>
      <w:r>
        <w:rPr>
          <w:rFonts w:ascii="Cambria" w:hAnsi="Cambria"/>
        </w:rPr>
        <w:t>in</w:t>
      </w:r>
      <w:r>
        <w:rPr>
          <w:rFonts w:ascii="Cambria" w:hAnsi="Cambria"/>
          <w:spacing w:val="-3"/>
        </w:rPr>
        <w:t> </w:t>
      </w:r>
      <w:r>
        <w:rPr>
          <w:rFonts w:ascii="Cambria" w:hAnsi="Cambria"/>
        </w:rPr>
        <w:t>external</w:t>
      </w:r>
      <w:r>
        <w:rPr>
          <w:rFonts w:ascii="Cambria" w:hAnsi="Cambria"/>
          <w:spacing w:val="-4"/>
        </w:rPr>
        <w:t> </w:t>
      </w:r>
      <w:r>
        <w:rPr>
          <w:rFonts w:ascii="Cambria" w:hAnsi="Cambria"/>
        </w:rPr>
        <w:t>debt was the most statistically significant variable that propelled capital flight in the post-SAP period.</w:t>
      </w:r>
    </w:p>
    <w:p>
      <w:pPr>
        <w:pStyle w:val="BodyText"/>
        <w:spacing w:before="3"/>
        <w:rPr>
          <w:rFonts w:ascii="Cambria"/>
        </w:rPr>
      </w:pPr>
    </w:p>
    <w:p>
      <w:pPr>
        <w:pStyle w:val="BodyText"/>
        <w:spacing w:line="560" w:lineRule="atLeast"/>
        <w:ind w:left="711"/>
        <w:rPr>
          <w:rFonts w:ascii="Cambria"/>
        </w:rPr>
      </w:pPr>
      <w:r>
        <w:rPr>
          <w:rFonts w:ascii="Cambria"/>
        </w:rPr>
        <w:t>Also,</w:t>
      </w:r>
      <w:r>
        <w:rPr>
          <w:rFonts w:ascii="Cambria"/>
          <w:spacing w:val="33"/>
        </w:rPr>
        <w:t> </w:t>
      </w:r>
      <w:r>
        <w:rPr>
          <w:rFonts w:ascii="Cambria"/>
        </w:rPr>
        <w:t>results</w:t>
      </w:r>
      <w:r>
        <w:rPr>
          <w:rFonts w:ascii="Cambria"/>
          <w:spacing w:val="33"/>
        </w:rPr>
        <w:t> </w:t>
      </w:r>
      <w:r>
        <w:rPr>
          <w:rFonts w:ascii="Cambria"/>
        </w:rPr>
        <w:t>from</w:t>
      </w:r>
      <w:r>
        <w:rPr>
          <w:rFonts w:ascii="Cambria"/>
          <w:spacing w:val="32"/>
        </w:rPr>
        <w:t> </w:t>
      </w:r>
      <w:r>
        <w:rPr>
          <w:rFonts w:ascii="Cambria"/>
        </w:rPr>
        <w:t>model</w:t>
      </w:r>
      <w:r>
        <w:rPr>
          <w:rFonts w:ascii="Cambria"/>
          <w:spacing w:val="32"/>
        </w:rPr>
        <w:t> </w:t>
      </w:r>
      <w:r>
        <w:rPr>
          <w:rFonts w:ascii="Cambria"/>
        </w:rPr>
        <w:t>5</w:t>
      </w:r>
      <w:r>
        <w:rPr>
          <w:rFonts w:ascii="Cambria"/>
          <w:spacing w:val="31"/>
        </w:rPr>
        <w:t> </w:t>
      </w:r>
      <w:r>
        <w:rPr>
          <w:rFonts w:ascii="Cambria"/>
        </w:rPr>
        <w:t>and</w:t>
      </w:r>
      <w:r>
        <w:rPr>
          <w:rFonts w:ascii="Cambria"/>
          <w:spacing w:val="33"/>
        </w:rPr>
        <w:t> </w:t>
      </w:r>
      <w:r>
        <w:rPr>
          <w:rFonts w:ascii="Cambria"/>
        </w:rPr>
        <w:t>6</w:t>
      </w:r>
      <w:r>
        <w:rPr>
          <w:rFonts w:ascii="Cambria"/>
          <w:spacing w:val="32"/>
        </w:rPr>
        <w:t> </w:t>
      </w:r>
      <w:r>
        <w:rPr>
          <w:rFonts w:ascii="Cambria"/>
        </w:rPr>
        <w:t>Post</w:t>
      </w:r>
      <w:r>
        <w:rPr>
          <w:rFonts w:ascii="Cambria"/>
          <w:spacing w:val="33"/>
        </w:rPr>
        <w:t> </w:t>
      </w:r>
      <w:r>
        <w:rPr>
          <w:rFonts w:ascii="Cambria"/>
        </w:rPr>
        <w:t>SAP</w:t>
      </w:r>
      <w:r>
        <w:rPr>
          <w:rFonts w:ascii="Cambria"/>
          <w:spacing w:val="33"/>
        </w:rPr>
        <w:t> </w:t>
      </w:r>
      <w:r>
        <w:rPr>
          <w:rFonts w:ascii="Cambria"/>
        </w:rPr>
        <w:t>analyses</w:t>
      </w:r>
      <w:r>
        <w:rPr>
          <w:rFonts w:ascii="Cambria"/>
          <w:spacing w:val="35"/>
        </w:rPr>
        <w:t> </w:t>
      </w:r>
      <w:r>
        <w:rPr>
          <w:rFonts w:ascii="Cambria"/>
        </w:rPr>
        <w:t>revealed</w:t>
      </w:r>
      <w:r>
        <w:rPr>
          <w:rFonts w:ascii="Cambria"/>
          <w:spacing w:val="31"/>
        </w:rPr>
        <w:t> </w:t>
      </w:r>
      <w:r>
        <w:rPr>
          <w:rFonts w:ascii="Cambria"/>
        </w:rPr>
        <w:t>that</w:t>
      </w:r>
      <w:r>
        <w:rPr>
          <w:rFonts w:ascii="Cambria"/>
          <w:spacing w:val="33"/>
        </w:rPr>
        <w:t> </w:t>
      </w:r>
      <w:r>
        <w:rPr>
          <w:rFonts w:ascii="Cambria"/>
        </w:rPr>
        <w:t>the</w:t>
      </w:r>
      <w:r>
        <w:rPr>
          <w:rFonts w:ascii="Cambria"/>
          <w:spacing w:val="32"/>
        </w:rPr>
        <w:t> </w:t>
      </w:r>
      <w:r>
        <w:rPr>
          <w:rFonts w:ascii="Cambria"/>
        </w:rPr>
        <w:t>Post-SAP</w:t>
      </w:r>
      <w:r>
        <w:rPr>
          <w:rFonts w:ascii="Cambria"/>
          <w:spacing w:val="33"/>
        </w:rPr>
        <w:t> </w:t>
      </w:r>
      <w:r>
        <w:rPr>
          <w:rFonts w:ascii="Cambria"/>
        </w:rPr>
        <w:t>era</w:t>
      </w:r>
      <w:r>
        <w:rPr>
          <w:rFonts w:ascii="Cambria"/>
          <w:spacing w:val="32"/>
        </w:rPr>
        <w:t> </w:t>
      </w:r>
      <w:r>
        <w:rPr>
          <w:rFonts w:ascii="Cambria"/>
        </w:rPr>
        <w:t>brought</w:t>
      </w:r>
      <w:r>
        <w:rPr>
          <w:rFonts w:ascii="Cambria"/>
          <w:spacing w:val="32"/>
        </w:rPr>
        <w:t> </w:t>
      </w:r>
      <w:r>
        <w:rPr>
          <w:rFonts w:ascii="Cambria"/>
        </w:rPr>
        <w:t>about increased</w:t>
      </w:r>
      <w:r>
        <w:rPr>
          <w:rFonts w:ascii="Cambria"/>
          <w:spacing w:val="7"/>
        </w:rPr>
        <w:t> </w:t>
      </w:r>
      <w:r>
        <w:rPr>
          <w:rFonts w:ascii="Cambria"/>
        </w:rPr>
        <w:t>foreign</w:t>
      </w:r>
      <w:r>
        <w:rPr>
          <w:rFonts w:ascii="Cambria"/>
          <w:spacing w:val="10"/>
        </w:rPr>
        <w:t> </w:t>
      </w:r>
      <w:r>
        <w:rPr>
          <w:rFonts w:ascii="Cambria"/>
        </w:rPr>
        <w:t>direct</w:t>
      </w:r>
      <w:r>
        <w:rPr>
          <w:rFonts w:ascii="Cambria"/>
          <w:spacing w:val="10"/>
        </w:rPr>
        <w:t> </w:t>
      </w:r>
      <w:r>
        <w:rPr>
          <w:rFonts w:ascii="Cambria"/>
        </w:rPr>
        <w:t>investment</w:t>
      </w:r>
      <w:r>
        <w:rPr>
          <w:rFonts w:ascii="Cambria"/>
          <w:spacing w:val="10"/>
        </w:rPr>
        <w:t> </w:t>
      </w:r>
      <w:r>
        <w:rPr>
          <w:rFonts w:ascii="Cambria"/>
        </w:rPr>
        <w:t>(DFI)</w:t>
      </w:r>
      <w:r>
        <w:rPr>
          <w:rFonts w:ascii="Cambria"/>
          <w:spacing w:val="9"/>
        </w:rPr>
        <w:t> </w:t>
      </w:r>
      <w:r>
        <w:rPr>
          <w:rFonts w:ascii="Cambria"/>
        </w:rPr>
        <w:t>to</w:t>
      </w:r>
      <w:r>
        <w:rPr>
          <w:rFonts w:ascii="Cambria"/>
          <w:spacing w:val="10"/>
        </w:rPr>
        <w:t> </w:t>
      </w:r>
      <w:r>
        <w:rPr>
          <w:rFonts w:ascii="Cambria"/>
        </w:rPr>
        <w:t>Nigeria.</w:t>
      </w:r>
      <w:r>
        <w:rPr>
          <w:rFonts w:ascii="Cambria"/>
          <w:spacing w:val="10"/>
        </w:rPr>
        <w:t> </w:t>
      </w:r>
      <w:r>
        <w:rPr>
          <w:rFonts w:ascii="Cambria"/>
        </w:rPr>
        <w:t>Evidende</w:t>
      </w:r>
      <w:r>
        <w:rPr>
          <w:rFonts w:ascii="Cambria"/>
          <w:spacing w:val="10"/>
        </w:rPr>
        <w:t> </w:t>
      </w:r>
      <w:r>
        <w:rPr>
          <w:rFonts w:ascii="Cambria"/>
        </w:rPr>
        <w:t>form</w:t>
      </w:r>
      <w:r>
        <w:rPr>
          <w:rFonts w:ascii="Cambria"/>
          <w:spacing w:val="9"/>
        </w:rPr>
        <w:t> </w:t>
      </w:r>
      <w:r>
        <w:rPr>
          <w:rFonts w:ascii="Cambria"/>
        </w:rPr>
        <w:t>the</w:t>
      </w:r>
      <w:r>
        <w:rPr>
          <w:rFonts w:ascii="Cambria"/>
          <w:spacing w:val="10"/>
        </w:rPr>
        <w:t> </w:t>
      </w:r>
      <w:r>
        <w:rPr>
          <w:rFonts w:ascii="Cambria"/>
        </w:rPr>
        <w:t>analysis</w:t>
      </w:r>
      <w:r>
        <w:rPr>
          <w:rFonts w:ascii="Cambria"/>
          <w:spacing w:val="10"/>
        </w:rPr>
        <w:t> </w:t>
      </w:r>
      <w:r>
        <w:rPr>
          <w:rFonts w:ascii="Cambria"/>
        </w:rPr>
        <w:t>showed</w:t>
      </w:r>
      <w:r>
        <w:rPr>
          <w:rFonts w:ascii="Cambria"/>
          <w:spacing w:val="9"/>
        </w:rPr>
        <w:t> </w:t>
      </w:r>
      <w:r>
        <w:rPr>
          <w:rFonts w:ascii="Cambria"/>
        </w:rPr>
        <w:t>that</w:t>
      </w:r>
      <w:r>
        <w:rPr>
          <w:rFonts w:ascii="Cambria"/>
          <w:spacing w:val="11"/>
        </w:rPr>
        <w:t> </w:t>
      </w:r>
      <w:r>
        <w:rPr>
          <w:rFonts w:ascii="Cambria"/>
          <w:spacing w:val="-2"/>
        </w:rPr>
        <w:t>change</w:t>
      </w:r>
    </w:p>
    <w:p>
      <w:pPr>
        <w:spacing w:after="0" w:line="560" w:lineRule="atLeast"/>
        <w:rPr>
          <w:rFonts w:ascii="Cambria"/>
        </w:rPr>
        <w:sectPr>
          <w:pgSz w:w="11910" w:h="16840"/>
          <w:pgMar w:header="0" w:footer="979" w:top="1360" w:bottom="1240" w:left="280" w:right="0"/>
        </w:sectPr>
      </w:pPr>
    </w:p>
    <w:p>
      <w:pPr>
        <w:pStyle w:val="BodyText"/>
        <w:spacing w:line="480" w:lineRule="auto" w:before="81"/>
        <w:ind w:left="711" w:right="467"/>
        <w:jc w:val="both"/>
      </w:pPr>
      <w:r>
        <w:rPr>
          <w:rFonts w:ascii="Cambria" w:hAnsi="Cambria"/>
        </w:rPr>
        <w:t>in reserves (δRES)</w:t>
      </w:r>
      <w:r>
        <w:rPr>
          <w:rFonts w:ascii="Cambria" w:hAnsi="Cambria"/>
          <w:spacing w:val="-1"/>
        </w:rPr>
        <w:t> </w:t>
      </w:r>
      <w:r>
        <w:rPr>
          <w:rFonts w:ascii="Cambria" w:hAnsi="Cambria"/>
        </w:rPr>
        <w:t>and</w:t>
      </w:r>
      <w:r>
        <w:rPr>
          <w:rFonts w:ascii="Cambria" w:hAnsi="Cambria"/>
          <w:spacing w:val="-4"/>
        </w:rPr>
        <w:t> </w:t>
      </w:r>
      <w:r>
        <w:rPr>
          <w:rFonts w:ascii="Cambria" w:hAnsi="Cambria"/>
        </w:rPr>
        <w:t>direct foreign investment (DFI)</w:t>
      </w:r>
      <w:r>
        <w:rPr>
          <w:rFonts w:ascii="Cambria" w:hAnsi="Cambria"/>
          <w:spacing w:val="-1"/>
        </w:rPr>
        <w:t> </w:t>
      </w:r>
      <w:r>
        <w:rPr>
          <w:rFonts w:ascii="Cambria" w:hAnsi="Cambria"/>
        </w:rPr>
        <w:t>had</w:t>
      </w:r>
      <w:r>
        <w:rPr>
          <w:rFonts w:ascii="Cambria" w:hAnsi="Cambria"/>
          <w:spacing w:val="-2"/>
        </w:rPr>
        <w:t> </w:t>
      </w:r>
      <w:r>
        <w:rPr>
          <w:rFonts w:ascii="Cambria" w:hAnsi="Cambria"/>
        </w:rPr>
        <w:t>positive impact on</w:t>
      </w:r>
      <w:r>
        <w:rPr>
          <w:rFonts w:ascii="Cambria" w:hAnsi="Cambria"/>
          <w:spacing w:val="-3"/>
        </w:rPr>
        <w:t> </w:t>
      </w:r>
      <w:r>
        <w:rPr>
          <w:rFonts w:ascii="Cambria" w:hAnsi="Cambria"/>
        </w:rPr>
        <w:t>the economy.</w:t>
      </w:r>
      <w:r>
        <w:rPr>
          <w:rFonts w:ascii="Cambria" w:hAnsi="Cambria"/>
          <w:spacing w:val="-2"/>
        </w:rPr>
        <w:t> </w:t>
      </w:r>
      <w:r>
        <w:rPr>
          <w:rFonts w:ascii="Cambria" w:hAnsi="Cambria"/>
        </w:rPr>
        <w:t>However, the results revealed that current account balance (CAB) and net assets of domestic banks (δNEXTAS) had negative impact on the economy during the period under consideration. </w:t>
      </w:r>
      <w:r>
        <w:rPr/>
        <w:t>The capital flight also revealed that policies distortions brought about by political unrest and instability, as well as, unfavourable economic environment encourages capital flight. The trend analysis of capital flight in Nigeria also shows that capital flight was high during transition from one political regime to another. This study finally confirmed that capital flight has a damaging and adverse effect on economic growth because it constitutes a diversion of scarce resources away from the domestic investment and other productive activities.</w:t>
      </w:r>
    </w:p>
    <w:p>
      <w:pPr>
        <w:pStyle w:val="Heading6"/>
        <w:numPr>
          <w:ilvl w:val="1"/>
          <w:numId w:val="30"/>
        </w:numPr>
        <w:tabs>
          <w:tab w:pos="1431" w:val="left" w:leader="none"/>
        </w:tabs>
        <w:spacing w:line="275" w:lineRule="exact" w:before="0" w:after="0"/>
        <w:ind w:left="1431" w:right="0" w:hanging="720"/>
        <w:jc w:val="left"/>
      </w:pPr>
      <w:r>
        <w:rPr/>
        <w:t>Sumary</w:t>
      </w:r>
      <w:r>
        <w:rPr>
          <w:spacing w:val="-3"/>
        </w:rPr>
        <w:t> </w:t>
      </w:r>
      <w:r>
        <w:rPr/>
        <w:t>of</w:t>
      </w:r>
      <w:r>
        <w:rPr>
          <w:spacing w:val="-1"/>
        </w:rPr>
        <w:t> </w:t>
      </w:r>
      <w:r>
        <w:rPr>
          <w:spacing w:val="-2"/>
        </w:rPr>
        <w:t>Findings</w:t>
      </w:r>
    </w:p>
    <w:p>
      <w:pPr>
        <w:pStyle w:val="BodyText"/>
        <w:rPr>
          <w:b/>
        </w:rPr>
      </w:pPr>
    </w:p>
    <w:p>
      <w:pPr>
        <w:pStyle w:val="BodyText"/>
        <w:spacing w:line="480" w:lineRule="auto"/>
        <w:ind w:left="711" w:right="468"/>
        <w:jc w:val="both"/>
      </w:pPr>
      <w:r>
        <w:rPr/>
        <w:t>Findings in this study show that each of the independent variables adopted has contributed towards the behaviour of the dependent variables (Capital flight (KF), and Gross Domestic Product (GDP). In models</w:t>
      </w:r>
      <w:r>
        <w:rPr>
          <w:spacing w:val="40"/>
        </w:rPr>
        <w:t> </w:t>
      </w:r>
      <w:r>
        <w:rPr/>
        <w:t>1A and 1B which analyzed the determinants of capital flight in Nigeria, the Degree of Openness (DOP) shows a positive relationship with the capital flight in the short run, this portrays a relatively direct relationship which can be explained by the behaviour of the level of foreign trade in the country.</w:t>
      </w:r>
      <w:r>
        <w:rPr>
          <w:spacing w:val="40"/>
        </w:rPr>
        <w:t> </w:t>
      </w:r>
      <w:r>
        <w:rPr/>
        <w:t>Apparently, the aprior expectation asserts that the degree of openness (DOP) should maintain a positive relationship with capital flight.</w:t>
      </w:r>
      <w:r>
        <w:rPr>
          <w:spacing w:val="80"/>
        </w:rPr>
        <w:t> </w:t>
      </w:r>
      <w:r>
        <w:rPr/>
        <w:t>Inflation rate (INF) which is expected to maintain a positive relationship with capital flight (KF) is statistically proven with it positive coefficient both on the short and long-run. From model 2A and 2B, the effect of capital flight on economic growth from the view point of the World Bank, all variables are expected to be positively related to Gross Domestic Product regardless of the magnitude. Interestingly, all the variables show conformity with </w:t>
      </w:r>
      <w:r>
        <w:rPr>
          <w:i/>
        </w:rPr>
        <w:t>a prior </w:t>
      </w:r>
      <w:r>
        <w:rPr/>
        <w:t>expectation from the analyses of Ordinary least Square results in the short-run. But on the long, only the change in External Debt (ðEXDEBT) shows conformity with </w:t>
      </w:r>
      <w:r>
        <w:rPr>
          <w:i/>
        </w:rPr>
        <w:t>a prior </w:t>
      </w:r>
      <w:r>
        <w:rPr/>
        <w:t>expectation.</w:t>
      </w:r>
    </w:p>
    <w:p>
      <w:pPr>
        <w:pStyle w:val="BodyText"/>
      </w:pPr>
    </w:p>
    <w:p>
      <w:pPr>
        <w:pStyle w:val="BodyText"/>
        <w:spacing w:before="2"/>
      </w:pPr>
    </w:p>
    <w:p>
      <w:pPr>
        <w:pStyle w:val="Heading6"/>
        <w:numPr>
          <w:ilvl w:val="1"/>
          <w:numId w:val="30"/>
        </w:numPr>
        <w:tabs>
          <w:tab w:pos="1071" w:val="left" w:leader="none"/>
        </w:tabs>
        <w:spacing w:line="240" w:lineRule="auto" w:before="0" w:after="0"/>
        <w:ind w:left="1071" w:right="0" w:hanging="360"/>
        <w:jc w:val="left"/>
      </w:pPr>
      <w:bookmarkStart w:name="_TOC_250005" w:id="22"/>
      <w:r>
        <w:rPr/>
        <w:t>Implication</w:t>
      </w:r>
      <w:r>
        <w:rPr>
          <w:spacing w:val="-2"/>
        </w:rPr>
        <w:t> </w:t>
      </w:r>
      <w:r>
        <w:rPr/>
        <w:t>of</w:t>
      </w:r>
      <w:r>
        <w:rPr>
          <w:spacing w:val="-1"/>
        </w:rPr>
        <w:t> </w:t>
      </w:r>
      <w:bookmarkEnd w:id="22"/>
      <w:r>
        <w:rPr>
          <w:spacing w:val="-2"/>
        </w:rPr>
        <w:t>Findings</w:t>
      </w:r>
    </w:p>
    <w:p>
      <w:pPr>
        <w:pStyle w:val="BodyText"/>
        <w:spacing w:line="550" w:lineRule="atLeast" w:before="2"/>
        <w:ind w:left="711" w:right="477"/>
        <w:jc w:val="both"/>
      </w:pPr>
      <w:r>
        <w:rPr/>
        <w:t>The</w:t>
      </w:r>
      <w:r>
        <w:rPr>
          <w:spacing w:val="-2"/>
        </w:rPr>
        <w:t> </w:t>
      </w:r>
      <w:r>
        <w:rPr/>
        <w:t>implication of</w:t>
      </w:r>
      <w:r>
        <w:rPr>
          <w:spacing w:val="-1"/>
        </w:rPr>
        <w:t> </w:t>
      </w:r>
      <w:r>
        <w:rPr/>
        <w:t>a</w:t>
      </w:r>
      <w:r>
        <w:rPr>
          <w:spacing w:val="-1"/>
        </w:rPr>
        <w:t> </w:t>
      </w:r>
      <w:r>
        <w:rPr/>
        <w:t>positive</w:t>
      </w:r>
      <w:r>
        <w:rPr>
          <w:spacing w:val="-1"/>
        </w:rPr>
        <w:t> </w:t>
      </w:r>
      <w:r>
        <w:rPr/>
        <w:t>relationship between DOP and KF</w:t>
      </w:r>
      <w:r>
        <w:rPr>
          <w:spacing w:val="-2"/>
        </w:rPr>
        <w:t> </w:t>
      </w:r>
      <w:r>
        <w:rPr/>
        <w:t>in the</w:t>
      </w:r>
      <w:r>
        <w:rPr>
          <w:spacing w:val="-1"/>
        </w:rPr>
        <w:t> </w:t>
      </w:r>
      <w:r>
        <w:rPr/>
        <w:t>short run</w:t>
      </w:r>
      <w:r>
        <w:rPr>
          <w:spacing w:val="-1"/>
        </w:rPr>
        <w:t> </w:t>
      </w:r>
      <w:r>
        <w:rPr/>
        <w:t>is that</w:t>
      </w:r>
      <w:r>
        <w:rPr>
          <w:spacing w:val="40"/>
        </w:rPr>
        <w:t> </w:t>
      </w:r>
      <w:r>
        <w:rPr/>
        <w:t>as a nation increases her</w:t>
      </w:r>
      <w:r>
        <w:rPr>
          <w:spacing w:val="4"/>
        </w:rPr>
        <w:t> </w:t>
      </w:r>
      <w:r>
        <w:rPr/>
        <w:t>international</w:t>
      </w:r>
      <w:r>
        <w:rPr>
          <w:spacing w:val="8"/>
        </w:rPr>
        <w:t> </w:t>
      </w:r>
      <w:r>
        <w:rPr/>
        <w:t>trading</w:t>
      </w:r>
      <w:r>
        <w:rPr>
          <w:spacing w:val="7"/>
        </w:rPr>
        <w:t> </w:t>
      </w:r>
      <w:r>
        <w:rPr/>
        <w:t>activities,</w:t>
      </w:r>
      <w:r>
        <w:rPr>
          <w:spacing w:val="8"/>
        </w:rPr>
        <w:t> </w:t>
      </w:r>
      <w:r>
        <w:rPr/>
        <w:t>there</w:t>
      </w:r>
      <w:r>
        <w:rPr>
          <w:spacing w:val="7"/>
        </w:rPr>
        <w:t> </w:t>
      </w:r>
      <w:r>
        <w:rPr/>
        <w:t>will</w:t>
      </w:r>
      <w:r>
        <w:rPr>
          <w:spacing w:val="8"/>
        </w:rPr>
        <w:t> </w:t>
      </w:r>
      <w:r>
        <w:rPr/>
        <w:t>be</w:t>
      </w:r>
      <w:r>
        <w:rPr>
          <w:spacing w:val="7"/>
        </w:rPr>
        <w:t> </w:t>
      </w:r>
      <w:r>
        <w:rPr/>
        <w:t>a</w:t>
      </w:r>
      <w:r>
        <w:rPr>
          <w:spacing w:val="74"/>
        </w:rPr>
        <w:t> </w:t>
      </w:r>
      <w:r>
        <w:rPr/>
        <w:t>fictitious</w:t>
      </w:r>
      <w:r>
        <w:rPr>
          <w:spacing w:val="8"/>
        </w:rPr>
        <w:t> </w:t>
      </w:r>
      <w:r>
        <w:rPr/>
        <w:t>umbrella</w:t>
      </w:r>
      <w:r>
        <w:rPr>
          <w:spacing w:val="6"/>
        </w:rPr>
        <w:t> </w:t>
      </w:r>
      <w:r>
        <w:rPr/>
        <w:t>under</w:t>
      </w:r>
      <w:r>
        <w:rPr>
          <w:spacing w:val="7"/>
        </w:rPr>
        <w:t> </w:t>
      </w:r>
      <w:r>
        <w:rPr/>
        <w:t>which</w:t>
      </w:r>
      <w:r>
        <w:rPr>
          <w:spacing w:val="8"/>
        </w:rPr>
        <w:t> </w:t>
      </w:r>
      <w:r>
        <w:rPr/>
        <w:t>capital</w:t>
      </w:r>
      <w:r>
        <w:rPr>
          <w:spacing w:val="7"/>
        </w:rPr>
        <w:t> </w:t>
      </w:r>
      <w:r>
        <w:rPr/>
        <w:t>that</w:t>
      </w:r>
      <w:r>
        <w:rPr>
          <w:spacing w:val="8"/>
        </w:rPr>
        <w:t> </w:t>
      </w:r>
      <w:r>
        <w:rPr/>
        <w:t>are</w:t>
      </w:r>
      <w:r>
        <w:rPr>
          <w:spacing w:val="6"/>
        </w:rPr>
        <w:t> </w:t>
      </w:r>
      <w:r>
        <w:rPr>
          <w:spacing w:val="-2"/>
        </w:rPr>
        <w:t>supposed</w:t>
      </w:r>
    </w:p>
    <w:p>
      <w:pPr>
        <w:spacing w:after="0" w:line="550" w:lineRule="atLeast"/>
        <w:jc w:val="both"/>
        <w:sectPr>
          <w:pgSz w:w="11910" w:h="16840"/>
          <w:pgMar w:header="0" w:footer="979" w:top="1340" w:bottom="1200" w:left="280" w:right="0"/>
        </w:sectPr>
      </w:pPr>
    </w:p>
    <w:p>
      <w:pPr>
        <w:pStyle w:val="BodyText"/>
        <w:spacing w:line="480" w:lineRule="auto" w:before="60"/>
        <w:ind w:left="711" w:right="471"/>
        <w:jc w:val="both"/>
      </w:pPr>
      <w:r>
        <w:rPr/>
        <w:t>to be meant for domestic production can be taken out of the country into another economy.</w:t>
      </w:r>
      <w:r>
        <w:rPr>
          <w:spacing w:val="40"/>
        </w:rPr>
        <w:t> </w:t>
      </w:r>
      <w:r>
        <w:rPr/>
        <w:t>Meanwhile, on the long-run, a different situation is observed in this analysis because the degree of Openness (DOP) shows</w:t>
      </w:r>
      <w:r>
        <w:rPr>
          <w:spacing w:val="40"/>
        </w:rPr>
        <w:t> </w:t>
      </w:r>
      <w:r>
        <w:rPr/>
        <w:t>a negative relationship with capital flight, giving a reverse result to the expected result. This sudden deviation of the long-run results from the expected result may be as a result of increases in export level or improvement in the level of political and economic stability which the nation has witnessed in the last few years. Inflation rate which maintains a positive relationship with the capital flight estimate in both the short and long run implies that inflation rate is a major determinant of whether people will move their capital out of the domestic economy or invest same in the economy.</w:t>
      </w:r>
    </w:p>
    <w:p>
      <w:pPr>
        <w:pStyle w:val="BodyText"/>
        <w:spacing w:line="480" w:lineRule="auto" w:before="2"/>
        <w:ind w:left="711" w:right="469"/>
        <w:jc w:val="both"/>
      </w:pPr>
      <w:r>
        <w:rPr/>
        <w:t>Generally, those with idle cash will prefer to take their money to an economy where the value of</w:t>
      </w:r>
      <w:r>
        <w:rPr>
          <w:spacing w:val="80"/>
        </w:rPr>
        <w:t> </w:t>
      </w:r>
      <w:r>
        <w:rPr/>
        <w:t>money</w:t>
      </w:r>
      <w:r>
        <w:rPr>
          <w:spacing w:val="40"/>
        </w:rPr>
        <w:t> </w:t>
      </w:r>
      <w:r>
        <w:rPr/>
        <w:t>will not drop</w:t>
      </w:r>
      <w:r>
        <w:rPr>
          <w:spacing w:val="-1"/>
        </w:rPr>
        <w:t> </w:t>
      </w:r>
      <w:r>
        <w:rPr/>
        <w:t>very</w:t>
      </w:r>
      <w:r>
        <w:rPr>
          <w:spacing w:val="-8"/>
        </w:rPr>
        <w:t> </w:t>
      </w:r>
      <w:r>
        <w:rPr/>
        <w:t>fast, likewise, investors</w:t>
      </w:r>
      <w:r>
        <w:rPr>
          <w:spacing w:val="-1"/>
        </w:rPr>
        <w:t> </w:t>
      </w:r>
      <w:r>
        <w:rPr/>
        <w:t>will prefer</w:t>
      </w:r>
      <w:r>
        <w:rPr>
          <w:spacing w:val="-1"/>
        </w:rPr>
        <w:t> </w:t>
      </w:r>
      <w:r>
        <w:rPr/>
        <w:t>to invest in an economy</w:t>
      </w:r>
      <w:r>
        <w:rPr>
          <w:spacing w:val="-5"/>
        </w:rPr>
        <w:t> </w:t>
      </w:r>
      <w:r>
        <w:rPr/>
        <w:t>where</w:t>
      </w:r>
      <w:r>
        <w:rPr>
          <w:spacing w:val="-1"/>
        </w:rPr>
        <w:t> </w:t>
      </w:r>
      <w:r>
        <w:rPr/>
        <w:t>efficient profit that will be of great value rather than be in economy</w:t>
      </w:r>
      <w:r>
        <w:rPr>
          <w:spacing w:val="-2"/>
        </w:rPr>
        <w:t> </w:t>
      </w:r>
      <w:r>
        <w:rPr/>
        <w:t>where each naira made would be grossly</w:t>
      </w:r>
      <w:r>
        <w:rPr>
          <w:spacing w:val="-4"/>
        </w:rPr>
        <w:t> </w:t>
      </w:r>
      <w:r>
        <w:rPr/>
        <w:t>deflated with high rate of inflation. Thus, the situation of continuous increase on inflation rate in Nigeria must be checked. Gross Capital Formation which shows the change in the</w:t>
      </w:r>
      <w:r>
        <w:rPr>
          <w:spacing w:val="40"/>
        </w:rPr>
        <w:t> </w:t>
      </w:r>
      <w:r>
        <w:rPr/>
        <w:t>level of investment in fixed asset in an economy was appropriately signed with a negative relationship with capital flight</w:t>
      </w:r>
      <w:r>
        <w:rPr>
          <w:spacing w:val="80"/>
        </w:rPr>
        <w:t> </w:t>
      </w:r>
      <w:r>
        <w:rPr/>
        <w:t>in the short run but revealed the opposite in the long run . This implies that the country specific risk such as physical movement of cash outside the bank which is triggered by the high rate of corruption in the country has been on the increase. Money move with brief case and containers may be the explanatory factor for this adverse reaction of the gross capital formation on the long-run depletion of gross capital formation (GCF) and negative effect on</w:t>
      </w:r>
      <w:r>
        <w:rPr>
          <w:spacing w:val="40"/>
        </w:rPr>
        <w:t> </w:t>
      </w:r>
      <w:r>
        <w:rPr/>
        <w:t>the economy.</w:t>
      </w:r>
    </w:p>
    <w:p>
      <w:pPr>
        <w:pStyle w:val="BodyText"/>
        <w:spacing w:before="3"/>
      </w:pPr>
    </w:p>
    <w:p>
      <w:pPr>
        <w:pStyle w:val="BodyText"/>
        <w:spacing w:line="550" w:lineRule="atLeast"/>
        <w:ind w:left="711" w:right="470"/>
        <w:jc w:val="both"/>
      </w:pPr>
      <w:r>
        <w:rPr/>
        <w:t>The positive relationship between external debt and economic growth in the short and long long run implies that increase in external borrowing by the Nigerian government has also led to increase in the level of</w:t>
      </w:r>
      <w:r>
        <w:rPr>
          <w:spacing w:val="40"/>
        </w:rPr>
        <w:t> </w:t>
      </w:r>
      <w:r>
        <w:rPr/>
        <w:t>capital flight. The implication of the above senerio is that the debt incurred by the Government does not translate to Economic Growth because of diversion, corruption and mismanagement by those in charge. Rather than been beneficial to the economy, debt has become a serious burden on the government and on</w:t>
      </w:r>
      <w:r>
        <w:rPr>
          <w:spacing w:val="80"/>
        </w:rPr>
        <w:t> </w:t>
      </w:r>
      <w:r>
        <w:rPr/>
        <w:t>the</w:t>
      </w:r>
      <w:r>
        <w:rPr>
          <w:spacing w:val="5"/>
        </w:rPr>
        <w:t> </w:t>
      </w:r>
      <w:r>
        <w:rPr/>
        <w:t>citizens</w:t>
      </w:r>
      <w:r>
        <w:rPr>
          <w:spacing w:val="7"/>
        </w:rPr>
        <w:t> </w:t>
      </w:r>
      <w:r>
        <w:rPr/>
        <w:t>at</w:t>
      </w:r>
      <w:r>
        <w:rPr>
          <w:spacing w:val="7"/>
        </w:rPr>
        <w:t> </w:t>
      </w:r>
      <w:r>
        <w:rPr/>
        <w:t>large.</w:t>
      </w:r>
      <w:r>
        <w:rPr>
          <w:spacing w:val="6"/>
        </w:rPr>
        <w:t> </w:t>
      </w:r>
      <w:r>
        <w:rPr/>
        <w:t>Previous</w:t>
      </w:r>
      <w:r>
        <w:rPr>
          <w:spacing w:val="7"/>
        </w:rPr>
        <w:t> </w:t>
      </w:r>
      <w:r>
        <w:rPr/>
        <w:t>studies</w:t>
      </w:r>
      <w:r>
        <w:rPr>
          <w:spacing w:val="7"/>
        </w:rPr>
        <w:t> </w:t>
      </w:r>
      <w:r>
        <w:rPr/>
        <w:t>revealed</w:t>
      </w:r>
      <w:r>
        <w:rPr>
          <w:spacing w:val="5"/>
        </w:rPr>
        <w:t> </w:t>
      </w:r>
      <w:r>
        <w:rPr/>
        <w:t>that</w:t>
      </w:r>
      <w:r>
        <w:rPr>
          <w:spacing w:val="9"/>
        </w:rPr>
        <w:t> </w:t>
      </w:r>
      <w:r>
        <w:rPr/>
        <w:t>most</w:t>
      </w:r>
      <w:r>
        <w:rPr>
          <w:spacing w:val="7"/>
        </w:rPr>
        <w:t> </w:t>
      </w:r>
      <w:r>
        <w:rPr/>
        <w:t>of</w:t>
      </w:r>
      <w:r>
        <w:rPr>
          <w:spacing w:val="5"/>
        </w:rPr>
        <w:t> </w:t>
      </w:r>
      <w:r>
        <w:rPr/>
        <w:t>these</w:t>
      </w:r>
      <w:r>
        <w:rPr>
          <w:spacing w:val="7"/>
        </w:rPr>
        <w:t> </w:t>
      </w:r>
      <w:r>
        <w:rPr/>
        <w:t>funds</w:t>
      </w:r>
      <w:r>
        <w:rPr>
          <w:spacing w:val="8"/>
        </w:rPr>
        <w:t> </w:t>
      </w:r>
      <w:r>
        <w:rPr/>
        <w:t>were</w:t>
      </w:r>
      <w:r>
        <w:rPr>
          <w:spacing w:val="5"/>
        </w:rPr>
        <w:t> </w:t>
      </w:r>
      <w:r>
        <w:rPr/>
        <w:t>diverted</w:t>
      </w:r>
      <w:r>
        <w:rPr>
          <w:spacing w:val="9"/>
        </w:rPr>
        <w:t> </w:t>
      </w:r>
      <w:r>
        <w:rPr/>
        <w:t>through</w:t>
      </w:r>
      <w:r>
        <w:rPr>
          <w:spacing w:val="9"/>
        </w:rPr>
        <w:t> </w:t>
      </w:r>
      <w:r>
        <w:rPr/>
        <w:t>corruption</w:t>
      </w:r>
      <w:r>
        <w:rPr>
          <w:spacing w:val="6"/>
        </w:rPr>
        <w:t> </w:t>
      </w:r>
      <w:r>
        <w:rPr>
          <w:spacing w:val="-5"/>
        </w:rPr>
        <w:t>by</w:t>
      </w:r>
    </w:p>
    <w:p>
      <w:pPr>
        <w:spacing w:after="0" w:line="550" w:lineRule="atLeast"/>
        <w:jc w:val="both"/>
        <w:sectPr>
          <w:pgSz w:w="11910" w:h="16840"/>
          <w:pgMar w:header="0" w:footer="979" w:top="1360" w:bottom="1240" w:left="280" w:right="0"/>
        </w:sectPr>
      </w:pPr>
    </w:p>
    <w:p>
      <w:pPr>
        <w:pStyle w:val="BodyText"/>
        <w:spacing w:line="480" w:lineRule="auto" w:before="60"/>
        <w:ind w:left="711" w:right="469"/>
        <w:jc w:val="both"/>
      </w:pPr>
      <w:r>
        <w:rPr/>
        <w:t>the government functionaries back to other countries. (Paul Coier and Anke 2004</w:t>
      </w:r>
      <w:r>
        <w:rPr>
          <w:i/>
        </w:rPr>
        <w:t>). </w:t>
      </w:r>
      <w:r>
        <w:rPr/>
        <w:t>Ideally, external borrowings and aids are expected to induce or attract foreign private capital and as such improve the domestic economy. However, the increase in the proportion of external debt has not translated into visible economic growth. Increased external borrowing is expected to induce domestic investors to retain a greater proportion of their wealth within the economy, but in a situation where increased debt results in greater proportion of private wealth to be held outside the country, the domestic economy cannot be developed.</w:t>
      </w:r>
    </w:p>
    <w:p>
      <w:pPr>
        <w:pStyle w:val="BodyText"/>
        <w:spacing w:line="480" w:lineRule="auto" w:before="1"/>
        <w:ind w:left="711" w:right="467"/>
        <w:jc w:val="both"/>
      </w:pPr>
      <w:r>
        <w:rPr/>
        <w:t>Deposit rate which maintains a negative relationship with the level of capital flight implies that increase in the country’s deposit rate will discourage the movement of idle cash out of the shore of the country and make the citizens to keep their money at their reach provided it is safe and promises a better return than moving it to an unsafe region where they may also be prompted to pay rentage or transfer cost.</w:t>
      </w:r>
      <w:r>
        <w:rPr>
          <w:spacing w:val="80"/>
        </w:rPr>
        <w:t> </w:t>
      </w:r>
      <w:r>
        <w:rPr/>
        <w:t>It is when the domestic banking institutions cannot give adequate return to investor at home that the investors move their funds to other economies that promise higher returns on deposits and other investments. The negative sign of Credit to Private Sector (PRIVCR) with capital flight estimates in the models implies that the more available of credit the Banks make available to the private sectors, the more investments will be created in the economy at the expense of capital flight.</w:t>
      </w:r>
      <w:r>
        <w:rPr>
          <w:spacing w:val="40"/>
        </w:rPr>
        <w:t> </w:t>
      </w:r>
      <w:r>
        <w:rPr/>
        <w:t>The positive sign of the United State of America interest rate differential in the long</w:t>
      </w:r>
      <w:r>
        <w:rPr>
          <w:spacing w:val="-1"/>
        </w:rPr>
        <w:t> </w:t>
      </w:r>
      <w:r>
        <w:rPr/>
        <w:t>run shows clearly</w:t>
      </w:r>
      <w:r>
        <w:rPr>
          <w:spacing w:val="-1"/>
        </w:rPr>
        <w:t> </w:t>
      </w:r>
      <w:r>
        <w:rPr/>
        <w:t>that the rationale for</w:t>
      </w:r>
      <w:r>
        <w:rPr>
          <w:spacing w:val="-1"/>
        </w:rPr>
        <w:t> </w:t>
      </w:r>
      <w:r>
        <w:rPr/>
        <w:t>moving</w:t>
      </w:r>
      <w:r>
        <w:rPr>
          <w:spacing w:val="-2"/>
        </w:rPr>
        <w:t> </w:t>
      </w:r>
      <w:r>
        <w:rPr/>
        <w:t>money</w:t>
      </w:r>
      <w:r>
        <w:rPr>
          <w:spacing w:val="-4"/>
        </w:rPr>
        <w:t> </w:t>
      </w:r>
      <w:r>
        <w:rPr/>
        <w:t>abroad by</w:t>
      </w:r>
      <w:r>
        <w:rPr>
          <w:spacing w:val="-4"/>
        </w:rPr>
        <w:t> </w:t>
      </w:r>
      <w:r>
        <w:rPr/>
        <w:t>Nigerian is not only motivated by pure investment motive</w:t>
      </w:r>
      <w:r>
        <w:rPr>
          <w:spacing w:val="40"/>
        </w:rPr>
        <w:t> </w:t>
      </w:r>
      <w:r>
        <w:rPr/>
        <w:t>but simply to find a safe place for their ill gotten wealth and stolen public money. Government Current Expenditure which revealed a positive sign with the dependent variable in the short run is evidence that high proportion of government spending is on imported consumable goods by</w:t>
      </w:r>
      <w:r>
        <w:rPr>
          <w:spacing w:val="-2"/>
        </w:rPr>
        <w:t> </w:t>
      </w:r>
      <w:r>
        <w:rPr/>
        <w:t>Nigeria. Whenever the government public expenditure is on import at the expense of exports, the foreign economy will continue to grow at the expense of the domestic economy and</w:t>
      </w:r>
      <w:r>
        <w:rPr>
          <w:spacing w:val="21"/>
        </w:rPr>
        <w:t> </w:t>
      </w:r>
      <w:r>
        <w:rPr/>
        <w:t>the level of capital flight will</w:t>
      </w:r>
      <w:r>
        <w:rPr>
          <w:spacing w:val="40"/>
        </w:rPr>
        <w:t> </w:t>
      </w:r>
      <w:r>
        <w:rPr/>
        <w:t>be on the increase.</w:t>
      </w:r>
    </w:p>
    <w:p>
      <w:pPr>
        <w:pStyle w:val="BodyText"/>
        <w:spacing w:line="480" w:lineRule="auto" w:before="2"/>
        <w:ind w:left="711" w:right="469" w:firstLine="60"/>
        <w:jc w:val="both"/>
      </w:pPr>
      <w:r>
        <w:rPr/>
        <w:t>The implication of the negative relationship of DFI with GDP in model 2 is that, despite the effort of the government to attract DFI into the country, DFI has not impacted the economy in terms of investment, employment</w:t>
      </w:r>
      <w:r>
        <w:rPr>
          <w:spacing w:val="73"/>
        </w:rPr>
        <w:t> </w:t>
      </w:r>
      <w:r>
        <w:rPr/>
        <w:t>generation</w:t>
      </w:r>
      <w:r>
        <w:rPr>
          <w:spacing w:val="75"/>
        </w:rPr>
        <w:t> </w:t>
      </w:r>
      <w:r>
        <w:rPr/>
        <w:t>and</w:t>
      </w:r>
      <w:r>
        <w:rPr>
          <w:spacing w:val="74"/>
        </w:rPr>
        <w:t> </w:t>
      </w:r>
      <w:r>
        <w:rPr/>
        <w:t>income.</w:t>
      </w:r>
      <w:r>
        <w:rPr>
          <w:spacing w:val="75"/>
        </w:rPr>
        <w:t> </w:t>
      </w:r>
      <w:r>
        <w:rPr/>
        <w:t>This</w:t>
      </w:r>
      <w:r>
        <w:rPr>
          <w:spacing w:val="73"/>
        </w:rPr>
        <w:t> </w:t>
      </w:r>
      <w:r>
        <w:rPr/>
        <w:t>however</w:t>
      </w:r>
      <w:r>
        <w:rPr>
          <w:spacing w:val="75"/>
        </w:rPr>
        <w:t> </w:t>
      </w:r>
      <w:r>
        <w:rPr/>
        <w:t>may</w:t>
      </w:r>
      <w:r>
        <w:rPr>
          <w:spacing w:val="68"/>
        </w:rPr>
        <w:t> </w:t>
      </w:r>
      <w:r>
        <w:rPr/>
        <w:t>be</w:t>
      </w:r>
      <w:r>
        <w:rPr>
          <w:spacing w:val="75"/>
        </w:rPr>
        <w:t> </w:t>
      </w:r>
      <w:r>
        <w:rPr/>
        <w:t>attributed</w:t>
      </w:r>
      <w:r>
        <w:rPr>
          <w:spacing w:val="73"/>
        </w:rPr>
        <w:t> </w:t>
      </w:r>
      <w:r>
        <w:rPr/>
        <w:t>to</w:t>
      </w:r>
      <w:r>
        <w:rPr>
          <w:spacing w:val="73"/>
        </w:rPr>
        <w:t> </w:t>
      </w:r>
      <w:r>
        <w:rPr/>
        <w:t>the</w:t>
      </w:r>
      <w:r>
        <w:rPr>
          <w:spacing w:val="73"/>
        </w:rPr>
        <w:t> </w:t>
      </w:r>
      <w:r>
        <w:rPr/>
        <w:t>political</w:t>
      </w:r>
      <w:r>
        <w:rPr>
          <w:spacing w:val="73"/>
        </w:rPr>
        <w:t> </w:t>
      </w:r>
      <w:r>
        <w:rPr/>
        <w:t>and</w:t>
      </w:r>
      <w:r>
        <w:rPr>
          <w:spacing w:val="78"/>
        </w:rPr>
        <w:t> </w:t>
      </w:r>
      <w:r>
        <w:rPr>
          <w:spacing w:val="-2"/>
        </w:rPr>
        <w:t>economic</w:t>
      </w:r>
    </w:p>
    <w:p>
      <w:pPr>
        <w:pStyle w:val="BodyText"/>
        <w:spacing w:before="1"/>
        <w:ind w:left="711"/>
        <w:jc w:val="both"/>
      </w:pPr>
      <w:r>
        <w:rPr/>
        <w:t>instability,</w:t>
      </w:r>
      <w:r>
        <w:rPr>
          <w:spacing w:val="14"/>
        </w:rPr>
        <w:t> </w:t>
      </w:r>
      <w:r>
        <w:rPr/>
        <w:t>as</w:t>
      </w:r>
      <w:r>
        <w:rPr>
          <w:spacing w:val="12"/>
        </w:rPr>
        <w:t> </w:t>
      </w:r>
      <w:r>
        <w:rPr/>
        <w:t>well</w:t>
      </w:r>
      <w:r>
        <w:rPr>
          <w:spacing w:val="14"/>
        </w:rPr>
        <w:t> </w:t>
      </w:r>
      <w:r>
        <w:rPr/>
        <w:t>as,</w:t>
      </w:r>
      <w:r>
        <w:rPr>
          <w:spacing w:val="12"/>
        </w:rPr>
        <w:t> </w:t>
      </w:r>
      <w:r>
        <w:rPr/>
        <w:t>poor</w:t>
      </w:r>
      <w:r>
        <w:rPr>
          <w:spacing w:val="11"/>
        </w:rPr>
        <w:t> </w:t>
      </w:r>
      <w:r>
        <w:rPr/>
        <w:t>infrastrutures</w:t>
      </w:r>
      <w:r>
        <w:rPr>
          <w:spacing w:val="12"/>
        </w:rPr>
        <w:t> </w:t>
      </w:r>
      <w:r>
        <w:rPr/>
        <w:t>within</w:t>
      </w:r>
      <w:r>
        <w:rPr>
          <w:spacing w:val="11"/>
        </w:rPr>
        <w:t> </w:t>
      </w:r>
      <w:r>
        <w:rPr/>
        <w:t>the</w:t>
      </w:r>
      <w:r>
        <w:rPr>
          <w:spacing w:val="10"/>
        </w:rPr>
        <w:t> </w:t>
      </w:r>
      <w:r>
        <w:rPr/>
        <w:t>country</w:t>
      </w:r>
      <w:r>
        <w:rPr>
          <w:spacing w:val="6"/>
        </w:rPr>
        <w:t> </w:t>
      </w:r>
      <w:r>
        <w:rPr/>
        <w:t>that</w:t>
      </w:r>
      <w:r>
        <w:rPr>
          <w:spacing w:val="12"/>
        </w:rPr>
        <w:t> </w:t>
      </w:r>
      <w:r>
        <w:rPr/>
        <w:t>has</w:t>
      </w:r>
      <w:r>
        <w:rPr>
          <w:spacing w:val="14"/>
        </w:rPr>
        <w:t> </w:t>
      </w:r>
      <w:r>
        <w:rPr/>
        <w:t>forced</w:t>
      </w:r>
      <w:r>
        <w:rPr>
          <w:spacing w:val="11"/>
        </w:rPr>
        <w:t> </w:t>
      </w:r>
      <w:r>
        <w:rPr/>
        <w:t>so</w:t>
      </w:r>
      <w:r>
        <w:rPr>
          <w:spacing w:val="12"/>
        </w:rPr>
        <w:t> </w:t>
      </w:r>
      <w:r>
        <w:rPr/>
        <w:t>many</w:t>
      </w:r>
      <w:r>
        <w:rPr>
          <w:spacing w:val="6"/>
        </w:rPr>
        <w:t> </w:t>
      </w:r>
      <w:r>
        <w:rPr/>
        <w:t>huge</w:t>
      </w:r>
      <w:r>
        <w:rPr>
          <w:spacing w:val="12"/>
        </w:rPr>
        <w:t> </w:t>
      </w:r>
      <w:r>
        <w:rPr/>
        <w:t>investments</w:t>
      </w:r>
      <w:r>
        <w:rPr>
          <w:spacing w:val="12"/>
        </w:rPr>
        <w:t> </w:t>
      </w:r>
      <w:r>
        <w:rPr>
          <w:spacing w:val="-4"/>
        </w:rPr>
        <w:t>into</w:t>
      </w:r>
    </w:p>
    <w:p>
      <w:pPr>
        <w:spacing w:after="0"/>
        <w:jc w:val="both"/>
        <w:sectPr>
          <w:pgSz w:w="11910" w:h="16840"/>
          <w:pgMar w:header="0" w:footer="979" w:top="1360" w:bottom="1240" w:left="280" w:right="0"/>
        </w:sectPr>
      </w:pPr>
    </w:p>
    <w:p>
      <w:pPr>
        <w:pStyle w:val="BodyText"/>
        <w:spacing w:line="480" w:lineRule="auto" w:before="60"/>
        <w:ind w:left="711" w:right="469"/>
        <w:jc w:val="both"/>
      </w:pPr>
      <w:r>
        <w:rPr/>
        <w:t>the corporate graveyard.. To benefit maximally from DFI, effort must be made by the government to solve the</w:t>
      </w:r>
      <w:r>
        <w:rPr>
          <w:spacing w:val="-2"/>
        </w:rPr>
        <w:t> </w:t>
      </w:r>
      <w:r>
        <w:rPr/>
        <w:t>above</w:t>
      </w:r>
      <w:r>
        <w:rPr>
          <w:spacing w:val="-1"/>
        </w:rPr>
        <w:t> </w:t>
      </w:r>
      <w:r>
        <w:rPr/>
        <w:t>economic,</w:t>
      </w:r>
      <w:r>
        <w:rPr>
          <w:spacing w:val="-2"/>
        </w:rPr>
        <w:t> </w:t>
      </w:r>
      <w:r>
        <w:rPr/>
        <w:t>political</w:t>
      </w:r>
      <w:r>
        <w:rPr>
          <w:spacing w:val="-2"/>
        </w:rPr>
        <w:t> </w:t>
      </w:r>
      <w:r>
        <w:rPr/>
        <w:t>and</w:t>
      </w:r>
      <w:r>
        <w:rPr>
          <w:spacing w:val="-1"/>
        </w:rPr>
        <w:t> </w:t>
      </w:r>
      <w:r>
        <w:rPr/>
        <w:t>security</w:t>
      </w:r>
      <w:r>
        <w:rPr>
          <w:spacing w:val="-7"/>
        </w:rPr>
        <w:t> </w:t>
      </w:r>
      <w:r>
        <w:rPr/>
        <w:t>issues. The</w:t>
      </w:r>
      <w:r>
        <w:rPr>
          <w:spacing w:val="-4"/>
        </w:rPr>
        <w:t> </w:t>
      </w:r>
      <w:r>
        <w:rPr/>
        <w:t>implication</w:t>
      </w:r>
      <w:r>
        <w:rPr>
          <w:spacing w:val="-2"/>
        </w:rPr>
        <w:t> </w:t>
      </w:r>
      <w:r>
        <w:rPr/>
        <w:t>of</w:t>
      </w:r>
      <w:r>
        <w:rPr>
          <w:spacing w:val="-1"/>
        </w:rPr>
        <w:t> </w:t>
      </w:r>
      <w:r>
        <w:rPr/>
        <w:t>the</w:t>
      </w:r>
      <w:r>
        <w:rPr>
          <w:spacing w:val="-2"/>
        </w:rPr>
        <w:t> </w:t>
      </w:r>
      <w:r>
        <w:rPr/>
        <w:t>negative</w:t>
      </w:r>
      <w:r>
        <w:rPr>
          <w:spacing w:val="-1"/>
        </w:rPr>
        <w:t> </w:t>
      </w:r>
      <w:r>
        <w:rPr/>
        <w:t>relationship</w:t>
      </w:r>
      <w:r>
        <w:rPr>
          <w:spacing w:val="-2"/>
        </w:rPr>
        <w:t> </w:t>
      </w:r>
      <w:r>
        <w:rPr/>
        <w:t>between</w:t>
      </w:r>
      <w:r>
        <w:rPr>
          <w:spacing w:val="-2"/>
        </w:rPr>
        <w:t> </w:t>
      </w:r>
      <w:r>
        <w:rPr/>
        <w:t>CAB and GDP is that Nigeria is a net importing economy thereby destroying the productiveve base of the economy.</w:t>
      </w:r>
      <w:r>
        <w:rPr>
          <w:spacing w:val="-1"/>
        </w:rPr>
        <w:t> </w:t>
      </w:r>
      <w:r>
        <w:rPr/>
        <w:t>There</w:t>
      </w:r>
      <w:r>
        <w:rPr>
          <w:spacing w:val="-2"/>
        </w:rPr>
        <w:t> </w:t>
      </w:r>
      <w:r>
        <w:rPr/>
        <w:t>is</w:t>
      </w:r>
      <w:r>
        <w:rPr>
          <w:spacing w:val="-1"/>
        </w:rPr>
        <w:t> </w:t>
      </w:r>
      <w:r>
        <w:rPr/>
        <w:t>the</w:t>
      </w:r>
      <w:r>
        <w:rPr>
          <w:spacing w:val="-2"/>
        </w:rPr>
        <w:t> </w:t>
      </w:r>
      <w:r>
        <w:rPr/>
        <w:t>need</w:t>
      </w:r>
      <w:r>
        <w:rPr>
          <w:spacing w:val="-1"/>
        </w:rPr>
        <w:t> </w:t>
      </w:r>
      <w:r>
        <w:rPr/>
        <w:t>to</w:t>
      </w:r>
      <w:r>
        <w:rPr>
          <w:spacing w:val="-1"/>
        </w:rPr>
        <w:t> </w:t>
      </w:r>
      <w:r>
        <w:rPr/>
        <w:t>improve</w:t>
      </w:r>
      <w:r>
        <w:rPr>
          <w:spacing w:val="-3"/>
        </w:rPr>
        <w:t> </w:t>
      </w:r>
      <w:r>
        <w:rPr/>
        <w:t>the</w:t>
      </w:r>
      <w:r>
        <w:rPr>
          <w:spacing w:val="-1"/>
        </w:rPr>
        <w:t> </w:t>
      </w:r>
      <w:r>
        <w:rPr/>
        <w:t>productive</w:t>
      </w:r>
      <w:r>
        <w:rPr>
          <w:spacing w:val="-2"/>
        </w:rPr>
        <w:t> </w:t>
      </w:r>
      <w:r>
        <w:rPr/>
        <w:t>capacities</w:t>
      </w:r>
      <w:r>
        <w:rPr>
          <w:spacing w:val="-1"/>
        </w:rPr>
        <w:t> </w:t>
      </w:r>
      <w:r>
        <w:rPr/>
        <w:t>within</w:t>
      </w:r>
      <w:r>
        <w:rPr>
          <w:spacing w:val="-1"/>
        </w:rPr>
        <w:t> </w:t>
      </w:r>
      <w:r>
        <w:rPr/>
        <w:t>the</w:t>
      </w:r>
      <w:r>
        <w:rPr>
          <w:spacing w:val="-2"/>
        </w:rPr>
        <w:t> </w:t>
      </w:r>
      <w:r>
        <w:rPr/>
        <w:t>economy</w:t>
      </w:r>
      <w:r>
        <w:rPr>
          <w:spacing w:val="-6"/>
        </w:rPr>
        <w:t> </w:t>
      </w:r>
      <w:r>
        <w:rPr/>
        <w:t>in</w:t>
      </w:r>
      <w:r>
        <w:rPr>
          <w:spacing w:val="-1"/>
        </w:rPr>
        <w:t> </w:t>
      </w:r>
      <w:r>
        <w:rPr/>
        <w:t>order</w:t>
      </w:r>
      <w:r>
        <w:rPr>
          <w:spacing w:val="-1"/>
        </w:rPr>
        <w:t> </w:t>
      </w:r>
      <w:r>
        <w:rPr/>
        <w:t>to</w:t>
      </w:r>
      <w:r>
        <w:rPr>
          <w:spacing w:val="-1"/>
        </w:rPr>
        <w:t> </w:t>
      </w:r>
      <w:r>
        <w:rPr/>
        <w:t>improve</w:t>
      </w:r>
      <w:r>
        <w:rPr>
          <w:spacing w:val="-3"/>
        </w:rPr>
        <w:t> </w:t>
      </w:r>
      <w:r>
        <w:rPr/>
        <w:t>the level of economic growth. Again, the negative relationship between change in External Reserve (δRES) and GDP implies that mere accumulation of external reserve does not automatically translate to economic growth. To benefit from external reserve, the domestic economy must improve her productive capacity, as well as ensures investment friendly environment. Although, change in External Reserve (δRES) Direct Foreign Investment (DFI) are</w:t>
      </w:r>
      <w:r>
        <w:rPr>
          <w:spacing w:val="80"/>
        </w:rPr>
        <w:t> </w:t>
      </w:r>
      <w:r>
        <w:rPr/>
        <w:t>positive to Gross Domestic Product in the Short-run, the long-run increasing trend in External Debt makes government to finance</w:t>
      </w:r>
      <w:r>
        <w:rPr>
          <w:spacing w:val="-1"/>
        </w:rPr>
        <w:t> </w:t>
      </w:r>
      <w:r>
        <w:rPr/>
        <w:t>foreign debt from external reserve, hence, a</w:t>
      </w:r>
      <w:r>
        <w:rPr>
          <w:spacing w:val="-1"/>
        </w:rPr>
        <w:t> </w:t>
      </w:r>
      <w:r>
        <w:rPr/>
        <w:t>decrease</w:t>
      </w:r>
      <w:r>
        <w:rPr>
          <w:spacing w:val="-1"/>
        </w:rPr>
        <w:t> </w:t>
      </w:r>
      <w:r>
        <w:rPr/>
        <w:t>in External Reserve. This has a multiplier effect on the economy as foreign investors are not encouraged by increase in foreign debt of Nigeria and those already in the country chooses to repatriate profit to their foreign economy. All these will cause a Current Account Balance (CAB) Deficit in the long run which also reduces Gross Domestic Product (GDP).</w:t>
      </w:r>
    </w:p>
    <w:p>
      <w:pPr>
        <w:pStyle w:val="BodyText"/>
        <w:spacing w:line="480" w:lineRule="auto" w:before="2"/>
        <w:ind w:left="711" w:right="469"/>
        <w:jc w:val="both"/>
      </w:pPr>
      <w:r>
        <w:rPr/>
        <w:t>Foreign Direct Investment (FDI) and Gross Domestic Product (GDP) are among the largest sources of external finance from developing countries including Nigeria. The empirical result of both positive in short run and negative in long run, relationship observes in the model formulated indicates that foreign direct investment could have both adverse and beneficial effect in the economy. For instance, FDI inflows into an economy may facilitate capital flight or mark a reduction in capital flight. If the returns from foreign direct investment FDI are repatriated into foreign countries, it is detrimental, but if the returns on FDI are invested into the local economy, there will be improvement in the Gross Domestic product. Chander (1996) in his study finds out that FDI inflows into an economy are always associated with a reduction in capital flight provided there</w:t>
      </w:r>
      <w:r>
        <w:rPr>
          <w:spacing w:val="-1"/>
        </w:rPr>
        <w:t> </w:t>
      </w:r>
      <w:r>
        <w:rPr/>
        <w:t>is adequate</w:t>
      </w:r>
      <w:r>
        <w:rPr>
          <w:spacing w:val="-1"/>
        </w:rPr>
        <w:t> </w:t>
      </w:r>
      <w:r>
        <w:rPr/>
        <w:t>and effective</w:t>
      </w:r>
      <w:r>
        <w:rPr>
          <w:spacing w:val="-1"/>
        </w:rPr>
        <w:t> </w:t>
      </w:r>
      <w:r>
        <w:rPr/>
        <w:t>management of</w:t>
      </w:r>
      <w:r>
        <w:rPr>
          <w:spacing w:val="-1"/>
        </w:rPr>
        <w:t> </w:t>
      </w:r>
      <w:r>
        <w:rPr/>
        <w:t>the</w:t>
      </w:r>
      <w:r>
        <w:rPr>
          <w:spacing w:val="-1"/>
        </w:rPr>
        <w:t> </w:t>
      </w:r>
      <w:r>
        <w:rPr/>
        <w:t>domestic</w:t>
      </w:r>
      <w:r>
        <w:rPr>
          <w:spacing w:val="-1"/>
        </w:rPr>
        <w:t> </w:t>
      </w:r>
      <w:r>
        <w:rPr/>
        <w:t>economy. Any</w:t>
      </w:r>
      <w:r>
        <w:rPr>
          <w:spacing w:val="-5"/>
        </w:rPr>
        <w:t> </w:t>
      </w:r>
      <w:r>
        <w:rPr/>
        <w:t>government policy</w:t>
      </w:r>
      <w:r>
        <w:rPr>
          <w:spacing w:val="-5"/>
        </w:rPr>
        <w:t> </w:t>
      </w:r>
      <w:r>
        <w:rPr/>
        <w:t>that enhances efficiencies capital market will encourage capital inflows and discourage capital flight, thereby improving</w:t>
      </w:r>
      <w:r>
        <w:rPr>
          <w:spacing w:val="-2"/>
        </w:rPr>
        <w:t> </w:t>
      </w:r>
      <w:r>
        <w:rPr/>
        <w:t>the economy</w:t>
      </w:r>
      <w:r>
        <w:rPr>
          <w:spacing w:val="-3"/>
        </w:rPr>
        <w:t> </w:t>
      </w:r>
      <w:r>
        <w:rPr/>
        <w:t>of the</w:t>
      </w:r>
      <w:r>
        <w:rPr>
          <w:spacing w:val="1"/>
        </w:rPr>
        <w:t> </w:t>
      </w:r>
      <w:r>
        <w:rPr/>
        <w:t>host</w:t>
      </w:r>
      <w:r>
        <w:rPr>
          <w:spacing w:val="1"/>
        </w:rPr>
        <w:t> </w:t>
      </w:r>
      <w:r>
        <w:rPr/>
        <w:t>country.</w:t>
      </w:r>
      <w:r>
        <w:rPr>
          <w:spacing w:val="63"/>
        </w:rPr>
        <w:t>  </w:t>
      </w:r>
      <w:r>
        <w:rPr/>
        <w:t>The inclusion</w:t>
      </w:r>
      <w:r>
        <w:rPr>
          <w:spacing w:val="2"/>
        </w:rPr>
        <w:t> </w:t>
      </w:r>
      <w:r>
        <w:rPr/>
        <w:t>of change in</w:t>
      </w:r>
      <w:r>
        <w:rPr>
          <w:spacing w:val="2"/>
        </w:rPr>
        <w:t> </w:t>
      </w:r>
      <w:r>
        <w:rPr/>
        <w:t>foreign</w:t>
      </w:r>
      <w:r>
        <w:rPr>
          <w:spacing w:val="3"/>
        </w:rPr>
        <w:t> </w:t>
      </w:r>
      <w:r>
        <w:rPr/>
        <w:t>asset</w:t>
      </w:r>
      <w:r>
        <w:rPr>
          <w:spacing w:val="2"/>
        </w:rPr>
        <w:t> </w:t>
      </w:r>
      <w:r>
        <w:rPr/>
        <w:t>of Domestic</w:t>
      </w:r>
      <w:r>
        <w:rPr>
          <w:spacing w:val="1"/>
        </w:rPr>
        <w:t> </w:t>
      </w:r>
      <w:r>
        <w:rPr>
          <w:spacing w:val="-2"/>
        </w:rPr>
        <w:t>Banking</w:t>
      </w:r>
    </w:p>
    <w:p>
      <w:pPr>
        <w:pStyle w:val="BodyText"/>
        <w:spacing w:before="2"/>
        <w:ind w:left="711"/>
        <w:jc w:val="both"/>
      </w:pPr>
      <w:r>
        <w:rPr/>
        <w:t>System</w:t>
      </w:r>
      <w:r>
        <w:rPr>
          <w:spacing w:val="11"/>
        </w:rPr>
        <w:t> </w:t>
      </w:r>
      <w:r>
        <w:rPr/>
        <w:t>(δNEXTAS)</w:t>
      </w:r>
      <w:r>
        <w:rPr>
          <w:spacing w:val="12"/>
        </w:rPr>
        <w:t> </w:t>
      </w:r>
      <w:r>
        <w:rPr/>
        <w:t>according</w:t>
      </w:r>
      <w:r>
        <w:rPr>
          <w:spacing w:val="10"/>
        </w:rPr>
        <w:t> </w:t>
      </w:r>
      <w:r>
        <w:rPr/>
        <w:t>to</w:t>
      </w:r>
      <w:r>
        <w:rPr>
          <w:spacing w:val="11"/>
        </w:rPr>
        <w:t> </w:t>
      </w:r>
      <w:r>
        <w:rPr/>
        <w:t>Morgan</w:t>
      </w:r>
      <w:r>
        <w:rPr>
          <w:spacing w:val="12"/>
        </w:rPr>
        <w:t> </w:t>
      </w:r>
      <w:r>
        <w:rPr/>
        <w:t>(1986)</w:t>
      </w:r>
      <w:r>
        <w:rPr>
          <w:spacing w:val="12"/>
        </w:rPr>
        <w:t> </w:t>
      </w:r>
      <w:r>
        <w:rPr/>
        <w:t>Capital</w:t>
      </w:r>
      <w:r>
        <w:rPr>
          <w:spacing w:val="11"/>
        </w:rPr>
        <w:t> </w:t>
      </w:r>
      <w:r>
        <w:rPr/>
        <w:t>flight</w:t>
      </w:r>
      <w:r>
        <w:rPr>
          <w:spacing w:val="12"/>
        </w:rPr>
        <w:t> </w:t>
      </w:r>
      <w:r>
        <w:rPr/>
        <w:t>estimate</w:t>
      </w:r>
      <w:r>
        <w:rPr>
          <w:spacing w:val="61"/>
          <w:w w:val="150"/>
        </w:rPr>
        <w:t> </w:t>
      </w:r>
      <w:r>
        <w:rPr/>
        <w:t>has</w:t>
      </w:r>
      <w:r>
        <w:rPr>
          <w:spacing w:val="11"/>
        </w:rPr>
        <w:t> </w:t>
      </w:r>
      <w:r>
        <w:rPr/>
        <w:t>a</w:t>
      </w:r>
      <w:r>
        <w:rPr>
          <w:spacing w:val="11"/>
        </w:rPr>
        <w:t> </w:t>
      </w:r>
      <w:r>
        <w:rPr/>
        <w:t>little</w:t>
      </w:r>
      <w:r>
        <w:rPr>
          <w:spacing w:val="10"/>
        </w:rPr>
        <w:t> </w:t>
      </w:r>
      <w:r>
        <w:rPr/>
        <w:t>modification,</w:t>
      </w:r>
      <w:r>
        <w:rPr>
          <w:spacing w:val="16"/>
        </w:rPr>
        <w:t> </w:t>
      </w:r>
      <w:r>
        <w:rPr/>
        <w:t>while</w:t>
      </w:r>
      <w:r>
        <w:rPr>
          <w:spacing w:val="11"/>
        </w:rPr>
        <w:t> </w:t>
      </w:r>
      <w:r>
        <w:rPr>
          <w:spacing w:val="-5"/>
        </w:rPr>
        <w:t>in</w:t>
      </w:r>
    </w:p>
    <w:p>
      <w:pPr>
        <w:spacing w:after="0"/>
        <w:jc w:val="both"/>
        <w:sectPr>
          <w:pgSz w:w="11910" w:h="16840"/>
          <w:pgMar w:header="0" w:footer="979" w:top="1360" w:bottom="1240" w:left="280" w:right="0"/>
        </w:sectPr>
      </w:pPr>
    </w:p>
    <w:p>
      <w:pPr>
        <w:pStyle w:val="BodyText"/>
        <w:spacing w:line="480" w:lineRule="auto" w:before="60"/>
        <w:ind w:left="711" w:right="470"/>
        <w:jc w:val="both"/>
      </w:pPr>
      <w:r>
        <w:rPr/>
        <w:t>the Morgan trust approach, Change in External Reserve promises a positive relationship with Economic performance on the long-run as oppose to change in external debt in the case of World Bank and Erbe</w:t>
      </w:r>
      <w:r>
        <w:rPr>
          <w:spacing w:val="40"/>
        </w:rPr>
        <w:t> </w:t>
      </w:r>
      <w:r>
        <w:rPr>
          <w:spacing w:val="-2"/>
        </w:rPr>
        <w:t>(1985)</w:t>
      </w:r>
    </w:p>
    <w:p>
      <w:pPr>
        <w:pStyle w:val="BodyText"/>
        <w:spacing w:line="480" w:lineRule="auto" w:before="1"/>
        <w:ind w:left="711" w:right="503" w:hanging="60"/>
      </w:pPr>
      <w:r>
        <w:rPr/>
        <w:t>The</w:t>
      </w:r>
      <w:r>
        <w:rPr>
          <w:spacing w:val="-4"/>
        </w:rPr>
        <w:t> </w:t>
      </w:r>
      <w:r>
        <w:rPr/>
        <w:t>Pre-SAP,</w:t>
      </w:r>
      <w:r>
        <w:rPr>
          <w:spacing w:val="-3"/>
        </w:rPr>
        <w:t> </w:t>
      </w:r>
      <w:r>
        <w:rPr/>
        <w:t>Post-SAP</w:t>
      </w:r>
      <w:r>
        <w:rPr>
          <w:spacing w:val="-3"/>
        </w:rPr>
        <w:t> </w:t>
      </w:r>
      <w:r>
        <w:rPr/>
        <w:t>showed</w:t>
      </w:r>
      <w:r>
        <w:rPr>
          <w:spacing w:val="-3"/>
        </w:rPr>
        <w:t> </w:t>
      </w:r>
      <w:r>
        <w:rPr/>
        <w:t>the</w:t>
      </w:r>
      <w:r>
        <w:rPr>
          <w:spacing w:val="-3"/>
        </w:rPr>
        <w:t> </w:t>
      </w:r>
      <w:r>
        <w:rPr/>
        <w:t>degree</w:t>
      </w:r>
      <w:r>
        <w:rPr>
          <w:spacing w:val="-4"/>
        </w:rPr>
        <w:t> </w:t>
      </w:r>
      <w:r>
        <w:rPr/>
        <w:t>to</w:t>
      </w:r>
      <w:r>
        <w:rPr>
          <w:spacing w:val="-1"/>
        </w:rPr>
        <w:t> </w:t>
      </w:r>
      <w:r>
        <w:rPr/>
        <w:t>which</w:t>
      </w:r>
      <w:r>
        <w:rPr>
          <w:spacing w:val="-3"/>
        </w:rPr>
        <w:t> </w:t>
      </w:r>
      <w:r>
        <w:rPr/>
        <w:t>each</w:t>
      </w:r>
      <w:r>
        <w:rPr>
          <w:spacing w:val="-3"/>
        </w:rPr>
        <w:t> </w:t>
      </w:r>
      <w:r>
        <w:rPr/>
        <w:t>of</w:t>
      </w:r>
      <w:r>
        <w:rPr>
          <w:spacing w:val="-3"/>
        </w:rPr>
        <w:t> </w:t>
      </w:r>
      <w:r>
        <w:rPr/>
        <w:t>the</w:t>
      </w:r>
      <w:r>
        <w:rPr>
          <w:spacing w:val="-5"/>
        </w:rPr>
        <w:t> </w:t>
      </w:r>
      <w:r>
        <w:rPr/>
        <w:t>independent</w:t>
      </w:r>
      <w:r>
        <w:rPr>
          <w:spacing w:val="-3"/>
        </w:rPr>
        <w:t> </w:t>
      </w:r>
      <w:r>
        <w:rPr/>
        <w:t>variable</w:t>
      </w:r>
      <w:r>
        <w:rPr>
          <w:spacing w:val="-4"/>
        </w:rPr>
        <w:t> </w:t>
      </w:r>
      <w:r>
        <w:rPr/>
        <w:t>impact capital</w:t>
      </w:r>
      <w:r>
        <w:rPr>
          <w:spacing w:val="-3"/>
        </w:rPr>
        <w:t> </w:t>
      </w:r>
      <w:r>
        <w:rPr/>
        <w:t>flight</w:t>
      </w:r>
      <w:r>
        <w:rPr>
          <w:spacing w:val="-3"/>
        </w:rPr>
        <w:t> </w:t>
      </w:r>
      <w:r>
        <w:rPr/>
        <w:t>in Nigeria under different economic policies. In the Pre-SAP analysis, change in external debt (EXDEBT), gross capital formation (GCF), deposit rate (DR), private sector credit (PRIVCR) and government current expenditure (GOCE) directly</w:t>
      </w:r>
      <w:r>
        <w:rPr>
          <w:spacing w:val="-4"/>
        </w:rPr>
        <w:t> </w:t>
      </w:r>
      <w:r>
        <w:rPr/>
        <w:t>influenced and induced capital flight while in the Post-SAP regime, the policy change brought about more open economy and increase borrowed funds as well as put pressure on the general price level within the economy. Due to political and economic uncertainties experienced during the period, external debt became very</w:t>
      </w:r>
      <w:r>
        <w:rPr>
          <w:spacing w:val="-3"/>
        </w:rPr>
        <w:t> </w:t>
      </w:r>
      <w:r>
        <w:rPr/>
        <w:t>volatile and this in turn led to increase capital flight. The volatility</w:t>
      </w:r>
      <w:r>
        <w:rPr>
          <w:spacing w:val="-1"/>
        </w:rPr>
        <w:t> </w:t>
      </w:r>
      <w:r>
        <w:rPr/>
        <w:t>nature of the country’s debt was manifested by the positive relationship between change in external debt and</w:t>
      </w:r>
      <w:r>
        <w:rPr>
          <w:spacing w:val="40"/>
        </w:rPr>
        <w:t> </w:t>
      </w:r>
      <w:r>
        <w:rPr/>
        <w:t>capital flight during the period.</w:t>
      </w:r>
    </w:p>
    <w:p>
      <w:pPr>
        <w:pStyle w:val="BodyText"/>
        <w:spacing w:line="480" w:lineRule="auto" w:before="2"/>
        <w:ind w:left="711" w:right="467"/>
        <w:jc w:val="both"/>
      </w:pPr>
      <w:r>
        <w:rPr>
          <w:rFonts w:ascii="Cambria" w:hAnsi="Cambria"/>
        </w:rPr>
        <w:t>Results from model 5 and 6 analyses, the results revealed that the Post-SAP era brought about increased foreign direct investment (DFI) to Nigeria. Evidende form the analysis showed that change in reserves (δRES)</w:t>
      </w:r>
      <w:r>
        <w:rPr>
          <w:rFonts w:ascii="Cambria" w:hAnsi="Cambria"/>
          <w:spacing w:val="-1"/>
        </w:rPr>
        <w:t> </w:t>
      </w:r>
      <w:r>
        <w:rPr>
          <w:rFonts w:ascii="Cambria" w:hAnsi="Cambria"/>
        </w:rPr>
        <w:t>and</w:t>
      </w:r>
      <w:r>
        <w:rPr>
          <w:rFonts w:ascii="Cambria" w:hAnsi="Cambria"/>
          <w:spacing w:val="-4"/>
        </w:rPr>
        <w:t> </w:t>
      </w:r>
      <w:r>
        <w:rPr>
          <w:rFonts w:ascii="Cambria" w:hAnsi="Cambria"/>
        </w:rPr>
        <w:t>direct foreign investment (DFI)</w:t>
      </w:r>
      <w:r>
        <w:rPr>
          <w:rFonts w:ascii="Cambria" w:hAnsi="Cambria"/>
          <w:spacing w:val="-1"/>
        </w:rPr>
        <w:t> </w:t>
      </w:r>
      <w:r>
        <w:rPr>
          <w:rFonts w:ascii="Cambria" w:hAnsi="Cambria"/>
        </w:rPr>
        <w:t>had</w:t>
      </w:r>
      <w:r>
        <w:rPr>
          <w:rFonts w:ascii="Cambria" w:hAnsi="Cambria"/>
          <w:spacing w:val="-2"/>
        </w:rPr>
        <w:t> </w:t>
      </w:r>
      <w:r>
        <w:rPr>
          <w:rFonts w:ascii="Cambria" w:hAnsi="Cambria"/>
        </w:rPr>
        <w:t>positive impact on</w:t>
      </w:r>
      <w:r>
        <w:rPr>
          <w:rFonts w:ascii="Cambria" w:hAnsi="Cambria"/>
          <w:spacing w:val="-3"/>
        </w:rPr>
        <w:t> </w:t>
      </w:r>
      <w:r>
        <w:rPr>
          <w:rFonts w:ascii="Cambria" w:hAnsi="Cambria"/>
        </w:rPr>
        <w:t>the economy.</w:t>
      </w:r>
      <w:r>
        <w:rPr>
          <w:rFonts w:ascii="Cambria" w:hAnsi="Cambria"/>
          <w:spacing w:val="-2"/>
        </w:rPr>
        <w:t> </w:t>
      </w:r>
      <w:r>
        <w:rPr>
          <w:rFonts w:ascii="Cambria" w:hAnsi="Cambria"/>
        </w:rPr>
        <w:t>However, the results revealed that current account balance (CAB) and net assets of domestic banks (δNEXTAS) had negative impact on the economy during the period under consideration. This is expected because for current account balance to generate positive balance of trade that could impact positively on the economy export must be more than imports and this is not yet a reality in Nigeria.</w:t>
      </w:r>
      <w:r>
        <w:rPr>
          <w:rFonts w:ascii="Cambria" w:hAnsi="Cambria"/>
          <w:spacing w:val="80"/>
        </w:rPr>
        <w:t> </w:t>
      </w:r>
      <w:r>
        <w:rPr>
          <w:rFonts w:ascii="Cambria" w:hAnsi="Cambria"/>
        </w:rPr>
        <w:t>Again the increased level of uncertainties in the financial industry in 1990s and 200s has led to incease in the</w:t>
      </w:r>
      <w:r>
        <w:rPr>
          <w:rFonts w:ascii="Cambria" w:hAnsi="Cambria"/>
          <w:spacing w:val="40"/>
        </w:rPr>
        <w:t> </w:t>
      </w:r>
      <w:r>
        <w:rPr>
          <w:rFonts w:ascii="Cambria" w:hAnsi="Cambria"/>
        </w:rPr>
        <w:t>net asset of domestic banks abroad. These funds are made available for the foreign economic growth at the expense of domestic economy.</w:t>
      </w:r>
      <w:r>
        <w:rPr>
          <w:rFonts w:ascii="Cambria" w:hAnsi="Cambria"/>
          <w:spacing w:val="40"/>
        </w:rPr>
        <w:t> </w:t>
      </w:r>
      <w:r>
        <w:rPr>
          <w:rFonts w:ascii="Cambria" w:hAnsi="Cambria"/>
        </w:rPr>
        <w:t>Analyses also show that </w:t>
      </w:r>
      <w:r>
        <w:rPr/>
        <w:t>policies distortions brought about by political unrest, along with political instability and unfavourable economic environment encourage capital flight. However, the current consolidation and reforms in the economy couple with the current democratic regime</w:t>
      </w:r>
      <w:r>
        <w:rPr>
          <w:spacing w:val="22"/>
        </w:rPr>
        <w:t> </w:t>
      </w:r>
      <w:r>
        <w:rPr/>
        <w:t>in</w:t>
      </w:r>
      <w:r>
        <w:rPr>
          <w:spacing w:val="26"/>
        </w:rPr>
        <w:t> </w:t>
      </w:r>
      <w:r>
        <w:rPr/>
        <w:t>Nigeria</w:t>
      </w:r>
      <w:r>
        <w:rPr>
          <w:spacing w:val="24"/>
        </w:rPr>
        <w:t> </w:t>
      </w:r>
      <w:r>
        <w:rPr/>
        <w:t>is</w:t>
      </w:r>
      <w:r>
        <w:rPr>
          <w:spacing w:val="29"/>
        </w:rPr>
        <w:t> </w:t>
      </w:r>
      <w:r>
        <w:rPr/>
        <w:t>already</w:t>
      </w:r>
      <w:r>
        <w:rPr>
          <w:spacing w:val="20"/>
        </w:rPr>
        <w:t> </w:t>
      </w:r>
      <w:r>
        <w:rPr/>
        <w:t>having</w:t>
      </w:r>
      <w:r>
        <w:rPr>
          <w:spacing w:val="28"/>
        </w:rPr>
        <w:t> </w:t>
      </w:r>
      <w:r>
        <w:rPr/>
        <w:t>positive</w:t>
      </w:r>
      <w:r>
        <w:rPr>
          <w:spacing w:val="25"/>
        </w:rPr>
        <w:t> </w:t>
      </w:r>
      <w:r>
        <w:rPr/>
        <w:t>effect</w:t>
      </w:r>
      <w:r>
        <w:rPr>
          <w:spacing w:val="28"/>
        </w:rPr>
        <w:t> </w:t>
      </w:r>
      <w:r>
        <w:rPr/>
        <w:t>on</w:t>
      </w:r>
      <w:r>
        <w:rPr>
          <w:spacing w:val="25"/>
        </w:rPr>
        <w:t> </w:t>
      </w:r>
      <w:r>
        <w:rPr/>
        <w:t>the</w:t>
      </w:r>
      <w:r>
        <w:rPr>
          <w:spacing w:val="25"/>
        </w:rPr>
        <w:t> </w:t>
      </w:r>
      <w:r>
        <w:rPr/>
        <w:t>political</w:t>
      </w:r>
      <w:r>
        <w:rPr>
          <w:spacing w:val="26"/>
        </w:rPr>
        <w:t> </w:t>
      </w:r>
      <w:r>
        <w:rPr/>
        <w:t>and</w:t>
      </w:r>
      <w:r>
        <w:rPr>
          <w:spacing w:val="26"/>
        </w:rPr>
        <w:t> </w:t>
      </w:r>
      <w:r>
        <w:rPr/>
        <w:t>economic</w:t>
      </w:r>
      <w:r>
        <w:rPr>
          <w:spacing w:val="24"/>
        </w:rPr>
        <w:t> </w:t>
      </w:r>
      <w:r>
        <w:rPr/>
        <w:t>stability</w:t>
      </w:r>
      <w:r>
        <w:rPr>
          <w:spacing w:val="21"/>
        </w:rPr>
        <w:t> </w:t>
      </w:r>
      <w:r>
        <w:rPr/>
        <w:t>of</w:t>
      </w:r>
      <w:r>
        <w:rPr>
          <w:spacing w:val="25"/>
        </w:rPr>
        <w:t> </w:t>
      </w:r>
      <w:r>
        <w:rPr/>
        <w:t>the</w:t>
      </w:r>
      <w:r>
        <w:rPr>
          <w:spacing w:val="28"/>
        </w:rPr>
        <w:t> </w:t>
      </w:r>
      <w:r>
        <w:rPr>
          <w:spacing w:val="-2"/>
        </w:rPr>
        <w:t>country.</w:t>
      </w:r>
    </w:p>
    <w:p>
      <w:pPr>
        <w:spacing w:after="0" w:line="480" w:lineRule="auto"/>
        <w:jc w:val="both"/>
        <w:sectPr>
          <w:pgSz w:w="11910" w:h="16840"/>
          <w:pgMar w:header="0" w:footer="979" w:top="1360" w:bottom="1240" w:left="280" w:right="0"/>
        </w:sectPr>
      </w:pPr>
    </w:p>
    <w:p>
      <w:pPr>
        <w:pStyle w:val="BodyText"/>
        <w:spacing w:line="480" w:lineRule="auto" w:before="60"/>
        <w:ind w:left="711" w:right="585"/>
      </w:pPr>
      <w:r>
        <w:rPr/>
        <w:t>The operations of Economic and Financial Crime Commissions and the Independent Currupt Practices and other Related Offences Commission have increased the international investors’ in the Nigerian economy.</w:t>
      </w:r>
    </w:p>
    <w:p>
      <w:pPr>
        <w:spacing w:after="0" w:line="480" w:lineRule="auto"/>
        <w:sectPr>
          <w:pgSz w:w="11910" w:h="16840"/>
          <w:pgMar w:header="0" w:footer="979" w:top="1360" w:bottom="1240" w:left="280" w:right="0"/>
        </w:sectPr>
      </w:pPr>
    </w:p>
    <w:p>
      <w:pPr>
        <w:pStyle w:val="Heading1"/>
        <w:ind w:left="3510"/>
        <w:jc w:val="left"/>
      </w:pPr>
      <w:bookmarkStart w:name="_TOC_250004" w:id="23"/>
      <w:bookmarkEnd w:id="23"/>
      <w:r>
        <w:rPr>
          <w:spacing w:val="-2"/>
        </w:rPr>
        <w:t>REFERENCES</w:t>
      </w:r>
    </w:p>
    <w:p>
      <w:pPr>
        <w:spacing w:before="320"/>
        <w:ind w:left="711" w:right="0" w:firstLine="0"/>
        <w:jc w:val="both"/>
        <w:rPr>
          <w:sz w:val="24"/>
        </w:rPr>
      </w:pPr>
      <w:r>
        <w:rPr>
          <w:sz w:val="24"/>
        </w:rPr>
        <w:t>Adegbite,</w:t>
      </w:r>
      <w:r>
        <w:rPr>
          <w:spacing w:val="-3"/>
          <w:sz w:val="24"/>
        </w:rPr>
        <w:t> </w:t>
      </w:r>
      <w:r>
        <w:rPr>
          <w:sz w:val="24"/>
        </w:rPr>
        <w:t>E.O.</w:t>
      </w:r>
      <w:r>
        <w:rPr>
          <w:spacing w:val="-1"/>
          <w:sz w:val="24"/>
        </w:rPr>
        <w:t> </w:t>
      </w:r>
      <w:r>
        <w:rPr>
          <w:sz w:val="24"/>
        </w:rPr>
        <w:t>(2007).</w:t>
      </w:r>
      <w:r>
        <w:rPr>
          <w:spacing w:val="-1"/>
          <w:sz w:val="24"/>
        </w:rPr>
        <w:t> </w:t>
      </w:r>
      <w:r>
        <w:rPr>
          <w:i/>
          <w:sz w:val="24"/>
        </w:rPr>
        <w:t>Essential</w:t>
      </w:r>
      <w:r>
        <w:rPr>
          <w:i/>
          <w:spacing w:val="-1"/>
          <w:sz w:val="24"/>
        </w:rPr>
        <w:t> </w:t>
      </w:r>
      <w:r>
        <w:rPr>
          <w:i/>
          <w:sz w:val="24"/>
        </w:rPr>
        <w:t>of</w:t>
      </w:r>
      <w:r>
        <w:rPr>
          <w:i/>
          <w:spacing w:val="-1"/>
          <w:sz w:val="24"/>
        </w:rPr>
        <w:t> </w:t>
      </w:r>
      <w:r>
        <w:rPr>
          <w:i/>
          <w:sz w:val="24"/>
        </w:rPr>
        <w:t>Money</w:t>
      </w:r>
      <w:r>
        <w:rPr>
          <w:i/>
          <w:spacing w:val="-2"/>
          <w:sz w:val="24"/>
        </w:rPr>
        <w:t> </w:t>
      </w:r>
      <w:r>
        <w:rPr>
          <w:i/>
          <w:sz w:val="24"/>
        </w:rPr>
        <w:t>and</w:t>
      </w:r>
      <w:r>
        <w:rPr>
          <w:i/>
          <w:spacing w:val="-1"/>
          <w:sz w:val="24"/>
        </w:rPr>
        <w:t> </w:t>
      </w:r>
      <w:r>
        <w:rPr>
          <w:i/>
          <w:sz w:val="24"/>
        </w:rPr>
        <w:t>Banking.</w:t>
      </w:r>
      <w:r>
        <w:rPr>
          <w:i/>
          <w:spacing w:val="1"/>
          <w:sz w:val="24"/>
        </w:rPr>
        <w:t> </w:t>
      </w:r>
      <w:r>
        <w:rPr>
          <w:sz w:val="24"/>
        </w:rPr>
        <w:t>Chumek</w:t>
      </w:r>
      <w:r>
        <w:rPr>
          <w:spacing w:val="-1"/>
          <w:sz w:val="24"/>
        </w:rPr>
        <w:t> </w:t>
      </w:r>
      <w:r>
        <w:rPr>
          <w:sz w:val="24"/>
        </w:rPr>
        <w:t>Ventures,</w:t>
      </w:r>
      <w:r>
        <w:rPr>
          <w:spacing w:val="4"/>
          <w:sz w:val="24"/>
        </w:rPr>
        <w:t> </w:t>
      </w:r>
      <w:r>
        <w:rPr>
          <w:spacing w:val="-2"/>
          <w:sz w:val="24"/>
        </w:rPr>
        <w:t>Lagos</w:t>
      </w:r>
    </w:p>
    <w:p>
      <w:pPr>
        <w:spacing w:before="0"/>
        <w:ind w:left="1431" w:right="473" w:hanging="647"/>
        <w:jc w:val="both"/>
        <w:rPr>
          <w:sz w:val="24"/>
        </w:rPr>
      </w:pPr>
      <w:r>
        <w:rPr>
          <w:sz w:val="24"/>
        </w:rPr>
        <w:t>Adegbite, E.O., Ayadi, F.S. &amp; Ayadi, O.F.</w:t>
      </w:r>
      <w:r>
        <w:rPr>
          <w:spacing w:val="40"/>
          <w:sz w:val="24"/>
        </w:rPr>
        <w:t> </w:t>
      </w:r>
      <w:r>
        <w:rPr>
          <w:sz w:val="24"/>
        </w:rPr>
        <w:t>(2008). The Impact of Nigeria’s External Debt on Economic Development. </w:t>
      </w:r>
      <w:r>
        <w:rPr>
          <w:i/>
          <w:sz w:val="24"/>
        </w:rPr>
        <w:t>International Journal of Emerging Markets, Vol 3, </w:t>
      </w:r>
      <w:r>
        <w:rPr>
          <w:sz w:val="24"/>
        </w:rPr>
        <w:t>285-301.</w:t>
      </w:r>
    </w:p>
    <w:p>
      <w:pPr>
        <w:tabs>
          <w:tab w:pos="5032" w:val="left" w:leader="none"/>
        </w:tabs>
        <w:spacing w:before="0"/>
        <w:ind w:left="1431" w:right="469" w:hanging="721"/>
        <w:jc w:val="both"/>
        <w:rPr>
          <w:sz w:val="24"/>
        </w:rPr>
      </w:pPr>
      <w:r>
        <w:rPr>
          <w:sz w:val="24"/>
        </w:rPr>
        <w:t>Ajayi S. I. (2005). Managing capital flight: Issues and challenges.</w:t>
      </w:r>
      <w:r>
        <w:rPr>
          <w:spacing w:val="40"/>
          <w:sz w:val="24"/>
        </w:rPr>
        <w:t> </w:t>
      </w:r>
      <w:r>
        <w:rPr>
          <w:i/>
          <w:sz w:val="24"/>
        </w:rPr>
        <w:t>Paper Presented at a Seminar Titled; Capital</w:t>
      </w:r>
      <w:r>
        <w:rPr>
          <w:i/>
          <w:spacing w:val="-1"/>
          <w:sz w:val="24"/>
        </w:rPr>
        <w:t> </w:t>
      </w:r>
      <w:r>
        <w:rPr>
          <w:i/>
          <w:sz w:val="24"/>
        </w:rPr>
        <w:t>Flows</w:t>
      </w:r>
      <w:r>
        <w:rPr>
          <w:i/>
          <w:spacing w:val="-1"/>
          <w:sz w:val="24"/>
        </w:rPr>
        <w:t> </w:t>
      </w:r>
      <w:r>
        <w:rPr>
          <w:i/>
          <w:sz w:val="24"/>
        </w:rPr>
        <w:t>and</w:t>
      </w:r>
      <w:r>
        <w:rPr>
          <w:i/>
          <w:spacing w:val="-1"/>
          <w:sz w:val="24"/>
        </w:rPr>
        <w:t> </w:t>
      </w:r>
      <w:r>
        <w:rPr>
          <w:i/>
          <w:sz w:val="24"/>
        </w:rPr>
        <w:t>Economic</w:t>
      </w:r>
      <w:r>
        <w:rPr>
          <w:i/>
          <w:spacing w:val="-1"/>
          <w:sz w:val="24"/>
        </w:rPr>
        <w:t> </w:t>
      </w:r>
      <w:r>
        <w:rPr>
          <w:i/>
          <w:sz w:val="24"/>
        </w:rPr>
        <w:t>Transformation</w:t>
      </w:r>
      <w:r>
        <w:rPr>
          <w:i/>
          <w:spacing w:val="-1"/>
          <w:sz w:val="24"/>
        </w:rPr>
        <w:t> </w:t>
      </w:r>
      <w:r>
        <w:rPr>
          <w:i/>
          <w:sz w:val="24"/>
        </w:rPr>
        <w:t>in</w:t>
      </w:r>
      <w:r>
        <w:rPr>
          <w:i/>
          <w:spacing w:val="-2"/>
          <w:sz w:val="24"/>
        </w:rPr>
        <w:t> </w:t>
      </w:r>
      <w:r>
        <w:rPr>
          <w:i/>
          <w:sz w:val="24"/>
        </w:rPr>
        <w:t>Nigeria</w:t>
      </w:r>
      <w:r>
        <w:rPr>
          <w:sz w:val="24"/>
        </w:rPr>
        <w:t>,</w:t>
      </w:r>
      <w:r>
        <w:rPr>
          <w:spacing w:val="-1"/>
          <w:sz w:val="24"/>
        </w:rPr>
        <w:t> </w:t>
      </w:r>
      <w:r>
        <w:rPr>
          <w:i/>
          <w:sz w:val="24"/>
        </w:rPr>
        <w:t>at</w:t>
      </w:r>
      <w:r>
        <w:rPr>
          <w:i/>
          <w:spacing w:val="-1"/>
          <w:sz w:val="24"/>
        </w:rPr>
        <w:t> </w:t>
      </w:r>
      <w:r>
        <w:rPr>
          <w:i/>
          <w:sz w:val="24"/>
        </w:rPr>
        <w:t>the</w:t>
      </w:r>
      <w:r>
        <w:rPr>
          <w:i/>
          <w:spacing w:val="-1"/>
          <w:sz w:val="24"/>
        </w:rPr>
        <w:t> </w:t>
      </w:r>
      <w:r>
        <w:rPr>
          <w:i/>
          <w:sz w:val="24"/>
        </w:rPr>
        <w:t>Central Bank</w:t>
      </w:r>
      <w:r>
        <w:rPr>
          <w:i/>
          <w:spacing w:val="-1"/>
          <w:sz w:val="24"/>
        </w:rPr>
        <w:t> </w:t>
      </w:r>
      <w:r>
        <w:rPr>
          <w:i/>
          <w:sz w:val="24"/>
        </w:rPr>
        <w:t>of Nigeria’s</w:t>
      </w:r>
      <w:r>
        <w:rPr>
          <w:i/>
          <w:spacing w:val="-1"/>
          <w:sz w:val="24"/>
        </w:rPr>
        <w:t> </w:t>
      </w:r>
      <w:r>
        <w:rPr>
          <w:i/>
          <w:sz w:val="24"/>
        </w:rPr>
        <w:t>5</w:t>
      </w:r>
      <w:r>
        <w:rPr>
          <w:i/>
          <w:sz w:val="24"/>
          <w:vertAlign w:val="superscript"/>
        </w:rPr>
        <w:t>th</w:t>
      </w:r>
      <w:r>
        <w:rPr>
          <w:i/>
          <w:sz w:val="24"/>
          <w:vertAlign w:val="baseline"/>
        </w:rPr>
        <w:t> Annual Monetary Policy Conference</w:t>
      </w:r>
      <w:r>
        <w:rPr>
          <w:sz w:val="24"/>
          <w:vertAlign w:val="baseline"/>
        </w:rPr>
        <w:t>,</w:t>
        <w:tab/>
        <w:t>CBN Conference Hall, Abuja 10-11</w:t>
      </w:r>
    </w:p>
    <w:p>
      <w:pPr>
        <w:spacing w:before="0"/>
        <w:ind w:left="1431" w:right="2077" w:hanging="721"/>
        <w:jc w:val="both"/>
        <w:rPr>
          <w:sz w:val="24"/>
        </w:rPr>
      </w:pPr>
      <w:r>
        <w:rPr>
          <w:sz w:val="24"/>
        </w:rPr>
        <w:t>Ayadi,</w:t>
      </w:r>
      <w:r>
        <w:rPr>
          <w:spacing w:val="-3"/>
          <w:sz w:val="24"/>
        </w:rPr>
        <w:t> </w:t>
      </w:r>
      <w:r>
        <w:rPr>
          <w:sz w:val="24"/>
        </w:rPr>
        <w:t>(2008).</w:t>
      </w:r>
      <w:r>
        <w:rPr>
          <w:spacing w:val="40"/>
          <w:sz w:val="24"/>
        </w:rPr>
        <w:t> </w:t>
      </w:r>
      <w:r>
        <w:rPr>
          <w:sz w:val="24"/>
        </w:rPr>
        <w:t>Econometric</w:t>
      </w:r>
      <w:r>
        <w:rPr>
          <w:spacing w:val="-4"/>
          <w:sz w:val="24"/>
        </w:rPr>
        <w:t> </w:t>
      </w:r>
      <w:r>
        <w:rPr>
          <w:sz w:val="24"/>
        </w:rPr>
        <w:t>Analysis</w:t>
      </w:r>
      <w:r>
        <w:rPr>
          <w:spacing w:val="-3"/>
          <w:sz w:val="24"/>
        </w:rPr>
        <w:t> </w:t>
      </w:r>
      <w:r>
        <w:rPr>
          <w:sz w:val="24"/>
        </w:rPr>
        <w:t>of</w:t>
      </w:r>
      <w:r>
        <w:rPr>
          <w:spacing w:val="-3"/>
          <w:sz w:val="24"/>
        </w:rPr>
        <w:t> </w:t>
      </w:r>
      <w:r>
        <w:rPr>
          <w:sz w:val="24"/>
        </w:rPr>
        <w:t>Capital</w:t>
      </w:r>
      <w:r>
        <w:rPr>
          <w:spacing w:val="-3"/>
          <w:sz w:val="24"/>
        </w:rPr>
        <w:t> </w:t>
      </w:r>
      <w:r>
        <w:rPr>
          <w:sz w:val="24"/>
        </w:rPr>
        <w:t>Flight</w:t>
      </w:r>
      <w:r>
        <w:rPr>
          <w:spacing w:val="-3"/>
          <w:sz w:val="24"/>
        </w:rPr>
        <w:t> </w:t>
      </w:r>
      <w:r>
        <w:rPr>
          <w:sz w:val="24"/>
        </w:rPr>
        <w:t>in</w:t>
      </w:r>
      <w:r>
        <w:rPr>
          <w:spacing w:val="-3"/>
          <w:sz w:val="24"/>
        </w:rPr>
        <w:t> </w:t>
      </w:r>
      <w:r>
        <w:rPr>
          <w:sz w:val="24"/>
        </w:rPr>
        <w:t>Developing</w:t>
      </w:r>
      <w:r>
        <w:rPr>
          <w:spacing w:val="-6"/>
          <w:sz w:val="24"/>
        </w:rPr>
        <w:t> </w:t>
      </w:r>
      <w:r>
        <w:rPr>
          <w:sz w:val="24"/>
        </w:rPr>
        <w:t>Countries.</w:t>
      </w:r>
      <w:r>
        <w:rPr>
          <w:spacing w:val="40"/>
          <w:sz w:val="24"/>
        </w:rPr>
        <w:t> </w:t>
      </w:r>
      <w:r>
        <w:rPr>
          <w:i/>
          <w:sz w:val="24"/>
        </w:rPr>
        <w:t>8</w:t>
      </w:r>
      <w:r>
        <w:rPr>
          <w:i/>
          <w:sz w:val="24"/>
          <w:vertAlign w:val="superscript"/>
        </w:rPr>
        <w:t>th</w:t>
      </w:r>
      <w:r>
        <w:rPr>
          <w:i/>
          <w:sz w:val="24"/>
          <w:vertAlign w:val="baseline"/>
        </w:rPr>
        <w:t>Global Conference &amp; Economics</w:t>
      </w:r>
      <w:r>
        <w:rPr>
          <w:sz w:val="24"/>
          <w:vertAlign w:val="baseline"/>
        </w:rPr>
        <w:t>. 978-09742114-5-9</w:t>
      </w:r>
    </w:p>
    <w:p>
      <w:pPr>
        <w:tabs>
          <w:tab w:pos="9353" w:val="left" w:leader="none"/>
          <w:tab w:pos="10073" w:val="left" w:leader="none"/>
        </w:tabs>
        <w:spacing w:before="0"/>
        <w:ind w:left="711" w:right="572" w:firstLine="0"/>
        <w:jc w:val="left"/>
        <w:rPr>
          <w:sz w:val="24"/>
        </w:rPr>
      </w:pPr>
      <w:r>
        <w:rPr>
          <w:sz w:val="24"/>
        </w:rPr>
        <w:t>Bulir, A. &amp; Hamann, A. J. (2003). Aid Volatility: An Empirical Assessment. </w:t>
      </w:r>
      <w:r>
        <w:rPr>
          <w:i/>
          <w:sz w:val="24"/>
        </w:rPr>
        <w:t>IMF Staff Papers</w:t>
        <w:tab/>
        <w:t>50</w:t>
      </w:r>
      <w:r>
        <w:rPr>
          <w:sz w:val="24"/>
        </w:rPr>
        <w:t>,</w:t>
      </w:r>
      <w:r>
        <w:rPr>
          <w:spacing w:val="-17"/>
          <w:sz w:val="24"/>
        </w:rPr>
        <w:t> </w:t>
      </w:r>
      <w:r>
        <w:rPr>
          <w:sz w:val="24"/>
        </w:rPr>
        <w:t>64-90. Chander, K, (1996). </w:t>
      </w:r>
      <w:r>
        <w:rPr>
          <w:i/>
          <w:sz w:val="24"/>
        </w:rPr>
        <w:t>Foreign Direct Investment and Capital Flight </w:t>
      </w:r>
      <w:r>
        <w:rPr>
          <w:sz w:val="24"/>
        </w:rPr>
        <w:t>Princeton Studies in</w:t>
        <w:tab/>
      </w:r>
      <w:r>
        <w:rPr>
          <w:spacing w:val="-2"/>
          <w:sz w:val="24"/>
        </w:rPr>
        <w:t>International </w:t>
      </w:r>
      <w:r>
        <w:rPr>
          <w:sz w:val="24"/>
        </w:rPr>
        <w:t>Finance. Princeton University, New Jersey.</w:t>
      </w:r>
    </w:p>
    <w:p>
      <w:pPr>
        <w:spacing w:before="1"/>
        <w:ind w:left="1431" w:right="0" w:hanging="721"/>
        <w:jc w:val="left"/>
        <w:rPr>
          <w:sz w:val="24"/>
        </w:rPr>
      </w:pPr>
      <w:r>
        <w:rPr>
          <w:sz w:val="24"/>
        </w:rPr>
        <w:t>Gurley, J.G &amp; Shaw, E.S. (1956). Financial Intermediaries and the Saving Investment Process.</w:t>
      </w:r>
      <w:r>
        <w:rPr>
          <w:spacing w:val="24"/>
          <w:sz w:val="24"/>
        </w:rPr>
        <w:t> </w:t>
      </w:r>
      <w:r>
        <w:rPr>
          <w:i/>
          <w:sz w:val="24"/>
        </w:rPr>
        <w:t>Journal of</w:t>
      </w:r>
      <w:r>
        <w:rPr>
          <w:i/>
          <w:spacing w:val="40"/>
          <w:sz w:val="24"/>
        </w:rPr>
        <w:t> </w:t>
      </w:r>
      <w:r>
        <w:rPr>
          <w:i/>
          <w:sz w:val="24"/>
        </w:rPr>
        <w:t>Finance</w:t>
      </w:r>
      <w:r>
        <w:rPr>
          <w:sz w:val="24"/>
        </w:rPr>
        <w:t>. </w:t>
      </w:r>
      <w:r>
        <w:rPr>
          <w:i/>
          <w:sz w:val="24"/>
        </w:rPr>
        <w:t>Vol.II, </w:t>
      </w:r>
      <w:r>
        <w:rPr>
          <w:sz w:val="24"/>
        </w:rPr>
        <w:t>258-276</w:t>
      </w:r>
    </w:p>
    <w:p>
      <w:pPr>
        <w:pStyle w:val="BodyText"/>
        <w:ind w:left="711"/>
        <w:rPr>
          <w:i/>
        </w:rPr>
      </w:pPr>
      <w:r>
        <w:rPr/>
        <w:t>Erbe,</w:t>
      </w:r>
      <w:r>
        <w:rPr>
          <w:spacing w:val="-3"/>
        </w:rPr>
        <w:t> </w:t>
      </w:r>
      <w:r>
        <w:rPr/>
        <w:t>S. (1985).</w:t>
      </w:r>
      <w:r>
        <w:rPr>
          <w:spacing w:val="-1"/>
        </w:rPr>
        <w:t> </w:t>
      </w:r>
      <w:r>
        <w:rPr/>
        <w:t>The</w:t>
      </w:r>
      <w:r>
        <w:rPr>
          <w:spacing w:val="-1"/>
        </w:rPr>
        <w:t> </w:t>
      </w:r>
      <w:r>
        <w:rPr/>
        <w:t>Flight of</w:t>
      </w:r>
      <w:r>
        <w:rPr>
          <w:spacing w:val="-1"/>
        </w:rPr>
        <w:t> </w:t>
      </w:r>
      <w:r>
        <w:rPr/>
        <w:t>Capital from Developing</w:t>
      </w:r>
      <w:r>
        <w:rPr>
          <w:spacing w:val="-3"/>
        </w:rPr>
        <w:t> </w:t>
      </w:r>
      <w:r>
        <w:rPr/>
        <w:t>Countries.</w:t>
      </w:r>
      <w:r>
        <w:rPr>
          <w:spacing w:val="63"/>
        </w:rPr>
        <w:t> </w:t>
      </w:r>
      <w:r>
        <w:rPr>
          <w:i/>
          <w:spacing w:val="-2"/>
        </w:rPr>
        <w:t>Intereconomics</w:t>
      </w:r>
    </w:p>
    <w:p>
      <w:pPr>
        <w:pStyle w:val="BodyText"/>
        <w:ind w:left="1491"/>
      </w:pPr>
      <w:r>
        <w:rPr>
          <w:spacing w:val="-2"/>
        </w:rPr>
        <w:t>(November/December).</w:t>
      </w:r>
    </w:p>
    <w:p>
      <w:pPr>
        <w:spacing w:before="0"/>
        <w:ind w:left="1431" w:right="0" w:hanging="721"/>
        <w:jc w:val="left"/>
        <w:rPr>
          <w:sz w:val="24"/>
        </w:rPr>
      </w:pPr>
      <w:r>
        <w:rPr>
          <w:sz w:val="24"/>
        </w:rPr>
        <w:t>McKinnon,</w:t>
      </w:r>
      <w:r>
        <w:rPr>
          <w:spacing w:val="36"/>
          <w:sz w:val="24"/>
        </w:rPr>
        <w:t> </w:t>
      </w:r>
      <w:r>
        <w:rPr>
          <w:sz w:val="24"/>
        </w:rPr>
        <w:t>R.I</w:t>
      </w:r>
      <w:r>
        <w:rPr>
          <w:spacing w:val="33"/>
          <w:sz w:val="24"/>
        </w:rPr>
        <w:t> </w:t>
      </w:r>
      <w:r>
        <w:rPr>
          <w:sz w:val="24"/>
        </w:rPr>
        <w:t>(1976).</w:t>
      </w:r>
      <w:r>
        <w:rPr>
          <w:spacing w:val="39"/>
          <w:sz w:val="24"/>
        </w:rPr>
        <w:t> </w:t>
      </w:r>
      <w:r>
        <w:rPr>
          <w:i/>
          <w:sz w:val="24"/>
        </w:rPr>
        <w:t>Money</w:t>
      </w:r>
      <w:r>
        <w:rPr>
          <w:i/>
          <w:spacing w:val="35"/>
          <w:sz w:val="24"/>
        </w:rPr>
        <w:t> </w:t>
      </w:r>
      <w:r>
        <w:rPr>
          <w:i/>
          <w:sz w:val="24"/>
        </w:rPr>
        <w:t>and</w:t>
      </w:r>
      <w:r>
        <w:rPr>
          <w:i/>
          <w:spacing w:val="38"/>
          <w:sz w:val="24"/>
        </w:rPr>
        <w:t> </w:t>
      </w:r>
      <w:r>
        <w:rPr>
          <w:i/>
          <w:sz w:val="24"/>
        </w:rPr>
        <w:t>Finance</w:t>
      </w:r>
      <w:r>
        <w:rPr>
          <w:i/>
          <w:spacing w:val="37"/>
          <w:sz w:val="24"/>
        </w:rPr>
        <w:t> </w:t>
      </w:r>
      <w:r>
        <w:rPr>
          <w:i/>
          <w:sz w:val="24"/>
        </w:rPr>
        <w:t>in</w:t>
      </w:r>
      <w:r>
        <w:rPr>
          <w:i/>
          <w:spacing w:val="39"/>
          <w:sz w:val="24"/>
        </w:rPr>
        <w:t> </w:t>
      </w:r>
      <w:r>
        <w:rPr>
          <w:i/>
          <w:sz w:val="24"/>
        </w:rPr>
        <w:t>Economic</w:t>
      </w:r>
      <w:r>
        <w:rPr>
          <w:i/>
          <w:spacing w:val="35"/>
          <w:sz w:val="24"/>
        </w:rPr>
        <w:t> </w:t>
      </w:r>
      <w:r>
        <w:rPr>
          <w:i/>
          <w:sz w:val="24"/>
        </w:rPr>
        <w:t>Growth</w:t>
      </w:r>
      <w:r>
        <w:rPr>
          <w:i/>
          <w:spacing w:val="36"/>
          <w:sz w:val="24"/>
        </w:rPr>
        <w:t> </w:t>
      </w:r>
      <w:r>
        <w:rPr>
          <w:i/>
          <w:sz w:val="24"/>
        </w:rPr>
        <w:t>and</w:t>
      </w:r>
      <w:r>
        <w:rPr>
          <w:i/>
          <w:spacing w:val="39"/>
          <w:sz w:val="24"/>
        </w:rPr>
        <w:t> </w:t>
      </w:r>
      <w:r>
        <w:rPr>
          <w:i/>
          <w:sz w:val="24"/>
        </w:rPr>
        <w:t>Development</w:t>
      </w:r>
      <w:r>
        <w:rPr>
          <w:sz w:val="24"/>
        </w:rPr>
        <w:t>,</w:t>
      </w:r>
      <w:r>
        <w:rPr>
          <w:spacing w:val="36"/>
          <w:sz w:val="24"/>
        </w:rPr>
        <w:t> </w:t>
      </w:r>
      <w:r>
        <w:rPr>
          <w:sz w:val="24"/>
        </w:rPr>
        <w:t>New</w:t>
      </w:r>
      <w:r>
        <w:rPr>
          <w:spacing w:val="35"/>
          <w:sz w:val="24"/>
        </w:rPr>
        <w:t> </w:t>
      </w:r>
      <w:r>
        <w:rPr>
          <w:sz w:val="24"/>
        </w:rPr>
        <w:t>York,</w:t>
      </w:r>
      <w:r>
        <w:rPr>
          <w:spacing w:val="36"/>
          <w:sz w:val="24"/>
        </w:rPr>
        <w:t> </w:t>
      </w:r>
      <w:r>
        <w:rPr>
          <w:sz w:val="24"/>
        </w:rPr>
        <w:t>Marcel Dekker Ince</w:t>
      </w:r>
    </w:p>
    <w:p>
      <w:pPr>
        <w:spacing w:before="0"/>
        <w:ind w:left="1431" w:right="2704" w:hanging="721"/>
        <w:jc w:val="left"/>
        <w:rPr>
          <w:sz w:val="24"/>
        </w:rPr>
      </w:pPr>
      <w:r>
        <w:rPr>
          <w:sz w:val="24"/>
        </w:rPr>
        <w:t>Morgan</w:t>
      </w:r>
      <w:r>
        <w:rPr>
          <w:spacing w:val="-4"/>
          <w:sz w:val="24"/>
        </w:rPr>
        <w:t> </w:t>
      </w:r>
      <w:r>
        <w:rPr>
          <w:sz w:val="24"/>
        </w:rPr>
        <w:t>Guaranty</w:t>
      </w:r>
      <w:r>
        <w:rPr>
          <w:spacing w:val="-9"/>
          <w:sz w:val="24"/>
        </w:rPr>
        <w:t> </w:t>
      </w:r>
      <w:r>
        <w:rPr>
          <w:sz w:val="24"/>
        </w:rPr>
        <w:t>Trust</w:t>
      </w:r>
      <w:r>
        <w:rPr>
          <w:spacing w:val="-3"/>
          <w:sz w:val="24"/>
        </w:rPr>
        <w:t> </w:t>
      </w:r>
      <w:r>
        <w:rPr>
          <w:sz w:val="24"/>
        </w:rPr>
        <w:t>Company,</w:t>
      </w:r>
      <w:r>
        <w:rPr>
          <w:spacing w:val="-3"/>
          <w:sz w:val="24"/>
        </w:rPr>
        <w:t> </w:t>
      </w:r>
      <w:r>
        <w:rPr>
          <w:sz w:val="24"/>
        </w:rPr>
        <w:t>(1986).</w:t>
      </w:r>
      <w:r>
        <w:rPr>
          <w:spacing w:val="-3"/>
          <w:sz w:val="24"/>
        </w:rPr>
        <w:t> </w:t>
      </w:r>
      <w:r>
        <w:rPr>
          <w:sz w:val="24"/>
        </w:rPr>
        <w:t>LDC</w:t>
      </w:r>
      <w:r>
        <w:rPr>
          <w:spacing w:val="-3"/>
          <w:sz w:val="24"/>
        </w:rPr>
        <w:t> </w:t>
      </w:r>
      <w:r>
        <w:rPr>
          <w:sz w:val="24"/>
        </w:rPr>
        <w:t>Capital</w:t>
      </w:r>
      <w:r>
        <w:rPr>
          <w:spacing w:val="-4"/>
          <w:sz w:val="24"/>
        </w:rPr>
        <w:t> </w:t>
      </w:r>
      <w:r>
        <w:rPr>
          <w:sz w:val="24"/>
        </w:rPr>
        <w:t>Flight.</w:t>
      </w:r>
      <w:r>
        <w:rPr>
          <w:spacing w:val="-3"/>
          <w:sz w:val="24"/>
        </w:rPr>
        <w:t> </w:t>
      </w:r>
      <w:r>
        <w:rPr>
          <w:i/>
          <w:sz w:val="24"/>
        </w:rPr>
        <w:t>World</w:t>
      </w:r>
      <w:r>
        <w:rPr>
          <w:i/>
          <w:spacing w:val="-4"/>
          <w:sz w:val="24"/>
        </w:rPr>
        <w:t> </w:t>
      </w:r>
      <w:r>
        <w:rPr>
          <w:i/>
          <w:sz w:val="24"/>
        </w:rPr>
        <w:t>Financial Markets</w:t>
      </w:r>
      <w:r>
        <w:rPr>
          <w:sz w:val="24"/>
        </w:rPr>
        <w:t>, March, 13-15.</w:t>
      </w:r>
    </w:p>
    <w:p>
      <w:pPr>
        <w:spacing w:before="0"/>
        <w:ind w:left="711" w:right="2704" w:firstLine="0"/>
        <w:jc w:val="left"/>
        <w:rPr>
          <w:i/>
          <w:sz w:val="24"/>
        </w:rPr>
      </w:pPr>
      <w:r>
        <w:rPr>
          <w:sz w:val="24"/>
        </w:rPr>
        <w:t>Ojo,</w:t>
      </w:r>
      <w:r>
        <w:rPr>
          <w:spacing w:val="-3"/>
          <w:sz w:val="24"/>
        </w:rPr>
        <w:t> </w:t>
      </w:r>
      <w:r>
        <w:rPr>
          <w:sz w:val="24"/>
        </w:rPr>
        <w:t>A.T</w:t>
      </w:r>
      <w:r>
        <w:rPr>
          <w:spacing w:val="-4"/>
          <w:sz w:val="24"/>
        </w:rPr>
        <w:t> </w:t>
      </w:r>
      <w:r>
        <w:rPr>
          <w:sz w:val="24"/>
        </w:rPr>
        <w:t>and</w:t>
      </w:r>
      <w:r>
        <w:rPr>
          <w:spacing w:val="-3"/>
          <w:sz w:val="24"/>
        </w:rPr>
        <w:t> </w:t>
      </w:r>
      <w:r>
        <w:rPr>
          <w:sz w:val="24"/>
        </w:rPr>
        <w:t>Wole,</w:t>
      </w:r>
      <w:r>
        <w:rPr>
          <w:spacing w:val="-3"/>
          <w:sz w:val="24"/>
        </w:rPr>
        <w:t> </w:t>
      </w:r>
      <w:r>
        <w:rPr>
          <w:sz w:val="24"/>
        </w:rPr>
        <w:t>A.</w:t>
      </w:r>
      <w:r>
        <w:rPr>
          <w:spacing w:val="-3"/>
          <w:sz w:val="24"/>
        </w:rPr>
        <w:t> </w:t>
      </w:r>
      <w:r>
        <w:rPr>
          <w:sz w:val="24"/>
        </w:rPr>
        <w:t>(1982).</w:t>
      </w:r>
      <w:r>
        <w:rPr>
          <w:spacing w:val="-2"/>
          <w:sz w:val="24"/>
        </w:rPr>
        <w:t> </w:t>
      </w:r>
      <w:r>
        <w:rPr>
          <w:i/>
          <w:sz w:val="24"/>
        </w:rPr>
        <w:t>Banking</w:t>
      </w:r>
      <w:r>
        <w:rPr>
          <w:i/>
          <w:spacing w:val="-3"/>
          <w:sz w:val="24"/>
        </w:rPr>
        <w:t> </w:t>
      </w:r>
      <w:r>
        <w:rPr>
          <w:i/>
          <w:sz w:val="24"/>
        </w:rPr>
        <w:t>and</w:t>
      </w:r>
      <w:r>
        <w:rPr>
          <w:i/>
          <w:spacing w:val="-3"/>
          <w:sz w:val="24"/>
        </w:rPr>
        <w:t> </w:t>
      </w:r>
      <w:r>
        <w:rPr>
          <w:i/>
          <w:sz w:val="24"/>
        </w:rPr>
        <w:t>Finance</w:t>
      </w:r>
      <w:r>
        <w:rPr>
          <w:i/>
          <w:spacing w:val="-4"/>
          <w:sz w:val="24"/>
        </w:rPr>
        <w:t> </w:t>
      </w:r>
      <w:r>
        <w:rPr>
          <w:i/>
          <w:sz w:val="24"/>
        </w:rPr>
        <w:t>in</w:t>
      </w:r>
      <w:r>
        <w:rPr>
          <w:i/>
          <w:spacing w:val="-3"/>
          <w:sz w:val="24"/>
        </w:rPr>
        <w:t> </w:t>
      </w:r>
      <w:r>
        <w:rPr>
          <w:i/>
          <w:sz w:val="24"/>
        </w:rPr>
        <w:t>Nigeria</w:t>
      </w:r>
      <w:r>
        <w:rPr>
          <w:sz w:val="24"/>
        </w:rPr>
        <w:t>,</w:t>
      </w:r>
      <w:r>
        <w:rPr>
          <w:spacing w:val="-3"/>
          <w:sz w:val="24"/>
        </w:rPr>
        <w:t> </w:t>
      </w:r>
      <w:r>
        <w:rPr>
          <w:sz w:val="24"/>
        </w:rPr>
        <w:t>UK,</w:t>
      </w:r>
      <w:r>
        <w:rPr>
          <w:spacing w:val="-3"/>
          <w:sz w:val="24"/>
        </w:rPr>
        <w:t> </w:t>
      </w:r>
      <w:r>
        <w:rPr>
          <w:sz w:val="24"/>
        </w:rPr>
        <w:t>Graham</w:t>
      </w:r>
      <w:r>
        <w:rPr>
          <w:spacing w:val="-3"/>
          <w:sz w:val="24"/>
        </w:rPr>
        <w:t> </w:t>
      </w:r>
      <w:r>
        <w:rPr>
          <w:sz w:val="24"/>
        </w:rPr>
        <w:t>Burn World Bank (1985). World Development Report 1985. </w:t>
      </w:r>
      <w:r>
        <w:rPr>
          <w:i/>
          <w:sz w:val="24"/>
        </w:rPr>
        <w:t>World Bank.</w:t>
      </w:r>
    </w:p>
    <w:p>
      <w:pPr>
        <w:tabs>
          <w:tab w:pos="10073" w:val="left" w:leader="none"/>
        </w:tabs>
        <w:spacing w:before="0"/>
        <w:ind w:left="711" w:right="1096" w:firstLine="0"/>
        <w:jc w:val="left"/>
        <w:rPr>
          <w:i/>
          <w:sz w:val="28"/>
        </w:rPr>
      </w:pPr>
      <w:r>
        <w:rPr>
          <w:sz w:val="24"/>
        </w:rPr>
        <w:t>Paul, C. &amp; Anke, H. (2004). Public Debts and Private Assets: Explaining Capital</w:t>
      </w:r>
      <w:r>
        <w:rPr>
          <w:spacing w:val="80"/>
          <w:sz w:val="24"/>
        </w:rPr>
        <w:t> </w:t>
      </w:r>
      <w:r>
        <w:rPr>
          <w:sz w:val="24"/>
        </w:rPr>
        <w:t>Flight from</w:t>
        <w:tab/>
      </w:r>
      <w:r>
        <w:rPr>
          <w:spacing w:val="-4"/>
          <w:sz w:val="24"/>
        </w:rPr>
        <w:t>Sub- </w:t>
      </w:r>
      <w:r>
        <w:rPr>
          <w:sz w:val="24"/>
        </w:rPr>
        <w:t>Saharan African Countries. </w:t>
      </w:r>
      <w:r>
        <w:rPr>
          <w:i/>
          <w:sz w:val="24"/>
        </w:rPr>
        <w:t>World Development, Elsevier, </w:t>
      </w:r>
      <w:r>
        <w:rPr>
          <w:i/>
          <w:sz w:val="28"/>
        </w:rPr>
        <w:t>Vol. 31(1), </w:t>
      </w:r>
      <w:r>
        <w:rPr>
          <w:sz w:val="28"/>
        </w:rPr>
        <w:t>107-130</w:t>
      </w:r>
      <w:r>
        <w:rPr>
          <w:i/>
          <w:sz w:val="28"/>
        </w:rPr>
        <w:t>.</w:t>
      </w:r>
    </w:p>
    <w:p>
      <w:pPr>
        <w:spacing w:after="0"/>
        <w:jc w:val="left"/>
        <w:rPr>
          <w:sz w:val="28"/>
        </w:rPr>
        <w:sectPr>
          <w:pgSz w:w="11910" w:h="16840"/>
          <w:pgMar w:header="0" w:footer="979" w:top="1360" w:bottom="1240" w:left="280" w:right="0"/>
        </w:sectPr>
      </w:pPr>
    </w:p>
    <w:p>
      <w:pPr>
        <w:pStyle w:val="Heading1"/>
        <w:ind w:left="959"/>
      </w:pPr>
      <w:r>
        <w:rPr/>
        <w:t>CHAPTER</w:t>
      </w:r>
      <w:r>
        <w:rPr>
          <w:spacing w:val="-8"/>
        </w:rPr>
        <w:t> </w:t>
      </w:r>
      <w:r>
        <w:rPr>
          <w:spacing w:val="-5"/>
        </w:rPr>
        <w:t>SIX</w:t>
      </w:r>
    </w:p>
    <w:p>
      <w:pPr>
        <w:tabs>
          <w:tab w:pos="9353" w:val="left" w:leader="none"/>
        </w:tabs>
        <w:spacing w:before="320"/>
        <w:ind w:left="1431" w:right="0" w:firstLine="0"/>
        <w:jc w:val="left"/>
        <w:rPr>
          <w:b/>
          <w:sz w:val="24"/>
        </w:rPr>
      </w:pPr>
      <w:r>
        <w:rPr>
          <w:b/>
          <w:sz w:val="24"/>
        </w:rPr>
        <w:t>CONCLUSION,</w:t>
      </w:r>
      <w:r>
        <w:rPr>
          <w:b/>
          <w:spacing w:val="-1"/>
          <w:sz w:val="24"/>
        </w:rPr>
        <w:t> </w:t>
      </w:r>
      <w:r>
        <w:rPr>
          <w:b/>
          <w:sz w:val="24"/>
        </w:rPr>
        <w:t>RECOMMENDATIONS</w:t>
      </w:r>
      <w:r>
        <w:rPr>
          <w:b/>
          <w:spacing w:val="-1"/>
          <w:sz w:val="24"/>
        </w:rPr>
        <w:t> </w:t>
      </w:r>
      <w:r>
        <w:rPr>
          <w:b/>
          <w:sz w:val="24"/>
        </w:rPr>
        <w:t>AND CONTRIBUTIONS</w:t>
      </w:r>
      <w:r>
        <w:rPr>
          <w:b/>
          <w:spacing w:val="38"/>
          <w:sz w:val="24"/>
        </w:rPr>
        <w:t>  </w:t>
      </w:r>
      <w:r>
        <w:rPr>
          <w:b/>
          <w:spacing w:val="-5"/>
          <w:sz w:val="24"/>
        </w:rPr>
        <w:t>TO</w:t>
      </w:r>
      <w:r>
        <w:rPr>
          <w:b/>
          <w:sz w:val="24"/>
        </w:rPr>
        <w:tab/>
      </w:r>
      <w:r>
        <w:rPr>
          <w:b/>
          <w:spacing w:val="-2"/>
          <w:sz w:val="24"/>
        </w:rPr>
        <w:t>KNOWLEDGE</w:t>
      </w:r>
    </w:p>
    <w:p>
      <w:pPr>
        <w:pStyle w:val="Heading2"/>
        <w:numPr>
          <w:ilvl w:val="1"/>
          <w:numId w:val="31"/>
        </w:numPr>
        <w:tabs>
          <w:tab w:pos="1430" w:val="left" w:leader="none"/>
        </w:tabs>
        <w:spacing w:line="240" w:lineRule="auto" w:before="222" w:after="0"/>
        <w:ind w:left="1430" w:right="0" w:hanging="719"/>
        <w:jc w:val="both"/>
      </w:pPr>
      <w:bookmarkStart w:name="_TOC_250003" w:id="24"/>
      <w:bookmarkEnd w:id="24"/>
      <w:r>
        <w:rPr>
          <w:spacing w:val="-2"/>
        </w:rPr>
        <w:t>Conclusion</w:t>
      </w:r>
    </w:p>
    <w:p>
      <w:pPr>
        <w:pStyle w:val="BodyText"/>
        <w:spacing w:line="480" w:lineRule="auto" w:before="258"/>
        <w:ind w:left="711" w:right="468"/>
        <w:jc w:val="both"/>
      </w:pPr>
      <w:r>
        <w:rPr/>
        <w:t>Findings from the study show that major determinants of capital flight in Nigeria within the period under consideration are: political factors captured by debt volatility,</w:t>
      </w:r>
      <w:r>
        <w:rPr>
          <w:spacing w:val="40"/>
        </w:rPr>
        <w:t> </w:t>
      </w:r>
      <w:r>
        <w:rPr/>
        <w:t>(δEXDEBT), economic factors captured by: Degree of Openness(DOP), Inflation rate (INF) and Gross Capital Formation (GCF), institutional factors measured by Deposit rate (DR), and</w:t>
      </w:r>
      <w:r>
        <w:rPr>
          <w:spacing w:val="40"/>
        </w:rPr>
        <w:t> </w:t>
      </w:r>
      <w:r>
        <w:rPr/>
        <w:t>Credit to private sector (PRIVCR). However, political uncertainty measured by Change in External Debt (δEXDEBT) and Inflation rate (INF) contributed the most.</w:t>
      </w:r>
      <w:r>
        <w:rPr>
          <w:spacing w:val="40"/>
        </w:rPr>
        <w:t> </w:t>
      </w:r>
      <w:r>
        <w:rPr/>
        <w:t>Again, change in external debt (δEXDEBT) has negatively impact economic growth in the short run while Direct Foreign Investment (DFI), Change in Foreign Asset of Domestic Banking System (δNEXTAS) and Change in External Reserve (δRES) positively impact the economic growth. Based on findings, it was finally concluded that if appropriate and adequate measures are put in place to address and correct the various economic and political factors identified in the study, the incidence of capital flight could be reversed and </w:t>
      </w:r>
      <w:r>
        <w:rPr>
          <w:spacing w:val="-2"/>
        </w:rPr>
        <w:t>stemmed.</w:t>
      </w:r>
    </w:p>
    <w:p>
      <w:pPr>
        <w:pStyle w:val="Heading6"/>
        <w:numPr>
          <w:ilvl w:val="1"/>
          <w:numId w:val="31"/>
        </w:numPr>
        <w:tabs>
          <w:tab w:pos="1431" w:val="left" w:leader="none"/>
        </w:tabs>
        <w:spacing w:line="240" w:lineRule="auto" w:before="1" w:after="0"/>
        <w:ind w:left="1431" w:right="0" w:hanging="720"/>
        <w:jc w:val="both"/>
      </w:pPr>
      <w:bookmarkStart w:name="_TOC_250002" w:id="25"/>
      <w:bookmarkEnd w:id="25"/>
      <w:r>
        <w:rPr>
          <w:spacing w:val="-2"/>
        </w:rPr>
        <w:t>Recommendations</w:t>
      </w:r>
    </w:p>
    <w:p>
      <w:pPr>
        <w:pStyle w:val="BodyText"/>
        <w:rPr>
          <w:b/>
        </w:rPr>
      </w:pPr>
    </w:p>
    <w:p>
      <w:pPr>
        <w:pStyle w:val="BodyText"/>
        <w:ind w:left="711"/>
        <w:jc w:val="both"/>
      </w:pPr>
      <w:r>
        <w:rPr/>
        <w:t>Based</w:t>
      </w:r>
      <w:r>
        <w:rPr>
          <w:spacing w:val="-3"/>
        </w:rPr>
        <w:t> </w:t>
      </w:r>
      <w:r>
        <w:rPr/>
        <w:t>on</w:t>
      </w:r>
      <w:r>
        <w:rPr>
          <w:spacing w:val="1"/>
        </w:rPr>
        <w:t> </w:t>
      </w:r>
      <w:r>
        <w:rPr/>
        <w:t>findings</w:t>
      </w:r>
      <w:r>
        <w:rPr>
          <w:spacing w:val="2"/>
        </w:rPr>
        <w:t> </w:t>
      </w:r>
      <w:r>
        <w:rPr/>
        <w:t>from the study</w:t>
      </w:r>
      <w:r>
        <w:rPr>
          <w:spacing w:val="-3"/>
        </w:rPr>
        <w:t> </w:t>
      </w:r>
      <w:r>
        <w:rPr/>
        <w:t>and</w:t>
      </w:r>
      <w:r>
        <w:rPr>
          <w:spacing w:val="-1"/>
        </w:rPr>
        <w:t> </w:t>
      </w:r>
      <w:r>
        <w:rPr/>
        <w:t>their</w:t>
      </w:r>
      <w:r>
        <w:rPr>
          <w:spacing w:val="-1"/>
        </w:rPr>
        <w:t> </w:t>
      </w:r>
      <w:r>
        <w:rPr/>
        <w:t>discussion,</w:t>
      </w:r>
      <w:r>
        <w:rPr>
          <w:spacing w:val="-1"/>
        </w:rPr>
        <w:t> </w:t>
      </w:r>
      <w:r>
        <w:rPr/>
        <w:t>the following</w:t>
      </w:r>
      <w:r>
        <w:rPr>
          <w:spacing w:val="-3"/>
        </w:rPr>
        <w:t> </w:t>
      </w:r>
      <w:r>
        <w:rPr/>
        <w:t>were </w:t>
      </w:r>
      <w:r>
        <w:rPr>
          <w:spacing w:val="-2"/>
        </w:rPr>
        <w:t>recommended:</w:t>
      </w:r>
    </w:p>
    <w:p>
      <w:pPr>
        <w:pStyle w:val="BodyText"/>
      </w:pPr>
    </w:p>
    <w:p>
      <w:pPr>
        <w:pStyle w:val="ListParagraph"/>
        <w:numPr>
          <w:ilvl w:val="0"/>
          <w:numId w:val="32"/>
        </w:numPr>
        <w:tabs>
          <w:tab w:pos="972" w:val="left" w:leader="none"/>
        </w:tabs>
        <w:spacing w:line="477" w:lineRule="auto" w:before="0" w:after="0"/>
        <w:ind w:left="711" w:right="470" w:firstLine="0"/>
        <w:jc w:val="left"/>
        <w:rPr>
          <w:sz w:val="24"/>
        </w:rPr>
      </w:pPr>
      <w:r>
        <w:rPr>
          <w:sz w:val="24"/>
        </w:rPr>
        <w:t>There</w:t>
      </w:r>
      <w:r>
        <w:rPr>
          <w:spacing w:val="18"/>
          <w:sz w:val="24"/>
        </w:rPr>
        <w:t> </w:t>
      </w:r>
      <w:r>
        <w:rPr>
          <w:sz w:val="24"/>
        </w:rPr>
        <w:t>should</w:t>
      </w:r>
      <w:r>
        <w:rPr>
          <w:spacing w:val="19"/>
          <w:sz w:val="24"/>
        </w:rPr>
        <w:t> </w:t>
      </w:r>
      <w:r>
        <w:rPr>
          <w:sz w:val="24"/>
        </w:rPr>
        <w:t>be</w:t>
      </w:r>
      <w:r>
        <w:rPr>
          <w:spacing w:val="18"/>
          <w:sz w:val="24"/>
        </w:rPr>
        <w:t> </w:t>
      </w:r>
      <w:r>
        <w:rPr>
          <w:sz w:val="24"/>
        </w:rPr>
        <w:t>a</w:t>
      </w:r>
      <w:r>
        <w:rPr>
          <w:spacing w:val="19"/>
          <w:sz w:val="24"/>
        </w:rPr>
        <w:t> </w:t>
      </w:r>
      <w:r>
        <w:rPr>
          <w:sz w:val="24"/>
        </w:rPr>
        <w:t>change</w:t>
      </w:r>
      <w:r>
        <w:rPr>
          <w:spacing w:val="19"/>
          <w:sz w:val="24"/>
        </w:rPr>
        <w:t> </w:t>
      </w:r>
      <w:r>
        <w:rPr>
          <w:sz w:val="24"/>
        </w:rPr>
        <w:t>of</w:t>
      </w:r>
      <w:r>
        <w:rPr>
          <w:spacing w:val="18"/>
          <w:sz w:val="24"/>
        </w:rPr>
        <w:t> </w:t>
      </w:r>
      <w:r>
        <w:rPr>
          <w:sz w:val="24"/>
        </w:rPr>
        <w:t>attitude</w:t>
      </w:r>
      <w:r>
        <w:rPr>
          <w:spacing w:val="18"/>
          <w:sz w:val="24"/>
        </w:rPr>
        <w:t> </w:t>
      </w:r>
      <w:r>
        <w:rPr>
          <w:sz w:val="24"/>
        </w:rPr>
        <w:t>on</w:t>
      </w:r>
      <w:r>
        <w:rPr>
          <w:spacing w:val="19"/>
          <w:sz w:val="24"/>
        </w:rPr>
        <w:t> </w:t>
      </w:r>
      <w:r>
        <w:rPr>
          <w:sz w:val="24"/>
        </w:rPr>
        <w:t>the</w:t>
      </w:r>
      <w:r>
        <w:rPr>
          <w:spacing w:val="18"/>
          <w:sz w:val="24"/>
        </w:rPr>
        <w:t> </w:t>
      </w:r>
      <w:r>
        <w:rPr>
          <w:sz w:val="24"/>
        </w:rPr>
        <w:t>part</w:t>
      </w:r>
      <w:r>
        <w:rPr>
          <w:spacing w:val="19"/>
          <w:sz w:val="24"/>
        </w:rPr>
        <w:t> </w:t>
      </w:r>
      <w:r>
        <w:rPr>
          <w:sz w:val="24"/>
        </w:rPr>
        <w:t>of</w:t>
      </w:r>
      <w:r>
        <w:rPr>
          <w:spacing w:val="18"/>
          <w:sz w:val="24"/>
        </w:rPr>
        <w:t> </w:t>
      </w:r>
      <w:r>
        <w:rPr>
          <w:sz w:val="24"/>
        </w:rPr>
        <w:t>public</w:t>
      </w:r>
      <w:r>
        <w:rPr>
          <w:spacing w:val="18"/>
          <w:sz w:val="24"/>
        </w:rPr>
        <w:t> </w:t>
      </w:r>
      <w:r>
        <w:rPr>
          <w:sz w:val="24"/>
        </w:rPr>
        <w:t>office</w:t>
      </w:r>
      <w:r>
        <w:rPr>
          <w:spacing w:val="17"/>
          <w:sz w:val="24"/>
        </w:rPr>
        <w:t> </w:t>
      </w:r>
      <w:r>
        <w:rPr>
          <w:sz w:val="24"/>
        </w:rPr>
        <w:t>holders</w:t>
      </w:r>
      <w:r>
        <w:rPr>
          <w:spacing w:val="23"/>
          <w:sz w:val="24"/>
        </w:rPr>
        <w:t> </w:t>
      </w:r>
      <w:r>
        <w:rPr>
          <w:sz w:val="24"/>
        </w:rPr>
        <w:t>who</w:t>
      </w:r>
      <w:r>
        <w:rPr>
          <w:spacing w:val="19"/>
          <w:sz w:val="24"/>
        </w:rPr>
        <w:t> </w:t>
      </w:r>
      <w:r>
        <w:rPr>
          <w:sz w:val="24"/>
        </w:rPr>
        <w:t>divert</w:t>
      </w:r>
      <w:r>
        <w:rPr>
          <w:spacing w:val="19"/>
          <w:sz w:val="24"/>
        </w:rPr>
        <w:t> </w:t>
      </w:r>
      <w:r>
        <w:rPr>
          <w:sz w:val="24"/>
        </w:rPr>
        <w:t>economic</w:t>
      </w:r>
      <w:r>
        <w:rPr>
          <w:spacing w:val="18"/>
          <w:sz w:val="24"/>
        </w:rPr>
        <w:t> </w:t>
      </w:r>
      <w:r>
        <w:rPr>
          <w:sz w:val="24"/>
        </w:rPr>
        <w:t>funds</w:t>
      </w:r>
      <w:r>
        <w:rPr>
          <w:spacing w:val="18"/>
          <w:sz w:val="24"/>
        </w:rPr>
        <w:t> </w:t>
      </w:r>
      <w:r>
        <w:rPr>
          <w:sz w:val="24"/>
        </w:rPr>
        <w:t>to personal accounts abroad.</w:t>
      </w:r>
    </w:p>
    <w:p>
      <w:pPr>
        <w:pStyle w:val="ListParagraph"/>
        <w:numPr>
          <w:ilvl w:val="0"/>
          <w:numId w:val="32"/>
        </w:numPr>
        <w:tabs>
          <w:tab w:pos="965" w:val="left" w:leader="none"/>
          <w:tab w:pos="5032" w:val="left" w:leader="none"/>
        </w:tabs>
        <w:spacing w:line="480" w:lineRule="auto" w:before="4" w:after="0"/>
        <w:ind w:left="711" w:right="472" w:firstLine="0"/>
        <w:jc w:val="left"/>
        <w:rPr>
          <w:sz w:val="24"/>
        </w:rPr>
      </w:pPr>
      <w:r>
        <w:rPr>
          <w:sz w:val="24"/>
        </w:rPr>
        <w:t>Government should provide enabling institutions for domestic business and foreign investors in order to halt the massive capital outflow and attract</w:t>
        <w:tab/>
      </w:r>
      <w:r>
        <w:rPr>
          <w:spacing w:val="-2"/>
          <w:sz w:val="24"/>
        </w:rPr>
        <w:t>investment.</w:t>
      </w:r>
    </w:p>
    <w:p>
      <w:pPr>
        <w:pStyle w:val="ListParagraph"/>
        <w:numPr>
          <w:ilvl w:val="0"/>
          <w:numId w:val="32"/>
        </w:numPr>
        <w:tabs>
          <w:tab w:pos="998" w:val="left" w:leader="none"/>
        </w:tabs>
        <w:spacing w:line="480" w:lineRule="auto" w:before="0" w:after="0"/>
        <w:ind w:left="711" w:right="475" w:firstLine="0"/>
        <w:jc w:val="left"/>
        <w:rPr>
          <w:sz w:val="24"/>
        </w:rPr>
      </w:pPr>
      <w:r>
        <w:rPr>
          <w:sz w:val="24"/>
        </w:rPr>
        <w:t>The</w:t>
      </w:r>
      <w:r>
        <w:rPr>
          <w:spacing w:val="40"/>
          <w:sz w:val="24"/>
        </w:rPr>
        <w:t> </w:t>
      </w:r>
      <w:r>
        <w:rPr>
          <w:sz w:val="24"/>
        </w:rPr>
        <w:t>monetary</w:t>
      </w:r>
      <w:r>
        <w:rPr>
          <w:spacing w:val="40"/>
          <w:sz w:val="24"/>
        </w:rPr>
        <w:t> </w:t>
      </w:r>
      <w:r>
        <w:rPr>
          <w:sz w:val="24"/>
        </w:rPr>
        <w:t>policies</w:t>
      </w:r>
      <w:r>
        <w:rPr>
          <w:spacing w:val="40"/>
          <w:sz w:val="24"/>
        </w:rPr>
        <w:t> </w:t>
      </w:r>
      <w:r>
        <w:rPr>
          <w:sz w:val="24"/>
        </w:rPr>
        <w:t>of</w:t>
      </w:r>
      <w:r>
        <w:rPr>
          <w:spacing w:val="40"/>
          <w:sz w:val="24"/>
        </w:rPr>
        <w:t> </w:t>
      </w:r>
      <w:r>
        <w:rPr>
          <w:sz w:val="24"/>
        </w:rPr>
        <w:t>the</w:t>
      </w:r>
      <w:r>
        <w:rPr>
          <w:spacing w:val="40"/>
          <w:sz w:val="24"/>
        </w:rPr>
        <w:t> </w:t>
      </w:r>
      <w:r>
        <w:rPr>
          <w:sz w:val="24"/>
        </w:rPr>
        <w:t>government</w:t>
      </w:r>
      <w:r>
        <w:rPr>
          <w:spacing w:val="40"/>
          <w:sz w:val="24"/>
        </w:rPr>
        <w:t> </w:t>
      </w:r>
      <w:r>
        <w:rPr>
          <w:sz w:val="24"/>
        </w:rPr>
        <w:t>should</w:t>
      </w:r>
      <w:r>
        <w:rPr>
          <w:spacing w:val="40"/>
          <w:sz w:val="24"/>
        </w:rPr>
        <w:t> </w:t>
      </w:r>
      <w:r>
        <w:rPr>
          <w:sz w:val="24"/>
        </w:rPr>
        <w:t>be</w:t>
      </w:r>
      <w:r>
        <w:rPr>
          <w:spacing w:val="40"/>
          <w:sz w:val="24"/>
        </w:rPr>
        <w:t> </w:t>
      </w:r>
      <w:r>
        <w:rPr>
          <w:sz w:val="24"/>
        </w:rPr>
        <w:t>well</w:t>
      </w:r>
      <w:r>
        <w:rPr>
          <w:spacing w:val="40"/>
          <w:sz w:val="24"/>
        </w:rPr>
        <w:t> </w:t>
      </w:r>
      <w:r>
        <w:rPr>
          <w:sz w:val="24"/>
        </w:rPr>
        <w:t>implemented</w:t>
      </w:r>
      <w:r>
        <w:rPr>
          <w:spacing w:val="40"/>
          <w:sz w:val="24"/>
        </w:rPr>
        <w:t> </w:t>
      </w:r>
      <w:r>
        <w:rPr>
          <w:sz w:val="24"/>
        </w:rPr>
        <w:t>to</w:t>
      </w:r>
      <w:r>
        <w:rPr>
          <w:spacing w:val="40"/>
          <w:sz w:val="24"/>
        </w:rPr>
        <w:t> </w:t>
      </w:r>
      <w:r>
        <w:rPr>
          <w:sz w:val="24"/>
        </w:rPr>
        <w:t>moderate</w:t>
      </w:r>
      <w:r>
        <w:rPr>
          <w:spacing w:val="40"/>
          <w:sz w:val="24"/>
        </w:rPr>
        <w:t> </w:t>
      </w:r>
      <w:r>
        <w:rPr>
          <w:sz w:val="24"/>
        </w:rPr>
        <w:t>inflation</w:t>
      </w:r>
      <w:r>
        <w:rPr>
          <w:spacing w:val="40"/>
          <w:sz w:val="24"/>
        </w:rPr>
        <w:t> </w:t>
      </w:r>
      <w:r>
        <w:rPr>
          <w:sz w:val="24"/>
        </w:rPr>
        <w:t>rate</w:t>
      </w:r>
      <w:r>
        <w:rPr>
          <w:spacing w:val="40"/>
          <w:sz w:val="24"/>
        </w:rPr>
        <w:t> </w:t>
      </w:r>
      <w:r>
        <w:rPr>
          <w:sz w:val="24"/>
        </w:rPr>
        <w:t>in </w:t>
      </w:r>
      <w:r>
        <w:rPr>
          <w:spacing w:val="-2"/>
          <w:sz w:val="24"/>
        </w:rPr>
        <w:t>Nigeria.</w:t>
      </w:r>
    </w:p>
    <w:p>
      <w:pPr>
        <w:pStyle w:val="ListParagraph"/>
        <w:numPr>
          <w:ilvl w:val="0"/>
          <w:numId w:val="32"/>
        </w:numPr>
        <w:tabs>
          <w:tab w:pos="1431" w:val="left" w:leader="none"/>
          <w:tab w:pos="9353" w:val="left" w:leader="none"/>
          <w:tab w:pos="10440" w:val="left" w:leader="none"/>
          <w:tab w:pos="10965" w:val="left" w:leader="none"/>
        </w:tabs>
        <w:spacing w:line="480" w:lineRule="auto" w:before="0" w:after="0"/>
        <w:ind w:left="711" w:right="471" w:firstLine="0"/>
        <w:jc w:val="left"/>
        <w:rPr>
          <w:sz w:val="24"/>
        </w:rPr>
      </w:pPr>
      <w:r>
        <w:rPr>
          <w:sz w:val="24"/>
        </w:rPr>
        <w:t>Funds from foreign sources in form of loans, gifts, or aid should be put into</w:t>
        <w:tab/>
      </w:r>
      <w:r>
        <w:rPr>
          <w:spacing w:val="-2"/>
          <w:sz w:val="24"/>
        </w:rPr>
        <w:t>judicious</w:t>
      </w:r>
      <w:r>
        <w:rPr>
          <w:sz w:val="24"/>
        </w:rPr>
        <w:tab/>
      </w:r>
      <w:r>
        <w:rPr>
          <w:spacing w:val="-4"/>
          <w:sz w:val="24"/>
        </w:rPr>
        <w:t>use</w:t>
      </w:r>
      <w:r>
        <w:rPr>
          <w:sz w:val="24"/>
        </w:rPr>
        <w:tab/>
      </w:r>
      <w:r>
        <w:rPr>
          <w:spacing w:val="-6"/>
          <w:sz w:val="24"/>
        </w:rPr>
        <w:t>in </w:t>
      </w:r>
      <w:r>
        <w:rPr>
          <w:sz w:val="24"/>
        </w:rPr>
        <w:t>order boost and improve the level of Nigeria economy growth.</w:t>
      </w:r>
    </w:p>
    <w:p>
      <w:pPr>
        <w:pStyle w:val="ListParagraph"/>
        <w:numPr>
          <w:ilvl w:val="0"/>
          <w:numId w:val="32"/>
        </w:numPr>
        <w:tabs>
          <w:tab w:pos="1431" w:val="left" w:leader="none"/>
          <w:tab w:pos="10696" w:val="left" w:leader="none"/>
        </w:tabs>
        <w:spacing w:line="240" w:lineRule="auto" w:before="0" w:after="0"/>
        <w:ind w:left="1431" w:right="0" w:hanging="720"/>
        <w:jc w:val="left"/>
        <w:rPr>
          <w:sz w:val="24"/>
        </w:rPr>
      </w:pPr>
      <w:r>
        <w:rPr>
          <w:sz w:val="24"/>
        </w:rPr>
        <w:t>Proceeds</w:t>
      </w:r>
      <w:r>
        <w:rPr>
          <w:spacing w:val="-3"/>
          <w:sz w:val="24"/>
        </w:rPr>
        <w:t> </w:t>
      </w:r>
      <w:r>
        <w:rPr>
          <w:sz w:val="24"/>
        </w:rPr>
        <w:t>recover</w:t>
      </w:r>
      <w:r>
        <w:rPr>
          <w:spacing w:val="-1"/>
          <w:sz w:val="24"/>
        </w:rPr>
        <w:t> </w:t>
      </w:r>
      <w:r>
        <w:rPr>
          <w:sz w:val="24"/>
        </w:rPr>
        <w:t>from corrupt officials</w:t>
      </w:r>
      <w:r>
        <w:rPr>
          <w:spacing w:val="-1"/>
          <w:sz w:val="24"/>
        </w:rPr>
        <w:t> </w:t>
      </w:r>
      <w:r>
        <w:rPr>
          <w:sz w:val="24"/>
        </w:rPr>
        <w:t>(within</w:t>
      </w:r>
      <w:r>
        <w:rPr>
          <w:spacing w:val="-1"/>
          <w:sz w:val="24"/>
        </w:rPr>
        <w:t> </w:t>
      </w:r>
      <w:r>
        <w:rPr>
          <w:sz w:val="24"/>
        </w:rPr>
        <w:t>or</w:t>
      </w:r>
      <w:r>
        <w:rPr>
          <w:spacing w:val="-1"/>
          <w:sz w:val="24"/>
        </w:rPr>
        <w:t> </w:t>
      </w:r>
      <w:r>
        <w:rPr>
          <w:sz w:val="24"/>
        </w:rPr>
        <w:t>outside</w:t>
      </w:r>
      <w:r>
        <w:rPr>
          <w:spacing w:val="-1"/>
          <w:sz w:val="24"/>
        </w:rPr>
        <w:t> </w:t>
      </w:r>
      <w:r>
        <w:rPr>
          <w:sz w:val="24"/>
        </w:rPr>
        <w:t>the</w:t>
      </w:r>
      <w:r>
        <w:rPr>
          <w:spacing w:val="-1"/>
          <w:sz w:val="24"/>
        </w:rPr>
        <w:t> </w:t>
      </w:r>
      <w:r>
        <w:rPr>
          <w:sz w:val="24"/>
        </w:rPr>
        <w:t>country)</w:t>
      </w:r>
      <w:r>
        <w:rPr>
          <w:spacing w:val="-1"/>
          <w:sz w:val="24"/>
        </w:rPr>
        <w:t> </w:t>
      </w:r>
      <w:r>
        <w:rPr>
          <w:sz w:val="24"/>
        </w:rPr>
        <w:t>should be</w:t>
      </w:r>
      <w:r>
        <w:rPr>
          <w:spacing w:val="80"/>
          <w:w w:val="150"/>
          <w:sz w:val="24"/>
        </w:rPr>
        <w:t> </w:t>
      </w:r>
      <w:r>
        <w:rPr>
          <w:spacing w:val="-2"/>
          <w:sz w:val="24"/>
        </w:rPr>
        <w:t>ploughed</w:t>
      </w:r>
      <w:r>
        <w:rPr>
          <w:sz w:val="24"/>
        </w:rPr>
        <w:tab/>
      </w:r>
      <w:r>
        <w:rPr>
          <w:spacing w:val="-4"/>
          <w:sz w:val="24"/>
        </w:rPr>
        <w:t>back</w:t>
      </w:r>
    </w:p>
    <w:p>
      <w:pPr>
        <w:pStyle w:val="BodyText"/>
      </w:pPr>
    </w:p>
    <w:p>
      <w:pPr>
        <w:pStyle w:val="BodyText"/>
        <w:ind w:left="711"/>
        <w:jc w:val="both"/>
      </w:pPr>
      <w:r>
        <w:rPr/>
        <w:t>into the</w:t>
      </w:r>
      <w:r>
        <w:rPr>
          <w:spacing w:val="-1"/>
        </w:rPr>
        <w:t> </w:t>
      </w:r>
      <w:r>
        <w:rPr>
          <w:spacing w:val="-2"/>
        </w:rPr>
        <w:t>economy.</w:t>
      </w:r>
    </w:p>
    <w:p>
      <w:pPr>
        <w:spacing w:after="0"/>
        <w:jc w:val="both"/>
        <w:sectPr>
          <w:pgSz w:w="11910" w:h="16840"/>
          <w:pgMar w:header="0" w:footer="979" w:top="1360" w:bottom="1160" w:left="280" w:right="0"/>
        </w:sectPr>
      </w:pPr>
    </w:p>
    <w:p>
      <w:pPr>
        <w:pStyle w:val="ListParagraph"/>
        <w:numPr>
          <w:ilvl w:val="0"/>
          <w:numId w:val="32"/>
        </w:numPr>
        <w:tabs>
          <w:tab w:pos="1431" w:val="left" w:leader="none"/>
          <w:tab w:pos="6472" w:val="left" w:leader="none"/>
          <w:tab w:pos="7192" w:val="left" w:leader="none"/>
          <w:tab w:pos="10073" w:val="left" w:leader="none"/>
        </w:tabs>
        <w:spacing w:line="480" w:lineRule="auto" w:before="60" w:after="0"/>
        <w:ind w:left="711" w:right="1167" w:firstLine="0"/>
        <w:jc w:val="left"/>
        <w:rPr>
          <w:sz w:val="24"/>
        </w:rPr>
      </w:pPr>
      <w:r>
        <w:rPr>
          <w:sz w:val="24"/>
        </w:rPr>
        <w:t>Government should strengthening all anti-corruption institutions and agencies, such as</w:t>
        <w:tab/>
      </w:r>
      <w:r>
        <w:rPr>
          <w:spacing w:val="-4"/>
          <w:sz w:val="24"/>
        </w:rPr>
        <w:t>the </w:t>
      </w:r>
      <w:r>
        <w:rPr>
          <w:sz w:val="24"/>
        </w:rPr>
        <w:t>Economic and Financial Crimes Commission and the</w:t>
        <w:tab/>
        <w:t>Independent</w:t>
      </w:r>
      <w:r>
        <w:rPr>
          <w:spacing w:val="-7"/>
          <w:sz w:val="24"/>
        </w:rPr>
        <w:t> </w:t>
      </w:r>
      <w:r>
        <w:rPr>
          <w:sz w:val="24"/>
        </w:rPr>
        <w:t>Corrupt</w:t>
      </w:r>
      <w:r>
        <w:rPr>
          <w:spacing w:val="80"/>
          <w:sz w:val="24"/>
        </w:rPr>
        <w:t> </w:t>
      </w:r>
      <w:r>
        <w:rPr>
          <w:sz w:val="24"/>
        </w:rPr>
        <w:t>Practices</w:t>
      </w:r>
      <w:r>
        <w:rPr>
          <w:spacing w:val="-7"/>
          <w:sz w:val="24"/>
        </w:rPr>
        <w:t> </w:t>
      </w:r>
      <w:r>
        <w:rPr>
          <w:sz w:val="24"/>
        </w:rPr>
        <w:t>and</w:t>
      </w:r>
      <w:r>
        <w:rPr>
          <w:spacing w:val="-7"/>
          <w:sz w:val="24"/>
        </w:rPr>
        <w:t> </w:t>
      </w:r>
      <w:r>
        <w:rPr>
          <w:sz w:val="24"/>
        </w:rPr>
        <w:t>other Related Offences Commission and makes them more effective in</w:t>
        <w:tab/>
        <w:t>checking corruption.</w:t>
      </w:r>
    </w:p>
    <w:p>
      <w:pPr>
        <w:pStyle w:val="ListParagraph"/>
        <w:numPr>
          <w:ilvl w:val="0"/>
          <w:numId w:val="32"/>
        </w:numPr>
        <w:tabs>
          <w:tab w:pos="1431" w:val="left" w:leader="none"/>
          <w:tab w:pos="10073" w:val="left" w:leader="none"/>
          <w:tab w:pos="10552" w:val="left" w:leader="none"/>
        </w:tabs>
        <w:spacing w:line="480" w:lineRule="auto" w:before="1" w:after="0"/>
        <w:ind w:left="711" w:right="470" w:firstLine="0"/>
        <w:jc w:val="left"/>
        <w:rPr>
          <w:sz w:val="24"/>
        </w:rPr>
      </w:pPr>
      <w:r>
        <w:rPr>
          <w:sz w:val="24"/>
        </w:rPr>
        <w:t>The Nigerian political class and public holders must be more transparent and be opened</w:t>
        <w:tab/>
      </w:r>
      <w:r>
        <w:rPr>
          <w:spacing w:val="-6"/>
          <w:sz w:val="24"/>
        </w:rPr>
        <w:t>to</w:t>
      </w:r>
      <w:r>
        <w:rPr>
          <w:sz w:val="24"/>
        </w:rPr>
        <w:tab/>
      </w:r>
      <w:r>
        <w:rPr>
          <w:spacing w:val="-2"/>
          <w:sz w:val="24"/>
        </w:rPr>
        <w:t>public scrutiny.</w:t>
      </w:r>
    </w:p>
    <w:p>
      <w:pPr>
        <w:pStyle w:val="ListParagraph"/>
        <w:numPr>
          <w:ilvl w:val="0"/>
          <w:numId w:val="32"/>
        </w:numPr>
        <w:tabs>
          <w:tab w:pos="1431" w:val="left" w:leader="none"/>
        </w:tabs>
        <w:spacing w:line="240" w:lineRule="auto" w:before="0" w:after="0"/>
        <w:ind w:left="1431" w:right="0" w:hanging="720"/>
        <w:jc w:val="left"/>
        <w:rPr>
          <w:sz w:val="24"/>
        </w:rPr>
      </w:pPr>
      <w:r>
        <w:rPr>
          <w:sz w:val="24"/>
        </w:rPr>
        <w:t>Adequate</w:t>
      </w:r>
      <w:r>
        <w:rPr>
          <w:spacing w:val="-1"/>
          <w:sz w:val="24"/>
        </w:rPr>
        <w:t> </w:t>
      </w:r>
      <w:r>
        <w:rPr>
          <w:sz w:val="24"/>
        </w:rPr>
        <w:t>legal framework to fight and curb financial</w:t>
      </w:r>
      <w:r>
        <w:rPr>
          <w:spacing w:val="-1"/>
          <w:sz w:val="24"/>
        </w:rPr>
        <w:t> </w:t>
      </w:r>
      <w:r>
        <w:rPr>
          <w:sz w:val="24"/>
        </w:rPr>
        <w:t>crime</w:t>
      </w:r>
      <w:r>
        <w:rPr>
          <w:spacing w:val="-1"/>
          <w:sz w:val="24"/>
        </w:rPr>
        <w:t> </w:t>
      </w:r>
      <w:r>
        <w:rPr>
          <w:sz w:val="24"/>
        </w:rPr>
        <w:t>without delay</w:t>
      </w:r>
      <w:r>
        <w:rPr>
          <w:spacing w:val="-5"/>
          <w:sz w:val="24"/>
        </w:rPr>
        <w:t> </w:t>
      </w:r>
      <w:r>
        <w:rPr>
          <w:sz w:val="24"/>
        </w:rPr>
        <w:t>should be put in </w:t>
      </w:r>
      <w:r>
        <w:rPr>
          <w:spacing w:val="-2"/>
          <w:sz w:val="24"/>
        </w:rPr>
        <w:t>place.</w:t>
      </w:r>
    </w:p>
    <w:p>
      <w:pPr>
        <w:pStyle w:val="BodyText"/>
      </w:pPr>
    </w:p>
    <w:p>
      <w:pPr>
        <w:pStyle w:val="ListParagraph"/>
        <w:numPr>
          <w:ilvl w:val="0"/>
          <w:numId w:val="32"/>
        </w:numPr>
        <w:tabs>
          <w:tab w:pos="1431" w:val="left" w:leader="none"/>
          <w:tab w:pos="1463" w:val="left" w:leader="none"/>
        </w:tabs>
        <w:spacing w:line="480" w:lineRule="auto" w:before="0" w:after="0"/>
        <w:ind w:left="1431" w:right="476" w:hanging="721"/>
        <w:jc w:val="left"/>
        <w:rPr>
          <w:sz w:val="24"/>
        </w:rPr>
      </w:pPr>
      <w:r>
        <w:rPr>
          <w:sz w:val="24"/>
        </w:rPr>
        <w:tab/>
        <w:t>The</w:t>
      </w:r>
      <w:r>
        <w:rPr>
          <w:spacing w:val="30"/>
          <w:sz w:val="24"/>
        </w:rPr>
        <w:t> </w:t>
      </w:r>
      <w:r>
        <w:rPr>
          <w:sz w:val="24"/>
        </w:rPr>
        <w:t>Pre</w:t>
      </w:r>
      <w:r>
        <w:rPr>
          <w:spacing w:val="30"/>
          <w:sz w:val="24"/>
        </w:rPr>
        <w:t> </w:t>
      </w:r>
      <w:r>
        <w:rPr>
          <w:sz w:val="24"/>
        </w:rPr>
        <w:t>and</w:t>
      </w:r>
      <w:r>
        <w:rPr>
          <w:spacing w:val="31"/>
          <w:sz w:val="24"/>
        </w:rPr>
        <w:t> </w:t>
      </w:r>
      <w:r>
        <w:rPr>
          <w:sz w:val="24"/>
        </w:rPr>
        <w:t>Post-SAP</w:t>
      </w:r>
      <w:r>
        <w:rPr>
          <w:spacing w:val="32"/>
          <w:sz w:val="24"/>
        </w:rPr>
        <w:t> </w:t>
      </w:r>
      <w:r>
        <w:rPr>
          <w:sz w:val="24"/>
        </w:rPr>
        <w:t>analyses</w:t>
      </w:r>
      <w:r>
        <w:rPr>
          <w:spacing w:val="32"/>
          <w:sz w:val="24"/>
        </w:rPr>
        <w:t> </w:t>
      </w:r>
      <w:r>
        <w:rPr>
          <w:sz w:val="24"/>
        </w:rPr>
        <w:t>show</w:t>
      </w:r>
      <w:r>
        <w:rPr>
          <w:spacing w:val="31"/>
          <w:sz w:val="24"/>
        </w:rPr>
        <w:t> </w:t>
      </w:r>
      <w:r>
        <w:rPr>
          <w:sz w:val="24"/>
        </w:rPr>
        <w:t>that</w:t>
      </w:r>
      <w:r>
        <w:rPr>
          <w:spacing w:val="31"/>
          <w:sz w:val="24"/>
        </w:rPr>
        <w:t> </w:t>
      </w:r>
      <w:r>
        <w:rPr>
          <w:sz w:val="24"/>
        </w:rPr>
        <w:t>government</w:t>
      </w:r>
      <w:r>
        <w:rPr>
          <w:spacing w:val="32"/>
          <w:sz w:val="24"/>
        </w:rPr>
        <w:t> </w:t>
      </w:r>
      <w:r>
        <w:rPr>
          <w:sz w:val="24"/>
        </w:rPr>
        <w:t>should</w:t>
      </w:r>
      <w:r>
        <w:rPr>
          <w:spacing w:val="35"/>
          <w:sz w:val="24"/>
        </w:rPr>
        <w:t> </w:t>
      </w:r>
      <w:r>
        <w:rPr>
          <w:sz w:val="24"/>
        </w:rPr>
        <w:t>the</w:t>
      </w:r>
      <w:r>
        <w:rPr>
          <w:spacing w:val="30"/>
          <w:sz w:val="24"/>
        </w:rPr>
        <w:t> </w:t>
      </w:r>
      <w:r>
        <w:rPr>
          <w:sz w:val="24"/>
        </w:rPr>
        <w:t>government</w:t>
      </w:r>
      <w:r>
        <w:rPr>
          <w:spacing w:val="32"/>
          <w:sz w:val="24"/>
        </w:rPr>
        <w:t> </w:t>
      </w:r>
      <w:r>
        <w:rPr>
          <w:sz w:val="24"/>
        </w:rPr>
        <w:t>should</w:t>
      </w:r>
      <w:r>
        <w:rPr>
          <w:spacing w:val="31"/>
          <w:sz w:val="24"/>
        </w:rPr>
        <w:t> </w:t>
      </w:r>
      <w:r>
        <w:rPr>
          <w:sz w:val="24"/>
        </w:rPr>
        <w:t>implement policies that are well thought out and suitable for the Nigerian environment.</w:t>
      </w:r>
    </w:p>
    <w:p>
      <w:pPr>
        <w:pStyle w:val="ListParagraph"/>
        <w:numPr>
          <w:ilvl w:val="0"/>
          <w:numId w:val="32"/>
        </w:numPr>
        <w:tabs>
          <w:tab w:pos="1431" w:val="left" w:leader="none"/>
          <w:tab w:pos="8633" w:val="left" w:leader="none"/>
          <w:tab w:pos="10073" w:val="left" w:leader="none"/>
        </w:tabs>
        <w:spacing w:line="480" w:lineRule="auto" w:before="1" w:after="0"/>
        <w:ind w:left="711" w:right="735" w:firstLine="0"/>
        <w:jc w:val="left"/>
        <w:rPr>
          <w:sz w:val="24"/>
        </w:rPr>
      </w:pPr>
      <w:r>
        <w:rPr>
          <w:sz w:val="24"/>
        </w:rPr>
        <w:t>Finally, all the main factors identified in this study to induce capital flight</w:t>
      </w:r>
      <w:r>
        <w:rPr>
          <w:spacing w:val="40"/>
          <w:sz w:val="24"/>
        </w:rPr>
        <w:t> </w:t>
      </w:r>
      <w:r>
        <w:rPr>
          <w:sz w:val="24"/>
        </w:rPr>
        <w:t>should be</w:t>
        <w:tab/>
      </w:r>
      <w:r>
        <w:rPr>
          <w:spacing w:val="-2"/>
          <w:sz w:val="24"/>
        </w:rPr>
        <w:t>properly </w:t>
      </w:r>
      <w:r>
        <w:rPr>
          <w:sz w:val="24"/>
        </w:rPr>
        <w:t>addressed and adequate measures taken to reverse the trend of capital flight</w:t>
        <w:tab/>
        <w:t>in Nigeria.</w:t>
      </w:r>
    </w:p>
    <w:p>
      <w:pPr>
        <w:pStyle w:val="BodyText"/>
      </w:pPr>
    </w:p>
    <w:p>
      <w:pPr>
        <w:pStyle w:val="BodyText"/>
      </w:pPr>
    </w:p>
    <w:p>
      <w:pPr>
        <w:pStyle w:val="Heading6"/>
        <w:numPr>
          <w:ilvl w:val="1"/>
          <w:numId w:val="31"/>
        </w:numPr>
        <w:tabs>
          <w:tab w:pos="1431" w:val="left" w:leader="none"/>
        </w:tabs>
        <w:spacing w:line="240" w:lineRule="auto" w:before="0" w:after="0"/>
        <w:ind w:left="1431" w:right="0" w:hanging="720"/>
        <w:jc w:val="left"/>
      </w:pPr>
      <w:bookmarkStart w:name="_TOC_250001" w:id="26"/>
      <w:r>
        <w:rPr/>
        <w:t>Contributions to </w:t>
      </w:r>
      <w:bookmarkEnd w:id="26"/>
      <w:r>
        <w:rPr>
          <w:spacing w:val="-2"/>
        </w:rPr>
        <w:t>Knowledge</w:t>
      </w:r>
    </w:p>
    <w:p>
      <w:pPr>
        <w:pStyle w:val="BodyText"/>
        <w:rPr>
          <w:b/>
        </w:rPr>
      </w:pPr>
    </w:p>
    <w:p>
      <w:pPr>
        <w:pStyle w:val="BodyText"/>
        <w:spacing w:line="480" w:lineRule="auto"/>
        <w:ind w:left="711" w:right="478"/>
        <w:jc w:val="both"/>
      </w:pPr>
      <w:r>
        <w:rPr/>
        <w:t>The</w:t>
      </w:r>
      <w:r>
        <w:rPr>
          <w:spacing w:val="-2"/>
        </w:rPr>
        <w:t> </w:t>
      </w:r>
      <w:r>
        <w:rPr/>
        <w:t>major</w:t>
      </w:r>
      <w:r>
        <w:rPr>
          <w:spacing w:val="-1"/>
        </w:rPr>
        <w:t> </w:t>
      </w:r>
      <w:r>
        <w:rPr/>
        <w:t>contributions of this study</w:t>
      </w:r>
      <w:r>
        <w:rPr>
          <w:spacing w:val="-7"/>
        </w:rPr>
        <w:t> </w:t>
      </w:r>
      <w:r>
        <w:rPr/>
        <w:t>to knowledge</w:t>
      </w:r>
      <w:r>
        <w:rPr>
          <w:spacing w:val="-1"/>
        </w:rPr>
        <w:t> </w:t>
      </w:r>
      <w:r>
        <w:rPr/>
        <w:t>are</w:t>
      </w:r>
      <w:r>
        <w:rPr>
          <w:spacing w:val="-2"/>
        </w:rPr>
        <w:t> </w:t>
      </w:r>
      <w:r>
        <w:rPr/>
        <w:t>derived from the</w:t>
      </w:r>
      <w:r>
        <w:rPr>
          <w:spacing w:val="-1"/>
        </w:rPr>
        <w:t> </w:t>
      </w:r>
      <w:r>
        <w:rPr/>
        <w:t>analyses of</w:t>
      </w:r>
      <w:r>
        <w:rPr>
          <w:spacing w:val="-1"/>
        </w:rPr>
        <w:t> </w:t>
      </w:r>
      <w:r>
        <w:rPr/>
        <w:t>the</w:t>
      </w:r>
      <w:r>
        <w:rPr>
          <w:spacing w:val="-1"/>
        </w:rPr>
        <w:t> </w:t>
      </w:r>
      <w:r>
        <w:rPr/>
        <w:t>set objectives of</w:t>
      </w:r>
      <w:r>
        <w:rPr>
          <w:spacing w:val="-1"/>
        </w:rPr>
        <w:t> </w:t>
      </w:r>
      <w:r>
        <w:rPr/>
        <w:t>the study, these include:</w:t>
      </w:r>
    </w:p>
    <w:p>
      <w:pPr>
        <w:pStyle w:val="ListParagraph"/>
        <w:numPr>
          <w:ilvl w:val="0"/>
          <w:numId w:val="33"/>
        </w:numPr>
        <w:tabs>
          <w:tab w:pos="958" w:val="left" w:leader="none"/>
        </w:tabs>
        <w:spacing w:line="480" w:lineRule="auto" w:before="0" w:after="0"/>
        <w:ind w:left="711" w:right="472" w:firstLine="0"/>
        <w:jc w:val="both"/>
        <w:rPr>
          <w:sz w:val="24"/>
        </w:rPr>
      </w:pPr>
      <w:r>
        <w:rPr>
          <w:sz w:val="24"/>
        </w:rPr>
        <w:t>The study formulated a model that identified that economic, political and institutional factors as the main determinants of Capital Flight in Nigeria.</w:t>
      </w:r>
      <w:r>
        <w:rPr>
          <w:spacing w:val="40"/>
          <w:sz w:val="24"/>
        </w:rPr>
        <w:t> </w:t>
      </w:r>
      <w:r>
        <w:rPr>
          <w:sz w:val="24"/>
        </w:rPr>
        <w:t>Specifically, it affirms that Change in ExternalDebt (δEXDEBT Inflation rate (INF), Government Current Expenditure (GOCE) and Financial institution instability are the major determinant of Capital Flight in Nigeria. This discovery will enable the policy making bodies to</w:t>
      </w:r>
      <w:r>
        <w:rPr>
          <w:spacing w:val="40"/>
          <w:sz w:val="24"/>
        </w:rPr>
        <w:t> </w:t>
      </w:r>
      <w:r>
        <w:rPr>
          <w:sz w:val="24"/>
        </w:rPr>
        <w:t>tackle appropriately the problem of capital flight in Nigeria.</w:t>
      </w:r>
    </w:p>
    <w:p>
      <w:pPr>
        <w:pStyle w:val="ListParagraph"/>
        <w:numPr>
          <w:ilvl w:val="0"/>
          <w:numId w:val="33"/>
        </w:numPr>
        <w:tabs>
          <w:tab w:pos="1431" w:val="left" w:leader="none"/>
        </w:tabs>
        <w:spacing w:line="480" w:lineRule="auto" w:before="1" w:after="0"/>
        <w:ind w:left="711" w:right="472" w:firstLine="0"/>
        <w:jc w:val="both"/>
        <w:rPr>
          <w:sz w:val="24"/>
        </w:rPr>
      </w:pPr>
      <w:r>
        <w:rPr>
          <w:sz w:val="24"/>
        </w:rPr>
        <w:t>The study exposed the volatile nature of the Nigeria external debt which has made the Nation’s external debt a burden rather than promoting economic growth.</w:t>
      </w:r>
    </w:p>
    <w:p>
      <w:pPr>
        <w:pStyle w:val="ListParagraph"/>
        <w:numPr>
          <w:ilvl w:val="0"/>
          <w:numId w:val="33"/>
        </w:numPr>
        <w:tabs>
          <w:tab w:pos="1431" w:val="left" w:leader="none"/>
        </w:tabs>
        <w:spacing w:line="480" w:lineRule="auto" w:before="0" w:after="0"/>
        <w:ind w:left="711" w:right="473" w:firstLine="0"/>
        <w:jc w:val="both"/>
        <w:rPr>
          <w:sz w:val="24"/>
        </w:rPr>
      </w:pPr>
      <w:r>
        <w:rPr>
          <w:sz w:val="24"/>
        </w:rPr>
        <w:t>The study established that capital flight variable like change in external debt has a negative impact</w:t>
      </w:r>
      <w:r>
        <w:rPr>
          <w:spacing w:val="40"/>
          <w:sz w:val="24"/>
        </w:rPr>
        <w:t> </w:t>
      </w:r>
      <w:r>
        <w:rPr>
          <w:sz w:val="24"/>
        </w:rPr>
        <w:t>on the economic growth within the time frame of the study while other variables such as direct Foreign Investment and change in external reserve have positive impacts.</w:t>
      </w:r>
    </w:p>
    <w:p>
      <w:pPr>
        <w:pStyle w:val="ListParagraph"/>
        <w:numPr>
          <w:ilvl w:val="0"/>
          <w:numId w:val="33"/>
        </w:numPr>
        <w:tabs>
          <w:tab w:pos="1431" w:val="left" w:leader="none"/>
        </w:tabs>
        <w:spacing w:line="240" w:lineRule="auto" w:before="0" w:after="0"/>
        <w:ind w:left="1431" w:right="0" w:hanging="720"/>
        <w:jc w:val="both"/>
        <w:rPr>
          <w:sz w:val="24"/>
        </w:rPr>
      </w:pPr>
      <w:r>
        <w:rPr>
          <w:sz w:val="24"/>
        </w:rPr>
        <w:t>The</w:t>
      </w:r>
      <w:r>
        <w:rPr>
          <w:spacing w:val="12"/>
          <w:sz w:val="24"/>
        </w:rPr>
        <w:t> </w:t>
      </w:r>
      <w:r>
        <w:rPr>
          <w:sz w:val="24"/>
        </w:rPr>
        <w:t>study</w:t>
      </w:r>
      <w:r>
        <w:rPr>
          <w:spacing w:val="12"/>
          <w:sz w:val="24"/>
        </w:rPr>
        <w:t> </w:t>
      </w:r>
      <w:r>
        <w:rPr>
          <w:sz w:val="24"/>
        </w:rPr>
        <w:t>established</w:t>
      </w:r>
      <w:r>
        <w:rPr>
          <w:spacing w:val="17"/>
          <w:sz w:val="24"/>
        </w:rPr>
        <w:t> </w:t>
      </w:r>
      <w:r>
        <w:rPr>
          <w:sz w:val="24"/>
        </w:rPr>
        <w:t>that</w:t>
      </w:r>
      <w:r>
        <w:rPr>
          <w:spacing w:val="17"/>
          <w:sz w:val="24"/>
        </w:rPr>
        <w:t> </w:t>
      </w:r>
      <w:r>
        <w:rPr>
          <w:sz w:val="24"/>
        </w:rPr>
        <w:t>the</w:t>
      </w:r>
      <w:r>
        <w:rPr>
          <w:spacing w:val="16"/>
          <w:sz w:val="24"/>
        </w:rPr>
        <w:t> </w:t>
      </w:r>
      <w:r>
        <w:rPr>
          <w:sz w:val="24"/>
        </w:rPr>
        <w:t>occurrence</w:t>
      </w:r>
      <w:r>
        <w:rPr>
          <w:spacing w:val="15"/>
          <w:sz w:val="24"/>
        </w:rPr>
        <w:t> </w:t>
      </w:r>
      <w:r>
        <w:rPr>
          <w:sz w:val="24"/>
        </w:rPr>
        <w:t>of</w:t>
      </w:r>
      <w:r>
        <w:rPr>
          <w:spacing w:val="15"/>
          <w:sz w:val="24"/>
        </w:rPr>
        <w:t> </w:t>
      </w:r>
      <w:r>
        <w:rPr>
          <w:sz w:val="24"/>
        </w:rPr>
        <w:t>capital</w:t>
      </w:r>
      <w:r>
        <w:rPr>
          <w:spacing w:val="16"/>
          <w:sz w:val="24"/>
        </w:rPr>
        <w:t> </w:t>
      </w:r>
      <w:r>
        <w:rPr>
          <w:sz w:val="24"/>
        </w:rPr>
        <w:t>flight</w:t>
      </w:r>
      <w:r>
        <w:rPr>
          <w:spacing w:val="17"/>
          <w:sz w:val="24"/>
        </w:rPr>
        <w:t> </w:t>
      </w:r>
      <w:r>
        <w:rPr>
          <w:sz w:val="24"/>
        </w:rPr>
        <w:t>was</w:t>
      </w:r>
      <w:r>
        <w:rPr>
          <w:spacing w:val="16"/>
          <w:sz w:val="24"/>
        </w:rPr>
        <w:t> </w:t>
      </w:r>
      <w:r>
        <w:rPr>
          <w:sz w:val="24"/>
        </w:rPr>
        <w:t>drastically</w:t>
      </w:r>
      <w:r>
        <w:rPr>
          <w:spacing w:val="14"/>
          <w:sz w:val="24"/>
        </w:rPr>
        <w:t> </w:t>
      </w:r>
      <w:r>
        <w:rPr>
          <w:sz w:val="24"/>
        </w:rPr>
        <w:t>high</w:t>
      </w:r>
      <w:r>
        <w:rPr>
          <w:spacing w:val="16"/>
          <w:sz w:val="24"/>
        </w:rPr>
        <w:t> </w:t>
      </w:r>
      <w:r>
        <w:rPr>
          <w:sz w:val="24"/>
        </w:rPr>
        <w:t>during</w:t>
      </w:r>
      <w:r>
        <w:rPr>
          <w:spacing w:val="14"/>
          <w:sz w:val="24"/>
        </w:rPr>
        <w:t> </w:t>
      </w:r>
      <w:r>
        <w:rPr>
          <w:sz w:val="24"/>
        </w:rPr>
        <w:t>transitions</w:t>
      </w:r>
      <w:r>
        <w:rPr>
          <w:spacing w:val="17"/>
          <w:sz w:val="24"/>
        </w:rPr>
        <w:t> </w:t>
      </w:r>
      <w:r>
        <w:rPr>
          <w:spacing w:val="-5"/>
          <w:sz w:val="24"/>
        </w:rPr>
        <w:t>of</w:t>
      </w:r>
    </w:p>
    <w:p>
      <w:pPr>
        <w:pStyle w:val="BodyText"/>
      </w:pPr>
    </w:p>
    <w:p>
      <w:pPr>
        <w:pStyle w:val="BodyText"/>
        <w:spacing w:before="1"/>
        <w:ind w:left="711"/>
        <w:jc w:val="both"/>
      </w:pPr>
      <w:r>
        <w:rPr/>
        <w:t>government</w:t>
      </w:r>
      <w:r>
        <w:rPr>
          <w:spacing w:val="-1"/>
        </w:rPr>
        <w:t> </w:t>
      </w:r>
      <w:r>
        <w:rPr/>
        <w:t>from</w:t>
      </w:r>
      <w:r>
        <w:rPr>
          <w:spacing w:val="-1"/>
        </w:rPr>
        <w:t> </w:t>
      </w:r>
      <w:r>
        <w:rPr/>
        <w:t>one</w:t>
      </w:r>
      <w:r>
        <w:rPr>
          <w:spacing w:val="-1"/>
        </w:rPr>
        <w:t> </w:t>
      </w:r>
      <w:r>
        <w:rPr/>
        <w:t>regime</w:t>
      </w:r>
      <w:r>
        <w:rPr>
          <w:spacing w:val="-1"/>
        </w:rPr>
        <w:t> </w:t>
      </w:r>
      <w:r>
        <w:rPr/>
        <w:t>to</w:t>
      </w:r>
      <w:r>
        <w:rPr>
          <w:spacing w:val="-1"/>
        </w:rPr>
        <w:t> </w:t>
      </w:r>
      <w:r>
        <w:rPr>
          <w:spacing w:val="-2"/>
        </w:rPr>
        <w:t>another.</w:t>
      </w:r>
    </w:p>
    <w:p>
      <w:pPr>
        <w:spacing w:after="0"/>
        <w:jc w:val="both"/>
        <w:sectPr>
          <w:pgSz w:w="11910" w:h="16840"/>
          <w:pgMar w:header="0" w:footer="979" w:top="1360" w:bottom="1240" w:left="280" w:right="0"/>
        </w:sectPr>
      </w:pPr>
    </w:p>
    <w:p>
      <w:pPr>
        <w:pStyle w:val="ListParagraph"/>
        <w:numPr>
          <w:ilvl w:val="0"/>
          <w:numId w:val="33"/>
        </w:numPr>
        <w:tabs>
          <w:tab w:pos="1431" w:val="left" w:leader="none"/>
        </w:tabs>
        <w:spacing w:line="480" w:lineRule="auto" w:before="60" w:after="0"/>
        <w:ind w:left="711" w:right="477" w:firstLine="0"/>
        <w:jc w:val="left"/>
        <w:rPr>
          <w:sz w:val="24"/>
        </w:rPr>
      </w:pPr>
      <w:r>
        <w:rPr>
          <w:sz w:val="24"/>
        </w:rPr>
        <w:t>The</w:t>
      </w:r>
      <w:r>
        <w:rPr>
          <w:spacing w:val="22"/>
          <w:sz w:val="24"/>
        </w:rPr>
        <w:t> </w:t>
      </w:r>
      <w:r>
        <w:rPr>
          <w:sz w:val="24"/>
        </w:rPr>
        <w:t>study</w:t>
      </w:r>
      <w:r>
        <w:rPr>
          <w:spacing w:val="20"/>
          <w:sz w:val="24"/>
        </w:rPr>
        <w:t> </w:t>
      </w:r>
      <w:r>
        <w:rPr>
          <w:sz w:val="24"/>
        </w:rPr>
        <w:t>led</w:t>
      </w:r>
      <w:r>
        <w:rPr>
          <w:spacing w:val="23"/>
          <w:sz w:val="24"/>
        </w:rPr>
        <w:t> </w:t>
      </w:r>
      <w:r>
        <w:rPr>
          <w:sz w:val="24"/>
        </w:rPr>
        <w:t>to</w:t>
      </w:r>
      <w:r>
        <w:rPr>
          <w:spacing w:val="24"/>
          <w:sz w:val="24"/>
        </w:rPr>
        <w:t> </w:t>
      </w:r>
      <w:r>
        <w:rPr>
          <w:sz w:val="24"/>
        </w:rPr>
        <w:t>the</w:t>
      </w:r>
      <w:r>
        <w:rPr>
          <w:spacing w:val="25"/>
          <w:sz w:val="24"/>
        </w:rPr>
        <w:t> </w:t>
      </w:r>
      <w:r>
        <w:rPr>
          <w:sz w:val="24"/>
        </w:rPr>
        <w:t>development</w:t>
      </w:r>
      <w:r>
        <w:rPr>
          <w:spacing w:val="25"/>
          <w:sz w:val="24"/>
        </w:rPr>
        <w:t> </w:t>
      </w:r>
      <w:r>
        <w:rPr>
          <w:sz w:val="24"/>
        </w:rPr>
        <w:t>of</w:t>
      </w:r>
      <w:r>
        <w:rPr>
          <w:spacing w:val="23"/>
          <w:sz w:val="24"/>
        </w:rPr>
        <w:t> </w:t>
      </w:r>
      <w:r>
        <w:rPr>
          <w:sz w:val="24"/>
        </w:rPr>
        <w:t>a</w:t>
      </w:r>
      <w:r>
        <w:rPr>
          <w:spacing w:val="23"/>
          <w:sz w:val="24"/>
        </w:rPr>
        <w:t> </w:t>
      </w:r>
      <w:r>
        <w:rPr>
          <w:sz w:val="24"/>
        </w:rPr>
        <w:t>conceptual</w:t>
      </w:r>
      <w:r>
        <w:rPr>
          <w:spacing w:val="24"/>
          <w:sz w:val="24"/>
        </w:rPr>
        <w:t> </w:t>
      </w:r>
      <w:r>
        <w:rPr>
          <w:sz w:val="24"/>
        </w:rPr>
        <w:t>framework</w:t>
      </w:r>
      <w:r>
        <w:rPr>
          <w:spacing w:val="23"/>
          <w:sz w:val="24"/>
        </w:rPr>
        <w:t> </w:t>
      </w:r>
      <w:r>
        <w:rPr>
          <w:sz w:val="24"/>
        </w:rPr>
        <w:t>that</w:t>
      </w:r>
      <w:r>
        <w:rPr>
          <w:spacing w:val="24"/>
          <w:sz w:val="24"/>
        </w:rPr>
        <w:t> </w:t>
      </w:r>
      <w:r>
        <w:rPr>
          <w:sz w:val="24"/>
        </w:rPr>
        <w:t>shows</w:t>
      </w:r>
      <w:r>
        <w:rPr>
          <w:spacing w:val="26"/>
          <w:sz w:val="24"/>
        </w:rPr>
        <w:t> </w:t>
      </w:r>
      <w:r>
        <w:rPr>
          <w:sz w:val="24"/>
        </w:rPr>
        <w:t>the</w:t>
      </w:r>
      <w:r>
        <w:rPr>
          <w:spacing w:val="23"/>
          <w:sz w:val="24"/>
        </w:rPr>
        <w:t> </w:t>
      </w:r>
      <w:r>
        <w:rPr>
          <w:sz w:val="24"/>
        </w:rPr>
        <w:t>interaction</w:t>
      </w:r>
      <w:r>
        <w:rPr>
          <w:spacing w:val="24"/>
          <w:sz w:val="24"/>
        </w:rPr>
        <w:t> </w:t>
      </w:r>
      <w:r>
        <w:rPr>
          <w:sz w:val="24"/>
        </w:rPr>
        <w:t>of</w:t>
      </w:r>
      <w:r>
        <w:rPr>
          <w:spacing w:val="25"/>
          <w:sz w:val="24"/>
        </w:rPr>
        <w:t> </w:t>
      </w:r>
      <w:r>
        <w:rPr>
          <w:sz w:val="24"/>
        </w:rPr>
        <w:t>capital flight variables and economic growth.</w:t>
      </w:r>
    </w:p>
    <w:p>
      <w:pPr>
        <w:pStyle w:val="Heading6"/>
        <w:numPr>
          <w:ilvl w:val="1"/>
          <w:numId w:val="31"/>
        </w:numPr>
        <w:tabs>
          <w:tab w:pos="1251" w:val="left" w:leader="none"/>
        </w:tabs>
        <w:spacing w:line="240" w:lineRule="auto" w:before="1" w:after="0"/>
        <w:ind w:left="1251" w:right="0" w:hanging="540"/>
        <w:jc w:val="left"/>
      </w:pPr>
      <w:bookmarkStart w:name="_TOC_250000" w:id="27"/>
      <w:r>
        <w:rPr/>
        <w:t>Suggestions</w:t>
      </w:r>
      <w:r>
        <w:rPr>
          <w:spacing w:val="-2"/>
        </w:rPr>
        <w:t> </w:t>
      </w:r>
      <w:r>
        <w:rPr/>
        <w:t>for</w:t>
      </w:r>
      <w:r>
        <w:rPr>
          <w:spacing w:val="-4"/>
        </w:rPr>
        <w:t> </w:t>
      </w:r>
      <w:r>
        <w:rPr/>
        <w:t>further</w:t>
      </w:r>
      <w:r>
        <w:rPr>
          <w:spacing w:val="-2"/>
        </w:rPr>
        <w:t> Research</w:t>
      </w:r>
      <w:bookmarkEnd w:id="27"/>
      <w:r>
        <w:rPr>
          <w:b w:val="0"/>
          <w:spacing w:val="-2"/>
        </w:rPr>
        <w:t>.</w:t>
      </w:r>
    </w:p>
    <w:p>
      <w:pPr>
        <w:pStyle w:val="BodyText"/>
      </w:pPr>
    </w:p>
    <w:p>
      <w:pPr>
        <w:pStyle w:val="BodyText"/>
        <w:ind w:left="1431"/>
      </w:pPr>
      <w:r>
        <w:rPr/>
        <w:t>The</w:t>
      </w:r>
      <w:r>
        <w:rPr>
          <w:spacing w:val="-5"/>
        </w:rPr>
        <w:t> </w:t>
      </w:r>
      <w:r>
        <w:rPr/>
        <w:t>following areas not covered</w:t>
      </w:r>
      <w:r>
        <w:rPr>
          <w:spacing w:val="-1"/>
        </w:rPr>
        <w:t> </w:t>
      </w:r>
      <w:r>
        <w:rPr/>
        <w:t>by</w:t>
      </w:r>
      <w:r>
        <w:rPr>
          <w:spacing w:val="-5"/>
        </w:rPr>
        <w:t> </w:t>
      </w:r>
      <w:r>
        <w:rPr/>
        <w:t>this study</w:t>
      </w:r>
      <w:r>
        <w:rPr>
          <w:spacing w:val="-3"/>
        </w:rPr>
        <w:t> </w:t>
      </w:r>
      <w:r>
        <w:rPr/>
        <w:t>are</w:t>
      </w:r>
      <w:r>
        <w:rPr>
          <w:spacing w:val="2"/>
        </w:rPr>
        <w:t> </w:t>
      </w:r>
      <w:r>
        <w:rPr/>
        <w:t>recommended for further</w:t>
      </w:r>
      <w:r>
        <w:rPr>
          <w:spacing w:val="1"/>
        </w:rPr>
        <w:t> </w:t>
      </w:r>
      <w:r>
        <w:rPr>
          <w:spacing w:val="-2"/>
        </w:rPr>
        <w:t>study:</w:t>
      </w:r>
    </w:p>
    <w:p>
      <w:pPr>
        <w:pStyle w:val="BodyText"/>
      </w:pPr>
    </w:p>
    <w:p>
      <w:pPr>
        <w:pStyle w:val="ListParagraph"/>
        <w:numPr>
          <w:ilvl w:val="0"/>
          <w:numId w:val="34"/>
        </w:numPr>
        <w:tabs>
          <w:tab w:pos="1431" w:val="left" w:leader="none"/>
          <w:tab w:pos="8633" w:val="left" w:leader="none"/>
        </w:tabs>
        <w:spacing w:line="240" w:lineRule="auto" w:before="0" w:after="0"/>
        <w:ind w:left="1431" w:right="0" w:hanging="720"/>
        <w:jc w:val="left"/>
        <w:rPr>
          <w:sz w:val="24"/>
        </w:rPr>
      </w:pPr>
      <w:r>
        <w:rPr>
          <w:sz w:val="24"/>
        </w:rPr>
        <w:t>Political</w:t>
      </w:r>
      <w:r>
        <w:rPr>
          <w:spacing w:val="-4"/>
          <w:sz w:val="24"/>
        </w:rPr>
        <w:t> </w:t>
      </w:r>
      <w:r>
        <w:rPr>
          <w:sz w:val="24"/>
        </w:rPr>
        <w:t>factors,</w:t>
      </w:r>
      <w:r>
        <w:rPr>
          <w:spacing w:val="-1"/>
          <w:sz w:val="24"/>
        </w:rPr>
        <w:t> </w:t>
      </w:r>
      <w:r>
        <w:rPr>
          <w:sz w:val="24"/>
        </w:rPr>
        <w:t>capital</w:t>
      </w:r>
      <w:r>
        <w:rPr>
          <w:spacing w:val="-2"/>
          <w:sz w:val="24"/>
        </w:rPr>
        <w:t> </w:t>
      </w:r>
      <w:r>
        <w:rPr>
          <w:sz w:val="24"/>
        </w:rPr>
        <w:t>flight</w:t>
      </w:r>
      <w:r>
        <w:rPr>
          <w:spacing w:val="-1"/>
          <w:sz w:val="24"/>
        </w:rPr>
        <w:t> </w:t>
      </w:r>
      <w:r>
        <w:rPr>
          <w:sz w:val="24"/>
        </w:rPr>
        <w:t>and</w:t>
      </w:r>
      <w:r>
        <w:rPr>
          <w:spacing w:val="-2"/>
          <w:sz w:val="24"/>
        </w:rPr>
        <w:t> </w:t>
      </w:r>
      <w:r>
        <w:rPr>
          <w:sz w:val="24"/>
        </w:rPr>
        <w:t>economic growth</w:t>
      </w:r>
      <w:r>
        <w:rPr>
          <w:spacing w:val="-2"/>
          <w:sz w:val="24"/>
        </w:rPr>
        <w:t> </w:t>
      </w:r>
      <w:r>
        <w:rPr>
          <w:sz w:val="24"/>
        </w:rPr>
        <w:t>in</w:t>
      </w:r>
      <w:r>
        <w:rPr>
          <w:spacing w:val="-1"/>
          <w:sz w:val="24"/>
        </w:rPr>
        <w:t> </w:t>
      </w:r>
      <w:r>
        <w:rPr>
          <w:sz w:val="24"/>
        </w:rPr>
        <w:t>other</w:t>
      </w:r>
      <w:r>
        <w:rPr>
          <w:spacing w:val="-3"/>
          <w:sz w:val="24"/>
        </w:rPr>
        <w:t> </w:t>
      </w:r>
      <w:r>
        <w:rPr>
          <w:spacing w:val="-2"/>
          <w:sz w:val="24"/>
        </w:rPr>
        <w:t>developing</w:t>
      </w:r>
      <w:r>
        <w:rPr>
          <w:sz w:val="24"/>
        </w:rPr>
        <w:tab/>
      </w:r>
      <w:r>
        <w:rPr>
          <w:spacing w:val="-2"/>
          <w:sz w:val="24"/>
        </w:rPr>
        <w:t>economies.</w:t>
      </w:r>
    </w:p>
    <w:p>
      <w:pPr>
        <w:pStyle w:val="BodyText"/>
      </w:pPr>
    </w:p>
    <w:p>
      <w:pPr>
        <w:pStyle w:val="ListParagraph"/>
        <w:numPr>
          <w:ilvl w:val="0"/>
          <w:numId w:val="34"/>
        </w:numPr>
        <w:tabs>
          <w:tab w:pos="1431" w:val="left" w:leader="none"/>
          <w:tab w:pos="9353" w:val="left" w:leader="none"/>
        </w:tabs>
        <w:spacing w:line="240" w:lineRule="auto" w:before="0" w:after="0"/>
        <w:ind w:left="1431" w:right="0" w:hanging="720"/>
        <w:jc w:val="left"/>
        <w:rPr>
          <w:sz w:val="24"/>
        </w:rPr>
      </w:pPr>
      <w:r>
        <w:rPr>
          <w:sz w:val="24"/>
        </w:rPr>
        <w:t>Political</w:t>
      </w:r>
      <w:r>
        <w:rPr>
          <w:spacing w:val="-3"/>
          <w:sz w:val="24"/>
        </w:rPr>
        <w:t> </w:t>
      </w:r>
      <w:r>
        <w:rPr>
          <w:sz w:val="24"/>
        </w:rPr>
        <w:t>and</w:t>
      </w:r>
      <w:r>
        <w:rPr>
          <w:spacing w:val="-1"/>
          <w:sz w:val="24"/>
        </w:rPr>
        <w:t> </w:t>
      </w:r>
      <w:r>
        <w:rPr>
          <w:sz w:val="24"/>
        </w:rPr>
        <w:t>Economic</w:t>
      </w:r>
      <w:r>
        <w:rPr>
          <w:spacing w:val="-3"/>
          <w:sz w:val="24"/>
        </w:rPr>
        <w:t> </w:t>
      </w:r>
      <w:r>
        <w:rPr>
          <w:sz w:val="24"/>
        </w:rPr>
        <w:t>Strategies</w:t>
      </w:r>
      <w:r>
        <w:rPr>
          <w:spacing w:val="-1"/>
          <w:sz w:val="24"/>
        </w:rPr>
        <w:t> </w:t>
      </w:r>
      <w:r>
        <w:rPr>
          <w:sz w:val="24"/>
        </w:rPr>
        <w:t>for</w:t>
      </w:r>
      <w:r>
        <w:rPr>
          <w:spacing w:val="-2"/>
          <w:sz w:val="24"/>
        </w:rPr>
        <w:t> </w:t>
      </w:r>
      <w:r>
        <w:rPr>
          <w:sz w:val="24"/>
        </w:rPr>
        <w:t>Curbing</w:t>
      </w:r>
      <w:r>
        <w:rPr>
          <w:spacing w:val="-4"/>
          <w:sz w:val="24"/>
        </w:rPr>
        <w:t> </w:t>
      </w:r>
      <w:r>
        <w:rPr>
          <w:sz w:val="24"/>
        </w:rPr>
        <w:t>Capital</w:t>
      </w:r>
      <w:r>
        <w:rPr>
          <w:spacing w:val="-2"/>
          <w:sz w:val="24"/>
        </w:rPr>
        <w:t> </w:t>
      </w:r>
      <w:r>
        <w:rPr>
          <w:sz w:val="24"/>
        </w:rPr>
        <w:t>Flight</w:t>
      </w:r>
      <w:r>
        <w:rPr>
          <w:spacing w:val="-1"/>
          <w:sz w:val="24"/>
        </w:rPr>
        <w:t> </w:t>
      </w:r>
      <w:r>
        <w:rPr>
          <w:sz w:val="24"/>
        </w:rPr>
        <w:t>in</w:t>
      </w:r>
      <w:r>
        <w:rPr>
          <w:spacing w:val="-1"/>
          <w:sz w:val="24"/>
        </w:rPr>
        <w:t> </w:t>
      </w:r>
      <w:r>
        <w:rPr>
          <w:spacing w:val="-2"/>
          <w:sz w:val="24"/>
        </w:rPr>
        <w:t>Developing</w:t>
      </w:r>
      <w:r>
        <w:rPr>
          <w:sz w:val="24"/>
        </w:rPr>
        <w:tab/>
      </w:r>
      <w:r>
        <w:rPr>
          <w:spacing w:val="-2"/>
          <w:sz w:val="24"/>
        </w:rPr>
        <w:t>Economies.</w:t>
      </w:r>
    </w:p>
    <w:p>
      <w:pPr>
        <w:pStyle w:val="BodyText"/>
      </w:pPr>
    </w:p>
    <w:p>
      <w:pPr>
        <w:pStyle w:val="ListParagraph"/>
        <w:numPr>
          <w:ilvl w:val="0"/>
          <w:numId w:val="34"/>
        </w:numPr>
        <w:tabs>
          <w:tab w:pos="1431" w:val="left" w:leader="none"/>
        </w:tabs>
        <w:spacing w:line="240" w:lineRule="auto" w:before="0" w:after="0"/>
        <w:ind w:left="1431" w:right="0" w:hanging="720"/>
        <w:jc w:val="left"/>
        <w:rPr>
          <w:sz w:val="24"/>
        </w:rPr>
      </w:pPr>
      <w:r>
        <w:rPr>
          <w:sz w:val="24"/>
        </w:rPr>
        <w:t>Institutional</w:t>
      </w:r>
      <w:r>
        <w:rPr>
          <w:spacing w:val="-2"/>
          <w:sz w:val="24"/>
        </w:rPr>
        <w:t> </w:t>
      </w:r>
      <w:r>
        <w:rPr>
          <w:sz w:val="24"/>
        </w:rPr>
        <w:t>Factors</w:t>
      </w:r>
      <w:r>
        <w:rPr>
          <w:spacing w:val="-2"/>
          <w:sz w:val="24"/>
        </w:rPr>
        <w:t> </w:t>
      </w:r>
      <w:r>
        <w:rPr>
          <w:sz w:val="24"/>
        </w:rPr>
        <w:t>and Capital</w:t>
      </w:r>
      <w:r>
        <w:rPr>
          <w:spacing w:val="-2"/>
          <w:sz w:val="24"/>
        </w:rPr>
        <w:t> </w:t>
      </w:r>
      <w:r>
        <w:rPr>
          <w:sz w:val="24"/>
        </w:rPr>
        <w:t>Flight</w:t>
      </w:r>
      <w:r>
        <w:rPr>
          <w:spacing w:val="-2"/>
          <w:sz w:val="24"/>
        </w:rPr>
        <w:t> </w:t>
      </w:r>
      <w:r>
        <w:rPr>
          <w:sz w:val="24"/>
        </w:rPr>
        <w:t>in</w:t>
      </w:r>
      <w:r>
        <w:rPr>
          <w:spacing w:val="-1"/>
          <w:sz w:val="24"/>
        </w:rPr>
        <w:t> </w:t>
      </w:r>
      <w:r>
        <w:rPr>
          <w:sz w:val="24"/>
        </w:rPr>
        <w:t>Developing</w:t>
      </w:r>
      <w:r>
        <w:rPr>
          <w:spacing w:val="-4"/>
          <w:sz w:val="24"/>
        </w:rPr>
        <w:t> </w:t>
      </w:r>
      <w:r>
        <w:rPr>
          <w:spacing w:val="-2"/>
          <w:sz w:val="24"/>
        </w:rPr>
        <w:t>Countries.</w:t>
      </w:r>
    </w:p>
    <w:p>
      <w:pPr>
        <w:spacing w:after="0" w:line="240" w:lineRule="auto"/>
        <w:jc w:val="left"/>
        <w:rPr>
          <w:sz w:val="24"/>
        </w:rPr>
        <w:sectPr>
          <w:pgSz w:w="11910" w:h="16840"/>
          <w:pgMar w:header="0" w:footer="979" w:top="1360" w:bottom="1240" w:left="280" w:right="0"/>
        </w:sectPr>
      </w:pPr>
    </w:p>
    <w:p>
      <w:pPr>
        <w:pStyle w:val="Heading5"/>
        <w:ind w:left="953"/>
      </w:pPr>
      <w:r>
        <w:rPr>
          <w:spacing w:val="-2"/>
        </w:rPr>
        <w:t>BIBLIOGRAPY</w:t>
      </w:r>
    </w:p>
    <w:p>
      <w:pPr>
        <w:spacing w:before="240"/>
        <w:ind w:left="711" w:right="0" w:firstLine="0"/>
        <w:jc w:val="left"/>
        <w:rPr>
          <w:i/>
          <w:sz w:val="22"/>
        </w:rPr>
      </w:pPr>
      <w:r>
        <w:rPr>
          <w:sz w:val="22"/>
        </w:rPr>
        <w:t>Aboyade,</w:t>
      </w:r>
      <w:r>
        <w:rPr>
          <w:spacing w:val="-6"/>
          <w:sz w:val="22"/>
        </w:rPr>
        <w:t> </w:t>
      </w:r>
      <w:r>
        <w:rPr>
          <w:sz w:val="22"/>
        </w:rPr>
        <w:t>O.</w:t>
      </w:r>
      <w:r>
        <w:rPr>
          <w:spacing w:val="-3"/>
          <w:sz w:val="22"/>
        </w:rPr>
        <w:t> </w:t>
      </w:r>
      <w:r>
        <w:rPr>
          <w:sz w:val="22"/>
        </w:rPr>
        <w:t>(1974</w:t>
      </w:r>
      <w:r>
        <w:rPr>
          <w:i/>
          <w:sz w:val="22"/>
        </w:rPr>
        <w:t>).</w:t>
      </w:r>
      <w:r>
        <w:rPr>
          <w:i/>
          <w:spacing w:val="-4"/>
          <w:sz w:val="22"/>
        </w:rPr>
        <w:t> </w:t>
      </w:r>
      <w:r>
        <w:rPr>
          <w:i/>
          <w:sz w:val="22"/>
        </w:rPr>
        <w:t>Nigerian</w:t>
      </w:r>
      <w:r>
        <w:rPr>
          <w:i/>
          <w:spacing w:val="-3"/>
          <w:sz w:val="22"/>
        </w:rPr>
        <w:t> </w:t>
      </w:r>
      <w:r>
        <w:rPr>
          <w:i/>
          <w:sz w:val="22"/>
        </w:rPr>
        <w:t>Public</w:t>
      </w:r>
      <w:r>
        <w:rPr>
          <w:i/>
          <w:spacing w:val="-3"/>
          <w:sz w:val="22"/>
        </w:rPr>
        <w:t> </w:t>
      </w:r>
      <w:r>
        <w:rPr>
          <w:i/>
          <w:sz w:val="22"/>
        </w:rPr>
        <w:t>Enterprises</w:t>
      </w:r>
      <w:r>
        <w:rPr>
          <w:i/>
          <w:spacing w:val="-5"/>
          <w:sz w:val="22"/>
        </w:rPr>
        <w:t> </w:t>
      </w:r>
      <w:r>
        <w:rPr>
          <w:i/>
          <w:sz w:val="22"/>
        </w:rPr>
        <w:t>as</w:t>
      </w:r>
      <w:r>
        <w:rPr>
          <w:i/>
          <w:spacing w:val="-4"/>
          <w:sz w:val="22"/>
        </w:rPr>
        <w:t> </w:t>
      </w:r>
      <w:r>
        <w:rPr>
          <w:i/>
          <w:sz w:val="22"/>
        </w:rPr>
        <w:t>an</w:t>
      </w:r>
      <w:r>
        <w:rPr>
          <w:i/>
          <w:spacing w:val="-5"/>
          <w:sz w:val="22"/>
        </w:rPr>
        <w:t> </w:t>
      </w:r>
      <w:r>
        <w:rPr>
          <w:i/>
          <w:sz w:val="22"/>
        </w:rPr>
        <w:t>Organizational</w:t>
      </w:r>
      <w:r>
        <w:rPr>
          <w:i/>
          <w:spacing w:val="-2"/>
          <w:sz w:val="22"/>
        </w:rPr>
        <w:t> </w:t>
      </w:r>
      <w:r>
        <w:rPr>
          <w:i/>
          <w:sz w:val="22"/>
        </w:rPr>
        <w:t>Dilemma</w:t>
      </w:r>
      <w:r>
        <w:rPr>
          <w:i/>
          <w:spacing w:val="2"/>
          <w:sz w:val="22"/>
        </w:rPr>
        <w:t> </w:t>
      </w:r>
      <w:r>
        <w:rPr>
          <w:i/>
          <w:sz w:val="22"/>
        </w:rPr>
        <w:t>in</w:t>
      </w:r>
      <w:r>
        <w:rPr>
          <w:i/>
          <w:spacing w:val="-4"/>
          <w:sz w:val="22"/>
        </w:rPr>
        <w:t> </w:t>
      </w:r>
      <w:r>
        <w:rPr>
          <w:i/>
          <w:sz w:val="22"/>
        </w:rPr>
        <w:t>Public</w:t>
      </w:r>
      <w:r>
        <w:rPr>
          <w:i/>
          <w:spacing w:val="-5"/>
          <w:sz w:val="22"/>
        </w:rPr>
        <w:t> </w:t>
      </w:r>
      <w:r>
        <w:rPr>
          <w:i/>
          <w:sz w:val="22"/>
        </w:rPr>
        <w:t>Enterprises</w:t>
      </w:r>
      <w:r>
        <w:rPr>
          <w:i/>
          <w:spacing w:val="-3"/>
          <w:sz w:val="22"/>
        </w:rPr>
        <w:t> </w:t>
      </w:r>
      <w:r>
        <w:rPr>
          <w:i/>
          <w:sz w:val="22"/>
        </w:rPr>
        <w:t>in</w:t>
      </w:r>
      <w:r>
        <w:rPr>
          <w:i/>
          <w:spacing w:val="-3"/>
          <w:sz w:val="22"/>
        </w:rPr>
        <w:t> </w:t>
      </w:r>
      <w:r>
        <w:rPr>
          <w:i/>
          <w:spacing w:val="-2"/>
          <w:sz w:val="22"/>
        </w:rPr>
        <w:t>Nigeria.</w:t>
      </w:r>
    </w:p>
    <w:p>
      <w:pPr>
        <w:spacing w:line="468" w:lineRule="auto" w:before="2"/>
        <w:ind w:left="711" w:right="3485" w:firstLine="0"/>
        <w:jc w:val="left"/>
        <w:rPr>
          <w:sz w:val="22"/>
        </w:rPr>
      </w:pPr>
      <w:r>
        <w:rPr>
          <w:sz w:val="22"/>
        </w:rPr>
        <w:t>Proceedings of the 1973 Annual Conference of the Nigerian Economic Society. Adegbite,</w:t>
      </w:r>
      <w:r>
        <w:rPr>
          <w:spacing w:val="-4"/>
          <w:sz w:val="22"/>
        </w:rPr>
        <w:t> </w:t>
      </w:r>
      <w:r>
        <w:rPr>
          <w:sz w:val="22"/>
        </w:rPr>
        <w:t>E.O.</w:t>
      </w:r>
      <w:r>
        <w:rPr>
          <w:spacing w:val="-6"/>
          <w:sz w:val="22"/>
        </w:rPr>
        <w:t> </w:t>
      </w:r>
      <w:r>
        <w:rPr>
          <w:sz w:val="22"/>
        </w:rPr>
        <w:t>(2007).</w:t>
      </w:r>
      <w:r>
        <w:rPr>
          <w:spacing w:val="-4"/>
          <w:sz w:val="22"/>
        </w:rPr>
        <w:t> </w:t>
      </w:r>
      <w:r>
        <w:rPr>
          <w:i/>
          <w:sz w:val="22"/>
        </w:rPr>
        <w:t>Essential</w:t>
      </w:r>
      <w:r>
        <w:rPr>
          <w:i/>
          <w:spacing w:val="-3"/>
          <w:sz w:val="22"/>
        </w:rPr>
        <w:t> </w:t>
      </w:r>
      <w:r>
        <w:rPr>
          <w:i/>
          <w:sz w:val="22"/>
        </w:rPr>
        <w:t>of</w:t>
      </w:r>
      <w:r>
        <w:rPr>
          <w:i/>
          <w:spacing w:val="-5"/>
          <w:sz w:val="22"/>
        </w:rPr>
        <w:t> </w:t>
      </w:r>
      <w:r>
        <w:rPr>
          <w:i/>
          <w:sz w:val="22"/>
        </w:rPr>
        <w:t>Money</w:t>
      </w:r>
      <w:r>
        <w:rPr>
          <w:i/>
          <w:spacing w:val="-4"/>
          <w:sz w:val="22"/>
        </w:rPr>
        <w:t> </w:t>
      </w:r>
      <w:r>
        <w:rPr>
          <w:i/>
          <w:sz w:val="22"/>
        </w:rPr>
        <w:t>and</w:t>
      </w:r>
      <w:r>
        <w:rPr>
          <w:i/>
          <w:spacing w:val="-2"/>
          <w:sz w:val="22"/>
        </w:rPr>
        <w:t> </w:t>
      </w:r>
      <w:r>
        <w:rPr>
          <w:i/>
          <w:sz w:val="22"/>
        </w:rPr>
        <w:t>Banking.</w:t>
      </w:r>
      <w:r>
        <w:rPr>
          <w:i/>
          <w:spacing w:val="-4"/>
          <w:sz w:val="22"/>
        </w:rPr>
        <w:t> </w:t>
      </w:r>
      <w:r>
        <w:rPr>
          <w:sz w:val="22"/>
        </w:rPr>
        <w:t>Chumek</w:t>
      </w:r>
      <w:r>
        <w:rPr>
          <w:spacing w:val="-5"/>
          <w:sz w:val="22"/>
        </w:rPr>
        <w:t> </w:t>
      </w:r>
      <w:r>
        <w:rPr>
          <w:sz w:val="22"/>
        </w:rPr>
        <w:t>Ventures,</w:t>
      </w:r>
      <w:r>
        <w:rPr>
          <w:spacing w:val="-4"/>
          <w:sz w:val="22"/>
        </w:rPr>
        <w:t> </w:t>
      </w:r>
      <w:r>
        <w:rPr>
          <w:sz w:val="22"/>
        </w:rPr>
        <w:t>Lagos</w:t>
      </w:r>
    </w:p>
    <w:p>
      <w:pPr>
        <w:spacing w:line="250" w:lineRule="exact" w:before="0"/>
        <w:ind w:left="766" w:right="0" w:firstLine="0"/>
        <w:jc w:val="left"/>
        <w:rPr>
          <w:sz w:val="22"/>
        </w:rPr>
      </w:pPr>
      <w:r>
        <w:rPr>
          <w:sz w:val="22"/>
        </w:rPr>
        <w:t>Adegbite,</w:t>
      </w:r>
      <w:r>
        <w:rPr>
          <w:spacing w:val="8"/>
          <w:sz w:val="22"/>
        </w:rPr>
        <w:t> </w:t>
      </w:r>
      <w:r>
        <w:rPr>
          <w:sz w:val="22"/>
        </w:rPr>
        <w:t>E.O.,</w:t>
      </w:r>
      <w:r>
        <w:rPr>
          <w:spacing w:val="8"/>
          <w:sz w:val="22"/>
        </w:rPr>
        <w:t> </w:t>
      </w:r>
      <w:r>
        <w:rPr>
          <w:sz w:val="22"/>
        </w:rPr>
        <w:t>Ayadi,</w:t>
      </w:r>
      <w:r>
        <w:rPr>
          <w:spacing w:val="8"/>
          <w:sz w:val="22"/>
        </w:rPr>
        <w:t> </w:t>
      </w:r>
      <w:r>
        <w:rPr>
          <w:sz w:val="22"/>
        </w:rPr>
        <w:t>F.S.</w:t>
      </w:r>
      <w:r>
        <w:rPr>
          <w:spacing w:val="7"/>
          <w:sz w:val="22"/>
        </w:rPr>
        <w:t> </w:t>
      </w:r>
      <w:r>
        <w:rPr>
          <w:sz w:val="22"/>
        </w:rPr>
        <w:t>&amp;</w:t>
      </w:r>
      <w:r>
        <w:rPr>
          <w:spacing w:val="10"/>
          <w:sz w:val="22"/>
        </w:rPr>
        <w:t> </w:t>
      </w:r>
      <w:r>
        <w:rPr>
          <w:sz w:val="22"/>
        </w:rPr>
        <w:t>Ayadi,</w:t>
      </w:r>
      <w:r>
        <w:rPr>
          <w:spacing w:val="8"/>
          <w:sz w:val="22"/>
        </w:rPr>
        <w:t> </w:t>
      </w:r>
      <w:r>
        <w:rPr>
          <w:sz w:val="22"/>
        </w:rPr>
        <w:t>O.F.</w:t>
      </w:r>
      <w:r>
        <w:rPr>
          <w:spacing w:val="69"/>
          <w:sz w:val="22"/>
        </w:rPr>
        <w:t> </w:t>
      </w:r>
      <w:r>
        <w:rPr>
          <w:sz w:val="22"/>
        </w:rPr>
        <w:t>(2008).</w:t>
      </w:r>
      <w:r>
        <w:rPr>
          <w:spacing w:val="4"/>
          <w:sz w:val="22"/>
        </w:rPr>
        <w:t> </w:t>
      </w:r>
      <w:r>
        <w:rPr>
          <w:sz w:val="22"/>
        </w:rPr>
        <w:t>The</w:t>
      </w:r>
      <w:r>
        <w:rPr>
          <w:spacing w:val="6"/>
          <w:sz w:val="22"/>
        </w:rPr>
        <w:t> </w:t>
      </w:r>
      <w:r>
        <w:rPr>
          <w:sz w:val="22"/>
        </w:rPr>
        <w:t>Impact</w:t>
      </w:r>
      <w:r>
        <w:rPr>
          <w:spacing w:val="8"/>
          <w:sz w:val="22"/>
        </w:rPr>
        <w:t> </w:t>
      </w:r>
      <w:r>
        <w:rPr>
          <w:sz w:val="22"/>
        </w:rPr>
        <w:t>of</w:t>
      </w:r>
      <w:r>
        <w:rPr>
          <w:spacing w:val="7"/>
          <w:sz w:val="22"/>
        </w:rPr>
        <w:t> </w:t>
      </w:r>
      <w:r>
        <w:rPr>
          <w:sz w:val="22"/>
        </w:rPr>
        <w:t>Nigeria’s</w:t>
      </w:r>
      <w:r>
        <w:rPr>
          <w:spacing w:val="9"/>
          <w:sz w:val="22"/>
        </w:rPr>
        <w:t> </w:t>
      </w:r>
      <w:r>
        <w:rPr>
          <w:sz w:val="22"/>
        </w:rPr>
        <w:t>External</w:t>
      </w:r>
      <w:r>
        <w:rPr>
          <w:spacing w:val="10"/>
          <w:sz w:val="22"/>
        </w:rPr>
        <w:t> </w:t>
      </w:r>
      <w:r>
        <w:rPr>
          <w:sz w:val="22"/>
        </w:rPr>
        <w:t>Debt</w:t>
      </w:r>
      <w:r>
        <w:rPr>
          <w:spacing w:val="10"/>
          <w:sz w:val="22"/>
        </w:rPr>
        <w:t> </w:t>
      </w:r>
      <w:r>
        <w:rPr>
          <w:sz w:val="22"/>
        </w:rPr>
        <w:t>Economic</w:t>
      </w:r>
      <w:r>
        <w:rPr>
          <w:spacing w:val="9"/>
          <w:sz w:val="22"/>
        </w:rPr>
        <w:t> </w:t>
      </w:r>
      <w:r>
        <w:rPr>
          <w:spacing w:val="-2"/>
          <w:sz w:val="22"/>
        </w:rPr>
        <w:t>Development.</w:t>
      </w:r>
    </w:p>
    <w:p>
      <w:pPr>
        <w:spacing w:before="4"/>
        <w:ind w:left="1431" w:right="0" w:firstLine="0"/>
        <w:jc w:val="left"/>
        <w:rPr>
          <w:sz w:val="22"/>
        </w:rPr>
      </w:pPr>
      <w:r>
        <w:rPr>
          <w:i/>
          <w:sz w:val="22"/>
        </w:rPr>
        <w:t>International</w:t>
      </w:r>
      <w:r>
        <w:rPr>
          <w:i/>
          <w:spacing w:val="-9"/>
          <w:sz w:val="22"/>
        </w:rPr>
        <w:t> </w:t>
      </w:r>
      <w:r>
        <w:rPr>
          <w:i/>
          <w:sz w:val="22"/>
        </w:rPr>
        <w:t>Journal</w:t>
      </w:r>
      <w:r>
        <w:rPr>
          <w:i/>
          <w:spacing w:val="-4"/>
          <w:sz w:val="22"/>
        </w:rPr>
        <w:t> </w:t>
      </w:r>
      <w:r>
        <w:rPr>
          <w:i/>
          <w:sz w:val="22"/>
        </w:rPr>
        <w:t>of</w:t>
      </w:r>
      <w:r>
        <w:rPr>
          <w:i/>
          <w:spacing w:val="-4"/>
          <w:sz w:val="22"/>
        </w:rPr>
        <w:t> </w:t>
      </w:r>
      <w:r>
        <w:rPr>
          <w:i/>
          <w:sz w:val="22"/>
        </w:rPr>
        <w:t>Emerging</w:t>
      </w:r>
      <w:r>
        <w:rPr>
          <w:i/>
          <w:spacing w:val="-7"/>
          <w:sz w:val="22"/>
        </w:rPr>
        <w:t> </w:t>
      </w:r>
      <w:r>
        <w:rPr>
          <w:i/>
          <w:sz w:val="22"/>
        </w:rPr>
        <w:t>Markets,</w:t>
      </w:r>
      <w:r>
        <w:rPr>
          <w:i/>
          <w:spacing w:val="-5"/>
          <w:sz w:val="22"/>
        </w:rPr>
        <w:t> </w:t>
      </w:r>
      <w:r>
        <w:rPr>
          <w:i/>
          <w:sz w:val="22"/>
        </w:rPr>
        <w:t>Vol</w:t>
      </w:r>
      <w:r>
        <w:rPr>
          <w:i/>
          <w:spacing w:val="-1"/>
          <w:sz w:val="22"/>
        </w:rPr>
        <w:t> </w:t>
      </w:r>
      <w:r>
        <w:rPr>
          <w:i/>
          <w:sz w:val="22"/>
        </w:rPr>
        <w:t>3,</w:t>
      </w:r>
      <w:r>
        <w:rPr>
          <w:i/>
          <w:spacing w:val="-6"/>
          <w:sz w:val="22"/>
        </w:rPr>
        <w:t> </w:t>
      </w:r>
      <w:r>
        <w:rPr>
          <w:sz w:val="22"/>
        </w:rPr>
        <w:t>285-</w:t>
      </w:r>
      <w:r>
        <w:rPr>
          <w:spacing w:val="-4"/>
          <w:sz w:val="22"/>
        </w:rPr>
        <w:t>301.</w:t>
      </w:r>
    </w:p>
    <w:p>
      <w:pPr>
        <w:tabs>
          <w:tab w:pos="9353" w:val="left" w:leader="none"/>
        </w:tabs>
        <w:spacing w:before="236"/>
        <w:ind w:left="711" w:right="0" w:firstLine="0"/>
        <w:jc w:val="left"/>
        <w:rPr>
          <w:i/>
          <w:sz w:val="22"/>
        </w:rPr>
      </w:pPr>
      <w:r>
        <w:rPr>
          <w:sz w:val="22"/>
        </w:rPr>
        <w:t>Ajayi</w:t>
      </w:r>
      <w:r>
        <w:rPr>
          <w:spacing w:val="-3"/>
          <w:sz w:val="22"/>
        </w:rPr>
        <w:t> </w:t>
      </w:r>
      <w:r>
        <w:rPr>
          <w:sz w:val="22"/>
        </w:rPr>
        <w:t>,</w:t>
      </w:r>
      <w:r>
        <w:rPr>
          <w:spacing w:val="-3"/>
          <w:sz w:val="22"/>
        </w:rPr>
        <w:t> </w:t>
      </w:r>
      <w:r>
        <w:rPr>
          <w:sz w:val="22"/>
        </w:rPr>
        <w:t>L.B.</w:t>
      </w:r>
      <w:r>
        <w:rPr>
          <w:spacing w:val="-4"/>
          <w:sz w:val="22"/>
        </w:rPr>
        <w:t> </w:t>
      </w:r>
      <w:r>
        <w:rPr>
          <w:sz w:val="22"/>
        </w:rPr>
        <w:t>(2012).</w:t>
      </w:r>
      <w:r>
        <w:rPr>
          <w:spacing w:val="-3"/>
          <w:sz w:val="22"/>
        </w:rPr>
        <w:t> </w:t>
      </w:r>
      <w:r>
        <w:rPr>
          <w:sz w:val="22"/>
        </w:rPr>
        <w:t>Capital</w:t>
      </w:r>
      <w:r>
        <w:rPr>
          <w:spacing w:val="-5"/>
          <w:sz w:val="22"/>
        </w:rPr>
        <w:t> </w:t>
      </w:r>
      <w:r>
        <w:rPr>
          <w:sz w:val="22"/>
        </w:rPr>
        <w:t>Flight</w:t>
      </w:r>
      <w:r>
        <w:rPr>
          <w:spacing w:val="-3"/>
          <w:sz w:val="22"/>
        </w:rPr>
        <w:t> </w:t>
      </w:r>
      <w:r>
        <w:rPr>
          <w:sz w:val="22"/>
        </w:rPr>
        <w:t>and</w:t>
      </w:r>
      <w:r>
        <w:rPr>
          <w:spacing w:val="-3"/>
          <w:sz w:val="22"/>
        </w:rPr>
        <w:t> </w:t>
      </w:r>
      <w:r>
        <w:rPr>
          <w:sz w:val="22"/>
        </w:rPr>
        <w:t>Nigeria</w:t>
      </w:r>
      <w:r>
        <w:rPr>
          <w:spacing w:val="-3"/>
          <w:sz w:val="22"/>
        </w:rPr>
        <w:t> </w:t>
      </w:r>
      <w:r>
        <w:rPr>
          <w:sz w:val="22"/>
        </w:rPr>
        <w:t>Economic</w:t>
      </w:r>
      <w:r>
        <w:rPr>
          <w:spacing w:val="-4"/>
          <w:sz w:val="22"/>
        </w:rPr>
        <w:t> </w:t>
      </w:r>
      <w:r>
        <w:rPr>
          <w:sz w:val="22"/>
        </w:rPr>
        <w:t>Growth.</w:t>
      </w:r>
      <w:r>
        <w:rPr>
          <w:spacing w:val="-3"/>
          <w:sz w:val="22"/>
        </w:rPr>
        <w:t> </w:t>
      </w:r>
      <w:r>
        <w:rPr>
          <w:i/>
          <w:sz w:val="22"/>
        </w:rPr>
        <w:t>Asian</w:t>
      </w:r>
      <w:r>
        <w:rPr>
          <w:i/>
          <w:spacing w:val="-6"/>
          <w:sz w:val="22"/>
        </w:rPr>
        <w:t> </w:t>
      </w:r>
      <w:r>
        <w:rPr>
          <w:i/>
          <w:sz w:val="22"/>
        </w:rPr>
        <w:t>Journal</w:t>
      </w:r>
      <w:r>
        <w:rPr>
          <w:i/>
          <w:spacing w:val="-3"/>
          <w:sz w:val="22"/>
        </w:rPr>
        <w:t> </w:t>
      </w:r>
      <w:r>
        <w:rPr>
          <w:i/>
          <w:sz w:val="22"/>
        </w:rPr>
        <w:t>of</w:t>
      </w:r>
      <w:r>
        <w:rPr>
          <w:i/>
          <w:spacing w:val="-2"/>
          <w:sz w:val="22"/>
        </w:rPr>
        <w:t> </w:t>
      </w:r>
      <w:r>
        <w:rPr>
          <w:i/>
          <w:sz w:val="22"/>
        </w:rPr>
        <w:t>Finance</w:t>
      </w:r>
      <w:r>
        <w:rPr>
          <w:i/>
          <w:spacing w:val="-3"/>
          <w:sz w:val="22"/>
        </w:rPr>
        <w:t> </w:t>
      </w:r>
      <w:r>
        <w:rPr>
          <w:i/>
          <w:spacing w:val="-10"/>
          <w:sz w:val="22"/>
        </w:rPr>
        <w:t>&amp;</w:t>
      </w:r>
      <w:r>
        <w:rPr>
          <w:i/>
          <w:sz w:val="22"/>
        </w:rPr>
        <w:tab/>
      </w:r>
      <w:r>
        <w:rPr>
          <w:i/>
          <w:spacing w:val="-2"/>
          <w:sz w:val="22"/>
        </w:rPr>
        <w:t>Accounting.Vol.4</w:t>
      </w:r>
    </w:p>
    <w:p>
      <w:pPr>
        <w:spacing w:before="2"/>
        <w:ind w:left="711" w:right="0" w:firstLine="0"/>
        <w:jc w:val="left"/>
        <w:rPr>
          <w:sz w:val="22"/>
        </w:rPr>
      </w:pPr>
      <w:r>
        <w:rPr>
          <w:sz w:val="22"/>
        </w:rPr>
        <w:t>No2.</w:t>
      </w:r>
      <w:r>
        <w:rPr>
          <w:spacing w:val="47"/>
          <w:sz w:val="22"/>
        </w:rPr>
        <w:t> </w:t>
      </w:r>
      <w:r>
        <w:rPr>
          <w:sz w:val="22"/>
        </w:rPr>
        <w:t>277-</w:t>
      </w:r>
      <w:r>
        <w:rPr>
          <w:spacing w:val="-5"/>
          <w:sz w:val="22"/>
        </w:rPr>
        <w:t>289</w:t>
      </w:r>
    </w:p>
    <w:p>
      <w:pPr>
        <w:tabs>
          <w:tab w:pos="9353" w:val="left" w:leader="none"/>
          <w:tab w:pos="10495" w:val="left" w:leader="none"/>
        </w:tabs>
        <w:spacing w:before="239"/>
        <w:ind w:left="711" w:right="469" w:firstLine="0"/>
        <w:jc w:val="left"/>
        <w:rPr>
          <w:sz w:val="22"/>
        </w:rPr>
      </w:pPr>
      <w:r>
        <w:rPr>
          <w:color w:val="221F1F"/>
          <w:sz w:val="22"/>
        </w:rPr>
        <w:t>Akanni, O. L</w:t>
      </w:r>
      <w:r>
        <w:rPr>
          <w:sz w:val="22"/>
        </w:rPr>
        <w:t>. (2007). An Econometric Analysis of Capital Flight from Nigeria: A Portfolio</w:t>
        <w:tab/>
      </w:r>
      <w:r>
        <w:rPr>
          <w:spacing w:val="-2"/>
          <w:sz w:val="22"/>
        </w:rPr>
        <w:t>Approach.</w:t>
      </w:r>
      <w:r>
        <w:rPr>
          <w:sz w:val="22"/>
        </w:rPr>
        <w:tab/>
      </w:r>
      <w:r>
        <w:rPr>
          <w:i/>
          <w:spacing w:val="-2"/>
          <w:sz w:val="22"/>
        </w:rPr>
        <w:t>African </w:t>
      </w:r>
      <w:r>
        <w:rPr>
          <w:i/>
          <w:sz w:val="22"/>
        </w:rPr>
        <w:t>Economic Reseach Consortium</w:t>
      </w:r>
      <w:r>
        <w:rPr>
          <w:sz w:val="22"/>
        </w:rPr>
        <w:t>. Paper 16</w:t>
      </w:r>
    </w:p>
    <w:p>
      <w:pPr>
        <w:tabs>
          <w:tab w:pos="4312" w:val="left" w:leader="none"/>
        </w:tabs>
        <w:spacing w:before="241"/>
        <w:ind w:left="711" w:right="585" w:firstLine="0"/>
        <w:jc w:val="left"/>
        <w:rPr>
          <w:sz w:val="22"/>
        </w:rPr>
      </w:pPr>
      <w:r>
        <w:rPr>
          <w:sz w:val="22"/>
        </w:rPr>
        <w:t>Acemoglu, D., Johnson, S. &amp; Robinson, J. (2001). The Colonial Origins of Comparative Development: an Empirical Investigation.</w:t>
      </w:r>
      <w:r>
        <w:rPr>
          <w:spacing w:val="40"/>
          <w:sz w:val="22"/>
        </w:rPr>
        <w:t> </w:t>
      </w:r>
      <w:r>
        <w:rPr>
          <w:i/>
          <w:sz w:val="22"/>
        </w:rPr>
        <w:t>American Economic</w:t>
        <w:tab/>
        <w:t>Review, 91(5),</w:t>
      </w:r>
      <w:r>
        <w:rPr>
          <w:i/>
          <w:spacing w:val="40"/>
          <w:sz w:val="22"/>
        </w:rPr>
        <w:t> </w:t>
      </w:r>
      <w:r>
        <w:rPr>
          <w:sz w:val="22"/>
        </w:rPr>
        <w:t>1369–401.</w:t>
      </w:r>
    </w:p>
    <w:p>
      <w:pPr>
        <w:tabs>
          <w:tab w:pos="8633" w:val="left" w:leader="none"/>
        </w:tabs>
        <w:spacing w:before="238"/>
        <w:ind w:left="711" w:right="0" w:firstLine="0"/>
        <w:jc w:val="left"/>
        <w:rPr>
          <w:sz w:val="22"/>
        </w:rPr>
      </w:pPr>
      <w:r>
        <w:rPr>
          <w:sz w:val="22"/>
        </w:rPr>
        <w:t>Acemoglu,</w:t>
      </w:r>
      <w:r>
        <w:rPr>
          <w:spacing w:val="-5"/>
          <w:sz w:val="22"/>
        </w:rPr>
        <w:t> </w:t>
      </w:r>
      <w:r>
        <w:rPr>
          <w:sz w:val="22"/>
        </w:rPr>
        <w:t>D.,</w:t>
      </w:r>
      <w:r>
        <w:rPr>
          <w:spacing w:val="-4"/>
          <w:sz w:val="22"/>
        </w:rPr>
        <w:t> </w:t>
      </w:r>
      <w:r>
        <w:rPr>
          <w:sz w:val="22"/>
        </w:rPr>
        <w:t>Johnson,</w:t>
      </w:r>
      <w:r>
        <w:rPr>
          <w:spacing w:val="-3"/>
          <w:sz w:val="22"/>
        </w:rPr>
        <w:t> </w:t>
      </w:r>
      <w:r>
        <w:rPr>
          <w:sz w:val="22"/>
        </w:rPr>
        <w:t>S.,</w:t>
      </w:r>
      <w:r>
        <w:rPr>
          <w:spacing w:val="-4"/>
          <w:sz w:val="22"/>
        </w:rPr>
        <w:t> </w:t>
      </w:r>
      <w:r>
        <w:rPr>
          <w:sz w:val="22"/>
        </w:rPr>
        <w:t>Robinson,</w:t>
      </w:r>
      <w:r>
        <w:rPr>
          <w:spacing w:val="-5"/>
          <w:sz w:val="22"/>
        </w:rPr>
        <w:t> </w:t>
      </w:r>
      <w:r>
        <w:rPr>
          <w:sz w:val="22"/>
        </w:rPr>
        <w:t>J.</w:t>
      </w:r>
      <w:r>
        <w:rPr>
          <w:spacing w:val="-5"/>
          <w:sz w:val="22"/>
        </w:rPr>
        <w:t> </w:t>
      </w:r>
      <w:r>
        <w:rPr>
          <w:sz w:val="22"/>
        </w:rPr>
        <w:t>and</w:t>
      </w:r>
      <w:r>
        <w:rPr>
          <w:spacing w:val="-4"/>
          <w:sz w:val="22"/>
        </w:rPr>
        <w:t> </w:t>
      </w:r>
      <w:r>
        <w:rPr>
          <w:sz w:val="22"/>
        </w:rPr>
        <w:t>Thaicharoen,</w:t>
      </w:r>
      <w:r>
        <w:rPr>
          <w:spacing w:val="-2"/>
          <w:sz w:val="22"/>
        </w:rPr>
        <w:t> </w:t>
      </w:r>
      <w:r>
        <w:rPr>
          <w:sz w:val="22"/>
        </w:rPr>
        <w:t>Y.(2005).</w:t>
      </w:r>
      <w:r>
        <w:rPr>
          <w:spacing w:val="1"/>
          <w:sz w:val="22"/>
        </w:rPr>
        <w:t> </w:t>
      </w:r>
      <w:r>
        <w:rPr>
          <w:spacing w:val="-2"/>
          <w:sz w:val="22"/>
        </w:rPr>
        <w:t>Institutional</w:t>
      </w:r>
      <w:r>
        <w:rPr>
          <w:sz w:val="22"/>
        </w:rPr>
        <w:tab/>
      </w:r>
      <w:r>
        <w:rPr>
          <w:spacing w:val="-2"/>
          <w:sz w:val="22"/>
        </w:rPr>
        <w:t>Causes,</w:t>
      </w:r>
    </w:p>
    <w:p>
      <w:pPr>
        <w:spacing w:before="1"/>
        <w:ind w:left="1431" w:right="0" w:firstLine="0"/>
        <w:jc w:val="left"/>
        <w:rPr>
          <w:sz w:val="22"/>
        </w:rPr>
      </w:pPr>
      <w:r>
        <w:rPr>
          <w:sz w:val="22"/>
        </w:rPr>
        <w:t>Macroeconomic</w:t>
      </w:r>
      <w:r>
        <w:rPr>
          <w:spacing w:val="-6"/>
          <w:sz w:val="22"/>
        </w:rPr>
        <w:t> </w:t>
      </w:r>
      <w:r>
        <w:rPr>
          <w:sz w:val="22"/>
        </w:rPr>
        <w:t>Symptoms:</w:t>
      </w:r>
      <w:r>
        <w:rPr>
          <w:spacing w:val="-2"/>
          <w:sz w:val="22"/>
        </w:rPr>
        <w:t> </w:t>
      </w:r>
      <w:r>
        <w:rPr>
          <w:sz w:val="22"/>
        </w:rPr>
        <w:t>Volatility,</w:t>
      </w:r>
      <w:r>
        <w:rPr>
          <w:spacing w:val="-4"/>
          <w:sz w:val="22"/>
        </w:rPr>
        <w:t> </w:t>
      </w:r>
      <w:r>
        <w:rPr>
          <w:sz w:val="22"/>
        </w:rPr>
        <w:t>Crises</w:t>
      </w:r>
      <w:r>
        <w:rPr>
          <w:spacing w:val="-6"/>
          <w:sz w:val="22"/>
        </w:rPr>
        <w:t> </w:t>
      </w:r>
      <w:r>
        <w:rPr>
          <w:sz w:val="22"/>
        </w:rPr>
        <w:t>and</w:t>
      </w:r>
      <w:r>
        <w:rPr>
          <w:spacing w:val="-4"/>
          <w:sz w:val="22"/>
        </w:rPr>
        <w:t> </w:t>
      </w:r>
      <w:r>
        <w:rPr>
          <w:sz w:val="22"/>
        </w:rPr>
        <w:t>Growth.</w:t>
      </w:r>
      <w:r>
        <w:rPr>
          <w:spacing w:val="48"/>
          <w:sz w:val="22"/>
        </w:rPr>
        <w:t> </w:t>
      </w:r>
      <w:r>
        <w:rPr>
          <w:i/>
          <w:sz w:val="22"/>
        </w:rPr>
        <w:t>Journal</w:t>
      </w:r>
      <w:r>
        <w:rPr>
          <w:i/>
          <w:spacing w:val="-3"/>
          <w:sz w:val="22"/>
        </w:rPr>
        <w:t> </w:t>
      </w:r>
      <w:r>
        <w:rPr>
          <w:i/>
          <w:sz w:val="22"/>
        </w:rPr>
        <w:t>of</w:t>
      </w:r>
      <w:r>
        <w:rPr>
          <w:i/>
          <w:spacing w:val="-6"/>
          <w:sz w:val="22"/>
        </w:rPr>
        <w:t> </w:t>
      </w:r>
      <w:r>
        <w:rPr>
          <w:i/>
          <w:sz w:val="22"/>
        </w:rPr>
        <w:t>Monetary</w:t>
      </w:r>
      <w:r>
        <w:rPr>
          <w:i/>
          <w:spacing w:val="7"/>
          <w:sz w:val="22"/>
        </w:rPr>
        <w:t> </w:t>
      </w:r>
      <w:r>
        <w:rPr>
          <w:i/>
          <w:sz w:val="22"/>
        </w:rPr>
        <w:t>Economics</w:t>
      </w:r>
      <w:r>
        <w:rPr>
          <w:sz w:val="22"/>
        </w:rPr>
        <w:t>,</w:t>
      </w:r>
      <w:r>
        <w:rPr>
          <w:spacing w:val="-4"/>
          <w:sz w:val="22"/>
        </w:rPr>
        <w:t> </w:t>
      </w:r>
      <w:r>
        <w:rPr>
          <w:i/>
          <w:sz w:val="22"/>
        </w:rPr>
        <w:t>50(1</w:t>
      </w:r>
      <w:r>
        <w:rPr>
          <w:sz w:val="22"/>
        </w:rPr>
        <w:t>),</w:t>
      </w:r>
      <w:r>
        <w:rPr>
          <w:spacing w:val="46"/>
          <w:sz w:val="22"/>
        </w:rPr>
        <w:t> </w:t>
      </w:r>
      <w:r>
        <w:rPr>
          <w:sz w:val="22"/>
        </w:rPr>
        <w:t>49-</w:t>
      </w:r>
      <w:r>
        <w:rPr>
          <w:spacing w:val="-4"/>
          <w:sz w:val="22"/>
        </w:rPr>
        <w:t>123.</w:t>
      </w:r>
    </w:p>
    <w:p>
      <w:pPr>
        <w:spacing w:before="239"/>
        <w:ind w:left="711" w:right="0" w:firstLine="0"/>
        <w:jc w:val="left"/>
        <w:rPr>
          <w:sz w:val="22"/>
        </w:rPr>
      </w:pPr>
      <w:r>
        <w:rPr>
          <w:sz w:val="22"/>
        </w:rPr>
        <w:t>Ajayi,</w:t>
      </w:r>
      <w:r>
        <w:rPr>
          <w:spacing w:val="-4"/>
          <w:sz w:val="22"/>
        </w:rPr>
        <w:t> </w:t>
      </w:r>
      <w:r>
        <w:rPr>
          <w:sz w:val="22"/>
        </w:rPr>
        <w:t>S.</w:t>
      </w:r>
      <w:r>
        <w:rPr>
          <w:spacing w:val="-3"/>
          <w:sz w:val="22"/>
        </w:rPr>
        <w:t> </w:t>
      </w:r>
      <w:r>
        <w:rPr>
          <w:sz w:val="22"/>
        </w:rPr>
        <w:t>I.</w:t>
      </w:r>
      <w:r>
        <w:rPr>
          <w:spacing w:val="-3"/>
          <w:sz w:val="22"/>
        </w:rPr>
        <w:t> </w:t>
      </w:r>
      <w:r>
        <w:rPr>
          <w:sz w:val="22"/>
        </w:rPr>
        <w:t>(1996).</w:t>
      </w:r>
      <w:r>
        <w:rPr>
          <w:spacing w:val="-3"/>
          <w:sz w:val="22"/>
        </w:rPr>
        <w:t> </w:t>
      </w:r>
      <w:r>
        <w:rPr>
          <w:sz w:val="22"/>
        </w:rPr>
        <w:t>Capital</w:t>
      </w:r>
      <w:r>
        <w:rPr>
          <w:spacing w:val="-5"/>
          <w:sz w:val="22"/>
        </w:rPr>
        <w:t> </w:t>
      </w:r>
      <w:r>
        <w:rPr>
          <w:sz w:val="22"/>
        </w:rPr>
        <w:t>flight</w:t>
      </w:r>
      <w:r>
        <w:rPr>
          <w:spacing w:val="-3"/>
          <w:sz w:val="22"/>
        </w:rPr>
        <w:t> </w:t>
      </w:r>
      <w:r>
        <w:rPr>
          <w:sz w:val="22"/>
        </w:rPr>
        <w:t>and</w:t>
      </w:r>
      <w:r>
        <w:rPr>
          <w:spacing w:val="-3"/>
          <w:sz w:val="22"/>
        </w:rPr>
        <w:t> </w:t>
      </w:r>
      <w:r>
        <w:rPr>
          <w:sz w:val="22"/>
        </w:rPr>
        <w:t>External</w:t>
      </w:r>
      <w:r>
        <w:rPr>
          <w:spacing w:val="-2"/>
          <w:sz w:val="22"/>
        </w:rPr>
        <w:t> </w:t>
      </w:r>
      <w:r>
        <w:rPr>
          <w:sz w:val="22"/>
        </w:rPr>
        <w:t>Debt</w:t>
      </w:r>
      <w:r>
        <w:rPr>
          <w:spacing w:val="-2"/>
          <w:sz w:val="22"/>
        </w:rPr>
        <w:t> </w:t>
      </w:r>
      <w:r>
        <w:rPr>
          <w:sz w:val="22"/>
        </w:rPr>
        <w:t>in</w:t>
      </w:r>
      <w:r>
        <w:rPr>
          <w:spacing w:val="-3"/>
          <w:sz w:val="22"/>
        </w:rPr>
        <w:t> </w:t>
      </w:r>
      <w:r>
        <w:rPr>
          <w:sz w:val="22"/>
        </w:rPr>
        <w:t>Nigeria,</w:t>
      </w:r>
      <w:r>
        <w:rPr>
          <w:spacing w:val="-3"/>
          <w:sz w:val="22"/>
        </w:rPr>
        <w:t> </w:t>
      </w:r>
      <w:r>
        <w:rPr>
          <w:i/>
          <w:sz w:val="22"/>
        </w:rPr>
        <w:t>World</w:t>
      </w:r>
      <w:r>
        <w:rPr>
          <w:i/>
          <w:spacing w:val="-3"/>
          <w:sz w:val="22"/>
        </w:rPr>
        <w:t> </w:t>
      </w:r>
      <w:r>
        <w:rPr>
          <w:i/>
          <w:sz w:val="22"/>
        </w:rPr>
        <w:t>Research</w:t>
      </w:r>
      <w:r>
        <w:rPr>
          <w:i/>
          <w:spacing w:val="-3"/>
          <w:sz w:val="22"/>
        </w:rPr>
        <w:t> </w:t>
      </w:r>
      <w:r>
        <w:rPr>
          <w:i/>
          <w:sz w:val="22"/>
        </w:rPr>
        <w:t>Paper</w:t>
      </w:r>
      <w:r>
        <w:rPr>
          <w:i/>
          <w:spacing w:val="-2"/>
          <w:sz w:val="22"/>
        </w:rPr>
        <w:t> </w:t>
      </w:r>
      <w:r>
        <w:rPr>
          <w:i/>
          <w:sz w:val="22"/>
        </w:rPr>
        <w:t>No.35</w:t>
      </w:r>
      <w:r>
        <w:rPr>
          <w:sz w:val="22"/>
        </w:rPr>
        <w:t>,</w:t>
      </w:r>
      <w:r>
        <w:rPr>
          <w:spacing w:val="-3"/>
          <w:sz w:val="22"/>
        </w:rPr>
        <w:t> </w:t>
      </w:r>
      <w:r>
        <w:rPr>
          <w:spacing w:val="-2"/>
          <w:sz w:val="22"/>
        </w:rPr>
        <w:t>Nairobi</w:t>
      </w:r>
    </w:p>
    <w:p>
      <w:pPr>
        <w:tabs>
          <w:tab w:pos="9353" w:val="left" w:leader="none"/>
        </w:tabs>
        <w:spacing w:before="242"/>
        <w:ind w:left="711" w:right="0" w:firstLine="0"/>
        <w:jc w:val="left"/>
        <w:rPr>
          <w:sz w:val="22"/>
        </w:rPr>
      </w:pPr>
      <w:r>
        <w:rPr>
          <w:sz w:val="22"/>
        </w:rPr>
        <w:t>Ajayi,</w:t>
      </w:r>
      <w:r>
        <w:rPr>
          <w:spacing w:val="-3"/>
          <w:sz w:val="22"/>
        </w:rPr>
        <w:t> </w:t>
      </w:r>
      <w:r>
        <w:rPr>
          <w:sz w:val="22"/>
        </w:rPr>
        <w:t>I.</w:t>
      </w:r>
      <w:r>
        <w:rPr>
          <w:spacing w:val="-2"/>
          <w:sz w:val="22"/>
        </w:rPr>
        <w:t> </w:t>
      </w:r>
      <w:r>
        <w:rPr>
          <w:sz w:val="22"/>
        </w:rPr>
        <w:t>S.</w:t>
      </w:r>
      <w:r>
        <w:rPr>
          <w:spacing w:val="-3"/>
          <w:sz w:val="22"/>
        </w:rPr>
        <w:t> </w:t>
      </w:r>
      <w:r>
        <w:rPr>
          <w:sz w:val="22"/>
        </w:rPr>
        <w:t>(1992).</w:t>
      </w:r>
      <w:r>
        <w:rPr>
          <w:spacing w:val="-2"/>
          <w:sz w:val="22"/>
        </w:rPr>
        <w:t> </w:t>
      </w:r>
      <w:r>
        <w:rPr>
          <w:sz w:val="22"/>
        </w:rPr>
        <w:t>An</w:t>
      </w:r>
      <w:r>
        <w:rPr>
          <w:spacing w:val="-3"/>
          <w:sz w:val="22"/>
        </w:rPr>
        <w:t> </w:t>
      </w:r>
      <w:r>
        <w:rPr>
          <w:sz w:val="22"/>
        </w:rPr>
        <w:t>Economic</w:t>
      </w:r>
      <w:r>
        <w:rPr>
          <w:spacing w:val="-2"/>
          <w:sz w:val="22"/>
        </w:rPr>
        <w:t> </w:t>
      </w:r>
      <w:r>
        <w:rPr>
          <w:sz w:val="22"/>
        </w:rPr>
        <w:t>Analysis</w:t>
      </w:r>
      <w:r>
        <w:rPr>
          <w:spacing w:val="-3"/>
          <w:sz w:val="22"/>
        </w:rPr>
        <w:t> </w:t>
      </w:r>
      <w:r>
        <w:rPr>
          <w:sz w:val="22"/>
        </w:rPr>
        <w:t>of</w:t>
      </w:r>
      <w:r>
        <w:rPr>
          <w:spacing w:val="-2"/>
          <w:sz w:val="22"/>
        </w:rPr>
        <w:t> </w:t>
      </w:r>
      <w:r>
        <w:rPr>
          <w:sz w:val="22"/>
        </w:rPr>
        <w:t>Capital</w:t>
      </w:r>
      <w:r>
        <w:rPr>
          <w:spacing w:val="-4"/>
          <w:sz w:val="22"/>
        </w:rPr>
        <w:t> </w:t>
      </w:r>
      <w:r>
        <w:rPr>
          <w:sz w:val="22"/>
        </w:rPr>
        <w:t>Flight</w:t>
      </w:r>
      <w:r>
        <w:rPr>
          <w:spacing w:val="-2"/>
          <w:sz w:val="22"/>
        </w:rPr>
        <w:t> </w:t>
      </w:r>
      <w:r>
        <w:rPr>
          <w:sz w:val="22"/>
        </w:rPr>
        <w:t>from</w:t>
      </w:r>
      <w:r>
        <w:rPr>
          <w:spacing w:val="-6"/>
          <w:sz w:val="22"/>
        </w:rPr>
        <w:t> </w:t>
      </w:r>
      <w:r>
        <w:rPr>
          <w:sz w:val="22"/>
        </w:rPr>
        <w:t>Nigeria.</w:t>
      </w:r>
      <w:r>
        <w:rPr>
          <w:spacing w:val="-3"/>
          <w:sz w:val="22"/>
        </w:rPr>
        <w:t> </w:t>
      </w:r>
      <w:r>
        <w:rPr>
          <w:i/>
          <w:sz w:val="22"/>
        </w:rPr>
        <w:t>World</w:t>
      </w:r>
      <w:r>
        <w:rPr>
          <w:i/>
          <w:spacing w:val="-4"/>
          <w:sz w:val="22"/>
        </w:rPr>
        <w:t> </w:t>
      </w:r>
      <w:r>
        <w:rPr>
          <w:i/>
          <w:sz w:val="22"/>
        </w:rPr>
        <w:t>Bank</w:t>
      </w:r>
      <w:r>
        <w:rPr>
          <w:i/>
          <w:spacing w:val="-2"/>
          <w:sz w:val="22"/>
        </w:rPr>
        <w:t> Working</w:t>
      </w:r>
      <w:r>
        <w:rPr>
          <w:i/>
          <w:sz w:val="22"/>
        </w:rPr>
        <w:tab/>
        <w:t>Paper </w:t>
      </w:r>
      <w:r>
        <w:rPr>
          <w:spacing w:val="-4"/>
          <w:sz w:val="22"/>
        </w:rPr>
        <w:t>993.</w:t>
      </w:r>
    </w:p>
    <w:p>
      <w:pPr>
        <w:tabs>
          <w:tab w:pos="7912" w:val="left" w:leader="none"/>
          <w:tab w:pos="10073" w:val="left" w:leader="none"/>
        </w:tabs>
        <w:spacing w:before="239"/>
        <w:ind w:left="711" w:right="1072" w:firstLine="0"/>
        <w:jc w:val="left"/>
        <w:rPr>
          <w:sz w:val="22"/>
        </w:rPr>
      </w:pPr>
      <w:r>
        <w:rPr>
          <w:sz w:val="22"/>
        </w:rPr>
        <w:t>Ajayi I. S. (1997). An Analysis of External Debt and Capital Flight in the</w:t>
        <w:tab/>
        <w:t>Severely Indebted</w:t>
        <w:tab/>
      </w:r>
      <w:r>
        <w:rPr>
          <w:spacing w:val="-4"/>
          <w:sz w:val="22"/>
        </w:rPr>
        <w:t>Low- </w:t>
      </w:r>
      <w:r>
        <w:rPr>
          <w:sz w:val="22"/>
        </w:rPr>
        <w:t>Income Countries in Sub-Saharan Africa. </w:t>
      </w:r>
      <w:r>
        <w:rPr>
          <w:i/>
          <w:sz w:val="22"/>
        </w:rPr>
        <w:t>International Monetary Fund Working</w:t>
      </w:r>
      <w:r>
        <w:rPr>
          <w:i/>
          <w:spacing w:val="40"/>
          <w:sz w:val="22"/>
        </w:rPr>
        <w:t> </w:t>
      </w:r>
      <w:r>
        <w:rPr>
          <w:i/>
          <w:sz w:val="22"/>
        </w:rPr>
        <w:t>Paper </w:t>
      </w:r>
      <w:r>
        <w:rPr>
          <w:sz w:val="22"/>
        </w:rPr>
        <w:t>97/68.</w:t>
      </w:r>
    </w:p>
    <w:p>
      <w:pPr>
        <w:tabs>
          <w:tab w:pos="6472" w:val="left" w:leader="none"/>
        </w:tabs>
        <w:spacing w:before="240"/>
        <w:ind w:left="1431" w:right="469" w:hanging="721"/>
        <w:jc w:val="both"/>
        <w:rPr>
          <w:sz w:val="22"/>
        </w:rPr>
      </w:pPr>
      <w:r>
        <w:rPr>
          <w:sz w:val="22"/>
        </w:rPr>
        <w:t>Ajayi S. I. (2005). Managing capital flight: Issues and challenges. </w:t>
      </w:r>
      <w:r>
        <w:rPr>
          <w:i/>
          <w:sz w:val="22"/>
        </w:rPr>
        <w:t>Paper Presented at a Seminar Titled; Capital</w:t>
      </w:r>
      <w:r>
        <w:rPr>
          <w:i/>
          <w:spacing w:val="80"/>
          <w:sz w:val="22"/>
        </w:rPr>
        <w:t> </w:t>
      </w:r>
      <w:r>
        <w:rPr>
          <w:i/>
          <w:sz w:val="22"/>
        </w:rPr>
        <w:t>Flows and Economic Transformation in Nigeria</w:t>
      </w:r>
      <w:r>
        <w:rPr>
          <w:sz w:val="22"/>
        </w:rPr>
        <w:t>,</w:t>
        <w:tab/>
      </w:r>
      <w:r>
        <w:rPr>
          <w:i/>
          <w:sz w:val="22"/>
        </w:rPr>
        <w:t>at the Central Bank of Nigeria’s 5</w:t>
      </w:r>
      <w:r>
        <w:rPr>
          <w:i/>
          <w:sz w:val="22"/>
          <w:vertAlign w:val="superscript"/>
        </w:rPr>
        <w:t>th</w:t>
      </w:r>
      <w:r>
        <w:rPr>
          <w:i/>
          <w:sz w:val="22"/>
          <w:vertAlign w:val="baseline"/>
        </w:rPr>
        <w:t> Annual</w:t>
      </w:r>
      <w:r>
        <w:rPr>
          <w:i/>
          <w:spacing w:val="40"/>
          <w:sz w:val="22"/>
          <w:vertAlign w:val="baseline"/>
        </w:rPr>
        <w:t> </w:t>
      </w:r>
      <w:r>
        <w:rPr>
          <w:i/>
          <w:sz w:val="22"/>
          <w:vertAlign w:val="baseline"/>
        </w:rPr>
        <w:t>Monetary Policy Conference</w:t>
      </w:r>
      <w:r>
        <w:rPr>
          <w:sz w:val="22"/>
          <w:vertAlign w:val="baseline"/>
        </w:rPr>
        <w:t>,</w:t>
      </w:r>
      <w:r>
        <w:rPr>
          <w:spacing w:val="80"/>
          <w:sz w:val="22"/>
          <w:vertAlign w:val="baseline"/>
        </w:rPr>
        <w:t>  </w:t>
      </w:r>
      <w:r>
        <w:rPr>
          <w:sz w:val="22"/>
          <w:vertAlign w:val="baseline"/>
        </w:rPr>
        <w:t>CBN Conference Hall, Abuja 10-11</w:t>
      </w:r>
    </w:p>
    <w:p>
      <w:pPr>
        <w:tabs>
          <w:tab w:pos="10757" w:val="left" w:leader="none"/>
        </w:tabs>
        <w:spacing w:before="240"/>
        <w:ind w:left="711" w:right="468" w:firstLine="0"/>
        <w:jc w:val="left"/>
        <w:rPr>
          <w:sz w:val="22"/>
        </w:rPr>
      </w:pPr>
      <w:r>
        <w:rPr>
          <w:sz w:val="22"/>
        </w:rPr>
        <w:t>Ali and Benard Walter, (2011). Causes of Capital Flight from Sub-Saharan Africa. </w:t>
      </w:r>
      <w:r>
        <w:rPr>
          <w:i/>
          <w:sz w:val="22"/>
        </w:rPr>
        <w:t>University of</w:t>
      </w:r>
      <w:r>
        <w:rPr>
          <w:i/>
          <w:spacing w:val="80"/>
          <w:sz w:val="22"/>
        </w:rPr>
        <w:t> </w:t>
      </w:r>
      <w:r>
        <w:rPr>
          <w:i/>
          <w:sz w:val="22"/>
        </w:rPr>
        <w:t>Manchester;</w:t>
        <w:tab/>
      </w:r>
      <w:r>
        <w:rPr>
          <w:spacing w:val="-4"/>
          <w:sz w:val="22"/>
        </w:rPr>
        <w:t>F20, </w:t>
      </w:r>
      <w:r>
        <w:rPr>
          <w:sz w:val="22"/>
        </w:rPr>
        <w:t>E6, G11, 055</w:t>
      </w:r>
    </w:p>
    <w:p>
      <w:pPr>
        <w:spacing w:before="240"/>
        <w:ind w:left="711" w:right="470" w:firstLine="0"/>
        <w:jc w:val="both"/>
        <w:rPr>
          <w:sz w:val="22"/>
        </w:rPr>
      </w:pPr>
      <w:r>
        <w:rPr>
          <w:sz w:val="22"/>
        </w:rPr>
        <w:t>Almounsor,</w:t>
      </w:r>
      <w:r>
        <w:rPr>
          <w:spacing w:val="-2"/>
          <w:sz w:val="22"/>
        </w:rPr>
        <w:t> </w:t>
      </w:r>
      <w:r>
        <w:rPr>
          <w:sz w:val="22"/>
        </w:rPr>
        <w:t>A.</w:t>
      </w:r>
      <w:r>
        <w:rPr>
          <w:spacing w:val="-2"/>
          <w:sz w:val="22"/>
        </w:rPr>
        <w:t> </w:t>
      </w:r>
      <w:r>
        <w:rPr>
          <w:sz w:val="22"/>
        </w:rPr>
        <w:t>(2005).</w:t>
      </w:r>
      <w:r>
        <w:rPr>
          <w:spacing w:val="-1"/>
          <w:sz w:val="22"/>
        </w:rPr>
        <w:t> </w:t>
      </w:r>
      <w:r>
        <w:rPr>
          <w:i/>
          <w:sz w:val="22"/>
        </w:rPr>
        <w:t>A</w:t>
      </w:r>
      <w:r>
        <w:rPr>
          <w:i/>
          <w:spacing w:val="-2"/>
          <w:sz w:val="22"/>
        </w:rPr>
        <w:t> </w:t>
      </w:r>
      <w:r>
        <w:rPr>
          <w:i/>
          <w:sz w:val="22"/>
        </w:rPr>
        <w:t>Development</w:t>
      </w:r>
      <w:r>
        <w:rPr>
          <w:i/>
          <w:spacing w:val="-1"/>
          <w:sz w:val="22"/>
        </w:rPr>
        <w:t> </w:t>
      </w:r>
      <w:r>
        <w:rPr>
          <w:i/>
          <w:sz w:val="22"/>
        </w:rPr>
        <w:t>Comparative</w:t>
      </w:r>
      <w:r>
        <w:rPr>
          <w:i/>
          <w:spacing w:val="-2"/>
          <w:sz w:val="22"/>
        </w:rPr>
        <w:t> </w:t>
      </w:r>
      <w:r>
        <w:rPr>
          <w:i/>
          <w:sz w:val="22"/>
        </w:rPr>
        <w:t>Approach</w:t>
      </w:r>
      <w:r>
        <w:rPr>
          <w:i/>
          <w:spacing w:val="-5"/>
          <w:sz w:val="22"/>
        </w:rPr>
        <w:t> </w:t>
      </w:r>
      <w:r>
        <w:rPr>
          <w:i/>
          <w:sz w:val="22"/>
        </w:rPr>
        <w:t>to</w:t>
      </w:r>
      <w:r>
        <w:rPr>
          <w:i/>
          <w:spacing w:val="-2"/>
          <w:sz w:val="22"/>
        </w:rPr>
        <w:t> </w:t>
      </w:r>
      <w:r>
        <w:rPr>
          <w:i/>
          <w:sz w:val="22"/>
        </w:rPr>
        <w:t>Capital</w:t>
      </w:r>
      <w:r>
        <w:rPr>
          <w:i/>
          <w:spacing w:val="-1"/>
          <w:sz w:val="22"/>
        </w:rPr>
        <w:t> </w:t>
      </w:r>
      <w:r>
        <w:rPr>
          <w:i/>
          <w:sz w:val="22"/>
        </w:rPr>
        <w:t>Flight:</w:t>
      </w:r>
      <w:r>
        <w:rPr>
          <w:i/>
          <w:spacing w:val="-1"/>
          <w:sz w:val="22"/>
        </w:rPr>
        <w:t> </w:t>
      </w:r>
      <w:r>
        <w:rPr>
          <w:i/>
          <w:sz w:val="22"/>
        </w:rPr>
        <w:t>the</w:t>
      </w:r>
      <w:r>
        <w:rPr>
          <w:i/>
          <w:spacing w:val="-2"/>
          <w:sz w:val="22"/>
        </w:rPr>
        <w:t> </w:t>
      </w:r>
      <w:r>
        <w:rPr>
          <w:i/>
          <w:sz w:val="22"/>
        </w:rPr>
        <w:t>Case</w:t>
      </w:r>
      <w:r>
        <w:rPr>
          <w:i/>
          <w:spacing w:val="-2"/>
          <w:sz w:val="22"/>
        </w:rPr>
        <w:t> </w:t>
      </w:r>
      <w:r>
        <w:rPr>
          <w:i/>
          <w:sz w:val="22"/>
        </w:rPr>
        <w:t>of</w:t>
      </w:r>
      <w:r>
        <w:rPr>
          <w:i/>
          <w:spacing w:val="-1"/>
          <w:sz w:val="22"/>
        </w:rPr>
        <w:t> </w:t>
      </w:r>
      <w:r>
        <w:rPr>
          <w:i/>
          <w:sz w:val="22"/>
        </w:rPr>
        <w:t>the</w:t>
      </w:r>
      <w:r>
        <w:rPr>
          <w:i/>
          <w:spacing w:val="40"/>
          <w:sz w:val="22"/>
        </w:rPr>
        <w:t> </w:t>
      </w:r>
      <w:r>
        <w:rPr>
          <w:i/>
          <w:sz w:val="22"/>
        </w:rPr>
        <w:t>Middle</w:t>
      </w:r>
      <w:r>
        <w:rPr>
          <w:i/>
          <w:spacing w:val="80"/>
          <w:sz w:val="22"/>
        </w:rPr>
        <w:t> </w:t>
      </w:r>
      <w:r>
        <w:rPr>
          <w:i/>
          <w:sz w:val="22"/>
        </w:rPr>
        <w:t>East</w:t>
      </w:r>
      <w:r>
        <w:rPr>
          <w:i/>
          <w:spacing w:val="80"/>
          <w:sz w:val="22"/>
        </w:rPr>
        <w:t> </w:t>
      </w:r>
      <w:r>
        <w:rPr>
          <w:i/>
          <w:sz w:val="22"/>
        </w:rPr>
        <w:t>and North</w:t>
      </w:r>
      <w:r>
        <w:rPr>
          <w:i/>
          <w:spacing w:val="-2"/>
          <w:sz w:val="22"/>
        </w:rPr>
        <w:t> </w:t>
      </w:r>
      <w:r>
        <w:rPr>
          <w:i/>
          <w:sz w:val="22"/>
        </w:rPr>
        <w:t>Africa</w:t>
      </w:r>
      <w:r>
        <w:rPr>
          <w:sz w:val="22"/>
        </w:rPr>
        <w:t>,</w:t>
      </w:r>
      <w:r>
        <w:rPr>
          <w:spacing w:val="-2"/>
          <w:sz w:val="22"/>
        </w:rPr>
        <w:t> </w:t>
      </w:r>
      <w:r>
        <w:rPr>
          <w:i/>
          <w:sz w:val="22"/>
        </w:rPr>
        <w:t>1970-2002.</w:t>
      </w:r>
      <w:r>
        <w:rPr>
          <w:i/>
          <w:spacing w:val="-2"/>
          <w:sz w:val="22"/>
        </w:rPr>
        <w:t> </w:t>
      </w:r>
      <w:r>
        <w:rPr>
          <w:sz w:val="22"/>
        </w:rPr>
        <w:t>In</w:t>
      </w:r>
      <w:r>
        <w:rPr>
          <w:spacing w:val="-2"/>
          <w:sz w:val="22"/>
        </w:rPr>
        <w:t> </w:t>
      </w:r>
      <w:r>
        <w:rPr>
          <w:sz w:val="22"/>
        </w:rPr>
        <w:t>Gerald</w:t>
      </w:r>
      <w:r>
        <w:rPr>
          <w:spacing w:val="-2"/>
          <w:sz w:val="22"/>
        </w:rPr>
        <w:t> </w:t>
      </w:r>
      <w:r>
        <w:rPr>
          <w:sz w:val="22"/>
        </w:rPr>
        <w:t>Epstein</w:t>
      </w:r>
      <w:r>
        <w:rPr>
          <w:spacing w:val="-2"/>
          <w:sz w:val="22"/>
        </w:rPr>
        <w:t> </w:t>
      </w:r>
      <w:r>
        <w:rPr>
          <w:sz w:val="22"/>
        </w:rPr>
        <w:t>(Edition),</w:t>
      </w:r>
      <w:r>
        <w:rPr>
          <w:spacing w:val="-5"/>
          <w:sz w:val="22"/>
        </w:rPr>
        <w:t> </w:t>
      </w:r>
      <w:r>
        <w:rPr>
          <w:sz w:val="22"/>
        </w:rPr>
        <w:t>Capital</w:t>
      </w:r>
      <w:r>
        <w:rPr>
          <w:spacing w:val="-1"/>
          <w:sz w:val="22"/>
        </w:rPr>
        <w:t> </w:t>
      </w:r>
      <w:r>
        <w:rPr>
          <w:sz w:val="22"/>
        </w:rPr>
        <w:t>Flight</w:t>
      </w:r>
      <w:r>
        <w:rPr>
          <w:spacing w:val="-4"/>
          <w:sz w:val="22"/>
        </w:rPr>
        <w:t> </w:t>
      </w:r>
      <w:r>
        <w:rPr>
          <w:sz w:val="22"/>
        </w:rPr>
        <w:t>and Capital</w:t>
      </w:r>
      <w:r>
        <w:rPr>
          <w:spacing w:val="40"/>
          <w:sz w:val="22"/>
        </w:rPr>
        <w:t> </w:t>
      </w:r>
      <w:r>
        <w:rPr>
          <w:sz w:val="22"/>
        </w:rPr>
        <w:t>Controls</w:t>
      </w:r>
      <w:r>
        <w:rPr>
          <w:spacing w:val="40"/>
          <w:sz w:val="22"/>
        </w:rPr>
        <w:t> </w:t>
      </w:r>
      <w:r>
        <w:rPr>
          <w:sz w:val="22"/>
        </w:rPr>
        <w:t>in</w:t>
      </w:r>
      <w:r>
        <w:rPr>
          <w:spacing w:val="40"/>
          <w:sz w:val="22"/>
        </w:rPr>
        <w:t> </w:t>
      </w:r>
      <w:r>
        <w:rPr>
          <w:sz w:val="22"/>
        </w:rPr>
        <w:t>Developing</w:t>
      </w:r>
      <w:r>
        <w:rPr>
          <w:spacing w:val="40"/>
          <w:sz w:val="22"/>
        </w:rPr>
        <w:t> </w:t>
      </w:r>
      <w:r>
        <w:rPr>
          <w:sz w:val="22"/>
        </w:rPr>
        <w:t>Countries, 234–261. Northampton, MA: Edward Elgar.</w:t>
      </w:r>
    </w:p>
    <w:p>
      <w:pPr>
        <w:pStyle w:val="BodyText"/>
        <w:rPr>
          <w:sz w:val="22"/>
        </w:rPr>
      </w:pPr>
    </w:p>
    <w:p>
      <w:pPr>
        <w:pStyle w:val="BodyText"/>
        <w:spacing w:before="228"/>
        <w:rPr>
          <w:sz w:val="22"/>
        </w:rPr>
      </w:pPr>
    </w:p>
    <w:p>
      <w:pPr>
        <w:spacing w:before="0"/>
        <w:ind w:left="1522" w:right="471" w:hanging="812"/>
        <w:jc w:val="both"/>
        <w:rPr>
          <w:sz w:val="22"/>
        </w:rPr>
      </w:pPr>
      <w:r>
        <w:rPr>
          <w:sz w:val="22"/>
        </w:rPr>
        <w:t>Andong, Z., Chunxiang L., &amp; Gerald E. (2005). </w:t>
      </w:r>
      <w:r>
        <w:rPr>
          <w:i/>
          <w:sz w:val="22"/>
        </w:rPr>
        <w:t>Capital Flight and Capital Control in Developing Countries, </w:t>
      </w:r>
      <w:r>
        <w:rPr>
          <w:sz w:val="22"/>
        </w:rPr>
        <w:t>edited by Gerald Epstein of</w:t>
      </w:r>
      <w:r>
        <w:rPr>
          <w:spacing w:val="40"/>
          <w:sz w:val="22"/>
        </w:rPr>
        <w:t>  </w:t>
      </w:r>
      <w:r>
        <w:rPr>
          <w:sz w:val="22"/>
        </w:rPr>
        <w:t>Political Economy Research Institute. Forthcoming from Edward,Spring 2005.</w:t>
      </w:r>
    </w:p>
    <w:p>
      <w:pPr>
        <w:tabs>
          <w:tab w:pos="9353" w:val="left" w:leader="none"/>
        </w:tabs>
        <w:spacing w:before="239"/>
        <w:ind w:left="711" w:right="472" w:firstLine="0"/>
        <w:jc w:val="both"/>
        <w:rPr>
          <w:sz w:val="22"/>
        </w:rPr>
      </w:pPr>
      <w:r>
        <w:rPr>
          <w:sz w:val="22"/>
        </w:rPr>
        <w:t>Anthony &amp; Hallet (1990). How Successfully Do We Measure Capital Flight? The Empical</w:t>
        <w:tab/>
        <w:t>Evidence from </w:t>
      </w:r>
      <w:r>
        <w:rPr>
          <w:sz w:val="22"/>
        </w:rPr>
        <w:t>Five Developing Countries. </w:t>
      </w:r>
      <w:r>
        <w:rPr>
          <w:i/>
          <w:sz w:val="22"/>
        </w:rPr>
        <w:t>Journal of Development Studies, 28(3), </w:t>
      </w:r>
      <w:r>
        <w:rPr>
          <w:sz w:val="22"/>
        </w:rPr>
        <w:t>538-</w:t>
      </w:r>
      <w:r>
        <w:rPr>
          <w:spacing w:val="80"/>
          <w:sz w:val="22"/>
        </w:rPr>
        <w:t>   </w:t>
      </w:r>
      <w:r>
        <w:rPr>
          <w:sz w:val="22"/>
        </w:rPr>
        <w:t>556.</w:t>
      </w:r>
    </w:p>
    <w:p>
      <w:pPr>
        <w:tabs>
          <w:tab w:pos="9353" w:val="left" w:leader="none"/>
          <w:tab w:pos="10984" w:val="left" w:leader="none"/>
        </w:tabs>
        <w:spacing w:before="240"/>
        <w:ind w:left="711" w:right="468" w:firstLine="0"/>
        <w:jc w:val="both"/>
        <w:rPr>
          <w:sz w:val="22"/>
        </w:rPr>
      </w:pPr>
      <w:r>
        <w:rPr>
          <w:sz w:val="22"/>
        </w:rPr>
        <w:t>Ayadi</w:t>
      </w:r>
      <w:r>
        <w:rPr>
          <w:spacing w:val="40"/>
          <w:sz w:val="22"/>
        </w:rPr>
        <w:t> </w:t>
      </w:r>
      <w:r>
        <w:rPr>
          <w:sz w:val="22"/>
        </w:rPr>
        <w:t>(2008). Econometric Analysis of Capital Flight in Developing Countries. </w:t>
      </w:r>
      <w:r>
        <w:rPr>
          <w:i/>
          <w:sz w:val="22"/>
        </w:rPr>
        <w:t>8</w:t>
      </w:r>
      <w:r>
        <w:rPr>
          <w:i/>
          <w:sz w:val="22"/>
          <w:vertAlign w:val="superscript"/>
        </w:rPr>
        <w:t>th</w:t>
      </w:r>
      <w:r>
        <w:rPr>
          <w:i/>
          <w:sz w:val="22"/>
          <w:vertAlign w:val="baseline"/>
        </w:rPr>
        <w:t> Global</w:t>
        <w:tab/>
      </w:r>
      <w:r>
        <w:rPr>
          <w:i/>
          <w:spacing w:val="-2"/>
          <w:sz w:val="22"/>
          <w:vertAlign w:val="baseline"/>
        </w:rPr>
        <w:t>Conference</w:t>
      </w:r>
      <w:r>
        <w:rPr>
          <w:i/>
          <w:sz w:val="22"/>
          <w:vertAlign w:val="baseline"/>
        </w:rPr>
        <w:tab/>
      </w:r>
      <w:r>
        <w:rPr>
          <w:i/>
          <w:spacing w:val="-10"/>
          <w:sz w:val="22"/>
          <w:vertAlign w:val="baseline"/>
        </w:rPr>
        <w:t>&amp; </w:t>
      </w:r>
      <w:r>
        <w:rPr>
          <w:i/>
          <w:sz w:val="22"/>
          <w:vertAlign w:val="baseline"/>
        </w:rPr>
        <w:t>Economics</w:t>
      </w:r>
      <w:r>
        <w:rPr>
          <w:sz w:val="22"/>
          <w:vertAlign w:val="baseline"/>
        </w:rPr>
        <w:t>. 978-09742114-5-9</w:t>
      </w:r>
    </w:p>
    <w:p>
      <w:pPr>
        <w:spacing w:before="241"/>
        <w:ind w:left="1431" w:right="466" w:hanging="721"/>
        <w:jc w:val="both"/>
        <w:rPr>
          <w:sz w:val="22"/>
        </w:rPr>
      </w:pPr>
      <w:r>
        <w:rPr>
          <w:sz w:val="22"/>
        </w:rPr>
        <w:t>Ayadi, O.F. Adegbite, E.O. &amp; Ayadi, F.S. (2008) Structural Adjustment, Financial Sector Development and</w:t>
      </w:r>
      <w:r>
        <w:rPr>
          <w:spacing w:val="80"/>
          <w:sz w:val="22"/>
        </w:rPr>
        <w:t> </w:t>
      </w:r>
      <w:r>
        <w:rPr>
          <w:sz w:val="22"/>
        </w:rPr>
        <w:t>Economic Prosperity in Nigeria.</w:t>
      </w:r>
      <w:r>
        <w:rPr>
          <w:i/>
          <w:sz w:val="22"/>
        </w:rPr>
        <w:t>International Research Journal of Finance and Economics</w:t>
      </w:r>
      <w:r>
        <w:rPr>
          <w:sz w:val="22"/>
        </w:rPr>
        <w:t>, Issue 15, 318- </w:t>
      </w:r>
      <w:r>
        <w:rPr>
          <w:spacing w:val="-4"/>
          <w:sz w:val="22"/>
        </w:rPr>
        <w:t>331.</w:t>
      </w:r>
    </w:p>
    <w:p>
      <w:pPr>
        <w:spacing w:after="0"/>
        <w:jc w:val="both"/>
        <w:rPr>
          <w:sz w:val="22"/>
        </w:rPr>
        <w:sectPr>
          <w:pgSz w:w="11910" w:h="16840"/>
          <w:pgMar w:header="0" w:footer="979" w:top="1360" w:bottom="1240" w:left="280" w:right="0"/>
        </w:sectPr>
      </w:pPr>
    </w:p>
    <w:p>
      <w:pPr>
        <w:spacing w:before="80"/>
        <w:ind w:left="711" w:right="471" w:firstLine="0"/>
        <w:jc w:val="both"/>
        <w:rPr>
          <w:sz w:val="22"/>
        </w:rPr>
      </w:pPr>
      <w:r>
        <w:rPr>
          <w:sz w:val="22"/>
        </w:rPr>
        <w:t>Barrell,</w:t>
      </w:r>
      <w:r>
        <w:rPr>
          <w:spacing w:val="-1"/>
          <w:sz w:val="22"/>
        </w:rPr>
        <w:t> </w:t>
      </w:r>
      <w:r>
        <w:rPr>
          <w:sz w:val="22"/>
        </w:rPr>
        <w:t>R.</w:t>
      </w:r>
      <w:r>
        <w:rPr>
          <w:spacing w:val="-1"/>
          <w:sz w:val="22"/>
        </w:rPr>
        <w:t> </w:t>
      </w:r>
      <w:r>
        <w:rPr>
          <w:sz w:val="22"/>
        </w:rPr>
        <w:t>&amp;</w:t>
      </w:r>
      <w:r>
        <w:rPr>
          <w:spacing w:val="-2"/>
          <w:sz w:val="22"/>
        </w:rPr>
        <w:t> </w:t>
      </w:r>
      <w:r>
        <w:rPr>
          <w:sz w:val="22"/>
        </w:rPr>
        <w:t>Weale,</w:t>
      </w:r>
      <w:r>
        <w:rPr>
          <w:spacing w:val="-4"/>
          <w:sz w:val="22"/>
        </w:rPr>
        <w:t> </w:t>
      </w:r>
      <w:r>
        <w:rPr>
          <w:sz w:val="22"/>
        </w:rPr>
        <w:t>M.</w:t>
      </w:r>
      <w:r>
        <w:rPr>
          <w:spacing w:val="-3"/>
          <w:sz w:val="22"/>
        </w:rPr>
        <w:t> </w:t>
      </w:r>
      <w:r>
        <w:rPr>
          <w:sz w:val="22"/>
        </w:rPr>
        <w:t>(2003).</w:t>
      </w:r>
      <w:r>
        <w:rPr>
          <w:spacing w:val="-1"/>
          <w:sz w:val="22"/>
        </w:rPr>
        <w:t> </w:t>
      </w:r>
      <w:r>
        <w:rPr>
          <w:sz w:val="22"/>
        </w:rPr>
        <w:t>Designing</w:t>
      </w:r>
      <w:r>
        <w:rPr>
          <w:spacing w:val="-4"/>
          <w:sz w:val="22"/>
        </w:rPr>
        <w:t> </w:t>
      </w:r>
      <w:r>
        <w:rPr>
          <w:sz w:val="22"/>
        </w:rPr>
        <w:t>and</w:t>
      </w:r>
      <w:r>
        <w:rPr>
          <w:spacing w:val="-1"/>
          <w:sz w:val="22"/>
        </w:rPr>
        <w:t> </w:t>
      </w:r>
      <w:r>
        <w:rPr>
          <w:sz w:val="22"/>
        </w:rPr>
        <w:t>Choosing</w:t>
      </w:r>
      <w:r>
        <w:rPr>
          <w:spacing w:val="-4"/>
          <w:sz w:val="22"/>
        </w:rPr>
        <w:t> </w:t>
      </w:r>
      <w:r>
        <w:rPr>
          <w:sz w:val="22"/>
        </w:rPr>
        <w:t>Macroeconomic</w:t>
      </w:r>
      <w:r>
        <w:rPr>
          <w:spacing w:val="-1"/>
          <w:sz w:val="22"/>
        </w:rPr>
        <w:t> </w:t>
      </w:r>
      <w:r>
        <w:rPr>
          <w:sz w:val="22"/>
        </w:rPr>
        <w:t>Frameworks:</w:t>
      </w:r>
      <w:r>
        <w:rPr>
          <w:spacing w:val="-2"/>
          <w:sz w:val="22"/>
        </w:rPr>
        <w:t> </w:t>
      </w:r>
      <w:r>
        <w:rPr>
          <w:sz w:val="22"/>
        </w:rPr>
        <w:t>The</w:t>
      </w:r>
      <w:r>
        <w:rPr>
          <w:spacing w:val="80"/>
          <w:w w:val="150"/>
          <w:sz w:val="22"/>
        </w:rPr>
        <w:t>  </w:t>
      </w:r>
      <w:r>
        <w:rPr>
          <w:sz w:val="22"/>
        </w:rPr>
        <w:t>Position</w:t>
      </w:r>
      <w:r>
        <w:rPr>
          <w:spacing w:val="40"/>
          <w:sz w:val="22"/>
        </w:rPr>
        <w:t> </w:t>
      </w:r>
      <w:r>
        <w:rPr>
          <w:sz w:val="22"/>
        </w:rPr>
        <w:t>of</w:t>
      </w:r>
      <w:r>
        <w:rPr>
          <w:spacing w:val="40"/>
          <w:sz w:val="22"/>
        </w:rPr>
        <w:t> </w:t>
      </w:r>
      <w:r>
        <w:rPr>
          <w:sz w:val="22"/>
        </w:rPr>
        <w:t>the</w:t>
      </w:r>
      <w:r>
        <w:rPr>
          <w:spacing w:val="40"/>
          <w:sz w:val="22"/>
        </w:rPr>
        <w:t> </w:t>
      </w:r>
      <w:r>
        <w:rPr>
          <w:sz w:val="22"/>
        </w:rPr>
        <w:t>UK after Four Years of the Euro</w:t>
      </w:r>
      <w:r>
        <w:rPr>
          <w:i/>
          <w:sz w:val="22"/>
        </w:rPr>
        <w:t>. Oxford Review of Economic Policy, 19</w:t>
      </w:r>
      <w:r>
        <w:rPr>
          <w:sz w:val="22"/>
        </w:rPr>
        <w:t>,</w:t>
      </w:r>
      <w:r>
        <w:rPr>
          <w:spacing w:val="80"/>
          <w:w w:val="150"/>
          <w:sz w:val="22"/>
        </w:rPr>
        <w:t>  </w:t>
      </w:r>
      <w:r>
        <w:rPr>
          <w:sz w:val="22"/>
        </w:rPr>
        <w:t>132-148.</w:t>
      </w:r>
    </w:p>
    <w:p>
      <w:pPr>
        <w:spacing w:before="241"/>
        <w:ind w:left="711" w:right="469" w:firstLine="0"/>
        <w:jc w:val="both"/>
        <w:rPr>
          <w:sz w:val="22"/>
        </w:rPr>
      </w:pPr>
      <w:r>
        <w:rPr>
          <w:sz w:val="22"/>
        </w:rPr>
        <w:t>Beja</w:t>
      </w:r>
      <w:r>
        <w:rPr>
          <w:spacing w:val="-3"/>
          <w:sz w:val="22"/>
        </w:rPr>
        <w:t> </w:t>
      </w:r>
      <w:r>
        <w:rPr>
          <w:sz w:val="22"/>
        </w:rPr>
        <w:t>Jr.,</w:t>
      </w:r>
      <w:r>
        <w:rPr>
          <w:spacing w:val="-1"/>
          <w:sz w:val="22"/>
        </w:rPr>
        <w:t> </w:t>
      </w:r>
      <w:r>
        <w:rPr>
          <w:sz w:val="22"/>
        </w:rPr>
        <w:t>E.,</w:t>
      </w:r>
      <w:r>
        <w:rPr>
          <w:spacing w:val="-4"/>
          <w:sz w:val="22"/>
        </w:rPr>
        <w:t> </w:t>
      </w:r>
      <w:r>
        <w:rPr>
          <w:sz w:val="22"/>
        </w:rPr>
        <w:t>Junvith,</w:t>
      </w:r>
      <w:r>
        <w:rPr>
          <w:spacing w:val="-4"/>
          <w:sz w:val="22"/>
        </w:rPr>
        <w:t> </w:t>
      </w:r>
      <w:r>
        <w:rPr>
          <w:sz w:val="22"/>
        </w:rPr>
        <w:t>P.,</w:t>
      </w:r>
      <w:r>
        <w:rPr>
          <w:spacing w:val="-1"/>
          <w:sz w:val="22"/>
        </w:rPr>
        <w:t> </w:t>
      </w:r>
      <w:r>
        <w:rPr>
          <w:sz w:val="22"/>
        </w:rPr>
        <w:t>&amp;</w:t>
      </w:r>
      <w:r>
        <w:rPr>
          <w:spacing w:val="-5"/>
          <w:sz w:val="22"/>
        </w:rPr>
        <w:t> </w:t>
      </w:r>
      <w:r>
        <w:rPr>
          <w:sz w:val="22"/>
        </w:rPr>
        <w:t>Ragusett,</w:t>
      </w:r>
      <w:r>
        <w:rPr>
          <w:spacing w:val="-4"/>
          <w:sz w:val="22"/>
        </w:rPr>
        <w:t> </w:t>
      </w:r>
      <w:r>
        <w:rPr>
          <w:sz w:val="22"/>
        </w:rPr>
        <w:t>J.</w:t>
      </w:r>
      <w:r>
        <w:rPr>
          <w:spacing w:val="-1"/>
          <w:sz w:val="22"/>
        </w:rPr>
        <w:t> </w:t>
      </w:r>
      <w:r>
        <w:rPr>
          <w:sz w:val="22"/>
        </w:rPr>
        <w:t>(2005).</w:t>
      </w:r>
      <w:r>
        <w:rPr>
          <w:spacing w:val="40"/>
          <w:sz w:val="22"/>
        </w:rPr>
        <w:t> </w:t>
      </w:r>
      <w:r>
        <w:rPr>
          <w:i/>
          <w:sz w:val="22"/>
        </w:rPr>
        <w:t>Capital Flight from</w:t>
      </w:r>
      <w:r>
        <w:rPr>
          <w:i/>
          <w:spacing w:val="-2"/>
          <w:sz w:val="22"/>
        </w:rPr>
        <w:t> </w:t>
      </w:r>
      <w:r>
        <w:rPr>
          <w:i/>
          <w:sz w:val="22"/>
        </w:rPr>
        <w:t>Thailand:</w:t>
      </w:r>
      <w:r>
        <w:rPr>
          <w:i/>
          <w:spacing w:val="-1"/>
          <w:sz w:val="22"/>
        </w:rPr>
        <w:t> </w:t>
      </w:r>
      <w:r>
        <w:rPr>
          <w:i/>
          <w:sz w:val="22"/>
        </w:rPr>
        <w:t>1980 to</w:t>
      </w:r>
      <w:r>
        <w:rPr>
          <w:i/>
          <w:spacing w:val="-1"/>
          <w:sz w:val="22"/>
        </w:rPr>
        <w:t> </w:t>
      </w:r>
      <w:r>
        <w:rPr>
          <w:i/>
          <w:sz w:val="22"/>
        </w:rPr>
        <w:t>2000. </w:t>
      </w:r>
      <w:r>
        <w:rPr>
          <w:sz w:val="22"/>
        </w:rPr>
        <w:t>In</w:t>
      </w:r>
      <w:r>
        <w:rPr>
          <w:spacing w:val="80"/>
          <w:sz w:val="22"/>
        </w:rPr>
        <w:t>  </w:t>
      </w:r>
      <w:r>
        <w:rPr>
          <w:sz w:val="22"/>
        </w:rPr>
        <w:t>Gerald</w:t>
      </w:r>
      <w:r>
        <w:rPr>
          <w:spacing w:val="80"/>
          <w:sz w:val="22"/>
        </w:rPr>
        <w:t>   </w:t>
      </w:r>
      <w:r>
        <w:rPr>
          <w:sz w:val="22"/>
        </w:rPr>
        <w:t>Epstein (Ed.), Capital Flight and Capital Controls in Developing Countries,</w:t>
      </w:r>
      <w:r>
        <w:rPr>
          <w:spacing w:val="40"/>
          <w:sz w:val="22"/>
        </w:rPr>
        <w:t> </w:t>
      </w:r>
      <w:r>
        <w:rPr>
          <w:sz w:val="22"/>
        </w:rPr>
        <w:t>143-</w:t>
      </w:r>
      <w:r>
        <w:rPr>
          <w:spacing w:val="-7"/>
          <w:sz w:val="22"/>
        </w:rPr>
        <w:t> </w:t>
      </w:r>
      <w:r>
        <w:rPr>
          <w:sz w:val="22"/>
        </w:rPr>
        <w:t>172. Northampton, MA: Edward Elgar.</w:t>
      </w:r>
    </w:p>
    <w:p>
      <w:pPr>
        <w:tabs>
          <w:tab w:pos="7192" w:val="left" w:leader="none"/>
        </w:tabs>
        <w:spacing w:before="240"/>
        <w:ind w:left="711" w:right="470" w:firstLine="0"/>
        <w:jc w:val="both"/>
        <w:rPr>
          <w:sz w:val="22"/>
        </w:rPr>
      </w:pPr>
      <w:r>
        <w:rPr>
          <w:sz w:val="22"/>
        </w:rPr>
        <w:t>Bevan,</w:t>
      </w:r>
      <w:r>
        <w:rPr>
          <w:spacing w:val="-1"/>
          <w:sz w:val="22"/>
        </w:rPr>
        <w:t> </w:t>
      </w:r>
      <w:r>
        <w:rPr>
          <w:sz w:val="22"/>
        </w:rPr>
        <w:t>D.</w:t>
      </w:r>
      <w:r>
        <w:rPr>
          <w:spacing w:val="-1"/>
          <w:sz w:val="22"/>
        </w:rPr>
        <w:t> </w:t>
      </w:r>
      <w:r>
        <w:rPr>
          <w:sz w:val="22"/>
        </w:rPr>
        <w:t>L.,</w:t>
      </w:r>
      <w:r>
        <w:rPr>
          <w:spacing w:val="-1"/>
          <w:sz w:val="22"/>
        </w:rPr>
        <w:t> </w:t>
      </w:r>
      <w:r>
        <w:rPr>
          <w:sz w:val="22"/>
        </w:rPr>
        <w:t>Collier,</w:t>
      </w:r>
      <w:r>
        <w:rPr>
          <w:spacing w:val="-1"/>
          <w:sz w:val="22"/>
        </w:rPr>
        <w:t> </w:t>
      </w:r>
      <w:r>
        <w:rPr>
          <w:sz w:val="22"/>
        </w:rPr>
        <w:t>P.</w:t>
      </w:r>
      <w:r>
        <w:rPr>
          <w:spacing w:val="-1"/>
          <w:sz w:val="22"/>
        </w:rPr>
        <w:t> </w:t>
      </w:r>
      <w:r>
        <w:rPr>
          <w:sz w:val="22"/>
        </w:rPr>
        <w:t>&amp;</w:t>
      </w:r>
      <w:r>
        <w:rPr>
          <w:spacing w:val="-5"/>
          <w:sz w:val="22"/>
        </w:rPr>
        <w:t> </w:t>
      </w:r>
      <w:r>
        <w:rPr>
          <w:sz w:val="22"/>
        </w:rPr>
        <w:t>Gunning,</w:t>
      </w:r>
      <w:r>
        <w:rPr>
          <w:spacing w:val="-4"/>
          <w:sz w:val="22"/>
        </w:rPr>
        <w:t> </w:t>
      </w:r>
      <w:r>
        <w:rPr>
          <w:sz w:val="22"/>
        </w:rPr>
        <w:t>J.W.</w:t>
      </w:r>
      <w:r>
        <w:rPr>
          <w:spacing w:val="-3"/>
          <w:sz w:val="22"/>
        </w:rPr>
        <w:t> </w:t>
      </w:r>
      <w:r>
        <w:rPr>
          <w:sz w:val="22"/>
        </w:rPr>
        <w:t>(1999).</w:t>
      </w:r>
      <w:r>
        <w:rPr>
          <w:spacing w:val="-4"/>
          <w:sz w:val="22"/>
        </w:rPr>
        <w:t> </w:t>
      </w:r>
      <w:r>
        <w:rPr>
          <w:sz w:val="22"/>
        </w:rPr>
        <w:t>The</w:t>
      </w:r>
      <w:r>
        <w:rPr>
          <w:spacing w:val="-3"/>
          <w:sz w:val="22"/>
        </w:rPr>
        <w:t> </w:t>
      </w:r>
      <w:r>
        <w:rPr>
          <w:sz w:val="22"/>
        </w:rPr>
        <w:t>Political</w:t>
      </w:r>
      <w:r>
        <w:rPr>
          <w:spacing w:val="-3"/>
          <w:sz w:val="22"/>
        </w:rPr>
        <w:t> </w:t>
      </w:r>
      <w:r>
        <w:rPr>
          <w:sz w:val="22"/>
        </w:rPr>
        <w:t>Economy</w:t>
      </w:r>
      <w:r>
        <w:rPr>
          <w:spacing w:val="-4"/>
          <w:sz w:val="22"/>
        </w:rPr>
        <w:t> </w:t>
      </w:r>
      <w:r>
        <w:rPr>
          <w:sz w:val="22"/>
        </w:rPr>
        <w:t>of Poverty,Equity,</w:t>
      </w:r>
      <w:r>
        <w:rPr>
          <w:spacing w:val="-1"/>
          <w:sz w:val="22"/>
        </w:rPr>
        <w:t> </w:t>
      </w:r>
      <w:r>
        <w:rPr>
          <w:sz w:val="22"/>
        </w:rPr>
        <w:t>and</w:t>
      </w:r>
      <w:r>
        <w:rPr>
          <w:spacing w:val="40"/>
          <w:sz w:val="22"/>
        </w:rPr>
        <w:t> </w:t>
      </w:r>
      <w:r>
        <w:rPr>
          <w:sz w:val="22"/>
        </w:rPr>
        <w:t>Growth:</w:t>
      </w:r>
      <w:r>
        <w:rPr>
          <w:spacing w:val="80"/>
          <w:w w:val="150"/>
          <w:sz w:val="22"/>
        </w:rPr>
        <w:t>  </w:t>
      </w:r>
      <w:r>
        <w:rPr>
          <w:sz w:val="22"/>
        </w:rPr>
        <w:t>Nigeria and Indonesia.</w:t>
      </w:r>
      <w:r>
        <w:rPr>
          <w:spacing w:val="40"/>
          <w:sz w:val="22"/>
        </w:rPr>
        <w:t> </w:t>
      </w:r>
      <w:r>
        <w:rPr>
          <w:i/>
          <w:sz w:val="22"/>
        </w:rPr>
        <w:t>A World Bank Comparative Study</w:t>
      </w:r>
      <w:r>
        <w:rPr>
          <w:sz w:val="22"/>
        </w:rPr>
        <w:t>. Oxford: Oxford</w:t>
        <w:tab/>
        <w:t>University Press.</w:t>
      </w:r>
    </w:p>
    <w:p>
      <w:pPr>
        <w:spacing w:before="238"/>
        <w:ind w:left="711" w:right="471" w:firstLine="0"/>
        <w:jc w:val="both"/>
        <w:rPr>
          <w:sz w:val="22"/>
        </w:rPr>
      </w:pPr>
      <w:r>
        <w:rPr>
          <w:sz w:val="22"/>
        </w:rPr>
        <w:t>Bhagwati,</w:t>
      </w:r>
      <w:r>
        <w:rPr>
          <w:spacing w:val="-4"/>
          <w:sz w:val="22"/>
        </w:rPr>
        <w:t> </w:t>
      </w:r>
      <w:r>
        <w:rPr>
          <w:sz w:val="22"/>
        </w:rPr>
        <w:t>Jagdish</w:t>
      </w:r>
      <w:r>
        <w:rPr>
          <w:spacing w:val="-1"/>
          <w:sz w:val="22"/>
        </w:rPr>
        <w:t> </w:t>
      </w:r>
      <w:r>
        <w:rPr>
          <w:sz w:val="22"/>
        </w:rPr>
        <w:t>N,</w:t>
      </w:r>
      <w:r>
        <w:rPr>
          <w:spacing w:val="-1"/>
          <w:sz w:val="22"/>
        </w:rPr>
        <w:t> </w:t>
      </w:r>
      <w:r>
        <w:rPr>
          <w:sz w:val="22"/>
        </w:rPr>
        <w:t>(1964).</w:t>
      </w:r>
      <w:r>
        <w:rPr>
          <w:spacing w:val="-1"/>
          <w:sz w:val="22"/>
        </w:rPr>
        <w:t> </w:t>
      </w:r>
      <w:r>
        <w:rPr>
          <w:sz w:val="22"/>
        </w:rPr>
        <w:t>On</w:t>
      </w:r>
      <w:r>
        <w:rPr>
          <w:spacing w:val="-1"/>
          <w:sz w:val="22"/>
        </w:rPr>
        <w:t> </w:t>
      </w:r>
      <w:r>
        <w:rPr>
          <w:sz w:val="22"/>
        </w:rPr>
        <w:t>the Under-Invoicing</w:t>
      </w:r>
      <w:r>
        <w:rPr>
          <w:spacing w:val="-4"/>
          <w:sz w:val="22"/>
        </w:rPr>
        <w:t> </w:t>
      </w:r>
      <w:r>
        <w:rPr>
          <w:sz w:val="22"/>
        </w:rPr>
        <w:t>of</w:t>
      </w:r>
      <w:r>
        <w:rPr>
          <w:spacing w:val="-1"/>
          <w:sz w:val="22"/>
        </w:rPr>
        <w:t> </w:t>
      </w:r>
      <w:r>
        <w:rPr>
          <w:sz w:val="22"/>
        </w:rPr>
        <w:t>Imports.</w:t>
      </w:r>
      <w:r>
        <w:rPr>
          <w:spacing w:val="-1"/>
          <w:sz w:val="22"/>
        </w:rPr>
        <w:t> </w:t>
      </w:r>
      <w:r>
        <w:rPr>
          <w:i/>
          <w:sz w:val="22"/>
        </w:rPr>
        <w:t>Bulletin</w:t>
      </w:r>
      <w:r>
        <w:rPr>
          <w:i/>
          <w:spacing w:val="-4"/>
          <w:sz w:val="22"/>
        </w:rPr>
        <w:t> </w:t>
      </w:r>
      <w:r>
        <w:rPr>
          <w:i/>
          <w:sz w:val="22"/>
        </w:rPr>
        <w:t>of</w:t>
      </w:r>
      <w:r>
        <w:rPr>
          <w:i/>
          <w:spacing w:val="-3"/>
          <w:sz w:val="22"/>
        </w:rPr>
        <w:t> </w:t>
      </w:r>
      <w:r>
        <w:rPr>
          <w:i/>
          <w:sz w:val="22"/>
        </w:rPr>
        <w:t>the</w:t>
      </w:r>
      <w:r>
        <w:rPr>
          <w:i/>
          <w:spacing w:val="-3"/>
          <w:sz w:val="22"/>
        </w:rPr>
        <w:t> </w:t>
      </w:r>
      <w:r>
        <w:rPr>
          <w:i/>
          <w:sz w:val="22"/>
        </w:rPr>
        <w:t>Oxford</w:t>
      </w:r>
      <w:r>
        <w:rPr>
          <w:i/>
          <w:spacing w:val="40"/>
          <w:sz w:val="22"/>
        </w:rPr>
        <w:t> </w:t>
      </w:r>
      <w:r>
        <w:rPr>
          <w:i/>
          <w:sz w:val="22"/>
        </w:rPr>
        <w:t>University,</w:t>
      </w:r>
      <w:r>
        <w:rPr>
          <w:i/>
          <w:spacing w:val="80"/>
          <w:w w:val="150"/>
          <w:sz w:val="22"/>
        </w:rPr>
        <w:t> </w:t>
      </w:r>
      <w:r>
        <w:rPr>
          <w:i/>
          <w:sz w:val="22"/>
        </w:rPr>
        <w:t>Institute</w:t>
      </w:r>
      <w:r>
        <w:rPr>
          <w:i/>
          <w:spacing w:val="80"/>
          <w:w w:val="150"/>
          <w:sz w:val="22"/>
        </w:rPr>
        <w:t> </w:t>
      </w:r>
      <w:r>
        <w:rPr>
          <w:i/>
          <w:sz w:val="22"/>
        </w:rPr>
        <w:t>of Economics and Statistics, 26</w:t>
      </w:r>
      <w:r>
        <w:rPr>
          <w:sz w:val="22"/>
        </w:rPr>
        <w:t>, 389-97.</w:t>
      </w:r>
    </w:p>
    <w:p>
      <w:pPr>
        <w:spacing w:before="241"/>
        <w:ind w:left="711" w:right="0" w:firstLine="0"/>
        <w:jc w:val="both"/>
        <w:rPr>
          <w:sz w:val="22"/>
        </w:rPr>
      </w:pPr>
      <w:r>
        <w:rPr>
          <w:sz w:val="22"/>
        </w:rPr>
        <w:t>Bhagwati,</w:t>
      </w:r>
      <w:r>
        <w:rPr>
          <w:spacing w:val="-7"/>
          <w:sz w:val="22"/>
        </w:rPr>
        <w:t> </w:t>
      </w:r>
      <w:r>
        <w:rPr>
          <w:sz w:val="22"/>
        </w:rPr>
        <w:t>Jagdish</w:t>
      </w:r>
      <w:r>
        <w:rPr>
          <w:spacing w:val="-3"/>
          <w:sz w:val="22"/>
        </w:rPr>
        <w:t> </w:t>
      </w:r>
      <w:r>
        <w:rPr>
          <w:sz w:val="22"/>
        </w:rPr>
        <w:t>N.O.</w:t>
      </w:r>
      <w:r>
        <w:rPr>
          <w:spacing w:val="-4"/>
          <w:sz w:val="22"/>
        </w:rPr>
        <w:t> </w:t>
      </w:r>
      <w:r>
        <w:rPr>
          <w:sz w:val="22"/>
        </w:rPr>
        <w:t>(1967).</w:t>
      </w:r>
      <w:r>
        <w:rPr>
          <w:spacing w:val="-3"/>
          <w:sz w:val="22"/>
        </w:rPr>
        <w:t> </w:t>
      </w:r>
      <w:r>
        <w:rPr>
          <w:sz w:val="22"/>
        </w:rPr>
        <w:t>Fiscal</w:t>
      </w:r>
      <w:r>
        <w:rPr>
          <w:spacing w:val="-2"/>
          <w:sz w:val="22"/>
        </w:rPr>
        <w:t> </w:t>
      </w:r>
      <w:r>
        <w:rPr>
          <w:sz w:val="22"/>
        </w:rPr>
        <w:t>Policies,</w:t>
      </w:r>
      <w:r>
        <w:rPr>
          <w:spacing w:val="-4"/>
          <w:sz w:val="22"/>
        </w:rPr>
        <w:t> </w:t>
      </w:r>
      <w:r>
        <w:rPr>
          <w:sz w:val="22"/>
        </w:rPr>
        <w:t>the</w:t>
      </w:r>
      <w:r>
        <w:rPr>
          <w:spacing w:val="-3"/>
          <w:sz w:val="22"/>
        </w:rPr>
        <w:t> </w:t>
      </w:r>
      <w:r>
        <w:rPr>
          <w:sz w:val="22"/>
        </w:rPr>
        <w:t>Faking</w:t>
      </w:r>
      <w:r>
        <w:rPr>
          <w:spacing w:val="-7"/>
          <w:sz w:val="22"/>
        </w:rPr>
        <w:t> </w:t>
      </w:r>
      <w:r>
        <w:rPr>
          <w:sz w:val="22"/>
        </w:rPr>
        <w:t>of</w:t>
      </w:r>
      <w:r>
        <w:rPr>
          <w:spacing w:val="-3"/>
          <w:sz w:val="22"/>
        </w:rPr>
        <w:t> </w:t>
      </w:r>
      <w:r>
        <w:rPr>
          <w:sz w:val="22"/>
        </w:rPr>
        <w:t>Foreign</w:t>
      </w:r>
      <w:r>
        <w:rPr>
          <w:spacing w:val="-6"/>
          <w:sz w:val="22"/>
        </w:rPr>
        <w:t> </w:t>
      </w:r>
      <w:r>
        <w:rPr>
          <w:spacing w:val="-2"/>
          <w:sz w:val="22"/>
        </w:rPr>
        <w:t>Trade</w:t>
      </w:r>
    </w:p>
    <w:p>
      <w:pPr>
        <w:spacing w:before="241"/>
        <w:ind w:left="1431" w:right="0" w:firstLine="0"/>
        <w:jc w:val="left"/>
        <w:rPr>
          <w:sz w:val="22"/>
        </w:rPr>
      </w:pPr>
      <w:r>
        <w:rPr>
          <w:sz w:val="22"/>
        </w:rPr>
        <w:t>Declarations</w:t>
      </w:r>
      <w:r>
        <w:rPr>
          <w:spacing w:val="-6"/>
          <w:sz w:val="22"/>
        </w:rPr>
        <w:t> </w:t>
      </w:r>
      <w:r>
        <w:rPr>
          <w:sz w:val="22"/>
        </w:rPr>
        <w:t>and</w:t>
      </w:r>
      <w:r>
        <w:rPr>
          <w:spacing w:val="-6"/>
          <w:sz w:val="22"/>
        </w:rPr>
        <w:t> </w:t>
      </w:r>
      <w:r>
        <w:rPr>
          <w:sz w:val="22"/>
        </w:rPr>
        <w:t>the</w:t>
      </w:r>
      <w:r>
        <w:rPr>
          <w:spacing w:val="-3"/>
          <w:sz w:val="22"/>
        </w:rPr>
        <w:t> </w:t>
      </w:r>
      <w:r>
        <w:rPr>
          <w:sz w:val="22"/>
        </w:rPr>
        <w:t>Balance</w:t>
      </w:r>
      <w:r>
        <w:rPr>
          <w:spacing w:val="-3"/>
          <w:sz w:val="22"/>
        </w:rPr>
        <w:t> </w:t>
      </w:r>
      <w:r>
        <w:rPr>
          <w:sz w:val="22"/>
        </w:rPr>
        <w:t>of</w:t>
      </w:r>
      <w:r>
        <w:rPr>
          <w:spacing w:val="-3"/>
          <w:sz w:val="22"/>
        </w:rPr>
        <w:t> </w:t>
      </w:r>
      <w:r>
        <w:rPr>
          <w:sz w:val="22"/>
        </w:rPr>
        <w:t>Payments.</w:t>
      </w:r>
      <w:r>
        <w:rPr>
          <w:spacing w:val="48"/>
          <w:sz w:val="22"/>
        </w:rPr>
        <w:t> </w:t>
      </w:r>
      <w:r>
        <w:rPr>
          <w:i/>
          <w:sz w:val="22"/>
        </w:rPr>
        <w:t>Bulletin</w:t>
      </w:r>
      <w:r>
        <w:rPr>
          <w:i/>
          <w:spacing w:val="-3"/>
          <w:sz w:val="22"/>
        </w:rPr>
        <w:t> </w:t>
      </w:r>
      <w:r>
        <w:rPr>
          <w:i/>
          <w:sz w:val="22"/>
        </w:rPr>
        <w:t>of</w:t>
      </w:r>
      <w:r>
        <w:rPr>
          <w:i/>
          <w:spacing w:val="-5"/>
          <w:sz w:val="22"/>
        </w:rPr>
        <w:t> </w:t>
      </w:r>
      <w:r>
        <w:rPr>
          <w:i/>
          <w:sz w:val="22"/>
        </w:rPr>
        <w:t>the</w:t>
      </w:r>
      <w:r>
        <w:rPr>
          <w:i/>
          <w:spacing w:val="-3"/>
          <w:sz w:val="22"/>
        </w:rPr>
        <w:t> </w:t>
      </w:r>
      <w:r>
        <w:rPr>
          <w:i/>
          <w:sz w:val="22"/>
        </w:rPr>
        <w:t>Oxford</w:t>
      </w:r>
      <w:r>
        <w:rPr>
          <w:i/>
          <w:spacing w:val="-6"/>
          <w:sz w:val="22"/>
        </w:rPr>
        <w:t> </w:t>
      </w:r>
      <w:r>
        <w:rPr>
          <w:i/>
          <w:sz w:val="22"/>
        </w:rPr>
        <w:t>University</w:t>
      </w:r>
      <w:r>
        <w:rPr>
          <w:i/>
          <w:spacing w:val="-3"/>
          <w:sz w:val="22"/>
        </w:rPr>
        <w:t> </w:t>
      </w:r>
      <w:r>
        <w:rPr>
          <w:i/>
          <w:sz w:val="22"/>
        </w:rPr>
        <w:t>Institute</w:t>
      </w:r>
      <w:r>
        <w:rPr>
          <w:i/>
          <w:spacing w:val="-3"/>
          <w:sz w:val="22"/>
        </w:rPr>
        <w:t> </w:t>
      </w:r>
      <w:r>
        <w:rPr>
          <w:i/>
          <w:sz w:val="22"/>
        </w:rPr>
        <w:t>of</w:t>
      </w:r>
      <w:r>
        <w:rPr>
          <w:i/>
          <w:spacing w:val="-5"/>
          <w:sz w:val="22"/>
        </w:rPr>
        <w:t> </w:t>
      </w:r>
      <w:r>
        <w:rPr>
          <w:i/>
          <w:sz w:val="22"/>
        </w:rPr>
        <w:t>Statistics</w:t>
      </w:r>
      <w:r>
        <w:rPr>
          <w:sz w:val="22"/>
        </w:rPr>
        <w:t>,</w:t>
      </w:r>
      <w:r>
        <w:rPr>
          <w:spacing w:val="-6"/>
          <w:sz w:val="22"/>
        </w:rPr>
        <w:t> </w:t>
      </w:r>
      <w:r>
        <w:rPr>
          <w:spacing w:val="-2"/>
          <w:sz w:val="22"/>
        </w:rPr>
        <w:t>February.</w:t>
      </w:r>
    </w:p>
    <w:p>
      <w:pPr>
        <w:spacing w:before="240"/>
        <w:ind w:left="711" w:right="470" w:firstLine="0"/>
        <w:jc w:val="both"/>
        <w:rPr>
          <w:sz w:val="22"/>
        </w:rPr>
      </w:pPr>
      <w:r>
        <w:rPr>
          <w:sz w:val="22"/>
        </w:rPr>
        <w:t>Bhagwati,</w:t>
      </w:r>
      <w:r>
        <w:rPr>
          <w:spacing w:val="-4"/>
          <w:sz w:val="22"/>
        </w:rPr>
        <w:t> </w:t>
      </w:r>
      <w:r>
        <w:rPr>
          <w:sz w:val="22"/>
        </w:rPr>
        <w:t>Jagdish,</w:t>
      </w:r>
      <w:r>
        <w:rPr>
          <w:spacing w:val="-3"/>
          <w:sz w:val="22"/>
        </w:rPr>
        <w:t> </w:t>
      </w:r>
      <w:r>
        <w:rPr>
          <w:sz w:val="22"/>
        </w:rPr>
        <w:t>Krueger,</w:t>
      </w:r>
      <w:r>
        <w:rPr>
          <w:spacing w:val="-1"/>
          <w:sz w:val="22"/>
        </w:rPr>
        <w:t> </w:t>
      </w:r>
      <w:r>
        <w:rPr>
          <w:sz w:val="22"/>
        </w:rPr>
        <w:t>Anne,</w:t>
      </w:r>
      <w:r>
        <w:rPr>
          <w:spacing w:val="-1"/>
          <w:sz w:val="22"/>
        </w:rPr>
        <w:t> </w:t>
      </w:r>
      <w:r>
        <w:rPr>
          <w:sz w:val="22"/>
        </w:rPr>
        <w:t>and</w:t>
      </w:r>
      <w:r>
        <w:rPr>
          <w:spacing w:val="-4"/>
          <w:sz w:val="22"/>
        </w:rPr>
        <w:t> </w:t>
      </w:r>
      <w:r>
        <w:rPr>
          <w:sz w:val="22"/>
        </w:rPr>
        <w:t>Wibulswasdi,</w:t>
      </w:r>
      <w:r>
        <w:rPr>
          <w:spacing w:val="-4"/>
          <w:sz w:val="22"/>
        </w:rPr>
        <w:t> </w:t>
      </w:r>
      <w:r>
        <w:rPr>
          <w:sz w:val="22"/>
        </w:rPr>
        <w:t>C.</w:t>
      </w:r>
      <w:r>
        <w:rPr>
          <w:spacing w:val="-1"/>
          <w:sz w:val="22"/>
        </w:rPr>
        <w:t> </w:t>
      </w:r>
      <w:r>
        <w:rPr>
          <w:sz w:val="22"/>
        </w:rPr>
        <w:t>(1974).</w:t>
      </w:r>
      <w:r>
        <w:rPr>
          <w:spacing w:val="-1"/>
          <w:sz w:val="22"/>
        </w:rPr>
        <w:t> </w:t>
      </w:r>
      <w:r>
        <w:rPr>
          <w:i/>
          <w:sz w:val="22"/>
        </w:rPr>
        <w:t>Capital Flight from</w:t>
      </w:r>
      <w:r>
        <w:rPr>
          <w:i/>
          <w:spacing w:val="-2"/>
          <w:sz w:val="22"/>
        </w:rPr>
        <w:t> </w:t>
      </w:r>
      <w:r>
        <w:rPr>
          <w:i/>
          <w:sz w:val="22"/>
        </w:rPr>
        <w:t>LDCs</w:t>
      </w:r>
      <w:r>
        <w:rPr>
          <w:sz w:val="22"/>
        </w:rPr>
        <w:t>: </w:t>
      </w:r>
      <w:r>
        <w:rPr>
          <w:i/>
          <w:sz w:val="22"/>
        </w:rPr>
        <w:t>A</w:t>
      </w:r>
      <w:r>
        <w:rPr>
          <w:i/>
          <w:spacing w:val="40"/>
          <w:sz w:val="22"/>
        </w:rPr>
        <w:t>  </w:t>
      </w:r>
      <w:r>
        <w:rPr>
          <w:i/>
          <w:sz w:val="22"/>
        </w:rPr>
        <w:t>Statistical</w:t>
      </w:r>
      <w:r>
        <w:rPr>
          <w:i/>
          <w:spacing w:val="40"/>
          <w:sz w:val="22"/>
        </w:rPr>
        <w:t> </w:t>
      </w:r>
      <w:r>
        <w:rPr>
          <w:i/>
          <w:sz w:val="22"/>
        </w:rPr>
        <w:t>Analysis, Illegal Transactions in International </w:t>
      </w:r>
      <w:r>
        <w:rPr>
          <w:sz w:val="22"/>
        </w:rPr>
        <w:t>Trade (Ed.) J.N. Bhagwati,</w:t>
      </w:r>
      <w:r>
        <w:rPr>
          <w:spacing w:val="40"/>
          <w:sz w:val="22"/>
        </w:rPr>
        <w:t> </w:t>
      </w:r>
      <w:r>
        <w:rPr>
          <w:sz w:val="22"/>
        </w:rPr>
        <w:t>North Holland, and Amsterdam.</w:t>
      </w:r>
    </w:p>
    <w:p>
      <w:pPr>
        <w:tabs>
          <w:tab w:pos="10603" w:val="left" w:leader="none"/>
        </w:tabs>
        <w:spacing w:before="240"/>
        <w:ind w:left="711" w:right="471" w:firstLine="0"/>
        <w:jc w:val="both"/>
        <w:rPr>
          <w:sz w:val="22"/>
        </w:rPr>
      </w:pPr>
      <w:r>
        <w:rPr>
          <w:sz w:val="22"/>
        </w:rPr>
        <w:t>Boyce James (1992). The Revolving Door? External Debt and Capital Flight: A Philippine Case</w:t>
      </w:r>
      <w:r>
        <w:rPr>
          <w:spacing w:val="80"/>
          <w:sz w:val="22"/>
        </w:rPr>
        <w:t> </w:t>
      </w:r>
      <w:r>
        <w:rPr>
          <w:sz w:val="22"/>
        </w:rPr>
        <w:t>Study.</w:t>
        <w:tab/>
      </w:r>
      <w:r>
        <w:rPr>
          <w:i/>
          <w:spacing w:val="-2"/>
          <w:sz w:val="22"/>
        </w:rPr>
        <w:t>World </w:t>
      </w:r>
      <w:r>
        <w:rPr>
          <w:i/>
          <w:sz w:val="22"/>
        </w:rPr>
        <w:t>Development</w:t>
      </w:r>
      <w:r>
        <w:rPr>
          <w:sz w:val="22"/>
        </w:rPr>
        <w:t>, </w:t>
      </w:r>
      <w:r>
        <w:rPr>
          <w:i/>
          <w:sz w:val="22"/>
        </w:rPr>
        <w:t>Vol. 20</w:t>
      </w:r>
      <w:r>
        <w:rPr>
          <w:sz w:val="22"/>
        </w:rPr>
        <w:t>, No. 3,</w:t>
      </w:r>
      <w:r>
        <w:rPr>
          <w:spacing w:val="40"/>
          <w:sz w:val="22"/>
        </w:rPr>
        <w:t> </w:t>
      </w:r>
      <w:r>
        <w:rPr>
          <w:sz w:val="22"/>
        </w:rPr>
        <w:t>335-349.</w:t>
      </w:r>
    </w:p>
    <w:p>
      <w:pPr>
        <w:tabs>
          <w:tab w:pos="10603" w:val="left" w:leader="none"/>
        </w:tabs>
        <w:spacing w:before="241"/>
        <w:ind w:left="711" w:right="471" w:firstLine="0"/>
        <w:jc w:val="both"/>
        <w:rPr>
          <w:sz w:val="22"/>
        </w:rPr>
      </w:pPr>
      <w:r>
        <w:rPr>
          <w:sz w:val="22"/>
        </w:rPr>
        <w:t>Boyce, J. K. (1993). The Revolving Door External Debt and Capital Flight: A Philippine Case</w:t>
      </w:r>
      <w:r>
        <w:rPr>
          <w:spacing w:val="80"/>
          <w:sz w:val="22"/>
        </w:rPr>
        <w:t>  </w:t>
      </w:r>
      <w:r>
        <w:rPr>
          <w:sz w:val="22"/>
        </w:rPr>
        <w:t>Study.</w:t>
        <w:tab/>
      </w:r>
      <w:r>
        <w:rPr>
          <w:i/>
          <w:spacing w:val="-2"/>
          <w:sz w:val="22"/>
        </w:rPr>
        <w:t>World </w:t>
      </w:r>
      <w:r>
        <w:rPr>
          <w:i/>
          <w:sz w:val="22"/>
        </w:rPr>
        <w:t>Development, 20(3), </w:t>
      </w:r>
      <w:r>
        <w:rPr>
          <w:sz w:val="22"/>
        </w:rPr>
        <w:t>335-349.</w:t>
      </w:r>
    </w:p>
    <w:p>
      <w:pPr>
        <w:tabs>
          <w:tab w:pos="7912" w:val="left" w:leader="none"/>
          <w:tab w:pos="9353" w:val="left" w:leader="none"/>
          <w:tab w:pos="10725" w:val="left" w:leader="none"/>
        </w:tabs>
        <w:spacing w:before="240"/>
        <w:ind w:left="711" w:right="468" w:firstLine="55"/>
        <w:jc w:val="both"/>
        <w:rPr>
          <w:sz w:val="22"/>
        </w:rPr>
      </w:pPr>
      <w:r>
        <w:rPr>
          <w:sz w:val="22"/>
        </w:rPr>
        <w:t>Boyce, J. K. &amp;</w:t>
      </w:r>
      <w:r>
        <w:rPr>
          <w:spacing w:val="40"/>
          <w:sz w:val="22"/>
        </w:rPr>
        <w:t> </w:t>
      </w:r>
      <w:r>
        <w:rPr>
          <w:sz w:val="22"/>
        </w:rPr>
        <w:t>Ndikumana, L. (2001). Is Africa a Net Creditor? New Estimates of Capital</w:t>
        <w:tab/>
      </w:r>
      <w:r>
        <w:rPr>
          <w:spacing w:val="-2"/>
          <w:sz w:val="22"/>
        </w:rPr>
        <w:t>Flight</w:t>
      </w:r>
      <w:r>
        <w:rPr>
          <w:sz w:val="22"/>
        </w:rPr>
        <w:tab/>
      </w:r>
      <w:r>
        <w:rPr>
          <w:spacing w:val="-4"/>
          <w:sz w:val="22"/>
        </w:rPr>
        <w:t>from </w:t>
      </w:r>
      <w:r>
        <w:rPr>
          <w:sz w:val="22"/>
        </w:rPr>
        <w:t>Severely Indebted Sub-Saharan African Countries, 1970-1996. Journal </w:t>
      </w:r>
      <w:r>
        <w:rPr>
          <w:i/>
          <w:sz w:val="22"/>
        </w:rPr>
        <w:t>of</w:t>
        <w:tab/>
        <w:t>Development Studies, </w:t>
      </w:r>
      <w:r>
        <w:rPr>
          <w:sz w:val="22"/>
        </w:rPr>
        <w:t>38(2).</w:t>
      </w:r>
    </w:p>
    <w:p>
      <w:pPr>
        <w:pStyle w:val="BodyText"/>
        <w:rPr>
          <w:sz w:val="22"/>
        </w:rPr>
      </w:pPr>
    </w:p>
    <w:p>
      <w:pPr>
        <w:pStyle w:val="BodyText"/>
        <w:spacing w:before="227"/>
        <w:rPr>
          <w:sz w:val="22"/>
        </w:rPr>
      </w:pPr>
    </w:p>
    <w:p>
      <w:pPr>
        <w:spacing w:before="0"/>
        <w:ind w:left="711" w:right="467" w:firstLine="0"/>
        <w:jc w:val="both"/>
        <w:rPr>
          <w:sz w:val="22"/>
        </w:rPr>
      </w:pPr>
      <w:r>
        <w:rPr>
          <w:sz w:val="22"/>
        </w:rPr>
        <w:t>Boyce,</w:t>
      </w:r>
      <w:r>
        <w:rPr>
          <w:spacing w:val="-1"/>
          <w:sz w:val="22"/>
        </w:rPr>
        <w:t> </w:t>
      </w:r>
      <w:r>
        <w:rPr>
          <w:sz w:val="22"/>
        </w:rPr>
        <w:t>J.</w:t>
      </w:r>
      <w:r>
        <w:rPr>
          <w:spacing w:val="-1"/>
          <w:sz w:val="22"/>
        </w:rPr>
        <w:t> </w:t>
      </w:r>
      <w:r>
        <w:rPr>
          <w:sz w:val="22"/>
        </w:rPr>
        <w:t>&amp;</w:t>
      </w:r>
      <w:r>
        <w:rPr>
          <w:spacing w:val="-3"/>
          <w:sz w:val="22"/>
        </w:rPr>
        <w:t> </w:t>
      </w:r>
      <w:r>
        <w:rPr>
          <w:sz w:val="22"/>
        </w:rPr>
        <w:t>Léonce</w:t>
      </w:r>
      <w:r>
        <w:rPr>
          <w:spacing w:val="-3"/>
          <w:sz w:val="22"/>
        </w:rPr>
        <w:t> </w:t>
      </w:r>
      <w:r>
        <w:rPr>
          <w:sz w:val="22"/>
        </w:rPr>
        <w:t>N.</w:t>
      </w:r>
      <w:r>
        <w:rPr>
          <w:spacing w:val="-1"/>
          <w:sz w:val="22"/>
        </w:rPr>
        <w:t> </w:t>
      </w:r>
      <w:r>
        <w:rPr>
          <w:sz w:val="22"/>
        </w:rPr>
        <w:t>(2000). Is</w:t>
      </w:r>
      <w:r>
        <w:rPr>
          <w:spacing w:val="-1"/>
          <w:sz w:val="22"/>
        </w:rPr>
        <w:t> </w:t>
      </w:r>
      <w:r>
        <w:rPr>
          <w:sz w:val="22"/>
        </w:rPr>
        <w:t>Africa</w:t>
      </w:r>
      <w:r>
        <w:rPr>
          <w:spacing w:val="-1"/>
          <w:sz w:val="22"/>
        </w:rPr>
        <w:t> </w:t>
      </w:r>
      <w:r>
        <w:rPr>
          <w:sz w:val="22"/>
        </w:rPr>
        <w:t>a</w:t>
      </w:r>
      <w:r>
        <w:rPr>
          <w:spacing w:val="-1"/>
          <w:sz w:val="22"/>
        </w:rPr>
        <w:t> </w:t>
      </w:r>
      <w:r>
        <w:rPr>
          <w:sz w:val="22"/>
        </w:rPr>
        <w:t>Net Creditor?</w:t>
      </w:r>
      <w:r>
        <w:rPr>
          <w:spacing w:val="-1"/>
          <w:sz w:val="22"/>
        </w:rPr>
        <w:t> </w:t>
      </w:r>
      <w:r>
        <w:rPr>
          <w:sz w:val="22"/>
        </w:rPr>
        <w:t>New</w:t>
      </w:r>
      <w:r>
        <w:rPr>
          <w:spacing w:val="-1"/>
          <w:sz w:val="22"/>
        </w:rPr>
        <w:t> </w:t>
      </w:r>
      <w:r>
        <w:rPr>
          <w:sz w:val="22"/>
        </w:rPr>
        <w:t>Estimates</w:t>
      </w:r>
      <w:r>
        <w:rPr>
          <w:spacing w:val="-3"/>
          <w:sz w:val="22"/>
        </w:rPr>
        <w:t> </w:t>
      </w:r>
      <w:r>
        <w:rPr>
          <w:sz w:val="22"/>
        </w:rPr>
        <w:t>of</w:t>
      </w:r>
      <w:r>
        <w:rPr>
          <w:spacing w:val="-1"/>
          <w:sz w:val="22"/>
        </w:rPr>
        <w:t> </w:t>
      </w:r>
      <w:r>
        <w:rPr>
          <w:sz w:val="22"/>
        </w:rPr>
        <w:t>Capital Flight from</w:t>
      </w:r>
      <w:r>
        <w:rPr>
          <w:spacing w:val="80"/>
          <w:sz w:val="22"/>
        </w:rPr>
        <w:t>  </w:t>
      </w:r>
      <w:r>
        <w:rPr>
          <w:sz w:val="22"/>
        </w:rPr>
        <w:t>Severely</w:t>
      </w:r>
      <w:r>
        <w:rPr>
          <w:spacing w:val="40"/>
          <w:sz w:val="22"/>
        </w:rPr>
        <w:t>  </w:t>
      </w:r>
      <w:r>
        <w:rPr>
          <w:sz w:val="22"/>
        </w:rPr>
        <w:t>Indebted Sub-Saharan African Countries, 1970-1996’, Working Paper No. 5, </w:t>
      </w:r>
      <w:r>
        <w:rPr>
          <w:i/>
          <w:sz w:val="22"/>
        </w:rPr>
        <w:t>Political Economy Research Institute</w:t>
      </w:r>
      <w:r>
        <w:rPr>
          <w:sz w:val="22"/>
        </w:rPr>
        <w:t>, University of Massachussetts, Amherst.</w:t>
      </w:r>
    </w:p>
    <w:p>
      <w:pPr>
        <w:spacing w:before="239"/>
        <w:ind w:left="711" w:right="473" w:firstLine="0"/>
        <w:jc w:val="both"/>
        <w:rPr>
          <w:sz w:val="22"/>
        </w:rPr>
      </w:pPr>
      <w:r>
        <w:rPr>
          <w:sz w:val="22"/>
        </w:rPr>
        <w:t>Buffie,</w:t>
      </w:r>
      <w:r>
        <w:rPr>
          <w:spacing w:val="-2"/>
          <w:sz w:val="22"/>
        </w:rPr>
        <w:t> </w:t>
      </w:r>
      <w:r>
        <w:rPr>
          <w:sz w:val="22"/>
        </w:rPr>
        <w:t>E.,</w:t>
      </w:r>
      <w:r>
        <w:rPr>
          <w:spacing w:val="-2"/>
          <w:sz w:val="22"/>
        </w:rPr>
        <w:t> </w:t>
      </w:r>
      <w:r>
        <w:rPr>
          <w:sz w:val="22"/>
        </w:rPr>
        <w:t>C.</w:t>
      </w:r>
      <w:r>
        <w:rPr>
          <w:spacing w:val="-2"/>
          <w:sz w:val="22"/>
        </w:rPr>
        <w:t> </w:t>
      </w:r>
      <w:r>
        <w:rPr>
          <w:sz w:val="22"/>
        </w:rPr>
        <w:t>Adam,</w:t>
      </w:r>
      <w:r>
        <w:rPr>
          <w:spacing w:val="-2"/>
          <w:sz w:val="22"/>
        </w:rPr>
        <w:t> </w:t>
      </w:r>
      <w:r>
        <w:rPr>
          <w:sz w:val="22"/>
        </w:rPr>
        <w:t>S.</w:t>
      </w:r>
      <w:r>
        <w:rPr>
          <w:spacing w:val="-2"/>
          <w:sz w:val="22"/>
        </w:rPr>
        <w:t> </w:t>
      </w:r>
      <w:r>
        <w:rPr>
          <w:sz w:val="22"/>
        </w:rPr>
        <w:t>O’Connell &amp;</w:t>
      </w:r>
      <w:r>
        <w:rPr>
          <w:spacing w:val="-4"/>
          <w:sz w:val="22"/>
        </w:rPr>
        <w:t> </w:t>
      </w:r>
      <w:r>
        <w:rPr>
          <w:sz w:val="22"/>
        </w:rPr>
        <w:t>Pattillo,</w:t>
      </w:r>
      <w:r>
        <w:rPr>
          <w:spacing w:val="-2"/>
          <w:sz w:val="22"/>
        </w:rPr>
        <w:t> </w:t>
      </w:r>
      <w:r>
        <w:rPr>
          <w:sz w:val="22"/>
        </w:rPr>
        <w:t>C.</w:t>
      </w:r>
      <w:r>
        <w:rPr>
          <w:spacing w:val="-2"/>
          <w:sz w:val="22"/>
        </w:rPr>
        <w:t> </w:t>
      </w:r>
      <w:r>
        <w:rPr>
          <w:sz w:val="22"/>
        </w:rPr>
        <w:t>(2004).</w:t>
      </w:r>
      <w:r>
        <w:rPr>
          <w:spacing w:val="40"/>
          <w:sz w:val="22"/>
        </w:rPr>
        <w:t> </w:t>
      </w:r>
      <w:r>
        <w:rPr>
          <w:sz w:val="22"/>
        </w:rPr>
        <w:t>Exchange</w:t>
      </w:r>
      <w:r>
        <w:rPr>
          <w:spacing w:val="-2"/>
          <w:sz w:val="22"/>
        </w:rPr>
        <w:t> </w:t>
      </w:r>
      <w:r>
        <w:rPr>
          <w:sz w:val="22"/>
        </w:rPr>
        <w:t>Rate</w:t>
      </w:r>
      <w:r>
        <w:rPr>
          <w:spacing w:val="-2"/>
          <w:sz w:val="22"/>
        </w:rPr>
        <w:t> </w:t>
      </w:r>
      <w:r>
        <w:rPr>
          <w:sz w:val="22"/>
        </w:rPr>
        <w:t>Policy</w:t>
      </w:r>
      <w:r>
        <w:rPr>
          <w:spacing w:val="-4"/>
          <w:sz w:val="22"/>
        </w:rPr>
        <w:t> </w:t>
      </w:r>
      <w:r>
        <w:rPr>
          <w:sz w:val="22"/>
        </w:rPr>
        <w:t>and</w:t>
      </w:r>
      <w:r>
        <w:rPr>
          <w:spacing w:val="-2"/>
          <w:sz w:val="22"/>
        </w:rPr>
        <w:t> </w:t>
      </w:r>
      <w:r>
        <w:rPr>
          <w:sz w:val="22"/>
        </w:rPr>
        <w:t>the</w:t>
      </w:r>
      <w:r>
        <w:rPr>
          <w:spacing w:val="80"/>
          <w:sz w:val="22"/>
        </w:rPr>
        <w:t> </w:t>
      </w:r>
      <w:r>
        <w:rPr>
          <w:sz w:val="22"/>
        </w:rPr>
        <w:t>Management of Official and Private Capital Flows in Africa. </w:t>
      </w:r>
      <w:r>
        <w:rPr>
          <w:i/>
          <w:sz w:val="22"/>
        </w:rPr>
        <w:t>IMF Staff Papers 5,</w:t>
      </w:r>
      <w:r>
        <w:rPr>
          <w:i/>
          <w:spacing w:val="80"/>
          <w:sz w:val="22"/>
        </w:rPr>
        <w:t>   </w:t>
      </w:r>
      <w:r>
        <w:rPr>
          <w:sz w:val="22"/>
        </w:rPr>
        <w:t>126160.</w:t>
      </w:r>
    </w:p>
    <w:p>
      <w:pPr>
        <w:spacing w:before="241"/>
        <w:ind w:left="711" w:right="0" w:firstLine="0"/>
        <w:jc w:val="both"/>
        <w:rPr>
          <w:sz w:val="22"/>
        </w:rPr>
      </w:pPr>
      <w:r>
        <w:rPr>
          <w:sz w:val="22"/>
        </w:rPr>
        <w:t>Bulir,</w:t>
      </w:r>
      <w:r>
        <w:rPr>
          <w:spacing w:val="-3"/>
          <w:sz w:val="22"/>
        </w:rPr>
        <w:t> </w:t>
      </w:r>
      <w:r>
        <w:rPr>
          <w:sz w:val="22"/>
        </w:rPr>
        <w:t>A.</w:t>
      </w:r>
      <w:r>
        <w:rPr>
          <w:spacing w:val="-2"/>
          <w:sz w:val="22"/>
        </w:rPr>
        <w:t> </w:t>
      </w:r>
      <w:r>
        <w:rPr>
          <w:sz w:val="22"/>
        </w:rPr>
        <w:t>&amp;</w:t>
      </w:r>
      <w:r>
        <w:rPr>
          <w:spacing w:val="-4"/>
          <w:sz w:val="22"/>
        </w:rPr>
        <w:t> </w:t>
      </w:r>
      <w:r>
        <w:rPr>
          <w:sz w:val="22"/>
        </w:rPr>
        <w:t>Hamann,</w:t>
      </w:r>
      <w:r>
        <w:rPr>
          <w:spacing w:val="-2"/>
          <w:sz w:val="22"/>
        </w:rPr>
        <w:t> </w:t>
      </w:r>
      <w:r>
        <w:rPr>
          <w:sz w:val="22"/>
        </w:rPr>
        <w:t>A.</w:t>
      </w:r>
      <w:r>
        <w:rPr>
          <w:spacing w:val="-3"/>
          <w:sz w:val="22"/>
        </w:rPr>
        <w:t> </w:t>
      </w:r>
      <w:r>
        <w:rPr>
          <w:sz w:val="22"/>
        </w:rPr>
        <w:t>J.</w:t>
      </w:r>
      <w:r>
        <w:rPr>
          <w:spacing w:val="-4"/>
          <w:sz w:val="22"/>
        </w:rPr>
        <w:t> </w:t>
      </w:r>
      <w:r>
        <w:rPr>
          <w:sz w:val="22"/>
        </w:rPr>
        <w:t>(2003).</w:t>
      </w:r>
      <w:r>
        <w:rPr>
          <w:spacing w:val="-3"/>
          <w:sz w:val="22"/>
        </w:rPr>
        <w:t> </w:t>
      </w:r>
      <w:r>
        <w:rPr>
          <w:sz w:val="22"/>
        </w:rPr>
        <w:t>Aid</w:t>
      </w:r>
      <w:r>
        <w:rPr>
          <w:spacing w:val="-5"/>
          <w:sz w:val="22"/>
        </w:rPr>
        <w:t> </w:t>
      </w:r>
      <w:r>
        <w:rPr>
          <w:sz w:val="22"/>
        </w:rPr>
        <w:t>Volatility:</w:t>
      </w:r>
      <w:r>
        <w:rPr>
          <w:spacing w:val="-2"/>
          <w:sz w:val="22"/>
        </w:rPr>
        <w:t> </w:t>
      </w:r>
      <w:r>
        <w:rPr>
          <w:sz w:val="22"/>
        </w:rPr>
        <w:t>An</w:t>
      </w:r>
      <w:r>
        <w:rPr>
          <w:spacing w:val="-2"/>
          <w:sz w:val="22"/>
        </w:rPr>
        <w:t> </w:t>
      </w:r>
      <w:r>
        <w:rPr>
          <w:sz w:val="22"/>
        </w:rPr>
        <w:t>Empirical</w:t>
      </w:r>
      <w:r>
        <w:rPr>
          <w:spacing w:val="-2"/>
          <w:sz w:val="22"/>
        </w:rPr>
        <w:t> </w:t>
      </w:r>
      <w:r>
        <w:rPr>
          <w:sz w:val="22"/>
        </w:rPr>
        <w:t>Assessment.</w:t>
      </w:r>
      <w:r>
        <w:rPr>
          <w:spacing w:val="-2"/>
          <w:sz w:val="22"/>
        </w:rPr>
        <w:t> </w:t>
      </w:r>
      <w:r>
        <w:rPr>
          <w:i/>
          <w:sz w:val="22"/>
        </w:rPr>
        <w:t>IMF</w:t>
      </w:r>
      <w:r>
        <w:rPr>
          <w:i/>
          <w:spacing w:val="-6"/>
          <w:sz w:val="22"/>
        </w:rPr>
        <w:t> </w:t>
      </w:r>
      <w:r>
        <w:rPr>
          <w:i/>
          <w:sz w:val="22"/>
        </w:rPr>
        <w:t>Staff</w:t>
      </w:r>
      <w:r>
        <w:rPr>
          <w:i/>
          <w:spacing w:val="-1"/>
          <w:sz w:val="22"/>
        </w:rPr>
        <w:t> </w:t>
      </w:r>
      <w:r>
        <w:rPr>
          <w:i/>
          <w:sz w:val="22"/>
        </w:rPr>
        <w:t>Papers</w:t>
      </w:r>
      <w:r>
        <w:rPr>
          <w:i/>
          <w:spacing w:val="59"/>
          <w:w w:val="150"/>
          <w:sz w:val="22"/>
        </w:rPr>
        <w:t>  </w:t>
      </w:r>
      <w:r>
        <w:rPr>
          <w:i/>
          <w:sz w:val="22"/>
        </w:rPr>
        <w:t>50</w:t>
      </w:r>
      <w:r>
        <w:rPr>
          <w:sz w:val="22"/>
        </w:rPr>
        <w:t>,</w:t>
      </w:r>
      <w:r>
        <w:rPr>
          <w:spacing w:val="-2"/>
          <w:sz w:val="22"/>
        </w:rPr>
        <w:t> </w:t>
      </w:r>
      <w:r>
        <w:rPr>
          <w:sz w:val="22"/>
        </w:rPr>
        <w:t>64-</w:t>
      </w:r>
      <w:r>
        <w:rPr>
          <w:spacing w:val="-5"/>
          <w:sz w:val="22"/>
        </w:rPr>
        <w:t>90.</w:t>
      </w:r>
    </w:p>
    <w:p>
      <w:pPr>
        <w:spacing w:before="239"/>
        <w:ind w:left="711" w:right="470" w:firstLine="0"/>
        <w:jc w:val="both"/>
        <w:rPr>
          <w:sz w:val="22"/>
        </w:rPr>
      </w:pPr>
      <w:r>
        <w:rPr>
          <w:sz w:val="22"/>
        </w:rPr>
        <w:t>Cardoso,</w:t>
      </w:r>
      <w:r>
        <w:rPr>
          <w:spacing w:val="-1"/>
          <w:sz w:val="22"/>
        </w:rPr>
        <w:t> </w:t>
      </w:r>
      <w:r>
        <w:rPr>
          <w:sz w:val="22"/>
        </w:rPr>
        <w:t>E.A.,</w:t>
      </w:r>
      <w:r>
        <w:rPr>
          <w:spacing w:val="-1"/>
          <w:sz w:val="22"/>
        </w:rPr>
        <w:t> </w:t>
      </w:r>
      <w:r>
        <w:rPr>
          <w:sz w:val="22"/>
        </w:rPr>
        <w:t>&amp;</w:t>
      </w:r>
      <w:r>
        <w:rPr>
          <w:spacing w:val="-3"/>
          <w:sz w:val="22"/>
        </w:rPr>
        <w:t> </w:t>
      </w:r>
      <w:r>
        <w:rPr>
          <w:sz w:val="22"/>
        </w:rPr>
        <w:t>Dornbusch,</w:t>
      </w:r>
      <w:r>
        <w:rPr>
          <w:spacing w:val="-1"/>
          <w:sz w:val="22"/>
        </w:rPr>
        <w:t> </w:t>
      </w:r>
      <w:r>
        <w:rPr>
          <w:sz w:val="22"/>
        </w:rPr>
        <w:t>R.</w:t>
      </w:r>
      <w:r>
        <w:rPr>
          <w:spacing w:val="-1"/>
          <w:sz w:val="22"/>
        </w:rPr>
        <w:t> </w:t>
      </w:r>
      <w:r>
        <w:rPr>
          <w:sz w:val="22"/>
        </w:rPr>
        <w:t>(1989).</w:t>
      </w:r>
      <w:r>
        <w:rPr>
          <w:spacing w:val="-1"/>
          <w:sz w:val="22"/>
        </w:rPr>
        <w:t> </w:t>
      </w:r>
      <w:r>
        <w:rPr>
          <w:i/>
          <w:sz w:val="22"/>
        </w:rPr>
        <w:t>Foreign</w:t>
      </w:r>
      <w:r>
        <w:rPr>
          <w:i/>
          <w:spacing w:val="-1"/>
          <w:sz w:val="22"/>
        </w:rPr>
        <w:t> </w:t>
      </w:r>
      <w:r>
        <w:rPr>
          <w:i/>
          <w:sz w:val="22"/>
        </w:rPr>
        <w:t>Capital Flows </w:t>
      </w:r>
      <w:r>
        <w:rPr>
          <w:sz w:val="22"/>
        </w:rPr>
        <w:t>in</w:t>
      </w:r>
      <w:r>
        <w:rPr>
          <w:spacing w:val="-4"/>
          <w:sz w:val="22"/>
        </w:rPr>
        <w:t> </w:t>
      </w:r>
      <w:r>
        <w:rPr>
          <w:sz w:val="22"/>
        </w:rPr>
        <w:t>H.</w:t>
      </w:r>
      <w:r>
        <w:rPr>
          <w:spacing w:val="-1"/>
          <w:sz w:val="22"/>
        </w:rPr>
        <w:t> </w:t>
      </w:r>
      <w:r>
        <w:rPr>
          <w:sz w:val="22"/>
        </w:rPr>
        <w:t>Chenery</w:t>
      </w:r>
      <w:r>
        <w:rPr>
          <w:spacing w:val="-4"/>
          <w:sz w:val="22"/>
        </w:rPr>
        <w:t> </w:t>
      </w:r>
      <w:r>
        <w:rPr>
          <w:sz w:val="22"/>
        </w:rPr>
        <w:t>and</w:t>
      </w:r>
      <w:r>
        <w:rPr>
          <w:spacing w:val="-3"/>
          <w:sz w:val="22"/>
        </w:rPr>
        <w:t> </w:t>
      </w:r>
      <w:r>
        <w:rPr>
          <w:sz w:val="22"/>
        </w:rPr>
        <w:t>Srinivasan</w:t>
      </w:r>
      <w:r>
        <w:rPr>
          <w:spacing w:val="40"/>
          <w:sz w:val="22"/>
        </w:rPr>
        <w:t>  </w:t>
      </w:r>
      <w:r>
        <w:rPr>
          <w:sz w:val="22"/>
        </w:rPr>
        <w:t>T.N.</w:t>
      </w:r>
      <w:r>
        <w:rPr>
          <w:spacing w:val="40"/>
          <w:sz w:val="22"/>
        </w:rPr>
        <w:t> </w:t>
      </w:r>
      <w:r>
        <w:rPr>
          <w:i/>
          <w:sz w:val="22"/>
        </w:rPr>
        <w:t>Handbook</w:t>
      </w:r>
      <w:r>
        <w:rPr>
          <w:i/>
          <w:spacing w:val="40"/>
          <w:sz w:val="22"/>
        </w:rPr>
        <w:t> </w:t>
      </w:r>
      <w:r>
        <w:rPr>
          <w:i/>
          <w:sz w:val="22"/>
        </w:rPr>
        <w:t>of Development Economics</w:t>
      </w:r>
      <w:r>
        <w:rPr>
          <w:sz w:val="22"/>
        </w:rPr>
        <w:t>, Volume 2, 1416-1439, Amsterdam: Elsevier</w:t>
      </w:r>
      <w:r>
        <w:rPr>
          <w:spacing w:val="80"/>
          <w:sz w:val="22"/>
        </w:rPr>
        <w:t>  </w:t>
      </w:r>
      <w:r>
        <w:rPr>
          <w:sz w:val="22"/>
        </w:rPr>
        <w:t>Science Publishers</w:t>
      </w:r>
    </w:p>
    <w:p>
      <w:pPr>
        <w:spacing w:before="240"/>
        <w:ind w:left="711" w:right="0" w:firstLine="0"/>
        <w:jc w:val="both"/>
        <w:rPr>
          <w:i/>
          <w:sz w:val="22"/>
        </w:rPr>
      </w:pPr>
      <w:r>
        <w:rPr>
          <w:sz w:val="22"/>
        </w:rPr>
        <w:t>Central</w:t>
      </w:r>
      <w:r>
        <w:rPr>
          <w:spacing w:val="-3"/>
          <w:sz w:val="22"/>
        </w:rPr>
        <w:t> </w:t>
      </w:r>
      <w:r>
        <w:rPr>
          <w:sz w:val="22"/>
        </w:rPr>
        <w:t>Bank</w:t>
      </w:r>
      <w:r>
        <w:rPr>
          <w:spacing w:val="-6"/>
          <w:sz w:val="22"/>
        </w:rPr>
        <w:t> </w:t>
      </w:r>
      <w:r>
        <w:rPr>
          <w:sz w:val="22"/>
        </w:rPr>
        <w:t>of</w:t>
      </w:r>
      <w:r>
        <w:rPr>
          <w:spacing w:val="-3"/>
          <w:sz w:val="22"/>
        </w:rPr>
        <w:t> </w:t>
      </w:r>
      <w:r>
        <w:rPr>
          <w:sz w:val="22"/>
        </w:rPr>
        <w:t>Nigeria</w:t>
      </w:r>
      <w:r>
        <w:rPr>
          <w:spacing w:val="-3"/>
          <w:sz w:val="22"/>
        </w:rPr>
        <w:t> </w:t>
      </w:r>
      <w:r>
        <w:rPr>
          <w:sz w:val="22"/>
        </w:rPr>
        <w:t>(2011).</w:t>
      </w:r>
      <w:r>
        <w:rPr>
          <w:spacing w:val="-4"/>
          <w:sz w:val="22"/>
        </w:rPr>
        <w:t> </w:t>
      </w:r>
      <w:r>
        <w:rPr>
          <w:sz w:val="22"/>
        </w:rPr>
        <w:t>Nigeria’s</w:t>
      </w:r>
      <w:r>
        <w:rPr>
          <w:spacing w:val="-3"/>
          <w:sz w:val="22"/>
        </w:rPr>
        <w:t> </w:t>
      </w:r>
      <w:r>
        <w:rPr>
          <w:sz w:val="22"/>
        </w:rPr>
        <w:t>External</w:t>
      </w:r>
      <w:r>
        <w:rPr>
          <w:spacing w:val="-2"/>
          <w:sz w:val="22"/>
        </w:rPr>
        <w:t> </w:t>
      </w:r>
      <w:r>
        <w:rPr>
          <w:sz w:val="22"/>
        </w:rPr>
        <w:t>and</w:t>
      </w:r>
      <w:r>
        <w:rPr>
          <w:spacing w:val="-3"/>
          <w:sz w:val="22"/>
        </w:rPr>
        <w:t> </w:t>
      </w:r>
      <w:r>
        <w:rPr>
          <w:sz w:val="22"/>
        </w:rPr>
        <w:t>Domestic</w:t>
      </w:r>
      <w:r>
        <w:rPr>
          <w:spacing w:val="-4"/>
          <w:sz w:val="22"/>
        </w:rPr>
        <w:t> </w:t>
      </w:r>
      <w:r>
        <w:rPr>
          <w:sz w:val="22"/>
        </w:rPr>
        <w:t>Debt.</w:t>
      </w:r>
      <w:r>
        <w:rPr>
          <w:spacing w:val="51"/>
          <w:sz w:val="22"/>
        </w:rPr>
        <w:t> </w:t>
      </w:r>
      <w:r>
        <w:rPr>
          <w:i/>
          <w:sz w:val="22"/>
        </w:rPr>
        <w:t>CBN</w:t>
      </w:r>
      <w:r>
        <w:rPr>
          <w:i/>
          <w:spacing w:val="-5"/>
          <w:sz w:val="22"/>
        </w:rPr>
        <w:t> </w:t>
      </w:r>
      <w:r>
        <w:rPr>
          <w:i/>
          <w:spacing w:val="-2"/>
          <w:sz w:val="22"/>
        </w:rPr>
        <w:t>Publication</w:t>
      </w:r>
    </w:p>
    <w:p>
      <w:pPr>
        <w:spacing w:before="240"/>
        <w:ind w:left="711" w:right="0" w:firstLine="0"/>
        <w:jc w:val="both"/>
        <w:rPr>
          <w:sz w:val="22"/>
        </w:rPr>
      </w:pPr>
      <w:r>
        <w:rPr>
          <w:sz w:val="22"/>
        </w:rPr>
        <w:t>Cerra,</w:t>
      </w:r>
      <w:r>
        <w:rPr>
          <w:spacing w:val="-5"/>
          <w:sz w:val="22"/>
        </w:rPr>
        <w:t> </w:t>
      </w:r>
      <w:r>
        <w:rPr>
          <w:sz w:val="22"/>
        </w:rPr>
        <w:t>V.,</w:t>
      </w:r>
      <w:r>
        <w:rPr>
          <w:spacing w:val="-2"/>
          <w:sz w:val="22"/>
        </w:rPr>
        <w:t> </w:t>
      </w:r>
      <w:r>
        <w:rPr>
          <w:sz w:val="22"/>
        </w:rPr>
        <w:t>M.</w:t>
      </w:r>
      <w:r>
        <w:rPr>
          <w:spacing w:val="-3"/>
          <w:sz w:val="22"/>
        </w:rPr>
        <w:t> </w:t>
      </w:r>
      <w:r>
        <w:rPr>
          <w:sz w:val="22"/>
        </w:rPr>
        <w:t>Rishi,</w:t>
      </w:r>
      <w:r>
        <w:rPr>
          <w:spacing w:val="-2"/>
          <w:sz w:val="22"/>
        </w:rPr>
        <w:t> </w:t>
      </w:r>
      <w:r>
        <w:rPr>
          <w:sz w:val="22"/>
        </w:rPr>
        <w:t>&amp;</w:t>
      </w:r>
      <w:r>
        <w:rPr>
          <w:spacing w:val="-5"/>
          <w:sz w:val="22"/>
        </w:rPr>
        <w:t> </w:t>
      </w:r>
      <w:r>
        <w:rPr>
          <w:sz w:val="22"/>
        </w:rPr>
        <w:t>Saxena</w:t>
      </w:r>
      <w:r>
        <w:rPr>
          <w:spacing w:val="-2"/>
          <w:sz w:val="22"/>
        </w:rPr>
        <w:t> </w:t>
      </w:r>
      <w:r>
        <w:rPr>
          <w:sz w:val="22"/>
        </w:rPr>
        <w:t>S.</w:t>
      </w:r>
      <w:r>
        <w:rPr>
          <w:spacing w:val="-3"/>
          <w:sz w:val="22"/>
        </w:rPr>
        <w:t> </w:t>
      </w:r>
      <w:r>
        <w:rPr>
          <w:sz w:val="22"/>
        </w:rPr>
        <w:t>C.</w:t>
      </w:r>
      <w:r>
        <w:rPr>
          <w:spacing w:val="49"/>
          <w:sz w:val="22"/>
        </w:rPr>
        <w:t> </w:t>
      </w:r>
      <w:r>
        <w:rPr>
          <w:sz w:val="22"/>
        </w:rPr>
        <w:t>(2005).</w:t>
      </w:r>
      <w:r>
        <w:rPr>
          <w:spacing w:val="-2"/>
          <w:sz w:val="22"/>
        </w:rPr>
        <w:t> </w:t>
      </w:r>
      <w:r>
        <w:rPr>
          <w:sz w:val="22"/>
        </w:rPr>
        <w:t>Robbing</w:t>
      </w:r>
      <w:r>
        <w:rPr>
          <w:spacing w:val="-5"/>
          <w:sz w:val="22"/>
        </w:rPr>
        <w:t> </w:t>
      </w:r>
      <w:r>
        <w:rPr>
          <w:sz w:val="22"/>
        </w:rPr>
        <w:t>the</w:t>
      </w:r>
      <w:r>
        <w:rPr>
          <w:spacing w:val="-3"/>
          <w:sz w:val="22"/>
        </w:rPr>
        <w:t> </w:t>
      </w:r>
      <w:r>
        <w:rPr>
          <w:sz w:val="22"/>
        </w:rPr>
        <w:t>Riches:</w:t>
      </w:r>
      <w:r>
        <w:rPr>
          <w:spacing w:val="-1"/>
          <w:sz w:val="22"/>
        </w:rPr>
        <w:t> </w:t>
      </w:r>
      <w:r>
        <w:rPr>
          <w:sz w:val="22"/>
        </w:rPr>
        <w:t>Capital</w:t>
      </w:r>
      <w:r>
        <w:rPr>
          <w:spacing w:val="-4"/>
          <w:sz w:val="22"/>
        </w:rPr>
        <w:t> </w:t>
      </w:r>
      <w:r>
        <w:rPr>
          <w:sz w:val="22"/>
        </w:rPr>
        <w:t>Flight,</w:t>
      </w:r>
      <w:r>
        <w:rPr>
          <w:spacing w:val="-2"/>
          <w:sz w:val="22"/>
        </w:rPr>
        <w:t> </w:t>
      </w:r>
      <w:r>
        <w:rPr>
          <w:sz w:val="22"/>
        </w:rPr>
        <w:t>Institutions,</w:t>
      </w:r>
      <w:r>
        <w:rPr>
          <w:spacing w:val="-3"/>
          <w:sz w:val="22"/>
        </w:rPr>
        <w:t> </w:t>
      </w:r>
      <w:r>
        <w:rPr>
          <w:sz w:val="22"/>
        </w:rPr>
        <w:t>and</w:t>
      </w:r>
      <w:r>
        <w:rPr>
          <w:spacing w:val="24"/>
          <w:sz w:val="22"/>
        </w:rPr>
        <w:t> </w:t>
      </w:r>
      <w:r>
        <w:rPr>
          <w:spacing w:val="-2"/>
          <w:sz w:val="22"/>
        </w:rPr>
        <w:t>Instability.</w:t>
      </w:r>
    </w:p>
    <w:p>
      <w:pPr>
        <w:spacing w:before="1"/>
        <w:ind w:left="711" w:right="0" w:firstLine="0"/>
        <w:jc w:val="both"/>
        <w:rPr>
          <w:sz w:val="22"/>
        </w:rPr>
      </w:pPr>
      <w:r>
        <w:rPr>
          <w:i/>
          <w:sz w:val="22"/>
        </w:rPr>
        <w:t>International</w:t>
      </w:r>
      <w:r>
        <w:rPr>
          <w:i/>
          <w:spacing w:val="-6"/>
          <w:sz w:val="22"/>
        </w:rPr>
        <w:t> </w:t>
      </w:r>
      <w:r>
        <w:rPr>
          <w:i/>
          <w:sz w:val="22"/>
        </w:rPr>
        <w:t>Monetary</w:t>
      </w:r>
      <w:r>
        <w:rPr>
          <w:i/>
          <w:spacing w:val="-4"/>
          <w:sz w:val="22"/>
        </w:rPr>
        <w:t> </w:t>
      </w:r>
      <w:r>
        <w:rPr>
          <w:i/>
          <w:sz w:val="22"/>
        </w:rPr>
        <w:t>Fund</w:t>
      </w:r>
      <w:r>
        <w:rPr>
          <w:sz w:val="22"/>
        </w:rPr>
        <w:t>,</w:t>
      </w:r>
      <w:r>
        <w:rPr>
          <w:spacing w:val="-4"/>
          <w:sz w:val="22"/>
        </w:rPr>
        <w:t> </w:t>
      </w:r>
      <w:r>
        <w:rPr>
          <w:i/>
          <w:sz w:val="22"/>
        </w:rPr>
        <w:t>Working</w:t>
      </w:r>
      <w:r>
        <w:rPr>
          <w:i/>
          <w:spacing w:val="-4"/>
          <w:sz w:val="22"/>
        </w:rPr>
        <w:t> </w:t>
      </w:r>
      <w:r>
        <w:rPr>
          <w:i/>
          <w:sz w:val="22"/>
        </w:rPr>
        <w:t>Paper</w:t>
      </w:r>
      <w:r>
        <w:rPr>
          <w:i/>
          <w:spacing w:val="-3"/>
          <w:sz w:val="22"/>
        </w:rPr>
        <w:t> </w:t>
      </w:r>
      <w:r>
        <w:rPr>
          <w:spacing w:val="-2"/>
          <w:sz w:val="22"/>
        </w:rPr>
        <w:t>05/199.</w:t>
      </w:r>
    </w:p>
    <w:p>
      <w:pPr>
        <w:spacing w:before="239"/>
        <w:ind w:left="711" w:right="470" w:firstLine="0"/>
        <w:jc w:val="both"/>
        <w:rPr>
          <w:sz w:val="22"/>
        </w:rPr>
      </w:pPr>
      <w:r>
        <w:rPr>
          <w:sz w:val="22"/>
        </w:rPr>
        <w:t>Cerra,V.,</w:t>
      </w:r>
      <w:r>
        <w:rPr>
          <w:spacing w:val="-4"/>
          <w:sz w:val="22"/>
        </w:rPr>
        <w:t> </w:t>
      </w:r>
      <w:r>
        <w:rPr>
          <w:sz w:val="22"/>
        </w:rPr>
        <w:t>Rishi,</w:t>
      </w:r>
      <w:r>
        <w:rPr>
          <w:spacing w:val="-4"/>
          <w:sz w:val="22"/>
        </w:rPr>
        <w:t> </w:t>
      </w:r>
      <w:r>
        <w:rPr>
          <w:sz w:val="22"/>
        </w:rPr>
        <w:t>M. &amp;</w:t>
      </w:r>
      <w:r>
        <w:rPr>
          <w:spacing w:val="-3"/>
          <w:sz w:val="22"/>
        </w:rPr>
        <w:t> </w:t>
      </w:r>
      <w:r>
        <w:rPr>
          <w:sz w:val="22"/>
        </w:rPr>
        <w:t>Saxena,</w:t>
      </w:r>
      <w:r>
        <w:rPr>
          <w:spacing w:val="-1"/>
          <w:sz w:val="22"/>
        </w:rPr>
        <w:t> </w:t>
      </w:r>
      <w:r>
        <w:rPr>
          <w:sz w:val="22"/>
        </w:rPr>
        <w:t>S.</w:t>
      </w:r>
      <w:r>
        <w:rPr>
          <w:spacing w:val="-1"/>
          <w:sz w:val="22"/>
        </w:rPr>
        <w:t> </w:t>
      </w:r>
      <w:r>
        <w:rPr>
          <w:sz w:val="22"/>
        </w:rPr>
        <w:t>(2008).</w:t>
      </w:r>
      <w:r>
        <w:rPr>
          <w:spacing w:val="-4"/>
          <w:sz w:val="22"/>
        </w:rPr>
        <w:t> </w:t>
      </w:r>
      <w:r>
        <w:rPr>
          <w:sz w:val="22"/>
        </w:rPr>
        <w:t>Robbing</w:t>
      </w:r>
      <w:r>
        <w:rPr>
          <w:spacing w:val="-4"/>
          <w:sz w:val="22"/>
        </w:rPr>
        <w:t> </w:t>
      </w:r>
      <w:r>
        <w:rPr>
          <w:sz w:val="22"/>
        </w:rPr>
        <w:t>the</w:t>
      </w:r>
      <w:r>
        <w:rPr>
          <w:spacing w:val="-3"/>
          <w:sz w:val="22"/>
        </w:rPr>
        <w:t> </w:t>
      </w:r>
      <w:r>
        <w:rPr>
          <w:sz w:val="22"/>
        </w:rPr>
        <w:t>Riches, Capital Flight,</w:t>
      </w:r>
      <w:r>
        <w:rPr>
          <w:spacing w:val="-1"/>
          <w:sz w:val="22"/>
        </w:rPr>
        <w:t> </w:t>
      </w:r>
      <w:r>
        <w:rPr>
          <w:sz w:val="22"/>
        </w:rPr>
        <w:t>Institution</w:t>
      </w:r>
      <w:r>
        <w:rPr>
          <w:spacing w:val="-1"/>
          <w:sz w:val="22"/>
        </w:rPr>
        <w:t> </w:t>
      </w:r>
      <w:r>
        <w:rPr>
          <w:sz w:val="22"/>
        </w:rPr>
        <w:t>and</w:t>
      </w:r>
      <w:r>
        <w:rPr>
          <w:spacing w:val="80"/>
          <w:sz w:val="22"/>
        </w:rPr>
        <w:t>  </w:t>
      </w:r>
      <w:r>
        <w:rPr>
          <w:sz w:val="22"/>
        </w:rPr>
        <w:t>Debt</w:t>
      </w:r>
      <w:r>
        <w:rPr>
          <w:i/>
          <w:sz w:val="22"/>
        </w:rPr>
        <w:t>.</w:t>
      </w:r>
      <w:r>
        <w:rPr>
          <w:i/>
          <w:spacing w:val="40"/>
          <w:sz w:val="22"/>
        </w:rPr>
        <w:t> </w:t>
      </w:r>
      <w:r>
        <w:rPr>
          <w:i/>
          <w:sz w:val="22"/>
        </w:rPr>
        <w:t>Journal</w:t>
      </w:r>
      <w:r>
        <w:rPr>
          <w:i/>
          <w:spacing w:val="40"/>
          <w:sz w:val="22"/>
        </w:rPr>
        <w:t> </w:t>
      </w:r>
      <w:r>
        <w:rPr>
          <w:i/>
          <w:sz w:val="22"/>
        </w:rPr>
        <w:t>of Development Studies</w:t>
      </w:r>
      <w:r>
        <w:rPr>
          <w:sz w:val="22"/>
        </w:rPr>
        <w:t>, </w:t>
      </w:r>
      <w:r>
        <w:rPr>
          <w:i/>
          <w:sz w:val="22"/>
        </w:rPr>
        <w:t>44(8), </w:t>
      </w:r>
      <w:r>
        <w:rPr>
          <w:sz w:val="22"/>
        </w:rPr>
        <w:t>1190-1213.</w:t>
      </w:r>
    </w:p>
    <w:p>
      <w:pPr>
        <w:tabs>
          <w:tab w:pos="10403" w:val="left" w:leader="none"/>
        </w:tabs>
        <w:spacing w:before="241"/>
        <w:ind w:left="711" w:right="472" w:firstLine="0"/>
        <w:jc w:val="both"/>
        <w:rPr>
          <w:sz w:val="22"/>
        </w:rPr>
      </w:pPr>
      <w:r>
        <w:rPr>
          <w:sz w:val="22"/>
        </w:rPr>
        <w:t>Chander, K, (1996). </w:t>
      </w:r>
      <w:r>
        <w:rPr>
          <w:i/>
          <w:sz w:val="22"/>
        </w:rPr>
        <w:t>Foreign Direct Investment and Capital Flight </w:t>
      </w:r>
      <w:r>
        <w:rPr>
          <w:sz w:val="22"/>
        </w:rPr>
        <w:t>Princeton Studies in</w:t>
      </w:r>
      <w:r>
        <w:rPr>
          <w:spacing w:val="40"/>
          <w:sz w:val="22"/>
        </w:rPr>
        <w:t>  </w:t>
      </w:r>
      <w:r>
        <w:rPr>
          <w:sz w:val="22"/>
        </w:rPr>
        <w:t>International</w:t>
        <w:tab/>
      </w:r>
      <w:r>
        <w:rPr>
          <w:spacing w:val="-2"/>
          <w:sz w:val="22"/>
        </w:rPr>
        <w:t>Finance. </w:t>
      </w:r>
      <w:r>
        <w:rPr>
          <w:sz w:val="22"/>
        </w:rPr>
        <w:t>Princeton University, New Jersey.</w:t>
      </w:r>
    </w:p>
    <w:p>
      <w:pPr>
        <w:spacing w:before="240"/>
        <w:ind w:left="711" w:right="472" w:firstLine="0"/>
        <w:jc w:val="both"/>
        <w:rPr>
          <w:sz w:val="22"/>
        </w:rPr>
      </w:pPr>
      <w:r>
        <w:rPr>
          <w:sz w:val="22"/>
        </w:rPr>
        <w:t>Chang,</w:t>
      </w:r>
      <w:r>
        <w:rPr>
          <w:spacing w:val="-2"/>
          <w:sz w:val="22"/>
        </w:rPr>
        <w:t> </w:t>
      </w:r>
      <w:r>
        <w:rPr>
          <w:sz w:val="22"/>
        </w:rPr>
        <w:t>P.H.</w:t>
      </w:r>
      <w:r>
        <w:rPr>
          <w:spacing w:val="-2"/>
          <w:sz w:val="22"/>
        </w:rPr>
        <w:t> </w:t>
      </w:r>
      <w:r>
        <w:rPr>
          <w:sz w:val="22"/>
        </w:rPr>
        <w:t>Kevin,</w:t>
      </w:r>
      <w:r>
        <w:rPr>
          <w:spacing w:val="-2"/>
          <w:sz w:val="22"/>
        </w:rPr>
        <w:t> </w:t>
      </w:r>
      <w:r>
        <w:rPr>
          <w:sz w:val="22"/>
        </w:rPr>
        <w:t>&amp;</w:t>
      </w:r>
      <w:r>
        <w:rPr>
          <w:spacing w:val="-3"/>
          <w:sz w:val="22"/>
        </w:rPr>
        <w:t> </w:t>
      </w:r>
      <w:r>
        <w:rPr>
          <w:sz w:val="22"/>
        </w:rPr>
        <w:t>Robert</w:t>
      </w:r>
      <w:r>
        <w:rPr>
          <w:spacing w:val="-1"/>
          <w:sz w:val="22"/>
        </w:rPr>
        <w:t> </w:t>
      </w:r>
      <w:r>
        <w:rPr>
          <w:sz w:val="22"/>
        </w:rPr>
        <w:t>E.</w:t>
      </w:r>
      <w:r>
        <w:rPr>
          <w:spacing w:val="-5"/>
          <w:sz w:val="22"/>
        </w:rPr>
        <w:t> </w:t>
      </w:r>
      <w:r>
        <w:rPr>
          <w:sz w:val="22"/>
        </w:rPr>
        <w:t>Cumby,</w:t>
      </w:r>
      <w:r>
        <w:rPr>
          <w:spacing w:val="-1"/>
          <w:sz w:val="22"/>
        </w:rPr>
        <w:t> </w:t>
      </w:r>
      <w:r>
        <w:rPr>
          <w:sz w:val="22"/>
        </w:rPr>
        <w:t>(1991).</w:t>
      </w:r>
      <w:r>
        <w:rPr>
          <w:spacing w:val="-2"/>
          <w:sz w:val="22"/>
        </w:rPr>
        <w:t> </w:t>
      </w:r>
      <w:r>
        <w:rPr>
          <w:i/>
          <w:sz w:val="22"/>
        </w:rPr>
        <w:t>Capital</w:t>
      </w:r>
      <w:r>
        <w:rPr>
          <w:i/>
          <w:spacing w:val="-1"/>
          <w:sz w:val="22"/>
        </w:rPr>
        <w:t> </w:t>
      </w:r>
      <w:r>
        <w:rPr>
          <w:i/>
          <w:sz w:val="22"/>
        </w:rPr>
        <w:t>Flight</w:t>
      </w:r>
      <w:r>
        <w:rPr>
          <w:i/>
          <w:spacing w:val="-4"/>
          <w:sz w:val="22"/>
        </w:rPr>
        <w:t> </w:t>
      </w:r>
      <w:r>
        <w:rPr>
          <w:i/>
          <w:sz w:val="22"/>
        </w:rPr>
        <w:t>in</w:t>
      </w:r>
      <w:r>
        <w:rPr>
          <w:i/>
          <w:spacing w:val="-2"/>
          <w:sz w:val="22"/>
        </w:rPr>
        <w:t> </w:t>
      </w:r>
      <w:r>
        <w:rPr>
          <w:i/>
          <w:sz w:val="22"/>
        </w:rPr>
        <w:t>Sub-Saharan</w:t>
      </w:r>
      <w:r>
        <w:rPr>
          <w:i/>
          <w:spacing w:val="-2"/>
          <w:sz w:val="22"/>
        </w:rPr>
        <w:t> </w:t>
      </w:r>
      <w:r>
        <w:rPr>
          <w:i/>
          <w:sz w:val="22"/>
        </w:rPr>
        <w:t>African</w:t>
      </w:r>
      <w:r>
        <w:rPr>
          <w:i/>
          <w:spacing w:val="80"/>
          <w:sz w:val="22"/>
        </w:rPr>
        <w:t> </w:t>
      </w:r>
      <w:r>
        <w:rPr>
          <w:i/>
          <w:sz w:val="22"/>
        </w:rPr>
        <w:t>Countries,</w:t>
      </w:r>
      <w:r>
        <w:rPr>
          <w:i/>
          <w:spacing w:val="40"/>
          <w:sz w:val="22"/>
        </w:rPr>
        <w:t> </w:t>
      </w:r>
      <w:r>
        <w:rPr>
          <w:sz w:val="22"/>
        </w:rPr>
        <w:t>in</w:t>
      </w:r>
      <w:r>
        <w:rPr>
          <w:spacing w:val="40"/>
          <w:sz w:val="22"/>
        </w:rPr>
        <w:t> </w:t>
      </w:r>
      <w:r>
        <w:rPr>
          <w:sz w:val="22"/>
        </w:rPr>
        <w:t>Ishrat</w:t>
      </w:r>
      <w:r>
        <w:rPr>
          <w:spacing w:val="40"/>
          <w:sz w:val="22"/>
        </w:rPr>
        <w:t> </w:t>
      </w:r>
      <w:r>
        <w:rPr>
          <w:sz w:val="22"/>
        </w:rPr>
        <w:t>Husain and John Underwood, eds. African</w:t>
      </w:r>
      <w:r>
        <w:rPr>
          <w:spacing w:val="40"/>
          <w:sz w:val="22"/>
        </w:rPr>
        <w:t> </w:t>
      </w:r>
      <w:r>
        <w:rPr>
          <w:sz w:val="22"/>
        </w:rPr>
        <w:t>External Finance in the</w:t>
      </w:r>
      <w:r>
        <w:rPr>
          <w:spacing w:val="80"/>
          <w:w w:val="150"/>
          <w:sz w:val="22"/>
        </w:rPr>
        <w:t>   </w:t>
      </w:r>
      <w:r>
        <w:rPr>
          <w:sz w:val="22"/>
        </w:rPr>
        <w:t>1990s, World Bank, 162-184, Washington, DC.</w:t>
      </w:r>
    </w:p>
    <w:p>
      <w:pPr>
        <w:spacing w:after="0"/>
        <w:jc w:val="both"/>
        <w:rPr>
          <w:sz w:val="22"/>
        </w:rPr>
        <w:sectPr>
          <w:pgSz w:w="11910" w:h="16840"/>
          <w:pgMar w:header="0" w:footer="979" w:top="1340" w:bottom="1240" w:left="280" w:right="0"/>
        </w:sectPr>
      </w:pPr>
    </w:p>
    <w:p>
      <w:pPr>
        <w:tabs>
          <w:tab w:pos="9353" w:val="left" w:leader="none"/>
        </w:tabs>
        <w:spacing w:before="80"/>
        <w:ind w:left="711" w:right="0" w:firstLine="0"/>
        <w:jc w:val="left"/>
        <w:rPr>
          <w:sz w:val="22"/>
        </w:rPr>
      </w:pPr>
      <w:r>
        <w:rPr>
          <w:sz w:val="22"/>
        </w:rPr>
        <w:t>Claessens,</w:t>
      </w:r>
      <w:r>
        <w:rPr>
          <w:spacing w:val="-4"/>
          <w:sz w:val="22"/>
        </w:rPr>
        <w:t> </w:t>
      </w:r>
      <w:r>
        <w:rPr>
          <w:sz w:val="22"/>
        </w:rPr>
        <w:t>S.,</w:t>
      </w:r>
      <w:r>
        <w:rPr>
          <w:spacing w:val="-3"/>
          <w:sz w:val="22"/>
        </w:rPr>
        <w:t> </w:t>
      </w:r>
      <w:r>
        <w:rPr>
          <w:sz w:val="22"/>
        </w:rPr>
        <w:t>and</w:t>
      </w:r>
      <w:r>
        <w:rPr>
          <w:spacing w:val="-3"/>
          <w:sz w:val="22"/>
        </w:rPr>
        <w:t> </w:t>
      </w:r>
      <w:r>
        <w:rPr>
          <w:sz w:val="22"/>
        </w:rPr>
        <w:t>D.</w:t>
      </w:r>
      <w:r>
        <w:rPr>
          <w:spacing w:val="-3"/>
          <w:sz w:val="22"/>
        </w:rPr>
        <w:t> </w:t>
      </w:r>
      <w:r>
        <w:rPr>
          <w:sz w:val="22"/>
        </w:rPr>
        <w:t>Naude.</w:t>
      </w:r>
      <w:r>
        <w:rPr>
          <w:spacing w:val="-2"/>
          <w:sz w:val="22"/>
        </w:rPr>
        <w:t> </w:t>
      </w:r>
      <w:r>
        <w:rPr>
          <w:sz w:val="22"/>
        </w:rPr>
        <w:t>(</w:t>
      </w:r>
      <w:r>
        <w:rPr>
          <w:spacing w:val="-2"/>
          <w:sz w:val="22"/>
        </w:rPr>
        <w:t> </w:t>
      </w:r>
      <w:r>
        <w:rPr>
          <w:sz w:val="22"/>
        </w:rPr>
        <w:t>1993).</w:t>
      </w:r>
      <w:r>
        <w:rPr>
          <w:spacing w:val="-4"/>
          <w:sz w:val="22"/>
        </w:rPr>
        <w:t> </w:t>
      </w:r>
      <w:r>
        <w:rPr>
          <w:i/>
          <w:sz w:val="22"/>
        </w:rPr>
        <w:t>Recent</w:t>
      </w:r>
      <w:r>
        <w:rPr>
          <w:i/>
          <w:spacing w:val="-2"/>
          <w:sz w:val="22"/>
        </w:rPr>
        <w:t> </w:t>
      </w:r>
      <w:r>
        <w:rPr>
          <w:i/>
          <w:sz w:val="22"/>
        </w:rPr>
        <w:t>Estimates</w:t>
      </w:r>
      <w:r>
        <w:rPr>
          <w:i/>
          <w:spacing w:val="-3"/>
          <w:sz w:val="22"/>
        </w:rPr>
        <w:t> </w:t>
      </w:r>
      <w:r>
        <w:rPr>
          <w:i/>
          <w:sz w:val="22"/>
        </w:rPr>
        <w:t>of</w:t>
      </w:r>
      <w:r>
        <w:rPr>
          <w:i/>
          <w:spacing w:val="-2"/>
          <w:sz w:val="22"/>
        </w:rPr>
        <w:t> </w:t>
      </w:r>
      <w:r>
        <w:rPr>
          <w:i/>
          <w:sz w:val="22"/>
        </w:rPr>
        <w:t>Capital</w:t>
      </w:r>
      <w:r>
        <w:rPr>
          <w:i/>
          <w:spacing w:val="-2"/>
          <w:sz w:val="22"/>
        </w:rPr>
        <w:t> </w:t>
      </w:r>
      <w:r>
        <w:rPr>
          <w:i/>
          <w:sz w:val="22"/>
        </w:rPr>
        <w:t>Flight</w:t>
      </w:r>
      <w:r>
        <w:rPr>
          <w:sz w:val="22"/>
        </w:rPr>
        <w:t>.</w:t>
      </w:r>
      <w:r>
        <w:rPr>
          <w:spacing w:val="-3"/>
          <w:sz w:val="22"/>
        </w:rPr>
        <w:t> </w:t>
      </w:r>
      <w:r>
        <w:rPr>
          <w:i/>
          <w:sz w:val="22"/>
        </w:rPr>
        <w:t>World</w:t>
      </w:r>
      <w:r>
        <w:rPr>
          <w:i/>
          <w:spacing w:val="-6"/>
          <w:sz w:val="22"/>
        </w:rPr>
        <w:t> </w:t>
      </w:r>
      <w:r>
        <w:rPr>
          <w:i/>
          <w:sz w:val="22"/>
        </w:rPr>
        <w:t>Bank</w:t>
      </w:r>
      <w:r>
        <w:rPr>
          <w:i/>
          <w:spacing w:val="-3"/>
          <w:sz w:val="22"/>
        </w:rPr>
        <w:t> </w:t>
      </w:r>
      <w:r>
        <w:rPr>
          <w:spacing w:val="-5"/>
          <w:sz w:val="22"/>
        </w:rPr>
        <w:t>WPS</w:t>
      </w:r>
      <w:r>
        <w:rPr>
          <w:sz w:val="22"/>
        </w:rPr>
        <w:tab/>
      </w:r>
      <w:r>
        <w:rPr>
          <w:spacing w:val="-2"/>
          <w:sz w:val="22"/>
        </w:rPr>
        <w:t>1186.</w:t>
      </w:r>
    </w:p>
    <w:p>
      <w:pPr>
        <w:spacing w:before="239"/>
        <w:ind w:left="1522" w:right="585" w:hanging="812"/>
        <w:jc w:val="left"/>
        <w:rPr>
          <w:sz w:val="22"/>
        </w:rPr>
      </w:pPr>
      <w:r>
        <w:rPr>
          <w:sz w:val="22"/>
        </w:rPr>
        <w:t>Collier, P. and Gunning, J. W. (1999). Explaining African economic Performance. .</w:t>
      </w:r>
      <w:r>
        <w:rPr>
          <w:i/>
          <w:sz w:val="22"/>
        </w:rPr>
        <w:t>Journal of Economic Literature</w:t>
      </w:r>
      <w:r>
        <w:rPr>
          <w:sz w:val="22"/>
        </w:rPr>
        <w:t>,</w:t>
      </w:r>
      <w:r>
        <w:rPr>
          <w:spacing w:val="40"/>
          <w:sz w:val="22"/>
        </w:rPr>
        <w:t> </w:t>
      </w:r>
      <w:r>
        <w:rPr>
          <w:i/>
          <w:sz w:val="22"/>
        </w:rPr>
        <w:t>37 (1</w:t>
      </w:r>
      <w:r>
        <w:rPr>
          <w:sz w:val="22"/>
        </w:rPr>
        <w:t>), 64–111.</w:t>
      </w:r>
    </w:p>
    <w:p>
      <w:pPr>
        <w:tabs>
          <w:tab w:pos="9353" w:val="left" w:leader="none"/>
          <w:tab w:pos="10274" w:val="left" w:leader="none"/>
        </w:tabs>
        <w:spacing w:before="241"/>
        <w:ind w:left="711" w:right="469" w:firstLine="0"/>
        <w:jc w:val="left"/>
        <w:rPr>
          <w:sz w:val="22"/>
        </w:rPr>
      </w:pPr>
      <w:r>
        <w:rPr>
          <w:sz w:val="22"/>
        </w:rPr>
        <w:t>Collier, P., Hoeffler A. &amp; C. Pattillo. ( 2001). Flight Capital as a Portfolio Choice.</w:t>
      </w:r>
      <w:r>
        <w:rPr>
          <w:spacing w:val="40"/>
          <w:sz w:val="22"/>
        </w:rPr>
        <w:t> </w:t>
      </w:r>
      <w:r>
        <w:rPr>
          <w:i/>
          <w:sz w:val="22"/>
        </w:rPr>
        <w:t>The World</w:t>
        <w:tab/>
      </w:r>
      <w:r>
        <w:rPr>
          <w:i/>
          <w:spacing w:val="-4"/>
          <w:sz w:val="22"/>
        </w:rPr>
        <w:t>Bank</w:t>
      </w:r>
      <w:r>
        <w:rPr>
          <w:i/>
          <w:sz w:val="22"/>
        </w:rPr>
        <w:tab/>
      </w:r>
      <w:r>
        <w:rPr>
          <w:i/>
          <w:spacing w:val="-2"/>
          <w:sz w:val="22"/>
        </w:rPr>
        <w:t>Economic </w:t>
      </w:r>
      <w:r>
        <w:rPr>
          <w:i/>
          <w:sz w:val="22"/>
        </w:rPr>
        <w:t>Review 15</w:t>
      </w:r>
      <w:r>
        <w:rPr>
          <w:sz w:val="22"/>
        </w:rPr>
        <w:t>, 55-80.</w:t>
      </w:r>
    </w:p>
    <w:p>
      <w:pPr>
        <w:spacing w:before="240"/>
        <w:ind w:left="1431" w:right="0" w:hanging="721"/>
        <w:jc w:val="left"/>
        <w:rPr>
          <w:sz w:val="22"/>
        </w:rPr>
      </w:pPr>
      <w:r>
        <w:rPr>
          <w:sz w:val="22"/>
        </w:rPr>
        <w:t>Collier,</w:t>
      </w:r>
      <w:r>
        <w:rPr>
          <w:spacing w:val="38"/>
          <w:sz w:val="22"/>
        </w:rPr>
        <w:t> </w:t>
      </w:r>
      <w:r>
        <w:rPr>
          <w:sz w:val="22"/>
        </w:rPr>
        <w:t>P.,</w:t>
      </w:r>
      <w:r>
        <w:rPr>
          <w:spacing w:val="40"/>
          <w:sz w:val="22"/>
        </w:rPr>
        <w:t> </w:t>
      </w:r>
      <w:r>
        <w:rPr>
          <w:sz w:val="22"/>
        </w:rPr>
        <w:t>Hoeffler</w:t>
      </w:r>
      <w:r>
        <w:rPr>
          <w:spacing w:val="40"/>
          <w:sz w:val="22"/>
        </w:rPr>
        <w:t> </w:t>
      </w:r>
      <w:r>
        <w:rPr>
          <w:sz w:val="22"/>
        </w:rPr>
        <w:t>A.</w:t>
      </w:r>
      <w:r>
        <w:rPr>
          <w:spacing w:val="40"/>
          <w:sz w:val="22"/>
        </w:rPr>
        <w:t> </w:t>
      </w:r>
      <w:r>
        <w:rPr>
          <w:sz w:val="22"/>
        </w:rPr>
        <w:t>&amp;</w:t>
      </w:r>
      <w:r>
        <w:rPr>
          <w:spacing w:val="37"/>
          <w:sz w:val="22"/>
        </w:rPr>
        <w:t> </w:t>
      </w:r>
      <w:r>
        <w:rPr>
          <w:sz w:val="22"/>
        </w:rPr>
        <w:t>C.</w:t>
      </w:r>
      <w:r>
        <w:rPr>
          <w:spacing w:val="40"/>
          <w:sz w:val="22"/>
        </w:rPr>
        <w:t> </w:t>
      </w:r>
      <w:r>
        <w:rPr>
          <w:sz w:val="22"/>
        </w:rPr>
        <w:t>Pattillo</w:t>
      </w:r>
      <w:r>
        <w:rPr>
          <w:spacing w:val="40"/>
          <w:sz w:val="22"/>
        </w:rPr>
        <w:t> </w:t>
      </w:r>
      <w:r>
        <w:rPr>
          <w:sz w:val="22"/>
        </w:rPr>
        <w:t>(2002.).</w:t>
      </w:r>
      <w:r>
        <w:rPr>
          <w:spacing w:val="40"/>
          <w:sz w:val="22"/>
        </w:rPr>
        <w:t> </w:t>
      </w:r>
      <w:r>
        <w:rPr>
          <w:i/>
          <w:sz w:val="22"/>
        </w:rPr>
        <w:t>Africa's</w:t>
      </w:r>
      <w:r>
        <w:rPr>
          <w:i/>
          <w:spacing w:val="40"/>
          <w:sz w:val="22"/>
        </w:rPr>
        <w:t> </w:t>
      </w:r>
      <w:r>
        <w:rPr>
          <w:i/>
          <w:sz w:val="22"/>
        </w:rPr>
        <w:t>Exodus:</w:t>
      </w:r>
      <w:r>
        <w:rPr>
          <w:i/>
          <w:spacing w:val="40"/>
          <w:sz w:val="22"/>
        </w:rPr>
        <w:t> </w:t>
      </w:r>
      <w:r>
        <w:rPr>
          <w:i/>
          <w:sz w:val="22"/>
        </w:rPr>
        <w:t>Capital</w:t>
      </w:r>
      <w:r>
        <w:rPr>
          <w:i/>
          <w:spacing w:val="40"/>
          <w:sz w:val="22"/>
        </w:rPr>
        <w:t> </w:t>
      </w:r>
      <w:r>
        <w:rPr>
          <w:i/>
          <w:sz w:val="22"/>
        </w:rPr>
        <w:t>Flight</w:t>
      </w:r>
      <w:r>
        <w:rPr>
          <w:i/>
          <w:spacing w:val="39"/>
          <w:sz w:val="22"/>
        </w:rPr>
        <w:t> </w:t>
      </w:r>
      <w:r>
        <w:rPr>
          <w:i/>
          <w:sz w:val="22"/>
        </w:rPr>
        <w:t>and</w:t>
      </w:r>
      <w:r>
        <w:rPr>
          <w:i/>
          <w:spacing w:val="40"/>
          <w:sz w:val="22"/>
        </w:rPr>
        <w:t> </w:t>
      </w:r>
      <w:r>
        <w:rPr>
          <w:i/>
          <w:sz w:val="22"/>
        </w:rPr>
        <w:t>the</w:t>
      </w:r>
      <w:r>
        <w:rPr>
          <w:i/>
          <w:spacing w:val="40"/>
          <w:sz w:val="22"/>
        </w:rPr>
        <w:t> </w:t>
      </w:r>
      <w:r>
        <w:rPr>
          <w:i/>
          <w:sz w:val="22"/>
        </w:rPr>
        <w:t>Brain</w:t>
      </w:r>
      <w:r>
        <w:rPr>
          <w:i/>
          <w:spacing w:val="40"/>
          <w:sz w:val="22"/>
        </w:rPr>
        <w:t> </w:t>
      </w:r>
      <w:r>
        <w:rPr>
          <w:i/>
          <w:sz w:val="22"/>
        </w:rPr>
        <w:t>Drain</w:t>
      </w:r>
      <w:r>
        <w:rPr>
          <w:i/>
          <w:spacing w:val="40"/>
          <w:sz w:val="22"/>
        </w:rPr>
        <w:t> </w:t>
      </w:r>
      <w:r>
        <w:rPr>
          <w:i/>
          <w:sz w:val="22"/>
        </w:rPr>
        <w:t>as</w:t>
      </w:r>
      <w:r>
        <w:rPr>
          <w:i/>
          <w:spacing w:val="39"/>
          <w:sz w:val="22"/>
        </w:rPr>
        <w:t> </w:t>
      </w:r>
      <w:r>
        <w:rPr>
          <w:i/>
          <w:sz w:val="22"/>
        </w:rPr>
        <w:t>Portfolio Decisions</w:t>
      </w:r>
      <w:r>
        <w:rPr>
          <w:sz w:val="22"/>
        </w:rPr>
        <w:t>. Mimeo. Centre for the Study of African Economies, Oxford University.</w:t>
      </w:r>
    </w:p>
    <w:p>
      <w:pPr>
        <w:spacing w:before="241"/>
        <w:ind w:left="1611" w:right="470" w:hanging="901"/>
        <w:jc w:val="both"/>
        <w:rPr>
          <w:sz w:val="22"/>
        </w:rPr>
      </w:pPr>
      <w:r>
        <w:rPr>
          <w:sz w:val="22"/>
        </w:rPr>
        <w:t>Collier, P. &amp; Dollar, D. (2004). Development Effectiveness: What have we Learnt?’ </w:t>
      </w:r>
      <w:r>
        <w:rPr>
          <w:i/>
          <w:sz w:val="22"/>
        </w:rPr>
        <w:t>Economic Journal</w:t>
      </w:r>
      <w:r>
        <w:rPr>
          <w:sz w:val="22"/>
        </w:rPr>
        <w:t>, </w:t>
      </w:r>
      <w:r>
        <w:rPr>
          <w:i/>
          <w:sz w:val="22"/>
        </w:rPr>
        <w:t>114 (496)</w:t>
      </w:r>
      <w:r>
        <w:rPr>
          <w:sz w:val="22"/>
        </w:rPr>
        <w:t>, </w:t>
      </w:r>
      <w:r>
        <w:rPr>
          <w:spacing w:val="-2"/>
          <w:sz w:val="22"/>
        </w:rPr>
        <w:t>F244-F271.</w:t>
      </w:r>
    </w:p>
    <w:p>
      <w:pPr>
        <w:pStyle w:val="BodyText"/>
        <w:rPr>
          <w:sz w:val="22"/>
        </w:rPr>
      </w:pPr>
    </w:p>
    <w:p>
      <w:pPr>
        <w:pStyle w:val="BodyText"/>
        <w:spacing w:before="227"/>
        <w:rPr>
          <w:sz w:val="22"/>
        </w:rPr>
      </w:pPr>
    </w:p>
    <w:p>
      <w:pPr>
        <w:tabs>
          <w:tab w:pos="9353" w:val="left" w:leader="none"/>
          <w:tab w:pos="10082" w:val="left" w:leader="none"/>
          <w:tab w:pos="10482" w:val="left" w:leader="none"/>
        </w:tabs>
        <w:spacing w:before="0"/>
        <w:ind w:left="711" w:right="470" w:firstLine="0"/>
        <w:jc w:val="left"/>
        <w:rPr>
          <w:sz w:val="22"/>
        </w:rPr>
      </w:pPr>
      <w:r>
        <w:rPr>
          <w:sz w:val="22"/>
        </w:rPr>
        <w:t>Collier, P., Hoeffler, H. &amp; Pattillo, C. (2004). Aid and capital Flight,” Mimeo, Centre for the</w:t>
        <w:tab/>
      </w:r>
      <w:r>
        <w:rPr>
          <w:spacing w:val="-2"/>
          <w:sz w:val="22"/>
        </w:rPr>
        <w:t>Study</w:t>
      </w:r>
      <w:r>
        <w:rPr>
          <w:sz w:val="22"/>
        </w:rPr>
        <w:tab/>
      </w:r>
      <w:r>
        <w:rPr>
          <w:spacing w:val="-6"/>
          <w:sz w:val="22"/>
        </w:rPr>
        <w:t>of</w:t>
      </w:r>
      <w:r>
        <w:rPr>
          <w:sz w:val="22"/>
        </w:rPr>
        <w:tab/>
      </w:r>
      <w:r>
        <w:rPr>
          <w:spacing w:val="-2"/>
          <w:sz w:val="22"/>
        </w:rPr>
        <w:t>African </w:t>
      </w:r>
      <w:r>
        <w:rPr>
          <w:sz w:val="22"/>
        </w:rPr>
        <w:t>Economies, Oxford University.</w:t>
      </w:r>
    </w:p>
    <w:p>
      <w:pPr>
        <w:tabs>
          <w:tab w:pos="10101" w:val="left" w:leader="none"/>
          <w:tab w:pos="10897" w:val="left" w:leader="none"/>
        </w:tabs>
        <w:spacing w:before="240"/>
        <w:ind w:left="711" w:right="470" w:firstLine="0"/>
        <w:jc w:val="left"/>
        <w:rPr>
          <w:sz w:val="22"/>
        </w:rPr>
      </w:pPr>
      <w:r>
        <w:rPr>
          <w:sz w:val="22"/>
        </w:rPr>
        <w:t>Collier, P. &amp; A. Hoeffler. (2004). Greed and Grievance in Civil Wars.</w:t>
      </w:r>
      <w:r>
        <w:rPr>
          <w:spacing w:val="40"/>
          <w:sz w:val="22"/>
        </w:rPr>
        <w:t> </w:t>
      </w:r>
      <w:r>
        <w:rPr>
          <w:i/>
          <w:sz w:val="22"/>
        </w:rPr>
        <w:t>Oxford Economic Papers</w:t>
      </w:r>
      <w:r>
        <w:rPr>
          <w:sz w:val="22"/>
        </w:rPr>
        <w:t>, fourth</w:t>
        <w:tab/>
      </w:r>
      <w:r>
        <w:rPr>
          <w:spacing w:val="-2"/>
          <w:sz w:val="22"/>
        </w:rPr>
        <w:t>Centre</w:t>
      </w:r>
      <w:r>
        <w:rPr>
          <w:sz w:val="22"/>
        </w:rPr>
        <w:tab/>
      </w:r>
      <w:r>
        <w:rPr>
          <w:spacing w:val="-4"/>
          <w:sz w:val="22"/>
        </w:rPr>
        <w:t>for </w:t>
      </w:r>
      <w:r>
        <w:rPr>
          <w:sz w:val="22"/>
        </w:rPr>
        <w:t>the Study of African Economies, Oxford University.</w:t>
      </w:r>
    </w:p>
    <w:p>
      <w:pPr>
        <w:tabs>
          <w:tab w:pos="9353" w:val="left" w:leader="none"/>
        </w:tabs>
        <w:spacing w:before="241"/>
        <w:ind w:left="711" w:right="913" w:firstLine="0"/>
        <w:jc w:val="left"/>
        <w:rPr>
          <w:sz w:val="22"/>
        </w:rPr>
      </w:pPr>
      <w:r>
        <w:rPr>
          <w:sz w:val="22"/>
        </w:rPr>
        <w:t>Conesa, E.</w:t>
      </w:r>
      <w:r>
        <w:rPr>
          <w:spacing w:val="40"/>
          <w:sz w:val="22"/>
        </w:rPr>
        <w:t> </w:t>
      </w:r>
      <w:r>
        <w:rPr>
          <w:sz w:val="22"/>
        </w:rPr>
        <w:t>R. (1987). The Flight of Capital from Latin America: Causes and Cures. Mimeo.</w:t>
        <w:tab/>
      </w:r>
      <w:r>
        <w:rPr>
          <w:i/>
          <w:spacing w:val="-2"/>
          <w:sz w:val="22"/>
        </w:rPr>
        <w:t>Inter-American </w:t>
      </w:r>
      <w:r>
        <w:rPr>
          <w:i/>
          <w:sz w:val="22"/>
        </w:rPr>
        <w:t>Development Bank</w:t>
      </w:r>
      <w:r>
        <w:rPr>
          <w:sz w:val="22"/>
        </w:rPr>
        <w:t>.</w:t>
      </w:r>
    </w:p>
    <w:p>
      <w:pPr>
        <w:spacing w:line="252" w:lineRule="exact" w:before="240"/>
        <w:ind w:left="711" w:right="0" w:firstLine="0"/>
        <w:jc w:val="left"/>
        <w:rPr>
          <w:sz w:val="22"/>
        </w:rPr>
      </w:pPr>
      <w:r>
        <w:rPr>
          <w:sz w:val="22"/>
        </w:rPr>
        <w:t>Cooper</w:t>
      </w:r>
      <w:r>
        <w:rPr>
          <w:spacing w:val="15"/>
          <w:sz w:val="22"/>
        </w:rPr>
        <w:t> </w:t>
      </w:r>
      <w:r>
        <w:rPr>
          <w:sz w:val="22"/>
        </w:rPr>
        <w:t>H.</w:t>
      </w:r>
      <w:r>
        <w:rPr>
          <w:spacing w:val="58"/>
          <w:w w:val="150"/>
          <w:sz w:val="22"/>
        </w:rPr>
        <w:t> </w:t>
      </w:r>
      <w:r>
        <w:rPr>
          <w:sz w:val="22"/>
        </w:rPr>
        <w:t>W.</w:t>
      </w:r>
      <w:r>
        <w:rPr>
          <w:spacing w:val="14"/>
          <w:sz w:val="22"/>
        </w:rPr>
        <w:t> </w:t>
      </w:r>
      <w:r>
        <w:rPr>
          <w:sz w:val="22"/>
        </w:rPr>
        <w:t>&amp;</w:t>
      </w:r>
      <w:r>
        <w:rPr>
          <w:spacing w:val="15"/>
          <w:sz w:val="22"/>
        </w:rPr>
        <w:t> </w:t>
      </w:r>
      <w:r>
        <w:rPr>
          <w:sz w:val="22"/>
        </w:rPr>
        <w:t>Hardt,</w:t>
      </w:r>
      <w:r>
        <w:rPr>
          <w:spacing w:val="14"/>
          <w:sz w:val="22"/>
        </w:rPr>
        <w:t> </w:t>
      </w:r>
      <w:r>
        <w:rPr>
          <w:sz w:val="22"/>
        </w:rPr>
        <w:t>J.</w:t>
      </w:r>
      <w:r>
        <w:rPr>
          <w:spacing w:val="13"/>
          <w:sz w:val="22"/>
        </w:rPr>
        <w:t> </w:t>
      </w:r>
      <w:r>
        <w:rPr>
          <w:sz w:val="22"/>
        </w:rPr>
        <w:t>P.</w:t>
      </w:r>
      <w:r>
        <w:rPr>
          <w:spacing w:val="16"/>
          <w:sz w:val="22"/>
        </w:rPr>
        <w:t> </w:t>
      </w:r>
      <w:r>
        <w:rPr>
          <w:sz w:val="22"/>
        </w:rPr>
        <w:t>(2000).</w:t>
      </w:r>
      <w:r>
        <w:rPr>
          <w:spacing w:val="20"/>
          <w:sz w:val="22"/>
        </w:rPr>
        <w:t> </w:t>
      </w:r>
      <w:r>
        <w:rPr>
          <w:sz w:val="22"/>
        </w:rPr>
        <w:t>Russian</w:t>
      </w:r>
      <w:r>
        <w:rPr>
          <w:spacing w:val="17"/>
          <w:sz w:val="22"/>
        </w:rPr>
        <w:t> </w:t>
      </w:r>
      <w:r>
        <w:rPr>
          <w:sz w:val="22"/>
        </w:rPr>
        <w:t>Capital</w:t>
      </w:r>
      <w:r>
        <w:rPr>
          <w:spacing w:val="14"/>
          <w:sz w:val="22"/>
        </w:rPr>
        <w:t> </w:t>
      </w:r>
      <w:r>
        <w:rPr>
          <w:sz w:val="22"/>
        </w:rPr>
        <w:t>Flight,</w:t>
      </w:r>
      <w:r>
        <w:rPr>
          <w:spacing w:val="17"/>
          <w:sz w:val="22"/>
        </w:rPr>
        <w:t> </w:t>
      </w:r>
      <w:r>
        <w:rPr>
          <w:sz w:val="22"/>
        </w:rPr>
        <w:t>Economic</w:t>
      </w:r>
      <w:r>
        <w:rPr>
          <w:spacing w:val="17"/>
          <w:sz w:val="22"/>
        </w:rPr>
        <w:t> </w:t>
      </w:r>
      <w:r>
        <w:rPr>
          <w:sz w:val="22"/>
        </w:rPr>
        <w:t>Reforms,</w:t>
      </w:r>
      <w:r>
        <w:rPr>
          <w:spacing w:val="16"/>
          <w:sz w:val="22"/>
        </w:rPr>
        <w:t> </w:t>
      </w:r>
      <w:r>
        <w:rPr>
          <w:sz w:val="22"/>
        </w:rPr>
        <w:t>and</w:t>
      </w:r>
      <w:r>
        <w:rPr>
          <w:spacing w:val="17"/>
          <w:sz w:val="22"/>
        </w:rPr>
        <w:t> </w:t>
      </w:r>
      <w:r>
        <w:rPr>
          <w:sz w:val="22"/>
        </w:rPr>
        <w:t>U.S.</w:t>
      </w:r>
      <w:r>
        <w:rPr>
          <w:spacing w:val="15"/>
          <w:sz w:val="22"/>
        </w:rPr>
        <w:t> </w:t>
      </w:r>
      <w:r>
        <w:rPr>
          <w:sz w:val="22"/>
        </w:rPr>
        <w:t>Interests:</w:t>
      </w:r>
      <w:r>
        <w:rPr>
          <w:spacing w:val="60"/>
          <w:w w:val="150"/>
          <w:sz w:val="22"/>
        </w:rPr>
        <w:t> </w:t>
      </w:r>
      <w:r>
        <w:rPr>
          <w:sz w:val="22"/>
        </w:rPr>
        <w:t>An</w:t>
      </w:r>
      <w:r>
        <w:rPr>
          <w:spacing w:val="17"/>
          <w:sz w:val="22"/>
        </w:rPr>
        <w:t> </w:t>
      </w:r>
      <w:r>
        <w:rPr>
          <w:spacing w:val="-2"/>
          <w:sz w:val="22"/>
        </w:rPr>
        <w:t>Analysis.</w:t>
      </w:r>
    </w:p>
    <w:p>
      <w:pPr>
        <w:spacing w:line="252" w:lineRule="exact" w:before="0"/>
        <w:ind w:left="1431" w:right="0" w:firstLine="0"/>
        <w:jc w:val="left"/>
        <w:rPr>
          <w:i/>
          <w:sz w:val="22"/>
        </w:rPr>
      </w:pPr>
      <w:r>
        <w:rPr>
          <w:sz w:val="22"/>
        </w:rPr>
        <w:t>Congressional</w:t>
      </w:r>
      <w:r>
        <w:rPr>
          <w:spacing w:val="-4"/>
          <w:sz w:val="22"/>
        </w:rPr>
        <w:t> </w:t>
      </w:r>
      <w:r>
        <w:rPr>
          <w:sz w:val="22"/>
        </w:rPr>
        <w:t>Research</w:t>
      </w:r>
      <w:r>
        <w:rPr>
          <w:spacing w:val="-3"/>
          <w:sz w:val="22"/>
        </w:rPr>
        <w:t> </w:t>
      </w:r>
      <w:r>
        <w:rPr>
          <w:sz w:val="22"/>
        </w:rPr>
        <w:t>Service</w:t>
      </w:r>
      <w:r>
        <w:rPr>
          <w:spacing w:val="-3"/>
          <w:sz w:val="22"/>
        </w:rPr>
        <w:t> </w:t>
      </w:r>
      <w:r>
        <w:rPr>
          <w:sz w:val="22"/>
        </w:rPr>
        <w:t>(CRS).</w:t>
      </w:r>
      <w:r>
        <w:rPr>
          <w:spacing w:val="48"/>
          <w:sz w:val="22"/>
        </w:rPr>
        <w:t> </w:t>
      </w:r>
      <w:r>
        <w:rPr>
          <w:i/>
          <w:sz w:val="22"/>
        </w:rPr>
        <w:t>Report</w:t>
      </w:r>
      <w:r>
        <w:rPr>
          <w:i/>
          <w:spacing w:val="-3"/>
          <w:sz w:val="22"/>
        </w:rPr>
        <w:t> </w:t>
      </w:r>
      <w:r>
        <w:rPr>
          <w:i/>
          <w:sz w:val="22"/>
        </w:rPr>
        <w:t>for</w:t>
      </w:r>
      <w:r>
        <w:rPr>
          <w:i/>
          <w:spacing w:val="-3"/>
          <w:sz w:val="22"/>
        </w:rPr>
        <w:t> </w:t>
      </w:r>
      <w:r>
        <w:rPr>
          <w:i/>
          <w:spacing w:val="-2"/>
          <w:sz w:val="22"/>
        </w:rPr>
        <w:t>Congress.</w:t>
      </w:r>
    </w:p>
    <w:p>
      <w:pPr>
        <w:spacing w:before="239"/>
        <w:ind w:left="711" w:right="0" w:firstLine="0"/>
        <w:jc w:val="left"/>
        <w:rPr>
          <w:sz w:val="22"/>
        </w:rPr>
      </w:pPr>
      <w:r>
        <w:rPr>
          <w:sz w:val="22"/>
        </w:rPr>
        <w:t>Corden,</w:t>
      </w:r>
      <w:r>
        <w:rPr>
          <w:spacing w:val="-8"/>
          <w:sz w:val="22"/>
        </w:rPr>
        <w:t> </w:t>
      </w:r>
      <w:r>
        <w:rPr>
          <w:sz w:val="22"/>
        </w:rPr>
        <w:t>M.W.</w:t>
      </w:r>
      <w:r>
        <w:rPr>
          <w:spacing w:val="-5"/>
          <w:sz w:val="22"/>
        </w:rPr>
        <w:t> </w:t>
      </w:r>
      <w:r>
        <w:rPr>
          <w:sz w:val="22"/>
        </w:rPr>
        <w:t>(1984).</w:t>
      </w:r>
      <w:r>
        <w:rPr>
          <w:spacing w:val="-4"/>
          <w:sz w:val="22"/>
        </w:rPr>
        <w:t> </w:t>
      </w:r>
      <w:r>
        <w:rPr>
          <w:sz w:val="22"/>
        </w:rPr>
        <w:t>Dutch</w:t>
      </w:r>
      <w:r>
        <w:rPr>
          <w:spacing w:val="-3"/>
          <w:sz w:val="22"/>
        </w:rPr>
        <w:t> </w:t>
      </w:r>
      <w:r>
        <w:rPr>
          <w:sz w:val="22"/>
        </w:rPr>
        <w:t>Disease:</w:t>
      </w:r>
      <w:r>
        <w:rPr>
          <w:spacing w:val="-3"/>
          <w:sz w:val="22"/>
        </w:rPr>
        <w:t> </w:t>
      </w:r>
      <w:r>
        <w:rPr>
          <w:sz w:val="22"/>
        </w:rPr>
        <w:t>Survey</w:t>
      </w:r>
      <w:r>
        <w:rPr>
          <w:spacing w:val="-5"/>
          <w:sz w:val="22"/>
        </w:rPr>
        <w:t> </w:t>
      </w:r>
      <w:r>
        <w:rPr>
          <w:sz w:val="22"/>
        </w:rPr>
        <w:t>and</w:t>
      </w:r>
      <w:r>
        <w:rPr>
          <w:spacing w:val="-4"/>
          <w:sz w:val="22"/>
        </w:rPr>
        <w:t> </w:t>
      </w:r>
      <w:r>
        <w:rPr>
          <w:sz w:val="22"/>
        </w:rPr>
        <w:t>Consolidation.</w:t>
      </w:r>
      <w:r>
        <w:rPr>
          <w:spacing w:val="-3"/>
          <w:sz w:val="22"/>
        </w:rPr>
        <w:t> </w:t>
      </w:r>
      <w:r>
        <w:rPr>
          <w:i/>
          <w:sz w:val="22"/>
        </w:rPr>
        <w:t>Oxford</w:t>
      </w:r>
      <w:r>
        <w:rPr>
          <w:i/>
          <w:spacing w:val="-4"/>
          <w:sz w:val="22"/>
        </w:rPr>
        <w:t> </w:t>
      </w:r>
      <w:r>
        <w:rPr>
          <w:i/>
          <w:sz w:val="22"/>
        </w:rPr>
        <w:t>Economic</w:t>
      </w:r>
      <w:r>
        <w:rPr>
          <w:i/>
          <w:spacing w:val="-3"/>
          <w:sz w:val="22"/>
        </w:rPr>
        <w:t> </w:t>
      </w:r>
      <w:r>
        <w:rPr>
          <w:i/>
          <w:spacing w:val="-2"/>
          <w:sz w:val="22"/>
        </w:rPr>
        <w:t>Papers</w:t>
      </w:r>
      <w:r>
        <w:rPr>
          <w:spacing w:val="-2"/>
          <w:sz w:val="22"/>
        </w:rPr>
        <w:t>.</w:t>
      </w:r>
    </w:p>
    <w:p>
      <w:pPr>
        <w:spacing w:before="242"/>
        <w:ind w:left="1522" w:right="468" w:hanging="812"/>
        <w:jc w:val="both"/>
        <w:rPr>
          <w:sz w:val="22"/>
        </w:rPr>
      </w:pPr>
      <w:r>
        <w:rPr>
          <w:sz w:val="22"/>
        </w:rPr>
        <w:t>Cuddington, J. T. (1986). </w:t>
      </w:r>
      <w:r>
        <w:rPr>
          <w:i/>
          <w:sz w:val="22"/>
        </w:rPr>
        <w:t>Capital Flight: Estimates, Issues and Explanations. </w:t>
      </w:r>
      <w:r>
        <w:rPr>
          <w:sz w:val="22"/>
        </w:rPr>
        <w:t>Princeton Studies in International Finance,</w:t>
      </w:r>
      <w:r>
        <w:rPr>
          <w:spacing w:val="-2"/>
          <w:sz w:val="22"/>
        </w:rPr>
        <w:t> </w:t>
      </w:r>
      <w:r>
        <w:rPr>
          <w:sz w:val="22"/>
        </w:rPr>
        <w:t>No:</w:t>
      </w:r>
      <w:r>
        <w:rPr>
          <w:spacing w:val="-4"/>
          <w:sz w:val="22"/>
        </w:rPr>
        <w:t> </w:t>
      </w:r>
      <w:r>
        <w:rPr>
          <w:sz w:val="22"/>
        </w:rPr>
        <w:t>58,</w:t>
      </w:r>
      <w:r>
        <w:rPr>
          <w:spacing w:val="-2"/>
          <w:sz w:val="22"/>
        </w:rPr>
        <w:t> </w:t>
      </w:r>
      <w:r>
        <w:rPr>
          <w:sz w:val="22"/>
        </w:rPr>
        <w:t>Princeton,</w:t>
      </w:r>
      <w:r>
        <w:rPr>
          <w:spacing w:val="-5"/>
          <w:sz w:val="22"/>
        </w:rPr>
        <w:t> </w:t>
      </w:r>
      <w:r>
        <w:rPr>
          <w:sz w:val="22"/>
        </w:rPr>
        <w:t>N.</w:t>
      </w:r>
      <w:r>
        <w:rPr>
          <w:spacing w:val="-2"/>
          <w:sz w:val="22"/>
        </w:rPr>
        <w:t> </w:t>
      </w:r>
      <w:r>
        <w:rPr>
          <w:sz w:val="22"/>
        </w:rPr>
        <w:t>J.,</w:t>
      </w:r>
      <w:r>
        <w:rPr>
          <w:spacing w:val="-2"/>
          <w:sz w:val="22"/>
        </w:rPr>
        <w:t> </w:t>
      </w:r>
      <w:r>
        <w:rPr>
          <w:sz w:val="22"/>
        </w:rPr>
        <w:t>Princeton</w:t>
      </w:r>
      <w:r>
        <w:rPr>
          <w:spacing w:val="-2"/>
          <w:sz w:val="22"/>
        </w:rPr>
        <w:t> </w:t>
      </w:r>
      <w:r>
        <w:rPr>
          <w:sz w:val="22"/>
        </w:rPr>
        <w:t>University,</w:t>
      </w:r>
      <w:r>
        <w:rPr>
          <w:spacing w:val="-2"/>
          <w:sz w:val="22"/>
        </w:rPr>
        <w:t> </w:t>
      </w:r>
      <w:r>
        <w:rPr>
          <w:sz w:val="22"/>
        </w:rPr>
        <w:t>International</w:t>
      </w:r>
      <w:r>
        <w:rPr>
          <w:spacing w:val="-1"/>
          <w:sz w:val="22"/>
        </w:rPr>
        <w:t> </w:t>
      </w:r>
      <w:r>
        <w:rPr>
          <w:sz w:val="22"/>
        </w:rPr>
        <w:t>Finance</w:t>
      </w:r>
      <w:r>
        <w:rPr>
          <w:spacing w:val="-2"/>
          <w:sz w:val="22"/>
        </w:rPr>
        <w:t> </w:t>
      </w:r>
      <w:r>
        <w:rPr>
          <w:sz w:val="22"/>
        </w:rPr>
        <w:t>Section,</w:t>
      </w:r>
      <w:r>
        <w:rPr>
          <w:spacing w:val="80"/>
          <w:sz w:val="22"/>
        </w:rPr>
        <w:t> </w:t>
      </w:r>
      <w:r>
        <w:rPr>
          <w:sz w:val="22"/>
        </w:rPr>
        <w:t>Princeton,</w:t>
      </w:r>
      <w:r>
        <w:rPr>
          <w:spacing w:val="80"/>
          <w:sz w:val="22"/>
        </w:rPr>
        <w:t>  </w:t>
      </w:r>
      <w:r>
        <w:rPr>
          <w:sz w:val="22"/>
        </w:rPr>
        <w:t>New </w:t>
      </w:r>
      <w:r>
        <w:rPr>
          <w:spacing w:val="-2"/>
          <w:sz w:val="22"/>
        </w:rPr>
        <w:t>Jersey.</w:t>
      </w:r>
    </w:p>
    <w:p>
      <w:pPr>
        <w:tabs>
          <w:tab w:pos="9353" w:val="left" w:leader="none"/>
          <w:tab w:pos="10973" w:val="left" w:leader="none"/>
        </w:tabs>
        <w:spacing w:before="239"/>
        <w:ind w:left="711" w:right="471" w:firstLine="0"/>
        <w:jc w:val="left"/>
        <w:rPr>
          <w:sz w:val="22"/>
        </w:rPr>
      </w:pPr>
      <w:r>
        <w:rPr>
          <w:sz w:val="22"/>
        </w:rPr>
        <w:t>Cuddington, J. T. (1987). </w:t>
      </w:r>
      <w:r>
        <w:rPr>
          <w:i/>
          <w:sz w:val="22"/>
        </w:rPr>
        <w:t>Macroeconomic Determinants of Capital Flight: An Econometric</w:t>
        <w:tab/>
      </w:r>
      <w:r>
        <w:rPr>
          <w:i/>
          <w:spacing w:val="-2"/>
          <w:sz w:val="22"/>
        </w:rPr>
        <w:t>Investigation.</w:t>
      </w:r>
      <w:r>
        <w:rPr>
          <w:i/>
          <w:sz w:val="22"/>
        </w:rPr>
        <w:tab/>
      </w:r>
      <w:r>
        <w:rPr>
          <w:spacing w:val="-6"/>
          <w:sz w:val="22"/>
        </w:rPr>
        <w:t>In </w:t>
      </w:r>
      <w:r>
        <w:rPr>
          <w:sz w:val="22"/>
        </w:rPr>
        <w:t>Lessard and Williamson, eds., Capital Flight</w:t>
      </w:r>
    </w:p>
    <w:p>
      <w:pPr>
        <w:spacing w:before="241"/>
        <w:ind w:left="1431" w:right="0" w:firstLine="0"/>
        <w:jc w:val="left"/>
        <w:rPr>
          <w:sz w:val="22"/>
        </w:rPr>
      </w:pPr>
      <w:r>
        <w:rPr>
          <w:sz w:val="22"/>
        </w:rPr>
        <w:t>and</w:t>
      </w:r>
      <w:r>
        <w:rPr>
          <w:spacing w:val="-9"/>
          <w:sz w:val="22"/>
        </w:rPr>
        <w:t> </w:t>
      </w:r>
      <w:r>
        <w:rPr>
          <w:sz w:val="22"/>
        </w:rPr>
        <w:t>Third</w:t>
      </w:r>
      <w:r>
        <w:rPr>
          <w:spacing w:val="-7"/>
          <w:sz w:val="22"/>
        </w:rPr>
        <w:t> </w:t>
      </w:r>
      <w:r>
        <w:rPr>
          <w:sz w:val="22"/>
        </w:rPr>
        <w:t>World</w:t>
      </w:r>
      <w:r>
        <w:rPr>
          <w:spacing w:val="-5"/>
          <w:sz w:val="22"/>
        </w:rPr>
        <w:t> </w:t>
      </w:r>
      <w:r>
        <w:rPr>
          <w:sz w:val="22"/>
        </w:rPr>
        <w:t>Debt.</w:t>
      </w:r>
      <w:r>
        <w:rPr>
          <w:spacing w:val="-4"/>
          <w:sz w:val="22"/>
        </w:rPr>
        <w:t> </w:t>
      </w:r>
      <w:r>
        <w:rPr>
          <w:sz w:val="22"/>
        </w:rPr>
        <w:t>Washington,</w:t>
      </w:r>
      <w:r>
        <w:rPr>
          <w:spacing w:val="-4"/>
          <w:sz w:val="22"/>
        </w:rPr>
        <w:t> </w:t>
      </w:r>
      <w:r>
        <w:rPr>
          <w:sz w:val="22"/>
        </w:rPr>
        <w:t>D.C.:</w:t>
      </w:r>
      <w:r>
        <w:rPr>
          <w:spacing w:val="-3"/>
          <w:sz w:val="22"/>
        </w:rPr>
        <w:t> </w:t>
      </w:r>
      <w:r>
        <w:rPr>
          <w:sz w:val="22"/>
        </w:rPr>
        <w:t>Institute</w:t>
      </w:r>
      <w:r>
        <w:rPr>
          <w:spacing w:val="-6"/>
          <w:sz w:val="22"/>
        </w:rPr>
        <w:t> </w:t>
      </w:r>
      <w:r>
        <w:rPr>
          <w:sz w:val="22"/>
        </w:rPr>
        <w:t>forInternational</w:t>
      </w:r>
      <w:r>
        <w:rPr>
          <w:spacing w:val="-1"/>
          <w:sz w:val="22"/>
        </w:rPr>
        <w:t> </w:t>
      </w:r>
      <w:r>
        <w:rPr>
          <w:spacing w:val="-2"/>
          <w:sz w:val="22"/>
        </w:rPr>
        <w:t>Economics.</w:t>
      </w:r>
    </w:p>
    <w:p>
      <w:pPr>
        <w:spacing w:before="239"/>
        <w:ind w:left="1522" w:right="469" w:hanging="812"/>
        <w:jc w:val="both"/>
        <w:rPr>
          <w:sz w:val="22"/>
        </w:rPr>
      </w:pPr>
      <w:r>
        <w:rPr>
          <w:sz w:val="22"/>
        </w:rPr>
        <w:t>Cumby,</w:t>
      </w:r>
      <w:r>
        <w:rPr>
          <w:spacing w:val="40"/>
          <w:sz w:val="22"/>
        </w:rPr>
        <w:t> </w:t>
      </w:r>
      <w:r>
        <w:rPr>
          <w:sz w:val="22"/>
        </w:rPr>
        <w:t>R.</w:t>
      </w:r>
      <w:r>
        <w:rPr>
          <w:spacing w:val="40"/>
          <w:sz w:val="22"/>
        </w:rPr>
        <w:t> </w:t>
      </w:r>
      <w:r>
        <w:rPr>
          <w:sz w:val="22"/>
        </w:rPr>
        <w:t>E. &amp; Richard</w:t>
      </w:r>
      <w:r>
        <w:rPr>
          <w:spacing w:val="-1"/>
          <w:sz w:val="22"/>
        </w:rPr>
        <w:t> </w:t>
      </w:r>
      <w:r>
        <w:rPr>
          <w:sz w:val="22"/>
        </w:rPr>
        <w:t>M. Levich (1987). </w:t>
      </w:r>
      <w:r>
        <w:rPr>
          <w:i/>
          <w:sz w:val="22"/>
        </w:rPr>
        <w:t>On the</w:t>
      </w:r>
      <w:r>
        <w:rPr>
          <w:i/>
          <w:spacing w:val="-1"/>
          <w:sz w:val="22"/>
        </w:rPr>
        <w:t> </w:t>
      </w:r>
      <w:r>
        <w:rPr>
          <w:i/>
          <w:sz w:val="22"/>
        </w:rPr>
        <w:t>Definition and Magnitude</w:t>
      </w:r>
      <w:r>
        <w:rPr>
          <w:i/>
          <w:spacing w:val="-1"/>
          <w:sz w:val="22"/>
        </w:rPr>
        <w:t> </w:t>
      </w:r>
      <w:r>
        <w:rPr>
          <w:i/>
          <w:sz w:val="22"/>
        </w:rPr>
        <w:t>of Recent Capital Flight</w:t>
      </w:r>
      <w:r>
        <w:rPr>
          <w:sz w:val="22"/>
        </w:rPr>
        <w:t>. Forthcoming in</w:t>
      </w:r>
      <w:r>
        <w:rPr>
          <w:spacing w:val="-1"/>
          <w:sz w:val="22"/>
        </w:rPr>
        <w:t> </w:t>
      </w:r>
      <w:r>
        <w:rPr>
          <w:sz w:val="22"/>
        </w:rPr>
        <w:t>Lessard</w:t>
      </w:r>
      <w:r>
        <w:rPr>
          <w:spacing w:val="-1"/>
          <w:sz w:val="22"/>
        </w:rPr>
        <w:t> </w:t>
      </w:r>
      <w:r>
        <w:rPr>
          <w:sz w:val="22"/>
        </w:rPr>
        <w:t>and</w:t>
      </w:r>
      <w:r>
        <w:rPr>
          <w:spacing w:val="-3"/>
          <w:sz w:val="22"/>
        </w:rPr>
        <w:t> </w:t>
      </w:r>
      <w:r>
        <w:rPr>
          <w:sz w:val="22"/>
        </w:rPr>
        <w:t>Williamson,</w:t>
      </w:r>
      <w:r>
        <w:rPr>
          <w:spacing w:val="-3"/>
          <w:sz w:val="22"/>
        </w:rPr>
        <w:t> </w:t>
      </w:r>
      <w:r>
        <w:rPr>
          <w:sz w:val="22"/>
        </w:rPr>
        <w:t>eds. Capital Flight</w:t>
      </w:r>
      <w:r>
        <w:rPr>
          <w:spacing w:val="-3"/>
          <w:sz w:val="22"/>
        </w:rPr>
        <w:t> </w:t>
      </w:r>
      <w:r>
        <w:rPr>
          <w:sz w:val="22"/>
        </w:rPr>
        <w:t>and</w:t>
      </w:r>
      <w:r>
        <w:rPr>
          <w:spacing w:val="-4"/>
          <w:sz w:val="22"/>
        </w:rPr>
        <w:t> </w:t>
      </w:r>
      <w:r>
        <w:rPr>
          <w:sz w:val="22"/>
        </w:rPr>
        <w:t>Third</w:t>
      </w:r>
      <w:r>
        <w:rPr>
          <w:spacing w:val="-1"/>
          <w:sz w:val="22"/>
        </w:rPr>
        <w:t> </w:t>
      </w:r>
      <w:r>
        <w:rPr>
          <w:sz w:val="22"/>
        </w:rPr>
        <w:t>World</w:t>
      </w:r>
      <w:r>
        <w:rPr>
          <w:spacing w:val="-1"/>
          <w:sz w:val="22"/>
        </w:rPr>
        <w:t> </w:t>
      </w:r>
      <w:r>
        <w:rPr>
          <w:sz w:val="22"/>
        </w:rPr>
        <w:t>Debt.</w:t>
      </w:r>
      <w:r>
        <w:rPr>
          <w:spacing w:val="-4"/>
          <w:sz w:val="22"/>
        </w:rPr>
        <w:t> </w:t>
      </w:r>
      <w:r>
        <w:rPr>
          <w:sz w:val="22"/>
        </w:rPr>
        <w:t>Washington,</w:t>
      </w:r>
      <w:r>
        <w:rPr>
          <w:spacing w:val="80"/>
          <w:sz w:val="22"/>
        </w:rPr>
        <w:t>  </w:t>
      </w:r>
      <w:r>
        <w:rPr>
          <w:sz w:val="22"/>
        </w:rPr>
        <w:t>D.C.:</w:t>
      </w:r>
      <w:r>
        <w:rPr>
          <w:spacing w:val="40"/>
          <w:sz w:val="22"/>
        </w:rPr>
        <w:t> </w:t>
      </w:r>
      <w:r>
        <w:rPr>
          <w:sz w:val="22"/>
        </w:rPr>
        <w:t>Institute</w:t>
      </w:r>
      <w:r>
        <w:rPr>
          <w:spacing w:val="40"/>
          <w:sz w:val="22"/>
        </w:rPr>
        <w:t> </w:t>
      </w:r>
      <w:r>
        <w:rPr>
          <w:sz w:val="22"/>
        </w:rPr>
        <w:t>for International Economics.</w:t>
      </w:r>
    </w:p>
    <w:p>
      <w:pPr>
        <w:spacing w:line="496" w:lineRule="exact" w:before="48"/>
        <w:ind w:left="711" w:right="475" w:firstLine="0"/>
        <w:jc w:val="both"/>
        <w:rPr>
          <w:sz w:val="22"/>
        </w:rPr>
      </w:pPr>
      <w:r>
        <w:rPr>
          <w:sz w:val="22"/>
        </w:rPr>
        <w:t>Davidson, R. and McKinnon, J.G. (1993). </w:t>
      </w:r>
      <w:r>
        <w:rPr>
          <w:i/>
          <w:sz w:val="22"/>
        </w:rPr>
        <w:t>Estimation and Inference in</w:t>
      </w:r>
      <w:r>
        <w:rPr>
          <w:i/>
          <w:spacing w:val="80"/>
          <w:sz w:val="22"/>
        </w:rPr>
        <w:t>  </w:t>
      </w:r>
      <w:r>
        <w:rPr>
          <w:i/>
          <w:sz w:val="22"/>
        </w:rPr>
        <w:t>Econometrics</w:t>
      </w:r>
      <w:r>
        <w:rPr>
          <w:sz w:val="22"/>
        </w:rPr>
        <w:t>, Oxford</w:t>
      </w:r>
      <w:r>
        <w:rPr>
          <w:spacing w:val="71"/>
          <w:sz w:val="22"/>
        </w:rPr>
        <w:t>  </w:t>
      </w:r>
      <w:r>
        <w:rPr>
          <w:sz w:val="22"/>
        </w:rPr>
        <w:t>University Press.</w:t>
      </w:r>
      <w:r>
        <w:rPr>
          <w:sz w:val="22"/>
        </w:rPr>
        <w:t> De</w:t>
      </w:r>
      <w:r>
        <w:rPr>
          <w:spacing w:val="38"/>
          <w:sz w:val="22"/>
        </w:rPr>
        <w:t> </w:t>
      </w:r>
      <w:r>
        <w:rPr>
          <w:sz w:val="22"/>
        </w:rPr>
        <w:t>Boyrie,</w:t>
      </w:r>
      <w:r>
        <w:rPr>
          <w:spacing w:val="40"/>
          <w:sz w:val="22"/>
        </w:rPr>
        <w:t> </w:t>
      </w:r>
      <w:r>
        <w:rPr>
          <w:sz w:val="22"/>
        </w:rPr>
        <w:t>M.</w:t>
      </w:r>
      <w:r>
        <w:rPr>
          <w:spacing w:val="40"/>
          <w:sz w:val="22"/>
        </w:rPr>
        <w:t> </w:t>
      </w:r>
      <w:r>
        <w:rPr>
          <w:sz w:val="22"/>
        </w:rPr>
        <w:t>(2011).</w:t>
      </w:r>
      <w:r>
        <w:rPr>
          <w:spacing w:val="41"/>
          <w:sz w:val="22"/>
        </w:rPr>
        <w:t> </w:t>
      </w:r>
      <w:r>
        <w:rPr>
          <w:sz w:val="22"/>
        </w:rPr>
        <w:t>Money</w:t>
      </w:r>
      <w:r>
        <w:rPr>
          <w:spacing w:val="38"/>
          <w:sz w:val="22"/>
        </w:rPr>
        <w:t> </w:t>
      </w:r>
      <w:r>
        <w:rPr>
          <w:sz w:val="22"/>
        </w:rPr>
        <w:t>Laundering</w:t>
      </w:r>
      <w:r>
        <w:rPr>
          <w:spacing w:val="38"/>
          <w:sz w:val="22"/>
        </w:rPr>
        <w:t> </w:t>
      </w:r>
      <w:r>
        <w:rPr>
          <w:sz w:val="22"/>
        </w:rPr>
        <w:t>and</w:t>
      </w:r>
      <w:r>
        <w:rPr>
          <w:spacing w:val="42"/>
          <w:sz w:val="22"/>
        </w:rPr>
        <w:t> </w:t>
      </w:r>
      <w:r>
        <w:rPr>
          <w:sz w:val="22"/>
        </w:rPr>
        <w:t>Income</w:t>
      </w:r>
      <w:r>
        <w:rPr>
          <w:spacing w:val="40"/>
          <w:sz w:val="22"/>
        </w:rPr>
        <w:t> </w:t>
      </w:r>
      <w:r>
        <w:rPr>
          <w:sz w:val="22"/>
        </w:rPr>
        <w:t>Tax</w:t>
      </w:r>
      <w:r>
        <w:rPr>
          <w:spacing w:val="41"/>
          <w:sz w:val="22"/>
        </w:rPr>
        <w:t> </w:t>
      </w:r>
      <w:r>
        <w:rPr>
          <w:sz w:val="22"/>
        </w:rPr>
        <w:t>Evasion:</w:t>
      </w:r>
      <w:r>
        <w:rPr>
          <w:spacing w:val="38"/>
          <w:sz w:val="22"/>
        </w:rPr>
        <w:t> </w:t>
      </w:r>
      <w:r>
        <w:rPr>
          <w:sz w:val="22"/>
        </w:rPr>
        <w:t>The</w:t>
      </w:r>
      <w:r>
        <w:rPr>
          <w:spacing w:val="40"/>
          <w:sz w:val="22"/>
        </w:rPr>
        <w:t> </w:t>
      </w:r>
      <w:r>
        <w:rPr>
          <w:sz w:val="22"/>
        </w:rPr>
        <w:t>Determination</w:t>
      </w:r>
      <w:r>
        <w:rPr>
          <w:spacing w:val="41"/>
          <w:sz w:val="22"/>
        </w:rPr>
        <w:t> </w:t>
      </w:r>
      <w:r>
        <w:rPr>
          <w:sz w:val="22"/>
        </w:rPr>
        <w:t>of</w:t>
      </w:r>
      <w:r>
        <w:rPr>
          <w:spacing w:val="40"/>
          <w:sz w:val="22"/>
        </w:rPr>
        <w:t> </w:t>
      </w:r>
      <w:r>
        <w:rPr>
          <w:sz w:val="22"/>
        </w:rPr>
        <w:t>Optimal</w:t>
      </w:r>
      <w:r>
        <w:rPr>
          <w:spacing w:val="41"/>
          <w:sz w:val="22"/>
        </w:rPr>
        <w:t> </w:t>
      </w:r>
      <w:r>
        <w:rPr>
          <w:sz w:val="22"/>
        </w:rPr>
        <w:t>Audits</w:t>
      </w:r>
      <w:r>
        <w:rPr>
          <w:spacing w:val="41"/>
          <w:sz w:val="22"/>
        </w:rPr>
        <w:t> </w:t>
      </w:r>
      <w:r>
        <w:rPr>
          <w:spacing w:val="-5"/>
          <w:sz w:val="22"/>
        </w:rPr>
        <w:t>and</w:t>
      </w:r>
    </w:p>
    <w:p>
      <w:pPr>
        <w:spacing w:line="199" w:lineRule="exact" w:before="0"/>
        <w:ind w:left="1522" w:right="0" w:firstLine="0"/>
        <w:jc w:val="left"/>
        <w:rPr>
          <w:sz w:val="22"/>
        </w:rPr>
      </w:pPr>
      <w:r>
        <w:rPr>
          <w:sz w:val="22"/>
        </w:rPr>
        <w:t>Inspections</w:t>
      </w:r>
      <w:r>
        <w:rPr>
          <w:spacing w:val="-6"/>
          <w:sz w:val="22"/>
        </w:rPr>
        <w:t> </w:t>
      </w:r>
      <w:r>
        <w:rPr>
          <w:sz w:val="22"/>
        </w:rPr>
        <w:t>to</w:t>
      </w:r>
      <w:r>
        <w:rPr>
          <w:spacing w:val="-3"/>
          <w:sz w:val="22"/>
        </w:rPr>
        <w:t> </w:t>
      </w:r>
      <w:r>
        <w:rPr>
          <w:sz w:val="22"/>
        </w:rPr>
        <w:t>Detect</w:t>
      </w:r>
      <w:r>
        <w:rPr>
          <w:spacing w:val="-2"/>
          <w:sz w:val="22"/>
        </w:rPr>
        <w:t> </w:t>
      </w:r>
      <w:r>
        <w:rPr>
          <w:sz w:val="22"/>
        </w:rPr>
        <w:t>Abnormal</w:t>
      </w:r>
      <w:r>
        <w:rPr>
          <w:spacing w:val="-3"/>
          <w:sz w:val="22"/>
        </w:rPr>
        <w:t> </w:t>
      </w:r>
      <w:r>
        <w:rPr>
          <w:sz w:val="22"/>
        </w:rPr>
        <w:t>Prices</w:t>
      </w:r>
      <w:r>
        <w:rPr>
          <w:spacing w:val="-5"/>
          <w:sz w:val="22"/>
        </w:rPr>
        <w:t> </w:t>
      </w:r>
      <w:r>
        <w:rPr>
          <w:sz w:val="22"/>
        </w:rPr>
        <w:t>in</w:t>
      </w:r>
      <w:r>
        <w:rPr>
          <w:spacing w:val="-3"/>
          <w:sz w:val="22"/>
        </w:rPr>
        <w:t> </w:t>
      </w:r>
      <w:r>
        <w:rPr>
          <w:sz w:val="22"/>
        </w:rPr>
        <w:t>International</w:t>
      </w:r>
      <w:r>
        <w:rPr>
          <w:spacing w:val="-6"/>
          <w:sz w:val="22"/>
        </w:rPr>
        <w:t> </w:t>
      </w:r>
      <w:r>
        <w:rPr>
          <w:sz w:val="22"/>
        </w:rPr>
        <w:t>Trade.</w:t>
      </w:r>
      <w:r>
        <w:rPr>
          <w:spacing w:val="-1"/>
          <w:sz w:val="22"/>
        </w:rPr>
        <w:t> </w:t>
      </w:r>
      <w:r>
        <w:rPr>
          <w:i/>
          <w:sz w:val="22"/>
        </w:rPr>
        <w:t>Journal</w:t>
      </w:r>
      <w:r>
        <w:rPr>
          <w:i/>
          <w:spacing w:val="-2"/>
          <w:sz w:val="22"/>
        </w:rPr>
        <w:t> </w:t>
      </w:r>
      <w:r>
        <w:rPr>
          <w:i/>
          <w:sz w:val="22"/>
        </w:rPr>
        <w:t>of</w:t>
      </w:r>
      <w:r>
        <w:rPr>
          <w:i/>
          <w:spacing w:val="-3"/>
          <w:sz w:val="22"/>
        </w:rPr>
        <w:t> </w:t>
      </w:r>
      <w:r>
        <w:rPr>
          <w:i/>
          <w:sz w:val="22"/>
        </w:rPr>
        <w:t>Financial</w:t>
      </w:r>
      <w:r>
        <w:rPr>
          <w:i/>
          <w:spacing w:val="-5"/>
          <w:sz w:val="22"/>
        </w:rPr>
        <w:t> </w:t>
      </w:r>
      <w:r>
        <w:rPr>
          <w:i/>
          <w:sz w:val="22"/>
        </w:rPr>
        <w:t>Crime,</w:t>
      </w:r>
      <w:r>
        <w:rPr>
          <w:i/>
          <w:spacing w:val="-3"/>
          <w:sz w:val="22"/>
        </w:rPr>
        <w:t> </w:t>
      </w:r>
      <w:r>
        <w:rPr>
          <w:i/>
          <w:sz w:val="22"/>
        </w:rPr>
        <w:t>12</w:t>
      </w:r>
      <w:r>
        <w:rPr>
          <w:sz w:val="22"/>
        </w:rPr>
        <w:t>,</w:t>
      </w:r>
      <w:r>
        <w:rPr>
          <w:spacing w:val="-6"/>
          <w:sz w:val="22"/>
        </w:rPr>
        <w:t> </w:t>
      </w:r>
      <w:r>
        <w:rPr>
          <w:spacing w:val="-2"/>
          <w:sz w:val="22"/>
        </w:rPr>
        <w:t>123–130.</w:t>
      </w:r>
    </w:p>
    <w:p>
      <w:pPr>
        <w:tabs>
          <w:tab w:pos="8633" w:val="left" w:leader="none"/>
          <w:tab w:pos="10364" w:val="left" w:leader="none"/>
        </w:tabs>
        <w:spacing w:line="252" w:lineRule="exact" w:before="241"/>
        <w:ind w:left="711" w:right="0" w:firstLine="0"/>
        <w:jc w:val="left"/>
        <w:rPr>
          <w:i/>
          <w:sz w:val="22"/>
        </w:rPr>
      </w:pPr>
      <w:r>
        <w:rPr>
          <w:sz w:val="22"/>
        </w:rPr>
        <w:t>Debt</w:t>
      </w:r>
      <w:r>
        <w:rPr>
          <w:spacing w:val="-3"/>
          <w:sz w:val="22"/>
        </w:rPr>
        <w:t> </w:t>
      </w:r>
      <w:r>
        <w:rPr>
          <w:sz w:val="22"/>
        </w:rPr>
        <w:t>Management</w:t>
      </w:r>
      <w:r>
        <w:rPr>
          <w:spacing w:val="-3"/>
          <w:sz w:val="22"/>
        </w:rPr>
        <w:t> </w:t>
      </w:r>
      <w:r>
        <w:rPr>
          <w:sz w:val="22"/>
        </w:rPr>
        <w:t>Office</w:t>
      </w:r>
      <w:r>
        <w:rPr>
          <w:spacing w:val="-6"/>
          <w:sz w:val="22"/>
        </w:rPr>
        <w:t> </w:t>
      </w:r>
      <w:r>
        <w:rPr>
          <w:sz w:val="22"/>
        </w:rPr>
        <w:t>(2011).</w:t>
      </w:r>
      <w:r>
        <w:rPr>
          <w:spacing w:val="-5"/>
          <w:sz w:val="22"/>
        </w:rPr>
        <w:t> </w:t>
      </w:r>
      <w:r>
        <w:rPr>
          <w:i/>
          <w:sz w:val="22"/>
        </w:rPr>
        <w:t>International</w:t>
      </w:r>
      <w:r>
        <w:rPr>
          <w:i/>
          <w:spacing w:val="-6"/>
          <w:sz w:val="22"/>
        </w:rPr>
        <w:t> </w:t>
      </w:r>
      <w:r>
        <w:rPr>
          <w:i/>
          <w:sz w:val="22"/>
        </w:rPr>
        <w:t>Conference</w:t>
      </w:r>
      <w:r>
        <w:rPr>
          <w:i/>
          <w:spacing w:val="-3"/>
          <w:sz w:val="22"/>
        </w:rPr>
        <w:t> </w:t>
      </w:r>
      <w:r>
        <w:rPr>
          <w:i/>
          <w:sz w:val="22"/>
        </w:rPr>
        <w:t>on</w:t>
      </w:r>
      <w:r>
        <w:rPr>
          <w:i/>
          <w:spacing w:val="-4"/>
          <w:sz w:val="22"/>
        </w:rPr>
        <w:t> </w:t>
      </w:r>
      <w:r>
        <w:rPr>
          <w:i/>
          <w:sz w:val="22"/>
        </w:rPr>
        <w:t>Sustainable</w:t>
      </w:r>
      <w:r>
        <w:rPr>
          <w:i/>
          <w:spacing w:val="-4"/>
          <w:sz w:val="22"/>
        </w:rPr>
        <w:t> </w:t>
      </w:r>
      <w:r>
        <w:rPr>
          <w:i/>
          <w:sz w:val="22"/>
        </w:rPr>
        <w:t>Debt</w:t>
      </w:r>
      <w:r>
        <w:rPr>
          <w:i/>
          <w:spacing w:val="69"/>
          <w:sz w:val="22"/>
        </w:rPr>
        <w:t> </w:t>
      </w:r>
      <w:r>
        <w:rPr>
          <w:i/>
          <w:spacing w:val="-5"/>
          <w:sz w:val="22"/>
        </w:rPr>
        <w:t>and</w:t>
      </w:r>
      <w:r>
        <w:rPr>
          <w:i/>
          <w:sz w:val="22"/>
        </w:rPr>
        <w:tab/>
      </w:r>
      <w:r>
        <w:rPr>
          <w:i/>
          <w:spacing w:val="-2"/>
          <w:sz w:val="22"/>
        </w:rPr>
        <w:t>Development</w:t>
      </w:r>
      <w:r>
        <w:rPr>
          <w:i/>
          <w:sz w:val="22"/>
        </w:rPr>
        <w:tab/>
      </w:r>
      <w:r>
        <w:rPr>
          <w:i/>
          <w:spacing w:val="-2"/>
          <w:sz w:val="22"/>
        </w:rPr>
        <w:t>Strategy.</w:t>
      </w:r>
    </w:p>
    <w:p>
      <w:pPr>
        <w:spacing w:line="252" w:lineRule="exact" w:before="0"/>
        <w:ind w:left="711" w:right="0" w:firstLine="0"/>
        <w:jc w:val="left"/>
        <w:rPr>
          <w:sz w:val="22"/>
        </w:rPr>
      </w:pPr>
      <w:r>
        <w:rPr>
          <w:spacing w:val="-2"/>
          <w:sz w:val="22"/>
        </w:rPr>
        <w:t>Abuja.</w:t>
      </w:r>
    </w:p>
    <w:p>
      <w:pPr>
        <w:spacing w:before="239"/>
        <w:ind w:left="711" w:right="0" w:firstLine="0"/>
        <w:jc w:val="left"/>
        <w:rPr>
          <w:sz w:val="22"/>
        </w:rPr>
      </w:pPr>
      <w:r>
        <w:rPr>
          <w:sz w:val="22"/>
        </w:rPr>
        <w:t>Debt</w:t>
      </w:r>
      <w:r>
        <w:rPr>
          <w:spacing w:val="-5"/>
          <w:sz w:val="22"/>
        </w:rPr>
        <w:t> </w:t>
      </w:r>
      <w:r>
        <w:rPr>
          <w:sz w:val="22"/>
        </w:rPr>
        <w:t>Management</w:t>
      </w:r>
      <w:r>
        <w:rPr>
          <w:spacing w:val="-3"/>
          <w:sz w:val="22"/>
        </w:rPr>
        <w:t> </w:t>
      </w:r>
      <w:r>
        <w:rPr>
          <w:sz w:val="22"/>
        </w:rPr>
        <w:t>Office,</w:t>
      </w:r>
      <w:r>
        <w:rPr>
          <w:spacing w:val="-6"/>
          <w:sz w:val="22"/>
        </w:rPr>
        <w:t> </w:t>
      </w:r>
      <w:r>
        <w:rPr>
          <w:sz w:val="22"/>
        </w:rPr>
        <w:t>(2013);</w:t>
      </w:r>
      <w:r>
        <w:rPr>
          <w:spacing w:val="-3"/>
          <w:sz w:val="22"/>
        </w:rPr>
        <w:t> </w:t>
      </w:r>
      <w:r>
        <w:rPr>
          <w:sz w:val="22"/>
        </w:rPr>
        <w:t>Periodic</w:t>
      </w:r>
      <w:r>
        <w:rPr>
          <w:spacing w:val="-5"/>
          <w:sz w:val="22"/>
        </w:rPr>
        <w:t> </w:t>
      </w:r>
      <w:r>
        <w:rPr>
          <w:sz w:val="22"/>
        </w:rPr>
        <w:t>release</w:t>
      </w:r>
      <w:r>
        <w:rPr>
          <w:spacing w:val="-4"/>
          <w:sz w:val="22"/>
        </w:rPr>
        <w:t> </w:t>
      </w:r>
      <w:r>
        <w:rPr>
          <w:sz w:val="22"/>
        </w:rPr>
        <w:t>of</w:t>
      </w:r>
      <w:r>
        <w:rPr>
          <w:spacing w:val="-3"/>
          <w:sz w:val="22"/>
        </w:rPr>
        <w:t> </w:t>
      </w:r>
      <w:r>
        <w:rPr>
          <w:sz w:val="22"/>
        </w:rPr>
        <w:t>the</w:t>
      </w:r>
      <w:r>
        <w:rPr>
          <w:spacing w:val="-4"/>
          <w:sz w:val="22"/>
        </w:rPr>
        <w:t> </w:t>
      </w:r>
      <w:r>
        <w:rPr>
          <w:sz w:val="22"/>
        </w:rPr>
        <w:t>Central</w:t>
      </w:r>
      <w:r>
        <w:rPr>
          <w:spacing w:val="-2"/>
          <w:sz w:val="22"/>
        </w:rPr>
        <w:t> </w:t>
      </w:r>
      <w:r>
        <w:rPr>
          <w:sz w:val="22"/>
        </w:rPr>
        <w:t>Bank</w:t>
      </w:r>
      <w:r>
        <w:rPr>
          <w:spacing w:val="-6"/>
          <w:sz w:val="22"/>
        </w:rPr>
        <w:t> </w:t>
      </w:r>
      <w:r>
        <w:rPr>
          <w:sz w:val="22"/>
        </w:rPr>
        <w:t>of</w:t>
      </w:r>
      <w:r>
        <w:rPr>
          <w:spacing w:val="-3"/>
          <w:sz w:val="22"/>
        </w:rPr>
        <w:t> </w:t>
      </w:r>
      <w:r>
        <w:rPr>
          <w:spacing w:val="-2"/>
          <w:sz w:val="22"/>
        </w:rPr>
        <w:t>Nigeria.</w:t>
      </w:r>
    </w:p>
    <w:p>
      <w:pPr>
        <w:spacing w:before="242"/>
        <w:ind w:left="1611" w:right="469" w:hanging="901"/>
        <w:jc w:val="both"/>
        <w:rPr>
          <w:i/>
          <w:sz w:val="22"/>
        </w:rPr>
      </w:pPr>
      <w:r>
        <w:rPr>
          <w:sz w:val="22"/>
        </w:rPr>
        <w:t>Devarajan, S. &amp; Swaroop. V. (2000).</w:t>
      </w:r>
      <w:r>
        <w:rPr>
          <w:spacing w:val="40"/>
          <w:sz w:val="22"/>
        </w:rPr>
        <w:t> </w:t>
      </w:r>
      <w:r>
        <w:rPr>
          <w:sz w:val="22"/>
        </w:rPr>
        <w:t>The Implications of Foreign Aid Fungibility for Development Assistance. In Gilbert, C.L. and D. Vines (Editions.) </w:t>
      </w:r>
      <w:r>
        <w:rPr>
          <w:i/>
          <w:sz w:val="22"/>
        </w:rPr>
        <w:t>The World Bank.</w:t>
      </w:r>
    </w:p>
    <w:p>
      <w:pPr>
        <w:spacing w:after="0"/>
        <w:jc w:val="both"/>
        <w:rPr>
          <w:sz w:val="22"/>
        </w:rPr>
        <w:sectPr>
          <w:pgSz w:w="11910" w:h="16840"/>
          <w:pgMar w:header="0" w:footer="979" w:top="1340" w:bottom="1240" w:left="280" w:right="0"/>
        </w:sectPr>
      </w:pPr>
    </w:p>
    <w:p>
      <w:pPr>
        <w:spacing w:before="80"/>
        <w:ind w:left="711" w:right="0" w:firstLine="0"/>
        <w:jc w:val="left"/>
        <w:rPr>
          <w:sz w:val="22"/>
        </w:rPr>
      </w:pPr>
      <w:r>
        <w:rPr>
          <w:sz w:val="22"/>
        </w:rPr>
        <w:t>Dewulf</w:t>
      </w:r>
      <w:r>
        <w:rPr>
          <w:spacing w:val="-4"/>
          <w:sz w:val="22"/>
        </w:rPr>
        <w:t> </w:t>
      </w:r>
      <w:r>
        <w:rPr>
          <w:sz w:val="22"/>
        </w:rPr>
        <w:t>L.(1981):</w:t>
      </w:r>
      <w:r>
        <w:rPr>
          <w:spacing w:val="-2"/>
          <w:sz w:val="22"/>
        </w:rPr>
        <w:t> </w:t>
      </w:r>
      <w:r>
        <w:rPr>
          <w:i/>
          <w:sz w:val="22"/>
        </w:rPr>
        <w:t>Capital</w:t>
      </w:r>
      <w:r>
        <w:rPr>
          <w:i/>
          <w:spacing w:val="-5"/>
          <w:sz w:val="22"/>
        </w:rPr>
        <w:t> </w:t>
      </w:r>
      <w:r>
        <w:rPr>
          <w:i/>
          <w:sz w:val="22"/>
        </w:rPr>
        <w:t>Flight</w:t>
      </w:r>
      <w:r>
        <w:rPr>
          <w:i/>
          <w:spacing w:val="-5"/>
          <w:sz w:val="22"/>
        </w:rPr>
        <w:t> </w:t>
      </w:r>
      <w:r>
        <w:rPr>
          <w:i/>
          <w:sz w:val="22"/>
        </w:rPr>
        <w:t>from</w:t>
      </w:r>
      <w:r>
        <w:rPr>
          <w:i/>
          <w:spacing w:val="-3"/>
          <w:sz w:val="22"/>
        </w:rPr>
        <w:t> </w:t>
      </w:r>
      <w:r>
        <w:rPr>
          <w:i/>
          <w:sz w:val="22"/>
        </w:rPr>
        <w:t>Developing</w:t>
      </w:r>
      <w:r>
        <w:rPr>
          <w:i/>
          <w:spacing w:val="-2"/>
          <w:sz w:val="22"/>
        </w:rPr>
        <w:t> </w:t>
      </w:r>
      <w:r>
        <w:rPr>
          <w:i/>
          <w:sz w:val="22"/>
        </w:rPr>
        <w:t>Countries.</w:t>
      </w:r>
      <w:r>
        <w:rPr>
          <w:i/>
          <w:spacing w:val="47"/>
          <w:sz w:val="22"/>
        </w:rPr>
        <w:t> </w:t>
      </w:r>
      <w:r>
        <w:rPr>
          <w:sz w:val="22"/>
        </w:rPr>
        <w:t>Development</w:t>
      </w:r>
      <w:r>
        <w:rPr>
          <w:spacing w:val="-2"/>
          <w:sz w:val="22"/>
        </w:rPr>
        <w:t> </w:t>
      </w:r>
      <w:r>
        <w:rPr>
          <w:sz w:val="22"/>
        </w:rPr>
        <w:t>Co-</w:t>
      </w:r>
      <w:r>
        <w:rPr>
          <w:spacing w:val="75"/>
          <w:sz w:val="22"/>
        </w:rPr>
        <w:t> </w:t>
      </w:r>
      <w:r>
        <w:rPr>
          <w:sz w:val="22"/>
        </w:rPr>
        <w:t>Operation</w:t>
      </w:r>
      <w:r>
        <w:rPr>
          <w:spacing w:val="-5"/>
          <w:sz w:val="22"/>
        </w:rPr>
        <w:t> </w:t>
      </w:r>
      <w:r>
        <w:rPr>
          <w:spacing w:val="-10"/>
          <w:sz w:val="22"/>
        </w:rPr>
        <w:t>3</w:t>
      </w:r>
    </w:p>
    <w:p>
      <w:pPr>
        <w:tabs>
          <w:tab w:pos="6472" w:val="left" w:leader="none"/>
          <w:tab w:pos="9353" w:val="left" w:leader="none"/>
        </w:tabs>
        <w:spacing w:before="239"/>
        <w:ind w:left="711" w:right="469" w:firstLine="0"/>
        <w:jc w:val="left"/>
        <w:rPr>
          <w:i/>
          <w:sz w:val="22"/>
        </w:rPr>
      </w:pPr>
      <w:r>
        <w:rPr>
          <w:sz w:val="22"/>
        </w:rPr>
        <w:t>Dooley, M. P. (1986). Country-Specific Risk Premiums, Capital Flight and Net Investment</w:t>
        <w:tab/>
        <w:t>Income</w:t>
      </w:r>
      <w:r>
        <w:rPr>
          <w:spacing w:val="-14"/>
          <w:sz w:val="22"/>
        </w:rPr>
        <w:t> </w:t>
      </w:r>
      <w:r>
        <w:rPr>
          <w:sz w:val="22"/>
        </w:rPr>
        <w:t>Payments</w:t>
      </w:r>
      <w:r>
        <w:rPr>
          <w:spacing w:val="-14"/>
          <w:sz w:val="22"/>
        </w:rPr>
        <w:t> </w:t>
      </w:r>
      <w:r>
        <w:rPr>
          <w:sz w:val="22"/>
        </w:rPr>
        <w:t>in Selected Developing Countries. Washington DC: </w:t>
      </w:r>
      <w:r>
        <w:rPr>
          <w:i/>
          <w:sz w:val="22"/>
        </w:rPr>
        <w:t>International</w:t>
        <w:tab/>
        <w:t>Monetary Fund</w:t>
      </w:r>
    </w:p>
    <w:p>
      <w:pPr>
        <w:pStyle w:val="BodyText"/>
        <w:rPr>
          <w:i/>
          <w:sz w:val="22"/>
        </w:rPr>
      </w:pPr>
    </w:p>
    <w:p>
      <w:pPr>
        <w:pStyle w:val="BodyText"/>
        <w:spacing w:before="229"/>
        <w:rPr>
          <w:i/>
          <w:sz w:val="22"/>
        </w:rPr>
      </w:pPr>
    </w:p>
    <w:p>
      <w:pPr>
        <w:tabs>
          <w:tab w:pos="4312" w:val="left" w:leader="none"/>
          <w:tab w:pos="5752" w:val="left" w:leader="none"/>
          <w:tab w:pos="8633" w:val="left" w:leader="none"/>
        </w:tabs>
        <w:spacing w:before="0"/>
        <w:ind w:left="711" w:right="475" w:firstLine="0"/>
        <w:jc w:val="left"/>
        <w:rPr>
          <w:sz w:val="22"/>
        </w:rPr>
      </w:pPr>
      <w:r>
        <w:rPr>
          <w:sz w:val="22"/>
        </w:rPr>
        <w:t>Dooley, M. P., William H., Ralph, T. &amp;John U. (1990).</w:t>
      </w:r>
      <w:r>
        <w:rPr>
          <w:spacing w:val="40"/>
          <w:sz w:val="22"/>
        </w:rPr>
        <w:t> </w:t>
      </w:r>
      <w:r>
        <w:rPr>
          <w:sz w:val="22"/>
        </w:rPr>
        <w:t>An Analysis of External</w:t>
      </w:r>
      <w:r>
        <w:rPr>
          <w:spacing w:val="80"/>
          <w:sz w:val="22"/>
        </w:rPr>
        <w:t> </w:t>
      </w:r>
      <w:r>
        <w:rPr>
          <w:sz w:val="22"/>
        </w:rPr>
        <w:t>Debt</w:t>
        <w:tab/>
        <w:t>positions, Eight Developing Countries through 1990. </w:t>
      </w:r>
      <w:r>
        <w:rPr>
          <w:i/>
          <w:sz w:val="22"/>
        </w:rPr>
        <w:t>Journal of</w:t>
        <w:tab/>
      </w:r>
      <w:r>
        <w:rPr>
          <w:i/>
          <w:spacing w:val="-2"/>
          <w:sz w:val="22"/>
        </w:rPr>
        <w:t>Development</w:t>
      </w:r>
      <w:r>
        <w:rPr>
          <w:i/>
          <w:sz w:val="22"/>
        </w:rPr>
        <w:tab/>
        <w:t>Economics. Vol 2, </w:t>
      </w:r>
      <w:r>
        <w:rPr>
          <w:sz w:val="22"/>
        </w:rPr>
        <w:t>.1986.</w:t>
      </w:r>
    </w:p>
    <w:p>
      <w:pPr>
        <w:spacing w:before="238"/>
        <w:ind w:left="711" w:right="475" w:firstLine="0"/>
        <w:jc w:val="left"/>
        <w:rPr>
          <w:sz w:val="22"/>
        </w:rPr>
      </w:pPr>
      <w:r>
        <w:rPr>
          <w:sz w:val="22"/>
        </w:rPr>
        <w:t>Dooley</w:t>
      </w:r>
      <w:r>
        <w:rPr>
          <w:spacing w:val="-4"/>
          <w:sz w:val="22"/>
        </w:rPr>
        <w:t> </w:t>
      </w:r>
      <w:r>
        <w:rPr>
          <w:sz w:val="22"/>
        </w:rPr>
        <w:t>M.</w:t>
      </w:r>
      <w:r>
        <w:rPr>
          <w:spacing w:val="-2"/>
          <w:sz w:val="22"/>
        </w:rPr>
        <w:t> </w:t>
      </w:r>
      <w:r>
        <w:rPr>
          <w:sz w:val="22"/>
        </w:rPr>
        <w:t>&amp;</w:t>
      </w:r>
      <w:r>
        <w:rPr>
          <w:spacing w:val="-4"/>
          <w:sz w:val="22"/>
        </w:rPr>
        <w:t> </w:t>
      </w:r>
      <w:r>
        <w:rPr>
          <w:sz w:val="22"/>
        </w:rPr>
        <w:t>Kletzer,</w:t>
      </w:r>
      <w:r>
        <w:rPr>
          <w:spacing w:val="-5"/>
          <w:sz w:val="22"/>
        </w:rPr>
        <w:t> </w:t>
      </w:r>
      <w:r>
        <w:rPr>
          <w:sz w:val="22"/>
        </w:rPr>
        <w:t>K.M.</w:t>
      </w:r>
      <w:r>
        <w:rPr>
          <w:spacing w:val="-4"/>
          <w:sz w:val="22"/>
        </w:rPr>
        <w:t> </w:t>
      </w:r>
      <w:r>
        <w:rPr>
          <w:sz w:val="22"/>
        </w:rPr>
        <w:t>(1994).</w:t>
      </w:r>
      <w:r>
        <w:rPr>
          <w:spacing w:val="-1"/>
          <w:sz w:val="22"/>
        </w:rPr>
        <w:t> </w:t>
      </w:r>
      <w:r>
        <w:rPr>
          <w:sz w:val="22"/>
        </w:rPr>
        <w:t>Capital</w:t>
      </w:r>
      <w:r>
        <w:rPr>
          <w:spacing w:val="-1"/>
          <w:sz w:val="22"/>
        </w:rPr>
        <w:t> </w:t>
      </w:r>
      <w:r>
        <w:rPr>
          <w:sz w:val="22"/>
        </w:rPr>
        <w:t>Flight,</w:t>
      </w:r>
      <w:r>
        <w:rPr>
          <w:spacing w:val="-2"/>
          <w:sz w:val="22"/>
        </w:rPr>
        <w:t> </w:t>
      </w:r>
      <w:r>
        <w:rPr>
          <w:sz w:val="22"/>
        </w:rPr>
        <w:t>External</w:t>
      </w:r>
      <w:r>
        <w:rPr>
          <w:spacing w:val="-1"/>
          <w:sz w:val="22"/>
        </w:rPr>
        <w:t> </w:t>
      </w:r>
      <w:r>
        <w:rPr>
          <w:sz w:val="22"/>
        </w:rPr>
        <w:t>Debt</w:t>
      </w:r>
      <w:r>
        <w:rPr>
          <w:spacing w:val="-1"/>
          <w:sz w:val="22"/>
        </w:rPr>
        <w:t> </w:t>
      </w:r>
      <w:r>
        <w:rPr>
          <w:sz w:val="22"/>
        </w:rPr>
        <w:t>and Domestic</w:t>
      </w:r>
      <w:r>
        <w:rPr>
          <w:spacing w:val="-2"/>
          <w:sz w:val="22"/>
        </w:rPr>
        <w:t> </w:t>
      </w:r>
      <w:r>
        <w:rPr>
          <w:sz w:val="22"/>
        </w:rPr>
        <w:t>Policies.</w:t>
      </w:r>
      <w:r>
        <w:rPr>
          <w:spacing w:val="22"/>
          <w:sz w:val="22"/>
        </w:rPr>
        <w:t> </w:t>
      </w:r>
      <w:r>
        <w:rPr>
          <w:i/>
          <w:sz w:val="22"/>
        </w:rPr>
        <w:t>Federal</w:t>
      </w:r>
      <w:r>
        <w:rPr>
          <w:i/>
          <w:spacing w:val="80"/>
          <w:sz w:val="22"/>
        </w:rPr>
        <w:t> </w:t>
      </w:r>
      <w:r>
        <w:rPr>
          <w:i/>
          <w:sz w:val="22"/>
        </w:rPr>
        <w:t>Reserve</w:t>
      </w:r>
      <w:r>
        <w:rPr>
          <w:i/>
          <w:spacing w:val="80"/>
          <w:sz w:val="22"/>
        </w:rPr>
        <w:t> </w:t>
      </w:r>
      <w:r>
        <w:rPr>
          <w:i/>
          <w:sz w:val="22"/>
        </w:rPr>
        <w:t>Bank</w:t>
      </w:r>
      <w:r>
        <w:rPr>
          <w:i/>
          <w:spacing w:val="80"/>
          <w:sz w:val="22"/>
        </w:rPr>
        <w:t> </w:t>
      </w:r>
      <w:r>
        <w:rPr>
          <w:i/>
          <w:sz w:val="22"/>
        </w:rPr>
        <w:t>of San Francisco Economic</w:t>
      </w:r>
      <w:r>
        <w:rPr>
          <w:i/>
          <w:spacing w:val="40"/>
          <w:sz w:val="22"/>
        </w:rPr>
        <w:t> </w:t>
      </w:r>
      <w:r>
        <w:rPr>
          <w:i/>
          <w:sz w:val="22"/>
        </w:rPr>
        <w:t>Review, No.3</w:t>
      </w:r>
      <w:r>
        <w:rPr>
          <w:sz w:val="22"/>
        </w:rPr>
        <w:t>,</w:t>
      </w:r>
      <w:r>
        <w:rPr>
          <w:spacing w:val="40"/>
          <w:sz w:val="22"/>
        </w:rPr>
        <w:t> </w:t>
      </w:r>
      <w:r>
        <w:rPr>
          <w:sz w:val="22"/>
        </w:rPr>
        <w:t>29-37.</w:t>
      </w:r>
    </w:p>
    <w:p>
      <w:pPr>
        <w:tabs>
          <w:tab w:pos="3592" w:val="left" w:leader="none"/>
          <w:tab w:pos="9353" w:val="left" w:leader="none"/>
        </w:tabs>
        <w:spacing w:before="241"/>
        <w:ind w:left="711" w:right="469" w:firstLine="0"/>
        <w:jc w:val="left"/>
        <w:rPr>
          <w:sz w:val="22"/>
        </w:rPr>
      </w:pPr>
      <w:r>
        <w:rPr>
          <w:sz w:val="22"/>
        </w:rPr>
        <w:t>Dornbusch, R.</w:t>
      </w:r>
      <w:r>
        <w:rPr>
          <w:spacing w:val="40"/>
          <w:sz w:val="22"/>
        </w:rPr>
        <w:t> </w:t>
      </w:r>
      <w:r>
        <w:rPr>
          <w:sz w:val="22"/>
        </w:rPr>
        <w:t>(1985). Policy and Performance Links Between LDC Debtors and Industrial</w:t>
        <w:tab/>
        <w:t>Nations.</w:t>
      </w:r>
      <w:r>
        <w:rPr>
          <w:spacing w:val="69"/>
          <w:sz w:val="22"/>
        </w:rPr>
        <w:t> </w:t>
      </w:r>
      <w:r>
        <w:rPr>
          <w:i/>
          <w:sz w:val="22"/>
        </w:rPr>
        <w:t>Brookings Papers on Economic Activity.</w:t>
        <w:tab/>
        <w:t>2, </w:t>
      </w:r>
      <w:r>
        <w:rPr>
          <w:sz w:val="22"/>
        </w:rPr>
        <w:t>1985.</w:t>
      </w:r>
    </w:p>
    <w:p>
      <w:pPr>
        <w:spacing w:before="241"/>
        <w:ind w:left="1431" w:right="475" w:hanging="721"/>
        <w:jc w:val="left"/>
        <w:rPr>
          <w:sz w:val="22"/>
        </w:rPr>
      </w:pPr>
      <w:r>
        <w:rPr>
          <w:sz w:val="22"/>
        </w:rPr>
        <w:t>Durbin,</w:t>
      </w:r>
      <w:r>
        <w:rPr>
          <w:spacing w:val="-2"/>
          <w:sz w:val="22"/>
        </w:rPr>
        <w:t> </w:t>
      </w:r>
      <w:r>
        <w:rPr>
          <w:sz w:val="22"/>
        </w:rPr>
        <w:t>J., &amp; Watson, G. S. (1950).Testing for Serial Correlation in Least Squares Regression, I. </w:t>
      </w:r>
      <w:hyperlink r:id="rId20">
        <w:r>
          <w:rPr>
            <w:i/>
            <w:sz w:val="22"/>
          </w:rPr>
          <w:t>Biometrika</w:t>
        </w:r>
      </w:hyperlink>
      <w:r>
        <w:rPr>
          <w:i/>
          <w:sz w:val="22"/>
        </w:rPr>
        <w:t> </w:t>
      </w:r>
      <w:r>
        <w:rPr>
          <w:sz w:val="22"/>
        </w:rPr>
        <w:t>37, 409– </w:t>
      </w:r>
      <w:r>
        <w:rPr>
          <w:spacing w:val="-4"/>
          <w:sz w:val="22"/>
        </w:rPr>
        <w:t>428.</w:t>
      </w:r>
    </w:p>
    <w:p>
      <w:pPr>
        <w:spacing w:before="240"/>
        <w:ind w:left="1431" w:right="0" w:hanging="721"/>
        <w:jc w:val="left"/>
        <w:rPr>
          <w:sz w:val="22"/>
        </w:rPr>
      </w:pPr>
      <w:r>
        <w:rPr>
          <w:sz w:val="22"/>
        </w:rPr>
        <w:t>Durbin,</w:t>
      </w:r>
      <w:r>
        <w:rPr>
          <w:spacing w:val="24"/>
          <w:sz w:val="22"/>
        </w:rPr>
        <w:t> </w:t>
      </w:r>
      <w:r>
        <w:rPr>
          <w:sz w:val="22"/>
        </w:rPr>
        <w:t>J.,</w:t>
      </w:r>
      <w:r>
        <w:rPr>
          <w:spacing w:val="29"/>
          <w:sz w:val="22"/>
        </w:rPr>
        <w:t> </w:t>
      </w:r>
      <w:r>
        <w:rPr>
          <w:sz w:val="22"/>
        </w:rPr>
        <w:t>&amp;</w:t>
      </w:r>
      <w:r>
        <w:rPr>
          <w:spacing w:val="26"/>
          <w:sz w:val="22"/>
        </w:rPr>
        <w:t> </w:t>
      </w:r>
      <w:r>
        <w:rPr>
          <w:sz w:val="22"/>
        </w:rPr>
        <w:t>Watson,</w:t>
      </w:r>
      <w:r>
        <w:rPr>
          <w:spacing w:val="27"/>
          <w:sz w:val="22"/>
        </w:rPr>
        <w:t> </w:t>
      </w:r>
      <w:r>
        <w:rPr>
          <w:sz w:val="22"/>
        </w:rPr>
        <w:t>G.</w:t>
      </w:r>
      <w:r>
        <w:rPr>
          <w:spacing w:val="26"/>
          <w:sz w:val="22"/>
        </w:rPr>
        <w:t> </w:t>
      </w:r>
      <w:r>
        <w:rPr>
          <w:sz w:val="22"/>
        </w:rPr>
        <w:t>S.</w:t>
      </w:r>
      <w:r>
        <w:rPr>
          <w:spacing w:val="28"/>
          <w:sz w:val="22"/>
        </w:rPr>
        <w:t> </w:t>
      </w:r>
      <w:r>
        <w:rPr>
          <w:sz w:val="22"/>
        </w:rPr>
        <w:t>(1951).Testing</w:t>
      </w:r>
      <w:r>
        <w:rPr>
          <w:spacing w:val="26"/>
          <w:sz w:val="22"/>
        </w:rPr>
        <w:t> </w:t>
      </w:r>
      <w:r>
        <w:rPr>
          <w:sz w:val="22"/>
        </w:rPr>
        <w:t>for</w:t>
      </w:r>
      <w:r>
        <w:rPr>
          <w:spacing w:val="27"/>
          <w:sz w:val="22"/>
        </w:rPr>
        <w:t> </w:t>
      </w:r>
      <w:r>
        <w:rPr>
          <w:sz w:val="22"/>
        </w:rPr>
        <w:t>Serial</w:t>
      </w:r>
      <w:r>
        <w:rPr>
          <w:spacing w:val="30"/>
          <w:sz w:val="22"/>
        </w:rPr>
        <w:t> </w:t>
      </w:r>
      <w:r>
        <w:rPr>
          <w:sz w:val="22"/>
        </w:rPr>
        <w:t>Correlation</w:t>
      </w:r>
      <w:r>
        <w:rPr>
          <w:spacing w:val="26"/>
          <w:sz w:val="22"/>
        </w:rPr>
        <w:t> </w:t>
      </w:r>
      <w:r>
        <w:rPr>
          <w:sz w:val="22"/>
        </w:rPr>
        <w:t>in</w:t>
      </w:r>
      <w:r>
        <w:rPr>
          <w:spacing w:val="29"/>
          <w:sz w:val="22"/>
        </w:rPr>
        <w:t> </w:t>
      </w:r>
      <w:r>
        <w:rPr>
          <w:sz w:val="22"/>
        </w:rPr>
        <w:t>Least</w:t>
      </w:r>
      <w:r>
        <w:rPr>
          <w:spacing w:val="30"/>
          <w:sz w:val="22"/>
        </w:rPr>
        <w:t> </w:t>
      </w:r>
      <w:r>
        <w:rPr>
          <w:sz w:val="22"/>
        </w:rPr>
        <w:t>Squares</w:t>
      </w:r>
      <w:r>
        <w:rPr>
          <w:spacing w:val="27"/>
          <w:sz w:val="22"/>
        </w:rPr>
        <w:t> </w:t>
      </w:r>
      <w:r>
        <w:rPr>
          <w:sz w:val="22"/>
        </w:rPr>
        <w:t>Regression,</w:t>
      </w:r>
      <w:r>
        <w:rPr>
          <w:spacing w:val="26"/>
          <w:sz w:val="22"/>
        </w:rPr>
        <w:t> </w:t>
      </w:r>
      <w:r>
        <w:rPr>
          <w:sz w:val="22"/>
        </w:rPr>
        <w:t>II.</w:t>
      </w:r>
      <w:r>
        <w:rPr>
          <w:spacing w:val="38"/>
          <w:sz w:val="22"/>
        </w:rPr>
        <w:t> </w:t>
      </w:r>
      <w:r>
        <w:rPr>
          <w:i/>
          <w:sz w:val="22"/>
        </w:rPr>
        <w:t>Biometrika</w:t>
      </w:r>
      <w:r>
        <w:rPr>
          <w:i/>
          <w:spacing w:val="30"/>
          <w:sz w:val="22"/>
        </w:rPr>
        <w:t> </w:t>
      </w:r>
      <w:r>
        <w:rPr>
          <w:sz w:val="22"/>
        </w:rPr>
        <w:t>38, </w:t>
      </w:r>
      <w:r>
        <w:rPr>
          <w:spacing w:val="-2"/>
          <w:sz w:val="22"/>
        </w:rPr>
        <w:t>159–179.</w:t>
      </w:r>
    </w:p>
    <w:p>
      <w:pPr>
        <w:spacing w:line="465" w:lineRule="auto" w:before="241"/>
        <w:ind w:left="1431" w:right="3485" w:hanging="721"/>
        <w:jc w:val="left"/>
        <w:rPr>
          <w:sz w:val="22"/>
        </w:rPr>
      </w:pPr>
      <w:r>
        <w:rPr>
          <w:sz w:val="22"/>
        </w:rPr>
        <w:t>Eaton,</w:t>
      </w:r>
      <w:r>
        <w:rPr>
          <w:spacing w:val="-5"/>
          <w:sz w:val="22"/>
        </w:rPr>
        <w:t> </w:t>
      </w:r>
      <w:r>
        <w:rPr>
          <w:sz w:val="22"/>
        </w:rPr>
        <w:t>Jonathon,</w:t>
      </w:r>
      <w:r>
        <w:rPr>
          <w:spacing w:val="-4"/>
          <w:sz w:val="22"/>
        </w:rPr>
        <w:t> </w:t>
      </w:r>
      <w:r>
        <w:rPr>
          <w:sz w:val="22"/>
        </w:rPr>
        <w:t>(1987).</w:t>
      </w:r>
      <w:r>
        <w:rPr>
          <w:spacing w:val="-2"/>
          <w:sz w:val="22"/>
        </w:rPr>
        <w:t> </w:t>
      </w:r>
      <w:r>
        <w:rPr>
          <w:sz w:val="22"/>
        </w:rPr>
        <w:t>Public</w:t>
      </w:r>
      <w:r>
        <w:rPr>
          <w:spacing w:val="-2"/>
          <w:sz w:val="22"/>
        </w:rPr>
        <w:t> </w:t>
      </w:r>
      <w:r>
        <w:rPr>
          <w:sz w:val="22"/>
        </w:rPr>
        <w:t>Debt</w:t>
      </w:r>
      <w:r>
        <w:rPr>
          <w:spacing w:val="-2"/>
          <w:sz w:val="22"/>
        </w:rPr>
        <w:t> </w:t>
      </w:r>
      <w:r>
        <w:rPr>
          <w:sz w:val="22"/>
        </w:rPr>
        <w:t>Guarantees</w:t>
      </w:r>
      <w:r>
        <w:rPr>
          <w:spacing w:val="-4"/>
          <w:sz w:val="22"/>
        </w:rPr>
        <w:t> </w:t>
      </w:r>
      <w:r>
        <w:rPr>
          <w:sz w:val="22"/>
        </w:rPr>
        <w:t>and</w:t>
      </w:r>
      <w:r>
        <w:rPr>
          <w:spacing w:val="-4"/>
          <w:sz w:val="22"/>
        </w:rPr>
        <w:t> </w:t>
      </w:r>
      <w:r>
        <w:rPr>
          <w:sz w:val="22"/>
        </w:rPr>
        <w:t>Private</w:t>
      </w:r>
      <w:r>
        <w:rPr>
          <w:spacing w:val="-2"/>
          <w:sz w:val="22"/>
        </w:rPr>
        <w:t> </w:t>
      </w:r>
      <w:r>
        <w:rPr>
          <w:sz w:val="22"/>
        </w:rPr>
        <w:t>Capital</w:t>
      </w:r>
      <w:r>
        <w:rPr>
          <w:spacing w:val="-2"/>
          <w:sz w:val="22"/>
        </w:rPr>
        <w:t> </w:t>
      </w:r>
      <w:r>
        <w:rPr>
          <w:sz w:val="22"/>
        </w:rPr>
        <w:t>Flight.</w:t>
      </w:r>
      <w:r>
        <w:rPr>
          <w:spacing w:val="40"/>
          <w:sz w:val="22"/>
        </w:rPr>
        <w:t> </w:t>
      </w:r>
      <w:r>
        <w:rPr>
          <w:i/>
          <w:sz w:val="22"/>
        </w:rPr>
        <w:t>The World Bank Economic Review, Vol. 1</w:t>
      </w:r>
      <w:r>
        <w:rPr>
          <w:sz w:val="22"/>
        </w:rPr>
        <w:t>, No. 3, 377–95.</w:t>
      </w:r>
    </w:p>
    <w:p>
      <w:pPr>
        <w:tabs>
          <w:tab w:pos="8633" w:val="left" w:leader="none"/>
        </w:tabs>
        <w:spacing w:before="4"/>
        <w:ind w:left="711" w:right="0" w:firstLine="0"/>
        <w:jc w:val="left"/>
        <w:rPr>
          <w:sz w:val="22"/>
        </w:rPr>
      </w:pPr>
      <w:r>
        <w:rPr>
          <w:sz w:val="22"/>
        </w:rPr>
        <w:t>Erbe,</w:t>
      </w:r>
      <w:r>
        <w:rPr>
          <w:spacing w:val="-5"/>
          <w:sz w:val="22"/>
        </w:rPr>
        <w:t> </w:t>
      </w:r>
      <w:r>
        <w:rPr>
          <w:sz w:val="22"/>
        </w:rPr>
        <w:t>S.</w:t>
      </w:r>
      <w:r>
        <w:rPr>
          <w:spacing w:val="-4"/>
          <w:sz w:val="22"/>
        </w:rPr>
        <w:t> </w:t>
      </w:r>
      <w:r>
        <w:rPr>
          <w:sz w:val="22"/>
        </w:rPr>
        <w:t>(1985).</w:t>
      </w:r>
      <w:r>
        <w:rPr>
          <w:spacing w:val="-5"/>
          <w:sz w:val="22"/>
        </w:rPr>
        <w:t> </w:t>
      </w:r>
      <w:r>
        <w:rPr>
          <w:sz w:val="22"/>
        </w:rPr>
        <w:t>The</w:t>
      </w:r>
      <w:r>
        <w:rPr>
          <w:spacing w:val="-3"/>
          <w:sz w:val="22"/>
        </w:rPr>
        <w:t> </w:t>
      </w:r>
      <w:r>
        <w:rPr>
          <w:sz w:val="22"/>
        </w:rPr>
        <w:t>Flight</w:t>
      </w:r>
      <w:r>
        <w:rPr>
          <w:spacing w:val="-4"/>
          <w:sz w:val="22"/>
        </w:rPr>
        <w:t> </w:t>
      </w:r>
      <w:r>
        <w:rPr>
          <w:sz w:val="22"/>
        </w:rPr>
        <w:t>of</w:t>
      </w:r>
      <w:r>
        <w:rPr>
          <w:spacing w:val="-2"/>
          <w:sz w:val="22"/>
        </w:rPr>
        <w:t> </w:t>
      </w:r>
      <w:r>
        <w:rPr>
          <w:sz w:val="22"/>
        </w:rPr>
        <w:t>Capital</w:t>
      </w:r>
      <w:r>
        <w:rPr>
          <w:spacing w:val="-1"/>
          <w:sz w:val="22"/>
        </w:rPr>
        <w:t> </w:t>
      </w:r>
      <w:r>
        <w:rPr>
          <w:sz w:val="22"/>
        </w:rPr>
        <w:t>from</w:t>
      </w:r>
      <w:r>
        <w:rPr>
          <w:spacing w:val="-7"/>
          <w:sz w:val="22"/>
        </w:rPr>
        <w:t> </w:t>
      </w:r>
      <w:r>
        <w:rPr>
          <w:sz w:val="22"/>
        </w:rPr>
        <w:t>Developing</w:t>
      </w:r>
      <w:r>
        <w:rPr>
          <w:spacing w:val="-5"/>
          <w:sz w:val="22"/>
        </w:rPr>
        <w:t> </w:t>
      </w:r>
      <w:r>
        <w:rPr>
          <w:sz w:val="22"/>
        </w:rPr>
        <w:t>Countries.</w:t>
      </w:r>
      <w:r>
        <w:rPr>
          <w:spacing w:val="53"/>
          <w:sz w:val="22"/>
        </w:rPr>
        <w:t> </w:t>
      </w:r>
      <w:r>
        <w:rPr>
          <w:i/>
          <w:spacing w:val="-2"/>
          <w:sz w:val="22"/>
        </w:rPr>
        <w:t>Intereconomics</w:t>
      </w:r>
      <w:r>
        <w:rPr>
          <w:i/>
          <w:sz w:val="22"/>
        </w:rPr>
        <w:tab/>
      </w:r>
      <w:r>
        <w:rPr>
          <w:spacing w:val="-2"/>
          <w:sz w:val="22"/>
        </w:rPr>
        <w:t>(November/December).</w:t>
      </w:r>
    </w:p>
    <w:p>
      <w:pPr>
        <w:spacing w:line="253" w:lineRule="exact" w:before="239"/>
        <w:ind w:left="711" w:right="0" w:firstLine="0"/>
        <w:jc w:val="left"/>
        <w:rPr>
          <w:sz w:val="22"/>
        </w:rPr>
      </w:pPr>
      <w:r>
        <w:rPr>
          <w:sz w:val="22"/>
        </w:rPr>
        <w:t>Engle,</w:t>
      </w:r>
      <w:r>
        <w:rPr>
          <w:spacing w:val="2"/>
          <w:sz w:val="22"/>
        </w:rPr>
        <w:t> </w:t>
      </w:r>
      <w:r>
        <w:rPr>
          <w:sz w:val="22"/>
        </w:rPr>
        <w:t>R.</w:t>
      </w:r>
      <w:r>
        <w:rPr>
          <w:spacing w:val="3"/>
          <w:sz w:val="22"/>
        </w:rPr>
        <w:t> </w:t>
      </w:r>
      <w:r>
        <w:rPr>
          <w:sz w:val="22"/>
        </w:rPr>
        <w:t>F</w:t>
      </w:r>
      <w:r>
        <w:rPr>
          <w:spacing w:val="3"/>
          <w:sz w:val="22"/>
        </w:rPr>
        <w:t> </w:t>
      </w:r>
      <w:r>
        <w:rPr>
          <w:sz w:val="22"/>
        </w:rPr>
        <w:t>&amp;</w:t>
      </w:r>
      <w:r>
        <w:rPr>
          <w:spacing w:val="3"/>
          <w:sz w:val="22"/>
        </w:rPr>
        <w:t> </w:t>
      </w:r>
      <w:r>
        <w:rPr>
          <w:sz w:val="22"/>
        </w:rPr>
        <w:t>Granger,</w:t>
      </w:r>
      <w:r>
        <w:rPr>
          <w:spacing w:val="3"/>
          <w:sz w:val="22"/>
        </w:rPr>
        <w:t> </w:t>
      </w:r>
      <w:r>
        <w:rPr>
          <w:sz w:val="22"/>
        </w:rPr>
        <w:t>C.W.J.</w:t>
      </w:r>
      <w:r>
        <w:rPr>
          <w:spacing w:val="2"/>
          <w:sz w:val="22"/>
        </w:rPr>
        <w:t> </w:t>
      </w:r>
      <w:r>
        <w:rPr>
          <w:sz w:val="22"/>
        </w:rPr>
        <w:t>(1987).</w:t>
      </w:r>
      <w:r>
        <w:rPr>
          <w:spacing w:val="3"/>
          <w:sz w:val="22"/>
        </w:rPr>
        <w:t> </w:t>
      </w:r>
      <w:r>
        <w:rPr>
          <w:sz w:val="22"/>
        </w:rPr>
        <w:t>Co-integration</w:t>
      </w:r>
      <w:r>
        <w:rPr>
          <w:spacing w:val="1"/>
          <w:sz w:val="22"/>
        </w:rPr>
        <w:t> </w:t>
      </w:r>
      <w:r>
        <w:rPr>
          <w:sz w:val="22"/>
        </w:rPr>
        <w:t>and</w:t>
      </w:r>
      <w:r>
        <w:rPr>
          <w:spacing w:val="3"/>
          <w:sz w:val="22"/>
        </w:rPr>
        <w:t> </w:t>
      </w:r>
      <w:r>
        <w:rPr>
          <w:sz w:val="22"/>
        </w:rPr>
        <w:t>Error</w:t>
      </w:r>
      <w:r>
        <w:rPr>
          <w:spacing w:val="3"/>
          <w:sz w:val="22"/>
        </w:rPr>
        <w:t> </w:t>
      </w:r>
      <w:r>
        <w:rPr>
          <w:sz w:val="22"/>
        </w:rPr>
        <w:t>Correction:</w:t>
      </w:r>
      <w:r>
        <w:rPr>
          <w:spacing w:val="4"/>
          <w:sz w:val="22"/>
        </w:rPr>
        <w:t> </w:t>
      </w:r>
      <w:r>
        <w:rPr>
          <w:sz w:val="22"/>
        </w:rPr>
        <w:t>Representation,</w:t>
      </w:r>
      <w:r>
        <w:rPr>
          <w:spacing w:val="3"/>
          <w:sz w:val="22"/>
        </w:rPr>
        <w:t> </w:t>
      </w:r>
      <w:r>
        <w:rPr>
          <w:sz w:val="22"/>
        </w:rPr>
        <w:t>Estimation,</w:t>
      </w:r>
      <w:r>
        <w:rPr>
          <w:spacing w:val="3"/>
          <w:sz w:val="22"/>
        </w:rPr>
        <w:t> </w:t>
      </w:r>
      <w:r>
        <w:rPr>
          <w:sz w:val="22"/>
        </w:rPr>
        <w:t>and</w:t>
      </w:r>
      <w:r>
        <w:rPr>
          <w:spacing w:val="3"/>
          <w:sz w:val="22"/>
        </w:rPr>
        <w:t> </w:t>
      </w:r>
      <w:r>
        <w:rPr>
          <w:spacing w:val="-2"/>
          <w:sz w:val="22"/>
        </w:rPr>
        <w:t>Testing.</w:t>
      </w:r>
    </w:p>
    <w:p>
      <w:pPr>
        <w:spacing w:line="253" w:lineRule="exact" w:before="0"/>
        <w:ind w:left="1522" w:right="0" w:firstLine="0"/>
        <w:jc w:val="left"/>
        <w:rPr>
          <w:sz w:val="22"/>
        </w:rPr>
      </w:pPr>
      <w:r>
        <w:rPr>
          <w:i/>
          <w:sz w:val="22"/>
        </w:rPr>
        <w:t>Econometrica</w:t>
      </w:r>
      <w:r>
        <w:rPr>
          <w:sz w:val="22"/>
        </w:rPr>
        <w:t>,</w:t>
      </w:r>
      <w:r>
        <w:rPr>
          <w:spacing w:val="-7"/>
          <w:sz w:val="22"/>
        </w:rPr>
        <w:t> </w:t>
      </w:r>
      <w:r>
        <w:rPr>
          <w:i/>
          <w:sz w:val="22"/>
        </w:rPr>
        <w:t>55,</w:t>
      </w:r>
      <w:r>
        <w:rPr>
          <w:i/>
          <w:spacing w:val="-7"/>
          <w:sz w:val="22"/>
        </w:rPr>
        <w:t> </w:t>
      </w:r>
      <w:r>
        <w:rPr>
          <w:sz w:val="22"/>
        </w:rPr>
        <w:t>251-</w:t>
      </w:r>
      <w:r>
        <w:rPr>
          <w:spacing w:val="-5"/>
          <w:sz w:val="22"/>
        </w:rPr>
        <w:t>276</w:t>
      </w:r>
    </w:p>
    <w:p>
      <w:pPr>
        <w:spacing w:before="242"/>
        <w:ind w:left="1522" w:right="585" w:hanging="812"/>
        <w:jc w:val="left"/>
        <w:rPr>
          <w:i/>
          <w:sz w:val="22"/>
        </w:rPr>
      </w:pPr>
      <w:r>
        <w:rPr>
          <w:sz w:val="22"/>
        </w:rPr>
        <w:t>Federal</w:t>
      </w:r>
      <w:r>
        <w:rPr>
          <w:spacing w:val="40"/>
          <w:sz w:val="22"/>
        </w:rPr>
        <w:t> </w:t>
      </w:r>
      <w:r>
        <w:rPr>
          <w:sz w:val="22"/>
        </w:rPr>
        <w:t>Republic</w:t>
      </w:r>
      <w:r>
        <w:rPr>
          <w:spacing w:val="40"/>
          <w:sz w:val="22"/>
        </w:rPr>
        <w:t> </w:t>
      </w:r>
      <w:r>
        <w:rPr>
          <w:sz w:val="22"/>
        </w:rPr>
        <w:t>of</w:t>
      </w:r>
      <w:r>
        <w:rPr>
          <w:spacing w:val="40"/>
          <w:sz w:val="22"/>
        </w:rPr>
        <w:t> </w:t>
      </w:r>
      <w:r>
        <w:rPr>
          <w:sz w:val="22"/>
        </w:rPr>
        <w:t>Nigeria,</w:t>
      </w:r>
      <w:r>
        <w:rPr>
          <w:spacing w:val="40"/>
          <w:sz w:val="22"/>
        </w:rPr>
        <w:t> </w:t>
      </w:r>
      <w:r>
        <w:rPr>
          <w:sz w:val="22"/>
        </w:rPr>
        <w:t>(1996).</w:t>
      </w:r>
      <w:r>
        <w:rPr>
          <w:spacing w:val="40"/>
          <w:sz w:val="22"/>
        </w:rPr>
        <w:t> </w:t>
      </w:r>
      <w:r>
        <w:rPr>
          <w:sz w:val="22"/>
        </w:rPr>
        <w:t>Structural</w:t>
      </w:r>
      <w:r>
        <w:rPr>
          <w:spacing w:val="40"/>
          <w:sz w:val="22"/>
        </w:rPr>
        <w:t> </w:t>
      </w:r>
      <w:r>
        <w:rPr>
          <w:sz w:val="22"/>
        </w:rPr>
        <w:t>Adjustment</w:t>
      </w:r>
      <w:r>
        <w:rPr>
          <w:spacing w:val="40"/>
          <w:sz w:val="22"/>
        </w:rPr>
        <w:t> </w:t>
      </w:r>
      <w:r>
        <w:rPr>
          <w:sz w:val="22"/>
        </w:rPr>
        <w:t>programme.</w:t>
      </w:r>
      <w:r>
        <w:rPr>
          <w:spacing w:val="40"/>
          <w:sz w:val="22"/>
        </w:rPr>
        <w:t> </w:t>
      </w:r>
      <w:r>
        <w:rPr>
          <w:i/>
          <w:sz w:val="22"/>
        </w:rPr>
        <w:t>Privatization</w:t>
      </w:r>
      <w:r>
        <w:rPr>
          <w:i/>
          <w:spacing w:val="40"/>
          <w:sz w:val="22"/>
        </w:rPr>
        <w:t> </w:t>
      </w:r>
      <w:r>
        <w:rPr>
          <w:i/>
          <w:sz w:val="22"/>
        </w:rPr>
        <w:t>of</w:t>
      </w:r>
      <w:r>
        <w:rPr>
          <w:i/>
          <w:spacing w:val="40"/>
          <w:sz w:val="22"/>
        </w:rPr>
        <w:t> </w:t>
      </w:r>
      <w:r>
        <w:rPr>
          <w:i/>
          <w:sz w:val="22"/>
        </w:rPr>
        <w:t>Public</w:t>
      </w:r>
      <w:r>
        <w:rPr>
          <w:i/>
          <w:spacing w:val="40"/>
          <w:sz w:val="22"/>
        </w:rPr>
        <w:t> </w:t>
      </w:r>
      <w:r>
        <w:rPr>
          <w:i/>
          <w:sz w:val="22"/>
        </w:rPr>
        <w:t>Enterprises</w:t>
      </w:r>
      <w:r>
        <w:rPr>
          <w:i/>
          <w:spacing w:val="40"/>
          <w:sz w:val="22"/>
        </w:rPr>
        <w:t> </w:t>
      </w:r>
      <w:r>
        <w:rPr>
          <w:i/>
          <w:sz w:val="22"/>
        </w:rPr>
        <w:t>in</w:t>
      </w:r>
      <w:r>
        <w:rPr>
          <w:i/>
          <w:spacing w:val="40"/>
          <w:sz w:val="22"/>
        </w:rPr>
        <w:t> </w:t>
      </w:r>
      <w:r>
        <w:rPr>
          <w:i/>
          <w:spacing w:val="-2"/>
          <w:sz w:val="22"/>
        </w:rPr>
        <w:t>Nigeria.</w:t>
      </w:r>
    </w:p>
    <w:p>
      <w:pPr>
        <w:spacing w:before="240"/>
        <w:ind w:left="711" w:right="0" w:firstLine="0"/>
        <w:jc w:val="left"/>
        <w:rPr>
          <w:sz w:val="22"/>
        </w:rPr>
      </w:pPr>
      <w:r>
        <w:rPr>
          <w:sz w:val="22"/>
        </w:rPr>
        <w:t>FMI</w:t>
      </w:r>
      <w:r>
        <w:rPr>
          <w:spacing w:val="-7"/>
          <w:sz w:val="22"/>
        </w:rPr>
        <w:t> </w:t>
      </w:r>
      <w:r>
        <w:rPr>
          <w:sz w:val="22"/>
        </w:rPr>
        <w:t>(2007).</w:t>
      </w:r>
      <w:r>
        <w:rPr>
          <w:spacing w:val="-3"/>
          <w:sz w:val="22"/>
        </w:rPr>
        <w:t> </w:t>
      </w:r>
      <w:r>
        <w:rPr>
          <w:sz w:val="22"/>
        </w:rPr>
        <w:t>Direction</w:t>
      </w:r>
      <w:r>
        <w:rPr>
          <w:spacing w:val="-3"/>
          <w:sz w:val="22"/>
        </w:rPr>
        <w:t> </w:t>
      </w:r>
      <w:r>
        <w:rPr>
          <w:sz w:val="22"/>
        </w:rPr>
        <w:t>of</w:t>
      </w:r>
      <w:r>
        <w:rPr>
          <w:spacing w:val="-5"/>
          <w:sz w:val="22"/>
        </w:rPr>
        <w:t> </w:t>
      </w:r>
      <w:r>
        <w:rPr>
          <w:sz w:val="22"/>
        </w:rPr>
        <w:t>Trade</w:t>
      </w:r>
      <w:r>
        <w:rPr>
          <w:spacing w:val="-3"/>
          <w:sz w:val="22"/>
        </w:rPr>
        <w:t> </w:t>
      </w:r>
      <w:r>
        <w:rPr>
          <w:sz w:val="22"/>
        </w:rPr>
        <w:t>Statistics</w:t>
      </w:r>
      <w:r>
        <w:rPr>
          <w:spacing w:val="-5"/>
          <w:sz w:val="22"/>
        </w:rPr>
        <w:t> </w:t>
      </w:r>
      <w:r>
        <w:rPr>
          <w:sz w:val="22"/>
        </w:rPr>
        <w:t>2007.</w:t>
      </w:r>
      <w:r>
        <w:rPr>
          <w:spacing w:val="47"/>
          <w:sz w:val="22"/>
        </w:rPr>
        <w:t> </w:t>
      </w:r>
      <w:r>
        <w:rPr>
          <w:i/>
          <w:sz w:val="22"/>
        </w:rPr>
        <w:t>International</w:t>
      </w:r>
      <w:r>
        <w:rPr>
          <w:i/>
          <w:spacing w:val="-5"/>
          <w:sz w:val="22"/>
        </w:rPr>
        <w:t> </w:t>
      </w:r>
      <w:r>
        <w:rPr>
          <w:i/>
          <w:sz w:val="22"/>
        </w:rPr>
        <w:t>Monetary</w:t>
      </w:r>
      <w:r>
        <w:rPr>
          <w:i/>
          <w:spacing w:val="-2"/>
          <w:sz w:val="22"/>
        </w:rPr>
        <w:t> Fund</w:t>
      </w:r>
      <w:r>
        <w:rPr>
          <w:spacing w:val="-2"/>
          <w:sz w:val="22"/>
        </w:rPr>
        <w:t>.</w:t>
      </w:r>
    </w:p>
    <w:p>
      <w:pPr>
        <w:spacing w:before="239"/>
        <w:ind w:left="711" w:right="0" w:firstLine="0"/>
        <w:jc w:val="left"/>
        <w:rPr>
          <w:sz w:val="22"/>
        </w:rPr>
      </w:pPr>
      <w:r>
        <w:rPr>
          <w:sz w:val="22"/>
        </w:rPr>
        <w:t>Fry,</w:t>
      </w:r>
      <w:r>
        <w:rPr>
          <w:spacing w:val="-6"/>
          <w:sz w:val="22"/>
        </w:rPr>
        <w:t> </w:t>
      </w:r>
      <w:r>
        <w:rPr>
          <w:sz w:val="22"/>
        </w:rPr>
        <w:t>M.,</w:t>
      </w:r>
      <w:r>
        <w:rPr>
          <w:spacing w:val="-6"/>
          <w:sz w:val="22"/>
        </w:rPr>
        <w:t> </w:t>
      </w:r>
      <w:r>
        <w:rPr>
          <w:sz w:val="22"/>
        </w:rPr>
        <w:t>J.</w:t>
      </w:r>
      <w:r>
        <w:rPr>
          <w:spacing w:val="-5"/>
          <w:sz w:val="22"/>
        </w:rPr>
        <w:t> </w:t>
      </w:r>
      <w:r>
        <w:rPr>
          <w:sz w:val="22"/>
        </w:rPr>
        <w:t>(1993).</w:t>
      </w:r>
      <w:r>
        <w:rPr>
          <w:spacing w:val="-3"/>
          <w:sz w:val="22"/>
        </w:rPr>
        <w:t> </w:t>
      </w:r>
      <w:r>
        <w:rPr>
          <w:sz w:val="22"/>
        </w:rPr>
        <w:t>Foreign</w:t>
      </w:r>
      <w:r>
        <w:rPr>
          <w:spacing w:val="-6"/>
          <w:sz w:val="22"/>
        </w:rPr>
        <w:t> </w:t>
      </w:r>
      <w:r>
        <w:rPr>
          <w:sz w:val="22"/>
        </w:rPr>
        <w:t>Debt</w:t>
      </w:r>
      <w:r>
        <w:rPr>
          <w:spacing w:val="-2"/>
          <w:sz w:val="22"/>
        </w:rPr>
        <w:t> </w:t>
      </w:r>
      <w:r>
        <w:rPr>
          <w:sz w:val="22"/>
        </w:rPr>
        <w:t>Accumulation:</w:t>
      </w:r>
      <w:r>
        <w:rPr>
          <w:spacing w:val="-2"/>
          <w:sz w:val="22"/>
        </w:rPr>
        <w:t> </w:t>
      </w:r>
      <w:r>
        <w:rPr>
          <w:sz w:val="22"/>
        </w:rPr>
        <w:t>Financial</w:t>
      </w:r>
      <w:r>
        <w:rPr>
          <w:spacing w:val="-5"/>
          <w:sz w:val="22"/>
        </w:rPr>
        <w:t> </w:t>
      </w:r>
      <w:r>
        <w:rPr>
          <w:sz w:val="22"/>
        </w:rPr>
        <w:t>and</w:t>
      </w:r>
      <w:r>
        <w:rPr>
          <w:spacing w:val="-3"/>
          <w:sz w:val="22"/>
        </w:rPr>
        <w:t> </w:t>
      </w:r>
      <w:r>
        <w:rPr>
          <w:sz w:val="22"/>
        </w:rPr>
        <w:t>Fiscal</w:t>
      </w:r>
      <w:r>
        <w:rPr>
          <w:spacing w:val="-2"/>
          <w:sz w:val="22"/>
        </w:rPr>
        <w:t> Effects</w:t>
      </w:r>
    </w:p>
    <w:p>
      <w:pPr>
        <w:spacing w:before="239"/>
        <w:ind w:left="1431" w:right="585" w:firstLine="0"/>
        <w:jc w:val="left"/>
        <w:rPr>
          <w:sz w:val="22"/>
        </w:rPr>
      </w:pPr>
      <w:r>
        <w:rPr>
          <w:sz w:val="22"/>
        </w:rPr>
        <w:t>and Monetary Policy Reactions of Developing Countries. </w:t>
      </w:r>
      <w:r>
        <w:rPr>
          <w:i/>
          <w:sz w:val="22"/>
        </w:rPr>
        <w:t>Journal of</w:t>
      </w:r>
      <w:r>
        <w:rPr>
          <w:i/>
          <w:spacing w:val="40"/>
          <w:sz w:val="22"/>
        </w:rPr>
        <w:t> </w:t>
      </w:r>
      <w:r>
        <w:rPr>
          <w:i/>
          <w:sz w:val="22"/>
        </w:rPr>
        <w:t>International Money and Finance</w:t>
      </w:r>
      <w:r>
        <w:rPr>
          <w:sz w:val="22"/>
        </w:rPr>
        <w:t>, </w:t>
      </w:r>
      <w:r>
        <w:rPr>
          <w:i/>
          <w:sz w:val="22"/>
        </w:rPr>
        <w:t>Vol</w:t>
      </w:r>
      <w:r>
        <w:rPr>
          <w:sz w:val="22"/>
        </w:rPr>
        <w:t>. 12, No. 4, 347–67.</w:t>
      </w:r>
    </w:p>
    <w:p>
      <w:pPr>
        <w:tabs>
          <w:tab w:pos="8102" w:val="left" w:leader="none"/>
        </w:tabs>
        <w:spacing w:before="241"/>
        <w:ind w:left="1522" w:right="475" w:hanging="812"/>
        <w:jc w:val="left"/>
        <w:rPr>
          <w:sz w:val="22"/>
        </w:rPr>
      </w:pPr>
      <w:r>
        <w:rPr>
          <w:sz w:val="22"/>
        </w:rPr>
        <w:t>Frait,</w:t>
      </w:r>
      <w:r>
        <w:rPr>
          <w:spacing w:val="40"/>
          <w:sz w:val="22"/>
        </w:rPr>
        <w:t> </w:t>
      </w:r>
      <w:r>
        <w:rPr>
          <w:sz w:val="22"/>
        </w:rPr>
        <w:t>J.,Komarek,</w:t>
      </w:r>
      <w:r>
        <w:rPr>
          <w:spacing w:val="40"/>
          <w:sz w:val="22"/>
        </w:rPr>
        <w:t> </w:t>
      </w:r>
      <w:r>
        <w:rPr>
          <w:sz w:val="22"/>
        </w:rPr>
        <w:t>L.and</w:t>
      </w:r>
      <w:r>
        <w:rPr>
          <w:spacing w:val="40"/>
          <w:sz w:val="22"/>
        </w:rPr>
        <w:t> </w:t>
      </w:r>
      <w:r>
        <w:rPr>
          <w:sz w:val="22"/>
        </w:rPr>
        <w:t>Melecky,</w:t>
      </w:r>
      <w:r>
        <w:rPr>
          <w:spacing w:val="40"/>
          <w:sz w:val="22"/>
        </w:rPr>
        <w:t> </w:t>
      </w:r>
      <w:r>
        <w:rPr>
          <w:sz w:val="22"/>
        </w:rPr>
        <w:t>M.M.(2006).</w:t>
      </w:r>
      <w:r>
        <w:rPr>
          <w:spacing w:val="40"/>
          <w:sz w:val="22"/>
        </w:rPr>
        <w:t> </w:t>
      </w:r>
      <w:r>
        <w:rPr>
          <w:sz w:val="22"/>
        </w:rPr>
        <w:t>“The</w:t>
      </w:r>
      <w:r>
        <w:rPr>
          <w:spacing w:val="40"/>
          <w:sz w:val="22"/>
        </w:rPr>
        <w:t> </w:t>
      </w:r>
      <w:r>
        <w:rPr>
          <w:sz w:val="22"/>
        </w:rPr>
        <w:t>Real</w:t>
      </w:r>
      <w:r>
        <w:rPr>
          <w:spacing w:val="40"/>
          <w:sz w:val="22"/>
        </w:rPr>
        <w:t> </w:t>
      </w:r>
      <w:r>
        <w:rPr>
          <w:sz w:val="22"/>
        </w:rPr>
        <w:t>Exchange</w:t>
      </w:r>
      <w:r>
        <w:rPr>
          <w:spacing w:val="40"/>
          <w:sz w:val="22"/>
        </w:rPr>
        <w:t> </w:t>
      </w:r>
      <w:r>
        <w:rPr>
          <w:sz w:val="22"/>
        </w:rPr>
        <w:t>Rate</w:t>
        <w:tab/>
        <w:t>Misaligment</w:t>
      </w:r>
      <w:r>
        <w:rPr>
          <w:spacing w:val="40"/>
          <w:sz w:val="22"/>
        </w:rPr>
        <w:t> </w:t>
      </w:r>
      <w:r>
        <w:rPr>
          <w:sz w:val="22"/>
        </w:rPr>
        <w:t>in</w:t>
      </w:r>
      <w:r>
        <w:rPr>
          <w:spacing w:val="40"/>
          <w:sz w:val="22"/>
        </w:rPr>
        <w:t> </w:t>
      </w:r>
      <w:r>
        <w:rPr>
          <w:sz w:val="22"/>
        </w:rPr>
        <w:t>the</w:t>
      </w:r>
      <w:r>
        <w:rPr>
          <w:spacing w:val="40"/>
          <w:sz w:val="22"/>
        </w:rPr>
        <w:t> </w:t>
      </w:r>
      <w:r>
        <w:rPr>
          <w:sz w:val="22"/>
        </w:rPr>
        <w:t>Five</w:t>
      </w:r>
      <w:r>
        <w:rPr>
          <w:spacing w:val="40"/>
          <w:sz w:val="22"/>
        </w:rPr>
        <w:t> </w:t>
      </w:r>
      <w:r>
        <w:rPr>
          <w:sz w:val="22"/>
        </w:rPr>
        <w:t>Central European Countries.” </w:t>
      </w:r>
      <w:r>
        <w:rPr>
          <w:i/>
          <w:sz w:val="22"/>
        </w:rPr>
        <w:t>Warwick Economic Research Paper </w:t>
      </w:r>
      <w:r>
        <w:rPr>
          <w:sz w:val="22"/>
        </w:rPr>
        <w:t>No. 739, University Of Warwick</w:t>
      </w:r>
    </w:p>
    <w:p>
      <w:pPr>
        <w:tabs>
          <w:tab w:pos="9353" w:val="left" w:leader="none"/>
          <w:tab w:pos="10585" w:val="left" w:leader="none"/>
        </w:tabs>
        <w:spacing w:line="252" w:lineRule="exact" w:before="241"/>
        <w:ind w:left="711" w:right="0" w:firstLine="0"/>
        <w:jc w:val="left"/>
        <w:rPr>
          <w:sz w:val="22"/>
        </w:rPr>
      </w:pPr>
      <w:r>
        <w:rPr>
          <w:sz w:val="22"/>
        </w:rPr>
        <w:t>Gajdeezka</w:t>
      </w:r>
      <w:r>
        <w:rPr>
          <w:spacing w:val="-5"/>
          <w:sz w:val="22"/>
        </w:rPr>
        <w:t> </w:t>
      </w:r>
      <w:r>
        <w:rPr>
          <w:sz w:val="22"/>
        </w:rPr>
        <w:t>and</w:t>
      </w:r>
      <w:r>
        <w:rPr>
          <w:spacing w:val="-5"/>
          <w:sz w:val="22"/>
        </w:rPr>
        <w:t> </w:t>
      </w:r>
      <w:r>
        <w:rPr>
          <w:sz w:val="22"/>
        </w:rPr>
        <w:t>Oks</w:t>
      </w:r>
      <w:r>
        <w:rPr>
          <w:spacing w:val="-4"/>
          <w:sz w:val="22"/>
        </w:rPr>
        <w:t> </w:t>
      </w:r>
      <w:r>
        <w:rPr>
          <w:sz w:val="22"/>
        </w:rPr>
        <w:t>2009.</w:t>
      </w:r>
      <w:r>
        <w:rPr>
          <w:spacing w:val="-6"/>
          <w:sz w:val="22"/>
        </w:rPr>
        <w:t> </w:t>
      </w:r>
      <w:r>
        <w:rPr>
          <w:sz w:val="22"/>
        </w:rPr>
        <w:t>Vector</w:t>
      </w:r>
      <w:r>
        <w:rPr>
          <w:spacing w:val="-5"/>
          <w:sz w:val="22"/>
        </w:rPr>
        <w:t> </w:t>
      </w:r>
      <w:r>
        <w:rPr>
          <w:sz w:val="22"/>
        </w:rPr>
        <w:t>Autoregression</w:t>
      </w:r>
      <w:r>
        <w:rPr>
          <w:spacing w:val="-4"/>
          <w:sz w:val="22"/>
        </w:rPr>
        <w:t> </w:t>
      </w:r>
      <w:r>
        <w:rPr>
          <w:sz w:val="22"/>
        </w:rPr>
        <w:t>and</w:t>
      </w:r>
      <w:r>
        <w:rPr>
          <w:spacing w:val="-7"/>
          <w:sz w:val="22"/>
        </w:rPr>
        <w:t> </w:t>
      </w:r>
      <w:r>
        <w:rPr>
          <w:sz w:val="22"/>
        </w:rPr>
        <w:t>Causality:</w:t>
      </w:r>
      <w:r>
        <w:rPr>
          <w:spacing w:val="-3"/>
          <w:sz w:val="22"/>
        </w:rPr>
        <w:t> </w:t>
      </w:r>
      <w:r>
        <w:rPr>
          <w:sz w:val="22"/>
        </w:rPr>
        <w:t>A</w:t>
      </w:r>
      <w:r>
        <w:rPr>
          <w:spacing w:val="-6"/>
          <w:sz w:val="22"/>
        </w:rPr>
        <w:t> </w:t>
      </w:r>
      <w:r>
        <w:rPr>
          <w:sz w:val="22"/>
        </w:rPr>
        <w:t>Theoretical</w:t>
      </w:r>
      <w:r>
        <w:rPr>
          <w:spacing w:val="-4"/>
          <w:sz w:val="22"/>
        </w:rPr>
        <w:t> </w:t>
      </w:r>
      <w:r>
        <w:rPr>
          <w:sz w:val="22"/>
        </w:rPr>
        <w:t>Overview </w:t>
      </w:r>
      <w:r>
        <w:rPr>
          <w:spacing w:val="-5"/>
          <w:sz w:val="22"/>
        </w:rPr>
        <w:t>and</w:t>
      </w:r>
      <w:r>
        <w:rPr>
          <w:sz w:val="22"/>
        </w:rPr>
        <w:tab/>
      </w:r>
      <w:r>
        <w:rPr>
          <w:spacing w:val="-2"/>
          <w:sz w:val="22"/>
        </w:rPr>
        <w:t>Simulation</w:t>
      </w:r>
      <w:r>
        <w:rPr>
          <w:sz w:val="22"/>
        </w:rPr>
        <w:tab/>
      </w:r>
      <w:r>
        <w:rPr>
          <w:spacing w:val="-2"/>
          <w:sz w:val="22"/>
        </w:rPr>
        <w:t>Study.</w:t>
      </w:r>
    </w:p>
    <w:p>
      <w:pPr>
        <w:spacing w:line="252" w:lineRule="exact" w:before="0"/>
        <w:ind w:left="711" w:right="0" w:firstLine="0"/>
        <w:jc w:val="left"/>
        <w:rPr>
          <w:sz w:val="22"/>
        </w:rPr>
      </w:pPr>
      <w:r>
        <w:rPr>
          <w:i/>
          <w:sz w:val="22"/>
        </w:rPr>
        <w:t>Econometric</w:t>
      </w:r>
      <w:r>
        <w:rPr>
          <w:i/>
          <w:spacing w:val="-6"/>
          <w:sz w:val="22"/>
        </w:rPr>
        <w:t> </w:t>
      </w:r>
      <w:r>
        <w:rPr>
          <w:i/>
          <w:sz w:val="22"/>
        </w:rPr>
        <w:t>Review,</w:t>
      </w:r>
      <w:r>
        <w:rPr>
          <w:i/>
          <w:spacing w:val="-5"/>
          <w:sz w:val="22"/>
        </w:rPr>
        <w:t> </w:t>
      </w:r>
      <w:r>
        <w:rPr>
          <w:i/>
          <w:sz w:val="22"/>
        </w:rPr>
        <w:t>13(2),</w:t>
      </w:r>
      <w:r>
        <w:rPr>
          <w:i/>
          <w:spacing w:val="-6"/>
          <w:sz w:val="22"/>
        </w:rPr>
        <w:t> </w:t>
      </w:r>
      <w:r>
        <w:rPr>
          <w:sz w:val="22"/>
        </w:rPr>
        <w:t>259-</w:t>
      </w:r>
      <w:r>
        <w:rPr>
          <w:spacing w:val="-4"/>
          <w:sz w:val="22"/>
        </w:rPr>
        <w:t>285.</w:t>
      </w:r>
    </w:p>
    <w:p>
      <w:pPr>
        <w:tabs>
          <w:tab w:pos="9353" w:val="left" w:leader="none"/>
        </w:tabs>
        <w:spacing w:line="252" w:lineRule="exact" w:before="241"/>
        <w:ind w:left="711" w:right="0" w:firstLine="0"/>
        <w:jc w:val="left"/>
        <w:rPr>
          <w:sz w:val="22"/>
        </w:rPr>
      </w:pPr>
      <w:r>
        <w:rPr>
          <w:sz w:val="22"/>
        </w:rPr>
        <w:t>Gibson,</w:t>
      </w:r>
      <w:r>
        <w:rPr>
          <w:spacing w:val="-4"/>
          <w:sz w:val="22"/>
        </w:rPr>
        <w:t> </w:t>
      </w:r>
      <w:r>
        <w:rPr>
          <w:sz w:val="22"/>
        </w:rPr>
        <w:t>H.,</w:t>
      </w:r>
      <w:r>
        <w:rPr>
          <w:spacing w:val="-2"/>
          <w:sz w:val="22"/>
        </w:rPr>
        <w:t> </w:t>
      </w:r>
      <w:r>
        <w:rPr>
          <w:sz w:val="22"/>
        </w:rPr>
        <w:t>D.,</w:t>
      </w:r>
      <w:r>
        <w:rPr>
          <w:spacing w:val="-2"/>
          <w:sz w:val="22"/>
        </w:rPr>
        <w:t> </w:t>
      </w:r>
      <w:r>
        <w:rPr>
          <w:sz w:val="22"/>
        </w:rPr>
        <w:t>&amp;</w:t>
      </w:r>
      <w:r>
        <w:rPr>
          <w:spacing w:val="-4"/>
          <w:sz w:val="22"/>
        </w:rPr>
        <w:t> </w:t>
      </w:r>
      <w:r>
        <w:rPr>
          <w:sz w:val="22"/>
        </w:rPr>
        <w:t>Euclid</w:t>
      </w:r>
      <w:r>
        <w:rPr>
          <w:spacing w:val="-5"/>
          <w:sz w:val="22"/>
        </w:rPr>
        <w:t> </w:t>
      </w:r>
      <w:r>
        <w:rPr>
          <w:sz w:val="22"/>
        </w:rPr>
        <w:t>T.</w:t>
      </w:r>
      <w:r>
        <w:rPr>
          <w:spacing w:val="-5"/>
          <w:sz w:val="22"/>
        </w:rPr>
        <w:t> </w:t>
      </w:r>
      <w:r>
        <w:rPr>
          <w:sz w:val="22"/>
        </w:rPr>
        <w:t>(1993).</w:t>
      </w:r>
      <w:r>
        <w:rPr>
          <w:spacing w:val="-4"/>
          <w:sz w:val="22"/>
        </w:rPr>
        <w:t> </w:t>
      </w:r>
      <w:r>
        <w:rPr>
          <w:sz w:val="22"/>
        </w:rPr>
        <w:t>Testing</w:t>
      </w:r>
      <w:r>
        <w:rPr>
          <w:spacing w:val="-5"/>
          <w:sz w:val="22"/>
        </w:rPr>
        <w:t> </w:t>
      </w:r>
      <w:r>
        <w:rPr>
          <w:sz w:val="22"/>
        </w:rPr>
        <w:t>a</w:t>
      </w:r>
      <w:r>
        <w:rPr>
          <w:spacing w:val="-2"/>
          <w:sz w:val="22"/>
        </w:rPr>
        <w:t> </w:t>
      </w:r>
      <w:r>
        <w:rPr>
          <w:sz w:val="22"/>
        </w:rPr>
        <w:t>Flow</w:t>
      </w:r>
      <w:r>
        <w:rPr>
          <w:spacing w:val="-3"/>
          <w:sz w:val="22"/>
        </w:rPr>
        <w:t> </w:t>
      </w:r>
      <w:r>
        <w:rPr>
          <w:sz w:val="22"/>
        </w:rPr>
        <w:t>Model</w:t>
      </w:r>
      <w:r>
        <w:rPr>
          <w:spacing w:val="-1"/>
          <w:sz w:val="22"/>
        </w:rPr>
        <w:t> </w:t>
      </w:r>
      <w:r>
        <w:rPr>
          <w:sz w:val="22"/>
        </w:rPr>
        <w:t>of</w:t>
      </w:r>
      <w:r>
        <w:rPr>
          <w:spacing w:val="-2"/>
          <w:sz w:val="22"/>
        </w:rPr>
        <w:t> </w:t>
      </w:r>
      <w:r>
        <w:rPr>
          <w:sz w:val="22"/>
        </w:rPr>
        <w:t>Capital</w:t>
      </w:r>
      <w:r>
        <w:rPr>
          <w:spacing w:val="-1"/>
          <w:sz w:val="22"/>
        </w:rPr>
        <w:t> </w:t>
      </w:r>
      <w:r>
        <w:rPr>
          <w:sz w:val="22"/>
        </w:rPr>
        <w:t>Flight</w:t>
      </w:r>
      <w:r>
        <w:rPr>
          <w:spacing w:val="-4"/>
          <w:sz w:val="22"/>
        </w:rPr>
        <w:t> </w:t>
      </w:r>
      <w:r>
        <w:rPr>
          <w:sz w:val="22"/>
        </w:rPr>
        <w:t>in</w:t>
      </w:r>
      <w:r>
        <w:rPr>
          <w:spacing w:val="-2"/>
          <w:sz w:val="22"/>
        </w:rPr>
        <w:t> </w:t>
      </w:r>
      <w:r>
        <w:rPr>
          <w:sz w:val="22"/>
        </w:rPr>
        <w:t>Five</w:t>
      </w:r>
      <w:r>
        <w:rPr>
          <w:spacing w:val="-3"/>
          <w:sz w:val="22"/>
        </w:rPr>
        <w:t> </w:t>
      </w:r>
      <w:r>
        <w:rPr>
          <w:spacing w:val="-2"/>
          <w:sz w:val="22"/>
        </w:rPr>
        <w:t>European</w:t>
      </w:r>
      <w:r>
        <w:rPr>
          <w:sz w:val="22"/>
        </w:rPr>
        <w:tab/>
      </w:r>
      <w:r>
        <w:rPr>
          <w:spacing w:val="-2"/>
          <w:sz w:val="22"/>
        </w:rPr>
        <w:t>Countries.</w:t>
      </w:r>
    </w:p>
    <w:p>
      <w:pPr>
        <w:tabs>
          <w:tab w:pos="4312" w:val="left" w:leader="none"/>
        </w:tabs>
        <w:spacing w:line="252" w:lineRule="exact" w:before="0"/>
        <w:ind w:left="711" w:right="0" w:firstLine="0"/>
        <w:jc w:val="left"/>
        <w:rPr>
          <w:sz w:val="22"/>
        </w:rPr>
      </w:pPr>
      <w:r>
        <w:rPr>
          <w:i/>
          <w:sz w:val="22"/>
        </w:rPr>
        <w:t>Manchester</w:t>
      </w:r>
      <w:r>
        <w:rPr>
          <w:i/>
          <w:spacing w:val="-4"/>
          <w:sz w:val="22"/>
        </w:rPr>
        <w:t> </w:t>
      </w:r>
      <w:r>
        <w:rPr>
          <w:i/>
          <w:sz w:val="22"/>
        </w:rPr>
        <w:t>School</w:t>
      </w:r>
      <w:r>
        <w:rPr>
          <w:i/>
          <w:spacing w:val="-3"/>
          <w:sz w:val="22"/>
        </w:rPr>
        <w:t> </w:t>
      </w:r>
      <w:r>
        <w:rPr>
          <w:i/>
          <w:sz w:val="22"/>
        </w:rPr>
        <w:t>of</w:t>
      </w:r>
      <w:r>
        <w:rPr>
          <w:i/>
          <w:spacing w:val="-3"/>
          <w:sz w:val="22"/>
        </w:rPr>
        <w:t> </w:t>
      </w:r>
      <w:r>
        <w:rPr>
          <w:i/>
          <w:spacing w:val="-2"/>
          <w:sz w:val="22"/>
        </w:rPr>
        <w:t>Economic</w:t>
      </w:r>
      <w:r>
        <w:rPr>
          <w:i/>
          <w:sz w:val="22"/>
        </w:rPr>
        <w:tab/>
        <w:t>and</w:t>
      </w:r>
      <w:r>
        <w:rPr>
          <w:i/>
          <w:spacing w:val="-2"/>
          <w:sz w:val="22"/>
        </w:rPr>
        <w:t> </w:t>
      </w:r>
      <w:r>
        <w:rPr>
          <w:i/>
          <w:sz w:val="22"/>
        </w:rPr>
        <w:t>Social</w:t>
      </w:r>
      <w:r>
        <w:rPr>
          <w:i/>
          <w:spacing w:val="-4"/>
          <w:sz w:val="22"/>
        </w:rPr>
        <w:t> </w:t>
      </w:r>
      <w:r>
        <w:rPr>
          <w:i/>
          <w:sz w:val="22"/>
        </w:rPr>
        <w:t>Studies</w:t>
      </w:r>
      <w:r>
        <w:rPr>
          <w:sz w:val="22"/>
        </w:rPr>
        <w:t>,</w:t>
      </w:r>
      <w:r>
        <w:rPr>
          <w:spacing w:val="-1"/>
          <w:sz w:val="22"/>
        </w:rPr>
        <w:t> </w:t>
      </w:r>
      <w:r>
        <w:rPr>
          <w:i/>
          <w:sz w:val="22"/>
        </w:rPr>
        <w:t>Vol.</w:t>
      </w:r>
      <w:r>
        <w:rPr>
          <w:i/>
          <w:spacing w:val="-2"/>
          <w:sz w:val="22"/>
        </w:rPr>
        <w:t> </w:t>
      </w:r>
      <w:r>
        <w:rPr>
          <w:i/>
          <w:sz w:val="22"/>
        </w:rPr>
        <w:t>61</w:t>
      </w:r>
      <w:r>
        <w:rPr>
          <w:sz w:val="22"/>
        </w:rPr>
        <w:t>,</w:t>
      </w:r>
      <w:r>
        <w:rPr>
          <w:spacing w:val="-4"/>
          <w:sz w:val="22"/>
        </w:rPr>
        <w:t> </w:t>
      </w:r>
      <w:r>
        <w:rPr>
          <w:sz w:val="22"/>
        </w:rPr>
        <w:t>No.</w:t>
      </w:r>
      <w:r>
        <w:rPr>
          <w:spacing w:val="-2"/>
          <w:sz w:val="22"/>
        </w:rPr>
        <w:t> </w:t>
      </w:r>
      <w:r>
        <w:rPr>
          <w:sz w:val="22"/>
        </w:rPr>
        <w:t>2,</w:t>
      </w:r>
      <w:r>
        <w:rPr>
          <w:spacing w:val="-1"/>
          <w:sz w:val="22"/>
        </w:rPr>
        <w:t> </w:t>
      </w:r>
      <w:r>
        <w:rPr>
          <w:spacing w:val="-2"/>
          <w:sz w:val="22"/>
        </w:rPr>
        <w:t>144–66.</w:t>
      </w:r>
    </w:p>
    <w:p>
      <w:pPr>
        <w:pStyle w:val="BodyText"/>
        <w:rPr>
          <w:sz w:val="22"/>
        </w:rPr>
      </w:pPr>
    </w:p>
    <w:p>
      <w:pPr>
        <w:pStyle w:val="BodyText"/>
        <w:spacing w:before="228"/>
        <w:rPr>
          <w:sz w:val="22"/>
        </w:rPr>
      </w:pPr>
    </w:p>
    <w:p>
      <w:pPr>
        <w:spacing w:line="465" w:lineRule="auto" w:before="0"/>
        <w:ind w:left="711" w:right="1193" w:firstLine="0"/>
        <w:jc w:val="left"/>
        <w:rPr>
          <w:sz w:val="22"/>
        </w:rPr>
      </w:pPr>
      <w:r>
        <w:rPr>
          <w:sz w:val="22"/>
        </w:rPr>
        <w:t>Grigoryev L, A. Kosarev (2000). Capital flight: Scale and Nature.</w:t>
      </w:r>
      <w:r>
        <w:rPr>
          <w:spacing w:val="40"/>
          <w:sz w:val="22"/>
        </w:rPr>
        <w:t> </w:t>
      </w:r>
      <w:r>
        <w:rPr>
          <w:i/>
          <w:sz w:val="22"/>
        </w:rPr>
        <w:t>The Russian School</w:t>
      </w:r>
      <w:r>
        <w:rPr>
          <w:sz w:val="22"/>
        </w:rPr>
        <w:t>, </w:t>
      </w:r>
      <w:r>
        <w:rPr>
          <w:i/>
          <w:sz w:val="22"/>
        </w:rPr>
        <w:t>61(2),</w:t>
      </w:r>
      <w:r>
        <w:rPr>
          <w:sz w:val="22"/>
        </w:rPr>
        <w:t>144–166. Gujarati,</w:t>
      </w:r>
      <w:r>
        <w:rPr>
          <w:spacing w:val="-2"/>
          <w:sz w:val="22"/>
        </w:rPr>
        <w:t> </w:t>
      </w:r>
      <w:r>
        <w:rPr>
          <w:sz w:val="22"/>
        </w:rPr>
        <w:t>D.</w:t>
      </w:r>
      <w:r>
        <w:rPr>
          <w:spacing w:val="-3"/>
          <w:sz w:val="22"/>
        </w:rPr>
        <w:t> </w:t>
      </w:r>
      <w:r>
        <w:rPr>
          <w:sz w:val="22"/>
        </w:rPr>
        <w:t>N.</w:t>
      </w:r>
      <w:r>
        <w:rPr>
          <w:spacing w:val="-2"/>
          <w:sz w:val="22"/>
        </w:rPr>
        <w:t> </w:t>
      </w:r>
      <w:r>
        <w:rPr>
          <w:sz w:val="22"/>
        </w:rPr>
        <w:t>(2005).</w:t>
      </w:r>
      <w:r>
        <w:rPr>
          <w:spacing w:val="40"/>
          <w:sz w:val="22"/>
        </w:rPr>
        <w:t> </w:t>
      </w:r>
      <w:r>
        <w:rPr>
          <w:sz w:val="22"/>
        </w:rPr>
        <w:t>Basic</w:t>
      </w:r>
      <w:r>
        <w:rPr>
          <w:spacing w:val="-2"/>
          <w:sz w:val="22"/>
        </w:rPr>
        <w:t> </w:t>
      </w:r>
      <w:r>
        <w:rPr>
          <w:sz w:val="22"/>
        </w:rPr>
        <w:t>Econometrics,</w:t>
      </w:r>
      <w:r>
        <w:rPr>
          <w:spacing w:val="-3"/>
          <w:sz w:val="22"/>
        </w:rPr>
        <w:t> </w:t>
      </w:r>
      <w:r>
        <w:rPr>
          <w:sz w:val="22"/>
        </w:rPr>
        <w:t>Fifth</w:t>
      </w:r>
      <w:r>
        <w:rPr>
          <w:spacing w:val="-2"/>
          <w:sz w:val="22"/>
        </w:rPr>
        <w:t> </w:t>
      </w:r>
      <w:r>
        <w:rPr>
          <w:sz w:val="22"/>
        </w:rPr>
        <w:t>Edition.,</w:t>
      </w:r>
      <w:r>
        <w:rPr>
          <w:spacing w:val="-3"/>
          <w:sz w:val="22"/>
        </w:rPr>
        <w:t> </w:t>
      </w:r>
      <w:r>
        <w:rPr>
          <w:sz w:val="22"/>
        </w:rPr>
        <w:t>New</w:t>
      </w:r>
      <w:r>
        <w:rPr>
          <w:spacing w:val="-2"/>
          <w:sz w:val="22"/>
        </w:rPr>
        <w:t> </w:t>
      </w:r>
      <w:r>
        <w:rPr>
          <w:sz w:val="22"/>
        </w:rPr>
        <w:t>York</w:t>
      </w:r>
      <w:r>
        <w:rPr>
          <w:spacing w:val="-5"/>
          <w:sz w:val="22"/>
        </w:rPr>
        <w:t> </w:t>
      </w:r>
      <w:r>
        <w:rPr>
          <w:sz w:val="22"/>
        </w:rPr>
        <w:t>et</w:t>
      </w:r>
      <w:r>
        <w:rPr>
          <w:spacing w:val="-2"/>
          <w:sz w:val="22"/>
        </w:rPr>
        <w:t> </w:t>
      </w:r>
      <w:r>
        <w:rPr>
          <w:sz w:val="22"/>
        </w:rPr>
        <w:t>al.: McGraw–Hill,</w:t>
      </w:r>
      <w:r>
        <w:rPr>
          <w:spacing w:val="-2"/>
          <w:sz w:val="22"/>
        </w:rPr>
        <w:t> </w:t>
      </w:r>
      <w:r>
        <w:rPr>
          <w:sz w:val="22"/>
        </w:rPr>
        <w:t>1995,</w:t>
      </w:r>
      <w:r>
        <w:rPr>
          <w:spacing w:val="-3"/>
          <w:sz w:val="22"/>
        </w:rPr>
        <w:t> </w:t>
      </w:r>
      <w:r>
        <w:rPr>
          <w:sz w:val="22"/>
        </w:rPr>
        <w:t>page</w:t>
      </w:r>
      <w:r>
        <w:rPr>
          <w:spacing w:val="-2"/>
          <w:sz w:val="22"/>
        </w:rPr>
        <w:t> </w:t>
      </w:r>
      <w:r>
        <w:rPr>
          <w:sz w:val="22"/>
        </w:rPr>
        <w:t>605f.</w:t>
      </w:r>
    </w:p>
    <w:p>
      <w:pPr>
        <w:spacing w:after="0" w:line="465" w:lineRule="auto"/>
        <w:jc w:val="left"/>
        <w:rPr>
          <w:sz w:val="22"/>
        </w:rPr>
        <w:sectPr>
          <w:pgSz w:w="11910" w:h="16840"/>
          <w:pgMar w:header="0" w:footer="979" w:top="1340" w:bottom="1240" w:left="280" w:right="0"/>
        </w:sectPr>
      </w:pPr>
    </w:p>
    <w:p>
      <w:pPr>
        <w:spacing w:line="253" w:lineRule="exact" w:before="80"/>
        <w:ind w:left="711" w:right="0" w:firstLine="0"/>
        <w:jc w:val="left"/>
        <w:rPr>
          <w:sz w:val="22"/>
        </w:rPr>
      </w:pPr>
      <w:r>
        <w:rPr>
          <w:sz w:val="22"/>
        </w:rPr>
        <w:t>Gurley,</w:t>
      </w:r>
      <w:r>
        <w:rPr>
          <w:spacing w:val="4"/>
          <w:sz w:val="22"/>
        </w:rPr>
        <w:t> </w:t>
      </w:r>
      <w:r>
        <w:rPr>
          <w:sz w:val="22"/>
        </w:rPr>
        <w:t>J.G</w:t>
      </w:r>
      <w:r>
        <w:rPr>
          <w:spacing w:val="5"/>
          <w:sz w:val="22"/>
        </w:rPr>
        <w:t> </w:t>
      </w:r>
      <w:r>
        <w:rPr>
          <w:sz w:val="22"/>
        </w:rPr>
        <w:t>and</w:t>
      </w:r>
      <w:r>
        <w:rPr>
          <w:spacing w:val="6"/>
          <w:sz w:val="22"/>
        </w:rPr>
        <w:t> </w:t>
      </w:r>
      <w:r>
        <w:rPr>
          <w:sz w:val="22"/>
        </w:rPr>
        <w:t>Shaw,</w:t>
      </w:r>
      <w:r>
        <w:rPr>
          <w:spacing w:val="7"/>
          <w:sz w:val="22"/>
        </w:rPr>
        <w:t> </w:t>
      </w:r>
      <w:r>
        <w:rPr>
          <w:sz w:val="22"/>
        </w:rPr>
        <w:t>E.S.</w:t>
      </w:r>
      <w:r>
        <w:rPr>
          <w:spacing w:val="4"/>
          <w:sz w:val="22"/>
        </w:rPr>
        <w:t> </w:t>
      </w:r>
      <w:r>
        <w:rPr>
          <w:sz w:val="22"/>
        </w:rPr>
        <w:t>(1956).</w:t>
      </w:r>
      <w:r>
        <w:rPr>
          <w:spacing w:val="6"/>
          <w:sz w:val="22"/>
        </w:rPr>
        <w:t> </w:t>
      </w:r>
      <w:r>
        <w:rPr>
          <w:sz w:val="22"/>
        </w:rPr>
        <w:t>Financial</w:t>
      </w:r>
      <w:r>
        <w:rPr>
          <w:spacing w:val="8"/>
          <w:sz w:val="22"/>
        </w:rPr>
        <w:t> </w:t>
      </w:r>
      <w:r>
        <w:rPr>
          <w:sz w:val="22"/>
        </w:rPr>
        <w:t>Intermediaries</w:t>
      </w:r>
      <w:r>
        <w:rPr>
          <w:spacing w:val="4"/>
          <w:sz w:val="22"/>
        </w:rPr>
        <w:t> </w:t>
      </w:r>
      <w:r>
        <w:rPr>
          <w:sz w:val="22"/>
        </w:rPr>
        <w:t>and</w:t>
      </w:r>
      <w:r>
        <w:rPr>
          <w:spacing w:val="6"/>
          <w:sz w:val="22"/>
        </w:rPr>
        <w:t> </w:t>
      </w:r>
      <w:r>
        <w:rPr>
          <w:sz w:val="22"/>
        </w:rPr>
        <w:t>the</w:t>
      </w:r>
      <w:r>
        <w:rPr>
          <w:spacing w:val="7"/>
          <w:sz w:val="22"/>
        </w:rPr>
        <w:t> </w:t>
      </w:r>
      <w:r>
        <w:rPr>
          <w:sz w:val="22"/>
        </w:rPr>
        <w:t>Saving</w:t>
      </w:r>
      <w:r>
        <w:rPr>
          <w:spacing w:val="6"/>
          <w:sz w:val="22"/>
        </w:rPr>
        <w:t> </w:t>
      </w:r>
      <w:r>
        <w:rPr>
          <w:sz w:val="22"/>
        </w:rPr>
        <w:t>Investment</w:t>
      </w:r>
      <w:r>
        <w:rPr>
          <w:spacing w:val="7"/>
          <w:sz w:val="22"/>
        </w:rPr>
        <w:t> </w:t>
      </w:r>
      <w:r>
        <w:rPr>
          <w:sz w:val="22"/>
        </w:rPr>
        <w:t>Process.</w:t>
      </w:r>
      <w:r>
        <w:rPr>
          <w:spacing w:val="16"/>
          <w:sz w:val="22"/>
        </w:rPr>
        <w:t> </w:t>
      </w:r>
      <w:r>
        <w:rPr>
          <w:i/>
          <w:sz w:val="22"/>
        </w:rPr>
        <w:t>Journal</w:t>
      </w:r>
      <w:r>
        <w:rPr>
          <w:i/>
          <w:spacing w:val="7"/>
          <w:sz w:val="22"/>
        </w:rPr>
        <w:t> </w:t>
      </w:r>
      <w:r>
        <w:rPr>
          <w:i/>
          <w:sz w:val="22"/>
        </w:rPr>
        <w:t>of</w:t>
      </w:r>
      <w:r>
        <w:rPr>
          <w:i/>
          <w:spacing w:val="6"/>
          <w:sz w:val="22"/>
        </w:rPr>
        <w:t> </w:t>
      </w:r>
      <w:r>
        <w:rPr>
          <w:i/>
          <w:spacing w:val="-2"/>
          <w:sz w:val="22"/>
        </w:rPr>
        <w:t>Finance</w:t>
      </w:r>
      <w:r>
        <w:rPr>
          <w:spacing w:val="-2"/>
          <w:sz w:val="22"/>
        </w:rPr>
        <w:t>.</w:t>
      </w:r>
    </w:p>
    <w:p>
      <w:pPr>
        <w:spacing w:line="253" w:lineRule="exact" w:before="0"/>
        <w:ind w:left="1431" w:right="0" w:firstLine="0"/>
        <w:jc w:val="left"/>
        <w:rPr>
          <w:sz w:val="22"/>
        </w:rPr>
      </w:pPr>
      <w:r>
        <w:rPr>
          <w:i/>
          <w:sz w:val="22"/>
        </w:rPr>
        <w:t>Vol.II,</w:t>
      </w:r>
      <w:r>
        <w:rPr>
          <w:i/>
          <w:spacing w:val="-8"/>
          <w:sz w:val="22"/>
        </w:rPr>
        <w:t> </w:t>
      </w:r>
      <w:r>
        <w:rPr>
          <w:sz w:val="22"/>
        </w:rPr>
        <w:t>258-</w:t>
      </w:r>
      <w:r>
        <w:rPr>
          <w:spacing w:val="-5"/>
          <w:sz w:val="22"/>
        </w:rPr>
        <w:t>276</w:t>
      </w:r>
    </w:p>
    <w:p>
      <w:pPr>
        <w:spacing w:before="241"/>
        <w:ind w:left="1522" w:right="470" w:hanging="721"/>
        <w:jc w:val="both"/>
        <w:rPr>
          <w:sz w:val="22"/>
        </w:rPr>
      </w:pPr>
      <w:r>
        <w:rPr>
          <w:sz w:val="22"/>
        </w:rPr>
        <w:t>Hermes, N., &amp; Robert L. (1992). The Magnitude and Determinants of Capital Flight: (The Case for Six SubSaharan African Countries.</w:t>
      </w:r>
      <w:r>
        <w:rPr>
          <w:spacing w:val="40"/>
          <w:sz w:val="22"/>
        </w:rPr>
        <w:t> </w:t>
      </w:r>
      <w:r>
        <w:rPr>
          <w:i/>
          <w:sz w:val="22"/>
        </w:rPr>
        <w:t>De Economist</w:t>
      </w:r>
      <w:r>
        <w:rPr>
          <w:sz w:val="22"/>
        </w:rPr>
        <w:t>, </w:t>
      </w:r>
      <w:r>
        <w:rPr>
          <w:i/>
          <w:sz w:val="22"/>
        </w:rPr>
        <w:t>Vol. 140</w:t>
      </w:r>
      <w:r>
        <w:rPr>
          <w:sz w:val="22"/>
        </w:rPr>
        <w:t>, No. 4, 515–530.Policies: 196-209. Cambridge: Cambridge University Press.</w:t>
      </w:r>
    </w:p>
    <w:p>
      <w:pPr>
        <w:spacing w:before="240"/>
        <w:ind w:left="802" w:right="475" w:hanging="92"/>
        <w:jc w:val="left"/>
        <w:rPr>
          <w:sz w:val="22"/>
        </w:rPr>
      </w:pPr>
      <w:r>
        <w:rPr>
          <w:sz w:val="22"/>
        </w:rPr>
        <w:t>Hermes,</w:t>
      </w:r>
      <w:r>
        <w:rPr>
          <w:spacing w:val="-2"/>
          <w:sz w:val="22"/>
        </w:rPr>
        <w:t> </w:t>
      </w:r>
      <w:r>
        <w:rPr>
          <w:sz w:val="22"/>
        </w:rPr>
        <w:t>N.</w:t>
      </w:r>
      <w:r>
        <w:rPr>
          <w:spacing w:val="-1"/>
          <w:sz w:val="22"/>
        </w:rPr>
        <w:t> </w:t>
      </w:r>
      <w:r>
        <w:rPr>
          <w:sz w:val="22"/>
        </w:rPr>
        <w:t>&amp;</w:t>
      </w:r>
      <w:r>
        <w:rPr>
          <w:spacing w:val="-4"/>
          <w:sz w:val="22"/>
        </w:rPr>
        <w:t> </w:t>
      </w:r>
      <w:r>
        <w:rPr>
          <w:sz w:val="22"/>
        </w:rPr>
        <w:t>Lensink,</w:t>
      </w:r>
      <w:r>
        <w:rPr>
          <w:spacing w:val="-2"/>
          <w:sz w:val="22"/>
        </w:rPr>
        <w:t> </w:t>
      </w:r>
      <w:r>
        <w:rPr>
          <w:sz w:val="22"/>
        </w:rPr>
        <w:t>R.</w:t>
      </w:r>
      <w:r>
        <w:rPr>
          <w:spacing w:val="-2"/>
          <w:sz w:val="22"/>
        </w:rPr>
        <w:t> </w:t>
      </w:r>
      <w:r>
        <w:rPr>
          <w:sz w:val="22"/>
        </w:rPr>
        <w:t>(2001).</w:t>
      </w:r>
      <w:r>
        <w:rPr>
          <w:spacing w:val="-2"/>
          <w:sz w:val="22"/>
        </w:rPr>
        <w:t> </w:t>
      </w:r>
      <w:r>
        <w:rPr>
          <w:sz w:val="22"/>
        </w:rPr>
        <w:t>Capital</w:t>
      </w:r>
      <w:r>
        <w:rPr>
          <w:spacing w:val="-1"/>
          <w:sz w:val="22"/>
        </w:rPr>
        <w:t> </w:t>
      </w:r>
      <w:r>
        <w:rPr>
          <w:sz w:val="22"/>
        </w:rPr>
        <w:t>Flight</w:t>
      </w:r>
      <w:r>
        <w:rPr>
          <w:spacing w:val="-1"/>
          <w:sz w:val="22"/>
        </w:rPr>
        <w:t> </w:t>
      </w:r>
      <w:r>
        <w:rPr>
          <w:sz w:val="22"/>
        </w:rPr>
        <w:t>and</w:t>
      </w:r>
      <w:r>
        <w:rPr>
          <w:spacing w:val="-4"/>
          <w:sz w:val="22"/>
        </w:rPr>
        <w:t> </w:t>
      </w:r>
      <w:r>
        <w:rPr>
          <w:sz w:val="22"/>
        </w:rPr>
        <w:t>the Uncertainty</w:t>
      </w:r>
      <w:r>
        <w:rPr>
          <w:spacing w:val="-5"/>
          <w:sz w:val="22"/>
        </w:rPr>
        <w:t> </w:t>
      </w:r>
      <w:r>
        <w:rPr>
          <w:sz w:val="22"/>
        </w:rPr>
        <w:t>of</w:t>
      </w:r>
      <w:r>
        <w:rPr>
          <w:spacing w:val="80"/>
          <w:sz w:val="22"/>
        </w:rPr>
        <w:t> </w:t>
      </w:r>
      <w:r>
        <w:rPr>
          <w:sz w:val="22"/>
        </w:rPr>
        <w:t>Governrment Policies.</w:t>
      </w:r>
      <w:r>
        <w:rPr>
          <w:spacing w:val="80"/>
          <w:sz w:val="22"/>
        </w:rPr>
        <w:t> </w:t>
      </w:r>
      <w:r>
        <w:rPr>
          <w:i/>
          <w:sz w:val="22"/>
        </w:rPr>
        <w:t>Economics</w:t>
      </w:r>
      <w:r>
        <w:rPr>
          <w:i/>
          <w:spacing w:val="80"/>
          <w:sz w:val="22"/>
        </w:rPr>
        <w:t> </w:t>
      </w:r>
      <w:r>
        <w:rPr>
          <w:i/>
          <w:sz w:val="22"/>
        </w:rPr>
        <w:t>Letters, 71 (3</w:t>
      </w:r>
      <w:r>
        <w:rPr>
          <w:sz w:val="22"/>
        </w:rPr>
        <w:t>),</w:t>
      </w:r>
      <w:r>
        <w:rPr>
          <w:spacing w:val="40"/>
          <w:sz w:val="22"/>
        </w:rPr>
        <w:t> </w:t>
      </w:r>
      <w:r>
        <w:rPr>
          <w:sz w:val="22"/>
        </w:rPr>
        <w:t>377-381</w:t>
      </w:r>
    </w:p>
    <w:p>
      <w:pPr>
        <w:tabs>
          <w:tab w:pos="7192" w:val="left" w:leader="none"/>
          <w:tab w:pos="9353" w:val="left" w:leader="none"/>
          <w:tab w:pos="10350" w:val="left" w:leader="none"/>
          <w:tab w:pos="10936" w:val="left" w:leader="none"/>
        </w:tabs>
        <w:spacing w:before="240"/>
        <w:ind w:left="711" w:right="474" w:firstLine="0"/>
        <w:jc w:val="left"/>
        <w:rPr>
          <w:sz w:val="22"/>
        </w:rPr>
      </w:pPr>
      <w:r>
        <w:rPr>
          <w:sz w:val="22"/>
        </w:rPr>
        <w:t>Hermes, N., Lensink, R., &amp; Murinde, V. (2002). Capital Flight: The Key is light: The Key</w:t>
        <w:tab/>
      </w:r>
      <w:r>
        <w:rPr>
          <w:spacing w:val="-2"/>
          <w:sz w:val="22"/>
        </w:rPr>
        <w:t>Issues.</w:t>
      </w:r>
      <w:r>
        <w:rPr>
          <w:sz w:val="22"/>
        </w:rPr>
        <w:tab/>
      </w:r>
      <w:r>
        <w:rPr>
          <w:spacing w:val="-6"/>
          <w:sz w:val="22"/>
        </w:rPr>
        <w:t>In</w:t>
      </w:r>
      <w:r>
        <w:rPr>
          <w:sz w:val="22"/>
        </w:rPr>
        <w:tab/>
      </w:r>
      <w:r>
        <w:rPr>
          <w:spacing w:val="-6"/>
          <w:sz w:val="22"/>
        </w:rPr>
        <w:t>A. </w:t>
      </w:r>
      <w:r>
        <w:rPr>
          <w:sz w:val="22"/>
        </w:rPr>
        <w:t>Mullineux and V. Murinde (Eds.), </w:t>
      </w:r>
      <w:r>
        <w:rPr>
          <w:i/>
          <w:sz w:val="22"/>
        </w:rPr>
        <w:t>Handbook of</w:t>
      </w:r>
      <w:r>
        <w:rPr>
          <w:i/>
          <w:spacing w:val="40"/>
          <w:sz w:val="22"/>
        </w:rPr>
        <w:t> </w:t>
      </w:r>
      <w:r>
        <w:rPr>
          <w:i/>
          <w:sz w:val="22"/>
        </w:rPr>
        <w:t>International Banking</w:t>
        <w:tab/>
      </w:r>
      <w:r>
        <w:rPr>
          <w:sz w:val="22"/>
        </w:rPr>
        <w:t>(516-545). Cheltenham: Edward Elgar.</w:t>
      </w:r>
    </w:p>
    <w:p>
      <w:pPr>
        <w:tabs>
          <w:tab w:pos="7912" w:val="left" w:leader="none"/>
        </w:tabs>
        <w:spacing w:line="490" w:lineRule="atLeast" w:before="4"/>
        <w:ind w:left="711" w:right="475" w:firstLine="0"/>
        <w:jc w:val="left"/>
        <w:rPr>
          <w:sz w:val="22"/>
        </w:rPr>
      </w:pPr>
      <w:r>
        <w:rPr>
          <w:sz w:val="22"/>
        </w:rPr>
        <w:t>Hermes &amp; Bernard, (2011). Causes of Capital Flight from Sub- Saharan Africa</w:t>
        <w:tab/>
      </w:r>
      <w:hyperlink r:id="rId14">
        <w:r>
          <w:rPr>
            <w:spacing w:val="-2"/>
            <w:sz w:val="22"/>
          </w:rPr>
          <w:t>www.csae.ox.uk/679-Ali.pdf</w:t>
        </w:r>
      </w:hyperlink>
      <w:r>
        <w:rPr>
          <w:spacing w:val="80"/>
          <w:sz w:val="22"/>
        </w:rPr>
        <w:t> </w:t>
      </w:r>
      <w:r>
        <w:rPr>
          <w:sz w:val="22"/>
        </w:rPr>
        <w:t>Husted,</w:t>
      </w:r>
      <w:r>
        <w:rPr>
          <w:spacing w:val="-2"/>
          <w:sz w:val="22"/>
        </w:rPr>
        <w:t> </w:t>
      </w:r>
      <w:r>
        <w:rPr>
          <w:sz w:val="22"/>
        </w:rPr>
        <w:t>S.L</w:t>
      </w:r>
      <w:r>
        <w:rPr>
          <w:spacing w:val="-3"/>
          <w:sz w:val="22"/>
        </w:rPr>
        <w:t> </w:t>
      </w:r>
      <w:r>
        <w:rPr>
          <w:sz w:val="22"/>
        </w:rPr>
        <w:t>and</w:t>
      </w:r>
      <w:r>
        <w:rPr>
          <w:spacing w:val="-2"/>
          <w:sz w:val="22"/>
        </w:rPr>
        <w:t> </w:t>
      </w:r>
      <w:r>
        <w:rPr>
          <w:sz w:val="22"/>
        </w:rPr>
        <w:t>Melvin.</w:t>
      </w:r>
      <w:r>
        <w:rPr>
          <w:spacing w:val="-3"/>
          <w:sz w:val="22"/>
        </w:rPr>
        <w:t> </w:t>
      </w:r>
      <w:r>
        <w:rPr>
          <w:sz w:val="22"/>
        </w:rPr>
        <w:t>(1990). </w:t>
      </w:r>
      <w:r>
        <w:rPr>
          <w:i/>
          <w:sz w:val="22"/>
        </w:rPr>
        <w:t>United</w:t>
      </w:r>
      <w:r>
        <w:rPr>
          <w:i/>
          <w:spacing w:val="-2"/>
          <w:sz w:val="22"/>
        </w:rPr>
        <w:t> </w:t>
      </w:r>
      <w:r>
        <w:rPr>
          <w:i/>
          <w:sz w:val="22"/>
        </w:rPr>
        <w:t>State,</w:t>
      </w:r>
      <w:r>
        <w:rPr>
          <w:i/>
          <w:spacing w:val="-2"/>
          <w:sz w:val="22"/>
        </w:rPr>
        <w:t> </w:t>
      </w:r>
      <w:r>
        <w:rPr>
          <w:i/>
          <w:sz w:val="22"/>
        </w:rPr>
        <w:t>Commercial Policy,</w:t>
      </w:r>
      <w:r>
        <w:rPr>
          <w:i/>
          <w:spacing w:val="-3"/>
          <w:sz w:val="22"/>
        </w:rPr>
        <w:t> </w:t>
      </w:r>
      <w:r>
        <w:rPr>
          <w:i/>
          <w:sz w:val="22"/>
        </w:rPr>
        <w:t>International</w:t>
      </w:r>
      <w:r>
        <w:rPr>
          <w:i/>
          <w:spacing w:val="-4"/>
          <w:sz w:val="22"/>
        </w:rPr>
        <w:t> </w:t>
      </w:r>
      <w:r>
        <w:rPr>
          <w:i/>
          <w:sz w:val="22"/>
        </w:rPr>
        <w:t>Economic</w:t>
      </w:r>
      <w:r>
        <w:rPr>
          <w:i/>
          <w:spacing w:val="-2"/>
          <w:sz w:val="22"/>
        </w:rPr>
        <w:t> </w:t>
      </w:r>
      <w:r>
        <w:rPr>
          <w:i/>
          <w:sz w:val="22"/>
        </w:rPr>
        <w:t>relations</w:t>
      </w:r>
      <w:r>
        <w:rPr>
          <w:i/>
          <w:spacing w:val="-2"/>
          <w:sz w:val="22"/>
        </w:rPr>
        <w:t> </w:t>
      </w:r>
      <w:r>
        <w:rPr>
          <w:i/>
          <w:sz w:val="22"/>
        </w:rPr>
        <w:t>finance. </w:t>
      </w:r>
      <w:r>
        <w:rPr>
          <w:sz w:val="22"/>
        </w:rPr>
        <w:t>Addison</w:t>
      </w:r>
    </w:p>
    <w:p>
      <w:pPr>
        <w:spacing w:before="1"/>
        <w:ind w:left="1431" w:right="0" w:firstLine="0"/>
        <w:jc w:val="left"/>
        <w:rPr>
          <w:sz w:val="22"/>
        </w:rPr>
      </w:pPr>
      <w:r>
        <w:rPr>
          <w:sz w:val="22"/>
        </w:rPr>
        <w:t>Wesley.</w:t>
      </w:r>
      <w:r>
        <w:rPr>
          <w:spacing w:val="-6"/>
          <w:sz w:val="22"/>
        </w:rPr>
        <w:t> </w:t>
      </w:r>
      <w:r>
        <w:rPr>
          <w:sz w:val="22"/>
        </w:rPr>
        <w:t>Educational</w:t>
      </w:r>
      <w:r>
        <w:rPr>
          <w:spacing w:val="-5"/>
          <w:sz w:val="22"/>
        </w:rPr>
        <w:t> </w:t>
      </w:r>
      <w:r>
        <w:rPr>
          <w:sz w:val="22"/>
        </w:rPr>
        <w:t>Publishers,</w:t>
      </w:r>
      <w:r>
        <w:rPr>
          <w:spacing w:val="-5"/>
          <w:sz w:val="22"/>
        </w:rPr>
        <w:t> </w:t>
      </w:r>
      <w:r>
        <w:rPr>
          <w:sz w:val="22"/>
        </w:rPr>
        <w:t>Incorporated.</w:t>
      </w:r>
      <w:r>
        <w:rPr>
          <w:spacing w:val="-5"/>
          <w:sz w:val="22"/>
        </w:rPr>
        <w:t> </w:t>
      </w:r>
      <w:r>
        <w:rPr>
          <w:spacing w:val="-2"/>
          <w:sz w:val="22"/>
        </w:rPr>
        <w:t>London.</w:t>
      </w:r>
    </w:p>
    <w:p>
      <w:pPr>
        <w:tabs>
          <w:tab w:pos="7912" w:val="left" w:leader="none"/>
        </w:tabs>
        <w:spacing w:before="242"/>
        <w:ind w:left="711" w:right="472" w:firstLine="0"/>
        <w:jc w:val="left"/>
        <w:rPr>
          <w:sz w:val="22"/>
        </w:rPr>
      </w:pPr>
      <w:r>
        <w:rPr>
          <w:sz w:val="22"/>
        </w:rPr>
        <w:t>International Finance Corporation (1998). Trends in Private Investment in</w:t>
        <w:tab/>
        <w:t>Developing</w:t>
      </w:r>
      <w:r>
        <w:rPr>
          <w:spacing w:val="28"/>
          <w:sz w:val="22"/>
        </w:rPr>
        <w:t> </w:t>
      </w:r>
      <w:r>
        <w:rPr>
          <w:sz w:val="22"/>
        </w:rPr>
        <w:t>Countries,</w:t>
      </w:r>
      <w:r>
        <w:rPr>
          <w:spacing w:val="30"/>
          <w:sz w:val="22"/>
        </w:rPr>
        <w:t> </w:t>
      </w:r>
      <w:r>
        <w:rPr>
          <w:sz w:val="22"/>
        </w:rPr>
        <w:t>statistics</w:t>
      </w:r>
      <w:r>
        <w:rPr>
          <w:spacing w:val="30"/>
          <w:sz w:val="22"/>
        </w:rPr>
        <w:t> </w:t>
      </w:r>
      <w:r>
        <w:rPr>
          <w:sz w:val="22"/>
        </w:rPr>
        <w:t>for 1970-96 </w:t>
      </w:r>
      <w:r>
        <w:rPr>
          <w:i/>
          <w:sz w:val="22"/>
        </w:rPr>
        <w:t>Discussion paper </w:t>
      </w:r>
      <w:r>
        <w:rPr>
          <w:sz w:val="22"/>
        </w:rPr>
        <w:t>34.</w:t>
      </w:r>
    </w:p>
    <w:p>
      <w:pPr>
        <w:tabs>
          <w:tab w:pos="4312" w:val="left" w:leader="none"/>
        </w:tabs>
        <w:spacing w:before="240"/>
        <w:ind w:left="711" w:right="487" w:firstLine="0"/>
        <w:jc w:val="left"/>
        <w:rPr>
          <w:sz w:val="22"/>
        </w:rPr>
      </w:pPr>
      <w:r>
        <w:rPr>
          <w:sz w:val="22"/>
        </w:rPr>
        <w:t>International</w:t>
      </w:r>
      <w:r>
        <w:rPr>
          <w:spacing w:val="31"/>
          <w:sz w:val="22"/>
        </w:rPr>
        <w:t> </w:t>
      </w:r>
      <w:r>
        <w:rPr>
          <w:sz w:val="22"/>
        </w:rPr>
        <w:t>Monetary</w:t>
      </w:r>
      <w:r>
        <w:rPr>
          <w:spacing w:val="29"/>
          <w:sz w:val="22"/>
        </w:rPr>
        <w:t> </w:t>
      </w:r>
      <w:r>
        <w:rPr>
          <w:sz w:val="22"/>
        </w:rPr>
        <w:t>Fund</w:t>
      </w:r>
      <w:r>
        <w:rPr>
          <w:spacing w:val="31"/>
          <w:sz w:val="22"/>
        </w:rPr>
        <w:t> </w:t>
      </w:r>
      <w:r>
        <w:rPr>
          <w:sz w:val="22"/>
        </w:rPr>
        <w:t>(2004).</w:t>
      </w:r>
      <w:r>
        <w:rPr>
          <w:spacing w:val="80"/>
          <w:sz w:val="22"/>
        </w:rPr>
        <w:t> </w:t>
      </w:r>
      <w:r>
        <w:rPr>
          <w:sz w:val="22"/>
        </w:rPr>
        <w:t>Balance</w:t>
      </w:r>
      <w:r>
        <w:rPr>
          <w:spacing w:val="29"/>
          <w:sz w:val="22"/>
        </w:rPr>
        <w:t> </w:t>
      </w:r>
      <w:r>
        <w:rPr>
          <w:sz w:val="22"/>
        </w:rPr>
        <w:t>of</w:t>
      </w:r>
      <w:r>
        <w:rPr>
          <w:spacing w:val="30"/>
          <w:sz w:val="22"/>
        </w:rPr>
        <w:t> </w:t>
      </w:r>
      <w:r>
        <w:rPr>
          <w:sz w:val="22"/>
        </w:rPr>
        <w:t>Payments</w:t>
      </w:r>
      <w:r>
        <w:rPr>
          <w:spacing w:val="31"/>
          <w:sz w:val="22"/>
        </w:rPr>
        <w:t> </w:t>
      </w:r>
      <w:r>
        <w:rPr>
          <w:sz w:val="22"/>
        </w:rPr>
        <w:t>Statistics.</w:t>
      </w:r>
      <w:r>
        <w:rPr>
          <w:spacing w:val="31"/>
          <w:sz w:val="22"/>
        </w:rPr>
        <w:t> </w:t>
      </w:r>
      <w:r>
        <w:rPr>
          <w:sz w:val="22"/>
        </w:rPr>
        <w:t>Part</w:t>
      </w:r>
      <w:r>
        <w:rPr>
          <w:spacing w:val="30"/>
          <w:sz w:val="22"/>
        </w:rPr>
        <w:t> </w:t>
      </w:r>
      <w:r>
        <w:rPr>
          <w:sz w:val="22"/>
        </w:rPr>
        <w:t>2:</w:t>
      </w:r>
      <w:r>
        <w:rPr>
          <w:spacing w:val="30"/>
          <w:sz w:val="22"/>
        </w:rPr>
        <w:t> </w:t>
      </w:r>
      <w:r>
        <w:rPr>
          <w:sz w:val="22"/>
        </w:rPr>
        <w:t>World</w:t>
      </w:r>
      <w:r>
        <w:rPr>
          <w:spacing w:val="29"/>
          <w:sz w:val="22"/>
        </w:rPr>
        <w:t> </w:t>
      </w:r>
      <w:r>
        <w:rPr>
          <w:sz w:val="22"/>
        </w:rPr>
        <w:t>and</w:t>
      </w:r>
      <w:r>
        <w:rPr>
          <w:spacing w:val="31"/>
          <w:sz w:val="22"/>
        </w:rPr>
        <w:t> </w:t>
      </w:r>
      <w:r>
        <w:rPr>
          <w:sz w:val="22"/>
        </w:rPr>
        <w:t>Regional</w:t>
      </w:r>
      <w:r>
        <w:rPr>
          <w:spacing w:val="28"/>
          <w:sz w:val="22"/>
        </w:rPr>
        <w:t> </w:t>
      </w:r>
      <w:r>
        <w:rPr>
          <w:sz w:val="22"/>
        </w:rPr>
        <w:t>Tables.</w:t>
      </w:r>
      <w:r>
        <w:rPr>
          <w:spacing w:val="31"/>
          <w:sz w:val="22"/>
        </w:rPr>
        <w:t> </w:t>
      </w:r>
      <w:r>
        <w:rPr>
          <w:sz w:val="22"/>
        </w:rPr>
        <w:t>Part</w:t>
      </w:r>
      <w:r>
        <w:rPr>
          <w:spacing w:val="30"/>
          <w:sz w:val="22"/>
        </w:rPr>
        <w:t> </w:t>
      </w:r>
      <w:r>
        <w:rPr>
          <w:sz w:val="22"/>
        </w:rPr>
        <w:t>3: Methodologies, Compilation Practises</w:t>
        <w:tab/>
        <w:t>and Data Sources. Washington: </w:t>
      </w:r>
      <w:r>
        <w:rPr>
          <w:i/>
          <w:sz w:val="22"/>
        </w:rPr>
        <w:t>International Monetary Fund</w:t>
      </w:r>
      <w:r>
        <w:rPr>
          <w:sz w:val="22"/>
        </w:rPr>
        <w:t>.</w:t>
      </w:r>
    </w:p>
    <w:p>
      <w:pPr>
        <w:spacing w:line="465" w:lineRule="auto" w:before="241"/>
        <w:ind w:left="711" w:right="2817" w:firstLine="0"/>
        <w:jc w:val="left"/>
        <w:rPr>
          <w:i/>
          <w:sz w:val="22"/>
        </w:rPr>
      </w:pPr>
      <w:r>
        <w:rPr>
          <w:sz w:val="22"/>
        </w:rPr>
        <w:t>Jeffrey</w:t>
      </w:r>
      <w:r>
        <w:rPr>
          <w:spacing w:val="-4"/>
          <w:sz w:val="22"/>
        </w:rPr>
        <w:t> </w:t>
      </w:r>
      <w:r>
        <w:rPr>
          <w:sz w:val="22"/>
        </w:rPr>
        <w:t>S.</w:t>
      </w:r>
      <w:r>
        <w:rPr>
          <w:spacing w:val="40"/>
          <w:sz w:val="22"/>
        </w:rPr>
        <w:t> </w:t>
      </w:r>
      <w:r>
        <w:rPr>
          <w:sz w:val="22"/>
        </w:rPr>
        <w:t>(1996).</w:t>
      </w:r>
      <w:r>
        <w:rPr>
          <w:spacing w:val="-3"/>
          <w:sz w:val="22"/>
        </w:rPr>
        <w:t> </w:t>
      </w:r>
      <w:r>
        <w:rPr>
          <w:sz w:val="22"/>
        </w:rPr>
        <w:t>Niger</w:t>
      </w:r>
      <w:r>
        <w:rPr>
          <w:spacing w:val="-2"/>
          <w:sz w:val="22"/>
        </w:rPr>
        <w:t> </w:t>
      </w:r>
      <w:r>
        <w:rPr>
          <w:sz w:val="22"/>
        </w:rPr>
        <w:t>Delta</w:t>
      </w:r>
      <w:r>
        <w:rPr>
          <w:spacing w:val="-2"/>
          <w:sz w:val="22"/>
        </w:rPr>
        <w:t> </w:t>
      </w:r>
      <w:r>
        <w:rPr>
          <w:sz w:val="22"/>
        </w:rPr>
        <w:t>Crisis</w:t>
      </w:r>
      <w:r>
        <w:rPr>
          <w:spacing w:val="-3"/>
          <w:sz w:val="22"/>
        </w:rPr>
        <w:t> </w:t>
      </w:r>
      <w:r>
        <w:rPr>
          <w:sz w:val="22"/>
        </w:rPr>
        <w:t>and</w:t>
      </w:r>
      <w:r>
        <w:rPr>
          <w:spacing w:val="-3"/>
          <w:sz w:val="22"/>
        </w:rPr>
        <w:t> </w:t>
      </w:r>
      <w:r>
        <w:rPr>
          <w:sz w:val="22"/>
        </w:rPr>
        <w:t>the</w:t>
      </w:r>
      <w:r>
        <w:rPr>
          <w:spacing w:val="-3"/>
          <w:sz w:val="22"/>
        </w:rPr>
        <w:t> </w:t>
      </w:r>
      <w:r>
        <w:rPr>
          <w:sz w:val="22"/>
        </w:rPr>
        <w:t>Nigeria</w:t>
      </w:r>
      <w:r>
        <w:rPr>
          <w:spacing w:val="-4"/>
          <w:sz w:val="22"/>
        </w:rPr>
        <w:t> </w:t>
      </w:r>
      <w:r>
        <w:rPr>
          <w:sz w:val="22"/>
        </w:rPr>
        <w:t>Economy.</w:t>
      </w:r>
      <w:r>
        <w:rPr>
          <w:spacing w:val="40"/>
          <w:sz w:val="22"/>
        </w:rPr>
        <w:t> </w:t>
      </w:r>
      <w:r>
        <w:rPr>
          <w:i/>
          <w:sz w:val="22"/>
        </w:rPr>
        <w:t>The</w:t>
      </w:r>
      <w:r>
        <w:rPr>
          <w:i/>
          <w:spacing w:val="-3"/>
          <w:sz w:val="22"/>
        </w:rPr>
        <w:t> </w:t>
      </w:r>
      <w:r>
        <w:rPr>
          <w:i/>
          <w:sz w:val="22"/>
        </w:rPr>
        <w:t>Economist</w:t>
      </w:r>
      <w:r>
        <w:rPr>
          <w:i/>
          <w:spacing w:val="-4"/>
          <w:sz w:val="22"/>
        </w:rPr>
        <w:t> </w:t>
      </w:r>
      <w:r>
        <w:rPr>
          <w:sz w:val="22"/>
        </w:rPr>
        <w:t>,</w:t>
      </w:r>
      <w:r>
        <w:rPr>
          <w:spacing w:val="-5"/>
          <w:sz w:val="22"/>
        </w:rPr>
        <w:t> </w:t>
      </w:r>
      <w:r>
        <w:rPr>
          <w:sz w:val="22"/>
        </w:rPr>
        <w:t>19-21. John Iwori (2006). Another Oil Firm Robbed, N40m Carted Away.</w:t>
      </w:r>
      <w:r>
        <w:rPr>
          <w:spacing w:val="40"/>
          <w:sz w:val="22"/>
        </w:rPr>
        <w:t> </w:t>
      </w:r>
      <w:r>
        <w:rPr>
          <w:i/>
          <w:sz w:val="22"/>
        </w:rPr>
        <w:t>This Day</w:t>
      </w:r>
    </w:p>
    <w:p>
      <w:pPr>
        <w:spacing w:before="2"/>
        <w:ind w:left="711" w:right="0" w:firstLine="0"/>
        <w:jc w:val="left"/>
        <w:rPr>
          <w:sz w:val="22"/>
        </w:rPr>
      </w:pPr>
      <w:r>
        <w:rPr>
          <w:sz w:val="22"/>
        </w:rPr>
        <w:t>Kant,</w:t>
      </w:r>
      <w:r>
        <w:rPr>
          <w:spacing w:val="-6"/>
          <w:sz w:val="22"/>
        </w:rPr>
        <w:t> </w:t>
      </w:r>
      <w:r>
        <w:rPr>
          <w:sz w:val="22"/>
        </w:rPr>
        <w:t>Chander</w:t>
      </w:r>
      <w:r>
        <w:rPr>
          <w:spacing w:val="-5"/>
          <w:sz w:val="22"/>
        </w:rPr>
        <w:t> </w:t>
      </w:r>
      <w:r>
        <w:rPr>
          <w:sz w:val="22"/>
        </w:rPr>
        <w:t>(1996).</w:t>
      </w:r>
      <w:r>
        <w:rPr>
          <w:spacing w:val="48"/>
          <w:sz w:val="22"/>
        </w:rPr>
        <w:t> </w:t>
      </w:r>
      <w:r>
        <w:rPr>
          <w:i/>
          <w:sz w:val="22"/>
        </w:rPr>
        <w:t>Foreign</w:t>
      </w:r>
      <w:r>
        <w:rPr>
          <w:i/>
          <w:spacing w:val="-3"/>
          <w:sz w:val="22"/>
        </w:rPr>
        <w:t> </w:t>
      </w:r>
      <w:r>
        <w:rPr>
          <w:i/>
          <w:sz w:val="22"/>
        </w:rPr>
        <w:t>Direct</w:t>
      </w:r>
      <w:r>
        <w:rPr>
          <w:i/>
          <w:spacing w:val="-5"/>
          <w:sz w:val="22"/>
        </w:rPr>
        <w:t> </w:t>
      </w:r>
      <w:r>
        <w:rPr>
          <w:i/>
          <w:sz w:val="22"/>
        </w:rPr>
        <w:t>Investment</w:t>
      </w:r>
      <w:r>
        <w:rPr>
          <w:i/>
          <w:spacing w:val="-2"/>
          <w:sz w:val="22"/>
        </w:rPr>
        <w:t> </w:t>
      </w:r>
      <w:r>
        <w:rPr>
          <w:i/>
          <w:sz w:val="22"/>
        </w:rPr>
        <w:t>and</w:t>
      </w:r>
      <w:r>
        <w:rPr>
          <w:i/>
          <w:spacing w:val="-6"/>
          <w:sz w:val="22"/>
        </w:rPr>
        <w:t> </w:t>
      </w:r>
      <w:r>
        <w:rPr>
          <w:i/>
          <w:sz w:val="22"/>
        </w:rPr>
        <w:t>Capital</w:t>
      </w:r>
      <w:r>
        <w:rPr>
          <w:i/>
          <w:spacing w:val="-3"/>
          <w:sz w:val="22"/>
        </w:rPr>
        <w:t> </w:t>
      </w:r>
      <w:r>
        <w:rPr>
          <w:i/>
          <w:sz w:val="22"/>
        </w:rPr>
        <w:t>Flight</w:t>
      </w:r>
      <w:r>
        <w:rPr>
          <w:sz w:val="22"/>
        </w:rPr>
        <w:t>,</w:t>
      </w:r>
      <w:r>
        <w:rPr>
          <w:spacing w:val="-3"/>
          <w:sz w:val="22"/>
        </w:rPr>
        <w:t> </w:t>
      </w:r>
      <w:r>
        <w:rPr>
          <w:sz w:val="22"/>
        </w:rPr>
        <w:t>Princeton,</w:t>
      </w:r>
      <w:r>
        <w:rPr>
          <w:spacing w:val="-6"/>
          <w:sz w:val="22"/>
        </w:rPr>
        <w:t> </w:t>
      </w:r>
      <w:r>
        <w:rPr>
          <w:sz w:val="22"/>
        </w:rPr>
        <w:t>New</w:t>
      </w:r>
      <w:r>
        <w:rPr>
          <w:spacing w:val="-3"/>
          <w:sz w:val="22"/>
        </w:rPr>
        <w:t> </w:t>
      </w:r>
      <w:r>
        <w:rPr>
          <w:spacing w:val="-2"/>
          <w:sz w:val="22"/>
        </w:rPr>
        <w:t>Jersey.</w:t>
      </w:r>
    </w:p>
    <w:p>
      <w:pPr>
        <w:spacing w:line="465" w:lineRule="auto" w:before="242"/>
        <w:ind w:left="711" w:right="585" w:firstLine="0"/>
        <w:jc w:val="left"/>
        <w:rPr>
          <w:sz w:val="22"/>
        </w:rPr>
      </w:pPr>
      <w:r>
        <w:rPr>
          <w:sz w:val="22"/>
        </w:rPr>
        <w:t>Ketkar</w:t>
      </w:r>
      <w:r>
        <w:rPr>
          <w:spacing w:val="-2"/>
          <w:sz w:val="22"/>
        </w:rPr>
        <w:t> </w:t>
      </w:r>
      <w:r>
        <w:rPr>
          <w:sz w:val="22"/>
        </w:rPr>
        <w:t>(1989).</w:t>
      </w:r>
      <w:r>
        <w:rPr>
          <w:spacing w:val="-3"/>
          <w:sz w:val="22"/>
        </w:rPr>
        <w:t> </w:t>
      </w:r>
      <w:r>
        <w:rPr>
          <w:sz w:val="22"/>
        </w:rPr>
        <w:t>Economic</w:t>
      </w:r>
      <w:r>
        <w:rPr>
          <w:spacing w:val="-3"/>
          <w:sz w:val="22"/>
        </w:rPr>
        <w:t> </w:t>
      </w:r>
      <w:r>
        <w:rPr>
          <w:sz w:val="22"/>
        </w:rPr>
        <w:t>Impact</w:t>
      </w:r>
      <w:r>
        <w:rPr>
          <w:spacing w:val="-2"/>
          <w:sz w:val="22"/>
        </w:rPr>
        <w:t> </w:t>
      </w:r>
      <w:r>
        <w:rPr>
          <w:sz w:val="22"/>
        </w:rPr>
        <w:t>of</w:t>
      </w:r>
      <w:r>
        <w:rPr>
          <w:spacing w:val="-3"/>
          <w:sz w:val="22"/>
        </w:rPr>
        <w:t> </w:t>
      </w:r>
      <w:r>
        <w:rPr>
          <w:sz w:val="22"/>
        </w:rPr>
        <w:t>Outsourcing</w:t>
      </w:r>
      <w:r>
        <w:rPr>
          <w:spacing w:val="-2"/>
          <w:sz w:val="22"/>
        </w:rPr>
        <w:t> </w:t>
      </w:r>
      <w:r>
        <w:rPr>
          <w:sz w:val="22"/>
        </w:rPr>
        <w:t>versus</w:t>
      </w:r>
      <w:r>
        <w:rPr>
          <w:spacing w:val="-3"/>
          <w:sz w:val="22"/>
        </w:rPr>
        <w:t> </w:t>
      </w:r>
      <w:r>
        <w:rPr>
          <w:sz w:val="22"/>
        </w:rPr>
        <w:t>Remittances.</w:t>
      </w:r>
      <w:r>
        <w:rPr>
          <w:spacing w:val="-2"/>
          <w:sz w:val="22"/>
        </w:rPr>
        <w:t> </w:t>
      </w:r>
      <w:r>
        <w:rPr>
          <w:i/>
          <w:sz w:val="22"/>
        </w:rPr>
        <w:t>Contemporary</w:t>
      </w:r>
      <w:r>
        <w:rPr>
          <w:i/>
          <w:spacing w:val="-3"/>
          <w:sz w:val="22"/>
        </w:rPr>
        <w:t> </w:t>
      </w:r>
      <w:r>
        <w:rPr>
          <w:i/>
          <w:sz w:val="22"/>
        </w:rPr>
        <w:t>Policies</w:t>
      </w:r>
      <w:r>
        <w:rPr>
          <w:i/>
          <w:spacing w:val="-5"/>
          <w:sz w:val="22"/>
        </w:rPr>
        <w:t> </w:t>
      </w:r>
      <w:r>
        <w:rPr>
          <w:i/>
          <w:sz w:val="22"/>
        </w:rPr>
        <w:t>Issues</w:t>
      </w:r>
      <w:r>
        <w:rPr>
          <w:sz w:val="22"/>
        </w:rPr>
        <w:t>.</w:t>
      </w:r>
      <w:r>
        <w:rPr>
          <w:spacing w:val="-6"/>
          <w:sz w:val="22"/>
        </w:rPr>
        <w:t> </w:t>
      </w:r>
      <w:r>
        <w:rPr>
          <w:i/>
          <w:sz w:val="22"/>
        </w:rPr>
        <w:t>Vol.Vll</w:t>
      </w:r>
      <w:r>
        <w:rPr>
          <w:i/>
          <w:spacing w:val="-7"/>
          <w:sz w:val="22"/>
        </w:rPr>
        <w:t> </w:t>
      </w:r>
      <w:r>
        <w:rPr>
          <w:sz w:val="22"/>
        </w:rPr>
        <w:t>No3 Khan, M., S., &amp; Ul Haque, N. (1987). Foreign Borrowing and Capital</w:t>
      </w:r>
    </w:p>
    <w:p>
      <w:pPr>
        <w:spacing w:line="465" w:lineRule="auto" w:before="5"/>
        <w:ind w:left="1431" w:right="3312" w:firstLine="0"/>
        <w:jc w:val="left"/>
        <w:rPr>
          <w:sz w:val="22"/>
        </w:rPr>
      </w:pPr>
      <w:r>
        <w:rPr>
          <w:sz w:val="22"/>
        </w:rPr>
        <w:t>Flight:</w:t>
      </w:r>
      <w:r>
        <w:rPr>
          <w:spacing w:val="-5"/>
          <w:sz w:val="22"/>
        </w:rPr>
        <w:t> </w:t>
      </w:r>
      <w:r>
        <w:rPr>
          <w:sz w:val="22"/>
        </w:rPr>
        <w:t>A</w:t>
      </w:r>
      <w:r>
        <w:rPr>
          <w:spacing w:val="-4"/>
          <w:sz w:val="22"/>
        </w:rPr>
        <w:t> </w:t>
      </w:r>
      <w:r>
        <w:rPr>
          <w:sz w:val="22"/>
        </w:rPr>
        <w:t>Formal</w:t>
      </w:r>
      <w:r>
        <w:rPr>
          <w:spacing w:val="-2"/>
          <w:sz w:val="22"/>
        </w:rPr>
        <w:t> </w:t>
      </w:r>
      <w:r>
        <w:rPr>
          <w:sz w:val="22"/>
        </w:rPr>
        <w:t>Analysis.</w:t>
      </w:r>
      <w:r>
        <w:rPr>
          <w:spacing w:val="40"/>
          <w:sz w:val="22"/>
        </w:rPr>
        <w:t> </w:t>
      </w:r>
      <w:r>
        <w:rPr>
          <w:i/>
          <w:sz w:val="22"/>
        </w:rPr>
        <w:t>Staff</w:t>
      </w:r>
      <w:r>
        <w:rPr>
          <w:i/>
          <w:spacing w:val="-2"/>
          <w:sz w:val="22"/>
        </w:rPr>
        <w:t> </w:t>
      </w:r>
      <w:r>
        <w:rPr>
          <w:i/>
          <w:sz w:val="22"/>
        </w:rPr>
        <w:t>Papers,</w:t>
      </w:r>
      <w:r>
        <w:rPr>
          <w:i/>
          <w:spacing w:val="-5"/>
          <w:sz w:val="22"/>
        </w:rPr>
        <w:t> </w:t>
      </w:r>
      <w:r>
        <w:rPr>
          <w:i/>
          <w:sz w:val="22"/>
        </w:rPr>
        <w:t>International</w:t>
      </w:r>
      <w:r>
        <w:rPr>
          <w:i/>
          <w:spacing w:val="-5"/>
          <w:sz w:val="22"/>
        </w:rPr>
        <w:t> </w:t>
      </w:r>
      <w:r>
        <w:rPr>
          <w:i/>
          <w:sz w:val="22"/>
        </w:rPr>
        <w:t>Monetary</w:t>
      </w:r>
      <w:r>
        <w:rPr>
          <w:i/>
          <w:spacing w:val="-3"/>
          <w:sz w:val="22"/>
        </w:rPr>
        <w:t> </w:t>
      </w:r>
      <w:r>
        <w:rPr>
          <w:i/>
          <w:sz w:val="22"/>
        </w:rPr>
        <w:t>Fund</w:t>
      </w:r>
      <w:r>
        <w:rPr>
          <w:sz w:val="22"/>
        </w:rPr>
        <w:t>,</w:t>
      </w:r>
      <w:r>
        <w:rPr>
          <w:spacing w:val="-3"/>
          <w:sz w:val="22"/>
        </w:rPr>
        <w:t> </w:t>
      </w:r>
      <w:r>
        <w:rPr>
          <w:i/>
          <w:sz w:val="22"/>
        </w:rPr>
        <w:t>Vol. 32 </w:t>
      </w:r>
      <w:r>
        <w:rPr>
          <w:sz w:val="22"/>
        </w:rPr>
        <w:t>(December).</w:t>
      </w:r>
    </w:p>
    <w:p>
      <w:pPr>
        <w:spacing w:before="2"/>
        <w:ind w:left="711" w:right="0" w:firstLine="0"/>
        <w:jc w:val="left"/>
        <w:rPr>
          <w:sz w:val="22"/>
        </w:rPr>
      </w:pPr>
      <w:r>
        <w:rPr>
          <w:sz w:val="22"/>
        </w:rPr>
        <w:t>Khan,</w:t>
      </w:r>
      <w:r>
        <w:rPr>
          <w:spacing w:val="-3"/>
          <w:sz w:val="22"/>
        </w:rPr>
        <w:t> </w:t>
      </w:r>
      <w:r>
        <w:rPr>
          <w:sz w:val="22"/>
        </w:rPr>
        <w:t>M.</w:t>
      </w:r>
      <w:r>
        <w:rPr>
          <w:spacing w:val="-3"/>
          <w:sz w:val="22"/>
        </w:rPr>
        <w:t> </w:t>
      </w:r>
      <w:r>
        <w:rPr>
          <w:sz w:val="22"/>
        </w:rPr>
        <w:t>&amp;</w:t>
      </w:r>
      <w:r>
        <w:rPr>
          <w:spacing w:val="48"/>
          <w:sz w:val="22"/>
        </w:rPr>
        <w:t> </w:t>
      </w:r>
      <w:r>
        <w:rPr>
          <w:sz w:val="22"/>
        </w:rPr>
        <w:t>Ul</w:t>
      </w:r>
      <w:r>
        <w:rPr>
          <w:spacing w:val="-5"/>
          <w:sz w:val="22"/>
        </w:rPr>
        <w:t> </w:t>
      </w:r>
      <w:r>
        <w:rPr>
          <w:sz w:val="22"/>
        </w:rPr>
        <w:t>Haque,</w:t>
      </w:r>
      <w:r>
        <w:rPr>
          <w:spacing w:val="-3"/>
          <w:sz w:val="22"/>
        </w:rPr>
        <w:t> </w:t>
      </w:r>
      <w:r>
        <w:rPr>
          <w:sz w:val="22"/>
        </w:rPr>
        <w:t>N.</w:t>
      </w:r>
      <w:r>
        <w:rPr>
          <w:spacing w:val="-5"/>
          <w:sz w:val="22"/>
        </w:rPr>
        <w:t> </w:t>
      </w:r>
      <w:r>
        <w:rPr>
          <w:sz w:val="22"/>
        </w:rPr>
        <w:t>(1987).</w:t>
      </w:r>
      <w:r>
        <w:rPr>
          <w:spacing w:val="-3"/>
          <w:sz w:val="22"/>
        </w:rPr>
        <w:t> </w:t>
      </w:r>
      <w:r>
        <w:rPr>
          <w:sz w:val="22"/>
        </w:rPr>
        <w:t>Capital</w:t>
      </w:r>
      <w:r>
        <w:rPr>
          <w:spacing w:val="-2"/>
          <w:sz w:val="22"/>
        </w:rPr>
        <w:t> </w:t>
      </w:r>
      <w:r>
        <w:rPr>
          <w:sz w:val="22"/>
        </w:rPr>
        <w:t>Flight</w:t>
      </w:r>
      <w:r>
        <w:rPr>
          <w:spacing w:val="-5"/>
          <w:sz w:val="22"/>
        </w:rPr>
        <w:t> </w:t>
      </w:r>
      <w:r>
        <w:rPr>
          <w:sz w:val="22"/>
        </w:rPr>
        <w:t>from</w:t>
      </w:r>
      <w:r>
        <w:rPr>
          <w:spacing w:val="-6"/>
          <w:sz w:val="22"/>
        </w:rPr>
        <w:t> </w:t>
      </w:r>
      <w:r>
        <w:rPr>
          <w:sz w:val="22"/>
        </w:rPr>
        <w:t>Developing</w:t>
      </w:r>
      <w:r>
        <w:rPr>
          <w:spacing w:val="49"/>
          <w:sz w:val="22"/>
        </w:rPr>
        <w:t> </w:t>
      </w:r>
      <w:r>
        <w:rPr>
          <w:sz w:val="22"/>
        </w:rPr>
        <w:t>Countries.</w:t>
      </w:r>
      <w:r>
        <w:rPr>
          <w:spacing w:val="-3"/>
          <w:sz w:val="22"/>
        </w:rPr>
        <w:t> </w:t>
      </w:r>
      <w:r>
        <w:rPr>
          <w:i/>
          <w:sz w:val="22"/>
        </w:rPr>
        <w:t>Finance</w:t>
      </w:r>
      <w:r>
        <w:rPr>
          <w:i/>
          <w:spacing w:val="-2"/>
          <w:sz w:val="22"/>
        </w:rPr>
        <w:t> </w:t>
      </w:r>
      <w:r>
        <w:rPr>
          <w:i/>
          <w:sz w:val="22"/>
        </w:rPr>
        <w:t>and</w:t>
      </w:r>
      <w:r>
        <w:rPr>
          <w:i/>
          <w:spacing w:val="-3"/>
          <w:sz w:val="22"/>
        </w:rPr>
        <w:t> </w:t>
      </w:r>
      <w:r>
        <w:rPr>
          <w:i/>
          <w:sz w:val="22"/>
        </w:rPr>
        <w:t>Development,</w:t>
      </w:r>
      <w:r>
        <w:rPr>
          <w:i/>
          <w:spacing w:val="-4"/>
          <w:sz w:val="22"/>
        </w:rPr>
        <w:t> </w:t>
      </w:r>
      <w:r>
        <w:rPr>
          <w:sz w:val="22"/>
        </w:rPr>
        <w:t>March,</w:t>
      </w:r>
      <w:r>
        <w:rPr>
          <w:spacing w:val="-2"/>
          <w:sz w:val="22"/>
        </w:rPr>
        <w:t> </w:t>
      </w:r>
      <w:r>
        <w:rPr>
          <w:sz w:val="22"/>
        </w:rPr>
        <w:t>2-</w:t>
      </w:r>
      <w:r>
        <w:rPr>
          <w:spacing w:val="-5"/>
          <w:sz w:val="22"/>
        </w:rPr>
        <w:t>5.</w:t>
      </w:r>
    </w:p>
    <w:p>
      <w:pPr>
        <w:tabs>
          <w:tab w:pos="4312" w:val="left" w:leader="none"/>
          <w:tab w:pos="5752" w:val="left" w:leader="none"/>
        </w:tabs>
        <w:spacing w:before="242"/>
        <w:ind w:left="711" w:right="475" w:firstLine="0"/>
        <w:jc w:val="left"/>
        <w:rPr>
          <w:i/>
          <w:sz w:val="22"/>
        </w:rPr>
      </w:pPr>
      <w:r>
        <w:rPr>
          <w:sz w:val="22"/>
        </w:rPr>
        <w:t>Kindleberger</w:t>
      </w:r>
      <w:r>
        <w:rPr>
          <w:spacing w:val="-1"/>
          <w:sz w:val="22"/>
        </w:rPr>
        <w:t> </w:t>
      </w:r>
      <w:r>
        <w:rPr>
          <w:sz w:val="22"/>
        </w:rPr>
        <w:t>C.P</w:t>
      </w:r>
      <w:r>
        <w:rPr>
          <w:spacing w:val="-5"/>
          <w:sz w:val="22"/>
        </w:rPr>
        <w:t> </w:t>
      </w:r>
      <w:r>
        <w:rPr>
          <w:sz w:val="22"/>
        </w:rPr>
        <w:t>(1987).</w:t>
      </w:r>
      <w:r>
        <w:rPr>
          <w:spacing w:val="-2"/>
          <w:sz w:val="22"/>
        </w:rPr>
        <w:t> </w:t>
      </w:r>
      <w:r>
        <w:rPr>
          <w:sz w:val="22"/>
        </w:rPr>
        <w:t>Capital</w:t>
      </w:r>
      <w:r>
        <w:rPr>
          <w:spacing w:val="-1"/>
          <w:sz w:val="22"/>
        </w:rPr>
        <w:t> </w:t>
      </w:r>
      <w:r>
        <w:rPr>
          <w:sz w:val="22"/>
        </w:rPr>
        <w:t>Flight-</w:t>
      </w:r>
      <w:r>
        <w:rPr>
          <w:spacing w:val="-6"/>
          <w:sz w:val="22"/>
        </w:rPr>
        <w:t> </w:t>
      </w:r>
      <w:r>
        <w:rPr>
          <w:sz w:val="22"/>
        </w:rPr>
        <w:t>A</w:t>
      </w:r>
      <w:r>
        <w:rPr>
          <w:spacing w:val="-3"/>
          <w:sz w:val="22"/>
        </w:rPr>
        <w:t> </w:t>
      </w:r>
      <w:r>
        <w:rPr>
          <w:sz w:val="22"/>
        </w:rPr>
        <w:t>historical</w:t>
      </w:r>
      <w:r>
        <w:rPr>
          <w:spacing w:val="-1"/>
          <w:sz w:val="22"/>
        </w:rPr>
        <w:t> </w:t>
      </w:r>
      <w:r>
        <w:rPr>
          <w:sz w:val="22"/>
        </w:rPr>
        <w:t>perspective. In</w:t>
      </w:r>
      <w:r>
        <w:rPr>
          <w:spacing w:val="-2"/>
          <w:sz w:val="22"/>
        </w:rPr>
        <w:t> </w:t>
      </w:r>
      <w:r>
        <w:rPr>
          <w:sz w:val="22"/>
        </w:rPr>
        <w:t>Lessard</w:t>
      </w:r>
      <w:r>
        <w:rPr>
          <w:spacing w:val="-5"/>
          <w:sz w:val="22"/>
        </w:rPr>
        <w:t> </w:t>
      </w:r>
      <w:r>
        <w:rPr>
          <w:sz w:val="22"/>
        </w:rPr>
        <w:t>and Williamson (eds) Capital Flight and Third World Debt Washington D.C.</w:t>
        <w:tab/>
      </w:r>
      <w:r>
        <w:rPr>
          <w:i/>
          <w:sz w:val="22"/>
        </w:rPr>
        <w:t>Institute for</w:t>
        <w:tab/>
        <w:t>International Economics.</w:t>
      </w:r>
    </w:p>
    <w:p>
      <w:pPr>
        <w:tabs>
          <w:tab w:pos="10898" w:val="left" w:leader="none"/>
        </w:tabs>
        <w:spacing w:before="240"/>
        <w:ind w:left="711" w:right="469" w:firstLine="0"/>
        <w:jc w:val="left"/>
        <w:rPr>
          <w:sz w:val="22"/>
        </w:rPr>
      </w:pPr>
      <w:r>
        <w:rPr>
          <w:sz w:val="22"/>
        </w:rPr>
        <w:t>Lessard, Donald R., and John Williamson, (1987). Capital Flight and Third World” Washington.</w:t>
      </w:r>
      <w:r>
        <w:rPr>
          <w:spacing w:val="80"/>
          <w:sz w:val="22"/>
        </w:rPr>
        <w:t> </w:t>
      </w:r>
      <w:r>
        <w:rPr>
          <w:i/>
          <w:sz w:val="22"/>
        </w:rPr>
        <w:t>Institute</w:t>
        <w:tab/>
      </w:r>
      <w:r>
        <w:rPr>
          <w:i/>
          <w:spacing w:val="-4"/>
          <w:sz w:val="22"/>
        </w:rPr>
        <w:t>for </w:t>
      </w:r>
      <w:r>
        <w:rPr>
          <w:i/>
          <w:sz w:val="22"/>
        </w:rPr>
        <w:t>International Economics</w:t>
      </w:r>
      <w:r>
        <w:rPr>
          <w:sz w:val="22"/>
        </w:rPr>
        <w:t>.</w:t>
      </w:r>
    </w:p>
    <w:p>
      <w:pPr>
        <w:spacing w:before="239"/>
        <w:ind w:left="1431" w:right="470" w:hanging="721"/>
        <w:jc w:val="both"/>
        <w:rPr>
          <w:i/>
          <w:sz w:val="22"/>
        </w:rPr>
      </w:pPr>
      <w:r>
        <w:rPr>
          <w:sz w:val="22"/>
        </w:rPr>
        <w:t>Lensink, R., Niels H., and Victor M. (2002). The Effect of Financial Liberalization on Capital Flight in African Economies.</w:t>
      </w:r>
      <w:r>
        <w:rPr>
          <w:spacing w:val="40"/>
          <w:sz w:val="22"/>
        </w:rPr>
        <w:t> </w:t>
      </w:r>
      <w:r>
        <w:rPr>
          <w:i/>
          <w:sz w:val="22"/>
        </w:rPr>
        <w:t>World</w:t>
      </w:r>
    </w:p>
    <w:p>
      <w:pPr>
        <w:spacing w:before="240"/>
        <w:ind w:left="1431" w:right="0" w:firstLine="0"/>
        <w:jc w:val="left"/>
        <w:rPr>
          <w:sz w:val="22"/>
        </w:rPr>
      </w:pPr>
      <w:r>
        <w:rPr>
          <w:i/>
          <w:sz w:val="22"/>
        </w:rPr>
        <w:t>Development</w:t>
      </w:r>
      <w:r>
        <w:rPr>
          <w:sz w:val="22"/>
        </w:rPr>
        <w:t>,</w:t>
      </w:r>
      <w:r>
        <w:rPr>
          <w:spacing w:val="-5"/>
          <w:sz w:val="22"/>
        </w:rPr>
        <w:t> </w:t>
      </w:r>
      <w:r>
        <w:rPr>
          <w:i/>
          <w:sz w:val="22"/>
        </w:rPr>
        <w:t>Vol.</w:t>
      </w:r>
      <w:r>
        <w:rPr>
          <w:i/>
          <w:spacing w:val="-3"/>
          <w:sz w:val="22"/>
        </w:rPr>
        <w:t> </w:t>
      </w:r>
      <w:r>
        <w:rPr>
          <w:i/>
          <w:sz w:val="22"/>
        </w:rPr>
        <w:t>26</w:t>
      </w:r>
      <w:r>
        <w:rPr>
          <w:sz w:val="22"/>
        </w:rPr>
        <w:t>,</w:t>
      </w:r>
      <w:r>
        <w:rPr>
          <w:spacing w:val="-1"/>
          <w:sz w:val="22"/>
        </w:rPr>
        <w:t> </w:t>
      </w:r>
      <w:r>
        <w:rPr>
          <w:sz w:val="22"/>
        </w:rPr>
        <w:t>No.</w:t>
      </w:r>
      <w:r>
        <w:rPr>
          <w:spacing w:val="-4"/>
          <w:sz w:val="22"/>
        </w:rPr>
        <w:t> </w:t>
      </w:r>
      <w:r>
        <w:rPr>
          <w:sz w:val="22"/>
        </w:rPr>
        <w:t>7,</w:t>
      </w:r>
      <w:r>
        <w:rPr>
          <w:spacing w:val="-1"/>
          <w:sz w:val="22"/>
        </w:rPr>
        <w:t> </w:t>
      </w:r>
      <w:r>
        <w:rPr>
          <w:spacing w:val="-2"/>
          <w:sz w:val="22"/>
        </w:rPr>
        <w:t>1349–68.</w:t>
      </w:r>
    </w:p>
    <w:p>
      <w:pPr>
        <w:tabs>
          <w:tab w:pos="8633" w:val="left" w:leader="none"/>
          <w:tab w:pos="10009" w:val="left" w:leader="none"/>
          <w:tab w:pos="10822" w:val="left" w:leader="none"/>
        </w:tabs>
        <w:spacing w:before="242"/>
        <w:ind w:left="711" w:right="473" w:firstLine="0"/>
        <w:jc w:val="left"/>
        <w:rPr>
          <w:sz w:val="22"/>
        </w:rPr>
      </w:pPr>
      <w:r>
        <w:rPr>
          <w:sz w:val="22"/>
        </w:rPr>
        <w:t>Lensink, R., Niels H., &amp; Victor M. (2000). Capital flight and Political Risk. </w:t>
      </w:r>
      <w:r>
        <w:rPr>
          <w:i/>
          <w:sz w:val="22"/>
        </w:rPr>
        <w:t>Journal of</w:t>
        <w:tab/>
      </w:r>
      <w:r>
        <w:rPr>
          <w:i/>
          <w:spacing w:val="-2"/>
          <w:sz w:val="22"/>
        </w:rPr>
        <w:t>International</w:t>
      </w:r>
      <w:r>
        <w:rPr>
          <w:i/>
          <w:sz w:val="22"/>
        </w:rPr>
        <w:tab/>
      </w:r>
      <w:r>
        <w:rPr>
          <w:i/>
          <w:spacing w:val="-2"/>
          <w:sz w:val="22"/>
        </w:rPr>
        <w:t>Money</w:t>
      </w:r>
      <w:r>
        <w:rPr>
          <w:i/>
          <w:sz w:val="22"/>
        </w:rPr>
        <w:tab/>
      </w:r>
      <w:r>
        <w:rPr>
          <w:i/>
          <w:spacing w:val="-4"/>
          <w:sz w:val="22"/>
        </w:rPr>
        <w:t>and </w:t>
      </w:r>
      <w:r>
        <w:rPr>
          <w:i/>
          <w:sz w:val="22"/>
        </w:rPr>
        <w:t>Finance</w:t>
      </w:r>
      <w:r>
        <w:rPr>
          <w:sz w:val="22"/>
        </w:rPr>
        <w:t>, </w:t>
      </w:r>
      <w:r>
        <w:rPr>
          <w:i/>
          <w:sz w:val="22"/>
        </w:rPr>
        <w:t>19</w:t>
      </w:r>
      <w:r>
        <w:rPr>
          <w:sz w:val="22"/>
        </w:rPr>
        <w:t>,. 73–92.</w:t>
      </w:r>
    </w:p>
    <w:p>
      <w:pPr>
        <w:spacing w:before="237"/>
        <w:ind w:left="711" w:right="0" w:firstLine="0"/>
        <w:jc w:val="left"/>
        <w:rPr>
          <w:sz w:val="22"/>
        </w:rPr>
      </w:pPr>
      <w:r>
        <w:rPr>
          <w:sz w:val="22"/>
        </w:rPr>
        <w:t>Lensink</w:t>
      </w:r>
      <w:r>
        <w:rPr>
          <w:spacing w:val="-6"/>
          <w:sz w:val="22"/>
        </w:rPr>
        <w:t> </w:t>
      </w:r>
      <w:r>
        <w:rPr>
          <w:sz w:val="22"/>
        </w:rPr>
        <w:t>R.</w:t>
      </w:r>
      <w:r>
        <w:rPr>
          <w:spacing w:val="-2"/>
          <w:sz w:val="22"/>
        </w:rPr>
        <w:t> </w:t>
      </w:r>
      <w:r>
        <w:rPr>
          <w:sz w:val="22"/>
        </w:rPr>
        <w:t>(2000).</w:t>
      </w:r>
      <w:r>
        <w:rPr>
          <w:spacing w:val="-4"/>
          <w:sz w:val="22"/>
        </w:rPr>
        <w:t> </w:t>
      </w:r>
      <w:r>
        <w:rPr>
          <w:sz w:val="22"/>
        </w:rPr>
        <w:t>Capital</w:t>
      </w:r>
      <w:r>
        <w:rPr>
          <w:spacing w:val="-5"/>
          <w:sz w:val="22"/>
        </w:rPr>
        <w:t> </w:t>
      </w:r>
      <w:r>
        <w:rPr>
          <w:sz w:val="22"/>
        </w:rPr>
        <w:t>Flight</w:t>
      </w:r>
      <w:r>
        <w:rPr>
          <w:spacing w:val="-1"/>
          <w:sz w:val="22"/>
        </w:rPr>
        <w:t> </w:t>
      </w:r>
      <w:r>
        <w:rPr>
          <w:sz w:val="22"/>
        </w:rPr>
        <w:t>and</w:t>
      </w:r>
      <w:r>
        <w:rPr>
          <w:spacing w:val="-3"/>
          <w:sz w:val="22"/>
        </w:rPr>
        <w:t> </w:t>
      </w:r>
      <w:r>
        <w:rPr>
          <w:sz w:val="22"/>
        </w:rPr>
        <w:t>Political</w:t>
      </w:r>
      <w:r>
        <w:rPr>
          <w:spacing w:val="-1"/>
          <w:sz w:val="22"/>
        </w:rPr>
        <w:t> </w:t>
      </w:r>
      <w:r>
        <w:rPr>
          <w:sz w:val="22"/>
        </w:rPr>
        <w:t>Risk.</w:t>
      </w:r>
      <w:r>
        <w:rPr>
          <w:spacing w:val="50"/>
          <w:sz w:val="22"/>
        </w:rPr>
        <w:t> </w:t>
      </w:r>
      <w:r>
        <w:rPr>
          <w:i/>
          <w:sz w:val="22"/>
        </w:rPr>
        <w:t>Journal</w:t>
      </w:r>
      <w:r>
        <w:rPr>
          <w:i/>
          <w:spacing w:val="-1"/>
          <w:sz w:val="22"/>
        </w:rPr>
        <w:t> </w:t>
      </w:r>
      <w:r>
        <w:rPr>
          <w:i/>
          <w:sz w:val="22"/>
        </w:rPr>
        <w:t>of</w:t>
      </w:r>
      <w:r>
        <w:rPr>
          <w:i/>
          <w:spacing w:val="-5"/>
          <w:sz w:val="22"/>
        </w:rPr>
        <w:t> </w:t>
      </w:r>
      <w:r>
        <w:rPr>
          <w:i/>
          <w:sz w:val="22"/>
        </w:rPr>
        <w:t>International</w:t>
      </w:r>
      <w:r>
        <w:rPr>
          <w:i/>
          <w:spacing w:val="-1"/>
          <w:sz w:val="22"/>
        </w:rPr>
        <w:t> </w:t>
      </w:r>
      <w:r>
        <w:rPr>
          <w:i/>
          <w:sz w:val="22"/>
        </w:rPr>
        <w:t>Money</w:t>
      </w:r>
      <w:r>
        <w:rPr>
          <w:i/>
          <w:spacing w:val="-3"/>
          <w:sz w:val="22"/>
        </w:rPr>
        <w:t> </w:t>
      </w:r>
      <w:r>
        <w:rPr>
          <w:i/>
          <w:sz w:val="22"/>
        </w:rPr>
        <w:t>and</w:t>
      </w:r>
      <w:r>
        <w:rPr>
          <w:i/>
          <w:spacing w:val="-2"/>
          <w:sz w:val="22"/>
        </w:rPr>
        <w:t> </w:t>
      </w:r>
      <w:r>
        <w:rPr>
          <w:i/>
          <w:sz w:val="22"/>
        </w:rPr>
        <w:t>Finance,</w:t>
      </w:r>
      <w:r>
        <w:rPr>
          <w:i/>
          <w:spacing w:val="73"/>
          <w:w w:val="150"/>
          <w:sz w:val="22"/>
        </w:rPr>
        <w:t> </w:t>
      </w:r>
      <w:r>
        <w:rPr>
          <w:sz w:val="22"/>
        </w:rPr>
        <w:t>19</w:t>
      </w:r>
      <w:r>
        <w:rPr>
          <w:spacing w:val="-2"/>
          <w:sz w:val="22"/>
        </w:rPr>
        <w:t> </w:t>
      </w:r>
      <w:r>
        <w:rPr>
          <w:spacing w:val="-4"/>
          <w:sz w:val="22"/>
        </w:rPr>
        <w:t>(1).</w:t>
      </w:r>
    </w:p>
    <w:p>
      <w:pPr>
        <w:spacing w:after="0"/>
        <w:jc w:val="left"/>
        <w:rPr>
          <w:sz w:val="22"/>
        </w:rPr>
        <w:sectPr>
          <w:pgSz w:w="11910" w:h="16840"/>
          <w:pgMar w:header="0" w:footer="979" w:top="1340" w:bottom="1240" w:left="280" w:right="0"/>
        </w:sectPr>
      </w:pPr>
    </w:p>
    <w:p>
      <w:pPr>
        <w:tabs>
          <w:tab w:pos="9921" w:val="left" w:leader="none"/>
          <w:tab w:pos="10933" w:val="left" w:leader="none"/>
        </w:tabs>
        <w:spacing w:line="253" w:lineRule="exact" w:before="80"/>
        <w:ind w:left="711" w:right="0" w:firstLine="0"/>
        <w:jc w:val="left"/>
        <w:rPr>
          <w:i/>
          <w:sz w:val="22"/>
        </w:rPr>
      </w:pPr>
      <w:r>
        <w:rPr>
          <w:sz w:val="22"/>
        </w:rPr>
        <w:t>LE,</w:t>
      </w:r>
      <w:r>
        <w:rPr>
          <w:spacing w:val="-3"/>
          <w:sz w:val="22"/>
        </w:rPr>
        <w:t> </w:t>
      </w:r>
      <w:r>
        <w:rPr>
          <w:sz w:val="22"/>
        </w:rPr>
        <w:t>Q.</w:t>
      </w:r>
      <w:r>
        <w:rPr>
          <w:spacing w:val="-3"/>
          <w:sz w:val="22"/>
        </w:rPr>
        <w:t> </w:t>
      </w:r>
      <w:r>
        <w:rPr>
          <w:sz w:val="22"/>
        </w:rPr>
        <w:t>V.</w:t>
      </w:r>
      <w:r>
        <w:rPr>
          <w:spacing w:val="-2"/>
          <w:sz w:val="22"/>
        </w:rPr>
        <w:t> </w:t>
      </w:r>
      <w:r>
        <w:rPr>
          <w:sz w:val="22"/>
        </w:rPr>
        <w:t>and</w:t>
      </w:r>
      <w:r>
        <w:rPr>
          <w:spacing w:val="-3"/>
          <w:sz w:val="22"/>
        </w:rPr>
        <w:t> </w:t>
      </w:r>
      <w:r>
        <w:rPr>
          <w:sz w:val="22"/>
        </w:rPr>
        <w:t>ZAK.</w:t>
      </w:r>
      <w:r>
        <w:rPr>
          <w:spacing w:val="-2"/>
          <w:sz w:val="22"/>
        </w:rPr>
        <w:t> </w:t>
      </w:r>
      <w:r>
        <w:rPr>
          <w:sz w:val="22"/>
        </w:rPr>
        <w:t>P.</w:t>
      </w:r>
      <w:r>
        <w:rPr>
          <w:spacing w:val="-5"/>
          <w:sz w:val="22"/>
        </w:rPr>
        <w:t> </w:t>
      </w:r>
      <w:r>
        <w:rPr>
          <w:sz w:val="22"/>
        </w:rPr>
        <w:t>J.</w:t>
      </w:r>
      <w:r>
        <w:rPr>
          <w:spacing w:val="-6"/>
          <w:sz w:val="22"/>
        </w:rPr>
        <w:t> </w:t>
      </w:r>
      <w:r>
        <w:rPr>
          <w:sz w:val="22"/>
        </w:rPr>
        <w:t>(2006).</w:t>
      </w:r>
      <w:r>
        <w:rPr>
          <w:spacing w:val="-2"/>
          <w:sz w:val="22"/>
        </w:rPr>
        <w:t> </w:t>
      </w:r>
      <w:r>
        <w:rPr>
          <w:sz w:val="22"/>
        </w:rPr>
        <w:t>Political</w:t>
      </w:r>
      <w:r>
        <w:rPr>
          <w:spacing w:val="-2"/>
          <w:sz w:val="22"/>
        </w:rPr>
        <w:t> </w:t>
      </w:r>
      <w:r>
        <w:rPr>
          <w:sz w:val="22"/>
        </w:rPr>
        <w:t>risk</w:t>
      </w:r>
      <w:r>
        <w:rPr>
          <w:spacing w:val="-4"/>
          <w:sz w:val="22"/>
        </w:rPr>
        <w:t> </w:t>
      </w:r>
      <w:r>
        <w:rPr>
          <w:sz w:val="22"/>
        </w:rPr>
        <w:t>and</w:t>
      </w:r>
      <w:r>
        <w:rPr>
          <w:spacing w:val="-3"/>
          <w:sz w:val="22"/>
        </w:rPr>
        <w:t> </w:t>
      </w:r>
      <w:r>
        <w:rPr>
          <w:sz w:val="22"/>
        </w:rPr>
        <w:t>capital fight.</w:t>
      </w:r>
      <w:r>
        <w:rPr>
          <w:spacing w:val="-2"/>
          <w:sz w:val="22"/>
        </w:rPr>
        <w:t> </w:t>
      </w:r>
      <w:r>
        <w:rPr>
          <w:i/>
          <w:sz w:val="22"/>
        </w:rPr>
        <w:t>Journal</w:t>
      </w:r>
      <w:r>
        <w:rPr>
          <w:i/>
          <w:spacing w:val="-2"/>
          <w:sz w:val="22"/>
        </w:rPr>
        <w:t> </w:t>
      </w:r>
      <w:r>
        <w:rPr>
          <w:i/>
          <w:sz w:val="22"/>
        </w:rPr>
        <w:t>of</w:t>
      </w:r>
      <w:r>
        <w:rPr>
          <w:i/>
          <w:spacing w:val="-1"/>
          <w:sz w:val="22"/>
        </w:rPr>
        <w:t> </w:t>
      </w:r>
      <w:r>
        <w:rPr>
          <w:i/>
          <w:sz w:val="22"/>
        </w:rPr>
        <w:t>International</w:t>
      </w:r>
      <w:r>
        <w:rPr>
          <w:i/>
          <w:spacing w:val="-5"/>
          <w:sz w:val="22"/>
        </w:rPr>
        <w:t> </w:t>
      </w:r>
      <w:r>
        <w:rPr>
          <w:i/>
          <w:sz w:val="22"/>
        </w:rPr>
        <w:t>Money</w:t>
      </w:r>
      <w:r>
        <w:rPr>
          <w:i/>
          <w:spacing w:val="28"/>
          <w:sz w:val="22"/>
        </w:rPr>
        <w:t>  </w:t>
      </w:r>
      <w:r>
        <w:rPr>
          <w:i/>
          <w:spacing w:val="-5"/>
          <w:sz w:val="22"/>
        </w:rPr>
        <w:t>and</w:t>
      </w:r>
      <w:r>
        <w:rPr>
          <w:i/>
          <w:sz w:val="22"/>
        </w:rPr>
        <w:tab/>
      </w:r>
      <w:r>
        <w:rPr>
          <w:i/>
          <w:spacing w:val="-2"/>
          <w:sz w:val="22"/>
        </w:rPr>
        <w:t>Finance,</w:t>
      </w:r>
      <w:r>
        <w:rPr>
          <w:i/>
          <w:sz w:val="22"/>
        </w:rPr>
        <w:tab/>
      </w:r>
      <w:r>
        <w:rPr>
          <w:i/>
          <w:spacing w:val="-5"/>
          <w:sz w:val="22"/>
        </w:rPr>
        <w:t>25</w:t>
      </w:r>
    </w:p>
    <w:p>
      <w:pPr>
        <w:spacing w:line="253" w:lineRule="exact" w:before="0"/>
        <w:ind w:left="711" w:right="0" w:firstLine="0"/>
        <w:jc w:val="left"/>
        <w:rPr>
          <w:sz w:val="22"/>
        </w:rPr>
      </w:pPr>
      <w:r>
        <w:rPr>
          <w:i/>
          <w:sz w:val="22"/>
        </w:rPr>
        <w:t>(2):</w:t>
      </w:r>
      <w:r>
        <w:rPr>
          <w:i/>
          <w:spacing w:val="-7"/>
          <w:sz w:val="22"/>
        </w:rPr>
        <w:t> </w:t>
      </w:r>
      <w:r>
        <w:rPr>
          <w:sz w:val="22"/>
        </w:rPr>
        <w:t>308-</w:t>
      </w:r>
      <w:r>
        <w:rPr>
          <w:spacing w:val="-4"/>
          <w:sz w:val="22"/>
        </w:rPr>
        <w:t>329.</w:t>
      </w:r>
    </w:p>
    <w:p>
      <w:pPr>
        <w:tabs>
          <w:tab w:pos="9353" w:val="left" w:leader="none"/>
          <w:tab w:pos="10576" w:val="left" w:leader="none"/>
        </w:tabs>
        <w:spacing w:before="241"/>
        <w:ind w:left="711" w:right="472" w:firstLine="0"/>
        <w:jc w:val="left"/>
        <w:rPr>
          <w:i/>
          <w:sz w:val="22"/>
        </w:rPr>
      </w:pPr>
      <w:r>
        <w:rPr>
          <w:sz w:val="22"/>
        </w:rPr>
        <w:t>Mats Berdal and David Malone (eds.) (2000). Greed and Grievance: Economic Agendas.</w:t>
      </w:r>
      <w:r>
        <w:rPr>
          <w:spacing w:val="40"/>
          <w:sz w:val="22"/>
        </w:rPr>
        <w:t> </w:t>
      </w:r>
      <w:r>
        <w:rPr>
          <w:i/>
          <w:sz w:val="22"/>
        </w:rPr>
        <w:t>Civil</w:t>
        <w:tab/>
      </w:r>
      <w:r>
        <w:rPr>
          <w:i/>
          <w:spacing w:val="-4"/>
          <w:sz w:val="22"/>
        </w:rPr>
        <w:t>Wars</w:t>
      </w:r>
      <w:r>
        <w:rPr>
          <w:i/>
          <w:sz w:val="22"/>
        </w:rPr>
        <w:tab/>
      </w:r>
      <w:r>
        <w:rPr>
          <w:i/>
          <w:spacing w:val="-2"/>
          <w:sz w:val="22"/>
        </w:rPr>
        <w:t>IDRC/ Rienner</w:t>
      </w:r>
    </w:p>
    <w:p>
      <w:pPr>
        <w:spacing w:before="241"/>
        <w:ind w:left="711" w:right="0" w:firstLine="0"/>
        <w:jc w:val="left"/>
        <w:rPr>
          <w:sz w:val="22"/>
        </w:rPr>
      </w:pPr>
      <w:r>
        <w:rPr>
          <w:sz w:val="22"/>
        </w:rPr>
        <w:t>McDonald</w:t>
      </w:r>
      <w:r>
        <w:rPr>
          <w:spacing w:val="-2"/>
          <w:sz w:val="22"/>
        </w:rPr>
        <w:t> </w:t>
      </w:r>
      <w:r>
        <w:rPr>
          <w:sz w:val="22"/>
        </w:rPr>
        <w:t>(1985).</w:t>
      </w:r>
      <w:r>
        <w:rPr>
          <w:spacing w:val="40"/>
          <w:sz w:val="22"/>
        </w:rPr>
        <w:t> </w:t>
      </w:r>
      <w:r>
        <w:rPr>
          <w:sz w:val="22"/>
        </w:rPr>
        <w:t>Aspects</w:t>
      </w:r>
      <w:r>
        <w:rPr>
          <w:spacing w:val="-3"/>
          <w:sz w:val="22"/>
        </w:rPr>
        <w:t> </w:t>
      </w:r>
      <w:r>
        <w:rPr>
          <w:sz w:val="22"/>
        </w:rPr>
        <w:t>of</w:t>
      </w:r>
      <w:r>
        <w:rPr>
          <w:spacing w:val="-2"/>
          <w:sz w:val="22"/>
        </w:rPr>
        <w:t> </w:t>
      </w:r>
      <w:r>
        <w:rPr>
          <w:sz w:val="22"/>
        </w:rPr>
        <w:t>International</w:t>
      </w:r>
      <w:r>
        <w:rPr>
          <w:spacing w:val="-3"/>
          <w:sz w:val="22"/>
        </w:rPr>
        <w:t> </w:t>
      </w:r>
      <w:r>
        <w:rPr>
          <w:sz w:val="22"/>
        </w:rPr>
        <w:t>Financial</w:t>
      </w:r>
      <w:r>
        <w:rPr>
          <w:spacing w:val="-3"/>
          <w:sz w:val="22"/>
        </w:rPr>
        <w:t> </w:t>
      </w:r>
      <w:r>
        <w:rPr>
          <w:sz w:val="22"/>
        </w:rPr>
        <w:t>Architecture</w:t>
      </w:r>
      <w:r>
        <w:rPr>
          <w:spacing w:val="-2"/>
          <w:sz w:val="22"/>
        </w:rPr>
        <w:t> </w:t>
      </w:r>
      <w:r>
        <w:rPr>
          <w:sz w:val="22"/>
        </w:rPr>
        <w:t>as</w:t>
      </w:r>
      <w:r>
        <w:rPr>
          <w:spacing w:val="-2"/>
          <w:sz w:val="22"/>
        </w:rPr>
        <w:t> </w:t>
      </w:r>
      <w:r>
        <w:rPr>
          <w:sz w:val="22"/>
        </w:rPr>
        <w:t>Related</w:t>
      </w:r>
      <w:r>
        <w:rPr>
          <w:spacing w:val="-2"/>
          <w:sz w:val="22"/>
        </w:rPr>
        <w:t> </w:t>
      </w:r>
      <w:r>
        <w:rPr>
          <w:sz w:val="22"/>
        </w:rPr>
        <w:t>to</w:t>
      </w:r>
      <w:r>
        <w:rPr>
          <w:spacing w:val="40"/>
          <w:sz w:val="22"/>
        </w:rPr>
        <w:t> </w:t>
      </w:r>
      <w:r>
        <w:rPr>
          <w:sz w:val="22"/>
        </w:rPr>
        <w:t>Capital</w:t>
      </w:r>
      <w:r>
        <w:rPr>
          <w:spacing w:val="-1"/>
          <w:sz w:val="22"/>
        </w:rPr>
        <w:t> </w:t>
      </w:r>
      <w:r>
        <w:rPr>
          <w:sz w:val="22"/>
        </w:rPr>
        <w:t>Flight.</w:t>
      </w:r>
      <w:r>
        <w:rPr>
          <w:spacing w:val="80"/>
          <w:sz w:val="22"/>
        </w:rPr>
        <w:t> </w:t>
      </w:r>
      <w:r>
        <w:rPr>
          <w:i/>
          <w:sz w:val="22"/>
        </w:rPr>
        <w:t>Journal</w:t>
      </w:r>
      <w:r>
        <w:rPr>
          <w:i/>
          <w:spacing w:val="80"/>
          <w:sz w:val="22"/>
        </w:rPr>
        <w:t> </w:t>
      </w:r>
      <w:r>
        <w:rPr>
          <w:i/>
          <w:sz w:val="22"/>
        </w:rPr>
        <w:t>of</w:t>
      </w:r>
      <w:r>
        <w:rPr>
          <w:i/>
          <w:spacing w:val="80"/>
          <w:sz w:val="22"/>
        </w:rPr>
        <w:t> </w:t>
      </w:r>
      <w:r>
        <w:rPr>
          <w:i/>
          <w:sz w:val="22"/>
        </w:rPr>
        <w:t>Energy Literature </w:t>
      </w:r>
      <w:r>
        <w:rPr>
          <w:sz w:val="22"/>
        </w:rPr>
        <w:t>IX</w:t>
      </w:r>
      <w:r>
        <w:rPr>
          <w:i/>
          <w:sz w:val="22"/>
        </w:rPr>
        <w:t>, </w:t>
      </w:r>
      <w:r>
        <w:rPr>
          <w:sz w:val="22"/>
        </w:rPr>
        <w:t>3-41.</w:t>
      </w:r>
    </w:p>
    <w:p>
      <w:pPr>
        <w:spacing w:line="468" w:lineRule="auto" w:before="238"/>
        <w:ind w:left="711" w:right="0" w:firstLine="0"/>
        <w:jc w:val="left"/>
        <w:rPr>
          <w:i/>
          <w:sz w:val="22"/>
        </w:rPr>
      </w:pPr>
      <w:r>
        <w:rPr>
          <w:sz w:val="22"/>
        </w:rPr>
        <w:t>McKinnon,</w:t>
      </w:r>
      <w:r>
        <w:rPr>
          <w:spacing w:val="-3"/>
          <w:sz w:val="22"/>
        </w:rPr>
        <w:t> </w:t>
      </w:r>
      <w:r>
        <w:rPr>
          <w:sz w:val="22"/>
        </w:rPr>
        <w:t>R.I</w:t>
      </w:r>
      <w:r>
        <w:rPr>
          <w:spacing w:val="-7"/>
          <w:sz w:val="22"/>
        </w:rPr>
        <w:t> </w:t>
      </w:r>
      <w:r>
        <w:rPr>
          <w:sz w:val="22"/>
        </w:rPr>
        <w:t>(1976).</w:t>
      </w:r>
      <w:r>
        <w:rPr>
          <w:spacing w:val="-4"/>
          <w:sz w:val="22"/>
        </w:rPr>
        <w:t> </w:t>
      </w:r>
      <w:r>
        <w:rPr>
          <w:i/>
          <w:sz w:val="22"/>
        </w:rPr>
        <w:t>Money</w:t>
      </w:r>
      <w:r>
        <w:rPr>
          <w:i/>
          <w:spacing w:val="-3"/>
          <w:sz w:val="22"/>
        </w:rPr>
        <w:t> </w:t>
      </w:r>
      <w:r>
        <w:rPr>
          <w:i/>
          <w:sz w:val="22"/>
        </w:rPr>
        <w:t>and</w:t>
      </w:r>
      <w:r>
        <w:rPr>
          <w:i/>
          <w:spacing w:val="-3"/>
          <w:sz w:val="22"/>
        </w:rPr>
        <w:t> </w:t>
      </w:r>
      <w:r>
        <w:rPr>
          <w:i/>
          <w:sz w:val="22"/>
        </w:rPr>
        <w:t>Finance</w:t>
      </w:r>
      <w:r>
        <w:rPr>
          <w:i/>
          <w:spacing w:val="-5"/>
          <w:sz w:val="22"/>
        </w:rPr>
        <w:t> </w:t>
      </w:r>
      <w:r>
        <w:rPr>
          <w:i/>
          <w:sz w:val="22"/>
        </w:rPr>
        <w:t>in</w:t>
      </w:r>
      <w:r>
        <w:rPr>
          <w:i/>
          <w:spacing w:val="-1"/>
          <w:sz w:val="22"/>
        </w:rPr>
        <w:t> </w:t>
      </w:r>
      <w:r>
        <w:rPr>
          <w:i/>
          <w:sz w:val="22"/>
        </w:rPr>
        <w:t>Economic</w:t>
      </w:r>
      <w:r>
        <w:rPr>
          <w:i/>
          <w:spacing w:val="-3"/>
          <w:sz w:val="22"/>
        </w:rPr>
        <w:t> </w:t>
      </w:r>
      <w:r>
        <w:rPr>
          <w:i/>
          <w:sz w:val="22"/>
        </w:rPr>
        <w:t>Growth</w:t>
      </w:r>
      <w:r>
        <w:rPr>
          <w:i/>
          <w:spacing w:val="-2"/>
          <w:sz w:val="22"/>
        </w:rPr>
        <w:t> </w:t>
      </w:r>
      <w:r>
        <w:rPr>
          <w:i/>
          <w:sz w:val="22"/>
        </w:rPr>
        <w:t>and</w:t>
      </w:r>
      <w:r>
        <w:rPr>
          <w:i/>
          <w:spacing w:val="-3"/>
          <w:sz w:val="22"/>
        </w:rPr>
        <w:t> </w:t>
      </w:r>
      <w:r>
        <w:rPr>
          <w:i/>
          <w:sz w:val="22"/>
        </w:rPr>
        <w:t>Development</w:t>
      </w:r>
      <w:r>
        <w:rPr>
          <w:sz w:val="22"/>
        </w:rPr>
        <w:t>,</w:t>
      </w:r>
      <w:r>
        <w:rPr>
          <w:spacing w:val="-3"/>
          <w:sz w:val="22"/>
        </w:rPr>
        <w:t> </w:t>
      </w:r>
      <w:r>
        <w:rPr>
          <w:sz w:val="22"/>
        </w:rPr>
        <w:t>New</w:t>
      </w:r>
      <w:r>
        <w:rPr>
          <w:spacing w:val="-3"/>
          <w:sz w:val="22"/>
        </w:rPr>
        <w:t> </w:t>
      </w:r>
      <w:r>
        <w:rPr>
          <w:sz w:val="22"/>
        </w:rPr>
        <w:t>York,</w:t>
      </w:r>
      <w:r>
        <w:rPr>
          <w:spacing w:val="-3"/>
          <w:sz w:val="22"/>
        </w:rPr>
        <w:t> </w:t>
      </w:r>
      <w:r>
        <w:rPr>
          <w:sz w:val="22"/>
        </w:rPr>
        <w:t>Marcel</w:t>
      </w:r>
      <w:r>
        <w:rPr>
          <w:spacing w:val="-2"/>
          <w:sz w:val="22"/>
        </w:rPr>
        <w:t> </w:t>
      </w:r>
      <w:r>
        <w:rPr>
          <w:sz w:val="22"/>
        </w:rPr>
        <w:t>Dekker Ince Mikkelsen, J. G. (1991), An Econometric Investigation of Capital Flight.</w:t>
      </w:r>
      <w:r>
        <w:rPr>
          <w:spacing w:val="40"/>
          <w:sz w:val="22"/>
        </w:rPr>
        <w:t> </w:t>
      </w:r>
      <w:r>
        <w:rPr>
          <w:i/>
          <w:sz w:val="22"/>
        </w:rPr>
        <w:t>Applied</w:t>
      </w:r>
    </w:p>
    <w:p>
      <w:pPr>
        <w:tabs>
          <w:tab w:pos="2823" w:val="left" w:leader="none"/>
          <w:tab w:pos="3469" w:val="left" w:leader="none"/>
          <w:tab w:pos="4350" w:val="left" w:leader="none"/>
          <w:tab w:pos="5331" w:val="left" w:leader="none"/>
          <w:tab w:pos="6474" w:val="left" w:leader="none"/>
          <w:tab w:pos="7506" w:val="left" w:leader="none"/>
          <w:tab w:pos="8508" w:val="left" w:leader="none"/>
          <w:tab w:pos="9477" w:val="left" w:leader="none"/>
          <w:tab w:pos="10420" w:val="left" w:leader="none"/>
        </w:tabs>
        <w:spacing w:before="0"/>
        <w:ind w:left="1431" w:right="474" w:firstLine="0"/>
        <w:jc w:val="left"/>
        <w:rPr>
          <w:sz w:val="22"/>
        </w:rPr>
      </w:pPr>
      <w:r>
        <w:rPr/>
        <mc:AlternateContent>
          <mc:Choice Requires="wps">
            <w:drawing>
              <wp:anchor distT="0" distB="0" distL="0" distR="0" allowOverlap="1" layoutInCell="1" locked="0" behindDoc="0" simplePos="0" relativeHeight="15760384">
                <wp:simplePos x="0" y="0"/>
                <wp:positionH relativeFrom="page">
                  <wp:posOffset>3481451</wp:posOffset>
                </wp:positionH>
                <wp:positionV relativeFrom="paragraph">
                  <wp:posOffset>307144</wp:posOffset>
                </wp:positionV>
                <wp:extent cx="40005" cy="6350"/>
                <wp:effectExtent l="0" t="0" r="0" b="0"/>
                <wp:wrapNone/>
                <wp:docPr id="309" name="Graphic 309"/>
                <wp:cNvGraphicFramePr>
                  <a:graphicFrameLocks/>
                </wp:cNvGraphicFramePr>
                <a:graphic>
                  <a:graphicData uri="http://schemas.microsoft.com/office/word/2010/wordprocessingShape">
                    <wps:wsp>
                      <wps:cNvPr id="309" name="Graphic 309"/>
                      <wps:cNvSpPr/>
                      <wps:spPr>
                        <a:xfrm>
                          <a:off x="0" y="0"/>
                          <a:ext cx="40005" cy="6350"/>
                        </a:xfrm>
                        <a:custGeom>
                          <a:avLst/>
                          <a:gdLst/>
                          <a:ahLst/>
                          <a:cxnLst/>
                          <a:rect l="l" t="t" r="r" b="b"/>
                          <a:pathLst>
                            <a:path w="40005" h="6350">
                              <a:moveTo>
                                <a:pt x="39624" y="0"/>
                              </a:moveTo>
                              <a:lnTo>
                                <a:pt x="0" y="0"/>
                              </a:lnTo>
                              <a:lnTo>
                                <a:pt x="0" y="6095"/>
                              </a:lnTo>
                              <a:lnTo>
                                <a:pt x="39624" y="6095"/>
                              </a:lnTo>
                              <a:lnTo>
                                <a:pt x="396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74.130005pt;margin-top:24.184586pt;width:3.12pt;height:.47998pt;mso-position-horizontal-relative:page;mso-position-vertical-relative:paragraph;z-index:15760384" id="docshape290" filled="true" fillcolor="#000000" stroked="false">
                <v:fill type="solid"/>
                <w10:wrap type="none"/>
              </v:rect>
            </w:pict>
          </mc:Fallback>
        </mc:AlternateContent>
      </w:r>
      <w:r>
        <w:rPr>
          <w:i/>
          <w:spacing w:val="-2"/>
          <w:sz w:val="22"/>
        </w:rPr>
        <w:t>Economics,</w:t>
      </w:r>
      <w:r>
        <w:rPr>
          <w:i/>
          <w:sz w:val="22"/>
        </w:rPr>
        <w:tab/>
      </w:r>
      <w:r>
        <w:rPr>
          <w:i/>
          <w:spacing w:val="-4"/>
          <w:sz w:val="22"/>
        </w:rPr>
        <w:t>23,</w:t>
      </w:r>
      <w:r>
        <w:rPr>
          <w:i/>
          <w:sz w:val="22"/>
        </w:rPr>
        <w:tab/>
      </w:r>
      <w:r>
        <w:rPr>
          <w:spacing w:val="-2"/>
          <w:sz w:val="22"/>
        </w:rPr>
        <w:t>73-85</w:t>
      </w:r>
      <w:r>
        <w:rPr>
          <w:sz w:val="22"/>
        </w:rPr>
        <w:tab/>
      </w:r>
      <w:r>
        <w:rPr>
          <w:i/>
          <w:spacing w:val="-2"/>
          <w:sz w:val="22"/>
        </w:rPr>
        <w:t>Milken</w:t>
      </w:r>
      <w:r>
        <w:rPr>
          <w:i/>
          <w:sz w:val="22"/>
        </w:rPr>
        <w:tab/>
      </w:r>
      <w:r>
        <w:rPr>
          <w:i/>
          <w:spacing w:val="-2"/>
          <w:sz w:val="22"/>
        </w:rPr>
        <w:t>Institute,</w:t>
      </w:r>
      <w:r>
        <w:rPr>
          <w:i/>
          <w:sz w:val="22"/>
        </w:rPr>
        <w:tab/>
      </w:r>
      <w:r>
        <w:rPr>
          <w:i/>
          <w:spacing w:val="-2"/>
          <w:sz w:val="22"/>
        </w:rPr>
        <w:t>Capital</w:t>
      </w:r>
      <w:r>
        <w:rPr>
          <w:i/>
          <w:sz w:val="22"/>
        </w:rPr>
        <w:tab/>
      </w:r>
      <w:r>
        <w:rPr>
          <w:i/>
          <w:spacing w:val="-2"/>
          <w:sz w:val="22"/>
        </w:rPr>
        <w:t>Market</w:t>
      </w:r>
      <w:r>
        <w:rPr>
          <w:i/>
          <w:sz w:val="22"/>
        </w:rPr>
        <w:tab/>
      </w:r>
      <w:r>
        <w:rPr>
          <w:i/>
          <w:spacing w:val="-2"/>
          <w:sz w:val="22"/>
        </w:rPr>
        <w:t>Access</w:t>
      </w:r>
      <w:r>
        <w:rPr>
          <w:i/>
          <w:sz w:val="22"/>
        </w:rPr>
        <w:tab/>
      </w:r>
      <w:r>
        <w:rPr>
          <w:i/>
          <w:spacing w:val="-2"/>
          <w:sz w:val="22"/>
        </w:rPr>
        <w:t>(Santa</w:t>
      </w:r>
      <w:r>
        <w:rPr>
          <w:i/>
          <w:sz w:val="22"/>
        </w:rPr>
        <w:tab/>
      </w:r>
      <w:r>
        <w:rPr>
          <w:i/>
          <w:spacing w:val="-2"/>
          <w:sz w:val="22"/>
        </w:rPr>
        <w:t>Monica, </w:t>
      </w:r>
      <w:r>
        <w:rPr>
          <w:i/>
          <w:sz w:val="22"/>
        </w:rPr>
        <w:t>California)</w:t>
      </w:r>
      <w:hyperlink r:id="rId15">
        <w:r>
          <w:rPr>
            <w:i/>
            <w:sz w:val="22"/>
          </w:rPr>
          <w:t>.</w:t>
        </w:r>
        <w:r>
          <w:rPr>
            <w:sz w:val="22"/>
          </w:rPr>
          <w:t>http://www.milkeninstitute.org/</w:t>
        </w:r>
      </w:hyperlink>
      <w:r>
        <w:rPr>
          <w:sz w:val="22"/>
        </w:rPr>
        <w:t> capital market access.</w:t>
      </w:r>
    </w:p>
    <w:p>
      <w:pPr>
        <w:tabs>
          <w:tab w:pos="7912" w:val="left" w:leader="none"/>
          <w:tab w:pos="9353" w:val="left" w:leader="none"/>
          <w:tab w:pos="10497" w:val="left" w:leader="none"/>
          <w:tab w:pos="10824" w:val="left" w:leader="none"/>
        </w:tabs>
        <w:spacing w:line="252" w:lineRule="exact" w:before="241"/>
        <w:ind w:left="711" w:right="0" w:firstLine="0"/>
        <w:jc w:val="left"/>
        <w:rPr>
          <w:sz w:val="22"/>
        </w:rPr>
      </w:pPr>
      <w:r>
        <w:rPr>
          <w:sz w:val="22"/>
        </w:rPr>
        <w:t>Mohamed,</w:t>
      </w:r>
      <w:r>
        <w:rPr>
          <w:spacing w:val="-3"/>
          <w:sz w:val="22"/>
        </w:rPr>
        <w:t> </w:t>
      </w:r>
      <w:r>
        <w:rPr>
          <w:sz w:val="22"/>
        </w:rPr>
        <w:t>S.</w:t>
      </w:r>
      <w:r>
        <w:rPr>
          <w:spacing w:val="-3"/>
          <w:sz w:val="22"/>
        </w:rPr>
        <w:t> </w:t>
      </w:r>
      <w:r>
        <w:rPr>
          <w:sz w:val="22"/>
        </w:rPr>
        <w:t>&amp;</w:t>
      </w:r>
      <w:r>
        <w:rPr>
          <w:spacing w:val="-5"/>
          <w:sz w:val="22"/>
        </w:rPr>
        <w:t> </w:t>
      </w:r>
      <w:r>
        <w:rPr>
          <w:sz w:val="22"/>
        </w:rPr>
        <w:t>Finnoff,</w:t>
      </w:r>
      <w:r>
        <w:rPr>
          <w:spacing w:val="-5"/>
          <w:sz w:val="22"/>
        </w:rPr>
        <w:t> </w:t>
      </w:r>
      <w:r>
        <w:rPr>
          <w:sz w:val="22"/>
        </w:rPr>
        <w:t>K.</w:t>
      </w:r>
      <w:r>
        <w:rPr>
          <w:spacing w:val="-6"/>
          <w:sz w:val="22"/>
        </w:rPr>
        <w:t> </w:t>
      </w:r>
      <w:r>
        <w:rPr>
          <w:sz w:val="22"/>
        </w:rPr>
        <w:t>(2004).</w:t>
      </w:r>
      <w:r>
        <w:rPr>
          <w:spacing w:val="-1"/>
          <w:sz w:val="22"/>
        </w:rPr>
        <w:t> </w:t>
      </w:r>
      <w:r>
        <w:rPr>
          <w:i/>
          <w:sz w:val="22"/>
        </w:rPr>
        <w:t>Capital</w:t>
      </w:r>
      <w:r>
        <w:rPr>
          <w:i/>
          <w:spacing w:val="-2"/>
          <w:sz w:val="22"/>
        </w:rPr>
        <w:t> </w:t>
      </w:r>
      <w:r>
        <w:rPr>
          <w:i/>
          <w:sz w:val="22"/>
        </w:rPr>
        <w:t>Flight</w:t>
      </w:r>
      <w:r>
        <w:rPr>
          <w:i/>
          <w:spacing w:val="-1"/>
          <w:sz w:val="22"/>
        </w:rPr>
        <w:t> </w:t>
      </w:r>
      <w:r>
        <w:rPr>
          <w:i/>
          <w:sz w:val="22"/>
        </w:rPr>
        <w:t>and</w:t>
      </w:r>
      <w:r>
        <w:rPr>
          <w:i/>
          <w:spacing w:val="-6"/>
          <w:sz w:val="22"/>
        </w:rPr>
        <w:t> </w:t>
      </w:r>
      <w:r>
        <w:rPr>
          <w:i/>
          <w:sz w:val="22"/>
        </w:rPr>
        <w:t>Capital</w:t>
      </w:r>
      <w:r>
        <w:rPr>
          <w:i/>
          <w:spacing w:val="-2"/>
          <w:sz w:val="22"/>
        </w:rPr>
        <w:t> </w:t>
      </w:r>
      <w:r>
        <w:rPr>
          <w:i/>
          <w:sz w:val="22"/>
        </w:rPr>
        <w:t>Controls</w:t>
      </w:r>
      <w:r>
        <w:rPr>
          <w:i/>
          <w:spacing w:val="-4"/>
          <w:sz w:val="22"/>
        </w:rPr>
        <w:t> </w:t>
      </w:r>
      <w:r>
        <w:rPr>
          <w:i/>
          <w:spacing w:val="-5"/>
          <w:sz w:val="22"/>
        </w:rPr>
        <w:t>in</w:t>
      </w:r>
      <w:r>
        <w:rPr>
          <w:i/>
          <w:sz w:val="22"/>
        </w:rPr>
        <w:tab/>
      </w:r>
      <w:r>
        <w:rPr>
          <w:i/>
          <w:spacing w:val="-2"/>
          <w:sz w:val="22"/>
        </w:rPr>
        <w:t>Developing</w:t>
      </w:r>
      <w:r>
        <w:rPr>
          <w:i/>
          <w:sz w:val="22"/>
        </w:rPr>
        <w:tab/>
      </w:r>
      <w:r>
        <w:rPr>
          <w:i/>
          <w:spacing w:val="-2"/>
          <w:sz w:val="22"/>
        </w:rPr>
        <w:t>Countries</w:t>
      </w:r>
      <w:r>
        <w:rPr>
          <w:i/>
          <w:sz w:val="22"/>
        </w:rPr>
        <w:tab/>
      </w:r>
      <w:r>
        <w:rPr>
          <w:spacing w:val="-10"/>
          <w:sz w:val="22"/>
        </w:rPr>
        <w:t>.</w:t>
      </w:r>
      <w:r>
        <w:rPr>
          <w:sz w:val="22"/>
        </w:rPr>
        <w:tab/>
      </w:r>
      <w:r>
        <w:rPr>
          <w:spacing w:val="-5"/>
          <w:sz w:val="22"/>
        </w:rPr>
        <w:t>85–</w:t>
      </w:r>
    </w:p>
    <w:p>
      <w:pPr>
        <w:spacing w:line="252" w:lineRule="exact" w:before="0"/>
        <w:ind w:left="711" w:right="0" w:firstLine="0"/>
        <w:jc w:val="left"/>
        <w:rPr>
          <w:sz w:val="22"/>
        </w:rPr>
      </w:pPr>
      <w:r>
        <w:rPr>
          <w:sz w:val="22"/>
        </w:rPr>
        <w:t>115).</w:t>
      </w:r>
      <w:r>
        <w:rPr>
          <w:spacing w:val="-5"/>
          <w:sz w:val="22"/>
        </w:rPr>
        <w:t> </w:t>
      </w:r>
      <w:r>
        <w:rPr>
          <w:sz w:val="22"/>
        </w:rPr>
        <w:t>Cheltenham:</w:t>
      </w:r>
      <w:r>
        <w:rPr>
          <w:spacing w:val="-3"/>
          <w:sz w:val="22"/>
        </w:rPr>
        <w:t> </w:t>
      </w:r>
      <w:r>
        <w:rPr>
          <w:sz w:val="22"/>
        </w:rPr>
        <w:t>Edward</w:t>
      </w:r>
      <w:r>
        <w:rPr>
          <w:spacing w:val="-7"/>
          <w:sz w:val="22"/>
        </w:rPr>
        <w:t> </w:t>
      </w:r>
      <w:r>
        <w:rPr>
          <w:spacing w:val="-2"/>
          <w:sz w:val="22"/>
        </w:rPr>
        <w:t>Elgar.</w:t>
      </w:r>
    </w:p>
    <w:p>
      <w:pPr>
        <w:tabs>
          <w:tab w:pos="9353" w:val="left" w:leader="none"/>
        </w:tabs>
        <w:spacing w:line="490" w:lineRule="atLeast" w:before="4"/>
        <w:ind w:left="711" w:right="475" w:firstLine="0"/>
        <w:jc w:val="left"/>
        <w:rPr>
          <w:sz w:val="22"/>
        </w:rPr>
      </w:pPr>
      <w:r>
        <w:rPr>
          <w:sz w:val="22"/>
        </w:rPr>
        <w:t>Morgan Guaranty Trust Company, (1986). LDC Capital Flight. </w:t>
      </w:r>
      <w:r>
        <w:rPr>
          <w:i/>
          <w:sz w:val="22"/>
        </w:rPr>
        <w:t>World Financial Markets</w:t>
      </w:r>
      <w:r>
        <w:rPr>
          <w:sz w:val="22"/>
        </w:rPr>
        <w:t>,</w:t>
        <w:tab/>
        <w:t>March, 13-15. MurindeV.,N</w:t>
      </w:r>
      <w:r>
        <w:rPr>
          <w:spacing w:val="31"/>
          <w:sz w:val="22"/>
        </w:rPr>
        <w:t> </w:t>
      </w:r>
      <w:r>
        <w:rPr>
          <w:sz w:val="22"/>
        </w:rPr>
        <w:t>Hermes</w:t>
      </w:r>
      <w:r>
        <w:rPr>
          <w:spacing w:val="32"/>
          <w:sz w:val="22"/>
        </w:rPr>
        <w:t> </w:t>
      </w:r>
      <w:r>
        <w:rPr>
          <w:sz w:val="22"/>
        </w:rPr>
        <w:t>&amp;</w:t>
      </w:r>
      <w:r>
        <w:rPr>
          <w:spacing w:val="30"/>
          <w:sz w:val="22"/>
        </w:rPr>
        <w:t> </w:t>
      </w:r>
      <w:r>
        <w:rPr>
          <w:sz w:val="22"/>
        </w:rPr>
        <w:t>Lensink,</w:t>
      </w:r>
      <w:r>
        <w:rPr>
          <w:spacing w:val="31"/>
          <w:sz w:val="22"/>
        </w:rPr>
        <w:t> </w:t>
      </w:r>
      <w:r>
        <w:rPr>
          <w:sz w:val="22"/>
        </w:rPr>
        <w:t>L.</w:t>
      </w:r>
      <w:r>
        <w:rPr>
          <w:spacing w:val="31"/>
          <w:sz w:val="22"/>
        </w:rPr>
        <w:t> </w:t>
      </w:r>
      <w:r>
        <w:rPr>
          <w:sz w:val="22"/>
        </w:rPr>
        <w:t>(1996).</w:t>
      </w:r>
      <w:r>
        <w:rPr>
          <w:spacing w:val="31"/>
          <w:sz w:val="22"/>
        </w:rPr>
        <w:t> </w:t>
      </w:r>
      <w:r>
        <w:rPr>
          <w:sz w:val="22"/>
        </w:rPr>
        <w:t>Comparative</w:t>
      </w:r>
      <w:r>
        <w:rPr>
          <w:spacing w:val="31"/>
          <w:sz w:val="22"/>
        </w:rPr>
        <w:t> </w:t>
      </w:r>
      <w:r>
        <w:rPr>
          <w:sz w:val="22"/>
        </w:rPr>
        <w:t>Aspects</w:t>
      </w:r>
      <w:r>
        <w:rPr>
          <w:spacing w:val="31"/>
          <w:sz w:val="22"/>
        </w:rPr>
        <w:t> </w:t>
      </w:r>
      <w:r>
        <w:rPr>
          <w:sz w:val="22"/>
        </w:rPr>
        <w:t>of</w:t>
      </w:r>
      <w:r>
        <w:rPr>
          <w:spacing w:val="29"/>
          <w:sz w:val="22"/>
        </w:rPr>
        <w:t> </w:t>
      </w:r>
      <w:r>
        <w:rPr>
          <w:sz w:val="22"/>
        </w:rPr>
        <w:t>the</w:t>
      </w:r>
      <w:r>
        <w:rPr>
          <w:spacing w:val="31"/>
          <w:sz w:val="22"/>
        </w:rPr>
        <w:t> </w:t>
      </w:r>
      <w:r>
        <w:rPr>
          <w:sz w:val="22"/>
        </w:rPr>
        <w:t>Magnitude</w:t>
      </w:r>
      <w:r>
        <w:rPr>
          <w:spacing w:val="31"/>
          <w:sz w:val="22"/>
        </w:rPr>
        <w:t> </w:t>
      </w:r>
      <w:r>
        <w:rPr>
          <w:sz w:val="22"/>
        </w:rPr>
        <w:t>and</w:t>
      </w:r>
      <w:r>
        <w:rPr>
          <w:spacing w:val="31"/>
          <w:sz w:val="22"/>
        </w:rPr>
        <w:t> </w:t>
      </w:r>
      <w:r>
        <w:rPr>
          <w:sz w:val="22"/>
        </w:rPr>
        <w:t>Determinants</w:t>
      </w:r>
      <w:r>
        <w:rPr>
          <w:spacing w:val="31"/>
          <w:sz w:val="22"/>
        </w:rPr>
        <w:t> </w:t>
      </w:r>
      <w:r>
        <w:rPr>
          <w:sz w:val="22"/>
        </w:rPr>
        <w:t>of</w:t>
      </w:r>
      <w:r>
        <w:rPr>
          <w:spacing w:val="30"/>
          <w:sz w:val="22"/>
        </w:rPr>
        <w:t> </w:t>
      </w:r>
      <w:r>
        <w:rPr>
          <w:sz w:val="22"/>
        </w:rPr>
        <w:t>Capital</w:t>
      </w:r>
    </w:p>
    <w:p>
      <w:pPr>
        <w:tabs>
          <w:tab w:pos="5752" w:val="left" w:leader="none"/>
        </w:tabs>
        <w:spacing w:before="3"/>
        <w:ind w:left="1431" w:right="0" w:firstLine="0"/>
        <w:jc w:val="left"/>
        <w:rPr>
          <w:sz w:val="22"/>
        </w:rPr>
      </w:pPr>
      <w:r>
        <w:rPr>
          <w:sz w:val="22"/>
        </w:rPr>
        <w:t>Flight</w:t>
      </w:r>
      <w:r>
        <w:rPr>
          <w:spacing w:val="-4"/>
          <w:sz w:val="22"/>
        </w:rPr>
        <w:t> </w:t>
      </w:r>
      <w:r>
        <w:rPr>
          <w:sz w:val="22"/>
        </w:rPr>
        <w:t>in</w:t>
      </w:r>
      <w:r>
        <w:rPr>
          <w:spacing w:val="-3"/>
          <w:sz w:val="22"/>
        </w:rPr>
        <w:t> </w:t>
      </w:r>
      <w:r>
        <w:rPr>
          <w:sz w:val="22"/>
        </w:rPr>
        <w:t>Six</w:t>
      </w:r>
      <w:r>
        <w:rPr>
          <w:spacing w:val="-3"/>
          <w:sz w:val="22"/>
        </w:rPr>
        <w:t> </w:t>
      </w:r>
      <w:r>
        <w:rPr>
          <w:sz w:val="22"/>
        </w:rPr>
        <w:t>Sub-Saharan</w:t>
      </w:r>
      <w:r>
        <w:rPr>
          <w:spacing w:val="-4"/>
          <w:sz w:val="22"/>
        </w:rPr>
        <w:t> </w:t>
      </w:r>
      <w:r>
        <w:rPr>
          <w:sz w:val="22"/>
        </w:rPr>
        <w:t>African</w:t>
      </w:r>
      <w:r>
        <w:rPr>
          <w:spacing w:val="-2"/>
          <w:sz w:val="22"/>
        </w:rPr>
        <w:t> Countries.</w:t>
      </w:r>
      <w:r>
        <w:rPr>
          <w:sz w:val="22"/>
        </w:rPr>
        <w:tab/>
      </w:r>
      <w:r>
        <w:rPr>
          <w:i/>
          <w:sz w:val="22"/>
        </w:rPr>
        <w:t>Saving</w:t>
      </w:r>
      <w:r>
        <w:rPr>
          <w:i/>
          <w:spacing w:val="-8"/>
          <w:sz w:val="22"/>
        </w:rPr>
        <w:t> </w:t>
      </w:r>
      <w:r>
        <w:rPr>
          <w:i/>
          <w:sz w:val="22"/>
        </w:rPr>
        <w:t>and</w:t>
      </w:r>
      <w:r>
        <w:rPr>
          <w:i/>
          <w:spacing w:val="-2"/>
          <w:sz w:val="22"/>
        </w:rPr>
        <w:t> </w:t>
      </w:r>
      <w:r>
        <w:rPr>
          <w:i/>
          <w:sz w:val="22"/>
        </w:rPr>
        <w:t>Development</w:t>
      </w:r>
      <w:r>
        <w:rPr>
          <w:sz w:val="22"/>
        </w:rPr>
        <w:t>,</w:t>
      </w:r>
      <w:r>
        <w:rPr>
          <w:spacing w:val="-2"/>
          <w:sz w:val="22"/>
        </w:rPr>
        <w:t> 20(1).</w:t>
      </w:r>
    </w:p>
    <w:p>
      <w:pPr>
        <w:tabs>
          <w:tab w:pos="6472" w:val="left" w:leader="none"/>
          <w:tab w:pos="8633" w:val="left" w:leader="none"/>
        </w:tabs>
        <w:spacing w:before="239"/>
        <w:ind w:left="711" w:right="471" w:firstLine="0"/>
        <w:jc w:val="left"/>
        <w:rPr>
          <w:sz w:val="22"/>
        </w:rPr>
      </w:pPr>
      <w:r>
        <w:rPr>
          <w:sz w:val="22"/>
        </w:rPr>
        <w:t>Nayak, Dinkar N., (1977).</w:t>
      </w:r>
      <w:r>
        <w:rPr>
          <w:spacing w:val="40"/>
          <w:sz w:val="22"/>
        </w:rPr>
        <w:t> </w:t>
      </w:r>
      <w:r>
        <w:rPr>
          <w:sz w:val="22"/>
        </w:rPr>
        <w:t>%Capital Flight from India (1975-1995), Foreign Trade</w:t>
        <w:tab/>
        <w:t>Review:”</w:t>
      </w:r>
      <w:r>
        <w:rPr>
          <w:spacing w:val="-3"/>
          <w:sz w:val="22"/>
        </w:rPr>
        <w:t> </w:t>
      </w:r>
      <w:r>
        <w:rPr>
          <w:i/>
          <w:sz w:val="22"/>
        </w:rPr>
        <w:t>Quarterly</w:t>
      </w:r>
      <w:r>
        <w:rPr>
          <w:i/>
          <w:spacing w:val="-4"/>
          <w:sz w:val="22"/>
        </w:rPr>
        <w:t> </w:t>
      </w:r>
      <w:r>
        <w:rPr>
          <w:i/>
          <w:sz w:val="22"/>
        </w:rPr>
        <w:t>Journal of the Indian Institute of Foreign Trade (India); 34, No. 2</w:t>
      </w:r>
      <w:r>
        <w:rPr>
          <w:sz w:val="22"/>
        </w:rPr>
        <w:t>,</w:t>
        <w:tab/>
      </w:r>
      <w:r>
        <w:rPr>
          <w:spacing w:val="-2"/>
          <w:sz w:val="22"/>
        </w:rPr>
        <w:t>57-73.</w:t>
      </w:r>
    </w:p>
    <w:p>
      <w:pPr>
        <w:tabs>
          <w:tab w:pos="7302" w:val="left" w:leader="none"/>
        </w:tabs>
        <w:spacing w:before="241"/>
        <w:ind w:left="1522" w:right="473" w:hanging="812"/>
        <w:jc w:val="both"/>
        <w:rPr>
          <w:sz w:val="22"/>
        </w:rPr>
      </w:pPr>
      <w:r>
        <w:rPr>
          <w:sz w:val="22"/>
        </w:rPr>
        <w:t>Ndikumana,</w:t>
      </w:r>
      <w:r>
        <w:rPr>
          <w:spacing w:val="40"/>
          <w:sz w:val="22"/>
        </w:rPr>
        <w:t> </w:t>
      </w:r>
      <w:r>
        <w:rPr>
          <w:sz w:val="22"/>
        </w:rPr>
        <w:t>L. &amp; Boyce, J.</w:t>
      </w:r>
      <w:r>
        <w:rPr>
          <w:spacing w:val="40"/>
          <w:sz w:val="22"/>
        </w:rPr>
        <w:t> </w:t>
      </w:r>
      <w:r>
        <w:rPr>
          <w:sz w:val="22"/>
        </w:rPr>
        <w:t>(1992). Is Africa a Net Creditor? New</w:t>
        <w:tab/>
        <w:t>Estimates of Capital Flight from Severely Indebted</w:t>
      </w:r>
      <w:r>
        <w:rPr>
          <w:spacing w:val="-2"/>
          <w:sz w:val="22"/>
        </w:rPr>
        <w:t> </w:t>
      </w:r>
      <w:r>
        <w:rPr>
          <w:sz w:val="22"/>
        </w:rPr>
        <w:t>Sub-Saharan</w:t>
      </w:r>
      <w:r>
        <w:rPr>
          <w:spacing w:val="-2"/>
          <w:sz w:val="22"/>
        </w:rPr>
        <w:t> </w:t>
      </w:r>
      <w:r>
        <w:rPr>
          <w:sz w:val="22"/>
        </w:rPr>
        <w:t>African Countries. </w:t>
      </w:r>
      <w:r>
        <w:rPr>
          <w:i/>
          <w:sz w:val="22"/>
        </w:rPr>
        <w:t>Department of Economics and Political Economy Reseach Institute</w:t>
      </w:r>
      <w:r>
        <w:rPr>
          <w:sz w:val="22"/>
        </w:rPr>
        <w:t>. Amherst, MA 01003</w:t>
      </w:r>
    </w:p>
    <w:p>
      <w:pPr>
        <w:tabs>
          <w:tab w:pos="2021" w:val="left" w:leader="none"/>
          <w:tab w:pos="3726" w:val="left" w:leader="none"/>
        </w:tabs>
        <w:spacing w:before="240"/>
        <w:ind w:left="711" w:right="0" w:firstLine="0"/>
        <w:jc w:val="left"/>
        <w:rPr>
          <w:sz w:val="22"/>
        </w:rPr>
      </w:pPr>
      <w:r>
        <w:rPr>
          <w:spacing w:val="-2"/>
          <w:sz w:val="22"/>
        </w:rPr>
        <w:t>Ndikumana,</w:t>
      </w:r>
      <w:r>
        <w:rPr>
          <w:sz w:val="22"/>
        </w:rPr>
        <w:tab/>
        <w:t>L.</w:t>
      </w:r>
      <w:r>
        <w:rPr>
          <w:spacing w:val="61"/>
          <w:sz w:val="22"/>
        </w:rPr>
        <w:t> </w:t>
      </w:r>
      <w:r>
        <w:rPr>
          <w:sz w:val="22"/>
        </w:rPr>
        <w:t>&amp;</w:t>
      </w:r>
      <w:r>
        <w:rPr>
          <w:spacing w:val="59"/>
          <w:sz w:val="22"/>
        </w:rPr>
        <w:t> </w:t>
      </w:r>
      <w:r>
        <w:rPr>
          <w:sz w:val="22"/>
        </w:rPr>
        <w:t>Boyce,</w:t>
      </w:r>
      <w:r>
        <w:rPr>
          <w:spacing w:val="60"/>
          <w:sz w:val="22"/>
        </w:rPr>
        <w:t> </w:t>
      </w:r>
      <w:r>
        <w:rPr>
          <w:spacing w:val="-5"/>
          <w:sz w:val="22"/>
        </w:rPr>
        <w:t>J.</w:t>
      </w:r>
      <w:r>
        <w:rPr>
          <w:sz w:val="22"/>
        </w:rPr>
        <w:tab/>
        <w:t>(1998).</w:t>
      </w:r>
      <w:r>
        <w:rPr>
          <w:spacing w:val="54"/>
          <w:sz w:val="22"/>
        </w:rPr>
        <w:t> </w:t>
      </w:r>
      <w:r>
        <w:rPr>
          <w:sz w:val="22"/>
        </w:rPr>
        <w:t>Congo’s</w:t>
      </w:r>
      <w:r>
        <w:rPr>
          <w:spacing w:val="57"/>
          <w:sz w:val="22"/>
        </w:rPr>
        <w:t> </w:t>
      </w:r>
      <w:r>
        <w:rPr>
          <w:sz w:val="22"/>
        </w:rPr>
        <w:t>Odius</w:t>
      </w:r>
      <w:r>
        <w:rPr>
          <w:spacing w:val="56"/>
          <w:sz w:val="22"/>
        </w:rPr>
        <w:t> </w:t>
      </w:r>
      <w:r>
        <w:rPr>
          <w:sz w:val="22"/>
        </w:rPr>
        <w:t>Debt:</w:t>
      </w:r>
      <w:r>
        <w:rPr>
          <w:spacing w:val="57"/>
          <w:sz w:val="22"/>
        </w:rPr>
        <w:t> </w:t>
      </w:r>
      <w:r>
        <w:rPr>
          <w:sz w:val="22"/>
        </w:rPr>
        <w:t>External</w:t>
      </w:r>
      <w:r>
        <w:rPr>
          <w:spacing w:val="57"/>
          <w:sz w:val="22"/>
        </w:rPr>
        <w:t> </w:t>
      </w:r>
      <w:r>
        <w:rPr>
          <w:sz w:val="22"/>
        </w:rPr>
        <w:t>Borrowing</w:t>
      </w:r>
      <w:r>
        <w:rPr>
          <w:spacing w:val="54"/>
          <w:sz w:val="22"/>
        </w:rPr>
        <w:t> </w:t>
      </w:r>
      <w:r>
        <w:rPr>
          <w:sz w:val="22"/>
        </w:rPr>
        <w:t>and</w:t>
      </w:r>
      <w:r>
        <w:rPr>
          <w:spacing w:val="58"/>
          <w:sz w:val="22"/>
        </w:rPr>
        <w:t> </w:t>
      </w:r>
      <w:r>
        <w:rPr>
          <w:sz w:val="22"/>
        </w:rPr>
        <w:t>Capital</w:t>
      </w:r>
      <w:r>
        <w:rPr>
          <w:spacing w:val="57"/>
          <w:sz w:val="22"/>
        </w:rPr>
        <w:t> </w:t>
      </w:r>
      <w:r>
        <w:rPr>
          <w:sz w:val="22"/>
        </w:rPr>
        <w:t>Flight</w:t>
      </w:r>
      <w:r>
        <w:rPr>
          <w:spacing w:val="55"/>
          <w:sz w:val="22"/>
        </w:rPr>
        <w:t> </w:t>
      </w:r>
      <w:r>
        <w:rPr>
          <w:sz w:val="22"/>
        </w:rPr>
        <w:t>in</w:t>
      </w:r>
      <w:r>
        <w:rPr>
          <w:spacing w:val="57"/>
          <w:sz w:val="22"/>
        </w:rPr>
        <w:t> </w:t>
      </w:r>
      <w:r>
        <w:rPr>
          <w:spacing w:val="-2"/>
          <w:sz w:val="22"/>
        </w:rPr>
        <w:t>Zaire.</w:t>
      </w:r>
    </w:p>
    <w:p>
      <w:pPr>
        <w:spacing w:before="1"/>
        <w:ind w:left="1431" w:right="0" w:firstLine="0"/>
        <w:jc w:val="left"/>
        <w:rPr>
          <w:sz w:val="22"/>
        </w:rPr>
      </w:pPr>
      <w:r>
        <w:rPr>
          <w:i/>
          <w:sz w:val="22"/>
        </w:rPr>
        <w:t>Development</w:t>
      </w:r>
      <w:r>
        <w:rPr>
          <w:i/>
          <w:spacing w:val="-9"/>
          <w:sz w:val="22"/>
        </w:rPr>
        <w:t> </w:t>
      </w:r>
      <w:r>
        <w:rPr>
          <w:i/>
          <w:sz w:val="22"/>
        </w:rPr>
        <w:t>and</w:t>
      </w:r>
      <w:r>
        <w:rPr>
          <w:i/>
          <w:spacing w:val="-4"/>
          <w:sz w:val="22"/>
        </w:rPr>
        <w:t> </w:t>
      </w:r>
      <w:r>
        <w:rPr>
          <w:i/>
          <w:sz w:val="22"/>
        </w:rPr>
        <w:t>Change</w:t>
      </w:r>
      <w:r>
        <w:rPr>
          <w:i/>
          <w:spacing w:val="-2"/>
          <w:sz w:val="22"/>
        </w:rPr>
        <w:t> </w:t>
      </w:r>
      <w:r>
        <w:rPr>
          <w:sz w:val="22"/>
        </w:rPr>
        <w:t>29,2,</w:t>
      </w:r>
      <w:r>
        <w:rPr>
          <w:spacing w:val="-4"/>
          <w:sz w:val="22"/>
        </w:rPr>
        <w:t> </w:t>
      </w:r>
      <w:r>
        <w:rPr>
          <w:sz w:val="22"/>
        </w:rPr>
        <w:t>195-</w:t>
      </w:r>
      <w:r>
        <w:rPr>
          <w:spacing w:val="-4"/>
          <w:sz w:val="22"/>
        </w:rPr>
        <w:t>217.</w:t>
      </w:r>
    </w:p>
    <w:p>
      <w:pPr>
        <w:spacing w:before="239"/>
        <w:ind w:left="1431" w:right="469" w:hanging="721"/>
        <w:jc w:val="both"/>
        <w:rPr>
          <w:sz w:val="22"/>
        </w:rPr>
      </w:pPr>
      <w:r>
        <w:rPr>
          <w:sz w:val="22"/>
        </w:rPr>
        <w:t>Ndikumana, L. &amp; Boyce, J.</w:t>
      </w:r>
      <w:r>
        <w:rPr>
          <w:spacing w:val="40"/>
          <w:sz w:val="22"/>
        </w:rPr>
        <w:t> </w:t>
      </w:r>
      <w:r>
        <w:rPr>
          <w:sz w:val="22"/>
        </w:rPr>
        <w:t>(2003). Public Debt and Private Assets: Explaining Capital Flight from Sub-Saharan African Countries. </w:t>
      </w:r>
      <w:r>
        <w:rPr>
          <w:i/>
          <w:sz w:val="22"/>
        </w:rPr>
        <w:t>World Development</w:t>
      </w:r>
      <w:r>
        <w:rPr>
          <w:sz w:val="22"/>
        </w:rPr>
        <w:t>, </w:t>
      </w:r>
      <w:r>
        <w:rPr>
          <w:i/>
          <w:sz w:val="22"/>
        </w:rPr>
        <w:t>Vol. 31</w:t>
      </w:r>
      <w:r>
        <w:rPr>
          <w:sz w:val="22"/>
        </w:rPr>
        <w:t>, No. 1, 107-130.</w:t>
      </w:r>
    </w:p>
    <w:p>
      <w:pPr>
        <w:spacing w:before="241"/>
        <w:ind w:left="1431" w:right="469" w:hanging="721"/>
        <w:jc w:val="both"/>
        <w:rPr>
          <w:sz w:val="22"/>
        </w:rPr>
      </w:pPr>
      <w:r>
        <w:rPr>
          <w:sz w:val="22"/>
        </w:rPr>
        <w:t>Ndikumana,</w:t>
      </w:r>
      <w:r>
        <w:rPr>
          <w:spacing w:val="-1"/>
          <w:sz w:val="22"/>
        </w:rPr>
        <w:t> </w:t>
      </w:r>
      <w:r>
        <w:rPr>
          <w:sz w:val="22"/>
        </w:rPr>
        <w:t>L.</w:t>
      </w:r>
      <w:r>
        <w:rPr>
          <w:spacing w:val="-1"/>
          <w:sz w:val="22"/>
        </w:rPr>
        <w:t> </w:t>
      </w:r>
      <w:r>
        <w:rPr>
          <w:sz w:val="22"/>
        </w:rPr>
        <w:t>&amp;</w:t>
      </w:r>
      <w:r>
        <w:rPr>
          <w:spacing w:val="-3"/>
          <w:sz w:val="22"/>
        </w:rPr>
        <w:t> </w:t>
      </w:r>
      <w:r>
        <w:rPr>
          <w:sz w:val="22"/>
        </w:rPr>
        <w:t>James</w:t>
      </w:r>
      <w:r>
        <w:rPr>
          <w:spacing w:val="-1"/>
          <w:sz w:val="22"/>
        </w:rPr>
        <w:t> </w:t>
      </w:r>
      <w:r>
        <w:rPr>
          <w:sz w:val="22"/>
        </w:rPr>
        <w:t>Boyce</w:t>
      </w:r>
      <w:r>
        <w:rPr>
          <w:spacing w:val="-1"/>
          <w:sz w:val="22"/>
        </w:rPr>
        <w:t> </w:t>
      </w:r>
      <w:r>
        <w:rPr>
          <w:sz w:val="22"/>
        </w:rPr>
        <w:t>(2008).</w:t>
      </w:r>
      <w:r>
        <w:rPr>
          <w:spacing w:val="-1"/>
          <w:sz w:val="22"/>
        </w:rPr>
        <w:t> </w:t>
      </w:r>
      <w:r>
        <w:rPr>
          <w:sz w:val="22"/>
        </w:rPr>
        <w:t>New</w:t>
      </w:r>
      <w:r>
        <w:rPr>
          <w:spacing w:val="-1"/>
          <w:sz w:val="22"/>
        </w:rPr>
        <w:t> </w:t>
      </w:r>
      <w:r>
        <w:rPr>
          <w:sz w:val="22"/>
        </w:rPr>
        <w:t>Estimates</w:t>
      </w:r>
      <w:r>
        <w:rPr>
          <w:spacing w:val="-1"/>
          <w:sz w:val="22"/>
        </w:rPr>
        <w:t> </w:t>
      </w:r>
      <w:r>
        <w:rPr>
          <w:sz w:val="22"/>
        </w:rPr>
        <w:t>of Capital Flight from</w:t>
      </w:r>
      <w:r>
        <w:rPr>
          <w:spacing w:val="80"/>
          <w:sz w:val="22"/>
        </w:rPr>
        <w:t> </w:t>
      </w:r>
      <w:r>
        <w:rPr>
          <w:sz w:val="22"/>
        </w:rPr>
        <w:t>Sub-Saharan</w:t>
      </w:r>
      <w:r>
        <w:rPr>
          <w:spacing w:val="80"/>
          <w:sz w:val="22"/>
        </w:rPr>
        <w:t> </w:t>
      </w:r>
      <w:r>
        <w:rPr>
          <w:sz w:val="22"/>
        </w:rPr>
        <w:t>African</w:t>
      </w:r>
      <w:r>
        <w:rPr>
          <w:spacing w:val="80"/>
          <w:sz w:val="22"/>
        </w:rPr>
        <w:t> </w:t>
      </w:r>
      <w:r>
        <w:rPr>
          <w:sz w:val="22"/>
        </w:rPr>
        <w:t>Countries: Linkages</w:t>
      </w:r>
      <w:r>
        <w:rPr>
          <w:spacing w:val="-1"/>
          <w:sz w:val="22"/>
        </w:rPr>
        <w:t> </w:t>
      </w:r>
      <w:r>
        <w:rPr>
          <w:sz w:val="22"/>
        </w:rPr>
        <w:t>with</w:t>
      </w:r>
      <w:r>
        <w:rPr>
          <w:spacing w:val="-1"/>
          <w:sz w:val="22"/>
        </w:rPr>
        <w:t> </w:t>
      </w:r>
      <w:r>
        <w:rPr>
          <w:sz w:val="22"/>
        </w:rPr>
        <w:t>External Borrowing</w:t>
      </w:r>
      <w:r>
        <w:rPr>
          <w:spacing w:val="80"/>
          <w:w w:val="150"/>
          <w:sz w:val="22"/>
        </w:rPr>
        <w:t>  </w:t>
      </w:r>
      <w:r>
        <w:rPr>
          <w:sz w:val="22"/>
        </w:rPr>
        <w:t>and</w:t>
      </w:r>
      <w:r>
        <w:rPr>
          <w:spacing w:val="40"/>
          <w:sz w:val="22"/>
        </w:rPr>
        <w:t> </w:t>
      </w:r>
      <w:r>
        <w:rPr>
          <w:sz w:val="22"/>
        </w:rPr>
        <w:t>Policy</w:t>
      </w:r>
      <w:r>
        <w:rPr>
          <w:spacing w:val="40"/>
          <w:sz w:val="22"/>
        </w:rPr>
        <w:t> </w:t>
      </w:r>
      <w:r>
        <w:rPr>
          <w:sz w:val="22"/>
        </w:rPr>
        <w:t>Options.</w:t>
      </w:r>
      <w:r>
        <w:rPr>
          <w:spacing w:val="40"/>
          <w:sz w:val="22"/>
        </w:rPr>
        <w:t>  </w:t>
      </w:r>
      <w:r>
        <w:rPr>
          <w:i/>
          <w:sz w:val="22"/>
        </w:rPr>
        <w:t>PERI</w:t>
      </w:r>
      <w:r>
        <w:rPr>
          <w:i/>
          <w:spacing w:val="40"/>
          <w:sz w:val="22"/>
        </w:rPr>
        <w:t> </w:t>
      </w:r>
      <w:r>
        <w:rPr>
          <w:i/>
          <w:sz w:val="22"/>
        </w:rPr>
        <w:t>Working</w:t>
      </w:r>
      <w:r>
        <w:rPr>
          <w:i/>
          <w:spacing w:val="40"/>
          <w:sz w:val="22"/>
        </w:rPr>
        <w:t> </w:t>
      </w:r>
      <w:r>
        <w:rPr>
          <w:i/>
          <w:sz w:val="22"/>
        </w:rPr>
        <w:t>Paper</w:t>
      </w:r>
      <w:r>
        <w:rPr>
          <w:i/>
          <w:spacing w:val="40"/>
          <w:sz w:val="22"/>
        </w:rPr>
        <w:t> </w:t>
      </w:r>
      <w:r>
        <w:rPr>
          <w:i/>
          <w:sz w:val="22"/>
        </w:rPr>
        <w:t>Series</w:t>
      </w:r>
      <w:r>
        <w:rPr>
          <w:sz w:val="22"/>
        </w:rPr>
        <w:t>.</w:t>
      </w:r>
      <w:r>
        <w:rPr>
          <w:spacing w:val="40"/>
          <w:sz w:val="22"/>
        </w:rPr>
        <w:t> </w:t>
      </w:r>
      <w:r>
        <w:rPr>
          <w:sz w:val="22"/>
        </w:rPr>
        <w:t>No.</w:t>
      </w:r>
      <w:r>
        <w:rPr>
          <w:spacing w:val="40"/>
          <w:sz w:val="22"/>
        </w:rPr>
        <w:t> </w:t>
      </w:r>
      <w:r>
        <w:rPr>
          <w:sz w:val="22"/>
        </w:rPr>
        <w:t>166, University of Massachusetts Amherst, USA.</w:t>
      </w:r>
    </w:p>
    <w:p>
      <w:pPr>
        <w:tabs>
          <w:tab w:pos="9353" w:val="left" w:leader="none"/>
          <w:tab w:pos="10336" w:val="left" w:leader="none"/>
        </w:tabs>
        <w:spacing w:before="239"/>
        <w:ind w:left="711" w:right="470" w:firstLine="0"/>
        <w:jc w:val="left"/>
        <w:rPr>
          <w:i/>
          <w:sz w:val="22"/>
        </w:rPr>
      </w:pPr>
      <w:r>
        <w:rPr>
          <w:sz w:val="22"/>
        </w:rPr>
        <w:t>Ndikumana, L. (2000). Financial Determinants of Domestic Investment in Sub-</w:t>
      </w:r>
      <w:r>
        <w:rPr>
          <w:spacing w:val="80"/>
          <w:w w:val="150"/>
          <w:sz w:val="22"/>
        </w:rPr>
        <w:t> </w:t>
      </w:r>
      <w:r>
        <w:rPr>
          <w:sz w:val="22"/>
        </w:rPr>
        <w:t>Saharan</w:t>
        <w:tab/>
      </w:r>
      <w:r>
        <w:rPr>
          <w:spacing w:val="-2"/>
          <w:sz w:val="22"/>
        </w:rPr>
        <w:t>Africa:</w:t>
      </w:r>
      <w:r>
        <w:rPr>
          <w:sz w:val="22"/>
        </w:rPr>
        <w:tab/>
      </w:r>
      <w:r>
        <w:rPr>
          <w:spacing w:val="-2"/>
          <w:sz w:val="22"/>
        </w:rPr>
        <w:t>Evidence </w:t>
      </w:r>
      <w:r>
        <w:rPr>
          <w:sz w:val="22"/>
        </w:rPr>
        <w:t>from Panel Data. </w:t>
      </w:r>
      <w:r>
        <w:rPr>
          <w:i/>
          <w:sz w:val="22"/>
        </w:rPr>
        <w:t>World Development, Elsevier,</w:t>
      </w:r>
      <w:r>
        <w:rPr>
          <w:i/>
          <w:spacing w:val="40"/>
          <w:sz w:val="22"/>
        </w:rPr>
        <w:t> </w:t>
      </w:r>
      <w:r>
        <w:rPr>
          <w:i/>
          <w:sz w:val="22"/>
        </w:rPr>
        <w:t>Vol. 28 (2), </w:t>
      </w:r>
      <w:r>
        <w:rPr>
          <w:sz w:val="22"/>
        </w:rPr>
        <w:t>381-400</w:t>
      </w:r>
      <w:r>
        <w:rPr>
          <w:i/>
          <w:sz w:val="22"/>
        </w:rPr>
        <w:t>.</w:t>
      </w:r>
    </w:p>
    <w:p>
      <w:pPr>
        <w:tabs>
          <w:tab w:pos="7912" w:val="left" w:leader="none"/>
        </w:tabs>
        <w:spacing w:before="241"/>
        <w:ind w:left="711" w:right="0" w:firstLine="0"/>
        <w:jc w:val="left"/>
        <w:rPr>
          <w:sz w:val="22"/>
        </w:rPr>
      </w:pPr>
      <w:r>
        <w:rPr>
          <w:sz w:val="22"/>
        </w:rPr>
        <w:t>N’geno</w:t>
      </w:r>
      <w:r>
        <w:rPr>
          <w:spacing w:val="-3"/>
          <w:sz w:val="22"/>
        </w:rPr>
        <w:t> </w:t>
      </w:r>
      <w:r>
        <w:rPr>
          <w:sz w:val="22"/>
        </w:rPr>
        <w:t>N.K.</w:t>
      </w:r>
      <w:r>
        <w:rPr>
          <w:spacing w:val="-2"/>
          <w:sz w:val="22"/>
        </w:rPr>
        <w:t> </w:t>
      </w:r>
      <w:r>
        <w:rPr>
          <w:sz w:val="22"/>
        </w:rPr>
        <w:t>(1994).</w:t>
      </w:r>
      <w:r>
        <w:rPr>
          <w:spacing w:val="-3"/>
          <w:sz w:val="22"/>
        </w:rPr>
        <w:t> </w:t>
      </w:r>
      <w:r>
        <w:rPr>
          <w:sz w:val="22"/>
        </w:rPr>
        <w:t>Capital</w:t>
      </w:r>
      <w:r>
        <w:rPr>
          <w:spacing w:val="-1"/>
          <w:sz w:val="22"/>
        </w:rPr>
        <w:t> </w:t>
      </w:r>
      <w:r>
        <w:rPr>
          <w:sz w:val="22"/>
        </w:rPr>
        <w:t>Flight</w:t>
      </w:r>
      <w:r>
        <w:rPr>
          <w:spacing w:val="-2"/>
          <w:sz w:val="22"/>
        </w:rPr>
        <w:t> </w:t>
      </w:r>
      <w:r>
        <w:rPr>
          <w:sz w:val="22"/>
        </w:rPr>
        <w:t>in</w:t>
      </w:r>
      <w:r>
        <w:rPr>
          <w:spacing w:val="-5"/>
          <w:sz w:val="22"/>
        </w:rPr>
        <w:t> </w:t>
      </w:r>
      <w:r>
        <w:rPr>
          <w:sz w:val="22"/>
        </w:rPr>
        <w:t>Kenya.</w:t>
      </w:r>
      <w:r>
        <w:rPr>
          <w:spacing w:val="52"/>
          <w:sz w:val="22"/>
        </w:rPr>
        <w:t> </w:t>
      </w:r>
      <w:r>
        <w:rPr>
          <w:i/>
          <w:sz w:val="22"/>
        </w:rPr>
        <w:t>Paper</w:t>
      </w:r>
      <w:r>
        <w:rPr>
          <w:i/>
          <w:spacing w:val="-4"/>
          <w:sz w:val="22"/>
        </w:rPr>
        <w:t> </w:t>
      </w:r>
      <w:r>
        <w:rPr>
          <w:i/>
          <w:sz w:val="22"/>
        </w:rPr>
        <w:t>Presented</w:t>
      </w:r>
      <w:r>
        <w:rPr>
          <w:i/>
          <w:spacing w:val="-5"/>
          <w:sz w:val="22"/>
        </w:rPr>
        <w:t> </w:t>
      </w:r>
      <w:r>
        <w:rPr>
          <w:i/>
          <w:sz w:val="22"/>
        </w:rPr>
        <w:t>at</w:t>
      </w:r>
      <w:r>
        <w:rPr>
          <w:i/>
          <w:spacing w:val="-4"/>
          <w:sz w:val="22"/>
        </w:rPr>
        <w:t> </w:t>
      </w:r>
      <w:r>
        <w:rPr>
          <w:i/>
          <w:sz w:val="22"/>
        </w:rPr>
        <w:t>the</w:t>
      </w:r>
      <w:r>
        <w:rPr>
          <w:i/>
          <w:spacing w:val="-2"/>
          <w:sz w:val="22"/>
        </w:rPr>
        <w:t> </w:t>
      </w:r>
      <w:r>
        <w:rPr>
          <w:i/>
          <w:spacing w:val="-4"/>
          <w:sz w:val="22"/>
        </w:rPr>
        <w:t>AERC</w:t>
      </w:r>
      <w:r>
        <w:rPr>
          <w:i/>
          <w:sz w:val="22"/>
        </w:rPr>
        <w:tab/>
        <w:t>Workshop</w:t>
      </w:r>
      <w:r>
        <w:rPr>
          <w:i/>
          <w:spacing w:val="-5"/>
          <w:sz w:val="22"/>
        </w:rPr>
        <w:t> </w:t>
      </w:r>
      <w:r>
        <w:rPr>
          <w:i/>
          <w:sz w:val="22"/>
        </w:rPr>
        <w:t>in</w:t>
      </w:r>
      <w:r>
        <w:rPr>
          <w:i/>
          <w:spacing w:val="-2"/>
          <w:sz w:val="22"/>
        </w:rPr>
        <w:t> </w:t>
      </w:r>
      <w:r>
        <w:rPr>
          <w:i/>
          <w:sz w:val="22"/>
        </w:rPr>
        <w:t>Nairob</w:t>
      </w:r>
      <w:r>
        <w:rPr>
          <w:sz w:val="22"/>
        </w:rPr>
        <w:t>i</w:t>
      </w:r>
      <w:r>
        <w:rPr>
          <w:spacing w:val="-2"/>
          <w:sz w:val="22"/>
        </w:rPr>
        <w:t> (may/june).</w:t>
      </w:r>
    </w:p>
    <w:p>
      <w:pPr>
        <w:tabs>
          <w:tab w:pos="9353" w:val="left" w:leader="none"/>
        </w:tabs>
        <w:spacing w:before="239"/>
        <w:ind w:left="711" w:right="1295" w:firstLine="0"/>
        <w:jc w:val="left"/>
        <w:rPr>
          <w:sz w:val="22"/>
        </w:rPr>
      </w:pPr>
      <w:r>
        <w:rPr>
          <w:sz w:val="22"/>
        </w:rPr>
        <w:t>North, D.(1990). </w:t>
      </w:r>
      <w:r>
        <w:rPr>
          <w:i/>
          <w:sz w:val="22"/>
        </w:rPr>
        <w:t>Institutions, Institutional Change, and Economic Performance</w:t>
      </w:r>
      <w:r>
        <w:rPr>
          <w:sz w:val="22"/>
        </w:rPr>
        <w:t>. New York:</w:t>
        <w:tab/>
      </w:r>
      <w:r>
        <w:rPr>
          <w:spacing w:val="-2"/>
          <w:sz w:val="22"/>
        </w:rPr>
        <w:t>Cambridge </w:t>
      </w:r>
      <w:r>
        <w:rPr>
          <w:sz w:val="22"/>
        </w:rPr>
        <w:t>University Press.</w:t>
      </w:r>
    </w:p>
    <w:p>
      <w:pPr>
        <w:spacing w:before="241"/>
        <w:ind w:left="1431" w:right="469" w:hanging="721"/>
        <w:jc w:val="both"/>
        <w:rPr>
          <w:sz w:val="22"/>
        </w:rPr>
      </w:pPr>
      <w:r>
        <w:rPr>
          <w:sz w:val="22"/>
        </w:rPr>
        <w:t>Nyatepe-Coo. (1994). Estimation of Capital Flight Management Techniques in Developing Countries. </w:t>
      </w:r>
      <w:r>
        <w:rPr>
          <w:i/>
          <w:sz w:val="22"/>
        </w:rPr>
        <w:t>PERI Working Paper </w:t>
      </w:r>
      <w:r>
        <w:rPr>
          <w:sz w:val="22"/>
        </w:rPr>
        <w:t>Nº56, Political Economy</w:t>
      </w:r>
      <w:r>
        <w:rPr>
          <w:spacing w:val="80"/>
          <w:sz w:val="22"/>
        </w:rPr>
        <w:t> </w:t>
      </w:r>
      <w:r>
        <w:rPr>
          <w:sz w:val="22"/>
        </w:rPr>
        <w:t>Research Institute, University of Massachusetts, Amherst, MA.</w:t>
      </w:r>
    </w:p>
    <w:p>
      <w:pPr>
        <w:pStyle w:val="BodyText"/>
        <w:spacing w:before="251"/>
        <w:rPr>
          <w:sz w:val="22"/>
        </w:rPr>
      </w:pPr>
    </w:p>
    <w:p>
      <w:pPr>
        <w:spacing w:line="225" w:lineRule="auto" w:before="0"/>
        <w:ind w:left="1431" w:right="476" w:hanging="721"/>
        <w:jc w:val="both"/>
        <w:rPr>
          <w:rFonts w:ascii="Yu Gothic" w:hAnsi="Yu Gothic"/>
          <w:sz w:val="22"/>
        </w:rPr>
      </w:pPr>
      <w:r>
        <w:rPr>
          <w:sz w:val="22"/>
        </w:rPr>
        <w:t>Nyong</w:t>
      </w:r>
      <w:r>
        <w:rPr>
          <w:spacing w:val="-3"/>
          <w:sz w:val="22"/>
        </w:rPr>
        <w:t> </w:t>
      </w:r>
      <w:r>
        <w:rPr>
          <w:sz w:val="22"/>
        </w:rPr>
        <w:t>M.O.</w:t>
      </w:r>
      <w:r>
        <w:rPr>
          <w:spacing w:val="-1"/>
          <w:sz w:val="22"/>
        </w:rPr>
        <w:t> </w:t>
      </w:r>
      <w:r>
        <w:rPr>
          <w:sz w:val="22"/>
        </w:rPr>
        <w:t>(2003). Capital Flight and Economic growth in Four African Countries. Nigeria, Cote D’ivoire,</w:t>
      </w:r>
      <w:r>
        <w:rPr>
          <w:spacing w:val="-2"/>
          <w:sz w:val="22"/>
        </w:rPr>
        <w:t> </w:t>
      </w:r>
      <w:r>
        <w:rPr>
          <w:sz w:val="22"/>
        </w:rPr>
        <w:t>Morroco and Ghana, DMO Monthly Seminar Series N°2, February</w:t>
      </w:r>
      <w:r>
        <w:rPr>
          <w:rFonts w:ascii="Yu Gothic" w:hAnsi="Yu Gothic"/>
          <w:sz w:val="22"/>
        </w:rPr>
        <w:t>.</w:t>
      </w:r>
    </w:p>
    <w:p>
      <w:pPr>
        <w:spacing w:after="0" w:line="225" w:lineRule="auto"/>
        <w:jc w:val="both"/>
        <w:rPr>
          <w:rFonts w:ascii="Yu Gothic" w:hAnsi="Yu Gothic"/>
          <w:sz w:val="22"/>
        </w:rPr>
        <w:sectPr>
          <w:pgSz w:w="11910" w:h="16840"/>
          <w:pgMar w:header="0" w:footer="979" w:top="1340" w:bottom="1240" w:left="280" w:right="0"/>
        </w:sectPr>
      </w:pPr>
    </w:p>
    <w:p>
      <w:pPr>
        <w:pStyle w:val="BodyText"/>
        <w:rPr>
          <w:rFonts w:ascii="Yu Gothic"/>
          <w:sz w:val="2"/>
        </w:rPr>
      </w:pPr>
    </w:p>
    <w:tbl>
      <w:tblPr>
        <w:tblW w:w="0" w:type="auto"/>
        <w:jc w:val="left"/>
        <w:tblInd w:w="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101"/>
        <w:gridCol w:w="1339"/>
        <w:gridCol w:w="1183"/>
        <w:gridCol w:w="917"/>
      </w:tblGrid>
      <w:tr>
        <w:trPr>
          <w:trHeight w:val="248" w:hRule="atLeast"/>
        </w:trPr>
        <w:tc>
          <w:tcPr>
            <w:tcW w:w="7101" w:type="dxa"/>
          </w:tcPr>
          <w:p>
            <w:pPr>
              <w:pStyle w:val="TableParagraph"/>
              <w:spacing w:line="228" w:lineRule="exact"/>
              <w:ind w:left="50"/>
              <w:rPr>
                <w:sz w:val="22"/>
              </w:rPr>
            </w:pPr>
            <w:r>
              <w:rPr>
                <w:sz w:val="22"/>
              </w:rPr>
              <w:t>Nwoye,</w:t>
            </w:r>
            <w:r>
              <w:rPr>
                <w:spacing w:val="-5"/>
                <w:sz w:val="22"/>
              </w:rPr>
              <w:t> </w:t>
            </w:r>
            <w:r>
              <w:rPr>
                <w:sz w:val="22"/>
              </w:rPr>
              <w:t>M.I.</w:t>
            </w:r>
            <w:r>
              <w:rPr>
                <w:spacing w:val="-4"/>
                <w:sz w:val="22"/>
              </w:rPr>
              <w:t> </w:t>
            </w:r>
            <w:r>
              <w:rPr>
                <w:sz w:val="22"/>
              </w:rPr>
              <w:t>(1997).</w:t>
            </w:r>
            <w:r>
              <w:rPr>
                <w:spacing w:val="-7"/>
                <w:sz w:val="22"/>
              </w:rPr>
              <w:t> </w:t>
            </w:r>
            <w:r>
              <w:rPr>
                <w:sz w:val="22"/>
              </w:rPr>
              <w:t>Management</w:t>
            </w:r>
            <w:r>
              <w:rPr>
                <w:spacing w:val="-4"/>
                <w:sz w:val="22"/>
              </w:rPr>
              <w:t> </w:t>
            </w:r>
            <w:r>
              <w:rPr>
                <w:sz w:val="22"/>
              </w:rPr>
              <w:t>Practices</w:t>
            </w:r>
            <w:r>
              <w:rPr>
                <w:spacing w:val="-7"/>
                <w:sz w:val="22"/>
              </w:rPr>
              <w:t> </w:t>
            </w:r>
            <w:r>
              <w:rPr>
                <w:sz w:val="22"/>
              </w:rPr>
              <w:t>and</w:t>
            </w:r>
            <w:r>
              <w:rPr>
                <w:spacing w:val="-5"/>
                <w:sz w:val="22"/>
              </w:rPr>
              <w:t> </w:t>
            </w:r>
            <w:r>
              <w:rPr>
                <w:sz w:val="22"/>
              </w:rPr>
              <w:t>Performance</w:t>
            </w:r>
            <w:r>
              <w:rPr>
                <w:spacing w:val="-5"/>
                <w:sz w:val="22"/>
              </w:rPr>
              <w:t> </w:t>
            </w:r>
            <w:r>
              <w:rPr>
                <w:sz w:val="22"/>
              </w:rPr>
              <w:t>Determinants</w:t>
            </w:r>
            <w:r>
              <w:rPr>
                <w:spacing w:val="-6"/>
                <w:sz w:val="22"/>
              </w:rPr>
              <w:t> </w:t>
            </w:r>
            <w:r>
              <w:rPr>
                <w:spacing w:val="-5"/>
                <w:sz w:val="22"/>
              </w:rPr>
              <w:t>of</w:t>
            </w:r>
          </w:p>
        </w:tc>
        <w:tc>
          <w:tcPr>
            <w:tcW w:w="1339" w:type="dxa"/>
          </w:tcPr>
          <w:p>
            <w:pPr>
              <w:pStyle w:val="TableParagraph"/>
              <w:spacing w:line="228" w:lineRule="exact"/>
              <w:ind w:left="150"/>
              <w:rPr>
                <w:sz w:val="22"/>
              </w:rPr>
            </w:pPr>
            <w:r>
              <w:rPr>
                <w:sz w:val="22"/>
              </w:rPr>
              <w:t>Public</w:t>
            </w:r>
            <w:r>
              <w:rPr>
                <w:spacing w:val="-1"/>
                <w:sz w:val="22"/>
              </w:rPr>
              <w:t> </w:t>
            </w:r>
            <w:r>
              <w:rPr>
                <w:spacing w:val="-5"/>
                <w:sz w:val="22"/>
              </w:rPr>
              <w:t>and</w:t>
            </w:r>
          </w:p>
        </w:tc>
        <w:tc>
          <w:tcPr>
            <w:tcW w:w="1183" w:type="dxa"/>
          </w:tcPr>
          <w:p>
            <w:pPr>
              <w:pStyle w:val="TableParagraph"/>
              <w:spacing w:line="228" w:lineRule="exact"/>
              <w:ind w:left="252"/>
              <w:rPr>
                <w:sz w:val="22"/>
              </w:rPr>
            </w:pPr>
            <w:r>
              <w:rPr>
                <w:spacing w:val="-2"/>
                <w:sz w:val="22"/>
              </w:rPr>
              <w:t>Private</w:t>
            </w:r>
          </w:p>
        </w:tc>
        <w:tc>
          <w:tcPr>
            <w:tcW w:w="917" w:type="dxa"/>
          </w:tcPr>
          <w:p>
            <w:pPr>
              <w:pStyle w:val="TableParagraph"/>
              <w:spacing w:line="228" w:lineRule="exact"/>
              <w:ind w:left="308"/>
              <w:rPr>
                <w:sz w:val="22"/>
              </w:rPr>
            </w:pPr>
            <w:r>
              <w:rPr>
                <w:spacing w:val="-2"/>
                <w:sz w:val="22"/>
              </w:rPr>
              <w:t>Sector</w:t>
            </w:r>
          </w:p>
        </w:tc>
      </w:tr>
      <w:tr>
        <w:trPr>
          <w:trHeight w:val="248" w:hRule="atLeast"/>
        </w:trPr>
        <w:tc>
          <w:tcPr>
            <w:tcW w:w="7101" w:type="dxa"/>
          </w:tcPr>
          <w:p>
            <w:pPr>
              <w:pStyle w:val="TableParagraph"/>
              <w:tabs>
                <w:tab w:pos="5090" w:val="left" w:leader="none"/>
              </w:tabs>
              <w:spacing w:line="228" w:lineRule="exact"/>
              <w:ind w:left="50"/>
              <w:rPr>
                <w:sz w:val="22"/>
              </w:rPr>
            </w:pPr>
            <w:r>
              <w:rPr>
                <w:sz w:val="22"/>
              </w:rPr>
              <w:t>Enterprises</w:t>
            </w:r>
            <w:r>
              <w:rPr>
                <w:spacing w:val="-4"/>
                <w:sz w:val="22"/>
              </w:rPr>
              <w:t> </w:t>
            </w:r>
            <w:r>
              <w:rPr>
                <w:sz w:val="22"/>
              </w:rPr>
              <w:t>in</w:t>
            </w:r>
            <w:r>
              <w:rPr>
                <w:spacing w:val="-3"/>
                <w:sz w:val="22"/>
              </w:rPr>
              <w:t> </w:t>
            </w:r>
            <w:r>
              <w:rPr>
                <w:sz w:val="22"/>
              </w:rPr>
              <w:t>Anambra,</w:t>
            </w:r>
            <w:r>
              <w:rPr>
                <w:spacing w:val="-3"/>
                <w:sz w:val="22"/>
              </w:rPr>
              <w:t> </w:t>
            </w:r>
            <w:r>
              <w:rPr>
                <w:sz w:val="22"/>
              </w:rPr>
              <w:t>Edo</w:t>
            </w:r>
            <w:r>
              <w:rPr>
                <w:spacing w:val="-4"/>
                <w:sz w:val="22"/>
              </w:rPr>
              <w:t> </w:t>
            </w:r>
            <w:r>
              <w:rPr>
                <w:sz w:val="22"/>
              </w:rPr>
              <w:t>and</w:t>
            </w:r>
            <w:r>
              <w:rPr>
                <w:spacing w:val="-3"/>
                <w:sz w:val="22"/>
              </w:rPr>
              <w:t> </w:t>
            </w:r>
            <w:r>
              <w:rPr>
                <w:sz w:val="22"/>
              </w:rPr>
              <w:t>Delta</w:t>
            </w:r>
            <w:r>
              <w:rPr>
                <w:spacing w:val="-5"/>
                <w:sz w:val="22"/>
              </w:rPr>
              <w:t> </w:t>
            </w:r>
            <w:r>
              <w:rPr>
                <w:sz w:val="22"/>
              </w:rPr>
              <w:t>States</w:t>
            </w:r>
            <w:r>
              <w:rPr>
                <w:spacing w:val="-3"/>
                <w:sz w:val="22"/>
              </w:rPr>
              <w:t> </w:t>
            </w:r>
            <w:r>
              <w:rPr>
                <w:spacing w:val="-5"/>
                <w:sz w:val="22"/>
              </w:rPr>
              <w:t>of</w:t>
            </w:r>
            <w:r>
              <w:rPr>
                <w:sz w:val="22"/>
              </w:rPr>
              <w:tab/>
              <w:t>Nigeria:</w:t>
            </w:r>
            <w:r>
              <w:rPr>
                <w:spacing w:val="-5"/>
                <w:sz w:val="22"/>
              </w:rPr>
              <w:t> </w:t>
            </w:r>
            <w:r>
              <w:rPr>
                <w:sz w:val="22"/>
              </w:rPr>
              <w:t>A</w:t>
            </w:r>
            <w:r>
              <w:rPr>
                <w:spacing w:val="-3"/>
                <w:sz w:val="22"/>
              </w:rPr>
              <w:t> </w:t>
            </w:r>
            <w:r>
              <w:rPr>
                <w:spacing w:val="-2"/>
                <w:sz w:val="22"/>
              </w:rPr>
              <w:t>Factor</w:t>
            </w:r>
          </w:p>
        </w:tc>
        <w:tc>
          <w:tcPr>
            <w:tcW w:w="1339" w:type="dxa"/>
          </w:tcPr>
          <w:p>
            <w:pPr>
              <w:pStyle w:val="TableParagraph"/>
              <w:spacing w:line="228" w:lineRule="exact"/>
              <w:ind w:left="150"/>
              <w:rPr>
                <w:sz w:val="22"/>
              </w:rPr>
            </w:pPr>
            <w:r>
              <w:rPr>
                <w:spacing w:val="-2"/>
                <w:sz w:val="22"/>
              </w:rPr>
              <w:t>Analysis.</w:t>
            </w:r>
          </w:p>
        </w:tc>
        <w:tc>
          <w:tcPr>
            <w:tcW w:w="1183" w:type="dxa"/>
          </w:tcPr>
          <w:p>
            <w:pPr>
              <w:pStyle w:val="TableParagraph"/>
              <w:rPr>
                <w:sz w:val="18"/>
              </w:rPr>
            </w:pPr>
          </w:p>
        </w:tc>
        <w:tc>
          <w:tcPr>
            <w:tcW w:w="917" w:type="dxa"/>
          </w:tcPr>
          <w:p>
            <w:pPr>
              <w:pStyle w:val="TableParagraph"/>
              <w:rPr>
                <w:sz w:val="18"/>
              </w:rPr>
            </w:pPr>
          </w:p>
        </w:tc>
      </w:tr>
    </w:tbl>
    <w:p>
      <w:pPr>
        <w:tabs>
          <w:tab w:pos="7912" w:val="left" w:leader="none"/>
          <w:tab w:pos="8633" w:val="left" w:leader="none"/>
        </w:tabs>
        <w:spacing w:before="233"/>
        <w:ind w:left="711" w:right="475" w:firstLine="0"/>
        <w:jc w:val="left"/>
        <w:rPr>
          <w:sz w:val="22"/>
        </w:rPr>
      </w:pPr>
      <w:r>
        <w:rPr>
          <w:sz w:val="22"/>
        </w:rPr>
        <w:t>Obadan, M (2008).Economic Globalization, Markets and National Development:</w:t>
        <w:tab/>
        <w:tab/>
        <w:t>How</w:t>
      </w:r>
      <w:r>
        <w:rPr>
          <w:spacing w:val="-5"/>
          <w:sz w:val="22"/>
        </w:rPr>
        <w:t> </w:t>
      </w:r>
      <w:r>
        <w:rPr>
          <w:sz w:val="22"/>
        </w:rPr>
        <w:t>Sensibly</w:t>
      </w:r>
      <w:r>
        <w:rPr>
          <w:spacing w:val="80"/>
          <w:sz w:val="22"/>
        </w:rPr>
        <w:t> </w:t>
      </w:r>
      <w:r>
        <w:rPr>
          <w:sz w:val="22"/>
        </w:rPr>
        <w:t>do</w:t>
      </w:r>
      <w:r>
        <w:rPr>
          <w:spacing w:val="26"/>
          <w:sz w:val="22"/>
        </w:rPr>
        <w:t> </w:t>
      </w:r>
      <w:r>
        <w:rPr>
          <w:sz w:val="22"/>
        </w:rPr>
        <w:t>the</w:t>
      </w:r>
      <w:r>
        <w:rPr>
          <w:spacing w:val="26"/>
          <w:sz w:val="22"/>
        </w:rPr>
        <w:t> </w:t>
      </w:r>
      <w:r>
        <w:rPr>
          <w:sz w:val="22"/>
        </w:rPr>
        <w:t>Poor Countries (Nigeria Included) Stand?”98</w:t>
      </w:r>
      <w:r>
        <w:rPr>
          <w:sz w:val="22"/>
          <w:vertAlign w:val="superscript"/>
        </w:rPr>
        <w:t>th</w:t>
      </w:r>
      <w:r>
        <w:rPr>
          <w:spacing w:val="40"/>
          <w:sz w:val="22"/>
          <w:vertAlign w:val="baseline"/>
        </w:rPr>
        <w:t> </w:t>
      </w:r>
      <w:r>
        <w:rPr>
          <w:sz w:val="22"/>
          <w:vertAlign w:val="baseline"/>
        </w:rPr>
        <w:t>Inaugural Lecture, University of</w:t>
        <w:tab/>
      </w:r>
      <w:r>
        <w:rPr>
          <w:spacing w:val="-2"/>
          <w:sz w:val="22"/>
          <w:vertAlign w:val="baseline"/>
        </w:rPr>
        <w:t>Benin</w:t>
      </w:r>
    </w:p>
    <w:p>
      <w:pPr>
        <w:tabs>
          <w:tab w:pos="9353" w:val="left" w:leader="none"/>
        </w:tabs>
        <w:spacing w:before="0"/>
        <w:ind w:left="711" w:right="1609" w:firstLine="0"/>
        <w:jc w:val="left"/>
        <w:rPr>
          <w:sz w:val="22"/>
        </w:rPr>
      </w:pPr>
      <w:r>
        <w:rPr>
          <w:sz w:val="22"/>
        </w:rPr>
        <w:t>Ojo, O. O. (1992). An Empirical Investigation of Capital Flight in Selected African Countries.</w:t>
        <w:tab/>
      </w:r>
      <w:r>
        <w:rPr>
          <w:i/>
          <w:spacing w:val="-2"/>
          <w:sz w:val="22"/>
        </w:rPr>
        <w:t>African </w:t>
      </w:r>
      <w:r>
        <w:rPr>
          <w:i/>
          <w:sz w:val="22"/>
        </w:rPr>
        <w:t>Development Bank, Economic Research Paper</w:t>
      </w:r>
      <w:r>
        <w:rPr>
          <w:i/>
          <w:spacing w:val="80"/>
          <w:w w:val="150"/>
          <w:sz w:val="22"/>
        </w:rPr>
        <w:t> </w:t>
      </w:r>
      <w:r>
        <w:rPr>
          <w:sz w:val="22"/>
        </w:rPr>
        <w:t>No. 17.</w:t>
      </w:r>
    </w:p>
    <w:p>
      <w:pPr>
        <w:spacing w:line="251" w:lineRule="exact" w:before="0"/>
        <w:ind w:left="711" w:right="0" w:firstLine="0"/>
        <w:jc w:val="left"/>
        <w:rPr>
          <w:sz w:val="22"/>
        </w:rPr>
      </w:pPr>
      <w:r>
        <w:rPr>
          <w:sz w:val="22"/>
        </w:rPr>
        <w:t>Ojo,</w:t>
      </w:r>
      <w:r>
        <w:rPr>
          <w:spacing w:val="-3"/>
          <w:sz w:val="22"/>
        </w:rPr>
        <w:t> </w:t>
      </w:r>
      <w:r>
        <w:rPr>
          <w:sz w:val="22"/>
        </w:rPr>
        <w:t>A.T</w:t>
      </w:r>
      <w:r>
        <w:rPr>
          <w:spacing w:val="-2"/>
          <w:sz w:val="22"/>
        </w:rPr>
        <w:t> </w:t>
      </w:r>
      <w:r>
        <w:rPr>
          <w:sz w:val="22"/>
        </w:rPr>
        <w:t>and</w:t>
      </w:r>
      <w:r>
        <w:rPr>
          <w:spacing w:val="-4"/>
          <w:sz w:val="22"/>
        </w:rPr>
        <w:t> </w:t>
      </w:r>
      <w:r>
        <w:rPr>
          <w:sz w:val="22"/>
        </w:rPr>
        <w:t>Wole,</w:t>
      </w:r>
      <w:r>
        <w:rPr>
          <w:spacing w:val="-2"/>
          <w:sz w:val="22"/>
        </w:rPr>
        <w:t> </w:t>
      </w:r>
      <w:r>
        <w:rPr>
          <w:sz w:val="22"/>
        </w:rPr>
        <w:t>A.</w:t>
      </w:r>
      <w:r>
        <w:rPr>
          <w:spacing w:val="-3"/>
          <w:sz w:val="22"/>
        </w:rPr>
        <w:t> </w:t>
      </w:r>
      <w:r>
        <w:rPr>
          <w:sz w:val="22"/>
        </w:rPr>
        <w:t>(1982).</w:t>
      </w:r>
      <w:r>
        <w:rPr>
          <w:spacing w:val="-1"/>
          <w:sz w:val="22"/>
        </w:rPr>
        <w:t> </w:t>
      </w:r>
      <w:r>
        <w:rPr>
          <w:i/>
          <w:sz w:val="22"/>
        </w:rPr>
        <w:t>Banking</w:t>
      </w:r>
      <w:r>
        <w:rPr>
          <w:i/>
          <w:spacing w:val="-6"/>
          <w:sz w:val="22"/>
        </w:rPr>
        <w:t> </w:t>
      </w:r>
      <w:r>
        <w:rPr>
          <w:i/>
          <w:sz w:val="22"/>
        </w:rPr>
        <w:t>and</w:t>
      </w:r>
      <w:r>
        <w:rPr>
          <w:i/>
          <w:spacing w:val="-2"/>
          <w:sz w:val="22"/>
        </w:rPr>
        <w:t> </w:t>
      </w:r>
      <w:r>
        <w:rPr>
          <w:i/>
          <w:sz w:val="22"/>
        </w:rPr>
        <w:t>Finance</w:t>
      </w:r>
      <w:r>
        <w:rPr>
          <w:i/>
          <w:spacing w:val="-3"/>
          <w:sz w:val="22"/>
        </w:rPr>
        <w:t> </w:t>
      </w:r>
      <w:r>
        <w:rPr>
          <w:i/>
          <w:sz w:val="22"/>
        </w:rPr>
        <w:t>in</w:t>
      </w:r>
      <w:r>
        <w:rPr>
          <w:i/>
          <w:spacing w:val="-2"/>
          <w:sz w:val="22"/>
        </w:rPr>
        <w:t> </w:t>
      </w:r>
      <w:r>
        <w:rPr>
          <w:i/>
          <w:sz w:val="22"/>
        </w:rPr>
        <w:t>Nigeria</w:t>
      </w:r>
      <w:r>
        <w:rPr>
          <w:sz w:val="22"/>
        </w:rPr>
        <w:t>,</w:t>
      </w:r>
      <w:r>
        <w:rPr>
          <w:spacing w:val="-3"/>
          <w:sz w:val="22"/>
        </w:rPr>
        <w:t> </w:t>
      </w:r>
      <w:r>
        <w:rPr>
          <w:sz w:val="22"/>
        </w:rPr>
        <w:t>UK,</w:t>
      </w:r>
      <w:r>
        <w:rPr>
          <w:spacing w:val="-2"/>
          <w:sz w:val="22"/>
        </w:rPr>
        <w:t> </w:t>
      </w:r>
      <w:r>
        <w:rPr>
          <w:sz w:val="22"/>
        </w:rPr>
        <w:t>Graham</w:t>
      </w:r>
      <w:r>
        <w:rPr>
          <w:spacing w:val="-6"/>
          <w:sz w:val="22"/>
        </w:rPr>
        <w:t> </w:t>
      </w:r>
      <w:r>
        <w:rPr>
          <w:spacing w:val="-4"/>
          <w:sz w:val="22"/>
        </w:rPr>
        <w:t>Burn</w:t>
      </w:r>
    </w:p>
    <w:p>
      <w:pPr>
        <w:pStyle w:val="BodyText"/>
        <w:spacing w:before="1"/>
        <w:rPr>
          <w:sz w:val="22"/>
        </w:rPr>
      </w:pPr>
    </w:p>
    <w:p>
      <w:pPr>
        <w:spacing w:before="0"/>
        <w:ind w:left="711" w:right="0" w:firstLine="0"/>
        <w:jc w:val="left"/>
        <w:rPr>
          <w:sz w:val="22"/>
        </w:rPr>
      </w:pPr>
      <w:r>
        <w:rPr>
          <w:sz w:val="22"/>
        </w:rPr>
        <w:t>Okonta</w:t>
      </w:r>
      <w:r>
        <w:rPr>
          <w:spacing w:val="-4"/>
          <w:sz w:val="22"/>
        </w:rPr>
        <w:t> </w:t>
      </w:r>
      <w:r>
        <w:rPr>
          <w:sz w:val="22"/>
        </w:rPr>
        <w:t>&amp;</w:t>
      </w:r>
      <w:r>
        <w:rPr>
          <w:spacing w:val="-5"/>
          <w:sz w:val="22"/>
        </w:rPr>
        <w:t> </w:t>
      </w:r>
      <w:r>
        <w:rPr>
          <w:sz w:val="22"/>
        </w:rPr>
        <w:t>Douglas,</w:t>
      </w:r>
      <w:r>
        <w:rPr>
          <w:spacing w:val="-3"/>
          <w:sz w:val="22"/>
        </w:rPr>
        <w:t> </w:t>
      </w:r>
      <w:r>
        <w:rPr>
          <w:sz w:val="22"/>
        </w:rPr>
        <w:t>(2001).</w:t>
      </w:r>
      <w:r>
        <w:rPr>
          <w:spacing w:val="-5"/>
          <w:sz w:val="22"/>
        </w:rPr>
        <w:t> </w:t>
      </w:r>
      <w:r>
        <w:rPr>
          <w:sz w:val="22"/>
        </w:rPr>
        <w:t>Where</w:t>
      </w:r>
      <w:r>
        <w:rPr>
          <w:spacing w:val="-5"/>
          <w:sz w:val="22"/>
        </w:rPr>
        <w:t> </w:t>
      </w:r>
      <w:r>
        <w:rPr>
          <w:sz w:val="22"/>
        </w:rPr>
        <w:t>Vultures</w:t>
      </w:r>
      <w:r>
        <w:rPr>
          <w:spacing w:val="-3"/>
          <w:sz w:val="22"/>
        </w:rPr>
        <w:t> </w:t>
      </w:r>
      <w:r>
        <w:rPr>
          <w:sz w:val="22"/>
        </w:rPr>
        <w:t>Feast</w:t>
      </w:r>
      <w:r>
        <w:rPr>
          <w:i/>
          <w:sz w:val="22"/>
        </w:rPr>
        <w:t>.</w:t>
      </w:r>
      <w:r>
        <w:rPr>
          <w:i/>
          <w:spacing w:val="-3"/>
          <w:sz w:val="22"/>
        </w:rPr>
        <w:t> </w:t>
      </w:r>
      <w:r>
        <w:rPr>
          <w:sz w:val="22"/>
        </w:rPr>
        <w:t>Petroleum</w:t>
      </w:r>
      <w:r>
        <w:rPr>
          <w:spacing w:val="-4"/>
          <w:sz w:val="22"/>
        </w:rPr>
        <w:t> </w:t>
      </w:r>
      <w:r>
        <w:rPr>
          <w:sz w:val="22"/>
        </w:rPr>
        <w:t>Industry</w:t>
      </w:r>
      <w:r>
        <w:rPr>
          <w:spacing w:val="-6"/>
          <w:sz w:val="22"/>
        </w:rPr>
        <w:t> </w:t>
      </w:r>
      <w:r>
        <w:rPr>
          <w:sz w:val="22"/>
        </w:rPr>
        <w:t>in</w:t>
      </w:r>
      <w:r>
        <w:rPr>
          <w:spacing w:val="-2"/>
          <w:sz w:val="22"/>
        </w:rPr>
        <w:t> Nigeria.</w:t>
      </w:r>
    </w:p>
    <w:p>
      <w:pPr>
        <w:tabs>
          <w:tab w:pos="5752" w:val="left" w:leader="none"/>
          <w:tab w:pos="10073" w:val="left" w:leader="none"/>
        </w:tabs>
        <w:spacing w:before="1"/>
        <w:ind w:left="711" w:right="1269" w:firstLine="720"/>
        <w:jc w:val="left"/>
        <w:rPr>
          <w:sz w:val="22"/>
        </w:rPr>
      </w:pPr>
      <w:hyperlink r:id="rId13">
        <w:r>
          <w:rPr>
            <w:sz w:val="22"/>
          </w:rPr>
          <w:t>The Price of Oil: Corporate Responsibility</w:t>
          <w:tab/>
          <w:t>and Human Rights Violations in Nigeria's</w:t>
          <w:tab/>
        </w:r>
        <w:r>
          <w:rPr>
            <w:spacing w:val="-4"/>
            <w:sz w:val="22"/>
          </w:rPr>
          <w:t>Oil</w:t>
        </w:r>
      </w:hyperlink>
      <w:r>
        <w:rPr>
          <w:spacing w:val="-4"/>
          <w:sz w:val="22"/>
        </w:rPr>
        <w:t> </w:t>
      </w:r>
      <w:hyperlink r:id="rId13">
        <w:r>
          <w:rPr>
            <w:sz w:val="22"/>
          </w:rPr>
          <w:t>Producing Communities</w:t>
        </w:r>
      </w:hyperlink>
    </w:p>
    <w:p>
      <w:pPr>
        <w:tabs>
          <w:tab w:pos="5752" w:val="left" w:leader="none"/>
          <w:tab w:pos="8633" w:val="left" w:leader="none"/>
          <w:tab w:pos="10617" w:val="left" w:leader="none"/>
        </w:tabs>
        <w:spacing w:before="253"/>
        <w:ind w:left="711" w:right="471" w:firstLine="0"/>
        <w:jc w:val="left"/>
        <w:rPr>
          <w:sz w:val="22"/>
        </w:rPr>
      </w:pPr>
      <w:r>
        <w:rPr>
          <w:sz w:val="22"/>
        </w:rPr>
        <w:t>Olopoenia R. A. (1995). Capital Flight from Uganda, 1971-1994. Estimates causes and</w:t>
        <w:tab/>
      </w:r>
      <w:r>
        <w:rPr>
          <w:spacing w:val="-2"/>
          <w:sz w:val="22"/>
        </w:rPr>
        <w:t>consequences.</w:t>
      </w:r>
      <w:r>
        <w:rPr>
          <w:sz w:val="22"/>
        </w:rPr>
        <w:tab/>
      </w:r>
      <w:r>
        <w:rPr>
          <w:i/>
          <w:spacing w:val="-2"/>
          <w:sz w:val="22"/>
        </w:rPr>
        <w:t>Paper </w:t>
      </w:r>
      <w:r>
        <w:rPr>
          <w:i/>
          <w:sz w:val="22"/>
        </w:rPr>
        <w:t>Presnted at the AERC workshop in Nairobi Kenya</w:t>
        <w:tab/>
      </w:r>
      <w:r>
        <w:rPr>
          <w:spacing w:val="-2"/>
          <w:sz w:val="22"/>
        </w:rPr>
        <w:t>(May/June)</w:t>
      </w:r>
    </w:p>
    <w:p>
      <w:pPr>
        <w:tabs>
          <w:tab w:pos="9353" w:val="left" w:leader="none"/>
          <w:tab w:pos="10298" w:val="left" w:leader="none"/>
        </w:tabs>
        <w:spacing w:before="253"/>
        <w:ind w:left="711" w:right="470" w:firstLine="0"/>
        <w:jc w:val="left"/>
        <w:rPr>
          <w:sz w:val="22"/>
        </w:rPr>
      </w:pPr>
      <w:r>
        <w:rPr>
          <w:sz w:val="22"/>
        </w:rPr>
        <w:t>Onwioduokit E.A. (2007). Capital Flight from Nigeria; An Empirical Re-Examination. </w:t>
      </w:r>
      <w:r>
        <w:rPr>
          <w:i/>
          <w:sz w:val="22"/>
        </w:rPr>
        <w:t>West</w:t>
        <w:tab/>
      </w:r>
      <w:r>
        <w:rPr>
          <w:i/>
          <w:spacing w:val="-2"/>
          <w:sz w:val="22"/>
        </w:rPr>
        <w:t>African</w:t>
      </w:r>
      <w:r>
        <w:rPr>
          <w:i/>
          <w:sz w:val="22"/>
        </w:rPr>
        <w:tab/>
      </w:r>
      <w:r>
        <w:rPr>
          <w:i/>
          <w:spacing w:val="-2"/>
          <w:sz w:val="22"/>
        </w:rPr>
        <w:t>Monetary </w:t>
      </w:r>
      <w:r>
        <w:rPr>
          <w:i/>
          <w:sz w:val="22"/>
        </w:rPr>
        <w:t>Institute </w:t>
      </w:r>
      <w:r>
        <w:rPr>
          <w:sz w:val="22"/>
        </w:rPr>
        <w:t>Accra, Ghana. (2007)</w:t>
      </w:r>
    </w:p>
    <w:p>
      <w:pPr>
        <w:tabs>
          <w:tab w:pos="4312" w:val="left" w:leader="none"/>
        </w:tabs>
        <w:spacing w:before="252"/>
        <w:ind w:left="1431" w:right="475" w:hanging="721"/>
        <w:jc w:val="left"/>
        <w:rPr>
          <w:sz w:val="22"/>
        </w:rPr>
      </w:pPr>
      <w:r>
        <w:rPr>
          <w:sz w:val="22"/>
        </w:rPr>
        <w:t>Pastor</w:t>
      </w:r>
      <w:r>
        <w:rPr>
          <w:spacing w:val="28"/>
          <w:sz w:val="22"/>
        </w:rPr>
        <w:t> </w:t>
      </w:r>
      <w:r>
        <w:rPr>
          <w:sz w:val="22"/>
        </w:rPr>
        <w:t>Jr.,</w:t>
      </w:r>
      <w:r>
        <w:rPr>
          <w:spacing w:val="28"/>
          <w:sz w:val="22"/>
        </w:rPr>
        <w:t> </w:t>
      </w:r>
      <w:r>
        <w:rPr>
          <w:sz w:val="22"/>
        </w:rPr>
        <w:t>M.</w:t>
      </w:r>
      <w:r>
        <w:rPr>
          <w:spacing w:val="28"/>
          <w:sz w:val="22"/>
        </w:rPr>
        <w:t> </w:t>
      </w:r>
      <w:r>
        <w:rPr>
          <w:sz w:val="22"/>
        </w:rPr>
        <w:t>(1989).</w:t>
      </w:r>
      <w:r>
        <w:rPr>
          <w:spacing w:val="30"/>
          <w:sz w:val="22"/>
        </w:rPr>
        <w:t> </w:t>
      </w:r>
      <w:r>
        <w:rPr>
          <w:sz w:val="22"/>
        </w:rPr>
        <w:t>Capital</w:t>
      </w:r>
      <w:r>
        <w:rPr>
          <w:spacing w:val="31"/>
          <w:sz w:val="22"/>
        </w:rPr>
        <w:t> </w:t>
      </w:r>
      <w:r>
        <w:rPr>
          <w:sz w:val="22"/>
        </w:rPr>
        <w:t>Flight</w:t>
      </w:r>
      <w:r>
        <w:rPr>
          <w:spacing w:val="31"/>
          <w:sz w:val="22"/>
        </w:rPr>
        <w:t> </w:t>
      </w:r>
      <w:r>
        <w:rPr>
          <w:sz w:val="22"/>
        </w:rPr>
        <w:t>and</w:t>
      </w:r>
      <w:r>
        <w:rPr>
          <w:spacing w:val="28"/>
          <w:sz w:val="22"/>
        </w:rPr>
        <w:t> </w:t>
      </w:r>
      <w:r>
        <w:rPr>
          <w:sz w:val="22"/>
        </w:rPr>
        <w:t>the</w:t>
      </w:r>
      <w:r>
        <w:rPr>
          <w:spacing w:val="28"/>
          <w:sz w:val="22"/>
        </w:rPr>
        <w:t> </w:t>
      </w:r>
      <w:r>
        <w:rPr>
          <w:sz w:val="22"/>
        </w:rPr>
        <w:t>Latin</w:t>
      </w:r>
      <w:r>
        <w:rPr>
          <w:spacing w:val="28"/>
          <w:sz w:val="22"/>
        </w:rPr>
        <w:t> </w:t>
      </w:r>
      <w:r>
        <w:rPr>
          <w:sz w:val="22"/>
        </w:rPr>
        <w:t>American</w:t>
      </w:r>
      <w:r>
        <w:rPr>
          <w:spacing w:val="30"/>
          <w:sz w:val="22"/>
        </w:rPr>
        <w:t> </w:t>
      </w:r>
      <w:r>
        <w:rPr>
          <w:sz w:val="22"/>
        </w:rPr>
        <w:t>Debt</w:t>
      </w:r>
      <w:r>
        <w:rPr>
          <w:spacing w:val="29"/>
          <w:sz w:val="22"/>
        </w:rPr>
        <w:t> </w:t>
      </w:r>
      <w:r>
        <w:rPr>
          <w:sz w:val="22"/>
        </w:rPr>
        <w:t>Crisis.</w:t>
      </w:r>
      <w:r>
        <w:rPr>
          <w:spacing w:val="39"/>
          <w:sz w:val="22"/>
        </w:rPr>
        <w:t> </w:t>
      </w:r>
      <w:r>
        <w:rPr>
          <w:i/>
          <w:sz w:val="22"/>
        </w:rPr>
        <w:t>Washington:</w:t>
      </w:r>
      <w:r>
        <w:rPr>
          <w:i/>
          <w:spacing w:val="29"/>
          <w:sz w:val="22"/>
        </w:rPr>
        <w:t> </w:t>
      </w:r>
      <w:r>
        <w:rPr>
          <w:i/>
          <w:sz w:val="22"/>
        </w:rPr>
        <w:t>Economic</w:t>
      </w:r>
      <w:r>
        <w:rPr>
          <w:i/>
          <w:spacing w:val="28"/>
          <w:sz w:val="22"/>
        </w:rPr>
        <w:t> </w:t>
      </w:r>
      <w:r>
        <w:rPr>
          <w:i/>
          <w:sz w:val="22"/>
        </w:rPr>
        <w:t>Policy</w:t>
      </w:r>
      <w:r>
        <w:rPr>
          <w:i/>
          <w:spacing w:val="28"/>
          <w:sz w:val="22"/>
        </w:rPr>
        <w:t> </w:t>
      </w:r>
      <w:r>
        <w:rPr>
          <w:i/>
          <w:sz w:val="22"/>
        </w:rPr>
        <w:t>Institute. (1990). </w:t>
      </w:r>
      <w:r>
        <w:rPr>
          <w:sz w:val="22"/>
        </w:rPr>
        <w:t>Capital Flight from</w:t>
        <w:tab/>
        <w:t>Latin America. </w:t>
      </w:r>
      <w:r>
        <w:rPr>
          <w:i/>
          <w:sz w:val="22"/>
        </w:rPr>
        <w:t>World Development</w:t>
      </w:r>
      <w:r>
        <w:rPr>
          <w:sz w:val="22"/>
        </w:rPr>
        <w:t>, </w:t>
      </w:r>
      <w:r>
        <w:rPr>
          <w:i/>
          <w:sz w:val="22"/>
        </w:rPr>
        <w:t>18(1), </w:t>
      </w:r>
      <w:r>
        <w:rPr>
          <w:sz w:val="22"/>
        </w:rPr>
        <w:t>1–18.</w:t>
      </w:r>
    </w:p>
    <w:p>
      <w:pPr>
        <w:spacing w:before="1"/>
        <w:ind w:left="711" w:right="0" w:firstLine="0"/>
        <w:jc w:val="left"/>
        <w:rPr>
          <w:sz w:val="22"/>
        </w:rPr>
      </w:pPr>
      <w:r>
        <w:rPr>
          <w:sz w:val="22"/>
        </w:rPr>
        <w:t>Pastor,</w:t>
      </w:r>
      <w:r>
        <w:rPr>
          <w:spacing w:val="-6"/>
          <w:sz w:val="22"/>
        </w:rPr>
        <w:t> </w:t>
      </w:r>
      <w:r>
        <w:rPr>
          <w:sz w:val="22"/>
        </w:rPr>
        <w:t>M.</w:t>
      </w:r>
      <w:r>
        <w:rPr>
          <w:spacing w:val="-3"/>
          <w:sz w:val="22"/>
        </w:rPr>
        <w:t> </w:t>
      </w:r>
      <w:r>
        <w:rPr>
          <w:sz w:val="22"/>
        </w:rPr>
        <w:t>(1990).</w:t>
      </w:r>
      <w:r>
        <w:rPr>
          <w:spacing w:val="-3"/>
          <w:sz w:val="22"/>
        </w:rPr>
        <w:t> </w:t>
      </w:r>
      <w:r>
        <w:rPr>
          <w:sz w:val="22"/>
        </w:rPr>
        <w:t>Capital</w:t>
      </w:r>
      <w:r>
        <w:rPr>
          <w:spacing w:val="-5"/>
          <w:sz w:val="22"/>
        </w:rPr>
        <w:t> </w:t>
      </w:r>
      <w:r>
        <w:rPr>
          <w:sz w:val="22"/>
        </w:rPr>
        <w:t>Flight</w:t>
      </w:r>
      <w:r>
        <w:rPr>
          <w:spacing w:val="-2"/>
          <w:sz w:val="22"/>
        </w:rPr>
        <w:t> </w:t>
      </w:r>
      <w:r>
        <w:rPr>
          <w:sz w:val="22"/>
        </w:rPr>
        <w:t>from</w:t>
      </w:r>
      <w:r>
        <w:rPr>
          <w:spacing w:val="-7"/>
          <w:sz w:val="22"/>
        </w:rPr>
        <w:t> </w:t>
      </w:r>
      <w:r>
        <w:rPr>
          <w:sz w:val="22"/>
        </w:rPr>
        <w:t>Latin</w:t>
      </w:r>
      <w:r>
        <w:rPr>
          <w:spacing w:val="-6"/>
          <w:sz w:val="22"/>
        </w:rPr>
        <w:t> </w:t>
      </w:r>
      <w:r>
        <w:rPr>
          <w:sz w:val="22"/>
        </w:rPr>
        <w:t>America’,</w:t>
      </w:r>
      <w:r>
        <w:rPr>
          <w:spacing w:val="-3"/>
          <w:sz w:val="22"/>
        </w:rPr>
        <w:t> </w:t>
      </w:r>
      <w:r>
        <w:rPr>
          <w:i/>
          <w:sz w:val="22"/>
        </w:rPr>
        <w:t>World</w:t>
      </w:r>
      <w:r>
        <w:rPr>
          <w:i/>
          <w:spacing w:val="-3"/>
          <w:sz w:val="22"/>
        </w:rPr>
        <w:t> </w:t>
      </w:r>
      <w:r>
        <w:rPr>
          <w:i/>
          <w:sz w:val="22"/>
        </w:rPr>
        <w:t>Development</w:t>
      </w:r>
      <w:r>
        <w:rPr>
          <w:sz w:val="22"/>
        </w:rPr>
        <w:t>,</w:t>
      </w:r>
      <w:r>
        <w:rPr>
          <w:spacing w:val="-3"/>
          <w:sz w:val="22"/>
        </w:rPr>
        <w:t> </w:t>
      </w:r>
      <w:r>
        <w:rPr>
          <w:sz w:val="22"/>
        </w:rPr>
        <w:t>Vol:</w:t>
      </w:r>
      <w:r>
        <w:rPr>
          <w:spacing w:val="-6"/>
          <w:sz w:val="22"/>
        </w:rPr>
        <w:t> </w:t>
      </w:r>
      <w:r>
        <w:rPr>
          <w:i/>
          <w:sz w:val="22"/>
        </w:rPr>
        <w:t>18,</w:t>
      </w:r>
      <w:r>
        <w:rPr>
          <w:i/>
          <w:spacing w:val="-3"/>
          <w:sz w:val="22"/>
        </w:rPr>
        <w:t> </w:t>
      </w:r>
      <w:r>
        <w:rPr>
          <w:i/>
          <w:sz w:val="22"/>
        </w:rPr>
        <w:t>No.1</w:t>
      </w:r>
      <w:r>
        <w:rPr>
          <w:sz w:val="22"/>
        </w:rPr>
        <w:t>,</w:t>
      </w:r>
      <w:r>
        <w:rPr>
          <w:spacing w:val="-3"/>
          <w:sz w:val="22"/>
        </w:rPr>
        <w:t> </w:t>
      </w:r>
      <w:r>
        <w:rPr>
          <w:sz w:val="22"/>
        </w:rPr>
        <w:t>1-</w:t>
      </w:r>
      <w:r>
        <w:rPr>
          <w:spacing w:val="-5"/>
          <w:sz w:val="22"/>
        </w:rPr>
        <w:t>18</w:t>
      </w:r>
    </w:p>
    <w:p>
      <w:pPr>
        <w:pStyle w:val="BodyText"/>
        <w:rPr>
          <w:sz w:val="22"/>
        </w:rPr>
      </w:pPr>
    </w:p>
    <w:p>
      <w:pPr>
        <w:tabs>
          <w:tab w:pos="9353" w:val="left" w:leader="none"/>
          <w:tab w:pos="10442" w:val="left" w:leader="none"/>
        </w:tabs>
        <w:spacing w:before="0"/>
        <w:ind w:left="711" w:right="469" w:firstLine="0"/>
        <w:jc w:val="left"/>
        <w:rPr>
          <w:i/>
          <w:sz w:val="22"/>
        </w:rPr>
      </w:pPr>
      <w:r>
        <w:rPr>
          <w:sz w:val="22"/>
        </w:rPr>
        <w:t>Paul, C. &amp; Anke, H. (2004). Public Debts and Private Assets: Explaining Capital</w:t>
      </w:r>
      <w:r>
        <w:rPr>
          <w:spacing w:val="40"/>
          <w:sz w:val="22"/>
        </w:rPr>
        <w:t> </w:t>
      </w:r>
      <w:r>
        <w:rPr>
          <w:sz w:val="22"/>
        </w:rPr>
        <w:t>Flight from</w:t>
        <w:tab/>
      </w:r>
      <w:r>
        <w:rPr>
          <w:spacing w:val="-4"/>
          <w:sz w:val="22"/>
        </w:rPr>
        <w:t>Sub-</w:t>
      </w:r>
      <w:r>
        <w:rPr>
          <w:sz w:val="22"/>
        </w:rPr>
        <w:tab/>
      </w:r>
      <w:r>
        <w:rPr>
          <w:spacing w:val="-2"/>
          <w:sz w:val="22"/>
        </w:rPr>
        <w:t>Saharan </w:t>
      </w:r>
      <w:r>
        <w:rPr>
          <w:sz w:val="22"/>
        </w:rPr>
        <w:t>African Countries. </w:t>
      </w:r>
      <w:r>
        <w:rPr>
          <w:i/>
          <w:sz w:val="22"/>
        </w:rPr>
        <w:t>World Development, Elsevier, Vol. 31(1), </w:t>
      </w:r>
      <w:r>
        <w:rPr>
          <w:sz w:val="22"/>
        </w:rPr>
        <w:t>107-130</w:t>
      </w:r>
      <w:r>
        <w:rPr>
          <w:i/>
          <w:sz w:val="22"/>
        </w:rPr>
        <w:t>.</w:t>
      </w:r>
    </w:p>
    <w:p>
      <w:pPr>
        <w:tabs>
          <w:tab w:pos="8633" w:val="left" w:leader="none"/>
        </w:tabs>
        <w:spacing w:before="0"/>
        <w:ind w:left="711" w:right="1379" w:firstLine="0"/>
        <w:jc w:val="left"/>
        <w:rPr>
          <w:sz w:val="22"/>
        </w:rPr>
      </w:pPr>
      <w:r>
        <w:rPr>
          <w:sz w:val="22"/>
        </w:rPr>
        <w:t>Patnaik, I., &amp; Vasudevan, D. (2000). Trade Misinvoicing and Capital Flight from</w:t>
        <w:tab/>
        <w:t>India.</w:t>
      </w:r>
      <w:r>
        <w:rPr>
          <w:spacing w:val="-8"/>
          <w:sz w:val="22"/>
        </w:rPr>
        <w:t> </w:t>
      </w:r>
      <w:r>
        <w:rPr>
          <w:i/>
          <w:sz w:val="22"/>
        </w:rPr>
        <w:t>Journal</w:t>
      </w:r>
      <w:r>
        <w:rPr>
          <w:i/>
          <w:spacing w:val="80"/>
          <w:sz w:val="22"/>
        </w:rPr>
        <w:t> </w:t>
      </w:r>
      <w:r>
        <w:rPr>
          <w:i/>
          <w:sz w:val="22"/>
        </w:rPr>
        <w:t>of International Economic Studies</w:t>
      </w:r>
      <w:r>
        <w:rPr>
          <w:sz w:val="22"/>
        </w:rPr>
        <w:t>, </w:t>
      </w:r>
      <w:r>
        <w:rPr>
          <w:i/>
          <w:sz w:val="22"/>
        </w:rPr>
        <w:t>14</w:t>
      </w:r>
      <w:r>
        <w:rPr>
          <w:sz w:val="22"/>
        </w:rPr>
        <w:t>, 99–108.</w:t>
      </w:r>
    </w:p>
    <w:p>
      <w:pPr>
        <w:tabs>
          <w:tab w:pos="8633" w:val="left" w:leader="none"/>
        </w:tabs>
        <w:spacing w:before="1"/>
        <w:ind w:left="711" w:right="475" w:firstLine="0"/>
        <w:jc w:val="left"/>
        <w:rPr>
          <w:sz w:val="22"/>
        </w:rPr>
      </w:pPr>
      <w:r>
        <w:rPr>
          <w:sz w:val="22"/>
        </w:rPr>
        <w:t>Richter (1970). Corruption and Capital Flight: An Empirical Assessment.</w:t>
      </w:r>
      <w:r>
        <w:rPr>
          <w:i/>
          <w:sz w:val="22"/>
        </w:rPr>
        <w:t>International</w:t>
        <w:tab/>
        <w:t>EconomicJournal</w:t>
      </w:r>
      <w:r>
        <w:rPr>
          <w:sz w:val="22"/>
        </w:rPr>
        <w:t>,</w:t>
      </w:r>
      <w:r>
        <w:rPr>
          <w:spacing w:val="40"/>
          <w:sz w:val="22"/>
        </w:rPr>
        <w:t> </w:t>
      </w:r>
      <w:r>
        <w:rPr>
          <w:i/>
          <w:sz w:val="22"/>
        </w:rPr>
        <w:t>Vol.</w:t>
      </w:r>
      <w:r>
        <w:rPr>
          <w:i/>
          <w:spacing w:val="40"/>
          <w:sz w:val="22"/>
        </w:rPr>
        <w:t> </w:t>
      </w:r>
      <w:r>
        <w:rPr>
          <w:i/>
          <w:sz w:val="22"/>
        </w:rPr>
        <w:t>20, No. 4</w:t>
      </w:r>
      <w:r>
        <w:rPr>
          <w:sz w:val="22"/>
        </w:rPr>
        <w:t>, 23-540, December.</w:t>
      </w:r>
    </w:p>
    <w:p>
      <w:pPr>
        <w:spacing w:line="251" w:lineRule="exact" w:before="0"/>
        <w:ind w:left="711" w:right="0" w:firstLine="0"/>
        <w:jc w:val="left"/>
        <w:rPr>
          <w:sz w:val="22"/>
        </w:rPr>
      </w:pPr>
      <w:r>
        <w:rPr>
          <w:sz w:val="22"/>
        </w:rPr>
        <w:t>Rodrik,</w:t>
      </w:r>
      <w:r>
        <w:rPr>
          <w:spacing w:val="-6"/>
          <w:sz w:val="22"/>
        </w:rPr>
        <w:t> </w:t>
      </w:r>
      <w:r>
        <w:rPr>
          <w:sz w:val="22"/>
        </w:rPr>
        <w:t>D.(2008).</w:t>
      </w:r>
      <w:r>
        <w:rPr>
          <w:spacing w:val="-4"/>
          <w:sz w:val="22"/>
        </w:rPr>
        <w:t> </w:t>
      </w:r>
      <w:r>
        <w:rPr>
          <w:sz w:val="22"/>
        </w:rPr>
        <w:t>The</w:t>
      </w:r>
      <w:r>
        <w:rPr>
          <w:spacing w:val="-3"/>
          <w:sz w:val="22"/>
        </w:rPr>
        <w:t> </w:t>
      </w:r>
      <w:r>
        <w:rPr>
          <w:sz w:val="22"/>
        </w:rPr>
        <w:t>Real</w:t>
      </w:r>
      <w:r>
        <w:rPr>
          <w:spacing w:val="-4"/>
          <w:sz w:val="22"/>
        </w:rPr>
        <w:t> </w:t>
      </w:r>
      <w:r>
        <w:rPr>
          <w:sz w:val="22"/>
        </w:rPr>
        <w:t>Exchange</w:t>
      </w:r>
      <w:r>
        <w:rPr>
          <w:spacing w:val="-3"/>
          <w:sz w:val="22"/>
        </w:rPr>
        <w:t> </w:t>
      </w:r>
      <w:r>
        <w:rPr>
          <w:sz w:val="22"/>
        </w:rPr>
        <w:t>Rate</w:t>
      </w:r>
      <w:r>
        <w:rPr>
          <w:spacing w:val="-3"/>
          <w:sz w:val="22"/>
        </w:rPr>
        <w:t> </w:t>
      </w:r>
      <w:r>
        <w:rPr>
          <w:sz w:val="22"/>
        </w:rPr>
        <w:t>and</w:t>
      </w:r>
      <w:r>
        <w:rPr>
          <w:spacing w:val="-6"/>
          <w:sz w:val="22"/>
        </w:rPr>
        <w:t> </w:t>
      </w:r>
      <w:r>
        <w:rPr>
          <w:sz w:val="22"/>
        </w:rPr>
        <w:t>Economic</w:t>
      </w:r>
      <w:r>
        <w:rPr>
          <w:spacing w:val="-3"/>
          <w:sz w:val="22"/>
        </w:rPr>
        <w:t> </w:t>
      </w:r>
      <w:r>
        <w:rPr>
          <w:sz w:val="22"/>
        </w:rPr>
        <w:t>Growth.</w:t>
      </w:r>
      <w:r>
        <w:rPr>
          <w:spacing w:val="-3"/>
          <w:sz w:val="22"/>
        </w:rPr>
        <w:t> </w:t>
      </w:r>
      <w:r>
        <w:rPr>
          <w:i/>
          <w:sz w:val="22"/>
        </w:rPr>
        <w:t>Brookings</w:t>
      </w:r>
      <w:r>
        <w:rPr>
          <w:i/>
          <w:spacing w:val="-2"/>
          <w:sz w:val="22"/>
        </w:rPr>
        <w:t> </w:t>
      </w:r>
      <w:r>
        <w:rPr>
          <w:i/>
          <w:sz w:val="22"/>
        </w:rPr>
        <w:t>Papers</w:t>
      </w:r>
      <w:r>
        <w:rPr>
          <w:i/>
          <w:spacing w:val="-3"/>
          <w:sz w:val="22"/>
        </w:rPr>
        <w:t> </w:t>
      </w:r>
      <w:r>
        <w:rPr>
          <w:i/>
          <w:sz w:val="22"/>
        </w:rPr>
        <w:t>on</w:t>
      </w:r>
      <w:r>
        <w:rPr>
          <w:i/>
          <w:spacing w:val="31"/>
          <w:sz w:val="22"/>
        </w:rPr>
        <w:t> </w:t>
      </w:r>
      <w:r>
        <w:rPr>
          <w:i/>
          <w:sz w:val="22"/>
        </w:rPr>
        <w:t>Economic</w:t>
      </w:r>
      <w:r>
        <w:rPr>
          <w:i/>
          <w:spacing w:val="-4"/>
          <w:sz w:val="22"/>
        </w:rPr>
        <w:t> </w:t>
      </w:r>
      <w:r>
        <w:rPr>
          <w:i/>
          <w:spacing w:val="-2"/>
          <w:sz w:val="22"/>
        </w:rPr>
        <w:t>Activity</w:t>
      </w:r>
      <w:r>
        <w:rPr>
          <w:spacing w:val="-2"/>
          <w:sz w:val="22"/>
        </w:rPr>
        <w:t>,</w:t>
      </w:r>
    </w:p>
    <w:p>
      <w:pPr>
        <w:tabs>
          <w:tab w:pos="9353" w:val="left" w:leader="none"/>
          <w:tab w:pos="10835" w:val="left" w:leader="none"/>
        </w:tabs>
        <w:spacing w:before="1"/>
        <w:ind w:left="711" w:right="469" w:firstLine="0"/>
        <w:jc w:val="left"/>
        <w:rPr>
          <w:sz w:val="22"/>
        </w:rPr>
      </w:pPr>
      <w:r>
        <w:rPr>
          <w:sz w:val="22"/>
        </w:rPr>
        <w:t>Rojas-Suarez (1991) . Consequences of Capital Flight for Latin American Debtor Countries. In</w:t>
        <w:tab/>
      </w:r>
      <w:r>
        <w:rPr>
          <w:spacing w:val="-2"/>
          <w:sz w:val="22"/>
        </w:rPr>
        <w:t>Lessard</w:t>
      </w:r>
      <w:r>
        <w:rPr>
          <w:sz w:val="22"/>
        </w:rPr>
        <w:tab/>
      </w:r>
      <w:r>
        <w:rPr>
          <w:spacing w:val="-4"/>
          <w:sz w:val="22"/>
        </w:rPr>
        <w:t>and </w:t>
      </w:r>
      <w:r>
        <w:rPr>
          <w:sz w:val="22"/>
        </w:rPr>
        <w:t>Williamson, eds., Capital Flight and Third Wwld</w:t>
      </w:r>
    </w:p>
    <w:p>
      <w:pPr>
        <w:spacing w:line="252" w:lineRule="exact" w:before="1"/>
        <w:ind w:left="1431" w:right="0" w:firstLine="0"/>
        <w:jc w:val="left"/>
        <w:rPr>
          <w:sz w:val="22"/>
        </w:rPr>
      </w:pPr>
      <w:r>
        <w:rPr>
          <w:sz w:val="22"/>
        </w:rPr>
        <w:t>Debt.</w:t>
      </w:r>
      <w:r>
        <w:rPr>
          <w:spacing w:val="-5"/>
          <w:sz w:val="22"/>
        </w:rPr>
        <w:t> </w:t>
      </w:r>
      <w:r>
        <w:rPr>
          <w:sz w:val="22"/>
        </w:rPr>
        <w:t>Washington,</w:t>
      </w:r>
      <w:r>
        <w:rPr>
          <w:spacing w:val="-5"/>
          <w:sz w:val="22"/>
        </w:rPr>
        <w:t> </w:t>
      </w:r>
      <w:r>
        <w:rPr>
          <w:sz w:val="22"/>
        </w:rPr>
        <w:t>D.C.:</w:t>
      </w:r>
      <w:r>
        <w:rPr>
          <w:spacing w:val="-5"/>
          <w:sz w:val="22"/>
        </w:rPr>
        <w:t> </w:t>
      </w:r>
      <w:r>
        <w:rPr>
          <w:i/>
          <w:sz w:val="22"/>
        </w:rPr>
        <w:t>Institute</w:t>
      </w:r>
      <w:r>
        <w:rPr>
          <w:i/>
          <w:spacing w:val="-6"/>
          <w:sz w:val="22"/>
        </w:rPr>
        <w:t> </w:t>
      </w:r>
      <w:r>
        <w:rPr>
          <w:i/>
          <w:sz w:val="22"/>
        </w:rPr>
        <w:t>for</w:t>
      </w:r>
      <w:r>
        <w:rPr>
          <w:i/>
          <w:spacing w:val="-7"/>
          <w:sz w:val="22"/>
        </w:rPr>
        <w:t> </w:t>
      </w:r>
      <w:r>
        <w:rPr>
          <w:i/>
          <w:sz w:val="22"/>
        </w:rPr>
        <w:t>International</w:t>
      </w:r>
      <w:r>
        <w:rPr>
          <w:i/>
          <w:spacing w:val="-4"/>
          <w:sz w:val="22"/>
        </w:rPr>
        <w:t> </w:t>
      </w:r>
      <w:r>
        <w:rPr>
          <w:i/>
          <w:sz w:val="22"/>
        </w:rPr>
        <w:t>Economics</w:t>
      </w:r>
      <w:r>
        <w:rPr>
          <w:sz w:val="22"/>
        </w:rPr>
        <w:t>,</w:t>
      </w:r>
      <w:r>
        <w:rPr>
          <w:spacing w:val="-4"/>
          <w:sz w:val="22"/>
        </w:rPr>
        <w:t> </w:t>
      </w:r>
      <w:r>
        <w:rPr>
          <w:spacing w:val="-2"/>
          <w:sz w:val="22"/>
        </w:rPr>
        <w:t>1987.</w:t>
      </w:r>
    </w:p>
    <w:p>
      <w:pPr>
        <w:spacing w:line="252" w:lineRule="exact" w:before="0"/>
        <w:ind w:left="711" w:right="0" w:firstLine="0"/>
        <w:jc w:val="left"/>
        <w:rPr>
          <w:sz w:val="22"/>
        </w:rPr>
      </w:pPr>
      <w:r>
        <w:rPr>
          <w:sz w:val="22"/>
        </w:rPr>
        <w:t>Rustomjee,</w:t>
      </w:r>
      <w:r>
        <w:rPr>
          <w:spacing w:val="-4"/>
          <w:sz w:val="22"/>
        </w:rPr>
        <w:t> </w:t>
      </w:r>
      <w:r>
        <w:rPr>
          <w:sz w:val="22"/>
        </w:rPr>
        <w:t>Z.</w:t>
      </w:r>
      <w:r>
        <w:rPr>
          <w:spacing w:val="-4"/>
          <w:sz w:val="22"/>
        </w:rPr>
        <w:t> </w:t>
      </w:r>
      <w:r>
        <w:rPr>
          <w:sz w:val="22"/>
        </w:rPr>
        <w:t>(1991).</w:t>
      </w:r>
      <w:r>
        <w:rPr>
          <w:spacing w:val="-2"/>
          <w:sz w:val="22"/>
        </w:rPr>
        <w:t> </w:t>
      </w:r>
      <w:r>
        <w:rPr>
          <w:sz w:val="22"/>
        </w:rPr>
        <w:t>Capital</w:t>
      </w:r>
      <w:r>
        <w:rPr>
          <w:spacing w:val="-3"/>
          <w:sz w:val="22"/>
        </w:rPr>
        <w:t> </w:t>
      </w:r>
      <w:r>
        <w:rPr>
          <w:sz w:val="22"/>
        </w:rPr>
        <w:t>Flight</w:t>
      </w:r>
      <w:r>
        <w:rPr>
          <w:spacing w:val="-3"/>
          <w:sz w:val="22"/>
        </w:rPr>
        <w:t> </w:t>
      </w:r>
      <w:r>
        <w:rPr>
          <w:sz w:val="22"/>
        </w:rPr>
        <w:t>Under</w:t>
      </w:r>
      <w:r>
        <w:rPr>
          <w:spacing w:val="-3"/>
          <w:sz w:val="22"/>
        </w:rPr>
        <w:t> </w:t>
      </w:r>
      <w:r>
        <w:rPr>
          <w:sz w:val="22"/>
        </w:rPr>
        <w:t>Apartheid</w:t>
      </w:r>
      <w:r>
        <w:rPr>
          <w:spacing w:val="-5"/>
          <w:sz w:val="22"/>
        </w:rPr>
        <w:t> </w:t>
      </w:r>
      <w:r>
        <w:rPr>
          <w:i/>
          <w:sz w:val="22"/>
        </w:rPr>
        <w:t>Transformation</w:t>
      </w:r>
      <w:r>
        <w:rPr>
          <w:sz w:val="22"/>
        </w:rPr>
        <w:t>,</w:t>
      </w:r>
      <w:r>
        <w:rPr>
          <w:spacing w:val="-6"/>
          <w:sz w:val="22"/>
        </w:rPr>
        <w:t> </w:t>
      </w:r>
      <w:r>
        <w:rPr>
          <w:i/>
          <w:sz w:val="22"/>
        </w:rPr>
        <w:t>15</w:t>
      </w:r>
      <w:r>
        <w:rPr>
          <w:sz w:val="22"/>
        </w:rPr>
        <w:t>,</w:t>
      </w:r>
      <w:r>
        <w:rPr>
          <w:spacing w:val="-4"/>
          <w:sz w:val="22"/>
        </w:rPr>
        <w:t> </w:t>
      </w:r>
      <w:r>
        <w:rPr>
          <w:sz w:val="22"/>
        </w:rPr>
        <w:t>89</w:t>
      </w:r>
      <w:r>
        <w:rPr>
          <w:spacing w:val="-6"/>
          <w:sz w:val="22"/>
        </w:rPr>
        <w:t> </w:t>
      </w:r>
      <w:r>
        <w:rPr>
          <w:spacing w:val="-2"/>
          <w:sz w:val="22"/>
        </w:rPr>
        <w:t>–103.</w:t>
      </w:r>
    </w:p>
    <w:p>
      <w:pPr>
        <w:spacing w:before="0"/>
        <w:ind w:left="1431" w:right="0" w:hanging="721"/>
        <w:jc w:val="left"/>
        <w:rPr>
          <w:sz w:val="22"/>
        </w:rPr>
      </w:pPr>
      <w:r>
        <w:rPr>
          <w:sz w:val="22"/>
        </w:rPr>
        <w:t>Sargan,</w:t>
      </w:r>
      <w:r>
        <w:rPr>
          <w:spacing w:val="40"/>
          <w:sz w:val="22"/>
        </w:rPr>
        <w:t> </w:t>
      </w:r>
      <w:r>
        <w:rPr>
          <w:sz w:val="22"/>
        </w:rPr>
        <w:t>J.D.</w:t>
      </w:r>
      <w:r>
        <w:rPr>
          <w:spacing w:val="40"/>
          <w:sz w:val="22"/>
        </w:rPr>
        <w:t> </w:t>
      </w:r>
      <w:r>
        <w:rPr>
          <w:sz w:val="22"/>
        </w:rPr>
        <w:t>and</w:t>
      </w:r>
      <w:r>
        <w:rPr>
          <w:spacing w:val="40"/>
          <w:sz w:val="22"/>
        </w:rPr>
        <w:t> </w:t>
      </w:r>
      <w:hyperlink r:id="rId21">
        <w:r>
          <w:rPr>
            <w:sz w:val="22"/>
          </w:rPr>
          <w:t>Alok</w:t>
        </w:r>
        <w:r>
          <w:rPr>
            <w:spacing w:val="38"/>
            <w:sz w:val="22"/>
          </w:rPr>
          <w:t> </w:t>
        </w:r>
        <w:r>
          <w:rPr>
            <w:sz w:val="22"/>
          </w:rPr>
          <w:t>B.</w:t>
        </w:r>
      </w:hyperlink>
      <w:r>
        <w:rPr>
          <w:spacing w:val="40"/>
          <w:sz w:val="22"/>
        </w:rPr>
        <w:t> </w:t>
      </w:r>
      <w:r>
        <w:rPr>
          <w:sz w:val="22"/>
        </w:rPr>
        <w:t>(1983).</w:t>
      </w:r>
      <w:r>
        <w:rPr>
          <w:spacing w:val="39"/>
          <w:sz w:val="22"/>
        </w:rPr>
        <w:t> </w:t>
      </w:r>
      <w:r>
        <w:rPr>
          <w:sz w:val="22"/>
        </w:rPr>
        <w:t>Testing</w:t>
      </w:r>
      <w:r>
        <w:rPr>
          <w:spacing w:val="38"/>
          <w:sz w:val="22"/>
        </w:rPr>
        <w:t> </w:t>
      </w:r>
      <w:r>
        <w:rPr>
          <w:sz w:val="22"/>
        </w:rPr>
        <w:t>Residuals</w:t>
      </w:r>
      <w:r>
        <w:rPr>
          <w:spacing w:val="38"/>
          <w:sz w:val="22"/>
        </w:rPr>
        <w:t> </w:t>
      </w:r>
      <w:r>
        <w:rPr>
          <w:sz w:val="22"/>
        </w:rPr>
        <w:t>from</w:t>
      </w:r>
      <w:r>
        <w:rPr>
          <w:spacing w:val="37"/>
          <w:sz w:val="22"/>
        </w:rPr>
        <w:t> </w:t>
      </w:r>
      <w:r>
        <w:rPr>
          <w:sz w:val="22"/>
        </w:rPr>
        <w:t>Least</w:t>
      </w:r>
      <w:r>
        <w:rPr>
          <w:spacing w:val="40"/>
          <w:sz w:val="22"/>
        </w:rPr>
        <w:t> </w:t>
      </w:r>
      <w:r>
        <w:rPr>
          <w:sz w:val="22"/>
        </w:rPr>
        <w:t>Squares</w:t>
      </w:r>
      <w:r>
        <w:rPr>
          <w:spacing w:val="40"/>
          <w:sz w:val="22"/>
        </w:rPr>
        <w:t> </w:t>
      </w:r>
      <w:r>
        <w:rPr>
          <w:sz w:val="22"/>
        </w:rPr>
        <w:t>Regression</w:t>
      </w:r>
      <w:r>
        <w:rPr>
          <w:spacing w:val="40"/>
          <w:sz w:val="22"/>
        </w:rPr>
        <w:t> </w:t>
      </w:r>
      <w:r>
        <w:rPr>
          <w:sz w:val="22"/>
        </w:rPr>
        <w:t>for</w:t>
      </w:r>
      <w:r>
        <w:rPr>
          <w:spacing w:val="40"/>
          <w:sz w:val="22"/>
        </w:rPr>
        <w:t> </w:t>
      </w:r>
      <w:r>
        <w:rPr>
          <w:sz w:val="22"/>
        </w:rPr>
        <w:t>Being</w:t>
      </w:r>
      <w:r>
        <w:rPr>
          <w:spacing w:val="38"/>
          <w:sz w:val="22"/>
        </w:rPr>
        <w:t> </w:t>
      </w:r>
      <w:r>
        <w:rPr>
          <w:sz w:val="22"/>
        </w:rPr>
        <w:t>Generated</w:t>
      </w:r>
      <w:r>
        <w:rPr>
          <w:spacing w:val="40"/>
          <w:sz w:val="22"/>
        </w:rPr>
        <w:t> </w:t>
      </w:r>
      <w:r>
        <w:rPr>
          <w:sz w:val="22"/>
        </w:rPr>
        <w:t>by</w:t>
      </w:r>
      <w:r>
        <w:rPr>
          <w:spacing w:val="38"/>
          <w:sz w:val="22"/>
        </w:rPr>
        <w:t> </w:t>
      </w:r>
      <w:r>
        <w:rPr>
          <w:sz w:val="22"/>
        </w:rPr>
        <w:t>the Gaussian Random Walk. Econometrica, 51, p. 153–174.</w:t>
      </w:r>
    </w:p>
    <w:p>
      <w:pPr>
        <w:tabs>
          <w:tab w:pos="8633" w:val="left" w:leader="none"/>
          <w:tab w:pos="10204" w:val="left" w:leader="none"/>
          <w:tab w:pos="10738" w:val="left" w:leader="none"/>
        </w:tabs>
        <w:spacing w:before="0"/>
        <w:ind w:left="711" w:right="469" w:firstLine="0"/>
        <w:jc w:val="left"/>
        <w:rPr>
          <w:sz w:val="22"/>
        </w:rPr>
      </w:pPr>
      <w:r>
        <w:rPr>
          <w:sz w:val="22"/>
        </w:rPr>
        <w:t>Salisu, M. (2005). The Role of Capital Flight and Remittances in Current Account</w:t>
        <w:tab/>
      </w:r>
      <w:r>
        <w:rPr>
          <w:spacing w:val="-2"/>
          <w:sz w:val="22"/>
        </w:rPr>
        <w:t>Sustainability</w:t>
      </w:r>
      <w:r>
        <w:rPr>
          <w:sz w:val="22"/>
        </w:rPr>
        <w:tab/>
      </w:r>
      <w:r>
        <w:rPr>
          <w:spacing w:val="-6"/>
          <w:sz w:val="22"/>
        </w:rPr>
        <w:t>in</w:t>
      </w:r>
      <w:r>
        <w:rPr>
          <w:sz w:val="22"/>
        </w:rPr>
        <w:tab/>
      </w:r>
      <w:r>
        <w:rPr>
          <w:spacing w:val="-4"/>
          <w:sz w:val="22"/>
        </w:rPr>
        <w:t>Sub- </w:t>
      </w:r>
      <w:r>
        <w:rPr>
          <w:sz w:val="22"/>
        </w:rPr>
        <w:t>Saharan Africa. </w:t>
      </w:r>
      <w:r>
        <w:rPr>
          <w:i/>
          <w:sz w:val="22"/>
        </w:rPr>
        <w:t>African Development Review</w:t>
      </w:r>
      <w:r>
        <w:rPr>
          <w:sz w:val="22"/>
        </w:rPr>
        <w:t>, </w:t>
      </w:r>
      <w:r>
        <w:rPr>
          <w:i/>
          <w:sz w:val="22"/>
        </w:rPr>
        <w:t>17(3), </w:t>
      </w:r>
      <w:r>
        <w:rPr>
          <w:sz w:val="22"/>
        </w:rPr>
        <w:t>382–404.</w:t>
      </w:r>
    </w:p>
    <w:p>
      <w:pPr>
        <w:tabs>
          <w:tab w:pos="7912" w:val="left" w:leader="none"/>
          <w:tab w:pos="9157" w:val="left" w:leader="none"/>
          <w:tab w:pos="9353" w:val="left" w:leader="none"/>
          <w:tab w:pos="10450" w:val="left" w:leader="none"/>
        </w:tabs>
        <w:spacing w:before="0"/>
        <w:ind w:left="711" w:right="473" w:firstLine="0"/>
        <w:jc w:val="left"/>
        <w:rPr>
          <w:sz w:val="22"/>
        </w:rPr>
      </w:pPr>
      <w:r>
        <w:rPr>
          <w:sz w:val="22"/>
        </w:rPr>
        <w:t>Sheets,N. (1995). Capital Flight from the Countries Intransition: Some Theory and Empirical</w:t>
        <w:tab/>
        <w:tab/>
      </w:r>
      <w:r>
        <w:rPr>
          <w:spacing w:val="-2"/>
          <w:sz w:val="22"/>
        </w:rPr>
        <w:t>Evidence. </w:t>
      </w:r>
      <w:r>
        <w:rPr>
          <w:i/>
          <w:sz w:val="22"/>
        </w:rPr>
        <w:t>International Finance Discussion Paper </w:t>
      </w:r>
      <w:r>
        <w:rPr>
          <w:sz w:val="22"/>
        </w:rPr>
        <w:t>No. 514. Board of Governors of the</w:t>
        <w:tab/>
      </w:r>
      <w:r>
        <w:rPr>
          <w:spacing w:val="-2"/>
          <w:sz w:val="22"/>
        </w:rPr>
        <w:t>Federal</w:t>
      </w:r>
      <w:r>
        <w:rPr>
          <w:sz w:val="22"/>
        </w:rPr>
        <w:tab/>
      </w:r>
      <w:r>
        <w:rPr>
          <w:spacing w:val="-2"/>
          <w:sz w:val="22"/>
        </w:rPr>
        <w:t>Reserve</w:t>
      </w:r>
      <w:r>
        <w:rPr>
          <w:sz w:val="22"/>
        </w:rPr>
        <w:tab/>
      </w:r>
      <w:r>
        <w:rPr>
          <w:spacing w:val="-2"/>
          <w:sz w:val="22"/>
        </w:rPr>
        <w:t>System, </w:t>
      </w:r>
      <w:r>
        <w:rPr>
          <w:sz w:val="22"/>
        </w:rPr>
        <w:t>Washington, DC.</w:t>
      </w:r>
    </w:p>
    <w:p>
      <w:pPr>
        <w:tabs>
          <w:tab w:pos="7912" w:val="left" w:leader="none"/>
        </w:tabs>
        <w:spacing w:before="0"/>
        <w:ind w:left="711" w:right="1811" w:firstLine="0"/>
        <w:jc w:val="left"/>
        <w:rPr>
          <w:sz w:val="22"/>
        </w:rPr>
      </w:pPr>
      <w:r>
        <w:rPr>
          <w:sz w:val="22"/>
        </w:rPr>
        <w:t>Simkin</w:t>
      </w:r>
      <w:r>
        <w:rPr>
          <w:spacing w:val="-2"/>
          <w:sz w:val="22"/>
        </w:rPr>
        <w:t> </w:t>
      </w:r>
      <w:r>
        <w:rPr>
          <w:sz w:val="22"/>
        </w:rPr>
        <w:t>(1973).</w:t>
      </w:r>
      <w:r>
        <w:rPr>
          <w:spacing w:val="-2"/>
          <w:sz w:val="22"/>
        </w:rPr>
        <w:t> </w:t>
      </w:r>
      <w:r>
        <w:rPr>
          <w:i/>
          <w:sz w:val="22"/>
        </w:rPr>
        <w:t>Financial</w:t>
      </w:r>
      <w:r>
        <w:rPr>
          <w:i/>
          <w:spacing w:val="-6"/>
          <w:sz w:val="22"/>
        </w:rPr>
        <w:t> </w:t>
      </w:r>
      <w:r>
        <w:rPr>
          <w:i/>
          <w:sz w:val="22"/>
        </w:rPr>
        <w:t>Deepening</w:t>
      </w:r>
      <w:r>
        <w:rPr>
          <w:i/>
          <w:spacing w:val="-5"/>
          <w:sz w:val="22"/>
        </w:rPr>
        <w:t> </w:t>
      </w:r>
      <w:r>
        <w:rPr>
          <w:i/>
          <w:sz w:val="22"/>
        </w:rPr>
        <w:t>in</w:t>
      </w:r>
      <w:r>
        <w:rPr>
          <w:i/>
          <w:spacing w:val="-2"/>
          <w:sz w:val="22"/>
        </w:rPr>
        <w:t> </w:t>
      </w:r>
      <w:r>
        <w:rPr>
          <w:i/>
          <w:sz w:val="22"/>
        </w:rPr>
        <w:t>Economic</w:t>
      </w:r>
      <w:r>
        <w:rPr>
          <w:i/>
          <w:spacing w:val="-2"/>
          <w:sz w:val="22"/>
        </w:rPr>
        <w:t> </w:t>
      </w:r>
      <w:r>
        <w:rPr>
          <w:i/>
          <w:sz w:val="22"/>
        </w:rPr>
        <w:t>Development</w:t>
      </w:r>
      <w:r>
        <w:rPr>
          <w:sz w:val="22"/>
        </w:rPr>
        <w:t>.</w:t>
      </w:r>
      <w:r>
        <w:rPr>
          <w:spacing w:val="40"/>
          <w:sz w:val="22"/>
        </w:rPr>
        <w:t> </w:t>
      </w:r>
      <w:r>
        <w:rPr>
          <w:sz w:val="22"/>
        </w:rPr>
        <w:t>Oxford</w:t>
      </w:r>
      <w:r>
        <w:rPr>
          <w:spacing w:val="-2"/>
          <w:sz w:val="22"/>
        </w:rPr>
        <w:t> </w:t>
      </w:r>
      <w:r>
        <w:rPr>
          <w:sz w:val="22"/>
        </w:rPr>
        <w:t>University</w:t>
      </w:r>
      <w:r>
        <w:rPr>
          <w:spacing w:val="-5"/>
          <w:sz w:val="22"/>
        </w:rPr>
        <w:t> </w:t>
      </w:r>
      <w:r>
        <w:rPr>
          <w:sz w:val="22"/>
        </w:rPr>
        <w:t>Press,</w:t>
      </w:r>
      <w:r>
        <w:rPr>
          <w:spacing w:val="-2"/>
          <w:sz w:val="22"/>
        </w:rPr>
        <w:t> </w:t>
      </w:r>
      <w:r>
        <w:rPr>
          <w:sz w:val="22"/>
        </w:rPr>
        <w:t>New</w:t>
      </w:r>
      <w:r>
        <w:rPr>
          <w:spacing w:val="80"/>
          <w:sz w:val="22"/>
        </w:rPr>
        <w:t> </w:t>
      </w:r>
      <w:r>
        <w:rPr>
          <w:sz w:val="22"/>
        </w:rPr>
        <w:t>York. Soyinka, W. (2007): </w:t>
      </w:r>
      <w:r>
        <w:rPr>
          <w:i/>
          <w:sz w:val="22"/>
        </w:rPr>
        <w:t>The Open Sore of a Continent</w:t>
      </w:r>
      <w:r>
        <w:rPr>
          <w:sz w:val="22"/>
        </w:rPr>
        <w:t>. Petroleum Industry in</w:t>
        <w:tab/>
      </w:r>
      <w:r>
        <w:rPr>
          <w:spacing w:val="-2"/>
          <w:sz w:val="22"/>
        </w:rPr>
        <w:t>Nigeria.</w:t>
      </w:r>
    </w:p>
    <w:p>
      <w:pPr>
        <w:tabs>
          <w:tab w:pos="5032" w:val="left" w:leader="none"/>
          <w:tab w:pos="7192" w:val="left" w:leader="none"/>
          <w:tab w:pos="8633" w:val="left" w:leader="none"/>
          <w:tab w:pos="9121" w:val="left" w:leader="none"/>
          <w:tab w:pos="9353" w:val="left" w:leader="none"/>
          <w:tab w:pos="10073" w:val="left" w:leader="none"/>
          <w:tab w:pos="10365" w:val="left" w:leader="none"/>
          <w:tab w:pos="10657" w:val="left" w:leader="none"/>
          <w:tab w:pos="10885" w:val="left" w:leader="none"/>
        </w:tabs>
        <w:spacing w:before="1"/>
        <w:ind w:left="711" w:right="470" w:firstLine="0"/>
        <w:jc w:val="left"/>
        <w:rPr>
          <w:sz w:val="22"/>
        </w:rPr>
      </w:pPr>
      <w:r>
        <w:rPr>
          <w:sz w:val="22"/>
        </w:rPr>
        <w:t>The Punch (2006): “Militants Blow up another oil Boat”.</w:t>
      </w:r>
      <w:r>
        <w:rPr>
          <w:spacing w:val="40"/>
          <w:sz w:val="22"/>
        </w:rPr>
        <w:t> </w:t>
      </w:r>
      <w:r>
        <w:rPr>
          <w:i/>
          <w:sz w:val="22"/>
        </w:rPr>
        <w:t>Niger Delta Crisis and</w:t>
        <w:tab/>
        <w:t>the Nigeria</w:t>
        <w:tab/>
      </w:r>
      <w:r>
        <w:rPr>
          <w:i/>
          <w:spacing w:val="-2"/>
          <w:sz w:val="22"/>
        </w:rPr>
        <w:t>Economy </w:t>
      </w:r>
      <w:r>
        <w:rPr>
          <w:sz w:val="22"/>
        </w:rPr>
        <w:t>Unger, B., Ferwerda, J., de Kruijf, W., Rawlings, G., Siegel, M., &amp; Wokke, K. (2006). The</w:t>
        <w:tab/>
        <w:tab/>
      </w:r>
      <w:r>
        <w:rPr>
          <w:spacing w:val="-2"/>
          <w:sz w:val="22"/>
        </w:rPr>
        <w:t>Amounts</w:t>
      </w:r>
      <w:r>
        <w:rPr>
          <w:sz w:val="22"/>
        </w:rPr>
        <w:tab/>
      </w:r>
      <w:r>
        <w:rPr>
          <w:spacing w:val="-4"/>
          <w:sz w:val="22"/>
        </w:rPr>
        <w:t>and</w:t>
      </w:r>
      <w:r>
        <w:rPr>
          <w:sz w:val="22"/>
        </w:rPr>
        <w:tab/>
      </w:r>
      <w:r>
        <w:rPr>
          <w:spacing w:val="-4"/>
          <w:sz w:val="22"/>
        </w:rPr>
        <w:t>the </w:t>
      </w:r>
      <w:r>
        <w:rPr>
          <w:sz w:val="22"/>
        </w:rPr>
        <w:t>Effects of Money Laundering”. </w:t>
      </w:r>
      <w:r>
        <w:rPr>
          <w:i/>
          <w:sz w:val="22"/>
        </w:rPr>
        <w:t>Report for</w:t>
        <w:tab/>
        <w:t>Dutch Ministry of</w:t>
        <w:tab/>
      </w:r>
      <w:r>
        <w:rPr>
          <w:i/>
          <w:spacing w:val="-2"/>
          <w:sz w:val="22"/>
        </w:rPr>
        <w:t>Finance</w:t>
      </w:r>
      <w:r>
        <w:rPr>
          <w:spacing w:val="-2"/>
          <w:sz w:val="22"/>
        </w:rPr>
        <w:t>,</w:t>
      </w:r>
      <w:r>
        <w:rPr>
          <w:sz w:val="22"/>
        </w:rPr>
        <w:tab/>
        <w:tab/>
      </w:r>
      <w:r>
        <w:rPr>
          <w:spacing w:val="-4"/>
          <w:sz w:val="22"/>
        </w:rPr>
        <w:t>Feb.</w:t>
      </w:r>
      <w:r>
        <w:rPr>
          <w:sz w:val="22"/>
        </w:rPr>
        <w:tab/>
        <w:tab/>
        <w:tab/>
      </w:r>
      <w:r>
        <w:rPr>
          <w:spacing w:val="-2"/>
          <w:sz w:val="22"/>
        </w:rPr>
        <w:t>2006, </w:t>
      </w:r>
      <w:hyperlink r:id="rId16">
        <w:r>
          <w:rPr>
            <w:sz w:val="22"/>
            <w:u w:val="single"/>
          </w:rPr>
          <w:t>http://www.minfin.nl/binaries/</w:t>
        </w:r>
      </w:hyperlink>
      <w:r>
        <w:rPr>
          <w:spacing w:val="80"/>
          <w:sz w:val="22"/>
        </w:rPr>
        <w:t> </w:t>
      </w:r>
      <w:r>
        <w:rPr>
          <w:sz w:val="22"/>
        </w:rPr>
        <w:t>minfin/assets/pdf/old/06_011a.pdf.</w:t>
      </w:r>
    </w:p>
    <w:p>
      <w:pPr>
        <w:tabs>
          <w:tab w:pos="8633" w:val="left" w:leader="none"/>
        </w:tabs>
        <w:spacing w:before="1"/>
        <w:ind w:left="711" w:right="1615" w:firstLine="0"/>
        <w:jc w:val="left"/>
        <w:rPr>
          <w:i/>
          <w:sz w:val="22"/>
        </w:rPr>
      </w:pPr>
      <w:r>
        <w:rPr>
          <w:sz w:val="22"/>
        </w:rPr>
        <w:t>U.S. EIA (1997)</w:t>
      </w:r>
      <w:r>
        <w:rPr>
          <w:i/>
          <w:sz w:val="22"/>
        </w:rPr>
        <w:t>. Nigeria Country Analysis Brief” U.S. Energy Information Administration </w:t>
      </w:r>
      <w:r>
        <w:rPr>
          <w:sz w:val="22"/>
        </w:rPr>
        <w:t>December</w:t>
      </w:r>
      <w:r>
        <w:rPr>
          <w:i/>
          <w:sz w:val="22"/>
        </w:rPr>
        <w:t>. </w:t>
      </w:r>
      <w:r>
        <w:rPr>
          <w:sz w:val="22"/>
        </w:rPr>
        <w:t>Varman-Schneider, B. (1991). Capital Flight from Developing Countries.</w:t>
      </w:r>
      <w:r>
        <w:rPr>
          <w:i/>
          <w:sz w:val="22"/>
        </w:rPr>
        <w:t>Boulder CO:</w:t>
        <w:tab/>
        <w:t>Westview</w:t>
      </w:r>
      <w:r>
        <w:rPr>
          <w:i/>
          <w:spacing w:val="-14"/>
          <w:sz w:val="22"/>
        </w:rPr>
        <w:t> </w:t>
      </w:r>
      <w:r>
        <w:rPr>
          <w:i/>
          <w:sz w:val="22"/>
        </w:rPr>
        <w:t>Press</w:t>
      </w:r>
    </w:p>
    <w:p>
      <w:pPr>
        <w:pStyle w:val="BodyText"/>
        <w:spacing w:before="28"/>
        <w:rPr>
          <w:i/>
          <w:sz w:val="22"/>
        </w:rPr>
      </w:pPr>
    </w:p>
    <w:p>
      <w:pPr>
        <w:spacing w:before="0"/>
        <w:ind w:left="711" w:right="0" w:firstLine="0"/>
        <w:jc w:val="left"/>
        <w:rPr>
          <w:sz w:val="22"/>
        </w:rPr>
      </w:pPr>
      <w:r>
        <w:rPr>
          <w:sz w:val="22"/>
        </w:rPr>
        <w:t>Von</w:t>
      </w:r>
      <w:r>
        <w:rPr>
          <w:spacing w:val="19"/>
          <w:sz w:val="22"/>
        </w:rPr>
        <w:t> </w:t>
      </w:r>
      <w:r>
        <w:rPr>
          <w:sz w:val="22"/>
        </w:rPr>
        <w:t>Neumann,</w:t>
      </w:r>
      <w:r>
        <w:rPr>
          <w:spacing w:val="21"/>
          <w:sz w:val="22"/>
        </w:rPr>
        <w:t> </w:t>
      </w:r>
      <w:r>
        <w:rPr>
          <w:sz w:val="22"/>
        </w:rPr>
        <w:t>John.</w:t>
      </w:r>
      <w:r>
        <w:rPr>
          <w:spacing w:val="21"/>
          <w:sz w:val="22"/>
        </w:rPr>
        <w:t> </w:t>
      </w:r>
      <w:r>
        <w:rPr>
          <w:sz w:val="22"/>
        </w:rPr>
        <w:t>(1941).</w:t>
      </w:r>
      <w:r>
        <w:rPr>
          <w:spacing w:val="23"/>
          <w:sz w:val="22"/>
        </w:rPr>
        <w:t> </w:t>
      </w:r>
      <w:r>
        <w:rPr>
          <w:sz w:val="22"/>
        </w:rPr>
        <w:t>Distribution</w:t>
      </w:r>
      <w:r>
        <w:rPr>
          <w:spacing w:val="24"/>
          <w:sz w:val="22"/>
        </w:rPr>
        <w:t> </w:t>
      </w:r>
      <w:r>
        <w:rPr>
          <w:sz w:val="22"/>
        </w:rPr>
        <w:t>of</w:t>
      </w:r>
      <w:r>
        <w:rPr>
          <w:spacing w:val="21"/>
          <w:sz w:val="22"/>
        </w:rPr>
        <w:t> </w:t>
      </w:r>
      <w:r>
        <w:rPr>
          <w:sz w:val="22"/>
        </w:rPr>
        <w:t>the</w:t>
      </w:r>
      <w:r>
        <w:rPr>
          <w:spacing w:val="23"/>
          <w:sz w:val="22"/>
        </w:rPr>
        <w:t> </w:t>
      </w:r>
      <w:r>
        <w:rPr>
          <w:sz w:val="22"/>
        </w:rPr>
        <w:t>Ratio</w:t>
      </w:r>
      <w:r>
        <w:rPr>
          <w:spacing w:val="23"/>
          <w:sz w:val="22"/>
        </w:rPr>
        <w:t> </w:t>
      </w:r>
      <w:r>
        <w:rPr>
          <w:sz w:val="22"/>
        </w:rPr>
        <w:t>of</w:t>
      </w:r>
      <w:r>
        <w:rPr>
          <w:spacing w:val="21"/>
          <w:sz w:val="22"/>
        </w:rPr>
        <w:t> </w:t>
      </w:r>
      <w:r>
        <w:rPr>
          <w:sz w:val="22"/>
        </w:rPr>
        <w:t>the</w:t>
      </w:r>
      <w:r>
        <w:rPr>
          <w:spacing w:val="22"/>
          <w:sz w:val="22"/>
        </w:rPr>
        <w:t> </w:t>
      </w:r>
      <w:r>
        <w:rPr>
          <w:sz w:val="22"/>
        </w:rPr>
        <w:t>Mean</w:t>
      </w:r>
      <w:r>
        <w:rPr>
          <w:spacing w:val="21"/>
          <w:sz w:val="22"/>
        </w:rPr>
        <w:t> </w:t>
      </w:r>
      <w:r>
        <w:rPr>
          <w:sz w:val="22"/>
        </w:rPr>
        <w:t>Square</w:t>
      </w:r>
      <w:r>
        <w:rPr>
          <w:spacing w:val="21"/>
          <w:sz w:val="22"/>
        </w:rPr>
        <w:t> </w:t>
      </w:r>
      <w:r>
        <w:rPr>
          <w:sz w:val="22"/>
        </w:rPr>
        <w:t>Successive</w:t>
      </w:r>
      <w:r>
        <w:rPr>
          <w:spacing w:val="23"/>
          <w:sz w:val="22"/>
        </w:rPr>
        <w:t> </w:t>
      </w:r>
      <w:r>
        <w:rPr>
          <w:sz w:val="22"/>
        </w:rPr>
        <w:t>Difference</w:t>
      </w:r>
      <w:r>
        <w:rPr>
          <w:spacing w:val="21"/>
          <w:sz w:val="22"/>
        </w:rPr>
        <w:t> </w:t>
      </w:r>
      <w:r>
        <w:rPr>
          <w:sz w:val="22"/>
        </w:rPr>
        <w:t>to</w:t>
      </w:r>
      <w:r>
        <w:rPr>
          <w:spacing w:val="21"/>
          <w:sz w:val="22"/>
        </w:rPr>
        <w:t> </w:t>
      </w:r>
      <w:r>
        <w:rPr>
          <w:sz w:val="22"/>
        </w:rPr>
        <w:t>the</w:t>
      </w:r>
      <w:r>
        <w:rPr>
          <w:spacing w:val="20"/>
          <w:sz w:val="22"/>
        </w:rPr>
        <w:t> </w:t>
      </w:r>
      <w:r>
        <w:rPr>
          <w:spacing w:val="-2"/>
          <w:sz w:val="22"/>
        </w:rPr>
        <w:t>Variance.</w:t>
      </w:r>
    </w:p>
    <w:p>
      <w:pPr>
        <w:spacing w:before="1"/>
        <w:ind w:left="1431" w:right="0" w:firstLine="0"/>
        <w:jc w:val="left"/>
        <w:rPr>
          <w:sz w:val="22"/>
        </w:rPr>
      </w:pPr>
      <w:r>
        <w:rPr>
          <w:sz w:val="22"/>
        </w:rPr>
        <w:t>Annals</w:t>
      </w:r>
      <w:r>
        <w:rPr>
          <w:spacing w:val="-5"/>
          <w:sz w:val="22"/>
        </w:rPr>
        <w:t> </w:t>
      </w:r>
      <w:r>
        <w:rPr>
          <w:sz w:val="22"/>
        </w:rPr>
        <w:t>of</w:t>
      </w:r>
      <w:r>
        <w:rPr>
          <w:spacing w:val="-5"/>
          <w:sz w:val="22"/>
        </w:rPr>
        <w:t> </w:t>
      </w:r>
      <w:r>
        <w:rPr>
          <w:sz w:val="22"/>
        </w:rPr>
        <w:t>Mathematical</w:t>
      </w:r>
      <w:r>
        <w:rPr>
          <w:spacing w:val="-3"/>
          <w:sz w:val="22"/>
        </w:rPr>
        <w:t> </w:t>
      </w:r>
      <w:r>
        <w:rPr>
          <w:sz w:val="22"/>
        </w:rPr>
        <w:t>Statistics,</w:t>
      </w:r>
      <w:r>
        <w:rPr>
          <w:spacing w:val="-5"/>
          <w:sz w:val="22"/>
        </w:rPr>
        <w:t> </w:t>
      </w:r>
      <w:r>
        <w:rPr>
          <w:sz w:val="22"/>
        </w:rPr>
        <w:t>12,</w:t>
      </w:r>
      <w:r>
        <w:rPr>
          <w:spacing w:val="-3"/>
          <w:sz w:val="22"/>
        </w:rPr>
        <w:t> </w:t>
      </w:r>
      <w:r>
        <w:rPr>
          <w:spacing w:val="-2"/>
          <w:sz w:val="22"/>
        </w:rPr>
        <w:t>367–395.</w:t>
      </w:r>
    </w:p>
    <w:p>
      <w:pPr>
        <w:pStyle w:val="BodyText"/>
        <w:spacing w:before="24"/>
        <w:rPr>
          <w:sz w:val="22"/>
        </w:rPr>
      </w:pPr>
    </w:p>
    <w:p>
      <w:pPr>
        <w:tabs>
          <w:tab w:pos="9353" w:val="left" w:leader="none"/>
        </w:tabs>
        <w:spacing w:before="1"/>
        <w:ind w:left="711" w:right="470" w:firstLine="0"/>
        <w:jc w:val="left"/>
        <w:rPr>
          <w:sz w:val="22"/>
        </w:rPr>
      </w:pPr>
      <w:r>
        <w:rPr>
          <w:sz w:val="22"/>
        </w:rPr>
        <w:t>Vos (1992). Private Foreign Asset Accumulation, not just Capital Flight: Evidence from the</w:t>
        <w:tab/>
        <w:t>Philippines.</w:t>
      </w:r>
      <w:r>
        <w:rPr>
          <w:spacing w:val="-11"/>
          <w:sz w:val="22"/>
        </w:rPr>
        <w:t> </w:t>
      </w:r>
      <w:r>
        <w:rPr>
          <w:i/>
          <w:sz w:val="22"/>
        </w:rPr>
        <w:t>Journal of Development Studies</w:t>
      </w:r>
      <w:r>
        <w:rPr>
          <w:sz w:val="22"/>
        </w:rPr>
        <w:t>, </w:t>
      </w:r>
      <w:r>
        <w:rPr>
          <w:i/>
          <w:sz w:val="22"/>
        </w:rPr>
        <w:t>28,3</w:t>
      </w:r>
      <w:r>
        <w:rPr>
          <w:sz w:val="22"/>
        </w:rPr>
        <w:t>, 500-537.</w:t>
      </w:r>
    </w:p>
    <w:p>
      <w:pPr>
        <w:spacing w:after="0"/>
        <w:jc w:val="left"/>
        <w:rPr>
          <w:sz w:val="22"/>
        </w:rPr>
        <w:sectPr>
          <w:pgSz w:w="11910" w:h="16840"/>
          <w:pgMar w:header="0" w:footer="979" w:top="1400" w:bottom="1240" w:left="280" w:right="0"/>
        </w:sectPr>
      </w:pPr>
    </w:p>
    <w:p>
      <w:pPr>
        <w:spacing w:before="72"/>
        <w:ind w:left="1431" w:right="0" w:hanging="721"/>
        <w:jc w:val="left"/>
        <w:rPr>
          <w:sz w:val="22"/>
        </w:rPr>
      </w:pPr>
      <w:r>
        <w:rPr>
          <w:sz w:val="22"/>
        </w:rPr>
        <w:t>Quan and Meenakshi (2006). Illicit Financial Flows from Africa; Hidden Resources for Development. </w:t>
      </w:r>
      <w:r>
        <w:rPr>
          <w:i/>
          <w:sz w:val="22"/>
        </w:rPr>
        <w:t>International Economic Journal</w:t>
      </w:r>
      <w:r>
        <w:rPr>
          <w:sz w:val="22"/>
        </w:rPr>
        <w:t>. </w:t>
      </w:r>
      <w:r>
        <w:rPr>
          <w:i/>
          <w:sz w:val="22"/>
        </w:rPr>
        <w:t>12</w:t>
      </w:r>
      <w:r>
        <w:rPr>
          <w:sz w:val="22"/>
        </w:rPr>
        <w:t>. 1-40</w:t>
      </w:r>
    </w:p>
    <w:p>
      <w:pPr>
        <w:spacing w:before="1"/>
        <w:ind w:left="711" w:right="0" w:firstLine="0"/>
        <w:jc w:val="left"/>
        <w:rPr>
          <w:sz w:val="22"/>
        </w:rPr>
      </w:pPr>
      <w:r>
        <w:rPr>
          <w:sz w:val="22"/>
        </w:rPr>
        <w:t>Walker,</w:t>
      </w:r>
      <w:r>
        <w:rPr>
          <w:spacing w:val="-6"/>
          <w:sz w:val="22"/>
        </w:rPr>
        <w:t> </w:t>
      </w:r>
      <w:r>
        <w:rPr>
          <w:sz w:val="22"/>
        </w:rPr>
        <w:t>J.</w:t>
      </w:r>
      <w:r>
        <w:rPr>
          <w:spacing w:val="-3"/>
          <w:sz w:val="22"/>
        </w:rPr>
        <w:t> </w:t>
      </w:r>
      <w:r>
        <w:rPr>
          <w:sz w:val="22"/>
        </w:rPr>
        <w:t>(2002).</w:t>
      </w:r>
      <w:r>
        <w:rPr>
          <w:spacing w:val="-5"/>
          <w:sz w:val="22"/>
        </w:rPr>
        <w:t> </w:t>
      </w:r>
      <w:r>
        <w:rPr>
          <w:sz w:val="22"/>
        </w:rPr>
        <w:t>Just</w:t>
      </w:r>
      <w:r>
        <w:rPr>
          <w:spacing w:val="-2"/>
          <w:sz w:val="22"/>
        </w:rPr>
        <w:t> </w:t>
      </w:r>
      <w:r>
        <w:rPr>
          <w:sz w:val="22"/>
        </w:rPr>
        <w:t>How</w:t>
      </w:r>
      <w:r>
        <w:rPr>
          <w:spacing w:val="-3"/>
          <w:sz w:val="22"/>
        </w:rPr>
        <w:t> </w:t>
      </w:r>
      <w:r>
        <w:rPr>
          <w:sz w:val="22"/>
        </w:rPr>
        <w:t>Big</w:t>
      </w:r>
      <w:r>
        <w:rPr>
          <w:spacing w:val="-6"/>
          <w:sz w:val="22"/>
        </w:rPr>
        <w:t> </w:t>
      </w:r>
      <w:r>
        <w:rPr>
          <w:sz w:val="22"/>
        </w:rPr>
        <w:t>is</w:t>
      </w:r>
      <w:r>
        <w:rPr>
          <w:spacing w:val="-2"/>
          <w:sz w:val="22"/>
        </w:rPr>
        <w:t> </w:t>
      </w:r>
      <w:r>
        <w:rPr>
          <w:sz w:val="22"/>
        </w:rPr>
        <w:t>Global</w:t>
      </w:r>
      <w:r>
        <w:rPr>
          <w:spacing w:val="-5"/>
          <w:sz w:val="22"/>
        </w:rPr>
        <w:t> </w:t>
      </w:r>
      <w:r>
        <w:rPr>
          <w:sz w:val="22"/>
        </w:rPr>
        <w:t>Money</w:t>
      </w:r>
      <w:r>
        <w:rPr>
          <w:spacing w:val="-5"/>
          <w:sz w:val="22"/>
        </w:rPr>
        <w:t> </w:t>
      </w:r>
      <w:r>
        <w:rPr>
          <w:sz w:val="22"/>
        </w:rPr>
        <w:t>Laundering?</w:t>
      </w:r>
      <w:r>
        <w:rPr>
          <w:spacing w:val="-3"/>
          <w:sz w:val="22"/>
        </w:rPr>
        <w:t> </w:t>
      </w:r>
      <w:r>
        <w:rPr>
          <w:sz w:val="22"/>
        </w:rPr>
        <w:t>Sydney.</w:t>
      </w:r>
      <w:r>
        <w:rPr>
          <w:spacing w:val="73"/>
          <w:w w:val="150"/>
          <w:sz w:val="22"/>
        </w:rPr>
        <w:t> </w:t>
      </w:r>
      <w:r>
        <w:rPr>
          <w:i/>
          <w:sz w:val="22"/>
        </w:rPr>
        <w:t>Australian</w:t>
      </w:r>
      <w:r>
        <w:rPr>
          <w:i/>
          <w:spacing w:val="-3"/>
          <w:sz w:val="22"/>
        </w:rPr>
        <w:t> </w:t>
      </w:r>
      <w:r>
        <w:rPr>
          <w:i/>
          <w:sz w:val="22"/>
        </w:rPr>
        <w:t>Institute</w:t>
      </w:r>
      <w:r>
        <w:rPr>
          <w:i/>
          <w:spacing w:val="-3"/>
          <w:sz w:val="22"/>
        </w:rPr>
        <w:t> </w:t>
      </w:r>
      <w:r>
        <w:rPr>
          <w:i/>
          <w:sz w:val="22"/>
        </w:rPr>
        <w:t>of</w:t>
      </w:r>
      <w:r>
        <w:rPr>
          <w:i/>
          <w:spacing w:val="-1"/>
          <w:sz w:val="22"/>
        </w:rPr>
        <w:t> </w:t>
      </w:r>
      <w:r>
        <w:rPr>
          <w:i/>
          <w:sz w:val="22"/>
        </w:rPr>
        <w:t>Criminology</w:t>
      </w:r>
      <w:r>
        <w:rPr>
          <w:i/>
          <w:spacing w:val="-3"/>
          <w:sz w:val="22"/>
        </w:rPr>
        <w:t> </w:t>
      </w:r>
      <w:r>
        <w:rPr>
          <w:i/>
          <w:spacing w:val="-2"/>
          <w:sz w:val="22"/>
        </w:rPr>
        <w:t>Seminar</w:t>
      </w:r>
      <w:r>
        <w:rPr>
          <w:spacing w:val="-2"/>
          <w:sz w:val="22"/>
        </w:rPr>
        <w:t>.</w:t>
      </w:r>
    </w:p>
    <w:p>
      <w:pPr>
        <w:pStyle w:val="BodyText"/>
        <w:rPr>
          <w:sz w:val="22"/>
        </w:rPr>
      </w:pPr>
    </w:p>
    <w:p>
      <w:pPr>
        <w:spacing w:before="0"/>
        <w:ind w:left="711" w:right="0" w:firstLine="0"/>
        <w:jc w:val="left"/>
        <w:rPr>
          <w:sz w:val="22"/>
        </w:rPr>
      </w:pPr>
      <w:r>
        <w:rPr>
          <w:sz w:val="22"/>
        </w:rPr>
        <w:t>Wood,</w:t>
      </w:r>
      <w:r>
        <w:rPr>
          <w:spacing w:val="-1"/>
          <w:sz w:val="22"/>
        </w:rPr>
        <w:t> </w:t>
      </w:r>
      <w:r>
        <w:rPr>
          <w:sz w:val="22"/>
        </w:rPr>
        <w:t>E.</w:t>
      </w:r>
      <w:r>
        <w:rPr>
          <w:spacing w:val="-1"/>
          <w:sz w:val="22"/>
        </w:rPr>
        <w:t> </w:t>
      </w:r>
      <w:r>
        <w:rPr>
          <w:sz w:val="22"/>
        </w:rPr>
        <w:t>&amp;</w:t>
      </w:r>
      <w:r>
        <w:rPr>
          <w:spacing w:val="-5"/>
          <w:sz w:val="22"/>
        </w:rPr>
        <w:t> </w:t>
      </w:r>
      <w:r>
        <w:rPr>
          <w:sz w:val="22"/>
        </w:rPr>
        <w:t>Moll,</w:t>
      </w:r>
      <w:r>
        <w:rPr>
          <w:spacing w:val="-4"/>
          <w:sz w:val="22"/>
        </w:rPr>
        <w:t> </w:t>
      </w:r>
      <w:r>
        <w:rPr>
          <w:sz w:val="22"/>
        </w:rPr>
        <w:t>T.</w:t>
      </w:r>
      <w:r>
        <w:rPr>
          <w:spacing w:val="-4"/>
          <w:sz w:val="22"/>
        </w:rPr>
        <w:t> </w:t>
      </w:r>
      <w:r>
        <w:rPr>
          <w:sz w:val="22"/>
        </w:rPr>
        <w:t>(1994).</w:t>
      </w:r>
      <w:r>
        <w:rPr>
          <w:spacing w:val="-1"/>
          <w:sz w:val="22"/>
        </w:rPr>
        <w:t> </w:t>
      </w:r>
      <w:r>
        <w:rPr>
          <w:sz w:val="22"/>
        </w:rPr>
        <w:t>Capital flight</w:t>
      </w:r>
      <w:r>
        <w:rPr>
          <w:spacing w:val="-3"/>
          <w:sz w:val="22"/>
        </w:rPr>
        <w:t> </w:t>
      </w:r>
      <w:r>
        <w:rPr>
          <w:sz w:val="22"/>
        </w:rPr>
        <w:t>from</w:t>
      </w:r>
      <w:r>
        <w:rPr>
          <w:spacing w:val="-5"/>
          <w:sz w:val="22"/>
        </w:rPr>
        <w:t> </w:t>
      </w:r>
      <w:r>
        <w:rPr>
          <w:sz w:val="22"/>
        </w:rPr>
        <w:t>South</w:t>
      </w:r>
      <w:r>
        <w:rPr>
          <w:spacing w:val="-1"/>
          <w:sz w:val="22"/>
        </w:rPr>
        <w:t> </w:t>
      </w:r>
      <w:r>
        <w:rPr>
          <w:sz w:val="22"/>
        </w:rPr>
        <w:t>Africa: Is</w:t>
      </w:r>
      <w:r>
        <w:rPr>
          <w:spacing w:val="-1"/>
          <w:sz w:val="22"/>
        </w:rPr>
        <w:t> </w:t>
      </w:r>
      <w:r>
        <w:rPr>
          <w:sz w:val="22"/>
        </w:rPr>
        <w:t>Underinvoicing Exaggerated?,</w:t>
      </w:r>
      <w:r>
        <w:rPr>
          <w:spacing w:val="80"/>
          <w:w w:val="150"/>
          <w:sz w:val="22"/>
        </w:rPr>
        <w:t> </w:t>
      </w:r>
      <w:r>
        <w:rPr>
          <w:i/>
          <w:sz w:val="22"/>
        </w:rPr>
        <w:t>The</w:t>
      </w:r>
      <w:r>
        <w:rPr>
          <w:i/>
          <w:spacing w:val="80"/>
          <w:sz w:val="22"/>
        </w:rPr>
        <w:t> </w:t>
      </w:r>
      <w:r>
        <w:rPr>
          <w:i/>
          <w:sz w:val="22"/>
        </w:rPr>
        <w:t>South</w:t>
      </w:r>
      <w:r>
        <w:rPr>
          <w:i/>
          <w:spacing w:val="80"/>
          <w:sz w:val="22"/>
        </w:rPr>
        <w:t> </w:t>
      </w:r>
      <w:r>
        <w:rPr>
          <w:i/>
          <w:sz w:val="22"/>
        </w:rPr>
        <w:t>African Journal of Economics</w:t>
      </w:r>
      <w:r>
        <w:rPr>
          <w:sz w:val="22"/>
        </w:rPr>
        <w:t>, </w:t>
      </w:r>
      <w:r>
        <w:rPr>
          <w:i/>
          <w:sz w:val="22"/>
        </w:rPr>
        <w:t>62 (1</w:t>
      </w:r>
      <w:r>
        <w:rPr>
          <w:sz w:val="22"/>
        </w:rPr>
        <w:t>),</w:t>
      </w:r>
      <w:r>
        <w:rPr>
          <w:spacing w:val="40"/>
          <w:sz w:val="22"/>
        </w:rPr>
        <w:t> </w:t>
      </w:r>
      <w:r>
        <w:rPr>
          <w:sz w:val="22"/>
        </w:rPr>
        <w:t>28-45.</w:t>
      </w:r>
    </w:p>
    <w:p>
      <w:pPr>
        <w:spacing w:line="252" w:lineRule="exact" w:before="1"/>
        <w:ind w:left="711" w:right="0" w:firstLine="0"/>
        <w:jc w:val="left"/>
        <w:rPr>
          <w:i/>
          <w:sz w:val="22"/>
        </w:rPr>
      </w:pPr>
      <w:r>
        <w:rPr>
          <w:sz w:val="22"/>
        </w:rPr>
        <w:t>World</w:t>
      </w:r>
      <w:r>
        <w:rPr>
          <w:spacing w:val="-3"/>
          <w:sz w:val="22"/>
        </w:rPr>
        <w:t> </w:t>
      </w:r>
      <w:r>
        <w:rPr>
          <w:sz w:val="22"/>
        </w:rPr>
        <w:t>Bank</w:t>
      </w:r>
      <w:r>
        <w:rPr>
          <w:spacing w:val="-5"/>
          <w:sz w:val="22"/>
        </w:rPr>
        <w:t> </w:t>
      </w:r>
      <w:r>
        <w:rPr>
          <w:sz w:val="22"/>
        </w:rPr>
        <w:t>(1985).</w:t>
      </w:r>
      <w:r>
        <w:rPr>
          <w:spacing w:val="-6"/>
          <w:sz w:val="22"/>
        </w:rPr>
        <w:t> </w:t>
      </w:r>
      <w:r>
        <w:rPr>
          <w:sz w:val="22"/>
        </w:rPr>
        <w:t>World</w:t>
      </w:r>
      <w:r>
        <w:rPr>
          <w:spacing w:val="-6"/>
          <w:sz w:val="22"/>
        </w:rPr>
        <w:t> </w:t>
      </w:r>
      <w:r>
        <w:rPr>
          <w:sz w:val="22"/>
        </w:rPr>
        <w:t>Development</w:t>
      </w:r>
      <w:r>
        <w:rPr>
          <w:spacing w:val="-2"/>
          <w:sz w:val="22"/>
        </w:rPr>
        <w:t> </w:t>
      </w:r>
      <w:r>
        <w:rPr>
          <w:sz w:val="22"/>
        </w:rPr>
        <w:t>Report</w:t>
      </w:r>
      <w:r>
        <w:rPr>
          <w:spacing w:val="-2"/>
          <w:sz w:val="22"/>
        </w:rPr>
        <w:t> </w:t>
      </w:r>
      <w:r>
        <w:rPr>
          <w:sz w:val="22"/>
        </w:rPr>
        <w:t>1985.</w:t>
      </w:r>
      <w:r>
        <w:rPr>
          <w:spacing w:val="-4"/>
          <w:sz w:val="22"/>
        </w:rPr>
        <w:t> </w:t>
      </w:r>
      <w:r>
        <w:rPr>
          <w:i/>
          <w:sz w:val="22"/>
        </w:rPr>
        <w:t>World</w:t>
      </w:r>
      <w:r>
        <w:rPr>
          <w:i/>
          <w:spacing w:val="-2"/>
          <w:sz w:val="22"/>
        </w:rPr>
        <w:t> Bank.</w:t>
      </w:r>
    </w:p>
    <w:p>
      <w:pPr>
        <w:spacing w:line="252" w:lineRule="exact" w:before="0"/>
        <w:ind w:left="711" w:right="0" w:firstLine="0"/>
        <w:jc w:val="left"/>
        <w:rPr>
          <w:sz w:val="22"/>
        </w:rPr>
      </w:pPr>
      <w:r>
        <w:rPr>
          <w:sz w:val="22"/>
        </w:rPr>
        <w:t>Yeats</w:t>
      </w:r>
      <w:r>
        <w:rPr>
          <w:spacing w:val="-6"/>
          <w:sz w:val="22"/>
        </w:rPr>
        <w:t> </w:t>
      </w:r>
      <w:r>
        <w:rPr>
          <w:sz w:val="22"/>
        </w:rPr>
        <w:t>(1978).</w:t>
      </w:r>
      <w:r>
        <w:rPr>
          <w:spacing w:val="-3"/>
          <w:sz w:val="22"/>
        </w:rPr>
        <w:t> </w:t>
      </w:r>
      <w:r>
        <w:rPr>
          <w:sz w:val="22"/>
        </w:rPr>
        <w:t>Capital</w:t>
      </w:r>
      <w:r>
        <w:rPr>
          <w:spacing w:val="-5"/>
          <w:sz w:val="22"/>
        </w:rPr>
        <w:t> </w:t>
      </w:r>
      <w:r>
        <w:rPr>
          <w:sz w:val="22"/>
        </w:rPr>
        <w:t>flight</w:t>
      </w:r>
      <w:r>
        <w:rPr>
          <w:spacing w:val="-5"/>
          <w:sz w:val="22"/>
        </w:rPr>
        <w:t> </w:t>
      </w:r>
      <w:r>
        <w:rPr>
          <w:sz w:val="22"/>
        </w:rPr>
        <w:t>from</w:t>
      </w:r>
      <w:r>
        <w:rPr>
          <w:spacing w:val="-8"/>
          <w:sz w:val="22"/>
        </w:rPr>
        <w:t> </w:t>
      </w:r>
      <w:r>
        <w:rPr>
          <w:sz w:val="22"/>
        </w:rPr>
        <w:t>China: 1984–2001.</w:t>
      </w:r>
      <w:r>
        <w:rPr>
          <w:spacing w:val="-3"/>
          <w:sz w:val="22"/>
        </w:rPr>
        <w:t> </w:t>
      </w:r>
      <w:r>
        <w:rPr>
          <w:i/>
          <w:sz w:val="22"/>
        </w:rPr>
        <w:t>China</w:t>
      </w:r>
      <w:r>
        <w:rPr>
          <w:i/>
          <w:spacing w:val="-4"/>
          <w:sz w:val="22"/>
        </w:rPr>
        <w:t> </w:t>
      </w:r>
      <w:r>
        <w:rPr>
          <w:i/>
          <w:sz w:val="22"/>
        </w:rPr>
        <w:t>Economic</w:t>
      </w:r>
      <w:r>
        <w:rPr>
          <w:i/>
          <w:spacing w:val="-3"/>
          <w:sz w:val="22"/>
        </w:rPr>
        <w:t> </w:t>
      </w:r>
      <w:r>
        <w:rPr>
          <w:i/>
          <w:sz w:val="22"/>
        </w:rPr>
        <w:t>Review</w:t>
      </w:r>
      <w:r>
        <w:rPr>
          <w:i/>
          <w:spacing w:val="-3"/>
          <w:sz w:val="22"/>
        </w:rPr>
        <w:t> </w:t>
      </w:r>
      <w:r>
        <w:rPr>
          <w:i/>
          <w:sz w:val="22"/>
        </w:rPr>
        <w:t>15,</w:t>
      </w:r>
      <w:r>
        <w:rPr>
          <w:i/>
          <w:spacing w:val="-7"/>
          <w:sz w:val="22"/>
        </w:rPr>
        <w:t> </w:t>
      </w:r>
      <w:r>
        <w:rPr>
          <w:sz w:val="22"/>
        </w:rPr>
        <w:t>63-</w:t>
      </w:r>
      <w:r>
        <w:rPr>
          <w:spacing w:val="-5"/>
          <w:sz w:val="22"/>
        </w:rPr>
        <w:t>85</w:t>
      </w:r>
    </w:p>
    <w:p>
      <w:pPr>
        <w:tabs>
          <w:tab w:pos="3592" w:val="left" w:leader="none"/>
          <w:tab w:pos="9353" w:val="left" w:leader="none"/>
        </w:tabs>
        <w:spacing w:before="1"/>
        <w:ind w:left="711" w:right="471" w:firstLine="0"/>
        <w:jc w:val="left"/>
        <w:rPr>
          <w:sz w:val="22"/>
        </w:rPr>
      </w:pPr>
      <w:r>
        <w:rPr>
          <w:sz w:val="22"/>
        </w:rPr>
        <w:t>Yeats (1981). Ways of Using the African Oil Boom for Sustainable Development.</w:t>
      </w:r>
      <w:r>
        <w:rPr>
          <w:spacing w:val="40"/>
          <w:sz w:val="22"/>
        </w:rPr>
        <w:t> </w:t>
      </w:r>
      <w:r>
        <w:rPr>
          <w:i/>
          <w:sz w:val="22"/>
        </w:rPr>
        <w:t>African</w:t>
        <w:tab/>
        <w:t>Development</w:t>
      </w:r>
      <w:r>
        <w:rPr>
          <w:i/>
          <w:spacing w:val="40"/>
          <w:sz w:val="22"/>
        </w:rPr>
        <w:t> </w:t>
      </w:r>
      <w:r>
        <w:rPr>
          <w:i/>
          <w:sz w:val="22"/>
        </w:rPr>
        <w:t>Bank, Economic Research Working</w:t>
        <w:tab/>
        <w:t>Paper </w:t>
      </w:r>
      <w:r>
        <w:rPr>
          <w:sz w:val="22"/>
        </w:rPr>
        <w:t>No 84.</w:t>
      </w:r>
    </w:p>
    <w:p>
      <w:pPr>
        <w:spacing w:before="0"/>
        <w:ind w:left="1431" w:right="0" w:hanging="721"/>
        <w:jc w:val="left"/>
        <w:rPr>
          <w:sz w:val="22"/>
        </w:rPr>
      </w:pPr>
      <w:r>
        <w:rPr>
          <w:sz w:val="22"/>
        </w:rPr>
        <w:t>Yeats</w:t>
      </w:r>
      <w:r>
        <w:rPr>
          <w:spacing w:val="18"/>
          <w:sz w:val="22"/>
        </w:rPr>
        <w:t> </w:t>
      </w:r>
      <w:r>
        <w:rPr>
          <w:sz w:val="22"/>
        </w:rPr>
        <w:t>(1990).</w:t>
      </w:r>
      <w:r>
        <w:rPr>
          <w:spacing w:val="18"/>
          <w:sz w:val="22"/>
        </w:rPr>
        <w:t> </w:t>
      </w:r>
      <w:r>
        <w:rPr>
          <w:sz w:val="22"/>
        </w:rPr>
        <w:t>What</w:t>
      </w:r>
      <w:r>
        <w:rPr>
          <w:spacing w:val="19"/>
          <w:sz w:val="22"/>
        </w:rPr>
        <w:t> </w:t>
      </w:r>
      <w:r>
        <w:rPr>
          <w:sz w:val="22"/>
        </w:rPr>
        <w:t>Moves Capital</w:t>
      </w:r>
      <w:r>
        <w:rPr>
          <w:spacing w:val="19"/>
          <w:sz w:val="22"/>
        </w:rPr>
        <w:t> </w:t>
      </w:r>
      <w:r>
        <w:rPr>
          <w:sz w:val="22"/>
        </w:rPr>
        <w:t>to Transition</w:t>
      </w:r>
      <w:r>
        <w:rPr>
          <w:spacing w:val="18"/>
          <w:sz w:val="22"/>
        </w:rPr>
        <w:t> </w:t>
      </w:r>
      <w:r>
        <w:rPr>
          <w:sz w:val="22"/>
        </w:rPr>
        <w:t>Economies.</w:t>
      </w:r>
      <w:r>
        <w:rPr>
          <w:spacing w:val="18"/>
          <w:sz w:val="22"/>
        </w:rPr>
        <w:t> </w:t>
      </w:r>
      <w:r>
        <w:rPr>
          <w:i/>
          <w:sz w:val="22"/>
        </w:rPr>
        <w:t>paper</w:t>
      </w:r>
      <w:r>
        <w:rPr>
          <w:i/>
          <w:spacing w:val="18"/>
          <w:sz w:val="22"/>
        </w:rPr>
        <w:t> </w:t>
      </w:r>
      <w:r>
        <w:rPr>
          <w:i/>
          <w:sz w:val="22"/>
        </w:rPr>
        <w:t>presented</w:t>
      </w:r>
      <w:r>
        <w:rPr>
          <w:i/>
          <w:spacing w:val="18"/>
          <w:sz w:val="22"/>
        </w:rPr>
        <w:t> </w:t>
      </w:r>
      <w:r>
        <w:rPr>
          <w:i/>
          <w:sz w:val="22"/>
        </w:rPr>
        <w:t>at an</w:t>
      </w:r>
      <w:r>
        <w:rPr>
          <w:i/>
          <w:spacing w:val="18"/>
          <w:sz w:val="22"/>
        </w:rPr>
        <w:t> </w:t>
      </w:r>
      <w:r>
        <w:rPr>
          <w:i/>
          <w:sz w:val="22"/>
        </w:rPr>
        <w:t>IMF Conference</w:t>
      </w:r>
      <w:r>
        <w:rPr>
          <w:i/>
          <w:spacing w:val="21"/>
          <w:sz w:val="22"/>
        </w:rPr>
        <w:t> </w:t>
      </w:r>
      <w:r>
        <w:rPr>
          <w:sz w:val="22"/>
        </w:rPr>
        <w:t>:</w:t>
      </w:r>
      <w:r>
        <w:rPr>
          <w:spacing w:val="19"/>
          <w:sz w:val="22"/>
        </w:rPr>
        <w:t> </w:t>
      </w:r>
      <w:r>
        <w:rPr>
          <w:i/>
          <w:sz w:val="22"/>
        </w:rPr>
        <w:t>A Decade</w:t>
      </w:r>
      <w:r>
        <w:rPr>
          <w:i/>
          <w:spacing w:val="18"/>
          <w:sz w:val="22"/>
        </w:rPr>
        <w:t> </w:t>
      </w:r>
      <w:r>
        <w:rPr>
          <w:i/>
          <w:sz w:val="22"/>
        </w:rPr>
        <w:t>of Transition: Achievements and Challenges.</w:t>
      </w:r>
      <w:r>
        <w:rPr>
          <w:i/>
          <w:spacing w:val="40"/>
          <w:sz w:val="22"/>
        </w:rPr>
        <w:t> </w:t>
      </w:r>
      <w:r>
        <w:rPr>
          <w:sz w:val="22"/>
        </w:rPr>
        <w:t>Washington D.C., February.</w:t>
      </w:r>
    </w:p>
    <w:p>
      <w:pPr>
        <w:tabs>
          <w:tab w:pos="5752" w:val="left" w:leader="none"/>
        </w:tabs>
        <w:spacing w:before="0"/>
        <w:ind w:left="1431" w:right="585" w:hanging="721"/>
        <w:jc w:val="left"/>
        <w:rPr>
          <w:sz w:val="22"/>
        </w:rPr>
      </w:pPr>
      <w:r>
        <w:rPr>
          <w:sz w:val="22"/>
        </w:rPr>
        <w:t>Zhu, A., Li, C.</w:t>
      </w:r>
      <w:r>
        <w:rPr>
          <w:spacing w:val="18"/>
          <w:sz w:val="22"/>
        </w:rPr>
        <w:t> </w:t>
      </w:r>
      <w:r>
        <w:rPr>
          <w:sz w:val="22"/>
        </w:rPr>
        <w:t>&amp; Epstein, G. (2005).</w:t>
      </w:r>
      <w:r>
        <w:rPr>
          <w:spacing w:val="19"/>
          <w:sz w:val="22"/>
        </w:rPr>
        <w:t> </w:t>
      </w:r>
      <w:r>
        <w:rPr>
          <w:i/>
          <w:sz w:val="22"/>
        </w:rPr>
        <w:t>Capital Flight from China, 1982-2001</w:t>
      </w:r>
      <w:r>
        <w:rPr>
          <w:sz w:val="22"/>
        </w:rPr>
        <w:t>, Capital Flight and Capital Controls in</w:t>
      </w:r>
      <w:r>
        <w:rPr>
          <w:spacing w:val="40"/>
          <w:sz w:val="22"/>
        </w:rPr>
        <w:t> </w:t>
      </w:r>
      <w:r>
        <w:rPr>
          <w:sz w:val="22"/>
        </w:rPr>
        <w:t>Developing Countries, ed. Gerald A.Epstein,</w:t>
        <w:tab/>
        <w:t>234-261.EdwardElgar, Cheltenham, United Kingdom.</w:t>
      </w:r>
    </w:p>
    <w:p>
      <w:pPr>
        <w:spacing w:after="0"/>
        <w:jc w:val="left"/>
        <w:rPr>
          <w:sz w:val="22"/>
        </w:rPr>
        <w:sectPr>
          <w:pgSz w:w="11910" w:h="16840"/>
          <w:pgMar w:header="0" w:footer="979" w:top="1600" w:bottom="1240" w:left="280" w:right="0"/>
        </w:sectPr>
      </w:pPr>
    </w:p>
    <w:p>
      <w:pPr>
        <w:pStyle w:val="Heading1"/>
        <w:ind w:left="231"/>
      </w:pPr>
      <w:r>
        <w:rPr/>
        <w:t>APPENDIX</w:t>
      </w:r>
      <w:r>
        <w:rPr>
          <w:spacing w:val="-12"/>
        </w:rPr>
        <w:t> </w:t>
      </w:r>
      <w:r>
        <w:rPr>
          <w:spacing w:val="-5"/>
        </w:rPr>
        <w:t>A1</w:t>
      </w:r>
    </w:p>
    <w:p>
      <w:pPr>
        <w:spacing w:before="321"/>
        <w:ind w:left="238" w:right="0" w:firstLine="0"/>
        <w:jc w:val="center"/>
        <w:rPr>
          <w:b/>
          <w:sz w:val="28"/>
        </w:rPr>
      </w:pPr>
      <w:r>
        <w:rPr>
          <w:b/>
          <w:sz w:val="28"/>
        </w:rPr>
        <w:t>DATA</w:t>
      </w:r>
      <w:r>
        <w:rPr>
          <w:b/>
          <w:spacing w:val="-8"/>
          <w:sz w:val="28"/>
        </w:rPr>
        <w:t> </w:t>
      </w:r>
      <w:r>
        <w:rPr>
          <w:b/>
          <w:sz w:val="28"/>
        </w:rPr>
        <w:t>PRESENTATION</w:t>
      </w:r>
      <w:r>
        <w:rPr>
          <w:b/>
          <w:spacing w:val="-6"/>
          <w:sz w:val="28"/>
        </w:rPr>
        <w:t> </w:t>
      </w:r>
      <w:r>
        <w:rPr>
          <w:b/>
          <w:sz w:val="28"/>
        </w:rPr>
        <w:t>FOR</w:t>
      </w:r>
      <w:r>
        <w:rPr>
          <w:b/>
          <w:spacing w:val="-7"/>
          <w:sz w:val="28"/>
        </w:rPr>
        <w:t> </w:t>
      </w:r>
      <w:r>
        <w:rPr>
          <w:b/>
          <w:sz w:val="28"/>
        </w:rPr>
        <w:t>THE</w:t>
      </w:r>
      <w:r>
        <w:rPr>
          <w:b/>
          <w:spacing w:val="-5"/>
          <w:sz w:val="28"/>
        </w:rPr>
        <w:t> </w:t>
      </w:r>
      <w:r>
        <w:rPr>
          <w:b/>
          <w:sz w:val="28"/>
        </w:rPr>
        <w:t>FORMULATED</w:t>
      </w:r>
      <w:r>
        <w:rPr>
          <w:b/>
          <w:spacing w:val="-5"/>
          <w:sz w:val="28"/>
        </w:rPr>
        <w:t> </w:t>
      </w:r>
      <w:r>
        <w:rPr>
          <w:b/>
          <w:spacing w:val="-2"/>
          <w:sz w:val="28"/>
        </w:rPr>
        <w:t>MODELS</w:t>
      </w:r>
    </w:p>
    <w:p>
      <w:pPr>
        <w:pStyle w:val="BodyText"/>
        <w:rPr>
          <w:b/>
          <w:sz w:val="20"/>
        </w:rPr>
      </w:pPr>
    </w:p>
    <w:p>
      <w:pPr>
        <w:pStyle w:val="BodyText"/>
        <w:rPr>
          <w:b/>
          <w:sz w:val="20"/>
        </w:rPr>
      </w:pPr>
    </w:p>
    <w:p>
      <w:pPr>
        <w:pStyle w:val="BodyText"/>
        <w:spacing w:before="181"/>
        <w:rPr>
          <w:b/>
          <w:sz w:val="20"/>
        </w:rPr>
      </w:pPr>
    </w:p>
    <w:tbl>
      <w:tblPr>
        <w:tblW w:w="0" w:type="auto"/>
        <w:jc w:val="left"/>
        <w:tblInd w:w="7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03"/>
        <w:gridCol w:w="1054"/>
        <w:gridCol w:w="1111"/>
        <w:gridCol w:w="962"/>
        <w:gridCol w:w="1053"/>
        <w:gridCol w:w="1053"/>
        <w:gridCol w:w="1054"/>
        <w:gridCol w:w="1069"/>
        <w:gridCol w:w="1054"/>
        <w:gridCol w:w="1198"/>
      </w:tblGrid>
      <w:tr>
        <w:trPr>
          <w:trHeight w:val="244" w:hRule="atLeast"/>
        </w:trPr>
        <w:tc>
          <w:tcPr>
            <w:tcW w:w="903" w:type="dxa"/>
          </w:tcPr>
          <w:p>
            <w:pPr>
              <w:pStyle w:val="TableParagraph"/>
              <w:spacing w:line="225" w:lineRule="exact"/>
              <w:ind w:left="50"/>
              <w:rPr>
                <w:rFonts w:ascii="Calibri"/>
                <w:sz w:val="22"/>
              </w:rPr>
            </w:pPr>
            <w:r>
              <w:rPr>
                <w:rFonts w:ascii="Calibri"/>
                <w:spacing w:val="-4"/>
                <w:sz w:val="22"/>
              </w:rPr>
              <w:t>YEARS</w:t>
            </w:r>
          </w:p>
        </w:tc>
        <w:tc>
          <w:tcPr>
            <w:tcW w:w="1054" w:type="dxa"/>
          </w:tcPr>
          <w:p>
            <w:pPr>
              <w:pStyle w:val="TableParagraph"/>
              <w:spacing w:line="225" w:lineRule="exact"/>
              <w:ind w:left="107"/>
              <w:rPr>
                <w:rFonts w:ascii="Calibri"/>
                <w:sz w:val="22"/>
              </w:rPr>
            </w:pPr>
            <w:r>
              <w:rPr>
                <w:rFonts w:ascii="Calibri"/>
                <w:spacing w:val="-2"/>
                <w:sz w:val="22"/>
              </w:rPr>
              <w:t>L^KFW</w:t>
            </w:r>
          </w:p>
        </w:tc>
        <w:tc>
          <w:tcPr>
            <w:tcW w:w="1111" w:type="dxa"/>
          </w:tcPr>
          <w:p>
            <w:pPr>
              <w:pStyle w:val="TableParagraph"/>
              <w:spacing w:line="225" w:lineRule="exact"/>
              <w:ind w:right="107"/>
              <w:jc w:val="right"/>
              <w:rPr>
                <w:rFonts w:ascii="Calibri"/>
                <w:sz w:val="22"/>
              </w:rPr>
            </w:pPr>
            <w:r>
              <w:rPr>
                <w:rFonts w:ascii="Calibri"/>
                <w:spacing w:val="-2"/>
                <w:sz w:val="22"/>
              </w:rPr>
              <w:t>L^EXTDBT</w:t>
            </w:r>
          </w:p>
        </w:tc>
        <w:tc>
          <w:tcPr>
            <w:tcW w:w="962" w:type="dxa"/>
          </w:tcPr>
          <w:p>
            <w:pPr>
              <w:pStyle w:val="TableParagraph"/>
              <w:spacing w:line="225" w:lineRule="exact"/>
              <w:ind w:left="107"/>
              <w:rPr>
                <w:rFonts w:ascii="Calibri"/>
                <w:sz w:val="22"/>
              </w:rPr>
            </w:pPr>
            <w:r>
              <w:rPr>
                <w:rFonts w:ascii="Calibri"/>
                <w:spacing w:val="-4"/>
                <w:sz w:val="22"/>
              </w:rPr>
              <w:t>L^DOP</w:t>
            </w:r>
          </w:p>
        </w:tc>
        <w:tc>
          <w:tcPr>
            <w:tcW w:w="1053" w:type="dxa"/>
          </w:tcPr>
          <w:p>
            <w:pPr>
              <w:pStyle w:val="TableParagraph"/>
              <w:spacing w:line="225" w:lineRule="exact"/>
              <w:ind w:left="105"/>
              <w:rPr>
                <w:rFonts w:ascii="Calibri"/>
                <w:sz w:val="22"/>
              </w:rPr>
            </w:pPr>
            <w:r>
              <w:rPr>
                <w:rFonts w:ascii="Calibri"/>
                <w:spacing w:val="-2"/>
                <w:sz w:val="22"/>
              </w:rPr>
              <w:t>L^INF</w:t>
            </w:r>
          </w:p>
        </w:tc>
        <w:tc>
          <w:tcPr>
            <w:tcW w:w="1053" w:type="dxa"/>
          </w:tcPr>
          <w:p>
            <w:pPr>
              <w:pStyle w:val="TableParagraph"/>
              <w:spacing w:line="225" w:lineRule="exact"/>
              <w:ind w:left="104"/>
              <w:rPr>
                <w:rFonts w:ascii="Calibri"/>
                <w:sz w:val="22"/>
              </w:rPr>
            </w:pPr>
            <w:r>
              <w:rPr>
                <w:rFonts w:ascii="Calibri"/>
                <w:spacing w:val="-2"/>
                <w:sz w:val="22"/>
              </w:rPr>
              <w:t>L^GCF</w:t>
            </w:r>
          </w:p>
        </w:tc>
        <w:tc>
          <w:tcPr>
            <w:tcW w:w="1054" w:type="dxa"/>
          </w:tcPr>
          <w:p>
            <w:pPr>
              <w:pStyle w:val="TableParagraph"/>
              <w:spacing w:line="225" w:lineRule="exact"/>
              <w:ind w:left="105"/>
              <w:rPr>
                <w:rFonts w:ascii="Calibri"/>
                <w:sz w:val="22"/>
              </w:rPr>
            </w:pPr>
            <w:r>
              <w:rPr>
                <w:rFonts w:ascii="Calibri"/>
                <w:spacing w:val="-4"/>
                <w:sz w:val="22"/>
              </w:rPr>
              <w:t>L^DR</w:t>
            </w:r>
          </w:p>
        </w:tc>
        <w:tc>
          <w:tcPr>
            <w:tcW w:w="1069" w:type="dxa"/>
          </w:tcPr>
          <w:p>
            <w:pPr>
              <w:pStyle w:val="TableParagraph"/>
              <w:spacing w:line="225" w:lineRule="exact"/>
              <w:ind w:left="10" w:right="13"/>
              <w:jc w:val="center"/>
              <w:rPr>
                <w:rFonts w:ascii="Calibri"/>
                <w:sz w:val="22"/>
              </w:rPr>
            </w:pPr>
            <w:r>
              <w:rPr>
                <w:rFonts w:ascii="Calibri"/>
                <w:spacing w:val="-2"/>
                <w:sz w:val="22"/>
              </w:rPr>
              <w:t>L^PRIVCR</w:t>
            </w:r>
          </w:p>
        </w:tc>
        <w:tc>
          <w:tcPr>
            <w:tcW w:w="1054" w:type="dxa"/>
          </w:tcPr>
          <w:p>
            <w:pPr>
              <w:pStyle w:val="TableParagraph"/>
              <w:spacing w:line="225" w:lineRule="exact"/>
              <w:ind w:left="104"/>
              <w:rPr>
                <w:rFonts w:ascii="Calibri"/>
                <w:sz w:val="22"/>
              </w:rPr>
            </w:pPr>
            <w:r>
              <w:rPr>
                <w:rFonts w:ascii="Calibri"/>
                <w:spacing w:val="-2"/>
                <w:sz w:val="22"/>
              </w:rPr>
              <w:t>USIRD</w:t>
            </w:r>
          </w:p>
        </w:tc>
        <w:tc>
          <w:tcPr>
            <w:tcW w:w="1198" w:type="dxa"/>
          </w:tcPr>
          <w:p>
            <w:pPr>
              <w:pStyle w:val="TableParagraph"/>
              <w:spacing w:line="225" w:lineRule="exact"/>
              <w:ind w:left="103"/>
              <w:rPr>
                <w:rFonts w:ascii="Calibri"/>
                <w:sz w:val="22"/>
              </w:rPr>
            </w:pPr>
            <w:r>
              <w:rPr>
                <w:rFonts w:ascii="Calibri"/>
                <w:spacing w:val="-2"/>
                <w:sz w:val="22"/>
              </w:rPr>
              <w:t>L^GOCE</w:t>
            </w:r>
          </w:p>
        </w:tc>
      </w:tr>
      <w:tr>
        <w:trPr>
          <w:trHeight w:val="537" w:hRule="atLeast"/>
        </w:trPr>
        <w:tc>
          <w:tcPr>
            <w:tcW w:w="903" w:type="dxa"/>
          </w:tcPr>
          <w:p>
            <w:pPr>
              <w:pStyle w:val="TableParagraph"/>
              <w:spacing w:before="249"/>
              <w:ind w:right="105"/>
              <w:jc w:val="right"/>
              <w:rPr>
                <w:rFonts w:ascii="Calibri"/>
                <w:sz w:val="22"/>
              </w:rPr>
            </w:pPr>
            <w:r>
              <w:rPr>
                <w:rFonts w:ascii="Calibri"/>
                <w:spacing w:val="-4"/>
                <w:sz w:val="22"/>
              </w:rPr>
              <w:t>1970</w:t>
            </w:r>
          </w:p>
        </w:tc>
        <w:tc>
          <w:tcPr>
            <w:tcW w:w="1054" w:type="dxa"/>
          </w:tcPr>
          <w:p>
            <w:pPr>
              <w:pStyle w:val="TableParagraph"/>
              <w:spacing w:before="249"/>
              <w:ind w:right="105"/>
              <w:jc w:val="right"/>
              <w:rPr>
                <w:rFonts w:ascii="Calibri"/>
                <w:sz w:val="22"/>
              </w:rPr>
            </w:pPr>
            <w:r>
              <w:rPr>
                <w:rFonts w:ascii="Calibri"/>
                <w:spacing w:val="-2"/>
                <w:sz w:val="22"/>
              </w:rPr>
              <w:t>6.85583</w:t>
            </w:r>
          </w:p>
        </w:tc>
        <w:tc>
          <w:tcPr>
            <w:tcW w:w="1111" w:type="dxa"/>
          </w:tcPr>
          <w:p>
            <w:pPr>
              <w:pStyle w:val="TableParagraph"/>
              <w:spacing w:before="249"/>
              <w:ind w:right="107"/>
              <w:jc w:val="right"/>
              <w:rPr>
                <w:rFonts w:ascii="Calibri"/>
                <w:sz w:val="22"/>
              </w:rPr>
            </w:pPr>
            <w:r>
              <w:rPr>
                <w:rFonts w:ascii="Calibri"/>
                <w:spacing w:val="-2"/>
                <w:sz w:val="22"/>
              </w:rPr>
              <w:t>-0.22314</w:t>
            </w:r>
          </w:p>
        </w:tc>
        <w:tc>
          <w:tcPr>
            <w:tcW w:w="962" w:type="dxa"/>
          </w:tcPr>
          <w:p>
            <w:pPr>
              <w:pStyle w:val="TableParagraph"/>
              <w:spacing w:line="249" w:lineRule="exact"/>
              <w:ind w:right="107"/>
              <w:jc w:val="right"/>
              <w:rPr>
                <w:rFonts w:ascii="Calibri"/>
                <w:sz w:val="22"/>
              </w:rPr>
            </w:pPr>
            <w:r>
              <w:rPr>
                <w:rFonts w:ascii="Calibri"/>
                <w:spacing w:val="-10"/>
                <w:sz w:val="22"/>
              </w:rPr>
              <w:t>-</w:t>
            </w:r>
          </w:p>
          <w:p>
            <w:pPr>
              <w:pStyle w:val="TableParagraph"/>
              <w:ind w:right="106"/>
              <w:jc w:val="right"/>
              <w:rPr>
                <w:rFonts w:ascii="Calibri"/>
                <w:sz w:val="22"/>
              </w:rPr>
            </w:pPr>
            <w:r>
              <w:rPr>
                <w:rFonts w:ascii="Calibri"/>
                <w:spacing w:val="-2"/>
                <w:sz w:val="22"/>
              </w:rPr>
              <w:t>1.16828</w:t>
            </w:r>
          </w:p>
        </w:tc>
        <w:tc>
          <w:tcPr>
            <w:tcW w:w="1053" w:type="dxa"/>
          </w:tcPr>
          <w:p>
            <w:pPr>
              <w:pStyle w:val="TableParagraph"/>
              <w:spacing w:before="249"/>
              <w:ind w:left="108"/>
              <w:rPr>
                <w:rFonts w:ascii="Calibri"/>
                <w:sz w:val="22"/>
              </w:rPr>
            </w:pPr>
            <w:r>
              <w:rPr>
                <w:rFonts w:ascii="Calibri"/>
                <w:spacing w:val="-2"/>
                <w:sz w:val="22"/>
              </w:rPr>
              <w:t>2.624669</w:t>
            </w:r>
          </w:p>
        </w:tc>
        <w:tc>
          <w:tcPr>
            <w:tcW w:w="1053" w:type="dxa"/>
          </w:tcPr>
          <w:p>
            <w:pPr>
              <w:pStyle w:val="TableParagraph"/>
              <w:spacing w:before="249"/>
              <w:ind w:left="106"/>
              <w:rPr>
                <w:rFonts w:ascii="Calibri"/>
                <w:sz w:val="22"/>
              </w:rPr>
            </w:pPr>
            <w:r>
              <w:rPr>
                <w:rFonts w:ascii="Calibri"/>
                <w:spacing w:val="-2"/>
                <w:sz w:val="22"/>
              </w:rPr>
              <w:t>6.280021</w:t>
            </w:r>
          </w:p>
        </w:tc>
        <w:tc>
          <w:tcPr>
            <w:tcW w:w="1054" w:type="dxa"/>
          </w:tcPr>
          <w:p>
            <w:pPr>
              <w:pStyle w:val="TableParagraph"/>
              <w:spacing w:before="249"/>
              <w:ind w:left="107"/>
              <w:rPr>
                <w:rFonts w:ascii="Calibri"/>
                <w:sz w:val="22"/>
              </w:rPr>
            </w:pPr>
            <w:r>
              <w:rPr>
                <w:rFonts w:ascii="Calibri"/>
                <w:spacing w:val="-2"/>
                <w:sz w:val="22"/>
              </w:rPr>
              <w:t>1.098612</w:t>
            </w:r>
          </w:p>
        </w:tc>
        <w:tc>
          <w:tcPr>
            <w:tcW w:w="1069" w:type="dxa"/>
          </w:tcPr>
          <w:p>
            <w:pPr>
              <w:pStyle w:val="TableParagraph"/>
              <w:spacing w:before="249"/>
              <w:ind w:left="13" w:right="3"/>
              <w:jc w:val="center"/>
              <w:rPr>
                <w:rFonts w:ascii="Calibri"/>
                <w:sz w:val="22"/>
              </w:rPr>
            </w:pPr>
            <w:r>
              <w:rPr>
                <w:rFonts w:ascii="Calibri"/>
                <w:spacing w:val="-2"/>
                <w:sz w:val="22"/>
              </w:rPr>
              <w:t>5.881789</w:t>
            </w:r>
          </w:p>
        </w:tc>
        <w:tc>
          <w:tcPr>
            <w:tcW w:w="1054" w:type="dxa"/>
          </w:tcPr>
          <w:p>
            <w:pPr>
              <w:pStyle w:val="TableParagraph"/>
              <w:spacing w:before="249"/>
              <w:ind w:right="108"/>
              <w:jc w:val="right"/>
              <w:rPr>
                <w:rFonts w:ascii="Calibri"/>
                <w:sz w:val="22"/>
              </w:rPr>
            </w:pPr>
            <w:r>
              <w:rPr>
                <w:rFonts w:ascii="Calibri"/>
                <w:spacing w:val="-2"/>
                <w:sz w:val="22"/>
              </w:rPr>
              <w:t>-0.35667</w:t>
            </w:r>
          </w:p>
        </w:tc>
        <w:tc>
          <w:tcPr>
            <w:tcW w:w="1198" w:type="dxa"/>
          </w:tcPr>
          <w:p>
            <w:pPr>
              <w:pStyle w:val="TableParagraph"/>
              <w:spacing w:before="249"/>
              <w:ind w:right="51"/>
              <w:jc w:val="right"/>
              <w:rPr>
                <w:rFonts w:ascii="Calibri"/>
                <w:sz w:val="22"/>
              </w:rPr>
            </w:pPr>
            <w:r>
              <w:rPr>
                <w:rFonts w:ascii="Calibri"/>
                <w:spacing w:val="-2"/>
                <w:sz w:val="22"/>
              </w:rPr>
              <w:t>6.57382</w:t>
            </w:r>
          </w:p>
        </w:tc>
      </w:tr>
      <w:tr>
        <w:trPr>
          <w:trHeight w:val="537" w:hRule="atLeast"/>
        </w:trPr>
        <w:tc>
          <w:tcPr>
            <w:tcW w:w="903" w:type="dxa"/>
          </w:tcPr>
          <w:p>
            <w:pPr>
              <w:pStyle w:val="TableParagraph"/>
              <w:spacing w:before="249"/>
              <w:ind w:right="105"/>
              <w:jc w:val="right"/>
              <w:rPr>
                <w:rFonts w:ascii="Calibri"/>
                <w:sz w:val="22"/>
              </w:rPr>
            </w:pPr>
            <w:r>
              <w:rPr>
                <w:rFonts w:ascii="Calibri"/>
                <w:spacing w:val="-4"/>
                <w:sz w:val="22"/>
              </w:rPr>
              <w:t>1971</w:t>
            </w:r>
          </w:p>
        </w:tc>
        <w:tc>
          <w:tcPr>
            <w:tcW w:w="1054" w:type="dxa"/>
          </w:tcPr>
          <w:p>
            <w:pPr>
              <w:pStyle w:val="TableParagraph"/>
              <w:spacing w:before="249"/>
              <w:ind w:left="109"/>
              <w:rPr>
                <w:rFonts w:ascii="Calibri"/>
                <w:sz w:val="22"/>
              </w:rPr>
            </w:pPr>
            <w:r>
              <w:rPr>
                <w:rFonts w:ascii="Calibri"/>
                <w:spacing w:val="-2"/>
                <w:sz w:val="22"/>
              </w:rPr>
              <w:t>7.331715</w:t>
            </w:r>
          </w:p>
        </w:tc>
        <w:tc>
          <w:tcPr>
            <w:tcW w:w="1111" w:type="dxa"/>
          </w:tcPr>
          <w:p>
            <w:pPr>
              <w:pStyle w:val="TableParagraph"/>
              <w:spacing w:before="249"/>
              <w:ind w:right="107"/>
              <w:jc w:val="right"/>
              <w:rPr>
                <w:rFonts w:ascii="Calibri"/>
                <w:sz w:val="22"/>
              </w:rPr>
            </w:pPr>
            <w:r>
              <w:rPr>
                <w:rFonts w:ascii="Calibri"/>
                <w:spacing w:val="-2"/>
                <w:sz w:val="22"/>
              </w:rPr>
              <w:t>1.252763</w:t>
            </w:r>
          </w:p>
        </w:tc>
        <w:tc>
          <w:tcPr>
            <w:tcW w:w="962" w:type="dxa"/>
          </w:tcPr>
          <w:p>
            <w:pPr>
              <w:pStyle w:val="TableParagraph"/>
              <w:spacing w:line="249" w:lineRule="exact"/>
              <w:ind w:right="107"/>
              <w:jc w:val="right"/>
              <w:rPr>
                <w:rFonts w:ascii="Calibri"/>
                <w:sz w:val="22"/>
              </w:rPr>
            </w:pPr>
            <w:r>
              <w:rPr>
                <w:rFonts w:ascii="Calibri"/>
                <w:spacing w:val="-10"/>
                <w:sz w:val="22"/>
              </w:rPr>
              <w:t>-</w:t>
            </w:r>
          </w:p>
          <w:p>
            <w:pPr>
              <w:pStyle w:val="TableParagraph"/>
              <w:ind w:right="106"/>
              <w:jc w:val="right"/>
              <w:rPr>
                <w:rFonts w:ascii="Calibri"/>
                <w:sz w:val="22"/>
              </w:rPr>
            </w:pPr>
            <w:r>
              <w:rPr>
                <w:rFonts w:ascii="Calibri"/>
                <w:spacing w:val="-2"/>
                <w:sz w:val="22"/>
              </w:rPr>
              <w:t>1.03086</w:t>
            </w:r>
          </w:p>
        </w:tc>
        <w:tc>
          <w:tcPr>
            <w:tcW w:w="1053" w:type="dxa"/>
          </w:tcPr>
          <w:p>
            <w:pPr>
              <w:pStyle w:val="TableParagraph"/>
              <w:spacing w:before="249"/>
              <w:ind w:left="108"/>
              <w:rPr>
                <w:rFonts w:ascii="Calibri"/>
                <w:sz w:val="22"/>
              </w:rPr>
            </w:pPr>
            <w:r>
              <w:rPr>
                <w:rFonts w:ascii="Calibri"/>
                <w:spacing w:val="-2"/>
                <w:sz w:val="22"/>
              </w:rPr>
              <w:t>2.772589</w:t>
            </w:r>
          </w:p>
        </w:tc>
        <w:tc>
          <w:tcPr>
            <w:tcW w:w="1053" w:type="dxa"/>
          </w:tcPr>
          <w:p>
            <w:pPr>
              <w:pStyle w:val="TableParagraph"/>
              <w:spacing w:before="249"/>
              <w:ind w:left="106"/>
              <w:rPr>
                <w:rFonts w:ascii="Calibri"/>
                <w:sz w:val="22"/>
              </w:rPr>
            </w:pPr>
            <w:r>
              <w:rPr>
                <w:rFonts w:ascii="Calibri"/>
                <w:spacing w:val="-2"/>
                <w:sz w:val="22"/>
              </w:rPr>
              <w:t>6.263208</w:t>
            </w:r>
          </w:p>
        </w:tc>
        <w:tc>
          <w:tcPr>
            <w:tcW w:w="1054" w:type="dxa"/>
          </w:tcPr>
          <w:p>
            <w:pPr>
              <w:pStyle w:val="TableParagraph"/>
              <w:spacing w:before="249"/>
              <w:ind w:left="107"/>
              <w:rPr>
                <w:rFonts w:ascii="Calibri"/>
                <w:sz w:val="22"/>
              </w:rPr>
            </w:pPr>
            <w:r>
              <w:rPr>
                <w:rFonts w:ascii="Calibri"/>
                <w:spacing w:val="-2"/>
                <w:sz w:val="22"/>
              </w:rPr>
              <w:t>1.098612</w:t>
            </w:r>
          </w:p>
        </w:tc>
        <w:tc>
          <w:tcPr>
            <w:tcW w:w="1069" w:type="dxa"/>
          </w:tcPr>
          <w:p>
            <w:pPr>
              <w:pStyle w:val="TableParagraph"/>
              <w:spacing w:before="249"/>
              <w:ind w:left="13" w:right="3"/>
              <w:jc w:val="center"/>
              <w:rPr>
                <w:rFonts w:ascii="Calibri"/>
                <w:sz w:val="22"/>
              </w:rPr>
            </w:pPr>
            <w:r>
              <w:rPr>
                <w:rFonts w:ascii="Calibri"/>
                <w:spacing w:val="-2"/>
                <w:sz w:val="22"/>
              </w:rPr>
              <w:t>6.292217</w:t>
            </w:r>
          </w:p>
        </w:tc>
        <w:tc>
          <w:tcPr>
            <w:tcW w:w="1054" w:type="dxa"/>
          </w:tcPr>
          <w:p>
            <w:pPr>
              <w:pStyle w:val="TableParagraph"/>
              <w:spacing w:before="249"/>
              <w:ind w:right="108"/>
              <w:jc w:val="right"/>
              <w:rPr>
                <w:rFonts w:ascii="Calibri"/>
                <w:sz w:val="22"/>
              </w:rPr>
            </w:pPr>
            <w:r>
              <w:rPr>
                <w:rFonts w:ascii="Calibri"/>
                <w:spacing w:val="-2"/>
                <w:sz w:val="22"/>
              </w:rPr>
              <w:t>1.446919</w:t>
            </w:r>
          </w:p>
        </w:tc>
        <w:tc>
          <w:tcPr>
            <w:tcW w:w="1198" w:type="dxa"/>
          </w:tcPr>
          <w:p>
            <w:pPr>
              <w:pStyle w:val="TableParagraph"/>
              <w:spacing w:before="249"/>
              <w:ind w:right="51"/>
              <w:jc w:val="right"/>
              <w:rPr>
                <w:rFonts w:ascii="Calibri"/>
                <w:sz w:val="22"/>
              </w:rPr>
            </w:pPr>
            <w:r>
              <w:rPr>
                <w:rFonts w:ascii="Calibri"/>
                <w:spacing w:val="-2"/>
                <w:sz w:val="22"/>
              </w:rPr>
              <w:t>6.713685</w:t>
            </w:r>
          </w:p>
        </w:tc>
      </w:tr>
      <w:tr>
        <w:trPr>
          <w:trHeight w:val="536" w:hRule="atLeast"/>
        </w:trPr>
        <w:tc>
          <w:tcPr>
            <w:tcW w:w="903" w:type="dxa"/>
          </w:tcPr>
          <w:p>
            <w:pPr>
              <w:pStyle w:val="TableParagraph"/>
              <w:spacing w:line="268" w:lineRule="exact" w:before="249"/>
              <w:ind w:right="105"/>
              <w:jc w:val="right"/>
              <w:rPr>
                <w:rFonts w:ascii="Calibri"/>
                <w:sz w:val="22"/>
              </w:rPr>
            </w:pPr>
            <w:r>
              <w:rPr>
                <w:rFonts w:ascii="Calibri"/>
                <w:spacing w:val="-4"/>
                <w:sz w:val="22"/>
              </w:rPr>
              <w:t>1972</w:t>
            </w:r>
          </w:p>
        </w:tc>
        <w:tc>
          <w:tcPr>
            <w:tcW w:w="1054" w:type="dxa"/>
          </w:tcPr>
          <w:p>
            <w:pPr>
              <w:pStyle w:val="TableParagraph"/>
              <w:spacing w:line="268" w:lineRule="exact" w:before="249"/>
              <w:ind w:left="109"/>
              <w:rPr>
                <w:rFonts w:ascii="Calibri"/>
                <w:sz w:val="22"/>
              </w:rPr>
            </w:pPr>
            <w:r>
              <w:rPr>
                <w:rFonts w:ascii="Calibri"/>
                <w:spacing w:val="-2"/>
                <w:sz w:val="22"/>
              </w:rPr>
              <w:t>7.560913</w:t>
            </w:r>
          </w:p>
        </w:tc>
        <w:tc>
          <w:tcPr>
            <w:tcW w:w="1111" w:type="dxa"/>
          </w:tcPr>
          <w:p>
            <w:pPr>
              <w:pStyle w:val="TableParagraph"/>
              <w:spacing w:line="268" w:lineRule="exact" w:before="249"/>
              <w:ind w:right="107"/>
              <w:jc w:val="right"/>
              <w:rPr>
                <w:rFonts w:ascii="Calibri"/>
                <w:sz w:val="22"/>
              </w:rPr>
            </w:pPr>
            <w:r>
              <w:rPr>
                <w:rFonts w:ascii="Calibri"/>
                <w:spacing w:val="-2"/>
                <w:sz w:val="22"/>
              </w:rPr>
              <w:t>4.467057</w:t>
            </w:r>
          </w:p>
        </w:tc>
        <w:tc>
          <w:tcPr>
            <w:tcW w:w="962" w:type="dxa"/>
          </w:tcPr>
          <w:p>
            <w:pPr>
              <w:pStyle w:val="TableParagraph"/>
              <w:spacing w:line="249" w:lineRule="exact"/>
              <w:ind w:right="107"/>
              <w:jc w:val="right"/>
              <w:rPr>
                <w:rFonts w:ascii="Calibri"/>
                <w:sz w:val="22"/>
              </w:rPr>
            </w:pPr>
            <w:r>
              <w:rPr>
                <w:rFonts w:ascii="Calibri"/>
                <w:spacing w:val="-10"/>
                <w:sz w:val="22"/>
              </w:rPr>
              <w:t>-</w:t>
            </w:r>
          </w:p>
          <w:p>
            <w:pPr>
              <w:pStyle w:val="TableParagraph"/>
              <w:spacing w:line="268" w:lineRule="exact"/>
              <w:ind w:right="106"/>
              <w:jc w:val="right"/>
              <w:rPr>
                <w:rFonts w:ascii="Calibri"/>
                <w:sz w:val="22"/>
              </w:rPr>
            </w:pPr>
            <w:r>
              <w:rPr>
                <w:rFonts w:ascii="Calibri"/>
                <w:spacing w:val="-2"/>
                <w:sz w:val="22"/>
              </w:rPr>
              <w:t>1.08678</w:t>
            </w:r>
          </w:p>
        </w:tc>
        <w:tc>
          <w:tcPr>
            <w:tcW w:w="1053" w:type="dxa"/>
          </w:tcPr>
          <w:p>
            <w:pPr>
              <w:pStyle w:val="TableParagraph"/>
              <w:spacing w:line="268" w:lineRule="exact" w:before="249"/>
              <w:ind w:left="108"/>
              <w:rPr>
                <w:rFonts w:ascii="Calibri"/>
                <w:sz w:val="22"/>
              </w:rPr>
            </w:pPr>
            <w:r>
              <w:rPr>
                <w:rFonts w:ascii="Calibri"/>
                <w:spacing w:val="-2"/>
                <w:sz w:val="22"/>
              </w:rPr>
              <w:t>1.163151</w:t>
            </w:r>
          </w:p>
        </w:tc>
        <w:tc>
          <w:tcPr>
            <w:tcW w:w="1053" w:type="dxa"/>
          </w:tcPr>
          <w:p>
            <w:pPr>
              <w:pStyle w:val="TableParagraph"/>
              <w:spacing w:line="268" w:lineRule="exact" w:before="249"/>
              <w:ind w:left="106"/>
              <w:rPr>
                <w:rFonts w:ascii="Calibri"/>
                <w:sz w:val="22"/>
              </w:rPr>
            </w:pPr>
            <w:r>
              <w:rPr>
                <w:rFonts w:ascii="Calibri"/>
                <w:spacing w:val="-2"/>
                <w:sz w:val="22"/>
              </w:rPr>
              <w:t>6.036677</w:t>
            </w:r>
          </w:p>
        </w:tc>
        <w:tc>
          <w:tcPr>
            <w:tcW w:w="1054" w:type="dxa"/>
          </w:tcPr>
          <w:p>
            <w:pPr>
              <w:pStyle w:val="TableParagraph"/>
              <w:spacing w:line="268" w:lineRule="exact" w:before="249"/>
              <w:ind w:left="107"/>
              <w:rPr>
                <w:rFonts w:ascii="Calibri"/>
                <w:sz w:val="22"/>
              </w:rPr>
            </w:pPr>
            <w:r>
              <w:rPr>
                <w:rFonts w:ascii="Calibri"/>
                <w:spacing w:val="-2"/>
                <w:sz w:val="22"/>
              </w:rPr>
              <w:t>1.098612</w:t>
            </w:r>
          </w:p>
        </w:tc>
        <w:tc>
          <w:tcPr>
            <w:tcW w:w="1069" w:type="dxa"/>
          </w:tcPr>
          <w:p>
            <w:pPr>
              <w:pStyle w:val="TableParagraph"/>
              <w:spacing w:line="268" w:lineRule="exact" w:before="249"/>
              <w:ind w:left="123" w:right="3"/>
              <w:jc w:val="center"/>
              <w:rPr>
                <w:rFonts w:ascii="Calibri"/>
                <w:sz w:val="22"/>
              </w:rPr>
            </w:pPr>
            <w:r>
              <w:rPr>
                <w:rFonts w:ascii="Calibri"/>
                <w:spacing w:val="-2"/>
                <w:sz w:val="22"/>
              </w:rPr>
              <w:t>6.47963</w:t>
            </w:r>
          </w:p>
        </w:tc>
        <w:tc>
          <w:tcPr>
            <w:tcW w:w="1054" w:type="dxa"/>
          </w:tcPr>
          <w:p>
            <w:pPr>
              <w:pStyle w:val="TableParagraph"/>
              <w:spacing w:line="268" w:lineRule="exact" w:before="249"/>
              <w:ind w:right="108"/>
              <w:jc w:val="right"/>
              <w:rPr>
                <w:rFonts w:ascii="Calibri"/>
                <w:sz w:val="22"/>
              </w:rPr>
            </w:pPr>
            <w:r>
              <w:rPr>
                <w:rFonts w:ascii="Calibri"/>
                <w:spacing w:val="-2"/>
                <w:sz w:val="22"/>
              </w:rPr>
              <w:t>1.574846</w:t>
            </w:r>
          </w:p>
        </w:tc>
        <w:tc>
          <w:tcPr>
            <w:tcW w:w="1198" w:type="dxa"/>
          </w:tcPr>
          <w:p>
            <w:pPr>
              <w:pStyle w:val="TableParagraph"/>
              <w:spacing w:line="268" w:lineRule="exact" w:before="249"/>
              <w:ind w:right="51"/>
              <w:jc w:val="right"/>
              <w:rPr>
                <w:rFonts w:ascii="Calibri"/>
                <w:sz w:val="22"/>
              </w:rPr>
            </w:pPr>
            <w:r>
              <w:rPr>
                <w:rFonts w:ascii="Calibri"/>
                <w:spacing w:val="-2"/>
                <w:sz w:val="22"/>
              </w:rPr>
              <w:t>6.91998</w:t>
            </w:r>
          </w:p>
        </w:tc>
      </w:tr>
      <w:tr>
        <w:trPr>
          <w:trHeight w:val="536" w:hRule="atLeast"/>
        </w:trPr>
        <w:tc>
          <w:tcPr>
            <w:tcW w:w="903" w:type="dxa"/>
          </w:tcPr>
          <w:p>
            <w:pPr>
              <w:pStyle w:val="TableParagraph"/>
              <w:spacing w:before="248"/>
              <w:ind w:right="105"/>
              <w:jc w:val="right"/>
              <w:rPr>
                <w:rFonts w:ascii="Calibri"/>
                <w:sz w:val="22"/>
              </w:rPr>
            </w:pPr>
            <w:r>
              <w:rPr>
                <w:rFonts w:ascii="Calibri"/>
                <w:spacing w:val="-4"/>
                <w:sz w:val="22"/>
              </w:rPr>
              <w:t>1973</w:t>
            </w:r>
          </w:p>
        </w:tc>
        <w:tc>
          <w:tcPr>
            <w:tcW w:w="1054" w:type="dxa"/>
          </w:tcPr>
          <w:p>
            <w:pPr>
              <w:pStyle w:val="TableParagraph"/>
              <w:spacing w:before="248"/>
              <w:ind w:left="109"/>
              <w:rPr>
                <w:rFonts w:ascii="Calibri"/>
                <w:sz w:val="22"/>
              </w:rPr>
            </w:pPr>
            <w:r>
              <w:rPr>
                <w:rFonts w:ascii="Calibri"/>
                <w:spacing w:val="-2"/>
                <w:sz w:val="22"/>
              </w:rPr>
              <w:t>7.483413</w:t>
            </w:r>
          </w:p>
        </w:tc>
        <w:tc>
          <w:tcPr>
            <w:tcW w:w="1111" w:type="dxa"/>
          </w:tcPr>
          <w:p>
            <w:pPr>
              <w:pStyle w:val="TableParagraph"/>
              <w:spacing w:before="248"/>
              <w:ind w:right="107"/>
              <w:jc w:val="right"/>
              <w:rPr>
                <w:rFonts w:ascii="Calibri"/>
                <w:sz w:val="22"/>
              </w:rPr>
            </w:pPr>
            <w:r>
              <w:rPr>
                <w:rFonts w:ascii="Calibri"/>
                <w:spacing w:val="-2"/>
                <w:sz w:val="22"/>
              </w:rPr>
              <w:t>2.424803</w:t>
            </w:r>
          </w:p>
        </w:tc>
        <w:tc>
          <w:tcPr>
            <w:tcW w:w="962" w:type="dxa"/>
          </w:tcPr>
          <w:p>
            <w:pPr>
              <w:pStyle w:val="TableParagraph"/>
              <w:spacing w:line="248" w:lineRule="exact"/>
              <w:ind w:right="107"/>
              <w:jc w:val="right"/>
              <w:rPr>
                <w:rFonts w:ascii="Calibri"/>
                <w:sz w:val="22"/>
              </w:rPr>
            </w:pPr>
            <w:r>
              <w:rPr>
                <w:rFonts w:ascii="Calibri"/>
                <w:spacing w:val="-10"/>
                <w:sz w:val="22"/>
              </w:rPr>
              <w:t>-</w:t>
            </w:r>
          </w:p>
          <w:p>
            <w:pPr>
              <w:pStyle w:val="TableParagraph"/>
              <w:ind w:right="106"/>
              <w:jc w:val="right"/>
              <w:rPr>
                <w:rFonts w:ascii="Calibri"/>
                <w:sz w:val="22"/>
              </w:rPr>
            </w:pPr>
            <w:r>
              <w:rPr>
                <w:rFonts w:ascii="Calibri"/>
                <w:spacing w:val="-2"/>
                <w:sz w:val="22"/>
              </w:rPr>
              <w:t>0.90165</w:t>
            </w:r>
          </w:p>
        </w:tc>
        <w:tc>
          <w:tcPr>
            <w:tcW w:w="1053" w:type="dxa"/>
          </w:tcPr>
          <w:p>
            <w:pPr>
              <w:pStyle w:val="TableParagraph"/>
              <w:spacing w:before="248"/>
              <w:ind w:left="108"/>
              <w:rPr>
                <w:rFonts w:ascii="Calibri"/>
                <w:sz w:val="22"/>
              </w:rPr>
            </w:pPr>
            <w:r>
              <w:rPr>
                <w:rFonts w:ascii="Calibri"/>
                <w:spacing w:val="-2"/>
                <w:sz w:val="22"/>
              </w:rPr>
              <w:t>1.686399</w:t>
            </w:r>
          </w:p>
        </w:tc>
        <w:tc>
          <w:tcPr>
            <w:tcW w:w="1053" w:type="dxa"/>
          </w:tcPr>
          <w:p>
            <w:pPr>
              <w:pStyle w:val="TableParagraph"/>
              <w:spacing w:before="248"/>
              <w:ind w:left="106"/>
              <w:rPr>
                <w:rFonts w:ascii="Calibri"/>
                <w:sz w:val="22"/>
              </w:rPr>
            </w:pPr>
            <w:r>
              <w:rPr>
                <w:rFonts w:ascii="Calibri"/>
                <w:spacing w:val="-2"/>
                <w:sz w:val="22"/>
              </w:rPr>
              <w:t>6.050676</w:t>
            </w:r>
          </w:p>
        </w:tc>
        <w:tc>
          <w:tcPr>
            <w:tcW w:w="1054" w:type="dxa"/>
          </w:tcPr>
          <w:p>
            <w:pPr>
              <w:pStyle w:val="TableParagraph"/>
              <w:spacing w:before="248"/>
              <w:ind w:left="107"/>
              <w:rPr>
                <w:rFonts w:ascii="Calibri"/>
                <w:sz w:val="22"/>
              </w:rPr>
            </w:pPr>
            <w:r>
              <w:rPr>
                <w:rFonts w:ascii="Calibri"/>
                <w:spacing w:val="-2"/>
                <w:sz w:val="22"/>
              </w:rPr>
              <w:t>1.098612</w:t>
            </w:r>
          </w:p>
        </w:tc>
        <w:tc>
          <w:tcPr>
            <w:tcW w:w="1069" w:type="dxa"/>
          </w:tcPr>
          <w:p>
            <w:pPr>
              <w:pStyle w:val="TableParagraph"/>
              <w:spacing w:before="248"/>
              <w:ind w:left="13" w:right="3"/>
              <w:jc w:val="center"/>
              <w:rPr>
                <w:rFonts w:ascii="Calibri"/>
                <w:sz w:val="22"/>
              </w:rPr>
            </w:pPr>
            <w:r>
              <w:rPr>
                <w:rFonts w:ascii="Calibri"/>
                <w:spacing w:val="-2"/>
                <w:sz w:val="22"/>
              </w:rPr>
              <w:t>6.619873</w:t>
            </w:r>
          </w:p>
        </w:tc>
        <w:tc>
          <w:tcPr>
            <w:tcW w:w="1054" w:type="dxa"/>
          </w:tcPr>
          <w:p>
            <w:pPr>
              <w:pStyle w:val="TableParagraph"/>
              <w:spacing w:before="248"/>
              <w:ind w:right="108"/>
              <w:jc w:val="right"/>
              <w:rPr>
                <w:rFonts w:ascii="Calibri"/>
                <w:sz w:val="22"/>
              </w:rPr>
            </w:pPr>
            <w:r>
              <w:rPr>
                <w:rFonts w:ascii="Calibri"/>
                <w:spacing w:val="-2"/>
                <w:sz w:val="22"/>
              </w:rPr>
              <w:t>0.165514</w:t>
            </w:r>
          </w:p>
        </w:tc>
        <w:tc>
          <w:tcPr>
            <w:tcW w:w="1198" w:type="dxa"/>
          </w:tcPr>
          <w:p>
            <w:pPr>
              <w:pStyle w:val="TableParagraph"/>
              <w:spacing w:before="248"/>
              <w:ind w:right="51"/>
              <w:jc w:val="right"/>
              <w:rPr>
                <w:rFonts w:ascii="Calibri"/>
                <w:sz w:val="22"/>
              </w:rPr>
            </w:pPr>
            <w:r>
              <w:rPr>
                <w:rFonts w:ascii="Calibri"/>
                <w:spacing w:val="-2"/>
                <w:sz w:val="22"/>
              </w:rPr>
              <w:t>6.870572</w:t>
            </w:r>
          </w:p>
        </w:tc>
      </w:tr>
      <w:tr>
        <w:trPr>
          <w:trHeight w:val="537" w:hRule="atLeast"/>
        </w:trPr>
        <w:tc>
          <w:tcPr>
            <w:tcW w:w="903" w:type="dxa"/>
          </w:tcPr>
          <w:p>
            <w:pPr>
              <w:pStyle w:val="TableParagraph"/>
              <w:spacing w:before="249"/>
              <w:ind w:right="105"/>
              <w:jc w:val="right"/>
              <w:rPr>
                <w:rFonts w:ascii="Calibri"/>
                <w:sz w:val="22"/>
              </w:rPr>
            </w:pPr>
            <w:r>
              <w:rPr>
                <w:rFonts w:ascii="Calibri"/>
                <w:spacing w:val="-4"/>
                <w:sz w:val="22"/>
              </w:rPr>
              <w:t>1974</w:t>
            </w:r>
          </w:p>
        </w:tc>
        <w:tc>
          <w:tcPr>
            <w:tcW w:w="1054" w:type="dxa"/>
          </w:tcPr>
          <w:p>
            <w:pPr>
              <w:pStyle w:val="TableParagraph"/>
              <w:spacing w:before="249"/>
              <w:ind w:left="109"/>
              <w:rPr>
                <w:rFonts w:ascii="Calibri"/>
                <w:sz w:val="22"/>
              </w:rPr>
            </w:pPr>
            <w:r>
              <w:rPr>
                <w:rFonts w:ascii="Calibri"/>
                <w:spacing w:val="-2"/>
                <w:sz w:val="22"/>
              </w:rPr>
              <w:t>7.622468</w:t>
            </w:r>
          </w:p>
        </w:tc>
        <w:tc>
          <w:tcPr>
            <w:tcW w:w="1111" w:type="dxa"/>
          </w:tcPr>
          <w:p>
            <w:pPr>
              <w:pStyle w:val="TableParagraph"/>
              <w:spacing w:before="249"/>
              <w:ind w:right="107"/>
              <w:jc w:val="right"/>
              <w:rPr>
                <w:rFonts w:ascii="Calibri"/>
                <w:sz w:val="22"/>
              </w:rPr>
            </w:pPr>
            <w:r>
              <w:rPr>
                <w:rFonts w:ascii="Calibri"/>
                <w:spacing w:val="-2"/>
                <w:sz w:val="22"/>
              </w:rPr>
              <w:t>3.817712</w:t>
            </w:r>
          </w:p>
        </w:tc>
        <w:tc>
          <w:tcPr>
            <w:tcW w:w="962" w:type="dxa"/>
          </w:tcPr>
          <w:p>
            <w:pPr>
              <w:pStyle w:val="TableParagraph"/>
              <w:spacing w:line="249" w:lineRule="exact"/>
              <w:ind w:right="107"/>
              <w:jc w:val="right"/>
              <w:rPr>
                <w:rFonts w:ascii="Calibri"/>
                <w:sz w:val="22"/>
              </w:rPr>
            </w:pPr>
            <w:r>
              <w:rPr>
                <w:rFonts w:ascii="Calibri"/>
                <w:spacing w:val="-10"/>
                <w:sz w:val="22"/>
              </w:rPr>
              <w:t>-</w:t>
            </w:r>
          </w:p>
          <w:p>
            <w:pPr>
              <w:pStyle w:val="TableParagraph"/>
              <w:ind w:right="106"/>
              <w:jc w:val="right"/>
              <w:rPr>
                <w:rFonts w:ascii="Calibri"/>
                <w:sz w:val="22"/>
              </w:rPr>
            </w:pPr>
            <w:r>
              <w:rPr>
                <w:rFonts w:ascii="Calibri"/>
                <w:spacing w:val="-2"/>
                <w:sz w:val="22"/>
              </w:rPr>
              <w:t>0.91579</w:t>
            </w:r>
          </w:p>
        </w:tc>
        <w:tc>
          <w:tcPr>
            <w:tcW w:w="1053" w:type="dxa"/>
          </w:tcPr>
          <w:p>
            <w:pPr>
              <w:pStyle w:val="TableParagraph"/>
              <w:spacing w:before="249"/>
              <w:ind w:left="108"/>
              <w:rPr>
                <w:rFonts w:ascii="Calibri"/>
                <w:sz w:val="22"/>
              </w:rPr>
            </w:pPr>
            <w:r>
              <w:rPr>
                <w:rFonts w:ascii="Calibri"/>
                <w:spacing w:val="-2"/>
                <w:sz w:val="22"/>
              </w:rPr>
              <w:t>2.595255</w:t>
            </w:r>
          </w:p>
        </w:tc>
        <w:tc>
          <w:tcPr>
            <w:tcW w:w="1053" w:type="dxa"/>
          </w:tcPr>
          <w:p>
            <w:pPr>
              <w:pStyle w:val="TableParagraph"/>
              <w:spacing w:before="249"/>
              <w:ind w:left="106"/>
              <w:rPr>
                <w:rFonts w:ascii="Calibri"/>
                <w:sz w:val="22"/>
              </w:rPr>
            </w:pPr>
            <w:r>
              <w:rPr>
                <w:rFonts w:ascii="Calibri"/>
                <w:spacing w:val="-2"/>
                <w:sz w:val="22"/>
              </w:rPr>
              <w:t>6.657112</w:t>
            </w:r>
          </w:p>
        </w:tc>
        <w:tc>
          <w:tcPr>
            <w:tcW w:w="1054" w:type="dxa"/>
          </w:tcPr>
          <w:p>
            <w:pPr>
              <w:pStyle w:val="TableParagraph"/>
              <w:spacing w:before="249"/>
              <w:ind w:left="107"/>
              <w:rPr>
                <w:rFonts w:ascii="Calibri"/>
                <w:sz w:val="22"/>
              </w:rPr>
            </w:pPr>
            <w:r>
              <w:rPr>
                <w:rFonts w:ascii="Calibri"/>
                <w:spacing w:val="-2"/>
                <w:sz w:val="22"/>
              </w:rPr>
              <w:t>1.098612</w:t>
            </w:r>
          </w:p>
        </w:tc>
        <w:tc>
          <w:tcPr>
            <w:tcW w:w="1069" w:type="dxa"/>
          </w:tcPr>
          <w:p>
            <w:pPr>
              <w:pStyle w:val="TableParagraph"/>
              <w:spacing w:before="249"/>
              <w:ind w:left="13" w:right="3"/>
              <w:jc w:val="center"/>
              <w:rPr>
                <w:rFonts w:ascii="Calibri"/>
                <w:sz w:val="22"/>
              </w:rPr>
            </w:pPr>
            <w:r>
              <w:rPr>
                <w:rFonts w:ascii="Calibri"/>
                <w:spacing w:val="-2"/>
                <w:sz w:val="22"/>
              </w:rPr>
              <w:t>6.801417</w:t>
            </w:r>
          </w:p>
        </w:tc>
        <w:tc>
          <w:tcPr>
            <w:tcW w:w="1054" w:type="dxa"/>
          </w:tcPr>
          <w:p>
            <w:pPr>
              <w:pStyle w:val="TableParagraph"/>
              <w:spacing w:before="249"/>
              <w:ind w:right="108"/>
              <w:jc w:val="right"/>
              <w:rPr>
                <w:rFonts w:ascii="Calibri"/>
                <w:sz w:val="22"/>
              </w:rPr>
            </w:pPr>
            <w:r>
              <w:rPr>
                <w:rFonts w:ascii="Calibri"/>
                <w:spacing w:val="-2"/>
                <w:sz w:val="22"/>
              </w:rPr>
              <w:t>-1.02165</w:t>
            </w:r>
          </w:p>
        </w:tc>
        <w:tc>
          <w:tcPr>
            <w:tcW w:w="1198" w:type="dxa"/>
          </w:tcPr>
          <w:p>
            <w:pPr>
              <w:pStyle w:val="TableParagraph"/>
              <w:spacing w:before="249"/>
              <w:ind w:right="51"/>
              <w:jc w:val="right"/>
              <w:rPr>
                <w:rFonts w:ascii="Calibri"/>
                <w:sz w:val="22"/>
              </w:rPr>
            </w:pPr>
            <w:r>
              <w:rPr>
                <w:rFonts w:ascii="Calibri"/>
                <w:spacing w:val="-2"/>
                <w:sz w:val="22"/>
              </w:rPr>
              <w:t>7.324556</w:t>
            </w:r>
          </w:p>
        </w:tc>
      </w:tr>
      <w:tr>
        <w:trPr>
          <w:trHeight w:val="537" w:hRule="atLeast"/>
        </w:trPr>
        <w:tc>
          <w:tcPr>
            <w:tcW w:w="903" w:type="dxa"/>
          </w:tcPr>
          <w:p>
            <w:pPr>
              <w:pStyle w:val="TableParagraph"/>
              <w:spacing w:before="249"/>
              <w:ind w:right="105"/>
              <w:jc w:val="right"/>
              <w:rPr>
                <w:rFonts w:ascii="Calibri"/>
                <w:sz w:val="22"/>
              </w:rPr>
            </w:pPr>
            <w:r>
              <w:rPr>
                <w:rFonts w:ascii="Calibri"/>
                <w:spacing w:val="-4"/>
                <w:sz w:val="22"/>
              </w:rPr>
              <w:t>1975</w:t>
            </w:r>
          </w:p>
        </w:tc>
        <w:tc>
          <w:tcPr>
            <w:tcW w:w="1054" w:type="dxa"/>
          </w:tcPr>
          <w:p>
            <w:pPr>
              <w:pStyle w:val="TableParagraph"/>
              <w:spacing w:before="249"/>
              <w:ind w:left="109"/>
              <w:rPr>
                <w:rFonts w:ascii="Calibri"/>
                <w:sz w:val="22"/>
              </w:rPr>
            </w:pPr>
            <w:r>
              <w:rPr>
                <w:rFonts w:ascii="Calibri"/>
                <w:spacing w:val="-2"/>
                <w:sz w:val="22"/>
              </w:rPr>
              <w:t>7.644967</w:t>
            </w:r>
          </w:p>
        </w:tc>
        <w:tc>
          <w:tcPr>
            <w:tcW w:w="1111" w:type="dxa"/>
          </w:tcPr>
          <w:p>
            <w:pPr>
              <w:pStyle w:val="TableParagraph"/>
              <w:spacing w:before="249"/>
              <w:ind w:right="107"/>
              <w:jc w:val="right"/>
              <w:rPr>
                <w:rFonts w:ascii="Calibri"/>
                <w:sz w:val="22"/>
              </w:rPr>
            </w:pPr>
            <w:r>
              <w:rPr>
                <w:rFonts w:ascii="Calibri"/>
                <w:spacing w:val="-2"/>
                <w:sz w:val="22"/>
              </w:rPr>
              <w:t>3.314186</w:t>
            </w:r>
          </w:p>
        </w:tc>
        <w:tc>
          <w:tcPr>
            <w:tcW w:w="962" w:type="dxa"/>
          </w:tcPr>
          <w:p>
            <w:pPr>
              <w:pStyle w:val="TableParagraph"/>
              <w:spacing w:line="249" w:lineRule="exact"/>
              <w:ind w:right="107"/>
              <w:jc w:val="right"/>
              <w:rPr>
                <w:rFonts w:ascii="Calibri"/>
                <w:sz w:val="22"/>
              </w:rPr>
            </w:pPr>
            <w:r>
              <w:rPr>
                <w:rFonts w:ascii="Calibri"/>
                <w:spacing w:val="-10"/>
                <w:sz w:val="22"/>
              </w:rPr>
              <w:t>-</w:t>
            </w:r>
          </w:p>
          <w:p>
            <w:pPr>
              <w:pStyle w:val="TableParagraph"/>
              <w:ind w:right="106"/>
              <w:jc w:val="right"/>
              <w:rPr>
                <w:rFonts w:ascii="Calibri"/>
                <w:sz w:val="22"/>
              </w:rPr>
            </w:pPr>
            <w:r>
              <w:rPr>
                <w:rFonts w:ascii="Calibri"/>
                <w:spacing w:val="-2"/>
                <w:sz w:val="22"/>
              </w:rPr>
              <w:t>0.90981</w:t>
            </w:r>
          </w:p>
        </w:tc>
        <w:tc>
          <w:tcPr>
            <w:tcW w:w="1053" w:type="dxa"/>
          </w:tcPr>
          <w:p>
            <w:pPr>
              <w:pStyle w:val="TableParagraph"/>
              <w:spacing w:before="249"/>
              <w:ind w:left="108"/>
              <w:rPr>
                <w:rFonts w:ascii="Calibri"/>
                <w:sz w:val="22"/>
              </w:rPr>
            </w:pPr>
            <w:r>
              <w:rPr>
                <w:rFonts w:ascii="Calibri"/>
                <w:spacing w:val="-2"/>
                <w:sz w:val="22"/>
              </w:rPr>
              <w:t>3.523415</w:t>
            </w:r>
          </w:p>
        </w:tc>
        <w:tc>
          <w:tcPr>
            <w:tcW w:w="1053" w:type="dxa"/>
          </w:tcPr>
          <w:p>
            <w:pPr>
              <w:pStyle w:val="TableParagraph"/>
              <w:spacing w:before="249"/>
              <w:ind w:left="106"/>
              <w:rPr>
                <w:rFonts w:ascii="Calibri"/>
                <w:sz w:val="22"/>
              </w:rPr>
            </w:pPr>
            <w:r>
              <w:rPr>
                <w:rFonts w:ascii="Calibri"/>
                <w:spacing w:val="-2"/>
                <w:sz w:val="22"/>
              </w:rPr>
              <w:t>6.723832</w:t>
            </w:r>
          </w:p>
        </w:tc>
        <w:tc>
          <w:tcPr>
            <w:tcW w:w="1054" w:type="dxa"/>
          </w:tcPr>
          <w:p>
            <w:pPr>
              <w:pStyle w:val="TableParagraph"/>
              <w:spacing w:before="249"/>
              <w:ind w:left="107"/>
              <w:rPr>
                <w:rFonts w:ascii="Calibri"/>
                <w:sz w:val="22"/>
              </w:rPr>
            </w:pPr>
            <w:r>
              <w:rPr>
                <w:rFonts w:ascii="Calibri"/>
                <w:spacing w:val="-2"/>
                <w:sz w:val="22"/>
              </w:rPr>
              <w:t>1.386294</w:t>
            </w:r>
          </w:p>
        </w:tc>
        <w:tc>
          <w:tcPr>
            <w:tcW w:w="1069" w:type="dxa"/>
          </w:tcPr>
          <w:p>
            <w:pPr>
              <w:pStyle w:val="TableParagraph"/>
              <w:spacing w:before="249"/>
              <w:ind w:left="13" w:right="3"/>
              <w:jc w:val="center"/>
              <w:rPr>
                <w:rFonts w:ascii="Calibri"/>
                <w:sz w:val="22"/>
              </w:rPr>
            </w:pPr>
            <w:r>
              <w:rPr>
                <w:rFonts w:ascii="Calibri"/>
                <w:spacing w:val="-2"/>
                <w:sz w:val="22"/>
              </w:rPr>
              <w:t>7.199843</w:t>
            </w:r>
          </w:p>
        </w:tc>
        <w:tc>
          <w:tcPr>
            <w:tcW w:w="1054" w:type="dxa"/>
          </w:tcPr>
          <w:p>
            <w:pPr>
              <w:pStyle w:val="TableParagraph"/>
              <w:spacing w:before="249"/>
              <w:ind w:right="108"/>
              <w:jc w:val="right"/>
              <w:rPr>
                <w:rFonts w:ascii="Calibri"/>
                <w:sz w:val="22"/>
              </w:rPr>
            </w:pPr>
            <w:r>
              <w:rPr>
                <w:rFonts w:ascii="Calibri"/>
                <w:spacing w:val="-2"/>
                <w:sz w:val="22"/>
              </w:rPr>
              <w:t>-0.4943</w:t>
            </w:r>
          </w:p>
        </w:tc>
        <w:tc>
          <w:tcPr>
            <w:tcW w:w="1198" w:type="dxa"/>
          </w:tcPr>
          <w:p>
            <w:pPr>
              <w:pStyle w:val="TableParagraph"/>
              <w:spacing w:before="249"/>
              <w:ind w:right="51"/>
              <w:jc w:val="right"/>
              <w:rPr>
                <w:rFonts w:ascii="Calibri"/>
                <w:sz w:val="22"/>
              </w:rPr>
            </w:pPr>
            <w:r>
              <w:rPr>
                <w:rFonts w:ascii="Calibri"/>
                <w:spacing w:val="-2"/>
                <w:sz w:val="22"/>
              </w:rPr>
              <w:t>7.91385</w:t>
            </w:r>
          </w:p>
        </w:tc>
      </w:tr>
      <w:tr>
        <w:trPr>
          <w:trHeight w:val="537" w:hRule="atLeast"/>
        </w:trPr>
        <w:tc>
          <w:tcPr>
            <w:tcW w:w="903" w:type="dxa"/>
          </w:tcPr>
          <w:p>
            <w:pPr>
              <w:pStyle w:val="TableParagraph"/>
              <w:spacing w:before="249"/>
              <w:ind w:right="105"/>
              <w:jc w:val="right"/>
              <w:rPr>
                <w:rFonts w:ascii="Calibri"/>
                <w:sz w:val="22"/>
              </w:rPr>
            </w:pPr>
            <w:r>
              <w:rPr>
                <w:rFonts w:ascii="Calibri"/>
                <w:spacing w:val="-4"/>
                <w:sz w:val="22"/>
              </w:rPr>
              <w:t>1976</w:t>
            </w:r>
          </w:p>
        </w:tc>
        <w:tc>
          <w:tcPr>
            <w:tcW w:w="1054" w:type="dxa"/>
          </w:tcPr>
          <w:p>
            <w:pPr>
              <w:pStyle w:val="TableParagraph"/>
              <w:spacing w:before="249"/>
              <w:ind w:right="105"/>
              <w:jc w:val="right"/>
              <w:rPr>
                <w:rFonts w:ascii="Calibri"/>
                <w:sz w:val="22"/>
              </w:rPr>
            </w:pPr>
            <w:r>
              <w:rPr>
                <w:rFonts w:ascii="Calibri"/>
                <w:spacing w:val="-2"/>
                <w:sz w:val="22"/>
              </w:rPr>
              <w:t>7.74049</w:t>
            </w:r>
          </w:p>
        </w:tc>
        <w:tc>
          <w:tcPr>
            <w:tcW w:w="1111" w:type="dxa"/>
          </w:tcPr>
          <w:p>
            <w:pPr>
              <w:pStyle w:val="TableParagraph"/>
              <w:spacing w:before="249"/>
              <w:ind w:right="107"/>
              <w:jc w:val="right"/>
              <w:rPr>
                <w:rFonts w:ascii="Calibri"/>
                <w:sz w:val="22"/>
              </w:rPr>
            </w:pPr>
            <w:r>
              <w:rPr>
                <w:rFonts w:ascii="Calibri"/>
                <w:spacing w:val="-2"/>
                <w:sz w:val="22"/>
              </w:rPr>
              <w:t>3.206803</w:t>
            </w:r>
          </w:p>
        </w:tc>
        <w:tc>
          <w:tcPr>
            <w:tcW w:w="962" w:type="dxa"/>
          </w:tcPr>
          <w:p>
            <w:pPr>
              <w:pStyle w:val="TableParagraph"/>
              <w:spacing w:line="249" w:lineRule="exact"/>
              <w:ind w:right="107"/>
              <w:jc w:val="right"/>
              <w:rPr>
                <w:rFonts w:ascii="Calibri"/>
                <w:sz w:val="22"/>
              </w:rPr>
            </w:pPr>
            <w:r>
              <w:rPr>
                <w:rFonts w:ascii="Calibri"/>
                <w:spacing w:val="-10"/>
                <w:sz w:val="22"/>
              </w:rPr>
              <w:t>-</w:t>
            </w:r>
          </w:p>
          <w:p>
            <w:pPr>
              <w:pStyle w:val="TableParagraph"/>
              <w:ind w:right="106"/>
              <w:jc w:val="right"/>
              <w:rPr>
                <w:rFonts w:ascii="Calibri"/>
                <w:sz w:val="22"/>
              </w:rPr>
            </w:pPr>
            <w:r>
              <w:rPr>
                <w:rFonts w:ascii="Calibri"/>
                <w:spacing w:val="-2"/>
                <w:sz w:val="22"/>
              </w:rPr>
              <w:t>0.80654</w:t>
            </w:r>
          </w:p>
        </w:tc>
        <w:tc>
          <w:tcPr>
            <w:tcW w:w="1053" w:type="dxa"/>
          </w:tcPr>
          <w:p>
            <w:pPr>
              <w:pStyle w:val="TableParagraph"/>
              <w:spacing w:before="249"/>
              <w:ind w:left="108"/>
              <w:rPr>
                <w:rFonts w:ascii="Calibri"/>
                <w:sz w:val="22"/>
              </w:rPr>
            </w:pPr>
            <w:r>
              <w:rPr>
                <w:rFonts w:ascii="Calibri"/>
                <w:spacing w:val="-2"/>
                <w:sz w:val="22"/>
              </w:rPr>
              <w:t>3.054001</w:t>
            </w:r>
          </w:p>
        </w:tc>
        <w:tc>
          <w:tcPr>
            <w:tcW w:w="1053" w:type="dxa"/>
          </w:tcPr>
          <w:p>
            <w:pPr>
              <w:pStyle w:val="TableParagraph"/>
              <w:spacing w:before="249"/>
              <w:ind w:left="106"/>
              <w:rPr>
                <w:rFonts w:ascii="Calibri"/>
                <w:sz w:val="22"/>
              </w:rPr>
            </w:pPr>
            <w:r>
              <w:rPr>
                <w:rFonts w:ascii="Calibri"/>
                <w:spacing w:val="-2"/>
                <w:sz w:val="22"/>
              </w:rPr>
              <w:t>7.550188</w:t>
            </w:r>
          </w:p>
        </w:tc>
        <w:tc>
          <w:tcPr>
            <w:tcW w:w="1054" w:type="dxa"/>
          </w:tcPr>
          <w:p>
            <w:pPr>
              <w:pStyle w:val="TableParagraph"/>
              <w:spacing w:before="249"/>
              <w:ind w:left="107"/>
              <w:rPr>
                <w:rFonts w:ascii="Calibri"/>
                <w:sz w:val="22"/>
              </w:rPr>
            </w:pPr>
            <w:r>
              <w:rPr>
                <w:rFonts w:ascii="Calibri"/>
                <w:spacing w:val="-2"/>
                <w:sz w:val="22"/>
              </w:rPr>
              <w:t>1.386294</w:t>
            </w:r>
          </w:p>
        </w:tc>
        <w:tc>
          <w:tcPr>
            <w:tcW w:w="1069" w:type="dxa"/>
          </w:tcPr>
          <w:p>
            <w:pPr>
              <w:pStyle w:val="TableParagraph"/>
              <w:spacing w:before="249"/>
              <w:ind w:left="13" w:right="3"/>
              <w:jc w:val="center"/>
              <w:rPr>
                <w:rFonts w:ascii="Calibri"/>
                <w:sz w:val="22"/>
              </w:rPr>
            </w:pPr>
            <w:r>
              <w:rPr>
                <w:rFonts w:ascii="Calibri"/>
                <w:spacing w:val="-2"/>
                <w:sz w:val="22"/>
              </w:rPr>
              <w:t>7.632609</w:t>
            </w:r>
          </w:p>
        </w:tc>
        <w:tc>
          <w:tcPr>
            <w:tcW w:w="1054" w:type="dxa"/>
          </w:tcPr>
          <w:p>
            <w:pPr>
              <w:pStyle w:val="TableParagraph"/>
              <w:spacing w:before="249"/>
              <w:ind w:right="108"/>
              <w:jc w:val="right"/>
              <w:rPr>
                <w:rFonts w:ascii="Calibri"/>
                <w:sz w:val="22"/>
              </w:rPr>
            </w:pPr>
            <w:r>
              <w:rPr>
                <w:rFonts w:ascii="Calibri"/>
                <w:spacing w:val="-2"/>
                <w:sz w:val="22"/>
              </w:rPr>
              <w:t>1.160021</w:t>
            </w:r>
          </w:p>
        </w:tc>
        <w:tc>
          <w:tcPr>
            <w:tcW w:w="1198" w:type="dxa"/>
          </w:tcPr>
          <w:p>
            <w:pPr>
              <w:pStyle w:val="TableParagraph"/>
              <w:spacing w:before="249"/>
              <w:ind w:right="51"/>
              <w:jc w:val="right"/>
              <w:rPr>
                <w:rFonts w:ascii="Calibri"/>
                <w:sz w:val="22"/>
              </w:rPr>
            </w:pPr>
            <w:r>
              <w:rPr>
                <w:rFonts w:ascii="Calibri"/>
                <w:spacing w:val="-2"/>
                <w:sz w:val="22"/>
              </w:rPr>
              <w:t>8.246801</w:t>
            </w:r>
          </w:p>
        </w:tc>
      </w:tr>
      <w:tr>
        <w:trPr>
          <w:trHeight w:val="536" w:hRule="atLeast"/>
        </w:trPr>
        <w:tc>
          <w:tcPr>
            <w:tcW w:w="903" w:type="dxa"/>
          </w:tcPr>
          <w:p>
            <w:pPr>
              <w:pStyle w:val="TableParagraph"/>
              <w:spacing w:line="267" w:lineRule="exact" w:before="249"/>
              <w:ind w:right="105"/>
              <w:jc w:val="right"/>
              <w:rPr>
                <w:rFonts w:ascii="Calibri"/>
                <w:sz w:val="22"/>
              </w:rPr>
            </w:pPr>
            <w:r>
              <w:rPr>
                <w:rFonts w:ascii="Calibri"/>
                <w:spacing w:val="-4"/>
                <w:sz w:val="22"/>
              </w:rPr>
              <w:t>1977</w:t>
            </w:r>
          </w:p>
        </w:tc>
        <w:tc>
          <w:tcPr>
            <w:tcW w:w="1054" w:type="dxa"/>
          </w:tcPr>
          <w:p>
            <w:pPr>
              <w:pStyle w:val="TableParagraph"/>
              <w:spacing w:line="267" w:lineRule="exact" w:before="249"/>
              <w:ind w:right="105"/>
              <w:jc w:val="right"/>
              <w:rPr>
                <w:rFonts w:ascii="Calibri"/>
                <w:sz w:val="22"/>
              </w:rPr>
            </w:pPr>
            <w:r>
              <w:rPr>
                <w:rFonts w:ascii="Calibri"/>
                <w:spacing w:val="-2"/>
                <w:sz w:val="22"/>
              </w:rPr>
              <w:t>7.88322</w:t>
            </w:r>
          </w:p>
        </w:tc>
        <w:tc>
          <w:tcPr>
            <w:tcW w:w="1111" w:type="dxa"/>
          </w:tcPr>
          <w:p>
            <w:pPr>
              <w:pStyle w:val="TableParagraph"/>
              <w:spacing w:line="267" w:lineRule="exact" w:before="249"/>
              <w:ind w:right="107"/>
              <w:jc w:val="right"/>
              <w:rPr>
                <w:rFonts w:ascii="Calibri"/>
                <w:sz w:val="22"/>
              </w:rPr>
            </w:pPr>
            <w:r>
              <w:rPr>
                <w:rFonts w:ascii="Calibri"/>
                <w:spacing w:val="-2"/>
                <w:sz w:val="22"/>
              </w:rPr>
              <w:t>2.251292</w:t>
            </w:r>
          </w:p>
        </w:tc>
        <w:tc>
          <w:tcPr>
            <w:tcW w:w="962" w:type="dxa"/>
          </w:tcPr>
          <w:p>
            <w:pPr>
              <w:pStyle w:val="TableParagraph"/>
              <w:spacing w:line="249" w:lineRule="exact"/>
              <w:ind w:right="107"/>
              <w:jc w:val="right"/>
              <w:rPr>
                <w:rFonts w:ascii="Calibri"/>
                <w:sz w:val="22"/>
              </w:rPr>
            </w:pPr>
            <w:r>
              <w:rPr>
                <w:rFonts w:ascii="Calibri"/>
                <w:spacing w:val="-10"/>
                <w:sz w:val="22"/>
              </w:rPr>
              <w:t>-</w:t>
            </w:r>
          </w:p>
          <w:p>
            <w:pPr>
              <w:pStyle w:val="TableParagraph"/>
              <w:spacing w:line="267" w:lineRule="exact"/>
              <w:ind w:right="106"/>
              <w:jc w:val="right"/>
              <w:rPr>
                <w:rFonts w:ascii="Calibri"/>
                <w:sz w:val="22"/>
              </w:rPr>
            </w:pPr>
            <w:r>
              <w:rPr>
                <w:rFonts w:ascii="Calibri"/>
                <w:spacing w:val="-2"/>
                <w:sz w:val="22"/>
              </w:rPr>
              <w:t>0.76121</w:t>
            </w:r>
          </w:p>
        </w:tc>
        <w:tc>
          <w:tcPr>
            <w:tcW w:w="1053" w:type="dxa"/>
          </w:tcPr>
          <w:p>
            <w:pPr>
              <w:pStyle w:val="TableParagraph"/>
              <w:spacing w:line="267" w:lineRule="exact" w:before="249"/>
              <w:ind w:left="108"/>
              <w:rPr>
                <w:rFonts w:ascii="Calibri"/>
                <w:sz w:val="22"/>
              </w:rPr>
            </w:pPr>
            <w:r>
              <w:rPr>
                <w:rFonts w:ascii="Calibri"/>
                <w:spacing w:val="-2"/>
                <w:sz w:val="22"/>
              </w:rPr>
              <w:t>2.734368</w:t>
            </w:r>
          </w:p>
        </w:tc>
        <w:tc>
          <w:tcPr>
            <w:tcW w:w="1053" w:type="dxa"/>
          </w:tcPr>
          <w:p>
            <w:pPr>
              <w:pStyle w:val="TableParagraph"/>
              <w:spacing w:line="267" w:lineRule="exact" w:before="249"/>
              <w:ind w:left="106"/>
              <w:rPr>
                <w:rFonts w:ascii="Calibri"/>
                <w:sz w:val="22"/>
              </w:rPr>
            </w:pPr>
            <w:r>
              <w:rPr>
                <w:rFonts w:ascii="Calibri"/>
                <w:spacing w:val="-2"/>
                <w:sz w:val="22"/>
              </w:rPr>
              <w:t>7.609119</w:t>
            </w:r>
          </w:p>
        </w:tc>
        <w:tc>
          <w:tcPr>
            <w:tcW w:w="1054" w:type="dxa"/>
          </w:tcPr>
          <w:p>
            <w:pPr>
              <w:pStyle w:val="TableParagraph"/>
              <w:spacing w:line="267" w:lineRule="exact" w:before="249"/>
              <w:ind w:left="107"/>
              <w:rPr>
                <w:rFonts w:ascii="Calibri"/>
                <w:sz w:val="22"/>
              </w:rPr>
            </w:pPr>
            <w:r>
              <w:rPr>
                <w:rFonts w:ascii="Calibri"/>
                <w:spacing w:val="-2"/>
                <w:sz w:val="22"/>
              </w:rPr>
              <w:t>1.386294</w:t>
            </w:r>
          </w:p>
        </w:tc>
        <w:tc>
          <w:tcPr>
            <w:tcW w:w="1069" w:type="dxa"/>
          </w:tcPr>
          <w:p>
            <w:pPr>
              <w:pStyle w:val="TableParagraph"/>
              <w:spacing w:line="267" w:lineRule="exact" w:before="249"/>
              <w:ind w:left="13" w:right="3"/>
              <w:jc w:val="center"/>
              <w:rPr>
                <w:rFonts w:ascii="Calibri"/>
                <w:sz w:val="22"/>
              </w:rPr>
            </w:pPr>
            <w:r>
              <w:rPr>
                <w:rFonts w:ascii="Calibri"/>
                <w:spacing w:val="-2"/>
                <w:sz w:val="22"/>
              </w:rPr>
              <w:t>7.962875</w:t>
            </w:r>
          </w:p>
        </w:tc>
        <w:tc>
          <w:tcPr>
            <w:tcW w:w="1054" w:type="dxa"/>
          </w:tcPr>
          <w:p>
            <w:pPr>
              <w:pStyle w:val="TableParagraph"/>
              <w:spacing w:line="267" w:lineRule="exact" w:before="249"/>
              <w:ind w:right="108"/>
              <w:jc w:val="right"/>
              <w:rPr>
                <w:rFonts w:ascii="Calibri"/>
                <w:sz w:val="22"/>
              </w:rPr>
            </w:pPr>
            <w:r>
              <w:rPr>
                <w:rFonts w:ascii="Calibri"/>
                <w:spacing w:val="-2"/>
                <w:sz w:val="22"/>
              </w:rPr>
              <w:t>0.122218</w:t>
            </w:r>
          </w:p>
        </w:tc>
        <w:tc>
          <w:tcPr>
            <w:tcW w:w="1198" w:type="dxa"/>
          </w:tcPr>
          <w:p>
            <w:pPr>
              <w:pStyle w:val="TableParagraph"/>
              <w:spacing w:line="267" w:lineRule="exact" w:before="249"/>
              <w:ind w:right="51"/>
              <w:jc w:val="right"/>
              <w:rPr>
                <w:rFonts w:ascii="Calibri"/>
                <w:sz w:val="22"/>
              </w:rPr>
            </w:pPr>
            <w:r>
              <w:rPr>
                <w:rFonts w:ascii="Calibri"/>
                <w:spacing w:val="-2"/>
                <w:sz w:val="22"/>
              </w:rPr>
              <w:t>8.247796</w:t>
            </w:r>
          </w:p>
        </w:tc>
      </w:tr>
      <w:tr>
        <w:trPr>
          <w:trHeight w:val="536" w:hRule="atLeast"/>
        </w:trPr>
        <w:tc>
          <w:tcPr>
            <w:tcW w:w="903" w:type="dxa"/>
          </w:tcPr>
          <w:p>
            <w:pPr>
              <w:pStyle w:val="TableParagraph"/>
              <w:spacing w:before="247"/>
              <w:ind w:right="105"/>
              <w:jc w:val="right"/>
              <w:rPr>
                <w:rFonts w:ascii="Calibri"/>
                <w:sz w:val="22"/>
              </w:rPr>
            </w:pPr>
            <w:r>
              <w:rPr>
                <w:rFonts w:ascii="Calibri"/>
                <w:spacing w:val="-4"/>
                <w:sz w:val="22"/>
              </w:rPr>
              <w:t>1978</w:t>
            </w:r>
          </w:p>
        </w:tc>
        <w:tc>
          <w:tcPr>
            <w:tcW w:w="1054" w:type="dxa"/>
          </w:tcPr>
          <w:p>
            <w:pPr>
              <w:pStyle w:val="TableParagraph"/>
              <w:spacing w:before="247"/>
              <w:ind w:left="109"/>
              <w:rPr>
                <w:rFonts w:ascii="Calibri"/>
                <w:sz w:val="22"/>
              </w:rPr>
            </w:pPr>
            <w:r>
              <w:rPr>
                <w:rFonts w:ascii="Calibri"/>
                <w:spacing w:val="-2"/>
                <w:sz w:val="22"/>
              </w:rPr>
              <w:t>8.489863</w:t>
            </w:r>
          </w:p>
        </w:tc>
        <w:tc>
          <w:tcPr>
            <w:tcW w:w="1111" w:type="dxa"/>
          </w:tcPr>
          <w:p>
            <w:pPr>
              <w:pStyle w:val="TableParagraph"/>
              <w:spacing w:before="247"/>
              <w:ind w:right="107"/>
              <w:jc w:val="right"/>
              <w:rPr>
                <w:rFonts w:ascii="Calibri"/>
                <w:sz w:val="22"/>
              </w:rPr>
            </w:pPr>
            <w:r>
              <w:rPr>
                <w:rFonts w:ascii="Calibri"/>
                <w:spacing w:val="-2"/>
                <w:sz w:val="22"/>
              </w:rPr>
              <w:t>6.787845</w:t>
            </w:r>
          </w:p>
        </w:tc>
        <w:tc>
          <w:tcPr>
            <w:tcW w:w="962" w:type="dxa"/>
          </w:tcPr>
          <w:p>
            <w:pPr>
              <w:pStyle w:val="TableParagraph"/>
              <w:spacing w:line="247" w:lineRule="exact"/>
              <w:ind w:right="107"/>
              <w:jc w:val="right"/>
              <w:rPr>
                <w:rFonts w:ascii="Calibri"/>
                <w:sz w:val="22"/>
              </w:rPr>
            </w:pPr>
            <w:r>
              <w:rPr>
                <w:rFonts w:ascii="Calibri"/>
                <w:spacing w:val="-10"/>
                <w:sz w:val="22"/>
              </w:rPr>
              <w:t>-</w:t>
            </w:r>
          </w:p>
          <w:p>
            <w:pPr>
              <w:pStyle w:val="TableParagraph"/>
              <w:ind w:right="106"/>
              <w:jc w:val="right"/>
              <w:rPr>
                <w:rFonts w:ascii="Calibri"/>
                <w:sz w:val="22"/>
              </w:rPr>
            </w:pPr>
            <w:r>
              <w:rPr>
                <w:rFonts w:ascii="Calibri"/>
                <w:spacing w:val="-2"/>
                <w:sz w:val="22"/>
              </w:rPr>
              <w:t>0.88358</w:t>
            </w:r>
          </w:p>
        </w:tc>
        <w:tc>
          <w:tcPr>
            <w:tcW w:w="1053" w:type="dxa"/>
          </w:tcPr>
          <w:p>
            <w:pPr>
              <w:pStyle w:val="TableParagraph"/>
              <w:spacing w:before="247"/>
              <w:ind w:left="108"/>
              <w:rPr>
                <w:rFonts w:ascii="Calibri"/>
                <w:sz w:val="22"/>
              </w:rPr>
            </w:pPr>
            <w:r>
              <w:rPr>
                <w:rFonts w:ascii="Calibri"/>
                <w:spacing w:val="-2"/>
                <w:sz w:val="22"/>
              </w:rPr>
              <w:t>2.809403</w:t>
            </w:r>
          </w:p>
        </w:tc>
        <w:tc>
          <w:tcPr>
            <w:tcW w:w="1053" w:type="dxa"/>
          </w:tcPr>
          <w:p>
            <w:pPr>
              <w:pStyle w:val="TableParagraph"/>
              <w:spacing w:before="247"/>
              <w:ind w:left="106"/>
              <w:rPr>
                <w:rFonts w:ascii="Calibri"/>
                <w:sz w:val="22"/>
              </w:rPr>
            </w:pPr>
            <w:r>
              <w:rPr>
                <w:rFonts w:ascii="Calibri"/>
                <w:spacing w:val="-2"/>
                <w:sz w:val="22"/>
              </w:rPr>
              <w:t>7.361058</w:t>
            </w:r>
          </w:p>
        </w:tc>
        <w:tc>
          <w:tcPr>
            <w:tcW w:w="1054" w:type="dxa"/>
          </w:tcPr>
          <w:p>
            <w:pPr>
              <w:pStyle w:val="TableParagraph"/>
              <w:spacing w:before="247"/>
              <w:ind w:left="107"/>
              <w:rPr>
                <w:rFonts w:ascii="Calibri"/>
                <w:sz w:val="22"/>
              </w:rPr>
            </w:pPr>
            <w:r>
              <w:rPr>
                <w:rFonts w:ascii="Calibri"/>
                <w:spacing w:val="-2"/>
                <w:sz w:val="22"/>
              </w:rPr>
              <w:t>1.609438</w:t>
            </w:r>
          </w:p>
        </w:tc>
        <w:tc>
          <w:tcPr>
            <w:tcW w:w="1069" w:type="dxa"/>
          </w:tcPr>
          <w:p>
            <w:pPr>
              <w:pStyle w:val="TableParagraph"/>
              <w:spacing w:before="247"/>
              <w:ind w:left="13" w:right="3"/>
              <w:jc w:val="center"/>
              <w:rPr>
                <w:rFonts w:ascii="Calibri"/>
                <w:sz w:val="22"/>
              </w:rPr>
            </w:pPr>
            <w:r>
              <w:rPr>
                <w:rFonts w:ascii="Calibri"/>
                <w:spacing w:val="-2"/>
                <w:sz w:val="22"/>
              </w:rPr>
              <w:t>8.308904</w:t>
            </w:r>
          </w:p>
        </w:tc>
        <w:tc>
          <w:tcPr>
            <w:tcW w:w="1054" w:type="dxa"/>
          </w:tcPr>
          <w:p>
            <w:pPr>
              <w:pStyle w:val="TableParagraph"/>
              <w:spacing w:before="247"/>
              <w:ind w:right="108"/>
              <w:jc w:val="right"/>
              <w:rPr>
                <w:rFonts w:ascii="Calibri"/>
                <w:sz w:val="22"/>
              </w:rPr>
            </w:pPr>
            <w:r>
              <w:rPr>
                <w:rFonts w:ascii="Calibri"/>
                <w:spacing w:val="-2"/>
                <w:sz w:val="22"/>
              </w:rPr>
              <w:t>0.198851</w:t>
            </w:r>
          </w:p>
        </w:tc>
        <w:tc>
          <w:tcPr>
            <w:tcW w:w="1198" w:type="dxa"/>
          </w:tcPr>
          <w:p>
            <w:pPr>
              <w:pStyle w:val="TableParagraph"/>
              <w:spacing w:before="247"/>
              <w:ind w:right="51"/>
              <w:jc w:val="right"/>
              <w:rPr>
                <w:rFonts w:ascii="Calibri"/>
                <w:sz w:val="22"/>
              </w:rPr>
            </w:pPr>
            <w:r>
              <w:rPr>
                <w:rFonts w:ascii="Calibri"/>
                <w:spacing w:val="-2"/>
                <w:sz w:val="22"/>
              </w:rPr>
              <w:t>7.937375</w:t>
            </w:r>
          </w:p>
        </w:tc>
      </w:tr>
      <w:tr>
        <w:trPr>
          <w:trHeight w:val="537" w:hRule="atLeast"/>
        </w:trPr>
        <w:tc>
          <w:tcPr>
            <w:tcW w:w="903" w:type="dxa"/>
          </w:tcPr>
          <w:p>
            <w:pPr>
              <w:pStyle w:val="TableParagraph"/>
              <w:spacing w:before="249"/>
              <w:ind w:right="105"/>
              <w:jc w:val="right"/>
              <w:rPr>
                <w:rFonts w:ascii="Calibri"/>
                <w:sz w:val="22"/>
              </w:rPr>
            </w:pPr>
            <w:r>
              <w:rPr>
                <w:rFonts w:ascii="Calibri"/>
                <w:spacing w:val="-4"/>
                <w:sz w:val="22"/>
              </w:rPr>
              <w:t>1979</w:t>
            </w:r>
          </w:p>
        </w:tc>
        <w:tc>
          <w:tcPr>
            <w:tcW w:w="1054" w:type="dxa"/>
          </w:tcPr>
          <w:p>
            <w:pPr>
              <w:pStyle w:val="TableParagraph"/>
              <w:spacing w:before="249"/>
              <w:ind w:left="109"/>
              <w:rPr>
                <w:rFonts w:ascii="Calibri"/>
                <w:sz w:val="22"/>
              </w:rPr>
            </w:pPr>
            <w:r>
              <w:rPr>
                <w:rFonts w:ascii="Calibri"/>
                <w:spacing w:val="-2"/>
                <w:sz w:val="22"/>
              </w:rPr>
              <w:t>7.911287</w:t>
            </w:r>
          </w:p>
        </w:tc>
        <w:tc>
          <w:tcPr>
            <w:tcW w:w="1111" w:type="dxa"/>
          </w:tcPr>
          <w:p>
            <w:pPr>
              <w:pStyle w:val="TableParagraph"/>
              <w:spacing w:before="249"/>
              <w:ind w:right="107"/>
              <w:jc w:val="right"/>
              <w:rPr>
                <w:rFonts w:ascii="Calibri"/>
                <w:sz w:val="22"/>
              </w:rPr>
            </w:pPr>
            <w:r>
              <w:rPr>
                <w:rFonts w:ascii="Calibri"/>
                <w:spacing w:val="-2"/>
                <w:sz w:val="22"/>
              </w:rPr>
              <w:t>5.884436</w:t>
            </w:r>
          </w:p>
        </w:tc>
        <w:tc>
          <w:tcPr>
            <w:tcW w:w="962" w:type="dxa"/>
          </w:tcPr>
          <w:p>
            <w:pPr>
              <w:pStyle w:val="TableParagraph"/>
              <w:spacing w:line="249" w:lineRule="exact"/>
              <w:ind w:right="107"/>
              <w:jc w:val="right"/>
              <w:rPr>
                <w:rFonts w:ascii="Calibri"/>
                <w:sz w:val="22"/>
              </w:rPr>
            </w:pPr>
            <w:r>
              <w:rPr>
                <w:rFonts w:ascii="Calibri"/>
                <w:spacing w:val="-10"/>
                <w:sz w:val="22"/>
              </w:rPr>
              <w:t>-</w:t>
            </w:r>
          </w:p>
          <w:p>
            <w:pPr>
              <w:pStyle w:val="TableParagraph"/>
              <w:ind w:right="106"/>
              <w:jc w:val="right"/>
              <w:rPr>
                <w:rFonts w:ascii="Calibri"/>
                <w:sz w:val="22"/>
              </w:rPr>
            </w:pPr>
            <w:r>
              <w:rPr>
                <w:rFonts w:ascii="Calibri"/>
                <w:spacing w:val="-2"/>
                <w:sz w:val="22"/>
              </w:rPr>
              <w:t>0.82965</w:t>
            </w:r>
          </w:p>
        </w:tc>
        <w:tc>
          <w:tcPr>
            <w:tcW w:w="1053" w:type="dxa"/>
          </w:tcPr>
          <w:p>
            <w:pPr>
              <w:pStyle w:val="TableParagraph"/>
              <w:spacing w:before="249"/>
              <w:ind w:right="106"/>
              <w:jc w:val="right"/>
              <w:rPr>
                <w:rFonts w:ascii="Calibri"/>
                <w:sz w:val="22"/>
              </w:rPr>
            </w:pPr>
            <w:r>
              <w:rPr>
                <w:rFonts w:ascii="Calibri"/>
                <w:spacing w:val="-2"/>
                <w:sz w:val="22"/>
              </w:rPr>
              <w:t>2.4681</w:t>
            </w:r>
          </w:p>
        </w:tc>
        <w:tc>
          <w:tcPr>
            <w:tcW w:w="1053" w:type="dxa"/>
          </w:tcPr>
          <w:p>
            <w:pPr>
              <w:pStyle w:val="TableParagraph"/>
              <w:spacing w:before="249"/>
              <w:ind w:left="106"/>
              <w:rPr>
                <w:rFonts w:ascii="Calibri"/>
                <w:sz w:val="22"/>
              </w:rPr>
            </w:pPr>
            <w:r>
              <w:rPr>
                <w:rFonts w:ascii="Calibri"/>
                <w:spacing w:val="-2"/>
                <w:sz w:val="22"/>
              </w:rPr>
              <w:t>7.874131</w:t>
            </w:r>
          </w:p>
        </w:tc>
        <w:tc>
          <w:tcPr>
            <w:tcW w:w="1054" w:type="dxa"/>
          </w:tcPr>
          <w:p>
            <w:pPr>
              <w:pStyle w:val="TableParagraph"/>
              <w:spacing w:before="249"/>
              <w:ind w:left="107"/>
              <w:rPr>
                <w:rFonts w:ascii="Calibri"/>
                <w:sz w:val="22"/>
              </w:rPr>
            </w:pPr>
            <w:r>
              <w:rPr>
                <w:rFonts w:ascii="Calibri"/>
                <w:spacing w:val="-2"/>
                <w:sz w:val="22"/>
              </w:rPr>
              <w:t>1.609438</w:t>
            </w:r>
          </w:p>
        </w:tc>
        <w:tc>
          <w:tcPr>
            <w:tcW w:w="1069" w:type="dxa"/>
          </w:tcPr>
          <w:p>
            <w:pPr>
              <w:pStyle w:val="TableParagraph"/>
              <w:spacing w:before="249"/>
              <w:ind w:left="13" w:right="3"/>
              <w:jc w:val="center"/>
              <w:rPr>
                <w:rFonts w:ascii="Calibri"/>
                <w:sz w:val="22"/>
              </w:rPr>
            </w:pPr>
            <w:r>
              <w:rPr>
                <w:rFonts w:ascii="Calibri"/>
                <w:spacing w:val="-2"/>
                <w:sz w:val="22"/>
              </w:rPr>
              <w:t>8.497419</w:t>
            </w:r>
          </w:p>
        </w:tc>
        <w:tc>
          <w:tcPr>
            <w:tcW w:w="1054" w:type="dxa"/>
          </w:tcPr>
          <w:p>
            <w:pPr>
              <w:pStyle w:val="TableParagraph"/>
              <w:spacing w:before="249"/>
              <w:ind w:right="108"/>
              <w:jc w:val="right"/>
              <w:rPr>
                <w:rFonts w:ascii="Calibri"/>
                <w:sz w:val="22"/>
              </w:rPr>
            </w:pPr>
            <w:r>
              <w:rPr>
                <w:rFonts w:ascii="Calibri"/>
                <w:spacing w:val="-2"/>
                <w:sz w:val="22"/>
              </w:rPr>
              <w:t>0.985817</w:t>
            </w:r>
          </w:p>
        </w:tc>
        <w:tc>
          <w:tcPr>
            <w:tcW w:w="1198" w:type="dxa"/>
          </w:tcPr>
          <w:p>
            <w:pPr>
              <w:pStyle w:val="TableParagraph"/>
              <w:spacing w:before="249"/>
              <w:ind w:right="51"/>
              <w:jc w:val="right"/>
              <w:rPr>
                <w:rFonts w:ascii="Calibri"/>
                <w:sz w:val="22"/>
              </w:rPr>
            </w:pPr>
            <w:r>
              <w:rPr>
                <w:rFonts w:ascii="Calibri"/>
                <w:spacing w:val="-2"/>
                <w:sz w:val="22"/>
              </w:rPr>
              <w:t>8.066898</w:t>
            </w:r>
          </w:p>
        </w:tc>
      </w:tr>
      <w:tr>
        <w:trPr>
          <w:trHeight w:val="537" w:hRule="atLeast"/>
        </w:trPr>
        <w:tc>
          <w:tcPr>
            <w:tcW w:w="903" w:type="dxa"/>
          </w:tcPr>
          <w:p>
            <w:pPr>
              <w:pStyle w:val="TableParagraph"/>
              <w:spacing w:before="249"/>
              <w:ind w:right="105"/>
              <w:jc w:val="right"/>
              <w:rPr>
                <w:rFonts w:ascii="Calibri"/>
                <w:sz w:val="22"/>
              </w:rPr>
            </w:pPr>
            <w:r>
              <w:rPr>
                <w:rFonts w:ascii="Calibri"/>
                <w:spacing w:val="-4"/>
                <w:sz w:val="22"/>
              </w:rPr>
              <w:t>1980</w:t>
            </w:r>
          </w:p>
        </w:tc>
        <w:tc>
          <w:tcPr>
            <w:tcW w:w="1054" w:type="dxa"/>
          </w:tcPr>
          <w:p>
            <w:pPr>
              <w:pStyle w:val="TableParagraph"/>
              <w:spacing w:before="249"/>
              <w:ind w:left="109"/>
              <w:rPr>
                <w:rFonts w:ascii="Calibri"/>
                <w:sz w:val="22"/>
              </w:rPr>
            </w:pPr>
            <w:r>
              <w:rPr>
                <w:rFonts w:ascii="Calibri"/>
                <w:spacing w:val="-2"/>
                <w:sz w:val="22"/>
              </w:rPr>
              <w:t>8.250176</w:t>
            </w:r>
          </w:p>
        </w:tc>
        <w:tc>
          <w:tcPr>
            <w:tcW w:w="1111" w:type="dxa"/>
          </w:tcPr>
          <w:p>
            <w:pPr>
              <w:pStyle w:val="TableParagraph"/>
              <w:spacing w:before="249"/>
              <w:ind w:right="107"/>
              <w:jc w:val="right"/>
              <w:rPr>
                <w:rFonts w:ascii="Calibri"/>
                <w:sz w:val="22"/>
              </w:rPr>
            </w:pPr>
            <w:r>
              <w:rPr>
                <w:rFonts w:ascii="Calibri"/>
                <w:spacing w:val="-2"/>
                <w:sz w:val="22"/>
              </w:rPr>
              <w:t>5.542439</w:t>
            </w:r>
          </w:p>
        </w:tc>
        <w:tc>
          <w:tcPr>
            <w:tcW w:w="962" w:type="dxa"/>
          </w:tcPr>
          <w:p>
            <w:pPr>
              <w:pStyle w:val="TableParagraph"/>
              <w:spacing w:line="249" w:lineRule="exact"/>
              <w:ind w:right="107"/>
              <w:jc w:val="right"/>
              <w:rPr>
                <w:rFonts w:ascii="Calibri"/>
                <w:sz w:val="22"/>
              </w:rPr>
            </w:pPr>
            <w:r>
              <w:rPr>
                <w:rFonts w:ascii="Calibri"/>
                <w:spacing w:val="-10"/>
                <w:sz w:val="22"/>
              </w:rPr>
              <w:t>-</w:t>
            </w:r>
          </w:p>
          <w:p>
            <w:pPr>
              <w:pStyle w:val="TableParagraph"/>
              <w:ind w:right="106"/>
              <w:jc w:val="right"/>
              <w:rPr>
                <w:rFonts w:ascii="Calibri"/>
                <w:sz w:val="22"/>
              </w:rPr>
            </w:pPr>
            <w:r>
              <w:rPr>
                <w:rFonts w:ascii="Calibri"/>
                <w:spacing w:val="-2"/>
                <w:sz w:val="22"/>
              </w:rPr>
              <w:t>0.74549</w:t>
            </w:r>
          </w:p>
        </w:tc>
        <w:tc>
          <w:tcPr>
            <w:tcW w:w="1053" w:type="dxa"/>
          </w:tcPr>
          <w:p>
            <w:pPr>
              <w:pStyle w:val="TableParagraph"/>
              <w:spacing w:before="249"/>
              <w:ind w:left="108"/>
              <w:rPr>
                <w:rFonts w:ascii="Calibri"/>
                <w:sz w:val="22"/>
              </w:rPr>
            </w:pPr>
            <w:r>
              <w:rPr>
                <w:rFonts w:ascii="Calibri"/>
                <w:spacing w:val="-2"/>
                <w:sz w:val="22"/>
              </w:rPr>
              <w:t>2.292535</w:t>
            </w:r>
          </w:p>
        </w:tc>
        <w:tc>
          <w:tcPr>
            <w:tcW w:w="1053" w:type="dxa"/>
          </w:tcPr>
          <w:p>
            <w:pPr>
              <w:pStyle w:val="TableParagraph"/>
              <w:spacing w:before="249"/>
              <w:ind w:left="106"/>
              <w:rPr>
                <w:rFonts w:ascii="Calibri"/>
                <w:sz w:val="22"/>
              </w:rPr>
            </w:pPr>
            <w:r>
              <w:rPr>
                <w:rFonts w:ascii="Calibri"/>
                <w:spacing w:val="-2"/>
                <w:sz w:val="22"/>
              </w:rPr>
              <w:t>5.842094</w:t>
            </w:r>
          </w:p>
        </w:tc>
        <w:tc>
          <w:tcPr>
            <w:tcW w:w="1054" w:type="dxa"/>
          </w:tcPr>
          <w:p>
            <w:pPr>
              <w:pStyle w:val="TableParagraph"/>
              <w:spacing w:before="249"/>
              <w:ind w:left="107"/>
              <w:rPr>
                <w:rFonts w:ascii="Calibri"/>
                <w:sz w:val="22"/>
              </w:rPr>
            </w:pPr>
            <w:r>
              <w:rPr>
                <w:rFonts w:ascii="Calibri"/>
                <w:spacing w:val="-2"/>
                <w:sz w:val="22"/>
              </w:rPr>
              <w:t>1.791759</w:t>
            </w:r>
          </w:p>
        </w:tc>
        <w:tc>
          <w:tcPr>
            <w:tcW w:w="1069" w:type="dxa"/>
          </w:tcPr>
          <w:p>
            <w:pPr>
              <w:pStyle w:val="TableParagraph"/>
              <w:spacing w:before="249"/>
              <w:ind w:left="123" w:right="3"/>
              <w:jc w:val="center"/>
              <w:rPr>
                <w:rFonts w:ascii="Calibri"/>
                <w:sz w:val="22"/>
              </w:rPr>
            </w:pPr>
            <w:r>
              <w:rPr>
                <w:rFonts w:ascii="Calibri"/>
                <w:spacing w:val="-2"/>
                <w:sz w:val="22"/>
              </w:rPr>
              <w:t>8.73781</w:t>
            </w:r>
          </w:p>
        </w:tc>
        <w:tc>
          <w:tcPr>
            <w:tcW w:w="1054" w:type="dxa"/>
          </w:tcPr>
          <w:p>
            <w:pPr>
              <w:pStyle w:val="TableParagraph"/>
              <w:spacing w:before="249"/>
              <w:ind w:right="108"/>
              <w:jc w:val="right"/>
              <w:rPr>
                <w:rFonts w:ascii="Calibri"/>
                <w:sz w:val="22"/>
              </w:rPr>
            </w:pPr>
            <w:r>
              <w:rPr>
                <w:rFonts w:ascii="Calibri"/>
                <w:spacing w:val="-2"/>
                <w:sz w:val="22"/>
              </w:rPr>
              <w:t>1.667707</w:t>
            </w:r>
          </w:p>
        </w:tc>
        <w:tc>
          <w:tcPr>
            <w:tcW w:w="1198" w:type="dxa"/>
          </w:tcPr>
          <w:p>
            <w:pPr>
              <w:pStyle w:val="TableParagraph"/>
              <w:spacing w:before="249"/>
              <w:ind w:right="51"/>
              <w:jc w:val="right"/>
              <w:rPr>
                <w:rFonts w:ascii="Calibri"/>
                <w:sz w:val="22"/>
              </w:rPr>
            </w:pPr>
            <w:r>
              <w:rPr>
                <w:rFonts w:ascii="Calibri"/>
                <w:spacing w:val="-2"/>
                <w:sz w:val="22"/>
              </w:rPr>
              <w:t>8.477454</w:t>
            </w:r>
          </w:p>
        </w:tc>
      </w:tr>
      <w:tr>
        <w:trPr>
          <w:trHeight w:val="537" w:hRule="atLeast"/>
        </w:trPr>
        <w:tc>
          <w:tcPr>
            <w:tcW w:w="903" w:type="dxa"/>
          </w:tcPr>
          <w:p>
            <w:pPr>
              <w:pStyle w:val="TableParagraph"/>
              <w:spacing w:before="249"/>
              <w:ind w:right="105"/>
              <w:jc w:val="right"/>
              <w:rPr>
                <w:rFonts w:ascii="Calibri"/>
                <w:sz w:val="22"/>
              </w:rPr>
            </w:pPr>
            <w:r>
              <w:rPr>
                <w:rFonts w:ascii="Calibri"/>
                <w:spacing w:val="-4"/>
                <w:sz w:val="22"/>
              </w:rPr>
              <w:t>1981</w:t>
            </w:r>
          </w:p>
        </w:tc>
        <w:tc>
          <w:tcPr>
            <w:tcW w:w="1054" w:type="dxa"/>
          </w:tcPr>
          <w:p>
            <w:pPr>
              <w:pStyle w:val="TableParagraph"/>
              <w:spacing w:before="249"/>
              <w:ind w:left="109"/>
              <w:rPr>
                <w:rFonts w:ascii="Calibri"/>
                <w:sz w:val="22"/>
              </w:rPr>
            </w:pPr>
            <w:r>
              <w:rPr>
                <w:rFonts w:ascii="Calibri"/>
                <w:spacing w:val="-2"/>
                <w:sz w:val="22"/>
              </w:rPr>
              <w:t>8.556395</w:t>
            </w:r>
          </w:p>
        </w:tc>
        <w:tc>
          <w:tcPr>
            <w:tcW w:w="1111" w:type="dxa"/>
          </w:tcPr>
          <w:p>
            <w:pPr>
              <w:pStyle w:val="TableParagraph"/>
              <w:spacing w:before="249"/>
              <w:ind w:right="107"/>
              <w:jc w:val="right"/>
              <w:rPr>
                <w:rFonts w:ascii="Calibri"/>
                <w:sz w:val="22"/>
              </w:rPr>
            </w:pPr>
            <w:r>
              <w:rPr>
                <w:rFonts w:ascii="Calibri"/>
                <w:spacing w:val="-2"/>
                <w:sz w:val="22"/>
              </w:rPr>
              <w:t>6.140746</w:t>
            </w:r>
          </w:p>
        </w:tc>
        <w:tc>
          <w:tcPr>
            <w:tcW w:w="962" w:type="dxa"/>
          </w:tcPr>
          <w:p>
            <w:pPr>
              <w:pStyle w:val="TableParagraph"/>
              <w:spacing w:line="249" w:lineRule="exact"/>
              <w:ind w:right="107"/>
              <w:jc w:val="right"/>
              <w:rPr>
                <w:rFonts w:ascii="Calibri"/>
                <w:sz w:val="22"/>
              </w:rPr>
            </w:pPr>
            <w:r>
              <w:rPr>
                <w:rFonts w:ascii="Calibri"/>
                <w:spacing w:val="-10"/>
                <w:sz w:val="22"/>
              </w:rPr>
              <w:t>-</w:t>
            </w:r>
          </w:p>
          <w:p>
            <w:pPr>
              <w:pStyle w:val="TableParagraph"/>
              <w:ind w:right="106"/>
              <w:jc w:val="right"/>
              <w:rPr>
                <w:rFonts w:ascii="Calibri"/>
                <w:sz w:val="22"/>
              </w:rPr>
            </w:pPr>
            <w:r>
              <w:rPr>
                <w:rFonts w:ascii="Calibri"/>
                <w:spacing w:val="-2"/>
                <w:sz w:val="22"/>
              </w:rPr>
              <w:t>0.69095</w:t>
            </w:r>
          </w:p>
        </w:tc>
        <w:tc>
          <w:tcPr>
            <w:tcW w:w="1053" w:type="dxa"/>
          </w:tcPr>
          <w:p>
            <w:pPr>
              <w:pStyle w:val="TableParagraph"/>
              <w:spacing w:before="249"/>
              <w:ind w:left="108"/>
              <w:rPr>
                <w:rFonts w:ascii="Calibri"/>
                <w:sz w:val="22"/>
              </w:rPr>
            </w:pPr>
            <w:r>
              <w:rPr>
                <w:rFonts w:ascii="Calibri"/>
                <w:spacing w:val="-2"/>
                <w:sz w:val="22"/>
              </w:rPr>
              <w:t>3.039749</w:t>
            </w:r>
          </w:p>
        </w:tc>
        <w:tc>
          <w:tcPr>
            <w:tcW w:w="1053" w:type="dxa"/>
          </w:tcPr>
          <w:p>
            <w:pPr>
              <w:pStyle w:val="TableParagraph"/>
              <w:spacing w:before="249"/>
              <w:ind w:left="106"/>
              <w:rPr>
                <w:rFonts w:ascii="Calibri"/>
                <w:sz w:val="22"/>
              </w:rPr>
            </w:pPr>
            <w:r>
              <w:rPr>
                <w:rFonts w:ascii="Calibri"/>
                <w:spacing w:val="-2"/>
                <w:sz w:val="22"/>
              </w:rPr>
              <w:t>9.775631</w:t>
            </w:r>
          </w:p>
        </w:tc>
        <w:tc>
          <w:tcPr>
            <w:tcW w:w="1054" w:type="dxa"/>
          </w:tcPr>
          <w:p>
            <w:pPr>
              <w:pStyle w:val="TableParagraph"/>
              <w:spacing w:before="249"/>
              <w:ind w:left="107"/>
              <w:rPr>
                <w:rFonts w:ascii="Calibri"/>
                <w:sz w:val="22"/>
              </w:rPr>
            </w:pPr>
            <w:r>
              <w:rPr>
                <w:rFonts w:ascii="Calibri"/>
                <w:spacing w:val="-2"/>
                <w:sz w:val="22"/>
              </w:rPr>
              <w:t>1.791759</w:t>
            </w:r>
          </w:p>
        </w:tc>
        <w:tc>
          <w:tcPr>
            <w:tcW w:w="1069" w:type="dxa"/>
          </w:tcPr>
          <w:p>
            <w:pPr>
              <w:pStyle w:val="TableParagraph"/>
              <w:spacing w:before="249"/>
              <w:ind w:left="13" w:right="3"/>
              <w:jc w:val="center"/>
              <w:rPr>
                <w:rFonts w:ascii="Calibri"/>
                <w:sz w:val="22"/>
              </w:rPr>
            </w:pPr>
            <w:r>
              <w:rPr>
                <w:rFonts w:ascii="Calibri"/>
                <w:spacing w:val="-2"/>
                <w:sz w:val="22"/>
              </w:rPr>
              <w:t>9.056029</w:t>
            </w:r>
          </w:p>
        </w:tc>
        <w:tc>
          <w:tcPr>
            <w:tcW w:w="1054" w:type="dxa"/>
          </w:tcPr>
          <w:p>
            <w:pPr>
              <w:pStyle w:val="TableParagraph"/>
              <w:spacing w:before="249"/>
              <w:ind w:right="108"/>
              <w:jc w:val="right"/>
              <w:rPr>
                <w:rFonts w:ascii="Calibri"/>
                <w:sz w:val="22"/>
              </w:rPr>
            </w:pPr>
            <w:r>
              <w:rPr>
                <w:rFonts w:ascii="Calibri"/>
                <w:spacing w:val="-2"/>
                <w:sz w:val="22"/>
              </w:rPr>
              <w:t>2.109</w:t>
            </w:r>
          </w:p>
        </w:tc>
        <w:tc>
          <w:tcPr>
            <w:tcW w:w="1198" w:type="dxa"/>
          </w:tcPr>
          <w:p>
            <w:pPr>
              <w:pStyle w:val="TableParagraph"/>
              <w:spacing w:before="249"/>
              <w:ind w:right="51"/>
              <w:jc w:val="right"/>
              <w:rPr>
                <w:rFonts w:ascii="Calibri"/>
                <w:sz w:val="22"/>
              </w:rPr>
            </w:pPr>
            <w:r>
              <w:rPr>
                <w:rFonts w:ascii="Calibri"/>
                <w:spacing w:val="-2"/>
                <w:sz w:val="22"/>
              </w:rPr>
              <w:t>8.486053</w:t>
            </w:r>
          </w:p>
        </w:tc>
      </w:tr>
      <w:tr>
        <w:trPr>
          <w:trHeight w:val="536" w:hRule="atLeast"/>
        </w:trPr>
        <w:tc>
          <w:tcPr>
            <w:tcW w:w="903" w:type="dxa"/>
          </w:tcPr>
          <w:p>
            <w:pPr>
              <w:pStyle w:val="TableParagraph"/>
              <w:spacing w:line="267" w:lineRule="exact" w:before="249"/>
              <w:ind w:right="105"/>
              <w:jc w:val="right"/>
              <w:rPr>
                <w:rFonts w:ascii="Calibri"/>
                <w:sz w:val="22"/>
              </w:rPr>
            </w:pPr>
            <w:r>
              <w:rPr>
                <w:rFonts w:ascii="Calibri"/>
                <w:spacing w:val="-4"/>
                <w:sz w:val="22"/>
              </w:rPr>
              <w:t>1982</w:t>
            </w:r>
          </w:p>
        </w:tc>
        <w:tc>
          <w:tcPr>
            <w:tcW w:w="1054" w:type="dxa"/>
          </w:tcPr>
          <w:p>
            <w:pPr>
              <w:pStyle w:val="TableParagraph"/>
              <w:spacing w:line="267" w:lineRule="exact" w:before="249"/>
              <w:ind w:left="109"/>
              <w:rPr>
                <w:rFonts w:ascii="Calibri"/>
                <w:sz w:val="22"/>
              </w:rPr>
            </w:pPr>
            <w:r>
              <w:rPr>
                <w:rFonts w:ascii="Calibri"/>
                <w:spacing w:val="-2"/>
                <w:sz w:val="22"/>
              </w:rPr>
              <w:t>9.639014</w:t>
            </w:r>
          </w:p>
        </w:tc>
        <w:tc>
          <w:tcPr>
            <w:tcW w:w="1111" w:type="dxa"/>
          </w:tcPr>
          <w:p>
            <w:pPr>
              <w:pStyle w:val="TableParagraph"/>
              <w:spacing w:line="267" w:lineRule="exact" w:before="249"/>
              <w:ind w:right="107"/>
              <w:jc w:val="right"/>
              <w:rPr>
                <w:rFonts w:ascii="Calibri"/>
                <w:sz w:val="22"/>
              </w:rPr>
            </w:pPr>
            <w:r>
              <w:rPr>
                <w:rFonts w:ascii="Calibri"/>
                <w:spacing w:val="-2"/>
                <w:sz w:val="22"/>
              </w:rPr>
              <w:t>8.77774</w:t>
            </w:r>
          </w:p>
        </w:tc>
        <w:tc>
          <w:tcPr>
            <w:tcW w:w="962" w:type="dxa"/>
          </w:tcPr>
          <w:p>
            <w:pPr>
              <w:pStyle w:val="TableParagraph"/>
              <w:spacing w:line="249" w:lineRule="exact"/>
              <w:ind w:right="107"/>
              <w:jc w:val="right"/>
              <w:rPr>
                <w:rFonts w:ascii="Calibri"/>
                <w:sz w:val="22"/>
              </w:rPr>
            </w:pPr>
            <w:r>
              <w:rPr>
                <w:rFonts w:ascii="Calibri"/>
                <w:spacing w:val="-10"/>
                <w:sz w:val="22"/>
              </w:rPr>
              <w:t>-</w:t>
            </w:r>
          </w:p>
          <w:p>
            <w:pPr>
              <w:pStyle w:val="TableParagraph"/>
              <w:spacing w:line="267" w:lineRule="exact"/>
              <w:ind w:right="106"/>
              <w:jc w:val="right"/>
              <w:rPr>
                <w:rFonts w:ascii="Calibri"/>
                <w:sz w:val="22"/>
              </w:rPr>
            </w:pPr>
            <w:r>
              <w:rPr>
                <w:rFonts w:ascii="Calibri"/>
                <w:spacing w:val="-2"/>
                <w:sz w:val="22"/>
              </w:rPr>
              <w:t>0.95011</w:t>
            </w:r>
          </w:p>
        </w:tc>
        <w:tc>
          <w:tcPr>
            <w:tcW w:w="1053" w:type="dxa"/>
          </w:tcPr>
          <w:p>
            <w:pPr>
              <w:pStyle w:val="TableParagraph"/>
              <w:spacing w:line="267" w:lineRule="exact" w:before="249"/>
              <w:ind w:right="106"/>
              <w:jc w:val="right"/>
              <w:rPr>
                <w:rFonts w:ascii="Calibri"/>
                <w:sz w:val="22"/>
              </w:rPr>
            </w:pPr>
            <w:r>
              <w:rPr>
                <w:rFonts w:ascii="Calibri"/>
                <w:spacing w:val="-2"/>
                <w:sz w:val="22"/>
              </w:rPr>
              <w:t>2.04122</w:t>
            </w:r>
          </w:p>
        </w:tc>
        <w:tc>
          <w:tcPr>
            <w:tcW w:w="1053" w:type="dxa"/>
          </w:tcPr>
          <w:p>
            <w:pPr>
              <w:pStyle w:val="TableParagraph"/>
              <w:spacing w:line="267" w:lineRule="exact" w:before="249"/>
              <w:ind w:left="106"/>
              <w:rPr>
                <w:rFonts w:ascii="Calibri"/>
                <w:sz w:val="22"/>
              </w:rPr>
            </w:pPr>
            <w:r>
              <w:rPr>
                <w:rFonts w:ascii="Calibri"/>
                <w:spacing w:val="-2"/>
                <w:sz w:val="22"/>
              </w:rPr>
              <w:t>7.724358</w:t>
            </w:r>
          </w:p>
        </w:tc>
        <w:tc>
          <w:tcPr>
            <w:tcW w:w="1054" w:type="dxa"/>
          </w:tcPr>
          <w:p>
            <w:pPr>
              <w:pStyle w:val="TableParagraph"/>
              <w:spacing w:line="267" w:lineRule="exact" w:before="249"/>
              <w:ind w:left="107"/>
              <w:rPr>
                <w:rFonts w:ascii="Calibri"/>
                <w:sz w:val="22"/>
              </w:rPr>
            </w:pPr>
            <w:r>
              <w:rPr>
                <w:rFonts w:ascii="Calibri"/>
                <w:spacing w:val="-2"/>
                <w:sz w:val="22"/>
              </w:rPr>
              <w:t>2.014903</w:t>
            </w:r>
          </w:p>
        </w:tc>
        <w:tc>
          <w:tcPr>
            <w:tcW w:w="1069" w:type="dxa"/>
          </w:tcPr>
          <w:p>
            <w:pPr>
              <w:pStyle w:val="TableParagraph"/>
              <w:spacing w:line="267" w:lineRule="exact" w:before="249"/>
              <w:ind w:left="13" w:right="3"/>
              <w:jc w:val="center"/>
              <w:rPr>
                <w:rFonts w:ascii="Calibri"/>
                <w:sz w:val="22"/>
              </w:rPr>
            </w:pPr>
            <w:r>
              <w:rPr>
                <w:rFonts w:ascii="Calibri"/>
                <w:spacing w:val="-2"/>
                <w:sz w:val="22"/>
              </w:rPr>
              <w:t>9.275036</w:t>
            </w:r>
          </w:p>
        </w:tc>
        <w:tc>
          <w:tcPr>
            <w:tcW w:w="1054" w:type="dxa"/>
          </w:tcPr>
          <w:p>
            <w:pPr>
              <w:pStyle w:val="TableParagraph"/>
              <w:spacing w:line="267" w:lineRule="exact" w:before="249"/>
              <w:ind w:right="108"/>
              <w:jc w:val="right"/>
              <w:rPr>
                <w:rFonts w:ascii="Calibri"/>
                <w:sz w:val="22"/>
              </w:rPr>
            </w:pPr>
            <w:r>
              <w:rPr>
                <w:rFonts w:ascii="Calibri"/>
                <w:spacing w:val="-2"/>
                <w:sz w:val="22"/>
              </w:rPr>
              <w:t>1.040277</w:t>
            </w:r>
          </w:p>
        </w:tc>
        <w:tc>
          <w:tcPr>
            <w:tcW w:w="1198" w:type="dxa"/>
          </w:tcPr>
          <w:p>
            <w:pPr>
              <w:pStyle w:val="TableParagraph"/>
              <w:spacing w:line="267" w:lineRule="exact" w:before="249"/>
              <w:ind w:right="51"/>
              <w:jc w:val="right"/>
              <w:rPr>
                <w:rFonts w:ascii="Calibri"/>
                <w:sz w:val="22"/>
              </w:rPr>
            </w:pPr>
            <w:r>
              <w:rPr>
                <w:rFonts w:ascii="Calibri"/>
                <w:spacing w:val="-2"/>
                <w:sz w:val="22"/>
              </w:rPr>
              <w:t>8.613594</w:t>
            </w:r>
          </w:p>
        </w:tc>
      </w:tr>
      <w:tr>
        <w:trPr>
          <w:trHeight w:val="536" w:hRule="atLeast"/>
        </w:trPr>
        <w:tc>
          <w:tcPr>
            <w:tcW w:w="903" w:type="dxa"/>
          </w:tcPr>
          <w:p>
            <w:pPr>
              <w:pStyle w:val="TableParagraph"/>
              <w:spacing w:before="247"/>
              <w:ind w:right="105"/>
              <w:jc w:val="right"/>
              <w:rPr>
                <w:rFonts w:ascii="Calibri"/>
                <w:sz w:val="22"/>
              </w:rPr>
            </w:pPr>
            <w:r>
              <w:rPr>
                <w:rFonts w:ascii="Calibri"/>
                <w:spacing w:val="-4"/>
                <w:sz w:val="22"/>
              </w:rPr>
              <w:t>1983</w:t>
            </w:r>
          </w:p>
        </w:tc>
        <w:tc>
          <w:tcPr>
            <w:tcW w:w="1054" w:type="dxa"/>
          </w:tcPr>
          <w:p>
            <w:pPr>
              <w:pStyle w:val="TableParagraph"/>
              <w:spacing w:before="247"/>
              <w:ind w:left="109"/>
              <w:rPr>
                <w:rFonts w:ascii="Calibri"/>
                <w:sz w:val="22"/>
              </w:rPr>
            </w:pPr>
            <w:r>
              <w:rPr>
                <w:rFonts w:ascii="Calibri"/>
                <w:spacing w:val="-2"/>
                <w:sz w:val="22"/>
              </w:rPr>
              <w:t>9.268694</w:t>
            </w:r>
          </w:p>
        </w:tc>
        <w:tc>
          <w:tcPr>
            <w:tcW w:w="1111" w:type="dxa"/>
          </w:tcPr>
          <w:p>
            <w:pPr>
              <w:pStyle w:val="TableParagraph"/>
              <w:spacing w:before="247"/>
              <w:ind w:right="107"/>
              <w:jc w:val="right"/>
              <w:rPr>
                <w:rFonts w:ascii="Calibri"/>
                <w:sz w:val="22"/>
              </w:rPr>
            </w:pPr>
            <w:r>
              <w:rPr>
                <w:rFonts w:ascii="Calibri"/>
                <w:spacing w:val="-2"/>
                <w:sz w:val="22"/>
              </w:rPr>
              <w:t>7.472103</w:t>
            </w:r>
          </w:p>
        </w:tc>
        <w:tc>
          <w:tcPr>
            <w:tcW w:w="962" w:type="dxa"/>
          </w:tcPr>
          <w:p>
            <w:pPr>
              <w:pStyle w:val="TableParagraph"/>
              <w:spacing w:line="247" w:lineRule="exact"/>
              <w:ind w:right="107"/>
              <w:jc w:val="right"/>
              <w:rPr>
                <w:rFonts w:ascii="Calibri"/>
                <w:sz w:val="22"/>
              </w:rPr>
            </w:pPr>
            <w:r>
              <w:rPr>
                <w:rFonts w:ascii="Calibri"/>
                <w:spacing w:val="-10"/>
                <w:sz w:val="22"/>
              </w:rPr>
              <w:t>-</w:t>
            </w:r>
          </w:p>
          <w:p>
            <w:pPr>
              <w:pStyle w:val="TableParagraph"/>
              <w:ind w:right="106"/>
              <w:jc w:val="right"/>
              <w:rPr>
                <w:rFonts w:ascii="Calibri"/>
                <w:sz w:val="22"/>
              </w:rPr>
            </w:pPr>
            <w:r>
              <w:rPr>
                <w:rFonts w:ascii="Calibri"/>
                <w:spacing w:val="-2"/>
                <w:sz w:val="22"/>
              </w:rPr>
              <w:t>1.17474</w:t>
            </w:r>
          </w:p>
        </w:tc>
        <w:tc>
          <w:tcPr>
            <w:tcW w:w="1053" w:type="dxa"/>
          </w:tcPr>
          <w:p>
            <w:pPr>
              <w:pStyle w:val="TableParagraph"/>
              <w:spacing w:before="247"/>
              <w:ind w:left="108"/>
              <w:rPr>
                <w:rFonts w:ascii="Calibri"/>
                <w:sz w:val="22"/>
              </w:rPr>
            </w:pPr>
            <w:r>
              <w:rPr>
                <w:rFonts w:ascii="Calibri"/>
                <w:spacing w:val="-2"/>
                <w:sz w:val="22"/>
              </w:rPr>
              <w:t>3.144152</w:t>
            </w:r>
          </w:p>
        </w:tc>
        <w:tc>
          <w:tcPr>
            <w:tcW w:w="1053" w:type="dxa"/>
          </w:tcPr>
          <w:p>
            <w:pPr>
              <w:pStyle w:val="TableParagraph"/>
              <w:spacing w:before="247"/>
              <w:ind w:right="107"/>
              <w:jc w:val="right"/>
              <w:rPr>
                <w:rFonts w:ascii="Calibri"/>
                <w:sz w:val="22"/>
              </w:rPr>
            </w:pPr>
            <w:r>
              <w:rPr>
                <w:rFonts w:ascii="Calibri"/>
                <w:spacing w:val="-2"/>
                <w:sz w:val="22"/>
              </w:rPr>
              <w:t>8.40436</w:t>
            </w:r>
          </w:p>
        </w:tc>
        <w:tc>
          <w:tcPr>
            <w:tcW w:w="1054" w:type="dxa"/>
          </w:tcPr>
          <w:p>
            <w:pPr>
              <w:pStyle w:val="TableParagraph"/>
              <w:spacing w:before="247"/>
              <w:ind w:left="107"/>
              <w:rPr>
                <w:rFonts w:ascii="Calibri"/>
                <w:sz w:val="22"/>
              </w:rPr>
            </w:pPr>
            <w:r>
              <w:rPr>
                <w:rFonts w:ascii="Calibri"/>
                <w:spacing w:val="-2"/>
                <w:sz w:val="22"/>
              </w:rPr>
              <w:t>2.014903</w:t>
            </w:r>
          </w:p>
        </w:tc>
        <w:tc>
          <w:tcPr>
            <w:tcW w:w="1069" w:type="dxa"/>
          </w:tcPr>
          <w:p>
            <w:pPr>
              <w:pStyle w:val="TableParagraph"/>
              <w:spacing w:before="247"/>
              <w:ind w:left="13" w:right="3"/>
              <w:jc w:val="center"/>
              <w:rPr>
                <w:rFonts w:ascii="Calibri"/>
                <w:sz w:val="22"/>
              </w:rPr>
            </w:pPr>
            <w:r>
              <w:rPr>
                <w:rFonts w:ascii="Calibri"/>
                <w:spacing w:val="-2"/>
                <w:sz w:val="22"/>
              </w:rPr>
              <w:t>9.364609</w:t>
            </w:r>
          </w:p>
        </w:tc>
        <w:tc>
          <w:tcPr>
            <w:tcW w:w="1054" w:type="dxa"/>
          </w:tcPr>
          <w:p>
            <w:pPr>
              <w:pStyle w:val="TableParagraph"/>
              <w:spacing w:before="247"/>
              <w:ind w:right="108"/>
              <w:jc w:val="right"/>
              <w:rPr>
                <w:rFonts w:ascii="Calibri"/>
                <w:sz w:val="22"/>
              </w:rPr>
            </w:pPr>
            <w:r>
              <w:rPr>
                <w:rFonts w:ascii="Calibri"/>
                <w:spacing w:val="-2"/>
                <w:sz w:val="22"/>
              </w:rPr>
              <w:t>-0.40048</w:t>
            </w:r>
          </w:p>
        </w:tc>
        <w:tc>
          <w:tcPr>
            <w:tcW w:w="1198" w:type="dxa"/>
          </w:tcPr>
          <w:p>
            <w:pPr>
              <w:pStyle w:val="TableParagraph"/>
              <w:spacing w:before="247"/>
              <w:ind w:right="51"/>
              <w:jc w:val="right"/>
              <w:rPr>
                <w:rFonts w:ascii="Calibri"/>
                <w:sz w:val="22"/>
              </w:rPr>
            </w:pPr>
            <w:r>
              <w:rPr>
                <w:rFonts w:ascii="Calibri"/>
                <w:spacing w:val="-2"/>
                <w:sz w:val="22"/>
              </w:rPr>
              <w:t>8.466068</w:t>
            </w:r>
          </w:p>
        </w:tc>
      </w:tr>
      <w:tr>
        <w:trPr>
          <w:trHeight w:val="537" w:hRule="atLeast"/>
        </w:trPr>
        <w:tc>
          <w:tcPr>
            <w:tcW w:w="903" w:type="dxa"/>
          </w:tcPr>
          <w:p>
            <w:pPr>
              <w:pStyle w:val="TableParagraph"/>
              <w:spacing w:before="249"/>
              <w:ind w:right="105"/>
              <w:jc w:val="right"/>
              <w:rPr>
                <w:rFonts w:ascii="Calibri"/>
                <w:sz w:val="22"/>
              </w:rPr>
            </w:pPr>
            <w:r>
              <w:rPr>
                <w:rFonts w:ascii="Calibri"/>
                <w:spacing w:val="-4"/>
                <w:sz w:val="22"/>
              </w:rPr>
              <w:t>1984</w:t>
            </w:r>
          </w:p>
        </w:tc>
        <w:tc>
          <w:tcPr>
            <w:tcW w:w="1054" w:type="dxa"/>
          </w:tcPr>
          <w:p>
            <w:pPr>
              <w:pStyle w:val="TableParagraph"/>
              <w:spacing w:before="249"/>
              <w:ind w:left="109"/>
              <w:rPr>
                <w:rFonts w:ascii="Calibri"/>
                <w:sz w:val="22"/>
              </w:rPr>
            </w:pPr>
            <w:r>
              <w:rPr>
                <w:rFonts w:ascii="Calibri"/>
                <w:spacing w:val="-2"/>
                <w:sz w:val="22"/>
              </w:rPr>
              <w:t>9.242933</w:t>
            </w:r>
          </w:p>
        </w:tc>
        <w:tc>
          <w:tcPr>
            <w:tcW w:w="1111" w:type="dxa"/>
          </w:tcPr>
          <w:p>
            <w:pPr>
              <w:pStyle w:val="TableParagraph"/>
              <w:spacing w:before="249"/>
              <w:ind w:right="107"/>
              <w:jc w:val="right"/>
              <w:rPr>
                <w:rFonts w:ascii="Calibri"/>
                <w:sz w:val="22"/>
              </w:rPr>
            </w:pPr>
            <w:r>
              <w:rPr>
                <w:rFonts w:ascii="Calibri"/>
                <w:spacing w:val="-2"/>
                <w:sz w:val="22"/>
              </w:rPr>
              <w:t>8.350194</w:t>
            </w:r>
          </w:p>
        </w:tc>
        <w:tc>
          <w:tcPr>
            <w:tcW w:w="962" w:type="dxa"/>
          </w:tcPr>
          <w:p>
            <w:pPr>
              <w:pStyle w:val="TableParagraph"/>
              <w:spacing w:line="249" w:lineRule="exact"/>
              <w:ind w:right="107"/>
              <w:jc w:val="right"/>
              <w:rPr>
                <w:rFonts w:ascii="Calibri"/>
                <w:sz w:val="22"/>
              </w:rPr>
            </w:pPr>
            <w:r>
              <w:rPr>
                <w:rFonts w:ascii="Calibri"/>
                <w:spacing w:val="-10"/>
                <w:sz w:val="22"/>
              </w:rPr>
              <w:t>-</w:t>
            </w:r>
          </w:p>
          <w:p>
            <w:pPr>
              <w:pStyle w:val="TableParagraph"/>
              <w:ind w:right="106"/>
              <w:jc w:val="right"/>
              <w:rPr>
                <w:rFonts w:ascii="Calibri"/>
                <w:sz w:val="22"/>
              </w:rPr>
            </w:pPr>
            <w:r>
              <w:rPr>
                <w:rFonts w:ascii="Calibri"/>
                <w:spacing w:val="-2"/>
                <w:sz w:val="22"/>
              </w:rPr>
              <w:t>1.29902</w:t>
            </w:r>
          </w:p>
        </w:tc>
        <w:tc>
          <w:tcPr>
            <w:tcW w:w="1053" w:type="dxa"/>
          </w:tcPr>
          <w:p>
            <w:pPr>
              <w:pStyle w:val="TableParagraph"/>
              <w:spacing w:before="249"/>
              <w:ind w:left="108"/>
              <w:rPr>
                <w:rFonts w:ascii="Calibri"/>
                <w:sz w:val="22"/>
              </w:rPr>
            </w:pPr>
            <w:r>
              <w:rPr>
                <w:rFonts w:ascii="Calibri"/>
                <w:spacing w:val="-2"/>
                <w:sz w:val="22"/>
              </w:rPr>
              <w:t>3.678829</w:t>
            </w:r>
          </w:p>
        </w:tc>
        <w:tc>
          <w:tcPr>
            <w:tcW w:w="1053" w:type="dxa"/>
          </w:tcPr>
          <w:p>
            <w:pPr>
              <w:pStyle w:val="TableParagraph"/>
              <w:spacing w:before="249"/>
              <w:ind w:right="107"/>
              <w:jc w:val="right"/>
              <w:rPr>
                <w:rFonts w:ascii="Calibri"/>
                <w:sz w:val="22"/>
              </w:rPr>
            </w:pPr>
            <w:r>
              <w:rPr>
                <w:rFonts w:ascii="Calibri"/>
                <w:spacing w:val="-2"/>
                <w:sz w:val="22"/>
              </w:rPr>
              <w:t>8.58401</w:t>
            </w:r>
          </w:p>
        </w:tc>
        <w:tc>
          <w:tcPr>
            <w:tcW w:w="1054" w:type="dxa"/>
          </w:tcPr>
          <w:p>
            <w:pPr>
              <w:pStyle w:val="TableParagraph"/>
              <w:spacing w:before="249"/>
              <w:ind w:left="107"/>
              <w:rPr>
                <w:rFonts w:ascii="Calibri"/>
                <w:sz w:val="22"/>
              </w:rPr>
            </w:pPr>
            <w:r>
              <w:rPr>
                <w:rFonts w:ascii="Calibri"/>
                <w:spacing w:val="-2"/>
                <w:sz w:val="22"/>
              </w:rPr>
              <w:t>2.251292</w:t>
            </w:r>
          </w:p>
        </w:tc>
        <w:tc>
          <w:tcPr>
            <w:tcW w:w="1069" w:type="dxa"/>
          </w:tcPr>
          <w:p>
            <w:pPr>
              <w:pStyle w:val="TableParagraph"/>
              <w:spacing w:before="249"/>
              <w:ind w:left="13" w:right="3"/>
              <w:jc w:val="center"/>
              <w:rPr>
                <w:rFonts w:ascii="Calibri"/>
                <w:sz w:val="22"/>
              </w:rPr>
            </w:pPr>
            <w:r>
              <w:rPr>
                <w:rFonts w:ascii="Calibri"/>
                <w:spacing w:val="-2"/>
                <w:sz w:val="22"/>
              </w:rPr>
              <w:t>9.430514</w:t>
            </w:r>
          </w:p>
        </w:tc>
        <w:tc>
          <w:tcPr>
            <w:tcW w:w="1054" w:type="dxa"/>
          </w:tcPr>
          <w:p>
            <w:pPr>
              <w:pStyle w:val="TableParagraph"/>
              <w:spacing w:before="249"/>
              <w:ind w:right="108"/>
              <w:jc w:val="right"/>
              <w:rPr>
                <w:rFonts w:ascii="Calibri"/>
                <w:sz w:val="22"/>
              </w:rPr>
            </w:pPr>
            <w:r>
              <w:rPr>
                <w:rFonts w:ascii="Calibri"/>
                <w:spacing w:val="-2"/>
                <w:sz w:val="22"/>
              </w:rPr>
              <w:t>0.239017</w:t>
            </w:r>
          </w:p>
        </w:tc>
        <w:tc>
          <w:tcPr>
            <w:tcW w:w="1198" w:type="dxa"/>
          </w:tcPr>
          <w:p>
            <w:pPr>
              <w:pStyle w:val="TableParagraph"/>
              <w:spacing w:before="249"/>
              <w:ind w:right="51"/>
              <w:jc w:val="right"/>
              <w:rPr>
                <w:rFonts w:ascii="Calibri"/>
                <w:sz w:val="22"/>
              </w:rPr>
            </w:pPr>
            <w:r>
              <w:rPr>
                <w:rFonts w:ascii="Calibri"/>
                <w:spacing w:val="-2"/>
                <w:sz w:val="22"/>
              </w:rPr>
              <w:t>8.670343</w:t>
            </w:r>
          </w:p>
        </w:tc>
      </w:tr>
      <w:tr>
        <w:trPr>
          <w:trHeight w:val="537" w:hRule="atLeast"/>
        </w:trPr>
        <w:tc>
          <w:tcPr>
            <w:tcW w:w="903" w:type="dxa"/>
          </w:tcPr>
          <w:p>
            <w:pPr>
              <w:pStyle w:val="TableParagraph"/>
              <w:spacing w:before="249"/>
              <w:ind w:right="105"/>
              <w:jc w:val="right"/>
              <w:rPr>
                <w:rFonts w:ascii="Calibri"/>
                <w:sz w:val="22"/>
              </w:rPr>
            </w:pPr>
            <w:r>
              <w:rPr>
                <w:rFonts w:ascii="Calibri"/>
                <w:spacing w:val="-4"/>
                <w:sz w:val="22"/>
              </w:rPr>
              <w:t>1985</w:t>
            </w:r>
          </w:p>
        </w:tc>
        <w:tc>
          <w:tcPr>
            <w:tcW w:w="1054" w:type="dxa"/>
          </w:tcPr>
          <w:p>
            <w:pPr>
              <w:pStyle w:val="TableParagraph"/>
              <w:spacing w:before="249"/>
              <w:ind w:left="109"/>
              <w:rPr>
                <w:rFonts w:ascii="Calibri"/>
                <w:sz w:val="22"/>
              </w:rPr>
            </w:pPr>
            <w:r>
              <w:rPr>
                <w:rFonts w:ascii="Calibri"/>
                <w:spacing w:val="-2"/>
                <w:sz w:val="22"/>
              </w:rPr>
              <w:t>9.306922</w:t>
            </w:r>
          </w:p>
        </w:tc>
        <w:tc>
          <w:tcPr>
            <w:tcW w:w="1111" w:type="dxa"/>
          </w:tcPr>
          <w:p>
            <w:pPr>
              <w:pStyle w:val="TableParagraph"/>
              <w:spacing w:before="249"/>
              <w:ind w:right="107"/>
              <w:jc w:val="right"/>
              <w:rPr>
                <w:rFonts w:ascii="Calibri"/>
                <w:sz w:val="22"/>
              </w:rPr>
            </w:pPr>
            <w:r>
              <w:rPr>
                <w:rFonts w:ascii="Calibri"/>
                <w:spacing w:val="-2"/>
                <w:sz w:val="22"/>
              </w:rPr>
              <w:t>7.820801</w:t>
            </w:r>
          </w:p>
        </w:tc>
        <w:tc>
          <w:tcPr>
            <w:tcW w:w="962" w:type="dxa"/>
          </w:tcPr>
          <w:p>
            <w:pPr>
              <w:pStyle w:val="TableParagraph"/>
              <w:spacing w:line="249" w:lineRule="exact"/>
              <w:ind w:right="107"/>
              <w:jc w:val="right"/>
              <w:rPr>
                <w:rFonts w:ascii="Calibri"/>
                <w:sz w:val="22"/>
              </w:rPr>
            </w:pPr>
            <w:r>
              <w:rPr>
                <w:rFonts w:ascii="Calibri"/>
                <w:spacing w:val="-10"/>
                <w:sz w:val="22"/>
              </w:rPr>
              <w:t>-</w:t>
            </w:r>
          </w:p>
          <w:p>
            <w:pPr>
              <w:pStyle w:val="TableParagraph"/>
              <w:ind w:right="106"/>
              <w:jc w:val="right"/>
              <w:rPr>
                <w:rFonts w:ascii="Calibri"/>
                <w:sz w:val="22"/>
              </w:rPr>
            </w:pPr>
            <w:r>
              <w:rPr>
                <w:rFonts w:ascii="Calibri"/>
                <w:spacing w:val="-2"/>
                <w:sz w:val="22"/>
              </w:rPr>
              <w:t>1.28518</w:t>
            </w:r>
          </w:p>
        </w:tc>
        <w:tc>
          <w:tcPr>
            <w:tcW w:w="1053" w:type="dxa"/>
          </w:tcPr>
          <w:p>
            <w:pPr>
              <w:pStyle w:val="TableParagraph"/>
              <w:spacing w:before="249"/>
              <w:ind w:left="108"/>
              <w:rPr>
                <w:rFonts w:ascii="Calibri"/>
                <w:sz w:val="22"/>
              </w:rPr>
            </w:pPr>
            <w:r>
              <w:rPr>
                <w:rFonts w:ascii="Calibri"/>
                <w:spacing w:val="-2"/>
                <w:sz w:val="22"/>
              </w:rPr>
              <w:t>1.704748</w:t>
            </w:r>
          </w:p>
        </w:tc>
        <w:tc>
          <w:tcPr>
            <w:tcW w:w="1053" w:type="dxa"/>
          </w:tcPr>
          <w:p>
            <w:pPr>
              <w:pStyle w:val="TableParagraph"/>
              <w:spacing w:before="249"/>
              <w:ind w:left="106"/>
              <w:rPr>
                <w:rFonts w:ascii="Calibri"/>
                <w:sz w:val="22"/>
              </w:rPr>
            </w:pPr>
            <w:r>
              <w:rPr>
                <w:rFonts w:ascii="Calibri"/>
                <w:spacing w:val="-2"/>
                <w:sz w:val="22"/>
              </w:rPr>
              <w:t>6.681231</w:t>
            </w:r>
          </w:p>
        </w:tc>
        <w:tc>
          <w:tcPr>
            <w:tcW w:w="1054" w:type="dxa"/>
          </w:tcPr>
          <w:p>
            <w:pPr>
              <w:pStyle w:val="TableParagraph"/>
              <w:spacing w:before="249"/>
              <w:ind w:left="107"/>
              <w:rPr>
                <w:rFonts w:ascii="Calibri"/>
                <w:sz w:val="22"/>
              </w:rPr>
            </w:pPr>
            <w:r>
              <w:rPr>
                <w:rFonts w:ascii="Calibri"/>
                <w:spacing w:val="-2"/>
                <w:sz w:val="22"/>
              </w:rPr>
              <w:t>2.251292</w:t>
            </w:r>
          </w:p>
        </w:tc>
        <w:tc>
          <w:tcPr>
            <w:tcW w:w="1069" w:type="dxa"/>
          </w:tcPr>
          <w:p>
            <w:pPr>
              <w:pStyle w:val="TableParagraph"/>
              <w:spacing w:before="249"/>
              <w:ind w:left="13" w:right="3"/>
              <w:jc w:val="center"/>
              <w:rPr>
                <w:rFonts w:ascii="Calibri"/>
                <w:sz w:val="22"/>
              </w:rPr>
            </w:pPr>
            <w:r>
              <w:rPr>
                <w:rFonts w:ascii="Calibri"/>
                <w:spacing w:val="-2"/>
                <w:sz w:val="22"/>
              </w:rPr>
              <w:t>9.478101</w:t>
            </w:r>
          </w:p>
        </w:tc>
        <w:tc>
          <w:tcPr>
            <w:tcW w:w="1054" w:type="dxa"/>
          </w:tcPr>
          <w:p>
            <w:pPr>
              <w:pStyle w:val="TableParagraph"/>
              <w:spacing w:before="249"/>
              <w:ind w:right="108"/>
              <w:jc w:val="right"/>
              <w:rPr>
                <w:rFonts w:ascii="Calibri"/>
                <w:sz w:val="22"/>
              </w:rPr>
            </w:pPr>
            <w:r>
              <w:rPr>
                <w:rFonts w:ascii="Calibri"/>
                <w:spacing w:val="-2"/>
                <w:sz w:val="22"/>
              </w:rPr>
              <w:t>1.625311</w:t>
            </w:r>
          </w:p>
        </w:tc>
        <w:tc>
          <w:tcPr>
            <w:tcW w:w="1198" w:type="dxa"/>
          </w:tcPr>
          <w:p>
            <w:pPr>
              <w:pStyle w:val="TableParagraph"/>
              <w:spacing w:before="249"/>
              <w:ind w:right="51"/>
              <w:jc w:val="right"/>
              <w:rPr>
                <w:rFonts w:ascii="Calibri"/>
                <w:sz w:val="22"/>
              </w:rPr>
            </w:pPr>
            <w:r>
              <w:rPr>
                <w:rFonts w:ascii="Calibri"/>
                <w:spacing w:val="-2"/>
                <w:sz w:val="22"/>
              </w:rPr>
              <w:t>8.932793</w:t>
            </w:r>
          </w:p>
        </w:tc>
      </w:tr>
      <w:tr>
        <w:trPr>
          <w:trHeight w:val="538" w:hRule="atLeast"/>
        </w:trPr>
        <w:tc>
          <w:tcPr>
            <w:tcW w:w="903" w:type="dxa"/>
          </w:tcPr>
          <w:p>
            <w:pPr>
              <w:pStyle w:val="TableParagraph"/>
              <w:spacing w:before="249"/>
              <w:ind w:right="105"/>
              <w:jc w:val="right"/>
              <w:rPr>
                <w:rFonts w:ascii="Calibri"/>
                <w:sz w:val="22"/>
              </w:rPr>
            </w:pPr>
            <w:r>
              <w:rPr>
                <w:rFonts w:ascii="Calibri"/>
                <w:spacing w:val="-4"/>
                <w:sz w:val="22"/>
              </w:rPr>
              <w:t>1986</w:t>
            </w:r>
          </w:p>
        </w:tc>
        <w:tc>
          <w:tcPr>
            <w:tcW w:w="1054" w:type="dxa"/>
          </w:tcPr>
          <w:p>
            <w:pPr>
              <w:pStyle w:val="TableParagraph"/>
              <w:spacing w:before="249"/>
              <w:ind w:left="109"/>
              <w:rPr>
                <w:rFonts w:ascii="Calibri"/>
                <w:sz w:val="22"/>
              </w:rPr>
            </w:pPr>
            <w:r>
              <w:rPr>
                <w:rFonts w:ascii="Calibri"/>
                <w:spacing w:val="-2"/>
                <w:sz w:val="22"/>
              </w:rPr>
              <w:t>9.269355</w:t>
            </w:r>
          </w:p>
        </w:tc>
        <w:tc>
          <w:tcPr>
            <w:tcW w:w="1111" w:type="dxa"/>
          </w:tcPr>
          <w:p>
            <w:pPr>
              <w:pStyle w:val="TableParagraph"/>
              <w:spacing w:before="249"/>
              <w:ind w:right="107"/>
              <w:jc w:val="right"/>
              <w:rPr>
                <w:rFonts w:ascii="Calibri"/>
                <w:sz w:val="22"/>
              </w:rPr>
            </w:pPr>
            <w:r>
              <w:rPr>
                <w:rFonts w:ascii="Calibri"/>
                <w:spacing w:val="-2"/>
                <w:sz w:val="22"/>
              </w:rPr>
              <w:t>5.486911</w:t>
            </w:r>
          </w:p>
        </w:tc>
        <w:tc>
          <w:tcPr>
            <w:tcW w:w="962" w:type="dxa"/>
          </w:tcPr>
          <w:p>
            <w:pPr>
              <w:pStyle w:val="TableParagraph"/>
              <w:spacing w:line="249" w:lineRule="exact"/>
              <w:ind w:right="107"/>
              <w:jc w:val="right"/>
              <w:rPr>
                <w:rFonts w:ascii="Calibri"/>
                <w:sz w:val="22"/>
              </w:rPr>
            </w:pPr>
            <w:r>
              <w:rPr>
                <w:rFonts w:ascii="Calibri"/>
                <w:spacing w:val="-10"/>
                <w:sz w:val="22"/>
              </w:rPr>
              <w:t>-</w:t>
            </w:r>
          </w:p>
          <w:p>
            <w:pPr>
              <w:pStyle w:val="TableParagraph"/>
              <w:spacing w:before="1"/>
              <w:ind w:right="106"/>
              <w:jc w:val="right"/>
              <w:rPr>
                <w:rFonts w:ascii="Calibri"/>
                <w:sz w:val="22"/>
              </w:rPr>
            </w:pPr>
            <w:r>
              <w:rPr>
                <w:rFonts w:ascii="Calibri"/>
                <w:spacing w:val="-2"/>
                <w:sz w:val="22"/>
              </w:rPr>
              <w:t>1.53479</w:t>
            </w:r>
          </w:p>
        </w:tc>
        <w:tc>
          <w:tcPr>
            <w:tcW w:w="1053" w:type="dxa"/>
          </w:tcPr>
          <w:p>
            <w:pPr>
              <w:pStyle w:val="TableParagraph"/>
              <w:spacing w:before="249"/>
              <w:ind w:left="108"/>
              <w:rPr>
                <w:rFonts w:ascii="Calibri"/>
                <w:sz w:val="22"/>
              </w:rPr>
            </w:pPr>
            <w:r>
              <w:rPr>
                <w:rFonts w:ascii="Calibri"/>
                <w:spacing w:val="-2"/>
                <w:sz w:val="22"/>
              </w:rPr>
              <w:t>1.686399</w:t>
            </w:r>
          </w:p>
        </w:tc>
        <w:tc>
          <w:tcPr>
            <w:tcW w:w="1053" w:type="dxa"/>
          </w:tcPr>
          <w:p>
            <w:pPr>
              <w:pStyle w:val="TableParagraph"/>
              <w:spacing w:before="249"/>
              <w:ind w:left="106"/>
              <w:rPr>
                <w:rFonts w:ascii="Calibri"/>
                <w:sz w:val="22"/>
              </w:rPr>
            </w:pPr>
            <w:r>
              <w:rPr>
                <w:rFonts w:ascii="Calibri"/>
                <w:spacing w:val="-2"/>
                <w:sz w:val="22"/>
              </w:rPr>
              <w:t>7.993958</w:t>
            </w:r>
          </w:p>
        </w:tc>
        <w:tc>
          <w:tcPr>
            <w:tcW w:w="1054" w:type="dxa"/>
          </w:tcPr>
          <w:p>
            <w:pPr>
              <w:pStyle w:val="TableParagraph"/>
              <w:spacing w:before="249"/>
              <w:ind w:left="107"/>
              <w:rPr>
                <w:rFonts w:ascii="Calibri"/>
                <w:sz w:val="22"/>
              </w:rPr>
            </w:pPr>
            <w:r>
              <w:rPr>
                <w:rFonts w:ascii="Calibri"/>
                <w:spacing w:val="-2"/>
                <w:sz w:val="22"/>
              </w:rPr>
              <w:t>2.251292</w:t>
            </w:r>
          </w:p>
        </w:tc>
        <w:tc>
          <w:tcPr>
            <w:tcW w:w="1069" w:type="dxa"/>
          </w:tcPr>
          <w:p>
            <w:pPr>
              <w:pStyle w:val="TableParagraph"/>
              <w:spacing w:before="249"/>
              <w:ind w:left="13" w:right="3"/>
              <w:jc w:val="center"/>
              <w:rPr>
                <w:rFonts w:ascii="Calibri"/>
                <w:sz w:val="22"/>
              </w:rPr>
            </w:pPr>
            <w:r>
              <w:rPr>
                <w:rFonts w:ascii="Calibri"/>
                <w:spacing w:val="-2"/>
                <w:sz w:val="22"/>
              </w:rPr>
              <w:t>9.632168</w:t>
            </w:r>
          </w:p>
        </w:tc>
        <w:tc>
          <w:tcPr>
            <w:tcW w:w="1054" w:type="dxa"/>
          </w:tcPr>
          <w:p>
            <w:pPr>
              <w:pStyle w:val="TableParagraph"/>
              <w:spacing w:before="249"/>
              <w:ind w:right="108"/>
              <w:jc w:val="right"/>
              <w:rPr>
                <w:rFonts w:ascii="Calibri"/>
                <w:sz w:val="22"/>
              </w:rPr>
            </w:pPr>
            <w:r>
              <w:rPr>
                <w:rFonts w:ascii="Calibri"/>
                <w:spacing w:val="-2"/>
                <w:sz w:val="22"/>
              </w:rPr>
              <w:t>1.321756</w:t>
            </w:r>
          </w:p>
        </w:tc>
        <w:tc>
          <w:tcPr>
            <w:tcW w:w="1198" w:type="dxa"/>
          </w:tcPr>
          <w:p>
            <w:pPr>
              <w:pStyle w:val="TableParagraph"/>
              <w:spacing w:before="249"/>
              <w:ind w:right="51"/>
              <w:jc w:val="right"/>
              <w:rPr>
                <w:rFonts w:ascii="Calibri"/>
                <w:sz w:val="22"/>
              </w:rPr>
            </w:pPr>
            <w:r>
              <w:rPr>
                <w:rFonts w:ascii="Calibri"/>
                <w:spacing w:val="-2"/>
                <w:sz w:val="22"/>
              </w:rPr>
              <w:t>8.948573</w:t>
            </w:r>
          </w:p>
        </w:tc>
      </w:tr>
      <w:tr>
        <w:trPr>
          <w:trHeight w:val="535" w:hRule="atLeast"/>
        </w:trPr>
        <w:tc>
          <w:tcPr>
            <w:tcW w:w="903" w:type="dxa"/>
          </w:tcPr>
          <w:p>
            <w:pPr>
              <w:pStyle w:val="TableParagraph"/>
              <w:spacing w:before="246"/>
              <w:ind w:right="105"/>
              <w:jc w:val="right"/>
              <w:rPr>
                <w:rFonts w:ascii="Calibri"/>
                <w:sz w:val="22"/>
              </w:rPr>
            </w:pPr>
            <w:r>
              <w:rPr>
                <w:rFonts w:ascii="Calibri"/>
                <w:spacing w:val="-4"/>
                <w:sz w:val="22"/>
              </w:rPr>
              <w:t>1987</w:t>
            </w:r>
          </w:p>
        </w:tc>
        <w:tc>
          <w:tcPr>
            <w:tcW w:w="1054" w:type="dxa"/>
          </w:tcPr>
          <w:p>
            <w:pPr>
              <w:pStyle w:val="TableParagraph"/>
              <w:spacing w:before="246"/>
              <w:ind w:left="109"/>
              <w:rPr>
                <w:rFonts w:ascii="Calibri"/>
                <w:sz w:val="22"/>
              </w:rPr>
            </w:pPr>
            <w:r>
              <w:rPr>
                <w:rFonts w:ascii="Calibri"/>
                <w:spacing w:val="-2"/>
                <w:sz w:val="22"/>
              </w:rPr>
              <w:t>11.13561</w:t>
            </w:r>
          </w:p>
        </w:tc>
        <w:tc>
          <w:tcPr>
            <w:tcW w:w="1111" w:type="dxa"/>
          </w:tcPr>
          <w:p>
            <w:pPr>
              <w:pStyle w:val="TableParagraph"/>
              <w:spacing w:before="246"/>
              <w:ind w:right="108"/>
              <w:jc w:val="right"/>
              <w:rPr>
                <w:rFonts w:ascii="Calibri"/>
                <w:sz w:val="22"/>
              </w:rPr>
            </w:pPr>
            <w:r>
              <w:rPr>
                <w:rFonts w:ascii="Calibri"/>
                <w:spacing w:val="-2"/>
                <w:sz w:val="22"/>
              </w:rPr>
              <w:t>10.99098</w:t>
            </w:r>
          </w:p>
        </w:tc>
        <w:tc>
          <w:tcPr>
            <w:tcW w:w="962" w:type="dxa"/>
          </w:tcPr>
          <w:p>
            <w:pPr>
              <w:pStyle w:val="TableParagraph"/>
              <w:spacing w:line="248" w:lineRule="exact"/>
              <w:ind w:right="107"/>
              <w:jc w:val="right"/>
              <w:rPr>
                <w:rFonts w:ascii="Calibri"/>
                <w:sz w:val="22"/>
              </w:rPr>
            </w:pPr>
            <w:r>
              <w:rPr>
                <w:rFonts w:ascii="Calibri"/>
                <w:spacing w:val="-10"/>
                <w:sz w:val="22"/>
              </w:rPr>
              <w:t>-</w:t>
            </w:r>
          </w:p>
          <w:p>
            <w:pPr>
              <w:pStyle w:val="TableParagraph"/>
              <w:spacing w:line="267" w:lineRule="exact"/>
              <w:ind w:right="106"/>
              <w:jc w:val="right"/>
              <w:rPr>
                <w:rFonts w:ascii="Calibri"/>
                <w:sz w:val="22"/>
              </w:rPr>
            </w:pPr>
            <w:r>
              <w:rPr>
                <w:rFonts w:ascii="Calibri"/>
                <w:spacing w:val="-2"/>
                <w:sz w:val="22"/>
              </w:rPr>
              <w:t>0.78023</w:t>
            </w:r>
          </w:p>
        </w:tc>
        <w:tc>
          <w:tcPr>
            <w:tcW w:w="1053" w:type="dxa"/>
          </w:tcPr>
          <w:p>
            <w:pPr>
              <w:pStyle w:val="TableParagraph"/>
              <w:spacing w:before="246"/>
              <w:ind w:left="108"/>
              <w:rPr>
                <w:rFonts w:ascii="Calibri"/>
                <w:sz w:val="22"/>
              </w:rPr>
            </w:pPr>
            <w:r>
              <w:rPr>
                <w:rFonts w:ascii="Calibri"/>
                <w:spacing w:val="-2"/>
                <w:sz w:val="22"/>
              </w:rPr>
              <w:t>2.322388</w:t>
            </w:r>
          </w:p>
        </w:tc>
        <w:tc>
          <w:tcPr>
            <w:tcW w:w="1053" w:type="dxa"/>
          </w:tcPr>
          <w:p>
            <w:pPr>
              <w:pStyle w:val="TableParagraph"/>
              <w:spacing w:before="246"/>
              <w:ind w:left="106"/>
              <w:rPr>
                <w:rFonts w:ascii="Calibri"/>
                <w:sz w:val="22"/>
              </w:rPr>
            </w:pPr>
            <w:r>
              <w:rPr>
                <w:rFonts w:ascii="Calibri"/>
                <w:spacing w:val="-2"/>
                <w:sz w:val="22"/>
              </w:rPr>
              <w:t>7.944882</w:t>
            </w:r>
          </w:p>
        </w:tc>
        <w:tc>
          <w:tcPr>
            <w:tcW w:w="1054" w:type="dxa"/>
          </w:tcPr>
          <w:p>
            <w:pPr>
              <w:pStyle w:val="TableParagraph"/>
              <w:spacing w:before="246"/>
              <w:ind w:left="107"/>
              <w:rPr>
                <w:rFonts w:ascii="Calibri"/>
                <w:sz w:val="22"/>
              </w:rPr>
            </w:pPr>
            <w:r>
              <w:rPr>
                <w:rFonts w:ascii="Calibri"/>
                <w:spacing w:val="-2"/>
                <w:sz w:val="22"/>
              </w:rPr>
              <w:t>2.639057</w:t>
            </w:r>
          </w:p>
        </w:tc>
        <w:tc>
          <w:tcPr>
            <w:tcW w:w="1069" w:type="dxa"/>
          </w:tcPr>
          <w:p>
            <w:pPr>
              <w:pStyle w:val="TableParagraph"/>
              <w:spacing w:before="246"/>
              <w:ind w:left="13" w:right="3"/>
              <w:jc w:val="center"/>
              <w:rPr>
                <w:rFonts w:ascii="Calibri"/>
                <w:sz w:val="22"/>
              </w:rPr>
            </w:pPr>
            <w:r>
              <w:rPr>
                <w:rFonts w:ascii="Calibri"/>
                <w:spacing w:val="-2"/>
                <w:sz w:val="22"/>
              </w:rPr>
              <w:t>9.956222</w:t>
            </w:r>
          </w:p>
        </w:tc>
        <w:tc>
          <w:tcPr>
            <w:tcW w:w="1054" w:type="dxa"/>
          </w:tcPr>
          <w:p>
            <w:pPr>
              <w:pStyle w:val="TableParagraph"/>
              <w:spacing w:before="246"/>
              <w:ind w:right="108"/>
              <w:jc w:val="right"/>
              <w:rPr>
                <w:rFonts w:ascii="Calibri"/>
                <w:sz w:val="22"/>
              </w:rPr>
            </w:pPr>
            <w:r>
              <w:rPr>
                <w:rFonts w:ascii="Calibri"/>
                <w:spacing w:val="-2"/>
                <w:sz w:val="22"/>
              </w:rPr>
              <w:t>2.366498</w:t>
            </w:r>
          </w:p>
        </w:tc>
        <w:tc>
          <w:tcPr>
            <w:tcW w:w="1198" w:type="dxa"/>
          </w:tcPr>
          <w:p>
            <w:pPr>
              <w:pStyle w:val="TableParagraph"/>
              <w:spacing w:before="246"/>
              <w:ind w:right="51"/>
              <w:jc w:val="right"/>
              <w:rPr>
                <w:rFonts w:ascii="Calibri"/>
                <w:sz w:val="22"/>
              </w:rPr>
            </w:pPr>
            <w:r>
              <w:rPr>
                <w:rFonts w:ascii="Calibri"/>
                <w:spacing w:val="-2"/>
                <w:sz w:val="22"/>
              </w:rPr>
              <w:t>9.657983</w:t>
            </w:r>
          </w:p>
        </w:tc>
      </w:tr>
      <w:tr>
        <w:trPr>
          <w:trHeight w:val="537" w:hRule="atLeast"/>
        </w:trPr>
        <w:tc>
          <w:tcPr>
            <w:tcW w:w="903" w:type="dxa"/>
          </w:tcPr>
          <w:p>
            <w:pPr>
              <w:pStyle w:val="TableParagraph"/>
              <w:spacing w:before="249"/>
              <w:ind w:right="105"/>
              <w:jc w:val="right"/>
              <w:rPr>
                <w:rFonts w:ascii="Calibri"/>
                <w:sz w:val="22"/>
              </w:rPr>
            </w:pPr>
            <w:r>
              <w:rPr>
                <w:rFonts w:ascii="Calibri"/>
                <w:spacing w:val="-4"/>
                <w:sz w:val="22"/>
              </w:rPr>
              <w:t>1988</w:t>
            </w:r>
          </w:p>
        </w:tc>
        <w:tc>
          <w:tcPr>
            <w:tcW w:w="1054" w:type="dxa"/>
          </w:tcPr>
          <w:p>
            <w:pPr>
              <w:pStyle w:val="TableParagraph"/>
              <w:spacing w:before="249"/>
              <w:ind w:left="109"/>
              <w:rPr>
                <w:rFonts w:ascii="Calibri"/>
                <w:sz w:val="22"/>
              </w:rPr>
            </w:pPr>
            <w:r>
              <w:rPr>
                <w:rFonts w:ascii="Calibri"/>
                <w:spacing w:val="-2"/>
                <w:sz w:val="22"/>
              </w:rPr>
              <w:t>10.69425</w:t>
            </w:r>
          </w:p>
        </w:tc>
        <w:tc>
          <w:tcPr>
            <w:tcW w:w="1111" w:type="dxa"/>
          </w:tcPr>
          <w:p>
            <w:pPr>
              <w:pStyle w:val="TableParagraph"/>
              <w:spacing w:before="249"/>
              <w:ind w:right="108"/>
              <w:jc w:val="right"/>
              <w:rPr>
                <w:rFonts w:ascii="Calibri"/>
                <w:sz w:val="22"/>
              </w:rPr>
            </w:pPr>
            <w:r>
              <w:rPr>
                <w:rFonts w:ascii="Calibri"/>
                <w:spacing w:val="-2"/>
                <w:sz w:val="22"/>
              </w:rPr>
              <w:t>10.40932</w:t>
            </w:r>
          </w:p>
        </w:tc>
        <w:tc>
          <w:tcPr>
            <w:tcW w:w="962" w:type="dxa"/>
          </w:tcPr>
          <w:p>
            <w:pPr>
              <w:pStyle w:val="TableParagraph"/>
              <w:spacing w:line="249" w:lineRule="exact"/>
              <w:ind w:right="107"/>
              <w:jc w:val="right"/>
              <w:rPr>
                <w:rFonts w:ascii="Calibri"/>
                <w:sz w:val="22"/>
              </w:rPr>
            </w:pPr>
            <w:r>
              <w:rPr>
                <w:rFonts w:ascii="Calibri"/>
                <w:spacing w:val="-10"/>
                <w:sz w:val="22"/>
              </w:rPr>
              <w:t>-</w:t>
            </w:r>
          </w:p>
          <w:p>
            <w:pPr>
              <w:pStyle w:val="TableParagraph"/>
              <w:ind w:right="106"/>
              <w:jc w:val="right"/>
              <w:rPr>
                <w:rFonts w:ascii="Calibri"/>
                <w:sz w:val="22"/>
              </w:rPr>
            </w:pPr>
            <w:r>
              <w:rPr>
                <w:rFonts w:ascii="Calibri"/>
                <w:spacing w:val="-2"/>
                <w:sz w:val="22"/>
              </w:rPr>
              <w:t>0.97154</w:t>
            </w:r>
          </w:p>
        </w:tc>
        <w:tc>
          <w:tcPr>
            <w:tcW w:w="1053" w:type="dxa"/>
          </w:tcPr>
          <w:p>
            <w:pPr>
              <w:pStyle w:val="TableParagraph"/>
              <w:spacing w:before="249"/>
              <w:ind w:right="106"/>
              <w:jc w:val="right"/>
              <w:rPr>
                <w:rFonts w:ascii="Calibri"/>
                <w:sz w:val="22"/>
              </w:rPr>
            </w:pPr>
            <w:r>
              <w:rPr>
                <w:rFonts w:ascii="Calibri"/>
                <w:spacing w:val="-2"/>
                <w:sz w:val="22"/>
              </w:rPr>
              <w:t>3.64545</w:t>
            </w:r>
          </w:p>
        </w:tc>
        <w:tc>
          <w:tcPr>
            <w:tcW w:w="1053" w:type="dxa"/>
          </w:tcPr>
          <w:p>
            <w:pPr>
              <w:pStyle w:val="TableParagraph"/>
              <w:spacing w:before="249"/>
              <w:ind w:left="106"/>
              <w:rPr>
                <w:rFonts w:ascii="Calibri"/>
                <w:sz w:val="22"/>
              </w:rPr>
            </w:pPr>
            <w:r>
              <w:rPr>
                <w:rFonts w:ascii="Calibri"/>
                <w:spacing w:val="-2"/>
                <w:sz w:val="22"/>
              </w:rPr>
              <w:t>6.490572</w:t>
            </w:r>
          </w:p>
        </w:tc>
        <w:tc>
          <w:tcPr>
            <w:tcW w:w="1054" w:type="dxa"/>
          </w:tcPr>
          <w:p>
            <w:pPr>
              <w:pStyle w:val="TableParagraph"/>
              <w:spacing w:before="249"/>
              <w:ind w:left="107"/>
              <w:rPr>
                <w:rFonts w:ascii="Calibri"/>
                <w:sz w:val="22"/>
              </w:rPr>
            </w:pPr>
            <w:r>
              <w:rPr>
                <w:rFonts w:ascii="Calibri"/>
                <w:spacing w:val="-2"/>
                <w:sz w:val="22"/>
              </w:rPr>
              <w:t>2.674149</w:t>
            </w:r>
          </w:p>
        </w:tc>
        <w:tc>
          <w:tcPr>
            <w:tcW w:w="1069" w:type="dxa"/>
          </w:tcPr>
          <w:p>
            <w:pPr>
              <w:pStyle w:val="TableParagraph"/>
              <w:spacing w:before="249"/>
              <w:ind w:left="13" w:right="3"/>
              <w:jc w:val="center"/>
              <w:rPr>
                <w:rFonts w:ascii="Calibri"/>
                <w:sz w:val="22"/>
              </w:rPr>
            </w:pPr>
            <w:r>
              <w:rPr>
                <w:rFonts w:ascii="Calibri"/>
                <w:spacing w:val="-2"/>
                <w:sz w:val="22"/>
              </w:rPr>
              <w:t>10.21561</w:t>
            </w:r>
          </w:p>
        </w:tc>
        <w:tc>
          <w:tcPr>
            <w:tcW w:w="1054" w:type="dxa"/>
          </w:tcPr>
          <w:p>
            <w:pPr>
              <w:pStyle w:val="TableParagraph"/>
              <w:spacing w:before="249"/>
              <w:ind w:right="108"/>
              <w:jc w:val="right"/>
              <w:rPr>
                <w:rFonts w:ascii="Calibri"/>
                <w:sz w:val="22"/>
              </w:rPr>
            </w:pPr>
            <w:r>
              <w:rPr>
                <w:rFonts w:ascii="Calibri"/>
                <w:spacing w:val="-2"/>
                <w:sz w:val="22"/>
              </w:rPr>
              <w:t>2.091864</w:t>
            </w:r>
          </w:p>
        </w:tc>
        <w:tc>
          <w:tcPr>
            <w:tcW w:w="1198" w:type="dxa"/>
          </w:tcPr>
          <w:p>
            <w:pPr>
              <w:pStyle w:val="TableParagraph"/>
              <w:spacing w:before="249"/>
              <w:ind w:right="51"/>
              <w:jc w:val="right"/>
              <w:rPr>
                <w:rFonts w:ascii="Calibri"/>
                <w:sz w:val="22"/>
              </w:rPr>
            </w:pPr>
            <w:r>
              <w:rPr>
                <w:rFonts w:ascii="Calibri"/>
                <w:spacing w:val="-2"/>
                <w:sz w:val="22"/>
              </w:rPr>
              <w:t>9.873513</w:t>
            </w:r>
          </w:p>
        </w:tc>
      </w:tr>
      <w:tr>
        <w:trPr>
          <w:trHeight w:val="537" w:hRule="atLeast"/>
        </w:trPr>
        <w:tc>
          <w:tcPr>
            <w:tcW w:w="903" w:type="dxa"/>
          </w:tcPr>
          <w:p>
            <w:pPr>
              <w:pStyle w:val="TableParagraph"/>
              <w:spacing w:before="249"/>
              <w:ind w:right="105"/>
              <w:jc w:val="right"/>
              <w:rPr>
                <w:rFonts w:ascii="Calibri"/>
                <w:sz w:val="22"/>
              </w:rPr>
            </w:pPr>
            <w:r>
              <w:rPr>
                <w:rFonts w:ascii="Calibri"/>
                <w:spacing w:val="-4"/>
                <w:sz w:val="22"/>
              </w:rPr>
              <w:t>1989</w:t>
            </w:r>
          </w:p>
        </w:tc>
        <w:tc>
          <w:tcPr>
            <w:tcW w:w="1054" w:type="dxa"/>
          </w:tcPr>
          <w:p>
            <w:pPr>
              <w:pStyle w:val="TableParagraph"/>
              <w:spacing w:before="249"/>
              <w:ind w:left="109"/>
              <w:rPr>
                <w:rFonts w:ascii="Calibri"/>
                <w:sz w:val="22"/>
              </w:rPr>
            </w:pPr>
            <w:r>
              <w:rPr>
                <w:rFonts w:ascii="Calibri"/>
                <w:spacing w:val="-2"/>
                <w:sz w:val="22"/>
              </w:rPr>
              <w:t>11.67706</w:t>
            </w:r>
          </w:p>
        </w:tc>
        <w:tc>
          <w:tcPr>
            <w:tcW w:w="1111" w:type="dxa"/>
          </w:tcPr>
          <w:p>
            <w:pPr>
              <w:pStyle w:val="TableParagraph"/>
              <w:spacing w:before="249"/>
              <w:ind w:right="108"/>
              <w:jc w:val="right"/>
              <w:rPr>
                <w:rFonts w:ascii="Calibri"/>
                <w:sz w:val="22"/>
              </w:rPr>
            </w:pPr>
            <w:r>
              <w:rPr>
                <w:rFonts w:ascii="Calibri"/>
                <w:spacing w:val="-2"/>
                <w:sz w:val="22"/>
              </w:rPr>
              <w:t>11.57531</w:t>
            </w:r>
          </w:p>
        </w:tc>
        <w:tc>
          <w:tcPr>
            <w:tcW w:w="962" w:type="dxa"/>
          </w:tcPr>
          <w:p>
            <w:pPr>
              <w:pStyle w:val="TableParagraph"/>
              <w:spacing w:line="249" w:lineRule="exact"/>
              <w:ind w:right="107"/>
              <w:jc w:val="right"/>
              <w:rPr>
                <w:rFonts w:ascii="Calibri"/>
                <w:sz w:val="22"/>
              </w:rPr>
            </w:pPr>
            <w:r>
              <w:rPr>
                <w:rFonts w:ascii="Calibri"/>
                <w:spacing w:val="-10"/>
                <w:sz w:val="22"/>
              </w:rPr>
              <w:t>-</w:t>
            </w:r>
          </w:p>
          <w:p>
            <w:pPr>
              <w:pStyle w:val="TableParagraph"/>
              <w:ind w:right="106"/>
              <w:jc w:val="right"/>
              <w:rPr>
                <w:rFonts w:ascii="Calibri"/>
                <w:sz w:val="22"/>
              </w:rPr>
            </w:pPr>
            <w:r>
              <w:rPr>
                <w:rFonts w:ascii="Calibri"/>
                <w:spacing w:val="-2"/>
                <w:sz w:val="22"/>
              </w:rPr>
              <w:t>0.89233</w:t>
            </w:r>
          </w:p>
        </w:tc>
        <w:tc>
          <w:tcPr>
            <w:tcW w:w="1053" w:type="dxa"/>
          </w:tcPr>
          <w:p>
            <w:pPr>
              <w:pStyle w:val="TableParagraph"/>
              <w:spacing w:before="249"/>
              <w:ind w:right="106"/>
              <w:jc w:val="right"/>
              <w:rPr>
                <w:rFonts w:ascii="Calibri"/>
                <w:sz w:val="22"/>
              </w:rPr>
            </w:pPr>
            <w:r>
              <w:rPr>
                <w:rFonts w:ascii="Calibri"/>
                <w:spacing w:val="-2"/>
                <w:sz w:val="22"/>
              </w:rPr>
              <w:t>3.71113</w:t>
            </w:r>
          </w:p>
        </w:tc>
        <w:tc>
          <w:tcPr>
            <w:tcW w:w="1053" w:type="dxa"/>
          </w:tcPr>
          <w:p>
            <w:pPr>
              <w:pStyle w:val="TableParagraph"/>
              <w:spacing w:before="249"/>
              <w:ind w:left="106"/>
              <w:rPr>
                <w:rFonts w:ascii="Calibri"/>
                <w:sz w:val="22"/>
              </w:rPr>
            </w:pPr>
            <w:r>
              <w:rPr>
                <w:rFonts w:ascii="Calibri"/>
                <w:spacing w:val="-2"/>
                <w:sz w:val="22"/>
              </w:rPr>
              <w:t>9.134895</w:t>
            </w:r>
          </w:p>
        </w:tc>
        <w:tc>
          <w:tcPr>
            <w:tcW w:w="1054" w:type="dxa"/>
          </w:tcPr>
          <w:p>
            <w:pPr>
              <w:pStyle w:val="TableParagraph"/>
              <w:spacing w:before="249"/>
              <w:ind w:left="107"/>
              <w:rPr>
                <w:rFonts w:ascii="Calibri"/>
                <w:sz w:val="22"/>
              </w:rPr>
            </w:pPr>
            <w:r>
              <w:rPr>
                <w:rFonts w:ascii="Calibri"/>
                <w:spacing w:val="-2"/>
                <w:sz w:val="22"/>
              </w:rPr>
              <w:t>2.797281</w:t>
            </w:r>
          </w:p>
        </w:tc>
        <w:tc>
          <w:tcPr>
            <w:tcW w:w="1069" w:type="dxa"/>
          </w:tcPr>
          <w:p>
            <w:pPr>
              <w:pStyle w:val="TableParagraph"/>
              <w:spacing w:before="249"/>
              <w:ind w:left="123" w:right="3"/>
              <w:jc w:val="center"/>
              <w:rPr>
                <w:rFonts w:ascii="Calibri"/>
                <w:sz w:val="22"/>
              </w:rPr>
            </w:pPr>
            <w:r>
              <w:rPr>
                <w:rFonts w:ascii="Calibri"/>
                <w:spacing w:val="-2"/>
                <w:sz w:val="22"/>
              </w:rPr>
              <w:t>10.3223</w:t>
            </w:r>
          </w:p>
        </w:tc>
        <w:tc>
          <w:tcPr>
            <w:tcW w:w="1054" w:type="dxa"/>
          </w:tcPr>
          <w:p>
            <w:pPr>
              <w:pStyle w:val="TableParagraph"/>
              <w:spacing w:before="249"/>
              <w:ind w:right="108"/>
              <w:jc w:val="right"/>
              <w:rPr>
                <w:rFonts w:ascii="Calibri"/>
                <w:sz w:val="22"/>
              </w:rPr>
            </w:pPr>
            <w:r>
              <w:rPr>
                <w:rFonts w:ascii="Calibri"/>
                <w:spacing w:val="-2"/>
                <w:sz w:val="22"/>
              </w:rPr>
              <w:t>2.61007</w:t>
            </w:r>
          </w:p>
        </w:tc>
        <w:tc>
          <w:tcPr>
            <w:tcW w:w="1198" w:type="dxa"/>
          </w:tcPr>
          <w:p>
            <w:pPr>
              <w:pStyle w:val="TableParagraph"/>
              <w:spacing w:before="249"/>
              <w:ind w:right="51"/>
              <w:jc w:val="right"/>
              <w:rPr>
                <w:rFonts w:ascii="Calibri"/>
                <w:sz w:val="22"/>
              </w:rPr>
            </w:pPr>
            <w:r>
              <w:rPr>
                <w:rFonts w:ascii="Calibri"/>
                <w:spacing w:val="-2"/>
                <w:sz w:val="22"/>
              </w:rPr>
              <w:t>10.16563</w:t>
            </w:r>
          </w:p>
        </w:tc>
      </w:tr>
      <w:tr>
        <w:trPr>
          <w:trHeight w:val="537" w:hRule="atLeast"/>
        </w:trPr>
        <w:tc>
          <w:tcPr>
            <w:tcW w:w="903" w:type="dxa"/>
          </w:tcPr>
          <w:p>
            <w:pPr>
              <w:pStyle w:val="TableParagraph"/>
              <w:spacing w:before="249"/>
              <w:ind w:right="105"/>
              <w:jc w:val="right"/>
              <w:rPr>
                <w:rFonts w:ascii="Calibri"/>
                <w:sz w:val="22"/>
              </w:rPr>
            </w:pPr>
            <w:r>
              <w:rPr>
                <w:rFonts w:ascii="Calibri"/>
                <w:spacing w:val="-4"/>
                <w:sz w:val="22"/>
              </w:rPr>
              <w:t>1990</w:t>
            </w:r>
          </w:p>
        </w:tc>
        <w:tc>
          <w:tcPr>
            <w:tcW w:w="1054" w:type="dxa"/>
          </w:tcPr>
          <w:p>
            <w:pPr>
              <w:pStyle w:val="TableParagraph"/>
              <w:spacing w:before="249"/>
              <w:ind w:left="109"/>
              <w:rPr>
                <w:rFonts w:ascii="Calibri"/>
                <w:sz w:val="22"/>
              </w:rPr>
            </w:pPr>
            <w:r>
              <w:rPr>
                <w:rFonts w:ascii="Calibri"/>
                <w:spacing w:val="-2"/>
                <w:sz w:val="22"/>
              </w:rPr>
              <w:t>11.42837</w:t>
            </w:r>
          </w:p>
        </w:tc>
        <w:tc>
          <w:tcPr>
            <w:tcW w:w="1111" w:type="dxa"/>
          </w:tcPr>
          <w:p>
            <w:pPr>
              <w:pStyle w:val="TableParagraph"/>
              <w:spacing w:before="249"/>
              <w:ind w:right="107"/>
              <w:jc w:val="right"/>
              <w:rPr>
                <w:rFonts w:ascii="Calibri"/>
                <w:sz w:val="22"/>
              </w:rPr>
            </w:pPr>
            <w:r>
              <w:rPr>
                <w:rFonts w:ascii="Calibri"/>
                <w:spacing w:val="-2"/>
                <w:sz w:val="22"/>
              </w:rPr>
              <w:t>10.972</w:t>
            </w:r>
          </w:p>
        </w:tc>
        <w:tc>
          <w:tcPr>
            <w:tcW w:w="962" w:type="dxa"/>
          </w:tcPr>
          <w:p>
            <w:pPr>
              <w:pStyle w:val="TableParagraph"/>
              <w:spacing w:line="249" w:lineRule="exact"/>
              <w:ind w:right="107"/>
              <w:jc w:val="right"/>
              <w:rPr>
                <w:rFonts w:ascii="Calibri"/>
                <w:sz w:val="22"/>
              </w:rPr>
            </w:pPr>
            <w:r>
              <w:rPr>
                <w:rFonts w:ascii="Calibri"/>
                <w:spacing w:val="-10"/>
                <w:sz w:val="22"/>
              </w:rPr>
              <w:t>-</w:t>
            </w:r>
          </w:p>
          <w:p>
            <w:pPr>
              <w:pStyle w:val="TableParagraph"/>
              <w:ind w:right="106"/>
              <w:jc w:val="right"/>
              <w:rPr>
                <w:rFonts w:ascii="Calibri"/>
                <w:sz w:val="22"/>
              </w:rPr>
            </w:pPr>
            <w:r>
              <w:rPr>
                <w:rFonts w:ascii="Calibri"/>
                <w:spacing w:val="-2"/>
                <w:sz w:val="22"/>
              </w:rPr>
              <w:t>0.54197</w:t>
            </w:r>
          </w:p>
        </w:tc>
        <w:tc>
          <w:tcPr>
            <w:tcW w:w="1053" w:type="dxa"/>
          </w:tcPr>
          <w:p>
            <w:pPr>
              <w:pStyle w:val="TableParagraph"/>
              <w:spacing w:before="249"/>
              <w:ind w:left="108"/>
              <w:rPr>
                <w:rFonts w:ascii="Calibri"/>
                <w:sz w:val="22"/>
              </w:rPr>
            </w:pPr>
            <w:r>
              <w:rPr>
                <w:rFonts w:ascii="Calibri"/>
                <w:spacing w:val="-2"/>
                <w:sz w:val="22"/>
              </w:rPr>
              <w:t>2.014903</w:t>
            </w:r>
          </w:p>
        </w:tc>
        <w:tc>
          <w:tcPr>
            <w:tcW w:w="1053" w:type="dxa"/>
          </w:tcPr>
          <w:p>
            <w:pPr>
              <w:pStyle w:val="TableParagraph"/>
              <w:spacing w:before="249"/>
              <w:ind w:left="106"/>
              <w:rPr>
                <w:rFonts w:ascii="Calibri"/>
                <w:sz w:val="22"/>
              </w:rPr>
            </w:pPr>
            <w:r>
              <w:rPr>
                <w:rFonts w:ascii="Calibri"/>
                <w:spacing w:val="-2"/>
                <w:sz w:val="22"/>
              </w:rPr>
              <w:t>9.532119</w:t>
            </w:r>
          </w:p>
        </w:tc>
        <w:tc>
          <w:tcPr>
            <w:tcW w:w="1054" w:type="dxa"/>
          </w:tcPr>
          <w:p>
            <w:pPr>
              <w:pStyle w:val="TableParagraph"/>
              <w:spacing w:before="249"/>
              <w:ind w:left="107"/>
              <w:rPr>
                <w:rFonts w:ascii="Calibri"/>
                <w:sz w:val="22"/>
              </w:rPr>
            </w:pPr>
            <w:r>
              <w:rPr>
                <w:rFonts w:ascii="Calibri"/>
                <w:spacing w:val="-2"/>
                <w:sz w:val="22"/>
              </w:rPr>
              <w:t>2.933857</w:t>
            </w:r>
          </w:p>
        </w:tc>
        <w:tc>
          <w:tcPr>
            <w:tcW w:w="1069" w:type="dxa"/>
          </w:tcPr>
          <w:p>
            <w:pPr>
              <w:pStyle w:val="TableParagraph"/>
              <w:spacing w:before="249"/>
              <w:ind w:left="13" w:right="3"/>
              <w:jc w:val="center"/>
              <w:rPr>
                <w:rFonts w:ascii="Calibri"/>
                <w:sz w:val="22"/>
              </w:rPr>
            </w:pPr>
            <w:r>
              <w:rPr>
                <w:rFonts w:ascii="Calibri"/>
                <w:spacing w:val="-2"/>
                <w:sz w:val="22"/>
              </w:rPr>
              <w:t>10.42072</w:t>
            </w:r>
          </w:p>
        </w:tc>
        <w:tc>
          <w:tcPr>
            <w:tcW w:w="1054" w:type="dxa"/>
          </w:tcPr>
          <w:p>
            <w:pPr>
              <w:pStyle w:val="TableParagraph"/>
              <w:spacing w:before="249"/>
              <w:ind w:right="108"/>
              <w:jc w:val="right"/>
              <w:rPr>
                <w:rFonts w:ascii="Calibri"/>
                <w:sz w:val="22"/>
              </w:rPr>
            </w:pPr>
            <w:r>
              <w:rPr>
                <w:rFonts w:ascii="Calibri"/>
                <w:spacing w:val="-2"/>
                <w:sz w:val="22"/>
              </w:rPr>
              <w:t>2.873565</w:t>
            </w:r>
          </w:p>
        </w:tc>
        <w:tc>
          <w:tcPr>
            <w:tcW w:w="1198" w:type="dxa"/>
          </w:tcPr>
          <w:p>
            <w:pPr>
              <w:pStyle w:val="TableParagraph"/>
              <w:spacing w:before="249"/>
              <w:ind w:right="51"/>
              <w:jc w:val="right"/>
              <w:rPr>
                <w:rFonts w:ascii="Calibri"/>
                <w:sz w:val="22"/>
              </w:rPr>
            </w:pPr>
            <w:r>
              <w:rPr>
                <w:rFonts w:ascii="Calibri"/>
                <w:spacing w:val="-2"/>
                <w:sz w:val="22"/>
              </w:rPr>
              <w:t>10.49736</w:t>
            </w:r>
          </w:p>
        </w:tc>
      </w:tr>
      <w:tr>
        <w:trPr>
          <w:trHeight w:val="513" w:hRule="atLeast"/>
        </w:trPr>
        <w:tc>
          <w:tcPr>
            <w:tcW w:w="903" w:type="dxa"/>
          </w:tcPr>
          <w:p>
            <w:pPr>
              <w:pStyle w:val="TableParagraph"/>
              <w:spacing w:line="245" w:lineRule="exact" w:before="249"/>
              <w:ind w:right="105"/>
              <w:jc w:val="right"/>
              <w:rPr>
                <w:rFonts w:ascii="Calibri"/>
                <w:sz w:val="22"/>
              </w:rPr>
            </w:pPr>
            <w:r>
              <w:rPr>
                <w:rFonts w:ascii="Calibri"/>
                <w:spacing w:val="-4"/>
                <w:sz w:val="22"/>
              </w:rPr>
              <w:t>1991</w:t>
            </w:r>
          </w:p>
        </w:tc>
        <w:tc>
          <w:tcPr>
            <w:tcW w:w="1054" w:type="dxa"/>
          </w:tcPr>
          <w:p>
            <w:pPr>
              <w:pStyle w:val="TableParagraph"/>
              <w:spacing w:line="245" w:lineRule="exact" w:before="249"/>
              <w:ind w:left="109"/>
              <w:rPr>
                <w:rFonts w:ascii="Calibri"/>
                <w:sz w:val="22"/>
              </w:rPr>
            </w:pPr>
            <w:r>
              <w:rPr>
                <w:rFonts w:ascii="Calibri"/>
                <w:spacing w:val="-2"/>
                <w:sz w:val="22"/>
              </w:rPr>
              <w:t>10.72419</w:t>
            </w:r>
          </w:p>
        </w:tc>
        <w:tc>
          <w:tcPr>
            <w:tcW w:w="1111" w:type="dxa"/>
          </w:tcPr>
          <w:p>
            <w:pPr>
              <w:pStyle w:val="TableParagraph"/>
              <w:spacing w:line="245" w:lineRule="exact" w:before="249"/>
              <w:ind w:right="108"/>
              <w:jc w:val="right"/>
              <w:rPr>
                <w:rFonts w:ascii="Calibri"/>
                <w:sz w:val="22"/>
              </w:rPr>
            </w:pPr>
            <w:r>
              <w:rPr>
                <w:rFonts w:ascii="Calibri"/>
                <w:spacing w:val="-2"/>
                <w:sz w:val="22"/>
              </w:rPr>
              <w:t>10.30358</w:t>
            </w:r>
          </w:p>
        </w:tc>
        <w:tc>
          <w:tcPr>
            <w:tcW w:w="962" w:type="dxa"/>
          </w:tcPr>
          <w:p>
            <w:pPr>
              <w:pStyle w:val="TableParagraph"/>
              <w:spacing w:line="249" w:lineRule="exact"/>
              <w:ind w:right="107"/>
              <w:jc w:val="right"/>
              <w:rPr>
                <w:rFonts w:ascii="Calibri"/>
                <w:sz w:val="22"/>
              </w:rPr>
            </w:pPr>
            <w:r>
              <w:rPr>
                <w:rFonts w:ascii="Calibri"/>
                <w:spacing w:val="-10"/>
                <w:sz w:val="22"/>
              </w:rPr>
              <w:t>-</w:t>
            </w:r>
          </w:p>
          <w:p>
            <w:pPr>
              <w:pStyle w:val="TableParagraph"/>
              <w:spacing w:line="245" w:lineRule="exact"/>
              <w:ind w:right="106"/>
              <w:jc w:val="right"/>
              <w:rPr>
                <w:rFonts w:ascii="Calibri"/>
                <w:sz w:val="22"/>
              </w:rPr>
            </w:pPr>
            <w:r>
              <w:rPr>
                <w:rFonts w:ascii="Calibri"/>
                <w:spacing w:val="-2"/>
                <w:sz w:val="22"/>
              </w:rPr>
              <w:t>0.39141</w:t>
            </w:r>
          </w:p>
        </w:tc>
        <w:tc>
          <w:tcPr>
            <w:tcW w:w="1053" w:type="dxa"/>
          </w:tcPr>
          <w:p>
            <w:pPr>
              <w:pStyle w:val="TableParagraph"/>
              <w:spacing w:line="245" w:lineRule="exact" w:before="249"/>
              <w:ind w:left="108"/>
              <w:rPr>
                <w:rFonts w:ascii="Calibri"/>
                <w:sz w:val="22"/>
              </w:rPr>
            </w:pPr>
            <w:r>
              <w:rPr>
                <w:rFonts w:ascii="Calibri"/>
                <w:spacing w:val="-2"/>
                <w:sz w:val="22"/>
              </w:rPr>
              <w:t>2.564949</w:t>
            </w:r>
          </w:p>
        </w:tc>
        <w:tc>
          <w:tcPr>
            <w:tcW w:w="1053" w:type="dxa"/>
          </w:tcPr>
          <w:p>
            <w:pPr>
              <w:pStyle w:val="TableParagraph"/>
              <w:spacing w:line="245" w:lineRule="exact" w:before="249"/>
              <w:ind w:left="106"/>
              <w:rPr>
                <w:rFonts w:ascii="Calibri"/>
                <w:sz w:val="22"/>
              </w:rPr>
            </w:pPr>
            <w:r>
              <w:rPr>
                <w:rFonts w:ascii="Calibri"/>
                <w:spacing w:val="-2"/>
                <w:sz w:val="22"/>
              </w:rPr>
              <w:t>8.569577</w:t>
            </w:r>
          </w:p>
        </w:tc>
        <w:tc>
          <w:tcPr>
            <w:tcW w:w="1054" w:type="dxa"/>
          </w:tcPr>
          <w:p>
            <w:pPr>
              <w:pStyle w:val="TableParagraph"/>
              <w:spacing w:line="245" w:lineRule="exact" w:before="249"/>
              <w:ind w:left="217"/>
              <w:rPr>
                <w:rFonts w:ascii="Calibri"/>
                <w:sz w:val="22"/>
              </w:rPr>
            </w:pPr>
            <w:r>
              <w:rPr>
                <w:rFonts w:ascii="Calibri"/>
                <w:spacing w:val="-2"/>
                <w:sz w:val="22"/>
              </w:rPr>
              <w:t>2.65956</w:t>
            </w:r>
          </w:p>
        </w:tc>
        <w:tc>
          <w:tcPr>
            <w:tcW w:w="1069" w:type="dxa"/>
          </w:tcPr>
          <w:p>
            <w:pPr>
              <w:pStyle w:val="TableParagraph"/>
              <w:spacing w:line="245" w:lineRule="exact" w:before="249"/>
              <w:ind w:left="13" w:right="3"/>
              <w:jc w:val="center"/>
              <w:rPr>
                <w:rFonts w:ascii="Calibri"/>
                <w:sz w:val="22"/>
              </w:rPr>
            </w:pPr>
            <w:r>
              <w:rPr>
                <w:rFonts w:ascii="Calibri"/>
                <w:spacing w:val="-2"/>
                <w:sz w:val="22"/>
              </w:rPr>
              <w:t>10.62989</w:t>
            </w:r>
          </w:p>
        </w:tc>
        <w:tc>
          <w:tcPr>
            <w:tcW w:w="1054" w:type="dxa"/>
          </w:tcPr>
          <w:p>
            <w:pPr>
              <w:pStyle w:val="TableParagraph"/>
              <w:spacing w:line="245" w:lineRule="exact" w:before="249"/>
              <w:ind w:right="108"/>
              <w:jc w:val="right"/>
              <w:rPr>
                <w:rFonts w:ascii="Calibri"/>
                <w:sz w:val="22"/>
              </w:rPr>
            </w:pPr>
            <w:r>
              <w:rPr>
                <w:rFonts w:ascii="Calibri"/>
                <w:spacing w:val="-2"/>
                <w:sz w:val="22"/>
              </w:rPr>
              <w:t>2.536075</w:t>
            </w:r>
          </w:p>
        </w:tc>
        <w:tc>
          <w:tcPr>
            <w:tcW w:w="1198" w:type="dxa"/>
          </w:tcPr>
          <w:p>
            <w:pPr>
              <w:pStyle w:val="TableParagraph"/>
              <w:spacing w:line="245" w:lineRule="exact" w:before="249"/>
              <w:ind w:right="51"/>
              <w:jc w:val="right"/>
              <w:rPr>
                <w:rFonts w:ascii="Calibri"/>
                <w:sz w:val="22"/>
              </w:rPr>
            </w:pPr>
            <w:r>
              <w:rPr>
                <w:rFonts w:ascii="Calibri"/>
                <w:spacing w:val="-2"/>
                <w:sz w:val="22"/>
              </w:rPr>
              <w:t>10.55173</w:t>
            </w:r>
          </w:p>
        </w:tc>
      </w:tr>
    </w:tbl>
    <w:p>
      <w:pPr>
        <w:spacing w:after="0" w:line="245" w:lineRule="exact"/>
        <w:jc w:val="right"/>
        <w:rPr>
          <w:rFonts w:ascii="Calibri"/>
          <w:sz w:val="22"/>
        </w:rPr>
        <w:sectPr>
          <w:pgSz w:w="11910" w:h="16840"/>
          <w:pgMar w:header="0" w:footer="979" w:top="1360" w:bottom="1240" w:left="280" w:right="0"/>
        </w:sectPr>
      </w:pPr>
    </w:p>
    <w:p>
      <w:pPr>
        <w:pStyle w:val="BodyText"/>
        <w:spacing w:before="1"/>
        <w:rPr>
          <w:b/>
          <w:sz w:val="2"/>
        </w:rPr>
      </w:pPr>
    </w:p>
    <w:tbl>
      <w:tblPr>
        <w:tblW w:w="0" w:type="auto"/>
        <w:jc w:val="left"/>
        <w:tblInd w:w="1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6"/>
        <w:gridCol w:w="1081"/>
        <w:gridCol w:w="1091"/>
        <w:gridCol w:w="953"/>
        <w:gridCol w:w="1053"/>
        <w:gridCol w:w="1053"/>
        <w:gridCol w:w="1061"/>
        <w:gridCol w:w="1061"/>
        <w:gridCol w:w="1155"/>
        <w:gridCol w:w="1096"/>
      </w:tblGrid>
      <w:tr>
        <w:trPr>
          <w:trHeight w:val="514" w:hRule="atLeast"/>
        </w:trPr>
        <w:tc>
          <w:tcPr>
            <w:tcW w:w="606" w:type="dxa"/>
          </w:tcPr>
          <w:p>
            <w:pPr>
              <w:pStyle w:val="TableParagraph"/>
              <w:spacing w:before="225"/>
              <w:ind w:right="56"/>
              <w:jc w:val="center"/>
              <w:rPr>
                <w:rFonts w:ascii="Calibri"/>
                <w:sz w:val="22"/>
              </w:rPr>
            </w:pPr>
            <w:r>
              <w:rPr>
                <w:rFonts w:ascii="Calibri"/>
                <w:spacing w:val="-4"/>
                <w:sz w:val="22"/>
              </w:rPr>
              <w:t>1992</w:t>
            </w:r>
          </w:p>
        </w:tc>
        <w:tc>
          <w:tcPr>
            <w:tcW w:w="1081" w:type="dxa"/>
          </w:tcPr>
          <w:p>
            <w:pPr>
              <w:pStyle w:val="TableParagraph"/>
              <w:spacing w:before="225"/>
              <w:ind w:right="134"/>
              <w:jc w:val="right"/>
              <w:rPr>
                <w:rFonts w:ascii="Calibri"/>
                <w:sz w:val="22"/>
              </w:rPr>
            </w:pPr>
            <w:r>
              <w:rPr>
                <w:rFonts w:ascii="Calibri"/>
                <w:spacing w:val="-2"/>
                <w:sz w:val="22"/>
              </w:rPr>
              <w:t>12.41101</w:t>
            </w:r>
          </w:p>
        </w:tc>
        <w:tc>
          <w:tcPr>
            <w:tcW w:w="1091" w:type="dxa"/>
          </w:tcPr>
          <w:p>
            <w:pPr>
              <w:pStyle w:val="TableParagraph"/>
              <w:spacing w:before="225"/>
              <w:ind w:right="116"/>
              <w:jc w:val="right"/>
              <w:rPr>
                <w:rFonts w:ascii="Calibri"/>
                <w:sz w:val="22"/>
              </w:rPr>
            </w:pPr>
            <w:r>
              <w:rPr>
                <w:rFonts w:ascii="Calibri"/>
                <w:spacing w:val="-2"/>
                <w:sz w:val="22"/>
              </w:rPr>
              <w:t>12.28216</w:t>
            </w:r>
          </w:p>
        </w:tc>
        <w:tc>
          <w:tcPr>
            <w:tcW w:w="953" w:type="dxa"/>
          </w:tcPr>
          <w:p>
            <w:pPr>
              <w:pStyle w:val="TableParagraph"/>
              <w:spacing w:line="225" w:lineRule="exact"/>
              <w:ind w:right="106"/>
              <w:jc w:val="right"/>
              <w:rPr>
                <w:rFonts w:ascii="Calibri"/>
                <w:sz w:val="22"/>
              </w:rPr>
            </w:pPr>
            <w:r>
              <w:rPr>
                <w:rFonts w:ascii="Calibri"/>
                <w:spacing w:val="-10"/>
                <w:sz w:val="22"/>
              </w:rPr>
              <w:t>-</w:t>
            </w:r>
          </w:p>
          <w:p>
            <w:pPr>
              <w:pStyle w:val="TableParagraph"/>
              <w:ind w:right="107"/>
              <w:jc w:val="right"/>
              <w:rPr>
                <w:rFonts w:ascii="Calibri"/>
                <w:sz w:val="22"/>
              </w:rPr>
            </w:pPr>
            <w:r>
              <w:rPr>
                <w:rFonts w:ascii="Calibri"/>
                <w:spacing w:val="-2"/>
                <w:sz w:val="22"/>
              </w:rPr>
              <w:t>0.42327</w:t>
            </w:r>
          </w:p>
        </w:tc>
        <w:tc>
          <w:tcPr>
            <w:tcW w:w="1053" w:type="dxa"/>
          </w:tcPr>
          <w:p>
            <w:pPr>
              <w:pStyle w:val="TableParagraph"/>
              <w:spacing w:before="225"/>
              <w:ind w:left="4" w:right="3"/>
              <w:jc w:val="center"/>
              <w:rPr>
                <w:rFonts w:ascii="Calibri"/>
                <w:sz w:val="22"/>
              </w:rPr>
            </w:pPr>
            <w:r>
              <w:rPr>
                <w:rFonts w:ascii="Calibri"/>
                <w:spacing w:val="-2"/>
                <w:sz w:val="22"/>
              </w:rPr>
              <w:t>3.795489</w:t>
            </w:r>
          </w:p>
        </w:tc>
        <w:tc>
          <w:tcPr>
            <w:tcW w:w="1053" w:type="dxa"/>
          </w:tcPr>
          <w:p>
            <w:pPr>
              <w:pStyle w:val="TableParagraph"/>
              <w:spacing w:before="225"/>
              <w:ind w:left="4" w:right="5"/>
              <w:jc w:val="center"/>
              <w:rPr>
                <w:rFonts w:ascii="Calibri"/>
                <w:sz w:val="22"/>
              </w:rPr>
            </w:pPr>
            <w:r>
              <w:rPr>
                <w:rFonts w:ascii="Calibri"/>
                <w:spacing w:val="-2"/>
                <w:sz w:val="22"/>
              </w:rPr>
              <w:t>10.16273</w:t>
            </w:r>
          </w:p>
        </w:tc>
        <w:tc>
          <w:tcPr>
            <w:tcW w:w="1061" w:type="dxa"/>
          </w:tcPr>
          <w:p>
            <w:pPr>
              <w:pStyle w:val="TableParagraph"/>
              <w:spacing w:before="225"/>
              <w:ind w:right="114"/>
              <w:jc w:val="right"/>
              <w:rPr>
                <w:rFonts w:ascii="Calibri"/>
                <w:sz w:val="22"/>
              </w:rPr>
            </w:pPr>
            <w:r>
              <w:rPr>
                <w:rFonts w:ascii="Calibri"/>
                <w:spacing w:val="-2"/>
                <w:sz w:val="22"/>
              </w:rPr>
              <w:t>2.778819</w:t>
            </w:r>
          </w:p>
        </w:tc>
        <w:tc>
          <w:tcPr>
            <w:tcW w:w="1061" w:type="dxa"/>
          </w:tcPr>
          <w:p>
            <w:pPr>
              <w:pStyle w:val="TableParagraph"/>
              <w:spacing w:before="225"/>
              <w:ind w:right="107"/>
              <w:jc w:val="right"/>
              <w:rPr>
                <w:rFonts w:ascii="Calibri"/>
                <w:sz w:val="22"/>
              </w:rPr>
            </w:pPr>
            <w:r>
              <w:rPr>
                <w:rFonts w:ascii="Calibri"/>
                <w:spacing w:val="-2"/>
                <w:sz w:val="22"/>
              </w:rPr>
              <w:t>10.97032</w:t>
            </w:r>
          </w:p>
        </w:tc>
        <w:tc>
          <w:tcPr>
            <w:tcW w:w="1155" w:type="dxa"/>
          </w:tcPr>
          <w:p>
            <w:pPr>
              <w:pStyle w:val="TableParagraph"/>
              <w:spacing w:before="225"/>
              <w:ind w:right="209"/>
              <w:jc w:val="right"/>
              <w:rPr>
                <w:rFonts w:ascii="Calibri"/>
                <w:sz w:val="22"/>
              </w:rPr>
            </w:pPr>
            <w:r>
              <w:rPr>
                <w:rFonts w:ascii="Calibri"/>
                <w:spacing w:val="-2"/>
                <w:sz w:val="22"/>
              </w:rPr>
              <w:t>3.226844</w:t>
            </w:r>
          </w:p>
        </w:tc>
        <w:tc>
          <w:tcPr>
            <w:tcW w:w="1096" w:type="dxa"/>
          </w:tcPr>
          <w:p>
            <w:pPr>
              <w:pStyle w:val="TableParagraph"/>
              <w:spacing w:before="225"/>
              <w:ind w:right="49"/>
              <w:jc w:val="right"/>
              <w:rPr>
                <w:rFonts w:ascii="Calibri"/>
                <w:sz w:val="22"/>
              </w:rPr>
            </w:pPr>
            <w:r>
              <w:rPr>
                <w:rFonts w:ascii="Calibri"/>
                <w:spacing w:val="-2"/>
                <w:sz w:val="22"/>
              </w:rPr>
              <w:t>10.87869</w:t>
            </w:r>
          </w:p>
        </w:tc>
      </w:tr>
      <w:tr>
        <w:trPr>
          <w:trHeight w:val="536" w:hRule="atLeast"/>
        </w:trPr>
        <w:tc>
          <w:tcPr>
            <w:tcW w:w="606" w:type="dxa"/>
          </w:tcPr>
          <w:p>
            <w:pPr>
              <w:pStyle w:val="TableParagraph"/>
              <w:spacing w:line="267" w:lineRule="exact" w:before="249"/>
              <w:ind w:right="56"/>
              <w:jc w:val="center"/>
              <w:rPr>
                <w:rFonts w:ascii="Calibri"/>
                <w:sz w:val="22"/>
              </w:rPr>
            </w:pPr>
            <w:r>
              <w:rPr>
                <w:rFonts w:ascii="Calibri"/>
                <w:spacing w:val="-4"/>
                <w:sz w:val="22"/>
              </w:rPr>
              <w:t>1993</w:t>
            </w:r>
          </w:p>
        </w:tc>
        <w:tc>
          <w:tcPr>
            <w:tcW w:w="1081" w:type="dxa"/>
          </w:tcPr>
          <w:p>
            <w:pPr>
              <w:pStyle w:val="TableParagraph"/>
              <w:spacing w:line="267" w:lineRule="exact" w:before="249"/>
              <w:ind w:right="134"/>
              <w:jc w:val="right"/>
              <w:rPr>
                <w:rFonts w:ascii="Calibri"/>
                <w:sz w:val="22"/>
              </w:rPr>
            </w:pPr>
            <w:r>
              <w:rPr>
                <w:rFonts w:ascii="Calibri"/>
                <w:spacing w:val="-2"/>
                <w:sz w:val="22"/>
              </w:rPr>
              <w:t>11.71098</w:t>
            </w:r>
          </w:p>
        </w:tc>
        <w:tc>
          <w:tcPr>
            <w:tcW w:w="1091" w:type="dxa"/>
          </w:tcPr>
          <w:p>
            <w:pPr>
              <w:pStyle w:val="TableParagraph"/>
              <w:spacing w:line="267" w:lineRule="exact" w:before="249"/>
              <w:ind w:right="116"/>
              <w:jc w:val="right"/>
              <w:rPr>
                <w:rFonts w:ascii="Calibri"/>
                <w:sz w:val="22"/>
              </w:rPr>
            </w:pPr>
            <w:r>
              <w:rPr>
                <w:rFonts w:ascii="Calibri"/>
                <w:spacing w:val="-2"/>
                <w:sz w:val="22"/>
              </w:rPr>
              <w:t>11.39505</w:t>
            </w:r>
          </w:p>
        </w:tc>
        <w:tc>
          <w:tcPr>
            <w:tcW w:w="953" w:type="dxa"/>
          </w:tcPr>
          <w:p>
            <w:pPr>
              <w:pStyle w:val="TableParagraph"/>
              <w:spacing w:line="249" w:lineRule="exact"/>
              <w:ind w:right="106"/>
              <w:jc w:val="right"/>
              <w:rPr>
                <w:rFonts w:ascii="Calibri"/>
                <w:sz w:val="22"/>
              </w:rPr>
            </w:pPr>
            <w:r>
              <w:rPr>
                <w:rFonts w:ascii="Calibri"/>
                <w:spacing w:val="-10"/>
                <w:sz w:val="22"/>
              </w:rPr>
              <w:t>-</w:t>
            </w:r>
          </w:p>
          <w:p>
            <w:pPr>
              <w:pStyle w:val="TableParagraph"/>
              <w:spacing w:line="267" w:lineRule="exact"/>
              <w:ind w:right="107"/>
              <w:jc w:val="right"/>
              <w:rPr>
                <w:rFonts w:ascii="Calibri"/>
                <w:sz w:val="22"/>
              </w:rPr>
            </w:pPr>
            <w:r>
              <w:rPr>
                <w:rFonts w:ascii="Calibri"/>
                <w:spacing w:val="-2"/>
                <w:sz w:val="22"/>
              </w:rPr>
              <w:t>0.57608</w:t>
            </w:r>
          </w:p>
        </w:tc>
        <w:tc>
          <w:tcPr>
            <w:tcW w:w="1053" w:type="dxa"/>
          </w:tcPr>
          <w:p>
            <w:pPr>
              <w:pStyle w:val="TableParagraph"/>
              <w:spacing w:line="267" w:lineRule="exact" w:before="249"/>
              <w:ind w:left="4" w:right="3"/>
              <w:jc w:val="center"/>
              <w:rPr>
                <w:rFonts w:ascii="Calibri"/>
                <w:sz w:val="22"/>
              </w:rPr>
            </w:pPr>
            <w:r>
              <w:rPr>
                <w:rFonts w:ascii="Calibri"/>
                <w:spacing w:val="-2"/>
                <w:sz w:val="22"/>
              </w:rPr>
              <w:t>4.046554</w:t>
            </w:r>
          </w:p>
        </w:tc>
        <w:tc>
          <w:tcPr>
            <w:tcW w:w="1053" w:type="dxa"/>
          </w:tcPr>
          <w:p>
            <w:pPr>
              <w:pStyle w:val="TableParagraph"/>
              <w:spacing w:line="267" w:lineRule="exact" w:before="249"/>
              <w:ind w:left="4" w:right="5"/>
              <w:jc w:val="center"/>
              <w:rPr>
                <w:rFonts w:ascii="Calibri"/>
                <w:sz w:val="22"/>
              </w:rPr>
            </w:pPr>
            <w:r>
              <w:rPr>
                <w:rFonts w:ascii="Calibri"/>
                <w:spacing w:val="-2"/>
                <w:sz w:val="22"/>
              </w:rPr>
              <w:t>10.18702</w:t>
            </w:r>
          </w:p>
        </w:tc>
        <w:tc>
          <w:tcPr>
            <w:tcW w:w="1061" w:type="dxa"/>
          </w:tcPr>
          <w:p>
            <w:pPr>
              <w:pStyle w:val="TableParagraph"/>
              <w:spacing w:line="267" w:lineRule="exact" w:before="249"/>
              <w:ind w:right="114"/>
              <w:jc w:val="right"/>
              <w:rPr>
                <w:rFonts w:ascii="Calibri"/>
                <w:sz w:val="22"/>
              </w:rPr>
            </w:pPr>
            <w:r>
              <w:rPr>
                <w:rFonts w:ascii="Calibri"/>
                <w:spacing w:val="-2"/>
                <w:sz w:val="22"/>
              </w:rPr>
              <w:t>2.813011</w:t>
            </w:r>
          </w:p>
        </w:tc>
        <w:tc>
          <w:tcPr>
            <w:tcW w:w="1061" w:type="dxa"/>
          </w:tcPr>
          <w:p>
            <w:pPr>
              <w:pStyle w:val="TableParagraph"/>
              <w:spacing w:line="267" w:lineRule="exact" w:before="249"/>
              <w:ind w:right="107"/>
              <w:jc w:val="right"/>
              <w:rPr>
                <w:rFonts w:ascii="Calibri"/>
                <w:sz w:val="22"/>
              </w:rPr>
            </w:pPr>
            <w:r>
              <w:rPr>
                <w:rFonts w:ascii="Calibri"/>
                <w:spacing w:val="-2"/>
                <w:sz w:val="22"/>
              </w:rPr>
              <w:t>11.75287</w:t>
            </w:r>
          </w:p>
        </w:tc>
        <w:tc>
          <w:tcPr>
            <w:tcW w:w="1155" w:type="dxa"/>
          </w:tcPr>
          <w:p>
            <w:pPr>
              <w:pStyle w:val="TableParagraph"/>
              <w:spacing w:line="267" w:lineRule="exact" w:before="249"/>
              <w:ind w:right="209"/>
              <w:jc w:val="right"/>
              <w:rPr>
                <w:rFonts w:ascii="Calibri"/>
                <w:sz w:val="22"/>
              </w:rPr>
            </w:pPr>
            <w:r>
              <w:rPr>
                <w:rFonts w:ascii="Calibri"/>
                <w:spacing w:val="-2"/>
                <w:sz w:val="22"/>
              </w:rPr>
              <w:t>1.909543</w:t>
            </w:r>
          </w:p>
        </w:tc>
        <w:tc>
          <w:tcPr>
            <w:tcW w:w="1096" w:type="dxa"/>
          </w:tcPr>
          <w:p>
            <w:pPr>
              <w:pStyle w:val="TableParagraph"/>
              <w:spacing w:line="267" w:lineRule="exact" w:before="249"/>
              <w:ind w:right="49"/>
              <w:jc w:val="right"/>
              <w:rPr>
                <w:rFonts w:ascii="Calibri"/>
                <w:sz w:val="22"/>
              </w:rPr>
            </w:pPr>
            <w:r>
              <w:rPr>
                <w:rFonts w:ascii="Calibri"/>
                <w:spacing w:val="-2"/>
                <w:sz w:val="22"/>
              </w:rPr>
              <w:t>11.82574</w:t>
            </w:r>
          </w:p>
        </w:tc>
      </w:tr>
      <w:tr>
        <w:trPr>
          <w:trHeight w:val="536" w:hRule="atLeast"/>
        </w:trPr>
        <w:tc>
          <w:tcPr>
            <w:tcW w:w="606" w:type="dxa"/>
          </w:tcPr>
          <w:p>
            <w:pPr>
              <w:pStyle w:val="TableParagraph"/>
              <w:spacing w:before="247"/>
              <w:ind w:right="56"/>
              <w:jc w:val="center"/>
              <w:rPr>
                <w:rFonts w:ascii="Calibri"/>
                <w:sz w:val="22"/>
              </w:rPr>
            </w:pPr>
            <w:r>
              <w:rPr>
                <w:rFonts w:ascii="Calibri"/>
                <w:spacing w:val="-4"/>
                <w:sz w:val="22"/>
              </w:rPr>
              <w:t>1994</w:t>
            </w:r>
          </w:p>
        </w:tc>
        <w:tc>
          <w:tcPr>
            <w:tcW w:w="1081" w:type="dxa"/>
          </w:tcPr>
          <w:p>
            <w:pPr>
              <w:pStyle w:val="TableParagraph"/>
              <w:spacing w:before="247"/>
              <w:ind w:right="134"/>
              <w:jc w:val="right"/>
              <w:rPr>
                <w:rFonts w:ascii="Calibri"/>
                <w:sz w:val="22"/>
              </w:rPr>
            </w:pPr>
            <w:r>
              <w:rPr>
                <w:rFonts w:ascii="Calibri"/>
                <w:spacing w:val="-2"/>
                <w:sz w:val="22"/>
              </w:rPr>
              <w:t>11.53173</w:t>
            </w:r>
          </w:p>
        </w:tc>
        <w:tc>
          <w:tcPr>
            <w:tcW w:w="1091" w:type="dxa"/>
          </w:tcPr>
          <w:p>
            <w:pPr>
              <w:pStyle w:val="TableParagraph"/>
              <w:spacing w:before="247"/>
              <w:ind w:right="117"/>
              <w:jc w:val="right"/>
              <w:rPr>
                <w:rFonts w:ascii="Calibri"/>
                <w:sz w:val="22"/>
              </w:rPr>
            </w:pPr>
            <w:r>
              <w:rPr>
                <w:rFonts w:ascii="Calibri"/>
                <w:spacing w:val="-2"/>
                <w:sz w:val="22"/>
              </w:rPr>
              <w:t>9.659414</w:t>
            </w:r>
          </w:p>
        </w:tc>
        <w:tc>
          <w:tcPr>
            <w:tcW w:w="953" w:type="dxa"/>
          </w:tcPr>
          <w:p>
            <w:pPr>
              <w:pStyle w:val="TableParagraph"/>
              <w:spacing w:line="247" w:lineRule="exact"/>
              <w:ind w:right="106"/>
              <w:jc w:val="right"/>
              <w:rPr>
                <w:rFonts w:ascii="Calibri"/>
                <w:sz w:val="22"/>
              </w:rPr>
            </w:pPr>
            <w:r>
              <w:rPr>
                <w:rFonts w:ascii="Calibri"/>
                <w:spacing w:val="-10"/>
                <w:sz w:val="22"/>
              </w:rPr>
              <w:t>-</w:t>
            </w:r>
          </w:p>
          <w:p>
            <w:pPr>
              <w:pStyle w:val="TableParagraph"/>
              <w:ind w:right="107"/>
              <w:jc w:val="right"/>
              <w:rPr>
                <w:rFonts w:ascii="Calibri"/>
                <w:sz w:val="22"/>
              </w:rPr>
            </w:pPr>
            <w:r>
              <w:rPr>
                <w:rFonts w:ascii="Calibri"/>
                <w:spacing w:val="-2"/>
                <w:sz w:val="22"/>
              </w:rPr>
              <w:t>0.89184</w:t>
            </w:r>
          </w:p>
        </w:tc>
        <w:tc>
          <w:tcPr>
            <w:tcW w:w="1053" w:type="dxa"/>
          </w:tcPr>
          <w:p>
            <w:pPr>
              <w:pStyle w:val="TableParagraph"/>
              <w:spacing w:before="247"/>
              <w:ind w:left="4" w:right="3"/>
              <w:jc w:val="center"/>
              <w:rPr>
                <w:rFonts w:ascii="Calibri"/>
                <w:sz w:val="22"/>
              </w:rPr>
            </w:pPr>
            <w:r>
              <w:rPr>
                <w:rFonts w:ascii="Calibri"/>
                <w:spacing w:val="-2"/>
                <w:sz w:val="22"/>
              </w:rPr>
              <w:t>4.043051</w:t>
            </w:r>
          </w:p>
        </w:tc>
        <w:tc>
          <w:tcPr>
            <w:tcW w:w="1053" w:type="dxa"/>
          </w:tcPr>
          <w:p>
            <w:pPr>
              <w:pStyle w:val="TableParagraph"/>
              <w:spacing w:before="247"/>
              <w:ind w:left="4" w:right="5"/>
              <w:jc w:val="center"/>
              <w:rPr>
                <w:rFonts w:ascii="Calibri"/>
                <w:sz w:val="22"/>
              </w:rPr>
            </w:pPr>
            <w:r>
              <w:rPr>
                <w:rFonts w:ascii="Calibri"/>
                <w:spacing w:val="-2"/>
                <w:sz w:val="22"/>
              </w:rPr>
              <w:t>9.099688</w:t>
            </w:r>
          </w:p>
        </w:tc>
        <w:tc>
          <w:tcPr>
            <w:tcW w:w="1061" w:type="dxa"/>
          </w:tcPr>
          <w:p>
            <w:pPr>
              <w:pStyle w:val="TableParagraph"/>
              <w:spacing w:before="247"/>
              <w:ind w:right="114"/>
              <w:jc w:val="right"/>
              <w:rPr>
                <w:rFonts w:ascii="Calibri"/>
                <w:sz w:val="22"/>
              </w:rPr>
            </w:pPr>
            <w:r>
              <w:rPr>
                <w:rFonts w:ascii="Calibri"/>
                <w:spacing w:val="-2"/>
                <w:sz w:val="22"/>
              </w:rPr>
              <w:t>2.60269</w:t>
            </w:r>
          </w:p>
        </w:tc>
        <w:tc>
          <w:tcPr>
            <w:tcW w:w="1061" w:type="dxa"/>
          </w:tcPr>
          <w:p>
            <w:pPr>
              <w:pStyle w:val="TableParagraph"/>
              <w:spacing w:before="247"/>
              <w:ind w:right="107"/>
              <w:jc w:val="right"/>
              <w:rPr>
                <w:rFonts w:ascii="Calibri"/>
                <w:sz w:val="22"/>
              </w:rPr>
            </w:pPr>
            <w:r>
              <w:rPr>
                <w:rFonts w:ascii="Calibri"/>
                <w:spacing w:val="-2"/>
                <w:sz w:val="22"/>
              </w:rPr>
              <w:t>11.87356</w:t>
            </w:r>
          </w:p>
        </w:tc>
        <w:tc>
          <w:tcPr>
            <w:tcW w:w="1155" w:type="dxa"/>
          </w:tcPr>
          <w:p>
            <w:pPr>
              <w:pStyle w:val="TableParagraph"/>
              <w:spacing w:before="247"/>
              <w:ind w:right="209"/>
              <w:jc w:val="right"/>
              <w:rPr>
                <w:rFonts w:ascii="Calibri"/>
                <w:sz w:val="22"/>
              </w:rPr>
            </w:pPr>
            <w:r>
              <w:rPr>
                <w:rFonts w:ascii="Calibri"/>
                <w:spacing w:val="-2"/>
                <w:sz w:val="22"/>
              </w:rPr>
              <w:t>2.617396</w:t>
            </w:r>
          </w:p>
        </w:tc>
        <w:tc>
          <w:tcPr>
            <w:tcW w:w="1096" w:type="dxa"/>
          </w:tcPr>
          <w:p>
            <w:pPr>
              <w:pStyle w:val="TableParagraph"/>
              <w:spacing w:before="247"/>
              <w:ind w:right="49"/>
              <w:jc w:val="right"/>
              <w:rPr>
                <w:rFonts w:ascii="Calibri"/>
                <w:sz w:val="22"/>
              </w:rPr>
            </w:pPr>
            <w:r>
              <w:rPr>
                <w:rFonts w:ascii="Calibri"/>
                <w:spacing w:val="-2"/>
                <w:sz w:val="22"/>
              </w:rPr>
              <w:t>11.40729</w:t>
            </w:r>
          </w:p>
        </w:tc>
      </w:tr>
      <w:tr>
        <w:trPr>
          <w:trHeight w:val="537" w:hRule="atLeast"/>
        </w:trPr>
        <w:tc>
          <w:tcPr>
            <w:tcW w:w="606" w:type="dxa"/>
          </w:tcPr>
          <w:p>
            <w:pPr>
              <w:pStyle w:val="TableParagraph"/>
              <w:spacing w:before="249"/>
              <w:ind w:right="56"/>
              <w:jc w:val="center"/>
              <w:rPr>
                <w:rFonts w:ascii="Calibri"/>
                <w:sz w:val="22"/>
              </w:rPr>
            </w:pPr>
            <w:r>
              <w:rPr>
                <w:rFonts w:ascii="Calibri"/>
                <w:spacing w:val="-4"/>
                <w:sz w:val="22"/>
              </w:rPr>
              <w:t>1995</w:t>
            </w:r>
          </w:p>
        </w:tc>
        <w:tc>
          <w:tcPr>
            <w:tcW w:w="1081" w:type="dxa"/>
          </w:tcPr>
          <w:p>
            <w:pPr>
              <w:pStyle w:val="TableParagraph"/>
              <w:spacing w:before="249"/>
              <w:ind w:right="134"/>
              <w:jc w:val="right"/>
              <w:rPr>
                <w:rFonts w:ascii="Calibri"/>
                <w:sz w:val="22"/>
              </w:rPr>
            </w:pPr>
            <w:r>
              <w:rPr>
                <w:rFonts w:ascii="Calibri"/>
                <w:spacing w:val="-2"/>
                <w:sz w:val="22"/>
              </w:rPr>
              <w:t>13.77849</w:t>
            </w:r>
          </w:p>
        </w:tc>
        <w:tc>
          <w:tcPr>
            <w:tcW w:w="1091" w:type="dxa"/>
          </w:tcPr>
          <w:p>
            <w:pPr>
              <w:pStyle w:val="TableParagraph"/>
              <w:spacing w:before="249"/>
              <w:ind w:right="116"/>
              <w:jc w:val="right"/>
              <w:rPr>
                <w:rFonts w:ascii="Calibri"/>
                <w:sz w:val="22"/>
              </w:rPr>
            </w:pPr>
            <w:r>
              <w:rPr>
                <w:rFonts w:ascii="Calibri"/>
                <w:spacing w:val="-2"/>
                <w:sz w:val="22"/>
              </w:rPr>
              <w:t>13.41212</w:t>
            </w:r>
          </w:p>
        </w:tc>
        <w:tc>
          <w:tcPr>
            <w:tcW w:w="953" w:type="dxa"/>
          </w:tcPr>
          <w:p>
            <w:pPr>
              <w:pStyle w:val="TableParagraph"/>
              <w:spacing w:line="249" w:lineRule="exact"/>
              <w:ind w:right="106"/>
              <w:jc w:val="right"/>
              <w:rPr>
                <w:rFonts w:ascii="Calibri"/>
                <w:sz w:val="22"/>
              </w:rPr>
            </w:pPr>
            <w:r>
              <w:rPr>
                <w:rFonts w:ascii="Calibri"/>
                <w:spacing w:val="-10"/>
                <w:sz w:val="22"/>
              </w:rPr>
              <w:t>-</w:t>
            </w:r>
          </w:p>
          <w:p>
            <w:pPr>
              <w:pStyle w:val="TableParagraph"/>
              <w:ind w:right="107"/>
              <w:jc w:val="right"/>
              <w:rPr>
                <w:rFonts w:ascii="Calibri"/>
                <w:sz w:val="22"/>
              </w:rPr>
            </w:pPr>
            <w:r>
              <w:rPr>
                <w:rFonts w:ascii="Calibri"/>
                <w:spacing w:val="-2"/>
                <w:sz w:val="22"/>
              </w:rPr>
              <w:t>0.12511</w:t>
            </w:r>
          </w:p>
        </w:tc>
        <w:tc>
          <w:tcPr>
            <w:tcW w:w="1053" w:type="dxa"/>
          </w:tcPr>
          <w:p>
            <w:pPr>
              <w:pStyle w:val="TableParagraph"/>
              <w:spacing w:before="249"/>
              <w:ind w:left="4" w:right="3"/>
              <w:jc w:val="center"/>
              <w:rPr>
                <w:rFonts w:ascii="Calibri"/>
                <w:sz w:val="22"/>
              </w:rPr>
            </w:pPr>
            <w:r>
              <w:rPr>
                <w:rFonts w:ascii="Calibri"/>
                <w:spacing w:val="-2"/>
                <w:sz w:val="22"/>
              </w:rPr>
              <w:t>4.287716</w:t>
            </w:r>
          </w:p>
        </w:tc>
        <w:tc>
          <w:tcPr>
            <w:tcW w:w="1053" w:type="dxa"/>
          </w:tcPr>
          <w:p>
            <w:pPr>
              <w:pStyle w:val="TableParagraph"/>
              <w:spacing w:before="249"/>
              <w:ind w:left="4" w:right="5"/>
              <w:jc w:val="center"/>
              <w:rPr>
                <w:rFonts w:ascii="Calibri"/>
                <w:sz w:val="22"/>
              </w:rPr>
            </w:pPr>
            <w:r>
              <w:rPr>
                <w:rFonts w:ascii="Calibri"/>
                <w:spacing w:val="-2"/>
                <w:sz w:val="22"/>
              </w:rPr>
              <w:t>10.51041</w:t>
            </w:r>
          </w:p>
        </w:tc>
        <w:tc>
          <w:tcPr>
            <w:tcW w:w="1061" w:type="dxa"/>
          </w:tcPr>
          <w:p>
            <w:pPr>
              <w:pStyle w:val="TableParagraph"/>
              <w:spacing w:before="249"/>
              <w:ind w:right="114"/>
              <w:jc w:val="right"/>
              <w:rPr>
                <w:rFonts w:ascii="Calibri"/>
                <w:sz w:val="22"/>
              </w:rPr>
            </w:pPr>
            <w:r>
              <w:rPr>
                <w:rFonts w:ascii="Calibri"/>
                <w:spacing w:val="-2"/>
                <w:sz w:val="22"/>
              </w:rPr>
              <w:t>2.53449</w:t>
            </w:r>
          </w:p>
        </w:tc>
        <w:tc>
          <w:tcPr>
            <w:tcW w:w="1061" w:type="dxa"/>
          </w:tcPr>
          <w:p>
            <w:pPr>
              <w:pStyle w:val="TableParagraph"/>
              <w:spacing w:before="249"/>
              <w:ind w:right="107"/>
              <w:jc w:val="right"/>
              <w:rPr>
                <w:rFonts w:ascii="Calibri"/>
                <w:sz w:val="22"/>
              </w:rPr>
            </w:pPr>
            <w:r>
              <w:rPr>
                <w:rFonts w:ascii="Calibri"/>
                <w:spacing w:val="-2"/>
                <w:sz w:val="22"/>
              </w:rPr>
              <w:t>12.10074</w:t>
            </w:r>
          </w:p>
        </w:tc>
        <w:tc>
          <w:tcPr>
            <w:tcW w:w="1155" w:type="dxa"/>
          </w:tcPr>
          <w:p>
            <w:pPr>
              <w:pStyle w:val="TableParagraph"/>
              <w:spacing w:before="249"/>
              <w:ind w:right="209"/>
              <w:jc w:val="right"/>
              <w:rPr>
                <w:rFonts w:ascii="Calibri"/>
                <w:sz w:val="22"/>
              </w:rPr>
            </w:pPr>
            <w:r>
              <w:rPr>
                <w:rFonts w:ascii="Calibri"/>
                <w:spacing w:val="-2"/>
                <w:sz w:val="22"/>
              </w:rPr>
              <w:t>2.488234</w:t>
            </w:r>
          </w:p>
        </w:tc>
        <w:tc>
          <w:tcPr>
            <w:tcW w:w="1096" w:type="dxa"/>
          </w:tcPr>
          <w:p>
            <w:pPr>
              <w:pStyle w:val="TableParagraph"/>
              <w:spacing w:before="249"/>
              <w:ind w:right="49"/>
              <w:jc w:val="right"/>
              <w:rPr>
                <w:rFonts w:ascii="Calibri"/>
                <w:sz w:val="22"/>
              </w:rPr>
            </w:pPr>
            <w:r>
              <w:rPr>
                <w:rFonts w:ascii="Calibri"/>
                <w:spacing w:val="-2"/>
                <w:sz w:val="22"/>
              </w:rPr>
              <w:t>11.75689</w:t>
            </w:r>
          </w:p>
        </w:tc>
      </w:tr>
      <w:tr>
        <w:trPr>
          <w:trHeight w:val="537" w:hRule="atLeast"/>
        </w:trPr>
        <w:tc>
          <w:tcPr>
            <w:tcW w:w="606" w:type="dxa"/>
          </w:tcPr>
          <w:p>
            <w:pPr>
              <w:pStyle w:val="TableParagraph"/>
              <w:spacing w:before="249"/>
              <w:ind w:right="56"/>
              <w:jc w:val="center"/>
              <w:rPr>
                <w:rFonts w:ascii="Calibri"/>
                <w:sz w:val="22"/>
              </w:rPr>
            </w:pPr>
            <w:r>
              <w:rPr>
                <w:rFonts w:ascii="Calibri"/>
                <w:spacing w:val="-4"/>
                <w:sz w:val="22"/>
              </w:rPr>
              <w:t>1996</w:t>
            </w:r>
          </w:p>
        </w:tc>
        <w:tc>
          <w:tcPr>
            <w:tcW w:w="1081" w:type="dxa"/>
          </w:tcPr>
          <w:p>
            <w:pPr>
              <w:pStyle w:val="TableParagraph"/>
              <w:spacing w:before="249"/>
              <w:ind w:right="134"/>
              <w:jc w:val="right"/>
              <w:rPr>
                <w:rFonts w:ascii="Calibri"/>
                <w:sz w:val="22"/>
              </w:rPr>
            </w:pPr>
            <w:r>
              <w:rPr>
                <w:rFonts w:ascii="Calibri"/>
                <w:spacing w:val="-2"/>
                <w:sz w:val="22"/>
              </w:rPr>
              <w:t>12.48787</w:t>
            </w:r>
          </w:p>
        </w:tc>
        <w:tc>
          <w:tcPr>
            <w:tcW w:w="1091" w:type="dxa"/>
          </w:tcPr>
          <w:p>
            <w:pPr>
              <w:pStyle w:val="TableParagraph"/>
              <w:spacing w:before="249"/>
              <w:ind w:right="116"/>
              <w:jc w:val="right"/>
              <w:rPr>
                <w:rFonts w:ascii="Calibri"/>
                <w:sz w:val="22"/>
              </w:rPr>
            </w:pPr>
            <w:r>
              <w:rPr>
                <w:rFonts w:ascii="Calibri"/>
                <w:spacing w:val="-2"/>
                <w:sz w:val="22"/>
              </w:rPr>
              <w:t>11.50837</w:t>
            </w:r>
          </w:p>
        </w:tc>
        <w:tc>
          <w:tcPr>
            <w:tcW w:w="953" w:type="dxa"/>
          </w:tcPr>
          <w:p>
            <w:pPr>
              <w:pStyle w:val="TableParagraph"/>
              <w:spacing w:line="249" w:lineRule="exact"/>
              <w:ind w:right="106"/>
              <w:jc w:val="right"/>
              <w:rPr>
                <w:rFonts w:ascii="Calibri"/>
                <w:sz w:val="22"/>
              </w:rPr>
            </w:pPr>
            <w:r>
              <w:rPr>
                <w:rFonts w:ascii="Calibri"/>
                <w:spacing w:val="-10"/>
                <w:sz w:val="22"/>
              </w:rPr>
              <w:t>-</w:t>
            </w:r>
          </w:p>
          <w:p>
            <w:pPr>
              <w:pStyle w:val="TableParagraph"/>
              <w:ind w:right="107"/>
              <w:jc w:val="right"/>
              <w:rPr>
                <w:rFonts w:ascii="Calibri"/>
                <w:sz w:val="22"/>
              </w:rPr>
            </w:pPr>
            <w:r>
              <w:rPr>
                <w:rFonts w:ascii="Calibri"/>
                <w:spacing w:val="-2"/>
                <w:sz w:val="22"/>
              </w:rPr>
              <w:t>0.36716</w:t>
            </w:r>
          </w:p>
        </w:tc>
        <w:tc>
          <w:tcPr>
            <w:tcW w:w="1053" w:type="dxa"/>
          </w:tcPr>
          <w:p>
            <w:pPr>
              <w:pStyle w:val="TableParagraph"/>
              <w:spacing w:before="249"/>
              <w:ind w:left="4" w:right="3"/>
              <w:jc w:val="center"/>
              <w:rPr>
                <w:rFonts w:ascii="Calibri"/>
                <w:sz w:val="22"/>
              </w:rPr>
            </w:pPr>
            <w:r>
              <w:rPr>
                <w:rFonts w:ascii="Calibri"/>
                <w:spacing w:val="-2"/>
                <w:sz w:val="22"/>
              </w:rPr>
              <w:t>3.377588</w:t>
            </w:r>
          </w:p>
        </w:tc>
        <w:tc>
          <w:tcPr>
            <w:tcW w:w="1053" w:type="dxa"/>
          </w:tcPr>
          <w:p>
            <w:pPr>
              <w:pStyle w:val="TableParagraph"/>
              <w:spacing w:before="249"/>
              <w:ind w:left="4" w:right="5"/>
              <w:jc w:val="center"/>
              <w:rPr>
                <w:rFonts w:ascii="Calibri"/>
                <w:sz w:val="22"/>
              </w:rPr>
            </w:pPr>
            <w:r>
              <w:rPr>
                <w:rFonts w:ascii="Calibri"/>
                <w:spacing w:val="-2"/>
                <w:sz w:val="22"/>
              </w:rPr>
              <w:t>11.04313</w:t>
            </w:r>
          </w:p>
        </w:tc>
        <w:tc>
          <w:tcPr>
            <w:tcW w:w="1061" w:type="dxa"/>
          </w:tcPr>
          <w:p>
            <w:pPr>
              <w:pStyle w:val="TableParagraph"/>
              <w:spacing w:before="249"/>
              <w:ind w:right="114"/>
              <w:jc w:val="right"/>
              <w:rPr>
                <w:rFonts w:ascii="Calibri"/>
                <w:sz w:val="22"/>
              </w:rPr>
            </w:pPr>
            <w:r>
              <w:rPr>
                <w:rFonts w:ascii="Calibri"/>
                <w:spacing w:val="-2"/>
                <w:sz w:val="22"/>
              </w:rPr>
              <w:t>2.458734</w:t>
            </w:r>
          </w:p>
        </w:tc>
        <w:tc>
          <w:tcPr>
            <w:tcW w:w="1061" w:type="dxa"/>
          </w:tcPr>
          <w:p>
            <w:pPr>
              <w:pStyle w:val="TableParagraph"/>
              <w:spacing w:before="249"/>
              <w:ind w:right="107"/>
              <w:jc w:val="right"/>
              <w:rPr>
                <w:rFonts w:ascii="Calibri"/>
                <w:sz w:val="22"/>
              </w:rPr>
            </w:pPr>
            <w:r>
              <w:rPr>
                <w:rFonts w:ascii="Calibri"/>
                <w:spacing w:val="-2"/>
                <w:sz w:val="22"/>
              </w:rPr>
              <w:t>12.38253</w:t>
            </w:r>
          </w:p>
        </w:tc>
        <w:tc>
          <w:tcPr>
            <w:tcW w:w="1155" w:type="dxa"/>
          </w:tcPr>
          <w:p>
            <w:pPr>
              <w:pStyle w:val="TableParagraph"/>
              <w:spacing w:before="249"/>
              <w:ind w:right="209"/>
              <w:jc w:val="right"/>
              <w:rPr>
                <w:rFonts w:ascii="Calibri"/>
                <w:sz w:val="22"/>
              </w:rPr>
            </w:pPr>
            <w:r>
              <w:rPr>
                <w:rFonts w:ascii="Calibri"/>
                <w:spacing w:val="-2"/>
                <w:sz w:val="22"/>
              </w:rPr>
              <w:t>2.53449</w:t>
            </w:r>
          </w:p>
        </w:tc>
        <w:tc>
          <w:tcPr>
            <w:tcW w:w="1096" w:type="dxa"/>
          </w:tcPr>
          <w:p>
            <w:pPr>
              <w:pStyle w:val="TableParagraph"/>
              <w:spacing w:before="249"/>
              <w:ind w:right="49"/>
              <w:jc w:val="right"/>
              <w:rPr>
                <w:rFonts w:ascii="Calibri"/>
                <w:sz w:val="22"/>
              </w:rPr>
            </w:pPr>
            <w:r>
              <w:rPr>
                <w:rFonts w:ascii="Calibri"/>
                <w:spacing w:val="-2"/>
                <w:sz w:val="22"/>
              </w:rPr>
              <w:t>11.73199</w:t>
            </w:r>
          </w:p>
        </w:tc>
      </w:tr>
      <w:tr>
        <w:trPr>
          <w:trHeight w:val="537" w:hRule="atLeast"/>
        </w:trPr>
        <w:tc>
          <w:tcPr>
            <w:tcW w:w="606" w:type="dxa"/>
          </w:tcPr>
          <w:p>
            <w:pPr>
              <w:pStyle w:val="TableParagraph"/>
              <w:spacing w:before="249"/>
              <w:ind w:right="56"/>
              <w:jc w:val="center"/>
              <w:rPr>
                <w:rFonts w:ascii="Calibri"/>
                <w:sz w:val="22"/>
              </w:rPr>
            </w:pPr>
            <w:r>
              <w:rPr>
                <w:rFonts w:ascii="Calibri"/>
                <w:spacing w:val="-4"/>
                <w:sz w:val="22"/>
              </w:rPr>
              <w:t>1997</w:t>
            </w:r>
          </w:p>
        </w:tc>
        <w:tc>
          <w:tcPr>
            <w:tcW w:w="1081" w:type="dxa"/>
          </w:tcPr>
          <w:p>
            <w:pPr>
              <w:pStyle w:val="TableParagraph"/>
              <w:spacing w:before="249"/>
              <w:ind w:right="134"/>
              <w:jc w:val="right"/>
              <w:rPr>
                <w:rFonts w:ascii="Calibri"/>
                <w:sz w:val="22"/>
              </w:rPr>
            </w:pPr>
            <w:r>
              <w:rPr>
                <w:rFonts w:ascii="Calibri"/>
                <w:spacing w:val="-2"/>
                <w:sz w:val="22"/>
              </w:rPr>
              <w:t>12.55091</w:t>
            </w:r>
          </w:p>
        </w:tc>
        <w:tc>
          <w:tcPr>
            <w:tcW w:w="1091" w:type="dxa"/>
          </w:tcPr>
          <w:p>
            <w:pPr>
              <w:pStyle w:val="TableParagraph"/>
              <w:spacing w:before="249"/>
              <w:ind w:right="117"/>
              <w:jc w:val="right"/>
              <w:rPr>
                <w:rFonts w:ascii="Calibri"/>
                <w:sz w:val="22"/>
              </w:rPr>
            </w:pPr>
            <w:r>
              <w:rPr>
                <w:rFonts w:ascii="Calibri"/>
                <w:spacing w:val="-2"/>
                <w:sz w:val="22"/>
              </w:rPr>
              <w:t>9.97059</w:t>
            </w:r>
          </w:p>
        </w:tc>
        <w:tc>
          <w:tcPr>
            <w:tcW w:w="953" w:type="dxa"/>
          </w:tcPr>
          <w:p>
            <w:pPr>
              <w:pStyle w:val="TableParagraph"/>
              <w:spacing w:line="249" w:lineRule="exact"/>
              <w:ind w:right="106"/>
              <w:jc w:val="right"/>
              <w:rPr>
                <w:rFonts w:ascii="Calibri"/>
                <w:sz w:val="22"/>
              </w:rPr>
            </w:pPr>
            <w:r>
              <w:rPr>
                <w:rFonts w:ascii="Calibri"/>
                <w:spacing w:val="-10"/>
                <w:sz w:val="22"/>
              </w:rPr>
              <w:t>-</w:t>
            </w:r>
          </w:p>
          <w:p>
            <w:pPr>
              <w:pStyle w:val="TableParagraph"/>
              <w:ind w:right="107"/>
              <w:jc w:val="right"/>
              <w:rPr>
                <w:rFonts w:ascii="Calibri"/>
                <w:sz w:val="22"/>
              </w:rPr>
            </w:pPr>
            <w:r>
              <w:rPr>
                <w:rFonts w:ascii="Calibri"/>
                <w:spacing w:val="-2"/>
                <w:sz w:val="22"/>
              </w:rPr>
              <w:t>0.29451</w:t>
            </w:r>
          </w:p>
        </w:tc>
        <w:tc>
          <w:tcPr>
            <w:tcW w:w="1053" w:type="dxa"/>
          </w:tcPr>
          <w:p>
            <w:pPr>
              <w:pStyle w:val="TableParagraph"/>
              <w:spacing w:before="249"/>
              <w:ind w:left="4" w:right="3"/>
              <w:jc w:val="center"/>
              <w:rPr>
                <w:rFonts w:ascii="Calibri"/>
                <w:sz w:val="22"/>
              </w:rPr>
            </w:pPr>
            <w:r>
              <w:rPr>
                <w:rFonts w:ascii="Calibri"/>
                <w:spacing w:val="-2"/>
                <w:sz w:val="22"/>
              </w:rPr>
              <w:t>2.140066</w:t>
            </w:r>
          </w:p>
        </w:tc>
        <w:tc>
          <w:tcPr>
            <w:tcW w:w="1053" w:type="dxa"/>
          </w:tcPr>
          <w:p>
            <w:pPr>
              <w:pStyle w:val="TableParagraph"/>
              <w:spacing w:before="249"/>
              <w:ind w:left="4" w:right="5"/>
              <w:jc w:val="center"/>
              <w:rPr>
                <w:rFonts w:ascii="Calibri"/>
                <w:sz w:val="22"/>
              </w:rPr>
            </w:pPr>
            <w:r>
              <w:rPr>
                <w:rFonts w:ascii="Calibri"/>
                <w:spacing w:val="-2"/>
                <w:sz w:val="22"/>
              </w:rPr>
              <w:t>10.57896</w:t>
            </w:r>
          </w:p>
        </w:tc>
        <w:tc>
          <w:tcPr>
            <w:tcW w:w="1061" w:type="dxa"/>
          </w:tcPr>
          <w:p>
            <w:pPr>
              <w:pStyle w:val="TableParagraph"/>
              <w:spacing w:before="249"/>
              <w:ind w:right="114"/>
              <w:jc w:val="right"/>
              <w:rPr>
                <w:rFonts w:ascii="Calibri"/>
                <w:sz w:val="22"/>
              </w:rPr>
            </w:pPr>
            <w:r>
              <w:rPr>
                <w:rFonts w:ascii="Calibri"/>
                <w:spacing w:val="-2"/>
                <w:sz w:val="22"/>
              </w:rPr>
              <w:t>1.568616</w:t>
            </w:r>
          </w:p>
        </w:tc>
        <w:tc>
          <w:tcPr>
            <w:tcW w:w="1061" w:type="dxa"/>
          </w:tcPr>
          <w:p>
            <w:pPr>
              <w:pStyle w:val="TableParagraph"/>
              <w:spacing w:before="249"/>
              <w:ind w:right="107"/>
              <w:jc w:val="right"/>
              <w:rPr>
                <w:rFonts w:ascii="Calibri"/>
                <w:sz w:val="22"/>
              </w:rPr>
            </w:pPr>
            <w:r>
              <w:rPr>
                <w:rFonts w:ascii="Calibri"/>
                <w:spacing w:val="-2"/>
                <w:sz w:val="22"/>
              </w:rPr>
              <w:t>12.66415</w:t>
            </w:r>
          </w:p>
        </w:tc>
        <w:tc>
          <w:tcPr>
            <w:tcW w:w="1155" w:type="dxa"/>
          </w:tcPr>
          <w:p>
            <w:pPr>
              <w:pStyle w:val="TableParagraph"/>
              <w:spacing w:before="249"/>
              <w:ind w:right="209"/>
              <w:jc w:val="right"/>
              <w:rPr>
                <w:rFonts w:ascii="Calibri"/>
                <w:sz w:val="22"/>
              </w:rPr>
            </w:pPr>
            <w:r>
              <w:rPr>
                <w:rFonts w:ascii="Calibri"/>
                <w:spacing w:val="-2"/>
                <w:sz w:val="22"/>
              </w:rPr>
              <w:t>2.695978</w:t>
            </w:r>
          </w:p>
        </w:tc>
        <w:tc>
          <w:tcPr>
            <w:tcW w:w="1096" w:type="dxa"/>
          </w:tcPr>
          <w:p>
            <w:pPr>
              <w:pStyle w:val="TableParagraph"/>
              <w:spacing w:before="249"/>
              <w:ind w:right="49"/>
              <w:jc w:val="right"/>
              <w:rPr>
                <w:rFonts w:ascii="Calibri"/>
                <w:sz w:val="22"/>
              </w:rPr>
            </w:pPr>
            <w:r>
              <w:rPr>
                <w:rFonts w:ascii="Calibri"/>
                <w:spacing w:val="-2"/>
                <w:sz w:val="22"/>
              </w:rPr>
              <w:t>11.97391</w:t>
            </w:r>
          </w:p>
        </w:tc>
      </w:tr>
      <w:tr>
        <w:trPr>
          <w:trHeight w:val="553" w:hRule="atLeast"/>
        </w:trPr>
        <w:tc>
          <w:tcPr>
            <w:tcW w:w="606" w:type="dxa"/>
          </w:tcPr>
          <w:p>
            <w:pPr>
              <w:pStyle w:val="TableParagraph"/>
              <w:spacing w:before="249"/>
              <w:ind w:right="56"/>
              <w:jc w:val="center"/>
              <w:rPr>
                <w:rFonts w:ascii="Calibri"/>
                <w:sz w:val="22"/>
              </w:rPr>
            </w:pPr>
            <w:r>
              <w:rPr>
                <w:rFonts w:ascii="Calibri"/>
                <w:spacing w:val="-4"/>
                <w:sz w:val="22"/>
              </w:rPr>
              <w:t>1998</w:t>
            </w:r>
          </w:p>
        </w:tc>
        <w:tc>
          <w:tcPr>
            <w:tcW w:w="1081" w:type="dxa"/>
          </w:tcPr>
          <w:p>
            <w:pPr>
              <w:pStyle w:val="TableParagraph"/>
              <w:spacing w:before="249"/>
              <w:ind w:right="134"/>
              <w:jc w:val="right"/>
              <w:rPr>
                <w:rFonts w:ascii="Calibri"/>
                <w:sz w:val="22"/>
              </w:rPr>
            </w:pPr>
            <w:r>
              <w:rPr>
                <w:rFonts w:ascii="Calibri"/>
                <w:spacing w:val="-2"/>
                <w:sz w:val="22"/>
              </w:rPr>
              <w:t>13.09279</w:t>
            </w:r>
          </w:p>
        </w:tc>
        <w:tc>
          <w:tcPr>
            <w:tcW w:w="1091" w:type="dxa"/>
          </w:tcPr>
          <w:p>
            <w:pPr>
              <w:pStyle w:val="TableParagraph"/>
              <w:spacing w:before="249"/>
              <w:ind w:right="116"/>
              <w:jc w:val="right"/>
              <w:rPr>
                <w:rFonts w:ascii="Calibri"/>
                <w:sz w:val="22"/>
              </w:rPr>
            </w:pPr>
            <w:r>
              <w:rPr>
                <w:rFonts w:ascii="Calibri"/>
                <w:spacing w:val="-2"/>
                <w:sz w:val="22"/>
              </w:rPr>
              <w:t>10.52097</w:t>
            </w:r>
          </w:p>
        </w:tc>
        <w:tc>
          <w:tcPr>
            <w:tcW w:w="953" w:type="dxa"/>
          </w:tcPr>
          <w:p>
            <w:pPr>
              <w:pStyle w:val="TableParagraph"/>
              <w:spacing w:line="249" w:lineRule="exact"/>
              <w:ind w:right="106"/>
              <w:jc w:val="right"/>
              <w:rPr>
                <w:rFonts w:ascii="Calibri"/>
                <w:sz w:val="22"/>
              </w:rPr>
            </w:pPr>
            <w:r>
              <w:rPr>
                <w:rFonts w:ascii="Calibri"/>
                <w:spacing w:val="-10"/>
                <w:sz w:val="22"/>
              </w:rPr>
              <w:t>-</w:t>
            </w:r>
          </w:p>
          <w:p>
            <w:pPr>
              <w:pStyle w:val="TableParagraph"/>
              <w:ind w:right="107"/>
              <w:jc w:val="right"/>
              <w:rPr>
                <w:rFonts w:ascii="Calibri"/>
                <w:sz w:val="22"/>
              </w:rPr>
            </w:pPr>
            <w:r>
              <w:rPr>
                <w:rFonts w:ascii="Calibri"/>
                <w:spacing w:val="-2"/>
                <w:sz w:val="22"/>
              </w:rPr>
              <w:t>0.53307</w:t>
            </w:r>
          </w:p>
        </w:tc>
        <w:tc>
          <w:tcPr>
            <w:tcW w:w="1053" w:type="dxa"/>
          </w:tcPr>
          <w:p>
            <w:pPr>
              <w:pStyle w:val="TableParagraph"/>
              <w:spacing w:before="249"/>
              <w:ind w:left="4" w:right="3"/>
              <w:jc w:val="center"/>
              <w:rPr>
                <w:rFonts w:ascii="Calibri"/>
                <w:sz w:val="22"/>
              </w:rPr>
            </w:pPr>
            <w:r>
              <w:rPr>
                <w:rFonts w:ascii="Calibri"/>
                <w:spacing w:val="-2"/>
                <w:sz w:val="22"/>
              </w:rPr>
              <w:t>2.302585</w:t>
            </w:r>
          </w:p>
        </w:tc>
        <w:tc>
          <w:tcPr>
            <w:tcW w:w="1053" w:type="dxa"/>
          </w:tcPr>
          <w:p>
            <w:pPr>
              <w:pStyle w:val="TableParagraph"/>
              <w:spacing w:before="249"/>
              <w:ind w:left="4" w:right="5"/>
              <w:jc w:val="center"/>
              <w:rPr>
                <w:rFonts w:ascii="Calibri"/>
                <w:sz w:val="22"/>
              </w:rPr>
            </w:pPr>
            <w:r>
              <w:rPr>
                <w:rFonts w:ascii="Calibri"/>
                <w:spacing w:val="-2"/>
                <w:sz w:val="22"/>
              </w:rPr>
              <w:t>4.862908</w:t>
            </w:r>
          </w:p>
        </w:tc>
        <w:tc>
          <w:tcPr>
            <w:tcW w:w="1061" w:type="dxa"/>
          </w:tcPr>
          <w:p>
            <w:pPr>
              <w:pStyle w:val="TableParagraph"/>
              <w:spacing w:before="249"/>
              <w:ind w:right="114"/>
              <w:jc w:val="right"/>
              <w:rPr>
                <w:rFonts w:ascii="Calibri"/>
                <w:sz w:val="22"/>
              </w:rPr>
            </w:pPr>
            <w:r>
              <w:rPr>
                <w:rFonts w:ascii="Calibri"/>
                <w:spacing w:val="-2"/>
                <w:sz w:val="22"/>
              </w:rPr>
              <w:t>1.702928</w:t>
            </w:r>
          </w:p>
        </w:tc>
        <w:tc>
          <w:tcPr>
            <w:tcW w:w="1061" w:type="dxa"/>
          </w:tcPr>
          <w:p>
            <w:pPr>
              <w:pStyle w:val="TableParagraph"/>
              <w:spacing w:before="249"/>
              <w:ind w:right="107"/>
              <w:jc w:val="right"/>
              <w:rPr>
                <w:rFonts w:ascii="Calibri"/>
                <w:sz w:val="22"/>
              </w:rPr>
            </w:pPr>
            <w:r>
              <w:rPr>
                <w:rFonts w:ascii="Calibri"/>
                <w:spacing w:val="-2"/>
                <w:sz w:val="22"/>
              </w:rPr>
              <w:t>12.77126</w:t>
            </w:r>
          </w:p>
        </w:tc>
        <w:tc>
          <w:tcPr>
            <w:tcW w:w="1155" w:type="dxa"/>
          </w:tcPr>
          <w:p>
            <w:pPr>
              <w:pStyle w:val="TableParagraph"/>
              <w:spacing w:before="249"/>
              <w:ind w:right="209"/>
              <w:jc w:val="right"/>
              <w:rPr>
                <w:rFonts w:ascii="Calibri"/>
                <w:sz w:val="22"/>
              </w:rPr>
            </w:pPr>
            <w:r>
              <w:rPr>
                <w:rFonts w:ascii="Calibri"/>
                <w:spacing w:val="-2"/>
                <w:sz w:val="22"/>
              </w:rPr>
              <w:t>2.590767</w:t>
            </w:r>
          </w:p>
        </w:tc>
        <w:tc>
          <w:tcPr>
            <w:tcW w:w="1096" w:type="dxa"/>
          </w:tcPr>
          <w:p>
            <w:pPr>
              <w:pStyle w:val="TableParagraph"/>
              <w:spacing w:before="249"/>
              <w:ind w:right="49"/>
              <w:jc w:val="right"/>
              <w:rPr>
                <w:rFonts w:ascii="Calibri"/>
                <w:sz w:val="22"/>
              </w:rPr>
            </w:pPr>
            <w:r>
              <w:rPr>
                <w:rFonts w:ascii="Calibri"/>
                <w:spacing w:val="-2"/>
                <w:sz w:val="22"/>
              </w:rPr>
              <w:t>12.09009</w:t>
            </w:r>
          </w:p>
        </w:tc>
      </w:tr>
      <w:tr>
        <w:trPr>
          <w:trHeight w:val="283" w:hRule="atLeast"/>
        </w:trPr>
        <w:tc>
          <w:tcPr>
            <w:tcW w:w="606" w:type="dxa"/>
          </w:tcPr>
          <w:p>
            <w:pPr>
              <w:pStyle w:val="TableParagraph"/>
              <w:spacing w:line="263" w:lineRule="exact"/>
              <w:ind w:right="56"/>
              <w:jc w:val="center"/>
              <w:rPr>
                <w:rFonts w:ascii="Calibri"/>
                <w:sz w:val="22"/>
              </w:rPr>
            </w:pPr>
            <w:r>
              <w:rPr>
                <w:rFonts w:ascii="Calibri"/>
                <w:spacing w:val="-4"/>
                <w:sz w:val="22"/>
              </w:rPr>
              <w:t>1999</w:t>
            </w:r>
          </w:p>
        </w:tc>
        <w:tc>
          <w:tcPr>
            <w:tcW w:w="1081" w:type="dxa"/>
          </w:tcPr>
          <w:p>
            <w:pPr>
              <w:pStyle w:val="TableParagraph"/>
              <w:spacing w:line="263" w:lineRule="exact"/>
              <w:ind w:right="134"/>
              <w:jc w:val="right"/>
              <w:rPr>
                <w:rFonts w:ascii="Calibri"/>
                <w:sz w:val="22"/>
              </w:rPr>
            </w:pPr>
            <w:r>
              <w:rPr>
                <w:rFonts w:ascii="Calibri"/>
                <w:spacing w:val="-2"/>
                <w:sz w:val="22"/>
              </w:rPr>
              <w:t>16.80244</w:t>
            </w:r>
          </w:p>
        </w:tc>
        <w:tc>
          <w:tcPr>
            <w:tcW w:w="1091" w:type="dxa"/>
          </w:tcPr>
          <w:p>
            <w:pPr>
              <w:pStyle w:val="TableParagraph"/>
              <w:spacing w:line="263" w:lineRule="exact"/>
              <w:ind w:right="116"/>
              <w:jc w:val="right"/>
              <w:rPr>
                <w:rFonts w:ascii="Calibri"/>
                <w:sz w:val="22"/>
              </w:rPr>
            </w:pPr>
            <w:r>
              <w:rPr>
                <w:rFonts w:ascii="Calibri"/>
                <w:spacing w:val="-2"/>
                <w:sz w:val="22"/>
              </w:rPr>
              <w:t>16.80846</w:t>
            </w:r>
          </w:p>
        </w:tc>
        <w:tc>
          <w:tcPr>
            <w:tcW w:w="953" w:type="dxa"/>
          </w:tcPr>
          <w:p>
            <w:pPr>
              <w:pStyle w:val="TableParagraph"/>
              <w:spacing w:line="263" w:lineRule="exact"/>
              <w:ind w:left="54"/>
              <w:jc w:val="center"/>
              <w:rPr>
                <w:rFonts w:ascii="Calibri"/>
                <w:sz w:val="22"/>
              </w:rPr>
            </w:pPr>
            <w:r>
              <w:rPr>
                <w:rFonts w:ascii="Calibri"/>
                <w:spacing w:val="-2"/>
                <w:sz w:val="22"/>
              </w:rPr>
              <w:t>-0.4427</w:t>
            </w:r>
          </w:p>
        </w:tc>
        <w:tc>
          <w:tcPr>
            <w:tcW w:w="1053" w:type="dxa"/>
          </w:tcPr>
          <w:p>
            <w:pPr>
              <w:pStyle w:val="TableParagraph"/>
              <w:spacing w:line="263" w:lineRule="exact"/>
              <w:ind w:left="114" w:right="2"/>
              <w:jc w:val="center"/>
              <w:rPr>
                <w:rFonts w:ascii="Calibri"/>
                <w:sz w:val="22"/>
              </w:rPr>
            </w:pPr>
            <w:r>
              <w:rPr>
                <w:rFonts w:ascii="Calibri"/>
                <w:spacing w:val="-2"/>
                <w:sz w:val="22"/>
              </w:rPr>
              <w:t>1.88707</w:t>
            </w:r>
          </w:p>
        </w:tc>
        <w:tc>
          <w:tcPr>
            <w:tcW w:w="1053" w:type="dxa"/>
          </w:tcPr>
          <w:p>
            <w:pPr>
              <w:pStyle w:val="TableParagraph"/>
              <w:spacing w:line="263" w:lineRule="exact"/>
              <w:ind w:left="4" w:right="5"/>
              <w:jc w:val="center"/>
              <w:rPr>
                <w:rFonts w:ascii="Calibri"/>
                <w:sz w:val="22"/>
              </w:rPr>
            </w:pPr>
            <w:r>
              <w:rPr>
                <w:rFonts w:ascii="Calibri"/>
                <w:spacing w:val="-2"/>
                <w:sz w:val="22"/>
              </w:rPr>
              <w:t>9.212009</w:t>
            </w:r>
          </w:p>
        </w:tc>
        <w:tc>
          <w:tcPr>
            <w:tcW w:w="1061" w:type="dxa"/>
          </w:tcPr>
          <w:p>
            <w:pPr>
              <w:pStyle w:val="TableParagraph"/>
              <w:spacing w:line="263" w:lineRule="exact"/>
              <w:ind w:right="114"/>
              <w:jc w:val="right"/>
              <w:rPr>
                <w:rFonts w:ascii="Calibri"/>
                <w:sz w:val="22"/>
              </w:rPr>
            </w:pPr>
            <w:r>
              <w:rPr>
                <w:rFonts w:ascii="Calibri"/>
                <w:spacing w:val="-2"/>
                <w:sz w:val="22"/>
              </w:rPr>
              <w:t>1.673351</w:t>
            </w:r>
          </w:p>
        </w:tc>
        <w:tc>
          <w:tcPr>
            <w:tcW w:w="1061" w:type="dxa"/>
          </w:tcPr>
          <w:p>
            <w:pPr>
              <w:pStyle w:val="TableParagraph"/>
              <w:spacing w:line="263" w:lineRule="exact"/>
              <w:ind w:right="107"/>
              <w:jc w:val="right"/>
              <w:rPr>
                <w:rFonts w:ascii="Calibri"/>
                <w:sz w:val="22"/>
              </w:rPr>
            </w:pPr>
            <w:r>
              <w:rPr>
                <w:rFonts w:ascii="Calibri"/>
                <w:spacing w:val="-2"/>
                <w:sz w:val="22"/>
              </w:rPr>
              <w:t>12.97425</w:t>
            </w:r>
          </w:p>
        </w:tc>
        <w:tc>
          <w:tcPr>
            <w:tcW w:w="1155" w:type="dxa"/>
          </w:tcPr>
          <w:p>
            <w:pPr>
              <w:pStyle w:val="TableParagraph"/>
              <w:spacing w:line="263" w:lineRule="exact"/>
              <w:ind w:right="209"/>
              <w:jc w:val="right"/>
              <w:rPr>
                <w:rFonts w:ascii="Calibri"/>
                <w:sz w:val="22"/>
              </w:rPr>
            </w:pPr>
            <w:r>
              <w:rPr>
                <w:rFonts w:ascii="Calibri"/>
                <w:spacing w:val="-2"/>
                <w:sz w:val="22"/>
              </w:rPr>
              <w:t>2.941276</w:t>
            </w:r>
          </w:p>
        </w:tc>
        <w:tc>
          <w:tcPr>
            <w:tcW w:w="1096" w:type="dxa"/>
          </w:tcPr>
          <w:p>
            <w:pPr>
              <w:pStyle w:val="TableParagraph"/>
              <w:spacing w:line="263" w:lineRule="exact"/>
              <w:ind w:right="49"/>
              <w:jc w:val="right"/>
              <w:rPr>
                <w:rFonts w:ascii="Calibri"/>
                <w:sz w:val="22"/>
              </w:rPr>
            </w:pPr>
            <w:r>
              <w:rPr>
                <w:rFonts w:ascii="Calibri"/>
                <w:spacing w:val="-2"/>
                <w:sz w:val="22"/>
              </w:rPr>
              <w:t>13.01625</w:t>
            </w:r>
          </w:p>
        </w:tc>
      </w:tr>
      <w:tr>
        <w:trPr>
          <w:trHeight w:val="536" w:hRule="atLeast"/>
        </w:trPr>
        <w:tc>
          <w:tcPr>
            <w:tcW w:w="606" w:type="dxa"/>
          </w:tcPr>
          <w:p>
            <w:pPr>
              <w:pStyle w:val="TableParagraph"/>
              <w:spacing w:before="247"/>
              <w:ind w:right="56"/>
              <w:jc w:val="center"/>
              <w:rPr>
                <w:rFonts w:ascii="Calibri"/>
                <w:sz w:val="22"/>
              </w:rPr>
            </w:pPr>
            <w:r>
              <w:rPr>
                <w:rFonts w:ascii="Calibri"/>
                <w:spacing w:val="-4"/>
                <w:sz w:val="22"/>
              </w:rPr>
              <w:t>2000</w:t>
            </w:r>
          </w:p>
        </w:tc>
        <w:tc>
          <w:tcPr>
            <w:tcW w:w="1081" w:type="dxa"/>
          </w:tcPr>
          <w:p>
            <w:pPr>
              <w:pStyle w:val="TableParagraph"/>
              <w:spacing w:before="247"/>
              <w:ind w:right="134"/>
              <w:jc w:val="right"/>
              <w:rPr>
                <w:rFonts w:ascii="Calibri"/>
                <w:sz w:val="22"/>
              </w:rPr>
            </w:pPr>
            <w:r>
              <w:rPr>
                <w:rFonts w:ascii="Calibri"/>
                <w:spacing w:val="-2"/>
                <w:sz w:val="22"/>
              </w:rPr>
              <w:t>13.6498</w:t>
            </w:r>
          </w:p>
        </w:tc>
        <w:tc>
          <w:tcPr>
            <w:tcW w:w="1091" w:type="dxa"/>
          </w:tcPr>
          <w:p>
            <w:pPr>
              <w:pStyle w:val="TableParagraph"/>
              <w:spacing w:before="247"/>
              <w:ind w:right="116"/>
              <w:jc w:val="right"/>
              <w:rPr>
                <w:rFonts w:ascii="Calibri"/>
                <w:sz w:val="22"/>
              </w:rPr>
            </w:pPr>
            <w:r>
              <w:rPr>
                <w:rFonts w:ascii="Calibri"/>
                <w:spacing w:val="-2"/>
                <w:sz w:val="22"/>
              </w:rPr>
              <w:t>13.1616</w:t>
            </w:r>
          </w:p>
        </w:tc>
        <w:tc>
          <w:tcPr>
            <w:tcW w:w="953" w:type="dxa"/>
          </w:tcPr>
          <w:p>
            <w:pPr>
              <w:pStyle w:val="TableParagraph"/>
              <w:spacing w:line="247" w:lineRule="exact"/>
              <w:ind w:right="106"/>
              <w:jc w:val="right"/>
              <w:rPr>
                <w:rFonts w:ascii="Calibri"/>
                <w:sz w:val="22"/>
              </w:rPr>
            </w:pPr>
            <w:r>
              <w:rPr>
                <w:rFonts w:ascii="Calibri"/>
                <w:spacing w:val="-10"/>
                <w:sz w:val="22"/>
              </w:rPr>
              <w:t>-</w:t>
            </w:r>
          </w:p>
          <w:p>
            <w:pPr>
              <w:pStyle w:val="TableParagraph"/>
              <w:ind w:right="107"/>
              <w:jc w:val="right"/>
              <w:rPr>
                <w:rFonts w:ascii="Calibri"/>
                <w:sz w:val="22"/>
              </w:rPr>
            </w:pPr>
            <w:r>
              <w:rPr>
                <w:rFonts w:ascii="Calibri"/>
                <w:spacing w:val="-2"/>
                <w:sz w:val="22"/>
              </w:rPr>
              <w:t>0.44691</w:t>
            </w:r>
          </w:p>
        </w:tc>
        <w:tc>
          <w:tcPr>
            <w:tcW w:w="1053" w:type="dxa"/>
          </w:tcPr>
          <w:p>
            <w:pPr>
              <w:pStyle w:val="TableParagraph"/>
              <w:spacing w:before="247"/>
              <w:ind w:left="4" w:right="3"/>
              <w:jc w:val="center"/>
              <w:rPr>
                <w:rFonts w:ascii="Calibri"/>
                <w:sz w:val="22"/>
              </w:rPr>
            </w:pPr>
            <w:r>
              <w:rPr>
                <w:rFonts w:ascii="Calibri"/>
                <w:spacing w:val="-2"/>
                <w:sz w:val="22"/>
              </w:rPr>
              <w:t>1.931521</w:t>
            </w:r>
          </w:p>
        </w:tc>
        <w:tc>
          <w:tcPr>
            <w:tcW w:w="1053" w:type="dxa"/>
          </w:tcPr>
          <w:p>
            <w:pPr>
              <w:pStyle w:val="TableParagraph"/>
              <w:spacing w:before="247"/>
              <w:ind w:left="4" w:right="5"/>
              <w:jc w:val="center"/>
              <w:rPr>
                <w:rFonts w:ascii="Calibri"/>
                <w:sz w:val="22"/>
              </w:rPr>
            </w:pPr>
            <w:r>
              <w:rPr>
                <w:rFonts w:ascii="Calibri"/>
                <w:spacing w:val="-2"/>
                <w:sz w:val="22"/>
              </w:rPr>
              <w:t>11.51309</w:t>
            </w:r>
          </w:p>
        </w:tc>
        <w:tc>
          <w:tcPr>
            <w:tcW w:w="1061" w:type="dxa"/>
          </w:tcPr>
          <w:p>
            <w:pPr>
              <w:pStyle w:val="TableParagraph"/>
              <w:spacing w:before="247"/>
              <w:ind w:right="114"/>
              <w:jc w:val="right"/>
              <w:rPr>
                <w:rFonts w:ascii="Calibri"/>
                <w:sz w:val="22"/>
              </w:rPr>
            </w:pPr>
            <w:r>
              <w:rPr>
                <w:rFonts w:ascii="Calibri"/>
                <w:spacing w:val="-2"/>
                <w:sz w:val="22"/>
              </w:rPr>
              <w:t>1.665818</w:t>
            </w:r>
          </w:p>
        </w:tc>
        <w:tc>
          <w:tcPr>
            <w:tcW w:w="1061" w:type="dxa"/>
          </w:tcPr>
          <w:p>
            <w:pPr>
              <w:pStyle w:val="TableParagraph"/>
              <w:spacing w:before="247"/>
              <w:ind w:right="107"/>
              <w:jc w:val="right"/>
              <w:rPr>
                <w:rFonts w:ascii="Calibri"/>
                <w:sz w:val="22"/>
              </w:rPr>
            </w:pPr>
            <w:r>
              <w:rPr>
                <w:rFonts w:ascii="Calibri"/>
                <w:spacing w:val="-2"/>
                <w:sz w:val="22"/>
              </w:rPr>
              <w:t>13.18134</w:t>
            </w:r>
          </w:p>
        </w:tc>
        <w:tc>
          <w:tcPr>
            <w:tcW w:w="1155" w:type="dxa"/>
          </w:tcPr>
          <w:p>
            <w:pPr>
              <w:pStyle w:val="TableParagraph"/>
              <w:spacing w:before="247"/>
              <w:ind w:right="209"/>
              <w:jc w:val="right"/>
              <w:rPr>
                <w:rFonts w:ascii="Calibri"/>
                <w:sz w:val="22"/>
              </w:rPr>
            </w:pPr>
            <w:r>
              <w:rPr>
                <w:rFonts w:ascii="Calibri"/>
                <w:spacing w:val="-2"/>
                <w:sz w:val="22"/>
              </w:rPr>
              <w:t>2.523326</w:t>
            </w:r>
          </w:p>
        </w:tc>
        <w:tc>
          <w:tcPr>
            <w:tcW w:w="1096" w:type="dxa"/>
          </w:tcPr>
          <w:p>
            <w:pPr>
              <w:pStyle w:val="TableParagraph"/>
              <w:spacing w:before="247"/>
              <w:ind w:right="49"/>
              <w:jc w:val="right"/>
              <w:rPr>
                <w:rFonts w:ascii="Calibri"/>
                <w:sz w:val="22"/>
              </w:rPr>
            </w:pPr>
            <w:r>
              <w:rPr>
                <w:rFonts w:ascii="Calibri"/>
                <w:spacing w:val="-2"/>
                <w:sz w:val="22"/>
              </w:rPr>
              <w:t>13.04245</w:t>
            </w:r>
          </w:p>
        </w:tc>
      </w:tr>
      <w:tr>
        <w:trPr>
          <w:trHeight w:val="537" w:hRule="atLeast"/>
        </w:trPr>
        <w:tc>
          <w:tcPr>
            <w:tcW w:w="606" w:type="dxa"/>
          </w:tcPr>
          <w:p>
            <w:pPr>
              <w:pStyle w:val="TableParagraph"/>
              <w:spacing w:before="249"/>
              <w:ind w:right="56"/>
              <w:jc w:val="center"/>
              <w:rPr>
                <w:rFonts w:ascii="Calibri"/>
                <w:sz w:val="22"/>
              </w:rPr>
            </w:pPr>
            <w:r>
              <w:rPr>
                <w:rFonts w:ascii="Calibri"/>
                <w:spacing w:val="-4"/>
                <w:sz w:val="22"/>
              </w:rPr>
              <w:t>2001</w:t>
            </w:r>
          </w:p>
        </w:tc>
        <w:tc>
          <w:tcPr>
            <w:tcW w:w="1081" w:type="dxa"/>
          </w:tcPr>
          <w:p>
            <w:pPr>
              <w:pStyle w:val="TableParagraph"/>
              <w:spacing w:before="249"/>
              <w:ind w:right="134"/>
              <w:jc w:val="right"/>
              <w:rPr>
                <w:rFonts w:ascii="Calibri"/>
                <w:sz w:val="22"/>
              </w:rPr>
            </w:pPr>
            <w:r>
              <w:rPr>
                <w:rFonts w:ascii="Calibri"/>
                <w:spacing w:val="-2"/>
                <w:sz w:val="22"/>
              </w:rPr>
              <w:t>12.88067</w:t>
            </w:r>
          </w:p>
        </w:tc>
        <w:tc>
          <w:tcPr>
            <w:tcW w:w="1091" w:type="dxa"/>
          </w:tcPr>
          <w:p>
            <w:pPr>
              <w:pStyle w:val="TableParagraph"/>
              <w:spacing w:before="249"/>
              <w:ind w:right="116"/>
              <w:jc w:val="right"/>
              <w:rPr>
                <w:rFonts w:ascii="Calibri"/>
                <w:sz w:val="22"/>
              </w:rPr>
            </w:pPr>
            <w:r>
              <w:rPr>
                <w:rFonts w:ascii="Calibri"/>
                <w:spacing w:val="-2"/>
                <w:sz w:val="22"/>
              </w:rPr>
              <w:t>11.27603</w:t>
            </w:r>
          </w:p>
        </w:tc>
        <w:tc>
          <w:tcPr>
            <w:tcW w:w="953" w:type="dxa"/>
          </w:tcPr>
          <w:p>
            <w:pPr>
              <w:pStyle w:val="TableParagraph"/>
              <w:spacing w:line="249" w:lineRule="exact"/>
              <w:ind w:right="106"/>
              <w:jc w:val="right"/>
              <w:rPr>
                <w:rFonts w:ascii="Calibri"/>
                <w:sz w:val="22"/>
              </w:rPr>
            </w:pPr>
            <w:r>
              <w:rPr>
                <w:rFonts w:ascii="Calibri"/>
                <w:spacing w:val="-10"/>
                <w:sz w:val="22"/>
              </w:rPr>
              <w:t>-</w:t>
            </w:r>
          </w:p>
          <w:p>
            <w:pPr>
              <w:pStyle w:val="TableParagraph"/>
              <w:ind w:right="107"/>
              <w:jc w:val="right"/>
              <w:rPr>
                <w:rFonts w:ascii="Calibri"/>
                <w:sz w:val="22"/>
              </w:rPr>
            </w:pPr>
            <w:r>
              <w:rPr>
                <w:rFonts w:ascii="Calibri"/>
                <w:spacing w:val="-2"/>
                <w:sz w:val="22"/>
              </w:rPr>
              <w:t>0.38155</w:t>
            </w:r>
          </w:p>
        </w:tc>
        <w:tc>
          <w:tcPr>
            <w:tcW w:w="1053" w:type="dxa"/>
          </w:tcPr>
          <w:p>
            <w:pPr>
              <w:pStyle w:val="TableParagraph"/>
              <w:spacing w:before="249"/>
              <w:ind w:left="4" w:right="3"/>
              <w:jc w:val="center"/>
              <w:rPr>
                <w:rFonts w:ascii="Calibri"/>
                <w:sz w:val="22"/>
              </w:rPr>
            </w:pPr>
            <w:r>
              <w:rPr>
                <w:rFonts w:ascii="Calibri"/>
                <w:spacing w:val="-2"/>
                <w:sz w:val="22"/>
              </w:rPr>
              <w:t>2.939162</w:t>
            </w:r>
          </w:p>
        </w:tc>
        <w:tc>
          <w:tcPr>
            <w:tcW w:w="1053" w:type="dxa"/>
          </w:tcPr>
          <w:p>
            <w:pPr>
              <w:pStyle w:val="TableParagraph"/>
              <w:spacing w:before="249"/>
              <w:ind w:left="4" w:right="5"/>
              <w:jc w:val="center"/>
              <w:rPr>
                <w:rFonts w:ascii="Calibri"/>
                <w:sz w:val="22"/>
              </w:rPr>
            </w:pPr>
            <w:r>
              <w:rPr>
                <w:rFonts w:ascii="Calibri"/>
                <w:spacing w:val="-2"/>
                <w:sz w:val="22"/>
              </w:rPr>
              <w:t>10.63976</w:t>
            </w:r>
          </w:p>
        </w:tc>
        <w:tc>
          <w:tcPr>
            <w:tcW w:w="1061" w:type="dxa"/>
          </w:tcPr>
          <w:p>
            <w:pPr>
              <w:pStyle w:val="TableParagraph"/>
              <w:spacing w:before="249"/>
              <w:ind w:right="114"/>
              <w:jc w:val="right"/>
              <w:rPr>
                <w:rFonts w:ascii="Calibri"/>
                <w:sz w:val="22"/>
              </w:rPr>
            </w:pPr>
            <w:r>
              <w:rPr>
                <w:rFonts w:ascii="Calibri"/>
                <w:spacing w:val="-2"/>
                <w:sz w:val="22"/>
              </w:rPr>
              <w:t>1.702928</w:t>
            </w:r>
          </w:p>
        </w:tc>
        <w:tc>
          <w:tcPr>
            <w:tcW w:w="1061" w:type="dxa"/>
          </w:tcPr>
          <w:p>
            <w:pPr>
              <w:pStyle w:val="TableParagraph"/>
              <w:spacing w:before="249"/>
              <w:ind w:right="107"/>
              <w:jc w:val="right"/>
              <w:rPr>
                <w:rFonts w:ascii="Calibri"/>
                <w:sz w:val="22"/>
              </w:rPr>
            </w:pPr>
            <w:r>
              <w:rPr>
                <w:rFonts w:ascii="Calibri"/>
                <w:spacing w:val="-2"/>
                <w:sz w:val="22"/>
              </w:rPr>
              <w:t>13.54758</w:t>
            </w:r>
          </w:p>
        </w:tc>
        <w:tc>
          <w:tcPr>
            <w:tcW w:w="1155" w:type="dxa"/>
          </w:tcPr>
          <w:p>
            <w:pPr>
              <w:pStyle w:val="TableParagraph"/>
              <w:spacing w:before="249"/>
              <w:ind w:right="209"/>
              <w:jc w:val="right"/>
              <w:rPr>
                <w:rFonts w:ascii="Calibri"/>
                <w:sz w:val="22"/>
              </w:rPr>
            </w:pPr>
            <w:r>
              <w:rPr>
                <w:rFonts w:ascii="Calibri"/>
                <w:spacing w:val="-2"/>
                <w:sz w:val="22"/>
              </w:rPr>
              <w:t>2.678965</w:t>
            </w:r>
          </w:p>
        </w:tc>
        <w:tc>
          <w:tcPr>
            <w:tcW w:w="1096" w:type="dxa"/>
          </w:tcPr>
          <w:p>
            <w:pPr>
              <w:pStyle w:val="TableParagraph"/>
              <w:spacing w:before="249"/>
              <w:ind w:right="49"/>
              <w:jc w:val="right"/>
              <w:rPr>
                <w:rFonts w:ascii="Calibri"/>
                <w:sz w:val="22"/>
              </w:rPr>
            </w:pPr>
            <w:r>
              <w:rPr>
                <w:rFonts w:ascii="Calibri"/>
                <w:spacing w:val="-2"/>
                <w:sz w:val="22"/>
              </w:rPr>
              <w:t>13.26958</w:t>
            </w:r>
          </w:p>
        </w:tc>
      </w:tr>
      <w:tr>
        <w:trPr>
          <w:trHeight w:val="553" w:hRule="atLeast"/>
        </w:trPr>
        <w:tc>
          <w:tcPr>
            <w:tcW w:w="606" w:type="dxa"/>
          </w:tcPr>
          <w:p>
            <w:pPr>
              <w:pStyle w:val="TableParagraph"/>
              <w:spacing w:before="249"/>
              <w:ind w:right="56"/>
              <w:jc w:val="center"/>
              <w:rPr>
                <w:rFonts w:ascii="Calibri"/>
                <w:sz w:val="22"/>
              </w:rPr>
            </w:pPr>
            <w:r>
              <w:rPr>
                <w:rFonts w:ascii="Calibri"/>
                <w:spacing w:val="-4"/>
                <w:sz w:val="22"/>
              </w:rPr>
              <w:t>2002</w:t>
            </w:r>
          </w:p>
        </w:tc>
        <w:tc>
          <w:tcPr>
            <w:tcW w:w="1081" w:type="dxa"/>
          </w:tcPr>
          <w:p>
            <w:pPr>
              <w:pStyle w:val="TableParagraph"/>
              <w:spacing w:before="249"/>
              <w:ind w:right="134"/>
              <w:jc w:val="right"/>
              <w:rPr>
                <w:rFonts w:ascii="Calibri"/>
                <w:sz w:val="22"/>
              </w:rPr>
            </w:pPr>
            <w:r>
              <w:rPr>
                <w:rFonts w:ascii="Calibri"/>
                <w:spacing w:val="-2"/>
                <w:sz w:val="22"/>
              </w:rPr>
              <w:t>13.67869</w:t>
            </w:r>
          </w:p>
        </w:tc>
        <w:tc>
          <w:tcPr>
            <w:tcW w:w="1091" w:type="dxa"/>
          </w:tcPr>
          <w:p>
            <w:pPr>
              <w:pStyle w:val="TableParagraph"/>
              <w:spacing w:before="249"/>
              <w:ind w:right="116"/>
              <w:jc w:val="right"/>
              <w:rPr>
                <w:rFonts w:ascii="Calibri"/>
                <w:sz w:val="22"/>
              </w:rPr>
            </w:pPr>
            <w:r>
              <w:rPr>
                <w:rFonts w:ascii="Calibri"/>
                <w:spacing w:val="-2"/>
                <w:sz w:val="22"/>
              </w:rPr>
              <w:t>13.53658</w:t>
            </w:r>
          </w:p>
        </w:tc>
        <w:tc>
          <w:tcPr>
            <w:tcW w:w="953" w:type="dxa"/>
          </w:tcPr>
          <w:p>
            <w:pPr>
              <w:pStyle w:val="TableParagraph"/>
              <w:spacing w:line="249" w:lineRule="exact"/>
              <w:ind w:right="106"/>
              <w:jc w:val="right"/>
              <w:rPr>
                <w:rFonts w:ascii="Calibri"/>
                <w:sz w:val="22"/>
              </w:rPr>
            </w:pPr>
            <w:r>
              <w:rPr>
                <w:rFonts w:ascii="Calibri"/>
                <w:spacing w:val="-10"/>
                <w:sz w:val="22"/>
              </w:rPr>
              <w:t>-</w:t>
            </w:r>
          </w:p>
          <w:p>
            <w:pPr>
              <w:pStyle w:val="TableParagraph"/>
              <w:ind w:right="107"/>
              <w:jc w:val="right"/>
              <w:rPr>
                <w:rFonts w:ascii="Calibri"/>
                <w:sz w:val="22"/>
              </w:rPr>
            </w:pPr>
            <w:r>
              <w:rPr>
                <w:rFonts w:ascii="Calibri"/>
                <w:spacing w:val="-2"/>
                <w:sz w:val="22"/>
              </w:rPr>
              <w:t>0.75247</w:t>
            </w:r>
          </w:p>
        </w:tc>
        <w:tc>
          <w:tcPr>
            <w:tcW w:w="1053" w:type="dxa"/>
          </w:tcPr>
          <w:p>
            <w:pPr>
              <w:pStyle w:val="TableParagraph"/>
              <w:spacing w:before="249"/>
              <w:ind w:left="4" w:right="3"/>
              <w:jc w:val="center"/>
              <w:rPr>
                <w:rFonts w:ascii="Calibri"/>
                <w:sz w:val="22"/>
              </w:rPr>
            </w:pPr>
            <w:r>
              <w:rPr>
                <w:rFonts w:ascii="Calibri"/>
                <w:spacing w:val="-2"/>
                <w:sz w:val="22"/>
              </w:rPr>
              <w:t>2.557227</w:t>
            </w:r>
          </w:p>
        </w:tc>
        <w:tc>
          <w:tcPr>
            <w:tcW w:w="1053" w:type="dxa"/>
          </w:tcPr>
          <w:p>
            <w:pPr>
              <w:pStyle w:val="TableParagraph"/>
              <w:spacing w:before="249"/>
              <w:ind w:left="4" w:right="5"/>
              <w:jc w:val="center"/>
              <w:rPr>
                <w:rFonts w:ascii="Calibri"/>
                <w:sz w:val="22"/>
              </w:rPr>
            </w:pPr>
            <w:r>
              <w:rPr>
                <w:rFonts w:ascii="Calibri"/>
                <w:spacing w:val="-2"/>
                <w:sz w:val="22"/>
              </w:rPr>
              <w:t>11.76203</w:t>
            </w:r>
          </w:p>
        </w:tc>
        <w:tc>
          <w:tcPr>
            <w:tcW w:w="1061" w:type="dxa"/>
          </w:tcPr>
          <w:p>
            <w:pPr>
              <w:pStyle w:val="TableParagraph"/>
              <w:spacing w:before="249"/>
              <w:ind w:right="114"/>
              <w:jc w:val="right"/>
              <w:rPr>
                <w:rFonts w:ascii="Calibri"/>
                <w:sz w:val="22"/>
              </w:rPr>
            </w:pPr>
            <w:r>
              <w:rPr>
                <w:rFonts w:ascii="Calibri"/>
                <w:spacing w:val="-2"/>
                <w:sz w:val="22"/>
              </w:rPr>
              <w:t>1.423108</w:t>
            </w:r>
          </w:p>
        </w:tc>
        <w:tc>
          <w:tcPr>
            <w:tcW w:w="1061" w:type="dxa"/>
          </w:tcPr>
          <w:p>
            <w:pPr>
              <w:pStyle w:val="TableParagraph"/>
              <w:spacing w:before="249"/>
              <w:ind w:right="107"/>
              <w:jc w:val="right"/>
              <w:rPr>
                <w:rFonts w:ascii="Calibri"/>
                <w:sz w:val="22"/>
              </w:rPr>
            </w:pPr>
            <w:r>
              <w:rPr>
                <w:rFonts w:ascii="Calibri"/>
                <w:spacing w:val="-2"/>
                <w:sz w:val="22"/>
              </w:rPr>
              <w:t>13.74347</w:t>
            </w:r>
          </w:p>
        </w:tc>
        <w:tc>
          <w:tcPr>
            <w:tcW w:w="1155" w:type="dxa"/>
          </w:tcPr>
          <w:p>
            <w:pPr>
              <w:pStyle w:val="TableParagraph"/>
              <w:spacing w:before="249"/>
              <w:ind w:right="209"/>
              <w:jc w:val="right"/>
              <w:rPr>
                <w:rFonts w:ascii="Calibri"/>
                <w:sz w:val="22"/>
              </w:rPr>
            </w:pPr>
            <w:r>
              <w:rPr>
                <w:rFonts w:ascii="Calibri"/>
                <w:spacing w:val="-2"/>
                <w:sz w:val="22"/>
              </w:rPr>
              <w:t>3.255786</w:t>
            </w:r>
          </w:p>
        </w:tc>
        <w:tc>
          <w:tcPr>
            <w:tcW w:w="1096" w:type="dxa"/>
          </w:tcPr>
          <w:p>
            <w:pPr>
              <w:pStyle w:val="TableParagraph"/>
              <w:spacing w:before="249"/>
              <w:ind w:right="49"/>
              <w:jc w:val="right"/>
              <w:rPr>
                <w:rFonts w:ascii="Calibri"/>
                <w:sz w:val="22"/>
              </w:rPr>
            </w:pPr>
            <w:r>
              <w:rPr>
                <w:rFonts w:ascii="Calibri"/>
                <w:spacing w:val="-2"/>
                <w:sz w:val="22"/>
              </w:rPr>
              <w:t>13.45425</w:t>
            </w:r>
          </w:p>
        </w:tc>
      </w:tr>
      <w:tr>
        <w:trPr>
          <w:trHeight w:val="284" w:hRule="atLeast"/>
        </w:trPr>
        <w:tc>
          <w:tcPr>
            <w:tcW w:w="606" w:type="dxa"/>
          </w:tcPr>
          <w:p>
            <w:pPr>
              <w:pStyle w:val="TableParagraph"/>
              <w:spacing w:line="264" w:lineRule="exact"/>
              <w:ind w:right="56"/>
              <w:jc w:val="center"/>
              <w:rPr>
                <w:rFonts w:ascii="Calibri"/>
                <w:sz w:val="22"/>
              </w:rPr>
            </w:pPr>
            <w:r>
              <w:rPr>
                <w:rFonts w:ascii="Calibri"/>
                <w:spacing w:val="-4"/>
                <w:sz w:val="22"/>
              </w:rPr>
              <w:t>2003</w:t>
            </w:r>
          </w:p>
        </w:tc>
        <w:tc>
          <w:tcPr>
            <w:tcW w:w="1081" w:type="dxa"/>
          </w:tcPr>
          <w:p>
            <w:pPr>
              <w:pStyle w:val="TableParagraph"/>
              <w:spacing w:line="264" w:lineRule="exact"/>
              <w:ind w:right="134"/>
              <w:jc w:val="right"/>
              <w:rPr>
                <w:rFonts w:ascii="Calibri"/>
                <w:sz w:val="22"/>
              </w:rPr>
            </w:pPr>
            <w:r>
              <w:rPr>
                <w:rFonts w:ascii="Calibri"/>
                <w:spacing w:val="-2"/>
                <w:sz w:val="22"/>
              </w:rPr>
              <w:t>14.13535</w:t>
            </w:r>
          </w:p>
        </w:tc>
        <w:tc>
          <w:tcPr>
            <w:tcW w:w="1091" w:type="dxa"/>
          </w:tcPr>
          <w:p>
            <w:pPr>
              <w:pStyle w:val="TableParagraph"/>
              <w:spacing w:line="264" w:lineRule="exact"/>
              <w:ind w:right="116"/>
              <w:jc w:val="right"/>
              <w:rPr>
                <w:rFonts w:ascii="Calibri"/>
                <w:sz w:val="22"/>
              </w:rPr>
            </w:pPr>
            <w:r>
              <w:rPr>
                <w:rFonts w:ascii="Calibri"/>
                <w:spacing w:val="-2"/>
                <w:sz w:val="22"/>
              </w:rPr>
              <w:t>13.20936</w:t>
            </w:r>
          </w:p>
        </w:tc>
        <w:tc>
          <w:tcPr>
            <w:tcW w:w="953" w:type="dxa"/>
          </w:tcPr>
          <w:p>
            <w:pPr>
              <w:pStyle w:val="TableParagraph"/>
              <w:spacing w:line="264" w:lineRule="exact"/>
              <w:ind w:left="54"/>
              <w:jc w:val="center"/>
              <w:rPr>
                <w:rFonts w:ascii="Calibri"/>
                <w:sz w:val="22"/>
              </w:rPr>
            </w:pPr>
            <w:r>
              <w:rPr>
                <w:rFonts w:ascii="Calibri"/>
                <w:spacing w:val="-2"/>
                <w:sz w:val="22"/>
              </w:rPr>
              <w:t>-0.4961</w:t>
            </w:r>
          </w:p>
        </w:tc>
        <w:tc>
          <w:tcPr>
            <w:tcW w:w="1053" w:type="dxa"/>
          </w:tcPr>
          <w:p>
            <w:pPr>
              <w:pStyle w:val="TableParagraph"/>
              <w:spacing w:line="264" w:lineRule="exact"/>
              <w:ind w:left="4" w:right="3"/>
              <w:jc w:val="center"/>
              <w:rPr>
                <w:rFonts w:ascii="Calibri"/>
                <w:sz w:val="22"/>
              </w:rPr>
            </w:pPr>
            <w:r>
              <w:rPr>
                <w:rFonts w:ascii="Calibri"/>
                <w:spacing w:val="-2"/>
                <w:sz w:val="22"/>
              </w:rPr>
              <w:t>2.639057</w:t>
            </w:r>
          </w:p>
        </w:tc>
        <w:tc>
          <w:tcPr>
            <w:tcW w:w="1053" w:type="dxa"/>
          </w:tcPr>
          <w:p>
            <w:pPr>
              <w:pStyle w:val="TableParagraph"/>
              <w:spacing w:line="264" w:lineRule="exact"/>
              <w:ind w:left="4" w:right="5"/>
              <w:jc w:val="center"/>
              <w:rPr>
                <w:rFonts w:ascii="Calibri"/>
                <w:sz w:val="22"/>
              </w:rPr>
            </w:pPr>
            <w:r>
              <w:rPr>
                <w:rFonts w:ascii="Calibri"/>
                <w:spacing w:val="-2"/>
                <w:sz w:val="22"/>
              </w:rPr>
              <w:t>12.81318</w:t>
            </w:r>
          </w:p>
        </w:tc>
        <w:tc>
          <w:tcPr>
            <w:tcW w:w="1061" w:type="dxa"/>
          </w:tcPr>
          <w:p>
            <w:pPr>
              <w:pStyle w:val="TableParagraph"/>
              <w:spacing w:line="264" w:lineRule="exact"/>
              <w:ind w:right="114"/>
              <w:jc w:val="right"/>
              <w:rPr>
                <w:rFonts w:ascii="Calibri"/>
                <w:sz w:val="22"/>
              </w:rPr>
            </w:pPr>
            <w:r>
              <w:rPr>
                <w:rFonts w:ascii="Calibri"/>
                <w:spacing w:val="-2"/>
                <w:sz w:val="22"/>
              </w:rPr>
              <w:t>1.413423</w:t>
            </w:r>
          </w:p>
        </w:tc>
        <w:tc>
          <w:tcPr>
            <w:tcW w:w="1061" w:type="dxa"/>
          </w:tcPr>
          <w:p>
            <w:pPr>
              <w:pStyle w:val="TableParagraph"/>
              <w:spacing w:line="264" w:lineRule="exact"/>
              <w:ind w:right="107"/>
              <w:jc w:val="right"/>
              <w:rPr>
                <w:rFonts w:ascii="Calibri"/>
                <w:sz w:val="22"/>
              </w:rPr>
            </w:pPr>
            <w:r>
              <w:rPr>
                <w:rFonts w:ascii="Calibri"/>
                <w:spacing w:val="-2"/>
                <w:sz w:val="22"/>
              </w:rPr>
              <w:t>13.90767</w:t>
            </w:r>
          </w:p>
        </w:tc>
        <w:tc>
          <w:tcPr>
            <w:tcW w:w="1155" w:type="dxa"/>
          </w:tcPr>
          <w:p>
            <w:pPr>
              <w:pStyle w:val="TableParagraph"/>
              <w:spacing w:line="264" w:lineRule="exact"/>
              <w:ind w:right="209"/>
              <w:jc w:val="right"/>
              <w:rPr>
                <w:rFonts w:ascii="Calibri"/>
                <w:sz w:val="22"/>
              </w:rPr>
            </w:pPr>
            <w:r>
              <w:rPr>
                <w:rFonts w:ascii="Calibri"/>
                <w:spacing w:val="-2"/>
                <w:sz w:val="22"/>
              </w:rPr>
              <w:t>2.938103</w:t>
            </w:r>
          </w:p>
        </w:tc>
        <w:tc>
          <w:tcPr>
            <w:tcW w:w="1096" w:type="dxa"/>
          </w:tcPr>
          <w:p>
            <w:pPr>
              <w:pStyle w:val="TableParagraph"/>
              <w:spacing w:line="264" w:lineRule="exact"/>
              <w:ind w:right="49"/>
              <w:jc w:val="right"/>
              <w:rPr>
                <w:rFonts w:ascii="Calibri"/>
                <w:sz w:val="22"/>
              </w:rPr>
            </w:pPr>
            <w:r>
              <w:rPr>
                <w:rFonts w:ascii="Calibri"/>
                <w:spacing w:val="-2"/>
                <w:sz w:val="22"/>
              </w:rPr>
              <w:t>13.79969</w:t>
            </w:r>
          </w:p>
        </w:tc>
      </w:tr>
      <w:tr>
        <w:trPr>
          <w:trHeight w:val="537" w:hRule="atLeast"/>
        </w:trPr>
        <w:tc>
          <w:tcPr>
            <w:tcW w:w="606" w:type="dxa"/>
          </w:tcPr>
          <w:p>
            <w:pPr>
              <w:pStyle w:val="TableParagraph"/>
              <w:spacing w:before="249"/>
              <w:ind w:right="56"/>
              <w:jc w:val="center"/>
              <w:rPr>
                <w:rFonts w:ascii="Calibri"/>
                <w:sz w:val="22"/>
              </w:rPr>
            </w:pPr>
            <w:r>
              <w:rPr>
                <w:rFonts w:ascii="Calibri"/>
                <w:spacing w:val="-4"/>
                <w:sz w:val="22"/>
              </w:rPr>
              <w:t>2004</w:t>
            </w:r>
          </w:p>
        </w:tc>
        <w:tc>
          <w:tcPr>
            <w:tcW w:w="1081" w:type="dxa"/>
          </w:tcPr>
          <w:p>
            <w:pPr>
              <w:pStyle w:val="TableParagraph"/>
              <w:spacing w:before="249"/>
              <w:ind w:right="134"/>
              <w:jc w:val="right"/>
              <w:rPr>
                <w:rFonts w:ascii="Calibri"/>
                <w:sz w:val="22"/>
              </w:rPr>
            </w:pPr>
            <w:r>
              <w:rPr>
                <w:rFonts w:ascii="Calibri"/>
                <w:spacing w:val="-2"/>
                <w:sz w:val="22"/>
              </w:rPr>
              <w:t>14.2536</w:t>
            </w:r>
          </w:p>
        </w:tc>
        <w:tc>
          <w:tcPr>
            <w:tcW w:w="1091" w:type="dxa"/>
          </w:tcPr>
          <w:p>
            <w:pPr>
              <w:pStyle w:val="TableParagraph"/>
              <w:spacing w:before="249"/>
              <w:ind w:right="116"/>
              <w:jc w:val="right"/>
              <w:rPr>
                <w:rFonts w:ascii="Calibri"/>
                <w:sz w:val="22"/>
              </w:rPr>
            </w:pPr>
            <w:r>
              <w:rPr>
                <w:rFonts w:ascii="Calibri"/>
                <w:spacing w:val="-2"/>
                <w:sz w:val="22"/>
              </w:rPr>
              <w:t>12.92863</w:t>
            </w:r>
          </w:p>
        </w:tc>
        <w:tc>
          <w:tcPr>
            <w:tcW w:w="953" w:type="dxa"/>
          </w:tcPr>
          <w:p>
            <w:pPr>
              <w:pStyle w:val="TableParagraph"/>
              <w:spacing w:line="249" w:lineRule="exact"/>
              <w:ind w:right="106"/>
              <w:jc w:val="right"/>
              <w:rPr>
                <w:rFonts w:ascii="Calibri"/>
                <w:sz w:val="22"/>
              </w:rPr>
            </w:pPr>
            <w:r>
              <w:rPr>
                <w:rFonts w:ascii="Calibri"/>
                <w:spacing w:val="-10"/>
                <w:sz w:val="22"/>
              </w:rPr>
              <w:t>-</w:t>
            </w:r>
          </w:p>
          <w:p>
            <w:pPr>
              <w:pStyle w:val="TableParagraph"/>
              <w:ind w:right="107"/>
              <w:jc w:val="right"/>
              <w:rPr>
                <w:rFonts w:ascii="Calibri"/>
                <w:sz w:val="22"/>
              </w:rPr>
            </w:pPr>
            <w:r>
              <w:rPr>
                <w:rFonts w:ascii="Calibri"/>
                <w:spacing w:val="-2"/>
                <w:sz w:val="22"/>
              </w:rPr>
              <w:t>0.54905</w:t>
            </w:r>
          </w:p>
        </w:tc>
        <w:tc>
          <w:tcPr>
            <w:tcW w:w="1053" w:type="dxa"/>
          </w:tcPr>
          <w:p>
            <w:pPr>
              <w:pStyle w:val="TableParagraph"/>
              <w:spacing w:before="249"/>
              <w:ind w:left="114" w:right="2"/>
              <w:jc w:val="center"/>
              <w:rPr>
                <w:rFonts w:ascii="Calibri"/>
                <w:sz w:val="22"/>
              </w:rPr>
            </w:pPr>
            <w:r>
              <w:rPr>
                <w:rFonts w:ascii="Calibri"/>
                <w:spacing w:val="-2"/>
                <w:sz w:val="22"/>
              </w:rPr>
              <w:t>2.70805</w:t>
            </w:r>
          </w:p>
        </w:tc>
        <w:tc>
          <w:tcPr>
            <w:tcW w:w="1053" w:type="dxa"/>
          </w:tcPr>
          <w:p>
            <w:pPr>
              <w:pStyle w:val="TableParagraph"/>
              <w:spacing w:before="249"/>
              <w:ind w:left="4" w:right="5"/>
              <w:jc w:val="center"/>
              <w:rPr>
                <w:rFonts w:ascii="Calibri"/>
                <w:sz w:val="22"/>
              </w:rPr>
            </w:pPr>
            <w:r>
              <w:rPr>
                <w:rFonts w:ascii="Calibri"/>
                <w:spacing w:val="-2"/>
                <w:sz w:val="22"/>
              </w:rPr>
              <w:t>7.537057</w:t>
            </w:r>
          </w:p>
        </w:tc>
        <w:tc>
          <w:tcPr>
            <w:tcW w:w="1061" w:type="dxa"/>
          </w:tcPr>
          <w:p>
            <w:pPr>
              <w:pStyle w:val="TableParagraph"/>
              <w:spacing w:before="249"/>
              <w:ind w:right="114"/>
              <w:jc w:val="right"/>
              <w:rPr>
                <w:rFonts w:ascii="Calibri"/>
                <w:sz w:val="22"/>
              </w:rPr>
            </w:pPr>
            <w:r>
              <w:rPr>
                <w:rFonts w:ascii="Calibri"/>
                <w:spacing w:val="-2"/>
                <w:sz w:val="22"/>
              </w:rPr>
              <w:t>1.432701</w:t>
            </w:r>
          </w:p>
        </w:tc>
        <w:tc>
          <w:tcPr>
            <w:tcW w:w="1061" w:type="dxa"/>
          </w:tcPr>
          <w:p>
            <w:pPr>
              <w:pStyle w:val="TableParagraph"/>
              <w:spacing w:before="249"/>
              <w:ind w:right="107"/>
              <w:jc w:val="right"/>
              <w:rPr>
                <w:rFonts w:ascii="Calibri"/>
                <w:sz w:val="22"/>
              </w:rPr>
            </w:pPr>
            <w:r>
              <w:rPr>
                <w:rFonts w:ascii="Calibri"/>
                <w:spacing w:val="-2"/>
                <w:sz w:val="22"/>
              </w:rPr>
              <w:t>14.16734</w:t>
            </w:r>
          </w:p>
        </w:tc>
        <w:tc>
          <w:tcPr>
            <w:tcW w:w="1155" w:type="dxa"/>
          </w:tcPr>
          <w:p>
            <w:pPr>
              <w:pStyle w:val="TableParagraph"/>
              <w:spacing w:before="249"/>
              <w:ind w:right="209"/>
              <w:jc w:val="right"/>
              <w:rPr>
                <w:rFonts w:ascii="Calibri"/>
                <w:sz w:val="22"/>
              </w:rPr>
            </w:pPr>
            <w:r>
              <w:rPr>
                <w:rFonts w:ascii="Calibri"/>
                <w:spacing w:val="-2"/>
                <w:sz w:val="22"/>
              </w:rPr>
              <w:t>2.776954</w:t>
            </w:r>
          </w:p>
        </w:tc>
        <w:tc>
          <w:tcPr>
            <w:tcW w:w="1096" w:type="dxa"/>
          </w:tcPr>
          <w:p>
            <w:pPr>
              <w:pStyle w:val="TableParagraph"/>
              <w:spacing w:before="249"/>
              <w:ind w:right="49"/>
              <w:jc w:val="right"/>
              <w:rPr>
                <w:rFonts w:ascii="Calibri"/>
                <w:sz w:val="22"/>
              </w:rPr>
            </w:pPr>
            <w:r>
              <w:rPr>
                <w:rFonts w:ascii="Calibri"/>
                <w:spacing w:val="-2"/>
                <w:sz w:val="22"/>
              </w:rPr>
              <w:t>13.84769</w:t>
            </w:r>
          </w:p>
        </w:tc>
      </w:tr>
      <w:tr>
        <w:trPr>
          <w:trHeight w:val="536" w:hRule="atLeast"/>
        </w:trPr>
        <w:tc>
          <w:tcPr>
            <w:tcW w:w="606" w:type="dxa"/>
          </w:tcPr>
          <w:p>
            <w:pPr>
              <w:pStyle w:val="TableParagraph"/>
              <w:spacing w:line="267" w:lineRule="exact" w:before="249"/>
              <w:ind w:right="56"/>
              <w:jc w:val="center"/>
              <w:rPr>
                <w:rFonts w:ascii="Calibri"/>
                <w:sz w:val="22"/>
              </w:rPr>
            </w:pPr>
            <w:r>
              <w:rPr>
                <w:rFonts w:ascii="Calibri"/>
                <w:spacing w:val="-4"/>
                <w:sz w:val="22"/>
              </w:rPr>
              <w:t>2005</w:t>
            </w:r>
          </w:p>
        </w:tc>
        <w:tc>
          <w:tcPr>
            <w:tcW w:w="1081" w:type="dxa"/>
          </w:tcPr>
          <w:p>
            <w:pPr>
              <w:pStyle w:val="TableParagraph"/>
              <w:spacing w:line="267" w:lineRule="exact" w:before="249"/>
              <w:ind w:right="134"/>
              <w:jc w:val="right"/>
              <w:rPr>
                <w:rFonts w:ascii="Calibri"/>
                <w:sz w:val="22"/>
              </w:rPr>
            </w:pPr>
            <w:r>
              <w:rPr>
                <w:rFonts w:ascii="Calibri"/>
                <w:spacing w:val="-2"/>
                <w:sz w:val="22"/>
              </w:rPr>
              <w:t>14.25456</w:t>
            </w:r>
          </w:p>
        </w:tc>
        <w:tc>
          <w:tcPr>
            <w:tcW w:w="1091" w:type="dxa"/>
          </w:tcPr>
          <w:p>
            <w:pPr>
              <w:pStyle w:val="TableParagraph"/>
              <w:spacing w:line="267" w:lineRule="exact" w:before="249"/>
              <w:ind w:right="116"/>
              <w:jc w:val="right"/>
              <w:rPr>
                <w:rFonts w:ascii="Calibri"/>
                <w:sz w:val="22"/>
              </w:rPr>
            </w:pPr>
            <w:r>
              <w:rPr>
                <w:rFonts w:ascii="Calibri"/>
                <w:spacing w:val="-2"/>
                <w:sz w:val="22"/>
              </w:rPr>
              <w:t>14.60178</w:t>
            </w:r>
          </w:p>
        </w:tc>
        <w:tc>
          <w:tcPr>
            <w:tcW w:w="953" w:type="dxa"/>
          </w:tcPr>
          <w:p>
            <w:pPr>
              <w:pStyle w:val="TableParagraph"/>
              <w:spacing w:line="249" w:lineRule="exact"/>
              <w:ind w:right="106"/>
              <w:jc w:val="right"/>
              <w:rPr>
                <w:rFonts w:ascii="Calibri"/>
                <w:sz w:val="22"/>
              </w:rPr>
            </w:pPr>
            <w:r>
              <w:rPr>
                <w:rFonts w:ascii="Calibri"/>
                <w:spacing w:val="-10"/>
                <w:sz w:val="22"/>
              </w:rPr>
              <w:t>-</w:t>
            </w:r>
          </w:p>
          <w:p>
            <w:pPr>
              <w:pStyle w:val="TableParagraph"/>
              <w:spacing w:line="267" w:lineRule="exact"/>
              <w:ind w:right="107"/>
              <w:jc w:val="right"/>
              <w:rPr>
                <w:rFonts w:ascii="Calibri"/>
                <w:sz w:val="22"/>
              </w:rPr>
            </w:pPr>
            <w:r>
              <w:rPr>
                <w:rFonts w:ascii="Calibri"/>
                <w:spacing w:val="-2"/>
                <w:sz w:val="22"/>
              </w:rPr>
              <w:t>0.37179</w:t>
            </w:r>
          </w:p>
        </w:tc>
        <w:tc>
          <w:tcPr>
            <w:tcW w:w="1053" w:type="dxa"/>
          </w:tcPr>
          <w:p>
            <w:pPr>
              <w:pStyle w:val="TableParagraph"/>
              <w:spacing w:line="267" w:lineRule="exact" w:before="249"/>
              <w:ind w:left="4" w:right="3"/>
              <w:jc w:val="center"/>
              <w:rPr>
                <w:rFonts w:ascii="Calibri"/>
                <w:sz w:val="22"/>
              </w:rPr>
            </w:pPr>
            <w:r>
              <w:rPr>
                <w:rFonts w:ascii="Calibri"/>
                <w:spacing w:val="-2"/>
                <w:sz w:val="22"/>
              </w:rPr>
              <w:t>2.884801</w:t>
            </w:r>
          </w:p>
        </w:tc>
        <w:tc>
          <w:tcPr>
            <w:tcW w:w="1053" w:type="dxa"/>
          </w:tcPr>
          <w:p>
            <w:pPr>
              <w:pStyle w:val="TableParagraph"/>
              <w:spacing w:line="267" w:lineRule="exact" w:before="249"/>
              <w:ind w:left="4" w:right="5"/>
              <w:jc w:val="center"/>
              <w:rPr>
                <w:rFonts w:ascii="Calibri"/>
                <w:sz w:val="22"/>
              </w:rPr>
            </w:pPr>
            <w:r>
              <w:rPr>
                <w:rFonts w:ascii="Calibri"/>
                <w:spacing w:val="-2"/>
                <w:sz w:val="22"/>
              </w:rPr>
              <w:t>10.95937</w:t>
            </w:r>
          </w:p>
        </w:tc>
        <w:tc>
          <w:tcPr>
            <w:tcW w:w="1061" w:type="dxa"/>
          </w:tcPr>
          <w:p>
            <w:pPr>
              <w:pStyle w:val="TableParagraph"/>
              <w:spacing w:line="267" w:lineRule="exact" w:before="249"/>
              <w:ind w:right="114"/>
              <w:jc w:val="right"/>
              <w:rPr>
                <w:rFonts w:ascii="Calibri"/>
                <w:sz w:val="22"/>
              </w:rPr>
            </w:pPr>
            <w:r>
              <w:rPr>
                <w:rFonts w:ascii="Calibri"/>
                <w:spacing w:val="-2"/>
                <w:sz w:val="22"/>
              </w:rPr>
              <w:t>1.342865</w:t>
            </w:r>
          </w:p>
        </w:tc>
        <w:tc>
          <w:tcPr>
            <w:tcW w:w="1061" w:type="dxa"/>
          </w:tcPr>
          <w:p>
            <w:pPr>
              <w:pStyle w:val="TableParagraph"/>
              <w:spacing w:line="267" w:lineRule="exact" w:before="249"/>
              <w:ind w:right="107"/>
              <w:jc w:val="right"/>
              <w:rPr>
                <w:rFonts w:ascii="Calibri"/>
                <w:sz w:val="22"/>
              </w:rPr>
            </w:pPr>
            <w:r>
              <w:rPr>
                <w:rFonts w:ascii="Calibri"/>
                <w:spacing w:val="-2"/>
                <w:sz w:val="22"/>
              </w:rPr>
              <w:t>14.4244</w:t>
            </w:r>
          </w:p>
        </w:tc>
        <w:tc>
          <w:tcPr>
            <w:tcW w:w="1155" w:type="dxa"/>
          </w:tcPr>
          <w:p>
            <w:pPr>
              <w:pStyle w:val="TableParagraph"/>
              <w:spacing w:line="267" w:lineRule="exact" w:before="249"/>
              <w:ind w:right="209"/>
              <w:jc w:val="right"/>
              <w:rPr>
                <w:rFonts w:ascii="Calibri"/>
                <w:sz w:val="22"/>
              </w:rPr>
            </w:pPr>
            <w:r>
              <w:rPr>
                <w:rFonts w:ascii="Calibri"/>
                <w:spacing w:val="-2"/>
                <w:sz w:val="22"/>
              </w:rPr>
              <w:t>2.573375</w:t>
            </w:r>
          </w:p>
        </w:tc>
        <w:tc>
          <w:tcPr>
            <w:tcW w:w="1096" w:type="dxa"/>
          </w:tcPr>
          <w:p>
            <w:pPr>
              <w:pStyle w:val="TableParagraph"/>
              <w:spacing w:line="267" w:lineRule="exact" w:before="249"/>
              <w:ind w:right="49"/>
              <w:jc w:val="right"/>
              <w:rPr>
                <w:rFonts w:ascii="Calibri"/>
                <w:sz w:val="22"/>
              </w:rPr>
            </w:pPr>
            <w:r>
              <w:rPr>
                <w:rFonts w:ascii="Calibri"/>
                <w:spacing w:val="-2"/>
                <w:sz w:val="22"/>
              </w:rPr>
              <w:t>14.01739</w:t>
            </w:r>
          </w:p>
        </w:tc>
      </w:tr>
      <w:tr>
        <w:trPr>
          <w:trHeight w:val="536" w:hRule="atLeast"/>
        </w:trPr>
        <w:tc>
          <w:tcPr>
            <w:tcW w:w="606" w:type="dxa"/>
          </w:tcPr>
          <w:p>
            <w:pPr>
              <w:pStyle w:val="TableParagraph"/>
              <w:spacing w:before="248"/>
              <w:ind w:right="56"/>
              <w:jc w:val="center"/>
              <w:rPr>
                <w:rFonts w:ascii="Calibri"/>
                <w:sz w:val="22"/>
              </w:rPr>
            </w:pPr>
            <w:r>
              <w:rPr>
                <w:rFonts w:ascii="Calibri"/>
                <w:spacing w:val="-4"/>
                <w:sz w:val="22"/>
              </w:rPr>
              <w:t>2006</w:t>
            </w:r>
          </w:p>
        </w:tc>
        <w:tc>
          <w:tcPr>
            <w:tcW w:w="1081" w:type="dxa"/>
          </w:tcPr>
          <w:p>
            <w:pPr>
              <w:pStyle w:val="TableParagraph"/>
              <w:spacing w:before="248"/>
              <w:ind w:right="133"/>
              <w:jc w:val="right"/>
              <w:rPr>
                <w:rFonts w:ascii="Calibri"/>
                <w:sz w:val="22"/>
              </w:rPr>
            </w:pPr>
            <w:r>
              <w:rPr>
                <w:rFonts w:ascii="Calibri"/>
                <w:spacing w:val="-2"/>
                <w:sz w:val="22"/>
              </w:rPr>
              <w:t>13.795</w:t>
            </w:r>
          </w:p>
        </w:tc>
        <w:tc>
          <w:tcPr>
            <w:tcW w:w="1091" w:type="dxa"/>
          </w:tcPr>
          <w:p>
            <w:pPr>
              <w:pStyle w:val="TableParagraph"/>
              <w:spacing w:before="248"/>
              <w:ind w:right="116"/>
              <w:jc w:val="right"/>
              <w:rPr>
                <w:rFonts w:ascii="Calibri"/>
                <w:sz w:val="22"/>
              </w:rPr>
            </w:pPr>
            <w:r>
              <w:rPr>
                <w:rFonts w:ascii="Calibri"/>
                <w:spacing w:val="-2"/>
                <w:sz w:val="22"/>
              </w:rPr>
              <w:t>14.6236</w:t>
            </w:r>
          </w:p>
        </w:tc>
        <w:tc>
          <w:tcPr>
            <w:tcW w:w="953" w:type="dxa"/>
          </w:tcPr>
          <w:p>
            <w:pPr>
              <w:pStyle w:val="TableParagraph"/>
              <w:spacing w:line="247" w:lineRule="exact"/>
              <w:ind w:right="106"/>
              <w:jc w:val="right"/>
              <w:rPr>
                <w:rFonts w:ascii="Calibri"/>
                <w:sz w:val="22"/>
              </w:rPr>
            </w:pPr>
            <w:r>
              <w:rPr>
                <w:rFonts w:ascii="Calibri"/>
                <w:spacing w:val="-10"/>
                <w:sz w:val="22"/>
              </w:rPr>
              <w:t>-</w:t>
            </w:r>
          </w:p>
          <w:p>
            <w:pPr>
              <w:pStyle w:val="TableParagraph"/>
              <w:ind w:right="107"/>
              <w:jc w:val="right"/>
              <w:rPr>
                <w:rFonts w:ascii="Calibri"/>
                <w:sz w:val="22"/>
              </w:rPr>
            </w:pPr>
            <w:r>
              <w:rPr>
                <w:rFonts w:ascii="Calibri"/>
                <w:spacing w:val="-2"/>
                <w:sz w:val="22"/>
              </w:rPr>
              <w:t>0.57608</w:t>
            </w:r>
          </w:p>
        </w:tc>
        <w:tc>
          <w:tcPr>
            <w:tcW w:w="1053" w:type="dxa"/>
          </w:tcPr>
          <w:p>
            <w:pPr>
              <w:pStyle w:val="TableParagraph"/>
              <w:spacing w:before="248"/>
              <w:ind w:left="4" w:right="3"/>
              <w:jc w:val="center"/>
              <w:rPr>
                <w:rFonts w:ascii="Calibri"/>
                <w:sz w:val="22"/>
              </w:rPr>
            </w:pPr>
            <w:r>
              <w:rPr>
                <w:rFonts w:ascii="Calibri"/>
                <w:spacing w:val="-2"/>
                <w:sz w:val="22"/>
              </w:rPr>
              <w:t>2.104134</w:t>
            </w:r>
          </w:p>
        </w:tc>
        <w:tc>
          <w:tcPr>
            <w:tcW w:w="1053" w:type="dxa"/>
          </w:tcPr>
          <w:p>
            <w:pPr>
              <w:pStyle w:val="TableParagraph"/>
              <w:spacing w:before="248"/>
              <w:ind w:left="4" w:right="5"/>
              <w:jc w:val="center"/>
              <w:rPr>
                <w:rFonts w:ascii="Calibri"/>
                <w:sz w:val="22"/>
              </w:rPr>
            </w:pPr>
            <w:r>
              <w:rPr>
                <w:rFonts w:ascii="Calibri"/>
                <w:spacing w:val="-2"/>
                <w:sz w:val="22"/>
              </w:rPr>
              <w:t>13.51925</w:t>
            </w:r>
          </w:p>
        </w:tc>
        <w:tc>
          <w:tcPr>
            <w:tcW w:w="1061" w:type="dxa"/>
          </w:tcPr>
          <w:p>
            <w:pPr>
              <w:pStyle w:val="TableParagraph"/>
              <w:spacing w:before="248"/>
              <w:ind w:right="114"/>
              <w:jc w:val="right"/>
              <w:rPr>
                <w:rFonts w:ascii="Calibri"/>
                <w:sz w:val="22"/>
              </w:rPr>
            </w:pPr>
            <w:r>
              <w:rPr>
                <w:rFonts w:ascii="Calibri"/>
                <w:spacing w:val="-2"/>
                <w:sz w:val="22"/>
              </w:rPr>
              <w:t>1.144223</w:t>
            </w:r>
          </w:p>
        </w:tc>
        <w:tc>
          <w:tcPr>
            <w:tcW w:w="1061" w:type="dxa"/>
          </w:tcPr>
          <w:p>
            <w:pPr>
              <w:pStyle w:val="TableParagraph"/>
              <w:spacing w:before="248"/>
              <w:ind w:right="107"/>
              <w:jc w:val="right"/>
              <w:rPr>
                <w:rFonts w:ascii="Calibri"/>
                <w:sz w:val="22"/>
              </w:rPr>
            </w:pPr>
            <w:r>
              <w:rPr>
                <w:rFonts w:ascii="Calibri"/>
                <w:spacing w:val="-2"/>
                <w:sz w:val="22"/>
              </w:rPr>
              <w:t>14.64433</w:t>
            </w:r>
          </w:p>
        </w:tc>
        <w:tc>
          <w:tcPr>
            <w:tcW w:w="1155" w:type="dxa"/>
          </w:tcPr>
          <w:p>
            <w:pPr>
              <w:pStyle w:val="TableParagraph"/>
              <w:spacing w:before="248"/>
              <w:ind w:right="209"/>
              <w:jc w:val="right"/>
              <w:rPr>
                <w:rFonts w:ascii="Calibri"/>
                <w:sz w:val="22"/>
              </w:rPr>
            </w:pPr>
            <w:r>
              <w:rPr>
                <w:rFonts w:ascii="Calibri"/>
                <w:spacing w:val="-2"/>
                <w:sz w:val="22"/>
              </w:rPr>
              <w:t>2.381396</w:t>
            </w:r>
          </w:p>
        </w:tc>
        <w:tc>
          <w:tcPr>
            <w:tcW w:w="1096" w:type="dxa"/>
          </w:tcPr>
          <w:p>
            <w:pPr>
              <w:pStyle w:val="TableParagraph"/>
              <w:spacing w:before="248"/>
              <w:ind w:right="49"/>
              <w:jc w:val="right"/>
              <w:rPr>
                <w:rFonts w:ascii="Calibri"/>
                <w:sz w:val="22"/>
              </w:rPr>
            </w:pPr>
            <w:r>
              <w:rPr>
                <w:rFonts w:ascii="Calibri"/>
                <w:spacing w:val="-2"/>
                <w:sz w:val="22"/>
              </w:rPr>
              <w:t>14.07031</w:t>
            </w:r>
          </w:p>
        </w:tc>
      </w:tr>
      <w:tr>
        <w:trPr>
          <w:trHeight w:val="537" w:hRule="atLeast"/>
        </w:trPr>
        <w:tc>
          <w:tcPr>
            <w:tcW w:w="606" w:type="dxa"/>
          </w:tcPr>
          <w:p>
            <w:pPr>
              <w:pStyle w:val="TableParagraph"/>
              <w:spacing w:before="249"/>
              <w:ind w:right="56"/>
              <w:jc w:val="center"/>
              <w:rPr>
                <w:rFonts w:ascii="Calibri"/>
                <w:sz w:val="22"/>
              </w:rPr>
            </w:pPr>
            <w:r>
              <w:rPr>
                <w:rFonts w:ascii="Calibri"/>
                <w:spacing w:val="-4"/>
                <w:sz w:val="22"/>
              </w:rPr>
              <w:t>2007</w:t>
            </w:r>
          </w:p>
        </w:tc>
        <w:tc>
          <w:tcPr>
            <w:tcW w:w="1081" w:type="dxa"/>
          </w:tcPr>
          <w:p>
            <w:pPr>
              <w:pStyle w:val="TableParagraph"/>
              <w:spacing w:before="249"/>
              <w:ind w:right="134"/>
              <w:jc w:val="right"/>
              <w:rPr>
                <w:rFonts w:ascii="Calibri"/>
                <w:sz w:val="22"/>
              </w:rPr>
            </w:pPr>
            <w:r>
              <w:rPr>
                <w:rFonts w:ascii="Calibri"/>
                <w:spacing w:val="-2"/>
                <w:sz w:val="22"/>
              </w:rPr>
              <w:t>14.97612</w:t>
            </w:r>
          </w:p>
        </w:tc>
        <w:tc>
          <w:tcPr>
            <w:tcW w:w="1091" w:type="dxa"/>
          </w:tcPr>
          <w:p>
            <w:pPr>
              <w:pStyle w:val="TableParagraph"/>
              <w:spacing w:before="249"/>
              <w:ind w:right="115"/>
              <w:jc w:val="right"/>
              <w:rPr>
                <w:rFonts w:ascii="Calibri"/>
                <w:sz w:val="22"/>
              </w:rPr>
            </w:pPr>
            <w:r>
              <w:rPr>
                <w:rFonts w:ascii="Calibri"/>
                <w:spacing w:val="-2"/>
                <w:sz w:val="22"/>
              </w:rPr>
              <w:t>9.9224</w:t>
            </w:r>
          </w:p>
        </w:tc>
        <w:tc>
          <w:tcPr>
            <w:tcW w:w="953" w:type="dxa"/>
          </w:tcPr>
          <w:p>
            <w:pPr>
              <w:pStyle w:val="TableParagraph"/>
              <w:spacing w:line="249" w:lineRule="exact"/>
              <w:ind w:right="106"/>
              <w:jc w:val="right"/>
              <w:rPr>
                <w:rFonts w:ascii="Calibri"/>
                <w:sz w:val="22"/>
              </w:rPr>
            </w:pPr>
            <w:r>
              <w:rPr>
                <w:rFonts w:ascii="Calibri"/>
                <w:spacing w:val="-10"/>
                <w:sz w:val="22"/>
              </w:rPr>
              <w:t>-</w:t>
            </w:r>
          </w:p>
          <w:p>
            <w:pPr>
              <w:pStyle w:val="TableParagraph"/>
              <w:ind w:right="107"/>
              <w:jc w:val="right"/>
              <w:rPr>
                <w:rFonts w:ascii="Calibri"/>
                <w:sz w:val="22"/>
              </w:rPr>
            </w:pPr>
            <w:r>
              <w:rPr>
                <w:rFonts w:ascii="Calibri"/>
                <w:spacing w:val="-2"/>
                <w:sz w:val="22"/>
              </w:rPr>
              <w:t>0.52492</w:t>
            </w:r>
          </w:p>
        </w:tc>
        <w:tc>
          <w:tcPr>
            <w:tcW w:w="1053" w:type="dxa"/>
          </w:tcPr>
          <w:p>
            <w:pPr>
              <w:pStyle w:val="TableParagraph"/>
              <w:spacing w:before="249"/>
              <w:ind w:left="4" w:right="3"/>
              <w:jc w:val="center"/>
              <w:rPr>
                <w:rFonts w:ascii="Calibri"/>
                <w:sz w:val="22"/>
              </w:rPr>
            </w:pPr>
            <w:r>
              <w:rPr>
                <w:rFonts w:ascii="Calibri"/>
                <w:spacing w:val="-2"/>
                <w:sz w:val="22"/>
              </w:rPr>
              <w:t>1.686399</w:t>
            </w:r>
          </w:p>
        </w:tc>
        <w:tc>
          <w:tcPr>
            <w:tcW w:w="1053" w:type="dxa"/>
          </w:tcPr>
          <w:p>
            <w:pPr>
              <w:pStyle w:val="TableParagraph"/>
              <w:spacing w:before="249"/>
              <w:ind w:left="4" w:right="5"/>
              <w:jc w:val="center"/>
              <w:rPr>
                <w:rFonts w:ascii="Calibri"/>
                <w:sz w:val="22"/>
              </w:rPr>
            </w:pPr>
            <w:r>
              <w:rPr>
                <w:rFonts w:ascii="Calibri"/>
                <w:spacing w:val="-2"/>
                <w:sz w:val="22"/>
              </w:rPr>
              <w:t>12.87412</w:t>
            </w:r>
          </w:p>
        </w:tc>
        <w:tc>
          <w:tcPr>
            <w:tcW w:w="1061" w:type="dxa"/>
          </w:tcPr>
          <w:p>
            <w:pPr>
              <w:pStyle w:val="TableParagraph"/>
              <w:spacing w:before="249"/>
              <w:ind w:right="114"/>
              <w:jc w:val="right"/>
              <w:rPr>
                <w:rFonts w:ascii="Calibri"/>
                <w:sz w:val="22"/>
              </w:rPr>
            </w:pPr>
            <w:r>
              <w:rPr>
                <w:rFonts w:ascii="Calibri"/>
                <w:spacing w:val="-2"/>
                <w:sz w:val="22"/>
              </w:rPr>
              <w:t>1.266948</w:t>
            </w:r>
          </w:p>
        </w:tc>
        <w:tc>
          <w:tcPr>
            <w:tcW w:w="1061" w:type="dxa"/>
          </w:tcPr>
          <w:p>
            <w:pPr>
              <w:pStyle w:val="TableParagraph"/>
              <w:spacing w:before="249"/>
              <w:ind w:right="107"/>
              <w:jc w:val="right"/>
              <w:rPr>
                <w:rFonts w:ascii="Calibri"/>
                <w:sz w:val="22"/>
              </w:rPr>
            </w:pPr>
            <w:r>
              <w:rPr>
                <w:rFonts w:ascii="Calibri"/>
                <w:spacing w:val="-2"/>
                <w:sz w:val="22"/>
              </w:rPr>
              <w:t>15.11534</w:t>
            </w:r>
          </w:p>
        </w:tc>
        <w:tc>
          <w:tcPr>
            <w:tcW w:w="1155" w:type="dxa"/>
          </w:tcPr>
          <w:p>
            <w:pPr>
              <w:pStyle w:val="TableParagraph"/>
              <w:spacing w:before="249"/>
              <w:ind w:right="209"/>
              <w:jc w:val="right"/>
              <w:rPr>
                <w:rFonts w:ascii="Calibri"/>
                <w:sz w:val="22"/>
              </w:rPr>
            </w:pPr>
            <w:r>
              <w:rPr>
                <w:rFonts w:ascii="Calibri"/>
                <w:spacing w:val="-2"/>
                <w:sz w:val="22"/>
              </w:rPr>
              <w:t>2.385086</w:t>
            </w:r>
          </w:p>
        </w:tc>
        <w:tc>
          <w:tcPr>
            <w:tcW w:w="1096" w:type="dxa"/>
          </w:tcPr>
          <w:p>
            <w:pPr>
              <w:pStyle w:val="TableParagraph"/>
              <w:spacing w:before="249"/>
              <w:ind w:right="49"/>
              <w:jc w:val="right"/>
              <w:rPr>
                <w:rFonts w:ascii="Calibri"/>
                <w:sz w:val="22"/>
              </w:rPr>
            </w:pPr>
            <w:r>
              <w:rPr>
                <w:rFonts w:ascii="Calibri"/>
                <w:spacing w:val="-2"/>
                <w:sz w:val="22"/>
              </w:rPr>
              <w:t>14.27879</w:t>
            </w:r>
          </w:p>
        </w:tc>
      </w:tr>
      <w:tr>
        <w:trPr>
          <w:trHeight w:val="537" w:hRule="atLeast"/>
        </w:trPr>
        <w:tc>
          <w:tcPr>
            <w:tcW w:w="606" w:type="dxa"/>
          </w:tcPr>
          <w:p>
            <w:pPr>
              <w:pStyle w:val="TableParagraph"/>
              <w:spacing w:before="249"/>
              <w:ind w:right="56"/>
              <w:jc w:val="center"/>
              <w:rPr>
                <w:rFonts w:ascii="Calibri"/>
                <w:sz w:val="22"/>
              </w:rPr>
            </w:pPr>
            <w:r>
              <w:rPr>
                <w:rFonts w:ascii="Calibri"/>
                <w:spacing w:val="-4"/>
                <w:sz w:val="22"/>
              </w:rPr>
              <w:t>2008</w:t>
            </w:r>
          </w:p>
        </w:tc>
        <w:tc>
          <w:tcPr>
            <w:tcW w:w="1081" w:type="dxa"/>
          </w:tcPr>
          <w:p>
            <w:pPr>
              <w:pStyle w:val="TableParagraph"/>
              <w:spacing w:before="249"/>
              <w:ind w:right="134"/>
              <w:jc w:val="right"/>
              <w:rPr>
                <w:rFonts w:ascii="Calibri"/>
                <w:sz w:val="22"/>
              </w:rPr>
            </w:pPr>
            <w:r>
              <w:rPr>
                <w:rFonts w:ascii="Calibri"/>
                <w:spacing w:val="-2"/>
                <w:sz w:val="22"/>
              </w:rPr>
              <w:t>14.1812</w:t>
            </w:r>
          </w:p>
        </w:tc>
        <w:tc>
          <w:tcPr>
            <w:tcW w:w="1091" w:type="dxa"/>
          </w:tcPr>
          <w:p>
            <w:pPr>
              <w:pStyle w:val="TableParagraph"/>
              <w:spacing w:before="249"/>
              <w:ind w:right="116"/>
              <w:jc w:val="right"/>
              <w:rPr>
                <w:rFonts w:ascii="Calibri"/>
                <w:sz w:val="22"/>
              </w:rPr>
            </w:pPr>
            <w:r>
              <w:rPr>
                <w:rFonts w:ascii="Calibri"/>
                <w:spacing w:val="-2"/>
                <w:sz w:val="22"/>
              </w:rPr>
              <w:t>11.03651</w:t>
            </w:r>
          </w:p>
        </w:tc>
        <w:tc>
          <w:tcPr>
            <w:tcW w:w="953" w:type="dxa"/>
          </w:tcPr>
          <w:p>
            <w:pPr>
              <w:pStyle w:val="TableParagraph"/>
              <w:spacing w:line="249" w:lineRule="exact"/>
              <w:ind w:right="106"/>
              <w:jc w:val="right"/>
              <w:rPr>
                <w:rFonts w:ascii="Calibri"/>
                <w:sz w:val="22"/>
              </w:rPr>
            </w:pPr>
            <w:r>
              <w:rPr>
                <w:rFonts w:ascii="Calibri"/>
                <w:spacing w:val="-10"/>
                <w:sz w:val="22"/>
              </w:rPr>
              <w:t>-</w:t>
            </w:r>
          </w:p>
          <w:p>
            <w:pPr>
              <w:pStyle w:val="TableParagraph"/>
              <w:ind w:right="107"/>
              <w:jc w:val="right"/>
              <w:rPr>
                <w:rFonts w:ascii="Calibri"/>
                <w:sz w:val="22"/>
              </w:rPr>
            </w:pPr>
            <w:r>
              <w:rPr>
                <w:rFonts w:ascii="Calibri"/>
                <w:spacing w:val="-2"/>
                <w:sz w:val="22"/>
              </w:rPr>
              <w:t>0.45918</w:t>
            </w:r>
          </w:p>
        </w:tc>
        <w:tc>
          <w:tcPr>
            <w:tcW w:w="1053" w:type="dxa"/>
          </w:tcPr>
          <w:p>
            <w:pPr>
              <w:pStyle w:val="TableParagraph"/>
              <w:spacing w:before="249"/>
              <w:ind w:left="4" w:right="3"/>
              <w:jc w:val="center"/>
              <w:rPr>
                <w:rFonts w:ascii="Calibri"/>
                <w:sz w:val="22"/>
              </w:rPr>
            </w:pPr>
            <w:r>
              <w:rPr>
                <w:rFonts w:ascii="Calibri"/>
                <w:spacing w:val="-2"/>
                <w:sz w:val="22"/>
              </w:rPr>
              <w:t>2.451005</w:t>
            </w:r>
          </w:p>
        </w:tc>
        <w:tc>
          <w:tcPr>
            <w:tcW w:w="1053" w:type="dxa"/>
          </w:tcPr>
          <w:p>
            <w:pPr>
              <w:pStyle w:val="TableParagraph"/>
              <w:spacing w:before="249"/>
              <w:ind w:left="114" w:right="5"/>
              <w:jc w:val="center"/>
              <w:rPr>
                <w:rFonts w:ascii="Calibri"/>
                <w:sz w:val="22"/>
              </w:rPr>
            </w:pPr>
            <w:r>
              <w:rPr>
                <w:rFonts w:ascii="Calibri"/>
                <w:spacing w:val="-2"/>
                <w:sz w:val="22"/>
              </w:rPr>
              <w:t>11.6732</w:t>
            </w:r>
          </w:p>
        </w:tc>
        <w:tc>
          <w:tcPr>
            <w:tcW w:w="1061" w:type="dxa"/>
          </w:tcPr>
          <w:p>
            <w:pPr>
              <w:pStyle w:val="TableParagraph"/>
              <w:spacing w:before="249"/>
              <w:ind w:right="114"/>
              <w:jc w:val="right"/>
              <w:rPr>
                <w:rFonts w:ascii="Calibri"/>
                <w:sz w:val="22"/>
              </w:rPr>
            </w:pPr>
            <w:r>
              <w:rPr>
                <w:rFonts w:ascii="Calibri"/>
                <w:spacing w:val="-2"/>
                <w:sz w:val="22"/>
              </w:rPr>
              <w:t>1.043804</w:t>
            </w:r>
          </w:p>
        </w:tc>
        <w:tc>
          <w:tcPr>
            <w:tcW w:w="1061" w:type="dxa"/>
          </w:tcPr>
          <w:p>
            <w:pPr>
              <w:pStyle w:val="TableParagraph"/>
              <w:spacing w:before="249"/>
              <w:ind w:right="107"/>
              <w:jc w:val="right"/>
              <w:rPr>
                <w:rFonts w:ascii="Calibri"/>
                <w:sz w:val="22"/>
              </w:rPr>
            </w:pPr>
            <w:r>
              <w:rPr>
                <w:rFonts w:ascii="Calibri"/>
                <w:spacing w:val="-2"/>
                <w:sz w:val="22"/>
              </w:rPr>
              <w:t>15.75</w:t>
            </w:r>
          </w:p>
        </w:tc>
        <w:tc>
          <w:tcPr>
            <w:tcW w:w="1155" w:type="dxa"/>
          </w:tcPr>
          <w:p>
            <w:pPr>
              <w:pStyle w:val="TableParagraph"/>
              <w:spacing w:before="249"/>
              <w:ind w:right="209"/>
              <w:jc w:val="right"/>
              <w:rPr>
                <w:rFonts w:ascii="Calibri"/>
                <w:sz w:val="22"/>
              </w:rPr>
            </w:pPr>
            <w:r>
              <w:rPr>
                <w:rFonts w:ascii="Calibri"/>
                <w:spacing w:val="-2"/>
                <w:sz w:val="22"/>
              </w:rPr>
              <w:t>2.622492</w:t>
            </w:r>
          </w:p>
        </w:tc>
        <w:tc>
          <w:tcPr>
            <w:tcW w:w="1096" w:type="dxa"/>
          </w:tcPr>
          <w:p>
            <w:pPr>
              <w:pStyle w:val="TableParagraph"/>
              <w:spacing w:before="249"/>
              <w:ind w:right="49"/>
              <w:jc w:val="right"/>
              <w:rPr>
                <w:rFonts w:ascii="Calibri"/>
                <w:sz w:val="22"/>
              </w:rPr>
            </w:pPr>
            <w:r>
              <w:rPr>
                <w:rFonts w:ascii="Calibri"/>
                <w:spacing w:val="-2"/>
                <w:sz w:val="22"/>
              </w:rPr>
              <w:t>14.56568</w:t>
            </w:r>
          </w:p>
        </w:tc>
      </w:tr>
      <w:tr>
        <w:trPr>
          <w:trHeight w:val="537" w:hRule="atLeast"/>
        </w:trPr>
        <w:tc>
          <w:tcPr>
            <w:tcW w:w="606" w:type="dxa"/>
          </w:tcPr>
          <w:p>
            <w:pPr>
              <w:pStyle w:val="TableParagraph"/>
              <w:spacing w:before="249"/>
              <w:ind w:right="56"/>
              <w:jc w:val="center"/>
              <w:rPr>
                <w:rFonts w:ascii="Calibri"/>
                <w:sz w:val="22"/>
              </w:rPr>
            </w:pPr>
            <w:r>
              <w:rPr>
                <w:rFonts w:ascii="Calibri"/>
                <w:spacing w:val="-4"/>
                <w:sz w:val="22"/>
              </w:rPr>
              <w:t>2009</w:t>
            </w:r>
          </w:p>
        </w:tc>
        <w:tc>
          <w:tcPr>
            <w:tcW w:w="1081" w:type="dxa"/>
          </w:tcPr>
          <w:p>
            <w:pPr>
              <w:pStyle w:val="TableParagraph"/>
              <w:spacing w:before="249"/>
              <w:ind w:right="134"/>
              <w:jc w:val="right"/>
              <w:rPr>
                <w:rFonts w:ascii="Calibri"/>
                <w:sz w:val="22"/>
              </w:rPr>
            </w:pPr>
            <w:r>
              <w:rPr>
                <w:rFonts w:ascii="Calibri"/>
                <w:spacing w:val="-2"/>
                <w:sz w:val="22"/>
              </w:rPr>
              <w:t>14.70391</w:t>
            </w:r>
          </w:p>
        </w:tc>
        <w:tc>
          <w:tcPr>
            <w:tcW w:w="1091" w:type="dxa"/>
          </w:tcPr>
          <w:p>
            <w:pPr>
              <w:pStyle w:val="TableParagraph"/>
              <w:spacing w:before="249"/>
              <w:ind w:right="116"/>
              <w:jc w:val="right"/>
              <w:rPr>
                <w:rFonts w:ascii="Calibri"/>
                <w:sz w:val="22"/>
              </w:rPr>
            </w:pPr>
            <w:r>
              <w:rPr>
                <w:rFonts w:ascii="Calibri"/>
                <w:spacing w:val="-2"/>
                <w:sz w:val="22"/>
              </w:rPr>
              <w:t>11.48515</w:t>
            </w:r>
          </w:p>
        </w:tc>
        <w:tc>
          <w:tcPr>
            <w:tcW w:w="953" w:type="dxa"/>
          </w:tcPr>
          <w:p>
            <w:pPr>
              <w:pStyle w:val="TableParagraph"/>
              <w:spacing w:line="249" w:lineRule="exact"/>
              <w:ind w:right="106"/>
              <w:jc w:val="right"/>
              <w:rPr>
                <w:rFonts w:ascii="Calibri"/>
                <w:sz w:val="22"/>
              </w:rPr>
            </w:pPr>
            <w:r>
              <w:rPr>
                <w:rFonts w:ascii="Calibri"/>
                <w:spacing w:val="-10"/>
                <w:sz w:val="22"/>
              </w:rPr>
              <w:t>-</w:t>
            </w:r>
          </w:p>
          <w:p>
            <w:pPr>
              <w:pStyle w:val="TableParagraph"/>
              <w:ind w:right="107"/>
              <w:jc w:val="right"/>
              <w:rPr>
                <w:rFonts w:ascii="Calibri"/>
                <w:sz w:val="22"/>
              </w:rPr>
            </w:pPr>
            <w:r>
              <w:rPr>
                <w:rFonts w:ascii="Calibri"/>
                <w:spacing w:val="-2"/>
                <w:sz w:val="22"/>
              </w:rPr>
              <w:t>0.61101</w:t>
            </w:r>
          </w:p>
        </w:tc>
        <w:tc>
          <w:tcPr>
            <w:tcW w:w="1053" w:type="dxa"/>
          </w:tcPr>
          <w:p>
            <w:pPr>
              <w:pStyle w:val="TableParagraph"/>
              <w:spacing w:before="249"/>
              <w:ind w:left="4" w:right="3"/>
              <w:jc w:val="center"/>
              <w:rPr>
                <w:rFonts w:ascii="Calibri"/>
                <w:sz w:val="22"/>
              </w:rPr>
            </w:pPr>
            <w:r>
              <w:rPr>
                <w:rFonts w:ascii="Calibri"/>
                <w:spacing w:val="-2"/>
                <w:sz w:val="22"/>
              </w:rPr>
              <w:t>2.525729</w:t>
            </w:r>
          </w:p>
        </w:tc>
        <w:tc>
          <w:tcPr>
            <w:tcW w:w="1053" w:type="dxa"/>
          </w:tcPr>
          <w:p>
            <w:pPr>
              <w:pStyle w:val="TableParagraph"/>
              <w:spacing w:before="249"/>
              <w:ind w:left="4" w:right="5"/>
              <w:jc w:val="center"/>
              <w:rPr>
                <w:rFonts w:ascii="Calibri"/>
                <w:sz w:val="22"/>
              </w:rPr>
            </w:pPr>
            <w:r>
              <w:rPr>
                <w:rFonts w:ascii="Calibri"/>
                <w:spacing w:val="-2"/>
                <w:sz w:val="22"/>
              </w:rPr>
              <w:t>13.81454</w:t>
            </w:r>
          </w:p>
        </w:tc>
        <w:tc>
          <w:tcPr>
            <w:tcW w:w="1061" w:type="dxa"/>
          </w:tcPr>
          <w:p>
            <w:pPr>
              <w:pStyle w:val="TableParagraph"/>
              <w:spacing w:before="249"/>
              <w:ind w:right="114"/>
              <w:jc w:val="right"/>
              <w:rPr>
                <w:rFonts w:ascii="Calibri"/>
                <w:sz w:val="22"/>
              </w:rPr>
            </w:pPr>
            <w:r>
              <w:rPr>
                <w:rFonts w:ascii="Calibri"/>
                <w:spacing w:val="-2"/>
                <w:sz w:val="22"/>
              </w:rPr>
              <w:t>0.985817</w:t>
            </w:r>
          </w:p>
        </w:tc>
        <w:tc>
          <w:tcPr>
            <w:tcW w:w="1061" w:type="dxa"/>
          </w:tcPr>
          <w:p>
            <w:pPr>
              <w:pStyle w:val="TableParagraph"/>
              <w:spacing w:before="249"/>
              <w:ind w:right="107"/>
              <w:jc w:val="right"/>
              <w:rPr>
                <w:rFonts w:ascii="Calibri"/>
                <w:sz w:val="22"/>
              </w:rPr>
            </w:pPr>
            <w:r>
              <w:rPr>
                <w:rFonts w:ascii="Calibri"/>
                <w:spacing w:val="-2"/>
                <w:sz w:val="22"/>
              </w:rPr>
              <w:t>16.02401</w:t>
            </w:r>
          </w:p>
        </w:tc>
        <w:tc>
          <w:tcPr>
            <w:tcW w:w="1155" w:type="dxa"/>
          </w:tcPr>
          <w:p>
            <w:pPr>
              <w:pStyle w:val="TableParagraph"/>
              <w:spacing w:before="249"/>
              <w:ind w:right="209"/>
              <w:jc w:val="right"/>
              <w:rPr>
                <w:rFonts w:ascii="Calibri"/>
                <w:sz w:val="22"/>
              </w:rPr>
            </w:pPr>
            <w:r>
              <w:rPr>
                <w:rFonts w:ascii="Calibri"/>
                <w:spacing w:val="-2"/>
                <w:sz w:val="22"/>
              </w:rPr>
              <w:t>2.56341</w:t>
            </w:r>
          </w:p>
        </w:tc>
        <w:tc>
          <w:tcPr>
            <w:tcW w:w="1096" w:type="dxa"/>
          </w:tcPr>
          <w:p>
            <w:pPr>
              <w:pStyle w:val="TableParagraph"/>
              <w:spacing w:before="249"/>
              <w:ind w:right="49"/>
              <w:jc w:val="right"/>
              <w:rPr>
                <w:rFonts w:ascii="Calibri"/>
                <w:sz w:val="22"/>
              </w:rPr>
            </w:pPr>
            <w:r>
              <w:rPr>
                <w:rFonts w:ascii="Calibri"/>
                <w:spacing w:val="-2"/>
                <w:sz w:val="22"/>
              </w:rPr>
              <w:t>14.6485</w:t>
            </w:r>
          </w:p>
        </w:tc>
      </w:tr>
      <w:tr>
        <w:trPr>
          <w:trHeight w:val="536" w:hRule="atLeast"/>
        </w:trPr>
        <w:tc>
          <w:tcPr>
            <w:tcW w:w="606" w:type="dxa"/>
          </w:tcPr>
          <w:p>
            <w:pPr>
              <w:pStyle w:val="TableParagraph"/>
              <w:spacing w:line="267" w:lineRule="exact" w:before="249"/>
              <w:ind w:right="56"/>
              <w:jc w:val="center"/>
              <w:rPr>
                <w:rFonts w:ascii="Calibri"/>
                <w:sz w:val="22"/>
              </w:rPr>
            </w:pPr>
            <w:r>
              <w:rPr>
                <w:rFonts w:ascii="Calibri"/>
                <w:spacing w:val="-4"/>
                <w:sz w:val="22"/>
              </w:rPr>
              <w:t>2010</w:t>
            </w:r>
          </w:p>
        </w:tc>
        <w:tc>
          <w:tcPr>
            <w:tcW w:w="1081" w:type="dxa"/>
          </w:tcPr>
          <w:p>
            <w:pPr>
              <w:pStyle w:val="TableParagraph"/>
              <w:spacing w:line="267" w:lineRule="exact" w:before="249"/>
              <w:ind w:right="134"/>
              <w:jc w:val="right"/>
              <w:rPr>
                <w:rFonts w:ascii="Calibri"/>
                <w:sz w:val="22"/>
              </w:rPr>
            </w:pPr>
            <w:r>
              <w:rPr>
                <w:rFonts w:ascii="Calibri"/>
                <w:spacing w:val="-2"/>
                <w:sz w:val="22"/>
              </w:rPr>
              <w:t>16.14698</w:t>
            </w:r>
          </w:p>
        </w:tc>
        <w:tc>
          <w:tcPr>
            <w:tcW w:w="1091" w:type="dxa"/>
          </w:tcPr>
          <w:p>
            <w:pPr>
              <w:pStyle w:val="TableParagraph"/>
              <w:spacing w:line="267" w:lineRule="exact" w:before="249"/>
              <w:ind w:right="116"/>
              <w:jc w:val="right"/>
              <w:rPr>
                <w:rFonts w:ascii="Calibri"/>
                <w:sz w:val="22"/>
              </w:rPr>
            </w:pPr>
            <w:r>
              <w:rPr>
                <w:rFonts w:ascii="Calibri"/>
                <w:spacing w:val="-2"/>
                <w:sz w:val="22"/>
              </w:rPr>
              <w:t>11.50695</w:t>
            </w:r>
          </w:p>
        </w:tc>
        <w:tc>
          <w:tcPr>
            <w:tcW w:w="953" w:type="dxa"/>
          </w:tcPr>
          <w:p>
            <w:pPr>
              <w:pStyle w:val="TableParagraph"/>
              <w:spacing w:line="249" w:lineRule="exact"/>
              <w:ind w:right="106"/>
              <w:jc w:val="right"/>
              <w:rPr>
                <w:rFonts w:ascii="Calibri"/>
                <w:sz w:val="22"/>
              </w:rPr>
            </w:pPr>
            <w:r>
              <w:rPr>
                <w:rFonts w:ascii="Calibri"/>
                <w:spacing w:val="-10"/>
                <w:sz w:val="22"/>
              </w:rPr>
              <w:t>-</w:t>
            </w:r>
          </w:p>
          <w:p>
            <w:pPr>
              <w:pStyle w:val="TableParagraph"/>
              <w:spacing w:line="267" w:lineRule="exact"/>
              <w:ind w:right="107"/>
              <w:jc w:val="right"/>
              <w:rPr>
                <w:rFonts w:ascii="Calibri"/>
                <w:sz w:val="22"/>
              </w:rPr>
            </w:pPr>
            <w:r>
              <w:rPr>
                <w:rFonts w:ascii="Calibri"/>
                <w:spacing w:val="-2"/>
                <w:sz w:val="22"/>
              </w:rPr>
              <w:t>0.57377</w:t>
            </w:r>
          </w:p>
        </w:tc>
        <w:tc>
          <w:tcPr>
            <w:tcW w:w="1053" w:type="dxa"/>
          </w:tcPr>
          <w:p>
            <w:pPr>
              <w:pStyle w:val="TableParagraph"/>
              <w:spacing w:line="267" w:lineRule="exact" w:before="249"/>
              <w:ind w:left="4" w:right="3"/>
              <w:jc w:val="center"/>
              <w:rPr>
                <w:rFonts w:ascii="Calibri"/>
                <w:sz w:val="22"/>
              </w:rPr>
            </w:pPr>
            <w:r>
              <w:rPr>
                <w:rFonts w:ascii="Calibri"/>
                <w:spacing w:val="-2"/>
                <w:sz w:val="22"/>
              </w:rPr>
              <w:t>2.617396</w:t>
            </w:r>
          </w:p>
        </w:tc>
        <w:tc>
          <w:tcPr>
            <w:tcW w:w="1053" w:type="dxa"/>
          </w:tcPr>
          <w:p>
            <w:pPr>
              <w:pStyle w:val="TableParagraph"/>
              <w:spacing w:line="267" w:lineRule="exact" w:before="249"/>
              <w:ind w:left="4" w:right="5"/>
              <w:jc w:val="center"/>
              <w:rPr>
                <w:rFonts w:ascii="Calibri"/>
                <w:sz w:val="22"/>
              </w:rPr>
            </w:pPr>
            <w:r>
              <w:rPr>
                <w:rFonts w:ascii="Calibri"/>
                <w:spacing w:val="-2"/>
                <w:sz w:val="22"/>
              </w:rPr>
              <w:t>13.77646</w:t>
            </w:r>
          </w:p>
        </w:tc>
        <w:tc>
          <w:tcPr>
            <w:tcW w:w="1061" w:type="dxa"/>
          </w:tcPr>
          <w:p>
            <w:pPr>
              <w:pStyle w:val="TableParagraph"/>
              <w:spacing w:line="267" w:lineRule="exact" w:before="249"/>
              <w:ind w:right="114"/>
              <w:jc w:val="right"/>
              <w:rPr>
                <w:rFonts w:ascii="Calibri"/>
                <w:sz w:val="22"/>
              </w:rPr>
            </w:pPr>
            <w:r>
              <w:rPr>
                <w:rFonts w:ascii="Calibri"/>
                <w:spacing w:val="-2"/>
                <w:sz w:val="22"/>
              </w:rPr>
              <w:t>0.792993</w:t>
            </w:r>
          </w:p>
        </w:tc>
        <w:tc>
          <w:tcPr>
            <w:tcW w:w="1061" w:type="dxa"/>
          </w:tcPr>
          <w:p>
            <w:pPr>
              <w:pStyle w:val="TableParagraph"/>
              <w:spacing w:line="267" w:lineRule="exact" w:before="249"/>
              <w:ind w:right="107"/>
              <w:jc w:val="right"/>
              <w:rPr>
                <w:rFonts w:ascii="Calibri"/>
                <w:sz w:val="22"/>
              </w:rPr>
            </w:pPr>
            <w:r>
              <w:rPr>
                <w:rFonts w:ascii="Calibri"/>
                <w:spacing w:val="-2"/>
                <w:sz w:val="22"/>
              </w:rPr>
              <w:t>16.13368</w:t>
            </w:r>
          </w:p>
        </w:tc>
        <w:tc>
          <w:tcPr>
            <w:tcW w:w="1155" w:type="dxa"/>
          </w:tcPr>
          <w:p>
            <w:pPr>
              <w:pStyle w:val="TableParagraph"/>
              <w:spacing w:line="267" w:lineRule="exact" w:before="249"/>
              <w:ind w:right="209"/>
              <w:jc w:val="right"/>
              <w:rPr>
                <w:rFonts w:ascii="Calibri"/>
                <w:sz w:val="22"/>
              </w:rPr>
            </w:pPr>
            <w:r>
              <w:rPr>
                <w:rFonts w:ascii="Calibri"/>
                <w:spacing w:val="-2"/>
                <w:sz w:val="22"/>
              </w:rPr>
              <w:t>1.978239</w:t>
            </w:r>
          </w:p>
        </w:tc>
        <w:tc>
          <w:tcPr>
            <w:tcW w:w="1096" w:type="dxa"/>
          </w:tcPr>
          <w:p>
            <w:pPr>
              <w:pStyle w:val="TableParagraph"/>
              <w:spacing w:line="267" w:lineRule="exact" w:before="249"/>
              <w:ind w:right="49"/>
              <w:jc w:val="right"/>
              <w:rPr>
                <w:rFonts w:ascii="Calibri"/>
                <w:sz w:val="22"/>
              </w:rPr>
            </w:pPr>
            <w:r>
              <w:rPr>
                <w:rFonts w:ascii="Calibri"/>
                <w:spacing w:val="-2"/>
                <w:sz w:val="22"/>
              </w:rPr>
              <w:t>15.01256</w:t>
            </w:r>
          </w:p>
        </w:tc>
      </w:tr>
      <w:tr>
        <w:trPr>
          <w:trHeight w:val="512" w:hRule="atLeast"/>
        </w:trPr>
        <w:tc>
          <w:tcPr>
            <w:tcW w:w="606" w:type="dxa"/>
          </w:tcPr>
          <w:p>
            <w:pPr>
              <w:pStyle w:val="TableParagraph"/>
              <w:spacing w:line="245" w:lineRule="exact" w:before="247"/>
              <w:ind w:right="56"/>
              <w:jc w:val="center"/>
              <w:rPr>
                <w:rFonts w:ascii="Calibri"/>
                <w:sz w:val="22"/>
              </w:rPr>
            </w:pPr>
            <w:r>
              <w:rPr>
                <w:rFonts w:ascii="Calibri"/>
                <w:spacing w:val="-4"/>
                <w:sz w:val="22"/>
              </w:rPr>
              <w:t>2011</w:t>
            </w:r>
          </w:p>
        </w:tc>
        <w:tc>
          <w:tcPr>
            <w:tcW w:w="1081" w:type="dxa"/>
          </w:tcPr>
          <w:p>
            <w:pPr>
              <w:pStyle w:val="TableParagraph"/>
              <w:spacing w:line="245" w:lineRule="exact" w:before="247"/>
              <w:ind w:right="134"/>
              <w:jc w:val="right"/>
              <w:rPr>
                <w:rFonts w:ascii="Calibri"/>
                <w:sz w:val="22"/>
              </w:rPr>
            </w:pPr>
            <w:r>
              <w:rPr>
                <w:rFonts w:ascii="Calibri"/>
                <w:spacing w:val="-2"/>
                <w:sz w:val="22"/>
              </w:rPr>
              <w:t>16.30301</w:t>
            </w:r>
          </w:p>
        </w:tc>
        <w:tc>
          <w:tcPr>
            <w:tcW w:w="1091" w:type="dxa"/>
          </w:tcPr>
          <w:p>
            <w:pPr>
              <w:pStyle w:val="TableParagraph"/>
              <w:spacing w:line="245" w:lineRule="exact" w:before="247"/>
              <w:ind w:right="116"/>
              <w:jc w:val="right"/>
              <w:rPr>
                <w:rFonts w:ascii="Calibri"/>
                <w:sz w:val="22"/>
              </w:rPr>
            </w:pPr>
            <w:r>
              <w:rPr>
                <w:rFonts w:ascii="Calibri"/>
                <w:spacing w:val="-2"/>
                <w:sz w:val="22"/>
              </w:rPr>
              <w:t>12.24041</w:t>
            </w:r>
          </w:p>
        </w:tc>
        <w:tc>
          <w:tcPr>
            <w:tcW w:w="953" w:type="dxa"/>
          </w:tcPr>
          <w:p>
            <w:pPr>
              <w:pStyle w:val="TableParagraph"/>
              <w:spacing w:line="247" w:lineRule="exact"/>
              <w:ind w:right="106"/>
              <w:jc w:val="right"/>
              <w:rPr>
                <w:rFonts w:ascii="Calibri"/>
                <w:sz w:val="22"/>
              </w:rPr>
            </w:pPr>
            <w:r>
              <w:rPr>
                <w:rFonts w:ascii="Calibri"/>
                <w:spacing w:val="-10"/>
                <w:sz w:val="22"/>
              </w:rPr>
              <w:t>-</w:t>
            </w:r>
          </w:p>
          <w:p>
            <w:pPr>
              <w:pStyle w:val="TableParagraph"/>
              <w:spacing w:line="245" w:lineRule="exact"/>
              <w:ind w:right="107"/>
              <w:jc w:val="right"/>
              <w:rPr>
                <w:rFonts w:ascii="Calibri"/>
                <w:sz w:val="22"/>
              </w:rPr>
            </w:pPr>
            <w:r>
              <w:rPr>
                <w:rFonts w:ascii="Calibri"/>
                <w:spacing w:val="-2"/>
                <w:sz w:val="22"/>
              </w:rPr>
              <w:t>0.42802</w:t>
            </w:r>
          </w:p>
        </w:tc>
        <w:tc>
          <w:tcPr>
            <w:tcW w:w="1053" w:type="dxa"/>
          </w:tcPr>
          <w:p>
            <w:pPr>
              <w:pStyle w:val="TableParagraph"/>
              <w:spacing w:line="245" w:lineRule="exact" w:before="247"/>
              <w:ind w:left="4" w:right="3"/>
              <w:jc w:val="center"/>
              <w:rPr>
                <w:rFonts w:ascii="Calibri"/>
                <w:sz w:val="22"/>
              </w:rPr>
            </w:pPr>
            <w:r>
              <w:rPr>
                <w:rFonts w:ascii="Calibri"/>
                <w:spacing w:val="-2"/>
                <w:sz w:val="22"/>
              </w:rPr>
              <w:t>2.379546</w:t>
            </w:r>
          </w:p>
        </w:tc>
        <w:tc>
          <w:tcPr>
            <w:tcW w:w="1053" w:type="dxa"/>
          </w:tcPr>
          <w:p>
            <w:pPr>
              <w:pStyle w:val="TableParagraph"/>
              <w:spacing w:line="245" w:lineRule="exact" w:before="247"/>
              <w:ind w:left="4" w:right="5"/>
              <w:jc w:val="center"/>
              <w:rPr>
                <w:rFonts w:ascii="Calibri"/>
                <w:sz w:val="22"/>
              </w:rPr>
            </w:pPr>
            <w:r>
              <w:rPr>
                <w:rFonts w:ascii="Calibri"/>
                <w:spacing w:val="-2"/>
                <w:sz w:val="22"/>
              </w:rPr>
              <w:t>12.17821</w:t>
            </w:r>
          </w:p>
        </w:tc>
        <w:tc>
          <w:tcPr>
            <w:tcW w:w="1061" w:type="dxa"/>
          </w:tcPr>
          <w:p>
            <w:pPr>
              <w:pStyle w:val="TableParagraph"/>
              <w:spacing w:line="245" w:lineRule="exact" w:before="247"/>
              <w:ind w:right="114"/>
              <w:jc w:val="right"/>
              <w:rPr>
                <w:rFonts w:ascii="Calibri"/>
                <w:sz w:val="22"/>
              </w:rPr>
            </w:pPr>
            <w:r>
              <w:rPr>
                <w:rFonts w:ascii="Calibri"/>
                <w:spacing w:val="-2"/>
                <w:sz w:val="22"/>
              </w:rPr>
              <w:t>0.357674</w:t>
            </w:r>
          </w:p>
        </w:tc>
        <w:tc>
          <w:tcPr>
            <w:tcW w:w="1061" w:type="dxa"/>
          </w:tcPr>
          <w:p>
            <w:pPr>
              <w:pStyle w:val="TableParagraph"/>
              <w:spacing w:line="245" w:lineRule="exact" w:before="247"/>
              <w:ind w:right="107"/>
              <w:jc w:val="right"/>
              <w:rPr>
                <w:rFonts w:ascii="Calibri"/>
                <w:sz w:val="22"/>
              </w:rPr>
            </w:pPr>
            <w:r>
              <w:rPr>
                <w:rFonts w:ascii="Calibri"/>
                <w:spacing w:val="-2"/>
                <w:sz w:val="22"/>
              </w:rPr>
              <w:t>16.18202</w:t>
            </w:r>
          </w:p>
        </w:tc>
        <w:tc>
          <w:tcPr>
            <w:tcW w:w="1155" w:type="dxa"/>
          </w:tcPr>
          <w:p>
            <w:pPr>
              <w:pStyle w:val="TableParagraph"/>
              <w:spacing w:line="245" w:lineRule="exact" w:before="247"/>
              <w:ind w:right="209"/>
              <w:jc w:val="right"/>
              <w:rPr>
                <w:rFonts w:ascii="Calibri"/>
                <w:sz w:val="22"/>
              </w:rPr>
            </w:pPr>
            <w:r>
              <w:rPr>
                <w:rFonts w:ascii="Calibri"/>
                <w:spacing w:val="-2"/>
                <w:sz w:val="22"/>
              </w:rPr>
              <w:t>1.978239</w:t>
            </w:r>
          </w:p>
        </w:tc>
        <w:tc>
          <w:tcPr>
            <w:tcW w:w="1096" w:type="dxa"/>
          </w:tcPr>
          <w:p>
            <w:pPr>
              <w:pStyle w:val="TableParagraph"/>
              <w:spacing w:line="245" w:lineRule="exact" w:before="247"/>
              <w:ind w:right="49"/>
              <w:jc w:val="right"/>
              <w:rPr>
                <w:rFonts w:ascii="Calibri"/>
                <w:sz w:val="22"/>
              </w:rPr>
            </w:pPr>
            <w:r>
              <w:rPr>
                <w:rFonts w:ascii="Calibri"/>
                <w:spacing w:val="-2"/>
                <w:sz w:val="22"/>
              </w:rPr>
              <w:t>14.93207</w:t>
            </w:r>
          </w:p>
        </w:tc>
      </w:tr>
    </w:tbl>
    <w:p>
      <w:pPr>
        <w:spacing w:after="0" w:line="245" w:lineRule="exact"/>
        <w:jc w:val="right"/>
        <w:rPr>
          <w:rFonts w:ascii="Calibri"/>
          <w:sz w:val="22"/>
        </w:rPr>
        <w:sectPr>
          <w:pgSz w:w="11910" w:h="16840"/>
          <w:pgMar w:header="0" w:footer="979" w:top="1440" w:bottom="1240" w:left="280" w:right="0"/>
        </w:sectPr>
      </w:pPr>
    </w:p>
    <w:p>
      <w:pPr>
        <w:spacing w:before="62"/>
        <w:ind w:left="3585" w:right="0" w:firstLine="0"/>
        <w:jc w:val="left"/>
        <w:rPr>
          <w:b/>
          <w:sz w:val="20"/>
        </w:rPr>
      </w:pPr>
      <w:r>
        <w:rPr>
          <w:b/>
          <w:sz w:val="20"/>
        </w:rPr>
        <w:t>GUARANTY</w:t>
      </w:r>
      <w:r>
        <w:rPr>
          <w:b/>
          <w:spacing w:val="-10"/>
          <w:sz w:val="20"/>
        </w:rPr>
        <w:t> </w:t>
      </w:r>
      <w:r>
        <w:rPr>
          <w:b/>
          <w:sz w:val="20"/>
        </w:rPr>
        <w:t>TRUST</w:t>
      </w:r>
      <w:r>
        <w:rPr>
          <w:b/>
          <w:spacing w:val="-10"/>
          <w:sz w:val="20"/>
        </w:rPr>
        <w:t> </w:t>
      </w:r>
      <w:r>
        <w:rPr>
          <w:b/>
          <w:spacing w:val="-2"/>
          <w:sz w:val="20"/>
        </w:rPr>
        <w:t>APPROACH</w:t>
      </w:r>
    </w:p>
    <w:p>
      <w:pPr>
        <w:pStyle w:val="BodyText"/>
        <w:rPr>
          <w:b/>
          <w:sz w:val="20"/>
        </w:rPr>
      </w:pPr>
    </w:p>
    <w:p>
      <w:pPr>
        <w:pStyle w:val="BodyText"/>
        <w:spacing w:before="73"/>
        <w:rPr>
          <w:b/>
          <w:sz w:val="20"/>
        </w:rPr>
      </w:pPr>
    </w:p>
    <w:tbl>
      <w:tblPr>
        <w:tblW w:w="0" w:type="auto"/>
        <w:jc w:val="left"/>
        <w:tblInd w:w="7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3"/>
        <w:gridCol w:w="1054"/>
        <w:gridCol w:w="1110"/>
        <w:gridCol w:w="961"/>
        <w:gridCol w:w="1055"/>
        <w:gridCol w:w="1055"/>
        <w:gridCol w:w="1055"/>
        <w:gridCol w:w="1070"/>
        <w:gridCol w:w="1055"/>
        <w:gridCol w:w="998"/>
      </w:tblGrid>
      <w:tr>
        <w:trPr>
          <w:trHeight w:val="244" w:hRule="atLeast"/>
        </w:trPr>
        <w:tc>
          <w:tcPr>
            <w:tcW w:w="723" w:type="dxa"/>
          </w:tcPr>
          <w:p>
            <w:pPr>
              <w:pStyle w:val="TableParagraph"/>
              <w:spacing w:line="225" w:lineRule="exact"/>
              <w:ind w:right="56"/>
              <w:jc w:val="center"/>
              <w:rPr>
                <w:rFonts w:ascii="Calibri"/>
                <w:sz w:val="22"/>
              </w:rPr>
            </w:pPr>
            <w:r>
              <w:rPr>
                <w:rFonts w:ascii="Calibri"/>
                <w:spacing w:val="-4"/>
                <w:sz w:val="22"/>
              </w:rPr>
              <w:t>YEARS</w:t>
            </w:r>
          </w:p>
        </w:tc>
        <w:tc>
          <w:tcPr>
            <w:tcW w:w="1054" w:type="dxa"/>
          </w:tcPr>
          <w:p>
            <w:pPr>
              <w:pStyle w:val="TableParagraph"/>
              <w:spacing w:line="225" w:lineRule="exact"/>
              <w:ind w:left="107"/>
              <w:rPr>
                <w:rFonts w:ascii="Calibri"/>
                <w:sz w:val="22"/>
              </w:rPr>
            </w:pPr>
            <w:r>
              <w:rPr>
                <w:rFonts w:ascii="Calibri"/>
                <w:spacing w:val="-2"/>
                <w:sz w:val="22"/>
              </w:rPr>
              <w:t>L^KFM</w:t>
            </w:r>
          </w:p>
        </w:tc>
        <w:tc>
          <w:tcPr>
            <w:tcW w:w="1110" w:type="dxa"/>
          </w:tcPr>
          <w:p>
            <w:pPr>
              <w:pStyle w:val="TableParagraph"/>
              <w:spacing w:line="225" w:lineRule="exact"/>
              <w:ind w:right="106"/>
              <w:jc w:val="right"/>
              <w:rPr>
                <w:rFonts w:ascii="Calibri"/>
                <w:sz w:val="22"/>
              </w:rPr>
            </w:pPr>
            <w:r>
              <w:rPr>
                <w:rFonts w:ascii="Calibri"/>
                <w:spacing w:val="-2"/>
                <w:sz w:val="22"/>
              </w:rPr>
              <w:t>L^EXTDBT</w:t>
            </w:r>
          </w:p>
        </w:tc>
        <w:tc>
          <w:tcPr>
            <w:tcW w:w="961" w:type="dxa"/>
          </w:tcPr>
          <w:p>
            <w:pPr>
              <w:pStyle w:val="TableParagraph"/>
              <w:spacing w:line="225" w:lineRule="exact"/>
              <w:ind w:left="106"/>
              <w:rPr>
                <w:rFonts w:ascii="Calibri"/>
                <w:sz w:val="22"/>
              </w:rPr>
            </w:pPr>
            <w:r>
              <w:rPr>
                <w:rFonts w:ascii="Calibri"/>
                <w:spacing w:val="-4"/>
                <w:sz w:val="22"/>
              </w:rPr>
              <w:t>L^DOP</w:t>
            </w:r>
          </w:p>
        </w:tc>
        <w:tc>
          <w:tcPr>
            <w:tcW w:w="1055" w:type="dxa"/>
          </w:tcPr>
          <w:p>
            <w:pPr>
              <w:pStyle w:val="TableParagraph"/>
              <w:spacing w:line="225" w:lineRule="exact"/>
              <w:ind w:left="105"/>
              <w:rPr>
                <w:rFonts w:ascii="Calibri"/>
                <w:sz w:val="22"/>
              </w:rPr>
            </w:pPr>
            <w:r>
              <w:rPr>
                <w:rFonts w:ascii="Calibri"/>
                <w:spacing w:val="-2"/>
                <w:sz w:val="22"/>
              </w:rPr>
              <w:t>L^INF</w:t>
            </w:r>
          </w:p>
        </w:tc>
        <w:tc>
          <w:tcPr>
            <w:tcW w:w="1055" w:type="dxa"/>
          </w:tcPr>
          <w:p>
            <w:pPr>
              <w:pStyle w:val="TableParagraph"/>
              <w:spacing w:line="225" w:lineRule="exact"/>
              <w:ind w:left="104"/>
              <w:rPr>
                <w:rFonts w:ascii="Calibri"/>
                <w:sz w:val="22"/>
              </w:rPr>
            </w:pPr>
            <w:r>
              <w:rPr>
                <w:rFonts w:ascii="Calibri"/>
                <w:spacing w:val="-2"/>
                <w:sz w:val="22"/>
              </w:rPr>
              <w:t>L^GCF</w:t>
            </w:r>
          </w:p>
        </w:tc>
        <w:tc>
          <w:tcPr>
            <w:tcW w:w="1055" w:type="dxa"/>
          </w:tcPr>
          <w:p>
            <w:pPr>
              <w:pStyle w:val="TableParagraph"/>
              <w:spacing w:line="225" w:lineRule="exact"/>
              <w:ind w:left="103"/>
              <w:rPr>
                <w:rFonts w:ascii="Calibri"/>
                <w:sz w:val="22"/>
              </w:rPr>
            </w:pPr>
            <w:r>
              <w:rPr>
                <w:rFonts w:ascii="Calibri"/>
                <w:spacing w:val="-4"/>
                <w:sz w:val="22"/>
              </w:rPr>
              <w:t>L^DR</w:t>
            </w:r>
          </w:p>
        </w:tc>
        <w:tc>
          <w:tcPr>
            <w:tcW w:w="1070" w:type="dxa"/>
          </w:tcPr>
          <w:p>
            <w:pPr>
              <w:pStyle w:val="TableParagraph"/>
              <w:spacing w:line="225" w:lineRule="exact"/>
              <w:ind w:left="3" w:right="13"/>
              <w:jc w:val="center"/>
              <w:rPr>
                <w:rFonts w:ascii="Calibri"/>
                <w:sz w:val="22"/>
              </w:rPr>
            </w:pPr>
            <w:r>
              <w:rPr>
                <w:rFonts w:ascii="Calibri"/>
                <w:spacing w:val="-2"/>
                <w:sz w:val="22"/>
              </w:rPr>
              <w:t>L^PRIVCR</w:t>
            </w:r>
          </w:p>
        </w:tc>
        <w:tc>
          <w:tcPr>
            <w:tcW w:w="1055" w:type="dxa"/>
          </w:tcPr>
          <w:p>
            <w:pPr>
              <w:pStyle w:val="TableParagraph"/>
              <w:spacing w:line="225" w:lineRule="exact"/>
              <w:ind w:left="100"/>
              <w:rPr>
                <w:rFonts w:ascii="Calibri"/>
                <w:sz w:val="22"/>
              </w:rPr>
            </w:pPr>
            <w:r>
              <w:rPr>
                <w:rFonts w:ascii="Calibri"/>
                <w:spacing w:val="-2"/>
                <w:sz w:val="22"/>
              </w:rPr>
              <w:t>L^USIRD</w:t>
            </w:r>
          </w:p>
        </w:tc>
        <w:tc>
          <w:tcPr>
            <w:tcW w:w="998" w:type="dxa"/>
          </w:tcPr>
          <w:p>
            <w:pPr>
              <w:pStyle w:val="TableParagraph"/>
              <w:spacing w:line="225" w:lineRule="exact"/>
              <w:ind w:left="98"/>
              <w:rPr>
                <w:rFonts w:ascii="Calibri"/>
                <w:sz w:val="22"/>
              </w:rPr>
            </w:pPr>
            <w:r>
              <w:rPr>
                <w:rFonts w:ascii="Calibri"/>
                <w:spacing w:val="-2"/>
                <w:sz w:val="22"/>
              </w:rPr>
              <w:t>L^GOCE</w:t>
            </w:r>
          </w:p>
        </w:tc>
      </w:tr>
      <w:tr>
        <w:trPr>
          <w:trHeight w:val="537" w:hRule="atLeast"/>
        </w:trPr>
        <w:tc>
          <w:tcPr>
            <w:tcW w:w="723" w:type="dxa"/>
          </w:tcPr>
          <w:p>
            <w:pPr>
              <w:pStyle w:val="TableParagraph"/>
              <w:spacing w:before="249"/>
              <w:ind w:left="116" w:right="56"/>
              <w:jc w:val="center"/>
              <w:rPr>
                <w:rFonts w:ascii="Calibri"/>
                <w:sz w:val="22"/>
              </w:rPr>
            </w:pPr>
            <w:r>
              <w:rPr>
                <w:rFonts w:ascii="Calibri"/>
                <w:spacing w:val="-4"/>
                <w:sz w:val="22"/>
              </w:rPr>
              <w:t>1970</w:t>
            </w:r>
          </w:p>
        </w:tc>
        <w:tc>
          <w:tcPr>
            <w:tcW w:w="1054" w:type="dxa"/>
          </w:tcPr>
          <w:p>
            <w:pPr>
              <w:pStyle w:val="TableParagraph"/>
              <w:spacing w:before="249"/>
              <w:ind w:left="109"/>
              <w:rPr>
                <w:rFonts w:ascii="Calibri"/>
                <w:sz w:val="22"/>
              </w:rPr>
            </w:pPr>
            <w:r>
              <w:rPr>
                <w:rFonts w:ascii="Calibri"/>
                <w:spacing w:val="-2"/>
                <w:sz w:val="22"/>
              </w:rPr>
              <w:t>6.812345</w:t>
            </w:r>
          </w:p>
        </w:tc>
        <w:tc>
          <w:tcPr>
            <w:tcW w:w="1110" w:type="dxa"/>
          </w:tcPr>
          <w:p>
            <w:pPr>
              <w:pStyle w:val="TableParagraph"/>
              <w:spacing w:before="249"/>
              <w:ind w:right="106"/>
              <w:jc w:val="right"/>
              <w:rPr>
                <w:rFonts w:ascii="Calibri"/>
                <w:sz w:val="22"/>
              </w:rPr>
            </w:pPr>
            <w:r>
              <w:rPr>
                <w:rFonts w:ascii="Calibri"/>
                <w:spacing w:val="-2"/>
                <w:sz w:val="22"/>
              </w:rPr>
              <w:t>-0.22314</w:t>
            </w:r>
          </w:p>
        </w:tc>
        <w:tc>
          <w:tcPr>
            <w:tcW w:w="961" w:type="dxa"/>
          </w:tcPr>
          <w:p>
            <w:pPr>
              <w:pStyle w:val="TableParagraph"/>
              <w:spacing w:line="249" w:lineRule="exact"/>
              <w:ind w:right="108"/>
              <w:jc w:val="right"/>
              <w:rPr>
                <w:rFonts w:ascii="Calibri"/>
                <w:sz w:val="22"/>
              </w:rPr>
            </w:pPr>
            <w:r>
              <w:rPr>
                <w:rFonts w:ascii="Calibri"/>
                <w:spacing w:val="-10"/>
                <w:sz w:val="22"/>
              </w:rPr>
              <w:t>-</w:t>
            </w:r>
          </w:p>
          <w:p>
            <w:pPr>
              <w:pStyle w:val="TableParagraph"/>
              <w:ind w:right="107"/>
              <w:jc w:val="right"/>
              <w:rPr>
                <w:rFonts w:ascii="Calibri"/>
                <w:sz w:val="22"/>
              </w:rPr>
            </w:pPr>
            <w:r>
              <w:rPr>
                <w:rFonts w:ascii="Calibri"/>
                <w:spacing w:val="-2"/>
                <w:sz w:val="22"/>
              </w:rPr>
              <w:t>1.16828</w:t>
            </w:r>
          </w:p>
        </w:tc>
        <w:tc>
          <w:tcPr>
            <w:tcW w:w="1055" w:type="dxa"/>
          </w:tcPr>
          <w:p>
            <w:pPr>
              <w:pStyle w:val="TableParagraph"/>
              <w:spacing w:before="249"/>
              <w:ind w:left="107"/>
              <w:rPr>
                <w:rFonts w:ascii="Calibri"/>
                <w:sz w:val="22"/>
              </w:rPr>
            </w:pPr>
            <w:r>
              <w:rPr>
                <w:rFonts w:ascii="Calibri"/>
                <w:spacing w:val="-2"/>
                <w:sz w:val="22"/>
              </w:rPr>
              <w:t>2.624669</w:t>
            </w:r>
          </w:p>
        </w:tc>
        <w:tc>
          <w:tcPr>
            <w:tcW w:w="1055" w:type="dxa"/>
          </w:tcPr>
          <w:p>
            <w:pPr>
              <w:pStyle w:val="TableParagraph"/>
              <w:spacing w:before="249"/>
              <w:ind w:left="106"/>
              <w:rPr>
                <w:rFonts w:ascii="Calibri"/>
                <w:sz w:val="22"/>
              </w:rPr>
            </w:pPr>
            <w:r>
              <w:rPr>
                <w:rFonts w:ascii="Calibri"/>
                <w:spacing w:val="-2"/>
                <w:sz w:val="22"/>
              </w:rPr>
              <w:t>6.280021</w:t>
            </w:r>
          </w:p>
        </w:tc>
        <w:tc>
          <w:tcPr>
            <w:tcW w:w="1055" w:type="dxa"/>
          </w:tcPr>
          <w:p>
            <w:pPr>
              <w:pStyle w:val="TableParagraph"/>
              <w:spacing w:before="249"/>
              <w:ind w:right="111"/>
              <w:jc w:val="right"/>
              <w:rPr>
                <w:rFonts w:ascii="Calibri"/>
                <w:sz w:val="22"/>
              </w:rPr>
            </w:pPr>
            <w:r>
              <w:rPr>
                <w:rFonts w:ascii="Calibri"/>
                <w:spacing w:val="-2"/>
                <w:sz w:val="22"/>
              </w:rPr>
              <w:t>1.098612</w:t>
            </w:r>
          </w:p>
        </w:tc>
        <w:tc>
          <w:tcPr>
            <w:tcW w:w="1070" w:type="dxa"/>
          </w:tcPr>
          <w:p>
            <w:pPr>
              <w:pStyle w:val="TableParagraph"/>
              <w:spacing w:before="249"/>
              <w:ind w:left="13" w:right="10"/>
              <w:jc w:val="center"/>
              <w:rPr>
                <w:rFonts w:ascii="Calibri"/>
                <w:sz w:val="22"/>
              </w:rPr>
            </w:pPr>
            <w:r>
              <w:rPr>
                <w:rFonts w:ascii="Calibri"/>
                <w:spacing w:val="-2"/>
                <w:sz w:val="22"/>
              </w:rPr>
              <w:t>5.881789</w:t>
            </w:r>
          </w:p>
        </w:tc>
        <w:tc>
          <w:tcPr>
            <w:tcW w:w="1055" w:type="dxa"/>
          </w:tcPr>
          <w:p>
            <w:pPr>
              <w:pStyle w:val="TableParagraph"/>
              <w:spacing w:before="249"/>
              <w:ind w:left="145"/>
              <w:rPr>
                <w:rFonts w:ascii="Calibri"/>
                <w:sz w:val="22"/>
              </w:rPr>
            </w:pPr>
            <w:r>
              <w:rPr>
                <w:rFonts w:ascii="Calibri"/>
                <w:spacing w:val="-2"/>
                <w:sz w:val="22"/>
              </w:rPr>
              <w:t>-0.35667</w:t>
            </w:r>
          </w:p>
        </w:tc>
        <w:tc>
          <w:tcPr>
            <w:tcW w:w="998" w:type="dxa"/>
          </w:tcPr>
          <w:p>
            <w:pPr>
              <w:pStyle w:val="TableParagraph"/>
              <w:spacing w:before="249"/>
              <w:ind w:right="58"/>
              <w:jc w:val="right"/>
              <w:rPr>
                <w:rFonts w:ascii="Calibri"/>
                <w:sz w:val="22"/>
              </w:rPr>
            </w:pPr>
            <w:r>
              <w:rPr>
                <w:rFonts w:ascii="Calibri"/>
                <w:spacing w:val="-2"/>
                <w:sz w:val="22"/>
              </w:rPr>
              <w:t>6.57382</w:t>
            </w:r>
          </w:p>
        </w:tc>
      </w:tr>
      <w:tr>
        <w:trPr>
          <w:trHeight w:val="537" w:hRule="atLeast"/>
        </w:trPr>
        <w:tc>
          <w:tcPr>
            <w:tcW w:w="723" w:type="dxa"/>
          </w:tcPr>
          <w:p>
            <w:pPr>
              <w:pStyle w:val="TableParagraph"/>
              <w:spacing w:before="249"/>
              <w:ind w:left="116" w:right="56"/>
              <w:jc w:val="center"/>
              <w:rPr>
                <w:rFonts w:ascii="Calibri"/>
                <w:sz w:val="22"/>
              </w:rPr>
            </w:pPr>
            <w:r>
              <w:rPr>
                <w:rFonts w:ascii="Calibri"/>
                <w:spacing w:val="-4"/>
                <w:sz w:val="22"/>
              </w:rPr>
              <w:t>1971</w:t>
            </w:r>
          </w:p>
        </w:tc>
        <w:tc>
          <w:tcPr>
            <w:tcW w:w="1054" w:type="dxa"/>
          </w:tcPr>
          <w:p>
            <w:pPr>
              <w:pStyle w:val="TableParagraph"/>
              <w:spacing w:before="249"/>
              <w:ind w:left="109"/>
              <w:rPr>
                <w:rFonts w:ascii="Calibri"/>
                <w:sz w:val="22"/>
              </w:rPr>
            </w:pPr>
            <w:r>
              <w:rPr>
                <w:rFonts w:ascii="Calibri"/>
                <w:spacing w:val="-2"/>
                <w:sz w:val="22"/>
              </w:rPr>
              <w:t>7.236123</w:t>
            </w:r>
          </w:p>
        </w:tc>
        <w:tc>
          <w:tcPr>
            <w:tcW w:w="1110" w:type="dxa"/>
          </w:tcPr>
          <w:p>
            <w:pPr>
              <w:pStyle w:val="TableParagraph"/>
              <w:spacing w:before="249"/>
              <w:ind w:right="106"/>
              <w:jc w:val="right"/>
              <w:rPr>
                <w:rFonts w:ascii="Calibri"/>
                <w:sz w:val="22"/>
              </w:rPr>
            </w:pPr>
            <w:r>
              <w:rPr>
                <w:rFonts w:ascii="Calibri"/>
                <w:spacing w:val="-2"/>
                <w:sz w:val="22"/>
              </w:rPr>
              <w:t>1.252763</w:t>
            </w:r>
          </w:p>
        </w:tc>
        <w:tc>
          <w:tcPr>
            <w:tcW w:w="961" w:type="dxa"/>
          </w:tcPr>
          <w:p>
            <w:pPr>
              <w:pStyle w:val="TableParagraph"/>
              <w:spacing w:line="249" w:lineRule="exact"/>
              <w:ind w:right="108"/>
              <w:jc w:val="right"/>
              <w:rPr>
                <w:rFonts w:ascii="Calibri"/>
                <w:sz w:val="22"/>
              </w:rPr>
            </w:pPr>
            <w:r>
              <w:rPr>
                <w:rFonts w:ascii="Calibri"/>
                <w:spacing w:val="-10"/>
                <w:sz w:val="22"/>
              </w:rPr>
              <w:t>-</w:t>
            </w:r>
          </w:p>
          <w:p>
            <w:pPr>
              <w:pStyle w:val="TableParagraph"/>
              <w:ind w:right="107"/>
              <w:jc w:val="right"/>
              <w:rPr>
                <w:rFonts w:ascii="Calibri"/>
                <w:sz w:val="22"/>
              </w:rPr>
            </w:pPr>
            <w:r>
              <w:rPr>
                <w:rFonts w:ascii="Calibri"/>
                <w:spacing w:val="-2"/>
                <w:sz w:val="22"/>
              </w:rPr>
              <w:t>1.03086</w:t>
            </w:r>
          </w:p>
        </w:tc>
        <w:tc>
          <w:tcPr>
            <w:tcW w:w="1055" w:type="dxa"/>
          </w:tcPr>
          <w:p>
            <w:pPr>
              <w:pStyle w:val="TableParagraph"/>
              <w:spacing w:before="249"/>
              <w:ind w:left="107"/>
              <w:rPr>
                <w:rFonts w:ascii="Calibri"/>
                <w:sz w:val="22"/>
              </w:rPr>
            </w:pPr>
            <w:r>
              <w:rPr>
                <w:rFonts w:ascii="Calibri"/>
                <w:spacing w:val="-2"/>
                <w:sz w:val="22"/>
              </w:rPr>
              <w:t>2.772589</w:t>
            </w:r>
          </w:p>
        </w:tc>
        <w:tc>
          <w:tcPr>
            <w:tcW w:w="1055" w:type="dxa"/>
          </w:tcPr>
          <w:p>
            <w:pPr>
              <w:pStyle w:val="TableParagraph"/>
              <w:spacing w:before="249"/>
              <w:ind w:left="106"/>
              <w:rPr>
                <w:rFonts w:ascii="Calibri"/>
                <w:sz w:val="22"/>
              </w:rPr>
            </w:pPr>
            <w:r>
              <w:rPr>
                <w:rFonts w:ascii="Calibri"/>
                <w:spacing w:val="-2"/>
                <w:sz w:val="22"/>
              </w:rPr>
              <w:t>6.263208</w:t>
            </w:r>
          </w:p>
        </w:tc>
        <w:tc>
          <w:tcPr>
            <w:tcW w:w="1055" w:type="dxa"/>
          </w:tcPr>
          <w:p>
            <w:pPr>
              <w:pStyle w:val="TableParagraph"/>
              <w:spacing w:before="249"/>
              <w:ind w:right="111"/>
              <w:jc w:val="right"/>
              <w:rPr>
                <w:rFonts w:ascii="Calibri"/>
                <w:sz w:val="22"/>
              </w:rPr>
            </w:pPr>
            <w:r>
              <w:rPr>
                <w:rFonts w:ascii="Calibri"/>
                <w:spacing w:val="-2"/>
                <w:sz w:val="22"/>
              </w:rPr>
              <w:t>1.098612</w:t>
            </w:r>
          </w:p>
        </w:tc>
        <w:tc>
          <w:tcPr>
            <w:tcW w:w="1070" w:type="dxa"/>
          </w:tcPr>
          <w:p>
            <w:pPr>
              <w:pStyle w:val="TableParagraph"/>
              <w:spacing w:before="249"/>
              <w:ind w:left="13" w:right="10"/>
              <w:jc w:val="center"/>
              <w:rPr>
                <w:rFonts w:ascii="Calibri"/>
                <w:sz w:val="22"/>
              </w:rPr>
            </w:pPr>
            <w:r>
              <w:rPr>
                <w:rFonts w:ascii="Calibri"/>
                <w:spacing w:val="-2"/>
                <w:sz w:val="22"/>
              </w:rPr>
              <w:t>6.292217</w:t>
            </w:r>
          </w:p>
        </w:tc>
        <w:tc>
          <w:tcPr>
            <w:tcW w:w="1055" w:type="dxa"/>
          </w:tcPr>
          <w:p>
            <w:pPr>
              <w:pStyle w:val="TableParagraph"/>
              <w:spacing w:before="249"/>
              <w:ind w:left="102"/>
              <w:rPr>
                <w:rFonts w:ascii="Calibri"/>
                <w:sz w:val="22"/>
              </w:rPr>
            </w:pPr>
            <w:r>
              <w:rPr>
                <w:rFonts w:ascii="Calibri"/>
                <w:spacing w:val="-2"/>
                <w:sz w:val="22"/>
              </w:rPr>
              <w:t>1.446919</w:t>
            </w:r>
          </w:p>
        </w:tc>
        <w:tc>
          <w:tcPr>
            <w:tcW w:w="998" w:type="dxa"/>
          </w:tcPr>
          <w:p>
            <w:pPr>
              <w:pStyle w:val="TableParagraph"/>
              <w:spacing w:before="249"/>
              <w:ind w:right="58"/>
              <w:jc w:val="right"/>
              <w:rPr>
                <w:rFonts w:ascii="Calibri"/>
                <w:sz w:val="22"/>
              </w:rPr>
            </w:pPr>
            <w:r>
              <w:rPr>
                <w:rFonts w:ascii="Calibri"/>
                <w:spacing w:val="-2"/>
                <w:sz w:val="22"/>
              </w:rPr>
              <w:t>6.713685</w:t>
            </w:r>
          </w:p>
        </w:tc>
      </w:tr>
      <w:tr>
        <w:trPr>
          <w:trHeight w:val="537" w:hRule="atLeast"/>
        </w:trPr>
        <w:tc>
          <w:tcPr>
            <w:tcW w:w="723" w:type="dxa"/>
          </w:tcPr>
          <w:p>
            <w:pPr>
              <w:pStyle w:val="TableParagraph"/>
              <w:spacing w:before="249"/>
              <w:ind w:left="116" w:right="56"/>
              <w:jc w:val="center"/>
              <w:rPr>
                <w:rFonts w:ascii="Calibri"/>
                <w:sz w:val="22"/>
              </w:rPr>
            </w:pPr>
            <w:r>
              <w:rPr>
                <w:rFonts w:ascii="Calibri"/>
                <w:spacing w:val="-4"/>
                <w:sz w:val="22"/>
              </w:rPr>
              <w:t>1972</w:t>
            </w:r>
          </w:p>
        </w:tc>
        <w:tc>
          <w:tcPr>
            <w:tcW w:w="1054" w:type="dxa"/>
          </w:tcPr>
          <w:p>
            <w:pPr>
              <w:pStyle w:val="TableParagraph"/>
              <w:spacing w:before="249"/>
              <w:ind w:right="105"/>
              <w:jc w:val="right"/>
              <w:rPr>
                <w:rFonts w:ascii="Calibri"/>
                <w:sz w:val="22"/>
              </w:rPr>
            </w:pPr>
            <w:r>
              <w:rPr>
                <w:rFonts w:ascii="Calibri"/>
                <w:spacing w:val="-2"/>
                <w:sz w:val="22"/>
              </w:rPr>
              <w:t>7.54094</w:t>
            </w:r>
          </w:p>
        </w:tc>
        <w:tc>
          <w:tcPr>
            <w:tcW w:w="1110" w:type="dxa"/>
          </w:tcPr>
          <w:p>
            <w:pPr>
              <w:pStyle w:val="TableParagraph"/>
              <w:spacing w:before="249"/>
              <w:ind w:right="106"/>
              <w:jc w:val="right"/>
              <w:rPr>
                <w:rFonts w:ascii="Calibri"/>
                <w:sz w:val="22"/>
              </w:rPr>
            </w:pPr>
            <w:r>
              <w:rPr>
                <w:rFonts w:ascii="Calibri"/>
                <w:spacing w:val="-2"/>
                <w:sz w:val="22"/>
              </w:rPr>
              <w:t>4.467057</w:t>
            </w:r>
          </w:p>
        </w:tc>
        <w:tc>
          <w:tcPr>
            <w:tcW w:w="961" w:type="dxa"/>
          </w:tcPr>
          <w:p>
            <w:pPr>
              <w:pStyle w:val="TableParagraph"/>
              <w:spacing w:line="249" w:lineRule="exact"/>
              <w:ind w:right="108"/>
              <w:jc w:val="right"/>
              <w:rPr>
                <w:rFonts w:ascii="Calibri"/>
                <w:sz w:val="22"/>
              </w:rPr>
            </w:pPr>
            <w:r>
              <w:rPr>
                <w:rFonts w:ascii="Calibri"/>
                <w:spacing w:val="-10"/>
                <w:sz w:val="22"/>
              </w:rPr>
              <w:t>-</w:t>
            </w:r>
          </w:p>
          <w:p>
            <w:pPr>
              <w:pStyle w:val="TableParagraph"/>
              <w:ind w:right="107"/>
              <w:jc w:val="right"/>
              <w:rPr>
                <w:rFonts w:ascii="Calibri"/>
                <w:sz w:val="22"/>
              </w:rPr>
            </w:pPr>
            <w:r>
              <w:rPr>
                <w:rFonts w:ascii="Calibri"/>
                <w:spacing w:val="-2"/>
                <w:sz w:val="22"/>
              </w:rPr>
              <w:t>1.08678</w:t>
            </w:r>
          </w:p>
        </w:tc>
        <w:tc>
          <w:tcPr>
            <w:tcW w:w="1055" w:type="dxa"/>
          </w:tcPr>
          <w:p>
            <w:pPr>
              <w:pStyle w:val="TableParagraph"/>
              <w:spacing w:before="249"/>
              <w:ind w:left="107"/>
              <w:rPr>
                <w:rFonts w:ascii="Calibri"/>
                <w:sz w:val="22"/>
              </w:rPr>
            </w:pPr>
            <w:r>
              <w:rPr>
                <w:rFonts w:ascii="Calibri"/>
                <w:spacing w:val="-2"/>
                <w:sz w:val="22"/>
              </w:rPr>
              <w:t>1.163151</w:t>
            </w:r>
          </w:p>
        </w:tc>
        <w:tc>
          <w:tcPr>
            <w:tcW w:w="1055" w:type="dxa"/>
          </w:tcPr>
          <w:p>
            <w:pPr>
              <w:pStyle w:val="TableParagraph"/>
              <w:spacing w:before="249"/>
              <w:ind w:left="106"/>
              <w:rPr>
                <w:rFonts w:ascii="Calibri"/>
                <w:sz w:val="22"/>
              </w:rPr>
            </w:pPr>
            <w:r>
              <w:rPr>
                <w:rFonts w:ascii="Calibri"/>
                <w:spacing w:val="-2"/>
                <w:sz w:val="22"/>
              </w:rPr>
              <w:t>6.036677</w:t>
            </w:r>
          </w:p>
        </w:tc>
        <w:tc>
          <w:tcPr>
            <w:tcW w:w="1055" w:type="dxa"/>
          </w:tcPr>
          <w:p>
            <w:pPr>
              <w:pStyle w:val="TableParagraph"/>
              <w:spacing w:before="249"/>
              <w:ind w:right="111"/>
              <w:jc w:val="right"/>
              <w:rPr>
                <w:rFonts w:ascii="Calibri"/>
                <w:sz w:val="22"/>
              </w:rPr>
            </w:pPr>
            <w:r>
              <w:rPr>
                <w:rFonts w:ascii="Calibri"/>
                <w:spacing w:val="-2"/>
                <w:sz w:val="22"/>
              </w:rPr>
              <w:t>1.098612</w:t>
            </w:r>
          </w:p>
        </w:tc>
        <w:tc>
          <w:tcPr>
            <w:tcW w:w="1070" w:type="dxa"/>
          </w:tcPr>
          <w:p>
            <w:pPr>
              <w:pStyle w:val="TableParagraph"/>
              <w:spacing w:before="249"/>
              <w:ind w:left="123" w:right="10"/>
              <w:jc w:val="center"/>
              <w:rPr>
                <w:rFonts w:ascii="Calibri"/>
                <w:sz w:val="22"/>
              </w:rPr>
            </w:pPr>
            <w:r>
              <w:rPr>
                <w:rFonts w:ascii="Calibri"/>
                <w:spacing w:val="-2"/>
                <w:sz w:val="22"/>
              </w:rPr>
              <w:t>6.47963</w:t>
            </w:r>
          </w:p>
        </w:tc>
        <w:tc>
          <w:tcPr>
            <w:tcW w:w="1055" w:type="dxa"/>
          </w:tcPr>
          <w:p>
            <w:pPr>
              <w:pStyle w:val="TableParagraph"/>
              <w:spacing w:before="249"/>
              <w:ind w:left="102"/>
              <w:rPr>
                <w:rFonts w:ascii="Calibri"/>
                <w:sz w:val="22"/>
              </w:rPr>
            </w:pPr>
            <w:r>
              <w:rPr>
                <w:rFonts w:ascii="Calibri"/>
                <w:spacing w:val="-2"/>
                <w:sz w:val="22"/>
              </w:rPr>
              <w:t>1.574846</w:t>
            </w:r>
          </w:p>
        </w:tc>
        <w:tc>
          <w:tcPr>
            <w:tcW w:w="998" w:type="dxa"/>
          </w:tcPr>
          <w:p>
            <w:pPr>
              <w:pStyle w:val="TableParagraph"/>
              <w:spacing w:before="249"/>
              <w:ind w:right="58"/>
              <w:jc w:val="right"/>
              <w:rPr>
                <w:rFonts w:ascii="Calibri"/>
                <w:sz w:val="22"/>
              </w:rPr>
            </w:pPr>
            <w:r>
              <w:rPr>
                <w:rFonts w:ascii="Calibri"/>
                <w:spacing w:val="-2"/>
                <w:sz w:val="22"/>
              </w:rPr>
              <w:t>6.91998</w:t>
            </w:r>
          </w:p>
        </w:tc>
      </w:tr>
      <w:tr>
        <w:trPr>
          <w:trHeight w:val="537" w:hRule="atLeast"/>
        </w:trPr>
        <w:tc>
          <w:tcPr>
            <w:tcW w:w="723" w:type="dxa"/>
          </w:tcPr>
          <w:p>
            <w:pPr>
              <w:pStyle w:val="TableParagraph"/>
              <w:spacing w:before="249"/>
              <w:ind w:left="116" w:right="56"/>
              <w:jc w:val="center"/>
              <w:rPr>
                <w:rFonts w:ascii="Calibri"/>
                <w:sz w:val="22"/>
              </w:rPr>
            </w:pPr>
            <w:r>
              <w:rPr>
                <w:rFonts w:ascii="Calibri"/>
                <w:spacing w:val="-4"/>
                <w:sz w:val="22"/>
              </w:rPr>
              <w:t>1973</w:t>
            </w:r>
          </w:p>
        </w:tc>
        <w:tc>
          <w:tcPr>
            <w:tcW w:w="1054" w:type="dxa"/>
          </w:tcPr>
          <w:p>
            <w:pPr>
              <w:pStyle w:val="TableParagraph"/>
              <w:spacing w:before="249"/>
              <w:ind w:left="109"/>
              <w:rPr>
                <w:rFonts w:ascii="Calibri"/>
                <w:sz w:val="22"/>
              </w:rPr>
            </w:pPr>
            <w:r>
              <w:rPr>
                <w:rFonts w:ascii="Calibri"/>
                <w:spacing w:val="-2"/>
                <w:sz w:val="22"/>
              </w:rPr>
              <w:t>7.380754</w:t>
            </w:r>
          </w:p>
        </w:tc>
        <w:tc>
          <w:tcPr>
            <w:tcW w:w="1110" w:type="dxa"/>
          </w:tcPr>
          <w:p>
            <w:pPr>
              <w:pStyle w:val="TableParagraph"/>
              <w:spacing w:before="249"/>
              <w:ind w:right="106"/>
              <w:jc w:val="right"/>
              <w:rPr>
                <w:rFonts w:ascii="Calibri"/>
                <w:sz w:val="22"/>
              </w:rPr>
            </w:pPr>
            <w:r>
              <w:rPr>
                <w:rFonts w:ascii="Calibri"/>
                <w:spacing w:val="-2"/>
                <w:sz w:val="22"/>
              </w:rPr>
              <w:t>2.424803</w:t>
            </w:r>
          </w:p>
        </w:tc>
        <w:tc>
          <w:tcPr>
            <w:tcW w:w="961" w:type="dxa"/>
          </w:tcPr>
          <w:p>
            <w:pPr>
              <w:pStyle w:val="TableParagraph"/>
              <w:spacing w:line="249" w:lineRule="exact"/>
              <w:ind w:right="108"/>
              <w:jc w:val="right"/>
              <w:rPr>
                <w:rFonts w:ascii="Calibri"/>
                <w:sz w:val="22"/>
              </w:rPr>
            </w:pPr>
            <w:r>
              <w:rPr>
                <w:rFonts w:ascii="Calibri"/>
                <w:spacing w:val="-10"/>
                <w:sz w:val="22"/>
              </w:rPr>
              <w:t>-</w:t>
            </w:r>
          </w:p>
          <w:p>
            <w:pPr>
              <w:pStyle w:val="TableParagraph"/>
              <w:ind w:right="107"/>
              <w:jc w:val="right"/>
              <w:rPr>
                <w:rFonts w:ascii="Calibri"/>
                <w:sz w:val="22"/>
              </w:rPr>
            </w:pPr>
            <w:r>
              <w:rPr>
                <w:rFonts w:ascii="Calibri"/>
                <w:spacing w:val="-2"/>
                <w:sz w:val="22"/>
              </w:rPr>
              <w:t>0.90165</w:t>
            </w:r>
          </w:p>
        </w:tc>
        <w:tc>
          <w:tcPr>
            <w:tcW w:w="1055" w:type="dxa"/>
          </w:tcPr>
          <w:p>
            <w:pPr>
              <w:pStyle w:val="TableParagraph"/>
              <w:spacing w:before="249"/>
              <w:ind w:left="107"/>
              <w:rPr>
                <w:rFonts w:ascii="Calibri"/>
                <w:sz w:val="22"/>
              </w:rPr>
            </w:pPr>
            <w:r>
              <w:rPr>
                <w:rFonts w:ascii="Calibri"/>
                <w:spacing w:val="-2"/>
                <w:sz w:val="22"/>
              </w:rPr>
              <w:t>1.686399</w:t>
            </w:r>
          </w:p>
        </w:tc>
        <w:tc>
          <w:tcPr>
            <w:tcW w:w="1055" w:type="dxa"/>
          </w:tcPr>
          <w:p>
            <w:pPr>
              <w:pStyle w:val="TableParagraph"/>
              <w:spacing w:before="249"/>
              <w:ind w:left="106"/>
              <w:rPr>
                <w:rFonts w:ascii="Calibri"/>
                <w:sz w:val="22"/>
              </w:rPr>
            </w:pPr>
            <w:r>
              <w:rPr>
                <w:rFonts w:ascii="Calibri"/>
                <w:spacing w:val="-2"/>
                <w:sz w:val="22"/>
              </w:rPr>
              <w:t>6.050676</w:t>
            </w:r>
          </w:p>
        </w:tc>
        <w:tc>
          <w:tcPr>
            <w:tcW w:w="1055" w:type="dxa"/>
          </w:tcPr>
          <w:p>
            <w:pPr>
              <w:pStyle w:val="TableParagraph"/>
              <w:spacing w:before="249"/>
              <w:ind w:right="111"/>
              <w:jc w:val="right"/>
              <w:rPr>
                <w:rFonts w:ascii="Calibri"/>
                <w:sz w:val="22"/>
              </w:rPr>
            </w:pPr>
            <w:r>
              <w:rPr>
                <w:rFonts w:ascii="Calibri"/>
                <w:spacing w:val="-2"/>
                <w:sz w:val="22"/>
              </w:rPr>
              <w:t>1.098612</w:t>
            </w:r>
          </w:p>
        </w:tc>
        <w:tc>
          <w:tcPr>
            <w:tcW w:w="1070" w:type="dxa"/>
          </w:tcPr>
          <w:p>
            <w:pPr>
              <w:pStyle w:val="TableParagraph"/>
              <w:spacing w:before="249"/>
              <w:ind w:left="13" w:right="10"/>
              <w:jc w:val="center"/>
              <w:rPr>
                <w:rFonts w:ascii="Calibri"/>
                <w:sz w:val="22"/>
              </w:rPr>
            </w:pPr>
            <w:r>
              <w:rPr>
                <w:rFonts w:ascii="Calibri"/>
                <w:spacing w:val="-2"/>
                <w:sz w:val="22"/>
              </w:rPr>
              <w:t>6.619873</w:t>
            </w:r>
          </w:p>
        </w:tc>
        <w:tc>
          <w:tcPr>
            <w:tcW w:w="1055" w:type="dxa"/>
          </w:tcPr>
          <w:p>
            <w:pPr>
              <w:pStyle w:val="TableParagraph"/>
              <w:spacing w:before="249"/>
              <w:ind w:left="102"/>
              <w:rPr>
                <w:rFonts w:ascii="Calibri"/>
                <w:sz w:val="22"/>
              </w:rPr>
            </w:pPr>
            <w:r>
              <w:rPr>
                <w:rFonts w:ascii="Calibri"/>
                <w:spacing w:val="-2"/>
                <w:sz w:val="22"/>
              </w:rPr>
              <w:t>0.165514</w:t>
            </w:r>
          </w:p>
        </w:tc>
        <w:tc>
          <w:tcPr>
            <w:tcW w:w="998" w:type="dxa"/>
          </w:tcPr>
          <w:p>
            <w:pPr>
              <w:pStyle w:val="TableParagraph"/>
              <w:spacing w:before="249"/>
              <w:ind w:right="58"/>
              <w:jc w:val="right"/>
              <w:rPr>
                <w:rFonts w:ascii="Calibri"/>
                <w:sz w:val="22"/>
              </w:rPr>
            </w:pPr>
            <w:r>
              <w:rPr>
                <w:rFonts w:ascii="Calibri"/>
                <w:spacing w:val="-2"/>
                <w:sz w:val="22"/>
              </w:rPr>
              <w:t>6.870572</w:t>
            </w:r>
          </w:p>
        </w:tc>
      </w:tr>
      <w:tr>
        <w:trPr>
          <w:trHeight w:val="535" w:hRule="atLeast"/>
        </w:trPr>
        <w:tc>
          <w:tcPr>
            <w:tcW w:w="723" w:type="dxa"/>
          </w:tcPr>
          <w:p>
            <w:pPr>
              <w:pStyle w:val="TableParagraph"/>
              <w:spacing w:before="246"/>
              <w:ind w:left="116" w:right="56"/>
              <w:jc w:val="center"/>
              <w:rPr>
                <w:rFonts w:ascii="Calibri"/>
                <w:sz w:val="22"/>
              </w:rPr>
            </w:pPr>
            <w:r>
              <w:rPr>
                <w:rFonts w:ascii="Calibri"/>
                <w:spacing w:val="-4"/>
                <w:sz w:val="22"/>
              </w:rPr>
              <w:t>1974</w:t>
            </w:r>
          </w:p>
        </w:tc>
        <w:tc>
          <w:tcPr>
            <w:tcW w:w="1054" w:type="dxa"/>
          </w:tcPr>
          <w:p>
            <w:pPr>
              <w:pStyle w:val="TableParagraph"/>
              <w:spacing w:before="246"/>
              <w:ind w:left="109"/>
              <w:rPr>
                <w:rFonts w:ascii="Calibri"/>
                <w:sz w:val="22"/>
              </w:rPr>
            </w:pPr>
            <w:r>
              <w:rPr>
                <w:rFonts w:ascii="Calibri"/>
                <w:spacing w:val="-2"/>
                <w:sz w:val="22"/>
              </w:rPr>
              <w:t>6.952633</w:t>
            </w:r>
          </w:p>
        </w:tc>
        <w:tc>
          <w:tcPr>
            <w:tcW w:w="1110" w:type="dxa"/>
          </w:tcPr>
          <w:p>
            <w:pPr>
              <w:pStyle w:val="TableParagraph"/>
              <w:spacing w:before="246"/>
              <w:ind w:right="106"/>
              <w:jc w:val="right"/>
              <w:rPr>
                <w:rFonts w:ascii="Calibri"/>
                <w:sz w:val="22"/>
              </w:rPr>
            </w:pPr>
            <w:r>
              <w:rPr>
                <w:rFonts w:ascii="Calibri"/>
                <w:spacing w:val="-2"/>
                <w:sz w:val="22"/>
              </w:rPr>
              <w:t>3.817712</w:t>
            </w:r>
          </w:p>
        </w:tc>
        <w:tc>
          <w:tcPr>
            <w:tcW w:w="961" w:type="dxa"/>
          </w:tcPr>
          <w:p>
            <w:pPr>
              <w:pStyle w:val="TableParagraph"/>
              <w:spacing w:line="248" w:lineRule="exact"/>
              <w:ind w:right="108"/>
              <w:jc w:val="right"/>
              <w:rPr>
                <w:rFonts w:ascii="Calibri"/>
                <w:sz w:val="22"/>
              </w:rPr>
            </w:pPr>
            <w:r>
              <w:rPr>
                <w:rFonts w:ascii="Calibri"/>
                <w:spacing w:val="-10"/>
                <w:sz w:val="22"/>
              </w:rPr>
              <w:t>-</w:t>
            </w:r>
          </w:p>
          <w:p>
            <w:pPr>
              <w:pStyle w:val="TableParagraph"/>
              <w:spacing w:line="267" w:lineRule="exact"/>
              <w:ind w:right="107"/>
              <w:jc w:val="right"/>
              <w:rPr>
                <w:rFonts w:ascii="Calibri"/>
                <w:sz w:val="22"/>
              </w:rPr>
            </w:pPr>
            <w:r>
              <w:rPr>
                <w:rFonts w:ascii="Calibri"/>
                <w:spacing w:val="-2"/>
                <w:sz w:val="22"/>
              </w:rPr>
              <w:t>0.91579</w:t>
            </w:r>
          </w:p>
        </w:tc>
        <w:tc>
          <w:tcPr>
            <w:tcW w:w="1055" w:type="dxa"/>
          </w:tcPr>
          <w:p>
            <w:pPr>
              <w:pStyle w:val="TableParagraph"/>
              <w:spacing w:before="246"/>
              <w:ind w:left="107"/>
              <w:rPr>
                <w:rFonts w:ascii="Calibri"/>
                <w:sz w:val="22"/>
              </w:rPr>
            </w:pPr>
            <w:r>
              <w:rPr>
                <w:rFonts w:ascii="Calibri"/>
                <w:spacing w:val="-2"/>
                <w:sz w:val="22"/>
              </w:rPr>
              <w:t>2.595255</w:t>
            </w:r>
          </w:p>
        </w:tc>
        <w:tc>
          <w:tcPr>
            <w:tcW w:w="1055" w:type="dxa"/>
          </w:tcPr>
          <w:p>
            <w:pPr>
              <w:pStyle w:val="TableParagraph"/>
              <w:spacing w:before="246"/>
              <w:ind w:left="106"/>
              <w:rPr>
                <w:rFonts w:ascii="Calibri"/>
                <w:sz w:val="22"/>
              </w:rPr>
            </w:pPr>
            <w:r>
              <w:rPr>
                <w:rFonts w:ascii="Calibri"/>
                <w:spacing w:val="-2"/>
                <w:sz w:val="22"/>
              </w:rPr>
              <w:t>6.657112</w:t>
            </w:r>
          </w:p>
        </w:tc>
        <w:tc>
          <w:tcPr>
            <w:tcW w:w="1055" w:type="dxa"/>
          </w:tcPr>
          <w:p>
            <w:pPr>
              <w:pStyle w:val="TableParagraph"/>
              <w:spacing w:before="246"/>
              <w:ind w:right="111"/>
              <w:jc w:val="right"/>
              <w:rPr>
                <w:rFonts w:ascii="Calibri"/>
                <w:sz w:val="22"/>
              </w:rPr>
            </w:pPr>
            <w:r>
              <w:rPr>
                <w:rFonts w:ascii="Calibri"/>
                <w:spacing w:val="-2"/>
                <w:sz w:val="22"/>
              </w:rPr>
              <w:t>1.098612</w:t>
            </w:r>
          </w:p>
        </w:tc>
        <w:tc>
          <w:tcPr>
            <w:tcW w:w="1070" w:type="dxa"/>
          </w:tcPr>
          <w:p>
            <w:pPr>
              <w:pStyle w:val="TableParagraph"/>
              <w:spacing w:before="246"/>
              <w:ind w:left="13" w:right="10"/>
              <w:jc w:val="center"/>
              <w:rPr>
                <w:rFonts w:ascii="Calibri"/>
                <w:sz w:val="22"/>
              </w:rPr>
            </w:pPr>
            <w:r>
              <w:rPr>
                <w:rFonts w:ascii="Calibri"/>
                <w:spacing w:val="-2"/>
                <w:sz w:val="22"/>
              </w:rPr>
              <w:t>6.801417</w:t>
            </w:r>
          </w:p>
        </w:tc>
        <w:tc>
          <w:tcPr>
            <w:tcW w:w="1055" w:type="dxa"/>
          </w:tcPr>
          <w:p>
            <w:pPr>
              <w:pStyle w:val="TableParagraph"/>
              <w:spacing w:before="246"/>
              <w:ind w:left="145"/>
              <w:rPr>
                <w:rFonts w:ascii="Calibri"/>
                <w:sz w:val="22"/>
              </w:rPr>
            </w:pPr>
            <w:r>
              <w:rPr>
                <w:rFonts w:ascii="Calibri"/>
                <w:spacing w:val="-2"/>
                <w:sz w:val="22"/>
              </w:rPr>
              <w:t>-1.02165</w:t>
            </w:r>
          </w:p>
        </w:tc>
        <w:tc>
          <w:tcPr>
            <w:tcW w:w="998" w:type="dxa"/>
          </w:tcPr>
          <w:p>
            <w:pPr>
              <w:pStyle w:val="TableParagraph"/>
              <w:spacing w:before="246"/>
              <w:ind w:right="58"/>
              <w:jc w:val="right"/>
              <w:rPr>
                <w:rFonts w:ascii="Calibri"/>
                <w:sz w:val="22"/>
              </w:rPr>
            </w:pPr>
            <w:r>
              <w:rPr>
                <w:rFonts w:ascii="Calibri"/>
                <w:spacing w:val="-2"/>
                <w:sz w:val="22"/>
              </w:rPr>
              <w:t>7.324556</w:t>
            </w:r>
          </w:p>
        </w:tc>
      </w:tr>
      <w:tr>
        <w:trPr>
          <w:trHeight w:val="537" w:hRule="atLeast"/>
        </w:trPr>
        <w:tc>
          <w:tcPr>
            <w:tcW w:w="723" w:type="dxa"/>
          </w:tcPr>
          <w:p>
            <w:pPr>
              <w:pStyle w:val="TableParagraph"/>
              <w:spacing w:before="249"/>
              <w:ind w:left="116" w:right="56"/>
              <w:jc w:val="center"/>
              <w:rPr>
                <w:rFonts w:ascii="Calibri"/>
                <w:sz w:val="22"/>
              </w:rPr>
            </w:pPr>
            <w:r>
              <w:rPr>
                <w:rFonts w:ascii="Calibri"/>
                <w:spacing w:val="-4"/>
                <w:sz w:val="22"/>
              </w:rPr>
              <w:t>1975</w:t>
            </w:r>
          </w:p>
        </w:tc>
        <w:tc>
          <w:tcPr>
            <w:tcW w:w="1054" w:type="dxa"/>
          </w:tcPr>
          <w:p>
            <w:pPr>
              <w:pStyle w:val="TableParagraph"/>
              <w:spacing w:before="249"/>
              <w:ind w:left="109"/>
              <w:rPr>
                <w:rFonts w:ascii="Calibri"/>
                <w:sz w:val="22"/>
              </w:rPr>
            </w:pPr>
            <w:r>
              <w:rPr>
                <w:rFonts w:ascii="Calibri"/>
                <w:spacing w:val="-2"/>
                <w:sz w:val="22"/>
              </w:rPr>
              <w:t>7.625302</w:t>
            </w:r>
          </w:p>
        </w:tc>
        <w:tc>
          <w:tcPr>
            <w:tcW w:w="1110" w:type="dxa"/>
          </w:tcPr>
          <w:p>
            <w:pPr>
              <w:pStyle w:val="TableParagraph"/>
              <w:spacing w:before="249"/>
              <w:ind w:right="106"/>
              <w:jc w:val="right"/>
              <w:rPr>
                <w:rFonts w:ascii="Calibri"/>
                <w:sz w:val="22"/>
              </w:rPr>
            </w:pPr>
            <w:r>
              <w:rPr>
                <w:rFonts w:ascii="Calibri"/>
                <w:spacing w:val="-2"/>
                <w:sz w:val="22"/>
              </w:rPr>
              <w:t>3.314186</w:t>
            </w:r>
          </w:p>
        </w:tc>
        <w:tc>
          <w:tcPr>
            <w:tcW w:w="961" w:type="dxa"/>
          </w:tcPr>
          <w:p>
            <w:pPr>
              <w:pStyle w:val="TableParagraph"/>
              <w:spacing w:line="249" w:lineRule="exact"/>
              <w:ind w:right="108"/>
              <w:jc w:val="right"/>
              <w:rPr>
                <w:rFonts w:ascii="Calibri"/>
                <w:sz w:val="22"/>
              </w:rPr>
            </w:pPr>
            <w:r>
              <w:rPr>
                <w:rFonts w:ascii="Calibri"/>
                <w:spacing w:val="-10"/>
                <w:sz w:val="22"/>
              </w:rPr>
              <w:t>-</w:t>
            </w:r>
          </w:p>
          <w:p>
            <w:pPr>
              <w:pStyle w:val="TableParagraph"/>
              <w:ind w:right="107"/>
              <w:jc w:val="right"/>
              <w:rPr>
                <w:rFonts w:ascii="Calibri"/>
                <w:sz w:val="22"/>
              </w:rPr>
            </w:pPr>
            <w:r>
              <w:rPr>
                <w:rFonts w:ascii="Calibri"/>
                <w:spacing w:val="-2"/>
                <w:sz w:val="22"/>
              </w:rPr>
              <w:t>0.90981</w:t>
            </w:r>
          </w:p>
        </w:tc>
        <w:tc>
          <w:tcPr>
            <w:tcW w:w="1055" w:type="dxa"/>
          </w:tcPr>
          <w:p>
            <w:pPr>
              <w:pStyle w:val="TableParagraph"/>
              <w:spacing w:before="249"/>
              <w:ind w:left="107"/>
              <w:rPr>
                <w:rFonts w:ascii="Calibri"/>
                <w:sz w:val="22"/>
              </w:rPr>
            </w:pPr>
            <w:r>
              <w:rPr>
                <w:rFonts w:ascii="Calibri"/>
                <w:spacing w:val="-2"/>
                <w:sz w:val="22"/>
              </w:rPr>
              <w:t>3.523415</w:t>
            </w:r>
          </w:p>
        </w:tc>
        <w:tc>
          <w:tcPr>
            <w:tcW w:w="1055" w:type="dxa"/>
          </w:tcPr>
          <w:p>
            <w:pPr>
              <w:pStyle w:val="TableParagraph"/>
              <w:spacing w:before="249"/>
              <w:ind w:left="106"/>
              <w:rPr>
                <w:rFonts w:ascii="Calibri"/>
                <w:sz w:val="22"/>
              </w:rPr>
            </w:pPr>
            <w:r>
              <w:rPr>
                <w:rFonts w:ascii="Calibri"/>
                <w:spacing w:val="-2"/>
                <w:sz w:val="22"/>
              </w:rPr>
              <w:t>6.723832</w:t>
            </w:r>
          </w:p>
        </w:tc>
        <w:tc>
          <w:tcPr>
            <w:tcW w:w="1055" w:type="dxa"/>
          </w:tcPr>
          <w:p>
            <w:pPr>
              <w:pStyle w:val="TableParagraph"/>
              <w:spacing w:before="249"/>
              <w:ind w:right="111"/>
              <w:jc w:val="right"/>
              <w:rPr>
                <w:rFonts w:ascii="Calibri"/>
                <w:sz w:val="22"/>
              </w:rPr>
            </w:pPr>
            <w:r>
              <w:rPr>
                <w:rFonts w:ascii="Calibri"/>
                <w:spacing w:val="-2"/>
                <w:sz w:val="22"/>
              </w:rPr>
              <w:t>1.386294</w:t>
            </w:r>
          </w:p>
        </w:tc>
        <w:tc>
          <w:tcPr>
            <w:tcW w:w="1070" w:type="dxa"/>
          </w:tcPr>
          <w:p>
            <w:pPr>
              <w:pStyle w:val="TableParagraph"/>
              <w:spacing w:before="249"/>
              <w:ind w:left="13" w:right="10"/>
              <w:jc w:val="center"/>
              <w:rPr>
                <w:rFonts w:ascii="Calibri"/>
                <w:sz w:val="22"/>
              </w:rPr>
            </w:pPr>
            <w:r>
              <w:rPr>
                <w:rFonts w:ascii="Calibri"/>
                <w:spacing w:val="-2"/>
                <w:sz w:val="22"/>
              </w:rPr>
              <w:t>7.199843</w:t>
            </w:r>
          </w:p>
        </w:tc>
        <w:tc>
          <w:tcPr>
            <w:tcW w:w="1055" w:type="dxa"/>
          </w:tcPr>
          <w:p>
            <w:pPr>
              <w:pStyle w:val="TableParagraph"/>
              <w:spacing w:before="249"/>
              <w:ind w:right="113"/>
              <w:jc w:val="right"/>
              <w:rPr>
                <w:rFonts w:ascii="Calibri"/>
                <w:sz w:val="22"/>
              </w:rPr>
            </w:pPr>
            <w:r>
              <w:rPr>
                <w:rFonts w:ascii="Calibri"/>
                <w:spacing w:val="-2"/>
                <w:sz w:val="22"/>
              </w:rPr>
              <w:t>-0.4943</w:t>
            </w:r>
          </w:p>
        </w:tc>
        <w:tc>
          <w:tcPr>
            <w:tcW w:w="998" w:type="dxa"/>
          </w:tcPr>
          <w:p>
            <w:pPr>
              <w:pStyle w:val="TableParagraph"/>
              <w:spacing w:before="249"/>
              <w:ind w:right="58"/>
              <w:jc w:val="right"/>
              <w:rPr>
                <w:rFonts w:ascii="Calibri"/>
                <w:sz w:val="22"/>
              </w:rPr>
            </w:pPr>
            <w:r>
              <w:rPr>
                <w:rFonts w:ascii="Calibri"/>
                <w:spacing w:val="-2"/>
                <w:sz w:val="22"/>
              </w:rPr>
              <w:t>7.91385</w:t>
            </w:r>
          </w:p>
        </w:tc>
      </w:tr>
      <w:tr>
        <w:trPr>
          <w:trHeight w:val="537" w:hRule="atLeast"/>
        </w:trPr>
        <w:tc>
          <w:tcPr>
            <w:tcW w:w="723" w:type="dxa"/>
          </w:tcPr>
          <w:p>
            <w:pPr>
              <w:pStyle w:val="TableParagraph"/>
              <w:spacing w:before="249"/>
              <w:ind w:left="116" w:right="56"/>
              <w:jc w:val="center"/>
              <w:rPr>
                <w:rFonts w:ascii="Calibri"/>
                <w:sz w:val="22"/>
              </w:rPr>
            </w:pPr>
            <w:r>
              <w:rPr>
                <w:rFonts w:ascii="Calibri"/>
                <w:spacing w:val="-4"/>
                <w:sz w:val="22"/>
              </w:rPr>
              <w:t>1976</w:t>
            </w:r>
          </w:p>
        </w:tc>
        <w:tc>
          <w:tcPr>
            <w:tcW w:w="1054" w:type="dxa"/>
          </w:tcPr>
          <w:p>
            <w:pPr>
              <w:pStyle w:val="TableParagraph"/>
              <w:spacing w:before="249"/>
              <w:ind w:left="109"/>
              <w:rPr>
                <w:rFonts w:ascii="Calibri"/>
                <w:sz w:val="22"/>
              </w:rPr>
            </w:pPr>
            <w:r>
              <w:rPr>
                <w:rFonts w:ascii="Calibri"/>
                <w:spacing w:val="-2"/>
                <w:sz w:val="22"/>
              </w:rPr>
              <w:t>7.724579</w:t>
            </w:r>
          </w:p>
        </w:tc>
        <w:tc>
          <w:tcPr>
            <w:tcW w:w="1110" w:type="dxa"/>
          </w:tcPr>
          <w:p>
            <w:pPr>
              <w:pStyle w:val="TableParagraph"/>
              <w:spacing w:before="249"/>
              <w:ind w:right="106"/>
              <w:jc w:val="right"/>
              <w:rPr>
                <w:rFonts w:ascii="Calibri"/>
                <w:sz w:val="22"/>
              </w:rPr>
            </w:pPr>
            <w:r>
              <w:rPr>
                <w:rFonts w:ascii="Calibri"/>
                <w:spacing w:val="-2"/>
                <w:sz w:val="22"/>
              </w:rPr>
              <w:t>3.206803</w:t>
            </w:r>
          </w:p>
        </w:tc>
        <w:tc>
          <w:tcPr>
            <w:tcW w:w="961" w:type="dxa"/>
          </w:tcPr>
          <w:p>
            <w:pPr>
              <w:pStyle w:val="TableParagraph"/>
              <w:spacing w:line="249" w:lineRule="exact"/>
              <w:ind w:right="108"/>
              <w:jc w:val="right"/>
              <w:rPr>
                <w:rFonts w:ascii="Calibri"/>
                <w:sz w:val="22"/>
              </w:rPr>
            </w:pPr>
            <w:r>
              <w:rPr>
                <w:rFonts w:ascii="Calibri"/>
                <w:spacing w:val="-10"/>
                <w:sz w:val="22"/>
              </w:rPr>
              <w:t>-</w:t>
            </w:r>
          </w:p>
          <w:p>
            <w:pPr>
              <w:pStyle w:val="TableParagraph"/>
              <w:ind w:right="107"/>
              <w:jc w:val="right"/>
              <w:rPr>
                <w:rFonts w:ascii="Calibri"/>
                <w:sz w:val="22"/>
              </w:rPr>
            </w:pPr>
            <w:r>
              <w:rPr>
                <w:rFonts w:ascii="Calibri"/>
                <w:spacing w:val="-2"/>
                <w:sz w:val="22"/>
              </w:rPr>
              <w:t>0.80654</w:t>
            </w:r>
          </w:p>
        </w:tc>
        <w:tc>
          <w:tcPr>
            <w:tcW w:w="1055" w:type="dxa"/>
          </w:tcPr>
          <w:p>
            <w:pPr>
              <w:pStyle w:val="TableParagraph"/>
              <w:spacing w:before="249"/>
              <w:ind w:left="107"/>
              <w:rPr>
                <w:rFonts w:ascii="Calibri"/>
                <w:sz w:val="22"/>
              </w:rPr>
            </w:pPr>
            <w:r>
              <w:rPr>
                <w:rFonts w:ascii="Calibri"/>
                <w:spacing w:val="-2"/>
                <w:sz w:val="22"/>
              </w:rPr>
              <w:t>3.054001</w:t>
            </w:r>
          </w:p>
        </w:tc>
        <w:tc>
          <w:tcPr>
            <w:tcW w:w="1055" w:type="dxa"/>
          </w:tcPr>
          <w:p>
            <w:pPr>
              <w:pStyle w:val="TableParagraph"/>
              <w:spacing w:before="249"/>
              <w:ind w:left="106"/>
              <w:rPr>
                <w:rFonts w:ascii="Calibri"/>
                <w:sz w:val="22"/>
              </w:rPr>
            </w:pPr>
            <w:r>
              <w:rPr>
                <w:rFonts w:ascii="Calibri"/>
                <w:spacing w:val="-2"/>
                <w:sz w:val="22"/>
              </w:rPr>
              <w:t>7.550188</w:t>
            </w:r>
          </w:p>
        </w:tc>
        <w:tc>
          <w:tcPr>
            <w:tcW w:w="1055" w:type="dxa"/>
          </w:tcPr>
          <w:p>
            <w:pPr>
              <w:pStyle w:val="TableParagraph"/>
              <w:spacing w:before="249"/>
              <w:ind w:left="194"/>
              <w:rPr>
                <w:rFonts w:ascii="Calibri"/>
                <w:sz w:val="22"/>
              </w:rPr>
            </w:pPr>
            <w:r>
              <w:rPr>
                <w:rFonts w:ascii="Calibri"/>
                <w:spacing w:val="-2"/>
                <w:sz w:val="22"/>
              </w:rPr>
              <w:t>#NUM!</w:t>
            </w:r>
          </w:p>
        </w:tc>
        <w:tc>
          <w:tcPr>
            <w:tcW w:w="1070" w:type="dxa"/>
          </w:tcPr>
          <w:p>
            <w:pPr>
              <w:pStyle w:val="TableParagraph"/>
              <w:spacing w:before="249"/>
              <w:ind w:left="13" w:right="10"/>
              <w:jc w:val="center"/>
              <w:rPr>
                <w:rFonts w:ascii="Calibri"/>
                <w:sz w:val="22"/>
              </w:rPr>
            </w:pPr>
            <w:r>
              <w:rPr>
                <w:rFonts w:ascii="Calibri"/>
                <w:spacing w:val="-2"/>
                <w:sz w:val="22"/>
              </w:rPr>
              <w:t>7.632609</w:t>
            </w:r>
          </w:p>
        </w:tc>
        <w:tc>
          <w:tcPr>
            <w:tcW w:w="1055" w:type="dxa"/>
          </w:tcPr>
          <w:p>
            <w:pPr>
              <w:pStyle w:val="TableParagraph"/>
              <w:spacing w:before="249"/>
              <w:ind w:left="102"/>
              <w:rPr>
                <w:rFonts w:ascii="Calibri"/>
                <w:sz w:val="22"/>
              </w:rPr>
            </w:pPr>
            <w:r>
              <w:rPr>
                <w:rFonts w:ascii="Calibri"/>
                <w:spacing w:val="-2"/>
                <w:sz w:val="22"/>
              </w:rPr>
              <w:t>1.160021</w:t>
            </w:r>
          </w:p>
        </w:tc>
        <w:tc>
          <w:tcPr>
            <w:tcW w:w="998" w:type="dxa"/>
          </w:tcPr>
          <w:p>
            <w:pPr>
              <w:pStyle w:val="TableParagraph"/>
              <w:spacing w:before="249"/>
              <w:ind w:right="58"/>
              <w:jc w:val="right"/>
              <w:rPr>
                <w:rFonts w:ascii="Calibri"/>
                <w:sz w:val="22"/>
              </w:rPr>
            </w:pPr>
            <w:r>
              <w:rPr>
                <w:rFonts w:ascii="Calibri"/>
                <w:spacing w:val="-2"/>
                <w:sz w:val="22"/>
              </w:rPr>
              <w:t>8.246801</w:t>
            </w:r>
          </w:p>
        </w:tc>
      </w:tr>
      <w:tr>
        <w:trPr>
          <w:trHeight w:val="537" w:hRule="atLeast"/>
        </w:trPr>
        <w:tc>
          <w:tcPr>
            <w:tcW w:w="723" w:type="dxa"/>
          </w:tcPr>
          <w:p>
            <w:pPr>
              <w:pStyle w:val="TableParagraph"/>
              <w:spacing w:before="249"/>
              <w:ind w:left="116" w:right="56"/>
              <w:jc w:val="center"/>
              <w:rPr>
                <w:rFonts w:ascii="Calibri"/>
                <w:sz w:val="22"/>
              </w:rPr>
            </w:pPr>
            <w:r>
              <w:rPr>
                <w:rFonts w:ascii="Calibri"/>
                <w:spacing w:val="-4"/>
                <w:sz w:val="22"/>
              </w:rPr>
              <w:t>1977</w:t>
            </w:r>
          </w:p>
        </w:tc>
        <w:tc>
          <w:tcPr>
            <w:tcW w:w="1054" w:type="dxa"/>
          </w:tcPr>
          <w:p>
            <w:pPr>
              <w:pStyle w:val="TableParagraph"/>
              <w:spacing w:before="249"/>
              <w:ind w:left="109"/>
              <w:rPr>
                <w:rFonts w:ascii="Calibri"/>
                <w:sz w:val="22"/>
              </w:rPr>
            </w:pPr>
            <w:r>
              <w:rPr>
                <w:rFonts w:ascii="Calibri"/>
                <w:spacing w:val="-2"/>
                <w:sz w:val="22"/>
              </w:rPr>
              <w:t>7.698256</w:t>
            </w:r>
          </w:p>
        </w:tc>
        <w:tc>
          <w:tcPr>
            <w:tcW w:w="1110" w:type="dxa"/>
          </w:tcPr>
          <w:p>
            <w:pPr>
              <w:pStyle w:val="TableParagraph"/>
              <w:spacing w:before="249"/>
              <w:ind w:right="106"/>
              <w:jc w:val="right"/>
              <w:rPr>
                <w:rFonts w:ascii="Calibri"/>
                <w:sz w:val="22"/>
              </w:rPr>
            </w:pPr>
            <w:r>
              <w:rPr>
                <w:rFonts w:ascii="Calibri"/>
                <w:spacing w:val="-2"/>
                <w:sz w:val="22"/>
              </w:rPr>
              <w:t>2.251292</w:t>
            </w:r>
          </w:p>
        </w:tc>
        <w:tc>
          <w:tcPr>
            <w:tcW w:w="961" w:type="dxa"/>
          </w:tcPr>
          <w:p>
            <w:pPr>
              <w:pStyle w:val="TableParagraph"/>
              <w:spacing w:line="249" w:lineRule="exact"/>
              <w:ind w:right="108"/>
              <w:jc w:val="right"/>
              <w:rPr>
                <w:rFonts w:ascii="Calibri"/>
                <w:sz w:val="22"/>
              </w:rPr>
            </w:pPr>
            <w:r>
              <w:rPr>
                <w:rFonts w:ascii="Calibri"/>
                <w:spacing w:val="-10"/>
                <w:sz w:val="22"/>
              </w:rPr>
              <w:t>-</w:t>
            </w:r>
          </w:p>
          <w:p>
            <w:pPr>
              <w:pStyle w:val="TableParagraph"/>
              <w:ind w:right="107"/>
              <w:jc w:val="right"/>
              <w:rPr>
                <w:rFonts w:ascii="Calibri"/>
                <w:sz w:val="22"/>
              </w:rPr>
            </w:pPr>
            <w:r>
              <w:rPr>
                <w:rFonts w:ascii="Calibri"/>
                <w:spacing w:val="-2"/>
                <w:sz w:val="22"/>
              </w:rPr>
              <w:t>0.76121</w:t>
            </w:r>
          </w:p>
        </w:tc>
        <w:tc>
          <w:tcPr>
            <w:tcW w:w="1055" w:type="dxa"/>
          </w:tcPr>
          <w:p>
            <w:pPr>
              <w:pStyle w:val="TableParagraph"/>
              <w:spacing w:before="249"/>
              <w:ind w:left="107"/>
              <w:rPr>
                <w:rFonts w:ascii="Calibri"/>
                <w:sz w:val="22"/>
              </w:rPr>
            </w:pPr>
            <w:r>
              <w:rPr>
                <w:rFonts w:ascii="Calibri"/>
                <w:spacing w:val="-2"/>
                <w:sz w:val="22"/>
              </w:rPr>
              <w:t>2.734368</w:t>
            </w:r>
          </w:p>
        </w:tc>
        <w:tc>
          <w:tcPr>
            <w:tcW w:w="1055" w:type="dxa"/>
          </w:tcPr>
          <w:p>
            <w:pPr>
              <w:pStyle w:val="TableParagraph"/>
              <w:spacing w:before="249"/>
              <w:ind w:left="106"/>
              <w:rPr>
                <w:rFonts w:ascii="Calibri"/>
                <w:sz w:val="22"/>
              </w:rPr>
            </w:pPr>
            <w:r>
              <w:rPr>
                <w:rFonts w:ascii="Calibri"/>
                <w:spacing w:val="-2"/>
                <w:sz w:val="22"/>
              </w:rPr>
              <w:t>7.609119</w:t>
            </w:r>
          </w:p>
        </w:tc>
        <w:tc>
          <w:tcPr>
            <w:tcW w:w="1055" w:type="dxa"/>
          </w:tcPr>
          <w:p>
            <w:pPr>
              <w:pStyle w:val="TableParagraph"/>
              <w:spacing w:before="249"/>
              <w:ind w:right="111"/>
              <w:jc w:val="right"/>
              <w:rPr>
                <w:rFonts w:ascii="Calibri"/>
                <w:sz w:val="22"/>
              </w:rPr>
            </w:pPr>
            <w:r>
              <w:rPr>
                <w:rFonts w:ascii="Calibri"/>
                <w:spacing w:val="-2"/>
                <w:sz w:val="22"/>
              </w:rPr>
              <w:t>1.386294</w:t>
            </w:r>
          </w:p>
        </w:tc>
        <w:tc>
          <w:tcPr>
            <w:tcW w:w="1070" w:type="dxa"/>
          </w:tcPr>
          <w:p>
            <w:pPr>
              <w:pStyle w:val="TableParagraph"/>
              <w:spacing w:before="249"/>
              <w:ind w:left="13" w:right="10"/>
              <w:jc w:val="center"/>
              <w:rPr>
                <w:rFonts w:ascii="Calibri"/>
                <w:sz w:val="22"/>
              </w:rPr>
            </w:pPr>
            <w:r>
              <w:rPr>
                <w:rFonts w:ascii="Calibri"/>
                <w:spacing w:val="-2"/>
                <w:sz w:val="22"/>
              </w:rPr>
              <w:t>7.962875</w:t>
            </w:r>
          </w:p>
        </w:tc>
        <w:tc>
          <w:tcPr>
            <w:tcW w:w="1055" w:type="dxa"/>
          </w:tcPr>
          <w:p>
            <w:pPr>
              <w:pStyle w:val="TableParagraph"/>
              <w:spacing w:before="249"/>
              <w:ind w:left="102"/>
              <w:rPr>
                <w:rFonts w:ascii="Calibri"/>
                <w:sz w:val="22"/>
              </w:rPr>
            </w:pPr>
            <w:r>
              <w:rPr>
                <w:rFonts w:ascii="Calibri"/>
                <w:spacing w:val="-2"/>
                <w:sz w:val="22"/>
              </w:rPr>
              <w:t>0.122218</w:t>
            </w:r>
          </w:p>
        </w:tc>
        <w:tc>
          <w:tcPr>
            <w:tcW w:w="998" w:type="dxa"/>
          </w:tcPr>
          <w:p>
            <w:pPr>
              <w:pStyle w:val="TableParagraph"/>
              <w:spacing w:before="249"/>
              <w:ind w:right="58"/>
              <w:jc w:val="right"/>
              <w:rPr>
                <w:rFonts w:ascii="Calibri"/>
                <w:sz w:val="22"/>
              </w:rPr>
            </w:pPr>
            <w:r>
              <w:rPr>
                <w:rFonts w:ascii="Calibri"/>
                <w:spacing w:val="-2"/>
                <w:sz w:val="22"/>
              </w:rPr>
              <w:t>8.247796</w:t>
            </w:r>
          </w:p>
        </w:tc>
      </w:tr>
      <w:tr>
        <w:trPr>
          <w:trHeight w:val="537" w:hRule="atLeast"/>
        </w:trPr>
        <w:tc>
          <w:tcPr>
            <w:tcW w:w="723" w:type="dxa"/>
          </w:tcPr>
          <w:p>
            <w:pPr>
              <w:pStyle w:val="TableParagraph"/>
              <w:spacing w:before="249"/>
              <w:ind w:left="116" w:right="56"/>
              <w:jc w:val="center"/>
              <w:rPr>
                <w:rFonts w:ascii="Calibri"/>
                <w:sz w:val="22"/>
              </w:rPr>
            </w:pPr>
            <w:r>
              <w:rPr>
                <w:rFonts w:ascii="Calibri"/>
                <w:spacing w:val="-4"/>
                <w:sz w:val="22"/>
              </w:rPr>
              <w:t>1978</w:t>
            </w:r>
          </w:p>
        </w:tc>
        <w:tc>
          <w:tcPr>
            <w:tcW w:w="1054" w:type="dxa"/>
          </w:tcPr>
          <w:p>
            <w:pPr>
              <w:pStyle w:val="TableParagraph"/>
              <w:spacing w:before="249"/>
              <w:ind w:left="109"/>
              <w:rPr>
                <w:rFonts w:ascii="Calibri"/>
                <w:sz w:val="22"/>
              </w:rPr>
            </w:pPr>
            <w:r>
              <w:rPr>
                <w:rFonts w:ascii="Calibri"/>
                <w:spacing w:val="-2"/>
                <w:sz w:val="22"/>
              </w:rPr>
              <w:t>8.112468</w:t>
            </w:r>
          </w:p>
        </w:tc>
        <w:tc>
          <w:tcPr>
            <w:tcW w:w="1110" w:type="dxa"/>
          </w:tcPr>
          <w:p>
            <w:pPr>
              <w:pStyle w:val="TableParagraph"/>
              <w:spacing w:before="249"/>
              <w:ind w:right="106"/>
              <w:jc w:val="right"/>
              <w:rPr>
                <w:rFonts w:ascii="Calibri"/>
                <w:sz w:val="22"/>
              </w:rPr>
            </w:pPr>
            <w:r>
              <w:rPr>
                <w:rFonts w:ascii="Calibri"/>
                <w:spacing w:val="-2"/>
                <w:sz w:val="22"/>
              </w:rPr>
              <w:t>6.787845</w:t>
            </w:r>
          </w:p>
        </w:tc>
        <w:tc>
          <w:tcPr>
            <w:tcW w:w="961" w:type="dxa"/>
          </w:tcPr>
          <w:p>
            <w:pPr>
              <w:pStyle w:val="TableParagraph"/>
              <w:spacing w:line="249" w:lineRule="exact"/>
              <w:ind w:right="108"/>
              <w:jc w:val="right"/>
              <w:rPr>
                <w:rFonts w:ascii="Calibri"/>
                <w:sz w:val="22"/>
              </w:rPr>
            </w:pPr>
            <w:r>
              <w:rPr>
                <w:rFonts w:ascii="Calibri"/>
                <w:spacing w:val="-10"/>
                <w:sz w:val="22"/>
              </w:rPr>
              <w:t>-</w:t>
            </w:r>
          </w:p>
          <w:p>
            <w:pPr>
              <w:pStyle w:val="TableParagraph"/>
              <w:ind w:right="107"/>
              <w:jc w:val="right"/>
              <w:rPr>
                <w:rFonts w:ascii="Calibri"/>
                <w:sz w:val="22"/>
              </w:rPr>
            </w:pPr>
            <w:r>
              <w:rPr>
                <w:rFonts w:ascii="Calibri"/>
                <w:spacing w:val="-2"/>
                <w:sz w:val="22"/>
              </w:rPr>
              <w:t>0.88358</w:t>
            </w:r>
          </w:p>
        </w:tc>
        <w:tc>
          <w:tcPr>
            <w:tcW w:w="1055" w:type="dxa"/>
          </w:tcPr>
          <w:p>
            <w:pPr>
              <w:pStyle w:val="TableParagraph"/>
              <w:spacing w:before="249"/>
              <w:ind w:left="107"/>
              <w:rPr>
                <w:rFonts w:ascii="Calibri"/>
                <w:sz w:val="22"/>
              </w:rPr>
            </w:pPr>
            <w:r>
              <w:rPr>
                <w:rFonts w:ascii="Calibri"/>
                <w:spacing w:val="-2"/>
                <w:sz w:val="22"/>
              </w:rPr>
              <w:t>2.809403</w:t>
            </w:r>
          </w:p>
        </w:tc>
        <w:tc>
          <w:tcPr>
            <w:tcW w:w="1055" w:type="dxa"/>
          </w:tcPr>
          <w:p>
            <w:pPr>
              <w:pStyle w:val="TableParagraph"/>
              <w:spacing w:before="249"/>
              <w:ind w:left="106"/>
              <w:rPr>
                <w:rFonts w:ascii="Calibri"/>
                <w:sz w:val="22"/>
              </w:rPr>
            </w:pPr>
            <w:r>
              <w:rPr>
                <w:rFonts w:ascii="Calibri"/>
                <w:spacing w:val="-2"/>
                <w:sz w:val="22"/>
              </w:rPr>
              <w:t>7.361058</w:t>
            </w:r>
          </w:p>
        </w:tc>
        <w:tc>
          <w:tcPr>
            <w:tcW w:w="1055" w:type="dxa"/>
          </w:tcPr>
          <w:p>
            <w:pPr>
              <w:pStyle w:val="TableParagraph"/>
              <w:spacing w:before="249"/>
              <w:ind w:right="111"/>
              <w:jc w:val="right"/>
              <w:rPr>
                <w:rFonts w:ascii="Calibri"/>
                <w:sz w:val="22"/>
              </w:rPr>
            </w:pPr>
            <w:r>
              <w:rPr>
                <w:rFonts w:ascii="Calibri"/>
                <w:spacing w:val="-2"/>
                <w:sz w:val="22"/>
              </w:rPr>
              <w:t>1.609438</w:t>
            </w:r>
          </w:p>
        </w:tc>
        <w:tc>
          <w:tcPr>
            <w:tcW w:w="1070" w:type="dxa"/>
          </w:tcPr>
          <w:p>
            <w:pPr>
              <w:pStyle w:val="TableParagraph"/>
              <w:spacing w:before="249"/>
              <w:ind w:left="13" w:right="10"/>
              <w:jc w:val="center"/>
              <w:rPr>
                <w:rFonts w:ascii="Calibri"/>
                <w:sz w:val="22"/>
              </w:rPr>
            </w:pPr>
            <w:r>
              <w:rPr>
                <w:rFonts w:ascii="Calibri"/>
                <w:spacing w:val="-2"/>
                <w:sz w:val="22"/>
              </w:rPr>
              <w:t>8.308904</w:t>
            </w:r>
          </w:p>
        </w:tc>
        <w:tc>
          <w:tcPr>
            <w:tcW w:w="1055" w:type="dxa"/>
          </w:tcPr>
          <w:p>
            <w:pPr>
              <w:pStyle w:val="TableParagraph"/>
              <w:spacing w:before="249"/>
              <w:ind w:left="102"/>
              <w:rPr>
                <w:rFonts w:ascii="Calibri"/>
                <w:sz w:val="22"/>
              </w:rPr>
            </w:pPr>
            <w:r>
              <w:rPr>
                <w:rFonts w:ascii="Calibri"/>
                <w:spacing w:val="-2"/>
                <w:sz w:val="22"/>
              </w:rPr>
              <w:t>0.198851</w:t>
            </w:r>
          </w:p>
        </w:tc>
        <w:tc>
          <w:tcPr>
            <w:tcW w:w="998" w:type="dxa"/>
          </w:tcPr>
          <w:p>
            <w:pPr>
              <w:pStyle w:val="TableParagraph"/>
              <w:spacing w:before="249"/>
              <w:ind w:right="58"/>
              <w:jc w:val="right"/>
              <w:rPr>
                <w:rFonts w:ascii="Calibri"/>
                <w:sz w:val="22"/>
              </w:rPr>
            </w:pPr>
            <w:r>
              <w:rPr>
                <w:rFonts w:ascii="Calibri"/>
                <w:spacing w:val="-2"/>
                <w:sz w:val="22"/>
              </w:rPr>
              <w:t>7.937375</w:t>
            </w:r>
          </w:p>
        </w:tc>
      </w:tr>
      <w:tr>
        <w:trPr>
          <w:trHeight w:val="535" w:hRule="atLeast"/>
        </w:trPr>
        <w:tc>
          <w:tcPr>
            <w:tcW w:w="723" w:type="dxa"/>
          </w:tcPr>
          <w:p>
            <w:pPr>
              <w:pStyle w:val="TableParagraph"/>
              <w:spacing w:before="246"/>
              <w:ind w:left="116" w:right="56"/>
              <w:jc w:val="center"/>
              <w:rPr>
                <w:rFonts w:ascii="Calibri"/>
                <w:sz w:val="22"/>
              </w:rPr>
            </w:pPr>
            <w:r>
              <w:rPr>
                <w:rFonts w:ascii="Calibri"/>
                <w:spacing w:val="-4"/>
                <w:sz w:val="22"/>
              </w:rPr>
              <w:t>1979</w:t>
            </w:r>
          </w:p>
        </w:tc>
        <w:tc>
          <w:tcPr>
            <w:tcW w:w="1054" w:type="dxa"/>
          </w:tcPr>
          <w:p>
            <w:pPr>
              <w:pStyle w:val="TableParagraph"/>
              <w:spacing w:before="246"/>
              <w:ind w:left="109"/>
              <w:rPr>
                <w:rFonts w:ascii="Calibri"/>
                <w:sz w:val="22"/>
              </w:rPr>
            </w:pPr>
            <w:r>
              <w:rPr>
                <w:rFonts w:ascii="Calibri"/>
                <w:spacing w:val="-2"/>
                <w:sz w:val="22"/>
              </w:rPr>
              <w:t>6.534661</w:t>
            </w:r>
          </w:p>
        </w:tc>
        <w:tc>
          <w:tcPr>
            <w:tcW w:w="1110" w:type="dxa"/>
          </w:tcPr>
          <w:p>
            <w:pPr>
              <w:pStyle w:val="TableParagraph"/>
              <w:spacing w:before="246"/>
              <w:ind w:right="106"/>
              <w:jc w:val="right"/>
              <w:rPr>
                <w:rFonts w:ascii="Calibri"/>
                <w:sz w:val="22"/>
              </w:rPr>
            </w:pPr>
            <w:r>
              <w:rPr>
                <w:rFonts w:ascii="Calibri"/>
                <w:spacing w:val="-2"/>
                <w:sz w:val="22"/>
              </w:rPr>
              <w:t>5.884436</w:t>
            </w:r>
          </w:p>
        </w:tc>
        <w:tc>
          <w:tcPr>
            <w:tcW w:w="961" w:type="dxa"/>
          </w:tcPr>
          <w:p>
            <w:pPr>
              <w:pStyle w:val="TableParagraph"/>
              <w:spacing w:line="248" w:lineRule="exact"/>
              <w:ind w:right="108"/>
              <w:jc w:val="right"/>
              <w:rPr>
                <w:rFonts w:ascii="Calibri"/>
                <w:sz w:val="22"/>
              </w:rPr>
            </w:pPr>
            <w:r>
              <w:rPr>
                <w:rFonts w:ascii="Calibri"/>
                <w:spacing w:val="-10"/>
                <w:sz w:val="22"/>
              </w:rPr>
              <w:t>-</w:t>
            </w:r>
          </w:p>
          <w:p>
            <w:pPr>
              <w:pStyle w:val="TableParagraph"/>
              <w:spacing w:line="267" w:lineRule="exact"/>
              <w:ind w:right="107"/>
              <w:jc w:val="right"/>
              <w:rPr>
                <w:rFonts w:ascii="Calibri"/>
                <w:sz w:val="22"/>
              </w:rPr>
            </w:pPr>
            <w:r>
              <w:rPr>
                <w:rFonts w:ascii="Calibri"/>
                <w:spacing w:val="-2"/>
                <w:sz w:val="22"/>
              </w:rPr>
              <w:t>0.82965</w:t>
            </w:r>
          </w:p>
        </w:tc>
        <w:tc>
          <w:tcPr>
            <w:tcW w:w="1055" w:type="dxa"/>
          </w:tcPr>
          <w:p>
            <w:pPr>
              <w:pStyle w:val="TableParagraph"/>
              <w:spacing w:before="246"/>
              <w:ind w:right="108"/>
              <w:jc w:val="right"/>
              <w:rPr>
                <w:rFonts w:ascii="Calibri"/>
                <w:sz w:val="22"/>
              </w:rPr>
            </w:pPr>
            <w:r>
              <w:rPr>
                <w:rFonts w:ascii="Calibri"/>
                <w:spacing w:val="-2"/>
                <w:sz w:val="22"/>
              </w:rPr>
              <w:t>2.4681</w:t>
            </w:r>
          </w:p>
        </w:tc>
        <w:tc>
          <w:tcPr>
            <w:tcW w:w="1055" w:type="dxa"/>
          </w:tcPr>
          <w:p>
            <w:pPr>
              <w:pStyle w:val="TableParagraph"/>
              <w:spacing w:before="246"/>
              <w:ind w:left="106"/>
              <w:rPr>
                <w:rFonts w:ascii="Calibri"/>
                <w:sz w:val="22"/>
              </w:rPr>
            </w:pPr>
            <w:r>
              <w:rPr>
                <w:rFonts w:ascii="Calibri"/>
                <w:spacing w:val="-2"/>
                <w:sz w:val="22"/>
              </w:rPr>
              <w:t>7.874131</w:t>
            </w:r>
          </w:p>
        </w:tc>
        <w:tc>
          <w:tcPr>
            <w:tcW w:w="1055" w:type="dxa"/>
          </w:tcPr>
          <w:p>
            <w:pPr>
              <w:pStyle w:val="TableParagraph"/>
              <w:spacing w:before="246"/>
              <w:ind w:right="111"/>
              <w:jc w:val="right"/>
              <w:rPr>
                <w:rFonts w:ascii="Calibri"/>
                <w:sz w:val="22"/>
              </w:rPr>
            </w:pPr>
            <w:r>
              <w:rPr>
                <w:rFonts w:ascii="Calibri"/>
                <w:spacing w:val="-2"/>
                <w:sz w:val="22"/>
              </w:rPr>
              <w:t>1.609438</w:t>
            </w:r>
          </w:p>
        </w:tc>
        <w:tc>
          <w:tcPr>
            <w:tcW w:w="1070" w:type="dxa"/>
          </w:tcPr>
          <w:p>
            <w:pPr>
              <w:pStyle w:val="TableParagraph"/>
              <w:spacing w:before="246"/>
              <w:ind w:left="13" w:right="10"/>
              <w:jc w:val="center"/>
              <w:rPr>
                <w:rFonts w:ascii="Calibri"/>
                <w:sz w:val="22"/>
              </w:rPr>
            </w:pPr>
            <w:r>
              <w:rPr>
                <w:rFonts w:ascii="Calibri"/>
                <w:spacing w:val="-2"/>
                <w:sz w:val="22"/>
              </w:rPr>
              <w:t>8.497419</w:t>
            </w:r>
          </w:p>
        </w:tc>
        <w:tc>
          <w:tcPr>
            <w:tcW w:w="1055" w:type="dxa"/>
          </w:tcPr>
          <w:p>
            <w:pPr>
              <w:pStyle w:val="TableParagraph"/>
              <w:spacing w:before="246"/>
              <w:ind w:left="102"/>
              <w:rPr>
                <w:rFonts w:ascii="Calibri"/>
                <w:sz w:val="22"/>
              </w:rPr>
            </w:pPr>
            <w:r>
              <w:rPr>
                <w:rFonts w:ascii="Calibri"/>
                <w:spacing w:val="-2"/>
                <w:sz w:val="22"/>
              </w:rPr>
              <w:t>0.985817</w:t>
            </w:r>
          </w:p>
        </w:tc>
        <w:tc>
          <w:tcPr>
            <w:tcW w:w="998" w:type="dxa"/>
          </w:tcPr>
          <w:p>
            <w:pPr>
              <w:pStyle w:val="TableParagraph"/>
              <w:spacing w:before="246"/>
              <w:ind w:right="58"/>
              <w:jc w:val="right"/>
              <w:rPr>
                <w:rFonts w:ascii="Calibri"/>
                <w:sz w:val="22"/>
              </w:rPr>
            </w:pPr>
            <w:r>
              <w:rPr>
                <w:rFonts w:ascii="Calibri"/>
                <w:spacing w:val="-2"/>
                <w:sz w:val="22"/>
              </w:rPr>
              <w:t>8.066898</w:t>
            </w:r>
          </w:p>
        </w:tc>
      </w:tr>
      <w:tr>
        <w:trPr>
          <w:trHeight w:val="537" w:hRule="atLeast"/>
        </w:trPr>
        <w:tc>
          <w:tcPr>
            <w:tcW w:w="723" w:type="dxa"/>
          </w:tcPr>
          <w:p>
            <w:pPr>
              <w:pStyle w:val="TableParagraph"/>
              <w:spacing w:before="249"/>
              <w:ind w:left="116" w:right="56"/>
              <w:jc w:val="center"/>
              <w:rPr>
                <w:rFonts w:ascii="Calibri"/>
                <w:sz w:val="22"/>
              </w:rPr>
            </w:pPr>
            <w:r>
              <w:rPr>
                <w:rFonts w:ascii="Calibri"/>
                <w:spacing w:val="-4"/>
                <w:sz w:val="22"/>
              </w:rPr>
              <w:t>1980</w:t>
            </w:r>
          </w:p>
        </w:tc>
        <w:tc>
          <w:tcPr>
            <w:tcW w:w="1054" w:type="dxa"/>
          </w:tcPr>
          <w:p>
            <w:pPr>
              <w:pStyle w:val="TableParagraph"/>
              <w:spacing w:before="249"/>
              <w:ind w:left="109"/>
              <w:rPr>
                <w:rFonts w:ascii="Calibri"/>
                <w:sz w:val="22"/>
              </w:rPr>
            </w:pPr>
            <w:r>
              <w:rPr>
                <w:rFonts w:ascii="Calibri"/>
                <w:spacing w:val="-2"/>
                <w:sz w:val="22"/>
              </w:rPr>
              <w:t>7.271356</w:t>
            </w:r>
          </w:p>
        </w:tc>
        <w:tc>
          <w:tcPr>
            <w:tcW w:w="1110" w:type="dxa"/>
          </w:tcPr>
          <w:p>
            <w:pPr>
              <w:pStyle w:val="TableParagraph"/>
              <w:spacing w:before="249"/>
              <w:ind w:right="106"/>
              <w:jc w:val="right"/>
              <w:rPr>
                <w:rFonts w:ascii="Calibri"/>
                <w:sz w:val="22"/>
              </w:rPr>
            </w:pPr>
            <w:r>
              <w:rPr>
                <w:rFonts w:ascii="Calibri"/>
                <w:spacing w:val="-2"/>
                <w:sz w:val="22"/>
              </w:rPr>
              <w:t>5.542439</w:t>
            </w:r>
          </w:p>
        </w:tc>
        <w:tc>
          <w:tcPr>
            <w:tcW w:w="961" w:type="dxa"/>
          </w:tcPr>
          <w:p>
            <w:pPr>
              <w:pStyle w:val="TableParagraph"/>
              <w:spacing w:line="249" w:lineRule="exact"/>
              <w:ind w:right="108"/>
              <w:jc w:val="right"/>
              <w:rPr>
                <w:rFonts w:ascii="Calibri"/>
                <w:sz w:val="22"/>
              </w:rPr>
            </w:pPr>
            <w:r>
              <w:rPr>
                <w:rFonts w:ascii="Calibri"/>
                <w:spacing w:val="-10"/>
                <w:sz w:val="22"/>
              </w:rPr>
              <w:t>-</w:t>
            </w:r>
          </w:p>
          <w:p>
            <w:pPr>
              <w:pStyle w:val="TableParagraph"/>
              <w:ind w:right="107"/>
              <w:jc w:val="right"/>
              <w:rPr>
                <w:rFonts w:ascii="Calibri"/>
                <w:sz w:val="22"/>
              </w:rPr>
            </w:pPr>
            <w:r>
              <w:rPr>
                <w:rFonts w:ascii="Calibri"/>
                <w:spacing w:val="-2"/>
                <w:sz w:val="22"/>
              </w:rPr>
              <w:t>0.74549</w:t>
            </w:r>
          </w:p>
        </w:tc>
        <w:tc>
          <w:tcPr>
            <w:tcW w:w="1055" w:type="dxa"/>
          </w:tcPr>
          <w:p>
            <w:pPr>
              <w:pStyle w:val="TableParagraph"/>
              <w:spacing w:before="249"/>
              <w:ind w:left="107"/>
              <w:rPr>
                <w:rFonts w:ascii="Calibri"/>
                <w:sz w:val="22"/>
              </w:rPr>
            </w:pPr>
            <w:r>
              <w:rPr>
                <w:rFonts w:ascii="Calibri"/>
                <w:spacing w:val="-2"/>
                <w:sz w:val="22"/>
              </w:rPr>
              <w:t>2.292535</w:t>
            </w:r>
          </w:p>
        </w:tc>
        <w:tc>
          <w:tcPr>
            <w:tcW w:w="1055" w:type="dxa"/>
          </w:tcPr>
          <w:p>
            <w:pPr>
              <w:pStyle w:val="TableParagraph"/>
              <w:spacing w:before="249"/>
              <w:ind w:left="106"/>
              <w:rPr>
                <w:rFonts w:ascii="Calibri"/>
                <w:sz w:val="22"/>
              </w:rPr>
            </w:pPr>
            <w:r>
              <w:rPr>
                <w:rFonts w:ascii="Calibri"/>
                <w:spacing w:val="-2"/>
                <w:sz w:val="22"/>
              </w:rPr>
              <w:t>5.842094</w:t>
            </w:r>
          </w:p>
        </w:tc>
        <w:tc>
          <w:tcPr>
            <w:tcW w:w="1055" w:type="dxa"/>
          </w:tcPr>
          <w:p>
            <w:pPr>
              <w:pStyle w:val="TableParagraph"/>
              <w:spacing w:before="249"/>
              <w:ind w:right="111"/>
              <w:jc w:val="right"/>
              <w:rPr>
                <w:rFonts w:ascii="Calibri"/>
                <w:sz w:val="22"/>
              </w:rPr>
            </w:pPr>
            <w:r>
              <w:rPr>
                <w:rFonts w:ascii="Calibri"/>
                <w:spacing w:val="-2"/>
                <w:sz w:val="22"/>
              </w:rPr>
              <w:t>1.791759</w:t>
            </w:r>
          </w:p>
        </w:tc>
        <w:tc>
          <w:tcPr>
            <w:tcW w:w="1070" w:type="dxa"/>
          </w:tcPr>
          <w:p>
            <w:pPr>
              <w:pStyle w:val="TableParagraph"/>
              <w:spacing w:before="249"/>
              <w:ind w:left="123" w:right="10"/>
              <w:jc w:val="center"/>
              <w:rPr>
                <w:rFonts w:ascii="Calibri"/>
                <w:sz w:val="22"/>
              </w:rPr>
            </w:pPr>
            <w:r>
              <w:rPr>
                <w:rFonts w:ascii="Calibri"/>
                <w:spacing w:val="-2"/>
                <w:sz w:val="22"/>
              </w:rPr>
              <w:t>8.73781</w:t>
            </w:r>
          </w:p>
        </w:tc>
        <w:tc>
          <w:tcPr>
            <w:tcW w:w="1055" w:type="dxa"/>
          </w:tcPr>
          <w:p>
            <w:pPr>
              <w:pStyle w:val="TableParagraph"/>
              <w:spacing w:before="249"/>
              <w:ind w:left="102"/>
              <w:rPr>
                <w:rFonts w:ascii="Calibri"/>
                <w:sz w:val="22"/>
              </w:rPr>
            </w:pPr>
            <w:r>
              <w:rPr>
                <w:rFonts w:ascii="Calibri"/>
                <w:spacing w:val="-2"/>
                <w:sz w:val="22"/>
              </w:rPr>
              <w:t>1.667707</w:t>
            </w:r>
          </w:p>
        </w:tc>
        <w:tc>
          <w:tcPr>
            <w:tcW w:w="998" w:type="dxa"/>
          </w:tcPr>
          <w:p>
            <w:pPr>
              <w:pStyle w:val="TableParagraph"/>
              <w:spacing w:before="249"/>
              <w:ind w:right="58"/>
              <w:jc w:val="right"/>
              <w:rPr>
                <w:rFonts w:ascii="Calibri"/>
                <w:sz w:val="22"/>
              </w:rPr>
            </w:pPr>
            <w:r>
              <w:rPr>
                <w:rFonts w:ascii="Calibri"/>
                <w:spacing w:val="-2"/>
                <w:sz w:val="22"/>
              </w:rPr>
              <w:t>8.477454</w:t>
            </w:r>
          </w:p>
        </w:tc>
      </w:tr>
      <w:tr>
        <w:trPr>
          <w:trHeight w:val="537" w:hRule="atLeast"/>
        </w:trPr>
        <w:tc>
          <w:tcPr>
            <w:tcW w:w="723" w:type="dxa"/>
          </w:tcPr>
          <w:p>
            <w:pPr>
              <w:pStyle w:val="TableParagraph"/>
              <w:spacing w:before="249"/>
              <w:ind w:left="116" w:right="56"/>
              <w:jc w:val="center"/>
              <w:rPr>
                <w:rFonts w:ascii="Calibri"/>
                <w:sz w:val="22"/>
              </w:rPr>
            </w:pPr>
            <w:r>
              <w:rPr>
                <w:rFonts w:ascii="Calibri"/>
                <w:spacing w:val="-4"/>
                <w:sz w:val="22"/>
              </w:rPr>
              <w:t>1981</w:t>
            </w:r>
          </w:p>
        </w:tc>
        <w:tc>
          <w:tcPr>
            <w:tcW w:w="1054" w:type="dxa"/>
          </w:tcPr>
          <w:p>
            <w:pPr>
              <w:pStyle w:val="TableParagraph"/>
              <w:spacing w:before="249"/>
              <w:ind w:left="109"/>
              <w:rPr>
                <w:rFonts w:ascii="Calibri"/>
                <w:sz w:val="22"/>
              </w:rPr>
            </w:pPr>
            <w:r>
              <w:rPr>
                <w:rFonts w:ascii="Calibri"/>
                <w:spacing w:val="-2"/>
                <w:sz w:val="22"/>
              </w:rPr>
              <w:t>7.679205</w:t>
            </w:r>
          </w:p>
        </w:tc>
        <w:tc>
          <w:tcPr>
            <w:tcW w:w="1110" w:type="dxa"/>
          </w:tcPr>
          <w:p>
            <w:pPr>
              <w:pStyle w:val="TableParagraph"/>
              <w:spacing w:before="249"/>
              <w:ind w:right="106"/>
              <w:jc w:val="right"/>
              <w:rPr>
                <w:rFonts w:ascii="Calibri"/>
                <w:sz w:val="22"/>
              </w:rPr>
            </w:pPr>
            <w:r>
              <w:rPr>
                <w:rFonts w:ascii="Calibri"/>
                <w:spacing w:val="-2"/>
                <w:sz w:val="22"/>
              </w:rPr>
              <w:t>6.140746</w:t>
            </w:r>
          </w:p>
        </w:tc>
        <w:tc>
          <w:tcPr>
            <w:tcW w:w="961" w:type="dxa"/>
          </w:tcPr>
          <w:p>
            <w:pPr>
              <w:pStyle w:val="TableParagraph"/>
              <w:spacing w:line="249" w:lineRule="exact"/>
              <w:ind w:right="108"/>
              <w:jc w:val="right"/>
              <w:rPr>
                <w:rFonts w:ascii="Calibri"/>
                <w:sz w:val="22"/>
              </w:rPr>
            </w:pPr>
            <w:r>
              <w:rPr>
                <w:rFonts w:ascii="Calibri"/>
                <w:spacing w:val="-10"/>
                <w:sz w:val="22"/>
              </w:rPr>
              <w:t>-</w:t>
            </w:r>
          </w:p>
          <w:p>
            <w:pPr>
              <w:pStyle w:val="TableParagraph"/>
              <w:ind w:right="107"/>
              <w:jc w:val="right"/>
              <w:rPr>
                <w:rFonts w:ascii="Calibri"/>
                <w:sz w:val="22"/>
              </w:rPr>
            </w:pPr>
            <w:r>
              <w:rPr>
                <w:rFonts w:ascii="Calibri"/>
                <w:spacing w:val="-2"/>
                <w:sz w:val="22"/>
              </w:rPr>
              <w:t>0.69095</w:t>
            </w:r>
          </w:p>
        </w:tc>
        <w:tc>
          <w:tcPr>
            <w:tcW w:w="1055" w:type="dxa"/>
          </w:tcPr>
          <w:p>
            <w:pPr>
              <w:pStyle w:val="TableParagraph"/>
              <w:spacing w:before="249"/>
              <w:ind w:left="107"/>
              <w:rPr>
                <w:rFonts w:ascii="Calibri"/>
                <w:sz w:val="22"/>
              </w:rPr>
            </w:pPr>
            <w:r>
              <w:rPr>
                <w:rFonts w:ascii="Calibri"/>
                <w:spacing w:val="-2"/>
                <w:sz w:val="22"/>
              </w:rPr>
              <w:t>3.039749</w:t>
            </w:r>
          </w:p>
        </w:tc>
        <w:tc>
          <w:tcPr>
            <w:tcW w:w="1055" w:type="dxa"/>
          </w:tcPr>
          <w:p>
            <w:pPr>
              <w:pStyle w:val="TableParagraph"/>
              <w:spacing w:before="249"/>
              <w:ind w:left="106"/>
              <w:rPr>
                <w:rFonts w:ascii="Calibri"/>
                <w:sz w:val="22"/>
              </w:rPr>
            </w:pPr>
            <w:r>
              <w:rPr>
                <w:rFonts w:ascii="Calibri"/>
                <w:spacing w:val="-2"/>
                <w:sz w:val="22"/>
              </w:rPr>
              <w:t>9.775631</w:t>
            </w:r>
          </w:p>
        </w:tc>
        <w:tc>
          <w:tcPr>
            <w:tcW w:w="1055" w:type="dxa"/>
          </w:tcPr>
          <w:p>
            <w:pPr>
              <w:pStyle w:val="TableParagraph"/>
              <w:spacing w:before="249"/>
              <w:ind w:right="111"/>
              <w:jc w:val="right"/>
              <w:rPr>
                <w:rFonts w:ascii="Calibri"/>
                <w:sz w:val="22"/>
              </w:rPr>
            </w:pPr>
            <w:r>
              <w:rPr>
                <w:rFonts w:ascii="Calibri"/>
                <w:spacing w:val="-2"/>
                <w:sz w:val="22"/>
              </w:rPr>
              <w:t>1.791759</w:t>
            </w:r>
          </w:p>
        </w:tc>
        <w:tc>
          <w:tcPr>
            <w:tcW w:w="1070" w:type="dxa"/>
          </w:tcPr>
          <w:p>
            <w:pPr>
              <w:pStyle w:val="TableParagraph"/>
              <w:spacing w:before="249"/>
              <w:ind w:left="13" w:right="10"/>
              <w:jc w:val="center"/>
              <w:rPr>
                <w:rFonts w:ascii="Calibri"/>
                <w:sz w:val="22"/>
              </w:rPr>
            </w:pPr>
            <w:r>
              <w:rPr>
                <w:rFonts w:ascii="Calibri"/>
                <w:spacing w:val="-2"/>
                <w:sz w:val="22"/>
              </w:rPr>
              <w:t>9.056029</w:t>
            </w:r>
          </w:p>
        </w:tc>
        <w:tc>
          <w:tcPr>
            <w:tcW w:w="1055" w:type="dxa"/>
          </w:tcPr>
          <w:p>
            <w:pPr>
              <w:pStyle w:val="TableParagraph"/>
              <w:spacing w:before="249"/>
              <w:ind w:right="113"/>
              <w:jc w:val="right"/>
              <w:rPr>
                <w:rFonts w:ascii="Calibri"/>
                <w:sz w:val="22"/>
              </w:rPr>
            </w:pPr>
            <w:r>
              <w:rPr>
                <w:rFonts w:ascii="Calibri"/>
                <w:spacing w:val="-2"/>
                <w:sz w:val="22"/>
              </w:rPr>
              <w:t>2.109</w:t>
            </w:r>
          </w:p>
        </w:tc>
        <w:tc>
          <w:tcPr>
            <w:tcW w:w="998" w:type="dxa"/>
          </w:tcPr>
          <w:p>
            <w:pPr>
              <w:pStyle w:val="TableParagraph"/>
              <w:spacing w:before="249"/>
              <w:ind w:right="58"/>
              <w:jc w:val="right"/>
              <w:rPr>
                <w:rFonts w:ascii="Calibri"/>
                <w:sz w:val="22"/>
              </w:rPr>
            </w:pPr>
            <w:r>
              <w:rPr>
                <w:rFonts w:ascii="Calibri"/>
                <w:spacing w:val="-2"/>
                <w:sz w:val="22"/>
              </w:rPr>
              <w:t>8.486053</w:t>
            </w:r>
          </w:p>
        </w:tc>
      </w:tr>
      <w:tr>
        <w:trPr>
          <w:trHeight w:val="537" w:hRule="atLeast"/>
        </w:trPr>
        <w:tc>
          <w:tcPr>
            <w:tcW w:w="723" w:type="dxa"/>
          </w:tcPr>
          <w:p>
            <w:pPr>
              <w:pStyle w:val="TableParagraph"/>
              <w:spacing w:before="249"/>
              <w:ind w:left="116" w:right="56"/>
              <w:jc w:val="center"/>
              <w:rPr>
                <w:rFonts w:ascii="Calibri"/>
                <w:sz w:val="22"/>
              </w:rPr>
            </w:pPr>
            <w:r>
              <w:rPr>
                <w:rFonts w:ascii="Calibri"/>
                <w:spacing w:val="-4"/>
                <w:sz w:val="22"/>
              </w:rPr>
              <w:t>1982</w:t>
            </w:r>
          </w:p>
        </w:tc>
        <w:tc>
          <w:tcPr>
            <w:tcW w:w="1054" w:type="dxa"/>
          </w:tcPr>
          <w:p>
            <w:pPr>
              <w:pStyle w:val="TableParagraph"/>
              <w:spacing w:before="249"/>
              <w:ind w:left="109"/>
              <w:rPr>
                <w:rFonts w:ascii="Calibri"/>
                <w:sz w:val="22"/>
              </w:rPr>
            </w:pPr>
            <w:r>
              <w:rPr>
                <w:rFonts w:ascii="Calibri"/>
                <w:spacing w:val="-2"/>
                <w:sz w:val="22"/>
              </w:rPr>
              <w:t>9.521883</w:t>
            </w:r>
          </w:p>
        </w:tc>
        <w:tc>
          <w:tcPr>
            <w:tcW w:w="1110" w:type="dxa"/>
          </w:tcPr>
          <w:p>
            <w:pPr>
              <w:pStyle w:val="TableParagraph"/>
              <w:spacing w:before="249"/>
              <w:ind w:right="106"/>
              <w:jc w:val="right"/>
              <w:rPr>
                <w:rFonts w:ascii="Calibri"/>
                <w:sz w:val="22"/>
              </w:rPr>
            </w:pPr>
            <w:r>
              <w:rPr>
                <w:rFonts w:ascii="Calibri"/>
                <w:spacing w:val="-2"/>
                <w:sz w:val="22"/>
              </w:rPr>
              <w:t>8.77774</w:t>
            </w:r>
          </w:p>
        </w:tc>
        <w:tc>
          <w:tcPr>
            <w:tcW w:w="961" w:type="dxa"/>
          </w:tcPr>
          <w:p>
            <w:pPr>
              <w:pStyle w:val="TableParagraph"/>
              <w:spacing w:line="249" w:lineRule="exact"/>
              <w:ind w:right="108"/>
              <w:jc w:val="right"/>
              <w:rPr>
                <w:rFonts w:ascii="Calibri"/>
                <w:sz w:val="22"/>
              </w:rPr>
            </w:pPr>
            <w:r>
              <w:rPr>
                <w:rFonts w:ascii="Calibri"/>
                <w:spacing w:val="-10"/>
                <w:sz w:val="22"/>
              </w:rPr>
              <w:t>-</w:t>
            </w:r>
          </w:p>
          <w:p>
            <w:pPr>
              <w:pStyle w:val="TableParagraph"/>
              <w:ind w:right="107"/>
              <w:jc w:val="right"/>
              <w:rPr>
                <w:rFonts w:ascii="Calibri"/>
                <w:sz w:val="22"/>
              </w:rPr>
            </w:pPr>
            <w:r>
              <w:rPr>
                <w:rFonts w:ascii="Calibri"/>
                <w:spacing w:val="-2"/>
                <w:sz w:val="22"/>
              </w:rPr>
              <w:t>0.95011</w:t>
            </w:r>
          </w:p>
        </w:tc>
        <w:tc>
          <w:tcPr>
            <w:tcW w:w="1055" w:type="dxa"/>
          </w:tcPr>
          <w:p>
            <w:pPr>
              <w:pStyle w:val="TableParagraph"/>
              <w:spacing w:before="249"/>
              <w:ind w:right="108"/>
              <w:jc w:val="right"/>
              <w:rPr>
                <w:rFonts w:ascii="Calibri"/>
                <w:sz w:val="22"/>
              </w:rPr>
            </w:pPr>
            <w:r>
              <w:rPr>
                <w:rFonts w:ascii="Calibri"/>
                <w:spacing w:val="-2"/>
                <w:sz w:val="22"/>
              </w:rPr>
              <w:t>2.04122</w:t>
            </w:r>
          </w:p>
        </w:tc>
        <w:tc>
          <w:tcPr>
            <w:tcW w:w="1055" w:type="dxa"/>
          </w:tcPr>
          <w:p>
            <w:pPr>
              <w:pStyle w:val="TableParagraph"/>
              <w:spacing w:before="249"/>
              <w:ind w:left="106"/>
              <w:rPr>
                <w:rFonts w:ascii="Calibri"/>
                <w:sz w:val="22"/>
              </w:rPr>
            </w:pPr>
            <w:r>
              <w:rPr>
                <w:rFonts w:ascii="Calibri"/>
                <w:spacing w:val="-2"/>
                <w:sz w:val="22"/>
              </w:rPr>
              <w:t>7.724358</w:t>
            </w:r>
          </w:p>
        </w:tc>
        <w:tc>
          <w:tcPr>
            <w:tcW w:w="1055" w:type="dxa"/>
          </w:tcPr>
          <w:p>
            <w:pPr>
              <w:pStyle w:val="TableParagraph"/>
              <w:spacing w:before="249"/>
              <w:ind w:right="111"/>
              <w:jc w:val="right"/>
              <w:rPr>
                <w:rFonts w:ascii="Calibri"/>
                <w:sz w:val="22"/>
              </w:rPr>
            </w:pPr>
            <w:r>
              <w:rPr>
                <w:rFonts w:ascii="Calibri"/>
                <w:spacing w:val="-2"/>
                <w:sz w:val="22"/>
              </w:rPr>
              <w:t>2.014903</w:t>
            </w:r>
          </w:p>
        </w:tc>
        <w:tc>
          <w:tcPr>
            <w:tcW w:w="1070" w:type="dxa"/>
          </w:tcPr>
          <w:p>
            <w:pPr>
              <w:pStyle w:val="TableParagraph"/>
              <w:spacing w:before="249"/>
              <w:ind w:left="13" w:right="10"/>
              <w:jc w:val="center"/>
              <w:rPr>
                <w:rFonts w:ascii="Calibri"/>
                <w:sz w:val="22"/>
              </w:rPr>
            </w:pPr>
            <w:r>
              <w:rPr>
                <w:rFonts w:ascii="Calibri"/>
                <w:spacing w:val="-2"/>
                <w:sz w:val="22"/>
              </w:rPr>
              <w:t>9.275036</w:t>
            </w:r>
          </w:p>
        </w:tc>
        <w:tc>
          <w:tcPr>
            <w:tcW w:w="1055" w:type="dxa"/>
          </w:tcPr>
          <w:p>
            <w:pPr>
              <w:pStyle w:val="TableParagraph"/>
              <w:spacing w:before="249"/>
              <w:ind w:left="102"/>
              <w:rPr>
                <w:rFonts w:ascii="Calibri"/>
                <w:sz w:val="22"/>
              </w:rPr>
            </w:pPr>
            <w:r>
              <w:rPr>
                <w:rFonts w:ascii="Calibri"/>
                <w:spacing w:val="-2"/>
                <w:sz w:val="22"/>
              </w:rPr>
              <w:t>1.040277</w:t>
            </w:r>
          </w:p>
        </w:tc>
        <w:tc>
          <w:tcPr>
            <w:tcW w:w="998" w:type="dxa"/>
          </w:tcPr>
          <w:p>
            <w:pPr>
              <w:pStyle w:val="TableParagraph"/>
              <w:spacing w:before="249"/>
              <w:ind w:right="58"/>
              <w:jc w:val="right"/>
              <w:rPr>
                <w:rFonts w:ascii="Calibri"/>
                <w:sz w:val="22"/>
              </w:rPr>
            </w:pPr>
            <w:r>
              <w:rPr>
                <w:rFonts w:ascii="Calibri"/>
                <w:spacing w:val="-2"/>
                <w:sz w:val="22"/>
              </w:rPr>
              <w:t>8.613594</w:t>
            </w:r>
          </w:p>
        </w:tc>
      </w:tr>
      <w:tr>
        <w:trPr>
          <w:trHeight w:val="537" w:hRule="atLeast"/>
        </w:trPr>
        <w:tc>
          <w:tcPr>
            <w:tcW w:w="723" w:type="dxa"/>
          </w:tcPr>
          <w:p>
            <w:pPr>
              <w:pStyle w:val="TableParagraph"/>
              <w:spacing w:before="249"/>
              <w:ind w:left="116" w:right="56"/>
              <w:jc w:val="center"/>
              <w:rPr>
                <w:rFonts w:ascii="Calibri"/>
                <w:sz w:val="22"/>
              </w:rPr>
            </w:pPr>
            <w:r>
              <w:rPr>
                <w:rFonts w:ascii="Calibri"/>
                <w:spacing w:val="-4"/>
                <w:sz w:val="22"/>
              </w:rPr>
              <w:t>1983</w:t>
            </w:r>
          </w:p>
        </w:tc>
        <w:tc>
          <w:tcPr>
            <w:tcW w:w="1054" w:type="dxa"/>
          </w:tcPr>
          <w:p>
            <w:pPr>
              <w:pStyle w:val="TableParagraph"/>
              <w:spacing w:before="249"/>
              <w:ind w:left="109"/>
              <w:rPr>
                <w:rFonts w:ascii="Calibri"/>
                <w:sz w:val="22"/>
              </w:rPr>
            </w:pPr>
            <w:r>
              <w:rPr>
                <w:rFonts w:ascii="Calibri"/>
                <w:spacing w:val="-2"/>
                <w:sz w:val="22"/>
              </w:rPr>
              <w:t>9.231534</w:t>
            </w:r>
          </w:p>
        </w:tc>
        <w:tc>
          <w:tcPr>
            <w:tcW w:w="1110" w:type="dxa"/>
          </w:tcPr>
          <w:p>
            <w:pPr>
              <w:pStyle w:val="TableParagraph"/>
              <w:spacing w:before="249"/>
              <w:ind w:right="106"/>
              <w:jc w:val="right"/>
              <w:rPr>
                <w:rFonts w:ascii="Calibri"/>
                <w:sz w:val="22"/>
              </w:rPr>
            </w:pPr>
            <w:r>
              <w:rPr>
                <w:rFonts w:ascii="Calibri"/>
                <w:spacing w:val="-2"/>
                <w:sz w:val="22"/>
              </w:rPr>
              <w:t>7.472103</w:t>
            </w:r>
          </w:p>
        </w:tc>
        <w:tc>
          <w:tcPr>
            <w:tcW w:w="961" w:type="dxa"/>
          </w:tcPr>
          <w:p>
            <w:pPr>
              <w:pStyle w:val="TableParagraph"/>
              <w:spacing w:line="249" w:lineRule="exact"/>
              <w:ind w:right="108"/>
              <w:jc w:val="right"/>
              <w:rPr>
                <w:rFonts w:ascii="Calibri"/>
                <w:sz w:val="22"/>
              </w:rPr>
            </w:pPr>
            <w:r>
              <w:rPr>
                <w:rFonts w:ascii="Calibri"/>
                <w:spacing w:val="-10"/>
                <w:sz w:val="22"/>
              </w:rPr>
              <w:t>-</w:t>
            </w:r>
          </w:p>
          <w:p>
            <w:pPr>
              <w:pStyle w:val="TableParagraph"/>
              <w:ind w:right="107"/>
              <w:jc w:val="right"/>
              <w:rPr>
                <w:rFonts w:ascii="Calibri"/>
                <w:sz w:val="22"/>
              </w:rPr>
            </w:pPr>
            <w:r>
              <w:rPr>
                <w:rFonts w:ascii="Calibri"/>
                <w:spacing w:val="-2"/>
                <w:sz w:val="22"/>
              </w:rPr>
              <w:t>1.17474</w:t>
            </w:r>
          </w:p>
        </w:tc>
        <w:tc>
          <w:tcPr>
            <w:tcW w:w="1055" w:type="dxa"/>
          </w:tcPr>
          <w:p>
            <w:pPr>
              <w:pStyle w:val="TableParagraph"/>
              <w:spacing w:before="249"/>
              <w:ind w:left="107"/>
              <w:rPr>
                <w:rFonts w:ascii="Calibri"/>
                <w:sz w:val="22"/>
              </w:rPr>
            </w:pPr>
            <w:r>
              <w:rPr>
                <w:rFonts w:ascii="Calibri"/>
                <w:spacing w:val="-2"/>
                <w:sz w:val="22"/>
              </w:rPr>
              <w:t>3.144152</w:t>
            </w:r>
          </w:p>
        </w:tc>
        <w:tc>
          <w:tcPr>
            <w:tcW w:w="1055" w:type="dxa"/>
          </w:tcPr>
          <w:p>
            <w:pPr>
              <w:pStyle w:val="TableParagraph"/>
              <w:spacing w:before="249"/>
              <w:ind w:right="110"/>
              <w:jc w:val="right"/>
              <w:rPr>
                <w:rFonts w:ascii="Calibri"/>
                <w:sz w:val="22"/>
              </w:rPr>
            </w:pPr>
            <w:r>
              <w:rPr>
                <w:rFonts w:ascii="Calibri"/>
                <w:spacing w:val="-2"/>
                <w:sz w:val="22"/>
              </w:rPr>
              <w:t>8.40436</w:t>
            </w:r>
          </w:p>
        </w:tc>
        <w:tc>
          <w:tcPr>
            <w:tcW w:w="1055" w:type="dxa"/>
          </w:tcPr>
          <w:p>
            <w:pPr>
              <w:pStyle w:val="TableParagraph"/>
              <w:spacing w:before="249"/>
              <w:ind w:right="111"/>
              <w:jc w:val="right"/>
              <w:rPr>
                <w:rFonts w:ascii="Calibri"/>
                <w:sz w:val="22"/>
              </w:rPr>
            </w:pPr>
            <w:r>
              <w:rPr>
                <w:rFonts w:ascii="Calibri"/>
                <w:spacing w:val="-2"/>
                <w:sz w:val="22"/>
              </w:rPr>
              <w:t>2.014903</w:t>
            </w:r>
          </w:p>
        </w:tc>
        <w:tc>
          <w:tcPr>
            <w:tcW w:w="1070" w:type="dxa"/>
          </w:tcPr>
          <w:p>
            <w:pPr>
              <w:pStyle w:val="TableParagraph"/>
              <w:spacing w:before="249"/>
              <w:ind w:left="13" w:right="10"/>
              <w:jc w:val="center"/>
              <w:rPr>
                <w:rFonts w:ascii="Calibri"/>
                <w:sz w:val="22"/>
              </w:rPr>
            </w:pPr>
            <w:r>
              <w:rPr>
                <w:rFonts w:ascii="Calibri"/>
                <w:spacing w:val="-2"/>
                <w:sz w:val="22"/>
              </w:rPr>
              <w:t>9.364609</w:t>
            </w:r>
          </w:p>
        </w:tc>
        <w:tc>
          <w:tcPr>
            <w:tcW w:w="1055" w:type="dxa"/>
          </w:tcPr>
          <w:p>
            <w:pPr>
              <w:pStyle w:val="TableParagraph"/>
              <w:spacing w:before="249"/>
              <w:ind w:left="145"/>
              <w:rPr>
                <w:rFonts w:ascii="Calibri"/>
                <w:sz w:val="22"/>
              </w:rPr>
            </w:pPr>
            <w:r>
              <w:rPr>
                <w:rFonts w:ascii="Calibri"/>
                <w:spacing w:val="-2"/>
                <w:sz w:val="22"/>
              </w:rPr>
              <w:t>-0.40048</w:t>
            </w:r>
          </w:p>
        </w:tc>
        <w:tc>
          <w:tcPr>
            <w:tcW w:w="998" w:type="dxa"/>
          </w:tcPr>
          <w:p>
            <w:pPr>
              <w:pStyle w:val="TableParagraph"/>
              <w:spacing w:before="249"/>
              <w:ind w:right="58"/>
              <w:jc w:val="right"/>
              <w:rPr>
                <w:rFonts w:ascii="Calibri"/>
                <w:sz w:val="22"/>
              </w:rPr>
            </w:pPr>
            <w:r>
              <w:rPr>
                <w:rFonts w:ascii="Calibri"/>
                <w:spacing w:val="-2"/>
                <w:sz w:val="22"/>
              </w:rPr>
              <w:t>8.466068</w:t>
            </w:r>
          </w:p>
        </w:tc>
      </w:tr>
      <w:tr>
        <w:trPr>
          <w:trHeight w:val="535" w:hRule="atLeast"/>
        </w:trPr>
        <w:tc>
          <w:tcPr>
            <w:tcW w:w="723" w:type="dxa"/>
          </w:tcPr>
          <w:p>
            <w:pPr>
              <w:pStyle w:val="TableParagraph"/>
              <w:spacing w:before="246"/>
              <w:ind w:left="116" w:right="56"/>
              <w:jc w:val="center"/>
              <w:rPr>
                <w:rFonts w:ascii="Calibri"/>
                <w:sz w:val="22"/>
              </w:rPr>
            </w:pPr>
            <w:r>
              <w:rPr>
                <w:rFonts w:ascii="Calibri"/>
                <w:spacing w:val="-4"/>
                <w:sz w:val="22"/>
              </w:rPr>
              <w:t>1984</w:t>
            </w:r>
          </w:p>
        </w:tc>
        <w:tc>
          <w:tcPr>
            <w:tcW w:w="1054" w:type="dxa"/>
          </w:tcPr>
          <w:p>
            <w:pPr>
              <w:pStyle w:val="TableParagraph"/>
              <w:spacing w:before="246"/>
              <w:ind w:left="109"/>
              <w:rPr>
                <w:rFonts w:ascii="Calibri"/>
                <w:sz w:val="22"/>
              </w:rPr>
            </w:pPr>
            <w:r>
              <w:rPr>
                <w:rFonts w:ascii="Calibri"/>
                <w:spacing w:val="-2"/>
                <w:sz w:val="22"/>
              </w:rPr>
              <w:t>9.182147</w:t>
            </w:r>
          </w:p>
        </w:tc>
        <w:tc>
          <w:tcPr>
            <w:tcW w:w="1110" w:type="dxa"/>
          </w:tcPr>
          <w:p>
            <w:pPr>
              <w:pStyle w:val="TableParagraph"/>
              <w:spacing w:before="246"/>
              <w:ind w:right="106"/>
              <w:jc w:val="right"/>
              <w:rPr>
                <w:rFonts w:ascii="Calibri"/>
                <w:sz w:val="22"/>
              </w:rPr>
            </w:pPr>
            <w:r>
              <w:rPr>
                <w:rFonts w:ascii="Calibri"/>
                <w:spacing w:val="-2"/>
                <w:sz w:val="22"/>
              </w:rPr>
              <w:t>8.350194</w:t>
            </w:r>
          </w:p>
        </w:tc>
        <w:tc>
          <w:tcPr>
            <w:tcW w:w="961" w:type="dxa"/>
          </w:tcPr>
          <w:p>
            <w:pPr>
              <w:pStyle w:val="TableParagraph"/>
              <w:spacing w:line="248" w:lineRule="exact"/>
              <w:ind w:right="108"/>
              <w:jc w:val="right"/>
              <w:rPr>
                <w:rFonts w:ascii="Calibri"/>
                <w:sz w:val="22"/>
              </w:rPr>
            </w:pPr>
            <w:r>
              <w:rPr>
                <w:rFonts w:ascii="Calibri"/>
                <w:spacing w:val="-10"/>
                <w:sz w:val="22"/>
              </w:rPr>
              <w:t>-</w:t>
            </w:r>
          </w:p>
          <w:p>
            <w:pPr>
              <w:pStyle w:val="TableParagraph"/>
              <w:spacing w:line="267" w:lineRule="exact"/>
              <w:ind w:right="107"/>
              <w:jc w:val="right"/>
              <w:rPr>
                <w:rFonts w:ascii="Calibri"/>
                <w:sz w:val="22"/>
              </w:rPr>
            </w:pPr>
            <w:r>
              <w:rPr>
                <w:rFonts w:ascii="Calibri"/>
                <w:spacing w:val="-2"/>
                <w:sz w:val="22"/>
              </w:rPr>
              <w:t>1.29902</w:t>
            </w:r>
          </w:p>
        </w:tc>
        <w:tc>
          <w:tcPr>
            <w:tcW w:w="1055" w:type="dxa"/>
          </w:tcPr>
          <w:p>
            <w:pPr>
              <w:pStyle w:val="TableParagraph"/>
              <w:spacing w:before="246"/>
              <w:ind w:left="107"/>
              <w:rPr>
                <w:rFonts w:ascii="Calibri"/>
                <w:sz w:val="22"/>
              </w:rPr>
            </w:pPr>
            <w:r>
              <w:rPr>
                <w:rFonts w:ascii="Calibri"/>
                <w:spacing w:val="-2"/>
                <w:sz w:val="22"/>
              </w:rPr>
              <w:t>3.678829</w:t>
            </w:r>
          </w:p>
        </w:tc>
        <w:tc>
          <w:tcPr>
            <w:tcW w:w="1055" w:type="dxa"/>
          </w:tcPr>
          <w:p>
            <w:pPr>
              <w:pStyle w:val="TableParagraph"/>
              <w:spacing w:before="246"/>
              <w:ind w:right="110"/>
              <w:jc w:val="right"/>
              <w:rPr>
                <w:rFonts w:ascii="Calibri"/>
                <w:sz w:val="22"/>
              </w:rPr>
            </w:pPr>
            <w:r>
              <w:rPr>
                <w:rFonts w:ascii="Calibri"/>
                <w:spacing w:val="-2"/>
                <w:sz w:val="22"/>
              </w:rPr>
              <w:t>8.58401</w:t>
            </w:r>
          </w:p>
        </w:tc>
        <w:tc>
          <w:tcPr>
            <w:tcW w:w="1055" w:type="dxa"/>
          </w:tcPr>
          <w:p>
            <w:pPr>
              <w:pStyle w:val="TableParagraph"/>
              <w:spacing w:before="246"/>
              <w:ind w:right="111"/>
              <w:jc w:val="right"/>
              <w:rPr>
                <w:rFonts w:ascii="Calibri"/>
                <w:sz w:val="22"/>
              </w:rPr>
            </w:pPr>
            <w:r>
              <w:rPr>
                <w:rFonts w:ascii="Calibri"/>
                <w:spacing w:val="-2"/>
                <w:sz w:val="22"/>
              </w:rPr>
              <w:t>2.251292</w:t>
            </w:r>
          </w:p>
        </w:tc>
        <w:tc>
          <w:tcPr>
            <w:tcW w:w="1070" w:type="dxa"/>
          </w:tcPr>
          <w:p>
            <w:pPr>
              <w:pStyle w:val="TableParagraph"/>
              <w:spacing w:before="246"/>
              <w:ind w:left="13" w:right="10"/>
              <w:jc w:val="center"/>
              <w:rPr>
                <w:rFonts w:ascii="Calibri"/>
                <w:sz w:val="22"/>
              </w:rPr>
            </w:pPr>
            <w:r>
              <w:rPr>
                <w:rFonts w:ascii="Calibri"/>
                <w:spacing w:val="-2"/>
                <w:sz w:val="22"/>
              </w:rPr>
              <w:t>9.430514</w:t>
            </w:r>
          </w:p>
        </w:tc>
        <w:tc>
          <w:tcPr>
            <w:tcW w:w="1055" w:type="dxa"/>
          </w:tcPr>
          <w:p>
            <w:pPr>
              <w:pStyle w:val="TableParagraph"/>
              <w:spacing w:before="246"/>
              <w:ind w:left="102"/>
              <w:rPr>
                <w:rFonts w:ascii="Calibri"/>
                <w:sz w:val="22"/>
              </w:rPr>
            </w:pPr>
            <w:r>
              <w:rPr>
                <w:rFonts w:ascii="Calibri"/>
                <w:spacing w:val="-2"/>
                <w:sz w:val="22"/>
              </w:rPr>
              <w:t>0.239017</w:t>
            </w:r>
          </w:p>
        </w:tc>
        <w:tc>
          <w:tcPr>
            <w:tcW w:w="998" w:type="dxa"/>
          </w:tcPr>
          <w:p>
            <w:pPr>
              <w:pStyle w:val="TableParagraph"/>
              <w:spacing w:before="246"/>
              <w:ind w:right="58"/>
              <w:jc w:val="right"/>
              <w:rPr>
                <w:rFonts w:ascii="Calibri"/>
                <w:sz w:val="22"/>
              </w:rPr>
            </w:pPr>
            <w:r>
              <w:rPr>
                <w:rFonts w:ascii="Calibri"/>
                <w:spacing w:val="-2"/>
                <w:sz w:val="22"/>
              </w:rPr>
              <w:t>8.670343</w:t>
            </w:r>
          </w:p>
        </w:tc>
      </w:tr>
      <w:tr>
        <w:trPr>
          <w:trHeight w:val="537" w:hRule="atLeast"/>
        </w:trPr>
        <w:tc>
          <w:tcPr>
            <w:tcW w:w="723" w:type="dxa"/>
          </w:tcPr>
          <w:p>
            <w:pPr>
              <w:pStyle w:val="TableParagraph"/>
              <w:spacing w:before="249"/>
              <w:ind w:left="116" w:right="56"/>
              <w:jc w:val="center"/>
              <w:rPr>
                <w:rFonts w:ascii="Calibri"/>
                <w:sz w:val="22"/>
              </w:rPr>
            </w:pPr>
            <w:r>
              <w:rPr>
                <w:rFonts w:ascii="Calibri"/>
                <w:spacing w:val="-4"/>
                <w:sz w:val="22"/>
              </w:rPr>
              <w:t>1985</w:t>
            </w:r>
          </w:p>
        </w:tc>
        <w:tc>
          <w:tcPr>
            <w:tcW w:w="1054" w:type="dxa"/>
          </w:tcPr>
          <w:p>
            <w:pPr>
              <w:pStyle w:val="TableParagraph"/>
              <w:spacing w:before="249"/>
              <w:ind w:left="109"/>
              <w:rPr>
                <w:rFonts w:ascii="Calibri"/>
                <w:sz w:val="22"/>
              </w:rPr>
            </w:pPr>
            <w:r>
              <w:rPr>
                <w:rFonts w:ascii="Calibri"/>
                <w:spacing w:val="-2"/>
                <w:sz w:val="22"/>
              </w:rPr>
              <w:t>9.278588</w:t>
            </w:r>
          </w:p>
        </w:tc>
        <w:tc>
          <w:tcPr>
            <w:tcW w:w="1110" w:type="dxa"/>
          </w:tcPr>
          <w:p>
            <w:pPr>
              <w:pStyle w:val="TableParagraph"/>
              <w:spacing w:before="249"/>
              <w:ind w:right="106"/>
              <w:jc w:val="right"/>
              <w:rPr>
                <w:rFonts w:ascii="Calibri"/>
                <w:sz w:val="22"/>
              </w:rPr>
            </w:pPr>
            <w:r>
              <w:rPr>
                <w:rFonts w:ascii="Calibri"/>
                <w:spacing w:val="-2"/>
                <w:sz w:val="22"/>
              </w:rPr>
              <w:t>7.820801</w:t>
            </w:r>
          </w:p>
        </w:tc>
        <w:tc>
          <w:tcPr>
            <w:tcW w:w="961" w:type="dxa"/>
          </w:tcPr>
          <w:p>
            <w:pPr>
              <w:pStyle w:val="TableParagraph"/>
              <w:spacing w:line="249" w:lineRule="exact"/>
              <w:ind w:right="108"/>
              <w:jc w:val="right"/>
              <w:rPr>
                <w:rFonts w:ascii="Calibri"/>
                <w:sz w:val="22"/>
              </w:rPr>
            </w:pPr>
            <w:r>
              <w:rPr>
                <w:rFonts w:ascii="Calibri"/>
                <w:spacing w:val="-10"/>
                <w:sz w:val="22"/>
              </w:rPr>
              <w:t>-</w:t>
            </w:r>
          </w:p>
          <w:p>
            <w:pPr>
              <w:pStyle w:val="TableParagraph"/>
              <w:ind w:right="107"/>
              <w:jc w:val="right"/>
              <w:rPr>
                <w:rFonts w:ascii="Calibri"/>
                <w:sz w:val="22"/>
              </w:rPr>
            </w:pPr>
            <w:r>
              <w:rPr>
                <w:rFonts w:ascii="Calibri"/>
                <w:spacing w:val="-2"/>
                <w:sz w:val="22"/>
              </w:rPr>
              <w:t>1.28518</w:t>
            </w:r>
          </w:p>
        </w:tc>
        <w:tc>
          <w:tcPr>
            <w:tcW w:w="1055" w:type="dxa"/>
          </w:tcPr>
          <w:p>
            <w:pPr>
              <w:pStyle w:val="TableParagraph"/>
              <w:spacing w:before="249"/>
              <w:ind w:left="107"/>
              <w:rPr>
                <w:rFonts w:ascii="Calibri"/>
                <w:sz w:val="22"/>
              </w:rPr>
            </w:pPr>
            <w:r>
              <w:rPr>
                <w:rFonts w:ascii="Calibri"/>
                <w:spacing w:val="-2"/>
                <w:sz w:val="22"/>
              </w:rPr>
              <w:t>1.704748</w:t>
            </w:r>
          </w:p>
        </w:tc>
        <w:tc>
          <w:tcPr>
            <w:tcW w:w="1055" w:type="dxa"/>
          </w:tcPr>
          <w:p>
            <w:pPr>
              <w:pStyle w:val="TableParagraph"/>
              <w:spacing w:before="249"/>
              <w:ind w:left="106"/>
              <w:rPr>
                <w:rFonts w:ascii="Calibri"/>
                <w:sz w:val="22"/>
              </w:rPr>
            </w:pPr>
            <w:r>
              <w:rPr>
                <w:rFonts w:ascii="Calibri"/>
                <w:spacing w:val="-2"/>
                <w:sz w:val="22"/>
              </w:rPr>
              <w:t>6.681231</w:t>
            </w:r>
          </w:p>
        </w:tc>
        <w:tc>
          <w:tcPr>
            <w:tcW w:w="1055" w:type="dxa"/>
          </w:tcPr>
          <w:p>
            <w:pPr>
              <w:pStyle w:val="TableParagraph"/>
              <w:spacing w:before="249"/>
              <w:ind w:right="111"/>
              <w:jc w:val="right"/>
              <w:rPr>
                <w:rFonts w:ascii="Calibri"/>
                <w:sz w:val="22"/>
              </w:rPr>
            </w:pPr>
            <w:r>
              <w:rPr>
                <w:rFonts w:ascii="Calibri"/>
                <w:spacing w:val="-2"/>
                <w:sz w:val="22"/>
              </w:rPr>
              <w:t>2.251292</w:t>
            </w:r>
          </w:p>
        </w:tc>
        <w:tc>
          <w:tcPr>
            <w:tcW w:w="1070" w:type="dxa"/>
          </w:tcPr>
          <w:p>
            <w:pPr>
              <w:pStyle w:val="TableParagraph"/>
              <w:spacing w:before="249"/>
              <w:ind w:left="13" w:right="10"/>
              <w:jc w:val="center"/>
              <w:rPr>
                <w:rFonts w:ascii="Calibri"/>
                <w:sz w:val="22"/>
              </w:rPr>
            </w:pPr>
            <w:r>
              <w:rPr>
                <w:rFonts w:ascii="Calibri"/>
                <w:spacing w:val="-2"/>
                <w:sz w:val="22"/>
              </w:rPr>
              <w:t>9.478101</w:t>
            </w:r>
          </w:p>
        </w:tc>
        <w:tc>
          <w:tcPr>
            <w:tcW w:w="1055" w:type="dxa"/>
          </w:tcPr>
          <w:p>
            <w:pPr>
              <w:pStyle w:val="TableParagraph"/>
              <w:spacing w:before="249"/>
              <w:ind w:left="102"/>
              <w:rPr>
                <w:rFonts w:ascii="Calibri"/>
                <w:sz w:val="22"/>
              </w:rPr>
            </w:pPr>
            <w:r>
              <w:rPr>
                <w:rFonts w:ascii="Calibri"/>
                <w:spacing w:val="-2"/>
                <w:sz w:val="22"/>
              </w:rPr>
              <w:t>1.625311</w:t>
            </w:r>
          </w:p>
        </w:tc>
        <w:tc>
          <w:tcPr>
            <w:tcW w:w="998" w:type="dxa"/>
          </w:tcPr>
          <w:p>
            <w:pPr>
              <w:pStyle w:val="TableParagraph"/>
              <w:spacing w:before="249"/>
              <w:ind w:right="58"/>
              <w:jc w:val="right"/>
              <w:rPr>
                <w:rFonts w:ascii="Calibri"/>
                <w:sz w:val="22"/>
              </w:rPr>
            </w:pPr>
            <w:r>
              <w:rPr>
                <w:rFonts w:ascii="Calibri"/>
                <w:spacing w:val="-2"/>
                <w:sz w:val="22"/>
              </w:rPr>
              <w:t>8.932793</w:t>
            </w:r>
          </w:p>
        </w:tc>
      </w:tr>
      <w:tr>
        <w:trPr>
          <w:trHeight w:val="537" w:hRule="atLeast"/>
        </w:trPr>
        <w:tc>
          <w:tcPr>
            <w:tcW w:w="723" w:type="dxa"/>
          </w:tcPr>
          <w:p>
            <w:pPr>
              <w:pStyle w:val="TableParagraph"/>
              <w:spacing w:before="249"/>
              <w:ind w:left="116" w:right="56"/>
              <w:jc w:val="center"/>
              <w:rPr>
                <w:rFonts w:ascii="Calibri"/>
                <w:sz w:val="22"/>
              </w:rPr>
            </w:pPr>
            <w:r>
              <w:rPr>
                <w:rFonts w:ascii="Calibri"/>
                <w:spacing w:val="-4"/>
                <w:sz w:val="22"/>
              </w:rPr>
              <w:t>1986</w:t>
            </w:r>
          </w:p>
        </w:tc>
        <w:tc>
          <w:tcPr>
            <w:tcW w:w="1054" w:type="dxa"/>
          </w:tcPr>
          <w:p>
            <w:pPr>
              <w:pStyle w:val="TableParagraph"/>
              <w:spacing w:before="249"/>
              <w:ind w:left="109"/>
              <w:rPr>
                <w:rFonts w:ascii="Calibri"/>
                <w:sz w:val="22"/>
              </w:rPr>
            </w:pPr>
            <w:r>
              <w:rPr>
                <w:rFonts w:ascii="Calibri"/>
                <w:spacing w:val="-2"/>
                <w:sz w:val="22"/>
              </w:rPr>
              <w:t>8.803651</w:t>
            </w:r>
          </w:p>
        </w:tc>
        <w:tc>
          <w:tcPr>
            <w:tcW w:w="1110" w:type="dxa"/>
          </w:tcPr>
          <w:p>
            <w:pPr>
              <w:pStyle w:val="TableParagraph"/>
              <w:spacing w:before="249"/>
              <w:ind w:right="106"/>
              <w:jc w:val="right"/>
              <w:rPr>
                <w:rFonts w:ascii="Calibri"/>
                <w:sz w:val="22"/>
              </w:rPr>
            </w:pPr>
            <w:r>
              <w:rPr>
                <w:rFonts w:ascii="Calibri"/>
                <w:spacing w:val="-2"/>
                <w:sz w:val="22"/>
              </w:rPr>
              <w:t>5.486911</w:t>
            </w:r>
          </w:p>
        </w:tc>
        <w:tc>
          <w:tcPr>
            <w:tcW w:w="961" w:type="dxa"/>
          </w:tcPr>
          <w:p>
            <w:pPr>
              <w:pStyle w:val="TableParagraph"/>
              <w:spacing w:line="249" w:lineRule="exact"/>
              <w:ind w:right="108"/>
              <w:jc w:val="right"/>
              <w:rPr>
                <w:rFonts w:ascii="Calibri"/>
                <w:sz w:val="22"/>
              </w:rPr>
            </w:pPr>
            <w:r>
              <w:rPr>
                <w:rFonts w:ascii="Calibri"/>
                <w:spacing w:val="-10"/>
                <w:sz w:val="22"/>
              </w:rPr>
              <w:t>-</w:t>
            </w:r>
          </w:p>
          <w:p>
            <w:pPr>
              <w:pStyle w:val="TableParagraph"/>
              <w:ind w:right="107"/>
              <w:jc w:val="right"/>
              <w:rPr>
                <w:rFonts w:ascii="Calibri"/>
                <w:sz w:val="22"/>
              </w:rPr>
            </w:pPr>
            <w:r>
              <w:rPr>
                <w:rFonts w:ascii="Calibri"/>
                <w:spacing w:val="-2"/>
                <w:sz w:val="22"/>
              </w:rPr>
              <w:t>1.53479</w:t>
            </w:r>
          </w:p>
        </w:tc>
        <w:tc>
          <w:tcPr>
            <w:tcW w:w="1055" w:type="dxa"/>
          </w:tcPr>
          <w:p>
            <w:pPr>
              <w:pStyle w:val="TableParagraph"/>
              <w:spacing w:before="249"/>
              <w:ind w:left="107"/>
              <w:rPr>
                <w:rFonts w:ascii="Calibri"/>
                <w:sz w:val="22"/>
              </w:rPr>
            </w:pPr>
            <w:r>
              <w:rPr>
                <w:rFonts w:ascii="Calibri"/>
                <w:spacing w:val="-2"/>
                <w:sz w:val="22"/>
              </w:rPr>
              <w:t>1.686399</w:t>
            </w:r>
          </w:p>
        </w:tc>
        <w:tc>
          <w:tcPr>
            <w:tcW w:w="1055" w:type="dxa"/>
          </w:tcPr>
          <w:p>
            <w:pPr>
              <w:pStyle w:val="TableParagraph"/>
              <w:spacing w:before="249"/>
              <w:ind w:left="106"/>
              <w:rPr>
                <w:rFonts w:ascii="Calibri"/>
                <w:sz w:val="22"/>
              </w:rPr>
            </w:pPr>
            <w:r>
              <w:rPr>
                <w:rFonts w:ascii="Calibri"/>
                <w:spacing w:val="-2"/>
                <w:sz w:val="22"/>
              </w:rPr>
              <w:t>7.993958</w:t>
            </w:r>
          </w:p>
        </w:tc>
        <w:tc>
          <w:tcPr>
            <w:tcW w:w="1055" w:type="dxa"/>
          </w:tcPr>
          <w:p>
            <w:pPr>
              <w:pStyle w:val="TableParagraph"/>
              <w:spacing w:before="249"/>
              <w:ind w:right="111"/>
              <w:jc w:val="right"/>
              <w:rPr>
                <w:rFonts w:ascii="Calibri"/>
                <w:sz w:val="22"/>
              </w:rPr>
            </w:pPr>
            <w:r>
              <w:rPr>
                <w:rFonts w:ascii="Calibri"/>
                <w:spacing w:val="-2"/>
                <w:sz w:val="22"/>
              </w:rPr>
              <w:t>2.251292</w:t>
            </w:r>
          </w:p>
        </w:tc>
        <w:tc>
          <w:tcPr>
            <w:tcW w:w="1070" w:type="dxa"/>
          </w:tcPr>
          <w:p>
            <w:pPr>
              <w:pStyle w:val="TableParagraph"/>
              <w:spacing w:before="249"/>
              <w:ind w:left="13" w:right="10"/>
              <w:jc w:val="center"/>
              <w:rPr>
                <w:rFonts w:ascii="Calibri"/>
                <w:sz w:val="22"/>
              </w:rPr>
            </w:pPr>
            <w:r>
              <w:rPr>
                <w:rFonts w:ascii="Calibri"/>
                <w:spacing w:val="-2"/>
                <w:sz w:val="22"/>
              </w:rPr>
              <w:t>9.632168</w:t>
            </w:r>
          </w:p>
        </w:tc>
        <w:tc>
          <w:tcPr>
            <w:tcW w:w="1055" w:type="dxa"/>
          </w:tcPr>
          <w:p>
            <w:pPr>
              <w:pStyle w:val="TableParagraph"/>
              <w:spacing w:before="249"/>
              <w:ind w:left="102"/>
              <w:rPr>
                <w:rFonts w:ascii="Calibri"/>
                <w:sz w:val="22"/>
              </w:rPr>
            </w:pPr>
            <w:r>
              <w:rPr>
                <w:rFonts w:ascii="Calibri"/>
                <w:spacing w:val="-2"/>
                <w:sz w:val="22"/>
              </w:rPr>
              <w:t>1.321756</w:t>
            </w:r>
          </w:p>
        </w:tc>
        <w:tc>
          <w:tcPr>
            <w:tcW w:w="998" w:type="dxa"/>
          </w:tcPr>
          <w:p>
            <w:pPr>
              <w:pStyle w:val="TableParagraph"/>
              <w:spacing w:before="249"/>
              <w:ind w:right="58"/>
              <w:jc w:val="right"/>
              <w:rPr>
                <w:rFonts w:ascii="Calibri"/>
                <w:sz w:val="22"/>
              </w:rPr>
            </w:pPr>
            <w:r>
              <w:rPr>
                <w:rFonts w:ascii="Calibri"/>
                <w:spacing w:val="-2"/>
                <w:sz w:val="22"/>
              </w:rPr>
              <w:t>8.948573</w:t>
            </w:r>
          </w:p>
        </w:tc>
      </w:tr>
      <w:tr>
        <w:trPr>
          <w:trHeight w:val="537" w:hRule="atLeast"/>
        </w:trPr>
        <w:tc>
          <w:tcPr>
            <w:tcW w:w="723" w:type="dxa"/>
          </w:tcPr>
          <w:p>
            <w:pPr>
              <w:pStyle w:val="TableParagraph"/>
              <w:spacing w:before="249"/>
              <w:ind w:left="116" w:right="56"/>
              <w:jc w:val="center"/>
              <w:rPr>
                <w:rFonts w:ascii="Calibri"/>
                <w:sz w:val="22"/>
              </w:rPr>
            </w:pPr>
            <w:r>
              <w:rPr>
                <w:rFonts w:ascii="Calibri"/>
                <w:spacing w:val="-4"/>
                <w:sz w:val="22"/>
              </w:rPr>
              <w:t>1987</w:t>
            </w:r>
          </w:p>
        </w:tc>
        <w:tc>
          <w:tcPr>
            <w:tcW w:w="1054" w:type="dxa"/>
          </w:tcPr>
          <w:p>
            <w:pPr>
              <w:pStyle w:val="TableParagraph"/>
              <w:spacing w:before="249"/>
              <w:ind w:left="109"/>
              <w:rPr>
                <w:rFonts w:ascii="Calibri"/>
                <w:sz w:val="22"/>
              </w:rPr>
            </w:pPr>
            <w:r>
              <w:rPr>
                <w:rFonts w:ascii="Calibri"/>
                <w:spacing w:val="-2"/>
                <w:sz w:val="22"/>
              </w:rPr>
              <w:t>11.11099</w:t>
            </w:r>
          </w:p>
        </w:tc>
        <w:tc>
          <w:tcPr>
            <w:tcW w:w="1110" w:type="dxa"/>
          </w:tcPr>
          <w:p>
            <w:pPr>
              <w:pStyle w:val="TableParagraph"/>
              <w:spacing w:before="249"/>
              <w:ind w:right="107"/>
              <w:jc w:val="right"/>
              <w:rPr>
                <w:rFonts w:ascii="Calibri"/>
                <w:sz w:val="22"/>
              </w:rPr>
            </w:pPr>
            <w:r>
              <w:rPr>
                <w:rFonts w:ascii="Calibri"/>
                <w:spacing w:val="-2"/>
                <w:sz w:val="22"/>
              </w:rPr>
              <w:t>10.99098</w:t>
            </w:r>
          </w:p>
        </w:tc>
        <w:tc>
          <w:tcPr>
            <w:tcW w:w="961" w:type="dxa"/>
          </w:tcPr>
          <w:p>
            <w:pPr>
              <w:pStyle w:val="TableParagraph"/>
              <w:spacing w:line="249" w:lineRule="exact"/>
              <w:ind w:right="108"/>
              <w:jc w:val="right"/>
              <w:rPr>
                <w:rFonts w:ascii="Calibri"/>
                <w:sz w:val="22"/>
              </w:rPr>
            </w:pPr>
            <w:r>
              <w:rPr>
                <w:rFonts w:ascii="Calibri"/>
                <w:spacing w:val="-10"/>
                <w:sz w:val="22"/>
              </w:rPr>
              <w:t>-</w:t>
            </w:r>
          </w:p>
          <w:p>
            <w:pPr>
              <w:pStyle w:val="TableParagraph"/>
              <w:ind w:right="107"/>
              <w:jc w:val="right"/>
              <w:rPr>
                <w:rFonts w:ascii="Calibri"/>
                <w:sz w:val="22"/>
              </w:rPr>
            </w:pPr>
            <w:r>
              <w:rPr>
                <w:rFonts w:ascii="Calibri"/>
                <w:spacing w:val="-2"/>
                <w:sz w:val="22"/>
              </w:rPr>
              <w:t>0.78023</w:t>
            </w:r>
          </w:p>
        </w:tc>
        <w:tc>
          <w:tcPr>
            <w:tcW w:w="1055" w:type="dxa"/>
          </w:tcPr>
          <w:p>
            <w:pPr>
              <w:pStyle w:val="TableParagraph"/>
              <w:spacing w:before="249"/>
              <w:ind w:left="107"/>
              <w:rPr>
                <w:rFonts w:ascii="Calibri"/>
                <w:sz w:val="22"/>
              </w:rPr>
            </w:pPr>
            <w:r>
              <w:rPr>
                <w:rFonts w:ascii="Calibri"/>
                <w:spacing w:val="-2"/>
                <w:sz w:val="22"/>
              </w:rPr>
              <w:t>2.322388</w:t>
            </w:r>
          </w:p>
        </w:tc>
        <w:tc>
          <w:tcPr>
            <w:tcW w:w="1055" w:type="dxa"/>
          </w:tcPr>
          <w:p>
            <w:pPr>
              <w:pStyle w:val="TableParagraph"/>
              <w:spacing w:before="249"/>
              <w:ind w:left="106"/>
              <w:rPr>
                <w:rFonts w:ascii="Calibri"/>
                <w:sz w:val="22"/>
              </w:rPr>
            </w:pPr>
            <w:r>
              <w:rPr>
                <w:rFonts w:ascii="Calibri"/>
                <w:spacing w:val="-2"/>
                <w:sz w:val="22"/>
              </w:rPr>
              <w:t>7.944882</w:t>
            </w:r>
          </w:p>
        </w:tc>
        <w:tc>
          <w:tcPr>
            <w:tcW w:w="1055" w:type="dxa"/>
          </w:tcPr>
          <w:p>
            <w:pPr>
              <w:pStyle w:val="TableParagraph"/>
              <w:spacing w:before="249"/>
              <w:ind w:right="111"/>
              <w:jc w:val="right"/>
              <w:rPr>
                <w:rFonts w:ascii="Calibri"/>
                <w:sz w:val="22"/>
              </w:rPr>
            </w:pPr>
            <w:r>
              <w:rPr>
                <w:rFonts w:ascii="Calibri"/>
                <w:spacing w:val="-2"/>
                <w:sz w:val="22"/>
              </w:rPr>
              <w:t>2.639057</w:t>
            </w:r>
          </w:p>
        </w:tc>
        <w:tc>
          <w:tcPr>
            <w:tcW w:w="1070" w:type="dxa"/>
          </w:tcPr>
          <w:p>
            <w:pPr>
              <w:pStyle w:val="TableParagraph"/>
              <w:spacing w:before="249"/>
              <w:ind w:left="13" w:right="10"/>
              <w:jc w:val="center"/>
              <w:rPr>
                <w:rFonts w:ascii="Calibri"/>
                <w:sz w:val="22"/>
              </w:rPr>
            </w:pPr>
            <w:r>
              <w:rPr>
                <w:rFonts w:ascii="Calibri"/>
                <w:spacing w:val="-2"/>
                <w:sz w:val="22"/>
              </w:rPr>
              <w:t>9.956222</w:t>
            </w:r>
          </w:p>
        </w:tc>
        <w:tc>
          <w:tcPr>
            <w:tcW w:w="1055" w:type="dxa"/>
          </w:tcPr>
          <w:p>
            <w:pPr>
              <w:pStyle w:val="TableParagraph"/>
              <w:spacing w:before="249"/>
              <w:ind w:left="102"/>
              <w:rPr>
                <w:rFonts w:ascii="Calibri"/>
                <w:sz w:val="22"/>
              </w:rPr>
            </w:pPr>
            <w:r>
              <w:rPr>
                <w:rFonts w:ascii="Calibri"/>
                <w:spacing w:val="-2"/>
                <w:sz w:val="22"/>
              </w:rPr>
              <w:t>2.366498</w:t>
            </w:r>
          </w:p>
        </w:tc>
        <w:tc>
          <w:tcPr>
            <w:tcW w:w="998" w:type="dxa"/>
          </w:tcPr>
          <w:p>
            <w:pPr>
              <w:pStyle w:val="TableParagraph"/>
              <w:spacing w:before="249"/>
              <w:ind w:right="58"/>
              <w:jc w:val="right"/>
              <w:rPr>
                <w:rFonts w:ascii="Calibri"/>
                <w:sz w:val="22"/>
              </w:rPr>
            </w:pPr>
            <w:r>
              <w:rPr>
                <w:rFonts w:ascii="Calibri"/>
                <w:spacing w:val="-2"/>
                <w:sz w:val="22"/>
              </w:rPr>
              <w:t>9.657983</w:t>
            </w:r>
          </w:p>
        </w:tc>
      </w:tr>
      <w:tr>
        <w:trPr>
          <w:trHeight w:val="537" w:hRule="atLeast"/>
        </w:trPr>
        <w:tc>
          <w:tcPr>
            <w:tcW w:w="723" w:type="dxa"/>
          </w:tcPr>
          <w:p>
            <w:pPr>
              <w:pStyle w:val="TableParagraph"/>
              <w:spacing w:line="267" w:lineRule="exact" w:before="249"/>
              <w:ind w:left="116" w:right="56"/>
              <w:jc w:val="center"/>
              <w:rPr>
                <w:rFonts w:ascii="Calibri"/>
                <w:sz w:val="22"/>
              </w:rPr>
            </w:pPr>
            <w:r>
              <w:rPr>
                <w:rFonts w:ascii="Calibri"/>
                <w:spacing w:val="-4"/>
                <w:sz w:val="22"/>
              </w:rPr>
              <w:t>1988</w:t>
            </w:r>
          </w:p>
        </w:tc>
        <w:tc>
          <w:tcPr>
            <w:tcW w:w="1054" w:type="dxa"/>
          </w:tcPr>
          <w:p>
            <w:pPr>
              <w:pStyle w:val="TableParagraph"/>
              <w:spacing w:line="267" w:lineRule="exact" w:before="249"/>
              <w:ind w:left="109"/>
              <w:rPr>
                <w:rFonts w:ascii="Calibri"/>
                <w:sz w:val="22"/>
              </w:rPr>
            </w:pPr>
            <w:r>
              <w:rPr>
                <w:rFonts w:ascii="Calibri"/>
                <w:spacing w:val="-2"/>
                <w:sz w:val="22"/>
              </w:rPr>
              <w:t>10.55346</w:t>
            </w:r>
          </w:p>
        </w:tc>
        <w:tc>
          <w:tcPr>
            <w:tcW w:w="1110" w:type="dxa"/>
          </w:tcPr>
          <w:p>
            <w:pPr>
              <w:pStyle w:val="TableParagraph"/>
              <w:spacing w:line="267" w:lineRule="exact" w:before="249"/>
              <w:ind w:right="107"/>
              <w:jc w:val="right"/>
              <w:rPr>
                <w:rFonts w:ascii="Calibri"/>
                <w:sz w:val="22"/>
              </w:rPr>
            </w:pPr>
            <w:r>
              <w:rPr>
                <w:rFonts w:ascii="Calibri"/>
                <w:spacing w:val="-2"/>
                <w:sz w:val="22"/>
              </w:rPr>
              <w:t>10.40932</w:t>
            </w:r>
          </w:p>
        </w:tc>
        <w:tc>
          <w:tcPr>
            <w:tcW w:w="961" w:type="dxa"/>
          </w:tcPr>
          <w:p>
            <w:pPr>
              <w:pStyle w:val="TableParagraph"/>
              <w:spacing w:line="249" w:lineRule="exact"/>
              <w:ind w:right="108"/>
              <w:jc w:val="right"/>
              <w:rPr>
                <w:rFonts w:ascii="Calibri"/>
                <w:sz w:val="22"/>
              </w:rPr>
            </w:pPr>
            <w:r>
              <w:rPr>
                <w:rFonts w:ascii="Calibri"/>
                <w:spacing w:val="-10"/>
                <w:sz w:val="22"/>
              </w:rPr>
              <w:t>-</w:t>
            </w:r>
          </w:p>
          <w:p>
            <w:pPr>
              <w:pStyle w:val="TableParagraph"/>
              <w:spacing w:line="267" w:lineRule="exact" w:before="1"/>
              <w:ind w:right="107"/>
              <w:jc w:val="right"/>
              <w:rPr>
                <w:rFonts w:ascii="Calibri"/>
                <w:sz w:val="22"/>
              </w:rPr>
            </w:pPr>
            <w:r>
              <w:rPr>
                <w:rFonts w:ascii="Calibri"/>
                <w:spacing w:val="-2"/>
                <w:sz w:val="22"/>
              </w:rPr>
              <w:t>0.97154</w:t>
            </w:r>
          </w:p>
        </w:tc>
        <w:tc>
          <w:tcPr>
            <w:tcW w:w="1055" w:type="dxa"/>
          </w:tcPr>
          <w:p>
            <w:pPr>
              <w:pStyle w:val="TableParagraph"/>
              <w:spacing w:line="267" w:lineRule="exact" w:before="249"/>
              <w:ind w:right="108"/>
              <w:jc w:val="right"/>
              <w:rPr>
                <w:rFonts w:ascii="Calibri"/>
                <w:sz w:val="22"/>
              </w:rPr>
            </w:pPr>
            <w:r>
              <w:rPr>
                <w:rFonts w:ascii="Calibri"/>
                <w:spacing w:val="-2"/>
                <w:sz w:val="22"/>
              </w:rPr>
              <w:t>3.64545</w:t>
            </w:r>
          </w:p>
        </w:tc>
        <w:tc>
          <w:tcPr>
            <w:tcW w:w="1055" w:type="dxa"/>
          </w:tcPr>
          <w:p>
            <w:pPr>
              <w:pStyle w:val="TableParagraph"/>
              <w:spacing w:line="267" w:lineRule="exact" w:before="249"/>
              <w:ind w:left="106"/>
              <w:rPr>
                <w:rFonts w:ascii="Calibri"/>
                <w:sz w:val="22"/>
              </w:rPr>
            </w:pPr>
            <w:r>
              <w:rPr>
                <w:rFonts w:ascii="Calibri"/>
                <w:spacing w:val="-2"/>
                <w:sz w:val="22"/>
              </w:rPr>
              <w:t>6.490572</w:t>
            </w:r>
          </w:p>
        </w:tc>
        <w:tc>
          <w:tcPr>
            <w:tcW w:w="1055" w:type="dxa"/>
          </w:tcPr>
          <w:p>
            <w:pPr>
              <w:pStyle w:val="TableParagraph"/>
              <w:spacing w:line="267" w:lineRule="exact" w:before="249"/>
              <w:ind w:right="111"/>
              <w:jc w:val="right"/>
              <w:rPr>
                <w:rFonts w:ascii="Calibri"/>
                <w:sz w:val="22"/>
              </w:rPr>
            </w:pPr>
            <w:r>
              <w:rPr>
                <w:rFonts w:ascii="Calibri"/>
                <w:spacing w:val="-2"/>
                <w:sz w:val="22"/>
              </w:rPr>
              <w:t>2.674149</w:t>
            </w:r>
          </w:p>
        </w:tc>
        <w:tc>
          <w:tcPr>
            <w:tcW w:w="1070" w:type="dxa"/>
          </w:tcPr>
          <w:p>
            <w:pPr>
              <w:pStyle w:val="TableParagraph"/>
              <w:spacing w:line="267" w:lineRule="exact" w:before="249"/>
              <w:ind w:left="13" w:right="10"/>
              <w:jc w:val="center"/>
              <w:rPr>
                <w:rFonts w:ascii="Calibri"/>
                <w:sz w:val="22"/>
              </w:rPr>
            </w:pPr>
            <w:r>
              <w:rPr>
                <w:rFonts w:ascii="Calibri"/>
                <w:spacing w:val="-2"/>
                <w:sz w:val="22"/>
              </w:rPr>
              <w:t>10.21561</w:t>
            </w:r>
          </w:p>
        </w:tc>
        <w:tc>
          <w:tcPr>
            <w:tcW w:w="1055" w:type="dxa"/>
          </w:tcPr>
          <w:p>
            <w:pPr>
              <w:pStyle w:val="TableParagraph"/>
              <w:spacing w:line="267" w:lineRule="exact" w:before="249"/>
              <w:ind w:left="102"/>
              <w:rPr>
                <w:rFonts w:ascii="Calibri"/>
                <w:sz w:val="22"/>
              </w:rPr>
            </w:pPr>
            <w:r>
              <w:rPr>
                <w:rFonts w:ascii="Calibri"/>
                <w:spacing w:val="-2"/>
                <w:sz w:val="22"/>
              </w:rPr>
              <w:t>2.091864</w:t>
            </w:r>
          </w:p>
        </w:tc>
        <w:tc>
          <w:tcPr>
            <w:tcW w:w="998" w:type="dxa"/>
          </w:tcPr>
          <w:p>
            <w:pPr>
              <w:pStyle w:val="TableParagraph"/>
              <w:spacing w:line="267" w:lineRule="exact" w:before="249"/>
              <w:ind w:right="58"/>
              <w:jc w:val="right"/>
              <w:rPr>
                <w:rFonts w:ascii="Calibri"/>
                <w:sz w:val="22"/>
              </w:rPr>
            </w:pPr>
            <w:r>
              <w:rPr>
                <w:rFonts w:ascii="Calibri"/>
                <w:spacing w:val="-2"/>
                <w:sz w:val="22"/>
              </w:rPr>
              <w:t>9.873513</w:t>
            </w:r>
          </w:p>
        </w:tc>
      </w:tr>
      <w:tr>
        <w:trPr>
          <w:trHeight w:val="536" w:hRule="atLeast"/>
        </w:trPr>
        <w:tc>
          <w:tcPr>
            <w:tcW w:w="723" w:type="dxa"/>
          </w:tcPr>
          <w:p>
            <w:pPr>
              <w:pStyle w:val="TableParagraph"/>
              <w:spacing w:before="247"/>
              <w:ind w:left="116" w:right="56"/>
              <w:jc w:val="center"/>
              <w:rPr>
                <w:rFonts w:ascii="Calibri"/>
                <w:sz w:val="22"/>
              </w:rPr>
            </w:pPr>
            <w:r>
              <w:rPr>
                <w:rFonts w:ascii="Calibri"/>
                <w:spacing w:val="-4"/>
                <w:sz w:val="22"/>
              </w:rPr>
              <w:t>1989</w:t>
            </w:r>
          </w:p>
        </w:tc>
        <w:tc>
          <w:tcPr>
            <w:tcW w:w="1054" w:type="dxa"/>
          </w:tcPr>
          <w:p>
            <w:pPr>
              <w:pStyle w:val="TableParagraph"/>
              <w:spacing w:before="247"/>
              <w:ind w:left="109"/>
              <w:rPr>
                <w:rFonts w:ascii="Calibri"/>
                <w:sz w:val="22"/>
              </w:rPr>
            </w:pPr>
            <w:r>
              <w:rPr>
                <w:rFonts w:ascii="Calibri"/>
                <w:spacing w:val="-2"/>
                <w:sz w:val="22"/>
              </w:rPr>
              <w:t>11.55985</w:t>
            </w:r>
          </w:p>
        </w:tc>
        <w:tc>
          <w:tcPr>
            <w:tcW w:w="1110" w:type="dxa"/>
          </w:tcPr>
          <w:p>
            <w:pPr>
              <w:pStyle w:val="TableParagraph"/>
              <w:spacing w:before="247"/>
              <w:ind w:right="107"/>
              <w:jc w:val="right"/>
              <w:rPr>
                <w:rFonts w:ascii="Calibri"/>
                <w:sz w:val="22"/>
              </w:rPr>
            </w:pPr>
            <w:r>
              <w:rPr>
                <w:rFonts w:ascii="Calibri"/>
                <w:spacing w:val="-2"/>
                <w:sz w:val="22"/>
              </w:rPr>
              <w:t>11.57531</w:t>
            </w:r>
          </w:p>
        </w:tc>
        <w:tc>
          <w:tcPr>
            <w:tcW w:w="961" w:type="dxa"/>
          </w:tcPr>
          <w:p>
            <w:pPr>
              <w:pStyle w:val="TableParagraph"/>
              <w:spacing w:line="247" w:lineRule="exact"/>
              <w:ind w:right="108"/>
              <w:jc w:val="right"/>
              <w:rPr>
                <w:rFonts w:ascii="Calibri"/>
                <w:sz w:val="22"/>
              </w:rPr>
            </w:pPr>
            <w:r>
              <w:rPr>
                <w:rFonts w:ascii="Calibri"/>
                <w:spacing w:val="-10"/>
                <w:sz w:val="22"/>
              </w:rPr>
              <w:t>-</w:t>
            </w:r>
          </w:p>
          <w:p>
            <w:pPr>
              <w:pStyle w:val="TableParagraph"/>
              <w:ind w:right="107"/>
              <w:jc w:val="right"/>
              <w:rPr>
                <w:rFonts w:ascii="Calibri"/>
                <w:sz w:val="22"/>
              </w:rPr>
            </w:pPr>
            <w:r>
              <w:rPr>
                <w:rFonts w:ascii="Calibri"/>
                <w:spacing w:val="-2"/>
                <w:sz w:val="22"/>
              </w:rPr>
              <w:t>0.89233</w:t>
            </w:r>
          </w:p>
        </w:tc>
        <w:tc>
          <w:tcPr>
            <w:tcW w:w="1055" w:type="dxa"/>
          </w:tcPr>
          <w:p>
            <w:pPr>
              <w:pStyle w:val="TableParagraph"/>
              <w:spacing w:before="247"/>
              <w:ind w:right="108"/>
              <w:jc w:val="right"/>
              <w:rPr>
                <w:rFonts w:ascii="Calibri"/>
                <w:sz w:val="22"/>
              </w:rPr>
            </w:pPr>
            <w:r>
              <w:rPr>
                <w:rFonts w:ascii="Calibri"/>
                <w:spacing w:val="-2"/>
                <w:sz w:val="22"/>
              </w:rPr>
              <w:t>3.71113</w:t>
            </w:r>
          </w:p>
        </w:tc>
        <w:tc>
          <w:tcPr>
            <w:tcW w:w="1055" w:type="dxa"/>
          </w:tcPr>
          <w:p>
            <w:pPr>
              <w:pStyle w:val="TableParagraph"/>
              <w:spacing w:before="247"/>
              <w:ind w:left="106"/>
              <w:rPr>
                <w:rFonts w:ascii="Calibri"/>
                <w:sz w:val="22"/>
              </w:rPr>
            </w:pPr>
            <w:r>
              <w:rPr>
                <w:rFonts w:ascii="Calibri"/>
                <w:spacing w:val="-2"/>
                <w:sz w:val="22"/>
              </w:rPr>
              <w:t>9.134895</w:t>
            </w:r>
          </w:p>
        </w:tc>
        <w:tc>
          <w:tcPr>
            <w:tcW w:w="1055" w:type="dxa"/>
          </w:tcPr>
          <w:p>
            <w:pPr>
              <w:pStyle w:val="TableParagraph"/>
              <w:spacing w:before="247"/>
              <w:ind w:right="111"/>
              <w:jc w:val="right"/>
              <w:rPr>
                <w:rFonts w:ascii="Calibri"/>
                <w:sz w:val="22"/>
              </w:rPr>
            </w:pPr>
            <w:r>
              <w:rPr>
                <w:rFonts w:ascii="Calibri"/>
                <w:spacing w:val="-2"/>
                <w:sz w:val="22"/>
              </w:rPr>
              <w:t>2.797281</w:t>
            </w:r>
          </w:p>
        </w:tc>
        <w:tc>
          <w:tcPr>
            <w:tcW w:w="1070" w:type="dxa"/>
          </w:tcPr>
          <w:p>
            <w:pPr>
              <w:pStyle w:val="TableParagraph"/>
              <w:spacing w:before="247"/>
              <w:ind w:left="123" w:right="10"/>
              <w:jc w:val="center"/>
              <w:rPr>
                <w:rFonts w:ascii="Calibri"/>
                <w:sz w:val="22"/>
              </w:rPr>
            </w:pPr>
            <w:r>
              <w:rPr>
                <w:rFonts w:ascii="Calibri"/>
                <w:spacing w:val="-2"/>
                <w:sz w:val="22"/>
              </w:rPr>
              <w:t>10.3223</w:t>
            </w:r>
          </w:p>
        </w:tc>
        <w:tc>
          <w:tcPr>
            <w:tcW w:w="1055" w:type="dxa"/>
          </w:tcPr>
          <w:p>
            <w:pPr>
              <w:pStyle w:val="TableParagraph"/>
              <w:spacing w:before="247"/>
              <w:ind w:right="113"/>
              <w:jc w:val="right"/>
              <w:rPr>
                <w:rFonts w:ascii="Calibri"/>
                <w:sz w:val="22"/>
              </w:rPr>
            </w:pPr>
            <w:r>
              <w:rPr>
                <w:rFonts w:ascii="Calibri"/>
                <w:spacing w:val="-2"/>
                <w:sz w:val="22"/>
              </w:rPr>
              <w:t>2.61007</w:t>
            </w:r>
          </w:p>
        </w:tc>
        <w:tc>
          <w:tcPr>
            <w:tcW w:w="998" w:type="dxa"/>
          </w:tcPr>
          <w:p>
            <w:pPr>
              <w:pStyle w:val="TableParagraph"/>
              <w:spacing w:before="247"/>
              <w:ind w:right="58"/>
              <w:jc w:val="right"/>
              <w:rPr>
                <w:rFonts w:ascii="Calibri"/>
                <w:sz w:val="22"/>
              </w:rPr>
            </w:pPr>
            <w:r>
              <w:rPr>
                <w:rFonts w:ascii="Calibri"/>
                <w:spacing w:val="-2"/>
                <w:sz w:val="22"/>
              </w:rPr>
              <w:t>10.16563</w:t>
            </w:r>
          </w:p>
        </w:tc>
      </w:tr>
      <w:tr>
        <w:trPr>
          <w:trHeight w:val="537" w:hRule="atLeast"/>
        </w:trPr>
        <w:tc>
          <w:tcPr>
            <w:tcW w:w="723" w:type="dxa"/>
          </w:tcPr>
          <w:p>
            <w:pPr>
              <w:pStyle w:val="TableParagraph"/>
              <w:spacing w:before="249"/>
              <w:ind w:left="116" w:right="56"/>
              <w:jc w:val="center"/>
              <w:rPr>
                <w:rFonts w:ascii="Calibri"/>
                <w:sz w:val="22"/>
              </w:rPr>
            </w:pPr>
            <w:r>
              <w:rPr>
                <w:rFonts w:ascii="Calibri"/>
                <w:spacing w:val="-4"/>
                <w:sz w:val="22"/>
              </w:rPr>
              <w:t>1990</w:t>
            </w:r>
          </w:p>
        </w:tc>
        <w:tc>
          <w:tcPr>
            <w:tcW w:w="1054" w:type="dxa"/>
          </w:tcPr>
          <w:p>
            <w:pPr>
              <w:pStyle w:val="TableParagraph"/>
              <w:spacing w:before="249"/>
              <w:ind w:left="109"/>
              <w:rPr>
                <w:rFonts w:ascii="Calibri"/>
                <w:sz w:val="22"/>
              </w:rPr>
            </w:pPr>
            <w:r>
              <w:rPr>
                <w:rFonts w:ascii="Calibri"/>
                <w:spacing w:val="-2"/>
                <w:sz w:val="22"/>
              </w:rPr>
              <w:t>11.16346</w:t>
            </w:r>
          </w:p>
        </w:tc>
        <w:tc>
          <w:tcPr>
            <w:tcW w:w="1110" w:type="dxa"/>
          </w:tcPr>
          <w:p>
            <w:pPr>
              <w:pStyle w:val="TableParagraph"/>
              <w:spacing w:before="249"/>
              <w:ind w:right="106"/>
              <w:jc w:val="right"/>
              <w:rPr>
                <w:rFonts w:ascii="Calibri"/>
                <w:sz w:val="22"/>
              </w:rPr>
            </w:pPr>
            <w:r>
              <w:rPr>
                <w:rFonts w:ascii="Calibri"/>
                <w:spacing w:val="-2"/>
                <w:sz w:val="22"/>
              </w:rPr>
              <w:t>10.972</w:t>
            </w:r>
          </w:p>
        </w:tc>
        <w:tc>
          <w:tcPr>
            <w:tcW w:w="961" w:type="dxa"/>
          </w:tcPr>
          <w:p>
            <w:pPr>
              <w:pStyle w:val="TableParagraph"/>
              <w:spacing w:line="249" w:lineRule="exact"/>
              <w:ind w:right="108"/>
              <w:jc w:val="right"/>
              <w:rPr>
                <w:rFonts w:ascii="Calibri"/>
                <w:sz w:val="22"/>
              </w:rPr>
            </w:pPr>
            <w:r>
              <w:rPr>
                <w:rFonts w:ascii="Calibri"/>
                <w:spacing w:val="-10"/>
                <w:sz w:val="22"/>
              </w:rPr>
              <w:t>-</w:t>
            </w:r>
          </w:p>
          <w:p>
            <w:pPr>
              <w:pStyle w:val="TableParagraph"/>
              <w:ind w:right="107"/>
              <w:jc w:val="right"/>
              <w:rPr>
                <w:rFonts w:ascii="Calibri"/>
                <w:sz w:val="22"/>
              </w:rPr>
            </w:pPr>
            <w:r>
              <w:rPr>
                <w:rFonts w:ascii="Calibri"/>
                <w:spacing w:val="-2"/>
                <w:sz w:val="22"/>
              </w:rPr>
              <w:t>0.54197</w:t>
            </w:r>
          </w:p>
        </w:tc>
        <w:tc>
          <w:tcPr>
            <w:tcW w:w="1055" w:type="dxa"/>
          </w:tcPr>
          <w:p>
            <w:pPr>
              <w:pStyle w:val="TableParagraph"/>
              <w:spacing w:before="249"/>
              <w:ind w:left="107"/>
              <w:rPr>
                <w:rFonts w:ascii="Calibri"/>
                <w:sz w:val="22"/>
              </w:rPr>
            </w:pPr>
            <w:r>
              <w:rPr>
                <w:rFonts w:ascii="Calibri"/>
                <w:spacing w:val="-2"/>
                <w:sz w:val="22"/>
              </w:rPr>
              <w:t>2.014903</w:t>
            </w:r>
          </w:p>
        </w:tc>
        <w:tc>
          <w:tcPr>
            <w:tcW w:w="1055" w:type="dxa"/>
          </w:tcPr>
          <w:p>
            <w:pPr>
              <w:pStyle w:val="TableParagraph"/>
              <w:spacing w:before="249"/>
              <w:ind w:left="106"/>
              <w:rPr>
                <w:rFonts w:ascii="Calibri"/>
                <w:sz w:val="22"/>
              </w:rPr>
            </w:pPr>
            <w:r>
              <w:rPr>
                <w:rFonts w:ascii="Calibri"/>
                <w:spacing w:val="-2"/>
                <w:sz w:val="22"/>
              </w:rPr>
              <w:t>9.532119</w:t>
            </w:r>
          </w:p>
        </w:tc>
        <w:tc>
          <w:tcPr>
            <w:tcW w:w="1055" w:type="dxa"/>
          </w:tcPr>
          <w:p>
            <w:pPr>
              <w:pStyle w:val="TableParagraph"/>
              <w:spacing w:before="249"/>
              <w:ind w:right="111"/>
              <w:jc w:val="right"/>
              <w:rPr>
                <w:rFonts w:ascii="Calibri"/>
                <w:sz w:val="22"/>
              </w:rPr>
            </w:pPr>
            <w:r>
              <w:rPr>
                <w:rFonts w:ascii="Calibri"/>
                <w:spacing w:val="-2"/>
                <w:sz w:val="22"/>
              </w:rPr>
              <w:t>2.933857</w:t>
            </w:r>
          </w:p>
        </w:tc>
        <w:tc>
          <w:tcPr>
            <w:tcW w:w="1070" w:type="dxa"/>
          </w:tcPr>
          <w:p>
            <w:pPr>
              <w:pStyle w:val="TableParagraph"/>
              <w:spacing w:before="249"/>
              <w:ind w:left="13" w:right="10"/>
              <w:jc w:val="center"/>
              <w:rPr>
                <w:rFonts w:ascii="Calibri"/>
                <w:sz w:val="22"/>
              </w:rPr>
            </w:pPr>
            <w:r>
              <w:rPr>
                <w:rFonts w:ascii="Calibri"/>
                <w:spacing w:val="-2"/>
                <w:sz w:val="22"/>
              </w:rPr>
              <w:t>10.42072</w:t>
            </w:r>
          </w:p>
        </w:tc>
        <w:tc>
          <w:tcPr>
            <w:tcW w:w="1055" w:type="dxa"/>
          </w:tcPr>
          <w:p>
            <w:pPr>
              <w:pStyle w:val="TableParagraph"/>
              <w:spacing w:before="249"/>
              <w:ind w:left="102"/>
              <w:rPr>
                <w:rFonts w:ascii="Calibri"/>
                <w:sz w:val="22"/>
              </w:rPr>
            </w:pPr>
            <w:r>
              <w:rPr>
                <w:rFonts w:ascii="Calibri"/>
                <w:spacing w:val="-2"/>
                <w:sz w:val="22"/>
              </w:rPr>
              <w:t>2.873565</w:t>
            </w:r>
          </w:p>
        </w:tc>
        <w:tc>
          <w:tcPr>
            <w:tcW w:w="998" w:type="dxa"/>
          </w:tcPr>
          <w:p>
            <w:pPr>
              <w:pStyle w:val="TableParagraph"/>
              <w:spacing w:before="249"/>
              <w:ind w:right="58"/>
              <w:jc w:val="right"/>
              <w:rPr>
                <w:rFonts w:ascii="Calibri"/>
                <w:sz w:val="22"/>
              </w:rPr>
            </w:pPr>
            <w:r>
              <w:rPr>
                <w:rFonts w:ascii="Calibri"/>
                <w:spacing w:val="-2"/>
                <w:sz w:val="22"/>
              </w:rPr>
              <w:t>10.49736</w:t>
            </w:r>
          </w:p>
        </w:tc>
      </w:tr>
      <w:tr>
        <w:trPr>
          <w:trHeight w:val="537" w:hRule="atLeast"/>
        </w:trPr>
        <w:tc>
          <w:tcPr>
            <w:tcW w:w="723" w:type="dxa"/>
          </w:tcPr>
          <w:p>
            <w:pPr>
              <w:pStyle w:val="TableParagraph"/>
              <w:spacing w:before="249"/>
              <w:ind w:left="116" w:right="56"/>
              <w:jc w:val="center"/>
              <w:rPr>
                <w:rFonts w:ascii="Calibri"/>
                <w:sz w:val="22"/>
              </w:rPr>
            </w:pPr>
            <w:r>
              <w:rPr>
                <w:rFonts w:ascii="Calibri"/>
                <w:spacing w:val="-4"/>
                <w:sz w:val="22"/>
              </w:rPr>
              <w:t>1991</w:t>
            </w:r>
          </w:p>
        </w:tc>
        <w:tc>
          <w:tcPr>
            <w:tcW w:w="1054" w:type="dxa"/>
          </w:tcPr>
          <w:p>
            <w:pPr>
              <w:pStyle w:val="TableParagraph"/>
              <w:spacing w:before="249"/>
              <w:ind w:right="105"/>
              <w:jc w:val="right"/>
              <w:rPr>
                <w:rFonts w:ascii="Calibri"/>
                <w:sz w:val="22"/>
              </w:rPr>
            </w:pPr>
            <w:r>
              <w:rPr>
                <w:rFonts w:ascii="Calibri"/>
                <w:spacing w:val="-2"/>
                <w:sz w:val="22"/>
              </w:rPr>
              <w:t>10.4135</w:t>
            </w:r>
          </w:p>
        </w:tc>
        <w:tc>
          <w:tcPr>
            <w:tcW w:w="1110" w:type="dxa"/>
          </w:tcPr>
          <w:p>
            <w:pPr>
              <w:pStyle w:val="TableParagraph"/>
              <w:spacing w:before="249"/>
              <w:ind w:right="107"/>
              <w:jc w:val="right"/>
              <w:rPr>
                <w:rFonts w:ascii="Calibri"/>
                <w:sz w:val="22"/>
              </w:rPr>
            </w:pPr>
            <w:r>
              <w:rPr>
                <w:rFonts w:ascii="Calibri"/>
                <w:spacing w:val="-2"/>
                <w:sz w:val="22"/>
              </w:rPr>
              <w:t>10.30358</w:t>
            </w:r>
          </w:p>
        </w:tc>
        <w:tc>
          <w:tcPr>
            <w:tcW w:w="961" w:type="dxa"/>
          </w:tcPr>
          <w:p>
            <w:pPr>
              <w:pStyle w:val="TableParagraph"/>
              <w:spacing w:line="249" w:lineRule="exact"/>
              <w:ind w:right="108"/>
              <w:jc w:val="right"/>
              <w:rPr>
                <w:rFonts w:ascii="Calibri"/>
                <w:sz w:val="22"/>
              </w:rPr>
            </w:pPr>
            <w:r>
              <w:rPr>
                <w:rFonts w:ascii="Calibri"/>
                <w:spacing w:val="-10"/>
                <w:sz w:val="22"/>
              </w:rPr>
              <w:t>-</w:t>
            </w:r>
          </w:p>
          <w:p>
            <w:pPr>
              <w:pStyle w:val="TableParagraph"/>
              <w:ind w:right="107"/>
              <w:jc w:val="right"/>
              <w:rPr>
                <w:rFonts w:ascii="Calibri"/>
                <w:sz w:val="22"/>
              </w:rPr>
            </w:pPr>
            <w:r>
              <w:rPr>
                <w:rFonts w:ascii="Calibri"/>
                <w:spacing w:val="-2"/>
                <w:sz w:val="22"/>
              </w:rPr>
              <w:t>0.39141</w:t>
            </w:r>
          </w:p>
        </w:tc>
        <w:tc>
          <w:tcPr>
            <w:tcW w:w="1055" w:type="dxa"/>
          </w:tcPr>
          <w:p>
            <w:pPr>
              <w:pStyle w:val="TableParagraph"/>
              <w:spacing w:before="249"/>
              <w:ind w:left="107"/>
              <w:rPr>
                <w:rFonts w:ascii="Calibri"/>
                <w:sz w:val="22"/>
              </w:rPr>
            </w:pPr>
            <w:r>
              <w:rPr>
                <w:rFonts w:ascii="Calibri"/>
                <w:spacing w:val="-2"/>
                <w:sz w:val="22"/>
              </w:rPr>
              <w:t>2.564949</w:t>
            </w:r>
          </w:p>
        </w:tc>
        <w:tc>
          <w:tcPr>
            <w:tcW w:w="1055" w:type="dxa"/>
          </w:tcPr>
          <w:p>
            <w:pPr>
              <w:pStyle w:val="TableParagraph"/>
              <w:spacing w:before="249"/>
              <w:ind w:left="106"/>
              <w:rPr>
                <w:rFonts w:ascii="Calibri"/>
                <w:sz w:val="22"/>
              </w:rPr>
            </w:pPr>
            <w:r>
              <w:rPr>
                <w:rFonts w:ascii="Calibri"/>
                <w:spacing w:val="-2"/>
                <w:sz w:val="22"/>
              </w:rPr>
              <w:t>8.569577</w:t>
            </w:r>
          </w:p>
        </w:tc>
        <w:tc>
          <w:tcPr>
            <w:tcW w:w="1055" w:type="dxa"/>
          </w:tcPr>
          <w:p>
            <w:pPr>
              <w:pStyle w:val="TableParagraph"/>
              <w:spacing w:before="249"/>
              <w:ind w:right="111"/>
              <w:jc w:val="right"/>
              <w:rPr>
                <w:rFonts w:ascii="Calibri"/>
                <w:sz w:val="22"/>
              </w:rPr>
            </w:pPr>
            <w:r>
              <w:rPr>
                <w:rFonts w:ascii="Calibri"/>
                <w:spacing w:val="-2"/>
                <w:sz w:val="22"/>
              </w:rPr>
              <w:t>2.65956</w:t>
            </w:r>
          </w:p>
        </w:tc>
        <w:tc>
          <w:tcPr>
            <w:tcW w:w="1070" w:type="dxa"/>
          </w:tcPr>
          <w:p>
            <w:pPr>
              <w:pStyle w:val="TableParagraph"/>
              <w:spacing w:before="249"/>
              <w:ind w:left="13" w:right="10"/>
              <w:jc w:val="center"/>
              <w:rPr>
                <w:rFonts w:ascii="Calibri"/>
                <w:sz w:val="22"/>
              </w:rPr>
            </w:pPr>
            <w:r>
              <w:rPr>
                <w:rFonts w:ascii="Calibri"/>
                <w:spacing w:val="-2"/>
                <w:sz w:val="22"/>
              </w:rPr>
              <w:t>10.62989</w:t>
            </w:r>
          </w:p>
        </w:tc>
        <w:tc>
          <w:tcPr>
            <w:tcW w:w="1055" w:type="dxa"/>
          </w:tcPr>
          <w:p>
            <w:pPr>
              <w:pStyle w:val="TableParagraph"/>
              <w:spacing w:before="249"/>
              <w:ind w:left="102"/>
              <w:rPr>
                <w:rFonts w:ascii="Calibri"/>
                <w:sz w:val="22"/>
              </w:rPr>
            </w:pPr>
            <w:r>
              <w:rPr>
                <w:rFonts w:ascii="Calibri"/>
                <w:spacing w:val="-2"/>
                <w:sz w:val="22"/>
              </w:rPr>
              <w:t>2.536075</w:t>
            </w:r>
          </w:p>
        </w:tc>
        <w:tc>
          <w:tcPr>
            <w:tcW w:w="998" w:type="dxa"/>
          </w:tcPr>
          <w:p>
            <w:pPr>
              <w:pStyle w:val="TableParagraph"/>
              <w:spacing w:before="249"/>
              <w:ind w:right="58"/>
              <w:jc w:val="right"/>
              <w:rPr>
                <w:rFonts w:ascii="Calibri"/>
                <w:sz w:val="22"/>
              </w:rPr>
            </w:pPr>
            <w:r>
              <w:rPr>
                <w:rFonts w:ascii="Calibri"/>
                <w:spacing w:val="-2"/>
                <w:sz w:val="22"/>
              </w:rPr>
              <w:t>10.55173</w:t>
            </w:r>
          </w:p>
        </w:tc>
      </w:tr>
      <w:tr>
        <w:trPr>
          <w:trHeight w:val="537" w:hRule="atLeast"/>
        </w:trPr>
        <w:tc>
          <w:tcPr>
            <w:tcW w:w="723" w:type="dxa"/>
          </w:tcPr>
          <w:p>
            <w:pPr>
              <w:pStyle w:val="TableParagraph"/>
              <w:spacing w:before="249"/>
              <w:ind w:left="116" w:right="56"/>
              <w:jc w:val="center"/>
              <w:rPr>
                <w:rFonts w:ascii="Calibri"/>
                <w:sz w:val="22"/>
              </w:rPr>
            </w:pPr>
            <w:r>
              <w:rPr>
                <w:rFonts w:ascii="Calibri"/>
                <w:spacing w:val="-4"/>
                <w:sz w:val="22"/>
              </w:rPr>
              <w:t>1992</w:t>
            </w:r>
          </w:p>
        </w:tc>
        <w:tc>
          <w:tcPr>
            <w:tcW w:w="1054" w:type="dxa"/>
          </w:tcPr>
          <w:p>
            <w:pPr>
              <w:pStyle w:val="TableParagraph"/>
              <w:spacing w:before="249"/>
              <w:ind w:left="109"/>
              <w:rPr>
                <w:rFonts w:ascii="Calibri"/>
                <w:sz w:val="22"/>
              </w:rPr>
            </w:pPr>
            <w:r>
              <w:rPr>
                <w:rFonts w:ascii="Calibri"/>
                <w:spacing w:val="-2"/>
                <w:sz w:val="22"/>
              </w:rPr>
              <w:t>12.32484</w:t>
            </w:r>
          </w:p>
        </w:tc>
        <w:tc>
          <w:tcPr>
            <w:tcW w:w="1110" w:type="dxa"/>
          </w:tcPr>
          <w:p>
            <w:pPr>
              <w:pStyle w:val="TableParagraph"/>
              <w:spacing w:before="249"/>
              <w:ind w:right="107"/>
              <w:jc w:val="right"/>
              <w:rPr>
                <w:rFonts w:ascii="Calibri"/>
                <w:sz w:val="22"/>
              </w:rPr>
            </w:pPr>
            <w:r>
              <w:rPr>
                <w:rFonts w:ascii="Calibri"/>
                <w:spacing w:val="-2"/>
                <w:sz w:val="22"/>
              </w:rPr>
              <w:t>12.28216</w:t>
            </w:r>
          </w:p>
        </w:tc>
        <w:tc>
          <w:tcPr>
            <w:tcW w:w="961" w:type="dxa"/>
          </w:tcPr>
          <w:p>
            <w:pPr>
              <w:pStyle w:val="TableParagraph"/>
              <w:spacing w:line="249" w:lineRule="exact"/>
              <w:ind w:right="108"/>
              <w:jc w:val="right"/>
              <w:rPr>
                <w:rFonts w:ascii="Calibri"/>
                <w:sz w:val="22"/>
              </w:rPr>
            </w:pPr>
            <w:r>
              <w:rPr>
                <w:rFonts w:ascii="Calibri"/>
                <w:spacing w:val="-10"/>
                <w:sz w:val="22"/>
              </w:rPr>
              <w:t>-</w:t>
            </w:r>
          </w:p>
          <w:p>
            <w:pPr>
              <w:pStyle w:val="TableParagraph"/>
              <w:ind w:right="107"/>
              <w:jc w:val="right"/>
              <w:rPr>
                <w:rFonts w:ascii="Calibri"/>
                <w:sz w:val="22"/>
              </w:rPr>
            </w:pPr>
            <w:r>
              <w:rPr>
                <w:rFonts w:ascii="Calibri"/>
                <w:spacing w:val="-2"/>
                <w:sz w:val="22"/>
              </w:rPr>
              <w:t>0.42327</w:t>
            </w:r>
          </w:p>
        </w:tc>
        <w:tc>
          <w:tcPr>
            <w:tcW w:w="1055" w:type="dxa"/>
          </w:tcPr>
          <w:p>
            <w:pPr>
              <w:pStyle w:val="TableParagraph"/>
              <w:spacing w:before="249"/>
              <w:ind w:left="107"/>
              <w:rPr>
                <w:rFonts w:ascii="Calibri"/>
                <w:sz w:val="22"/>
              </w:rPr>
            </w:pPr>
            <w:r>
              <w:rPr>
                <w:rFonts w:ascii="Calibri"/>
                <w:spacing w:val="-2"/>
                <w:sz w:val="22"/>
              </w:rPr>
              <w:t>3.795489</w:t>
            </w:r>
          </w:p>
        </w:tc>
        <w:tc>
          <w:tcPr>
            <w:tcW w:w="1055" w:type="dxa"/>
          </w:tcPr>
          <w:p>
            <w:pPr>
              <w:pStyle w:val="TableParagraph"/>
              <w:spacing w:before="249"/>
              <w:ind w:left="106"/>
              <w:rPr>
                <w:rFonts w:ascii="Calibri"/>
                <w:sz w:val="22"/>
              </w:rPr>
            </w:pPr>
            <w:r>
              <w:rPr>
                <w:rFonts w:ascii="Calibri"/>
                <w:spacing w:val="-2"/>
                <w:sz w:val="22"/>
              </w:rPr>
              <w:t>10.16273</w:t>
            </w:r>
          </w:p>
        </w:tc>
        <w:tc>
          <w:tcPr>
            <w:tcW w:w="1055" w:type="dxa"/>
          </w:tcPr>
          <w:p>
            <w:pPr>
              <w:pStyle w:val="TableParagraph"/>
              <w:spacing w:before="249"/>
              <w:ind w:right="111"/>
              <w:jc w:val="right"/>
              <w:rPr>
                <w:rFonts w:ascii="Calibri"/>
                <w:sz w:val="22"/>
              </w:rPr>
            </w:pPr>
            <w:r>
              <w:rPr>
                <w:rFonts w:ascii="Calibri"/>
                <w:spacing w:val="-2"/>
                <w:sz w:val="22"/>
              </w:rPr>
              <w:t>2.778819</w:t>
            </w:r>
          </w:p>
        </w:tc>
        <w:tc>
          <w:tcPr>
            <w:tcW w:w="1070" w:type="dxa"/>
          </w:tcPr>
          <w:p>
            <w:pPr>
              <w:pStyle w:val="TableParagraph"/>
              <w:spacing w:before="249"/>
              <w:ind w:left="13" w:right="10"/>
              <w:jc w:val="center"/>
              <w:rPr>
                <w:rFonts w:ascii="Calibri"/>
                <w:sz w:val="22"/>
              </w:rPr>
            </w:pPr>
            <w:r>
              <w:rPr>
                <w:rFonts w:ascii="Calibri"/>
                <w:spacing w:val="-2"/>
                <w:sz w:val="22"/>
              </w:rPr>
              <w:t>10.97032</w:t>
            </w:r>
          </w:p>
        </w:tc>
        <w:tc>
          <w:tcPr>
            <w:tcW w:w="1055" w:type="dxa"/>
          </w:tcPr>
          <w:p>
            <w:pPr>
              <w:pStyle w:val="TableParagraph"/>
              <w:spacing w:before="249"/>
              <w:ind w:left="102"/>
              <w:rPr>
                <w:rFonts w:ascii="Calibri"/>
                <w:sz w:val="22"/>
              </w:rPr>
            </w:pPr>
            <w:r>
              <w:rPr>
                <w:rFonts w:ascii="Calibri"/>
                <w:spacing w:val="-2"/>
                <w:sz w:val="22"/>
              </w:rPr>
              <w:t>3.226844</w:t>
            </w:r>
          </w:p>
        </w:tc>
        <w:tc>
          <w:tcPr>
            <w:tcW w:w="998" w:type="dxa"/>
          </w:tcPr>
          <w:p>
            <w:pPr>
              <w:pStyle w:val="TableParagraph"/>
              <w:spacing w:before="249"/>
              <w:ind w:right="58"/>
              <w:jc w:val="right"/>
              <w:rPr>
                <w:rFonts w:ascii="Calibri"/>
                <w:sz w:val="22"/>
              </w:rPr>
            </w:pPr>
            <w:r>
              <w:rPr>
                <w:rFonts w:ascii="Calibri"/>
                <w:spacing w:val="-2"/>
                <w:sz w:val="22"/>
              </w:rPr>
              <w:t>10.87869</w:t>
            </w:r>
          </w:p>
        </w:tc>
      </w:tr>
      <w:tr>
        <w:trPr>
          <w:trHeight w:val="513" w:hRule="atLeast"/>
        </w:trPr>
        <w:tc>
          <w:tcPr>
            <w:tcW w:w="723" w:type="dxa"/>
          </w:tcPr>
          <w:p>
            <w:pPr>
              <w:pStyle w:val="TableParagraph"/>
              <w:spacing w:line="245" w:lineRule="exact" w:before="249"/>
              <w:ind w:left="116" w:right="56"/>
              <w:jc w:val="center"/>
              <w:rPr>
                <w:rFonts w:ascii="Calibri"/>
                <w:sz w:val="22"/>
              </w:rPr>
            </w:pPr>
            <w:r>
              <w:rPr>
                <w:rFonts w:ascii="Calibri"/>
                <w:spacing w:val="-4"/>
                <w:sz w:val="22"/>
              </w:rPr>
              <w:t>1993</w:t>
            </w:r>
          </w:p>
        </w:tc>
        <w:tc>
          <w:tcPr>
            <w:tcW w:w="1054" w:type="dxa"/>
          </w:tcPr>
          <w:p>
            <w:pPr>
              <w:pStyle w:val="TableParagraph"/>
              <w:spacing w:line="245" w:lineRule="exact" w:before="249"/>
              <w:ind w:left="109"/>
              <w:rPr>
                <w:rFonts w:ascii="Calibri"/>
                <w:sz w:val="22"/>
              </w:rPr>
            </w:pPr>
            <w:r>
              <w:rPr>
                <w:rFonts w:ascii="Calibri"/>
                <w:spacing w:val="-2"/>
                <w:sz w:val="22"/>
              </w:rPr>
              <w:t>11.45235</w:t>
            </w:r>
          </w:p>
        </w:tc>
        <w:tc>
          <w:tcPr>
            <w:tcW w:w="1110" w:type="dxa"/>
          </w:tcPr>
          <w:p>
            <w:pPr>
              <w:pStyle w:val="TableParagraph"/>
              <w:spacing w:line="245" w:lineRule="exact" w:before="249"/>
              <w:ind w:right="107"/>
              <w:jc w:val="right"/>
              <w:rPr>
                <w:rFonts w:ascii="Calibri"/>
                <w:sz w:val="22"/>
              </w:rPr>
            </w:pPr>
            <w:r>
              <w:rPr>
                <w:rFonts w:ascii="Calibri"/>
                <w:spacing w:val="-2"/>
                <w:sz w:val="22"/>
              </w:rPr>
              <w:t>11.39505</w:t>
            </w:r>
          </w:p>
        </w:tc>
        <w:tc>
          <w:tcPr>
            <w:tcW w:w="961" w:type="dxa"/>
          </w:tcPr>
          <w:p>
            <w:pPr>
              <w:pStyle w:val="TableParagraph"/>
              <w:spacing w:line="249" w:lineRule="exact"/>
              <w:ind w:right="108"/>
              <w:jc w:val="right"/>
              <w:rPr>
                <w:rFonts w:ascii="Calibri"/>
                <w:sz w:val="22"/>
              </w:rPr>
            </w:pPr>
            <w:r>
              <w:rPr>
                <w:rFonts w:ascii="Calibri"/>
                <w:spacing w:val="-10"/>
                <w:sz w:val="22"/>
              </w:rPr>
              <w:t>-</w:t>
            </w:r>
          </w:p>
          <w:p>
            <w:pPr>
              <w:pStyle w:val="TableParagraph"/>
              <w:spacing w:line="245" w:lineRule="exact"/>
              <w:ind w:right="107"/>
              <w:jc w:val="right"/>
              <w:rPr>
                <w:rFonts w:ascii="Calibri"/>
                <w:sz w:val="22"/>
              </w:rPr>
            </w:pPr>
            <w:r>
              <w:rPr>
                <w:rFonts w:ascii="Calibri"/>
                <w:spacing w:val="-2"/>
                <w:sz w:val="22"/>
              </w:rPr>
              <w:t>0.57608</w:t>
            </w:r>
          </w:p>
        </w:tc>
        <w:tc>
          <w:tcPr>
            <w:tcW w:w="1055" w:type="dxa"/>
          </w:tcPr>
          <w:p>
            <w:pPr>
              <w:pStyle w:val="TableParagraph"/>
              <w:spacing w:line="245" w:lineRule="exact" w:before="249"/>
              <w:ind w:left="107"/>
              <w:rPr>
                <w:rFonts w:ascii="Calibri"/>
                <w:sz w:val="22"/>
              </w:rPr>
            </w:pPr>
            <w:r>
              <w:rPr>
                <w:rFonts w:ascii="Calibri"/>
                <w:spacing w:val="-2"/>
                <w:sz w:val="22"/>
              </w:rPr>
              <w:t>4.046554</w:t>
            </w:r>
          </w:p>
        </w:tc>
        <w:tc>
          <w:tcPr>
            <w:tcW w:w="1055" w:type="dxa"/>
          </w:tcPr>
          <w:p>
            <w:pPr>
              <w:pStyle w:val="TableParagraph"/>
              <w:spacing w:line="245" w:lineRule="exact" w:before="249"/>
              <w:ind w:left="106"/>
              <w:rPr>
                <w:rFonts w:ascii="Calibri"/>
                <w:sz w:val="22"/>
              </w:rPr>
            </w:pPr>
            <w:r>
              <w:rPr>
                <w:rFonts w:ascii="Calibri"/>
                <w:spacing w:val="-2"/>
                <w:sz w:val="22"/>
              </w:rPr>
              <w:t>10.18702</w:t>
            </w:r>
          </w:p>
        </w:tc>
        <w:tc>
          <w:tcPr>
            <w:tcW w:w="1055" w:type="dxa"/>
          </w:tcPr>
          <w:p>
            <w:pPr>
              <w:pStyle w:val="TableParagraph"/>
              <w:spacing w:line="245" w:lineRule="exact" w:before="249"/>
              <w:ind w:right="111"/>
              <w:jc w:val="right"/>
              <w:rPr>
                <w:rFonts w:ascii="Calibri"/>
                <w:sz w:val="22"/>
              </w:rPr>
            </w:pPr>
            <w:r>
              <w:rPr>
                <w:rFonts w:ascii="Calibri"/>
                <w:spacing w:val="-2"/>
                <w:sz w:val="22"/>
              </w:rPr>
              <w:t>2.813011</w:t>
            </w:r>
          </w:p>
        </w:tc>
        <w:tc>
          <w:tcPr>
            <w:tcW w:w="1070" w:type="dxa"/>
          </w:tcPr>
          <w:p>
            <w:pPr>
              <w:pStyle w:val="TableParagraph"/>
              <w:spacing w:line="245" w:lineRule="exact" w:before="249"/>
              <w:ind w:left="13" w:right="10"/>
              <w:jc w:val="center"/>
              <w:rPr>
                <w:rFonts w:ascii="Calibri"/>
                <w:sz w:val="22"/>
              </w:rPr>
            </w:pPr>
            <w:r>
              <w:rPr>
                <w:rFonts w:ascii="Calibri"/>
                <w:spacing w:val="-2"/>
                <w:sz w:val="22"/>
              </w:rPr>
              <w:t>11.75287</w:t>
            </w:r>
          </w:p>
        </w:tc>
        <w:tc>
          <w:tcPr>
            <w:tcW w:w="1055" w:type="dxa"/>
          </w:tcPr>
          <w:p>
            <w:pPr>
              <w:pStyle w:val="TableParagraph"/>
              <w:spacing w:line="245" w:lineRule="exact" w:before="249"/>
              <w:ind w:left="102"/>
              <w:rPr>
                <w:rFonts w:ascii="Calibri"/>
                <w:sz w:val="22"/>
              </w:rPr>
            </w:pPr>
            <w:r>
              <w:rPr>
                <w:rFonts w:ascii="Calibri"/>
                <w:spacing w:val="-2"/>
                <w:sz w:val="22"/>
              </w:rPr>
              <w:t>1.909543</w:t>
            </w:r>
          </w:p>
        </w:tc>
        <w:tc>
          <w:tcPr>
            <w:tcW w:w="998" w:type="dxa"/>
          </w:tcPr>
          <w:p>
            <w:pPr>
              <w:pStyle w:val="TableParagraph"/>
              <w:spacing w:line="245" w:lineRule="exact" w:before="249"/>
              <w:ind w:right="58"/>
              <w:jc w:val="right"/>
              <w:rPr>
                <w:rFonts w:ascii="Calibri"/>
                <w:sz w:val="22"/>
              </w:rPr>
            </w:pPr>
            <w:r>
              <w:rPr>
                <w:rFonts w:ascii="Calibri"/>
                <w:spacing w:val="-2"/>
                <w:sz w:val="22"/>
              </w:rPr>
              <w:t>11.82574</w:t>
            </w:r>
          </w:p>
        </w:tc>
      </w:tr>
    </w:tbl>
    <w:p>
      <w:pPr>
        <w:spacing w:after="0" w:line="245" w:lineRule="exact"/>
        <w:jc w:val="right"/>
        <w:rPr>
          <w:rFonts w:ascii="Calibri"/>
          <w:sz w:val="22"/>
        </w:rPr>
        <w:sectPr>
          <w:pgSz w:w="11910" w:h="16840"/>
          <w:pgMar w:header="0" w:footer="979" w:top="1360" w:bottom="1240" w:left="280" w:right="0"/>
        </w:sectPr>
      </w:pPr>
    </w:p>
    <w:p>
      <w:pPr>
        <w:pStyle w:val="BodyText"/>
        <w:spacing w:before="1"/>
        <w:rPr>
          <w:b/>
          <w:sz w:val="2"/>
        </w:rPr>
      </w:pPr>
    </w:p>
    <w:tbl>
      <w:tblPr>
        <w:tblW w:w="0" w:type="auto"/>
        <w:jc w:val="left"/>
        <w:tblInd w:w="8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6"/>
        <w:gridCol w:w="1081"/>
        <w:gridCol w:w="1090"/>
        <w:gridCol w:w="952"/>
        <w:gridCol w:w="1054"/>
        <w:gridCol w:w="1054"/>
        <w:gridCol w:w="1061"/>
        <w:gridCol w:w="1061"/>
        <w:gridCol w:w="1054"/>
        <w:gridCol w:w="995"/>
      </w:tblGrid>
      <w:tr>
        <w:trPr>
          <w:trHeight w:val="514" w:hRule="atLeast"/>
        </w:trPr>
        <w:tc>
          <w:tcPr>
            <w:tcW w:w="606" w:type="dxa"/>
          </w:tcPr>
          <w:p>
            <w:pPr>
              <w:pStyle w:val="TableParagraph"/>
              <w:spacing w:before="225"/>
              <w:ind w:right="56"/>
              <w:jc w:val="center"/>
              <w:rPr>
                <w:rFonts w:ascii="Calibri"/>
                <w:sz w:val="22"/>
              </w:rPr>
            </w:pPr>
            <w:r>
              <w:rPr>
                <w:rFonts w:ascii="Calibri"/>
                <w:spacing w:val="-4"/>
                <w:sz w:val="22"/>
              </w:rPr>
              <w:t>1994</w:t>
            </w:r>
          </w:p>
        </w:tc>
        <w:tc>
          <w:tcPr>
            <w:tcW w:w="1081" w:type="dxa"/>
          </w:tcPr>
          <w:p>
            <w:pPr>
              <w:pStyle w:val="TableParagraph"/>
              <w:spacing w:before="225"/>
              <w:ind w:left="83" w:right="108"/>
              <w:jc w:val="center"/>
              <w:rPr>
                <w:rFonts w:ascii="Calibri"/>
                <w:sz w:val="22"/>
              </w:rPr>
            </w:pPr>
            <w:r>
              <w:rPr>
                <w:rFonts w:ascii="Calibri"/>
                <w:spacing w:val="-2"/>
                <w:sz w:val="22"/>
              </w:rPr>
              <w:t>11.45698</w:t>
            </w:r>
          </w:p>
        </w:tc>
        <w:tc>
          <w:tcPr>
            <w:tcW w:w="1090" w:type="dxa"/>
          </w:tcPr>
          <w:p>
            <w:pPr>
              <w:pStyle w:val="TableParagraph"/>
              <w:spacing w:before="225"/>
              <w:ind w:right="116"/>
              <w:jc w:val="right"/>
              <w:rPr>
                <w:rFonts w:ascii="Calibri"/>
                <w:sz w:val="22"/>
              </w:rPr>
            </w:pPr>
            <w:r>
              <w:rPr>
                <w:rFonts w:ascii="Calibri"/>
                <w:spacing w:val="-2"/>
                <w:sz w:val="22"/>
              </w:rPr>
              <w:t>9.659414</w:t>
            </w:r>
          </w:p>
        </w:tc>
        <w:tc>
          <w:tcPr>
            <w:tcW w:w="952" w:type="dxa"/>
          </w:tcPr>
          <w:p>
            <w:pPr>
              <w:pStyle w:val="TableParagraph"/>
              <w:spacing w:line="225" w:lineRule="exact"/>
              <w:ind w:right="107"/>
              <w:jc w:val="right"/>
              <w:rPr>
                <w:rFonts w:ascii="Calibri"/>
                <w:sz w:val="22"/>
              </w:rPr>
            </w:pPr>
            <w:r>
              <w:rPr>
                <w:rFonts w:ascii="Calibri"/>
                <w:spacing w:val="-10"/>
                <w:sz w:val="22"/>
              </w:rPr>
              <w:t>-</w:t>
            </w:r>
          </w:p>
          <w:p>
            <w:pPr>
              <w:pStyle w:val="TableParagraph"/>
              <w:ind w:right="106"/>
              <w:jc w:val="right"/>
              <w:rPr>
                <w:rFonts w:ascii="Calibri"/>
                <w:sz w:val="22"/>
              </w:rPr>
            </w:pPr>
            <w:r>
              <w:rPr>
                <w:rFonts w:ascii="Calibri"/>
                <w:spacing w:val="-2"/>
                <w:sz w:val="22"/>
              </w:rPr>
              <w:t>0.89184</w:t>
            </w:r>
          </w:p>
        </w:tc>
        <w:tc>
          <w:tcPr>
            <w:tcW w:w="1054" w:type="dxa"/>
          </w:tcPr>
          <w:p>
            <w:pPr>
              <w:pStyle w:val="TableParagraph"/>
              <w:spacing w:before="225"/>
              <w:ind w:left="1" w:right="1"/>
              <w:jc w:val="center"/>
              <w:rPr>
                <w:rFonts w:ascii="Calibri"/>
                <w:sz w:val="22"/>
              </w:rPr>
            </w:pPr>
            <w:r>
              <w:rPr>
                <w:rFonts w:ascii="Calibri"/>
                <w:spacing w:val="-2"/>
                <w:sz w:val="22"/>
              </w:rPr>
              <w:t>4.043051</w:t>
            </w:r>
          </w:p>
        </w:tc>
        <w:tc>
          <w:tcPr>
            <w:tcW w:w="1054" w:type="dxa"/>
          </w:tcPr>
          <w:p>
            <w:pPr>
              <w:pStyle w:val="TableParagraph"/>
              <w:spacing w:before="225"/>
              <w:ind w:left="1" w:right="1"/>
              <w:jc w:val="center"/>
              <w:rPr>
                <w:rFonts w:ascii="Calibri"/>
                <w:sz w:val="22"/>
              </w:rPr>
            </w:pPr>
            <w:r>
              <w:rPr>
                <w:rFonts w:ascii="Calibri"/>
                <w:spacing w:val="-2"/>
                <w:sz w:val="22"/>
              </w:rPr>
              <w:t>9.099688</w:t>
            </w:r>
          </w:p>
        </w:tc>
        <w:tc>
          <w:tcPr>
            <w:tcW w:w="1061" w:type="dxa"/>
          </w:tcPr>
          <w:p>
            <w:pPr>
              <w:pStyle w:val="TableParagraph"/>
              <w:spacing w:before="225"/>
              <w:ind w:right="114"/>
              <w:jc w:val="right"/>
              <w:rPr>
                <w:rFonts w:ascii="Calibri"/>
                <w:sz w:val="22"/>
              </w:rPr>
            </w:pPr>
            <w:r>
              <w:rPr>
                <w:rFonts w:ascii="Calibri"/>
                <w:spacing w:val="-2"/>
                <w:sz w:val="22"/>
              </w:rPr>
              <w:t>2.60269</w:t>
            </w:r>
          </w:p>
        </w:tc>
        <w:tc>
          <w:tcPr>
            <w:tcW w:w="1061" w:type="dxa"/>
          </w:tcPr>
          <w:p>
            <w:pPr>
              <w:pStyle w:val="TableParagraph"/>
              <w:spacing w:before="225"/>
              <w:ind w:right="107"/>
              <w:jc w:val="right"/>
              <w:rPr>
                <w:rFonts w:ascii="Calibri"/>
                <w:sz w:val="22"/>
              </w:rPr>
            </w:pPr>
            <w:r>
              <w:rPr>
                <w:rFonts w:ascii="Calibri"/>
                <w:spacing w:val="-2"/>
                <w:sz w:val="22"/>
              </w:rPr>
              <w:t>11.87356</w:t>
            </w:r>
          </w:p>
        </w:tc>
        <w:tc>
          <w:tcPr>
            <w:tcW w:w="1054" w:type="dxa"/>
          </w:tcPr>
          <w:p>
            <w:pPr>
              <w:pStyle w:val="TableParagraph"/>
              <w:spacing w:before="225"/>
              <w:ind w:right="108"/>
              <w:jc w:val="right"/>
              <w:rPr>
                <w:rFonts w:ascii="Calibri"/>
                <w:sz w:val="22"/>
              </w:rPr>
            </w:pPr>
            <w:r>
              <w:rPr>
                <w:rFonts w:ascii="Calibri"/>
                <w:spacing w:val="-2"/>
                <w:sz w:val="22"/>
              </w:rPr>
              <w:t>2.617396</w:t>
            </w:r>
          </w:p>
        </w:tc>
        <w:tc>
          <w:tcPr>
            <w:tcW w:w="995" w:type="dxa"/>
          </w:tcPr>
          <w:p>
            <w:pPr>
              <w:pStyle w:val="TableParagraph"/>
              <w:spacing w:before="225"/>
              <w:ind w:left="64" w:right="7"/>
              <w:jc w:val="center"/>
              <w:rPr>
                <w:rFonts w:ascii="Calibri"/>
                <w:sz w:val="22"/>
              </w:rPr>
            </w:pPr>
            <w:r>
              <w:rPr>
                <w:rFonts w:ascii="Calibri"/>
                <w:spacing w:val="-2"/>
                <w:sz w:val="22"/>
              </w:rPr>
              <w:t>11.40729</w:t>
            </w:r>
          </w:p>
        </w:tc>
      </w:tr>
      <w:tr>
        <w:trPr>
          <w:trHeight w:val="536" w:hRule="atLeast"/>
        </w:trPr>
        <w:tc>
          <w:tcPr>
            <w:tcW w:w="606" w:type="dxa"/>
          </w:tcPr>
          <w:p>
            <w:pPr>
              <w:pStyle w:val="TableParagraph"/>
              <w:spacing w:line="267" w:lineRule="exact" w:before="249"/>
              <w:ind w:right="56"/>
              <w:jc w:val="center"/>
              <w:rPr>
                <w:rFonts w:ascii="Calibri"/>
                <w:sz w:val="22"/>
              </w:rPr>
            </w:pPr>
            <w:r>
              <w:rPr>
                <w:rFonts w:ascii="Calibri"/>
                <w:spacing w:val="-4"/>
                <w:sz w:val="22"/>
              </w:rPr>
              <w:t>1995</w:t>
            </w:r>
          </w:p>
        </w:tc>
        <w:tc>
          <w:tcPr>
            <w:tcW w:w="1081" w:type="dxa"/>
          </w:tcPr>
          <w:p>
            <w:pPr>
              <w:pStyle w:val="TableParagraph"/>
              <w:spacing w:line="267" w:lineRule="exact" w:before="249"/>
              <w:ind w:left="83" w:right="108"/>
              <w:jc w:val="center"/>
              <w:rPr>
                <w:rFonts w:ascii="Calibri"/>
                <w:sz w:val="22"/>
              </w:rPr>
            </w:pPr>
            <w:r>
              <w:rPr>
                <w:rFonts w:ascii="Calibri"/>
                <w:spacing w:val="-2"/>
                <w:sz w:val="22"/>
              </w:rPr>
              <w:t>13.72253</w:t>
            </w:r>
          </w:p>
        </w:tc>
        <w:tc>
          <w:tcPr>
            <w:tcW w:w="1090" w:type="dxa"/>
          </w:tcPr>
          <w:p>
            <w:pPr>
              <w:pStyle w:val="TableParagraph"/>
              <w:spacing w:line="267" w:lineRule="exact" w:before="249"/>
              <w:ind w:right="115"/>
              <w:jc w:val="right"/>
              <w:rPr>
                <w:rFonts w:ascii="Calibri"/>
                <w:sz w:val="22"/>
              </w:rPr>
            </w:pPr>
            <w:r>
              <w:rPr>
                <w:rFonts w:ascii="Calibri"/>
                <w:spacing w:val="-2"/>
                <w:sz w:val="22"/>
              </w:rPr>
              <w:t>13.41212</w:t>
            </w:r>
          </w:p>
        </w:tc>
        <w:tc>
          <w:tcPr>
            <w:tcW w:w="952" w:type="dxa"/>
          </w:tcPr>
          <w:p>
            <w:pPr>
              <w:pStyle w:val="TableParagraph"/>
              <w:spacing w:line="249" w:lineRule="exact"/>
              <w:ind w:right="107"/>
              <w:jc w:val="right"/>
              <w:rPr>
                <w:rFonts w:ascii="Calibri"/>
                <w:sz w:val="22"/>
              </w:rPr>
            </w:pPr>
            <w:r>
              <w:rPr>
                <w:rFonts w:ascii="Calibri"/>
                <w:spacing w:val="-10"/>
                <w:sz w:val="22"/>
              </w:rPr>
              <w:t>-</w:t>
            </w:r>
          </w:p>
          <w:p>
            <w:pPr>
              <w:pStyle w:val="TableParagraph"/>
              <w:spacing w:line="267" w:lineRule="exact"/>
              <w:ind w:right="106"/>
              <w:jc w:val="right"/>
              <w:rPr>
                <w:rFonts w:ascii="Calibri"/>
                <w:sz w:val="22"/>
              </w:rPr>
            </w:pPr>
            <w:r>
              <w:rPr>
                <w:rFonts w:ascii="Calibri"/>
                <w:spacing w:val="-2"/>
                <w:sz w:val="22"/>
              </w:rPr>
              <w:t>0.12511</w:t>
            </w:r>
          </w:p>
        </w:tc>
        <w:tc>
          <w:tcPr>
            <w:tcW w:w="1054" w:type="dxa"/>
          </w:tcPr>
          <w:p>
            <w:pPr>
              <w:pStyle w:val="TableParagraph"/>
              <w:spacing w:line="267" w:lineRule="exact" w:before="249"/>
              <w:ind w:left="1" w:right="1"/>
              <w:jc w:val="center"/>
              <w:rPr>
                <w:rFonts w:ascii="Calibri"/>
                <w:sz w:val="22"/>
              </w:rPr>
            </w:pPr>
            <w:r>
              <w:rPr>
                <w:rFonts w:ascii="Calibri"/>
                <w:spacing w:val="-2"/>
                <w:sz w:val="22"/>
              </w:rPr>
              <w:t>4.287716</w:t>
            </w:r>
          </w:p>
        </w:tc>
        <w:tc>
          <w:tcPr>
            <w:tcW w:w="1054" w:type="dxa"/>
          </w:tcPr>
          <w:p>
            <w:pPr>
              <w:pStyle w:val="TableParagraph"/>
              <w:spacing w:line="267" w:lineRule="exact" w:before="249"/>
              <w:ind w:right="1"/>
              <w:jc w:val="center"/>
              <w:rPr>
                <w:rFonts w:ascii="Calibri"/>
                <w:sz w:val="22"/>
              </w:rPr>
            </w:pPr>
            <w:r>
              <w:rPr>
                <w:rFonts w:ascii="Calibri"/>
                <w:spacing w:val="-2"/>
                <w:sz w:val="22"/>
              </w:rPr>
              <w:t>10.51041</w:t>
            </w:r>
          </w:p>
        </w:tc>
        <w:tc>
          <w:tcPr>
            <w:tcW w:w="1061" w:type="dxa"/>
          </w:tcPr>
          <w:p>
            <w:pPr>
              <w:pStyle w:val="TableParagraph"/>
              <w:spacing w:line="267" w:lineRule="exact" w:before="249"/>
              <w:ind w:right="114"/>
              <w:jc w:val="right"/>
              <w:rPr>
                <w:rFonts w:ascii="Calibri"/>
                <w:sz w:val="22"/>
              </w:rPr>
            </w:pPr>
            <w:r>
              <w:rPr>
                <w:rFonts w:ascii="Calibri"/>
                <w:spacing w:val="-2"/>
                <w:sz w:val="22"/>
              </w:rPr>
              <w:t>2.53449</w:t>
            </w:r>
          </w:p>
        </w:tc>
        <w:tc>
          <w:tcPr>
            <w:tcW w:w="1061" w:type="dxa"/>
          </w:tcPr>
          <w:p>
            <w:pPr>
              <w:pStyle w:val="TableParagraph"/>
              <w:spacing w:line="267" w:lineRule="exact" w:before="249"/>
              <w:ind w:right="107"/>
              <w:jc w:val="right"/>
              <w:rPr>
                <w:rFonts w:ascii="Calibri"/>
                <w:sz w:val="22"/>
              </w:rPr>
            </w:pPr>
            <w:r>
              <w:rPr>
                <w:rFonts w:ascii="Calibri"/>
                <w:spacing w:val="-2"/>
                <w:sz w:val="22"/>
              </w:rPr>
              <w:t>12.10074</w:t>
            </w:r>
          </w:p>
        </w:tc>
        <w:tc>
          <w:tcPr>
            <w:tcW w:w="1054" w:type="dxa"/>
          </w:tcPr>
          <w:p>
            <w:pPr>
              <w:pStyle w:val="TableParagraph"/>
              <w:spacing w:line="267" w:lineRule="exact" w:before="249"/>
              <w:ind w:right="108"/>
              <w:jc w:val="right"/>
              <w:rPr>
                <w:rFonts w:ascii="Calibri"/>
                <w:sz w:val="22"/>
              </w:rPr>
            </w:pPr>
            <w:r>
              <w:rPr>
                <w:rFonts w:ascii="Calibri"/>
                <w:spacing w:val="-2"/>
                <w:sz w:val="22"/>
              </w:rPr>
              <w:t>2.488234</w:t>
            </w:r>
          </w:p>
        </w:tc>
        <w:tc>
          <w:tcPr>
            <w:tcW w:w="995" w:type="dxa"/>
          </w:tcPr>
          <w:p>
            <w:pPr>
              <w:pStyle w:val="TableParagraph"/>
              <w:spacing w:line="267" w:lineRule="exact" w:before="249"/>
              <w:ind w:left="64" w:right="7"/>
              <w:jc w:val="center"/>
              <w:rPr>
                <w:rFonts w:ascii="Calibri"/>
                <w:sz w:val="22"/>
              </w:rPr>
            </w:pPr>
            <w:r>
              <w:rPr>
                <w:rFonts w:ascii="Calibri"/>
                <w:spacing w:val="-2"/>
                <w:sz w:val="22"/>
              </w:rPr>
              <w:t>11.75689</w:t>
            </w:r>
          </w:p>
        </w:tc>
      </w:tr>
      <w:tr>
        <w:trPr>
          <w:trHeight w:val="536" w:hRule="atLeast"/>
        </w:trPr>
        <w:tc>
          <w:tcPr>
            <w:tcW w:w="606" w:type="dxa"/>
          </w:tcPr>
          <w:p>
            <w:pPr>
              <w:pStyle w:val="TableParagraph"/>
              <w:spacing w:before="247"/>
              <w:ind w:right="56"/>
              <w:jc w:val="center"/>
              <w:rPr>
                <w:rFonts w:ascii="Calibri"/>
                <w:sz w:val="22"/>
              </w:rPr>
            </w:pPr>
            <w:r>
              <w:rPr>
                <w:rFonts w:ascii="Calibri"/>
                <w:spacing w:val="-4"/>
                <w:sz w:val="22"/>
              </w:rPr>
              <w:t>1996</w:t>
            </w:r>
          </w:p>
        </w:tc>
        <w:tc>
          <w:tcPr>
            <w:tcW w:w="1081" w:type="dxa"/>
          </w:tcPr>
          <w:p>
            <w:pPr>
              <w:pStyle w:val="TableParagraph"/>
              <w:spacing w:before="247"/>
              <w:ind w:left="83" w:right="108"/>
              <w:jc w:val="center"/>
              <w:rPr>
                <w:rFonts w:ascii="Calibri"/>
                <w:sz w:val="22"/>
              </w:rPr>
            </w:pPr>
            <w:r>
              <w:rPr>
                <w:rFonts w:ascii="Calibri"/>
                <w:spacing w:val="-2"/>
                <w:sz w:val="22"/>
              </w:rPr>
              <w:t>11.81884</w:t>
            </w:r>
          </w:p>
        </w:tc>
        <w:tc>
          <w:tcPr>
            <w:tcW w:w="1090" w:type="dxa"/>
          </w:tcPr>
          <w:p>
            <w:pPr>
              <w:pStyle w:val="TableParagraph"/>
              <w:spacing w:before="247"/>
              <w:ind w:right="115"/>
              <w:jc w:val="right"/>
              <w:rPr>
                <w:rFonts w:ascii="Calibri"/>
                <w:sz w:val="22"/>
              </w:rPr>
            </w:pPr>
            <w:r>
              <w:rPr>
                <w:rFonts w:ascii="Calibri"/>
                <w:spacing w:val="-2"/>
                <w:sz w:val="22"/>
              </w:rPr>
              <w:t>11.50837</w:t>
            </w:r>
          </w:p>
        </w:tc>
        <w:tc>
          <w:tcPr>
            <w:tcW w:w="952" w:type="dxa"/>
          </w:tcPr>
          <w:p>
            <w:pPr>
              <w:pStyle w:val="TableParagraph"/>
              <w:spacing w:line="247" w:lineRule="exact"/>
              <w:ind w:right="107"/>
              <w:jc w:val="right"/>
              <w:rPr>
                <w:rFonts w:ascii="Calibri"/>
                <w:sz w:val="22"/>
              </w:rPr>
            </w:pPr>
            <w:r>
              <w:rPr>
                <w:rFonts w:ascii="Calibri"/>
                <w:spacing w:val="-10"/>
                <w:sz w:val="22"/>
              </w:rPr>
              <w:t>-</w:t>
            </w:r>
          </w:p>
          <w:p>
            <w:pPr>
              <w:pStyle w:val="TableParagraph"/>
              <w:ind w:right="106"/>
              <w:jc w:val="right"/>
              <w:rPr>
                <w:rFonts w:ascii="Calibri"/>
                <w:sz w:val="22"/>
              </w:rPr>
            </w:pPr>
            <w:r>
              <w:rPr>
                <w:rFonts w:ascii="Calibri"/>
                <w:spacing w:val="-2"/>
                <w:sz w:val="22"/>
              </w:rPr>
              <w:t>0.36716</w:t>
            </w:r>
          </w:p>
        </w:tc>
        <w:tc>
          <w:tcPr>
            <w:tcW w:w="1054" w:type="dxa"/>
          </w:tcPr>
          <w:p>
            <w:pPr>
              <w:pStyle w:val="TableParagraph"/>
              <w:spacing w:before="247"/>
              <w:ind w:left="1" w:right="1"/>
              <w:jc w:val="center"/>
              <w:rPr>
                <w:rFonts w:ascii="Calibri"/>
                <w:sz w:val="22"/>
              </w:rPr>
            </w:pPr>
            <w:r>
              <w:rPr>
                <w:rFonts w:ascii="Calibri"/>
                <w:spacing w:val="-2"/>
                <w:sz w:val="22"/>
              </w:rPr>
              <w:t>3.377588</w:t>
            </w:r>
          </w:p>
        </w:tc>
        <w:tc>
          <w:tcPr>
            <w:tcW w:w="1054" w:type="dxa"/>
          </w:tcPr>
          <w:p>
            <w:pPr>
              <w:pStyle w:val="TableParagraph"/>
              <w:spacing w:before="247"/>
              <w:ind w:right="1"/>
              <w:jc w:val="center"/>
              <w:rPr>
                <w:rFonts w:ascii="Calibri"/>
                <w:sz w:val="22"/>
              </w:rPr>
            </w:pPr>
            <w:r>
              <w:rPr>
                <w:rFonts w:ascii="Calibri"/>
                <w:spacing w:val="-2"/>
                <w:sz w:val="22"/>
              </w:rPr>
              <w:t>11.04313</w:t>
            </w:r>
          </w:p>
        </w:tc>
        <w:tc>
          <w:tcPr>
            <w:tcW w:w="1061" w:type="dxa"/>
          </w:tcPr>
          <w:p>
            <w:pPr>
              <w:pStyle w:val="TableParagraph"/>
              <w:spacing w:before="247"/>
              <w:ind w:right="114"/>
              <w:jc w:val="right"/>
              <w:rPr>
                <w:rFonts w:ascii="Calibri"/>
                <w:sz w:val="22"/>
              </w:rPr>
            </w:pPr>
            <w:r>
              <w:rPr>
                <w:rFonts w:ascii="Calibri"/>
                <w:spacing w:val="-2"/>
                <w:sz w:val="22"/>
              </w:rPr>
              <w:t>2.458734</w:t>
            </w:r>
          </w:p>
        </w:tc>
        <w:tc>
          <w:tcPr>
            <w:tcW w:w="1061" w:type="dxa"/>
          </w:tcPr>
          <w:p>
            <w:pPr>
              <w:pStyle w:val="TableParagraph"/>
              <w:spacing w:before="247"/>
              <w:ind w:right="107"/>
              <w:jc w:val="right"/>
              <w:rPr>
                <w:rFonts w:ascii="Calibri"/>
                <w:sz w:val="22"/>
              </w:rPr>
            </w:pPr>
            <w:r>
              <w:rPr>
                <w:rFonts w:ascii="Calibri"/>
                <w:spacing w:val="-2"/>
                <w:sz w:val="22"/>
              </w:rPr>
              <w:t>12.38253</w:t>
            </w:r>
          </w:p>
        </w:tc>
        <w:tc>
          <w:tcPr>
            <w:tcW w:w="1054" w:type="dxa"/>
          </w:tcPr>
          <w:p>
            <w:pPr>
              <w:pStyle w:val="TableParagraph"/>
              <w:spacing w:before="247"/>
              <w:ind w:right="108"/>
              <w:jc w:val="right"/>
              <w:rPr>
                <w:rFonts w:ascii="Calibri"/>
                <w:sz w:val="22"/>
              </w:rPr>
            </w:pPr>
            <w:r>
              <w:rPr>
                <w:rFonts w:ascii="Calibri"/>
                <w:spacing w:val="-2"/>
                <w:sz w:val="22"/>
              </w:rPr>
              <w:t>2.53449</w:t>
            </w:r>
          </w:p>
        </w:tc>
        <w:tc>
          <w:tcPr>
            <w:tcW w:w="995" w:type="dxa"/>
          </w:tcPr>
          <w:p>
            <w:pPr>
              <w:pStyle w:val="TableParagraph"/>
              <w:spacing w:before="247"/>
              <w:ind w:left="64" w:right="7"/>
              <w:jc w:val="center"/>
              <w:rPr>
                <w:rFonts w:ascii="Calibri"/>
                <w:sz w:val="22"/>
              </w:rPr>
            </w:pPr>
            <w:r>
              <w:rPr>
                <w:rFonts w:ascii="Calibri"/>
                <w:spacing w:val="-2"/>
                <w:sz w:val="22"/>
              </w:rPr>
              <w:t>11.73199</w:t>
            </w:r>
          </w:p>
        </w:tc>
      </w:tr>
      <w:tr>
        <w:trPr>
          <w:trHeight w:val="537" w:hRule="atLeast"/>
        </w:trPr>
        <w:tc>
          <w:tcPr>
            <w:tcW w:w="606" w:type="dxa"/>
          </w:tcPr>
          <w:p>
            <w:pPr>
              <w:pStyle w:val="TableParagraph"/>
              <w:spacing w:before="249"/>
              <w:ind w:right="56"/>
              <w:jc w:val="center"/>
              <w:rPr>
                <w:rFonts w:ascii="Calibri"/>
                <w:sz w:val="22"/>
              </w:rPr>
            </w:pPr>
            <w:r>
              <w:rPr>
                <w:rFonts w:ascii="Calibri"/>
                <w:spacing w:val="-4"/>
                <w:sz w:val="22"/>
              </w:rPr>
              <w:t>1997</w:t>
            </w:r>
          </w:p>
        </w:tc>
        <w:tc>
          <w:tcPr>
            <w:tcW w:w="1081" w:type="dxa"/>
          </w:tcPr>
          <w:p>
            <w:pPr>
              <w:pStyle w:val="TableParagraph"/>
              <w:spacing w:before="249"/>
              <w:ind w:left="83" w:right="108"/>
              <w:jc w:val="center"/>
              <w:rPr>
                <w:rFonts w:ascii="Calibri"/>
                <w:sz w:val="22"/>
              </w:rPr>
            </w:pPr>
            <w:r>
              <w:rPr>
                <w:rFonts w:ascii="Calibri"/>
                <w:spacing w:val="-2"/>
                <w:sz w:val="22"/>
              </w:rPr>
              <w:t>12.53677</w:t>
            </w:r>
          </w:p>
        </w:tc>
        <w:tc>
          <w:tcPr>
            <w:tcW w:w="1090" w:type="dxa"/>
          </w:tcPr>
          <w:p>
            <w:pPr>
              <w:pStyle w:val="TableParagraph"/>
              <w:spacing w:before="249"/>
              <w:ind w:right="116"/>
              <w:jc w:val="right"/>
              <w:rPr>
                <w:rFonts w:ascii="Calibri"/>
                <w:sz w:val="22"/>
              </w:rPr>
            </w:pPr>
            <w:r>
              <w:rPr>
                <w:rFonts w:ascii="Calibri"/>
                <w:spacing w:val="-2"/>
                <w:sz w:val="22"/>
              </w:rPr>
              <w:t>9.97059</w:t>
            </w:r>
          </w:p>
        </w:tc>
        <w:tc>
          <w:tcPr>
            <w:tcW w:w="952" w:type="dxa"/>
          </w:tcPr>
          <w:p>
            <w:pPr>
              <w:pStyle w:val="TableParagraph"/>
              <w:spacing w:line="249" w:lineRule="exact"/>
              <w:ind w:right="107"/>
              <w:jc w:val="right"/>
              <w:rPr>
                <w:rFonts w:ascii="Calibri"/>
                <w:sz w:val="22"/>
              </w:rPr>
            </w:pPr>
            <w:r>
              <w:rPr>
                <w:rFonts w:ascii="Calibri"/>
                <w:spacing w:val="-10"/>
                <w:sz w:val="22"/>
              </w:rPr>
              <w:t>-</w:t>
            </w:r>
          </w:p>
          <w:p>
            <w:pPr>
              <w:pStyle w:val="TableParagraph"/>
              <w:ind w:right="106"/>
              <w:jc w:val="right"/>
              <w:rPr>
                <w:rFonts w:ascii="Calibri"/>
                <w:sz w:val="22"/>
              </w:rPr>
            </w:pPr>
            <w:r>
              <w:rPr>
                <w:rFonts w:ascii="Calibri"/>
                <w:spacing w:val="-2"/>
                <w:sz w:val="22"/>
              </w:rPr>
              <w:t>0.29451</w:t>
            </w:r>
          </w:p>
        </w:tc>
        <w:tc>
          <w:tcPr>
            <w:tcW w:w="1054" w:type="dxa"/>
          </w:tcPr>
          <w:p>
            <w:pPr>
              <w:pStyle w:val="TableParagraph"/>
              <w:spacing w:before="249"/>
              <w:ind w:left="1" w:right="1"/>
              <w:jc w:val="center"/>
              <w:rPr>
                <w:rFonts w:ascii="Calibri"/>
                <w:sz w:val="22"/>
              </w:rPr>
            </w:pPr>
            <w:r>
              <w:rPr>
                <w:rFonts w:ascii="Calibri"/>
                <w:spacing w:val="-2"/>
                <w:sz w:val="22"/>
              </w:rPr>
              <w:t>2.140066</w:t>
            </w:r>
          </w:p>
        </w:tc>
        <w:tc>
          <w:tcPr>
            <w:tcW w:w="1054" w:type="dxa"/>
          </w:tcPr>
          <w:p>
            <w:pPr>
              <w:pStyle w:val="TableParagraph"/>
              <w:spacing w:before="249"/>
              <w:ind w:right="1"/>
              <w:jc w:val="center"/>
              <w:rPr>
                <w:rFonts w:ascii="Calibri"/>
                <w:sz w:val="22"/>
              </w:rPr>
            </w:pPr>
            <w:r>
              <w:rPr>
                <w:rFonts w:ascii="Calibri"/>
                <w:spacing w:val="-2"/>
                <w:sz w:val="22"/>
              </w:rPr>
              <w:t>10.57896</w:t>
            </w:r>
          </w:p>
        </w:tc>
        <w:tc>
          <w:tcPr>
            <w:tcW w:w="1061" w:type="dxa"/>
          </w:tcPr>
          <w:p>
            <w:pPr>
              <w:pStyle w:val="TableParagraph"/>
              <w:spacing w:before="249"/>
              <w:ind w:right="114"/>
              <w:jc w:val="right"/>
              <w:rPr>
                <w:rFonts w:ascii="Calibri"/>
                <w:sz w:val="22"/>
              </w:rPr>
            </w:pPr>
            <w:r>
              <w:rPr>
                <w:rFonts w:ascii="Calibri"/>
                <w:spacing w:val="-2"/>
                <w:sz w:val="22"/>
              </w:rPr>
              <w:t>1.568616</w:t>
            </w:r>
          </w:p>
        </w:tc>
        <w:tc>
          <w:tcPr>
            <w:tcW w:w="1061" w:type="dxa"/>
          </w:tcPr>
          <w:p>
            <w:pPr>
              <w:pStyle w:val="TableParagraph"/>
              <w:spacing w:before="249"/>
              <w:ind w:right="107"/>
              <w:jc w:val="right"/>
              <w:rPr>
                <w:rFonts w:ascii="Calibri"/>
                <w:sz w:val="22"/>
              </w:rPr>
            </w:pPr>
            <w:r>
              <w:rPr>
                <w:rFonts w:ascii="Calibri"/>
                <w:spacing w:val="-2"/>
                <w:sz w:val="22"/>
              </w:rPr>
              <w:t>12.66415</w:t>
            </w:r>
          </w:p>
        </w:tc>
        <w:tc>
          <w:tcPr>
            <w:tcW w:w="1054" w:type="dxa"/>
          </w:tcPr>
          <w:p>
            <w:pPr>
              <w:pStyle w:val="TableParagraph"/>
              <w:spacing w:before="249"/>
              <w:ind w:right="108"/>
              <w:jc w:val="right"/>
              <w:rPr>
                <w:rFonts w:ascii="Calibri"/>
                <w:sz w:val="22"/>
              </w:rPr>
            </w:pPr>
            <w:r>
              <w:rPr>
                <w:rFonts w:ascii="Calibri"/>
                <w:spacing w:val="-2"/>
                <w:sz w:val="22"/>
              </w:rPr>
              <w:t>2.695978</w:t>
            </w:r>
          </w:p>
        </w:tc>
        <w:tc>
          <w:tcPr>
            <w:tcW w:w="995" w:type="dxa"/>
          </w:tcPr>
          <w:p>
            <w:pPr>
              <w:pStyle w:val="TableParagraph"/>
              <w:spacing w:before="249"/>
              <w:ind w:left="64" w:right="7"/>
              <w:jc w:val="center"/>
              <w:rPr>
                <w:rFonts w:ascii="Calibri"/>
                <w:sz w:val="22"/>
              </w:rPr>
            </w:pPr>
            <w:r>
              <w:rPr>
                <w:rFonts w:ascii="Calibri"/>
                <w:spacing w:val="-2"/>
                <w:sz w:val="22"/>
              </w:rPr>
              <w:t>11.97391</w:t>
            </w:r>
          </w:p>
        </w:tc>
      </w:tr>
      <w:tr>
        <w:trPr>
          <w:trHeight w:val="553" w:hRule="atLeast"/>
        </w:trPr>
        <w:tc>
          <w:tcPr>
            <w:tcW w:w="606" w:type="dxa"/>
          </w:tcPr>
          <w:p>
            <w:pPr>
              <w:pStyle w:val="TableParagraph"/>
              <w:spacing w:before="249"/>
              <w:ind w:right="56"/>
              <w:jc w:val="center"/>
              <w:rPr>
                <w:rFonts w:ascii="Calibri"/>
                <w:sz w:val="22"/>
              </w:rPr>
            </w:pPr>
            <w:r>
              <w:rPr>
                <w:rFonts w:ascii="Calibri"/>
                <w:spacing w:val="-4"/>
                <w:sz w:val="22"/>
              </w:rPr>
              <w:t>1998</w:t>
            </w:r>
          </w:p>
        </w:tc>
        <w:tc>
          <w:tcPr>
            <w:tcW w:w="1081" w:type="dxa"/>
          </w:tcPr>
          <w:p>
            <w:pPr>
              <w:pStyle w:val="TableParagraph"/>
              <w:spacing w:before="249"/>
              <w:ind w:left="83" w:right="108"/>
              <w:jc w:val="center"/>
              <w:rPr>
                <w:rFonts w:ascii="Calibri"/>
                <w:sz w:val="22"/>
              </w:rPr>
            </w:pPr>
            <w:r>
              <w:rPr>
                <w:rFonts w:ascii="Calibri"/>
                <w:spacing w:val="-2"/>
                <w:sz w:val="22"/>
              </w:rPr>
              <w:t>13.06559</w:t>
            </w:r>
          </w:p>
        </w:tc>
        <w:tc>
          <w:tcPr>
            <w:tcW w:w="1090" w:type="dxa"/>
          </w:tcPr>
          <w:p>
            <w:pPr>
              <w:pStyle w:val="TableParagraph"/>
              <w:spacing w:before="249"/>
              <w:ind w:right="115"/>
              <w:jc w:val="right"/>
              <w:rPr>
                <w:rFonts w:ascii="Calibri"/>
                <w:sz w:val="22"/>
              </w:rPr>
            </w:pPr>
            <w:r>
              <w:rPr>
                <w:rFonts w:ascii="Calibri"/>
                <w:spacing w:val="-2"/>
                <w:sz w:val="22"/>
              </w:rPr>
              <w:t>10.52097</w:t>
            </w:r>
          </w:p>
        </w:tc>
        <w:tc>
          <w:tcPr>
            <w:tcW w:w="952" w:type="dxa"/>
          </w:tcPr>
          <w:p>
            <w:pPr>
              <w:pStyle w:val="TableParagraph"/>
              <w:spacing w:line="249" w:lineRule="exact"/>
              <w:ind w:right="107"/>
              <w:jc w:val="right"/>
              <w:rPr>
                <w:rFonts w:ascii="Calibri"/>
                <w:sz w:val="22"/>
              </w:rPr>
            </w:pPr>
            <w:r>
              <w:rPr>
                <w:rFonts w:ascii="Calibri"/>
                <w:spacing w:val="-10"/>
                <w:sz w:val="22"/>
              </w:rPr>
              <w:t>-</w:t>
            </w:r>
          </w:p>
          <w:p>
            <w:pPr>
              <w:pStyle w:val="TableParagraph"/>
              <w:ind w:right="106"/>
              <w:jc w:val="right"/>
              <w:rPr>
                <w:rFonts w:ascii="Calibri"/>
                <w:sz w:val="22"/>
              </w:rPr>
            </w:pPr>
            <w:r>
              <w:rPr>
                <w:rFonts w:ascii="Calibri"/>
                <w:spacing w:val="-2"/>
                <w:sz w:val="22"/>
              </w:rPr>
              <w:t>0.53307</w:t>
            </w:r>
          </w:p>
        </w:tc>
        <w:tc>
          <w:tcPr>
            <w:tcW w:w="1054" w:type="dxa"/>
          </w:tcPr>
          <w:p>
            <w:pPr>
              <w:pStyle w:val="TableParagraph"/>
              <w:spacing w:before="249"/>
              <w:ind w:left="1" w:right="1"/>
              <w:jc w:val="center"/>
              <w:rPr>
                <w:rFonts w:ascii="Calibri"/>
                <w:sz w:val="22"/>
              </w:rPr>
            </w:pPr>
            <w:r>
              <w:rPr>
                <w:rFonts w:ascii="Calibri"/>
                <w:spacing w:val="-2"/>
                <w:sz w:val="22"/>
              </w:rPr>
              <w:t>2.302585</w:t>
            </w:r>
          </w:p>
        </w:tc>
        <w:tc>
          <w:tcPr>
            <w:tcW w:w="1054" w:type="dxa"/>
          </w:tcPr>
          <w:p>
            <w:pPr>
              <w:pStyle w:val="TableParagraph"/>
              <w:spacing w:before="249"/>
              <w:ind w:left="1" w:right="1"/>
              <w:jc w:val="center"/>
              <w:rPr>
                <w:rFonts w:ascii="Calibri"/>
                <w:sz w:val="22"/>
              </w:rPr>
            </w:pPr>
            <w:r>
              <w:rPr>
                <w:rFonts w:ascii="Calibri"/>
                <w:spacing w:val="-2"/>
                <w:sz w:val="22"/>
              </w:rPr>
              <w:t>4.862908</w:t>
            </w:r>
          </w:p>
        </w:tc>
        <w:tc>
          <w:tcPr>
            <w:tcW w:w="1061" w:type="dxa"/>
          </w:tcPr>
          <w:p>
            <w:pPr>
              <w:pStyle w:val="TableParagraph"/>
              <w:spacing w:before="249"/>
              <w:ind w:right="114"/>
              <w:jc w:val="right"/>
              <w:rPr>
                <w:rFonts w:ascii="Calibri"/>
                <w:sz w:val="22"/>
              </w:rPr>
            </w:pPr>
            <w:r>
              <w:rPr>
                <w:rFonts w:ascii="Calibri"/>
                <w:spacing w:val="-2"/>
                <w:sz w:val="22"/>
              </w:rPr>
              <w:t>1.702928</w:t>
            </w:r>
          </w:p>
        </w:tc>
        <w:tc>
          <w:tcPr>
            <w:tcW w:w="1061" w:type="dxa"/>
          </w:tcPr>
          <w:p>
            <w:pPr>
              <w:pStyle w:val="TableParagraph"/>
              <w:spacing w:before="249"/>
              <w:ind w:right="107"/>
              <w:jc w:val="right"/>
              <w:rPr>
                <w:rFonts w:ascii="Calibri"/>
                <w:sz w:val="22"/>
              </w:rPr>
            </w:pPr>
            <w:r>
              <w:rPr>
                <w:rFonts w:ascii="Calibri"/>
                <w:spacing w:val="-2"/>
                <w:sz w:val="22"/>
              </w:rPr>
              <w:t>12.77126</w:t>
            </w:r>
          </w:p>
        </w:tc>
        <w:tc>
          <w:tcPr>
            <w:tcW w:w="1054" w:type="dxa"/>
          </w:tcPr>
          <w:p>
            <w:pPr>
              <w:pStyle w:val="TableParagraph"/>
              <w:spacing w:before="249"/>
              <w:ind w:right="108"/>
              <w:jc w:val="right"/>
              <w:rPr>
                <w:rFonts w:ascii="Calibri"/>
                <w:sz w:val="22"/>
              </w:rPr>
            </w:pPr>
            <w:r>
              <w:rPr>
                <w:rFonts w:ascii="Calibri"/>
                <w:spacing w:val="-2"/>
                <w:sz w:val="22"/>
              </w:rPr>
              <w:t>2.590767</w:t>
            </w:r>
          </w:p>
        </w:tc>
        <w:tc>
          <w:tcPr>
            <w:tcW w:w="995" w:type="dxa"/>
          </w:tcPr>
          <w:p>
            <w:pPr>
              <w:pStyle w:val="TableParagraph"/>
              <w:spacing w:before="249"/>
              <w:ind w:left="64" w:right="7"/>
              <w:jc w:val="center"/>
              <w:rPr>
                <w:rFonts w:ascii="Calibri"/>
                <w:sz w:val="22"/>
              </w:rPr>
            </w:pPr>
            <w:r>
              <w:rPr>
                <w:rFonts w:ascii="Calibri"/>
                <w:spacing w:val="-2"/>
                <w:sz w:val="22"/>
              </w:rPr>
              <w:t>12.09009</w:t>
            </w:r>
          </w:p>
        </w:tc>
      </w:tr>
      <w:tr>
        <w:trPr>
          <w:trHeight w:val="284" w:hRule="atLeast"/>
        </w:trPr>
        <w:tc>
          <w:tcPr>
            <w:tcW w:w="606" w:type="dxa"/>
          </w:tcPr>
          <w:p>
            <w:pPr>
              <w:pStyle w:val="TableParagraph"/>
              <w:spacing w:line="264" w:lineRule="exact"/>
              <w:ind w:right="56"/>
              <w:jc w:val="center"/>
              <w:rPr>
                <w:rFonts w:ascii="Calibri"/>
                <w:sz w:val="22"/>
              </w:rPr>
            </w:pPr>
            <w:r>
              <w:rPr>
                <w:rFonts w:ascii="Calibri"/>
                <w:spacing w:val="-4"/>
                <w:sz w:val="22"/>
              </w:rPr>
              <w:t>1999</w:t>
            </w:r>
          </w:p>
        </w:tc>
        <w:tc>
          <w:tcPr>
            <w:tcW w:w="1081" w:type="dxa"/>
          </w:tcPr>
          <w:p>
            <w:pPr>
              <w:pStyle w:val="TableParagraph"/>
              <w:spacing w:line="264" w:lineRule="exact"/>
              <w:ind w:left="83" w:right="108"/>
              <w:jc w:val="center"/>
              <w:rPr>
                <w:rFonts w:ascii="Calibri"/>
                <w:sz w:val="22"/>
              </w:rPr>
            </w:pPr>
            <w:r>
              <w:rPr>
                <w:rFonts w:ascii="Calibri"/>
                <w:spacing w:val="-2"/>
                <w:sz w:val="22"/>
              </w:rPr>
              <w:t>16.78107</w:t>
            </w:r>
          </w:p>
        </w:tc>
        <w:tc>
          <w:tcPr>
            <w:tcW w:w="1090" w:type="dxa"/>
          </w:tcPr>
          <w:p>
            <w:pPr>
              <w:pStyle w:val="TableParagraph"/>
              <w:spacing w:line="264" w:lineRule="exact"/>
              <w:ind w:right="115"/>
              <w:jc w:val="right"/>
              <w:rPr>
                <w:rFonts w:ascii="Calibri"/>
                <w:sz w:val="22"/>
              </w:rPr>
            </w:pPr>
            <w:r>
              <w:rPr>
                <w:rFonts w:ascii="Calibri"/>
                <w:spacing w:val="-2"/>
                <w:sz w:val="22"/>
              </w:rPr>
              <w:t>16.80846</w:t>
            </w:r>
          </w:p>
        </w:tc>
        <w:tc>
          <w:tcPr>
            <w:tcW w:w="952" w:type="dxa"/>
          </w:tcPr>
          <w:p>
            <w:pPr>
              <w:pStyle w:val="TableParagraph"/>
              <w:spacing w:line="264" w:lineRule="exact"/>
              <w:ind w:left="52"/>
              <w:jc w:val="center"/>
              <w:rPr>
                <w:rFonts w:ascii="Calibri"/>
                <w:sz w:val="22"/>
              </w:rPr>
            </w:pPr>
            <w:r>
              <w:rPr>
                <w:rFonts w:ascii="Calibri"/>
                <w:spacing w:val="-2"/>
                <w:sz w:val="22"/>
              </w:rPr>
              <w:t>-0.4427</w:t>
            </w:r>
          </w:p>
        </w:tc>
        <w:tc>
          <w:tcPr>
            <w:tcW w:w="1054" w:type="dxa"/>
          </w:tcPr>
          <w:p>
            <w:pPr>
              <w:pStyle w:val="TableParagraph"/>
              <w:spacing w:line="264" w:lineRule="exact"/>
              <w:ind w:left="111" w:right="1"/>
              <w:jc w:val="center"/>
              <w:rPr>
                <w:rFonts w:ascii="Calibri"/>
                <w:sz w:val="22"/>
              </w:rPr>
            </w:pPr>
            <w:r>
              <w:rPr>
                <w:rFonts w:ascii="Calibri"/>
                <w:spacing w:val="-2"/>
                <w:sz w:val="22"/>
              </w:rPr>
              <w:t>1.88707</w:t>
            </w:r>
          </w:p>
        </w:tc>
        <w:tc>
          <w:tcPr>
            <w:tcW w:w="1054" w:type="dxa"/>
          </w:tcPr>
          <w:p>
            <w:pPr>
              <w:pStyle w:val="TableParagraph"/>
              <w:spacing w:line="264" w:lineRule="exact"/>
              <w:ind w:left="1" w:right="1"/>
              <w:jc w:val="center"/>
              <w:rPr>
                <w:rFonts w:ascii="Calibri"/>
                <w:sz w:val="22"/>
              </w:rPr>
            </w:pPr>
            <w:r>
              <w:rPr>
                <w:rFonts w:ascii="Calibri"/>
                <w:spacing w:val="-2"/>
                <w:sz w:val="22"/>
              </w:rPr>
              <w:t>9.212009</w:t>
            </w:r>
          </w:p>
        </w:tc>
        <w:tc>
          <w:tcPr>
            <w:tcW w:w="1061" w:type="dxa"/>
          </w:tcPr>
          <w:p>
            <w:pPr>
              <w:pStyle w:val="TableParagraph"/>
              <w:spacing w:line="264" w:lineRule="exact"/>
              <w:ind w:right="114"/>
              <w:jc w:val="right"/>
              <w:rPr>
                <w:rFonts w:ascii="Calibri"/>
                <w:sz w:val="22"/>
              </w:rPr>
            </w:pPr>
            <w:r>
              <w:rPr>
                <w:rFonts w:ascii="Calibri"/>
                <w:spacing w:val="-2"/>
                <w:sz w:val="22"/>
              </w:rPr>
              <w:t>1.673351</w:t>
            </w:r>
          </w:p>
        </w:tc>
        <w:tc>
          <w:tcPr>
            <w:tcW w:w="1061" w:type="dxa"/>
          </w:tcPr>
          <w:p>
            <w:pPr>
              <w:pStyle w:val="TableParagraph"/>
              <w:spacing w:line="264" w:lineRule="exact"/>
              <w:ind w:right="107"/>
              <w:jc w:val="right"/>
              <w:rPr>
                <w:rFonts w:ascii="Calibri"/>
                <w:sz w:val="22"/>
              </w:rPr>
            </w:pPr>
            <w:r>
              <w:rPr>
                <w:rFonts w:ascii="Calibri"/>
                <w:spacing w:val="-2"/>
                <w:sz w:val="22"/>
              </w:rPr>
              <w:t>12.97425</w:t>
            </w:r>
          </w:p>
        </w:tc>
        <w:tc>
          <w:tcPr>
            <w:tcW w:w="1054" w:type="dxa"/>
          </w:tcPr>
          <w:p>
            <w:pPr>
              <w:pStyle w:val="TableParagraph"/>
              <w:spacing w:line="264" w:lineRule="exact"/>
              <w:ind w:right="108"/>
              <w:jc w:val="right"/>
              <w:rPr>
                <w:rFonts w:ascii="Calibri"/>
                <w:sz w:val="22"/>
              </w:rPr>
            </w:pPr>
            <w:r>
              <w:rPr>
                <w:rFonts w:ascii="Calibri"/>
                <w:spacing w:val="-2"/>
                <w:sz w:val="22"/>
              </w:rPr>
              <w:t>2.941276</w:t>
            </w:r>
          </w:p>
        </w:tc>
        <w:tc>
          <w:tcPr>
            <w:tcW w:w="995" w:type="dxa"/>
          </w:tcPr>
          <w:p>
            <w:pPr>
              <w:pStyle w:val="TableParagraph"/>
              <w:spacing w:line="264" w:lineRule="exact"/>
              <w:ind w:left="64" w:right="7"/>
              <w:jc w:val="center"/>
              <w:rPr>
                <w:rFonts w:ascii="Calibri"/>
                <w:sz w:val="22"/>
              </w:rPr>
            </w:pPr>
            <w:r>
              <w:rPr>
                <w:rFonts w:ascii="Calibri"/>
                <w:spacing w:val="-2"/>
                <w:sz w:val="22"/>
              </w:rPr>
              <w:t>13.01625</w:t>
            </w:r>
          </w:p>
        </w:tc>
      </w:tr>
      <w:tr>
        <w:trPr>
          <w:trHeight w:val="537" w:hRule="atLeast"/>
        </w:trPr>
        <w:tc>
          <w:tcPr>
            <w:tcW w:w="606" w:type="dxa"/>
          </w:tcPr>
          <w:p>
            <w:pPr>
              <w:pStyle w:val="TableParagraph"/>
              <w:spacing w:before="249"/>
              <w:ind w:right="56"/>
              <w:jc w:val="center"/>
              <w:rPr>
                <w:rFonts w:ascii="Calibri"/>
                <w:sz w:val="22"/>
              </w:rPr>
            </w:pPr>
            <w:r>
              <w:rPr>
                <w:rFonts w:ascii="Calibri"/>
                <w:spacing w:val="-4"/>
                <w:sz w:val="22"/>
              </w:rPr>
              <w:t>2000</w:t>
            </w:r>
          </w:p>
        </w:tc>
        <w:tc>
          <w:tcPr>
            <w:tcW w:w="1081" w:type="dxa"/>
          </w:tcPr>
          <w:p>
            <w:pPr>
              <w:pStyle w:val="TableParagraph"/>
              <w:spacing w:before="249"/>
              <w:ind w:left="83" w:right="108"/>
              <w:jc w:val="center"/>
              <w:rPr>
                <w:rFonts w:ascii="Calibri"/>
                <w:sz w:val="22"/>
              </w:rPr>
            </w:pPr>
            <w:r>
              <w:rPr>
                <w:rFonts w:ascii="Calibri"/>
                <w:spacing w:val="-2"/>
                <w:sz w:val="22"/>
              </w:rPr>
              <w:t>12.39731</w:t>
            </w:r>
          </w:p>
        </w:tc>
        <w:tc>
          <w:tcPr>
            <w:tcW w:w="1090" w:type="dxa"/>
          </w:tcPr>
          <w:p>
            <w:pPr>
              <w:pStyle w:val="TableParagraph"/>
              <w:spacing w:before="249"/>
              <w:ind w:right="115"/>
              <w:jc w:val="right"/>
              <w:rPr>
                <w:rFonts w:ascii="Calibri"/>
                <w:sz w:val="22"/>
              </w:rPr>
            </w:pPr>
            <w:r>
              <w:rPr>
                <w:rFonts w:ascii="Calibri"/>
                <w:spacing w:val="-2"/>
                <w:sz w:val="22"/>
              </w:rPr>
              <w:t>13.1616</w:t>
            </w:r>
          </w:p>
        </w:tc>
        <w:tc>
          <w:tcPr>
            <w:tcW w:w="952" w:type="dxa"/>
          </w:tcPr>
          <w:p>
            <w:pPr>
              <w:pStyle w:val="TableParagraph"/>
              <w:spacing w:line="249" w:lineRule="exact"/>
              <w:ind w:right="107"/>
              <w:jc w:val="right"/>
              <w:rPr>
                <w:rFonts w:ascii="Calibri"/>
                <w:sz w:val="22"/>
              </w:rPr>
            </w:pPr>
            <w:r>
              <w:rPr>
                <w:rFonts w:ascii="Calibri"/>
                <w:spacing w:val="-10"/>
                <w:sz w:val="22"/>
              </w:rPr>
              <w:t>-</w:t>
            </w:r>
          </w:p>
          <w:p>
            <w:pPr>
              <w:pStyle w:val="TableParagraph"/>
              <w:ind w:right="106"/>
              <w:jc w:val="right"/>
              <w:rPr>
                <w:rFonts w:ascii="Calibri"/>
                <w:sz w:val="22"/>
              </w:rPr>
            </w:pPr>
            <w:r>
              <w:rPr>
                <w:rFonts w:ascii="Calibri"/>
                <w:spacing w:val="-2"/>
                <w:sz w:val="22"/>
              </w:rPr>
              <w:t>0.44691</w:t>
            </w:r>
          </w:p>
        </w:tc>
        <w:tc>
          <w:tcPr>
            <w:tcW w:w="1054" w:type="dxa"/>
          </w:tcPr>
          <w:p>
            <w:pPr>
              <w:pStyle w:val="TableParagraph"/>
              <w:spacing w:before="249"/>
              <w:ind w:left="1" w:right="1"/>
              <w:jc w:val="center"/>
              <w:rPr>
                <w:rFonts w:ascii="Calibri"/>
                <w:sz w:val="22"/>
              </w:rPr>
            </w:pPr>
            <w:r>
              <w:rPr>
                <w:rFonts w:ascii="Calibri"/>
                <w:spacing w:val="-2"/>
                <w:sz w:val="22"/>
              </w:rPr>
              <w:t>1.931521</w:t>
            </w:r>
          </w:p>
        </w:tc>
        <w:tc>
          <w:tcPr>
            <w:tcW w:w="1054" w:type="dxa"/>
          </w:tcPr>
          <w:p>
            <w:pPr>
              <w:pStyle w:val="TableParagraph"/>
              <w:spacing w:before="249"/>
              <w:ind w:right="1"/>
              <w:jc w:val="center"/>
              <w:rPr>
                <w:rFonts w:ascii="Calibri"/>
                <w:sz w:val="22"/>
              </w:rPr>
            </w:pPr>
            <w:r>
              <w:rPr>
                <w:rFonts w:ascii="Calibri"/>
                <w:spacing w:val="-2"/>
                <w:sz w:val="22"/>
              </w:rPr>
              <w:t>11.51309</w:t>
            </w:r>
          </w:p>
        </w:tc>
        <w:tc>
          <w:tcPr>
            <w:tcW w:w="1061" w:type="dxa"/>
          </w:tcPr>
          <w:p>
            <w:pPr>
              <w:pStyle w:val="TableParagraph"/>
              <w:spacing w:before="249"/>
              <w:ind w:right="114"/>
              <w:jc w:val="right"/>
              <w:rPr>
                <w:rFonts w:ascii="Calibri"/>
                <w:sz w:val="22"/>
              </w:rPr>
            </w:pPr>
            <w:r>
              <w:rPr>
                <w:rFonts w:ascii="Calibri"/>
                <w:spacing w:val="-2"/>
                <w:sz w:val="22"/>
              </w:rPr>
              <w:t>1.665818</w:t>
            </w:r>
          </w:p>
        </w:tc>
        <w:tc>
          <w:tcPr>
            <w:tcW w:w="1061" w:type="dxa"/>
          </w:tcPr>
          <w:p>
            <w:pPr>
              <w:pStyle w:val="TableParagraph"/>
              <w:spacing w:before="249"/>
              <w:ind w:right="107"/>
              <w:jc w:val="right"/>
              <w:rPr>
                <w:rFonts w:ascii="Calibri"/>
                <w:sz w:val="22"/>
              </w:rPr>
            </w:pPr>
            <w:r>
              <w:rPr>
                <w:rFonts w:ascii="Calibri"/>
                <w:spacing w:val="-2"/>
                <w:sz w:val="22"/>
              </w:rPr>
              <w:t>13.18134</w:t>
            </w:r>
          </w:p>
        </w:tc>
        <w:tc>
          <w:tcPr>
            <w:tcW w:w="1054" w:type="dxa"/>
          </w:tcPr>
          <w:p>
            <w:pPr>
              <w:pStyle w:val="TableParagraph"/>
              <w:spacing w:before="249"/>
              <w:ind w:right="108"/>
              <w:jc w:val="right"/>
              <w:rPr>
                <w:rFonts w:ascii="Calibri"/>
                <w:sz w:val="22"/>
              </w:rPr>
            </w:pPr>
            <w:r>
              <w:rPr>
                <w:rFonts w:ascii="Calibri"/>
                <w:spacing w:val="-2"/>
                <w:sz w:val="22"/>
              </w:rPr>
              <w:t>2.523326</w:t>
            </w:r>
          </w:p>
        </w:tc>
        <w:tc>
          <w:tcPr>
            <w:tcW w:w="995" w:type="dxa"/>
          </w:tcPr>
          <w:p>
            <w:pPr>
              <w:pStyle w:val="TableParagraph"/>
              <w:spacing w:before="249"/>
              <w:ind w:left="64" w:right="7"/>
              <w:jc w:val="center"/>
              <w:rPr>
                <w:rFonts w:ascii="Calibri"/>
                <w:sz w:val="22"/>
              </w:rPr>
            </w:pPr>
            <w:r>
              <w:rPr>
                <w:rFonts w:ascii="Calibri"/>
                <w:spacing w:val="-2"/>
                <w:sz w:val="22"/>
              </w:rPr>
              <w:t>13.04245</w:t>
            </w:r>
          </w:p>
        </w:tc>
      </w:tr>
      <w:tr>
        <w:trPr>
          <w:trHeight w:val="536" w:hRule="atLeast"/>
        </w:trPr>
        <w:tc>
          <w:tcPr>
            <w:tcW w:w="606" w:type="dxa"/>
          </w:tcPr>
          <w:p>
            <w:pPr>
              <w:pStyle w:val="TableParagraph"/>
              <w:spacing w:line="267" w:lineRule="exact" w:before="249"/>
              <w:ind w:right="56"/>
              <w:jc w:val="center"/>
              <w:rPr>
                <w:rFonts w:ascii="Calibri"/>
                <w:sz w:val="22"/>
              </w:rPr>
            </w:pPr>
            <w:r>
              <w:rPr>
                <w:rFonts w:ascii="Calibri"/>
                <w:spacing w:val="-4"/>
                <w:sz w:val="22"/>
              </w:rPr>
              <w:t>2001</w:t>
            </w:r>
          </w:p>
        </w:tc>
        <w:tc>
          <w:tcPr>
            <w:tcW w:w="1081" w:type="dxa"/>
          </w:tcPr>
          <w:p>
            <w:pPr>
              <w:pStyle w:val="TableParagraph"/>
              <w:spacing w:line="267" w:lineRule="exact" w:before="249"/>
              <w:ind w:left="221" w:right="25"/>
              <w:jc w:val="center"/>
              <w:rPr>
                <w:rFonts w:ascii="Calibri"/>
                <w:sz w:val="22"/>
              </w:rPr>
            </w:pPr>
            <w:r>
              <w:rPr>
                <w:rFonts w:ascii="Calibri"/>
                <w:spacing w:val="-2"/>
                <w:sz w:val="22"/>
              </w:rPr>
              <w:t>12.667</w:t>
            </w:r>
          </w:p>
        </w:tc>
        <w:tc>
          <w:tcPr>
            <w:tcW w:w="1090" w:type="dxa"/>
          </w:tcPr>
          <w:p>
            <w:pPr>
              <w:pStyle w:val="TableParagraph"/>
              <w:spacing w:line="267" w:lineRule="exact" w:before="249"/>
              <w:ind w:right="115"/>
              <w:jc w:val="right"/>
              <w:rPr>
                <w:rFonts w:ascii="Calibri"/>
                <w:sz w:val="22"/>
              </w:rPr>
            </w:pPr>
            <w:r>
              <w:rPr>
                <w:rFonts w:ascii="Calibri"/>
                <w:spacing w:val="-2"/>
                <w:sz w:val="22"/>
              </w:rPr>
              <w:t>11.27603</w:t>
            </w:r>
          </w:p>
        </w:tc>
        <w:tc>
          <w:tcPr>
            <w:tcW w:w="952" w:type="dxa"/>
          </w:tcPr>
          <w:p>
            <w:pPr>
              <w:pStyle w:val="TableParagraph"/>
              <w:spacing w:line="249" w:lineRule="exact"/>
              <w:ind w:right="107"/>
              <w:jc w:val="right"/>
              <w:rPr>
                <w:rFonts w:ascii="Calibri"/>
                <w:sz w:val="22"/>
              </w:rPr>
            </w:pPr>
            <w:r>
              <w:rPr>
                <w:rFonts w:ascii="Calibri"/>
                <w:spacing w:val="-10"/>
                <w:sz w:val="22"/>
              </w:rPr>
              <w:t>-</w:t>
            </w:r>
          </w:p>
          <w:p>
            <w:pPr>
              <w:pStyle w:val="TableParagraph"/>
              <w:spacing w:line="267" w:lineRule="exact" w:before="1"/>
              <w:ind w:right="106"/>
              <w:jc w:val="right"/>
              <w:rPr>
                <w:rFonts w:ascii="Calibri"/>
                <w:sz w:val="22"/>
              </w:rPr>
            </w:pPr>
            <w:r>
              <w:rPr>
                <w:rFonts w:ascii="Calibri"/>
                <w:spacing w:val="-2"/>
                <w:sz w:val="22"/>
              </w:rPr>
              <w:t>0.38155</w:t>
            </w:r>
          </w:p>
        </w:tc>
        <w:tc>
          <w:tcPr>
            <w:tcW w:w="1054" w:type="dxa"/>
          </w:tcPr>
          <w:p>
            <w:pPr>
              <w:pStyle w:val="TableParagraph"/>
              <w:spacing w:line="267" w:lineRule="exact" w:before="249"/>
              <w:ind w:left="1" w:right="1"/>
              <w:jc w:val="center"/>
              <w:rPr>
                <w:rFonts w:ascii="Calibri"/>
                <w:sz w:val="22"/>
              </w:rPr>
            </w:pPr>
            <w:r>
              <w:rPr>
                <w:rFonts w:ascii="Calibri"/>
                <w:spacing w:val="-2"/>
                <w:sz w:val="22"/>
              </w:rPr>
              <w:t>2.939162</w:t>
            </w:r>
          </w:p>
        </w:tc>
        <w:tc>
          <w:tcPr>
            <w:tcW w:w="1054" w:type="dxa"/>
          </w:tcPr>
          <w:p>
            <w:pPr>
              <w:pStyle w:val="TableParagraph"/>
              <w:spacing w:line="267" w:lineRule="exact" w:before="249"/>
              <w:ind w:right="1"/>
              <w:jc w:val="center"/>
              <w:rPr>
                <w:rFonts w:ascii="Calibri"/>
                <w:sz w:val="22"/>
              </w:rPr>
            </w:pPr>
            <w:r>
              <w:rPr>
                <w:rFonts w:ascii="Calibri"/>
                <w:spacing w:val="-2"/>
                <w:sz w:val="22"/>
              </w:rPr>
              <w:t>10.63976</w:t>
            </w:r>
          </w:p>
        </w:tc>
        <w:tc>
          <w:tcPr>
            <w:tcW w:w="1061" w:type="dxa"/>
          </w:tcPr>
          <w:p>
            <w:pPr>
              <w:pStyle w:val="TableParagraph"/>
              <w:spacing w:line="267" w:lineRule="exact" w:before="249"/>
              <w:ind w:right="114"/>
              <w:jc w:val="right"/>
              <w:rPr>
                <w:rFonts w:ascii="Calibri"/>
                <w:sz w:val="22"/>
              </w:rPr>
            </w:pPr>
            <w:r>
              <w:rPr>
                <w:rFonts w:ascii="Calibri"/>
                <w:spacing w:val="-2"/>
                <w:sz w:val="22"/>
              </w:rPr>
              <w:t>1.702928</w:t>
            </w:r>
          </w:p>
        </w:tc>
        <w:tc>
          <w:tcPr>
            <w:tcW w:w="1061" w:type="dxa"/>
          </w:tcPr>
          <w:p>
            <w:pPr>
              <w:pStyle w:val="TableParagraph"/>
              <w:spacing w:line="267" w:lineRule="exact" w:before="249"/>
              <w:ind w:right="107"/>
              <w:jc w:val="right"/>
              <w:rPr>
                <w:rFonts w:ascii="Calibri"/>
                <w:sz w:val="22"/>
              </w:rPr>
            </w:pPr>
            <w:r>
              <w:rPr>
                <w:rFonts w:ascii="Calibri"/>
                <w:spacing w:val="-2"/>
                <w:sz w:val="22"/>
              </w:rPr>
              <w:t>13.54758</w:t>
            </w:r>
          </w:p>
        </w:tc>
        <w:tc>
          <w:tcPr>
            <w:tcW w:w="1054" w:type="dxa"/>
          </w:tcPr>
          <w:p>
            <w:pPr>
              <w:pStyle w:val="TableParagraph"/>
              <w:spacing w:line="267" w:lineRule="exact" w:before="249"/>
              <w:ind w:right="108"/>
              <w:jc w:val="right"/>
              <w:rPr>
                <w:rFonts w:ascii="Calibri"/>
                <w:sz w:val="22"/>
              </w:rPr>
            </w:pPr>
            <w:r>
              <w:rPr>
                <w:rFonts w:ascii="Calibri"/>
                <w:spacing w:val="-2"/>
                <w:sz w:val="22"/>
              </w:rPr>
              <w:t>2.678965</w:t>
            </w:r>
          </w:p>
        </w:tc>
        <w:tc>
          <w:tcPr>
            <w:tcW w:w="995" w:type="dxa"/>
          </w:tcPr>
          <w:p>
            <w:pPr>
              <w:pStyle w:val="TableParagraph"/>
              <w:spacing w:line="267" w:lineRule="exact" w:before="249"/>
              <w:ind w:left="64" w:right="7"/>
              <w:jc w:val="center"/>
              <w:rPr>
                <w:rFonts w:ascii="Calibri"/>
                <w:sz w:val="22"/>
              </w:rPr>
            </w:pPr>
            <w:r>
              <w:rPr>
                <w:rFonts w:ascii="Calibri"/>
                <w:spacing w:val="-2"/>
                <w:sz w:val="22"/>
              </w:rPr>
              <w:t>13.26958</w:t>
            </w:r>
          </w:p>
        </w:tc>
      </w:tr>
      <w:tr>
        <w:trPr>
          <w:trHeight w:val="552" w:hRule="atLeast"/>
        </w:trPr>
        <w:tc>
          <w:tcPr>
            <w:tcW w:w="606" w:type="dxa"/>
          </w:tcPr>
          <w:p>
            <w:pPr>
              <w:pStyle w:val="TableParagraph"/>
              <w:spacing w:before="247"/>
              <w:ind w:right="56"/>
              <w:jc w:val="center"/>
              <w:rPr>
                <w:rFonts w:ascii="Calibri"/>
                <w:sz w:val="22"/>
              </w:rPr>
            </w:pPr>
            <w:r>
              <w:rPr>
                <w:rFonts w:ascii="Calibri"/>
                <w:spacing w:val="-4"/>
                <w:sz w:val="22"/>
              </w:rPr>
              <w:t>2002</w:t>
            </w:r>
          </w:p>
        </w:tc>
        <w:tc>
          <w:tcPr>
            <w:tcW w:w="1081" w:type="dxa"/>
          </w:tcPr>
          <w:p>
            <w:pPr>
              <w:pStyle w:val="TableParagraph"/>
              <w:spacing w:before="247"/>
              <w:ind w:left="83" w:right="108"/>
              <w:jc w:val="center"/>
              <w:rPr>
                <w:rFonts w:ascii="Calibri"/>
                <w:sz w:val="22"/>
              </w:rPr>
            </w:pPr>
            <w:r>
              <w:rPr>
                <w:rFonts w:ascii="Calibri"/>
                <w:spacing w:val="-2"/>
                <w:sz w:val="22"/>
              </w:rPr>
              <w:t>13.60081</w:t>
            </w:r>
          </w:p>
        </w:tc>
        <w:tc>
          <w:tcPr>
            <w:tcW w:w="1090" w:type="dxa"/>
          </w:tcPr>
          <w:p>
            <w:pPr>
              <w:pStyle w:val="TableParagraph"/>
              <w:spacing w:before="247"/>
              <w:ind w:right="115"/>
              <w:jc w:val="right"/>
              <w:rPr>
                <w:rFonts w:ascii="Calibri"/>
                <w:sz w:val="22"/>
              </w:rPr>
            </w:pPr>
            <w:r>
              <w:rPr>
                <w:rFonts w:ascii="Calibri"/>
                <w:spacing w:val="-2"/>
                <w:sz w:val="22"/>
              </w:rPr>
              <w:t>13.53658</w:t>
            </w:r>
          </w:p>
        </w:tc>
        <w:tc>
          <w:tcPr>
            <w:tcW w:w="952" w:type="dxa"/>
          </w:tcPr>
          <w:p>
            <w:pPr>
              <w:pStyle w:val="TableParagraph"/>
              <w:spacing w:line="247" w:lineRule="exact"/>
              <w:ind w:right="107"/>
              <w:jc w:val="right"/>
              <w:rPr>
                <w:rFonts w:ascii="Calibri"/>
                <w:sz w:val="22"/>
              </w:rPr>
            </w:pPr>
            <w:r>
              <w:rPr>
                <w:rFonts w:ascii="Calibri"/>
                <w:spacing w:val="-10"/>
                <w:sz w:val="22"/>
              </w:rPr>
              <w:t>-</w:t>
            </w:r>
          </w:p>
          <w:p>
            <w:pPr>
              <w:pStyle w:val="TableParagraph"/>
              <w:ind w:right="106"/>
              <w:jc w:val="right"/>
              <w:rPr>
                <w:rFonts w:ascii="Calibri"/>
                <w:sz w:val="22"/>
              </w:rPr>
            </w:pPr>
            <w:r>
              <w:rPr>
                <w:rFonts w:ascii="Calibri"/>
                <w:spacing w:val="-2"/>
                <w:sz w:val="22"/>
              </w:rPr>
              <w:t>0.75247</w:t>
            </w:r>
          </w:p>
        </w:tc>
        <w:tc>
          <w:tcPr>
            <w:tcW w:w="1054" w:type="dxa"/>
          </w:tcPr>
          <w:p>
            <w:pPr>
              <w:pStyle w:val="TableParagraph"/>
              <w:spacing w:before="247"/>
              <w:ind w:left="1" w:right="1"/>
              <w:jc w:val="center"/>
              <w:rPr>
                <w:rFonts w:ascii="Calibri"/>
                <w:sz w:val="22"/>
              </w:rPr>
            </w:pPr>
            <w:r>
              <w:rPr>
                <w:rFonts w:ascii="Calibri"/>
                <w:spacing w:val="-2"/>
                <w:sz w:val="22"/>
              </w:rPr>
              <w:t>2.557227</w:t>
            </w:r>
          </w:p>
        </w:tc>
        <w:tc>
          <w:tcPr>
            <w:tcW w:w="1054" w:type="dxa"/>
          </w:tcPr>
          <w:p>
            <w:pPr>
              <w:pStyle w:val="TableParagraph"/>
              <w:spacing w:before="247"/>
              <w:ind w:right="1"/>
              <w:jc w:val="center"/>
              <w:rPr>
                <w:rFonts w:ascii="Calibri"/>
                <w:sz w:val="22"/>
              </w:rPr>
            </w:pPr>
            <w:r>
              <w:rPr>
                <w:rFonts w:ascii="Calibri"/>
                <w:spacing w:val="-2"/>
                <w:sz w:val="22"/>
              </w:rPr>
              <w:t>11.76203</w:t>
            </w:r>
          </w:p>
        </w:tc>
        <w:tc>
          <w:tcPr>
            <w:tcW w:w="1061" w:type="dxa"/>
          </w:tcPr>
          <w:p>
            <w:pPr>
              <w:pStyle w:val="TableParagraph"/>
              <w:spacing w:before="247"/>
              <w:ind w:right="114"/>
              <w:jc w:val="right"/>
              <w:rPr>
                <w:rFonts w:ascii="Calibri"/>
                <w:sz w:val="22"/>
              </w:rPr>
            </w:pPr>
            <w:r>
              <w:rPr>
                <w:rFonts w:ascii="Calibri"/>
                <w:spacing w:val="-2"/>
                <w:sz w:val="22"/>
              </w:rPr>
              <w:t>1.423108</w:t>
            </w:r>
          </w:p>
        </w:tc>
        <w:tc>
          <w:tcPr>
            <w:tcW w:w="1061" w:type="dxa"/>
          </w:tcPr>
          <w:p>
            <w:pPr>
              <w:pStyle w:val="TableParagraph"/>
              <w:spacing w:before="247"/>
              <w:ind w:right="107"/>
              <w:jc w:val="right"/>
              <w:rPr>
                <w:rFonts w:ascii="Calibri"/>
                <w:sz w:val="22"/>
              </w:rPr>
            </w:pPr>
            <w:r>
              <w:rPr>
                <w:rFonts w:ascii="Calibri"/>
                <w:spacing w:val="-2"/>
                <w:sz w:val="22"/>
              </w:rPr>
              <w:t>13.74347</w:t>
            </w:r>
          </w:p>
        </w:tc>
        <w:tc>
          <w:tcPr>
            <w:tcW w:w="1054" w:type="dxa"/>
          </w:tcPr>
          <w:p>
            <w:pPr>
              <w:pStyle w:val="TableParagraph"/>
              <w:spacing w:before="247"/>
              <w:ind w:right="108"/>
              <w:jc w:val="right"/>
              <w:rPr>
                <w:rFonts w:ascii="Calibri"/>
                <w:sz w:val="22"/>
              </w:rPr>
            </w:pPr>
            <w:r>
              <w:rPr>
                <w:rFonts w:ascii="Calibri"/>
                <w:spacing w:val="-2"/>
                <w:sz w:val="22"/>
              </w:rPr>
              <w:t>3.255786</w:t>
            </w:r>
          </w:p>
        </w:tc>
        <w:tc>
          <w:tcPr>
            <w:tcW w:w="995" w:type="dxa"/>
          </w:tcPr>
          <w:p>
            <w:pPr>
              <w:pStyle w:val="TableParagraph"/>
              <w:spacing w:before="247"/>
              <w:ind w:left="64" w:right="7"/>
              <w:jc w:val="center"/>
              <w:rPr>
                <w:rFonts w:ascii="Calibri"/>
                <w:sz w:val="22"/>
              </w:rPr>
            </w:pPr>
            <w:r>
              <w:rPr>
                <w:rFonts w:ascii="Calibri"/>
                <w:spacing w:val="-2"/>
                <w:sz w:val="22"/>
              </w:rPr>
              <w:t>13.45425</w:t>
            </w:r>
          </w:p>
        </w:tc>
      </w:tr>
      <w:tr>
        <w:trPr>
          <w:trHeight w:val="284" w:hRule="atLeast"/>
        </w:trPr>
        <w:tc>
          <w:tcPr>
            <w:tcW w:w="606" w:type="dxa"/>
          </w:tcPr>
          <w:p>
            <w:pPr>
              <w:pStyle w:val="TableParagraph"/>
              <w:spacing w:line="264" w:lineRule="exact"/>
              <w:ind w:right="56"/>
              <w:jc w:val="center"/>
              <w:rPr>
                <w:rFonts w:ascii="Calibri"/>
                <w:sz w:val="22"/>
              </w:rPr>
            </w:pPr>
            <w:r>
              <w:rPr>
                <w:rFonts w:ascii="Calibri"/>
                <w:spacing w:val="-4"/>
                <w:sz w:val="22"/>
              </w:rPr>
              <w:t>2003</w:t>
            </w:r>
          </w:p>
        </w:tc>
        <w:tc>
          <w:tcPr>
            <w:tcW w:w="1081" w:type="dxa"/>
          </w:tcPr>
          <w:p>
            <w:pPr>
              <w:pStyle w:val="TableParagraph"/>
              <w:spacing w:line="264" w:lineRule="exact"/>
              <w:ind w:left="83" w:right="108"/>
              <w:jc w:val="center"/>
              <w:rPr>
                <w:rFonts w:ascii="Calibri"/>
                <w:sz w:val="22"/>
              </w:rPr>
            </w:pPr>
            <w:r>
              <w:rPr>
                <w:rFonts w:ascii="Calibri"/>
                <w:spacing w:val="-2"/>
                <w:sz w:val="22"/>
              </w:rPr>
              <w:t>14.05522</w:t>
            </w:r>
          </w:p>
        </w:tc>
        <w:tc>
          <w:tcPr>
            <w:tcW w:w="1090" w:type="dxa"/>
          </w:tcPr>
          <w:p>
            <w:pPr>
              <w:pStyle w:val="TableParagraph"/>
              <w:spacing w:line="264" w:lineRule="exact"/>
              <w:ind w:right="115"/>
              <w:jc w:val="right"/>
              <w:rPr>
                <w:rFonts w:ascii="Calibri"/>
                <w:sz w:val="22"/>
              </w:rPr>
            </w:pPr>
            <w:r>
              <w:rPr>
                <w:rFonts w:ascii="Calibri"/>
                <w:spacing w:val="-2"/>
                <w:sz w:val="22"/>
              </w:rPr>
              <w:t>13.20936</w:t>
            </w:r>
          </w:p>
        </w:tc>
        <w:tc>
          <w:tcPr>
            <w:tcW w:w="952" w:type="dxa"/>
          </w:tcPr>
          <w:p>
            <w:pPr>
              <w:pStyle w:val="TableParagraph"/>
              <w:spacing w:line="264" w:lineRule="exact"/>
              <w:ind w:left="52"/>
              <w:jc w:val="center"/>
              <w:rPr>
                <w:rFonts w:ascii="Calibri"/>
                <w:sz w:val="22"/>
              </w:rPr>
            </w:pPr>
            <w:r>
              <w:rPr>
                <w:rFonts w:ascii="Calibri"/>
                <w:spacing w:val="-2"/>
                <w:sz w:val="22"/>
              </w:rPr>
              <w:t>-0.4961</w:t>
            </w:r>
          </w:p>
        </w:tc>
        <w:tc>
          <w:tcPr>
            <w:tcW w:w="1054" w:type="dxa"/>
          </w:tcPr>
          <w:p>
            <w:pPr>
              <w:pStyle w:val="TableParagraph"/>
              <w:spacing w:line="264" w:lineRule="exact"/>
              <w:ind w:left="1" w:right="1"/>
              <w:jc w:val="center"/>
              <w:rPr>
                <w:rFonts w:ascii="Calibri"/>
                <w:sz w:val="22"/>
              </w:rPr>
            </w:pPr>
            <w:r>
              <w:rPr>
                <w:rFonts w:ascii="Calibri"/>
                <w:spacing w:val="-2"/>
                <w:sz w:val="22"/>
              </w:rPr>
              <w:t>2.639057</w:t>
            </w:r>
          </w:p>
        </w:tc>
        <w:tc>
          <w:tcPr>
            <w:tcW w:w="1054" w:type="dxa"/>
          </w:tcPr>
          <w:p>
            <w:pPr>
              <w:pStyle w:val="TableParagraph"/>
              <w:spacing w:line="264" w:lineRule="exact"/>
              <w:ind w:right="1"/>
              <w:jc w:val="center"/>
              <w:rPr>
                <w:rFonts w:ascii="Calibri"/>
                <w:sz w:val="22"/>
              </w:rPr>
            </w:pPr>
            <w:r>
              <w:rPr>
                <w:rFonts w:ascii="Calibri"/>
                <w:spacing w:val="-2"/>
                <w:sz w:val="22"/>
              </w:rPr>
              <w:t>12.81318</w:t>
            </w:r>
          </w:p>
        </w:tc>
        <w:tc>
          <w:tcPr>
            <w:tcW w:w="1061" w:type="dxa"/>
          </w:tcPr>
          <w:p>
            <w:pPr>
              <w:pStyle w:val="TableParagraph"/>
              <w:spacing w:line="264" w:lineRule="exact"/>
              <w:ind w:right="114"/>
              <w:jc w:val="right"/>
              <w:rPr>
                <w:rFonts w:ascii="Calibri"/>
                <w:sz w:val="22"/>
              </w:rPr>
            </w:pPr>
            <w:r>
              <w:rPr>
                <w:rFonts w:ascii="Calibri"/>
                <w:spacing w:val="-2"/>
                <w:sz w:val="22"/>
              </w:rPr>
              <w:t>1.413423</w:t>
            </w:r>
          </w:p>
        </w:tc>
        <w:tc>
          <w:tcPr>
            <w:tcW w:w="1061" w:type="dxa"/>
          </w:tcPr>
          <w:p>
            <w:pPr>
              <w:pStyle w:val="TableParagraph"/>
              <w:spacing w:line="264" w:lineRule="exact"/>
              <w:ind w:right="107"/>
              <w:jc w:val="right"/>
              <w:rPr>
                <w:rFonts w:ascii="Calibri"/>
                <w:sz w:val="22"/>
              </w:rPr>
            </w:pPr>
            <w:r>
              <w:rPr>
                <w:rFonts w:ascii="Calibri"/>
                <w:spacing w:val="-2"/>
                <w:sz w:val="22"/>
              </w:rPr>
              <w:t>13.90767</w:t>
            </w:r>
          </w:p>
        </w:tc>
        <w:tc>
          <w:tcPr>
            <w:tcW w:w="1054" w:type="dxa"/>
          </w:tcPr>
          <w:p>
            <w:pPr>
              <w:pStyle w:val="TableParagraph"/>
              <w:spacing w:line="264" w:lineRule="exact"/>
              <w:ind w:right="108"/>
              <w:jc w:val="right"/>
              <w:rPr>
                <w:rFonts w:ascii="Calibri"/>
                <w:sz w:val="22"/>
              </w:rPr>
            </w:pPr>
            <w:r>
              <w:rPr>
                <w:rFonts w:ascii="Calibri"/>
                <w:spacing w:val="-2"/>
                <w:sz w:val="22"/>
              </w:rPr>
              <w:t>2.938103</w:t>
            </w:r>
          </w:p>
        </w:tc>
        <w:tc>
          <w:tcPr>
            <w:tcW w:w="995" w:type="dxa"/>
          </w:tcPr>
          <w:p>
            <w:pPr>
              <w:pStyle w:val="TableParagraph"/>
              <w:spacing w:line="264" w:lineRule="exact"/>
              <w:ind w:left="64" w:right="7"/>
              <w:jc w:val="center"/>
              <w:rPr>
                <w:rFonts w:ascii="Calibri"/>
                <w:sz w:val="22"/>
              </w:rPr>
            </w:pPr>
            <w:r>
              <w:rPr>
                <w:rFonts w:ascii="Calibri"/>
                <w:spacing w:val="-2"/>
                <w:sz w:val="22"/>
              </w:rPr>
              <w:t>13.79969</w:t>
            </w:r>
          </w:p>
        </w:tc>
      </w:tr>
      <w:tr>
        <w:trPr>
          <w:trHeight w:val="537" w:hRule="atLeast"/>
        </w:trPr>
        <w:tc>
          <w:tcPr>
            <w:tcW w:w="606" w:type="dxa"/>
          </w:tcPr>
          <w:p>
            <w:pPr>
              <w:pStyle w:val="TableParagraph"/>
              <w:spacing w:before="249"/>
              <w:ind w:right="56"/>
              <w:jc w:val="center"/>
              <w:rPr>
                <w:rFonts w:ascii="Calibri"/>
                <w:sz w:val="22"/>
              </w:rPr>
            </w:pPr>
            <w:r>
              <w:rPr>
                <w:rFonts w:ascii="Calibri"/>
                <w:spacing w:val="-4"/>
                <w:sz w:val="22"/>
              </w:rPr>
              <w:t>2004</w:t>
            </w:r>
          </w:p>
        </w:tc>
        <w:tc>
          <w:tcPr>
            <w:tcW w:w="1081" w:type="dxa"/>
          </w:tcPr>
          <w:p>
            <w:pPr>
              <w:pStyle w:val="TableParagraph"/>
              <w:spacing w:before="249"/>
              <w:ind w:left="83" w:right="108"/>
              <w:jc w:val="center"/>
              <w:rPr>
                <w:rFonts w:ascii="Calibri"/>
                <w:sz w:val="22"/>
              </w:rPr>
            </w:pPr>
            <w:r>
              <w:rPr>
                <w:rFonts w:ascii="Calibri"/>
                <w:spacing w:val="-2"/>
                <w:sz w:val="22"/>
              </w:rPr>
              <w:t>12.58897</w:t>
            </w:r>
          </w:p>
        </w:tc>
        <w:tc>
          <w:tcPr>
            <w:tcW w:w="1090" w:type="dxa"/>
          </w:tcPr>
          <w:p>
            <w:pPr>
              <w:pStyle w:val="TableParagraph"/>
              <w:spacing w:before="249"/>
              <w:ind w:right="115"/>
              <w:jc w:val="right"/>
              <w:rPr>
                <w:rFonts w:ascii="Calibri"/>
                <w:sz w:val="22"/>
              </w:rPr>
            </w:pPr>
            <w:r>
              <w:rPr>
                <w:rFonts w:ascii="Calibri"/>
                <w:spacing w:val="-2"/>
                <w:sz w:val="22"/>
              </w:rPr>
              <w:t>12.92863</w:t>
            </w:r>
          </w:p>
        </w:tc>
        <w:tc>
          <w:tcPr>
            <w:tcW w:w="952" w:type="dxa"/>
          </w:tcPr>
          <w:p>
            <w:pPr>
              <w:pStyle w:val="TableParagraph"/>
              <w:spacing w:line="249" w:lineRule="exact"/>
              <w:ind w:right="107"/>
              <w:jc w:val="right"/>
              <w:rPr>
                <w:rFonts w:ascii="Calibri"/>
                <w:sz w:val="22"/>
              </w:rPr>
            </w:pPr>
            <w:r>
              <w:rPr>
                <w:rFonts w:ascii="Calibri"/>
                <w:spacing w:val="-10"/>
                <w:sz w:val="22"/>
              </w:rPr>
              <w:t>-</w:t>
            </w:r>
          </w:p>
          <w:p>
            <w:pPr>
              <w:pStyle w:val="TableParagraph"/>
              <w:ind w:right="106"/>
              <w:jc w:val="right"/>
              <w:rPr>
                <w:rFonts w:ascii="Calibri"/>
                <w:sz w:val="22"/>
              </w:rPr>
            </w:pPr>
            <w:r>
              <w:rPr>
                <w:rFonts w:ascii="Calibri"/>
                <w:spacing w:val="-2"/>
                <w:sz w:val="22"/>
              </w:rPr>
              <w:t>0.54905</w:t>
            </w:r>
          </w:p>
        </w:tc>
        <w:tc>
          <w:tcPr>
            <w:tcW w:w="1054" w:type="dxa"/>
          </w:tcPr>
          <w:p>
            <w:pPr>
              <w:pStyle w:val="TableParagraph"/>
              <w:spacing w:before="249"/>
              <w:ind w:left="111" w:right="1"/>
              <w:jc w:val="center"/>
              <w:rPr>
                <w:rFonts w:ascii="Calibri"/>
                <w:sz w:val="22"/>
              </w:rPr>
            </w:pPr>
            <w:r>
              <w:rPr>
                <w:rFonts w:ascii="Calibri"/>
                <w:spacing w:val="-2"/>
                <w:sz w:val="22"/>
              </w:rPr>
              <w:t>2.70805</w:t>
            </w:r>
          </w:p>
        </w:tc>
        <w:tc>
          <w:tcPr>
            <w:tcW w:w="1054" w:type="dxa"/>
          </w:tcPr>
          <w:p>
            <w:pPr>
              <w:pStyle w:val="TableParagraph"/>
              <w:spacing w:before="249"/>
              <w:ind w:left="1" w:right="1"/>
              <w:jc w:val="center"/>
              <w:rPr>
                <w:rFonts w:ascii="Calibri"/>
                <w:sz w:val="22"/>
              </w:rPr>
            </w:pPr>
            <w:r>
              <w:rPr>
                <w:rFonts w:ascii="Calibri"/>
                <w:spacing w:val="-2"/>
                <w:sz w:val="22"/>
              </w:rPr>
              <w:t>7.537057</w:t>
            </w:r>
          </w:p>
        </w:tc>
        <w:tc>
          <w:tcPr>
            <w:tcW w:w="1061" w:type="dxa"/>
          </w:tcPr>
          <w:p>
            <w:pPr>
              <w:pStyle w:val="TableParagraph"/>
              <w:spacing w:before="249"/>
              <w:ind w:right="114"/>
              <w:jc w:val="right"/>
              <w:rPr>
                <w:rFonts w:ascii="Calibri"/>
                <w:sz w:val="22"/>
              </w:rPr>
            </w:pPr>
            <w:r>
              <w:rPr>
                <w:rFonts w:ascii="Calibri"/>
                <w:spacing w:val="-2"/>
                <w:sz w:val="22"/>
              </w:rPr>
              <w:t>1.432701</w:t>
            </w:r>
          </w:p>
        </w:tc>
        <w:tc>
          <w:tcPr>
            <w:tcW w:w="1061" w:type="dxa"/>
          </w:tcPr>
          <w:p>
            <w:pPr>
              <w:pStyle w:val="TableParagraph"/>
              <w:spacing w:before="249"/>
              <w:ind w:right="107"/>
              <w:jc w:val="right"/>
              <w:rPr>
                <w:rFonts w:ascii="Calibri"/>
                <w:sz w:val="22"/>
              </w:rPr>
            </w:pPr>
            <w:r>
              <w:rPr>
                <w:rFonts w:ascii="Calibri"/>
                <w:spacing w:val="-2"/>
                <w:sz w:val="22"/>
              </w:rPr>
              <w:t>14.16734</w:t>
            </w:r>
          </w:p>
        </w:tc>
        <w:tc>
          <w:tcPr>
            <w:tcW w:w="1054" w:type="dxa"/>
          </w:tcPr>
          <w:p>
            <w:pPr>
              <w:pStyle w:val="TableParagraph"/>
              <w:spacing w:before="249"/>
              <w:ind w:right="108"/>
              <w:jc w:val="right"/>
              <w:rPr>
                <w:rFonts w:ascii="Calibri"/>
                <w:sz w:val="22"/>
              </w:rPr>
            </w:pPr>
            <w:r>
              <w:rPr>
                <w:rFonts w:ascii="Calibri"/>
                <w:spacing w:val="-2"/>
                <w:sz w:val="22"/>
              </w:rPr>
              <w:t>2.776954</w:t>
            </w:r>
          </w:p>
        </w:tc>
        <w:tc>
          <w:tcPr>
            <w:tcW w:w="995" w:type="dxa"/>
          </w:tcPr>
          <w:p>
            <w:pPr>
              <w:pStyle w:val="TableParagraph"/>
              <w:spacing w:before="249"/>
              <w:ind w:left="64" w:right="7"/>
              <w:jc w:val="center"/>
              <w:rPr>
                <w:rFonts w:ascii="Calibri"/>
                <w:sz w:val="22"/>
              </w:rPr>
            </w:pPr>
            <w:r>
              <w:rPr>
                <w:rFonts w:ascii="Calibri"/>
                <w:spacing w:val="-2"/>
                <w:sz w:val="22"/>
              </w:rPr>
              <w:t>13.84769</w:t>
            </w:r>
          </w:p>
        </w:tc>
      </w:tr>
      <w:tr>
        <w:trPr>
          <w:trHeight w:val="537" w:hRule="atLeast"/>
        </w:trPr>
        <w:tc>
          <w:tcPr>
            <w:tcW w:w="606" w:type="dxa"/>
          </w:tcPr>
          <w:p>
            <w:pPr>
              <w:pStyle w:val="TableParagraph"/>
              <w:spacing w:before="249"/>
              <w:ind w:right="56"/>
              <w:jc w:val="center"/>
              <w:rPr>
                <w:rFonts w:ascii="Calibri"/>
                <w:sz w:val="22"/>
              </w:rPr>
            </w:pPr>
            <w:r>
              <w:rPr>
                <w:rFonts w:ascii="Calibri"/>
                <w:spacing w:val="-4"/>
                <w:sz w:val="22"/>
              </w:rPr>
              <w:t>2005</w:t>
            </w:r>
          </w:p>
        </w:tc>
        <w:tc>
          <w:tcPr>
            <w:tcW w:w="1081" w:type="dxa"/>
          </w:tcPr>
          <w:p>
            <w:pPr>
              <w:pStyle w:val="TableParagraph"/>
              <w:spacing w:before="249"/>
              <w:ind w:left="83"/>
              <w:jc w:val="center"/>
              <w:rPr>
                <w:rFonts w:ascii="Calibri"/>
                <w:sz w:val="22"/>
              </w:rPr>
            </w:pPr>
            <w:r>
              <w:rPr>
                <w:rFonts w:ascii="Calibri"/>
                <w:spacing w:val="-2"/>
                <w:sz w:val="22"/>
              </w:rPr>
              <w:t>11.4869</w:t>
            </w:r>
          </w:p>
        </w:tc>
        <w:tc>
          <w:tcPr>
            <w:tcW w:w="1090" w:type="dxa"/>
          </w:tcPr>
          <w:p>
            <w:pPr>
              <w:pStyle w:val="TableParagraph"/>
              <w:spacing w:before="249"/>
              <w:ind w:right="115"/>
              <w:jc w:val="right"/>
              <w:rPr>
                <w:rFonts w:ascii="Calibri"/>
                <w:sz w:val="22"/>
              </w:rPr>
            </w:pPr>
            <w:r>
              <w:rPr>
                <w:rFonts w:ascii="Calibri"/>
                <w:spacing w:val="-2"/>
                <w:sz w:val="22"/>
              </w:rPr>
              <w:t>14.60178</w:t>
            </w:r>
          </w:p>
        </w:tc>
        <w:tc>
          <w:tcPr>
            <w:tcW w:w="952" w:type="dxa"/>
          </w:tcPr>
          <w:p>
            <w:pPr>
              <w:pStyle w:val="TableParagraph"/>
              <w:spacing w:line="249" w:lineRule="exact"/>
              <w:ind w:right="107"/>
              <w:jc w:val="right"/>
              <w:rPr>
                <w:rFonts w:ascii="Calibri"/>
                <w:sz w:val="22"/>
              </w:rPr>
            </w:pPr>
            <w:r>
              <w:rPr>
                <w:rFonts w:ascii="Calibri"/>
                <w:spacing w:val="-10"/>
                <w:sz w:val="22"/>
              </w:rPr>
              <w:t>-</w:t>
            </w:r>
          </w:p>
          <w:p>
            <w:pPr>
              <w:pStyle w:val="TableParagraph"/>
              <w:ind w:right="106"/>
              <w:jc w:val="right"/>
              <w:rPr>
                <w:rFonts w:ascii="Calibri"/>
                <w:sz w:val="22"/>
              </w:rPr>
            </w:pPr>
            <w:r>
              <w:rPr>
                <w:rFonts w:ascii="Calibri"/>
                <w:spacing w:val="-2"/>
                <w:sz w:val="22"/>
              </w:rPr>
              <w:t>0.37179</w:t>
            </w:r>
          </w:p>
        </w:tc>
        <w:tc>
          <w:tcPr>
            <w:tcW w:w="1054" w:type="dxa"/>
          </w:tcPr>
          <w:p>
            <w:pPr>
              <w:pStyle w:val="TableParagraph"/>
              <w:spacing w:before="249"/>
              <w:ind w:left="1" w:right="1"/>
              <w:jc w:val="center"/>
              <w:rPr>
                <w:rFonts w:ascii="Calibri"/>
                <w:sz w:val="22"/>
              </w:rPr>
            </w:pPr>
            <w:r>
              <w:rPr>
                <w:rFonts w:ascii="Calibri"/>
                <w:spacing w:val="-2"/>
                <w:sz w:val="22"/>
              </w:rPr>
              <w:t>2.884801</w:t>
            </w:r>
          </w:p>
        </w:tc>
        <w:tc>
          <w:tcPr>
            <w:tcW w:w="1054" w:type="dxa"/>
          </w:tcPr>
          <w:p>
            <w:pPr>
              <w:pStyle w:val="TableParagraph"/>
              <w:spacing w:before="249"/>
              <w:ind w:right="1"/>
              <w:jc w:val="center"/>
              <w:rPr>
                <w:rFonts w:ascii="Calibri"/>
                <w:sz w:val="22"/>
              </w:rPr>
            </w:pPr>
            <w:r>
              <w:rPr>
                <w:rFonts w:ascii="Calibri"/>
                <w:spacing w:val="-2"/>
                <w:sz w:val="22"/>
              </w:rPr>
              <w:t>10.95937</w:t>
            </w:r>
          </w:p>
        </w:tc>
        <w:tc>
          <w:tcPr>
            <w:tcW w:w="1061" w:type="dxa"/>
          </w:tcPr>
          <w:p>
            <w:pPr>
              <w:pStyle w:val="TableParagraph"/>
              <w:spacing w:before="249"/>
              <w:ind w:right="114"/>
              <w:jc w:val="right"/>
              <w:rPr>
                <w:rFonts w:ascii="Calibri"/>
                <w:sz w:val="22"/>
              </w:rPr>
            </w:pPr>
            <w:r>
              <w:rPr>
                <w:rFonts w:ascii="Calibri"/>
                <w:spacing w:val="-2"/>
                <w:sz w:val="22"/>
              </w:rPr>
              <w:t>1.342865</w:t>
            </w:r>
          </w:p>
        </w:tc>
        <w:tc>
          <w:tcPr>
            <w:tcW w:w="1061" w:type="dxa"/>
          </w:tcPr>
          <w:p>
            <w:pPr>
              <w:pStyle w:val="TableParagraph"/>
              <w:spacing w:before="249"/>
              <w:ind w:right="107"/>
              <w:jc w:val="right"/>
              <w:rPr>
                <w:rFonts w:ascii="Calibri"/>
                <w:sz w:val="22"/>
              </w:rPr>
            </w:pPr>
            <w:r>
              <w:rPr>
                <w:rFonts w:ascii="Calibri"/>
                <w:spacing w:val="-2"/>
                <w:sz w:val="22"/>
              </w:rPr>
              <w:t>14.4244</w:t>
            </w:r>
          </w:p>
        </w:tc>
        <w:tc>
          <w:tcPr>
            <w:tcW w:w="1054" w:type="dxa"/>
          </w:tcPr>
          <w:p>
            <w:pPr>
              <w:pStyle w:val="TableParagraph"/>
              <w:spacing w:before="249"/>
              <w:ind w:right="108"/>
              <w:jc w:val="right"/>
              <w:rPr>
                <w:rFonts w:ascii="Calibri"/>
                <w:sz w:val="22"/>
              </w:rPr>
            </w:pPr>
            <w:r>
              <w:rPr>
                <w:rFonts w:ascii="Calibri"/>
                <w:spacing w:val="-2"/>
                <w:sz w:val="22"/>
              </w:rPr>
              <w:t>2.573375</w:t>
            </w:r>
          </w:p>
        </w:tc>
        <w:tc>
          <w:tcPr>
            <w:tcW w:w="995" w:type="dxa"/>
          </w:tcPr>
          <w:p>
            <w:pPr>
              <w:pStyle w:val="TableParagraph"/>
              <w:spacing w:before="249"/>
              <w:ind w:left="64" w:right="7"/>
              <w:jc w:val="center"/>
              <w:rPr>
                <w:rFonts w:ascii="Calibri"/>
                <w:sz w:val="22"/>
              </w:rPr>
            </w:pPr>
            <w:r>
              <w:rPr>
                <w:rFonts w:ascii="Calibri"/>
                <w:spacing w:val="-2"/>
                <w:sz w:val="22"/>
              </w:rPr>
              <w:t>14.01739</w:t>
            </w:r>
          </w:p>
        </w:tc>
      </w:tr>
      <w:tr>
        <w:trPr>
          <w:trHeight w:val="537" w:hRule="atLeast"/>
        </w:trPr>
        <w:tc>
          <w:tcPr>
            <w:tcW w:w="606" w:type="dxa"/>
          </w:tcPr>
          <w:p>
            <w:pPr>
              <w:pStyle w:val="TableParagraph"/>
              <w:spacing w:before="249"/>
              <w:ind w:right="56"/>
              <w:jc w:val="center"/>
              <w:rPr>
                <w:rFonts w:ascii="Calibri"/>
                <w:sz w:val="22"/>
              </w:rPr>
            </w:pPr>
            <w:r>
              <w:rPr>
                <w:rFonts w:ascii="Calibri"/>
                <w:spacing w:val="-4"/>
                <w:sz w:val="22"/>
              </w:rPr>
              <w:t>2006</w:t>
            </w:r>
          </w:p>
        </w:tc>
        <w:tc>
          <w:tcPr>
            <w:tcW w:w="1081" w:type="dxa"/>
          </w:tcPr>
          <w:p>
            <w:pPr>
              <w:pStyle w:val="TableParagraph"/>
              <w:spacing w:before="249"/>
              <w:ind w:left="83" w:right="108"/>
              <w:jc w:val="center"/>
              <w:rPr>
                <w:rFonts w:ascii="Calibri"/>
                <w:sz w:val="22"/>
              </w:rPr>
            </w:pPr>
            <w:r>
              <w:rPr>
                <w:rFonts w:ascii="Calibri"/>
                <w:spacing w:val="-2"/>
                <w:sz w:val="22"/>
              </w:rPr>
              <w:t>14.02227</w:t>
            </w:r>
          </w:p>
        </w:tc>
        <w:tc>
          <w:tcPr>
            <w:tcW w:w="1090" w:type="dxa"/>
          </w:tcPr>
          <w:p>
            <w:pPr>
              <w:pStyle w:val="TableParagraph"/>
              <w:spacing w:before="249"/>
              <w:ind w:right="115"/>
              <w:jc w:val="right"/>
              <w:rPr>
                <w:rFonts w:ascii="Calibri"/>
                <w:sz w:val="22"/>
              </w:rPr>
            </w:pPr>
            <w:r>
              <w:rPr>
                <w:rFonts w:ascii="Calibri"/>
                <w:spacing w:val="-2"/>
                <w:sz w:val="22"/>
              </w:rPr>
              <w:t>14.6236</w:t>
            </w:r>
          </w:p>
        </w:tc>
        <w:tc>
          <w:tcPr>
            <w:tcW w:w="952" w:type="dxa"/>
          </w:tcPr>
          <w:p>
            <w:pPr>
              <w:pStyle w:val="TableParagraph"/>
              <w:spacing w:line="249" w:lineRule="exact"/>
              <w:ind w:right="107"/>
              <w:jc w:val="right"/>
              <w:rPr>
                <w:rFonts w:ascii="Calibri"/>
                <w:sz w:val="22"/>
              </w:rPr>
            </w:pPr>
            <w:r>
              <w:rPr>
                <w:rFonts w:ascii="Calibri"/>
                <w:spacing w:val="-10"/>
                <w:sz w:val="22"/>
              </w:rPr>
              <w:t>-</w:t>
            </w:r>
          </w:p>
          <w:p>
            <w:pPr>
              <w:pStyle w:val="TableParagraph"/>
              <w:ind w:right="106"/>
              <w:jc w:val="right"/>
              <w:rPr>
                <w:rFonts w:ascii="Calibri"/>
                <w:sz w:val="22"/>
              </w:rPr>
            </w:pPr>
            <w:r>
              <w:rPr>
                <w:rFonts w:ascii="Calibri"/>
                <w:spacing w:val="-2"/>
                <w:sz w:val="22"/>
              </w:rPr>
              <w:t>0.57608</w:t>
            </w:r>
          </w:p>
        </w:tc>
        <w:tc>
          <w:tcPr>
            <w:tcW w:w="1054" w:type="dxa"/>
          </w:tcPr>
          <w:p>
            <w:pPr>
              <w:pStyle w:val="TableParagraph"/>
              <w:spacing w:before="249"/>
              <w:ind w:left="1" w:right="1"/>
              <w:jc w:val="center"/>
              <w:rPr>
                <w:rFonts w:ascii="Calibri"/>
                <w:sz w:val="22"/>
              </w:rPr>
            </w:pPr>
            <w:r>
              <w:rPr>
                <w:rFonts w:ascii="Calibri"/>
                <w:spacing w:val="-2"/>
                <w:sz w:val="22"/>
              </w:rPr>
              <w:t>2.104134</w:t>
            </w:r>
          </w:p>
        </w:tc>
        <w:tc>
          <w:tcPr>
            <w:tcW w:w="1054" w:type="dxa"/>
          </w:tcPr>
          <w:p>
            <w:pPr>
              <w:pStyle w:val="TableParagraph"/>
              <w:spacing w:before="249"/>
              <w:ind w:right="1"/>
              <w:jc w:val="center"/>
              <w:rPr>
                <w:rFonts w:ascii="Calibri"/>
                <w:sz w:val="22"/>
              </w:rPr>
            </w:pPr>
            <w:r>
              <w:rPr>
                <w:rFonts w:ascii="Calibri"/>
                <w:spacing w:val="-2"/>
                <w:sz w:val="22"/>
              </w:rPr>
              <w:t>13.51925</w:t>
            </w:r>
          </w:p>
        </w:tc>
        <w:tc>
          <w:tcPr>
            <w:tcW w:w="1061" w:type="dxa"/>
          </w:tcPr>
          <w:p>
            <w:pPr>
              <w:pStyle w:val="TableParagraph"/>
              <w:spacing w:before="249"/>
              <w:ind w:right="114"/>
              <w:jc w:val="right"/>
              <w:rPr>
                <w:rFonts w:ascii="Calibri"/>
                <w:sz w:val="22"/>
              </w:rPr>
            </w:pPr>
            <w:r>
              <w:rPr>
                <w:rFonts w:ascii="Calibri"/>
                <w:spacing w:val="-2"/>
                <w:sz w:val="22"/>
              </w:rPr>
              <w:t>1.144223</w:t>
            </w:r>
          </w:p>
        </w:tc>
        <w:tc>
          <w:tcPr>
            <w:tcW w:w="1061" w:type="dxa"/>
          </w:tcPr>
          <w:p>
            <w:pPr>
              <w:pStyle w:val="TableParagraph"/>
              <w:spacing w:before="249"/>
              <w:ind w:right="107"/>
              <w:jc w:val="right"/>
              <w:rPr>
                <w:rFonts w:ascii="Calibri"/>
                <w:sz w:val="22"/>
              </w:rPr>
            </w:pPr>
            <w:r>
              <w:rPr>
                <w:rFonts w:ascii="Calibri"/>
                <w:spacing w:val="-2"/>
                <w:sz w:val="22"/>
              </w:rPr>
              <w:t>14.64433</w:t>
            </w:r>
          </w:p>
        </w:tc>
        <w:tc>
          <w:tcPr>
            <w:tcW w:w="1054" w:type="dxa"/>
          </w:tcPr>
          <w:p>
            <w:pPr>
              <w:pStyle w:val="TableParagraph"/>
              <w:spacing w:before="249"/>
              <w:ind w:right="108"/>
              <w:jc w:val="right"/>
              <w:rPr>
                <w:rFonts w:ascii="Calibri"/>
                <w:sz w:val="22"/>
              </w:rPr>
            </w:pPr>
            <w:r>
              <w:rPr>
                <w:rFonts w:ascii="Calibri"/>
                <w:spacing w:val="-2"/>
                <w:sz w:val="22"/>
              </w:rPr>
              <w:t>2.381396</w:t>
            </w:r>
          </w:p>
        </w:tc>
        <w:tc>
          <w:tcPr>
            <w:tcW w:w="995" w:type="dxa"/>
          </w:tcPr>
          <w:p>
            <w:pPr>
              <w:pStyle w:val="TableParagraph"/>
              <w:spacing w:before="249"/>
              <w:ind w:left="64" w:right="7"/>
              <w:jc w:val="center"/>
              <w:rPr>
                <w:rFonts w:ascii="Calibri"/>
                <w:sz w:val="22"/>
              </w:rPr>
            </w:pPr>
            <w:r>
              <w:rPr>
                <w:rFonts w:ascii="Calibri"/>
                <w:spacing w:val="-2"/>
                <w:sz w:val="22"/>
              </w:rPr>
              <w:t>14.07031</w:t>
            </w:r>
          </w:p>
        </w:tc>
      </w:tr>
      <w:tr>
        <w:trPr>
          <w:trHeight w:val="536" w:hRule="atLeast"/>
        </w:trPr>
        <w:tc>
          <w:tcPr>
            <w:tcW w:w="606" w:type="dxa"/>
          </w:tcPr>
          <w:p>
            <w:pPr>
              <w:pStyle w:val="TableParagraph"/>
              <w:spacing w:line="267" w:lineRule="exact" w:before="249"/>
              <w:ind w:right="56"/>
              <w:jc w:val="center"/>
              <w:rPr>
                <w:rFonts w:ascii="Calibri"/>
                <w:sz w:val="22"/>
              </w:rPr>
            </w:pPr>
            <w:r>
              <w:rPr>
                <w:rFonts w:ascii="Calibri"/>
                <w:spacing w:val="-4"/>
                <w:sz w:val="22"/>
              </w:rPr>
              <w:t>2007</w:t>
            </w:r>
          </w:p>
        </w:tc>
        <w:tc>
          <w:tcPr>
            <w:tcW w:w="1081" w:type="dxa"/>
          </w:tcPr>
          <w:p>
            <w:pPr>
              <w:pStyle w:val="TableParagraph"/>
              <w:spacing w:line="267" w:lineRule="exact" w:before="249"/>
              <w:ind w:left="83" w:right="108"/>
              <w:jc w:val="center"/>
              <w:rPr>
                <w:rFonts w:ascii="Calibri"/>
                <w:sz w:val="22"/>
              </w:rPr>
            </w:pPr>
            <w:r>
              <w:rPr>
                <w:rFonts w:ascii="Calibri"/>
                <w:spacing w:val="-2"/>
                <w:sz w:val="22"/>
              </w:rPr>
              <w:t>14.61895</w:t>
            </w:r>
          </w:p>
        </w:tc>
        <w:tc>
          <w:tcPr>
            <w:tcW w:w="1090" w:type="dxa"/>
          </w:tcPr>
          <w:p>
            <w:pPr>
              <w:pStyle w:val="TableParagraph"/>
              <w:spacing w:line="267" w:lineRule="exact" w:before="249"/>
              <w:ind w:right="114"/>
              <w:jc w:val="right"/>
              <w:rPr>
                <w:rFonts w:ascii="Calibri"/>
                <w:sz w:val="22"/>
              </w:rPr>
            </w:pPr>
            <w:r>
              <w:rPr>
                <w:rFonts w:ascii="Calibri"/>
                <w:spacing w:val="-2"/>
                <w:sz w:val="22"/>
              </w:rPr>
              <w:t>9.9224</w:t>
            </w:r>
          </w:p>
        </w:tc>
        <w:tc>
          <w:tcPr>
            <w:tcW w:w="952" w:type="dxa"/>
          </w:tcPr>
          <w:p>
            <w:pPr>
              <w:pStyle w:val="TableParagraph"/>
              <w:spacing w:line="249" w:lineRule="exact"/>
              <w:ind w:right="107"/>
              <w:jc w:val="right"/>
              <w:rPr>
                <w:rFonts w:ascii="Calibri"/>
                <w:sz w:val="22"/>
              </w:rPr>
            </w:pPr>
            <w:r>
              <w:rPr>
                <w:rFonts w:ascii="Calibri"/>
                <w:spacing w:val="-10"/>
                <w:sz w:val="22"/>
              </w:rPr>
              <w:t>-</w:t>
            </w:r>
          </w:p>
          <w:p>
            <w:pPr>
              <w:pStyle w:val="TableParagraph"/>
              <w:spacing w:line="267" w:lineRule="exact"/>
              <w:ind w:right="106"/>
              <w:jc w:val="right"/>
              <w:rPr>
                <w:rFonts w:ascii="Calibri"/>
                <w:sz w:val="22"/>
              </w:rPr>
            </w:pPr>
            <w:r>
              <w:rPr>
                <w:rFonts w:ascii="Calibri"/>
                <w:spacing w:val="-2"/>
                <w:sz w:val="22"/>
              </w:rPr>
              <w:t>0.52492</w:t>
            </w:r>
          </w:p>
        </w:tc>
        <w:tc>
          <w:tcPr>
            <w:tcW w:w="1054" w:type="dxa"/>
          </w:tcPr>
          <w:p>
            <w:pPr>
              <w:pStyle w:val="TableParagraph"/>
              <w:spacing w:line="267" w:lineRule="exact" w:before="249"/>
              <w:ind w:left="1" w:right="1"/>
              <w:jc w:val="center"/>
              <w:rPr>
                <w:rFonts w:ascii="Calibri"/>
                <w:sz w:val="22"/>
              </w:rPr>
            </w:pPr>
            <w:r>
              <w:rPr>
                <w:rFonts w:ascii="Calibri"/>
                <w:spacing w:val="-2"/>
                <w:sz w:val="22"/>
              </w:rPr>
              <w:t>1.686399</w:t>
            </w:r>
          </w:p>
        </w:tc>
        <w:tc>
          <w:tcPr>
            <w:tcW w:w="1054" w:type="dxa"/>
          </w:tcPr>
          <w:p>
            <w:pPr>
              <w:pStyle w:val="TableParagraph"/>
              <w:spacing w:line="267" w:lineRule="exact" w:before="249"/>
              <w:ind w:right="1"/>
              <w:jc w:val="center"/>
              <w:rPr>
                <w:rFonts w:ascii="Calibri"/>
                <w:sz w:val="22"/>
              </w:rPr>
            </w:pPr>
            <w:r>
              <w:rPr>
                <w:rFonts w:ascii="Calibri"/>
                <w:spacing w:val="-2"/>
                <w:sz w:val="22"/>
              </w:rPr>
              <w:t>12.87412</w:t>
            </w:r>
          </w:p>
        </w:tc>
        <w:tc>
          <w:tcPr>
            <w:tcW w:w="1061" w:type="dxa"/>
          </w:tcPr>
          <w:p>
            <w:pPr>
              <w:pStyle w:val="TableParagraph"/>
              <w:spacing w:line="267" w:lineRule="exact" w:before="249"/>
              <w:ind w:right="114"/>
              <w:jc w:val="right"/>
              <w:rPr>
                <w:rFonts w:ascii="Calibri"/>
                <w:sz w:val="22"/>
              </w:rPr>
            </w:pPr>
            <w:r>
              <w:rPr>
                <w:rFonts w:ascii="Calibri"/>
                <w:spacing w:val="-2"/>
                <w:sz w:val="22"/>
              </w:rPr>
              <w:t>1.266948</w:t>
            </w:r>
          </w:p>
        </w:tc>
        <w:tc>
          <w:tcPr>
            <w:tcW w:w="1061" w:type="dxa"/>
          </w:tcPr>
          <w:p>
            <w:pPr>
              <w:pStyle w:val="TableParagraph"/>
              <w:spacing w:line="267" w:lineRule="exact" w:before="249"/>
              <w:ind w:right="107"/>
              <w:jc w:val="right"/>
              <w:rPr>
                <w:rFonts w:ascii="Calibri"/>
                <w:sz w:val="22"/>
              </w:rPr>
            </w:pPr>
            <w:r>
              <w:rPr>
                <w:rFonts w:ascii="Calibri"/>
                <w:spacing w:val="-2"/>
                <w:sz w:val="22"/>
              </w:rPr>
              <w:t>15.11534</w:t>
            </w:r>
          </w:p>
        </w:tc>
        <w:tc>
          <w:tcPr>
            <w:tcW w:w="1054" w:type="dxa"/>
          </w:tcPr>
          <w:p>
            <w:pPr>
              <w:pStyle w:val="TableParagraph"/>
              <w:spacing w:line="267" w:lineRule="exact" w:before="249"/>
              <w:ind w:right="108"/>
              <w:jc w:val="right"/>
              <w:rPr>
                <w:rFonts w:ascii="Calibri"/>
                <w:sz w:val="22"/>
              </w:rPr>
            </w:pPr>
            <w:r>
              <w:rPr>
                <w:rFonts w:ascii="Calibri"/>
                <w:spacing w:val="-2"/>
                <w:sz w:val="22"/>
              </w:rPr>
              <w:t>2.385086</w:t>
            </w:r>
          </w:p>
        </w:tc>
        <w:tc>
          <w:tcPr>
            <w:tcW w:w="995" w:type="dxa"/>
          </w:tcPr>
          <w:p>
            <w:pPr>
              <w:pStyle w:val="TableParagraph"/>
              <w:spacing w:line="267" w:lineRule="exact" w:before="249"/>
              <w:ind w:left="64" w:right="7"/>
              <w:jc w:val="center"/>
              <w:rPr>
                <w:rFonts w:ascii="Calibri"/>
                <w:sz w:val="22"/>
              </w:rPr>
            </w:pPr>
            <w:r>
              <w:rPr>
                <w:rFonts w:ascii="Calibri"/>
                <w:spacing w:val="-2"/>
                <w:sz w:val="22"/>
              </w:rPr>
              <w:t>14.27879</w:t>
            </w:r>
          </w:p>
        </w:tc>
      </w:tr>
      <w:tr>
        <w:trPr>
          <w:trHeight w:val="536" w:hRule="atLeast"/>
        </w:trPr>
        <w:tc>
          <w:tcPr>
            <w:tcW w:w="606" w:type="dxa"/>
          </w:tcPr>
          <w:p>
            <w:pPr>
              <w:pStyle w:val="TableParagraph"/>
              <w:spacing w:before="248"/>
              <w:ind w:right="56"/>
              <w:jc w:val="center"/>
              <w:rPr>
                <w:rFonts w:ascii="Calibri"/>
                <w:sz w:val="22"/>
              </w:rPr>
            </w:pPr>
            <w:r>
              <w:rPr>
                <w:rFonts w:ascii="Calibri"/>
                <w:spacing w:val="-4"/>
                <w:sz w:val="22"/>
              </w:rPr>
              <w:t>2008</w:t>
            </w:r>
          </w:p>
        </w:tc>
        <w:tc>
          <w:tcPr>
            <w:tcW w:w="1081" w:type="dxa"/>
          </w:tcPr>
          <w:p>
            <w:pPr>
              <w:pStyle w:val="TableParagraph"/>
              <w:spacing w:before="248"/>
              <w:ind w:left="83" w:right="108"/>
              <w:jc w:val="center"/>
              <w:rPr>
                <w:rFonts w:ascii="Calibri"/>
                <w:sz w:val="22"/>
              </w:rPr>
            </w:pPr>
            <w:r>
              <w:rPr>
                <w:rFonts w:ascii="Calibri"/>
                <w:spacing w:val="-2"/>
                <w:sz w:val="22"/>
              </w:rPr>
              <w:t>14.81814</w:t>
            </w:r>
          </w:p>
        </w:tc>
        <w:tc>
          <w:tcPr>
            <w:tcW w:w="1090" w:type="dxa"/>
          </w:tcPr>
          <w:p>
            <w:pPr>
              <w:pStyle w:val="TableParagraph"/>
              <w:spacing w:before="248"/>
              <w:ind w:right="115"/>
              <w:jc w:val="right"/>
              <w:rPr>
                <w:rFonts w:ascii="Calibri"/>
                <w:sz w:val="22"/>
              </w:rPr>
            </w:pPr>
            <w:r>
              <w:rPr>
                <w:rFonts w:ascii="Calibri"/>
                <w:spacing w:val="-2"/>
                <w:sz w:val="22"/>
              </w:rPr>
              <w:t>11.03651</w:t>
            </w:r>
          </w:p>
        </w:tc>
        <w:tc>
          <w:tcPr>
            <w:tcW w:w="952" w:type="dxa"/>
          </w:tcPr>
          <w:p>
            <w:pPr>
              <w:pStyle w:val="TableParagraph"/>
              <w:spacing w:line="247" w:lineRule="exact"/>
              <w:ind w:right="107"/>
              <w:jc w:val="right"/>
              <w:rPr>
                <w:rFonts w:ascii="Calibri"/>
                <w:sz w:val="22"/>
              </w:rPr>
            </w:pPr>
            <w:r>
              <w:rPr>
                <w:rFonts w:ascii="Calibri"/>
                <w:spacing w:val="-10"/>
                <w:sz w:val="22"/>
              </w:rPr>
              <w:t>-</w:t>
            </w:r>
          </w:p>
          <w:p>
            <w:pPr>
              <w:pStyle w:val="TableParagraph"/>
              <w:ind w:right="106"/>
              <w:jc w:val="right"/>
              <w:rPr>
                <w:rFonts w:ascii="Calibri"/>
                <w:sz w:val="22"/>
              </w:rPr>
            </w:pPr>
            <w:r>
              <w:rPr>
                <w:rFonts w:ascii="Calibri"/>
                <w:spacing w:val="-2"/>
                <w:sz w:val="22"/>
              </w:rPr>
              <w:t>0.45918</w:t>
            </w:r>
          </w:p>
        </w:tc>
        <w:tc>
          <w:tcPr>
            <w:tcW w:w="1054" w:type="dxa"/>
          </w:tcPr>
          <w:p>
            <w:pPr>
              <w:pStyle w:val="TableParagraph"/>
              <w:spacing w:before="248"/>
              <w:ind w:left="1" w:right="1"/>
              <w:jc w:val="center"/>
              <w:rPr>
                <w:rFonts w:ascii="Calibri"/>
                <w:sz w:val="22"/>
              </w:rPr>
            </w:pPr>
            <w:r>
              <w:rPr>
                <w:rFonts w:ascii="Calibri"/>
                <w:spacing w:val="-2"/>
                <w:sz w:val="22"/>
              </w:rPr>
              <w:t>2.451005</w:t>
            </w:r>
          </w:p>
        </w:tc>
        <w:tc>
          <w:tcPr>
            <w:tcW w:w="1054" w:type="dxa"/>
          </w:tcPr>
          <w:p>
            <w:pPr>
              <w:pStyle w:val="TableParagraph"/>
              <w:spacing w:before="248"/>
              <w:ind w:left="110" w:right="1"/>
              <w:jc w:val="center"/>
              <w:rPr>
                <w:rFonts w:ascii="Calibri"/>
                <w:sz w:val="22"/>
              </w:rPr>
            </w:pPr>
            <w:r>
              <w:rPr>
                <w:rFonts w:ascii="Calibri"/>
                <w:spacing w:val="-2"/>
                <w:sz w:val="22"/>
              </w:rPr>
              <w:t>11.6732</w:t>
            </w:r>
          </w:p>
        </w:tc>
        <w:tc>
          <w:tcPr>
            <w:tcW w:w="1061" w:type="dxa"/>
          </w:tcPr>
          <w:p>
            <w:pPr>
              <w:pStyle w:val="TableParagraph"/>
              <w:spacing w:before="248"/>
              <w:ind w:right="114"/>
              <w:jc w:val="right"/>
              <w:rPr>
                <w:rFonts w:ascii="Calibri"/>
                <w:sz w:val="22"/>
              </w:rPr>
            </w:pPr>
            <w:r>
              <w:rPr>
                <w:rFonts w:ascii="Calibri"/>
                <w:spacing w:val="-2"/>
                <w:sz w:val="22"/>
              </w:rPr>
              <w:t>1.043804</w:t>
            </w:r>
          </w:p>
        </w:tc>
        <w:tc>
          <w:tcPr>
            <w:tcW w:w="1061" w:type="dxa"/>
          </w:tcPr>
          <w:p>
            <w:pPr>
              <w:pStyle w:val="TableParagraph"/>
              <w:spacing w:before="248"/>
              <w:ind w:right="107"/>
              <w:jc w:val="right"/>
              <w:rPr>
                <w:rFonts w:ascii="Calibri"/>
                <w:sz w:val="22"/>
              </w:rPr>
            </w:pPr>
            <w:r>
              <w:rPr>
                <w:rFonts w:ascii="Calibri"/>
                <w:spacing w:val="-2"/>
                <w:sz w:val="22"/>
              </w:rPr>
              <w:t>15.75</w:t>
            </w:r>
          </w:p>
        </w:tc>
        <w:tc>
          <w:tcPr>
            <w:tcW w:w="1054" w:type="dxa"/>
          </w:tcPr>
          <w:p>
            <w:pPr>
              <w:pStyle w:val="TableParagraph"/>
              <w:spacing w:before="248"/>
              <w:ind w:right="108"/>
              <w:jc w:val="right"/>
              <w:rPr>
                <w:rFonts w:ascii="Calibri"/>
                <w:sz w:val="22"/>
              </w:rPr>
            </w:pPr>
            <w:r>
              <w:rPr>
                <w:rFonts w:ascii="Calibri"/>
                <w:spacing w:val="-2"/>
                <w:sz w:val="22"/>
              </w:rPr>
              <w:t>2.622492</w:t>
            </w:r>
          </w:p>
        </w:tc>
        <w:tc>
          <w:tcPr>
            <w:tcW w:w="995" w:type="dxa"/>
          </w:tcPr>
          <w:p>
            <w:pPr>
              <w:pStyle w:val="TableParagraph"/>
              <w:spacing w:before="248"/>
              <w:ind w:left="64" w:right="7"/>
              <w:jc w:val="center"/>
              <w:rPr>
                <w:rFonts w:ascii="Calibri"/>
                <w:sz w:val="22"/>
              </w:rPr>
            </w:pPr>
            <w:r>
              <w:rPr>
                <w:rFonts w:ascii="Calibri"/>
                <w:spacing w:val="-2"/>
                <w:sz w:val="22"/>
              </w:rPr>
              <w:t>14.56568</w:t>
            </w:r>
          </w:p>
        </w:tc>
      </w:tr>
      <w:tr>
        <w:trPr>
          <w:trHeight w:val="537" w:hRule="atLeast"/>
        </w:trPr>
        <w:tc>
          <w:tcPr>
            <w:tcW w:w="606" w:type="dxa"/>
          </w:tcPr>
          <w:p>
            <w:pPr>
              <w:pStyle w:val="TableParagraph"/>
              <w:spacing w:before="249"/>
              <w:ind w:right="56"/>
              <w:jc w:val="center"/>
              <w:rPr>
                <w:rFonts w:ascii="Calibri"/>
                <w:sz w:val="22"/>
              </w:rPr>
            </w:pPr>
            <w:r>
              <w:rPr>
                <w:rFonts w:ascii="Calibri"/>
                <w:spacing w:val="-4"/>
                <w:sz w:val="22"/>
              </w:rPr>
              <w:t>2009</w:t>
            </w:r>
          </w:p>
        </w:tc>
        <w:tc>
          <w:tcPr>
            <w:tcW w:w="1081" w:type="dxa"/>
          </w:tcPr>
          <w:p>
            <w:pPr>
              <w:pStyle w:val="TableParagraph"/>
              <w:spacing w:before="249"/>
              <w:ind w:left="83" w:right="108"/>
              <w:jc w:val="center"/>
              <w:rPr>
                <w:rFonts w:ascii="Calibri"/>
                <w:sz w:val="22"/>
              </w:rPr>
            </w:pPr>
            <w:r>
              <w:rPr>
                <w:rFonts w:ascii="Calibri"/>
                <w:spacing w:val="-2"/>
                <w:sz w:val="22"/>
              </w:rPr>
              <w:t>12.86965</w:t>
            </w:r>
          </w:p>
        </w:tc>
        <w:tc>
          <w:tcPr>
            <w:tcW w:w="1090" w:type="dxa"/>
          </w:tcPr>
          <w:p>
            <w:pPr>
              <w:pStyle w:val="TableParagraph"/>
              <w:spacing w:before="249"/>
              <w:ind w:right="115"/>
              <w:jc w:val="right"/>
              <w:rPr>
                <w:rFonts w:ascii="Calibri"/>
                <w:sz w:val="22"/>
              </w:rPr>
            </w:pPr>
            <w:r>
              <w:rPr>
                <w:rFonts w:ascii="Calibri"/>
                <w:spacing w:val="-2"/>
                <w:sz w:val="22"/>
              </w:rPr>
              <w:t>11.48515</w:t>
            </w:r>
          </w:p>
        </w:tc>
        <w:tc>
          <w:tcPr>
            <w:tcW w:w="952" w:type="dxa"/>
          </w:tcPr>
          <w:p>
            <w:pPr>
              <w:pStyle w:val="TableParagraph"/>
              <w:spacing w:line="249" w:lineRule="exact"/>
              <w:ind w:right="107"/>
              <w:jc w:val="right"/>
              <w:rPr>
                <w:rFonts w:ascii="Calibri"/>
                <w:sz w:val="22"/>
              </w:rPr>
            </w:pPr>
            <w:r>
              <w:rPr>
                <w:rFonts w:ascii="Calibri"/>
                <w:spacing w:val="-10"/>
                <w:sz w:val="22"/>
              </w:rPr>
              <w:t>-</w:t>
            </w:r>
          </w:p>
          <w:p>
            <w:pPr>
              <w:pStyle w:val="TableParagraph"/>
              <w:ind w:right="106"/>
              <w:jc w:val="right"/>
              <w:rPr>
                <w:rFonts w:ascii="Calibri"/>
                <w:sz w:val="22"/>
              </w:rPr>
            </w:pPr>
            <w:r>
              <w:rPr>
                <w:rFonts w:ascii="Calibri"/>
                <w:spacing w:val="-2"/>
                <w:sz w:val="22"/>
              </w:rPr>
              <w:t>0.61101</w:t>
            </w:r>
          </w:p>
        </w:tc>
        <w:tc>
          <w:tcPr>
            <w:tcW w:w="1054" w:type="dxa"/>
          </w:tcPr>
          <w:p>
            <w:pPr>
              <w:pStyle w:val="TableParagraph"/>
              <w:spacing w:before="249"/>
              <w:ind w:left="1" w:right="1"/>
              <w:jc w:val="center"/>
              <w:rPr>
                <w:rFonts w:ascii="Calibri"/>
                <w:sz w:val="22"/>
              </w:rPr>
            </w:pPr>
            <w:r>
              <w:rPr>
                <w:rFonts w:ascii="Calibri"/>
                <w:spacing w:val="-2"/>
                <w:sz w:val="22"/>
              </w:rPr>
              <w:t>2.525729</w:t>
            </w:r>
          </w:p>
        </w:tc>
        <w:tc>
          <w:tcPr>
            <w:tcW w:w="1054" w:type="dxa"/>
          </w:tcPr>
          <w:p>
            <w:pPr>
              <w:pStyle w:val="TableParagraph"/>
              <w:spacing w:before="249"/>
              <w:ind w:right="1"/>
              <w:jc w:val="center"/>
              <w:rPr>
                <w:rFonts w:ascii="Calibri"/>
                <w:sz w:val="22"/>
              </w:rPr>
            </w:pPr>
            <w:r>
              <w:rPr>
                <w:rFonts w:ascii="Calibri"/>
                <w:spacing w:val="-2"/>
                <w:sz w:val="22"/>
              </w:rPr>
              <w:t>13.81454</w:t>
            </w:r>
          </w:p>
        </w:tc>
        <w:tc>
          <w:tcPr>
            <w:tcW w:w="1061" w:type="dxa"/>
          </w:tcPr>
          <w:p>
            <w:pPr>
              <w:pStyle w:val="TableParagraph"/>
              <w:spacing w:before="249"/>
              <w:ind w:right="114"/>
              <w:jc w:val="right"/>
              <w:rPr>
                <w:rFonts w:ascii="Calibri"/>
                <w:sz w:val="22"/>
              </w:rPr>
            </w:pPr>
            <w:r>
              <w:rPr>
                <w:rFonts w:ascii="Calibri"/>
                <w:spacing w:val="-2"/>
                <w:sz w:val="22"/>
              </w:rPr>
              <w:t>0.985817</w:t>
            </w:r>
          </w:p>
        </w:tc>
        <w:tc>
          <w:tcPr>
            <w:tcW w:w="1061" w:type="dxa"/>
          </w:tcPr>
          <w:p>
            <w:pPr>
              <w:pStyle w:val="TableParagraph"/>
              <w:spacing w:before="249"/>
              <w:ind w:right="107"/>
              <w:jc w:val="right"/>
              <w:rPr>
                <w:rFonts w:ascii="Calibri"/>
                <w:sz w:val="22"/>
              </w:rPr>
            </w:pPr>
            <w:r>
              <w:rPr>
                <w:rFonts w:ascii="Calibri"/>
                <w:spacing w:val="-2"/>
                <w:sz w:val="22"/>
              </w:rPr>
              <w:t>16.02401</w:t>
            </w:r>
          </w:p>
        </w:tc>
        <w:tc>
          <w:tcPr>
            <w:tcW w:w="1054" w:type="dxa"/>
          </w:tcPr>
          <w:p>
            <w:pPr>
              <w:pStyle w:val="TableParagraph"/>
              <w:spacing w:before="249"/>
              <w:ind w:right="108"/>
              <w:jc w:val="right"/>
              <w:rPr>
                <w:rFonts w:ascii="Calibri"/>
                <w:sz w:val="22"/>
              </w:rPr>
            </w:pPr>
            <w:r>
              <w:rPr>
                <w:rFonts w:ascii="Calibri"/>
                <w:spacing w:val="-2"/>
                <w:sz w:val="22"/>
              </w:rPr>
              <w:t>2.56341</w:t>
            </w:r>
          </w:p>
        </w:tc>
        <w:tc>
          <w:tcPr>
            <w:tcW w:w="995" w:type="dxa"/>
          </w:tcPr>
          <w:p>
            <w:pPr>
              <w:pStyle w:val="TableParagraph"/>
              <w:spacing w:before="249"/>
              <w:ind w:left="174" w:right="7"/>
              <w:jc w:val="center"/>
              <w:rPr>
                <w:rFonts w:ascii="Calibri"/>
                <w:sz w:val="22"/>
              </w:rPr>
            </w:pPr>
            <w:r>
              <w:rPr>
                <w:rFonts w:ascii="Calibri"/>
                <w:spacing w:val="-2"/>
                <w:sz w:val="22"/>
              </w:rPr>
              <w:t>14.6485</w:t>
            </w:r>
          </w:p>
        </w:tc>
      </w:tr>
      <w:tr>
        <w:trPr>
          <w:trHeight w:val="537" w:hRule="atLeast"/>
        </w:trPr>
        <w:tc>
          <w:tcPr>
            <w:tcW w:w="606" w:type="dxa"/>
          </w:tcPr>
          <w:p>
            <w:pPr>
              <w:pStyle w:val="TableParagraph"/>
              <w:spacing w:before="249"/>
              <w:ind w:right="56"/>
              <w:jc w:val="center"/>
              <w:rPr>
                <w:rFonts w:ascii="Calibri"/>
                <w:sz w:val="22"/>
              </w:rPr>
            </w:pPr>
            <w:r>
              <w:rPr>
                <w:rFonts w:ascii="Calibri"/>
                <w:spacing w:val="-4"/>
                <w:sz w:val="22"/>
              </w:rPr>
              <w:t>2010</w:t>
            </w:r>
          </w:p>
        </w:tc>
        <w:tc>
          <w:tcPr>
            <w:tcW w:w="1081" w:type="dxa"/>
          </w:tcPr>
          <w:p>
            <w:pPr>
              <w:pStyle w:val="TableParagraph"/>
              <w:spacing w:before="249"/>
              <w:ind w:left="83" w:right="108"/>
              <w:jc w:val="center"/>
              <w:rPr>
                <w:rFonts w:ascii="Calibri"/>
                <w:sz w:val="22"/>
              </w:rPr>
            </w:pPr>
            <w:r>
              <w:rPr>
                <w:rFonts w:ascii="Calibri"/>
                <w:spacing w:val="-2"/>
                <w:sz w:val="22"/>
              </w:rPr>
              <w:t>16.03541</w:t>
            </w:r>
          </w:p>
        </w:tc>
        <w:tc>
          <w:tcPr>
            <w:tcW w:w="1090" w:type="dxa"/>
          </w:tcPr>
          <w:p>
            <w:pPr>
              <w:pStyle w:val="TableParagraph"/>
              <w:spacing w:before="249"/>
              <w:ind w:right="115"/>
              <w:jc w:val="right"/>
              <w:rPr>
                <w:rFonts w:ascii="Calibri"/>
                <w:sz w:val="22"/>
              </w:rPr>
            </w:pPr>
            <w:r>
              <w:rPr>
                <w:rFonts w:ascii="Calibri"/>
                <w:spacing w:val="-2"/>
                <w:sz w:val="22"/>
              </w:rPr>
              <w:t>11.50695</w:t>
            </w:r>
          </w:p>
        </w:tc>
        <w:tc>
          <w:tcPr>
            <w:tcW w:w="952" w:type="dxa"/>
          </w:tcPr>
          <w:p>
            <w:pPr>
              <w:pStyle w:val="TableParagraph"/>
              <w:spacing w:line="249" w:lineRule="exact"/>
              <w:ind w:right="107"/>
              <w:jc w:val="right"/>
              <w:rPr>
                <w:rFonts w:ascii="Calibri"/>
                <w:sz w:val="22"/>
              </w:rPr>
            </w:pPr>
            <w:r>
              <w:rPr>
                <w:rFonts w:ascii="Calibri"/>
                <w:spacing w:val="-10"/>
                <w:sz w:val="22"/>
              </w:rPr>
              <w:t>-</w:t>
            </w:r>
          </w:p>
          <w:p>
            <w:pPr>
              <w:pStyle w:val="TableParagraph"/>
              <w:ind w:right="106"/>
              <w:jc w:val="right"/>
              <w:rPr>
                <w:rFonts w:ascii="Calibri"/>
                <w:sz w:val="22"/>
              </w:rPr>
            </w:pPr>
            <w:r>
              <w:rPr>
                <w:rFonts w:ascii="Calibri"/>
                <w:spacing w:val="-2"/>
                <w:sz w:val="22"/>
              </w:rPr>
              <w:t>0.57377</w:t>
            </w:r>
          </w:p>
        </w:tc>
        <w:tc>
          <w:tcPr>
            <w:tcW w:w="1054" w:type="dxa"/>
          </w:tcPr>
          <w:p>
            <w:pPr>
              <w:pStyle w:val="TableParagraph"/>
              <w:spacing w:before="249"/>
              <w:ind w:left="1" w:right="1"/>
              <w:jc w:val="center"/>
              <w:rPr>
                <w:rFonts w:ascii="Calibri"/>
                <w:sz w:val="22"/>
              </w:rPr>
            </w:pPr>
            <w:r>
              <w:rPr>
                <w:rFonts w:ascii="Calibri"/>
                <w:spacing w:val="-2"/>
                <w:sz w:val="22"/>
              </w:rPr>
              <w:t>2.617396</w:t>
            </w:r>
          </w:p>
        </w:tc>
        <w:tc>
          <w:tcPr>
            <w:tcW w:w="1054" w:type="dxa"/>
          </w:tcPr>
          <w:p>
            <w:pPr>
              <w:pStyle w:val="TableParagraph"/>
              <w:spacing w:before="249"/>
              <w:ind w:right="1"/>
              <w:jc w:val="center"/>
              <w:rPr>
                <w:rFonts w:ascii="Calibri"/>
                <w:sz w:val="22"/>
              </w:rPr>
            </w:pPr>
            <w:r>
              <w:rPr>
                <w:rFonts w:ascii="Calibri"/>
                <w:spacing w:val="-2"/>
                <w:sz w:val="22"/>
              </w:rPr>
              <w:t>13.77646</w:t>
            </w:r>
          </w:p>
        </w:tc>
        <w:tc>
          <w:tcPr>
            <w:tcW w:w="1061" w:type="dxa"/>
          </w:tcPr>
          <w:p>
            <w:pPr>
              <w:pStyle w:val="TableParagraph"/>
              <w:spacing w:before="249"/>
              <w:ind w:right="114"/>
              <w:jc w:val="right"/>
              <w:rPr>
                <w:rFonts w:ascii="Calibri"/>
                <w:sz w:val="22"/>
              </w:rPr>
            </w:pPr>
            <w:r>
              <w:rPr>
                <w:rFonts w:ascii="Calibri"/>
                <w:spacing w:val="-2"/>
                <w:sz w:val="22"/>
              </w:rPr>
              <w:t>0.792993</w:t>
            </w:r>
          </w:p>
        </w:tc>
        <w:tc>
          <w:tcPr>
            <w:tcW w:w="1061" w:type="dxa"/>
          </w:tcPr>
          <w:p>
            <w:pPr>
              <w:pStyle w:val="TableParagraph"/>
              <w:spacing w:before="249"/>
              <w:ind w:right="107"/>
              <w:jc w:val="right"/>
              <w:rPr>
                <w:rFonts w:ascii="Calibri"/>
                <w:sz w:val="22"/>
              </w:rPr>
            </w:pPr>
            <w:r>
              <w:rPr>
                <w:rFonts w:ascii="Calibri"/>
                <w:spacing w:val="-2"/>
                <w:sz w:val="22"/>
              </w:rPr>
              <w:t>16.13368</w:t>
            </w:r>
          </w:p>
        </w:tc>
        <w:tc>
          <w:tcPr>
            <w:tcW w:w="1054" w:type="dxa"/>
          </w:tcPr>
          <w:p>
            <w:pPr>
              <w:pStyle w:val="TableParagraph"/>
              <w:spacing w:before="249"/>
              <w:ind w:right="108"/>
              <w:jc w:val="right"/>
              <w:rPr>
                <w:rFonts w:ascii="Calibri"/>
                <w:sz w:val="22"/>
              </w:rPr>
            </w:pPr>
            <w:r>
              <w:rPr>
                <w:rFonts w:ascii="Calibri"/>
                <w:spacing w:val="-2"/>
                <w:sz w:val="22"/>
              </w:rPr>
              <w:t>1.978239</w:t>
            </w:r>
          </w:p>
        </w:tc>
        <w:tc>
          <w:tcPr>
            <w:tcW w:w="995" w:type="dxa"/>
          </w:tcPr>
          <w:p>
            <w:pPr>
              <w:pStyle w:val="TableParagraph"/>
              <w:spacing w:before="249"/>
              <w:ind w:left="64" w:right="7"/>
              <w:jc w:val="center"/>
              <w:rPr>
                <w:rFonts w:ascii="Calibri"/>
                <w:sz w:val="22"/>
              </w:rPr>
            </w:pPr>
            <w:r>
              <w:rPr>
                <w:rFonts w:ascii="Calibri"/>
                <w:spacing w:val="-2"/>
                <w:sz w:val="22"/>
              </w:rPr>
              <w:t>15.01256</w:t>
            </w:r>
          </w:p>
        </w:tc>
      </w:tr>
      <w:tr>
        <w:trPr>
          <w:trHeight w:val="513" w:hRule="atLeast"/>
        </w:trPr>
        <w:tc>
          <w:tcPr>
            <w:tcW w:w="606" w:type="dxa"/>
          </w:tcPr>
          <w:p>
            <w:pPr>
              <w:pStyle w:val="TableParagraph"/>
              <w:spacing w:line="245" w:lineRule="exact" w:before="249"/>
              <w:ind w:right="56"/>
              <w:jc w:val="center"/>
              <w:rPr>
                <w:rFonts w:ascii="Calibri"/>
                <w:sz w:val="22"/>
              </w:rPr>
            </w:pPr>
            <w:r>
              <w:rPr>
                <w:rFonts w:ascii="Calibri"/>
                <w:spacing w:val="-4"/>
                <w:sz w:val="22"/>
              </w:rPr>
              <w:t>2011</w:t>
            </w:r>
          </w:p>
        </w:tc>
        <w:tc>
          <w:tcPr>
            <w:tcW w:w="1081" w:type="dxa"/>
          </w:tcPr>
          <w:p>
            <w:pPr>
              <w:pStyle w:val="TableParagraph"/>
              <w:spacing w:line="245" w:lineRule="exact" w:before="249"/>
              <w:ind w:left="83" w:right="108"/>
              <w:jc w:val="center"/>
              <w:rPr>
                <w:rFonts w:ascii="Calibri"/>
                <w:sz w:val="22"/>
              </w:rPr>
            </w:pPr>
            <w:r>
              <w:rPr>
                <w:rFonts w:ascii="Calibri"/>
                <w:spacing w:val="-2"/>
                <w:sz w:val="22"/>
              </w:rPr>
              <w:t>16.24904</w:t>
            </w:r>
          </w:p>
        </w:tc>
        <w:tc>
          <w:tcPr>
            <w:tcW w:w="1090" w:type="dxa"/>
          </w:tcPr>
          <w:p>
            <w:pPr>
              <w:pStyle w:val="TableParagraph"/>
              <w:spacing w:line="245" w:lineRule="exact" w:before="249"/>
              <w:ind w:right="115"/>
              <w:jc w:val="right"/>
              <w:rPr>
                <w:rFonts w:ascii="Calibri"/>
                <w:sz w:val="22"/>
              </w:rPr>
            </w:pPr>
            <w:r>
              <w:rPr>
                <w:rFonts w:ascii="Calibri"/>
                <w:spacing w:val="-2"/>
                <w:sz w:val="22"/>
              </w:rPr>
              <w:t>12.24041</w:t>
            </w:r>
          </w:p>
        </w:tc>
        <w:tc>
          <w:tcPr>
            <w:tcW w:w="952" w:type="dxa"/>
          </w:tcPr>
          <w:p>
            <w:pPr>
              <w:pStyle w:val="TableParagraph"/>
              <w:spacing w:line="249" w:lineRule="exact"/>
              <w:ind w:right="107"/>
              <w:jc w:val="right"/>
              <w:rPr>
                <w:rFonts w:ascii="Calibri"/>
                <w:sz w:val="22"/>
              </w:rPr>
            </w:pPr>
            <w:r>
              <w:rPr>
                <w:rFonts w:ascii="Calibri"/>
                <w:spacing w:val="-10"/>
                <w:sz w:val="22"/>
              </w:rPr>
              <w:t>-</w:t>
            </w:r>
          </w:p>
          <w:p>
            <w:pPr>
              <w:pStyle w:val="TableParagraph"/>
              <w:spacing w:line="245" w:lineRule="exact"/>
              <w:ind w:right="106"/>
              <w:jc w:val="right"/>
              <w:rPr>
                <w:rFonts w:ascii="Calibri"/>
                <w:sz w:val="22"/>
              </w:rPr>
            </w:pPr>
            <w:r>
              <w:rPr>
                <w:rFonts w:ascii="Calibri"/>
                <w:spacing w:val="-2"/>
                <w:sz w:val="22"/>
              </w:rPr>
              <w:t>0.42802</w:t>
            </w:r>
          </w:p>
        </w:tc>
        <w:tc>
          <w:tcPr>
            <w:tcW w:w="1054" w:type="dxa"/>
          </w:tcPr>
          <w:p>
            <w:pPr>
              <w:pStyle w:val="TableParagraph"/>
              <w:spacing w:line="245" w:lineRule="exact" w:before="249"/>
              <w:ind w:left="1" w:right="1"/>
              <w:jc w:val="center"/>
              <w:rPr>
                <w:rFonts w:ascii="Calibri"/>
                <w:sz w:val="22"/>
              </w:rPr>
            </w:pPr>
            <w:r>
              <w:rPr>
                <w:rFonts w:ascii="Calibri"/>
                <w:spacing w:val="-2"/>
                <w:sz w:val="22"/>
              </w:rPr>
              <w:t>2.379546</w:t>
            </w:r>
          </w:p>
        </w:tc>
        <w:tc>
          <w:tcPr>
            <w:tcW w:w="1054" w:type="dxa"/>
          </w:tcPr>
          <w:p>
            <w:pPr>
              <w:pStyle w:val="TableParagraph"/>
              <w:spacing w:line="245" w:lineRule="exact" w:before="249"/>
              <w:ind w:right="1"/>
              <w:jc w:val="center"/>
              <w:rPr>
                <w:rFonts w:ascii="Calibri"/>
                <w:sz w:val="22"/>
              </w:rPr>
            </w:pPr>
            <w:r>
              <w:rPr>
                <w:rFonts w:ascii="Calibri"/>
                <w:spacing w:val="-2"/>
                <w:sz w:val="22"/>
              </w:rPr>
              <w:t>12.17821</w:t>
            </w:r>
          </w:p>
        </w:tc>
        <w:tc>
          <w:tcPr>
            <w:tcW w:w="1061" w:type="dxa"/>
          </w:tcPr>
          <w:p>
            <w:pPr>
              <w:pStyle w:val="TableParagraph"/>
              <w:spacing w:line="245" w:lineRule="exact" w:before="249"/>
              <w:ind w:right="114"/>
              <w:jc w:val="right"/>
              <w:rPr>
                <w:rFonts w:ascii="Calibri"/>
                <w:sz w:val="22"/>
              </w:rPr>
            </w:pPr>
            <w:r>
              <w:rPr>
                <w:rFonts w:ascii="Calibri"/>
                <w:spacing w:val="-2"/>
                <w:sz w:val="22"/>
              </w:rPr>
              <w:t>0.357674</w:t>
            </w:r>
          </w:p>
        </w:tc>
        <w:tc>
          <w:tcPr>
            <w:tcW w:w="1061" w:type="dxa"/>
          </w:tcPr>
          <w:p>
            <w:pPr>
              <w:pStyle w:val="TableParagraph"/>
              <w:spacing w:line="245" w:lineRule="exact" w:before="249"/>
              <w:ind w:right="107"/>
              <w:jc w:val="right"/>
              <w:rPr>
                <w:rFonts w:ascii="Calibri"/>
                <w:sz w:val="22"/>
              </w:rPr>
            </w:pPr>
            <w:r>
              <w:rPr>
                <w:rFonts w:ascii="Calibri"/>
                <w:spacing w:val="-2"/>
                <w:sz w:val="22"/>
              </w:rPr>
              <w:t>16.18202</w:t>
            </w:r>
          </w:p>
        </w:tc>
        <w:tc>
          <w:tcPr>
            <w:tcW w:w="1054" w:type="dxa"/>
          </w:tcPr>
          <w:p>
            <w:pPr>
              <w:pStyle w:val="TableParagraph"/>
              <w:spacing w:line="245" w:lineRule="exact" w:before="249"/>
              <w:ind w:right="108"/>
              <w:jc w:val="right"/>
              <w:rPr>
                <w:rFonts w:ascii="Calibri"/>
                <w:sz w:val="22"/>
              </w:rPr>
            </w:pPr>
            <w:r>
              <w:rPr>
                <w:rFonts w:ascii="Calibri"/>
                <w:spacing w:val="-2"/>
                <w:sz w:val="22"/>
              </w:rPr>
              <w:t>1.978239</w:t>
            </w:r>
          </w:p>
        </w:tc>
        <w:tc>
          <w:tcPr>
            <w:tcW w:w="995" w:type="dxa"/>
          </w:tcPr>
          <w:p>
            <w:pPr>
              <w:pStyle w:val="TableParagraph"/>
              <w:spacing w:line="245" w:lineRule="exact" w:before="249"/>
              <w:ind w:left="64" w:right="7"/>
              <w:jc w:val="center"/>
              <w:rPr>
                <w:rFonts w:ascii="Calibri"/>
                <w:sz w:val="22"/>
              </w:rPr>
            </w:pPr>
            <w:r>
              <w:rPr>
                <w:rFonts w:ascii="Calibri"/>
                <w:spacing w:val="-2"/>
                <w:sz w:val="22"/>
              </w:rPr>
              <w:t>14.93207</w:t>
            </w:r>
          </w:p>
        </w:tc>
      </w:tr>
    </w:tbl>
    <w:p>
      <w:pPr>
        <w:pStyle w:val="BodyText"/>
        <w:rPr>
          <w:b/>
          <w:sz w:val="20"/>
        </w:rPr>
      </w:pPr>
    </w:p>
    <w:p>
      <w:pPr>
        <w:pStyle w:val="BodyText"/>
        <w:spacing w:before="13"/>
        <w:rPr>
          <w:b/>
          <w:sz w:val="20"/>
        </w:rPr>
      </w:pPr>
    </w:p>
    <w:p>
      <w:pPr>
        <w:spacing w:before="0"/>
        <w:ind w:left="1914" w:right="0" w:firstLine="0"/>
        <w:jc w:val="left"/>
        <w:rPr>
          <w:b/>
          <w:sz w:val="20"/>
        </w:rPr>
      </w:pPr>
      <w:r>
        <w:rPr>
          <w:b/>
          <w:sz w:val="20"/>
        </w:rPr>
        <w:t>DATA</w:t>
      </w:r>
      <w:r>
        <w:rPr>
          <w:b/>
          <w:spacing w:val="-6"/>
          <w:sz w:val="20"/>
        </w:rPr>
        <w:t> </w:t>
      </w:r>
      <w:r>
        <w:rPr>
          <w:b/>
          <w:sz w:val="20"/>
        </w:rPr>
        <w:t>ON</w:t>
      </w:r>
      <w:r>
        <w:rPr>
          <w:b/>
          <w:spacing w:val="-4"/>
          <w:sz w:val="20"/>
        </w:rPr>
        <w:t> </w:t>
      </w:r>
      <w:r>
        <w:rPr>
          <w:b/>
          <w:sz w:val="20"/>
        </w:rPr>
        <w:t>MODEL</w:t>
      </w:r>
      <w:r>
        <w:rPr>
          <w:b/>
          <w:spacing w:val="-5"/>
          <w:sz w:val="20"/>
        </w:rPr>
        <w:t> </w:t>
      </w:r>
      <w:r>
        <w:rPr>
          <w:b/>
          <w:sz w:val="20"/>
        </w:rPr>
        <w:t>2,</w:t>
      </w:r>
      <w:r>
        <w:rPr>
          <w:b/>
          <w:spacing w:val="-4"/>
          <w:sz w:val="20"/>
        </w:rPr>
        <w:t> </w:t>
      </w:r>
      <w:r>
        <w:rPr>
          <w:b/>
          <w:sz w:val="20"/>
        </w:rPr>
        <w:t>3</w:t>
      </w:r>
      <w:r>
        <w:rPr>
          <w:b/>
          <w:spacing w:val="-3"/>
          <w:sz w:val="20"/>
        </w:rPr>
        <w:t> </w:t>
      </w:r>
      <w:r>
        <w:rPr>
          <w:b/>
          <w:sz w:val="20"/>
        </w:rPr>
        <w:t>AND</w:t>
      </w:r>
      <w:r>
        <w:rPr>
          <w:b/>
          <w:spacing w:val="-4"/>
          <w:sz w:val="20"/>
        </w:rPr>
        <w:t> </w:t>
      </w:r>
      <w:r>
        <w:rPr>
          <w:b/>
          <w:sz w:val="20"/>
        </w:rPr>
        <w:t>6</w:t>
      </w:r>
      <w:r>
        <w:rPr>
          <w:b/>
          <w:spacing w:val="-4"/>
          <w:sz w:val="20"/>
        </w:rPr>
        <w:t> </w:t>
      </w:r>
      <w:r>
        <w:rPr>
          <w:b/>
          <w:sz w:val="20"/>
        </w:rPr>
        <w:t>(WORLD</w:t>
      </w:r>
      <w:r>
        <w:rPr>
          <w:b/>
          <w:spacing w:val="-2"/>
          <w:sz w:val="20"/>
        </w:rPr>
        <w:t> </w:t>
      </w:r>
      <w:r>
        <w:rPr>
          <w:b/>
          <w:sz w:val="20"/>
        </w:rPr>
        <w:t>BANK</w:t>
      </w:r>
      <w:r>
        <w:rPr>
          <w:b/>
          <w:spacing w:val="-3"/>
          <w:sz w:val="20"/>
        </w:rPr>
        <w:t> </w:t>
      </w:r>
      <w:r>
        <w:rPr>
          <w:b/>
          <w:sz w:val="20"/>
        </w:rPr>
        <w:t>AND</w:t>
      </w:r>
      <w:r>
        <w:rPr>
          <w:b/>
          <w:spacing w:val="-4"/>
          <w:sz w:val="20"/>
        </w:rPr>
        <w:t> </w:t>
      </w:r>
      <w:r>
        <w:rPr>
          <w:b/>
          <w:sz w:val="20"/>
        </w:rPr>
        <w:t>ERBE</w:t>
      </w:r>
      <w:r>
        <w:rPr>
          <w:b/>
          <w:spacing w:val="-6"/>
          <w:sz w:val="20"/>
        </w:rPr>
        <w:t> </w:t>
      </w:r>
      <w:r>
        <w:rPr>
          <w:b/>
          <w:spacing w:val="-4"/>
          <w:sz w:val="20"/>
        </w:rPr>
        <w:t>1985</w:t>
      </w:r>
    </w:p>
    <w:p>
      <w:pPr>
        <w:pStyle w:val="BodyText"/>
        <w:rPr>
          <w:b/>
          <w:sz w:val="20"/>
        </w:rPr>
      </w:pPr>
    </w:p>
    <w:p>
      <w:pPr>
        <w:pStyle w:val="BodyText"/>
        <w:spacing w:before="75"/>
        <w:rPr>
          <w:b/>
          <w:sz w:val="20"/>
        </w:rPr>
      </w:pPr>
    </w:p>
    <w:tbl>
      <w:tblPr>
        <w:tblW w:w="0" w:type="auto"/>
        <w:jc w:val="left"/>
        <w:tblInd w:w="7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03"/>
        <w:gridCol w:w="1054"/>
        <w:gridCol w:w="1110"/>
        <w:gridCol w:w="1055"/>
        <w:gridCol w:w="1055"/>
        <w:gridCol w:w="998"/>
      </w:tblGrid>
      <w:tr>
        <w:trPr>
          <w:trHeight w:val="260" w:hRule="atLeast"/>
        </w:trPr>
        <w:tc>
          <w:tcPr>
            <w:tcW w:w="903" w:type="dxa"/>
          </w:tcPr>
          <w:p>
            <w:pPr>
              <w:pStyle w:val="TableParagraph"/>
              <w:spacing w:line="225" w:lineRule="exact"/>
              <w:ind w:left="50"/>
              <w:rPr>
                <w:rFonts w:ascii="Calibri"/>
                <w:sz w:val="22"/>
              </w:rPr>
            </w:pPr>
            <w:r>
              <w:rPr>
                <w:rFonts w:ascii="Calibri"/>
                <w:spacing w:val="-4"/>
                <w:sz w:val="22"/>
              </w:rPr>
              <w:t>YEARS</w:t>
            </w:r>
          </w:p>
        </w:tc>
        <w:tc>
          <w:tcPr>
            <w:tcW w:w="1054" w:type="dxa"/>
          </w:tcPr>
          <w:p>
            <w:pPr>
              <w:pStyle w:val="TableParagraph"/>
              <w:spacing w:line="225" w:lineRule="exact"/>
              <w:ind w:left="107"/>
              <w:rPr>
                <w:rFonts w:ascii="Calibri"/>
                <w:sz w:val="22"/>
              </w:rPr>
            </w:pPr>
            <w:r>
              <w:rPr>
                <w:rFonts w:ascii="Calibri"/>
                <w:spacing w:val="-4"/>
                <w:sz w:val="22"/>
              </w:rPr>
              <w:t>L^GDP</w:t>
            </w:r>
          </w:p>
        </w:tc>
        <w:tc>
          <w:tcPr>
            <w:tcW w:w="1110" w:type="dxa"/>
          </w:tcPr>
          <w:p>
            <w:pPr>
              <w:pStyle w:val="TableParagraph"/>
              <w:spacing w:line="225" w:lineRule="exact"/>
              <w:ind w:left="55" w:right="56"/>
              <w:jc w:val="center"/>
              <w:rPr>
                <w:rFonts w:ascii="Calibri"/>
                <w:sz w:val="22"/>
              </w:rPr>
            </w:pPr>
            <w:r>
              <w:rPr>
                <w:rFonts w:ascii="Calibri"/>
                <w:spacing w:val="-2"/>
                <w:sz w:val="22"/>
              </w:rPr>
              <w:t>L^EXTDBT</w:t>
            </w:r>
          </w:p>
        </w:tc>
        <w:tc>
          <w:tcPr>
            <w:tcW w:w="1055" w:type="dxa"/>
          </w:tcPr>
          <w:p>
            <w:pPr>
              <w:pStyle w:val="TableParagraph"/>
              <w:spacing w:line="225" w:lineRule="exact"/>
              <w:ind w:left="106"/>
              <w:rPr>
                <w:rFonts w:ascii="Calibri"/>
                <w:sz w:val="22"/>
              </w:rPr>
            </w:pPr>
            <w:r>
              <w:rPr>
                <w:rFonts w:ascii="Calibri"/>
                <w:spacing w:val="-4"/>
                <w:sz w:val="22"/>
              </w:rPr>
              <w:t>L^DFI</w:t>
            </w:r>
          </w:p>
        </w:tc>
        <w:tc>
          <w:tcPr>
            <w:tcW w:w="1055" w:type="dxa"/>
          </w:tcPr>
          <w:p>
            <w:pPr>
              <w:pStyle w:val="TableParagraph"/>
              <w:spacing w:line="225" w:lineRule="exact"/>
              <w:ind w:left="105"/>
              <w:rPr>
                <w:rFonts w:ascii="Calibri"/>
                <w:sz w:val="22"/>
              </w:rPr>
            </w:pPr>
            <w:r>
              <w:rPr>
                <w:rFonts w:ascii="Calibri"/>
                <w:spacing w:val="-2"/>
                <w:sz w:val="22"/>
              </w:rPr>
              <w:t>L^CAB</w:t>
            </w:r>
          </w:p>
        </w:tc>
        <w:tc>
          <w:tcPr>
            <w:tcW w:w="998" w:type="dxa"/>
          </w:tcPr>
          <w:p>
            <w:pPr>
              <w:pStyle w:val="TableParagraph"/>
              <w:spacing w:line="225" w:lineRule="exact"/>
              <w:ind w:left="103"/>
              <w:rPr>
                <w:rFonts w:ascii="Calibri"/>
                <w:sz w:val="22"/>
              </w:rPr>
            </w:pPr>
            <w:r>
              <w:rPr>
                <w:rFonts w:ascii="Calibri"/>
                <w:spacing w:val="-2"/>
                <w:sz w:val="22"/>
              </w:rPr>
              <w:t>L^RES</w:t>
            </w:r>
          </w:p>
        </w:tc>
      </w:tr>
      <w:tr>
        <w:trPr>
          <w:trHeight w:val="300" w:hRule="atLeast"/>
        </w:trPr>
        <w:tc>
          <w:tcPr>
            <w:tcW w:w="903" w:type="dxa"/>
          </w:tcPr>
          <w:p>
            <w:pPr>
              <w:pStyle w:val="TableParagraph"/>
              <w:spacing w:line="264" w:lineRule="exact"/>
              <w:ind w:right="105"/>
              <w:jc w:val="right"/>
              <w:rPr>
                <w:rFonts w:ascii="Calibri"/>
                <w:sz w:val="22"/>
              </w:rPr>
            </w:pPr>
            <w:r>
              <w:rPr>
                <w:rFonts w:ascii="Calibri"/>
                <w:spacing w:val="-4"/>
                <w:sz w:val="22"/>
              </w:rPr>
              <w:t>1970</w:t>
            </w:r>
          </w:p>
        </w:tc>
        <w:tc>
          <w:tcPr>
            <w:tcW w:w="1054" w:type="dxa"/>
          </w:tcPr>
          <w:p>
            <w:pPr>
              <w:pStyle w:val="TableParagraph"/>
              <w:spacing w:line="264" w:lineRule="exact"/>
              <w:ind w:right="105"/>
              <w:jc w:val="right"/>
              <w:rPr>
                <w:rFonts w:ascii="Calibri"/>
                <w:sz w:val="22"/>
              </w:rPr>
            </w:pPr>
            <w:r>
              <w:rPr>
                <w:rFonts w:ascii="Calibri"/>
                <w:spacing w:val="-2"/>
                <w:sz w:val="22"/>
              </w:rPr>
              <w:t>8.57189</w:t>
            </w:r>
          </w:p>
        </w:tc>
        <w:tc>
          <w:tcPr>
            <w:tcW w:w="1110" w:type="dxa"/>
          </w:tcPr>
          <w:p>
            <w:pPr>
              <w:pStyle w:val="TableParagraph"/>
              <w:spacing w:line="264" w:lineRule="exact"/>
              <w:ind w:left="99" w:right="1"/>
              <w:jc w:val="center"/>
              <w:rPr>
                <w:rFonts w:ascii="Calibri"/>
                <w:sz w:val="22"/>
              </w:rPr>
            </w:pPr>
            <w:r>
              <w:rPr>
                <w:rFonts w:ascii="Calibri"/>
                <w:spacing w:val="-2"/>
                <w:sz w:val="22"/>
              </w:rPr>
              <w:t>-0.22314</w:t>
            </w:r>
          </w:p>
        </w:tc>
        <w:tc>
          <w:tcPr>
            <w:tcW w:w="1055" w:type="dxa"/>
          </w:tcPr>
          <w:p>
            <w:pPr>
              <w:pStyle w:val="TableParagraph"/>
              <w:spacing w:line="264" w:lineRule="exact"/>
              <w:ind w:right="107"/>
              <w:jc w:val="right"/>
              <w:rPr>
                <w:rFonts w:ascii="Calibri"/>
                <w:sz w:val="22"/>
              </w:rPr>
            </w:pPr>
            <w:r>
              <w:rPr>
                <w:rFonts w:ascii="Calibri"/>
                <w:spacing w:val="-2"/>
                <w:sz w:val="22"/>
              </w:rPr>
              <w:t>6.91095</w:t>
            </w:r>
          </w:p>
        </w:tc>
        <w:tc>
          <w:tcPr>
            <w:tcW w:w="1055" w:type="dxa"/>
          </w:tcPr>
          <w:p>
            <w:pPr>
              <w:pStyle w:val="TableParagraph"/>
              <w:spacing w:line="264" w:lineRule="exact"/>
              <w:ind w:left="107"/>
              <w:rPr>
                <w:rFonts w:ascii="Calibri"/>
                <w:sz w:val="22"/>
              </w:rPr>
            </w:pPr>
            <w:r>
              <w:rPr>
                <w:rFonts w:ascii="Calibri"/>
                <w:spacing w:val="-2"/>
                <w:sz w:val="22"/>
              </w:rPr>
              <w:t>3.912023</w:t>
            </w:r>
          </w:p>
        </w:tc>
        <w:tc>
          <w:tcPr>
            <w:tcW w:w="998" w:type="dxa"/>
          </w:tcPr>
          <w:p>
            <w:pPr>
              <w:pStyle w:val="TableParagraph"/>
              <w:spacing w:line="264" w:lineRule="exact"/>
              <w:ind w:left="106"/>
              <w:rPr>
                <w:rFonts w:ascii="Calibri"/>
                <w:sz w:val="22"/>
              </w:rPr>
            </w:pPr>
            <w:r>
              <w:rPr>
                <w:rFonts w:ascii="Calibri"/>
                <w:spacing w:val="-2"/>
                <w:sz w:val="22"/>
              </w:rPr>
              <w:t>4.650144</w:t>
            </w:r>
          </w:p>
        </w:tc>
      </w:tr>
      <w:tr>
        <w:trPr>
          <w:trHeight w:val="300" w:hRule="atLeast"/>
        </w:trPr>
        <w:tc>
          <w:tcPr>
            <w:tcW w:w="903" w:type="dxa"/>
          </w:tcPr>
          <w:p>
            <w:pPr>
              <w:pStyle w:val="TableParagraph"/>
              <w:spacing w:line="265" w:lineRule="exact"/>
              <w:ind w:right="105"/>
              <w:jc w:val="right"/>
              <w:rPr>
                <w:rFonts w:ascii="Calibri"/>
                <w:sz w:val="22"/>
              </w:rPr>
            </w:pPr>
            <w:r>
              <w:rPr>
                <w:rFonts w:ascii="Calibri"/>
                <w:spacing w:val="-4"/>
                <w:sz w:val="22"/>
              </w:rPr>
              <w:t>1971</w:t>
            </w:r>
          </w:p>
        </w:tc>
        <w:tc>
          <w:tcPr>
            <w:tcW w:w="1054" w:type="dxa"/>
          </w:tcPr>
          <w:p>
            <w:pPr>
              <w:pStyle w:val="TableParagraph"/>
              <w:spacing w:line="265" w:lineRule="exact"/>
              <w:ind w:right="105"/>
              <w:jc w:val="right"/>
              <w:rPr>
                <w:rFonts w:ascii="Calibri"/>
                <w:sz w:val="22"/>
              </w:rPr>
            </w:pPr>
            <w:r>
              <w:rPr>
                <w:rFonts w:ascii="Calibri"/>
                <w:spacing w:val="-2"/>
                <w:sz w:val="22"/>
              </w:rPr>
              <w:t>8.802507</w:t>
            </w:r>
          </w:p>
        </w:tc>
        <w:tc>
          <w:tcPr>
            <w:tcW w:w="1110" w:type="dxa"/>
          </w:tcPr>
          <w:p>
            <w:pPr>
              <w:pStyle w:val="TableParagraph"/>
              <w:spacing w:line="265" w:lineRule="exact"/>
              <w:ind w:left="56" w:right="1"/>
              <w:jc w:val="center"/>
              <w:rPr>
                <w:rFonts w:ascii="Calibri"/>
                <w:sz w:val="22"/>
              </w:rPr>
            </w:pPr>
            <w:r>
              <w:rPr>
                <w:rFonts w:ascii="Calibri"/>
                <w:spacing w:val="-2"/>
                <w:sz w:val="22"/>
              </w:rPr>
              <w:t>1.252763</w:t>
            </w:r>
          </w:p>
        </w:tc>
        <w:tc>
          <w:tcPr>
            <w:tcW w:w="1055" w:type="dxa"/>
          </w:tcPr>
          <w:p>
            <w:pPr>
              <w:pStyle w:val="TableParagraph"/>
              <w:spacing w:line="265" w:lineRule="exact"/>
              <w:ind w:right="107"/>
              <w:jc w:val="right"/>
              <w:rPr>
                <w:rFonts w:ascii="Calibri"/>
                <w:sz w:val="22"/>
              </w:rPr>
            </w:pPr>
            <w:r>
              <w:rPr>
                <w:rFonts w:ascii="Calibri"/>
                <w:spacing w:val="-2"/>
                <w:sz w:val="22"/>
              </w:rPr>
              <w:t>7.187506</w:t>
            </w:r>
          </w:p>
        </w:tc>
        <w:tc>
          <w:tcPr>
            <w:tcW w:w="1055" w:type="dxa"/>
          </w:tcPr>
          <w:p>
            <w:pPr>
              <w:pStyle w:val="TableParagraph"/>
              <w:spacing w:line="265" w:lineRule="exact"/>
              <w:ind w:left="107"/>
              <w:rPr>
                <w:rFonts w:ascii="Calibri"/>
                <w:sz w:val="22"/>
              </w:rPr>
            </w:pPr>
            <w:r>
              <w:rPr>
                <w:rFonts w:ascii="Calibri"/>
                <w:spacing w:val="-2"/>
                <w:sz w:val="22"/>
              </w:rPr>
              <w:t>5.435467</w:t>
            </w:r>
          </w:p>
        </w:tc>
        <w:tc>
          <w:tcPr>
            <w:tcW w:w="998" w:type="dxa"/>
          </w:tcPr>
          <w:p>
            <w:pPr>
              <w:pStyle w:val="TableParagraph"/>
              <w:spacing w:line="265" w:lineRule="exact"/>
              <w:ind w:left="106"/>
              <w:rPr>
                <w:rFonts w:ascii="Calibri"/>
                <w:sz w:val="22"/>
              </w:rPr>
            </w:pPr>
            <w:r>
              <w:rPr>
                <w:rFonts w:ascii="Calibri"/>
                <w:spacing w:val="-2"/>
                <w:sz w:val="22"/>
              </w:rPr>
              <w:t>3.321432</w:t>
            </w:r>
          </w:p>
        </w:tc>
      </w:tr>
      <w:tr>
        <w:trPr>
          <w:trHeight w:val="300" w:hRule="atLeast"/>
        </w:trPr>
        <w:tc>
          <w:tcPr>
            <w:tcW w:w="903" w:type="dxa"/>
          </w:tcPr>
          <w:p>
            <w:pPr>
              <w:pStyle w:val="TableParagraph"/>
              <w:spacing w:line="264" w:lineRule="exact"/>
              <w:ind w:right="105"/>
              <w:jc w:val="right"/>
              <w:rPr>
                <w:rFonts w:ascii="Calibri"/>
                <w:sz w:val="22"/>
              </w:rPr>
            </w:pPr>
            <w:r>
              <w:rPr>
                <w:rFonts w:ascii="Calibri"/>
                <w:spacing w:val="-4"/>
                <w:sz w:val="22"/>
              </w:rPr>
              <w:t>1972</w:t>
            </w:r>
          </w:p>
        </w:tc>
        <w:tc>
          <w:tcPr>
            <w:tcW w:w="1054" w:type="dxa"/>
          </w:tcPr>
          <w:p>
            <w:pPr>
              <w:pStyle w:val="TableParagraph"/>
              <w:spacing w:line="264" w:lineRule="exact"/>
              <w:ind w:right="105"/>
              <w:jc w:val="right"/>
              <w:rPr>
                <w:rFonts w:ascii="Calibri"/>
                <w:sz w:val="22"/>
              </w:rPr>
            </w:pPr>
            <w:r>
              <w:rPr>
                <w:rFonts w:ascii="Calibri"/>
                <w:spacing w:val="-2"/>
                <w:sz w:val="22"/>
              </w:rPr>
              <w:t>8.880099</w:t>
            </w:r>
          </w:p>
        </w:tc>
        <w:tc>
          <w:tcPr>
            <w:tcW w:w="1110" w:type="dxa"/>
          </w:tcPr>
          <w:p>
            <w:pPr>
              <w:pStyle w:val="TableParagraph"/>
              <w:spacing w:line="264" w:lineRule="exact"/>
              <w:ind w:left="56" w:right="1"/>
              <w:jc w:val="center"/>
              <w:rPr>
                <w:rFonts w:ascii="Calibri"/>
                <w:sz w:val="22"/>
              </w:rPr>
            </w:pPr>
            <w:r>
              <w:rPr>
                <w:rFonts w:ascii="Calibri"/>
                <w:spacing w:val="-2"/>
                <w:sz w:val="22"/>
              </w:rPr>
              <w:t>4.467057</w:t>
            </w:r>
          </w:p>
        </w:tc>
        <w:tc>
          <w:tcPr>
            <w:tcW w:w="1055" w:type="dxa"/>
          </w:tcPr>
          <w:p>
            <w:pPr>
              <w:pStyle w:val="TableParagraph"/>
              <w:spacing w:line="264" w:lineRule="exact"/>
              <w:ind w:right="107"/>
              <w:jc w:val="right"/>
              <w:rPr>
                <w:rFonts w:ascii="Calibri"/>
                <w:sz w:val="22"/>
              </w:rPr>
            </w:pPr>
            <w:r>
              <w:rPr>
                <w:rFonts w:ascii="Calibri"/>
                <w:spacing w:val="-2"/>
                <w:sz w:val="22"/>
              </w:rPr>
              <w:t>7.359531</w:t>
            </w:r>
          </w:p>
        </w:tc>
        <w:tc>
          <w:tcPr>
            <w:tcW w:w="1055" w:type="dxa"/>
          </w:tcPr>
          <w:p>
            <w:pPr>
              <w:pStyle w:val="TableParagraph"/>
              <w:spacing w:line="264" w:lineRule="exact"/>
              <w:ind w:left="107"/>
              <w:rPr>
                <w:rFonts w:ascii="Calibri"/>
                <w:sz w:val="22"/>
              </w:rPr>
            </w:pPr>
            <w:r>
              <w:rPr>
                <w:rFonts w:ascii="Calibri"/>
                <w:spacing w:val="-2"/>
                <w:sz w:val="22"/>
              </w:rPr>
              <w:t>5.776723</w:t>
            </w:r>
          </w:p>
        </w:tc>
        <w:tc>
          <w:tcPr>
            <w:tcW w:w="998" w:type="dxa"/>
          </w:tcPr>
          <w:p>
            <w:pPr>
              <w:pStyle w:val="TableParagraph"/>
              <w:spacing w:line="264" w:lineRule="exact"/>
              <w:ind w:left="106"/>
              <w:rPr>
                <w:rFonts w:ascii="Calibri"/>
                <w:sz w:val="22"/>
              </w:rPr>
            </w:pPr>
            <w:r>
              <w:rPr>
                <w:rFonts w:ascii="Calibri"/>
                <w:spacing w:val="-2"/>
                <w:sz w:val="22"/>
              </w:rPr>
              <w:t>4.082609</w:t>
            </w:r>
          </w:p>
        </w:tc>
      </w:tr>
      <w:tr>
        <w:trPr>
          <w:trHeight w:val="300" w:hRule="atLeast"/>
        </w:trPr>
        <w:tc>
          <w:tcPr>
            <w:tcW w:w="903" w:type="dxa"/>
          </w:tcPr>
          <w:p>
            <w:pPr>
              <w:pStyle w:val="TableParagraph"/>
              <w:spacing w:line="264" w:lineRule="exact"/>
              <w:ind w:right="105"/>
              <w:jc w:val="right"/>
              <w:rPr>
                <w:rFonts w:ascii="Calibri"/>
                <w:sz w:val="22"/>
              </w:rPr>
            </w:pPr>
            <w:r>
              <w:rPr>
                <w:rFonts w:ascii="Calibri"/>
                <w:spacing w:val="-4"/>
                <w:sz w:val="22"/>
              </w:rPr>
              <w:t>1973</w:t>
            </w:r>
          </w:p>
        </w:tc>
        <w:tc>
          <w:tcPr>
            <w:tcW w:w="1054" w:type="dxa"/>
          </w:tcPr>
          <w:p>
            <w:pPr>
              <w:pStyle w:val="TableParagraph"/>
              <w:spacing w:line="264" w:lineRule="exact"/>
              <w:ind w:right="105"/>
              <w:jc w:val="right"/>
              <w:rPr>
                <w:rFonts w:ascii="Calibri"/>
                <w:sz w:val="22"/>
              </w:rPr>
            </w:pPr>
            <w:r>
              <w:rPr>
                <w:rFonts w:ascii="Calibri"/>
                <w:spacing w:val="-2"/>
                <w:sz w:val="22"/>
              </w:rPr>
              <w:t>9.063058</w:t>
            </w:r>
          </w:p>
        </w:tc>
        <w:tc>
          <w:tcPr>
            <w:tcW w:w="1110" w:type="dxa"/>
          </w:tcPr>
          <w:p>
            <w:pPr>
              <w:pStyle w:val="TableParagraph"/>
              <w:spacing w:line="264" w:lineRule="exact"/>
              <w:ind w:left="56" w:right="1"/>
              <w:jc w:val="center"/>
              <w:rPr>
                <w:rFonts w:ascii="Calibri"/>
                <w:sz w:val="22"/>
              </w:rPr>
            </w:pPr>
            <w:r>
              <w:rPr>
                <w:rFonts w:ascii="Calibri"/>
                <w:spacing w:val="-2"/>
                <w:sz w:val="22"/>
              </w:rPr>
              <w:t>2.424803</w:t>
            </w:r>
          </w:p>
        </w:tc>
        <w:tc>
          <w:tcPr>
            <w:tcW w:w="1055" w:type="dxa"/>
          </w:tcPr>
          <w:p>
            <w:pPr>
              <w:pStyle w:val="TableParagraph"/>
              <w:spacing w:line="264" w:lineRule="exact"/>
              <w:ind w:right="107"/>
              <w:jc w:val="right"/>
              <w:rPr>
                <w:rFonts w:ascii="Calibri"/>
                <w:sz w:val="22"/>
              </w:rPr>
            </w:pPr>
            <w:r>
              <w:rPr>
                <w:rFonts w:ascii="Calibri"/>
                <w:spacing w:val="-2"/>
                <w:sz w:val="22"/>
              </w:rPr>
              <w:t>7.475169</w:t>
            </w:r>
          </w:p>
        </w:tc>
        <w:tc>
          <w:tcPr>
            <w:tcW w:w="1055" w:type="dxa"/>
          </w:tcPr>
          <w:p>
            <w:pPr>
              <w:pStyle w:val="TableParagraph"/>
              <w:spacing w:line="264" w:lineRule="exact"/>
              <w:ind w:left="107"/>
              <w:rPr>
                <w:rFonts w:ascii="Calibri"/>
                <w:sz w:val="22"/>
              </w:rPr>
            </w:pPr>
            <w:r>
              <w:rPr>
                <w:rFonts w:ascii="Calibri"/>
                <w:spacing w:val="-2"/>
                <w:sz w:val="22"/>
              </w:rPr>
              <w:t>3.964615</w:t>
            </w:r>
          </w:p>
        </w:tc>
        <w:tc>
          <w:tcPr>
            <w:tcW w:w="998" w:type="dxa"/>
          </w:tcPr>
          <w:p>
            <w:pPr>
              <w:pStyle w:val="TableParagraph"/>
              <w:spacing w:line="264" w:lineRule="exact"/>
              <w:ind w:right="53"/>
              <w:jc w:val="right"/>
              <w:rPr>
                <w:rFonts w:ascii="Calibri"/>
                <w:sz w:val="22"/>
              </w:rPr>
            </w:pPr>
            <w:r>
              <w:rPr>
                <w:rFonts w:ascii="Calibri"/>
                <w:spacing w:val="-2"/>
                <w:sz w:val="22"/>
              </w:rPr>
              <w:t>3.89995</w:t>
            </w:r>
          </w:p>
        </w:tc>
      </w:tr>
      <w:tr>
        <w:trPr>
          <w:trHeight w:val="300" w:hRule="atLeast"/>
        </w:trPr>
        <w:tc>
          <w:tcPr>
            <w:tcW w:w="903" w:type="dxa"/>
          </w:tcPr>
          <w:p>
            <w:pPr>
              <w:pStyle w:val="TableParagraph"/>
              <w:spacing w:line="264" w:lineRule="exact"/>
              <w:ind w:right="105"/>
              <w:jc w:val="right"/>
              <w:rPr>
                <w:rFonts w:ascii="Calibri"/>
                <w:sz w:val="22"/>
              </w:rPr>
            </w:pPr>
            <w:r>
              <w:rPr>
                <w:rFonts w:ascii="Calibri"/>
                <w:spacing w:val="-4"/>
                <w:sz w:val="22"/>
              </w:rPr>
              <w:t>1974</w:t>
            </w:r>
          </w:p>
        </w:tc>
        <w:tc>
          <w:tcPr>
            <w:tcW w:w="1054" w:type="dxa"/>
          </w:tcPr>
          <w:p>
            <w:pPr>
              <w:pStyle w:val="TableParagraph"/>
              <w:spacing w:line="264" w:lineRule="exact"/>
              <w:ind w:right="105"/>
              <w:jc w:val="right"/>
              <w:rPr>
                <w:rFonts w:ascii="Calibri"/>
                <w:sz w:val="22"/>
              </w:rPr>
            </w:pPr>
            <w:r>
              <w:rPr>
                <w:rFonts w:ascii="Calibri"/>
                <w:spacing w:val="-2"/>
                <w:sz w:val="22"/>
              </w:rPr>
              <w:t>9.84284</w:t>
            </w:r>
          </w:p>
        </w:tc>
        <w:tc>
          <w:tcPr>
            <w:tcW w:w="1110" w:type="dxa"/>
          </w:tcPr>
          <w:p>
            <w:pPr>
              <w:pStyle w:val="TableParagraph"/>
              <w:spacing w:line="264" w:lineRule="exact"/>
              <w:ind w:left="56" w:right="1"/>
              <w:jc w:val="center"/>
              <w:rPr>
                <w:rFonts w:ascii="Calibri"/>
                <w:sz w:val="22"/>
              </w:rPr>
            </w:pPr>
            <w:r>
              <w:rPr>
                <w:rFonts w:ascii="Calibri"/>
                <w:spacing w:val="-2"/>
                <w:sz w:val="22"/>
              </w:rPr>
              <w:t>3.817712</w:t>
            </w:r>
          </w:p>
        </w:tc>
        <w:tc>
          <w:tcPr>
            <w:tcW w:w="1055" w:type="dxa"/>
          </w:tcPr>
          <w:p>
            <w:pPr>
              <w:pStyle w:val="TableParagraph"/>
              <w:spacing w:line="264" w:lineRule="exact"/>
              <w:ind w:right="107"/>
              <w:jc w:val="right"/>
              <w:rPr>
                <w:rFonts w:ascii="Calibri"/>
                <w:sz w:val="22"/>
              </w:rPr>
            </w:pPr>
            <w:r>
              <w:rPr>
                <w:rFonts w:ascii="Calibri"/>
                <w:spacing w:val="-2"/>
                <w:sz w:val="22"/>
              </w:rPr>
              <w:t>7.502242</w:t>
            </w:r>
          </w:p>
        </w:tc>
        <w:tc>
          <w:tcPr>
            <w:tcW w:w="1055" w:type="dxa"/>
          </w:tcPr>
          <w:p>
            <w:pPr>
              <w:pStyle w:val="TableParagraph"/>
              <w:spacing w:line="264" w:lineRule="exact"/>
              <w:ind w:left="107"/>
              <w:rPr>
                <w:rFonts w:ascii="Calibri"/>
                <w:sz w:val="22"/>
              </w:rPr>
            </w:pPr>
            <w:r>
              <w:rPr>
                <w:rFonts w:ascii="Calibri"/>
                <w:spacing w:val="-2"/>
                <w:sz w:val="22"/>
              </w:rPr>
              <w:t>8.025353</w:t>
            </w:r>
          </w:p>
        </w:tc>
        <w:tc>
          <w:tcPr>
            <w:tcW w:w="998" w:type="dxa"/>
          </w:tcPr>
          <w:p>
            <w:pPr>
              <w:pStyle w:val="TableParagraph"/>
              <w:spacing w:line="264" w:lineRule="exact"/>
              <w:ind w:right="53"/>
              <w:jc w:val="right"/>
              <w:rPr>
                <w:rFonts w:ascii="Calibri"/>
                <w:sz w:val="22"/>
              </w:rPr>
            </w:pPr>
            <w:r>
              <w:rPr>
                <w:rFonts w:ascii="Calibri"/>
                <w:spacing w:val="-2"/>
                <w:sz w:val="22"/>
              </w:rPr>
              <w:t>7.96259</w:t>
            </w:r>
          </w:p>
        </w:tc>
      </w:tr>
      <w:tr>
        <w:trPr>
          <w:trHeight w:val="300" w:hRule="atLeast"/>
        </w:trPr>
        <w:tc>
          <w:tcPr>
            <w:tcW w:w="903" w:type="dxa"/>
          </w:tcPr>
          <w:p>
            <w:pPr>
              <w:pStyle w:val="TableParagraph"/>
              <w:spacing w:line="264" w:lineRule="exact"/>
              <w:ind w:right="105"/>
              <w:jc w:val="right"/>
              <w:rPr>
                <w:rFonts w:ascii="Calibri"/>
                <w:sz w:val="22"/>
              </w:rPr>
            </w:pPr>
            <w:r>
              <w:rPr>
                <w:rFonts w:ascii="Calibri"/>
                <w:spacing w:val="-4"/>
                <w:sz w:val="22"/>
              </w:rPr>
              <w:t>1975</w:t>
            </w:r>
          </w:p>
        </w:tc>
        <w:tc>
          <w:tcPr>
            <w:tcW w:w="1054" w:type="dxa"/>
          </w:tcPr>
          <w:p>
            <w:pPr>
              <w:pStyle w:val="TableParagraph"/>
              <w:spacing w:line="264" w:lineRule="exact"/>
              <w:ind w:right="105"/>
              <w:jc w:val="right"/>
              <w:rPr>
                <w:rFonts w:ascii="Calibri"/>
                <w:sz w:val="22"/>
              </w:rPr>
            </w:pPr>
            <w:r>
              <w:rPr>
                <w:rFonts w:ascii="Calibri"/>
                <w:spacing w:val="-2"/>
                <w:sz w:val="22"/>
              </w:rPr>
              <w:t>9.974656</w:t>
            </w:r>
          </w:p>
        </w:tc>
        <w:tc>
          <w:tcPr>
            <w:tcW w:w="1110" w:type="dxa"/>
          </w:tcPr>
          <w:p>
            <w:pPr>
              <w:pStyle w:val="TableParagraph"/>
              <w:spacing w:line="264" w:lineRule="exact"/>
              <w:ind w:left="56" w:right="1"/>
              <w:jc w:val="center"/>
              <w:rPr>
                <w:rFonts w:ascii="Calibri"/>
                <w:sz w:val="22"/>
              </w:rPr>
            </w:pPr>
            <w:r>
              <w:rPr>
                <w:rFonts w:ascii="Calibri"/>
                <w:spacing w:val="-2"/>
                <w:sz w:val="22"/>
              </w:rPr>
              <w:t>3.314186</w:t>
            </w:r>
          </w:p>
        </w:tc>
        <w:tc>
          <w:tcPr>
            <w:tcW w:w="1055" w:type="dxa"/>
          </w:tcPr>
          <w:p>
            <w:pPr>
              <w:pStyle w:val="TableParagraph"/>
              <w:spacing w:line="264" w:lineRule="exact"/>
              <w:ind w:right="107"/>
              <w:jc w:val="right"/>
              <w:rPr>
                <w:rFonts w:ascii="Calibri"/>
                <w:sz w:val="22"/>
              </w:rPr>
            </w:pPr>
            <w:r>
              <w:rPr>
                <w:rFonts w:ascii="Calibri"/>
                <w:spacing w:val="-2"/>
                <w:sz w:val="22"/>
              </w:rPr>
              <w:t>7.735215</w:t>
            </w:r>
          </w:p>
        </w:tc>
        <w:tc>
          <w:tcPr>
            <w:tcW w:w="1055" w:type="dxa"/>
          </w:tcPr>
          <w:p>
            <w:pPr>
              <w:pStyle w:val="TableParagraph"/>
              <w:spacing w:line="264" w:lineRule="exact"/>
              <w:ind w:left="107"/>
              <w:rPr>
                <w:rFonts w:ascii="Calibri"/>
                <w:sz w:val="22"/>
              </w:rPr>
            </w:pPr>
            <w:r>
              <w:rPr>
                <w:rFonts w:ascii="Calibri"/>
                <w:spacing w:val="-2"/>
                <w:sz w:val="22"/>
              </w:rPr>
              <w:t>3.751854</w:t>
            </w:r>
          </w:p>
        </w:tc>
        <w:tc>
          <w:tcPr>
            <w:tcW w:w="998" w:type="dxa"/>
          </w:tcPr>
          <w:p>
            <w:pPr>
              <w:pStyle w:val="TableParagraph"/>
              <w:spacing w:line="264" w:lineRule="exact"/>
              <w:ind w:right="53"/>
              <w:jc w:val="right"/>
              <w:rPr>
                <w:rFonts w:ascii="Calibri"/>
                <w:sz w:val="22"/>
              </w:rPr>
            </w:pPr>
            <w:r>
              <w:rPr>
                <w:rFonts w:ascii="Calibri"/>
                <w:spacing w:val="-2"/>
                <w:sz w:val="22"/>
              </w:rPr>
              <w:t>5.58912</w:t>
            </w:r>
          </w:p>
        </w:tc>
      </w:tr>
      <w:tr>
        <w:trPr>
          <w:trHeight w:val="300" w:hRule="atLeast"/>
        </w:trPr>
        <w:tc>
          <w:tcPr>
            <w:tcW w:w="903" w:type="dxa"/>
          </w:tcPr>
          <w:p>
            <w:pPr>
              <w:pStyle w:val="TableParagraph"/>
              <w:spacing w:line="264" w:lineRule="exact"/>
              <w:ind w:right="105"/>
              <w:jc w:val="right"/>
              <w:rPr>
                <w:rFonts w:ascii="Calibri"/>
                <w:sz w:val="22"/>
              </w:rPr>
            </w:pPr>
            <w:r>
              <w:rPr>
                <w:rFonts w:ascii="Calibri"/>
                <w:spacing w:val="-4"/>
                <w:sz w:val="22"/>
              </w:rPr>
              <w:t>1976</w:t>
            </w:r>
          </w:p>
        </w:tc>
        <w:tc>
          <w:tcPr>
            <w:tcW w:w="1054" w:type="dxa"/>
          </w:tcPr>
          <w:p>
            <w:pPr>
              <w:pStyle w:val="TableParagraph"/>
              <w:spacing w:line="264" w:lineRule="exact"/>
              <w:ind w:right="105"/>
              <w:jc w:val="right"/>
              <w:rPr>
                <w:rFonts w:ascii="Calibri"/>
                <w:sz w:val="22"/>
              </w:rPr>
            </w:pPr>
            <w:r>
              <w:rPr>
                <w:rFonts w:ascii="Calibri"/>
                <w:spacing w:val="-2"/>
                <w:sz w:val="22"/>
              </w:rPr>
              <w:t>10.19076</w:t>
            </w:r>
          </w:p>
        </w:tc>
        <w:tc>
          <w:tcPr>
            <w:tcW w:w="1110" w:type="dxa"/>
          </w:tcPr>
          <w:p>
            <w:pPr>
              <w:pStyle w:val="TableParagraph"/>
              <w:spacing w:line="264" w:lineRule="exact"/>
              <w:ind w:left="56" w:right="1"/>
              <w:jc w:val="center"/>
              <w:rPr>
                <w:rFonts w:ascii="Calibri"/>
                <w:sz w:val="22"/>
              </w:rPr>
            </w:pPr>
            <w:r>
              <w:rPr>
                <w:rFonts w:ascii="Calibri"/>
                <w:spacing w:val="-2"/>
                <w:sz w:val="22"/>
              </w:rPr>
              <w:t>3.206803</w:t>
            </w:r>
          </w:p>
        </w:tc>
        <w:tc>
          <w:tcPr>
            <w:tcW w:w="1055" w:type="dxa"/>
          </w:tcPr>
          <w:p>
            <w:pPr>
              <w:pStyle w:val="TableParagraph"/>
              <w:spacing w:line="264" w:lineRule="exact"/>
              <w:ind w:right="107"/>
              <w:jc w:val="right"/>
              <w:rPr>
                <w:rFonts w:ascii="Calibri"/>
                <w:sz w:val="22"/>
              </w:rPr>
            </w:pPr>
            <w:r>
              <w:rPr>
                <w:rFonts w:ascii="Calibri"/>
                <w:spacing w:val="-2"/>
                <w:sz w:val="22"/>
              </w:rPr>
              <w:t>7.757479</w:t>
            </w:r>
          </w:p>
        </w:tc>
        <w:tc>
          <w:tcPr>
            <w:tcW w:w="1055" w:type="dxa"/>
          </w:tcPr>
          <w:p>
            <w:pPr>
              <w:pStyle w:val="TableParagraph"/>
              <w:spacing w:line="264" w:lineRule="exact"/>
              <w:ind w:left="107"/>
              <w:rPr>
                <w:rFonts w:ascii="Calibri"/>
                <w:sz w:val="22"/>
              </w:rPr>
            </w:pPr>
            <w:r>
              <w:rPr>
                <w:rFonts w:ascii="Calibri"/>
                <w:spacing w:val="-2"/>
                <w:sz w:val="22"/>
              </w:rPr>
              <w:t>5.554509</w:t>
            </w:r>
          </w:p>
        </w:tc>
        <w:tc>
          <w:tcPr>
            <w:tcW w:w="998" w:type="dxa"/>
          </w:tcPr>
          <w:p>
            <w:pPr>
              <w:pStyle w:val="TableParagraph"/>
              <w:spacing w:line="264" w:lineRule="exact"/>
              <w:ind w:left="106"/>
              <w:rPr>
                <w:rFonts w:ascii="Calibri"/>
                <w:sz w:val="22"/>
              </w:rPr>
            </w:pPr>
            <w:r>
              <w:rPr>
                <w:rFonts w:ascii="Calibri"/>
                <w:spacing w:val="-2"/>
                <w:sz w:val="22"/>
              </w:rPr>
              <w:t>5.776103</w:t>
            </w:r>
          </w:p>
        </w:tc>
      </w:tr>
      <w:tr>
        <w:trPr>
          <w:trHeight w:val="300" w:hRule="atLeast"/>
        </w:trPr>
        <w:tc>
          <w:tcPr>
            <w:tcW w:w="903" w:type="dxa"/>
          </w:tcPr>
          <w:p>
            <w:pPr>
              <w:pStyle w:val="TableParagraph"/>
              <w:spacing w:line="264" w:lineRule="exact"/>
              <w:ind w:right="105"/>
              <w:jc w:val="right"/>
              <w:rPr>
                <w:rFonts w:ascii="Calibri"/>
                <w:sz w:val="22"/>
              </w:rPr>
            </w:pPr>
            <w:r>
              <w:rPr>
                <w:rFonts w:ascii="Calibri"/>
                <w:spacing w:val="-4"/>
                <w:sz w:val="22"/>
              </w:rPr>
              <w:t>1977</w:t>
            </w:r>
          </w:p>
        </w:tc>
        <w:tc>
          <w:tcPr>
            <w:tcW w:w="1054" w:type="dxa"/>
          </w:tcPr>
          <w:p>
            <w:pPr>
              <w:pStyle w:val="TableParagraph"/>
              <w:spacing w:line="264" w:lineRule="exact"/>
              <w:ind w:right="105"/>
              <w:jc w:val="right"/>
              <w:rPr>
                <w:rFonts w:ascii="Calibri"/>
                <w:sz w:val="22"/>
              </w:rPr>
            </w:pPr>
            <w:r>
              <w:rPr>
                <w:rFonts w:ascii="Calibri"/>
                <w:spacing w:val="-2"/>
                <w:sz w:val="22"/>
              </w:rPr>
              <w:t>10.35839</w:t>
            </w:r>
          </w:p>
        </w:tc>
        <w:tc>
          <w:tcPr>
            <w:tcW w:w="1110" w:type="dxa"/>
          </w:tcPr>
          <w:p>
            <w:pPr>
              <w:pStyle w:val="TableParagraph"/>
              <w:spacing w:line="264" w:lineRule="exact"/>
              <w:ind w:left="56" w:right="1"/>
              <w:jc w:val="center"/>
              <w:rPr>
                <w:rFonts w:ascii="Calibri"/>
                <w:sz w:val="22"/>
              </w:rPr>
            </w:pPr>
            <w:r>
              <w:rPr>
                <w:rFonts w:ascii="Calibri"/>
                <w:spacing w:val="-2"/>
                <w:sz w:val="22"/>
              </w:rPr>
              <w:t>2.251292</w:t>
            </w:r>
          </w:p>
        </w:tc>
        <w:tc>
          <w:tcPr>
            <w:tcW w:w="1055" w:type="dxa"/>
          </w:tcPr>
          <w:p>
            <w:pPr>
              <w:pStyle w:val="TableParagraph"/>
              <w:spacing w:line="264" w:lineRule="exact"/>
              <w:ind w:right="107"/>
              <w:jc w:val="right"/>
              <w:rPr>
                <w:rFonts w:ascii="Calibri"/>
                <w:sz w:val="22"/>
              </w:rPr>
            </w:pPr>
            <w:r>
              <w:rPr>
                <w:rFonts w:ascii="Calibri"/>
                <w:spacing w:val="-2"/>
                <w:sz w:val="22"/>
              </w:rPr>
              <w:t>7.836528</w:t>
            </w:r>
          </w:p>
        </w:tc>
        <w:tc>
          <w:tcPr>
            <w:tcW w:w="1055" w:type="dxa"/>
          </w:tcPr>
          <w:p>
            <w:pPr>
              <w:pStyle w:val="TableParagraph"/>
              <w:spacing w:line="264" w:lineRule="exact"/>
              <w:ind w:left="107"/>
              <w:rPr>
                <w:rFonts w:ascii="Calibri"/>
                <w:sz w:val="22"/>
              </w:rPr>
            </w:pPr>
            <w:r>
              <w:rPr>
                <w:rFonts w:ascii="Calibri"/>
                <w:spacing w:val="-2"/>
                <w:sz w:val="22"/>
              </w:rPr>
              <w:t>6.473119</w:t>
            </w:r>
          </w:p>
        </w:tc>
        <w:tc>
          <w:tcPr>
            <w:tcW w:w="998" w:type="dxa"/>
          </w:tcPr>
          <w:p>
            <w:pPr>
              <w:pStyle w:val="TableParagraph"/>
              <w:spacing w:line="264" w:lineRule="exact"/>
              <w:ind w:left="106"/>
              <w:rPr>
                <w:rFonts w:ascii="Calibri"/>
                <w:sz w:val="22"/>
              </w:rPr>
            </w:pPr>
            <w:r>
              <w:rPr>
                <w:rFonts w:ascii="Calibri"/>
                <w:spacing w:val="-2"/>
                <w:sz w:val="22"/>
              </w:rPr>
              <w:t>6.284134</w:t>
            </w:r>
          </w:p>
        </w:tc>
      </w:tr>
      <w:tr>
        <w:trPr>
          <w:trHeight w:val="299" w:hRule="atLeast"/>
        </w:trPr>
        <w:tc>
          <w:tcPr>
            <w:tcW w:w="903" w:type="dxa"/>
          </w:tcPr>
          <w:p>
            <w:pPr>
              <w:pStyle w:val="TableParagraph"/>
              <w:spacing w:line="264" w:lineRule="exact"/>
              <w:ind w:right="105"/>
              <w:jc w:val="right"/>
              <w:rPr>
                <w:rFonts w:ascii="Calibri"/>
                <w:sz w:val="22"/>
              </w:rPr>
            </w:pPr>
            <w:r>
              <w:rPr>
                <w:rFonts w:ascii="Calibri"/>
                <w:spacing w:val="-4"/>
                <w:sz w:val="22"/>
              </w:rPr>
              <w:t>1978</w:t>
            </w:r>
          </w:p>
        </w:tc>
        <w:tc>
          <w:tcPr>
            <w:tcW w:w="1054" w:type="dxa"/>
          </w:tcPr>
          <w:p>
            <w:pPr>
              <w:pStyle w:val="TableParagraph"/>
              <w:spacing w:line="264" w:lineRule="exact"/>
              <w:ind w:right="105"/>
              <w:jc w:val="right"/>
              <w:rPr>
                <w:rFonts w:ascii="Calibri"/>
                <w:sz w:val="22"/>
              </w:rPr>
            </w:pPr>
            <w:r>
              <w:rPr>
                <w:rFonts w:ascii="Calibri"/>
                <w:spacing w:val="-2"/>
                <w:sz w:val="22"/>
              </w:rPr>
              <w:t>10.44988</w:t>
            </w:r>
          </w:p>
        </w:tc>
        <w:tc>
          <w:tcPr>
            <w:tcW w:w="1110" w:type="dxa"/>
          </w:tcPr>
          <w:p>
            <w:pPr>
              <w:pStyle w:val="TableParagraph"/>
              <w:spacing w:line="264" w:lineRule="exact"/>
              <w:ind w:left="56" w:right="1"/>
              <w:jc w:val="center"/>
              <w:rPr>
                <w:rFonts w:ascii="Calibri"/>
                <w:sz w:val="22"/>
              </w:rPr>
            </w:pPr>
            <w:r>
              <w:rPr>
                <w:rFonts w:ascii="Calibri"/>
                <w:spacing w:val="-2"/>
                <w:sz w:val="22"/>
              </w:rPr>
              <w:t>6.787845</w:t>
            </w:r>
          </w:p>
        </w:tc>
        <w:tc>
          <w:tcPr>
            <w:tcW w:w="1055" w:type="dxa"/>
          </w:tcPr>
          <w:p>
            <w:pPr>
              <w:pStyle w:val="TableParagraph"/>
              <w:spacing w:line="264" w:lineRule="exact"/>
              <w:ind w:right="107"/>
              <w:jc w:val="right"/>
              <w:rPr>
                <w:rFonts w:ascii="Calibri"/>
                <w:sz w:val="22"/>
              </w:rPr>
            </w:pPr>
            <w:r>
              <w:rPr>
                <w:rFonts w:ascii="Calibri"/>
                <w:spacing w:val="-2"/>
                <w:sz w:val="22"/>
              </w:rPr>
              <w:t>7.959695</w:t>
            </w:r>
          </w:p>
        </w:tc>
        <w:tc>
          <w:tcPr>
            <w:tcW w:w="1055" w:type="dxa"/>
          </w:tcPr>
          <w:p>
            <w:pPr>
              <w:pStyle w:val="TableParagraph"/>
              <w:spacing w:line="264" w:lineRule="exact"/>
              <w:ind w:left="107"/>
              <w:rPr>
                <w:rFonts w:ascii="Calibri"/>
                <w:sz w:val="22"/>
              </w:rPr>
            </w:pPr>
            <w:r>
              <w:rPr>
                <w:rFonts w:ascii="Calibri"/>
                <w:spacing w:val="-2"/>
                <w:sz w:val="22"/>
              </w:rPr>
              <w:t>7.777751</w:t>
            </w:r>
          </w:p>
        </w:tc>
        <w:tc>
          <w:tcPr>
            <w:tcW w:w="998" w:type="dxa"/>
          </w:tcPr>
          <w:p>
            <w:pPr>
              <w:pStyle w:val="TableParagraph"/>
              <w:spacing w:line="264" w:lineRule="exact"/>
              <w:ind w:left="106"/>
              <w:rPr>
                <w:rFonts w:ascii="Calibri"/>
                <w:sz w:val="22"/>
              </w:rPr>
            </w:pPr>
            <w:r>
              <w:rPr>
                <w:rFonts w:ascii="Calibri"/>
                <w:spacing w:val="-2"/>
                <w:sz w:val="22"/>
              </w:rPr>
              <w:t>7.148267</w:t>
            </w:r>
          </w:p>
        </w:tc>
      </w:tr>
      <w:tr>
        <w:trPr>
          <w:trHeight w:val="299" w:hRule="atLeast"/>
        </w:trPr>
        <w:tc>
          <w:tcPr>
            <w:tcW w:w="903" w:type="dxa"/>
          </w:tcPr>
          <w:p>
            <w:pPr>
              <w:pStyle w:val="TableParagraph"/>
              <w:spacing w:line="264" w:lineRule="exact"/>
              <w:ind w:right="105"/>
              <w:jc w:val="right"/>
              <w:rPr>
                <w:rFonts w:ascii="Calibri"/>
                <w:sz w:val="22"/>
              </w:rPr>
            </w:pPr>
            <w:r>
              <w:rPr>
                <w:rFonts w:ascii="Calibri"/>
                <w:spacing w:val="-4"/>
                <w:sz w:val="22"/>
              </w:rPr>
              <w:t>1979</w:t>
            </w:r>
          </w:p>
        </w:tc>
        <w:tc>
          <w:tcPr>
            <w:tcW w:w="1054" w:type="dxa"/>
          </w:tcPr>
          <w:p>
            <w:pPr>
              <w:pStyle w:val="TableParagraph"/>
              <w:spacing w:line="264" w:lineRule="exact"/>
              <w:ind w:right="105"/>
              <w:jc w:val="right"/>
              <w:rPr>
                <w:rFonts w:ascii="Calibri"/>
                <w:sz w:val="22"/>
              </w:rPr>
            </w:pPr>
            <w:r>
              <w:rPr>
                <w:rFonts w:ascii="Calibri"/>
                <w:spacing w:val="-2"/>
                <w:sz w:val="22"/>
              </w:rPr>
              <w:t>10.64482</w:t>
            </w:r>
          </w:p>
        </w:tc>
        <w:tc>
          <w:tcPr>
            <w:tcW w:w="1110" w:type="dxa"/>
          </w:tcPr>
          <w:p>
            <w:pPr>
              <w:pStyle w:val="TableParagraph"/>
              <w:spacing w:line="264" w:lineRule="exact"/>
              <w:ind w:left="56" w:right="1"/>
              <w:jc w:val="center"/>
              <w:rPr>
                <w:rFonts w:ascii="Calibri"/>
                <w:sz w:val="22"/>
              </w:rPr>
            </w:pPr>
            <w:r>
              <w:rPr>
                <w:rFonts w:ascii="Calibri"/>
                <w:spacing w:val="-2"/>
                <w:sz w:val="22"/>
              </w:rPr>
              <w:t>5.884436</w:t>
            </w:r>
          </w:p>
        </w:tc>
        <w:tc>
          <w:tcPr>
            <w:tcW w:w="1055" w:type="dxa"/>
          </w:tcPr>
          <w:p>
            <w:pPr>
              <w:pStyle w:val="TableParagraph"/>
              <w:spacing w:line="264" w:lineRule="exact"/>
              <w:ind w:right="107"/>
              <w:jc w:val="right"/>
              <w:rPr>
                <w:rFonts w:ascii="Calibri"/>
                <w:sz w:val="22"/>
              </w:rPr>
            </w:pPr>
            <w:r>
              <w:rPr>
                <w:rFonts w:ascii="Calibri"/>
                <w:spacing w:val="-2"/>
                <w:sz w:val="22"/>
              </w:rPr>
              <w:t>8.056141</w:t>
            </w:r>
          </w:p>
        </w:tc>
        <w:tc>
          <w:tcPr>
            <w:tcW w:w="1055" w:type="dxa"/>
          </w:tcPr>
          <w:p>
            <w:pPr>
              <w:pStyle w:val="TableParagraph"/>
              <w:spacing w:line="264" w:lineRule="exact"/>
              <w:ind w:left="217"/>
              <w:rPr>
                <w:rFonts w:ascii="Calibri"/>
                <w:sz w:val="22"/>
              </w:rPr>
            </w:pPr>
            <w:r>
              <w:rPr>
                <w:rFonts w:ascii="Calibri"/>
                <w:spacing w:val="-2"/>
                <w:sz w:val="22"/>
              </w:rPr>
              <w:t>6.91721</w:t>
            </w:r>
          </w:p>
        </w:tc>
        <w:tc>
          <w:tcPr>
            <w:tcW w:w="998" w:type="dxa"/>
          </w:tcPr>
          <w:p>
            <w:pPr>
              <w:pStyle w:val="TableParagraph"/>
              <w:spacing w:line="264" w:lineRule="exact"/>
              <w:ind w:left="106"/>
              <w:rPr>
                <w:rFonts w:ascii="Calibri"/>
                <w:sz w:val="22"/>
              </w:rPr>
            </w:pPr>
            <w:r>
              <w:rPr>
                <w:rFonts w:ascii="Calibri"/>
                <w:spacing w:val="-2"/>
                <w:sz w:val="22"/>
              </w:rPr>
              <w:t>7.492259</w:t>
            </w:r>
          </w:p>
        </w:tc>
      </w:tr>
      <w:tr>
        <w:trPr>
          <w:trHeight w:val="260" w:hRule="atLeast"/>
        </w:trPr>
        <w:tc>
          <w:tcPr>
            <w:tcW w:w="903" w:type="dxa"/>
          </w:tcPr>
          <w:p>
            <w:pPr>
              <w:pStyle w:val="TableParagraph"/>
              <w:spacing w:line="240" w:lineRule="exact"/>
              <w:ind w:right="105"/>
              <w:jc w:val="right"/>
              <w:rPr>
                <w:rFonts w:ascii="Calibri"/>
                <w:sz w:val="22"/>
              </w:rPr>
            </w:pPr>
            <w:r>
              <w:rPr>
                <w:rFonts w:ascii="Calibri"/>
                <w:spacing w:val="-4"/>
                <w:sz w:val="22"/>
              </w:rPr>
              <w:t>1980</w:t>
            </w:r>
          </w:p>
        </w:tc>
        <w:tc>
          <w:tcPr>
            <w:tcW w:w="1054" w:type="dxa"/>
          </w:tcPr>
          <w:p>
            <w:pPr>
              <w:pStyle w:val="TableParagraph"/>
              <w:spacing w:line="240" w:lineRule="exact"/>
              <w:ind w:right="105"/>
              <w:jc w:val="right"/>
              <w:rPr>
                <w:rFonts w:ascii="Calibri"/>
                <w:sz w:val="22"/>
              </w:rPr>
            </w:pPr>
            <w:r>
              <w:rPr>
                <w:rFonts w:ascii="Calibri"/>
                <w:spacing w:val="-2"/>
                <w:sz w:val="22"/>
              </w:rPr>
              <w:t>10.8124</w:t>
            </w:r>
          </w:p>
        </w:tc>
        <w:tc>
          <w:tcPr>
            <w:tcW w:w="1110" w:type="dxa"/>
          </w:tcPr>
          <w:p>
            <w:pPr>
              <w:pStyle w:val="TableParagraph"/>
              <w:spacing w:line="240" w:lineRule="exact"/>
              <w:ind w:left="56" w:right="1"/>
              <w:jc w:val="center"/>
              <w:rPr>
                <w:rFonts w:ascii="Calibri"/>
                <w:sz w:val="22"/>
              </w:rPr>
            </w:pPr>
            <w:r>
              <w:rPr>
                <w:rFonts w:ascii="Calibri"/>
                <w:spacing w:val="-2"/>
                <w:sz w:val="22"/>
              </w:rPr>
              <w:t>5.542439</w:t>
            </w:r>
          </w:p>
        </w:tc>
        <w:tc>
          <w:tcPr>
            <w:tcW w:w="1055" w:type="dxa"/>
          </w:tcPr>
          <w:p>
            <w:pPr>
              <w:pStyle w:val="TableParagraph"/>
              <w:spacing w:line="240" w:lineRule="exact"/>
              <w:ind w:right="107"/>
              <w:jc w:val="right"/>
              <w:rPr>
                <w:rFonts w:ascii="Calibri"/>
                <w:sz w:val="22"/>
              </w:rPr>
            </w:pPr>
            <w:r>
              <w:rPr>
                <w:rFonts w:ascii="Calibri"/>
                <w:spacing w:val="-2"/>
                <w:sz w:val="22"/>
              </w:rPr>
              <w:t>8.194257</w:t>
            </w:r>
          </w:p>
        </w:tc>
        <w:tc>
          <w:tcPr>
            <w:tcW w:w="1055" w:type="dxa"/>
          </w:tcPr>
          <w:p>
            <w:pPr>
              <w:pStyle w:val="TableParagraph"/>
              <w:spacing w:line="240" w:lineRule="exact"/>
              <w:ind w:left="107"/>
              <w:rPr>
                <w:rFonts w:ascii="Calibri"/>
                <w:sz w:val="22"/>
              </w:rPr>
            </w:pPr>
            <w:r>
              <w:rPr>
                <w:rFonts w:ascii="Calibri"/>
                <w:spacing w:val="-2"/>
                <w:sz w:val="22"/>
              </w:rPr>
              <w:t>7.764423</w:t>
            </w:r>
          </w:p>
        </w:tc>
        <w:tc>
          <w:tcPr>
            <w:tcW w:w="998" w:type="dxa"/>
          </w:tcPr>
          <w:p>
            <w:pPr>
              <w:pStyle w:val="TableParagraph"/>
              <w:spacing w:line="240" w:lineRule="exact"/>
              <w:ind w:left="106"/>
              <w:rPr>
                <w:rFonts w:ascii="Calibri"/>
                <w:sz w:val="22"/>
              </w:rPr>
            </w:pPr>
            <w:r>
              <w:rPr>
                <w:rFonts w:ascii="Calibri"/>
                <w:spacing w:val="-2"/>
                <w:sz w:val="22"/>
              </w:rPr>
              <w:t>7.784224</w:t>
            </w:r>
          </w:p>
        </w:tc>
      </w:tr>
    </w:tbl>
    <w:p>
      <w:pPr>
        <w:spacing w:after="0" w:line="240" w:lineRule="exact"/>
        <w:rPr>
          <w:rFonts w:ascii="Calibri"/>
          <w:sz w:val="22"/>
        </w:rPr>
        <w:sectPr>
          <w:pgSz w:w="11910" w:h="16840"/>
          <w:pgMar w:header="0" w:footer="979" w:top="1440" w:bottom="1350" w:left="280" w:right="0"/>
        </w:sectPr>
      </w:pPr>
    </w:p>
    <w:tbl>
      <w:tblPr>
        <w:tblW w:w="0" w:type="auto"/>
        <w:jc w:val="left"/>
        <w:tblInd w:w="10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6"/>
        <w:gridCol w:w="1081"/>
        <w:gridCol w:w="1081"/>
        <w:gridCol w:w="1053"/>
        <w:gridCol w:w="1053"/>
        <w:gridCol w:w="995"/>
      </w:tblGrid>
      <w:tr>
        <w:trPr>
          <w:trHeight w:val="260" w:hRule="atLeast"/>
        </w:trPr>
        <w:tc>
          <w:tcPr>
            <w:tcW w:w="606" w:type="dxa"/>
          </w:tcPr>
          <w:p>
            <w:pPr>
              <w:pStyle w:val="TableParagraph"/>
              <w:spacing w:line="225" w:lineRule="exact"/>
              <w:ind w:right="56"/>
              <w:jc w:val="center"/>
              <w:rPr>
                <w:rFonts w:ascii="Calibri"/>
                <w:sz w:val="22"/>
              </w:rPr>
            </w:pPr>
            <w:r>
              <w:rPr>
                <w:rFonts w:ascii="Calibri"/>
                <w:spacing w:val="-4"/>
                <w:sz w:val="22"/>
              </w:rPr>
              <w:t>1981</w:t>
            </w:r>
          </w:p>
        </w:tc>
        <w:tc>
          <w:tcPr>
            <w:tcW w:w="1081" w:type="dxa"/>
          </w:tcPr>
          <w:p>
            <w:pPr>
              <w:pStyle w:val="TableParagraph"/>
              <w:spacing w:line="225" w:lineRule="exact"/>
              <w:ind w:right="133"/>
              <w:jc w:val="right"/>
              <w:rPr>
                <w:rFonts w:ascii="Calibri"/>
                <w:sz w:val="22"/>
              </w:rPr>
            </w:pPr>
            <w:r>
              <w:rPr>
                <w:rFonts w:ascii="Calibri"/>
                <w:spacing w:val="-2"/>
                <w:sz w:val="22"/>
              </w:rPr>
              <w:t>10.771</w:t>
            </w:r>
          </w:p>
        </w:tc>
        <w:tc>
          <w:tcPr>
            <w:tcW w:w="1081" w:type="dxa"/>
          </w:tcPr>
          <w:p>
            <w:pPr>
              <w:pStyle w:val="TableParagraph"/>
              <w:spacing w:line="225" w:lineRule="exact"/>
              <w:ind w:right="107"/>
              <w:jc w:val="right"/>
              <w:rPr>
                <w:rFonts w:ascii="Calibri"/>
                <w:sz w:val="22"/>
              </w:rPr>
            </w:pPr>
            <w:r>
              <w:rPr>
                <w:rFonts w:ascii="Calibri"/>
                <w:spacing w:val="-2"/>
                <w:sz w:val="22"/>
              </w:rPr>
              <w:t>6.140746</w:t>
            </w:r>
          </w:p>
        </w:tc>
        <w:tc>
          <w:tcPr>
            <w:tcW w:w="1053" w:type="dxa"/>
          </w:tcPr>
          <w:p>
            <w:pPr>
              <w:pStyle w:val="TableParagraph"/>
              <w:spacing w:line="225" w:lineRule="exact"/>
              <w:ind w:right="104"/>
              <w:jc w:val="right"/>
              <w:rPr>
                <w:rFonts w:ascii="Calibri"/>
                <w:sz w:val="22"/>
              </w:rPr>
            </w:pPr>
            <w:r>
              <w:rPr>
                <w:rFonts w:ascii="Calibri"/>
                <w:spacing w:val="-2"/>
                <w:sz w:val="22"/>
              </w:rPr>
              <w:t>8.231616</w:t>
            </w:r>
          </w:p>
        </w:tc>
        <w:tc>
          <w:tcPr>
            <w:tcW w:w="1053" w:type="dxa"/>
          </w:tcPr>
          <w:p>
            <w:pPr>
              <w:pStyle w:val="TableParagraph"/>
              <w:spacing w:line="225" w:lineRule="exact"/>
              <w:ind w:left="115" w:right="1"/>
              <w:jc w:val="center"/>
              <w:rPr>
                <w:rFonts w:ascii="Calibri"/>
                <w:sz w:val="22"/>
              </w:rPr>
            </w:pPr>
            <w:r>
              <w:rPr>
                <w:rFonts w:ascii="Calibri"/>
                <w:spacing w:val="-2"/>
                <w:sz w:val="22"/>
              </w:rPr>
              <w:t>8.29365</w:t>
            </w:r>
          </w:p>
        </w:tc>
        <w:tc>
          <w:tcPr>
            <w:tcW w:w="995" w:type="dxa"/>
          </w:tcPr>
          <w:p>
            <w:pPr>
              <w:pStyle w:val="TableParagraph"/>
              <w:spacing w:line="225" w:lineRule="exact"/>
              <w:ind w:left="64"/>
              <w:jc w:val="center"/>
              <w:rPr>
                <w:rFonts w:ascii="Calibri"/>
                <w:sz w:val="22"/>
              </w:rPr>
            </w:pPr>
            <w:r>
              <w:rPr>
                <w:rFonts w:ascii="Calibri"/>
                <w:spacing w:val="-2"/>
                <w:sz w:val="22"/>
              </w:rPr>
              <w:t>8.013277</w:t>
            </w:r>
          </w:p>
        </w:tc>
      </w:tr>
      <w:tr>
        <w:trPr>
          <w:trHeight w:val="300" w:hRule="atLeast"/>
        </w:trPr>
        <w:tc>
          <w:tcPr>
            <w:tcW w:w="606" w:type="dxa"/>
          </w:tcPr>
          <w:p>
            <w:pPr>
              <w:pStyle w:val="TableParagraph"/>
              <w:spacing w:line="264" w:lineRule="exact"/>
              <w:ind w:right="56"/>
              <w:jc w:val="center"/>
              <w:rPr>
                <w:rFonts w:ascii="Calibri"/>
                <w:sz w:val="22"/>
              </w:rPr>
            </w:pPr>
            <w:r>
              <w:rPr>
                <w:rFonts w:ascii="Calibri"/>
                <w:spacing w:val="-4"/>
                <w:sz w:val="22"/>
              </w:rPr>
              <w:t>1982</w:t>
            </w:r>
          </w:p>
        </w:tc>
        <w:tc>
          <w:tcPr>
            <w:tcW w:w="1081" w:type="dxa"/>
          </w:tcPr>
          <w:p>
            <w:pPr>
              <w:pStyle w:val="TableParagraph"/>
              <w:spacing w:line="264" w:lineRule="exact"/>
              <w:ind w:right="134"/>
              <w:jc w:val="right"/>
              <w:rPr>
                <w:rFonts w:ascii="Calibri"/>
                <w:sz w:val="22"/>
              </w:rPr>
            </w:pPr>
            <w:r>
              <w:rPr>
                <w:rFonts w:ascii="Calibri"/>
                <w:spacing w:val="-2"/>
                <w:sz w:val="22"/>
              </w:rPr>
              <w:t>10.80099</w:t>
            </w:r>
          </w:p>
        </w:tc>
        <w:tc>
          <w:tcPr>
            <w:tcW w:w="1081" w:type="dxa"/>
          </w:tcPr>
          <w:p>
            <w:pPr>
              <w:pStyle w:val="TableParagraph"/>
              <w:spacing w:line="264" w:lineRule="exact"/>
              <w:ind w:right="107"/>
              <w:jc w:val="right"/>
              <w:rPr>
                <w:rFonts w:ascii="Calibri"/>
                <w:sz w:val="22"/>
              </w:rPr>
            </w:pPr>
            <w:r>
              <w:rPr>
                <w:rFonts w:ascii="Calibri"/>
                <w:spacing w:val="-2"/>
                <w:sz w:val="22"/>
              </w:rPr>
              <w:t>8.77774</w:t>
            </w:r>
          </w:p>
        </w:tc>
        <w:tc>
          <w:tcPr>
            <w:tcW w:w="1053" w:type="dxa"/>
          </w:tcPr>
          <w:p>
            <w:pPr>
              <w:pStyle w:val="TableParagraph"/>
              <w:spacing w:line="264" w:lineRule="exact"/>
              <w:ind w:right="104"/>
              <w:jc w:val="right"/>
              <w:rPr>
                <w:rFonts w:ascii="Calibri"/>
                <w:sz w:val="22"/>
              </w:rPr>
            </w:pPr>
            <w:r>
              <w:rPr>
                <w:rFonts w:ascii="Calibri"/>
                <w:spacing w:val="-2"/>
                <w:sz w:val="22"/>
              </w:rPr>
              <w:t>8.590964</w:t>
            </w:r>
          </w:p>
        </w:tc>
        <w:tc>
          <w:tcPr>
            <w:tcW w:w="1053" w:type="dxa"/>
          </w:tcPr>
          <w:p>
            <w:pPr>
              <w:pStyle w:val="TableParagraph"/>
              <w:spacing w:line="264" w:lineRule="exact"/>
              <w:ind w:left="5" w:right="1"/>
              <w:jc w:val="center"/>
              <w:rPr>
                <w:rFonts w:ascii="Calibri"/>
                <w:sz w:val="22"/>
              </w:rPr>
            </w:pPr>
            <w:r>
              <w:rPr>
                <w:rFonts w:ascii="Calibri"/>
                <w:spacing w:val="-2"/>
                <w:sz w:val="22"/>
              </w:rPr>
              <w:t>8.492798</w:t>
            </w:r>
          </w:p>
        </w:tc>
        <w:tc>
          <w:tcPr>
            <w:tcW w:w="995" w:type="dxa"/>
          </w:tcPr>
          <w:p>
            <w:pPr>
              <w:pStyle w:val="TableParagraph"/>
              <w:spacing w:line="264" w:lineRule="exact"/>
              <w:ind w:left="64"/>
              <w:jc w:val="center"/>
              <w:rPr>
                <w:rFonts w:ascii="Calibri"/>
                <w:sz w:val="22"/>
              </w:rPr>
            </w:pPr>
            <w:r>
              <w:rPr>
                <w:rFonts w:ascii="Calibri"/>
                <w:spacing w:val="-2"/>
                <w:sz w:val="22"/>
              </w:rPr>
              <w:t>7.243012</w:t>
            </w:r>
          </w:p>
        </w:tc>
      </w:tr>
      <w:tr>
        <w:trPr>
          <w:trHeight w:val="300" w:hRule="atLeast"/>
        </w:trPr>
        <w:tc>
          <w:tcPr>
            <w:tcW w:w="606" w:type="dxa"/>
          </w:tcPr>
          <w:p>
            <w:pPr>
              <w:pStyle w:val="TableParagraph"/>
              <w:spacing w:line="264" w:lineRule="exact"/>
              <w:ind w:right="56"/>
              <w:jc w:val="center"/>
              <w:rPr>
                <w:rFonts w:ascii="Calibri"/>
                <w:sz w:val="22"/>
              </w:rPr>
            </w:pPr>
            <w:r>
              <w:rPr>
                <w:rFonts w:ascii="Calibri"/>
                <w:spacing w:val="-4"/>
                <w:sz w:val="22"/>
              </w:rPr>
              <w:t>1983</w:t>
            </w:r>
          </w:p>
        </w:tc>
        <w:tc>
          <w:tcPr>
            <w:tcW w:w="1081" w:type="dxa"/>
          </w:tcPr>
          <w:p>
            <w:pPr>
              <w:pStyle w:val="TableParagraph"/>
              <w:spacing w:line="264" w:lineRule="exact"/>
              <w:ind w:right="134"/>
              <w:jc w:val="right"/>
              <w:rPr>
                <w:rFonts w:ascii="Calibri"/>
                <w:sz w:val="22"/>
              </w:rPr>
            </w:pPr>
            <w:r>
              <w:rPr>
                <w:rFonts w:ascii="Calibri"/>
                <w:spacing w:val="-2"/>
                <w:sz w:val="22"/>
              </w:rPr>
              <w:t>10.88007</w:t>
            </w:r>
          </w:p>
        </w:tc>
        <w:tc>
          <w:tcPr>
            <w:tcW w:w="1081" w:type="dxa"/>
          </w:tcPr>
          <w:p>
            <w:pPr>
              <w:pStyle w:val="TableParagraph"/>
              <w:spacing w:line="264" w:lineRule="exact"/>
              <w:ind w:right="107"/>
              <w:jc w:val="right"/>
              <w:rPr>
                <w:rFonts w:ascii="Calibri"/>
                <w:sz w:val="22"/>
              </w:rPr>
            </w:pPr>
            <w:r>
              <w:rPr>
                <w:rFonts w:ascii="Calibri"/>
                <w:spacing w:val="-2"/>
                <w:sz w:val="22"/>
              </w:rPr>
              <w:t>7.472103</w:t>
            </w:r>
          </w:p>
        </w:tc>
        <w:tc>
          <w:tcPr>
            <w:tcW w:w="1053" w:type="dxa"/>
          </w:tcPr>
          <w:p>
            <w:pPr>
              <w:pStyle w:val="TableParagraph"/>
              <w:spacing w:line="264" w:lineRule="exact"/>
              <w:ind w:right="104"/>
              <w:jc w:val="right"/>
              <w:rPr>
                <w:rFonts w:ascii="Calibri"/>
                <w:sz w:val="22"/>
              </w:rPr>
            </w:pPr>
            <w:r>
              <w:rPr>
                <w:rFonts w:ascii="Calibri"/>
                <w:spacing w:val="-2"/>
                <w:sz w:val="22"/>
              </w:rPr>
              <w:t>8.691062</w:t>
            </w:r>
          </w:p>
        </w:tc>
        <w:tc>
          <w:tcPr>
            <w:tcW w:w="1053" w:type="dxa"/>
          </w:tcPr>
          <w:p>
            <w:pPr>
              <w:pStyle w:val="TableParagraph"/>
              <w:spacing w:line="264" w:lineRule="exact"/>
              <w:ind w:left="5" w:right="1"/>
              <w:jc w:val="center"/>
              <w:rPr>
                <w:rFonts w:ascii="Calibri"/>
                <w:sz w:val="22"/>
              </w:rPr>
            </w:pPr>
            <w:r>
              <w:rPr>
                <w:rFonts w:ascii="Calibri"/>
                <w:spacing w:val="-2"/>
                <w:sz w:val="22"/>
              </w:rPr>
              <w:t>8.051309</w:t>
            </w:r>
          </w:p>
        </w:tc>
        <w:tc>
          <w:tcPr>
            <w:tcW w:w="995" w:type="dxa"/>
          </w:tcPr>
          <w:p>
            <w:pPr>
              <w:pStyle w:val="TableParagraph"/>
              <w:spacing w:line="264" w:lineRule="exact"/>
              <w:ind w:left="64"/>
              <w:jc w:val="center"/>
              <w:rPr>
                <w:rFonts w:ascii="Calibri"/>
                <w:sz w:val="22"/>
              </w:rPr>
            </w:pPr>
            <w:r>
              <w:rPr>
                <w:rFonts w:ascii="Calibri"/>
                <w:spacing w:val="-2"/>
                <w:sz w:val="22"/>
              </w:rPr>
              <w:t>5.500442</w:t>
            </w:r>
          </w:p>
        </w:tc>
      </w:tr>
      <w:tr>
        <w:trPr>
          <w:trHeight w:val="300" w:hRule="atLeast"/>
        </w:trPr>
        <w:tc>
          <w:tcPr>
            <w:tcW w:w="606" w:type="dxa"/>
          </w:tcPr>
          <w:p>
            <w:pPr>
              <w:pStyle w:val="TableParagraph"/>
              <w:spacing w:line="264" w:lineRule="exact"/>
              <w:ind w:right="56"/>
              <w:jc w:val="center"/>
              <w:rPr>
                <w:rFonts w:ascii="Calibri"/>
                <w:sz w:val="22"/>
              </w:rPr>
            </w:pPr>
            <w:r>
              <w:rPr>
                <w:rFonts w:ascii="Calibri"/>
                <w:spacing w:val="-4"/>
                <w:sz w:val="22"/>
              </w:rPr>
              <w:t>1984</w:t>
            </w:r>
          </w:p>
        </w:tc>
        <w:tc>
          <w:tcPr>
            <w:tcW w:w="1081" w:type="dxa"/>
          </w:tcPr>
          <w:p>
            <w:pPr>
              <w:pStyle w:val="TableParagraph"/>
              <w:spacing w:line="264" w:lineRule="exact"/>
              <w:ind w:right="134"/>
              <w:jc w:val="right"/>
              <w:rPr>
                <w:rFonts w:ascii="Calibri"/>
                <w:sz w:val="22"/>
              </w:rPr>
            </w:pPr>
            <w:r>
              <w:rPr>
                <w:rFonts w:ascii="Calibri"/>
                <w:spacing w:val="-2"/>
                <w:sz w:val="22"/>
              </w:rPr>
              <w:t>10.99579</w:t>
            </w:r>
          </w:p>
        </w:tc>
        <w:tc>
          <w:tcPr>
            <w:tcW w:w="1081" w:type="dxa"/>
          </w:tcPr>
          <w:p>
            <w:pPr>
              <w:pStyle w:val="TableParagraph"/>
              <w:spacing w:line="264" w:lineRule="exact"/>
              <w:ind w:right="107"/>
              <w:jc w:val="right"/>
              <w:rPr>
                <w:rFonts w:ascii="Calibri"/>
                <w:sz w:val="22"/>
              </w:rPr>
            </w:pPr>
            <w:r>
              <w:rPr>
                <w:rFonts w:ascii="Calibri"/>
                <w:spacing w:val="-2"/>
                <w:sz w:val="22"/>
              </w:rPr>
              <w:t>8.350194</w:t>
            </w:r>
          </w:p>
        </w:tc>
        <w:tc>
          <w:tcPr>
            <w:tcW w:w="1053" w:type="dxa"/>
          </w:tcPr>
          <w:p>
            <w:pPr>
              <w:pStyle w:val="TableParagraph"/>
              <w:spacing w:line="264" w:lineRule="exact"/>
              <w:ind w:right="104"/>
              <w:jc w:val="right"/>
              <w:rPr>
                <w:rFonts w:ascii="Calibri"/>
                <w:sz w:val="22"/>
              </w:rPr>
            </w:pPr>
            <w:r>
              <w:rPr>
                <w:rFonts w:ascii="Calibri"/>
                <w:spacing w:val="-2"/>
                <w:sz w:val="22"/>
              </w:rPr>
              <w:t>8.766909</w:t>
            </w:r>
          </w:p>
        </w:tc>
        <w:tc>
          <w:tcPr>
            <w:tcW w:w="1053" w:type="dxa"/>
          </w:tcPr>
          <w:p>
            <w:pPr>
              <w:pStyle w:val="TableParagraph"/>
              <w:spacing w:line="264" w:lineRule="exact"/>
              <w:ind w:left="115" w:right="1"/>
              <w:jc w:val="center"/>
              <w:rPr>
                <w:rFonts w:ascii="Calibri"/>
                <w:sz w:val="22"/>
              </w:rPr>
            </w:pPr>
            <w:r>
              <w:rPr>
                <w:rFonts w:ascii="Calibri"/>
                <w:spacing w:val="-2"/>
                <w:sz w:val="22"/>
              </w:rPr>
              <w:t>3.78646</w:t>
            </w:r>
          </w:p>
        </w:tc>
        <w:tc>
          <w:tcPr>
            <w:tcW w:w="995" w:type="dxa"/>
          </w:tcPr>
          <w:p>
            <w:pPr>
              <w:pStyle w:val="TableParagraph"/>
              <w:spacing w:line="264" w:lineRule="exact"/>
              <w:ind w:left="174"/>
              <w:jc w:val="center"/>
              <w:rPr>
                <w:rFonts w:ascii="Calibri"/>
                <w:sz w:val="22"/>
              </w:rPr>
            </w:pPr>
            <w:r>
              <w:rPr>
                <w:rFonts w:ascii="Calibri"/>
                <w:spacing w:val="-2"/>
                <w:sz w:val="22"/>
              </w:rPr>
              <w:t>5.89192</w:t>
            </w:r>
          </w:p>
        </w:tc>
      </w:tr>
      <w:tr>
        <w:trPr>
          <w:trHeight w:val="300" w:hRule="atLeast"/>
        </w:trPr>
        <w:tc>
          <w:tcPr>
            <w:tcW w:w="606" w:type="dxa"/>
          </w:tcPr>
          <w:p>
            <w:pPr>
              <w:pStyle w:val="TableParagraph"/>
              <w:spacing w:line="264" w:lineRule="exact"/>
              <w:ind w:right="56"/>
              <w:jc w:val="center"/>
              <w:rPr>
                <w:rFonts w:ascii="Calibri"/>
                <w:sz w:val="22"/>
              </w:rPr>
            </w:pPr>
            <w:r>
              <w:rPr>
                <w:rFonts w:ascii="Calibri"/>
                <w:spacing w:val="-4"/>
                <w:sz w:val="22"/>
              </w:rPr>
              <w:t>1985</w:t>
            </w:r>
          </w:p>
        </w:tc>
        <w:tc>
          <w:tcPr>
            <w:tcW w:w="1081" w:type="dxa"/>
          </w:tcPr>
          <w:p>
            <w:pPr>
              <w:pStyle w:val="TableParagraph"/>
              <w:spacing w:line="264" w:lineRule="exact"/>
              <w:ind w:right="134"/>
              <w:jc w:val="right"/>
              <w:rPr>
                <w:rFonts w:ascii="Calibri"/>
                <w:sz w:val="22"/>
              </w:rPr>
            </w:pPr>
            <w:r>
              <w:rPr>
                <w:rFonts w:ascii="Calibri"/>
                <w:spacing w:val="-2"/>
                <w:sz w:val="22"/>
              </w:rPr>
              <w:t>11.12592</w:t>
            </w:r>
          </w:p>
        </w:tc>
        <w:tc>
          <w:tcPr>
            <w:tcW w:w="1081" w:type="dxa"/>
          </w:tcPr>
          <w:p>
            <w:pPr>
              <w:pStyle w:val="TableParagraph"/>
              <w:spacing w:line="264" w:lineRule="exact"/>
              <w:ind w:right="107"/>
              <w:jc w:val="right"/>
              <w:rPr>
                <w:rFonts w:ascii="Calibri"/>
                <w:sz w:val="22"/>
              </w:rPr>
            </w:pPr>
            <w:r>
              <w:rPr>
                <w:rFonts w:ascii="Calibri"/>
                <w:spacing w:val="-2"/>
                <w:sz w:val="22"/>
              </w:rPr>
              <w:t>7.820801</w:t>
            </w:r>
          </w:p>
        </w:tc>
        <w:tc>
          <w:tcPr>
            <w:tcW w:w="1053" w:type="dxa"/>
          </w:tcPr>
          <w:p>
            <w:pPr>
              <w:pStyle w:val="TableParagraph"/>
              <w:spacing w:line="264" w:lineRule="exact"/>
              <w:ind w:right="104"/>
              <w:jc w:val="right"/>
              <w:rPr>
                <w:rFonts w:ascii="Calibri"/>
                <w:sz w:val="22"/>
              </w:rPr>
            </w:pPr>
            <w:r>
              <w:rPr>
                <w:rFonts w:ascii="Calibri"/>
                <w:spacing w:val="-2"/>
                <w:sz w:val="22"/>
              </w:rPr>
              <w:t>8.825266</w:t>
            </w:r>
          </w:p>
        </w:tc>
        <w:tc>
          <w:tcPr>
            <w:tcW w:w="1053" w:type="dxa"/>
          </w:tcPr>
          <w:p>
            <w:pPr>
              <w:pStyle w:val="TableParagraph"/>
              <w:spacing w:line="264" w:lineRule="exact"/>
              <w:ind w:left="5" w:right="1"/>
              <w:jc w:val="center"/>
              <w:rPr>
                <w:rFonts w:ascii="Calibri"/>
                <w:sz w:val="22"/>
              </w:rPr>
            </w:pPr>
            <w:r>
              <w:rPr>
                <w:rFonts w:ascii="Calibri"/>
                <w:spacing w:val="-2"/>
                <w:sz w:val="22"/>
              </w:rPr>
              <w:t>7.703188</w:t>
            </w:r>
          </w:p>
        </w:tc>
        <w:tc>
          <w:tcPr>
            <w:tcW w:w="995" w:type="dxa"/>
          </w:tcPr>
          <w:p>
            <w:pPr>
              <w:pStyle w:val="TableParagraph"/>
              <w:spacing w:line="264" w:lineRule="exact"/>
              <w:ind w:left="64"/>
              <w:jc w:val="center"/>
              <w:rPr>
                <w:rFonts w:ascii="Calibri"/>
                <w:sz w:val="22"/>
              </w:rPr>
            </w:pPr>
            <w:r>
              <w:rPr>
                <w:rFonts w:ascii="Calibri"/>
                <w:spacing w:val="-2"/>
                <w:sz w:val="22"/>
              </w:rPr>
              <w:t>6.209193</w:t>
            </w:r>
          </w:p>
        </w:tc>
      </w:tr>
      <w:tr>
        <w:trPr>
          <w:trHeight w:val="300" w:hRule="atLeast"/>
        </w:trPr>
        <w:tc>
          <w:tcPr>
            <w:tcW w:w="606" w:type="dxa"/>
          </w:tcPr>
          <w:p>
            <w:pPr>
              <w:pStyle w:val="TableParagraph"/>
              <w:spacing w:line="264" w:lineRule="exact"/>
              <w:ind w:right="56"/>
              <w:jc w:val="center"/>
              <w:rPr>
                <w:rFonts w:ascii="Calibri"/>
                <w:sz w:val="22"/>
              </w:rPr>
            </w:pPr>
            <w:r>
              <w:rPr>
                <w:rFonts w:ascii="Calibri"/>
                <w:spacing w:val="-4"/>
                <w:sz w:val="22"/>
              </w:rPr>
              <w:t>1986</w:t>
            </w:r>
          </w:p>
        </w:tc>
        <w:tc>
          <w:tcPr>
            <w:tcW w:w="1081" w:type="dxa"/>
          </w:tcPr>
          <w:p>
            <w:pPr>
              <w:pStyle w:val="TableParagraph"/>
              <w:spacing w:line="264" w:lineRule="exact"/>
              <w:ind w:right="134"/>
              <w:jc w:val="right"/>
              <w:rPr>
                <w:rFonts w:ascii="Calibri"/>
                <w:sz w:val="22"/>
              </w:rPr>
            </w:pPr>
            <w:r>
              <w:rPr>
                <w:rFonts w:ascii="Calibri"/>
                <w:spacing w:val="-2"/>
                <w:sz w:val="22"/>
              </w:rPr>
              <w:t>11.14399</w:t>
            </w:r>
          </w:p>
        </w:tc>
        <w:tc>
          <w:tcPr>
            <w:tcW w:w="1081" w:type="dxa"/>
          </w:tcPr>
          <w:p>
            <w:pPr>
              <w:pStyle w:val="TableParagraph"/>
              <w:spacing w:line="264" w:lineRule="exact"/>
              <w:ind w:right="107"/>
              <w:jc w:val="right"/>
              <w:rPr>
                <w:rFonts w:ascii="Calibri"/>
                <w:sz w:val="22"/>
              </w:rPr>
            </w:pPr>
            <w:r>
              <w:rPr>
                <w:rFonts w:ascii="Calibri"/>
                <w:spacing w:val="-2"/>
                <w:sz w:val="22"/>
              </w:rPr>
              <w:t>5.486911</w:t>
            </w:r>
          </w:p>
        </w:tc>
        <w:tc>
          <w:tcPr>
            <w:tcW w:w="1053" w:type="dxa"/>
          </w:tcPr>
          <w:p>
            <w:pPr>
              <w:pStyle w:val="TableParagraph"/>
              <w:spacing w:line="264" w:lineRule="exact"/>
              <w:ind w:right="104"/>
              <w:jc w:val="right"/>
              <w:rPr>
                <w:rFonts w:ascii="Calibri"/>
                <w:sz w:val="22"/>
              </w:rPr>
            </w:pPr>
            <w:r>
              <w:rPr>
                <w:rFonts w:ascii="Calibri"/>
                <w:spacing w:val="-2"/>
                <w:sz w:val="22"/>
              </w:rPr>
              <w:t>9.139231</w:t>
            </w:r>
          </w:p>
        </w:tc>
        <w:tc>
          <w:tcPr>
            <w:tcW w:w="1053" w:type="dxa"/>
          </w:tcPr>
          <w:p>
            <w:pPr>
              <w:pStyle w:val="TableParagraph"/>
              <w:spacing w:line="264" w:lineRule="exact"/>
              <w:ind w:left="5" w:right="1"/>
              <w:jc w:val="center"/>
              <w:rPr>
                <w:rFonts w:ascii="Calibri"/>
                <w:sz w:val="22"/>
              </w:rPr>
            </w:pPr>
            <w:r>
              <w:rPr>
                <w:rFonts w:ascii="Calibri"/>
                <w:spacing w:val="-2"/>
                <w:sz w:val="22"/>
              </w:rPr>
              <w:t>8.006068</w:t>
            </w:r>
          </w:p>
        </w:tc>
        <w:tc>
          <w:tcPr>
            <w:tcW w:w="995" w:type="dxa"/>
          </w:tcPr>
          <w:p>
            <w:pPr>
              <w:pStyle w:val="TableParagraph"/>
              <w:spacing w:line="264" w:lineRule="exact"/>
              <w:ind w:left="64"/>
              <w:jc w:val="center"/>
              <w:rPr>
                <w:rFonts w:ascii="Calibri"/>
                <w:sz w:val="22"/>
              </w:rPr>
            </w:pPr>
            <w:r>
              <w:rPr>
                <w:rFonts w:ascii="Calibri"/>
                <w:spacing w:val="-2"/>
                <w:sz w:val="22"/>
              </w:rPr>
              <w:t>7.573685</w:t>
            </w:r>
          </w:p>
        </w:tc>
      </w:tr>
      <w:tr>
        <w:trPr>
          <w:trHeight w:val="300" w:hRule="atLeast"/>
        </w:trPr>
        <w:tc>
          <w:tcPr>
            <w:tcW w:w="606" w:type="dxa"/>
          </w:tcPr>
          <w:p>
            <w:pPr>
              <w:pStyle w:val="TableParagraph"/>
              <w:spacing w:line="264" w:lineRule="exact"/>
              <w:ind w:right="56"/>
              <w:jc w:val="center"/>
              <w:rPr>
                <w:rFonts w:ascii="Calibri"/>
                <w:sz w:val="22"/>
              </w:rPr>
            </w:pPr>
            <w:r>
              <w:rPr>
                <w:rFonts w:ascii="Calibri"/>
                <w:spacing w:val="-4"/>
                <w:sz w:val="22"/>
              </w:rPr>
              <w:t>1987</w:t>
            </w:r>
          </w:p>
        </w:tc>
        <w:tc>
          <w:tcPr>
            <w:tcW w:w="1081" w:type="dxa"/>
          </w:tcPr>
          <w:p>
            <w:pPr>
              <w:pStyle w:val="TableParagraph"/>
              <w:spacing w:line="264" w:lineRule="exact"/>
              <w:ind w:right="134"/>
              <w:jc w:val="right"/>
              <w:rPr>
                <w:rFonts w:ascii="Calibri"/>
                <w:sz w:val="22"/>
              </w:rPr>
            </w:pPr>
            <w:r>
              <w:rPr>
                <w:rFonts w:ascii="Calibri"/>
                <w:spacing w:val="-2"/>
                <w:sz w:val="22"/>
              </w:rPr>
              <w:t>11.56384</w:t>
            </w:r>
          </w:p>
        </w:tc>
        <w:tc>
          <w:tcPr>
            <w:tcW w:w="1081" w:type="dxa"/>
          </w:tcPr>
          <w:p>
            <w:pPr>
              <w:pStyle w:val="TableParagraph"/>
              <w:spacing w:line="264" w:lineRule="exact"/>
              <w:ind w:right="106"/>
              <w:jc w:val="right"/>
              <w:rPr>
                <w:rFonts w:ascii="Calibri"/>
                <w:sz w:val="22"/>
              </w:rPr>
            </w:pPr>
            <w:r>
              <w:rPr>
                <w:rFonts w:ascii="Calibri"/>
                <w:spacing w:val="-2"/>
                <w:sz w:val="22"/>
              </w:rPr>
              <w:t>10.99098</w:t>
            </w:r>
          </w:p>
        </w:tc>
        <w:tc>
          <w:tcPr>
            <w:tcW w:w="1053" w:type="dxa"/>
          </w:tcPr>
          <w:p>
            <w:pPr>
              <w:pStyle w:val="TableParagraph"/>
              <w:spacing w:line="264" w:lineRule="exact"/>
              <w:ind w:right="104"/>
              <w:jc w:val="right"/>
              <w:rPr>
                <w:rFonts w:ascii="Calibri"/>
                <w:sz w:val="22"/>
              </w:rPr>
            </w:pPr>
            <w:r>
              <w:rPr>
                <w:rFonts w:ascii="Calibri"/>
                <w:spacing w:val="-2"/>
                <w:sz w:val="22"/>
              </w:rPr>
              <w:t>9.2097</w:t>
            </w:r>
          </w:p>
        </w:tc>
        <w:tc>
          <w:tcPr>
            <w:tcW w:w="1053" w:type="dxa"/>
          </w:tcPr>
          <w:p>
            <w:pPr>
              <w:pStyle w:val="TableParagraph"/>
              <w:spacing w:line="264" w:lineRule="exact"/>
              <w:ind w:left="5" w:right="1"/>
              <w:jc w:val="center"/>
              <w:rPr>
                <w:rFonts w:ascii="Calibri"/>
                <w:sz w:val="22"/>
              </w:rPr>
            </w:pPr>
            <w:r>
              <w:rPr>
                <w:rFonts w:ascii="Calibri"/>
                <w:spacing w:val="-2"/>
                <w:sz w:val="22"/>
              </w:rPr>
              <w:t>5.687992</w:t>
            </w:r>
          </w:p>
        </w:tc>
        <w:tc>
          <w:tcPr>
            <w:tcW w:w="995" w:type="dxa"/>
          </w:tcPr>
          <w:p>
            <w:pPr>
              <w:pStyle w:val="TableParagraph"/>
              <w:spacing w:line="264" w:lineRule="exact"/>
              <w:ind w:left="64"/>
              <w:jc w:val="center"/>
              <w:rPr>
                <w:rFonts w:ascii="Calibri"/>
                <w:sz w:val="22"/>
              </w:rPr>
            </w:pPr>
            <w:r>
              <w:rPr>
                <w:rFonts w:ascii="Calibri"/>
                <w:spacing w:val="-2"/>
                <w:sz w:val="22"/>
              </w:rPr>
              <w:t>6.962149</w:t>
            </w:r>
          </w:p>
        </w:tc>
      </w:tr>
      <w:tr>
        <w:trPr>
          <w:trHeight w:val="300" w:hRule="atLeast"/>
        </w:trPr>
        <w:tc>
          <w:tcPr>
            <w:tcW w:w="606" w:type="dxa"/>
          </w:tcPr>
          <w:p>
            <w:pPr>
              <w:pStyle w:val="TableParagraph"/>
              <w:spacing w:line="264" w:lineRule="exact"/>
              <w:ind w:right="56"/>
              <w:jc w:val="center"/>
              <w:rPr>
                <w:rFonts w:ascii="Calibri"/>
                <w:sz w:val="22"/>
              </w:rPr>
            </w:pPr>
            <w:r>
              <w:rPr>
                <w:rFonts w:ascii="Calibri"/>
                <w:spacing w:val="-4"/>
                <w:sz w:val="22"/>
              </w:rPr>
              <w:t>1988</w:t>
            </w:r>
          </w:p>
        </w:tc>
        <w:tc>
          <w:tcPr>
            <w:tcW w:w="1081" w:type="dxa"/>
          </w:tcPr>
          <w:p>
            <w:pPr>
              <w:pStyle w:val="TableParagraph"/>
              <w:spacing w:line="264" w:lineRule="exact"/>
              <w:ind w:right="134"/>
              <w:jc w:val="right"/>
              <w:rPr>
                <w:rFonts w:ascii="Calibri"/>
                <w:sz w:val="22"/>
              </w:rPr>
            </w:pPr>
            <w:r>
              <w:rPr>
                <w:rFonts w:ascii="Calibri"/>
                <w:spacing w:val="-2"/>
                <w:sz w:val="22"/>
              </w:rPr>
              <w:t>11.84284</w:t>
            </w:r>
          </w:p>
        </w:tc>
        <w:tc>
          <w:tcPr>
            <w:tcW w:w="1081" w:type="dxa"/>
          </w:tcPr>
          <w:p>
            <w:pPr>
              <w:pStyle w:val="TableParagraph"/>
              <w:spacing w:line="264" w:lineRule="exact"/>
              <w:ind w:right="106"/>
              <w:jc w:val="right"/>
              <w:rPr>
                <w:rFonts w:ascii="Calibri"/>
                <w:sz w:val="22"/>
              </w:rPr>
            </w:pPr>
            <w:r>
              <w:rPr>
                <w:rFonts w:ascii="Calibri"/>
                <w:spacing w:val="-2"/>
                <w:sz w:val="22"/>
              </w:rPr>
              <w:t>10.40932</w:t>
            </w:r>
          </w:p>
        </w:tc>
        <w:tc>
          <w:tcPr>
            <w:tcW w:w="1053" w:type="dxa"/>
          </w:tcPr>
          <w:p>
            <w:pPr>
              <w:pStyle w:val="TableParagraph"/>
              <w:spacing w:line="264" w:lineRule="exact"/>
              <w:ind w:right="104"/>
              <w:jc w:val="right"/>
              <w:rPr>
                <w:rFonts w:ascii="Calibri"/>
                <w:sz w:val="22"/>
              </w:rPr>
            </w:pPr>
            <w:r>
              <w:rPr>
                <w:rFonts w:ascii="Calibri"/>
                <w:spacing w:val="-2"/>
                <w:sz w:val="22"/>
              </w:rPr>
              <w:t>9.336021</w:t>
            </w:r>
          </w:p>
        </w:tc>
        <w:tc>
          <w:tcPr>
            <w:tcW w:w="1053" w:type="dxa"/>
          </w:tcPr>
          <w:p>
            <w:pPr>
              <w:pStyle w:val="TableParagraph"/>
              <w:spacing w:line="264" w:lineRule="exact"/>
              <w:ind w:left="5" w:right="1"/>
              <w:jc w:val="center"/>
              <w:rPr>
                <w:rFonts w:ascii="Calibri"/>
                <w:sz w:val="22"/>
              </w:rPr>
            </w:pPr>
            <w:r>
              <w:rPr>
                <w:rFonts w:ascii="Calibri"/>
                <w:spacing w:val="-2"/>
                <w:sz w:val="22"/>
              </w:rPr>
              <w:t>6.872853</w:t>
            </w:r>
          </w:p>
        </w:tc>
        <w:tc>
          <w:tcPr>
            <w:tcW w:w="995" w:type="dxa"/>
          </w:tcPr>
          <w:p>
            <w:pPr>
              <w:pStyle w:val="TableParagraph"/>
              <w:spacing w:line="264" w:lineRule="exact"/>
              <w:ind w:left="64"/>
              <w:jc w:val="center"/>
              <w:rPr>
                <w:rFonts w:ascii="Calibri"/>
                <w:sz w:val="22"/>
              </w:rPr>
            </w:pPr>
            <w:r>
              <w:rPr>
                <w:rFonts w:ascii="Calibri"/>
                <w:spacing w:val="-2"/>
                <w:sz w:val="22"/>
              </w:rPr>
              <w:t>7.223004</w:t>
            </w:r>
          </w:p>
        </w:tc>
      </w:tr>
      <w:tr>
        <w:trPr>
          <w:trHeight w:val="300" w:hRule="atLeast"/>
        </w:trPr>
        <w:tc>
          <w:tcPr>
            <w:tcW w:w="606" w:type="dxa"/>
          </w:tcPr>
          <w:p>
            <w:pPr>
              <w:pStyle w:val="TableParagraph"/>
              <w:spacing w:line="264" w:lineRule="exact"/>
              <w:ind w:right="56"/>
              <w:jc w:val="center"/>
              <w:rPr>
                <w:rFonts w:ascii="Calibri"/>
                <w:sz w:val="22"/>
              </w:rPr>
            </w:pPr>
            <w:r>
              <w:rPr>
                <w:rFonts w:ascii="Calibri"/>
                <w:spacing w:val="-4"/>
                <w:sz w:val="22"/>
              </w:rPr>
              <w:t>1989</w:t>
            </w:r>
          </w:p>
        </w:tc>
        <w:tc>
          <w:tcPr>
            <w:tcW w:w="1081" w:type="dxa"/>
          </w:tcPr>
          <w:p>
            <w:pPr>
              <w:pStyle w:val="TableParagraph"/>
              <w:spacing w:line="264" w:lineRule="exact"/>
              <w:ind w:right="134"/>
              <w:jc w:val="right"/>
              <w:rPr>
                <w:rFonts w:ascii="Calibri"/>
                <w:sz w:val="22"/>
              </w:rPr>
            </w:pPr>
            <w:r>
              <w:rPr>
                <w:rFonts w:ascii="Calibri"/>
                <w:spacing w:val="-2"/>
                <w:sz w:val="22"/>
              </w:rPr>
              <w:t>12.28672</w:t>
            </w:r>
          </w:p>
        </w:tc>
        <w:tc>
          <w:tcPr>
            <w:tcW w:w="1081" w:type="dxa"/>
          </w:tcPr>
          <w:p>
            <w:pPr>
              <w:pStyle w:val="TableParagraph"/>
              <w:spacing w:line="264" w:lineRule="exact"/>
              <w:ind w:right="106"/>
              <w:jc w:val="right"/>
              <w:rPr>
                <w:rFonts w:ascii="Calibri"/>
                <w:sz w:val="22"/>
              </w:rPr>
            </w:pPr>
            <w:r>
              <w:rPr>
                <w:rFonts w:ascii="Calibri"/>
                <w:spacing w:val="-2"/>
                <w:sz w:val="22"/>
              </w:rPr>
              <w:t>11.57531</w:t>
            </w:r>
          </w:p>
        </w:tc>
        <w:tc>
          <w:tcPr>
            <w:tcW w:w="1053" w:type="dxa"/>
          </w:tcPr>
          <w:p>
            <w:pPr>
              <w:pStyle w:val="TableParagraph"/>
              <w:spacing w:line="264" w:lineRule="exact"/>
              <w:ind w:right="104"/>
              <w:jc w:val="right"/>
              <w:rPr>
                <w:rFonts w:ascii="Calibri"/>
                <w:sz w:val="22"/>
              </w:rPr>
            </w:pPr>
            <w:r>
              <w:rPr>
                <w:rFonts w:ascii="Calibri"/>
                <w:spacing w:val="-2"/>
                <w:sz w:val="22"/>
              </w:rPr>
              <w:t>9.296481</w:t>
            </w:r>
          </w:p>
        </w:tc>
        <w:tc>
          <w:tcPr>
            <w:tcW w:w="1053" w:type="dxa"/>
          </w:tcPr>
          <w:p>
            <w:pPr>
              <w:pStyle w:val="TableParagraph"/>
              <w:spacing w:line="264" w:lineRule="exact"/>
              <w:ind w:left="5" w:right="1"/>
              <w:jc w:val="center"/>
              <w:rPr>
                <w:rFonts w:ascii="Calibri"/>
                <w:sz w:val="22"/>
              </w:rPr>
            </w:pPr>
            <w:r>
              <w:rPr>
                <w:rFonts w:ascii="Calibri"/>
                <w:spacing w:val="-2"/>
                <w:sz w:val="22"/>
              </w:rPr>
              <w:t>9.276512</w:t>
            </w:r>
          </w:p>
        </w:tc>
        <w:tc>
          <w:tcPr>
            <w:tcW w:w="995" w:type="dxa"/>
          </w:tcPr>
          <w:p>
            <w:pPr>
              <w:pStyle w:val="TableParagraph"/>
              <w:spacing w:line="264" w:lineRule="exact"/>
              <w:ind w:left="64"/>
              <w:jc w:val="center"/>
              <w:rPr>
                <w:rFonts w:ascii="Calibri"/>
                <w:sz w:val="22"/>
              </w:rPr>
            </w:pPr>
            <w:r>
              <w:rPr>
                <w:rFonts w:ascii="Calibri"/>
                <w:spacing w:val="-2"/>
                <w:sz w:val="22"/>
              </w:rPr>
              <w:t>9.228612</w:t>
            </w:r>
          </w:p>
        </w:tc>
      </w:tr>
      <w:tr>
        <w:trPr>
          <w:trHeight w:val="300" w:hRule="atLeast"/>
        </w:trPr>
        <w:tc>
          <w:tcPr>
            <w:tcW w:w="606" w:type="dxa"/>
          </w:tcPr>
          <w:p>
            <w:pPr>
              <w:pStyle w:val="TableParagraph"/>
              <w:spacing w:line="264" w:lineRule="exact"/>
              <w:ind w:right="56"/>
              <w:jc w:val="center"/>
              <w:rPr>
                <w:rFonts w:ascii="Calibri"/>
                <w:sz w:val="22"/>
              </w:rPr>
            </w:pPr>
            <w:r>
              <w:rPr>
                <w:rFonts w:ascii="Calibri"/>
                <w:spacing w:val="-4"/>
                <w:sz w:val="22"/>
              </w:rPr>
              <w:t>1990</w:t>
            </w:r>
          </w:p>
        </w:tc>
        <w:tc>
          <w:tcPr>
            <w:tcW w:w="1081" w:type="dxa"/>
          </w:tcPr>
          <w:p>
            <w:pPr>
              <w:pStyle w:val="TableParagraph"/>
              <w:spacing w:line="264" w:lineRule="exact"/>
              <w:ind w:right="134"/>
              <w:jc w:val="right"/>
              <w:rPr>
                <w:rFonts w:ascii="Calibri"/>
                <w:sz w:val="22"/>
              </w:rPr>
            </w:pPr>
            <w:r>
              <w:rPr>
                <w:rFonts w:ascii="Calibri"/>
                <w:spacing w:val="-2"/>
                <w:sz w:val="22"/>
              </w:rPr>
              <w:t>12.49706</w:t>
            </w:r>
          </w:p>
        </w:tc>
        <w:tc>
          <w:tcPr>
            <w:tcW w:w="1081" w:type="dxa"/>
          </w:tcPr>
          <w:p>
            <w:pPr>
              <w:pStyle w:val="TableParagraph"/>
              <w:spacing w:line="264" w:lineRule="exact"/>
              <w:ind w:right="106"/>
              <w:jc w:val="right"/>
              <w:rPr>
                <w:rFonts w:ascii="Calibri"/>
                <w:sz w:val="22"/>
              </w:rPr>
            </w:pPr>
            <w:r>
              <w:rPr>
                <w:rFonts w:ascii="Calibri"/>
                <w:spacing w:val="-2"/>
                <w:sz w:val="22"/>
              </w:rPr>
              <w:t>10.972</w:t>
            </w:r>
          </w:p>
        </w:tc>
        <w:tc>
          <w:tcPr>
            <w:tcW w:w="1053" w:type="dxa"/>
          </w:tcPr>
          <w:p>
            <w:pPr>
              <w:pStyle w:val="TableParagraph"/>
              <w:spacing w:line="264" w:lineRule="exact"/>
              <w:ind w:right="104"/>
              <w:jc w:val="right"/>
              <w:rPr>
                <w:rFonts w:ascii="Calibri"/>
                <w:sz w:val="22"/>
              </w:rPr>
            </w:pPr>
            <w:r>
              <w:rPr>
                <w:rFonts w:ascii="Calibri"/>
                <w:spacing w:val="-2"/>
                <w:sz w:val="22"/>
              </w:rPr>
              <w:t>9.253026</w:t>
            </w:r>
          </w:p>
        </w:tc>
        <w:tc>
          <w:tcPr>
            <w:tcW w:w="1053" w:type="dxa"/>
          </w:tcPr>
          <w:p>
            <w:pPr>
              <w:pStyle w:val="TableParagraph"/>
              <w:spacing w:line="264" w:lineRule="exact"/>
              <w:ind w:left="4" w:right="1"/>
              <w:jc w:val="center"/>
              <w:rPr>
                <w:rFonts w:ascii="Calibri"/>
                <w:sz w:val="22"/>
              </w:rPr>
            </w:pPr>
            <w:r>
              <w:rPr>
                <w:rFonts w:ascii="Calibri"/>
                <w:spacing w:val="-2"/>
                <w:sz w:val="22"/>
              </w:rPr>
              <w:t>10.70843</w:t>
            </w:r>
          </w:p>
        </w:tc>
        <w:tc>
          <w:tcPr>
            <w:tcW w:w="995" w:type="dxa"/>
          </w:tcPr>
          <w:p>
            <w:pPr>
              <w:pStyle w:val="TableParagraph"/>
              <w:spacing w:line="264" w:lineRule="exact"/>
              <w:ind w:left="64"/>
              <w:jc w:val="center"/>
              <w:rPr>
                <w:rFonts w:ascii="Calibri"/>
                <w:sz w:val="22"/>
              </w:rPr>
            </w:pPr>
            <w:r>
              <w:rPr>
                <w:rFonts w:ascii="Calibri"/>
                <w:spacing w:val="-2"/>
                <w:sz w:val="22"/>
              </w:rPr>
              <w:t>9.975622</w:t>
            </w:r>
          </w:p>
        </w:tc>
      </w:tr>
      <w:tr>
        <w:trPr>
          <w:trHeight w:val="300" w:hRule="atLeast"/>
        </w:trPr>
        <w:tc>
          <w:tcPr>
            <w:tcW w:w="606" w:type="dxa"/>
          </w:tcPr>
          <w:p>
            <w:pPr>
              <w:pStyle w:val="TableParagraph"/>
              <w:spacing w:line="264" w:lineRule="exact"/>
              <w:ind w:right="56"/>
              <w:jc w:val="center"/>
              <w:rPr>
                <w:rFonts w:ascii="Calibri"/>
                <w:sz w:val="22"/>
              </w:rPr>
            </w:pPr>
            <w:r>
              <w:rPr>
                <w:rFonts w:ascii="Calibri"/>
                <w:spacing w:val="-4"/>
                <w:sz w:val="22"/>
              </w:rPr>
              <w:t>1991</w:t>
            </w:r>
          </w:p>
        </w:tc>
        <w:tc>
          <w:tcPr>
            <w:tcW w:w="1081" w:type="dxa"/>
          </w:tcPr>
          <w:p>
            <w:pPr>
              <w:pStyle w:val="TableParagraph"/>
              <w:spacing w:line="264" w:lineRule="exact"/>
              <w:ind w:right="134"/>
              <w:jc w:val="right"/>
              <w:rPr>
                <w:rFonts w:ascii="Calibri"/>
                <w:sz w:val="22"/>
              </w:rPr>
            </w:pPr>
            <w:r>
              <w:rPr>
                <w:rFonts w:ascii="Calibri"/>
                <w:spacing w:val="-2"/>
                <w:sz w:val="22"/>
              </w:rPr>
              <w:t>12.65121</w:t>
            </w:r>
          </w:p>
        </w:tc>
        <w:tc>
          <w:tcPr>
            <w:tcW w:w="1081" w:type="dxa"/>
          </w:tcPr>
          <w:p>
            <w:pPr>
              <w:pStyle w:val="TableParagraph"/>
              <w:spacing w:line="264" w:lineRule="exact"/>
              <w:ind w:right="106"/>
              <w:jc w:val="right"/>
              <w:rPr>
                <w:rFonts w:ascii="Calibri"/>
                <w:sz w:val="22"/>
              </w:rPr>
            </w:pPr>
            <w:r>
              <w:rPr>
                <w:rFonts w:ascii="Calibri"/>
                <w:spacing w:val="-2"/>
                <w:sz w:val="22"/>
              </w:rPr>
              <w:t>10.30358</w:t>
            </w:r>
          </w:p>
        </w:tc>
        <w:tc>
          <w:tcPr>
            <w:tcW w:w="1053" w:type="dxa"/>
          </w:tcPr>
          <w:p>
            <w:pPr>
              <w:pStyle w:val="TableParagraph"/>
              <w:spacing w:line="264" w:lineRule="exact"/>
              <w:ind w:right="104"/>
              <w:jc w:val="right"/>
              <w:rPr>
                <w:rFonts w:ascii="Calibri"/>
                <w:sz w:val="22"/>
              </w:rPr>
            </w:pPr>
            <w:r>
              <w:rPr>
                <w:rFonts w:ascii="Calibri"/>
                <w:spacing w:val="-2"/>
                <w:sz w:val="22"/>
              </w:rPr>
              <w:t>9.41275</w:t>
            </w:r>
          </w:p>
        </w:tc>
        <w:tc>
          <w:tcPr>
            <w:tcW w:w="1053" w:type="dxa"/>
          </w:tcPr>
          <w:p>
            <w:pPr>
              <w:pStyle w:val="TableParagraph"/>
              <w:spacing w:line="264" w:lineRule="exact"/>
              <w:ind w:left="5" w:right="1"/>
              <w:jc w:val="center"/>
              <w:rPr>
                <w:rFonts w:ascii="Calibri"/>
                <w:sz w:val="22"/>
              </w:rPr>
            </w:pPr>
            <w:r>
              <w:rPr>
                <w:rFonts w:ascii="Calibri"/>
                <w:spacing w:val="-2"/>
                <w:sz w:val="22"/>
              </w:rPr>
              <w:t>9.445839</w:t>
            </w:r>
          </w:p>
        </w:tc>
        <w:tc>
          <w:tcPr>
            <w:tcW w:w="995" w:type="dxa"/>
          </w:tcPr>
          <w:p>
            <w:pPr>
              <w:pStyle w:val="TableParagraph"/>
              <w:spacing w:line="264" w:lineRule="exact"/>
              <w:ind w:left="64"/>
              <w:jc w:val="center"/>
              <w:rPr>
                <w:rFonts w:ascii="Calibri"/>
                <w:sz w:val="22"/>
              </w:rPr>
            </w:pPr>
            <w:r>
              <w:rPr>
                <w:rFonts w:ascii="Calibri"/>
                <w:spacing w:val="-2"/>
                <w:sz w:val="22"/>
              </w:rPr>
              <w:t>9.137393</w:t>
            </w:r>
          </w:p>
        </w:tc>
      </w:tr>
      <w:tr>
        <w:trPr>
          <w:trHeight w:val="300" w:hRule="atLeast"/>
        </w:trPr>
        <w:tc>
          <w:tcPr>
            <w:tcW w:w="606" w:type="dxa"/>
          </w:tcPr>
          <w:p>
            <w:pPr>
              <w:pStyle w:val="TableParagraph"/>
              <w:spacing w:line="264" w:lineRule="exact"/>
              <w:ind w:right="56"/>
              <w:jc w:val="center"/>
              <w:rPr>
                <w:rFonts w:ascii="Calibri"/>
                <w:sz w:val="22"/>
              </w:rPr>
            </w:pPr>
            <w:r>
              <w:rPr>
                <w:rFonts w:ascii="Calibri"/>
                <w:spacing w:val="-4"/>
                <w:sz w:val="22"/>
              </w:rPr>
              <w:t>1992</w:t>
            </w:r>
          </w:p>
        </w:tc>
        <w:tc>
          <w:tcPr>
            <w:tcW w:w="1081" w:type="dxa"/>
          </w:tcPr>
          <w:p>
            <w:pPr>
              <w:pStyle w:val="TableParagraph"/>
              <w:spacing w:line="264" w:lineRule="exact"/>
              <w:ind w:right="134"/>
              <w:jc w:val="right"/>
              <w:rPr>
                <w:rFonts w:ascii="Calibri"/>
                <w:sz w:val="22"/>
              </w:rPr>
            </w:pPr>
            <w:r>
              <w:rPr>
                <w:rFonts w:ascii="Calibri"/>
                <w:spacing w:val="-2"/>
                <w:sz w:val="22"/>
              </w:rPr>
              <w:t>13.18555</w:t>
            </w:r>
          </w:p>
        </w:tc>
        <w:tc>
          <w:tcPr>
            <w:tcW w:w="1081" w:type="dxa"/>
          </w:tcPr>
          <w:p>
            <w:pPr>
              <w:pStyle w:val="TableParagraph"/>
              <w:spacing w:line="264" w:lineRule="exact"/>
              <w:ind w:right="106"/>
              <w:jc w:val="right"/>
              <w:rPr>
                <w:rFonts w:ascii="Calibri"/>
                <w:sz w:val="22"/>
              </w:rPr>
            </w:pPr>
            <w:r>
              <w:rPr>
                <w:rFonts w:ascii="Calibri"/>
                <w:spacing w:val="-2"/>
                <w:sz w:val="22"/>
              </w:rPr>
              <w:t>12.28216</w:t>
            </w:r>
          </w:p>
        </w:tc>
        <w:tc>
          <w:tcPr>
            <w:tcW w:w="1053" w:type="dxa"/>
          </w:tcPr>
          <w:p>
            <w:pPr>
              <w:pStyle w:val="TableParagraph"/>
              <w:spacing w:line="264" w:lineRule="exact"/>
              <w:ind w:right="104"/>
              <w:jc w:val="right"/>
              <w:rPr>
                <w:rFonts w:ascii="Calibri"/>
                <w:sz w:val="22"/>
              </w:rPr>
            </w:pPr>
            <w:r>
              <w:rPr>
                <w:rFonts w:ascii="Calibri"/>
                <w:spacing w:val="-2"/>
                <w:sz w:val="22"/>
              </w:rPr>
              <w:t>9.928799</w:t>
            </w:r>
          </w:p>
        </w:tc>
        <w:tc>
          <w:tcPr>
            <w:tcW w:w="1053" w:type="dxa"/>
          </w:tcPr>
          <w:p>
            <w:pPr>
              <w:pStyle w:val="TableParagraph"/>
              <w:spacing w:line="264" w:lineRule="exact"/>
              <w:ind w:left="115" w:right="1"/>
              <w:jc w:val="center"/>
              <w:rPr>
                <w:rFonts w:ascii="Calibri"/>
                <w:sz w:val="22"/>
              </w:rPr>
            </w:pPr>
            <w:r>
              <w:rPr>
                <w:rFonts w:ascii="Calibri"/>
                <w:spacing w:val="-2"/>
                <w:sz w:val="22"/>
              </w:rPr>
              <w:t>10.5821</w:t>
            </w:r>
          </w:p>
        </w:tc>
        <w:tc>
          <w:tcPr>
            <w:tcW w:w="995" w:type="dxa"/>
          </w:tcPr>
          <w:p>
            <w:pPr>
              <w:pStyle w:val="TableParagraph"/>
              <w:spacing w:line="264" w:lineRule="exact"/>
              <w:ind w:left="64" w:right="1"/>
              <w:jc w:val="center"/>
              <w:rPr>
                <w:rFonts w:ascii="Calibri"/>
                <w:sz w:val="22"/>
              </w:rPr>
            </w:pPr>
            <w:r>
              <w:rPr>
                <w:rFonts w:ascii="Calibri"/>
                <w:spacing w:val="-2"/>
                <w:sz w:val="22"/>
              </w:rPr>
              <w:t>10.31749</w:t>
            </w:r>
          </w:p>
        </w:tc>
      </w:tr>
      <w:tr>
        <w:trPr>
          <w:trHeight w:val="300" w:hRule="atLeast"/>
        </w:trPr>
        <w:tc>
          <w:tcPr>
            <w:tcW w:w="606" w:type="dxa"/>
          </w:tcPr>
          <w:p>
            <w:pPr>
              <w:pStyle w:val="TableParagraph"/>
              <w:spacing w:line="265" w:lineRule="exact"/>
              <w:ind w:right="56"/>
              <w:jc w:val="center"/>
              <w:rPr>
                <w:rFonts w:ascii="Calibri"/>
                <w:sz w:val="22"/>
              </w:rPr>
            </w:pPr>
            <w:r>
              <w:rPr>
                <w:rFonts w:ascii="Calibri"/>
                <w:spacing w:val="-4"/>
                <w:sz w:val="22"/>
              </w:rPr>
              <w:t>1993</w:t>
            </w:r>
          </w:p>
        </w:tc>
        <w:tc>
          <w:tcPr>
            <w:tcW w:w="1081" w:type="dxa"/>
          </w:tcPr>
          <w:p>
            <w:pPr>
              <w:pStyle w:val="TableParagraph"/>
              <w:spacing w:line="265" w:lineRule="exact"/>
              <w:ind w:right="134"/>
              <w:jc w:val="right"/>
              <w:rPr>
                <w:rFonts w:ascii="Calibri"/>
                <w:sz w:val="22"/>
              </w:rPr>
            </w:pPr>
            <w:r>
              <w:rPr>
                <w:rFonts w:ascii="Calibri"/>
                <w:spacing w:val="-2"/>
                <w:sz w:val="22"/>
              </w:rPr>
              <w:t>13.43552</w:t>
            </w:r>
          </w:p>
        </w:tc>
        <w:tc>
          <w:tcPr>
            <w:tcW w:w="1081" w:type="dxa"/>
          </w:tcPr>
          <w:p>
            <w:pPr>
              <w:pStyle w:val="TableParagraph"/>
              <w:spacing w:line="265" w:lineRule="exact"/>
              <w:ind w:right="106"/>
              <w:jc w:val="right"/>
              <w:rPr>
                <w:rFonts w:ascii="Calibri"/>
                <w:sz w:val="22"/>
              </w:rPr>
            </w:pPr>
            <w:r>
              <w:rPr>
                <w:rFonts w:ascii="Calibri"/>
                <w:spacing w:val="-2"/>
                <w:sz w:val="22"/>
              </w:rPr>
              <w:t>11.39505</w:t>
            </w:r>
          </w:p>
        </w:tc>
        <w:tc>
          <w:tcPr>
            <w:tcW w:w="1053" w:type="dxa"/>
          </w:tcPr>
          <w:p>
            <w:pPr>
              <w:pStyle w:val="TableParagraph"/>
              <w:spacing w:line="265" w:lineRule="exact"/>
              <w:ind w:right="105"/>
              <w:jc w:val="right"/>
              <w:rPr>
                <w:rFonts w:ascii="Calibri"/>
                <w:sz w:val="22"/>
              </w:rPr>
            </w:pPr>
            <w:r>
              <w:rPr>
                <w:rFonts w:ascii="Calibri"/>
                <w:spacing w:val="-2"/>
                <w:sz w:val="22"/>
              </w:rPr>
              <w:t>11.10926</w:t>
            </w:r>
          </w:p>
        </w:tc>
        <w:tc>
          <w:tcPr>
            <w:tcW w:w="1053" w:type="dxa"/>
          </w:tcPr>
          <w:p>
            <w:pPr>
              <w:pStyle w:val="TableParagraph"/>
              <w:spacing w:line="265" w:lineRule="exact"/>
              <w:ind w:left="115" w:right="1"/>
              <w:jc w:val="center"/>
              <w:rPr>
                <w:rFonts w:ascii="Calibri"/>
                <w:sz w:val="22"/>
              </w:rPr>
            </w:pPr>
            <w:r>
              <w:rPr>
                <w:rFonts w:ascii="Calibri"/>
                <w:spacing w:val="-2"/>
                <w:sz w:val="22"/>
              </w:rPr>
              <w:t>9.87759</w:t>
            </w:r>
          </w:p>
        </w:tc>
        <w:tc>
          <w:tcPr>
            <w:tcW w:w="995" w:type="dxa"/>
          </w:tcPr>
          <w:p>
            <w:pPr>
              <w:pStyle w:val="TableParagraph"/>
              <w:spacing w:line="265" w:lineRule="exact"/>
              <w:ind w:left="64" w:right="1"/>
              <w:jc w:val="center"/>
              <w:rPr>
                <w:rFonts w:ascii="Calibri"/>
                <w:sz w:val="22"/>
              </w:rPr>
            </w:pPr>
            <w:r>
              <w:rPr>
                <w:rFonts w:ascii="Calibri"/>
                <w:spacing w:val="-2"/>
                <w:sz w:val="22"/>
              </w:rPr>
              <w:t>10.88281</w:t>
            </w:r>
          </w:p>
        </w:tc>
      </w:tr>
      <w:tr>
        <w:trPr>
          <w:trHeight w:val="300" w:hRule="atLeast"/>
        </w:trPr>
        <w:tc>
          <w:tcPr>
            <w:tcW w:w="606" w:type="dxa"/>
          </w:tcPr>
          <w:p>
            <w:pPr>
              <w:pStyle w:val="TableParagraph"/>
              <w:spacing w:line="264" w:lineRule="exact"/>
              <w:ind w:right="56"/>
              <w:jc w:val="center"/>
              <w:rPr>
                <w:rFonts w:ascii="Calibri"/>
                <w:sz w:val="22"/>
              </w:rPr>
            </w:pPr>
            <w:r>
              <w:rPr>
                <w:rFonts w:ascii="Calibri"/>
                <w:spacing w:val="-4"/>
                <w:sz w:val="22"/>
              </w:rPr>
              <w:t>1994</w:t>
            </w:r>
          </w:p>
        </w:tc>
        <w:tc>
          <w:tcPr>
            <w:tcW w:w="1081" w:type="dxa"/>
          </w:tcPr>
          <w:p>
            <w:pPr>
              <w:pStyle w:val="TableParagraph"/>
              <w:spacing w:line="264" w:lineRule="exact"/>
              <w:ind w:right="133"/>
              <w:jc w:val="right"/>
              <w:rPr>
                <w:rFonts w:ascii="Calibri"/>
                <w:sz w:val="22"/>
              </w:rPr>
            </w:pPr>
            <w:r>
              <w:rPr>
                <w:rFonts w:ascii="Calibri"/>
                <w:spacing w:val="-2"/>
                <w:sz w:val="22"/>
              </w:rPr>
              <w:t>13.71</w:t>
            </w:r>
          </w:p>
        </w:tc>
        <w:tc>
          <w:tcPr>
            <w:tcW w:w="1081" w:type="dxa"/>
          </w:tcPr>
          <w:p>
            <w:pPr>
              <w:pStyle w:val="TableParagraph"/>
              <w:spacing w:line="264" w:lineRule="exact"/>
              <w:ind w:right="107"/>
              <w:jc w:val="right"/>
              <w:rPr>
                <w:rFonts w:ascii="Calibri"/>
                <w:sz w:val="22"/>
              </w:rPr>
            </w:pPr>
            <w:r>
              <w:rPr>
                <w:rFonts w:ascii="Calibri"/>
                <w:spacing w:val="-2"/>
                <w:sz w:val="22"/>
              </w:rPr>
              <w:t>9.659414</w:t>
            </w:r>
          </w:p>
        </w:tc>
        <w:tc>
          <w:tcPr>
            <w:tcW w:w="1053" w:type="dxa"/>
          </w:tcPr>
          <w:p>
            <w:pPr>
              <w:pStyle w:val="TableParagraph"/>
              <w:spacing w:line="264" w:lineRule="exact"/>
              <w:ind w:right="105"/>
              <w:jc w:val="right"/>
              <w:rPr>
                <w:rFonts w:ascii="Calibri"/>
                <w:sz w:val="22"/>
              </w:rPr>
            </w:pPr>
            <w:r>
              <w:rPr>
                <w:rFonts w:ascii="Calibri"/>
                <w:spacing w:val="-2"/>
                <w:sz w:val="22"/>
              </w:rPr>
              <w:t>11.16641</w:t>
            </w:r>
          </w:p>
        </w:tc>
        <w:tc>
          <w:tcPr>
            <w:tcW w:w="1053" w:type="dxa"/>
          </w:tcPr>
          <w:p>
            <w:pPr>
              <w:pStyle w:val="TableParagraph"/>
              <w:spacing w:line="264" w:lineRule="exact"/>
              <w:ind w:left="4" w:right="1"/>
              <w:jc w:val="center"/>
              <w:rPr>
                <w:rFonts w:ascii="Calibri"/>
                <w:sz w:val="22"/>
              </w:rPr>
            </w:pPr>
            <w:r>
              <w:rPr>
                <w:rFonts w:ascii="Calibri"/>
                <w:spacing w:val="-2"/>
                <w:sz w:val="22"/>
              </w:rPr>
              <w:t>10.86483</w:t>
            </w:r>
          </w:p>
        </w:tc>
        <w:tc>
          <w:tcPr>
            <w:tcW w:w="995" w:type="dxa"/>
          </w:tcPr>
          <w:p>
            <w:pPr>
              <w:pStyle w:val="TableParagraph"/>
              <w:spacing w:line="264" w:lineRule="exact"/>
              <w:ind w:left="64" w:right="1"/>
              <w:jc w:val="center"/>
              <w:rPr>
                <w:rFonts w:ascii="Calibri"/>
                <w:sz w:val="22"/>
              </w:rPr>
            </w:pPr>
            <w:r>
              <w:rPr>
                <w:rFonts w:ascii="Calibri"/>
                <w:spacing w:val="-2"/>
                <w:sz w:val="22"/>
              </w:rPr>
              <w:t>10.51297</w:t>
            </w:r>
          </w:p>
        </w:tc>
      </w:tr>
      <w:tr>
        <w:trPr>
          <w:trHeight w:val="300" w:hRule="atLeast"/>
        </w:trPr>
        <w:tc>
          <w:tcPr>
            <w:tcW w:w="606" w:type="dxa"/>
          </w:tcPr>
          <w:p>
            <w:pPr>
              <w:pStyle w:val="TableParagraph"/>
              <w:spacing w:line="264" w:lineRule="exact"/>
              <w:ind w:right="56"/>
              <w:jc w:val="center"/>
              <w:rPr>
                <w:rFonts w:ascii="Calibri"/>
                <w:sz w:val="22"/>
              </w:rPr>
            </w:pPr>
            <w:r>
              <w:rPr>
                <w:rFonts w:ascii="Calibri"/>
                <w:spacing w:val="-4"/>
                <w:sz w:val="22"/>
              </w:rPr>
              <w:t>1995</w:t>
            </w:r>
          </w:p>
        </w:tc>
        <w:tc>
          <w:tcPr>
            <w:tcW w:w="1081" w:type="dxa"/>
          </w:tcPr>
          <w:p>
            <w:pPr>
              <w:pStyle w:val="TableParagraph"/>
              <w:spacing w:line="264" w:lineRule="exact"/>
              <w:ind w:right="134"/>
              <w:jc w:val="right"/>
              <w:rPr>
                <w:rFonts w:ascii="Calibri"/>
                <w:sz w:val="22"/>
              </w:rPr>
            </w:pPr>
            <w:r>
              <w:rPr>
                <w:rFonts w:ascii="Calibri"/>
                <w:spacing w:val="-2"/>
                <w:sz w:val="22"/>
              </w:rPr>
              <w:t>14.47469</w:t>
            </w:r>
          </w:p>
        </w:tc>
        <w:tc>
          <w:tcPr>
            <w:tcW w:w="1081" w:type="dxa"/>
          </w:tcPr>
          <w:p>
            <w:pPr>
              <w:pStyle w:val="TableParagraph"/>
              <w:spacing w:line="264" w:lineRule="exact"/>
              <w:ind w:right="106"/>
              <w:jc w:val="right"/>
              <w:rPr>
                <w:rFonts w:ascii="Calibri"/>
                <w:sz w:val="22"/>
              </w:rPr>
            </w:pPr>
            <w:r>
              <w:rPr>
                <w:rFonts w:ascii="Calibri"/>
                <w:spacing w:val="-2"/>
                <w:sz w:val="22"/>
              </w:rPr>
              <w:t>13.41212</w:t>
            </w:r>
          </w:p>
        </w:tc>
        <w:tc>
          <w:tcPr>
            <w:tcW w:w="1053" w:type="dxa"/>
          </w:tcPr>
          <w:p>
            <w:pPr>
              <w:pStyle w:val="TableParagraph"/>
              <w:spacing w:line="264" w:lineRule="exact"/>
              <w:ind w:right="105"/>
              <w:jc w:val="right"/>
              <w:rPr>
                <w:rFonts w:ascii="Calibri"/>
                <w:sz w:val="22"/>
              </w:rPr>
            </w:pPr>
            <w:r>
              <w:rPr>
                <w:rFonts w:ascii="Calibri"/>
                <w:spacing w:val="-2"/>
                <w:sz w:val="22"/>
              </w:rPr>
              <w:t>11.69016</w:t>
            </w:r>
          </w:p>
        </w:tc>
        <w:tc>
          <w:tcPr>
            <w:tcW w:w="1053" w:type="dxa"/>
          </w:tcPr>
          <w:p>
            <w:pPr>
              <w:pStyle w:val="TableParagraph"/>
              <w:spacing w:line="264" w:lineRule="exact"/>
              <w:ind w:left="4" w:right="1"/>
              <w:jc w:val="center"/>
              <w:rPr>
                <w:rFonts w:ascii="Calibri"/>
                <w:sz w:val="22"/>
              </w:rPr>
            </w:pPr>
            <w:r>
              <w:rPr>
                <w:rFonts w:ascii="Calibri"/>
                <w:spacing w:val="-2"/>
                <w:sz w:val="22"/>
              </w:rPr>
              <w:t>12.13396</w:t>
            </w:r>
          </w:p>
        </w:tc>
        <w:tc>
          <w:tcPr>
            <w:tcW w:w="995" w:type="dxa"/>
          </w:tcPr>
          <w:p>
            <w:pPr>
              <w:pStyle w:val="TableParagraph"/>
              <w:spacing w:line="264" w:lineRule="exact"/>
              <w:ind w:left="64"/>
              <w:jc w:val="center"/>
              <w:rPr>
                <w:rFonts w:ascii="Calibri"/>
                <w:sz w:val="22"/>
              </w:rPr>
            </w:pPr>
            <w:r>
              <w:rPr>
                <w:rFonts w:ascii="Calibri"/>
                <w:spacing w:val="-2"/>
                <w:sz w:val="22"/>
              </w:rPr>
              <w:t>9.197994</w:t>
            </w:r>
          </w:p>
        </w:tc>
      </w:tr>
      <w:tr>
        <w:trPr>
          <w:trHeight w:val="300" w:hRule="atLeast"/>
        </w:trPr>
        <w:tc>
          <w:tcPr>
            <w:tcW w:w="606" w:type="dxa"/>
          </w:tcPr>
          <w:p>
            <w:pPr>
              <w:pStyle w:val="TableParagraph"/>
              <w:spacing w:line="264" w:lineRule="exact"/>
              <w:ind w:right="56"/>
              <w:jc w:val="center"/>
              <w:rPr>
                <w:rFonts w:ascii="Calibri"/>
                <w:sz w:val="22"/>
              </w:rPr>
            </w:pPr>
            <w:r>
              <w:rPr>
                <w:rFonts w:ascii="Calibri"/>
                <w:spacing w:val="-4"/>
                <w:sz w:val="22"/>
              </w:rPr>
              <w:t>1996</w:t>
            </w:r>
          </w:p>
        </w:tc>
        <w:tc>
          <w:tcPr>
            <w:tcW w:w="1081" w:type="dxa"/>
          </w:tcPr>
          <w:p>
            <w:pPr>
              <w:pStyle w:val="TableParagraph"/>
              <w:spacing w:line="264" w:lineRule="exact"/>
              <w:ind w:right="134"/>
              <w:jc w:val="right"/>
              <w:rPr>
                <w:rFonts w:ascii="Calibri"/>
                <w:sz w:val="22"/>
              </w:rPr>
            </w:pPr>
            <w:r>
              <w:rPr>
                <w:rFonts w:ascii="Calibri"/>
                <w:spacing w:val="-2"/>
                <w:sz w:val="22"/>
              </w:rPr>
              <w:t>14.80977</w:t>
            </w:r>
          </w:p>
        </w:tc>
        <w:tc>
          <w:tcPr>
            <w:tcW w:w="1081" w:type="dxa"/>
          </w:tcPr>
          <w:p>
            <w:pPr>
              <w:pStyle w:val="TableParagraph"/>
              <w:spacing w:line="264" w:lineRule="exact"/>
              <w:ind w:right="106"/>
              <w:jc w:val="right"/>
              <w:rPr>
                <w:rFonts w:ascii="Calibri"/>
                <w:sz w:val="22"/>
              </w:rPr>
            </w:pPr>
            <w:r>
              <w:rPr>
                <w:rFonts w:ascii="Calibri"/>
                <w:spacing w:val="-2"/>
                <w:sz w:val="22"/>
              </w:rPr>
              <w:t>11.50837</w:t>
            </w:r>
          </w:p>
        </w:tc>
        <w:tc>
          <w:tcPr>
            <w:tcW w:w="1053" w:type="dxa"/>
          </w:tcPr>
          <w:p>
            <w:pPr>
              <w:pStyle w:val="TableParagraph"/>
              <w:spacing w:line="264" w:lineRule="exact"/>
              <w:ind w:right="105"/>
              <w:jc w:val="right"/>
              <w:rPr>
                <w:rFonts w:ascii="Calibri"/>
                <w:sz w:val="22"/>
              </w:rPr>
            </w:pPr>
            <w:r>
              <w:rPr>
                <w:rFonts w:ascii="Calibri"/>
                <w:spacing w:val="-2"/>
                <w:sz w:val="22"/>
              </w:rPr>
              <w:t>11.71669</w:t>
            </w:r>
          </w:p>
        </w:tc>
        <w:tc>
          <w:tcPr>
            <w:tcW w:w="1053" w:type="dxa"/>
          </w:tcPr>
          <w:p>
            <w:pPr>
              <w:pStyle w:val="TableParagraph"/>
              <w:spacing w:line="264" w:lineRule="exact"/>
              <w:ind w:left="4" w:right="1"/>
              <w:jc w:val="center"/>
              <w:rPr>
                <w:rFonts w:ascii="Calibri"/>
                <w:sz w:val="22"/>
              </w:rPr>
            </w:pPr>
            <w:r>
              <w:rPr>
                <w:rFonts w:ascii="Calibri"/>
                <w:spacing w:val="-2"/>
                <w:sz w:val="22"/>
              </w:rPr>
              <w:t>12.83741</w:t>
            </w:r>
          </w:p>
        </w:tc>
        <w:tc>
          <w:tcPr>
            <w:tcW w:w="995" w:type="dxa"/>
          </w:tcPr>
          <w:p>
            <w:pPr>
              <w:pStyle w:val="TableParagraph"/>
              <w:spacing w:line="264" w:lineRule="exact"/>
              <w:ind w:left="64" w:right="1"/>
              <w:jc w:val="center"/>
              <w:rPr>
                <w:rFonts w:ascii="Calibri"/>
                <w:sz w:val="22"/>
              </w:rPr>
            </w:pPr>
            <w:r>
              <w:rPr>
                <w:rFonts w:ascii="Calibri"/>
                <w:spacing w:val="-2"/>
                <w:sz w:val="22"/>
              </w:rPr>
              <w:t>11.80542</w:t>
            </w:r>
          </w:p>
        </w:tc>
      </w:tr>
      <w:tr>
        <w:trPr>
          <w:trHeight w:val="300" w:hRule="atLeast"/>
        </w:trPr>
        <w:tc>
          <w:tcPr>
            <w:tcW w:w="606" w:type="dxa"/>
          </w:tcPr>
          <w:p>
            <w:pPr>
              <w:pStyle w:val="TableParagraph"/>
              <w:spacing w:line="264" w:lineRule="exact"/>
              <w:ind w:right="56"/>
              <w:jc w:val="center"/>
              <w:rPr>
                <w:rFonts w:ascii="Calibri"/>
                <w:sz w:val="22"/>
              </w:rPr>
            </w:pPr>
            <w:r>
              <w:rPr>
                <w:rFonts w:ascii="Calibri"/>
                <w:spacing w:val="-4"/>
                <w:sz w:val="22"/>
              </w:rPr>
              <w:t>1997</w:t>
            </w:r>
          </w:p>
        </w:tc>
        <w:tc>
          <w:tcPr>
            <w:tcW w:w="1081" w:type="dxa"/>
          </w:tcPr>
          <w:p>
            <w:pPr>
              <w:pStyle w:val="TableParagraph"/>
              <w:spacing w:line="264" w:lineRule="exact"/>
              <w:ind w:right="134"/>
              <w:jc w:val="right"/>
              <w:rPr>
                <w:rFonts w:ascii="Calibri"/>
                <w:sz w:val="22"/>
              </w:rPr>
            </w:pPr>
            <w:r>
              <w:rPr>
                <w:rFonts w:ascii="Calibri"/>
                <w:spacing w:val="-2"/>
                <w:sz w:val="22"/>
              </w:rPr>
              <w:t>14.84583</w:t>
            </w:r>
          </w:p>
        </w:tc>
        <w:tc>
          <w:tcPr>
            <w:tcW w:w="1081" w:type="dxa"/>
          </w:tcPr>
          <w:p>
            <w:pPr>
              <w:pStyle w:val="TableParagraph"/>
              <w:spacing w:line="264" w:lineRule="exact"/>
              <w:ind w:right="107"/>
              <w:jc w:val="right"/>
              <w:rPr>
                <w:rFonts w:ascii="Calibri"/>
                <w:sz w:val="22"/>
              </w:rPr>
            </w:pPr>
            <w:r>
              <w:rPr>
                <w:rFonts w:ascii="Calibri"/>
                <w:spacing w:val="-2"/>
                <w:sz w:val="22"/>
              </w:rPr>
              <w:t>9.97059</w:t>
            </w:r>
          </w:p>
        </w:tc>
        <w:tc>
          <w:tcPr>
            <w:tcW w:w="1053" w:type="dxa"/>
          </w:tcPr>
          <w:p>
            <w:pPr>
              <w:pStyle w:val="TableParagraph"/>
              <w:spacing w:line="264" w:lineRule="exact"/>
              <w:ind w:right="105"/>
              <w:jc w:val="right"/>
              <w:rPr>
                <w:rFonts w:ascii="Calibri"/>
                <w:sz w:val="22"/>
              </w:rPr>
            </w:pPr>
            <w:r>
              <w:rPr>
                <w:rFonts w:ascii="Calibri"/>
                <w:spacing w:val="-2"/>
                <w:sz w:val="22"/>
              </w:rPr>
              <w:t>11.76237</w:t>
            </w:r>
          </w:p>
        </w:tc>
        <w:tc>
          <w:tcPr>
            <w:tcW w:w="1053" w:type="dxa"/>
          </w:tcPr>
          <w:p>
            <w:pPr>
              <w:pStyle w:val="TableParagraph"/>
              <w:spacing w:line="264" w:lineRule="exact"/>
              <w:ind w:left="4" w:right="1"/>
              <w:jc w:val="center"/>
              <w:rPr>
                <w:rFonts w:ascii="Calibri"/>
                <w:sz w:val="22"/>
              </w:rPr>
            </w:pPr>
            <w:r>
              <w:rPr>
                <w:rFonts w:ascii="Calibri"/>
                <w:spacing w:val="-2"/>
                <w:sz w:val="22"/>
              </w:rPr>
              <w:t>12.48103</w:t>
            </w:r>
          </w:p>
        </w:tc>
        <w:tc>
          <w:tcPr>
            <w:tcW w:w="995" w:type="dxa"/>
          </w:tcPr>
          <w:p>
            <w:pPr>
              <w:pStyle w:val="TableParagraph"/>
              <w:spacing w:line="264" w:lineRule="exact"/>
              <w:ind w:left="64" w:right="1"/>
              <w:jc w:val="center"/>
              <w:rPr>
                <w:rFonts w:ascii="Calibri"/>
                <w:sz w:val="22"/>
              </w:rPr>
            </w:pPr>
            <w:r>
              <w:rPr>
                <w:rFonts w:ascii="Calibri"/>
                <w:spacing w:val="-2"/>
                <w:sz w:val="22"/>
              </w:rPr>
              <w:t>11.38383</w:t>
            </w:r>
          </w:p>
        </w:tc>
      </w:tr>
      <w:tr>
        <w:trPr>
          <w:trHeight w:val="300" w:hRule="atLeast"/>
        </w:trPr>
        <w:tc>
          <w:tcPr>
            <w:tcW w:w="606" w:type="dxa"/>
          </w:tcPr>
          <w:p>
            <w:pPr>
              <w:pStyle w:val="TableParagraph"/>
              <w:spacing w:line="264" w:lineRule="exact"/>
              <w:ind w:right="56"/>
              <w:jc w:val="center"/>
              <w:rPr>
                <w:rFonts w:ascii="Calibri"/>
                <w:sz w:val="22"/>
              </w:rPr>
            </w:pPr>
            <w:r>
              <w:rPr>
                <w:rFonts w:ascii="Calibri"/>
                <w:spacing w:val="-4"/>
                <w:sz w:val="22"/>
              </w:rPr>
              <w:t>1998</w:t>
            </w:r>
          </w:p>
        </w:tc>
        <w:tc>
          <w:tcPr>
            <w:tcW w:w="1081" w:type="dxa"/>
          </w:tcPr>
          <w:p>
            <w:pPr>
              <w:pStyle w:val="TableParagraph"/>
              <w:spacing w:line="264" w:lineRule="exact"/>
              <w:ind w:right="134"/>
              <w:jc w:val="right"/>
              <w:rPr>
                <w:rFonts w:ascii="Calibri"/>
                <w:sz w:val="22"/>
              </w:rPr>
            </w:pPr>
            <w:r>
              <w:rPr>
                <w:rFonts w:ascii="Calibri"/>
                <w:spacing w:val="-2"/>
                <w:sz w:val="22"/>
              </w:rPr>
              <w:t>14.81188</w:t>
            </w:r>
          </w:p>
        </w:tc>
        <w:tc>
          <w:tcPr>
            <w:tcW w:w="1081" w:type="dxa"/>
          </w:tcPr>
          <w:p>
            <w:pPr>
              <w:pStyle w:val="TableParagraph"/>
              <w:spacing w:line="264" w:lineRule="exact"/>
              <w:ind w:right="106"/>
              <w:jc w:val="right"/>
              <w:rPr>
                <w:rFonts w:ascii="Calibri"/>
                <w:sz w:val="22"/>
              </w:rPr>
            </w:pPr>
            <w:r>
              <w:rPr>
                <w:rFonts w:ascii="Calibri"/>
                <w:spacing w:val="-2"/>
                <w:sz w:val="22"/>
              </w:rPr>
              <w:t>10.52097</w:t>
            </w:r>
          </w:p>
        </w:tc>
        <w:tc>
          <w:tcPr>
            <w:tcW w:w="1053" w:type="dxa"/>
          </w:tcPr>
          <w:p>
            <w:pPr>
              <w:pStyle w:val="TableParagraph"/>
              <w:spacing w:line="264" w:lineRule="exact"/>
              <w:ind w:right="105"/>
              <w:jc w:val="right"/>
              <w:rPr>
                <w:rFonts w:ascii="Calibri"/>
                <w:sz w:val="22"/>
              </w:rPr>
            </w:pPr>
            <w:r>
              <w:rPr>
                <w:rFonts w:ascii="Calibri"/>
                <w:spacing w:val="-2"/>
                <w:sz w:val="22"/>
              </w:rPr>
              <w:t>11.93433</w:t>
            </w:r>
          </w:p>
        </w:tc>
        <w:tc>
          <w:tcPr>
            <w:tcW w:w="1053" w:type="dxa"/>
          </w:tcPr>
          <w:p>
            <w:pPr>
              <w:pStyle w:val="TableParagraph"/>
              <w:spacing w:line="264" w:lineRule="exact"/>
              <w:ind w:left="4" w:right="1"/>
              <w:jc w:val="center"/>
              <w:rPr>
                <w:rFonts w:ascii="Calibri"/>
                <w:sz w:val="22"/>
              </w:rPr>
            </w:pPr>
            <w:r>
              <w:rPr>
                <w:rFonts w:ascii="Calibri"/>
                <w:spacing w:val="-2"/>
                <w:sz w:val="22"/>
              </w:rPr>
              <w:t>12.71117</w:t>
            </w:r>
          </w:p>
        </w:tc>
        <w:tc>
          <w:tcPr>
            <w:tcW w:w="995" w:type="dxa"/>
          </w:tcPr>
          <w:p>
            <w:pPr>
              <w:pStyle w:val="TableParagraph"/>
              <w:spacing w:line="264" w:lineRule="exact"/>
              <w:ind w:left="64" w:right="1"/>
              <w:jc w:val="center"/>
              <w:rPr>
                <w:rFonts w:ascii="Calibri"/>
                <w:sz w:val="22"/>
              </w:rPr>
            </w:pPr>
            <w:r>
              <w:rPr>
                <w:rFonts w:ascii="Calibri"/>
                <w:spacing w:val="-2"/>
                <w:sz w:val="22"/>
              </w:rPr>
              <w:t>10.47718</w:t>
            </w:r>
          </w:p>
        </w:tc>
      </w:tr>
      <w:tr>
        <w:trPr>
          <w:trHeight w:val="300" w:hRule="atLeast"/>
        </w:trPr>
        <w:tc>
          <w:tcPr>
            <w:tcW w:w="606" w:type="dxa"/>
          </w:tcPr>
          <w:p>
            <w:pPr>
              <w:pStyle w:val="TableParagraph"/>
              <w:spacing w:line="264" w:lineRule="exact"/>
              <w:ind w:right="56"/>
              <w:jc w:val="center"/>
              <w:rPr>
                <w:rFonts w:ascii="Calibri"/>
                <w:sz w:val="22"/>
              </w:rPr>
            </w:pPr>
            <w:r>
              <w:rPr>
                <w:rFonts w:ascii="Calibri"/>
                <w:spacing w:val="-4"/>
                <w:sz w:val="22"/>
              </w:rPr>
              <w:t>1999</w:t>
            </w:r>
          </w:p>
        </w:tc>
        <w:tc>
          <w:tcPr>
            <w:tcW w:w="1081" w:type="dxa"/>
          </w:tcPr>
          <w:p>
            <w:pPr>
              <w:pStyle w:val="TableParagraph"/>
              <w:spacing w:line="264" w:lineRule="exact"/>
              <w:ind w:right="134"/>
              <w:jc w:val="right"/>
              <w:rPr>
                <w:rFonts w:ascii="Calibri"/>
                <w:sz w:val="22"/>
              </w:rPr>
            </w:pPr>
            <w:r>
              <w:rPr>
                <w:rFonts w:ascii="Calibri"/>
                <w:spacing w:val="-2"/>
                <w:sz w:val="22"/>
              </w:rPr>
              <w:t>14.97679</w:t>
            </w:r>
          </w:p>
        </w:tc>
        <w:tc>
          <w:tcPr>
            <w:tcW w:w="1081" w:type="dxa"/>
          </w:tcPr>
          <w:p>
            <w:pPr>
              <w:pStyle w:val="TableParagraph"/>
              <w:spacing w:line="264" w:lineRule="exact"/>
              <w:ind w:right="106"/>
              <w:jc w:val="right"/>
              <w:rPr>
                <w:rFonts w:ascii="Calibri"/>
                <w:sz w:val="22"/>
              </w:rPr>
            </w:pPr>
            <w:r>
              <w:rPr>
                <w:rFonts w:ascii="Calibri"/>
                <w:spacing w:val="-2"/>
                <w:sz w:val="22"/>
              </w:rPr>
              <w:t>16.80846</w:t>
            </w:r>
          </w:p>
        </w:tc>
        <w:tc>
          <w:tcPr>
            <w:tcW w:w="1053" w:type="dxa"/>
          </w:tcPr>
          <w:p>
            <w:pPr>
              <w:pStyle w:val="TableParagraph"/>
              <w:spacing w:line="264" w:lineRule="exact"/>
              <w:ind w:right="105"/>
              <w:jc w:val="right"/>
              <w:rPr>
                <w:rFonts w:ascii="Calibri"/>
                <w:sz w:val="22"/>
              </w:rPr>
            </w:pPr>
            <w:r>
              <w:rPr>
                <w:rFonts w:ascii="Calibri"/>
                <w:spacing w:val="-2"/>
                <w:sz w:val="22"/>
              </w:rPr>
              <w:t>11.94593</w:t>
            </w:r>
          </w:p>
        </w:tc>
        <w:tc>
          <w:tcPr>
            <w:tcW w:w="1053" w:type="dxa"/>
          </w:tcPr>
          <w:p>
            <w:pPr>
              <w:pStyle w:val="TableParagraph"/>
              <w:spacing w:line="264" w:lineRule="exact"/>
              <w:ind w:left="4" w:right="1"/>
              <w:jc w:val="center"/>
              <w:rPr>
                <w:rFonts w:ascii="Calibri"/>
                <w:sz w:val="22"/>
              </w:rPr>
            </w:pPr>
            <w:r>
              <w:rPr>
                <w:rFonts w:ascii="Calibri"/>
                <w:spacing w:val="-2"/>
                <w:sz w:val="22"/>
              </w:rPr>
              <w:t>10.74368</w:t>
            </w:r>
          </w:p>
        </w:tc>
        <w:tc>
          <w:tcPr>
            <w:tcW w:w="995" w:type="dxa"/>
          </w:tcPr>
          <w:p>
            <w:pPr>
              <w:pStyle w:val="TableParagraph"/>
              <w:spacing w:line="264" w:lineRule="exact"/>
              <w:ind w:left="64" w:right="1"/>
              <w:jc w:val="center"/>
              <w:rPr>
                <w:rFonts w:ascii="Calibri"/>
                <w:sz w:val="22"/>
              </w:rPr>
            </w:pPr>
            <w:r>
              <w:rPr>
                <w:rFonts w:ascii="Calibri"/>
                <w:spacing w:val="-2"/>
                <w:sz w:val="22"/>
              </w:rPr>
              <w:t>12.67661</w:t>
            </w:r>
          </w:p>
        </w:tc>
      </w:tr>
      <w:tr>
        <w:trPr>
          <w:trHeight w:val="300" w:hRule="atLeast"/>
        </w:trPr>
        <w:tc>
          <w:tcPr>
            <w:tcW w:w="606" w:type="dxa"/>
          </w:tcPr>
          <w:p>
            <w:pPr>
              <w:pStyle w:val="TableParagraph"/>
              <w:spacing w:line="264" w:lineRule="exact"/>
              <w:ind w:right="56"/>
              <w:jc w:val="center"/>
              <w:rPr>
                <w:rFonts w:ascii="Calibri"/>
                <w:sz w:val="22"/>
              </w:rPr>
            </w:pPr>
            <w:r>
              <w:rPr>
                <w:rFonts w:ascii="Calibri"/>
                <w:spacing w:val="-4"/>
                <w:sz w:val="22"/>
              </w:rPr>
              <w:t>2000</w:t>
            </w:r>
          </w:p>
        </w:tc>
        <w:tc>
          <w:tcPr>
            <w:tcW w:w="1081" w:type="dxa"/>
          </w:tcPr>
          <w:p>
            <w:pPr>
              <w:pStyle w:val="TableParagraph"/>
              <w:spacing w:line="264" w:lineRule="exact"/>
              <w:ind w:right="134"/>
              <w:jc w:val="right"/>
              <w:rPr>
                <w:rFonts w:ascii="Calibri"/>
                <w:sz w:val="22"/>
              </w:rPr>
            </w:pPr>
            <w:r>
              <w:rPr>
                <w:rFonts w:ascii="Calibri"/>
                <w:spacing w:val="-2"/>
                <w:sz w:val="22"/>
              </w:rPr>
              <w:t>15.33767</w:t>
            </w:r>
          </w:p>
        </w:tc>
        <w:tc>
          <w:tcPr>
            <w:tcW w:w="1081" w:type="dxa"/>
          </w:tcPr>
          <w:p>
            <w:pPr>
              <w:pStyle w:val="TableParagraph"/>
              <w:spacing w:line="264" w:lineRule="exact"/>
              <w:ind w:right="106"/>
              <w:jc w:val="right"/>
              <w:rPr>
                <w:rFonts w:ascii="Calibri"/>
                <w:sz w:val="22"/>
              </w:rPr>
            </w:pPr>
            <w:r>
              <w:rPr>
                <w:rFonts w:ascii="Calibri"/>
                <w:spacing w:val="-2"/>
                <w:sz w:val="22"/>
              </w:rPr>
              <w:t>13.1616</w:t>
            </w:r>
          </w:p>
        </w:tc>
        <w:tc>
          <w:tcPr>
            <w:tcW w:w="1053" w:type="dxa"/>
          </w:tcPr>
          <w:p>
            <w:pPr>
              <w:pStyle w:val="TableParagraph"/>
              <w:spacing w:line="264" w:lineRule="exact"/>
              <w:ind w:right="105"/>
              <w:jc w:val="right"/>
              <w:rPr>
                <w:rFonts w:ascii="Calibri"/>
                <w:sz w:val="22"/>
              </w:rPr>
            </w:pPr>
            <w:r>
              <w:rPr>
                <w:rFonts w:ascii="Calibri"/>
                <w:spacing w:val="-2"/>
                <w:sz w:val="22"/>
              </w:rPr>
              <w:t>11.96741</w:t>
            </w:r>
          </w:p>
        </w:tc>
        <w:tc>
          <w:tcPr>
            <w:tcW w:w="1053" w:type="dxa"/>
          </w:tcPr>
          <w:p>
            <w:pPr>
              <w:pStyle w:val="TableParagraph"/>
              <w:spacing w:line="264" w:lineRule="exact"/>
              <w:ind w:left="4" w:right="1"/>
              <w:jc w:val="center"/>
              <w:rPr>
                <w:rFonts w:ascii="Calibri"/>
                <w:sz w:val="22"/>
              </w:rPr>
            </w:pPr>
            <w:r>
              <w:rPr>
                <w:rFonts w:ascii="Calibri"/>
                <w:spacing w:val="-2"/>
                <w:sz w:val="22"/>
              </w:rPr>
              <w:t>13.47727</w:t>
            </w:r>
          </w:p>
        </w:tc>
        <w:tc>
          <w:tcPr>
            <w:tcW w:w="995" w:type="dxa"/>
          </w:tcPr>
          <w:p>
            <w:pPr>
              <w:pStyle w:val="TableParagraph"/>
              <w:spacing w:line="264" w:lineRule="exact"/>
              <w:ind w:left="64" w:right="1"/>
              <w:jc w:val="center"/>
              <w:rPr>
                <w:rFonts w:ascii="Calibri"/>
                <w:sz w:val="22"/>
              </w:rPr>
            </w:pPr>
            <w:r>
              <w:rPr>
                <w:rFonts w:ascii="Calibri"/>
                <w:spacing w:val="-2"/>
                <w:sz w:val="22"/>
              </w:rPr>
              <w:t>13.20537</w:t>
            </w:r>
          </w:p>
        </w:tc>
      </w:tr>
      <w:tr>
        <w:trPr>
          <w:trHeight w:val="300" w:hRule="atLeast"/>
        </w:trPr>
        <w:tc>
          <w:tcPr>
            <w:tcW w:w="606" w:type="dxa"/>
          </w:tcPr>
          <w:p>
            <w:pPr>
              <w:pStyle w:val="TableParagraph"/>
              <w:spacing w:line="264" w:lineRule="exact"/>
              <w:ind w:right="56"/>
              <w:jc w:val="center"/>
              <w:rPr>
                <w:rFonts w:ascii="Calibri"/>
                <w:sz w:val="22"/>
              </w:rPr>
            </w:pPr>
            <w:r>
              <w:rPr>
                <w:rFonts w:ascii="Calibri"/>
                <w:spacing w:val="-4"/>
                <w:sz w:val="22"/>
              </w:rPr>
              <w:t>2001</w:t>
            </w:r>
          </w:p>
        </w:tc>
        <w:tc>
          <w:tcPr>
            <w:tcW w:w="1081" w:type="dxa"/>
          </w:tcPr>
          <w:p>
            <w:pPr>
              <w:pStyle w:val="TableParagraph"/>
              <w:spacing w:line="264" w:lineRule="exact"/>
              <w:ind w:right="134"/>
              <w:jc w:val="right"/>
              <w:rPr>
                <w:rFonts w:ascii="Calibri"/>
                <w:sz w:val="22"/>
              </w:rPr>
            </w:pPr>
            <w:r>
              <w:rPr>
                <w:rFonts w:ascii="Calibri"/>
                <w:spacing w:val="-2"/>
                <w:sz w:val="22"/>
              </w:rPr>
              <w:t>15.3684</w:t>
            </w:r>
          </w:p>
        </w:tc>
        <w:tc>
          <w:tcPr>
            <w:tcW w:w="1081" w:type="dxa"/>
          </w:tcPr>
          <w:p>
            <w:pPr>
              <w:pStyle w:val="TableParagraph"/>
              <w:spacing w:line="264" w:lineRule="exact"/>
              <w:ind w:right="106"/>
              <w:jc w:val="right"/>
              <w:rPr>
                <w:rFonts w:ascii="Calibri"/>
                <w:sz w:val="22"/>
              </w:rPr>
            </w:pPr>
            <w:r>
              <w:rPr>
                <w:rFonts w:ascii="Calibri"/>
                <w:spacing w:val="-2"/>
                <w:sz w:val="22"/>
              </w:rPr>
              <w:t>11.27603</w:t>
            </w:r>
          </w:p>
        </w:tc>
        <w:tc>
          <w:tcPr>
            <w:tcW w:w="1053" w:type="dxa"/>
          </w:tcPr>
          <w:p>
            <w:pPr>
              <w:pStyle w:val="TableParagraph"/>
              <w:spacing w:line="264" w:lineRule="exact"/>
              <w:ind w:right="105"/>
              <w:jc w:val="right"/>
              <w:rPr>
                <w:rFonts w:ascii="Calibri"/>
                <w:sz w:val="22"/>
              </w:rPr>
            </w:pPr>
            <w:r>
              <w:rPr>
                <w:rFonts w:ascii="Calibri"/>
                <w:spacing w:val="-2"/>
                <w:sz w:val="22"/>
              </w:rPr>
              <w:t>11.99747</w:t>
            </w:r>
          </w:p>
        </w:tc>
        <w:tc>
          <w:tcPr>
            <w:tcW w:w="1053" w:type="dxa"/>
          </w:tcPr>
          <w:p>
            <w:pPr>
              <w:pStyle w:val="TableParagraph"/>
              <w:spacing w:line="264" w:lineRule="exact"/>
              <w:ind w:left="4" w:right="1"/>
              <w:jc w:val="center"/>
              <w:rPr>
                <w:rFonts w:ascii="Calibri"/>
                <w:sz w:val="22"/>
              </w:rPr>
            </w:pPr>
            <w:r>
              <w:rPr>
                <w:rFonts w:ascii="Calibri"/>
                <w:spacing w:val="-2"/>
                <w:sz w:val="22"/>
              </w:rPr>
              <w:t>12.40041</w:t>
            </w:r>
          </w:p>
        </w:tc>
        <w:tc>
          <w:tcPr>
            <w:tcW w:w="995" w:type="dxa"/>
          </w:tcPr>
          <w:p>
            <w:pPr>
              <w:pStyle w:val="TableParagraph"/>
              <w:spacing w:line="264" w:lineRule="exact"/>
              <w:ind w:left="64" w:right="1"/>
              <w:jc w:val="center"/>
              <w:rPr>
                <w:rFonts w:ascii="Calibri"/>
                <w:sz w:val="22"/>
              </w:rPr>
            </w:pPr>
            <w:r>
              <w:rPr>
                <w:rFonts w:ascii="Calibri"/>
                <w:spacing w:val="-2"/>
                <w:sz w:val="22"/>
              </w:rPr>
              <w:t>11.42414</w:t>
            </w:r>
          </w:p>
        </w:tc>
      </w:tr>
      <w:tr>
        <w:trPr>
          <w:trHeight w:val="300" w:hRule="atLeast"/>
        </w:trPr>
        <w:tc>
          <w:tcPr>
            <w:tcW w:w="606" w:type="dxa"/>
          </w:tcPr>
          <w:p>
            <w:pPr>
              <w:pStyle w:val="TableParagraph"/>
              <w:spacing w:line="264" w:lineRule="exact"/>
              <w:ind w:right="56"/>
              <w:jc w:val="center"/>
              <w:rPr>
                <w:rFonts w:ascii="Calibri"/>
                <w:sz w:val="22"/>
              </w:rPr>
            </w:pPr>
            <w:r>
              <w:rPr>
                <w:rFonts w:ascii="Calibri"/>
                <w:spacing w:val="-4"/>
                <w:sz w:val="22"/>
              </w:rPr>
              <w:t>2002</w:t>
            </w:r>
          </w:p>
        </w:tc>
        <w:tc>
          <w:tcPr>
            <w:tcW w:w="1081" w:type="dxa"/>
          </w:tcPr>
          <w:p>
            <w:pPr>
              <w:pStyle w:val="TableParagraph"/>
              <w:spacing w:line="264" w:lineRule="exact"/>
              <w:ind w:right="134"/>
              <w:jc w:val="right"/>
              <w:rPr>
                <w:rFonts w:ascii="Calibri"/>
                <w:sz w:val="22"/>
              </w:rPr>
            </w:pPr>
            <w:r>
              <w:rPr>
                <w:rFonts w:ascii="Calibri"/>
                <w:spacing w:val="-2"/>
                <w:sz w:val="22"/>
              </w:rPr>
              <w:t>15.74882</w:t>
            </w:r>
          </w:p>
        </w:tc>
        <w:tc>
          <w:tcPr>
            <w:tcW w:w="1081" w:type="dxa"/>
          </w:tcPr>
          <w:p>
            <w:pPr>
              <w:pStyle w:val="TableParagraph"/>
              <w:spacing w:line="264" w:lineRule="exact"/>
              <w:ind w:right="106"/>
              <w:jc w:val="right"/>
              <w:rPr>
                <w:rFonts w:ascii="Calibri"/>
                <w:sz w:val="22"/>
              </w:rPr>
            </w:pPr>
            <w:r>
              <w:rPr>
                <w:rFonts w:ascii="Calibri"/>
                <w:spacing w:val="-2"/>
                <w:sz w:val="22"/>
              </w:rPr>
              <w:t>13.53658</w:t>
            </w:r>
          </w:p>
        </w:tc>
        <w:tc>
          <w:tcPr>
            <w:tcW w:w="1053" w:type="dxa"/>
          </w:tcPr>
          <w:p>
            <w:pPr>
              <w:pStyle w:val="TableParagraph"/>
              <w:spacing w:line="264" w:lineRule="exact"/>
              <w:ind w:right="105"/>
              <w:jc w:val="right"/>
              <w:rPr>
                <w:rFonts w:ascii="Calibri"/>
                <w:sz w:val="22"/>
              </w:rPr>
            </w:pPr>
            <w:r>
              <w:rPr>
                <w:rFonts w:ascii="Calibri"/>
                <w:spacing w:val="-2"/>
                <w:sz w:val="22"/>
              </w:rPr>
              <w:t>12.02354</w:t>
            </w:r>
          </w:p>
        </w:tc>
        <w:tc>
          <w:tcPr>
            <w:tcW w:w="1053" w:type="dxa"/>
          </w:tcPr>
          <w:p>
            <w:pPr>
              <w:pStyle w:val="TableParagraph"/>
              <w:spacing w:line="264" w:lineRule="exact"/>
              <w:ind w:left="4" w:right="1"/>
              <w:jc w:val="center"/>
              <w:rPr>
                <w:rFonts w:ascii="Calibri"/>
                <w:sz w:val="22"/>
              </w:rPr>
            </w:pPr>
            <w:r>
              <w:rPr>
                <w:rFonts w:ascii="Calibri"/>
                <w:spacing w:val="-2"/>
                <w:sz w:val="22"/>
              </w:rPr>
              <w:t>11.67025</w:t>
            </w:r>
          </w:p>
        </w:tc>
        <w:tc>
          <w:tcPr>
            <w:tcW w:w="995" w:type="dxa"/>
          </w:tcPr>
          <w:p>
            <w:pPr>
              <w:pStyle w:val="TableParagraph"/>
              <w:spacing w:line="264" w:lineRule="exact"/>
              <w:ind w:left="64" w:right="1"/>
              <w:jc w:val="center"/>
              <w:rPr>
                <w:rFonts w:ascii="Calibri"/>
                <w:sz w:val="22"/>
              </w:rPr>
            </w:pPr>
            <w:r>
              <w:rPr>
                <w:rFonts w:ascii="Calibri"/>
                <w:spacing w:val="-2"/>
                <w:sz w:val="22"/>
              </w:rPr>
              <w:t>12.03254</w:t>
            </w:r>
          </w:p>
        </w:tc>
      </w:tr>
      <w:tr>
        <w:trPr>
          <w:trHeight w:val="300" w:hRule="atLeast"/>
        </w:trPr>
        <w:tc>
          <w:tcPr>
            <w:tcW w:w="606" w:type="dxa"/>
          </w:tcPr>
          <w:p>
            <w:pPr>
              <w:pStyle w:val="TableParagraph"/>
              <w:spacing w:line="264" w:lineRule="exact"/>
              <w:ind w:right="56"/>
              <w:jc w:val="center"/>
              <w:rPr>
                <w:rFonts w:ascii="Calibri"/>
                <w:sz w:val="22"/>
              </w:rPr>
            </w:pPr>
            <w:r>
              <w:rPr>
                <w:rFonts w:ascii="Calibri"/>
                <w:spacing w:val="-4"/>
                <w:sz w:val="22"/>
              </w:rPr>
              <w:t>2003</w:t>
            </w:r>
          </w:p>
        </w:tc>
        <w:tc>
          <w:tcPr>
            <w:tcW w:w="1081" w:type="dxa"/>
          </w:tcPr>
          <w:p>
            <w:pPr>
              <w:pStyle w:val="TableParagraph"/>
              <w:spacing w:line="264" w:lineRule="exact"/>
              <w:ind w:right="134"/>
              <w:jc w:val="right"/>
              <w:rPr>
                <w:rFonts w:ascii="Calibri"/>
                <w:sz w:val="22"/>
              </w:rPr>
            </w:pPr>
            <w:r>
              <w:rPr>
                <w:rFonts w:ascii="Calibri"/>
                <w:spacing w:val="-2"/>
                <w:sz w:val="22"/>
              </w:rPr>
              <w:t>15.95405</w:t>
            </w:r>
          </w:p>
        </w:tc>
        <w:tc>
          <w:tcPr>
            <w:tcW w:w="1081" w:type="dxa"/>
          </w:tcPr>
          <w:p>
            <w:pPr>
              <w:pStyle w:val="TableParagraph"/>
              <w:spacing w:line="264" w:lineRule="exact"/>
              <w:ind w:right="106"/>
              <w:jc w:val="right"/>
              <w:rPr>
                <w:rFonts w:ascii="Calibri"/>
                <w:sz w:val="22"/>
              </w:rPr>
            </w:pPr>
            <w:r>
              <w:rPr>
                <w:rFonts w:ascii="Calibri"/>
                <w:spacing w:val="-2"/>
                <w:sz w:val="22"/>
              </w:rPr>
              <w:t>13.20936</w:t>
            </w:r>
          </w:p>
        </w:tc>
        <w:tc>
          <w:tcPr>
            <w:tcW w:w="1053" w:type="dxa"/>
          </w:tcPr>
          <w:p>
            <w:pPr>
              <w:pStyle w:val="TableParagraph"/>
              <w:spacing w:line="264" w:lineRule="exact"/>
              <w:ind w:right="105"/>
              <w:jc w:val="right"/>
              <w:rPr>
                <w:rFonts w:ascii="Calibri"/>
                <w:sz w:val="22"/>
              </w:rPr>
            </w:pPr>
            <w:r>
              <w:rPr>
                <w:rFonts w:ascii="Calibri"/>
                <w:spacing w:val="-2"/>
                <w:sz w:val="22"/>
              </w:rPr>
              <w:t>12.09222</w:t>
            </w:r>
          </w:p>
        </w:tc>
        <w:tc>
          <w:tcPr>
            <w:tcW w:w="1053" w:type="dxa"/>
          </w:tcPr>
          <w:p>
            <w:pPr>
              <w:pStyle w:val="TableParagraph"/>
              <w:spacing w:line="264" w:lineRule="exact"/>
              <w:ind w:left="4" w:right="1"/>
              <w:jc w:val="center"/>
              <w:rPr>
                <w:rFonts w:ascii="Calibri"/>
                <w:sz w:val="22"/>
              </w:rPr>
            </w:pPr>
            <w:r>
              <w:rPr>
                <w:rFonts w:ascii="Calibri"/>
                <w:spacing w:val="-2"/>
                <w:sz w:val="22"/>
              </w:rPr>
              <w:t>13.46533</w:t>
            </w:r>
          </w:p>
        </w:tc>
        <w:tc>
          <w:tcPr>
            <w:tcW w:w="995" w:type="dxa"/>
          </w:tcPr>
          <w:p>
            <w:pPr>
              <w:pStyle w:val="TableParagraph"/>
              <w:spacing w:line="264" w:lineRule="exact"/>
              <w:ind w:left="64" w:right="1"/>
              <w:jc w:val="center"/>
              <w:rPr>
                <w:rFonts w:ascii="Calibri"/>
                <w:sz w:val="22"/>
              </w:rPr>
            </w:pPr>
            <w:r>
              <w:rPr>
                <w:rFonts w:ascii="Calibri"/>
                <w:spacing w:val="-2"/>
                <w:sz w:val="22"/>
              </w:rPr>
              <w:t>10.85087</w:t>
            </w:r>
          </w:p>
        </w:tc>
      </w:tr>
      <w:tr>
        <w:trPr>
          <w:trHeight w:val="300" w:hRule="atLeast"/>
        </w:trPr>
        <w:tc>
          <w:tcPr>
            <w:tcW w:w="606" w:type="dxa"/>
          </w:tcPr>
          <w:p>
            <w:pPr>
              <w:pStyle w:val="TableParagraph"/>
              <w:spacing w:line="264" w:lineRule="exact"/>
              <w:ind w:right="56"/>
              <w:jc w:val="center"/>
              <w:rPr>
                <w:rFonts w:ascii="Calibri"/>
                <w:sz w:val="22"/>
              </w:rPr>
            </w:pPr>
            <w:r>
              <w:rPr>
                <w:rFonts w:ascii="Calibri"/>
                <w:spacing w:val="-4"/>
                <w:sz w:val="22"/>
              </w:rPr>
              <w:t>2004</w:t>
            </w:r>
          </w:p>
        </w:tc>
        <w:tc>
          <w:tcPr>
            <w:tcW w:w="1081" w:type="dxa"/>
          </w:tcPr>
          <w:p>
            <w:pPr>
              <w:pStyle w:val="TableParagraph"/>
              <w:spacing w:line="264" w:lineRule="exact"/>
              <w:ind w:right="134"/>
              <w:jc w:val="right"/>
              <w:rPr>
                <w:rFonts w:ascii="Calibri"/>
                <w:sz w:val="22"/>
              </w:rPr>
            </w:pPr>
            <w:r>
              <w:rPr>
                <w:rFonts w:ascii="Calibri"/>
                <w:spacing w:val="-2"/>
                <w:sz w:val="22"/>
              </w:rPr>
              <w:t>16.25009</w:t>
            </w:r>
          </w:p>
        </w:tc>
        <w:tc>
          <w:tcPr>
            <w:tcW w:w="1081" w:type="dxa"/>
          </w:tcPr>
          <w:p>
            <w:pPr>
              <w:pStyle w:val="TableParagraph"/>
              <w:spacing w:line="264" w:lineRule="exact"/>
              <w:ind w:right="106"/>
              <w:jc w:val="right"/>
              <w:rPr>
                <w:rFonts w:ascii="Calibri"/>
                <w:sz w:val="22"/>
              </w:rPr>
            </w:pPr>
            <w:r>
              <w:rPr>
                <w:rFonts w:ascii="Calibri"/>
                <w:spacing w:val="-2"/>
                <w:sz w:val="22"/>
              </w:rPr>
              <w:t>12.92863</w:t>
            </w:r>
          </w:p>
        </w:tc>
        <w:tc>
          <w:tcPr>
            <w:tcW w:w="1053" w:type="dxa"/>
          </w:tcPr>
          <w:p>
            <w:pPr>
              <w:pStyle w:val="TableParagraph"/>
              <w:spacing w:line="264" w:lineRule="exact"/>
              <w:ind w:right="105"/>
              <w:jc w:val="right"/>
              <w:rPr>
                <w:rFonts w:ascii="Calibri"/>
                <w:sz w:val="22"/>
              </w:rPr>
            </w:pPr>
            <w:r>
              <w:rPr>
                <w:rFonts w:ascii="Calibri"/>
                <w:spacing w:val="-2"/>
                <w:sz w:val="22"/>
              </w:rPr>
              <w:t>12.42609</w:t>
            </w:r>
          </w:p>
        </w:tc>
        <w:tc>
          <w:tcPr>
            <w:tcW w:w="1053" w:type="dxa"/>
          </w:tcPr>
          <w:p>
            <w:pPr>
              <w:pStyle w:val="TableParagraph"/>
              <w:spacing w:line="264" w:lineRule="exact"/>
              <w:ind w:left="4" w:right="1"/>
              <w:jc w:val="center"/>
              <w:rPr>
                <w:rFonts w:ascii="Calibri"/>
                <w:sz w:val="22"/>
              </w:rPr>
            </w:pPr>
            <w:r>
              <w:rPr>
                <w:rFonts w:ascii="Calibri"/>
                <w:spacing w:val="-2"/>
                <w:sz w:val="22"/>
              </w:rPr>
              <w:t>14.53643</w:t>
            </w:r>
          </w:p>
        </w:tc>
        <w:tc>
          <w:tcPr>
            <w:tcW w:w="995" w:type="dxa"/>
          </w:tcPr>
          <w:p>
            <w:pPr>
              <w:pStyle w:val="TableParagraph"/>
              <w:spacing w:line="264" w:lineRule="exact"/>
              <w:ind w:left="64" w:right="1"/>
              <w:jc w:val="center"/>
              <w:rPr>
                <w:rFonts w:ascii="Calibri"/>
                <w:sz w:val="22"/>
              </w:rPr>
            </w:pPr>
            <w:r>
              <w:rPr>
                <w:rFonts w:ascii="Calibri"/>
                <w:spacing w:val="-2"/>
                <w:sz w:val="22"/>
              </w:rPr>
              <w:t>13.97058</w:t>
            </w:r>
          </w:p>
        </w:tc>
      </w:tr>
      <w:tr>
        <w:trPr>
          <w:trHeight w:val="300" w:hRule="atLeast"/>
        </w:trPr>
        <w:tc>
          <w:tcPr>
            <w:tcW w:w="606" w:type="dxa"/>
          </w:tcPr>
          <w:p>
            <w:pPr>
              <w:pStyle w:val="TableParagraph"/>
              <w:spacing w:line="264" w:lineRule="exact"/>
              <w:ind w:right="56"/>
              <w:jc w:val="center"/>
              <w:rPr>
                <w:rFonts w:ascii="Calibri"/>
                <w:sz w:val="22"/>
              </w:rPr>
            </w:pPr>
            <w:r>
              <w:rPr>
                <w:rFonts w:ascii="Calibri"/>
                <w:spacing w:val="-4"/>
                <w:sz w:val="22"/>
              </w:rPr>
              <w:t>2005</w:t>
            </w:r>
          </w:p>
        </w:tc>
        <w:tc>
          <w:tcPr>
            <w:tcW w:w="1081" w:type="dxa"/>
          </w:tcPr>
          <w:p>
            <w:pPr>
              <w:pStyle w:val="TableParagraph"/>
              <w:spacing w:line="264" w:lineRule="exact"/>
              <w:ind w:right="134"/>
              <w:jc w:val="right"/>
              <w:rPr>
                <w:rFonts w:ascii="Calibri"/>
                <w:sz w:val="22"/>
              </w:rPr>
            </w:pPr>
            <w:r>
              <w:rPr>
                <w:rFonts w:ascii="Calibri"/>
                <w:spacing w:val="-2"/>
                <w:sz w:val="22"/>
              </w:rPr>
              <w:t>16.49463</w:t>
            </w:r>
          </w:p>
        </w:tc>
        <w:tc>
          <w:tcPr>
            <w:tcW w:w="1081" w:type="dxa"/>
          </w:tcPr>
          <w:p>
            <w:pPr>
              <w:pStyle w:val="TableParagraph"/>
              <w:spacing w:line="264" w:lineRule="exact"/>
              <w:ind w:right="106"/>
              <w:jc w:val="right"/>
              <w:rPr>
                <w:rFonts w:ascii="Calibri"/>
                <w:sz w:val="22"/>
              </w:rPr>
            </w:pPr>
            <w:r>
              <w:rPr>
                <w:rFonts w:ascii="Calibri"/>
                <w:spacing w:val="-2"/>
                <w:sz w:val="22"/>
              </w:rPr>
              <w:t>14.60178</w:t>
            </w:r>
          </w:p>
        </w:tc>
        <w:tc>
          <w:tcPr>
            <w:tcW w:w="1053" w:type="dxa"/>
          </w:tcPr>
          <w:p>
            <w:pPr>
              <w:pStyle w:val="TableParagraph"/>
              <w:spacing w:line="264" w:lineRule="exact"/>
              <w:ind w:right="105"/>
              <w:jc w:val="right"/>
              <w:rPr>
                <w:rFonts w:ascii="Calibri"/>
                <w:sz w:val="22"/>
              </w:rPr>
            </w:pPr>
            <w:r>
              <w:rPr>
                <w:rFonts w:ascii="Calibri"/>
                <w:spacing w:val="-2"/>
                <w:sz w:val="22"/>
              </w:rPr>
              <w:t>12.5056</w:t>
            </w:r>
          </w:p>
        </w:tc>
        <w:tc>
          <w:tcPr>
            <w:tcW w:w="1053" w:type="dxa"/>
          </w:tcPr>
          <w:p>
            <w:pPr>
              <w:pStyle w:val="TableParagraph"/>
              <w:spacing w:line="264" w:lineRule="exact"/>
              <w:ind w:left="4" w:right="1"/>
              <w:jc w:val="center"/>
              <w:rPr>
                <w:rFonts w:ascii="Calibri"/>
                <w:sz w:val="22"/>
              </w:rPr>
            </w:pPr>
            <w:r>
              <w:rPr>
                <w:rFonts w:ascii="Calibri"/>
                <w:spacing w:val="-2"/>
                <w:sz w:val="22"/>
              </w:rPr>
              <w:t>15.40306</w:t>
            </w:r>
          </w:p>
        </w:tc>
        <w:tc>
          <w:tcPr>
            <w:tcW w:w="995" w:type="dxa"/>
          </w:tcPr>
          <w:p>
            <w:pPr>
              <w:pStyle w:val="TableParagraph"/>
              <w:spacing w:line="264" w:lineRule="exact"/>
              <w:ind w:left="64" w:right="1"/>
              <w:jc w:val="center"/>
              <w:rPr>
                <w:rFonts w:ascii="Calibri"/>
                <w:sz w:val="22"/>
              </w:rPr>
            </w:pPr>
            <w:r>
              <w:rPr>
                <w:rFonts w:ascii="Calibri"/>
                <w:spacing w:val="-2"/>
                <w:sz w:val="22"/>
              </w:rPr>
              <w:t>14.16275</w:t>
            </w:r>
          </w:p>
        </w:tc>
      </w:tr>
      <w:tr>
        <w:trPr>
          <w:trHeight w:val="300" w:hRule="atLeast"/>
        </w:trPr>
        <w:tc>
          <w:tcPr>
            <w:tcW w:w="606" w:type="dxa"/>
          </w:tcPr>
          <w:p>
            <w:pPr>
              <w:pStyle w:val="TableParagraph"/>
              <w:spacing w:line="264" w:lineRule="exact"/>
              <w:ind w:right="56"/>
              <w:jc w:val="center"/>
              <w:rPr>
                <w:rFonts w:ascii="Calibri"/>
                <w:sz w:val="22"/>
              </w:rPr>
            </w:pPr>
            <w:r>
              <w:rPr>
                <w:rFonts w:ascii="Calibri"/>
                <w:spacing w:val="-4"/>
                <w:sz w:val="22"/>
              </w:rPr>
              <w:t>2006</w:t>
            </w:r>
          </w:p>
        </w:tc>
        <w:tc>
          <w:tcPr>
            <w:tcW w:w="1081" w:type="dxa"/>
          </w:tcPr>
          <w:p>
            <w:pPr>
              <w:pStyle w:val="TableParagraph"/>
              <w:spacing w:line="264" w:lineRule="exact"/>
              <w:ind w:right="134"/>
              <w:jc w:val="right"/>
              <w:rPr>
                <w:rFonts w:ascii="Calibri"/>
                <w:sz w:val="22"/>
              </w:rPr>
            </w:pPr>
            <w:r>
              <w:rPr>
                <w:rFonts w:ascii="Calibri"/>
                <w:spacing w:val="-2"/>
                <w:sz w:val="22"/>
              </w:rPr>
              <w:t>16.73677</w:t>
            </w:r>
          </w:p>
        </w:tc>
        <w:tc>
          <w:tcPr>
            <w:tcW w:w="1081" w:type="dxa"/>
          </w:tcPr>
          <w:p>
            <w:pPr>
              <w:pStyle w:val="TableParagraph"/>
              <w:spacing w:line="264" w:lineRule="exact"/>
              <w:ind w:right="106"/>
              <w:jc w:val="right"/>
              <w:rPr>
                <w:rFonts w:ascii="Calibri"/>
                <w:sz w:val="22"/>
              </w:rPr>
            </w:pPr>
            <w:r>
              <w:rPr>
                <w:rFonts w:ascii="Calibri"/>
                <w:spacing w:val="-2"/>
                <w:sz w:val="22"/>
              </w:rPr>
              <w:t>14.6236</w:t>
            </w:r>
          </w:p>
        </w:tc>
        <w:tc>
          <w:tcPr>
            <w:tcW w:w="1053" w:type="dxa"/>
          </w:tcPr>
          <w:p>
            <w:pPr>
              <w:pStyle w:val="TableParagraph"/>
              <w:spacing w:line="264" w:lineRule="exact"/>
              <w:ind w:right="105"/>
              <w:jc w:val="right"/>
              <w:rPr>
                <w:rFonts w:ascii="Calibri"/>
                <w:sz w:val="22"/>
              </w:rPr>
            </w:pPr>
            <w:r>
              <w:rPr>
                <w:rFonts w:ascii="Calibri"/>
                <w:spacing w:val="-2"/>
                <w:sz w:val="22"/>
              </w:rPr>
              <w:t>12.62097</w:t>
            </w:r>
          </w:p>
        </w:tc>
        <w:tc>
          <w:tcPr>
            <w:tcW w:w="1053" w:type="dxa"/>
          </w:tcPr>
          <w:p>
            <w:pPr>
              <w:pStyle w:val="TableParagraph"/>
              <w:spacing w:line="264" w:lineRule="exact"/>
              <w:ind w:left="4" w:right="1"/>
              <w:jc w:val="center"/>
              <w:rPr>
                <w:rFonts w:ascii="Calibri"/>
                <w:sz w:val="22"/>
              </w:rPr>
            </w:pPr>
            <w:r>
              <w:rPr>
                <w:rFonts w:ascii="Calibri"/>
                <w:spacing w:val="-2"/>
                <w:sz w:val="22"/>
              </w:rPr>
              <w:t>15.36266</w:t>
            </w:r>
          </w:p>
        </w:tc>
        <w:tc>
          <w:tcPr>
            <w:tcW w:w="995" w:type="dxa"/>
          </w:tcPr>
          <w:p>
            <w:pPr>
              <w:pStyle w:val="TableParagraph"/>
              <w:spacing w:line="264" w:lineRule="exact"/>
              <w:ind w:left="64" w:right="1"/>
              <w:jc w:val="center"/>
              <w:rPr>
                <w:rFonts w:ascii="Calibri"/>
                <w:sz w:val="22"/>
              </w:rPr>
            </w:pPr>
            <w:r>
              <w:rPr>
                <w:rFonts w:ascii="Calibri"/>
                <w:spacing w:val="-2"/>
                <w:sz w:val="22"/>
              </w:rPr>
              <w:t>14.39076</w:t>
            </w:r>
          </w:p>
        </w:tc>
      </w:tr>
      <w:tr>
        <w:trPr>
          <w:trHeight w:val="300" w:hRule="atLeast"/>
        </w:trPr>
        <w:tc>
          <w:tcPr>
            <w:tcW w:w="606" w:type="dxa"/>
          </w:tcPr>
          <w:p>
            <w:pPr>
              <w:pStyle w:val="TableParagraph"/>
              <w:spacing w:line="264" w:lineRule="exact"/>
              <w:ind w:right="56"/>
              <w:jc w:val="center"/>
              <w:rPr>
                <w:rFonts w:ascii="Calibri"/>
                <w:sz w:val="22"/>
              </w:rPr>
            </w:pPr>
            <w:r>
              <w:rPr>
                <w:rFonts w:ascii="Calibri"/>
                <w:spacing w:val="-4"/>
                <w:sz w:val="22"/>
              </w:rPr>
              <w:t>2007</w:t>
            </w:r>
          </w:p>
        </w:tc>
        <w:tc>
          <w:tcPr>
            <w:tcW w:w="1081" w:type="dxa"/>
          </w:tcPr>
          <w:p>
            <w:pPr>
              <w:pStyle w:val="TableParagraph"/>
              <w:spacing w:line="264" w:lineRule="exact"/>
              <w:ind w:right="134"/>
              <w:jc w:val="right"/>
              <w:rPr>
                <w:rFonts w:ascii="Calibri"/>
                <w:sz w:val="22"/>
              </w:rPr>
            </w:pPr>
            <w:r>
              <w:rPr>
                <w:rFonts w:ascii="Calibri"/>
                <w:spacing w:val="-2"/>
                <w:sz w:val="22"/>
              </w:rPr>
              <w:t>16.84358</w:t>
            </w:r>
          </w:p>
        </w:tc>
        <w:tc>
          <w:tcPr>
            <w:tcW w:w="1081" w:type="dxa"/>
          </w:tcPr>
          <w:p>
            <w:pPr>
              <w:pStyle w:val="TableParagraph"/>
              <w:spacing w:line="264" w:lineRule="exact"/>
              <w:ind w:right="105"/>
              <w:jc w:val="right"/>
              <w:rPr>
                <w:rFonts w:ascii="Calibri"/>
                <w:sz w:val="22"/>
              </w:rPr>
            </w:pPr>
            <w:r>
              <w:rPr>
                <w:rFonts w:ascii="Calibri"/>
                <w:spacing w:val="-2"/>
                <w:sz w:val="22"/>
              </w:rPr>
              <w:t>9.9224</w:t>
            </w:r>
          </w:p>
        </w:tc>
        <w:tc>
          <w:tcPr>
            <w:tcW w:w="1053" w:type="dxa"/>
          </w:tcPr>
          <w:p>
            <w:pPr>
              <w:pStyle w:val="TableParagraph"/>
              <w:spacing w:line="264" w:lineRule="exact"/>
              <w:ind w:right="105"/>
              <w:jc w:val="right"/>
              <w:rPr>
                <w:rFonts w:ascii="Calibri"/>
                <w:sz w:val="22"/>
              </w:rPr>
            </w:pPr>
            <w:r>
              <w:rPr>
                <w:rFonts w:ascii="Calibri"/>
                <w:spacing w:val="-2"/>
                <w:sz w:val="22"/>
              </w:rPr>
              <w:t>12.80493</w:t>
            </w:r>
          </w:p>
        </w:tc>
        <w:tc>
          <w:tcPr>
            <w:tcW w:w="1053" w:type="dxa"/>
          </w:tcPr>
          <w:p>
            <w:pPr>
              <w:pStyle w:val="TableParagraph"/>
              <w:spacing w:line="264" w:lineRule="exact"/>
              <w:ind w:left="4" w:right="1"/>
              <w:jc w:val="center"/>
              <w:rPr>
                <w:rFonts w:ascii="Calibri"/>
                <w:sz w:val="22"/>
              </w:rPr>
            </w:pPr>
            <w:r>
              <w:rPr>
                <w:rFonts w:ascii="Calibri"/>
                <w:spacing w:val="-2"/>
                <w:sz w:val="22"/>
              </w:rPr>
              <w:t>15.06208</w:t>
            </w:r>
          </w:p>
        </w:tc>
        <w:tc>
          <w:tcPr>
            <w:tcW w:w="995" w:type="dxa"/>
          </w:tcPr>
          <w:p>
            <w:pPr>
              <w:pStyle w:val="TableParagraph"/>
              <w:spacing w:line="264" w:lineRule="exact"/>
              <w:ind w:left="64" w:right="1"/>
              <w:jc w:val="center"/>
              <w:rPr>
                <w:rFonts w:ascii="Calibri"/>
                <w:sz w:val="22"/>
              </w:rPr>
            </w:pPr>
            <w:r>
              <w:rPr>
                <w:rFonts w:ascii="Calibri"/>
                <w:spacing w:val="-2"/>
                <w:sz w:val="22"/>
              </w:rPr>
              <w:t>13.35369</w:t>
            </w:r>
          </w:p>
        </w:tc>
      </w:tr>
      <w:tr>
        <w:trPr>
          <w:trHeight w:val="300" w:hRule="atLeast"/>
        </w:trPr>
        <w:tc>
          <w:tcPr>
            <w:tcW w:w="606" w:type="dxa"/>
          </w:tcPr>
          <w:p>
            <w:pPr>
              <w:pStyle w:val="TableParagraph"/>
              <w:spacing w:line="264" w:lineRule="exact"/>
              <w:ind w:right="56"/>
              <w:jc w:val="center"/>
              <w:rPr>
                <w:rFonts w:ascii="Calibri"/>
                <w:sz w:val="22"/>
              </w:rPr>
            </w:pPr>
            <w:r>
              <w:rPr>
                <w:rFonts w:ascii="Calibri"/>
                <w:spacing w:val="-4"/>
                <w:sz w:val="22"/>
              </w:rPr>
              <w:t>2008</w:t>
            </w:r>
          </w:p>
        </w:tc>
        <w:tc>
          <w:tcPr>
            <w:tcW w:w="1081" w:type="dxa"/>
          </w:tcPr>
          <w:p>
            <w:pPr>
              <w:pStyle w:val="TableParagraph"/>
              <w:spacing w:line="264" w:lineRule="exact"/>
              <w:ind w:right="134"/>
              <w:jc w:val="right"/>
              <w:rPr>
                <w:rFonts w:ascii="Calibri"/>
                <w:sz w:val="22"/>
              </w:rPr>
            </w:pPr>
            <w:r>
              <w:rPr>
                <w:rFonts w:ascii="Calibri"/>
                <w:spacing w:val="-2"/>
                <w:sz w:val="22"/>
              </w:rPr>
              <w:t>17.00584</w:t>
            </w:r>
          </w:p>
        </w:tc>
        <w:tc>
          <w:tcPr>
            <w:tcW w:w="1081" w:type="dxa"/>
          </w:tcPr>
          <w:p>
            <w:pPr>
              <w:pStyle w:val="TableParagraph"/>
              <w:spacing w:line="264" w:lineRule="exact"/>
              <w:ind w:right="106"/>
              <w:jc w:val="right"/>
              <w:rPr>
                <w:rFonts w:ascii="Calibri"/>
                <w:sz w:val="22"/>
              </w:rPr>
            </w:pPr>
            <w:r>
              <w:rPr>
                <w:rFonts w:ascii="Calibri"/>
                <w:spacing w:val="-2"/>
                <w:sz w:val="22"/>
              </w:rPr>
              <w:t>11.03651</w:t>
            </w:r>
          </w:p>
        </w:tc>
        <w:tc>
          <w:tcPr>
            <w:tcW w:w="1053" w:type="dxa"/>
          </w:tcPr>
          <w:p>
            <w:pPr>
              <w:pStyle w:val="TableParagraph"/>
              <w:spacing w:line="264" w:lineRule="exact"/>
              <w:ind w:right="105"/>
              <w:jc w:val="right"/>
              <w:rPr>
                <w:rFonts w:ascii="Calibri"/>
                <w:sz w:val="22"/>
              </w:rPr>
            </w:pPr>
            <w:r>
              <w:rPr>
                <w:rFonts w:ascii="Calibri"/>
                <w:spacing w:val="-2"/>
                <w:sz w:val="22"/>
              </w:rPr>
              <w:t>12.89882</w:t>
            </w:r>
          </w:p>
        </w:tc>
        <w:tc>
          <w:tcPr>
            <w:tcW w:w="1053" w:type="dxa"/>
          </w:tcPr>
          <w:p>
            <w:pPr>
              <w:pStyle w:val="TableParagraph"/>
              <w:spacing w:line="264" w:lineRule="exact"/>
              <w:ind w:left="4" w:right="1"/>
              <w:jc w:val="center"/>
              <w:rPr>
                <w:rFonts w:ascii="Calibri"/>
                <w:sz w:val="22"/>
              </w:rPr>
            </w:pPr>
            <w:r>
              <w:rPr>
                <w:rFonts w:ascii="Calibri"/>
                <w:spacing w:val="-2"/>
                <w:sz w:val="22"/>
              </w:rPr>
              <w:t>15.05405</w:t>
            </w:r>
          </w:p>
        </w:tc>
        <w:tc>
          <w:tcPr>
            <w:tcW w:w="995" w:type="dxa"/>
          </w:tcPr>
          <w:p>
            <w:pPr>
              <w:pStyle w:val="TableParagraph"/>
              <w:spacing w:line="264" w:lineRule="exact"/>
              <w:ind w:left="64" w:right="1"/>
              <w:jc w:val="center"/>
              <w:rPr>
                <w:rFonts w:ascii="Calibri"/>
                <w:sz w:val="22"/>
              </w:rPr>
            </w:pPr>
            <w:r>
              <w:rPr>
                <w:rFonts w:ascii="Calibri"/>
                <w:spacing w:val="-2"/>
                <w:sz w:val="22"/>
              </w:rPr>
              <w:t>15.49336</w:t>
            </w:r>
          </w:p>
        </w:tc>
      </w:tr>
      <w:tr>
        <w:trPr>
          <w:trHeight w:val="300" w:hRule="atLeast"/>
        </w:trPr>
        <w:tc>
          <w:tcPr>
            <w:tcW w:w="606" w:type="dxa"/>
          </w:tcPr>
          <w:p>
            <w:pPr>
              <w:pStyle w:val="TableParagraph"/>
              <w:spacing w:line="264" w:lineRule="exact"/>
              <w:ind w:right="56"/>
              <w:jc w:val="center"/>
              <w:rPr>
                <w:rFonts w:ascii="Calibri"/>
                <w:sz w:val="22"/>
              </w:rPr>
            </w:pPr>
            <w:r>
              <w:rPr>
                <w:rFonts w:ascii="Calibri"/>
                <w:spacing w:val="-4"/>
                <w:sz w:val="22"/>
              </w:rPr>
              <w:t>2009</w:t>
            </w:r>
          </w:p>
        </w:tc>
        <w:tc>
          <w:tcPr>
            <w:tcW w:w="1081" w:type="dxa"/>
          </w:tcPr>
          <w:p>
            <w:pPr>
              <w:pStyle w:val="TableParagraph"/>
              <w:spacing w:line="264" w:lineRule="exact"/>
              <w:ind w:right="134"/>
              <w:jc w:val="right"/>
              <w:rPr>
                <w:rFonts w:ascii="Calibri"/>
                <w:sz w:val="22"/>
              </w:rPr>
            </w:pPr>
            <w:r>
              <w:rPr>
                <w:rFonts w:ascii="Calibri"/>
                <w:spacing w:val="-2"/>
                <w:sz w:val="22"/>
              </w:rPr>
              <w:t>17.02612</w:t>
            </w:r>
          </w:p>
        </w:tc>
        <w:tc>
          <w:tcPr>
            <w:tcW w:w="1081" w:type="dxa"/>
          </w:tcPr>
          <w:p>
            <w:pPr>
              <w:pStyle w:val="TableParagraph"/>
              <w:spacing w:line="264" w:lineRule="exact"/>
              <w:ind w:right="106"/>
              <w:jc w:val="right"/>
              <w:rPr>
                <w:rFonts w:ascii="Calibri"/>
                <w:sz w:val="22"/>
              </w:rPr>
            </w:pPr>
            <w:r>
              <w:rPr>
                <w:rFonts w:ascii="Calibri"/>
                <w:spacing w:val="-2"/>
                <w:sz w:val="22"/>
              </w:rPr>
              <w:t>11.48515</w:t>
            </w:r>
          </w:p>
        </w:tc>
        <w:tc>
          <w:tcPr>
            <w:tcW w:w="1053" w:type="dxa"/>
          </w:tcPr>
          <w:p>
            <w:pPr>
              <w:pStyle w:val="TableParagraph"/>
              <w:spacing w:line="264" w:lineRule="exact"/>
              <w:ind w:right="105"/>
              <w:jc w:val="right"/>
              <w:rPr>
                <w:rFonts w:ascii="Calibri"/>
                <w:sz w:val="22"/>
              </w:rPr>
            </w:pPr>
            <w:r>
              <w:rPr>
                <w:rFonts w:ascii="Calibri"/>
                <w:spacing w:val="-2"/>
                <w:sz w:val="22"/>
              </w:rPr>
              <w:t>12.99742</w:t>
            </w:r>
          </w:p>
        </w:tc>
        <w:tc>
          <w:tcPr>
            <w:tcW w:w="1053" w:type="dxa"/>
          </w:tcPr>
          <w:p>
            <w:pPr>
              <w:pStyle w:val="TableParagraph"/>
              <w:spacing w:line="264" w:lineRule="exact"/>
              <w:ind w:left="4" w:right="1"/>
              <w:jc w:val="center"/>
              <w:rPr>
                <w:rFonts w:ascii="Calibri"/>
                <w:sz w:val="22"/>
              </w:rPr>
            </w:pPr>
            <w:r>
              <w:rPr>
                <w:rFonts w:ascii="Calibri"/>
                <w:spacing w:val="-2"/>
                <w:sz w:val="22"/>
              </w:rPr>
              <w:t>14.53722</w:t>
            </w:r>
          </w:p>
        </w:tc>
        <w:tc>
          <w:tcPr>
            <w:tcW w:w="995" w:type="dxa"/>
          </w:tcPr>
          <w:p>
            <w:pPr>
              <w:pStyle w:val="TableParagraph"/>
              <w:spacing w:line="264" w:lineRule="exact"/>
              <w:ind w:left="64" w:right="1"/>
              <w:jc w:val="center"/>
              <w:rPr>
                <w:rFonts w:ascii="Calibri"/>
                <w:sz w:val="22"/>
              </w:rPr>
            </w:pPr>
            <w:r>
              <w:rPr>
                <w:rFonts w:ascii="Calibri"/>
                <w:spacing w:val="-2"/>
                <w:sz w:val="22"/>
              </w:rPr>
              <w:t>12.01519</w:t>
            </w:r>
          </w:p>
        </w:tc>
      </w:tr>
      <w:tr>
        <w:trPr>
          <w:trHeight w:val="300" w:hRule="atLeast"/>
        </w:trPr>
        <w:tc>
          <w:tcPr>
            <w:tcW w:w="606" w:type="dxa"/>
          </w:tcPr>
          <w:p>
            <w:pPr>
              <w:pStyle w:val="TableParagraph"/>
              <w:spacing w:line="264" w:lineRule="exact"/>
              <w:ind w:right="56"/>
              <w:jc w:val="center"/>
              <w:rPr>
                <w:rFonts w:ascii="Calibri"/>
                <w:sz w:val="22"/>
              </w:rPr>
            </w:pPr>
            <w:r>
              <w:rPr>
                <w:rFonts w:ascii="Calibri"/>
                <w:spacing w:val="-4"/>
                <w:sz w:val="22"/>
              </w:rPr>
              <w:t>2010</w:t>
            </w:r>
          </w:p>
        </w:tc>
        <w:tc>
          <w:tcPr>
            <w:tcW w:w="1081" w:type="dxa"/>
          </w:tcPr>
          <w:p>
            <w:pPr>
              <w:pStyle w:val="TableParagraph"/>
              <w:spacing w:line="264" w:lineRule="exact"/>
              <w:ind w:right="134"/>
              <w:jc w:val="right"/>
              <w:rPr>
                <w:rFonts w:ascii="Calibri"/>
                <w:sz w:val="22"/>
              </w:rPr>
            </w:pPr>
            <w:r>
              <w:rPr>
                <w:rFonts w:ascii="Calibri"/>
                <w:spacing w:val="-2"/>
                <w:sz w:val="22"/>
              </w:rPr>
              <w:t>17.34142</w:t>
            </w:r>
          </w:p>
        </w:tc>
        <w:tc>
          <w:tcPr>
            <w:tcW w:w="1081" w:type="dxa"/>
          </w:tcPr>
          <w:p>
            <w:pPr>
              <w:pStyle w:val="TableParagraph"/>
              <w:spacing w:line="264" w:lineRule="exact"/>
              <w:ind w:right="106"/>
              <w:jc w:val="right"/>
              <w:rPr>
                <w:rFonts w:ascii="Calibri"/>
                <w:sz w:val="22"/>
              </w:rPr>
            </w:pPr>
            <w:r>
              <w:rPr>
                <w:rFonts w:ascii="Calibri"/>
                <w:spacing w:val="-2"/>
                <w:sz w:val="22"/>
              </w:rPr>
              <w:t>11.50695</w:t>
            </w:r>
          </w:p>
        </w:tc>
        <w:tc>
          <w:tcPr>
            <w:tcW w:w="1053" w:type="dxa"/>
          </w:tcPr>
          <w:p>
            <w:pPr>
              <w:pStyle w:val="TableParagraph"/>
              <w:spacing w:line="264" w:lineRule="exact"/>
              <w:ind w:right="105"/>
              <w:jc w:val="right"/>
              <w:rPr>
                <w:rFonts w:ascii="Calibri"/>
                <w:sz w:val="22"/>
              </w:rPr>
            </w:pPr>
            <w:r>
              <w:rPr>
                <w:rFonts w:ascii="Calibri"/>
                <w:spacing w:val="-2"/>
                <w:sz w:val="22"/>
              </w:rPr>
              <w:t>16.02256</w:t>
            </w:r>
          </w:p>
        </w:tc>
        <w:tc>
          <w:tcPr>
            <w:tcW w:w="1053" w:type="dxa"/>
          </w:tcPr>
          <w:p>
            <w:pPr>
              <w:pStyle w:val="TableParagraph"/>
              <w:spacing w:line="264" w:lineRule="exact"/>
              <w:ind w:left="4" w:right="1"/>
              <w:jc w:val="center"/>
              <w:rPr>
                <w:rFonts w:ascii="Calibri"/>
                <w:sz w:val="22"/>
              </w:rPr>
            </w:pPr>
            <w:r>
              <w:rPr>
                <w:rFonts w:ascii="Calibri"/>
                <w:spacing w:val="-2"/>
                <w:sz w:val="22"/>
              </w:rPr>
              <w:t>14.50515</w:t>
            </w:r>
          </w:p>
        </w:tc>
        <w:tc>
          <w:tcPr>
            <w:tcW w:w="995" w:type="dxa"/>
          </w:tcPr>
          <w:p>
            <w:pPr>
              <w:pStyle w:val="TableParagraph"/>
              <w:spacing w:line="264" w:lineRule="exact"/>
              <w:ind w:left="64" w:right="1"/>
              <w:jc w:val="center"/>
              <w:rPr>
                <w:rFonts w:ascii="Calibri"/>
                <w:sz w:val="22"/>
              </w:rPr>
            </w:pPr>
            <w:r>
              <w:rPr>
                <w:rFonts w:ascii="Calibri"/>
                <w:spacing w:val="-2"/>
                <w:sz w:val="22"/>
              </w:rPr>
              <w:t>13.69691</w:t>
            </w:r>
          </w:p>
        </w:tc>
      </w:tr>
      <w:tr>
        <w:trPr>
          <w:trHeight w:val="260" w:hRule="atLeast"/>
        </w:trPr>
        <w:tc>
          <w:tcPr>
            <w:tcW w:w="606" w:type="dxa"/>
          </w:tcPr>
          <w:p>
            <w:pPr>
              <w:pStyle w:val="TableParagraph"/>
              <w:spacing w:line="240" w:lineRule="exact"/>
              <w:ind w:right="56"/>
              <w:jc w:val="center"/>
              <w:rPr>
                <w:rFonts w:ascii="Calibri"/>
                <w:sz w:val="22"/>
              </w:rPr>
            </w:pPr>
            <w:r>
              <w:rPr>
                <w:rFonts w:ascii="Calibri"/>
                <w:spacing w:val="-4"/>
                <w:sz w:val="22"/>
              </w:rPr>
              <w:t>2011</w:t>
            </w:r>
          </w:p>
        </w:tc>
        <w:tc>
          <w:tcPr>
            <w:tcW w:w="1081" w:type="dxa"/>
          </w:tcPr>
          <w:p>
            <w:pPr>
              <w:pStyle w:val="TableParagraph"/>
              <w:spacing w:line="240" w:lineRule="exact"/>
              <w:ind w:right="134"/>
              <w:jc w:val="right"/>
              <w:rPr>
                <w:rFonts w:ascii="Calibri"/>
                <w:sz w:val="22"/>
              </w:rPr>
            </w:pPr>
            <w:r>
              <w:rPr>
                <w:rFonts w:ascii="Calibri"/>
                <w:spacing w:val="-2"/>
                <w:sz w:val="22"/>
              </w:rPr>
              <w:t>17.44101</w:t>
            </w:r>
          </w:p>
        </w:tc>
        <w:tc>
          <w:tcPr>
            <w:tcW w:w="1081" w:type="dxa"/>
          </w:tcPr>
          <w:p>
            <w:pPr>
              <w:pStyle w:val="TableParagraph"/>
              <w:spacing w:line="240" w:lineRule="exact"/>
              <w:ind w:right="106"/>
              <w:jc w:val="right"/>
              <w:rPr>
                <w:rFonts w:ascii="Calibri"/>
                <w:sz w:val="22"/>
              </w:rPr>
            </w:pPr>
            <w:r>
              <w:rPr>
                <w:rFonts w:ascii="Calibri"/>
                <w:spacing w:val="-2"/>
                <w:sz w:val="22"/>
              </w:rPr>
              <w:t>12.24041</w:t>
            </w:r>
          </w:p>
        </w:tc>
        <w:tc>
          <w:tcPr>
            <w:tcW w:w="1053" w:type="dxa"/>
          </w:tcPr>
          <w:p>
            <w:pPr>
              <w:pStyle w:val="TableParagraph"/>
              <w:spacing w:line="240" w:lineRule="exact"/>
              <w:ind w:right="105"/>
              <w:jc w:val="right"/>
              <w:rPr>
                <w:rFonts w:ascii="Calibri"/>
                <w:sz w:val="22"/>
              </w:rPr>
            </w:pPr>
            <w:r>
              <w:rPr>
                <w:rFonts w:ascii="Calibri"/>
                <w:spacing w:val="-2"/>
                <w:sz w:val="22"/>
              </w:rPr>
              <w:t>16.17113</w:t>
            </w:r>
          </w:p>
        </w:tc>
        <w:tc>
          <w:tcPr>
            <w:tcW w:w="1053" w:type="dxa"/>
          </w:tcPr>
          <w:p>
            <w:pPr>
              <w:pStyle w:val="TableParagraph"/>
              <w:spacing w:line="240" w:lineRule="exact"/>
              <w:ind w:left="4" w:right="1"/>
              <w:jc w:val="center"/>
              <w:rPr>
                <w:rFonts w:ascii="Calibri"/>
                <w:sz w:val="22"/>
              </w:rPr>
            </w:pPr>
            <w:r>
              <w:rPr>
                <w:rFonts w:ascii="Calibri"/>
                <w:spacing w:val="-2"/>
                <w:sz w:val="22"/>
              </w:rPr>
              <w:t>14.10578</w:t>
            </w:r>
          </w:p>
        </w:tc>
        <w:tc>
          <w:tcPr>
            <w:tcW w:w="995" w:type="dxa"/>
          </w:tcPr>
          <w:p>
            <w:pPr>
              <w:pStyle w:val="TableParagraph"/>
              <w:spacing w:line="240" w:lineRule="exact"/>
              <w:ind w:left="64" w:right="1"/>
              <w:jc w:val="center"/>
              <w:rPr>
                <w:rFonts w:ascii="Calibri"/>
                <w:sz w:val="22"/>
              </w:rPr>
            </w:pPr>
            <w:r>
              <w:rPr>
                <w:rFonts w:ascii="Calibri"/>
                <w:spacing w:val="-2"/>
                <w:sz w:val="22"/>
              </w:rPr>
              <w:t>10.95615</w:t>
            </w:r>
          </w:p>
        </w:tc>
      </w:tr>
    </w:tbl>
    <w:p>
      <w:pPr>
        <w:pStyle w:val="BodyText"/>
        <w:rPr>
          <w:b/>
          <w:sz w:val="20"/>
        </w:rPr>
      </w:pPr>
    </w:p>
    <w:p>
      <w:pPr>
        <w:pStyle w:val="BodyText"/>
        <w:rPr>
          <w:b/>
          <w:sz w:val="20"/>
        </w:rPr>
      </w:pPr>
    </w:p>
    <w:p>
      <w:pPr>
        <w:pStyle w:val="BodyText"/>
        <w:rPr>
          <w:b/>
          <w:sz w:val="20"/>
        </w:rPr>
      </w:pPr>
    </w:p>
    <w:p>
      <w:pPr>
        <w:pStyle w:val="BodyText"/>
        <w:spacing w:before="22"/>
        <w:rPr>
          <w:b/>
          <w:sz w:val="20"/>
        </w:rPr>
      </w:pPr>
    </w:p>
    <w:p>
      <w:pPr>
        <w:spacing w:before="0"/>
        <w:ind w:left="809" w:right="0" w:firstLine="0"/>
        <w:jc w:val="left"/>
        <w:rPr>
          <w:b/>
          <w:sz w:val="20"/>
        </w:rPr>
      </w:pPr>
      <w:r>
        <w:rPr>
          <w:b/>
          <w:sz w:val="20"/>
        </w:rPr>
        <w:t>MORGAN</w:t>
      </w:r>
      <w:r>
        <w:rPr>
          <w:b/>
          <w:spacing w:val="-6"/>
          <w:sz w:val="20"/>
        </w:rPr>
        <w:t> </w:t>
      </w:r>
      <w:r>
        <w:rPr>
          <w:b/>
          <w:sz w:val="20"/>
        </w:rPr>
        <w:t>GUARANTY</w:t>
      </w:r>
      <w:r>
        <w:rPr>
          <w:b/>
          <w:spacing w:val="-6"/>
          <w:sz w:val="20"/>
        </w:rPr>
        <w:t> </w:t>
      </w:r>
      <w:r>
        <w:rPr>
          <w:b/>
          <w:sz w:val="20"/>
        </w:rPr>
        <w:t>TRUST</w:t>
      </w:r>
      <w:r>
        <w:rPr>
          <w:b/>
          <w:spacing w:val="-8"/>
          <w:sz w:val="20"/>
        </w:rPr>
        <w:t> </w:t>
      </w:r>
      <w:r>
        <w:rPr>
          <w:b/>
          <w:sz w:val="20"/>
        </w:rPr>
        <w:t>1986</w:t>
      </w:r>
      <w:r>
        <w:rPr>
          <w:b/>
          <w:spacing w:val="-5"/>
          <w:sz w:val="20"/>
        </w:rPr>
        <w:t> </w:t>
      </w:r>
      <w:r>
        <w:rPr>
          <w:b/>
          <w:spacing w:val="-2"/>
          <w:sz w:val="20"/>
        </w:rPr>
        <w:t>APPROACH</w:t>
      </w:r>
    </w:p>
    <w:p>
      <w:pPr>
        <w:pStyle w:val="BodyText"/>
        <w:rPr>
          <w:b/>
          <w:sz w:val="20"/>
        </w:rPr>
      </w:pPr>
    </w:p>
    <w:p>
      <w:pPr>
        <w:pStyle w:val="BodyText"/>
        <w:spacing w:before="76"/>
        <w:rPr>
          <w:b/>
          <w:sz w:val="20"/>
        </w:rPr>
      </w:pPr>
    </w:p>
    <w:tbl>
      <w:tblPr>
        <w:tblW w:w="0" w:type="auto"/>
        <w:jc w:val="left"/>
        <w:tblInd w:w="7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03"/>
        <w:gridCol w:w="1054"/>
        <w:gridCol w:w="1110"/>
        <w:gridCol w:w="1055"/>
        <w:gridCol w:w="1055"/>
        <w:gridCol w:w="1055"/>
        <w:gridCol w:w="1062"/>
      </w:tblGrid>
      <w:tr>
        <w:trPr>
          <w:trHeight w:val="260" w:hRule="atLeast"/>
        </w:trPr>
        <w:tc>
          <w:tcPr>
            <w:tcW w:w="903" w:type="dxa"/>
          </w:tcPr>
          <w:p>
            <w:pPr>
              <w:pStyle w:val="TableParagraph"/>
              <w:spacing w:line="225" w:lineRule="exact"/>
              <w:ind w:left="50"/>
              <w:rPr>
                <w:rFonts w:ascii="Calibri"/>
                <w:sz w:val="22"/>
              </w:rPr>
            </w:pPr>
            <w:r>
              <w:rPr>
                <w:rFonts w:ascii="Calibri"/>
                <w:spacing w:val="-2"/>
                <w:sz w:val="22"/>
              </w:rPr>
              <w:t>YEARS</w:t>
            </w:r>
          </w:p>
        </w:tc>
        <w:tc>
          <w:tcPr>
            <w:tcW w:w="1054" w:type="dxa"/>
          </w:tcPr>
          <w:p>
            <w:pPr>
              <w:pStyle w:val="TableParagraph"/>
              <w:spacing w:line="225" w:lineRule="exact"/>
              <w:ind w:left="107"/>
              <w:rPr>
                <w:rFonts w:ascii="Calibri"/>
                <w:sz w:val="22"/>
              </w:rPr>
            </w:pPr>
            <w:r>
              <w:rPr>
                <w:rFonts w:ascii="Calibri"/>
                <w:spacing w:val="-4"/>
                <w:sz w:val="22"/>
              </w:rPr>
              <w:t>L^GDP</w:t>
            </w:r>
          </w:p>
        </w:tc>
        <w:tc>
          <w:tcPr>
            <w:tcW w:w="1110" w:type="dxa"/>
          </w:tcPr>
          <w:p>
            <w:pPr>
              <w:pStyle w:val="TableParagraph"/>
              <w:spacing w:line="225" w:lineRule="exact"/>
              <w:ind w:left="55" w:right="56"/>
              <w:jc w:val="center"/>
              <w:rPr>
                <w:rFonts w:ascii="Calibri"/>
                <w:sz w:val="22"/>
              </w:rPr>
            </w:pPr>
            <w:r>
              <w:rPr>
                <w:rFonts w:ascii="Calibri"/>
                <w:spacing w:val="-2"/>
                <w:sz w:val="22"/>
              </w:rPr>
              <w:t>L^EXTDBT</w:t>
            </w:r>
          </w:p>
        </w:tc>
        <w:tc>
          <w:tcPr>
            <w:tcW w:w="1055" w:type="dxa"/>
          </w:tcPr>
          <w:p>
            <w:pPr>
              <w:pStyle w:val="TableParagraph"/>
              <w:spacing w:line="225" w:lineRule="exact"/>
              <w:ind w:left="106"/>
              <w:rPr>
                <w:rFonts w:ascii="Calibri"/>
                <w:sz w:val="22"/>
              </w:rPr>
            </w:pPr>
            <w:r>
              <w:rPr>
                <w:rFonts w:ascii="Calibri"/>
                <w:spacing w:val="-4"/>
                <w:sz w:val="22"/>
              </w:rPr>
              <w:t>L^DFI</w:t>
            </w:r>
          </w:p>
        </w:tc>
        <w:tc>
          <w:tcPr>
            <w:tcW w:w="1055" w:type="dxa"/>
          </w:tcPr>
          <w:p>
            <w:pPr>
              <w:pStyle w:val="TableParagraph"/>
              <w:spacing w:line="225" w:lineRule="exact"/>
              <w:ind w:left="105"/>
              <w:rPr>
                <w:rFonts w:ascii="Calibri"/>
                <w:sz w:val="22"/>
              </w:rPr>
            </w:pPr>
            <w:r>
              <w:rPr>
                <w:rFonts w:ascii="Calibri"/>
                <w:spacing w:val="-2"/>
                <w:sz w:val="22"/>
              </w:rPr>
              <w:t>L^CAB</w:t>
            </w:r>
          </w:p>
        </w:tc>
        <w:tc>
          <w:tcPr>
            <w:tcW w:w="1055" w:type="dxa"/>
          </w:tcPr>
          <w:p>
            <w:pPr>
              <w:pStyle w:val="TableParagraph"/>
              <w:spacing w:line="225" w:lineRule="exact"/>
              <w:ind w:left="103"/>
              <w:rPr>
                <w:rFonts w:ascii="Calibri"/>
                <w:sz w:val="22"/>
              </w:rPr>
            </w:pPr>
            <w:r>
              <w:rPr>
                <w:rFonts w:ascii="Calibri"/>
                <w:spacing w:val="-2"/>
                <w:sz w:val="22"/>
              </w:rPr>
              <w:t>L^RES</w:t>
            </w:r>
          </w:p>
        </w:tc>
        <w:tc>
          <w:tcPr>
            <w:tcW w:w="1062" w:type="dxa"/>
          </w:tcPr>
          <w:p>
            <w:pPr>
              <w:pStyle w:val="TableParagraph"/>
              <w:spacing w:line="225" w:lineRule="exact"/>
              <w:ind w:left="45"/>
              <w:jc w:val="center"/>
              <w:rPr>
                <w:rFonts w:ascii="Calibri"/>
                <w:sz w:val="22"/>
              </w:rPr>
            </w:pPr>
            <w:r>
              <w:rPr>
                <w:rFonts w:ascii="Calibri"/>
                <w:spacing w:val="-2"/>
                <w:sz w:val="22"/>
              </w:rPr>
              <w:t>L^NEXTAS</w:t>
            </w:r>
          </w:p>
        </w:tc>
      </w:tr>
      <w:tr>
        <w:trPr>
          <w:trHeight w:val="300" w:hRule="atLeast"/>
        </w:trPr>
        <w:tc>
          <w:tcPr>
            <w:tcW w:w="903" w:type="dxa"/>
          </w:tcPr>
          <w:p>
            <w:pPr>
              <w:pStyle w:val="TableParagraph"/>
              <w:spacing w:line="264" w:lineRule="exact"/>
              <w:ind w:right="105"/>
              <w:jc w:val="right"/>
              <w:rPr>
                <w:rFonts w:ascii="Calibri"/>
                <w:sz w:val="22"/>
              </w:rPr>
            </w:pPr>
            <w:r>
              <w:rPr>
                <w:rFonts w:ascii="Calibri"/>
                <w:spacing w:val="-4"/>
                <w:sz w:val="22"/>
              </w:rPr>
              <w:t>1970</w:t>
            </w:r>
          </w:p>
        </w:tc>
        <w:tc>
          <w:tcPr>
            <w:tcW w:w="1054" w:type="dxa"/>
          </w:tcPr>
          <w:p>
            <w:pPr>
              <w:pStyle w:val="TableParagraph"/>
              <w:spacing w:line="264" w:lineRule="exact"/>
              <w:ind w:right="105"/>
              <w:jc w:val="right"/>
              <w:rPr>
                <w:rFonts w:ascii="Calibri"/>
                <w:sz w:val="22"/>
              </w:rPr>
            </w:pPr>
            <w:r>
              <w:rPr>
                <w:rFonts w:ascii="Calibri"/>
                <w:spacing w:val="-2"/>
                <w:sz w:val="22"/>
              </w:rPr>
              <w:t>8.57189</w:t>
            </w:r>
          </w:p>
        </w:tc>
        <w:tc>
          <w:tcPr>
            <w:tcW w:w="1110" w:type="dxa"/>
          </w:tcPr>
          <w:p>
            <w:pPr>
              <w:pStyle w:val="TableParagraph"/>
              <w:spacing w:line="264" w:lineRule="exact"/>
              <w:ind w:left="99" w:right="1"/>
              <w:jc w:val="center"/>
              <w:rPr>
                <w:rFonts w:ascii="Calibri"/>
                <w:sz w:val="22"/>
              </w:rPr>
            </w:pPr>
            <w:r>
              <w:rPr>
                <w:rFonts w:ascii="Calibri"/>
                <w:spacing w:val="-2"/>
                <w:sz w:val="22"/>
              </w:rPr>
              <w:t>-0.22314</w:t>
            </w:r>
          </w:p>
        </w:tc>
        <w:tc>
          <w:tcPr>
            <w:tcW w:w="1055" w:type="dxa"/>
          </w:tcPr>
          <w:p>
            <w:pPr>
              <w:pStyle w:val="TableParagraph"/>
              <w:spacing w:line="264" w:lineRule="exact"/>
              <w:ind w:right="107"/>
              <w:jc w:val="right"/>
              <w:rPr>
                <w:rFonts w:ascii="Calibri"/>
                <w:sz w:val="22"/>
              </w:rPr>
            </w:pPr>
            <w:r>
              <w:rPr>
                <w:rFonts w:ascii="Calibri"/>
                <w:spacing w:val="-2"/>
                <w:sz w:val="22"/>
              </w:rPr>
              <w:t>6.91095</w:t>
            </w:r>
          </w:p>
        </w:tc>
        <w:tc>
          <w:tcPr>
            <w:tcW w:w="1055" w:type="dxa"/>
          </w:tcPr>
          <w:p>
            <w:pPr>
              <w:pStyle w:val="TableParagraph"/>
              <w:spacing w:line="264" w:lineRule="exact"/>
              <w:ind w:left="107"/>
              <w:rPr>
                <w:rFonts w:ascii="Calibri"/>
                <w:sz w:val="22"/>
              </w:rPr>
            </w:pPr>
            <w:r>
              <w:rPr>
                <w:rFonts w:ascii="Calibri"/>
                <w:spacing w:val="-2"/>
                <w:sz w:val="22"/>
              </w:rPr>
              <w:t>3.912023</w:t>
            </w:r>
          </w:p>
        </w:tc>
        <w:tc>
          <w:tcPr>
            <w:tcW w:w="1055" w:type="dxa"/>
          </w:tcPr>
          <w:p>
            <w:pPr>
              <w:pStyle w:val="TableParagraph"/>
              <w:spacing w:line="264" w:lineRule="exact"/>
              <w:ind w:left="106"/>
              <w:rPr>
                <w:rFonts w:ascii="Calibri"/>
                <w:sz w:val="22"/>
              </w:rPr>
            </w:pPr>
            <w:r>
              <w:rPr>
                <w:rFonts w:ascii="Calibri"/>
                <w:spacing w:val="-2"/>
                <w:sz w:val="22"/>
              </w:rPr>
              <w:t>4.650144</w:t>
            </w:r>
          </w:p>
        </w:tc>
        <w:tc>
          <w:tcPr>
            <w:tcW w:w="1062" w:type="dxa"/>
          </w:tcPr>
          <w:p>
            <w:pPr>
              <w:pStyle w:val="TableParagraph"/>
              <w:spacing w:line="264" w:lineRule="exact"/>
              <w:ind w:left="224"/>
              <w:jc w:val="center"/>
              <w:rPr>
                <w:rFonts w:ascii="Calibri"/>
                <w:sz w:val="22"/>
              </w:rPr>
            </w:pPr>
            <w:r>
              <w:rPr>
                <w:rFonts w:ascii="Calibri"/>
                <w:spacing w:val="-2"/>
                <w:sz w:val="22"/>
              </w:rPr>
              <w:t>3.69883</w:t>
            </w:r>
          </w:p>
        </w:tc>
      </w:tr>
      <w:tr>
        <w:trPr>
          <w:trHeight w:val="300" w:hRule="atLeast"/>
        </w:trPr>
        <w:tc>
          <w:tcPr>
            <w:tcW w:w="903" w:type="dxa"/>
          </w:tcPr>
          <w:p>
            <w:pPr>
              <w:pStyle w:val="TableParagraph"/>
              <w:spacing w:line="264" w:lineRule="exact"/>
              <w:ind w:right="105"/>
              <w:jc w:val="right"/>
              <w:rPr>
                <w:rFonts w:ascii="Calibri"/>
                <w:sz w:val="22"/>
              </w:rPr>
            </w:pPr>
            <w:r>
              <w:rPr>
                <w:rFonts w:ascii="Calibri"/>
                <w:spacing w:val="-4"/>
                <w:sz w:val="22"/>
              </w:rPr>
              <w:t>1971</w:t>
            </w:r>
          </w:p>
        </w:tc>
        <w:tc>
          <w:tcPr>
            <w:tcW w:w="1054" w:type="dxa"/>
          </w:tcPr>
          <w:p>
            <w:pPr>
              <w:pStyle w:val="TableParagraph"/>
              <w:spacing w:line="264" w:lineRule="exact"/>
              <w:ind w:right="105"/>
              <w:jc w:val="right"/>
              <w:rPr>
                <w:rFonts w:ascii="Calibri"/>
                <w:sz w:val="22"/>
              </w:rPr>
            </w:pPr>
            <w:r>
              <w:rPr>
                <w:rFonts w:ascii="Calibri"/>
                <w:spacing w:val="-2"/>
                <w:sz w:val="22"/>
              </w:rPr>
              <w:t>8.802507</w:t>
            </w:r>
          </w:p>
        </w:tc>
        <w:tc>
          <w:tcPr>
            <w:tcW w:w="1110" w:type="dxa"/>
          </w:tcPr>
          <w:p>
            <w:pPr>
              <w:pStyle w:val="TableParagraph"/>
              <w:spacing w:line="264" w:lineRule="exact"/>
              <w:ind w:left="56" w:right="1"/>
              <w:jc w:val="center"/>
              <w:rPr>
                <w:rFonts w:ascii="Calibri"/>
                <w:sz w:val="22"/>
              </w:rPr>
            </w:pPr>
            <w:r>
              <w:rPr>
                <w:rFonts w:ascii="Calibri"/>
                <w:spacing w:val="-2"/>
                <w:sz w:val="22"/>
              </w:rPr>
              <w:t>1.252763</w:t>
            </w:r>
          </w:p>
        </w:tc>
        <w:tc>
          <w:tcPr>
            <w:tcW w:w="1055" w:type="dxa"/>
          </w:tcPr>
          <w:p>
            <w:pPr>
              <w:pStyle w:val="TableParagraph"/>
              <w:spacing w:line="264" w:lineRule="exact"/>
              <w:ind w:right="107"/>
              <w:jc w:val="right"/>
              <w:rPr>
                <w:rFonts w:ascii="Calibri"/>
                <w:sz w:val="22"/>
              </w:rPr>
            </w:pPr>
            <w:r>
              <w:rPr>
                <w:rFonts w:ascii="Calibri"/>
                <w:spacing w:val="-2"/>
                <w:sz w:val="22"/>
              </w:rPr>
              <w:t>7.187506</w:t>
            </w:r>
          </w:p>
        </w:tc>
        <w:tc>
          <w:tcPr>
            <w:tcW w:w="1055" w:type="dxa"/>
          </w:tcPr>
          <w:p>
            <w:pPr>
              <w:pStyle w:val="TableParagraph"/>
              <w:spacing w:line="264" w:lineRule="exact"/>
              <w:ind w:left="107"/>
              <w:rPr>
                <w:rFonts w:ascii="Calibri"/>
                <w:sz w:val="22"/>
              </w:rPr>
            </w:pPr>
            <w:r>
              <w:rPr>
                <w:rFonts w:ascii="Calibri"/>
                <w:spacing w:val="-2"/>
                <w:sz w:val="22"/>
              </w:rPr>
              <w:t>5.435467</w:t>
            </w:r>
          </w:p>
        </w:tc>
        <w:tc>
          <w:tcPr>
            <w:tcW w:w="1055" w:type="dxa"/>
          </w:tcPr>
          <w:p>
            <w:pPr>
              <w:pStyle w:val="TableParagraph"/>
              <w:spacing w:line="264" w:lineRule="exact"/>
              <w:ind w:left="106"/>
              <w:rPr>
                <w:rFonts w:ascii="Calibri"/>
                <w:sz w:val="22"/>
              </w:rPr>
            </w:pPr>
            <w:r>
              <w:rPr>
                <w:rFonts w:ascii="Calibri"/>
                <w:spacing w:val="-2"/>
                <w:sz w:val="22"/>
              </w:rPr>
              <w:t>3.321432</w:t>
            </w:r>
          </w:p>
        </w:tc>
        <w:tc>
          <w:tcPr>
            <w:tcW w:w="1062" w:type="dxa"/>
          </w:tcPr>
          <w:p>
            <w:pPr>
              <w:pStyle w:val="TableParagraph"/>
              <w:spacing w:line="264" w:lineRule="exact"/>
              <w:ind w:left="224"/>
              <w:jc w:val="center"/>
              <w:rPr>
                <w:rFonts w:ascii="Calibri"/>
                <w:sz w:val="22"/>
              </w:rPr>
            </w:pPr>
            <w:r>
              <w:rPr>
                <w:rFonts w:ascii="Calibri"/>
                <w:spacing w:val="-2"/>
                <w:sz w:val="22"/>
              </w:rPr>
              <w:t>4.93663</w:t>
            </w:r>
          </w:p>
        </w:tc>
      </w:tr>
      <w:tr>
        <w:trPr>
          <w:trHeight w:val="300" w:hRule="atLeast"/>
        </w:trPr>
        <w:tc>
          <w:tcPr>
            <w:tcW w:w="903" w:type="dxa"/>
          </w:tcPr>
          <w:p>
            <w:pPr>
              <w:pStyle w:val="TableParagraph"/>
              <w:spacing w:line="264" w:lineRule="exact"/>
              <w:ind w:right="105"/>
              <w:jc w:val="right"/>
              <w:rPr>
                <w:rFonts w:ascii="Calibri"/>
                <w:sz w:val="22"/>
              </w:rPr>
            </w:pPr>
            <w:r>
              <w:rPr>
                <w:rFonts w:ascii="Calibri"/>
                <w:spacing w:val="-4"/>
                <w:sz w:val="22"/>
              </w:rPr>
              <w:t>1972</w:t>
            </w:r>
          </w:p>
        </w:tc>
        <w:tc>
          <w:tcPr>
            <w:tcW w:w="1054" w:type="dxa"/>
          </w:tcPr>
          <w:p>
            <w:pPr>
              <w:pStyle w:val="TableParagraph"/>
              <w:spacing w:line="264" w:lineRule="exact"/>
              <w:ind w:right="105"/>
              <w:jc w:val="right"/>
              <w:rPr>
                <w:rFonts w:ascii="Calibri"/>
                <w:sz w:val="22"/>
              </w:rPr>
            </w:pPr>
            <w:r>
              <w:rPr>
                <w:rFonts w:ascii="Calibri"/>
                <w:spacing w:val="-2"/>
                <w:sz w:val="22"/>
              </w:rPr>
              <w:t>8.880099</w:t>
            </w:r>
          </w:p>
        </w:tc>
        <w:tc>
          <w:tcPr>
            <w:tcW w:w="1110" w:type="dxa"/>
          </w:tcPr>
          <w:p>
            <w:pPr>
              <w:pStyle w:val="TableParagraph"/>
              <w:spacing w:line="264" w:lineRule="exact"/>
              <w:ind w:left="56" w:right="1"/>
              <w:jc w:val="center"/>
              <w:rPr>
                <w:rFonts w:ascii="Calibri"/>
                <w:sz w:val="22"/>
              </w:rPr>
            </w:pPr>
            <w:r>
              <w:rPr>
                <w:rFonts w:ascii="Calibri"/>
                <w:spacing w:val="-2"/>
                <w:sz w:val="22"/>
              </w:rPr>
              <w:t>4.467057</w:t>
            </w:r>
          </w:p>
        </w:tc>
        <w:tc>
          <w:tcPr>
            <w:tcW w:w="1055" w:type="dxa"/>
          </w:tcPr>
          <w:p>
            <w:pPr>
              <w:pStyle w:val="TableParagraph"/>
              <w:spacing w:line="264" w:lineRule="exact"/>
              <w:ind w:right="107"/>
              <w:jc w:val="right"/>
              <w:rPr>
                <w:rFonts w:ascii="Calibri"/>
                <w:sz w:val="22"/>
              </w:rPr>
            </w:pPr>
            <w:r>
              <w:rPr>
                <w:rFonts w:ascii="Calibri"/>
                <w:spacing w:val="-2"/>
                <w:sz w:val="22"/>
              </w:rPr>
              <w:t>7.359531</w:t>
            </w:r>
          </w:p>
        </w:tc>
        <w:tc>
          <w:tcPr>
            <w:tcW w:w="1055" w:type="dxa"/>
          </w:tcPr>
          <w:p>
            <w:pPr>
              <w:pStyle w:val="TableParagraph"/>
              <w:spacing w:line="264" w:lineRule="exact"/>
              <w:ind w:left="107"/>
              <w:rPr>
                <w:rFonts w:ascii="Calibri"/>
                <w:sz w:val="22"/>
              </w:rPr>
            </w:pPr>
            <w:r>
              <w:rPr>
                <w:rFonts w:ascii="Calibri"/>
                <w:spacing w:val="-2"/>
                <w:sz w:val="22"/>
              </w:rPr>
              <w:t>5.776723</w:t>
            </w:r>
          </w:p>
        </w:tc>
        <w:tc>
          <w:tcPr>
            <w:tcW w:w="1055" w:type="dxa"/>
          </w:tcPr>
          <w:p>
            <w:pPr>
              <w:pStyle w:val="TableParagraph"/>
              <w:spacing w:line="264" w:lineRule="exact"/>
              <w:ind w:left="106"/>
              <w:rPr>
                <w:rFonts w:ascii="Calibri"/>
                <w:sz w:val="22"/>
              </w:rPr>
            </w:pPr>
            <w:r>
              <w:rPr>
                <w:rFonts w:ascii="Calibri"/>
                <w:spacing w:val="-2"/>
                <w:sz w:val="22"/>
              </w:rPr>
              <w:t>4.082609</w:t>
            </w:r>
          </w:p>
        </w:tc>
        <w:tc>
          <w:tcPr>
            <w:tcW w:w="1062" w:type="dxa"/>
          </w:tcPr>
          <w:p>
            <w:pPr>
              <w:pStyle w:val="TableParagraph"/>
              <w:spacing w:line="264" w:lineRule="exact"/>
              <w:ind w:left="114"/>
              <w:jc w:val="center"/>
              <w:rPr>
                <w:rFonts w:ascii="Calibri"/>
                <w:sz w:val="22"/>
              </w:rPr>
            </w:pPr>
            <w:r>
              <w:rPr>
                <w:rFonts w:ascii="Calibri"/>
                <w:spacing w:val="-2"/>
                <w:sz w:val="22"/>
              </w:rPr>
              <w:t>3.637586</w:t>
            </w:r>
          </w:p>
        </w:tc>
      </w:tr>
      <w:tr>
        <w:trPr>
          <w:trHeight w:val="300" w:hRule="atLeast"/>
        </w:trPr>
        <w:tc>
          <w:tcPr>
            <w:tcW w:w="903" w:type="dxa"/>
          </w:tcPr>
          <w:p>
            <w:pPr>
              <w:pStyle w:val="TableParagraph"/>
              <w:spacing w:line="264" w:lineRule="exact"/>
              <w:ind w:right="105"/>
              <w:jc w:val="right"/>
              <w:rPr>
                <w:rFonts w:ascii="Calibri"/>
                <w:sz w:val="22"/>
              </w:rPr>
            </w:pPr>
            <w:r>
              <w:rPr>
                <w:rFonts w:ascii="Calibri"/>
                <w:spacing w:val="-4"/>
                <w:sz w:val="22"/>
              </w:rPr>
              <w:t>1973</w:t>
            </w:r>
          </w:p>
        </w:tc>
        <w:tc>
          <w:tcPr>
            <w:tcW w:w="1054" w:type="dxa"/>
          </w:tcPr>
          <w:p>
            <w:pPr>
              <w:pStyle w:val="TableParagraph"/>
              <w:spacing w:line="264" w:lineRule="exact"/>
              <w:ind w:right="105"/>
              <w:jc w:val="right"/>
              <w:rPr>
                <w:rFonts w:ascii="Calibri"/>
                <w:sz w:val="22"/>
              </w:rPr>
            </w:pPr>
            <w:r>
              <w:rPr>
                <w:rFonts w:ascii="Calibri"/>
                <w:spacing w:val="-2"/>
                <w:sz w:val="22"/>
              </w:rPr>
              <w:t>9.063058</w:t>
            </w:r>
          </w:p>
        </w:tc>
        <w:tc>
          <w:tcPr>
            <w:tcW w:w="1110" w:type="dxa"/>
          </w:tcPr>
          <w:p>
            <w:pPr>
              <w:pStyle w:val="TableParagraph"/>
              <w:spacing w:line="264" w:lineRule="exact"/>
              <w:ind w:left="56" w:right="1"/>
              <w:jc w:val="center"/>
              <w:rPr>
                <w:rFonts w:ascii="Calibri"/>
                <w:sz w:val="22"/>
              </w:rPr>
            </w:pPr>
            <w:r>
              <w:rPr>
                <w:rFonts w:ascii="Calibri"/>
                <w:spacing w:val="-2"/>
                <w:sz w:val="22"/>
              </w:rPr>
              <w:t>2.424803</w:t>
            </w:r>
          </w:p>
        </w:tc>
        <w:tc>
          <w:tcPr>
            <w:tcW w:w="1055" w:type="dxa"/>
          </w:tcPr>
          <w:p>
            <w:pPr>
              <w:pStyle w:val="TableParagraph"/>
              <w:spacing w:line="264" w:lineRule="exact"/>
              <w:ind w:right="107"/>
              <w:jc w:val="right"/>
              <w:rPr>
                <w:rFonts w:ascii="Calibri"/>
                <w:sz w:val="22"/>
              </w:rPr>
            </w:pPr>
            <w:r>
              <w:rPr>
                <w:rFonts w:ascii="Calibri"/>
                <w:spacing w:val="-2"/>
                <w:sz w:val="22"/>
              </w:rPr>
              <w:t>7.475169</w:t>
            </w:r>
          </w:p>
        </w:tc>
        <w:tc>
          <w:tcPr>
            <w:tcW w:w="1055" w:type="dxa"/>
          </w:tcPr>
          <w:p>
            <w:pPr>
              <w:pStyle w:val="TableParagraph"/>
              <w:spacing w:line="264" w:lineRule="exact"/>
              <w:ind w:left="107"/>
              <w:rPr>
                <w:rFonts w:ascii="Calibri"/>
                <w:sz w:val="22"/>
              </w:rPr>
            </w:pPr>
            <w:r>
              <w:rPr>
                <w:rFonts w:ascii="Calibri"/>
                <w:spacing w:val="-2"/>
                <w:sz w:val="22"/>
              </w:rPr>
              <w:t>3.964615</w:t>
            </w:r>
          </w:p>
        </w:tc>
        <w:tc>
          <w:tcPr>
            <w:tcW w:w="1055" w:type="dxa"/>
          </w:tcPr>
          <w:p>
            <w:pPr>
              <w:pStyle w:val="TableParagraph"/>
              <w:spacing w:line="264" w:lineRule="exact"/>
              <w:ind w:right="110"/>
              <w:jc w:val="right"/>
              <w:rPr>
                <w:rFonts w:ascii="Calibri"/>
                <w:sz w:val="22"/>
              </w:rPr>
            </w:pPr>
            <w:r>
              <w:rPr>
                <w:rFonts w:ascii="Calibri"/>
                <w:spacing w:val="-2"/>
                <w:sz w:val="22"/>
              </w:rPr>
              <w:t>3.89995</w:t>
            </w:r>
          </w:p>
        </w:tc>
        <w:tc>
          <w:tcPr>
            <w:tcW w:w="1062" w:type="dxa"/>
          </w:tcPr>
          <w:p>
            <w:pPr>
              <w:pStyle w:val="TableParagraph"/>
              <w:spacing w:line="264" w:lineRule="exact"/>
              <w:ind w:left="114"/>
              <w:jc w:val="center"/>
              <w:rPr>
                <w:rFonts w:ascii="Calibri"/>
                <w:sz w:val="22"/>
              </w:rPr>
            </w:pPr>
            <w:r>
              <w:rPr>
                <w:rFonts w:ascii="Calibri"/>
                <w:spacing w:val="-2"/>
                <w:sz w:val="22"/>
              </w:rPr>
              <w:t>5.156178</w:t>
            </w:r>
          </w:p>
        </w:tc>
      </w:tr>
      <w:tr>
        <w:trPr>
          <w:trHeight w:val="300" w:hRule="atLeast"/>
        </w:trPr>
        <w:tc>
          <w:tcPr>
            <w:tcW w:w="903" w:type="dxa"/>
          </w:tcPr>
          <w:p>
            <w:pPr>
              <w:pStyle w:val="TableParagraph"/>
              <w:spacing w:line="264" w:lineRule="exact"/>
              <w:ind w:right="105"/>
              <w:jc w:val="right"/>
              <w:rPr>
                <w:rFonts w:ascii="Calibri"/>
                <w:sz w:val="22"/>
              </w:rPr>
            </w:pPr>
            <w:r>
              <w:rPr>
                <w:rFonts w:ascii="Calibri"/>
                <w:spacing w:val="-4"/>
                <w:sz w:val="22"/>
              </w:rPr>
              <w:t>1974</w:t>
            </w:r>
          </w:p>
        </w:tc>
        <w:tc>
          <w:tcPr>
            <w:tcW w:w="1054" w:type="dxa"/>
          </w:tcPr>
          <w:p>
            <w:pPr>
              <w:pStyle w:val="TableParagraph"/>
              <w:spacing w:line="264" w:lineRule="exact"/>
              <w:ind w:right="105"/>
              <w:jc w:val="right"/>
              <w:rPr>
                <w:rFonts w:ascii="Calibri"/>
                <w:sz w:val="22"/>
              </w:rPr>
            </w:pPr>
            <w:r>
              <w:rPr>
                <w:rFonts w:ascii="Calibri"/>
                <w:spacing w:val="-2"/>
                <w:sz w:val="22"/>
              </w:rPr>
              <w:t>9.84284</w:t>
            </w:r>
          </w:p>
        </w:tc>
        <w:tc>
          <w:tcPr>
            <w:tcW w:w="1110" w:type="dxa"/>
          </w:tcPr>
          <w:p>
            <w:pPr>
              <w:pStyle w:val="TableParagraph"/>
              <w:spacing w:line="264" w:lineRule="exact"/>
              <w:ind w:left="56" w:right="1"/>
              <w:jc w:val="center"/>
              <w:rPr>
                <w:rFonts w:ascii="Calibri"/>
                <w:sz w:val="22"/>
              </w:rPr>
            </w:pPr>
            <w:r>
              <w:rPr>
                <w:rFonts w:ascii="Calibri"/>
                <w:spacing w:val="-2"/>
                <w:sz w:val="22"/>
              </w:rPr>
              <w:t>3.817712</w:t>
            </w:r>
          </w:p>
        </w:tc>
        <w:tc>
          <w:tcPr>
            <w:tcW w:w="1055" w:type="dxa"/>
          </w:tcPr>
          <w:p>
            <w:pPr>
              <w:pStyle w:val="TableParagraph"/>
              <w:spacing w:line="264" w:lineRule="exact"/>
              <w:ind w:right="107"/>
              <w:jc w:val="right"/>
              <w:rPr>
                <w:rFonts w:ascii="Calibri"/>
                <w:sz w:val="22"/>
              </w:rPr>
            </w:pPr>
            <w:r>
              <w:rPr>
                <w:rFonts w:ascii="Calibri"/>
                <w:spacing w:val="-2"/>
                <w:sz w:val="22"/>
              </w:rPr>
              <w:t>7.502242</w:t>
            </w:r>
          </w:p>
        </w:tc>
        <w:tc>
          <w:tcPr>
            <w:tcW w:w="1055" w:type="dxa"/>
          </w:tcPr>
          <w:p>
            <w:pPr>
              <w:pStyle w:val="TableParagraph"/>
              <w:spacing w:line="264" w:lineRule="exact"/>
              <w:ind w:left="107"/>
              <w:rPr>
                <w:rFonts w:ascii="Calibri"/>
                <w:sz w:val="22"/>
              </w:rPr>
            </w:pPr>
            <w:r>
              <w:rPr>
                <w:rFonts w:ascii="Calibri"/>
                <w:spacing w:val="-2"/>
                <w:sz w:val="22"/>
              </w:rPr>
              <w:t>8.025353</w:t>
            </w:r>
          </w:p>
        </w:tc>
        <w:tc>
          <w:tcPr>
            <w:tcW w:w="1055" w:type="dxa"/>
          </w:tcPr>
          <w:p>
            <w:pPr>
              <w:pStyle w:val="TableParagraph"/>
              <w:spacing w:line="264" w:lineRule="exact"/>
              <w:ind w:right="110"/>
              <w:jc w:val="right"/>
              <w:rPr>
                <w:rFonts w:ascii="Calibri"/>
                <w:sz w:val="22"/>
              </w:rPr>
            </w:pPr>
            <w:r>
              <w:rPr>
                <w:rFonts w:ascii="Calibri"/>
                <w:spacing w:val="-2"/>
                <w:sz w:val="22"/>
              </w:rPr>
              <w:t>7.96259</w:t>
            </w:r>
          </w:p>
        </w:tc>
        <w:tc>
          <w:tcPr>
            <w:tcW w:w="1062" w:type="dxa"/>
          </w:tcPr>
          <w:p>
            <w:pPr>
              <w:pStyle w:val="TableParagraph"/>
              <w:spacing w:line="264" w:lineRule="exact"/>
              <w:ind w:left="114"/>
              <w:jc w:val="center"/>
              <w:rPr>
                <w:rFonts w:ascii="Calibri"/>
                <w:sz w:val="22"/>
              </w:rPr>
            </w:pPr>
            <w:r>
              <w:rPr>
                <w:rFonts w:ascii="Calibri"/>
                <w:spacing w:val="-2"/>
                <w:sz w:val="22"/>
              </w:rPr>
              <w:t>8.035765</w:t>
            </w:r>
          </w:p>
        </w:tc>
      </w:tr>
      <w:tr>
        <w:trPr>
          <w:trHeight w:val="300" w:hRule="atLeast"/>
        </w:trPr>
        <w:tc>
          <w:tcPr>
            <w:tcW w:w="903" w:type="dxa"/>
          </w:tcPr>
          <w:p>
            <w:pPr>
              <w:pStyle w:val="TableParagraph"/>
              <w:spacing w:line="264" w:lineRule="exact"/>
              <w:ind w:right="105"/>
              <w:jc w:val="right"/>
              <w:rPr>
                <w:rFonts w:ascii="Calibri"/>
                <w:sz w:val="22"/>
              </w:rPr>
            </w:pPr>
            <w:r>
              <w:rPr>
                <w:rFonts w:ascii="Calibri"/>
                <w:spacing w:val="-4"/>
                <w:sz w:val="22"/>
              </w:rPr>
              <w:t>1975</w:t>
            </w:r>
          </w:p>
        </w:tc>
        <w:tc>
          <w:tcPr>
            <w:tcW w:w="1054" w:type="dxa"/>
          </w:tcPr>
          <w:p>
            <w:pPr>
              <w:pStyle w:val="TableParagraph"/>
              <w:spacing w:line="264" w:lineRule="exact"/>
              <w:ind w:right="105"/>
              <w:jc w:val="right"/>
              <w:rPr>
                <w:rFonts w:ascii="Calibri"/>
                <w:sz w:val="22"/>
              </w:rPr>
            </w:pPr>
            <w:r>
              <w:rPr>
                <w:rFonts w:ascii="Calibri"/>
                <w:spacing w:val="-2"/>
                <w:sz w:val="22"/>
              </w:rPr>
              <w:t>9.974656</w:t>
            </w:r>
          </w:p>
        </w:tc>
        <w:tc>
          <w:tcPr>
            <w:tcW w:w="1110" w:type="dxa"/>
          </w:tcPr>
          <w:p>
            <w:pPr>
              <w:pStyle w:val="TableParagraph"/>
              <w:spacing w:line="264" w:lineRule="exact"/>
              <w:ind w:left="56" w:right="1"/>
              <w:jc w:val="center"/>
              <w:rPr>
                <w:rFonts w:ascii="Calibri"/>
                <w:sz w:val="22"/>
              </w:rPr>
            </w:pPr>
            <w:r>
              <w:rPr>
                <w:rFonts w:ascii="Calibri"/>
                <w:spacing w:val="-2"/>
                <w:sz w:val="22"/>
              </w:rPr>
              <w:t>3.314186</w:t>
            </w:r>
          </w:p>
        </w:tc>
        <w:tc>
          <w:tcPr>
            <w:tcW w:w="1055" w:type="dxa"/>
          </w:tcPr>
          <w:p>
            <w:pPr>
              <w:pStyle w:val="TableParagraph"/>
              <w:spacing w:line="264" w:lineRule="exact"/>
              <w:ind w:right="107"/>
              <w:jc w:val="right"/>
              <w:rPr>
                <w:rFonts w:ascii="Calibri"/>
                <w:sz w:val="22"/>
              </w:rPr>
            </w:pPr>
            <w:r>
              <w:rPr>
                <w:rFonts w:ascii="Calibri"/>
                <w:spacing w:val="-2"/>
                <w:sz w:val="22"/>
              </w:rPr>
              <w:t>7.735215</w:t>
            </w:r>
          </w:p>
        </w:tc>
        <w:tc>
          <w:tcPr>
            <w:tcW w:w="1055" w:type="dxa"/>
          </w:tcPr>
          <w:p>
            <w:pPr>
              <w:pStyle w:val="TableParagraph"/>
              <w:spacing w:line="264" w:lineRule="exact"/>
              <w:ind w:left="107"/>
              <w:rPr>
                <w:rFonts w:ascii="Calibri"/>
                <w:sz w:val="22"/>
              </w:rPr>
            </w:pPr>
            <w:r>
              <w:rPr>
                <w:rFonts w:ascii="Calibri"/>
                <w:spacing w:val="-2"/>
                <w:sz w:val="22"/>
              </w:rPr>
              <w:t>3.751854</w:t>
            </w:r>
          </w:p>
        </w:tc>
        <w:tc>
          <w:tcPr>
            <w:tcW w:w="1055" w:type="dxa"/>
          </w:tcPr>
          <w:p>
            <w:pPr>
              <w:pStyle w:val="TableParagraph"/>
              <w:spacing w:line="264" w:lineRule="exact"/>
              <w:ind w:right="110"/>
              <w:jc w:val="right"/>
              <w:rPr>
                <w:rFonts w:ascii="Calibri"/>
                <w:sz w:val="22"/>
              </w:rPr>
            </w:pPr>
            <w:r>
              <w:rPr>
                <w:rFonts w:ascii="Calibri"/>
                <w:spacing w:val="-2"/>
                <w:sz w:val="22"/>
              </w:rPr>
              <w:t>5.58912</w:t>
            </w:r>
          </w:p>
        </w:tc>
        <w:tc>
          <w:tcPr>
            <w:tcW w:w="1062" w:type="dxa"/>
          </w:tcPr>
          <w:p>
            <w:pPr>
              <w:pStyle w:val="TableParagraph"/>
              <w:spacing w:line="264" w:lineRule="exact"/>
              <w:ind w:left="114"/>
              <w:jc w:val="center"/>
              <w:rPr>
                <w:rFonts w:ascii="Calibri"/>
                <w:sz w:val="22"/>
              </w:rPr>
            </w:pPr>
            <w:r>
              <w:rPr>
                <w:rFonts w:ascii="Calibri"/>
                <w:spacing w:val="-2"/>
                <w:sz w:val="22"/>
              </w:rPr>
              <w:t>3.706228</w:t>
            </w:r>
          </w:p>
        </w:tc>
      </w:tr>
      <w:tr>
        <w:trPr>
          <w:trHeight w:val="299" w:hRule="atLeast"/>
        </w:trPr>
        <w:tc>
          <w:tcPr>
            <w:tcW w:w="903" w:type="dxa"/>
          </w:tcPr>
          <w:p>
            <w:pPr>
              <w:pStyle w:val="TableParagraph"/>
              <w:spacing w:line="264" w:lineRule="exact"/>
              <w:ind w:right="105"/>
              <w:jc w:val="right"/>
              <w:rPr>
                <w:rFonts w:ascii="Calibri"/>
                <w:sz w:val="22"/>
              </w:rPr>
            </w:pPr>
            <w:r>
              <w:rPr>
                <w:rFonts w:ascii="Calibri"/>
                <w:spacing w:val="-4"/>
                <w:sz w:val="22"/>
              </w:rPr>
              <w:t>1976</w:t>
            </w:r>
          </w:p>
        </w:tc>
        <w:tc>
          <w:tcPr>
            <w:tcW w:w="1054" w:type="dxa"/>
          </w:tcPr>
          <w:p>
            <w:pPr>
              <w:pStyle w:val="TableParagraph"/>
              <w:spacing w:line="264" w:lineRule="exact"/>
              <w:ind w:right="105"/>
              <w:jc w:val="right"/>
              <w:rPr>
                <w:rFonts w:ascii="Calibri"/>
                <w:sz w:val="22"/>
              </w:rPr>
            </w:pPr>
            <w:r>
              <w:rPr>
                <w:rFonts w:ascii="Calibri"/>
                <w:spacing w:val="-2"/>
                <w:sz w:val="22"/>
              </w:rPr>
              <w:t>10.19076</w:t>
            </w:r>
          </w:p>
        </w:tc>
        <w:tc>
          <w:tcPr>
            <w:tcW w:w="1110" w:type="dxa"/>
          </w:tcPr>
          <w:p>
            <w:pPr>
              <w:pStyle w:val="TableParagraph"/>
              <w:spacing w:line="264" w:lineRule="exact"/>
              <w:ind w:left="56" w:right="1"/>
              <w:jc w:val="center"/>
              <w:rPr>
                <w:rFonts w:ascii="Calibri"/>
                <w:sz w:val="22"/>
              </w:rPr>
            </w:pPr>
            <w:r>
              <w:rPr>
                <w:rFonts w:ascii="Calibri"/>
                <w:spacing w:val="-2"/>
                <w:sz w:val="22"/>
              </w:rPr>
              <w:t>3.206803</w:t>
            </w:r>
          </w:p>
        </w:tc>
        <w:tc>
          <w:tcPr>
            <w:tcW w:w="1055" w:type="dxa"/>
          </w:tcPr>
          <w:p>
            <w:pPr>
              <w:pStyle w:val="TableParagraph"/>
              <w:spacing w:line="264" w:lineRule="exact"/>
              <w:ind w:right="107"/>
              <w:jc w:val="right"/>
              <w:rPr>
                <w:rFonts w:ascii="Calibri"/>
                <w:sz w:val="22"/>
              </w:rPr>
            </w:pPr>
            <w:r>
              <w:rPr>
                <w:rFonts w:ascii="Calibri"/>
                <w:spacing w:val="-2"/>
                <w:sz w:val="22"/>
              </w:rPr>
              <w:t>7.757479</w:t>
            </w:r>
          </w:p>
        </w:tc>
        <w:tc>
          <w:tcPr>
            <w:tcW w:w="1055" w:type="dxa"/>
          </w:tcPr>
          <w:p>
            <w:pPr>
              <w:pStyle w:val="TableParagraph"/>
              <w:spacing w:line="264" w:lineRule="exact"/>
              <w:ind w:left="107"/>
              <w:rPr>
                <w:rFonts w:ascii="Calibri"/>
                <w:sz w:val="22"/>
              </w:rPr>
            </w:pPr>
            <w:r>
              <w:rPr>
                <w:rFonts w:ascii="Calibri"/>
                <w:spacing w:val="-2"/>
                <w:sz w:val="22"/>
              </w:rPr>
              <w:t>5.554509</w:t>
            </w:r>
          </w:p>
        </w:tc>
        <w:tc>
          <w:tcPr>
            <w:tcW w:w="1055" w:type="dxa"/>
          </w:tcPr>
          <w:p>
            <w:pPr>
              <w:pStyle w:val="TableParagraph"/>
              <w:spacing w:line="264" w:lineRule="exact"/>
              <w:ind w:left="106"/>
              <w:rPr>
                <w:rFonts w:ascii="Calibri"/>
                <w:sz w:val="22"/>
              </w:rPr>
            </w:pPr>
            <w:r>
              <w:rPr>
                <w:rFonts w:ascii="Calibri"/>
                <w:spacing w:val="-2"/>
                <w:sz w:val="22"/>
              </w:rPr>
              <w:t>5.776103</w:t>
            </w:r>
          </w:p>
        </w:tc>
        <w:tc>
          <w:tcPr>
            <w:tcW w:w="1062" w:type="dxa"/>
          </w:tcPr>
          <w:p>
            <w:pPr>
              <w:pStyle w:val="TableParagraph"/>
              <w:spacing w:line="264" w:lineRule="exact"/>
              <w:ind w:left="114"/>
              <w:jc w:val="center"/>
              <w:rPr>
                <w:rFonts w:ascii="Calibri"/>
                <w:sz w:val="22"/>
              </w:rPr>
            </w:pPr>
            <w:r>
              <w:rPr>
                <w:rFonts w:ascii="Calibri"/>
                <w:spacing w:val="-2"/>
                <w:sz w:val="22"/>
              </w:rPr>
              <w:t>3.591818</w:t>
            </w:r>
          </w:p>
        </w:tc>
      </w:tr>
      <w:tr>
        <w:trPr>
          <w:trHeight w:val="299" w:hRule="atLeast"/>
        </w:trPr>
        <w:tc>
          <w:tcPr>
            <w:tcW w:w="903" w:type="dxa"/>
          </w:tcPr>
          <w:p>
            <w:pPr>
              <w:pStyle w:val="TableParagraph"/>
              <w:spacing w:line="264" w:lineRule="exact"/>
              <w:ind w:right="105"/>
              <w:jc w:val="right"/>
              <w:rPr>
                <w:rFonts w:ascii="Calibri"/>
                <w:sz w:val="22"/>
              </w:rPr>
            </w:pPr>
            <w:r>
              <w:rPr>
                <w:rFonts w:ascii="Calibri"/>
                <w:spacing w:val="-4"/>
                <w:sz w:val="22"/>
              </w:rPr>
              <w:t>1977</w:t>
            </w:r>
          </w:p>
        </w:tc>
        <w:tc>
          <w:tcPr>
            <w:tcW w:w="1054" w:type="dxa"/>
          </w:tcPr>
          <w:p>
            <w:pPr>
              <w:pStyle w:val="TableParagraph"/>
              <w:spacing w:line="264" w:lineRule="exact"/>
              <w:ind w:right="105"/>
              <w:jc w:val="right"/>
              <w:rPr>
                <w:rFonts w:ascii="Calibri"/>
                <w:sz w:val="22"/>
              </w:rPr>
            </w:pPr>
            <w:r>
              <w:rPr>
                <w:rFonts w:ascii="Calibri"/>
                <w:spacing w:val="-2"/>
                <w:sz w:val="22"/>
              </w:rPr>
              <w:t>10.35839</w:t>
            </w:r>
          </w:p>
        </w:tc>
        <w:tc>
          <w:tcPr>
            <w:tcW w:w="1110" w:type="dxa"/>
          </w:tcPr>
          <w:p>
            <w:pPr>
              <w:pStyle w:val="TableParagraph"/>
              <w:spacing w:line="264" w:lineRule="exact"/>
              <w:ind w:left="56" w:right="1"/>
              <w:jc w:val="center"/>
              <w:rPr>
                <w:rFonts w:ascii="Calibri"/>
                <w:sz w:val="22"/>
              </w:rPr>
            </w:pPr>
            <w:r>
              <w:rPr>
                <w:rFonts w:ascii="Calibri"/>
                <w:spacing w:val="-2"/>
                <w:sz w:val="22"/>
              </w:rPr>
              <w:t>2.251292</w:t>
            </w:r>
          </w:p>
        </w:tc>
        <w:tc>
          <w:tcPr>
            <w:tcW w:w="1055" w:type="dxa"/>
          </w:tcPr>
          <w:p>
            <w:pPr>
              <w:pStyle w:val="TableParagraph"/>
              <w:spacing w:line="264" w:lineRule="exact"/>
              <w:ind w:right="107"/>
              <w:jc w:val="right"/>
              <w:rPr>
                <w:rFonts w:ascii="Calibri"/>
                <w:sz w:val="22"/>
              </w:rPr>
            </w:pPr>
            <w:r>
              <w:rPr>
                <w:rFonts w:ascii="Calibri"/>
                <w:spacing w:val="-2"/>
                <w:sz w:val="22"/>
              </w:rPr>
              <w:t>7.836528</w:t>
            </w:r>
          </w:p>
        </w:tc>
        <w:tc>
          <w:tcPr>
            <w:tcW w:w="1055" w:type="dxa"/>
          </w:tcPr>
          <w:p>
            <w:pPr>
              <w:pStyle w:val="TableParagraph"/>
              <w:spacing w:line="264" w:lineRule="exact"/>
              <w:ind w:left="107"/>
              <w:rPr>
                <w:rFonts w:ascii="Calibri"/>
                <w:sz w:val="22"/>
              </w:rPr>
            </w:pPr>
            <w:r>
              <w:rPr>
                <w:rFonts w:ascii="Calibri"/>
                <w:spacing w:val="-2"/>
                <w:sz w:val="22"/>
              </w:rPr>
              <w:t>6.473119</w:t>
            </w:r>
          </w:p>
        </w:tc>
        <w:tc>
          <w:tcPr>
            <w:tcW w:w="1055" w:type="dxa"/>
          </w:tcPr>
          <w:p>
            <w:pPr>
              <w:pStyle w:val="TableParagraph"/>
              <w:spacing w:line="264" w:lineRule="exact"/>
              <w:ind w:left="106"/>
              <w:rPr>
                <w:rFonts w:ascii="Calibri"/>
                <w:sz w:val="22"/>
              </w:rPr>
            </w:pPr>
            <w:r>
              <w:rPr>
                <w:rFonts w:ascii="Calibri"/>
                <w:spacing w:val="-2"/>
                <w:sz w:val="22"/>
              </w:rPr>
              <w:t>6.284134</w:t>
            </w:r>
          </w:p>
        </w:tc>
        <w:tc>
          <w:tcPr>
            <w:tcW w:w="1062" w:type="dxa"/>
          </w:tcPr>
          <w:p>
            <w:pPr>
              <w:pStyle w:val="TableParagraph"/>
              <w:spacing w:line="264" w:lineRule="exact"/>
              <w:ind w:left="224"/>
              <w:jc w:val="center"/>
              <w:rPr>
                <w:rFonts w:ascii="Calibri"/>
                <w:sz w:val="22"/>
              </w:rPr>
            </w:pPr>
            <w:r>
              <w:rPr>
                <w:rFonts w:ascii="Calibri"/>
                <w:spacing w:val="-2"/>
                <w:sz w:val="22"/>
              </w:rPr>
              <w:t>6.10457</w:t>
            </w:r>
          </w:p>
        </w:tc>
      </w:tr>
      <w:tr>
        <w:trPr>
          <w:trHeight w:val="260" w:hRule="atLeast"/>
        </w:trPr>
        <w:tc>
          <w:tcPr>
            <w:tcW w:w="903" w:type="dxa"/>
          </w:tcPr>
          <w:p>
            <w:pPr>
              <w:pStyle w:val="TableParagraph"/>
              <w:spacing w:line="240" w:lineRule="exact"/>
              <w:ind w:right="105"/>
              <w:jc w:val="right"/>
              <w:rPr>
                <w:rFonts w:ascii="Calibri"/>
                <w:sz w:val="22"/>
              </w:rPr>
            </w:pPr>
            <w:r>
              <w:rPr>
                <w:rFonts w:ascii="Calibri"/>
                <w:spacing w:val="-4"/>
                <w:sz w:val="22"/>
              </w:rPr>
              <w:t>1978</w:t>
            </w:r>
          </w:p>
        </w:tc>
        <w:tc>
          <w:tcPr>
            <w:tcW w:w="1054" w:type="dxa"/>
          </w:tcPr>
          <w:p>
            <w:pPr>
              <w:pStyle w:val="TableParagraph"/>
              <w:spacing w:line="240" w:lineRule="exact"/>
              <w:ind w:right="105"/>
              <w:jc w:val="right"/>
              <w:rPr>
                <w:rFonts w:ascii="Calibri"/>
                <w:sz w:val="22"/>
              </w:rPr>
            </w:pPr>
            <w:r>
              <w:rPr>
                <w:rFonts w:ascii="Calibri"/>
                <w:spacing w:val="-2"/>
                <w:sz w:val="22"/>
              </w:rPr>
              <w:t>10.44988</w:t>
            </w:r>
          </w:p>
        </w:tc>
        <w:tc>
          <w:tcPr>
            <w:tcW w:w="1110" w:type="dxa"/>
          </w:tcPr>
          <w:p>
            <w:pPr>
              <w:pStyle w:val="TableParagraph"/>
              <w:spacing w:line="240" w:lineRule="exact"/>
              <w:ind w:left="56" w:right="1"/>
              <w:jc w:val="center"/>
              <w:rPr>
                <w:rFonts w:ascii="Calibri"/>
                <w:sz w:val="22"/>
              </w:rPr>
            </w:pPr>
            <w:r>
              <w:rPr>
                <w:rFonts w:ascii="Calibri"/>
                <w:spacing w:val="-2"/>
                <w:sz w:val="22"/>
              </w:rPr>
              <w:t>6.787845</w:t>
            </w:r>
          </w:p>
        </w:tc>
        <w:tc>
          <w:tcPr>
            <w:tcW w:w="1055" w:type="dxa"/>
          </w:tcPr>
          <w:p>
            <w:pPr>
              <w:pStyle w:val="TableParagraph"/>
              <w:spacing w:line="240" w:lineRule="exact"/>
              <w:ind w:right="107"/>
              <w:jc w:val="right"/>
              <w:rPr>
                <w:rFonts w:ascii="Calibri"/>
                <w:sz w:val="22"/>
              </w:rPr>
            </w:pPr>
            <w:r>
              <w:rPr>
                <w:rFonts w:ascii="Calibri"/>
                <w:spacing w:val="-2"/>
                <w:sz w:val="22"/>
              </w:rPr>
              <w:t>7.959695</w:t>
            </w:r>
          </w:p>
        </w:tc>
        <w:tc>
          <w:tcPr>
            <w:tcW w:w="1055" w:type="dxa"/>
          </w:tcPr>
          <w:p>
            <w:pPr>
              <w:pStyle w:val="TableParagraph"/>
              <w:spacing w:line="240" w:lineRule="exact"/>
              <w:ind w:left="107"/>
              <w:rPr>
                <w:rFonts w:ascii="Calibri"/>
                <w:sz w:val="22"/>
              </w:rPr>
            </w:pPr>
            <w:r>
              <w:rPr>
                <w:rFonts w:ascii="Calibri"/>
                <w:spacing w:val="-2"/>
                <w:sz w:val="22"/>
              </w:rPr>
              <w:t>7.777751</w:t>
            </w:r>
          </w:p>
        </w:tc>
        <w:tc>
          <w:tcPr>
            <w:tcW w:w="1055" w:type="dxa"/>
          </w:tcPr>
          <w:p>
            <w:pPr>
              <w:pStyle w:val="TableParagraph"/>
              <w:spacing w:line="240" w:lineRule="exact"/>
              <w:ind w:left="106"/>
              <w:rPr>
                <w:rFonts w:ascii="Calibri"/>
                <w:sz w:val="22"/>
              </w:rPr>
            </w:pPr>
            <w:r>
              <w:rPr>
                <w:rFonts w:ascii="Calibri"/>
                <w:spacing w:val="-2"/>
                <w:sz w:val="22"/>
              </w:rPr>
              <w:t>7.148267</w:t>
            </w:r>
          </w:p>
        </w:tc>
        <w:tc>
          <w:tcPr>
            <w:tcW w:w="1062" w:type="dxa"/>
          </w:tcPr>
          <w:p>
            <w:pPr>
              <w:pStyle w:val="TableParagraph"/>
              <w:spacing w:line="240" w:lineRule="exact"/>
              <w:ind w:left="114"/>
              <w:jc w:val="center"/>
              <w:rPr>
                <w:rFonts w:ascii="Calibri"/>
                <w:sz w:val="22"/>
              </w:rPr>
            </w:pPr>
            <w:r>
              <w:rPr>
                <w:rFonts w:ascii="Calibri"/>
                <w:spacing w:val="-2"/>
                <w:sz w:val="22"/>
              </w:rPr>
              <w:t>7.332631</w:t>
            </w:r>
          </w:p>
        </w:tc>
      </w:tr>
    </w:tbl>
    <w:p>
      <w:pPr>
        <w:spacing w:after="0" w:line="240" w:lineRule="exact"/>
        <w:jc w:val="center"/>
        <w:rPr>
          <w:rFonts w:ascii="Calibri"/>
          <w:sz w:val="22"/>
        </w:rPr>
        <w:sectPr>
          <w:type w:val="continuous"/>
          <w:pgSz w:w="11910" w:h="16840"/>
          <w:pgMar w:header="0" w:footer="979" w:top="1480" w:bottom="1383" w:left="280" w:right="0"/>
        </w:sectPr>
      </w:pPr>
    </w:p>
    <w:tbl>
      <w:tblPr>
        <w:tblW w:w="0" w:type="auto"/>
        <w:jc w:val="left"/>
        <w:tblInd w:w="10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6"/>
        <w:gridCol w:w="1081"/>
        <w:gridCol w:w="1081"/>
        <w:gridCol w:w="1053"/>
        <w:gridCol w:w="1053"/>
        <w:gridCol w:w="1085"/>
        <w:gridCol w:w="1026"/>
      </w:tblGrid>
      <w:tr>
        <w:trPr>
          <w:trHeight w:val="260" w:hRule="atLeast"/>
        </w:trPr>
        <w:tc>
          <w:tcPr>
            <w:tcW w:w="606" w:type="dxa"/>
          </w:tcPr>
          <w:p>
            <w:pPr>
              <w:pStyle w:val="TableParagraph"/>
              <w:spacing w:line="225" w:lineRule="exact"/>
              <w:ind w:right="56"/>
              <w:jc w:val="center"/>
              <w:rPr>
                <w:rFonts w:ascii="Calibri"/>
                <w:sz w:val="22"/>
              </w:rPr>
            </w:pPr>
            <w:r>
              <w:rPr>
                <w:rFonts w:ascii="Calibri"/>
                <w:spacing w:val="-4"/>
                <w:sz w:val="22"/>
              </w:rPr>
              <w:t>1979</w:t>
            </w:r>
          </w:p>
        </w:tc>
        <w:tc>
          <w:tcPr>
            <w:tcW w:w="1081" w:type="dxa"/>
          </w:tcPr>
          <w:p>
            <w:pPr>
              <w:pStyle w:val="TableParagraph"/>
              <w:spacing w:line="225" w:lineRule="exact"/>
              <w:ind w:right="134"/>
              <w:jc w:val="right"/>
              <w:rPr>
                <w:rFonts w:ascii="Calibri"/>
                <w:sz w:val="22"/>
              </w:rPr>
            </w:pPr>
            <w:r>
              <w:rPr>
                <w:rFonts w:ascii="Calibri"/>
                <w:spacing w:val="-2"/>
                <w:sz w:val="22"/>
              </w:rPr>
              <w:t>10.64482</w:t>
            </w:r>
          </w:p>
        </w:tc>
        <w:tc>
          <w:tcPr>
            <w:tcW w:w="1081" w:type="dxa"/>
          </w:tcPr>
          <w:p>
            <w:pPr>
              <w:pStyle w:val="TableParagraph"/>
              <w:spacing w:line="225" w:lineRule="exact"/>
              <w:ind w:right="107"/>
              <w:jc w:val="right"/>
              <w:rPr>
                <w:rFonts w:ascii="Calibri"/>
                <w:sz w:val="22"/>
              </w:rPr>
            </w:pPr>
            <w:r>
              <w:rPr>
                <w:rFonts w:ascii="Calibri"/>
                <w:spacing w:val="-2"/>
                <w:sz w:val="22"/>
              </w:rPr>
              <w:t>5.884436</w:t>
            </w:r>
          </w:p>
        </w:tc>
        <w:tc>
          <w:tcPr>
            <w:tcW w:w="1053" w:type="dxa"/>
          </w:tcPr>
          <w:p>
            <w:pPr>
              <w:pStyle w:val="TableParagraph"/>
              <w:spacing w:line="225" w:lineRule="exact"/>
              <w:ind w:right="104"/>
              <w:jc w:val="right"/>
              <w:rPr>
                <w:rFonts w:ascii="Calibri"/>
                <w:sz w:val="22"/>
              </w:rPr>
            </w:pPr>
            <w:r>
              <w:rPr>
                <w:rFonts w:ascii="Calibri"/>
                <w:spacing w:val="-2"/>
                <w:sz w:val="22"/>
              </w:rPr>
              <w:t>8.056141</w:t>
            </w:r>
          </w:p>
        </w:tc>
        <w:tc>
          <w:tcPr>
            <w:tcW w:w="1053" w:type="dxa"/>
          </w:tcPr>
          <w:p>
            <w:pPr>
              <w:pStyle w:val="TableParagraph"/>
              <w:spacing w:line="225" w:lineRule="exact"/>
              <w:ind w:left="115" w:right="1"/>
              <w:jc w:val="center"/>
              <w:rPr>
                <w:rFonts w:ascii="Calibri"/>
                <w:sz w:val="22"/>
              </w:rPr>
            </w:pPr>
            <w:r>
              <w:rPr>
                <w:rFonts w:ascii="Calibri"/>
                <w:spacing w:val="-2"/>
                <w:sz w:val="22"/>
              </w:rPr>
              <w:t>6.91721</w:t>
            </w:r>
          </w:p>
        </w:tc>
        <w:tc>
          <w:tcPr>
            <w:tcW w:w="1085" w:type="dxa"/>
          </w:tcPr>
          <w:p>
            <w:pPr>
              <w:pStyle w:val="TableParagraph"/>
              <w:spacing w:line="225" w:lineRule="exact"/>
              <w:ind w:left="84" w:right="107"/>
              <w:jc w:val="center"/>
              <w:rPr>
                <w:rFonts w:ascii="Calibri"/>
                <w:sz w:val="22"/>
              </w:rPr>
            </w:pPr>
            <w:r>
              <w:rPr>
                <w:rFonts w:ascii="Calibri"/>
                <w:spacing w:val="-2"/>
                <w:sz w:val="22"/>
              </w:rPr>
              <w:t>7.492259</w:t>
            </w:r>
          </w:p>
        </w:tc>
        <w:tc>
          <w:tcPr>
            <w:tcW w:w="1026" w:type="dxa"/>
          </w:tcPr>
          <w:p>
            <w:pPr>
              <w:pStyle w:val="TableParagraph"/>
              <w:spacing w:line="225" w:lineRule="exact"/>
              <w:ind w:left="99"/>
              <w:jc w:val="center"/>
              <w:rPr>
                <w:rFonts w:ascii="Calibri"/>
                <w:sz w:val="22"/>
              </w:rPr>
            </w:pPr>
            <w:r>
              <w:rPr>
                <w:rFonts w:ascii="Calibri"/>
                <w:spacing w:val="-2"/>
                <w:sz w:val="22"/>
              </w:rPr>
              <w:t>7.620362</w:t>
            </w:r>
          </w:p>
        </w:tc>
      </w:tr>
      <w:tr>
        <w:trPr>
          <w:trHeight w:val="300" w:hRule="atLeast"/>
        </w:trPr>
        <w:tc>
          <w:tcPr>
            <w:tcW w:w="606" w:type="dxa"/>
          </w:tcPr>
          <w:p>
            <w:pPr>
              <w:pStyle w:val="TableParagraph"/>
              <w:spacing w:line="264" w:lineRule="exact"/>
              <w:ind w:right="56"/>
              <w:jc w:val="center"/>
              <w:rPr>
                <w:rFonts w:ascii="Calibri"/>
                <w:sz w:val="22"/>
              </w:rPr>
            </w:pPr>
            <w:r>
              <w:rPr>
                <w:rFonts w:ascii="Calibri"/>
                <w:spacing w:val="-4"/>
                <w:sz w:val="22"/>
              </w:rPr>
              <w:t>1980</w:t>
            </w:r>
          </w:p>
        </w:tc>
        <w:tc>
          <w:tcPr>
            <w:tcW w:w="1081" w:type="dxa"/>
          </w:tcPr>
          <w:p>
            <w:pPr>
              <w:pStyle w:val="TableParagraph"/>
              <w:spacing w:line="264" w:lineRule="exact"/>
              <w:ind w:right="134"/>
              <w:jc w:val="right"/>
              <w:rPr>
                <w:rFonts w:ascii="Calibri"/>
                <w:sz w:val="22"/>
              </w:rPr>
            </w:pPr>
            <w:r>
              <w:rPr>
                <w:rFonts w:ascii="Calibri"/>
                <w:spacing w:val="-2"/>
                <w:sz w:val="22"/>
              </w:rPr>
              <w:t>10.8124</w:t>
            </w:r>
          </w:p>
        </w:tc>
        <w:tc>
          <w:tcPr>
            <w:tcW w:w="1081" w:type="dxa"/>
          </w:tcPr>
          <w:p>
            <w:pPr>
              <w:pStyle w:val="TableParagraph"/>
              <w:spacing w:line="264" w:lineRule="exact"/>
              <w:ind w:right="107"/>
              <w:jc w:val="right"/>
              <w:rPr>
                <w:rFonts w:ascii="Calibri"/>
                <w:sz w:val="22"/>
              </w:rPr>
            </w:pPr>
            <w:r>
              <w:rPr>
                <w:rFonts w:ascii="Calibri"/>
                <w:spacing w:val="-2"/>
                <w:sz w:val="22"/>
              </w:rPr>
              <w:t>5.542439</w:t>
            </w:r>
          </w:p>
        </w:tc>
        <w:tc>
          <w:tcPr>
            <w:tcW w:w="1053" w:type="dxa"/>
          </w:tcPr>
          <w:p>
            <w:pPr>
              <w:pStyle w:val="TableParagraph"/>
              <w:spacing w:line="264" w:lineRule="exact"/>
              <w:ind w:right="104"/>
              <w:jc w:val="right"/>
              <w:rPr>
                <w:rFonts w:ascii="Calibri"/>
                <w:sz w:val="22"/>
              </w:rPr>
            </w:pPr>
            <w:r>
              <w:rPr>
                <w:rFonts w:ascii="Calibri"/>
                <w:spacing w:val="-2"/>
                <w:sz w:val="22"/>
              </w:rPr>
              <w:t>8.194257</w:t>
            </w:r>
          </w:p>
        </w:tc>
        <w:tc>
          <w:tcPr>
            <w:tcW w:w="1053" w:type="dxa"/>
          </w:tcPr>
          <w:p>
            <w:pPr>
              <w:pStyle w:val="TableParagraph"/>
              <w:spacing w:line="264" w:lineRule="exact"/>
              <w:ind w:left="5" w:right="1"/>
              <w:jc w:val="center"/>
              <w:rPr>
                <w:rFonts w:ascii="Calibri"/>
                <w:sz w:val="22"/>
              </w:rPr>
            </w:pPr>
            <w:r>
              <w:rPr>
                <w:rFonts w:ascii="Calibri"/>
                <w:spacing w:val="-2"/>
                <w:sz w:val="22"/>
              </w:rPr>
              <w:t>7.764423</w:t>
            </w:r>
          </w:p>
        </w:tc>
        <w:tc>
          <w:tcPr>
            <w:tcW w:w="1085" w:type="dxa"/>
          </w:tcPr>
          <w:p>
            <w:pPr>
              <w:pStyle w:val="TableParagraph"/>
              <w:spacing w:line="264" w:lineRule="exact"/>
              <w:ind w:left="84" w:right="107"/>
              <w:jc w:val="center"/>
              <w:rPr>
                <w:rFonts w:ascii="Calibri"/>
                <w:sz w:val="22"/>
              </w:rPr>
            </w:pPr>
            <w:r>
              <w:rPr>
                <w:rFonts w:ascii="Calibri"/>
                <w:spacing w:val="-2"/>
                <w:sz w:val="22"/>
              </w:rPr>
              <w:t>7.784224</w:t>
            </w:r>
          </w:p>
        </w:tc>
        <w:tc>
          <w:tcPr>
            <w:tcW w:w="1026" w:type="dxa"/>
          </w:tcPr>
          <w:p>
            <w:pPr>
              <w:pStyle w:val="TableParagraph"/>
              <w:spacing w:line="264" w:lineRule="exact"/>
              <w:ind w:left="99"/>
              <w:jc w:val="center"/>
              <w:rPr>
                <w:rFonts w:ascii="Calibri"/>
                <w:sz w:val="22"/>
              </w:rPr>
            </w:pPr>
            <w:r>
              <w:rPr>
                <w:rFonts w:ascii="Calibri"/>
                <w:spacing w:val="-2"/>
                <w:sz w:val="22"/>
              </w:rPr>
              <w:t>7.778965</w:t>
            </w:r>
          </w:p>
        </w:tc>
      </w:tr>
      <w:tr>
        <w:trPr>
          <w:trHeight w:val="300" w:hRule="atLeast"/>
        </w:trPr>
        <w:tc>
          <w:tcPr>
            <w:tcW w:w="606" w:type="dxa"/>
          </w:tcPr>
          <w:p>
            <w:pPr>
              <w:pStyle w:val="TableParagraph"/>
              <w:spacing w:line="264" w:lineRule="exact"/>
              <w:ind w:right="56"/>
              <w:jc w:val="center"/>
              <w:rPr>
                <w:rFonts w:ascii="Calibri"/>
                <w:sz w:val="22"/>
              </w:rPr>
            </w:pPr>
            <w:r>
              <w:rPr>
                <w:rFonts w:ascii="Calibri"/>
                <w:spacing w:val="-4"/>
                <w:sz w:val="22"/>
              </w:rPr>
              <w:t>1981</w:t>
            </w:r>
          </w:p>
        </w:tc>
        <w:tc>
          <w:tcPr>
            <w:tcW w:w="1081" w:type="dxa"/>
          </w:tcPr>
          <w:p>
            <w:pPr>
              <w:pStyle w:val="TableParagraph"/>
              <w:spacing w:line="264" w:lineRule="exact"/>
              <w:ind w:right="133"/>
              <w:jc w:val="right"/>
              <w:rPr>
                <w:rFonts w:ascii="Calibri"/>
                <w:sz w:val="22"/>
              </w:rPr>
            </w:pPr>
            <w:r>
              <w:rPr>
                <w:rFonts w:ascii="Calibri"/>
                <w:spacing w:val="-2"/>
                <w:sz w:val="22"/>
              </w:rPr>
              <w:t>10.771</w:t>
            </w:r>
          </w:p>
        </w:tc>
        <w:tc>
          <w:tcPr>
            <w:tcW w:w="1081" w:type="dxa"/>
          </w:tcPr>
          <w:p>
            <w:pPr>
              <w:pStyle w:val="TableParagraph"/>
              <w:spacing w:line="264" w:lineRule="exact"/>
              <w:ind w:right="107"/>
              <w:jc w:val="right"/>
              <w:rPr>
                <w:rFonts w:ascii="Calibri"/>
                <w:sz w:val="22"/>
              </w:rPr>
            </w:pPr>
            <w:r>
              <w:rPr>
                <w:rFonts w:ascii="Calibri"/>
                <w:spacing w:val="-2"/>
                <w:sz w:val="22"/>
              </w:rPr>
              <w:t>6.140746</w:t>
            </w:r>
          </w:p>
        </w:tc>
        <w:tc>
          <w:tcPr>
            <w:tcW w:w="1053" w:type="dxa"/>
          </w:tcPr>
          <w:p>
            <w:pPr>
              <w:pStyle w:val="TableParagraph"/>
              <w:spacing w:line="264" w:lineRule="exact"/>
              <w:ind w:right="104"/>
              <w:jc w:val="right"/>
              <w:rPr>
                <w:rFonts w:ascii="Calibri"/>
                <w:sz w:val="22"/>
              </w:rPr>
            </w:pPr>
            <w:r>
              <w:rPr>
                <w:rFonts w:ascii="Calibri"/>
                <w:spacing w:val="-2"/>
                <w:sz w:val="22"/>
              </w:rPr>
              <w:t>8.231616</w:t>
            </w:r>
          </w:p>
        </w:tc>
        <w:tc>
          <w:tcPr>
            <w:tcW w:w="1053" w:type="dxa"/>
          </w:tcPr>
          <w:p>
            <w:pPr>
              <w:pStyle w:val="TableParagraph"/>
              <w:spacing w:line="264" w:lineRule="exact"/>
              <w:ind w:left="115" w:right="1"/>
              <w:jc w:val="center"/>
              <w:rPr>
                <w:rFonts w:ascii="Calibri"/>
                <w:sz w:val="22"/>
              </w:rPr>
            </w:pPr>
            <w:r>
              <w:rPr>
                <w:rFonts w:ascii="Calibri"/>
                <w:spacing w:val="-2"/>
                <w:sz w:val="22"/>
              </w:rPr>
              <w:t>8.29365</w:t>
            </w:r>
          </w:p>
        </w:tc>
        <w:tc>
          <w:tcPr>
            <w:tcW w:w="1085" w:type="dxa"/>
          </w:tcPr>
          <w:p>
            <w:pPr>
              <w:pStyle w:val="TableParagraph"/>
              <w:spacing w:line="264" w:lineRule="exact"/>
              <w:ind w:left="84" w:right="107"/>
              <w:jc w:val="center"/>
              <w:rPr>
                <w:rFonts w:ascii="Calibri"/>
                <w:sz w:val="22"/>
              </w:rPr>
            </w:pPr>
            <w:r>
              <w:rPr>
                <w:rFonts w:ascii="Calibri"/>
                <w:spacing w:val="-2"/>
                <w:sz w:val="22"/>
              </w:rPr>
              <w:t>8.013277</w:t>
            </w:r>
          </w:p>
        </w:tc>
        <w:tc>
          <w:tcPr>
            <w:tcW w:w="1026" w:type="dxa"/>
          </w:tcPr>
          <w:p>
            <w:pPr>
              <w:pStyle w:val="TableParagraph"/>
              <w:spacing w:line="264" w:lineRule="exact"/>
              <w:ind w:left="99"/>
              <w:jc w:val="center"/>
              <w:rPr>
                <w:rFonts w:ascii="Calibri"/>
                <w:sz w:val="22"/>
              </w:rPr>
            </w:pPr>
            <w:r>
              <w:rPr>
                <w:rFonts w:ascii="Calibri"/>
                <w:spacing w:val="-2"/>
                <w:sz w:val="22"/>
              </w:rPr>
              <w:t>8.018625</w:t>
            </w:r>
          </w:p>
        </w:tc>
      </w:tr>
      <w:tr>
        <w:trPr>
          <w:trHeight w:val="300" w:hRule="atLeast"/>
        </w:trPr>
        <w:tc>
          <w:tcPr>
            <w:tcW w:w="606" w:type="dxa"/>
          </w:tcPr>
          <w:p>
            <w:pPr>
              <w:pStyle w:val="TableParagraph"/>
              <w:spacing w:line="264" w:lineRule="exact"/>
              <w:ind w:right="56"/>
              <w:jc w:val="center"/>
              <w:rPr>
                <w:rFonts w:ascii="Calibri"/>
                <w:sz w:val="22"/>
              </w:rPr>
            </w:pPr>
            <w:r>
              <w:rPr>
                <w:rFonts w:ascii="Calibri"/>
                <w:spacing w:val="-4"/>
                <w:sz w:val="22"/>
              </w:rPr>
              <w:t>1982</w:t>
            </w:r>
          </w:p>
        </w:tc>
        <w:tc>
          <w:tcPr>
            <w:tcW w:w="1081" w:type="dxa"/>
          </w:tcPr>
          <w:p>
            <w:pPr>
              <w:pStyle w:val="TableParagraph"/>
              <w:spacing w:line="264" w:lineRule="exact"/>
              <w:ind w:right="134"/>
              <w:jc w:val="right"/>
              <w:rPr>
                <w:rFonts w:ascii="Calibri"/>
                <w:sz w:val="22"/>
              </w:rPr>
            </w:pPr>
            <w:r>
              <w:rPr>
                <w:rFonts w:ascii="Calibri"/>
                <w:spacing w:val="-2"/>
                <w:sz w:val="22"/>
              </w:rPr>
              <w:t>10.80099</w:t>
            </w:r>
          </w:p>
        </w:tc>
        <w:tc>
          <w:tcPr>
            <w:tcW w:w="1081" w:type="dxa"/>
          </w:tcPr>
          <w:p>
            <w:pPr>
              <w:pStyle w:val="TableParagraph"/>
              <w:spacing w:line="264" w:lineRule="exact"/>
              <w:ind w:right="107"/>
              <w:jc w:val="right"/>
              <w:rPr>
                <w:rFonts w:ascii="Calibri"/>
                <w:sz w:val="22"/>
              </w:rPr>
            </w:pPr>
            <w:r>
              <w:rPr>
                <w:rFonts w:ascii="Calibri"/>
                <w:spacing w:val="-2"/>
                <w:sz w:val="22"/>
              </w:rPr>
              <w:t>8.77774</w:t>
            </w:r>
          </w:p>
        </w:tc>
        <w:tc>
          <w:tcPr>
            <w:tcW w:w="1053" w:type="dxa"/>
          </w:tcPr>
          <w:p>
            <w:pPr>
              <w:pStyle w:val="TableParagraph"/>
              <w:spacing w:line="264" w:lineRule="exact"/>
              <w:ind w:right="104"/>
              <w:jc w:val="right"/>
              <w:rPr>
                <w:rFonts w:ascii="Calibri"/>
                <w:sz w:val="22"/>
              </w:rPr>
            </w:pPr>
            <w:r>
              <w:rPr>
                <w:rFonts w:ascii="Calibri"/>
                <w:spacing w:val="-2"/>
                <w:sz w:val="22"/>
              </w:rPr>
              <w:t>8.590964</w:t>
            </w:r>
          </w:p>
        </w:tc>
        <w:tc>
          <w:tcPr>
            <w:tcW w:w="1053" w:type="dxa"/>
          </w:tcPr>
          <w:p>
            <w:pPr>
              <w:pStyle w:val="TableParagraph"/>
              <w:spacing w:line="264" w:lineRule="exact"/>
              <w:ind w:left="5" w:right="1"/>
              <w:jc w:val="center"/>
              <w:rPr>
                <w:rFonts w:ascii="Calibri"/>
                <w:sz w:val="22"/>
              </w:rPr>
            </w:pPr>
            <w:r>
              <w:rPr>
                <w:rFonts w:ascii="Calibri"/>
                <w:spacing w:val="-2"/>
                <w:sz w:val="22"/>
              </w:rPr>
              <w:t>8.492798</w:t>
            </w:r>
          </w:p>
        </w:tc>
        <w:tc>
          <w:tcPr>
            <w:tcW w:w="1085" w:type="dxa"/>
          </w:tcPr>
          <w:p>
            <w:pPr>
              <w:pStyle w:val="TableParagraph"/>
              <w:spacing w:line="264" w:lineRule="exact"/>
              <w:ind w:left="84" w:right="107"/>
              <w:jc w:val="center"/>
              <w:rPr>
                <w:rFonts w:ascii="Calibri"/>
                <w:sz w:val="22"/>
              </w:rPr>
            </w:pPr>
            <w:r>
              <w:rPr>
                <w:rFonts w:ascii="Calibri"/>
                <w:spacing w:val="-2"/>
                <w:sz w:val="22"/>
              </w:rPr>
              <w:t>7.243012</w:t>
            </w:r>
          </w:p>
        </w:tc>
        <w:tc>
          <w:tcPr>
            <w:tcW w:w="1026" w:type="dxa"/>
          </w:tcPr>
          <w:p>
            <w:pPr>
              <w:pStyle w:val="TableParagraph"/>
              <w:spacing w:line="264" w:lineRule="exact"/>
              <w:ind w:left="99"/>
              <w:jc w:val="center"/>
              <w:rPr>
                <w:rFonts w:ascii="Calibri"/>
                <w:sz w:val="22"/>
              </w:rPr>
            </w:pPr>
            <w:r>
              <w:rPr>
                <w:rFonts w:ascii="Calibri"/>
                <w:spacing w:val="-2"/>
                <w:sz w:val="22"/>
              </w:rPr>
              <w:t>7.436558</w:t>
            </w:r>
          </w:p>
        </w:tc>
      </w:tr>
      <w:tr>
        <w:trPr>
          <w:trHeight w:val="300" w:hRule="atLeast"/>
        </w:trPr>
        <w:tc>
          <w:tcPr>
            <w:tcW w:w="606" w:type="dxa"/>
          </w:tcPr>
          <w:p>
            <w:pPr>
              <w:pStyle w:val="TableParagraph"/>
              <w:spacing w:line="264" w:lineRule="exact"/>
              <w:ind w:right="56"/>
              <w:jc w:val="center"/>
              <w:rPr>
                <w:rFonts w:ascii="Calibri"/>
                <w:sz w:val="22"/>
              </w:rPr>
            </w:pPr>
            <w:r>
              <w:rPr>
                <w:rFonts w:ascii="Calibri"/>
                <w:spacing w:val="-4"/>
                <w:sz w:val="22"/>
              </w:rPr>
              <w:t>1983</w:t>
            </w:r>
          </w:p>
        </w:tc>
        <w:tc>
          <w:tcPr>
            <w:tcW w:w="1081" w:type="dxa"/>
          </w:tcPr>
          <w:p>
            <w:pPr>
              <w:pStyle w:val="TableParagraph"/>
              <w:spacing w:line="264" w:lineRule="exact"/>
              <w:ind w:right="134"/>
              <w:jc w:val="right"/>
              <w:rPr>
                <w:rFonts w:ascii="Calibri"/>
                <w:sz w:val="22"/>
              </w:rPr>
            </w:pPr>
            <w:r>
              <w:rPr>
                <w:rFonts w:ascii="Calibri"/>
                <w:spacing w:val="-2"/>
                <w:sz w:val="22"/>
              </w:rPr>
              <w:t>10.88007</w:t>
            </w:r>
          </w:p>
        </w:tc>
        <w:tc>
          <w:tcPr>
            <w:tcW w:w="1081" w:type="dxa"/>
          </w:tcPr>
          <w:p>
            <w:pPr>
              <w:pStyle w:val="TableParagraph"/>
              <w:spacing w:line="264" w:lineRule="exact"/>
              <w:ind w:right="107"/>
              <w:jc w:val="right"/>
              <w:rPr>
                <w:rFonts w:ascii="Calibri"/>
                <w:sz w:val="22"/>
              </w:rPr>
            </w:pPr>
            <w:r>
              <w:rPr>
                <w:rFonts w:ascii="Calibri"/>
                <w:spacing w:val="-2"/>
                <w:sz w:val="22"/>
              </w:rPr>
              <w:t>7.472103</w:t>
            </w:r>
          </w:p>
        </w:tc>
        <w:tc>
          <w:tcPr>
            <w:tcW w:w="1053" w:type="dxa"/>
          </w:tcPr>
          <w:p>
            <w:pPr>
              <w:pStyle w:val="TableParagraph"/>
              <w:spacing w:line="264" w:lineRule="exact"/>
              <w:ind w:right="104"/>
              <w:jc w:val="right"/>
              <w:rPr>
                <w:rFonts w:ascii="Calibri"/>
                <w:sz w:val="22"/>
              </w:rPr>
            </w:pPr>
            <w:r>
              <w:rPr>
                <w:rFonts w:ascii="Calibri"/>
                <w:spacing w:val="-2"/>
                <w:sz w:val="22"/>
              </w:rPr>
              <w:t>8.691062</w:t>
            </w:r>
          </w:p>
        </w:tc>
        <w:tc>
          <w:tcPr>
            <w:tcW w:w="1053" w:type="dxa"/>
          </w:tcPr>
          <w:p>
            <w:pPr>
              <w:pStyle w:val="TableParagraph"/>
              <w:spacing w:line="264" w:lineRule="exact"/>
              <w:ind w:left="5" w:right="1"/>
              <w:jc w:val="center"/>
              <w:rPr>
                <w:rFonts w:ascii="Calibri"/>
                <w:sz w:val="22"/>
              </w:rPr>
            </w:pPr>
            <w:r>
              <w:rPr>
                <w:rFonts w:ascii="Calibri"/>
                <w:spacing w:val="-2"/>
                <w:sz w:val="22"/>
              </w:rPr>
              <w:t>8.051309</w:t>
            </w:r>
          </w:p>
        </w:tc>
        <w:tc>
          <w:tcPr>
            <w:tcW w:w="1085" w:type="dxa"/>
          </w:tcPr>
          <w:p>
            <w:pPr>
              <w:pStyle w:val="TableParagraph"/>
              <w:spacing w:line="264" w:lineRule="exact"/>
              <w:ind w:left="84" w:right="107"/>
              <w:jc w:val="center"/>
              <w:rPr>
                <w:rFonts w:ascii="Calibri"/>
                <w:sz w:val="22"/>
              </w:rPr>
            </w:pPr>
            <w:r>
              <w:rPr>
                <w:rFonts w:ascii="Calibri"/>
                <w:spacing w:val="-2"/>
                <w:sz w:val="22"/>
              </w:rPr>
              <w:t>5.500442</w:t>
            </w:r>
          </w:p>
        </w:tc>
        <w:tc>
          <w:tcPr>
            <w:tcW w:w="1026" w:type="dxa"/>
          </w:tcPr>
          <w:p>
            <w:pPr>
              <w:pStyle w:val="TableParagraph"/>
              <w:spacing w:line="264" w:lineRule="exact"/>
              <w:ind w:left="99"/>
              <w:jc w:val="center"/>
              <w:rPr>
                <w:rFonts w:ascii="Calibri"/>
                <w:sz w:val="22"/>
              </w:rPr>
            </w:pPr>
            <w:r>
              <w:rPr>
                <w:rFonts w:ascii="Calibri"/>
                <w:spacing w:val="-2"/>
                <w:sz w:val="22"/>
              </w:rPr>
              <w:t>5.957649</w:t>
            </w:r>
          </w:p>
        </w:tc>
      </w:tr>
      <w:tr>
        <w:trPr>
          <w:trHeight w:val="300" w:hRule="atLeast"/>
        </w:trPr>
        <w:tc>
          <w:tcPr>
            <w:tcW w:w="606" w:type="dxa"/>
          </w:tcPr>
          <w:p>
            <w:pPr>
              <w:pStyle w:val="TableParagraph"/>
              <w:spacing w:line="264" w:lineRule="exact"/>
              <w:ind w:right="56"/>
              <w:jc w:val="center"/>
              <w:rPr>
                <w:rFonts w:ascii="Calibri"/>
                <w:sz w:val="22"/>
              </w:rPr>
            </w:pPr>
            <w:r>
              <w:rPr>
                <w:rFonts w:ascii="Calibri"/>
                <w:spacing w:val="-4"/>
                <w:sz w:val="22"/>
              </w:rPr>
              <w:t>1984</w:t>
            </w:r>
          </w:p>
        </w:tc>
        <w:tc>
          <w:tcPr>
            <w:tcW w:w="1081" w:type="dxa"/>
          </w:tcPr>
          <w:p>
            <w:pPr>
              <w:pStyle w:val="TableParagraph"/>
              <w:spacing w:line="264" w:lineRule="exact"/>
              <w:ind w:right="134"/>
              <w:jc w:val="right"/>
              <w:rPr>
                <w:rFonts w:ascii="Calibri"/>
                <w:sz w:val="22"/>
              </w:rPr>
            </w:pPr>
            <w:r>
              <w:rPr>
                <w:rFonts w:ascii="Calibri"/>
                <w:spacing w:val="-2"/>
                <w:sz w:val="22"/>
              </w:rPr>
              <w:t>10.99579</w:t>
            </w:r>
          </w:p>
        </w:tc>
        <w:tc>
          <w:tcPr>
            <w:tcW w:w="1081" w:type="dxa"/>
          </w:tcPr>
          <w:p>
            <w:pPr>
              <w:pStyle w:val="TableParagraph"/>
              <w:spacing w:line="264" w:lineRule="exact"/>
              <w:ind w:right="107"/>
              <w:jc w:val="right"/>
              <w:rPr>
                <w:rFonts w:ascii="Calibri"/>
                <w:sz w:val="22"/>
              </w:rPr>
            </w:pPr>
            <w:r>
              <w:rPr>
                <w:rFonts w:ascii="Calibri"/>
                <w:spacing w:val="-2"/>
                <w:sz w:val="22"/>
              </w:rPr>
              <w:t>8.350194</w:t>
            </w:r>
          </w:p>
        </w:tc>
        <w:tc>
          <w:tcPr>
            <w:tcW w:w="1053" w:type="dxa"/>
          </w:tcPr>
          <w:p>
            <w:pPr>
              <w:pStyle w:val="TableParagraph"/>
              <w:spacing w:line="264" w:lineRule="exact"/>
              <w:ind w:right="104"/>
              <w:jc w:val="right"/>
              <w:rPr>
                <w:rFonts w:ascii="Calibri"/>
                <w:sz w:val="22"/>
              </w:rPr>
            </w:pPr>
            <w:r>
              <w:rPr>
                <w:rFonts w:ascii="Calibri"/>
                <w:spacing w:val="-2"/>
                <w:sz w:val="22"/>
              </w:rPr>
              <w:t>8.766909</w:t>
            </w:r>
          </w:p>
        </w:tc>
        <w:tc>
          <w:tcPr>
            <w:tcW w:w="1053" w:type="dxa"/>
          </w:tcPr>
          <w:p>
            <w:pPr>
              <w:pStyle w:val="TableParagraph"/>
              <w:spacing w:line="264" w:lineRule="exact"/>
              <w:ind w:left="115" w:right="1"/>
              <w:jc w:val="center"/>
              <w:rPr>
                <w:rFonts w:ascii="Calibri"/>
                <w:sz w:val="22"/>
              </w:rPr>
            </w:pPr>
            <w:r>
              <w:rPr>
                <w:rFonts w:ascii="Calibri"/>
                <w:spacing w:val="-2"/>
                <w:sz w:val="22"/>
              </w:rPr>
              <w:t>3.78646</w:t>
            </w:r>
          </w:p>
        </w:tc>
        <w:tc>
          <w:tcPr>
            <w:tcW w:w="1085" w:type="dxa"/>
          </w:tcPr>
          <w:p>
            <w:pPr>
              <w:pStyle w:val="TableParagraph"/>
              <w:spacing w:line="264" w:lineRule="exact"/>
              <w:ind w:left="84"/>
              <w:jc w:val="center"/>
              <w:rPr>
                <w:rFonts w:ascii="Calibri"/>
                <w:sz w:val="22"/>
              </w:rPr>
            </w:pPr>
            <w:r>
              <w:rPr>
                <w:rFonts w:ascii="Calibri"/>
                <w:spacing w:val="-2"/>
                <w:sz w:val="22"/>
              </w:rPr>
              <w:t>5.89192</w:t>
            </w:r>
          </w:p>
        </w:tc>
        <w:tc>
          <w:tcPr>
            <w:tcW w:w="1026" w:type="dxa"/>
          </w:tcPr>
          <w:p>
            <w:pPr>
              <w:pStyle w:val="TableParagraph"/>
              <w:spacing w:line="264" w:lineRule="exact"/>
              <w:ind w:left="99"/>
              <w:jc w:val="center"/>
              <w:rPr>
                <w:rFonts w:ascii="Calibri"/>
                <w:sz w:val="22"/>
              </w:rPr>
            </w:pPr>
            <w:r>
              <w:rPr>
                <w:rFonts w:ascii="Calibri"/>
                <w:spacing w:val="-2"/>
                <w:sz w:val="22"/>
              </w:rPr>
              <w:t>6.412311</w:t>
            </w:r>
          </w:p>
        </w:tc>
      </w:tr>
      <w:tr>
        <w:trPr>
          <w:trHeight w:val="300" w:hRule="atLeast"/>
        </w:trPr>
        <w:tc>
          <w:tcPr>
            <w:tcW w:w="606" w:type="dxa"/>
          </w:tcPr>
          <w:p>
            <w:pPr>
              <w:pStyle w:val="TableParagraph"/>
              <w:spacing w:line="264" w:lineRule="exact"/>
              <w:ind w:right="56"/>
              <w:jc w:val="center"/>
              <w:rPr>
                <w:rFonts w:ascii="Calibri"/>
                <w:sz w:val="22"/>
              </w:rPr>
            </w:pPr>
            <w:r>
              <w:rPr>
                <w:rFonts w:ascii="Calibri"/>
                <w:spacing w:val="-4"/>
                <w:sz w:val="22"/>
              </w:rPr>
              <w:t>1985</w:t>
            </w:r>
          </w:p>
        </w:tc>
        <w:tc>
          <w:tcPr>
            <w:tcW w:w="1081" w:type="dxa"/>
          </w:tcPr>
          <w:p>
            <w:pPr>
              <w:pStyle w:val="TableParagraph"/>
              <w:spacing w:line="264" w:lineRule="exact"/>
              <w:ind w:right="134"/>
              <w:jc w:val="right"/>
              <w:rPr>
                <w:rFonts w:ascii="Calibri"/>
                <w:sz w:val="22"/>
              </w:rPr>
            </w:pPr>
            <w:r>
              <w:rPr>
                <w:rFonts w:ascii="Calibri"/>
                <w:spacing w:val="-2"/>
                <w:sz w:val="22"/>
              </w:rPr>
              <w:t>11.12592</w:t>
            </w:r>
          </w:p>
        </w:tc>
        <w:tc>
          <w:tcPr>
            <w:tcW w:w="1081" w:type="dxa"/>
          </w:tcPr>
          <w:p>
            <w:pPr>
              <w:pStyle w:val="TableParagraph"/>
              <w:spacing w:line="264" w:lineRule="exact"/>
              <w:ind w:right="107"/>
              <w:jc w:val="right"/>
              <w:rPr>
                <w:rFonts w:ascii="Calibri"/>
                <w:sz w:val="22"/>
              </w:rPr>
            </w:pPr>
            <w:r>
              <w:rPr>
                <w:rFonts w:ascii="Calibri"/>
                <w:spacing w:val="-2"/>
                <w:sz w:val="22"/>
              </w:rPr>
              <w:t>7.820801</w:t>
            </w:r>
          </w:p>
        </w:tc>
        <w:tc>
          <w:tcPr>
            <w:tcW w:w="1053" w:type="dxa"/>
          </w:tcPr>
          <w:p>
            <w:pPr>
              <w:pStyle w:val="TableParagraph"/>
              <w:spacing w:line="264" w:lineRule="exact"/>
              <w:ind w:right="104"/>
              <w:jc w:val="right"/>
              <w:rPr>
                <w:rFonts w:ascii="Calibri"/>
                <w:sz w:val="22"/>
              </w:rPr>
            </w:pPr>
            <w:r>
              <w:rPr>
                <w:rFonts w:ascii="Calibri"/>
                <w:spacing w:val="-2"/>
                <w:sz w:val="22"/>
              </w:rPr>
              <w:t>8.825266</w:t>
            </w:r>
          </w:p>
        </w:tc>
        <w:tc>
          <w:tcPr>
            <w:tcW w:w="1053" w:type="dxa"/>
          </w:tcPr>
          <w:p>
            <w:pPr>
              <w:pStyle w:val="TableParagraph"/>
              <w:spacing w:line="264" w:lineRule="exact"/>
              <w:ind w:left="5" w:right="1"/>
              <w:jc w:val="center"/>
              <w:rPr>
                <w:rFonts w:ascii="Calibri"/>
                <w:sz w:val="22"/>
              </w:rPr>
            </w:pPr>
            <w:r>
              <w:rPr>
                <w:rFonts w:ascii="Calibri"/>
                <w:spacing w:val="-2"/>
                <w:sz w:val="22"/>
              </w:rPr>
              <w:t>7.703188</w:t>
            </w:r>
          </w:p>
        </w:tc>
        <w:tc>
          <w:tcPr>
            <w:tcW w:w="1085" w:type="dxa"/>
          </w:tcPr>
          <w:p>
            <w:pPr>
              <w:pStyle w:val="TableParagraph"/>
              <w:spacing w:line="264" w:lineRule="exact"/>
              <w:ind w:left="84" w:right="107"/>
              <w:jc w:val="center"/>
              <w:rPr>
                <w:rFonts w:ascii="Calibri"/>
                <w:sz w:val="22"/>
              </w:rPr>
            </w:pPr>
            <w:r>
              <w:rPr>
                <w:rFonts w:ascii="Calibri"/>
                <w:spacing w:val="-2"/>
                <w:sz w:val="22"/>
              </w:rPr>
              <w:t>6.209193</w:t>
            </w:r>
          </w:p>
        </w:tc>
        <w:tc>
          <w:tcPr>
            <w:tcW w:w="1026" w:type="dxa"/>
          </w:tcPr>
          <w:p>
            <w:pPr>
              <w:pStyle w:val="TableParagraph"/>
              <w:spacing w:line="264" w:lineRule="exact"/>
              <w:ind w:left="99"/>
              <w:jc w:val="center"/>
              <w:rPr>
                <w:rFonts w:ascii="Calibri"/>
                <w:sz w:val="22"/>
              </w:rPr>
            </w:pPr>
            <w:r>
              <w:rPr>
                <w:rFonts w:ascii="Calibri"/>
                <w:spacing w:val="-2"/>
                <w:sz w:val="22"/>
              </w:rPr>
              <w:t>5.729125</w:t>
            </w:r>
          </w:p>
        </w:tc>
      </w:tr>
      <w:tr>
        <w:trPr>
          <w:trHeight w:val="300" w:hRule="atLeast"/>
        </w:trPr>
        <w:tc>
          <w:tcPr>
            <w:tcW w:w="606" w:type="dxa"/>
          </w:tcPr>
          <w:p>
            <w:pPr>
              <w:pStyle w:val="TableParagraph"/>
              <w:spacing w:line="264" w:lineRule="exact"/>
              <w:ind w:right="56"/>
              <w:jc w:val="center"/>
              <w:rPr>
                <w:rFonts w:ascii="Calibri"/>
                <w:sz w:val="22"/>
              </w:rPr>
            </w:pPr>
            <w:r>
              <w:rPr>
                <w:rFonts w:ascii="Calibri"/>
                <w:spacing w:val="-4"/>
                <w:sz w:val="22"/>
              </w:rPr>
              <w:t>1986</w:t>
            </w:r>
          </w:p>
        </w:tc>
        <w:tc>
          <w:tcPr>
            <w:tcW w:w="1081" w:type="dxa"/>
          </w:tcPr>
          <w:p>
            <w:pPr>
              <w:pStyle w:val="TableParagraph"/>
              <w:spacing w:line="264" w:lineRule="exact"/>
              <w:ind w:right="134"/>
              <w:jc w:val="right"/>
              <w:rPr>
                <w:rFonts w:ascii="Calibri"/>
                <w:sz w:val="22"/>
              </w:rPr>
            </w:pPr>
            <w:r>
              <w:rPr>
                <w:rFonts w:ascii="Calibri"/>
                <w:spacing w:val="-2"/>
                <w:sz w:val="22"/>
              </w:rPr>
              <w:t>11.14399</w:t>
            </w:r>
          </w:p>
        </w:tc>
        <w:tc>
          <w:tcPr>
            <w:tcW w:w="1081" w:type="dxa"/>
          </w:tcPr>
          <w:p>
            <w:pPr>
              <w:pStyle w:val="TableParagraph"/>
              <w:spacing w:line="264" w:lineRule="exact"/>
              <w:ind w:right="107"/>
              <w:jc w:val="right"/>
              <w:rPr>
                <w:rFonts w:ascii="Calibri"/>
                <w:sz w:val="22"/>
              </w:rPr>
            </w:pPr>
            <w:r>
              <w:rPr>
                <w:rFonts w:ascii="Calibri"/>
                <w:spacing w:val="-2"/>
                <w:sz w:val="22"/>
              </w:rPr>
              <w:t>5.486911</w:t>
            </w:r>
          </w:p>
        </w:tc>
        <w:tc>
          <w:tcPr>
            <w:tcW w:w="1053" w:type="dxa"/>
          </w:tcPr>
          <w:p>
            <w:pPr>
              <w:pStyle w:val="TableParagraph"/>
              <w:spacing w:line="264" w:lineRule="exact"/>
              <w:ind w:right="104"/>
              <w:jc w:val="right"/>
              <w:rPr>
                <w:rFonts w:ascii="Calibri"/>
                <w:sz w:val="22"/>
              </w:rPr>
            </w:pPr>
            <w:r>
              <w:rPr>
                <w:rFonts w:ascii="Calibri"/>
                <w:spacing w:val="-2"/>
                <w:sz w:val="22"/>
              </w:rPr>
              <w:t>9.139231</w:t>
            </w:r>
          </w:p>
        </w:tc>
        <w:tc>
          <w:tcPr>
            <w:tcW w:w="1053" w:type="dxa"/>
          </w:tcPr>
          <w:p>
            <w:pPr>
              <w:pStyle w:val="TableParagraph"/>
              <w:spacing w:line="264" w:lineRule="exact"/>
              <w:ind w:left="5" w:right="1"/>
              <w:jc w:val="center"/>
              <w:rPr>
                <w:rFonts w:ascii="Calibri"/>
                <w:sz w:val="22"/>
              </w:rPr>
            </w:pPr>
            <w:r>
              <w:rPr>
                <w:rFonts w:ascii="Calibri"/>
                <w:spacing w:val="-2"/>
                <w:sz w:val="22"/>
              </w:rPr>
              <w:t>8.006068</w:t>
            </w:r>
          </w:p>
        </w:tc>
        <w:tc>
          <w:tcPr>
            <w:tcW w:w="1085" w:type="dxa"/>
          </w:tcPr>
          <w:p>
            <w:pPr>
              <w:pStyle w:val="TableParagraph"/>
              <w:spacing w:line="264" w:lineRule="exact"/>
              <w:ind w:left="84" w:right="107"/>
              <w:jc w:val="center"/>
              <w:rPr>
                <w:rFonts w:ascii="Calibri"/>
                <w:sz w:val="22"/>
              </w:rPr>
            </w:pPr>
            <w:r>
              <w:rPr>
                <w:rFonts w:ascii="Calibri"/>
                <w:spacing w:val="-2"/>
                <w:sz w:val="22"/>
              </w:rPr>
              <w:t>7.573685</w:t>
            </w:r>
          </w:p>
        </w:tc>
        <w:tc>
          <w:tcPr>
            <w:tcW w:w="1026" w:type="dxa"/>
          </w:tcPr>
          <w:p>
            <w:pPr>
              <w:pStyle w:val="TableParagraph"/>
              <w:spacing w:line="264" w:lineRule="exact"/>
              <w:ind w:left="99"/>
              <w:jc w:val="center"/>
              <w:rPr>
                <w:rFonts w:ascii="Calibri"/>
                <w:sz w:val="22"/>
              </w:rPr>
            </w:pPr>
            <w:r>
              <w:rPr>
                <w:rFonts w:ascii="Calibri"/>
                <w:spacing w:val="-2"/>
                <w:sz w:val="22"/>
              </w:rPr>
              <w:t>8.281319</w:t>
            </w:r>
          </w:p>
        </w:tc>
      </w:tr>
      <w:tr>
        <w:trPr>
          <w:trHeight w:val="300" w:hRule="atLeast"/>
        </w:trPr>
        <w:tc>
          <w:tcPr>
            <w:tcW w:w="606" w:type="dxa"/>
          </w:tcPr>
          <w:p>
            <w:pPr>
              <w:pStyle w:val="TableParagraph"/>
              <w:spacing w:line="264" w:lineRule="exact"/>
              <w:ind w:right="56"/>
              <w:jc w:val="center"/>
              <w:rPr>
                <w:rFonts w:ascii="Calibri"/>
                <w:sz w:val="22"/>
              </w:rPr>
            </w:pPr>
            <w:r>
              <w:rPr>
                <w:rFonts w:ascii="Calibri"/>
                <w:spacing w:val="-4"/>
                <w:sz w:val="22"/>
              </w:rPr>
              <w:t>1987</w:t>
            </w:r>
          </w:p>
        </w:tc>
        <w:tc>
          <w:tcPr>
            <w:tcW w:w="1081" w:type="dxa"/>
          </w:tcPr>
          <w:p>
            <w:pPr>
              <w:pStyle w:val="TableParagraph"/>
              <w:spacing w:line="264" w:lineRule="exact"/>
              <w:ind w:right="134"/>
              <w:jc w:val="right"/>
              <w:rPr>
                <w:rFonts w:ascii="Calibri"/>
                <w:sz w:val="22"/>
              </w:rPr>
            </w:pPr>
            <w:r>
              <w:rPr>
                <w:rFonts w:ascii="Calibri"/>
                <w:spacing w:val="-2"/>
                <w:sz w:val="22"/>
              </w:rPr>
              <w:t>11.56384</w:t>
            </w:r>
          </w:p>
        </w:tc>
        <w:tc>
          <w:tcPr>
            <w:tcW w:w="1081" w:type="dxa"/>
          </w:tcPr>
          <w:p>
            <w:pPr>
              <w:pStyle w:val="TableParagraph"/>
              <w:spacing w:line="264" w:lineRule="exact"/>
              <w:ind w:right="106"/>
              <w:jc w:val="right"/>
              <w:rPr>
                <w:rFonts w:ascii="Calibri"/>
                <w:sz w:val="22"/>
              </w:rPr>
            </w:pPr>
            <w:r>
              <w:rPr>
                <w:rFonts w:ascii="Calibri"/>
                <w:spacing w:val="-2"/>
                <w:sz w:val="22"/>
              </w:rPr>
              <w:t>10.99098</w:t>
            </w:r>
          </w:p>
        </w:tc>
        <w:tc>
          <w:tcPr>
            <w:tcW w:w="1053" w:type="dxa"/>
          </w:tcPr>
          <w:p>
            <w:pPr>
              <w:pStyle w:val="TableParagraph"/>
              <w:spacing w:line="264" w:lineRule="exact"/>
              <w:ind w:right="104"/>
              <w:jc w:val="right"/>
              <w:rPr>
                <w:rFonts w:ascii="Calibri"/>
                <w:sz w:val="22"/>
              </w:rPr>
            </w:pPr>
            <w:r>
              <w:rPr>
                <w:rFonts w:ascii="Calibri"/>
                <w:spacing w:val="-2"/>
                <w:sz w:val="22"/>
              </w:rPr>
              <w:t>9.2097</w:t>
            </w:r>
          </w:p>
        </w:tc>
        <w:tc>
          <w:tcPr>
            <w:tcW w:w="1053" w:type="dxa"/>
          </w:tcPr>
          <w:p>
            <w:pPr>
              <w:pStyle w:val="TableParagraph"/>
              <w:spacing w:line="264" w:lineRule="exact"/>
              <w:ind w:left="5" w:right="1"/>
              <w:jc w:val="center"/>
              <w:rPr>
                <w:rFonts w:ascii="Calibri"/>
                <w:sz w:val="22"/>
              </w:rPr>
            </w:pPr>
            <w:r>
              <w:rPr>
                <w:rFonts w:ascii="Calibri"/>
                <w:spacing w:val="-2"/>
                <w:sz w:val="22"/>
              </w:rPr>
              <w:t>5.687992</w:t>
            </w:r>
          </w:p>
        </w:tc>
        <w:tc>
          <w:tcPr>
            <w:tcW w:w="1085" w:type="dxa"/>
          </w:tcPr>
          <w:p>
            <w:pPr>
              <w:pStyle w:val="TableParagraph"/>
              <w:spacing w:line="264" w:lineRule="exact"/>
              <w:ind w:left="84" w:right="107"/>
              <w:jc w:val="center"/>
              <w:rPr>
                <w:rFonts w:ascii="Calibri"/>
                <w:sz w:val="22"/>
              </w:rPr>
            </w:pPr>
            <w:r>
              <w:rPr>
                <w:rFonts w:ascii="Calibri"/>
                <w:spacing w:val="-2"/>
                <w:sz w:val="22"/>
              </w:rPr>
              <w:t>6.962149</w:t>
            </w:r>
          </w:p>
        </w:tc>
        <w:tc>
          <w:tcPr>
            <w:tcW w:w="1026" w:type="dxa"/>
          </w:tcPr>
          <w:p>
            <w:pPr>
              <w:pStyle w:val="TableParagraph"/>
              <w:spacing w:line="264" w:lineRule="exact"/>
              <w:ind w:left="99"/>
              <w:jc w:val="center"/>
              <w:rPr>
                <w:rFonts w:ascii="Calibri"/>
                <w:sz w:val="22"/>
              </w:rPr>
            </w:pPr>
            <w:r>
              <w:rPr>
                <w:rFonts w:ascii="Calibri"/>
                <w:spacing w:val="-2"/>
                <w:sz w:val="22"/>
              </w:rPr>
              <w:t>7.418961</w:t>
            </w:r>
          </w:p>
        </w:tc>
      </w:tr>
      <w:tr>
        <w:trPr>
          <w:trHeight w:val="300" w:hRule="atLeast"/>
        </w:trPr>
        <w:tc>
          <w:tcPr>
            <w:tcW w:w="606" w:type="dxa"/>
          </w:tcPr>
          <w:p>
            <w:pPr>
              <w:pStyle w:val="TableParagraph"/>
              <w:spacing w:line="264" w:lineRule="exact"/>
              <w:ind w:right="56"/>
              <w:jc w:val="center"/>
              <w:rPr>
                <w:rFonts w:ascii="Calibri"/>
                <w:sz w:val="22"/>
              </w:rPr>
            </w:pPr>
            <w:r>
              <w:rPr>
                <w:rFonts w:ascii="Calibri"/>
                <w:spacing w:val="-4"/>
                <w:sz w:val="22"/>
              </w:rPr>
              <w:t>1988</w:t>
            </w:r>
          </w:p>
        </w:tc>
        <w:tc>
          <w:tcPr>
            <w:tcW w:w="1081" w:type="dxa"/>
          </w:tcPr>
          <w:p>
            <w:pPr>
              <w:pStyle w:val="TableParagraph"/>
              <w:spacing w:line="264" w:lineRule="exact"/>
              <w:ind w:right="134"/>
              <w:jc w:val="right"/>
              <w:rPr>
                <w:rFonts w:ascii="Calibri"/>
                <w:sz w:val="22"/>
              </w:rPr>
            </w:pPr>
            <w:r>
              <w:rPr>
                <w:rFonts w:ascii="Calibri"/>
                <w:spacing w:val="-2"/>
                <w:sz w:val="22"/>
              </w:rPr>
              <w:t>11.84284</w:t>
            </w:r>
          </w:p>
        </w:tc>
        <w:tc>
          <w:tcPr>
            <w:tcW w:w="1081" w:type="dxa"/>
          </w:tcPr>
          <w:p>
            <w:pPr>
              <w:pStyle w:val="TableParagraph"/>
              <w:spacing w:line="264" w:lineRule="exact"/>
              <w:ind w:right="106"/>
              <w:jc w:val="right"/>
              <w:rPr>
                <w:rFonts w:ascii="Calibri"/>
                <w:sz w:val="22"/>
              </w:rPr>
            </w:pPr>
            <w:r>
              <w:rPr>
                <w:rFonts w:ascii="Calibri"/>
                <w:spacing w:val="-2"/>
                <w:sz w:val="22"/>
              </w:rPr>
              <w:t>10.40932</w:t>
            </w:r>
          </w:p>
        </w:tc>
        <w:tc>
          <w:tcPr>
            <w:tcW w:w="1053" w:type="dxa"/>
          </w:tcPr>
          <w:p>
            <w:pPr>
              <w:pStyle w:val="TableParagraph"/>
              <w:spacing w:line="264" w:lineRule="exact"/>
              <w:ind w:right="104"/>
              <w:jc w:val="right"/>
              <w:rPr>
                <w:rFonts w:ascii="Calibri"/>
                <w:sz w:val="22"/>
              </w:rPr>
            </w:pPr>
            <w:r>
              <w:rPr>
                <w:rFonts w:ascii="Calibri"/>
                <w:spacing w:val="-2"/>
                <w:sz w:val="22"/>
              </w:rPr>
              <w:t>9.336021</w:t>
            </w:r>
          </w:p>
        </w:tc>
        <w:tc>
          <w:tcPr>
            <w:tcW w:w="1053" w:type="dxa"/>
          </w:tcPr>
          <w:p>
            <w:pPr>
              <w:pStyle w:val="TableParagraph"/>
              <w:spacing w:line="264" w:lineRule="exact"/>
              <w:ind w:left="5" w:right="1"/>
              <w:jc w:val="center"/>
              <w:rPr>
                <w:rFonts w:ascii="Calibri"/>
                <w:sz w:val="22"/>
              </w:rPr>
            </w:pPr>
            <w:r>
              <w:rPr>
                <w:rFonts w:ascii="Calibri"/>
                <w:spacing w:val="-2"/>
                <w:sz w:val="22"/>
              </w:rPr>
              <w:t>6.872853</w:t>
            </w:r>
          </w:p>
        </w:tc>
        <w:tc>
          <w:tcPr>
            <w:tcW w:w="1085" w:type="dxa"/>
          </w:tcPr>
          <w:p>
            <w:pPr>
              <w:pStyle w:val="TableParagraph"/>
              <w:spacing w:line="264" w:lineRule="exact"/>
              <w:ind w:left="84" w:right="107"/>
              <w:jc w:val="center"/>
              <w:rPr>
                <w:rFonts w:ascii="Calibri"/>
                <w:sz w:val="22"/>
              </w:rPr>
            </w:pPr>
            <w:r>
              <w:rPr>
                <w:rFonts w:ascii="Calibri"/>
                <w:spacing w:val="-2"/>
                <w:sz w:val="22"/>
              </w:rPr>
              <w:t>7.223004</w:t>
            </w:r>
          </w:p>
        </w:tc>
        <w:tc>
          <w:tcPr>
            <w:tcW w:w="1026" w:type="dxa"/>
          </w:tcPr>
          <w:p>
            <w:pPr>
              <w:pStyle w:val="TableParagraph"/>
              <w:spacing w:line="264" w:lineRule="exact"/>
              <w:ind w:left="99"/>
              <w:jc w:val="center"/>
              <w:rPr>
                <w:rFonts w:ascii="Calibri"/>
                <w:sz w:val="22"/>
              </w:rPr>
            </w:pPr>
            <w:r>
              <w:rPr>
                <w:rFonts w:ascii="Calibri"/>
                <w:spacing w:val="-2"/>
                <w:sz w:val="22"/>
              </w:rPr>
              <w:t>8.664216</w:t>
            </w:r>
          </w:p>
        </w:tc>
      </w:tr>
      <w:tr>
        <w:trPr>
          <w:trHeight w:val="300" w:hRule="atLeast"/>
        </w:trPr>
        <w:tc>
          <w:tcPr>
            <w:tcW w:w="606" w:type="dxa"/>
          </w:tcPr>
          <w:p>
            <w:pPr>
              <w:pStyle w:val="TableParagraph"/>
              <w:spacing w:line="264" w:lineRule="exact"/>
              <w:ind w:right="56"/>
              <w:jc w:val="center"/>
              <w:rPr>
                <w:rFonts w:ascii="Calibri"/>
                <w:sz w:val="22"/>
              </w:rPr>
            </w:pPr>
            <w:r>
              <w:rPr>
                <w:rFonts w:ascii="Calibri"/>
                <w:spacing w:val="-4"/>
                <w:sz w:val="22"/>
              </w:rPr>
              <w:t>1989</w:t>
            </w:r>
          </w:p>
        </w:tc>
        <w:tc>
          <w:tcPr>
            <w:tcW w:w="1081" w:type="dxa"/>
          </w:tcPr>
          <w:p>
            <w:pPr>
              <w:pStyle w:val="TableParagraph"/>
              <w:spacing w:line="264" w:lineRule="exact"/>
              <w:ind w:right="134"/>
              <w:jc w:val="right"/>
              <w:rPr>
                <w:rFonts w:ascii="Calibri"/>
                <w:sz w:val="22"/>
              </w:rPr>
            </w:pPr>
            <w:r>
              <w:rPr>
                <w:rFonts w:ascii="Calibri"/>
                <w:spacing w:val="-2"/>
                <w:sz w:val="22"/>
              </w:rPr>
              <w:t>12.28672</w:t>
            </w:r>
          </w:p>
        </w:tc>
        <w:tc>
          <w:tcPr>
            <w:tcW w:w="1081" w:type="dxa"/>
          </w:tcPr>
          <w:p>
            <w:pPr>
              <w:pStyle w:val="TableParagraph"/>
              <w:spacing w:line="264" w:lineRule="exact"/>
              <w:ind w:right="106"/>
              <w:jc w:val="right"/>
              <w:rPr>
                <w:rFonts w:ascii="Calibri"/>
                <w:sz w:val="22"/>
              </w:rPr>
            </w:pPr>
            <w:r>
              <w:rPr>
                <w:rFonts w:ascii="Calibri"/>
                <w:spacing w:val="-2"/>
                <w:sz w:val="22"/>
              </w:rPr>
              <w:t>11.57531</w:t>
            </w:r>
          </w:p>
        </w:tc>
        <w:tc>
          <w:tcPr>
            <w:tcW w:w="1053" w:type="dxa"/>
          </w:tcPr>
          <w:p>
            <w:pPr>
              <w:pStyle w:val="TableParagraph"/>
              <w:spacing w:line="264" w:lineRule="exact"/>
              <w:ind w:right="104"/>
              <w:jc w:val="right"/>
              <w:rPr>
                <w:rFonts w:ascii="Calibri"/>
                <w:sz w:val="22"/>
              </w:rPr>
            </w:pPr>
            <w:r>
              <w:rPr>
                <w:rFonts w:ascii="Calibri"/>
                <w:spacing w:val="-2"/>
                <w:sz w:val="22"/>
              </w:rPr>
              <w:t>9.296481</w:t>
            </w:r>
          </w:p>
        </w:tc>
        <w:tc>
          <w:tcPr>
            <w:tcW w:w="1053" w:type="dxa"/>
          </w:tcPr>
          <w:p>
            <w:pPr>
              <w:pStyle w:val="TableParagraph"/>
              <w:spacing w:line="264" w:lineRule="exact"/>
              <w:ind w:left="5" w:right="1"/>
              <w:jc w:val="center"/>
              <w:rPr>
                <w:rFonts w:ascii="Calibri"/>
                <w:sz w:val="22"/>
              </w:rPr>
            </w:pPr>
            <w:r>
              <w:rPr>
                <w:rFonts w:ascii="Calibri"/>
                <w:spacing w:val="-2"/>
                <w:sz w:val="22"/>
              </w:rPr>
              <w:t>9.276512</w:t>
            </w:r>
          </w:p>
        </w:tc>
        <w:tc>
          <w:tcPr>
            <w:tcW w:w="1085" w:type="dxa"/>
          </w:tcPr>
          <w:p>
            <w:pPr>
              <w:pStyle w:val="TableParagraph"/>
              <w:spacing w:line="264" w:lineRule="exact"/>
              <w:ind w:left="84" w:right="107"/>
              <w:jc w:val="center"/>
              <w:rPr>
                <w:rFonts w:ascii="Calibri"/>
                <w:sz w:val="22"/>
              </w:rPr>
            </w:pPr>
            <w:r>
              <w:rPr>
                <w:rFonts w:ascii="Calibri"/>
                <w:spacing w:val="-2"/>
                <w:sz w:val="22"/>
              </w:rPr>
              <w:t>9.228612</w:t>
            </w:r>
          </w:p>
        </w:tc>
        <w:tc>
          <w:tcPr>
            <w:tcW w:w="1026" w:type="dxa"/>
          </w:tcPr>
          <w:p>
            <w:pPr>
              <w:pStyle w:val="TableParagraph"/>
              <w:spacing w:line="264" w:lineRule="exact"/>
              <w:ind w:left="99"/>
              <w:jc w:val="center"/>
              <w:rPr>
                <w:rFonts w:ascii="Calibri"/>
                <w:sz w:val="22"/>
              </w:rPr>
            </w:pPr>
            <w:r>
              <w:rPr>
                <w:rFonts w:ascii="Calibri"/>
                <w:spacing w:val="-2"/>
                <w:sz w:val="22"/>
              </w:rPr>
              <w:t>9.475155</w:t>
            </w:r>
          </w:p>
        </w:tc>
      </w:tr>
      <w:tr>
        <w:trPr>
          <w:trHeight w:val="300" w:hRule="atLeast"/>
        </w:trPr>
        <w:tc>
          <w:tcPr>
            <w:tcW w:w="606" w:type="dxa"/>
          </w:tcPr>
          <w:p>
            <w:pPr>
              <w:pStyle w:val="TableParagraph"/>
              <w:spacing w:line="264" w:lineRule="exact"/>
              <w:ind w:right="56"/>
              <w:jc w:val="center"/>
              <w:rPr>
                <w:rFonts w:ascii="Calibri"/>
                <w:sz w:val="22"/>
              </w:rPr>
            </w:pPr>
            <w:r>
              <w:rPr>
                <w:rFonts w:ascii="Calibri"/>
                <w:spacing w:val="-4"/>
                <w:sz w:val="22"/>
              </w:rPr>
              <w:t>1990</w:t>
            </w:r>
          </w:p>
        </w:tc>
        <w:tc>
          <w:tcPr>
            <w:tcW w:w="1081" w:type="dxa"/>
          </w:tcPr>
          <w:p>
            <w:pPr>
              <w:pStyle w:val="TableParagraph"/>
              <w:spacing w:line="264" w:lineRule="exact"/>
              <w:ind w:right="134"/>
              <w:jc w:val="right"/>
              <w:rPr>
                <w:rFonts w:ascii="Calibri"/>
                <w:sz w:val="22"/>
              </w:rPr>
            </w:pPr>
            <w:r>
              <w:rPr>
                <w:rFonts w:ascii="Calibri"/>
                <w:spacing w:val="-2"/>
                <w:sz w:val="22"/>
              </w:rPr>
              <w:t>12.49706</w:t>
            </w:r>
          </w:p>
        </w:tc>
        <w:tc>
          <w:tcPr>
            <w:tcW w:w="1081" w:type="dxa"/>
          </w:tcPr>
          <w:p>
            <w:pPr>
              <w:pStyle w:val="TableParagraph"/>
              <w:spacing w:line="264" w:lineRule="exact"/>
              <w:ind w:right="106"/>
              <w:jc w:val="right"/>
              <w:rPr>
                <w:rFonts w:ascii="Calibri"/>
                <w:sz w:val="22"/>
              </w:rPr>
            </w:pPr>
            <w:r>
              <w:rPr>
                <w:rFonts w:ascii="Calibri"/>
                <w:spacing w:val="-2"/>
                <w:sz w:val="22"/>
              </w:rPr>
              <w:t>10.972</w:t>
            </w:r>
          </w:p>
        </w:tc>
        <w:tc>
          <w:tcPr>
            <w:tcW w:w="1053" w:type="dxa"/>
          </w:tcPr>
          <w:p>
            <w:pPr>
              <w:pStyle w:val="TableParagraph"/>
              <w:spacing w:line="264" w:lineRule="exact"/>
              <w:ind w:right="104"/>
              <w:jc w:val="right"/>
              <w:rPr>
                <w:rFonts w:ascii="Calibri"/>
                <w:sz w:val="22"/>
              </w:rPr>
            </w:pPr>
            <w:r>
              <w:rPr>
                <w:rFonts w:ascii="Calibri"/>
                <w:spacing w:val="-2"/>
                <w:sz w:val="22"/>
              </w:rPr>
              <w:t>9.253026</w:t>
            </w:r>
          </w:p>
        </w:tc>
        <w:tc>
          <w:tcPr>
            <w:tcW w:w="1053" w:type="dxa"/>
          </w:tcPr>
          <w:p>
            <w:pPr>
              <w:pStyle w:val="TableParagraph"/>
              <w:spacing w:line="264" w:lineRule="exact"/>
              <w:ind w:left="4" w:right="1"/>
              <w:jc w:val="center"/>
              <w:rPr>
                <w:rFonts w:ascii="Calibri"/>
                <w:sz w:val="22"/>
              </w:rPr>
            </w:pPr>
            <w:r>
              <w:rPr>
                <w:rFonts w:ascii="Calibri"/>
                <w:spacing w:val="-2"/>
                <w:sz w:val="22"/>
              </w:rPr>
              <w:t>10.70843</w:t>
            </w:r>
          </w:p>
        </w:tc>
        <w:tc>
          <w:tcPr>
            <w:tcW w:w="1085" w:type="dxa"/>
          </w:tcPr>
          <w:p>
            <w:pPr>
              <w:pStyle w:val="TableParagraph"/>
              <w:spacing w:line="264" w:lineRule="exact"/>
              <w:ind w:left="84" w:right="107"/>
              <w:jc w:val="center"/>
              <w:rPr>
                <w:rFonts w:ascii="Calibri"/>
                <w:sz w:val="22"/>
              </w:rPr>
            </w:pPr>
            <w:r>
              <w:rPr>
                <w:rFonts w:ascii="Calibri"/>
                <w:spacing w:val="-2"/>
                <w:sz w:val="22"/>
              </w:rPr>
              <w:t>9.975622</w:t>
            </w:r>
          </w:p>
        </w:tc>
        <w:tc>
          <w:tcPr>
            <w:tcW w:w="1026" w:type="dxa"/>
          </w:tcPr>
          <w:p>
            <w:pPr>
              <w:pStyle w:val="TableParagraph"/>
              <w:spacing w:line="264" w:lineRule="exact"/>
              <w:ind w:left="99"/>
              <w:jc w:val="center"/>
              <w:rPr>
                <w:rFonts w:ascii="Calibri"/>
                <w:sz w:val="22"/>
              </w:rPr>
            </w:pPr>
            <w:r>
              <w:rPr>
                <w:rFonts w:ascii="Calibri"/>
                <w:spacing w:val="-2"/>
                <w:sz w:val="22"/>
              </w:rPr>
              <w:t>9.970473</w:t>
            </w:r>
          </w:p>
        </w:tc>
      </w:tr>
      <w:tr>
        <w:trPr>
          <w:trHeight w:val="300" w:hRule="atLeast"/>
        </w:trPr>
        <w:tc>
          <w:tcPr>
            <w:tcW w:w="606" w:type="dxa"/>
          </w:tcPr>
          <w:p>
            <w:pPr>
              <w:pStyle w:val="TableParagraph"/>
              <w:spacing w:line="265" w:lineRule="exact"/>
              <w:ind w:right="56"/>
              <w:jc w:val="center"/>
              <w:rPr>
                <w:rFonts w:ascii="Calibri"/>
                <w:sz w:val="22"/>
              </w:rPr>
            </w:pPr>
            <w:r>
              <w:rPr>
                <w:rFonts w:ascii="Calibri"/>
                <w:spacing w:val="-4"/>
                <w:sz w:val="22"/>
              </w:rPr>
              <w:t>1991</w:t>
            </w:r>
          </w:p>
        </w:tc>
        <w:tc>
          <w:tcPr>
            <w:tcW w:w="1081" w:type="dxa"/>
          </w:tcPr>
          <w:p>
            <w:pPr>
              <w:pStyle w:val="TableParagraph"/>
              <w:spacing w:line="265" w:lineRule="exact"/>
              <w:ind w:right="134"/>
              <w:jc w:val="right"/>
              <w:rPr>
                <w:rFonts w:ascii="Calibri"/>
                <w:sz w:val="22"/>
              </w:rPr>
            </w:pPr>
            <w:r>
              <w:rPr>
                <w:rFonts w:ascii="Calibri"/>
                <w:spacing w:val="-2"/>
                <w:sz w:val="22"/>
              </w:rPr>
              <w:t>12.65121</w:t>
            </w:r>
          </w:p>
        </w:tc>
        <w:tc>
          <w:tcPr>
            <w:tcW w:w="1081" w:type="dxa"/>
          </w:tcPr>
          <w:p>
            <w:pPr>
              <w:pStyle w:val="TableParagraph"/>
              <w:spacing w:line="265" w:lineRule="exact"/>
              <w:ind w:right="106"/>
              <w:jc w:val="right"/>
              <w:rPr>
                <w:rFonts w:ascii="Calibri"/>
                <w:sz w:val="22"/>
              </w:rPr>
            </w:pPr>
            <w:r>
              <w:rPr>
                <w:rFonts w:ascii="Calibri"/>
                <w:spacing w:val="-2"/>
                <w:sz w:val="22"/>
              </w:rPr>
              <w:t>10.30358</w:t>
            </w:r>
          </w:p>
        </w:tc>
        <w:tc>
          <w:tcPr>
            <w:tcW w:w="1053" w:type="dxa"/>
          </w:tcPr>
          <w:p>
            <w:pPr>
              <w:pStyle w:val="TableParagraph"/>
              <w:spacing w:line="265" w:lineRule="exact"/>
              <w:ind w:right="104"/>
              <w:jc w:val="right"/>
              <w:rPr>
                <w:rFonts w:ascii="Calibri"/>
                <w:sz w:val="22"/>
              </w:rPr>
            </w:pPr>
            <w:r>
              <w:rPr>
                <w:rFonts w:ascii="Calibri"/>
                <w:spacing w:val="-2"/>
                <w:sz w:val="22"/>
              </w:rPr>
              <w:t>9.41275</w:t>
            </w:r>
          </w:p>
        </w:tc>
        <w:tc>
          <w:tcPr>
            <w:tcW w:w="1053" w:type="dxa"/>
          </w:tcPr>
          <w:p>
            <w:pPr>
              <w:pStyle w:val="TableParagraph"/>
              <w:spacing w:line="265" w:lineRule="exact"/>
              <w:ind w:left="5" w:right="1"/>
              <w:jc w:val="center"/>
              <w:rPr>
                <w:rFonts w:ascii="Calibri"/>
                <w:sz w:val="22"/>
              </w:rPr>
            </w:pPr>
            <w:r>
              <w:rPr>
                <w:rFonts w:ascii="Calibri"/>
                <w:spacing w:val="-2"/>
                <w:sz w:val="22"/>
              </w:rPr>
              <w:t>9.445839</w:t>
            </w:r>
          </w:p>
        </w:tc>
        <w:tc>
          <w:tcPr>
            <w:tcW w:w="1085" w:type="dxa"/>
          </w:tcPr>
          <w:p>
            <w:pPr>
              <w:pStyle w:val="TableParagraph"/>
              <w:spacing w:line="265" w:lineRule="exact"/>
              <w:ind w:left="84" w:right="107"/>
              <w:jc w:val="center"/>
              <w:rPr>
                <w:rFonts w:ascii="Calibri"/>
                <w:sz w:val="22"/>
              </w:rPr>
            </w:pPr>
            <w:r>
              <w:rPr>
                <w:rFonts w:ascii="Calibri"/>
                <w:spacing w:val="-2"/>
                <w:sz w:val="22"/>
              </w:rPr>
              <w:t>9.137393</w:t>
            </w:r>
          </w:p>
        </w:tc>
        <w:tc>
          <w:tcPr>
            <w:tcW w:w="1026" w:type="dxa"/>
          </w:tcPr>
          <w:p>
            <w:pPr>
              <w:pStyle w:val="TableParagraph"/>
              <w:spacing w:line="265" w:lineRule="exact"/>
              <w:ind w:left="99"/>
              <w:jc w:val="center"/>
              <w:rPr>
                <w:rFonts w:ascii="Calibri"/>
                <w:sz w:val="22"/>
              </w:rPr>
            </w:pPr>
            <w:r>
              <w:rPr>
                <w:rFonts w:ascii="Calibri"/>
                <w:spacing w:val="-2"/>
                <w:sz w:val="22"/>
              </w:rPr>
              <w:t>9.403882</w:t>
            </w:r>
          </w:p>
        </w:tc>
      </w:tr>
      <w:tr>
        <w:trPr>
          <w:trHeight w:val="300" w:hRule="atLeast"/>
        </w:trPr>
        <w:tc>
          <w:tcPr>
            <w:tcW w:w="606" w:type="dxa"/>
          </w:tcPr>
          <w:p>
            <w:pPr>
              <w:pStyle w:val="TableParagraph"/>
              <w:spacing w:line="264" w:lineRule="exact"/>
              <w:ind w:right="56"/>
              <w:jc w:val="center"/>
              <w:rPr>
                <w:rFonts w:ascii="Calibri"/>
                <w:sz w:val="22"/>
              </w:rPr>
            </w:pPr>
            <w:r>
              <w:rPr>
                <w:rFonts w:ascii="Calibri"/>
                <w:spacing w:val="-4"/>
                <w:sz w:val="22"/>
              </w:rPr>
              <w:t>1992</w:t>
            </w:r>
          </w:p>
        </w:tc>
        <w:tc>
          <w:tcPr>
            <w:tcW w:w="1081" w:type="dxa"/>
          </w:tcPr>
          <w:p>
            <w:pPr>
              <w:pStyle w:val="TableParagraph"/>
              <w:spacing w:line="264" w:lineRule="exact"/>
              <w:ind w:right="134"/>
              <w:jc w:val="right"/>
              <w:rPr>
                <w:rFonts w:ascii="Calibri"/>
                <w:sz w:val="22"/>
              </w:rPr>
            </w:pPr>
            <w:r>
              <w:rPr>
                <w:rFonts w:ascii="Calibri"/>
                <w:spacing w:val="-2"/>
                <w:sz w:val="22"/>
              </w:rPr>
              <w:t>13.18555</w:t>
            </w:r>
          </w:p>
        </w:tc>
        <w:tc>
          <w:tcPr>
            <w:tcW w:w="1081" w:type="dxa"/>
          </w:tcPr>
          <w:p>
            <w:pPr>
              <w:pStyle w:val="TableParagraph"/>
              <w:spacing w:line="264" w:lineRule="exact"/>
              <w:ind w:right="106"/>
              <w:jc w:val="right"/>
              <w:rPr>
                <w:rFonts w:ascii="Calibri"/>
                <w:sz w:val="22"/>
              </w:rPr>
            </w:pPr>
            <w:r>
              <w:rPr>
                <w:rFonts w:ascii="Calibri"/>
                <w:spacing w:val="-2"/>
                <w:sz w:val="22"/>
              </w:rPr>
              <w:t>12.28216</w:t>
            </w:r>
          </w:p>
        </w:tc>
        <w:tc>
          <w:tcPr>
            <w:tcW w:w="1053" w:type="dxa"/>
          </w:tcPr>
          <w:p>
            <w:pPr>
              <w:pStyle w:val="TableParagraph"/>
              <w:spacing w:line="264" w:lineRule="exact"/>
              <w:ind w:right="104"/>
              <w:jc w:val="right"/>
              <w:rPr>
                <w:rFonts w:ascii="Calibri"/>
                <w:sz w:val="22"/>
              </w:rPr>
            </w:pPr>
            <w:r>
              <w:rPr>
                <w:rFonts w:ascii="Calibri"/>
                <w:spacing w:val="-2"/>
                <w:sz w:val="22"/>
              </w:rPr>
              <w:t>9.928799</w:t>
            </w:r>
          </w:p>
        </w:tc>
        <w:tc>
          <w:tcPr>
            <w:tcW w:w="1053" w:type="dxa"/>
          </w:tcPr>
          <w:p>
            <w:pPr>
              <w:pStyle w:val="TableParagraph"/>
              <w:spacing w:line="264" w:lineRule="exact"/>
              <w:ind w:left="115" w:right="1"/>
              <w:jc w:val="center"/>
              <w:rPr>
                <w:rFonts w:ascii="Calibri"/>
                <w:sz w:val="22"/>
              </w:rPr>
            </w:pPr>
            <w:r>
              <w:rPr>
                <w:rFonts w:ascii="Calibri"/>
                <w:spacing w:val="-2"/>
                <w:sz w:val="22"/>
              </w:rPr>
              <w:t>10.5821</w:t>
            </w:r>
          </w:p>
        </w:tc>
        <w:tc>
          <w:tcPr>
            <w:tcW w:w="1085" w:type="dxa"/>
          </w:tcPr>
          <w:p>
            <w:pPr>
              <w:pStyle w:val="TableParagraph"/>
              <w:spacing w:line="264" w:lineRule="exact"/>
              <w:ind w:left="84" w:right="108"/>
              <w:jc w:val="center"/>
              <w:rPr>
                <w:rFonts w:ascii="Calibri"/>
                <w:sz w:val="22"/>
              </w:rPr>
            </w:pPr>
            <w:r>
              <w:rPr>
                <w:rFonts w:ascii="Calibri"/>
                <w:spacing w:val="-2"/>
                <w:sz w:val="22"/>
              </w:rPr>
              <w:t>10.31749</w:t>
            </w:r>
          </w:p>
        </w:tc>
        <w:tc>
          <w:tcPr>
            <w:tcW w:w="1026" w:type="dxa"/>
          </w:tcPr>
          <w:p>
            <w:pPr>
              <w:pStyle w:val="TableParagraph"/>
              <w:spacing w:line="264" w:lineRule="exact"/>
              <w:ind w:left="99"/>
              <w:jc w:val="center"/>
              <w:rPr>
                <w:rFonts w:ascii="Calibri"/>
                <w:sz w:val="22"/>
              </w:rPr>
            </w:pPr>
            <w:r>
              <w:rPr>
                <w:rFonts w:ascii="Calibri"/>
                <w:spacing w:val="-2"/>
                <w:sz w:val="22"/>
              </w:rPr>
              <w:t>9.916749</w:t>
            </w:r>
          </w:p>
        </w:tc>
      </w:tr>
      <w:tr>
        <w:trPr>
          <w:trHeight w:val="300" w:hRule="atLeast"/>
        </w:trPr>
        <w:tc>
          <w:tcPr>
            <w:tcW w:w="606" w:type="dxa"/>
          </w:tcPr>
          <w:p>
            <w:pPr>
              <w:pStyle w:val="TableParagraph"/>
              <w:spacing w:line="264" w:lineRule="exact"/>
              <w:ind w:right="56"/>
              <w:jc w:val="center"/>
              <w:rPr>
                <w:rFonts w:ascii="Calibri"/>
                <w:sz w:val="22"/>
              </w:rPr>
            </w:pPr>
            <w:r>
              <w:rPr>
                <w:rFonts w:ascii="Calibri"/>
                <w:spacing w:val="-4"/>
                <w:sz w:val="22"/>
              </w:rPr>
              <w:t>1993</w:t>
            </w:r>
          </w:p>
        </w:tc>
        <w:tc>
          <w:tcPr>
            <w:tcW w:w="1081" w:type="dxa"/>
          </w:tcPr>
          <w:p>
            <w:pPr>
              <w:pStyle w:val="TableParagraph"/>
              <w:spacing w:line="264" w:lineRule="exact"/>
              <w:ind w:right="134"/>
              <w:jc w:val="right"/>
              <w:rPr>
                <w:rFonts w:ascii="Calibri"/>
                <w:sz w:val="22"/>
              </w:rPr>
            </w:pPr>
            <w:r>
              <w:rPr>
                <w:rFonts w:ascii="Calibri"/>
                <w:spacing w:val="-2"/>
                <w:sz w:val="22"/>
              </w:rPr>
              <w:t>13.43552</w:t>
            </w:r>
          </w:p>
        </w:tc>
        <w:tc>
          <w:tcPr>
            <w:tcW w:w="1081" w:type="dxa"/>
          </w:tcPr>
          <w:p>
            <w:pPr>
              <w:pStyle w:val="TableParagraph"/>
              <w:spacing w:line="264" w:lineRule="exact"/>
              <w:ind w:right="106"/>
              <w:jc w:val="right"/>
              <w:rPr>
                <w:rFonts w:ascii="Calibri"/>
                <w:sz w:val="22"/>
              </w:rPr>
            </w:pPr>
            <w:r>
              <w:rPr>
                <w:rFonts w:ascii="Calibri"/>
                <w:spacing w:val="-2"/>
                <w:sz w:val="22"/>
              </w:rPr>
              <w:t>11.39505</w:t>
            </w:r>
          </w:p>
        </w:tc>
        <w:tc>
          <w:tcPr>
            <w:tcW w:w="1053" w:type="dxa"/>
          </w:tcPr>
          <w:p>
            <w:pPr>
              <w:pStyle w:val="TableParagraph"/>
              <w:spacing w:line="264" w:lineRule="exact"/>
              <w:ind w:right="105"/>
              <w:jc w:val="right"/>
              <w:rPr>
                <w:rFonts w:ascii="Calibri"/>
                <w:sz w:val="22"/>
              </w:rPr>
            </w:pPr>
            <w:r>
              <w:rPr>
                <w:rFonts w:ascii="Calibri"/>
                <w:spacing w:val="-2"/>
                <w:sz w:val="22"/>
              </w:rPr>
              <w:t>11.10926</w:t>
            </w:r>
          </w:p>
        </w:tc>
        <w:tc>
          <w:tcPr>
            <w:tcW w:w="1053" w:type="dxa"/>
          </w:tcPr>
          <w:p>
            <w:pPr>
              <w:pStyle w:val="TableParagraph"/>
              <w:spacing w:line="264" w:lineRule="exact"/>
              <w:ind w:left="115" w:right="1"/>
              <w:jc w:val="center"/>
              <w:rPr>
                <w:rFonts w:ascii="Calibri"/>
                <w:sz w:val="22"/>
              </w:rPr>
            </w:pPr>
            <w:r>
              <w:rPr>
                <w:rFonts w:ascii="Calibri"/>
                <w:spacing w:val="-2"/>
                <w:sz w:val="22"/>
              </w:rPr>
              <w:t>9.87759</w:t>
            </w:r>
          </w:p>
        </w:tc>
        <w:tc>
          <w:tcPr>
            <w:tcW w:w="1085" w:type="dxa"/>
          </w:tcPr>
          <w:p>
            <w:pPr>
              <w:pStyle w:val="TableParagraph"/>
              <w:spacing w:line="264" w:lineRule="exact"/>
              <w:ind w:left="84" w:right="108"/>
              <w:jc w:val="center"/>
              <w:rPr>
                <w:rFonts w:ascii="Calibri"/>
                <w:sz w:val="22"/>
              </w:rPr>
            </w:pPr>
            <w:r>
              <w:rPr>
                <w:rFonts w:ascii="Calibri"/>
                <w:spacing w:val="-2"/>
                <w:sz w:val="22"/>
              </w:rPr>
              <w:t>10.88281</w:t>
            </w:r>
          </w:p>
        </w:tc>
        <w:tc>
          <w:tcPr>
            <w:tcW w:w="1026" w:type="dxa"/>
          </w:tcPr>
          <w:p>
            <w:pPr>
              <w:pStyle w:val="TableParagraph"/>
              <w:spacing w:line="264" w:lineRule="exact"/>
              <w:ind w:left="210"/>
              <w:jc w:val="center"/>
              <w:rPr>
                <w:rFonts w:ascii="Calibri"/>
                <w:sz w:val="22"/>
              </w:rPr>
            </w:pPr>
            <w:r>
              <w:rPr>
                <w:rFonts w:ascii="Calibri"/>
                <w:spacing w:val="-2"/>
                <w:sz w:val="22"/>
              </w:rPr>
              <w:t>10.2321</w:t>
            </w:r>
          </w:p>
        </w:tc>
      </w:tr>
      <w:tr>
        <w:trPr>
          <w:trHeight w:val="300" w:hRule="atLeast"/>
        </w:trPr>
        <w:tc>
          <w:tcPr>
            <w:tcW w:w="606" w:type="dxa"/>
          </w:tcPr>
          <w:p>
            <w:pPr>
              <w:pStyle w:val="TableParagraph"/>
              <w:spacing w:line="264" w:lineRule="exact"/>
              <w:ind w:right="56"/>
              <w:jc w:val="center"/>
              <w:rPr>
                <w:rFonts w:ascii="Calibri"/>
                <w:sz w:val="22"/>
              </w:rPr>
            </w:pPr>
            <w:r>
              <w:rPr>
                <w:rFonts w:ascii="Calibri"/>
                <w:spacing w:val="-4"/>
                <w:sz w:val="22"/>
              </w:rPr>
              <w:t>1994</w:t>
            </w:r>
          </w:p>
        </w:tc>
        <w:tc>
          <w:tcPr>
            <w:tcW w:w="1081" w:type="dxa"/>
          </w:tcPr>
          <w:p>
            <w:pPr>
              <w:pStyle w:val="TableParagraph"/>
              <w:spacing w:line="264" w:lineRule="exact"/>
              <w:ind w:right="133"/>
              <w:jc w:val="right"/>
              <w:rPr>
                <w:rFonts w:ascii="Calibri"/>
                <w:sz w:val="22"/>
              </w:rPr>
            </w:pPr>
            <w:r>
              <w:rPr>
                <w:rFonts w:ascii="Calibri"/>
                <w:spacing w:val="-2"/>
                <w:sz w:val="22"/>
              </w:rPr>
              <w:t>13.71</w:t>
            </w:r>
          </w:p>
        </w:tc>
        <w:tc>
          <w:tcPr>
            <w:tcW w:w="1081" w:type="dxa"/>
          </w:tcPr>
          <w:p>
            <w:pPr>
              <w:pStyle w:val="TableParagraph"/>
              <w:spacing w:line="264" w:lineRule="exact"/>
              <w:ind w:right="107"/>
              <w:jc w:val="right"/>
              <w:rPr>
                <w:rFonts w:ascii="Calibri"/>
                <w:sz w:val="22"/>
              </w:rPr>
            </w:pPr>
            <w:r>
              <w:rPr>
                <w:rFonts w:ascii="Calibri"/>
                <w:spacing w:val="-2"/>
                <w:sz w:val="22"/>
              </w:rPr>
              <w:t>9.659414</w:t>
            </w:r>
          </w:p>
        </w:tc>
        <w:tc>
          <w:tcPr>
            <w:tcW w:w="1053" w:type="dxa"/>
          </w:tcPr>
          <w:p>
            <w:pPr>
              <w:pStyle w:val="TableParagraph"/>
              <w:spacing w:line="264" w:lineRule="exact"/>
              <w:ind w:right="105"/>
              <w:jc w:val="right"/>
              <w:rPr>
                <w:rFonts w:ascii="Calibri"/>
                <w:sz w:val="22"/>
              </w:rPr>
            </w:pPr>
            <w:r>
              <w:rPr>
                <w:rFonts w:ascii="Calibri"/>
                <w:spacing w:val="-2"/>
                <w:sz w:val="22"/>
              </w:rPr>
              <w:t>11.16641</w:t>
            </w:r>
          </w:p>
        </w:tc>
        <w:tc>
          <w:tcPr>
            <w:tcW w:w="1053" w:type="dxa"/>
          </w:tcPr>
          <w:p>
            <w:pPr>
              <w:pStyle w:val="TableParagraph"/>
              <w:spacing w:line="264" w:lineRule="exact"/>
              <w:ind w:left="4" w:right="1"/>
              <w:jc w:val="center"/>
              <w:rPr>
                <w:rFonts w:ascii="Calibri"/>
                <w:sz w:val="22"/>
              </w:rPr>
            </w:pPr>
            <w:r>
              <w:rPr>
                <w:rFonts w:ascii="Calibri"/>
                <w:spacing w:val="-2"/>
                <w:sz w:val="22"/>
              </w:rPr>
              <w:t>10.86483</w:t>
            </w:r>
          </w:p>
        </w:tc>
        <w:tc>
          <w:tcPr>
            <w:tcW w:w="1085" w:type="dxa"/>
          </w:tcPr>
          <w:p>
            <w:pPr>
              <w:pStyle w:val="TableParagraph"/>
              <w:spacing w:line="264" w:lineRule="exact"/>
              <w:ind w:left="84" w:right="108"/>
              <w:jc w:val="center"/>
              <w:rPr>
                <w:rFonts w:ascii="Calibri"/>
                <w:sz w:val="22"/>
              </w:rPr>
            </w:pPr>
            <w:r>
              <w:rPr>
                <w:rFonts w:ascii="Calibri"/>
                <w:spacing w:val="-2"/>
                <w:sz w:val="22"/>
              </w:rPr>
              <w:t>10.51297</w:t>
            </w:r>
          </w:p>
        </w:tc>
        <w:tc>
          <w:tcPr>
            <w:tcW w:w="1026" w:type="dxa"/>
          </w:tcPr>
          <w:p>
            <w:pPr>
              <w:pStyle w:val="TableParagraph"/>
              <w:spacing w:line="264" w:lineRule="exact"/>
              <w:ind w:left="99"/>
              <w:jc w:val="center"/>
              <w:rPr>
                <w:rFonts w:ascii="Calibri"/>
                <w:sz w:val="22"/>
              </w:rPr>
            </w:pPr>
            <w:r>
              <w:rPr>
                <w:rFonts w:ascii="Calibri"/>
                <w:spacing w:val="-2"/>
                <w:sz w:val="22"/>
              </w:rPr>
              <w:t>8.900931</w:t>
            </w:r>
          </w:p>
        </w:tc>
      </w:tr>
      <w:tr>
        <w:trPr>
          <w:trHeight w:val="300" w:hRule="atLeast"/>
        </w:trPr>
        <w:tc>
          <w:tcPr>
            <w:tcW w:w="606" w:type="dxa"/>
          </w:tcPr>
          <w:p>
            <w:pPr>
              <w:pStyle w:val="TableParagraph"/>
              <w:spacing w:line="264" w:lineRule="exact"/>
              <w:ind w:right="56"/>
              <w:jc w:val="center"/>
              <w:rPr>
                <w:rFonts w:ascii="Calibri"/>
                <w:sz w:val="22"/>
              </w:rPr>
            </w:pPr>
            <w:r>
              <w:rPr>
                <w:rFonts w:ascii="Calibri"/>
                <w:spacing w:val="-4"/>
                <w:sz w:val="22"/>
              </w:rPr>
              <w:t>1995</w:t>
            </w:r>
          </w:p>
        </w:tc>
        <w:tc>
          <w:tcPr>
            <w:tcW w:w="1081" w:type="dxa"/>
          </w:tcPr>
          <w:p>
            <w:pPr>
              <w:pStyle w:val="TableParagraph"/>
              <w:spacing w:line="264" w:lineRule="exact"/>
              <w:ind w:right="134"/>
              <w:jc w:val="right"/>
              <w:rPr>
                <w:rFonts w:ascii="Calibri"/>
                <w:sz w:val="22"/>
              </w:rPr>
            </w:pPr>
            <w:r>
              <w:rPr>
                <w:rFonts w:ascii="Calibri"/>
                <w:spacing w:val="-2"/>
                <w:sz w:val="22"/>
              </w:rPr>
              <w:t>14.47469</w:t>
            </w:r>
          </w:p>
        </w:tc>
        <w:tc>
          <w:tcPr>
            <w:tcW w:w="1081" w:type="dxa"/>
          </w:tcPr>
          <w:p>
            <w:pPr>
              <w:pStyle w:val="TableParagraph"/>
              <w:spacing w:line="264" w:lineRule="exact"/>
              <w:ind w:right="106"/>
              <w:jc w:val="right"/>
              <w:rPr>
                <w:rFonts w:ascii="Calibri"/>
                <w:sz w:val="22"/>
              </w:rPr>
            </w:pPr>
            <w:r>
              <w:rPr>
                <w:rFonts w:ascii="Calibri"/>
                <w:spacing w:val="-2"/>
                <w:sz w:val="22"/>
              </w:rPr>
              <w:t>13.41212</w:t>
            </w:r>
          </w:p>
        </w:tc>
        <w:tc>
          <w:tcPr>
            <w:tcW w:w="1053" w:type="dxa"/>
          </w:tcPr>
          <w:p>
            <w:pPr>
              <w:pStyle w:val="TableParagraph"/>
              <w:spacing w:line="264" w:lineRule="exact"/>
              <w:ind w:right="105"/>
              <w:jc w:val="right"/>
              <w:rPr>
                <w:rFonts w:ascii="Calibri"/>
                <w:sz w:val="22"/>
              </w:rPr>
            </w:pPr>
            <w:r>
              <w:rPr>
                <w:rFonts w:ascii="Calibri"/>
                <w:spacing w:val="-2"/>
                <w:sz w:val="22"/>
              </w:rPr>
              <w:t>11.69016</w:t>
            </w:r>
          </w:p>
        </w:tc>
        <w:tc>
          <w:tcPr>
            <w:tcW w:w="1053" w:type="dxa"/>
          </w:tcPr>
          <w:p>
            <w:pPr>
              <w:pStyle w:val="TableParagraph"/>
              <w:spacing w:line="264" w:lineRule="exact"/>
              <w:ind w:left="4" w:right="1"/>
              <w:jc w:val="center"/>
              <w:rPr>
                <w:rFonts w:ascii="Calibri"/>
                <w:sz w:val="22"/>
              </w:rPr>
            </w:pPr>
            <w:r>
              <w:rPr>
                <w:rFonts w:ascii="Calibri"/>
                <w:spacing w:val="-2"/>
                <w:sz w:val="22"/>
              </w:rPr>
              <w:t>12.13396</w:t>
            </w:r>
          </w:p>
        </w:tc>
        <w:tc>
          <w:tcPr>
            <w:tcW w:w="1085" w:type="dxa"/>
          </w:tcPr>
          <w:p>
            <w:pPr>
              <w:pStyle w:val="TableParagraph"/>
              <w:spacing w:line="264" w:lineRule="exact"/>
              <w:ind w:left="84" w:right="107"/>
              <w:jc w:val="center"/>
              <w:rPr>
                <w:rFonts w:ascii="Calibri"/>
                <w:sz w:val="22"/>
              </w:rPr>
            </w:pPr>
            <w:r>
              <w:rPr>
                <w:rFonts w:ascii="Calibri"/>
                <w:spacing w:val="-2"/>
                <w:sz w:val="22"/>
              </w:rPr>
              <w:t>9.197994</w:t>
            </w:r>
          </w:p>
        </w:tc>
        <w:tc>
          <w:tcPr>
            <w:tcW w:w="1026" w:type="dxa"/>
          </w:tcPr>
          <w:p>
            <w:pPr>
              <w:pStyle w:val="TableParagraph"/>
              <w:spacing w:line="264" w:lineRule="exact"/>
              <w:ind w:left="99"/>
              <w:jc w:val="center"/>
              <w:rPr>
                <w:rFonts w:ascii="Calibri"/>
                <w:sz w:val="22"/>
              </w:rPr>
            </w:pPr>
            <w:r>
              <w:rPr>
                <w:rFonts w:ascii="Calibri"/>
                <w:spacing w:val="-2"/>
                <w:sz w:val="22"/>
              </w:rPr>
              <w:t>10.86748</w:t>
            </w:r>
          </w:p>
        </w:tc>
      </w:tr>
      <w:tr>
        <w:trPr>
          <w:trHeight w:val="300" w:hRule="atLeast"/>
        </w:trPr>
        <w:tc>
          <w:tcPr>
            <w:tcW w:w="606" w:type="dxa"/>
          </w:tcPr>
          <w:p>
            <w:pPr>
              <w:pStyle w:val="TableParagraph"/>
              <w:spacing w:line="264" w:lineRule="exact"/>
              <w:ind w:right="56"/>
              <w:jc w:val="center"/>
              <w:rPr>
                <w:rFonts w:ascii="Calibri"/>
                <w:sz w:val="22"/>
              </w:rPr>
            </w:pPr>
            <w:r>
              <w:rPr>
                <w:rFonts w:ascii="Calibri"/>
                <w:spacing w:val="-4"/>
                <w:sz w:val="22"/>
              </w:rPr>
              <w:t>1996</w:t>
            </w:r>
          </w:p>
        </w:tc>
        <w:tc>
          <w:tcPr>
            <w:tcW w:w="1081" w:type="dxa"/>
          </w:tcPr>
          <w:p>
            <w:pPr>
              <w:pStyle w:val="TableParagraph"/>
              <w:spacing w:line="264" w:lineRule="exact"/>
              <w:ind w:right="134"/>
              <w:jc w:val="right"/>
              <w:rPr>
                <w:rFonts w:ascii="Calibri"/>
                <w:sz w:val="22"/>
              </w:rPr>
            </w:pPr>
            <w:r>
              <w:rPr>
                <w:rFonts w:ascii="Calibri"/>
                <w:spacing w:val="-2"/>
                <w:sz w:val="22"/>
              </w:rPr>
              <w:t>14.80977</w:t>
            </w:r>
          </w:p>
        </w:tc>
        <w:tc>
          <w:tcPr>
            <w:tcW w:w="1081" w:type="dxa"/>
          </w:tcPr>
          <w:p>
            <w:pPr>
              <w:pStyle w:val="TableParagraph"/>
              <w:spacing w:line="264" w:lineRule="exact"/>
              <w:ind w:right="106"/>
              <w:jc w:val="right"/>
              <w:rPr>
                <w:rFonts w:ascii="Calibri"/>
                <w:sz w:val="22"/>
              </w:rPr>
            </w:pPr>
            <w:r>
              <w:rPr>
                <w:rFonts w:ascii="Calibri"/>
                <w:spacing w:val="-2"/>
                <w:sz w:val="22"/>
              </w:rPr>
              <w:t>11.50837</w:t>
            </w:r>
          </w:p>
        </w:tc>
        <w:tc>
          <w:tcPr>
            <w:tcW w:w="1053" w:type="dxa"/>
          </w:tcPr>
          <w:p>
            <w:pPr>
              <w:pStyle w:val="TableParagraph"/>
              <w:spacing w:line="264" w:lineRule="exact"/>
              <w:ind w:right="105"/>
              <w:jc w:val="right"/>
              <w:rPr>
                <w:rFonts w:ascii="Calibri"/>
                <w:sz w:val="22"/>
              </w:rPr>
            </w:pPr>
            <w:r>
              <w:rPr>
                <w:rFonts w:ascii="Calibri"/>
                <w:spacing w:val="-2"/>
                <w:sz w:val="22"/>
              </w:rPr>
              <w:t>11.71669</w:t>
            </w:r>
          </w:p>
        </w:tc>
        <w:tc>
          <w:tcPr>
            <w:tcW w:w="1053" w:type="dxa"/>
          </w:tcPr>
          <w:p>
            <w:pPr>
              <w:pStyle w:val="TableParagraph"/>
              <w:spacing w:line="264" w:lineRule="exact"/>
              <w:ind w:left="4" w:right="1"/>
              <w:jc w:val="center"/>
              <w:rPr>
                <w:rFonts w:ascii="Calibri"/>
                <w:sz w:val="22"/>
              </w:rPr>
            </w:pPr>
            <w:r>
              <w:rPr>
                <w:rFonts w:ascii="Calibri"/>
                <w:spacing w:val="-2"/>
                <w:sz w:val="22"/>
              </w:rPr>
              <w:t>12.83741</w:t>
            </w:r>
          </w:p>
        </w:tc>
        <w:tc>
          <w:tcPr>
            <w:tcW w:w="1085" w:type="dxa"/>
          </w:tcPr>
          <w:p>
            <w:pPr>
              <w:pStyle w:val="TableParagraph"/>
              <w:spacing w:line="264" w:lineRule="exact"/>
              <w:ind w:left="84" w:right="108"/>
              <w:jc w:val="center"/>
              <w:rPr>
                <w:rFonts w:ascii="Calibri"/>
                <w:sz w:val="22"/>
              </w:rPr>
            </w:pPr>
            <w:r>
              <w:rPr>
                <w:rFonts w:ascii="Calibri"/>
                <w:spacing w:val="-2"/>
                <w:sz w:val="22"/>
              </w:rPr>
              <w:t>11.80542</w:t>
            </w:r>
          </w:p>
        </w:tc>
        <w:tc>
          <w:tcPr>
            <w:tcW w:w="1026" w:type="dxa"/>
          </w:tcPr>
          <w:p>
            <w:pPr>
              <w:pStyle w:val="TableParagraph"/>
              <w:spacing w:line="264" w:lineRule="exact"/>
              <w:ind w:left="99"/>
              <w:jc w:val="center"/>
              <w:rPr>
                <w:rFonts w:ascii="Calibri"/>
                <w:sz w:val="22"/>
              </w:rPr>
            </w:pPr>
            <w:r>
              <w:rPr>
                <w:rFonts w:ascii="Calibri"/>
                <w:spacing w:val="-2"/>
                <w:sz w:val="22"/>
              </w:rPr>
              <w:t>11.77001</w:t>
            </w:r>
          </w:p>
        </w:tc>
      </w:tr>
      <w:tr>
        <w:trPr>
          <w:trHeight w:val="300" w:hRule="atLeast"/>
        </w:trPr>
        <w:tc>
          <w:tcPr>
            <w:tcW w:w="606" w:type="dxa"/>
          </w:tcPr>
          <w:p>
            <w:pPr>
              <w:pStyle w:val="TableParagraph"/>
              <w:spacing w:line="264" w:lineRule="exact"/>
              <w:ind w:right="56"/>
              <w:jc w:val="center"/>
              <w:rPr>
                <w:rFonts w:ascii="Calibri"/>
                <w:sz w:val="22"/>
              </w:rPr>
            </w:pPr>
            <w:r>
              <w:rPr>
                <w:rFonts w:ascii="Calibri"/>
                <w:spacing w:val="-4"/>
                <w:sz w:val="22"/>
              </w:rPr>
              <w:t>1997</w:t>
            </w:r>
          </w:p>
        </w:tc>
        <w:tc>
          <w:tcPr>
            <w:tcW w:w="1081" w:type="dxa"/>
          </w:tcPr>
          <w:p>
            <w:pPr>
              <w:pStyle w:val="TableParagraph"/>
              <w:spacing w:line="264" w:lineRule="exact"/>
              <w:ind w:right="134"/>
              <w:jc w:val="right"/>
              <w:rPr>
                <w:rFonts w:ascii="Calibri"/>
                <w:sz w:val="22"/>
              </w:rPr>
            </w:pPr>
            <w:r>
              <w:rPr>
                <w:rFonts w:ascii="Calibri"/>
                <w:spacing w:val="-2"/>
                <w:sz w:val="22"/>
              </w:rPr>
              <w:t>14.84583</w:t>
            </w:r>
          </w:p>
        </w:tc>
        <w:tc>
          <w:tcPr>
            <w:tcW w:w="1081" w:type="dxa"/>
          </w:tcPr>
          <w:p>
            <w:pPr>
              <w:pStyle w:val="TableParagraph"/>
              <w:spacing w:line="264" w:lineRule="exact"/>
              <w:ind w:right="107"/>
              <w:jc w:val="right"/>
              <w:rPr>
                <w:rFonts w:ascii="Calibri"/>
                <w:sz w:val="22"/>
              </w:rPr>
            </w:pPr>
            <w:r>
              <w:rPr>
                <w:rFonts w:ascii="Calibri"/>
                <w:spacing w:val="-2"/>
                <w:sz w:val="22"/>
              </w:rPr>
              <w:t>9.97059</w:t>
            </w:r>
          </w:p>
        </w:tc>
        <w:tc>
          <w:tcPr>
            <w:tcW w:w="1053" w:type="dxa"/>
          </w:tcPr>
          <w:p>
            <w:pPr>
              <w:pStyle w:val="TableParagraph"/>
              <w:spacing w:line="264" w:lineRule="exact"/>
              <w:ind w:right="105"/>
              <w:jc w:val="right"/>
              <w:rPr>
                <w:rFonts w:ascii="Calibri"/>
                <w:sz w:val="22"/>
              </w:rPr>
            </w:pPr>
            <w:r>
              <w:rPr>
                <w:rFonts w:ascii="Calibri"/>
                <w:spacing w:val="-2"/>
                <w:sz w:val="22"/>
              </w:rPr>
              <w:t>11.76237</w:t>
            </w:r>
          </w:p>
        </w:tc>
        <w:tc>
          <w:tcPr>
            <w:tcW w:w="1053" w:type="dxa"/>
          </w:tcPr>
          <w:p>
            <w:pPr>
              <w:pStyle w:val="TableParagraph"/>
              <w:spacing w:line="264" w:lineRule="exact"/>
              <w:ind w:left="4" w:right="1"/>
              <w:jc w:val="center"/>
              <w:rPr>
                <w:rFonts w:ascii="Calibri"/>
                <w:sz w:val="22"/>
              </w:rPr>
            </w:pPr>
            <w:r>
              <w:rPr>
                <w:rFonts w:ascii="Calibri"/>
                <w:spacing w:val="-2"/>
                <w:sz w:val="22"/>
              </w:rPr>
              <w:t>12.48103</w:t>
            </w:r>
          </w:p>
        </w:tc>
        <w:tc>
          <w:tcPr>
            <w:tcW w:w="1085" w:type="dxa"/>
          </w:tcPr>
          <w:p>
            <w:pPr>
              <w:pStyle w:val="TableParagraph"/>
              <w:spacing w:line="264" w:lineRule="exact"/>
              <w:ind w:left="84" w:right="108"/>
              <w:jc w:val="center"/>
              <w:rPr>
                <w:rFonts w:ascii="Calibri"/>
                <w:sz w:val="22"/>
              </w:rPr>
            </w:pPr>
            <w:r>
              <w:rPr>
                <w:rFonts w:ascii="Calibri"/>
                <w:spacing w:val="-2"/>
                <w:sz w:val="22"/>
              </w:rPr>
              <w:t>11.38383</w:t>
            </w:r>
          </w:p>
        </w:tc>
        <w:tc>
          <w:tcPr>
            <w:tcW w:w="1026" w:type="dxa"/>
          </w:tcPr>
          <w:p>
            <w:pPr>
              <w:pStyle w:val="TableParagraph"/>
              <w:spacing w:line="264" w:lineRule="exact"/>
              <w:ind w:left="99"/>
              <w:jc w:val="center"/>
              <w:rPr>
                <w:rFonts w:ascii="Calibri"/>
                <w:sz w:val="22"/>
              </w:rPr>
            </w:pPr>
            <w:r>
              <w:rPr>
                <w:rFonts w:ascii="Calibri"/>
                <w:spacing w:val="-2"/>
                <w:sz w:val="22"/>
              </w:rPr>
              <w:t>8.284706</w:t>
            </w:r>
          </w:p>
        </w:tc>
      </w:tr>
      <w:tr>
        <w:trPr>
          <w:trHeight w:val="300" w:hRule="atLeast"/>
        </w:trPr>
        <w:tc>
          <w:tcPr>
            <w:tcW w:w="606" w:type="dxa"/>
          </w:tcPr>
          <w:p>
            <w:pPr>
              <w:pStyle w:val="TableParagraph"/>
              <w:spacing w:line="264" w:lineRule="exact"/>
              <w:ind w:right="56"/>
              <w:jc w:val="center"/>
              <w:rPr>
                <w:rFonts w:ascii="Calibri"/>
                <w:sz w:val="22"/>
              </w:rPr>
            </w:pPr>
            <w:r>
              <w:rPr>
                <w:rFonts w:ascii="Calibri"/>
                <w:spacing w:val="-4"/>
                <w:sz w:val="22"/>
              </w:rPr>
              <w:t>1998</w:t>
            </w:r>
          </w:p>
        </w:tc>
        <w:tc>
          <w:tcPr>
            <w:tcW w:w="1081" w:type="dxa"/>
          </w:tcPr>
          <w:p>
            <w:pPr>
              <w:pStyle w:val="TableParagraph"/>
              <w:spacing w:line="264" w:lineRule="exact"/>
              <w:ind w:right="134"/>
              <w:jc w:val="right"/>
              <w:rPr>
                <w:rFonts w:ascii="Calibri"/>
                <w:sz w:val="22"/>
              </w:rPr>
            </w:pPr>
            <w:r>
              <w:rPr>
                <w:rFonts w:ascii="Calibri"/>
                <w:spacing w:val="-2"/>
                <w:sz w:val="22"/>
              </w:rPr>
              <w:t>14.81188</w:t>
            </w:r>
          </w:p>
        </w:tc>
        <w:tc>
          <w:tcPr>
            <w:tcW w:w="1081" w:type="dxa"/>
          </w:tcPr>
          <w:p>
            <w:pPr>
              <w:pStyle w:val="TableParagraph"/>
              <w:spacing w:line="264" w:lineRule="exact"/>
              <w:ind w:right="106"/>
              <w:jc w:val="right"/>
              <w:rPr>
                <w:rFonts w:ascii="Calibri"/>
                <w:sz w:val="22"/>
              </w:rPr>
            </w:pPr>
            <w:r>
              <w:rPr>
                <w:rFonts w:ascii="Calibri"/>
                <w:spacing w:val="-2"/>
                <w:sz w:val="22"/>
              </w:rPr>
              <w:t>10.52097</w:t>
            </w:r>
          </w:p>
        </w:tc>
        <w:tc>
          <w:tcPr>
            <w:tcW w:w="1053" w:type="dxa"/>
          </w:tcPr>
          <w:p>
            <w:pPr>
              <w:pStyle w:val="TableParagraph"/>
              <w:spacing w:line="264" w:lineRule="exact"/>
              <w:ind w:right="105"/>
              <w:jc w:val="right"/>
              <w:rPr>
                <w:rFonts w:ascii="Calibri"/>
                <w:sz w:val="22"/>
              </w:rPr>
            </w:pPr>
            <w:r>
              <w:rPr>
                <w:rFonts w:ascii="Calibri"/>
                <w:spacing w:val="-2"/>
                <w:sz w:val="22"/>
              </w:rPr>
              <w:t>11.93433</w:t>
            </w:r>
          </w:p>
        </w:tc>
        <w:tc>
          <w:tcPr>
            <w:tcW w:w="1053" w:type="dxa"/>
          </w:tcPr>
          <w:p>
            <w:pPr>
              <w:pStyle w:val="TableParagraph"/>
              <w:spacing w:line="264" w:lineRule="exact"/>
              <w:ind w:left="4" w:right="1"/>
              <w:jc w:val="center"/>
              <w:rPr>
                <w:rFonts w:ascii="Calibri"/>
                <w:sz w:val="22"/>
              </w:rPr>
            </w:pPr>
            <w:r>
              <w:rPr>
                <w:rFonts w:ascii="Calibri"/>
                <w:spacing w:val="-2"/>
                <w:sz w:val="22"/>
              </w:rPr>
              <w:t>12.71117</w:t>
            </w:r>
          </w:p>
        </w:tc>
        <w:tc>
          <w:tcPr>
            <w:tcW w:w="1085" w:type="dxa"/>
          </w:tcPr>
          <w:p>
            <w:pPr>
              <w:pStyle w:val="TableParagraph"/>
              <w:spacing w:line="264" w:lineRule="exact"/>
              <w:ind w:left="84" w:right="108"/>
              <w:jc w:val="center"/>
              <w:rPr>
                <w:rFonts w:ascii="Calibri"/>
                <w:sz w:val="22"/>
              </w:rPr>
            </w:pPr>
            <w:r>
              <w:rPr>
                <w:rFonts w:ascii="Calibri"/>
                <w:spacing w:val="-2"/>
                <w:sz w:val="22"/>
              </w:rPr>
              <w:t>10.47718</w:t>
            </w:r>
          </w:p>
        </w:tc>
        <w:tc>
          <w:tcPr>
            <w:tcW w:w="1026" w:type="dxa"/>
          </w:tcPr>
          <w:p>
            <w:pPr>
              <w:pStyle w:val="TableParagraph"/>
              <w:spacing w:line="264" w:lineRule="exact"/>
              <w:ind w:left="99"/>
              <w:jc w:val="center"/>
              <w:rPr>
                <w:rFonts w:ascii="Calibri"/>
                <w:sz w:val="22"/>
              </w:rPr>
            </w:pPr>
            <w:r>
              <w:rPr>
                <w:rFonts w:ascii="Calibri"/>
                <w:spacing w:val="-2"/>
                <w:sz w:val="22"/>
              </w:rPr>
              <w:t>9.474695</w:t>
            </w:r>
          </w:p>
        </w:tc>
      </w:tr>
      <w:tr>
        <w:trPr>
          <w:trHeight w:val="300" w:hRule="atLeast"/>
        </w:trPr>
        <w:tc>
          <w:tcPr>
            <w:tcW w:w="606" w:type="dxa"/>
          </w:tcPr>
          <w:p>
            <w:pPr>
              <w:pStyle w:val="TableParagraph"/>
              <w:spacing w:line="264" w:lineRule="exact"/>
              <w:ind w:right="56"/>
              <w:jc w:val="center"/>
              <w:rPr>
                <w:rFonts w:ascii="Calibri"/>
                <w:sz w:val="22"/>
              </w:rPr>
            </w:pPr>
            <w:r>
              <w:rPr>
                <w:rFonts w:ascii="Calibri"/>
                <w:spacing w:val="-4"/>
                <w:sz w:val="22"/>
              </w:rPr>
              <w:t>1999</w:t>
            </w:r>
          </w:p>
        </w:tc>
        <w:tc>
          <w:tcPr>
            <w:tcW w:w="1081" w:type="dxa"/>
          </w:tcPr>
          <w:p>
            <w:pPr>
              <w:pStyle w:val="TableParagraph"/>
              <w:spacing w:line="264" w:lineRule="exact"/>
              <w:ind w:right="134"/>
              <w:jc w:val="right"/>
              <w:rPr>
                <w:rFonts w:ascii="Calibri"/>
                <w:sz w:val="22"/>
              </w:rPr>
            </w:pPr>
            <w:r>
              <w:rPr>
                <w:rFonts w:ascii="Calibri"/>
                <w:spacing w:val="-2"/>
                <w:sz w:val="22"/>
              </w:rPr>
              <w:t>14.97679</w:t>
            </w:r>
          </w:p>
        </w:tc>
        <w:tc>
          <w:tcPr>
            <w:tcW w:w="1081" w:type="dxa"/>
          </w:tcPr>
          <w:p>
            <w:pPr>
              <w:pStyle w:val="TableParagraph"/>
              <w:spacing w:line="264" w:lineRule="exact"/>
              <w:ind w:right="106"/>
              <w:jc w:val="right"/>
              <w:rPr>
                <w:rFonts w:ascii="Calibri"/>
                <w:sz w:val="22"/>
              </w:rPr>
            </w:pPr>
            <w:r>
              <w:rPr>
                <w:rFonts w:ascii="Calibri"/>
                <w:spacing w:val="-2"/>
                <w:sz w:val="22"/>
              </w:rPr>
              <w:t>16.80846</w:t>
            </w:r>
          </w:p>
        </w:tc>
        <w:tc>
          <w:tcPr>
            <w:tcW w:w="1053" w:type="dxa"/>
          </w:tcPr>
          <w:p>
            <w:pPr>
              <w:pStyle w:val="TableParagraph"/>
              <w:spacing w:line="264" w:lineRule="exact"/>
              <w:ind w:right="105"/>
              <w:jc w:val="right"/>
              <w:rPr>
                <w:rFonts w:ascii="Calibri"/>
                <w:sz w:val="22"/>
              </w:rPr>
            </w:pPr>
            <w:r>
              <w:rPr>
                <w:rFonts w:ascii="Calibri"/>
                <w:spacing w:val="-2"/>
                <w:sz w:val="22"/>
              </w:rPr>
              <w:t>11.94593</w:t>
            </w:r>
          </w:p>
        </w:tc>
        <w:tc>
          <w:tcPr>
            <w:tcW w:w="1053" w:type="dxa"/>
          </w:tcPr>
          <w:p>
            <w:pPr>
              <w:pStyle w:val="TableParagraph"/>
              <w:spacing w:line="264" w:lineRule="exact"/>
              <w:ind w:left="4" w:right="1"/>
              <w:jc w:val="center"/>
              <w:rPr>
                <w:rFonts w:ascii="Calibri"/>
                <w:sz w:val="22"/>
              </w:rPr>
            </w:pPr>
            <w:r>
              <w:rPr>
                <w:rFonts w:ascii="Calibri"/>
                <w:spacing w:val="-2"/>
                <w:sz w:val="22"/>
              </w:rPr>
              <w:t>10.74368</w:t>
            </w:r>
          </w:p>
        </w:tc>
        <w:tc>
          <w:tcPr>
            <w:tcW w:w="1085" w:type="dxa"/>
          </w:tcPr>
          <w:p>
            <w:pPr>
              <w:pStyle w:val="TableParagraph"/>
              <w:spacing w:line="264" w:lineRule="exact"/>
              <w:ind w:left="84" w:right="108"/>
              <w:jc w:val="center"/>
              <w:rPr>
                <w:rFonts w:ascii="Calibri"/>
                <w:sz w:val="22"/>
              </w:rPr>
            </w:pPr>
            <w:r>
              <w:rPr>
                <w:rFonts w:ascii="Calibri"/>
                <w:spacing w:val="-2"/>
                <w:sz w:val="22"/>
              </w:rPr>
              <w:t>12.67661</w:t>
            </w:r>
          </w:p>
        </w:tc>
        <w:tc>
          <w:tcPr>
            <w:tcW w:w="1026" w:type="dxa"/>
          </w:tcPr>
          <w:p>
            <w:pPr>
              <w:pStyle w:val="TableParagraph"/>
              <w:spacing w:line="264" w:lineRule="exact"/>
              <w:ind w:left="99"/>
              <w:jc w:val="center"/>
              <w:rPr>
                <w:rFonts w:ascii="Calibri"/>
                <w:sz w:val="22"/>
              </w:rPr>
            </w:pPr>
            <w:r>
              <w:rPr>
                <w:rFonts w:ascii="Calibri"/>
                <w:spacing w:val="-2"/>
                <w:sz w:val="22"/>
              </w:rPr>
              <w:t>12.94617</w:t>
            </w:r>
          </w:p>
        </w:tc>
      </w:tr>
      <w:tr>
        <w:trPr>
          <w:trHeight w:val="300" w:hRule="atLeast"/>
        </w:trPr>
        <w:tc>
          <w:tcPr>
            <w:tcW w:w="606" w:type="dxa"/>
          </w:tcPr>
          <w:p>
            <w:pPr>
              <w:pStyle w:val="TableParagraph"/>
              <w:spacing w:line="264" w:lineRule="exact"/>
              <w:ind w:right="56"/>
              <w:jc w:val="center"/>
              <w:rPr>
                <w:rFonts w:ascii="Calibri"/>
                <w:sz w:val="22"/>
              </w:rPr>
            </w:pPr>
            <w:r>
              <w:rPr>
                <w:rFonts w:ascii="Calibri"/>
                <w:spacing w:val="-4"/>
                <w:sz w:val="22"/>
              </w:rPr>
              <w:t>2000</w:t>
            </w:r>
          </w:p>
        </w:tc>
        <w:tc>
          <w:tcPr>
            <w:tcW w:w="1081" w:type="dxa"/>
          </w:tcPr>
          <w:p>
            <w:pPr>
              <w:pStyle w:val="TableParagraph"/>
              <w:spacing w:line="264" w:lineRule="exact"/>
              <w:ind w:right="134"/>
              <w:jc w:val="right"/>
              <w:rPr>
                <w:rFonts w:ascii="Calibri"/>
                <w:sz w:val="22"/>
              </w:rPr>
            </w:pPr>
            <w:r>
              <w:rPr>
                <w:rFonts w:ascii="Calibri"/>
                <w:spacing w:val="-2"/>
                <w:sz w:val="22"/>
              </w:rPr>
              <w:t>15.33767</w:t>
            </w:r>
          </w:p>
        </w:tc>
        <w:tc>
          <w:tcPr>
            <w:tcW w:w="1081" w:type="dxa"/>
          </w:tcPr>
          <w:p>
            <w:pPr>
              <w:pStyle w:val="TableParagraph"/>
              <w:spacing w:line="264" w:lineRule="exact"/>
              <w:ind w:right="106"/>
              <w:jc w:val="right"/>
              <w:rPr>
                <w:rFonts w:ascii="Calibri"/>
                <w:sz w:val="22"/>
              </w:rPr>
            </w:pPr>
            <w:r>
              <w:rPr>
                <w:rFonts w:ascii="Calibri"/>
                <w:spacing w:val="-2"/>
                <w:sz w:val="22"/>
              </w:rPr>
              <w:t>13.1616</w:t>
            </w:r>
          </w:p>
        </w:tc>
        <w:tc>
          <w:tcPr>
            <w:tcW w:w="1053" w:type="dxa"/>
          </w:tcPr>
          <w:p>
            <w:pPr>
              <w:pStyle w:val="TableParagraph"/>
              <w:spacing w:line="264" w:lineRule="exact"/>
              <w:ind w:right="105"/>
              <w:jc w:val="right"/>
              <w:rPr>
                <w:rFonts w:ascii="Calibri"/>
                <w:sz w:val="22"/>
              </w:rPr>
            </w:pPr>
            <w:r>
              <w:rPr>
                <w:rFonts w:ascii="Calibri"/>
                <w:spacing w:val="-2"/>
                <w:sz w:val="22"/>
              </w:rPr>
              <w:t>11.96741</w:t>
            </w:r>
          </w:p>
        </w:tc>
        <w:tc>
          <w:tcPr>
            <w:tcW w:w="1053" w:type="dxa"/>
          </w:tcPr>
          <w:p>
            <w:pPr>
              <w:pStyle w:val="TableParagraph"/>
              <w:spacing w:line="264" w:lineRule="exact"/>
              <w:ind w:left="4" w:right="1"/>
              <w:jc w:val="center"/>
              <w:rPr>
                <w:rFonts w:ascii="Calibri"/>
                <w:sz w:val="22"/>
              </w:rPr>
            </w:pPr>
            <w:r>
              <w:rPr>
                <w:rFonts w:ascii="Calibri"/>
                <w:spacing w:val="-2"/>
                <w:sz w:val="22"/>
              </w:rPr>
              <w:t>13.47727</w:t>
            </w:r>
          </w:p>
        </w:tc>
        <w:tc>
          <w:tcPr>
            <w:tcW w:w="1085" w:type="dxa"/>
          </w:tcPr>
          <w:p>
            <w:pPr>
              <w:pStyle w:val="TableParagraph"/>
              <w:spacing w:line="264" w:lineRule="exact"/>
              <w:ind w:left="84" w:right="108"/>
              <w:jc w:val="center"/>
              <w:rPr>
                <w:rFonts w:ascii="Calibri"/>
                <w:sz w:val="22"/>
              </w:rPr>
            </w:pPr>
            <w:r>
              <w:rPr>
                <w:rFonts w:ascii="Calibri"/>
                <w:spacing w:val="-2"/>
                <w:sz w:val="22"/>
              </w:rPr>
              <w:t>13.20537</w:t>
            </w:r>
          </w:p>
        </w:tc>
        <w:tc>
          <w:tcPr>
            <w:tcW w:w="1026" w:type="dxa"/>
          </w:tcPr>
          <w:p>
            <w:pPr>
              <w:pStyle w:val="TableParagraph"/>
              <w:spacing w:line="264" w:lineRule="exact"/>
              <w:ind w:left="99"/>
              <w:jc w:val="center"/>
              <w:rPr>
                <w:rFonts w:ascii="Calibri"/>
                <w:sz w:val="22"/>
              </w:rPr>
            </w:pPr>
            <w:r>
              <w:rPr>
                <w:rFonts w:ascii="Calibri"/>
                <w:spacing w:val="-2"/>
                <w:sz w:val="22"/>
              </w:rPr>
              <w:t>13.31322</w:t>
            </w:r>
          </w:p>
        </w:tc>
      </w:tr>
      <w:tr>
        <w:trPr>
          <w:trHeight w:val="300" w:hRule="atLeast"/>
        </w:trPr>
        <w:tc>
          <w:tcPr>
            <w:tcW w:w="606" w:type="dxa"/>
          </w:tcPr>
          <w:p>
            <w:pPr>
              <w:pStyle w:val="TableParagraph"/>
              <w:spacing w:line="264" w:lineRule="exact"/>
              <w:ind w:right="56"/>
              <w:jc w:val="center"/>
              <w:rPr>
                <w:rFonts w:ascii="Calibri"/>
                <w:sz w:val="22"/>
              </w:rPr>
            </w:pPr>
            <w:r>
              <w:rPr>
                <w:rFonts w:ascii="Calibri"/>
                <w:spacing w:val="-4"/>
                <w:sz w:val="22"/>
              </w:rPr>
              <w:t>2001</w:t>
            </w:r>
          </w:p>
        </w:tc>
        <w:tc>
          <w:tcPr>
            <w:tcW w:w="1081" w:type="dxa"/>
          </w:tcPr>
          <w:p>
            <w:pPr>
              <w:pStyle w:val="TableParagraph"/>
              <w:spacing w:line="264" w:lineRule="exact"/>
              <w:ind w:right="134"/>
              <w:jc w:val="right"/>
              <w:rPr>
                <w:rFonts w:ascii="Calibri"/>
                <w:sz w:val="22"/>
              </w:rPr>
            </w:pPr>
            <w:r>
              <w:rPr>
                <w:rFonts w:ascii="Calibri"/>
                <w:spacing w:val="-2"/>
                <w:sz w:val="22"/>
              </w:rPr>
              <w:t>15.3684</w:t>
            </w:r>
          </w:p>
        </w:tc>
        <w:tc>
          <w:tcPr>
            <w:tcW w:w="1081" w:type="dxa"/>
          </w:tcPr>
          <w:p>
            <w:pPr>
              <w:pStyle w:val="TableParagraph"/>
              <w:spacing w:line="264" w:lineRule="exact"/>
              <w:ind w:right="106"/>
              <w:jc w:val="right"/>
              <w:rPr>
                <w:rFonts w:ascii="Calibri"/>
                <w:sz w:val="22"/>
              </w:rPr>
            </w:pPr>
            <w:r>
              <w:rPr>
                <w:rFonts w:ascii="Calibri"/>
                <w:spacing w:val="-2"/>
                <w:sz w:val="22"/>
              </w:rPr>
              <w:t>11.27603</w:t>
            </w:r>
          </w:p>
        </w:tc>
        <w:tc>
          <w:tcPr>
            <w:tcW w:w="1053" w:type="dxa"/>
          </w:tcPr>
          <w:p>
            <w:pPr>
              <w:pStyle w:val="TableParagraph"/>
              <w:spacing w:line="264" w:lineRule="exact"/>
              <w:ind w:right="105"/>
              <w:jc w:val="right"/>
              <w:rPr>
                <w:rFonts w:ascii="Calibri"/>
                <w:sz w:val="22"/>
              </w:rPr>
            </w:pPr>
            <w:r>
              <w:rPr>
                <w:rFonts w:ascii="Calibri"/>
                <w:spacing w:val="-2"/>
                <w:sz w:val="22"/>
              </w:rPr>
              <w:t>11.99747</w:t>
            </w:r>
          </w:p>
        </w:tc>
        <w:tc>
          <w:tcPr>
            <w:tcW w:w="1053" w:type="dxa"/>
          </w:tcPr>
          <w:p>
            <w:pPr>
              <w:pStyle w:val="TableParagraph"/>
              <w:spacing w:line="264" w:lineRule="exact"/>
              <w:ind w:left="4" w:right="1"/>
              <w:jc w:val="center"/>
              <w:rPr>
                <w:rFonts w:ascii="Calibri"/>
                <w:sz w:val="22"/>
              </w:rPr>
            </w:pPr>
            <w:r>
              <w:rPr>
                <w:rFonts w:ascii="Calibri"/>
                <w:spacing w:val="-2"/>
                <w:sz w:val="22"/>
              </w:rPr>
              <w:t>12.40041</w:t>
            </w:r>
          </w:p>
        </w:tc>
        <w:tc>
          <w:tcPr>
            <w:tcW w:w="1085" w:type="dxa"/>
          </w:tcPr>
          <w:p>
            <w:pPr>
              <w:pStyle w:val="TableParagraph"/>
              <w:spacing w:line="264" w:lineRule="exact"/>
              <w:ind w:left="84" w:right="108"/>
              <w:jc w:val="center"/>
              <w:rPr>
                <w:rFonts w:ascii="Calibri"/>
                <w:sz w:val="22"/>
              </w:rPr>
            </w:pPr>
            <w:r>
              <w:rPr>
                <w:rFonts w:ascii="Calibri"/>
                <w:spacing w:val="-2"/>
                <w:sz w:val="22"/>
              </w:rPr>
              <w:t>11.42414</w:t>
            </w:r>
          </w:p>
        </w:tc>
        <w:tc>
          <w:tcPr>
            <w:tcW w:w="1026" w:type="dxa"/>
          </w:tcPr>
          <w:p>
            <w:pPr>
              <w:pStyle w:val="TableParagraph"/>
              <w:spacing w:line="264" w:lineRule="exact"/>
              <w:ind w:left="99"/>
              <w:jc w:val="center"/>
              <w:rPr>
                <w:rFonts w:ascii="Calibri"/>
                <w:sz w:val="22"/>
              </w:rPr>
            </w:pPr>
            <w:r>
              <w:rPr>
                <w:rFonts w:ascii="Calibri"/>
                <w:spacing w:val="-2"/>
                <w:sz w:val="22"/>
              </w:rPr>
              <w:t>11.23239</w:t>
            </w:r>
          </w:p>
        </w:tc>
      </w:tr>
      <w:tr>
        <w:trPr>
          <w:trHeight w:val="300" w:hRule="atLeast"/>
        </w:trPr>
        <w:tc>
          <w:tcPr>
            <w:tcW w:w="606" w:type="dxa"/>
          </w:tcPr>
          <w:p>
            <w:pPr>
              <w:pStyle w:val="TableParagraph"/>
              <w:spacing w:line="264" w:lineRule="exact"/>
              <w:ind w:right="56"/>
              <w:jc w:val="center"/>
              <w:rPr>
                <w:rFonts w:ascii="Calibri"/>
                <w:sz w:val="22"/>
              </w:rPr>
            </w:pPr>
            <w:r>
              <w:rPr>
                <w:rFonts w:ascii="Calibri"/>
                <w:spacing w:val="-4"/>
                <w:sz w:val="22"/>
              </w:rPr>
              <w:t>2002</w:t>
            </w:r>
          </w:p>
        </w:tc>
        <w:tc>
          <w:tcPr>
            <w:tcW w:w="1081" w:type="dxa"/>
          </w:tcPr>
          <w:p>
            <w:pPr>
              <w:pStyle w:val="TableParagraph"/>
              <w:spacing w:line="264" w:lineRule="exact"/>
              <w:ind w:right="134"/>
              <w:jc w:val="right"/>
              <w:rPr>
                <w:rFonts w:ascii="Calibri"/>
                <w:sz w:val="22"/>
              </w:rPr>
            </w:pPr>
            <w:r>
              <w:rPr>
                <w:rFonts w:ascii="Calibri"/>
                <w:spacing w:val="-2"/>
                <w:sz w:val="22"/>
              </w:rPr>
              <w:t>15.74882</w:t>
            </w:r>
          </w:p>
        </w:tc>
        <w:tc>
          <w:tcPr>
            <w:tcW w:w="1081" w:type="dxa"/>
          </w:tcPr>
          <w:p>
            <w:pPr>
              <w:pStyle w:val="TableParagraph"/>
              <w:spacing w:line="264" w:lineRule="exact"/>
              <w:ind w:right="106"/>
              <w:jc w:val="right"/>
              <w:rPr>
                <w:rFonts w:ascii="Calibri"/>
                <w:sz w:val="22"/>
              </w:rPr>
            </w:pPr>
            <w:r>
              <w:rPr>
                <w:rFonts w:ascii="Calibri"/>
                <w:spacing w:val="-2"/>
                <w:sz w:val="22"/>
              </w:rPr>
              <w:t>13.53658</w:t>
            </w:r>
          </w:p>
        </w:tc>
        <w:tc>
          <w:tcPr>
            <w:tcW w:w="1053" w:type="dxa"/>
          </w:tcPr>
          <w:p>
            <w:pPr>
              <w:pStyle w:val="TableParagraph"/>
              <w:spacing w:line="264" w:lineRule="exact"/>
              <w:ind w:right="105"/>
              <w:jc w:val="right"/>
              <w:rPr>
                <w:rFonts w:ascii="Calibri"/>
                <w:sz w:val="22"/>
              </w:rPr>
            </w:pPr>
            <w:r>
              <w:rPr>
                <w:rFonts w:ascii="Calibri"/>
                <w:spacing w:val="-2"/>
                <w:sz w:val="22"/>
              </w:rPr>
              <w:t>12.02354</w:t>
            </w:r>
          </w:p>
        </w:tc>
        <w:tc>
          <w:tcPr>
            <w:tcW w:w="1053" w:type="dxa"/>
          </w:tcPr>
          <w:p>
            <w:pPr>
              <w:pStyle w:val="TableParagraph"/>
              <w:spacing w:line="264" w:lineRule="exact"/>
              <w:ind w:left="4" w:right="1"/>
              <w:jc w:val="center"/>
              <w:rPr>
                <w:rFonts w:ascii="Calibri"/>
                <w:sz w:val="22"/>
              </w:rPr>
            </w:pPr>
            <w:r>
              <w:rPr>
                <w:rFonts w:ascii="Calibri"/>
                <w:spacing w:val="-2"/>
                <w:sz w:val="22"/>
              </w:rPr>
              <w:t>11.67025</w:t>
            </w:r>
          </w:p>
        </w:tc>
        <w:tc>
          <w:tcPr>
            <w:tcW w:w="1085" w:type="dxa"/>
          </w:tcPr>
          <w:p>
            <w:pPr>
              <w:pStyle w:val="TableParagraph"/>
              <w:spacing w:line="264" w:lineRule="exact"/>
              <w:ind w:left="84" w:right="108"/>
              <w:jc w:val="center"/>
              <w:rPr>
                <w:rFonts w:ascii="Calibri"/>
                <w:sz w:val="22"/>
              </w:rPr>
            </w:pPr>
            <w:r>
              <w:rPr>
                <w:rFonts w:ascii="Calibri"/>
                <w:spacing w:val="-2"/>
                <w:sz w:val="22"/>
              </w:rPr>
              <w:t>12.03254</w:t>
            </w:r>
          </w:p>
        </w:tc>
        <w:tc>
          <w:tcPr>
            <w:tcW w:w="1026" w:type="dxa"/>
          </w:tcPr>
          <w:p>
            <w:pPr>
              <w:pStyle w:val="TableParagraph"/>
              <w:spacing w:line="264" w:lineRule="exact"/>
              <w:ind w:left="99"/>
              <w:jc w:val="center"/>
              <w:rPr>
                <w:rFonts w:ascii="Calibri"/>
                <w:sz w:val="22"/>
              </w:rPr>
            </w:pPr>
            <w:r>
              <w:rPr>
                <w:rFonts w:ascii="Calibri"/>
                <w:spacing w:val="-2"/>
                <w:sz w:val="22"/>
              </w:rPr>
              <w:t>11.08735</w:t>
            </w:r>
          </w:p>
        </w:tc>
      </w:tr>
      <w:tr>
        <w:trPr>
          <w:trHeight w:val="300" w:hRule="atLeast"/>
        </w:trPr>
        <w:tc>
          <w:tcPr>
            <w:tcW w:w="606" w:type="dxa"/>
          </w:tcPr>
          <w:p>
            <w:pPr>
              <w:pStyle w:val="TableParagraph"/>
              <w:spacing w:line="264" w:lineRule="exact"/>
              <w:ind w:right="56"/>
              <w:jc w:val="center"/>
              <w:rPr>
                <w:rFonts w:ascii="Calibri"/>
                <w:sz w:val="22"/>
              </w:rPr>
            </w:pPr>
            <w:r>
              <w:rPr>
                <w:rFonts w:ascii="Calibri"/>
                <w:spacing w:val="-4"/>
                <w:sz w:val="22"/>
              </w:rPr>
              <w:t>2003</w:t>
            </w:r>
          </w:p>
        </w:tc>
        <w:tc>
          <w:tcPr>
            <w:tcW w:w="1081" w:type="dxa"/>
          </w:tcPr>
          <w:p>
            <w:pPr>
              <w:pStyle w:val="TableParagraph"/>
              <w:spacing w:line="264" w:lineRule="exact"/>
              <w:ind w:right="134"/>
              <w:jc w:val="right"/>
              <w:rPr>
                <w:rFonts w:ascii="Calibri"/>
                <w:sz w:val="22"/>
              </w:rPr>
            </w:pPr>
            <w:r>
              <w:rPr>
                <w:rFonts w:ascii="Calibri"/>
                <w:spacing w:val="-2"/>
                <w:sz w:val="22"/>
              </w:rPr>
              <w:t>15.95405</w:t>
            </w:r>
          </w:p>
        </w:tc>
        <w:tc>
          <w:tcPr>
            <w:tcW w:w="1081" w:type="dxa"/>
          </w:tcPr>
          <w:p>
            <w:pPr>
              <w:pStyle w:val="TableParagraph"/>
              <w:spacing w:line="264" w:lineRule="exact"/>
              <w:ind w:right="106"/>
              <w:jc w:val="right"/>
              <w:rPr>
                <w:rFonts w:ascii="Calibri"/>
                <w:sz w:val="22"/>
              </w:rPr>
            </w:pPr>
            <w:r>
              <w:rPr>
                <w:rFonts w:ascii="Calibri"/>
                <w:spacing w:val="-2"/>
                <w:sz w:val="22"/>
              </w:rPr>
              <w:t>13.20936</w:t>
            </w:r>
          </w:p>
        </w:tc>
        <w:tc>
          <w:tcPr>
            <w:tcW w:w="1053" w:type="dxa"/>
          </w:tcPr>
          <w:p>
            <w:pPr>
              <w:pStyle w:val="TableParagraph"/>
              <w:spacing w:line="264" w:lineRule="exact"/>
              <w:ind w:right="105"/>
              <w:jc w:val="right"/>
              <w:rPr>
                <w:rFonts w:ascii="Calibri"/>
                <w:sz w:val="22"/>
              </w:rPr>
            </w:pPr>
            <w:r>
              <w:rPr>
                <w:rFonts w:ascii="Calibri"/>
                <w:spacing w:val="-2"/>
                <w:sz w:val="22"/>
              </w:rPr>
              <w:t>12.09222</w:t>
            </w:r>
          </w:p>
        </w:tc>
        <w:tc>
          <w:tcPr>
            <w:tcW w:w="1053" w:type="dxa"/>
          </w:tcPr>
          <w:p>
            <w:pPr>
              <w:pStyle w:val="TableParagraph"/>
              <w:spacing w:line="264" w:lineRule="exact"/>
              <w:ind w:left="4" w:right="1"/>
              <w:jc w:val="center"/>
              <w:rPr>
                <w:rFonts w:ascii="Calibri"/>
                <w:sz w:val="22"/>
              </w:rPr>
            </w:pPr>
            <w:r>
              <w:rPr>
                <w:rFonts w:ascii="Calibri"/>
                <w:spacing w:val="-2"/>
                <w:sz w:val="22"/>
              </w:rPr>
              <w:t>13.46533</w:t>
            </w:r>
          </w:p>
        </w:tc>
        <w:tc>
          <w:tcPr>
            <w:tcW w:w="1085" w:type="dxa"/>
          </w:tcPr>
          <w:p>
            <w:pPr>
              <w:pStyle w:val="TableParagraph"/>
              <w:spacing w:line="264" w:lineRule="exact"/>
              <w:ind w:left="84" w:right="108"/>
              <w:jc w:val="center"/>
              <w:rPr>
                <w:rFonts w:ascii="Calibri"/>
                <w:sz w:val="22"/>
              </w:rPr>
            </w:pPr>
            <w:r>
              <w:rPr>
                <w:rFonts w:ascii="Calibri"/>
                <w:spacing w:val="-2"/>
                <w:sz w:val="22"/>
              </w:rPr>
              <w:t>10.85087</w:t>
            </w:r>
          </w:p>
        </w:tc>
        <w:tc>
          <w:tcPr>
            <w:tcW w:w="1026" w:type="dxa"/>
          </w:tcPr>
          <w:p>
            <w:pPr>
              <w:pStyle w:val="TableParagraph"/>
              <w:spacing w:line="264" w:lineRule="exact"/>
              <w:ind w:left="99"/>
              <w:jc w:val="center"/>
              <w:rPr>
                <w:rFonts w:ascii="Calibri"/>
                <w:sz w:val="22"/>
              </w:rPr>
            </w:pPr>
            <w:r>
              <w:rPr>
                <w:rFonts w:ascii="Calibri"/>
                <w:spacing w:val="-2"/>
                <w:sz w:val="22"/>
              </w:rPr>
              <w:t>11.57137</w:t>
            </w:r>
          </w:p>
        </w:tc>
      </w:tr>
      <w:tr>
        <w:trPr>
          <w:trHeight w:val="300" w:hRule="atLeast"/>
        </w:trPr>
        <w:tc>
          <w:tcPr>
            <w:tcW w:w="606" w:type="dxa"/>
          </w:tcPr>
          <w:p>
            <w:pPr>
              <w:pStyle w:val="TableParagraph"/>
              <w:spacing w:line="264" w:lineRule="exact"/>
              <w:ind w:right="56"/>
              <w:jc w:val="center"/>
              <w:rPr>
                <w:rFonts w:ascii="Calibri"/>
                <w:sz w:val="22"/>
              </w:rPr>
            </w:pPr>
            <w:r>
              <w:rPr>
                <w:rFonts w:ascii="Calibri"/>
                <w:spacing w:val="-4"/>
                <w:sz w:val="22"/>
              </w:rPr>
              <w:t>2004</w:t>
            </w:r>
          </w:p>
        </w:tc>
        <w:tc>
          <w:tcPr>
            <w:tcW w:w="1081" w:type="dxa"/>
          </w:tcPr>
          <w:p>
            <w:pPr>
              <w:pStyle w:val="TableParagraph"/>
              <w:spacing w:line="264" w:lineRule="exact"/>
              <w:ind w:right="134"/>
              <w:jc w:val="right"/>
              <w:rPr>
                <w:rFonts w:ascii="Calibri"/>
                <w:sz w:val="22"/>
              </w:rPr>
            </w:pPr>
            <w:r>
              <w:rPr>
                <w:rFonts w:ascii="Calibri"/>
                <w:spacing w:val="-2"/>
                <w:sz w:val="22"/>
              </w:rPr>
              <w:t>16.25009</w:t>
            </w:r>
          </w:p>
        </w:tc>
        <w:tc>
          <w:tcPr>
            <w:tcW w:w="1081" w:type="dxa"/>
          </w:tcPr>
          <w:p>
            <w:pPr>
              <w:pStyle w:val="TableParagraph"/>
              <w:spacing w:line="264" w:lineRule="exact"/>
              <w:ind w:right="106"/>
              <w:jc w:val="right"/>
              <w:rPr>
                <w:rFonts w:ascii="Calibri"/>
                <w:sz w:val="22"/>
              </w:rPr>
            </w:pPr>
            <w:r>
              <w:rPr>
                <w:rFonts w:ascii="Calibri"/>
                <w:spacing w:val="-2"/>
                <w:sz w:val="22"/>
              </w:rPr>
              <w:t>12.92863</w:t>
            </w:r>
          </w:p>
        </w:tc>
        <w:tc>
          <w:tcPr>
            <w:tcW w:w="1053" w:type="dxa"/>
          </w:tcPr>
          <w:p>
            <w:pPr>
              <w:pStyle w:val="TableParagraph"/>
              <w:spacing w:line="264" w:lineRule="exact"/>
              <w:ind w:right="105"/>
              <w:jc w:val="right"/>
              <w:rPr>
                <w:rFonts w:ascii="Calibri"/>
                <w:sz w:val="22"/>
              </w:rPr>
            </w:pPr>
            <w:r>
              <w:rPr>
                <w:rFonts w:ascii="Calibri"/>
                <w:spacing w:val="-2"/>
                <w:sz w:val="22"/>
              </w:rPr>
              <w:t>12.42609</w:t>
            </w:r>
          </w:p>
        </w:tc>
        <w:tc>
          <w:tcPr>
            <w:tcW w:w="1053" w:type="dxa"/>
          </w:tcPr>
          <w:p>
            <w:pPr>
              <w:pStyle w:val="TableParagraph"/>
              <w:spacing w:line="264" w:lineRule="exact"/>
              <w:ind w:left="4" w:right="1"/>
              <w:jc w:val="center"/>
              <w:rPr>
                <w:rFonts w:ascii="Calibri"/>
                <w:sz w:val="22"/>
              </w:rPr>
            </w:pPr>
            <w:r>
              <w:rPr>
                <w:rFonts w:ascii="Calibri"/>
                <w:spacing w:val="-2"/>
                <w:sz w:val="22"/>
              </w:rPr>
              <w:t>14.53643</w:t>
            </w:r>
          </w:p>
        </w:tc>
        <w:tc>
          <w:tcPr>
            <w:tcW w:w="1085" w:type="dxa"/>
          </w:tcPr>
          <w:p>
            <w:pPr>
              <w:pStyle w:val="TableParagraph"/>
              <w:spacing w:line="264" w:lineRule="exact"/>
              <w:ind w:left="84" w:right="108"/>
              <w:jc w:val="center"/>
              <w:rPr>
                <w:rFonts w:ascii="Calibri"/>
                <w:sz w:val="22"/>
              </w:rPr>
            </w:pPr>
            <w:r>
              <w:rPr>
                <w:rFonts w:ascii="Calibri"/>
                <w:spacing w:val="-2"/>
                <w:sz w:val="22"/>
              </w:rPr>
              <w:t>13.97058</w:t>
            </w:r>
          </w:p>
        </w:tc>
        <w:tc>
          <w:tcPr>
            <w:tcW w:w="1026" w:type="dxa"/>
          </w:tcPr>
          <w:p>
            <w:pPr>
              <w:pStyle w:val="TableParagraph"/>
              <w:spacing w:line="264" w:lineRule="exact"/>
              <w:ind w:left="99"/>
              <w:jc w:val="center"/>
              <w:rPr>
                <w:rFonts w:ascii="Calibri"/>
                <w:sz w:val="22"/>
              </w:rPr>
            </w:pPr>
            <w:r>
              <w:rPr>
                <w:rFonts w:ascii="Calibri"/>
                <w:spacing w:val="-2"/>
                <w:sz w:val="22"/>
              </w:rPr>
              <w:t>14.04379</w:t>
            </w:r>
          </w:p>
        </w:tc>
      </w:tr>
      <w:tr>
        <w:trPr>
          <w:trHeight w:val="300" w:hRule="atLeast"/>
        </w:trPr>
        <w:tc>
          <w:tcPr>
            <w:tcW w:w="606" w:type="dxa"/>
          </w:tcPr>
          <w:p>
            <w:pPr>
              <w:pStyle w:val="TableParagraph"/>
              <w:spacing w:line="264" w:lineRule="exact"/>
              <w:ind w:right="56"/>
              <w:jc w:val="center"/>
              <w:rPr>
                <w:rFonts w:ascii="Calibri"/>
                <w:sz w:val="22"/>
              </w:rPr>
            </w:pPr>
            <w:r>
              <w:rPr>
                <w:rFonts w:ascii="Calibri"/>
                <w:spacing w:val="-4"/>
                <w:sz w:val="22"/>
              </w:rPr>
              <w:t>2005</w:t>
            </w:r>
          </w:p>
        </w:tc>
        <w:tc>
          <w:tcPr>
            <w:tcW w:w="1081" w:type="dxa"/>
          </w:tcPr>
          <w:p>
            <w:pPr>
              <w:pStyle w:val="TableParagraph"/>
              <w:spacing w:line="264" w:lineRule="exact"/>
              <w:ind w:right="134"/>
              <w:jc w:val="right"/>
              <w:rPr>
                <w:rFonts w:ascii="Calibri"/>
                <w:sz w:val="22"/>
              </w:rPr>
            </w:pPr>
            <w:r>
              <w:rPr>
                <w:rFonts w:ascii="Calibri"/>
                <w:spacing w:val="-2"/>
                <w:sz w:val="22"/>
              </w:rPr>
              <w:t>16.49463</w:t>
            </w:r>
          </w:p>
        </w:tc>
        <w:tc>
          <w:tcPr>
            <w:tcW w:w="1081" w:type="dxa"/>
          </w:tcPr>
          <w:p>
            <w:pPr>
              <w:pStyle w:val="TableParagraph"/>
              <w:spacing w:line="264" w:lineRule="exact"/>
              <w:ind w:right="106"/>
              <w:jc w:val="right"/>
              <w:rPr>
                <w:rFonts w:ascii="Calibri"/>
                <w:sz w:val="22"/>
              </w:rPr>
            </w:pPr>
            <w:r>
              <w:rPr>
                <w:rFonts w:ascii="Calibri"/>
                <w:spacing w:val="-2"/>
                <w:sz w:val="22"/>
              </w:rPr>
              <w:t>14.60178</w:t>
            </w:r>
          </w:p>
        </w:tc>
        <w:tc>
          <w:tcPr>
            <w:tcW w:w="1053" w:type="dxa"/>
          </w:tcPr>
          <w:p>
            <w:pPr>
              <w:pStyle w:val="TableParagraph"/>
              <w:spacing w:line="264" w:lineRule="exact"/>
              <w:ind w:right="105"/>
              <w:jc w:val="right"/>
              <w:rPr>
                <w:rFonts w:ascii="Calibri"/>
                <w:sz w:val="22"/>
              </w:rPr>
            </w:pPr>
            <w:r>
              <w:rPr>
                <w:rFonts w:ascii="Calibri"/>
                <w:spacing w:val="-2"/>
                <w:sz w:val="22"/>
              </w:rPr>
              <w:t>12.5056</w:t>
            </w:r>
          </w:p>
        </w:tc>
        <w:tc>
          <w:tcPr>
            <w:tcW w:w="1053" w:type="dxa"/>
          </w:tcPr>
          <w:p>
            <w:pPr>
              <w:pStyle w:val="TableParagraph"/>
              <w:spacing w:line="264" w:lineRule="exact"/>
              <w:ind w:left="4" w:right="1"/>
              <w:jc w:val="center"/>
              <w:rPr>
                <w:rFonts w:ascii="Calibri"/>
                <w:sz w:val="22"/>
              </w:rPr>
            </w:pPr>
            <w:r>
              <w:rPr>
                <w:rFonts w:ascii="Calibri"/>
                <w:spacing w:val="-2"/>
                <w:sz w:val="22"/>
              </w:rPr>
              <w:t>15.40306</w:t>
            </w:r>
          </w:p>
        </w:tc>
        <w:tc>
          <w:tcPr>
            <w:tcW w:w="1085" w:type="dxa"/>
          </w:tcPr>
          <w:p>
            <w:pPr>
              <w:pStyle w:val="TableParagraph"/>
              <w:spacing w:line="264" w:lineRule="exact"/>
              <w:ind w:left="84" w:right="108"/>
              <w:jc w:val="center"/>
              <w:rPr>
                <w:rFonts w:ascii="Calibri"/>
                <w:sz w:val="22"/>
              </w:rPr>
            </w:pPr>
            <w:r>
              <w:rPr>
                <w:rFonts w:ascii="Calibri"/>
                <w:spacing w:val="-2"/>
                <w:sz w:val="22"/>
              </w:rPr>
              <w:t>14.16275</w:t>
            </w:r>
          </w:p>
        </w:tc>
        <w:tc>
          <w:tcPr>
            <w:tcW w:w="1026" w:type="dxa"/>
          </w:tcPr>
          <w:p>
            <w:pPr>
              <w:pStyle w:val="TableParagraph"/>
              <w:spacing w:line="264" w:lineRule="exact"/>
              <w:ind w:left="99"/>
              <w:jc w:val="center"/>
              <w:rPr>
                <w:rFonts w:ascii="Calibri"/>
                <w:sz w:val="22"/>
              </w:rPr>
            </w:pPr>
            <w:r>
              <w:rPr>
                <w:rFonts w:ascii="Calibri"/>
                <w:spacing w:val="-2"/>
                <w:sz w:val="22"/>
              </w:rPr>
              <w:t>14.18969</w:t>
            </w:r>
          </w:p>
        </w:tc>
      </w:tr>
      <w:tr>
        <w:trPr>
          <w:trHeight w:val="300" w:hRule="atLeast"/>
        </w:trPr>
        <w:tc>
          <w:tcPr>
            <w:tcW w:w="606" w:type="dxa"/>
          </w:tcPr>
          <w:p>
            <w:pPr>
              <w:pStyle w:val="TableParagraph"/>
              <w:spacing w:line="264" w:lineRule="exact"/>
              <w:ind w:right="56"/>
              <w:jc w:val="center"/>
              <w:rPr>
                <w:rFonts w:ascii="Calibri"/>
                <w:sz w:val="22"/>
              </w:rPr>
            </w:pPr>
            <w:r>
              <w:rPr>
                <w:rFonts w:ascii="Calibri"/>
                <w:spacing w:val="-4"/>
                <w:sz w:val="22"/>
              </w:rPr>
              <w:t>2006</w:t>
            </w:r>
          </w:p>
        </w:tc>
        <w:tc>
          <w:tcPr>
            <w:tcW w:w="1081" w:type="dxa"/>
          </w:tcPr>
          <w:p>
            <w:pPr>
              <w:pStyle w:val="TableParagraph"/>
              <w:spacing w:line="264" w:lineRule="exact"/>
              <w:ind w:right="134"/>
              <w:jc w:val="right"/>
              <w:rPr>
                <w:rFonts w:ascii="Calibri"/>
                <w:sz w:val="22"/>
              </w:rPr>
            </w:pPr>
            <w:r>
              <w:rPr>
                <w:rFonts w:ascii="Calibri"/>
                <w:spacing w:val="-2"/>
                <w:sz w:val="22"/>
              </w:rPr>
              <w:t>16.73677</w:t>
            </w:r>
          </w:p>
        </w:tc>
        <w:tc>
          <w:tcPr>
            <w:tcW w:w="1081" w:type="dxa"/>
          </w:tcPr>
          <w:p>
            <w:pPr>
              <w:pStyle w:val="TableParagraph"/>
              <w:spacing w:line="264" w:lineRule="exact"/>
              <w:ind w:right="106"/>
              <w:jc w:val="right"/>
              <w:rPr>
                <w:rFonts w:ascii="Calibri"/>
                <w:sz w:val="22"/>
              </w:rPr>
            </w:pPr>
            <w:r>
              <w:rPr>
                <w:rFonts w:ascii="Calibri"/>
                <w:spacing w:val="-2"/>
                <w:sz w:val="22"/>
              </w:rPr>
              <w:t>14.6236</w:t>
            </w:r>
          </w:p>
        </w:tc>
        <w:tc>
          <w:tcPr>
            <w:tcW w:w="1053" w:type="dxa"/>
          </w:tcPr>
          <w:p>
            <w:pPr>
              <w:pStyle w:val="TableParagraph"/>
              <w:spacing w:line="264" w:lineRule="exact"/>
              <w:ind w:right="105"/>
              <w:jc w:val="right"/>
              <w:rPr>
                <w:rFonts w:ascii="Calibri"/>
                <w:sz w:val="22"/>
              </w:rPr>
            </w:pPr>
            <w:r>
              <w:rPr>
                <w:rFonts w:ascii="Calibri"/>
                <w:spacing w:val="-2"/>
                <w:sz w:val="22"/>
              </w:rPr>
              <w:t>12.62097</w:t>
            </w:r>
          </w:p>
        </w:tc>
        <w:tc>
          <w:tcPr>
            <w:tcW w:w="1053" w:type="dxa"/>
          </w:tcPr>
          <w:p>
            <w:pPr>
              <w:pStyle w:val="TableParagraph"/>
              <w:spacing w:line="264" w:lineRule="exact"/>
              <w:ind w:left="4" w:right="1"/>
              <w:jc w:val="center"/>
              <w:rPr>
                <w:rFonts w:ascii="Calibri"/>
                <w:sz w:val="22"/>
              </w:rPr>
            </w:pPr>
            <w:r>
              <w:rPr>
                <w:rFonts w:ascii="Calibri"/>
                <w:spacing w:val="-2"/>
                <w:sz w:val="22"/>
              </w:rPr>
              <w:t>15.36266</w:t>
            </w:r>
          </w:p>
        </w:tc>
        <w:tc>
          <w:tcPr>
            <w:tcW w:w="1085" w:type="dxa"/>
          </w:tcPr>
          <w:p>
            <w:pPr>
              <w:pStyle w:val="TableParagraph"/>
              <w:spacing w:line="264" w:lineRule="exact"/>
              <w:ind w:left="84" w:right="108"/>
              <w:jc w:val="center"/>
              <w:rPr>
                <w:rFonts w:ascii="Calibri"/>
                <w:sz w:val="22"/>
              </w:rPr>
            </w:pPr>
            <w:r>
              <w:rPr>
                <w:rFonts w:ascii="Calibri"/>
                <w:spacing w:val="-2"/>
                <w:sz w:val="22"/>
              </w:rPr>
              <w:t>14.39076</w:t>
            </w:r>
          </w:p>
        </w:tc>
        <w:tc>
          <w:tcPr>
            <w:tcW w:w="1026" w:type="dxa"/>
          </w:tcPr>
          <w:p>
            <w:pPr>
              <w:pStyle w:val="TableParagraph"/>
              <w:spacing w:line="264" w:lineRule="exact"/>
              <w:ind w:left="99"/>
              <w:jc w:val="center"/>
              <w:rPr>
                <w:rFonts w:ascii="Calibri"/>
                <w:sz w:val="22"/>
              </w:rPr>
            </w:pPr>
            <w:r>
              <w:rPr>
                <w:rFonts w:ascii="Calibri"/>
                <w:spacing w:val="-2"/>
                <w:sz w:val="22"/>
              </w:rPr>
              <w:t>14.60823</w:t>
            </w:r>
          </w:p>
        </w:tc>
      </w:tr>
      <w:tr>
        <w:trPr>
          <w:trHeight w:val="300" w:hRule="atLeast"/>
        </w:trPr>
        <w:tc>
          <w:tcPr>
            <w:tcW w:w="606" w:type="dxa"/>
          </w:tcPr>
          <w:p>
            <w:pPr>
              <w:pStyle w:val="TableParagraph"/>
              <w:spacing w:line="264" w:lineRule="exact"/>
              <w:ind w:right="56"/>
              <w:jc w:val="center"/>
              <w:rPr>
                <w:rFonts w:ascii="Calibri"/>
                <w:sz w:val="22"/>
              </w:rPr>
            </w:pPr>
            <w:r>
              <w:rPr>
                <w:rFonts w:ascii="Calibri"/>
                <w:spacing w:val="-4"/>
                <w:sz w:val="22"/>
              </w:rPr>
              <w:t>2007</w:t>
            </w:r>
          </w:p>
        </w:tc>
        <w:tc>
          <w:tcPr>
            <w:tcW w:w="1081" w:type="dxa"/>
          </w:tcPr>
          <w:p>
            <w:pPr>
              <w:pStyle w:val="TableParagraph"/>
              <w:spacing w:line="264" w:lineRule="exact"/>
              <w:ind w:right="134"/>
              <w:jc w:val="right"/>
              <w:rPr>
                <w:rFonts w:ascii="Calibri"/>
                <w:sz w:val="22"/>
              </w:rPr>
            </w:pPr>
            <w:r>
              <w:rPr>
                <w:rFonts w:ascii="Calibri"/>
                <w:spacing w:val="-2"/>
                <w:sz w:val="22"/>
              </w:rPr>
              <w:t>16.84358</w:t>
            </w:r>
          </w:p>
        </w:tc>
        <w:tc>
          <w:tcPr>
            <w:tcW w:w="1081" w:type="dxa"/>
          </w:tcPr>
          <w:p>
            <w:pPr>
              <w:pStyle w:val="TableParagraph"/>
              <w:spacing w:line="264" w:lineRule="exact"/>
              <w:ind w:right="105"/>
              <w:jc w:val="right"/>
              <w:rPr>
                <w:rFonts w:ascii="Calibri"/>
                <w:sz w:val="22"/>
              </w:rPr>
            </w:pPr>
            <w:r>
              <w:rPr>
                <w:rFonts w:ascii="Calibri"/>
                <w:spacing w:val="-2"/>
                <w:sz w:val="22"/>
              </w:rPr>
              <w:t>9.9224</w:t>
            </w:r>
          </w:p>
        </w:tc>
        <w:tc>
          <w:tcPr>
            <w:tcW w:w="1053" w:type="dxa"/>
          </w:tcPr>
          <w:p>
            <w:pPr>
              <w:pStyle w:val="TableParagraph"/>
              <w:spacing w:line="264" w:lineRule="exact"/>
              <w:ind w:right="105"/>
              <w:jc w:val="right"/>
              <w:rPr>
                <w:rFonts w:ascii="Calibri"/>
                <w:sz w:val="22"/>
              </w:rPr>
            </w:pPr>
            <w:r>
              <w:rPr>
                <w:rFonts w:ascii="Calibri"/>
                <w:spacing w:val="-2"/>
                <w:sz w:val="22"/>
              </w:rPr>
              <w:t>12.80493</w:t>
            </w:r>
          </w:p>
        </w:tc>
        <w:tc>
          <w:tcPr>
            <w:tcW w:w="1053" w:type="dxa"/>
          </w:tcPr>
          <w:p>
            <w:pPr>
              <w:pStyle w:val="TableParagraph"/>
              <w:spacing w:line="264" w:lineRule="exact"/>
              <w:ind w:left="4" w:right="1"/>
              <w:jc w:val="center"/>
              <w:rPr>
                <w:rFonts w:ascii="Calibri"/>
                <w:sz w:val="22"/>
              </w:rPr>
            </w:pPr>
            <w:r>
              <w:rPr>
                <w:rFonts w:ascii="Calibri"/>
                <w:spacing w:val="-2"/>
                <w:sz w:val="22"/>
              </w:rPr>
              <w:t>15.06208</w:t>
            </w:r>
          </w:p>
        </w:tc>
        <w:tc>
          <w:tcPr>
            <w:tcW w:w="1085" w:type="dxa"/>
          </w:tcPr>
          <w:p>
            <w:pPr>
              <w:pStyle w:val="TableParagraph"/>
              <w:spacing w:line="264" w:lineRule="exact"/>
              <w:ind w:left="84" w:right="108"/>
              <w:jc w:val="center"/>
              <w:rPr>
                <w:rFonts w:ascii="Calibri"/>
                <w:sz w:val="22"/>
              </w:rPr>
            </w:pPr>
            <w:r>
              <w:rPr>
                <w:rFonts w:ascii="Calibri"/>
                <w:spacing w:val="-2"/>
                <w:sz w:val="22"/>
              </w:rPr>
              <w:t>13.35369</w:t>
            </w:r>
          </w:p>
        </w:tc>
        <w:tc>
          <w:tcPr>
            <w:tcW w:w="1026" w:type="dxa"/>
          </w:tcPr>
          <w:p>
            <w:pPr>
              <w:pStyle w:val="TableParagraph"/>
              <w:spacing w:line="264" w:lineRule="exact"/>
              <w:ind w:left="99"/>
              <w:jc w:val="center"/>
              <w:rPr>
                <w:rFonts w:ascii="Calibri"/>
                <w:sz w:val="22"/>
              </w:rPr>
            </w:pPr>
            <w:r>
              <w:rPr>
                <w:rFonts w:ascii="Calibri"/>
                <w:spacing w:val="-2"/>
                <w:sz w:val="22"/>
              </w:rPr>
              <w:t>13.77328</w:t>
            </w:r>
          </w:p>
        </w:tc>
      </w:tr>
      <w:tr>
        <w:trPr>
          <w:trHeight w:val="300" w:hRule="atLeast"/>
        </w:trPr>
        <w:tc>
          <w:tcPr>
            <w:tcW w:w="606" w:type="dxa"/>
          </w:tcPr>
          <w:p>
            <w:pPr>
              <w:pStyle w:val="TableParagraph"/>
              <w:spacing w:line="264" w:lineRule="exact"/>
              <w:ind w:right="56"/>
              <w:jc w:val="center"/>
              <w:rPr>
                <w:rFonts w:ascii="Calibri"/>
                <w:sz w:val="22"/>
              </w:rPr>
            </w:pPr>
            <w:r>
              <w:rPr>
                <w:rFonts w:ascii="Calibri"/>
                <w:spacing w:val="-4"/>
                <w:sz w:val="22"/>
              </w:rPr>
              <w:t>2008</w:t>
            </w:r>
          </w:p>
        </w:tc>
        <w:tc>
          <w:tcPr>
            <w:tcW w:w="1081" w:type="dxa"/>
          </w:tcPr>
          <w:p>
            <w:pPr>
              <w:pStyle w:val="TableParagraph"/>
              <w:spacing w:line="264" w:lineRule="exact"/>
              <w:ind w:right="134"/>
              <w:jc w:val="right"/>
              <w:rPr>
                <w:rFonts w:ascii="Calibri"/>
                <w:sz w:val="22"/>
              </w:rPr>
            </w:pPr>
            <w:r>
              <w:rPr>
                <w:rFonts w:ascii="Calibri"/>
                <w:spacing w:val="-2"/>
                <w:sz w:val="22"/>
              </w:rPr>
              <w:t>17.00584</w:t>
            </w:r>
          </w:p>
        </w:tc>
        <w:tc>
          <w:tcPr>
            <w:tcW w:w="1081" w:type="dxa"/>
          </w:tcPr>
          <w:p>
            <w:pPr>
              <w:pStyle w:val="TableParagraph"/>
              <w:spacing w:line="264" w:lineRule="exact"/>
              <w:ind w:right="106"/>
              <w:jc w:val="right"/>
              <w:rPr>
                <w:rFonts w:ascii="Calibri"/>
                <w:sz w:val="22"/>
              </w:rPr>
            </w:pPr>
            <w:r>
              <w:rPr>
                <w:rFonts w:ascii="Calibri"/>
                <w:spacing w:val="-2"/>
                <w:sz w:val="22"/>
              </w:rPr>
              <w:t>11.03651</w:t>
            </w:r>
          </w:p>
        </w:tc>
        <w:tc>
          <w:tcPr>
            <w:tcW w:w="1053" w:type="dxa"/>
          </w:tcPr>
          <w:p>
            <w:pPr>
              <w:pStyle w:val="TableParagraph"/>
              <w:spacing w:line="264" w:lineRule="exact"/>
              <w:ind w:right="105"/>
              <w:jc w:val="right"/>
              <w:rPr>
                <w:rFonts w:ascii="Calibri"/>
                <w:sz w:val="22"/>
              </w:rPr>
            </w:pPr>
            <w:r>
              <w:rPr>
                <w:rFonts w:ascii="Calibri"/>
                <w:spacing w:val="-2"/>
                <w:sz w:val="22"/>
              </w:rPr>
              <w:t>12.89882</w:t>
            </w:r>
          </w:p>
        </w:tc>
        <w:tc>
          <w:tcPr>
            <w:tcW w:w="1053" w:type="dxa"/>
          </w:tcPr>
          <w:p>
            <w:pPr>
              <w:pStyle w:val="TableParagraph"/>
              <w:spacing w:line="264" w:lineRule="exact"/>
              <w:ind w:left="4" w:right="1"/>
              <w:jc w:val="center"/>
              <w:rPr>
                <w:rFonts w:ascii="Calibri"/>
                <w:sz w:val="22"/>
              </w:rPr>
            </w:pPr>
            <w:r>
              <w:rPr>
                <w:rFonts w:ascii="Calibri"/>
                <w:spacing w:val="-2"/>
                <w:sz w:val="22"/>
              </w:rPr>
              <w:t>15.05405</w:t>
            </w:r>
          </w:p>
        </w:tc>
        <w:tc>
          <w:tcPr>
            <w:tcW w:w="1085" w:type="dxa"/>
          </w:tcPr>
          <w:p>
            <w:pPr>
              <w:pStyle w:val="TableParagraph"/>
              <w:spacing w:line="264" w:lineRule="exact"/>
              <w:ind w:left="84" w:right="108"/>
              <w:jc w:val="center"/>
              <w:rPr>
                <w:rFonts w:ascii="Calibri"/>
                <w:sz w:val="22"/>
              </w:rPr>
            </w:pPr>
            <w:r>
              <w:rPr>
                <w:rFonts w:ascii="Calibri"/>
                <w:spacing w:val="-2"/>
                <w:sz w:val="22"/>
              </w:rPr>
              <w:t>15.49336</w:t>
            </w:r>
          </w:p>
        </w:tc>
        <w:tc>
          <w:tcPr>
            <w:tcW w:w="1026" w:type="dxa"/>
          </w:tcPr>
          <w:p>
            <w:pPr>
              <w:pStyle w:val="TableParagraph"/>
              <w:spacing w:line="264" w:lineRule="exact"/>
              <w:ind w:left="99"/>
              <w:jc w:val="center"/>
              <w:rPr>
                <w:rFonts w:ascii="Calibri"/>
                <w:sz w:val="22"/>
              </w:rPr>
            </w:pPr>
            <w:r>
              <w:rPr>
                <w:rFonts w:ascii="Calibri"/>
                <w:spacing w:val="-2"/>
                <w:sz w:val="22"/>
              </w:rPr>
              <w:t>14.06543</w:t>
            </w:r>
          </w:p>
        </w:tc>
      </w:tr>
      <w:tr>
        <w:trPr>
          <w:trHeight w:val="300" w:hRule="atLeast"/>
        </w:trPr>
        <w:tc>
          <w:tcPr>
            <w:tcW w:w="606" w:type="dxa"/>
          </w:tcPr>
          <w:p>
            <w:pPr>
              <w:pStyle w:val="TableParagraph"/>
              <w:spacing w:line="264" w:lineRule="exact"/>
              <w:ind w:right="56"/>
              <w:jc w:val="center"/>
              <w:rPr>
                <w:rFonts w:ascii="Calibri"/>
                <w:sz w:val="22"/>
              </w:rPr>
            </w:pPr>
            <w:r>
              <w:rPr>
                <w:rFonts w:ascii="Calibri"/>
                <w:spacing w:val="-4"/>
                <w:sz w:val="22"/>
              </w:rPr>
              <w:t>2009</w:t>
            </w:r>
          </w:p>
        </w:tc>
        <w:tc>
          <w:tcPr>
            <w:tcW w:w="1081" w:type="dxa"/>
          </w:tcPr>
          <w:p>
            <w:pPr>
              <w:pStyle w:val="TableParagraph"/>
              <w:spacing w:line="264" w:lineRule="exact"/>
              <w:ind w:right="134"/>
              <w:jc w:val="right"/>
              <w:rPr>
                <w:rFonts w:ascii="Calibri"/>
                <w:sz w:val="22"/>
              </w:rPr>
            </w:pPr>
            <w:r>
              <w:rPr>
                <w:rFonts w:ascii="Calibri"/>
                <w:spacing w:val="-2"/>
                <w:sz w:val="22"/>
              </w:rPr>
              <w:t>17.02612</w:t>
            </w:r>
          </w:p>
        </w:tc>
        <w:tc>
          <w:tcPr>
            <w:tcW w:w="1081" w:type="dxa"/>
          </w:tcPr>
          <w:p>
            <w:pPr>
              <w:pStyle w:val="TableParagraph"/>
              <w:spacing w:line="264" w:lineRule="exact"/>
              <w:ind w:right="106"/>
              <w:jc w:val="right"/>
              <w:rPr>
                <w:rFonts w:ascii="Calibri"/>
                <w:sz w:val="22"/>
              </w:rPr>
            </w:pPr>
            <w:r>
              <w:rPr>
                <w:rFonts w:ascii="Calibri"/>
                <w:spacing w:val="-2"/>
                <w:sz w:val="22"/>
              </w:rPr>
              <w:t>11.48515</w:t>
            </w:r>
          </w:p>
        </w:tc>
        <w:tc>
          <w:tcPr>
            <w:tcW w:w="1053" w:type="dxa"/>
          </w:tcPr>
          <w:p>
            <w:pPr>
              <w:pStyle w:val="TableParagraph"/>
              <w:spacing w:line="264" w:lineRule="exact"/>
              <w:ind w:right="105"/>
              <w:jc w:val="right"/>
              <w:rPr>
                <w:rFonts w:ascii="Calibri"/>
                <w:sz w:val="22"/>
              </w:rPr>
            </w:pPr>
            <w:r>
              <w:rPr>
                <w:rFonts w:ascii="Calibri"/>
                <w:spacing w:val="-2"/>
                <w:sz w:val="22"/>
              </w:rPr>
              <w:t>12.99742</w:t>
            </w:r>
          </w:p>
        </w:tc>
        <w:tc>
          <w:tcPr>
            <w:tcW w:w="1053" w:type="dxa"/>
          </w:tcPr>
          <w:p>
            <w:pPr>
              <w:pStyle w:val="TableParagraph"/>
              <w:spacing w:line="264" w:lineRule="exact"/>
              <w:ind w:left="4" w:right="1"/>
              <w:jc w:val="center"/>
              <w:rPr>
                <w:rFonts w:ascii="Calibri"/>
                <w:sz w:val="22"/>
              </w:rPr>
            </w:pPr>
            <w:r>
              <w:rPr>
                <w:rFonts w:ascii="Calibri"/>
                <w:spacing w:val="-2"/>
                <w:sz w:val="22"/>
              </w:rPr>
              <w:t>14.53722</w:t>
            </w:r>
          </w:p>
        </w:tc>
        <w:tc>
          <w:tcPr>
            <w:tcW w:w="1085" w:type="dxa"/>
          </w:tcPr>
          <w:p>
            <w:pPr>
              <w:pStyle w:val="TableParagraph"/>
              <w:spacing w:line="264" w:lineRule="exact"/>
              <w:ind w:left="84" w:right="108"/>
              <w:jc w:val="center"/>
              <w:rPr>
                <w:rFonts w:ascii="Calibri"/>
                <w:sz w:val="22"/>
              </w:rPr>
            </w:pPr>
            <w:r>
              <w:rPr>
                <w:rFonts w:ascii="Calibri"/>
                <w:spacing w:val="-2"/>
                <w:sz w:val="22"/>
              </w:rPr>
              <w:t>12.01519</w:t>
            </w:r>
          </w:p>
        </w:tc>
        <w:tc>
          <w:tcPr>
            <w:tcW w:w="1026" w:type="dxa"/>
          </w:tcPr>
          <w:p>
            <w:pPr>
              <w:pStyle w:val="TableParagraph"/>
              <w:spacing w:line="264" w:lineRule="exact"/>
              <w:ind w:left="99"/>
              <w:jc w:val="center"/>
              <w:rPr>
                <w:rFonts w:ascii="Calibri"/>
                <w:sz w:val="22"/>
              </w:rPr>
            </w:pPr>
            <w:r>
              <w:rPr>
                <w:rFonts w:ascii="Calibri"/>
                <w:spacing w:val="-2"/>
                <w:sz w:val="22"/>
              </w:rPr>
              <w:t>14.52988</w:t>
            </w:r>
          </w:p>
        </w:tc>
      </w:tr>
      <w:tr>
        <w:trPr>
          <w:trHeight w:val="300" w:hRule="atLeast"/>
        </w:trPr>
        <w:tc>
          <w:tcPr>
            <w:tcW w:w="606" w:type="dxa"/>
          </w:tcPr>
          <w:p>
            <w:pPr>
              <w:pStyle w:val="TableParagraph"/>
              <w:spacing w:line="264" w:lineRule="exact"/>
              <w:ind w:right="56"/>
              <w:jc w:val="center"/>
              <w:rPr>
                <w:rFonts w:ascii="Calibri"/>
                <w:sz w:val="22"/>
              </w:rPr>
            </w:pPr>
            <w:r>
              <w:rPr>
                <w:rFonts w:ascii="Calibri"/>
                <w:spacing w:val="-4"/>
                <w:sz w:val="22"/>
              </w:rPr>
              <w:t>2010</w:t>
            </w:r>
          </w:p>
        </w:tc>
        <w:tc>
          <w:tcPr>
            <w:tcW w:w="1081" w:type="dxa"/>
          </w:tcPr>
          <w:p>
            <w:pPr>
              <w:pStyle w:val="TableParagraph"/>
              <w:spacing w:line="264" w:lineRule="exact"/>
              <w:ind w:right="134"/>
              <w:jc w:val="right"/>
              <w:rPr>
                <w:rFonts w:ascii="Calibri"/>
                <w:sz w:val="22"/>
              </w:rPr>
            </w:pPr>
            <w:r>
              <w:rPr>
                <w:rFonts w:ascii="Calibri"/>
                <w:spacing w:val="-2"/>
                <w:sz w:val="22"/>
              </w:rPr>
              <w:t>17.34142</w:t>
            </w:r>
          </w:p>
        </w:tc>
        <w:tc>
          <w:tcPr>
            <w:tcW w:w="1081" w:type="dxa"/>
          </w:tcPr>
          <w:p>
            <w:pPr>
              <w:pStyle w:val="TableParagraph"/>
              <w:spacing w:line="264" w:lineRule="exact"/>
              <w:ind w:right="106"/>
              <w:jc w:val="right"/>
              <w:rPr>
                <w:rFonts w:ascii="Calibri"/>
                <w:sz w:val="22"/>
              </w:rPr>
            </w:pPr>
            <w:r>
              <w:rPr>
                <w:rFonts w:ascii="Calibri"/>
                <w:spacing w:val="-2"/>
                <w:sz w:val="22"/>
              </w:rPr>
              <w:t>11.50695</w:t>
            </w:r>
          </w:p>
        </w:tc>
        <w:tc>
          <w:tcPr>
            <w:tcW w:w="1053" w:type="dxa"/>
          </w:tcPr>
          <w:p>
            <w:pPr>
              <w:pStyle w:val="TableParagraph"/>
              <w:spacing w:line="264" w:lineRule="exact"/>
              <w:ind w:right="105"/>
              <w:jc w:val="right"/>
              <w:rPr>
                <w:rFonts w:ascii="Calibri"/>
                <w:sz w:val="22"/>
              </w:rPr>
            </w:pPr>
            <w:r>
              <w:rPr>
                <w:rFonts w:ascii="Calibri"/>
                <w:spacing w:val="-2"/>
                <w:sz w:val="22"/>
              </w:rPr>
              <w:t>16.02256</w:t>
            </w:r>
          </w:p>
        </w:tc>
        <w:tc>
          <w:tcPr>
            <w:tcW w:w="1053" w:type="dxa"/>
          </w:tcPr>
          <w:p>
            <w:pPr>
              <w:pStyle w:val="TableParagraph"/>
              <w:spacing w:line="264" w:lineRule="exact"/>
              <w:ind w:left="4" w:right="1"/>
              <w:jc w:val="center"/>
              <w:rPr>
                <w:rFonts w:ascii="Calibri"/>
                <w:sz w:val="22"/>
              </w:rPr>
            </w:pPr>
            <w:r>
              <w:rPr>
                <w:rFonts w:ascii="Calibri"/>
                <w:spacing w:val="-2"/>
                <w:sz w:val="22"/>
              </w:rPr>
              <w:t>14.50515</w:t>
            </w:r>
          </w:p>
        </w:tc>
        <w:tc>
          <w:tcPr>
            <w:tcW w:w="1085" w:type="dxa"/>
          </w:tcPr>
          <w:p>
            <w:pPr>
              <w:pStyle w:val="TableParagraph"/>
              <w:spacing w:line="264" w:lineRule="exact"/>
              <w:ind w:left="84" w:right="108"/>
              <w:jc w:val="center"/>
              <w:rPr>
                <w:rFonts w:ascii="Calibri"/>
                <w:sz w:val="22"/>
              </w:rPr>
            </w:pPr>
            <w:r>
              <w:rPr>
                <w:rFonts w:ascii="Calibri"/>
                <w:spacing w:val="-2"/>
                <w:sz w:val="22"/>
              </w:rPr>
              <w:t>13.69691</w:t>
            </w:r>
          </w:p>
        </w:tc>
        <w:tc>
          <w:tcPr>
            <w:tcW w:w="1026" w:type="dxa"/>
          </w:tcPr>
          <w:p>
            <w:pPr>
              <w:pStyle w:val="TableParagraph"/>
              <w:spacing w:line="264" w:lineRule="exact"/>
              <w:ind w:left="99"/>
              <w:jc w:val="center"/>
              <w:rPr>
                <w:rFonts w:ascii="Calibri"/>
                <w:sz w:val="22"/>
              </w:rPr>
            </w:pPr>
            <w:r>
              <w:rPr>
                <w:rFonts w:ascii="Calibri"/>
                <w:spacing w:val="-2"/>
                <w:sz w:val="22"/>
              </w:rPr>
              <w:t>13.89866</w:t>
            </w:r>
          </w:p>
        </w:tc>
      </w:tr>
      <w:tr>
        <w:trPr>
          <w:trHeight w:val="260" w:hRule="atLeast"/>
        </w:trPr>
        <w:tc>
          <w:tcPr>
            <w:tcW w:w="606" w:type="dxa"/>
          </w:tcPr>
          <w:p>
            <w:pPr>
              <w:pStyle w:val="TableParagraph"/>
              <w:spacing w:line="240" w:lineRule="exact"/>
              <w:ind w:right="56"/>
              <w:jc w:val="center"/>
              <w:rPr>
                <w:rFonts w:ascii="Calibri"/>
                <w:sz w:val="22"/>
              </w:rPr>
            </w:pPr>
            <w:r>
              <w:rPr>
                <w:rFonts w:ascii="Calibri"/>
                <w:spacing w:val="-4"/>
                <w:sz w:val="22"/>
              </w:rPr>
              <w:t>2011</w:t>
            </w:r>
          </w:p>
        </w:tc>
        <w:tc>
          <w:tcPr>
            <w:tcW w:w="1081" w:type="dxa"/>
          </w:tcPr>
          <w:p>
            <w:pPr>
              <w:pStyle w:val="TableParagraph"/>
              <w:spacing w:line="240" w:lineRule="exact"/>
              <w:ind w:right="134"/>
              <w:jc w:val="right"/>
              <w:rPr>
                <w:rFonts w:ascii="Calibri"/>
                <w:sz w:val="22"/>
              </w:rPr>
            </w:pPr>
            <w:r>
              <w:rPr>
                <w:rFonts w:ascii="Calibri"/>
                <w:spacing w:val="-2"/>
                <w:sz w:val="22"/>
              </w:rPr>
              <w:t>17.44101</w:t>
            </w:r>
          </w:p>
        </w:tc>
        <w:tc>
          <w:tcPr>
            <w:tcW w:w="1081" w:type="dxa"/>
          </w:tcPr>
          <w:p>
            <w:pPr>
              <w:pStyle w:val="TableParagraph"/>
              <w:spacing w:line="240" w:lineRule="exact"/>
              <w:ind w:right="106"/>
              <w:jc w:val="right"/>
              <w:rPr>
                <w:rFonts w:ascii="Calibri"/>
                <w:sz w:val="22"/>
              </w:rPr>
            </w:pPr>
            <w:r>
              <w:rPr>
                <w:rFonts w:ascii="Calibri"/>
                <w:spacing w:val="-2"/>
                <w:sz w:val="22"/>
              </w:rPr>
              <w:t>12.24041</w:t>
            </w:r>
          </w:p>
        </w:tc>
        <w:tc>
          <w:tcPr>
            <w:tcW w:w="1053" w:type="dxa"/>
          </w:tcPr>
          <w:p>
            <w:pPr>
              <w:pStyle w:val="TableParagraph"/>
              <w:spacing w:line="240" w:lineRule="exact"/>
              <w:ind w:right="105"/>
              <w:jc w:val="right"/>
              <w:rPr>
                <w:rFonts w:ascii="Calibri"/>
                <w:sz w:val="22"/>
              </w:rPr>
            </w:pPr>
            <w:r>
              <w:rPr>
                <w:rFonts w:ascii="Calibri"/>
                <w:spacing w:val="-2"/>
                <w:sz w:val="22"/>
              </w:rPr>
              <w:t>16.17113</w:t>
            </w:r>
          </w:p>
        </w:tc>
        <w:tc>
          <w:tcPr>
            <w:tcW w:w="1053" w:type="dxa"/>
          </w:tcPr>
          <w:p>
            <w:pPr>
              <w:pStyle w:val="TableParagraph"/>
              <w:spacing w:line="240" w:lineRule="exact"/>
              <w:ind w:left="4" w:right="1"/>
              <w:jc w:val="center"/>
              <w:rPr>
                <w:rFonts w:ascii="Calibri"/>
                <w:sz w:val="22"/>
              </w:rPr>
            </w:pPr>
            <w:r>
              <w:rPr>
                <w:rFonts w:ascii="Calibri"/>
                <w:spacing w:val="-2"/>
                <w:sz w:val="22"/>
              </w:rPr>
              <w:t>14.10578</w:t>
            </w:r>
          </w:p>
        </w:tc>
        <w:tc>
          <w:tcPr>
            <w:tcW w:w="1085" w:type="dxa"/>
          </w:tcPr>
          <w:p>
            <w:pPr>
              <w:pStyle w:val="TableParagraph"/>
              <w:spacing w:line="240" w:lineRule="exact"/>
              <w:ind w:left="84" w:right="108"/>
              <w:jc w:val="center"/>
              <w:rPr>
                <w:rFonts w:ascii="Calibri"/>
                <w:sz w:val="22"/>
              </w:rPr>
            </w:pPr>
            <w:r>
              <w:rPr>
                <w:rFonts w:ascii="Calibri"/>
                <w:spacing w:val="-2"/>
                <w:sz w:val="22"/>
              </w:rPr>
              <w:t>10.95615</w:t>
            </w:r>
          </w:p>
        </w:tc>
        <w:tc>
          <w:tcPr>
            <w:tcW w:w="1026" w:type="dxa"/>
          </w:tcPr>
          <w:p>
            <w:pPr>
              <w:pStyle w:val="TableParagraph"/>
              <w:spacing w:line="240" w:lineRule="exact"/>
              <w:ind w:left="99"/>
              <w:jc w:val="center"/>
              <w:rPr>
                <w:rFonts w:ascii="Calibri"/>
                <w:sz w:val="22"/>
              </w:rPr>
            </w:pPr>
            <w:r>
              <w:rPr>
                <w:rFonts w:ascii="Calibri"/>
                <w:spacing w:val="-2"/>
                <w:sz w:val="22"/>
              </w:rPr>
              <w:t>13.35673</w:t>
            </w:r>
          </w:p>
        </w:tc>
      </w:tr>
    </w:tbl>
    <w:p>
      <w:pPr>
        <w:pStyle w:val="BodyText"/>
        <w:spacing w:before="252"/>
        <w:ind w:left="711"/>
      </w:pPr>
      <w:r>
        <w:rPr>
          <w:b/>
        </w:rPr>
        <w:t>Sources:</w:t>
      </w:r>
      <w:r>
        <w:rPr>
          <w:b/>
          <w:spacing w:val="66"/>
        </w:rPr>
        <w:t> </w:t>
      </w:r>
      <w:r>
        <w:rPr/>
        <w:t>Central</w:t>
      </w:r>
      <w:r>
        <w:rPr>
          <w:spacing w:val="65"/>
        </w:rPr>
        <w:t> </w:t>
      </w:r>
      <w:r>
        <w:rPr/>
        <w:t>Bank</w:t>
      </w:r>
      <w:r>
        <w:rPr>
          <w:spacing w:val="67"/>
        </w:rPr>
        <w:t> </w:t>
      </w:r>
      <w:r>
        <w:rPr/>
        <w:t>of</w:t>
      </w:r>
      <w:r>
        <w:rPr>
          <w:spacing w:val="40"/>
        </w:rPr>
        <w:t> </w:t>
      </w:r>
      <w:r>
        <w:rPr/>
        <w:t>Nigerian</w:t>
      </w:r>
      <w:r>
        <w:rPr>
          <w:spacing w:val="65"/>
        </w:rPr>
        <w:t> </w:t>
      </w:r>
      <w:r>
        <w:rPr/>
        <w:t>Statistical</w:t>
      </w:r>
      <w:r>
        <w:rPr>
          <w:spacing w:val="65"/>
        </w:rPr>
        <w:t> </w:t>
      </w:r>
      <w:r>
        <w:rPr/>
        <w:t>Annual</w:t>
      </w:r>
      <w:r>
        <w:rPr>
          <w:spacing w:val="65"/>
        </w:rPr>
        <w:t> </w:t>
      </w:r>
      <w:r>
        <w:rPr/>
        <w:t>Reports,</w:t>
      </w:r>
      <w:r>
        <w:rPr>
          <w:spacing w:val="65"/>
        </w:rPr>
        <w:t> </w:t>
      </w:r>
      <w:r>
        <w:rPr/>
        <w:t>World</w:t>
      </w:r>
      <w:r>
        <w:rPr>
          <w:spacing w:val="65"/>
        </w:rPr>
        <w:t> </w:t>
      </w:r>
      <w:r>
        <w:rPr/>
        <w:t>Bank</w:t>
      </w:r>
      <w:r>
        <w:rPr>
          <w:spacing w:val="68"/>
        </w:rPr>
        <w:t> </w:t>
      </w:r>
      <w:r>
        <w:rPr/>
        <w:t>Statistical</w:t>
      </w:r>
      <w:r>
        <w:rPr>
          <w:spacing w:val="65"/>
        </w:rPr>
        <w:t> </w:t>
      </w:r>
      <w:r>
        <w:rPr/>
        <w:t>Data,</w:t>
      </w:r>
      <w:r>
        <w:rPr>
          <w:spacing w:val="65"/>
        </w:rPr>
        <w:t> </w:t>
      </w:r>
      <w:r>
        <w:rPr/>
        <w:t>Federal Reserve Bank of England Statistical Reports.</w:t>
      </w:r>
    </w:p>
    <w:p>
      <w:pPr>
        <w:spacing w:after="0"/>
        <w:sectPr>
          <w:type w:val="continuous"/>
          <w:pgSz w:w="11910" w:h="16840"/>
          <w:pgMar w:header="0" w:footer="979" w:top="1480" w:bottom="1240" w:left="280" w:right="0"/>
        </w:sectPr>
      </w:pPr>
    </w:p>
    <w:p>
      <w:pPr>
        <w:spacing w:before="62"/>
        <w:ind w:left="235" w:right="0" w:firstLine="0"/>
        <w:jc w:val="center"/>
        <w:rPr>
          <w:b/>
          <w:sz w:val="20"/>
        </w:rPr>
      </w:pPr>
      <w:r>
        <w:rPr>
          <w:b/>
          <w:sz w:val="20"/>
        </w:rPr>
        <w:t>APPENDIX</w:t>
      </w:r>
      <w:r>
        <w:rPr>
          <w:b/>
          <w:spacing w:val="-10"/>
          <w:sz w:val="20"/>
        </w:rPr>
        <w:t> </w:t>
      </w:r>
      <w:r>
        <w:rPr>
          <w:b/>
          <w:spacing w:val="-5"/>
          <w:sz w:val="20"/>
        </w:rPr>
        <w:t>A2</w:t>
      </w:r>
    </w:p>
    <w:p>
      <w:pPr>
        <w:pStyle w:val="BodyText"/>
        <w:rPr>
          <w:b/>
          <w:sz w:val="20"/>
        </w:rPr>
      </w:pPr>
    </w:p>
    <w:p>
      <w:pPr>
        <w:pStyle w:val="BodyText"/>
        <w:spacing w:before="125"/>
        <w:rPr>
          <w:b/>
          <w:sz w:val="20"/>
        </w:rPr>
      </w:pPr>
    </w:p>
    <w:p>
      <w:pPr>
        <w:pStyle w:val="Heading5"/>
        <w:spacing w:before="0"/>
        <w:ind w:left="711"/>
        <w:jc w:val="left"/>
      </w:pPr>
      <w:r>
        <w:rPr/>
        <w:t>RESULT</w:t>
      </w:r>
      <w:r>
        <w:rPr>
          <w:spacing w:val="-1"/>
        </w:rPr>
        <w:t> </w:t>
      </w:r>
      <w:r>
        <w:rPr/>
        <w:t>OF</w:t>
      </w:r>
      <w:r>
        <w:rPr>
          <w:spacing w:val="-4"/>
        </w:rPr>
        <w:t> </w:t>
      </w:r>
      <w:r>
        <w:rPr/>
        <w:t>ORDINARY</w:t>
      </w:r>
      <w:r>
        <w:rPr>
          <w:spacing w:val="-2"/>
        </w:rPr>
        <w:t> </w:t>
      </w:r>
      <w:r>
        <w:rPr/>
        <w:t>LEAST</w:t>
      </w:r>
      <w:r>
        <w:rPr>
          <w:spacing w:val="-1"/>
        </w:rPr>
        <w:t> </w:t>
      </w:r>
      <w:r>
        <w:rPr/>
        <w:t>SQUARE</w:t>
      </w:r>
      <w:r>
        <w:rPr>
          <w:spacing w:val="-3"/>
        </w:rPr>
        <w:t> </w:t>
      </w:r>
      <w:r>
        <w:rPr/>
        <w:t>REGRESSION</w:t>
      </w:r>
      <w:r>
        <w:rPr>
          <w:spacing w:val="-1"/>
        </w:rPr>
        <w:t> </w:t>
      </w:r>
      <w:r>
        <w:rPr/>
        <w:t>ANALYSIS</w:t>
      </w:r>
      <w:r>
        <w:rPr>
          <w:spacing w:val="-1"/>
        </w:rPr>
        <w:t> </w:t>
      </w:r>
      <w:r>
        <w:rPr/>
        <w:t>FOR</w:t>
      </w:r>
      <w:r>
        <w:rPr>
          <w:spacing w:val="-1"/>
        </w:rPr>
        <w:t> </w:t>
      </w:r>
      <w:r>
        <w:rPr/>
        <w:t>MODEL </w:t>
      </w:r>
      <w:r>
        <w:rPr>
          <w:spacing w:val="-5"/>
        </w:rPr>
        <w:t>1A</w:t>
      </w:r>
    </w:p>
    <w:p>
      <w:pPr>
        <w:spacing w:before="232"/>
        <w:ind w:left="711" w:right="6277" w:firstLine="0"/>
        <w:jc w:val="left"/>
        <w:rPr>
          <w:sz w:val="20"/>
        </w:rPr>
      </w:pPr>
      <w:r>
        <w:rPr>
          <w:sz w:val="20"/>
        </w:rPr>
        <w:t>MODEL</w:t>
      </w:r>
      <w:r>
        <w:rPr>
          <w:spacing w:val="-8"/>
          <w:sz w:val="20"/>
        </w:rPr>
        <w:t> </w:t>
      </w:r>
      <w:r>
        <w:rPr>
          <w:sz w:val="20"/>
        </w:rPr>
        <w:t>1A</w:t>
      </w:r>
      <w:r>
        <w:rPr>
          <w:spacing w:val="-8"/>
          <w:sz w:val="20"/>
        </w:rPr>
        <w:t> </w:t>
      </w:r>
      <w:r>
        <w:rPr>
          <w:sz w:val="20"/>
        </w:rPr>
        <w:t>WORLD</w:t>
      </w:r>
      <w:r>
        <w:rPr>
          <w:spacing w:val="-6"/>
          <w:sz w:val="20"/>
        </w:rPr>
        <w:t> </w:t>
      </w:r>
      <w:r>
        <w:rPr>
          <w:sz w:val="20"/>
        </w:rPr>
        <w:t>BANK</w:t>
      </w:r>
      <w:r>
        <w:rPr>
          <w:spacing w:val="-2"/>
          <w:sz w:val="20"/>
        </w:rPr>
        <w:t> </w:t>
      </w:r>
      <w:r>
        <w:rPr>
          <w:sz w:val="20"/>
        </w:rPr>
        <w:t>&amp;</w:t>
      </w:r>
      <w:r>
        <w:rPr>
          <w:spacing w:val="-8"/>
          <w:sz w:val="20"/>
        </w:rPr>
        <w:t> </w:t>
      </w:r>
      <w:r>
        <w:rPr>
          <w:sz w:val="20"/>
        </w:rPr>
        <w:t>ERBE</w:t>
      </w:r>
      <w:r>
        <w:rPr>
          <w:spacing w:val="-6"/>
          <w:sz w:val="20"/>
        </w:rPr>
        <w:t> </w:t>
      </w:r>
      <w:r>
        <w:rPr>
          <w:sz w:val="20"/>
        </w:rPr>
        <w:t>ESTIMATES OLS RESULT</w:t>
      </w:r>
    </w:p>
    <w:tbl>
      <w:tblPr>
        <w:tblW w:w="0" w:type="auto"/>
        <w:jc w:val="left"/>
        <w:tblInd w:w="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10"/>
        <w:gridCol w:w="1313"/>
        <w:gridCol w:w="1433"/>
        <w:gridCol w:w="937"/>
        <w:gridCol w:w="897"/>
      </w:tblGrid>
      <w:tr>
        <w:trPr>
          <w:trHeight w:val="225" w:hRule="atLeast"/>
        </w:trPr>
        <w:tc>
          <w:tcPr>
            <w:tcW w:w="6490" w:type="dxa"/>
            <w:gridSpan w:val="5"/>
          </w:tcPr>
          <w:p>
            <w:pPr>
              <w:pStyle w:val="TableParagraph"/>
              <w:spacing w:line="205" w:lineRule="exact"/>
              <w:ind w:left="36"/>
              <w:rPr>
                <w:sz w:val="20"/>
              </w:rPr>
            </w:pPr>
            <w:r>
              <w:rPr>
                <w:sz w:val="20"/>
              </w:rPr>
              <w:t>Dependent</w:t>
            </w:r>
            <w:r>
              <w:rPr>
                <w:spacing w:val="-8"/>
                <w:sz w:val="20"/>
              </w:rPr>
              <w:t> </w:t>
            </w:r>
            <w:r>
              <w:rPr>
                <w:sz w:val="20"/>
              </w:rPr>
              <w:t>Variable:</w:t>
            </w:r>
            <w:r>
              <w:rPr>
                <w:spacing w:val="-8"/>
                <w:sz w:val="20"/>
              </w:rPr>
              <w:t> </w:t>
            </w:r>
            <w:r>
              <w:rPr>
                <w:spacing w:val="-5"/>
                <w:sz w:val="20"/>
              </w:rPr>
              <w:t>KFW</w:t>
            </w:r>
          </w:p>
        </w:tc>
      </w:tr>
      <w:tr>
        <w:trPr>
          <w:trHeight w:val="230" w:hRule="atLeast"/>
        </w:trPr>
        <w:tc>
          <w:tcPr>
            <w:tcW w:w="1910" w:type="dxa"/>
          </w:tcPr>
          <w:p>
            <w:pPr>
              <w:pStyle w:val="TableParagraph"/>
              <w:spacing w:line="210" w:lineRule="exact"/>
              <w:ind w:left="36"/>
              <w:rPr>
                <w:sz w:val="20"/>
              </w:rPr>
            </w:pPr>
            <w:r>
              <w:rPr>
                <w:sz w:val="20"/>
              </w:rPr>
              <w:t>Method:</w:t>
            </w:r>
            <w:r>
              <w:rPr>
                <w:spacing w:val="-8"/>
                <w:sz w:val="20"/>
              </w:rPr>
              <w:t> </w:t>
            </w:r>
            <w:r>
              <w:rPr>
                <w:sz w:val="20"/>
              </w:rPr>
              <w:t>Least</w:t>
            </w:r>
            <w:r>
              <w:rPr>
                <w:spacing w:val="-7"/>
                <w:sz w:val="20"/>
              </w:rPr>
              <w:t> </w:t>
            </w:r>
            <w:r>
              <w:rPr>
                <w:spacing w:val="-2"/>
                <w:sz w:val="20"/>
              </w:rPr>
              <w:t>Squares</w:t>
            </w:r>
          </w:p>
        </w:tc>
        <w:tc>
          <w:tcPr>
            <w:tcW w:w="1313" w:type="dxa"/>
          </w:tcPr>
          <w:p>
            <w:pPr>
              <w:pStyle w:val="TableParagraph"/>
              <w:rPr>
                <w:sz w:val="16"/>
              </w:rPr>
            </w:pPr>
          </w:p>
        </w:tc>
        <w:tc>
          <w:tcPr>
            <w:tcW w:w="1433" w:type="dxa"/>
          </w:tcPr>
          <w:p>
            <w:pPr>
              <w:pStyle w:val="TableParagraph"/>
              <w:rPr>
                <w:sz w:val="16"/>
              </w:rPr>
            </w:pPr>
          </w:p>
        </w:tc>
        <w:tc>
          <w:tcPr>
            <w:tcW w:w="937" w:type="dxa"/>
          </w:tcPr>
          <w:p>
            <w:pPr>
              <w:pStyle w:val="TableParagraph"/>
              <w:rPr>
                <w:sz w:val="16"/>
              </w:rPr>
            </w:pPr>
          </w:p>
        </w:tc>
        <w:tc>
          <w:tcPr>
            <w:tcW w:w="897" w:type="dxa"/>
          </w:tcPr>
          <w:p>
            <w:pPr>
              <w:pStyle w:val="TableParagraph"/>
              <w:rPr>
                <w:sz w:val="16"/>
              </w:rPr>
            </w:pPr>
          </w:p>
        </w:tc>
      </w:tr>
      <w:tr>
        <w:trPr>
          <w:trHeight w:val="230" w:hRule="atLeast"/>
        </w:trPr>
        <w:tc>
          <w:tcPr>
            <w:tcW w:w="6490" w:type="dxa"/>
            <w:gridSpan w:val="5"/>
          </w:tcPr>
          <w:p>
            <w:pPr>
              <w:pStyle w:val="TableParagraph"/>
              <w:spacing w:line="210" w:lineRule="exact"/>
              <w:ind w:left="36"/>
              <w:rPr>
                <w:sz w:val="20"/>
              </w:rPr>
            </w:pPr>
            <w:r>
              <w:rPr>
                <w:sz w:val="20"/>
              </w:rPr>
              <w:t>Date:</w:t>
            </w:r>
            <w:r>
              <w:rPr>
                <w:spacing w:val="-5"/>
                <w:sz w:val="20"/>
              </w:rPr>
              <w:t> </w:t>
            </w:r>
            <w:r>
              <w:rPr>
                <w:sz w:val="20"/>
              </w:rPr>
              <w:t>02/18/14</w:t>
            </w:r>
            <w:r>
              <w:rPr>
                <w:spacing w:val="63"/>
                <w:w w:val="150"/>
                <w:sz w:val="20"/>
              </w:rPr>
              <w:t> </w:t>
            </w:r>
            <w:r>
              <w:rPr>
                <w:sz w:val="20"/>
              </w:rPr>
              <w:t>Time:</w:t>
            </w:r>
            <w:r>
              <w:rPr>
                <w:spacing w:val="-3"/>
                <w:sz w:val="20"/>
              </w:rPr>
              <w:t> </w:t>
            </w:r>
            <w:r>
              <w:rPr>
                <w:spacing w:val="-2"/>
                <w:sz w:val="20"/>
              </w:rPr>
              <w:t>07:55</w:t>
            </w:r>
          </w:p>
        </w:tc>
      </w:tr>
      <w:tr>
        <w:trPr>
          <w:trHeight w:val="230" w:hRule="atLeast"/>
        </w:trPr>
        <w:tc>
          <w:tcPr>
            <w:tcW w:w="1910" w:type="dxa"/>
          </w:tcPr>
          <w:p>
            <w:pPr>
              <w:pStyle w:val="TableParagraph"/>
              <w:spacing w:line="210" w:lineRule="exact"/>
              <w:ind w:left="36"/>
              <w:rPr>
                <w:sz w:val="20"/>
              </w:rPr>
            </w:pPr>
            <w:r>
              <w:rPr>
                <w:sz w:val="20"/>
              </w:rPr>
              <w:t>Sample:</w:t>
            </w:r>
            <w:r>
              <w:rPr>
                <w:spacing w:val="-5"/>
                <w:sz w:val="20"/>
              </w:rPr>
              <w:t> </w:t>
            </w:r>
            <w:r>
              <w:rPr>
                <w:sz w:val="20"/>
              </w:rPr>
              <w:t>1970</w:t>
            </w:r>
            <w:r>
              <w:rPr>
                <w:spacing w:val="-3"/>
                <w:sz w:val="20"/>
              </w:rPr>
              <w:t> </w:t>
            </w:r>
            <w:r>
              <w:rPr>
                <w:spacing w:val="-4"/>
                <w:sz w:val="20"/>
              </w:rPr>
              <w:t>2011</w:t>
            </w:r>
          </w:p>
        </w:tc>
        <w:tc>
          <w:tcPr>
            <w:tcW w:w="1313" w:type="dxa"/>
          </w:tcPr>
          <w:p>
            <w:pPr>
              <w:pStyle w:val="TableParagraph"/>
              <w:rPr>
                <w:sz w:val="16"/>
              </w:rPr>
            </w:pPr>
          </w:p>
        </w:tc>
        <w:tc>
          <w:tcPr>
            <w:tcW w:w="1433" w:type="dxa"/>
          </w:tcPr>
          <w:p>
            <w:pPr>
              <w:pStyle w:val="TableParagraph"/>
              <w:rPr>
                <w:sz w:val="16"/>
              </w:rPr>
            </w:pPr>
          </w:p>
        </w:tc>
        <w:tc>
          <w:tcPr>
            <w:tcW w:w="937" w:type="dxa"/>
          </w:tcPr>
          <w:p>
            <w:pPr>
              <w:pStyle w:val="TableParagraph"/>
              <w:rPr>
                <w:sz w:val="16"/>
              </w:rPr>
            </w:pPr>
          </w:p>
        </w:tc>
        <w:tc>
          <w:tcPr>
            <w:tcW w:w="897" w:type="dxa"/>
          </w:tcPr>
          <w:p>
            <w:pPr>
              <w:pStyle w:val="TableParagraph"/>
              <w:rPr>
                <w:sz w:val="16"/>
              </w:rPr>
            </w:pPr>
          </w:p>
        </w:tc>
      </w:tr>
      <w:tr>
        <w:trPr>
          <w:trHeight w:val="224" w:hRule="atLeast"/>
        </w:trPr>
        <w:tc>
          <w:tcPr>
            <w:tcW w:w="6490" w:type="dxa"/>
            <w:gridSpan w:val="5"/>
            <w:tcBorders>
              <w:bottom w:val="double" w:sz="6" w:space="0" w:color="000000"/>
            </w:tcBorders>
          </w:tcPr>
          <w:p>
            <w:pPr>
              <w:pStyle w:val="TableParagraph"/>
              <w:spacing w:line="205" w:lineRule="exact"/>
              <w:ind w:left="36"/>
              <w:rPr>
                <w:sz w:val="20"/>
              </w:rPr>
            </w:pPr>
            <w:r>
              <w:rPr>
                <w:sz w:val="20"/>
              </w:rPr>
              <w:t>Included</w:t>
            </w:r>
            <w:r>
              <w:rPr>
                <w:spacing w:val="-9"/>
                <w:sz w:val="20"/>
              </w:rPr>
              <w:t> </w:t>
            </w:r>
            <w:r>
              <w:rPr>
                <w:sz w:val="20"/>
              </w:rPr>
              <w:t>observations:</w:t>
            </w:r>
            <w:r>
              <w:rPr>
                <w:spacing w:val="-10"/>
                <w:sz w:val="20"/>
              </w:rPr>
              <w:t> </w:t>
            </w:r>
            <w:r>
              <w:rPr>
                <w:spacing w:val="-5"/>
                <w:sz w:val="20"/>
              </w:rPr>
              <w:t>42</w:t>
            </w:r>
          </w:p>
        </w:tc>
      </w:tr>
      <w:tr>
        <w:trPr>
          <w:trHeight w:val="269" w:hRule="atLeast"/>
        </w:trPr>
        <w:tc>
          <w:tcPr>
            <w:tcW w:w="1910" w:type="dxa"/>
            <w:tcBorders>
              <w:top w:val="double" w:sz="6" w:space="0" w:color="000000"/>
              <w:bottom w:val="double" w:sz="6" w:space="0" w:color="000000"/>
            </w:tcBorders>
          </w:tcPr>
          <w:p>
            <w:pPr>
              <w:pStyle w:val="TableParagraph"/>
              <w:spacing w:line="209" w:lineRule="exact" w:before="40"/>
              <w:ind w:left="677"/>
              <w:rPr>
                <w:sz w:val="20"/>
              </w:rPr>
            </w:pPr>
            <w:r>
              <w:rPr>
                <w:spacing w:val="-2"/>
                <w:sz w:val="20"/>
              </w:rPr>
              <w:t>Variable</w:t>
            </w:r>
          </w:p>
        </w:tc>
        <w:tc>
          <w:tcPr>
            <w:tcW w:w="1313" w:type="dxa"/>
            <w:tcBorders>
              <w:top w:val="double" w:sz="6" w:space="0" w:color="000000"/>
              <w:bottom w:val="double" w:sz="6" w:space="0" w:color="000000"/>
            </w:tcBorders>
          </w:tcPr>
          <w:p>
            <w:pPr>
              <w:pStyle w:val="TableParagraph"/>
              <w:spacing w:line="209" w:lineRule="exact" w:before="40"/>
              <w:ind w:left="234" w:right="87"/>
              <w:jc w:val="center"/>
              <w:rPr>
                <w:sz w:val="20"/>
              </w:rPr>
            </w:pPr>
            <w:r>
              <w:rPr>
                <w:spacing w:val="-2"/>
                <w:sz w:val="20"/>
              </w:rPr>
              <w:t>Coefficient</w:t>
            </w:r>
          </w:p>
        </w:tc>
        <w:tc>
          <w:tcPr>
            <w:tcW w:w="1433" w:type="dxa"/>
            <w:tcBorders>
              <w:top w:val="double" w:sz="6" w:space="0" w:color="000000"/>
              <w:bottom w:val="double" w:sz="6" w:space="0" w:color="000000"/>
            </w:tcBorders>
          </w:tcPr>
          <w:p>
            <w:pPr>
              <w:pStyle w:val="TableParagraph"/>
              <w:spacing w:line="209" w:lineRule="exact" w:before="40"/>
              <w:ind w:left="272"/>
              <w:rPr>
                <w:sz w:val="20"/>
              </w:rPr>
            </w:pPr>
            <w:r>
              <w:rPr>
                <w:sz w:val="20"/>
              </w:rPr>
              <w:t>Std.</w:t>
            </w:r>
            <w:r>
              <w:rPr>
                <w:spacing w:val="-4"/>
                <w:sz w:val="20"/>
              </w:rPr>
              <w:t> </w:t>
            </w:r>
            <w:r>
              <w:rPr>
                <w:spacing w:val="-2"/>
                <w:sz w:val="20"/>
              </w:rPr>
              <w:t>Error</w:t>
            </w:r>
          </w:p>
        </w:tc>
        <w:tc>
          <w:tcPr>
            <w:tcW w:w="937" w:type="dxa"/>
            <w:tcBorders>
              <w:top w:val="double" w:sz="6" w:space="0" w:color="000000"/>
              <w:bottom w:val="double" w:sz="6" w:space="0" w:color="000000"/>
            </w:tcBorders>
          </w:tcPr>
          <w:p>
            <w:pPr>
              <w:pStyle w:val="TableParagraph"/>
              <w:spacing w:line="209" w:lineRule="exact" w:before="40"/>
              <w:ind w:right="115"/>
              <w:jc w:val="right"/>
              <w:rPr>
                <w:sz w:val="20"/>
              </w:rPr>
            </w:pPr>
            <w:r>
              <w:rPr>
                <w:spacing w:val="-4"/>
                <w:sz w:val="20"/>
              </w:rPr>
              <w:t>t-</w:t>
            </w:r>
            <w:r>
              <w:rPr>
                <w:spacing w:val="-2"/>
                <w:sz w:val="20"/>
              </w:rPr>
              <w:t>Statistic</w:t>
            </w:r>
          </w:p>
        </w:tc>
        <w:tc>
          <w:tcPr>
            <w:tcW w:w="897" w:type="dxa"/>
            <w:tcBorders>
              <w:top w:val="double" w:sz="6" w:space="0" w:color="000000"/>
              <w:bottom w:val="double" w:sz="6" w:space="0" w:color="000000"/>
            </w:tcBorders>
          </w:tcPr>
          <w:p>
            <w:pPr>
              <w:pStyle w:val="TableParagraph"/>
              <w:spacing w:line="209" w:lineRule="exact" w:before="40"/>
              <w:ind w:right="31"/>
              <w:jc w:val="right"/>
              <w:rPr>
                <w:sz w:val="20"/>
              </w:rPr>
            </w:pPr>
            <w:r>
              <w:rPr>
                <w:spacing w:val="-2"/>
                <w:sz w:val="20"/>
              </w:rPr>
              <w:t>Prob.</w:t>
            </w:r>
          </w:p>
        </w:tc>
      </w:tr>
      <w:tr>
        <w:trPr>
          <w:trHeight w:val="275" w:hRule="atLeast"/>
        </w:trPr>
        <w:tc>
          <w:tcPr>
            <w:tcW w:w="1910" w:type="dxa"/>
            <w:tcBorders>
              <w:top w:val="double" w:sz="6" w:space="0" w:color="000000"/>
            </w:tcBorders>
          </w:tcPr>
          <w:p>
            <w:pPr>
              <w:pStyle w:val="TableParagraph"/>
              <w:spacing w:line="215" w:lineRule="exact" w:before="40"/>
              <w:ind w:left="135" w:right="1"/>
              <w:jc w:val="center"/>
              <w:rPr>
                <w:sz w:val="20"/>
              </w:rPr>
            </w:pPr>
            <w:r>
              <w:rPr>
                <w:spacing w:val="-10"/>
                <w:sz w:val="20"/>
              </w:rPr>
              <w:t>C</w:t>
            </w:r>
          </w:p>
        </w:tc>
        <w:tc>
          <w:tcPr>
            <w:tcW w:w="1313" w:type="dxa"/>
            <w:tcBorders>
              <w:top w:val="double" w:sz="6" w:space="0" w:color="000000"/>
            </w:tcBorders>
          </w:tcPr>
          <w:p>
            <w:pPr>
              <w:pStyle w:val="TableParagraph"/>
              <w:spacing w:line="215" w:lineRule="exact" w:before="40"/>
              <w:ind w:left="298"/>
              <w:jc w:val="center"/>
              <w:rPr>
                <w:sz w:val="20"/>
              </w:rPr>
            </w:pPr>
            <w:r>
              <w:rPr>
                <w:spacing w:val="-2"/>
                <w:sz w:val="20"/>
              </w:rPr>
              <w:t>2.751495</w:t>
            </w:r>
          </w:p>
        </w:tc>
        <w:tc>
          <w:tcPr>
            <w:tcW w:w="1433" w:type="dxa"/>
            <w:tcBorders>
              <w:top w:val="double" w:sz="6" w:space="0" w:color="000000"/>
            </w:tcBorders>
          </w:tcPr>
          <w:p>
            <w:pPr>
              <w:pStyle w:val="TableParagraph"/>
              <w:spacing w:line="215" w:lineRule="exact" w:before="40"/>
              <w:ind w:left="310"/>
              <w:rPr>
                <w:sz w:val="20"/>
              </w:rPr>
            </w:pPr>
            <w:r>
              <w:rPr>
                <w:spacing w:val="-2"/>
                <w:sz w:val="20"/>
              </w:rPr>
              <w:t>1.331878</w:t>
            </w:r>
          </w:p>
        </w:tc>
        <w:tc>
          <w:tcPr>
            <w:tcW w:w="937" w:type="dxa"/>
            <w:tcBorders>
              <w:top w:val="double" w:sz="6" w:space="0" w:color="000000"/>
            </w:tcBorders>
          </w:tcPr>
          <w:p>
            <w:pPr>
              <w:pStyle w:val="TableParagraph"/>
              <w:spacing w:line="215" w:lineRule="exact" w:before="40"/>
              <w:ind w:right="113"/>
              <w:jc w:val="right"/>
              <w:rPr>
                <w:sz w:val="20"/>
              </w:rPr>
            </w:pPr>
            <w:r>
              <w:rPr>
                <w:spacing w:val="-2"/>
                <w:sz w:val="20"/>
              </w:rPr>
              <w:t>2.065876</w:t>
            </w:r>
          </w:p>
        </w:tc>
        <w:tc>
          <w:tcPr>
            <w:tcW w:w="897" w:type="dxa"/>
            <w:tcBorders>
              <w:top w:val="double" w:sz="6" w:space="0" w:color="000000"/>
            </w:tcBorders>
          </w:tcPr>
          <w:p>
            <w:pPr>
              <w:pStyle w:val="TableParagraph"/>
              <w:spacing w:line="215" w:lineRule="exact" w:before="40"/>
              <w:ind w:right="30"/>
              <w:jc w:val="right"/>
              <w:rPr>
                <w:sz w:val="20"/>
              </w:rPr>
            </w:pPr>
            <w:r>
              <w:rPr>
                <w:spacing w:val="-2"/>
                <w:sz w:val="20"/>
              </w:rPr>
              <w:t>0.0468</w:t>
            </w:r>
          </w:p>
        </w:tc>
      </w:tr>
      <w:tr>
        <w:trPr>
          <w:trHeight w:val="230" w:hRule="atLeast"/>
        </w:trPr>
        <w:tc>
          <w:tcPr>
            <w:tcW w:w="1910" w:type="dxa"/>
          </w:tcPr>
          <w:p>
            <w:pPr>
              <w:pStyle w:val="TableParagraph"/>
              <w:spacing w:line="211" w:lineRule="exact"/>
              <w:ind w:left="566"/>
              <w:rPr>
                <w:sz w:val="20"/>
              </w:rPr>
            </w:pPr>
            <w:r>
              <w:rPr>
                <w:spacing w:val="-2"/>
                <w:sz w:val="20"/>
              </w:rPr>
              <w:t>EXTDEBT</w:t>
            </w:r>
          </w:p>
        </w:tc>
        <w:tc>
          <w:tcPr>
            <w:tcW w:w="1313" w:type="dxa"/>
          </w:tcPr>
          <w:p>
            <w:pPr>
              <w:pStyle w:val="TableParagraph"/>
              <w:spacing w:line="211" w:lineRule="exact"/>
              <w:ind w:left="298"/>
              <w:jc w:val="center"/>
              <w:rPr>
                <w:sz w:val="20"/>
              </w:rPr>
            </w:pPr>
            <w:r>
              <w:rPr>
                <w:spacing w:val="-2"/>
                <w:sz w:val="20"/>
              </w:rPr>
              <w:t>0.261618</w:t>
            </w:r>
          </w:p>
        </w:tc>
        <w:tc>
          <w:tcPr>
            <w:tcW w:w="1433" w:type="dxa"/>
          </w:tcPr>
          <w:p>
            <w:pPr>
              <w:pStyle w:val="TableParagraph"/>
              <w:spacing w:line="211" w:lineRule="exact"/>
              <w:ind w:left="310"/>
              <w:rPr>
                <w:sz w:val="20"/>
              </w:rPr>
            </w:pPr>
            <w:r>
              <w:rPr>
                <w:spacing w:val="-2"/>
                <w:sz w:val="20"/>
              </w:rPr>
              <w:t>0.068995</w:t>
            </w:r>
          </w:p>
        </w:tc>
        <w:tc>
          <w:tcPr>
            <w:tcW w:w="937" w:type="dxa"/>
          </w:tcPr>
          <w:p>
            <w:pPr>
              <w:pStyle w:val="TableParagraph"/>
              <w:spacing w:line="211" w:lineRule="exact"/>
              <w:ind w:right="113"/>
              <w:jc w:val="right"/>
              <w:rPr>
                <w:sz w:val="20"/>
              </w:rPr>
            </w:pPr>
            <w:r>
              <w:rPr>
                <w:spacing w:val="-2"/>
                <w:sz w:val="20"/>
              </w:rPr>
              <w:t>3.791814</w:t>
            </w:r>
          </w:p>
        </w:tc>
        <w:tc>
          <w:tcPr>
            <w:tcW w:w="897" w:type="dxa"/>
          </w:tcPr>
          <w:p>
            <w:pPr>
              <w:pStyle w:val="TableParagraph"/>
              <w:spacing w:line="211" w:lineRule="exact"/>
              <w:ind w:right="30"/>
              <w:jc w:val="right"/>
              <w:rPr>
                <w:sz w:val="20"/>
              </w:rPr>
            </w:pPr>
            <w:r>
              <w:rPr>
                <w:spacing w:val="-2"/>
                <w:sz w:val="20"/>
              </w:rPr>
              <w:t>0.0006</w:t>
            </w:r>
          </w:p>
        </w:tc>
      </w:tr>
      <w:tr>
        <w:trPr>
          <w:trHeight w:val="230" w:hRule="atLeast"/>
        </w:trPr>
        <w:tc>
          <w:tcPr>
            <w:tcW w:w="1910" w:type="dxa"/>
          </w:tcPr>
          <w:p>
            <w:pPr>
              <w:pStyle w:val="TableParagraph"/>
              <w:spacing w:line="211" w:lineRule="exact"/>
              <w:ind w:left="135" w:right="4"/>
              <w:jc w:val="center"/>
              <w:rPr>
                <w:sz w:val="20"/>
              </w:rPr>
            </w:pPr>
            <w:r>
              <w:rPr>
                <w:spacing w:val="-5"/>
                <w:sz w:val="20"/>
              </w:rPr>
              <w:t>DOP</w:t>
            </w:r>
          </w:p>
        </w:tc>
        <w:tc>
          <w:tcPr>
            <w:tcW w:w="1313" w:type="dxa"/>
          </w:tcPr>
          <w:p>
            <w:pPr>
              <w:pStyle w:val="TableParagraph"/>
              <w:spacing w:line="211" w:lineRule="exact"/>
              <w:ind w:left="298"/>
              <w:jc w:val="center"/>
              <w:rPr>
                <w:sz w:val="20"/>
              </w:rPr>
            </w:pPr>
            <w:r>
              <w:rPr>
                <w:spacing w:val="-2"/>
                <w:sz w:val="20"/>
              </w:rPr>
              <w:t>0.251213</w:t>
            </w:r>
          </w:p>
        </w:tc>
        <w:tc>
          <w:tcPr>
            <w:tcW w:w="1433" w:type="dxa"/>
          </w:tcPr>
          <w:p>
            <w:pPr>
              <w:pStyle w:val="TableParagraph"/>
              <w:spacing w:line="211" w:lineRule="exact"/>
              <w:ind w:left="310"/>
              <w:rPr>
                <w:sz w:val="20"/>
              </w:rPr>
            </w:pPr>
            <w:r>
              <w:rPr>
                <w:spacing w:val="-2"/>
                <w:sz w:val="20"/>
              </w:rPr>
              <w:t>0.543344</w:t>
            </w:r>
          </w:p>
        </w:tc>
        <w:tc>
          <w:tcPr>
            <w:tcW w:w="937" w:type="dxa"/>
          </w:tcPr>
          <w:p>
            <w:pPr>
              <w:pStyle w:val="TableParagraph"/>
              <w:spacing w:line="211" w:lineRule="exact"/>
              <w:ind w:right="113"/>
              <w:jc w:val="right"/>
              <w:rPr>
                <w:sz w:val="20"/>
              </w:rPr>
            </w:pPr>
            <w:r>
              <w:rPr>
                <w:spacing w:val="-2"/>
                <w:sz w:val="20"/>
              </w:rPr>
              <w:t>0.462346</w:t>
            </w:r>
          </w:p>
        </w:tc>
        <w:tc>
          <w:tcPr>
            <w:tcW w:w="897" w:type="dxa"/>
          </w:tcPr>
          <w:p>
            <w:pPr>
              <w:pStyle w:val="TableParagraph"/>
              <w:spacing w:line="211" w:lineRule="exact"/>
              <w:ind w:right="30"/>
              <w:jc w:val="right"/>
              <w:rPr>
                <w:sz w:val="20"/>
              </w:rPr>
            </w:pPr>
            <w:r>
              <w:rPr>
                <w:spacing w:val="-2"/>
                <w:sz w:val="20"/>
              </w:rPr>
              <w:t>0.6469</w:t>
            </w:r>
          </w:p>
        </w:tc>
      </w:tr>
      <w:tr>
        <w:trPr>
          <w:trHeight w:val="230" w:hRule="atLeast"/>
        </w:trPr>
        <w:tc>
          <w:tcPr>
            <w:tcW w:w="1910" w:type="dxa"/>
          </w:tcPr>
          <w:p>
            <w:pPr>
              <w:pStyle w:val="TableParagraph"/>
              <w:spacing w:line="210" w:lineRule="exact"/>
              <w:ind w:left="135"/>
              <w:jc w:val="center"/>
              <w:rPr>
                <w:sz w:val="20"/>
              </w:rPr>
            </w:pPr>
            <w:r>
              <w:rPr>
                <w:spacing w:val="-5"/>
                <w:sz w:val="20"/>
              </w:rPr>
              <w:t>INF</w:t>
            </w:r>
          </w:p>
        </w:tc>
        <w:tc>
          <w:tcPr>
            <w:tcW w:w="1313" w:type="dxa"/>
          </w:tcPr>
          <w:p>
            <w:pPr>
              <w:pStyle w:val="TableParagraph"/>
              <w:spacing w:line="210" w:lineRule="exact"/>
              <w:ind w:left="234"/>
              <w:jc w:val="center"/>
              <w:rPr>
                <w:sz w:val="20"/>
              </w:rPr>
            </w:pPr>
            <w:r>
              <w:rPr>
                <w:spacing w:val="-4"/>
                <w:sz w:val="20"/>
              </w:rPr>
              <w:t>-</w:t>
            </w:r>
            <w:r>
              <w:rPr>
                <w:spacing w:val="-2"/>
                <w:sz w:val="20"/>
              </w:rPr>
              <w:t>0.067741</w:t>
            </w:r>
          </w:p>
        </w:tc>
        <w:tc>
          <w:tcPr>
            <w:tcW w:w="1433" w:type="dxa"/>
          </w:tcPr>
          <w:p>
            <w:pPr>
              <w:pStyle w:val="TableParagraph"/>
              <w:spacing w:line="210" w:lineRule="exact"/>
              <w:ind w:left="310"/>
              <w:rPr>
                <w:sz w:val="20"/>
              </w:rPr>
            </w:pPr>
            <w:r>
              <w:rPr>
                <w:spacing w:val="-2"/>
                <w:sz w:val="20"/>
              </w:rPr>
              <w:t>0.183133</w:t>
            </w:r>
          </w:p>
        </w:tc>
        <w:tc>
          <w:tcPr>
            <w:tcW w:w="937" w:type="dxa"/>
          </w:tcPr>
          <w:p>
            <w:pPr>
              <w:pStyle w:val="TableParagraph"/>
              <w:spacing w:line="210" w:lineRule="exact"/>
              <w:ind w:right="113"/>
              <w:jc w:val="right"/>
              <w:rPr>
                <w:sz w:val="20"/>
              </w:rPr>
            </w:pPr>
            <w:r>
              <w:rPr>
                <w:spacing w:val="-4"/>
                <w:sz w:val="20"/>
              </w:rPr>
              <w:t>-</w:t>
            </w:r>
            <w:r>
              <w:rPr>
                <w:spacing w:val="-2"/>
                <w:sz w:val="20"/>
              </w:rPr>
              <w:t>0.369903</w:t>
            </w:r>
          </w:p>
        </w:tc>
        <w:tc>
          <w:tcPr>
            <w:tcW w:w="897" w:type="dxa"/>
          </w:tcPr>
          <w:p>
            <w:pPr>
              <w:pStyle w:val="TableParagraph"/>
              <w:spacing w:line="210" w:lineRule="exact"/>
              <w:ind w:right="30"/>
              <w:jc w:val="right"/>
              <w:rPr>
                <w:sz w:val="20"/>
              </w:rPr>
            </w:pPr>
            <w:r>
              <w:rPr>
                <w:spacing w:val="-2"/>
                <w:sz w:val="20"/>
              </w:rPr>
              <w:t>0.7138</w:t>
            </w:r>
          </w:p>
        </w:tc>
      </w:tr>
      <w:tr>
        <w:trPr>
          <w:trHeight w:val="229" w:hRule="atLeast"/>
        </w:trPr>
        <w:tc>
          <w:tcPr>
            <w:tcW w:w="1910" w:type="dxa"/>
          </w:tcPr>
          <w:p>
            <w:pPr>
              <w:pStyle w:val="TableParagraph"/>
              <w:spacing w:line="209" w:lineRule="exact"/>
              <w:ind w:left="135" w:right="2"/>
              <w:jc w:val="center"/>
              <w:rPr>
                <w:sz w:val="20"/>
              </w:rPr>
            </w:pPr>
            <w:r>
              <w:rPr>
                <w:spacing w:val="-5"/>
                <w:sz w:val="20"/>
              </w:rPr>
              <w:t>GCF</w:t>
            </w:r>
          </w:p>
        </w:tc>
        <w:tc>
          <w:tcPr>
            <w:tcW w:w="1313" w:type="dxa"/>
          </w:tcPr>
          <w:p>
            <w:pPr>
              <w:pStyle w:val="TableParagraph"/>
              <w:spacing w:line="209" w:lineRule="exact"/>
              <w:ind w:left="234"/>
              <w:jc w:val="center"/>
              <w:rPr>
                <w:sz w:val="20"/>
              </w:rPr>
            </w:pPr>
            <w:r>
              <w:rPr>
                <w:spacing w:val="-4"/>
                <w:sz w:val="20"/>
              </w:rPr>
              <w:t>-</w:t>
            </w:r>
            <w:r>
              <w:rPr>
                <w:spacing w:val="-2"/>
                <w:sz w:val="20"/>
              </w:rPr>
              <w:t>0.054248</w:t>
            </w:r>
          </w:p>
        </w:tc>
        <w:tc>
          <w:tcPr>
            <w:tcW w:w="1433" w:type="dxa"/>
          </w:tcPr>
          <w:p>
            <w:pPr>
              <w:pStyle w:val="TableParagraph"/>
              <w:spacing w:line="209" w:lineRule="exact"/>
              <w:ind w:left="310"/>
              <w:rPr>
                <w:sz w:val="20"/>
              </w:rPr>
            </w:pPr>
            <w:r>
              <w:rPr>
                <w:spacing w:val="-2"/>
                <w:sz w:val="20"/>
              </w:rPr>
              <w:t>0.078343</w:t>
            </w:r>
          </w:p>
        </w:tc>
        <w:tc>
          <w:tcPr>
            <w:tcW w:w="937" w:type="dxa"/>
          </w:tcPr>
          <w:p>
            <w:pPr>
              <w:pStyle w:val="TableParagraph"/>
              <w:spacing w:line="209" w:lineRule="exact"/>
              <w:ind w:right="113"/>
              <w:jc w:val="right"/>
              <w:rPr>
                <w:sz w:val="20"/>
              </w:rPr>
            </w:pPr>
            <w:r>
              <w:rPr>
                <w:spacing w:val="-4"/>
                <w:sz w:val="20"/>
              </w:rPr>
              <w:t>-</w:t>
            </w:r>
            <w:r>
              <w:rPr>
                <w:spacing w:val="-2"/>
                <w:sz w:val="20"/>
              </w:rPr>
              <w:t>0.692447</w:t>
            </w:r>
          </w:p>
        </w:tc>
        <w:tc>
          <w:tcPr>
            <w:tcW w:w="897" w:type="dxa"/>
          </w:tcPr>
          <w:p>
            <w:pPr>
              <w:pStyle w:val="TableParagraph"/>
              <w:spacing w:line="209" w:lineRule="exact"/>
              <w:ind w:right="30"/>
              <w:jc w:val="right"/>
              <w:rPr>
                <w:sz w:val="20"/>
              </w:rPr>
            </w:pPr>
            <w:r>
              <w:rPr>
                <w:spacing w:val="-2"/>
                <w:sz w:val="20"/>
              </w:rPr>
              <w:t>0.4935</w:t>
            </w:r>
          </w:p>
        </w:tc>
      </w:tr>
      <w:tr>
        <w:trPr>
          <w:trHeight w:val="229" w:hRule="atLeast"/>
        </w:trPr>
        <w:tc>
          <w:tcPr>
            <w:tcW w:w="1910" w:type="dxa"/>
          </w:tcPr>
          <w:p>
            <w:pPr>
              <w:pStyle w:val="TableParagraph"/>
              <w:spacing w:line="209" w:lineRule="exact"/>
              <w:ind w:left="135" w:right="1"/>
              <w:jc w:val="center"/>
              <w:rPr>
                <w:sz w:val="20"/>
              </w:rPr>
            </w:pPr>
            <w:r>
              <w:rPr>
                <w:spacing w:val="-5"/>
                <w:sz w:val="20"/>
              </w:rPr>
              <w:t>DR</w:t>
            </w:r>
          </w:p>
        </w:tc>
        <w:tc>
          <w:tcPr>
            <w:tcW w:w="1313" w:type="dxa"/>
          </w:tcPr>
          <w:p>
            <w:pPr>
              <w:pStyle w:val="TableParagraph"/>
              <w:spacing w:line="209" w:lineRule="exact"/>
              <w:ind w:left="234"/>
              <w:jc w:val="center"/>
              <w:rPr>
                <w:sz w:val="20"/>
              </w:rPr>
            </w:pPr>
            <w:r>
              <w:rPr>
                <w:spacing w:val="-4"/>
                <w:sz w:val="20"/>
              </w:rPr>
              <w:t>-</w:t>
            </w:r>
            <w:r>
              <w:rPr>
                <w:spacing w:val="-2"/>
                <w:sz w:val="20"/>
              </w:rPr>
              <w:t>0.302774</w:t>
            </w:r>
          </w:p>
        </w:tc>
        <w:tc>
          <w:tcPr>
            <w:tcW w:w="1433" w:type="dxa"/>
          </w:tcPr>
          <w:p>
            <w:pPr>
              <w:pStyle w:val="TableParagraph"/>
              <w:spacing w:line="209" w:lineRule="exact"/>
              <w:ind w:left="310"/>
              <w:rPr>
                <w:sz w:val="20"/>
              </w:rPr>
            </w:pPr>
            <w:r>
              <w:rPr>
                <w:spacing w:val="-2"/>
                <w:sz w:val="20"/>
              </w:rPr>
              <w:t>0.295255</w:t>
            </w:r>
          </w:p>
        </w:tc>
        <w:tc>
          <w:tcPr>
            <w:tcW w:w="937" w:type="dxa"/>
          </w:tcPr>
          <w:p>
            <w:pPr>
              <w:pStyle w:val="TableParagraph"/>
              <w:spacing w:line="209" w:lineRule="exact"/>
              <w:ind w:right="113"/>
              <w:jc w:val="right"/>
              <w:rPr>
                <w:sz w:val="20"/>
              </w:rPr>
            </w:pPr>
            <w:r>
              <w:rPr>
                <w:spacing w:val="-4"/>
                <w:sz w:val="20"/>
              </w:rPr>
              <w:t>-</w:t>
            </w:r>
            <w:r>
              <w:rPr>
                <w:spacing w:val="-2"/>
                <w:sz w:val="20"/>
              </w:rPr>
              <w:t>1.025468</w:t>
            </w:r>
          </w:p>
        </w:tc>
        <w:tc>
          <w:tcPr>
            <w:tcW w:w="897" w:type="dxa"/>
          </w:tcPr>
          <w:p>
            <w:pPr>
              <w:pStyle w:val="TableParagraph"/>
              <w:spacing w:line="209" w:lineRule="exact"/>
              <w:ind w:right="30"/>
              <w:jc w:val="right"/>
              <w:rPr>
                <w:sz w:val="20"/>
              </w:rPr>
            </w:pPr>
            <w:r>
              <w:rPr>
                <w:spacing w:val="-2"/>
                <w:sz w:val="20"/>
              </w:rPr>
              <w:t>0.3126</w:t>
            </w:r>
          </w:p>
        </w:tc>
      </w:tr>
      <w:tr>
        <w:trPr>
          <w:trHeight w:val="230" w:hRule="atLeast"/>
        </w:trPr>
        <w:tc>
          <w:tcPr>
            <w:tcW w:w="1910" w:type="dxa"/>
          </w:tcPr>
          <w:p>
            <w:pPr>
              <w:pStyle w:val="TableParagraph"/>
              <w:spacing w:line="210" w:lineRule="exact"/>
              <w:ind w:left="660"/>
              <w:rPr>
                <w:sz w:val="20"/>
              </w:rPr>
            </w:pPr>
            <w:r>
              <w:rPr>
                <w:spacing w:val="-2"/>
                <w:sz w:val="20"/>
              </w:rPr>
              <w:t>PRIVCR</w:t>
            </w:r>
          </w:p>
        </w:tc>
        <w:tc>
          <w:tcPr>
            <w:tcW w:w="1313" w:type="dxa"/>
          </w:tcPr>
          <w:p>
            <w:pPr>
              <w:pStyle w:val="TableParagraph"/>
              <w:spacing w:line="210" w:lineRule="exact"/>
              <w:ind w:left="298"/>
              <w:jc w:val="center"/>
              <w:rPr>
                <w:sz w:val="20"/>
              </w:rPr>
            </w:pPr>
            <w:r>
              <w:rPr>
                <w:spacing w:val="-2"/>
                <w:sz w:val="20"/>
              </w:rPr>
              <w:t>0.089382</w:t>
            </w:r>
          </w:p>
        </w:tc>
        <w:tc>
          <w:tcPr>
            <w:tcW w:w="1433" w:type="dxa"/>
          </w:tcPr>
          <w:p>
            <w:pPr>
              <w:pStyle w:val="TableParagraph"/>
              <w:spacing w:line="210" w:lineRule="exact"/>
              <w:ind w:left="310"/>
              <w:rPr>
                <w:sz w:val="20"/>
              </w:rPr>
            </w:pPr>
            <w:r>
              <w:rPr>
                <w:spacing w:val="-2"/>
                <w:sz w:val="20"/>
              </w:rPr>
              <w:t>0.279642</w:t>
            </w:r>
          </w:p>
        </w:tc>
        <w:tc>
          <w:tcPr>
            <w:tcW w:w="937" w:type="dxa"/>
          </w:tcPr>
          <w:p>
            <w:pPr>
              <w:pStyle w:val="TableParagraph"/>
              <w:spacing w:line="210" w:lineRule="exact"/>
              <w:ind w:right="113"/>
              <w:jc w:val="right"/>
              <w:rPr>
                <w:sz w:val="20"/>
              </w:rPr>
            </w:pPr>
            <w:r>
              <w:rPr>
                <w:spacing w:val="-2"/>
                <w:sz w:val="20"/>
              </w:rPr>
              <w:t>0.319630</w:t>
            </w:r>
          </w:p>
        </w:tc>
        <w:tc>
          <w:tcPr>
            <w:tcW w:w="897" w:type="dxa"/>
          </w:tcPr>
          <w:p>
            <w:pPr>
              <w:pStyle w:val="TableParagraph"/>
              <w:spacing w:line="210" w:lineRule="exact"/>
              <w:ind w:right="30"/>
              <w:jc w:val="right"/>
              <w:rPr>
                <w:sz w:val="20"/>
              </w:rPr>
            </w:pPr>
            <w:r>
              <w:rPr>
                <w:spacing w:val="-2"/>
                <w:sz w:val="20"/>
              </w:rPr>
              <w:t>0.7513</w:t>
            </w:r>
          </w:p>
        </w:tc>
      </w:tr>
      <w:tr>
        <w:trPr>
          <w:trHeight w:val="230" w:hRule="atLeast"/>
        </w:trPr>
        <w:tc>
          <w:tcPr>
            <w:tcW w:w="1910" w:type="dxa"/>
          </w:tcPr>
          <w:p>
            <w:pPr>
              <w:pStyle w:val="TableParagraph"/>
              <w:spacing w:line="210" w:lineRule="exact"/>
              <w:ind w:left="722"/>
              <w:rPr>
                <w:sz w:val="20"/>
              </w:rPr>
            </w:pPr>
            <w:r>
              <w:rPr>
                <w:spacing w:val="-2"/>
                <w:sz w:val="20"/>
              </w:rPr>
              <w:t>USIRD</w:t>
            </w:r>
          </w:p>
        </w:tc>
        <w:tc>
          <w:tcPr>
            <w:tcW w:w="1313" w:type="dxa"/>
          </w:tcPr>
          <w:p>
            <w:pPr>
              <w:pStyle w:val="TableParagraph"/>
              <w:spacing w:line="210" w:lineRule="exact"/>
              <w:ind w:left="234"/>
              <w:jc w:val="center"/>
              <w:rPr>
                <w:sz w:val="20"/>
              </w:rPr>
            </w:pPr>
            <w:r>
              <w:rPr>
                <w:spacing w:val="-4"/>
                <w:sz w:val="20"/>
              </w:rPr>
              <w:t>-</w:t>
            </w:r>
            <w:r>
              <w:rPr>
                <w:spacing w:val="-2"/>
                <w:sz w:val="20"/>
              </w:rPr>
              <w:t>0.001360</w:t>
            </w:r>
          </w:p>
        </w:tc>
        <w:tc>
          <w:tcPr>
            <w:tcW w:w="1433" w:type="dxa"/>
          </w:tcPr>
          <w:p>
            <w:pPr>
              <w:pStyle w:val="TableParagraph"/>
              <w:spacing w:line="210" w:lineRule="exact"/>
              <w:ind w:left="310"/>
              <w:rPr>
                <w:sz w:val="20"/>
              </w:rPr>
            </w:pPr>
            <w:r>
              <w:rPr>
                <w:spacing w:val="-2"/>
                <w:sz w:val="20"/>
              </w:rPr>
              <w:t>0.184872</w:t>
            </w:r>
          </w:p>
        </w:tc>
        <w:tc>
          <w:tcPr>
            <w:tcW w:w="937" w:type="dxa"/>
          </w:tcPr>
          <w:p>
            <w:pPr>
              <w:pStyle w:val="TableParagraph"/>
              <w:spacing w:line="210" w:lineRule="exact"/>
              <w:ind w:right="113"/>
              <w:jc w:val="right"/>
              <w:rPr>
                <w:sz w:val="20"/>
              </w:rPr>
            </w:pPr>
            <w:r>
              <w:rPr>
                <w:spacing w:val="-4"/>
                <w:sz w:val="20"/>
              </w:rPr>
              <w:t>-</w:t>
            </w:r>
            <w:r>
              <w:rPr>
                <w:spacing w:val="-2"/>
                <w:sz w:val="20"/>
              </w:rPr>
              <w:t>0.007358</w:t>
            </w:r>
          </w:p>
        </w:tc>
        <w:tc>
          <w:tcPr>
            <w:tcW w:w="897" w:type="dxa"/>
          </w:tcPr>
          <w:p>
            <w:pPr>
              <w:pStyle w:val="TableParagraph"/>
              <w:spacing w:line="210" w:lineRule="exact"/>
              <w:ind w:right="30"/>
              <w:jc w:val="right"/>
              <w:rPr>
                <w:sz w:val="20"/>
              </w:rPr>
            </w:pPr>
            <w:r>
              <w:rPr>
                <w:spacing w:val="-2"/>
                <w:sz w:val="20"/>
              </w:rPr>
              <w:t>0.9942</w:t>
            </w:r>
          </w:p>
        </w:tc>
      </w:tr>
      <w:tr>
        <w:trPr>
          <w:trHeight w:val="224" w:hRule="atLeast"/>
        </w:trPr>
        <w:tc>
          <w:tcPr>
            <w:tcW w:w="1910" w:type="dxa"/>
            <w:tcBorders>
              <w:bottom w:val="double" w:sz="6" w:space="0" w:color="000000"/>
            </w:tcBorders>
          </w:tcPr>
          <w:p>
            <w:pPr>
              <w:pStyle w:val="TableParagraph"/>
              <w:spacing w:line="205" w:lineRule="exact"/>
              <w:ind w:left="749"/>
              <w:rPr>
                <w:sz w:val="20"/>
              </w:rPr>
            </w:pPr>
            <w:r>
              <w:rPr>
                <w:spacing w:val="-4"/>
                <w:sz w:val="20"/>
              </w:rPr>
              <w:t>GOCE</w:t>
            </w:r>
          </w:p>
        </w:tc>
        <w:tc>
          <w:tcPr>
            <w:tcW w:w="1313" w:type="dxa"/>
            <w:tcBorders>
              <w:bottom w:val="double" w:sz="6" w:space="0" w:color="000000"/>
            </w:tcBorders>
          </w:tcPr>
          <w:p>
            <w:pPr>
              <w:pStyle w:val="TableParagraph"/>
              <w:spacing w:line="205" w:lineRule="exact"/>
              <w:ind w:left="298"/>
              <w:jc w:val="center"/>
              <w:rPr>
                <w:sz w:val="20"/>
              </w:rPr>
            </w:pPr>
            <w:r>
              <w:rPr>
                <w:spacing w:val="-2"/>
                <w:sz w:val="20"/>
              </w:rPr>
              <w:t>0.610640</w:t>
            </w:r>
          </w:p>
        </w:tc>
        <w:tc>
          <w:tcPr>
            <w:tcW w:w="1433" w:type="dxa"/>
            <w:tcBorders>
              <w:bottom w:val="double" w:sz="6" w:space="0" w:color="000000"/>
            </w:tcBorders>
          </w:tcPr>
          <w:p>
            <w:pPr>
              <w:pStyle w:val="TableParagraph"/>
              <w:spacing w:line="205" w:lineRule="exact"/>
              <w:ind w:left="310"/>
              <w:rPr>
                <w:sz w:val="20"/>
              </w:rPr>
            </w:pPr>
            <w:r>
              <w:rPr>
                <w:spacing w:val="-2"/>
                <w:sz w:val="20"/>
              </w:rPr>
              <w:t>0.351431</w:t>
            </w:r>
          </w:p>
        </w:tc>
        <w:tc>
          <w:tcPr>
            <w:tcW w:w="937" w:type="dxa"/>
            <w:tcBorders>
              <w:bottom w:val="double" w:sz="6" w:space="0" w:color="000000"/>
            </w:tcBorders>
          </w:tcPr>
          <w:p>
            <w:pPr>
              <w:pStyle w:val="TableParagraph"/>
              <w:spacing w:line="205" w:lineRule="exact"/>
              <w:ind w:right="113"/>
              <w:jc w:val="right"/>
              <w:rPr>
                <w:sz w:val="20"/>
              </w:rPr>
            </w:pPr>
            <w:r>
              <w:rPr>
                <w:spacing w:val="-2"/>
                <w:sz w:val="20"/>
              </w:rPr>
              <w:t>1.737584</w:t>
            </w:r>
          </w:p>
        </w:tc>
        <w:tc>
          <w:tcPr>
            <w:tcW w:w="897" w:type="dxa"/>
            <w:tcBorders>
              <w:bottom w:val="double" w:sz="6" w:space="0" w:color="000000"/>
            </w:tcBorders>
          </w:tcPr>
          <w:p>
            <w:pPr>
              <w:pStyle w:val="TableParagraph"/>
              <w:spacing w:line="205" w:lineRule="exact"/>
              <w:ind w:right="30"/>
              <w:jc w:val="right"/>
              <w:rPr>
                <w:sz w:val="20"/>
              </w:rPr>
            </w:pPr>
            <w:r>
              <w:rPr>
                <w:spacing w:val="-2"/>
                <w:sz w:val="20"/>
              </w:rPr>
              <w:t>0.0916</w:t>
            </w:r>
          </w:p>
        </w:tc>
      </w:tr>
      <w:tr>
        <w:trPr>
          <w:trHeight w:val="275" w:hRule="atLeast"/>
        </w:trPr>
        <w:tc>
          <w:tcPr>
            <w:tcW w:w="1910" w:type="dxa"/>
            <w:tcBorders>
              <w:top w:val="double" w:sz="6" w:space="0" w:color="000000"/>
            </w:tcBorders>
          </w:tcPr>
          <w:p>
            <w:pPr>
              <w:pStyle w:val="TableParagraph"/>
              <w:spacing w:line="215" w:lineRule="exact" w:before="40"/>
              <w:ind w:left="36"/>
              <w:rPr>
                <w:sz w:val="20"/>
              </w:rPr>
            </w:pPr>
            <w:r>
              <w:rPr>
                <w:spacing w:val="-2"/>
                <w:sz w:val="20"/>
              </w:rPr>
              <w:t>R-squared</w:t>
            </w:r>
          </w:p>
        </w:tc>
        <w:tc>
          <w:tcPr>
            <w:tcW w:w="1313" w:type="dxa"/>
            <w:tcBorders>
              <w:top w:val="double" w:sz="6" w:space="0" w:color="000000"/>
            </w:tcBorders>
          </w:tcPr>
          <w:p>
            <w:pPr>
              <w:pStyle w:val="TableParagraph"/>
              <w:spacing w:line="215" w:lineRule="exact" w:before="40"/>
              <w:ind w:left="298"/>
              <w:jc w:val="center"/>
              <w:rPr>
                <w:sz w:val="20"/>
              </w:rPr>
            </w:pPr>
            <w:r>
              <w:rPr>
                <w:spacing w:val="-2"/>
                <w:sz w:val="20"/>
              </w:rPr>
              <w:t>0.955795</w:t>
            </w:r>
          </w:p>
        </w:tc>
        <w:tc>
          <w:tcPr>
            <w:tcW w:w="2370" w:type="dxa"/>
            <w:gridSpan w:val="2"/>
            <w:tcBorders>
              <w:top w:val="double" w:sz="6" w:space="0" w:color="000000"/>
            </w:tcBorders>
          </w:tcPr>
          <w:p>
            <w:pPr>
              <w:pStyle w:val="TableParagraph"/>
              <w:spacing w:line="215" w:lineRule="exact" w:before="40"/>
              <w:ind w:left="130"/>
              <w:rPr>
                <w:sz w:val="20"/>
              </w:rPr>
            </w:pPr>
            <w:r>
              <w:rPr>
                <w:sz w:val="20"/>
              </w:rPr>
              <w:t>Mean</w:t>
            </w:r>
            <w:r>
              <w:rPr>
                <w:spacing w:val="-7"/>
                <w:sz w:val="20"/>
              </w:rPr>
              <w:t> </w:t>
            </w:r>
            <w:r>
              <w:rPr>
                <w:sz w:val="20"/>
              </w:rPr>
              <w:t>dependent</w:t>
            </w:r>
            <w:r>
              <w:rPr>
                <w:spacing w:val="-7"/>
                <w:sz w:val="20"/>
              </w:rPr>
              <w:t> </w:t>
            </w:r>
            <w:r>
              <w:rPr>
                <w:spacing w:val="-5"/>
                <w:sz w:val="20"/>
              </w:rPr>
              <w:t>var</w:t>
            </w:r>
          </w:p>
        </w:tc>
        <w:tc>
          <w:tcPr>
            <w:tcW w:w="897" w:type="dxa"/>
            <w:tcBorders>
              <w:top w:val="double" w:sz="6" w:space="0" w:color="000000"/>
            </w:tcBorders>
          </w:tcPr>
          <w:p>
            <w:pPr>
              <w:pStyle w:val="TableParagraph"/>
              <w:spacing w:line="215" w:lineRule="exact" w:before="40"/>
              <w:ind w:right="30"/>
              <w:jc w:val="right"/>
              <w:rPr>
                <w:sz w:val="20"/>
              </w:rPr>
            </w:pPr>
            <w:r>
              <w:rPr>
                <w:spacing w:val="-2"/>
                <w:sz w:val="20"/>
              </w:rPr>
              <w:t>11.26291</w:t>
            </w:r>
          </w:p>
        </w:tc>
      </w:tr>
      <w:tr>
        <w:trPr>
          <w:trHeight w:val="230" w:hRule="atLeast"/>
        </w:trPr>
        <w:tc>
          <w:tcPr>
            <w:tcW w:w="1910" w:type="dxa"/>
          </w:tcPr>
          <w:p>
            <w:pPr>
              <w:pStyle w:val="TableParagraph"/>
              <w:spacing w:line="210" w:lineRule="exact"/>
              <w:ind w:left="36"/>
              <w:rPr>
                <w:sz w:val="20"/>
              </w:rPr>
            </w:pPr>
            <w:r>
              <w:rPr>
                <w:sz w:val="20"/>
              </w:rPr>
              <w:t>Adjusted</w:t>
            </w:r>
            <w:r>
              <w:rPr>
                <w:spacing w:val="-10"/>
                <w:sz w:val="20"/>
              </w:rPr>
              <w:t> </w:t>
            </w:r>
            <w:r>
              <w:rPr>
                <w:sz w:val="20"/>
              </w:rPr>
              <w:t>R-</w:t>
            </w:r>
            <w:r>
              <w:rPr>
                <w:spacing w:val="-2"/>
                <w:sz w:val="20"/>
              </w:rPr>
              <w:t>squared</w:t>
            </w:r>
          </w:p>
        </w:tc>
        <w:tc>
          <w:tcPr>
            <w:tcW w:w="1313" w:type="dxa"/>
          </w:tcPr>
          <w:p>
            <w:pPr>
              <w:pStyle w:val="TableParagraph"/>
              <w:spacing w:line="210" w:lineRule="exact"/>
              <w:ind w:left="298"/>
              <w:jc w:val="center"/>
              <w:rPr>
                <w:sz w:val="20"/>
              </w:rPr>
            </w:pPr>
            <w:r>
              <w:rPr>
                <w:spacing w:val="-2"/>
                <w:sz w:val="20"/>
              </w:rPr>
              <w:t>0.945078</w:t>
            </w:r>
          </w:p>
        </w:tc>
        <w:tc>
          <w:tcPr>
            <w:tcW w:w="2370" w:type="dxa"/>
            <w:gridSpan w:val="2"/>
          </w:tcPr>
          <w:p>
            <w:pPr>
              <w:pStyle w:val="TableParagraph"/>
              <w:spacing w:line="210" w:lineRule="exact"/>
              <w:ind w:left="130"/>
              <w:rPr>
                <w:sz w:val="20"/>
              </w:rPr>
            </w:pPr>
            <w:r>
              <w:rPr>
                <w:sz w:val="20"/>
              </w:rPr>
              <w:t>S.D.</w:t>
            </w:r>
            <w:r>
              <w:rPr>
                <w:spacing w:val="-5"/>
                <w:sz w:val="20"/>
              </w:rPr>
              <w:t> </w:t>
            </w:r>
            <w:r>
              <w:rPr>
                <w:sz w:val="20"/>
              </w:rPr>
              <w:t>dependent</w:t>
            </w:r>
            <w:r>
              <w:rPr>
                <w:spacing w:val="-6"/>
                <w:sz w:val="20"/>
              </w:rPr>
              <w:t> </w:t>
            </w:r>
            <w:r>
              <w:rPr>
                <w:spacing w:val="-5"/>
                <w:sz w:val="20"/>
              </w:rPr>
              <w:t>var</w:t>
            </w:r>
          </w:p>
        </w:tc>
        <w:tc>
          <w:tcPr>
            <w:tcW w:w="897" w:type="dxa"/>
          </w:tcPr>
          <w:p>
            <w:pPr>
              <w:pStyle w:val="TableParagraph"/>
              <w:spacing w:line="210" w:lineRule="exact"/>
              <w:ind w:right="30"/>
              <w:jc w:val="right"/>
              <w:rPr>
                <w:sz w:val="20"/>
              </w:rPr>
            </w:pPr>
            <w:r>
              <w:rPr>
                <w:spacing w:val="-2"/>
                <w:sz w:val="20"/>
              </w:rPr>
              <w:t>2.891991</w:t>
            </w:r>
          </w:p>
        </w:tc>
      </w:tr>
      <w:tr>
        <w:trPr>
          <w:trHeight w:val="230" w:hRule="atLeast"/>
        </w:trPr>
        <w:tc>
          <w:tcPr>
            <w:tcW w:w="1910" w:type="dxa"/>
          </w:tcPr>
          <w:p>
            <w:pPr>
              <w:pStyle w:val="TableParagraph"/>
              <w:spacing w:line="210" w:lineRule="exact"/>
              <w:ind w:left="36"/>
              <w:rPr>
                <w:sz w:val="20"/>
              </w:rPr>
            </w:pPr>
            <w:r>
              <w:rPr>
                <w:sz w:val="20"/>
              </w:rPr>
              <w:t>S.E.</w:t>
            </w:r>
            <w:r>
              <w:rPr>
                <w:spacing w:val="-3"/>
                <w:sz w:val="20"/>
              </w:rPr>
              <w:t> </w:t>
            </w:r>
            <w:r>
              <w:rPr>
                <w:sz w:val="20"/>
              </w:rPr>
              <w:t>of</w:t>
            </w:r>
            <w:r>
              <w:rPr>
                <w:spacing w:val="-3"/>
                <w:sz w:val="20"/>
              </w:rPr>
              <w:t> </w:t>
            </w:r>
            <w:r>
              <w:rPr>
                <w:spacing w:val="-2"/>
                <w:sz w:val="20"/>
              </w:rPr>
              <w:t>regression</w:t>
            </w:r>
          </w:p>
        </w:tc>
        <w:tc>
          <w:tcPr>
            <w:tcW w:w="1313" w:type="dxa"/>
          </w:tcPr>
          <w:p>
            <w:pPr>
              <w:pStyle w:val="TableParagraph"/>
              <w:spacing w:line="210" w:lineRule="exact"/>
              <w:ind w:left="298"/>
              <w:jc w:val="center"/>
              <w:rPr>
                <w:sz w:val="20"/>
              </w:rPr>
            </w:pPr>
            <w:r>
              <w:rPr>
                <w:spacing w:val="-2"/>
                <w:sz w:val="20"/>
              </w:rPr>
              <w:t>0.677750</w:t>
            </w:r>
          </w:p>
        </w:tc>
        <w:tc>
          <w:tcPr>
            <w:tcW w:w="2370" w:type="dxa"/>
            <w:gridSpan w:val="2"/>
          </w:tcPr>
          <w:p>
            <w:pPr>
              <w:pStyle w:val="TableParagraph"/>
              <w:spacing w:line="210" w:lineRule="exact"/>
              <w:ind w:left="130"/>
              <w:rPr>
                <w:sz w:val="20"/>
              </w:rPr>
            </w:pPr>
            <w:r>
              <w:rPr>
                <w:sz w:val="20"/>
              </w:rPr>
              <w:t>Akaike</w:t>
            </w:r>
            <w:r>
              <w:rPr>
                <w:spacing w:val="-8"/>
                <w:sz w:val="20"/>
              </w:rPr>
              <w:t> </w:t>
            </w:r>
            <w:r>
              <w:rPr>
                <w:sz w:val="20"/>
              </w:rPr>
              <w:t>info</w:t>
            </w:r>
            <w:r>
              <w:rPr>
                <w:spacing w:val="-7"/>
                <w:sz w:val="20"/>
              </w:rPr>
              <w:t> </w:t>
            </w:r>
            <w:r>
              <w:rPr>
                <w:spacing w:val="-2"/>
                <w:sz w:val="20"/>
              </w:rPr>
              <w:t>criterion</w:t>
            </w:r>
          </w:p>
        </w:tc>
        <w:tc>
          <w:tcPr>
            <w:tcW w:w="897" w:type="dxa"/>
          </w:tcPr>
          <w:p>
            <w:pPr>
              <w:pStyle w:val="TableParagraph"/>
              <w:spacing w:line="210" w:lineRule="exact"/>
              <w:ind w:right="30"/>
              <w:jc w:val="right"/>
              <w:rPr>
                <w:sz w:val="20"/>
              </w:rPr>
            </w:pPr>
            <w:r>
              <w:rPr>
                <w:spacing w:val="-2"/>
                <w:sz w:val="20"/>
              </w:rPr>
              <w:t>2.247333</w:t>
            </w:r>
          </w:p>
        </w:tc>
      </w:tr>
      <w:tr>
        <w:trPr>
          <w:trHeight w:val="229" w:hRule="atLeast"/>
        </w:trPr>
        <w:tc>
          <w:tcPr>
            <w:tcW w:w="1910" w:type="dxa"/>
          </w:tcPr>
          <w:p>
            <w:pPr>
              <w:pStyle w:val="TableParagraph"/>
              <w:spacing w:line="209" w:lineRule="exact"/>
              <w:ind w:left="36"/>
              <w:rPr>
                <w:sz w:val="20"/>
              </w:rPr>
            </w:pPr>
            <w:r>
              <w:rPr>
                <w:sz w:val="20"/>
              </w:rPr>
              <w:t>Sum</w:t>
            </w:r>
            <w:r>
              <w:rPr>
                <w:spacing w:val="-8"/>
                <w:sz w:val="20"/>
              </w:rPr>
              <w:t> </w:t>
            </w:r>
            <w:r>
              <w:rPr>
                <w:sz w:val="20"/>
              </w:rPr>
              <w:t>squared</w:t>
            </w:r>
            <w:r>
              <w:rPr>
                <w:spacing w:val="-4"/>
                <w:sz w:val="20"/>
              </w:rPr>
              <w:t> </w:t>
            </w:r>
            <w:r>
              <w:rPr>
                <w:spacing w:val="-2"/>
                <w:sz w:val="20"/>
              </w:rPr>
              <w:t>resid</w:t>
            </w:r>
          </w:p>
        </w:tc>
        <w:tc>
          <w:tcPr>
            <w:tcW w:w="1313" w:type="dxa"/>
          </w:tcPr>
          <w:p>
            <w:pPr>
              <w:pStyle w:val="TableParagraph"/>
              <w:spacing w:line="209" w:lineRule="exact"/>
              <w:ind w:left="298"/>
              <w:jc w:val="center"/>
              <w:rPr>
                <w:sz w:val="20"/>
              </w:rPr>
            </w:pPr>
            <w:r>
              <w:rPr>
                <w:spacing w:val="-2"/>
                <w:sz w:val="20"/>
              </w:rPr>
              <w:t>15.15839</w:t>
            </w:r>
          </w:p>
        </w:tc>
        <w:tc>
          <w:tcPr>
            <w:tcW w:w="2370" w:type="dxa"/>
            <w:gridSpan w:val="2"/>
          </w:tcPr>
          <w:p>
            <w:pPr>
              <w:pStyle w:val="TableParagraph"/>
              <w:spacing w:line="209" w:lineRule="exact"/>
              <w:ind w:left="130"/>
              <w:rPr>
                <w:sz w:val="20"/>
              </w:rPr>
            </w:pPr>
            <w:r>
              <w:rPr>
                <w:sz w:val="20"/>
              </w:rPr>
              <w:t>Schwarz</w:t>
            </w:r>
            <w:r>
              <w:rPr>
                <w:spacing w:val="-8"/>
                <w:sz w:val="20"/>
              </w:rPr>
              <w:t> </w:t>
            </w:r>
            <w:r>
              <w:rPr>
                <w:spacing w:val="-2"/>
                <w:sz w:val="20"/>
              </w:rPr>
              <w:t>criterion</w:t>
            </w:r>
          </w:p>
        </w:tc>
        <w:tc>
          <w:tcPr>
            <w:tcW w:w="897" w:type="dxa"/>
          </w:tcPr>
          <w:p>
            <w:pPr>
              <w:pStyle w:val="TableParagraph"/>
              <w:spacing w:line="209" w:lineRule="exact"/>
              <w:ind w:right="30"/>
              <w:jc w:val="right"/>
              <w:rPr>
                <w:sz w:val="20"/>
              </w:rPr>
            </w:pPr>
            <w:r>
              <w:rPr>
                <w:spacing w:val="-2"/>
                <w:sz w:val="20"/>
              </w:rPr>
              <w:t>2.619691</w:t>
            </w:r>
          </w:p>
        </w:tc>
      </w:tr>
      <w:tr>
        <w:trPr>
          <w:trHeight w:val="229" w:hRule="atLeast"/>
        </w:trPr>
        <w:tc>
          <w:tcPr>
            <w:tcW w:w="1910" w:type="dxa"/>
          </w:tcPr>
          <w:p>
            <w:pPr>
              <w:pStyle w:val="TableParagraph"/>
              <w:spacing w:line="209" w:lineRule="exact"/>
              <w:ind w:left="36"/>
              <w:rPr>
                <w:sz w:val="20"/>
              </w:rPr>
            </w:pPr>
            <w:r>
              <w:rPr>
                <w:sz w:val="20"/>
              </w:rPr>
              <w:t>Log</w:t>
            </w:r>
            <w:r>
              <w:rPr>
                <w:spacing w:val="-6"/>
                <w:sz w:val="20"/>
              </w:rPr>
              <w:t> </w:t>
            </w:r>
            <w:r>
              <w:rPr>
                <w:spacing w:val="-2"/>
                <w:sz w:val="20"/>
              </w:rPr>
              <w:t>likelihood</w:t>
            </w:r>
          </w:p>
        </w:tc>
        <w:tc>
          <w:tcPr>
            <w:tcW w:w="1313" w:type="dxa"/>
          </w:tcPr>
          <w:p>
            <w:pPr>
              <w:pStyle w:val="TableParagraph"/>
              <w:spacing w:line="209" w:lineRule="exact"/>
              <w:ind w:left="234"/>
              <w:jc w:val="center"/>
              <w:rPr>
                <w:sz w:val="20"/>
              </w:rPr>
            </w:pPr>
            <w:r>
              <w:rPr>
                <w:spacing w:val="-4"/>
                <w:sz w:val="20"/>
              </w:rPr>
              <w:t>-</w:t>
            </w:r>
            <w:r>
              <w:rPr>
                <w:spacing w:val="-2"/>
                <w:sz w:val="20"/>
              </w:rPr>
              <w:t>38.19400</w:t>
            </w:r>
          </w:p>
        </w:tc>
        <w:tc>
          <w:tcPr>
            <w:tcW w:w="1433" w:type="dxa"/>
          </w:tcPr>
          <w:p>
            <w:pPr>
              <w:pStyle w:val="TableParagraph"/>
              <w:spacing w:line="209" w:lineRule="exact"/>
              <w:ind w:left="130"/>
              <w:rPr>
                <w:sz w:val="20"/>
              </w:rPr>
            </w:pPr>
            <w:r>
              <w:rPr>
                <w:spacing w:val="-4"/>
                <w:sz w:val="20"/>
              </w:rPr>
              <w:t>F-</w:t>
            </w:r>
            <w:r>
              <w:rPr>
                <w:spacing w:val="-2"/>
                <w:sz w:val="20"/>
              </w:rPr>
              <w:t>statistic</w:t>
            </w:r>
          </w:p>
        </w:tc>
        <w:tc>
          <w:tcPr>
            <w:tcW w:w="937" w:type="dxa"/>
          </w:tcPr>
          <w:p>
            <w:pPr>
              <w:pStyle w:val="TableParagraph"/>
              <w:rPr>
                <w:sz w:val="16"/>
              </w:rPr>
            </w:pPr>
          </w:p>
        </w:tc>
        <w:tc>
          <w:tcPr>
            <w:tcW w:w="897" w:type="dxa"/>
          </w:tcPr>
          <w:p>
            <w:pPr>
              <w:pStyle w:val="TableParagraph"/>
              <w:spacing w:line="209" w:lineRule="exact"/>
              <w:ind w:right="30"/>
              <w:jc w:val="right"/>
              <w:rPr>
                <w:sz w:val="20"/>
              </w:rPr>
            </w:pPr>
            <w:r>
              <w:rPr>
                <w:spacing w:val="-2"/>
                <w:sz w:val="20"/>
              </w:rPr>
              <w:t>89.18940</w:t>
            </w:r>
          </w:p>
        </w:tc>
      </w:tr>
      <w:tr>
        <w:trPr>
          <w:trHeight w:val="267" w:hRule="atLeast"/>
        </w:trPr>
        <w:tc>
          <w:tcPr>
            <w:tcW w:w="1910" w:type="dxa"/>
            <w:tcBorders>
              <w:bottom w:val="double" w:sz="6" w:space="0" w:color="000000"/>
            </w:tcBorders>
          </w:tcPr>
          <w:p>
            <w:pPr>
              <w:pStyle w:val="TableParagraph"/>
              <w:spacing w:line="226" w:lineRule="exact"/>
              <w:ind w:left="36"/>
              <w:rPr>
                <w:sz w:val="20"/>
              </w:rPr>
            </w:pPr>
            <w:r>
              <w:rPr>
                <w:sz w:val="20"/>
              </w:rPr>
              <w:t>Durbin-Watson</w:t>
            </w:r>
            <w:r>
              <w:rPr>
                <w:spacing w:val="-12"/>
                <w:sz w:val="20"/>
              </w:rPr>
              <w:t> </w:t>
            </w:r>
            <w:r>
              <w:rPr>
                <w:spacing w:val="-4"/>
                <w:sz w:val="20"/>
              </w:rPr>
              <w:t>stat</w:t>
            </w:r>
          </w:p>
        </w:tc>
        <w:tc>
          <w:tcPr>
            <w:tcW w:w="1313" w:type="dxa"/>
          </w:tcPr>
          <w:p>
            <w:pPr>
              <w:pStyle w:val="TableParagraph"/>
              <w:spacing w:line="226" w:lineRule="exact"/>
              <w:ind w:left="298"/>
              <w:jc w:val="center"/>
              <w:rPr>
                <w:sz w:val="20"/>
              </w:rPr>
            </w:pPr>
            <w:r>
              <w:rPr>
                <w:spacing w:val="-2"/>
                <w:sz w:val="20"/>
              </w:rPr>
              <w:t>1.594042</w:t>
            </w:r>
          </w:p>
        </w:tc>
        <w:tc>
          <w:tcPr>
            <w:tcW w:w="1433" w:type="dxa"/>
            <w:tcBorders>
              <w:bottom w:val="double" w:sz="6" w:space="0" w:color="000000"/>
            </w:tcBorders>
          </w:tcPr>
          <w:p>
            <w:pPr>
              <w:pStyle w:val="TableParagraph"/>
              <w:spacing w:line="226" w:lineRule="exact"/>
              <w:ind w:left="130"/>
              <w:rPr>
                <w:sz w:val="20"/>
              </w:rPr>
            </w:pPr>
            <w:r>
              <w:rPr>
                <w:spacing w:val="-2"/>
                <w:sz w:val="20"/>
              </w:rPr>
              <w:t>Prob(F-statistic)</w:t>
            </w:r>
          </w:p>
        </w:tc>
        <w:tc>
          <w:tcPr>
            <w:tcW w:w="937" w:type="dxa"/>
            <w:tcBorders>
              <w:bottom w:val="single" w:sz="6" w:space="0" w:color="000000"/>
            </w:tcBorders>
          </w:tcPr>
          <w:p>
            <w:pPr>
              <w:pStyle w:val="TableParagraph"/>
              <w:rPr>
                <w:sz w:val="18"/>
              </w:rPr>
            </w:pPr>
          </w:p>
        </w:tc>
        <w:tc>
          <w:tcPr>
            <w:tcW w:w="897" w:type="dxa"/>
            <w:tcBorders>
              <w:bottom w:val="double" w:sz="6" w:space="0" w:color="000000"/>
            </w:tcBorders>
          </w:tcPr>
          <w:p>
            <w:pPr>
              <w:pStyle w:val="TableParagraph"/>
              <w:spacing w:line="226" w:lineRule="exact"/>
              <w:ind w:right="30"/>
              <w:jc w:val="right"/>
              <w:rPr>
                <w:sz w:val="20"/>
              </w:rPr>
            </w:pPr>
            <w:r>
              <w:rPr>
                <w:spacing w:val="-2"/>
                <w:sz w:val="20"/>
              </w:rPr>
              <w:t>0.000000</w:t>
            </w:r>
          </w:p>
        </w:tc>
      </w:tr>
    </w:tbl>
    <w:p>
      <w:pPr>
        <w:pStyle w:val="BodyText"/>
        <w:rPr>
          <w:sz w:val="20"/>
        </w:rPr>
      </w:pPr>
    </w:p>
    <w:p>
      <w:pPr>
        <w:pStyle w:val="BodyText"/>
        <w:spacing w:before="14"/>
        <w:rPr>
          <w:sz w:val="20"/>
        </w:rPr>
      </w:pPr>
    </w:p>
    <w:p>
      <w:pPr>
        <w:spacing w:before="0" w:after="10"/>
        <w:ind w:left="761" w:right="0" w:firstLine="0"/>
        <w:jc w:val="left"/>
        <w:rPr>
          <w:sz w:val="20"/>
        </w:rPr>
      </w:pPr>
      <w:r>
        <w:rPr>
          <w:sz w:val="20"/>
        </w:rPr>
        <w:t>ECM</w:t>
      </w:r>
      <w:r>
        <w:rPr>
          <w:spacing w:val="-3"/>
          <w:sz w:val="20"/>
        </w:rPr>
        <w:t> </w:t>
      </w:r>
      <w:r>
        <w:rPr>
          <w:sz w:val="20"/>
        </w:rPr>
        <w:t>FOR</w:t>
      </w:r>
      <w:r>
        <w:rPr>
          <w:spacing w:val="-5"/>
          <w:sz w:val="20"/>
        </w:rPr>
        <w:t> </w:t>
      </w:r>
      <w:r>
        <w:rPr>
          <w:sz w:val="20"/>
        </w:rPr>
        <w:t>MODEL</w:t>
      </w:r>
      <w:r>
        <w:rPr>
          <w:spacing w:val="-6"/>
          <w:sz w:val="20"/>
        </w:rPr>
        <w:t> </w:t>
      </w:r>
      <w:r>
        <w:rPr>
          <w:spacing w:val="-5"/>
          <w:sz w:val="20"/>
        </w:rPr>
        <w:t>1A</w:t>
      </w:r>
    </w:p>
    <w:tbl>
      <w:tblPr>
        <w:tblW w:w="0" w:type="auto"/>
        <w:jc w:val="left"/>
        <w:tblInd w:w="7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81"/>
      </w:tblGrid>
      <w:tr>
        <w:trPr>
          <w:trHeight w:val="685" w:hRule="atLeast"/>
        </w:trPr>
        <w:tc>
          <w:tcPr>
            <w:tcW w:w="1181" w:type="dxa"/>
          </w:tcPr>
          <w:p>
            <w:pPr>
              <w:pStyle w:val="TableParagraph"/>
              <w:ind w:left="3"/>
              <w:jc w:val="center"/>
              <w:rPr>
                <w:sz w:val="20"/>
              </w:rPr>
            </w:pPr>
            <w:r>
              <w:rPr>
                <w:sz w:val="20"/>
              </w:rPr>
              <w:t>Last</w:t>
            </w:r>
            <w:r>
              <w:rPr>
                <w:spacing w:val="-13"/>
                <w:sz w:val="20"/>
              </w:rPr>
              <w:t> </w:t>
            </w:r>
            <w:r>
              <w:rPr>
                <w:sz w:val="20"/>
              </w:rPr>
              <w:t>updated: 02/18/14 -</w:t>
            </w:r>
          </w:p>
          <w:p>
            <w:pPr>
              <w:pStyle w:val="TableParagraph"/>
              <w:spacing w:line="214" w:lineRule="exact"/>
              <w:ind w:left="3" w:right="3"/>
              <w:jc w:val="center"/>
              <w:rPr>
                <w:sz w:val="20"/>
              </w:rPr>
            </w:pPr>
            <w:r>
              <w:rPr>
                <w:spacing w:val="-2"/>
                <w:sz w:val="20"/>
              </w:rPr>
              <w:t>07:56</w:t>
            </w:r>
          </w:p>
        </w:tc>
      </w:tr>
      <w:tr>
        <w:trPr>
          <w:trHeight w:val="805" w:hRule="atLeast"/>
        </w:trPr>
        <w:tc>
          <w:tcPr>
            <w:tcW w:w="1181" w:type="dxa"/>
          </w:tcPr>
          <w:p>
            <w:pPr>
              <w:pStyle w:val="TableParagraph"/>
              <w:ind w:left="83" w:right="81" w:firstLine="108"/>
              <w:rPr>
                <w:sz w:val="20"/>
              </w:rPr>
            </w:pPr>
            <w:r>
              <w:rPr>
                <w:spacing w:val="-2"/>
                <w:sz w:val="20"/>
              </w:rPr>
              <w:t>Modified: </w:t>
            </w:r>
            <w:r>
              <w:rPr>
                <w:sz w:val="20"/>
              </w:rPr>
              <w:t>1970</w:t>
            </w:r>
            <w:r>
              <w:rPr>
                <w:spacing w:val="-4"/>
                <w:sz w:val="20"/>
              </w:rPr>
              <w:t> </w:t>
            </w:r>
            <w:r>
              <w:rPr>
                <w:sz w:val="20"/>
              </w:rPr>
              <w:t>2011</w:t>
            </w:r>
            <w:r>
              <w:rPr>
                <w:spacing w:val="-1"/>
                <w:sz w:val="20"/>
              </w:rPr>
              <w:t> </w:t>
            </w:r>
            <w:r>
              <w:rPr>
                <w:spacing w:val="-5"/>
                <w:sz w:val="20"/>
              </w:rPr>
              <w:t>//</w:t>
            </w:r>
          </w:p>
          <w:p>
            <w:pPr>
              <w:pStyle w:val="TableParagraph"/>
              <w:ind w:left="180"/>
              <w:rPr>
                <w:sz w:val="20"/>
              </w:rPr>
            </w:pPr>
            <w:r>
              <w:rPr>
                <w:spacing w:val="-2"/>
                <w:sz w:val="20"/>
              </w:rPr>
              <w:t>makeresid</w:t>
            </w:r>
          </w:p>
        </w:tc>
      </w:tr>
      <w:tr>
        <w:trPr>
          <w:trHeight w:val="345" w:hRule="atLeast"/>
        </w:trPr>
        <w:tc>
          <w:tcPr>
            <w:tcW w:w="1181" w:type="dxa"/>
          </w:tcPr>
          <w:p>
            <w:pPr>
              <w:pStyle w:val="TableParagraph"/>
              <w:spacing w:line="215" w:lineRule="exact" w:before="111"/>
              <w:ind w:left="52"/>
              <w:jc w:val="center"/>
              <w:rPr>
                <w:sz w:val="20"/>
              </w:rPr>
            </w:pPr>
            <w:r>
              <w:rPr>
                <w:spacing w:val="-2"/>
                <w:sz w:val="20"/>
              </w:rPr>
              <w:t>0.766864</w:t>
            </w:r>
          </w:p>
        </w:tc>
      </w:tr>
      <w:tr>
        <w:trPr>
          <w:trHeight w:val="229" w:hRule="atLeast"/>
        </w:trPr>
        <w:tc>
          <w:tcPr>
            <w:tcW w:w="1181" w:type="dxa"/>
          </w:tcPr>
          <w:p>
            <w:pPr>
              <w:pStyle w:val="TableParagraph"/>
              <w:spacing w:line="209" w:lineRule="exact"/>
              <w:ind w:left="52"/>
              <w:jc w:val="center"/>
              <w:rPr>
                <w:sz w:val="20"/>
              </w:rPr>
            </w:pPr>
            <w:r>
              <w:rPr>
                <w:spacing w:val="-2"/>
                <w:sz w:val="20"/>
              </w:rPr>
              <w:t>0.711571</w:t>
            </w:r>
          </w:p>
        </w:tc>
      </w:tr>
      <w:tr>
        <w:trPr>
          <w:trHeight w:val="229" w:hRule="atLeast"/>
        </w:trPr>
        <w:tc>
          <w:tcPr>
            <w:tcW w:w="1181" w:type="dxa"/>
          </w:tcPr>
          <w:p>
            <w:pPr>
              <w:pStyle w:val="TableParagraph"/>
              <w:spacing w:line="209" w:lineRule="exact"/>
              <w:ind w:left="3" w:right="3"/>
              <w:jc w:val="center"/>
              <w:rPr>
                <w:sz w:val="20"/>
              </w:rPr>
            </w:pPr>
            <w:r>
              <w:rPr>
                <w:spacing w:val="-4"/>
                <w:sz w:val="20"/>
              </w:rPr>
              <w:t>-</w:t>
            </w:r>
            <w:r>
              <w:rPr>
                <w:spacing w:val="-2"/>
                <w:sz w:val="20"/>
              </w:rPr>
              <w:t>0.149963</w:t>
            </w:r>
          </w:p>
        </w:tc>
      </w:tr>
      <w:tr>
        <w:trPr>
          <w:trHeight w:val="230" w:hRule="atLeast"/>
        </w:trPr>
        <w:tc>
          <w:tcPr>
            <w:tcW w:w="1181" w:type="dxa"/>
          </w:tcPr>
          <w:p>
            <w:pPr>
              <w:pStyle w:val="TableParagraph"/>
              <w:spacing w:line="210" w:lineRule="exact"/>
              <w:ind w:left="52"/>
              <w:jc w:val="center"/>
              <w:rPr>
                <w:sz w:val="20"/>
              </w:rPr>
            </w:pPr>
            <w:r>
              <w:rPr>
                <w:spacing w:val="-2"/>
                <w:sz w:val="20"/>
              </w:rPr>
              <w:t>0.312242</w:t>
            </w:r>
          </w:p>
        </w:tc>
      </w:tr>
      <w:tr>
        <w:trPr>
          <w:trHeight w:val="230" w:hRule="atLeast"/>
        </w:trPr>
        <w:tc>
          <w:tcPr>
            <w:tcW w:w="1181" w:type="dxa"/>
          </w:tcPr>
          <w:p>
            <w:pPr>
              <w:pStyle w:val="TableParagraph"/>
              <w:spacing w:line="210" w:lineRule="exact"/>
              <w:ind w:left="3" w:right="3"/>
              <w:jc w:val="center"/>
              <w:rPr>
                <w:sz w:val="20"/>
              </w:rPr>
            </w:pPr>
            <w:r>
              <w:rPr>
                <w:spacing w:val="-4"/>
                <w:sz w:val="20"/>
              </w:rPr>
              <w:t>-</w:t>
            </w:r>
            <w:r>
              <w:rPr>
                <w:spacing w:val="-2"/>
                <w:sz w:val="20"/>
              </w:rPr>
              <w:t>0.110157</w:t>
            </w:r>
          </w:p>
        </w:tc>
      </w:tr>
      <w:tr>
        <w:trPr>
          <w:trHeight w:val="230" w:hRule="atLeast"/>
        </w:trPr>
        <w:tc>
          <w:tcPr>
            <w:tcW w:w="1181" w:type="dxa"/>
          </w:tcPr>
          <w:p>
            <w:pPr>
              <w:pStyle w:val="TableParagraph"/>
              <w:spacing w:line="210" w:lineRule="exact"/>
              <w:ind w:left="3" w:right="3"/>
              <w:jc w:val="center"/>
              <w:rPr>
                <w:sz w:val="20"/>
              </w:rPr>
            </w:pPr>
            <w:r>
              <w:rPr>
                <w:spacing w:val="-4"/>
                <w:sz w:val="20"/>
              </w:rPr>
              <w:t>-</w:t>
            </w:r>
            <w:r>
              <w:rPr>
                <w:spacing w:val="-2"/>
                <w:sz w:val="20"/>
              </w:rPr>
              <w:t>0.198573</w:t>
            </w:r>
          </w:p>
        </w:tc>
      </w:tr>
      <w:tr>
        <w:trPr>
          <w:trHeight w:val="229" w:hRule="atLeast"/>
        </w:trPr>
        <w:tc>
          <w:tcPr>
            <w:tcW w:w="1181" w:type="dxa"/>
          </w:tcPr>
          <w:p>
            <w:pPr>
              <w:pStyle w:val="TableParagraph"/>
              <w:spacing w:line="209" w:lineRule="exact"/>
              <w:ind w:left="3" w:right="3"/>
              <w:jc w:val="center"/>
              <w:rPr>
                <w:sz w:val="20"/>
              </w:rPr>
            </w:pPr>
            <w:r>
              <w:rPr>
                <w:spacing w:val="-4"/>
                <w:sz w:val="20"/>
              </w:rPr>
              <w:t>-</w:t>
            </w:r>
            <w:r>
              <w:rPr>
                <w:spacing w:val="-2"/>
                <w:sz w:val="20"/>
              </w:rPr>
              <w:t>0.327614</w:t>
            </w:r>
          </w:p>
        </w:tc>
      </w:tr>
      <w:tr>
        <w:trPr>
          <w:trHeight w:val="229" w:hRule="atLeast"/>
        </w:trPr>
        <w:tc>
          <w:tcPr>
            <w:tcW w:w="1181" w:type="dxa"/>
          </w:tcPr>
          <w:p>
            <w:pPr>
              <w:pStyle w:val="TableParagraph"/>
              <w:spacing w:line="210" w:lineRule="exact"/>
              <w:ind w:left="52"/>
              <w:jc w:val="center"/>
              <w:rPr>
                <w:sz w:val="20"/>
              </w:rPr>
            </w:pPr>
            <w:r>
              <w:rPr>
                <w:spacing w:val="-2"/>
                <w:sz w:val="20"/>
              </w:rPr>
              <w:t>0.003713</w:t>
            </w:r>
          </w:p>
        </w:tc>
      </w:tr>
      <w:tr>
        <w:trPr>
          <w:trHeight w:val="230" w:hRule="atLeast"/>
        </w:trPr>
        <w:tc>
          <w:tcPr>
            <w:tcW w:w="1181" w:type="dxa"/>
          </w:tcPr>
          <w:p>
            <w:pPr>
              <w:pStyle w:val="TableParagraph"/>
              <w:spacing w:line="210" w:lineRule="exact"/>
              <w:ind w:left="3" w:right="3"/>
              <w:jc w:val="center"/>
              <w:rPr>
                <w:sz w:val="20"/>
              </w:rPr>
            </w:pPr>
            <w:r>
              <w:rPr>
                <w:spacing w:val="-4"/>
                <w:sz w:val="20"/>
              </w:rPr>
              <w:t>-</w:t>
            </w:r>
            <w:r>
              <w:rPr>
                <w:spacing w:val="-2"/>
                <w:sz w:val="20"/>
              </w:rPr>
              <w:t>0.327828</w:t>
            </w:r>
          </w:p>
        </w:tc>
      </w:tr>
      <w:tr>
        <w:trPr>
          <w:trHeight w:val="230" w:hRule="atLeast"/>
        </w:trPr>
        <w:tc>
          <w:tcPr>
            <w:tcW w:w="1181" w:type="dxa"/>
          </w:tcPr>
          <w:p>
            <w:pPr>
              <w:pStyle w:val="TableParagraph"/>
              <w:spacing w:line="210" w:lineRule="exact"/>
              <w:ind w:left="3" w:right="3"/>
              <w:jc w:val="center"/>
              <w:rPr>
                <w:sz w:val="20"/>
              </w:rPr>
            </w:pPr>
            <w:r>
              <w:rPr>
                <w:spacing w:val="-4"/>
                <w:sz w:val="20"/>
              </w:rPr>
              <w:t>-</w:t>
            </w:r>
            <w:r>
              <w:rPr>
                <w:spacing w:val="-2"/>
                <w:sz w:val="20"/>
              </w:rPr>
              <w:t>0.773761</w:t>
            </w:r>
          </w:p>
        </w:tc>
      </w:tr>
      <w:tr>
        <w:trPr>
          <w:trHeight w:val="230" w:hRule="atLeast"/>
        </w:trPr>
        <w:tc>
          <w:tcPr>
            <w:tcW w:w="1181" w:type="dxa"/>
          </w:tcPr>
          <w:p>
            <w:pPr>
              <w:pStyle w:val="TableParagraph"/>
              <w:spacing w:line="210" w:lineRule="exact"/>
              <w:ind w:left="3" w:right="3"/>
              <w:jc w:val="center"/>
              <w:rPr>
                <w:sz w:val="20"/>
              </w:rPr>
            </w:pPr>
            <w:r>
              <w:rPr>
                <w:spacing w:val="-4"/>
                <w:sz w:val="20"/>
              </w:rPr>
              <w:t>-</w:t>
            </w:r>
            <w:r>
              <w:rPr>
                <w:spacing w:val="-2"/>
                <w:sz w:val="20"/>
              </w:rPr>
              <w:t>0.704728</w:t>
            </w:r>
          </w:p>
        </w:tc>
      </w:tr>
      <w:tr>
        <w:trPr>
          <w:trHeight w:val="230" w:hRule="atLeast"/>
        </w:trPr>
        <w:tc>
          <w:tcPr>
            <w:tcW w:w="1181" w:type="dxa"/>
          </w:tcPr>
          <w:p>
            <w:pPr>
              <w:pStyle w:val="TableParagraph"/>
              <w:spacing w:line="210" w:lineRule="exact"/>
              <w:ind w:left="3" w:right="3"/>
              <w:jc w:val="center"/>
              <w:rPr>
                <w:sz w:val="20"/>
              </w:rPr>
            </w:pPr>
            <w:r>
              <w:rPr>
                <w:spacing w:val="-4"/>
                <w:sz w:val="20"/>
              </w:rPr>
              <w:t>-</w:t>
            </w:r>
            <w:r>
              <w:rPr>
                <w:spacing w:val="-2"/>
                <w:sz w:val="20"/>
              </w:rPr>
              <w:t>0.337829</w:t>
            </w:r>
          </w:p>
        </w:tc>
      </w:tr>
      <w:tr>
        <w:trPr>
          <w:trHeight w:val="229" w:hRule="atLeast"/>
        </w:trPr>
        <w:tc>
          <w:tcPr>
            <w:tcW w:w="1181" w:type="dxa"/>
          </w:tcPr>
          <w:p>
            <w:pPr>
              <w:pStyle w:val="TableParagraph"/>
              <w:spacing w:line="209" w:lineRule="exact"/>
              <w:ind w:left="3" w:right="3"/>
              <w:jc w:val="center"/>
              <w:rPr>
                <w:sz w:val="20"/>
              </w:rPr>
            </w:pPr>
            <w:r>
              <w:rPr>
                <w:spacing w:val="-4"/>
                <w:sz w:val="20"/>
              </w:rPr>
              <w:t>-</w:t>
            </w:r>
            <w:r>
              <w:rPr>
                <w:spacing w:val="-2"/>
                <w:sz w:val="20"/>
              </w:rPr>
              <w:t>0.090259</w:t>
            </w:r>
          </w:p>
        </w:tc>
      </w:tr>
      <w:tr>
        <w:trPr>
          <w:trHeight w:val="229" w:hRule="atLeast"/>
        </w:trPr>
        <w:tc>
          <w:tcPr>
            <w:tcW w:w="1181" w:type="dxa"/>
          </w:tcPr>
          <w:p>
            <w:pPr>
              <w:pStyle w:val="TableParagraph"/>
              <w:spacing w:line="209" w:lineRule="exact"/>
              <w:ind w:left="52"/>
              <w:jc w:val="center"/>
              <w:rPr>
                <w:sz w:val="20"/>
              </w:rPr>
            </w:pPr>
            <w:r>
              <w:rPr>
                <w:spacing w:val="-2"/>
                <w:sz w:val="20"/>
              </w:rPr>
              <w:t>0.129152</w:t>
            </w:r>
          </w:p>
        </w:tc>
      </w:tr>
      <w:tr>
        <w:trPr>
          <w:trHeight w:val="230" w:hRule="atLeast"/>
        </w:trPr>
        <w:tc>
          <w:tcPr>
            <w:tcW w:w="1181" w:type="dxa"/>
          </w:tcPr>
          <w:p>
            <w:pPr>
              <w:pStyle w:val="TableParagraph"/>
              <w:spacing w:line="210" w:lineRule="exact"/>
              <w:ind w:left="3" w:right="3"/>
              <w:jc w:val="center"/>
              <w:rPr>
                <w:sz w:val="20"/>
              </w:rPr>
            </w:pPr>
            <w:r>
              <w:rPr>
                <w:spacing w:val="-4"/>
                <w:sz w:val="20"/>
              </w:rPr>
              <w:t>-</w:t>
            </w:r>
            <w:r>
              <w:rPr>
                <w:spacing w:val="-2"/>
                <w:sz w:val="20"/>
              </w:rPr>
              <w:t>0.107334</w:t>
            </w:r>
          </w:p>
        </w:tc>
      </w:tr>
      <w:tr>
        <w:trPr>
          <w:trHeight w:val="230" w:hRule="atLeast"/>
        </w:trPr>
        <w:tc>
          <w:tcPr>
            <w:tcW w:w="1181" w:type="dxa"/>
          </w:tcPr>
          <w:p>
            <w:pPr>
              <w:pStyle w:val="TableParagraph"/>
              <w:spacing w:line="210" w:lineRule="exact"/>
              <w:ind w:left="3" w:right="3"/>
              <w:jc w:val="center"/>
              <w:rPr>
                <w:sz w:val="20"/>
              </w:rPr>
            </w:pPr>
            <w:r>
              <w:rPr>
                <w:spacing w:val="-4"/>
                <w:sz w:val="20"/>
              </w:rPr>
              <w:t>-</w:t>
            </w:r>
            <w:r>
              <w:rPr>
                <w:spacing w:val="-2"/>
                <w:sz w:val="20"/>
              </w:rPr>
              <w:t>0.307901</w:t>
            </w:r>
          </w:p>
        </w:tc>
      </w:tr>
      <w:tr>
        <w:trPr>
          <w:trHeight w:val="230" w:hRule="atLeast"/>
        </w:trPr>
        <w:tc>
          <w:tcPr>
            <w:tcW w:w="1181" w:type="dxa"/>
          </w:tcPr>
          <w:p>
            <w:pPr>
              <w:pStyle w:val="TableParagraph"/>
              <w:spacing w:line="210" w:lineRule="exact"/>
              <w:ind w:left="52"/>
              <w:jc w:val="center"/>
              <w:rPr>
                <w:sz w:val="20"/>
              </w:rPr>
            </w:pPr>
            <w:r>
              <w:rPr>
                <w:spacing w:val="-2"/>
                <w:sz w:val="20"/>
              </w:rPr>
              <w:t>0.373976</w:t>
            </w:r>
          </w:p>
        </w:tc>
      </w:tr>
      <w:tr>
        <w:trPr>
          <w:trHeight w:val="230" w:hRule="atLeast"/>
        </w:trPr>
        <w:tc>
          <w:tcPr>
            <w:tcW w:w="1181" w:type="dxa"/>
          </w:tcPr>
          <w:p>
            <w:pPr>
              <w:pStyle w:val="TableParagraph"/>
              <w:spacing w:line="210" w:lineRule="exact"/>
              <w:ind w:left="52"/>
              <w:jc w:val="center"/>
              <w:rPr>
                <w:sz w:val="20"/>
              </w:rPr>
            </w:pPr>
            <w:r>
              <w:rPr>
                <w:spacing w:val="-2"/>
                <w:sz w:val="20"/>
              </w:rPr>
              <w:t>0.307794</w:t>
            </w:r>
          </w:p>
        </w:tc>
      </w:tr>
      <w:tr>
        <w:trPr>
          <w:trHeight w:val="229" w:hRule="atLeast"/>
        </w:trPr>
        <w:tc>
          <w:tcPr>
            <w:tcW w:w="1181" w:type="dxa"/>
          </w:tcPr>
          <w:p>
            <w:pPr>
              <w:pStyle w:val="TableParagraph"/>
              <w:spacing w:line="209" w:lineRule="exact"/>
              <w:ind w:left="3" w:right="3"/>
              <w:jc w:val="center"/>
              <w:rPr>
                <w:sz w:val="20"/>
              </w:rPr>
            </w:pPr>
            <w:r>
              <w:rPr>
                <w:spacing w:val="-4"/>
                <w:sz w:val="20"/>
              </w:rPr>
              <w:t>-</w:t>
            </w:r>
            <w:r>
              <w:rPr>
                <w:spacing w:val="-2"/>
                <w:sz w:val="20"/>
              </w:rPr>
              <w:t>0.067142</w:t>
            </w:r>
          </w:p>
        </w:tc>
      </w:tr>
      <w:tr>
        <w:trPr>
          <w:trHeight w:val="229" w:hRule="atLeast"/>
        </w:trPr>
        <w:tc>
          <w:tcPr>
            <w:tcW w:w="1181" w:type="dxa"/>
          </w:tcPr>
          <w:p>
            <w:pPr>
              <w:pStyle w:val="TableParagraph"/>
              <w:spacing w:line="209" w:lineRule="exact"/>
              <w:ind w:left="52"/>
              <w:jc w:val="center"/>
              <w:rPr>
                <w:sz w:val="20"/>
              </w:rPr>
            </w:pPr>
            <w:r>
              <w:rPr>
                <w:spacing w:val="-2"/>
                <w:sz w:val="20"/>
              </w:rPr>
              <w:t>0.588692</w:t>
            </w:r>
          </w:p>
        </w:tc>
      </w:tr>
      <w:tr>
        <w:trPr>
          <w:trHeight w:val="225" w:hRule="atLeast"/>
        </w:trPr>
        <w:tc>
          <w:tcPr>
            <w:tcW w:w="1181" w:type="dxa"/>
          </w:tcPr>
          <w:p>
            <w:pPr>
              <w:pStyle w:val="TableParagraph"/>
              <w:spacing w:line="205" w:lineRule="exact"/>
              <w:ind w:left="52"/>
              <w:jc w:val="center"/>
              <w:rPr>
                <w:sz w:val="20"/>
              </w:rPr>
            </w:pPr>
            <w:r>
              <w:rPr>
                <w:spacing w:val="-2"/>
                <w:sz w:val="20"/>
              </w:rPr>
              <w:t>0.146821</w:t>
            </w:r>
          </w:p>
        </w:tc>
      </w:tr>
    </w:tbl>
    <w:p>
      <w:pPr>
        <w:spacing w:after="0" w:line="205" w:lineRule="exact"/>
        <w:jc w:val="center"/>
        <w:rPr>
          <w:sz w:val="20"/>
        </w:rPr>
        <w:sectPr>
          <w:pgSz w:w="11910" w:h="16840"/>
          <w:pgMar w:header="0" w:footer="979" w:top="1360" w:bottom="1220" w:left="280" w:right="0"/>
        </w:sectPr>
      </w:pPr>
    </w:p>
    <w:tbl>
      <w:tblPr>
        <w:tblW w:w="0" w:type="auto"/>
        <w:jc w:val="left"/>
        <w:tblInd w:w="9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16"/>
      </w:tblGrid>
      <w:tr>
        <w:trPr>
          <w:trHeight w:val="225" w:hRule="atLeast"/>
        </w:trPr>
        <w:tc>
          <w:tcPr>
            <w:tcW w:w="916" w:type="dxa"/>
          </w:tcPr>
          <w:p>
            <w:pPr>
              <w:pStyle w:val="TableParagraph"/>
              <w:spacing w:line="206" w:lineRule="exact"/>
              <w:jc w:val="center"/>
              <w:rPr>
                <w:sz w:val="20"/>
              </w:rPr>
            </w:pPr>
            <w:r>
              <w:rPr>
                <w:spacing w:val="-4"/>
                <w:sz w:val="20"/>
              </w:rPr>
              <w:t>-</w:t>
            </w:r>
            <w:r>
              <w:rPr>
                <w:spacing w:val="-2"/>
                <w:sz w:val="20"/>
              </w:rPr>
              <w:t>0.570676</w:t>
            </w:r>
          </w:p>
        </w:tc>
      </w:tr>
      <w:tr>
        <w:trPr>
          <w:trHeight w:val="229" w:hRule="atLeast"/>
        </w:trPr>
        <w:tc>
          <w:tcPr>
            <w:tcW w:w="916" w:type="dxa"/>
          </w:tcPr>
          <w:p>
            <w:pPr>
              <w:pStyle w:val="TableParagraph"/>
              <w:spacing w:line="209" w:lineRule="exact"/>
              <w:ind w:left="52"/>
              <w:jc w:val="center"/>
              <w:rPr>
                <w:sz w:val="20"/>
              </w:rPr>
            </w:pPr>
            <w:r>
              <w:rPr>
                <w:spacing w:val="-2"/>
                <w:sz w:val="20"/>
              </w:rPr>
              <w:t>0.583264</w:t>
            </w:r>
          </w:p>
        </w:tc>
      </w:tr>
      <w:tr>
        <w:trPr>
          <w:trHeight w:val="229" w:hRule="atLeast"/>
        </w:trPr>
        <w:tc>
          <w:tcPr>
            <w:tcW w:w="916" w:type="dxa"/>
          </w:tcPr>
          <w:p>
            <w:pPr>
              <w:pStyle w:val="TableParagraph"/>
              <w:spacing w:line="209" w:lineRule="exact"/>
              <w:jc w:val="center"/>
              <w:rPr>
                <w:sz w:val="20"/>
              </w:rPr>
            </w:pPr>
            <w:r>
              <w:rPr>
                <w:spacing w:val="-4"/>
                <w:sz w:val="20"/>
              </w:rPr>
              <w:t>-</w:t>
            </w:r>
            <w:r>
              <w:rPr>
                <w:spacing w:val="-2"/>
                <w:sz w:val="20"/>
              </w:rPr>
              <w:t>0.467660</w:t>
            </w:r>
          </w:p>
        </w:tc>
      </w:tr>
      <w:tr>
        <w:trPr>
          <w:trHeight w:val="230" w:hRule="atLeast"/>
        </w:trPr>
        <w:tc>
          <w:tcPr>
            <w:tcW w:w="916" w:type="dxa"/>
          </w:tcPr>
          <w:p>
            <w:pPr>
              <w:pStyle w:val="TableParagraph"/>
              <w:spacing w:line="210" w:lineRule="exact"/>
              <w:ind w:left="52"/>
              <w:jc w:val="center"/>
              <w:rPr>
                <w:sz w:val="20"/>
              </w:rPr>
            </w:pPr>
            <w:r>
              <w:rPr>
                <w:spacing w:val="-2"/>
                <w:sz w:val="20"/>
              </w:rPr>
              <w:t>0.009280</w:t>
            </w:r>
          </w:p>
        </w:tc>
      </w:tr>
      <w:tr>
        <w:trPr>
          <w:trHeight w:val="230" w:hRule="atLeast"/>
        </w:trPr>
        <w:tc>
          <w:tcPr>
            <w:tcW w:w="916" w:type="dxa"/>
          </w:tcPr>
          <w:p>
            <w:pPr>
              <w:pStyle w:val="TableParagraph"/>
              <w:spacing w:line="210" w:lineRule="exact"/>
              <w:ind w:left="52"/>
              <w:jc w:val="center"/>
              <w:rPr>
                <w:sz w:val="20"/>
              </w:rPr>
            </w:pPr>
            <w:r>
              <w:rPr>
                <w:spacing w:val="-2"/>
                <w:sz w:val="20"/>
              </w:rPr>
              <w:t>0.920142</w:t>
            </w:r>
          </w:p>
        </w:tc>
      </w:tr>
      <w:tr>
        <w:trPr>
          <w:trHeight w:val="230" w:hRule="atLeast"/>
        </w:trPr>
        <w:tc>
          <w:tcPr>
            <w:tcW w:w="916" w:type="dxa"/>
          </w:tcPr>
          <w:p>
            <w:pPr>
              <w:pStyle w:val="TableParagraph"/>
              <w:spacing w:line="210" w:lineRule="exact"/>
              <w:ind w:left="52"/>
              <w:jc w:val="center"/>
              <w:rPr>
                <w:sz w:val="20"/>
              </w:rPr>
            </w:pPr>
            <w:r>
              <w:rPr>
                <w:spacing w:val="-2"/>
                <w:sz w:val="20"/>
              </w:rPr>
              <w:t>0.122779</w:t>
            </w:r>
          </w:p>
        </w:tc>
      </w:tr>
      <w:tr>
        <w:trPr>
          <w:trHeight w:val="230" w:hRule="atLeast"/>
        </w:trPr>
        <w:tc>
          <w:tcPr>
            <w:tcW w:w="916" w:type="dxa"/>
          </w:tcPr>
          <w:p>
            <w:pPr>
              <w:pStyle w:val="TableParagraph"/>
              <w:spacing w:line="210" w:lineRule="exact"/>
              <w:ind w:left="52"/>
              <w:jc w:val="center"/>
              <w:rPr>
                <w:sz w:val="20"/>
              </w:rPr>
            </w:pPr>
            <w:r>
              <w:rPr>
                <w:spacing w:val="-2"/>
                <w:sz w:val="20"/>
              </w:rPr>
              <w:t>0.018677</w:t>
            </w:r>
          </w:p>
        </w:tc>
      </w:tr>
      <w:tr>
        <w:trPr>
          <w:trHeight w:val="229" w:hRule="atLeast"/>
        </w:trPr>
        <w:tc>
          <w:tcPr>
            <w:tcW w:w="916" w:type="dxa"/>
          </w:tcPr>
          <w:p>
            <w:pPr>
              <w:pStyle w:val="TableParagraph"/>
              <w:spacing w:line="209" w:lineRule="exact"/>
              <w:ind w:left="52"/>
              <w:jc w:val="center"/>
              <w:rPr>
                <w:sz w:val="20"/>
              </w:rPr>
            </w:pPr>
            <w:r>
              <w:rPr>
                <w:spacing w:val="-2"/>
                <w:sz w:val="20"/>
              </w:rPr>
              <w:t>0.137430</w:t>
            </w:r>
          </w:p>
        </w:tc>
      </w:tr>
      <w:tr>
        <w:trPr>
          <w:trHeight w:val="229" w:hRule="atLeast"/>
        </w:trPr>
        <w:tc>
          <w:tcPr>
            <w:tcW w:w="916" w:type="dxa"/>
          </w:tcPr>
          <w:p>
            <w:pPr>
              <w:pStyle w:val="TableParagraph"/>
              <w:spacing w:line="209" w:lineRule="exact"/>
              <w:ind w:left="52"/>
              <w:jc w:val="center"/>
              <w:rPr>
                <w:sz w:val="20"/>
              </w:rPr>
            </w:pPr>
            <w:r>
              <w:rPr>
                <w:spacing w:val="-2"/>
                <w:sz w:val="20"/>
              </w:rPr>
              <w:t>1.795069</w:t>
            </w:r>
          </w:p>
        </w:tc>
      </w:tr>
      <w:tr>
        <w:trPr>
          <w:trHeight w:val="230" w:hRule="atLeast"/>
        </w:trPr>
        <w:tc>
          <w:tcPr>
            <w:tcW w:w="916" w:type="dxa"/>
          </w:tcPr>
          <w:p>
            <w:pPr>
              <w:pStyle w:val="TableParagraph"/>
              <w:spacing w:line="210" w:lineRule="exact"/>
              <w:jc w:val="center"/>
              <w:rPr>
                <w:sz w:val="20"/>
              </w:rPr>
            </w:pPr>
            <w:r>
              <w:rPr>
                <w:spacing w:val="-4"/>
                <w:sz w:val="20"/>
              </w:rPr>
              <w:t>-</w:t>
            </w:r>
            <w:r>
              <w:rPr>
                <w:spacing w:val="-2"/>
                <w:sz w:val="20"/>
              </w:rPr>
              <w:t>0.311944</w:t>
            </w:r>
          </w:p>
        </w:tc>
      </w:tr>
      <w:tr>
        <w:trPr>
          <w:trHeight w:val="230" w:hRule="atLeast"/>
        </w:trPr>
        <w:tc>
          <w:tcPr>
            <w:tcW w:w="916" w:type="dxa"/>
          </w:tcPr>
          <w:p>
            <w:pPr>
              <w:pStyle w:val="TableParagraph"/>
              <w:spacing w:line="210" w:lineRule="exact"/>
              <w:jc w:val="center"/>
              <w:rPr>
                <w:sz w:val="20"/>
              </w:rPr>
            </w:pPr>
            <w:r>
              <w:rPr>
                <w:spacing w:val="-4"/>
                <w:sz w:val="20"/>
              </w:rPr>
              <w:t>-</w:t>
            </w:r>
            <w:r>
              <w:rPr>
                <w:spacing w:val="-2"/>
                <w:sz w:val="20"/>
              </w:rPr>
              <w:t>0.743292</w:t>
            </w:r>
          </w:p>
        </w:tc>
      </w:tr>
      <w:tr>
        <w:trPr>
          <w:trHeight w:val="230" w:hRule="atLeast"/>
        </w:trPr>
        <w:tc>
          <w:tcPr>
            <w:tcW w:w="916" w:type="dxa"/>
          </w:tcPr>
          <w:p>
            <w:pPr>
              <w:pStyle w:val="TableParagraph"/>
              <w:spacing w:line="210" w:lineRule="exact"/>
              <w:jc w:val="center"/>
              <w:rPr>
                <w:sz w:val="20"/>
              </w:rPr>
            </w:pPr>
            <w:r>
              <w:rPr>
                <w:spacing w:val="-4"/>
                <w:sz w:val="20"/>
              </w:rPr>
              <w:t>-</w:t>
            </w:r>
            <w:r>
              <w:rPr>
                <w:spacing w:val="-2"/>
                <w:sz w:val="20"/>
              </w:rPr>
              <w:t>0.622705</w:t>
            </w:r>
          </w:p>
        </w:tc>
      </w:tr>
      <w:tr>
        <w:trPr>
          <w:trHeight w:val="230" w:hRule="atLeast"/>
        </w:trPr>
        <w:tc>
          <w:tcPr>
            <w:tcW w:w="916" w:type="dxa"/>
          </w:tcPr>
          <w:p>
            <w:pPr>
              <w:pStyle w:val="TableParagraph"/>
              <w:spacing w:line="210" w:lineRule="exact"/>
              <w:jc w:val="center"/>
              <w:rPr>
                <w:sz w:val="20"/>
              </w:rPr>
            </w:pPr>
            <w:r>
              <w:rPr>
                <w:spacing w:val="-4"/>
                <w:sz w:val="20"/>
              </w:rPr>
              <w:t>-</w:t>
            </w:r>
            <w:r>
              <w:rPr>
                <w:spacing w:val="-2"/>
                <w:sz w:val="20"/>
              </w:rPr>
              <w:t>0.311250</w:t>
            </w:r>
          </w:p>
        </w:tc>
      </w:tr>
      <w:tr>
        <w:trPr>
          <w:trHeight w:val="229" w:hRule="atLeast"/>
        </w:trPr>
        <w:tc>
          <w:tcPr>
            <w:tcW w:w="916" w:type="dxa"/>
          </w:tcPr>
          <w:p>
            <w:pPr>
              <w:pStyle w:val="TableParagraph"/>
              <w:spacing w:line="209" w:lineRule="exact"/>
              <w:jc w:val="center"/>
              <w:rPr>
                <w:sz w:val="20"/>
              </w:rPr>
            </w:pPr>
            <w:r>
              <w:rPr>
                <w:spacing w:val="-4"/>
                <w:sz w:val="20"/>
              </w:rPr>
              <w:t>-</w:t>
            </w:r>
            <w:r>
              <w:rPr>
                <w:spacing w:val="-2"/>
                <w:sz w:val="20"/>
              </w:rPr>
              <w:t>0.434706</w:t>
            </w:r>
          </w:p>
        </w:tc>
      </w:tr>
      <w:tr>
        <w:trPr>
          <w:trHeight w:val="229" w:hRule="atLeast"/>
        </w:trPr>
        <w:tc>
          <w:tcPr>
            <w:tcW w:w="916" w:type="dxa"/>
          </w:tcPr>
          <w:p>
            <w:pPr>
              <w:pStyle w:val="TableParagraph"/>
              <w:spacing w:line="209" w:lineRule="exact"/>
              <w:jc w:val="center"/>
              <w:rPr>
                <w:sz w:val="20"/>
              </w:rPr>
            </w:pPr>
            <w:r>
              <w:rPr>
                <w:spacing w:val="-4"/>
                <w:sz w:val="20"/>
              </w:rPr>
              <w:t>-</w:t>
            </w:r>
            <w:r>
              <w:rPr>
                <w:spacing w:val="-2"/>
                <w:sz w:val="20"/>
              </w:rPr>
              <w:t>0.872456</w:t>
            </w:r>
          </w:p>
        </w:tc>
      </w:tr>
      <w:tr>
        <w:trPr>
          <w:trHeight w:val="230" w:hRule="atLeast"/>
        </w:trPr>
        <w:tc>
          <w:tcPr>
            <w:tcW w:w="916" w:type="dxa"/>
          </w:tcPr>
          <w:p>
            <w:pPr>
              <w:pStyle w:val="TableParagraph"/>
              <w:spacing w:line="211" w:lineRule="exact"/>
              <w:jc w:val="center"/>
              <w:rPr>
                <w:sz w:val="20"/>
              </w:rPr>
            </w:pPr>
            <w:r>
              <w:rPr>
                <w:spacing w:val="-4"/>
                <w:sz w:val="20"/>
              </w:rPr>
              <w:t>-</w:t>
            </w:r>
            <w:r>
              <w:rPr>
                <w:spacing w:val="-2"/>
                <w:sz w:val="20"/>
              </w:rPr>
              <w:t>1.312792</w:t>
            </w:r>
          </w:p>
        </w:tc>
      </w:tr>
      <w:tr>
        <w:trPr>
          <w:trHeight w:val="230" w:hRule="atLeast"/>
        </w:trPr>
        <w:tc>
          <w:tcPr>
            <w:tcW w:w="916" w:type="dxa"/>
          </w:tcPr>
          <w:p>
            <w:pPr>
              <w:pStyle w:val="TableParagraph"/>
              <w:spacing w:line="211" w:lineRule="exact"/>
              <w:ind w:left="52"/>
              <w:jc w:val="center"/>
              <w:rPr>
                <w:sz w:val="20"/>
              </w:rPr>
            </w:pPr>
            <w:r>
              <w:rPr>
                <w:spacing w:val="-2"/>
                <w:sz w:val="20"/>
              </w:rPr>
              <w:t>0.889854</w:t>
            </w:r>
          </w:p>
        </w:tc>
      </w:tr>
      <w:tr>
        <w:trPr>
          <w:trHeight w:val="230" w:hRule="atLeast"/>
        </w:trPr>
        <w:tc>
          <w:tcPr>
            <w:tcW w:w="916" w:type="dxa"/>
          </w:tcPr>
          <w:p>
            <w:pPr>
              <w:pStyle w:val="TableParagraph"/>
              <w:spacing w:line="210" w:lineRule="exact"/>
              <w:jc w:val="center"/>
              <w:rPr>
                <w:sz w:val="20"/>
              </w:rPr>
            </w:pPr>
            <w:r>
              <w:rPr>
                <w:spacing w:val="-4"/>
                <w:sz w:val="20"/>
              </w:rPr>
              <w:t>-</w:t>
            </w:r>
            <w:r>
              <w:rPr>
                <w:spacing w:val="-2"/>
                <w:sz w:val="20"/>
              </w:rPr>
              <w:t>0.525551</w:t>
            </w:r>
          </w:p>
        </w:tc>
      </w:tr>
      <w:tr>
        <w:trPr>
          <w:trHeight w:val="230" w:hRule="atLeast"/>
        </w:trPr>
        <w:tc>
          <w:tcPr>
            <w:tcW w:w="916" w:type="dxa"/>
          </w:tcPr>
          <w:p>
            <w:pPr>
              <w:pStyle w:val="TableParagraph"/>
              <w:spacing w:line="210" w:lineRule="exact"/>
              <w:jc w:val="center"/>
              <w:rPr>
                <w:sz w:val="20"/>
              </w:rPr>
            </w:pPr>
            <w:r>
              <w:rPr>
                <w:spacing w:val="-4"/>
                <w:sz w:val="20"/>
              </w:rPr>
              <w:t>-</w:t>
            </w:r>
            <w:r>
              <w:rPr>
                <w:spacing w:val="-2"/>
                <w:sz w:val="20"/>
              </w:rPr>
              <w:t>0.053556</w:t>
            </w:r>
          </w:p>
        </w:tc>
      </w:tr>
      <w:tr>
        <w:trPr>
          <w:trHeight w:val="229" w:hRule="atLeast"/>
        </w:trPr>
        <w:tc>
          <w:tcPr>
            <w:tcW w:w="916" w:type="dxa"/>
          </w:tcPr>
          <w:p>
            <w:pPr>
              <w:pStyle w:val="TableParagraph"/>
              <w:spacing w:line="209" w:lineRule="exact"/>
              <w:ind w:left="52"/>
              <w:jc w:val="center"/>
              <w:rPr>
                <w:sz w:val="20"/>
              </w:rPr>
            </w:pPr>
            <w:r>
              <w:rPr>
                <w:spacing w:val="-2"/>
                <w:sz w:val="20"/>
              </w:rPr>
              <w:t>1.087310</w:t>
            </w:r>
          </w:p>
        </w:tc>
      </w:tr>
      <w:tr>
        <w:trPr>
          <w:trHeight w:val="224" w:hRule="atLeast"/>
        </w:trPr>
        <w:tc>
          <w:tcPr>
            <w:tcW w:w="916" w:type="dxa"/>
          </w:tcPr>
          <w:p>
            <w:pPr>
              <w:pStyle w:val="TableParagraph"/>
              <w:spacing w:line="204" w:lineRule="exact"/>
              <w:ind w:left="52"/>
              <w:jc w:val="center"/>
              <w:rPr>
                <w:sz w:val="20"/>
              </w:rPr>
            </w:pPr>
            <w:r>
              <w:rPr>
                <w:spacing w:val="-2"/>
                <w:sz w:val="20"/>
              </w:rPr>
              <w:t>0.825047</w:t>
            </w:r>
          </w:p>
        </w:tc>
      </w:tr>
    </w:tbl>
    <w:p>
      <w:pPr>
        <w:pStyle w:val="BodyText"/>
        <w:rPr>
          <w:sz w:val="20"/>
        </w:rPr>
      </w:pPr>
    </w:p>
    <w:p>
      <w:pPr>
        <w:pStyle w:val="BodyText"/>
        <w:spacing w:before="20"/>
        <w:rPr>
          <w:sz w:val="20"/>
        </w:rPr>
      </w:pPr>
    </w:p>
    <w:p>
      <w:pPr>
        <w:spacing w:before="0"/>
        <w:ind w:left="711" w:right="0" w:firstLine="0"/>
        <w:jc w:val="left"/>
        <w:rPr>
          <w:sz w:val="20"/>
        </w:rPr>
      </w:pPr>
      <w:r>
        <w:rPr>
          <w:sz w:val="20"/>
        </w:rPr>
        <w:t>CORRELATION</w:t>
      </w:r>
      <w:r>
        <w:rPr>
          <w:spacing w:val="-10"/>
          <w:sz w:val="20"/>
        </w:rPr>
        <w:t> </w:t>
      </w:r>
      <w:r>
        <w:rPr>
          <w:sz w:val="20"/>
        </w:rPr>
        <w:t>MATRIX</w:t>
      </w:r>
      <w:r>
        <w:rPr>
          <w:spacing w:val="-8"/>
          <w:sz w:val="20"/>
        </w:rPr>
        <w:t> </w:t>
      </w:r>
      <w:r>
        <w:rPr>
          <w:sz w:val="20"/>
        </w:rPr>
        <w:t>FOR</w:t>
      </w:r>
      <w:r>
        <w:rPr>
          <w:spacing w:val="-9"/>
          <w:sz w:val="20"/>
        </w:rPr>
        <w:t> </w:t>
      </w:r>
      <w:r>
        <w:rPr>
          <w:sz w:val="20"/>
        </w:rPr>
        <w:t>MODEL</w:t>
      </w:r>
      <w:r>
        <w:rPr>
          <w:spacing w:val="-9"/>
          <w:sz w:val="20"/>
        </w:rPr>
        <w:t> </w:t>
      </w:r>
      <w:r>
        <w:rPr>
          <w:spacing w:val="-5"/>
          <w:sz w:val="20"/>
        </w:rPr>
        <w:t>1A</w:t>
      </w:r>
    </w:p>
    <w:p>
      <w:pPr>
        <w:pStyle w:val="BodyText"/>
        <w:spacing w:before="5"/>
        <w:rPr>
          <w:sz w:val="20"/>
        </w:rPr>
      </w:pPr>
    </w:p>
    <w:tbl>
      <w:tblPr>
        <w:tblW w:w="0" w:type="auto"/>
        <w:jc w:val="left"/>
        <w:tblInd w:w="7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89"/>
        <w:gridCol w:w="985"/>
        <w:gridCol w:w="1021"/>
        <w:gridCol w:w="958"/>
        <w:gridCol w:w="989"/>
        <w:gridCol w:w="1061"/>
        <w:gridCol w:w="1159"/>
        <w:gridCol w:w="1099"/>
        <w:gridCol w:w="1082"/>
        <w:gridCol w:w="1071"/>
      </w:tblGrid>
      <w:tr>
        <w:trPr>
          <w:trHeight w:val="226" w:hRule="atLeast"/>
        </w:trPr>
        <w:tc>
          <w:tcPr>
            <w:tcW w:w="889" w:type="dxa"/>
          </w:tcPr>
          <w:p>
            <w:pPr>
              <w:pStyle w:val="TableParagraph"/>
              <w:rPr>
                <w:sz w:val="16"/>
              </w:rPr>
            </w:pPr>
          </w:p>
        </w:tc>
        <w:tc>
          <w:tcPr>
            <w:tcW w:w="985" w:type="dxa"/>
          </w:tcPr>
          <w:p>
            <w:pPr>
              <w:pStyle w:val="TableParagraph"/>
              <w:spacing w:line="206" w:lineRule="exact"/>
              <w:ind w:right="9"/>
              <w:jc w:val="center"/>
              <w:rPr>
                <w:rFonts w:ascii="Arial MT"/>
                <w:sz w:val="20"/>
              </w:rPr>
            </w:pPr>
            <w:r>
              <w:rPr>
                <w:rFonts w:ascii="Arial MT"/>
                <w:spacing w:val="-5"/>
                <w:sz w:val="20"/>
              </w:rPr>
              <w:t>KFW</w:t>
            </w:r>
          </w:p>
        </w:tc>
        <w:tc>
          <w:tcPr>
            <w:tcW w:w="1021" w:type="dxa"/>
          </w:tcPr>
          <w:p>
            <w:pPr>
              <w:pStyle w:val="TableParagraph"/>
              <w:spacing w:line="206" w:lineRule="exact"/>
              <w:ind w:left="23" w:right="50"/>
              <w:jc w:val="center"/>
              <w:rPr>
                <w:rFonts w:ascii="Arial MT"/>
                <w:sz w:val="20"/>
              </w:rPr>
            </w:pPr>
            <w:r>
              <w:rPr>
                <w:rFonts w:ascii="Arial MT"/>
                <w:spacing w:val="-2"/>
                <w:sz w:val="20"/>
              </w:rPr>
              <w:t>EXDEBT</w:t>
            </w:r>
          </w:p>
        </w:tc>
        <w:tc>
          <w:tcPr>
            <w:tcW w:w="958" w:type="dxa"/>
          </w:tcPr>
          <w:p>
            <w:pPr>
              <w:pStyle w:val="TableParagraph"/>
              <w:spacing w:line="206" w:lineRule="exact"/>
              <w:ind w:right="28"/>
              <w:jc w:val="center"/>
              <w:rPr>
                <w:rFonts w:ascii="Arial MT"/>
                <w:sz w:val="20"/>
              </w:rPr>
            </w:pPr>
            <w:r>
              <w:rPr>
                <w:rFonts w:ascii="Arial MT"/>
                <w:spacing w:val="-5"/>
                <w:sz w:val="20"/>
              </w:rPr>
              <w:t>DOP</w:t>
            </w:r>
          </w:p>
        </w:tc>
        <w:tc>
          <w:tcPr>
            <w:tcW w:w="989" w:type="dxa"/>
          </w:tcPr>
          <w:p>
            <w:pPr>
              <w:pStyle w:val="TableParagraph"/>
              <w:spacing w:line="206" w:lineRule="exact"/>
              <w:ind w:left="7"/>
              <w:jc w:val="center"/>
              <w:rPr>
                <w:rFonts w:ascii="Arial MT"/>
                <w:sz w:val="20"/>
              </w:rPr>
            </w:pPr>
            <w:r>
              <w:rPr>
                <w:rFonts w:ascii="Arial MT"/>
                <w:spacing w:val="-5"/>
                <w:sz w:val="20"/>
              </w:rPr>
              <w:t>INF</w:t>
            </w:r>
          </w:p>
        </w:tc>
        <w:tc>
          <w:tcPr>
            <w:tcW w:w="1061" w:type="dxa"/>
          </w:tcPr>
          <w:p>
            <w:pPr>
              <w:pStyle w:val="TableParagraph"/>
              <w:spacing w:line="206" w:lineRule="exact"/>
              <w:ind w:left="3" w:right="80"/>
              <w:jc w:val="center"/>
              <w:rPr>
                <w:rFonts w:ascii="Arial MT"/>
                <w:sz w:val="20"/>
              </w:rPr>
            </w:pPr>
            <w:r>
              <w:rPr>
                <w:rFonts w:ascii="Arial MT"/>
                <w:spacing w:val="-5"/>
                <w:sz w:val="20"/>
              </w:rPr>
              <w:t>GCF</w:t>
            </w:r>
          </w:p>
        </w:tc>
        <w:tc>
          <w:tcPr>
            <w:tcW w:w="1159" w:type="dxa"/>
          </w:tcPr>
          <w:p>
            <w:pPr>
              <w:pStyle w:val="TableParagraph"/>
              <w:spacing w:line="206" w:lineRule="exact"/>
              <w:ind w:left="32" w:right="47"/>
              <w:jc w:val="center"/>
              <w:rPr>
                <w:rFonts w:ascii="Arial MT"/>
                <w:sz w:val="20"/>
              </w:rPr>
            </w:pPr>
            <w:r>
              <w:rPr>
                <w:rFonts w:ascii="Arial MT"/>
                <w:spacing w:val="-5"/>
                <w:sz w:val="20"/>
              </w:rPr>
              <w:t>DR</w:t>
            </w:r>
          </w:p>
        </w:tc>
        <w:tc>
          <w:tcPr>
            <w:tcW w:w="1099" w:type="dxa"/>
          </w:tcPr>
          <w:p>
            <w:pPr>
              <w:pStyle w:val="TableParagraph"/>
              <w:spacing w:line="206" w:lineRule="exact"/>
              <w:ind w:left="76"/>
              <w:jc w:val="center"/>
              <w:rPr>
                <w:rFonts w:ascii="Arial MT"/>
                <w:sz w:val="20"/>
              </w:rPr>
            </w:pPr>
            <w:r>
              <w:rPr>
                <w:rFonts w:ascii="Arial MT"/>
                <w:spacing w:val="-2"/>
                <w:sz w:val="20"/>
              </w:rPr>
              <w:t>PRIVCR</w:t>
            </w:r>
          </w:p>
        </w:tc>
        <w:tc>
          <w:tcPr>
            <w:tcW w:w="1082" w:type="dxa"/>
          </w:tcPr>
          <w:p>
            <w:pPr>
              <w:pStyle w:val="TableParagraph"/>
              <w:spacing w:line="206" w:lineRule="exact"/>
              <w:ind w:right="61"/>
              <w:jc w:val="center"/>
              <w:rPr>
                <w:rFonts w:ascii="Arial MT"/>
                <w:sz w:val="20"/>
              </w:rPr>
            </w:pPr>
            <w:r>
              <w:rPr>
                <w:rFonts w:ascii="Arial MT"/>
                <w:spacing w:val="-4"/>
                <w:sz w:val="20"/>
              </w:rPr>
              <w:t>USIRD</w:t>
            </w:r>
          </w:p>
        </w:tc>
        <w:tc>
          <w:tcPr>
            <w:tcW w:w="1071" w:type="dxa"/>
          </w:tcPr>
          <w:p>
            <w:pPr>
              <w:pStyle w:val="TableParagraph"/>
              <w:spacing w:line="206" w:lineRule="exact"/>
              <w:ind w:left="76"/>
              <w:jc w:val="center"/>
              <w:rPr>
                <w:rFonts w:ascii="Arial MT"/>
                <w:sz w:val="20"/>
              </w:rPr>
            </w:pPr>
            <w:r>
              <w:rPr>
                <w:rFonts w:ascii="Arial MT"/>
                <w:spacing w:val="-4"/>
                <w:sz w:val="20"/>
              </w:rPr>
              <w:t>GOCE</w:t>
            </w:r>
          </w:p>
        </w:tc>
      </w:tr>
      <w:tr>
        <w:trPr>
          <w:trHeight w:val="230" w:hRule="atLeast"/>
        </w:trPr>
        <w:tc>
          <w:tcPr>
            <w:tcW w:w="889" w:type="dxa"/>
          </w:tcPr>
          <w:p>
            <w:pPr>
              <w:pStyle w:val="TableParagraph"/>
              <w:spacing w:line="210" w:lineRule="exact"/>
              <w:ind w:left="13" w:right="9"/>
              <w:jc w:val="center"/>
              <w:rPr>
                <w:rFonts w:ascii="Arial MT"/>
                <w:sz w:val="20"/>
              </w:rPr>
            </w:pPr>
            <w:r>
              <w:rPr>
                <w:rFonts w:ascii="Arial MT"/>
                <w:spacing w:val="-5"/>
                <w:sz w:val="20"/>
              </w:rPr>
              <w:t>KFW</w:t>
            </w:r>
          </w:p>
        </w:tc>
        <w:tc>
          <w:tcPr>
            <w:tcW w:w="985" w:type="dxa"/>
          </w:tcPr>
          <w:p>
            <w:pPr>
              <w:pStyle w:val="TableParagraph"/>
              <w:spacing w:line="210" w:lineRule="exact"/>
              <w:ind w:left="56" w:right="9"/>
              <w:jc w:val="center"/>
              <w:rPr>
                <w:rFonts w:ascii="Arial MT"/>
                <w:sz w:val="20"/>
              </w:rPr>
            </w:pPr>
            <w:r>
              <w:rPr>
                <w:rFonts w:ascii="Arial MT"/>
                <w:spacing w:val="-2"/>
                <w:sz w:val="20"/>
              </w:rPr>
              <w:t>1.000000</w:t>
            </w:r>
          </w:p>
        </w:tc>
        <w:tc>
          <w:tcPr>
            <w:tcW w:w="1021" w:type="dxa"/>
          </w:tcPr>
          <w:p>
            <w:pPr>
              <w:pStyle w:val="TableParagraph"/>
              <w:spacing w:line="210" w:lineRule="exact"/>
              <w:ind w:left="23"/>
              <w:jc w:val="center"/>
              <w:rPr>
                <w:rFonts w:ascii="Arial MT"/>
                <w:sz w:val="20"/>
              </w:rPr>
            </w:pPr>
            <w:r>
              <w:rPr>
                <w:rFonts w:ascii="Arial MT"/>
                <w:spacing w:val="-2"/>
                <w:sz w:val="20"/>
              </w:rPr>
              <w:t>0.962089</w:t>
            </w:r>
          </w:p>
        </w:tc>
        <w:tc>
          <w:tcPr>
            <w:tcW w:w="958" w:type="dxa"/>
          </w:tcPr>
          <w:p>
            <w:pPr>
              <w:pStyle w:val="TableParagraph"/>
              <w:spacing w:line="210" w:lineRule="exact"/>
              <w:ind w:left="51" w:right="28"/>
              <w:jc w:val="center"/>
              <w:rPr>
                <w:rFonts w:ascii="Arial MT"/>
                <w:sz w:val="20"/>
              </w:rPr>
            </w:pPr>
            <w:r>
              <w:rPr>
                <w:rFonts w:ascii="Arial MT"/>
                <w:spacing w:val="-2"/>
                <w:sz w:val="20"/>
              </w:rPr>
              <w:t>0.858913</w:t>
            </w:r>
          </w:p>
        </w:tc>
        <w:tc>
          <w:tcPr>
            <w:tcW w:w="989" w:type="dxa"/>
          </w:tcPr>
          <w:p>
            <w:pPr>
              <w:pStyle w:val="TableParagraph"/>
              <w:spacing w:line="210" w:lineRule="exact"/>
              <w:ind w:left="62" w:right="4"/>
              <w:jc w:val="center"/>
              <w:rPr>
                <w:rFonts w:ascii="Arial MT"/>
                <w:sz w:val="20"/>
              </w:rPr>
            </w:pPr>
            <w:r>
              <w:rPr>
                <w:rFonts w:ascii="Arial MT"/>
                <w:spacing w:val="-2"/>
                <w:sz w:val="20"/>
              </w:rPr>
              <w:t>0.651649</w:t>
            </w:r>
          </w:p>
        </w:tc>
        <w:tc>
          <w:tcPr>
            <w:tcW w:w="1061" w:type="dxa"/>
          </w:tcPr>
          <w:p>
            <w:pPr>
              <w:pStyle w:val="TableParagraph"/>
              <w:spacing w:line="210" w:lineRule="exact"/>
              <w:ind w:right="80"/>
              <w:jc w:val="center"/>
              <w:rPr>
                <w:rFonts w:ascii="Arial MT"/>
                <w:sz w:val="20"/>
              </w:rPr>
            </w:pPr>
            <w:r>
              <w:rPr>
                <w:rFonts w:ascii="Arial MT"/>
                <w:spacing w:val="-2"/>
                <w:sz w:val="20"/>
              </w:rPr>
              <w:t>-0.009246</w:t>
            </w:r>
          </w:p>
        </w:tc>
        <w:tc>
          <w:tcPr>
            <w:tcW w:w="1159" w:type="dxa"/>
          </w:tcPr>
          <w:p>
            <w:pPr>
              <w:pStyle w:val="TableParagraph"/>
              <w:spacing w:line="210" w:lineRule="exact"/>
              <w:ind w:left="52" w:right="20"/>
              <w:jc w:val="center"/>
              <w:rPr>
                <w:rFonts w:ascii="Arial MT"/>
                <w:sz w:val="20"/>
              </w:rPr>
            </w:pPr>
            <w:r>
              <w:rPr>
                <w:rFonts w:ascii="Arial MT"/>
                <w:spacing w:val="-2"/>
                <w:sz w:val="20"/>
              </w:rPr>
              <w:t>0.813945</w:t>
            </w:r>
          </w:p>
        </w:tc>
        <w:tc>
          <w:tcPr>
            <w:tcW w:w="1099" w:type="dxa"/>
          </w:tcPr>
          <w:p>
            <w:pPr>
              <w:pStyle w:val="TableParagraph"/>
              <w:spacing w:line="210" w:lineRule="exact"/>
              <w:ind w:left="76"/>
              <w:jc w:val="center"/>
              <w:rPr>
                <w:rFonts w:ascii="Arial MT"/>
                <w:sz w:val="20"/>
              </w:rPr>
            </w:pPr>
            <w:r>
              <w:rPr>
                <w:rFonts w:ascii="Arial MT"/>
                <w:spacing w:val="-2"/>
                <w:sz w:val="20"/>
              </w:rPr>
              <w:t>-0.118890</w:t>
            </w:r>
          </w:p>
        </w:tc>
        <w:tc>
          <w:tcPr>
            <w:tcW w:w="1082" w:type="dxa"/>
          </w:tcPr>
          <w:p>
            <w:pPr>
              <w:pStyle w:val="TableParagraph"/>
              <w:spacing w:line="210" w:lineRule="exact"/>
              <w:ind w:right="6"/>
              <w:jc w:val="center"/>
              <w:rPr>
                <w:rFonts w:ascii="Arial MT"/>
                <w:sz w:val="20"/>
              </w:rPr>
            </w:pPr>
            <w:r>
              <w:rPr>
                <w:rFonts w:ascii="Arial MT"/>
                <w:spacing w:val="-2"/>
                <w:sz w:val="20"/>
              </w:rPr>
              <w:t>0.996726</w:t>
            </w:r>
          </w:p>
        </w:tc>
        <w:tc>
          <w:tcPr>
            <w:tcW w:w="1071" w:type="dxa"/>
          </w:tcPr>
          <w:p>
            <w:pPr>
              <w:pStyle w:val="TableParagraph"/>
              <w:spacing w:line="210" w:lineRule="exact"/>
              <w:ind w:left="128"/>
              <w:jc w:val="center"/>
              <w:rPr>
                <w:rFonts w:ascii="Arial MT"/>
                <w:sz w:val="20"/>
              </w:rPr>
            </w:pPr>
            <w:r>
              <w:rPr>
                <w:rFonts w:ascii="Arial MT"/>
                <w:spacing w:val="-2"/>
                <w:sz w:val="20"/>
              </w:rPr>
              <w:t>0.730886</w:t>
            </w:r>
          </w:p>
        </w:tc>
      </w:tr>
      <w:tr>
        <w:trPr>
          <w:trHeight w:val="230" w:hRule="atLeast"/>
        </w:trPr>
        <w:tc>
          <w:tcPr>
            <w:tcW w:w="889" w:type="dxa"/>
          </w:tcPr>
          <w:p>
            <w:pPr>
              <w:pStyle w:val="TableParagraph"/>
              <w:spacing w:line="210" w:lineRule="exact"/>
              <w:ind w:left="13" w:right="4"/>
              <w:jc w:val="center"/>
              <w:rPr>
                <w:rFonts w:ascii="Arial MT"/>
                <w:sz w:val="20"/>
              </w:rPr>
            </w:pPr>
            <w:r>
              <w:rPr>
                <w:rFonts w:ascii="Arial MT"/>
                <w:spacing w:val="-2"/>
                <w:sz w:val="20"/>
              </w:rPr>
              <w:t>EXDEBT</w:t>
            </w:r>
          </w:p>
        </w:tc>
        <w:tc>
          <w:tcPr>
            <w:tcW w:w="985" w:type="dxa"/>
          </w:tcPr>
          <w:p>
            <w:pPr>
              <w:pStyle w:val="TableParagraph"/>
              <w:spacing w:line="210" w:lineRule="exact"/>
              <w:ind w:left="56" w:right="9"/>
              <w:jc w:val="center"/>
              <w:rPr>
                <w:rFonts w:ascii="Arial MT"/>
                <w:sz w:val="20"/>
              </w:rPr>
            </w:pPr>
            <w:r>
              <w:rPr>
                <w:rFonts w:ascii="Arial MT"/>
                <w:spacing w:val="-2"/>
                <w:sz w:val="20"/>
              </w:rPr>
              <w:t>0.962089</w:t>
            </w:r>
          </w:p>
        </w:tc>
        <w:tc>
          <w:tcPr>
            <w:tcW w:w="1021" w:type="dxa"/>
          </w:tcPr>
          <w:p>
            <w:pPr>
              <w:pStyle w:val="TableParagraph"/>
              <w:spacing w:line="210" w:lineRule="exact"/>
              <w:ind w:left="23"/>
              <w:jc w:val="center"/>
              <w:rPr>
                <w:rFonts w:ascii="Arial MT"/>
                <w:sz w:val="20"/>
              </w:rPr>
            </w:pPr>
            <w:r>
              <w:rPr>
                <w:rFonts w:ascii="Arial MT"/>
                <w:spacing w:val="-2"/>
                <w:sz w:val="20"/>
              </w:rPr>
              <w:t>1.000000</w:t>
            </w:r>
          </w:p>
        </w:tc>
        <w:tc>
          <w:tcPr>
            <w:tcW w:w="958" w:type="dxa"/>
          </w:tcPr>
          <w:p>
            <w:pPr>
              <w:pStyle w:val="TableParagraph"/>
              <w:spacing w:line="210" w:lineRule="exact"/>
              <w:ind w:left="51" w:right="28"/>
              <w:jc w:val="center"/>
              <w:rPr>
                <w:rFonts w:ascii="Arial MT"/>
                <w:sz w:val="20"/>
              </w:rPr>
            </w:pPr>
            <w:r>
              <w:rPr>
                <w:rFonts w:ascii="Arial MT"/>
                <w:spacing w:val="-2"/>
                <w:sz w:val="20"/>
              </w:rPr>
              <w:t>0.896486</w:t>
            </w:r>
          </w:p>
        </w:tc>
        <w:tc>
          <w:tcPr>
            <w:tcW w:w="989" w:type="dxa"/>
          </w:tcPr>
          <w:p>
            <w:pPr>
              <w:pStyle w:val="TableParagraph"/>
              <w:spacing w:line="210" w:lineRule="exact"/>
              <w:ind w:left="62" w:right="4"/>
              <w:jc w:val="center"/>
              <w:rPr>
                <w:rFonts w:ascii="Arial MT"/>
                <w:sz w:val="20"/>
              </w:rPr>
            </w:pPr>
            <w:r>
              <w:rPr>
                <w:rFonts w:ascii="Arial MT"/>
                <w:spacing w:val="-2"/>
                <w:sz w:val="20"/>
              </w:rPr>
              <w:t>0.691851</w:t>
            </w:r>
          </w:p>
        </w:tc>
        <w:tc>
          <w:tcPr>
            <w:tcW w:w="1061" w:type="dxa"/>
          </w:tcPr>
          <w:p>
            <w:pPr>
              <w:pStyle w:val="TableParagraph"/>
              <w:spacing w:line="210" w:lineRule="exact"/>
              <w:ind w:right="80"/>
              <w:jc w:val="center"/>
              <w:rPr>
                <w:rFonts w:ascii="Arial MT"/>
                <w:sz w:val="20"/>
              </w:rPr>
            </w:pPr>
            <w:r>
              <w:rPr>
                <w:rFonts w:ascii="Arial MT"/>
                <w:spacing w:val="-2"/>
                <w:sz w:val="20"/>
              </w:rPr>
              <w:t>-0.005334</w:t>
            </w:r>
          </w:p>
        </w:tc>
        <w:tc>
          <w:tcPr>
            <w:tcW w:w="1159" w:type="dxa"/>
          </w:tcPr>
          <w:p>
            <w:pPr>
              <w:pStyle w:val="TableParagraph"/>
              <w:spacing w:line="210" w:lineRule="exact"/>
              <w:ind w:left="52" w:right="20"/>
              <w:jc w:val="center"/>
              <w:rPr>
                <w:rFonts w:ascii="Arial MT"/>
                <w:sz w:val="20"/>
              </w:rPr>
            </w:pPr>
            <w:r>
              <w:rPr>
                <w:rFonts w:ascii="Arial MT"/>
                <w:spacing w:val="-2"/>
                <w:sz w:val="20"/>
              </w:rPr>
              <w:t>0.766864</w:t>
            </w:r>
          </w:p>
        </w:tc>
        <w:tc>
          <w:tcPr>
            <w:tcW w:w="1099" w:type="dxa"/>
          </w:tcPr>
          <w:p>
            <w:pPr>
              <w:pStyle w:val="TableParagraph"/>
              <w:spacing w:line="210" w:lineRule="exact"/>
              <w:ind w:left="76"/>
              <w:jc w:val="center"/>
              <w:rPr>
                <w:rFonts w:ascii="Arial MT"/>
                <w:sz w:val="20"/>
              </w:rPr>
            </w:pPr>
            <w:r>
              <w:rPr>
                <w:rFonts w:ascii="Arial MT"/>
                <w:spacing w:val="-2"/>
                <w:sz w:val="20"/>
              </w:rPr>
              <w:t>-0.093525</w:t>
            </w:r>
          </w:p>
        </w:tc>
        <w:tc>
          <w:tcPr>
            <w:tcW w:w="1082" w:type="dxa"/>
          </w:tcPr>
          <w:p>
            <w:pPr>
              <w:pStyle w:val="TableParagraph"/>
              <w:spacing w:line="210" w:lineRule="exact"/>
              <w:ind w:right="6"/>
              <w:jc w:val="center"/>
              <w:rPr>
                <w:rFonts w:ascii="Arial MT"/>
                <w:sz w:val="20"/>
              </w:rPr>
            </w:pPr>
            <w:r>
              <w:rPr>
                <w:rFonts w:ascii="Arial MT"/>
                <w:spacing w:val="-2"/>
                <w:sz w:val="20"/>
              </w:rPr>
              <w:t>0.954148</w:t>
            </w:r>
          </w:p>
        </w:tc>
        <w:tc>
          <w:tcPr>
            <w:tcW w:w="1071" w:type="dxa"/>
          </w:tcPr>
          <w:p>
            <w:pPr>
              <w:pStyle w:val="TableParagraph"/>
              <w:spacing w:line="210" w:lineRule="exact"/>
              <w:ind w:left="128"/>
              <w:jc w:val="center"/>
              <w:rPr>
                <w:rFonts w:ascii="Arial MT"/>
                <w:sz w:val="20"/>
              </w:rPr>
            </w:pPr>
            <w:r>
              <w:rPr>
                <w:rFonts w:ascii="Arial MT"/>
                <w:spacing w:val="-2"/>
                <w:sz w:val="20"/>
              </w:rPr>
              <w:t>0.743714</w:t>
            </w:r>
          </w:p>
        </w:tc>
      </w:tr>
      <w:tr>
        <w:trPr>
          <w:trHeight w:val="230" w:hRule="atLeast"/>
        </w:trPr>
        <w:tc>
          <w:tcPr>
            <w:tcW w:w="889" w:type="dxa"/>
          </w:tcPr>
          <w:p>
            <w:pPr>
              <w:pStyle w:val="TableParagraph"/>
              <w:spacing w:line="210" w:lineRule="exact"/>
              <w:ind w:left="13" w:right="4"/>
              <w:jc w:val="center"/>
              <w:rPr>
                <w:rFonts w:ascii="Arial MT"/>
                <w:sz w:val="20"/>
              </w:rPr>
            </w:pPr>
            <w:r>
              <w:rPr>
                <w:rFonts w:ascii="Arial MT"/>
                <w:spacing w:val="-5"/>
                <w:sz w:val="20"/>
              </w:rPr>
              <w:t>DOP</w:t>
            </w:r>
          </w:p>
        </w:tc>
        <w:tc>
          <w:tcPr>
            <w:tcW w:w="985" w:type="dxa"/>
          </w:tcPr>
          <w:p>
            <w:pPr>
              <w:pStyle w:val="TableParagraph"/>
              <w:spacing w:line="210" w:lineRule="exact"/>
              <w:ind w:left="56" w:right="9"/>
              <w:jc w:val="center"/>
              <w:rPr>
                <w:rFonts w:ascii="Arial MT"/>
                <w:sz w:val="20"/>
              </w:rPr>
            </w:pPr>
            <w:r>
              <w:rPr>
                <w:rFonts w:ascii="Arial MT"/>
                <w:spacing w:val="-2"/>
                <w:sz w:val="20"/>
              </w:rPr>
              <w:t>0.858913</w:t>
            </w:r>
          </w:p>
        </w:tc>
        <w:tc>
          <w:tcPr>
            <w:tcW w:w="1021" w:type="dxa"/>
          </w:tcPr>
          <w:p>
            <w:pPr>
              <w:pStyle w:val="TableParagraph"/>
              <w:spacing w:line="210" w:lineRule="exact"/>
              <w:ind w:left="23"/>
              <w:jc w:val="center"/>
              <w:rPr>
                <w:rFonts w:ascii="Arial MT"/>
                <w:sz w:val="20"/>
              </w:rPr>
            </w:pPr>
            <w:r>
              <w:rPr>
                <w:rFonts w:ascii="Arial MT"/>
                <w:spacing w:val="-2"/>
                <w:sz w:val="20"/>
              </w:rPr>
              <w:t>0.896486</w:t>
            </w:r>
          </w:p>
        </w:tc>
        <w:tc>
          <w:tcPr>
            <w:tcW w:w="958" w:type="dxa"/>
          </w:tcPr>
          <w:p>
            <w:pPr>
              <w:pStyle w:val="TableParagraph"/>
              <w:spacing w:line="210" w:lineRule="exact"/>
              <w:ind w:left="51" w:right="28"/>
              <w:jc w:val="center"/>
              <w:rPr>
                <w:rFonts w:ascii="Arial MT"/>
                <w:sz w:val="20"/>
              </w:rPr>
            </w:pPr>
            <w:r>
              <w:rPr>
                <w:rFonts w:ascii="Arial MT"/>
                <w:spacing w:val="-2"/>
                <w:sz w:val="20"/>
              </w:rPr>
              <w:t>1.000000</w:t>
            </w:r>
          </w:p>
        </w:tc>
        <w:tc>
          <w:tcPr>
            <w:tcW w:w="989" w:type="dxa"/>
          </w:tcPr>
          <w:p>
            <w:pPr>
              <w:pStyle w:val="TableParagraph"/>
              <w:spacing w:line="210" w:lineRule="exact"/>
              <w:ind w:left="62" w:right="4"/>
              <w:jc w:val="center"/>
              <w:rPr>
                <w:rFonts w:ascii="Arial MT"/>
                <w:sz w:val="20"/>
              </w:rPr>
            </w:pPr>
            <w:r>
              <w:rPr>
                <w:rFonts w:ascii="Arial MT"/>
                <w:spacing w:val="-2"/>
                <w:sz w:val="20"/>
              </w:rPr>
              <w:t>0.641894</w:t>
            </w:r>
          </w:p>
        </w:tc>
        <w:tc>
          <w:tcPr>
            <w:tcW w:w="1061" w:type="dxa"/>
          </w:tcPr>
          <w:p>
            <w:pPr>
              <w:pStyle w:val="TableParagraph"/>
              <w:spacing w:line="210" w:lineRule="exact"/>
              <w:ind w:right="25"/>
              <w:jc w:val="center"/>
              <w:rPr>
                <w:rFonts w:ascii="Arial MT"/>
                <w:sz w:val="20"/>
              </w:rPr>
            </w:pPr>
            <w:r>
              <w:rPr>
                <w:rFonts w:ascii="Arial MT"/>
                <w:spacing w:val="-2"/>
                <w:sz w:val="20"/>
              </w:rPr>
              <w:t>0.109877</w:t>
            </w:r>
          </w:p>
        </w:tc>
        <w:tc>
          <w:tcPr>
            <w:tcW w:w="1159" w:type="dxa"/>
          </w:tcPr>
          <w:p>
            <w:pPr>
              <w:pStyle w:val="TableParagraph"/>
              <w:spacing w:line="210" w:lineRule="exact"/>
              <w:ind w:left="52" w:right="20"/>
              <w:jc w:val="center"/>
              <w:rPr>
                <w:rFonts w:ascii="Arial MT"/>
                <w:sz w:val="20"/>
              </w:rPr>
            </w:pPr>
            <w:r>
              <w:rPr>
                <w:rFonts w:ascii="Arial MT"/>
                <w:spacing w:val="-2"/>
                <w:sz w:val="20"/>
              </w:rPr>
              <w:t>0.666188</w:t>
            </w:r>
          </w:p>
        </w:tc>
        <w:tc>
          <w:tcPr>
            <w:tcW w:w="1099" w:type="dxa"/>
          </w:tcPr>
          <w:p>
            <w:pPr>
              <w:pStyle w:val="TableParagraph"/>
              <w:spacing w:line="210" w:lineRule="exact"/>
              <w:ind w:left="131"/>
              <w:jc w:val="center"/>
              <w:rPr>
                <w:rFonts w:ascii="Arial MT"/>
                <w:sz w:val="20"/>
              </w:rPr>
            </w:pPr>
            <w:r>
              <w:rPr>
                <w:rFonts w:ascii="Arial MT"/>
                <w:spacing w:val="-2"/>
                <w:sz w:val="20"/>
              </w:rPr>
              <w:t>0.225490</w:t>
            </w:r>
          </w:p>
        </w:tc>
        <w:tc>
          <w:tcPr>
            <w:tcW w:w="1082" w:type="dxa"/>
          </w:tcPr>
          <w:p>
            <w:pPr>
              <w:pStyle w:val="TableParagraph"/>
              <w:spacing w:line="210" w:lineRule="exact"/>
              <w:ind w:right="6"/>
              <w:jc w:val="center"/>
              <w:rPr>
                <w:rFonts w:ascii="Arial MT"/>
                <w:sz w:val="20"/>
              </w:rPr>
            </w:pPr>
            <w:r>
              <w:rPr>
                <w:rFonts w:ascii="Arial MT"/>
                <w:spacing w:val="-2"/>
                <w:sz w:val="20"/>
              </w:rPr>
              <w:t>0.838196</w:t>
            </w:r>
          </w:p>
        </w:tc>
        <w:tc>
          <w:tcPr>
            <w:tcW w:w="1071" w:type="dxa"/>
          </w:tcPr>
          <w:p>
            <w:pPr>
              <w:pStyle w:val="TableParagraph"/>
              <w:spacing w:line="210" w:lineRule="exact"/>
              <w:ind w:left="128"/>
              <w:jc w:val="center"/>
              <w:rPr>
                <w:rFonts w:ascii="Arial MT"/>
                <w:sz w:val="20"/>
              </w:rPr>
            </w:pPr>
            <w:r>
              <w:rPr>
                <w:rFonts w:ascii="Arial MT"/>
                <w:spacing w:val="-2"/>
                <w:sz w:val="20"/>
              </w:rPr>
              <w:t>0.786178</w:t>
            </w:r>
          </w:p>
        </w:tc>
      </w:tr>
      <w:tr>
        <w:trPr>
          <w:trHeight w:val="230" w:hRule="atLeast"/>
        </w:trPr>
        <w:tc>
          <w:tcPr>
            <w:tcW w:w="889" w:type="dxa"/>
          </w:tcPr>
          <w:p>
            <w:pPr>
              <w:pStyle w:val="TableParagraph"/>
              <w:spacing w:line="210" w:lineRule="exact"/>
              <w:ind w:left="13" w:right="1"/>
              <w:jc w:val="center"/>
              <w:rPr>
                <w:rFonts w:ascii="Arial MT"/>
                <w:sz w:val="20"/>
              </w:rPr>
            </w:pPr>
            <w:r>
              <w:rPr>
                <w:rFonts w:ascii="Arial MT"/>
                <w:spacing w:val="-5"/>
                <w:sz w:val="20"/>
              </w:rPr>
              <w:t>INF</w:t>
            </w:r>
          </w:p>
        </w:tc>
        <w:tc>
          <w:tcPr>
            <w:tcW w:w="985" w:type="dxa"/>
          </w:tcPr>
          <w:p>
            <w:pPr>
              <w:pStyle w:val="TableParagraph"/>
              <w:spacing w:line="210" w:lineRule="exact"/>
              <w:ind w:left="56" w:right="9"/>
              <w:jc w:val="center"/>
              <w:rPr>
                <w:rFonts w:ascii="Arial MT"/>
                <w:sz w:val="20"/>
              </w:rPr>
            </w:pPr>
            <w:r>
              <w:rPr>
                <w:rFonts w:ascii="Arial MT"/>
                <w:spacing w:val="-2"/>
                <w:sz w:val="20"/>
              </w:rPr>
              <w:t>0.651649</w:t>
            </w:r>
          </w:p>
        </w:tc>
        <w:tc>
          <w:tcPr>
            <w:tcW w:w="1021" w:type="dxa"/>
          </w:tcPr>
          <w:p>
            <w:pPr>
              <w:pStyle w:val="TableParagraph"/>
              <w:spacing w:line="210" w:lineRule="exact"/>
              <w:ind w:left="23"/>
              <w:jc w:val="center"/>
              <w:rPr>
                <w:rFonts w:ascii="Arial MT"/>
                <w:sz w:val="20"/>
              </w:rPr>
            </w:pPr>
            <w:r>
              <w:rPr>
                <w:rFonts w:ascii="Arial MT"/>
                <w:spacing w:val="-2"/>
                <w:sz w:val="20"/>
              </w:rPr>
              <w:t>0.691851</w:t>
            </w:r>
          </w:p>
        </w:tc>
        <w:tc>
          <w:tcPr>
            <w:tcW w:w="958" w:type="dxa"/>
          </w:tcPr>
          <w:p>
            <w:pPr>
              <w:pStyle w:val="TableParagraph"/>
              <w:spacing w:line="210" w:lineRule="exact"/>
              <w:ind w:left="51" w:right="28"/>
              <w:jc w:val="center"/>
              <w:rPr>
                <w:rFonts w:ascii="Arial MT"/>
                <w:sz w:val="20"/>
              </w:rPr>
            </w:pPr>
            <w:r>
              <w:rPr>
                <w:rFonts w:ascii="Arial MT"/>
                <w:spacing w:val="-2"/>
                <w:sz w:val="20"/>
              </w:rPr>
              <w:t>0.641894</w:t>
            </w:r>
          </w:p>
        </w:tc>
        <w:tc>
          <w:tcPr>
            <w:tcW w:w="989" w:type="dxa"/>
          </w:tcPr>
          <w:p>
            <w:pPr>
              <w:pStyle w:val="TableParagraph"/>
              <w:spacing w:line="210" w:lineRule="exact"/>
              <w:ind w:left="62" w:right="4"/>
              <w:jc w:val="center"/>
              <w:rPr>
                <w:rFonts w:ascii="Arial MT"/>
                <w:sz w:val="20"/>
              </w:rPr>
            </w:pPr>
            <w:r>
              <w:rPr>
                <w:rFonts w:ascii="Arial MT"/>
                <w:spacing w:val="-2"/>
                <w:sz w:val="20"/>
              </w:rPr>
              <w:t>1.000000</w:t>
            </w:r>
          </w:p>
        </w:tc>
        <w:tc>
          <w:tcPr>
            <w:tcW w:w="1061" w:type="dxa"/>
          </w:tcPr>
          <w:p>
            <w:pPr>
              <w:pStyle w:val="TableParagraph"/>
              <w:spacing w:line="210" w:lineRule="exact"/>
              <w:ind w:right="25"/>
              <w:jc w:val="center"/>
              <w:rPr>
                <w:rFonts w:ascii="Arial MT"/>
                <w:sz w:val="20"/>
              </w:rPr>
            </w:pPr>
            <w:r>
              <w:rPr>
                <w:rFonts w:ascii="Arial MT"/>
                <w:spacing w:val="-2"/>
                <w:sz w:val="20"/>
              </w:rPr>
              <w:t>0.131165</w:t>
            </w:r>
          </w:p>
        </w:tc>
        <w:tc>
          <w:tcPr>
            <w:tcW w:w="1159" w:type="dxa"/>
          </w:tcPr>
          <w:p>
            <w:pPr>
              <w:pStyle w:val="TableParagraph"/>
              <w:spacing w:line="210" w:lineRule="exact"/>
              <w:ind w:left="52" w:right="20"/>
              <w:jc w:val="center"/>
              <w:rPr>
                <w:rFonts w:ascii="Arial MT"/>
                <w:sz w:val="20"/>
              </w:rPr>
            </w:pPr>
            <w:r>
              <w:rPr>
                <w:rFonts w:ascii="Arial MT"/>
                <w:spacing w:val="-2"/>
                <w:sz w:val="20"/>
              </w:rPr>
              <w:t>0.569651</w:t>
            </w:r>
          </w:p>
        </w:tc>
        <w:tc>
          <w:tcPr>
            <w:tcW w:w="1099" w:type="dxa"/>
          </w:tcPr>
          <w:p>
            <w:pPr>
              <w:pStyle w:val="TableParagraph"/>
              <w:spacing w:line="210" w:lineRule="exact"/>
              <w:ind w:left="76"/>
              <w:jc w:val="center"/>
              <w:rPr>
                <w:rFonts w:ascii="Arial MT"/>
                <w:sz w:val="20"/>
              </w:rPr>
            </w:pPr>
            <w:r>
              <w:rPr>
                <w:rFonts w:ascii="Arial MT"/>
                <w:spacing w:val="-2"/>
                <w:sz w:val="20"/>
              </w:rPr>
              <w:t>-0.043300</w:t>
            </w:r>
          </w:p>
        </w:tc>
        <w:tc>
          <w:tcPr>
            <w:tcW w:w="1082" w:type="dxa"/>
          </w:tcPr>
          <w:p>
            <w:pPr>
              <w:pStyle w:val="TableParagraph"/>
              <w:spacing w:line="210" w:lineRule="exact"/>
              <w:ind w:right="6"/>
              <w:jc w:val="center"/>
              <w:rPr>
                <w:rFonts w:ascii="Arial MT"/>
                <w:sz w:val="20"/>
              </w:rPr>
            </w:pPr>
            <w:r>
              <w:rPr>
                <w:rFonts w:ascii="Arial MT"/>
                <w:spacing w:val="-2"/>
                <w:sz w:val="20"/>
              </w:rPr>
              <w:t>0.648665</w:t>
            </w:r>
          </w:p>
        </w:tc>
        <w:tc>
          <w:tcPr>
            <w:tcW w:w="1071" w:type="dxa"/>
          </w:tcPr>
          <w:p>
            <w:pPr>
              <w:pStyle w:val="TableParagraph"/>
              <w:spacing w:line="210" w:lineRule="exact"/>
              <w:ind w:left="128"/>
              <w:jc w:val="center"/>
              <w:rPr>
                <w:rFonts w:ascii="Arial MT"/>
                <w:sz w:val="20"/>
              </w:rPr>
            </w:pPr>
            <w:r>
              <w:rPr>
                <w:rFonts w:ascii="Arial MT"/>
                <w:spacing w:val="-2"/>
                <w:sz w:val="20"/>
              </w:rPr>
              <w:t>0.637374</w:t>
            </w:r>
          </w:p>
        </w:tc>
      </w:tr>
      <w:tr>
        <w:trPr>
          <w:trHeight w:val="229" w:hRule="atLeast"/>
        </w:trPr>
        <w:tc>
          <w:tcPr>
            <w:tcW w:w="889" w:type="dxa"/>
          </w:tcPr>
          <w:p>
            <w:pPr>
              <w:pStyle w:val="TableParagraph"/>
              <w:spacing w:line="209" w:lineRule="exact"/>
              <w:ind w:left="13" w:right="1"/>
              <w:jc w:val="center"/>
              <w:rPr>
                <w:rFonts w:ascii="Arial MT"/>
                <w:sz w:val="20"/>
              </w:rPr>
            </w:pPr>
            <w:r>
              <w:rPr>
                <w:rFonts w:ascii="Arial MT"/>
                <w:spacing w:val="-5"/>
                <w:sz w:val="20"/>
              </w:rPr>
              <w:t>GCF</w:t>
            </w:r>
          </w:p>
        </w:tc>
        <w:tc>
          <w:tcPr>
            <w:tcW w:w="985" w:type="dxa"/>
          </w:tcPr>
          <w:p>
            <w:pPr>
              <w:pStyle w:val="TableParagraph"/>
              <w:spacing w:line="209" w:lineRule="exact"/>
              <w:ind w:left="4" w:right="9"/>
              <w:jc w:val="center"/>
              <w:rPr>
                <w:rFonts w:ascii="Arial MT"/>
                <w:sz w:val="20"/>
              </w:rPr>
            </w:pPr>
            <w:r>
              <w:rPr>
                <w:rFonts w:ascii="Arial MT"/>
                <w:spacing w:val="-2"/>
                <w:sz w:val="20"/>
              </w:rPr>
              <w:t>-0.009246</w:t>
            </w:r>
          </w:p>
        </w:tc>
        <w:tc>
          <w:tcPr>
            <w:tcW w:w="1021" w:type="dxa"/>
          </w:tcPr>
          <w:p>
            <w:pPr>
              <w:pStyle w:val="TableParagraph"/>
              <w:spacing w:line="209" w:lineRule="exact"/>
              <w:ind w:left="23" w:right="52"/>
              <w:jc w:val="center"/>
              <w:rPr>
                <w:rFonts w:ascii="Arial MT"/>
                <w:sz w:val="20"/>
              </w:rPr>
            </w:pPr>
            <w:r>
              <w:rPr>
                <w:rFonts w:ascii="Arial MT"/>
                <w:spacing w:val="-2"/>
                <w:sz w:val="20"/>
              </w:rPr>
              <w:t>-0.005334</w:t>
            </w:r>
          </w:p>
        </w:tc>
        <w:tc>
          <w:tcPr>
            <w:tcW w:w="958" w:type="dxa"/>
          </w:tcPr>
          <w:p>
            <w:pPr>
              <w:pStyle w:val="TableParagraph"/>
              <w:spacing w:line="209" w:lineRule="exact"/>
              <w:ind w:left="51" w:right="28"/>
              <w:jc w:val="center"/>
              <w:rPr>
                <w:rFonts w:ascii="Arial MT"/>
                <w:sz w:val="20"/>
              </w:rPr>
            </w:pPr>
            <w:r>
              <w:rPr>
                <w:rFonts w:ascii="Arial MT"/>
                <w:spacing w:val="-2"/>
                <w:sz w:val="20"/>
              </w:rPr>
              <w:t>0.109877</w:t>
            </w:r>
          </w:p>
        </w:tc>
        <w:tc>
          <w:tcPr>
            <w:tcW w:w="989" w:type="dxa"/>
          </w:tcPr>
          <w:p>
            <w:pPr>
              <w:pStyle w:val="TableParagraph"/>
              <w:spacing w:line="209" w:lineRule="exact"/>
              <w:ind w:left="62" w:right="4"/>
              <w:jc w:val="center"/>
              <w:rPr>
                <w:rFonts w:ascii="Arial MT"/>
                <w:sz w:val="20"/>
              </w:rPr>
            </w:pPr>
            <w:r>
              <w:rPr>
                <w:rFonts w:ascii="Arial MT"/>
                <w:spacing w:val="-2"/>
                <w:sz w:val="20"/>
              </w:rPr>
              <w:t>0.131165</w:t>
            </w:r>
          </w:p>
        </w:tc>
        <w:tc>
          <w:tcPr>
            <w:tcW w:w="1061" w:type="dxa"/>
          </w:tcPr>
          <w:p>
            <w:pPr>
              <w:pStyle w:val="TableParagraph"/>
              <w:spacing w:line="209" w:lineRule="exact"/>
              <w:ind w:right="25"/>
              <w:jc w:val="center"/>
              <w:rPr>
                <w:rFonts w:ascii="Arial MT"/>
                <w:sz w:val="20"/>
              </w:rPr>
            </w:pPr>
            <w:r>
              <w:rPr>
                <w:rFonts w:ascii="Arial MT"/>
                <w:spacing w:val="-2"/>
                <w:sz w:val="20"/>
              </w:rPr>
              <w:t>1.000000</w:t>
            </w:r>
          </w:p>
        </w:tc>
        <w:tc>
          <w:tcPr>
            <w:tcW w:w="1159" w:type="dxa"/>
          </w:tcPr>
          <w:p>
            <w:pPr>
              <w:pStyle w:val="TableParagraph"/>
              <w:spacing w:line="209" w:lineRule="exact"/>
              <w:ind w:left="52" w:right="20"/>
              <w:jc w:val="center"/>
              <w:rPr>
                <w:rFonts w:ascii="Arial MT"/>
                <w:sz w:val="20"/>
              </w:rPr>
            </w:pPr>
            <w:r>
              <w:rPr>
                <w:rFonts w:ascii="Arial MT"/>
                <w:spacing w:val="-2"/>
                <w:sz w:val="20"/>
              </w:rPr>
              <w:t>0.061521</w:t>
            </w:r>
          </w:p>
        </w:tc>
        <w:tc>
          <w:tcPr>
            <w:tcW w:w="1099" w:type="dxa"/>
          </w:tcPr>
          <w:p>
            <w:pPr>
              <w:pStyle w:val="TableParagraph"/>
              <w:spacing w:line="209" w:lineRule="exact"/>
              <w:ind w:left="131"/>
              <w:jc w:val="center"/>
              <w:rPr>
                <w:rFonts w:ascii="Arial MT"/>
                <w:sz w:val="20"/>
              </w:rPr>
            </w:pPr>
            <w:r>
              <w:rPr>
                <w:rFonts w:ascii="Arial MT"/>
                <w:spacing w:val="-2"/>
                <w:sz w:val="20"/>
              </w:rPr>
              <w:t>0.445689</w:t>
            </w:r>
          </w:p>
        </w:tc>
        <w:tc>
          <w:tcPr>
            <w:tcW w:w="1082" w:type="dxa"/>
          </w:tcPr>
          <w:p>
            <w:pPr>
              <w:pStyle w:val="TableParagraph"/>
              <w:spacing w:line="209" w:lineRule="exact"/>
              <w:ind w:right="61"/>
              <w:jc w:val="center"/>
              <w:rPr>
                <w:rFonts w:ascii="Arial MT"/>
                <w:sz w:val="20"/>
              </w:rPr>
            </w:pPr>
            <w:r>
              <w:rPr>
                <w:rFonts w:ascii="Arial MT"/>
                <w:spacing w:val="-2"/>
                <w:sz w:val="20"/>
              </w:rPr>
              <w:t>-0.007461</w:t>
            </w:r>
          </w:p>
        </w:tc>
        <w:tc>
          <w:tcPr>
            <w:tcW w:w="1071" w:type="dxa"/>
          </w:tcPr>
          <w:p>
            <w:pPr>
              <w:pStyle w:val="TableParagraph"/>
              <w:spacing w:line="209" w:lineRule="exact"/>
              <w:ind w:left="73"/>
              <w:jc w:val="center"/>
              <w:rPr>
                <w:rFonts w:ascii="Arial MT"/>
                <w:sz w:val="20"/>
              </w:rPr>
            </w:pPr>
            <w:r>
              <w:rPr>
                <w:rFonts w:ascii="Arial MT"/>
                <w:spacing w:val="-2"/>
                <w:sz w:val="20"/>
              </w:rPr>
              <w:t>-0.000980</w:t>
            </w:r>
          </w:p>
        </w:tc>
      </w:tr>
      <w:tr>
        <w:trPr>
          <w:trHeight w:val="229" w:hRule="atLeast"/>
        </w:trPr>
        <w:tc>
          <w:tcPr>
            <w:tcW w:w="889" w:type="dxa"/>
          </w:tcPr>
          <w:p>
            <w:pPr>
              <w:pStyle w:val="TableParagraph"/>
              <w:spacing w:line="209" w:lineRule="exact"/>
              <w:ind w:left="13"/>
              <w:jc w:val="center"/>
              <w:rPr>
                <w:rFonts w:ascii="Arial MT"/>
                <w:sz w:val="20"/>
              </w:rPr>
            </w:pPr>
            <w:r>
              <w:rPr>
                <w:rFonts w:ascii="Arial MT"/>
                <w:spacing w:val="-5"/>
                <w:sz w:val="20"/>
              </w:rPr>
              <w:t>DR</w:t>
            </w:r>
          </w:p>
        </w:tc>
        <w:tc>
          <w:tcPr>
            <w:tcW w:w="985" w:type="dxa"/>
          </w:tcPr>
          <w:p>
            <w:pPr>
              <w:pStyle w:val="TableParagraph"/>
              <w:spacing w:line="209" w:lineRule="exact"/>
              <w:ind w:left="56" w:right="9"/>
              <w:jc w:val="center"/>
              <w:rPr>
                <w:rFonts w:ascii="Arial MT"/>
                <w:sz w:val="20"/>
              </w:rPr>
            </w:pPr>
            <w:r>
              <w:rPr>
                <w:rFonts w:ascii="Arial MT"/>
                <w:spacing w:val="-2"/>
                <w:sz w:val="20"/>
              </w:rPr>
              <w:t>0.813945</w:t>
            </w:r>
          </w:p>
        </w:tc>
        <w:tc>
          <w:tcPr>
            <w:tcW w:w="1021" w:type="dxa"/>
          </w:tcPr>
          <w:p>
            <w:pPr>
              <w:pStyle w:val="TableParagraph"/>
              <w:spacing w:line="209" w:lineRule="exact"/>
              <w:ind w:left="23"/>
              <w:jc w:val="center"/>
              <w:rPr>
                <w:rFonts w:ascii="Arial MT"/>
                <w:sz w:val="20"/>
              </w:rPr>
            </w:pPr>
            <w:r>
              <w:rPr>
                <w:rFonts w:ascii="Arial MT"/>
                <w:spacing w:val="-2"/>
                <w:sz w:val="20"/>
              </w:rPr>
              <w:t>0.766864</w:t>
            </w:r>
          </w:p>
        </w:tc>
        <w:tc>
          <w:tcPr>
            <w:tcW w:w="958" w:type="dxa"/>
          </w:tcPr>
          <w:p>
            <w:pPr>
              <w:pStyle w:val="TableParagraph"/>
              <w:spacing w:line="209" w:lineRule="exact"/>
              <w:ind w:left="51" w:right="28"/>
              <w:jc w:val="center"/>
              <w:rPr>
                <w:rFonts w:ascii="Arial MT"/>
                <w:sz w:val="20"/>
              </w:rPr>
            </w:pPr>
            <w:r>
              <w:rPr>
                <w:rFonts w:ascii="Arial MT"/>
                <w:spacing w:val="-2"/>
                <w:sz w:val="20"/>
              </w:rPr>
              <w:t>0.666188</w:t>
            </w:r>
          </w:p>
        </w:tc>
        <w:tc>
          <w:tcPr>
            <w:tcW w:w="989" w:type="dxa"/>
          </w:tcPr>
          <w:p>
            <w:pPr>
              <w:pStyle w:val="TableParagraph"/>
              <w:spacing w:line="209" w:lineRule="exact"/>
              <w:ind w:left="62" w:right="4"/>
              <w:jc w:val="center"/>
              <w:rPr>
                <w:rFonts w:ascii="Arial MT"/>
                <w:sz w:val="20"/>
              </w:rPr>
            </w:pPr>
            <w:r>
              <w:rPr>
                <w:rFonts w:ascii="Arial MT"/>
                <w:spacing w:val="-2"/>
                <w:sz w:val="20"/>
              </w:rPr>
              <w:t>0.569651</w:t>
            </w:r>
          </w:p>
        </w:tc>
        <w:tc>
          <w:tcPr>
            <w:tcW w:w="1061" w:type="dxa"/>
          </w:tcPr>
          <w:p>
            <w:pPr>
              <w:pStyle w:val="TableParagraph"/>
              <w:spacing w:line="209" w:lineRule="exact"/>
              <w:ind w:right="25"/>
              <w:jc w:val="center"/>
              <w:rPr>
                <w:rFonts w:ascii="Arial MT"/>
                <w:sz w:val="20"/>
              </w:rPr>
            </w:pPr>
            <w:r>
              <w:rPr>
                <w:rFonts w:ascii="Arial MT"/>
                <w:spacing w:val="-2"/>
                <w:sz w:val="20"/>
              </w:rPr>
              <w:t>0.061521</w:t>
            </w:r>
          </w:p>
        </w:tc>
        <w:tc>
          <w:tcPr>
            <w:tcW w:w="1159" w:type="dxa"/>
          </w:tcPr>
          <w:p>
            <w:pPr>
              <w:pStyle w:val="TableParagraph"/>
              <w:spacing w:line="209" w:lineRule="exact"/>
              <w:ind w:left="52" w:right="20"/>
              <w:jc w:val="center"/>
              <w:rPr>
                <w:rFonts w:ascii="Arial MT"/>
                <w:sz w:val="20"/>
              </w:rPr>
            </w:pPr>
            <w:r>
              <w:rPr>
                <w:rFonts w:ascii="Arial MT"/>
                <w:spacing w:val="-2"/>
                <w:sz w:val="20"/>
              </w:rPr>
              <w:t>1.000000</w:t>
            </w:r>
          </w:p>
        </w:tc>
        <w:tc>
          <w:tcPr>
            <w:tcW w:w="1099" w:type="dxa"/>
          </w:tcPr>
          <w:p>
            <w:pPr>
              <w:pStyle w:val="TableParagraph"/>
              <w:spacing w:line="209" w:lineRule="exact"/>
              <w:ind w:left="76"/>
              <w:jc w:val="center"/>
              <w:rPr>
                <w:rFonts w:ascii="Arial MT"/>
                <w:sz w:val="20"/>
              </w:rPr>
            </w:pPr>
            <w:r>
              <w:rPr>
                <w:rFonts w:ascii="Arial MT"/>
                <w:spacing w:val="-2"/>
                <w:sz w:val="20"/>
              </w:rPr>
              <w:t>-0.170414</w:t>
            </w:r>
          </w:p>
        </w:tc>
        <w:tc>
          <w:tcPr>
            <w:tcW w:w="1082" w:type="dxa"/>
          </w:tcPr>
          <w:p>
            <w:pPr>
              <w:pStyle w:val="TableParagraph"/>
              <w:spacing w:line="209" w:lineRule="exact"/>
              <w:ind w:right="6"/>
              <w:jc w:val="center"/>
              <w:rPr>
                <w:rFonts w:ascii="Arial MT"/>
                <w:sz w:val="20"/>
              </w:rPr>
            </w:pPr>
            <w:r>
              <w:rPr>
                <w:rFonts w:ascii="Arial MT"/>
                <w:spacing w:val="-2"/>
                <w:sz w:val="20"/>
              </w:rPr>
              <w:t>0.822547</w:t>
            </w:r>
          </w:p>
        </w:tc>
        <w:tc>
          <w:tcPr>
            <w:tcW w:w="1071" w:type="dxa"/>
          </w:tcPr>
          <w:p>
            <w:pPr>
              <w:pStyle w:val="TableParagraph"/>
              <w:spacing w:line="209" w:lineRule="exact"/>
              <w:ind w:left="128"/>
              <w:jc w:val="center"/>
              <w:rPr>
                <w:rFonts w:ascii="Arial MT"/>
                <w:sz w:val="20"/>
              </w:rPr>
            </w:pPr>
            <w:r>
              <w:rPr>
                <w:rFonts w:ascii="Arial MT"/>
                <w:spacing w:val="-2"/>
                <w:sz w:val="20"/>
              </w:rPr>
              <w:t>0.540683</w:t>
            </w:r>
          </w:p>
        </w:tc>
      </w:tr>
      <w:tr>
        <w:trPr>
          <w:trHeight w:val="230" w:hRule="atLeast"/>
        </w:trPr>
        <w:tc>
          <w:tcPr>
            <w:tcW w:w="889" w:type="dxa"/>
          </w:tcPr>
          <w:p>
            <w:pPr>
              <w:pStyle w:val="TableParagraph"/>
              <w:spacing w:line="211" w:lineRule="exact"/>
              <w:ind w:left="13" w:right="6"/>
              <w:jc w:val="center"/>
              <w:rPr>
                <w:rFonts w:ascii="Arial MT"/>
                <w:sz w:val="20"/>
              </w:rPr>
            </w:pPr>
            <w:r>
              <w:rPr>
                <w:rFonts w:ascii="Arial MT"/>
                <w:spacing w:val="-2"/>
                <w:sz w:val="20"/>
              </w:rPr>
              <w:t>PRIVCR</w:t>
            </w:r>
          </w:p>
        </w:tc>
        <w:tc>
          <w:tcPr>
            <w:tcW w:w="985" w:type="dxa"/>
          </w:tcPr>
          <w:p>
            <w:pPr>
              <w:pStyle w:val="TableParagraph"/>
              <w:spacing w:line="211" w:lineRule="exact"/>
              <w:ind w:left="4" w:right="9"/>
              <w:jc w:val="center"/>
              <w:rPr>
                <w:rFonts w:ascii="Arial MT"/>
                <w:sz w:val="20"/>
              </w:rPr>
            </w:pPr>
            <w:r>
              <w:rPr>
                <w:rFonts w:ascii="Arial MT"/>
                <w:spacing w:val="-2"/>
                <w:sz w:val="20"/>
              </w:rPr>
              <w:t>-0.118890</w:t>
            </w:r>
          </w:p>
        </w:tc>
        <w:tc>
          <w:tcPr>
            <w:tcW w:w="1021" w:type="dxa"/>
          </w:tcPr>
          <w:p>
            <w:pPr>
              <w:pStyle w:val="TableParagraph"/>
              <w:spacing w:line="211" w:lineRule="exact"/>
              <w:ind w:left="23" w:right="52"/>
              <w:jc w:val="center"/>
              <w:rPr>
                <w:rFonts w:ascii="Arial MT"/>
                <w:sz w:val="20"/>
              </w:rPr>
            </w:pPr>
            <w:r>
              <w:rPr>
                <w:rFonts w:ascii="Arial MT"/>
                <w:spacing w:val="-2"/>
                <w:sz w:val="20"/>
              </w:rPr>
              <w:t>-0.093525</w:t>
            </w:r>
          </w:p>
        </w:tc>
        <w:tc>
          <w:tcPr>
            <w:tcW w:w="958" w:type="dxa"/>
          </w:tcPr>
          <w:p>
            <w:pPr>
              <w:pStyle w:val="TableParagraph"/>
              <w:spacing w:line="211" w:lineRule="exact"/>
              <w:ind w:left="51" w:right="28"/>
              <w:jc w:val="center"/>
              <w:rPr>
                <w:rFonts w:ascii="Arial MT"/>
                <w:sz w:val="20"/>
              </w:rPr>
            </w:pPr>
            <w:r>
              <w:rPr>
                <w:rFonts w:ascii="Arial MT"/>
                <w:spacing w:val="-2"/>
                <w:sz w:val="20"/>
              </w:rPr>
              <w:t>0.225490</w:t>
            </w:r>
          </w:p>
        </w:tc>
        <w:tc>
          <w:tcPr>
            <w:tcW w:w="989" w:type="dxa"/>
          </w:tcPr>
          <w:p>
            <w:pPr>
              <w:pStyle w:val="TableParagraph"/>
              <w:spacing w:line="211" w:lineRule="exact"/>
              <w:ind w:left="7" w:right="4"/>
              <w:jc w:val="center"/>
              <w:rPr>
                <w:rFonts w:ascii="Arial MT"/>
                <w:sz w:val="20"/>
              </w:rPr>
            </w:pPr>
            <w:r>
              <w:rPr>
                <w:rFonts w:ascii="Arial MT"/>
                <w:spacing w:val="-2"/>
                <w:sz w:val="20"/>
              </w:rPr>
              <w:t>-0.043300</w:t>
            </w:r>
          </w:p>
        </w:tc>
        <w:tc>
          <w:tcPr>
            <w:tcW w:w="1061" w:type="dxa"/>
          </w:tcPr>
          <w:p>
            <w:pPr>
              <w:pStyle w:val="TableParagraph"/>
              <w:spacing w:line="211" w:lineRule="exact"/>
              <w:ind w:right="25"/>
              <w:jc w:val="center"/>
              <w:rPr>
                <w:rFonts w:ascii="Arial MT"/>
                <w:sz w:val="20"/>
              </w:rPr>
            </w:pPr>
            <w:r>
              <w:rPr>
                <w:rFonts w:ascii="Arial MT"/>
                <w:spacing w:val="-2"/>
                <w:sz w:val="20"/>
              </w:rPr>
              <w:t>0.445689</w:t>
            </w:r>
          </w:p>
        </w:tc>
        <w:tc>
          <w:tcPr>
            <w:tcW w:w="1159" w:type="dxa"/>
          </w:tcPr>
          <w:p>
            <w:pPr>
              <w:pStyle w:val="TableParagraph"/>
              <w:spacing w:line="211" w:lineRule="exact"/>
              <w:ind w:left="32" w:right="52"/>
              <w:jc w:val="center"/>
              <w:rPr>
                <w:rFonts w:ascii="Arial MT"/>
                <w:sz w:val="20"/>
              </w:rPr>
            </w:pPr>
            <w:r>
              <w:rPr>
                <w:rFonts w:ascii="Arial MT"/>
                <w:spacing w:val="-2"/>
                <w:sz w:val="20"/>
              </w:rPr>
              <w:t>-0.170414</w:t>
            </w:r>
          </w:p>
        </w:tc>
        <w:tc>
          <w:tcPr>
            <w:tcW w:w="1099" w:type="dxa"/>
          </w:tcPr>
          <w:p>
            <w:pPr>
              <w:pStyle w:val="TableParagraph"/>
              <w:spacing w:line="211" w:lineRule="exact"/>
              <w:ind w:left="131"/>
              <w:jc w:val="center"/>
              <w:rPr>
                <w:rFonts w:ascii="Arial MT"/>
                <w:sz w:val="20"/>
              </w:rPr>
            </w:pPr>
            <w:r>
              <w:rPr>
                <w:rFonts w:ascii="Arial MT"/>
                <w:spacing w:val="-2"/>
                <w:sz w:val="20"/>
              </w:rPr>
              <w:t>1.000000</w:t>
            </w:r>
          </w:p>
        </w:tc>
        <w:tc>
          <w:tcPr>
            <w:tcW w:w="1082" w:type="dxa"/>
          </w:tcPr>
          <w:p>
            <w:pPr>
              <w:pStyle w:val="TableParagraph"/>
              <w:spacing w:line="211" w:lineRule="exact"/>
              <w:ind w:right="61"/>
              <w:jc w:val="center"/>
              <w:rPr>
                <w:rFonts w:ascii="Arial MT"/>
                <w:sz w:val="20"/>
              </w:rPr>
            </w:pPr>
            <w:r>
              <w:rPr>
                <w:rFonts w:ascii="Arial MT"/>
                <w:spacing w:val="-2"/>
                <w:sz w:val="20"/>
              </w:rPr>
              <w:t>-0.155774</w:t>
            </w:r>
          </w:p>
        </w:tc>
        <w:tc>
          <w:tcPr>
            <w:tcW w:w="1071" w:type="dxa"/>
          </w:tcPr>
          <w:p>
            <w:pPr>
              <w:pStyle w:val="TableParagraph"/>
              <w:spacing w:line="211" w:lineRule="exact"/>
              <w:ind w:left="128"/>
              <w:jc w:val="center"/>
              <w:rPr>
                <w:rFonts w:ascii="Arial MT"/>
                <w:sz w:val="20"/>
              </w:rPr>
            </w:pPr>
            <w:r>
              <w:rPr>
                <w:rFonts w:ascii="Arial MT"/>
                <w:spacing w:val="-2"/>
                <w:sz w:val="20"/>
              </w:rPr>
              <w:t>0.250498</w:t>
            </w:r>
          </w:p>
        </w:tc>
      </w:tr>
      <w:tr>
        <w:trPr>
          <w:trHeight w:val="230" w:hRule="atLeast"/>
        </w:trPr>
        <w:tc>
          <w:tcPr>
            <w:tcW w:w="889" w:type="dxa"/>
          </w:tcPr>
          <w:p>
            <w:pPr>
              <w:pStyle w:val="TableParagraph"/>
              <w:spacing w:line="210" w:lineRule="exact"/>
              <w:ind w:left="13" w:right="6"/>
              <w:jc w:val="center"/>
              <w:rPr>
                <w:rFonts w:ascii="Arial MT"/>
                <w:sz w:val="20"/>
              </w:rPr>
            </w:pPr>
            <w:r>
              <w:rPr>
                <w:rFonts w:ascii="Arial MT"/>
                <w:spacing w:val="-4"/>
                <w:sz w:val="20"/>
              </w:rPr>
              <w:t>USIRD</w:t>
            </w:r>
          </w:p>
        </w:tc>
        <w:tc>
          <w:tcPr>
            <w:tcW w:w="985" w:type="dxa"/>
          </w:tcPr>
          <w:p>
            <w:pPr>
              <w:pStyle w:val="TableParagraph"/>
              <w:spacing w:line="210" w:lineRule="exact"/>
              <w:ind w:left="56" w:right="9"/>
              <w:jc w:val="center"/>
              <w:rPr>
                <w:rFonts w:ascii="Arial MT"/>
                <w:sz w:val="20"/>
              </w:rPr>
            </w:pPr>
            <w:r>
              <w:rPr>
                <w:rFonts w:ascii="Arial MT"/>
                <w:spacing w:val="-2"/>
                <w:sz w:val="20"/>
              </w:rPr>
              <w:t>0.996726</w:t>
            </w:r>
          </w:p>
        </w:tc>
        <w:tc>
          <w:tcPr>
            <w:tcW w:w="1021" w:type="dxa"/>
          </w:tcPr>
          <w:p>
            <w:pPr>
              <w:pStyle w:val="TableParagraph"/>
              <w:spacing w:line="210" w:lineRule="exact"/>
              <w:ind w:left="23"/>
              <w:jc w:val="center"/>
              <w:rPr>
                <w:rFonts w:ascii="Arial MT"/>
                <w:sz w:val="20"/>
              </w:rPr>
            </w:pPr>
            <w:r>
              <w:rPr>
                <w:rFonts w:ascii="Arial MT"/>
                <w:spacing w:val="-2"/>
                <w:sz w:val="20"/>
              </w:rPr>
              <w:t>0.954148</w:t>
            </w:r>
          </w:p>
        </w:tc>
        <w:tc>
          <w:tcPr>
            <w:tcW w:w="958" w:type="dxa"/>
          </w:tcPr>
          <w:p>
            <w:pPr>
              <w:pStyle w:val="TableParagraph"/>
              <w:spacing w:line="210" w:lineRule="exact"/>
              <w:ind w:left="51" w:right="28"/>
              <w:jc w:val="center"/>
              <w:rPr>
                <w:rFonts w:ascii="Arial MT"/>
                <w:sz w:val="20"/>
              </w:rPr>
            </w:pPr>
            <w:r>
              <w:rPr>
                <w:rFonts w:ascii="Arial MT"/>
                <w:spacing w:val="-2"/>
                <w:sz w:val="20"/>
              </w:rPr>
              <w:t>0.838196</w:t>
            </w:r>
          </w:p>
        </w:tc>
        <w:tc>
          <w:tcPr>
            <w:tcW w:w="989" w:type="dxa"/>
          </w:tcPr>
          <w:p>
            <w:pPr>
              <w:pStyle w:val="TableParagraph"/>
              <w:spacing w:line="210" w:lineRule="exact"/>
              <w:ind w:left="62" w:right="4"/>
              <w:jc w:val="center"/>
              <w:rPr>
                <w:rFonts w:ascii="Arial MT"/>
                <w:sz w:val="20"/>
              </w:rPr>
            </w:pPr>
            <w:r>
              <w:rPr>
                <w:rFonts w:ascii="Arial MT"/>
                <w:spacing w:val="-2"/>
                <w:sz w:val="20"/>
              </w:rPr>
              <w:t>0.648665</w:t>
            </w:r>
          </w:p>
        </w:tc>
        <w:tc>
          <w:tcPr>
            <w:tcW w:w="1061" w:type="dxa"/>
          </w:tcPr>
          <w:p>
            <w:pPr>
              <w:pStyle w:val="TableParagraph"/>
              <w:spacing w:line="210" w:lineRule="exact"/>
              <w:ind w:right="80"/>
              <w:jc w:val="center"/>
              <w:rPr>
                <w:rFonts w:ascii="Arial MT"/>
                <w:sz w:val="20"/>
              </w:rPr>
            </w:pPr>
            <w:r>
              <w:rPr>
                <w:rFonts w:ascii="Arial MT"/>
                <w:spacing w:val="-2"/>
                <w:sz w:val="20"/>
              </w:rPr>
              <w:t>-0.007461</w:t>
            </w:r>
          </w:p>
        </w:tc>
        <w:tc>
          <w:tcPr>
            <w:tcW w:w="1159" w:type="dxa"/>
          </w:tcPr>
          <w:p>
            <w:pPr>
              <w:pStyle w:val="TableParagraph"/>
              <w:spacing w:line="210" w:lineRule="exact"/>
              <w:ind w:left="52" w:right="20"/>
              <w:jc w:val="center"/>
              <w:rPr>
                <w:rFonts w:ascii="Arial MT"/>
                <w:sz w:val="20"/>
              </w:rPr>
            </w:pPr>
            <w:r>
              <w:rPr>
                <w:rFonts w:ascii="Arial MT"/>
                <w:spacing w:val="-2"/>
                <w:sz w:val="20"/>
              </w:rPr>
              <w:t>0.822547</w:t>
            </w:r>
          </w:p>
        </w:tc>
        <w:tc>
          <w:tcPr>
            <w:tcW w:w="1099" w:type="dxa"/>
          </w:tcPr>
          <w:p>
            <w:pPr>
              <w:pStyle w:val="TableParagraph"/>
              <w:spacing w:line="210" w:lineRule="exact"/>
              <w:ind w:left="76"/>
              <w:jc w:val="center"/>
              <w:rPr>
                <w:rFonts w:ascii="Arial MT"/>
                <w:sz w:val="20"/>
              </w:rPr>
            </w:pPr>
            <w:r>
              <w:rPr>
                <w:rFonts w:ascii="Arial MT"/>
                <w:spacing w:val="-2"/>
                <w:sz w:val="20"/>
              </w:rPr>
              <w:t>-0.155774</w:t>
            </w:r>
          </w:p>
        </w:tc>
        <w:tc>
          <w:tcPr>
            <w:tcW w:w="1082" w:type="dxa"/>
          </w:tcPr>
          <w:p>
            <w:pPr>
              <w:pStyle w:val="TableParagraph"/>
              <w:spacing w:line="210" w:lineRule="exact"/>
              <w:ind w:right="6"/>
              <w:jc w:val="center"/>
              <w:rPr>
                <w:rFonts w:ascii="Arial MT"/>
                <w:sz w:val="20"/>
              </w:rPr>
            </w:pPr>
            <w:r>
              <w:rPr>
                <w:rFonts w:ascii="Arial MT"/>
                <w:spacing w:val="-2"/>
                <w:sz w:val="20"/>
              </w:rPr>
              <w:t>1.000000</w:t>
            </w:r>
          </w:p>
        </w:tc>
        <w:tc>
          <w:tcPr>
            <w:tcW w:w="1071" w:type="dxa"/>
          </w:tcPr>
          <w:p>
            <w:pPr>
              <w:pStyle w:val="TableParagraph"/>
              <w:spacing w:line="210" w:lineRule="exact"/>
              <w:ind w:left="128"/>
              <w:jc w:val="center"/>
              <w:rPr>
                <w:rFonts w:ascii="Arial MT"/>
                <w:sz w:val="20"/>
              </w:rPr>
            </w:pPr>
            <w:r>
              <w:rPr>
                <w:rFonts w:ascii="Arial MT"/>
                <w:spacing w:val="-2"/>
                <w:sz w:val="20"/>
              </w:rPr>
              <w:t>0.708262</w:t>
            </w:r>
          </w:p>
        </w:tc>
      </w:tr>
      <w:tr>
        <w:trPr>
          <w:trHeight w:val="226" w:hRule="atLeast"/>
        </w:trPr>
        <w:tc>
          <w:tcPr>
            <w:tcW w:w="889" w:type="dxa"/>
          </w:tcPr>
          <w:p>
            <w:pPr>
              <w:pStyle w:val="TableParagraph"/>
              <w:spacing w:line="206" w:lineRule="exact"/>
              <w:ind w:left="13" w:right="3"/>
              <w:jc w:val="center"/>
              <w:rPr>
                <w:rFonts w:ascii="Arial MT"/>
                <w:sz w:val="20"/>
              </w:rPr>
            </w:pPr>
            <w:r>
              <w:rPr>
                <w:rFonts w:ascii="Arial MT"/>
                <w:spacing w:val="-4"/>
                <w:sz w:val="20"/>
              </w:rPr>
              <w:t>GOCE</w:t>
            </w:r>
          </w:p>
        </w:tc>
        <w:tc>
          <w:tcPr>
            <w:tcW w:w="985" w:type="dxa"/>
          </w:tcPr>
          <w:p>
            <w:pPr>
              <w:pStyle w:val="TableParagraph"/>
              <w:spacing w:line="206" w:lineRule="exact"/>
              <w:ind w:left="56" w:right="9"/>
              <w:jc w:val="center"/>
              <w:rPr>
                <w:rFonts w:ascii="Arial MT"/>
                <w:sz w:val="20"/>
              </w:rPr>
            </w:pPr>
            <w:r>
              <w:rPr>
                <w:rFonts w:ascii="Arial MT"/>
                <w:spacing w:val="-2"/>
                <w:sz w:val="20"/>
              </w:rPr>
              <w:t>0.730886</w:t>
            </w:r>
          </w:p>
        </w:tc>
        <w:tc>
          <w:tcPr>
            <w:tcW w:w="1021" w:type="dxa"/>
          </w:tcPr>
          <w:p>
            <w:pPr>
              <w:pStyle w:val="TableParagraph"/>
              <w:spacing w:line="206" w:lineRule="exact"/>
              <w:ind w:left="23"/>
              <w:jc w:val="center"/>
              <w:rPr>
                <w:rFonts w:ascii="Arial MT"/>
                <w:sz w:val="20"/>
              </w:rPr>
            </w:pPr>
            <w:r>
              <w:rPr>
                <w:rFonts w:ascii="Arial MT"/>
                <w:spacing w:val="-2"/>
                <w:sz w:val="20"/>
              </w:rPr>
              <w:t>0.743714</w:t>
            </w:r>
          </w:p>
        </w:tc>
        <w:tc>
          <w:tcPr>
            <w:tcW w:w="958" w:type="dxa"/>
          </w:tcPr>
          <w:p>
            <w:pPr>
              <w:pStyle w:val="TableParagraph"/>
              <w:spacing w:line="206" w:lineRule="exact"/>
              <w:ind w:left="51" w:right="28"/>
              <w:jc w:val="center"/>
              <w:rPr>
                <w:rFonts w:ascii="Arial MT"/>
                <w:sz w:val="20"/>
              </w:rPr>
            </w:pPr>
            <w:r>
              <w:rPr>
                <w:rFonts w:ascii="Arial MT"/>
                <w:spacing w:val="-2"/>
                <w:sz w:val="20"/>
              </w:rPr>
              <w:t>0.786178</w:t>
            </w:r>
          </w:p>
        </w:tc>
        <w:tc>
          <w:tcPr>
            <w:tcW w:w="989" w:type="dxa"/>
          </w:tcPr>
          <w:p>
            <w:pPr>
              <w:pStyle w:val="TableParagraph"/>
              <w:spacing w:line="206" w:lineRule="exact"/>
              <w:ind w:left="62" w:right="4"/>
              <w:jc w:val="center"/>
              <w:rPr>
                <w:rFonts w:ascii="Arial MT"/>
                <w:sz w:val="20"/>
              </w:rPr>
            </w:pPr>
            <w:r>
              <w:rPr>
                <w:rFonts w:ascii="Arial MT"/>
                <w:spacing w:val="-2"/>
                <w:sz w:val="20"/>
              </w:rPr>
              <w:t>0.637374</w:t>
            </w:r>
          </w:p>
        </w:tc>
        <w:tc>
          <w:tcPr>
            <w:tcW w:w="1061" w:type="dxa"/>
          </w:tcPr>
          <w:p>
            <w:pPr>
              <w:pStyle w:val="TableParagraph"/>
              <w:spacing w:line="206" w:lineRule="exact"/>
              <w:ind w:right="80"/>
              <w:jc w:val="center"/>
              <w:rPr>
                <w:rFonts w:ascii="Arial MT"/>
                <w:sz w:val="20"/>
              </w:rPr>
            </w:pPr>
            <w:r>
              <w:rPr>
                <w:rFonts w:ascii="Arial MT"/>
                <w:spacing w:val="-2"/>
                <w:sz w:val="20"/>
              </w:rPr>
              <w:t>-0.000980</w:t>
            </w:r>
          </w:p>
        </w:tc>
        <w:tc>
          <w:tcPr>
            <w:tcW w:w="1159" w:type="dxa"/>
          </w:tcPr>
          <w:p>
            <w:pPr>
              <w:pStyle w:val="TableParagraph"/>
              <w:spacing w:line="206" w:lineRule="exact"/>
              <w:ind w:left="52" w:right="20"/>
              <w:jc w:val="center"/>
              <w:rPr>
                <w:rFonts w:ascii="Arial MT"/>
                <w:sz w:val="20"/>
              </w:rPr>
            </w:pPr>
            <w:r>
              <w:rPr>
                <w:rFonts w:ascii="Arial MT"/>
                <w:spacing w:val="-2"/>
                <w:sz w:val="20"/>
              </w:rPr>
              <w:t>0.540683</w:t>
            </w:r>
          </w:p>
        </w:tc>
        <w:tc>
          <w:tcPr>
            <w:tcW w:w="1099" w:type="dxa"/>
          </w:tcPr>
          <w:p>
            <w:pPr>
              <w:pStyle w:val="TableParagraph"/>
              <w:spacing w:line="206" w:lineRule="exact"/>
              <w:ind w:left="131"/>
              <w:jc w:val="center"/>
              <w:rPr>
                <w:rFonts w:ascii="Arial MT"/>
                <w:sz w:val="20"/>
              </w:rPr>
            </w:pPr>
            <w:r>
              <w:rPr>
                <w:rFonts w:ascii="Arial MT"/>
                <w:spacing w:val="-2"/>
                <w:sz w:val="20"/>
              </w:rPr>
              <w:t>0.250498</w:t>
            </w:r>
          </w:p>
        </w:tc>
        <w:tc>
          <w:tcPr>
            <w:tcW w:w="1082" w:type="dxa"/>
          </w:tcPr>
          <w:p>
            <w:pPr>
              <w:pStyle w:val="TableParagraph"/>
              <w:spacing w:line="206" w:lineRule="exact"/>
              <w:ind w:right="6"/>
              <w:jc w:val="center"/>
              <w:rPr>
                <w:rFonts w:ascii="Arial MT"/>
                <w:sz w:val="20"/>
              </w:rPr>
            </w:pPr>
            <w:r>
              <w:rPr>
                <w:rFonts w:ascii="Arial MT"/>
                <w:spacing w:val="-2"/>
                <w:sz w:val="20"/>
              </w:rPr>
              <w:t>0.708262</w:t>
            </w:r>
          </w:p>
        </w:tc>
        <w:tc>
          <w:tcPr>
            <w:tcW w:w="1071" w:type="dxa"/>
          </w:tcPr>
          <w:p>
            <w:pPr>
              <w:pStyle w:val="TableParagraph"/>
              <w:spacing w:line="206" w:lineRule="exact"/>
              <w:ind w:left="128"/>
              <w:jc w:val="center"/>
              <w:rPr>
                <w:rFonts w:ascii="Arial MT"/>
                <w:sz w:val="20"/>
              </w:rPr>
            </w:pPr>
            <w:r>
              <w:rPr>
                <w:rFonts w:ascii="Arial MT"/>
                <w:spacing w:val="-2"/>
                <w:sz w:val="20"/>
              </w:rPr>
              <w:t>1.000000</w:t>
            </w:r>
          </w:p>
        </w:tc>
      </w:tr>
    </w:tbl>
    <w:p>
      <w:pPr>
        <w:spacing w:before="5"/>
        <w:ind w:left="711" w:right="7493" w:firstLine="0"/>
        <w:jc w:val="left"/>
        <w:rPr>
          <w:sz w:val="20"/>
        </w:rPr>
      </w:pPr>
      <w:r>
        <w:rPr>
          <w:sz w:val="20"/>
        </w:rPr>
        <w:t>UNIT</w:t>
      </w:r>
      <w:r>
        <w:rPr>
          <w:spacing w:val="-5"/>
          <w:sz w:val="20"/>
        </w:rPr>
        <w:t> </w:t>
      </w:r>
      <w:r>
        <w:rPr>
          <w:sz w:val="20"/>
        </w:rPr>
        <w:t>ROOT</w:t>
      </w:r>
      <w:r>
        <w:rPr>
          <w:spacing w:val="-7"/>
          <w:sz w:val="20"/>
        </w:rPr>
        <w:t> </w:t>
      </w:r>
      <w:r>
        <w:rPr>
          <w:sz w:val="20"/>
        </w:rPr>
        <w:t>TEST</w:t>
      </w:r>
      <w:r>
        <w:rPr>
          <w:spacing w:val="-6"/>
          <w:sz w:val="20"/>
        </w:rPr>
        <w:t> </w:t>
      </w:r>
      <w:r>
        <w:rPr>
          <w:sz w:val="20"/>
        </w:rPr>
        <w:t>FOR</w:t>
      </w:r>
      <w:r>
        <w:rPr>
          <w:spacing w:val="-8"/>
          <w:sz w:val="20"/>
        </w:rPr>
        <w:t> </w:t>
      </w:r>
      <w:r>
        <w:rPr>
          <w:sz w:val="20"/>
        </w:rPr>
        <w:t>MODEL</w:t>
      </w:r>
      <w:r>
        <w:rPr>
          <w:spacing w:val="-9"/>
          <w:sz w:val="20"/>
        </w:rPr>
        <w:t> </w:t>
      </w:r>
      <w:r>
        <w:rPr>
          <w:sz w:val="20"/>
        </w:rPr>
        <w:t>1A KFW @ LEVEL</w:t>
      </w:r>
    </w:p>
    <w:tbl>
      <w:tblPr>
        <w:tblW w:w="0" w:type="auto"/>
        <w:jc w:val="left"/>
        <w:tblInd w:w="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47"/>
        <w:gridCol w:w="1375"/>
        <w:gridCol w:w="1432"/>
        <w:gridCol w:w="936"/>
        <w:gridCol w:w="896"/>
      </w:tblGrid>
      <w:tr>
        <w:trPr>
          <w:trHeight w:val="225" w:hRule="atLeast"/>
        </w:trPr>
        <w:tc>
          <w:tcPr>
            <w:tcW w:w="1847" w:type="dxa"/>
          </w:tcPr>
          <w:p>
            <w:pPr>
              <w:pStyle w:val="TableParagraph"/>
              <w:spacing w:line="205" w:lineRule="exact"/>
              <w:ind w:left="36"/>
              <w:rPr>
                <w:sz w:val="20"/>
              </w:rPr>
            </w:pPr>
            <w:r>
              <w:rPr>
                <w:sz w:val="20"/>
              </w:rPr>
              <w:t>ADF</w:t>
            </w:r>
            <w:r>
              <w:rPr>
                <w:spacing w:val="-4"/>
                <w:sz w:val="20"/>
              </w:rPr>
              <w:t> </w:t>
            </w:r>
            <w:r>
              <w:rPr>
                <w:sz w:val="20"/>
              </w:rPr>
              <w:t>Test</w:t>
            </w:r>
            <w:r>
              <w:rPr>
                <w:spacing w:val="-4"/>
                <w:sz w:val="20"/>
              </w:rPr>
              <w:t> </w:t>
            </w:r>
            <w:r>
              <w:rPr>
                <w:spacing w:val="-2"/>
                <w:sz w:val="20"/>
              </w:rPr>
              <w:t>Statistic</w:t>
            </w:r>
          </w:p>
        </w:tc>
        <w:tc>
          <w:tcPr>
            <w:tcW w:w="1375" w:type="dxa"/>
          </w:tcPr>
          <w:p>
            <w:pPr>
              <w:pStyle w:val="TableParagraph"/>
              <w:spacing w:line="205" w:lineRule="exact"/>
              <w:ind w:left="219"/>
              <w:rPr>
                <w:sz w:val="20"/>
              </w:rPr>
            </w:pPr>
            <w:r>
              <w:rPr>
                <w:spacing w:val="-4"/>
                <w:sz w:val="20"/>
              </w:rPr>
              <w:t>-</w:t>
            </w:r>
            <w:r>
              <w:rPr>
                <w:spacing w:val="-2"/>
                <w:sz w:val="20"/>
              </w:rPr>
              <w:t>0.495567</w:t>
            </w:r>
          </w:p>
        </w:tc>
        <w:tc>
          <w:tcPr>
            <w:tcW w:w="2368" w:type="dxa"/>
            <w:gridSpan w:val="2"/>
          </w:tcPr>
          <w:p>
            <w:pPr>
              <w:pStyle w:val="TableParagraph"/>
              <w:spacing w:line="205" w:lineRule="exact"/>
              <w:ind w:left="131"/>
              <w:rPr>
                <w:sz w:val="20"/>
              </w:rPr>
            </w:pPr>
            <w:r>
              <w:rPr>
                <w:sz w:val="20"/>
              </w:rPr>
              <w:t>1%</w:t>
            </w:r>
            <w:r>
              <w:rPr>
                <w:spacing w:val="68"/>
                <w:w w:val="150"/>
                <w:sz w:val="20"/>
              </w:rPr>
              <w:t> </w:t>
            </w:r>
            <w:r>
              <w:rPr>
                <w:sz w:val="20"/>
              </w:rPr>
              <w:t>Critical</w:t>
            </w:r>
            <w:r>
              <w:rPr>
                <w:spacing w:val="-2"/>
                <w:sz w:val="20"/>
              </w:rPr>
              <w:t> Value*</w:t>
            </w:r>
          </w:p>
        </w:tc>
        <w:tc>
          <w:tcPr>
            <w:tcW w:w="896" w:type="dxa"/>
          </w:tcPr>
          <w:p>
            <w:pPr>
              <w:pStyle w:val="TableParagraph"/>
              <w:spacing w:line="205" w:lineRule="exact"/>
              <w:ind w:right="26"/>
              <w:jc w:val="right"/>
              <w:rPr>
                <w:sz w:val="20"/>
              </w:rPr>
            </w:pPr>
            <w:r>
              <w:rPr>
                <w:spacing w:val="-4"/>
                <w:sz w:val="20"/>
              </w:rPr>
              <w:t>-</w:t>
            </w:r>
            <w:r>
              <w:rPr>
                <w:spacing w:val="-2"/>
                <w:sz w:val="20"/>
              </w:rPr>
              <w:t>3.6019</w:t>
            </w:r>
          </w:p>
        </w:tc>
      </w:tr>
      <w:tr>
        <w:trPr>
          <w:trHeight w:val="230" w:hRule="atLeast"/>
        </w:trPr>
        <w:tc>
          <w:tcPr>
            <w:tcW w:w="1847" w:type="dxa"/>
          </w:tcPr>
          <w:p>
            <w:pPr>
              <w:pStyle w:val="TableParagraph"/>
              <w:rPr>
                <w:sz w:val="16"/>
              </w:rPr>
            </w:pPr>
          </w:p>
        </w:tc>
        <w:tc>
          <w:tcPr>
            <w:tcW w:w="1375" w:type="dxa"/>
          </w:tcPr>
          <w:p>
            <w:pPr>
              <w:pStyle w:val="TableParagraph"/>
              <w:rPr>
                <w:sz w:val="16"/>
              </w:rPr>
            </w:pPr>
          </w:p>
        </w:tc>
        <w:tc>
          <w:tcPr>
            <w:tcW w:w="2368" w:type="dxa"/>
            <w:gridSpan w:val="2"/>
          </w:tcPr>
          <w:p>
            <w:pPr>
              <w:pStyle w:val="TableParagraph"/>
              <w:spacing w:line="210" w:lineRule="exact"/>
              <w:ind w:left="131"/>
              <w:rPr>
                <w:sz w:val="20"/>
              </w:rPr>
            </w:pPr>
            <w:r>
              <w:rPr>
                <w:sz w:val="20"/>
              </w:rPr>
              <w:t>5%</w:t>
            </w:r>
            <w:r>
              <w:rPr>
                <w:spacing w:val="68"/>
                <w:w w:val="150"/>
                <w:sz w:val="20"/>
              </w:rPr>
              <w:t> </w:t>
            </w:r>
            <w:r>
              <w:rPr>
                <w:sz w:val="20"/>
              </w:rPr>
              <w:t>Critical</w:t>
            </w:r>
            <w:r>
              <w:rPr>
                <w:spacing w:val="-2"/>
                <w:sz w:val="20"/>
              </w:rPr>
              <w:t> </w:t>
            </w:r>
            <w:r>
              <w:rPr>
                <w:spacing w:val="-4"/>
                <w:sz w:val="20"/>
              </w:rPr>
              <w:t>Value</w:t>
            </w:r>
          </w:p>
        </w:tc>
        <w:tc>
          <w:tcPr>
            <w:tcW w:w="896" w:type="dxa"/>
          </w:tcPr>
          <w:p>
            <w:pPr>
              <w:pStyle w:val="TableParagraph"/>
              <w:spacing w:line="210" w:lineRule="exact"/>
              <w:ind w:right="26"/>
              <w:jc w:val="right"/>
              <w:rPr>
                <w:sz w:val="20"/>
              </w:rPr>
            </w:pPr>
            <w:r>
              <w:rPr>
                <w:spacing w:val="-4"/>
                <w:sz w:val="20"/>
              </w:rPr>
              <w:t>-</w:t>
            </w:r>
            <w:r>
              <w:rPr>
                <w:spacing w:val="-2"/>
                <w:sz w:val="20"/>
              </w:rPr>
              <w:t>2.9358</w:t>
            </w:r>
          </w:p>
        </w:tc>
      </w:tr>
      <w:tr>
        <w:trPr>
          <w:trHeight w:val="224" w:hRule="atLeast"/>
        </w:trPr>
        <w:tc>
          <w:tcPr>
            <w:tcW w:w="1847" w:type="dxa"/>
            <w:tcBorders>
              <w:bottom w:val="double" w:sz="6" w:space="0" w:color="000000"/>
            </w:tcBorders>
          </w:tcPr>
          <w:p>
            <w:pPr>
              <w:pStyle w:val="TableParagraph"/>
              <w:rPr>
                <w:sz w:val="16"/>
              </w:rPr>
            </w:pPr>
          </w:p>
        </w:tc>
        <w:tc>
          <w:tcPr>
            <w:tcW w:w="1375" w:type="dxa"/>
            <w:tcBorders>
              <w:bottom w:val="double" w:sz="6" w:space="0" w:color="000000"/>
            </w:tcBorders>
          </w:tcPr>
          <w:p>
            <w:pPr>
              <w:pStyle w:val="TableParagraph"/>
              <w:rPr>
                <w:sz w:val="16"/>
              </w:rPr>
            </w:pPr>
          </w:p>
        </w:tc>
        <w:tc>
          <w:tcPr>
            <w:tcW w:w="2368" w:type="dxa"/>
            <w:gridSpan w:val="2"/>
            <w:tcBorders>
              <w:bottom w:val="double" w:sz="6" w:space="0" w:color="000000"/>
            </w:tcBorders>
          </w:tcPr>
          <w:p>
            <w:pPr>
              <w:pStyle w:val="TableParagraph"/>
              <w:spacing w:line="205" w:lineRule="exact"/>
              <w:ind w:left="131"/>
              <w:rPr>
                <w:sz w:val="20"/>
              </w:rPr>
            </w:pPr>
            <w:r>
              <w:rPr>
                <w:sz w:val="20"/>
              </w:rPr>
              <w:t>10%</w:t>
            </w:r>
            <w:r>
              <w:rPr>
                <w:spacing w:val="-6"/>
                <w:sz w:val="20"/>
              </w:rPr>
              <w:t> </w:t>
            </w:r>
            <w:r>
              <w:rPr>
                <w:sz w:val="20"/>
              </w:rPr>
              <w:t>Critical</w:t>
            </w:r>
            <w:r>
              <w:rPr>
                <w:spacing w:val="-4"/>
                <w:sz w:val="20"/>
              </w:rPr>
              <w:t> </w:t>
            </w:r>
            <w:r>
              <w:rPr>
                <w:spacing w:val="-2"/>
                <w:sz w:val="20"/>
              </w:rPr>
              <w:t>Value</w:t>
            </w:r>
          </w:p>
        </w:tc>
        <w:tc>
          <w:tcPr>
            <w:tcW w:w="896" w:type="dxa"/>
            <w:tcBorders>
              <w:bottom w:val="double" w:sz="6" w:space="0" w:color="000000"/>
            </w:tcBorders>
          </w:tcPr>
          <w:p>
            <w:pPr>
              <w:pStyle w:val="TableParagraph"/>
              <w:spacing w:line="205" w:lineRule="exact"/>
              <w:ind w:right="26"/>
              <w:jc w:val="right"/>
              <w:rPr>
                <w:sz w:val="20"/>
              </w:rPr>
            </w:pPr>
            <w:r>
              <w:rPr>
                <w:spacing w:val="-4"/>
                <w:sz w:val="20"/>
              </w:rPr>
              <w:t>-</w:t>
            </w:r>
            <w:r>
              <w:rPr>
                <w:spacing w:val="-2"/>
                <w:sz w:val="20"/>
              </w:rPr>
              <w:t>2.6059</w:t>
            </w:r>
          </w:p>
        </w:tc>
      </w:tr>
      <w:tr>
        <w:trPr>
          <w:trHeight w:val="505" w:hRule="atLeast"/>
        </w:trPr>
        <w:tc>
          <w:tcPr>
            <w:tcW w:w="6486" w:type="dxa"/>
            <w:gridSpan w:val="5"/>
            <w:tcBorders>
              <w:top w:val="double" w:sz="6" w:space="0" w:color="000000"/>
            </w:tcBorders>
          </w:tcPr>
          <w:p>
            <w:pPr>
              <w:pStyle w:val="TableParagraph"/>
              <w:spacing w:before="40"/>
              <w:ind w:left="36"/>
              <w:rPr>
                <w:sz w:val="20"/>
              </w:rPr>
            </w:pPr>
            <w:r>
              <w:rPr>
                <w:sz w:val="20"/>
              </w:rPr>
              <w:t>*MacKinnon</w:t>
            </w:r>
            <w:r>
              <w:rPr>
                <w:spacing w:val="-6"/>
                <w:sz w:val="20"/>
              </w:rPr>
              <w:t> </w:t>
            </w:r>
            <w:r>
              <w:rPr>
                <w:sz w:val="20"/>
              </w:rPr>
              <w:t>critical</w:t>
            </w:r>
            <w:r>
              <w:rPr>
                <w:spacing w:val="-4"/>
                <w:sz w:val="20"/>
              </w:rPr>
              <w:t> </w:t>
            </w:r>
            <w:r>
              <w:rPr>
                <w:sz w:val="20"/>
              </w:rPr>
              <w:t>values</w:t>
            </w:r>
            <w:r>
              <w:rPr>
                <w:spacing w:val="-6"/>
                <w:sz w:val="20"/>
              </w:rPr>
              <w:t> </w:t>
            </w:r>
            <w:r>
              <w:rPr>
                <w:sz w:val="20"/>
              </w:rPr>
              <w:t>for</w:t>
            </w:r>
            <w:r>
              <w:rPr>
                <w:spacing w:val="-4"/>
                <w:sz w:val="20"/>
              </w:rPr>
              <w:t> </w:t>
            </w:r>
            <w:r>
              <w:rPr>
                <w:sz w:val="20"/>
              </w:rPr>
              <w:t>rejection</w:t>
            </w:r>
            <w:r>
              <w:rPr>
                <w:spacing w:val="-6"/>
                <w:sz w:val="20"/>
              </w:rPr>
              <w:t> </w:t>
            </w:r>
            <w:r>
              <w:rPr>
                <w:sz w:val="20"/>
              </w:rPr>
              <w:t>of</w:t>
            </w:r>
            <w:r>
              <w:rPr>
                <w:spacing w:val="-6"/>
                <w:sz w:val="20"/>
              </w:rPr>
              <w:t> </w:t>
            </w:r>
            <w:r>
              <w:rPr>
                <w:sz w:val="20"/>
              </w:rPr>
              <w:t>hypothesis</w:t>
            </w:r>
            <w:r>
              <w:rPr>
                <w:spacing w:val="-6"/>
                <w:sz w:val="20"/>
              </w:rPr>
              <w:t> </w:t>
            </w:r>
            <w:r>
              <w:rPr>
                <w:sz w:val="20"/>
              </w:rPr>
              <w:t>of</w:t>
            </w:r>
            <w:r>
              <w:rPr>
                <w:spacing w:val="-6"/>
                <w:sz w:val="20"/>
              </w:rPr>
              <w:t> </w:t>
            </w:r>
            <w:r>
              <w:rPr>
                <w:sz w:val="20"/>
              </w:rPr>
              <w:t>a</w:t>
            </w:r>
            <w:r>
              <w:rPr>
                <w:spacing w:val="-4"/>
                <w:sz w:val="20"/>
              </w:rPr>
              <w:t> </w:t>
            </w:r>
            <w:r>
              <w:rPr>
                <w:sz w:val="20"/>
              </w:rPr>
              <w:t>unit</w:t>
            </w:r>
            <w:r>
              <w:rPr>
                <w:spacing w:val="-6"/>
                <w:sz w:val="20"/>
              </w:rPr>
              <w:t> </w:t>
            </w:r>
            <w:r>
              <w:rPr>
                <w:spacing w:val="-2"/>
                <w:sz w:val="20"/>
              </w:rPr>
              <w:t>root.</w:t>
            </w:r>
          </w:p>
        </w:tc>
      </w:tr>
      <w:tr>
        <w:trPr>
          <w:trHeight w:val="460" w:hRule="atLeast"/>
        </w:trPr>
        <w:tc>
          <w:tcPr>
            <w:tcW w:w="6486" w:type="dxa"/>
            <w:gridSpan w:val="5"/>
          </w:tcPr>
          <w:p>
            <w:pPr>
              <w:pStyle w:val="TableParagraph"/>
              <w:spacing w:line="215" w:lineRule="exact" w:before="226"/>
              <w:ind w:left="36"/>
              <w:rPr>
                <w:sz w:val="20"/>
              </w:rPr>
            </w:pPr>
            <w:r>
              <w:rPr>
                <w:sz w:val="20"/>
              </w:rPr>
              <w:t>Augmented</w:t>
            </w:r>
            <w:r>
              <w:rPr>
                <w:spacing w:val="-8"/>
                <w:sz w:val="20"/>
              </w:rPr>
              <w:t> </w:t>
            </w:r>
            <w:r>
              <w:rPr>
                <w:sz w:val="20"/>
              </w:rPr>
              <w:t>Dickey-Fuller</w:t>
            </w:r>
            <w:r>
              <w:rPr>
                <w:spacing w:val="-8"/>
                <w:sz w:val="20"/>
              </w:rPr>
              <w:t> </w:t>
            </w:r>
            <w:r>
              <w:rPr>
                <w:sz w:val="20"/>
              </w:rPr>
              <w:t>Test</w:t>
            </w:r>
            <w:r>
              <w:rPr>
                <w:spacing w:val="-9"/>
                <w:sz w:val="20"/>
              </w:rPr>
              <w:t> </w:t>
            </w:r>
            <w:r>
              <w:rPr>
                <w:spacing w:val="-2"/>
                <w:sz w:val="20"/>
              </w:rPr>
              <w:t>Equation</w:t>
            </w:r>
          </w:p>
        </w:tc>
      </w:tr>
      <w:tr>
        <w:trPr>
          <w:trHeight w:val="229" w:hRule="atLeast"/>
        </w:trPr>
        <w:tc>
          <w:tcPr>
            <w:tcW w:w="6486" w:type="dxa"/>
            <w:gridSpan w:val="5"/>
          </w:tcPr>
          <w:p>
            <w:pPr>
              <w:pStyle w:val="TableParagraph"/>
              <w:spacing w:line="209" w:lineRule="exact"/>
              <w:ind w:left="36"/>
              <w:rPr>
                <w:sz w:val="20"/>
              </w:rPr>
            </w:pPr>
            <w:r>
              <w:rPr>
                <w:sz w:val="20"/>
              </w:rPr>
              <w:t>Dependent</w:t>
            </w:r>
            <w:r>
              <w:rPr>
                <w:spacing w:val="-7"/>
                <w:sz w:val="20"/>
              </w:rPr>
              <w:t> </w:t>
            </w:r>
            <w:r>
              <w:rPr>
                <w:sz w:val="20"/>
              </w:rPr>
              <w:t>Variable:</w:t>
            </w:r>
            <w:r>
              <w:rPr>
                <w:spacing w:val="-7"/>
                <w:sz w:val="20"/>
              </w:rPr>
              <w:t> </w:t>
            </w:r>
            <w:r>
              <w:rPr>
                <w:spacing w:val="-2"/>
                <w:sz w:val="20"/>
              </w:rPr>
              <w:t>D(KFW)</w:t>
            </w:r>
          </w:p>
        </w:tc>
      </w:tr>
      <w:tr>
        <w:trPr>
          <w:trHeight w:val="229" w:hRule="atLeast"/>
        </w:trPr>
        <w:tc>
          <w:tcPr>
            <w:tcW w:w="6486" w:type="dxa"/>
            <w:gridSpan w:val="5"/>
          </w:tcPr>
          <w:p>
            <w:pPr>
              <w:pStyle w:val="TableParagraph"/>
              <w:spacing w:line="209" w:lineRule="exact"/>
              <w:ind w:left="36"/>
              <w:rPr>
                <w:sz w:val="20"/>
              </w:rPr>
            </w:pPr>
            <w:r>
              <w:rPr>
                <w:sz w:val="20"/>
              </w:rPr>
              <w:t>Method:</w:t>
            </w:r>
            <w:r>
              <w:rPr>
                <w:spacing w:val="-8"/>
                <w:sz w:val="20"/>
              </w:rPr>
              <w:t> </w:t>
            </w:r>
            <w:r>
              <w:rPr>
                <w:sz w:val="20"/>
              </w:rPr>
              <w:t>Least</w:t>
            </w:r>
            <w:r>
              <w:rPr>
                <w:spacing w:val="-7"/>
                <w:sz w:val="20"/>
              </w:rPr>
              <w:t> </w:t>
            </w:r>
            <w:r>
              <w:rPr>
                <w:spacing w:val="-2"/>
                <w:sz w:val="20"/>
              </w:rPr>
              <w:t>Squares</w:t>
            </w:r>
          </w:p>
        </w:tc>
      </w:tr>
      <w:tr>
        <w:trPr>
          <w:trHeight w:val="230" w:hRule="atLeast"/>
        </w:trPr>
        <w:tc>
          <w:tcPr>
            <w:tcW w:w="6486" w:type="dxa"/>
            <w:gridSpan w:val="5"/>
          </w:tcPr>
          <w:p>
            <w:pPr>
              <w:pStyle w:val="TableParagraph"/>
              <w:spacing w:line="211" w:lineRule="exact"/>
              <w:ind w:left="36"/>
              <w:rPr>
                <w:sz w:val="20"/>
              </w:rPr>
            </w:pPr>
            <w:r>
              <w:rPr>
                <w:sz w:val="20"/>
              </w:rPr>
              <w:t>Date:</w:t>
            </w:r>
            <w:r>
              <w:rPr>
                <w:spacing w:val="-5"/>
                <w:sz w:val="20"/>
              </w:rPr>
              <w:t> </w:t>
            </w:r>
            <w:r>
              <w:rPr>
                <w:sz w:val="20"/>
              </w:rPr>
              <w:t>02/18/14</w:t>
            </w:r>
            <w:r>
              <w:rPr>
                <w:spacing w:val="63"/>
                <w:w w:val="150"/>
                <w:sz w:val="20"/>
              </w:rPr>
              <w:t> </w:t>
            </w:r>
            <w:r>
              <w:rPr>
                <w:sz w:val="20"/>
              </w:rPr>
              <w:t>Time:</w:t>
            </w:r>
            <w:r>
              <w:rPr>
                <w:spacing w:val="-3"/>
                <w:sz w:val="20"/>
              </w:rPr>
              <w:t> </w:t>
            </w:r>
            <w:r>
              <w:rPr>
                <w:spacing w:val="-2"/>
                <w:sz w:val="20"/>
              </w:rPr>
              <w:t>07:57</w:t>
            </w:r>
          </w:p>
        </w:tc>
      </w:tr>
      <w:tr>
        <w:trPr>
          <w:trHeight w:val="230" w:hRule="atLeast"/>
        </w:trPr>
        <w:tc>
          <w:tcPr>
            <w:tcW w:w="6486" w:type="dxa"/>
            <w:gridSpan w:val="5"/>
          </w:tcPr>
          <w:p>
            <w:pPr>
              <w:pStyle w:val="TableParagraph"/>
              <w:spacing w:line="211" w:lineRule="exact"/>
              <w:ind w:left="36"/>
              <w:rPr>
                <w:sz w:val="20"/>
              </w:rPr>
            </w:pPr>
            <w:r>
              <w:rPr>
                <w:sz w:val="20"/>
              </w:rPr>
              <w:t>Sample(adjusted):</w:t>
            </w:r>
            <w:r>
              <w:rPr>
                <w:spacing w:val="-9"/>
                <w:sz w:val="20"/>
              </w:rPr>
              <w:t> </w:t>
            </w:r>
            <w:r>
              <w:rPr>
                <w:sz w:val="20"/>
              </w:rPr>
              <w:t>1972</w:t>
            </w:r>
            <w:r>
              <w:rPr>
                <w:spacing w:val="-9"/>
                <w:sz w:val="20"/>
              </w:rPr>
              <w:t> </w:t>
            </w:r>
            <w:r>
              <w:rPr>
                <w:spacing w:val="-4"/>
                <w:sz w:val="20"/>
              </w:rPr>
              <w:t>2011</w:t>
            </w:r>
          </w:p>
        </w:tc>
      </w:tr>
      <w:tr>
        <w:trPr>
          <w:trHeight w:val="224" w:hRule="atLeast"/>
        </w:trPr>
        <w:tc>
          <w:tcPr>
            <w:tcW w:w="6486" w:type="dxa"/>
            <w:gridSpan w:val="5"/>
            <w:tcBorders>
              <w:bottom w:val="double" w:sz="6" w:space="0" w:color="000000"/>
            </w:tcBorders>
          </w:tcPr>
          <w:p>
            <w:pPr>
              <w:pStyle w:val="TableParagraph"/>
              <w:spacing w:line="205" w:lineRule="exact"/>
              <w:ind w:left="36"/>
              <w:rPr>
                <w:sz w:val="20"/>
              </w:rPr>
            </w:pPr>
            <w:r>
              <w:rPr>
                <w:sz w:val="20"/>
              </w:rPr>
              <w:t>Included</w:t>
            </w:r>
            <w:r>
              <w:rPr>
                <w:spacing w:val="-6"/>
                <w:sz w:val="20"/>
              </w:rPr>
              <w:t> </w:t>
            </w:r>
            <w:r>
              <w:rPr>
                <w:sz w:val="20"/>
              </w:rPr>
              <w:t>observations:</w:t>
            </w:r>
            <w:r>
              <w:rPr>
                <w:spacing w:val="-8"/>
                <w:sz w:val="20"/>
              </w:rPr>
              <w:t> </w:t>
            </w:r>
            <w:r>
              <w:rPr>
                <w:sz w:val="20"/>
              </w:rPr>
              <w:t>40</w:t>
            </w:r>
            <w:r>
              <w:rPr>
                <w:spacing w:val="-5"/>
                <w:sz w:val="20"/>
              </w:rPr>
              <w:t> </w:t>
            </w:r>
            <w:r>
              <w:rPr>
                <w:sz w:val="20"/>
              </w:rPr>
              <w:t>after</w:t>
            </w:r>
            <w:r>
              <w:rPr>
                <w:spacing w:val="-7"/>
                <w:sz w:val="20"/>
              </w:rPr>
              <w:t> </w:t>
            </w:r>
            <w:r>
              <w:rPr>
                <w:sz w:val="20"/>
              </w:rPr>
              <w:t>adjusting</w:t>
            </w:r>
            <w:r>
              <w:rPr>
                <w:spacing w:val="-7"/>
                <w:sz w:val="20"/>
              </w:rPr>
              <w:t> </w:t>
            </w:r>
            <w:r>
              <w:rPr>
                <w:spacing w:val="-2"/>
                <w:sz w:val="20"/>
              </w:rPr>
              <w:t>endpoints</w:t>
            </w:r>
          </w:p>
        </w:tc>
      </w:tr>
      <w:tr>
        <w:trPr>
          <w:trHeight w:val="269" w:hRule="atLeast"/>
        </w:trPr>
        <w:tc>
          <w:tcPr>
            <w:tcW w:w="1847" w:type="dxa"/>
            <w:tcBorders>
              <w:top w:val="double" w:sz="6" w:space="0" w:color="000000"/>
              <w:bottom w:val="double" w:sz="6" w:space="0" w:color="000000"/>
            </w:tcBorders>
          </w:tcPr>
          <w:p>
            <w:pPr>
              <w:pStyle w:val="TableParagraph"/>
              <w:spacing w:line="209" w:lineRule="exact" w:before="40"/>
              <w:ind w:left="677"/>
              <w:rPr>
                <w:sz w:val="20"/>
              </w:rPr>
            </w:pPr>
            <w:r>
              <w:rPr>
                <w:spacing w:val="-2"/>
                <w:sz w:val="20"/>
              </w:rPr>
              <w:t>Variable</w:t>
            </w:r>
          </w:p>
        </w:tc>
        <w:tc>
          <w:tcPr>
            <w:tcW w:w="1375" w:type="dxa"/>
            <w:tcBorders>
              <w:top w:val="double" w:sz="6" w:space="0" w:color="000000"/>
              <w:bottom w:val="double" w:sz="6" w:space="0" w:color="000000"/>
            </w:tcBorders>
          </w:tcPr>
          <w:p>
            <w:pPr>
              <w:pStyle w:val="TableParagraph"/>
              <w:spacing w:line="209" w:lineRule="exact" w:before="40"/>
              <w:ind w:right="131"/>
              <w:jc w:val="right"/>
              <w:rPr>
                <w:sz w:val="20"/>
              </w:rPr>
            </w:pPr>
            <w:r>
              <w:rPr>
                <w:spacing w:val="-2"/>
                <w:sz w:val="20"/>
              </w:rPr>
              <w:t>Coefficient</w:t>
            </w:r>
          </w:p>
        </w:tc>
        <w:tc>
          <w:tcPr>
            <w:tcW w:w="1432" w:type="dxa"/>
            <w:tcBorders>
              <w:top w:val="double" w:sz="6" w:space="0" w:color="000000"/>
              <w:bottom w:val="double" w:sz="6" w:space="0" w:color="000000"/>
            </w:tcBorders>
          </w:tcPr>
          <w:p>
            <w:pPr>
              <w:pStyle w:val="TableParagraph"/>
              <w:spacing w:line="209" w:lineRule="exact" w:before="40"/>
              <w:ind w:left="273"/>
              <w:rPr>
                <w:sz w:val="20"/>
              </w:rPr>
            </w:pPr>
            <w:r>
              <w:rPr>
                <w:sz w:val="20"/>
              </w:rPr>
              <w:t>Std.</w:t>
            </w:r>
            <w:r>
              <w:rPr>
                <w:spacing w:val="-4"/>
                <w:sz w:val="20"/>
              </w:rPr>
              <w:t> </w:t>
            </w:r>
            <w:r>
              <w:rPr>
                <w:spacing w:val="-2"/>
                <w:sz w:val="20"/>
              </w:rPr>
              <w:t>Error</w:t>
            </w:r>
          </w:p>
        </w:tc>
        <w:tc>
          <w:tcPr>
            <w:tcW w:w="936" w:type="dxa"/>
            <w:tcBorders>
              <w:top w:val="double" w:sz="6" w:space="0" w:color="000000"/>
              <w:bottom w:val="double" w:sz="6" w:space="0" w:color="000000"/>
            </w:tcBorders>
          </w:tcPr>
          <w:p>
            <w:pPr>
              <w:pStyle w:val="TableParagraph"/>
              <w:spacing w:line="209" w:lineRule="exact" w:before="40"/>
              <w:ind w:right="112"/>
              <w:jc w:val="right"/>
              <w:rPr>
                <w:sz w:val="20"/>
              </w:rPr>
            </w:pPr>
            <w:r>
              <w:rPr>
                <w:spacing w:val="-4"/>
                <w:sz w:val="20"/>
              </w:rPr>
              <w:t>t-</w:t>
            </w:r>
            <w:r>
              <w:rPr>
                <w:spacing w:val="-2"/>
                <w:sz w:val="20"/>
              </w:rPr>
              <w:t>Statistic</w:t>
            </w:r>
          </w:p>
        </w:tc>
        <w:tc>
          <w:tcPr>
            <w:tcW w:w="896" w:type="dxa"/>
            <w:tcBorders>
              <w:top w:val="double" w:sz="6" w:space="0" w:color="000000"/>
              <w:bottom w:val="double" w:sz="6" w:space="0" w:color="000000"/>
            </w:tcBorders>
          </w:tcPr>
          <w:p>
            <w:pPr>
              <w:pStyle w:val="TableParagraph"/>
              <w:spacing w:line="209" w:lineRule="exact" w:before="40"/>
              <w:ind w:right="27"/>
              <w:jc w:val="right"/>
              <w:rPr>
                <w:sz w:val="20"/>
              </w:rPr>
            </w:pPr>
            <w:r>
              <w:rPr>
                <w:spacing w:val="-2"/>
                <w:sz w:val="20"/>
              </w:rPr>
              <w:t>Prob.</w:t>
            </w:r>
          </w:p>
        </w:tc>
      </w:tr>
      <w:tr>
        <w:trPr>
          <w:trHeight w:val="275" w:hRule="atLeast"/>
        </w:trPr>
        <w:tc>
          <w:tcPr>
            <w:tcW w:w="1847" w:type="dxa"/>
            <w:tcBorders>
              <w:top w:val="double" w:sz="6" w:space="0" w:color="000000"/>
            </w:tcBorders>
          </w:tcPr>
          <w:p>
            <w:pPr>
              <w:pStyle w:val="TableParagraph"/>
              <w:spacing w:line="215" w:lineRule="exact" w:before="40"/>
              <w:ind w:left="650"/>
              <w:rPr>
                <w:sz w:val="20"/>
              </w:rPr>
            </w:pPr>
            <w:r>
              <w:rPr>
                <w:spacing w:val="-2"/>
                <w:sz w:val="20"/>
              </w:rPr>
              <w:t>KFW(-</w:t>
            </w:r>
            <w:r>
              <w:rPr>
                <w:spacing w:val="-5"/>
                <w:sz w:val="20"/>
              </w:rPr>
              <w:t>1)</w:t>
            </w:r>
          </w:p>
        </w:tc>
        <w:tc>
          <w:tcPr>
            <w:tcW w:w="1375" w:type="dxa"/>
            <w:tcBorders>
              <w:top w:val="double" w:sz="6" w:space="0" w:color="000000"/>
            </w:tcBorders>
          </w:tcPr>
          <w:p>
            <w:pPr>
              <w:pStyle w:val="TableParagraph"/>
              <w:spacing w:line="215" w:lineRule="exact" w:before="40"/>
              <w:ind w:right="128"/>
              <w:jc w:val="right"/>
              <w:rPr>
                <w:sz w:val="20"/>
              </w:rPr>
            </w:pPr>
            <w:r>
              <w:rPr>
                <w:spacing w:val="-4"/>
                <w:sz w:val="20"/>
              </w:rPr>
              <w:t>-</w:t>
            </w:r>
            <w:r>
              <w:rPr>
                <w:spacing w:val="-2"/>
                <w:sz w:val="20"/>
              </w:rPr>
              <w:t>0.030058</w:t>
            </w:r>
          </w:p>
        </w:tc>
        <w:tc>
          <w:tcPr>
            <w:tcW w:w="1432" w:type="dxa"/>
            <w:tcBorders>
              <w:top w:val="double" w:sz="6" w:space="0" w:color="000000"/>
            </w:tcBorders>
          </w:tcPr>
          <w:p>
            <w:pPr>
              <w:pStyle w:val="TableParagraph"/>
              <w:spacing w:line="215" w:lineRule="exact" w:before="40"/>
              <w:ind w:left="311"/>
              <w:rPr>
                <w:sz w:val="20"/>
              </w:rPr>
            </w:pPr>
            <w:r>
              <w:rPr>
                <w:spacing w:val="-2"/>
                <w:sz w:val="20"/>
              </w:rPr>
              <w:t>0.060653</w:t>
            </w:r>
          </w:p>
        </w:tc>
        <w:tc>
          <w:tcPr>
            <w:tcW w:w="936" w:type="dxa"/>
            <w:tcBorders>
              <w:top w:val="double" w:sz="6" w:space="0" w:color="000000"/>
            </w:tcBorders>
          </w:tcPr>
          <w:p>
            <w:pPr>
              <w:pStyle w:val="TableParagraph"/>
              <w:spacing w:line="215" w:lineRule="exact" w:before="40"/>
              <w:ind w:right="110"/>
              <w:jc w:val="right"/>
              <w:rPr>
                <w:sz w:val="20"/>
              </w:rPr>
            </w:pPr>
            <w:r>
              <w:rPr>
                <w:spacing w:val="-4"/>
                <w:sz w:val="20"/>
              </w:rPr>
              <w:t>-</w:t>
            </w:r>
            <w:r>
              <w:rPr>
                <w:spacing w:val="-2"/>
                <w:sz w:val="20"/>
              </w:rPr>
              <w:t>0.495567</w:t>
            </w:r>
          </w:p>
        </w:tc>
        <w:tc>
          <w:tcPr>
            <w:tcW w:w="896" w:type="dxa"/>
            <w:tcBorders>
              <w:top w:val="double" w:sz="6" w:space="0" w:color="000000"/>
            </w:tcBorders>
          </w:tcPr>
          <w:p>
            <w:pPr>
              <w:pStyle w:val="TableParagraph"/>
              <w:spacing w:line="215" w:lineRule="exact" w:before="40"/>
              <w:ind w:right="26"/>
              <w:jc w:val="right"/>
              <w:rPr>
                <w:sz w:val="20"/>
              </w:rPr>
            </w:pPr>
            <w:r>
              <w:rPr>
                <w:spacing w:val="-2"/>
                <w:sz w:val="20"/>
              </w:rPr>
              <w:t>0.6231</w:t>
            </w:r>
          </w:p>
        </w:tc>
      </w:tr>
      <w:tr>
        <w:trPr>
          <w:trHeight w:val="230" w:hRule="atLeast"/>
        </w:trPr>
        <w:tc>
          <w:tcPr>
            <w:tcW w:w="1847" w:type="dxa"/>
          </w:tcPr>
          <w:p>
            <w:pPr>
              <w:pStyle w:val="TableParagraph"/>
              <w:spacing w:line="210" w:lineRule="exact"/>
              <w:ind w:left="511"/>
              <w:rPr>
                <w:sz w:val="20"/>
              </w:rPr>
            </w:pPr>
            <w:r>
              <w:rPr>
                <w:spacing w:val="-2"/>
                <w:sz w:val="20"/>
              </w:rPr>
              <w:t>D(KFW(-</w:t>
            </w:r>
            <w:r>
              <w:rPr>
                <w:spacing w:val="-5"/>
                <w:sz w:val="20"/>
              </w:rPr>
              <w:t>1))</w:t>
            </w:r>
          </w:p>
        </w:tc>
        <w:tc>
          <w:tcPr>
            <w:tcW w:w="1375" w:type="dxa"/>
          </w:tcPr>
          <w:p>
            <w:pPr>
              <w:pStyle w:val="TableParagraph"/>
              <w:spacing w:line="210" w:lineRule="exact"/>
              <w:ind w:right="128"/>
              <w:jc w:val="right"/>
              <w:rPr>
                <w:sz w:val="20"/>
              </w:rPr>
            </w:pPr>
            <w:r>
              <w:rPr>
                <w:spacing w:val="-4"/>
                <w:sz w:val="20"/>
              </w:rPr>
              <w:t>-</w:t>
            </w:r>
            <w:r>
              <w:rPr>
                <w:spacing w:val="-2"/>
                <w:sz w:val="20"/>
              </w:rPr>
              <w:t>0.371270</w:t>
            </w:r>
          </w:p>
        </w:tc>
        <w:tc>
          <w:tcPr>
            <w:tcW w:w="1432" w:type="dxa"/>
          </w:tcPr>
          <w:p>
            <w:pPr>
              <w:pStyle w:val="TableParagraph"/>
              <w:spacing w:line="210" w:lineRule="exact"/>
              <w:ind w:left="311"/>
              <w:rPr>
                <w:sz w:val="20"/>
              </w:rPr>
            </w:pPr>
            <w:r>
              <w:rPr>
                <w:spacing w:val="-2"/>
                <w:sz w:val="20"/>
              </w:rPr>
              <w:t>0.154854</w:t>
            </w:r>
          </w:p>
        </w:tc>
        <w:tc>
          <w:tcPr>
            <w:tcW w:w="936" w:type="dxa"/>
          </w:tcPr>
          <w:p>
            <w:pPr>
              <w:pStyle w:val="TableParagraph"/>
              <w:spacing w:line="210" w:lineRule="exact"/>
              <w:ind w:right="110"/>
              <w:jc w:val="right"/>
              <w:rPr>
                <w:sz w:val="20"/>
              </w:rPr>
            </w:pPr>
            <w:r>
              <w:rPr>
                <w:spacing w:val="-4"/>
                <w:sz w:val="20"/>
              </w:rPr>
              <w:t>-</w:t>
            </w:r>
            <w:r>
              <w:rPr>
                <w:spacing w:val="-2"/>
                <w:sz w:val="20"/>
              </w:rPr>
              <w:t>2.397548</w:t>
            </w:r>
          </w:p>
        </w:tc>
        <w:tc>
          <w:tcPr>
            <w:tcW w:w="896" w:type="dxa"/>
          </w:tcPr>
          <w:p>
            <w:pPr>
              <w:pStyle w:val="TableParagraph"/>
              <w:spacing w:line="210" w:lineRule="exact"/>
              <w:ind w:right="26"/>
              <w:jc w:val="right"/>
              <w:rPr>
                <w:sz w:val="20"/>
              </w:rPr>
            </w:pPr>
            <w:r>
              <w:rPr>
                <w:spacing w:val="-2"/>
                <w:sz w:val="20"/>
              </w:rPr>
              <w:t>0.0217</w:t>
            </w:r>
          </w:p>
        </w:tc>
      </w:tr>
      <w:tr>
        <w:trPr>
          <w:trHeight w:val="224" w:hRule="atLeast"/>
        </w:trPr>
        <w:tc>
          <w:tcPr>
            <w:tcW w:w="1847" w:type="dxa"/>
            <w:tcBorders>
              <w:bottom w:val="double" w:sz="6" w:space="0" w:color="000000"/>
            </w:tcBorders>
          </w:tcPr>
          <w:p>
            <w:pPr>
              <w:pStyle w:val="TableParagraph"/>
              <w:spacing w:line="205" w:lineRule="exact"/>
              <w:ind w:left="197"/>
              <w:jc w:val="center"/>
              <w:rPr>
                <w:sz w:val="20"/>
              </w:rPr>
            </w:pPr>
            <w:r>
              <w:rPr>
                <w:spacing w:val="-10"/>
                <w:sz w:val="20"/>
              </w:rPr>
              <w:t>C</w:t>
            </w:r>
          </w:p>
        </w:tc>
        <w:tc>
          <w:tcPr>
            <w:tcW w:w="1375" w:type="dxa"/>
            <w:tcBorders>
              <w:bottom w:val="double" w:sz="6" w:space="0" w:color="000000"/>
            </w:tcBorders>
          </w:tcPr>
          <w:p>
            <w:pPr>
              <w:pStyle w:val="TableParagraph"/>
              <w:spacing w:line="205" w:lineRule="exact"/>
              <w:ind w:right="128"/>
              <w:jc w:val="right"/>
              <w:rPr>
                <w:sz w:val="20"/>
              </w:rPr>
            </w:pPr>
            <w:r>
              <w:rPr>
                <w:spacing w:val="-2"/>
                <w:sz w:val="20"/>
              </w:rPr>
              <w:t>0.648582</w:t>
            </w:r>
          </w:p>
        </w:tc>
        <w:tc>
          <w:tcPr>
            <w:tcW w:w="1432" w:type="dxa"/>
            <w:tcBorders>
              <w:bottom w:val="double" w:sz="6" w:space="0" w:color="000000"/>
            </w:tcBorders>
          </w:tcPr>
          <w:p>
            <w:pPr>
              <w:pStyle w:val="TableParagraph"/>
              <w:spacing w:line="205" w:lineRule="exact"/>
              <w:ind w:left="311"/>
              <w:rPr>
                <w:sz w:val="20"/>
              </w:rPr>
            </w:pPr>
            <w:r>
              <w:rPr>
                <w:spacing w:val="-2"/>
                <w:sz w:val="20"/>
              </w:rPr>
              <w:t>0.693985</w:t>
            </w:r>
          </w:p>
        </w:tc>
        <w:tc>
          <w:tcPr>
            <w:tcW w:w="936" w:type="dxa"/>
            <w:tcBorders>
              <w:bottom w:val="double" w:sz="6" w:space="0" w:color="000000"/>
            </w:tcBorders>
          </w:tcPr>
          <w:p>
            <w:pPr>
              <w:pStyle w:val="TableParagraph"/>
              <w:spacing w:line="205" w:lineRule="exact"/>
              <w:ind w:right="110"/>
              <w:jc w:val="right"/>
              <w:rPr>
                <w:sz w:val="20"/>
              </w:rPr>
            </w:pPr>
            <w:r>
              <w:rPr>
                <w:spacing w:val="-2"/>
                <w:sz w:val="20"/>
              </w:rPr>
              <w:t>0.934575</w:t>
            </w:r>
          </w:p>
        </w:tc>
        <w:tc>
          <w:tcPr>
            <w:tcW w:w="896" w:type="dxa"/>
            <w:tcBorders>
              <w:bottom w:val="double" w:sz="6" w:space="0" w:color="000000"/>
            </w:tcBorders>
          </w:tcPr>
          <w:p>
            <w:pPr>
              <w:pStyle w:val="TableParagraph"/>
              <w:spacing w:line="205" w:lineRule="exact"/>
              <w:ind w:right="26"/>
              <w:jc w:val="right"/>
              <w:rPr>
                <w:sz w:val="20"/>
              </w:rPr>
            </w:pPr>
            <w:r>
              <w:rPr>
                <w:spacing w:val="-2"/>
                <w:sz w:val="20"/>
              </w:rPr>
              <w:t>0.3561</w:t>
            </w:r>
          </w:p>
        </w:tc>
      </w:tr>
      <w:tr>
        <w:trPr>
          <w:trHeight w:val="275" w:hRule="atLeast"/>
        </w:trPr>
        <w:tc>
          <w:tcPr>
            <w:tcW w:w="1847" w:type="dxa"/>
            <w:tcBorders>
              <w:top w:val="double" w:sz="6" w:space="0" w:color="000000"/>
            </w:tcBorders>
          </w:tcPr>
          <w:p>
            <w:pPr>
              <w:pStyle w:val="TableParagraph"/>
              <w:spacing w:line="215" w:lineRule="exact" w:before="40"/>
              <w:ind w:left="36"/>
              <w:rPr>
                <w:sz w:val="20"/>
              </w:rPr>
            </w:pPr>
            <w:r>
              <w:rPr>
                <w:spacing w:val="-2"/>
                <w:sz w:val="20"/>
              </w:rPr>
              <w:t>R-squared</w:t>
            </w:r>
          </w:p>
        </w:tc>
        <w:tc>
          <w:tcPr>
            <w:tcW w:w="1375" w:type="dxa"/>
            <w:tcBorders>
              <w:top w:val="double" w:sz="6" w:space="0" w:color="000000"/>
            </w:tcBorders>
          </w:tcPr>
          <w:p>
            <w:pPr>
              <w:pStyle w:val="TableParagraph"/>
              <w:spacing w:line="215" w:lineRule="exact" w:before="40"/>
              <w:ind w:right="128"/>
              <w:jc w:val="right"/>
              <w:rPr>
                <w:sz w:val="20"/>
              </w:rPr>
            </w:pPr>
            <w:r>
              <w:rPr>
                <w:spacing w:val="-2"/>
                <w:sz w:val="20"/>
              </w:rPr>
              <w:t>0.156762</w:t>
            </w:r>
          </w:p>
        </w:tc>
        <w:tc>
          <w:tcPr>
            <w:tcW w:w="2368" w:type="dxa"/>
            <w:gridSpan w:val="2"/>
            <w:tcBorders>
              <w:top w:val="double" w:sz="6" w:space="0" w:color="000000"/>
            </w:tcBorders>
          </w:tcPr>
          <w:p>
            <w:pPr>
              <w:pStyle w:val="TableParagraph"/>
              <w:spacing w:line="215" w:lineRule="exact" w:before="40"/>
              <w:ind w:left="131"/>
              <w:rPr>
                <w:sz w:val="20"/>
              </w:rPr>
            </w:pPr>
            <w:r>
              <w:rPr>
                <w:sz w:val="20"/>
              </w:rPr>
              <w:t>Mean</w:t>
            </w:r>
            <w:r>
              <w:rPr>
                <w:spacing w:val="-7"/>
                <w:sz w:val="20"/>
              </w:rPr>
              <w:t> </w:t>
            </w:r>
            <w:r>
              <w:rPr>
                <w:sz w:val="20"/>
              </w:rPr>
              <w:t>dependent</w:t>
            </w:r>
            <w:r>
              <w:rPr>
                <w:spacing w:val="-7"/>
                <w:sz w:val="20"/>
              </w:rPr>
              <w:t> </w:t>
            </w:r>
            <w:r>
              <w:rPr>
                <w:spacing w:val="-5"/>
                <w:sz w:val="20"/>
              </w:rPr>
              <w:t>var</w:t>
            </w:r>
          </w:p>
        </w:tc>
        <w:tc>
          <w:tcPr>
            <w:tcW w:w="896" w:type="dxa"/>
            <w:tcBorders>
              <w:top w:val="double" w:sz="6" w:space="0" w:color="000000"/>
            </w:tcBorders>
          </w:tcPr>
          <w:p>
            <w:pPr>
              <w:pStyle w:val="TableParagraph"/>
              <w:spacing w:line="215" w:lineRule="exact" w:before="40"/>
              <w:ind w:right="26"/>
              <w:jc w:val="right"/>
              <w:rPr>
                <w:sz w:val="20"/>
              </w:rPr>
            </w:pPr>
            <w:r>
              <w:rPr>
                <w:spacing w:val="-2"/>
                <w:sz w:val="20"/>
              </w:rPr>
              <w:t>0.224282</w:t>
            </w:r>
          </w:p>
        </w:tc>
      </w:tr>
      <w:tr>
        <w:trPr>
          <w:trHeight w:val="230" w:hRule="atLeast"/>
        </w:trPr>
        <w:tc>
          <w:tcPr>
            <w:tcW w:w="1847" w:type="dxa"/>
          </w:tcPr>
          <w:p>
            <w:pPr>
              <w:pStyle w:val="TableParagraph"/>
              <w:spacing w:line="210" w:lineRule="exact"/>
              <w:ind w:left="36"/>
              <w:rPr>
                <w:sz w:val="20"/>
              </w:rPr>
            </w:pPr>
            <w:r>
              <w:rPr>
                <w:sz w:val="20"/>
              </w:rPr>
              <w:t>Adjusted</w:t>
            </w:r>
            <w:r>
              <w:rPr>
                <w:spacing w:val="-10"/>
                <w:sz w:val="20"/>
              </w:rPr>
              <w:t> </w:t>
            </w:r>
            <w:r>
              <w:rPr>
                <w:sz w:val="20"/>
              </w:rPr>
              <w:t>R-</w:t>
            </w:r>
            <w:r>
              <w:rPr>
                <w:spacing w:val="-2"/>
                <w:sz w:val="20"/>
              </w:rPr>
              <w:t>squared</w:t>
            </w:r>
          </w:p>
        </w:tc>
        <w:tc>
          <w:tcPr>
            <w:tcW w:w="1375" w:type="dxa"/>
          </w:tcPr>
          <w:p>
            <w:pPr>
              <w:pStyle w:val="TableParagraph"/>
              <w:spacing w:line="210" w:lineRule="exact"/>
              <w:ind w:right="128"/>
              <w:jc w:val="right"/>
              <w:rPr>
                <w:sz w:val="20"/>
              </w:rPr>
            </w:pPr>
            <w:r>
              <w:rPr>
                <w:spacing w:val="-2"/>
                <w:sz w:val="20"/>
              </w:rPr>
              <w:t>0.111181</w:t>
            </w:r>
          </w:p>
        </w:tc>
        <w:tc>
          <w:tcPr>
            <w:tcW w:w="2368" w:type="dxa"/>
            <w:gridSpan w:val="2"/>
          </w:tcPr>
          <w:p>
            <w:pPr>
              <w:pStyle w:val="TableParagraph"/>
              <w:spacing w:line="210" w:lineRule="exact"/>
              <w:ind w:left="131"/>
              <w:rPr>
                <w:sz w:val="20"/>
              </w:rPr>
            </w:pPr>
            <w:r>
              <w:rPr>
                <w:sz w:val="20"/>
              </w:rPr>
              <w:t>S.D.</w:t>
            </w:r>
            <w:r>
              <w:rPr>
                <w:spacing w:val="-5"/>
                <w:sz w:val="20"/>
              </w:rPr>
              <w:t> </w:t>
            </w:r>
            <w:r>
              <w:rPr>
                <w:sz w:val="20"/>
              </w:rPr>
              <w:t>dependent</w:t>
            </w:r>
            <w:r>
              <w:rPr>
                <w:spacing w:val="-6"/>
                <w:sz w:val="20"/>
              </w:rPr>
              <w:t> </w:t>
            </w:r>
            <w:r>
              <w:rPr>
                <w:spacing w:val="-5"/>
                <w:sz w:val="20"/>
              </w:rPr>
              <w:t>var</w:t>
            </w:r>
          </w:p>
        </w:tc>
        <w:tc>
          <w:tcPr>
            <w:tcW w:w="896" w:type="dxa"/>
          </w:tcPr>
          <w:p>
            <w:pPr>
              <w:pStyle w:val="TableParagraph"/>
              <w:spacing w:line="210" w:lineRule="exact"/>
              <w:ind w:right="26"/>
              <w:jc w:val="right"/>
              <w:rPr>
                <w:sz w:val="20"/>
              </w:rPr>
            </w:pPr>
            <w:r>
              <w:rPr>
                <w:spacing w:val="-2"/>
                <w:sz w:val="20"/>
              </w:rPr>
              <w:t>1.082166</w:t>
            </w:r>
          </w:p>
        </w:tc>
      </w:tr>
      <w:tr>
        <w:trPr>
          <w:trHeight w:val="230" w:hRule="atLeast"/>
        </w:trPr>
        <w:tc>
          <w:tcPr>
            <w:tcW w:w="1847" w:type="dxa"/>
          </w:tcPr>
          <w:p>
            <w:pPr>
              <w:pStyle w:val="TableParagraph"/>
              <w:spacing w:line="210" w:lineRule="exact"/>
              <w:ind w:left="36"/>
              <w:rPr>
                <w:sz w:val="20"/>
              </w:rPr>
            </w:pPr>
            <w:r>
              <w:rPr>
                <w:sz w:val="20"/>
              </w:rPr>
              <w:t>S.E.</w:t>
            </w:r>
            <w:r>
              <w:rPr>
                <w:spacing w:val="-3"/>
                <w:sz w:val="20"/>
              </w:rPr>
              <w:t> </w:t>
            </w:r>
            <w:r>
              <w:rPr>
                <w:sz w:val="20"/>
              </w:rPr>
              <w:t>of</w:t>
            </w:r>
            <w:r>
              <w:rPr>
                <w:spacing w:val="-3"/>
                <w:sz w:val="20"/>
              </w:rPr>
              <w:t> </w:t>
            </w:r>
            <w:r>
              <w:rPr>
                <w:spacing w:val="-2"/>
                <w:sz w:val="20"/>
              </w:rPr>
              <w:t>regression</w:t>
            </w:r>
          </w:p>
        </w:tc>
        <w:tc>
          <w:tcPr>
            <w:tcW w:w="1375" w:type="dxa"/>
          </w:tcPr>
          <w:p>
            <w:pPr>
              <w:pStyle w:val="TableParagraph"/>
              <w:spacing w:line="210" w:lineRule="exact"/>
              <w:ind w:right="128"/>
              <w:jc w:val="right"/>
              <w:rPr>
                <w:sz w:val="20"/>
              </w:rPr>
            </w:pPr>
            <w:r>
              <w:rPr>
                <w:spacing w:val="-2"/>
                <w:sz w:val="20"/>
              </w:rPr>
              <w:t>1.020236</w:t>
            </w:r>
          </w:p>
        </w:tc>
        <w:tc>
          <w:tcPr>
            <w:tcW w:w="2368" w:type="dxa"/>
            <w:gridSpan w:val="2"/>
          </w:tcPr>
          <w:p>
            <w:pPr>
              <w:pStyle w:val="TableParagraph"/>
              <w:spacing w:line="210" w:lineRule="exact"/>
              <w:ind w:left="131"/>
              <w:rPr>
                <w:sz w:val="20"/>
              </w:rPr>
            </w:pPr>
            <w:r>
              <w:rPr>
                <w:sz w:val="20"/>
              </w:rPr>
              <w:t>Akaike</w:t>
            </w:r>
            <w:r>
              <w:rPr>
                <w:spacing w:val="-8"/>
                <w:sz w:val="20"/>
              </w:rPr>
              <w:t> </w:t>
            </w:r>
            <w:r>
              <w:rPr>
                <w:sz w:val="20"/>
              </w:rPr>
              <w:t>info</w:t>
            </w:r>
            <w:r>
              <w:rPr>
                <w:spacing w:val="-7"/>
                <w:sz w:val="20"/>
              </w:rPr>
              <w:t> </w:t>
            </w:r>
            <w:r>
              <w:rPr>
                <w:spacing w:val="-2"/>
                <w:sz w:val="20"/>
              </w:rPr>
              <w:t>criterion</w:t>
            </w:r>
          </w:p>
        </w:tc>
        <w:tc>
          <w:tcPr>
            <w:tcW w:w="896" w:type="dxa"/>
          </w:tcPr>
          <w:p>
            <w:pPr>
              <w:pStyle w:val="TableParagraph"/>
              <w:spacing w:line="210" w:lineRule="exact"/>
              <w:ind w:right="26"/>
              <w:jc w:val="right"/>
              <w:rPr>
                <w:sz w:val="20"/>
              </w:rPr>
            </w:pPr>
            <w:r>
              <w:rPr>
                <w:spacing w:val="-2"/>
                <w:sz w:val="20"/>
              </w:rPr>
              <w:t>2.949983</w:t>
            </w:r>
          </w:p>
        </w:tc>
      </w:tr>
      <w:tr>
        <w:trPr>
          <w:trHeight w:val="230" w:hRule="atLeast"/>
        </w:trPr>
        <w:tc>
          <w:tcPr>
            <w:tcW w:w="1847" w:type="dxa"/>
          </w:tcPr>
          <w:p>
            <w:pPr>
              <w:pStyle w:val="TableParagraph"/>
              <w:spacing w:line="210" w:lineRule="exact"/>
              <w:ind w:left="36"/>
              <w:rPr>
                <w:sz w:val="20"/>
              </w:rPr>
            </w:pPr>
            <w:r>
              <w:rPr>
                <w:sz w:val="20"/>
              </w:rPr>
              <w:t>Sum</w:t>
            </w:r>
            <w:r>
              <w:rPr>
                <w:spacing w:val="-8"/>
                <w:sz w:val="20"/>
              </w:rPr>
              <w:t> </w:t>
            </w:r>
            <w:r>
              <w:rPr>
                <w:sz w:val="20"/>
              </w:rPr>
              <w:t>squared</w:t>
            </w:r>
            <w:r>
              <w:rPr>
                <w:spacing w:val="-4"/>
                <w:sz w:val="20"/>
              </w:rPr>
              <w:t> </w:t>
            </w:r>
            <w:r>
              <w:rPr>
                <w:spacing w:val="-2"/>
                <w:sz w:val="20"/>
              </w:rPr>
              <w:t>resid</w:t>
            </w:r>
          </w:p>
        </w:tc>
        <w:tc>
          <w:tcPr>
            <w:tcW w:w="1375" w:type="dxa"/>
          </w:tcPr>
          <w:p>
            <w:pPr>
              <w:pStyle w:val="TableParagraph"/>
              <w:spacing w:line="210" w:lineRule="exact"/>
              <w:ind w:right="128"/>
              <w:jc w:val="right"/>
              <w:rPr>
                <w:sz w:val="20"/>
              </w:rPr>
            </w:pPr>
            <w:r>
              <w:rPr>
                <w:spacing w:val="-2"/>
                <w:sz w:val="20"/>
              </w:rPr>
              <w:t>38.51260</w:t>
            </w:r>
          </w:p>
        </w:tc>
        <w:tc>
          <w:tcPr>
            <w:tcW w:w="2368" w:type="dxa"/>
            <w:gridSpan w:val="2"/>
          </w:tcPr>
          <w:p>
            <w:pPr>
              <w:pStyle w:val="TableParagraph"/>
              <w:spacing w:line="210" w:lineRule="exact"/>
              <w:ind w:left="131"/>
              <w:rPr>
                <w:sz w:val="20"/>
              </w:rPr>
            </w:pPr>
            <w:r>
              <w:rPr>
                <w:sz w:val="20"/>
              </w:rPr>
              <w:t>Schwarz</w:t>
            </w:r>
            <w:r>
              <w:rPr>
                <w:spacing w:val="-8"/>
                <w:sz w:val="20"/>
              </w:rPr>
              <w:t> </w:t>
            </w:r>
            <w:r>
              <w:rPr>
                <w:spacing w:val="-2"/>
                <w:sz w:val="20"/>
              </w:rPr>
              <w:t>criterion</w:t>
            </w:r>
          </w:p>
        </w:tc>
        <w:tc>
          <w:tcPr>
            <w:tcW w:w="896" w:type="dxa"/>
          </w:tcPr>
          <w:p>
            <w:pPr>
              <w:pStyle w:val="TableParagraph"/>
              <w:spacing w:line="210" w:lineRule="exact"/>
              <w:ind w:right="26"/>
              <w:jc w:val="right"/>
              <w:rPr>
                <w:sz w:val="20"/>
              </w:rPr>
            </w:pPr>
            <w:r>
              <w:rPr>
                <w:spacing w:val="-2"/>
                <w:sz w:val="20"/>
              </w:rPr>
              <w:t>3.076649</w:t>
            </w:r>
          </w:p>
        </w:tc>
      </w:tr>
      <w:tr>
        <w:trPr>
          <w:trHeight w:val="229" w:hRule="atLeast"/>
        </w:trPr>
        <w:tc>
          <w:tcPr>
            <w:tcW w:w="1847" w:type="dxa"/>
          </w:tcPr>
          <w:p>
            <w:pPr>
              <w:pStyle w:val="TableParagraph"/>
              <w:spacing w:line="209" w:lineRule="exact"/>
              <w:ind w:left="36"/>
              <w:rPr>
                <w:sz w:val="20"/>
              </w:rPr>
            </w:pPr>
            <w:r>
              <w:rPr>
                <w:sz w:val="20"/>
              </w:rPr>
              <w:t>Log</w:t>
            </w:r>
            <w:r>
              <w:rPr>
                <w:spacing w:val="-6"/>
                <w:sz w:val="20"/>
              </w:rPr>
              <w:t> </w:t>
            </w:r>
            <w:r>
              <w:rPr>
                <w:spacing w:val="-2"/>
                <w:sz w:val="20"/>
              </w:rPr>
              <w:t>likelihood</w:t>
            </w:r>
          </w:p>
        </w:tc>
        <w:tc>
          <w:tcPr>
            <w:tcW w:w="1375" w:type="dxa"/>
          </w:tcPr>
          <w:p>
            <w:pPr>
              <w:pStyle w:val="TableParagraph"/>
              <w:spacing w:line="209" w:lineRule="exact"/>
              <w:ind w:right="128"/>
              <w:jc w:val="right"/>
              <w:rPr>
                <w:sz w:val="20"/>
              </w:rPr>
            </w:pPr>
            <w:r>
              <w:rPr>
                <w:spacing w:val="-4"/>
                <w:sz w:val="20"/>
              </w:rPr>
              <w:t>-</w:t>
            </w:r>
            <w:r>
              <w:rPr>
                <w:spacing w:val="-2"/>
                <w:sz w:val="20"/>
              </w:rPr>
              <w:t>55.99966</w:t>
            </w:r>
          </w:p>
        </w:tc>
        <w:tc>
          <w:tcPr>
            <w:tcW w:w="1432" w:type="dxa"/>
          </w:tcPr>
          <w:p>
            <w:pPr>
              <w:pStyle w:val="TableParagraph"/>
              <w:spacing w:line="209" w:lineRule="exact"/>
              <w:ind w:left="131"/>
              <w:rPr>
                <w:sz w:val="20"/>
              </w:rPr>
            </w:pPr>
            <w:r>
              <w:rPr>
                <w:spacing w:val="-4"/>
                <w:sz w:val="20"/>
              </w:rPr>
              <w:t>F-</w:t>
            </w:r>
            <w:r>
              <w:rPr>
                <w:spacing w:val="-2"/>
                <w:sz w:val="20"/>
              </w:rPr>
              <w:t>statistic</w:t>
            </w:r>
          </w:p>
        </w:tc>
        <w:tc>
          <w:tcPr>
            <w:tcW w:w="936" w:type="dxa"/>
          </w:tcPr>
          <w:p>
            <w:pPr>
              <w:pStyle w:val="TableParagraph"/>
              <w:rPr>
                <w:sz w:val="16"/>
              </w:rPr>
            </w:pPr>
          </w:p>
        </w:tc>
        <w:tc>
          <w:tcPr>
            <w:tcW w:w="896" w:type="dxa"/>
          </w:tcPr>
          <w:p>
            <w:pPr>
              <w:pStyle w:val="TableParagraph"/>
              <w:spacing w:line="209" w:lineRule="exact"/>
              <w:ind w:right="26"/>
              <w:jc w:val="right"/>
              <w:rPr>
                <w:sz w:val="20"/>
              </w:rPr>
            </w:pPr>
            <w:r>
              <w:rPr>
                <w:spacing w:val="-2"/>
                <w:sz w:val="20"/>
              </w:rPr>
              <w:t>3.439237</w:t>
            </w:r>
          </w:p>
        </w:tc>
      </w:tr>
      <w:tr>
        <w:trPr>
          <w:trHeight w:val="266" w:hRule="atLeast"/>
        </w:trPr>
        <w:tc>
          <w:tcPr>
            <w:tcW w:w="1847" w:type="dxa"/>
            <w:tcBorders>
              <w:bottom w:val="double" w:sz="6" w:space="0" w:color="000000"/>
            </w:tcBorders>
          </w:tcPr>
          <w:p>
            <w:pPr>
              <w:pStyle w:val="TableParagraph"/>
              <w:spacing w:line="224" w:lineRule="exact"/>
              <w:ind w:left="36"/>
              <w:rPr>
                <w:sz w:val="20"/>
              </w:rPr>
            </w:pPr>
            <w:r>
              <w:rPr>
                <w:sz w:val="20"/>
              </w:rPr>
              <w:t>Durbin-Watson</w:t>
            </w:r>
            <w:r>
              <w:rPr>
                <w:spacing w:val="-12"/>
                <w:sz w:val="20"/>
              </w:rPr>
              <w:t> </w:t>
            </w:r>
            <w:r>
              <w:rPr>
                <w:spacing w:val="-4"/>
                <w:sz w:val="20"/>
              </w:rPr>
              <w:t>stat</w:t>
            </w:r>
          </w:p>
        </w:tc>
        <w:tc>
          <w:tcPr>
            <w:tcW w:w="1375" w:type="dxa"/>
          </w:tcPr>
          <w:p>
            <w:pPr>
              <w:pStyle w:val="TableParagraph"/>
              <w:spacing w:line="224" w:lineRule="exact"/>
              <w:ind w:right="128"/>
              <w:jc w:val="right"/>
              <w:rPr>
                <w:sz w:val="20"/>
              </w:rPr>
            </w:pPr>
            <w:r>
              <w:rPr>
                <w:spacing w:val="-2"/>
                <w:sz w:val="20"/>
              </w:rPr>
              <w:t>2.301253</w:t>
            </w:r>
          </w:p>
        </w:tc>
        <w:tc>
          <w:tcPr>
            <w:tcW w:w="1432" w:type="dxa"/>
            <w:tcBorders>
              <w:bottom w:val="double" w:sz="6" w:space="0" w:color="000000"/>
            </w:tcBorders>
          </w:tcPr>
          <w:p>
            <w:pPr>
              <w:pStyle w:val="TableParagraph"/>
              <w:spacing w:line="224" w:lineRule="exact"/>
              <w:ind w:left="131"/>
              <w:rPr>
                <w:sz w:val="20"/>
              </w:rPr>
            </w:pPr>
            <w:r>
              <w:rPr>
                <w:spacing w:val="-2"/>
                <w:sz w:val="20"/>
              </w:rPr>
              <w:t>Prob(F-statistic)</w:t>
            </w:r>
          </w:p>
        </w:tc>
        <w:tc>
          <w:tcPr>
            <w:tcW w:w="936" w:type="dxa"/>
            <w:tcBorders>
              <w:bottom w:val="single" w:sz="6" w:space="0" w:color="000000"/>
            </w:tcBorders>
          </w:tcPr>
          <w:p>
            <w:pPr>
              <w:pStyle w:val="TableParagraph"/>
              <w:rPr>
                <w:sz w:val="18"/>
              </w:rPr>
            </w:pPr>
          </w:p>
        </w:tc>
        <w:tc>
          <w:tcPr>
            <w:tcW w:w="896" w:type="dxa"/>
            <w:tcBorders>
              <w:bottom w:val="double" w:sz="6" w:space="0" w:color="000000"/>
            </w:tcBorders>
          </w:tcPr>
          <w:p>
            <w:pPr>
              <w:pStyle w:val="TableParagraph"/>
              <w:spacing w:line="224" w:lineRule="exact"/>
              <w:ind w:right="26"/>
              <w:jc w:val="right"/>
              <w:rPr>
                <w:sz w:val="20"/>
              </w:rPr>
            </w:pPr>
            <w:r>
              <w:rPr>
                <w:spacing w:val="-2"/>
                <w:sz w:val="20"/>
              </w:rPr>
              <w:t>0.042666</w:t>
            </w:r>
          </w:p>
        </w:tc>
      </w:tr>
    </w:tbl>
    <w:p>
      <w:pPr>
        <w:spacing w:after="0" w:line="224" w:lineRule="exact"/>
        <w:jc w:val="right"/>
        <w:rPr>
          <w:sz w:val="20"/>
        </w:rPr>
        <w:sectPr>
          <w:type w:val="continuous"/>
          <w:pgSz w:w="11910" w:h="16840"/>
          <w:pgMar w:header="0" w:footer="979" w:top="1420" w:bottom="1240" w:left="280" w:right="0"/>
        </w:sectPr>
      </w:pPr>
    </w:p>
    <w:p>
      <w:pPr>
        <w:spacing w:before="73"/>
        <w:ind w:left="711" w:right="0" w:firstLine="0"/>
        <w:jc w:val="left"/>
        <w:rPr>
          <w:sz w:val="20"/>
        </w:rPr>
      </w:pPr>
      <w:r>
        <w:rPr>
          <w:sz w:val="20"/>
        </w:rPr>
        <w:t>KFW</w:t>
      </w:r>
      <w:r>
        <w:rPr>
          <w:spacing w:val="-3"/>
          <w:sz w:val="20"/>
        </w:rPr>
        <w:t> </w:t>
      </w:r>
      <w:r>
        <w:rPr>
          <w:sz w:val="20"/>
        </w:rPr>
        <w:t>@</w:t>
      </w:r>
      <w:r>
        <w:rPr>
          <w:spacing w:val="-4"/>
          <w:sz w:val="20"/>
        </w:rPr>
        <w:t> </w:t>
      </w:r>
      <w:r>
        <w:rPr>
          <w:sz w:val="20"/>
        </w:rPr>
        <w:t>1</w:t>
      </w:r>
      <w:r>
        <w:rPr>
          <w:sz w:val="20"/>
          <w:vertAlign w:val="superscript"/>
        </w:rPr>
        <w:t>ST</w:t>
      </w:r>
      <w:r>
        <w:rPr>
          <w:spacing w:val="-1"/>
          <w:sz w:val="20"/>
          <w:vertAlign w:val="baseline"/>
        </w:rPr>
        <w:t> </w:t>
      </w:r>
      <w:r>
        <w:rPr>
          <w:spacing w:val="-4"/>
          <w:sz w:val="20"/>
          <w:vertAlign w:val="baseline"/>
        </w:rPr>
        <w:t>DIFF</w:t>
      </w:r>
    </w:p>
    <w:tbl>
      <w:tblPr>
        <w:tblW w:w="0" w:type="auto"/>
        <w:jc w:val="left"/>
        <w:tblInd w:w="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47"/>
        <w:gridCol w:w="1375"/>
        <w:gridCol w:w="1432"/>
        <w:gridCol w:w="904"/>
        <w:gridCol w:w="929"/>
      </w:tblGrid>
      <w:tr>
        <w:trPr>
          <w:trHeight w:val="225" w:hRule="atLeast"/>
        </w:trPr>
        <w:tc>
          <w:tcPr>
            <w:tcW w:w="1847" w:type="dxa"/>
          </w:tcPr>
          <w:p>
            <w:pPr>
              <w:pStyle w:val="TableParagraph"/>
              <w:spacing w:line="205" w:lineRule="exact"/>
              <w:ind w:left="36"/>
              <w:rPr>
                <w:sz w:val="20"/>
              </w:rPr>
            </w:pPr>
            <w:r>
              <w:rPr>
                <w:sz w:val="20"/>
              </w:rPr>
              <w:t>ADF</w:t>
            </w:r>
            <w:r>
              <w:rPr>
                <w:spacing w:val="-4"/>
                <w:sz w:val="20"/>
              </w:rPr>
              <w:t> </w:t>
            </w:r>
            <w:r>
              <w:rPr>
                <w:sz w:val="20"/>
              </w:rPr>
              <w:t>Test</w:t>
            </w:r>
            <w:r>
              <w:rPr>
                <w:spacing w:val="-4"/>
                <w:sz w:val="20"/>
              </w:rPr>
              <w:t> </w:t>
            </w:r>
            <w:r>
              <w:rPr>
                <w:spacing w:val="-2"/>
                <w:sz w:val="20"/>
              </w:rPr>
              <w:t>Statistic</w:t>
            </w:r>
          </w:p>
        </w:tc>
        <w:tc>
          <w:tcPr>
            <w:tcW w:w="1375" w:type="dxa"/>
          </w:tcPr>
          <w:p>
            <w:pPr>
              <w:pStyle w:val="TableParagraph"/>
              <w:spacing w:line="205" w:lineRule="exact"/>
              <w:ind w:left="219"/>
              <w:rPr>
                <w:sz w:val="20"/>
              </w:rPr>
            </w:pPr>
            <w:r>
              <w:rPr>
                <w:spacing w:val="-4"/>
                <w:sz w:val="20"/>
              </w:rPr>
              <w:t>-</w:t>
            </w:r>
            <w:r>
              <w:rPr>
                <w:spacing w:val="-2"/>
                <w:sz w:val="20"/>
              </w:rPr>
              <w:t>7.876181</w:t>
            </w:r>
          </w:p>
        </w:tc>
        <w:tc>
          <w:tcPr>
            <w:tcW w:w="2336" w:type="dxa"/>
            <w:gridSpan w:val="2"/>
          </w:tcPr>
          <w:p>
            <w:pPr>
              <w:pStyle w:val="TableParagraph"/>
              <w:spacing w:line="205" w:lineRule="exact"/>
              <w:ind w:left="131"/>
              <w:rPr>
                <w:sz w:val="20"/>
              </w:rPr>
            </w:pPr>
            <w:r>
              <w:rPr>
                <w:sz w:val="20"/>
              </w:rPr>
              <w:t>1%</w:t>
            </w:r>
            <w:r>
              <w:rPr>
                <w:spacing w:val="68"/>
                <w:w w:val="150"/>
                <w:sz w:val="20"/>
              </w:rPr>
              <w:t> </w:t>
            </w:r>
            <w:r>
              <w:rPr>
                <w:sz w:val="20"/>
              </w:rPr>
              <w:t>Critical</w:t>
            </w:r>
            <w:r>
              <w:rPr>
                <w:spacing w:val="-2"/>
                <w:sz w:val="20"/>
              </w:rPr>
              <w:t> Value*</w:t>
            </w:r>
          </w:p>
        </w:tc>
        <w:tc>
          <w:tcPr>
            <w:tcW w:w="929" w:type="dxa"/>
          </w:tcPr>
          <w:p>
            <w:pPr>
              <w:pStyle w:val="TableParagraph"/>
              <w:spacing w:line="205" w:lineRule="exact"/>
              <w:ind w:right="27"/>
              <w:jc w:val="right"/>
              <w:rPr>
                <w:sz w:val="20"/>
              </w:rPr>
            </w:pPr>
            <w:r>
              <w:rPr>
                <w:spacing w:val="-4"/>
                <w:sz w:val="20"/>
              </w:rPr>
              <w:t>-</w:t>
            </w:r>
            <w:r>
              <w:rPr>
                <w:spacing w:val="-2"/>
                <w:sz w:val="20"/>
              </w:rPr>
              <w:t>3.6067</w:t>
            </w:r>
          </w:p>
        </w:tc>
      </w:tr>
      <w:tr>
        <w:trPr>
          <w:trHeight w:val="230" w:hRule="atLeast"/>
        </w:trPr>
        <w:tc>
          <w:tcPr>
            <w:tcW w:w="1847" w:type="dxa"/>
          </w:tcPr>
          <w:p>
            <w:pPr>
              <w:pStyle w:val="TableParagraph"/>
              <w:rPr>
                <w:sz w:val="16"/>
              </w:rPr>
            </w:pPr>
          </w:p>
        </w:tc>
        <w:tc>
          <w:tcPr>
            <w:tcW w:w="1375" w:type="dxa"/>
          </w:tcPr>
          <w:p>
            <w:pPr>
              <w:pStyle w:val="TableParagraph"/>
              <w:rPr>
                <w:sz w:val="16"/>
              </w:rPr>
            </w:pPr>
          </w:p>
        </w:tc>
        <w:tc>
          <w:tcPr>
            <w:tcW w:w="2336" w:type="dxa"/>
            <w:gridSpan w:val="2"/>
          </w:tcPr>
          <w:p>
            <w:pPr>
              <w:pStyle w:val="TableParagraph"/>
              <w:spacing w:line="210" w:lineRule="exact"/>
              <w:ind w:left="131"/>
              <w:rPr>
                <w:sz w:val="20"/>
              </w:rPr>
            </w:pPr>
            <w:r>
              <w:rPr>
                <w:sz w:val="20"/>
              </w:rPr>
              <w:t>5%</w:t>
            </w:r>
            <w:r>
              <w:rPr>
                <w:spacing w:val="68"/>
                <w:w w:val="150"/>
                <w:sz w:val="20"/>
              </w:rPr>
              <w:t> </w:t>
            </w:r>
            <w:r>
              <w:rPr>
                <w:sz w:val="20"/>
              </w:rPr>
              <w:t>Critical</w:t>
            </w:r>
            <w:r>
              <w:rPr>
                <w:spacing w:val="-2"/>
                <w:sz w:val="20"/>
              </w:rPr>
              <w:t> </w:t>
            </w:r>
            <w:r>
              <w:rPr>
                <w:spacing w:val="-4"/>
                <w:sz w:val="20"/>
              </w:rPr>
              <w:t>Value</w:t>
            </w:r>
          </w:p>
        </w:tc>
        <w:tc>
          <w:tcPr>
            <w:tcW w:w="929" w:type="dxa"/>
          </w:tcPr>
          <w:p>
            <w:pPr>
              <w:pStyle w:val="TableParagraph"/>
              <w:spacing w:line="210" w:lineRule="exact"/>
              <w:ind w:right="27"/>
              <w:jc w:val="right"/>
              <w:rPr>
                <w:sz w:val="20"/>
              </w:rPr>
            </w:pPr>
            <w:r>
              <w:rPr>
                <w:spacing w:val="-4"/>
                <w:sz w:val="20"/>
              </w:rPr>
              <w:t>-</w:t>
            </w:r>
            <w:r>
              <w:rPr>
                <w:spacing w:val="-2"/>
                <w:sz w:val="20"/>
              </w:rPr>
              <w:t>2.9378</w:t>
            </w:r>
          </w:p>
        </w:tc>
      </w:tr>
      <w:tr>
        <w:trPr>
          <w:trHeight w:val="224" w:hRule="atLeast"/>
        </w:trPr>
        <w:tc>
          <w:tcPr>
            <w:tcW w:w="1847" w:type="dxa"/>
            <w:tcBorders>
              <w:bottom w:val="double" w:sz="6" w:space="0" w:color="000000"/>
            </w:tcBorders>
          </w:tcPr>
          <w:p>
            <w:pPr>
              <w:pStyle w:val="TableParagraph"/>
              <w:rPr>
                <w:sz w:val="16"/>
              </w:rPr>
            </w:pPr>
          </w:p>
        </w:tc>
        <w:tc>
          <w:tcPr>
            <w:tcW w:w="1375" w:type="dxa"/>
            <w:tcBorders>
              <w:bottom w:val="double" w:sz="6" w:space="0" w:color="000000"/>
            </w:tcBorders>
          </w:tcPr>
          <w:p>
            <w:pPr>
              <w:pStyle w:val="TableParagraph"/>
              <w:rPr>
                <w:sz w:val="16"/>
              </w:rPr>
            </w:pPr>
          </w:p>
        </w:tc>
        <w:tc>
          <w:tcPr>
            <w:tcW w:w="2336" w:type="dxa"/>
            <w:gridSpan w:val="2"/>
            <w:tcBorders>
              <w:bottom w:val="double" w:sz="6" w:space="0" w:color="000000"/>
            </w:tcBorders>
          </w:tcPr>
          <w:p>
            <w:pPr>
              <w:pStyle w:val="TableParagraph"/>
              <w:spacing w:line="205" w:lineRule="exact"/>
              <w:ind w:left="131"/>
              <w:rPr>
                <w:sz w:val="20"/>
              </w:rPr>
            </w:pPr>
            <w:r>
              <w:rPr>
                <w:sz w:val="20"/>
              </w:rPr>
              <w:t>10%</w:t>
            </w:r>
            <w:r>
              <w:rPr>
                <w:spacing w:val="-6"/>
                <w:sz w:val="20"/>
              </w:rPr>
              <w:t> </w:t>
            </w:r>
            <w:r>
              <w:rPr>
                <w:sz w:val="20"/>
              </w:rPr>
              <w:t>Critical</w:t>
            </w:r>
            <w:r>
              <w:rPr>
                <w:spacing w:val="-4"/>
                <w:sz w:val="20"/>
              </w:rPr>
              <w:t> </w:t>
            </w:r>
            <w:r>
              <w:rPr>
                <w:spacing w:val="-2"/>
                <w:sz w:val="20"/>
              </w:rPr>
              <w:t>Value</w:t>
            </w:r>
          </w:p>
        </w:tc>
        <w:tc>
          <w:tcPr>
            <w:tcW w:w="929" w:type="dxa"/>
            <w:tcBorders>
              <w:bottom w:val="double" w:sz="6" w:space="0" w:color="000000"/>
            </w:tcBorders>
          </w:tcPr>
          <w:p>
            <w:pPr>
              <w:pStyle w:val="TableParagraph"/>
              <w:spacing w:line="205" w:lineRule="exact"/>
              <w:ind w:right="27"/>
              <w:jc w:val="right"/>
              <w:rPr>
                <w:sz w:val="20"/>
              </w:rPr>
            </w:pPr>
            <w:r>
              <w:rPr>
                <w:spacing w:val="-4"/>
                <w:sz w:val="20"/>
              </w:rPr>
              <w:t>-</w:t>
            </w:r>
            <w:r>
              <w:rPr>
                <w:spacing w:val="-2"/>
                <w:sz w:val="20"/>
              </w:rPr>
              <w:t>2.6069</w:t>
            </w:r>
          </w:p>
        </w:tc>
      </w:tr>
      <w:tr>
        <w:trPr>
          <w:trHeight w:val="505" w:hRule="atLeast"/>
        </w:trPr>
        <w:tc>
          <w:tcPr>
            <w:tcW w:w="6487" w:type="dxa"/>
            <w:gridSpan w:val="5"/>
            <w:tcBorders>
              <w:top w:val="double" w:sz="6" w:space="0" w:color="000000"/>
            </w:tcBorders>
          </w:tcPr>
          <w:p>
            <w:pPr>
              <w:pStyle w:val="TableParagraph"/>
              <w:spacing w:before="40"/>
              <w:ind w:left="36"/>
              <w:rPr>
                <w:sz w:val="20"/>
              </w:rPr>
            </w:pPr>
            <w:r>
              <w:rPr>
                <w:sz w:val="20"/>
              </w:rPr>
              <w:t>*MacKinnon</w:t>
            </w:r>
            <w:r>
              <w:rPr>
                <w:spacing w:val="-6"/>
                <w:sz w:val="20"/>
              </w:rPr>
              <w:t> </w:t>
            </w:r>
            <w:r>
              <w:rPr>
                <w:sz w:val="20"/>
              </w:rPr>
              <w:t>critical</w:t>
            </w:r>
            <w:r>
              <w:rPr>
                <w:spacing w:val="-4"/>
                <w:sz w:val="20"/>
              </w:rPr>
              <w:t> </w:t>
            </w:r>
            <w:r>
              <w:rPr>
                <w:sz w:val="20"/>
              </w:rPr>
              <w:t>values</w:t>
            </w:r>
            <w:r>
              <w:rPr>
                <w:spacing w:val="-6"/>
                <w:sz w:val="20"/>
              </w:rPr>
              <w:t> </w:t>
            </w:r>
            <w:r>
              <w:rPr>
                <w:sz w:val="20"/>
              </w:rPr>
              <w:t>for</w:t>
            </w:r>
            <w:r>
              <w:rPr>
                <w:spacing w:val="-4"/>
                <w:sz w:val="20"/>
              </w:rPr>
              <w:t> </w:t>
            </w:r>
            <w:r>
              <w:rPr>
                <w:sz w:val="20"/>
              </w:rPr>
              <w:t>rejection</w:t>
            </w:r>
            <w:r>
              <w:rPr>
                <w:spacing w:val="-6"/>
                <w:sz w:val="20"/>
              </w:rPr>
              <w:t> </w:t>
            </w:r>
            <w:r>
              <w:rPr>
                <w:sz w:val="20"/>
              </w:rPr>
              <w:t>of</w:t>
            </w:r>
            <w:r>
              <w:rPr>
                <w:spacing w:val="-6"/>
                <w:sz w:val="20"/>
              </w:rPr>
              <w:t> </w:t>
            </w:r>
            <w:r>
              <w:rPr>
                <w:sz w:val="20"/>
              </w:rPr>
              <w:t>hypothesis</w:t>
            </w:r>
            <w:r>
              <w:rPr>
                <w:spacing w:val="-6"/>
                <w:sz w:val="20"/>
              </w:rPr>
              <w:t> </w:t>
            </w:r>
            <w:r>
              <w:rPr>
                <w:sz w:val="20"/>
              </w:rPr>
              <w:t>of</w:t>
            </w:r>
            <w:r>
              <w:rPr>
                <w:spacing w:val="-6"/>
                <w:sz w:val="20"/>
              </w:rPr>
              <w:t> </w:t>
            </w:r>
            <w:r>
              <w:rPr>
                <w:sz w:val="20"/>
              </w:rPr>
              <w:t>a</w:t>
            </w:r>
            <w:r>
              <w:rPr>
                <w:spacing w:val="-4"/>
                <w:sz w:val="20"/>
              </w:rPr>
              <w:t> </w:t>
            </w:r>
            <w:r>
              <w:rPr>
                <w:sz w:val="20"/>
              </w:rPr>
              <w:t>unit</w:t>
            </w:r>
            <w:r>
              <w:rPr>
                <w:spacing w:val="-6"/>
                <w:sz w:val="20"/>
              </w:rPr>
              <w:t> </w:t>
            </w:r>
            <w:r>
              <w:rPr>
                <w:spacing w:val="-2"/>
                <w:sz w:val="20"/>
              </w:rPr>
              <w:t>root.</w:t>
            </w:r>
          </w:p>
        </w:tc>
      </w:tr>
      <w:tr>
        <w:trPr>
          <w:trHeight w:val="460" w:hRule="atLeast"/>
        </w:trPr>
        <w:tc>
          <w:tcPr>
            <w:tcW w:w="6487" w:type="dxa"/>
            <w:gridSpan w:val="5"/>
          </w:tcPr>
          <w:p>
            <w:pPr>
              <w:pStyle w:val="TableParagraph"/>
              <w:spacing w:line="215" w:lineRule="exact" w:before="226"/>
              <w:ind w:left="36"/>
              <w:rPr>
                <w:sz w:val="20"/>
              </w:rPr>
            </w:pPr>
            <w:r>
              <w:rPr>
                <w:sz w:val="20"/>
              </w:rPr>
              <w:t>Augmented</w:t>
            </w:r>
            <w:r>
              <w:rPr>
                <w:spacing w:val="-8"/>
                <w:sz w:val="20"/>
              </w:rPr>
              <w:t> </w:t>
            </w:r>
            <w:r>
              <w:rPr>
                <w:sz w:val="20"/>
              </w:rPr>
              <w:t>Dickey-Fuller</w:t>
            </w:r>
            <w:r>
              <w:rPr>
                <w:spacing w:val="-8"/>
                <w:sz w:val="20"/>
              </w:rPr>
              <w:t> </w:t>
            </w:r>
            <w:r>
              <w:rPr>
                <w:sz w:val="20"/>
              </w:rPr>
              <w:t>Test</w:t>
            </w:r>
            <w:r>
              <w:rPr>
                <w:spacing w:val="-9"/>
                <w:sz w:val="20"/>
              </w:rPr>
              <w:t> </w:t>
            </w:r>
            <w:r>
              <w:rPr>
                <w:spacing w:val="-2"/>
                <w:sz w:val="20"/>
              </w:rPr>
              <w:t>Equation</w:t>
            </w:r>
          </w:p>
        </w:tc>
      </w:tr>
      <w:tr>
        <w:trPr>
          <w:trHeight w:val="229" w:hRule="atLeast"/>
        </w:trPr>
        <w:tc>
          <w:tcPr>
            <w:tcW w:w="6487" w:type="dxa"/>
            <w:gridSpan w:val="5"/>
          </w:tcPr>
          <w:p>
            <w:pPr>
              <w:pStyle w:val="TableParagraph"/>
              <w:spacing w:line="209" w:lineRule="exact"/>
              <w:ind w:left="36"/>
              <w:rPr>
                <w:sz w:val="20"/>
              </w:rPr>
            </w:pPr>
            <w:r>
              <w:rPr>
                <w:sz w:val="20"/>
              </w:rPr>
              <w:t>Dependent</w:t>
            </w:r>
            <w:r>
              <w:rPr>
                <w:spacing w:val="-7"/>
                <w:sz w:val="20"/>
              </w:rPr>
              <w:t> </w:t>
            </w:r>
            <w:r>
              <w:rPr>
                <w:sz w:val="20"/>
              </w:rPr>
              <w:t>Variable:</w:t>
            </w:r>
            <w:r>
              <w:rPr>
                <w:spacing w:val="-7"/>
                <w:sz w:val="20"/>
              </w:rPr>
              <w:t> </w:t>
            </w:r>
            <w:r>
              <w:rPr>
                <w:spacing w:val="-2"/>
                <w:sz w:val="20"/>
              </w:rPr>
              <w:t>D(KFW,2)</w:t>
            </w:r>
          </w:p>
        </w:tc>
      </w:tr>
      <w:tr>
        <w:trPr>
          <w:trHeight w:val="229" w:hRule="atLeast"/>
        </w:trPr>
        <w:tc>
          <w:tcPr>
            <w:tcW w:w="6487" w:type="dxa"/>
            <w:gridSpan w:val="5"/>
          </w:tcPr>
          <w:p>
            <w:pPr>
              <w:pStyle w:val="TableParagraph"/>
              <w:spacing w:line="209" w:lineRule="exact"/>
              <w:ind w:left="36"/>
              <w:rPr>
                <w:sz w:val="20"/>
              </w:rPr>
            </w:pPr>
            <w:r>
              <w:rPr>
                <w:sz w:val="20"/>
              </w:rPr>
              <w:t>Method:</w:t>
            </w:r>
            <w:r>
              <w:rPr>
                <w:spacing w:val="-8"/>
                <w:sz w:val="20"/>
              </w:rPr>
              <w:t> </w:t>
            </w:r>
            <w:r>
              <w:rPr>
                <w:sz w:val="20"/>
              </w:rPr>
              <w:t>Least</w:t>
            </w:r>
            <w:r>
              <w:rPr>
                <w:spacing w:val="-7"/>
                <w:sz w:val="20"/>
              </w:rPr>
              <w:t> </w:t>
            </w:r>
            <w:r>
              <w:rPr>
                <w:spacing w:val="-2"/>
                <w:sz w:val="20"/>
              </w:rPr>
              <w:t>Squares</w:t>
            </w:r>
          </w:p>
        </w:tc>
      </w:tr>
      <w:tr>
        <w:trPr>
          <w:trHeight w:val="230" w:hRule="atLeast"/>
        </w:trPr>
        <w:tc>
          <w:tcPr>
            <w:tcW w:w="6487" w:type="dxa"/>
            <w:gridSpan w:val="5"/>
          </w:tcPr>
          <w:p>
            <w:pPr>
              <w:pStyle w:val="TableParagraph"/>
              <w:spacing w:line="210" w:lineRule="exact"/>
              <w:ind w:left="36"/>
              <w:rPr>
                <w:sz w:val="20"/>
              </w:rPr>
            </w:pPr>
            <w:r>
              <w:rPr>
                <w:sz w:val="20"/>
              </w:rPr>
              <w:t>Date:</w:t>
            </w:r>
            <w:r>
              <w:rPr>
                <w:spacing w:val="-5"/>
                <w:sz w:val="20"/>
              </w:rPr>
              <w:t> </w:t>
            </w:r>
            <w:r>
              <w:rPr>
                <w:sz w:val="20"/>
              </w:rPr>
              <w:t>02/18/14</w:t>
            </w:r>
            <w:r>
              <w:rPr>
                <w:spacing w:val="63"/>
                <w:w w:val="150"/>
                <w:sz w:val="20"/>
              </w:rPr>
              <w:t> </w:t>
            </w:r>
            <w:r>
              <w:rPr>
                <w:sz w:val="20"/>
              </w:rPr>
              <w:t>Time:</w:t>
            </w:r>
            <w:r>
              <w:rPr>
                <w:spacing w:val="-3"/>
                <w:sz w:val="20"/>
              </w:rPr>
              <w:t> </w:t>
            </w:r>
            <w:r>
              <w:rPr>
                <w:spacing w:val="-2"/>
                <w:sz w:val="20"/>
              </w:rPr>
              <w:t>09:12</w:t>
            </w:r>
          </w:p>
        </w:tc>
      </w:tr>
      <w:tr>
        <w:trPr>
          <w:trHeight w:val="230" w:hRule="atLeast"/>
        </w:trPr>
        <w:tc>
          <w:tcPr>
            <w:tcW w:w="6487" w:type="dxa"/>
            <w:gridSpan w:val="5"/>
          </w:tcPr>
          <w:p>
            <w:pPr>
              <w:pStyle w:val="TableParagraph"/>
              <w:spacing w:line="210" w:lineRule="exact"/>
              <w:ind w:left="36"/>
              <w:rPr>
                <w:sz w:val="20"/>
              </w:rPr>
            </w:pPr>
            <w:r>
              <w:rPr>
                <w:sz w:val="20"/>
              </w:rPr>
              <w:t>Sample(adjusted):</w:t>
            </w:r>
            <w:r>
              <w:rPr>
                <w:spacing w:val="-9"/>
                <w:sz w:val="20"/>
              </w:rPr>
              <w:t> </w:t>
            </w:r>
            <w:r>
              <w:rPr>
                <w:sz w:val="20"/>
              </w:rPr>
              <w:t>1973</w:t>
            </w:r>
            <w:r>
              <w:rPr>
                <w:spacing w:val="-9"/>
                <w:sz w:val="20"/>
              </w:rPr>
              <w:t> </w:t>
            </w:r>
            <w:r>
              <w:rPr>
                <w:spacing w:val="-4"/>
                <w:sz w:val="20"/>
              </w:rPr>
              <w:t>2011</w:t>
            </w:r>
          </w:p>
        </w:tc>
      </w:tr>
      <w:tr>
        <w:trPr>
          <w:trHeight w:val="224" w:hRule="atLeast"/>
        </w:trPr>
        <w:tc>
          <w:tcPr>
            <w:tcW w:w="6487" w:type="dxa"/>
            <w:gridSpan w:val="5"/>
            <w:tcBorders>
              <w:bottom w:val="double" w:sz="6" w:space="0" w:color="000000"/>
            </w:tcBorders>
          </w:tcPr>
          <w:p>
            <w:pPr>
              <w:pStyle w:val="TableParagraph"/>
              <w:spacing w:line="205" w:lineRule="exact"/>
              <w:ind w:left="36"/>
              <w:rPr>
                <w:sz w:val="20"/>
              </w:rPr>
            </w:pPr>
            <w:r>
              <w:rPr>
                <w:sz w:val="20"/>
              </w:rPr>
              <w:t>Included</w:t>
            </w:r>
            <w:r>
              <w:rPr>
                <w:spacing w:val="-6"/>
                <w:sz w:val="20"/>
              </w:rPr>
              <w:t> </w:t>
            </w:r>
            <w:r>
              <w:rPr>
                <w:sz w:val="20"/>
              </w:rPr>
              <w:t>observations:</w:t>
            </w:r>
            <w:r>
              <w:rPr>
                <w:spacing w:val="-8"/>
                <w:sz w:val="20"/>
              </w:rPr>
              <w:t> </w:t>
            </w:r>
            <w:r>
              <w:rPr>
                <w:sz w:val="20"/>
              </w:rPr>
              <w:t>39</w:t>
            </w:r>
            <w:r>
              <w:rPr>
                <w:spacing w:val="-5"/>
                <w:sz w:val="20"/>
              </w:rPr>
              <w:t> </w:t>
            </w:r>
            <w:r>
              <w:rPr>
                <w:sz w:val="20"/>
              </w:rPr>
              <w:t>after</w:t>
            </w:r>
            <w:r>
              <w:rPr>
                <w:spacing w:val="-7"/>
                <w:sz w:val="20"/>
              </w:rPr>
              <w:t> </w:t>
            </w:r>
            <w:r>
              <w:rPr>
                <w:sz w:val="20"/>
              </w:rPr>
              <w:t>adjusting</w:t>
            </w:r>
            <w:r>
              <w:rPr>
                <w:spacing w:val="-7"/>
                <w:sz w:val="20"/>
              </w:rPr>
              <w:t> </w:t>
            </w:r>
            <w:r>
              <w:rPr>
                <w:spacing w:val="-2"/>
                <w:sz w:val="20"/>
              </w:rPr>
              <w:t>endpoints</w:t>
            </w:r>
          </w:p>
        </w:tc>
      </w:tr>
      <w:tr>
        <w:trPr>
          <w:trHeight w:val="269" w:hRule="atLeast"/>
        </w:trPr>
        <w:tc>
          <w:tcPr>
            <w:tcW w:w="1847" w:type="dxa"/>
            <w:tcBorders>
              <w:top w:val="double" w:sz="6" w:space="0" w:color="000000"/>
              <w:bottom w:val="double" w:sz="6" w:space="0" w:color="000000"/>
            </w:tcBorders>
          </w:tcPr>
          <w:p>
            <w:pPr>
              <w:pStyle w:val="TableParagraph"/>
              <w:spacing w:line="209" w:lineRule="exact" w:before="40"/>
              <w:ind w:left="677"/>
              <w:rPr>
                <w:sz w:val="20"/>
              </w:rPr>
            </w:pPr>
            <w:r>
              <w:rPr>
                <w:spacing w:val="-2"/>
                <w:sz w:val="20"/>
              </w:rPr>
              <w:t>Variable</w:t>
            </w:r>
          </w:p>
        </w:tc>
        <w:tc>
          <w:tcPr>
            <w:tcW w:w="1375" w:type="dxa"/>
            <w:tcBorders>
              <w:top w:val="double" w:sz="6" w:space="0" w:color="000000"/>
              <w:bottom w:val="double" w:sz="6" w:space="0" w:color="000000"/>
            </w:tcBorders>
          </w:tcPr>
          <w:p>
            <w:pPr>
              <w:pStyle w:val="TableParagraph"/>
              <w:spacing w:line="209" w:lineRule="exact" w:before="40"/>
              <w:ind w:right="131"/>
              <w:jc w:val="right"/>
              <w:rPr>
                <w:sz w:val="20"/>
              </w:rPr>
            </w:pPr>
            <w:r>
              <w:rPr>
                <w:spacing w:val="-2"/>
                <w:sz w:val="20"/>
              </w:rPr>
              <w:t>Coefficient</w:t>
            </w:r>
          </w:p>
        </w:tc>
        <w:tc>
          <w:tcPr>
            <w:tcW w:w="1432" w:type="dxa"/>
            <w:tcBorders>
              <w:top w:val="double" w:sz="6" w:space="0" w:color="000000"/>
              <w:bottom w:val="double" w:sz="6" w:space="0" w:color="000000"/>
            </w:tcBorders>
          </w:tcPr>
          <w:p>
            <w:pPr>
              <w:pStyle w:val="TableParagraph"/>
              <w:spacing w:line="209" w:lineRule="exact" w:before="40"/>
              <w:ind w:left="273"/>
              <w:rPr>
                <w:sz w:val="20"/>
              </w:rPr>
            </w:pPr>
            <w:r>
              <w:rPr>
                <w:sz w:val="20"/>
              </w:rPr>
              <w:t>Std.</w:t>
            </w:r>
            <w:r>
              <w:rPr>
                <w:spacing w:val="-4"/>
                <w:sz w:val="20"/>
              </w:rPr>
              <w:t> </w:t>
            </w:r>
            <w:r>
              <w:rPr>
                <w:spacing w:val="-2"/>
                <w:sz w:val="20"/>
              </w:rPr>
              <w:t>Error</w:t>
            </w:r>
          </w:p>
        </w:tc>
        <w:tc>
          <w:tcPr>
            <w:tcW w:w="904" w:type="dxa"/>
            <w:tcBorders>
              <w:top w:val="double" w:sz="6" w:space="0" w:color="000000"/>
              <w:bottom w:val="double" w:sz="6" w:space="0" w:color="000000"/>
            </w:tcBorders>
          </w:tcPr>
          <w:p>
            <w:pPr>
              <w:pStyle w:val="TableParagraph"/>
              <w:spacing w:line="209" w:lineRule="exact" w:before="40"/>
              <w:ind w:right="22"/>
              <w:jc w:val="center"/>
              <w:rPr>
                <w:sz w:val="20"/>
              </w:rPr>
            </w:pPr>
            <w:r>
              <w:rPr>
                <w:spacing w:val="-4"/>
                <w:sz w:val="20"/>
              </w:rPr>
              <w:t>t-</w:t>
            </w:r>
            <w:r>
              <w:rPr>
                <w:spacing w:val="-2"/>
                <w:sz w:val="20"/>
              </w:rPr>
              <w:t>Statistic</w:t>
            </w:r>
          </w:p>
        </w:tc>
        <w:tc>
          <w:tcPr>
            <w:tcW w:w="929" w:type="dxa"/>
            <w:tcBorders>
              <w:top w:val="double" w:sz="6" w:space="0" w:color="000000"/>
              <w:bottom w:val="double" w:sz="6" w:space="0" w:color="000000"/>
            </w:tcBorders>
          </w:tcPr>
          <w:p>
            <w:pPr>
              <w:pStyle w:val="TableParagraph"/>
              <w:spacing w:line="209" w:lineRule="exact" w:before="40"/>
              <w:ind w:right="28"/>
              <w:jc w:val="right"/>
              <w:rPr>
                <w:sz w:val="20"/>
              </w:rPr>
            </w:pPr>
            <w:r>
              <w:rPr>
                <w:spacing w:val="-2"/>
                <w:sz w:val="20"/>
              </w:rPr>
              <w:t>Prob.</w:t>
            </w:r>
          </w:p>
        </w:tc>
      </w:tr>
      <w:tr>
        <w:trPr>
          <w:trHeight w:val="275" w:hRule="atLeast"/>
        </w:trPr>
        <w:tc>
          <w:tcPr>
            <w:tcW w:w="1847" w:type="dxa"/>
            <w:tcBorders>
              <w:top w:val="double" w:sz="6" w:space="0" w:color="000000"/>
            </w:tcBorders>
          </w:tcPr>
          <w:p>
            <w:pPr>
              <w:pStyle w:val="TableParagraph"/>
              <w:spacing w:line="215" w:lineRule="exact" w:before="41"/>
              <w:ind w:left="511"/>
              <w:rPr>
                <w:sz w:val="20"/>
              </w:rPr>
            </w:pPr>
            <w:r>
              <w:rPr>
                <w:spacing w:val="-2"/>
                <w:sz w:val="20"/>
              </w:rPr>
              <w:t>D(KFW(-</w:t>
            </w:r>
            <w:r>
              <w:rPr>
                <w:spacing w:val="-5"/>
                <w:sz w:val="20"/>
              </w:rPr>
              <w:t>1))</w:t>
            </w:r>
          </w:p>
        </w:tc>
        <w:tc>
          <w:tcPr>
            <w:tcW w:w="1375" w:type="dxa"/>
            <w:tcBorders>
              <w:top w:val="double" w:sz="6" w:space="0" w:color="000000"/>
            </w:tcBorders>
          </w:tcPr>
          <w:p>
            <w:pPr>
              <w:pStyle w:val="TableParagraph"/>
              <w:spacing w:line="215" w:lineRule="exact" w:before="41"/>
              <w:ind w:right="128"/>
              <w:jc w:val="right"/>
              <w:rPr>
                <w:sz w:val="20"/>
              </w:rPr>
            </w:pPr>
            <w:r>
              <w:rPr>
                <w:spacing w:val="-4"/>
                <w:sz w:val="20"/>
              </w:rPr>
              <w:t>-</w:t>
            </w:r>
            <w:r>
              <w:rPr>
                <w:spacing w:val="-2"/>
                <w:sz w:val="20"/>
              </w:rPr>
              <w:t>1.997773</w:t>
            </w:r>
          </w:p>
        </w:tc>
        <w:tc>
          <w:tcPr>
            <w:tcW w:w="1432" w:type="dxa"/>
            <w:tcBorders>
              <w:top w:val="double" w:sz="6" w:space="0" w:color="000000"/>
            </w:tcBorders>
          </w:tcPr>
          <w:p>
            <w:pPr>
              <w:pStyle w:val="TableParagraph"/>
              <w:spacing w:line="215" w:lineRule="exact" w:before="41"/>
              <w:ind w:left="311"/>
              <w:rPr>
                <w:sz w:val="20"/>
              </w:rPr>
            </w:pPr>
            <w:r>
              <w:rPr>
                <w:spacing w:val="-2"/>
                <w:sz w:val="20"/>
              </w:rPr>
              <w:t>0.253647</w:t>
            </w:r>
          </w:p>
        </w:tc>
        <w:tc>
          <w:tcPr>
            <w:tcW w:w="904" w:type="dxa"/>
            <w:tcBorders>
              <w:top w:val="double" w:sz="6" w:space="0" w:color="000000"/>
            </w:tcBorders>
          </w:tcPr>
          <w:p>
            <w:pPr>
              <w:pStyle w:val="TableParagraph"/>
              <w:spacing w:line="215" w:lineRule="exact" w:before="41"/>
              <w:ind w:right="70"/>
              <w:jc w:val="center"/>
              <w:rPr>
                <w:sz w:val="20"/>
              </w:rPr>
            </w:pPr>
            <w:r>
              <w:rPr>
                <w:spacing w:val="-4"/>
                <w:sz w:val="20"/>
              </w:rPr>
              <w:t>-</w:t>
            </w:r>
            <w:r>
              <w:rPr>
                <w:spacing w:val="-2"/>
                <w:sz w:val="20"/>
              </w:rPr>
              <w:t>7.876181</w:t>
            </w:r>
          </w:p>
        </w:tc>
        <w:tc>
          <w:tcPr>
            <w:tcW w:w="929" w:type="dxa"/>
            <w:tcBorders>
              <w:top w:val="double" w:sz="6" w:space="0" w:color="000000"/>
            </w:tcBorders>
          </w:tcPr>
          <w:p>
            <w:pPr>
              <w:pStyle w:val="TableParagraph"/>
              <w:spacing w:line="215" w:lineRule="exact" w:before="41"/>
              <w:ind w:right="27"/>
              <w:jc w:val="right"/>
              <w:rPr>
                <w:sz w:val="20"/>
              </w:rPr>
            </w:pPr>
            <w:r>
              <w:rPr>
                <w:spacing w:val="-2"/>
                <w:sz w:val="20"/>
              </w:rPr>
              <w:t>0.0000</w:t>
            </w:r>
          </w:p>
        </w:tc>
      </w:tr>
      <w:tr>
        <w:trPr>
          <w:trHeight w:val="230" w:hRule="atLeast"/>
        </w:trPr>
        <w:tc>
          <w:tcPr>
            <w:tcW w:w="1847" w:type="dxa"/>
          </w:tcPr>
          <w:p>
            <w:pPr>
              <w:pStyle w:val="TableParagraph"/>
              <w:spacing w:line="210" w:lineRule="exact"/>
              <w:ind w:left="437"/>
              <w:rPr>
                <w:sz w:val="20"/>
              </w:rPr>
            </w:pPr>
            <w:r>
              <w:rPr>
                <w:spacing w:val="-2"/>
                <w:sz w:val="20"/>
              </w:rPr>
              <w:t>D(KFW(-1),2)</w:t>
            </w:r>
          </w:p>
        </w:tc>
        <w:tc>
          <w:tcPr>
            <w:tcW w:w="1375" w:type="dxa"/>
          </w:tcPr>
          <w:p>
            <w:pPr>
              <w:pStyle w:val="TableParagraph"/>
              <w:spacing w:line="210" w:lineRule="exact"/>
              <w:ind w:right="128"/>
              <w:jc w:val="right"/>
              <w:rPr>
                <w:sz w:val="20"/>
              </w:rPr>
            </w:pPr>
            <w:r>
              <w:rPr>
                <w:spacing w:val="-2"/>
                <w:sz w:val="20"/>
              </w:rPr>
              <w:t>0.438767</w:t>
            </w:r>
          </w:p>
        </w:tc>
        <w:tc>
          <w:tcPr>
            <w:tcW w:w="1432" w:type="dxa"/>
          </w:tcPr>
          <w:p>
            <w:pPr>
              <w:pStyle w:val="TableParagraph"/>
              <w:spacing w:line="210" w:lineRule="exact"/>
              <w:ind w:left="311"/>
              <w:rPr>
                <w:sz w:val="20"/>
              </w:rPr>
            </w:pPr>
            <w:r>
              <w:rPr>
                <w:spacing w:val="-2"/>
                <w:sz w:val="20"/>
              </w:rPr>
              <w:t>0.153154</w:t>
            </w:r>
          </w:p>
        </w:tc>
        <w:tc>
          <w:tcPr>
            <w:tcW w:w="904" w:type="dxa"/>
          </w:tcPr>
          <w:p>
            <w:pPr>
              <w:pStyle w:val="TableParagraph"/>
              <w:spacing w:line="210" w:lineRule="exact"/>
              <w:ind w:right="5"/>
              <w:jc w:val="center"/>
              <w:rPr>
                <w:sz w:val="20"/>
              </w:rPr>
            </w:pPr>
            <w:r>
              <w:rPr>
                <w:spacing w:val="-2"/>
                <w:sz w:val="20"/>
              </w:rPr>
              <w:t>2.864867</w:t>
            </w:r>
          </w:p>
        </w:tc>
        <w:tc>
          <w:tcPr>
            <w:tcW w:w="929" w:type="dxa"/>
          </w:tcPr>
          <w:p>
            <w:pPr>
              <w:pStyle w:val="TableParagraph"/>
              <w:spacing w:line="210" w:lineRule="exact"/>
              <w:ind w:right="27"/>
              <w:jc w:val="right"/>
              <w:rPr>
                <w:sz w:val="20"/>
              </w:rPr>
            </w:pPr>
            <w:r>
              <w:rPr>
                <w:spacing w:val="-2"/>
                <w:sz w:val="20"/>
              </w:rPr>
              <w:t>0.0069</w:t>
            </w:r>
          </w:p>
        </w:tc>
      </w:tr>
      <w:tr>
        <w:trPr>
          <w:trHeight w:val="224" w:hRule="atLeast"/>
        </w:trPr>
        <w:tc>
          <w:tcPr>
            <w:tcW w:w="1847" w:type="dxa"/>
            <w:tcBorders>
              <w:bottom w:val="double" w:sz="6" w:space="0" w:color="000000"/>
            </w:tcBorders>
          </w:tcPr>
          <w:p>
            <w:pPr>
              <w:pStyle w:val="TableParagraph"/>
              <w:spacing w:line="205" w:lineRule="exact"/>
              <w:ind w:left="197"/>
              <w:jc w:val="center"/>
              <w:rPr>
                <w:sz w:val="20"/>
              </w:rPr>
            </w:pPr>
            <w:r>
              <w:rPr>
                <w:spacing w:val="-10"/>
                <w:sz w:val="20"/>
              </w:rPr>
              <w:t>C</w:t>
            </w:r>
          </w:p>
        </w:tc>
        <w:tc>
          <w:tcPr>
            <w:tcW w:w="1375" w:type="dxa"/>
            <w:tcBorders>
              <w:bottom w:val="double" w:sz="6" w:space="0" w:color="000000"/>
            </w:tcBorders>
          </w:tcPr>
          <w:p>
            <w:pPr>
              <w:pStyle w:val="TableParagraph"/>
              <w:spacing w:line="205" w:lineRule="exact"/>
              <w:ind w:right="128"/>
              <w:jc w:val="right"/>
              <w:rPr>
                <w:sz w:val="20"/>
              </w:rPr>
            </w:pPr>
            <w:r>
              <w:rPr>
                <w:spacing w:val="-2"/>
                <w:sz w:val="20"/>
              </w:rPr>
              <w:t>0.438804</w:t>
            </w:r>
          </w:p>
        </w:tc>
        <w:tc>
          <w:tcPr>
            <w:tcW w:w="1432" w:type="dxa"/>
            <w:tcBorders>
              <w:bottom w:val="double" w:sz="6" w:space="0" w:color="000000"/>
            </w:tcBorders>
          </w:tcPr>
          <w:p>
            <w:pPr>
              <w:pStyle w:val="TableParagraph"/>
              <w:spacing w:line="205" w:lineRule="exact"/>
              <w:ind w:left="311"/>
              <w:rPr>
                <w:sz w:val="20"/>
              </w:rPr>
            </w:pPr>
            <w:r>
              <w:rPr>
                <w:spacing w:val="-2"/>
                <w:sz w:val="20"/>
              </w:rPr>
              <w:t>0.159427</w:t>
            </w:r>
          </w:p>
        </w:tc>
        <w:tc>
          <w:tcPr>
            <w:tcW w:w="904" w:type="dxa"/>
            <w:tcBorders>
              <w:bottom w:val="double" w:sz="6" w:space="0" w:color="000000"/>
            </w:tcBorders>
          </w:tcPr>
          <w:p>
            <w:pPr>
              <w:pStyle w:val="TableParagraph"/>
              <w:spacing w:line="205" w:lineRule="exact"/>
              <w:ind w:right="5"/>
              <w:jc w:val="center"/>
              <w:rPr>
                <w:sz w:val="20"/>
              </w:rPr>
            </w:pPr>
            <w:r>
              <w:rPr>
                <w:spacing w:val="-2"/>
                <w:sz w:val="20"/>
              </w:rPr>
              <w:t>2.752384</w:t>
            </w:r>
          </w:p>
        </w:tc>
        <w:tc>
          <w:tcPr>
            <w:tcW w:w="929" w:type="dxa"/>
            <w:tcBorders>
              <w:bottom w:val="double" w:sz="6" w:space="0" w:color="000000"/>
            </w:tcBorders>
          </w:tcPr>
          <w:p>
            <w:pPr>
              <w:pStyle w:val="TableParagraph"/>
              <w:spacing w:line="205" w:lineRule="exact"/>
              <w:ind w:right="27"/>
              <w:jc w:val="right"/>
              <w:rPr>
                <w:sz w:val="20"/>
              </w:rPr>
            </w:pPr>
            <w:r>
              <w:rPr>
                <w:spacing w:val="-2"/>
                <w:sz w:val="20"/>
              </w:rPr>
              <w:t>0.0092</w:t>
            </w:r>
          </w:p>
        </w:tc>
      </w:tr>
      <w:tr>
        <w:trPr>
          <w:trHeight w:val="275" w:hRule="atLeast"/>
        </w:trPr>
        <w:tc>
          <w:tcPr>
            <w:tcW w:w="1847" w:type="dxa"/>
            <w:tcBorders>
              <w:top w:val="double" w:sz="6" w:space="0" w:color="000000"/>
            </w:tcBorders>
          </w:tcPr>
          <w:p>
            <w:pPr>
              <w:pStyle w:val="TableParagraph"/>
              <w:spacing w:line="215" w:lineRule="exact" w:before="40"/>
              <w:ind w:left="36"/>
              <w:rPr>
                <w:sz w:val="20"/>
              </w:rPr>
            </w:pPr>
            <w:r>
              <w:rPr>
                <w:spacing w:val="-2"/>
                <w:sz w:val="20"/>
              </w:rPr>
              <w:t>R-squared</w:t>
            </w:r>
          </w:p>
        </w:tc>
        <w:tc>
          <w:tcPr>
            <w:tcW w:w="1375" w:type="dxa"/>
            <w:tcBorders>
              <w:top w:val="double" w:sz="6" w:space="0" w:color="000000"/>
            </w:tcBorders>
          </w:tcPr>
          <w:p>
            <w:pPr>
              <w:pStyle w:val="TableParagraph"/>
              <w:spacing w:line="215" w:lineRule="exact" w:before="40"/>
              <w:ind w:right="128"/>
              <w:jc w:val="right"/>
              <w:rPr>
                <w:sz w:val="20"/>
              </w:rPr>
            </w:pPr>
            <w:r>
              <w:rPr>
                <w:spacing w:val="-2"/>
                <w:sz w:val="20"/>
              </w:rPr>
              <w:t>0.751240</w:t>
            </w:r>
          </w:p>
        </w:tc>
        <w:tc>
          <w:tcPr>
            <w:tcW w:w="2336" w:type="dxa"/>
            <w:gridSpan w:val="2"/>
            <w:tcBorders>
              <w:top w:val="double" w:sz="6" w:space="0" w:color="000000"/>
            </w:tcBorders>
          </w:tcPr>
          <w:p>
            <w:pPr>
              <w:pStyle w:val="TableParagraph"/>
              <w:spacing w:line="215" w:lineRule="exact" w:before="40"/>
              <w:ind w:left="131"/>
              <w:rPr>
                <w:sz w:val="20"/>
              </w:rPr>
            </w:pPr>
            <w:r>
              <w:rPr>
                <w:sz w:val="20"/>
              </w:rPr>
              <w:t>Mean</w:t>
            </w:r>
            <w:r>
              <w:rPr>
                <w:spacing w:val="-7"/>
                <w:sz w:val="20"/>
              </w:rPr>
              <w:t> </w:t>
            </w:r>
            <w:r>
              <w:rPr>
                <w:sz w:val="20"/>
              </w:rPr>
              <w:t>dependent</w:t>
            </w:r>
            <w:r>
              <w:rPr>
                <w:spacing w:val="-7"/>
                <w:sz w:val="20"/>
              </w:rPr>
              <w:t> </w:t>
            </w:r>
            <w:r>
              <w:rPr>
                <w:spacing w:val="-5"/>
                <w:sz w:val="20"/>
              </w:rPr>
              <w:t>var</w:t>
            </w:r>
          </w:p>
        </w:tc>
        <w:tc>
          <w:tcPr>
            <w:tcW w:w="929" w:type="dxa"/>
            <w:tcBorders>
              <w:top w:val="double" w:sz="6" w:space="0" w:color="000000"/>
            </w:tcBorders>
          </w:tcPr>
          <w:p>
            <w:pPr>
              <w:pStyle w:val="TableParagraph"/>
              <w:spacing w:line="215" w:lineRule="exact" w:before="40"/>
              <w:ind w:right="27"/>
              <w:jc w:val="right"/>
              <w:rPr>
                <w:sz w:val="20"/>
              </w:rPr>
            </w:pPr>
            <w:r>
              <w:rPr>
                <w:spacing w:val="-4"/>
                <w:sz w:val="20"/>
              </w:rPr>
              <w:t>-</w:t>
            </w:r>
            <w:r>
              <w:rPr>
                <w:spacing w:val="-2"/>
                <w:sz w:val="20"/>
              </w:rPr>
              <w:t>0.001876</w:t>
            </w:r>
          </w:p>
        </w:tc>
      </w:tr>
      <w:tr>
        <w:trPr>
          <w:trHeight w:val="230" w:hRule="atLeast"/>
        </w:trPr>
        <w:tc>
          <w:tcPr>
            <w:tcW w:w="1847" w:type="dxa"/>
          </w:tcPr>
          <w:p>
            <w:pPr>
              <w:pStyle w:val="TableParagraph"/>
              <w:spacing w:line="210" w:lineRule="exact"/>
              <w:ind w:left="36"/>
              <w:rPr>
                <w:sz w:val="20"/>
              </w:rPr>
            </w:pPr>
            <w:r>
              <w:rPr>
                <w:sz w:val="20"/>
              </w:rPr>
              <w:t>Adjusted</w:t>
            </w:r>
            <w:r>
              <w:rPr>
                <w:spacing w:val="-10"/>
                <w:sz w:val="20"/>
              </w:rPr>
              <w:t> </w:t>
            </w:r>
            <w:r>
              <w:rPr>
                <w:sz w:val="20"/>
              </w:rPr>
              <w:t>R-</w:t>
            </w:r>
            <w:r>
              <w:rPr>
                <w:spacing w:val="-2"/>
                <w:sz w:val="20"/>
              </w:rPr>
              <w:t>squared</w:t>
            </w:r>
          </w:p>
        </w:tc>
        <w:tc>
          <w:tcPr>
            <w:tcW w:w="1375" w:type="dxa"/>
          </w:tcPr>
          <w:p>
            <w:pPr>
              <w:pStyle w:val="TableParagraph"/>
              <w:spacing w:line="210" w:lineRule="exact"/>
              <w:ind w:right="128"/>
              <w:jc w:val="right"/>
              <w:rPr>
                <w:sz w:val="20"/>
              </w:rPr>
            </w:pPr>
            <w:r>
              <w:rPr>
                <w:spacing w:val="-2"/>
                <w:sz w:val="20"/>
              </w:rPr>
              <w:t>0.737420</w:t>
            </w:r>
          </w:p>
        </w:tc>
        <w:tc>
          <w:tcPr>
            <w:tcW w:w="2336" w:type="dxa"/>
            <w:gridSpan w:val="2"/>
          </w:tcPr>
          <w:p>
            <w:pPr>
              <w:pStyle w:val="TableParagraph"/>
              <w:spacing w:line="210" w:lineRule="exact"/>
              <w:ind w:left="131"/>
              <w:rPr>
                <w:sz w:val="20"/>
              </w:rPr>
            </w:pPr>
            <w:r>
              <w:rPr>
                <w:sz w:val="20"/>
              </w:rPr>
              <w:t>S.D.</w:t>
            </w:r>
            <w:r>
              <w:rPr>
                <w:spacing w:val="-5"/>
                <w:sz w:val="20"/>
              </w:rPr>
              <w:t> </w:t>
            </w:r>
            <w:r>
              <w:rPr>
                <w:sz w:val="20"/>
              </w:rPr>
              <w:t>dependent</w:t>
            </w:r>
            <w:r>
              <w:rPr>
                <w:spacing w:val="-6"/>
                <w:sz w:val="20"/>
              </w:rPr>
              <w:t> </w:t>
            </w:r>
            <w:r>
              <w:rPr>
                <w:spacing w:val="-5"/>
                <w:sz w:val="20"/>
              </w:rPr>
              <w:t>var</w:t>
            </w:r>
          </w:p>
        </w:tc>
        <w:tc>
          <w:tcPr>
            <w:tcW w:w="929" w:type="dxa"/>
          </w:tcPr>
          <w:p>
            <w:pPr>
              <w:pStyle w:val="TableParagraph"/>
              <w:spacing w:line="210" w:lineRule="exact"/>
              <w:ind w:right="27"/>
              <w:jc w:val="right"/>
              <w:rPr>
                <w:sz w:val="20"/>
              </w:rPr>
            </w:pPr>
            <w:r>
              <w:rPr>
                <w:spacing w:val="-2"/>
                <w:sz w:val="20"/>
              </w:rPr>
              <w:t>1.827269</w:t>
            </w:r>
          </w:p>
        </w:tc>
      </w:tr>
      <w:tr>
        <w:trPr>
          <w:trHeight w:val="230" w:hRule="atLeast"/>
        </w:trPr>
        <w:tc>
          <w:tcPr>
            <w:tcW w:w="1847" w:type="dxa"/>
          </w:tcPr>
          <w:p>
            <w:pPr>
              <w:pStyle w:val="TableParagraph"/>
              <w:spacing w:line="210" w:lineRule="exact"/>
              <w:ind w:left="36"/>
              <w:rPr>
                <w:sz w:val="20"/>
              </w:rPr>
            </w:pPr>
            <w:r>
              <w:rPr>
                <w:sz w:val="20"/>
              </w:rPr>
              <w:t>S.E.</w:t>
            </w:r>
            <w:r>
              <w:rPr>
                <w:spacing w:val="-3"/>
                <w:sz w:val="20"/>
              </w:rPr>
              <w:t> </w:t>
            </w:r>
            <w:r>
              <w:rPr>
                <w:sz w:val="20"/>
              </w:rPr>
              <w:t>of</w:t>
            </w:r>
            <w:r>
              <w:rPr>
                <w:spacing w:val="-3"/>
                <w:sz w:val="20"/>
              </w:rPr>
              <w:t> </w:t>
            </w:r>
            <w:r>
              <w:rPr>
                <w:spacing w:val="-2"/>
                <w:sz w:val="20"/>
              </w:rPr>
              <w:t>regression</w:t>
            </w:r>
          </w:p>
        </w:tc>
        <w:tc>
          <w:tcPr>
            <w:tcW w:w="1375" w:type="dxa"/>
          </w:tcPr>
          <w:p>
            <w:pPr>
              <w:pStyle w:val="TableParagraph"/>
              <w:spacing w:line="210" w:lineRule="exact"/>
              <w:ind w:right="128"/>
              <w:jc w:val="right"/>
              <w:rPr>
                <w:sz w:val="20"/>
              </w:rPr>
            </w:pPr>
            <w:r>
              <w:rPr>
                <w:spacing w:val="-2"/>
                <w:sz w:val="20"/>
              </w:rPr>
              <w:t>0.936339</w:t>
            </w:r>
          </w:p>
        </w:tc>
        <w:tc>
          <w:tcPr>
            <w:tcW w:w="2336" w:type="dxa"/>
            <w:gridSpan w:val="2"/>
          </w:tcPr>
          <w:p>
            <w:pPr>
              <w:pStyle w:val="TableParagraph"/>
              <w:spacing w:line="210" w:lineRule="exact"/>
              <w:ind w:left="131"/>
              <w:rPr>
                <w:sz w:val="20"/>
              </w:rPr>
            </w:pPr>
            <w:r>
              <w:rPr>
                <w:sz w:val="20"/>
              </w:rPr>
              <w:t>Akaike</w:t>
            </w:r>
            <w:r>
              <w:rPr>
                <w:spacing w:val="-8"/>
                <w:sz w:val="20"/>
              </w:rPr>
              <w:t> </w:t>
            </w:r>
            <w:r>
              <w:rPr>
                <w:sz w:val="20"/>
              </w:rPr>
              <w:t>info</w:t>
            </w:r>
            <w:r>
              <w:rPr>
                <w:spacing w:val="-7"/>
                <w:sz w:val="20"/>
              </w:rPr>
              <w:t> </w:t>
            </w:r>
            <w:r>
              <w:rPr>
                <w:spacing w:val="-2"/>
                <w:sz w:val="20"/>
              </w:rPr>
              <w:t>criterion</w:t>
            </w:r>
          </w:p>
        </w:tc>
        <w:tc>
          <w:tcPr>
            <w:tcW w:w="929" w:type="dxa"/>
          </w:tcPr>
          <w:p>
            <w:pPr>
              <w:pStyle w:val="TableParagraph"/>
              <w:spacing w:line="210" w:lineRule="exact"/>
              <w:ind w:right="27"/>
              <w:jc w:val="right"/>
              <w:rPr>
                <w:sz w:val="20"/>
              </w:rPr>
            </w:pPr>
            <w:r>
              <w:rPr>
                <w:spacing w:val="-2"/>
                <w:sz w:val="20"/>
              </w:rPr>
              <w:t>2.780125</w:t>
            </w:r>
          </w:p>
        </w:tc>
      </w:tr>
      <w:tr>
        <w:trPr>
          <w:trHeight w:val="230" w:hRule="atLeast"/>
        </w:trPr>
        <w:tc>
          <w:tcPr>
            <w:tcW w:w="1847" w:type="dxa"/>
          </w:tcPr>
          <w:p>
            <w:pPr>
              <w:pStyle w:val="TableParagraph"/>
              <w:spacing w:line="210" w:lineRule="exact"/>
              <w:ind w:left="36"/>
              <w:rPr>
                <w:sz w:val="20"/>
              </w:rPr>
            </w:pPr>
            <w:r>
              <w:rPr>
                <w:sz w:val="20"/>
              </w:rPr>
              <w:t>Sum</w:t>
            </w:r>
            <w:r>
              <w:rPr>
                <w:spacing w:val="-8"/>
                <w:sz w:val="20"/>
              </w:rPr>
              <w:t> </w:t>
            </w:r>
            <w:r>
              <w:rPr>
                <w:sz w:val="20"/>
              </w:rPr>
              <w:t>squared</w:t>
            </w:r>
            <w:r>
              <w:rPr>
                <w:spacing w:val="-4"/>
                <w:sz w:val="20"/>
              </w:rPr>
              <w:t> </w:t>
            </w:r>
            <w:r>
              <w:rPr>
                <w:spacing w:val="-2"/>
                <w:sz w:val="20"/>
              </w:rPr>
              <w:t>resid</w:t>
            </w:r>
          </w:p>
        </w:tc>
        <w:tc>
          <w:tcPr>
            <w:tcW w:w="1375" w:type="dxa"/>
          </w:tcPr>
          <w:p>
            <w:pPr>
              <w:pStyle w:val="TableParagraph"/>
              <w:spacing w:line="210" w:lineRule="exact"/>
              <w:ind w:right="128"/>
              <w:jc w:val="right"/>
              <w:rPr>
                <w:sz w:val="20"/>
              </w:rPr>
            </w:pPr>
            <w:r>
              <w:rPr>
                <w:spacing w:val="-2"/>
                <w:sz w:val="20"/>
              </w:rPr>
              <w:t>31.56231</w:t>
            </w:r>
          </w:p>
        </w:tc>
        <w:tc>
          <w:tcPr>
            <w:tcW w:w="2336" w:type="dxa"/>
            <w:gridSpan w:val="2"/>
          </w:tcPr>
          <w:p>
            <w:pPr>
              <w:pStyle w:val="TableParagraph"/>
              <w:spacing w:line="210" w:lineRule="exact"/>
              <w:ind w:left="131"/>
              <w:rPr>
                <w:sz w:val="20"/>
              </w:rPr>
            </w:pPr>
            <w:r>
              <w:rPr>
                <w:sz w:val="20"/>
              </w:rPr>
              <w:t>Schwarz</w:t>
            </w:r>
            <w:r>
              <w:rPr>
                <w:spacing w:val="-8"/>
                <w:sz w:val="20"/>
              </w:rPr>
              <w:t> </w:t>
            </w:r>
            <w:r>
              <w:rPr>
                <w:spacing w:val="-2"/>
                <w:sz w:val="20"/>
              </w:rPr>
              <w:t>criterion</w:t>
            </w:r>
          </w:p>
        </w:tc>
        <w:tc>
          <w:tcPr>
            <w:tcW w:w="929" w:type="dxa"/>
          </w:tcPr>
          <w:p>
            <w:pPr>
              <w:pStyle w:val="TableParagraph"/>
              <w:spacing w:line="210" w:lineRule="exact"/>
              <w:ind w:right="27"/>
              <w:jc w:val="right"/>
              <w:rPr>
                <w:sz w:val="20"/>
              </w:rPr>
            </w:pPr>
            <w:r>
              <w:rPr>
                <w:spacing w:val="-2"/>
                <w:sz w:val="20"/>
              </w:rPr>
              <w:t>2.908092</w:t>
            </w:r>
          </w:p>
        </w:tc>
      </w:tr>
      <w:tr>
        <w:trPr>
          <w:trHeight w:val="229" w:hRule="atLeast"/>
        </w:trPr>
        <w:tc>
          <w:tcPr>
            <w:tcW w:w="1847" w:type="dxa"/>
          </w:tcPr>
          <w:p>
            <w:pPr>
              <w:pStyle w:val="TableParagraph"/>
              <w:spacing w:line="209" w:lineRule="exact"/>
              <w:ind w:left="36"/>
              <w:rPr>
                <w:sz w:val="20"/>
              </w:rPr>
            </w:pPr>
            <w:r>
              <w:rPr>
                <w:sz w:val="20"/>
              </w:rPr>
              <w:t>Log</w:t>
            </w:r>
            <w:r>
              <w:rPr>
                <w:spacing w:val="-6"/>
                <w:sz w:val="20"/>
              </w:rPr>
              <w:t> </w:t>
            </w:r>
            <w:r>
              <w:rPr>
                <w:spacing w:val="-2"/>
                <w:sz w:val="20"/>
              </w:rPr>
              <w:t>likelihood</w:t>
            </w:r>
          </w:p>
        </w:tc>
        <w:tc>
          <w:tcPr>
            <w:tcW w:w="1375" w:type="dxa"/>
          </w:tcPr>
          <w:p>
            <w:pPr>
              <w:pStyle w:val="TableParagraph"/>
              <w:spacing w:line="209" w:lineRule="exact"/>
              <w:ind w:right="128"/>
              <w:jc w:val="right"/>
              <w:rPr>
                <w:sz w:val="20"/>
              </w:rPr>
            </w:pPr>
            <w:r>
              <w:rPr>
                <w:spacing w:val="-4"/>
                <w:sz w:val="20"/>
              </w:rPr>
              <w:t>-</w:t>
            </w:r>
            <w:r>
              <w:rPr>
                <w:spacing w:val="-2"/>
                <w:sz w:val="20"/>
              </w:rPr>
              <w:t>51.21244</w:t>
            </w:r>
          </w:p>
        </w:tc>
        <w:tc>
          <w:tcPr>
            <w:tcW w:w="1432" w:type="dxa"/>
          </w:tcPr>
          <w:p>
            <w:pPr>
              <w:pStyle w:val="TableParagraph"/>
              <w:spacing w:line="209" w:lineRule="exact"/>
              <w:ind w:left="131"/>
              <w:rPr>
                <w:sz w:val="20"/>
              </w:rPr>
            </w:pPr>
            <w:r>
              <w:rPr>
                <w:spacing w:val="-4"/>
                <w:sz w:val="20"/>
              </w:rPr>
              <w:t>F-</w:t>
            </w:r>
            <w:r>
              <w:rPr>
                <w:spacing w:val="-2"/>
                <w:sz w:val="20"/>
              </w:rPr>
              <w:t>statistic</w:t>
            </w:r>
          </w:p>
        </w:tc>
        <w:tc>
          <w:tcPr>
            <w:tcW w:w="904" w:type="dxa"/>
          </w:tcPr>
          <w:p>
            <w:pPr>
              <w:pStyle w:val="TableParagraph"/>
              <w:rPr>
                <w:sz w:val="16"/>
              </w:rPr>
            </w:pPr>
          </w:p>
        </w:tc>
        <w:tc>
          <w:tcPr>
            <w:tcW w:w="929" w:type="dxa"/>
          </w:tcPr>
          <w:p>
            <w:pPr>
              <w:pStyle w:val="TableParagraph"/>
              <w:spacing w:line="209" w:lineRule="exact"/>
              <w:ind w:right="27"/>
              <w:jc w:val="right"/>
              <w:rPr>
                <w:sz w:val="20"/>
              </w:rPr>
            </w:pPr>
            <w:r>
              <w:rPr>
                <w:spacing w:val="-2"/>
                <w:sz w:val="20"/>
              </w:rPr>
              <w:t>54.35898</w:t>
            </w:r>
          </w:p>
        </w:tc>
      </w:tr>
      <w:tr>
        <w:trPr>
          <w:trHeight w:val="266" w:hRule="atLeast"/>
        </w:trPr>
        <w:tc>
          <w:tcPr>
            <w:tcW w:w="1847" w:type="dxa"/>
            <w:tcBorders>
              <w:bottom w:val="double" w:sz="6" w:space="0" w:color="000000"/>
            </w:tcBorders>
          </w:tcPr>
          <w:p>
            <w:pPr>
              <w:pStyle w:val="TableParagraph"/>
              <w:spacing w:line="224" w:lineRule="exact"/>
              <w:ind w:left="36"/>
              <w:rPr>
                <w:sz w:val="20"/>
              </w:rPr>
            </w:pPr>
            <w:r>
              <w:rPr>
                <w:sz w:val="20"/>
              </w:rPr>
              <w:t>Durbin-Watson</w:t>
            </w:r>
            <w:r>
              <w:rPr>
                <w:spacing w:val="-12"/>
                <w:sz w:val="20"/>
              </w:rPr>
              <w:t> </w:t>
            </w:r>
            <w:r>
              <w:rPr>
                <w:spacing w:val="-4"/>
                <w:sz w:val="20"/>
              </w:rPr>
              <w:t>stat</w:t>
            </w:r>
          </w:p>
        </w:tc>
        <w:tc>
          <w:tcPr>
            <w:tcW w:w="1375" w:type="dxa"/>
          </w:tcPr>
          <w:p>
            <w:pPr>
              <w:pStyle w:val="TableParagraph"/>
              <w:spacing w:line="224" w:lineRule="exact"/>
              <w:ind w:right="128"/>
              <w:jc w:val="right"/>
              <w:rPr>
                <w:sz w:val="20"/>
              </w:rPr>
            </w:pPr>
            <w:r>
              <w:rPr>
                <w:spacing w:val="-2"/>
                <w:sz w:val="20"/>
              </w:rPr>
              <w:t>2.270130</w:t>
            </w:r>
          </w:p>
        </w:tc>
        <w:tc>
          <w:tcPr>
            <w:tcW w:w="1432" w:type="dxa"/>
            <w:tcBorders>
              <w:bottom w:val="double" w:sz="6" w:space="0" w:color="000000"/>
            </w:tcBorders>
          </w:tcPr>
          <w:p>
            <w:pPr>
              <w:pStyle w:val="TableParagraph"/>
              <w:spacing w:line="224" w:lineRule="exact"/>
              <w:ind w:left="131"/>
              <w:rPr>
                <w:sz w:val="20"/>
              </w:rPr>
            </w:pPr>
            <w:r>
              <w:rPr>
                <w:spacing w:val="-2"/>
                <w:sz w:val="20"/>
              </w:rPr>
              <w:t>Prob(F-statistic)</w:t>
            </w:r>
          </w:p>
        </w:tc>
        <w:tc>
          <w:tcPr>
            <w:tcW w:w="904" w:type="dxa"/>
            <w:tcBorders>
              <w:bottom w:val="double" w:sz="6" w:space="0" w:color="000000"/>
            </w:tcBorders>
          </w:tcPr>
          <w:p>
            <w:pPr>
              <w:pStyle w:val="TableParagraph"/>
              <w:rPr>
                <w:sz w:val="18"/>
              </w:rPr>
            </w:pPr>
          </w:p>
        </w:tc>
        <w:tc>
          <w:tcPr>
            <w:tcW w:w="929" w:type="dxa"/>
            <w:tcBorders>
              <w:bottom w:val="double" w:sz="6" w:space="0" w:color="000000"/>
            </w:tcBorders>
          </w:tcPr>
          <w:p>
            <w:pPr>
              <w:pStyle w:val="TableParagraph"/>
              <w:spacing w:line="224" w:lineRule="exact"/>
              <w:ind w:right="27"/>
              <w:jc w:val="right"/>
              <w:rPr>
                <w:sz w:val="20"/>
              </w:rPr>
            </w:pPr>
            <w:r>
              <w:rPr>
                <w:spacing w:val="-2"/>
                <w:sz w:val="20"/>
              </w:rPr>
              <w:t>0.000000</w:t>
            </w:r>
          </w:p>
        </w:tc>
      </w:tr>
    </w:tbl>
    <w:p>
      <w:pPr>
        <w:pStyle w:val="BodyText"/>
        <w:rPr>
          <w:sz w:val="20"/>
        </w:rPr>
      </w:pPr>
    </w:p>
    <w:p>
      <w:pPr>
        <w:pStyle w:val="BodyText"/>
        <w:spacing w:before="14"/>
        <w:rPr>
          <w:sz w:val="20"/>
        </w:rPr>
      </w:pPr>
    </w:p>
    <w:p>
      <w:pPr>
        <w:spacing w:before="0" w:after="3"/>
        <w:ind w:left="711" w:right="0" w:firstLine="0"/>
        <w:jc w:val="left"/>
        <w:rPr>
          <w:sz w:val="20"/>
        </w:rPr>
      </w:pPr>
      <w:r>
        <w:rPr>
          <w:sz w:val="20"/>
        </w:rPr>
        <w:t>EXTDEBT</w:t>
      </w:r>
      <w:r>
        <w:rPr>
          <w:spacing w:val="-6"/>
          <w:sz w:val="20"/>
        </w:rPr>
        <w:t> </w:t>
      </w:r>
      <w:r>
        <w:rPr>
          <w:sz w:val="20"/>
        </w:rPr>
        <w:t>@</w:t>
      </w:r>
      <w:r>
        <w:rPr>
          <w:spacing w:val="-5"/>
          <w:sz w:val="20"/>
        </w:rPr>
        <w:t> </w:t>
      </w:r>
      <w:r>
        <w:rPr>
          <w:spacing w:val="-4"/>
          <w:sz w:val="20"/>
        </w:rPr>
        <w:t>LEVEL</w:t>
      </w:r>
    </w:p>
    <w:tbl>
      <w:tblPr>
        <w:tblW w:w="0" w:type="auto"/>
        <w:jc w:val="left"/>
        <w:tblInd w:w="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17"/>
        <w:gridCol w:w="1305"/>
        <w:gridCol w:w="1432"/>
        <w:gridCol w:w="936"/>
        <w:gridCol w:w="896"/>
      </w:tblGrid>
      <w:tr>
        <w:trPr>
          <w:trHeight w:val="225" w:hRule="atLeast"/>
        </w:trPr>
        <w:tc>
          <w:tcPr>
            <w:tcW w:w="1917" w:type="dxa"/>
          </w:tcPr>
          <w:p>
            <w:pPr>
              <w:pStyle w:val="TableParagraph"/>
              <w:spacing w:line="205" w:lineRule="exact"/>
              <w:ind w:left="36"/>
              <w:rPr>
                <w:sz w:val="20"/>
              </w:rPr>
            </w:pPr>
            <w:r>
              <w:rPr>
                <w:sz w:val="20"/>
              </w:rPr>
              <w:t>ADF</w:t>
            </w:r>
            <w:r>
              <w:rPr>
                <w:spacing w:val="-4"/>
                <w:sz w:val="20"/>
              </w:rPr>
              <w:t> </w:t>
            </w:r>
            <w:r>
              <w:rPr>
                <w:sz w:val="20"/>
              </w:rPr>
              <w:t>Test</w:t>
            </w:r>
            <w:r>
              <w:rPr>
                <w:spacing w:val="-4"/>
                <w:sz w:val="20"/>
              </w:rPr>
              <w:t> </w:t>
            </w:r>
            <w:r>
              <w:rPr>
                <w:spacing w:val="-2"/>
                <w:sz w:val="20"/>
              </w:rPr>
              <w:t>Statistic</w:t>
            </w:r>
          </w:p>
        </w:tc>
        <w:tc>
          <w:tcPr>
            <w:tcW w:w="1305" w:type="dxa"/>
          </w:tcPr>
          <w:p>
            <w:pPr>
              <w:pStyle w:val="TableParagraph"/>
              <w:spacing w:line="205" w:lineRule="exact"/>
              <w:ind w:left="149"/>
              <w:rPr>
                <w:sz w:val="20"/>
              </w:rPr>
            </w:pPr>
            <w:r>
              <w:rPr>
                <w:spacing w:val="-4"/>
                <w:sz w:val="20"/>
              </w:rPr>
              <w:t>-</w:t>
            </w:r>
            <w:r>
              <w:rPr>
                <w:spacing w:val="-2"/>
                <w:sz w:val="20"/>
              </w:rPr>
              <w:t>2.201592</w:t>
            </w:r>
          </w:p>
        </w:tc>
        <w:tc>
          <w:tcPr>
            <w:tcW w:w="2368" w:type="dxa"/>
            <w:gridSpan w:val="2"/>
          </w:tcPr>
          <w:p>
            <w:pPr>
              <w:pStyle w:val="TableParagraph"/>
              <w:spacing w:line="205" w:lineRule="exact"/>
              <w:ind w:left="131"/>
              <w:rPr>
                <w:sz w:val="20"/>
              </w:rPr>
            </w:pPr>
            <w:r>
              <w:rPr>
                <w:sz w:val="20"/>
              </w:rPr>
              <w:t>1%</w:t>
            </w:r>
            <w:r>
              <w:rPr>
                <w:spacing w:val="68"/>
                <w:w w:val="150"/>
                <w:sz w:val="20"/>
              </w:rPr>
              <w:t> </w:t>
            </w:r>
            <w:r>
              <w:rPr>
                <w:sz w:val="20"/>
              </w:rPr>
              <w:t>Critical</w:t>
            </w:r>
            <w:r>
              <w:rPr>
                <w:spacing w:val="-2"/>
                <w:sz w:val="20"/>
              </w:rPr>
              <w:t> Value*</w:t>
            </w:r>
          </w:p>
        </w:tc>
        <w:tc>
          <w:tcPr>
            <w:tcW w:w="896" w:type="dxa"/>
          </w:tcPr>
          <w:p>
            <w:pPr>
              <w:pStyle w:val="TableParagraph"/>
              <w:spacing w:line="205" w:lineRule="exact"/>
              <w:ind w:right="26"/>
              <w:jc w:val="right"/>
              <w:rPr>
                <w:sz w:val="20"/>
              </w:rPr>
            </w:pPr>
            <w:r>
              <w:rPr>
                <w:spacing w:val="-4"/>
                <w:sz w:val="20"/>
              </w:rPr>
              <w:t>-</w:t>
            </w:r>
            <w:r>
              <w:rPr>
                <w:spacing w:val="-2"/>
                <w:sz w:val="20"/>
              </w:rPr>
              <w:t>3.6019</w:t>
            </w:r>
          </w:p>
        </w:tc>
      </w:tr>
      <w:tr>
        <w:trPr>
          <w:trHeight w:val="230" w:hRule="atLeast"/>
        </w:trPr>
        <w:tc>
          <w:tcPr>
            <w:tcW w:w="1917" w:type="dxa"/>
          </w:tcPr>
          <w:p>
            <w:pPr>
              <w:pStyle w:val="TableParagraph"/>
              <w:rPr>
                <w:sz w:val="16"/>
              </w:rPr>
            </w:pPr>
          </w:p>
        </w:tc>
        <w:tc>
          <w:tcPr>
            <w:tcW w:w="1305" w:type="dxa"/>
          </w:tcPr>
          <w:p>
            <w:pPr>
              <w:pStyle w:val="TableParagraph"/>
              <w:rPr>
                <w:sz w:val="16"/>
              </w:rPr>
            </w:pPr>
          </w:p>
        </w:tc>
        <w:tc>
          <w:tcPr>
            <w:tcW w:w="2368" w:type="dxa"/>
            <w:gridSpan w:val="2"/>
          </w:tcPr>
          <w:p>
            <w:pPr>
              <w:pStyle w:val="TableParagraph"/>
              <w:spacing w:line="210" w:lineRule="exact"/>
              <w:ind w:left="131"/>
              <w:rPr>
                <w:sz w:val="20"/>
              </w:rPr>
            </w:pPr>
            <w:r>
              <w:rPr>
                <w:sz w:val="20"/>
              </w:rPr>
              <w:t>5%</w:t>
            </w:r>
            <w:r>
              <w:rPr>
                <w:spacing w:val="68"/>
                <w:w w:val="150"/>
                <w:sz w:val="20"/>
              </w:rPr>
              <w:t> </w:t>
            </w:r>
            <w:r>
              <w:rPr>
                <w:sz w:val="20"/>
              </w:rPr>
              <w:t>Critical</w:t>
            </w:r>
            <w:r>
              <w:rPr>
                <w:spacing w:val="-2"/>
                <w:sz w:val="20"/>
              </w:rPr>
              <w:t> </w:t>
            </w:r>
            <w:r>
              <w:rPr>
                <w:spacing w:val="-4"/>
                <w:sz w:val="20"/>
              </w:rPr>
              <w:t>Value</w:t>
            </w:r>
          </w:p>
        </w:tc>
        <w:tc>
          <w:tcPr>
            <w:tcW w:w="896" w:type="dxa"/>
          </w:tcPr>
          <w:p>
            <w:pPr>
              <w:pStyle w:val="TableParagraph"/>
              <w:spacing w:line="210" w:lineRule="exact"/>
              <w:ind w:right="26"/>
              <w:jc w:val="right"/>
              <w:rPr>
                <w:sz w:val="20"/>
              </w:rPr>
            </w:pPr>
            <w:r>
              <w:rPr>
                <w:spacing w:val="-4"/>
                <w:sz w:val="20"/>
              </w:rPr>
              <w:t>-</w:t>
            </w:r>
            <w:r>
              <w:rPr>
                <w:spacing w:val="-2"/>
                <w:sz w:val="20"/>
              </w:rPr>
              <w:t>2.9358</w:t>
            </w:r>
          </w:p>
        </w:tc>
      </w:tr>
      <w:tr>
        <w:trPr>
          <w:trHeight w:val="224" w:hRule="atLeast"/>
        </w:trPr>
        <w:tc>
          <w:tcPr>
            <w:tcW w:w="1917" w:type="dxa"/>
            <w:tcBorders>
              <w:bottom w:val="double" w:sz="6" w:space="0" w:color="000000"/>
            </w:tcBorders>
          </w:tcPr>
          <w:p>
            <w:pPr>
              <w:pStyle w:val="TableParagraph"/>
              <w:rPr>
                <w:sz w:val="16"/>
              </w:rPr>
            </w:pPr>
          </w:p>
        </w:tc>
        <w:tc>
          <w:tcPr>
            <w:tcW w:w="1305" w:type="dxa"/>
            <w:tcBorders>
              <w:bottom w:val="double" w:sz="6" w:space="0" w:color="000000"/>
            </w:tcBorders>
          </w:tcPr>
          <w:p>
            <w:pPr>
              <w:pStyle w:val="TableParagraph"/>
              <w:rPr>
                <w:sz w:val="16"/>
              </w:rPr>
            </w:pPr>
          </w:p>
        </w:tc>
        <w:tc>
          <w:tcPr>
            <w:tcW w:w="2368" w:type="dxa"/>
            <w:gridSpan w:val="2"/>
            <w:tcBorders>
              <w:bottom w:val="double" w:sz="6" w:space="0" w:color="000000"/>
            </w:tcBorders>
          </w:tcPr>
          <w:p>
            <w:pPr>
              <w:pStyle w:val="TableParagraph"/>
              <w:spacing w:line="205" w:lineRule="exact"/>
              <w:ind w:left="131"/>
              <w:rPr>
                <w:sz w:val="20"/>
              </w:rPr>
            </w:pPr>
            <w:r>
              <w:rPr>
                <w:sz w:val="20"/>
              </w:rPr>
              <w:t>10%</w:t>
            </w:r>
            <w:r>
              <w:rPr>
                <w:spacing w:val="-6"/>
                <w:sz w:val="20"/>
              </w:rPr>
              <w:t> </w:t>
            </w:r>
            <w:r>
              <w:rPr>
                <w:sz w:val="20"/>
              </w:rPr>
              <w:t>Critical</w:t>
            </w:r>
            <w:r>
              <w:rPr>
                <w:spacing w:val="-4"/>
                <w:sz w:val="20"/>
              </w:rPr>
              <w:t> </w:t>
            </w:r>
            <w:r>
              <w:rPr>
                <w:spacing w:val="-2"/>
                <w:sz w:val="20"/>
              </w:rPr>
              <w:t>Value</w:t>
            </w:r>
          </w:p>
        </w:tc>
        <w:tc>
          <w:tcPr>
            <w:tcW w:w="896" w:type="dxa"/>
            <w:tcBorders>
              <w:bottom w:val="double" w:sz="6" w:space="0" w:color="000000"/>
            </w:tcBorders>
          </w:tcPr>
          <w:p>
            <w:pPr>
              <w:pStyle w:val="TableParagraph"/>
              <w:spacing w:line="205" w:lineRule="exact"/>
              <w:ind w:right="26"/>
              <w:jc w:val="right"/>
              <w:rPr>
                <w:sz w:val="20"/>
              </w:rPr>
            </w:pPr>
            <w:r>
              <w:rPr>
                <w:spacing w:val="-4"/>
                <w:sz w:val="20"/>
              </w:rPr>
              <w:t>-</w:t>
            </w:r>
            <w:r>
              <w:rPr>
                <w:spacing w:val="-2"/>
                <w:sz w:val="20"/>
              </w:rPr>
              <w:t>2.6059</w:t>
            </w:r>
          </w:p>
        </w:tc>
      </w:tr>
      <w:tr>
        <w:trPr>
          <w:trHeight w:val="505" w:hRule="atLeast"/>
        </w:trPr>
        <w:tc>
          <w:tcPr>
            <w:tcW w:w="6486" w:type="dxa"/>
            <w:gridSpan w:val="5"/>
            <w:tcBorders>
              <w:top w:val="double" w:sz="6" w:space="0" w:color="000000"/>
            </w:tcBorders>
          </w:tcPr>
          <w:p>
            <w:pPr>
              <w:pStyle w:val="TableParagraph"/>
              <w:spacing w:before="40"/>
              <w:ind w:left="36"/>
              <w:rPr>
                <w:sz w:val="20"/>
              </w:rPr>
            </w:pPr>
            <w:r>
              <w:rPr>
                <w:sz w:val="20"/>
              </w:rPr>
              <w:t>*MacKinnon</w:t>
            </w:r>
            <w:r>
              <w:rPr>
                <w:spacing w:val="-6"/>
                <w:sz w:val="20"/>
              </w:rPr>
              <w:t> </w:t>
            </w:r>
            <w:r>
              <w:rPr>
                <w:sz w:val="20"/>
              </w:rPr>
              <w:t>critical</w:t>
            </w:r>
            <w:r>
              <w:rPr>
                <w:spacing w:val="-4"/>
                <w:sz w:val="20"/>
              </w:rPr>
              <w:t> </w:t>
            </w:r>
            <w:r>
              <w:rPr>
                <w:sz w:val="20"/>
              </w:rPr>
              <w:t>values</w:t>
            </w:r>
            <w:r>
              <w:rPr>
                <w:spacing w:val="-6"/>
                <w:sz w:val="20"/>
              </w:rPr>
              <w:t> </w:t>
            </w:r>
            <w:r>
              <w:rPr>
                <w:sz w:val="20"/>
              </w:rPr>
              <w:t>for</w:t>
            </w:r>
            <w:r>
              <w:rPr>
                <w:spacing w:val="-4"/>
                <w:sz w:val="20"/>
              </w:rPr>
              <w:t> </w:t>
            </w:r>
            <w:r>
              <w:rPr>
                <w:sz w:val="20"/>
              </w:rPr>
              <w:t>rejection</w:t>
            </w:r>
            <w:r>
              <w:rPr>
                <w:spacing w:val="-6"/>
                <w:sz w:val="20"/>
              </w:rPr>
              <w:t> </w:t>
            </w:r>
            <w:r>
              <w:rPr>
                <w:sz w:val="20"/>
              </w:rPr>
              <w:t>of</w:t>
            </w:r>
            <w:r>
              <w:rPr>
                <w:spacing w:val="-6"/>
                <w:sz w:val="20"/>
              </w:rPr>
              <w:t> </w:t>
            </w:r>
            <w:r>
              <w:rPr>
                <w:sz w:val="20"/>
              </w:rPr>
              <w:t>hypothesis</w:t>
            </w:r>
            <w:r>
              <w:rPr>
                <w:spacing w:val="-6"/>
                <w:sz w:val="20"/>
              </w:rPr>
              <w:t> </w:t>
            </w:r>
            <w:r>
              <w:rPr>
                <w:sz w:val="20"/>
              </w:rPr>
              <w:t>of</w:t>
            </w:r>
            <w:r>
              <w:rPr>
                <w:spacing w:val="-6"/>
                <w:sz w:val="20"/>
              </w:rPr>
              <w:t> </w:t>
            </w:r>
            <w:r>
              <w:rPr>
                <w:sz w:val="20"/>
              </w:rPr>
              <w:t>a</w:t>
            </w:r>
            <w:r>
              <w:rPr>
                <w:spacing w:val="-4"/>
                <w:sz w:val="20"/>
              </w:rPr>
              <w:t> </w:t>
            </w:r>
            <w:r>
              <w:rPr>
                <w:sz w:val="20"/>
              </w:rPr>
              <w:t>unit</w:t>
            </w:r>
            <w:r>
              <w:rPr>
                <w:spacing w:val="-6"/>
                <w:sz w:val="20"/>
              </w:rPr>
              <w:t> </w:t>
            </w:r>
            <w:r>
              <w:rPr>
                <w:spacing w:val="-2"/>
                <w:sz w:val="20"/>
              </w:rPr>
              <w:t>root.</w:t>
            </w:r>
          </w:p>
        </w:tc>
      </w:tr>
      <w:tr>
        <w:trPr>
          <w:trHeight w:val="459" w:hRule="atLeast"/>
        </w:trPr>
        <w:tc>
          <w:tcPr>
            <w:tcW w:w="6486" w:type="dxa"/>
            <w:gridSpan w:val="5"/>
          </w:tcPr>
          <w:p>
            <w:pPr>
              <w:pStyle w:val="TableParagraph"/>
              <w:spacing w:line="214" w:lineRule="exact" w:before="226"/>
              <w:ind w:left="36"/>
              <w:rPr>
                <w:sz w:val="20"/>
              </w:rPr>
            </w:pPr>
            <w:r>
              <w:rPr>
                <w:sz w:val="20"/>
              </w:rPr>
              <w:t>Augmented</w:t>
            </w:r>
            <w:r>
              <w:rPr>
                <w:spacing w:val="-8"/>
                <w:sz w:val="20"/>
              </w:rPr>
              <w:t> </w:t>
            </w:r>
            <w:r>
              <w:rPr>
                <w:sz w:val="20"/>
              </w:rPr>
              <w:t>Dickey-Fuller</w:t>
            </w:r>
            <w:r>
              <w:rPr>
                <w:spacing w:val="-8"/>
                <w:sz w:val="20"/>
              </w:rPr>
              <w:t> </w:t>
            </w:r>
            <w:r>
              <w:rPr>
                <w:sz w:val="20"/>
              </w:rPr>
              <w:t>Test</w:t>
            </w:r>
            <w:r>
              <w:rPr>
                <w:spacing w:val="-9"/>
                <w:sz w:val="20"/>
              </w:rPr>
              <w:t> </w:t>
            </w:r>
            <w:r>
              <w:rPr>
                <w:spacing w:val="-2"/>
                <w:sz w:val="20"/>
              </w:rPr>
              <w:t>Equation</w:t>
            </w:r>
          </w:p>
        </w:tc>
      </w:tr>
      <w:tr>
        <w:trPr>
          <w:trHeight w:val="229" w:hRule="atLeast"/>
        </w:trPr>
        <w:tc>
          <w:tcPr>
            <w:tcW w:w="6486" w:type="dxa"/>
            <w:gridSpan w:val="5"/>
          </w:tcPr>
          <w:p>
            <w:pPr>
              <w:pStyle w:val="TableParagraph"/>
              <w:spacing w:line="209" w:lineRule="exact"/>
              <w:ind w:left="36"/>
              <w:rPr>
                <w:sz w:val="20"/>
              </w:rPr>
            </w:pPr>
            <w:r>
              <w:rPr>
                <w:sz w:val="20"/>
              </w:rPr>
              <w:t>Dependent</w:t>
            </w:r>
            <w:r>
              <w:rPr>
                <w:spacing w:val="-7"/>
                <w:sz w:val="20"/>
              </w:rPr>
              <w:t> </w:t>
            </w:r>
            <w:r>
              <w:rPr>
                <w:sz w:val="20"/>
              </w:rPr>
              <w:t>Variable:</w:t>
            </w:r>
            <w:r>
              <w:rPr>
                <w:spacing w:val="-7"/>
                <w:sz w:val="20"/>
              </w:rPr>
              <w:t> </w:t>
            </w:r>
            <w:r>
              <w:rPr>
                <w:spacing w:val="-2"/>
                <w:sz w:val="20"/>
              </w:rPr>
              <w:t>D(EXTDEBT)</w:t>
            </w:r>
          </w:p>
        </w:tc>
      </w:tr>
      <w:tr>
        <w:trPr>
          <w:trHeight w:val="230" w:hRule="atLeast"/>
        </w:trPr>
        <w:tc>
          <w:tcPr>
            <w:tcW w:w="1917" w:type="dxa"/>
          </w:tcPr>
          <w:p>
            <w:pPr>
              <w:pStyle w:val="TableParagraph"/>
              <w:spacing w:line="210" w:lineRule="exact"/>
              <w:ind w:left="36"/>
              <w:rPr>
                <w:sz w:val="20"/>
              </w:rPr>
            </w:pPr>
            <w:r>
              <w:rPr>
                <w:sz w:val="20"/>
              </w:rPr>
              <w:t>Method:</w:t>
            </w:r>
            <w:r>
              <w:rPr>
                <w:spacing w:val="-8"/>
                <w:sz w:val="20"/>
              </w:rPr>
              <w:t> </w:t>
            </w:r>
            <w:r>
              <w:rPr>
                <w:sz w:val="20"/>
              </w:rPr>
              <w:t>Least</w:t>
            </w:r>
            <w:r>
              <w:rPr>
                <w:spacing w:val="-7"/>
                <w:sz w:val="20"/>
              </w:rPr>
              <w:t> </w:t>
            </w:r>
            <w:r>
              <w:rPr>
                <w:spacing w:val="-2"/>
                <w:sz w:val="20"/>
              </w:rPr>
              <w:t>Squares</w:t>
            </w:r>
          </w:p>
        </w:tc>
        <w:tc>
          <w:tcPr>
            <w:tcW w:w="1305" w:type="dxa"/>
          </w:tcPr>
          <w:p>
            <w:pPr>
              <w:pStyle w:val="TableParagraph"/>
              <w:rPr>
                <w:sz w:val="16"/>
              </w:rPr>
            </w:pPr>
          </w:p>
        </w:tc>
        <w:tc>
          <w:tcPr>
            <w:tcW w:w="1432" w:type="dxa"/>
          </w:tcPr>
          <w:p>
            <w:pPr>
              <w:pStyle w:val="TableParagraph"/>
              <w:rPr>
                <w:sz w:val="16"/>
              </w:rPr>
            </w:pPr>
          </w:p>
        </w:tc>
        <w:tc>
          <w:tcPr>
            <w:tcW w:w="936" w:type="dxa"/>
          </w:tcPr>
          <w:p>
            <w:pPr>
              <w:pStyle w:val="TableParagraph"/>
              <w:rPr>
                <w:sz w:val="16"/>
              </w:rPr>
            </w:pPr>
          </w:p>
        </w:tc>
        <w:tc>
          <w:tcPr>
            <w:tcW w:w="896" w:type="dxa"/>
          </w:tcPr>
          <w:p>
            <w:pPr>
              <w:pStyle w:val="TableParagraph"/>
              <w:rPr>
                <w:sz w:val="16"/>
              </w:rPr>
            </w:pPr>
          </w:p>
        </w:tc>
      </w:tr>
      <w:tr>
        <w:trPr>
          <w:trHeight w:val="230" w:hRule="atLeast"/>
        </w:trPr>
        <w:tc>
          <w:tcPr>
            <w:tcW w:w="6486" w:type="dxa"/>
            <w:gridSpan w:val="5"/>
          </w:tcPr>
          <w:p>
            <w:pPr>
              <w:pStyle w:val="TableParagraph"/>
              <w:spacing w:line="210" w:lineRule="exact"/>
              <w:ind w:left="36"/>
              <w:rPr>
                <w:sz w:val="20"/>
              </w:rPr>
            </w:pPr>
            <w:r>
              <w:rPr>
                <w:sz w:val="20"/>
              </w:rPr>
              <w:t>Date:</w:t>
            </w:r>
            <w:r>
              <w:rPr>
                <w:spacing w:val="-5"/>
                <w:sz w:val="20"/>
              </w:rPr>
              <w:t> </w:t>
            </w:r>
            <w:r>
              <w:rPr>
                <w:sz w:val="20"/>
              </w:rPr>
              <w:t>02/18/14</w:t>
            </w:r>
            <w:r>
              <w:rPr>
                <w:spacing w:val="63"/>
                <w:w w:val="150"/>
                <w:sz w:val="20"/>
              </w:rPr>
              <w:t> </w:t>
            </w:r>
            <w:r>
              <w:rPr>
                <w:sz w:val="20"/>
              </w:rPr>
              <w:t>Time:</w:t>
            </w:r>
            <w:r>
              <w:rPr>
                <w:spacing w:val="-3"/>
                <w:sz w:val="20"/>
              </w:rPr>
              <w:t> </w:t>
            </w:r>
            <w:r>
              <w:rPr>
                <w:spacing w:val="-2"/>
                <w:sz w:val="20"/>
              </w:rPr>
              <w:t>09:14</w:t>
            </w:r>
          </w:p>
        </w:tc>
      </w:tr>
      <w:tr>
        <w:trPr>
          <w:trHeight w:val="230" w:hRule="atLeast"/>
        </w:trPr>
        <w:tc>
          <w:tcPr>
            <w:tcW w:w="6486" w:type="dxa"/>
            <w:gridSpan w:val="5"/>
          </w:tcPr>
          <w:p>
            <w:pPr>
              <w:pStyle w:val="TableParagraph"/>
              <w:spacing w:line="210" w:lineRule="exact"/>
              <w:ind w:left="36"/>
              <w:rPr>
                <w:sz w:val="20"/>
              </w:rPr>
            </w:pPr>
            <w:r>
              <w:rPr>
                <w:sz w:val="20"/>
              </w:rPr>
              <w:t>Sample(adjusted):</w:t>
            </w:r>
            <w:r>
              <w:rPr>
                <w:spacing w:val="-9"/>
                <w:sz w:val="20"/>
              </w:rPr>
              <w:t> </w:t>
            </w:r>
            <w:r>
              <w:rPr>
                <w:sz w:val="20"/>
              </w:rPr>
              <w:t>1972</w:t>
            </w:r>
            <w:r>
              <w:rPr>
                <w:spacing w:val="-9"/>
                <w:sz w:val="20"/>
              </w:rPr>
              <w:t> </w:t>
            </w:r>
            <w:r>
              <w:rPr>
                <w:spacing w:val="-4"/>
                <w:sz w:val="20"/>
              </w:rPr>
              <w:t>2011</w:t>
            </w:r>
          </w:p>
        </w:tc>
      </w:tr>
      <w:tr>
        <w:trPr>
          <w:trHeight w:val="224" w:hRule="atLeast"/>
        </w:trPr>
        <w:tc>
          <w:tcPr>
            <w:tcW w:w="6486" w:type="dxa"/>
            <w:gridSpan w:val="5"/>
            <w:tcBorders>
              <w:bottom w:val="double" w:sz="6" w:space="0" w:color="000000"/>
            </w:tcBorders>
          </w:tcPr>
          <w:p>
            <w:pPr>
              <w:pStyle w:val="TableParagraph"/>
              <w:spacing w:line="205" w:lineRule="exact"/>
              <w:ind w:left="36"/>
              <w:rPr>
                <w:sz w:val="20"/>
              </w:rPr>
            </w:pPr>
            <w:r>
              <w:rPr>
                <w:sz w:val="20"/>
              </w:rPr>
              <w:t>Included</w:t>
            </w:r>
            <w:r>
              <w:rPr>
                <w:spacing w:val="-6"/>
                <w:sz w:val="20"/>
              </w:rPr>
              <w:t> </w:t>
            </w:r>
            <w:r>
              <w:rPr>
                <w:sz w:val="20"/>
              </w:rPr>
              <w:t>observations:</w:t>
            </w:r>
            <w:r>
              <w:rPr>
                <w:spacing w:val="-8"/>
                <w:sz w:val="20"/>
              </w:rPr>
              <w:t> </w:t>
            </w:r>
            <w:r>
              <w:rPr>
                <w:sz w:val="20"/>
              </w:rPr>
              <w:t>40</w:t>
            </w:r>
            <w:r>
              <w:rPr>
                <w:spacing w:val="-5"/>
                <w:sz w:val="20"/>
              </w:rPr>
              <w:t> </w:t>
            </w:r>
            <w:r>
              <w:rPr>
                <w:sz w:val="20"/>
              </w:rPr>
              <w:t>after</w:t>
            </w:r>
            <w:r>
              <w:rPr>
                <w:spacing w:val="-7"/>
                <w:sz w:val="20"/>
              </w:rPr>
              <w:t> </w:t>
            </w:r>
            <w:r>
              <w:rPr>
                <w:sz w:val="20"/>
              </w:rPr>
              <w:t>adjusting</w:t>
            </w:r>
            <w:r>
              <w:rPr>
                <w:spacing w:val="-7"/>
                <w:sz w:val="20"/>
              </w:rPr>
              <w:t> </w:t>
            </w:r>
            <w:r>
              <w:rPr>
                <w:spacing w:val="-2"/>
                <w:sz w:val="20"/>
              </w:rPr>
              <w:t>endpoints</w:t>
            </w:r>
          </w:p>
        </w:tc>
      </w:tr>
      <w:tr>
        <w:trPr>
          <w:trHeight w:val="269" w:hRule="atLeast"/>
        </w:trPr>
        <w:tc>
          <w:tcPr>
            <w:tcW w:w="1917" w:type="dxa"/>
            <w:tcBorders>
              <w:top w:val="double" w:sz="6" w:space="0" w:color="000000"/>
              <w:bottom w:val="double" w:sz="6" w:space="0" w:color="000000"/>
            </w:tcBorders>
          </w:tcPr>
          <w:p>
            <w:pPr>
              <w:pStyle w:val="TableParagraph"/>
              <w:spacing w:line="209" w:lineRule="exact" w:before="40"/>
              <w:ind w:left="677"/>
              <w:rPr>
                <w:sz w:val="20"/>
              </w:rPr>
            </w:pPr>
            <w:r>
              <w:rPr>
                <w:spacing w:val="-2"/>
                <w:sz w:val="20"/>
              </w:rPr>
              <w:t>Variable</w:t>
            </w:r>
          </w:p>
        </w:tc>
        <w:tc>
          <w:tcPr>
            <w:tcW w:w="1305" w:type="dxa"/>
            <w:tcBorders>
              <w:top w:val="double" w:sz="6" w:space="0" w:color="000000"/>
              <w:bottom w:val="double" w:sz="6" w:space="0" w:color="000000"/>
            </w:tcBorders>
          </w:tcPr>
          <w:p>
            <w:pPr>
              <w:pStyle w:val="TableParagraph"/>
              <w:spacing w:line="209" w:lineRule="exact" w:before="40"/>
              <w:ind w:right="131"/>
              <w:jc w:val="right"/>
              <w:rPr>
                <w:sz w:val="20"/>
              </w:rPr>
            </w:pPr>
            <w:r>
              <w:rPr>
                <w:spacing w:val="-2"/>
                <w:sz w:val="20"/>
              </w:rPr>
              <w:t>Coefficient</w:t>
            </w:r>
          </w:p>
        </w:tc>
        <w:tc>
          <w:tcPr>
            <w:tcW w:w="1432" w:type="dxa"/>
            <w:tcBorders>
              <w:top w:val="double" w:sz="6" w:space="0" w:color="000000"/>
              <w:bottom w:val="double" w:sz="6" w:space="0" w:color="000000"/>
            </w:tcBorders>
          </w:tcPr>
          <w:p>
            <w:pPr>
              <w:pStyle w:val="TableParagraph"/>
              <w:spacing w:line="209" w:lineRule="exact" w:before="40"/>
              <w:ind w:left="273"/>
              <w:rPr>
                <w:sz w:val="20"/>
              </w:rPr>
            </w:pPr>
            <w:r>
              <w:rPr>
                <w:sz w:val="20"/>
              </w:rPr>
              <w:t>Std.</w:t>
            </w:r>
            <w:r>
              <w:rPr>
                <w:spacing w:val="-4"/>
                <w:sz w:val="20"/>
              </w:rPr>
              <w:t> </w:t>
            </w:r>
            <w:r>
              <w:rPr>
                <w:spacing w:val="-2"/>
                <w:sz w:val="20"/>
              </w:rPr>
              <w:t>Error</w:t>
            </w:r>
          </w:p>
        </w:tc>
        <w:tc>
          <w:tcPr>
            <w:tcW w:w="936" w:type="dxa"/>
            <w:tcBorders>
              <w:top w:val="double" w:sz="6" w:space="0" w:color="000000"/>
              <w:bottom w:val="double" w:sz="6" w:space="0" w:color="000000"/>
            </w:tcBorders>
          </w:tcPr>
          <w:p>
            <w:pPr>
              <w:pStyle w:val="TableParagraph"/>
              <w:spacing w:line="209" w:lineRule="exact" w:before="40"/>
              <w:ind w:right="112"/>
              <w:jc w:val="right"/>
              <w:rPr>
                <w:sz w:val="20"/>
              </w:rPr>
            </w:pPr>
            <w:r>
              <w:rPr>
                <w:spacing w:val="-4"/>
                <w:sz w:val="20"/>
              </w:rPr>
              <w:t>t-</w:t>
            </w:r>
            <w:r>
              <w:rPr>
                <w:spacing w:val="-2"/>
                <w:sz w:val="20"/>
              </w:rPr>
              <w:t>Statistic</w:t>
            </w:r>
          </w:p>
        </w:tc>
        <w:tc>
          <w:tcPr>
            <w:tcW w:w="896" w:type="dxa"/>
            <w:tcBorders>
              <w:top w:val="double" w:sz="6" w:space="0" w:color="000000"/>
              <w:bottom w:val="double" w:sz="6" w:space="0" w:color="000000"/>
            </w:tcBorders>
          </w:tcPr>
          <w:p>
            <w:pPr>
              <w:pStyle w:val="TableParagraph"/>
              <w:spacing w:line="209" w:lineRule="exact" w:before="40"/>
              <w:ind w:right="27"/>
              <w:jc w:val="right"/>
              <w:rPr>
                <w:sz w:val="20"/>
              </w:rPr>
            </w:pPr>
            <w:r>
              <w:rPr>
                <w:spacing w:val="-2"/>
                <w:sz w:val="20"/>
              </w:rPr>
              <w:t>Prob.</w:t>
            </w:r>
          </w:p>
        </w:tc>
      </w:tr>
      <w:tr>
        <w:trPr>
          <w:trHeight w:val="275" w:hRule="atLeast"/>
        </w:trPr>
        <w:tc>
          <w:tcPr>
            <w:tcW w:w="1917" w:type="dxa"/>
            <w:tcBorders>
              <w:top w:val="double" w:sz="6" w:space="0" w:color="000000"/>
            </w:tcBorders>
          </w:tcPr>
          <w:p>
            <w:pPr>
              <w:pStyle w:val="TableParagraph"/>
              <w:spacing w:line="215" w:lineRule="exact" w:before="40"/>
              <w:ind w:left="415"/>
              <w:rPr>
                <w:sz w:val="20"/>
              </w:rPr>
            </w:pPr>
            <w:r>
              <w:rPr>
                <w:spacing w:val="-2"/>
                <w:sz w:val="20"/>
              </w:rPr>
              <w:t>EXTDEBT(-</w:t>
            </w:r>
            <w:r>
              <w:rPr>
                <w:spacing w:val="-5"/>
                <w:sz w:val="20"/>
              </w:rPr>
              <w:t>1)</w:t>
            </w:r>
          </w:p>
        </w:tc>
        <w:tc>
          <w:tcPr>
            <w:tcW w:w="1305" w:type="dxa"/>
            <w:tcBorders>
              <w:top w:val="double" w:sz="6" w:space="0" w:color="000000"/>
            </w:tcBorders>
          </w:tcPr>
          <w:p>
            <w:pPr>
              <w:pStyle w:val="TableParagraph"/>
              <w:spacing w:line="215" w:lineRule="exact" w:before="40"/>
              <w:ind w:right="128"/>
              <w:jc w:val="right"/>
              <w:rPr>
                <w:sz w:val="20"/>
              </w:rPr>
            </w:pPr>
            <w:r>
              <w:rPr>
                <w:spacing w:val="-4"/>
                <w:sz w:val="20"/>
              </w:rPr>
              <w:t>-</w:t>
            </w:r>
            <w:r>
              <w:rPr>
                <w:spacing w:val="-2"/>
                <w:sz w:val="20"/>
              </w:rPr>
              <w:t>0.188125</w:t>
            </w:r>
          </w:p>
        </w:tc>
        <w:tc>
          <w:tcPr>
            <w:tcW w:w="1432" w:type="dxa"/>
            <w:tcBorders>
              <w:top w:val="double" w:sz="6" w:space="0" w:color="000000"/>
            </w:tcBorders>
          </w:tcPr>
          <w:p>
            <w:pPr>
              <w:pStyle w:val="TableParagraph"/>
              <w:spacing w:line="215" w:lineRule="exact" w:before="40"/>
              <w:ind w:left="311"/>
              <w:rPr>
                <w:sz w:val="20"/>
              </w:rPr>
            </w:pPr>
            <w:r>
              <w:rPr>
                <w:spacing w:val="-2"/>
                <w:sz w:val="20"/>
              </w:rPr>
              <w:t>0.085450</w:t>
            </w:r>
          </w:p>
        </w:tc>
        <w:tc>
          <w:tcPr>
            <w:tcW w:w="936" w:type="dxa"/>
            <w:tcBorders>
              <w:top w:val="double" w:sz="6" w:space="0" w:color="000000"/>
            </w:tcBorders>
          </w:tcPr>
          <w:p>
            <w:pPr>
              <w:pStyle w:val="TableParagraph"/>
              <w:spacing w:line="215" w:lineRule="exact" w:before="40"/>
              <w:ind w:right="110"/>
              <w:jc w:val="right"/>
              <w:rPr>
                <w:sz w:val="20"/>
              </w:rPr>
            </w:pPr>
            <w:r>
              <w:rPr>
                <w:spacing w:val="-4"/>
                <w:sz w:val="20"/>
              </w:rPr>
              <w:t>-</w:t>
            </w:r>
            <w:r>
              <w:rPr>
                <w:spacing w:val="-2"/>
                <w:sz w:val="20"/>
              </w:rPr>
              <w:t>2.201592</w:t>
            </w:r>
          </w:p>
        </w:tc>
        <w:tc>
          <w:tcPr>
            <w:tcW w:w="896" w:type="dxa"/>
            <w:tcBorders>
              <w:top w:val="double" w:sz="6" w:space="0" w:color="000000"/>
            </w:tcBorders>
          </w:tcPr>
          <w:p>
            <w:pPr>
              <w:pStyle w:val="TableParagraph"/>
              <w:spacing w:line="215" w:lineRule="exact" w:before="40"/>
              <w:ind w:right="26"/>
              <w:jc w:val="right"/>
              <w:rPr>
                <w:sz w:val="20"/>
              </w:rPr>
            </w:pPr>
            <w:r>
              <w:rPr>
                <w:spacing w:val="-2"/>
                <w:sz w:val="20"/>
              </w:rPr>
              <w:t>0.0340</w:t>
            </w:r>
          </w:p>
        </w:tc>
      </w:tr>
      <w:tr>
        <w:trPr>
          <w:trHeight w:val="230" w:hRule="atLeast"/>
        </w:trPr>
        <w:tc>
          <w:tcPr>
            <w:tcW w:w="1917" w:type="dxa"/>
          </w:tcPr>
          <w:p>
            <w:pPr>
              <w:pStyle w:val="TableParagraph"/>
              <w:spacing w:line="210" w:lineRule="exact"/>
              <w:ind w:left="278"/>
              <w:rPr>
                <w:sz w:val="20"/>
              </w:rPr>
            </w:pPr>
            <w:r>
              <w:rPr>
                <w:spacing w:val="-2"/>
                <w:sz w:val="20"/>
              </w:rPr>
              <w:t>D(EXTDEBT(-</w:t>
            </w:r>
            <w:r>
              <w:rPr>
                <w:spacing w:val="-5"/>
                <w:sz w:val="20"/>
              </w:rPr>
              <w:t>1))</w:t>
            </w:r>
          </w:p>
        </w:tc>
        <w:tc>
          <w:tcPr>
            <w:tcW w:w="1305" w:type="dxa"/>
          </w:tcPr>
          <w:p>
            <w:pPr>
              <w:pStyle w:val="TableParagraph"/>
              <w:spacing w:line="210" w:lineRule="exact"/>
              <w:ind w:right="128"/>
              <w:jc w:val="right"/>
              <w:rPr>
                <w:sz w:val="20"/>
              </w:rPr>
            </w:pPr>
            <w:r>
              <w:rPr>
                <w:spacing w:val="-4"/>
                <w:sz w:val="20"/>
              </w:rPr>
              <w:t>-</w:t>
            </w:r>
            <w:r>
              <w:rPr>
                <w:spacing w:val="-2"/>
                <w:sz w:val="20"/>
              </w:rPr>
              <w:t>0.299084</w:t>
            </w:r>
          </w:p>
        </w:tc>
        <w:tc>
          <w:tcPr>
            <w:tcW w:w="1432" w:type="dxa"/>
          </w:tcPr>
          <w:p>
            <w:pPr>
              <w:pStyle w:val="TableParagraph"/>
              <w:spacing w:line="210" w:lineRule="exact"/>
              <w:ind w:left="311"/>
              <w:rPr>
                <w:sz w:val="20"/>
              </w:rPr>
            </w:pPr>
            <w:r>
              <w:rPr>
                <w:spacing w:val="-2"/>
                <w:sz w:val="20"/>
              </w:rPr>
              <w:t>0.146248</w:t>
            </w:r>
          </w:p>
        </w:tc>
        <w:tc>
          <w:tcPr>
            <w:tcW w:w="936" w:type="dxa"/>
          </w:tcPr>
          <w:p>
            <w:pPr>
              <w:pStyle w:val="TableParagraph"/>
              <w:spacing w:line="210" w:lineRule="exact"/>
              <w:ind w:right="110"/>
              <w:jc w:val="right"/>
              <w:rPr>
                <w:sz w:val="20"/>
              </w:rPr>
            </w:pPr>
            <w:r>
              <w:rPr>
                <w:spacing w:val="-4"/>
                <w:sz w:val="20"/>
              </w:rPr>
              <w:t>-</w:t>
            </w:r>
            <w:r>
              <w:rPr>
                <w:spacing w:val="-2"/>
                <w:sz w:val="20"/>
              </w:rPr>
              <w:t>2.045049</w:t>
            </w:r>
          </w:p>
        </w:tc>
        <w:tc>
          <w:tcPr>
            <w:tcW w:w="896" w:type="dxa"/>
          </w:tcPr>
          <w:p>
            <w:pPr>
              <w:pStyle w:val="TableParagraph"/>
              <w:spacing w:line="210" w:lineRule="exact"/>
              <w:ind w:right="26"/>
              <w:jc w:val="right"/>
              <w:rPr>
                <w:sz w:val="20"/>
              </w:rPr>
            </w:pPr>
            <w:r>
              <w:rPr>
                <w:spacing w:val="-2"/>
                <w:sz w:val="20"/>
              </w:rPr>
              <w:t>0.0480</w:t>
            </w:r>
          </w:p>
        </w:tc>
      </w:tr>
      <w:tr>
        <w:trPr>
          <w:trHeight w:val="224" w:hRule="atLeast"/>
        </w:trPr>
        <w:tc>
          <w:tcPr>
            <w:tcW w:w="1917" w:type="dxa"/>
            <w:tcBorders>
              <w:bottom w:val="double" w:sz="6" w:space="0" w:color="000000"/>
            </w:tcBorders>
          </w:tcPr>
          <w:p>
            <w:pPr>
              <w:pStyle w:val="TableParagraph"/>
              <w:spacing w:line="205" w:lineRule="exact"/>
              <w:ind w:left="127"/>
              <w:jc w:val="center"/>
              <w:rPr>
                <w:sz w:val="20"/>
              </w:rPr>
            </w:pPr>
            <w:r>
              <w:rPr>
                <w:spacing w:val="-10"/>
                <w:sz w:val="20"/>
              </w:rPr>
              <w:t>C</w:t>
            </w:r>
          </w:p>
        </w:tc>
        <w:tc>
          <w:tcPr>
            <w:tcW w:w="1305" w:type="dxa"/>
            <w:tcBorders>
              <w:bottom w:val="double" w:sz="6" w:space="0" w:color="000000"/>
            </w:tcBorders>
          </w:tcPr>
          <w:p>
            <w:pPr>
              <w:pStyle w:val="TableParagraph"/>
              <w:spacing w:line="205" w:lineRule="exact"/>
              <w:ind w:right="128"/>
              <w:jc w:val="right"/>
              <w:rPr>
                <w:sz w:val="20"/>
              </w:rPr>
            </w:pPr>
            <w:r>
              <w:rPr>
                <w:spacing w:val="-2"/>
                <w:sz w:val="20"/>
              </w:rPr>
              <w:t>2.103002</w:t>
            </w:r>
          </w:p>
        </w:tc>
        <w:tc>
          <w:tcPr>
            <w:tcW w:w="1432" w:type="dxa"/>
            <w:tcBorders>
              <w:bottom w:val="double" w:sz="6" w:space="0" w:color="000000"/>
            </w:tcBorders>
          </w:tcPr>
          <w:p>
            <w:pPr>
              <w:pStyle w:val="TableParagraph"/>
              <w:spacing w:line="205" w:lineRule="exact"/>
              <w:ind w:left="311"/>
              <w:rPr>
                <w:sz w:val="20"/>
              </w:rPr>
            </w:pPr>
            <w:r>
              <w:rPr>
                <w:spacing w:val="-2"/>
                <w:sz w:val="20"/>
              </w:rPr>
              <w:t>0.848483</w:t>
            </w:r>
          </w:p>
        </w:tc>
        <w:tc>
          <w:tcPr>
            <w:tcW w:w="936" w:type="dxa"/>
            <w:tcBorders>
              <w:bottom w:val="double" w:sz="6" w:space="0" w:color="000000"/>
            </w:tcBorders>
          </w:tcPr>
          <w:p>
            <w:pPr>
              <w:pStyle w:val="TableParagraph"/>
              <w:spacing w:line="205" w:lineRule="exact"/>
              <w:ind w:right="110"/>
              <w:jc w:val="right"/>
              <w:rPr>
                <w:sz w:val="20"/>
              </w:rPr>
            </w:pPr>
            <w:r>
              <w:rPr>
                <w:spacing w:val="-2"/>
                <w:sz w:val="20"/>
              </w:rPr>
              <w:t>2.478544</w:t>
            </w:r>
          </w:p>
        </w:tc>
        <w:tc>
          <w:tcPr>
            <w:tcW w:w="896" w:type="dxa"/>
            <w:tcBorders>
              <w:bottom w:val="double" w:sz="6" w:space="0" w:color="000000"/>
            </w:tcBorders>
          </w:tcPr>
          <w:p>
            <w:pPr>
              <w:pStyle w:val="TableParagraph"/>
              <w:spacing w:line="205" w:lineRule="exact"/>
              <w:ind w:right="26"/>
              <w:jc w:val="right"/>
              <w:rPr>
                <w:sz w:val="20"/>
              </w:rPr>
            </w:pPr>
            <w:r>
              <w:rPr>
                <w:spacing w:val="-2"/>
                <w:sz w:val="20"/>
              </w:rPr>
              <w:t>0.0179</w:t>
            </w:r>
          </w:p>
        </w:tc>
      </w:tr>
      <w:tr>
        <w:trPr>
          <w:trHeight w:val="275" w:hRule="atLeast"/>
        </w:trPr>
        <w:tc>
          <w:tcPr>
            <w:tcW w:w="1917" w:type="dxa"/>
            <w:tcBorders>
              <w:top w:val="double" w:sz="6" w:space="0" w:color="000000"/>
            </w:tcBorders>
          </w:tcPr>
          <w:p>
            <w:pPr>
              <w:pStyle w:val="TableParagraph"/>
              <w:spacing w:line="215" w:lineRule="exact" w:before="40"/>
              <w:ind w:left="36"/>
              <w:rPr>
                <w:sz w:val="20"/>
              </w:rPr>
            </w:pPr>
            <w:r>
              <w:rPr>
                <w:spacing w:val="-2"/>
                <w:sz w:val="20"/>
              </w:rPr>
              <w:t>R-squared</w:t>
            </w:r>
          </w:p>
        </w:tc>
        <w:tc>
          <w:tcPr>
            <w:tcW w:w="1305" w:type="dxa"/>
            <w:tcBorders>
              <w:top w:val="double" w:sz="6" w:space="0" w:color="000000"/>
            </w:tcBorders>
          </w:tcPr>
          <w:p>
            <w:pPr>
              <w:pStyle w:val="TableParagraph"/>
              <w:spacing w:line="215" w:lineRule="exact" w:before="40"/>
              <w:ind w:right="128"/>
              <w:jc w:val="right"/>
              <w:rPr>
                <w:sz w:val="20"/>
              </w:rPr>
            </w:pPr>
            <w:r>
              <w:rPr>
                <w:spacing w:val="-2"/>
                <w:sz w:val="20"/>
              </w:rPr>
              <w:t>0.228160</w:t>
            </w:r>
          </w:p>
        </w:tc>
        <w:tc>
          <w:tcPr>
            <w:tcW w:w="2368" w:type="dxa"/>
            <w:gridSpan w:val="2"/>
            <w:tcBorders>
              <w:top w:val="double" w:sz="6" w:space="0" w:color="000000"/>
            </w:tcBorders>
          </w:tcPr>
          <w:p>
            <w:pPr>
              <w:pStyle w:val="TableParagraph"/>
              <w:spacing w:line="215" w:lineRule="exact" w:before="40"/>
              <w:ind w:left="131"/>
              <w:rPr>
                <w:sz w:val="20"/>
              </w:rPr>
            </w:pPr>
            <w:r>
              <w:rPr>
                <w:sz w:val="20"/>
              </w:rPr>
              <w:t>Mean</w:t>
            </w:r>
            <w:r>
              <w:rPr>
                <w:spacing w:val="-7"/>
                <w:sz w:val="20"/>
              </w:rPr>
              <w:t> </w:t>
            </w:r>
            <w:r>
              <w:rPr>
                <w:sz w:val="20"/>
              </w:rPr>
              <w:t>dependent</w:t>
            </w:r>
            <w:r>
              <w:rPr>
                <w:spacing w:val="-7"/>
                <w:sz w:val="20"/>
              </w:rPr>
              <w:t> </w:t>
            </w:r>
            <w:r>
              <w:rPr>
                <w:spacing w:val="-5"/>
                <w:sz w:val="20"/>
              </w:rPr>
              <w:t>var</w:t>
            </w:r>
          </w:p>
        </w:tc>
        <w:tc>
          <w:tcPr>
            <w:tcW w:w="896" w:type="dxa"/>
            <w:tcBorders>
              <w:top w:val="double" w:sz="6" w:space="0" w:color="000000"/>
            </w:tcBorders>
          </w:tcPr>
          <w:p>
            <w:pPr>
              <w:pStyle w:val="TableParagraph"/>
              <w:spacing w:line="215" w:lineRule="exact" w:before="40"/>
              <w:ind w:right="26"/>
              <w:jc w:val="right"/>
              <w:rPr>
                <w:sz w:val="20"/>
              </w:rPr>
            </w:pPr>
            <w:r>
              <w:rPr>
                <w:spacing w:val="-2"/>
                <w:sz w:val="20"/>
              </w:rPr>
              <w:t>0.274691</w:t>
            </w:r>
          </w:p>
        </w:tc>
      </w:tr>
      <w:tr>
        <w:trPr>
          <w:trHeight w:val="230" w:hRule="atLeast"/>
        </w:trPr>
        <w:tc>
          <w:tcPr>
            <w:tcW w:w="1917" w:type="dxa"/>
          </w:tcPr>
          <w:p>
            <w:pPr>
              <w:pStyle w:val="TableParagraph"/>
              <w:spacing w:line="211" w:lineRule="exact"/>
              <w:ind w:left="36"/>
              <w:rPr>
                <w:sz w:val="20"/>
              </w:rPr>
            </w:pPr>
            <w:r>
              <w:rPr>
                <w:sz w:val="20"/>
              </w:rPr>
              <w:t>Adjusted</w:t>
            </w:r>
            <w:r>
              <w:rPr>
                <w:spacing w:val="-10"/>
                <w:sz w:val="20"/>
              </w:rPr>
              <w:t> </w:t>
            </w:r>
            <w:r>
              <w:rPr>
                <w:sz w:val="20"/>
              </w:rPr>
              <w:t>R-</w:t>
            </w:r>
            <w:r>
              <w:rPr>
                <w:spacing w:val="-2"/>
                <w:sz w:val="20"/>
              </w:rPr>
              <w:t>squared</w:t>
            </w:r>
          </w:p>
        </w:tc>
        <w:tc>
          <w:tcPr>
            <w:tcW w:w="1305" w:type="dxa"/>
          </w:tcPr>
          <w:p>
            <w:pPr>
              <w:pStyle w:val="TableParagraph"/>
              <w:spacing w:line="211" w:lineRule="exact"/>
              <w:ind w:right="128"/>
              <w:jc w:val="right"/>
              <w:rPr>
                <w:sz w:val="20"/>
              </w:rPr>
            </w:pPr>
            <w:r>
              <w:rPr>
                <w:spacing w:val="-2"/>
                <w:sz w:val="20"/>
              </w:rPr>
              <w:t>0.186439</w:t>
            </w:r>
          </w:p>
        </w:tc>
        <w:tc>
          <w:tcPr>
            <w:tcW w:w="2368" w:type="dxa"/>
            <w:gridSpan w:val="2"/>
          </w:tcPr>
          <w:p>
            <w:pPr>
              <w:pStyle w:val="TableParagraph"/>
              <w:spacing w:line="211" w:lineRule="exact"/>
              <w:ind w:left="131"/>
              <w:rPr>
                <w:sz w:val="20"/>
              </w:rPr>
            </w:pPr>
            <w:r>
              <w:rPr>
                <w:sz w:val="20"/>
              </w:rPr>
              <w:t>S.D.</w:t>
            </w:r>
            <w:r>
              <w:rPr>
                <w:spacing w:val="-5"/>
                <w:sz w:val="20"/>
              </w:rPr>
              <w:t> </w:t>
            </w:r>
            <w:r>
              <w:rPr>
                <w:sz w:val="20"/>
              </w:rPr>
              <w:t>dependent</w:t>
            </w:r>
            <w:r>
              <w:rPr>
                <w:spacing w:val="-6"/>
                <w:sz w:val="20"/>
              </w:rPr>
              <w:t> </w:t>
            </w:r>
            <w:r>
              <w:rPr>
                <w:spacing w:val="-5"/>
                <w:sz w:val="20"/>
              </w:rPr>
              <w:t>var</w:t>
            </w:r>
          </w:p>
        </w:tc>
        <w:tc>
          <w:tcPr>
            <w:tcW w:w="896" w:type="dxa"/>
          </w:tcPr>
          <w:p>
            <w:pPr>
              <w:pStyle w:val="TableParagraph"/>
              <w:spacing w:line="211" w:lineRule="exact"/>
              <w:ind w:right="26"/>
              <w:jc w:val="right"/>
              <w:rPr>
                <w:sz w:val="20"/>
              </w:rPr>
            </w:pPr>
            <w:r>
              <w:rPr>
                <w:spacing w:val="-2"/>
                <w:sz w:val="20"/>
              </w:rPr>
              <w:t>2.270709</w:t>
            </w:r>
          </w:p>
        </w:tc>
      </w:tr>
      <w:tr>
        <w:trPr>
          <w:trHeight w:val="230" w:hRule="atLeast"/>
        </w:trPr>
        <w:tc>
          <w:tcPr>
            <w:tcW w:w="1917" w:type="dxa"/>
          </w:tcPr>
          <w:p>
            <w:pPr>
              <w:pStyle w:val="TableParagraph"/>
              <w:spacing w:line="210" w:lineRule="exact"/>
              <w:ind w:left="36"/>
              <w:rPr>
                <w:sz w:val="20"/>
              </w:rPr>
            </w:pPr>
            <w:r>
              <w:rPr>
                <w:sz w:val="20"/>
              </w:rPr>
              <w:t>S.E.</w:t>
            </w:r>
            <w:r>
              <w:rPr>
                <w:spacing w:val="-3"/>
                <w:sz w:val="20"/>
              </w:rPr>
              <w:t> </w:t>
            </w:r>
            <w:r>
              <w:rPr>
                <w:sz w:val="20"/>
              </w:rPr>
              <w:t>of</w:t>
            </w:r>
            <w:r>
              <w:rPr>
                <w:spacing w:val="-3"/>
                <w:sz w:val="20"/>
              </w:rPr>
              <w:t> </w:t>
            </w:r>
            <w:r>
              <w:rPr>
                <w:spacing w:val="-2"/>
                <w:sz w:val="20"/>
              </w:rPr>
              <w:t>regression</w:t>
            </w:r>
          </w:p>
        </w:tc>
        <w:tc>
          <w:tcPr>
            <w:tcW w:w="1305" w:type="dxa"/>
          </w:tcPr>
          <w:p>
            <w:pPr>
              <w:pStyle w:val="TableParagraph"/>
              <w:spacing w:line="210" w:lineRule="exact"/>
              <w:ind w:right="128"/>
              <w:jc w:val="right"/>
              <w:rPr>
                <w:sz w:val="20"/>
              </w:rPr>
            </w:pPr>
            <w:r>
              <w:rPr>
                <w:spacing w:val="-2"/>
                <w:sz w:val="20"/>
              </w:rPr>
              <w:t>2.048126</w:t>
            </w:r>
          </w:p>
        </w:tc>
        <w:tc>
          <w:tcPr>
            <w:tcW w:w="2368" w:type="dxa"/>
            <w:gridSpan w:val="2"/>
          </w:tcPr>
          <w:p>
            <w:pPr>
              <w:pStyle w:val="TableParagraph"/>
              <w:spacing w:line="210" w:lineRule="exact"/>
              <w:ind w:left="131"/>
              <w:rPr>
                <w:sz w:val="20"/>
              </w:rPr>
            </w:pPr>
            <w:r>
              <w:rPr>
                <w:sz w:val="20"/>
              </w:rPr>
              <w:t>Akaike</w:t>
            </w:r>
            <w:r>
              <w:rPr>
                <w:spacing w:val="-8"/>
                <w:sz w:val="20"/>
              </w:rPr>
              <w:t> </w:t>
            </w:r>
            <w:r>
              <w:rPr>
                <w:sz w:val="20"/>
              </w:rPr>
              <w:t>info</w:t>
            </w:r>
            <w:r>
              <w:rPr>
                <w:spacing w:val="-7"/>
                <w:sz w:val="20"/>
              </w:rPr>
              <w:t> </w:t>
            </w:r>
            <w:r>
              <w:rPr>
                <w:spacing w:val="-2"/>
                <w:sz w:val="20"/>
              </w:rPr>
              <w:t>criterion</w:t>
            </w:r>
          </w:p>
        </w:tc>
        <w:tc>
          <w:tcPr>
            <w:tcW w:w="896" w:type="dxa"/>
          </w:tcPr>
          <w:p>
            <w:pPr>
              <w:pStyle w:val="TableParagraph"/>
              <w:spacing w:line="210" w:lineRule="exact"/>
              <w:ind w:right="26"/>
              <w:jc w:val="right"/>
              <w:rPr>
                <w:sz w:val="20"/>
              </w:rPr>
            </w:pPr>
            <w:r>
              <w:rPr>
                <w:spacing w:val="-2"/>
                <w:sz w:val="20"/>
              </w:rPr>
              <w:t>4.343766</w:t>
            </w:r>
          </w:p>
        </w:tc>
      </w:tr>
      <w:tr>
        <w:trPr>
          <w:trHeight w:val="229" w:hRule="atLeast"/>
        </w:trPr>
        <w:tc>
          <w:tcPr>
            <w:tcW w:w="1917" w:type="dxa"/>
          </w:tcPr>
          <w:p>
            <w:pPr>
              <w:pStyle w:val="TableParagraph"/>
              <w:spacing w:line="209" w:lineRule="exact"/>
              <w:ind w:left="36"/>
              <w:rPr>
                <w:sz w:val="20"/>
              </w:rPr>
            </w:pPr>
            <w:r>
              <w:rPr>
                <w:sz w:val="20"/>
              </w:rPr>
              <w:t>Sum</w:t>
            </w:r>
            <w:r>
              <w:rPr>
                <w:spacing w:val="-8"/>
                <w:sz w:val="20"/>
              </w:rPr>
              <w:t> </w:t>
            </w:r>
            <w:r>
              <w:rPr>
                <w:sz w:val="20"/>
              </w:rPr>
              <w:t>squared</w:t>
            </w:r>
            <w:r>
              <w:rPr>
                <w:spacing w:val="-4"/>
                <w:sz w:val="20"/>
              </w:rPr>
              <w:t> </w:t>
            </w:r>
            <w:r>
              <w:rPr>
                <w:spacing w:val="-2"/>
                <w:sz w:val="20"/>
              </w:rPr>
              <w:t>resid</w:t>
            </w:r>
          </w:p>
        </w:tc>
        <w:tc>
          <w:tcPr>
            <w:tcW w:w="1305" w:type="dxa"/>
          </w:tcPr>
          <w:p>
            <w:pPr>
              <w:pStyle w:val="TableParagraph"/>
              <w:spacing w:line="209" w:lineRule="exact"/>
              <w:ind w:right="128"/>
              <w:jc w:val="right"/>
              <w:rPr>
                <w:sz w:val="20"/>
              </w:rPr>
            </w:pPr>
            <w:r>
              <w:rPr>
                <w:spacing w:val="-2"/>
                <w:sz w:val="20"/>
              </w:rPr>
              <w:t>155.2083</w:t>
            </w:r>
          </w:p>
        </w:tc>
        <w:tc>
          <w:tcPr>
            <w:tcW w:w="2368" w:type="dxa"/>
            <w:gridSpan w:val="2"/>
          </w:tcPr>
          <w:p>
            <w:pPr>
              <w:pStyle w:val="TableParagraph"/>
              <w:spacing w:line="209" w:lineRule="exact"/>
              <w:ind w:left="131"/>
              <w:rPr>
                <w:sz w:val="20"/>
              </w:rPr>
            </w:pPr>
            <w:r>
              <w:rPr>
                <w:sz w:val="20"/>
              </w:rPr>
              <w:t>Schwarz</w:t>
            </w:r>
            <w:r>
              <w:rPr>
                <w:spacing w:val="-8"/>
                <w:sz w:val="20"/>
              </w:rPr>
              <w:t> </w:t>
            </w:r>
            <w:r>
              <w:rPr>
                <w:spacing w:val="-2"/>
                <w:sz w:val="20"/>
              </w:rPr>
              <w:t>criterion</w:t>
            </w:r>
          </w:p>
        </w:tc>
        <w:tc>
          <w:tcPr>
            <w:tcW w:w="896" w:type="dxa"/>
          </w:tcPr>
          <w:p>
            <w:pPr>
              <w:pStyle w:val="TableParagraph"/>
              <w:spacing w:line="209" w:lineRule="exact"/>
              <w:ind w:right="26"/>
              <w:jc w:val="right"/>
              <w:rPr>
                <w:sz w:val="20"/>
              </w:rPr>
            </w:pPr>
            <w:r>
              <w:rPr>
                <w:spacing w:val="-2"/>
                <w:sz w:val="20"/>
              </w:rPr>
              <w:t>4.470432</w:t>
            </w:r>
          </w:p>
        </w:tc>
      </w:tr>
      <w:tr>
        <w:trPr>
          <w:trHeight w:val="229" w:hRule="atLeast"/>
        </w:trPr>
        <w:tc>
          <w:tcPr>
            <w:tcW w:w="1917" w:type="dxa"/>
          </w:tcPr>
          <w:p>
            <w:pPr>
              <w:pStyle w:val="TableParagraph"/>
              <w:spacing w:line="209" w:lineRule="exact"/>
              <w:ind w:left="36"/>
              <w:rPr>
                <w:sz w:val="20"/>
              </w:rPr>
            </w:pPr>
            <w:r>
              <w:rPr>
                <w:sz w:val="20"/>
              </w:rPr>
              <w:t>Log</w:t>
            </w:r>
            <w:r>
              <w:rPr>
                <w:spacing w:val="-6"/>
                <w:sz w:val="20"/>
              </w:rPr>
              <w:t> </w:t>
            </w:r>
            <w:r>
              <w:rPr>
                <w:spacing w:val="-2"/>
                <w:sz w:val="20"/>
              </w:rPr>
              <w:t>likelihood</w:t>
            </w:r>
          </w:p>
        </w:tc>
        <w:tc>
          <w:tcPr>
            <w:tcW w:w="1305" w:type="dxa"/>
          </w:tcPr>
          <w:p>
            <w:pPr>
              <w:pStyle w:val="TableParagraph"/>
              <w:spacing w:line="209" w:lineRule="exact"/>
              <w:ind w:right="128"/>
              <w:jc w:val="right"/>
              <w:rPr>
                <w:sz w:val="20"/>
              </w:rPr>
            </w:pPr>
            <w:r>
              <w:rPr>
                <w:spacing w:val="-4"/>
                <w:sz w:val="20"/>
              </w:rPr>
              <w:t>-</w:t>
            </w:r>
            <w:r>
              <w:rPr>
                <w:spacing w:val="-2"/>
                <w:sz w:val="20"/>
              </w:rPr>
              <w:t>83.87531</w:t>
            </w:r>
          </w:p>
        </w:tc>
        <w:tc>
          <w:tcPr>
            <w:tcW w:w="1432" w:type="dxa"/>
          </w:tcPr>
          <w:p>
            <w:pPr>
              <w:pStyle w:val="TableParagraph"/>
              <w:spacing w:line="209" w:lineRule="exact"/>
              <w:ind w:left="131"/>
              <w:rPr>
                <w:sz w:val="20"/>
              </w:rPr>
            </w:pPr>
            <w:r>
              <w:rPr>
                <w:spacing w:val="-4"/>
                <w:sz w:val="20"/>
              </w:rPr>
              <w:t>F-</w:t>
            </w:r>
            <w:r>
              <w:rPr>
                <w:spacing w:val="-2"/>
                <w:sz w:val="20"/>
              </w:rPr>
              <w:t>statistic</w:t>
            </w:r>
          </w:p>
        </w:tc>
        <w:tc>
          <w:tcPr>
            <w:tcW w:w="936" w:type="dxa"/>
          </w:tcPr>
          <w:p>
            <w:pPr>
              <w:pStyle w:val="TableParagraph"/>
              <w:rPr>
                <w:sz w:val="16"/>
              </w:rPr>
            </w:pPr>
          </w:p>
        </w:tc>
        <w:tc>
          <w:tcPr>
            <w:tcW w:w="896" w:type="dxa"/>
          </w:tcPr>
          <w:p>
            <w:pPr>
              <w:pStyle w:val="TableParagraph"/>
              <w:spacing w:line="209" w:lineRule="exact"/>
              <w:ind w:right="26"/>
              <w:jc w:val="right"/>
              <w:rPr>
                <w:sz w:val="20"/>
              </w:rPr>
            </w:pPr>
            <w:r>
              <w:rPr>
                <w:spacing w:val="-2"/>
                <w:sz w:val="20"/>
              </w:rPr>
              <w:t>5.468688</w:t>
            </w:r>
          </w:p>
        </w:tc>
      </w:tr>
      <w:tr>
        <w:trPr>
          <w:trHeight w:val="267" w:hRule="atLeast"/>
        </w:trPr>
        <w:tc>
          <w:tcPr>
            <w:tcW w:w="1917" w:type="dxa"/>
            <w:tcBorders>
              <w:bottom w:val="double" w:sz="6" w:space="0" w:color="000000"/>
            </w:tcBorders>
          </w:tcPr>
          <w:p>
            <w:pPr>
              <w:pStyle w:val="TableParagraph"/>
              <w:spacing w:line="226" w:lineRule="exact"/>
              <w:ind w:left="36"/>
              <w:rPr>
                <w:sz w:val="20"/>
              </w:rPr>
            </w:pPr>
            <w:r>
              <w:rPr>
                <w:sz w:val="20"/>
              </w:rPr>
              <w:t>Durbin-Watson</w:t>
            </w:r>
            <w:r>
              <w:rPr>
                <w:spacing w:val="-12"/>
                <w:sz w:val="20"/>
              </w:rPr>
              <w:t> </w:t>
            </w:r>
            <w:r>
              <w:rPr>
                <w:spacing w:val="-4"/>
                <w:sz w:val="20"/>
              </w:rPr>
              <w:t>stat</w:t>
            </w:r>
          </w:p>
        </w:tc>
        <w:tc>
          <w:tcPr>
            <w:tcW w:w="1305" w:type="dxa"/>
          </w:tcPr>
          <w:p>
            <w:pPr>
              <w:pStyle w:val="TableParagraph"/>
              <w:spacing w:line="226" w:lineRule="exact"/>
              <w:ind w:right="128"/>
              <w:jc w:val="right"/>
              <w:rPr>
                <w:sz w:val="20"/>
              </w:rPr>
            </w:pPr>
            <w:r>
              <w:rPr>
                <w:spacing w:val="-2"/>
                <w:sz w:val="20"/>
              </w:rPr>
              <w:t>2.246333</w:t>
            </w:r>
          </w:p>
        </w:tc>
        <w:tc>
          <w:tcPr>
            <w:tcW w:w="1432" w:type="dxa"/>
            <w:tcBorders>
              <w:bottom w:val="double" w:sz="6" w:space="0" w:color="000000"/>
            </w:tcBorders>
          </w:tcPr>
          <w:p>
            <w:pPr>
              <w:pStyle w:val="TableParagraph"/>
              <w:spacing w:line="226" w:lineRule="exact"/>
              <w:ind w:left="131"/>
              <w:rPr>
                <w:sz w:val="20"/>
              </w:rPr>
            </w:pPr>
            <w:r>
              <w:rPr>
                <w:spacing w:val="-2"/>
                <w:sz w:val="20"/>
              </w:rPr>
              <w:t>Prob(F-statistic)</w:t>
            </w:r>
          </w:p>
        </w:tc>
        <w:tc>
          <w:tcPr>
            <w:tcW w:w="936" w:type="dxa"/>
            <w:tcBorders>
              <w:bottom w:val="single" w:sz="6" w:space="0" w:color="000000"/>
            </w:tcBorders>
          </w:tcPr>
          <w:p>
            <w:pPr>
              <w:pStyle w:val="TableParagraph"/>
              <w:rPr>
                <w:sz w:val="18"/>
              </w:rPr>
            </w:pPr>
          </w:p>
        </w:tc>
        <w:tc>
          <w:tcPr>
            <w:tcW w:w="896" w:type="dxa"/>
            <w:tcBorders>
              <w:bottom w:val="double" w:sz="6" w:space="0" w:color="000000"/>
            </w:tcBorders>
          </w:tcPr>
          <w:p>
            <w:pPr>
              <w:pStyle w:val="TableParagraph"/>
              <w:spacing w:line="226" w:lineRule="exact"/>
              <w:ind w:right="26"/>
              <w:jc w:val="right"/>
              <w:rPr>
                <w:sz w:val="20"/>
              </w:rPr>
            </w:pPr>
            <w:r>
              <w:rPr>
                <w:spacing w:val="-2"/>
                <w:sz w:val="20"/>
              </w:rPr>
              <w:t>0.008303</w:t>
            </w:r>
          </w:p>
        </w:tc>
      </w:tr>
    </w:tbl>
    <w:p>
      <w:pPr>
        <w:spacing w:after="0" w:line="226" w:lineRule="exact"/>
        <w:jc w:val="right"/>
        <w:rPr>
          <w:sz w:val="20"/>
        </w:rPr>
        <w:sectPr>
          <w:pgSz w:w="11910" w:h="16840"/>
          <w:pgMar w:header="0" w:footer="979" w:top="1580" w:bottom="1240" w:left="280" w:right="0"/>
        </w:sectPr>
      </w:pPr>
    </w:p>
    <w:p>
      <w:pPr>
        <w:spacing w:before="82" w:after="3"/>
        <w:ind w:left="711" w:right="0" w:firstLine="0"/>
        <w:jc w:val="left"/>
        <w:rPr>
          <w:sz w:val="20"/>
        </w:rPr>
      </w:pPr>
      <w:r>
        <w:rPr>
          <w:sz w:val="20"/>
        </w:rPr>
        <w:t>EXTDEBT</w:t>
      </w:r>
      <w:r>
        <w:rPr>
          <w:spacing w:val="-5"/>
          <w:sz w:val="20"/>
        </w:rPr>
        <w:t> </w:t>
      </w:r>
      <w:r>
        <w:rPr>
          <w:sz w:val="20"/>
        </w:rPr>
        <w:t>@</w:t>
      </w:r>
      <w:r>
        <w:rPr>
          <w:spacing w:val="-5"/>
          <w:sz w:val="20"/>
        </w:rPr>
        <w:t> </w:t>
      </w:r>
      <w:r>
        <w:rPr>
          <w:sz w:val="20"/>
        </w:rPr>
        <w:t>1</w:t>
      </w:r>
      <w:r>
        <w:rPr>
          <w:sz w:val="20"/>
          <w:vertAlign w:val="superscript"/>
        </w:rPr>
        <w:t>ST</w:t>
      </w:r>
      <w:r>
        <w:rPr>
          <w:spacing w:val="-4"/>
          <w:sz w:val="20"/>
          <w:vertAlign w:val="baseline"/>
        </w:rPr>
        <w:t> DIFF</w:t>
      </w:r>
    </w:p>
    <w:tbl>
      <w:tblPr>
        <w:tblW w:w="0" w:type="auto"/>
        <w:jc w:val="left"/>
        <w:tblInd w:w="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54"/>
        <w:gridCol w:w="1268"/>
        <w:gridCol w:w="1432"/>
        <w:gridCol w:w="904"/>
        <w:gridCol w:w="929"/>
      </w:tblGrid>
      <w:tr>
        <w:trPr>
          <w:trHeight w:val="224" w:hRule="atLeast"/>
        </w:trPr>
        <w:tc>
          <w:tcPr>
            <w:tcW w:w="1954" w:type="dxa"/>
          </w:tcPr>
          <w:p>
            <w:pPr>
              <w:pStyle w:val="TableParagraph"/>
              <w:spacing w:line="204" w:lineRule="exact"/>
              <w:ind w:left="36"/>
              <w:rPr>
                <w:sz w:val="20"/>
              </w:rPr>
            </w:pPr>
            <w:r>
              <w:rPr>
                <w:sz w:val="20"/>
              </w:rPr>
              <w:t>ADF</w:t>
            </w:r>
            <w:r>
              <w:rPr>
                <w:spacing w:val="-4"/>
                <w:sz w:val="20"/>
              </w:rPr>
              <w:t> </w:t>
            </w:r>
            <w:r>
              <w:rPr>
                <w:sz w:val="20"/>
              </w:rPr>
              <w:t>Test</w:t>
            </w:r>
            <w:r>
              <w:rPr>
                <w:spacing w:val="-3"/>
                <w:sz w:val="20"/>
              </w:rPr>
              <w:t> </w:t>
            </w:r>
            <w:r>
              <w:rPr>
                <w:spacing w:val="-2"/>
                <w:sz w:val="20"/>
              </w:rPr>
              <w:t>Statistic</w:t>
            </w:r>
          </w:p>
        </w:tc>
        <w:tc>
          <w:tcPr>
            <w:tcW w:w="1268" w:type="dxa"/>
          </w:tcPr>
          <w:p>
            <w:pPr>
              <w:pStyle w:val="TableParagraph"/>
              <w:spacing w:line="204" w:lineRule="exact"/>
              <w:ind w:left="112"/>
              <w:rPr>
                <w:sz w:val="20"/>
              </w:rPr>
            </w:pPr>
            <w:r>
              <w:rPr>
                <w:spacing w:val="-4"/>
                <w:sz w:val="20"/>
              </w:rPr>
              <w:t>-</w:t>
            </w:r>
            <w:r>
              <w:rPr>
                <w:spacing w:val="-2"/>
                <w:sz w:val="20"/>
              </w:rPr>
              <w:t>8.348753</w:t>
            </w:r>
          </w:p>
        </w:tc>
        <w:tc>
          <w:tcPr>
            <w:tcW w:w="2336" w:type="dxa"/>
            <w:gridSpan w:val="2"/>
          </w:tcPr>
          <w:p>
            <w:pPr>
              <w:pStyle w:val="TableParagraph"/>
              <w:spacing w:line="204" w:lineRule="exact"/>
              <w:ind w:left="131"/>
              <w:rPr>
                <w:sz w:val="20"/>
              </w:rPr>
            </w:pPr>
            <w:r>
              <w:rPr>
                <w:sz w:val="20"/>
              </w:rPr>
              <w:t>1%</w:t>
            </w:r>
            <w:r>
              <w:rPr>
                <w:spacing w:val="68"/>
                <w:w w:val="150"/>
                <w:sz w:val="20"/>
              </w:rPr>
              <w:t> </w:t>
            </w:r>
            <w:r>
              <w:rPr>
                <w:sz w:val="20"/>
              </w:rPr>
              <w:t>Critical</w:t>
            </w:r>
            <w:r>
              <w:rPr>
                <w:spacing w:val="-2"/>
                <w:sz w:val="20"/>
              </w:rPr>
              <w:t> Value*</w:t>
            </w:r>
          </w:p>
        </w:tc>
        <w:tc>
          <w:tcPr>
            <w:tcW w:w="929" w:type="dxa"/>
          </w:tcPr>
          <w:p>
            <w:pPr>
              <w:pStyle w:val="TableParagraph"/>
              <w:spacing w:line="204" w:lineRule="exact"/>
              <w:ind w:right="27"/>
              <w:jc w:val="right"/>
              <w:rPr>
                <w:sz w:val="20"/>
              </w:rPr>
            </w:pPr>
            <w:r>
              <w:rPr>
                <w:spacing w:val="-4"/>
                <w:sz w:val="20"/>
              </w:rPr>
              <w:t>-</w:t>
            </w:r>
            <w:r>
              <w:rPr>
                <w:spacing w:val="-2"/>
                <w:sz w:val="20"/>
              </w:rPr>
              <w:t>3.6067</w:t>
            </w:r>
          </w:p>
        </w:tc>
      </w:tr>
      <w:tr>
        <w:trPr>
          <w:trHeight w:val="229" w:hRule="atLeast"/>
        </w:trPr>
        <w:tc>
          <w:tcPr>
            <w:tcW w:w="1954" w:type="dxa"/>
          </w:tcPr>
          <w:p>
            <w:pPr>
              <w:pStyle w:val="TableParagraph"/>
              <w:rPr>
                <w:sz w:val="16"/>
              </w:rPr>
            </w:pPr>
          </w:p>
        </w:tc>
        <w:tc>
          <w:tcPr>
            <w:tcW w:w="1268" w:type="dxa"/>
          </w:tcPr>
          <w:p>
            <w:pPr>
              <w:pStyle w:val="TableParagraph"/>
              <w:rPr>
                <w:sz w:val="16"/>
              </w:rPr>
            </w:pPr>
          </w:p>
        </w:tc>
        <w:tc>
          <w:tcPr>
            <w:tcW w:w="2336" w:type="dxa"/>
            <w:gridSpan w:val="2"/>
          </w:tcPr>
          <w:p>
            <w:pPr>
              <w:pStyle w:val="TableParagraph"/>
              <w:spacing w:line="209" w:lineRule="exact"/>
              <w:ind w:left="131"/>
              <w:rPr>
                <w:sz w:val="20"/>
              </w:rPr>
            </w:pPr>
            <w:r>
              <w:rPr>
                <w:sz w:val="20"/>
              </w:rPr>
              <w:t>5%</w:t>
            </w:r>
            <w:r>
              <w:rPr>
                <w:spacing w:val="68"/>
                <w:w w:val="150"/>
                <w:sz w:val="20"/>
              </w:rPr>
              <w:t> </w:t>
            </w:r>
            <w:r>
              <w:rPr>
                <w:sz w:val="20"/>
              </w:rPr>
              <w:t>Critical</w:t>
            </w:r>
            <w:r>
              <w:rPr>
                <w:spacing w:val="-2"/>
                <w:sz w:val="20"/>
              </w:rPr>
              <w:t> </w:t>
            </w:r>
            <w:r>
              <w:rPr>
                <w:spacing w:val="-4"/>
                <w:sz w:val="20"/>
              </w:rPr>
              <w:t>Value</w:t>
            </w:r>
          </w:p>
        </w:tc>
        <w:tc>
          <w:tcPr>
            <w:tcW w:w="929" w:type="dxa"/>
          </w:tcPr>
          <w:p>
            <w:pPr>
              <w:pStyle w:val="TableParagraph"/>
              <w:spacing w:line="209" w:lineRule="exact"/>
              <w:ind w:right="27"/>
              <w:jc w:val="right"/>
              <w:rPr>
                <w:sz w:val="20"/>
              </w:rPr>
            </w:pPr>
            <w:r>
              <w:rPr>
                <w:spacing w:val="-4"/>
                <w:sz w:val="20"/>
              </w:rPr>
              <w:t>-</w:t>
            </w:r>
            <w:r>
              <w:rPr>
                <w:spacing w:val="-2"/>
                <w:sz w:val="20"/>
              </w:rPr>
              <w:t>2.9378</w:t>
            </w:r>
          </w:p>
        </w:tc>
      </w:tr>
      <w:tr>
        <w:trPr>
          <w:trHeight w:val="224" w:hRule="atLeast"/>
        </w:trPr>
        <w:tc>
          <w:tcPr>
            <w:tcW w:w="1954" w:type="dxa"/>
            <w:tcBorders>
              <w:bottom w:val="double" w:sz="6" w:space="0" w:color="000000"/>
            </w:tcBorders>
          </w:tcPr>
          <w:p>
            <w:pPr>
              <w:pStyle w:val="TableParagraph"/>
              <w:rPr>
                <w:sz w:val="16"/>
              </w:rPr>
            </w:pPr>
          </w:p>
        </w:tc>
        <w:tc>
          <w:tcPr>
            <w:tcW w:w="1268" w:type="dxa"/>
            <w:tcBorders>
              <w:bottom w:val="double" w:sz="6" w:space="0" w:color="000000"/>
            </w:tcBorders>
          </w:tcPr>
          <w:p>
            <w:pPr>
              <w:pStyle w:val="TableParagraph"/>
              <w:rPr>
                <w:sz w:val="16"/>
              </w:rPr>
            </w:pPr>
          </w:p>
        </w:tc>
        <w:tc>
          <w:tcPr>
            <w:tcW w:w="2336" w:type="dxa"/>
            <w:gridSpan w:val="2"/>
            <w:tcBorders>
              <w:bottom w:val="double" w:sz="6" w:space="0" w:color="000000"/>
            </w:tcBorders>
          </w:tcPr>
          <w:p>
            <w:pPr>
              <w:pStyle w:val="TableParagraph"/>
              <w:spacing w:line="205" w:lineRule="exact"/>
              <w:ind w:left="131"/>
              <w:rPr>
                <w:sz w:val="20"/>
              </w:rPr>
            </w:pPr>
            <w:r>
              <w:rPr>
                <w:sz w:val="20"/>
              </w:rPr>
              <w:t>10%</w:t>
            </w:r>
            <w:r>
              <w:rPr>
                <w:spacing w:val="-6"/>
                <w:sz w:val="20"/>
              </w:rPr>
              <w:t> </w:t>
            </w:r>
            <w:r>
              <w:rPr>
                <w:sz w:val="20"/>
              </w:rPr>
              <w:t>Critical</w:t>
            </w:r>
            <w:r>
              <w:rPr>
                <w:spacing w:val="-4"/>
                <w:sz w:val="20"/>
              </w:rPr>
              <w:t> </w:t>
            </w:r>
            <w:r>
              <w:rPr>
                <w:spacing w:val="-2"/>
                <w:sz w:val="20"/>
              </w:rPr>
              <w:t>Value</w:t>
            </w:r>
          </w:p>
        </w:tc>
        <w:tc>
          <w:tcPr>
            <w:tcW w:w="929" w:type="dxa"/>
            <w:tcBorders>
              <w:bottom w:val="double" w:sz="6" w:space="0" w:color="000000"/>
            </w:tcBorders>
          </w:tcPr>
          <w:p>
            <w:pPr>
              <w:pStyle w:val="TableParagraph"/>
              <w:spacing w:line="205" w:lineRule="exact"/>
              <w:ind w:right="27"/>
              <w:jc w:val="right"/>
              <w:rPr>
                <w:sz w:val="20"/>
              </w:rPr>
            </w:pPr>
            <w:r>
              <w:rPr>
                <w:spacing w:val="-4"/>
                <w:sz w:val="20"/>
              </w:rPr>
              <w:t>-</w:t>
            </w:r>
            <w:r>
              <w:rPr>
                <w:spacing w:val="-2"/>
                <w:sz w:val="20"/>
              </w:rPr>
              <w:t>2.6069</w:t>
            </w:r>
          </w:p>
        </w:tc>
      </w:tr>
      <w:tr>
        <w:trPr>
          <w:trHeight w:val="506" w:hRule="atLeast"/>
        </w:trPr>
        <w:tc>
          <w:tcPr>
            <w:tcW w:w="6487" w:type="dxa"/>
            <w:gridSpan w:val="5"/>
            <w:tcBorders>
              <w:top w:val="double" w:sz="6" w:space="0" w:color="000000"/>
            </w:tcBorders>
          </w:tcPr>
          <w:p>
            <w:pPr>
              <w:pStyle w:val="TableParagraph"/>
              <w:spacing w:before="42"/>
              <w:ind w:left="36"/>
              <w:rPr>
                <w:sz w:val="20"/>
              </w:rPr>
            </w:pPr>
            <w:r>
              <w:rPr>
                <w:sz w:val="20"/>
              </w:rPr>
              <w:t>*MacKinnon</w:t>
            </w:r>
            <w:r>
              <w:rPr>
                <w:spacing w:val="-6"/>
                <w:sz w:val="20"/>
              </w:rPr>
              <w:t> </w:t>
            </w:r>
            <w:r>
              <w:rPr>
                <w:sz w:val="20"/>
              </w:rPr>
              <w:t>critical</w:t>
            </w:r>
            <w:r>
              <w:rPr>
                <w:spacing w:val="-4"/>
                <w:sz w:val="20"/>
              </w:rPr>
              <w:t> </w:t>
            </w:r>
            <w:r>
              <w:rPr>
                <w:sz w:val="20"/>
              </w:rPr>
              <w:t>values</w:t>
            </w:r>
            <w:r>
              <w:rPr>
                <w:spacing w:val="-6"/>
                <w:sz w:val="20"/>
              </w:rPr>
              <w:t> </w:t>
            </w:r>
            <w:r>
              <w:rPr>
                <w:sz w:val="20"/>
              </w:rPr>
              <w:t>for</w:t>
            </w:r>
            <w:r>
              <w:rPr>
                <w:spacing w:val="-4"/>
                <w:sz w:val="20"/>
              </w:rPr>
              <w:t> </w:t>
            </w:r>
            <w:r>
              <w:rPr>
                <w:sz w:val="20"/>
              </w:rPr>
              <w:t>rejection</w:t>
            </w:r>
            <w:r>
              <w:rPr>
                <w:spacing w:val="-6"/>
                <w:sz w:val="20"/>
              </w:rPr>
              <w:t> </w:t>
            </w:r>
            <w:r>
              <w:rPr>
                <w:sz w:val="20"/>
              </w:rPr>
              <w:t>of</w:t>
            </w:r>
            <w:r>
              <w:rPr>
                <w:spacing w:val="-6"/>
                <w:sz w:val="20"/>
              </w:rPr>
              <w:t> </w:t>
            </w:r>
            <w:r>
              <w:rPr>
                <w:sz w:val="20"/>
              </w:rPr>
              <w:t>hypothesis</w:t>
            </w:r>
            <w:r>
              <w:rPr>
                <w:spacing w:val="-6"/>
                <w:sz w:val="20"/>
              </w:rPr>
              <w:t> </w:t>
            </w:r>
            <w:r>
              <w:rPr>
                <w:sz w:val="20"/>
              </w:rPr>
              <w:t>of</w:t>
            </w:r>
            <w:r>
              <w:rPr>
                <w:spacing w:val="-6"/>
                <w:sz w:val="20"/>
              </w:rPr>
              <w:t> </w:t>
            </w:r>
            <w:r>
              <w:rPr>
                <w:sz w:val="20"/>
              </w:rPr>
              <w:t>a</w:t>
            </w:r>
            <w:r>
              <w:rPr>
                <w:spacing w:val="-4"/>
                <w:sz w:val="20"/>
              </w:rPr>
              <w:t> </w:t>
            </w:r>
            <w:r>
              <w:rPr>
                <w:sz w:val="20"/>
              </w:rPr>
              <w:t>unit</w:t>
            </w:r>
            <w:r>
              <w:rPr>
                <w:spacing w:val="-6"/>
                <w:sz w:val="20"/>
              </w:rPr>
              <w:t> </w:t>
            </w:r>
            <w:r>
              <w:rPr>
                <w:spacing w:val="-2"/>
                <w:sz w:val="20"/>
              </w:rPr>
              <w:t>root.</w:t>
            </w:r>
          </w:p>
        </w:tc>
      </w:tr>
      <w:tr>
        <w:trPr>
          <w:trHeight w:val="459" w:hRule="atLeast"/>
        </w:trPr>
        <w:tc>
          <w:tcPr>
            <w:tcW w:w="6487" w:type="dxa"/>
            <w:gridSpan w:val="5"/>
          </w:tcPr>
          <w:p>
            <w:pPr>
              <w:pStyle w:val="TableParagraph"/>
              <w:spacing w:line="215" w:lineRule="exact" w:before="225"/>
              <w:ind w:left="36"/>
              <w:rPr>
                <w:sz w:val="20"/>
              </w:rPr>
            </w:pPr>
            <w:r>
              <w:rPr>
                <w:sz w:val="20"/>
              </w:rPr>
              <w:t>Augmented</w:t>
            </w:r>
            <w:r>
              <w:rPr>
                <w:spacing w:val="-8"/>
                <w:sz w:val="20"/>
              </w:rPr>
              <w:t> </w:t>
            </w:r>
            <w:r>
              <w:rPr>
                <w:sz w:val="20"/>
              </w:rPr>
              <w:t>Dickey-Fuller</w:t>
            </w:r>
            <w:r>
              <w:rPr>
                <w:spacing w:val="-8"/>
                <w:sz w:val="20"/>
              </w:rPr>
              <w:t> </w:t>
            </w:r>
            <w:r>
              <w:rPr>
                <w:sz w:val="20"/>
              </w:rPr>
              <w:t>Test</w:t>
            </w:r>
            <w:r>
              <w:rPr>
                <w:spacing w:val="-9"/>
                <w:sz w:val="20"/>
              </w:rPr>
              <w:t> </w:t>
            </w:r>
            <w:r>
              <w:rPr>
                <w:spacing w:val="-2"/>
                <w:sz w:val="20"/>
              </w:rPr>
              <w:t>Equation</w:t>
            </w:r>
          </w:p>
        </w:tc>
      </w:tr>
      <w:tr>
        <w:trPr>
          <w:trHeight w:val="230" w:hRule="atLeast"/>
        </w:trPr>
        <w:tc>
          <w:tcPr>
            <w:tcW w:w="6487" w:type="dxa"/>
            <w:gridSpan w:val="5"/>
          </w:tcPr>
          <w:p>
            <w:pPr>
              <w:pStyle w:val="TableParagraph"/>
              <w:spacing w:line="210" w:lineRule="exact"/>
              <w:ind w:left="36"/>
              <w:rPr>
                <w:sz w:val="20"/>
              </w:rPr>
            </w:pPr>
            <w:r>
              <w:rPr>
                <w:sz w:val="20"/>
              </w:rPr>
              <w:t>Dependent</w:t>
            </w:r>
            <w:r>
              <w:rPr>
                <w:spacing w:val="-8"/>
                <w:sz w:val="20"/>
              </w:rPr>
              <w:t> </w:t>
            </w:r>
            <w:r>
              <w:rPr>
                <w:sz w:val="20"/>
              </w:rPr>
              <w:t>Variable:</w:t>
            </w:r>
            <w:r>
              <w:rPr>
                <w:spacing w:val="-8"/>
                <w:sz w:val="20"/>
              </w:rPr>
              <w:t> </w:t>
            </w:r>
            <w:r>
              <w:rPr>
                <w:spacing w:val="-2"/>
                <w:sz w:val="20"/>
              </w:rPr>
              <w:t>D(EXTDEBT,2)</w:t>
            </w:r>
          </w:p>
        </w:tc>
      </w:tr>
      <w:tr>
        <w:trPr>
          <w:trHeight w:val="229" w:hRule="atLeast"/>
        </w:trPr>
        <w:tc>
          <w:tcPr>
            <w:tcW w:w="1954" w:type="dxa"/>
          </w:tcPr>
          <w:p>
            <w:pPr>
              <w:pStyle w:val="TableParagraph"/>
              <w:spacing w:line="209" w:lineRule="exact"/>
              <w:ind w:left="36"/>
              <w:rPr>
                <w:sz w:val="20"/>
              </w:rPr>
            </w:pPr>
            <w:r>
              <w:rPr>
                <w:sz w:val="20"/>
              </w:rPr>
              <w:t>Method:</w:t>
            </w:r>
            <w:r>
              <w:rPr>
                <w:spacing w:val="-8"/>
                <w:sz w:val="20"/>
              </w:rPr>
              <w:t> </w:t>
            </w:r>
            <w:r>
              <w:rPr>
                <w:sz w:val="20"/>
              </w:rPr>
              <w:t>Least</w:t>
            </w:r>
            <w:r>
              <w:rPr>
                <w:spacing w:val="-7"/>
                <w:sz w:val="20"/>
              </w:rPr>
              <w:t> </w:t>
            </w:r>
            <w:r>
              <w:rPr>
                <w:spacing w:val="-2"/>
                <w:sz w:val="20"/>
              </w:rPr>
              <w:t>Squares</w:t>
            </w:r>
          </w:p>
        </w:tc>
        <w:tc>
          <w:tcPr>
            <w:tcW w:w="1268" w:type="dxa"/>
          </w:tcPr>
          <w:p>
            <w:pPr>
              <w:pStyle w:val="TableParagraph"/>
              <w:rPr>
                <w:sz w:val="16"/>
              </w:rPr>
            </w:pPr>
          </w:p>
        </w:tc>
        <w:tc>
          <w:tcPr>
            <w:tcW w:w="1432" w:type="dxa"/>
          </w:tcPr>
          <w:p>
            <w:pPr>
              <w:pStyle w:val="TableParagraph"/>
              <w:rPr>
                <w:sz w:val="16"/>
              </w:rPr>
            </w:pPr>
          </w:p>
        </w:tc>
        <w:tc>
          <w:tcPr>
            <w:tcW w:w="904" w:type="dxa"/>
          </w:tcPr>
          <w:p>
            <w:pPr>
              <w:pStyle w:val="TableParagraph"/>
              <w:rPr>
                <w:sz w:val="16"/>
              </w:rPr>
            </w:pPr>
          </w:p>
        </w:tc>
        <w:tc>
          <w:tcPr>
            <w:tcW w:w="929" w:type="dxa"/>
          </w:tcPr>
          <w:p>
            <w:pPr>
              <w:pStyle w:val="TableParagraph"/>
              <w:rPr>
                <w:sz w:val="16"/>
              </w:rPr>
            </w:pPr>
          </w:p>
        </w:tc>
      </w:tr>
      <w:tr>
        <w:trPr>
          <w:trHeight w:val="229" w:hRule="atLeast"/>
        </w:trPr>
        <w:tc>
          <w:tcPr>
            <w:tcW w:w="6487" w:type="dxa"/>
            <w:gridSpan w:val="5"/>
          </w:tcPr>
          <w:p>
            <w:pPr>
              <w:pStyle w:val="TableParagraph"/>
              <w:spacing w:line="209" w:lineRule="exact"/>
              <w:ind w:left="36"/>
              <w:rPr>
                <w:sz w:val="20"/>
              </w:rPr>
            </w:pPr>
            <w:r>
              <w:rPr>
                <w:sz w:val="20"/>
              </w:rPr>
              <w:t>Date:</w:t>
            </w:r>
            <w:r>
              <w:rPr>
                <w:spacing w:val="-5"/>
                <w:sz w:val="20"/>
              </w:rPr>
              <w:t> </w:t>
            </w:r>
            <w:r>
              <w:rPr>
                <w:sz w:val="20"/>
              </w:rPr>
              <w:t>02/18/14</w:t>
            </w:r>
            <w:r>
              <w:rPr>
                <w:spacing w:val="63"/>
                <w:w w:val="150"/>
                <w:sz w:val="20"/>
              </w:rPr>
              <w:t> </w:t>
            </w:r>
            <w:r>
              <w:rPr>
                <w:sz w:val="20"/>
              </w:rPr>
              <w:t>Time:</w:t>
            </w:r>
            <w:r>
              <w:rPr>
                <w:spacing w:val="-3"/>
                <w:sz w:val="20"/>
              </w:rPr>
              <w:t> </w:t>
            </w:r>
            <w:r>
              <w:rPr>
                <w:spacing w:val="-2"/>
                <w:sz w:val="20"/>
              </w:rPr>
              <w:t>09:14</w:t>
            </w:r>
          </w:p>
        </w:tc>
      </w:tr>
      <w:tr>
        <w:trPr>
          <w:trHeight w:val="230" w:hRule="atLeast"/>
        </w:trPr>
        <w:tc>
          <w:tcPr>
            <w:tcW w:w="6487" w:type="dxa"/>
            <w:gridSpan w:val="5"/>
          </w:tcPr>
          <w:p>
            <w:pPr>
              <w:pStyle w:val="TableParagraph"/>
              <w:spacing w:line="210" w:lineRule="exact"/>
              <w:ind w:left="36"/>
              <w:rPr>
                <w:sz w:val="20"/>
              </w:rPr>
            </w:pPr>
            <w:r>
              <w:rPr>
                <w:sz w:val="20"/>
              </w:rPr>
              <w:t>Sample(adjusted):</w:t>
            </w:r>
            <w:r>
              <w:rPr>
                <w:spacing w:val="-9"/>
                <w:sz w:val="20"/>
              </w:rPr>
              <w:t> </w:t>
            </w:r>
            <w:r>
              <w:rPr>
                <w:sz w:val="20"/>
              </w:rPr>
              <w:t>1973</w:t>
            </w:r>
            <w:r>
              <w:rPr>
                <w:spacing w:val="-9"/>
                <w:sz w:val="20"/>
              </w:rPr>
              <w:t> </w:t>
            </w:r>
            <w:r>
              <w:rPr>
                <w:spacing w:val="-4"/>
                <w:sz w:val="20"/>
              </w:rPr>
              <w:t>2011</w:t>
            </w:r>
          </w:p>
        </w:tc>
      </w:tr>
      <w:tr>
        <w:trPr>
          <w:trHeight w:val="224" w:hRule="atLeast"/>
        </w:trPr>
        <w:tc>
          <w:tcPr>
            <w:tcW w:w="6487" w:type="dxa"/>
            <w:gridSpan w:val="5"/>
            <w:tcBorders>
              <w:bottom w:val="double" w:sz="6" w:space="0" w:color="000000"/>
            </w:tcBorders>
          </w:tcPr>
          <w:p>
            <w:pPr>
              <w:pStyle w:val="TableParagraph"/>
              <w:spacing w:line="205" w:lineRule="exact"/>
              <w:ind w:left="36"/>
              <w:rPr>
                <w:sz w:val="20"/>
              </w:rPr>
            </w:pPr>
            <w:r>
              <w:rPr>
                <w:sz w:val="20"/>
              </w:rPr>
              <w:t>Included</w:t>
            </w:r>
            <w:r>
              <w:rPr>
                <w:spacing w:val="-6"/>
                <w:sz w:val="20"/>
              </w:rPr>
              <w:t> </w:t>
            </w:r>
            <w:r>
              <w:rPr>
                <w:sz w:val="20"/>
              </w:rPr>
              <w:t>observations:</w:t>
            </w:r>
            <w:r>
              <w:rPr>
                <w:spacing w:val="-8"/>
                <w:sz w:val="20"/>
              </w:rPr>
              <w:t> </w:t>
            </w:r>
            <w:r>
              <w:rPr>
                <w:sz w:val="20"/>
              </w:rPr>
              <w:t>39</w:t>
            </w:r>
            <w:r>
              <w:rPr>
                <w:spacing w:val="-5"/>
                <w:sz w:val="20"/>
              </w:rPr>
              <w:t> </w:t>
            </w:r>
            <w:r>
              <w:rPr>
                <w:sz w:val="20"/>
              </w:rPr>
              <w:t>after</w:t>
            </w:r>
            <w:r>
              <w:rPr>
                <w:spacing w:val="-7"/>
                <w:sz w:val="20"/>
              </w:rPr>
              <w:t> </w:t>
            </w:r>
            <w:r>
              <w:rPr>
                <w:sz w:val="20"/>
              </w:rPr>
              <w:t>adjusting</w:t>
            </w:r>
            <w:r>
              <w:rPr>
                <w:spacing w:val="-7"/>
                <w:sz w:val="20"/>
              </w:rPr>
              <w:t> </w:t>
            </w:r>
            <w:r>
              <w:rPr>
                <w:spacing w:val="-2"/>
                <w:sz w:val="20"/>
              </w:rPr>
              <w:t>endpoints</w:t>
            </w:r>
          </w:p>
        </w:tc>
      </w:tr>
      <w:tr>
        <w:trPr>
          <w:trHeight w:val="269" w:hRule="atLeast"/>
        </w:trPr>
        <w:tc>
          <w:tcPr>
            <w:tcW w:w="1954" w:type="dxa"/>
            <w:tcBorders>
              <w:top w:val="double" w:sz="6" w:space="0" w:color="000000"/>
              <w:bottom w:val="double" w:sz="6" w:space="0" w:color="000000"/>
            </w:tcBorders>
          </w:tcPr>
          <w:p>
            <w:pPr>
              <w:pStyle w:val="TableParagraph"/>
              <w:spacing w:line="209" w:lineRule="exact" w:before="40"/>
              <w:ind w:left="677"/>
              <w:rPr>
                <w:sz w:val="20"/>
              </w:rPr>
            </w:pPr>
            <w:r>
              <w:rPr>
                <w:spacing w:val="-2"/>
                <w:sz w:val="20"/>
              </w:rPr>
              <w:t>Variable</w:t>
            </w:r>
          </w:p>
        </w:tc>
        <w:tc>
          <w:tcPr>
            <w:tcW w:w="1268" w:type="dxa"/>
            <w:tcBorders>
              <w:top w:val="double" w:sz="6" w:space="0" w:color="000000"/>
              <w:bottom w:val="double" w:sz="6" w:space="0" w:color="000000"/>
            </w:tcBorders>
          </w:tcPr>
          <w:p>
            <w:pPr>
              <w:pStyle w:val="TableParagraph"/>
              <w:spacing w:line="209" w:lineRule="exact" w:before="40"/>
              <w:ind w:right="131"/>
              <w:jc w:val="right"/>
              <w:rPr>
                <w:sz w:val="20"/>
              </w:rPr>
            </w:pPr>
            <w:r>
              <w:rPr>
                <w:spacing w:val="-2"/>
                <w:sz w:val="20"/>
              </w:rPr>
              <w:t>Coefficient</w:t>
            </w:r>
          </w:p>
        </w:tc>
        <w:tc>
          <w:tcPr>
            <w:tcW w:w="1432" w:type="dxa"/>
            <w:tcBorders>
              <w:top w:val="double" w:sz="6" w:space="0" w:color="000000"/>
              <w:bottom w:val="double" w:sz="6" w:space="0" w:color="000000"/>
            </w:tcBorders>
          </w:tcPr>
          <w:p>
            <w:pPr>
              <w:pStyle w:val="TableParagraph"/>
              <w:spacing w:line="209" w:lineRule="exact" w:before="40"/>
              <w:ind w:left="273"/>
              <w:rPr>
                <w:sz w:val="20"/>
              </w:rPr>
            </w:pPr>
            <w:r>
              <w:rPr>
                <w:sz w:val="20"/>
              </w:rPr>
              <w:t>Std.</w:t>
            </w:r>
            <w:r>
              <w:rPr>
                <w:spacing w:val="-4"/>
                <w:sz w:val="20"/>
              </w:rPr>
              <w:t> </w:t>
            </w:r>
            <w:r>
              <w:rPr>
                <w:spacing w:val="-2"/>
                <w:sz w:val="20"/>
              </w:rPr>
              <w:t>Error</w:t>
            </w:r>
          </w:p>
        </w:tc>
        <w:tc>
          <w:tcPr>
            <w:tcW w:w="904" w:type="dxa"/>
            <w:tcBorders>
              <w:top w:val="double" w:sz="6" w:space="0" w:color="000000"/>
              <w:bottom w:val="double" w:sz="6" w:space="0" w:color="000000"/>
            </w:tcBorders>
          </w:tcPr>
          <w:p>
            <w:pPr>
              <w:pStyle w:val="TableParagraph"/>
              <w:spacing w:line="209" w:lineRule="exact" w:before="40"/>
              <w:ind w:right="22"/>
              <w:jc w:val="center"/>
              <w:rPr>
                <w:sz w:val="20"/>
              </w:rPr>
            </w:pPr>
            <w:r>
              <w:rPr>
                <w:spacing w:val="-4"/>
                <w:sz w:val="20"/>
              </w:rPr>
              <w:t>t-</w:t>
            </w:r>
            <w:r>
              <w:rPr>
                <w:spacing w:val="-2"/>
                <w:sz w:val="20"/>
              </w:rPr>
              <w:t>Statistic</w:t>
            </w:r>
          </w:p>
        </w:tc>
        <w:tc>
          <w:tcPr>
            <w:tcW w:w="929" w:type="dxa"/>
            <w:tcBorders>
              <w:top w:val="double" w:sz="6" w:space="0" w:color="000000"/>
              <w:bottom w:val="double" w:sz="6" w:space="0" w:color="000000"/>
            </w:tcBorders>
          </w:tcPr>
          <w:p>
            <w:pPr>
              <w:pStyle w:val="TableParagraph"/>
              <w:spacing w:line="209" w:lineRule="exact" w:before="40"/>
              <w:ind w:right="28"/>
              <w:jc w:val="right"/>
              <w:rPr>
                <w:sz w:val="20"/>
              </w:rPr>
            </w:pPr>
            <w:r>
              <w:rPr>
                <w:spacing w:val="-2"/>
                <w:sz w:val="20"/>
              </w:rPr>
              <w:t>Prob.</w:t>
            </w:r>
          </w:p>
        </w:tc>
      </w:tr>
      <w:tr>
        <w:trPr>
          <w:trHeight w:val="276" w:hRule="atLeast"/>
        </w:trPr>
        <w:tc>
          <w:tcPr>
            <w:tcW w:w="1954" w:type="dxa"/>
            <w:tcBorders>
              <w:top w:val="double" w:sz="6" w:space="0" w:color="000000"/>
            </w:tcBorders>
          </w:tcPr>
          <w:p>
            <w:pPr>
              <w:pStyle w:val="TableParagraph"/>
              <w:spacing w:line="214" w:lineRule="exact" w:before="42"/>
              <w:ind w:left="278"/>
              <w:rPr>
                <w:sz w:val="20"/>
              </w:rPr>
            </w:pPr>
            <w:r>
              <w:rPr>
                <w:spacing w:val="-2"/>
                <w:sz w:val="20"/>
              </w:rPr>
              <w:t>D(EXTDEBT(-</w:t>
            </w:r>
            <w:r>
              <w:rPr>
                <w:spacing w:val="-5"/>
                <w:sz w:val="20"/>
              </w:rPr>
              <w:t>1))</w:t>
            </w:r>
          </w:p>
        </w:tc>
        <w:tc>
          <w:tcPr>
            <w:tcW w:w="1268" w:type="dxa"/>
            <w:tcBorders>
              <w:top w:val="double" w:sz="6" w:space="0" w:color="000000"/>
            </w:tcBorders>
          </w:tcPr>
          <w:p>
            <w:pPr>
              <w:pStyle w:val="TableParagraph"/>
              <w:spacing w:line="214" w:lineRule="exact" w:before="42"/>
              <w:ind w:right="128"/>
              <w:jc w:val="right"/>
              <w:rPr>
                <w:sz w:val="20"/>
              </w:rPr>
            </w:pPr>
            <w:r>
              <w:rPr>
                <w:spacing w:val="-4"/>
                <w:sz w:val="20"/>
              </w:rPr>
              <w:t>-</w:t>
            </w:r>
            <w:r>
              <w:rPr>
                <w:spacing w:val="-2"/>
                <w:sz w:val="20"/>
              </w:rPr>
              <w:t>1.969770</w:t>
            </w:r>
          </w:p>
        </w:tc>
        <w:tc>
          <w:tcPr>
            <w:tcW w:w="1432" w:type="dxa"/>
            <w:tcBorders>
              <w:top w:val="double" w:sz="6" w:space="0" w:color="000000"/>
            </w:tcBorders>
          </w:tcPr>
          <w:p>
            <w:pPr>
              <w:pStyle w:val="TableParagraph"/>
              <w:spacing w:line="214" w:lineRule="exact" w:before="42"/>
              <w:ind w:left="311"/>
              <w:rPr>
                <w:sz w:val="20"/>
              </w:rPr>
            </w:pPr>
            <w:r>
              <w:rPr>
                <w:spacing w:val="-2"/>
                <w:sz w:val="20"/>
              </w:rPr>
              <w:t>0.235936</w:t>
            </w:r>
          </w:p>
        </w:tc>
        <w:tc>
          <w:tcPr>
            <w:tcW w:w="904" w:type="dxa"/>
            <w:tcBorders>
              <w:top w:val="double" w:sz="6" w:space="0" w:color="000000"/>
            </w:tcBorders>
          </w:tcPr>
          <w:p>
            <w:pPr>
              <w:pStyle w:val="TableParagraph"/>
              <w:spacing w:line="214" w:lineRule="exact" w:before="42"/>
              <w:ind w:right="70"/>
              <w:jc w:val="center"/>
              <w:rPr>
                <w:sz w:val="20"/>
              </w:rPr>
            </w:pPr>
            <w:r>
              <w:rPr>
                <w:spacing w:val="-4"/>
                <w:sz w:val="20"/>
              </w:rPr>
              <w:t>-</w:t>
            </w:r>
            <w:r>
              <w:rPr>
                <w:spacing w:val="-2"/>
                <w:sz w:val="20"/>
              </w:rPr>
              <w:t>8.348753</w:t>
            </w:r>
          </w:p>
        </w:tc>
        <w:tc>
          <w:tcPr>
            <w:tcW w:w="929" w:type="dxa"/>
            <w:tcBorders>
              <w:top w:val="double" w:sz="6" w:space="0" w:color="000000"/>
            </w:tcBorders>
          </w:tcPr>
          <w:p>
            <w:pPr>
              <w:pStyle w:val="TableParagraph"/>
              <w:spacing w:line="214" w:lineRule="exact" w:before="42"/>
              <w:ind w:right="27"/>
              <w:jc w:val="right"/>
              <w:rPr>
                <w:sz w:val="20"/>
              </w:rPr>
            </w:pPr>
            <w:r>
              <w:rPr>
                <w:spacing w:val="-2"/>
                <w:sz w:val="20"/>
              </w:rPr>
              <w:t>0.0000</w:t>
            </w:r>
          </w:p>
        </w:tc>
      </w:tr>
      <w:tr>
        <w:trPr>
          <w:trHeight w:val="229" w:hRule="atLeast"/>
        </w:trPr>
        <w:tc>
          <w:tcPr>
            <w:tcW w:w="1954" w:type="dxa"/>
          </w:tcPr>
          <w:p>
            <w:pPr>
              <w:pStyle w:val="TableParagraph"/>
              <w:spacing w:line="209" w:lineRule="exact"/>
              <w:ind w:left="202"/>
              <w:rPr>
                <w:sz w:val="20"/>
              </w:rPr>
            </w:pPr>
            <w:r>
              <w:rPr>
                <w:spacing w:val="-2"/>
                <w:sz w:val="20"/>
              </w:rPr>
              <w:t>D(EXTDEBT(-</w:t>
            </w:r>
            <w:r>
              <w:rPr>
                <w:spacing w:val="-4"/>
                <w:sz w:val="20"/>
              </w:rPr>
              <w:t>1),2)</w:t>
            </w:r>
          </w:p>
        </w:tc>
        <w:tc>
          <w:tcPr>
            <w:tcW w:w="1268" w:type="dxa"/>
          </w:tcPr>
          <w:p>
            <w:pPr>
              <w:pStyle w:val="TableParagraph"/>
              <w:spacing w:line="209" w:lineRule="exact"/>
              <w:ind w:right="128"/>
              <w:jc w:val="right"/>
              <w:rPr>
                <w:sz w:val="20"/>
              </w:rPr>
            </w:pPr>
            <w:r>
              <w:rPr>
                <w:spacing w:val="-2"/>
                <w:sz w:val="20"/>
              </w:rPr>
              <w:t>0.437732</w:t>
            </w:r>
          </w:p>
        </w:tc>
        <w:tc>
          <w:tcPr>
            <w:tcW w:w="1432" w:type="dxa"/>
          </w:tcPr>
          <w:p>
            <w:pPr>
              <w:pStyle w:val="TableParagraph"/>
              <w:spacing w:line="209" w:lineRule="exact"/>
              <w:ind w:left="311"/>
              <w:rPr>
                <w:sz w:val="20"/>
              </w:rPr>
            </w:pPr>
            <w:r>
              <w:rPr>
                <w:spacing w:val="-2"/>
                <w:sz w:val="20"/>
              </w:rPr>
              <w:t>0.143023</w:t>
            </w:r>
          </w:p>
        </w:tc>
        <w:tc>
          <w:tcPr>
            <w:tcW w:w="904" w:type="dxa"/>
          </w:tcPr>
          <w:p>
            <w:pPr>
              <w:pStyle w:val="TableParagraph"/>
              <w:spacing w:line="209" w:lineRule="exact"/>
              <w:ind w:right="5"/>
              <w:jc w:val="center"/>
              <w:rPr>
                <w:sz w:val="20"/>
              </w:rPr>
            </w:pPr>
            <w:r>
              <w:rPr>
                <w:spacing w:val="-2"/>
                <w:sz w:val="20"/>
              </w:rPr>
              <w:t>3.060567</w:t>
            </w:r>
          </w:p>
        </w:tc>
        <w:tc>
          <w:tcPr>
            <w:tcW w:w="929" w:type="dxa"/>
          </w:tcPr>
          <w:p>
            <w:pPr>
              <w:pStyle w:val="TableParagraph"/>
              <w:spacing w:line="209" w:lineRule="exact"/>
              <w:ind w:right="27"/>
              <w:jc w:val="right"/>
              <w:rPr>
                <w:sz w:val="20"/>
              </w:rPr>
            </w:pPr>
            <w:r>
              <w:rPr>
                <w:spacing w:val="-2"/>
                <w:sz w:val="20"/>
              </w:rPr>
              <w:t>0.0042</w:t>
            </w:r>
          </w:p>
        </w:tc>
      </w:tr>
      <w:tr>
        <w:trPr>
          <w:trHeight w:val="224" w:hRule="atLeast"/>
        </w:trPr>
        <w:tc>
          <w:tcPr>
            <w:tcW w:w="1954" w:type="dxa"/>
            <w:tcBorders>
              <w:bottom w:val="double" w:sz="6" w:space="0" w:color="000000"/>
            </w:tcBorders>
          </w:tcPr>
          <w:p>
            <w:pPr>
              <w:pStyle w:val="TableParagraph"/>
              <w:spacing w:line="205" w:lineRule="exact"/>
              <w:ind w:left="90"/>
              <w:jc w:val="center"/>
              <w:rPr>
                <w:sz w:val="20"/>
              </w:rPr>
            </w:pPr>
            <w:r>
              <w:rPr>
                <w:spacing w:val="-10"/>
                <w:sz w:val="20"/>
              </w:rPr>
              <w:t>C</w:t>
            </w:r>
          </w:p>
        </w:tc>
        <w:tc>
          <w:tcPr>
            <w:tcW w:w="1268" w:type="dxa"/>
            <w:tcBorders>
              <w:bottom w:val="double" w:sz="6" w:space="0" w:color="000000"/>
            </w:tcBorders>
          </w:tcPr>
          <w:p>
            <w:pPr>
              <w:pStyle w:val="TableParagraph"/>
              <w:spacing w:line="205" w:lineRule="exact"/>
              <w:ind w:right="128"/>
              <w:jc w:val="right"/>
              <w:rPr>
                <w:sz w:val="20"/>
              </w:rPr>
            </w:pPr>
            <w:r>
              <w:rPr>
                <w:spacing w:val="-2"/>
                <w:sz w:val="20"/>
              </w:rPr>
              <w:t>0.470617</w:t>
            </w:r>
          </w:p>
        </w:tc>
        <w:tc>
          <w:tcPr>
            <w:tcW w:w="1432" w:type="dxa"/>
            <w:tcBorders>
              <w:bottom w:val="double" w:sz="6" w:space="0" w:color="000000"/>
            </w:tcBorders>
          </w:tcPr>
          <w:p>
            <w:pPr>
              <w:pStyle w:val="TableParagraph"/>
              <w:spacing w:line="205" w:lineRule="exact"/>
              <w:ind w:left="311"/>
              <w:rPr>
                <w:sz w:val="20"/>
              </w:rPr>
            </w:pPr>
            <w:r>
              <w:rPr>
                <w:spacing w:val="-2"/>
                <w:sz w:val="20"/>
              </w:rPr>
              <w:t>0.311519</w:t>
            </w:r>
          </w:p>
        </w:tc>
        <w:tc>
          <w:tcPr>
            <w:tcW w:w="904" w:type="dxa"/>
            <w:tcBorders>
              <w:bottom w:val="double" w:sz="6" w:space="0" w:color="000000"/>
            </w:tcBorders>
          </w:tcPr>
          <w:p>
            <w:pPr>
              <w:pStyle w:val="TableParagraph"/>
              <w:spacing w:line="205" w:lineRule="exact"/>
              <w:ind w:right="5"/>
              <w:jc w:val="center"/>
              <w:rPr>
                <w:sz w:val="20"/>
              </w:rPr>
            </w:pPr>
            <w:r>
              <w:rPr>
                <w:spacing w:val="-2"/>
                <w:sz w:val="20"/>
              </w:rPr>
              <w:t>1.510716</w:t>
            </w:r>
          </w:p>
        </w:tc>
        <w:tc>
          <w:tcPr>
            <w:tcW w:w="929" w:type="dxa"/>
            <w:tcBorders>
              <w:bottom w:val="double" w:sz="6" w:space="0" w:color="000000"/>
            </w:tcBorders>
          </w:tcPr>
          <w:p>
            <w:pPr>
              <w:pStyle w:val="TableParagraph"/>
              <w:spacing w:line="205" w:lineRule="exact"/>
              <w:ind w:right="27"/>
              <w:jc w:val="right"/>
              <w:rPr>
                <w:sz w:val="20"/>
              </w:rPr>
            </w:pPr>
            <w:r>
              <w:rPr>
                <w:spacing w:val="-2"/>
                <w:sz w:val="20"/>
              </w:rPr>
              <w:t>0.1396</w:t>
            </w:r>
          </w:p>
        </w:tc>
      </w:tr>
      <w:tr>
        <w:trPr>
          <w:trHeight w:val="276" w:hRule="atLeast"/>
        </w:trPr>
        <w:tc>
          <w:tcPr>
            <w:tcW w:w="1954" w:type="dxa"/>
            <w:tcBorders>
              <w:top w:val="double" w:sz="6" w:space="0" w:color="000000"/>
            </w:tcBorders>
          </w:tcPr>
          <w:p>
            <w:pPr>
              <w:pStyle w:val="TableParagraph"/>
              <w:spacing w:line="214" w:lineRule="exact" w:before="42"/>
              <w:ind w:left="36"/>
              <w:rPr>
                <w:sz w:val="20"/>
              </w:rPr>
            </w:pPr>
            <w:r>
              <w:rPr>
                <w:spacing w:val="-2"/>
                <w:sz w:val="20"/>
              </w:rPr>
              <w:t>R-squared</w:t>
            </w:r>
          </w:p>
        </w:tc>
        <w:tc>
          <w:tcPr>
            <w:tcW w:w="1268" w:type="dxa"/>
            <w:tcBorders>
              <w:top w:val="double" w:sz="6" w:space="0" w:color="000000"/>
            </w:tcBorders>
          </w:tcPr>
          <w:p>
            <w:pPr>
              <w:pStyle w:val="TableParagraph"/>
              <w:spacing w:line="214" w:lineRule="exact" w:before="42"/>
              <w:ind w:right="128"/>
              <w:jc w:val="right"/>
              <w:rPr>
                <w:sz w:val="20"/>
              </w:rPr>
            </w:pPr>
            <w:r>
              <w:rPr>
                <w:spacing w:val="-2"/>
                <w:sz w:val="20"/>
              </w:rPr>
              <w:t>0.760957</w:t>
            </w:r>
          </w:p>
        </w:tc>
        <w:tc>
          <w:tcPr>
            <w:tcW w:w="2336" w:type="dxa"/>
            <w:gridSpan w:val="2"/>
            <w:tcBorders>
              <w:top w:val="double" w:sz="6" w:space="0" w:color="000000"/>
            </w:tcBorders>
          </w:tcPr>
          <w:p>
            <w:pPr>
              <w:pStyle w:val="TableParagraph"/>
              <w:spacing w:line="214" w:lineRule="exact" w:before="42"/>
              <w:ind w:left="131"/>
              <w:rPr>
                <w:sz w:val="20"/>
              </w:rPr>
            </w:pPr>
            <w:r>
              <w:rPr>
                <w:sz w:val="20"/>
              </w:rPr>
              <w:t>Mean</w:t>
            </w:r>
            <w:r>
              <w:rPr>
                <w:spacing w:val="-7"/>
                <w:sz w:val="20"/>
              </w:rPr>
              <w:t> </w:t>
            </w:r>
            <w:r>
              <w:rPr>
                <w:sz w:val="20"/>
              </w:rPr>
              <w:t>dependent</w:t>
            </w:r>
            <w:r>
              <w:rPr>
                <w:spacing w:val="-7"/>
                <w:sz w:val="20"/>
              </w:rPr>
              <w:t> </w:t>
            </w:r>
            <w:r>
              <w:rPr>
                <w:spacing w:val="-5"/>
                <w:sz w:val="20"/>
              </w:rPr>
              <w:t>var</w:t>
            </w:r>
          </w:p>
        </w:tc>
        <w:tc>
          <w:tcPr>
            <w:tcW w:w="929" w:type="dxa"/>
            <w:tcBorders>
              <w:top w:val="double" w:sz="6" w:space="0" w:color="000000"/>
            </w:tcBorders>
          </w:tcPr>
          <w:p>
            <w:pPr>
              <w:pStyle w:val="TableParagraph"/>
              <w:spacing w:line="214" w:lineRule="exact" w:before="42"/>
              <w:ind w:right="27"/>
              <w:jc w:val="right"/>
              <w:rPr>
                <w:sz w:val="20"/>
              </w:rPr>
            </w:pPr>
            <w:r>
              <w:rPr>
                <w:spacing w:val="-4"/>
                <w:sz w:val="20"/>
              </w:rPr>
              <w:t>-</w:t>
            </w:r>
            <w:r>
              <w:rPr>
                <w:spacing w:val="-2"/>
                <w:sz w:val="20"/>
              </w:rPr>
              <w:t>0.063611</w:t>
            </w:r>
          </w:p>
        </w:tc>
      </w:tr>
      <w:tr>
        <w:trPr>
          <w:trHeight w:val="229" w:hRule="atLeast"/>
        </w:trPr>
        <w:tc>
          <w:tcPr>
            <w:tcW w:w="1954" w:type="dxa"/>
          </w:tcPr>
          <w:p>
            <w:pPr>
              <w:pStyle w:val="TableParagraph"/>
              <w:spacing w:line="209" w:lineRule="exact"/>
              <w:ind w:left="36"/>
              <w:rPr>
                <w:sz w:val="20"/>
              </w:rPr>
            </w:pPr>
            <w:r>
              <w:rPr>
                <w:sz w:val="20"/>
              </w:rPr>
              <w:t>Adjusted</w:t>
            </w:r>
            <w:r>
              <w:rPr>
                <w:spacing w:val="-10"/>
                <w:sz w:val="20"/>
              </w:rPr>
              <w:t> </w:t>
            </w:r>
            <w:r>
              <w:rPr>
                <w:sz w:val="20"/>
              </w:rPr>
              <w:t>R-</w:t>
            </w:r>
            <w:r>
              <w:rPr>
                <w:spacing w:val="-2"/>
                <w:sz w:val="20"/>
              </w:rPr>
              <w:t>squared</w:t>
            </w:r>
          </w:p>
        </w:tc>
        <w:tc>
          <w:tcPr>
            <w:tcW w:w="1268" w:type="dxa"/>
          </w:tcPr>
          <w:p>
            <w:pPr>
              <w:pStyle w:val="TableParagraph"/>
              <w:spacing w:line="209" w:lineRule="exact"/>
              <w:ind w:right="128"/>
              <w:jc w:val="right"/>
              <w:rPr>
                <w:sz w:val="20"/>
              </w:rPr>
            </w:pPr>
            <w:r>
              <w:rPr>
                <w:spacing w:val="-2"/>
                <w:sz w:val="20"/>
              </w:rPr>
              <w:t>0.747677</w:t>
            </w:r>
          </w:p>
        </w:tc>
        <w:tc>
          <w:tcPr>
            <w:tcW w:w="2336" w:type="dxa"/>
            <w:gridSpan w:val="2"/>
          </w:tcPr>
          <w:p>
            <w:pPr>
              <w:pStyle w:val="TableParagraph"/>
              <w:spacing w:line="209" w:lineRule="exact"/>
              <w:ind w:left="131"/>
              <w:rPr>
                <w:sz w:val="20"/>
              </w:rPr>
            </w:pPr>
            <w:r>
              <w:rPr>
                <w:sz w:val="20"/>
              </w:rPr>
              <w:t>S.D.</w:t>
            </w:r>
            <w:r>
              <w:rPr>
                <w:spacing w:val="-5"/>
                <w:sz w:val="20"/>
              </w:rPr>
              <w:t> </w:t>
            </w:r>
            <w:r>
              <w:rPr>
                <w:sz w:val="20"/>
              </w:rPr>
              <w:t>dependent</w:t>
            </w:r>
            <w:r>
              <w:rPr>
                <w:spacing w:val="-6"/>
                <w:sz w:val="20"/>
              </w:rPr>
              <w:t> </w:t>
            </w:r>
            <w:r>
              <w:rPr>
                <w:spacing w:val="-5"/>
                <w:sz w:val="20"/>
              </w:rPr>
              <w:t>var</w:t>
            </w:r>
          </w:p>
        </w:tc>
        <w:tc>
          <w:tcPr>
            <w:tcW w:w="929" w:type="dxa"/>
          </w:tcPr>
          <w:p>
            <w:pPr>
              <w:pStyle w:val="TableParagraph"/>
              <w:spacing w:line="209" w:lineRule="exact"/>
              <w:ind w:right="27"/>
              <w:jc w:val="right"/>
              <w:rPr>
                <w:sz w:val="20"/>
              </w:rPr>
            </w:pPr>
            <w:r>
              <w:rPr>
                <w:spacing w:val="-2"/>
                <w:sz w:val="20"/>
              </w:rPr>
              <w:t>3.783674</w:t>
            </w:r>
          </w:p>
        </w:tc>
      </w:tr>
      <w:tr>
        <w:trPr>
          <w:trHeight w:val="230" w:hRule="atLeast"/>
        </w:trPr>
        <w:tc>
          <w:tcPr>
            <w:tcW w:w="1954" w:type="dxa"/>
          </w:tcPr>
          <w:p>
            <w:pPr>
              <w:pStyle w:val="TableParagraph"/>
              <w:spacing w:line="210" w:lineRule="exact"/>
              <w:ind w:left="36"/>
              <w:rPr>
                <w:sz w:val="20"/>
              </w:rPr>
            </w:pPr>
            <w:r>
              <w:rPr>
                <w:sz w:val="20"/>
              </w:rPr>
              <w:t>S.E.</w:t>
            </w:r>
            <w:r>
              <w:rPr>
                <w:spacing w:val="-2"/>
                <w:sz w:val="20"/>
              </w:rPr>
              <w:t> </w:t>
            </w:r>
            <w:r>
              <w:rPr>
                <w:sz w:val="20"/>
              </w:rPr>
              <w:t>of</w:t>
            </w:r>
            <w:r>
              <w:rPr>
                <w:spacing w:val="-2"/>
                <w:sz w:val="20"/>
              </w:rPr>
              <w:t> regression</w:t>
            </w:r>
          </w:p>
        </w:tc>
        <w:tc>
          <w:tcPr>
            <w:tcW w:w="1268" w:type="dxa"/>
          </w:tcPr>
          <w:p>
            <w:pPr>
              <w:pStyle w:val="TableParagraph"/>
              <w:spacing w:line="210" w:lineRule="exact"/>
              <w:ind w:right="128"/>
              <w:jc w:val="right"/>
              <w:rPr>
                <w:sz w:val="20"/>
              </w:rPr>
            </w:pPr>
            <w:r>
              <w:rPr>
                <w:spacing w:val="-2"/>
                <w:sz w:val="20"/>
              </w:rPr>
              <w:t>1.900607</w:t>
            </w:r>
          </w:p>
        </w:tc>
        <w:tc>
          <w:tcPr>
            <w:tcW w:w="2336" w:type="dxa"/>
            <w:gridSpan w:val="2"/>
          </w:tcPr>
          <w:p>
            <w:pPr>
              <w:pStyle w:val="TableParagraph"/>
              <w:spacing w:line="210" w:lineRule="exact"/>
              <w:ind w:left="131"/>
              <w:rPr>
                <w:sz w:val="20"/>
              </w:rPr>
            </w:pPr>
            <w:r>
              <w:rPr>
                <w:sz w:val="20"/>
              </w:rPr>
              <w:t>Akaike</w:t>
            </w:r>
            <w:r>
              <w:rPr>
                <w:spacing w:val="-8"/>
                <w:sz w:val="20"/>
              </w:rPr>
              <w:t> </w:t>
            </w:r>
            <w:r>
              <w:rPr>
                <w:sz w:val="20"/>
              </w:rPr>
              <w:t>info</w:t>
            </w:r>
            <w:r>
              <w:rPr>
                <w:spacing w:val="-7"/>
                <w:sz w:val="20"/>
              </w:rPr>
              <w:t> </w:t>
            </w:r>
            <w:r>
              <w:rPr>
                <w:spacing w:val="-2"/>
                <w:sz w:val="20"/>
              </w:rPr>
              <w:t>criterion</w:t>
            </w:r>
          </w:p>
        </w:tc>
        <w:tc>
          <w:tcPr>
            <w:tcW w:w="929" w:type="dxa"/>
          </w:tcPr>
          <w:p>
            <w:pPr>
              <w:pStyle w:val="TableParagraph"/>
              <w:spacing w:line="210" w:lineRule="exact"/>
              <w:ind w:right="27"/>
              <w:jc w:val="right"/>
              <w:rPr>
                <w:sz w:val="20"/>
              </w:rPr>
            </w:pPr>
            <w:r>
              <w:rPr>
                <w:spacing w:val="-2"/>
                <w:sz w:val="20"/>
              </w:rPr>
              <w:t>4.196027</w:t>
            </w:r>
          </w:p>
        </w:tc>
      </w:tr>
      <w:tr>
        <w:trPr>
          <w:trHeight w:val="230" w:hRule="atLeast"/>
        </w:trPr>
        <w:tc>
          <w:tcPr>
            <w:tcW w:w="1954" w:type="dxa"/>
          </w:tcPr>
          <w:p>
            <w:pPr>
              <w:pStyle w:val="TableParagraph"/>
              <w:spacing w:line="210" w:lineRule="exact"/>
              <w:ind w:left="36"/>
              <w:rPr>
                <w:sz w:val="20"/>
              </w:rPr>
            </w:pPr>
            <w:r>
              <w:rPr>
                <w:sz w:val="20"/>
              </w:rPr>
              <w:t>Sum</w:t>
            </w:r>
            <w:r>
              <w:rPr>
                <w:spacing w:val="-8"/>
                <w:sz w:val="20"/>
              </w:rPr>
              <w:t> </w:t>
            </w:r>
            <w:r>
              <w:rPr>
                <w:sz w:val="20"/>
              </w:rPr>
              <w:t>squared</w:t>
            </w:r>
            <w:r>
              <w:rPr>
                <w:spacing w:val="-4"/>
                <w:sz w:val="20"/>
              </w:rPr>
              <w:t> </w:t>
            </w:r>
            <w:r>
              <w:rPr>
                <w:spacing w:val="-2"/>
                <w:sz w:val="20"/>
              </w:rPr>
              <w:t>resid</w:t>
            </w:r>
          </w:p>
        </w:tc>
        <w:tc>
          <w:tcPr>
            <w:tcW w:w="1268" w:type="dxa"/>
          </w:tcPr>
          <w:p>
            <w:pPr>
              <w:pStyle w:val="TableParagraph"/>
              <w:spacing w:line="210" w:lineRule="exact"/>
              <w:ind w:right="128"/>
              <w:jc w:val="right"/>
              <w:rPr>
                <w:sz w:val="20"/>
              </w:rPr>
            </w:pPr>
            <w:r>
              <w:rPr>
                <w:spacing w:val="-2"/>
                <w:sz w:val="20"/>
              </w:rPr>
              <w:t>130.0430</w:t>
            </w:r>
          </w:p>
        </w:tc>
        <w:tc>
          <w:tcPr>
            <w:tcW w:w="2336" w:type="dxa"/>
            <w:gridSpan w:val="2"/>
          </w:tcPr>
          <w:p>
            <w:pPr>
              <w:pStyle w:val="TableParagraph"/>
              <w:spacing w:line="210" w:lineRule="exact"/>
              <w:ind w:left="131"/>
              <w:rPr>
                <w:sz w:val="20"/>
              </w:rPr>
            </w:pPr>
            <w:r>
              <w:rPr>
                <w:sz w:val="20"/>
              </w:rPr>
              <w:t>Schwarz</w:t>
            </w:r>
            <w:r>
              <w:rPr>
                <w:spacing w:val="-8"/>
                <w:sz w:val="20"/>
              </w:rPr>
              <w:t> </w:t>
            </w:r>
            <w:r>
              <w:rPr>
                <w:spacing w:val="-2"/>
                <w:sz w:val="20"/>
              </w:rPr>
              <w:t>criterion</w:t>
            </w:r>
          </w:p>
        </w:tc>
        <w:tc>
          <w:tcPr>
            <w:tcW w:w="929" w:type="dxa"/>
          </w:tcPr>
          <w:p>
            <w:pPr>
              <w:pStyle w:val="TableParagraph"/>
              <w:spacing w:line="210" w:lineRule="exact"/>
              <w:ind w:right="27"/>
              <w:jc w:val="right"/>
              <w:rPr>
                <w:sz w:val="20"/>
              </w:rPr>
            </w:pPr>
            <w:r>
              <w:rPr>
                <w:spacing w:val="-2"/>
                <w:sz w:val="20"/>
              </w:rPr>
              <w:t>4.323993</w:t>
            </w:r>
          </w:p>
        </w:tc>
      </w:tr>
      <w:tr>
        <w:trPr>
          <w:trHeight w:val="230" w:hRule="atLeast"/>
        </w:trPr>
        <w:tc>
          <w:tcPr>
            <w:tcW w:w="1954" w:type="dxa"/>
          </w:tcPr>
          <w:p>
            <w:pPr>
              <w:pStyle w:val="TableParagraph"/>
              <w:spacing w:line="210" w:lineRule="exact"/>
              <w:ind w:left="36"/>
              <w:rPr>
                <w:sz w:val="20"/>
              </w:rPr>
            </w:pPr>
            <w:r>
              <w:rPr>
                <w:sz w:val="20"/>
              </w:rPr>
              <w:t>Log</w:t>
            </w:r>
            <w:r>
              <w:rPr>
                <w:spacing w:val="-6"/>
                <w:sz w:val="20"/>
              </w:rPr>
              <w:t> </w:t>
            </w:r>
            <w:r>
              <w:rPr>
                <w:spacing w:val="-2"/>
                <w:sz w:val="20"/>
              </w:rPr>
              <w:t>likelihood</w:t>
            </w:r>
          </w:p>
        </w:tc>
        <w:tc>
          <w:tcPr>
            <w:tcW w:w="1268" w:type="dxa"/>
          </w:tcPr>
          <w:p>
            <w:pPr>
              <w:pStyle w:val="TableParagraph"/>
              <w:spacing w:line="210" w:lineRule="exact"/>
              <w:ind w:right="128"/>
              <w:jc w:val="right"/>
              <w:rPr>
                <w:sz w:val="20"/>
              </w:rPr>
            </w:pPr>
            <w:r>
              <w:rPr>
                <w:spacing w:val="-4"/>
                <w:sz w:val="20"/>
              </w:rPr>
              <w:t>-</w:t>
            </w:r>
            <w:r>
              <w:rPr>
                <w:spacing w:val="-2"/>
                <w:sz w:val="20"/>
              </w:rPr>
              <w:t>78.82252</w:t>
            </w:r>
          </w:p>
        </w:tc>
        <w:tc>
          <w:tcPr>
            <w:tcW w:w="1432" w:type="dxa"/>
          </w:tcPr>
          <w:p>
            <w:pPr>
              <w:pStyle w:val="TableParagraph"/>
              <w:spacing w:line="210" w:lineRule="exact"/>
              <w:ind w:left="131"/>
              <w:rPr>
                <w:sz w:val="20"/>
              </w:rPr>
            </w:pPr>
            <w:r>
              <w:rPr>
                <w:spacing w:val="-4"/>
                <w:sz w:val="20"/>
              </w:rPr>
              <w:t>F-</w:t>
            </w:r>
            <w:r>
              <w:rPr>
                <w:spacing w:val="-2"/>
                <w:sz w:val="20"/>
              </w:rPr>
              <w:t>statistic</w:t>
            </w:r>
          </w:p>
        </w:tc>
        <w:tc>
          <w:tcPr>
            <w:tcW w:w="904" w:type="dxa"/>
          </w:tcPr>
          <w:p>
            <w:pPr>
              <w:pStyle w:val="TableParagraph"/>
              <w:rPr>
                <w:sz w:val="16"/>
              </w:rPr>
            </w:pPr>
          </w:p>
        </w:tc>
        <w:tc>
          <w:tcPr>
            <w:tcW w:w="929" w:type="dxa"/>
          </w:tcPr>
          <w:p>
            <w:pPr>
              <w:pStyle w:val="TableParagraph"/>
              <w:spacing w:line="210" w:lineRule="exact"/>
              <w:ind w:right="27"/>
              <w:jc w:val="right"/>
              <w:rPr>
                <w:sz w:val="20"/>
              </w:rPr>
            </w:pPr>
            <w:r>
              <w:rPr>
                <w:spacing w:val="-2"/>
                <w:sz w:val="20"/>
              </w:rPr>
              <w:t>57.30026</w:t>
            </w:r>
          </w:p>
        </w:tc>
      </w:tr>
      <w:tr>
        <w:trPr>
          <w:trHeight w:val="265" w:hRule="atLeast"/>
        </w:trPr>
        <w:tc>
          <w:tcPr>
            <w:tcW w:w="1954" w:type="dxa"/>
            <w:tcBorders>
              <w:bottom w:val="double" w:sz="6" w:space="0" w:color="000000"/>
            </w:tcBorders>
          </w:tcPr>
          <w:p>
            <w:pPr>
              <w:pStyle w:val="TableParagraph"/>
              <w:spacing w:line="226" w:lineRule="exact"/>
              <w:ind w:left="36"/>
              <w:rPr>
                <w:sz w:val="20"/>
              </w:rPr>
            </w:pPr>
            <w:r>
              <w:rPr>
                <w:sz w:val="20"/>
              </w:rPr>
              <w:t>Durbin-Watson</w:t>
            </w:r>
            <w:r>
              <w:rPr>
                <w:spacing w:val="-12"/>
                <w:sz w:val="20"/>
              </w:rPr>
              <w:t> </w:t>
            </w:r>
            <w:r>
              <w:rPr>
                <w:spacing w:val="-4"/>
                <w:sz w:val="20"/>
              </w:rPr>
              <w:t>stat</w:t>
            </w:r>
          </w:p>
        </w:tc>
        <w:tc>
          <w:tcPr>
            <w:tcW w:w="1268" w:type="dxa"/>
          </w:tcPr>
          <w:p>
            <w:pPr>
              <w:pStyle w:val="TableParagraph"/>
              <w:spacing w:line="226" w:lineRule="exact"/>
              <w:ind w:right="128"/>
              <w:jc w:val="right"/>
              <w:rPr>
                <w:sz w:val="20"/>
              </w:rPr>
            </w:pPr>
            <w:r>
              <w:rPr>
                <w:spacing w:val="-2"/>
                <w:sz w:val="20"/>
              </w:rPr>
              <w:t>2.172098</w:t>
            </w:r>
          </w:p>
        </w:tc>
        <w:tc>
          <w:tcPr>
            <w:tcW w:w="1432" w:type="dxa"/>
            <w:tcBorders>
              <w:bottom w:val="double" w:sz="6" w:space="0" w:color="000000"/>
            </w:tcBorders>
          </w:tcPr>
          <w:p>
            <w:pPr>
              <w:pStyle w:val="TableParagraph"/>
              <w:spacing w:line="226" w:lineRule="exact"/>
              <w:ind w:left="131"/>
              <w:rPr>
                <w:sz w:val="20"/>
              </w:rPr>
            </w:pPr>
            <w:r>
              <w:rPr>
                <w:spacing w:val="-2"/>
                <w:sz w:val="20"/>
              </w:rPr>
              <w:t>Prob(F-statistic)</w:t>
            </w:r>
          </w:p>
        </w:tc>
        <w:tc>
          <w:tcPr>
            <w:tcW w:w="904" w:type="dxa"/>
            <w:tcBorders>
              <w:bottom w:val="double" w:sz="6" w:space="0" w:color="000000"/>
            </w:tcBorders>
          </w:tcPr>
          <w:p>
            <w:pPr>
              <w:pStyle w:val="TableParagraph"/>
              <w:rPr>
                <w:sz w:val="18"/>
              </w:rPr>
            </w:pPr>
          </w:p>
        </w:tc>
        <w:tc>
          <w:tcPr>
            <w:tcW w:w="929" w:type="dxa"/>
            <w:tcBorders>
              <w:bottom w:val="double" w:sz="6" w:space="0" w:color="000000"/>
            </w:tcBorders>
          </w:tcPr>
          <w:p>
            <w:pPr>
              <w:pStyle w:val="TableParagraph"/>
              <w:spacing w:line="226" w:lineRule="exact"/>
              <w:ind w:right="27"/>
              <w:jc w:val="right"/>
              <w:rPr>
                <w:sz w:val="20"/>
              </w:rPr>
            </w:pPr>
            <w:r>
              <w:rPr>
                <w:spacing w:val="-2"/>
                <w:sz w:val="20"/>
              </w:rPr>
              <w:t>0.000000</w:t>
            </w:r>
          </w:p>
        </w:tc>
      </w:tr>
    </w:tbl>
    <w:p>
      <w:pPr>
        <w:pStyle w:val="BodyText"/>
        <w:rPr>
          <w:sz w:val="20"/>
        </w:rPr>
      </w:pPr>
    </w:p>
    <w:p>
      <w:pPr>
        <w:pStyle w:val="BodyText"/>
        <w:rPr>
          <w:sz w:val="20"/>
        </w:rPr>
      </w:pPr>
    </w:p>
    <w:p>
      <w:pPr>
        <w:pStyle w:val="BodyText"/>
        <w:spacing w:before="14"/>
        <w:rPr>
          <w:sz w:val="20"/>
        </w:rPr>
      </w:pPr>
    </w:p>
    <w:p>
      <w:pPr>
        <w:spacing w:before="0" w:after="3"/>
        <w:ind w:left="711" w:right="0" w:firstLine="0"/>
        <w:jc w:val="left"/>
        <w:rPr>
          <w:sz w:val="20"/>
        </w:rPr>
      </w:pPr>
      <w:r>
        <w:rPr>
          <w:sz w:val="20"/>
        </w:rPr>
        <w:t>DOP</w:t>
      </w:r>
      <w:r>
        <w:rPr>
          <w:spacing w:val="-1"/>
          <w:sz w:val="20"/>
        </w:rPr>
        <w:t> </w:t>
      </w:r>
      <w:r>
        <w:rPr>
          <w:sz w:val="20"/>
        </w:rPr>
        <w:t>@</w:t>
      </w:r>
      <w:r>
        <w:rPr>
          <w:spacing w:val="-4"/>
          <w:sz w:val="20"/>
        </w:rPr>
        <w:t> LEVEL</w:t>
      </w:r>
    </w:p>
    <w:tbl>
      <w:tblPr>
        <w:tblW w:w="0" w:type="auto"/>
        <w:jc w:val="left"/>
        <w:tblInd w:w="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47"/>
        <w:gridCol w:w="1375"/>
        <w:gridCol w:w="1432"/>
        <w:gridCol w:w="904"/>
        <w:gridCol w:w="929"/>
      </w:tblGrid>
      <w:tr>
        <w:trPr>
          <w:trHeight w:val="225" w:hRule="atLeast"/>
        </w:trPr>
        <w:tc>
          <w:tcPr>
            <w:tcW w:w="1847" w:type="dxa"/>
          </w:tcPr>
          <w:p>
            <w:pPr>
              <w:pStyle w:val="TableParagraph"/>
              <w:spacing w:line="205" w:lineRule="exact"/>
              <w:ind w:left="36"/>
              <w:rPr>
                <w:sz w:val="20"/>
              </w:rPr>
            </w:pPr>
            <w:r>
              <w:rPr>
                <w:sz w:val="20"/>
              </w:rPr>
              <w:t>ADF</w:t>
            </w:r>
            <w:r>
              <w:rPr>
                <w:spacing w:val="-4"/>
                <w:sz w:val="20"/>
              </w:rPr>
              <w:t> </w:t>
            </w:r>
            <w:r>
              <w:rPr>
                <w:sz w:val="20"/>
              </w:rPr>
              <w:t>Test</w:t>
            </w:r>
            <w:r>
              <w:rPr>
                <w:spacing w:val="-3"/>
                <w:sz w:val="20"/>
              </w:rPr>
              <w:t> </w:t>
            </w:r>
            <w:r>
              <w:rPr>
                <w:spacing w:val="-2"/>
                <w:sz w:val="20"/>
              </w:rPr>
              <w:t>Statistic</w:t>
            </w:r>
          </w:p>
        </w:tc>
        <w:tc>
          <w:tcPr>
            <w:tcW w:w="1375" w:type="dxa"/>
          </w:tcPr>
          <w:p>
            <w:pPr>
              <w:pStyle w:val="TableParagraph"/>
              <w:spacing w:line="205" w:lineRule="exact"/>
              <w:ind w:left="219"/>
              <w:rPr>
                <w:sz w:val="20"/>
              </w:rPr>
            </w:pPr>
            <w:r>
              <w:rPr>
                <w:spacing w:val="-4"/>
                <w:sz w:val="20"/>
              </w:rPr>
              <w:t>-</w:t>
            </w:r>
            <w:r>
              <w:rPr>
                <w:spacing w:val="-2"/>
                <w:sz w:val="20"/>
              </w:rPr>
              <w:t>1.860631</w:t>
            </w:r>
          </w:p>
        </w:tc>
        <w:tc>
          <w:tcPr>
            <w:tcW w:w="2336" w:type="dxa"/>
            <w:gridSpan w:val="2"/>
          </w:tcPr>
          <w:p>
            <w:pPr>
              <w:pStyle w:val="TableParagraph"/>
              <w:spacing w:line="205" w:lineRule="exact"/>
              <w:ind w:left="131"/>
              <w:rPr>
                <w:sz w:val="20"/>
              </w:rPr>
            </w:pPr>
            <w:r>
              <w:rPr>
                <w:sz w:val="20"/>
              </w:rPr>
              <w:t>1%</w:t>
            </w:r>
            <w:r>
              <w:rPr>
                <w:spacing w:val="68"/>
                <w:w w:val="150"/>
                <w:sz w:val="20"/>
              </w:rPr>
              <w:t> </w:t>
            </w:r>
            <w:r>
              <w:rPr>
                <w:sz w:val="20"/>
              </w:rPr>
              <w:t>Critical</w:t>
            </w:r>
            <w:r>
              <w:rPr>
                <w:spacing w:val="-2"/>
                <w:sz w:val="20"/>
              </w:rPr>
              <w:t> Value*</w:t>
            </w:r>
          </w:p>
        </w:tc>
        <w:tc>
          <w:tcPr>
            <w:tcW w:w="929" w:type="dxa"/>
          </w:tcPr>
          <w:p>
            <w:pPr>
              <w:pStyle w:val="TableParagraph"/>
              <w:spacing w:line="205" w:lineRule="exact"/>
              <w:ind w:right="27"/>
              <w:jc w:val="right"/>
              <w:rPr>
                <w:sz w:val="20"/>
              </w:rPr>
            </w:pPr>
            <w:r>
              <w:rPr>
                <w:spacing w:val="-4"/>
                <w:sz w:val="20"/>
              </w:rPr>
              <w:t>-</w:t>
            </w:r>
            <w:r>
              <w:rPr>
                <w:spacing w:val="-2"/>
                <w:sz w:val="20"/>
              </w:rPr>
              <w:t>3.6019</w:t>
            </w:r>
          </w:p>
        </w:tc>
      </w:tr>
      <w:tr>
        <w:trPr>
          <w:trHeight w:val="230" w:hRule="atLeast"/>
        </w:trPr>
        <w:tc>
          <w:tcPr>
            <w:tcW w:w="1847" w:type="dxa"/>
          </w:tcPr>
          <w:p>
            <w:pPr>
              <w:pStyle w:val="TableParagraph"/>
              <w:rPr>
                <w:sz w:val="16"/>
              </w:rPr>
            </w:pPr>
          </w:p>
        </w:tc>
        <w:tc>
          <w:tcPr>
            <w:tcW w:w="1375" w:type="dxa"/>
          </w:tcPr>
          <w:p>
            <w:pPr>
              <w:pStyle w:val="TableParagraph"/>
              <w:rPr>
                <w:sz w:val="16"/>
              </w:rPr>
            </w:pPr>
          </w:p>
        </w:tc>
        <w:tc>
          <w:tcPr>
            <w:tcW w:w="2336" w:type="dxa"/>
            <w:gridSpan w:val="2"/>
          </w:tcPr>
          <w:p>
            <w:pPr>
              <w:pStyle w:val="TableParagraph"/>
              <w:spacing w:line="210" w:lineRule="exact"/>
              <w:ind w:left="131"/>
              <w:rPr>
                <w:sz w:val="20"/>
              </w:rPr>
            </w:pPr>
            <w:r>
              <w:rPr>
                <w:sz w:val="20"/>
              </w:rPr>
              <w:t>5%</w:t>
            </w:r>
            <w:r>
              <w:rPr>
                <w:spacing w:val="68"/>
                <w:w w:val="150"/>
                <w:sz w:val="20"/>
              </w:rPr>
              <w:t> </w:t>
            </w:r>
            <w:r>
              <w:rPr>
                <w:sz w:val="20"/>
              </w:rPr>
              <w:t>Critical</w:t>
            </w:r>
            <w:r>
              <w:rPr>
                <w:spacing w:val="-2"/>
                <w:sz w:val="20"/>
              </w:rPr>
              <w:t> </w:t>
            </w:r>
            <w:r>
              <w:rPr>
                <w:spacing w:val="-4"/>
                <w:sz w:val="20"/>
              </w:rPr>
              <w:t>Value</w:t>
            </w:r>
          </w:p>
        </w:tc>
        <w:tc>
          <w:tcPr>
            <w:tcW w:w="929" w:type="dxa"/>
          </w:tcPr>
          <w:p>
            <w:pPr>
              <w:pStyle w:val="TableParagraph"/>
              <w:spacing w:line="210" w:lineRule="exact"/>
              <w:ind w:right="27"/>
              <w:jc w:val="right"/>
              <w:rPr>
                <w:sz w:val="20"/>
              </w:rPr>
            </w:pPr>
            <w:r>
              <w:rPr>
                <w:spacing w:val="-4"/>
                <w:sz w:val="20"/>
              </w:rPr>
              <w:t>-</w:t>
            </w:r>
            <w:r>
              <w:rPr>
                <w:spacing w:val="-2"/>
                <w:sz w:val="20"/>
              </w:rPr>
              <w:t>2.9358</w:t>
            </w:r>
          </w:p>
        </w:tc>
      </w:tr>
      <w:tr>
        <w:trPr>
          <w:trHeight w:val="224" w:hRule="atLeast"/>
        </w:trPr>
        <w:tc>
          <w:tcPr>
            <w:tcW w:w="1847" w:type="dxa"/>
            <w:tcBorders>
              <w:bottom w:val="double" w:sz="6" w:space="0" w:color="000000"/>
            </w:tcBorders>
          </w:tcPr>
          <w:p>
            <w:pPr>
              <w:pStyle w:val="TableParagraph"/>
              <w:rPr>
                <w:sz w:val="16"/>
              </w:rPr>
            </w:pPr>
          </w:p>
        </w:tc>
        <w:tc>
          <w:tcPr>
            <w:tcW w:w="1375" w:type="dxa"/>
            <w:tcBorders>
              <w:bottom w:val="double" w:sz="6" w:space="0" w:color="000000"/>
            </w:tcBorders>
          </w:tcPr>
          <w:p>
            <w:pPr>
              <w:pStyle w:val="TableParagraph"/>
              <w:rPr>
                <w:sz w:val="16"/>
              </w:rPr>
            </w:pPr>
          </w:p>
        </w:tc>
        <w:tc>
          <w:tcPr>
            <w:tcW w:w="2336" w:type="dxa"/>
            <w:gridSpan w:val="2"/>
            <w:tcBorders>
              <w:bottom w:val="double" w:sz="6" w:space="0" w:color="000000"/>
            </w:tcBorders>
          </w:tcPr>
          <w:p>
            <w:pPr>
              <w:pStyle w:val="TableParagraph"/>
              <w:spacing w:line="205" w:lineRule="exact"/>
              <w:ind w:left="131"/>
              <w:rPr>
                <w:sz w:val="20"/>
              </w:rPr>
            </w:pPr>
            <w:r>
              <w:rPr>
                <w:sz w:val="20"/>
              </w:rPr>
              <w:t>10%</w:t>
            </w:r>
            <w:r>
              <w:rPr>
                <w:spacing w:val="-6"/>
                <w:sz w:val="20"/>
              </w:rPr>
              <w:t> </w:t>
            </w:r>
            <w:r>
              <w:rPr>
                <w:sz w:val="20"/>
              </w:rPr>
              <w:t>Critical</w:t>
            </w:r>
            <w:r>
              <w:rPr>
                <w:spacing w:val="-4"/>
                <w:sz w:val="20"/>
              </w:rPr>
              <w:t> </w:t>
            </w:r>
            <w:r>
              <w:rPr>
                <w:spacing w:val="-2"/>
                <w:sz w:val="20"/>
              </w:rPr>
              <w:t>Value</w:t>
            </w:r>
          </w:p>
        </w:tc>
        <w:tc>
          <w:tcPr>
            <w:tcW w:w="929" w:type="dxa"/>
            <w:tcBorders>
              <w:bottom w:val="double" w:sz="6" w:space="0" w:color="000000"/>
            </w:tcBorders>
          </w:tcPr>
          <w:p>
            <w:pPr>
              <w:pStyle w:val="TableParagraph"/>
              <w:spacing w:line="205" w:lineRule="exact"/>
              <w:ind w:right="27"/>
              <w:jc w:val="right"/>
              <w:rPr>
                <w:sz w:val="20"/>
              </w:rPr>
            </w:pPr>
            <w:r>
              <w:rPr>
                <w:spacing w:val="-4"/>
                <w:sz w:val="20"/>
              </w:rPr>
              <w:t>-</w:t>
            </w:r>
            <w:r>
              <w:rPr>
                <w:spacing w:val="-2"/>
                <w:sz w:val="20"/>
              </w:rPr>
              <w:t>2.6059</w:t>
            </w:r>
          </w:p>
        </w:tc>
      </w:tr>
      <w:tr>
        <w:trPr>
          <w:trHeight w:val="505" w:hRule="atLeast"/>
        </w:trPr>
        <w:tc>
          <w:tcPr>
            <w:tcW w:w="6487" w:type="dxa"/>
            <w:gridSpan w:val="5"/>
            <w:tcBorders>
              <w:top w:val="double" w:sz="6" w:space="0" w:color="000000"/>
            </w:tcBorders>
          </w:tcPr>
          <w:p>
            <w:pPr>
              <w:pStyle w:val="TableParagraph"/>
              <w:spacing w:before="40"/>
              <w:ind w:left="36"/>
              <w:rPr>
                <w:sz w:val="20"/>
              </w:rPr>
            </w:pPr>
            <w:r>
              <w:rPr>
                <w:sz w:val="20"/>
              </w:rPr>
              <w:t>*MacKinnon</w:t>
            </w:r>
            <w:r>
              <w:rPr>
                <w:spacing w:val="-6"/>
                <w:sz w:val="20"/>
              </w:rPr>
              <w:t> </w:t>
            </w:r>
            <w:r>
              <w:rPr>
                <w:sz w:val="20"/>
              </w:rPr>
              <w:t>critical</w:t>
            </w:r>
            <w:r>
              <w:rPr>
                <w:spacing w:val="-4"/>
                <w:sz w:val="20"/>
              </w:rPr>
              <w:t> </w:t>
            </w:r>
            <w:r>
              <w:rPr>
                <w:sz w:val="20"/>
              </w:rPr>
              <w:t>values</w:t>
            </w:r>
            <w:r>
              <w:rPr>
                <w:spacing w:val="-6"/>
                <w:sz w:val="20"/>
              </w:rPr>
              <w:t> </w:t>
            </w:r>
            <w:r>
              <w:rPr>
                <w:sz w:val="20"/>
              </w:rPr>
              <w:t>for</w:t>
            </w:r>
            <w:r>
              <w:rPr>
                <w:spacing w:val="-4"/>
                <w:sz w:val="20"/>
              </w:rPr>
              <w:t> </w:t>
            </w:r>
            <w:r>
              <w:rPr>
                <w:sz w:val="20"/>
              </w:rPr>
              <w:t>rejection</w:t>
            </w:r>
            <w:r>
              <w:rPr>
                <w:spacing w:val="-6"/>
                <w:sz w:val="20"/>
              </w:rPr>
              <w:t> </w:t>
            </w:r>
            <w:r>
              <w:rPr>
                <w:sz w:val="20"/>
              </w:rPr>
              <w:t>of</w:t>
            </w:r>
            <w:r>
              <w:rPr>
                <w:spacing w:val="-6"/>
                <w:sz w:val="20"/>
              </w:rPr>
              <w:t> </w:t>
            </w:r>
            <w:r>
              <w:rPr>
                <w:sz w:val="20"/>
              </w:rPr>
              <w:t>hypothesis</w:t>
            </w:r>
            <w:r>
              <w:rPr>
                <w:spacing w:val="-6"/>
                <w:sz w:val="20"/>
              </w:rPr>
              <w:t> </w:t>
            </w:r>
            <w:r>
              <w:rPr>
                <w:sz w:val="20"/>
              </w:rPr>
              <w:t>of</w:t>
            </w:r>
            <w:r>
              <w:rPr>
                <w:spacing w:val="-6"/>
                <w:sz w:val="20"/>
              </w:rPr>
              <w:t> </w:t>
            </w:r>
            <w:r>
              <w:rPr>
                <w:sz w:val="20"/>
              </w:rPr>
              <w:t>a</w:t>
            </w:r>
            <w:r>
              <w:rPr>
                <w:spacing w:val="-4"/>
                <w:sz w:val="20"/>
              </w:rPr>
              <w:t> </w:t>
            </w:r>
            <w:r>
              <w:rPr>
                <w:sz w:val="20"/>
              </w:rPr>
              <w:t>unit</w:t>
            </w:r>
            <w:r>
              <w:rPr>
                <w:spacing w:val="-6"/>
                <w:sz w:val="20"/>
              </w:rPr>
              <w:t> </w:t>
            </w:r>
            <w:r>
              <w:rPr>
                <w:spacing w:val="-2"/>
                <w:sz w:val="20"/>
              </w:rPr>
              <w:t>root.</w:t>
            </w:r>
          </w:p>
        </w:tc>
      </w:tr>
      <w:tr>
        <w:trPr>
          <w:trHeight w:val="459" w:hRule="atLeast"/>
        </w:trPr>
        <w:tc>
          <w:tcPr>
            <w:tcW w:w="6487" w:type="dxa"/>
            <w:gridSpan w:val="5"/>
          </w:tcPr>
          <w:p>
            <w:pPr>
              <w:pStyle w:val="TableParagraph"/>
              <w:spacing w:line="214" w:lineRule="exact" w:before="226"/>
              <w:ind w:left="36"/>
              <w:rPr>
                <w:sz w:val="20"/>
              </w:rPr>
            </w:pPr>
            <w:r>
              <w:rPr>
                <w:sz w:val="20"/>
              </w:rPr>
              <w:t>Augmented</w:t>
            </w:r>
            <w:r>
              <w:rPr>
                <w:spacing w:val="-8"/>
                <w:sz w:val="20"/>
              </w:rPr>
              <w:t> </w:t>
            </w:r>
            <w:r>
              <w:rPr>
                <w:sz w:val="20"/>
              </w:rPr>
              <w:t>Dickey-Fuller</w:t>
            </w:r>
            <w:r>
              <w:rPr>
                <w:spacing w:val="-8"/>
                <w:sz w:val="20"/>
              </w:rPr>
              <w:t> </w:t>
            </w:r>
            <w:r>
              <w:rPr>
                <w:sz w:val="20"/>
              </w:rPr>
              <w:t>Test</w:t>
            </w:r>
            <w:r>
              <w:rPr>
                <w:spacing w:val="-9"/>
                <w:sz w:val="20"/>
              </w:rPr>
              <w:t> </w:t>
            </w:r>
            <w:r>
              <w:rPr>
                <w:spacing w:val="-2"/>
                <w:sz w:val="20"/>
              </w:rPr>
              <w:t>Equation</w:t>
            </w:r>
          </w:p>
        </w:tc>
      </w:tr>
      <w:tr>
        <w:trPr>
          <w:trHeight w:val="229" w:hRule="atLeast"/>
        </w:trPr>
        <w:tc>
          <w:tcPr>
            <w:tcW w:w="6487" w:type="dxa"/>
            <w:gridSpan w:val="5"/>
          </w:tcPr>
          <w:p>
            <w:pPr>
              <w:pStyle w:val="TableParagraph"/>
              <w:spacing w:line="209" w:lineRule="exact"/>
              <w:ind w:left="36"/>
              <w:rPr>
                <w:sz w:val="20"/>
              </w:rPr>
            </w:pPr>
            <w:r>
              <w:rPr>
                <w:sz w:val="20"/>
              </w:rPr>
              <w:t>Dependent</w:t>
            </w:r>
            <w:r>
              <w:rPr>
                <w:spacing w:val="-8"/>
                <w:sz w:val="20"/>
              </w:rPr>
              <w:t> </w:t>
            </w:r>
            <w:r>
              <w:rPr>
                <w:sz w:val="20"/>
              </w:rPr>
              <w:t>Variable:</w:t>
            </w:r>
            <w:r>
              <w:rPr>
                <w:spacing w:val="-8"/>
                <w:sz w:val="20"/>
              </w:rPr>
              <w:t> </w:t>
            </w:r>
            <w:r>
              <w:rPr>
                <w:spacing w:val="-2"/>
                <w:sz w:val="20"/>
              </w:rPr>
              <w:t>D(DOP)</w:t>
            </w:r>
          </w:p>
        </w:tc>
      </w:tr>
      <w:tr>
        <w:trPr>
          <w:trHeight w:val="230" w:hRule="atLeast"/>
        </w:trPr>
        <w:tc>
          <w:tcPr>
            <w:tcW w:w="6487" w:type="dxa"/>
            <w:gridSpan w:val="5"/>
          </w:tcPr>
          <w:p>
            <w:pPr>
              <w:pStyle w:val="TableParagraph"/>
              <w:spacing w:line="210" w:lineRule="exact"/>
              <w:ind w:left="36"/>
              <w:rPr>
                <w:sz w:val="20"/>
              </w:rPr>
            </w:pPr>
            <w:r>
              <w:rPr>
                <w:sz w:val="20"/>
              </w:rPr>
              <w:t>Method:</w:t>
            </w:r>
            <w:r>
              <w:rPr>
                <w:spacing w:val="-8"/>
                <w:sz w:val="20"/>
              </w:rPr>
              <w:t> </w:t>
            </w:r>
            <w:r>
              <w:rPr>
                <w:sz w:val="20"/>
              </w:rPr>
              <w:t>Least</w:t>
            </w:r>
            <w:r>
              <w:rPr>
                <w:spacing w:val="-7"/>
                <w:sz w:val="20"/>
              </w:rPr>
              <w:t> </w:t>
            </w:r>
            <w:r>
              <w:rPr>
                <w:spacing w:val="-2"/>
                <w:sz w:val="20"/>
              </w:rPr>
              <w:t>Squares</w:t>
            </w:r>
          </w:p>
        </w:tc>
      </w:tr>
      <w:tr>
        <w:trPr>
          <w:trHeight w:val="230" w:hRule="atLeast"/>
        </w:trPr>
        <w:tc>
          <w:tcPr>
            <w:tcW w:w="6487" w:type="dxa"/>
            <w:gridSpan w:val="5"/>
          </w:tcPr>
          <w:p>
            <w:pPr>
              <w:pStyle w:val="TableParagraph"/>
              <w:spacing w:line="210" w:lineRule="exact"/>
              <w:ind w:left="36"/>
              <w:rPr>
                <w:sz w:val="20"/>
              </w:rPr>
            </w:pPr>
            <w:r>
              <w:rPr>
                <w:sz w:val="20"/>
              </w:rPr>
              <w:t>Date:</w:t>
            </w:r>
            <w:r>
              <w:rPr>
                <w:spacing w:val="-5"/>
                <w:sz w:val="20"/>
              </w:rPr>
              <w:t> </w:t>
            </w:r>
            <w:r>
              <w:rPr>
                <w:sz w:val="20"/>
              </w:rPr>
              <w:t>02/18/14</w:t>
            </w:r>
            <w:r>
              <w:rPr>
                <w:spacing w:val="63"/>
                <w:w w:val="150"/>
                <w:sz w:val="20"/>
              </w:rPr>
              <w:t> </w:t>
            </w:r>
            <w:r>
              <w:rPr>
                <w:sz w:val="20"/>
              </w:rPr>
              <w:t>Time:</w:t>
            </w:r>
            <w:r>
              <w:rPr>
                <w:spacing w:val="-3"/>
                <w:sz w:val="20"/>
              </w:rPr>
              <w:t> </w:t>
            </w:r>
            <w:r>
              <w:rPr>
                <w:spacing w:val="-2"/>
                <w:sz w:val="20"/>
              </w:rPr>
              <w:t>09:15</w:t>
            </w:r>
          </w:p>
        </w:tc>
      </w:tr>
      <w:tr>
        <w:trPr>
          <w:trHeight w:val="230" w:hRule="atLeast"/>
        </w:trPr>
        <w:tc>
          <w:tcPr>
            <w:tcW w:w="6487" w:type="dxa"/>
            <w:gridSpan w:val="5"/>
          </w:tcPr>
          <w:p>
            <w:pPr>
              <w:pStyle w:val="TableParagraph"/>
              <w:spacing w:line="210" w:lineRule="exact"/>
              <w:ind w:left="36"/>
              <w:rPr>
                <w:sz w:val="20"/>
              </w:rPr>
            </w:pPr>
            <w:r>
              <w:rPr>
                <w:sz w:val="20"/>
              </w:rPr>
              <w:t>Sample(adjusted):</w:t>
            </w:r>
            <w:r>
              <w:rPr>
                <w:spacing w:val="-9"/>
                <w:sz w:val="20"/>
              </w:rPr>
              <w:t> </w:t>
            </w:r>
            <w:r>
              <w:rPr>
                <w:sz w:val="20"/>
              </w:rPr>
              <w:t>1972</w:t>
            </w:r>
            <w:r>
              <w:rPr>
                <w:spacing w:val="-9"/>
                <w:sz w:val="20"/>
              </w:rPr>
              <w:t> </w:t>
            </w:r>
            <w:r>
              <w:rPr>
                <w:spacing w:val="-4"/>
                <w:sz w:val="20"/>
              </w:rPr>
              <w:t>2011</w:t>
            </w:r>
          </w:p>
        </w:tc>
      </w:tr>
      <w:tr>
        <w:trPr>
          <w:trHeight w:val="224" w:hRule="atLeast"/>
        </w:trPr>
        <w:tc>
          <w:tcPr>
            <w:tcW w:w="6487" w:type="dxa"/>
            <w:gridSpan w:val="5"/>
            <w:tcBorders>
              <w:bottom w:val="double" w:sz="6" w:space="0" w:color="000000"/>
            </w:tcBorders>
          </w:tcPr>
          <w:p>
            <w:pPr>
              <w:pStyle w:val="TableParagraph"/>
              <w:spacing w:line="205" w:lineRule="exact"/>
              <w:ind w:left="36"/>
              <w:rPr>
                <w:sz w:val="20"/>
              </w:rPr>
            </w:pPr>
            <w:r>
              <w:rPr>
                <w:sz w:val="20"/>
              </w:rPr>
              <w:t>Included</w:t>
            </w:r>
            <w:r>
              <w:rPr>
                <w:spacing w:val="-6"/>
                <w:sz w:val="20"/>
              </w:rPr>
              <w:t> </w:t>
            </w:r>
            <w:r>
              <w:rPr>
                <w:sz w:val="20"/>
              </w:rPr>
              <w:t>observations:</w:t>
            </w:r>
            <w:r>
              <w:rPr>
                <w:spacing w:val="-8"/>
                <w:sz w:val="20"/>
              </w:rPr>
              <w:t> </w:t>
            </w:r>
            <w:r>
              <w:rPr>
                <w:sz w:val="20"/>
              </w:rPr>
              <w:t>40</w:t>
            </w:r>
            <w:r>
              <w:rPr>
                <w:spacing w:val="-5"/>
                <w:sz w:val="20"/>
              </w:rPr>
              <w:t> </w:t>
            </w:r>
            <w:r>
              <w:rPr>
                <w:sz w:val="20"/>
              </w:rPr>
              <w:t>after</w:t>
            </w:r>
            <w:r>
              <w:rPr>
                <w:spacing w:val="-7"/>
                <w:sz w:val="20"/>
              </w:rPr>
              <w:t> </w:t>
            </w:r>
            <w:r>
              <w:rPr>
                <w:sz w:val="20"/>
              </w:rPr>
              <w:t>adjusting</w:t>
            </w:r>
            <w:r>
              <w:rPr>
                <w:spacing w:val="-7"/>
                <w:sz w:val="20"/>
              </w:rPr>
              <w:t> </w:t>
            </w:r>
            <w:r>
              <w:rPr>
                <w:spacing w:val="-2"/>
                <w:sz w:val="20"/>
              </w:rPr>
              <w:t>endpoints</w:t>
            </w:r>
          </w:p>
        </w:tc>
      </w:tr>
      <w:tr>
        <w:trPr>
          <w:trHeight w:val="269" w:hRule="atLeast"/>
        </w:trPr>
        <w:tc>
          <w:tcPr>
            <w:tcW w:w="1847" w:type="dxa"/>
            <w:tcBorders>
              <w:top w:val="double" w:sz="6" w:space="0" w:color="000000"/>
              <w:bottom w:val="double" w:sz="6" w:space="0" w:color="000000"/>
            </w:tcBorders>
          </w:tcPr>
          <w:p>
            <w:pPr>
              <w:pStyle w:val="TableParagraph"/>
              <w:spacing w:line="209" w:lineRule="exact" w:before="40"/>
              <w:ind w:left="677"/>
              <w:rPr>
                <w:sz w:val="20"/>
              </w:rPr>
            </w:pPr>
            <w:r>
              <w:rPr>
                <w:spacing w:val="-2"/>
                <w:sz w:val="20"/>
              </w:rPr>
              <w:t>Variable</w:t>
            </w:r>
          </w:p>
        </w:tc>
        <w:tc>
          <w:tcPr>
            <w:tcW w:w="1375" w:type="dxa"/>
            <w:tcBorders>
              <w:top w:val="double" w:sz="6" w:space="0" w:color="000000"/>
              <w:bottom w:val="double" w:sz="6" w:space="0" w:color="000000"/>
            </w:tcBorders>
          </w:tcPr>
          <w:p>
            <w:pPr>
              <w:pStyle w:val="TableParagraph"/>
              <w:spacing w:line="209" w:lineRule="exact" w:before="40"/>
              <w:ind w:right="131"/>
              <w:jc w:val="right"/>
              <w:rPr>
                <w:sz w:val="20"/>
              </w:rPr>
            </w:pPr>
            <w:r>
              <w:rPr>
                <w:spacing w:val="-2"/>
                <w:sz w:val="20"/>
              </w:rPr>
              <w:t>Coefficient</w:t>
            </w:r>
          </w:p>
        </w:tc>
        <w:tc>
          <w:tcPr>
            <w:tcW w:w="1432" w:type="dxa"/>
            <w:tcBorders>
              <w:top w:val="double" w:sz="6" w:space="0" w:color="000000"/>
              <w:bottom w:val="double" w:sz="6" w:space="0" w:color="000000"/>
            </w:tcBorders>
          </w:tcPr>
          <w:p>
            <w:pPr>
              <w:pStyle w:val="TableParagraph"/>
              <w:spacing w:line="209" w:lineRule="exact" w:before="40"/>
              <w:ind w:left="273"/>
              <w:rPr>
                <w:sz w:val="20"/>
              </w:rPr>
            </w:pPr>
            <w:r>
              <w:rPr>
                <w:sz w:val="20"/>
              </w:rPr>
              <w:t>Std.</w:t>
            </w:r>
            <w:r>
              <w:rPr>
                <w:spacing w:val="-4"/>
                <w:sz w:val="20"/>
              </w:rPr>
              <w:t> </w:t>
            </w:r>
            <w:r>
              <w:rPr>
                <w:spacing w:val="-2"/>
                <w:sz w:val="20"/>
              </w:rPr>
              <w:t>Error</w:t>
            </w:r>
          </w:p>
        </w:tc>
        <w:tc>
          <w:tcPr>
            <w:tcW w:w="904" w:type="dxa"/>
            <w:tcBorders>
              <w:top w:val="double" w:sz="6" w:space="0" w:color="000000"/>
              <w:bottom w:val="double" w:sz="6" w:space="0" w:color="000000"/>
            </w:tcBorders>
          </w:tcPr>
          <w:p>
            <w:pPr>
              <w:pStyle w:val="TableParagraph"/>
              <w:spacing w:line="209" w:lineRule="exact" w:before="40"/>
              <w:ind w:right="22"/>
              <w:jc w:val="center"/>
              <w:rPr>
                <w:sz w:val="20"/>
              </w:rPr>
            </w:pPr>
            <w:r>
              <w:rPr>
                <w:spacing w:val="-4"/>
                <w:sz w:val="20"/>
              </w:rPr>
              <w:t>t-</w:t>
            </w:r>
            <w:r>
              <w:rPr>
                <w:spacing w:val="-2"/>
                <w:sz w:val="20"/>
              </w:rPr>
              <w:t>Statistic</w:t>
            </w:r>
          </w:p>
        </w:tc>
        <w:tc>
          <w:tcPr>
            <w:tcW w:w="929" w:type="dxa"/>
            <w:tcBorders>
              <w:top w:val="double" w:sz="6" w:space="0" w:color="000000"/>
              <w:bottom w:val="double" w:sz="6" w:space="0" w:color="000000"/>
            </w:tcBorders>
          </w:tcPr>
          <w:p>
            <w:pPr>
              <w:pStyle w:val="TableParagraph"/>
              <w:spacing w:line="209" w:lineRule="exact" w:before="40"/>
              <w:ind w:right="28"/>
              <w:jc w:val="right"/>
              <w:rPr>
                <w:sz w:val="20"/>
              </w:rPr>
            </w:pPr>
            <w:r>
              <w:rPr>
                <w:spacing w:val="-2"/>
                <w:sz w:val="20"/>
              </w:rPr>
              <w:t>Prob.</w:t>
            </w:r>
          </w:p>
        </w:tc>
      </w:tr>
      <w:tr>
        <w:trPr>
          <w:trHeight w:val="275" w:hRule="atLeast"/>
        </w:trPr>
        <w:tc>
          <w:tcPr>
            <w:tcW w:w="1847" w:type="dxa"/>
            <w:tcBorders>
              <w:top w:val="double" w:sz="6" w:space="0" w:color="000000"/>
            </w:tcBorders>
          </w:tcPr>
          <w:p>
            <w:pPr>
              <w:pStyle w:val="TableParagraph"/>
              <w:spacing w:line="215" w:lineRule="exact" w:before="40"/>
              <w:ind w:left="672"/>
              <w:rPr>
                <w:sz w:val="20"/>
              </w:rPr>
            </w:pPr>
            <w:r>
              <w:rPr>
                <w:spacing w:val="-2"/>
                <w:sz w:val="20"/>
              </w:rPr>
              <w:t>DOP(-</w:t>
            </w:r>
            <w:r>
              <w:rPr>
                <w:spacing w:val="-5"/>
                <w:sz w:val="20"/>
              </w:rPr>
              <w:t>1)</w:t>
            </w:r>
          </w:p>
        </w:tc>
        <w:tc>
          <w:tcPr>
            <w:tcW w:w="1375" w:type="dxa"/>
            <w:tcBorders>
              <w:top w:val="double" w:sz="6" w:space="0" w:color="000000"/>
            </w:tcBorders>
          </w:tcPr>
          <w:p>
            <w:pPr>
              <w:pStyle w:val="TableParagraph"/>
              <w:spacing w:line="215" w:lineRule="exact" w:before="40"/>
              <w:ind w:right="128"/>
              <w:jc w:val="right"/>
              <w:rPr>
                <w:sz w:val="20"/>
              </w:rPr>
            </w:pPr>
            <w:r>
              <w:rPr>
                <w:spacing w:val="-4"/>
                <w:sz w:val="20"/>
              </w:rPr>
              <w:t>-</w:t>
            </w:r>
            <w:r>
              <w:rPr>
                <w:spacing w:val="-2"/>
                <w:sz w:val="20"/>
              </w:rPr>
              <w:t>0.223312</w:t>
            </w:r>
          </w:p>
        </w:tc>
        <w:tc>
          <w:tcPr>
            <w:tcW w:w="1432" w:type="dxa"/>
            <w:tcBorders>
              <w:top w:val="double" w:sz="6" w:space="0" w:color="000000"/>
            </w:tcBorders>
          </w:tcPr>
          <w:p>
            <w:pPr>
              <w:pStyle w:val="TableParagraph"/>
              <w:spacing w:line="215" w:lineRule="exact" w:before="40"/>
              <w:ind w:left="311"/>
              <w:rPr>
                <w:sz w:val="20"/>
              </w:rPr>
            </w:pPr>
            <w:r>
              <w:rPr>
                <w:spacing w:val="-2"/>
                <w:sz w:val="20"/>
              </w:rPr>
              <w:t>0.120020</w:t>
            </w:r>
          </w:p>
        </w:tc>
        <w:tc>
          <w:tcPr>
            <w:tcW w:w="904" w:type="dxa"/>
            <w:tcBorders>
              <w:top w:val="double" w:sz="6" w:space="0" w:color="000000"/>
            </w:tcBorders>
          </w:tcPr>
          <w:p>
            <w:pPr>
              <w:pStyle w:val="TableParagraph"/>
              <w:spacing w:line="215" w:lineRule="exact" w:before="40"/>
              <w:ind w:right="70"/>
              <w:jc w:val="center"/>
              <w:rPr>
                <w:sz w:val="20"/>
              </w:rPr>
            </w:pPr>
            <w:r>
              <w:rPr>
                <w:spacing w:val="-4"/>
                <w:sz w:val="20"/>
              </w:rPr>
              <w:t>-</w:t>
            </w:r>
            <w:r>
              <w:rPr>
                <w:spacing w:val="-2"/>
                <w:sz w:val="20"/>
              </w:rPr>
              <w:t>1.860631</w:t>
            </w:r>
          </w:p>
        </w:tc>
        <w:tc>
          <w:tcPr>
            <w:tcW w:w="929" w:type="dxa"/>
            <w:tcBorders>
              <w:top w:val="double" w:sz="6" w:space="0" w:color="000000"/>
            </w:tcBorders>
          </w:tcPr>
          <w:p>
            <w:pPr>
              <w:pStyle w:val="TableParagraph"/>
              <w:spacing w:line="215" w:lineRule="exact" w:before="40"/>
              <w:ind w:right="27"/>
              <w:jc w:val="right"/>
              <w:rPr>
                <w:sz w:val="20"/>
              </w:rPr>
            </w:pPr>
            <w:r>
              <w:rPr>
                <w:spacing w:val="-2"/>
                <w:sz w:val="20"/>
              </w:rPr>
              <w:t>0.0708</w:t>
            </w:r>
          </w:p>
        </w:tc>
      </w:tr>
      <w:tr>
        <w:trPr>
          <w:trHeight w:val="230" w:hRule="atLeast"/>
        </w:trPr>
        <w:tc>
          <w:tcPr>
            <w:tcW w:w="1847" w:type="dxa"/>
          </w:tcPr>
          <w:p>
            <w:pPr>
              <w:pStyle w:val="TableParagraph"/>
              <w:spacing w:line="210" w:lineRule="exact"/>
              <w:ind w:left="533"/>
              <w:rPr>
                <w:sz w:val="20"/>
              </w:rPr>
            </w:pPr>
            <w:r>
              <w:rPr>
                <w:spacing w:val="-2"/>
                <w:sz w:val="20"/>
              </w:rPr>
              <w:t>D(DOP(-</w:t>
            </w:r>
            <w:r>
              <w:rPr>
                <w:spacing w:val="-5"/>
                <w:sz w:val="20"/>
              </w:rPr>
              <w:t>1))</w:t>
            </w:r>
          </w:p>
        </w:tc>
        <w:tc>
          <w:tcPr>
            <w:tcW w:w="1375" w:type="dxa"/>
          </w:tcPr>
          <w:p>
            <w:pPr>
              <w:pStyle w:val="TableParagraph"/>
              <w:spacing w:line="210" w:lineRule="exact"/>
              <w:ind w:right="128"/>
              <w:jc w:val="right"/>
              <w:rPr>
                <w:sz w:val="20"/>
              </w:rPr>
            </w:pPr>
            <w:r>
              <w:rPr>
                <w:spacing w:val="-4"/>
                <w:sz w:val="20"/>
              </w:rPr>
              <w:t>-</w:t>
            </w:r>
            <w:r>
              <w:rPr>
                <w:spacing w:val="-2"/>
                <w:sz w:val="20"/>
              </w:rPr>
              <w:t>0.288539</w:t>
            </w:r>
          </w:p>
        </w:tc>
        <w:tc>
          <w:tcPr>
            <w:tcW w:w="1432" w:type="dxa"/>
          </w:tcPr>
          <w:p>
            <w:pPr>
              <w:pStyle w:val="TableParagraph"/>
              <w:spacing w:line="210" w:lineRule="exact"/>
              <w:ind w:left="311"/>
              <w:rPr>
                <w:sz w:val="20"/>
              </w:rPr>
            </w:pPr>
            <w:r>
              <w:rPr>
                <w:spacing w:val="-2"/>
                <w:sz w:val="20"/>
              </w:rPr>
              <w:t>0.154958</w:t>
            </w:r>
          </w:p>
        </w:tc>
        <w:tc>
          <w:tcPr>
            <w:tcW w:w="904" w:type="dxa"/>
          </w:tcPr>
          <w:p>
            <w:pPr>
              <w:pStyle w:val="TableParagraph"/>
              <w:spacing w:line="210" w:lineRule="exact"/>
              <w:ind w:right="70"/>
              <w:jc w:val="center"/>
              <w:rPr>
                <w:sz w:val="20"/>
              </w:rPr>
            </w:pPr>
            <w:r>
              <w:rPr>
                <w:spacing w:val="-4"/>
                <w:sz w:val="20"/>
              </w:rPr>
              <w:t>-</w:t>
            </w:r>
            <w:r>
              <w:rPr>
                <w:spacing w:val="-2"/>
                <w:sz w:val="20"/>
              </w:rPr>
              <w:t>1.862047</w:t>
            </w:r>
          </w:p>
        </w:tc>
        <w:tc>
          <w:tcPr>
            <w:tcW w:w="929" w:type="dxa"/>
          </w:tcPr>
          <w:p>
            <w:pPr>
              <w:pStyle w:val="TableParagraph"/>
              <w:spacing w:line="210" w:lineRule="exact"/>
              <w:ind w:right="27"/>
              <w:jc w:val="right"/>
              <w:rPr>
                <w:sz w:val="20"/>
              </w:rPr>
            </w:pPr>
            <w:r>
              <w:rPr>
                <w:spacing w:val="-2"/>
                <w:sz w:val="20"/>
              </w:rPr>
              <w:t>0.0706</w:t>
            </w:r>
          </w:p>
        </w:tc>
      </w:tr>
      <w:tr>
        <w:trPr>
          <w:trHeight w:val="224" w:hRule="atLeast"/>
        </w:trPr>
        <w:tc>
          <w:tcPr>
            <w:tcW w:w="1847" w:type="dxa"/>
            <w:tcBorders>
              <w:bottom w:val="double" w:sz="6" w:space="0" w:color="000000"/>
            </w:tcBorders>
          </w:tcPr>
          <w:p>
            <w:pPr>
              <w:pStyle w:val="TableParagraph"/>
              <w:spacing w:line="205" w:lineRule="exact"/>
              <w:ind w:left="197"/>
              <w:jc w:val="center"/>
              <w:rPr>
                <w:sz w:val="20"/>
              </w:rPr>
            </w:pPr>
            <w:r>
              <w:rPr>
                <w:spacing w:val="-10"/>
                <w:sz w:val="20"/>
              </w:rPr>
              <w:t>C</w:t>
            </w:r>
          </w:p>
        </w:tc>
        <w:tc>
          <w:tcPr>
            <w:tcW w:w="1375" w:type="dxa"/>
            <w:tcBorders>
              <w:bottom w:val="double" w:sz="6" w:space="0" w:color="000000"/>
            </w:tcBorders>
          </w:tcPr>
          <w:p>
            <w:pPr>
              <w:pStyle w:val="TableParagraph"/>
              <w:spacing w:line="205" w:lineRule="exact"/>
              <w:ind w:right="128"/>
              <w:jc w:val="right"/>
              <w:rPr>
                <w:sz w:val="20"/>
              </w:rPr>
            </w:pPr>
            <w:r>
              <w:rPr>
                <w:spacing w:val="-4"/>
                <w:sz w:val="20"/>
              </w:rPr>
              <w:t>-</w:t>
            </w:r>
            <w:r>
              <w:rPr>
                <w:spacing w:val="-2"/>
                <w:sz w:val="20"/>
              </w:rPr>
              <w:t>0.141315</w:t>
            </w:r>
          </w:p>
        </w:tc>
        <w:tc>
          <w:tcPr>
            <w:tcW w:w="1432" w:type="dxa"/>
            <w:tcBorders>
              <w:bottom w:val="double" w:sz="6" w:space="0" w:color="000000"/>
            </w:tcBorders>
          </w:tcPr>
          <w:p>
            <w:pPr>
              <w:pStyle w:val="TableParagraph"/>
              <w:spacing w:line="205" w:lineRule="exact"/>
              <w:ind w:left="311"/>
              <w:rPr>
                <w:sz w:val="20"/>
              </w:rPr>
            </w:pPr>
            <w:r>
              <w:rPr>
                <w:spacing w:val="-2"/>
                <w:sz w:val="20"/>
              </w:rPr>
              <w:t>0.093570</w:t>
            </w:r>
          </w:p>
        </w:tc>
        <w:tc>
          <w:tcPr>
            <w:tcW w:w="904" w:type="dxa"/>
            <w:tcBorders>
              <w:bottom w:val="double" w:sz="6" w:space="0" w:color="000000"/>
            </w:tcBorders>
          </w:tcPr>
          <w:p>
            <w:pPr>
              <w:pStyle w:val="TableParagraph"/>
              <w:spacing w:line="205" w:lineRule="exact"/>
              <w:ind w:right="70"/>
              <w:jc w:val="center"/>
              <w:rPr>
                <w:sz w:val="20"/>
              </w:rPr>
            </w:pPr>
            <w:r>
              <w:rPr>
                <w:spacing w:val="-4"/>
                <w:sz w:val="20"/>
              </w:rPr>
              <w:t>-</w:t>
            </w:r>
            <w:r>
              <w:rPr>
                <w:spacing w:val="-2"/>
                <w:sz w:val="20"/>
              </w:rPr>
              <w:t>1.510253</w:t>
            </w:r>
          </w:p>
        </w:tc>
        <w:tc>
          <w:tcPr>
            <w:tcW w:w="929" w:type="dxa"/>
            <w:tcBorders>
              <w:bottom w:val="double" w:sz="6" w:space="0" w:color="000000"/>
            </w:tcBorders>
          </w:tcPr>
          <w:p>
            <w:pPr>
              <w:pStyle w:val="TableParagraph"/>
              <w:spacing w:line="205" w:lineRule="exact"/>
              <w:ind w:right="27"/>
              <w:jc w:val="right"/>
              <w:rPr>
                <w:sz w:val="20"/>
              </w:rPr>
            </w:pPr>
            <w:r>
              <w:rPr>
                <w:spacing w:val="-2"/>
                <w:sz w:val="20"/>
              </w:rPr>
              <w:t>0.1395</w:t>
            </w:r>
          </w:p>
        </w:tc>
      </w:tr>
      <w:tr>
        <w:trPr>
          <w:trHeight w:val="275" w:hRule="atLeast"/>
        </w:trPr>
        <w:tc>
          <w:tcPr>
            <w:tcW w:w="1847" w:type="dxa"/>
            <w:tcBorders>
              <w:top w:val="double" w:sz="6" w:space="0" w:color="000000"/>
            </w:tcBorders>
          </w:tcPr>
          <w:p>
            <w:pPr>
              <w:pStyle w:val="TableParagraph"/>
              <w:spacing w:line="215" w:lineRule="exact" w:before="40"/>
              <w:ind w:left="36"/>
              <w:rPr>
                <w:sz w:val="20"/>
              </w:rPr>
            </w:pPr>
            <w:r>
              <w:rPr>
                <w:spacing w:val="-2"/>
                <w:sz w:val="20"/>
              </w:rPr>
              <w:t>R-squared</w:t>
            </w:r>
          </w:p>
        </w:tc>
        <w:tc>
          <w:tcPr>
            <w:tcW w:w="1375" w:type="dxa"/>
            <w:tcBorders>
              <w:top w:val="double" w:sz="6" w:space="0" w:color="000000"/>
            </w:tcBorders>
          </w:tcPr>
          <w:p>
            <w:pPr>
              <w:pStyle w:val="TableParagraph"/>
              <w:spacing w:line="215" w:lineRule="exact" w:before="40"/>
              <w:ind w:right="128"/>
              <w:jc w:val="right"/>
              <w:rPr>
                <w:sz w:val="20"/>
              </w:rPr>
            </w:pPr>
            <w:r>
              <w:rPr>
                <w:spacing w:val="-2"/>
                <w:sz w:val="20"/>
              </w:rPr>
              <w:t>0.225577</w:t>
            </w:r>
          </w:p>
        </w:tc>
        <w:tc>
          <w:tcPr>
            <w:tcW w:w="2336" w:type="dxa"/>
            <w:gridSpan w:val="2"/>
            <w:tcBorders>
              <w:top w:val="double" w:sz="6" w:space="0" w:color="000000"/>
            </w:tcBorders>
          </w:tcPr>
          <w:p>
            <w:pPr>
              <w:pStyle w:val="TableParagraph"/>
              <w:spacing w:line="215" w:lineRule="exact" w:before="40"/>
              <w:ind w:left="131"/>
              <w:rPr>
                <w:sz w:val="20"/>
              </w:rPr>
            </w:pPr>
            <w:r>
              <w:rPr>
                <w:sz w:val="20"/>
              </w:rPr>
              <w:t>Mean</w:t>
            </w:r>
            <w:r>
              <w:rPr>
                <w:spacing w:val="-7"/>
                <w:sz w:val="20"/>
              </w:rPr>
              <w:t> </w:t>
            </w:r>
            <w:r>
              <w:rPr>
                <w:sz w:val="20"/>
              </w:rPr>
              <w:t>dependent</w:t>
            </w:r>
            <w:r>
              <w:rPr>
                <w:spacing w:val="-7"/>
                <w:sz w:val="20"/>
              </w:rPr>
              <w:t> </w:t>
            </w:r>
            <w:r>
              <w:rPr>
                <w:spacing w:val="-5"/>
                <w:sz w:val="20"/>
              </w:rPr>
              <w:t>var</w:t>
            </w:r>
          </w:p>
        </w:tc>
        <w:tc>
          <w:tcPr>
            <w:tcW w:w="929" w:type="dxa"/>
            <w:tcBorders>
              <w:top w:val="double" w:sz="6" w:space="0" w:color="000000"/>
            </w:tcBorders>
          </w:tcPr>
          <w:p>
            <w:pPr>
              <w:pStyle w:val="TableParagraph"/>
              <w:spacing w:line="215" w:lineRule="exact" w:before="40"/>
              <w:ind w:right="27"/>
              <w:jc w:val="right"/>
              <w:rPr>
                <w:sz w:val="20"/>
              </w:rPr>
            </w:pPr>
            <w:r>
              <w:rPr>
                <w:spacing w:val="-2"/>
                <w:sz w:val="20"/>
              </w:rPr>
              <w:t>0.015071</w:t>
            </w:r>
          </w:p>
        </w:tc>
      </w:tr>
      <w:tr>
        <w:trPr>
          <w:trHeight w:val="230" w:hRule="atLeast"/>
        </w:trPr>
        <w:tc>
          <w:tcPr>
            <w:tcW w:w="1847" w:type="dxa"/>
          </w:tcPr>
          <w:p>
            <w:pPr>
              <w:pStyle w:val="TableParagraph"/>
              <w:spacing w:line="211" w:lineRule="exact"/>
              <w:ind w:left="36"/>
              <w:rPr>
                <w:sz w:val="20"/>
              </w:rPr>
            </w:pPr>
            <w:r>
              <w:rPr>
                <w:sz w:val="20"/>
              </w:rPr>
              <w:t>Adjusted</w:t>
            </w:r>
            <w:r>
              <w:rPr>
                <w:spacing w:val="-10"/>
                <w:sz w:val="20"/>
              </w:rPr>
              <w:t> </w:t>
            </w:r>
            <w:r>
              <w:rPr>
                <w:sz w:val="20"/>
              </w:rPr>
              <w:t>R-</w:t>
            </w:r>
            <w:r>
              <w:rPr>
                <w:spacing w:val="-2"/>
                <w:sz w:val="20"/>
              </w:rPr>
              <w:t>squared</w:t>
            </w:r>
          </w:p>
        </w:tc>
        <w:tc>
          <w:tcPr>
            <w:tcW w:w="1375" w:type="dxa"/>
          </w:tcPr>
          <w:p>
            <w:pPr>
              <w:pStyle w:val="TableParagraph"/>
              <w:spacing w:line="211" w:lineRule="exact"/>
              <w:ind w:right="128"/>
              <w:jc w:val="right"/>
              <w:rPr>
                <w:sz w:val="20"/>
              </w:rPr>
            </w:pPr>
            <w:r>
              <w:rPr>
                <w:spacing w:val="-2"/>
                <w:sz w:val="20"/>
              </w:rPr>
              <w:t>0.183716</w:t>
            </w:r>
          </w:p>
        </w:tc>
        <w:tc>
          <w:tcPr>
            <w:tcW w:w="2336" w:type="dxa"/>
            <w:gridSpan w:val="2"/>
          </w:tcPr>
          <w:p>
            <w:pPr>
              <w:pStyle w:val="TableParagraph"/>
              <w:spacing w:line="211" w:lineRule="exact"/>
              <w:ind w:left="131"/>
              <w:rPr>
                <w:sz w:val="20"/>
              </w:rPr>
            </w:pPr>
            <w:r>
              <w:rPr>
                <w:sz w:val="20"/>
              </w:rPr>
              <w:t>S.D.</w:t>
            </w:r>
            <w:r>
              <w:rPr>
                <w:spacing w:val="-5"/>
                <w:sz w:val="20"/>
              </w:rPr>
              <w:t> </w:t>
            </w:r>
            <w:r>
              <w:rPr>
                <w:sz w:val="20"/>
              </w:rPr>
              <w:t>dependent</w:t>
            </w:r>
            <w:r>
              <w:rPr>
                <w:spacing w:val="-6"/>
                <w:sz w:val="20"/>
              </w:rPr>
              <w:t> </w:t>
            </w:r>
            <w:r>
              <w:rPr>
                <w:spacing w:val="-5"/>
                <w:sz w:val="20"/>
              </w:rPr>
              <w:t>var</w:t>
            </w:r>
          </w:p>
        </w:tc>
        <w:tc>
          <w:tcPr>
            <w:tcW w:w="929" w:type="dxa"/>
          </w:tcPr>
          <w:p>
            <w:pPr>
              <w:pStyle w:val="TableParagraph"/>
              <w:spacing w:line="211" w:lineRule="exact"/>
              <w:ind w:right="27"/>
              <w:jc w:val="right"/>
              <w:rPr>
                <w:sz w:val="20"/>
              </w:rPr>
            </w:pPr>
            <w:r>
              <w:rPr>
                <w:spacing w:val="-2"/>
                <w:sz w:val="20"/>
              </w:rPr>
              <w:t>0.237482</w:t>
            </w:r>
          </w:p>
        </w:tc>
      </w:tr>
      <w:tr>
        <w:trPr>
          <w:trHeight w:val="230" w:hRule="atLeast"/>
        </w:trPr>
        <w:tc>
          <w:tcPr>
            <w:tcW w:w="1847" w:type="dxa"/>
          </w:tcPr>
          <w:p>
            <w:pPr>
              <w:pStyle w:val="TableParagraph"/>
              <w:spacing w:line="210" w:lineRule="exact"/>
              <w:ind w:left="36"/>
              <w:rPr>
                <w:sz w:val="20"/>
              </w:rPr>
            </w:pPr>
            <w:r>
              <w:rPr>
                <w:sz w:val="20"/>
              </w:rPr>
              <w:t>S.E.</w:t>
            </w:r>
            <w:r>
              <w:rPr>
                <w:spacing w:val="-3"/>
                <w:sz w:val="20"/>
              </w:rPr>
              <w:t> </w:t>
            </w:r>
            <w:r>
              <w:rPr>
                <w:sz w:val="20"/>
              </w:rPr>
              <w:t>of</w:t>
            </w:r>
            <w:r>
              <w:rPr>
                <w:spacing w:val="-3"/>
                <w:sz w:val="20"/>
              </w:rPr>
              <w:t> </w:t>
            </w:r>
            <w:r>
              <w:rPr>
                <w:spacing w:val="-2"/>
                <w:sz w:val="20"/>
              </w:rPr>
              <w:t>regression</w:t>
            </w:r>
          </w:p>
        </w:tc>
        <w:tc>
          <w:tcPr>
            <w:tcW w:w="1375" w:type="dxa"/>
          </w:tcPr>
          <w:p>
            <w:pPr>
              <w:pStyle w:val="TableParagraph"/>
              <w:spacing w:line="210" w:lineRule="exact"/>
              <w:ind w:right="128"/>
              <w:jc w:val="right"/>
              <w:rPr>
                <w:sz w:val="20"/>
              </w:rPr>
            </w:pPr>
            <w:r>
              <w:rPr>
                <w:spacing w:val="-2"/>
                <w:sz w:val="20"/>
              </w:rPr>
              <w:t>0.214561</w:t>
            </w:r>
          </w:p>
        </w:tc>
        <w:tc>
          <w:tcPr>
            <w:tcW w:w="2336" w:type="dxa"/>
            <w:gridSpan w:val="2"/>
          </w:tcPr>
          <w:p>
            <w:pPr>
              <w:pStyle w:val="TableParagraph"/>
              <w:spacing w:line="210" w:lineRule="exact"/>
              <w:ind w:left="131"/>
              <w:rPr>
                <w:sz w:val="20"/>
              </w:rPr>
            </w:pPr>
            <w:r>
              <w:rPr>
                <w:sz w:val="20"/>
              </w:rPr>
              <w:t>Akaike</w:t>
            </w:r>
            <w:r>
              <w:rPr>
                <w:spacing w:val="-8"/>
                <w:sz w:val="20"/>
              </w:rPr>
              <w:t> </w:t>
            </w:r>
            <w:r>
              <w:rPr>
                <w:sz w:val="20"/>
              </w:rPr>
              <w:t>info</w:t>
            </w:r>
            <w:r>
              <w:rPr>
                <w:spacing w:val="-7"/>
                <w:sz w:val="20"/>
              </w:rPr>
              <w:t> </w:t>
            </w:r>
            <w:r>
              <w:rPr>
                <w:spacing w:val="-2"/>
                <w:sz w:val="20"/>
              </w:rPr>
              <w:t>criterion</w:t>
            </w:r>
          </w:p>
        </w:tc>
        <w:tc>
          <w:tcPr>
            <w:tcW w:w="929" w:type="dxa"/>
          </w:tcPr>
          <w:p>
            <w:pPr>
              <w:pStyle w:val="TableParagraph"/>
              <w:spacing w:line="210" w:lineRule="exact"/>
              <w:ind w:right="27"/>
              <w:jc w:val="right"/>
              <w:rPr>
                <w:sz w:val="20"/>
              </w:rPr>
            </w:pPr>
            <w:r>
              <w:rPr>
                <w:spacing w:val="-4"/>
                <w:sz w:val="20"/>
              </w:rPr>
              <w:t>-</w:t>
            </w:r>
            <w:r>
              <w:rPr>
                <w:spacing w:val="-2"/>
                <w:sz w:val="20"/>
              </w:rPr>
              <w:t>0.168407</w:t>
            </w:r>
          </w:p>
        </w:tc>
      </w:tr>
      <w:tr>
        <w:trPr>
          <w:trHeight w:val="229" w:hRule="atLeast"/>
        </w:trPr>
        <w:tc>
          <w:tcPr>
            <w:tcW w:w="1847" w:type="dxa"/>
          </w:tcPr>
          <w:p>
            <w:pPr>
              <w:pStyle w:val="TableParagraph"/>
              <w:spacing w:line="209" w:lineRule="exact"/>
              <w:ind w:left="36"/>
              <w:rPr>
                <w:sz w:val="20"/>
              </w:rPr>
            </w:pPr>
            <w:r>
              <w:rPr>
                <w:sz w:val="20"/>
              </w:rPr>
              <w:t>Sum</w:t>
            </w:r>
            <w:r>
              <w:rPr>
                <w:spacing w:val="-8"/>
                <w:sz w:val="20"/>
              </w:rPr>
              <w:t> </w:t>
            </w:r>
            <w:r>
              <w:rPr>
                <w:sz w:val="20"/>
              </w:rPr>
              <w:t>squared</w:t>
            </w:r>
            <w:r>
              <w:rPr>
                <w:spacing w:val="-4"/>
                <w:sz w:val="20"/>
              </w:rPr>
              <w:t> </w:t>
            </w:r>
            <w:r>
              <w:rPr>
                <w:spacing w:val="-2"/>
                <w:sz w:val="20"/>
              </w:rPr>
              <w:t>resid</w:t>
            </w:r>
          </w:p>
        </w:tc>
        <w:tc>
          <w:tcPr>
            <w:tcW w:w="1375" w:type="dxa"/>
          </w:tcPr>
          <w:p>
            <w:pPr>
              <w:pStyle w:val="TableParagraph"/>
              <w:spacing w:line="209" w:lineRule="exact"/>
              <w:ind w:right="128"/>
              <w:jc w:val="right"/>
              <w:rPr>
                <w:sz w:val="20"/>
              </w:rPr>
            </w:pPr>
            <w:r>
              <w:rPr>
                <w:spacing w:val="-2"/>
                <w:sz w:val="20"/>
              </w:rPr>
              <w:t>1.703348</w:t>
            </w:r>
          </w:p>
        </w:tc>
        <w:tc>
          <w:tcPr>
            <w:tcW w:w="2336" w:type="dxa"/>
            <w:gridSpan w:val="2"/>
          </w:tcPr>
          <w:p>
            <w:pPr>
              <w:pStyle w:val="TableParagraph"/>
              <w:spacing w:line="209" w:lineRule="exact"/>
              <w:ind w:left="131"/>
              <w:rPr>
                <w:sz w:val="20"/>
              </w:rPr>
            </w:pPr>
            <w:r>
              <w:rPr>
                <w:sz w:val="20"/>
              </w:rPr>
              <w:t>Schwarz</w:t>
            </w:r>
            <w:r>
              <w:rPr>
                <w:spacing w:val="-8"/>
                <w:sz w:val="20"/>
              </w:rPr>
              <w:t> </w:t>
            </w:r>
            <w:r>
              <w:rPr>
                <w:spacing w:val="-2"/>
                <w:sz w:val="20"/>
              </w:rPr>
              <w:t>criterion</w:t>
            </w:r>
          </w:p>
        </w:tc>
        <w:tc>
          <w:tcPr>
            <w:tcW w:w="929" w:type="dxa"/>
          </w:tcPr>
          <w:p>
            <w:pPr>
              <w:pStyle w:val="TableParagraph"/>
              <w:spacing w:line="209" w:lineRule="exact"/>
              <w:ind w:right="27"/>
              <w:jc w:val="right"/>
              <w:rPr>
                <w:sz w:val="20"/>
              </w:rPr>
            </w:pPr>
            <w:r>
              <w:rPr>
                <w:spacing w:val="-4"/>
                <w:sz w:val="20"/>
              </w:rPr>
              <w:t>-</w:t>
            </w:r>
            <w:r>
              <w:rPr>
                <w:spacing w:val="-2"/>
                <w:sz w:val="20"/>
              </w:rPr>
              <w:t>0.041741</w:t>
            </w:r>
          </w:p>
        </w:tc>
      </w:tr>
      <w:tr>
        <w:trPr>
          <w:trHeight w:val="229" w:hRule="atLeast"/>
        </w:trPr>
        <w:tc>
          <w:tcPr>
            <w:tcW w:w="1847" w:type="dxa"/>
          </w:tcPr>
          <w:p>
            <w:pPr>
              <w:pStyle w:val="TableParagraph"/>
              <w:spacing w:line="209" w:lineRule="exact"/>
              <w:ind w:left="36"/>
              <w:rPr>
                <w:sz w:val="20"/>
              </w:rPr>
            </w:pPr>
            <w:r>
              <w:rPr>
                <w:sz w:val="20"/>
              </w:rPr>
              <w:t>Log</w:t>
            </w:r>
            <w:r>
              <w:rPr>
                <w:spacing w:val="-6"/>
                <w:sz w:val="20"/>
              </w:rPr>
              <w:t> </w:t>
            </w:r>
            <w:r>
              <w:rPr>
                <w:spacing w:val="-2"/>
                <w:sz w:val="20"/>
              </w:rPr>
              <w:t>likelihood</w:t>
            </w:r>
          </w:p>
        </w:tc>
        <w:tc>
          <w:tcPr>
            <w:tcW w:w="1375" w:type="dxa"/>
          </w:tcPr>
          <w:p>
            <w:pPr>
              <w:pStyle w:val="TableParagraph"/>
              <w:spacing w:line="209" w:lineRule="exact"/>
              <w:ind w:right="128"/>
              <w:jc w:val="right"/>
              <w:rPr>
                <w:sz w:val="20"/>
              </w:rPr>
            </w:pPr>
            <w:r>
              <w:rPr>
                <w:spacing w:val="-2"/>
                <w:sz w:val="20"/>
              </w:rPr>
              <w:t>6.368137</w:t>
            </w:r>
          </w:p>
        </w:tc>
        <w:tc>
          <w:tcPr>
            <w:tcW w:w="1432" w:type="dxa"/>
          </w:tcPr>
          <w:p>
            <w:pPr>
              <w:pStyle w:val="TableParagraph"/>
              <w:spacing w:line="209" w:lineRule="exact"/>
              <w:ind w:left="131"/>
              <w:rPr>
                <w:sz w:val="20"/>
              </w:rPr>
            </w:pPr>
            <w:r>
              <w:rPr>
                <w:spacing w:val="-4"/>
                <w:sz w:val="20"/>
              </w:rPr>
              <w:t>F-</w:t>
            </w:r>
            <w:r>
              <w:rPr>
                <w:spacing w:val="-2"/>
                <w:sz w:val="20"/>
              </w:rPr>
              <w:t>statistic</w:t>
            </w:r>
          </w:p>
        </w:tc>
        <w:tc>
          <w:tcPr>
            <w:tcW w:w="904" w:type="dxa"/>
          </w:tcPr>
          <w:p>
            <w:pPr>
              <w:pStyle w:val="TableParagraph"/>
              <w:rPr>
                <w:sz w:val="16"/>
              </w:rPr>
            </w:pPr>
          </w:p>
        </w:tc>
        <w:tc>
          <w:tcPr>
            <w:tcW w:w="929" w:type="dxa"/>
          </w:tcPr>
          <w:p>
            <w:pPr>
              <w:pStyle w:val="TableParagraph"/>
              <w:spacing w:line="209" w:lineRule="exact"/>
              <w:ind w:right="27"/>
              <w:jc w:val="right"/>
              <w:rPr>
                <w:sz w:val="20"/>
              </w:rPr>
            </w:pPr>
            <w:r>
              <w:rPr>
                <w:spacing w:val="-2"/>
                <w:sz w:val="20"/>
              </w:rPr>
              <w:t>5.388750</w:t>
            </w:r>
          </w:p>
        </w:tc>
      </w:tr>
      <w:tr>
        <w:trPr>
          <w:trHeight w:val="267" w:hRule="atLeast"/>
        </w:trPr>
        <w:tc>
          <w:tcPr>
            <w:tcW w:w="1847" w:type="dxa"/>
            <w:tcBorders>
              <w:bottom w:val="double" w:sz="6" w:space="0" w:color="000000"/>
            </w:tcBorders>
          </w:tcPr>
          <w:p>
            <w:pPr>
              <w:pStyle w:val="TableParagraph"/>
              <w:spacing w:line="226" w:lineRule="exact"/>
              <w:ind w:left="36"/>
              <w:rPr>
                <w:sz w:val="20"/>
              </w:rPr>
            </w:pPr>
            <w:r>
              <w:rPr>
                <w:sz w:val="20"/>
              </w:rPr>
              <w:t>Durbin-Watson</w:t>
            </w:r>
            <w:r>
              <w:rPr>
                <w:spacing w:val="-12"/>
                <w:sz w:val="20"/>
              </w:rPr>
              <w:t> </w:t>
            </w:r>
            <w:r>
              <w:rPr>
                <w:spacing w:val="-4"/>
                <w:sz w:val="20"/>
              </w:rPr>
              <w:t>stat</w:t>
            </w:r>
          </w:p>
        </w:tc>
        <w:tc>
          <w:tcPr>
            <w:tcW w:w="1375" w:type="dxa"/>
          </w:tcPr>
          <w:p>
            <w:pPr>
              <w:pStyle w:val="TableParagraph"/>
              <w:spacing w:line="226" w:lineRule="exact"/>
              <w:ind w:right="128"/>
              <w:jc w:val="right"/>
              <w:rPr>
                <w:sz w:val="20"/>
              </w:rPr>
            </w:pPr>
            <w:r>
              <w:rPr>
                <w:spacing w:val="-2"/>
                <w:sz w:val="20"/>
              </w:rPr>
              <w:t>1.975173</w:t>
            </w:r>
          </w:p>
        </w:tc>
        <w:tc>
          <w:tcPr>
            <w:tcW w:w="1432" w:type="dxa"/>
            <w:tcBorders>
              <w:bottom w:val="double" w:sz="6" w:space="0" w:color="000000"/>
            </w:tcBorders>
          </w:tcPr>
          <w:p>
            <w:pPr>
              <w:pStyle w:val="TableParagraph"/>
              <w:spacing w:line="226" w:lineRule="exact"/>
              <w:ind w:left="131"/>
              <w:rPr>
                <w:sz w:val="20"/>
              </w:rPr>
            </w:pPr>
            <w:r>
              <w:rPr>
                <w:spacing w:val="-2"/>
                <w:sz w:val="20"/>
              </w:rPr>
              <w:t>Prob(F-statistic)</w:t>
            </w:r>
          </w:p>
        </w:tc>
        <w:tc>
          <w:tcPr>
            <w:tcW w:w="904" w:type="dxa"/>
            <w:tcBorders>
              <w:bottom w:val="double" w:sz="6" w:space="0" w:color="000000"/>
            </w:tcBorders>
          </w:tcPr>
          <w:p>
            <w:pPr>
              <w:pStyle w:val="TableParagraph"/>
              <w:rPr>
                <w:sz w:val="18"/>
              </w:rPr>
            </w:pPr>
          </w:p>
        </w:tc>
        <w:tc>
          <w:tcPr>
            <w:tcW w:w="929" w:type="dxa"/>
            <w:tcBorders>
              <w:bottom w:val="double" w:sz="6" w:space="0" w:color="000000"/>
            </w:tcBorders>
          </w:tcPr>
          <w:p>
            <w:pPr>
              <w:pStyle w:val="TableParagraph"/>
              <w:spacing w:line="226" w:lineRule="exact"/>
              <w:ind w:right="27"/>
              <w:jc w:val="right"/>
              <w:rPr>
                <w:sz w:val="20"/>
              </w:rPr>
            </w:pPr>
            <w:r>
              <w:rPr>
                <w:spacing w:val="-2"/>
                <w:sz w:val="20"/>
              </w:rPr>
              <w:t>0.008833</w:t>
            </w:r>
          </w:p>
        </w:tc>
      </w:tr>
    </w:tbl>
    <w:p>
      <w:pPr>
        <w:spacing w:after="0" w:line="226" w:lineRule="exact"/>
        <w:jc w:val="right"/>
        <w:rPr>
          <w:sz w:val="20"/>
        </w:rPr>
        <w:sectPr>
          <w:pgSz w:w="11910" w:h="16840"/>
          <w:pgMar w:header="0" w:footer="979" w:top="1340" w:bottom="1240" w:left="280" w:right="0"/>
        </w:sectPr>
      </w:pPr>
    </w:p>
    <w:p>
      <w:pPr>
        <w:spacing w:before="82" w:after="3"/>
        <w:ind w:left="711" w:right="0" w:firstLine="0"/>
        <w:jc w:val="left"/>
        <w:rPr>
          <w:sz w:val="20"/>
        </w:rPr>
      </w:pPr>
      <w:r>
        <w:rPr>
          <w:sz w:val="20"/>
        </w:rPr>
        <w:t>DOP</w:t>
      </w:r>
      <w:r>
        <w:rPr>
          <w:spacing w:val="-2"/>
          <w:sz w:val="20"/>
        </w:rPr>
        <w:t> </w:t>
      </w:r>
      <w:r>
        <w:rPr>
          <w:sz w:val="20"/>
        </w:rPr>
        <w:t>@</w:t>
      </w:r>
      <w:r>
        <w:rPr>
          <w:spacing w:val="-4"/>
          <w:sz w:val="20"/>
        </w:rPr>
        <w:t> </w:t>
      </w:r>
      <w:r>
        <w:rPr>
          <w:sz w:val="20"/>
        </w:rPr>
        <w:t>1</w:t>
      </w:r>
      <w:r>
        <w:rPr>
          <w:sz w:val="20"/>
          <w:vertAlign w:val="superscript"/>
        </w:rPr>
        <w:t>ST</w:t>
      </w:r>
      <w:r>
        <w:rPr>
          <w:spacing w:val="-3"/>
          <w:sz w:val="20"/>
          <w:vertAlign w:val="baseline"/>
        </w:rPr>
        <w:t> </w:t>
      </w:r>
      <w:r>
        <w:rPr>
          <w:spacing w:val="-4"/>
          <w:sz w:val="20"/>
          <w:vertAlign w:val="baseline"/>
        </w:rPr>
        <w:t>DIFF</w:t>
      </w:r>
    </w:p>
    <w:tbl>
      <w:tblPr>
        <w:tblW w:w="0" w:type="auto"/>
        <w:jc w:val="left"/>
        <w:tblInd w:w="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47"/>
        <w:gridCol w:w="1375"/>
        <w:gridCol w:w="1432"/>
        <w:gridCol w:w="904"/>
        <w:gridCol w:w="929"/>
      </w:tblGrid>
      <w:tr>
        <w:trPr>
          <w:trHeight w:val="224" w:hRule="atLeast"/>
        </w:trPr>
        <w:tc>
          <w:tcPr>
            <w:tcW w:w="1847" w:type="dxa"/>
          </w:tcPr>
          <w:p>
            <w:pPr>
              <w:pStyle w:val="TableParagraph"/>
              <w:spacing w:line="204" w:lineRule="exact"/>
              <w:ind w:left="36"/>
              <w:rPr>
                <w:sz w:val="20"/>
              </w:rPr>
            </w:pPr>
            <w:r>
              <w:rPr>
                <w:sz w:val="20"/>
              </w:rPr>
              <w:t>ADF</w:t>
            </w:r>
            <w:r>
              <w:rPr>
                <w:spacing w:val="-4"/>
                <w:sz w:val="20"/>
              </w:rPr>
              <w:t> </w:t>
            </w:r>
            <w:r>
              <w:rPr>
                <w:sz w:val="20"/>
              </w:rPr>
              <w:t>Test</w:t>
            </w:r>
            <w:r>
              <w:rPr>
                <w:spacing w:val="-3"/>
                <w:sz w:val="20"/>
              </w:rPr>
              <w:t> </w:t>
            </w:r>
            <w:r>
              <w:rPr>
                <w:spacing w:val="-2"/>
                <w:sz w:val="20"/>
              </w:rPr>
              <w:t>Statistic</w:t>
            </w:r>
          </w:p>
        </w:tc>
        <w:tc>
          <w:tcPr>
            <w:tcW w:w="1375" w:type="dxa"/>
          </w:tcPr>
          <w:p>
            <w:pPr>
              <w:pStyle w:val="TableParagraph"/>
              <w:spacing w:line="204" w:lineRule="exact"/>
              <w:ind w:left="219"/>
              <w:rPr>
                <w:sz w:val="20"/>
              </w:rPr>
            </w:pPr>
            <w:r>
              <w:rPr>
                <w:spacing w:val="-4"/>
                <w:sz w:val="20"/>
              </w:rPr>
              <w:t>-</w:t>
            </w:r>
            <w:r>
              <w:rPr>
                <w:spacing w:val="-2"/>
                <w:sz w:val="20"/>
              </w:rPr>
              <w:t>5.323674</w:t>
            </w:r>
          </w:p>
        </w:tc>
        <w:tc>
          <w:tcPr>
            <w:tcW w:w="2336" w:type="dxa"/>
            <w:gridSpan w:val="2"/>
          </w:tcPr>
          <w:p>
            <w:pPr>
              <w:pStyle w:val="TableParagraph"/>
              <w:spacing w:line="204" w:lineRule="exact"/>
              <w:ind w:left="131"/>
              <w:rPr>
                <w:sz w:val="20"/>
              </w:rPr>
            </w:pPr>
            <w:r>
              <w:rPr>
                <w:sz w:val="20"/>
              </w:rPr>
              <w:t>1%</w:t>
            </w:r>
            <w:r>
              <w:rPr>
                <w:spacing w:val="68"/>
                <w:w w:val="150"/>
                <w:sz w:val="20"/>
              </w:rPr>
              <w:t> </w:t>
            </w:r>
            <w:r>
              <w:rPr>
                <w:sz w:val="20"/>
              </w:rPr>
              <w:t>Critical</w:t>
            </w:r>
            <w:r>
              <w:rPr>
                <w:spacing w:val="-2"/>
                <w:sz w:val="20"/>
              </w:rPr>
              <w:t> Value*</w:t>
            </w:r>
          </w:p>
        </w:tc>
        <w:tc>
          <w:tcPr>
            <w:tcW w:w="929" w:type="dxa"/>
          </w:tcPr>
          <w:p>
            <w:pPr>
              <w:pStyle w:val="TableParagraph"/>
              <w:spacing w:line="204" w:lineRule="exact"/>
              <w:ind w:right="27"/>
              <w:jc w:val="right"/>
              <w:rPr>
                <w:sz w:val="20"/>
              </w:rPr>
            </w:pPr>
            <w:r>
              <w:rPr>
                <w:spacing w:val="-4"/>
                <w:sz w:val="20"/>
              </w:rPr>
              <w:t>-</w:t>
            </w:r>
            <w:r>
              <w:rPr>
                <w:spacing w:val="-2"/>
                <w:sz w:val="20"/>
              </w:rPr>
              <w:t>3.6067</w:t>
            </w:r>
          </w:p>
        </w:tc>
      </w:tr>
      <w:tr>
        <w:trPr>
          <w:trHeight w:val="229" w:hRule="atLeast"/>
        </w:trPr>
        <w:tc>
          <w:tcPr>
            <w:tcW w:w="1847" w:type="dxa"/>
          </w:tcPr>
          <w:p>
            <w:pPr>
              <w:pStyle w:val="TableParagraph"/>
              <w:rPr>
                <w:sz w:val="16"/>
              </w:rPr>
            </w:pPr>
          </w:p>
        </w:tc>
        <w:tc>
          <w:tcPr>
            <w:tcW w:w="1375" w:type="dxa"/>
          </w:tcPr>
          <w:p>
            <w:pPr>
              <w:pStyle w:val="TableParagraph"/>
              <w:rPr>
                <w:sz w:val="16"/>
              </w:rPr>
            </w:pPr>
          </w:p>
        </w:tc>
        <w:tc>
          <w:tcPr>
            <w:tcW w:w="2336" w:type="dxa"/>
            <w:gridSpan w:val="2"/>
          </w:tcPr>
          <w:p>
            <w:pPr>
              <w:pStyle w:val="TableParagraph"/>
              <w:spacing w:line="209" w:lineRule="exact"/>
              <w:ind w:left="131"/>
              <w:rPr>
                <w:sz w:val="20"/>
              </w:rPr>
            </w:pPr>
            <w:r>
              <w:rPr>
                <w:sz w:val="20"/>
              </w:rPr>
              <w:t>5%</w:t>
            </w:r>
            <w:r>
              <w:rPr>
                <w:spacing w:val="68"/>
                <w:w w:val="150"/>
                <w:sz w:val="20"/>
              </w:rPr>
              <w:t> </w:t>
            </w:r>
            <w:r>
              <w:rPr>
                <w:sz w:val="20"/>
              </w:rPr>
              <w:t>Critical</w:t>
            </w:r>
            <w:r>
              <w:rPr>
                <w:spacing w:val="-2"/>
                <w:sz w:val="20"/>
              </w:rPr>
              <w:t> </w:t>
            </w:r>
            <w:r>
              <w:rPr>
                <w:spacing w:val="-4"/>
                <w:sz w:val="20"/>
              </w:rPr>
              <w:t>Value</w:t>
            </w:r>
          </w:p>
        </w:tc>
        <w:tc>
          <w:tcPr>
            <w:tcW w:w="929" w:type="dxa"/>
          </w:tcPr>
          <w:p>
            <w:pPr>
              <w:pStyle w:val="TableParagraph"/>
              <w:spacing w:line="209" w:lineRule="exact"/>
              <w:ind w:right="27"/>
              <w:jc w:val="right"/>
              <w:rPr>
                <w:sz w:val="20"/>
              </w:rPr>
            </w:pPr>
            <w:r>
              <w:rPr>
                <w:spacing w:val="-4"/>
                <w:sz w:val="20"/>
              </w:rPr>
              <w:t>-</w:t>
            </w:r>
            <w:r>
              <w:rPr>
                <w:spacing w:val="-2"/>
                <w:sz w:val="20"/>
              </w:rPr>
              <w:t>2.9378</w:t>
            </w:r>
          </w:p>
        </w:tc>
      </w:tr>
      <w:tr>
        <w:trPr>
          <w:trHeight w:val="224" w:hRule="atLeast"/>
        </w:trPr>
        <w:tc>
          <w:tcPr>
            <w:tcW w:w="1847" w:type="dxa"/>
            <w:tcBorders>
              <w:bottom w:val="double" w:sz="6" w:space="0" w:color="000000"/>
            </w:tcBorders>
          </w:tcPr>
          <w:p>
            <w:pPr>
              <w:pStyle w:val="TableParagraph"/>
              <w:rPr>
                <w:sz w:val="16"/>
              </w:rPr>
            </w:pPr>
          </w:p>
        </w:tc>
        <w:tc>
          <w:tcPr>
            <w:tcW w:w="1375" w:type="dxa"/>
            <w:tcBorders>
              <w:bottom w:val="double" w:sz="6" w:space="0" w:color="000000"/>
            </w:tcBorders>
          </w:tcPr>
          <w:p>
            <w:pPr>
              <w:pStyle w:val="TableParagraph"/>
              <w:rPr>
                <w:sz w:val="16"/>
              </w:rPr>
            </w:pPr>
          </w:p>
        </w:tc>
        <w:tc>
          <w:tcPr>
            <w:tcW w:w="2336" w:type="dxa"/>
            <w:gridSpan w:val="2"/>
            <w:tcBorders>
              <w:bottom w:val="double" w:sz="6" w:space="0" w:color="000000"/>
            </w:tcBorders>
          </w:tcPr>
          <w:p>
            <w:pPr>
              <w:pStyle w:val="TableParagraph"/>
              <w:spacing w:line="205" w:lineRule="exact"/>
              <w:ind w:left="131"/>
              <w:rPr>
                <w:sz w:val="20"/>
              </w:rPr>
            </w:pPr>
            <w:r>
              <w:rPr>
                <w:sz w:val="20"/>
              </w:rPr>
              <w:t>10%</w:t>
            </w:r>
            <w:r>
              <w:rPr>
                <w:spacing w:val="-6"/>
                <w:sz w:val="20"/>
              </w:rPr>
              <w:t> </w:t>
            </w:r>
            <w:r>
              <w:rPr>
                <w:sz w:val="20"/>
              </w:rPr>
              <w:t>Critical</w:t>
            </w:r>
            <w:r>
              <w:rPr>
                <w:spacing w:val="-4"/>
                <w:sz w:val="20"/>
              </w:rPr>
              <w:t> </w:t>
            </w:r>
            <w:r>
              <w:rPr>
                <w:spacing w:val="-2"/>
                <w:sz w:val="20"/>
              </w:rPr>
              <w:t>Value</w:t>
            </w:r>
          </w:p>
        </w:tc>
        <w:tc>
          <w:tcPr>
            <w:tcW w:w="929" w:type="dxa"/>
            <w:tcBorders>
              <w:bottom w:val="double" w:sz="6" w:space="0" w:color="000000"/>
            </w:tcBorders>
          </w:tcPr>
          <w:p>
            <w:pPr>
              <w:pStyle w:val="TableParagraph"/>
              <w:spacing w:line="205" w:lineRule="exact"/>
              <w:ind w:right="27"/>
              <w:jc w:val="right"/>
              <w:rPr>
                <w:sz w:val="20"/>
              </w:rPr>
            </w:pPr>
            <w:r>
              <w:rPr>
                <w:spacing w:val="-4"/>
                <w:sz w:val="20"/>
              </w:rPr>
              <w:t>-</w:t>
            </w:r>
            <w:r>
              <w:rPr>
                <w:spacing w:val="-2"/>
                <w:sz w:val="20"/>
              </w:rPr>
              <w:t>2.6069</w:t>
            </w:r>
          </w:p>
        </w:tc>
      </w:tr>
      <w:tr>
        <w:trPr>
          <w:trHeight w:val="506" w:hRule="atLeast"/>
        </w:trPr>
        <w:tc>
          <w:tcPr>
            <w:tcW w:w="6487" w:type="dxa"/>
            <w:gridSpan w:val="5"/>
            <w:tcBorders>
              <w:top w:val="double" w:sz="6" w:space="0" w:color="000000"/>
            </w:tcBorders>
          </w:tcPr>
          <w:p>
            <w:pPr>
              <w:pStyle w:val="TableParagraph"/>
              <w:spacing w:before="42"/>
              <w:ind w:left="36"/>
              <w:rPr>
                <w:sz w:val="20"/>
              </w:rPr>
            </w:pPr>
            <w:r>
              <w:rPr>
                <w:sz w:val="20"/>
              </w:rPr>
              <w:t>*MacKinnon</w:t>
            </w:r>
            <w:r>
              <w:rPr>
                <w:spacing w:val="-6"/>
                <w:sz w:val="20"/>
              </w:rPr>
              <w:t> </w:t>
            </w:r>
            <w:r>
              <w:rPr>
                <w:sz w:val="20"/>
              </w:rPr>
              <w:t>critical</w:t>
            </w:r>
            <w:r>
              <w:rPr>
                <w:spacing w:val="-4"/>
                <w:sz w:val="20"/>
              </w:rPr>
              <w:t> </w:t>
            </w:r>
            <w:r>
              <w:rPr>
                <w:sz w:val="20"/>
              </w:rPr>
              <w:t>values</w:t>
            </w:r>
            <w:r>
              <w:rPr>
                <w:spacing w:val="-6"/>
                <w:sz w:val="20"/>
              </w:rPr>
              <w:t> </w:t>
            </w:r>
            <w:r>
              <w:rPr>
                <w:sz w:val="20"/>
              </w:rPr>
              <w:t>for</w:t>
            </w:r>
            <w:r>
              <w:rPr>
                <w:spacing w:val="-4"/>
                <w:sz w:val="20"/>
              </w:rPr>
              <w:t> </w:t>
            </w:r>
            <w:r>
              <w:rPr>
                <w:sz w:val="20"/>
              </w:rPr>
              <w:t>rejection</w:t>
            </w:r>
            <w:r>
              <w:rPr>
                <w:spacing w:val="-6"/>
                <w:sz w:val="20"/>
              </w:rPr>
              <w:t> </w:t>
            </w:r>
            <w:r>
              <w:rPr>
                <w:sz w:val="20"/>
              </w:rPr>
              <w:t>of</w:t>
            </w:r>
            <w:r>
              <w:rPr>
                <w:spacing w:val="-6"/>
                <w:sz w:val="20"/>
              </w:rPr>
              <w:t> </w:t>
            </w:r>
            <w:r>
              <w:rPr>
                <w:sz w:val="20"/>
              </w:rPr>
              <w:t>hypothesis</w:t>
            </w:r>
            <w:r>
              <w:rPr>
                <w:spacing w:val="-6"/>
                <w:sz w:val="20"/>
              </w:rPr>
              <w:t> </w:t>
            </w:r>
            <w:r>
              <w:rPr>
                <w:sz w:val="20"/>
              </w:rPr>
              <w:t>of</w:t>
            </w:r>
            <w:r>
              <w:rPr>
                <w:spacing w:val="-6"/>
                <w:sz w:val="20"/>
              </w:rPr>
              <w:t> </w:t>
            </w:r>
            <w:r>
              <w:rPr>
                <w:sz w:val="20"/>
              </w:rPr>
              <w:t>a</w:t>
            </w:r>
            <w:r>
              <w:rPr>
                <w:spacing w:val="-4"/>
                <w:sz w:val="20"/>
              </w:rPr>
              <w:t> </w:t>
            </w:r>
            <w:r>
              <w:rPr>
                <w:sz w:val="20"/>
              </w:rPr>
              <w:t>unit</w:t>
            </w:r>
            <w:r>
              <w:rPr>
                <w:spacing w:val="-6"/>
                <w:sz w:val="20"/>
              </w:rPr>
              <w:t> </w:t>
            </w:r>
            <w:r>
              <w:rPr>
                <w:spacing w:val="-2"/>
                <w:sz w:val="20"/>
              </w:rPr>
              <w:t>root.</w:t>
            </w:r>
          </w:p>
        </w:tc>
      </w:tr>
      <w:tr>
        <w:trPr>
          <w:trHeight w:val="459" w:hRule="atLeast"/>
        </w:trPr>
        <w:tc>
          <w:tcPr>
            <w:tcW w:w="6487" w:type="dxa"/>
            <w:gridSpan w:val="5"/>
          </w:tcPr>
          <w:p>
            <w:pPr>
              <w:pStyle w:val="TableParagraph"/>
              <w:spacing w:line="215" w:lineRule="exact" w:before="225"/>
              <w:ind w:left="36"/>
              <w:rPr>
                <w:sz w:val="20"/>
              </w:rPr>
            </w:pPr>
            <w:r>
              <w:rPr>
                <w:sz w:val="20"/>
              </w:rPr>
              <w:t>Augmented</w:t>
            </w:r>
            <w:r>
              <w:rPr>
                <w:spacing w:val="-8"/>
                <w:sz w:val="20"/>
              </w:rPr>
              <w:t> </w:t>
            </w:r>
            <w:r>
              <w:rPr>
                <w:sz w:val="20"/>
              </w:rPr>
              <w:t>Dickey-Fuller</w:t>
            </w:r>
            <w:r>
              <w:rPr>
                <w:spacing w:val="-8"/>
                <w:sz w:val="20"/>
              </w:rPr>
              <w:t> </w:t>
            </w:r>
            <w:r>
              <w:rPr>
                <w:sz w:val="20"/>
              </w:rPr>
              <w:t>Test</w:t>
            </w:r>
            <w:r>
              <w:rPr>
                <w:spacing w:val="-9"/>
                <w:sz w:val="20"/>
              </w:rPr>
              <w:t> </w:t>
            </w:r>
            <w:r>
              <w:rPr>
                <w:spacing w:val="-2"/>
                <w:sz w:val="20"/>
              </w:rPr>
              <w:t>Equation</w:t>
            </w:r>
          </w:p>
        </w:tc>
      </w:tr>
      <w:tr>
        <w:trPr>
          <w:trHeight w:val="230" w:hRule="atLeast"/>
        </w:trPr>
        <w:tc>
          <w:tcPr>
            <w:tcW w:w="6487" w:type="dxa"/>
            <w:gridSpan w:val="5"/>
          </w:tcPr>
          <w:p>
            <w:pPr>
              <w:pStyle w:val="TableParagraph"/>
              <w:spacing w:line="210" w:lineRule="exact"/>
              <w:ind w:left="36"/>
              <w:rPr>
                <w:sz w:val="20"/>
              </w:rPr>
            </w:pPr>
            <w:r>
              <w:rPr>
                <w:sz w:val="20"/>
              </w:rPr>
              <w:t>Dependent</w:t>
            </w:r>
            <w:r>
              <w:rPr>
                <w:spacing w:val="-8"/>
                <w:sz w:val="20"/>
              </w:rPr>
              <w:t> </w:t>
            </w:r>
            <w:r>
              <w:rPr>
                <w:sz w:val="20"/>
              </w:rPr>
              <w:t>Variable:</w:t>
            </w:r>
            <w:r>
              <w:rPr>
                <w:spacing w:val="-8"/>
                <w:sz w:val="20"/>
              </w:rPr>
              <w:t> </w:t>
            </w:r>
            <w:r>
              <w:rPr>
                <w:spacing w:val="-2"/>
                <w:sz w:val="20"/>
              </w:rPr>
              <w:t>D(DOP,2)</w:t>
            </w:r>
          </w:p>
        </w:tc>
      </w:tr>
      <w:tr>
        <w:trPr>
          <w:trHeight w:val="229" w:hRule="atLeast"/>
        </w:trPr>
        <w:tc>
          <w:tcPr>
            <w:tcW w:w="6487" w:type="dxa"/>
            <w:gridSpan w:val="5"/>
          </w:tcPr>
          <w:p>
            <w:pPr>
              <w:pStyle w:val="TableParagraph"/>
              <w:spacing w:line="209" w:lineRule="exact"/>
              <w:ind w:left="36"/>
              <w:rPr>
                <w:sz w:val="20"/>
              </w:rPr>
            </w:pPr>
            <w:r>
              <w:rPr>
                <w:sz w:val="20"/>
              </w:rPr>
              <w:t>Method:</w:t>
            </w:r>
            <w:r>
              <w:rPr>
                <w:spacing w:val="-8"/>
                <w:sz w:val="20"/>
              </w:rPr>
              <w:t> </w:t>
            </w:r>
            <w:r>
              <w:rPr>
                <w:sz w:val="20"/>
              </w:rPr>
              <w:t>Least</w:t>
            </w:r>
            <w:r>
              <w:rPr>
                <w:spacing w:val="-7"/>
                <w:sz w:val="20"/>
              </w:rPr>
              <w:t> </w:t>
            </w:r>
            <w:r>
              <w:rPr>
                <w:spacing w:val="-2"/>
                <w:sz w:val="20"/>
              </w:rPr>
              <w:t>Squares</w:t>
            </w:r>
          </w:p>
        </w:tc>
      </w:tr>
      <w:tr>
        <w:trPr>
          <w:trHeight w:val="229" w:hRule="atLeast"/>
        </w:trPr>
        <w:tc>
          <w:tcPr>
            <w:tcW w:w="6487" w:type="dxa"/>
            <w:gridSpan w:val="5"/>
          </w:tcPr>
          <w:p>
            <w:pPr>
              <w:pStyle w:val="TableParagraph"/>
              <w:spacing w:line="209" w:lineRule="exact"/>
              <w:ind w:left="36"/>
              <w:rPr>
                <w:sz w:val="20"/>
              </w:rPr>
            </w:pPr>
            <w:r>
              <w:rPr>
                <w:sz w:val="20"/>
              </w:rPr>
              <w:t>Date:</w:t>
            </w:r>
            <w:r>
              <w:rPr>
                <w:spacing w:val="-5"/>
                <w:sz w:val="20"/>
              </w:rPr>
              <w:t> </w:t>
            </w:r>
            <w:r>
              <w:rPr>
                <w:sz w:val="20"/>
              </w:rPr>
              <w:t>02/18/14</w:t>
            </w:r>
            <w:r>
              <w:rPr>
                <w:spacing w:val="63"/>
                <w:w w:val="150"/>
                <w:sz w:val="20"/>
              </w:rPr>
              <w:t> </w:t>
            </w:r>
            <w:r>
              <w:rPr>
                <w:sz w:val="20"/>
              </w:rPr>
              <w:t>Time:</w:t>
            </w:r>
            <w:r>
              <w:rPr>
                <w:spacing w:val="-3"/>
                <w:sz w:val="20"/>
              </w:rPr>
              <w:t> </w:t>
            </w:r>
            <w:r>
              <w:rPr>
                <w:spacing w:val="-2"/>
                <w:sz w:val="20"/>
              </w:rPr>
              <w:t>09:16</w:t>
            </w:r>
          </w:p>
        </w:tc>
      </w:tr>
      <w:tr>
        <w:trPr>
          <w:trHeight w:val="230" w:hRule="atLeast"/>
        </w:trPr>
        <w:tc>
          <w:tcPr>
            <w:tcW w:w="6487" w:type="dxa"/>
            <w:gridSpan w:val="5"/>
          </w:tcPr>
          <w:p>
            <w:pPr>
              <w:pStyle w:val="TableParagraph"/>
              <w:spacing w:line="210" w:lineRule="exact"/>
              <w:ind w:left="36"/>
              <w:rPr>
                <w:sz w:val="20"/>
              </w:rPr>
            </w:pPr>
            <w:r>
              <w:rPr>
                <w:sz w:val="20"/>
              </w:rPr>
              <w:t>Sample(adjusted):</w:t>
            </w:r>
            <w:r>
              <w:rPr>
                <w:spacing w:val="-9"/>
                <w:sz w:val="20"/>
              </w:rPr>
              <w:t> </w:t>
            </w:r>
            <w:r>
              <w:rPr>
                <w:sz w:val="20"/>
              </w:rPr>
              <w:t>1973</w:t>
            </w:r>
            <w:r>
              <w:rPr>
                <w:spacing w:val="-9"/>
                <w:sz w:val="20"/>
              </w:rPr>
              <w:t> </w:t>
            </w:r>
            <w:r>
              <w:rPr>
                <w:spacing w:val="-4"/>
                <w:sz w:val="20"/>
              </w:rPr>
              <w:t>2011</w:t>
            </w:r>
          </w:p>
        </w:tc>
      </w:tr>
      <w:tr>
        <w:trPr>
          <w:trHeight w:val="224" w:hRule="atLeast"/>
        </w:trPr>
        <w:tc>
          <w:tcPr>
            <w:tcW w:w="6487" w:type="dxa"/>
            <w:gridSpan w:val="5"/>
            <w:tcBorders>
              <w:bottom w:val="double" w:sz="6" w:space="0" w:color="000000"/>
            </w:tcBorders>
          </w:tcPr>
          <w:p>
            <w:pPr>
              <w:pStyle w:val="TableParagraph"/>
              <w:spacing w:line="205" w:lineRule="exact"/>
              <w:ind w:left="36"/>
              <w:rPr>
                <w:sz w:val="20"/>
              </w:rPr>
            </w:pPr>
            <w:r>
              <w:rPr>
                <w:sz w:val="20"/>
              </w:rPr>
              <w:t>Included</w:t>
            </w:r>
            <w:r>
              <w:rPr>
                <w:spacing w:val="-6"/>
                <w:sz w:val="20"/>
              </w:rPr>
              <w:t> </w:t>
            </w:r>
            <w:r>
              <w:rPr>
                <w:sz w:val="20"/>
              </w:rPr>
              <w:t>observations:</w:t>
            </w:r>
            <w:r>
              <w:rPr>
                <w:spacing w:val="-8"/>
                <w:sz w:val="20"/>
              </w:rPr>
              <w:t> </w:t>
            </w:r>
            <w:r>
              <w:rPr>
                <w:sz w:val="20"/>
              </w:rPr>
              <w:t>39</w:t>
            </w:r>
            <w:r>
              <w:rPr>
                <w:spacing w:val="-5"/>
                <w:sz w:val="20"/>
              </w:rPr>
              <w:t> </w:t>
            </w:r>
            <w:r>
              <w:rPr>
                <w:sz w:val="20"/>
              </w:rPr>
              <w:t>after</w:t>
            </w:r>
            <w:r>
              <w:rPr>
                <w:spacing w:val="-7"/>
                <w:sz w:val="20"/>
              </w:rPr>
              <w:t> </w:t>
            </w:r>
            <w:r>
              <w:rPr>
                <w:sz w:val="20"/>
              </w:rPr>
              <w:t>adjusting</w:t>
            </w:r>
            <w:r>
              <w:rPr>
                <w:spacing w:val="-7"/>
                <w:sz w:val="20"/>
              </w:rPr>
              <w:t> </w:t>
            </w:r>
            <w:r>
              <w:rPr>
                <w:spacing w:val="-2"/>
                <w:sz w:val="20"/>
              </w:rPr>
              <w:t>endpoints</w:t>
            </w:r>
          </w:p>
        </w:tc>
      </w:tr>
      <w:tr>
        <w:trPr>
          <w:trHeight w:val="269" w:hRule="atLeast"/>
        </w:trPr>
        <w:tc>
          <w:tcPr>
            <w:tcW w:w="1847" w:type="dxa"/>
            <w:tcBorders>
              <w:top w:val="double" w:sz="6" w:space="0" w:color="000000"/>
              <w:bottom w:val="double" w:sz="6" w:space="0" w:color="000000"/>
            </w:tcBorders>
          </w:tcPr>
          <w:p>
            <w:pPr>
              <w:pStyle w:val="TableParagraph"/>
              <w:spacing w:line="209" w:lineRule="exact" w:before="40"/>
              <w:ind w:left="677"/>
              <w:rPr>
                <w:sz w:val="20"/>
              </w:rPr>
            </w:pPr>
            <w:r>
              <w:rPr>
                <w:spacing w:val="-2"/>
                <w:sz w:val="20"/>
              </w:rPr>
              <w:t>Variable</w:t>
            </w:r>
          </w:p>
        </w:tc>
        <w:tc>
          <w:tcPr>
            <w:tcW w:w="1375" w:type="dxa"/>
            <w:tcBorders>
              <w:top w:val="double" w:sz="6" w:space="0" w:color="000000"/>
              <w:bottom w:val="double" w:sz="6" w:space="0" w:color="000000"/>
            </w:tcBorders>
          </w:tcPr>
          <w:p>
            <w:pPr>
              <w:pStyle w:val="TableParagraph"/>
              <w:spacing w:line="209" w:lineRule="exact" w:before="40"/>
              <w:ind w:right="131"/>
              <w:jc w:val="right"/>
              <w:rPr>
                <w:sz w:val="20"/>
              </w:rPr>
            </w:pPr>
            <w:r>
              <w:rPr>
                <w:spacing w:val="-2"/>
                <w:sz w:val="20"/>
              </w:rPr>
              <w:t>Coefficient</w:t>
            </w:r>
          </w:p>
        </w:tc>
        <w:tc>
          <w:tcPr>
            <w:tcW w:w="1432" w:type="dxa"/>
            <w:tcBorders>
              <w:top w:val="double" w:sz="6" w:space="0" w:color="000000"/>
              <w:bottom w:val="double" w:sz="6" w:space="0" w:color="000000"/>
            </w:tcBorders>
          </w:tcPr>
          <w:p>
            <w:pPr>
              <w:pStyle w:val="TableParagraph"/>
              <w:spacing w:line="209" w:lineRule="exact" w:before="40"/>
              <w:ind w:left="273"/>
              <w:rPr>
                <w:sz w:val="20"/>
              </w:rPr>
            </w:pPr>
            <w:r>
              <w:rPr>
                <w:sz w:val="20"/>
              </w:rPr>
              <w:t>Std.</w:t>
            </w:r>
            <w:r>
              <w:rPr>
                <w:spacing w:val="-4"/>
                <w:sz w:val="20"/>
              </w:rPr>
              <w:t> </w:t>
            </w:r>
            <w:r>
              <w:rPr>
                <w:spacing w:val="-2"/>
                <w:sz w:val="20"/>
              </w:rPr>
              <w:t>Error</w:t>
            </w:r>
          </w:p>
        </w:tc>
        <w:tc>
          <w:tcPr>
            <w:tcW w:w="904" w:type="dxa"/>
            <w:tcBorders>
              <w:top w:val="double" w:sz="6" w:space="0" w:color="000000"/>
              <w:bottom w:val="double" w:sz="6" w:space="0" w:color="000000"/>
            </w:tcBorders>
          </w:tcPr>
          <w:p>
            <w:pPr>
              <w:pStyle w:val="TableParagraph"/>
              <w:spacing w:line="209" w:lineRule="exact" w:before="40"/>
              <w:ind w:right="22"/>
              <w:jc w:val="center"/>
              <w:rPr>
                <w:sz w:val="20"/>
              </w:rPr>
            </w:pPr>
            <w:r>
              <w:rPr>
                <w:spacing w:val="-4"/>
                <w:sz w:val="20"/>
              </w:rPr>
              <w:t>t-</w:t>
            </w:r>
            <w:r>
              <w:rPr>
                <w:spacing w:val="-2"/>
                <w:sz w:val="20"/>
              </w:rPr>
              <w:t>Statistic</w:t>
            </w:r>
          </w:p>
        </w:tc>
        <w:tc>
          <w:tcPr>
            <w:tcW w:w="929" w:type="dxa"/>
            <w:tcBorders>
              <w:top w:val="double" w:sz="6" w:space="0" w:color="000000"/>
              <w:bottom w:val="double" w:sz="6" w:space="0" w:color="000000"/>
            </w:tcBorders>
          </w:tcPr>
          <w:p>
            <w:pPr>
              <w:pStyle w:val="TableParagraph"/>
              <w:spacing w:line="209" w:lineRule="exact" w:before="40"/>
              <w:ind w:right="28"/>
              <w:jc w:val="right"/>
              <w:rPr>
                <w:sz w:val="20"/>
              </w:rPr>
            </w:pPr>
            <w:r>
              <w:rPr>
                <w:spacing w:val="-2"/>
                <w:sz w:val="20"/>
              </w:rPr>
              <w:t>Prob.</w:t>
            </w:r>
          </w:p>
        </w:tc>
      </w:tr>
      <w:tr>
        <w:trPr>
          <w:trHeight w:val="276" w:hRule="atLeast"/>
        </w:trPr>
        <w:tc>
          <w:tcPr>
            <w:tcW w:w="1847" w:type="dxa"/>
            <w:tcBorders>
              <w:top w:val="double" w:sz="6" w:space="0" w:color="000000"/>
            </w:tcBorders>
          </w:tcPr>
          <w:p>
            <w:pPr>
              <w:pStyle w:val="TableParagraph"/>
              <w:spacing w:line="214" w:lineRule="exact" w:before="42"/>
              <w:ind w:left="533"/>
              <w:rPr>
                <w:sz w:val="20"/>
              </w:rPr>
            </w:pPr>
            <w:r>
              <w:rPr>
                <w:spacing w:val="-2"/>
                <w:sz w:val="20"/>
              </w:rPr>
              <w:t>D(DOP(-</w:t>
            </w:r>
            <w:r>
              <w:rPr>
                <w:spacing w:val="-5"/>
                <w:sz w:val="20"/>
              </w:rPr>
              <w:t>1))</w:t>
            </w:r>
          </w:p>
        </w:tc>
        <w:tc>
          <w:tcPr>
            <w:tcW w:w="1375" w:type="dxa"/>
            <w:tcBorders>
              <w:top w:val="double" w:sz="6" w:space="0" w:color="000000"/>
            </w:tcBorders>
          </w:tcPr>
          <w:p>
            <w:pPr>
              <w:pStyle w:val="TableParagraph"/>
              <w:spacing w:line="214" w:lineRule="exact" w:before="42"/>
              <w:ind w:right="128"/>
              <w:jc w:val="right"/>
              <w:rPr>
                <w:sz w:val="20"/>
              </w:rPr>
            </w:pPr>
            <w:r>
              <w:rPr>
                <w:spacing w:val="-4"/>
                <w:sz w:val="20"/>
              </w:rPr>
              <w:t>-</w:t>
            </w:r>
            <w:r>
              <w:rPr>
                <w:spacing w:val="-2"/>
                <w:sz w:val="20"/>
              </w:rPr>
              <w:t>1.483596</w:t>
            </w:r>
          </w:p>
        </w:tc>
        <w:tc>
          <w:tcPr>
            <w:tcW w:w="1432" w:type="dxa"/>
            <w:tcBorders>
              <w:top w:val="double" w:sz="6" w:space="0" w:color="000000"/>
            </w:tcBorders>
          </w:tcPr>
          <w:p>
            <w:pPr>
              <w:pStyle w:val="TableParagraph"/>
              <w:spacing w:line="214" w:lineRule="exact" w:before="42"/>
              <w:ind w:left="311"/>
              <w:rPr>
                <w:sz w:val="20"/>
              </w:rPr>
            </w:pPr>
            <w:r>
              <w:rPr>
                <w:spacing w:val="-2"/>
                <w:sz w:val="20"/>
              </w:rPr>
              <w:t>0.278679</w:t>
            </w:r>
          </w:p>
        </w:tc>
        <w:tc>
          <w:tcPr>
            <w:tcW w:w="904" w:type="dxa"/>
            <w:tcBorders>
              <w:top w:val="double" w:sz="6" w:space="0" w:color="000000"/>
            </w:tcBorders>
          </w:tcPr>
          <w:p>
            <w:pPr>
              <w:pStyle w:val="TableParagraph"/>
              <w:spacing w:line="214" w:lineRule="exact" w:before="42"/>
              <w:ind w:right="70"/>
              <w:jc w:val="center"/>
              <w:rPr>
                <w:sz w:val="20"/>
              </w:rPr>
            </w:pPr>
            <w:r>
              <w:rPr>
                <w:spacing w:val="-4"/>
                <w:sz w:val="20"/>
              </w:rPr>
              <w:t>-</w:t>
            </w:r>
            <w:r>
              <w:rPr>
                <w:spacing w:val="-2"/>
                <w:sz w:val="20"/>
              </w:rPr>
              <w:t>5.323674</w:t>
            </w:r>
          </w:p>
        </w:tc>
        <w:tc>
          <w:tcPr>
            <w:tcW w:w="929" w:type="dxa"/>
            <w:tcBorders>
              <w:top w:val="double" w:sz="6" w:space="0" w:color="000000"/>
            </w:tcBorders>
          </w:tcPr>
          <w:p>
            <w:pPr>
              <w:pStyle w:val="TableParagraph"/>
              <w:spacing w:line="214" w:lineRule="exact" w:before="42"/>
              <w:ind w:right="27"/>
              <w:jc w:val="right"/>
              <w:rPr>
                <w:sz w:val="20"/>
              </w:rPr>
            </w:pPr>
            <w:r>
              <w:rPr>
                <w:spacing w:val="-2"/>
                <w:sz w:val="20"/>
              </w:rPr>
              <w:t>0.0000</w:t>
            </w:r>
          </w:p>
        </w:tc>
      </w:tr>
      <w:tr>
        <w:trPr>
          <w:trHeight w:val="229" w:hRule="atLeast"/>
        </w:trPr>
        <w:tc>
          <w:tcPr>
            <w:tcW w:w="1847" w:type="dxa"/>
          </w:tcPr>
          <w:p>
            <w:pPr>
              <w:pStyle w:val="TableParagraph"/>
              <w:spacing w:line="209" w:lineRule="exact"/>
              <w:ind w:left="458"/>
              <w:rPr>
                <w:sz w:val="20"/>
              </w:rPr>
            </w:pPr>
            <w:r>
              <w:rPr>
                <w:spacing w:val="-2"/>
                <w:sz w:val="20"/>
              </w:rPr>
              <w:t>D(DOP(-1),2)</w:t>
            </w:r>
          </w:p>
        </w:tc>
        <w:tc>
          <w:tcPr>
            <w:tcW w:w="1375" w:type="dxa"/>
          </w:tcPr>
          <w:p>
            <w:pPr>
              <w:pStyle w:val="TableParagraph"/>
              <w:spacing w:line="209" w:lineRule="exact"/>
              <w:ind w:right="128"/>
              <w:jc w:val="right"/>
              <w:rPr>
                <w:sz w:val="20"/>
              </w:rPr>
            </w:pPr>
            <w:r>
              <w:rPr>
                <w:spacing w:val="-2"/>
                <w:sz w:val="20"/>
              </w:rPr>
              <w:t>0.066946</w:t>
            </w:r>
          </w:p>
        </w:tc>
        <w:tc>
          <w:tcPr>
            <w:tcW w:w="1432" w:type="dxa"/>
          </w:tcPr>
          <w:p>
            <w:pPr>
              <w:pStyle w:val="TableParagraph"/>
              <w:spacing w:line="209" w:lineRule="exact"/>
              <w:ind w:left="311"/>
              <w:rPr>
                <w:sz w:val="20"/>
              </w:rPr>
            </w:pPr>
            <w:r>
              <w:rPr>
                <w:spacing w:val="-2"/>
                <w:sz w:val="20"/>
              </w:rPr>
              <w:t>0.166600</w:t>
            </w:r>
          </w:p>
        </w:tc>
        <w:tc>
          <w:tcPr>
            <w:tcW w:w="904" w:type="dxa"/>
          </w:tcPr>
          <w:p>
            <w:pPr>
              <w:pStyle w:val="TableParagraph"/>
              <w:spacing w:line="209" w:lineRule="exact"/>
              <w:ind w:right="5"/>
              <w:jc w:val="center"/>
              <w:rPr>
                <w:sz w:val="20"/>
              </w:rPr>
            </w:pPr>
            <w:r>
              <w:rPr>
                <w:spacing w:val="-2"/>
                <w:sz w:val="20"/>
              </w:rPr>
              <w:t>0.401841</w:t>
            </w:r>
          </w:p>
        </w:tc>
        <w:tc>
          <w:tcPr>
            <w:tcW w:w="929" w:type="dxa"/>
          </w:tcPr>
          <w:p>
            <w:pPr>
              <w:pStyle w:val="TableParagraph"/>
              <w:spacing w:line="209" w:lineRule="exact"/>
              <w:ind w:right="27"/>
              <w:jc w:val="right"/>
              <w:rPr>
                <w:sz w:val="20"/>
              </w:rPr>
            </w:pPr>
            <w:r>
              <w:rPr>
                <w:spacing w:val="-2"/>
                <w:sz w:val="20"/>
              </w:rPr>
              <w:t>0.6902</w:t>
            </w:r>
          </w:p>
        </w:tc>
      </w:tr>
      <w:tr>
        <w:trPr>
          <w:trHeight w:val="224" w:hRule="atLeast"/>
        </w:trPr>
        <w:tc>
          <w:tcPr>
            <w:tcW w:w="1847" w:type="dxa"/>
            <w:tcBorders>
              <w:bottom w:val="double" w:sz="6" w:space="0" w:color="000000"/>
            </w:tcBorders>
          </w:tcPr>
          <w:p>
            <w:pPr>
              <w:pStyle w:val="TableParagraph"/>
              <w:spacing w:line="205" w:lineRule="exact"/>
              <w:ind w:left="197"/>
              <w:jc w:val="center"/>
              <w:rPr>
                <w:sz w:val="20"/>
              </w:rPr>
            </w:pPr>
            <w:r>
              <w:rPr>
                <w:spacing w:val="-10"/>
                <w:sz w:val="20"/>
              </w:rPr>
              <w:t>C</w:t>
            </w:r>
          </w:p>
        </w:tc>
        <w:tc>
          <w:tcPr>
            <w:tcW w:w="1375" w:type="dxa"/>
            <w:tcBorders>
              <w:bottom w:val="double" w:sz="6" w:space="0" w:color="000000"/>
            </w:tcBorders>
          </w:tcPr>
          <w:p>
            <w:pPr>
              <w:pStyle w:val="TableParagraph"/>
              <w:spacing w:line="205" w:lineRule="exact"/>
              <w:ind w:right="128"/>
              <w:jc w:val="right"/>
              <w:rPr>
                <w:sz w:val="20"/>
              </w:rPr>
            </w:pPr>
            <w:r>
              <w:rPr>
                <w:spacing w:val="-2"/>
                <w:sz w:val="20"/>
              </w:rPr>
              <w:t>0.022731</w:t>
            </w:r>
          </w:p>
        </w:tc>
        <w:tc>
          <w:tcPr>
            <w:tcW w:w="1432" w:type="dxa"/>
            <w:tcBorders>
              <w:bottom w:val="double" w:sz="6" w:space="0" w:color="000000"/>
            </w:tcBorders>
          </w:tcPr>
          <w:p>
            <w:pPr>
              <w:pStyle w:val="TableParagraph"/>
              <w:spacing w:line="205" w:lineRule="exact"/>
              <w:ind w:left="311"/>
              <w:rPr>
                <w:sz w:val="20"/>
              </w:rPr>
            </w:pPr>
            <w:r>
              <w:rPr>
                <w:spacing w:val="-2"/>
                <w:sz w:val="20"/>
              </w:rPr>
              <w:t>0.036518</w:t>
            </w:r>
          </w:p>
        </w:tc>
        <w:tc>
          <w:tcPr>
            <w:tcW w:w="904" w:type="dxa"/>
            <w:tcBorders>
              <w:bottom w:val="double" w:sz="6" w:space="0" w:color="000000"/>
            </w:tcBorders>
          </w:tcPr>
          <w:p>
            <w:pPr>
              <w:pStyle w:val="TableParagraph"/>
              <w:spacing w:line="205" w:lineRule="exact"/>
              <w:ind w:right="5"/>
              <w:jc w:val="center"/>
              <w:rPr>
                <w:sz w:val="20"/>
              </w:rPr>
            </w:pPr>
            <w:r>
              <w:rPr>
                <w:spacing w:val="-2"/>
                <w:sz w:val="20"/>
              </w:rPr>
              <w:t>0.622461</w:t>
            </w:r>
          </w:p>
        </w:tc>
        <w:tc>
          <w:tcPr>
            <w:tcW w:w="929" w:type="dxa"/>
            <w:tcBorders>
              <w:bottom w:val="double" w:sz="6" w:space="0" w:color="000000"/>
            </w:tcBorders>
          </w:tcPr>
          <w:p>
            <w:pPr>
              <w:pStyle w:val="TableParagraph"/>
              <w:spacing w:line="205" w:lineRule="exact"/>
              <w:ind w:right="27"/>
              <w:jc w:val="right"/>
              <w:rPr>
                <w:sz w:val="20"/>
              </w:rPr>
            </w:pPr>
            <w:r>
              <w:rPr>
                <w:spacing w:val="-2"/>
                <w:sz w:val="20"/>
              </w:rPr>
              <w:t>0.5376</w:t>
            </w:r>
          </w:p>
        </w:tc>
      </w:tr>
      <w:tr>
        <w:trPr>
          <w:trHeight w:val="276" w:hRule="atLeast"/>
        </w:trPr>
        <w:tc>
          <w:tcPr>
            <w:tcW w:w="1847" w:type="dxa"/>
            <w:tcBorders>
              <w:top w:val="double" w:sz="6" w:space="0" w:color="000000"/>
            </w:tcBorders>
          </w:tcPr>
          <w:p>
            <w:pPr>
              <w:pStyle w:val="TableParagraph"/>
              <w:spacing w:line="214" w:lineRule="exact" w:before="42"/>
              <w:ind w:left="36"/>
              <w:rPr>
                <w:sz w:val="20"/>
              </w:rPr>
            </w:pPr>
            <w:r>
              <w:rPr>
                <w:spacing w:val="-2"/>
                <w:sz w:val="20"/>
              </w:rPr>
              <w:t>R-squared</w:t>
            </w:r>
          </w:p>
        </w:tc>
        <w:tc>
          <w:tcPr>
            <w:tcW w:w="1375" w:type="dxa"/>
            <w:tcBorders>
              <w:top w:val="double" w:sz="6" w:space="0" w:color="000000"/>
            </w:tcBorders>
          </w:tcPr>
          <w:p>
            <w:pPr>
              <w:pStyle w:val="TableParagraph"/>
              <w:spacing w:line="214" w:lineRule="exact" w:before="42"/>
              <w:ind w:right="128"/>
              <w:jc w:val="right"/>
              <w:rPr>
                <w:sz w:val="20"/>
              </w:rPr>
            </w:pPr>
            <w:r>
              <w:rPr>
                <w:spacing w:val="-2"/>
                <w:sz w:val="20"/>
              </w:rPr>
              <w:t>0.695038</w:t>
            </w:r>
          </w:p>
        </w:tc>
        <w:tc>
          <w:tcPr>
            <w:tcW w:w="2336" w:type="dxa"/>
            <w:gridSpan w:val="2"/>
            <w:tcBorders>
              <w:top w:val="double" w:sz="6" w:space="0" w:color="000000"/>
            </w:tcBorders>
          </w:tcPr>
          <w:p>
            <w:pPr>
              <w:pStyle w:val="TableParagraph"/>
              <w:spacing w:line="214" w:lineRule="exact" w:before="42"/>
              <w:ind w:left="131"/>
              <w:rPr>
                <w:sz w:val="20"/>
              </w:rPr>
            </w:pPr>
            <w:r>
              <w:rPr>
                <w:sz w:val="20"/>
              </w:rPr>
              <w:t>Mean</w:t>
            </w:r>
            <w:r>
              <w:rPr>
                <w:spacing w:val="-7"/>
                <w:sz w:val="20"/>
              </w:rPr>
              <w:t> </w:t>
            </w:r>
            <w:r>
              <w:rPr>
                <w:sz w:val="20"/>
              </w:rPr>
              <w:t>dependent</w:t>
            </w:r>
            <w:r>
              <w:rPr>
                <w:spacing w:val="-7"/>
                <w:sz w:val="20"/>
              </w:rPr>
              <w:t> </w:t>
            </w:r>
            <w:r>
              <w:rPr>
                <w:spacing w:val="-5"/>
                <w:sz w:val="20"/>
              </w:rPr>
              <w:t>var</w:t>
            </w:r>
          </w:p>
        </w:tc>
        <w:tc>
          <w:tcPr>
            <w:tcW w:w="929" w:type="dxa"/>
            <w:tcBorders>
              <w:top w:val="double" w:sz="6" w:space="0" w:color="000000"/>
            </w:tcBorders>
          </w:tcPr>
          <w:p>
            <w:pPr>
              <w:pStyle w:val="TableParagraph"/>
              <w:spacing w:line="214" w:lineRule="exact" w:before="42"/>
              <w:ind w:right="27"/>
              <w:jc w:val="right"/>
              <w:rPr>
                <w:sz w:val="20"/>
              </w:rPr>
            </w:pPr>
            <w:r>
              <w:rPr>
                <w:spacing w:val="-2"/>
                <w:sz w:val="20"/>
              </w:rPr>
              <w:t>0.005171</w:t>
            </w:r>
          </w:p>
        </w:tc>
      </w:tr>
      <w:tr>
        <w:trPr>
          <w:trHeight w:val="229" w:hRule="atLeast"/>
        </w:trPr>
        <w:tc>
          <w:tcPr>
            <w:tcW w:w="1847" w:type="dxa"/>
          </w:tcPr>
          <w:p>
            <w:pPr>
              <w:pStyle w:val="TableParagraph"/>
              <w:spacing w:line="209" w:lineRule="exact"/>
              <w:ind w:left="36"/>
              <w:rPr>
                <w:sz w:val="20"/>
              </w:rPr>
            </w:pPr>
            <w:r>
              <w:rPr>
                <w:sz w:val="20"/>
              </w:rPr>
              <w:t>Adjusted</w:t>
            </w:r>
            <w:r>
              <w:rPr>
                <w:spacing w:val="-10"/>
                <w:sz w:val="20"/>
              </w:rPr>
              <w:t> </w:t>
            </w:r>
            <w:r>
              <w:rPr>
                <w:sz w:val="20"/>
              </w:rPr>
              <w:t>R-</w:t>
            </w:r>
            <w:r>
              <w:rPr>
                <w:spacing w:val="-2"/>
                <w:sz w:val="20"/>
              </w:rPr>
              <w:t>squared</w:t>
            </w:r>
          </w:p>
        </w:tc>
        <w:tc>
          <w:tcPr>
            <w:tcW w:w="1375" w:type="dxa"/>
          </w:tcPr>
          <w:p>
            <w:pPr>
              <w:pStyle w:val="TableParagraph"/>
              <w:spacing w:line="209" w:lineRule="exact"/>
              <w:ind w:right="128"/>
              <w:jc w:val="right"/>
              <w:rPr>
                <w:sz w:val="20"/>
              </w:rPr>
            </w:pPr>
            <w:r>
              <w:rPr>
                <w:spacing w:val="-2"/>
                <w:sz w:val="20"/>
              </w:rPr>
              <w:t>0.678096</w:t>
            </w:r>
          </w:p>
        </w:tc>
        <w:tc>
          <w:tcPr>
            <w:tcW w:w="2336" w:type="dxa"/>
            <w:gridSpan w:val="2"/>
          </w:tcPr>
          <w:p>
            <w:pPr>
              <w:pStyle w:val="TableParagraph"/>
              <w:spacing w:line="209" w:lineRule="exact"/>
              <w:ind w:left="131"/>
              <w:rPr>
                <w:sz w:val="20"/>
              </w:rPr>
            </w:pPr>
            <w:r>
              <w:rPr>
                <w:sz w:val="20"/>
              </w:rPr>
              <w:t>S.D.</w:t>
            </w:r>
            <w:r>
              <w:rPr>
                <w:spacing w:val="-5"/>
                <w:sz w:val="20"/>
              </w:rPr>
              <w:t> </w:t>
            </w:r>
            <w:r>
              <w:rPr>
                <w:sz w:val="20"/>
              </w:rPr>
              <w:t>dependent</w:t>
            </w:r>
            <w:r>
              <w:rPr>
                <w:spacing w:val="-6"/>
                <w:sz w:val="20"/>
              </w:rPr>
              <w:t> </w:t>
            </w:r>
            <w:r>
              <w:rPr>
                <w:spacing w:val="-5"/>
                <w:sz w:val="20"/>
              </w:rPr>
              <w:t>var</w:t>
            </w:r>
          </w:p>
        </w:tc>
        <w:tc>
          <w:tcPr>
            <w:tcW w:w="929" w:type="dxa"/>
          </w:tcPr>
          <w:p>
            <w:pPr>
              <w:pStyle w:val="TableParagraph"/>
              <w:spacing w:line="209" w:lineRule="exact"/>
              <w:ind w:right="27"/>
              <w:jc w:val="right"/>
              <w:rPr>
                <w:sz w:val="20"/>
              </w:rPr>
            </w:pPr>
            <w:r>
              <w:rPr>
                <w:spacing w:val="-2"/>
                <w:sz w:val="20"/>
              </w:rPr>
              <w:t>0.399967</w:t>
            </w:r>
          </w:p>
        </w:tc>
      </w:tr>
      <w:tr>
        <w:trPr>
          <w:trHeight w:val="230" w:hRule="atLeast"/>
        </w:trPr>
        <w:tc>
          <w:tcPr>
            <w:tcW w:w="1847" w:type="dxa"/>
          </w:tcPr>
          <w:p>
            <w:pPr>
              <w:pStyle w:val="TableParagraph"/>
              <w:spacing w:line="210" w:lineRule="exact"/>
              <w:ind w:left="36"/>
              <w:rPr>
                <w:sz w:val="20"/>
              </w:rPr>
            </w:pPr>
            <w:r>
              <w:rPr>
                <w:sz w:val="20"/>
              </w:rPr>
              <w:t>S.E.</w:t>
            </w:r>
            <w:r>
              <w:rPr>
                <w:spacing w:val="-3"/>
                <w:sz w:val="20"/>
              </w:rPr>
              <w:t> </w:t>
            </w:r>
            <w:r>
              <w:rPr>
                <w:sz w:val="20"/>
              </w:rPr>
              <w:t>of</w:t>
            </w:r>
            <w:r>
              <w:rPr>
                <w:spacing w:val="-3"/>
                <w:sz w:val="20"/>
              </w:rPr>
              <w:t> </w:t>
            </w:r>
            <w:r>
              <w:rPr>
                <w:spacing w:val="-2"/>
                <w:sz w:val="20"/>
              </w:rPr>
              <w:t>regression</w:t>
            </w:r>
          </w:p>
        </w:tc>
        <w:tc>
          <w:tcPr>
            <w:tcW w:w="1375" w:type="dxa"/>
          </w:tcPr>
          <w:p>
            <w:pPr>
              <w:pStyle w:val="TableParagraph"/>
              <w:spacing w:line="210" w:lineRule="exact"/>
              <w:ind w:right="128"/>
              <w:jc w:val="right"/>
              <w:rPr>
                <w:sz w:val="20"/>
              </w:rPr>
            </w:pPr>
            <w:r>
              <w:rPr>
                <w:spacing w:val="-2"/>
                <w:sz w:val="20"/>
              </w:rPr>
              <w:t>0.226928</w:t>
            </w:r>
          </w:p>
        </w:tc>
        <w:tc>
          <w:tcPr>
            <w:tcW w:w="2336" w:type="dxa"/>
            <w:gridSpan w:val="2"/>
          </w:tcPr>
          <w:p>
            <w:pPr>
              <w:pStyle w:val="TableParagraph"/>
              <w:spacing w:line="210" w:lineRule="exact"/>
              <w:ind w:left="131"/>
              <w:rPr>
                <w:sz w:val="20"/>
              </w:rPr>
            </w:pPr>
            <w:r>
              <w:rPr>
                <w:sz w:val="20"/>
              </w:rPr>
              <w:t>Akaike</w:t>
            </w:r>
            <w:r>
              <w:rPr>
                <w:spacing w:val="-8"/>
                <w:sz w:val="20"/>
              </w:rPr>
              <w:t> </w:t>
            </w:r>
            <w:r>
              <w:rPr>
                <w:sz w:val="20"/>
              </w:rPr>
              <w:t>info</w:t>
            </w:r>
            <w:r>
              <w:rPr>
                <w:spacing w:val="-7"/>
                <w:sz w:val="20"/>
              </w:rPr>
              <w:t> </w:t>
            </w:r>
            <w:r>
              <w:rPr>
                <w:spacing w:val="-2"/>
                <w:sz w:val="20"/>
              </w:rPr>
              <w:t>criterion</w:t>
            </w:r>
          </w:p>
        </w:tc>
        <w:tc>
          <w:tcPr>
            <w:tcW w:w="929" w:type="dxa"/>
          </w:tcPr>
          <w:p>
            <w:pPr>
              <w:pStyle w:val="TableParagraph"/>
              <w:spacing w:line="210" w:lineRule="exact"/>
              <w:ind w:right="27"/>
              <w:jc w:val="right"/>
              <w:rPr>
                <w:sz w:val="20"/>
              </w:rPr>
            </w:pPr>
            <w:r>
              <w:rPr>
                <w:spacing w:val="-4"/>
                <w:sz w:val="20"/>
              </w:rPr>
              <w:t>-</w:t>
            </w:r>
            <w:r>
              <w:rPr>
                <w:spacing w:val="-2"/>
                <w:sz w:val="20"/>
              </w:rPr>
              <w:t>0.054568</w:t>
            </w:r>
          </w:p>
        </w:tc>
      </w:tr>
      <w:tr>
        <w:trPr>
          <w:trHeight w:val="230" w:hRule="atLeast"/>
        </w:trPr>
        <w:tc>
          <w:tcPr>
            <w:tcW w:w="1847" w:type="dxa"/>
          </w:tcPr>
          <w:p>
            <w:pPr>
              <w:pStyle w:val="TableParagraph"/>
              <w:spacing w:line="210" w:lineRule="exact"/>
              <w:ind w:left="36"/>
              <w:rPr>
                <w:sz w:val="20"/>
              </w:rPr>
            </w:pPr>
            <w:r>
              <w:rPr>
                <w:sz w:val="20"/>
              </w:rPr>
              <w:t>Sum</w:t>
            </w:r>
            <w:r>
              <w:rPr>
                <w:spacing w:val="-8"/>
                <w:sz w:val="20"/>
              </w:rPr>
              <w:t> </w:t>
            </w:r>
            <w:r>
              <w:rPr>
                <w:sz w:val="20"/>
              </w:rPr>
              <w:t>squared</w:t>
            </w:r>
            <w:r>
              <w:rPr>
                <w:spacing w:val="-4"/>
                <w:sz w:val="20"/>
              </w:rPr>
              <w:t> </w:t>
            </w:r>
            <w:r>
              <w:rPr>
                <w:spacing w:val="-2"/>
                <w:sz w:val="20"/>
              </w:rPr>
              <w:t>resid</w:t>
            </w:r>
          </w:p>
        </w:tc>
        <w:tc>
          <w:tcPr>
            <w:tcW w:w="1375" w:type="dxa"/>
          </w:tcPr>
          <w:p>
            <w:pPr>
              <w:pStyle w:val="TableParagraph"/>
              <w:spacing w:line="210" w:lineRule="exact"/>
              <w:ind w:right="128"/>
              <w:jc w:val="right"/>
              <w:rPr>
                <w:sz w:val="20"/>
              </w:rPr>
            </w:pPr>
            <w:r>
              <w:rPr>
                <w:spacing w:val="-2"/>
                <w:sz w:val="20"/>
              </w:rPr>
              <w:t>1.853861</w:t>
            </w:r>
          </w:p>
        </w:tc>
        <w:tc>
          <w:tcPr>
            <w:tcW w:w="2336" w:type="dxa"/>
            <w:gridSpan w:val="2"/>
          </w:tcPr>
          <w:p>
            <w:pPr>
              <w:pStyle w:val="TableParagraph"/>
              <w:spacing w:line="210" w:lineRule="exact"/>
              <w:ind w:left="131"/>
              <w:rPr>
                <w:sz w:val="20"/>
              </w:rPr>
            </w:pPr>
            <w:r>
              <w:rPr>
                <w:sz w:val="20"/>
              </w:rPr>
              <w:t>Schwarz</w:t>
            </w:r>
            <w:r>
              <w:rPr>
                <w:spacing w:val="-8"/>
                <w:sz w:val="20"/>
              </w:rPr>
              <w:t> </w:t>
            </w:r>
            <w:r>
              <w:rPr>
                <w:spacing w:val="-2"/>
                <w:sz w:val="20"/>
              </w:rPr>
              <w:t>criterion</w:t>
            </w:r>
          </w:p>
        </w:tc>
        <w:tc>
          <w:tcPr>
            <w:tcW w:w="929" w:type="dxa"/>
          </w:tcPr>
          <w:p>
            <w:pPr>
              <w:pStyle w:val="TableParagraph"/>
              <w:spacing w:line="210" w:lineRule="exact"/>
              <w:ind w:right="27"/>
              <w:jc w:val="right"/>
              <w:rPr>
                <w:sz w:val="20"/>
              </w:rPr>
            </w:pPr>
            <w:r>
              <w:rPr>
                <w:spacing w:val="-2"/>
                <w:sz w:val="20"/>
              </w:rPr>
              <w:t>0.073398</w:t>
            </w:r>
          </w:p>
        </w:tc>
      </w:tr>
      <w:tr>
        <w:trPr>
          <w:trHeight w:val="230" w:hRule="atLeast"/>
        </w:trPr>
        <w:tc>
          <w:tcPr>
            <w:tcW w:w="1847" w:type="dxa"/>
          </w:tcPr>
          <w:p>
            <w:pPr>
              <w:pStyle w:val="TableParagraph"/>
              <w:spacing w:line="210" w:lineRule="exact"/>
              <w:ind w:left="36"/>
              <w:rPr>
                <w:sz w:val="20"/>
              </w:rPr>
            </w:pPr>
            <w:r>
              <w:rPr>
                <w:sz w:val="20"/>
              </w:rPr>
              <w:t>Log</w:t>
            </w:r>
            <w:r>
              <w:rPr>
                <w:spacing w:val="-6"/>
                <w:sz w:val="20"/>
              </w:rPr>
              <w:t> </w:t>
            </w:r>
            <w:r>
              <w:rPr>
                <w:spacing w:val="-2"/>
                <w:sz w:val="20"/>
              </w:rPr>
              <w:t>likelihood</w:t>
            </w:r>
          </w:p>
        </w:tc>
        <w:tc>
          <w:tcPr>
            <w:tcW w:w="1375" w:type="dxa"/>
          </w:tcPr>
          <w:p>
            <w:pPr>
              <w:pStyle w:val="TableParagraph"/>
              <w:spacing w:line="210" w:lineRule="exact"/>
              <w:ind w:right="128"/>
              <w:jc w:val="right"/>
              <w:rPr>
                <w:sz w:val="20"/>
              </w:rPr>
            </w:pPr>
            <w:r>
              <w:rPr>
                <w:spacing w:val="-2"/>
                <w:sz w:val="20"/>
              </w:rPr>
              <w:t>4.064074</w:t>
            </w:r>
          </w:p>
        </w:tc>
        <w:tc>
          <w:tcPr>
            <w:tcW w:w="1432" w:type="dxa"/>
          </w:tcPr>
          <w:p>
            <w:pPr>
              <w:pStyle w:val="TableParagraph"/>
              <w:spacing w:line="210" w:lineRule="exact"/>
              <w:ind w:left="131"/>
              <w:rPr>
                <w:sz w:val="20"/>
              </w:rPr>
            </w:pPr>
            <w:r>
              <w:rPr>
                <w:spacing w:val="-4"/>
                <w:sz w:val="20"/>
              </w:rPr>
              <w:t>F-</w:t>
            </w:r>
            <w:r>
              <w:rPr>
                <w:spacing w:val="-2"/>
                <w:sz w:val="20"/>
              </w:rPr>
              <w:t>statistic</w:t>
            </w:r>
          </w:p>
        </w:tc>
        <w:tc>
          <w:tcPr>
            <w:tcW w:w="904" w:type="dxa"/>
          </w:tcPr>
          <w:p>
            <w:pPr>
              <w:pStyle w:val="TableParagraph"/>
              <w:rPr>
                <w:sz w:val="16"/>
              </w:rPr>
            </w:pPr>
          </w:p>
        </w:tc>
        <w:tc>
          <w:tcPr>
            <w:tcW w:w="929" w:type="dxa"/>
          </w:tcPr>
          <w:p>
            <w:pPr>
              <w:pStyle w:val="TableParagraph"/>
              <w:spacing w:line="210" w:lineRule="exact"/>
              <w:ind w:right="27"/>
              <w:jc w:val="right"/>
              <w:rPr>
                <w:sz w:val="20"/>
              </w:rPr>
            </w:pPr>
            <w:r>
              <w:rPr>
                <w:spacing w:val="-2"/>
                <w:sz w:val="20"/>
              </w:rPr>
              <w:t>41.02378</w:t>
            </w:r>
          </w:p>
        </w:tc>
      </w:tr>
      <w:tr>
        <w:trPr>
          <w:trHeight w:val="265" w:hRule="atLeast"/>
        </w:trPr>
        <w:tc>
          <w:tcPr>
            <w:tcW w:w="1847" w:type="dxa"/>
            <w:tcBorders>
              <w:bottom w:val="double" w:sz="6" w:space="0" w:color="000000"/>
            </w:tcBorders>
          </w:tcPr>
          <w:p>
            <w:pPr>
              <w:pStyle w:val="TableParagraph"/>
              <w:spacing w:line="226" w:lineRule="exact"/>
              <w:ind w:left="36"/>
              <w:rPr>
                <w:sz w:val="20"/>
              </w:rPr>
            </w:pPr>
            <w:r>
              <w:rPr>
                <w:sz w:val="20"/>
              </w:rPr>
              <w:t>Durbin-Watson</w:t>
            </w:r>
            <w:r>
              <w:rPr>
                <w:spacing w:val="-12"/>
                <w:sz w:val="20"/>
              </w:rPr>
              <w:t> </w:t>
            </w:r>
            <w:r>
              <w:rPr>
                <w:spacing w:val="-4"/>
                <w:sz w:val="20"/>
              </w:rPr>
              <w:t>stat</w:t>
            </w:r>
          </w:p>
        </w:tc>
        <w:tc>
          <w:tcPr>
            <w:tcW w:w="1375" w:type="dxa"/>
          </w:tcPr>
          <w:p>
            <w:pPr>
              <w:pStyle w:val="TableParagraph"/>
              <w:spacing w:line="226" w:lineRule="exact"/>
              <w:ind w:right="128"/>
              <w:jc w:val="right"/>
              <w:rPr>
                <w:sz w:val="20"/>
              </w:rPr>
            </w:pPr>
            <w:r>
              <w:rPr>
                <w:spacing w:val="-2"/>
                <w:sz w:val="20"/>
              </w:rPr>
              <w:t>1.994631</w:t>
            </w:r>
          </w:p>
        </w:tc>
        <w:tc>
          <w:tcPr>
            <w:tcW w:w="1432" w:type="dxa"/>
            <w:tcBorders>
              <w:bottom w:val="double" w:sz="6" w:space="0" w:color="000000"/>
            </w:tcBorders>
          </w:tcPr>
          <w:p>
            <w:pPr>
              <w:pStyle w:val="TableParagraph"/>
              <w:spacing w:line="226" w:lineRule="exact"/>
              <w:ind w:left="131"/>
              <w:rPr>
                <w:sz w:val="20"/>
              </w:rPr>
            </w:pPr>
            <w:r>
              <w:rPr>
                <w:spacing w:val="-2"/>
                <w:sz w:val="20"/>
              </w:rPr>
              <w:t>Prob(F-statistic)</w:t>
            </w:r>
          </w:p>
        </w:tc>
        <w:tc>
          <w:tcPr>
            <w:tcW w:w="904" w:type="dxa"/>
            <w:tcBorders>
              <w:bottom w:val="double" w:sz="6" w:space="0" w:color="000000"/>
            </w:tcBorders>
          </w:tcPr>
          <w:p>
            <w:pPr>
              <w:pStyle w:val="TableParagraph"/>
              <w:rPr>
                <w:sz w:val="18"/>
              </w:rPr>
            </w:pPr>
          </w:p>
        </w:tc>
        <w:tc>
          <w:tcPr>
            <w:tcW w:w="929" w:type="dxa"/>
            <w:tcBorders>
              <w:bottom w:val="double" w:sz="6" w:space="0" w:color="000000"/>
            </w:tcBorders>
          </w:tcPr>
          <w:p>
            <w:pPr>
              <w:pStyle w:val="TableParagraph"/>
              <w:spacing w:line="226" w:lineRule="exact"/>
              <w:ind w:right="27"/>
              <w:jc w:val="right"/>
              <w:rPr>
                <w:sz w:val="20"/>
              </w:rPr>
            </w:pPr>
            <w:r>
              <w:rPr>
                <w:spacing w:val="-2"/>
                <w:sz w:val="20"/>
              </w:rPr>
              <w:t>0.000000</w:t>
            </w:r>
          </w:p>
        </w:tc>
      </w:tr>
    </w:tbl>
    <w:p>
      <w:pPr>
        <w:pStyle w:val="BodyText"/>
        <w:rPr>
          <w:sz w:val="20"/>
        </w:rPr>
      </w:pPr>
    </w:p>
    <w:p>
      <w:pPr>
        <w:pStyle w:val="BodyText"/>
        <w:rPr>
          <w:sz w:val="20"/>
        </w:rPr>
      </w:pPr>
    </w:p>
    <w:p>
      <w:pPr>
        <w:pStyle w:val="BodyText"/>
        <w:spacing w:before="14"/>
        <w:rPr>
          <w:sz w:val="20"/>
        </w:rPr>
      </w:pPr>
    </w:p>
    <w:p>
      <w:pPr>
        <w:spacing w:before="0" w:after="3"/>
        <w:ind w:left="711" w:right="0" w:firstLine="0"/>
        <w:jc w:val="left"/>
        <w:rPr>
          <w:sz w:val="20"/>
        </w:rPr>
      </w:pPr>
      <w:r>
        <w:rPr>
          <w:sz w:val="20"/>
        </w:rPr>
        <w:t>INF</w:t>
      </w:r>
      <w:r>
        <w:rPr>
          <w:spacing w:val="-4"/>
          <w:sz w:val="20"/>
        </w:rPr>
        <w:t> </w:t>
      </w:r>
      <w:r>
        <w:rPr>
          <w:sz w:val="20"/>
        </w:rPr>
        <w:t>@</w:t>
      </w:r>
      <w:r>
        <w:rPr>
          <w:spacing w:val="-1"/>
          <w:sz w:val="20"/>
        </w:rPr>
        <w:t> </w:t>
      </w:r>
      <w:r>
        <w:rPr>
          <w:spacing w:val="-4"/>
          <w:sz w:val="20"/>
        </w:rPr>
        <w:t>LEVEL</w:t>
      </w:r>
    </w:p>
    <w:tbl>
      <w:tblPr>
        <w:tblW w:w="0" w:type="auto"/>
        <w:jc w:val="left"/>
        <w:tblInd w:w="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47"/>
        <w:gridCol w:w="1375"/>
        <w:gridCol w:w="1432"/>
        <w:gridCol w:w="904"/>
        <w:gridCol w:w="929"/>
      </w:tblGrid>
      <w:tr>
        <w:trPr>
          <w:trHeight w:val="225" w:hRule="atLeast"/>
        </w:trPr>
        <w:tc>
          <w:tcPr>
            <w:tcW w:w="1847" w:type="dxa"/>
          </w:tcPr>
          <w:p>
            <w:pPr>
              <w:pStyle w:val="TableParagraph"/>
              <w:spacing w:line="205" w:lineRule="exact"/>
              <w:ind w:left="36"/>
              <w:rPr>
                <w:sz w:val="20"/>
              </w:rPr>
            </w:pPr>
            <w:r>
              <w:rPr>
                <w:sz w:val="20"/>
              </w:rPr>
              <w:t>ADF</w:t>
            </w:r>
            <w:r>
              <w:rPr>
                <w:spacing w:val="-4"/>
                <w:sz w:val="20"/>
              </w:rPr>
              <w:t> </w:t>
            </w:r>
            <w:r>
              <w:rPr>
                <w:sz w:val="20"/>
              </w:rPr>
              <w:t>Test</w:t>
            </w:r>
            <w:r>
              <w:rPr>
                <w:spacing w:val="-4"/>
                <w:sz w:val="20"/>
              </w:rPr>
              <w:t> </w:t>
            </w:r>
            <w:r>
              <w:rPr>
                <w:spacing w:val="-2"/>
                <w:sz w:val="20"/>
              </w:rPr>
              <w:t>Statistic</w:t>
            </w:r>
          </w:p>
        </w:tc>
        <w:tc>
          <w:tcPr>
            <w:tcW w:w="1375" w:type="dxa"/>
          </w:tcPr>
          <w:p>
            <w:pPr>
              <w:pStyle w:val="TableParagraph"/>
              <w:spacing w:line="205" w:lineRule="exact"/>
              <w:ind w:left="219"/>
              <w:rPr>
                <w:sz w:val="20"/>
              </w:rPr>
            </w:pPr>
            <w:r>
              <w:rPr>
                <w:spacing w:val="-4"/>
                <w:sz w:val="20"/>
              </w:rPr>
              <w:t>-</w:t>
            </w:r>
            <w:r>
              <w:rPr>
                <w:spacing w:val="-2"/>
                <w:sz w:val="20"/>
              </w:rPr>
              <w:t>4.342622</w:t>
            </w:r>
          </w:p>
        </w:tc>
        <w:tc>
          <w:tcPr>
            <w:tcW w:w="2336" w:type="dxa"/>
            <w:gridSpan w:val="2"/>
          </w:tcPr>
          <w:p>
            <w:pPr>
              <w:pStyle w:val="TableParagraph"/>
              <w:spacing w:line="205" w:lineRule="exact"/>
              <w:ind w:left="131"/>
              <w:rPr>
                <w:sz w:val="20"/>
              </w:rPr>
            </w:pPr>
            <w:r>
              <w:rPr>
                <w:sz w:val="20"/>
              </w:rPr>
              <w:t>1%</w:t>
            </w:r>
            <w:r>
              <w:rPr>
                <w:spacing w:val="68"/>
                <w:w w:val="150"/>
                <w:sz w:val="20"/>
              </w:rPr>
              <w:t> </w:t>
            </w:r>
            <w:r>
              <w:rPr>
                <w:sz w:val="20"/>
              </w:rPr>
              <w:t>Critical</w:t>
            </w:r>
            <w:r>
              <w:rPr>
                <w:spacing w:val="-2"/>
                <w:sz w:val="20"/>
              </w:rPr>
              <w:t> Value*</w:t>
            </w:r>
          </w:p>
        </w:tc>
        <w:tc>
          <w:tcPr>
            <w:tcW w:w="929" w:type="dxa"/>
          </w:tcPr>
          <w:p>
            <w:pPr>
              <w:pStyle w:val="TableParagraph"/>
              <w:spacing w:line="205" w:lineRule="exact"/>
              <w:ind w:right="27"/>
              <w:jc w:val="right"/>
              <w:rPr>
                <w:sz w:val="20"/>
              </w:rPr>
            </w:pPr>
            <w:r>
              <w:rPr>
                <w:spacing w:val="-4"/>
                <w:sz w:val="20"/>
              </w:rPr>
              <w:t>-</w:t>
            </w:r>
            <w:r>
              <w:rPr>
                <w:spacing w:val="-2"/>
                <w:sz w:val="20"/>
              </w:rPr>
              <w:t>3.6019</w:t>
            </w:r>
          </w:p>
        </w:tc>
      </w:tr>
      <w:tr>
        <w:trPr>
          <w:trHeight w:val="230" w:hRule="atLeast"/>
        </w:trPr>
        <w:tc>
          <w:tcPr>
            <w:tcW w:w="1847" w:type="dxa"/>
          </w:tcPr>
          <w:p>
            <w:pPr>
              <w:pStyle w:val="TableParagraph"/>
              <w:rPr>
                <w:sz w:val="16"/>
              </w:rPr>
            </w:pPr>
          </w:p>
        </w:tc>
        <w:tc>
          <w:tcPr>
            <w:tcW w:w="1375" w:type="dxa"/>
          </w:tcPr>
          <w:p>
            <w:pPr>
              <w:pStyle w:val="TableParagraph"/>
              <w:rPr>
                <w:sz w:val="16"/>
              </w:rPr>
            </w:pPr>
          </w:p>
        </w:tc>
        <w:tc>
          <w:tcPr>
            <w:tcW w:w="2336" w:type="dxa"/>
            <w:gridSpan w:val="2"/>
          </w:tcPr>
          <w:p>
            <w:pPr>
              <w:pStyle w:val="TableParagraph"/>
              <w:spacing w:line="210" w:lineRule="exact"/>
              <w:ind w:left="131"/>
              <w:rPr>
                <w:sz w:val="20"/>
              </w:rPr>
            </w:pPr>
            <w:r>
              <w:rPr>
                <w:sz w:val="20"/>
              </w:rPr>
              <w:t>5%</w:t>
            </w:r>
            <w:r>
              <w:rPr>
                <w:spacing w:val="68"/>
                <w:w w:val="150"/>
                <w:sz w:val="20"/>
              </w:rPr>
              <w:t> </w:t>
            </w:r>
            <w:r>
              <w:rPr>
                <w:sz w:val="20"/>
              </w:rPr>
              <w:t>Critical</w:t>
            </w:r>
            <w:r>
              <w:rPr>
                <w:spacing w:val="-2"/>
                <w:sz w:val="20"/>
              </w:rPr>
              <w:t> </w:t>
            </w:r>
            <w:r>
              <w:rPr>
                <w:spacing w:val="-4"/>
                <w:sz w:val="20"/>
              </w:rPr>
              <w:t>Value</w:t>
            </w:r>
          </w:p>
        </w:tc>
        <w:tc>
          <w:tcPr>
            <w:tcW w:w="929" w:type="dxa"/>
          </w:tcPr>
          <w:p>
            <w:pPr>
              <w:pStyle w:val="TableParagraph"/>
              <w:spacing w:line="210" w:lineRule="exact"/>
              <w:ind w:right="27"/>
              <w:jc w:val="right"/>
              <w:rPr>
                <w:sz w:val="20"/>
              </w:rPr>
            </w:pPr>
            <w:r>
              <w:rPr>
                <w:spacing w:val="-4"/>
                <w:sz w:val="20"/>
              </w:rPr>
              <w:t>-</w:t>
            </w:r>
            <w:r>
              <w:rPr>
                <w:spacing w:val="-2"/>
                <w:sz w:val="20"/>
              </w:rPr>
              <w:t>2.9358</w:t>
            </w:r>
          </w:p>
        </w:tc>
      </w:tr>
      <w:tr>
        <w:trPr>
          <w:trHeight w:val="224" w:hRule="atLeast"/>
        </w:trPr>
        <w:tc>
          <w:tcPr>
            <w:tcW w:w="1847" w:type="dxa"/>
            <w:tcBorders>
              <w:bottom w:val="double" w:sz="6" w:space="0" w:color="000000"/>
            </w:tcBorders>
          </w:tcPr>
          <w:p>
            <w:pPr>
              <w:pStyle w:val="TableParagraph"/>
              <w:rPr>
                <w:sz w:val="16"/>
              </w:rPr>
            </w:pPr>
          </w:p>
        </w:tc>
        <w:tc>
          <w:tcPr>
            <w:tcW w:w="1375" w:type="dxa"/>
            <w:tcBorders>
              <w:bottom w:val="double" w:sz="6" w:space="0" w:color="000000"/>
            </w:tcBorders>
          </w:tcPr>
          <w:p>
            <w:pPr>
              <w:pStyle w:val="TableParagraph"/>
              <w:rPr>
                <w:sz w:val="16"/>
              </w:rPr>
            </w:pPr>
          </w:p>
        </w:tc>
        <w:tc>
          <w:tcPr>
            <w:tcW w:w="2336" w:type="dxa"/>
            <w:gridSpan w:val="2"/>
            <w:tcBorders>
              <w:bottom w:val="double" w:sz="6" w:space="0" w:color="000000"/>
            </w:tcBorders>
          </w:tcPr>
          <w:p>
            <w:pPr>
              <w:pStyle w:val="TableParagraph"/>
              <w:spacing w:line="205" w:lineRule="exact"/>
              <w:ind w:left="131"/>
              <w:rPr>
                <w:sz w:val="20"/>
              </w:rPr>
            </w:pPr>
            <w:r>
              <w:rPr>
                <w:sz w:val="20"/>
              </w:rPr>
              <w:t>10%</w:t>
            </w:r>
            <w:r>
              <w:rPr>
                <w:spacing w:val="-6"/>
                <w:sz w:val="20"/>
              </w:rPr>
              <w:t> </w:t>
            </w:r>
            <w:r>
              <w:rPr>
                <w:sz w:val="20"/>
              </w:rPr>
              <w:t>Critical</w:t>
            </w:r>
            <w:r>
              <w:rPr>
                <w:spacing w:val="-4"/>
                <w:sz w:val="20"/>
              </w:rPr>
              <w:t> </w:t>
            </w:r>
            <w:r>
              <w:rPr>
                <w:spacing w:val="-2"/>
                <w:sz w:val="20"/>
              </w:rPr>
              <w:t>Value</w:t>
            </w:r>
          </w:p>
        </w:tc>
        <w:tc>
          <w:tcPr>
            <w:tcW w:w="929" w:type="dxa"/>
            <w:tcBorders>
              <w:bottom w:val="double" w:sz="6" w:space="0" w:color="000000"/>
            </w:tcBorders>
          </w:tcPr>
          <w:p>
            <w:pPr>
              <w:pStyle w:val="TableParagraph"/>
              <w:spacing w:line="205" w:lineRule="exact"/>
              <w:ind w:right="27"/>
              <w:jc w:val="right"/>
              <w:rPr>
                <w:sz w:val="20"/>
              </w:rPr>
            </w:pPr>
            <w:r>
              <w:rPr>
                <w:spacing w:val="-4"/>
                <w:sz w:val="20"/>
              </w:rPr>
              <w:t>-</w:t>
            </w:r>
            <w:r>
              <w:rPr>
                <w:spacing w:val="-2"/>
                <w:sz w:val="20"/>
              </w:rPr>
              <w:t>2.6059</w:t>
            </w:r>
          </w:p>
        </w:tc>
      </w:tr>
      <w:tr>
        <w:trPr>
          <w:trHeight w:val="505" w:hRule="atLeast"/>
        </w:trPr>
        <w:tc>
          <w:tcPr>
            <w:tcW w:w="6487" w:type="dxa"/>
            <w:gridSpan w:val="5"/>
            <w:tcBorders>
              <w:top w:val="double" w:sz="6" w:space="0" w:color="000000"/>
            </w:tcBorders>
          </w:tcPr>
          <w:p>
            <w:pPr>
              <w:pStyle w:val="TableParagraph"/>
              <w:spacing w:before="40"/>
              <w:ind w:left="36"/>
              <w:rPr>
                <w:sz w:val="20"/>
              </w:rPr>
            </w:pPr>
            <w:r>
              <w:rPr>
                <w:sz w:val="20"/>
              </w:rPr>
              <w:t>*MacKinnon</w:t>
            </w:r>
            <w:r>
              <w:rPr>
                <w:spacing w:val="-6"/>
                <w:sz w:val="20"/>
              </w:rPr>
              <w:t> </w:t>
            </w:r>
            <w:r>
              <w:rPr>
                <w:sz w:val="20"/>
              </w:rPr>
              <w:t>critical</w:t>
            </w:r>
            <w:r>
              <w:rPr>
                <w:spacing w:val="-4"/>
                <w:sz w:val="20"/>
              </w:rPr>
              <w:t> </w:t>
            </w:r>
            <w:r>
              <w:rPr>
                <w:sz w:val="20"/>
              </w:rPr>
              <w:t>values</w:t>
            </w:r>
            <w:r>
              <w:rPr>
                <w:spacing w:val="-6"/>
                <w:sz w:val="20"/>
              </w:rPr>
              <w:t> </w:t>
            </w:r>
            <w:r>
              <w:rPr>
                <w:sz w:val="20"/>
              </w:rPr>
              <w:t>for</w:t>
            </w:r>
            <w:r>
              <w:rPr>
                <w:spacing w:val="-4"/>
                <w:sz w:val="20"/>
              </w:rPr>
              <w:t> </w:t>
            </w:r>
            <w:r>
              <w:rPr>
                <w:sz w:val="20"/>
              </w:rPr>
              <w:t>rejection</w:t>
            </w:r>
            <w:r>
              <w:rPr>
                <w:spacing w:val="-6"/>
                <w:sz w:val="20"/>
              </w:rPr>
              <w:t> </w:t>
            </w:r>
            <w:r>
              <w:rPr>
                <w:sz w:val="20"/>
              </w:rPr>
              <w:t>of</w:t>
            </w:r>
            <w:r>
              <w:rPr>
                <w:spacing w:val="-6"/>
                <w:sz w:val="20"/>
              </w:rPr>
              <w:t> </w:t>
            </w:r>
            <w:r>
              <w:rPr>
                <w:sz w:val="20"/>
              </w:rPr>
              <w:t>hypothesis</w:t>
            </w:r>
            <w:r>
              <w:rPr>
                <w:spacing w:val="-6"/>
                <w:sz w:val="20"/>
              </w:rPr>
              <w:t> </w:t>
            </w:r>
            <w:r>
              <w:rPr>
                <w:sz w:val="20"/>
              </w:rPr>
              <w:t>of</w:t>
            </w:r>
            <w:r>
              <w:rPr>
                <w:spacing w:val="-6"/>
                <w:sz w:val="20"/>
              </w:rPr>
              <w:t> </w:t>
            </w:r>
            <w:r>
              <w:rPr>
                <w:sz w:val="20"/>
              </w:rPr>
              <w:t>a</w:t>
            </w:r>
            <w:r>
              <w:rPr>
                <w:spacing w:val="-4"/>
                <w:sz w:val="20"/>
              </w:rPr>
              <w:t> </w:t>
            </w:r>
            <w:r>
              <w:rPr>
                <w:sz w:val="20"/>
              </w:rPr>
              <w:t>unit</w:t>
            </w:r>
            <w:r>
              <w:rPr>
                <w:spacing w:val="-6"/>
                <w:sz w:val="20"/>
              </w:rPr>
              <w:t> </w:t>
            </w:r>
            <w:r>
              <w:rPr>
                <w:spacing w:val="-2"/>
                <w:sz w:val="20"/>
              </w:rPr>
              <w:t>root.</w:t>
            </w:r>
          </w:p>
        </w:tc>
      </w:tr>
      <w:tr>
        <w:trPr>
          <w:trHeight w:val="459" w:hRule="atLeast"/>
        </w:trPr>
        <w:tc>
          <w:tcPr>
            <w:tcW w:w="6487" w:type="dxa"/>
            <w:gridSpan w:val="5"/>
          </w:tcPr>
          <w:p>
            <w:pPr>
              <w:pStyle w:val="TableParagraph"/>
              <w:spacing w:line="214" w:lineRule="exact" w:before="226"/>
              <w:ind w:left="36"/>
              <w:rPr>
                <w:sz w:val="20"/>
              </w:rPr>
            </w:pPr>
            <w:r>
              <w:rPr>
                <w:sz w:val="20"/>
              </w:rPr>
              <w:t>Augmented</w:t>
            </w:r>
            <w:r>
              <w:rPr>
                <w:spacing w:val="-8"/>
                <w:sz w:val="20"/>
              </w:rPr>
              <w:t> </w:t>
            </w:r>
            <w:r>
              <w:rPr>
                <w:sz w:val="20"/>
              </w:rPr>
              <w:t>Dickey-Fuller</w:t>
            </w:r>
            <w:r>
              <w:rPr>
                <w:spacing w:val="-8"/>
                <w:sz w:val="20"/>
              </w:rPr>
              <w:t> </w:t>
            </w:r>
            <w:r>
              <w:rPr>
                <w:sz w:val="20"/>
              </w:rPr>
              <w:t>Test</w:t>
            </w:r>
            <w:r>
              <w:rPr>
                <w:spacing w:val="-9"/>
                <w:sz w:val="20"/>
              </w:rPr>
              <w:t> </w:t>
            </w:r>
            <w:r>
              <w:rPr>
                <w:spacing w:val="-2"/>
                <w:sz w:val="20"/>
              </w:rPr>
              <w:t>Equation</w:t>
            </w:r>
          </w:p>
        </w:tc>
      </w:tr>
      <w:tr>
        <w:trPr>
          <w:trHeight w:val="229" w:hRule="atLeast"/>
        </w:trPr>
        <w:tc>
          <w:tcPr>
            <w:tcW w:w="6487" w:type="dxa"/>
            <w:gridSpan w:val="5"/>
          </w:tcPr>
          <w:p>
            <w:pPr>
              <w:pStyle w:val="TableParagraph"/>
              <w:spacing w:line="209" w:lineRule="exact"/>
              <w:ind w:left="36"/>
              <w:rPr>
                <w:sz w:val="20"/>
              </w:rPr>
            </w:pPr>
            <w:r>
              <w:rPr>
                <w:sz w:val="20"/>
              </w:rPr>
              <w:t>Dependent</w:t>
            </w:r>
            <w:r>
              <w:rPr>
                <w:spacing w:val="-7"/>
                <w:sz w:val="20"/>
              </w:rPr>
              <w:t> </w:t>
            </w:r>
            <w:r>
              <w:rPr>
                <w:sz w:val="20"/>
              </w:rPr>
              <w:t>Variable:</w:t>
            </w:r>
            <w:r>
              <w:rPr>
                <w:spacing w:val="-7"/>
                <w:sz w:val="20"/>
              </w:rPr>
              <w:t> </w:t>
            </w:r>
            <w:r>
              <w:rPr>
                <w:spacing w:val="-2"/>
                <w:sz w:val="20"/>
              </w:rPr>
              <w:t>D(INF)</w:t>
            </w:r>
          </w:p>
        </w:tc>
      </w:tr>
      <w:tr>
        <w:trPr>
          <w:trHeight w:val="230" w:hRule="atLeast"/>
        </w:trPr>
        <w:tc>
          <w:tcPr>
            <w:tcW w:w="6487" w:type="dxa"/>
            <w:gridSpan w:val="5"/>
          </w:tcPr>
          <w:p>
            <w:pPr>
              <w:pStyle w:val="TableParagraph"/>
              <w:spacing w:line="210" w:lineRule="exact"/>
              <w:ind w:left="36"/>
              <w:rPr>
                <w:sz w:val="20"/>
              </w:rPr>
            </w:pPr>
            <w:r>
              <w:rPr>
                <w:sz w:val="20"/>
              </w:rPr>
              <w:t>Method:</w:t>
            </w:r>
            <w:r>
              <w:rPr>
                <w:spacing w:val="-8"/>
                <w:sz w:val="20"/>
              </w:rPr>
              <w:t> </w:t>
            </w:r>
            <w:r>
              <w:rPr>
                <w:sz w:val="20"/>
              </w:rPr>
              <w:t>Least</w:t>
            </w:r>
            <w:r>
              <w:rPr>
                <w:spacing w:val="-7"/>
                <w:sz w:val="20"/>
              </w:rPr>
              <w:t> </w:t>
            </w:r>
            <w:r>
              <w:rPr>
                <w:spacing w:val="-2"/>
                <w:sz w:val="20"/>
              </w:rPr>
              <w:t>Squares</w:t>
            </w:r>
          </w:p>
        </w:tc>
      </w:tr>
      <w:tr>
        <w:trPr>
          <w:trHeight w:val="230" w:hRule="atLeast"/>
        </w:trPr>
        <w:tc>
          <w:tcPr>
            <w:tcW w:w="6487" w:type="dxa"/>
            <w:gridSpan w:val="5"/>
          </w:tcPr>
          <w:p>
            <w:pPr>
              <w:pStyle w:val="TableParagraph"/>
              <w:spacing w:line="210" w:lineRule="exact"/>
              <w:ind w:left="36"/>
              <w:rPr>
                <w:sz w:val="20"/>
              </w:rPr>
            </w:pPr>
            <w:r>
              <w:rPr>
                <w:sz w:val="20"/>
              </w:rPr>
              <w:t>Date:</w:t>
            </w:r>
            <w:r>
              <w:rPr>
                <w:spacing w:val="-5"/>
                <w:sz w:val="20"/>
              </w:rPr>
              <w:t> </w:t>
            </w:r>
            <w:r>
              <w:rPr>
                <w:sz w:val="20"/>
              </w:rPr>
              <w:t>02/18/14</w:t>
            </w:r>
            <w:r>
              <w:rPr>
                <w:spacing w:val="63"/>
                <w:w w:val="150"/>
                <w:sz w:val="20"/>
              </w:rPr>
              <w:t> </w:t>
            </w:r>
            <w:r>
              <w:rPr>
                <w:sz w:val="20"/>
              </w:rPr>
              <w:t>Time:</w:t>
            </w:r>
            <w:r>
              <w:rPr>
                <w:spacing w:val="-3"/>
                <w:sz w:val="20"/>
              </w:rPr>
              <w:t> </w:t>
            </w:r>
            <w:r>
              <w:rPr>
                <w:spacing w:val="-2"/>
                <w:sz w:val="20"/>
              </w:rPr>
              <w:t>09:17</w:t>
            </w:r>
          </w:p>
        </w:tc>
      </w:tr>
      <w:tr>
        <w:trPr>
          <w:trHeight w:val="230" w:hRule="atLeast"/>
        </w:trPr>
        <w:tc>
          <w:tcPr>
            <w:tcW w:w="6487" w:type="dxa"/>
            <w:gridSpan w:val="5"/>
          </w:tcPr>
          <w:p>
            <w:pPr>
              <w:pStyle w:val="TableParagraph"/>
              <w:spacing w:line="210" w:lineRule="exact"/>
              <w:ind w:left="36"/>
              <w:rPr>
                <w:sz w:val="20"/>
              </w:rPr>
            </w:pPr>
            <w:r>
              <w:rPr>
                <w:sz w:val="20"/>
              </w:rPr>
              <w:t>Sample(adjusted):</w:t>
            </w:r>
            <w:r>
              <w:rPr>
                <w:spacing w:val="-9"/>
                <w:sz w:val="20"/>
              </w:rPr>
              <w:t> </w:t>
            </w:r>
            <w:r>
              <w:rPr>
                <w:sz w:val="20"/>
              </w:rPr>
              <w:t>1972</w:t>
            </w:r>
            <w:r>
              <w:rPr>
                <w:spacing w:val="-9"/>
                <w:sz w:val="20"/>
              </w:rPr>
              <w:t> </w:t>
            </w:r>
            <w:r>
              <w:rPr>
                <w:spacing w:val="-4"/>
                <w:sz w:val="20"/>
              </w:rPr>
              <w:t>2011</w:t>
            </w:r>
          </w:p>
        </w:tc>
      </w:tr>
      <w:tr>
        <w:trPr>
          <w:trHeight w:val="224" w:hRule="atLeast"/>
        </w:trPr>
        <w:tc>
          <w:tcPr>
            <w:tcW w:w="6487" w:type="dxa"/>
            <w:gridSpan w:val="5"/>
            <w:tcBorders>
              <w:bottom w:val="double" w:sz="6" w:space="0" w:color="000000"/>
            </w:tcBorders>
          </w:tcPr>
          <w:p>
            <w:pPr>
              <w:pStyle w:val="TableParagraph"/>
              <w:spacing w:line="205" w:lineRule="exact"/>
              <w:ind w:left="36"/>
              <w:rPr>
                <w:sz w:val="20"/>
              </w:rPr>
            </w:pPr>
            <w:r>
              <w:rPr>
                <w:sz w:val="20"/>
              </w:rPr>
              <w:t>Included</w:t>
            </w:r>
            <w:r>
              <w:rPr>
                <w:spacing w:val="-6"/>
                <w:sz w:val="20"/>
              </w:rPr>
              <w:t> </w:t>
            </w:r>
            <w:r>
              <w:rPr>
                <w:sz w:val="20"/>
              </w:rPr>
              <w:t>observations:</w:t>
            </w:r>
            <w:r>
              <w:rPr>
                <w:spacing w:val="-8"/>
                <w:sz w:val="20"/>
              </w:rPr>
              <w:t> </w:t>
            </w:r>
            <w:r>
              <w:rPr>
                <w:sz w:val="20"/>
              </w:rPr>
              <w:t>40</w:t>
            </w:r>
            <w:r>
              <w:rPr>
                <w:spacing w:val="-5"/>
                <w:sz w:val="20"/>
              </w:rPr>
              <w:t> </w:t>
            </w:r>
            <w:r>
              <w:rPr>
                <w:sz w:val="20"/>
              </w:rPr>
              <w:t>after</w:t>
            </w:r>
            <w:r>
              <w:rPr>
                <w:spacing w:val="-7"/>
                <w:sz w:val="20"/>
              </w:rPr>
              <w:t> </w:t>
            </w:r>
            <w:r>
              <w:rPr>
                <w:sz w:val="20"/>
              </w:rPr>
              <w:t>adjusting</w:t>
            </w:r>
            <w:r>
              <w:rPr>
                <w:spacing w:val="-7"/>
                <w:sz w:val="20"/>
              </w:rPr>
              <w:t> </w:t>
            </w:r>
            <w:r>
              <w:rPr>
                <w:spacing w:val="-2"/>
                <w:sz w:val="20"/>
              </w:rPr>
              <w:t>endpoints</w:t>
            </w:r>
          </w:p>
        </w:tc>
      </w:tr>
      <w:tr>
        <w:trPr>
          <w:trHeight w:val="269" w:hRule="atLeast"/>
        </w:trPr>
        <w:tc>
          <w:tcPr>
            <w:tcW w:w="1847" w:type="dxa"/>
            <w:tcBorders>
              <w:top w:val="double" w:sz="6" w:space="0" w:color="000000"/>
              <w:bottom w:val="double" w:sz="6" w:space="0" w:color="000000"/>
            </w:tcBorders>
          </w:tcPr>
          <w:p>
            <w:pPr>
              <w:pStyle w:val="TableParagraph"/>
              <w:spacing w:line="209" w:lineRule="exact" w:before="40"/>
              <w:ind w:left="677"/>
              <w:rPr>
                <w:sz w:val="20"/>
              </w:rPr>
            </w:pPr>
            <w:r>
              <w:rPr>
                <w:spacing w:val="-2"/>
                <w:sz w:val="20"/>
              </w:rPr>
              <w:t>Variable</w:t>
            </w:r>
          </w:p>
        </w:tc>
        <w:tc>
          <w:tcPr>
            <w:tcW w:w="1375" w:type="dxa"/>
            <w:tcBorders>
              <w:top w:val="double" w:sz="6" w:space="0" w:color="000000"/>
              <w:bottom w:val="double" w:sz="6" w:space="0" w:color="000000"/>
            </w:tcBorders>
          </w:tcPr>
          <w:p>
            <w:pPr>
              <w:pStyle w:val="TableParagraph"/>
              <w:spacing w:line="209" w:lineRule="exact" w:before="40"/>
              <w:ind w:right="131"/>
              <w:jc w:val="right"/>
              <w:rPr>
                <w:sz w:val="20"/>
              </w:rPr>
            </w:pPr>
            <w:r>
              <w:rPr>
                <w:spacing w:val="-2"/>
                <w:sz w:val="20"/>
              </w:rPr>
              <w:t>Coefficient</w:t>
            </w:r>
          </w:p>
        </w:tc>
        <w:tc>
          <w:tcPr>
            <w:tcW w:w="1432" w:type="dxa"/>
            <w:tcBorders>
              <w:top w:val="double" w:sz="6" w:space="0" w:color="000000"/>
              <w:bottom w:val="double" w:sz="6" w:space="0" w:color="000000"/>
            </w:tcBorders>
          </w:tcPr>
          <w:p>
            <w:pPr>
              <w:pStyle w:val="TableParagraph"/>
              <w:spacing w:line="209" w:lineRule="exact" w:before="40"/>
              <w:ind w:left="273"/>
              <w:rPr>
                <w:sz w:val="20"/>
              </w:rPr>
            </w:pPr>
            <w:r>
              <w:rPr>
                <w:sz w:val="20"/>
              </w:rPr>
              <w:t>Std.</w:t>
            </w:r>
            <w:r>
              <w:rPr>
                <w:spacing w:val="-4"/>
                <w:sz w:val="20"/>
              </w:rPr>
              <w:t> </w:t>
            </w:r>
            <w:r>
              <w:rPr>
                <w:spacing w:val="-2"/>
                <w:sz w:val="20"/>
              </w:rPr>
              <w:t>Error</w:t>
            </w:r>
          </w:p>
        </w:tc>
        <w:tc>
          <w:tcPr>
            <w:tcW w:w="904" w:type="dxa"/>
            <w:tcBorders>
              <w:top w:val="double" w:sz="6" w:space="0" w:color="000000"/>
              <w:bottom w:val="double" w:sz="6" w:space="0" w:color="000000"/>
            </w:tcBorders>
          </w:tcPr>
          <w:p>
            <w:pPr>
              <w:pStyle w:val="TableParagraph"/>
              <w:spacing w:line="209" w:lineRule="exact" w:before="40"/>
              <w:ind w:right="22"/>
              <w:jc w:val="center"/>
              <w:rPr>
                <w:sz w:val="20"/>
              </w:rPr>
            </w:pPr>
            <w:r>
              <w:rPr>
                <w:spacing w:val="-4"/>
                <w:sz w:val="20"/>
              </w:rPr>
              <w:t>t-</w:t>
            </w:r>
            <w:r>
              <w:rPr>
                <w:spacing w:val="-2"/>
                <w:sz w:val="20"/>
              </w:rPr>
              <w:t>Statistic</w:t>
            </w:r>
          </w:p>
        </w:tc>
        <w:tc>
          <w:tcPr>
            <w:tcW w:w="929" w:type="dxa"/>
            <w:tcBorders>
              <w:top w:val="double" w:sz="6" w:space="0" w:color="000000"/>
              <w:bottom w:val="double" w:sz="6" w:space="0" w:color="000000"/>
            </w:tcBorders>
          </w:tcPr>
          <w:p>
            <w:pPr>
              <w:pStyle w:val="TableParagraph"/>
              <w:spacing w:line="209" w:lineRule="exact" w:before="40"/>
              <w:ind w:right="28"/>
              <w:jc w:val="right"/>
              <w:rPr>
                <w:sz w:val="20"/>
              </w:rPr>
            </w:pPr>
            <w:r>
              <w:rPr>
                <w:spacing w:val="-2"/>
                <w:sz w:val="20"/>
              </w:rPr>
              <w:t>Prob.</w:t>
            </w:r>
          </w:p>
        </w:tc>
      </w:tr>
      <w:tr>
        <w:trPr>
          <w:trHeight w:val="275" w:hRule="atLeast"/>
        </w:trPr>
        <w:tc>
          <w:tcPr>
            <w:tcW w:w="1847" w:type="dxa"/>
            <w:tcBorders>
              <w:top w:val="double" w:sz="6" w:space="0" w:color="000000"/>
            </w:tcBorders>
          </w:tcPr>
          <w:p>
            <w:pPr>
              <w:pStyle w:val="TableParagraph"/>
              <w:spacing w:line="215" w:lineRule="exact" w:before="40"/>
              <w:ind w:left="710"/>
              <w:rPr>
                <w:sz w:val="20"/>
              </w:rPr>
            </w:pPr>
            <w:r>
              <w:rPr>
                <w:spacing w:val="-2"/>
                <w:sz w:val="20"/>
              </w:rPr>
              <w:t>INF(-</w:t>
            </w:r>
            <w:r>
              <w:rPr>
                <w:spacing w:val="-5"/>
                <w:sz w:val="20"/>
              </w:rPr>
              <w:t>1)</w:t>
            </w:r>
          </w:p>
        </w:tc>
        <w:tc>
          <w:tcPr>
            <w:tcW w:w="1375" w:type="dxa"/>
            <w:tcBorders>
              <w:top w:val="double" w:sz="6" w:space="0" w:color="000000"/>
            </w:tcBorders>
          </w:tcPr>
          <w:p>
            <w:pPr>
              <w:pStyle w:val="TableParagraph"/>
              <w:spacing w:line="215" w:lineRule="exact" w:before="40"/>
              <w:ind w:right="128"/>
              <w:jc w:val="right"/>
              <w:rPr>
                <w:sz w:val="20"/>
              </w:rPr>
            </w:pPr>
            <w:r>
              <w:rPr>
                <w:spacing w:val="-4"/>
                <w:sz w:val="20"/>
              </w:rPr>
              <w:t>-</w:t>
            </w:r>
            <w:r>
              <w:rPr>
                <w:spacing w:val="-2"/>
                <w:sz w:val="20"/>
              </w:rPr>
              <w:t>0.717441</w:t>
            </w:r>
          </w:p>
        </w:tc>
        <w:tc>
          <w:tcPr>
            <w:tcW w:w="1432" w:type="dxa"/>
            <w:tcBorders>
              <w:top w:val="double" w:sz="6" w:space="0" w:color="000000"/>
            </w:tcBorders>
          </w:tcPr>
          <w:p>
            <w:pPr>
              <w:pStyle w:val="TableParagraph"/>
              <w:spacing w:line="215" w:lineRule="exact" w:before="40"/>
              <w:ind w:left="311"/>
              <w:rPr>
                <w:sz w:val="20"/>
              </w:rPr>
            </w:pPr>
            <w:r>
              <w:rPr>
                <w:spacing w:val="-2"/>
                <w:sz w:val="20"/>
              </w:rPr>
              <w:t>0.165209</w:t>
            </w:r>
          </w:p>
        </w:tc>
        <w:tc>
          <w:tcPr>
            <w:tcW w:w="904" w:type="dxa"/>
            <w:tcBorders>
              <w:top w:val="double" w:sz="6" w:space="0" w:color="000000"/>
            </w:tcBorders>
          </w:tcPr>
          <w:p>
            <w:pPr>
              <w:pStyle w:val="TableParagraph"/>
              <w:spacing w:line="215" w:lineRule="exact" w:before="40"/>
              <w:ind w:right="70"/>
              <w:jc w:val="center"/>
              <w:rPr>
                <w:sz w:val="20"/>
              </w:rPr>
            </w:pPr>
            <w:r>
              <w:rPr>
                <w:spacing w:val="-4"/>
                <w:sz w:val="20"/>
              </w:rPr>
              <w:t>-</w:t>
            </w:r>
            <w:r>
              <w:rPr>
                <w:spacing w:val="-2"/>
                <w:sz w:val="20"/>
              </w:rPr>
              <w:t>4.342622</w:t>
            </w:r>
          </w:p>
        </w:tc>
        <w:tc>
          <w:tcPr>
            <w:tcW w:w="929" w:type="dxa"/>
            <w:tcBorders>
              <w:top w:val="double" w:sz="6" w:space="0" w:color="000000"/>
            </w:tcBorders>
          </w:tcPr>
          <w:p>
            <w:pPr>
              <w:pStyle w:val="TableParagraph"/>
              <w:spacing w:line="215" w:lineRule="exact" w:before="40"/>
              <w:ind w:right="27"/>
              <w:jc w:val="right"/>
              <w:rPr>
                <w:sz w:val="20"/>
              </w:rPr>
            </w:pPr>
            <w:r>
              <w:rPr>
                <w:spacing w:val="-2"/>
                <w:sz w:val="20"/>
              </w:rPr>
              <w:t>0.0001</w:t>
            </w:r>
          </w:p>
        </w:tc>
      </w:tr>
      <w:tr>
        <w:trPr>
          <w:trHeight w:val="230" w:hRule="atLeast"/>
        </w:trPr>
        <w:tc>
          <w:tcPr>
            <w:tcW w:w="1847" w:type="dxa"/>
          </w:tcPr>
          <w:p>
            <w:pPr>
              <w:pStyle w:val="TableParagraph"/>
              <w:spacing w:line="210" w:lineRule="exact"/>
              <w:ind w:left="571"/>
              <w:rPr>
                <w:sz w:val="20"/>
              </w:rPr>
            </w:pPr>
            <w:r>
              <w:rPr>
                <w:spacing w:val="-2"/>
                <w:sz w:val="20"/>
              </w:rPr>
              <w:t>D(INF(-</w:t>
            </w:r>
            <w:r>
              <w:rPr>
                <w:spacing w:val="-5"/>
                <w:sz w:val="20"/>
              </w:rPr>
              <w:t>1))</w:t>
            </w:r>
          </w:p>
        </w:tc>
        <w:tc>
          <w:tcPr>
            <w:tcW w:w="1375" w:type="dxa"/>
          </w:tcPr>
          <w:p>
            <w:pPr>
              <w:pStyle w:val="TableParagraph"/>
              <w:spacing w:line="210" w:lineRule="exact"/>
              <w:ind w:right="128"/>
              <w:jc w:val="right"/>
              <w:rPr>
                <w:sz w:val="20"/>
              </w:rPr>
            </w:pPr>
            <w:r>
              <w:rPr>
                <w:spacing w:val="-2"/>
                <w:sz w:val="20"/>
              </w:rPr>
              <w:t>0.300114</w:t>
            </w:r>
          </w:p>
        </w:tc>
        <w:tc>
          <w:tcPr>
            <w:tcW w:w="1432" w:type="dxa"/>
          </w:tcPr>
          <w:p>
            <w:pPr>
              <w:pStyle w:val="TableParagraph"/>
              <w:spacing w:line="210" w:lineRule="exact"/>
              <w:ind w:left="311"/>
              <w:rPr>
                <w:sz w:val="20"/>
              </w:rPr>
            </w:pPr>
            <w:r>
              <w:rPr>
                <w:spacing w:val="-2"/>
                <w:sz w:val="20"/>
              </w:rPr>
              <w:t>0.157124</w:t>
            </w:r>
          </w:p>
        </w:tc>
        <w:tc>
          <w:tcPr>
            <w:tcW w:w="904" w:type="dxa"/>
          </w:tcPr>
          <w:p>
            <w:pPr>
              <w:pStyle w:val="TableParagraph"/>
              <w:spacing w:line="210" w:lineRule="exact"/>
              <w:ind w:right="5"/>
              <w:jc w:val="center"/>
              <w:rPr>
                <w:sz w:val="20"/>
              </w:rPr>
            </w:pPr>
            <w:r>
              <w:rPr>
                <w:spacing w:val="-2"/>
                <w:sz w:val="20"/>
              </w:rPr>
              <w:t>1.910050</w:t>
            </w:r>
          </w:p>
        </w:tc>
        <w:tc>
          <w:tcPr>
            <w:tcW w:w="929" w:type="dxa"/>
          </w:tcPr>
          <w:p>
            <w:pPr>
              <w:pStyle w:val="TableParagraph"/>
              <w:spacing w:line="210" w:lineRule="exact"/>
              <w:ind w:right="27"/>
              <w:jc w:val="right"/>
              <w:rPr>
                <w:sz w:val="20"/>
              </w:rPr>
            </w:pPr>
            <w:r>
              <w:rPr>
                <w:spacing w:val="-2"/>
                <w:sz w:val="20"/>
              </w:rPr>
              <w:t>0.0639</w:t>
            </w:r>
          </w:p>
        </w:tc>
      </w:tr>
      <w:tr>
        <w:trPr>
          <w:trHeight w:val="224" w:hRule="atLeast"/>
        </w:trPr>
        <w:tc>
          <w:tcPr>
            <w:tcW w:w="1847" w:type="dxa"/>
            <w:tcBorders>
              <w:bottom w:val="double" w:sz="6" w:space="0" w:color="000000"/>
            </w:tcBorders>
          </w:tcPr>
          <w:p>
            <w:pPr>
              <w:pStyle w:val="TableParagraph"/>
              <w:spacing w:line="205" w:lineRule="exact"/>
              <w:ind w:left="197"/>
              <w:jc w:val="center"/>
              <w:rPr>
                <w:sz w:val="20"/>
              </w:rPr>
            </w:pPr>
            <w:r>
              <w:rPr>
                <w:spacing w:val="-10"/>
                <w:sz w:val="20"/>
              </w:rPr>
              <w:t>C</w:t>
            </w:r>
          </w:p>
        </w:tc>
        <w:tc>
          <w:tcPr>
            <w:tcW w:w="1375" w:type="dxa"/>
            <w:tcBorders>
              <w:bottom w:val="double" w:sz="6" w:space="0" w:color="000000"/>
            </w:tcBorders>
          </w:tcPr>
          <w:p>
            <w:pPr>
              <w:pStyle w:val="TableParagraph"/>
              <w:spacing w:line="205" w:lineRule="exact"/>
              <w:ind w:right="128"/>
              <w:jc w:val="right"/>
              <w:rPr>
                <w:sz w:val="20"/>
              </w:rPr>
            </w:pPr>
            <w:r>
              <w:rPr>
                <w:spacing w:val="-2"/>
                <w:sz w:val="20"/>
              </w:rPr>
              <w:t>1.919745</w:t>
            </w:r>
          </w:p>
        </w:tc>
        <w:tc>
          <w:tcPr>
            <w:tcW w:w="1432" w:type="dxa"/>
            <w:tcBorders>
              <w:bottom w:val="double" w:sz="6" w:space="0" w:color="000000"/>
            </w:tcBorders>
          </w:tcPr>
          <w:p>
            <w:pPr>
              <w:pStyle w:val="TableParagraph"/>
              <w:spacing w:line="205" w:lineRule="exact"/>
              <w:ind w:left="311"/>
              <w:rPr>
                <w:sz w:val="20"/>
              </w:rPr>
            </w:pPr>
            <w:r>
              <w:rPr>
                <w:spacing w:val="-2"/>
                <w:sz w:val="20"/>
              </w:rPr>
              <w:t>0.456300</w:t>
            </w:r>
          </w:p>
        </w:tc>
        <w:tc>
          <w:tcPr>
            <w:tcW w:w="904" w:type="dxa"/>
            <w:tcBorders>
              <w:bottom w:val="double" w:sz="6" w:space="0" w:color="000000"/>
            </w:tcBorders>
          </w:tcPr>
          <w:p>
            <w:pPr>
              <w:pStyle w:val="TableParagraph"/>
              <w:spacing w:line="205" w:lineRule="exact"/>
              <w:ind w:right="5"/>
              <w:jc w:val="center"/>
              <w:rPr>
                <w:sz w:val="20"/>
              </w:rPr>
            </w:pPr>
            <w:r>
              <w:rPr>
                <w:spacing w:val="-2"/>
                <w:sz w:val="20"/>
              </w:rPr>
              <w:t>4.207203</w:t>
            </w:r>
          </w:p>
        </w:tc>
        <w:tc>
          <w:tcPr>
            <w:tcW w:w="929" w:type="dxa"/>
            <w:tcBorders>
              <w:bottom w:val="double" w:sz="6" w:space="0" w:color="000000"/>
            </w:tcBorders>
          </w:tcPr>
          <w:p>
            <w:pPr>
              <w:pStyle w:val="TableParagraph"/>
              <w:spacing w:line="205" w:lineRule="exact"/>
              <w:ind w:right="27"/>
              <w:jc w:val="right"/>
              <w:rPr>
                <w:sz w:val="20"/>
              </w:rPr>
            </w:pPr>
            <w:r>
              <w:rPr>
                <w:spacing w:val="-2"/>
                <w:sz w:val="20"/>
              </w:rPr>
              <w:t>0.0002</w:t>
            </w:r>
          </w:p>
        </w:tc>
      </w:tr>
      <w:tr>
        <w:trPr>
          <w:trHeight w:val="275" w:hRule="atLeast"/>
        </w:trPr>
        <w:tc>
          <w:tcPr>
            <w:tcW w:w="1847" w:type="dxa"/>
            <w:tcBorders>
              <w:top w:val="double" w:sz="6" w:space="0" w:color="000000"/>
            </w:tcBorders>
          </w:tcPr>
          <w:p>
            <w:pPr>
              <w:pStyle w:val="TableParagraph"/>
              <w:spacing w:line="215" w:lineRule="exact" w:before="40"/>
              <w:ind w:left="36"/>
              <w:rPr>
                <w:sz w:val="20"/>
              </w:rPr>
            </w:pPr>
            <w:r>
              <w:rPr>
                <w:spacing w:val="-2"/>
                <w:sz w:val="20"/>
              </w:rPr>
              <w:t>R-squared</w:t>
            </w:r>
          </w:p>
        </w:tc>
        <w:tc>
          <w:tcPr>
            <w:tcW w:w="1375" w:type="dxa"/>
            <w:tcBorders>
              <w:top w:val="double" w:sz="6" w:space="0" w:color="000000"/>
            </w:tcBorders>
          </w:tcPr>
          <w:p>
            <w:pPr>
              <w:pStyle w:val="TableParagraph"/>
              <w:spacing w:line="215" w:lineRule="exact" w:before="40"/>
              <w:ind w:right="128"/>
              <w:jc w:val="right"/>
              <w:rPr>
                <w:sz w:val="20"/>
              </w:rPr>
            </w:pPr>
            <w:r>
              <w:rPr>
                <w:spacing w:val="-2"/>
                <w:sz w:val="20"/>
              </w:rPr>
              <w:t>0.339884</w:t>
            </w:r>
          </w:p>
        </w:tc>
        <w:tc>
          <w:tcPr>
            <w:tcW w:w="2336" w:type="dxa"/>
            <w:gridSpan w:val="2"/>
            <w:tcBorders>
              <w:top w:val="double" w:sz="6" w:space="0" w:color="000000"/>
            </w:tcBorders>
          </w:tcPr>
          <w:p>
            <w:pPr>
              <w:pStyle w:val="TableParagraph"/>
              <w:spacing w:line="215" w:lineRule="exact" w:before="40"/>
              <w:ind w:left="131"/>
              <w:rPr>
                <w:sz w:val="20"/>
              </w:rPr>
            </w:pPr>
            <w:r>
              <w:rPr>
                <w:sz w:val="20"/>
              </w:rPr>
              <w:t>Mean</w:t>
            </w:r>
            <w:r>
              <w:rPr>
                <w:spacing w:val="-7"/>
                <w:sz w:val="20"/>
              </w:rPr>
              <w:t> </w:t>
            </w:r>
            <w:r>
              <w:rPr>
                <w:sz w:val="20"/>
              </w:rPr>
              <w:t>dependent</w:t>
            </w:r>
            <w:r>
              <w:rPr>
                <w:spacing w:val="-7"/>
                <w:sz w:val="20"/>
              </w:rPr>
              <w:t> </w:t>
            </w:r>
            <w:r>
              <w:rPr>
                <w:spacing w:val="-5"/>
                <w:sz w:val="20"/>
              </w:rPr>
              <w:t>var</w:t>
            </w:r>
          </w:p>
        </w:tc>
        <w:tc>
          <w:tcPr>
            <w:tcW w:w="929" w:type="dxa"/>
            <w:tcBorders>
              <w:top w:val="double" w:sz="6" w:space="0" w:color="000000"/>
            </w:tcBorders>
          </w:tcPr>
          <w:p>
            <w:pPr>
              <w:pStyle w:val="TableParagraph"/>
              <w:spacing w:line="215" w:lineRule="exact" w:before="40"/>
              <w:ind w:right="27"/>
              <w:jc w:val="right"/>
              <w:rPr>
                <w:sz w:val="20"/>
              </w:rPr>
            </w:pPr>
            <w:r>
              <w:rPr>
                <w:spacing w:val="-4"/>
                <w:sz w:val="20"/>
              </w:rPr>
              <w:t>-</w:t>
            </w:r>
            <w:r>
              <w:rPr>
                <w:spacing w:val="-2"/>
                <w:sz w:val="20"/>
              </w:rPr>
              <w:t>0.009826</w:t>
            </w:r>
          </w:p>
        </w:tc>
      </w:tr>
      <w:tr>
        <w:trPr>
          <w:trHeight w:val="230" w:hRule="atLeast"/>
        </w:trPr>
        <w:tc>
          <w:tcPr>
            <w:tcW w:w="1847" w:type="dxa"/>
          </w:tcPr>
          <w:p>
            <w:pPr>
              <w:pStyle w:val="TableParagraph"/>
              <w:spacing w:line="211" w:lineRule="exact"/>
              <w:ind w:left="36"/>
              <w:rPr>
                <w:sz w:val="20"/>
              </w:rPr>
            </w:pPr>
            <w:r>
              <w:rPr>
                <w:sz w:val="20"/>
              </w:rPr>
              <w:t>Adjusted</w:t>
            </w:r>
            <w:r>
              <w:rPr>
                <w:spacing w:val="-10"/>
                <w:sz w:val="20"/>
              </w:rPr>
              <w:t> </w:t>
            </w:r>
            <w:r>
              <w:rPr>
                <w:sz w:val="20"/>
              </w:rPr>
              <w:t>R-</w:t>
            </w:r>
            <w:r>
              <w:rPr>
                <w:spacing w:val="-2"/>
                <w:sz w:val="20"/>
              </w:rPr>
              <w:t>squared</w:t>
            </w:r>
          </w:p>
        </w:tc>
        <w:tc>
          <w:tcPr>
            <w:tcW w:w="1375" w:type="dxa"/>
          </w:tcPr>
          <w:p>
            <w:pPr>
              <w:pStyle w:val="TableParagraph"/>
              <w:spacing w:line="211" w:lineRule="exact"/>
              <w:ind w:right="128"/>
              <w:jc w:val="right"/>
              <w:rPr>
                <w:sz w:val="20"/>
              </w:rPr>
            </w:pPr>
            <w:r>
              <w:rPr>
                <w:spacing w:val="-2"/>
                <w:sz w:val="20"/>
              </w:rPr>
              <w:t>0.304202</w:t>
            </w:r>
          </w:p>
        </w:tc>
        <w:tc>
          <w:tcPr>
            <w:tcW w:w="2336" w:type="dxa"/>
            <w:gridSpan w:val="2"/>
          </w:tcPr>
          <w:p>
            <w:pPr>
              <w:pStyle w:val="TableParagraph"/>
              <w:spacing w:line="211" w:lineRule="exact"/>
              <w:ind w:left="131"/>
              <w:rPr>
                <w:sz w:val="20"/>
              </w:rPr>
            </w:pPr>
            <w:r>
              <w:rPr>
                <w:sz w:val="20"/>
              </w:rPr>
              <w:t>S.D.</w:t>
            </w:r>
            <w:r>
              <w:rPr>
                <w:spacing w:val="-5"/>
                <w:sz w:val="20"/>
              </w:rPr>
              <w:t> </w:t>
            </w:r>
            <w:r>
              <w:rPr>
                <w:sz w:val="20"/>
              </w:rPr>
              <w:t>dependent</w:t>
            </w:r>
            <w:r>
              <w:rPr>
                <w:spacing w:val="-6"/>
                <w:sz w:val="20"/>
              </w:rPr>
              <w:t> </w:t>
            </w:r>
            <w:r>
              <w:rPr>
                <w:spacing w:val="-5"/>
                <w:sz w:val="20"/>
              </w:rPr>
              <w:t>var</w:t>
            </w:r>
          </w:p>
        </w:tc>
        <w:tc>
          <w:tcPr>
            <w:tcW w:w="929" w:type="dxa"/>
          </w:tcPr>
          <w:p>
            <w:pPr>
              <w:pStyle w:val="TableParagraph"/>
              <w:spacing w:line="211" w:lineRule="exact"/>
              <w:ind w:right="27"/>
              <w:jc w:val="right"/>
              <w:rPr>
                <w:sz w:val="20"/>
              </w:rPr>
            </w:pPr>
            <w:r>
              <w:rPr>
                <w:spacing w:val="-2"/>
                <w:sz w:val="20"/>
              </w:rPr>
              <w:t>0.787047</w:t>
            </w:r>
          </w:p>
        </w:tc>
      </w:tr>
      <w:tr>
        <w:trPr>
          <w:trHeight w:val="230" w:hRule="atLeast"/>
        </w:trPr>
        <w:tc>
          <w:tcPr>
            <w:tcW w:w="1847" w:type="dxa"/>
          </w:tcPr>
          <w:p>
            <w:pPr>
              <w:pStyle w:val="TableParagraph"/>
              <w:spacing w:line="210" w:lineRule="exact"/>
              <w:ind w:left="36"/>
              <w:rPr>
                <w:sz w:val="20"/>
              </w:rPr>
            </w:pPr>
            <w:r>
              <w:rPr>
                <w:sz w:val="20"/>
              </w:rPr>
              <w:t>S.E.</w:t>
            </w:r>
            <w:r>
              <w:rPr>
                <w:spacing w:val="-3"/>
                <w:sz w:val="20"/>
              </w:rPr>
              <w:t> </w:t>
            </w:r>
            <w:r>
              <w:rPr>
                <w:sz w:val="20"/>
              </w:rPr>
              <w:t>of</w:t>
            </w:r>
            <w:r>
              <w:rPr>
                <w:spacing w:val="-3"/>
                <w:sz w:val="20"/>
              </w:rPr>
              <w:t> </w:t>
            </w:r>
            <w:r>
              <w:rPr>
                <w:spacing w:val="-2"/>
                <w:sz w:val="20"/>
              </w:rPr>
              <w:t>regression</w:t>
            </w:r>
          </w:p>
        </w:tc>
        <w:tc>
          <w:tcPr>
            <w:tcW w:w="1375" w:type="dxa"/>
          </w:tcPr>
          <w:p>
            <w:pPr>
              <w:pStyle w:val="TableParagraph"/>
              <w:spacing w:line="210" w:lineRule="exact"/>
              <w:ind w:right="128"/>
              <w:jc w:val="right"/>
              <w:rPr>
                <w:sz w:val="20"/>
              </w:rPr>
            </w:pPr>
            <w:r>
              <w:rPr>
                <w:spacing w:val="-2"/>
                <w:sz w:val="20"/>
              </w:rPr>
              <w:t>0.656511</w:t>
            </w:r>
          </w:p>
        </w:tc>
        <w:tc>
          <w:tcPr>
            <w:tcW w:w="2336" w:type="dxa"/>
            <w:gridSpan w:val="2"/>
          </w:tcPr>
          <w:p>
            <w:pPr>
              <w:pStyle w:val="TableParagraph"/>
              <w:spacing w:line="210" w:lineRule="exact"/>
              <w:ind w:left="131"/>
              <w:rPr>
                <w:sz w:val="20"/>
              </w:rPr>
            </w:pPr>
            <w:r>
              <w:rPr>
                <w:sz w:val="20"/>
              </w:rPr>
              <w:t>Akaike</w:t>
            </w:r>
            <w:r>
              <w:rPr>
                <w:spacing w:val="-8"/>
                <w:sz w:val="20"/>
              </w:rPr>
              <w:t> </w:t>
            </w:r>
            <w:r>
              <w:rPr>
                <w:sz w:val="20"/>
              </w:rPr>
              <w:t>info</w:t>
            </w:r>
            <w:r>
              <w:rPr>
                <w:spacing w:val="-7"/>
                <w:sz w:val="20"/>
              </w:rPr>
              <w:t> </w:t>
            </w:r>
            <w:r>
              <w:rPr>
                <w:spacing w:val="-2"/>
                <w:sz w:val="20"/>
              </w:rPr>
              <w:t>criterion</w:t>
            </w:r>
          </w:p>
        </w:tc>
        <w:tc>
          <w:tcPr>
            <w:tcW w:w="929" w:type="dxa"/>
          </w:tcPr>
          <w:p>
            <w:pPr>
              <w:pStyle w:val="TableParagraph"/>
              <w:spacing w:line="210" w:lineRule="exact"/>
              <w:ind w:right="27"/>
              <w:jc w:val="right"/>
              <w:rPr>
                <w:sz w:val="20"/>
              </w:rPr>
            </w:pPr>
            <w:r>
              <w:rPr>
                <w:spacing w:val="-2"/>
                <w:sz w:val="20"/>
              </w:rPr>
              <w:t>2.068285</w:t>
            </w:r>
          </w:p>
        </w:tc>
      </w:tr>
      <w:tr>
        <w:trPr>
          <w:trHeight w:val="229" w:hRule="atLeast"/>
        </w:trPr>
        <w:tc>
          <w:tcPr>
            <w:tcW w:w="1847" w:type="dxa"/>
          </w:tcPr>
          <w:p>
            <w:pPr>
              <w:pStyle w:val="TableParagraph"/>
              <w:spacing w:line="209" w:lineRule="exact"/>
              <w:ind w:left="36"/>
              <w:rPr>
                <w:sz w:val="20"/>
              </w:rPr>
            </w:pPr>
            <w:r>
              <w:rPr>
                <w:sz w:val="20"/>
              </w:rPr>
              <w:t>Sum</w:t>
            </w:r>
            <w:r>
              <w:rPr>
                <w:spacing w:val="-8"/>
                <w:sz w:val="20"/>
              </w:rPr>
              <w:t> </w:t>
            </w:r>
            <w:r>
              <w:rPr>
                <w:sz w:val="20"/>
              </w:rPr>
              <w:t>squared</w:t>
            </w:r>
            <w:r>
              <w:rPr>
                <w:spacing w:val="-4"/>
                <w:sz w:val="20"/>
              </w:rPr>
              <w:t> </w:t>
            </w:r>
            <w:r>
              <w:rPr>
                <w:spacing w:val="-2"/>
                <w:sz w:val="20"/>
              </w:rPr>
              <w:t>resid</w:t>
            </w:r>
          </w:p>
        </w:tc>
        <w:tc>
          <w:tcPr>
            <w:tcW w:w="1375" w:type="dxa"/>
          </w:tcPr>
          <w:p>
            <w:pPr>
              <w:pStyle w:val="TableParagraph"/>
              <w:spacing w:line="209" w:lineRule="exact"/>
              <w:ind w:right="128"/>
              <w:jc w:val="right"/>
              <w:rPr>
                <w:sz w:val="20"/>
              </w:rPr>
            </w:pPr>
            <w:r>
              <w:rPr>
                <w:spacing w:val="-2"/>
                <w:sz w:val="20"/>
              </w:rPr>
              <w:t>15.94726</w:t>
            </w:r>
          </w:p>
        </w:tc>
        <w:tc>
          <w:tcPr>
            <w:tcW w:w="2336" w:type="dxa"/>
            <w:gridSpan w:val="2"/>
          </w:tcPr>
          <w:p>
            <w:pPr>
              <w:pStyle w:val="TableParagraph"/>
              <w:spacing w:line="209" w:lineRule="exact"/>
              <w:ind w:left="131"/>
              <w:rPr>
                <w:sz w:val="20"/>
              </w:rPr>
            </w:pPr>
            <w:r>
              <w:rPr>
                <w:sz w:val="20"/>
              </w:rPr>
              <w:t>Schwarz</w:t>
            </w:r>
            <w:r>
              <w:rPr>
                <w:spacing w:val="-8"/>
                <w:sz w:val="20"/>
              </w:rPr>
              <w:t> </w:t>
            </w:r>
            <w:r>
              <w:rPr>
                <w:spacing w:val="-2"/>
                <w:sz w:val="20"/>
              </w:rPr>
              <w:t>criterion</w:t>
            </w:r>
          </w:p>
        </w:tc>
        <w:tc>
          <w:tcPr>
            <w:tcW w:w="929" w:type="dxa"/>
          </w:tcPr>
          <w:p>
            <w:pPr>
              <w:pStyle w:val="TableParagraph"/>
              <w:spacing w:line="209" w:lineRule="exact"/>
              <w:ind w:right="27"/>
              <w:jc w:val="right"/>
              <w:rPr>
                <w:sz w:val="20"/>
              </w:rPr>
            </w:pPr>
            <w:r>
              <w:rPr>
                <w:spacing w:val="-2"/>
                <w:sz w:val="20"/>
              </w:rPr>
              <w:t>2.194951</w:t>
            </w:r>
          </w:p>
        </w:tc>
      </w:tr>
      <w:tr>
        <w:trPr>
          <w:trHeight w:val="229" w:hRule="atLeast"/>
        </w:trPr>
        <w:tc>
          <w:tcPr>
            <w:tcW w:w="1847" w:type="dxa"/>
          </w:tcPr>
          <w:p>
            <w:pPr>
              <w:pStyle w:val="TableParagraph"/>
              <w:spacing w:line="209" w:lineRule="exact"/>
              <w:ind w:left="36"/>
              <w:rPr>
                <w:sz w:val="20"/>
              </w:rPr>
            </w:pPr>
            <w:r>
              <w:rPr>
                <w:sz w:val="20"/>
              </w:rPr>
              <w:t>Log</w:t>
            </w:r>
            <w:r>
              <w:rPr>
                <w:spacing w:val="-6"/>
                <w:sz w:val="20"/>
              </w:rPr>
              <w:t> </w:t>
            </w:r>
            <w:r>
              <w:rPr>
                <w:spacing w:val="-2"/>
                <w:sz w:val="20"/>
              </w:rPr>
              <w:t>likelihood</w:t>
            </w:r>
          </w:p>
        </w:tc>
        <w:tc>
          <w:tcPr>
            <w:tcW w:w="1375" w:type="dxa"/>
          </w:tcPr>
          <w:p>
            <w:pPr>
              <w:pStyle w:val="TableParagraph"/>
              <w:spacing w:line="209" w:lineRule="exact"/>
              <w:ind w:right="128"/>
              <w:jc w:val="right"/>
              <w:rPr>
                <w:sz w:val="20"/>
              </w:rPr>
            </w:pPr>
            <w:r>
              <w:rPr>
                <w:spacing w:val="-4"/>
                <w:sz w:val="20"/>
              </w:rPr>
              <w:t>-</w:t>
            </w:r>
            <w:r>
              <w:rPr>
                <w:spacing w:val="-2"/>
                <w:sz w:val="20"/>
              </w:rPr>
              <w:t>38.36570</w:t>
            </w:r>
          </w:p>
        </w:tc>
        <w:tc>
          <w:tcPr>
            <w:tcW w:w="1432" w:type="dxa"/>
          </w:tcPr>
          <w:p>
            <w:pPr>
              <w:pStyle w:val="TableParagraph"/>
              <w:spacing w:line="209" w:lineRule="exact"/>
              <w:ind w:left="131"/>
              <w:rPr>
                <w:sz w:val="20"/>
              </w:rPr>
            </w:pPr>
            <w:r>
              <w:rPr>
                <w:spacing w:val="-4"/>
                <w:sz w:val="20"/>
              </w:rPr>
              <w:t>F-</w:t>
            </w:r>
            <w:r>
              <w:rPr>
                <w:spacing w:val="-2"/>
                <w:sz w:val="20"/>
              </w:rPr>
              <w:t>statistic</w:t>
            </w:r>
          </w:p>
        </w:tc>
        <w:tc>
          <w:tcPr>
            <w:tcW w:w="904" w:type="dxa"/>
          </w:tcPr>
          <w:p>
            <w:pPr>
              <w:pStyle w:val="TableParagraph"/>
              <w:rPr>
                <w:sz w:val="16"/>
              </w:rPr>
            </w:pPr>
          </w:p>
        </w:tc>
        <w:tc>
          <w:tcPr>
            <w:tcW w:w="929" w:type="dxa"/>
          </w:tcPr>
          <w:p>
            <w:pPr>
              <w:pStyle w:val="TableParagraph"/>
              <w:spacing w:line="209" w:lineRule="exact"/>
              <w:ind w:right="27"/>
              <w:jc w:val="right"/>
              <w:rPr>
                <w:sz w:val="20"/>
              </w:rPr>
            </w:pPr>
            <w:r>
              <w:rPr>
                <w:spacing w:val="-2"/>
                <w:sz w:val="20"/>
              </w:rPr>
              <w:t>9.525368</w:t>
            </w:r>
          </w:p>
        </w:tc>
      </w:tr>
      <w:tr>
        <w:trPr>
          <w:trHeight w:val="267" w:hRule="atLeast"/>
        </w:trPr>
        <w:tc>
          <w:tcPr>
            <w:tcW w:w="1847" w:type="dxa"/>
            <w:tcBorders>
              <w:bottom w:val="double" w:sz="6" w:space="0" w:color="000000"/>
            </w:tcBorders>
          </w:tcPr>
          <w:p>
            <w:pPr>
              <w:pStyle w:val="TableParagraph"/>
              <w:spacing w:line="226" w:lineRule="exact"/>
              <w:ind w:left="36"/>
              <w:rPr>
                <w:sz w:val="20"/>
              </w:rPr>
            </w:pPr>
            <w:r>
              <w:rPr>
                <w:sz w:val="20"/>
              </w:rPr>
              <w:t>Durbin-Watson</w:t>
            </w:r>
            <w:r>
              <w:rPr>
                <w:spacing w:val="-12"/>
                <w:sz w:val="20"/>
              </w:rPr>
              <w:t> </w:t>
            </w:r>
            <w:r>
              <w:rPr>
                <w:spacing w:val="-4"/>
                <w:sz w:val="20"/>
              </w:rPr>
              <w:t>stat</w:t>
            </w:r>
          </w:p>
        </w:tc>
        <w:tc>
          <w:tcPr>
            <w:tcW w:w="1375" w:type="dxa"/>
          </w:tcPr>
          <w:p>
            <w:pPr>
              <w:pStyle w:val="TableParagraph"/>
              <w:spacing w:line="226" w:lineRule="exact"/>
              <w:ind w:right="128"/>
              <w:jc w:val="right"/>
              <w:rPr>
                <w:sz w:val="20"/>
              </w:rPr>
            </w:pPr>
            <w:r>
              <w:rPr>
                <w:spacing w:val="-2"/>
                <w:sz w:val="20"/>
              </w:rPr>
              <w:t>1.747053</w:t>
            </w:r>
          </w:p>
        </w:tc>
        <w:tc>
          <w:tcPr>
            <w:tcW w:w="1432" w:type="dxa"/>
            <w:tcBorders>
              <w:bottom w:val="double" w:sz="6" w:space="0" w:color="000000"/>
            </w:tcBorders>
          </w:tcPr>
          <w:p>
            <w:pPr>
              <w:pStyle w:val="TableParagraph"/>
              <w:spacing w:line="226" w:lineRule="exact"/>
              <w:ind w:left="131"/>
              <w:rPr>
                <w:sz w:val="20"/>
              </w:rPr>
            </w:pPr>
            <w:r>
              <w:rPr>
                <w:spacing w:val="-2"/>
                <w:sz w:val="20"/>
              </w:rPr>
              <w:t>Prob(F-statistic)</w:t>
            </w:r>
          </w:p>
        </w:tc>
        <w:tc>
          <w:tcPr>
            <w:tcW w:w="904" w:type="dxa"/>
            <w:tcBorders>
              <w:bottom w:val="double" w:sz="6" w:space="0" w:color="000000"/>
            </w:tcBorders>
          </w:tcPr>
          <w:p>
            <w:pPr>
              <w:pStyle w:val="TableParagraph"/>
              <w:rPr>
                <w:sz w:val="18"/>
              </w:rPr>
            </w:pPr>
          </w:p>
        </w:tc>
        <w:tc>
          <w:tcPr>
            <w:tcW w:w="929" w:type="dxa"/>
            <w:tcBorders>
              <w:bottom w:val="double" w:sz="6" w:space="0" w:color="000000"/>
            </w:tcBorders>
          </w:tcPr>
          <w:p>
            <w:pPr>
              <w:pStyle w:val="TableParagraph"/>
              <w:spacing w:line="226" w:lineRule="exact"/>
              <w:ind w:right="27"/>
              <w:jc w:val="right"/>
              <w:rPr>
                <w:sz w:val="20"/>
              </w:rPr>
            </w:pPr>
            <w:r>
              <w:rPr>
                <w:spacing w:val="-2"/>
                <w:sz w:val="20"/>
              </w:rPr>
              <w:t>0.000460</w:t>
            </w:r>
          </w:p>
        </w:tc>
      </w:tr>
    </w:tbl>
    <w:p>
      <w:pPr>
        <w:spacing w:after="0" w:line="226" w:lineRule="exact"/>
        <w:jc w:val="right"/>
        <w:rPr>
          <w:sz w:val="20"/>
        </w:rPr>
        <w:sectPr>
          <w:pgSz w:w="11910" w:h="16840"/>
          <w:pgMar w:header="0" w:footer="979" w:top="1340" w:bottom="1240" w:left="280" w:right="0"/>
        </w:sectPr>
      </w:pPr>
    </w:p>
    <w:p>
      <w:pPr>
        <w:spacing w:before="62" w:after="3"/>
        <w:ind w:left="711" w:right="0" w:firstLine="0"/>
        <w:jc w:val="left"/>
        <w:rPr>
          <w:sz w:val="20"/>
        </w:rPr>
      </w:pPr>
      <w:r>
        <w:rPr>
          <w:sz w:val="20"/>
        </w:rPr>
        <w:t>GCF</w:t>
      </w:r>
      <w:r>
        <w:rPr>
          <w:spacing w:val="-2"/>
          <w:sz w:val="20"/>
        </w:rPr>
        <w:t> </w:t>
      </w:r>
      <w:r>
        <w:rPr>
          <w:sz w:val="20"/>
        </w:rPr>
        <w:t>@</w:t>
      </w:r>
      <w:r>
        <w:rPr>
          <w:spacing w:val="-4"/>
          <w:sz w:val="20"/>
        </w:rPr>
        <w:t> </w:t>
      </w:r>
      <w:r>
        <w:rPr>
          <w:spacing w:val="-2"/>
          <w:sz w:val="20"/>
        </w:rPr>
        <w:t>LEVEL</w:t>
      </w:r>
    </w:p>
    <w:tbl>
      <w:tblPr>
        <w:tblW w:w="0" w:type="auto"/>
        <w:jc w:val="left"/>
        <w:tblInd w:w="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47"/>
        <w:gridCol w:w="1375"/>
        <w:gridCol w:w="1432"/>
        <w:gridCol w:w="936"/>
        <w:gridCol w:w="896"/>
      </w:tblGrid>
      <w:tr>
        <w:trPr>
          <w:trHeight w:val="224" w:hRule="atLeast"/>
        </w:trPr>
        <w:tc>
          <w:tcPr>
            <w:tcW w:w="1847" w:type="dxa"/>
          </w:tcPr>
          <w:p>
            <w:pPr>
              <w:pStyle w:val="TableParagraph"/>
              <w:spacing w:line="204" w:lineRule="exact"/>
              <w:ind w:left="36"/>
              <w:rPr>
                <w:sz w:val="20"/>
              </w:rPr>
            </w:pPr>
            <w:r>
              <w:rPr>
                <w:sz w:val="20"/>
              </w:rPr>
              <w:t>ADF</w:t>
            </w:r>
            <w:r>
              <w:rPr>
                <w:spacing w:val="-4"/>
                <w:sz w:val="20"/>
              </w:rPr>
              <w:t> </w:t>
            </w:r>
            <w:r>
              <w:rPr>
                <w:sz w:val="20"/>
              </w:rPr>
              <w:t>Test</w:t>
            </w:r>
            <w:r>
              <w:rPr>
                <w:spacing w:val="-4"/>
                <w:sz w:val="20"/>
              </w:rPr>
              <w:t> </w:t>
            </w:r>
            <w:r>
              <w:rPr>
                <w:spacing w:val="-2"/>
                <w:sz w:val="20"/>
              </w:rPr>
              <w:t>Statistic</w:t>
            </w:r>
          </w:p>
        </w:tc>
        <w:tc>
          <w:tcPr>
            <w:tcW w:w="1375" w:type="dxa"/>
          </w:tcPr>
          <w:p>
            <w:pPr>
              <w:pStyle w:val="TableParagraph"/>
              <w:spacing w:line="204" w:lineRule="exact"/>
              <w:ind w:left="219"/>
              <w:rPr>
                <w:sz w:val="20"/>
              </w:rPr>
            </w:pPr>
            <w:r>
              <w:rPr>
                <w:spacing w:val="-4"/>
                <w:sz w:val="20"/>
              </w:rPr>
              <w:t>-</w:t>
            </w:r>
            <w:r>
              <w:rPr>
                <w:spacing w:val="-2"/>
                <w:sz w:val="20"/>
              </w:rPr>
              <w:t>1.946810</w:t>
            </w:r>
          </w:p>
        </w:tc>
        <w:tc>
          <w:tcPr>
            <w:tcW w:w="2368" w:type="dxa"/>
            <w:gridSpan w:val="2"/>
          </w:tcPr>
          <w:p>
            <w:pPr>
              <w:pStyle w:val="TableParagraph"/>
              <w:spacing w:line="204" w:lineRule="exact"/>
              <w:ind w:left="131"/>
              <w:rPr>
                <w:sz w:val="20"/>
              </w:rPr>
            </w:pPr>
            <w:r>
              <w:rPr>
                <w:sz w:val="20"/>
              </w:rPr>
              <w:t>1%</w:t>
            </w:r>
            <w:r>
              <w:rPr>
                <w:spacing w:val="68"/>
                <w:w w:val="150"/>
                <w:sz w:val="20"/>
              </w:rPr>
              <w:t> </w:t>
            </w:r>
            <w:r>
              <w:rPr>
                <w:sz w:val="20"/>
              </w:rPr>
              <w:t>Critical</w:t>
            </w:r>
            <w:r>
              <w:rPr>
                <w:spacing w:val="-2"/>
                <w:sz w:val="20"/>
              </w:rPr>
              <w:t> Value*</w:t>
            </w:r>
          </w:p>
        </w:tc>
        <w:tc>
          <w:tcPr>
            <w:tcW w:w="896" w:type="dxa"/>
          </w:tcPr>
          <w:p>
            <w:pPr>
              <w:pStyle w:val="TableParagraph"/>
              <w:spacing w:line="204" w:lineRule="exact"/>
              <w:ind w:right="26"/>
              <w:jc w:val="right"/>
              <w:rPr>
                <w:sz w:val="20"/>
              </w:rPr>
            </w:pPr>
            <w:r>
              <w:rPr>
                <w:spacing w:val="-4"/>
                <w:sz w:val="20"/>
              </w:rPr>
              <w:t>-</w:t>
            </w:r>
            <w:r>
              <w:rPr>
                <w:spacing w:val="-2"/>
                <w:sz w:val="20"/>
              </w:rPr>
              <w:t>3.6019</w:t>
            </w:r>
          </w:p>
        </w:tc>
      </w:tr>
      <w:tr>
        <w:trPr>
          <w:trHeight w:val="229" w:hRule="atLeast"/>
        </w:trPr>
        <w:tc>
          <w:tcPr>
            <w:tcW w:w="1847" w:type="dxa"/>
          </w:tcPr>
          <w:p>
            <w:pPr>
              <w:pStyle w:val="TableParagraph"/>
              <w:rPr>
                <w:sz w:val="16"/>
              </w:rPr>
            </w:pPr>
          </w:p>
        </w:tc>
        <w:tc>
          <w:tcPr>
            <w:tcW w:w="1375" w:type="dxa"/>
          </w:tcPr>
          <w:p>
            <w:pPr>
              <w:pStyle w:val="TableParagraph"/>
              <w:rPr>
                <w:sz w:val="16"/>
              </w:rPr>
            </w:pPr>
          </w:p>
        </w:tc>
        <w:tc>
          <w:tcPr>
            <w:tcW w:w="2368" w:type="dxa"/>
            <w:gridSpan w:val="2"/>
          </w:tcPr>
          <w:p>
            <w:pPr>
              <w:pStyle w:val="TableParagraph"/>
              <w:spacing w:line="209" w:lineRule="exact"/>
              <w:ind w:left="131"/>
              <w:rPr>
                <w:sz w:val="20"/>
              </w:rPr>
            </w:pPr>
            <w:r>
              <w:rPr>
                <w:sz w:val="20"/>
              </w:rPr>
              <w:t>5%</w:t>
            </w:r>
            <w:r>
              <w:rPr>
                <w:spacing w:val="68"/>
                <w:w w:val="150"/>
                <w:sz w:val="20"/>
              </w:rPr>
              <w:t> </w:t>
            </w:r>
            <w:r>
              <w:rPr>
                <w:sz w:val="20"/>
              </w:rPr>
              <w:t>Critical</w:t>
            </w:r>
            <w:r>
              <w:rPr>
                <w:spacing w:val="-2"/>
                <w:sz w:val="20"/>
              </w:rPr>
              <w:t> </w:t>
            </w:r>
            <w:r>
              <w:rPr>
                <w:spacing w:val="-4"/>
                <w:sz w:val="20"/>
              </w:rPr>
              <w:t>Value</w:t>
            </w:r>
          </w:p>
        </w:tc>
        <w:tc>
          <w:tcPr>
            <w:tcW w:w="896" w:type="dxa"/>
          </w:tcPr>
          <w:p>
            <w:pPr>
              <w:pStyle w:val="TableParagraph"/>
              <w:spacing w:line="209" w:lineRule="exact"/>
              <w:ind w:right="26"/>
              <w:jc w:val="right"/>
              <w:rPr>
                <w:sz w:val="20"/>
              </w:rPr>
            </w:pPr>
            <w:r>
              <w:rPr>
                <w:spacing w:val="-4"/>
                <w:sz w:val="20"/>
              </w:rPr>
              <w:t>-</w:t>
            </w:r>
            <w:r>
              <w:rPr>
                <w:spacing w:val="-2"/>
                <w:sz w:val="20"/>
              </w:rPr>
              <w:t>2.9358</w:t>
            </w:r>
          </w:p>
        </w:tc>
      </w:tr>
      <w:tr>
        <w:trPr>
          <w:trHeight w:val="224" w:hRule="atLeast"/>
        </w:trPr>
        <w:tc>
          <w:tcPr>
            <w:tcW w:w="1847" w:type="dxa"/>
            <w:tcBorders>
              <w:bottom w:val="double" w:sz="6" w:space="0" w:color="000000"/>
            </w:tcBorders>
          </w:tcPr>
          <w:p>
            <w:pPr>
              <w:pStyle w:val="TableParagraph"/>
              <w:rPr>
                <w:sz w:val="16"/>
              </w:rPr>
            </w:pPr>
          </w:p>
        </w:tc>
        <w:tc>
          <w:tcPr>
            <w:tcW w:w="1375" w:type="dxa"/>
            <w:tcBorders>
              <w:bottom w:val="double" w:sz="6" w:space="0" w:color="000000"/>
            </w:tcBorders>
          </w:tcPr>
          <w:p>
            <w:pPr>
              <w:pStyle w:val="TableParagraph"/>
              <w:rPr>
                <w:sz w:val="16"/>
              </w:rPr>
            </w:pPr>
          </w:p>
        </w:tc>
        <w:tc>
          <w:tcPr>
            <w:tcW w:w="2368" w:type="dxa"/>
            <w:gridSpan w:val="2"/>
            <w:tcBorders>
              <w:bottom w:val="double" w:sz="6" w:space="0" w:color="000000"/>
            </w:tcBorders>
          </w:tcPr>
          <w:p>
            <w:pPr>
              <w:pStyle w:val="TableParagraph"/>
              <w:spacing w:line="205" w:lineRule="exact"/>
              <w:ind w:left="131"/>
              <w:rPr>
                <w:sz w:val="20"/>
              </w:rPr>
            </w:pPr>
            <w:r>
              <w:rPr>
                <w:sz w:val="20"/>
              </w:rPr>
              <w:t>10%</w:t>
            </w:r>
            <w:r>
              <w:rPr>
                <w:spacing w:val="-6"/>
                <w:sz w:val="20"/>
              </w:rPr>
              <w:t> </w:t>
            </w:r>
            <w:r>
              <w:rPr>
                <w:sz w:val="20"/>
              </w:rPr>
              <w:t>Critical</w:t>
            </w:r>
            <w:r>
              <w:rPr>
                <w:spacing w:val="-4"/>
                <w:sz w:val="20"/>
              </w:rPr>
              <w:t> </w:t>
            </w:r>
            <w:r>
              <w:rPr>
                <w:spacing w:val="-2"/>
                <w:sz w:val="20"/>
              </w:rPr>
              <w:t>Value</w:t>
            </w:r>
          </w:p>
        </w:tc>
        <w:tc>
          <w:tcPr>
            <w:tcW w:w="896" w:type="dxa"/>
            <w:tcBorders>
              <w:bottom w:val="double" w:sz="6" w:space="0" w:color="000000"/>
            </w:tcBorders>
          </w:tcPr>
          <w:p>
            <w:pPr>
              <w:pStyle w:val="TableParagraph"/>
              <w:spacing w:line="205" w:lineRule="exact"/>
              <w:ind w:right="26"/>
              <w:jc w:val="right"/>
              <w:rPr>
                <w:sz w:val="20"/>
              </w:rPr>
            </w:pPr>
            <w:r>
              <w:rPr>
                <w:spacing w:val="-4"/>
                <w:sz w:val="20"/>
              </w:rPr>
              <w:t>-</w:t>
            </w:r>
            <w:r>
              <w:rPr>
                <w:spacing w:val="-2"/>
                <w:sz w:val="20"/>
              </w:rPr>
              <w:t>2.6059</w:t>
            </w:r>
          </w:p>
        </w:tc>
      </w:tr>
      <w:tr>
        <w:trPr>
          <w:trHeight w:val="506" w:hRule="atLeast"/>
        </w:trPr>
        <w:tc>
          <w:tcPr>
            <w:tcW w:w="6486" w:type="dxa"/>
            <w:gridSpan w:val="5"/>
            <w:tcBorders>
              <w:top w:val="double" w:sz="6" w:space="0" w:color="000000"/>
            </w:tcBorders>
          </w:tcPr>
          <w:p>
            <w:pPr>
              <w:pStyle w:val="TableParagraph"/>
              <w:spacing w:before="42"/>
              <w:ind w:left="36"/>
              <w:rPr>
                <w:sz w:val="20"/>
              </w:rPr>
            </w:pPr>
            <w:r>
              <w:rPr>
                <w:sz w:val="20"/>
              </w:rPr>
              <w:t>*MacKinnon</w:t>
            </w:r>
            <w:r>
              <w:rPr>
                <w:spacing w:val="-6"/>
                <w:sz w:val="20"/>
              </w:rPr>
              <w:t> </w:t>
            </w:r>
            <w:r>
              <w:rPr>
                <w:sz w:val="20"/>
              </w:rPr>
              <w:t>critical</w:t>
            </w:r>
            <w:r>
              <w:rPr>
                <w:spacing w:val="-4"/>
                <w:sz w:val="20"/>
              </w:rPr>
              <w:t> </w:t>
            </w:r>
            <w:r>
              <w:rPr>
                <w:sz w:val="20"/>
              </w:rPr>
              <w:t>values</w:t>
            </w:r>
            <w:r>
              <w:rPr>
                <w:spacing w:val="-6"/>
                <w:sz w:val="20"/>
              </w:rPr>
              <w:t> </w:t>
            </w:r>
            <w:r>
              <w:rPr>
                <w:sz w:val="20"/>
              </w:rPr>
              <w:t>for</w:t>
            </w:r>
            <w:r>
              <w:rPr>
                <w:spacing w:val="-4"/>
                <w:sz w:val="20"/>
              </w:rPr>
              <w:t> </w:t>
            </w:r>
            <w:r>
              <w:rPr>
                <w:sz w:val="20"/>
              </w:rPr>
              <w:t>rejection</w:t>
            </w:r>
            <w:r>
              <w:rPr>
                <w:spacing w:val="-6"/>
                <w:sz w:val="20"/>
              </w:rPr>
              <w:t> </w:t>
            </w:r>
            <w:r>
              <w:rPr>
                <w:sz w:val="20"/>
              </w:rPr>
              <w:t>of</w:t>
            </w:r>
            <w:r>
              <w:rPr>
                <w:spacing w:val="-6"/>
                <w:sz w:val="20"/>
              </w:rPr>
              <w:t> </w:t>
            </w:r>
            <w:r>
              <w:rPr>
                <w:sz w:val="20"/>
              </w:rPr>
              <w:t>hypothesis</w:t>
            </w:r>
            <w:r>
              <w:rPr>
                <w:spacing w:val="-6"/>
                <w:sz w:val="20"/>
              </w:rPr>
              <w:t> </w:t>
            </w:r>
            <w:r>
              <w:rPr>
                <w:sz w:val="20"/>
              </w:rPr>
              <w:t>of</w:t>
            </w:r>
            <w:r>
              <w:rPr>
                <w:spacing w:val="-6"/>
                <w:sz w:val="20"/>
              </w:rPr>
              <w:t> </w:t>
            </w:r>
            <w:r>
              <w:rPr>
                <w:sz w:val="20"/>
              </w:rPr>
              <w:t>a</w:t>
            </w:r>
            <w:r>
              <w:rPr>
                <w:spacing w:val="-4"/>
                <w:sz w:val="20"/>
              </w:rPr>
              <w:t> </w:t>
            </w:r>
            <w:r>
              <w:rPr>
                <w:sz w:val="20"/>
              </w:rPr>
              <w:t>unit</w:t>
            </w:r>
            <w:r>
              <w:rPr>
                <w:spacing w:val="-6"/>
                <w:sz w:val="20"/>
              </w:rPr>
              <w:t> </w:t>
            </w:r>
            <w:r>
              <w:rPr>
                <w:spacing w:val="-2"/>
                <w:sz w:val="20"/>
              </w:rPr>
              <w:t>root.</w:t>
            </w:r>
          </w:p>
        </w:tc>
      </w:tr>
      <w:tr>
        <w:trPr>
          <w:trHeight w:val="459" w:hRule="atLeast"/>
        </w:trPr>
        <w:tc>
          <w:tcPr>
            <w:tcW w:w="6486" w:type="dxa"/>
            <w:gridSpan w:val="5"/>
          </w:tcPr>
          <w:p>
            <w:pPr>
              <w:pStyle w:val="TableParagraph"/>
              <w:spacing w:line="215" w:lineRule="exact" w:before="225"/>
              <w:ind w:left="36"/>
              <w:rPr>
                <w:sz w:val="20"/>
              </w:rPr>
            </w:pPr>
            <w:r>
              <w:rPr>
                <w:sz w:val="20"/>
              </w:rPr>
              <w:t>Augmented</w:t>
            </w:r>
            <w:r>
              <w:rPr>
                <w:spacing w:val="-8"/>
                <w:sz w:val="20"/>
              </w:rPr>
              <w:t> </w:t>
            </w:r>
            <w:r>
              <w:rPr>
                <w:sz w:val="20"/>
              </w:rPr>
              <w:t>Dickey-Fuller</w:t>
            </w:r>
            <w:r>
              <w:rPr>
                <w:spacing w:val="-8"/>
                <w:sz w:val="20"/>
              </w:rPr>
              <w:t> </w:t>
            </w:r>
            <w:r>
              <w:rPr>
                <w:sz w:val="20"/>
              </w:rPr>
              <w:t>Test</w:t>
            </w:r>
            <w:r>
              <w:rPr>
                <w:spacing w:val="-9"/>
                <w:sz w:val="20"/>
              </w:rPr>
              <w:t> </w:t>
            </w:r>
            <w:r>
              <w:rPr>
                <w:spacing w:val="-2"/>
                <w:sz w:val="20"/>
              </w:rPr>
              <w:t>Equation</w:t>
            </w:r>
          </w:p>
        </w:tc>
      </w:tr>
      <w:tr>
        <w:trPr>
          <w:trHeight w:val="230" w:hRule="atLeast"/>
        </w:trPr>
        <w:tc>
          <w:tcPr>
            <w:tcW w:w="6486" w:type="dxa"/>
            <w:gridSpan w:val="5"/>
          </w:tcPr>
          <w:p>
            <w:pPr>
              <w:pStyle w:val="TableParagraph"/>
              <w:spacing w:line="210" w:lineRule="exact"/>
              <w:ind w:left="36"/>
              <w:rPr>
                <w:sz w:val="20"/>
              </w:rPr>
            </w:pPr>
            <w:r>
              <w:rPr>
                <w:sz w:val="20"/>
              </w:rPr>
              <w:t>Dependent</w:t>
            </w:r>
            <w:r>
              <w:rPr>
                <w:spacing w:val="-7"/>
                <w:sz w:val="20"/>
              </w:rPr>
              <w:t> </w:t>
            </w:r>
            <w:r>
              <w:rPr>
                <w:sz w:val="20"/>
              </w:rPr>
              <w:t>Variable:</w:t>
            </w:r>
            <w:r>
              <w:rPr>
                <w:spacing w:val="-7"/>
                <w:sz w:val="20"/>
              </w:rPr>
              <w:t> </w:t>
            </w:r>
            <w:r>
              <w:rPr>
                <w:spacing w:val="-2"/>
                <w:sz w:val="20"/>
              </w:rPr>
              <w:t>D(GCF)</w:t>
            </w:r>
          </w:p>
        </w:tc>
      </w:tr>
      <w:tr>
        <w:trPr>
          <w:trHeight w:val="229" w:hRule="atLeast"/>
        </w:trPr>
        <w:tc>
          <w:tcPr>
            <w:tcW w:w="6486" w:type="dxa"/>
            <w:gridSpan w:val="5"/>
          </w:tcPr>
          <w:p>
            <w:pPr>
              <w:pStyle w:val="TableParagraph"/>
              <w:spacing w:line="209" w:lineRule="exact"/>
              <w:ind w:left="36"/>
              <w:rPr>
                <w:sz w:val="20"/>
              </w:rPr>
            </w:pPr>
            <w:r>
              <w:rPr>
                <w:sz w:val="20"/>
              </w:rPr>
              <w:t>Method:</w:t>
            </w:r>
            <w:r>
              <w:rPr>
                <w:spacing w:val="-8"/>
                <w:sz w:val="20"/>
              </w:rPr>
              <w:t> </w:t>
            </w:r>
            <w:r>
              <w:rPr>
                <w:sz w:val="20"/>
              </w:rPr>
              <w:t>Least</w:t>
            </w:r>
            <w:r>
              <w:rPr>
                <w:spacing w:val="-7"/>
                <w:sz w:val="20"/>
              </w:rPr>
              <w:t> </w:t>
            </w:r>
            <w:r>
              <w:rPr>
                <w:spacing w:val="-2"/>
                <w:sz w:val="20"/>
              </w:rPr>
              <w:t>Squares</w:t>
            </w:r>
          </w:p>
        </w:tc>
      </w:tr>
      <w:tr>
        <w:trPr>
          <w:trHeight w:val="229" w:hRule="atLeast"/>
        </w:trPr>
        <w:tc>
          <w:tcPr>
            <w:tcW w:w="6486" w:type="dxa"/>
            <w:gridSpan w:val="5"/>
          </w:tcPr>
          <w:p>
            <w:pPr>
              <w:pStyle w:val="TableParagraph"/>
              <w:spacing w:line="209" w:lineRule="exact"/>
              <w:ind w:left="36"/>
              <w:rPr>
                <w:sz w:val="20"/>
              </w:rPr>
            </w:pPr>
            <w:r>
              <w:rPr>
                <w:sz w:val="20"/>
              </w:rPr>
              <w:t>Date:</w:t>
            </w:r>
            <w:r>
              <w:rPr>
                <w:spacing w:val="-5"/>
                <w:sz w:val="20"/>
              </w:rPr>
              <w:t> </w:t>
            </w:r>
            <w:r>
              <w:rPr>
                <w:sz w:val="20"/>
              </w:rPr>
              <w:t>02/18/14</w:t>
            </w:r>
            <w:r>
              <w:rPr>
                <w:spacing w:val="63"/>
                <w:w w:val="150"/>
                <w:sz w:val="20"/>
              </w:rPr>
              <w:t> </w:t>
            </w:r>
            <w:r>
              <w:rPr>
                <w:sz w:val="20"/>
              </w:rPr>
              <w:t>Time:</w:t>
            </w:r>
            <w:r>
              <w:rPr>
                <w:spacing w:val="-3"/>
                <w:sz w:val="20"/>
              </w:rPr>
              <w:t> </w:t>
            </w:r>
            <w:r>
              <w:rPr>
                <w:spacing w:val="-2"/>
                <w:sz w:val="20"/>
              </w:rPr>
              <w:t>09:18</w:t>
            </w:r>
          </w:p>
        </w:tc>
      </w:tr>
      <w:tr>
        <w:trPr>
          <w:trHeight w:val="230" w:hRule="atLeast"/>
        </w:trPr>
        <w:tc>
          <w:tcPr>
            <w:tcW w:w="6486" w:type="dxa"/>
            <w:gridSpan w:val="5"/>
          </w:tcPr>
          <w:p>
            <w:pPr>
              <w:pStyle w:val="TableParagraph"/>
              <w:spacing w:line="210" w:lineRule="exact"/>
              <w:ind w:left="36"/>
              <w:rPr>
                <w:sz w:val="20"/>
              </w:rPr>
            </w:pPr>
            <w:r>
              <w:rPr>
                <w:sz w:val="20"/>
              </w:rPr>
              <w:t>Sample(adjusted):</w:t>
            </w:r>
            <w:r>
              <w:rPr>
                <w:spacing w:val="-9"/>
                <w:sz w:val="20"/>
              </w:rPr>
              <w:t> </w:t>
            </w:r>
            <w:r>
              <w:rPr>
                <w:sz w:val="20"/>
              </w:rPr>
              <w:t>1972</w:t>
            </w:r>
            <w:r>
              <w:rPr>
                <w:spacing w:val="-9"/>
                <w:sz w:val="20"/>
              </w:rPr>
              <w:t> </w:t>
            </w:r>
            <w:r>
              <w:rPr>
                <w:spacing w:val="-4"/>
                <w:sz w:val="20"/>
              </w:rPr>
              <w:t>2011</w:t>
            </w:r>
          </w:p>
        </w:tc>
      </w:tr>
      <w:tr>
        <w:trPr>
          <w:trHeight w:val="224" w:hRule="atLeast"/>
        </w:trPr>
        <w:tc>
          <w:tcPr>
            <w:tcW w:w="6486" w:type="dxa"/>
            <w:gridSpan w:val="5"/>
            <w:tcBorders>
              <w:bottom w:val="double" w:sz="6" w:space="0" w:color="000000"/>
            </w:tcBorders>
          </w:tcPr>
          <w:p>
            <w:pPr>
              <w:pStyle w:val="TableParagraph"/>
              <w:spacing w:line="205" w:lineRule="exact"/>
              <w:ind w:left="36"/>
              <w:rPr>
                <w:sz w:val="20"/>
              </w:rPr>
            </w:pPr>
            <w:r>
              <w:rPr>
                <w:sz w:val="20"/>
              </w:rPr>
              <w:t>Included</w:t>
            </w:r>
            <w:r>
              <w:rPr>
                <w:spacing w:val="-6"/>
                <w:sz w:val="20"/>
              </w:rPr>
              <w:t> </w:t>
            </w:r>
            <w:r>
              <w:rPr>
                <w:sz w:val="20"/>
              </w:rPr>
              <w:t>observations:</w:t>
            </w:r>
            <w:r>
              <w:rPr>
                <w:spacing w:val="-8"/>
                <w:sz w:val="20"/>
              </w:rPr>
              <w:t> </w:t>
            </w:r>
            <w:r>
              <w:rPr>
                <w:sz w:val="20"/>
              </w:rPr>
              <w:t>40</w:t>
            </w:r>
            <w:r>
              <w:rPr>
                <w:spacing w:val="-5"/>
                <w:sz w:val="20"/>
              </w:rPr>
              <w:t> </w:t>
            </w:r>
            <w:r>
              <w:rPr>
                <w:sz w:val="20"/>
              </w:rPr>
              <w:t>after</w:t>
            </w:r>
            <w:r>
              <w:rPr>
                <w:spacing w:val="-7"/>
                <w:sz w:val="20"/>
              </w:rPr>
              <w:t> </w:t>
            </w:r>
            <w:r>
              <w:rPr>
                <w:sz w:val="20"/>
              </w:rPr>
              <w:t>adjusting</w:t>
            </w:r>
            <w:r>
              <w:rPr>
                <w:spacing w:val="-7"/>
                <w:sz w:val="20"/>
              </w:rPr>
              <w:t> </w:t>
            </w:r>
            <w:r>
              <w:rPr>
                <w:spacing w:val="-2"/>
                <w:sz w:val="20"/>
              </w:rPr>
              <w:t>endpoints</w:t>
            </w:r>
          </w:p>
        </w:tc>
      </w:tr>
      <w:tr>
        <w:trPr>
          <w:trHeight w:val="269" w:hRule="atLeast"/>
        </w:trPr>
        <w:tc>
          <w:tcPr>
            <w:tcW w:w="1847" w:type="dxa"/>
            <w:tcBorders>
              <w:top w:val="double" w:sz="6" w:space="0" w:color="000000"/>
              <w:bottom w:val="double" w:sz="6" w:space="0" w:color="000000"/>
            </w:tcBorders>
          </w:tcPr>
          <w:p>
            <w:pPr>
              <w:pStyle w:val="TableParagraph"/>
              <w:spacing w:line="209" w:lineRule="exact" w:before="40"/>
              <w:ind w:left="677"/>
              <w:rPr>
                <w:sz w:val="20"/>
              </w:rPr>
            </w:pPr>
            <w:r>
              <w:rPr>
                <w:spacing w:val="-2"/>
                <w:sz w:val="20"/>
              </w:rPr>
              <w:t>Variable</w:t>
            </w:r>
          </w:p>
        </w:tc>
        <w:tc>
          <w:tcPr>
            <w:tcW w:w="1375" w:type="dxa"/>
            <w:tcBorders>
              <w:top w:val="double" w:sz="6" w:space="0" w:color="000000"/>
              <w:bottom w:val="double" w:sz="6" w:space="0" w:color="000000"/>
            </w:tcBorders>
          </w:tcPr>
          <w:p>
            <w:pPr>
              <w:pStyle w:val="TableParagraph"/>
              <w:spacing w:line="209" w:lineRule="exact" w:before="40"/>
              <w:ind w:right="131"/>
              <w:jc w:val="right"/>
              <w:rPr>
                <w:sz w:val="20"/>
              </w:rPr>
            </w:pPr>
            <w:r>
              <w:rPr>
                <w:spacing w:val="-2"/>
                <w:sz w:val="20"/>
              </w:rPr>
              <w:t>Coefficient</w:t>
            </w:r>
          </w:p>
        </w:tc>
        <w:tc>
          <w:tcPr>
            <w:tcW w:w="1432" w:type="dxa"/>
            <w:tcBorders>
              <w:top w:val="double" w:sz="6" w:space="0" w:color="000000"/>
              <w:bottom w:val="double" w:sz="6" w:space="0" w:color="000000"/>
            </w:tcBorders>
          </w:tcPr>
          <w:p>
            <w:pPr>
              <w:pStyle w:val="TableParagraph"/>
              <w:spacing w:line="209" w:lineRule="exact" w:before="40"/>
              <w:ind w:left="273"/>
              <w:rPr>
                <w:sz w:val="20"/>
              </w:rPr>
            </w:pPr>
            <w:r>
              <w:rPr>
                <w:sz w:val="20"/>
              </w:rPr>
              <w:t>Std.</w:t>
            </w:r>
            <w:r>
              <w:rPr>
                <w:spacing w:val="-4"/>
                <w:sz w:val="20"/>
              </w:rPr>
              <w:t> </w:t>
            </w:r>
            <w:r>
              <w:rPr>
                <w:spacing w:val="-2"/>
                <w:sz w:val="20"/>
              </w:rPr>
              <w:t>Error</w:t>
            </w:r>
          </w:p>
        </w:tc>
        <w:tc>
          <w:tcPr>
            <w:tcW w:w="936" w:type="dxa"/>
            <w:tcBorders>
              <w:top w:val="double" w:sz="6" w:space="0" w:color="000000"/>
              <w:bottom w:val="double" w:sz="6" w:space="0" w:color="000000"/>
            </w:tcBorders>
          </w:tcPr>
          <w:p>
            <w:pPr>
              <w:pStyle w:val="TableParagraph"/>
              <w:spacing w:line="209" w:lineRule="exact" w:before="40"/>
              <w:ind w:right="112"/>
              <w:jc w:val="right"/>
              <w:rPr>
                <w:sz w:val="20"/>
              </w:rPr>
            </w:pPr>
            <w:r>
              <w:rPr>
                <w:spacing w:val="-4"/>
                <w:sz w:val="20"/>
              </w:rPr>
              <w:t>t-</w:t>
            </w:r>
            <w:r>
              <w:rPr>
                <w:spacing w:val="-2"/>
                <w:sz w:val="20"/>
              </w:rPr>
              <w:t>Statistic</w:t>
            </w:r>
          </w:p>
        </w:tc>
        <w:tc>
          <w:tcPr>
            <w:tcW w:w="896" w:type="dxa"/>
            <w:tcBorders>
              <w:top w:val="double" w:sz="6" w:space="0" w:color="000000"/>
              <w:bottom w:val="double" w:sz="6" w:space="0" w:color="000000"/>
            </w:tcBorders>
          </w:tcPr>
          <w:p>
            <w:pPr>
              <w:pStyle w:val="TableParagraph"/>
              <w:spacing w:line="209" w:lineRule="exact" w:before="40"/>
              <w:ind w:right="27"/>
              <w:jc w:val="right"/>
              <w:rPr>
                <w:sz w:val="20"/>
              </w:rPr>
            </w:pPr>
            <w:r>
              <w:rPr>
                <w:spacing w:val="-2"/>
                <w:sz w:val="20"/>
              </w:rPr>
              <w:t>Prob.</w:t>
            </w:r>
          </w:p>
        </w:tc>
      </w:tr>
      <w:tr>
        <w:trPr>
          <w:trHeight w:val="276" w:hRule="atLeast"/>
        </w:trPr>
        <w:tc>
          <w:tcPr>
            <w:tcW w:w="1847" w:type="dxa"/>
            <w:tcBorders>
              <w:top w:val="double" w:sz="6" w:space="0" w:color="000000"/>
            </w:tcBorders>
          </w:tcPr>
          <w:p>
            <w:pPr>
              <w:pStyle w:val="TableParagraph"/>
              <w:spacing w:line="214" w:lineRule="exact" w:before="42"/>
              <w:ind w:left="677"/>
              <w:rPr>
                <w:sz w:val="20"/>
              </w:rPr>
            </w:pPr>
            <w:r>
              <w:rPr>
                <w:spacing w:val="-2"/>
                <w:sz w:val="20"/>
              </w:rPr>
              <w:t>GCF(-</w:t>
            </w:r>
            <w:r>
              <w:rPr>
                <w:spacing w:val="-5"/>
                <w:sz w:val="20"/>
              </w:rPr>
              <w:t>1)</w:t>
            </w:r>
          </w:p>
        </w:tc>
        <w:tc>
          <w:tcPr>
            <w:tcW w:w="1375" w:type="dxa"/>
            <w:tcBorders>
              <w:top w:val="double" w:sz="6" w:space="0" w:color="000000"/>
            </w:tcBorders>
          </w:tcPr>
          <w:p>
            <w:pPr>
              <w:pStyle w:val="TableParagraph"/>
              <w:spacing w:line="214" w:lineRule="exact" w:before="42"/>
              <w:ind w:right="128"/>
              <w:jc w:val="right"/>
              <w:rPr>
                <w:sz w:val="20"/>
              </w:rPr>
            </w:pPr>
            <w:r>
              <w:rPr>
                <w:spacing w:val="-4"/>
                <w:sz w:val="20"/>
              </w:rPr>
              <w:t>-</w:t>
            </w:r>
            <w:r>
              <w:rPr>
                <w:spacing w:val="-2"/>
                <w:sz w:val="20"/>
              </w:rPr>
              <w:t>0.269803</w:t>
            </w:r>
          </w:p>
        </w:tc>
        <w:tc>
          <w:tcPr>
            <w:tcW w:w="1432" w:type="dxa"/>
            <w:tcBorders>
              <w:top w:val="double" w:sz="6" w:space="0" w:color="000000"/>
            </w:tcBorders>
          </w:tcPr>
          <w:p>
            <w:pPr>
              <w:pStyle w:val="TableParagraph"/>
              <w:spacing w:line="214" w:lineRule="exact" w:before="42"/>
              <w:ind w:left="311"/>
              <w:rPr>
                <w:sz w:val="20"/>
              </w:rPr>
            </w:pPr>
            <w:r>
              <w:rPr>
                <w:spacing w:val="-2"/>
                <w:sz w:val="20"/>
              </w:rPr>
              <w:t>0.138587</w:t>
            </w:r>
          </w:p>
        </w:tc>
        <w:tc>
          <w:tcPr>
            <w:tcW w:w="936" w:type="dxa"/>
            <w:tcBorders>
              <w:top w:val="double" w:sz="6" w:space="0" w:color="000000"/>
            </w:tcBorders>
          </w:tcPr>
          <w:p>
            <w:pPr>
              <w:pStyle w:val="TableParagraph"/>
              <w:spacing w:line="214" w:lineRule="exact" w:before="42"/>
              <w:ind w:right="110"/>
              <w:jc w:val="right"/>
              <w:rPr>
                <w:sz w:val="20"/>
              </w:rPr>
            </w:pPr>
            <w:r>
              <w:rPr>
                <w:spacing w:val="-4"/>
                <w:sz w:val="20"/>
              </w:rPr>
              <w:t>-</w:t>
            </w:r>
            <w:r>
              <w:rPr>
                <w:spacing w:val="-2"/>
                <w:sz w:val="20"/>
              </w:rPr>
              <w:t>1.946810</w:t>
            </w:r>
          </w:p>
        </w:tc>
        <w:tc>
          <w:tcPr>
            <w:tcW w:w="896" w:type="dxa"/>
            <w:tcBorders>
              <w:top w:val="double" w:sz="6" w:space="0" w:color="000000"/>
            </w:tcBorders>
          </w:tcPr>
          <w:p>
            <w:pPr>
              <w:pStyle w:val="TableParagraph"/>
              <w:spacing w:line="214" w:lineRule="exact" w:before="42"/>
              <w:ind w:right="26"/>
              <w:jc w:val="right"/>
              <w:rPr>
                <w:sz w:val="20"/>
              </w:rPr>
            </w:pPr>
            <w:r>
              <w:rPr>
                <w:spacing w:val="-2"/>
                <w:sz w:val="20"/>
              </w:rPr>
              <w:t>0.0592</w:t>
            </w:r>
          </w:p>
        </w:tc>
      </w:tr>
      <w:tr>
        <w:trPr>
          <w:trHeight w:val="229" w:hRule="atLeast"/>
        </w:trPr>
        <w:tc>
          <w:tcPr>
            <w:tcW w:w="1847" w:type="dxa"/>
          </w:tcPr>
          <w:p>
            <w:pPr>
              <w:pStyle w:val="TableParagraph"/>
              <w:spacing w:line="209" w:lineRule="exact"/>
              <w:ind w:left="538"/>
              <w:rPr>
                <w:sz w:val="20"/>
              </w:rPr>
            </w:pPr>
            <w:r>
              <w:rPr>
                <w:spacing w:val="-2"/>
                <w:sz w:val="20"/>
              </w:rPr>
              <w:t>D(GCF(-</w:t>
            </w:r>
            <w:r>
              <w:rPr>
                <w:spacing w:val="-5"/>
                <w:sz w:val="20"/>
              </w:rPr>
              <w:t>1))</w:t>
            </w:r>
          </w:p>
        </w:tc>
        <w:tc>
          <w:tcPr>
            <w:tcW w:w="1375" w:type="dxa"/>
          </w:tcPr>
          <w:p>
            <w:pPr>
              <w:pStyle w:val="TableParagraph"/>
              <w:spacing w:line="209" w:lineRule="exact"/>
              <w:ind w:right="128"/>
              <w:jc w:val="right"/>
              <w:rPr>
                <w:sz w:val="20"/>
              </w:rPr>
            </w:pPr>
            <w:r>
              <w:rPr>
                <w:spacing w:val="-4"/>
                <w:sz w:val="20"/>
              </w:rPr>
              <w:t>-</w:t>
            </w:r>
            <w:r>
              <w:rPr>
                <w:spacing w:val="-2"/>
                <w:sz w:val="20"/>
              </w:rPr>
              <w:t>0.232948</w:t>
            </w:r>
          </w:p>
        </w:tc>
        <w:tc>
          <w:tcPr>
            <w:tcW w:w="1432" w:type="dxa"/>
          </w:tcPr>
          <w:p>
            <w:pPr>
              <w:pStyle w:val="TableParagraph"/>
              <w:spacing w:line="209" w:lineRule="exact"/>
              <w:ind w:left="311"/>
              <w:rPr>
                <w:sz w:val="20"/>
              </w:rPr>
            </w:pPr>
            <w:r>
              <w:rPr>
                <w:spacing w:val="-2"/>
                <w:sz w:val="20"/>
              </w:rPr>
              <w:t>0.164877</w:t>
            </w:r>
          </w:p>
        </w:tc>
        <w:tc>
          <w:tcPr>
            <w:tcW w:w="936" w:type="dxa"/>
          </w:tcPr>
          <w:p>
            <w:pPr>
              <w:pStyle w:val="TableParagraph"/>
              <w:spacing w:line="209" w:lineRule="exact"/>
              <w:ind w:right="110"/>
              <w:jc w:val="right"/>
              <w:rPr>
                <w:sz w:val="20"/>
              </w:rPr>
            </w:pPr>
            <w:r>
              <w:rPr>
                <w:spacing w:val="-4"/>
                <w:sz w:val="20"/>
              </w:rPr>
              <w:t>-</w:t>
            </w:r>
            <w:r>
              <w:rPr>
                <w:spacing w:val="-2"/>
                <w:sz w:val="20"/>
              </w:rPr>
              <w:t>1.412857</w:t>
            </w:r>
          </w:p>
        </w:tc>
        <w:tc>
          <w:tcPr>
            <w:tcW w:w="896" w:type="dxa"/>
          </w:tcPr>
          <w:p>
            <w:pPr>
              <w:pStyle w:val="TableParagraph"/>
              <w:spacing w:line="209" w:lineRule="exact"/>
              <w:ind w:right="26"/>
              <w:jc w:val="right"/>
              <w:rPr>
                <w:sz w:val="20"/>
              </w:rPr>
            </w:pPr>
            <w:r>
              <w:rPr>
                <w:spacing w:val="-2"/>
                <w:sz w:val="20"/>
              </w:rPr>
              <w:t>0.1661</w:t>
            </w:r>
          </w:p>
        </w:tc>
      </w:tr>
      <w:tr>
        <w:trPr>
          <w:trHeight w:val="224" w:hRule="atLeast"/>
        </w:trPr>
        <w:tc>
          <w:tcPr>
            <w:tcW w:w="1847" w:type="dxa"/>
            <w:tcBorders>
              <w:bottom w:val="double" w:sz="6" w:space="0" w:color="000000"/>
            </w:tcBorders>
          </w:tcPr>
          <w:p>
            <w:pPr>
              <w:pStyle w:val="TableParagraph"/>
              <w:spacing w:line="205" w:lineRule="exact"/>
              <w:ind w:left="197"/>
              <w:jc w:val="center"/>
              <w:rPr>
                <w:sz w:val="20"/>
              </w:rPr>
            </w:pPr>
            <w:r>
              <w:rPr>
                <w:spacing w:val="-10"/>
                <w:sz w:val="20"/>
              </w:rPr>
              <w:t>C</w:t>
            </w:r>
          </w:p>
        </w:tc>
        <w:tc>
          <w:tcPr>
            <w:tcW w:w="1375" w:type="dxa"/>
            <w:tcBorders>
              <w:bottom w:val="double" w:sz="6" w:space="0" w:color="000000"/>
            </w:tcBorders>
          </w:tcPr>
          <w:p>
            <w:pPr>
              <w:pStyle w:val="TableParagraph"/>
              <w:spacing w:line="205" w:lineRule="exact"/>
              <w:ind w:right="128"/>
              <w:jc w:val="right"/>
              <w:rPr>
                <w:sz w:val="20"/>
              </w:rPr>
            </w:pPr>
            <w:r>
              <w:rPr>
                <w:spacing w:val="-2"/>
                <w:sz w:val="20"/>
              </w:rPr>
              <w:t>2.655797</w:t>
            </w:r>
          </w:p>
        </w:tc>
        <w:tc>
          <w:tcPr>
            <w:tcW w:w="1432" w:type="dxa"/>
            <w:tcBorders>
              <w:bottom w:val="double" w:sz="6" w:space="0" w:color="000000"/>
            </w:tcBorders>
          </w:tcPr>
          <w:p>
            <w:pPr>
              <w:pStyle w:val="TableParagraph"/>
              <w:spacing w:line="205" w:lineRule="exact"/>
              <w:ind w:left="311"/>
              <w:rPr>
                <w:sz w:val="20"/>
              </w:rPr>
            </w:pPr>
            <w:r>
              <w:rPr>
                <w:spacing w:val="-2"/>
                <w:sz w:val="20"/>
              </w:rPr>
              <w:t>1.285416</w:t>
            </w:r>
          </w:p>
        </w:tc>
        <w:tc>
          <w:tcPr>
            <w:tcW w:w="936" w:type="dxa"/>
            <w:tcBorders>
              <w:bottom w:val="double" w:sz="6" w:space="0" w:color="000000"/>
            </w:tcBorders>
          </w:tcPr>
          <w:p>
            <w:pPr>
              <w:pStyle w:val="TableParagraph"/>
              <w:spacing w:line="205" w:lineRule="exact"/>
              <w:ind w:right="110"/>
              <w:jc w:val="right"/>
              <w:rPr>
                <w:sz w:val="20"/>
              </w:rPr>
            </w:pPr>
            <w:r>
              <w:rPr>
                <w:spacing w:val="-2"/>
                <w:sz w:val="20"/>
              </w:rPr>
              <w:t>2.066099</w:t>
            </w:r>
          </w:p>
        </w:tc>
        <w:tc>
          <w:tcPr>
            <w:tcW w:w="896" w:type="dxa"/>
            <w:tcBorders>
              <w:bottom w:val="double" w:sz="6" w:space="0" w:color="000000"/>
            </w:tcBorders>
          </w:tcPr>
          <w:p>
            <w:pPr>
              <w:pStyle w:val="TableParagraph"/>
              <w:spacing w:line="205" w:lineRule="exact"/>
              <w:ind w:right="26"/>
              <w:jc w:val="right"/>
              <w:rPr>
                <w:sz w:val="20"/>
              </w:rPr>
            </w:pPr>
            <w:r>
              <w:rPr>
                <w:spacing w:val="-2"/>
                <w:sz w:val="20"/>
              </w:rPr>
              <w:t>0.0459</w:t>
            </w:r>
          </w:p>
        </w:tc>
      </w:tr>
      <w:tr>
        <w:trPr>
          <w:trHeight w:val="276" w:hRule="atLeast"/>
        </w:trPr>
        <w:tc>
          <w:tcPr>
            <w:tcW w:w="1847" w:type="dxa"/>
            <w:tcBorders>
              <w:top w:val="double" w:sz="6" w:space="0" w:color="000000"/>
            </w:tcBorders>
          </w:tcPr>
          <w:p>
            <w:pPr>
              <w:pStyle w:val="TableParagraph"/>
              <w:spacing w:line="214" w:lineRule="exact" w:before="42"/>
              <w:ind w:left="36"/>
              <w:rPr>
                <w:sz w:val="20"/>
              </w:rPr>
            </w:pPr>
            <w:r>
              <w:rPr>
                <w:spacing w:val="-2"/>
                <w:sz w:val="20"/>
              </w:rPr>
              <w:t>R-squared</w:t>
            </w:r>
          </w:p>
        </w:tc>
        <w:tc>
          <w:tcPr>
            <w:tcW w:w="1375" w:type="dxa"/>
            <w:tcBorders>
              <w:top w:val="double" w:sz="6" w:space="0" w:color="000000"/>
            </w:tcBorders>
          </w:tcPr>
          <w:p>
            <w:pPr>
              <w:pStyle w:val="TableParagraph"/>
              <w:spacing w:line="214" w:lineRule="exact" w:before="42"/>
              <w:ind w:right="128"/>
              <w:jc w:val="right"/>
              <w:rPr>
                <w:sz w:val="20"/>
              </w:rPr>
            </w:pPr>
            <w:r>
              <w:rPr>
                <w:spacing w:val="-2"/>
                <w:sz w:val="20"/>
              </w:rPr>
              <w:t>0.221706</w:t>
            </w:r>
          </w:p>
        </w:tc>
        <w:tc>
          <w:tcPr>
            <w:tcW w:w="2368" w:type="dxa"/>
            <w:gridSpan w:val="2"/>
            <w:tcBorders>
              <w:top w:val="double" w:sz="6" w:space="0" w:color="000000"/>
            </w:tcBorders>
          </w:tcPr>
          <w:p>
            <w:pPr>
              <w:pStyle w:val="TableParagraph"/>
              <w:spacing w:line="214" w:lineRule="exact" w:before="42"/>
              <w:ind w:left="131"/>
              <w:rPr>
                <w:sz w:val="20"/>
              </w:rPr>
            </w:pPr>
            <w:r>
              <w:rPr>
                <w:sz w:val="20"/>
              </w:rPr>
              <w:t>Mean</w:t>
            </w:r>
            <w:r>
              <w:rPr>
                <w:spacing w:val="-7"/>
                <w:sz w:val="20"/>
              </w:rPr>
              <w:t> </w:t>
            </w:r>
            <w:r>
              <w:rPr>
                <w:sz w:val="20"/>
              </w:rPr>
              <w:t>dependent</w:t>
            </w:r>
            <w:r>
              <w:rPr>
                <w:spacing w:val="-7"/>
                <w:sz w:val="20"/>
              </w:rPr>
              <w:t> </w:t>
            </w:r>
            <w:r>
              <w:rPr>
                <w:spacing w:val="-5"/>
                <w:sz w:val="20"/>
              </w:rPr>
              <w:t>var</w:t>
            </w:r>
          </w:p>
        </w:tc>
        <w:tc>
          <w:tcPr>
            <w:tcW w:w="896" w:type="dxa"/>
            <w:tcBorders>
              <w:top w:val="double" w:sz="6" w:space="0" w:color="000000"/>
            </w:tcBorders>
          </w:tcPr>
          <w:p>
            <w:pPr>
              <w:pStyle w:val="TableParagraph"/>
              <w:spacing w:line="214" w:lineRule="exact" w:before="42"/>
              <w:ind w:right="26"/>
              <w:jc w:val="right"/>
              <w:rPr>
                <w:sz w:val="20"/>
              </w:rPr>
            </w:pPr>
            <w:r>
              <w:rPr>
                <w:spacing w:val="-2"/>
                <w:sz w:val="20"/>
              </w:rPr>
              <w:t>0.147875</w:t>
            </w:r>
          </w:p>
        </w:tc>
      </w:tr>
      <w:tr>
        <w:trPr>
          <w:trHeight w:val="229" w:hRule="atLeast"/>
        </w:trPr>
        <w:tc>
          <w:tcPr>
            <w:tcW w:w="1847" w:type="dxa"/>
          </w:tcPr>
          <w:p>
            <w:pPr>
              <w:pStyle w:val="TableParagraph"/>
              <w:spacing w:line="209" w:lineRule="exact"/>
              <w:ind w:left="36"/>
              <w:rPr>
                <w:sz w:val="20"/>
              </w:rPr>
            </w:pPr>
            <w:r>
              <w:rPr>
                <w:sz w:val="20"/>
              </w:rPr>
              <w:t>Adjusted</w:t>
            </w:r>
            <w:r>
              <w:rPr>
                <w:spacing w:val="-10"/>
                <w:sz w:val="20"/>
              </w:rPr>
              <w:t> </w:t>
            </w:r>
            <w:r>
              <w:rPr>
                <w:sz w:val="20"/>
              </w:rPr>
              <w:t>R-</w:t>
            </w:r>
            <w:r>
              <w:rPr>
                <w:spacing w:val="-2"/>
                <w:sz w:val="20"/>
              </w:rPr>
              <w:t>squared</w:t>
            </w:r>
          </w:p>
        </w:tc>
        <w:tc>
          <w:tcPr>
            <w:tcW w:w="1375" w:type="dxa"/>
          </w:tcPr>
          <w:p>
            <w:pPr>
              <w:pStyle w:val="TableParagraph"/>
              <w:spacing w:line="209" w:lineRule="exact"/>
              <w:ind w:right="128"/>
              <w:jc w:val="right"/>
              <w:rPr>
                <w:sz w:val="20"/>
              </w:rPr>
            </w:pPr>
            <w:r>
              <w:rPr>
                <w:spacing w:val="-2"/>
                <w:sz w:val="20"/>
              </w:rPr>
              <w:t>0.179636</w:t>
            </w:r>
          </w:p>
        </w:tc>
        <w:tc>
          <w:tcPr>
            <w:tcW w:w="2368" w:type="dxa"/>
            <w:gridSpan w:val="2"/>
          </w:tcPr>
          <w:p>
            <w:pPr>
              <w:pStyle w:val="TableParagraph"/>
              <w:spacing w:line="209" w:lineRule="exact"/>
              <w:ind w:left="131"/>
              <w:rPr>
                <w:sz w:val="20"/>
              </w:rPr>
            </w:pPr>
            <w:r>
              <w:rPr>
                <w:sz w:val="20"/>
              </w:rPr>
              <w:t>S.D.</w:t>
            </w:r>
            <w:r>
              <w:rPr>
                <w:spacing w:val="-5"/>
                <w:sz w:val="20"/>
              </w:rPr>
              <w:t> </w:t>
            </w:r>
            <w:r>
              <w:rPr>
                <w:sz w:val="20"/>
              </w:rPr>
              <w:t>dependent</w:t>
            </w:r>
            <w:r>
              <w:rPr>
                <w:spacing w:val="-6"/>
                <w:sz w:val="20"/>
              </w:rPr>
              <w:t> </w:t>
            </w:r>
            <w:r>
              <w:rPr>
                <w:spacing w:val="-5"/>
                <w:sz w:val="20"/>
              </w:rPr>
              <w:t>var</w:t>
            </w:r>
          </w:p>
        </w:tc>
        <w:tc>
          <w:tcPr>
            <w:tcW w:w="896" w:type="dxa"/>
          </w:tcPr>
          <w:p>
            <w:pPr>
              <w:pStyle w:val="TableParagraph"/>
              <w:spacing w:line="209" w:lineRule="exact"/>
              <w:ind w:right="26"/>
              <w:jc w:val="right"/>
              <w:rPr>
                <w:sz w:val="20"/>
              </w:rPr>
            </w:pPr>
            <w:r>
              <w:rPr>
                <w:spacing w:val="-2"/>
                <w:sz w:val="20"/>
              </w:rPr>
              <w:t>2.036369</w:t>
            </w:r>
          </w:p>
        </w:tc>
      </w:tr>
      <w:tr>
        <w:trPr>
          <w:trHeight w:val="230" w:hRule="atLeast"/>
        </w:trPr>
        <w:tc>
          <w:tcPr>
            <w:tcW w:w="1847" w:type="dxa"/>
          </w:tcPr>
          <w:p>
            <w:pPr>
              <w:pStyle w:val="TableParagraph"/>
              <w:spacing w:line="210" w:lineRule="exact"/>
              <w:ind w:left="36"/>
              <w:rPr>
                <w:sz w:val="20"/>
              </w:rPr>
            </w:pPr>
            <w:r>
              <w:rPr>
                <w:sz w:val="20"/>
              </w:rPr>
              <w:t>S.E.</w:t>
            </w:r>
            <w:r>
              <w:rPr>
                <w:spacing w:val="-3"/>
                <w:sz w:val="20"/>
              </w:rPr>
              <w:t> </w:t>
            </w:r>
            <w:r>
              <w:rPr>
                <w:sz w:val="20"/>
              </w:rPr>
              <w:t>of</w:t>
            </w:r>
            <w:r>
              <w:rPr>
                <w:spacing w:val="-3"/>
                <w:sz w:val="20"/>
              </w:rPr>
              <w:t> </w:t>
            </w:r>
            <w:r>
              <w:rPr>
                <w:spacing w:val="-2"/>
                <w:sz w:val="20"/>
              </w:rPr>
              <w:t>regression</w:t>
            </w:r>
          </w:p>
        </w:tc>
        <w:tc>
          <w:tcPr>
            <w:tcW w:w="1375" w:type="dxa"/>
          </w:tcPr>
          <w:p>
            <w:pPr>
              <w:pStyle w:val="TableParagraph"/>
              <w:spacing w:line="210" w:lineRule="exact"/>
              <w:ind w:right="128"/>
              <w:jc w:val="right"/>
              <w:rPr>
                <w:sz w:val="20"/>
              </w:rPr>
            </w:pPr>
            <w:r>
              <w:rPr>
                <w:spacing w:val="-2"/>
                <w:sz w:val="20"/>
              </w:rPr>
              <w:t>1.844419</w:t>
            </w:r>
          </w:p>
        </w:tc>
        <w:tc>
          <w:tcPr>
            <w:tcW w:w="2368" w:type="dxa"/>
            <w:gridSpan w:val="2"/>
          </w:tcPr>
          <w:p>
            <w:pPr>
              <w:pStyle w:val="TableParagraph"/>
              <w:spacing w:line="210" w:lineRule="exact"/>
              <w:ind w:left="131"/>
              <w:rPr>
                <w:sz w:val="20"/>
              </w:rPr>
            </w:pPr>
            <w:r>
              <w:rPr>
                <w:sz w:val="20"/>
              </w:rPr>
              <w:t>Akaike</w:t>
            </w:r>
            <w:r>
              <w:rPr>
                <w:spacing w:val="-8"/>
                <w:sz w:val="20"/>
              </w:rPr>
              <w:t> </w:t>
            </w:r>
            <w:r>
              <w:rPr>
                <w:sz w:val="20"/>
              </w:rPr>
              <w:t>info</w:t>
            </w:r>
            <w:r>
              <w:rPr>
                <w:spacing w:val="-7"/>
                <w:sz w:val="20"/>
              </w:rPr>
              <w:t> </w:t>
            </w:r>
            <w:r>
              <w:rPr>
                <w:spacing w:val="-2"/>
                <w:sz w:val="20"/>
              </w:rPr>
              <w:t>criterion</w:t>
            </w:r>
          </w:p>
        </w:tc>
        <w:tc>
          <w:tcPr>
            <w:tcW w:w="896" w:type="dxa"/>
          </w:tcPr>
          <w:p>
            <w:pPr>
              <w:pStyle w:val="TableParagraph"/>
              <w:spacing w:line="210" w:lineRule="exact"/>
              <w:ind w:right="26"/>
              <w:jc w:val="right"/>
              <w:rPr>
                <w:sz w:val="20"/>
              </w:rPr>
            </w:pPr>
            <w:r>
              <w:rPr>
                <w:spacing w:val="-2"/>
                <w:sz w:val="20"/>
              </w:rPr>
              <w:t>4.134244</w:t>
            </w:r>
          </w:p>
        </w:tc>
      </w:tr>
      <w:tr>
        <w:trPr>
          <w:trHeight w:val="230" w:hRule="atLeast"/>
        </w:trPr>
        <w:tc>
          <w:tcPr>
            <w:tcW w:w="1847" w:type="dxa"/>
          </w:tcPr>
          <w:p>
            <w:pPr>
              <w:pStyle w:val="TableParagraph"/>
              <w:spacing w:line="210" w:lineRule="exact"/>
              <w:ind w:left="36"/>
              <w:rPr>
                <w:sz w:val="20"/>
              </w:rPr>
            </w:pPr>
            <w:r>
              <w:rPr>
                <w:sz w:val="20"/>
              </w:rPr>
              <w:t>Sum</w:t>
            </w:r>
            <w:r>
              <w:rPr>
                <w:spacing w:val="-8"/>
                <w:sz w:val="20"/>
              </w:rPr>
              <w:t> </w:t>
            </w:r>
            <w:r>
              <w:rPr>
                <w:sz w:val="20"/>
              </w:rPr>
              <w:t>squared</w:t>
            </w:r>
            <w:r>
              <w:rPr>
                <w:spacing w:val="-4"/>
                <w:sz w:val="20"/>
              </w:rPr>
              <w:t> </w:t>
            </w:r>
            <w:r>
              <w:rPr>
                <w:spacing w:val="-2"/>
                <w:sz w:val="20"/>
              </w:rPr>
              <w:t>resid</w:t>
            </w:r>
          </w:p>
        </w:tc>
        <w:tc>
          <w:tcPr>
            <w:tcW w:w="1375" w:type="dxa"/>
          </w:tcPr>
          <w:p>
            <w:pPr>
              <w:pStyle w:val="TableParagraph"/>
              <w:spacing w:line="210" w:lineRule="exact"/>
              <w:ind w:right="128"/>
              <w:jc w:val="right"/>
              <w:rPr>
                <w:sz w:val="20"/>
              </w:rPr>
            </w:pPr>
            <w:r>
              <w:rPr>
                <w:spacing w:val="-2"/>
                <w:sz w:val="20"/>
              </w:rPr>
              <w:t>125.8696</w:t>
            </w:r>
          </w:p>
        </w:tc>
        <w:tc>
          <w:tcPr>
            <w:tcW w:w="2368" w:type="dxa"/>
            <w:gridSpan w:val="2"/>
          </w:tcPr>
          <w:p>
            <w:pPr>
              <w:pStyle w:val="TableParagraph"/>
              <w:spacing w:line="210" w:lineRule="exact"/>
              <w:ind w:left="131"/>
              <w:rPr>
                <w:sz w:val="20"/>
              </w:rPr>
            </w:pPr>
            <w:r>
              <w:rPr>
                <w:sz w:val="20"/>
              </w:rPr>
              <w:t>Schwarz</w:t>
            </w:r>
            <w:r>
              <w:rPr>
                <w:spacing w:val="-8"/>
                <w:sz w:val="20"/>
              </w:rPr>
              <w:t> </w:t>
            </w:r>
            <w:r>
              <w:rPr>
                <w:spacing w:val="-2"/>
                <w:sz w:val="20"/>
              </w:rPr>
              <w:t>criterion</w:t>
            </w:r>
          </w:p>
        </w:tc>
        <w:tc>
          <w:tcPr>
            <w:tcW w:w="896" w:type="dxa"/>
          </w:tcPr>
          <w:p>
            <w:pPr>
              <w:pStyle w:val="TableParagraph"/>
              <w:spacing w:line="210" w:lineRule="exact"/>
              <w:ind w:right="26"/>
              <w:jc w:val="right"/>
              <w:rPr>
                <w:sz w:val="20"/>
              </w:rPr>
            </w:pPr>
            <w:r>
              <w:rPr>
                <w:spacing w:val="-2"/>
                <w:sz w:val="20"/>
              </w:rPr>
              <w:t>4.260910</w:t>
            </w:r>
          </w:p>
        </w:tc>
      </w:tr>
      <w:tr>
        <w:trPr>
          <w:trHeight w:val="230" w:hRule="atLeast"/>
        </w:trPr>
        <w:tc>
          <w:tcPr>
            <w:tcW w:w="1847" w:type="dxa"/>
          </w:tcPr>
          <w:p>
            <w:pPr>
              <w:pStyle w:val="TableParagraph"/>
              <w:spacing w:line="210" w:lineRule="exact"/>
              <w:ind w:left="36"/>
              <w:rPr>
                <w:sz w:val="20"/>
              </w:rPr>
            </w:pPr>
            <w:r>
              <w:rPr>
                <w:sz w:val="20"/>
              </w:rPr>
              <w:t>Log</w:t>
            </w:r>
            <w:r>
              <w:rPr>
                <w:spacing w:val="-6"/>
                <w:sz w:val="20"/>
              </w:rPr>
              <w:t> </w:t>
            </w:r>
            <w:r>
              <w:rPr>
                <w:spacing w:val="-2"/>
                <w:sz w:val="20"/>
              </w:rPr>
              <w:t>likelihood</w:t>
            </w:r>
          </w:p>
        </w:tc>
        <w:tc>
          <w:tcPr>
            <w:tcW w:w="1375" w:type="dxa"/>
          </w:tcPr>
          <w:p>
            <w:pPr>
              <w:pStyle w:val="TableParagraph"/>
              <w:spacing w:line="210" w:lineRule="exact"/>
              <w:ind w:right="128"/>
              <w:jc w:val="right"/>
              <w:rPr>
                <w:sz w:val="20"/>
              </w:rPr>
            </w:pPr>
            <w:r>
              <w:rPr>
                <w:spacing w:val="-4"/>
                <w:sz w:val="20"/>
              </w:rPr>
              <w:t>-</w:t>
            </w:r>
            <w:r>
              <w:rPr>
                <w:spacing w:val="-2"/>
                <w:sz w:val="20"/>
              </w:rPr>
              <w:t>79.68489</w:t>
            </w:r>
          </w:p>
        </w:tc>
        <w:tc>
          <w:tcPr>
            <w:tcW w:w="1432" w:type="dxa"/>
          </w:tcPr>
          <w:p>
            <w:pPr>
              <w:pStyle w:val="TableParagraph"/>
              <w:spacing w:line="210" w:lineRule="exact"/>
              <w:ind w:left="131"/>
              <w:rPr>
                <w:sz w:val="20"/>
              </w:rPr>
            </w:pPr>
            <w:r>
              <w:rPr>
                <w:spacing w:val="-4"/>
                <w:sz w:val="20"/>
              </w:rPr>
              <w:t>F-</w:t>
            </w:r>
            <w:r>
              <w:rPr>
                <w:spacing w:val="-2"/>
                <w:sz w:val="20"/>
              </w:rPr>
              <w:t>statistic</w:t>
            </w:r>
          </w:p>
        </w:tc>
        <w:tc>
          <w:tcPr>
            <w:tcW w:w="936" w:type="dxa"/>
          </w:tcPr>
          <w:p>
            <w:pPr>
              <w:pStyle w:val="TableParagraph"/>
              <w:rPr>
                <w:sz w:val="16"/>
              </w:rPr>
            </w:pPr>
          </w:p>
        </w:tc>
        <w:tc>
          <w:tcPr>
            <w:tcW w:w="896" w:type="dxa"/>
          </w:tcPr>
          <w:p>
            <w:pPr>
              <w:pStyle w:val="TableParagraph"/>
              <w:spacing w:line="210" w:lineRule="exact"/>
              <w:ind w:right="26"/>
              <w:jc w:val="right"/>
              <w:rPr>
                <w:sz w:val="20"/>
              </w:rPr>
            </w:pPr>
            <w:r>
              <w:rPr>
                <w:spacing w:val="-2"/>
                <w:sz w:val="20"/>
              </w:rPr>
              <w:t>5.269946</w:t>
            </w:r>
          </w:p>
        </w:tc>
      </w:tr>
      <w:tr>
        <w:trPr>
          <w:trHeight w:val="265" w:hRule="atLeast"/>
        </w:trPr>
        <w:tc>
          <w:tcPr>
            <w:tcW w:w="1847" w:type="dxa"/>
            <w:tcBorders>
              <w:bottom w:val="double" w:sz="6" w:space="0" w:color="000000"/>
            </w:tcBorders>
          </w:tcPr>
          <w:p>
            <w:pPr>
              <w:pStyle w:val="TableParagraph"/>
              <w:spacing w:line="226" w:lineRule="exact"/>
              <w:ind w:left="36"/>
              <w:rPr>
                <w:sz w:val="20"/>
              </w:rPr>
            </w:pPr>
            <w:r>
              <w:rPr>
                <w:sz w:val="20"/>
              </w:rPr>
              <w:t>Durbin-Watson</w:t>
            </w:r>
            <w:r>
              <w:rPr>
                <w:spacing w:val="-12"/>
                <w:sz w:val="20"/>
              </w:rPr>
              <w:t> </w:t>
            </w:r>
            <w:r>
              <w:rPr>
                <w:spacing w:val="-4"/>
                <w:sz w:val="20"/>
              </w:rPr>
              <w:t>stat</w:t>
            </w:r>
          </w:p>
        </w:tc>
        <w:tc>
          <w:tcPr>
            <w:tcW w:w="1375" w:type="dxa"/>
          </w:tcPr>
          <w:p>
            <w:pPr>
              <w:pStyle w:val="TableParagraph"/>
              <w:spacing w:line="226" w:lineRule="exact"/>
              <w:ind w:right="128"/>
              <w:jc w:val="right"/>
              <w:rPr>
                <w:sz w:val="20"/>
              </w:rPr>
            </w:pPr>
            <w:r>
              <w:rPr>
                <w:spacing w:val="-2"/>
                <w:sz w:val="20"/>
              </w:rPr>
              <w:t>2.202112</w:t>
            </w:r>
          </w:p>
        </w:tc>
        <w:tc>
          <w:tcPr>
            <w:tcW w:w="1432" w:type="dxa"/>
            <w:tcBorders>
              <w:bottom w:val="double" w:sz="6" w:space="0" w:color="000000"/>
            </w:tcBorders>
          </w:tcPr>
          <w:p>
            <w:pPr>
              <w:pStyle w:val="TableParagraph"/>
              <w:spacing w:line="226" w:lineRule="exact"/>
              <w:ind w:left="131"/>
              <w:rPr>
                <w:sz w:val="20"/>
              </w:rPr>
            </w:pPr>
            <w:r>
              <w:rPr>
                <w:spacing w:val="-2"/>
                <w:sz w:val="20"/>
              </w:rPr>
              <w:t>Prob(F-statistic)</w:t>
            </w:r>
          </w:p>
        </w:tc>
        <w:tc>
          <w:tcPr>
            <w:tcW w:w="936" w:type="dxa"/>
            <w:tcBorders>
              <w:bottom w:val="single" w:sz="6" w:space="0" w:color="000000"/>
            </w:tcBorders>
          </w:tcPr>
          <w:p>
            <w:pPr>
              <w:pStyle w:val="TableParagraph"/>
              <w:rPr>
                <w:sz w:val="18"/>
              </w:rPr>
            </w:pPr>
          </w:p>
        </w:tc>
        <w:tc>
          <w:tcPr>
            <w:tcW w:w="896" w:type="dxa"/>
            <w:tcBorders>
              <w:bottom w:val="double" w:sz="6" w:space="0" w:color="000000"/>
            </w:tcBorders>
          </w:tcPr>
          <w:p>
            <w:pPr>
              <w:pStyle w:val="TableParagraph"/>
              <w:spacing w:line="226" w:lineRule="exact"/>
              <w:ind w:right="26"/>
              <w:jc w:val="right"/>
              <w:rPr>
                <w:sz w:val="20"/>
              </w:rPr>
            </w:pPr>
            <w:r>
              <w:rPr>
                <w:spacing w:val="-2"/>
                <w:sz w:val="20"/>
              </w:rPr>
              <w:t>0.009686</w:t>
            </w:r>
          </w:p>
        </w:tc>
      </w:tr>
    </w:tbl>
    <w:p>
      <w:pPr>
        <w:pStyle w:val="BodyText"/>
        <w:rPr>
          <w:sz w:val="20"/>
        </w:rPr>
      </w:pPr>
    </w:p>
    <w:p>
      <w:pPr>
        <w:pStyle w:val="BodyText"/>
        <w:spacing w:before="16"/>
        <w:rPr>
          <w:sz w:val="20"/>
        </w:rPr>
      </w:pPr>
    </w:p>
    <w:p>
      <w:pPr>
        <w:spacing w:before="0"/>
        <w:ind w:left="711" w:right="0" w:firstLine="0"/>
        <w:jc w:val="left"/>
        <w:rPr>
          <w:sz w:val="20"/>
        </w:rPr>
      </w:pPr>
      <w:r>
        <w:rPr>
          <w:sz w:val="20"/>
        </w:rPr>
        <w:t>GCF</w:t>
      </w:r>
      <w:r>
        <w:rPr>
          <w:spacing w:val="-2"/>
          <w:sz w:val="20"/>
        </w:rPr>
        <w:t> </w:t>
      </w:r>
      <w:r>
        <w:rPr>
          <w:sz w:val="20"/>
        </w:rPr>
        <w:t>@</w:t>
      </w:r>
      <w:r>
        <w:rPr>
          <w:spacing w:val="-5"/>
          <w:sz w:val="20"/>
        </w:rPr>
        <w:t> </w:t>
      </w:r>
      <w:r>
        <w:rPr>
          <w:sz w:val="20"/>
        </w:rPr>
        <w:t>1</w:t>
      </w:r>
      <w:r>
        <w:rPr>
          <w:sz w:val="20"/>
          <w:vertAlign w:val="superscript"/>
        </w:rPr>
        <w:t>ST</w:t>
      </w:r>
      <w:r>
        <w:rPr>
          <w:spacing w:val="-4"/>
          <w:sz w:val="20"/>
          <w:vertAlign w:val="baseline"/>
        </w:rPr>
        <w:t> DIFF</w:t>
      </w:r>
    </w:p>
    <w:tbl>
      <w:tblPr>
        <w:tblW w:w="0" w:type="auto"/>
        <w:jc w:val="left"/>
        <w:tblInd w:w="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47"/>
        <w:gridCol w:w="1375"/>
        <w:gridCol w:w="1432"/>
        <w:gridCol w:w="904"/>
        <w:gridCol w:w="929"/>
      </w:tblGrid>
      <w:tr>
        <w:trPr>
          <w:trHeight w:val="225" w:hRule="atLeast"/>
        </w:trPr>
        <w:tc>
          <w:tcPr>
            <w:tcW w:w="1847" w:type="dxa"/>
          </w:tcPr>
          <w:p>
            <w:pPr>
              <w:pStyle w:val="TableParagraph"/>
              <w:spacing w:line="205" w:lineRule="exact"/>
              <w:ind w:left="36"/>
              <w:rPr>
                <w:sz w:val="20"/>
              </w:rPr>
            </w:pPr>
            <w:r>
              <w:rPr>
                <w:sz w:val="20"/>
              </w:rPr>
              <w:t>ADF</w:t>
            </w:r>
            <w:r>
              <w:rPr>
                <w:spacing w:val="-4"/>
                <w:sz w:val="20"/>
              </w:rPr>
              <w:t> </w:t>
            </w:r>
            <w:r>
              <w:rPr>
                <w:sz w:val="20"/>
              </w:rPr>
              <w:t>Test</w:t>
            </w:r>
            <w:r>
              <w:rPr>
                <w:spacing w:val="-4"/>
                <w:sz w:val="20"/>
              </w:rPr>
              <w:t> </w:t>
            </w:r>
            <w:r>
              <w:rPr>
                <w:spacing w:val="-2"/>
                <w:sz w:val="20"/>
              </w:rPr>
              <w:t>Statistic</w:t>
            </w:r>
          </w:p>
        </w:tc>
        <w:tc>
          <w:tcPr>
            <w:tcW w:w="1375" w:type="dxa"/>
          </w:tcPr>
          <w:p>
            <w:pPr>
              <w:pStyle w:val="TableParagraph"/>
              <w:spacing w:line="205" w:lineRule="exact"/>
              <w:ind w:left="219"/>
              <w:rPr>
                <w:sz w:val="20"/>
              </w:rPr>
            </w:pPr>
            <w:r>
              <w:rPr>
                <w:spacing w:val="-4"/>
                <w:sz w:val="20"/>
              </w:rPr>
              <w:t>-</w:t>
            </w:r>
            <w:r>
              <w:rPr>
                <w:spacing w:val="-2"/>
                <w:sz w:val="20"/>
              </w:rPr>
              <w:t>8.681226</w:t>
            </w:r>
          </w:p>
        </w:tc>
        <w:tc>
          <w:tcPr>
            <w:tcW w:w="2336" w:type="dxa"/>
            <w:gridSpan w:val="2"/>
          </w:tcPr>
          <w:p>
            <w:pPr>
              <w:pStyle w:val="TableParagraph"/>
              <w:spacing w:line="205" w:lineRule="exact"/>
              <w:ind w:left="131"/>
              <w:rPr>
                <w:sz w:val="20"/>
              </w:rPr>
            </w:pPr>
            <w:r>
              <w:rPr>
                <w:sz w:val="20"/>
              </w:rPr>
              <w:t>1%</w:t>
            </w:r>
            <w:r>
              <w:rPr>
                <w:spacing w:val="68"/>
                <w:w w:val="150"/>
                <w:sz w:val="20"/>
              </w:rPr>
              <w:t> </w:t>
            </w:r>
            <w:r>
              <w:rPr>
                <w:sz w:val="20"/>
              </w:rPr>
              <w:t>Critical</w:t>
            </w:r>
            <w:r>
              <w:rPr>
                <w:spacing w:val="-2"/>
                <w:sz w:val="20"/>
              </w:rPr>
              <w:t> Value*</w:t>
            </w:r>
          </w:p>
        </w:tc>
        <w:tc>
          <w:tcPr>
            <w:tcW w:w="929" w:type="dxa"/>
          </w:tcPr>
          <w:p>
            <w:pPr>
              <w:pStyle w:val="TableParagraph"/>
              <w:spacing w:line="205" w:lineRule="exact"/>
              <w:ind w:right="27"/>
              <w:jc w:val="right"/>
              <w:rPr>
                <w:sz w:val="20"/>
              </w:rPr>
            </w:pPr>
            <w:r>
              <w:rPr>
                <w:spacing w:val="-4"/>
                <w:sz w:val="20"/>
              </w:rPr>
              <w:t>-</w:t>
            </w:r>
            <w:r>
              <w:rPr>
                <w:spacing w:val="-2"/>
                <w:sz w:val="20"/>
              </w:rPr>
              <w:t>3.6067</w:t>
            </w:r>
          </w:p>
        </w:tc>
      </w:tr>
      <w:tr>
        <w:trPr>
          <w:trHeight w:val="230" w:hRule="atLeast"/>
        </w:trPr>
        <w:tc>
          <w:tcPr>
            <w:tcW w:w="1847" w:type="dxa"/>
          </w:tcPr>
          <w:p>
            <w:pPr>
              <w:pStyle w:val="TableParagraph"/>
              <w:rPr>
                <w:sz w:val="16"/>
              </w:rPr>
            </w:pPr>
          </w:p>
        </w:tc>
        <w:tc>
          <w:tcPr>
            <w:tcW w:w="1375" w:type="dxa"/>
          </w:tcPr>
          <w:p>
            <w:pPr>
              <w:pStyle w:val="TableParagraph"/>
              <w:rPr>
                <w:sz w:val="16"/>
              </w:rPr>
            </w:pPr>
          </w:p>
        </w:tc>
        <w:tc>
          <w:tcPr>
            <w:tcW w:w="2336" w:type="dxa"/>
            <w:gridSpan w:val="2"/>
          </w:tcPr>
          <w:p>
            <w:pPr>
              <w:pStyle w:val="TableParagraph"/>
              <w:spacing w:line="210" w:lineRule="exact"/>
              <w:ind w:left="131"/>
              <w:rPr>
                <w:sz w:val="20"/>
              </w:rPr>
            </w:pPr>
            <w:r>
              <w:rPr>
                <w:sz w:val="20"/>
              </w:rPr>
              <w:t>5%</w:t>
            </w:r>
            <w:r>
              <w:rPr>
                <w:spacing w:val="68"/>
                <w:w w:val="150"/>
                <w:sz w:val="20"/>
              </w:rPr>
              <w:t> </w:t>
            </w:r>
            <w:r>
              <w:rPr>
                <w:sz w:val="20"/>
              </w:rPr>
              <w:t>Critical</w:t>
            </w:r>
            <w:r>
              <w:rPr>
                <w:spacing w:val="-2"/>
                <w:sz w:val="20"/>
              </w:rPr>
              <w:t> </w:t>
            </w:r>
            <w:r>
              <w:rPr>
                <w:spacing w:val="-4"/>
                <w:sz w:val="20"/>
              </w:rPr>
              <w:t>Value</w:t>
            </w:r>
          </w:p>
        </w:tc>
        <w:tc>
          <w:tcPr>
            <w:tcW w:w="929" w:type="dxa"/>
          </w:tcPr>
          <w:p>
            <w:pPr>
              <w:pStyle w:val="TableParagraph"/>
              <w:spacing w:line="210" w:lineRule="exact"/>
              <w:ind w:right="27"/>
              <w:jc w:val="right"/>
              <w:rPr>
                <w:sz w:val="20"/>
              </w:rPr>
            </w:pPr>
            <w:r>
              <w:rPr>
                <w:spacing w:val="-4"/>
                <w:sz w:val="20"/>
              </w:rPr>
              <w:t>-</w:t>
            </w:r>
            <w:r>
              <w:rPr>
                <w:spacing w:val="-2"/>
                <w:sz w:val="20"/>
              </w:rPr>
              <w:t>2.9378</w:t>
            </w:r>
          </w:p>
        </w:tc>
      </w:tr>
      <w:tr>
        <w:trPr>
          <w:trHeight w:val="224" w:hRule="atLeast"/>
        </w:trPr>
        <w:tc>
          <w:tcPr>
            <w:tcW w:w="1847" w:type="dxa"/>
            <w:tcBorders>
              <w:bottom w:val="double" w:sz="6" w:space="0" w:color="000000"/>
            </w:tcBorders>
          </w:tcPr>
          <w:p>
            <w:pPr>
              <w:pStyle w:val="TableParagraph"/>
              <w:rPr>
                <w:sz w:val="16"/>
              </w:rPr>
            </w:pPr>
          </w:p>
        </w:tc>
        <w:tc>
          <w:tcPr>
            <w:tcW w:w="1375" w:type="dxa"/>
            <w:tcBorders>
              <w:bottom w:val="double" w:sz="6" w:space="0" w:color="000000"/>
            </w:tcBorders>
          </w:tcPr>
          <w:p>
            <w:pPr>
              <w:pStyle w:val="TableParagraph"/>
              <w:rPr>
                <w:sz w:val="16"/>
              </w:rPr>
            </w:pPr>
          </w:p>
        </w:tc>
        <w:tc>
          <w:tcPr>
            <w:tcW w:w="2336" w:type="dxa"/>
            <w:gridSpan w:val="2"/>
            <w:tcBorders>
              <w:bottom w:val="double" w:sz="6" w:space="0" w:color="000000"/>
            </w:tcBorders>
          </w:tcPr>
          <w:p>
            <w:pPr>
              <w:pStyle w:val="TableParagraph"/>
              <w:spacing w:line="205" w:lineRule="exact"/>
              <w:ind w:left="131"/>
              <w:rPr>
                <w:sz w:val="20"/>
              </w:rPr>
            </w:pPr>
            <w:r>
              <w:rPr>
                <w:sz w:val="20"/>
              </w:rPr>
              <w:t>10%</w:t>
            </w:r>
            <w:r>
              <w:rPr>
                <w:spacing w:val="-6"/>
                <w:sz w:val="20"/>
              </w:rPr>
              <w:t> </w:t>
            </w:r>
            <w:r>
              <w:rPr>
                <w:sz w:val="20"/>
              </w:rPr>
              <w:t>Critical</w:t>
            </w:r>
            <w:r>
              <w:rPr>
                <w:spacing w:val="-4"/>
                <w:sz w:val="20"/>
              </w:rPr>
              <w:t> </w:t>
            </w:r>
            <w:r>
              <w:rPr>
                <w:spacing w:val="-2"/>
                <w:sz w:val="20"/>
              </w:rPr>
              <w:t>Value</w:t>
            </w:r>
          </w:p>
        </w:tc>
        <w:tc>
          <w:tcPr>
            <w:tcW w:w="929" w:type="dxa"/>
            <w:tcBorders>
              <w:bottom w:val="double" w:sz="6" w:space="0" w:color="000000"/>
            </w:tcBorders>
          </w:tcPr>
          <w:p>
            <w:pPr>
              <w:pStyle w:val="TableParagraph"/>
              <w:spacing w:line="205" w:lineRule="exact"/>
              <w:ind w:right="27"/>
              <w:jc w:val="right"/>
              <w:rPr>
                <w:sz w:val="20"/>
              </w:rPr>
            </w:pPr>
            <w:r>
              <w:rPr>
                <w:spacing w:val="-4"/>
                <w:sz w:val="20"/>
              </w:rPr>
              <w:t>-</w:t>
            </w:r>
            <w:r>
              <w:rPr>
                <w:spacing w:val="-2"/>
                <w:sz w:val="20"/>
              </w:rPr>
              <w:t>2.6069</w:t>
            </w:r>
          </w:p>
        </w:tc>
      </w:tr>
      <w:tr>
        <w:trPr>
          <w:trHeight w:val="505" w:hRule="atLeast"/>
        </w:trPr>
        <w:tc>
          <w:tcPr>
            <w:tcW w:w="6487" w:type="dxa"/>
            <w:gridSpan w:val="5"/>
            <w:tcBorders>
              <w:top w:val="double" w:sz="6" w:space="0" w:color="000000"/>
            </w:tcBorders>
          </w:tcPr>
          <w:p>
            <w:pPr>
              <w:pStyle w:val="TableParagraph"/>
              <w:spacing w:before="40"/>
              <w:ind w:left="36"/>
              <w:rPr>
                <w:sz w:val="20"/>
              </w:rPr>
            </w:pPr>
            <w:r>
              <w:rPr>
                <w:sz w:val="20"/>
              </w:rPr>
              <w:t>*MacKinnon</w:t>
            </w:r>
            <w:r>
              <w:rPr>
                <w:spacing w:val="-6"/>
                <w:sz w:val="20"/>
              </w:rPr>
              <w:t> </w:t>
            </w:r>
            <w:r>
              <w:rPr>
                <w:sz w:val="20"/>
              </w:rPr>
              <w:t>critical</w:t>
            </w:r>
            <w:r>
              <w:rPr>
                <w:spacing w:val="-4"/>
                <w:sz w:val="20"/>
              </w:rPr>
              <w:t> </w:t>
            </w:r>
            <w:r>
              <w:rPr>
                <w:sz w:val="20"/>
              </w:rPr>
              <w:t>values</w:t>
            </w:r>
            <w:r>
              <w:rPr>
                <w:spacing w:val="-6"/>
                <w:sz w:val="20"/>
              </w:rPr>
              <w:t> </w:t>
            </w:r>
            <w:r>
              <w:rPr>
                <w:sz w:val="20"/>
              </w:rPr>
              <w:t>for</w:t>
            </w:r>
            <w:r>
              <w:rPr>
                <w:spacing w:val="-4"/>
                <w:sz w:val="20"/>
              </w:rPr>
              <w:t> </w:t>
            </w:r>
            <w:r>
              <w:rPr>
                <w:sz w:val="20"/>
              </w:rPr>
              <w:t>rejection</w:t>
            </w:r>
            <w:r>
              <w:rPr>
                <w:spacing w:val="-6"/>
                <w:sz w:val="20"/>
              </w:rPr>
              <w:t> </w:t>
            </w:r>
            <w:r>
              <w:rPr>
                <w:sz w:val="20"/>
              </w:rPr>
              <w:t>of</w:t>
            </w:r>
            <w:r>
              <w:rPr>
                <w:spacing w:val="-6"/>
                <w:sz w:val="20"/>
              </w:rPr>
              <w:t> </w:t>
            </w:r>
            <w:r>
              <w:rPr>
                <w:sz w:val="20"/>
              </w:rPr>
              <w:t>hypothesis</w:t>
            </w:r>
            <w:r>
              <w:rPr>
                <w:spacing w:val="-6"/>
                <w:sz w:val="20"/>
              </w:rPr>
              <w:t> </w:t>
            </w:r>
            <w:r>
              <w:rPr>
                <w:sz w:val="20"/>
              </w:rPr>
              <w:t>of</w:t>
            </w:r>
            <w:r>
              <w:rPr>
                <w:spacing w:val="-6"/>
                <w:sz w:val="20"/>
              </w:rPr>
              <w:t> </w:t>
            </w:r>
            <w:r>
              <w:rPr>
                <w:sz w:val="20"/>
              </w:rPr>
              <w:t>a</w:t>
            </w:r>
            <w:r>
              <w:rPr>
                <w:spacing w:val="-4"/>
                <w:sz w:val="20"/>
              </w:rPr>
              <w:t> </w:t>
            </w:r>
            <w:r>
              <w:rPr>
                <w:sz w:val="20"/>
              </w:rPr>
              <w:t>unit</w:t>
            </w:r>
            <w:r>
              <w:rPr>
                <w:spacing w:val="-6"/>
                <w:sz w:val="20"/>
              </w:rPr>
              <w:t> </w:t>
            </w:r>
            <w:r>
              <w:rPr>
                <w:spacing w:val="-2"/>
                <w:sz w:val="20"/>
              </w:rPr>
              <w:t>root.</w:t>
            </w:r>
          </w:p>
        </w:tc>
      </w:tr>
      <w:tr>
        <w:trPr>
          <w:trHeight w:val="460" w:hRule="atLeast"/>
        </w:trPr>
        <w:tc>
          <w:tcPr>
            <w:tcW w:w="6487" w:type="dxa"/>
            <w:gridSpan w:val="5"/>
          </w:tcPr>
          <w:p>
            <w:pPr>
              <w:pStyle w:val="TableParagraph"/>
              <w:spacing w:line="215" w:lineRule="exact" w:before="226"/>
              <w:ind w:left="36"/>
              <w:rPr>
                <w:sz w:val="20"/>
              </w:rPr>
            </w:pPr>
            <w:r>
              <w:rPr>
                <w:sz w:val="20"/>
              </w:rPr>
              <w:t>Augmented</w:t>
            </w:r>
            <w:r>
              <w:rPr>
                <w:spacing w:val="-8"/>
                <w:sz w:val="20"/>
              </w:rPr>
              <w:t> </w:t>
            </w:r>
            <w:r>
              <w:rPr>
                <w:sz w:val="20"/>
              </w:rPr>
              <w:t>Dickey-Fuller</w:t>
            </w:r>
            <w:r>
              <w:rPr>
                <w:spacing w:val="-8"/>
                <w:sz w:val="20"/>
              </w:rPr>
              <w:t> </w:t>
            </w:r>
            <w:r>
              <w:rPr>
                <w:sz w:val="20"/>
              </w:rPr>
              <w:t>Test</w:t>
            </w:r>
            <w:r>
              <w:rPr>
                <w:spacing w:val="-9"/>
                <w:sz w:val="20"/>
              </w:rPr>
              <w:t> </w:t>
            </w:r>
            <w:r>
              <w:rPr>
                <w:spacing w:val="-2"/>
                <w:sz w:val="20"/>
              </w:rPr>
              <w:t>Equation</w:t>
            </w:r>
          </w:p>
        </w:tc>
      </w:tr>
      <w:tr>
        <w:trPr>
          <w:trHeight w:val="229" w:hRule="atLeast"/>
        </w:trPr>
        <w:tc>
          <w:tcPr>
            <w:tcW w:w="6487" w:type="dxa"/>
            <w:gridSpan w:val="5"/>
          </w:tcPr>
          <w:p>
            <w:pPr>
              <w:pStyle w:val="TableParagraph"/>
              <w:spacing w:line="209" w:lineRule="exact"/>
              <w:ind w:left="36"/>
              <w:rPr>
                <w:sz w:val="20"/>
              </w:rPr>
            </w:pPr>
            <w:r>
              <w:rPr>
                <w:sz w:val="20"/>
              </w:rPr>
              <w:t>Dependent</w:t>
            </w:r>
            <w:r>
              <w:rPr>
                <w:spacing w:val="-7"/>
                <w:sz w:val="20"/>
              </w:rPr>
              <w:t> </w:t>
            </w:r>
            <w:r>
              <w:rPr>
                <w:sz w:val="20"/>
              </w:rPr>
              <w:t>Variable:</w:t>
            </w:r>
            <w:r>
              <w:rPr>
                <w:spacing w:val="-7"/>
                <w:sz w:val="20"/>
              </w:rPr>
              <w:t> </w:t>
            </w:r>
            <w:r>
              <w:rPr>
                <w:spacing w:val="-2"/>
                <w:sz w:val="20"/>
              </w:rPr>
              <w:t>D(GCF,2)</w:t>
            </w:r>
          </w:p>
        </w:tc>
      </w:tr>
      <w:tr>
        <w:trPr>
          <w:trHeight w:val="229" w:hRule="atLeast"/>
        </w:trPr>
        <w:tc>
          <w:tcPr>
            <w:tcW w:w="6487" w:type="dxa"/>
            <w:gridSpan w:val="5"/>
          </w:tcPr>
          <w:p>
            <w:pPr>
              <w:pStyle w:val="TableParagraph"/>
              <w:spacing w:line="209" w:lineRule="exact"/>
              <w:ind w:left="36"/>
              <w:rPr>
                <w:sz w:val="20"/>
              </w:rPr>
            </w:pPr>
            <w:r>
              <w:rPr>
                <w:sz w:val="20"/>
              </w:rPr>
              <w:t>Method:</w:t>
            </w:r>
            <w:r>
              <w:rPr>
                <w:spacing w:val="-8"/>
                <w:sz w:val="20"/>
              </w:rPr>
              <w:t> </w:t>
            </w:r>
            <w:r>
              <w:rPr>
                <w:sz w:val="20"/>
              </w:rPr>
              <w:t>Least</w:t>
            </w:r>
            <w:r>
              <w:rPr>
                <w:spacing w:val="-7"/>
                <w:sz w:val="20"/>
              </w:rPr>
              <w:t> </w:t>
            </w:r>
            <w:r>
              <w:rPr>
                <w:spacing w:val="-2"/>
                <w:sz w:val="20"/>
              </w:rPr>
              <w:t>Squares</w:t>
            </w:r>
          </w:p>
        </w:tc>
      </w:tr>
      <w:tr>
        <w:trPr>
          <w:trHeight w:val="230" w:hRule="atLeast"/>
        </w:trPr>
        <w:tc>
          <w:tcPr>
            <w:tcW w:w="6487" w:type="dxa"/>
            <w:gridSpan w:val="5"/>
          </w:tcPr>
          <w:p>
            <w:pPr>
              <w:pStyle w:val="TableParagraph"/>
              <w:spacing w:line="210" w:lineRule="exact"/>
              <w:ind w:left="36"/>
              <w:rPr>
                <w:sz w:val="20"/>
              </w:rPr>
            </w:pPr>
            <w:r>
              <w:rPr>
                <w:sz w:val="20"/>
              </w:rPr>
              <w:t>Date:</w:t>
            </w:r>
            <w:r>
              <w:rPr>
                <w:spacing w:val="-5"/>
                <w:sz w:val="20"/>
              </w:rPr>
              <w:t> </w:t>
            </w:r>
            <w:r>
              <w:rPr>
                <w:sz w:val="20"/>
              </w:rPr>
              <w:t>02/18/14</w:t>
            </w:r>
            <w:r>
              <w:rPr>
                <w:spacing w:val="63"/>
                <w:w w:val="150"/>
                <w:sz w:val="20"/>
              </w:rPr>
              <w:t> </w:t>
            </w:r>
            <w:r>
              <w:rPr>
                <w:sz w:val="20"/>
              </w:rPr>
              <w:t>Time:</w:t>
            </w:r>
            <w:r>
              <w:rPr>
                <w:spacing w:val="-3"/>
                <w:sz w:val="20"/>
              </w:rPr>
              <w:t> </w:t>
            </w:r>
            <w:r>
              <w:rPr>
                <w:spacing w:val="-2"/>
                <w:sz w:val="20"/>
              </w:rPr>
              <w:t>09:18</w:t>
            </w:r>
          </w:p>
        </w:tc>
      </w:tr>
      <w:tr>
        <w:trPr>
          <w:trHeight w:val="230" w:hRule="atLeast"/>
        </w:trPr>
        <w:tc>
          <w:tcPr>
            <w:tcW w:w="6487" w:type="dxa"/>
            <w:gridSpan w:val="5"/>
          </w:tcPr>
          <w:p>
            <w:pPr>
              <w:pStyle w:val="TableParagraph"/>
              <w:spacing w:line="210" w:lineRule="exact"/>
              <w:ind w:left="36"/>
              <w:rPr>
                <w:sz w:val="20"/>
              </w:rPr>
            </w:pPr>
            <w:r>
              <w:rPr>
                <w:sz w:val="20"/>
              </w:rPr>
              <w:t>Sample(adjusted):</w:t>
            </w:r>
            <w:r>
              <w:rPr>
                <w:spacing w:val="-9"/>
                <w:sz w:val="20"/>
              </w:rPr>
              <w:t> </w:t>
            </w:r>
            <w:r>
              <w:rPr>
                <w:sz w:val="20"/>
              </w:rPr>
              <w:t>1973</w:t>
            </w:r>
            <w:r>
              <w:rPr>
                <w:spacing w:val="-9"/>
                <w:sz w:val="20"/>
              </w:rPr>
              <w:t> </w:t>
            </w:r>
            <w:r>
              <w:rPr>
                <w:spacing w:val="-4"/>
                <w:sz w:val="20"/>
              </w:rPr>
              <w:t>2011</w:t>
            </w:r>
          </w:p>
        </w:tc>
      </w:tr>
      <w:tr>
        <w:trPr>
          <w:trHeight w:val="224" w:hRule="atLeast"/>
        </w:trPr>
        <w:tc>
          <w:tcPr>
            <w:tcW w:w="6487" w:type="dxa"/>
            <w:gridSpan w:val="5"/>
            <w:tcBorders>
              <w:bottom w:val="double" w:sz="6" w:space="0" w:color="000000"/>
            </w:tcBorders>
          </w:tcPr>
          <w:p>
            <w:pPr>
              <w:pStyle w:val="TableParagraph"/>
              <w:spacing w:line="205" w:lineRule="exact"/>
              <w:ind w:left="36"/>
              <w:rPr>
                <w:sz w:val="20"/>
              </w:rPr>
            </w:pPr>
            <w:r>
              <w:rPr>
                <w:sz w:val="20"/>
              </w:rPr>
              <w:t>Included</w:t>
            </w:r>
            <w:r>
              <w:rPr>
                <w:spacing w:val="-6"/>
                <w:sz w:val="20"/>
              </w:rPr>
              <w:t> </w:t>
            </w:r>
            <w:r>
              <w:rPr>
                <w:sz w:val="20"/>
              </w:rPr>
              <w:t>observations:</w:t>
            </w:r>
            <w:r>
              <w:rPr>
                <w:spacing w:val="-8"/>
                <w:sz w:val="20"/>
              </w:rPr>
              <w:t> </w:t>
            </w:r>
            <w:r>
              <w:rPr>
                <w:sz w:val="20"/>
              </w:rPr>
              <w:t>39</w:t>
            </w:r>
            <w:r>
              <w:rPr>
                <w:spacing w:val="-5"/>
                <w:sz w:val="20"/>
              </w:rPr>
              <w:t> </w:t>
            </w:r>
            <w:r>
              <w:rPr>
                <w:sz w:val="20"/>
              </w:rPr>
              <w:t>after</w:t>
            </w:r>
            <w:r>
              <w:rPr>
                <w:spacing w:val="-7"/>
                <w:sz w:val="20"/>
              </w:rPr>
              <w:t> </w:t>
            </w:r>
            <w:r>
              <w:rPr>
                <w:sz w:val="20"/>
              </w:rPr>
              <w:t>adjusting</w:t>
            </w:r>
            <w:r>
              <w:rPr>
                <w:spacing w:val="-7"/>
                <w:sz w:val="20"/>
              </w:rPr>
              <w:t> </w:t>
            </w:r>
            <w:r>
              <w:rPr>
                <w:spacing w:val="-2"/>
                <w:sz w:val="20"/>
              </w:rPr>
              <w:t>endpoints</w:t>
            </w:r>
          </w:p>
        </w:tc>
      </w:tr>
      <w:tr>
        <w:trPr>
          <w:trHeight w:val="269" w:hRule="atLeast"/>
        </w:trPr>
        <w:tc>
          <w:tcPr>
            <w:tcW w:w="1847" w:type="dxa"/>
            <w:tcBorders>
              <w:top w:val="double" w:sz="6" w:space="0" w:color="000000"/>
              <w:bottom w:val="double" w:sz="6" w:space="0" w:color="000000"/>
            </w:tcBorders>
          </w:tcPr>
          <w:p>
            <w:pPr>
              <w:pStyle w:val="TableParagraph"/>
              <w:spacing w:line="209" w:lineRule="exact" w:before="40"/>
              <w:ind w:left="677"/>
              <w:rPr>
                <w:sz w:val="20"/>
              </w:rPr>
            </w:pPr>
            <w:r>
              <w:rPr>
                <w:spacing w:val="-2"/>
                <w:sz w:val="20"/>
              </w:rPr>
              <w:t>Variable</w:t>
            </w:r>
          </w:p>
        </w:tc>
        <w:tc>
          <w:tcPr>
            <w:tcW w:w="1375" w:type="dxa"/>
            <w:tcBorders>
              <w:top w:val="double" w:sz="6" w:space="0" w:color="000000"/>
              <w:bottom w:val="double" w:sz="6" w:space="0" w:color="000000"/>
            </w:tcBorders>
          </w:tcPr>
          <w:p>
            <w:pPr>
              <w:pStyle w:val="TableParagraph"/>
              <w:spacing w:line="209" w:lineRule="exact" w:before="40"/>
              <w:ind w:right="131"/>
              <w:jc w:val="right"/>
              <w:rPr>
                <w:sz w:val="20"/>
              </w:rPr>
            </w:pPr>
            <w:r>
              <w:rPr>
                <w:spacing w:val="-2"/>
                <w:sz w:val="20"/>
              </w:rPr>
              <w:t>Coefficient</w:t>
            </w:r>
          </w:p>
        </w:tc>
        <w:tc>
          <w:tcPr>
            <w:tcW w:w="1432" w:type="dxa"/>
            <w:tcBorders>
              <w:top w:val="double" w:sz="6" w:space="0" w:color="000000"/>
              <w:bottom w:val="double" w:sz="6" w:space="0" w:color="000000"/>
            </w:tcBorders>
          </w:tcPr>
          <w:p>
            <w:pPr>
              <w:pStyle w:val="TableParagraph"/>
              <w:spacing w:line="209" w:lineRule="exact" w:before="40"/>
              <w:ind w:left="273"/>
              <w:rPr>
                <w:sz w:val="20"/>
              </w:rPr>
            </w:pPr>
            <w:r>
              <w:rPr>
                <w:sz w:val="20"/>
              </w:rPr>
              <w:t>Std.</w:t>
            </w:r>
            <w:r>
              <w:rPr>
                <w:spacing w:val="-4"/>
                <w:sz w:val="20"/>
              </w:rPr>
              <w:t> </w:t>
            </w:r>
            <w:r>
              <w:rPr>
                <w:spacing w:val="-2"/>
                <w:sz w:val="20"/>
              </w:rPr>
              <w:t>Error</w:t>
            </w:r>
          </w:p>
        </w:tc>
        <w:tc>
          <w:tcPr>
            <w:tcW w:w="904" w:type="dxa"/>
            <w:tcBorders>
              <w:top w:val="double" w:sz="6" w:space="0" w:color="000000"/>
              <w:bottom w:val="double" w:sz="6" w:space="0" w:color="000000"/>
            </w:tcBorders>
          </w:tcPr>
          <w:p>
            <w:pPr>
              <w:pStyle w:val="TableParagraph"/>
              <w:spacing w:line="209" w:lineRule="exact" w:before="40"/>
              <w:ind w:right="22"/>
              <w:jc w:val="center"/>
              <w:rPr>
                <w:sz w:val="20"/>
              </w:rPr>
            </w:pPr>
            <w:r>
              <w:rPr>
                <w:spacing w:val="-4"/>
                <w:sz w:val="20"/>
              </w:rPr>
              <w:t>t-</w:t>
            </w:r>
            <w:r>
              <w:rPr>
                <w:spacing w:val="-2"/>
                <w:sz w:val="20"/>
              </w:rPr>
              <w:t>Statistic</w:t>
            </w:r>
          </w:p>
        </w:tc>
        <w:tc>
          <w:tcPr>
            <w:tcW w:w="929" w:type="dxa"/>
            <w:tcBorders>
              <w:top w:val="double" w:sz="6" w:space="0" w:color="000000"/>
              <w:bottom w:val="double" w:sz="6" w:space="0" w:color="000000"/>
            </w:tcBorders>
          </w:tcPr>
          <w:p>
            <w:pPr>
              <w:pStyle w:val="TableParagraph"/>
              <w:spacing w:line="209" w:lineRule="exact" w:before="40"/>
              <w:ind w:right="28"/>
              <w:jc w:val="right"/>
              <w:rPr>
                <w:sz w:val="20"/>
              </w:rPr>
            </w:pPr>
            <w:r>
              <w:rPr>
                <w:spacing w:val="-2"/>
                <w:sz w:val="20"/>
              </w:rPr>
              <w:t>Prob.</w:t>
            </w:r>
          </w:p>
        </w:tc>
      </w:tr>
      <w:tr>
        <w:trPr>
          <w:trHeight w:val="275" w:hRule="atLeast"/>
        </w:trPr>
        <w:tc>
          <w:tcPr>
            <w:tcW w:w="1847" w:type="dxa"/>
            <w:tcBorders>
              <w:top w:val="double" w:sz="6" w:space="0" w:color="000000"/>
            </w:tcBorders>
          </w:tcPr>
          <w:p>
            <w:pPr>
              <w:pStyle w:val="TableParagraph"/>
              <w:spacing w:line="215" w:lineRule="exact" w:before="40"/>
              <w:ind w:left="538"/>
              <w:rPr>
                <w:sz w:val="20"/>
              </w:rPr>
            </w:pPr>
            <w:r>
              <w:rPr>
                <w:spacing w:val="-2"/>
                <w:sz w:val="20"/>
              </w:rPr>
              <w:t>D(GCF(-</w:t>
            </w:r>
            <w:r>
              <w:rPr>
                <w:spacing w:val="-5"/>
                <w:sz w:val="20"/>
              </w:rPr>
              <w:t>1))</w:t>
            </w:r>
          </w:p>
        </w:tc>
        <w:tc>
          <w:tcPr>
            <w:tcW w:w="1375" w:type="dxa"/>
            <w:tcBorders>
              <w:top w:val="double" w:sz="6" w:space="0" w:color="000000"/>
            </w:tcBorders>
          </w:tcPr>
          <w:p>
            <w:pPr>
              <w:pStyle w:val="TableParagraph"/>
              <w:spacing w:line="215" w:lineRule="exact" w:before="40"/>
              <w:ind w:right="128"/>
              <w:jc w:val="right"/>
              <w:rPr>
                <w:sz w:val="20"/>
              </w:rPr>
            </w:pPr>
            <w:r>
              <w:rPr>
                <w:spacing w:val="-4"/>
                <w:sz w:val="20"/>
              </w:rPr>
              <w:t>-</w:t>
            </w:r>
            <w:r>
              <w:rPr>
                <w:spacing w:val="-2"/>
                <w:sz w:val="20"/>
              </w:rPr>
              <w:t>2.094698</w:t>
            </w:r>
          </w:p>
        </w:tc>
        <w:tc>
          <w:tcPr>
            <w:tcW w:w="1432" w:type="dxa"/>
            <w:tcBorders>
              <w:top w:val="double" w:sz="6" w:space="0" w:color="000000"/>
            </w:tcBorders>
          </w:tcPr>
          <w:p>
            <w:pPr>
              <w:pStyle w:val="TableParagraph"/>
              <w:spacing w:line="215" w:lineRule="exact" w:before="40"/>
              <w:ind w:left="311"/>
              <w:rPr>
                <w:sz w:val="20"/>
              </w:rPr>
            </w:pPr>
            <w:r>
              <w:rPr>
                <w:spacing w:val="-2"/>
                <w:sz w:val="20"/>
              </w:rPr>
              <w:t>0.241291</w:t>
            </w:r>
          </w:p>
        </w:tc>
        <w:tc>
          <w:tcPr>
            <w:tcW w:w="904" w:type="dxa"/>
            <w:tcBorders>
              <w:top w:val="double" w:sz="6" w:space="0" w:color="000000"/>
            </w:tcBorders>
          </w:tcPr>
          <w:p>
            <w:pPr>
              <w:pStyle w:val="TableParagraph"/>
              <w:spacing w:line="215" w:lineRule="exact" w:before="40"/>
              <w:ind w:right="70"/>
              <w:jc w:val="center"/>
              <w:rPr>
                <w:sz w:val="20"/>
              </w:rPr>
            </w:pPr>
            <w:r>
              <w:rPr>
                <w:spacing w:val="-4"/>
                <w:sz w:val="20"/>
              </w:rPr>
              <w:t>-</w:t>
            </w:r>
            <w:r>
              <w:rPr>
                <w:spacing w:val="-2"/>
                <w:sz w:val="20"/>
              </w:rPr>
              <w:t>8.681226</w:t>
            </w:r>
          </w:p>
        </w:tc>
        <w:tc>
          <w:tcPr>
            <w:tcW w:w="929" w:type="dxa"/>
            <w:tcBorders>
              <w:top w:val="double" w:sz="6" w:space="0" w:color="000000"/>
            </w:tcBorders>
          </w:tcPr>
          <w:p>
            <w:pPr>
              <w:pStyle w:val="TableParagraph"/>
              <w:spacing w:line="215" w:lineRule="exact" w:before="40"/>
              <w:ind w:right="27"/>
              <w:jc w:val="right"/>
              <w:rPr>
                <w:sz w:val="20"/>
              </w:rPr>
            </w:pPr>
            <w:r>
              <w:rPr>
                <w:spacing w:val="-2"/>
                <w:sz w:val="20"/>
              </w:rPr>
              <w:t>0.0000</w:t>
            </w:r>
          </w:p>
        </w:tc>
      </w:tr>
      <w:tr>
        <w:trPr>
          <w:trHeight w:val="230" w:hRule="atLeast"/>
        </w:trPr>
        <w:tc>
          <w:tcPr>
            <w:tcW w:w="1847" w:type="dxa"/>
          </w:tcPr>
          <w:p>
            <w:pPr>
              <w:pStyle w:val="TableParagraph"/>
              <w:spacing w:line="210" w:lineRule="exact"/>
              <w:ind w:left="463"/>
              <w:rPr>
                <w:sz w:val="20"/>
              </w:rPr>
            </w:pPr>
            <w:r>
              <w:rPr>
                <w:spacing w:val="-2"/>
                <w:sz w:val="20"/>
              </w:rPr>
              <w:t>D(GCF(-1),2)</w:t>
            </w:r>
          </w:p>
        </w:tc>
        <w:tc>
          <w:tcPr>
            <w:tcW w:w="1375" w:type="dxa"/>
          </w:tcPr>
          <w:p>
            <w:pPr>
              <w:pStyle w:val="TableParagraph"/>
              <w:spacing w:line="210" w:lineRule="exact"/>
              <w:ind w:right="128"/>
              <w:jc w:val="right"/>
              <w:rPr>
                <w:sz w:val="20"/>
              </w:rPr>
            </w:pPr>
            <w:r>
              <w:rPr>
                <w:spacing w:val="-2"/>
                <w:sz w:val="20"/>
              </w:rPr>
              <w:t>0.515979</w:t>
            </w:r>
          </w:p>
        </w:tc>
        <w:tc>
          <w:tcPr>
            <w:tcW w:w="1432" w:type="dxa"/>
          </w:tcPr>
          <w:p>
            <w:pPr>
              <w:pStyle w:val="TableParagraph"/>
              <w:spacing w:line="210" w:lineRule="exact"/>
              <w:ind w:left="311"/>
              <w:rPr>
                <w:sz w:val="20"/>
              </w:rPr>
            </w:pPr>
            <w:r>
              <w:rPr>
                <w:spacing w:val="-2"/>
                <w:sz w:val="20"/>
              </w:rPr>
              <w:t>0.145079</w:t>
            </w:r>
          </w:p>
        </w:tc>
        <w:tc>
          <w:tcPr>
            <w:tcW w:w="904" w:type="dxa"/>
          </w:tcPr>
          <w:p>
            <w:pPr>
              <w:pStyle w:val="TableParagraph"/>
              <w:spacing w:line="210" w:lineRule="exact"/>
              <w:ind w:right="5"/>
              <w:jc w:val="center"/>
              <w:rPr>
                <w:sz w:val="20"/>
              </w:rPr>
            </w:pPr>
            <w:r>
              <w:rPr>
                <w:spacing w:val="-2"/>
                <w:sz w:val="20"/>
              </w:rPr>
              <w:t>3.556549</w:t>
            </w:r>
          </w:p>
        </w:tc>
        <w:tc>
          <w:tcPr>
            <w:tcW w:w="929" w:type="dxa"/>
          </w:tcPr>
          <w:p>
            <w:pPr>
              <w:pStyle w:val="TableParagraph"/>
              <w:spacing w:line="210" w:lineRule="exact"/>
              <w:ind w:right="27"/>
              <w:jc w:val="right"/>
              <w:rPr>
                <w:sz w:val="20"/>
              </w:rPr>
            </w:pPr>
            <w:r>
              <w:rPr>
                <w:spacing w:val="-2"/>
                <w:sz w:val="20"/>
              </w:rPr>
              <w:t>0.0011</w:t>
            </w:r>
          </w:p>
        </w:tc>
      </w:tr>
      <w:tr>
        <w:trPr>
          <w:trHeight w:val="224" w:hRule="atLeast"/>
        </w:trPr>
        <w:tc>
          <w:tcPr>
            <w:tcW w:w="1847" w:type="dxa"/>
            <w:tcBorders>
              <w:bottom w:val="double" w:sz="6" w:space="0" w:color="000000"/>
            </w:tcBorders>
          </w:tcPr>
          <w:p>
            <w:pPr>
              <w:pStyle w:val="TableParagraph"/>
              <w:spacing w:line="205" w:lineRule="exact"/>
              <w:ind w:left="197"/>
              <w:jc w:val="center"/>
              <w:rPr>
                <w:sz w:val="20"/>
              </w:rPr>
            </w:pPr>
            <w:r>
              <w:rPr>
                <w:spacing w:val="-10"/>
                <w:sz w:val="20"/>
              </w:rPr>
              <w:t>C</w:t>
            </w:r>
          </w:p>
        </w:tc>
        <w:tc>
          <w:tcPr>
            <w:tcW w:w="1375" w:type="dxa"/>
            <w:tcBorders>
              <w:bottom w:val="double" w:sz="6" w:space="0" w:color="000000"/>
            </w:tcBorders>
          </w:tcPr>
          <w:p>
            <w:pPr>
              <w:pStyle w:val="TableParagraph"/>
              <w:spacing w:line="205" w:lineRule="exact"/>
              <w:ind w:right="128"/>
              <w:jc w:val="right"/>
              <w:rPr>
                <w:sz w:val="20"/>
              </w:rPr>
            </w:pPr>
            <w:r>
              <w:rPr>
                <w:spacing w:val="-2"/>
                <w:sz w:val="20"/>
              </w:rPr>
              <w:t>0.368647</w:t>
            </w:r>
          </w:p>
        </w:tc>
        <w:tc>
          <w:tcPr>
            <w:tcW w:w="1432" w:type="dxa"/>
            <w:tcBorders>
              <w:bottom w:val="double" w:sz="6" w:space="0" w:color="000000"/>
            </w:tcBorders>
          </w:tcPr>
          <w:p>
            <w:pPr>
              <w:pStyle w:val="TableParagraph"/>
              <w:spacing w:line="205" w:lineRule="exact"/>
              <w:ind w:left="311"/>
              <w:rPr>
                <w:sz w:val="20"/>
              </w:rPr>
            </w:pPr>
            <w:r>
              <w:rPr>
                <w:spacing w:val="-2"/>
                <w:sz w:val="20"/>
              </w:rPr>
              <w:t>0.274213</w:t>
            </w:r>
          </w:p>
        </w:tc>
        <w:tc>
          <w:tcPr>
            <w:tcW w:w="904" w:type="dxa"/>
            <w:tcBorders>
              <w:bottom w:val="double" w:sz="6" w:space="0" w:color="000000"/>
            </w:tcBorders>
          </w:tcPr>
          <w:p>
            <w:pPr>
              <w:pStyle w:val="TableParagraph"/>
              <w:spacing w:line="205" w:lineRule="exact"/>
              <w:ind w:right="5"/>
              <w:jc w:val="center"/>
              <w:rPr>
                <w:sz w:val="20"/>
              </w:rPr>
            </w:pPr>
            <w:r>
              <w:rPr>
                <w:spacing w:val="-2"/>
                <w:sz w:val="20"/>
              </w:rPr>
              <w:t>1.344382</w:t>
            </w:r>
          </w:p>
        </w:tc>
        <w:tc>
          <w:tcPr>
            <w:tcW w:w="929" w:type="dxa"/>
            <w:tcBorders>
              <w:bottom w:val="double" w:sz="6" w:space="0" w:color="000000"/>
            </w:tcBorders>
          </w:tcPr>
          <w:p>
            <w:pPr>
              <w:pStyle w:val="TableParagraph"/>
              <w:spacing w:line="205" w:lineRule="exact"/>
              <w:ind w:right="27"/>
              <w:jc w:val="right"/>
              <w:rPr>
                <w:sz w:val="20"/>
              </w:rPr>
            </w:pPr>
            <w:r>
              <w:rPr>
                <w:spacing w:val="-2"/>
                <w:sz w:val="20"/>
              </w:rPr>
              <w:t>0.1872</w:t>
            </w:r>
          </w:p>
        </w:tc>
      </w:tr>
      <w:tr>
        <w:trPr>
          <w:trHeight w:val="275" w:hRule="atLeast"/>
        </w:trPr>
        <w:tc>
          <w:tcPr>
            <w:tcW w:w="1847" w:type="dxa"/>
            <w:tcBorders>
              <w:top w:val="double" w:sz="6" w:space="0" w:color="000000"/>
            </w:tcBorders>
          </w:tcPr>
          <w:p>
            <w:pPr>
              <w:pStyle w:val="TableParagraph"/>
              <w:spacing w:line="215" w:lineRule="exact" w:before="40"/>
              <w:ind w:left="36"/>
              <w:rPr>
                <w:sz w:val="20"/>
              </w:rPr>
            </w:pPr>
            <w:r>
              <w:rPr>
                <w:spacing w:val="-2"/>
                <w:sz w:val="20"/>
              </w:rPr>
              <w:t>R-squared</w:t>
            </w:r>
          </w:p>
        </w:tc>
        <w:tc>
          <w:tcPr>
            <w:tcW w:w="1375" w:type="dxa"/>
            <w:tcBorders>
              <w:top w:val="double" w:sz="6" w:space="0" w:color="000000"/>
            </w:tcBorders>
          </w:tcPr>
          <w:p>
            <w:pPr>
              <w:pStyle w:val="TableParagraph"/>
              <w:spacing w:line="215" w:lineRule="exact" w:before="40"/>
              <w:ind w:right="128"/>
              <w:jc w:val="right"/>
              <w:rPr>
                <w:sz w:val="20"/>
              </w:rPr>
            </w:pPr>
            <w:r>
              <w:rPr>
                <w:spacing w:val="-2"/>
                <w:sz w:val="20"/>
              </w:rPr>
              <w:t>0.767533</w:t>
            </w:r>
          </w:p>
        </w:tc>
        <w:tc>
          <w:tcPr>
            <w:tcW w:w="2336" w:type="dxa"/>
            <w:gridSpan w:val="2"/>
            <w:tcBorders>
              <w:top w:val="double" w:sz="6" w:space="0" w:color="000000"/>
            </w:tcBorders>
          </w:tcPr>
          <w:p>
            <w:pPr>
              <w:pStyle w:val="TableParagraph"/>
              <w:spacing w:line="215" w:lineRule="exact" w:before="40"/>
              <w:ind w:left="131"/>
              <w:rPr>
                <w:sz w:val="20"/>
              </w:rPr>
            </w:pPr>
            <w:r>
              <w:rPr>
                <w:sz w:val="20"/>
              </w:rPr>
              <w:t>Mean</w:t>
            </w:r>
            <w:r>
              <w:rPr>
                <w:spacing w:val="-7"/>
                <w:sz w:val="20"/>
              </w:rPr>
              <w:t> </w:t>
            </w:r>
            <w:r>
              <w:rPr>
                <w:sz w:val="20"/>
              </w:rPr>
              <w:t>dependent</w:t>
            </w:r>
            <w:r>
              <w:rPr>
                <w:spacing w:val="-7"/>
                <w:sz w:val="20"/>
              </w:rPr>
              <w:t> </w:t>
            </w:r>
            <w:r>
              <w:rPr>
                <w:spacing w:val="-5"/>
                <w:sz w:val="20"/>
              </w:rPr>
              <w:t>var</w:t>
            </w:r>
          </w:p>
        </w:tc>
        <w:tc>
          <w:tcPr>
            <w:tcW w:w="929" w:type="dxa"/>
            <w:tcBorders>
              <w:top w:val="double" w:sz="6" w:space="0" w:color="000000"/>
            </w:tcBorders>
          </w:tcPr>
          <w:p>
            <w:pPr>
              <w:pStyle w:val="TableParagraph"/>
              <w:spacing w:line="215" w:lineRule="exact" w:before="40"/>
              <w:ind w:right="27"/>
              <w:jc w:val="right"/>
              <w:rPr>
                <w:sz w:val="20"/>
              </w:rPr>
            </w:pPr>
            <w:r>
              <w:rPr>
                <w:spacing w:val="-4"/>
                <w:sz w:val="20"/>
              </w:rPr>
              <w:t>-</w:t>
            </w:r>
            <w:r>
              <w:rPr>
                <w:spacing w:val="-2"/>
                <w:sz w:val="20"/>
              </w:rPr>
              <w:t>0.035172</w:t>
            </w:r>
          </w:p>
        </w:tc>
      </w:tr>
      <w:tr>
        <w:trPr>
          <w:trHeight w:val="230" w:hRule="atLeast"/>
        </w:trPr>
        <w:tc>
          <w:tcPr>
            <w:tcW w:w="1847" w:type="dxa"/>
          </w:tcPr>
          <w:p>
            <w:pPr>
              <w:pStyle w:val="TableParagraph"/>
              <w:spacing w:line="211" w:lineRule="exact"/>
              <w:ind w:left="36"/>
              <w:rPr>
                <w:sz w:val="20"/>
              </w:rPr>
            </w:pPr>
            <w:r>
              <w:rPr>
                <w:sz w:val="20"/>
              </w:rPr>
              <w:t>Adjusted</w:t>
            </w:r>
            <w:r>
              <w:rPr>
                <w:spacing w:val="-10"/>
                <w:sz w:val="20"/>
              </w:rPr>
              <w:t> </w:t>
            </w:r>
            <w:r>
              <w:rPr>
                <w:sz w:val="20"/>
              </w:rPr>
              <w:t>R-</w:t>
            </w:r>
            <w:r>
              <w:rPr>
                <w:spacing w:val="-2"/>
                <w:sz w:val="20"/>
              </w:rPr>
              <w:t>squared</w:t>
            </w:r>
          </w:p>
        </w:tc>
        <w:tc>
          <w:tcPr>
            <w:tcW w:w="1375" w:type="dxa"/>
          </w:tcPr>
          <w:p>
            <w:pPr>
              <w:pStyle w:val="TableParagraph"/>
              <w:spacing w:line="211" w:lineRule="exact"/>
              <w:ind w:right="128"/>
              <w:jc w:val="right"/>
              <w:rPr>
                <w:sz w:val="20"/>
              </w:rPr>
            </w:pPr>
            <w:r>
              <w:rPr>
                <w:spacing w:val="-2"/>
                <w:sz w:val="20"/>
              </w:rPr>
              <w:t>0.754618</w:t>
            </w:r>
          </w:p>
        </w:tc>
        <w:tc>
          <w:tcPr>
            <w:tcW w:w="2336" w:type="dxa"/>
            <w:gridSpan w:val="2"/>
          </w:tcPr>
          <w:p>
            <w:pPr>
              <w:pStyle w:val="TableParagraph"/>
              <w:spacing w:line="211" w:lineRule="exact"/>
              <w:ind w:left="131"/>
              <w:rPr>
                <w:sz w:val="20"/>
              </w:rPr>
            </w:pPr>
            <w:r>
              <w:rPr>
                <w:sz w:val="20"/>
              </w:rPr>
              <w:t>S.D.</w:t>
            </w:r>
            <w:r>
              <w:rPr>
                <w:spacing w:val="-5"/>
                <w:sz w:val="20"/>
              </w:rPr>
              <w:t> </w:t>
            </w:r>
            <w:r>
              <w:rPr>
                <w:sz w:val="20"/>
              </w:rPr>
              <w:t>dependent</w:t>
            </w:r>
            <w:r>
              <w:rPr>
                <w:spacing w:val="-6"/>
                <w:sz w:val="20"/>
              </w:rPr>
              <w:t> </w:t>
            </w:r>
            <w:r>
              <w:rPr>
                <w:spacing w:val="-5"/>
                <w:sz w:val="20"/>
              </w:rPr>
              <w:t>var</w:t>
            </w:r>
          </w:p>
        </w:tc>
        <w:tc>
          <w:tcPr>
            <w:tcW w:w="929" w:type="dxa"/>
          </w:tcPr>
          <w:p>
            <w:pPr>
              <w:pStyle w:val="TableParagraph"/>
              <w:spacing w:line="211" w:lineRule="exact"/>
              <w:ind w:right="27"/>
              <w:jc w:val="right"/>
              <w:rPr>
                <w:sz w:val="20"/>
              </w:rPr>
            </w:pPr>
            <w:r>
              <w:rPr>
                <w:spacing w:val="-2"/>
                <w:sz w:val="20"/>
              </w:rPr>
              <w:t>3.406828</w:t>
            </w:r>
          </w:p>
        </w:tc>
      </w:tr>
      <w:tr>
        <w:trPr>
          <w:trHeight w:val="230" w:hRule="atLeast"/>
        </w:trPr>
        <w:tc>
          <w:tcPr>
            <w:tcW w:w="1847" w:type="dxa"/>
          </w:tcPr>
          <w:p>
            <w:pPr>
              <w:pStyle w:val="TableParagraph"/>
              <w:spacing w:line="211" w:lineRule="exact"/>
              <w:ind w:left="36"/>
              <w:rPr>
                <w:sz w:val="20"/>
              </w:rPr>
            </w:pPr>
            <w:r>
              <w:rPr>
                <w:sz w:val="20"/>
              </w:rPr>
              <w:t>S.E.</w:t>
            </w:r>
            <w:r>
              <w:rPr>
                <w:spacing w:val="-3"/>
                <w:sz w:val="20"/>
              </w:rPr>
              <w:t> </w:t>
            </w:r>
            <w:r>
              <w:rPr>
                <w:sz w:val="20"/>
              </w:rPr>
              <w:t>of</w:t>
            </w:r>
            <w:r>
              <w:rPr>
                <w:spacing w:val="-3"/>
                <w:sz w:val="20"/>
              </w:rPr>
              <w:t> </w:t>
            </w:r>
            <w:r>
              <w:rPr>
                <w:spacing w:val="-2"/>
                <w:sz w:val="20"/>
              </w:rPr>
              <w:t>regression</w:t>
            </w:r>
          </w:p>
        </w:tc>
        <w:tc>
          <w:tcPr>
            <w:tcW w:w="1375" w:type="dxa"/>
          </w:tcPr>
          <w:p>
            <w:pPr>
              <w:pStyle w:val="TableParagraph"/>
              <w:spacing w:line="211" w:lineRule="exact"/>
              <w:ind w:right="128"/>
              <w:jc w:val="right"/>
              <w:rPr>
                <w:sz w:val="20"/>
              </w:rPr>
            </w:pPr>
            <w:r>
              <w:rPr>
                <w:spacing w:val="-2"/>
                <w:sz w:val="20"/>
              </w:rPr>
              <w:t>1.687607</w:t>
            </w:r>
          </w:p>
        </w:tc>
        <w:tc>
          <w:tcPr>
            <w:tcW w:w="2336" w:type="dxa"/>
            <w:gridSpan w:val="2"/>
          </w:tcPr>
          <w:p>
            <w:pPr>
              <w:pStyle w:val="TableParagraph"/>
              <w:spacing w:line="211" w:lineRule="exact"/>
              <w:ind w:left="131"/>
              <w:rPr>
                <w:sz w:val="20"/>
              </w:rPr>
            </w:pPr>
            <w:r>
              <w:rPr>
                <w:sz w:val="20"/>
              </w:rPr>
              <w:t>Akaike</w:t>
            </w:r>
            <w:r>
              <w:rPr>
                <w:spacing w:val="-8"/>
                <w:sz w:val="20"/>
              </w:rPr>
              <w:t> </w:t>
            </w:r>
            <w:r>
              <w:rPr>
                <w:sz w:val="20"/>
              </w:rPr>
              <w:t>info</w:t>
            </w:r>
            <w:r>
              <w:rPr>
                <w:spacing w:val="-7"/>
                <w:sz w:val="20"/>
              </w:rPr>
              <w:t> </w:t>
            </w:r>
            <w:r>
              <w:rPr>
                <w:spacing w:val="-2"/>
                <w:sz w:val="20"/>
              </w:rPr>
              <w:t>criterion</w:t>
            </w:r>
          </w:p>
        </w:tc>
        <w:tc>
          <w:tcPr>
            <w:tcW w:w="929" w:type="dxa"/>
          </w:tcPr>
          <w:p>
            <w:pPr>
              <w:pStyle w:val="TableParagraph"/>
              <w:spacing w:line="211" w:lineRule="exact"/>
              <w:ind w:right="27"/>
              <w:jc w:val="right"/>
              <w:rPr>
                <w:sz w:val="20"/>
              </w:rPr>
            </w:pPr>
            <w:r>
              <w:rPr>
                <w:spacing w:val="-2"/>
                <w:sz w:val="20"/>
              </w:rPr>
              <w:t>3.958304</w:t>
            </w:r>
          </w:p>
        </w:tc>
      </w:tr>
      <w:tr>
        <w:trPr>
          <w:trHeight w:val="230" w:hRule="atLeast"/>
        </w:trPr>
        <w:tc>
          <w:tcPr>
            <w:tcW w:w="1847" w:type="dxa"/>
          </w:tcPr>
          <w:p>
            <w:pPr>
              <w:pStyle w:val="TableParagraph"/>
              <w:spacing w:line="210" w:lineRule="exact"/>
              <w:ind w:left="36"/>
              <w:rPr>
                <w:sz w:val="20"/>
              </w:rPr>
            </w:pPr>
            <w:r>
              <w:rPr>
                <w:sz w:val="20"/>
              </w:rPr>
              <w:t>Sum</w:t>
            </w:r>
            <w:r>
              <w:rPr>
                <w:spacing w:val="-8"/>
                <w:sz w:val="20"/>
              </w:rPr>
              <w:t> </w:t>
            </w:r>
            <w:r>
              <w:rPr>
                <w:sz w:val="20"/>
              </w:rPr>
              <w:t>squared</w:t>
            </w:r>
            <w:r>
              <w:rPr>
                <w:spacing w:val="-4"/>
                <w:sz w:val="20"/>
              </w:rPr>
              <w:t> </w:t>
            </w:r>
            <w:r>
              <w:rPr>
                <w:spacing w:val="-2"/>
                <w:sz w:val="20"/>
              </w:rPr>
              <w:t>resid</w:t>
            </w:r>
          </w:p>
        </w:tc>
        <w:tc>
          <w:tcPr>
            <w:tcW w:w="1375" w:type="dxa"/>
          </w:tcPr>
          <w:p>
            <w:pPr>
              <w:pStyle w:val="TableParagraph"/>
              <w:spacing w:line="210" w:lineRule="exact"/>
              <w:ind w:right="128"/>
              <w:jc w:val="right"/>
              <w:rPr>
                <w:sz w:val="20"/>
              </w:rPr>
            </w:pPr>
            <w:r>
              <w:rPr>
                <w:spacing w:val="-2"/>
                <w:sz w:val="20"/>
              </w:rPr>
              <w:t>102.5286</w:t>
            </w:r>
          </w:p>
        </w:tc>
        <w:tc>
          <w:tcPr>
            <w:tcW w:w="2336" w:type="dxa"/>
            <w:gridSpan w:val="2"/>
          </w:tcPr>
          <w:p>
            <w:pPr>
              <w:pStyle w:val="TableParagraph"/>
              <w:spacing w:line="210" w:lineRule="exact"/>
              <w:ind w:left="131"/>
              <w:rPr>
                <w:sz w:val="20"/>
              </w:rPr>
            </w:pPr>
            <w:r>
              <w:rPr>
                <w:sz w:val="20"/>
              </w:rPr>
              <w:t>Schwarz</w:t>
            </w:r>
            <w:r>
              <w:rPr>
                <w:spacing w:val="-8"/>
                <w:sz w:val="20"/>
              </w:rPr>
              <w:t> </w:t>
            </w:r>
            <w:r>
              <w:rPr>
                <w:spacing w:val="-2"/>
                <w:sz w:val="20"/>
              </w:rPr>
              <w:t>criterion</w:t>
            </w:r>
          </w:p>
        </w:tc>
        <w:tc>
          <w:tcPr>
            <w:tcW w:w="929" w:type="dxa"/>
          </w:tcPr>
          <w:p>
            <w:pPr>
              <w:pStyle w:val="TableParagraph"/>
              <w:spacing w:line="210" w:lineRule="exact"/>
              <w:ind w:right="27"/>
              <w:jc w:val="right"/>
              <w:rPr>
                <w:sz w:val="20"/>
              </w:rPr>
            </w:pPr>
            <w:r>
              <w:rPr>
                <w:spacing w:val="-2"/>
                <w:sz w:val="20"/>
              </w:rPr>
              <w:t>4.086270</w:t>
            </w:r>
          </w:p>
        </w:tc>
      </w:tr>
      <w:tr>
        <w:trPr>
          <w:trHeight w:val="229" w:hRule="atLeast"/>
        </w:trPr>
        <w:tc>
          <w:tcPr>
            <w:tcW w:w="1847" w:type="dxa"/>
          </w:tcPr>
          <w:p>
            <w:pPr>
              <w:pStyle w:val="TableParagraph"/>
              <w:spacing w:line="209" w:lineRule="exact"/>
              <w:ind w:left="36"/>
              <w:rPr>
                <w:sz w:val="20"/>
              </w:rPr>
            </w:pPr>
            <w:r>
              <w:rPr>
                <w:sz w:val="20"/>
              </w:rPr>
              <w:t>Log</w:t>
            </w:r>
            <w:r>
              <w:rPr>
                <w:spacing w:val="-6"/>
                <w:sz w:val="20"/>
              </w:rPr>
              <w:t> </w:t>
            </w:r>
            <w:r>
              <w:rPr>
                <w:spacing w:val="-2"/>
                <w:sz w:val="20"/>
              </w:rPr>
              <w:t>likelihood</w:t>
            </w:r>
          </w:p>
        </w:tc>
        <w:tc>
          <w:tcPr>
            <w:tcW w:w="1375" w:type="dxa"/>
          </w:tcPr>
          <w:p>
            <w:pPr>
              <w:pStyle w:val="TableParagraph"/>
              <w:spacing w:line="209" w:lineRule="exact"/>
              <w:ind w:right="128"/>
              <w:jc w:val="right"/>
              <w:rPr>
                <w:sz w:val="20"/>
              </w:rPr>
            </w:pPr>
            <w:r>
              <w:rPr>
                <w:spacing w:val="-4"/>
                <w:sz w:val="20"/>
              </w:rPr>
              <w:t>-</w:t>
            </w:r>
            <w:r>
              <w:rPr>
                <w:spacing w:val="-2"/>
                <w:sz w:val="20"/>
              </w:rPr>
              <w:t>74.18692</w:t>
            </w:r>
          </w:p>
        </w:tc>
        <w:tc>
          <w:tcPr>
            <w:tcW w:w="1432" w:type="dxa"/>
          </w:tcPr>
          <w:p>
            <w:pPr>
              <w:pStyle w:val="TableParagraph"/>
              <w:spacing w:line="209" w:lineRule="exact"/>
              <w:ind w:left="131"/>
              <w:rPr>
                <w:sz w:val="20"/>
              </w:rPr>
            </w:pPr>
            <w:r>
              <w:rPr>
                <w:spacing w:val="-4"/>
                <w:sz w:val="20"/>
              </w:rPr>
              <w:t>F-</w:t>
            </w:r>
            <w:r>
              <w:rPr>
                <w:spacing w:val="-2"/>
                <w:sz w:val="20"/>
              </w:rPr>
              <w:t>statistic</w:t>
            </w:r>
          </w:p>
        </w:tc>
        <w:tc>
          <w:tcPr>
            <w:tcW w:w="904" w:type="dxa"/>
          </w:tcPr>
          <w:p>
            <w:pPr>
              <w:pStyle w:val="TableParagraph"/>
              <w:rPr>
                <w:sz w:val="16"/>
              </w:rPr>
            </w:pPr>
          </w:p>
        </w:tc>
        <w:tc>
          <w:tcPr>
            <w:tcW w:w="929" w:type="dxa"/>
          </w:tcPr>
          <w:p>
            <w:pPr>
              <w:pStyle w:val="TableParagraph"/>
              <w:spacing w:line="209" w:lineRule="exact"/>
              <w:ind w:right="27"/>
              <w:jc w:val="right"/>
              <w:rPr>
                <w:sz w:val="20"/>
              </w:rPr>
            </w:pPr>
            <w:r>
              <w:rPr>
                <w:spacing w:val="-2"/>
                <w:sz w:val="20"/>
              </w:rPr>
              <w:t>59.43037</w:t>
            </w:r>
          </w:p>
        </w:tc>
      </w:tr>
      <w:tr>
        <w:trPr>
          <w:trHeight w:val="266" w:hRule="atLeast"/>
        </w:trPr>
        <w:tc>
          <w:tcPr>
            <w:tcW w:w="1847" w:type="dxa"/>
            <w:tcBorders>
              <w:bottom w:val="double" w:sz="6" w:space="0" w:color="000000"/>
            </w:tcBorders>
          </w:tcPr>
          <w:p>
            <w:pPr>
              <w:pStyle w:val="TableParagraph"/>
              <w:spacing w:line="224" w:lineRule="exact"/>
              <w:ind w:left="36"/>
              <w:rPr>
                <w:sz w:val="20"/>
              </w:rPr>
            </w:pPr>
            <w:r>
              <w:rPr>
                <w:sz w:val="20"/>
              </w:rPr>
              <w:t>Durbin-Watson</w:t>
            </w:r>
            <w:r>
              <w:rPr>
                <w:spacing w:val="-12"/>
                <w:sz w:val="20"/>
              </w:rPr>
              <w:t> </w:t>
            </w:r>
            <w:r>
              <w:rPr>
                <w:spacing w:val="-4"/>
                <w:sz w:val="20"/>
              </w:rPr>
              <w:t>stat</w:t>
            </w:r>
          </w:p>
        </w:tc>
        <w:tc>
          <w:tcPr>
            <w:tcW w:w="1375" w:type="dxa"/>
          </w:tcPr>
          <w:p>
            <w:pPr>
              <w:pStyle w:val="TableParagraph"/>
              <w:spacing w:line="224" w:lineRule="exact"/>
              <w:ind w:right="128"/>
              <w:jc w:val="right"/>
              <w:rPr>
                <w:sz w:val="20"/>
              </w:rPr>
            </w:pPr>
            <w:r>
              <w:rPr>
                <w:spacing w:val="-2"/>
                <w:sz w:val="20"/>
              </w:rPr>
              <w:t>2.151887</w:t>
            </w:r>
          </w:p>
        </w:tc>
        <w:tc>
          <w:tcPr>
            <w:tcW w:w="1432" w:type="dxa"/>
            <w:tcBorders>
              <w:bottom w:val="double" w:sz="6" w:space="0" w:color="000000"/>
            </w:tcBorders>
          </w:tcPr>
          <w:p>
            <w:pPr>
              <w:pStyle w:val="TableParagraph"/>
              <w:spacing w:line="224" w:lineRule="exact"/>
              <w:ind w:left="131"/>
              <w:rPr>
                <w:sz w:val="20"/>
              </w:rPr>
            </w:pPr>
            <w:r>
              <w:rPr>
                <w:spacing w:val="-2"/>
                <w:sz w:val="20"/>
              </w:rPr>
              <w:t>Prob(F-statistic)</w:t>
            </w:r>
          </w:p>
        </w:tc>
        <w:tc>
          <w:tcPr>
            <w:tcW w:w="904" w:type="dxa"/>
            <w:tcBorders>
              <w:bottom w:val="double" w:sz="6" w:space="0" w:color="000000"/>
            </w:tcBorders>
          </w:tcPr>
          <w:p>
            <w:pPr>
              <w:pStyle w:val="TableParagraph"/>
              <w:rPr>
                <w:sz w:val="18"/>
              </w:rPr>
            </w:pPr>
          </w:p>
        </w:tc>
        <w:tc>
          <w:tcPr>
            <w:tcW w:w="929" w:type="dxa"/>
            <w:tcBorders>
              <w:bottom w:val="double" w:sz="6" w:space="0" w:color="000000"/>
            </w:tcBorders>
          </w:tcPr>
          <w:p>
            <w:pPr>
              <w:pStyle w:val="TableParagraph"/>
              <w:spacing w:line="224" w:lineRule="exact"/>
              <w:ind w:right="27"/>
              <w:jc w:val="right"/>
              <w:rPr>
                <w:sz w:val="20"/>
              </w:rPr>
            </w:pPr>
            <w:r>
              <w:rPr>
                <w:spacing w:val="-2"/>
                <w:sz w:val="20"/>
              </w:rPr>
              <w:t>0.000000</w:t>
            </w:r>
          </w:p>
        </w:tc>
      </w:tr>
    </w:tbl>
    <w:p>
      <w:pPr>
        <w:spacing w:after="0" w:line="224" w:lineRule="exact"/>
        <w:jc w:val="right"/>
        <w:rPr>
          <w:sz w:val="20"/>
        </w:rPr>
        <w:sectPr>
          <w:pgSz w:w="11910" w:h="16840"/>
          <w:pgMar w:header="0" w:footer="979" w:top="1360" w:bottom="1240" w:left="280" w:right="0"/>
        </w:sectPr>
      </w:pPr>
    </w:p>
    <w:p>
      <w:pPr>
        <w:spacing w:before="62" w:after="3"/>
        <w:ind w:left="711" w:right="0" w:firstLine="0"/>
        <w:jc w:val="left"/>
        <w:rPr>
          <w:sz w:val="20"/>
        </w:rPr>
      </w:pPr>
      <w:r>
        <w:rPr>
          <w:sz w:val="20"/>
        </w:rPr>
        <w:t>DR</w:t>
      </w:r>
      <w:r>
        <w:rPr>
          <w:spacing w:val="-4"/>
          <w:sz w:val="20"/>
        </w:rPr>
        <w:t> </w:t>
      </w:r>
      <w:r>
        <w:rPr>
          <w:sz w:val="20"/>
        </w:rPr>
        <w:t>@</w:t>
      </w:r>
      <w:r>
        <w:rPr>
          <w:spacing w:val="-1"/>
          <w:sz w:val="20"/>
        </w:rPr>
        <w:t> </w:t>
      </w:r>
      <w:r>
        <w:rPr>
          <w:spacing w:val="-2"/>
          <w:sz w:val="20"/>
        </w:rPr>
        <w:t>LEVEL</w:t>
      </w:r>
    </w:p>
    <w:tbl>
      <w:tblPr>
        <w:tblW w:w="0" w:type="auto"/>
        <w:jc w:val="left"/>
        <w:tblInd w:w="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47"/>
        <w:gridCol w:w="1375"/>
        <w:gridCol w:w="1432"/>
        <w:gridCol w:w="904"/>
        <w:gridCol w:w="929"/>
      </w:tblGrid>
      <w:tr>
        <w:trPr>
          <w:trHeight w:val="224" w:hRule="atLeast"/>
        </w:trPr>
        <w:tc>
          <w:tcPr>
            <w:tcW w:w="1847" w:type="dxa"/>
          </w:tcPr>
          <w:p>
            <w:pPr>
              <w:pStyle w:val="TableParagraph"/>
              <w:spacing w:line="204" w:lineRule="exact"/>
              <w:ind w:left="36"/>
              <w:rPr>
                <w:sz w:val="20"/>
              </w:rPr>
            </w:pPr>
            <w:r>
              <w:rPr>
                <w:sz w:val="20"/>
              </w:rPr>
              <w:t>ADF</w:t>
            </w:r>
            <w:r>
              <w:rPr>
                <w:spacing w:val="-4"/>
                <w:sz w:val="20"/>
              </w:rPr>
              <w:t> </w:t>
            </w:r>
            <w:r>
              <w:rPr>
                <w:sz w:val="20"/>
              </w:rPr>
              <w:t>Test</w:t>
            </w:r>
            <w:r>
              <w:rPr>
                <w:spacing w:val="-4"/>
                <w:sz w:val="20"/>
              </w:rPr>
              <w:t> </w:t>
            </w:r>
            <w:r>
              <w:rPr>
                <w:spacing w:val="-2"/>
                <w:sz w:val="20"/>
              </w:rPr>
              <w:t>Statistic</w:t>
            </w:r>
          </w:p>
        </w:tc>
        <w:tc>
          <w:tcPr>
            <w:tcW w:w="1375" w:type="dxa"/>
          </w:tcPr>
          <w:p>
            <w:pPr>
              <w:pStyle w:val="TableParagraph"/>
              <w:spacing w:line="204" w:lineRule="exact"/>
              <w:ind w:left="219"/>
              <w:rPr>
                <w:sz w:val="20"/>
              </w:rPr>
            </w:pPr>
            <w:r>
              <w:rPr>
                <w:spacing w:val="-4"/>
                <w:sz w:val="20"/>
              </w:rPr>
              <w:t>-</w:t>
            </w:r>
            <w:r>
              <w:rPr>
                <w:spacing w:val="-2"/>
                <w:sz w:val="20"/>
              </w:rPr>
              <w:t>0.130389</w:t>
            </w:r>
          </w:p>
        </w:tc>
        <w:tc>
          <w:tcPr>
            <w:tcW w:w="2336" w:type="dxa"/>
            <w:gridSpan w:val="2"/>
          </w:tcPr>
          <w:p>
            <w:pPr>
              <w:pStyle w:val="TableParagraph"/>
              <w:spacing w:line="204" w:lineRule="exact"/>
              <w:ind w:left="131"/>
              <w:rPr>
                <w:sz w:val="20"/>
              </w:rPr>
            </w:pPr>
            <w:r>
              <w:rPr>
                <w:sz w:val="20"/>
              </w:rPr>
              <w:t>1%</w:t>
            </w:r>
            <w:r>
              <w:rPr>
                <w:spacing w:val="68"/>
                <w:w w:val="150"/>
                <w:sz w:val="20"/>
              </w:rPr>
              <w:t> </w:t>
            </w:r>
            <w:r>
              <w:rPr>
                <w:sz w:val="20"/>
              </w:rPr>
              <w:t>Critical</w:t>
            </w:r>
            <w:r>
              <w:rPr>
                <w:spacing w:val="-2"/>
                <w:sz w:val="20"/>
              </w:rPr>
              <w:t> Value*</w:t>
            </w:r>
          </w:p>
        </w:tc>
        <w:tc>
          <w:tcPr>
            <w:tcW w:w="929" w:type="dxa"/>
          </w:tcPr>
          <w:p>
            <w:pPr>
              <w:pStyle w:val="TableParagraph"/>
              <w:spacing w:line="204" w:lineRule="exact"/>
              <w:ind w:right="27"/>
              <w:jc w:val="right"/>
              <w:rPr>
                <w:sz w:val="20"/>
              </w:rPr>
            </w:pPr>
            <w:r>
              <w:rPr>
                <w:spacing w:val="-4"/>
                <w:sz w:val="20"/>
              </w:rPr>
              <w:t>-</w:t>
            </w:r>
            <w:r>
              <w:rPr>
                <w:spacing w:val="-2"/>
                <w:sz w:val="20"/>
              </w:rPr>
              <w:t>3.6019</w:t>
            </w:r>
          </w:p>
        </w:tc>
      </w:tr>
      <w:tr>
        <w:trPr>
          <w:trHeight w:val="229" w:hRule="atLeast"/>
        </w:trPr>
        <w:tc>
          <w:tcPr>
            <w:tcW w:w="1847" w:type="dxa"/>
          </w:tcPr>
          <w:p>
            <w:pPr>
              <w:pStyle w:val="TableParagraph"/>
              <w:rPr>
                <w:sz w:val="16"/>
              </w:rPr>
            </w:pPr>
          </w:p>
        </w:tc>
        <w:tc>
          <w:tcPr>
            <w:tcW w:w="1375" w:type="dxa"/>
          </w:tcPr>
          <w:p>
            <w:pPr>
              <w:pStyle w:val="TableParagraph"/>
              <w:rPr>
                <w:sz w:val="16"/>
              </w:rPr>
            </w:pPr>
          </w:p>
        </w:tc>
        <w:tc>
          <w:tcPr>
            <w:tcW w:w="2336" w:type="dxa"/>
            <w:gridSpan w:val="2"/>
          </w:tcPr>
          <w:p>
            <w:pPr>
              <w:pStyle w:val="TableParagraph"/>
              <w:spacing w:line="209" w:lineRule="exact"/>
              <w:ind w:left="131"/>
              <w:rPr>
                <w:sz w:val="20"/>
              </w:rPr>
            </w:pPr>
            <w:r>
              <w:rPr>
                <w:sz w:val="20"/>
              </w:rPr>
              <w:t>5%</w:t>
            </w:r>
            <w:r>
              <w:rPr>
                <w:spacing w:val="68"/>
                <w:w w:val="150"/>
                <w:sz w:val="20"/>
              </w:rPr>
              <w:t> </w:t>
            </w:r>
            <w:r>
              <w:rPr>
                <w:sz w:val="20"/>
              </w:rPr>
              <w:t>Critical</w:t>
            </w:r>
            <w:r>
              <w:rPr>
                <w:spacing w:val="-2"/>
                <w:sz w:val="20"/>
              </w:rPr>
              <w:t> </w:t>
            </w:r>
            <w:r>
              <w:rPr>
                <w:spacing w:val="-4"/>
                <w:sz w:val="20"/>
              </w:rPr>
              <w:t>Value</w:t>
            </w:r>
          </w:p>
        </w:tc>
        <w:tc>
          <w:tcPr>
            <w:tcW w:w="929" w:type="dxa"/>
          </w:tcPr>
          <w:p>
            <w:pPr>
              <w:pStyle w:val="TableParagraph"/>
              <w:spacing w:line="209" w:lineRule="exact"/>
              <w:ind w:right="27"/>
              <w:jc w:val="right"/>
              <w:rPr>
                <w:sz w:val="20"/>
              </w:rPr>
            </w:pPr>
            <w:r>
              <w:rPr>
                <w:spacing w:val="-4"/>
                <w:sz w:val="20"/>
              </w:rPr>
              <w:t>-</w:t>
            </w:r>
            <w:r>
              <w:rPr>
                <w:spacing w:val="-2"/>
                <w:sz w:val="20"/>
              </w:rPr>
              <w:t>2.9358</w:t>
            </w:r>
          </w:p>
        </w:tc>
      </w:tr>
      <w:tr>
        <w:trPr>
          <w:trHeight w:val="224" w:hRule="atLeast"/>
        </w:trPr>
        <w:tc>
          <w:tcPr>
            <w:tcW w:w="1847" w:type="dxa"/>
            <w:tcBorders>
              <w:bottom w:val="double" w:sz="6" w:space="0" w:color="000000"/>
            </w:tcBorders>
          </w:tcPr>
          <w:p>
            <w:pPr>
              <w:pStyle w:val="TableParagraph"/>
              <w:rPr>
                <w:sz w:val="16"/>
              </w:rPr>
            </w:pPr>
          </w:p>
        </w:tc>
        <w:tc>
          <w:tcPr>
            <w:tcW w:w="1375" w:type="dxa"/>
            <w:tcBorders>
              <w:bottom w:val="double" w:sz="6" w:space="0" w:color="000000"/>
            </w:tcBorders>
          </w:tcPr>
          <w:p>
            <w:pPr>
              <w:pStyle w:val="TableParagraph"/>
              <w:rPr>
                <w:sz w:val="16"/>
              </w:rPr>
            </w:pPr>
          </w:p>
        </w:tc>
        <w:tc>
          <w:tcPr>
            <w:tcW w:w="2336" w:type="dxa"/>
            <w:gridSpan w:val="2"/>
            <w:tcBorders>
              <w:bottom w:val="double" w:sz="6" w:space="0" w:color="000000"/>
            </w:tcBorders>
          </w:tcPr>
          <w:p>
            <w:pPr>
              <w:pStyle w:val="TableParagraph"/>
              <w:spacing w:line="205" w:lineRule="exact"/>
              <w:ind w:left="131"/>
              <w:rPr>
                <w:sz w:val="20"/>
              </w:rPr>
            </w:pPr>
            <w:r>
              <w:rPr>
                <w:sz w:val="20"/>
              </w:rPr>
              <w:t>10%</w:t>
            </w:r>
            <w:r>
              <w:rPr>
                <w:spacing w:val="-6"/>
                <w:sz w:val="20"/>
              </w:rPr>
              <w:t> </w:t>
            </w:r>
            <w:r>
              <w:rPr>
                <w:sz w:val="20"/>
              </w:rPr>
              <w:t>Critical</w:t>
            </w:r>
            <w:r>
              <w:rPr>
                <w:spacing w:val="-4"/>
                <w:sz w:val="20"/>
              </w:rPr>
              <w:t> </w:t>
            </w:r>
            <w:r>
              <w:rPr>
                <w:spacing w:val="-2"/>
                <w:sz w:val="20"/>
              </w:rPr>
              <w:t>Value</w:t>
            </w:r>
          </w:p>
        </w:tc>
        <w:tc>
          <w:tcPr>
            <w:tcW w:w="929" w:type="dxa"/>
            <w:tcBorders>
              <w:bottom w:val="double" w:sz="6" w:space="0" w:color="000000"/>
            </w:tcBorders>
          </w:tcPr>
          <w:p>
            <w:pPr>
              <w:pStyle w:val="TableParagraph"/>
              <w:spacing w:line="205" w:lineRule="exact"/>
              <w:ind w:right="27"/>
              <w:jc w:val="right"/>
              <w:rPr>
                <w:sz w:val="20"/>
              </w:rPr>
            </w:pPr>
            <w:r>
              <w:rPr>
                <w:spacing w:val="-4"/>
                <w:sz w:val="20"/>
              </w:rPr>
              <w:t>-</w:t>
            </w:r>
            <w:r>
              <w:rPr>
                <w:spacing w:val="-2"/>
                <w:sz w:val="20"/>
              </w:rPr>
              <w:t>2.6059</w:t>
            </w:r>
          </w:p>
        </w:tc>
      </w:tr>
      <w:tr>
        <w:trPr>
          <w:trHeight w:val="506" w:hRule="atLeast"/>
        </w:trPr>
        <w:tc>
          <w:tcPr>
            <w:tcW w:w="6487" w:type="dxa"/>
            <w:gridSpan w:val="5"/>
            <w:tcBorders>
              <w:top w:val="double" w:sz="6" w:space="0" w:color="000000"/>
            </w:tcBorders>
          </w:tcPr>
          <w:p>
            <w:pPr>
              <w:pStyle w:val="TableParagraph"/>
              <w:spacing w:before="42"/>
              <w:ind w:left="36"/>
              <w:rPr>
                <w:sz w:val="20"/>
              </w:rPr>
            </w:pPr>
            <w:r>
              <w:rPr>
                <w:sz w:val="20"/>
              </w:rPr>
              <w:t>*MacKinnon</w:t>
            </w:r>
            <w:r>
              <w:rPr>
                <w:spacing w:val="-6"/>
                <w:sz w:val="20"/>
              </w:rPr>
              <w:t> </w:t>
            </w:r>
            <w:r>
              <w:rPr>
                <w:sz w:val="20"/>
              </w:rPr>
              <w:t>critical</w:t>
            </w:r>
            <w:r>
              <w:rPr>
                <w:spacing w:val="-4"/>
                <w:sz w:val="20"/>
              </w:rPr>
              <w:t> </w:t>
            </w:r>
            <w:r>
              <w:rPr>
                <w:sz w:val="20"/>
              </w:rPr>
              <w:t>values</w:t>
            </w:r>
            <w:r>
              <w:rPr>
                <w:spacing w:val="-6"/>
                <w:sz w:val="20"/>
              </w:rPr>
              <w:t> </w:t>
            </w:r>
            <w:r>
              <w:rPr>
                <w:sz w:val="20"/>
              </w:rPr>
              <w:t>for</w:t>
            </w:r>
            <w:r>
              <w:rPr>
                <w:spacing w:val="-4"/>
                <w:sz w:val="20"/>
              </w:rPr>
              <w:t> </w:t>
            </w:r>
            <w:r>
              <w:rPr>
                <w:sz w:val="20"/>
              </w:rPr>
              <w:t>rejection</w:t>
            </w:r>
            <w:r>
              <w:rPr>
                <w:spacing w:val="-6"/>
                <w:sz w:val="20"/>
              </w:rPr>
              <w:t> </w:t>
            </w:r>
            <w:r>
              <w:rPr>
                <w:sz w:val="20"/>
              </w:rPr>
              <w:t>of</w:t>
            </w:r>
            <w:r>
              <w:rPr>
                <w:spacing w:val="-6"/>
                <w:sz w:val="20"/>
              </w:rPr>
              <w:t> </w:t>
            </w:r>
            <w:r>
              <w:rPr>
                <w:sz w:val="20"/>
              </w:rPr>
              <w:t>hypothesis</w:t>
            </w:r>
            <w:r>
              <w:rPr>
                <w:spacing w:val="-6"/>
                <w:sz w:val="20"/>
              </w:rPr>
              <w:t> </w:t>
            </w:r>
            <w:r>
              <w:rPr>
                <w:sz w:val="20"/>
              </w:rPr>
              <w:t>of</w:t>
            </w:r>
            <w:r>
              <w:rPr>
                <w:spacing w:val="-6"/>
                <w:sz w:val="20"/>
              </w:rPr>
              <w:t> </w:t>
            </w:r>
            <w:r>
              <w:rPr>
                <w:sz w:val="20"/>
              </w:rPr>
              <w:t>a</w:t>
            </w:r>
            <w:r>
              <w:rPr>
                <w:spacing w:val="-4"/>
                <w:sz w:val="20"/>
              </w:rPr>
              <w:t> </w:t>
            </w:r>
            <w:r>
              <w:rPr>
                <w:sz w:val="20"/>
              </w:rPr>
              <w:t>unit</w:t>
            </w:r>
            <w:r>
              <w:rPr>
                <w:spacing w:val="-6"/>
                <w:sz w:val="20"/>
              </w:rPr>
              <w:t> </w:t>
            </w:r>
            <w:r>
              <w:rPr>
                <w:spacing w:val="-2"/>
                <w:sz w:val="20"/>
              </w:rPr>
              <w:t>root.</w:t>
            </w:r>
          </w:p>
        </w:tc>
      </w:tr>
      <w:tr>
        <w:trPr>
          <w:trHeight w:val="459" w:hRule="atLeast"/>
        </w:trPr>
        <w:tc>
          <w:tcPr>
            <w:tcW w:w="6487" w:type="dxa"/>
            <w:gridSpan w:val="5"/>
          </w:tcPr>
          <w:p>
            <w:pPr>
              <w:pStyle w:val="TableParagraph"/>
              <w:spacing w:line="215" w:lineRule="exact" w:before="225"/>
              <w:ind w:left="36"/>
              <w:rPr>
                <w:sz w:val="20"/>
              </w:rPr>
            </w:pPr>
            <w:r>
              <w:rPr>
                <w:sz w:val="20"/>
              </w:rPr>
              <w:t>Augmented</w:t>
            </w:r>
            <w:r>
              <w:rPr>
                <w:spacing w:val="-8"/>
                <w:sz w:val="20"/>
              </w:rPr>
              <w:t> </w:t>
            </w:r>
            <w:r>
              <w:rPr>
                <w:sz w:val="20"/>
              </w:rPr>
              <w:t>Dickey-Fuller</w:t>
            </w:r>
            <w:r>
              <w:rPr>
                <w:spacing w:val="-8"/>
                <w:sz w:val="20"/>
              </w:rPr>
              <w:t> </w:t>
            </w:r>
            <w:r>
              <w:rPr>
                <w:sz w:val="20"/>
              </w:rPr>
              <w:t>Test</w:t>
            </w:r>
            <w:r>
              <w:rPr>
                <w:spacing w:val="-9"/>
                <w:sz w:val="20"/>
              </w:rPr>
              <w:t> </w:t>
            </w:r>
            <w:r>
              <w:rPr>
                <w:spacing w:val="-2"/>
                <w:sz w:val="20"/>
              </w:rPr>
              <w:t>Equation</w:t>
            </w:r>
          </w:p>
        </w:tc>
      </w:tr>
      <w:tr>
        <w:trPr>
          <w:trHeight w:val="230" w:hRule="atLeast"/>
        </w:trPr>
        <w:tc>
          <w:tcPr>
            <w:tcW w:w="6487" w:type="dxa"/>
            <w:gridSpan w:val="5"/>
          </w:tcPr>
          <w:p>
            <w:pPr>
              <w:pStyle w:val="TableParagraph"/>
              <w:spacing w:line="210" w:lineRule="exact"/>
              <w:ind w:left="36"/>
              <w:rPr>
                <w:sz w:val="20"/>
              </w:rPr>
            </w:pPr>
            <w:r>
              <w:rPr>
                <w:sz w:val="20"/>
              </w:rPr>
              <w:t>Dependent</w:t>
            </w:r>
            <w:r>
              <w:rPr>
                <w:spacing w:val="-7"/>
                <w:sz w:val="20"/>
              </w:rPr>
              <w:t> </w:t>
            </w:r>
            <w:r>
              <w:rPr>
                <w:sz w:val="20"/>
              </w:rPr>
              <w:t>Variable:</w:t>
            </w:r>
            <w:r>
              <w:rPr>
                <w:spacing w:val="-7"/>
                <w:sz w:val="20"/>
              </w:rPr>
              <w:t> </w:t>
            </w:r>
            <w:r>
              <w:rPr>
                <w:spacing w:val="-4"/>
                <w:sz w:val="20"/>
              </w:rPr>
              <w:t>D(DR)</w:t>
            </w:r>
          </w:p>
        </w:tc>
      </w:tr>
      <w:tr>
        <w:trPr>
          <w:trHeight w:val="229" w:hRule="atLeast"/>
        </w:trPr>
        <w:tc>
          <w:tcPr>
            <w:tcW w:w="6487" w:type="dxa"/>
            <w:gridSpan w:val="5"/>
          </w:tcPr>
          <w:p>
            <w:pPr>
              <w:pStyle w:val="TableParagraph"/>
              <w:spacing w:line="209" w:lineRule="exact"/>
              <w:ind w:left="36"/>
              <w:rPr>
                <w:sz w:val="20"/>
              </w:rPr>
            </w:pPr>
            <w:r>
              <w:rPr>
                <w:sz w:val="20"/>
              </w:rPr>
              <w:t>Method:</w:t>
            </w:r>
            <w:r>
              <w:rPr>
                <w:spacing w:val="-8"/>
                <w:sz w:val="20"/>
              </w:rPr>
              <w:t> </w:t>
            </w:r>
            <w:r>
              <w:rPr>
                <w:sz w:val="20"/>
              </w:rPr>
              <w:t>Least</w:t>
            </w:r>
            <w:r>
              <w:rPr>
                <w:spacing w:val="-7"/>
                <w:sz w:val="20"/>
              </w:rPr>
              <w:t> </w:t>
            </w:r>
            <w:r>
              <w:rPr>
                <w:spacing w:val="-2"/>
                <w:sz w:val="20"/>
              </w:rPr>
              <w:t>Squares</w:t>
            </w:r>
          </w:p>
        </w:tc>
      </w:tr>
      <w:tr>
        <w:trPr>
          <w:trHeight w:val="229" w:hRule="atLeast"/>
        </w:trPr>
        <w:tc>
          <w:tcPr>
            <w:tcW w:w="6487" w:type="dxa"/>
            <w:gridSpan w:val="5"/>
          </w:tcPr>
          <w:p>
            <w:pPr>
              <w:pStyle w:val="TableParagraph"/>
              <w:spacing w:line="209" w:lineRule="exact"/>
              <w:ind w:left="36"/>
              <w:rPr>
                <w:sz w:val="20"/>
              </w:rPr>
            </w:pPr>
            <w:r>
              <w:rPr>
                <w:sz w:val="20"/>
              </w:rPr>
              <w:t>Date:</w:t>
            </w:r>
            <w:r>
              <w:rPr>
                <w:spacing w:val="-5"/>
                <w:sz w:val="20"/>
              </w:rPr>
              <w:t> </w:t>
            </w:r>
            <w:r>
              <w:rPr>
                <w:sz w:val="20"/>
              </w:rPr>
              <w:t>02/18/14</w:t>
            </w:r>
            <w:r>
              <w:rPr>
                <w:spacing w:val="63"/>
                <w:w w:val="150"/>
                <w:sz w:val="20"/>
              </w:rPr>
              <w:t> </w:t>
            </w:r>
            <w:r>
              <w:rPr>
                <w:sz w:val="20"/>
              </w:rPr>
              <w:t>Time:</w:t>
            </w:r>
            <w:r>
              <w:rPr>
                <w:spacing w:val="-3"/>
                <w:sz w:val="20"/>
              </w:rPr>
              <w:t> </w:t>
            </w:r>
            <w:r>
              <w:rPr>
                <w:spacing w:val="-2"/>
                <w:sz w:val="20"/>
              </w:rPr>
              <w:t>09:19</w:t>
            </w:r>
          </w:p>
        </w:tc>
      </w:tr>
      <w:tr>
        <w:trPr>
          <w:trHeight w:val="230" w:hRule="atLeast"/>
        </w:trPr>
        <w:tc>
          <w:tcPr>
            <w:tcW w:w="6487" w:type="dxa"/>
            <w:gridSpan w:val="5"/>
          </w:tcPr>
          <w:p>
            <w:pPr>
              <w:pStyle w:val="TableParagraph"/>
              <w:spacing w:line="210" w:lineRule="exact"/>
              <w:ind w:left="36"/>
              <w:rPr>
                <w:sz w:val="20"/>
              </w:rPr>
            </w:pPr>
            <w:r>
              <w:rPr>
                <w:sz w:val="20"/>
              </w:rPr>
              <w:t>Sample(adjusted):</w:t>
            </w:r>
            <w:r>
              <w:rPr>
                <w:spacing w:val="-9"/>
                <w:sz w:val="20"/>
              </w:rPr>
              <w:t> </w:t>
            </w:r>
            <w:r>
              <w:rPr>
                <w:sz w:val="20"/>
              </w:rPr>
              <w:t>1972</w:t>
            </w:r>
            <w:r>
              <w:rPr>
                <w:spacing w:val="-9"/>
                <w:sz w:val="20"/>
              </w:rPr>
              <w:t> </w:t>
            </w:r>
            <w:r>
              <w:rPr>
                <w:spacing w:val="-4"/>
                <w:sz w:val="20"/>
              </w:rPr>
              <w:t>2011</w:t>
            </w:r>
          </w:p>
        </w:tc>
      </w:tr>
      <w:tr>
        <w:trPr>
          <w:trHeight w:val="224" w:hRule="atLeast"/>
        </w:trPr>
        <w:tc>
          <w:tcPr>
            <w:tcW w:w="6487" w:type="dxa"/>
            <w:gridSpan w:val="5"/>
            <w:tcBorders>
              <w:bottom w:val="double" w:sz="6" w:space="0" w:color="000000"/>
            </w:tcBorders>
          </w:tcPr>
          <w:p>
            <w:pPr>
              <w:pStyle w:val="TableParagraph"/>
              <w:spacing w:line="205" w:lineRule="exact"/>
              <w:ind w:left="36"/>
              <w:rPr>
                <w:sz w:val="20"/>
              </w:rPr>
            </w:pPr>
            <w:r>
              <w:rPr>
                <w:sz w:val="20"/>
              </w:rPr>
              <w:t>Included</w:t>
            </w:r>
            <w:r>
              <w:rPr>
                <w:spacing w:val="-6"/>
                <w:sz w:val="20"/>
              </w:rPr>
              <w:t> </w:t>
            </w:r>
            <w:r>
              <w:rPr>
                <w:sz w:val="20"/>
              </w:rPr>
              <w:t>observations:</w:t>
            </w:r>
            <w:r>
              <w:rPr>
                <w:spacing w:val="-8"/>
                <w:sz w:val="20"/>
              </w:rPr>
              <w:t> </w:t>
            </w:r>
            <w:r>
              <w:rPr>
                <w:sz w:val="20"/>
              </w:rPr>
              <w:t>40</w:t>
            </w:r>
            <w:r>
              <w:rPr>
                <w:spacing w:val="-5"/>
                <w:sz w:val="20"/>
              </w:rPr>
              <w:t> </w:t>
            </w:r>
            <w:r>
              <w:rPr>
                <w:sz w:val="20"/>
              </w:rPr>
              <w:t>after</w:t>
            </w:r>
            <w:r>
              <w:rPr>
                <w:spacing w:val="-7"/>
                <w:sz w:val="20"/>
              </w:rPr>
              <w:t> </w:t>
            </w:r>
            <w:r>
              <w:rPr>
                <w:sz w:val="20"/>
              </w:rPr>
              <w:t>adjusting</w:t>
            </w:r>
            <w:r>
              <w:rPr>
                <w:spacing w:val="-7"/>
                <w:sz w:val="20"/>
              </w:rPr>
              <w:t> </w:t>
            </w:r>
            <w:r>
              <w:rPr>
                <w:spacing w:val="-2"/>
                <w:sz w:val="20"/>
              </w:rPr>
              <w:t>endpoints</w:t>
            </w:r>
          </w:p>
        </w:tc>
      </w:tr>
      <w:tr>
        <w:trPr>
          <w:trHeight w:val="269" w:hRule="atLeast"/>
        </w:trPr>
        <w:tc>
          <w:tcPr>
            <w:tcW w:w="1847" w:type="dxa"/>
            <w:tcBorders>
              <w:top w:val="double" w:sz="6" w:space="0" w:color="000000"/>
              <w:bottom w:val="double" w:sz="6" w:space="0" w:color="000000"/>
            </w:tcBorders>
          </w:tcPr>
          <w:p>
            <w:pPr>
              <w:pStyle w:val="TableParagraph"/>
              <w:spacing w:line="209" w:lineRule="exact" w:before="40"/>
              <w:ind w:left="677"/>
              <w:rPr>
                <w:sz w:val="20"/>
              </w:rPr>
            </w:pPr>
            <w:r>
              <w:rPr>
                <w:spacing w:val="-2"/>
                <w:sz w:val="20"/>
              </w:rPr>
              <w:t>Variable</w:t>
            </w:r>
          </w:p>
        </w:tc>
        <w:tc>
          <w:tcPr>
            <w:tcW w:w="1375" w:type="dxa"/>
            <w:tcBorders>
              <w:top w:val="double" w:sz="6" w:space="0" w:color="000000"/>
              <w:bottom w:val="double" w:sz="6" w:space="0" w:color="000000"/>
            </w:tcBorders>
          </w:tcPr>
          <w:p>
            <w:pPr>
              <w:pStyle w:val="TableParagraph"/>
              <w:spacing w:line="209" w:lineRule="exact" w:before="40"/>
              <w:ind w:right="131"/>
              <w:jc w:val="right"/>
              <w:rPr>
                <w:sz w:val="20"/>
              </w:rPr>
            </w:pPr>
            <w:r>
              <w:rPr>
                <w:spacing w:val="-2"/>
                <w:sz w:val="20"/>
              </w:rPr>
              <w:t>Coefficient</w:t>
            </w:r>
          </w:p>
        </w:tc>
        <w:tc>
          <w:tcPr>
            <w:tcW w:w="1432" w:type="dxa"/>
            <w:tcBorders>
              <w:top w:val="double" w:sz="6" w:space="0" w:color="000000"/>
              <w:bottom w:val="double" w:sz="6" w:space="0" w:color="000000"/>
            </w:tcBorders>
          </w:tcPr>
          <w:p>
            <w:pPr>
              <w:pStyle w:val="TableParagraph"/>
              <w:spacing w:line="209" w:lineRule="exact" w:before="40"/>
              <w:ind w:left="273"/>
              <w:rPr>
                <w:sz w:val="20"/>
              </w:rPr>
            </w:pPr>
            <w:r>
              <w:rPr>
                <w:sz w:val="20"/>
              </w:rPr>
              <w:t>Std.</w:t>
            </w:r>
            <w:r>
              <w:rPr>
                <w:spacing w:val="-4"/>
                <w:sz w:val="20"/>
              </w:rPr>
              <w:t> </w:t>
            </w:r>
            <w:r>
              <w:rPr>
                <w:spacing w:val="-2"/>
                <w:sz w:val="20"/>
              </w:rPr>
              <w:t>Error</w:t>
            </w:r>
          </w:p>
        </w:tc>
        <w:tc>
          <w:tcPr>
            <w:tcW w:w="904" w:type="dxa"/>
            <w:tcBorders>
              <w:top w:val="double" w:sz="6" w:space="0" w:color="000000"/>
              <w:bottom w:val="double" w:sz="6" w:space="0" w:color="000000"/>
            </w:tcBorders>
          </w:tcPr>
          <w:p>
            <w:pPr>
              <w:pStyle w:val="TableParagraph"/>
              <w:spacing w:line="209" w:lineRule="exact" w:before="40"/>
              <w:ind w:right="22"/>
              <w:jc w:val="center"/>
              <w:rPr>
                <w:sz w:val="20"/>
              </w:rPr>
            </w:pPr>
            <w:r>
              <w:rPr>
                <w:spacing w:val="-4"/>
                <w:sz w:val="20"/>
              </w:rPr>
              <w:t>t-</w:t>
            </w:r>
            <w:r>
              <w:rPr>
                <w:spacing w:val="-2"/>
                <w:sz w:val="20"/>
              </w:rPr>
              <w:t>Statistic</w:t>
            </w:r>
          </w:p>
        </w:tc>
        <w:tc>
          <w:tcPr>
            <w:tcW w:w="929" w:type="dxa"/>
            <w:tcBorders>
              <w:top w:val="double" w:sz="6" w:space="0" w:color="000000"/>
              <w:bottom w:val="double" w:sz="6" w:space="0" w:color="000000"/>
            </w:tcBorders>
          </w:tcPr>
          <w:p>
            <w:pPr>
              <w:pStyle w:val="TableParagraph"/>
              <w:spacing w:line="209" w:lineRule="exact" w:before="40"/>
              <w:ind w:right="28"/>
              <w:jc w:val="right"/>
              <w:rPr>
                <w:sz w:val="20"/>
              </w:rPr>
            </w:pPr>
            <w:r>
              <w:rPr>
                <w:spacing w:val="-2"/>
                <w:sz w:val="20"/>
              </w:rPr>
              <w:t>Prob.</w:t>
            </w:r>
          </w:p>
        </w:tc>
      </w:tr>
      <w:tr>
        <w:trPr>
          <w:trHeight w:val="276" w:hRule="atLeast"/>
        </w:trPr>
        <w:tc>
          <w:tcPr>
            <w:tcW w:w="1847" w:type="dxa"/>
            <w:tcBorders>
              <w:top w:val="double" w:sz="6" w:space="0" w:color="000000"/>
            </w:tcBorders>
          </w:tcPr>
          <w:p>
            <w:pPr>
              <w:pStyle w:val="TableParagraph"/>
              <w:spacing w:line="214" w:lineRule="exact" w:before="42"/>
              <w:ind w:left="732"/>
              <w:rPr>
                <w:sz w:val="20"/>
              </w:rPr>
            </w:pPr>
            <w:r>
              <w:rPr>
                <w:spacing w:val="-2"/>
                <w:sz w:val="20"/>
              </w:rPr>
              <w:t>DR(-</w:t>
            </w:r>
            <w:r>
              <w:rPr>
                <w:spacing w:val="-5"/>
                <w:sz w:val="20"/>
              </w:rPr>
              <w:t>1)</w:t>
            </w:r>
          </w:p>
        </w:tc>
        <w:tc>
          <w:tcPr>
            <w:tcW w:w="1375" w:type="dxa"/>
            <w:tcBorders>
              <w:top w:val="double" w:sz="6" w:space="0" w:color="000000"/>
            </w:tcBorders>
          </w:tcPr>
          <w:p>
            <w:pPr>
              <w:pStyle w:val="TableParagraph"/>
              <w:spacing w:line="214" w:lineRule="exact" w:before="42"/>
              <w:ind w:right="128"/>
              <w:jc w:val="right"/>
              <w:rPr>
                <w:sz w:val="20"/>
              </w:rPr>
            </w:pPr>
            <w:r>
              <w:rPr>
                <w:spacing w:val="-4"/>
                <w:sz w:val="20"/>
              </w:rPr>
              <w:t>-</w:t>
            </w:r>
            <w:r>
              <w:rPr>
                <w:spacing w:val="-2"/>
                <w:sz w:val="20"/>
              </w:rPr>
              <w:t>0.007641</w:t>
            </w:r>
          </w:p>
        </w:tc>
        <w:tc>
          <w:tcPr>
            <w:tcW w:w="1432" w:type="dxa"/>
            <w:tcBorders>
              <w:top w:val="double" w:sz="6" w:space="0" w:color="000000"/>
            </w:tcBorders>
          </w:tcPr>
          <w:p>
            <w:pPr>
              <w:pStyle w:val="TableParagraph"/>
              <w:spacing w:line="214" w:lineRule="exact" w:before="42"/>
              <w:ind w:left="311"/>
              <w:rPr>
                <w:sz w:val="20"/>
              </w:rPr>
            </w:pPr>
            <w:r>
              <w:rPr>
                <w:spacing w:val="-2"/>
                <w:sz w:val="20"/>
              </w:rPr>
              <w:t>0.058602</w:t>
            </w:r>
          </w:p>
        </w:tc>
        <w:tc>
          <w:tcPr>
            <w:tcW w:w="904" w:type="dxa"/>
            <w:tcBorders>
              <w:top w:val="double" w:sz="6" w:space="0" w:color="000000"/>
            </w:tcBorders>
          </w:tcPr>
          <w:p>
            <w:pPr>
              <w:pStyle w:val="TableParagraph"/>
              <w:spacing w:line="214" w:lineRule="exact" w:before="42"/>
              <w:ind w:right="70"/>
              <w:jc w:val="center"/>
              <w:rPr>
                <w:sz w:val="20"/>
              </w:rPr>
            </w:pPr>
            <w:r>
              <w:rPr>
                <w:spacing w:val="-4"/>
                <w:sz w:val="20"/>
              </w:rPr>
              <w:t>-</w:t>
            </w:r>
            <w:r>
              <w:rPr>
                <w:spacing w:val="-2"/>
                <w:sz w:val="20"/>
              </w:rPr>
              <w:t>0.130389</w:t>
            </w:r>
          </w:p>
        </w:tc>
        <w:tc>
          <w:tcPr>
            <w:tcW w:w="929" w:type="dxa"/>
            <w:tcBorders>
              <w:top w:val="double" w:sz="6" w:space="0" w:color="000000"/>
            </w:tcBorders>
          </w:tcPr>
          <w:p>
            <w:pPr>
              <w:pStyle w:val="TableParagraph"/>
              <w:spacing w:line="214" w:lineRule="exact" w:before="42"/>
              <w:ind w:right="27"/>
              <w:jc w:val="right"/>
              <w:rPr>
                <w:sz w:val="20"/>
              </w:rPr>
            </w:pPr>
            <w:r>
              <w:rPr>
                <w:spacing w:val="-2"/>
                <w:sz w:val="20"/>
              </w:rPr>
              <w:t>0.8970</w:t>
            </w:r>
          </w:p>
        </w:tc>
      </w:tr>
      <w:tr>
        <w:trPr>
          <w:trHeight w:val="229" w:hRule="atLeast"/>
        </w:trPr>
        <w:tc>
          <w:tcPr>
            <w:tcW w:w="1847" w:type="dxa"/>
          </w:tcPr>
          <w:p>
            <w:pPr>
              <w:pStyle w:val="TableParagraph"/>
              <w:spacing w:line="209" w:lineRule="exact"/>
              <w:ind w:left="595"/>
              <w:rPr>
                <w:sz w:val="20"/>
              </w:rPr>
            </w:pPr>
            <w:r>
              <w:rPr>
                <w:spacing w:val="-2"/>
                <w:sz w:val="20"/>
              </w:rPr>
              <w:t>D(DR(-</w:t>
            </w:r>
            <w:r>
              <w:rPr>
                <w:spacing w:val="-5"/>
                <w:sz w:val="20"/>
              </w:rPr>
              <w:t>1))</w:t>
            </w:r>
          </w:p>
        </w:tc>
        <w:tc>
          <w:tcPr>
            <w:tcW w:w="1375" w:type="dxa"/>
          </w:tcPr>
          <w:p>
            <w:pPr>
              <w:pStyle w:val="TableParagraph"/>
              <w:spacing w:line="209" w:lineRule="exact"/>
              <w:ind w:right="128"/>
              <w:jc w:val="right"/>
              <w:rPr>
                <w:sz w:val="20"/>
              </w:rPr>
            </w:pPr>
            <w:r>
              <w:rPr>
                <w:spacing w:val="-4"/>
                <w:sz w:val="20"/>
              </w:rPr>
              <w:t>-</w:t>
            </w:r>
            <w:r>
              <w:rPr>
                <w:spacing w:val="-2"/>
                <w:sz w:val="20"/>
              </w:rPr>
              <w:t>0.004865</w:t>
            </w:r>
          </w:p>
        </w:tc>
        <w:tc>
          <w:tcPr>
            <w:tcW w:w="1432" w:type="dxa"/>
          </w:tcPr>
          <w:p>
            <w:pPr>
              <w:pStyle w:val="TableParagraph"/>
              <w:spacing w:line="209" w:lineRule="exact"/>
              <w:ind w:left="311"/>
              <w:rPr>
                <w:sz w:val="20"/>
              </w:rPr>
            </w:pPr>
            <w:r>
              <w:rPr>
                <w:spacing w:val="-2"/>
                <w:sz w:val="20"/>
              </w:rPr>
              <w:t>0.177302</w:t>
            </w:r>
          </w:p>
        </w:tc>
        <w:tc>
          <w:tcPr>
            <w:tcW w:w="904" w:type="dxa"/>
          </w:tcPr>
          <w:p>
            <w:pPr>
              <w:pStyle w:val="TableParagraph"/>
              <w:spacing w:line="209" w:lineRule="exact"/>
              <w:ind w:right="70"/>
              <w:jc w:val="center"/>
              <w:rPr>
                <w:sz w:val="20"/>
              </w:rPr>
            </w:pPr>
            <w:r>
              <w:rPr>
                <w:spacing w:val="-4"/>
                <w:sz w:val="20"/>
              </w:rPr>
              <w:t>-</w:t>
            </w:r>
            <w:r>
              <w:rPr>
                <w:spacing w:val="-2"/>
                <w:sz w:val="20"/>
              </w:rPr>
              <w:t>0.027439</w:t>
            </w:r>
          </w:p>
        </w:tc>
        <w:tc>
          <w:tcPr>
            <w:tcW w:w="929" w:type="dxa"/>
          </w:tcPr>
          <w:p>
            <w:pPr>
              <w:pStyle w:val="TableParagraph"/>
              <w:spacing w:line="209" w:lineRule="exact"/>
              <w:ind w:right="27"/>
              <w:jc w:val="right"/>
              <w:rPr>
                <w:sz w:val="20"/>
              </w:rPr>
            </w:pPr>
            <w:r>
              <w:rPr>
                <w:spacing w:val="-2"/>
                <w:sz w:val="20"/>
              </w:rPr>
              <w:t>0.9783</w:t>
            </w:r>
          </w:p>
        </w:tc>
      </w:tr>
      <w:tr>
        <w:trPr>
          <w:trHeight w:val="224" w:hRule="atLeast"/>
        </w:trPr>
        <w:tc>
          <w:tcPr>
            <w:tcW w:w="1847" w:type="dxa"/>
            <w:tcBorders>
              <w:bottom w:val="double" w:sz="6" w:space="0" w:color="000000"/>
            </w:tcBorders>
          </w:tcPr>
          <w:p>
            <w:pPr>
              <w:pStyle w:val="TableParagraph"/>
              <w:spacing w:line="205" w:lineRule="exact"/>
              <w:ind w:left="197"/>
              <w:jc w:val="center"/>
              <w:rPr>
                <w:sz w:val="20"/>
              </w:rPr>
            </w:pPr>
            <w:r>
              <w:rPr>
                <w:spacing w:val="-10"/>
                <w:sz w:val="20"/>
              </w:rPr>
              <w:t>C</w:t>
            </w:r>
          </w:p>
        </w:tc>
        <w:tc>
          <w:tcPr>
            <w:tcW w:w="1375" w:type="dxa"/>
            <w:tcBorders>
              <w:bottom w:val="double" w:sz="6" w:space="0" w:color="000000"/>
            </w:tcBorders>
          </w:tcPr>
          <w:p>
            <w:pPr>
              <w:pStyle w:val="TableParagraph"/>
              <w:spacing w:line="205" w:lineRule="exact"/>
              <w:ind w:right="128"/>
              <w:jc w:val="right"/>
              <w:rPr>
                <w:sz w:val="20"/>
              </w:rPr>
            </w:pPr>
            <w:r>
              <w:rPr>
                <w:spacing w:val="-4"/>
                <w:sz w:val="20"/>
              </w:rPr>
              <w:t>-</w:t>
            </w:r>
            <w:r>
              <w:rPr>
                <w:spacing w:val="-2"/>
                <w:sz w:val="20"/>
              </w:rPr>
              <w:t>0.004770</w:t>
            </w:r>
          </w:p>
        </w:tc>
        <w:tc>
          <w:tcPr>
            <w:tcW w:w="1432" w:type="dxa"/>
            <w:tcBorders>
              <w:bottom w:val="double" w:sz="6" w:space="0" w:color="000000"/>
            </w:tcBorders>
          </w:tcPr>
          <w:p>
            <w:pPr>
              <w:pStyle w:val="TableParagraph"/>
              <w:spacing w:line="205" w:lineRule="exact"/>
              <w:ind w:left="311"/>
              <w:rPr>
                <w:sz w:val="20"/>
              </w:rPr>
            </w:pPr>
            <w:r>
              <w:rPr>
                <w:spacing w:val="-2"/>
                <w:sz w:val="20"/>
              </w:rPr>
              <w:t>0.111717</w:t>
            </w:r>
          </w:p>
        </w:tc>
        <w:tc>
          <w:tcPr>
            <w:tcW w:w="904" w:type="dxa"/>
            <w:tcBorders>
              <w:bottom w:val="double" w:sz="6" w:space="0" w:color="000000"/>
            </w:tcBorders>
          </w:tcPr>
          <w:p>
            <w:pPr>
              <w:pStyle w:val="TableParagraph"/>
              <w:spacing w:line="205" w:lineRule="exact"/>
              <w:ind w:right="70"/>
              <w:jc w:val="center"/>
              <w:rPr>
                <w:sz w:val="20"/>
              </w:rPr>
            </w:pPr>
            <w:r>
              <w:rPr>
                <w:spacing w:val="-4"/>
                <w:sz w:val="20"/>
              </w:rPr>
              <w:t>-</w:t>
            </w:r>
            <w:r>
              <w:rPr>
                <w:spacing w:val="-2"/>
                <w:sz w:val="20"/>
              </w:rPr>
              <w:t>0.042701</w:t>
            </w:r>
          </w:p>
        </w:tc>
        <w:tc>
          <w:tcPr>
            <w:tcW w:w="929" w:type="dxa"/>
            <w:tcBorders>
              <w:bottom w:val="double" w:sz="6" w:space="0" w:color="000000"/>
            </w:tcBorders>
          </w:tcPr>
          <w:p>
            <w:pPr>
              <w:pStyle w:val="TableParagraph"/>
              <w:spacing w:line="205" w:lineRule="exact"/>
              <w:ind w:right="27"/>
              <w:jc w:val="right"/>
              <w:rPr>
                <w:sz w:val="20"/>
              </w:rPr>
            </w:pPr>
            <w:r>
              <w:rPr>
                <w:spacing w:val="-2"/>
                <w:sz w:val="20"/>
              </w:rPr>
              <w:t>0.9662</w:t>
            </w:r>
          </w:p>
        </w:tc>
      </w:tr>
      <w:tr>
        <w:trPr>
          <w:trHeight w:val="276" w:hRule="atLeast"/>
        </w:trPr>
        <w:tc>
          <w:tcPr>
            <w:tcW w:w="1847" w:type="dxa"/>
            <w:tcBorders>
              <w:top w:val="double" w:sz="6" w:space="0" w:color="000000"/>
            </w:tcBorders>
          </w:tcPr>
          <w:p>
            <w:pPr>
              <w:pStyle w:val="TableParagraph"/>
              <w:spacing w:line="214" w:lineRule="exact" w:before="42"/>
              <w:ind w:left="36"/>
              <w:rPr>
                <w:sz w:val="20"/>
              </w:rPr>
            </w:pPr>
            <w:r>
              <w:rPr>
                <w:spacing w:val="-2"/>
                <w:sz w:val="20"/>
              </w:rPr>
              <w:t>R-squared</w:t>
            </w:r>
          </w:p>
        </w:tc>
        <w:tc>
          <w:tcPr>
            <w:tcW w:w="1375" w:type="dxa"/>
            <w:tcBorders>
              <w:top w:val="double" w:sz="6" w:space="0" w:color="000000"/>
            </w:tcBorders>
          </w:tcPr>
          <w:p>
            <w:pPr>
              <w:pStyle w:val="TableParagraph"/>
              <w:spacing w:line="214" w:lineRule="exact" w:before="42"/>
              <w:ind w:right="128"/>
              <w:jc w:val="right"/>
              <w:rPr>
                <w:sz w:val="20"/>
              </w:rPr>
            </w:pPr>
            <w:r>
              <w:rPr>
                <w:spacing w:val="-2"/>
                <w:sz w:val="20"/>
              </w:rPr>
              <w:t>0.000548</w:t>
            </w:r>
          </w:p>
        </w:tc>
        <w:tc>
          <w:tcPr>
            <w:tcW w:w="2336" w:type="dxa"/>
            <w:gridSpan w:val="2"/>
            <w:tcBorders>
              <w:top w:val="double" w:sz="6" w:space="0" w:color="000000"/>
            </w:tcBorders>
          </w:tcPr>
          <w:p>
            <w:pPr>
              <w:pStyle w:val="TableParagraph"/>
              <w:spacing w:line="214" w:lineRule="exact" w:before="42"/>
              <w:ind w:left="131"/>
              <w:rPr>
                <w:sz w:val="20"/>
              </w:rPr>
            </w:pPr>
            <w:r>
              <w:rPr>
                <w:sz w:val="20"/>
              </w:rPr>
              <w:t>Mean</w:t>
            </w:r>
            <w:r>
              <w:rPr>
                <w:spacing w:val="-7"/>
                <w:sz w:val="20"/>
              </w:rPr>
              <w:t> </w:t>
            </w:r>
            <w:r>
              <w:rPr>
                <w:sz w:val="20"/>
              </w:rPr>
              <w:t>dependent</w:t>
            </w:r>
            <w:r>
              <w:rPr>
                <w:spacing w:val="-7"/>
                <w:sz w:val="20"/>
              </w:rPr>
              <w:t> </w:t>
            </w:r>
            <w:r>
              <w:rPr>
                <w:spacing w:val="-5"/>
                <w:sz w:val="20"/>
              </w:rPr>
              <w:t>var</w:t>
            </w:r>
          </w:p>
        </w:tc>
        <w:tc>
          <w:tcPr>
            <w:tcW w:w="929" w:type="dxa"/>
            <w:tcBorders>
              <w:top w:val="double" w:sz="6" w:space="0" w:color="000000"/>
            </w:tcBorders>
          </w:tcPr>
          <w:p>
            <w:pPr>
              <w:pStyle w:val="TableParagraph"/>
              <w:spacing w:line="214" w:lineRule="exact" w:before="42"/>
              <w:ind w:right="27"/>
              <w:jc w:val="right"/>
              <w:rPr>
                <w:sz w:val="20"/>
              </w:rPr>
            </w:pPr>
            <w:r>
              <w:rPr>
                <w:spacing w:val="-4"/>
                <w:sz w:val="20"/>
              </w:rPr>
              <w:t>-</w:t>
            </w:r>
            <w:r>
              <w:rPr>
                <w:spacing w:val="-2"/>
                <w:sz w:val="20"/>
              </w:rPr>
              <w:t>0.018523</w:t>
            </w:r>
          </w:p>
        </w:tc>
      </w:tr>
      <w:tr>
        <w:trPr>
          <w:trHeight w:val="229" w:hRule="atLeast"/>
        </w:trPr>
        <w:tc>
          <w:tcPr>
            <w:tcW w:w="1847" w:type="dxa"/>
          </w:tcPr>
          <w:p>
            <w:pPr>
              <w:pStyle w:val="TableParagraph"/>
              <w:spacing w:line="209" w:lineRule="exact"/>
              <w:ind w:left="36"/>
              <w:rPr>
                <w:sz w:val="20"/>
              </w:rPr>
            </w:pPr>
            <w:r>
              <w:rPr>
                <w:sz w:val="20"/>
              </w:rPr>
              <w:t>Adjusted</w:t>
            </w:r>
            <w:r>
              <w:rPr>
                <w:spacing w:val="-10"/>
                <w:sz w:val="20"/>
              </w:rPr>
              <w:t> </w:t>
            </w:r>
            <w:r>
              <w:rPr>
                <w:sz w:val="20"/>
              </w:rPr>
              <w:t>R-</w:t>
            </w:r>
            <w:r>
              <w:rPr>
                <w:spacing w:val="-2"/>
                <w:sz w:val="20"/>
              </w:rPr>
              <w:t>squared</w:t>
            </w:r>
          </w:p>
        </w:tc>
        <w:tc>
          <w:tcPr>
            <w:tcW w:w="1375" w:type="dxa"/>
          </w:tcPr>
          <w:p>
            <w:pPr>
              <w:pStyle w:val="TableParagraph"/>
              <w:spacing w:line="209" w:lineRule="exact"/>
              <w:ind w:right="128"/>
              <w:jc w:val="right"/>
              <w:rPr>
                <w:sz w:val="20"/>
              </w:rPr>
            </w:pPr>
            <w:r>
              <w:rPr>
                <w:spacing w:val="-4"/>
                <w:sz w:val="20"/>
              </w:rPr>
              <w:t>-</w:t>
            </w:r>
            <w:r>
              <w:rPr>
                <w:spacing w:val="-2"/>
                <w:sz w:val="20"/>
              </w:rPr>
              <w:t>0.053477</w:t>
            </w:r>
          </w:p>
        </w:tc>
        <w:tc>
          <w:tcPr>
            <w:tcW w:w="2336" w:type="dxa"/>
            <w:gridSpan w:val="2"/>
          </w:tcPr>
          <w:p>
            <w:pPr>
              <w:pStyle w:val="TableParagraph"/>
              <w:spacing w:line="209" w:lineRule="exact"/>
              <w:ind w:left="131"/>
              <w:rPr>
                <w:sz w:val="20"/>
              </w:rPr>
            </w:pPr>
            <w:r>
              <w:rPr>
                <w:sz w:val="20"/>
              </w:rPr>
              <w:t>S.D.</w:t>
            </w:r>
            <w:r>
              <w:rPr>
                <w:spacing w:val="-5"/>
                <w:sz w:val="20"/>
              </w:rPr>
              <w:t> </w:t>
            </w:r>
            <w:r>
              <w:rPr>
                <w:sz w:val="20"/>
              </w:rPr>
              <w:t>dependent</w:t>
            </w:r>
            <w:r>
              <w:rPr>
                <w:spacing w:val="-6"/>
                <w:sz w:val="20"/>
              </w:rPr>
              <w:t> </w:t>
            </w:r>
            <w:r>
              <w:rPr>
                <w:spacing w:val="-5"/>
                <w:sz w:val="20"/>
              </w:rPr>
              <w:t>var</w:t>
            </w:r>
          </w:p>
        </w:tc>
        <w:tc>
          <w:tcPr>
            <w:tcW w:w="929" w:type="dxa"/>
          </w:tcPr>
          <w:p>
            <w:pPr>
              <w:pStyle w:val="TableParagraph"/>
              <w:spacing w:line="209" w:lineRule="exact"/>
              <w:ind w:right="27"/>
              <w:jc w:val="right"/>
              <w:rPr>
                <w:sz w:val="20"/>
              </w:rPr>
            </w:pPr>
            <w:r>
              <w:rPr>
                <w:spacing w:val="-2"/>
                <w:sz w:val="20"/>
              </w:rPr>
              <w:t>0.216159</w:t>
            </w:r>
          </w:p>
        </w:tc>
      </w:tr>
      <w:tr>
        <w:trPr>
          <w:trHeight w:val="230" w:hRule="atLeast"/>
        </w:trPr>
        <w:tc>
          <w:tcPr>
            <w:tcW w:w="1847" w:type="dxa"/>
          </w:tcPr>
          <w:p>
            <w:pPr>
              <w:pStyle w:val="TableParagraph"/>
              <w:spacing w:line="210" w:lineRule="exact"/>
              <w:ind w:left="36"/>
              <w:rPr>
                <w:sz w:val="20"/>
              </w:rPr>
            </w:pPr>
            <w:r>
              <w:rPr>
                <w:sz w:val="20"/>
              </w:rPr>
              <w:t>S.E.</w:t>
            </w:r>
            <w:r>
              <w:rPr>
                <w:spacing w:val="-3"/>
                <w:sz w:val="20"/>
              </w:rPr>
              <w:t> </w:t>
            </w:r>
            <w:r>
              <w:rPr>
                <w:sz w:val="20"/>
              </w:rPr>
              <w:t>of</w:t>
            </w:r>
            <w:r>
              <w:rPr>
                <w:spacing w:val="-3"/>
                <w:sz w:val="20"/>
              </w:rPr>
              <w:t> </w:t>
            </w:r>
            <w:r>
              <w:rPr>
                <w:spacing w:val="-2"/>
                <w:sz w:val="20"/>
              </w:rPr>
              <w:t>regression</w:t>
            </w:r>
          </w:p>
        </w:tc>
        <w:tc>
          <w:tcPr>
            <w:tcW w:w="1375" w:type="dxa"/>
          </w:tcPr>
          <w:p>
            <w:pPr>
              <w:pStyle w:val="TableParagraph"/>
              <w:spacing w:line="210" w:lineRule="exact"/>
              <w:ind w:right="128"/>
              <w:jc w:val="right"/>
              <w:rPr>
                <w:sz w:val="20"/>
              </w:rPr>
            </w:pPr>
            <w:r>
              <w:rPr>
                <w:spacing w:val="-2"/>
                <w:sz w:val="20"/>
              </w:rPr>
              <w:t>0.221863</w:t>
            </w:r>
          </w:p>
        </w:tc>
        <w:tc>
          <w:tcPr>
            <w:tcW w:w="2336" w:type="dxa"/>
            <w:gridSpan w:val="2"/>
          </w:tcPr>
          <w:p>
            <w:pPr>
              <w:pStyle w:val="TableParagraph"/>
              <w:spacing w:line="210" w:lineRule="exact"/>
              <w:ind w:left="131"/>
              <w:rPr>
                <w:sz w:val="20"/>
              </w:rPr>
            </w:pPr>
            <w:r>
              <w:rPr>
                <w:sz w:val="20"/>
              </w:rPr>
              <w:t>Akaike</w:t>
            </w:r>
            <w:r>
              <w:rPr>
                <w:spacing w:val="-8"/>
                <w:sz w:val="20"/>
              </w:rPr>
              <w:t> </w:t>
            </w:r>
            <w:r>
              <w:rPr>
                <w:sz w:val="20"/>
              </w:rPr>
              <w:t>info</w:t>
            </w:r>
            <w:r>
              <w:rPr>
                <w:spacing w:val="-7"/>
                <w:sz w:val="20"/>
              </w:rPr>
              <w:t> </w:t>
            </w:r>
            <w:r>
              <w:rPr>
                <w:spacing w:val="-2"/>
                <w:sz w:val="20"/>
              </w:rPr>
              <w:t>criterion</w:t>
            </w:r>
          </w:p>
        </w:tc>
        <w:tc>
          <w:tcPr>
            <w:tcW w:w="929" w:type="dxa"/>
          </w:tcPr>
          <w:p>
            <w:pPr>
              <w:pStyle w:val="TableParagraph"/>
              <w:spacing w:line="210" w:lineRule="exact"/>
              <w:ind w:right="27"/>
              <w:jc w:val="right"/>
              <w:rPr>
                <w:sz w:val="20"/>
              </w:rPr>
            </w:pPr>
            <w:r>
              <w:rPr>
                <w:spacing w:val="-4"/>
                <w:sz w:val="20"/>
              </w:rPr>
              <w:t>-</w:t>
            </w:r>
            <w:r>
              <w:rPr>
                <w:spacing w:val="-2"/>
                <w:sz w:val="20"/>
              </w:rPr>
              <w:t>0.101474</w:t>
            </w:r>
          </w:p>
        </w:tc>
      </w:tr>
      <w:tr>
        <w:trPr>
          <w:trHeight w:val="230" w:hRule="atLeast"/>
        </w:trPr>
        <w:tc>
          <w:tcPr>
            <w:tcW w:w="1847" w:type="dxa"/>
          </w:tcPr>
          <w:p>
            <w:pPr>
              <w:pStyle w:val="TableParagraph"/>
              <w:spacing w:line="210" w:lineRule="exact"/>
              <w:ind w:left="36"/>
              <w:rPr>
                <w:sz w:val="20"/>
              </w:rPr>
            </w:pPr>
            <w:r>
              <w:rPr>
                <w:sz w:val="20"/>
              </w:rPr>
              <w:t>Sum</w:t>
            </w:r>
            <w:r>
              <w:rPr>
                <w:spacing w:val="-8"/>
                <w:sz w:val="20"/>
              </w:rPr>
              <w:t> </w:t>
            </w:r>
            <w:r>
              <w:rPr>
                <w:sz w:val="20"/>
              </w:rPr>
              <w:t>squared</w:t>
            </w:r>
            <w:r>
              <w:rPr>
                <w:spacing w:val="-4"/>
                <w:sz w:val="20"/>
              </w:rPr>
              <w:t> </w:t>
            </w:r>
            <w:r>
              <w:rPr>
                <w:spacing w:val="-2"/>
                <w:sz w:val="20"/>
              </w:rPr>
              <w:t>resid</w:t>
            </w:r>
          </w:p>
        </w:tc>
        <w:tc>
          <w:tcPr>
            <w:tcW w:w="1375" w:type="dxa"/>
          </w:tcPr>
          <w:p>
            <w:pPr>
              <w:pStyle w:val="TableParagraph"/>
              <w:spacing w:line="210" w:lineRule="exact"/>
              <w:ind w:right="128"/>
              <w:jc w:val="right"/>
              <w:rPr>
                <w:sz w:val="20"/>
              </w:rPr>
            </w:pPr>
            <w:r>
              <w:rPr>
                <w:spacing w:val="-2"/>
                <w:sz w:val="20"/>
              </w:rPr>
              <w:t>1.821261</w:t>
            </w:r>
          </w:p>
        </w:tc>
        <w:tc>
          <w:tcPr>
            <w:tcW w:w="2336" w:type="dxa"/>
            <w:gridSpan w:val="2"/>
          </w:tcPr>
          <w:p>
            <w:pPr>
              <w:pStyle w:val="TableParagraph"/>
              <w:spacing w:line="210" w:lineRule="exact"/>
              <w:ind w:left="131"/>
              <w:rPr>
                <w:sz w:val="20"/>
              </w:rPr>
            </w:pPr>
            <w:r>
              <w:rPr>
                <w:sz w:val="20"/>
              </w:rPr>
              <w:t>Schwarz</w:t>
            </w:r>
            <w:r>
              <w:rPr>
                <w:spacing w:val="-8"/>
                <w:sz w:val="20"/>
              </w:rPr>
              <w:t> </w:t>
            </w:r>
            <w:r>
              <w:rPr>
                <w:spacing w:val="-2"/>
                <w:sz w:val="20"/>
              </w:rPr>
              <w:t>criterion</w:t>
            </w:r>
          </w:p>
        </w:tc>
        <w:tc>
          <w:tcPr>
            <w:tcW w:w="929" w:type="dxa"/>
          </w:tcPr>
          <w:p>
            <w:pPr>
              <w:pStyle w:val="TableParagraph"/>
              <w:spacing w:line="210" w:lineRule="exact"/>
              <w:ind w:right="27"/>
              <w:jc w:val="right"/>
              <w:rPr>
                <w:sz w:val="20"/>
              </w:rPr>
            </w:pPr>
            <w:r>
              <w:rPr>
                <w:spacing w:val="-2"/>
                <w:sz w:val="20"/>
              </w:rPr>
              <w:t>0.025192</w:t>
            </w:r>
          </w:p>
        </w:tc>
      </w:tr>
      <w:tr>
        <w:trPr>
          <w:trHeight w:val="230" w:hRule="atLeast"/>
        </w:trPr>
        <w:tc>
          <w:tcPr>
            <w:tcW w:w="1847" w:type="dxa"/>
          </w:tcPr>
          <w:p>
            <w:pPr>
              <w:pStyle w:val="TableParagraph"/>
              <w:spacing w:line="210" w:lineRule="exact"/>
              <w:ind w:left="36"/>
              <w:rPr>
                <w:sz w:val="20"/>
              </w:rPr>
            </w:pPr>
            <w:r>
              <w:rPr>
                <w:sz w:val="20"/>
              </w:rPr>
              <w:t>Log</w:t>
            </w:r>
            <w:r>
              <w:rPr>
                <w:spacing w:val="-6"/>
                <w:sz w:val="20"/>
              </w:rPr>
              <w:t> </w:t>
            </w:r>
            <w:r>
              <w:rPr>
                <w:spacing w:val="-2"/>
                <w:sz w:val="20"/>
              </w:rPr>
              <w:t>likelihood</w:t>
            </w:r>
          </w:p>
        </w:tc>
        <w:tc>
          <w:tcPr>
            <w:tcW w:w="1375" w:type="dxa"/>
          </w:tcPr>
          <w:p>
            <w:pPr>
              <w:pStyle w:val="TableParagraph"/>
              <w:spacing w:line="210" w:lineRule="exact"/>
              <w:ind w:right="128"/>
              <w:jc w:val="right"/>
              <w:rPr>
                <w:sz w:val="20"/>
              </w:rPr>
            </w:pPr>
            <w:r>
              <w:rPr>
                <w:spacing w:val="-2"/>
                <w:sz w:val="20"/>
              </w:rPr>
              <w:t>5.029470</w:t>
            </w:r>
          </w:p>
        </w:tc>
        <w:tc>
          <w:tcPr>
            <w:tcW w:w="1432" w:type="dxa"/>
          </w:tcPr>
          <w:p>
            <w:pPr>
              <w:pStyle w:val="TableParagraph"/>
              <w:spacing w:line="210" w:lineRule="exact"/>
              <w:ind w:left="131"/>
              <w:rPr>
                <w:sz w:val="20"/>
              </w:rPr>
            </w:pPr>
            <w:r>
              <w:rPr>
                <w:spacing w:val="-4"/>
                <w:sz w:val="20"/>
              </w:rPr>
              <w:t>F-</w:t>
            </w:r>
            <w:r>
              <w:rPr>
                <w:spacing w:val="-2"/>
                <w:sz w:val="20"/>
              </w:rPr>
              <w:t>statistic</w:t>
            </w:r>
          </w:p>
        </w:tc>
        <w:tc>
          <w:tcPr>
            <w:tcW w:w="904" w:type="dxa"/>
          </w:tcPr>
          <w:p>
            <w:pPr>
              <w:pStyle w:val="TableParagraph"/>
              <w:rPr>
                <w:sz w:val="16"/>
              </w:rPr>
            </w:pPr>
          </w:p>
        </w:tc>
        <w:tc>
          <w:tcPr>
            <w:tcW w:w="929" w:type="dxa"/>
          </w:tcPr>
          <w:p>
            <w:pPr>
              <w:pStyle w:val="TableParagraph"/>
              <w:spacing w:line="210" w:lineRule="exact"/>
              <w:ind w:right="27"/>
              <w:jc w:val="right"/>
              <w:rPr>
                <w:sz w:val="20"/>
              </w:rPr>
            </w:pPr>
            <w:r>
              <w:rPr>
                <w:spacing w:val="-2"/>
                <w:sz w:val="20"/>
              </w:rPr>
              <w:t>0.010141</w:t>
            </w:r>
          </w:p>
        </w:tc>
      </w:tr>
      <w:tr>
        <w:trPr>
          <w:trHeight w:val="265" w:hRule="atLeast"/>
        </w:trPr>
        <w:tc>
          <w:tcPr>
            <w:tcW w:w="1847" w:type="dxa"/>
            <w:tcBorders>
              <w:bottom w:val="double" w:sz="6" w:space="0" w:color="000000"/>
            </w:tcBorders>
          </w:tcPr>
          <w:p>
            <w:pPr>
              <w:pStyle w:val="TableParagraph"/>
              <w:spacing w:line="226" w:lineRule="exact"/>
              <w:ind w:left="36"/>
              <w:rPr>
                <w:sz w:val="20"/>
              </w:rPr>
            </w:pPr>
            <w:r>
              <w:rPr>
                <w:sz w:val="20"/>
              </w:rPr>
              <w:t>Durbin-Watson</w:t>
            </w:r>
            <w:r>
              <w:rPr>
                <w:spacing w:val="-12"/>
                <w:sz w:val="20"/>
              </w:rPr>
              <w:t> </w:t>
            </w:r>
            <w:r>
              <w:rPr>
                <w:spacing w:val="-4"/>
                <w:sz w:val="20"/>
              </w:rPr>
              <w:t>stat</w:t>
            </w:r>
          </w:p>
        </w:tc>
        <w:tc>
          <w:tcPr>
            <w:tcW w:w="1375" w:type="dxa"/>
          </w:tcPr>
          <w:p>
            <w:pPr>
              <w:pStyle w:val="TableParagraph"/>
              <w:spacing w:line="226" w:lineRule="exact"/>
              <w:ind w:right="128"/>
              <w:jc w:val="right"/>
              <w:rPr>
                <w:sz w:val="20"/>
              </w:rPr>
            </w:pPr>
            <w:r>
              <w:rPr>
                <w:spacing w:val="-2"/>
                <w:sz w:val="20"/>
              </w:rPr>
              <w:t>1.899040</w:t>
            </w:r>
          </w:p>
        </w:tc>
        <w:tc>
          <w:tcPr>
            <w:tcW w:w="1432" w:type="dxa"/>
            <w:tcBorders>
              <w:bottom w:val="double" w:sz="6" w:space="0" w:color="000000"/>
            </w:tcBorders>
          </w:tcPr>
          <w:p>
            <w:pPr>
              <w:pStyle w:val="TableParagraph"/>
              <w:spacing w:line="226" w:lineRule="exact"/>
              <w:ind w:left="131"/>
              <w:rPr>
                <w:sz w:val="20"/>
              </w:rPr>
            </w:pPr>
            <w:r>
              <w:rPr>
                <w:spacing w:val="-2"/>
                <w:sz w:val="20"/>
              </w:rPr>
              <w:t>Prob(F-statistic)</w:t>
            </w:r>
          </w:p>
        </w:tc>
        <w:tc>
          <w:tcPr>
            <w:tcW w:w="904" w:type="dxa"/>
            <w:tcBorders>
              <w:bottom w:val="double" w:sz="6" w:space="0" w:color="000000"/>
            </w:tcBorders>
          </w:tcPr>
          <w:p>
            <w:pPr>
              <w:pStyle w:val="TableParagraph"/>
              <w:rPr>
                <w:sz w:val="18"/>
              </w:rPr>
            </w:pPr>
          </w:p>
        </w:tc>
        <w:tc>
          <w:tcPr>
            <w:tcW w:w="929" w:type="dxa"/>
            <w:tcBorders>
              <w:bottom w:val="double" w:sz="6" w:space="0" w:color="000000"/>
            </w:tcBorders>
          </w:tcPr>
          <w:p>
            <w:pPr>
              <w:pStyle w:val="TableParagraph"/>
              <w:spacing w:line="226" w:lineRule="exact"/>
              <w:ind w:right="27"/>
              <w:jc w:val="right"/>
              <w:rPr>
                <w:sz w:val="20"/>
              </w:rPr>
            </w:pPr>
            <w:r>
              <w:rPr>
                <w:spacing w:val="-2"/>
                <w:sz w:val="20"/>
              </w:rPr>
              <w:t>0.989913</w:t>
            </w:r>
          </w:p>
        </w:tc>
      </w:tr>
    </w:tbl>
    <w:p>
      <w:pPr>
        <w:pStyle w:val="BodyText"/>
        <w:rPr>
          <w:sz w:val="20"/>
        </w:rPr>
      </w:pPr>
    </w:p>
    <w:p>
      <w:pPr>
        <w:pStyle w:val="BodyText"/>
        <w:spacing w:before="16"/>
        <w:rPr>
          <w:sz w:val="20"/>
        </w:rPr>
      </w:pPr>
    </w:p>
    <w:p>
      <w:pPr>
        <w:spacing w:before="0"/>
        <w:ind w:left="711" w:right="0" w:firstLine="0"/>
        <w:jc w:val="left"/>
        <w:rPr>
          <w:sz w:val="20"/>
        </w:rPr>
      </w:pPr>
      <w:r>
        <w:rPr>
          <w:sz w:val="20"/>
        </w:rPr>
        <w:t>DR</w:t>
      </w:r>
      <w:r>
        <w:rPr>
          <w:spacing w:val="-4"/>
          <w:sz w:val="20"/>
        </w:rPr>
        <w:t> </w:t>
      </w:r>
      <w:r>
        <w:rPr>
          <w:sz w:val="20"/>
        </w:rPr>
        <w:t>@</w:t>
      </w:r>
      <w:r>
        <w:rPr>
          <w:spacing w:val="-3"/>
          <w:sz w:val="20"/>
        </w:rPr>
        <w:t> </w:t>
      </w:r>
      <w:r>
        <w:rPr>
          <w:sz w:val="20"/>
        </w:rPr>
        <w:t>1</w:t>
      </w:r>
      <w:r>
        <w:rPr>
          <w:sz w:val="20"/>
          <w:vertAlign w:val="superscript"/>
        </w:rPr>
        <w:t>ST</w:t>
      </w:r>
      <w:r>
        <w:rPr>
          <w:spacing w:val="-2"/>
          <w:sz w:val="20"/>
          <w:vertAlign w:val="baseline"/>
        </w:rPr>
        <w:t> </w:t>
      </w:r>
      <w:r>
        <w:rPr>
          <w:spacing w:val="-4"/>
          <w:sz w:val="20"/>
          <w:vertAlign w:val="baseline"/>
        </w:rPr>
        <w:t>DIFF</w:t>
      </w:r>
    </w:p>
    <w:tbl>
      <w:tblPr>
        <w:tblW w:w="0" w:type="auto"/>
        <w:jc w:val="left"/>
        <w:tblInd w:w="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47"/>
        <w:gridCol w:w="1375"/>
        <w:gridCol w:w="1432"/>
        <w:gridCol w:w="904"/>
        <w:gridCol w:w="929"/>
      </w:tblGrid>
      <w:tr>
        <w:trPr>
          <w:trHeight w:val="225" w:hRule="atLeast"/>
        </w:trPr>
        <w:tc>
          <w:tcPr>
            <w:tcW w:w="1847" w:type="dxa"/>
          </w:tcPr>
          <w:p>
            <w:pPr>
              <w:pStyle w:val="TableParagraph"/>
              <w:spacing w:line="205" w:lineRule="exact"/>
              <w:ind w:left="36"/>
              <w:rPr>
                <w:sz w:val="20"/>
              </w:rPr>
            </w:pPr>
            <w:r>
              <w:rPr>
                <w:sz w:val="20"/>
              </w:rPr>
              <w:t>ADF</w:t>
            </w:r>
            <w:r>
              <w:rPr>
                <w:spacing w:val="-4"/>
                <w:sz w:val="20"/>
              </w:rPr>
              <w:t> </w:t>
            </w:r>
            <w:r>
              <w:rPr>
                <w:sz w:val="20"/>
              </w:rPr>
              <w:t>Test</w:t>
            </w:r>
            <w:r>
              <w:rPr>
                <w:spacing w:val="-4"/>
                <w:sz w:val="20"/>
              </w:rPr>
              <w:t> </w:t>
            </w:r>
            <w:r>
              <w:rPr>
                <w:spacing w:val="-2"/>
                <w:sz w:val="20"/>
              </w:rPr>
              <w:t>Statistic</w:t>
            </w:r>
          </w:p>
        </w:tc>
        <w:tc>
          <w:tcPr>
            <w:tcW w:w="1375" w:type="dxa"/>
          </w:tcPr>
          <w:p>
            <w:pPr>
              <w:pStyle w:val="TableParagraph"/>
              <w:spacing w:line="205" w:lineRule="exact"/>
              <w:ind w:left="219"/>
              <w:rPr>
                <w:sz w:val="20"/>
              </w:rPr>
            </w:pPr>
            <w:r>
              <w:rPr>
                <w:spacing w:val="-4"/>
                <w:sz w:val="20"/>
              </w:rPr>
              <w:t>-</w:t>
            </w:r>
            <w:r>
              <w:rPr>
                <w:spacing w:val="-2"/>
                <w:sz w:val="20"/>
              </w:rPr>
              <w:t>3.190340</w:t>
            </w:r>
          </w:p>
        </w:tc>
        <w:tc>
          <w:tcPr>
            <w:tcW w:w="2336" w:type="dxa"/>
            <w:gridSpan w:val="2"/>
          </w:tcPr>
          <w:p>
            <w:pPr>
              <w:pStyle w:val="TableParagraph"/>
              <w:spacing w:line="205" w:lineRule="exact"/>
              <w:ind w:left="131"/>
              <w:rPr>
                <w:sz w:val="20"/>
              </w:rPr>
            </w:pPr>
            <w:r>
              <w:rPr>
                <w:sz w:val="20"/>
              </w:rPr>
              <w:t>1%</w:t>
            </w:r>
            <w:r>
              <w:rPr>
                <w:spacing w:val="68"/>
                <w:w w:val="150"/>
                <w:sz w:val="20"/>
              </w:rPr>
              <w:t> </w:t>
            </w:r>
            <w:r>
              <w:rPr>
                <w:sz w:val="20"/>
              </w:rPr>
              <w:t>Critical</w:t>
            </w:r>
            <w:r>
              <w:rPr>
                <w:spacing w:val="-2"/>
                <w:sz w:val="20"/>
              </w:rPr>
              <w:t> Value*</w:t>
            </w:r>
          </w:p>
        </w:tc>
        <w:tc>
          <w:tcPr>
            <w:tcW w:w="929" w:type="dxa"/>
          </w:tcPr>
          <w:p>
            <w:pPr>
              <w:pStyle w:val="TableParagraph"/>
              <w:spacing w:line="205" w:lineRule="exact"/>
              <w:ind w:right="27"/>
              <w:jc w:val="right"/>
              <w:rPr>
                <w:sz w:val="20"/>
              </w:rPr>
            </w:pPr>
            <w:r>
              <w:rPr>
                <w:spacing w:val="-4"/>
                <w:sz w:val="20"/>
              </w:rPr>
              <w:t>-</w:t>
            </w:r>
            <w:r>
              <w:rPr>
                <w:spacing w:val="-2"/>
                <w:sz w:val="20"/>
              </w:rPr>
              <w:t>3.6067</w:t>
            </w:r>
          </w:p>
        </w:tc>
      </w:tr>
      <w:tr>
        <w:trPr>
          <w:trHeight w:val="230" w:hRule="atLeast"/>
        </w:trPr>
        <w:tc>
          <w:tcPr>
            <w:tcW w:w="1847" w:type="dxa"/>
          </w:tcPr>
          <w:p>
            <w:pPr>
              <w:pStyle w:val="TableParagraph"/>
              <w:rPr>
                <w:sz w:val="16"/>
              </w:rPr>
            </w:pPr>
          </w:p>
        </w:tc>
        <w:tc>
          <w:tcPr>
            <w:tcW w:w="1375" w:type="dxa"/>
          </w:tcPr>
          <w:p>
            <w:pPr>
              <w:pStyle w:val="TableParagraph"/>
              <w:rPr>
                <w:sz w:val="16"/>
              </w:rPr>
            </w:pPr>
          </w:p>
        </w:tc>
        <w:tc>
          <w:tcPr>
            <w:tcW w:w="2336" w:type="dxa"/>
            <w:gridSpan w:val="2"/>
          </w:tcPr>
          <w:p>
            <w:pPr>
              <w:pStyle w:val="TableParagraph"/>
              <w:spacing w:line="210" w:lineRule="exact"/>
              <w:ind w:left="131"/>
              <w:rPr>
                <w:sz w:val="20"/>
              </w:rPr>
            </w:pPr>
            <w:r>
              <w:rPr>
                <w:sz w:val="20"/>
              </w:rPr>
              <w:t>5%</w:t>
            </w:r>
            <w:r>
              <w:rPr>
                <w:spacing w:val="68"/>
                <w:w w:val="150"/>
                <w:sz w:val="20"/>
              </w:rPr>
              <w:t> </w:t>
            </w:r>
            <w:r>
              <w:rPr>
                <w:sz w:val="20"/>
              </w:rPr>
              <w:t>Critical</w:t>
            </w:r>
            <w:r>
              <w:rPr>
                <w:spacing w:val="-2"/>
                <w:sz w:val="20"/>
              </w:rPr>
              <w:t> </w:t>
            </w:r>
            <w:r>
              <w:rPr>
                <w:spacing w:val="-4"/>
                <w:sz w:val="20"/>
              </w:rPr>
              <w:t>Value</w:t>
            </w:r>
          </w:p>
        </w:tc>
        <w:tc>
          <w:tcPr>
            <w:tcW w:w="929" w:type="dxa"/>
          </w:tcPr>
          <w:p>
            <w:pPr>
              <w:pStyle w:val="TableParagraph"/>
              <w:spacing w:line="210" w:lineRule="exact"/>
              <w:ind w:right="27"/>
              <w:jc w:val="right"/>
              <w:rPr>
                <w:sz w:val="20"/>
              </w:rPr>
            </w:pPr>
            <w:r>
              <w:rPr>
                <w:spacing w:val="-4"/>
                <w:sz w:val="20"/>
              </w:rPr>
              <w:t>-</w:t>
            </w:r>
            <w:r>
              <w:rPr>
                <w:spacing w:val="-2"/>
                <w:sz w:val="20"/>
              </w:rPr>
              <w:t>2.9378</w:t>
            </w:r>
          </w:p>
        </w:tc>
      </w:tr>
      <w:tr>
        <w:trPr>
          <w:trHeight w:val="224" w:hRule="atLeast"/>
        </w:trPr>
        <w:tc>
          <w:tcPr>
            <w:tcW w:w="1847" w:type="dxa"/>
            <w:tcBorders>
              <w:bottom w:val="double" w:sz="6" w:space="0" w:color="000000"/>
            </w:tcBorders>
          </w:tcPr>
          <w:p>
            <w:pPr>
              <w:pStyle w:val="TableParagraph"/>
              <w:rPr>
                <w:sz w:val="16"/>
              </w:rPr>
            </w:pPr>
          </w:p>
        </w:tc>
        <w:tc>
          <w:tcPr>
            <w:tcW w:w="1375" w:type="dxa"/>
            <w:tcBorders>
              <w:bottom w:val="double" w:sz="6" w:space="0" w:color="000000"/>
            </w:tcBorders>
          </w:tcPr>
          <w:p>
            <w:pPr>
              <w:pStyle w:val="TableParagraph"/>
              <w:rPr>
                <w:sz w:val="16"/>
              </w:rPr>
            </w:pPr>
          </w:p>
        </w:tc>
        <w:tc>
          <w:tcPr>
            <w:tcW w:w="2336" w:type="dxa"/>
            <w:gridSpan w:val="2"/>
            <w:tcBorders>
              <w:bottom w:val="double" w:sz="6" w:space="0" w:color="000000"/>
            </w:tcBorders>
          </w:tcPr>
          <w:p>
            <w:pPr>
              <w:pStyle w:val="TableParagraph"/>
              <w:spacing w:line="205" w:lineRule="exact"/>
              <w:ind w:left="131"/>
              <w:rPr>
                <w:sz w:val="20"/>
              </w:rPr>
            </w:pPr>
            <w:r>
              <w:rPr>
                <w:sz w:val="20"/>
              </w:rPr>
              <w:t>10%</w:t>
            </w:r>
            <w:r>
              <w:rPr>
                <w:spacing w:val="-6"/>
                <w:sz w:val="20"/>
              </w:rPr>
              <w:t> </w:t>
            </w:r>
            <w:r>
              <w:rPr>
                <w:sz w:val="20"/>
              </w:rPr>
              <w:t>Critical</w:t>
            </w:r>
            <w:r>
              <w:rPr>
                <w:spacing w:val="-4"/>
                <w:sz w:val="20"/>
              </w:rPr>
              <w:t> </w:t>
            </w:r>
            <w:r>
              <w:rPr>
                <w:spacing w:val="-2"/>
                <w:sz w:val="20"/>
              </w:rPr>
              <w:t>Value</w:t>
            </w:r>
          </w:p>
        </w:tc>
        <w:tc>
          <w:tcPr>
            <w:tcW w:w="929" w:type="dxa"/>
            <w:tcBorders>
              <w:bottom w:val="double" w:sz="6" w:space="0" w:color="000000"/>
            </w:tcBorders>
          </w:tcPr>
          <w:p>
            <w:pPr>
              <w:pStyle w:val="TableParagraph"/>
              <w:spacing w:line="205" w:lineRule="exact"/>
              <w:ind w:right="27"/>
              <w:jc w:val="right"/>
              <w:rPr>
                <w:sz w:val="20"/>
              </w:rPr>
            </w:pPr>
            <w:r>
              <w:rPr>
                <w:spacing w:val="-4"/>
                <w:sz w:val="20"/>
              </w:rPr>
              <w:t>-</w:t>
            </w:r>
            <w:r>
              <w:rPr>
                <w:spacing w:val="-2"/>
                <w:sz w:val="20"/>
              </w:rPr>
              <w:t>2.6069</w:t>
            </w:r>
          </w:p>
        </w:tc>
      </w:tr>
      <w:tr>
        <w:trPr>
          <w:trHeight w:val="505" w:hRule="atLeast"/>
        </w:trPr>
        <w:tc>
          <w:tcPr>
            <w:tcW w:w="6487" w:type="dxa"/>
            <w:gridSpan w:val="5"/>
            <w:tcBorders>
              <w:top w:val="double" w:sz="6" w:space="0" w:color="000000"/>
            </w:tcBorders>
          </w:tcPr>
          <w:p>
            <w:pPr>
              <w:pStyle w:val="TableParagraph"/>
              <w:spacing w:before="40"/>
              <w:ind w:left="36"/>
              <w:rPr>
                <w:sz w:val="20"/>
              </w:rPr>
            </w:pPr>
            <w:r>
              <w:rPr>
                <w:sz w:val="20"/>
              </w:rPr>
              <w:t>*MacKinnon</w:t>
            </w:r>
            <w:r>
              <w:rPr>
                <w:spacing w:val="-6"/>
                <w:sz w:val="20"/>
              </w:rPr>
              <w:t> </w:t>
            </w:r>
            <w:r>
              <w:rPr>
                <w:sz w:val="20"/>
              </w:rPr>
              <w:t>critical</w:t>
            </w:r>
            <w:r>
              <w:rPr>
                <w:spacing w:val="-4"/>
                <w:sz w:val="20"/>
              </w:rPr>
              <w:t> </w:t>
            </w:r>
            <w:r>
              <w:rPr>
                <w:sz w:val="20"/>
              </w:rPr>
              <w:t>values</w:t>
            </w:r>
            <w:r>
              <w:rPr>
                <w:spacing w:val="-6"/>
                <w:sz w:val="20"/>
              </w:rPr>
              <w:t> </w:t>
            </w:r>
            <w:r>
              <w:rPr>
                <w:sz w:val="20"/>
              </w:rPr>
              <w:t>for</w:t>
            </w:r>
            <w:r>
              <w:rPr>
                <w:spacing w:val="-4"/>
                <w:sz w:val="20"/>
              </w:rPr>
              <w:t> </w:t>
            </w:r>
            <w:r>
              <w:rPr>
                <w:sz w:val="20"/>
              </w:rPr>
              <w:t>rejection</w:t>
            </w:r>
            <w:r>
              <w:rPr>
                <w:spacing w:val="-6"/>
                <w:sz w:val="20"/>
              </w:rPr>
              <w:t> </w:t>
            </w:r>
            <w:r>
              <w:rPr>
                <w:sz w:val="20"/>
              </w:rPr>
              <w:t>of</w:t>
            </w:r>
            <w:r>
              <w:rPr>
                <w:spacing w:val="-6"/>
                <w:sz w:val="20"/>
              </w:rPr>
              <w:t> </w:t>
            </w:r>
            <w:r>
              <w:rPr>
                <w:sz w:val="20"/>
              </w:rPr>
              <w:t>hypothesis</w:t>
            </w:r>
            <w:r>
              <w:rPr>
                <w:spacing w:val="-6"/>
                <w:sz w:val="20"/>
              </w:rPr>
              <w:t> </w:t>
            </w:r>
            <w:r>
              <w:rPr>
                <w:sz w:val="20"/>
              </w:rPr>
              <w:t>of</w:t>
            </w:r>
            <w:r>
              <w:rPr>
                <w:spacing w:val="-6"/>
                <w:sz w:val="20"/>
              </w:rPr>
              <w:t> </w:t>
            </w:r>
            <w:r>
              <w:rPr>
                <w:sz w:val="20"/>
              </w:rPr>
              <w:t>a</w:t>
            </w:r>
            <w:r>
              <w:rPr>
                <w:spacing w:val="-4"/>
                <w:sz w:val="20"/>
              </w:rPr>
              <w:t> </w:t>
            </w:r>
            <w:r>
              <w:rPr>
                <w:sz w:val="20"/>
              </w:rPr>
              <w:t>unit</w:t>
            </w:r>
            <w:r>
              <w:rPr>
                <w:spacing w:val="-6"/>
                <w:sz w:val="20"/>
              </w:rPr>
              <w:t> </w:t>
            </w:r>
            <w:r>
              <w:rPr>
                <w:spacing w:val="-2"/>
                <w:sz w:val="20"/>
              </w:rPr>
              <w:t>root.</w:t>
            </w:r>
          </w:p>
        </w:tc>
      </w:tr>
      <w:tr>
        <w:trPr>
          <w:trHeight w:val="460" w:hRule="atLeast"/>
        </w:trPr>
        <w:tc>
          <w:tcPr>
            <w:tcW w:w="6487" w:type="dxa"/>
            <w:gridSpan w:val="5"/>
          </w:tcPr>
          <w:p>
            <w:pPr>
              <w:pStyle w:val="TableParagraph"/>
              <w:spacing w:line="215" w:lineRule="exact" w:before="226"/>
              <w:ind w:left="36"/>
              <w:rPr>
                <w:sz w:val="20"/>
              </w:rPr>
            </w:pPr>
            <w:r>
              <w:rPr>
                <w:sz w:val="20"/>
              </w:rPr>
              <w:t>Augmented</w:t>
            </w:r>
            <w:r>
              <w:rPr>
                <w:spacing w:val="-8"/>
                <w:sz w:val="20"/>
              </w:rPr>
              <w:t> </w:t>
            </w:r>
            <w:r>
              <w:rPr>
                <w:sz w:val="20"/>
              </w:rPr>
              <w:t>Dickey-Fuller</w:t>
            </w:r>
            <w:r>
              <w:rPr>
                <w:spacing w:val="-8"/>
                <w:sz w:val="20"/>
              </w:rPr>
              <w:t> </w:t>
            </w:r>
            <w:r>
              <w:rPr>
                <w:sz w:val="20"/>
              </w:rPr>
              <w:t>Test</w:t>
            </w:r>
            <w:r>
              <w:rPr>
                <w:spacing w:val="-9"/>
                <w:sz w:val="20"/>
              </w:rPr>
              <w:t> </w:t>
            </w:r>
            <w:r>
              <w:rPr>
                <w:spacing w:val="-2"/>
                <w:sz w:val="20"/>
              </w:rPr>
              <w:t>Equation</w:t>
            </w:r>
          </w:p>
        </w:tc>
      </w:tr>
      <w:tr>
        <w:trPr>
          <w:trHeight w:val="229" w:hRule="atLeast"/>
        </w:trPr>
        <w:tc>
          <w:tcPr>
            <w:tcW w:w="6487" w:type="dxa"/>
            <w:gridSpan w:val="5"/>
          </w:tcPr>
          <w:p>
            <w:pPr>
              <w:pStyle w:val="TableParagraph"/>
              <w:spacing w:line="209" w:lineRule="exact"/>
              <w:ind w:left="36"/>
              <w:rPr>
                <w:sz w:val="20"/>
              </w:rPr>
            </w:pPr>
            <w:r>
              <w:rPr>
                <w:sz w:val="20"/>
              </w:rPr>
              <w:t>Dependent</w:t>
            </w:r>
            <w:r>
              <w:rPr>
                <w:spacing w:val="-7"/>
                <w:sz w:val="20"/>
              </w:rPr>
              <w:t> </w:t>
            </w:r>
            <w:r>
              <w:rPr>
                <w:sz w:val="20"/>
              </w:rPr>
              <w:t>Variable:</w:t>
            </w:r>
            <w:r>
              <w:rPr>
                <w:spacing w:val="-7"/>
                <w:sz w:val="20"/>
              </w:rPr>
              <w:t> </w:t>
            </w:r>
            <w:r>
              <w:rPr>
                <w:spacing w:val="-2"/>
                <w:sz w:val="20"/>
              </w:rPr>
              <w:t>D(DR,2)</w:t>
            </w:r>
          </w:p>
        </w:tc>
      </w:tr>
      <w:tr>
        <w:trPr>
          <w:trHeight w:val="229" w:hRule="atLeast"/>
        </w:trPr>
        <w:tc>
          <w:tcPr>
            <w:tcW w:w="6487" w:type="dxa"/>
            <w:gridSpan w:val="5"/>
          </w:tcPr>
          <w:p>
            <w:pPr>
              <w:pStyle w:val="TableParagraph"/>
              <w:spacing w:line="209" w:lineRule="exact"/>
              <w:ind w:left="36"/>
              <w:rPr>
                <w:sz w:val="20"/>
              </w:rPr>
            </w:pPr>
            <w:r>
              <w:rPr>
                <w:sz w:val="20"/>
              </w:rPr>
              <w:t>Method:</w:t>
            </w:r>
            <w:r>
              <w:rPr>
                <w:spacing w:val="-8"/>
                <w:sz w:val="20"/>
              </w:rPr>
              <w:t> </w:t>
            </w:r>
            <w:r>
              <w:rPr>
                <w:sz w:val="20"/>
              </w:rPr>
              <w:t>Least</w:t>
            </w:r>
            <w:r>
              <w:rPr>
                <w:spacing w:val="-7"/>
                <w:sz w:val="20"/>
              </w:rPr>
              <w:t> </w:t>
            </w:r>
            <w:r>
              <w:rPr>
                <w:spacing w:val="-2"/>
                <w:sz w:val="20"/>
              </w:rPr>
              <w:t>Squares</w:t>
            </w:r>
          </w:p>
        </w:tc>
      </w:tr>
      <w:tr>
        <w:trPr>
          <w:trHeight w:val="230" w:hRule="atLeast"/>
        </w:trPr>
        <w:tc>
          <w:tcPr>
            <w:tcW w:w="6487" w:type="dxa"/>
            <w:gridSpan w:val="5"/>
          </w:tcPr>
          <w:p>
            <w:pPr>
              <w:pStyle w:val="TableParagraph"/>
              <w:spacing w:line="210" w:lineRule="exact"/>
              <w:ind w:left="36"/>
              <w:rPr>
                <w:sz w:val="20"/>
              </w:rPr>
            </w:pPr>
            <w:r>
              <w:rPr>
                <w:sz w:val="20"/>
              </w:rPr>
              <w:t>Date:</w:t>
            </w:r>
            <w:r>
              <w:rPr>
                <w:spacing w:val="-5"/>
                <w:sz w:val="20"/>
              </w:rPr>
              <w:t> </w:t>
            </w:r>
            <w:r>
              <w:rPr>
                <w:sz w:val="20"/>
              </w:rPr>
              <w:t>02/18/14</w:t>
            </w:r>
            <w:r>
              <w:rPr>
                <w:spacing w:val="63"/>
                <w:w w:val="150"/>
                <w:sz w:val="20"/>
              </w:rPr>
              <w:t> </w:t>
            </w:r>
            <w:r>
              <w:rPr>
                <w:sz w:val="20"/>
              </w:rPr>
              <w:t>Time:</w:t>
            </w:r>
            <w:r>
              <w:rPr>
                <w:spacing w:val="-3"/>
                <w:sz w:val="20"/>
              </w:rPr>
              <w:t> </w:t>
            </w:r>
            <w:r>
              <w:rPr>
                <w:spacing w:val="-2"/>
                <w:sz w:val="20"/>
              </w:rPr>
              <w:t>09:20</w:t>
            </w:r>
          </w:p>
        </w:tc>
      </w:tr>
      <w:tr>
        <w:trPr>
          <w:trHeight w:val="230" w:hRule="atLeast"/>
        </w:trPr>
        <w:tc>
          <w:tcPr>
            <w:tcW w:w="6487" w:type="dxa"/>
            <w:gridSpan w:val="5"/>
          </w:tcPr>
          <w:p>
            <w:pPr>
              <w:pStyle w:val="TableParagraph"/>
              <w:spacing w:line="210" w:lineRule="exact"/>
              <w:ind w:left="36"/>
              <w:rPr>
                <w:sz w:val="20"/>
              </w:rPr>
            </w:pPr>
            <w:r>
              <w:rPr>
                <w:sz w:val="20"/>
              </w:rPr>
              <w:t>Sample(adjusted):</w:t>
            </w:r>
            <w:r>
              <w:rPr>
                <w:spacing w:val="-9"/>
                <w:sz w:val="20"/>
              </w:rPr>
              <w:t> </w:t>
            </w:r>
            <w:r>
              <w:rPr>
                <w:sz w:val="20"/>
              </w:rPr>
              <w:t>1973</w:t>
            </w:r>
            <w:r>
              <w:rPr>
                <w:spacing w:val="-9"/>
                <w:sz w:val="20"/>
              </w:rPr>
              <w:t> </w:t>
            </w:r>
            <w:r>
              <w:rPr>
                <w:spacing w:val="-4"/>
                <w:sz w:val="20"/>
              </w:rPr>
              <w:t>2011</w:t>
            </w:r>
          </w:p>
        </w:tc>
      </w:tr>
      <w:tr>
        <w:trPr>
          <w:trHeight w:val="224" w:hRule="atLeast"/>
        </w:trPr>
        <w:tc>
          <w:tcPr>
            <w:tcW w:w="6487" w:type="dxa"/>
            <w:gridSpan w:val="5"/>
            <w:tcBorders>
              <w:bottom w:val="double" w:sz="6" w:space="0" w:color="000000"/>
            </w:tcBorders>
          </w:tcPr>
          <w:p>
            <w:pPr>
              <w:pStyle w:val="TableParagraph"/>
              <w:spacing w:line="205" w:lineRule="exact"/>
              <w:ind w:left="36"/>
              <w:rPr>
                <w:sz w:val="20"/>
              </w:rPr>
            </w:pPr>
            <w:r>
              <w:rPr>
                <w:sz w:val="20"/>
              </w:rPr>
              <w:t>Included</w:t>
            </w:r>
            <w:r>
              <w:rPr>
                <w:spacing w:val="-6"/>
                <w:sz w:val="20"/>
              </w:rPr>
              <w:t> </w:t>
            </w:r>
            <w:r>
              <w:rPr>
                <w:sz w:val="20"/>
              </w:rPr>
              <w:t>observations:</w:t>
            </w:r>
            <w:r>
              <w:rPr>
                <w:spacing w:val="-8"/>
                <w:sz w:val="20"/>
              </w:rPr>
              <w:t> </w:t>
            </w:r>
            <w:r>
              <w:rPr>
                <w:sz w:val="20"/>
              </w:rPr>
              <w:t>39</w:t>
            </w:r>
            <w:r>
              <w:rPr>
                <w:spacing w:val="-5"/>
                <w:sz w:val="20"/>
              </w:rPr>
              <w:t> </w:t>
            </w:r>
            <w:r>
              <w:rPr>
                <w:sz w:val="20"/>
              </w:rPr>
              <w:t>after</w:t>
            </w:r>
            <w:r>
              <w:rPr>
                <w:spacing w:val="-7"/>
                <w:sz w:val="20"/>
              </w:rPr>
              <w:t> </w:t>
            </w:r>
            <w:r>
              <w:rPr>
                <w:sz w:val="20"/>
              </w:rPr>
              <w:t>adjusting</w:t>
            </w:r>
            <w:r>
              <w:rPr>
                <w:spacing w:val="-7"/>
                <w:sz w:val="20"/>
              </w:rPr>
              <w:t> </w:t>
            </w:r>
            <w:r>
              <w:rPr>
                <w:spacing w:val="-2"/>
                <w:sz w:val="20"/>
              </w:rPr>
              <w:t>endpoints</w:t>
            </w:r>
          </w:p>
        </w:tc>
      </w:tr>
      <w:tr>
        <w:trPr>
          <w:trHeight w:val="269" w:hRule="atLeast"/>
        </w:trPr>
        <w:tc>
          <w:tcPr>
            <w:tcW w:w="1847" w:type="dxa"/>
            <w:tcBorders>
              <w:top w:val="double" w:sz="6" w:space="0" w:color="000000"/>
              <w:bottom w:val="double" w:sz="6" w:space="0" w:color="000000"/>
            </w:tcBorders>
          </w:tcPr>
          <w:p>
            <w:pPr>
              <w:pStyle w:val="TableParagraph"/>
              <w:spacing w:line="209" w:lineRule="exact" w:before="40"/>
              <w:ind w:left="677"/>
              <w:rPr>
                <w:sz w:val="20"/>
              </w:rPr>
            </w:pPr>
            <w:r>
              <w:rPr>
                <w:spacing w:val="-2"/>
                <w:sz w:val="20"/>
              </w:rPr>
              <w:t>Variable</w:t>
            </w:r>
          </w:p>
        </w:tc>
        <w:tc>
          <w:tcPr>
            <w:tcW w:w="1375" w:type="dxa"/>
            <w:tcBorders>
              <w:top w:val="double" w:sz="6" w:space="0" w:color="000000"/>
              <w:bottom w:val="double" w:sz="6" w:space="0" w:color="000000"/>
            </w:tcBorders>
          </w:tcPr>
          <w:p>
            <w:pPr>
              <w:pStyle w:val="TableParagraph"/>
              <w:spacing w:line="209" w:lineRule="exact" w:before="40"/>
              <w:ind w:right="131"/>
              <w:jc w:val="right"/>
              <w:rPr>
                <w:sz w:val="20"/>
              </w:rPr>
            </w:pPr>
            <w:r>
              <w:rPr>
                <w:spacing w:val="-2"/>
                <w:sz w:val="20"/>
              </w:rPr>
              <w:t>Coefficient</w:t>
            </w:r>
          </w:p>
        </w:tc>
        <w:tc>
          <w:tcPr>
            <w:tcW w:w="1432" w:type="dxa"/>
            <w:tcBorders>
              <w:top w:val="double" w:sz="6" w:space="0" w:color="000000"/>
              <w:bottom w:val="double" w:sz="6" w:space="0" w:color="000000"/>
            </w:tcBorders>
          </w:tcPr>
          <w:p>
            <w:pPr>
              <w:pStyle w:val="TableParagraph"/>
              <w:spacing w:line="209" w:lineRule="exact" w:before="40"/>
              <w:ind w:left="273"/>
              <w:rPr>
                <w:sz w:val="20"/>
              </w:rPr>
            </w:pPr>
            <w:r>
              <w:rPr>
                <w:sz w:val="20"/>
              </w:rPr>
              <w:t>Std.</w:t>
            </w:r>
            <w:r>
              <w:rPr>
                <w:spacing w:val="-4"/>
                <w:sz w:val="20"/>
              </w:rPr>
              <w:t> </w:t>
            </w:r>
            <w:r>
              <w:rPr>
                <w:spacing w:val="-2"/>
                <w:sz w:val="20"/>
              </w:rPr>
              <w:t>Error</w:t>
            </w:r>
          </w:p>
        </w:tc>
        <w:tc>
          <w:tcPr>
            <w:tcW w:w="904" w:type="dxa"/>
            <w:tcBorders>
              <w:top w:val="double" w:sz="6" w:space="0" w:color="000000"/>
              <w:bottom w:val="double" w:sz="6" w:space="0" w:color="000000"/>
            </w:tcBorders>
          </w:tcPr>
          <w:p>
            <w:pPr>
              <w:pStyle w:val="TableParagraph"/>
              <w:spacing w:line="209" w:lineRule="exact" w:before="40"/>
              <w:ind w:right="22"/>
              <w:jc w:val="center"/>
              <w:rPr>
                <w:sz w:val="20"/>
              </w:rPr>
            </w:pPr>
            <w:r>
              <w:rPr>
                <w:spacing w:val="-4"/>
                <w:sz w:val="20"/>
              </w:rPr>
              <w:t>t-</w:t>
            </w:r>
            <w:r>
              <w:rPr>
                <w:spacing w:val="-2"/>
                <w:sz w:val="20"/>
              </w:rPr>
              <w:t>Statistic</w:t>
            </w:r>
          </w:p>
        </w:tc>
        <w:tc>
          <w:tcPr>
            <w:tcW w:w="929" w:type="dxa"/>
            <w:tcBorders>
              <w:top w:val="double" w:sz="6" w:space="0" w:color="000000"/>
              <w:bottom w:val="double" w:sz="6" w:space="0" w:color="000000"/>
            </w:tcBorders>
          </w:tcPr>
          <w:p>
            <w:pPr>
              <w:pStyle w:val="TableParagraph"/>
              <w:spacing w:line="209" w:lineRule="exact" w:before="40"/>
              <w:ind w:right="28"/>
              <w:jc w:val="right"/>
              <w:rPr>
                <w:sz w:val="20"/>
              </w:rPr>
            </w:pPr>
            <w:r>
              <w:rPr>
                <w:spacing w:val="-2"/>
                <w:sz w:val="20"/>
              </w:rPr>
              <w:t>Prob.</w:t>
            </w:r>
          </w:p>
        </w:tc>
      </w:tr>
      <w:tr>
        <w:trPr>
          <w:trHeight w:val="275" w:hRule="atLeast"/>
        </w:trPr>
        <w:tc>
          <w:tcPr>
            <w:tcW w:w="1847" w:type="dxa"/>
            <w:tcBorders>
              <w:top w:val="double" w:sz="6" w:space="0" w:color="000000"/>
            </w:tcBorders>
          </w:tcPr>
          <w:p>
            <w:pPr>
              <w:pStyle w:val="TableParagraph"/>
              <w:spacing w:line="215" w:lineRule="exact" w:before="40"/>
              <w:ind w:left="595"/>
              <w:rPr>
                <w:sz w:val="20"/>
              </w:rPr>
            </w:pPr>
            <w:r>
              <w:rPr>
                <w:spacing w:val="-2"/>
                <w:sz w:val="20"/>
              </w:rPr>
              <w:t>D(DR(-</w:t>
            </w:r>
            <w:r>
              <w:rPr>
                <w:spacing w:val="-5"/>
                <w:sz w:val="20"/>
              </w:rPr>
              <w:t>1))</w:t>
            </w:r>
          </w:p>
        </w:tc>
        <w:tc>
          <w:tcPr>
            <w:tcW w:w="1375" w:type="dxa"/>
            <w:tcBorders>
              <w:top w:val="double" w:sz="6" w:space="0" w:color="000000"/>
            </w:tcBorders>
          </w:tcPr>
          <w:p>
            <w:pPr>
              <w:pStyle w:val="TableParagraph"/>
              <w:spacing w:line="215" w:lineRule="exact" w:before="40"/>
              <w:ind w:right="128"/>
              <w:jc w:val="right"/>
              <w:rPr>
                <w:sz w:val="20"/>
              </w:rPr>
            </w:pPr>
            <w:r>
              <w:rPr>
                <w:spacing w:val="-4"/>
                <w:sz w:val="20"/>
              </w:rPr>
              <w:t>-</w:t>
            </w:r>
            <w:r>
              <w:rPr>
                <w:spacing w:val="-2"/>
                <w:sz w:val="20"/>
              </w:rPr>
              <w:t>0.806885</w:t>
            </w:r>
          </w:p>
        </w:tc>
        <w:tc>
          <w:tcPr>
            <w:tcW w:w="1432" w:type="dxa"/>
            <w:tcBorders>
              <w:top w:val="double" w:sz="6" w:space="0" w:color="000000"/>
            </w:tcBorders>
          </w:tcPr>
          <w:p>
            <w:pPr>
              <w:pStyle w:val="TableParagraph"/>
              <w:spacing w:line="215" w:lineRule="exact" w:before="40"/>
              <w:ind w:left="311"/>
              <w:rPr>
                <w:sz w:val="20"/>
              </w:rPr>
            </w:pPr>
            <w:r>
              <w:rPr>
                <w:spacing w:val="-2"/>
                <w:sz w:val="20"/>
              </w:rPr>
              <w:t>0.252915</w:t>
            </w:r>
          </w:p>
        </w:tc>
        <w:tc>
          <w:tcPr>
            <w:tcW w:w="904" w:type="dxa"/>
            <w:tcBorders>
              <w:top w:val="double" w:sz="6" w:space="0" w:color="000000"/>
            </w:tcBorders>
          </w:tcPr>
          <w:p>
            <w:pPr>
              <w:pStyle w:val="TableParagraph"/>
              <w:spacing w:line="215" w:lineRule="exact" w:before="40"/>
              <w:ind w:right="70"/>
              <w:jc w:val="center"/>
              <w:rPr>
                <w:sz w:val="20"/>
              </w:rPr>
            </w:pPr>
            <w:r>
              <w:rPr>
                <w:spacing w:val="-4"/>
                <w:sz w:val="20"/>
              </w:rPr>
              <w:t>-</w:t>
            </w:r>
            <w:r>
              <w:rPr>
                <w:spacing w:val="-2"/>
                <w:sz w:val="20"/>
              </w:rPr>
              <w:t>3.190340</w:t>
            </w:r>
          </w:p>
        </w:tc>
        <w:tc>
          <w:tcPr>
            <w:tcW w:w="929" w:type="dxa"/>
            <w:tcBorders>
              <w:top w:val="double" w:sz="6" w:space="0" w:color="000000"/>
            </w:tcBorders>
          </w:tcPr>
          <w:p>
            <w:pPr>
              <w:pStyle w:val="TableParagraph"/>
              <w:spacing w:line="215" w:lineRule="exact" w:before="40"/>
              <w:ind w:right="27"/>
              <w:jc w:val="right"/>
              <w:rPr>
                <w:sz w:val="20"/>
              </w:rPr>
            </w:pPr>
            <w:r>
              <w:rPr>
                <w:spacing w:val="-2"/>
                <w:sz w:val="20"/>
              </w:rPr>
              <w:t>0.0029</w:t>
            </w:r>
          </w:p>
        </w:tc>
      </w:tr>
      <w:tr>
        <w:trPr>
          <w:trHeight w:val="230" w:hRule="atLeast"/>
        </w:trPr>
        <w:tc>
          <w:tcPr>
            <w:tcW w:w="1847" w:type="dxa"/>
          </w:tcPr>
          <w:p>
            <w:pPr>
              <w:pStyle w:val="TableParagraph"/>
              <w:spacing w:line="210" w:lineRule="exact"/>
              <w:ind w:left="518"/>
              <w:rPr>
                <w:sz w:val="20"/>
              </w:rPr>
            </w:pPr>
            <w:r>
              <w:rPr>
                <w:spacing w:val="-2"/>
                <w:sz w:val="20"/>
              </w:rPr>
              <w:t>D(DR(-1),2)</w:t>
            </w:r>
          </w:p>
        </w:tc>
        <w:tc>
          <w:tcPr>
            <w:tcW w:w="1375" w:type="dxa"/>
          </w:tcPr>
          <w:p>
            <w:pPr>
              <w:pStyle w:val="TableParagraph"/>
              <w:spacing w:line="210" w:lineRule="exact"/>
              <w:ind w:right="128"/>
              <w:jc w:val="right"/>
              <w:rPr>
                <w:sz w:val="20"/>
              </w:rPr>
            </w:pPr>
            <w:r>
              <w:rPr>
                <w:spacing w:val="-4"/>
                <w:sz w:val="20"/>
              </w:rPr>
              <w:t>-</w:t>
            </w:r>
            <w:r>
              <w:rPr>
                <w:spacing w:val="-2"/>
                <w:sz w:val="20"/>
              </w:rPr>
              <w:t>0.191969</w:t>
            </w:r>
          </w:p>
        </w:tc>
        <w:tc>
          <w:tcPr>
            <w:tcW w:w="1432" w:type="dxa"/>
          </w:tcPr>
          <w:p>
            <w:pPr>
              <w:pStyle w:val="TableParagraph"/>
              <w:spacing w:line="210" w:lineRule="exact"/>
              <w:ind w:left="311"/>
              <w:rPr>
                <w:sz w:val="20"/>
              </w:rPr>
            </w:pPr>
            <w:r>
              <w:rPr>
                <w:spacing w:val="-2"/>
                <w:sz w:val="20"/>
              </w:rPr>
              <w:t>0.174746</w:t>
            </w:r>
          </w:p>
        </w:tc>
        <w:tc>
          <w:tcPr>
            <w:tcW w:w="904" w:type="dxa"/>
          </w:tcPr>
          <w:p>
            <w:pPr>
              <w:pStyle w:val="TableParagraph"/>
              <w:spacing w:line="210" w:lineRule="exact"/>
              <w:ind w:right="70"/>
              <w:jc w:val="center"/>
              <w:rPr>
                <w:sz w:val="20"/>
              </w:rPr>
            </w:pPr>
            <w:r>
              <w:rPr>
                <w:spacing w:val="-4"/>
                <w:sz w:val="20"/>
              </w:rPr>
              <w:t>-</w:t>
            </w:r>
            <w:r>
              <w:rPr>
                <w:spacing w:val="-2"/>
                <w:sz w:val="20"/>
              </w:rPr>
              <w:t>1.098560</w:t>
            </w:r>
          </w:p>
        </w:tc>
        <w:tc>
          <w:tcPr>
            <w:tcW w:w="929" w:type="dxa"/>
          </w:tcPr>
          <w:p>
            <w:pPr>
              <w:pStyle w:val="TableParagraph"/>
              <w:spacing w:line="210" w:lineRule="exact"/>
              <w:ind w:right="27"/>
              <w:jc w:val="right"/>
              <w:rPr>
                <w:sz w:val="20"/>
              </w:rPr>
            </w:pPr>
            <w:r>
              <w:rPr>
                <w:spacing w:val="-2"/>
                <w:sz w:val="20"/>
              </w:rPr>
              <w:t>0.2793</w:t>
            </w:r>
          </w:p>
        </w:tc>
      </w:tr>
      <w:tr>
        <w:trPr>
          <w:trHeight w:val="224" w:hRule="atLeast"/>
        </w:trPr>
        <w:tc>
          <w:tcPr>
            <w:tcW w:w="1847" w:type="dxa"/>
            <w:tcBorders>
              <w:bottom w:val="double" w:sz="6" w:space="0" w:color="000000"/>
            </w:tcBorders>
          </w:tcPr>
          <w:p>
            <w:pPr>
              <w:pStyle w:val="TableParagraph"/>
              <w:spacing w:line="205" w:lineRule="exact"/>
              <w:ind w:left="197"/>
              <w:jc w:val="center"/>
              <w:rPr>
                <w:sz w:val="20"/>
              </w:rPr>
            </w:pPr>
            <w:r>
              <w:rPr>
                <w:spacing w:val="-10"/>
                <w:sz w:val="20"/>
              </w:rPr>
              <w:t>C</w:t>
            </w:r>
          </w:p>
        </w:tc>
        <w:tc>
          <w:tcPr>
            <w:tcW w:w="1375" w:type="dxa"/>
            <w:tcBorders>
              <w:bottom w:val="double" w:sz="6" w:space="0" w:color="000000"/>
            </w:tcBorders>
          </w:tcPr>
          <w:p>
            <w:pPr>
              <w:pStyle w:val="TableParagraph"/>
              <w:spacing w:line="205" w:lineRule="exact"/>
              <w:ind w:right="128"/>
              <w:jc w:val="right"/>
              <w:rPr>
                <w:sz w:val="20"/>
              </w:rPr>
            </w:pPr>
            <w:r>
              <w:rPr>
                <w:spacing w:val="-4"/>
                <w:sz w:val="20"/>
              </w:rPr>
              <w:t>-</w:t>
            </w:r>
            <w:r>
              <w:rPr>
                <w:spacing w:val="-2"/>
                <w:sz w:val="20"/>
              </w:rPr>
              <w:t>0.018434</w:t>
            </w:r>
          </w:p>
        </w:tc>
        <w:tc>
          <w:tcPr>
            <w:tcW w:w="1432" w:type="dxa"/>
            <w:tcBorders>
              <w:bottom w:val="double" w:sz="6" w:space="0" w:color="000000"/>
            </w:tcBorders>
          </w:tcPr>
          <w:p>
            <w:pPr>
              <w:pStyle w:val="TableParagraph"/>
              <w:spacing w:line="205" w:lineRule="exact"/>
              <w:ind w:left="311"/>
              <w:rPr>
                <w:sz w:val="20"/>
              </w:rPr>
            </w:pPr>
            <w:r>
              <w:rPr>
                <w:spacing w:val="-2"/>
                <w:sz w:val="20"/>
              </w:rPr>
              <w:t>0.035463</w:t>
            </w:r>
          </w:p>
        </w:tc>
        <w:tc>
          <w:tcPr>
            <w:tcW w:w="904" w:type="dxa"/>
            <w:tcBorders>
              <w:bottom w:val="double" w:sz="6" w:space="0" w:color="000000"/>
            </w:tcBorders>
          </w:tcPr>
          <w:p>
            <w:pPr>
              <w:pStyle w:val="TableParagraph"/>
              <w:spacing w:line="205" w:lineRule="exact"/>
              <w:ind w:right="70"/>
              <w:jc w:val="center"/>
              <w:rPr>
                <w:sz w:val="20"/>
              </w:rPr>
            </w:pPr>
            <w:r>
              <w:rPr>
                <w:spacing w:val="-4"/>
                <w:sz w:val="20"/>
              </w:rPr>
              <w:t>-</w:t>
            </w:r>
            <w:r>
              <w:rPr>
                <w:spacing w:val="-2"/>
                <w:sz w:val="20"/>
              </w:rPr>
              <w:t>0.519816</w:t>
            </w:r>
          </w:p>
        </w:tc>
        <w:tc>
          <w:tcPr>
            <w:tcW w:w="929" w:type="dxa"/>
            <w:tcBorders>
              <w:bottom w:val="double" w:sz="6" w:space="0" w:color="000000"/>
            </w:tcBorders>
          </w:tcPr>
          <w:p>
            <w:pPr>
              <w:pStyle w:val="TableParagraph"/>
              <w:spacing w:line="205" w:lineRule="exact"/>
              <w:ind w:right="27"/>
              <w:jc w:val="right"/>
              <w:rPr>
                <w:sz w:val="20"/>
              </w:rPr>
            </w:pPr>
            <w:r>
              <w:rPr>
                <w:spacing w:val="-2"/>
                <w:sz w:val="20"/>
              </w:rPr>
              <w:t>0.6064</w:t>
            </w:r>
          </w:p>
        </w:tc>
      </w:tr>
      <w:tr>
        <w:trPr>
          <w:trHeight w:val="275" w:hRule="atLeast"/>
        </w:trPr>
        <w:tc>
          <w:tcPr>
            <w:tcW w:w="1847" w:type="dxa"/>
            <w:tcBorders>
              <w:top w:val="double" w:sz="6" w:space="0" w:color="000000"/>
            </w:tcBorders>
          </w:tcPr>
          <w:p>
            <w:pPr>
              <w:pStyle w:val="TableParagraph"/>
              <w:spacing w:line="215" w:lineRule="exact" w:before="40"/>
              <w:ind w:left="36"/>
              <w:rPr>
                <w:sz w:val="20"/>
              </w:rPr>
            </w:pPr>
            <w:r>
              <w:rPr>
                <w:spacing w:val="-2"/>
                <w:sz w:val="20"/>
              </w:rPr>
              <w:t>R-squared</w:t>
            </w:r>
          </w:p>
        </w:tc>
        <w:tc>
          <w:tcPr>
            <w:tcW w:w="1375" w:type="dxa"/>
            <w:tcBorders>
              <w:top w:val="double" w:sz="6" w:space="0" w:color="000000"/>
            </w:tcBorders>
          </w:tcPr>
          <w:p>
            <w:pPr>
              <w:pStyle w:val="TableParagraph"/>
              <w:spacing w:line="215" w:lineRule="exact" w:before="40"/>
              <w:ind w:right="128"/>
              <w:jc w:val="right"/>
              <w:rPr>
                <w:sz w:val="20"/>
              </w:rPr>
            </w:pPr>
            <w:r>
              <w:rPr>
                <w:spacing w:val="-2"/>
                <w:sz w:val="20"/>
              </w:rPr>
              <w:t>0.496223</w:t>
            </w:r>
          </w:p>
        </w:tc>
        <w:tc>
          <w:tcPr>
            <w:tcW w:w="2336" w:type="dxa"/>
            <w:gridSpan w:val="2"/>
            <w:tcBorders>
              <w:top w:val="double" w:sz="6" w:space="0" w:color="000000"/>
            </w:tcBorders>
          </w:tcPr>
          <w:p>
            <w:pPr>
              <w:pStyle w:val="TableParagraph"/>
              <w:spacing w:line="215" w:lineRule="exact" w:before="40"/>
              <w:ind w:left="131"/>
              <w:rPr>
                <w:sz w:val="20"/>
              </w:rPr>
            </w:pPr>
            <w:r>
              <w:rPr>
                <w:sz w:val="20"/>
              </w:rPr>
              <w:t>Mean</w:t>
            </w:r>
            <w:r>
              <w:rPr>
                <w:spacing w:val="-7"/>
                <w:sz w:val="20"/>
              </w:rPr>
              <w:t> </w:t>
            </w:r>
            <w:r>
              <w:rPr>
                <w:sz w:val="20"/>
              </w:rPr>
              <w:t>dependent</w:t>
            </w:r>
            <w:r>
              <w:rPr>
                <w:spacing w:val="-7"/>
                <w:sz w:val="20"/>
              </w:rPr>
              <w:t> </w:t>
            </w:r>
            <w:r>
              <w:rPr>
                <w:spacing w:val="-5"/>
                <w:sz w:val="20"/>
              </w:rPr>
              <w:t>var</w:t>
            </w:r>
          </w:p>
        </w:tc>
        <w:tc>
          <w:tcPr>
            <w:tcW w:w="929" w:type="dxa"/>
            <w:tcBorders>
              <w:top w:val="double" w:sz="6" w:space="0" w:color="000000"/>
            </w:tcBorders>
          </w:tcPr>
          <w:p>
            <w:pPr>
              <w:pStyle w:val="TableParagraph"/>
              <w:spacing w:line="215" w:lineRule="exact" w:before="40"/>
              <w:ind w:right="27"/>
              <w:jc w:val="right"/>
              <w:rPr>
                <w:sz w:val="20"/>
              </w:rPr>
            </w:pPr>
            <w:r>
              <w:rPr>
                <w:spacing w:val="-4"/>
                <w:sz w:val="20"/>
              </w:rPr>
              <w:t>-</w:t>
            </w:r>
            <w:r>
              <w:rPr>
                <w:spacing w:val="-2"/>
                <w:sz w:val="20"/>
              </w:rPr>
              <w:t>0.011162</w:t>
            </w:r>
          </w:p>
        </w:tc>
      </w:tr>
      <w:tr>
        <w:trPr>
          <w:trHeight w:val="230" w:hRule="atLeast"/>
        </w:trPr>
        <w:tc>
          <w:tcPr>
            <w:tcW w:w="1847" w:type="dxa"/>
          </w:tcPr>
          <w:p>
            <w:pPr>
              <w:pStyle w:val="TableParagraph"/>
              <w:spacing w:line="211" w:lineRule="exact"/>
              <w:ind w:left="36"/>
              <w:rPr>
                <w:sz w:val="20"/>
              </w:rPr>
            </w:pPr>
            <w:r>
              <w:rPr>
                <w:sz w:val="20"/>
              </w:rPr>
              <w:t>Adjusted</w:t>
            </w:r>
            <w:r>
              <w:rPr>
                <w:spacing w:val="-10"/>
                <w:sz w:val="20"/>
              </w:rPr>
              <w:t> </w:t>
            </w:r>
            <w:r>
              <w:rPr>
                <w:sz w:val="20"/>
              </w:rPr>
              <w:t>R-</w:t>
            </w:r>
            <w:r>
              <w:rPr>
                <w:spacing w:val="-2"/>
                <w:sz w:val="20"/>
              </w:rPr>
              <w:t>squared</w:t>
            </w:r>
          </w:p>
        </w:tc>
        <w:tc>
          <w:tcPr>
            <w:tcW w:w="1375" w:type="dxa"/>
          </w:tcPr>
          <w:p>
            <w:pPr>
              <w:pStyle w:val="TableParagraph"/>
              <w:spacing w:line="211" w:lineRule="exact"/>
              <w:ind w:right="128"/>
              <w:jc w:val="right"/>
              <w:rPr>
                <w:sz w:val="20"/>
              </w:rPr>
            </w:pPr>
            <w:r>
              <w:rPr>
                <w:spacing w:val="-2"/>
                <w:sz w:val="20"/>
              </w:rPr>
              <w:t>0.468235</w:t>
            </w:r>
          </w:p>
        </w:tc>
        <w:tc>
          <w:tcPr>
            <w:tcW w:w="2336" w:type="dxa"/>
            <w:gridSpan w:val="2"/>
          </w:tcPr>
          <w:p>
            <w:pPr>
              <w:pStyle w:val="TableParagraph"/>
              <w:spacing w:line="211" w:lineRule="exact"/>
              <w:ind w:left="131"/>
              <w:rPr>
                <w:sz w:val="20"/>
              </w:rPr>
            </w:pPr>
            <w:r>
              <w:rPr>
                <w:sz w:val="20"/>
              </w:rPr>
              <w:t>S.D.</w:t>
            </w:r>
            <w:r>
              <w:rPr>
                <w:spacing w:val="-5"/>
                <w:sz w:val="20"/>
              </w:rPr>
              <w:t> </w:t>
            </w:r>
            <w:r>
              <w:rPr>
                <w:sz w:val="20"/>
              </w:rPr>
              <w:t>dependent</w:t>
            </w:r>
            <w:r>
              <w:rPr>
                <w:spacing w:val="-6"/>
                <w:sz w:val="20"/>
              </w:rPr>
              <w:t> </w:t>
            </w:r>
            <w:r>
              <w:rPr>
                <w:spacing w:val="-5"/>
                <w:sz w:val="20"/>
              </w:rPr>
              <w:t>var</w:t>
            </w:r>
          </w:p>
        </w:tc>
        <w:tc>
          <w:tcPr>
            <w:tcW w:w="929" w:type="dxa"/>
          </w:tcPr>
          <w:p>
            <w:pPr>
              <w:pStyle w:val="TableParagraph"/>
              <w:spacing w:line="211" w:lineRule="exact"/>
              <w:ind w:right="27"/>
              <w:jc w:val="right"/>
              <w:rPr>
                <w:sz w:val="20"/>
              </w:rPr>
            </w:pPr>
            <w:r>
              <w:rPr>
                <w:spacing w:val="-2"/>
                <w:sz w:val="20"/>
              </w:rPr>
              <w:t>0.303440</w:t>
            </w:r>
          </w:p>
        </w:tc>
      </w:tr>
      <w:tr>
        <w:trPr>
          <w:trHeight w:val="230" w:hRule="atLeast"/>
        </w:trPr>
        <w:tc>
          <w:tcPr>
            <w:tcW w:w="1847" w:type="dxa"/>
          </w:tcPr>
          <w:p>
            <w:pPr>
              <w:pStyle w:val="TableParagraph"/>
              <w:spacing w:line="211" w:lineRule="exact"/>
              <w:ind w:left="36"/>
              <w:rPr>
                <w:sz w:val="20"/>
              </w:rPr>
            </w:pPr>
            <w:r>
              <w:rPr>
                <w:sz w:val="20"/>
              </w:rPr>
              <w:t>S.E.</w:t>
            </w:r>
            <w:r>
              <w:rPr>
                <w:spacing w:val="-3"/>
                <w:sz w:val="20"/>
              </w:rPr>
              <w:t> </w:t>
            </w:r>
            <w:r>
              <w:rPr>
                <w:sz w:val="20"/>
              </w:rPr>
              <w:t>of</w:t>
            </w:r>
            <w:r>
              <w:rPr>
                <w:spacing w:val="-3"/>
                <w:sz w:val="20"/>
              </w:rPr>
              <w:t> </w:t>
            </w:r>
            <w:r>
              <w:rPr>
                <w:spacing w:val="-2"/>
                <w:sz w:val="20"/>
              </w:rPr>
              <w:t>regression</w:t>
            </w:r>
          </w:p>
        </w:tc>
        <w:tc>
          <w:tcPr>
            <w:tcW w:w="1375" w:type="dxa"/>
          </w:tcPr>
          <w:p>
            <w:pPr>
              <w:pStyle w:val="TableParagraph"/>
              <w:spacing w:line="211" w:lineRule="exact"/>
              <w:ind w:right="128"/>
              <w:jc w:val="right"/>
              <w:rPr>
                <w:sz w:val="20"/>
              </w:rPr>
            </w:pPr>
            <w:r>
              <w:rPr>
                <w:spacing w:val="-2"/>
                <w:sz w:val="20"/>
              </w:rPr>
              <w:t>0.221275</w:t>
            </w:r>
          </w:p>
        </w:tc>
        <w:tc>
          <w:tcPr>
            <w:tcW w:w="2336" w:type="dxa"/>
            <w:gridSpan w:val="2"/>
          </w:tcPr>
          <w:p>
            <w:pPr>
              <w:pStyle w:val="TableParagraph"/>
              <w:spacing w:line="211" w:lineRule="exact"/>
              <w:ind w:left="131"/>
              <w:rPr>
                <w:sz w:val="20"/>
              </w:rPr>
            </w:pPr>
            <w:r>
              <w:rPr>
                <w:sz w:val="20"/>
              </w:rPr>
              <w:t>Akaike</w:t>
            </w:r>
            <w:r>
              <w:rPr>
                <w:spacing w:val="-8"/>
                <w:sz w:val="20"/>
              </w:rPr>
              <w:t> </w:t>
            </w:r>
            <w:r>
              <w:rPr>
                <w:sz w:val="20"/>
              </w:rPr>
              <w:t>info</w:t>
            </w:r>
            <w:r>
              <w:rPr>
                <w:spacing w:val="-7"/>
                <w:sz w:val="20"/>
              </w:rPr>
              <w:t> </w:t>
            </w:r>
            <w:r>
              <w:rPr>
                <w:spacing w:val="-2"/>
                <w:sz w:val="20"/>
              </w:rPr>
              <w:t>criterion</w:t>
            </w:r>
          </w:p>
        </w:tc>
        <w:tc>
          <w:tcPr>
            <w:tcW w:w="929" w:type="dxa"/>
          </w:tcPr>
          <w:p>
            <w:pPr>
              <w:pStyle w:val="TableParagraph"/>
              <w:spacing w:line="211" w:lineRule="exact"/>
              <w:ind w:right="27"/>
              <w:jc w:val="right"/>
              <w:rPr>
                <w:sz w:val="20"/>
              </w:rPr>
            </w:pPr>
            <w:r>
              <w:rPr>
                <w:spacing w:val="-4"/>
                <w:sz w:val="20"/>
              </w:rPr>
              <w:t>-</w:t>
            </w:r>
            <w:r>
              <w:rPr>
                <w:spacing w:val="-2"/>
                <w:sz w:val="20"/>
              </w:rPr>
              <w:t>0.105018</w:t>
            </w:r>
          </w:p>
        </w:tc>
      </w:tr>
      <w:tr>
        <w:trPr>
          <w:trHeight w:val="230" w:hRule="atLeast"/>
        </w:trPr>
        <w:tc>
          <w:tcPr>
            <w:tcW w:w="1847" w:type="dxa"/>
          </w:tcPr>
          <w:p>
            <w:pPr>
              <w:pStyle w:val="TableParagraph"/>
              <w:spacing w:line="210" w:lineRule="exact"/>
              <w:ind w:left="36"/>
              <w:rPr>
                <w:sz w:val="20"/>
              </w:rPr>
            </w:pPr>
            <w:r>
              <w:rPr>
                <w:sz w:val="20"/>
              </w:rPr>
              <w:t>Sum</w:t>
            </w:r>
            <w:r>
              <w:rPr>
                <w:spacing w:val="-8"/>
                <w:sz w:val="20"/>
              </w:rPr>
              <w:t> </w:t>
            </w:r>
            <w:r>
              <w:rPr>
                <w:sz w:val="20"/>
              </w:rPr>
              <w:t>squared</w:t>
            </w:r>
            <w:r>
              <w:rPr>
                <w:spacing w:val="-4"/>
                <w:sz w:val="20"/>
              </w:rPr>
              <w:t> </w:t>
            </w:r>
            <w:r>
              <w:rPr>
                <w:spacing w:val="-2"/>
                <w:sz w:val="20"/>
              </w:rPr>
              <w:t>resid</w:t>
            </w:r>
          </w:p>
        </w:tc>
        <w:tc>
          <w:tcPr>
            <w:tcW w:w="1375" w:type="dxa"/>
          </w:tcPr>
          <w:p>
            <w:pPr>
              <w:pStyle w:val="TableParagraph"/>
              <w:spacing w:line="210" w:lineRule="exact"/>
              <w:ind w:right="128"/>
              <w:jc w:val="right"/>
              <w:rPr>
                <w:sz w:val="20"/>
              </w:rPr>
            </w:pPr>
            <w:r>
              <w:rPr>
                <w:spacing w:val="-2"/>
                <w:sz w:val="20"/>
              </w:rPr>
              <w:t>1.762653</w:t>
            </w:r>
          </w:p>
        </w:tc>
        <w:tc>
          <w:tcPr>
            <w:tcW w:w="2336" w:type="dxa"/>
            <w:gridSpan w:val="2"/>
          </w:tcPr>
          <w:p>
            <w:pPr>
              <w:pStyle w:val="TableParagraph"/>
              <w:spacing w:line="210" w:lineRule="exact"/>
              <w:ind w:left="131"/>
              <w:rPr>
                <w:sz w:val="20"/>
              </w:rPr>
            </w:pPr>
            <w:r>
              <w:rPr>
                <w:sz w:val="20"/>
              </w:rPr>
              <w:t>Schwarz</w:t>
            </w:r>
            <w:r>
              <w:rPr>
                <w:spacing w:val="-8"/>
                <w:sz w:val="20"/>
              </w:rPr>
              <w:t> </w:t>
            </w:r>
            <w:r>
              <w:rPr>
                <w:spacing w:val="-2"/>
                <w:sz w:val="20"/>
              </w:rPr>
              <w:t>criterion</w:t>
            </w:r>
          </w:p>
        </w:tc>
        <w:tc>
          <w:tcPr>
            <w:tcW w:w="929" w:type="dxa"/>
          </w:tcPr>
          <w:p>
            <w:pPr>
              <w:pStyle w:val="TableParagraph"/>
              <w:spacing w:line="210" w:lineRule="exact"/>
              <w:ind w:right="27"/>
              <w:jc w:val="right"/>
              <w:rPr>
                <w:sz w:val="20"/>
              </w:rPr>
            </w:pPr>
            <w:r>
              <w:rPr>
                <w:spacing w:val="-2"/>
                <w:sz w:val="20"/>
              </w:rPr>
              <w:t>0.022948</w:t>
            </w:r>
          </w:p>
        </w:tc>
      </w:tr>
      <w:tr>
        <w:trPr>
          <w:trHeight w:val="229" w:hRule="atLeast"/>
        </w:trPr>
        <w:tc>
          <w:tcPr>
            <w:tcW w:w="1847" w:type="dxa"/>
          </w:tcPr>
          <w:p>
            <w:pPr>
              <w:pStyle w:val="TableParagraph"/>
              <w:spacing w:line="209" w:lineRule="exact"/>
              <w:ind w:left="36"/>
              <w:rPr>
                <w:sz w:val="20"/>
              </w:rPr>
            </w:pPr>
            <w:r>
              <w:rPr>
                <w:sz w:val="20"/>
              </w:rPr>
              <w:t>Log</w:t>
            </w:r>
            <w:r>
              <w:rPr>
                <w:spacing w:val="-6"/>
                <w:sz w:val="20"/>
              </w:rPr>
              <w:t> </w:t>
            </w:r>
            <w:r>
              <w:rPr>
                <w:spacing w:val="-2"/>
                <w:sz w:val="20"/>
              </w:rPr>
              <w:t>likelihood</w:t>
            </w:r>
          </w:p>
        </w:tc>
        <w:tc>
          <w:tcPr>
            <w:tcW w:w="1375" w:type="dxa"/>
          </w:tcPr>
          <w:p>
            <w:pPr>
              <w:pStyle w:val="TableParagraph"/>
              <w:spacing w:line="209" w:lineRule="exact"/>
              <w:ind w:right="128"/>
              <w:jc w:val="right"/>
              <w:rPr>
                <w:sz w:val="20"/>
              </w:rPr>
            </w:pPr>
            <w:r>
              <w:rPr>
                <w:spacing w:val="-2"/>
                <w:sz w:val="20"/>
              </w:rPr>
              <w:t>5.047859</w:t>
            </w:r>
          </w:p>
        </w:tc>
        <w:tc>
          <w:tcPr>
            <w:tcW w:w="1432" w:type="dxa"/>
          </w:tcPr>
          <w:p>
            <w:pPr>
              <w:pStyle w:val="TableParagraph"/>
              <w:spacing w:line="209" w:lineRule="exact"/>
              <w:ind w:left="131"/>
              <w:rPr>
                <w:sz w:val="20"/>
              </w:rPr>
            </w:pPr>
            <w:r>
              <w:rPr>
                <w:spacing w:val="-4"/>
                <w:sz w:val="20"/>
              </w:rPr>
              <w:t>F-</w:t>
            </w:r>
            <w:r>
              <w:rPr>
                <w:spacing w:val="-2"/>
                <w:sz w:val="20"/>
              </w:rPr>
              <w:t>statistic</w:t>
            </w:r>
          </w:p>
        </w:tc>
        <w:tc>
          <w:tcPr>
            <w:tcW w:w="904" w:type="dxa"/>
          </w:tcPr>
          <w:p>
            <w:pPr>
              <w:pStyle w:val="TableParagraph"/>
              <w:rPr>
                <w:sz w:val="16"/>
              </w:rPr>
            </w:pPr>
          </w:p>
        </w:tc>
        <w:tc>
          <w:tcPr>
            <w:tcW w:w="929" w:type="dxa"/>
          </w:tcPr>
          <w:p>
            <w:pPr>
              <w:pStyle w:val="TableParagraph"/>
              <w:spacing w:line="209" w:lineRule="exact"/>
              <w:ind w:right="27"/>
              <w:jc w:val="right"/>
              <w:rPr>
                <w:sz w:val="20"/>
              </w:rPr>
            </w:pPr>
            <w:r>
              <w:rPr>
                <w:spacing w:val="-2"/>
                <w:sz w:val="20"/>
              </w:rPr>
              <w:t>17.73009</w:t>
            </w:r>
          </w:p>
        </w:tc>
      </w:tr>
      <w:tr>
        <w:trPr>
          <w:trHeight w:val="266" w:hRule="atLeast"/>
        </w:trPr>
        <w:tc>
          <w:tcPr>
            <w:tcW w:w="1847" w:type="dxa"/>
            <w:tcBorders>
              <w:bottom w:val="double" w:sz="6" w:space="0" w:color="000000"/>
            </w:tcBorders>
          </w:tcPr>
          <w:p>
            <w:pPr>
              <w:pStyle w:val="TableParagraph"/>
              <w:spacing w:line="224" w:lineRule="exact"/>
              <w:ind w:left="36"/>
              <w:rPr>
                <w:sz w:val="20"/>
              </w:rPr>
            </w:pPr>
            <w:r>
              <w:rPr>
                <w:sz w:val="20"/>
              </w:rPr>
              <w:t>Durbin-Watson</w:t>
            </w:r>
            <w:r>
              <w:rPr>
                <w:spacing w:val="-12"/>
                <w:sz w:val="20"/>
              </w:rPr>
              <w:t> </w:t>
            </w:r>
            <w:r>
              <w:rPr>
                <w:spacing w:val="-4"/>
                <w:sz w:val="20"/>
              </w:rPr>
              <w:t>stat</w:t>
            </w:r>
          </w:p>
        </w:tc>
        <w:tc>
          <w:tcPr>
            <w:tcW w:w="1375" w:type="dxa"/>
          </w:tcPr>
          <w:p>
            <w:pPr>
              <w:pStyle w:val="TableParagraph"/>
              <w:spacing w:line="224" w:lineRule="exact"/>
              <w:ind w:right="128"/>
              <w:jc w:val="right"/>
              <w:rPr>
                <w:sz w:val="20"/>
              </w:rPr>
            </w:pPr>
            <w:r>
              <w:rPr>
                <w:spacing w:val="-2"/>
                <w:sz w:val="20"/>
              </w:rPr>
              <w:t>2.041937</w:t>
            </w:r>
          </w:p>
        </w:tc>
        <w:tc>
          <w:tcPr>
            <w:tcW w:w="1432" w:type="dxa"/>
            <w:tcBorders>
              <w:bottom w:val="double" w:sz="6" w:space="0" w:color="000000"/>
            </w:tcBorders>
          </w:tcPr>
          <w:p>
            <w:pPr>
              <w:pStyle w:val="TableParagraph"/>
              <w:spacing w:line="224" w:lineRule="exact"/>
              <w:ind w:left="131"/>
              <w:rPr>
                <w:sz w:val="20"/>
              </w:rPr>
            </w:pPr>
            <w:r>
              <w:rPr>
                <w:spacing w:val="-2"/>
                <w:sz w:val="20"/>
              </w:rPr>
              <w:t>Prob(F-statistic)</w:t>
            </w:r>
          </w:p>
        </w:tc>
        <w:tc>
          <w:tcPr>
            <w:tcW w:w="904" w:type="dxa"/>
            <w:tcBorders>
              <w:bottom w:val="double" w:sz="6" w:space="0" w:color="000000"/>
            </w:tcBorders>
          </w:tcPr>
          <w:p>
            <w:pPr>
              <w:pStyle w:val="TableParagraph"/>
              <w:rPr>
                <w:sz w:val="18"/>
              </w:rPr>
            </w:pPr>
          </w:p>
        </w:tc>
        <w:tc>
          <w:tcPr>
            <w:tcW w:w="929" w:type="dxa"/>
            <w:tcBorders>
              <w:bottom w:val="double" w:sz="6" w:space="0" w:color="000000"/>
            </w:tcBorders>
          </w:tcPr>
          <w:p>
            <w:pPr>
              <w:pStyle w:val="TableParagraph"/>
              <w:spacing w:line="224" w:lineRule="exact"/>
              <w:ind w:right="27"/>
              <w:jc w:val="right"/>
              <w:rPr>
                <w:sz w:val="20"/>
              </w:rPr>
            </w:pPr>
            <w:r>
              <w:rPr>
                <w:spacing w:val="-2"/>
                <w:sz w:val="20"/>
              </w:rPr>
              <w:t>0.000004</w:t>
            </w:r>
          </w:p>
        </w:tc>
      </w:tr>
    </w:tbl>
    <w:p>
      <w:pPr>
        <w:spacing w:after="0" w:line="224" w:lineRule="exact"/>
        <w:jc w:val="right"/>
        <w:rPr>
          <w:sz w:val="20"/>
        </w:rPr>
        <w:sectPr>
          <w:pgSz w:w="11910" w:h="16840"/>
          <w:pgMar w:header="0" w:footer="979" w:top="1360" w:bottom="1240" w:left="280" w:right="0"/>
        </w:sectPr>
      </w:pPr>
    </w:p>
    <w:p>
      <w:pPr>
        <w:spacing w:before="62" w:after="3"/>
        <w:ind w:left="711" w:right="0" w:firstLine="0"/>
        <w:jc w:val="left"/>
        <w:rPr>
          <w:sz w:val="20"/>
        </w:rPr>
      </w:pPr>
      <w:r>
        <w:rPr>
          <w:sz w:val="20"/>
        </w:rPr>
        <w:t>PRIVCR</w:t>
      </w:r>
      <w:r>
        <w:rPr>
          <w:spacing w:val="-5"/>
          <w:sz w:val="20"/>
        </w:rPr>
        <w:t> </w:t>
      </w:r>
      <w:r>
        <w:rPr>
          <w:sz w:val="20"/>
        </w:rPr>
        <w:t>@</w:t>
      </w:r>
      <w:r>
        <w:rPr>
          <w:spacing w:val="-6"/>
          <w:sz w:val="20"/>
        </w:rPr>
        <w:t> </w:t>
      </w:r>
      <w:r>
        <w:rPr>
          <w:spacing w:val="-4"/>
          <w:sz w:val="20"/>
        </w:rPr>
        <w:t>LEVEL</w:t>
      </w:r>
    </w:p>
    <w:tbl>
      <w:tblPr>
        <w:tblW w:w="0" w:type="auto"/>
        <w:jc w:val="left"/>
        <w:tblInd w:w="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93"/>
        <w:gridCol w:w="1329"/>
        <w:gridCol w:w="1458"/>
        <w:gridCol w:w="879"/>
        <w:gridCol w:w="929"/>
      </w:tblGrid>
      <w:tr>
        <w:trPr>
          <w:trHeight w:val="224" w:hRule="atLeast"/>
        </w:trPr>
        <w:tc>
          <w:tcPr>
            <w:tcW w:w="1893" w:type="dxa"/>
          </w:tcPr>
          <w:p>
            <w:pPr>
              <w:pStyle w:val="TableParagraph"/>
              <w:spacing w:line="204" w:lineRule="exact"/>
              <w:ind w:left="36"/>
              <w:rPr>
                <w:sz w:val="20"/>
              </w:rPr>
            </w:pPr>
            <w:r>
              <w:rPr>
                <w:sz w:val="20"/>
              </w:rPr>
              <w:t>ADF</w:t>
            </w:r>
            <w:r>
              <w:rPr>
                <w:spacing w:val="-4"/>
                <w:sz w:val="20"/>
              </w:rPr>
              <w:t> </w:t>
            </w:r>
            <w:r>
              <w:rPr>
                <w:sz w:val="20"/>
              </w:rPr>
              <w:t>Test</w:t>
            </w:r>
            <w:r>
              <w:rPr>
                <w:spacing w:val="-3"/>
                <w:sz w:val="20"/>
              </w:rPr>
              <w:t> </w:t>
            </w:r>
            <w:r>
              <w:rPr>
                <w:spacing w:val="-2"/>
                <w:sz w:val="20"/>
              </w:rPr>
              <w:t>Statistic</w:t>
            </w:r>
          </w:p>
        </w:tc>
        <w:tc>
          <w:tcPr>
            <w:tcW w:w="1329" w:type="dxa"/>
          </w:tcPr>
          <w:p>
            <w:pPr>
              <w:pStyle w:val="TableParagraph"/>
              <w:spacing w:line="204" w:lineRule="exact"/>
              <w:ind w:left="224"/>
              <w:rPr>
                <w:sz w:val="20"/>
              </w:rPr>
            </w:pPr>
            <w:r>
              <w:rPr>
                <w:spacing w:val="-2"/>
                <w:sz w:val="20"/>
              </w:rPr>
              <w:t>0.040245</w:t>
            </w:r>
          </w:p>
        </w:tc>
        <w:tc>
          <w:tcPr>
            <w:tcW w:w="2337" w:type="dxa"/>
            <w:gridSpan w:val="2"/>
          </w:tcPr>
          <w:p>
            <w:pPr>
              <w:pStyle w:val="TableParagraph"/>
              <w:spacing w:line="204" w:lineRule="exact"/>
              <w:ind w:left="131"/>
              <w:rPr>
                <w:sz w:val="20"/>
              </w:rPr>
            </w:pPr>
            <w:r>
              <w:rPr>
                <w:sz w:val="20"/>
              </w:rPr>
              <w:t>1%</w:t>
            </w:r>
            <w:r>
              <w:rPr>
                <w:spacing w:val="68"/>
                <w:w w:val="150"/>
                <w:sz w:val="20"/>
              </w:rPr>
              <w:t> </w:t>
            </w:r>
            <w:r>
              <w:rPr>
                <w:sz w:val="20"/>
              </w:rPr>
              <w:t>Critical</w:t>
            </w:r>
            <w:r>
              <w:rPr>
                <w:spacing w:val="-2"/>
                <w:sz w:val="20"/>
              </w:rPr>
              <w:t> Value*</w:t>
            </w:r>
          </w:p>
        </w:tc>
        <w:tc>
          <w:tcPr>
            <w:tcW w:w="929" w:type="dxa"/>
          </w:tcPr>
          <w:p>
            <w:pPr>
              <w:pStyle w:val="TableParagraph"/>
              <w:spacing w:line="204" w:lineRule="exact"/>
              <w:ind w:right="28"/>
              <w:jc w:val="right"/>
              <w:rPr>
                <w:sz w:val="20"/>
              </w:rPr>
            </w:pPr>
            <w:r>
              <w:rPr>
                <w:spacing w:val="-4"/>
                <w:sz w:val="20"/>
              </w:rPr>
              <w:t>-</w:t>
            </w:r>
            <w:r>
              <w:rPr>
                <w:spacing w:val="-2"/>
                <w:sz w:val="20"/>
              </w:rPr>
              <w:t>3.6019</w:t>
            </w:r>
          </w:p>
        </w:tc>
      </w:tr>
      <w:tr>
        <w:trPr>
          <w:trHeight w:val="229" w:hRule="atLeast"/>
        </w:trPr>
        <w:tc>
          <w:tcPr>
            <w:tcW w:w="1893" w:type="dxa"/>
          </w:tcPr>
          <w:p>
            <w:pPr>
              <w:pStyle w:val="TableParagraph"/>
              <w:rPr>
                <w:sz w:val="16"/>
              </w:rPr>
            </w:pPr>
          </w:p>
        </w:tc>
        <w:tc>
          <w:tcPr>
            <w:tcW w:w="1329" w:type="dxa"/>
          </w:tcPr>
          <w:p>
            <w:pPr>
              <w:pStyle w:val="TableParagraph"/>
              <w:rPr>
                <w:sz w:val="16"/>
              </w:rPr>
            </w:pPr>
          </w:p>
        </w:tc>
        <w:tc>
          <w:tcPr>
            <w:tcW w:w="2337" w:type="dxa"/>
            <w:gridSpan w:val="2"/>
          </w:tcPr>
          <w:p>
            <w:pPr>
              <w:pStyle w:val="TableParagraph"/>
              <w:spacing w:line="209" w:lineRule="exact"/>
              <w:ind w:left="131"/>
              <w:rPr>
                <w:sz w:val="20"/>
              </w:rPr>
            </w:pPr>
            <w:r>
              <w:rPr>
                <w:sz w:val="20"/>
              </w:rPr>
              <w:t>5%</w:t>
            </w:r>
            <w:r>
              <w:rPr>
                <w:spacing w:val="68"/>
                <w:w w:val="150"/>
                <w:sz w:val="20"/>
              </w:rPr>
              <w:t> </w:t>
            </w:r>
            <w:r>
              <w:rPr>
                <w:sz w:val="20"/>
              </w:rPr>
              <w:t>Critical</w:t>
            </w:r>
            <w:r>
              <w:rPr>
                <w:spacing w:val="-2"/>
                <w:sz w:val="20"/>
              </w:rPr>
              <w:t> </w:t>
            </w:r>
            <w:r>
              <w:rPr>
                <w:spacing w:val="-4"/>
                <w:sz w:val="20"/>
              </w:rPr>
              <w:t>Value</w:t>
            </w:r>
          </w:p>
        </w:tc>
        <w:tc>
          <w:tcPr>
            <w:tcW w:w="929" w:type="dxa"/>
          </w:tcPr>
          <w:p>
            <w:pPr>
              <w:pStyle w:val="TableParagraph"/>
              <w:spacing w:line="209" w:lineRule="exact"/>
              <w:ind w:right="28"/>
              <w:jc w:val="right"/>
              <w:rPr>
                <w:sz w:val="20"/>
              </w:rPr>
            </w:pPr>
            <w:r>
              <w:rPr>
                <w:spacing w:val="-4"/>
                <w:sz w:val="20"/>
              </w:rPr>
              <w:t>-</w:t>
            </w:r>
            <w:r>
              <w:rPr>
                <w:spacing w:val="-2"/>
                <w:sz w:val="20"/>
              </w:rPr>
              <w:t>2.9358</w:t>
            </w:r>
          </w:p>
        </w:tc>
      </w:tr>
      <w:tr>
        <w:trPr>
          <w:trHeight w:val="224" w:hRule="atLeast"/>
        </w:trPr>
        <w:tc>
          <w:tcPr>
            <w:tcW w:w="1893" w:type="dxa"/>
            <w:tcBorders>
              <w:bottom w:val="double" w:sz="6" w:space="0" w:color="000000"/>
            </w:tcBorders>
          </w:tcPr>
          <w:p>
            <w:pPr>
              <w:pStyle w:val="TableParagraph"/>
              <w:rPr>
                <w:sz w:val="16"/>
              </w:rPr>
            </w:pPr>
          </w:p>
        </w:tc>
        <w:tc>
          <w:tcPr>
            <w:tcW w:w="1329" w:type="dxa"/>
            <w:tcBorders>
              <w:bottom w:val="double" w:sz="6" w:space="0" w:color="000000"/>
            </w:tcBorders>
          </w:tcPr>
          <w:p>
            <w:pPr>
              <w:pStyle w:val="TableParagraph"/>
              <w:rPr>
                <w:sz w:val="16"/>
              </w:rPr>
            </w:pPr>
          </w:p>
        </w:tc>
        <w:tc>
          <w:tcPr>
            <w:tcW w:w="2337" w:type="dxa"/>
            <w:gridSpan w:val="2"/>
            <w:tcBorders>
              <w:bottom w:val="double" w:sz="6" w:space="0" w:color="000000"/>
            </w:tcBorders>
          </w:tcPr>
          <w:p>
            <w:pPr>
              <w:pStyle w:val="TableParagraph"/>
              <w:spacing w:line="205" w:lineRule="exact"/>
              <w:ind w:left="131"/>
              <w:rPr>
                <w:sz w:val="20"/>
              </w:rPr>
            </w:pPr>
            <w:r>
              <w:rPr>
                <w:sz w:val="20"/>
              </w:rPr>
              <w:t>10%</w:t>
            </w:r>
            <w:r>
              <w:rPr>
                <w:spacing w:val="-6"/>
                <w:sz w:val="20"/>
              </w:rPr>
              <w:t> </w:t>
            </w:r>
            <w:r>
              <w:rPr>
                <w:sz w:val="20"/>
              </w:rPr>
              <w:t>Critical</w:t>
            </w:r>
            <w:r>
              <w:rPr>
                <w:spacing w:val="-4"/>
                <w:sz w:val="20"/>
              </w:rPr>
              <w:t> </w:t>
            </w:r>
            <w:r>
              <w:rPr>
                <w:spacing w:val="-2"/>
                <w:sz w:val="20"/>
              </w:rPr>
              <w:t>Value</w:t>
            </w:r>
          </w:p>
        </w:tc>
        <w:tc>
          <w:tcPr>
            <w:tcW w:w="929" w:type="dxa"/>
            <w:tcBorders>
              <w:bottom w:val="double" w:sz="6" w:space="0" w:color="000000"/>
            </w:tcBorders>
          </w:tcPr>
          <w:p>
            <w:pPr>
              <w:pStyle w:val="TableParagraph"/>
              <w:spacing w:line="205" w:lineRule="exact"/>
              <w:ind w:right="28"/>
              <w:jc w:val="right"/>
              <w:rPr>
                <w:sz w:val="20"/>
              </w:rPr>
            </w:pPr>
            <w:r>
              <w:rPr>
                <w:spacing w:val="-4"/>
                <w:sz w:val="20"/>
              </w:rPr>
              <w:t>-</w:t>
            </w:r>
            <w:r>
              <w:rPr>
                <w:spacing w:val="-2"/>
                <w:sz w:val="20"/>
              </w:rPr>
              <w:t>2.6059</w:t>
            </w:r>
          </w:p>
        </w:tc>
      </w:tr>
      <w:tr>
        <w:trPr>
          <w:trHeight w:val="506" w:hRule="atLeast"/>
        </w:trPr>
        <w:tc>
          <w:tcPr>
            <w:tcW w:w="6488" w:type="dxa"/>
            <w:gridSpan w:val="5"/>
            <w:tcBorders>
              <w:top w:val="double" w:sz="6" w:space="0" w:color="000000"/>
            </w:tcBorders>
          </w:tcPr>
          <w:p>
            <w:pPr>
              <w:pStyle w:val="TableParagraph"/>
              <w:spacing w:before="42"/>
              <w:ind w:left="36"/>
              <w:rPr>
                <w:sz w:val="20"/>
              </w:rPr>
            </w:pPr>
            <w:r>
              <w:rPr>
                <w:sz w:val="20"/>
              </w:rPr>
              <w:t>*MacKinnon</w:t>
            </w:r>
            <w:r>
              <w:rPr>
                <w:spacing w:val="-6"/>
                <w:sz w:val="20"/>
              </w:rPr>
              <w:t> </w:t>
            </w:r>
            <w:r>
              <w:rPr>
                <w:sz w:val="20"/>
              </w:rPr>
              <w:t>critical</w:t>
            </w:r>
            <w:r>
              <w:rPr>
                <w:spacing w:val="-4"/>
                <w:sz w:val="20"/>
              </w:rPr>
              <w:t> </w:t>
            </w:r>
            <w:r>
              <w:rPr>
                <w:sz w:val="20"/>
              </w:rPr>
              <w:t>values</w:t>
            </w:r>
            <w:r>
              <w:rPr>
                <w:spacing w:val="-6"/>
                <w:sz w:val="20"/>
              </w:rPr>
              <w:t> </w:t>
            </w:r>
            <w:r>
              <w:rPr>
                <w:sz w:val="20"/>
              </w:rPr>
              <w:t>for</w:t>
            </w:r>
            <w:r>
              <w:rPr>
                <w:spacing w:val="-4"/>
                <w:sz w:val="20"/>
              </w:rPr>
              <w:t> </w:t>
            </w:r>
            <w:r>
              <w:rPr>
                <w:sz w:val="20"/>
              </w:rPr>
              <w:t>rejection</w:t>
            </w:r>
            <w:r>
              <w:rPr>
                <w:spacing w:val="-6"/>
                <w:sz w:val="20"/>
              </w:rPr>
              <w:t> </w:t>
            </w:r>
            <w:r>
              <w:rPr>
                <w:sz w:val="20"/>
              </w:rPr>
              <w:t>of</w:t>
            </w:r>
            <w:r>
              <w:rPr>
                <w:spacing w:val="-6"/>
                <w:sz w:val="20"/>
              </w:rPr>
              <w:t> </w:t>
            </w:r>
            <w:r>
              <w:rPr>
                <w:sz w:val="20"/>
              </w:rPr>
              <w:t>hypothesis</w:t>
            </w:r>
            <w:r>
              <w:rPr>
                <w:spacing w:val="-6"/>
                <w:sz w:val="20"/>
              </w:rPr>
              <w:t> </w:t>
            </w:r>
            <w:r>
              <w:rPr>
                <w:sz w:val="20"/>
              </w:rPr>
              <w:t>of</w:t>
            </w:r>
            <w:r>
              <w:rPr>
                <w:spacing w:val="-6"/>
                <w:sz w:val="20"/>
              </w:rPr>
              <w:t> </w:t>
            </w:r>
            <w:r>
              <w:rPr>
                <w:sz w:val="20"/>
              </w:rPr>
              <w:t>a</w:t>
            </w:r>
            <w:r>
              <w:rPr>
                <w:spacing w:val="-4"/>
                <w:sz w:val="20"/>
              </w:rPr>
              <w:t> </w:t>
            </w:r>
            <w:r>
              <w:rPr>
                <w:sz w:val="20"/>
              </w:rPr>
              <w:t>unit</w:t>
            </w:r>
            <w:r>
              <w:rPr>
                <w:spacing w:val="-6"/>
                <w:sz w:val="20"/>
              </w:rPr>
              <w:t> </w:t>
            </w:r>
            <w:r>
              <w:rPr>
                <w:spacing w:val="-2"/>
                <w:sz w:val="20"/>
              </w:rPr>
              <w:t>root.</w:t>
            </w:r>
          </w:p>
        </w:tc>
      </w:tr>
      <w:tr>
        <w:trPr>
          <w:trHeight w:val="459" w:hRule="atLeast"/>
        </w:trPr>
        <w:tc>
          <w:tcPr>
            <w:tcW w:w="6488" w:type="dxa"/>
            <w:gridSpan w:val="5"/>
          </w:tcPr>
          <w:p>
            <w:pPr>
              <w:pStyle w:val="TableParagraph"/>
              <w:spacing w:line="215" w:lineRule="exact" w:before="225"/>
              <w:ind w:left="36"/>
              <w:rPr>
                <w:sz w:val="20"/>
              </w:rPr>
            </w:pPr>
            <w:r>
              <w:rPr>
                <w:sz w:val="20"/>
              </w:rPr>
              <w:t>Augmented</w:t>
            </w:r>
            <w:r>
              <w:rPr>
                <w:spacing w:val="-8"/>
                <w:sz w:val="20"/>
              </w:rPr>
              <w:t> </w:t>
            </w:r>
            <w:r>
              <w:rPr>
                <w:sz w:val="20"/>
              </w:rPr>
              <w:t>Dickey-Fuller</w:t>
            </w:r>
            <w:r>
              <w:rPr>
                <w:spacing w:val="-8"/>
                <w:sz w:val="20"/>
              </w:rPr>
              <w:t> </w:t>
            </w:r>
            <w:r>
              <w:rPr>
                <w:sz w:val="20"/>
              </w:rPr>
              <w:t>Test</w:t>
            </w:r>
            <w:r>
              <w:rPr>
                <w:spacing w:val="-9"/>
                <w:sz w:val="20"/>
              </w:rPr>
              <w:t> </w:t>
            </w:r>
            <w:r>
              <w:rPr>
                <w:spacing w:val="-2"/>
                <w:sz w:val="20"/>
              </w:rPr>
              <w:t>Equation</w:t>
            </w:r>
          </w:p>
        </w:tc>
      </w:tr>
      <w:tr>
        <w:trPr>
          <w:trHeight w:val="230" w:hRule="atLeast"/>
        </w:trPr>
        <w:tc>
          <w:tcPr>
            <w:tcW w:w="6488" w:type="dxa"/>
            <w:gridSpan w:val="5"/>
          </w:tcPr>
          <w:p>
            <w:pPr>
              <w:pStyle w:val="TableParagraph"/>
              <w:spacing w:line="210" w:lineRule="exact"/>
              <w:ind w:left="36"/>
              <w:rPr>
                <w:sz w:val="20"/>
              </w:rPr>
            </w:pPr>
            <w:r>
              <w:rPr>
                <w:sz w:val="20"/>
              </w:rPr>
              <w:t>Dependent</w:t>
            </w:r>
            <w:r>
              <w:rPr>
                <w:spacing w:val="-8"/>
                <w:sz w:val="20"/>
              </w:rPr>
              <w:t> </w:t>
            </w:r>
            <w:r>
              <w:rPr>
                <w:sz w:val="20"/>
              </w:rPr>
              <w:t>Variable:</w:t>
            </w:r>
            <w:r>
              <w:rPr>
                <w:spacing w:val="-8"/>
                <w:sz w:val="20"/>
              </w:rPr>
              <w:t> </w:t>
            </w:r>
            <w:r>
              <w:rPr>
                <w:spacing w:val="-2"/>
                <w:sz w:val="20"/>
              </w:rPr>
              <w:t>D(PRIVCR)</w:t>
            </w:r>
          </w:p>
        </w:tc>
      </w:tr>
      <w:tr>
        <w:trPr>
          <w:trHeight w:val="229" w:hRule="atLeast"/>
        </w:trPr>
        <w:tc>
          <w:tcPr>
            <w:tcW w:w="1893" w:type="dxa"/>
          </w:tcPr>
          <w:p>
            <w:pPr>
              <w:pStyle w:val="TableParagraph"/>
              <w:spacing w:line="209" w:lineRule="exact"/>
              <w:ind w:left="36"/>
              <w:rPr>
                <w:sz w:val="20"/>
              </w:rPr>
            </w:pPr>
            <w:r>
              <w:rPr>
                <w:sz w:val="20"/>
              </w:rPr>
              <w:t>Method:</w:t>
            </w:r>
            <w:r>
              <w:rPr>
                <w:spacing w:val="-8"/>
                <w:sz w:val="20"/>
              </w:rPr>
              <w:t> </w:t>
            </w:r>
            <w:r>
              <w:rPr>
                <w:sz w:val="20"/>
              </w:rPr>
              <w:t>Least</w:t>
            </w:r>
            <w:r>
              <w:rPr>
                <w:spacing w:val="-7"/>
                <w:sz w:val="20"/>
              </w:rPr>
              <w:t> </w:t>
            </w:r>
            <w:r>
              <w:rPr>
                <w:spacing w:val="-2"/>
                <w:sz w:val="20"/>
              </w:rPr>
              <w:t>Squares</w:t>
            </w:r>
          </w:p>
        </w:tc>
        <w:tc>
          <w:tcPr>
            <w:tcW w:w="1329" w:type="dxa"/>
          </w:tcPr>
          <w:p>
            <w:pPr>
              <w:pStyle w:val="TableParagraph"/>
              <w:rPr>
                <w:sz w:val="16"/>
              </w:rPr>
            </w:pPr>
          </w:p>
        </w:tc>
        <w:tc>
          <w:tcPr>
            <w:tcW w:w="1458" w:type="dxa"/>
          </w:tcPr>
          <w:p>
            <w:pPr>
              <w:pStyle w:val="TableParagraph"/>
              <w:rPr>
                <w:sz w:val="16"/>
              </w:rPr>
            </w:pPr>
          </w:p>
        </w:tc>
        <w:tc>
          <w:tcPr>
            <w:tcW w:w="879" w:type="dxa"/>
          </w:tcPr>
          <w:p>
            <w:pPr>
              <w:pStyle w:val="TableParagraph"/>
              <w:rPr>
                <w:sz w:val="16"/>
              </w:rPr>
            </w:pPr>
          </w:p>
        </w:tc>
        <w:tc>
          <w:tcPr>
            <w:tcW w:w="929" w:type="dxa"/>
          </w:tcPr>
          <w:p>
            <w:pPr>
              <w:pStyle w:val="TableParagraph"/>
              <w:rPr>
                <w:sz w:val="16"/>
              </w:rPr>
            </w:pPr>
          </w:p>
        </w:tc>
      </w:tr>
      <w:tr>
        <w:trPr>
          <w:trHeight w:val="229" w:hRule="atLeast"/>
        </w:trPr>
        <w:tc>
          <w:tcPr>
            <w:tcW w:w="6488" w:type="dxa"/>
            <w:gridSpan w:val="5"/>
          </w:tcPr>
          <w:p>
            <w:pPr>
              <w:pStyle w:val="TableParagraph"/>
              <w:spacing w:line="209" w:lineRule="exact"/>
              <w:ind w:left="36"/>
              <w:rPr>
                <w:sz w:val="20"/>
              </w:rPr>
            </w:pPr>
            <w:r>
              <w:rPr>
                <w:sz w:val="20"/>
              </w:rPr>
              <w:t>Date:</w:t>
            </w:r>
            <w:r>
              <w:rPr>
                <w:spacing w:val="-5"/>
                <w:sz w:val="20"/>
              </w:rPr>
              <w:t> </w:t>
            </w:r>
            <w:r>
              <w:rPr>
                <w:sz w:val="20"/>
              </w:rPr>
              <w:t>02/18/14</w:t>
            </w:r>
            <w:r>
              <w:rPr>
                <w:spacing w:val="63"/>
                <w:w w:val="150"/>
                <w:sz w:val="20"/>
              </w:rPr>
              <w:t> </w:t>
            </w:r>
            <w:r>
              <w:rPr>
                <w:sz w:val="20"/>
              </w:rPr>
              <w:t>Time:</w:t>
            </w:r>
            <w:r>
              <w:rPr>
                <w:spacing w:val="-3"/>
                <w:sz w:val="20"/>
              </w:rPr>
              <w:t> </w:t>
            </w:r>
            <w:r>
              <w:rPr>
                <w:spacing w:val="-2"/>
                <w:sz w:val="20"/>
              </w:rPr>
              <w:t>09:21</w:t>
            </w:r>
          </w:p>
        </w:tc>
      </w:tr>
      <w:tr>
        <w:trPr>
          <w:trHeight w:val="230" w:hRule="atLeast"/>
        </w:trPr>
        <w:tc>
          <w:tcPr>
            <w:tcW w:w="6488" w:type="dxa"/>
            <w:gridSpan w:val="5"/>
          </w:tcPr>
          <w:p>
            <w:pPr>
              <w:pStyle w:val="TableParagraph"/>
              <w:spacing w:line="210" w:lineRule="exact"/>
              <w:ind w:left="36"/>
              <w:rPr>
                <w:sz w:val="20"/>
              </w:rPr>
            </w:pPr>
            <w:r>
              <w:rPr>
                <w:sz w:val="20"/>
              </w:rPr>
              <w:t>Sample(adjusted):</w:t>
            </w:r>
            <w:r>
              <w:rPr>
                <w:spacing w:val="-9"/>
                <w:sz w:val="20"/>
              </w:rPr>
              <w:t> </w:t>
            </w:r>
            <w:r>
              <w:rPr>
                <w:sz w:val="20"/>
              </w:rPr>
              <w:t>1972</w:t>
            </w:r>
            <w:r>
              <w:rPr>
                <w:spacing w:val="-9"/>
                <w:sz w:val="20"/>
              </w:rPr>
              <w:t> </w:t>
            </w:r>
            <w:r>
              <w:rPr>
                <w:spacing w:val="-4"/>
                <w:sz w:val="20"/>
              </w:rPr>
              <w:t>2011</w:t>
            </w:r>
          </w:p>
        </w:tc>
      </w:tr>
      <w:tr>
        <w:trPr>
          <w:trHeight w:val="224" w:hRule="atLeast"/>
        </w:trPr>
        <w:tc>
          <w:tcPr>
            <w:tcW w:w="6488" w:type="dxa"/>
            <w:gridSpan w:val="5"/>
            <w:tcBorders>
              <w:bottom w:val="double" w:sz="6" w:space="0" w:color="000000"/>
            </w:tcBorders>
          </w:tcPr>
          <w:p>
            <w:pPr>
              <w:pStyle w:val="TableParagraph"/>
              <w:spacing w:line="205" w:lineRule="exact"/>
              <w:ind w:left="36"/>
              <w:rPr>
                <w:sz w:val="20"/>
              </w:rPr>
            </w:pPr>
            <w:r>
              <w:rPr>
                <w:sz w:val="20"/>
              </w:rPr>
              <w:t>Included</w:t>
            </w:r>
            <w:r>
              <w:rPr>
                <w:spacing w:val="-6"/>
                <w:sz w:val="20"/>
              </w:rPr>
              <w:t> </w:t>
            </w:r>
            <w:r>
              <w:rPr>
                <w:sz w:val="20"/>
              </w:rPr>
              <w:t>observations:</w:t>
            </w:r>
            <w:r>
              <w:rPr>
                <w:spacing w:val="-8"/>
                <w:sz w:val="20"/>
              </w:rPr>
              <w:t> </w:t>
            </w:r>
            <w:r>
              <w:rPr>
                <w:sz w:val="20"/>
              </w:rPr>
              <w:t>40</w:t>
            </w:r>
            <w:r>
              <w:rPr>
                <w:spacing w:val="-5"/>
                <w:sz w:val="20"/>
              </w:rPr>
              <w:t> </w:t>
            </w:r>
            <w:r>
              <w:rPr>
                <w:sz w:val="20"/>
              </w:rPr>
              <w:t>after</w:t>
            </w:r>
            <w:r>
              <w:rPr>
                <w:spacing w:val="-7"/>
                <w:sz w:val="20"/>
              </w:rPr>
              <w:t> </w:t>
            </w:r>
            <w:r>
              <w:rPr>
                <w:sz w:val="20"/>
              </w:rPr>
              <w:t>adjusting</w:t>
            </w:r>
            <w:r>
              <w:rPr>
                <w:spacing w:val="-7"/>
                <w:sz w:val="20"/>
              </w:rPr>
              <w:t> </w:t>
            </w:r>
            <w:r>
              <w:rPr>
                <w:spacing w:val="-2"/>
                <w:sz w:val="20"/>
              </w:rPr>
              <w:t>endpoints</w:t>
            </w:r>
          </w:p>
        </w:tc>
      </w:tr>
      <w:tr>
        <w:trPr>
          <w:trHeight w:val="269" w:hRule="atLeast"/>
        </w:trPr>
        <w:tc>
          <w:tcPr>
            <w:tcW w:w="1893" w:type="dxa"/>
            <w:tcBorders>
              <w:top w:val="double" w:sz="6" w:space="0" w:color="000000"/>
              <w:bottom w:val="double" w:sz="6" w:space="0" w:color="000000"/>
            </w:tcBorders>
          </w:tcPr>
          <w:p>
            <w:pPr>
              <w:pStyle w:val="TableParagraph"/>
              <w:spacing w:line="209" w:lineRule="exact" w:before="40"/>
              <w:ind w:left="677"/>
              <w:rPr>
                <w:sz w:val="20"/>
              </w:rPr>
            </w:pPr>
            <w:r>
              <w:rPr>
                <w:spacing w:val="-2"/>
                <w:sz w:val="20"/>
              </w:rPr>
              <w:t>Variable</w:t>
            </w:r>
          </w:p>
        </w:tc>
        <w:tc>
          <w:tcPr>
            <w:tcW w:w="1329" w:type="dxa"/>
            <w:tcBorders>
              <w:top w:val="double" w:sz="6" w:space="0" w:color="000000"/>
              <w:bottom w:val="double" w:sz="6" w:space="0" w:color="000000"/>
            </w:tcBorders>
          </w:tcPr>
          <w:p>
            <w:pPr>
              <w:pStyle w:val="TableParagraph"/>
              <w:spacing w:line="209" w:lineRule="exact" w:before="40"/>
              <w:ind w:right="131"/>
              <w:jc w:val="right"/>
              <w:rPr>
                <w:sz w:val="20"/>
              </w:rPr>
            </w:pPr>
            <w:r>
              <w:rPr>
                <w:spacing w:val="-2"/>
                <w:sz w:val="20"/>
              </w:rPr>
              <w:t>Coefficient</w:t>
            </w:r>
          </w:p>
        </w:tc>
        <w:tc>
          <w:tcPr>
            <w:tcW w:w="1458" w:type="dxa"/>
            <w:tcBorders>
              <w:top w:val="double" w:sz="6" w:space="0" w:color="000000"/>
              <w:bottom w:val="double" w:sz="6" w:space="0" w:color="000000"/>
            </w:tcBorders>
          </w:tcPr>
          <w:p>
            <w:pPr>
              <w:pStyle w:val="TableParagraph"/>
              <w:spacing w:line="209" w:lineRule="exact" w:before="40"/>
              <w:ind w:left="273"/>
              <w:rPr>
                <w:sz w:val="20"/>
              </w:rPr>
            </w:pPr>
            <w:r>
              <w:rPr>
                <w:sz w:val="20"/>
              </w:rPr>
              <w:t>Std.</w:t>
            </w:r>
            <w:r>
              <w:rPr>
                <w:spacing w:val="-4"/>
                <w:sz w:val="20"/>
              </w:rPr>
              <w:t> </w:t>
            </w:r>
            <w:r>
              <w:rPr>
                <w:spacing w:val="-2"/>
                <w:sz w:val="20"/>
              </w:rPr>
              <w:t>Error</w:t>
            </w:r>
          </w:p>
        </w:tc>
        <w:tc>
          <w:tcPr>
            <w:tcW w:w="879" w:type="dxa"/>
            <w:tcBorders>
              <w:top w:val="double" w:sz="6" w:space="0" w:color="000000"/>
              <w:bottom w:val="double" w:sz="6" w:space="0" w:color="000000"/>
            </w:tcBorders>
          </w:tcPr>
          <w:p>
            <w:pPr>
              <w:pStyle w:val="TableParagraph"/>
              <w:spacing w:line="209" w:lineRule="exact" w:before="40"/>
              <w:ind w:right="49"/>
              <w:jc w:val="center"/>
              <w:rPr>
                <w:sz w:val="20"/>
              </w:rPr>
            </w:pPr>
            <w:r>
              <w:rPr>
                <w:spacing w:val="-4"/>
                <w:sz w:val="20"/>
              </w:rPr>
              <w:t>t-</w:t>
            </w:r>
            <w:r>
              <w:rPr>
                <w:spacing w:val="-2"/>
                <w:sz w:val="20"/>
              </w:rPr>
              <w:t>Statistic</w:t>
            </w:r>
          </w:p>
        </w:tc>
        <w:tc>
          <w:tcPr>
            <w:tcW w:w="929" w:type="dxa"/>
            <w:tcBorders>
              <w:top w:val="double" w:sz="6" w:space="0" w:color="000000"/>
              <w:bottom w:val="double" w:sz="6" w:space="0" w:color="000000"/>
            </w:tcBorders>
          </w:tcPr>
          <w:p>
            <w:pPr>
              <w:pStyle w:val="TableParagraph"/>
              <w:spacing w:line="209" w:lineRule="exact" w:before="40"/>
              <w:ind w:right="29"/>
              <w:jc w:val="right"/>
              <w:rPr>
                <w:sz w:val="20"/>
              </w:rPr>
            </w:pPr>
            <w:r>
              <w:rPr>
                <w:spacing w:val="-2"/>
                <w:sz w:val="20"/>
              </w:rPr>
              <w:t>Prob.</w:t>
            </w:r>
          </w:p>
        </w:tc>
      </w:tr>
      <w:tr>
        <w:trPr>
          <w:trHeight w:val="276" w:hRule="atLeast"/>
        </w:trPr>
        <w:tc>
          <w:tcPr>
            <w:tcW w:w="1893" w:type="dxa"/>
            <w:tcBorders>
              <w:top w:val="double" w:sz="6" w:space="0" w:color="000000"/>
            </w:tcBorders>
          </w:tcPr>
          <w:p>
            <w:pPr>
              <w:pStyle w:val="TableParagraph"/>
              <w:spacing w:line="214" w:lineRule="exact" w:before="42"/>
              <w:ind w:left="511"/>
              <w:rPr>
                <w:sz w:val="20"/>
              </w:rPr>
            </w:pPr>
            <w:r>
              <w:rPr>
                <w:spacing w:val="-2"/>
                <w:sz w:val="20"/>
              </w:rPr>
              <w:t>PRIVCR(-</w:t>
            </w:r>
            <w:r>
              <w:rPr>
                <w:spacing w:val="-5"/>
                <w:sz w:val="20"/>
              </w:rPr>
              <w:t>1)</w:t>
            </w:r>
          </w:p>
        </w:tc>
        <w:tc>
          <w:tcPr>
            <w:tcW w:w="1329" w:type="dxa"/>
            <w:tcBorders>
              <w:top w:val="double" w:sz="6" w:space="0" w:color="000000"/>
            </w:tcBorders>
          </w:tcPr>
          <w:p>
            <w:pPr>
              <w:pStyle w:val="TableParagraph"/>
              <w:spacing w:line="214" w:lineRule="exact" w:before="42"/>
              <w:ind w:right="128"/>
              <w:jc w:val="right"/>
              <w:rPr>
                <w:sz w:val="20"/>
              </w:rPr>
            </w:pPr>
            <w:r>
              <w:rPr>
                <w:spacing w:val="-2"/>
                <w:sz w:val="20"/>
              </w:rPr>
              <w:t>0.000336</w:t>
            </w:r>
          </w:p>
        </w:tc>
        <w:tc>
          <w:tcPr>
            <w:tcW w:w="1458" w:type="dxa"/>
            <w:tcBorders>
              <w:top w:val="double" w:sz="6" w:space="0" w:color="000000"/>
            </w:tcBorders>
          </w:tcPr>
          <w:p>
            <w:pPr>
              <w:pStyle w:val="TableParagraph"/>
              <w:spacing w:line="214" w:lineRule="exact" w:before="42"/>
              <w:ind w:left="311"/>
              <w:rPr>
                <w:sz w:val="20"/>
              </w:rPr>
            </w:pPr>
            <w:r>
              <w:rPr>
                <w:spacing w:val="-2"/>
                <w:sz w:val="20"/>
              </w:rPr>
              <w:t>0.008351</w:t>
            </w:r>
          </w:p>
        </w:tc>
        <w:tc>
          <w:tcPr>
            <w:tcW w:w="879" w:type="dxa"/>
            <w:tcBorders>
              <w:top w:val="double" w:sz="6" w:space="0" w:color="000000"/>
            </w:tcBorders>
          </w:tcPr>
          <w:p>
            <w:pPr>
              <w:pStyle w:val="TableParagraph"/>
              <w:spacing w:line="214" w:lineRule="exact" w:before="42"/>
              <w:ind w:left="17" w:right="49"/>
              <w:jc w:val="center"/>
              <w:rPr>
                <w:sz w:val="20"/>
              </w:rPr>
            </w:pPr>
            <w:r>
              <w:rPr>
                <w:spacing w:val="-2"/>
                <w:sz w:val="20"/>
              </w:rPr>
              <w:t>0.040245</w:t>
            </w:r>
          </w:p>
        </w:tc>
        <w:tc>
          <w:tcPr>
            <w:tcW w:w="929" w:type="dxa"/>
            <w:tcBorders>
              <w:top w:val="double" w:sz="6" w:space="0" w:color="000000"/>
            </w:tcBorders>
          </w:tcPr>
          <w:p>
            <w:pPr>
              <w:pStyle w:val="TableParagraph"/>
              <w:spacing w:line="214" w:lineRule="exact" w:before="42"/>
              <w:ind w:right="28"/>
              <w:jc w:val="right"/>
              <w:rPr>
                <w:sz w:val="20"/>
              </w:rPr>
            </w:pPr>
            <w:r>
              <w:rPr>
                <w:spacing w:val="-2"/>
                <w:sz w:val="20"/>
              </w:rPr>
              <w:t>0.9681</w:t>
            </w:r>
          </w:p>
        </w:tc>
      </w:tr>
      <w:tr>
        <w:trPr>
          <w:trHeight w:val="229" w:hRule="atLeast"/>
        </w:trPr>
        <w:tc>
          <w:tcPr>
            <w:tcW w:w="1893" w:type="dxa"/>
          </w:tcPr>
          <w:p>
            <w:pPr>
              <w:pStyle w:val="TableParagraph"/>
              <w:spacing w:line="209" w:lineRule="exact"/>
              <w:ind w:left="372"/>
              <w:rPr>
                <w:sz w:val="20"/>
              </w:rPr>
            </w:pPr>
            <w:r>
              <w:rPr>
                <w:spacing w:val="-2"/>
                <w:sz w:val="20"/>
              </w:rPr>
              <w:t>D(PRIVCR(-</w:t>
            </w:r>
            <w:r>
              <w:rPr>
                <w:spacing w:val="-5"/>
                <w:sz w:val="20"/>
              </w:rPr>
              <w:t>1))</w:t>
            </w:r>
          </w:p>
        </w:tc>
        <w:tc>
          <w:tcPr>
            <w:tcW w:w="1329" w:type="dxa"/>
          </w:tcPr>
          <w:p>
            <w:pPr>
              <w:pStyle w:val="TableParagraph"/>
              <w:spacing w:line="209" w:lineRule="exact"/>
              <w:ind w:right="128"/>
              <w:jc w:val="right"/>
              <w:rPr>
                <w:sz w:val="20"/>
              </w:rPr>
            </w:pPr>
            <w:r>
              <w:rPr>
                <w:spacing w:val="-2"/>
                <w:sz w:val="20"/>
              </w:rPr>
              <w:t>0.272232</w:t>
            </w:r>
          </w:p>
        </w:tc>
        <w:tc>
          <w:tcPr>
            <w:tcW w:w="1458" w:type="dxa"/>
          </w:tcPr>
          <w:p>
            <w:pPr>
              <w:pStyle w:val="TableParagraph"/>
              <w:spacing w:line="209" w:lineRule="exact"/>
              <w:ind w:left="311"/>
              <w:rPr>
                <w:sz w:val="20"/>
              </w:rPr>
            </w:pPr>
            <w:r>
              <w:rPr>
                <w:spacing w:val="-2"/>
                <w:sz w:val="20"/>
              </w:rPr>
              <w:t>0.160607</w:t>
            </w:r>
          </w:p>
        </w:tc>
        <w:tc>
          <w:tcPr>
            <w:tcW w:w="879" w:type="dxa"/>
          </w:tcPr>
          <w:p>
            <w:pPr>
              <w:pStyle w:val="TableParagraph"/>
              <w:spacing w:line="209" w:lineRule="exact"/>
              <w:ind w:left="17" w:right="49"/>
              <w:jc w:val="center"/>
              <w:rPr>
                <w:sz w:val="20"/>
              </w:rPr>
            </w:pPr>
            <w:r>
              <w:rPr>
                <w:spacing w:val="-2"/>
                <w:sz w:val="20"/>
              </w:rPr>
              <w:t>1.695022</w:t>
            </w:r>
          </w:p>
        </w:tc>
        <w:tc>
          <w:tcPr>
            <w:tcW w:w="929" w:type="dxa"/>
          </w:tcPr>
          <w:p>
            <w:pPr>
              <w:pStyle w:val="TableParagraph"/>
              <w:spacing w:line="209" w:lineRule="exact"/>
              <w:ind w:right="28"/>
              <w:jc w:val="right"/>
              <w:rPr>
                <w:sz w:val="20"/>
              </w:rPr>
            </w:pPr>
            <w:r>
              <w:rPr>
                <w:spacing w:val="-2"/>
                <w:sz w:val="20"/>
              </w:rPr>
              <w:t>0.0985</w:t>
            </w:r>
          </w:p>
        </w:tc>
      </w:tr>
      <w:tr>
        <w:trPr>
          <w:trHeight w:val="224" w:hRule="atLeast"/>
        </w:trPr>
        <w:tc>
          <w:tcPr>
            <w:tcW w:w="1893" w:type="dxa"/>
            <w:tcBorders>
              <w:bottom w:val="double" w:sz="6" w:space="0" w:color="000000"/>
            </w:tcBorders>
          </w:tcPr>
          <w:p>
            <w:pPr>
              <w:pStyle w:val="TableParagraph"/>
              <w:spacing w:line="205" w:lineRule="exact"/>
              <w:ind w:left="151"/>
              <w:jc w:val="center"/>
              <w:rPr>
                <w:sz w:val="20"/>
              </w:rPr>
            </w:pPr>
            <w:r>
              <w:rPr>
                <w:spacing w:val="-10"/>
                <w:sz w:val="20"/>
              </w:rPr>
              <w:t>C</w:t>
            </w:r>
          </w:p>
        </w:tc>
        <w:tc>
          <w:tcPr>
            <w:tcW w:w="1329" w:type="dxa"/>
            <w:tcBorders>
              <w:bottom w:val="double" w:sz="6" w:space="0" w:color="000000"/>
            </w:tcBorders>
          </w:tcPr>
          <w:p>
            <w:pPr>
              <w:pStyle w:val="TableParagraph"/>
              <w:spacing w:line="205" w:lineRule="exact"/>
              <w:ind w:right="128"/>
              <w:jc w:val="right"/>
              <w:rPr>
                <w:sz w:val="20"/>
              </w:rPr>
            </w:pPr>
            <w:r>
              <w:rPr>
                <w:spacing w:val="-2"/>
                <w:sz w:val="20"/>
              </w:rPr>
              <w:t>0.173772</w:t>
            </w:r>
          </w:p>
        </w:tc>
        <w:tc>
          <w:tcPr>
            <w:tcW w:w="1458" w:type="dxa"/>
            <w:tcBorders>
              <w:bottom w:val="double" w:sz="6" w:space="0" w:color="000000"/>
            </w:tcBorders>
          </w:tcPr>
          <w:p>
            <w:pPr>
              <w:pStyle w:val="TableParagraph"/>
              <w:spacing w:line="205" w:lineRule="exact"/>
              <w:ind w:left="311"/>
              <w:rPr>
                <w:sz w:val="20"/>
              </w:rPr>
            </w:pPr>
            <w:r>
              <w:rPr>
                <w:spacing w:val="-2"/>
                <w:sz w:val="20"/>
              </w:rPr>
              <w:t>0.099598</w:t>
            </w:r>
          </w:p>
        </w:tc>
        <w:tc>
          <w:tcPr>
            <w:tcW w:w="879" w:type="dxa"/>
            <w:tcBorders>
              <w:bottom w:val="double" w:sz="6" w:space="0" w:color="000000"/>
            </w:tcBorders>
          </w:tcPr>
          <w:p>
            <w:pPr>
              <w:pStyle w:val="TableParagraph"/>
              <w:spacing w:line="205" w:lineRule="exact"/>
              <w:ind w:left="17" w:right="49"/>
              <w:jc w:val="center"/>
              <w:rPr>
                <w:sz w:val="20"/>
              </w:rPr>
            </w:pPr>
            <w:r>
              <w:rPr>
                <w:spacing w:val="-2"/>
                <w:sz w:val="20"/>
              </w:rPr>
              <w:t>1.744734</w:t>
            </w:r>
          </w:p>
        </w:tc>
        <w:tc>
          <w:tcPr>
            <w:tcW w:w="929" w:type="dxa"/>
            <w:tcBorders>
              <w:bottom w:val="double" w:sz="6" w:space="0" w:color="000000"/>
            </w:tcBorders>
          </w:tcPr>
          <w:p>
            <w:pPr>
              <w:pStyle w:val="TableParagraph"/>
              <w:spacing w:line="205" w:lineRule="exact"/>
              <w:ind w:right="28"/>
              <w:jc w:val="right"/>
              <w:rPr>
                <w:sz w:val="20"/>
              </w:rPr>
            </w:pPr>
            <w:r>
              <w:rPr>
                <w:spacing w:val="-2"/>
                <w:sz w:val="20"/>
              </w:rPr>
              <w:t>0.0893</w:t>
            </w:r>
          </w:p>
        </w:tc>
      </w:tr>
      <w:tr>
        <w:trPr>
          <w:trHeight w:val="276" w:hRule="atLeast"/>
        </w:trPr>
        <w:tc>
          <w:tcPr>
            <w:tcW w:w="1893" w:type="dxa"/>
            <w:tcBorders>
              <w:top w:val="double" w:sz="6" w:space="0" w:color="000000"/>
            </w:tcBorders>
          </w:tcPr>
          <w:p>
            <w:pPr>
              <w:pStyle w:val="TableParagraph"/>
              <w:spacing w:line="214" w:lineRule="exact" w:before="42"/>
              <w:ind w:left="36"/>
              <w:rPr>
                <w:sz w:val="20"/>
              </w:rPr>
            </w:pPr>
            <w:r>
              <w:rPr>
                <w:spacing w:val="-2"/>
                <w:sz w:val="20"/>
              </w:rPr>
              <w:t>R-squared</w:t>
            </w:r>
          </w:p>
        </w:tc>
        <w:tc>
          <w:tcPr>
            <w:tcW w:w="1329" w:type="dxa"/>
            <w:tcBorders>
              <w:top w:val="double" w:sz="6" w:space="0" w:color="000000"/>
            </w:tcBorders>
          </w:tcPr>
          <w:p>
            <w:pPr>
              <w:pStyle w:val="TableParagraph"/>
              <w:spacing w:line="214" w:lineRule="exact" w:before="42"/>
              <w:ind w:right="128"/>
              <w:jc w:val="right"/>
              <w:rPr>
                <w:sz w:val="20"/>
              </w:rPr>
            </w:pPr>
            <w:r>
              <w:rPr>
                <w:spacing w:val="-2"/>
                <w:sz w:val="20"/>
              </w:rPr>
              <w:t>0.073141</w:t>
            </w:r>
          </w:p>
        </w:tc>
        <w:tc>
          <w:tcPr>
            <w:tcW w:w="2337" w:type="dxa"/>
            <w:gridSpan w:val="2"/>
            <w:tcBorders>
              <w:top w:val="double" w:sz="6" w:space="0" w:color="000000"/>
            </w:tcBorders>
          </w:tcPr>
          <w:p>
            <w:pPr>
              <w:pStyle w:val="TableParagraph"/>
              <w:spacing w:line="214" w:lineRule="exact" w:before="42"/>
              <w:ind w:left="131"/>
              <w:rPr>
                <w:sz w:val="20"/>
              </w:rPr>
            </w:pPr>
            <w:r>
              <w:rPr>
                <w:sz w:val="20"/>
              </w:rPr>
              <w:t>Mean</w:t>
            </w:r>
            <w:r>
              <w:rPr>
                <w:spacing w:val="-7"/>
                <w:sz w:val="20"/>
              </w:rPr>
              <w:t> </w:t>
            </w:r>
            <w:r>
              <w:rPr>
                <w:sz w:val="20"/>
              </w:rPr>
              <w:t>dependent</w:t>
            </w:r>
            <w:r>
              <w:rPr>
                <w:spacing w:val="-7"/>
                <w:sz w:val="20"/>
              </w:rPr>
              <w:t> </w:t>
            </w:r>
            <w:r>
              <w:rPr>
                <w:spacing w:val="-5"/>
                <w:sz w:val="20"/>
              </w:rPr>
              <w:t>var</w:t>
            </w:r>
          </w:p>
        </w:tc>
        <w:tc>
          <w:tcPr>
            <w:tcW w:w="929" w:type="dxa"/>
            <w:tcBorders>
              <w:top w:val="double" w:sz="6" w:space="0" w:color="000000"/>
            </w:tcBorders>
          </w:tcPr>
          <w:p>
            <w:pPr>
              <w:pStyle w:val="TableParagraph"/>
              <w:spacing w:line="214" w:lineRule="exact" w:before="42"/>
              <w:ind w:right="28"/>
              <w:jc w:val="right"/>
              <w:rPr>
                <w:sz w:val="20"/>
              </w:rPr>
            </w:pPr>
            <w:r>
              <w:rPr>
                <w:spacing w:val="-2"/>
                <w:sz w:val="20"/>
              </w:rPr>
              <w:t>0.247245</w:t>
            </w:r>
          </w:p>
        </w:tc>
      </w:tr>
      <w:tr>
        <w:trPr>
          <w:trHeight w:val="229" w:hRule="atLeast"/>
        </w:trPr>
        <w:tc>
          <w:tcPr>
            <w:tcW w:w="1893" w:type="dxa"/>
          </w:tcPr>
          <w:p>
            <w:pPr>
              <w:pStyle w:val="TableParagraph"/>
              <w:spacing w:line="209" w:lineRule="exact"/>
              <w:ind w:left="36"/>
              <w:rPr>
                <w:sz w:val="20"/>
              </w:rPr>
            </w:pPr>
            <w:r>
              <w:rPr>
                <w:sz w:val="20"/>
              </w:rPr>
              <w:t>Adjusted</w:t>
            </w:r>
            <w:r>
              <w:rPr>
                <w:spacing w:val="-10"/>
                <w:sz w:val="20"/>
              </w:rPr>
              <w:t> </w:t>
            </w:r>
            <w:r>
              <w:rPr>
                <w:sz w:val="20"/>
              </w:rPr>
              <w:t>R-</w:t>
            </w:r>
            <w:r>
              <w:rPr>
                <w:spacing w:val="-2"/>
                <w:sz w:val="20"/>
              </w:rPr>
              <w:t>squared</w:t>
            </w:r>
          </w:p>
        </w:tc>
        <w:tc>
          <w:tcPr>
            <w:tcW w:w="1329" w:type="dxa"/>
          </w:tcPr>
          <w:p>
            <w:pPr>
              <w:pStyle w:val="TableParagraph"/>
              <w:spacing w:line="209" w:lineRule="exact"/>
              <w:ind w:right="128"/>
              <w:jc w:val="right"/>
              <w:rPr>
                <w:sz w:val="20"/>
              </w:rPr>
            </w:pPr>
            <w:r>
              <w:rPr>
                <w:spacing w:val="-2"/>
                <w:sz w:val="20"/>
              </w:rPr>
              <w:t>0.023041</w:t>
            </w:r>
          </w:p>
        </w:tc>
        <w:tc>
          <w:tcPr>
            <w:tcW w:w="2337" w:type="dxa"/>
            <w:gridSpan w:val="2"/>
          </w:tcPr>
          <w:p>
            <w:pPr>
              <w:pStyle w:val="TableParagraph"/>
              <w:spacing w:line="209" w:lineRule="exact"/>
              <w:ind w:left="131"/>
              <w:rPr>
                <w:sz w:val="20"/>
              </w:rPr>
            </w:pPr>
            <w:r>
              <w:rPr>
                <w:sz w:val="20"/>
              </w:rPr>
              <w:t>S.D.</w:t>
            </w:r>
            <w:r>
              <w:rPr>
                <w:spacing w:val="-5"/>
                <w:sz w:val="20"/>
              </w:rPr>
              <w:t> </w:t>
            </w:r>
            <w:r>
              <w:rPr>
                <w:sz w:val="20"/>
              </w:rPr>
              <w:t>dependent</w:t>
            </w:r>
            <w:r>
              <w:rPr>
                <w:spacing w:val="-6"/>
                <w:sz w:val="20"/>
              </w:rPr>
              <w:t> </w:t>
            </w:r>
            <w:r>
              <w:rPr>
                <w:spacing w:val="-5"/>
                <w:sz w:val="20"/>
              </w:rPr>
              <w:t>var</w:t>
            </w:r>
          </w:p>
        </w:tc>
        <w:tc>
          <w:tcPr>
            <w:tcW w:w="929" w:type="dxa"/>
          </w:tcPr>
          <w:p>
            <w:pPr>
              <w:pStyle w:val="TableParagraph"/>
              <w:spacing w:line="209" w:lineRule="exact"/>
              <w:ind w:right="28"/>
              <w:jc w:val="right"/>
              <w:rPr>
                <w:sz w:val="20"/>
              </w:rPr>
            </w:pPr>
            <w:r>
              <w:rPr>
                <w:spacing w:val="-2"/>
                <w:sz w:val="20"/>
              </w:rPr>
              <w:t>0.150179</w:t>
            </w:r>
          </w:p>
        </w:tc>
      </w:tr>
      <w:tr>
        <w:trPr>
          <w:trHeight w:val="230" w:hRule="atLeast"/>
        </w:trPr>
        <w:tc>
          <w:tcPr>
            <w:tcW w:w="1893" w:type="dxa"/>
          </w:tcPr>
          <w:p>
            <w:pPr>
              <w:pStyle w:val="TableParagraph"/>
              <w:spacing w:line="210" w:lineRule="exact"/>
              <w:ind w:left="36"/>
              <w:rPr>
                <w:sz w:val="20"/>
              </w:rPr>
            </w:pPr>
            <w:r>
              <w:rPr>
                <w:sz w:val="20"/>
              </w:rPr>
              <w:t>S.E.</w:t>
            </w:r>
            <w:r>
              <w:rPr>
                <w:spacing w:val="-3"/>
                <w:sz w:val="20"/>
              </w:rPr>
              <w:t> </w:t>
            </w:r>
            <w:r>
              <w:rPr>
                <w:sz w:val="20"/>
              </w:rPr>
              <w:t>of</w:t>
            </w:r>
            <w:r>
              <w:rPr>
                <w:spacing w:val="-3"/>
                <w:sz w:val="20"/>
              </w:rPr>
              <w:t> </w:t>
            </w:r>
            <w:r>
              <w:rPr>
                <w:spacing w:val="-2"/>
                <w:sz w:val="20"/>
              </w:rPr>
              <w:t>regression</w:t>
            </w:r>
          </w:p>
        </w:tc>
        <w:tc>
          <w:tcPr>
            <w:tcW w:w="1329" w:type="dxa"/>
          </w:tcPr>
          <w:p>
            <w:pPr>
              <w:pStyle w:val="TableParagraph"/>
              <w:spacing w:line="210" w:lineRule="exact"/>
              <w:ind w:right="128"/>
              <w:jc w:val="right"/>
              <w:rPr>
                <w:sz w:val="20"/>
              </w:rPr>
            </w:pPr>
            <w:r>
              <w:rPr>
                <w:spacing w:val="-2"/>
                <w:sz w:val="20"/>
              </w:rPr>
              <w:t>0.148439</w:t>
            </w:r>
          </w:p>
        </w:tc>
        <w:tc>
          <w:tcPr>
            <w:tcW w:w="2337" w:type="dxa"/>
            <w:gridSpan w:val="2"/>
          </w:tcPr>
          <w:p>
            <w:pPr>
              <w:pStyle w:val="TableParagraph"/>
              <w:spacing w:line="210" w:lineRule="exact"/>
              <w:ind w:left="131"/>
              <w:rPr>
                <w:sz w:val="20"/>
              </w:rPr>
            </w:pPr>
            <w:r>
              <w:rPr>
                <w:sz w:val="20"/>
              </w:rPr>
              <w:t>Akaike</w:t>
            </w:r>
            <w:r>
              <w:rPr>
                <w:spacing w:val="-8"/>
                <w:sz w:val="20"/>
              </w:rPr>
              <w:t> </w:t>
            </w:r>
            <w:r>
              <w:rPr>
                <w:sz w:val="20"/>
              </w:rPr>
              <w:t>info</w:t>
            </w:r>
            <w:r>
              <w:rPr>
                <w:spacing w:val="-7"/>
                <w:sz w:val="20"/>
              </w:rPr>
              <w:t> </w:t>
            </w:r>
            <w:r>
              <w:rPr>
                <w:spacing w:val="-2"/>
                <w:sz w:val="20"/>
              </w:rPr>
              <w:t>criterion</w:t>
            </w:r>
          </w:p>
        </w:tc>
        <w:tc>
          <w:tcPr>
            <w:tcW w:w="929" w:type="dxa"/>
          </w:tcPr>
          <w:p>
            <w:pPr>
              <w:pStyle w:val="TableParagraph"/>
              <w:spacing w:line="210" w:lineRule="exact"/>
              <w:ind w:right="28"/>
              <w:jc w:val="right"/>
              <w:rPr>
                <w:sz w:val="20"/>
              </w:rPr>
            </w:pPr>
            <w:r>
              <w:rPr>
                <w:spacing w:val="-4"/>
                <w:sz w:val="20"/>
              </w:rPr>
              <w:t>-</w:t>
            </w:r>
            <w:r>
              <w:rPr>
                <w:spacing w:val="-2"/>
                <w:sz w:val="20"/>
              </w:rPr>
              <w:t>0.905253</w:t>
            </w:r>
          </w:p>
        </w:tc>
      </w:tr>
      <w:tr>
        <w:trPr>
          <w:trHeight w:val="230" w:hRule="atLeast"/>
        </w:trPr>
        <w:tc>
          <w:tcPr>
            <w:tcW w:w="1893" w:type="dxa"/>
          </w:tcPr>
          <w:p>
            <w:pPr>
              <w:pStyle w:val="TableParagraph"/>
              <w:spacing w:line="210" w:lineRule="exact"/>
              <w:ind w:left="36"/>
              <w:rPr>
                <w:sz w:val="20"/>
              </w:rPr>
            </w:pPr>
            <w:r>
              <w:rPr>
                <w:sz w:val="20"/>
              </w:rPr>
              <w:t>Sum</w:t>
            </w:r>
            <w:r>
              <w:rPr>
                <w:spacing w:val="-8"/>
                <w:sz w:val="20"/>
              </w:rPr>
              <w:t> </w:t>
            </w:r>
            <w:r>
              <w:rPr>
                <w:sz w:val="20"/>
              </w:rPr>
              <w:t>squared</w:t>
            </w:r>
            <w:r>
              <w:rPr>
                <w:spacing w:val="-4"/>
                <w:sz w:val="20"/>
              </w:rPr>
              <w:t> </w:t>
            </w:r>
            <w:r>
              <w:rPr>
                <w:spacing w:val="-2"/>
                <w:sz w:val="20"/>
              </w:rPr>
              <w:t>resid</w:t>
            </w:r>
          </w:p>
        </w:tc>
        <w:tc>
          <w:tcPr>
            <w:tcW w:w="1329" w:type="dxa"/>
          </w:tcPr>
          <w:p>
            <w:pPr>
              <w:pStyle w:val="TableParagraph"/>
              <w:spacing w:line="210" w:lineRule="exact"/>
              <w:ind w:right="128"/>
              <w:jc w:val="right"/>
              <w:rPr>
                <w:sz w:val="20"/>
              </w:rPr>
            </w:pPr>
            <w:r>
              <w:rPr>
                <w:spacing w:val="-2"/>
                <w:sz w:val="20"/>
              </w:rPr>
              <w:t>0.815258</w:t>
            </w:r>
          </w:p>
        </w:tc>
        <w:tc>
          <w:tcPr>
            <w:tcW w:w="2337" w:type="dxa"/>
            <w:gridSpan w:val="2"/>
          </w:tcPr>
          <w:p>
            <w:pPr>
              <w:pStyle w:val="TableParagraph"/>
              <w:spacing w:line="210" w:lineRule="exact"/>
              <w:ind w:left="131"/>
              <w:rPr>
                <w:sz w:val="20"/>
              </w:rPr>
            </w:pPr>
            <w:r>
              <w:rPr>
                <w:sz w:val="20"/>
              </w:rPr>
              <w:t>Schwarz</w:t>
            </w:r>
            <w:r>
              <w:rPr>
                <w:spacing w:val="-8"/>
                <w:sz w:val="20"/>
              </w:rPr>
              <w:t> </w:t>
            </w:r>
            <w:r>
              <w:rPr>
                <w:spacing w:val="-2"/>
                <w:sz w:val="20"/>
              </w:rPr>
              <w:t>criterion</w:t>
            </w:r>
          </w:p>
        </w:tc>
        <w:tc>
          <w:tcPr>
            <w:tcW w:w="929" w:type="dxa"/>
          </w:tcPr>
          <w:p>
            <w:pPr>
              <w:pStyle w:val="TableParagraph"/>
              <w:spacing w:line="210" w:lineRule="exact"/>
              <w:ind w:right="28"/>
              <w:jc w:val="right"/>
              <w:rPr>
                <w:sz w:val="20"/>
              </w:rPr>
            </w:pPr>
            <w:r>
              <w:rPr>
                <w:spacing w:val="-4"/>
                <w:sz w:val="20"/>
              </w:rPr>
              <w:t>-</w:t>
            </w:r>
            <w:r>
              <w:rPr>
                <w:spacing w:val="-2"/>
                <w:sz w:val="20"/>
              </w:rPr>
              <w:t>0.778587</w:t>
            </w:r>
          </w:p>
        </w:tc>
      </w:tr>
      <w:tr>
        <w:trPr>
          <w:trHeight w:val="230" w:hRule="atLeast"/>
        </w:trPr>
        <w:tc>
          <w:tcPr>
            <w:tcW w:w="1893" w:type="dxa"/>
          </w:tcPr>
          <w:p>
            <w:pPr>
              <w:pStyle w:val="TableParagraph"/>
              <w:spacing w:line="210" w:lineRule="exact"/>
              <w:ind w:left="36"/>
              <w:rPr>
                <w:sz w:val="20"/>
              </w:rPr>
            </w:pPr>
            <w:r>
              <w:rPr>
                <w:sz w:val="20"/>
              </w:rPr>
              <w:t>Log</w:t>
            </w:r>
            <w:r>
              <w:rPr>
                <w:spacing w:val="-6"/>
                <w:sz w:val="20"/>
              </w:rPr>
              <w:t> </w:t>
            </w:r>
            <w:r>
              <w:rPr>
                <w:spacing w:val="-2"/>
                <w:sz w:val="20"/>
              </w:rPr>
              <w:t>likelihood</w:t>
            </w:r>
          </w:p>
        </w:tc>
        <w:tc>
          <w:tcPr>
            <w:tcW w:w="1329" w:type="dxa"/>
          </w:tcPr>
          <w:p>
            <w:pPr>
              <w:pStyle w:val="TableParagraph"/>
              <w:spacing w:line="210" w:lineRule="exact"/>
              <w:ind w:right="128"/>
              <w:jc w:val="right"/>
              <w:rPr>
                <w:sz w:val="20"/>
              </w:rPr>
            </w:pPr>
            <w:r>
              <w:rPr>
                <w:spacing w:val="-2"/>
                <w:sz w:val="20"/>
              </w:rPr>
              <w:t>21.10505</w:t>
            </w:r>
          </w:p>
        </w:tc>
        <w:tc>
          <w:tcPr>
            <w:tcW w:w="1458" w:type="dxa"/>
          </w:tcPr>
          <w:p>
            <w:pPr>
              <w:pStyle w:val="TableParagraph"/>
              <w:spacing w:line="210" w:lineRule="exact"/>
              <w:ind w:left="131"/>
              <w:rPr>
                <w:sz w:val="20"/>
              </w:rPr>
            </w:pPr>
            <w:r>
              <w:rPr>
                <w:spacing w:val="-4"/>
                <w:sz w:val="20"/>
              </w:rPr>
              <w:t>F-</w:t>
            </w:r>
            <w:r>
              <w:rPr>
                <w:spacing w:val="-2"/>
                <w:sz w:val="20"/>
              </w:rPr>
              <w:t>statistic</w:t>
            </w:r>
          </w:p>
        </w:tc>
        <w:tc>
          <w:tcPr>
            <w:tcW w:w="879" w:type="dxa"/>
          </w:tcPr>
          <w:p>
            <w:pPr>
              <w:pStyle w:val="TableParagraph"/>
              <w:rPr>
                <w:sz w:val="16"/>
              </w:rPr>
            </w:pPr>
          </w:p>
        </w:tc>
        <w:tc>
          <w:tcPr>
            <w:tcW w:w="929" w:type="dxa"/>
          </w:tcPr>
          <w:p>
            <w:pPr>
              <w:pStyle w:val="TableParagraph"/>
              <w:spacing w:line="210" w:lineRule="exact"/>
              <w:ind w:right="28"/>
              <w:jc w:val="right"/>
              <w:rPr>
                <w:sz w:val="20"/>
              </w:rPr>
            </w:pPr>
            <w:r>
              <w:rPr>
                <w:spacing w:val="-2"/>
                <w:sz w:val="20"/>
              </w:rPr>
              <w:t>1.459894</w:t>
            </w:r>
          </w:p>
        </w:tc>
      </w:tr>
      <w:tr>
        <w:trPr>
          <w:trHeight w:val="265" w:hRule="atLeast"/>
        </w:trPr>
        <w:tc>
          <w:tcPr>
            <w:tcW w:w="1893" w:type="dxa"/>
            <w:tcBorders>
              <w:bottom w:val="double" w:sz="6" w:space="0" w:color="000000"/>
            </w:tcBorders>
          </w:tcPr>
          <w:p>
            <w:pPr>
              <w:pStyle w:val="TableParagraph"/>
              <w:spacing w:line="226" w:lineRule="exact"/>
              <w:ind w:left="36"/>
              <w:rPr>
                <w:sz w:val="20"/>
              </w:rPr>
            </w:pPr>
            <w:r>
              <w:rPr>
                <w:sz w:val="20"/>
              </w:rPr>
              <w:t>Durbin-Watson</w:t>
            </w:r>
            <w:r>
              <w:rPr>
                <w:spacing w:val="-12"/>
                <w:sz w:val="20"/>
              </w:rPr>
              <w:t> </w:t>
            </w:r>
            <w:r>
              <w:rPr>
                <w:spacing w:val="-4"/>
                <w:sz w:val="20"/>
              </w:rPr>
              <w:t>stat</w:t>
            </w:r>
          </w:p>
        </w:tc>
        <w:tc>
          <w:tcPr>
            <w:tcW w:w="1329" w:type="dxa"/>
          </w:tcPr>
          <w:p>
            <w:pPr>
              <w:pStyle w:val="TableParagraph"/>
              <w:spacing w:line="226" w:lineRule="exact"/>
              <w:ind w:right="128"/>
              <w:jc w:val="right"/>
              <w:rPr>
                <w:sz w:val="20"/>
              </w:rPr>
            </w:pPr>
            <w:r>
              <w:rPr>
                <w:spacing w:val="-2"/>
                <w:sz w:val="20"/>
              </w:rPr>
              <w:t>1.783412</w:t>
            </w:r>
          </w:p>
        </w:tc>
        <w:tc>
          <w:tcPr>
            <w:tcW w:w="1458" w:type="dxa"/>
            <w:tcBorders>
              <w:bottom w:val="double" w:sz="6" w:space="0" w:color="000000"/>
            </w:tcBorders>
          </w:tcPr>
          <w:p>
            <w:pPr>
              <w:pStyle w:val="TableParagraph"/>
              <w:spacing w:line="226" w:lineRule="exact"/>
              <w:ind w:left="131"/>
              <w:rPr>
                <w:sz w:val="20"/>
              </w:rPr>
            </w:pPr>
            <w:r>
              <w:rPr>
                <w:spacing w:val="-2"/>
                <w:sz w:val="20"/>
              </w:rPr>
              <w:t>Prob(F-statistic)</w:t>
            </w:r>
          </w:p>
        </w:tc>
        <w:tc>
          <w:tcPr>
            <w:tcW w:w="879" w:type="dxa"/>
            <w:tcBorders>
              <w:bottom w:val="double" w:sz="6" w:space="0" w:color="000000"/>
            </w:tcBorders>
          </w:tcPr>
          <w:p>
            <w:pPr>
              <w:pStyle w:val="TableParagraph"/>
              <w:rPr>
                <w:sz w:val="18"/>
              </w:rPr>
            </w:pPr>
          </w:p>
        </w:tc>
        <w:tc>
          <w:tcPr>
            <w:tcW w:w="929" w:type="dxa"/>
            <w:tcBorders>
              <w:bottom w:val="double" w:sz="6" w:space="0" w:color="000000"/>
            </w:tcBorders>
          </w:tcPr>
          <w:p>
            <w:pPr>
              <w:pStyle w:val="TableParagraph"/>
              <w:spacing w:line="226" w:lineRule="exact"/>
              <w:ind w:right="28"/>
              <w:jc w:val="right"/>
              <w:rPr>
                <w:sz w:val="20"/>
              </w:rPr>
            </w:pPr>
            <w:r>
              <w:rPr>
                <w:spacing w:val="-2"/>
                <w:sz w:val="20"/>
              </w:rPr>
              <w:t>0.245329</w:t>
            </w:r>
          </w:p>
        </w:tc>
      </w:tr>
    </w:tbl>
    <w:p>
      <w:pPr>
        <w:pStyle w:val="BodyText"/>
        <w:rPr>
          <w:sz w:val="20"/>
        </w:rPr>
      </w:pPr>
    </w:p>
    <w:p>
      <w:pPr>
        <w:pStyle w:val="BodyText"/>
        <w:spacing w:before="16"/>
        <w:rPr>
          <w:sz w:val="20"/>
        </w:rPr>
      </w:pPr>
    </w:p>
    <w:p>
      <w:pPr>
        <w:spacing w:before="0"/>
        <w:ind w:left="711" w:right="0" w:firstLine="0"/>
        <w:jc w:val="left"/>
        <w:rPr>
          <w:sz w:val="20"/>
        </w:rPr>
      </w:pPr>
      <w:r>
        <w:rPr>
          <w:sz w:val="20"/>
        </w:rPr>
        <w:t>PRIVCR</w:t>
      </w:r>
      <w:r>
        <w:rPr>
          <w:spacing w:val="-4"/>
          <w:sz w:val="20"/>
        </w:rPr>
        <w:t> </w:t>
      </w:r>
      <w:r>
        <w:rPr>
          <w:sz w:val="20"/>
        </w:rPr>
        <w:t>@</w:t>
      </w:r>
      <w:r>
        <w:rPr>
          <w:spacing w:val="-6"/>
          <w:sz w:val="20"/>
        </w:rPr>
        <w:t> </w:t>
      </w:r>
      <w:r>
        <w:rPr>
          <w:sz w:val="20"/>
        </w:rPr>
        <w:t>1</w:t>
      </w:r>
      <w:r>
        <w:rPr>
          <w:sz w:val="20"/>
          <w:vertAlign w:val="superscript"/>
        </w:rPr>
        <w:t>ST</w:t>
      </w:r>
      <w:r>
        <w:rPr>
          <w:spacing w:val="-4"/>
          <w:sz w:val="20"/>
          <w:vertAlign w:val="baseline"/>
        </w:rPr>
        <w:t> DIFF</w:t>
      </w:r>
    </w:p>
    <w:tbl>
      <w:tblPr>
        <w:tblW w:w="0" w:type="auto"/>
        <w:jc w:val="left"/>
        <w:tblInd w:w="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06"/>
        <w:gridCol w:w="1316"/>
        <w:gridCol w:w="1432"/>
        <w:gridCol w:w="904"/>
        <w:gridCol w:w="929"/>
      </w:tblGrid>
      <w:tr>
        <w:trPr>
          <w:trHeight w:val="225" w:hRule="atLeast"/>
        </w:trPr>
        <w:tc>
          <w:tcPr>
            <w:tcW w:w="1906" w:type="dxa"/>
          </w:tcPr>
          <w:p>
            <w:pPr>
              <w:pStyle w:val="TableParagraph"/>
              <w:spacing w:line="205" w:lineRule="exact"/>
              <w:ind w:left="36"/>
              <w:rPr>
                <w:sz w:val="20"/>
              </w:rPr>
            </w:pPr>
            <w:r>
              <w:rPr>
                <w:sz w:val="20"/>
              </w:rPr>
              <w:t>ADF</w:t>
            </w:r>
            <w:r>
              <w:rPr>
                <w:spacing w:val="-4"/>
                <w:sz w:val="20"/>
              </w:rPr>
              <w:t> </w:t>
            </w:r>
            <w:r>
              <w:rPr>
                <w:sz w:val="20"/>
              </w:rPr>
              <w:t>Test</w:t>
            </w:r>
            <w:r>
              <w:rPr>
                <w:spacing w:val="-4"/>
                <w:sz w:val="20"/>
              </w:rPr>
              <w:t> </w:t>
            </w:r>
            <w:r>
              <w:rPr>
                <w:spacing w:val="-2"/>
                <w:sz w:val="20"/>
              </w:rPr>
              <w:t>Statistic</w:t>
            </w:r>
          </w:p>
        </w:tc>
        <w:tc>
          <w:tcPr>
            <w:tcW w:w="1316" w:type="dxa"/>
          </w:tcPr>
          <w:p>
            <w:pPr>
              <w:pStyle w:val="TableParagraph"/>
              <w:spacing w:line="205" w:lineRule="exact"/>
              <w:ind w:left="160"/>
              <w:rPr>
                <w:sz w:val="20"/>
              </w:rPr>
            </w:pPr>
            <w:r>
              <w:rPr>
                <w:spacing w:val="-4"/>
                <w:sz w:val="20"/>
              </w:rPr>
              <w:t>-</w:t>
            </w:r>
            <w:r>
              <w:rPr>
                <w:spacing w:val="-2"/>
                <w:sz w:val="20"/>
              </w:rPr>
              <w:t>4.499841</w:t>
            </w:r>
          </w:p>
        </w:tc>
        <w:tc>
          <w:tcPr>
            <w:tcW w:w="2336" w:type="dxa"/>
            <w:gridSpan w:val="2"/>
          </w:tcPr>
          <w:p>
            <w:pPr>
              <w:pStyle w:val="TableParagraph"/>
              <w:spacing w:line="205" w:lineRule="exact"/>
              <w:ind w:left="131"/>
              <w:rPr>
                <w:sz w:val="20"/>
              </w:rPr>
            </w:pPr>
            <w:r>
              <w:rPr>
                <w:sz w:val="20"/>
              </w:rPr>
              <w:t>1%</w:t>
            </w:r>
            <w:r>
              <w:rPr>
                <w:spacing w:val="68"/>
                <w:w w:val="150"/>
                <w:sz w:val="20"/>
              </w:rPr>
              <w:t> </w:t>
            </w:r>
            <w:r>
              <w:rPr>
                <w:sz w:val="20"/>
              </w:rPr>
              <w:t>Critical</w:t>
            </w:r>
            <w:r>
              <w:rPr>
                <w:spacing w:val="-2"/>
                <w:sz w:val="20"/>
              </w:rPr>
              <w:t> Value*</w:t>
            </w:r>
          </w:p>
        </w:tc>
        <w:tc>
          <w:tcPr>
            <w:tcW w:w="929" w:type="dxa"/>
          </w:tcPr>
          <w:p>
            <w:pPr>
              <w:pStyle w:val="TableParagraph"/>
              <w:spacing w:line="205" w:lineRule="exact"/>
              <w:ind w:right="27"/>
              <w:jc w:val="right"/>
              <w:rPr>
                <w:sz w:val="20"/>
              </w:rPr>
            </w:pPr>
            <w:r>
              <w:rPr>
                <w:spacing w:val="-4"/>
                <w:sz w:val="20"/>
              </w:rPr>
              <w:t>-</w:t>
            </w:r>
            <w:r>
              <w:rPr>
                <w:spacing w:val="-2"/>
                <w:sz w:val="20"/>
              </w:rPr>
              <w:t>3.6067</w:t>
            </w:r>
          </w:p>
        </w:tc>
      </w:tr>
      <w:tr>
        <w:trPr>
          <w:trHeight w:val="230" w:hRule="atLeast"/>
        </w:trPr>
        <w:tc>
          <w:tcPr>
            <w:tcW w:w="1906" w:type="dxa"/>
          </w:tcPr>
          <w:p>
            <w:pPr>
              <w:pStyle w:val="TableParagraph"/>
              <w:rPr>
                <w:sz w:val="16"/>
              </w:rPr>
            </w:pPr>
          </w:p>
        </w:tc>
        <w:tc>
          <w:tcPr>
            <w:tcW w:w="1316" w:type="dxa"/>
          </w:tcPr>
          <w:p>
            <w:pPr>
              <w:pStyle w:val="TableParagraph"/>
              <w:rPr>
                <w:sz w:val="16"/>
              </w:rPr>
            </w:pPr>
          </w:p>
        </w:tc>
        <w:tc>
          <w:tcPr>
            <w:tcW w:w="2336" w:type="dxa"/>
            <w:gridSpan w:val="2"/>
          </w:tcPr>
          <w:p>
            <w:pPr>
              <w:pStyle w:val="TableParagraph"/>
              <w:spacing w:line="210" w:lineRule="exact"/>
              <w:ind w:left="131"/>
              <w:rPr>
                <w:sz w:val="20"/>
              </w:rPr>
            </w:pPr>
            <w:r>
              <w:rPr>
                <w:sz w:val="20"/>
              </w:rPr>
              <w:t>5%</w:t>
            </w:r>
            <w:r>
              <w:rPr>
                <w:spacing w:val="68"/>
                <w:w w:val="150"/>
                <w:sz w:val="20"/>
              </w:rPr>
              <w:t> </w:t>
            </w:r>
            <w:r>
              <w:rPr>
                <w:sz w:val="20"/>
              </w:rPr>
              <w:t>Critical</w:t>
            </w:r>
            <w:r>
              <w:rPr>
                <w:spacing w:val="-2"/>
                <w:sz w:val="20"/>
              </w:rPr>
              <w:t> </w:t>
            </w:r>
            <w:r>
              <w:rPr>
                <w:spacing w:val="-4"/>
                <w:sz w:val="20"/>
              </w:rPr>
              <w:t>Value</w:t>
            </w:r>
          </w:p>
        </w:tc>
        <w:tc>
          <w:tcPr>
            <w:tcW w:w="929" w:type="dxa"/>
          </w:tcPr>
          <w:p>
            <w:pPr>
              <w:pStyle w:val="TableParagraph"/>
              <w:spacing w:line="210" w:lineRule="exact"/>
              <w:ind w:right="27"/>
              <w:jc w:val="right"/>
              <w:rPr>
                <w:sz w:val="20"/>
              </w:rPr>
            </w:pPr>
            <w:r>
              <w:rPr>
                <w:spacing w:val="-4"/>
                <w:sz w:val="20"/>
              </w:rPr>
              <w:t>-</w:t>
            </w:r>
            <w:r>
              <w:rPr>
                <w:spacing w:val="-2"/>
                <w:sz w:val="20"/>
              </w:rPr>
              <w:t>2.9378</w:t>
            </w:r>
          </w:p>
        </w:tc>
      </w:tr>
      <w:tr>
        <w:trPr>
          <w:trHeight w:val="224" w:hRule="atLeast"/>
        </w:trPr>
        <w:tc>
          <w:tcPr>
            <w:tcW w:w="1906" w:type="dxa"/>
            <w:tcBorders>
              <w:bottom w:val="double" w:sz="6" w:space="0" w:color="000000"/>
            </w:tcBorders>
          </w:tcPr>
          <w:p>
            <w:pPr>
              <w:pStyle w:val="TableParagraph"/>
              <w:rPr>
                <w:sz w:val="16"/>
              </w:rPr>
            </w:pPr>
          </w:p>
        </w:tc>
        <w:tc>
          <w:tcPr>
            <w:tcW w:w="1316" w:type="dxa"/>
            <w:tcBorders>
              <w:bottom w:val="double" w:sz="6" w:space="0" w:color="000000"/>
            </w:tcBorders>
          </w:tcPr>
          <w:p>
            <w:pPr>
              <w:pStyle w:val="TableParagraph"/>
              <w:rPr>
                <w:sz w:val="16"/>
              </w:rPr>
            </w:pPr>
          </w:p>
        </w:tc>
        <w:tc>
          <w:tcPr>
            <w:tcW w:w="2336" w:type="dxa"/>
            <w:gridSpan w:val="2"/>
            <w:tcBorders>
              <w:bottom w:val="double" w:sz="6" w:space="0" w:color="000000"/>
            </w:tcBorders>
          </w:tcPr>
          <w:p>
            <w:pPr>
              <w:pStyle w:val="TableParagraph"/>
              <w:spacing w:line="205" w:lineRule="exact"/>
              <w:ind w:left="131"/>
              <w:rPr>
                <w:sz w:val="20"/>
              </w:rPr>
            </w:pPr>
            <w:r>
              <w:rPr>
                <w:sz w:val="20"/>
              </w:rPr>
              <w:t>10%</w:t>
            </w:r>
            <w:r>
              <w:rPr>
                <w:spacing w:val="-6"/>
                <w:sz w:val="20"/>
              </w:rPr>
              <w:t> </w:t>
            </w:r>
            <w:r>
              <w:rPr>
                <w:sz w:val="20"/>
              </w:rPr>
              <w:t>Critical</w:t>
            </w:r>
            <w:r>
              <w:rPr>
                <w:spacing w:val="-4"/>
                <w:sz w:val="20"/>
              </w:rPr>
              <w:t> </w:t>
            </w:r>
            <w:r>
              <w:rPr>
                <w:spacing w:val="-2"/>
                <w:sz w:val="20"/>
              </w:rPr>
              <w:t>Value</w:t>
            </w:r>
          </w:p>
        </w:tc>
        <w:tc>
          <w:tcPr>
            <w:tcW w:w="929" w:type="dxa"/>
            <w:tcBorders>
              <w:bottom w:val="double" w:sz="6" w:space="0" w:color="000000"/>
            </w:tcBorders>
          </w:tcPr>
          <w:p>
            <w:pPr>
              <w:pStyle w:val="TableParagraph"/>
              <w:spacing w:line="205" w:lineRule="exact"/>
              <w:ind w:right="27"/>
              <w:jc w:val="right"/>
              <w:rPr>
                <w:sz w:val="20"/>
              </w:rPr>
            </w:pPr>
            <w:r>
              <w:rPr>
                <w:spacing w:val="-4"/>
                <w:sz w:val="20"/>
              </w:rPr>
              <w:t>-</w:t>
            </w:r>
            <w:r>
              <w:rPr>
                <w:spacing w:val="-2"/>
                <w:sz w:val="20"/>
              </w:rPr>
              <w:t>2.6069</w:t>
            </w:r>
          </w:p>
        </w:tc>
      </w:tr>
      <w:tr>
        <w:trPr>
          <w:trHeight w:val="505" w:hRule="atLeast"/>
        </w:trPr>
        <w:tc>
          <w:tcPr>
            <w:tcW w:w="6487" w:type="dxa"/>
            <w:gridSpan w:val="5"/>
            <w:tcBorders>
              <w:top w:val="double" w:sz="6" w:space="0" w:color="000000"/>
            </w:tcBorders>
          </w:tcPr>
          <w:p>
            <w:pPr>
              <w:pStyle w:val="TableParagraph"/>
              <w:spacing w:before="40"/>
              <w:ind w:left="36"/>
              <w:rPr>
                <w:sz w:val="20"/>
              </w:rPr>
            </w:pPr>
            <w:r>
              <w:rPr>
                <w:sz w:val="20"/>
              </w:rPr>
              <w:t>*MacKinnon</w:t>
            </w:r>
            <w:r>
              <w:rPr>
                <w:spacing w:val="-6"/>
                <w:sz w:val="20"/>
              </w:rPr>
              <w:t> </w:t>
            </w:r>
            <w:r>
              <w:rPr>
                <w:sz w:val="20"/>
              </w:rPr>
              <w:t>critical</w:t>
            </w:r>
            <w:r>
              <w:rPr>
                <w:spacing w:val="-4"/>
                <w:sz w:val="20"/>
              </w:rPr>
              <w:t> </w:t>
            </w:r>
            <w:r>
              <w:rPr>
                <w:sz w:val="20"/>
              </w:rPr>
              <w:t>values</w:t>
            </w:r>
            <w:r>
              <w:rPr>
                <w:spacing w:val="-6"/>
                <w:sz w:val="20"/>
              </w:rPr>
              <w:t> </w:t>
            </w:r>
            <w:r>
              <w:rPr>
                <w:sz w:val="20"/>
              </w:rPr>
              <w:t>for</w:t>
            </w:r>
            <w:r>
              <w:rPr>
                <w:spacing w:val="-4"/>
                <w:sz w:val="20"/>
              </w:rPr>
              <w:t> </w:t>
            </w:r>
            <w:r>
              <w:rPr>
                <w:sz w:val="20"/>
              </w:rPr>
              <w:t>rejection</w:t>
            </w:r>
            <w:r>
              <w:rPr>
                <w:spacing w:val="-6"/>
                <w:sz w:val="20"/>
              </w:rPr>
              <w:t> </w:t>
            </w:r>
            <w:r>
              <w:rPr>
                <w:sz w:val="20"/>
              </w:rPr>
              <w:t>of</w:t>
            </w:r>
            <w:r>
              <w:rPr>
                <w:spacing w:val="-6"/>
                <w:sz w:val="20"/>
              </w:rPr>
              <w:t> </w:t>
            </w:r>
            <w:r>
              <w:rPr>
                <w:sz w:val="20"/>
              </w:rPr>
              <w:t>hypothesis</w:t>
            </w:r>
            <w:r>
              <w:rPr>
                <w:spacing w:val="-6"/>
                <w:sz w:val="20"/>
              </w:rPr>
              <w:t> </w:t>
            </w:r>
            <w:r>
              <w:rPr>
                <w:sz w:val="20"/>
              </w:rPr>
              <w:t>of</w:t>
            </w:r>
            <w:r>
              <w:rPr>
                <w:spacing w:val="-6"/>
                <w:sz w:val="20"/>
              </w:rPr>
              <w:t> </w:t>
            </w:r>
            <w:r>
              <w:rPr>
                <w:sz w:val="20"/>
              </w:rPr>
              <w:t>a</w:t>
            </w:r>
            <w:r>
              <w:rPr>
                <w:spacing w:val="-4"/>
                <w:sz w:val="20"/>
              </w:rPr>
              <w:t> </w:t>
            </w:r>
            <w:r>
              <w:rPr>
                <w:sz w:val="20"/>
              </w:rPr>
              <w:t>unit</w:t>
            </w:r>
            <w:r>
              <w:rPr>
                <w:spacing w:val="-6"/>
                <w:sz w:val="20"/>
              </w:rPr>
              <w:t> </w:t>
            </w:r>
            <w:r>
              <w:rPr>
                <w:spacing w:val="-2"/>
                <w:sz w:val="20"/>
              </w:rPr>
              <w:t>root.</w:t>
            </w:r>
          </w:p>
        </w:tc>
      </w:tr>
      <w:tr>
        <w:trPr>
          <w:trHeight w:val="460" w:hRule="atLeast"/>
        </w:trPr>
        <w:tc>
          <w:tcPr>
            <w:tcW w:w="6487" w:type="dxa"/>
            <w:gridSpan w:val="5"/>
          </w:tcPr>
          <w:p>
            <w:pPr>
              <w:pStyle w:val="TableParagraph"/>
              <w:spacing w:line="215" w:lineRule="exact" w:before="226"/>
              <w:ind w:left="36"/>
              <w:rPr>
                <w:sz w:val="20"/>
              </w:rPr>
            </w:pPr>
            <w:r>
              <w:rPr>
                <w:sz w:val="20"/>
              </w:rPr>
              <w:t>Augmented</w:t>
            </w:r>
            <w:r>
              <w:rPr>
                <w:spacing w:val="-8"/>
                <w:sz w:val="20"/>
              </w:rPr>
              <w:t> </w:t>
            </w:r>
            <w:r>
              <w:rPr>
                <w:sz w:val="20"/>
              </w:rPr>
              <w:t>Dickey-Fuller</w:t>
            </w:r>
            <w:r>
              <w:rPr>
                <w:spacing w:val="-8"/>
                <w:sz w:val="20"/>
              </w:rPr>
              <w:t> </w:t>
            </w:r>
            <w:r>
              <w:rPr>
                <w:sz w:val="20"/>
              </w:rPr>
              <w:t>Test</w:t>
            </w:r>
            <w:r>
              <w:rPr>
                <w:spacing w:val="-9"/>
                <w:sz w:val="20"/>
              </w:rPr>
              <w:t> </w:t>
            </w:r>
            <w:r>
              <w:rPr>
                <w:spacing w:val="-2"/>
                <w:sz w:val="20"/>
              </w:rPr>
              <w:t>Equation</w:t>
            </w:r>
          </w:p>
        </w:tc>
      </w:tr>
      <w:tr>
        <w:trPr>
          <w:trHeight w:val="229" w:hRule="atLeast"/>
        </w:trPr>
        <w:tc>
          <w:tcPr>
            <w:tcW w:w="6487" w:type="dxa"/>
            <w:gridSpan w:val="5"/>
          </w:tcPr>
          <w:p>
            <w:pPr>
              <w:pStyle w:val="TableParagraph"/>
              <w:spacing w:line="209" w:lineRule="exact"/>
              <w:ind w:left="36"/>
              <w:rPr>
                <w:sz w:val="20"/>
              </w:rPr>
            </w:pPr>
            <w:r>
              <w:rPr>
                <w:sz w:val="20"/>
              </w:rPr>
              <w:t>Dependent</w:t>
            </w:r>
            <w:r>
              <w:rPr>
                <w:spacing w:val="-7"/>
                <w:sz w:val="20"/>
              </w:rPr>
              <w:t> </w:t>
            </w:r>
            <w:r>
              <w:rPr>
                <w:sz w:val="20"/>
              </w:rPr>
              <w:t>Variable:</w:t>
            </w:r>
            <w:r>
              <w:rPr>
                <w:spacing w:val="-7"/>
                <w:sz w:val="20"/>
              </w:rPr>
              <w:t> </w:t>
            </w:r>
            <w:r>
              <w:rPr>
                <w:spacing w:val="-2"/>
                <w:sz w:val="20"/>
              </w:rPr>
              <w:t>D(PRIVCR,2)</w:t>
            </w:r>
          </w:p>
        </w:tc>
      </w:tr>
      <w:tr>
        <w:trPr>
          <w:trHeight w:val="229" w:hRule="atLeast"/>
        </w:trPr>
        <w:tc>
          <w:tcPr>
            <w:tcW w:w="1906" w:type="dxa"/>
          </w:tcPr>
          <w:p>
            <w:pPr>
              <w:pStyle w:val="TableParagraph"/>
              <w:spacing w:line="209" w:lineRule="exact"/>
              <w:ind w:left="36"/>
              <w:rPr>
                <w:sz w:val="20"/>
              </w:rPr>
            </w:pPr>
            <w:r>
              <w:rPr>
                <w:sz w:val="20"/>
              </w:rPr>
              <w:t>Method:</w:t>
            </w:r>
            <w:r>
              <w:rPr>
                <w:spacing w:val="-8"/>
                <w:sz w:val="20"/>
              </w:rPr>
              <w:t> </w:t>
            </w:r>
            <w:r>
              <w:rPr>
                <w:sz w:val="20"/>
              </w:rPr>
              <w:t>Least</w:t>
            </w:r>
            <w:r>
              <w:rPr>
                <w:spacing w:val="-7"/>
                <w:sz w:val="20"/>
              </w:rPr>
              <w:t> </w:t>
            </w:r>
            <w:r>
              <w:rPr>
                <w:spacing w:val="-2"/>
                <w:sz w:val="20"/>
              </w:rPr>
              <w:t>Squares</w:t>
            </w:r>
          </w:p>
        </w:tc>
        <w:tc>
          <w:tcPr>
            <w:tcW w:w="1316" w:type="dxa"/>
          </w:tcPr>
          <w:p>
            <w:pPr>
              <w:pStyle w:val="TableParagraph"/>
              <w:rPr>
                <w:sz w:val="16"/>
              </w:rPr>
            </w:pPr>
          </w:p>
        </w:tc>
        <w:tc>
          <w:tcPr>
            <w:tcW w:w="1432" w:type="dxa"/>
          </w:tcPr>
          <w:p>
            <w:pPr>
              <w:pStyle w:val="TableParagraph"/>
              <w:rPr>
                <w:sz w:val="16"/>
              </w:rPr>
            </w:pPr>
          </w:p>
        </w:tc>
        <w:tc>
          <w:tcPr>
            <w:tcW w:w="904" w:type="dxa"/>
          </w:tcPr>
          <w:p>
            <w:pPr>
              <w:pStyle w:val="TableParagraph"/>
              <w:rPr>
                <w:sz w:val="16"/>
              </w:rPr>
            </w:pPr>
          </w:p>
        </w:tc>
        <w:tc>
          <w:tcPr>
            <w:tcW w:w="929" w:type="dxa"/>
          </w:tcPr>
          <w:p>
            <w:pPr>
              <w:pStyle w:val="TableParagraph"/>
              <w:rPr>
                <w:sz w:val="16"/>
              </w:rPr>
            </w:pPr>
          </w:p>
        </w:tc>
      </w:tr>
      <w:tr>
        <w:trPr>
          <w:trHeight w:val="230" w:hRule="atLeast"/>
        </w:trPr>
        <w:tc>
          <w:tcPr>
            <w:tcW w:w="6487" w:type="dxa"/>
            <w:gridSpan w:val="5"/>
          </w:tcPr>
          <w:p>
            <w:pPr>
              <w:pStyle w:val="TableParagraph"/>
              <w:spacing w:line="210" w:lineRule="exact"/>
              <w:ind w:left="36"/>
              <w:rPr>
                <w:sz w:val="20"/>
              </w:rPr>
            </w:pPr>
            <w:r>
              <w:rPr>
                <w:sz w:val="20"/>
              </w:rPr>
              <w:t>Date:</w:t>
            </w:r>
            <w:r>
              <w:rPr>
                <w:spacing w:val="-5"/>
                <w:sz w:val="20"/>
              </w:rPr>
              <w:t> </w:t>
            </w:r>
            <w:r>
              <w:rPr>
                <w:sz w:val="20"/>
              </w:rPr>
              <w:t>02/18/14</w:t>
            </w:r>
            <w:r>
              <w:rPr>
                <w:spacing w:val="63"/>
                <w:w w:val="150"/>
                <w:sz w:val="20"/>
              </w:rPr>
              <w:t> </w:t>
            </w:r>
            <w:r>
              <w:rPr>
                <w:sz w:val="20"/>
              </w:rPr>
              <w:t>Time:</w:t>
            </w:r>
            <w:r>
              <w:rPr>
                <w:spacing w:val="-3"/>
                <w:sz w:val="20"/>
              </w:rPr>
              <w:t> </w:t>
            </w:r>
            <w:r>
              <w:rPr>
                <w:spacing w:val="-2"/>
                <w:sz w:val="20"/>
              </w:rPr>
              <w:t>09:22</w:t>
            </w:r>
          </w:p>
        </w:tc>
      </w:tr>
      <w:tr>
        <w:trPr>
          <w:trHeight w:val="230" w:hRule="atLeast"/>
        </w:trPr>
        <w:tc>
          <w:tcPr>
            <w:tcW w:w="6487" w:type="dxa"/>
            <w:gridSpan w:val="5"/>
          </w:tcPr>
          <w:p>
            <w:pPr>
              <w:pStyle w:val="TableParagraph"/>
              <w:spacing w:line="210" w:lineRule="exact"/>
              <w:ind w:left="36"/>
              <w:rPr>
                <w:sz w:val="20"/>
              </w:rPr>
            </w:pPr>
            <w:r>
              <w:rPr>
                <w:sz w:val="20"/>
              </w:rPr>
              <w:t>Sample(adjusted):</w:t>
            </w:r>
            <w:r>
              <w:rPr>
                <w:spacing w:val="-9"/>
                <w:sz w:val="20"/>
              </w:rPr>
              <w:t> </w:t>
            </w:r>
            <w:r>
              <w:rPr>
                <w:sz w:val="20"/>
              </w:rPr>
              <w:t>1973</w:t>
            </w:r>
            <w:r>
              <w:rPr>
                <w:spacing w:val="-9"/>
                <w:sz w:val="20"/>
              </w:rPr>
              <w:t> </w:t>
            </w:r>
            <w:r>
              <w:rPr>
                <w:spacing w:val="-4"/>
                <w:sz w:val="20"/>
              </w:rPr>
              <w:t>2011</w:t>
            </w:r>
          </w:p>
        </w:tc>
      </w:tr>
      <w:tr>
        <w:trPr>
          <w:trHeight w:val="224" w:hRule="atLeast"/>
        </w:trPr>
        <w:tc>
          <w:tcPr>
            <w:tcW w:w="6487" w:type="dxa"/>
            <w:gridSpan w:val="5"/>
            <w:tcBorders>
              <w:bottom w:val="double" w:sz="6" w:space="0" w:color="000000"/>
            </w:tcBorders>
          </w:tcPr>
          <w:p>
            <w:pPr>
              <w:pStyle w:val="TableParagraph"/>
              <w:spacing w:line="205" w:lineRule="exact"/>
              <w:ind w:left="36"/>
              <w:rPr>
                <w:sz w:val="20"/>
              </w:rPr>
            </w:pPr>
            <w:r>
              <w:rPr>
                <w:sz w:val="20"/>
              </w:rPr>
              <w:t>Included</w:t>
            </w:r>
            <w:r>
              <w:rPr>
                <w:spacing w:val="-6"/>
                <w:sz w:val="20"/>
              </w:rPr>
              <w:t> </w:t>
            </w:r>
            <w:r>
              <w:rPr>
                <w:sz w:val="20"/>
              </w:rPr>
              <w:t>observations:</w:t>
            </w:r>
            <w:r>
              <w:rPr>
                <w:spacing w:val="-8"/>
                <w:sz w:val="20"/>
              </w:rPr>
              <w:t> </w:t>
            </w:r>
            <w:r>
              <w:rPr>
                <w:sz w:val="20"/>
              </w:rPr>
              <w:t>39</w:t>
            </w:r>
            <w:r>
              <w:rPr>
                <w:spacing w:val="-5"/>
                <w:sz w:val="20"/>
              </w:rPr>
              <w:t> </w:t>
            </w:r>
            <w:r>
              <w:rPr>
                <w:sz w:val="20"/>
              </w:rPr>
              <w:t>after</w:t>
            </w:r>
            <w:r>
              <w:rPr>
                <w:spacing w:val="-7"/>
                <w:sz w:val="20"/>
              </w:rPr>
              <w:t> </w:t>
            </w:r>
            <w:r>
              <w:rPr>
                <w:sz w:val="20"/>
              </w:rPr>
              <w:t>adjusting</w:t>
            </w:r>
            <w:r>
              <w:rPr>
                <w:spacing w:val="-7"/>
                <w:sz w:val="20"/>
              </w:rPr>
              <w:t> </w:t>
            </w:r>
            <w:r>
              <w:rPr>
                <w:spacing w:val="-2"/>
                <w:sz w:val="20"/>
              </w:rPr>
              <w:t>endpoints</w:t>
            </w:r>
          </w:p>
        </w:tc>
      </w:tr>
      <w:tr>
        <w:trPr>
          <w:trHeight w:val="269" w:hRule="atLeast"/>
        </w:trPr>
        <w:tc>
          <w:tcPr>
            <w:tcW w:w="1906" w:type="dxa"/>
            <w:tcBorders>
              <w:top w:val="double" w:sz="6" w:space="0" w:color="000000"/>
              <w:bottom w:val="double" w:sz="6" w:space="0" w:color="000000"/>
            </w:tcBorders>
          </w:tcPr>
          <w:p>
            <w:pPr>
              <w:pStyle w:val="TableParagraph"/>
              <w:spacing w:line="209" w:lineRule="exact" w:before="40"/>
              <w:ind w:left="677"/>
              <w:rPr>
                <w:sz w:val="20"/>
              </w:rPr>
            </w:pPr>
            <w:r>
              <w:rPr>
                <w:spacing w:val="-2"/>
                <w:sz w:val="20"/>
              </w:rPr>
              <w:t>Variable</w:t>
            </w:r>
          </w:p>
        </w:tc>
        <w:tc>
          <w:tcPr>
            <w:tcW w:w="1316" w:type="dxa"/>
            <w:tcBorders>
              <w:top w:val="double" w:sz="6" w:space="0" w:color="000000"/>
              <w:bottom w:val="double" w:sz="6" w:space="0" w:color="000000"/>
            </w:tcBorders>
          </w:tcPr>
          <w:p>
            <w:pPr>
              <w:pStyle w:val="TableParagraph"/>
              <w:spacing w:line="209" w:lineRule="exact" w:before="40"/>
              <w:ind w:right="131"/>
              <w:jc w:val="right"/>
              <w:rPr>
                <w:sz w:val="20"/>
              </w:rPr>
            </w:pPr>
            <w:r>
              <w:rPr>
                <w:spacing w:val="-2"/>
                <w:sz w:val="20"/>
              </w:rPr>
              <w:t>Coefficient</w:t>
            </w:r>
          </w:p>
        </w:tc>
        <w:tc>
          <w:tcPr>
            <w:tcW w:w="1432" w:type="dxa"/>
            <w:tcBorders>
              <w:top w:val="double" w:sz="6" w:space="0" w:color="000000"/>
              <w:bottom w:val="double" w:sz="6" w:space="0" w:color="000000"/>
            </w:tcBorders>
          </w:tcPr>
          <w:p>
            <w:pPr>
              <w:pStyle w:val="TableParagraph"/>
              <w:spacing w:line="209" w:lineRule="exact" w:before="40"/>
              <w:ind w:left="273"/>
              <w:rPr>
                <w:sz w:val="20"/>
              </w:rPr>
            </w:pPr>
            <w:r>
              <w:rPr>
                <w:sz w:val="20"/>
              </w:rPr>
              <w:t>Std.</w:t>
            </w:r>
            <w:r>
              <w:rPr>
                <w:spacing w:val="-4"/>
                <w:sz w:val="20"/>
              </w:rPr>
              <w:t> </w:t>
            </w:r>
            <w:r>
              <w:rPr>
                <w:spacing w:val="-2"/>
                <w:sz w:val="20"/>
              </w:rPr>
              <w:t>Error</w:t>
            </w:r>
          </w:p>
        </w:tc>
        <w:tc>
          <w:tcPr>
            <w:tcW w:w="904" w:type="dxa"/>
            <w:tcBorders>
              <w:top w:val="double" w:sz="6" w:space="0" w:color="000000"/>
              <w:bottom w:val="double" w:sz="6" w:space="0" w:color="000000"/>
            </w:tcBorders>
          </w:tcPr>
          <w:p>
            <w:pPr>
              <w:pStyle w:val="TableParagraph"/>
              <w:spacing w:line="209" w:lineRule="exact" w:before="40"/>
              <w:ind w:right="22"/>
              <w:jc w:val="center"/>
              <w:rPr>
                <w:sz w:val="20"/>
              </w:rPr>
            </w:pPr>
            <w:r>
              <w:rPr>
                <w:spacing w:val="-4"/>
                <w:sz w:val="20"/>
              </w:rPr>
              <w:t>t-</w:t>
            </w:r>
            <w:r>
              <w:rPr>
                <w:spacing w:val="-2"/>
                <w:sz w:val="20"/>
              </w:rPr>
              <w:t>Statistic</w:t>
            </w:r>
          </w:p>
        </w:tc>
        <w:tc>
          <w:tcPr>
            <w:tcW w:w="929" w:type="dxa"/>
            <w:tcBorders>
              <w:top w:val="double" w:sz="6" w:space="0" w:color="000000"/>
              <w:bottom w:val="double" w:sz="6" w:space="0" w:color="000000"/>
            </w:tcBorders>
          </w:tcPr>
          <w:p>
            <w:pPr>
              <w:pStyle w:val="TableParagraph"/>
              <w:spacing w:line="209" w:lineRule="exact" w:before="40"/>
              <w:ind w:right="28"/>
              <w:jc w:val="right"/>
              <w:rPr>
                <w:sz w:val="20"/>
              </w:rPr>
            </w:pPr>
            <w:r>
              <w:rPr>
                <w:spacing w:val="-2"/>
                <w:sz w:val="20"/>
              </w:rPr>
              <w:t>Prob.</w:t>
            </w:r>
          </w:p>
        </w:tc>
      </w:tr>
      <w:tr>
        <w:trPr>
          <w:trHeight w:val="275" w:hRule="atLeast"/>
        </w:trPr>
        <w:tc>
          <w:tcPr>
            <w:tcW w:w="1906" w:type="dxa"/>
            <w:tcBorders>
              <w:top w:val="double" w:sz="6" w:space="0" w:color="000000"/>
            </w:tcBorders>
          </w:tcPr>
          <w:p>
            <w:pPr>
              <w:pStyle w:val="TableParagraph"/>
              <w:spacing w:line="215" w:lineRule="exact" w:before="40"/>
              <w:ind w:left="372"/>
              <w:rPr>
                <w:sz w:val="20"/>
              </w:rPr>
            </w:pPr>
            <w:r>
              <w:rPr>
                <w:spacing w:val="-2"/>
                <w:sz w:val="20"/>
              </w:rPr>
              <w:t>D(PRIVCR(-</w:t>
            </w:r>
            <w:r>
              <w:rPr>
                <w:spacing w:val="-5"/>
                <w:sz w:val="20"/>
              </w:rPr>
              <w:t>1))</w:t>
            </w:r>
          </w:p>
        </w:tc>
        <w:tc>
          <w:tcPr>
            <w:tcW w:w="1316" w:type="dxa"/>
            <w:tcBorders>
              <w:top w:val="double" w:sz="6" w:space="0" w:color="000000"/>
            </w:tcBorders>
          </w:tcPr>
          <w:p>
            <w:pPr>
              <w:pStyle w:val="TableParagraph"/>
              <w:spacing w:line="215" w:lineRule="exact" w:before="40"/>
              <w:ind w:right="128"/>
              <w:jc w:val="right"/>
              <w:rPr>
                <w:sz w:val="20"/>
              </w:rPr>
            </w:pPr>
            <w:r>
              <w:rPr>
                <w:spacing w:val="-4"/>
                <w:sz w:val="20"/>
              </w:rPr>
              <w:t>-</w:t>
            </w:r>
            <w:r>
              <w:rPr>
                <w:spacing w:val="-2"/>
                <w:sz w:val="20"/>
              </w:rPr>
              <w:t>0.900015</w:t>
            </w:r>
          </w:p>
        </w:tc>
        <w:tc>
          <w:tcPr>
            <w:tcW w:w="1432" w:type="dxa"/>
            <w:tcBorders>
              <w:top w:val="double" w:sz="6" w:space="0" w:color="000000"/>
            </w:tcBorders>
          </w:tcPr>
          <w:p>
            <w:pPr>
              <w:pStyle w:val="TableParagraph"/>
              <w:spacing w:line="215" w:lineRule="exact" w:before="40"/>
              <w:ind w:left="311"/>
              <w:rPr>
                <w:sz w:val="20"/>
              </w:rPr>
            </w:pPr>
            <w:r>
              <w:rPr>
                <w:spacing w:val="-2"/>
                <w:sz w:val="20"/>
              </w:rPr>
              <w:t>0.200010</w:t>
            </w:r>
          </w:p>
        </w:tc>
        <w:tc>
          <w:tcPr>
            <w:tcW w:w="904" w:type="dxa"/>
            <w:tcBorders>
              <w:top w:val="double" w:sz="6" w:space="0" w:color="000000"/>
            </w:tcBorders>
          </w:tcPr>
          <w:p>
            <w:pPr>
              <w:pStyle w:val="TableParagraph"/>
              <w:spacing w:line="215" w:lineRule="exact" w:before="40"/>
              <w:ind w:right="70"/>
              <w:jc w:val="center"/>
              <w:rPr>
                <w:sz w:val="20"/>
              </w:rPr>
            </w:pPr>
            <w:r>
              <w:rPr>
                <w:spacing w:val="-4"/>
                <w:sz w:val="20"/>
              </w:rPr>
              <w:t>-</w:t>
            </w:r>
            <w:r>
              <w:rPr>
                <w:spacing w:val="-2"/>
                <w:sz w:val="20"/>
              </w:rPr>
              <w:t>4.499841</w:t>
            </w:r>
          </w:p>
        </w:tc>
        <w:tc>
          <w:tcPr>
            <w:tcW w:w="929" w:type="dxa"/>
            <w:tcBorders>
              <w:top w:val="double" w:sz="6" w:space="0" w:color="000000"/>
            </w:tcBorders>
          </w:tcPr>
          <w:p>
            <w:pPr>
              <w:pStyle w:val="TableParagraph"/>
              <w:spacing w:line="215" w:lineRule="exact" w:before="40"/>
              <w:ind w:right="27"/>
              <w:jc w:val="right"/>
              <w:rPr>
                <w:sz w:val="20"/>
              </w:rPr>
            </w:pPr>
            <w:r>
              <w:rPr>
                <w:spacing w:val="-2"/>
                <w:sz w:val="20"/>
              </w:rPr>
              <w:t>0.0001</w:t>
            </w:r>
          </w:p>
        </w:tc>
      </w:tr>
      <w:tr>
        <w:trPr>
          <w:trHeight w:val="230" w:hRule="atLeast"/>
        </w:trPr>
        <w:tc>
          <w:tcPr>
            <w:tcW w:w="1906" w:type="dxa"/>
          </w:tcPr>
          <w:p>
            <w:pPr>
              <w:pStyle w:val="TableParagraph"/>
              <w:spacing w:line="210" w:lineRule="exact"/>
              <w:ind w:left="298"/>
              <w:rPr>
                <w:sz w:val="20"/>
              </w:rPr>
            </w:pPr>
            <w:r>
              <w:rPr>
                <w:spacing w:val="-2"/>
                <w:sz w:val="20"/>
              </w:rPr>
              <w:t>D(PRIVCR(-1),2)</w:t>
            </w:r>
          </w:p>
        </w:tc>
        <w:tc>
          <w:tcPr>
            <w:tcW w:w="1316" w:type="dxa"/>
          </w:tcPr>
          <w:p>
            <w:pPr>
              <w:pStyle w:val="TableParagraph"/>
              <w:spacing w:line="210" w:lineRule="exact"/>
              <w:ind w:right="128"/>
              <w:jc w:val="right"/>
              <w:rPr>
                <w:sz w:val="20"/>
              </w:rPr>
            </w:pPr>
            <w:r>
              <w:rPr>
                <w:spacing w:val="-2"/>
                <w:sz w:val="20"/>
              </w:rPr>
              <w:t>0.254510</w:t>
            </w:r>
          </w:p>
        </w:tc>
        <w:tc>
          <w:tcPr>
            <w:tcW w:w="1432" w:type="dxa"/>
          </w:tcPr>
          <w:p>
            <w:pPr>
              <w:pStyle w:val="TableParagraph"/>
              <w:spacing w:line="210" w:lineRule="exact"/>
              <w:ind w:left="311"/>
              <w:rPr>
                <w:sz w:val="20"/>
              </w:rPr>
            </w:pPr>
            <w:r>
              <w:rPr>
                <w:spacing w:val="-2"/>
                <w:sz w:val="20"/>
              </w:rPr>
              <w:t>0.162636</w:t>
            </w:r>
          </w:p>
        </w:tc>
        <w:tc>
          <w:tcPr>
            <w:tcW w:w="904" w:type="dxa"/>
          </w:tcPr>
          <w:p>
            <w:pPr>
              <w:pStyle w:val="TableParagraph"/>
              <w:spacing w:line="210" w:lineRule="exact"/>
              <w:ind w:right="5"/>
              <w:jc w:val="center"/>
              <w:rPr>
                <w:sz w:val="20"/>
              </w:rPr>
            </w:pPr>
            <w:r>
              <w:rPr>
                <w:spacing w:val="-2"/>
                <w:sz w:val="20"/>
              </w:rPr>
              <w:t>1.564904</w:t>
            </w:r>
          </w:p>
        </w:tc>
        <w:tc>
          <w:tcPr>
            <w:tcW w:w="929" w:type="dxa"/>
          </w:tcPr>
          <w:p>
            <w:pPr>
              <w:pStyle w:val="TableParagraph"/>
              <w:spacing w:line="210" w:lineRule="exact"/>
              <w:ind w:right="27"/>
              <w:jc w:val="right"/>
              <w:rPr>
                <w:sz w:val="20"/>
              </w:rPr>
            </w:pPr>
            <w:r>
              <w:rPr>
                <w:spacing w:val="-2"/>
                <w:sz w:val="20"/>
              </w:rPr>
              <w:t>0.1264</w:t>
            </w:r>
          </w:p>
        </w:tc>
      </w:tr>
      <w:tr>
        <w:trPr>
          <w:trHeight w:val="224" w:hRule="atLeast"/>
        </w:trPr>
        <w:tc>
          <w:tcPr>
            <w:tcW w:w="1906" w:type="dxa"/>
            <w:tcBorders>
              <w:bottom w:val="double" w:sz="6" w:space="0" w:color="000000"/>
            </w:tcBorders>
          </w:tcPr>
          <w:p>
            <w:pPr>
              <w:pStyle w:val="TableParagraph"/>
              <w:spacing w:line="205" w:lineRule="exact"/>
              <w:ind w:left="138"/>
              <w:jc w:val="center"/>
              <w:rPr>
                <w:sz w:val="20"/>
              </w:rPr>
            </w:pPr>
            <w:r>
              <w:rPr>
                <w:spacing w:val="-10"/>
                <w:sz w:val="20"/>
              </w:rPr>
              <w:t>C</w:t>
            </w:r>
          </w:p>
        </w:tc>
        <w:tc>
          <w:tcPr>
            <w:tcW w:w="1316" w:type="dxa"/>
            <w:tcBorders>
              <w:bottom w:val="double" w:sz="6" w:space="0" w:color="000000"/>
            </w:tcBorders>
          </w:tcPr>
          <w:p>
            <w:pPr>
              <w:pStyle w:val="TableParagraph"/>
              <w:spacing w:line="205" w:lineRule="exact"/>
              <w:ind w:right="128"/>
              <w:jc w:val="right"/>
              <w:rPr>
                <w:sz w:val="20"/>
              </w:rPr>
            </w:pPr>
            <w:r>
              <w:rPr>
                <w:spacing w:val="-2"/>
                <w:sz w:val="20"/>
              </w:rPr>
              <w:t>0.225511</w:t>
            </w:r>
          </w:p>
        </w:tc>
        <w:tc>
          <w:tcPr>
            <w:tcW w:w="1432" w:type="dxa"/>
            <w:tcBorders>
              <w:bottom w:val="double" w:sz="6" w:space="0" w:color="000000"/>
            </w:tcBorders>
          </w:tcPr>
          <w:p>
            <w:pPr>
              <w:pStyle w:val="TableParagraph"/>
              <w:spacing w:line="205" w:lineRule="exact"/>
              <w:ind w:left="311"/>
              <w:rPr>
                <w:sz w:val="20"/>
              </w:rPr>
            </w:pPr>
            <w:r>
              <w:rPr>
                <w:spacing w:val="-2"/>
                <w:sz w:val="20"/>
              </w:rPr>
              <w:t>0.056241</w:t>
            </w:r>
          </w:p>
        </w:tc>
        <w:tc>
          <w:tcPr>
            <w:tcW w:w="904" w:type="dxa"/>
            <w:tcBorders>
              <w:bottom w:val="double" w:sz="6" w:space="0" w:color="000000"/>
            </w:tcBorders>
          </w:tcPr>
          <w:p>
            <w:pPr>
              <w:pStyle w:val="TableParagraph"/>
              <w:spacing w:line="205" w:lineRule="exact"/>
              <w:ind w:right="5"/>
              <w:jc w:val="center"/>
              <w:rPr>
                <w:sz w:val="20"/>
              </w:rPr>
            </w:pPr>
            <w:r>
              <w:rPr>
                <w:spacing w:val="-2"/>
                <w:sz w:val="20"/>
              </w:rPr>
              <w:t>4.009717</w:t>
            </w:r>
          </w:p>
        </w:tc>
        <w:tc>
          <w:tcPr>
            <w:tcW w:w="929" w:type="dxa"/>
            <w:tcBorders>
              <w:bottom w:val="double" w:sz="6" w:space="0" w:color="000000"/>
            </w:tcBorders>
          </w:tcPr>
          <w:p>
            <w:pPr>
              <w:pStyle w:val="TableParagraph"/>
              <w:spacing w:line="205" w:lineRule="exact"/>
              <w:ind w:right="27"/>
              <w:jc w:val="right"/>
              <w:rPr>
                <w:sz w:val="20"/>
              </w:rPr>
            </w:pPr>
            <w:r>
              <w:rPr>
                <w:spacing w:val="-2"/>
                <w:sz w:val="20"/>
              </w:rPr>
              <w:t>0.0003</w:t>
            </w:r>
          </w:p>
        </w:tc>
      </w:tr>
      <w:tr>
        <w:trPr>
          <w:trHeight w:val="275" w:hRule="atLeast"/>
        </w:trPr>
        <w:tc>
          <w:tcPr>
            <w:tcW w:w="1906" w:type="dxa"/>
            <w:tcBorders>
              <w:top w:val="double" w:sz="6" w:space="0" w:color="000000"/>
            </w:tcBorders>
          </w:tcPr>
          <w:p>
            <w:pPr>
              <w:pStyle w:val="TableParagraph"/>
              <w:spacing w:line="215" w:lineRule="exact" w:before="40"/>
              <w:ind w:left="36"/>
              <w:rPr>
                <w:sz w:val="20"/>
              </w:rPr>
            </w:pPr>
            <w:r>
              <w:rPr>
                <w:spacing w:val="-2"/>
                <w:sz w:val="20"/>
              </w:rPr>
              <w:t>R-squared</w:t>
            </w:r>
          </w:p>
        </w:tc>
        <w:tc>
          <w:tcPr>
            <w:tcW w:w="1316" w:type="dxa"/>
            <w:tcBorders>
              <w:top w:val="double" w:sz="6" w:space="0" w:color="000000"/>
            </w:tcBorders>
          </w:tcPr>
          <w:p>
            <w:pPr>
              <w:pStyle w:val="TableParagraph"/>
              <w:spacing w:line="215" w:lineRule="exact" w:before="40"/>
              <w:ind w:right="128"/>
              <w:jc w:val="right"/>
              <w:rPr>
                <w:sz w:val="20"/>
              </w:rPr>
            </w:pPr>
            <w:r>
              <w:rPr>
                <w:spacing w:val="-2"/>
                <w:sz w:val="20"/>
              </w:rPr>
              <w:t>0.385114</w:t>
            </w:r>
          </w:p>
        </w:tc>
        <w:tc>
          <w:tcPr>
            <w:tcW w:w="2336" w:type="dxa"/>
            <w:gridSpan w:val="2"/>
            <w:tcBorders>
              <w:top w:val="double" w:sz="6" w:space="0" w:color="000000"/>
            </w:tcBorders>
          </w:tcPr>
          <w:p>
            <w:pPr>
              <w:pStyle w:val="TableParagraph"/>
              <w:spacing w:line="215" w:lineRule="exact" w:before="40"/>
              <w:ind w:left="131"/>
              <w:rPr>
                <w:sz w:val="20"/>
              </w:rPr>
            </w:pPr>
            <w:r>
              <w:rPr>
                <w:sz w:val="20"/>
              </w:rPr>
              <w:t>Mean</w:t>
            </w:r>
            <w:r>
              <w:rPr>
                <w:spacing w:val="-7"/>
                <w:sz w:val="20"/>
              </w:rPr>
              <w:t> </w:t>
            </w:r>
            <w:r>
              <w:rPr>
                <w:sz w:val="20"/>
              </w:rPr>
              <w:t>dependent</w:t>
            </w:r>
            <w:r>
              <w:rPr>
                <w:spacing w:val="-7"/>
                <w:sz w:val="20"/>
              </w:rPr>
              <w:t> </w:t>
            </w:r>
            <w:r>
              <w:rPr>
                <w:spacing w:val="-5"/>
                <w:sz w:val="20"/>
              </w:rPr>
              <w:t>var</w:t>
            </w:r>
          </w:p>
        </w:tc>
        <w:tc>
          <w:tcPr>
            <w:tcW w:w="929" w:type="dxa"/>
            <w:tcBorders>
              <w:top w:val="double" w:sz="6" w:space="0" w:color="000000"/>
            </w:tcBorders>
          </w:tcPr>
          <w:p>
            <w:pPr>
              <w:pStyle w:val="TableParagraph"/>
              <w:spacing w:line="215" w:lineRule="exact" w:before="40"/>
              <w:ind w:right="27"/>
              <w:jc w:val="right"/>
              <w:rPr>
                <w:sz w:val="20"/>
              </w:rPr>
            </w:pPr>
            <w:r>
              <w:rPr>
                <w:spacing w:val="-4"/>
                <w:sz w:val="20"/>
              </w:rPr>
              <w:t>-</w:t>
            </w:r>
            <w:r>
              <w:rPr>
                <w:spacing w:val="-2"/>
                <w:sz w:val="20"/>
              </w:rPr>
              <w:t>0.003566</w:t>
            </w:r>
          </w:p>
        </w:tc>
      </w:tr>
      <w:tr>
        <w:trPr>
          <w:trHeight w:val="230" w:hRule="atLeast"/>
        </w:trPr>
        <w:tc>
          <w:tcPr>
            <w:tcW w:w="1906" w:type="dxa"/>
          </w:tcPr>
          <w:p>
            <w:pPr>
              <w:pStyle w:val="TableParagraph"/>
              <w:spacing w:line="211" w:lineRule="exact"/>
              <w:ind w:left="36"/>
              <w:rPr>
                <w:sz w:val="20"/>
              </w:rPr>
            </w:pPr>
            <w:r>
              <w:rPr>
                <w:sz w:val="20"/>
              </w:rPr>
              <w:t>Adjusted</w:t>
            </w:r>
            <w:r>
              <w:rPr>
                <w:spacing w:val="-10"/>
                <w:sz w:val="20"/>
              </w:rPr>
              <w:t> </w:t>
            </w:r>
            <w:r>
              <w:rPr>
                <w:sz w:val="20"/>
              </w:rPr>
              <w:t>R-</w:t>
            </w:r>
            <w:r>
              <w:rPr>
                <w:spacing w:val="-2"/>
                <w:sz w:val="20"/>
              </w:rPr>
              <w:t>squared</w:t>
            </w:r>
          </w:p>
        </w:tc>
        <w:tc>
          <w:tcPr>
            <w:tcW w:w="1316" w:type="dxa"/>
          </w:tcPr>
          <w:p>
            <w:pPr>
              <w:pStyle w:val="TableParagraph"/>
              <w:spacing w:line="211" w:lineRule="exact"/>
              <w:ind w:right="128"/>
              <w:jc w:val="right"/>
              <w:rPr>
                <w:sz w:val="20"/>
              </w:rPr>
            </w:pPr>
            <w:r>
              <w:rPr>
                <w:spacing w:val="-2"/>
                <w:sz w:val="20"/>
              </w:rPr>
              <w:t>0.350954</w:t>
            </w:r>
          </w:p>
        </w:tc>
        <w:tc>
          <w:tcPr>
            <w:tcW w:w="2336" w:type="dxa"/>
            <w:gridSpan w:val="2"/>
          </w:tcPr>
          <w:p>
            <w:pPr>
              <w:pStyle w:val="TableParagraph"/>
              <w:spacing w:line="211" w:lineRule="exact"/>
              <w:ind w:left="131"/>
              <w:rPr>
                <w:sz w:val="20"/>
              </w:rPr>
            </w:pPr>
            <w:r>
              <w:rPr>
                <w:sz w:val="20"/>
              </w:rPr>
              <w:t>S.D.</w:t>
            </w:r>
            <w:r>
              <w:rPr>
                <w:spacing w:val="-5"/>
                <w:sz w:val="20"/>
              </w:rPr>
              <w:t> </w:t>
            </w:r>
            <w:r>
              <w:rPr>
                <w:sz w:val="20"/>
              </w:rPr>
              <w:t>dependent</w:t>
            </w:r>
            <w:r>
              <w:rPr>
                <w:spacing w:val="-6"/>
                <w:sz w:val="20"/>
              </w:rPr>
              <w:t> </w:t>
            </w:r>
            <w:r>
              <w:rPr>
                <w:spacing w:val="-5"/>
                <w:sz w:val="20"/>
              </w:rPr>
              <w:t>var</w:t>
            </w:r>
          </w:p>
        </w:tc>
        <w:tc>
          <w:tcPr>
            <w:tcW w:w="929" w:type="dxa"/>
          </w:tcPr>
          <w:p>
            <w:pPr>
              <w:pStyle w:val="TableParagraph"/>
              <w:spacing w:line="211" w:lineRule="exact"/>
              <w:ind w:right="27"/>
              <w:jc w:val="right"/>
              <w:rPr>
                <w:sz w:val="20"/>
              </w:rPr>
            </w:pPr>
            <w:r>
              <w:rPr>
                <w:spacing w:val="-2"/>
                <w:sz w:val="20"/>
              </w:rPr>
              <w:t>0.179531</w:t>
            </w:r>
          </w:p>
        </w:tc>
      </w:tr>
      <w:tr>
        <w:trPr>
          <w:trHeight w:val="230" w:hRule="atLeast"/>
        </w:trPr>
        <w:tc>
          <w:tcPr>
            <w:tcW w:w="1906" w:type="dxa"/>
          </w:tcPr>
          <w:p>
            <w:pPr>
              <w:pStyle w:val="TableParagraph"/>
              <w:spacing w:line="211" w:lineRule="exact"/>
              <w:ind w:left="36"/>
              <w:rPr>
                <w:sz w:val="20"/>
              </w:rPr>
            </w:pPr>
            <w:r>
              <w:rPr>
                <w:sz w:val="20"/>
              </w:rPr>
              <w:t>S.E.</w:t>
            </w:r>
            <w:r>
              <w:rPr>
                <w:spacing w:val="-3"/>
                <w:sz w:val="20"/>
              </w:rPr>
              <w:t> </w:t>
            </w:r>
            <w:r>
              <w:rPr>
                <w:sz w:val="20"/>
              </w:rPr>
              <w:t>of</w:t>
            </w:r>
            <w:r>
              <w:rPr>
                <w:spacing w:val="-3"/>
                <w:sz w:val="20"/>
              </w:rPr>
              <w:t> </w:t>
            </w:r>
            <w:r>
              <w:rPr>
                <w:spacing w:val="-2"/>
                <w:sz w:val="20"/>
              </w:rPr>
              <w:t>regression</w:t>
            </w:r>
          </w:p>
        </w:tc>
        <w:tc>
          <w:tcPr>
            <w:tcW w:w="1316" w:type="dxa"/>
          </w:tcPr>
          <w:p>
            <w:pPr>
              <w:pStyle w:val="TableParagraph"/>
              <w:spacing w:line="211" w:lineRule="exact"/>
              <w:ind w:right="128"/>
              <w:jc w:val="right"/>
              <w:rPr>
                <w:sz w:val="20"/>
              </w:rPr>
            </w:pPr>
            <w:r>
              <w:rPr>
                <w:spacing w:val="-2"/>
                <w:sz w:val="20"/>
              </w:rPr>
              <w:t>0.144636</w:t>
            </w:r>
          </w:p>
        </w:tc>
        <w:tc>
          <w:tcPr>
            <w:tcW w:w="2336" w:type="dxa"/>
            <w:gridSpan w:val="2"/>
          </w:tcPr>
          <w:p>
            <w:pPr>
              <w:pStyle w:val="TableParagraph"/>
              <w:spacing w:line="211" w:lineRule="exact"/>
              <w:ind w:left="131"/>
              <w:rPr>
                <w:sz w:val="20"/>
              </w:rPr>
            </w:pPr>
            <w:r>
              <w:rPr>
                <w:sz w:val="20"/>
              </w:rPr>
              <w:t>Akaike</w:t>
            </w:r>
            <w:r>
              <w:rPr>
                <w:spacing w:val="-8"/>
                <w:sz w:val="20"/>
              </w:rPr>
              <w:t> </w:t>
            </w:r>
            <w:r>
              <w:rPr>
                <w:sz w:val="20"/>
              </w:rPr>
              <w:t>info</w:t>
            </w:r>
            <w:r>
              <w:rPr>
                <w:spacing w:val="-7"/>
                <w:sz w:val="20"/>
              </w:rPr>
              <w:t> </w:t>
            </w:r>
            <w:r>
              <w:rPr>
                <w:spacing w:val="-2"/>
                <w:sz w:val="20"/>
              </w:rPr>
              <w:t>criterion</w:t>
            </w:r>
          </w:p>
        </w:tc>
        <w:tc>
          <w:tcPr>
            <w:tcW w:w="929" w:type="dxa"/>
          </w:tcPr>
          <w:p>
            <w:pPr>
              <w:pStyle w:val="TableParagraph"/>
              <w:spacing w:line="211" w:lineRule="exact"/>
              <w:ind w:right="27"/>
              <w:jc w:val="right"/>
              <w:rPr>
                <w:sz w:val="20"/>
              </w:rPr>
            </w:pPr>
            <w:r>
              <w:rPr>
                <w:spacing w:val="-4"/>
                <w:sz w:val="20"/>
              </w:rPr>
              <w:t>-</w:t>
            </w:r>
            <w:r>
              <w:rPr>
                <w:spacing w:val="-2"/>
                <w:sz w:val="20"/>
              </w:rPr>
              <w:t>0.955388</w:t>
            </w:r>
          </w:p>
        </w:tc>
      </w:tr>
      <w:tr>
        <w:trPr>
          <w:trHeight w:val="230" w:hRule="atLeast"/>
        </w:trPr>
        <w:tc>
          <w:tcPr>
            <w:tcW w:w="1906" w:type="dxa"/>
          </w:tcPr>
          <w:p>
            <w:pPr>
              <w:pStyle w:val="TableParagraph"/>
              <w:spacing w:line="210" w:lineRule="exact"/>
              <w:ind w:left="36"/>
              <w:rPr>
                <w:sz w:val="20"/>
              </w:rPr>
            </w:pPr>
            <w:r>
              <w:rPr>
                <w:sz w:val="20"/>
              </w:rPr>
              <w:t>Sum</w:t>
            </w:r>
            <w:r>
              <w:rPr>
                <w:spacing w:val="-8"/>
                <w:sz w:val="20"/>
              </w:rPr>
              <w:t> </w:t>
            </w:r>
            <w:r>
              <w:rPr>
                <w:sz w:val="20"/>
              </w:rPr>
              <w:t>squared</w:t>
            </w:r>
            <w:r>
              <w:rPr>
                <w:spacing w:val="-4"/>
                <w:sz w:val="20"/>
              </w:rPr>
              <w:t> </w:t>
            </w:r>
            <w:r>
              <w:rPr>
                <w:spacing w:val="-2"/>
                <w:sz w:val="20"/>
              </w:rPr>
              <w:t>resid</w:t>
            </w:r>
          </w:p>
        </w:tc>
        <w:tc>
          <w:tcPr>
            <w:tcW w:w="1316" w:type="dxa"/>
          </w:tcPr>
          <w:p>
            <w:pPr>
              <w:pStyle w:val="TableParagraph"/>
              <w:spacing w:line="210" w:lineRule="exact"/>
              <w:ind w:right="128"/>
              <w:jc w:val="right"/>
              <w:rPr>
                <w:sz w:val="20"/>
              </w:rPr>
            </w:pPr>
            <w:r>
              <w:rPr>
                <w:spacing w:val="-2"/>
                <w:sz w:val="20"/>
              </w:rPr>
              <w:t>0.753106</w:t>
            </w:r>
          </w:p>
        </w:tc>
        <w:tc>
          <w:tcPr>
            <w:tcW w:w="2336" w:type="dxa"/>
            <w:gridSpan w:val="2"/>
          </w:tcPr>
          <w:p>
            <w:pPr>
              <w:pStyle w:val="TableParagraph"/>
              <w:spacing w:line="210" w:lineRule="exact"/>
              <w:ind w:left="131"/>
              <w:rPr>
                <w:sz w:val="20"/>
              </w:rPr>
            </w:pPr>
            <w:r>
              <w:rPr>
                <w:sz w:val="20"/>
              </w:rPr>
              <w:t>Schwarz</w:t>
            </w:r>
            <w:r>
              <w:rPr>
                <w:spacing w:val="-8"/>
                <w:sz w:val="20"/>
              </w:rPr>
              <w:t> </w:t>
            </w:r>
            <w:r>
              <w:rPr>
                <w:spacing w:val="-2"/>
                <w:sz w:val="20"/>
              </w:rPr>
              <w:t>criterion</w:t>
            </w:r>
          </w:p>
        </w:tc>
        <w:tc>
          <w:tcPr>
            <w:tcW w:w="929" w:type="dxa"/>
          </w:tcPr>
          <w:p>
            <w:pPr>
              <w:pStyle w:val="TableParagraph"/>
              <w:spacing w:line="210" w:lineRule="exact"/>
              <w:ind w:right="27"/>
              <w:jc w:val="right"/>
              <w:rPr>
                <w:sz w:val="20"/>
              </w:rPr>
            </w:pPr>
            <w:r>
              <w:rPr>
                <w:spacing w:val="-4"/>
                <w:sz w:val="20"/>
              </w:rPr>
              <w:t>-</w:t>
            </w:r>
            <w:r>
              <w:rPr>
                <w:spacing w:val="-2"/>
                <w:sz w:val="20"/>
              </w:rPr>
              <w:t>0.827422</w:t>
            </w:r>
          </w:p>
        </w:tc>
      </w:tr>
      <w:tr>
        <w:trPr>
          <w:trHeight w:val="229" w:hRule="atLeast"/>
        </w:trPr>
        <w:tc>
          <w:tcPr>
            <w:tcW w:w="1906" w:type="dxa"/>
          </w:tcPr>
          <w:p>
            <w:pPr>
              <w:pStyle w:val="TableParagraph"/>
              <w:spacing w:line="209" w:lineRule="exact"/>
              <w:ind w:left="36"/>
              <w:rPr>
                <w:sz w:val="20"/>
              </w:rPr>
            </w:pPr>
            <w:r>
              <w:rPr>
                <w:sz w:val="20"/>
              </w:rPr>
              <w:t>Log</w:t>
            </w:r>
            <w:r>
              <w:rPr>
                <w:spacing w:val="-6"/>
                <w:sz w:val="20"/>
              </w:rPr>
              <w:t> </w:t>
            </w:r>
            <w:r>
              <w:rPr>
                <w:spacing w:val="-2"/>
                <w:sz w:val="20"/>
              </w:rPr>
              <w:t>likelihood</w:t>
            </w:r>
          </w:p>
        </w:tc>
        <w:tc>
          <w:tcPr>
            <w:tcW w:w="1316" w:type="dxa"/>
          </w:tcPr>
          <w:p>
            <w:pPr>
              <w:pStyle w:val="TableParagraph"/>
              <w:spacing w:line="209" w:lineRule="exact"/>
              <w:ind w:right="128"/>
              <w:jc w:val="right"/>
              <w:rPr>
                <w:sz w:val="20"/>
              </w:rPr>
            </w:pPr>
            <w:r>
              <w:rPr>
                <w:spacing w:val="-2"/>
                <w:sz w:val="20"/>
              </w:rPr>
              <w:t>21.63007</w:t>
            </w:r>
          </w:p>
        </w:tc>
        <w:tc>
          <w:tcPr>
            <w:tcW w:w="1432" w:type="dxa"/>
          </w:tcPr>
          <w:p>
            <w:pPr>
              <w:pStyle w:val="TableParagraph"/>
              <w:spacing w:line="209" w:lineRule="exact"/>
              <w:ind w:left="131"/>
              <w:rPr>
                <w:sz w:val="20"/>
              </w:rPr>
            </w:pPr>
            <w:r>
              <w:rPr>
                <w:spacing w:val="-4"/>
                <w:sz w:val="20"/>
              </w:rPr>
              <w:t>F-</w:t>
            </w:r>
            <w:r>
              <w:rPr>
                <w:spacing w:val="-2"/>
                <w:sz w:val="20"/>
              </w:rPr>
              <w:t>statistic</w:t>
            </w:r>
          </w:p>
        </w:tc>
        <w:tc>
          <w:tcPr>
            <w:tcW w:w="904" w:type="dxa"/>
          </w:tcPr>
          <w:p>
            <w:pPr>
              <w:pStyle w:val="TableParagraph"/>
              <w:rPr>
                <w:sz w:val="16"/>
              </w:rPr>
            </w:pPr>
          </w:p>
        </w:tc>
        <w:tc>
          <w:tcPr>
            <w:tcW w:w="929" w:type="dxa"/>
          </w:tcPr>
          <w:p>
            <w:pPr>
              <w:pStyle w:val="TableParagraph"/>
              <w:spacing w:line="209" w:lineRule="exact"/>
              <w:ind w:right="27"/>
              <w:jc w:val="right"/>
              <w:rPr>
                <w:sz w:val="20"/>
              </w:rPr>
            </w:pPr>
            <w:r>
              <w:rPr>
                <w:spacing w:val="-2"/>
                <w:sz w:val="20"/>
              </w:rPr>
              <w:t>11.27373</w:t>
            </w:r>
          </w:p>
        </w:tc>
      </w:tr>
      <w:tr>
        <w:trPr>
          <w:trHeight w:val="266" w:hRule="atLeast"/>
        </w:trPr>
        <w:tc>
          <w:tcPr>
            <w:tcW w:w="1906" w:type="dxa"/>
            <w:tcBorders>
              <w:bottom w:val="double" w:sz="6" w:space="0" w:color="000000"/>
            </w:tcBorders>
          </w:tcPr>
          <w:p>
            <w:pPr>
              <w:pStyle w:val="TableParagraph"/>
              <w:spacing w:line="224" w:lineRule="exact"/>
              <w:ind w:left="36"/>
              <w:rPr>
                <w:sz w:val="20"/>
              </w:rPr>
            </w:pPr>
            <w:r>
              <w:rPr>
                <w:sz w:val="20"/>
              </w:rPr>
              <w:t>Durbin-Watson</w:t>
            </w:r>
            <w:r>
              <w:rPr>
                <w:spacing w:val="-12"/>
                <w:sz w:val="20"/>
              </w:rPr>
              <w:t> </w:t>
            </w:r>
            <w:r>
              <w:rPr>
                <w:spacing w:val="-4"/>
                <w:sz w:val="20"/>
              </w:rPr>
              <w:t>stat</w:t>
            </w:r>
          </w:p>
        </w:tc>
        <w:tc>
          <w:tcPr>
            <w:tcW w:w="1316" w:type="dxa"/>
          </w:tcPr>
          <w:p>
            <w:pPr>
              <w:pStyle w:val="TableParagraph"/>
              <w:spacing w:line="224" w:lineRule="exact"/>
              <w:ind w:right="128"/>
              <w:jc w:val="right"/>
              <w:rPr>
                <w:sz w:val="20"/>
              </w:rPr>
            </w:pPr>
            <w:r>
              <w:rPr>
                <w:spacing w:val="-2"/>
                <w:sz w:val="20"/>
              </w:rPr>
              <w:t>2.068040</w:t>
            </w:r>
          </w:p>
        </w:tc>
        <w:tc>
          <w:tcPr>
            <w:tcW w:w="1432" w:type="dxa"/>
            <w:tcBorders>
              <w:bottom w:val="double" w:sz="6" w:space="0" w:color="000000"/>
            </w:tcBorders>
          </w:tcPr>
          <w:p>
            <w:pPr>
              <w:pStyle w:val="TableParagraph"/>
              <w:spacing w:line="224" w:lineRule="exact"/>
              <w:ind w:left="131"/>
              <w:rPr>
                <w:sz w:val="20"/>
              </w:rPr>
            </w:pPr>
            <w:r>
              <w:rPr>
                <w:spacing w:val="-2"/>
                <w:sz w:val="20"/>
              </w:rPr>
              <w:t>Prob(F-statistic)</w:t>
            </w:r>
          </w:p>
        </w:tc>
        <w:tc>
          <w:tcPr>
            <w:tcW w:w="904" w:type="dxa"/>
            <w:tcBorders>
              <w:bottom w:val="double" w:sz="6" w:space="0" w:color="000000"/>
            </w:tcBorders>
          </w:tcPr>
          <w:p>
            <w:pPr>
              <w:pStyle w:val="TableParagraph"/>
              <w:rPr>
                <w:sz w:val="18"/>
              </w:rPr>
            </w:pPr>
          </w:p>
        </w:tc>
        <w:tc>
          <w:tcPr>
            <w:tcW w:w="929" w:type="dxa"/>
            <w:tcBorders>
              <w:bottom w:val="double" w:sz="6" w:space="0" w:color="000000"/>
            </w:tcBorders>
          </w:tcPr>
          <w:p>
            <w:pPr>
              <w:pStyle w:val="TableParagraph"/>
              <w:spacing w:line="224" w:lineRule="exact"/>
              <w:ind w:right="27"/>
              <w:jc w:val="right"/>
              <w:rPr>
                <w:sz w:val="20"/>
              </w:rPr>
            </w:pPr>
            <w:r>
              <w:rPr>
                <w:spacing w:val="-2"/>
                <w:sz w:val="20"/>
              </w:rPr>
              <w:t>0.000158</w:t>
            </w:r>
          </w:p>
        </w:tc>
      </w:tr>
    </w:tbl>
    <w:p>
      <w:pPr>
        <w:spacing w:after="0" w:line="224" w:lineRule="exact"/>
        <w:jc w:val="right"/>
        <w:rPr>
          <w:sz w:val="20"/>
        </w:rPr>
        <w:sectPr>
          <w:pgSz w:w="11910" w:h="16840"/>
          <w:pgMar w:header="0" w:footer="979" w:top="1360" w:bottom="1240" w:left="280" w:right="0"/>
        </w:sectPr>
      </w:pPr>
    </w:p>
    <w:p>
      <w:pPr>
        <w:spacing w:before="62" w:after="3"/>
        <w:ind w:left="711" w:right="0" w:firstLine="0"/>
        <w:jc w:val="left"/>
        <w:rPr>
          <w:sz w:val="20"/>
        </w:rPr>
      </w:pPr>
      <w:r>
        <w:rPr>
          <w:sz w:val="20"/>
        </w:rPr>
        <w:t>USIRD</w:t>
      </w:r>
      <w:r>
        <w:rPr>
          <w:spacing w:val="-2"/>
          <w:sz w:val="20"/>
        </w:rPr>
        <w:t> </w:t>
      </w:r>
      <w:r>
        <w:rPr>
          <w:sz w:val="20"/>
        </w:rPr>
        <w:t>@</w:t>
      </w:r>
      <w:r>
        <w:rPr>
          <w:spacing w:val="-5"/>
          <w:sz w:val="20"/>
        </w:rPr>
        <w:t> </w:t>
      </w:r>
      <w:r>
        <w:rPr>
          <w:spacing w:val="-4"/>
          <w:sz w:val="20"/>
        </w:rPr>
        <w:t>LEVEL</w:t>
      </w:r>
    </w:p>
    <w:tbl>
      <w:tblPr>
        <w:tblW w:w="0" w:type="auto"/>
        <w:jc w:val="left"/>
        <w:tblInd w:w="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47"/>
        <w:gridCol w:w="1375"/>
        <w:gridCol w:w="1432"/>
        <w:gridCol w:w="936"/>
        <w:gridCol w:w="896"/>
      </w:tblGrid>
      <w:tr>
        <w:trPr>
          <w:trHeight w:val="224" w:hRule="atLeast"/>
        </w:trPr>
        <w:tc>
          <w:tcPr>
            <w:tcW w:w="1847" w:type="dxa"/>
          </w:tcPr>
          <w:p>
            <w:pPr>
              <w:pStyle w:val="TableParagraph"/>
              <w:spacing w:line="204" w:lineRule="exact"/>
              <w:ind w:left="36"/>
              <w:rPr>
                <w:sz w:val="20"/>
              </w:rPr>
            </w:pPr>
            <w:r>
              <w:rPr>
                <w:sz w:val="20"/>
              </w:rPr>
              <w:t>ADF</w:t>
            </w:r>
            <w:r>
              <w:rPr>
                <w:spacing w:val="-4"/>
                <w:sz w:val="20"/>
              </w:rPr>
              <w:t> </w:t>
            </w:r>
            <w:r>
              <w:rPr>
                <w:sz w:val="20"/>
              </w:rPr>
              <w:t>Test</w:t>
            </w:r>
            <w:r>
              <w:rPr>
                <w:spacing w:val="-3"/>
                <w:sz w:val="20"/>
              </w:rPr>
              <w:t> </w:t>
            </w:r>
            <w:r>
              <w:rPr>
                <w:spacing w:val="-2"/>
                <w:sz w:val="20"/>
              </w:rPr>
              <w:t>Statistic</w:t>
            </w:r>
          </w:p>
        </w:tc>
        <w:tc>
          <w:tcPr>
            <w:tcW w:w="1375" w:type="dxa"/>
          </w:tcPr>
          <w:p>
            <w:pPr>
              <w:pStyle w:val="TableParagraph"/>
              <w:spacing w:line="204" w:lineRule="exact"/>
              <w:ind w:left="219"/>
              <w:rPr>
                <w:sz w:val="20"/>
              </w:rPr>
            </w:pPr>
            <w:r>
              <w:rPr>
                <w:spacing w:val="-4"/>
                <w:sz w:val="20"/>
              </w:rPr>
              <w:t>-</w:t>
            </w:r>
            <w:r>
              <w:rPr>
                <w:spacing w:val="-2"/>
                <w:sz w:val="20"/>
              </w:rPr>
              <w:t>2.056420</w:t>
            </w:r>
          </w:p>
        </w:tc>
        <w:tc>
          <w:tcPr>
            <w:tcW w:w="2368" w:type="dxa"/>
            <w:gridSpan w:val="2"/>
          </w:tcPr>
          <w:p>
            <w:pPr>
              <w:pStyle w:val="TableParagraph"/>
              <w:spacing w:line="204" w:lineRule="exact"/>
              <w:ind w:left="131"/>
              <w:rPr>
                <w:sz w:val="20"/>
              </w:rPr>
            </w:pPr>
            <w:r>
              <w:rPr>
                <w:sz w:val="20"/>
              </w:rPr>
              <w:t>1%</w:t>
            </w:r>
            <w:r>
              <w:rPr>
                <w:spacing w:val="68"/>
                <w:w w:val="150"/>
                <w:sz w:val="20"/>
              </w:rPr>
              <w:t> </w:t>
            </w:r>
            <w:r>
              <w:rPr>
                <w:sz w:val="20"/>
              </w:rPr>
              <w:t>Critical</w:t>
            </w:r>
            <w:r>
              <w:rPr>
                <w:spacing w:val="-2"/>
                <w:sz w:val="20"/>
              </w:rPr>
              <w:t> Value*</w:t>
            </w:r>
          </w:p>
        </w:tc>
        <w:tc>
          <w:tcPr>
            <w:tcW w:w="896" w:type="dxa"/>
          </w:tcPr>
          <w:p>
            <w:pPr>
              <w:pStyle w:val="TableParagraph"/>
              <w:spacing w:line="204" w:lineRule="exact"/>
              <w:ind w:right="26"/>
              <w:jc w:val="right"/>
              <w:rPr>
                <w:sz w:val="20"/>
              </w:rPr>
            </w:pPr>
            <w:r>
              <w:rPr>
                <w:spacing w:val="-4"/>
                <w:sz w:val="20"/>
              </w:rPr>
              <w:t>-</w:t>
            </w:r>
            <w:r>
              <w:rPr>
                <w:spacing w:val="-2"/>
                <w:sz w:val="20"/>
              </w:rPr>
              <w:t>3.6019</w:t>
            </w:r>
          </w:p>
        </w:tc>
      </w:tr>
      <w:tr>
        <w:trPr>
          <w:trHeight w:val="229" w:hRule="atLeast"/>
        </w:trPr>
        <w:tc>
          <w:tcPr>
            <w:tcW w:w="1847" w:type="dxa"/>
          </w:tcPr>
          <w:p>
            <w:pPr>
              <w:pStyle w:val="TableParagraph"/>
              <w:rPr>
                <w:sz w:val="16"/>
              </w:rPr>
            </w:pPr>
          </w:p>
        </w:tc>
        <w:tc>
          <w:tcPr>
            <w:tcW w:w="1375" w:type="dxa"/>
          </w:tcPr>
          <w:p>
            <w:pPr>
              <w:pStyle w:val="TableParagraph"/>
              <w:rPr>
                <w:sz w:val="16"/>
              </w:rPr>
            </w:pPr>
          </w:p>
        </w:tc>
        <w:tc>
          <w:tcPr>
            <w:tcW w:w="2368" w:type="dxa"/>
            <w:gridSpan w:val="2"/>
          </w:tcPr>
          <w:p>
            <w:pPr>
              <w:pStyle w:val="TableParagraph"/>
              <w:spacing w:line="209" w:lineRule="exact"/>
              <w:ind w:left="131"/>
              <w:rPr>
                <w:sz w:val="20"/>
              </w:rPr>
            </w:pPr>
            <w:r>
              <w:rPr>
                <w:sz w:val="20"/>
              </w:rPr>
              <w:t>5%</w:t>
            </w:r>
            <w:r>
              <w:rPr>
                <w:spacing w:val="68"/>
                <w:w w:val="150"/>
                <w:sz w:val="20"/>
              </w:rPr>
              <w:t> </w:t>
            </w:r>
            <w:r>
              <w:rPr>
                <w:sz w:val="20"/>
              </w:rPr>
              <w:t>Critical</w:t>
            </w:r>
            <w:r>
              <w:rPr>
                <w:spacing w:val="-2"/>
                <w:sz w:val="20"/>
              </w:rPr>
              <w:t> </w:t>
            </w:r>
            <w:r>
              <w:rPr>
                <w:spacing w:val="-4"/>
                <w:sz w:val="20"/>
              </w:rPr>
              <w:t>Value</w:t>
            </w:r>
          </w:p>
        </w:tc>
        <w:tc>
          <w:tcPr>
            <w:tcW w:w="896" w:type="dxa"/>
          </w:tcPr>
          <w:p>
            <w:pPr>
              <w:pStyle w:val="TableParagraph"/>
              <w:spacing w:line="209" w:lineRule="exact"/>
              <w:ind w:right="26"/>
              <w:jc w:val="right"/>
              <w:rPr>
                <w:sz w:val="20"/>
              </w:rPr>
            </w:pPr>
            <w:r>
              <w:rPr>
                <w:spacing w:val="-4"/>
                <w:sz w:val="20"/>
              </w:rPr>
              <w:t>-</w:t>
            </w:r>
            <w:r>
              <w:rPr>
                <w:spacing w:val="-2"/>
                <w:sz w:val="20"/>
              </w:rPr>
              <w:t>2.9358</w:t>
            </w:r>
          </w:p>
        </w:tc>
      </w:tr>
      <w:tr>
        <w:trPr>
          <w:trHeight w:val="224" w:hRule="atLeast"/>
        </w:trPr>
        <w:tc>
          <w:tcPr>
            <w:tcW w:w="1847" w:type="dxa"/>
            <w:tcBorders>
              <w:bottom w:val="double" w:sz="6" w:space="0" w:color="000000"/>
            </w:tcBorders>
          </w:tcPr>
          <w:p>
            <w:pPr>
              <w:pStyle w:val="TableParagraph"/>
              <w:rPr>
                <w:sz w:val="16"/>
              </w:rPr>
            </w:pPr>
          </w:p>
        </w:tc>
        <w:tc>
          <w:tcPr>
            <w:tcW w:w="1375" w:type="dxa"/>
            <w:tcBorders>
              <w:bottom w:val="double" w:sz="6" w:space="0" w:color="000000"/>
            </w:tcBorders>
          </w:tcPr>
          <w:p>
            <w:pPr>
              <w:pStyle w:val="TableParagraph"/>
              <w:rPr>
                <w:sz w:val="16"/>
              </w:rPr>
            </w:pPr>
          </w:p>
        </w:tc>
        <w:tc>
          <w:tcPr>
            <w:tcW w:w="2368" w:type="dxa"/>
            <w:gridSpan w:val="2"/>
            <w:tcBorders>
              <w:bottom w:val="double" w:sz="6" w:space="0" w:color="000000"/>
            </w:tcBorders>
          </w:tcPr>
          <w:p>
            <w:pPr>
              <w:pStyle w:val="TableParagraph"/>
              <w:spacing w:line="205" w:lineRule="exact"/>
              <w:ind w:left="131"/>
              <w:rPr>
                <w:sz w:val="20"/>
              </w:rPr>
            </w:pPr>
            <w:r>
              <w:rPr>
                <w:sz w:val="20"/>
              </w:rPr>
              <w:t>10%</w:t>
            </w:r>
            <w:r>
              <w:rPr>
                <w:spacing w:val="-6"/>
                <w:sz w:val="20"/>
              </w:rPr>
              <w:t> </w:t>
            </w:r>
            <w:r>
              <w:rPr>
                <w:sz w:val="20"/>
              </w:rPr>
              <w:t>Critical</w:t>
            </w:r>
            <w:r>
              <w:rPr>
                <w:spacing w:val="-4"/>
                <w:sz w:val="20"/>
              </w:rPr>
              <w:t> </w:t>
            </w:r>
            <w:r>
              <w:rPr>
                <w:spacing w:val="-2"/>
                <w:sz w:val="20"/>
              </w:rPr>
              <w:t>Value</w:t>
            </w:r>
          </w:p>
        </w:tc>
        <w:tc>
          <w:tcPr>
            <w:tcW w:w="896" w:type="dxa"/>
            <w:tcBorders>
              <w:bottom w:val="double" w:sz="6" w:space="0" w:color="000000"/>
            </w:tcBorders>
          </w:tcPr>
          <w:p>
            <w:pPr>
              <w:pStyle w:val="TableParagraph"/>
              <w:spacing w:line="205" w:lineRule="exact"/>
              <w:ind w:right="26"/>
              <w:jc w:val="right"/>
              <w:rPr>
                <w:sz w:val="20"/>
              </w:rPr>
            </w:pPr>
            <w:r>
              <w:rPr>
                <w:spacing w:val="-4"/>
                <w:sz w:val="20"/>
              </w:rPr>
              <w:t>-</w:t>
            </w:r>
            <w:r>
              <w:rPr>
                <w:spacing w:val="-2"/>
                <w:sz w:val="20"/>
              </w:rPr>
              <w:t>2.6059</w:t>
            </w:r>
          </w:p>
        </w:tc>
      </w:tr>
      <w:tr>
        <w:trPr>
          <w:trHeight w:val="506" w:hRule="atLeast"/>
        </w:trPr>
        <w:tc>
          <w:tcPr>
            <w:tcW w:w="6486" w:type="dxa"/>
            <w:gridSpan w:val="5"/>
            <w:tcBorders>
              <w:top w:val="double" w:sz="6" w:space="0" w:color="000000"/>
            </w:tcBorders>
          </w:tcPr>
          <w:p>
            <w:pPr>
              <w:pStyle w:val="TableParagraph"/>
              <w:spacing w:before="42"/>
              <w:ind w:left="36"/>
              <w:rPr>
                <w:sz w:val="20"/>
              </w:rPr>
            </w:pPr>
            <w:r>
              <w:rPr>
                <w:sz w:val="20"/>
              </w:rPr>
              <w:t>*MacKinnon</w:t>
            </w:r>
            <w:r>
              <w:rPr>
                <w:spacing w:val="-6"/>
                <w:sz w:val="20"/>
              </w:rPr>
              <w:t> </w:t>
            </w:r>
            <w:r>
              <w:rPr>
                <w:sz w:val="20"/>
              </w:rPr>
              <w:t>critical</w:t>
            </w:r>
            <w:r>
              <w:rPr>
                <w:spacing w:val="-4"/>
                <w:sz w:val="20"/>
              </w:rPr>
              <w:t> </w:t>
            </w:r>
            <w:r>
              <w:rPr>
                <w:sz w:val="20"/>
              </w:rPr>
              <w:t>values</w:t>
            </w:r>
            <w:r>
              <w:rPr>
                <w:spacing w:val="-6"/>
                <w:sz w:val="20"/>
              </w:rPr>
              <w:t> </w:t>
            </w:r>
            <w:r>
              <w:rPr>
                <w:sz w:val="20"/>
              </w:rPr>
              <w:t>for</w:t>
            </w:r>
            <w:r>
              <w:rPr>
                <w:spacing w:val="-4"/>
                <w:sz w:val="20"/>
              </w:rPr>
              <w:t> </w:t>
            </w:r>
            <w:r>
              <w:rPr>
                <w:sz w:val="20"/>
              </w:rPr>
              <w:t>rejection</w:t>
            </w:r>
            <w:r>
              <w:rPr>
                <w:spacing w:val="-6"/>
                <w:sz w:val="20"/>
              </w:rPr>
              <w:t> </w:t>
            </w:r>
            <w:r>
              <w:rPr>
                <w:sz w:val="20"/>
              </w:rPr>
              <w:t>of</w:t>
            </w:r>
            <w:r>
              <w:rPr>
                <w:spacing w:val="-6"/>
                <w:sz w:val="20"/>
              </w:rPr>
              <w:t> </w:t>
            </w:r>
            <w:r>
              <w:rPr>
                <w:sz w:val="20"/>
              </w:rPr>
              <w:t>hypothesis</w:t>
            </w:r>
            <w:r>
              <w:rPr>
                <w:spacing w:val="-6"/>
                <w:sz w:val="20"/>
              </w:rPr>
              <w:t> </w:t>
            </w:r>
            <w:r>
              <w:rPr>
                <w:sz w:val="20"/>
              </w:rPr>
              <w:t>of</w:t>
            </w:r>
            <w:r>
              <w:rPr>
                <w:spacing w:val="-6"/>
                <w:sz w:val="20"/>
              </w:rPr>
              <w:t> </w:t>
            </w:r>
            <w:r>
              <w:rPr>
                <w:sz w:val="20"/>
              </w:rPr>
              <w:t>a</w:t>
            </w:r>
            <w:r>
              <w:rPr>
                <w:spacing w:val="-4"/>
                <w:sz w:val="20"/>
              </w:rPr>
              <w:t> </w:t>
            </w:r>
            <w:r>
              <w:rPr>
                <w:sz w:val="20"/>
              </w:rPr>
              <w:t>unit</w:t>
            </w:r>
            <w:r>
              <w:rPr>
                <w:spacing w:val="-6"/>
                <w:sz w:val="20"/>
              </w:rPr>
              <w:t> </w:t>
            </w:r>
            <w:r>
              <w:rPr>
                <w:spacing w:val="-2"/>
                <w:sz w:val="20"/>
              </w:rPr>
              <w:t>root.</w:t>
            </w:r>
          </w:p>
        </w:tc>
      </w:tr>
      <w:tr>
        <w:trPr>
          <w:trHeight w:val="459" w:hRule="atLeast"/>
        </w:trPr>
        <w:tc>
          <w:tcPr>
            <w:tcW w:w="6486" w:type="dxa"/>
            <w:gridSpan w:val="5"/>
          </w:tcPr>
          <w:p>
            <w:pPr>
              <w:pStyle w:val="TableParagraph"/>
              <w:spacing w:line="215" w:lineRule="exact" w:before="225"/>
              <w:ind w:left="36"/>
              <w:rPr>
                <w:sz w:val="20"/>
              </w:rPr>
            </w:pPr>
            <w:r>
              <w:rPr>
                <w:sz w:val="20"/>
              </w:rPr>
              <w:t>Augmented</w:t>
            </w:r>
            <w:r>
              <w:rPr>
                <w:spacing w:val="-8"/>
                <w:sz w:val="20"/>
              </w:rPr>
              <w:t> </w:t>
            </w:r>
            <w:r>
              <w:rPr>
                <w:sz w:val="20"/>
              </w:rPr>
              <w:t>Dickey-Fuller</w:t>
            </w:r>
            <w:r>
              <w:rPr>
                <w:spacing w:val="-8"/>
                <w:sz w:val="20"/>
              </w:rPr>
              <w:t> </w:t>
            </w:r>
            <w:r>
              <w:rPr>
                <w:sz w:val="20"/>
              </w:rPr>
              <w:t>Test</w:t>
            </w:r>
            <w:r>
              <w:rPr>
                <w:spacing w:val="-9"/>
                <w:sz w:val="20"/>
              </w:rPr>
              <w:t> </w:t>
            </w:r>
            <w:r>
              <w:rPr>
                <w:spacing w:val="-2"/>
                <w:sz w:val="20"/>
              </w:rPr>
              <w:t>Equation</w:t>
            </w:r>
          </w:p>
        </w:tc>
      </w:tr>
      <w:tr>
        <w:trPr>
          <w:trHeight w:val="230" w:hRule="atLeast"/>
        </w:trPr>
        <w:tc>
          <w:tcPr>
            <w:tcW w:w="6486" w:type="dxa"/>
            <w:gridSpan w:val="5"/>
          </w:tcPr>
          <w:p>
            <w:pPr>
              <w:pStyle w:val="TableParagraph"/>
              <w:spacing w:line="210" w:lineRule="exact"/>
              <w:ind w:left="36"/>
              <w:rPr>
                <w:sz w:val="20"/>
              </w:rPr>
            </w:pPr>
            <w:r>
              <w:rPr>
                <w:sz w:val="20"/>
              </w:rPr>
              <w:t>Dependent</w:t>
            </w:r>
            <w:r>
              <w:rPr>
                <w:spacing w:val="-8"/>
                <w:sz w:val="20"/>
              </w:rPr>
              <w:t> </w:t>
            </w:r>
            <w:r>
              <w:rPr>
                <w:sz w:val="20"/>
              </w:rPr>
              <w:t>Variable:</w:t>
            </w:r>
            <w:r>
              <w:rPr>
                <w:spacing w:val="-8"/>
                <w:sz w:val="20"/>
              </w:rPr>
              <w:t> </w:t>
            </w:r>
            <w:r>
              <w:rPr>
                <w:spacing w:val="-2"/>
                <w:sz w:val="20"/>
              </w:rPr>
              <w:t>D(INTDIFF)</w:t>
            </w:r>
          </w:p>
        </w:tc>
      </w:tr>
      <w:tr>
        <w:trPr>
          <w:trHeight w:val="229" w:hRule="atLeast"/>
        </w:trPr>
        <w:tc>
          <w:tcPr>
            <w:tcW w:w="6486" w:type="dxa"/>
            <w:gridSpan w:val="5"/>
          </w:tcPr>
          <w:p>
            <w:pPr>
              <w:pStyle w:val="TableParagraph"/>
              <w:spacing w:line="209" w:lineRule="exact"/>
              <w:ind w:left="36"/>
              <w:rPr>
                <w:sz w:val="20"/>
              </w:rPr>
            </w:pPr>
            <w:r>
              <w:rPr>
                <w:sz w:val="20"/>
              </w:rPr>
              <w:t>Method:</w:t>
            </w:r>
            <w:r>
              <w:rPr>
                <w:spacing w:val="-8"/>
                <w:sz w:val="20"/>
              </w:rPr>
              <w:t> </w:t>
            </w:r>
            <w:r>
              <w:rPr>
                <w:sz w:val="20"/>
              </w:rPr>
              <w:t>Least</w:t>
            </w:r>
            <w:r>
              <w:rPr>
                <w:spacing w:val="-7"/>
                <w:sz w:val="20"/>
              </w:rPr>
              <w:t> </w:t>
            </w:r>
            <w:r>
              <w:rPr>
                <w:spacing w:val="-2"/>
                <w:sz w:val="20"/>
              </w:rPr>
              <w:t>Squares</w:t>
            </w:r>
          </w:p>
        </w:tc>
      </w:tr>
      <w:tr>
        <w:trPr>
          <w:trHeight w:val="229" w:hRule="atLeast"/>
        </w:trPr>
        <w:tc>
          <w:tcPr>
            <w:tcW w:w="6486" w:type="dxa"/>
            <w:gridSpan w:val="5"/>
          </w:tcPr>
          <w:p>
            <w:pPr>
              <w:pStyle w:val="TableParagraph"/>
              <w:spacing w:line="209" w:lineRule="exact"/>
              <w:ind w:left="36"/>
              <w:rPr>
                <w:sz w:val="20"/>
              </w:rPr>
            </w:pPr>
            <w:r>
              <w:rPr>
                <w:sz w:val="20"/>
              </w:rPr>
              <w:t>Date:</w:t>
            </w:r>
            <w:r>
              <w:rPr>
                <w:spacing w:val="-5"/>
                <w:sz w:val="20"/>
              </w:rPr>
              <w:t> </w:t>
            </w:r>
            <w:r>
              <w:rPr>
                <w:sz w:val="20"/>
              </w:rPr>
              <w:t>02/18/14</w:t>
            </w:r>
            <w:r>
              <w:rPr>
                <w:spacing w:val="63"/>
                <w:w w:val="150"/>
                <w:sz w:val="20"/>
              </w:rPr>
              <w:t> </w:t>
            </w:r>
            <w:r>
              <w:rPr>
                <w:sz w:val="20"/>
              </w:rPr>
              <w:t>Time:</w:t>
            </w:r>
            <w:r>
              <w:rPr>
                <w:spacing w:val="-3"/>
                <w:sz w:val="20"/>
              </w:rPr>
              <w:t> </w:t>
            </w:r>
            <w:r>
              <w:rPr>
                <w:spacing w:val="-2"/>
                <w:sz w:val="20"/>
              </w:rPr>
              <w:t>09:23</w:t>
            </w:r>
          </w:p>
        </w:tc>
      </w:tr>
      <w:tr>
        <w:trPr>
          <w:trHeight w:val="230" w:hRule="atLeast"/>
        </w:trPr>
        <w:tc>
          <w:tcPr>
            <w:tcW w:w="6486" w:type="dxa"/>
            <w:gridSpan w:val="5"/>
          </w:tcPr>
          <w:p>
            <w:pPr>
              <w:pStyle w:val="TableParagraph"/>
              <w:spacing w:line="210" w:lineRule="exact"/>
              <w:ind w:left="36"/>
              <w:rPr>
                <w:sz w:val="20"/>
              </w:rPr>
            </w:pPr>
            <w:r>
              <w:rPr>
                <w:sz w:val="20"/>
              </w:rPr>
              <w:t>Sample(adjusted):</w:t>
            </w:r>
            <w:r>
              <w:rPr>
                <w:spacing w:val="-9"/>
                <w:sz w:val="20"/>
              </w:rPr>
              <w:t> </w:t>
            </w:r>
            <w:r>
              <w:rPr>
                <w:sz w:val="20"/>
              </w:rPr>
              <w:t>1972</w:t>
            </w:r>
            <w:r>
              <w:rPr>
                <w:spacing w:val="-9"/>
                <w:sz w:val="20"/>
              </w:rPr>
              <w:t> </w:t>
            </w:r>
            <w:r>
              <w:rPr>
                <w:spacing w:val="-4"/>
                <w:sz w:val="20"/>
              </w:rPr>
              <w:t>2011</w:t>
            </w:r>
          </w:p>
        </w:tc>
      </w:tr>
      <w:tr>
        <w:trPr>
          <w:trHeight w:val="224" w:hRule="atLeast"/>
        </w:trPr>
        <w:tc>
          <w:tcPr>
            <w:tcW w:w="6486" w:type="dxa"/>
            <w:gridSpan w:val="5"/>
            <w:tcBorders>
              <w:bottom w:val="double" w:sz="6" w:space="0" w:color="000000"/>
            </w:tcBorders>
          </w:tcPr>
          <w:p>
            <w:pPr>
              <w:pStyle w:val="TableParagraph"/>
              <w:spacing w:line="205" w:lineRule="exact"/>
              <w:ind w:left="36"/>
              <w:rPr>
                <w:sz w:val="20"/>
              </w:rPr>
            </w:pPr>
            <w:r>
              <w:rPr>
                <w:sz w:val="20"/>
              </w:rPr>
              <w:t>Included</w:t>
            </w:r>
            <w:r>
              <w:rPr>
                <w:spacing w:val="-6"/>
                <w:sz w:val="20"/>
              </w:rPr>
              <w:t> </w:t>
            </w:r>
            <w:r>
              <w:rPr>
                <w:sz w:val="20"/>
              </w:rPr>
              <w:t>observations:</w:t>
            </w:r>
            <w:r>
              <w:rPr>
                <w:spacing w:val="-8"/>
                <w:sz w:val="20"/>
              </w:rPr>
              <w:t> </w:t>
            </w:r>
            <w:r>
              <w:rPr>
                <w:sz w:val="20"/>
              </w:rPr>
              <w:t>40</w:t>
            </w:r>
            <w:r>
              <w:rPr>
                <w:spacing w:val="-5"/>
                <w:sz w:val="20"/>
              </w:rPr>
              <w:t> </w:t>
            </w:r>
            <w:r>
              <w:rPr>
                <w:sz w:val="20"/>
              </w:rPr>
              <w:t>after</w:t>
            </w:r>
            <w:r>
              <w:rPr>
                <w:spacing w:val="-7"/>
                <w:sz w:val="20"/>
              </w:rPr>
              <w:t> </w:t>
            </w:r>
            <w:r>
              <w:rPr>
                <w:sz w:val="20"/>
              </w:rPr>
              <w:t>adjusting</w:t>
            </w:r>
            <w:r>
              <w:rPr>
                <w:spacing w:val="-7"/>
                <w:sz w:val="20"/>
              </w:rPr>
              <w:t> </w:t>
            </w:r>
            <w:r>
              <w:rPr>
                <w:spacing w:val="-2"/>
                <w:sz w:val="20"/>
              </w:rPr>
              <w:t>endpoints</w:t>
            </w:r>
          </w:p>
        </w:tc>
      </w:tr>
      <w:tr>
        <w:trPr>
          <w:trHeight w:val="269" w:hRule="atLeast"/>
        </w:trPr>
        <w:tc>
          <w:tcPr>
            <w:tcW w:w="1847" w:type="dxa"/>
            <w:tcBorders>
              <w:top w:val="double" w:sz="6" w:space="0" w:color="000000"/>
              <w:bottom w:val="double" w:sz="6" w:space="0" w:color="000000"/>
            </w:tcBorders>
          </w:tcPr>
          <w:p>
            <w:pPr>
              <w:pStyle w:val="TableParagraph"/>
              <w:spacing w:line="209" w:lineRule="exact" w:before="40"/>
              <w:ind w:left="677"/>
              <w:rPr>
                <w:sz w:val="20"/>
              </w:rPr>
            </w:pPr>
            <w:r>
              <w:rPr>
                <w:spacing w:val="-2"/>
                <w:sz w:val="20"/>
              </w:rPr>
              <w:t>Variable</w:t>
            </w:r>
          </w:p>
        </w:tc>
        <w:tc>
          <w:tcPr>
            <w:tcW w:w="1375" w:type="dxa"/>
            <w:tcBorders>
              <w:top w:val="double" w:sz="6" w:space="0" w:color="000000"/>
              <w:bottom w:val="double" w:sz="6" w:space="0" w:color="000000"/>
            </w:tcBorders>
          </w:tcPr>
          <w:p>
            <w:pPr>
              <w:pStyle w:val="TableParagraph"/>
              <w:spacing w:line="209" w:lineRule="exact" w:before="40"/>
              <w:ind w:right="131"/>
              <w:jc w:val="right"/>
              <w:rPr>
                <w:sz w:val="20"/>
              </w:rPr>
            </w:pPr>
            <w:r>
              <w:rPr>
                <w:spacing w:val="-2"/>
                <w:sz w:val="20"/>
              </w:rPr>
              <w:t>Coefficient</w:t>
            </w:r>
          </w:p>
        </w:tc>
        <w:tc>
          <w:tcPr>
            <w:tcW w:w="1432" w:type="dxa"/>
            <w:tcBorders>
              <w:top w:val="double" w:sz="6" w:space="0" w:color="000000"/>
              <w:bottom w:val="double" w:sz="6" w:space="0" w:color="000000"/>
            </w:tcBorders>
          </w:tcPr>
          <w:p>
            <w:pPr>
              <w:pStyle w:val="TableParagraph"/>
              <w:spacing w:line="209" w:lineRule="exact" w:before="40"/>
              <w:ind w:left="273"/>
              <w:rPr>
                <w:sz w:val="20"/>
              </w:rPr>
            </w:pPr>
            <w:r>
              <w:rPr>
                <w:sz w:val="20"/>
              </w:rPr>
              <w:t>Std.</w:t>
            </w:r>
            <w:r>
              <w:rPr>
                <w:spacing w:val="-4"/>
                <w:sz w:val="20"/>
              </w:rPr>
              <w:t> </w:t>
            </w:r>
            <w:r>
              <w:rPr>
                <w:spacing w:val="-2"/>
                <w:sz w:val="20"/>
              </w:rPr>
              <w:t>Error</w:t>
            </w:r>
          </w:p>
        </w:tc>
        <w:tc>
          <w:tcPr>
            <w:tcW w:w="936" w:type="dxa"/>
            <w:tcBorders>
              <w:top w:val="double" w:sz="6" w:space="0" w:color="000000"/>
              <w:bottom w:val="double" w:sz="6" w:space="0" w:color="000000"/>
            </w:tcBorders>
          </w:tcPr>
          <w:p>
            <w:pPr>
              <w:pStyle w:val="TableParagraph"/>
              <w:spacing w:line="209" w:lineRule="exact" w:before="40"/>
              <w:ind w:right="112"/>
              <w:jc w:val="right"/>
              <w:rPr>
                <w:sz w:val="20"/>
              </w:rPr>
            </w:pPr>
            <w:r>
              <w:rPr>
                <w:spacing w:val="-4"/>
                <w:sz w:val="20"/>
              </w:rPr>
              <w:t>t-</w:t>
            </w:r>
            <w:r>
              <w:rPr>
                <w:spacing w:val="-2"/>
                <w:sz w:val="20"/>
              </w:rPr>
              <w:t>Statistic</w:t>
            </w:r>
          </w:p>
        </w:tc>
        <w:tc>
          <w:tcPr>
            <w:tcW w:w="896" w:type="dxa"/>
            <w:tcBorders>
              <w:top w:val="double" w:sz="6" w:space="0" w:color="000000"/>
              <w:bottom w:val="double" w:sz="6" w:space="0" w:color="000000"/>
            </w:tcBorders>
          </w:tcPr>
          <w:p>
            <w:pPr>
              <w:pStyle w:val="TableParagraph"/>
              <w:spacing w:line="209" w:lineRule="exact" w:before="40"/>
              <w:ind w:right="27"/>
              <w:jc w:val="right"/>
              <w:rPr>
                <w:sz w:val="20"/>
              </w:rPr>
            </w:pPr>
            <w:r>
              <w:rPr>
                <w:spacing w:val="-2"/>
                <w:sz w:val="20"/>
              </w:rPr>
              <w:t>Prob.</w:t>
            </w:r>
          </w:p>
        </w:tc>
      </w:tr>
      <w:tr>
        <w:trPr>
          <w:trHeight w:val="276" w:hRule="atLeast"/>
        </w:trPr>
        <w:tc>
          <w:tcPr>
            <w:tcW w:w="1847" w:type="dxa"/>
            <w:tcBorders>
              <w:top w:val="double" w:sz="6" w:space="0" w:color="000000"/>
            </w:tcBorders>
          </w:tcPr>
          <w:p>
            <w:pPr>
              <w:pStyle w:val="TableParagraph"/>
              <w:spacing w:line="214" w:lineRule="exact" w:before="42"/>
              <w:ind w:left="571"/>
              <w:rPr>
                <w:sz w:val="20"/>
              </w:rPr>
            </w:pPr>
            <w:r>
              <w:rPr>
                <w:spacing w:val="-2"/>
                <w:sz w:val="20"/>
              </w:rPr>
              <w:t>USIRD(-</w:t>
            </w:r>
            <w:r>
              <w:rPr>
                <w:spacing w:val="-5"/>
                <w:sz w:val="20"/>
              </w:rPr>
              <w:t>1)</w:t>
            </w:r>
          </w:p>
        </w:tc>
        <w:tc>
          <w:tcPr>
            <w:tcW w:w="1375" w:type="dxa"/>
            <w:tcBorders>
              <w:top w:val="double" w:sz="6" w:space="0" w:color="000000"/>
            </w:tcBorders>
          </w:tcPr>
          <w:p>
            <w:pPr>
              <w:pStyle w:val="TableParagraph"/>
              <w:spacing w:line="214" w:lineRule="exact" w:before="42"/>
              <w:ind w:right="128"/>
              <w:jc w:val="right"/>
              <w:rPr>
                <w:sz w:val="20"/>
              </w:rPr>
            </w:pPr>
            <w:r>
              <w:rPr>
                <w:spacing w:val="-4"/>
                <w:sz w:val="20"/>
              </w:rPr>
              <w:t>-</w:t>
            </w:r>
            <w:r>
              <w:rPr>
                <w:spacing w:val="-2"/>
                <w:sz w:val="20"/>
              </w:rPr>
              <w:t>0.214803</w:t>
            </w:r>
          </w:p>
        </w:tc>
        <w:tc>
          <w:tcPr>
            <w:tcW w:w="1432" w:type="dxa"/>
            <w:tcBorders>
              <w:top w:val="double" w:sz="6" w:space="0" w:color="000000"/>
            </w:tcBorders>
          </w:tcPr>
          <w:p>
            <w:pPr>
              <w:pStyle w:val="TableParagraph"/>
              <w:spacing w:line="214" w:lineRule="exact" w:before="42"/>
              <w:ind w:left="311"/>
              <w:rPr>
                <w:sz w:val="20"/>
              </w:rPr>
            </w:pPr>
            <w:r>
              <w:rPr>
                <w:spacing w:val="-2"/>
                <w:sz w:val="20"/>
              </w:rPr>
              <w:t>0.104455</w:t>
            </w:r>
          </w:p>
        </w:tc>
        <w:tc>
          <w:tcPr>
            <w:tcW w:w="936" w:type="dxa"/>
            <w:tcBorders>
              <w:top w:val="double" w:sz="6" w:space="0" w:color="000000"/>
            </w:tcBorders>
          </w:tcPr>
          <w:p>
            <w:pPr>
              <w:pStyle w:val="TableParagraph"/>
              <w:spacing w:line="214" w:lineRule="exact" w:before="42"/>
              <w:ind w:right="110"/>
              <w:jc w:val="right"/>
              <w:rPr>
                <w:sz w:val="20"/>
              </w:rPr>
            </w:pPr>
            <w:r>
              <w:rPr>
                <w:spacing w:val="-4"/>
                <w:sz w:val="20"/>
              </w:rPr>
              <w:t>-</w:t>
            </w:r>
            <w:r>
              <w:rPr>
                <w:spacing w:val="-2"/>
                <w:sz w:val="20"/>
              </w:rPr>
              <w:t>2.056420</w:t>
            </w:r>
          </w:p>
        </w:tc>
        <w:tc>
          <w:tcPr>
            <w:tcW w:w="896" w:type="dxa"/>
            <w:tcBorders>
              <w:top w:val="double" w:sz="6" w:space="0" w:color="000000"/>
            </w:tcBorders>
          </w:tcPr>
          <w:p>
            <w:pPr>
              <w:pStyle w:val="TableParagraph"/>
              <w:spacing w:line="214" w:lineRule="exact" w:before="42"/>
              <w:ind w:right="26"/>
              <w:jc w:val="right"/>
              <w:rPr>
                <w:sz w:val="20"/>
              </w:rPr>
            </w:pPr>
            <w:r>
              <w:rPr>
                <w:spacing w:val="-2"/>
                <w:sz w:val="20"/>
              </w:rPr>
              <w:t>0.0468</w:t>
            </w:r>
          </w:p>
        </w:tc>
      </w:tr>
      <w:tr>
        <w:trPr>
          <w:trHeight w:val="229" w:hRule="atLeast"/>
        </w:trPr>
        <w:tc>
          <w:tcPr>
            <w:tcW w:w="1847" w:type="dxa"/>
          </w:tcPr>
          <w:p>
            <w:pPr>
              <w:pStyle w:val="TableParagraph"/>
              <w:spacing w:line="209" w:lineRule="exact"/>
              <w:ind w:left="432"/>
              <w:rPr>
                <w:sz w:val="20"/>
              </w:rPr>
            </w:pPr>
            <w:r>
              <w:rPr>
                <w:spacing w:val="-2"/>
                <w:sz w:val="20"/>
              </w:rPr>
              <w:t>D(USIRD(-</w:t>
            </w:r>
            <w:r>
              <w:rPr>
                <w:spacing w:val="-5"/>
                <w:sz w:val="20"/>
              </w:rPr>
              <w:t>1))</w:t>
            </w:r>
          </w:p>
        </w:tc>
        <w:tc>
          <w:tcPr>
            <w:tcW w:w="1375" w:type="dxa"/>
          </w:tcPr>
          <w:p>
            <w:pPr>
              <w:pStyle w:val="TableParagraph"/>
              <w:spacing w:line="209" w:lineRule="exact"/>
              <w:ind w:right="128"/>
              <w:jc w:val="right"/>
              <w:rPr>
                <w:sz w:val="20"/>
              </w:rPr>
            </w:pPr>
            <w:r>
              <w:rPr>
                <w:spacing w:val="-2"/>
                <w:sz w:val="20"/>
              </w:rPr>
              <w:t>0.024122</w:t>
            </w:r>
          </w:p>
        </w:tc>
        <w:tc>
          <w:tcPr>
            <w:tcW w:w="1432" w:type="dxa"/>
          </w:tcPr>
          <w:p>
            <w:pPr>
              <w:pStyle w:val="TableParagraph"/>
              <w:spacing w:line="209" w:lineRule="exact"/>
              <w:ind w:left="311"/>
              <w:rPr>
                <w:sz w:val="20"/>
              </w:rPr>
            </w:pPr>
            <w:r>
              <w:rPr>
                <w:spacing w:val="-2"/>
                <w:sz w:val="20"/>
              </w:rPr>
              <w:t>0.150434</w:t>
            </w:r>
          </w:p>
        </w:tc>
        <w:tc>
          <w:tcPr>
            <w:tcW w:w="936" w:type="dxa"/>
          </w:tcPr>
          <w:p>
            <w:pPr>
              <w:pStyle w:val="TableParagraph"/>
              <w:spacing w:line="209" w:lineRule="exact"/>
              <w:ind w:right="110"/>
              <w:jc w:val="right"/>
              <w:rPr>
                <w:sz w:val="20"/>
              </w:rPr>
            </w:pPr>
            <w:r>
              <w:rPr>
                <w:spacing w:val="-2"/>
                <w:sz w:val="20"/>
              </w:rPr>
              <w:t>0.160350</w:t>
            </w:r>
          </w:p>
        </w:tc>
        <w:tc>
          <w:tcPr>
            <w:tcW w:w="896" w:type="dxa"/>
          </w:tcPr>
          <w:p>
            <w:pPr>
              <w:pStyle w:val="TableParagraph"/>
              <w:spacing w:line="209" w:lineRule="exact"/>
              <w:ind w:right="26"/>
              <w:jc w:val="right"/>
              <w:rPr>
                <w:sz w:val="20"/>
              </w:rPr>
            </w:pPr>
            <w:r>
              <w:rPr>
                <w:spacing w:val="-2"/>
                <w:sz w:val="20"/>
              </w:rPr>
              <w:t>0.8735</w:t>
            </w:r>
          </w:p>
        </w:tc>
      </w:tr>
      <w:tr>
        <w:trPr>
          <w:trHeight w:val="224" w:hRule="atLeast"/>
        </w:trPr>
        <w:tc>
          <w:tcPr>
            <w:tcW w:w="1847" w:type="dxa"/>
            <w:tcBorders>
              <w:bottom w:val="double" w:sz="6" w:space="0" w:color="000000"/>
            </w:tcBorders>
          </w:tcPr>
          <w:p>
            <w:pPr>
              <w:pStyle w:val="TableParagraph"/>
              <w:spacing w:line="205" w:lineRule="exact"/>
              <w:ind w:left="197"/>
              <w:jc w:val="center"/>
              <w:rPr>
                <w:sz w:val="20"/>
              </w:rPr>
            </w:pPr>
            <w:r>
              <w:rPr>
                <w:spacing w:val="-10"/>
                <w:sz w:val="20"/>
              </w:rPr>
              <w:t>C</w:t>
            </w:r>
          </w:p>
        </w:tc>
        <w:tc>
          <w:tcPr>
            <w:tcW w:w="1375" w:type="dxa"/>
            <w:tcBorders>
              <w:bottom w:val="double" w:sz="6" w:space="0" w:color="000000"/>
            </w:tcBorders>
          </w:tcPr>
          <w:p>
            <w:pPr>
              <w:pStyle w:val="TableParagraph"/>
              <w:spacing w:line="205" w:lineRule="exact"/>
              <w:ind w:right="128"/>
              <w:jc w:val="right"/>
              <w:rPr>
                <w:sz w:val="20"/>
              </w:rPr>
            </w:pPr>
            <w:r>
              <w:rPr>
                <w:spacing w:val="-2"/>
                <w:sz w:val="20"/>
              </w:rPr>
              <w:t>0.408726</w:t>
            </w:r>
          </w:p>
        </w:tc>
        <w:tc>
          <w:tcPr>
            <w:tcW w:w="1432" w:type="dxa"/>
            <w:tcBorders>
              <w:bottom w:val="double" w:sz="6" w:space="0" w:color="000000"/>
            </w:tcBorders>
          </w:tcPr>
          <w:p>
            <w:pPr>
              <w:pStyle w:val="TableParagraph"/>
              <w:spacing w:line="205" w:lineRule="exact"/>
              <w:ind w:left="311"/>
              <w:rPr>
                <w:sz w:val="20"/>
              </w:rPr>
            </w:pPr>
            <w:r>
              <w:rPr>
                <w:spacing w:val="-2"/>
                <w:sz w:val="20"/>
              </w:rPr>
              <w:t>0.220226</w:t>
            </w:r>
          </w:p>
        </w:tc>
        <w:tc>
          <w:tcPr>
            <w:tcW w:w="936" w:type="dxa"/>
            <w:tcBorders>
              <w:bottom w:val="double" w:sz="6" w:space="0" w:color="000000"/>
            </w:tcBorders>
          </w:tcPr>
          <w:p>
            <w:pPr>
              <w:pStyle w:val="TableParagraph"/>
              <w:spacing w:line="205" w:lineRule="exact"/>
              <w:ind w:right="110"/>
              <w:jc w:val="right"/>
              <w:rPr>
                <w:sz w:val="20"/>
              </w:rPr>
            </w:pPr>
            <w:r>
              <w:rPr>
                <w:spacing w:val="-2"/>
                <w:sz w:val="20"/>
              </w:rPr>
              <w:t>1.855942</w:t>
            </w:r>
          </w:p>
        </w:tc>
        <w:tc>
          <w:tcPr>
            <w:tcW w:w="896" w:type="dxa"/>
            <w:tcBorders>
              <w:bottom w:val="double" w:sz="6" w:space="0" w:color="000000"/>
            </w:tcBorders>
          </w:tcPr>
          <w:p>
            <w:pPr>
              <w:pStyle w:val="TableParagraph"/>
              <w:spacing w:line="205" w:lineRule="exact"/>
              <w:ind w:right="26"/>
              <w:jc w:val="right"/>
              <w:rPr>
                <w:sz w:val="20"/>
              </w:rPr>
            </w:pPr>
            <w:r>
              <w:rPr>
                <w:spacing w:val="-2"/>
                <w:sz w:val="20"/>
              </w:rPr>
              <w:t>0.0714</w:t>
            </w:r>
          </w:p>
        </w:tc>
      </w:tr>
      <w:tr>
        <w:trPr>
          <w:trHeight w:val="276" w:hRule="atLeast"/>
        </w:trPr>
        <w:tc>
          <w:tcPr>
            <w:tcW w:w="1847" w:type="dxa"/>
            <w:tcBorders>
              <w:top w:val="double" w:sz="6" w:space="0" w:color="000000"/>
            </w:tcBorders>
          </w:tcPr>
          <w:p>
            <w:pPr>
              <w:pStyle w:val="TableParagraph"/>
              <w:spacing w:line="214" w:lineRule="exact" w:before="42"/>
              <w:ind w:left="36"/>
              <w:rPr>
                <w:sz w:val="20"/>
              </w:rPr>
            </w:pPr>
            <w:r>
              <w:rPr>
                <w:spacing w:val="-2"/>
                <w:sz w:val="20"/>
              </w:rPr>
              <w:t>R-squared</w:t>
            </w:r>
          </w:p>
        </w:tc>
        <w:tc>
          <w:tcPr>
            <w:tcW w:w="1375" w:type="dxa"/>
            <w:tcBorders>
              <w:top w:val="double" w:sz="6" w:space="0" w:color="000000"/>
            </w:tcBorders>
          </w:tcPr>
          <w:p>
            <w:pPr>
              <w:pStyle w:val="TableParagraph"/>
              <w:spacing w:line="214" w:lineRule="exact" w:before="42"/>
              <w:ind w:right="128"/>
              <w:jc w:val="right"/>
              <w:rPr>
                <w:sz w:val="20"/>
              </w:rPr>
            </w:pPr>
            <w:r>
              <w:rPr>
                <w:spacing w:val="-2"/>
                <w:sz w:val="20"/>
              </w:rPr>
              <w:t>0.106492</w:t>
            </w:r>
          </w:p>
        </w:tc>
        <w:tc>
          <w:tcPr>
            <w:tcW w:w="2368" w:type="dxa"/>
            <w:gridSpan w:val="2"/>
            <w:tcBorders>
              <w:top w:val="double" w:sz="6" w:space="0" w:color="000000"/>
            </w:tcBorders>
          </w:tcPr>
          <w:p>
            <w:pPr>
              <w:pStyle w:val="TableParagraph"/>
              <w:spacing w:line="214" w:lineRule="exact" w:before="42"/>
              <w:ind w:left="131"/>
              <w:rPr>
                <w:sz w:val="20"/>
              </w:rPr>
            </w:pPr>
            <w:r>
              <w:rPr>
                <w:sz w:val="20"/>
              </w:rPr>
              <w:t>Mean</w:t>
            </w:r>
            <w:r>
              <w:rPr>
                <w:spacing w:val="-7"/>
                <w:sz w:val="20"/>
              </w:rPr>
              <w:t> </w:t>
            </w:r>
            <w:r>
              <w:rPr>
                <w:sz w:val="20"/>
              </w:rPr>
              <w:t>dependent</w:t>
            </w:r>
            <w:r>
              <w:rPr>
                <w:spacing w:val="-7"/>
                <w:sz w:val="20"/>
              </w:rPr>
              <w:t> </w:t>
            </w:r>
            <w:r>
              <w:rPr>
                <w:spacing w:val="-5"/>
                <w:sz w:val="20"/>
              </w:rPr>
              <w:t>var</w:t>
            </w:r>
          </w:p>
        </w:tc>
        <w:tc>
          <w:tcPr>
            <w:tcW w:w="896" w:type="dxa"/>
            <w:tcBorders>
              <w:top w:val="double" w:sz="6" w:space="0" w:color="000000"/>
            </w:tcBorders>
          </w:tcPr>
          <w:p>
            <w:pPr>
              <w:pStyle w:val="TableParagraph"/>
              <w:spacing w:line="214" w:lineRule="exact" w:before="42"/>
              <w:ind w:right="26"/>
              <w:jc w:val="right"/>
              <w:rPr>
                <w:sz w:val="20"/>
              </w:rPr>
            </w:pPr>
            <w:r>
              <w:rPr>
                <w:spacing w:val="-2"/>
                <w:sz w:val="20"/>
              </w:rPr>
              <w:t>0.013283</w:t>
            </w:r>
          </w:p>
        </w:tc>
      </w:tr>
      <w:tr>
        <w:trPr>
          <w:trHeight w:val="229" w:hRule="atLeast"/>
        </w:trPr>
        <w:tc>
          <w:tcPr>
            <w:tcW w:w="1847" w:type="dxa"/>
          </w:tcPr>
          <w:p>
            <w:pPr>
              <w:pStyle w:val="TableParagraph"/>
              <w:spacing w:line="209" w:lineRule="exact"/>
              <w:ind w:left="36"/>
              <w:rPr>
                <w:sz w:val="20"/>
              </w:rPr>
            </w:pPr>
            <w:r>
              <w:rPr>
                <w:sz w:val="20"/>
              </w:rPr>
              <w:t>Adjusted</w:t>
            </w:r>
            <w:r>
              <w:rPr>
                <w:spacing w:val="-10"/>
                <w:sz w:val="20"/>
              </w:rPr>
              <w:t> </w:t>
            </w:r>
            <w:r>
              <w:rPr>
                <w:sz w:val="20"/>
              </w:rPr>
              <w:t>R-</w:t>
            </w:r>
            <w:r>
              <w:rPr>
                <w:spacing w:val="-2"/>
                <w:sz w:val="20"/>
              </w:rPr>
              <w:t>squared</w:t>
            </w:r>
          </w:p>
        </w:tc>
        <w:tc>
          <w:tcPr>
            <w:tcW w:w="1375" w:type="dxa"/>
          </w:tcPr>
          <w:p>
            <w:pPr>
              <w:pStyle w:val="TableParagraph"/>
              <w:spacing w:line="209" w:lineRule="exact"/>
              <w:ind w:right="128"/>
              <w:jc w:val="right"/>
              <w:rPr>
                <w:sz w:val="20"/>
              </w:rPr>
            </w:pPr>
            <w:r>
              <w:rPr>
                <w:spacing w:val="-2"/>
                <w:sz w:val="20"/>
              </w:rPr>
              <w:t>0.058195</w:t>
            </w:r>
          </w:p>
        </w:tc>
        <w:tc>
          <w:tcPr>
            <w:tcW w:w="2368" w:type="dxa"/>
            <w:gridSpan w:val="2"/>
          </w:tcPr>
          <w:p>
            <w:pPr>
              <w:pStyle w:val="TableParagraph"/>
              <w:spacing w:line="209" w:lineRule="exact"/>
              <w:ind w:left="131"/>
              <w:rPr>
                <w:sz w:val="20"/>
              </w:rPr>
            </w:pPr>
            <w:r>
              <w:rPr>
                <w:sz w:val="20"/>
              </w:rPr>
              <w:t>S.D.</w:t>
            </w:r>
            <w:r>
              <w:rPr>
                <w:spacing w:val="-5"/>
                <w:sz w:val="20"/>
              </w:rPr>
              <w:t> </w:t>
            </w:r>
            <w:r>
              <w:rPr>
                <w:sz w:val="20"/>
              </w:rPr>
              <w:t>dependent</w:t>
            </w:r>
            <w:r>
              <w:rPr>
                <w:spacing w:val="-6"/>
                <w:sz w:val="20"/>
              </w:rPr>
              <w:t> </w:t>
            </w:r>
            <w:r>
              <w:rPr>
                <w:spacing w:val="-5"/>
                <w:sz w:val="20"/>
              </w:rPr>
              <w:t>var</w:t>
            </w:r>
          </w:p>
        </w:tc>
        <w:tc>
          <w:tcPr>
            <w:tcW w:w="896" w:type="dxa"/>
          </w:tcPr>
          <w:p>
            <w:pPr>
              <w:pStyle w:val="TableParagraph"/>
              <w:spacing w:line="209" w:lineRule="exact"/>
              <w:ind w:right="26"/>
              <w:jc w:val="right"/>
              <w:rPr>
                <w:sz w:val="20"/>
              </w:rPr>
            </w:pPr>
            <w:r>
              <w:rPr>
                <w:spacing w:val="-2"/>
                <w:sz w:val="20"/>
              </w:rPr>
              <w:t>0.717416</w:t>
            </w:r>
          </w:p>
        </w:tc>
      </w:tr>
      <w:tr>
        <w:trPr>
          <w:trHeight w:val="230" w:hRule="atLeast"/>
        </w:trPr>
        <w:tc>
          <w:tcPr>
            <w:tcW w:w="1847" w:type="dxa"/>
          </w:tcPr>
          <w:p>
            <w:pPr>
              <w:pStyle w:val="TableParagraph"/>
              <w:spacing w:line="210" w:lineRule="exact"/>
              <w:ind w:left="36"/>
              <w:rPr>
                <w:sz w:val="20"/>
              </w:rPr>
            </w:pPr>
            <w:r>
              <w:rPr>
                <w:sz w:val="20"/>
              </w:rPr>
              <w:t>S.E.</w:t>
            </w:r>
            <w:r>
              <w:rPr>
                <w:spacing w:val="-3"/>
                <w:sz w:val="20"/>
              </w:rPr>
              <w:t> </w:t>
            </w:r>
            <w:r>
              <w:rPr>
                <w:sz w:val="20"/>
              </w:rPr>
              <w:t>of</w:t>
            </w:r>
            <w:r>
              <w:rPr>
                <w:spacing w:val="-3"/>
                <w:sz w:val="20"/>
              </w:rPr>
              <w:t> </w:t>
            </w:r>
            <w:r>
              <w:rPr>
                <w:spacing w:val="-2"/>
                <w:sz w:val="20"/>
              </w:rPr>
              <w:t>regression</w:t>
            </w:r>
          </w:p>
        </w:tc>
        <w:tc>
          <w:tcPr>
            <w:tcW w:w="1375" w:type="dxa"/>
          </w:tcPr>
          <w:p>
            <w:pPr>
              <w:pStyle w:val="TableParagraph"/>
              <w:spacing w:line="210" w:lineRule="exact"/>
              <w:ind w:right="128"/>
              <w:jc w:val="right"/>
              <w:rPr>
                <w:sz w:val="20"/>
              </w:rPr>
            </w:pPr>
            <w:r>
              <w:rPr>
                <w:spacing w:val="-2"/>
                <w:sz w:val="20"/>
              </w:rPr>
              <w:t>0.696229</w:t>
            </w:r>
          </w:p>
        </w:tc>
        <w:tc>
          <w:tcPr>
            <w:tcW w:w="2368" w:type="dxa"/>
            <w:gridSpan w:val="2"/>
          </w:tcPr>
          <w:p>
            <w:pPr>
              <w:pStyle w:val="TableParagraph"/>
              <w:spacing w:line="210" w:lineRule="exact"/>
              <w:ind w:left="131"/>
              <w:rPr>
                <w:sz w:val="20"/>
              </w:rPr>
            </w:pPr>
            <w:r>
              <w:rPr>
                <w:sz w:val="20"/>
              </w:rPr>
              <w:t>Akaike</w:t>
            </w:r>
            <w:r>
              <w:rPr>
                <w:spacing w:val="-8"/>
                <w:sz w:val="20"/>
              </w:rPr>
              <w:t> </w:t>
            </w:r>
            <w:r>
              <w:rPr>
                <w:sz w:val="20"/>
              </w:rPr>
              <w:t>info</w:t>
            </w:r>
            <w:r>
              <w:rPr>
                <w:spacing w:val="-7"/>
                <w:sz w:val="20"/>
              </w:rPr>
              <w:t> </w:t>
            </w:r>
            <w:r>
              <w:rPr>
                <w:spacing w:val="-2"/>
                <w:sz w:val="20"/>
              </w:rPr>
              <w:t>criterion</w:t>
            </w:r>
          </w:p>
        </w:tc>
        <w:tc>
          <w:tcPr>
            <w:tcW w:w="896" w:type="dxa"/>
          </w:tcPr>
          <w:p>
            <w:pPr>
              <w:pStyle w:val="TableParagraph"/>
              <w:spacing w:line="210" w:lineRule="exact"/>
              <w:ind w:right="26"/>
              <w:jc w:val="right"/>
              <w:rPr>
                <w:sz w:val="20"/>
              </w:rPr>
            </w:pPr>
            <w:r>
              <w:rPr>
                <w:spacing w:val="-2"/>
                <w:sz w:val="20"/>
              </w:rPr>
              <w:t>2.185761</w:t>
            </w:r>
          </w:p>
        </w:tc>
      </w:tr>
      <w:tr>
        <w:trPr>
          <w:trHeight w:val="230" w:hRule="atLeast"/>
        </w:trPr>
        <w:tc>
          <w:tcPr>
            <w:tcW w:w="1847" w:type="dxa"/>
          </w:tcPr>
          <w:p>
            <w:pPr>
              <w:pStyle w:val="TableParagraph"/>
              <w:spacing w:line="210" w:lineRule="exact"/>
              <w:ind w:left="36"/>
              <w:rPr>
                <w:sz w:val="20"/>
              </w:rPr>
            </w:pPr>
            <w:r>
              <w:rPr>
                <w:sz w:val="20"/>
              </w:rPr>
              <w:t>Sum</w:t>
            </w:r>
            <w:r>
              <w:rPr>
                <w:spacing w:val="-8"/>
                <w:sz w:val="20"/>
              </w:rPr>
              <w:t> </w:t>
            </w:r>
            <w:r>
              <w:rPr>
                <w:sz w:val="20"/>
              </w:rPr>
              <w:t>squared</w:t>
            </w:r>
            <w:r>
              <w:rPr>
                <w:spacing w:val="-4"/>
                <w:sz w:val="20"/>
              </w:rPr>
              <w:t> </w:t>
            </w:r>
            <w:r>
              <w:rPr>
                <w:spacing w:val="-2"/>
                <w:sz w:val="20"/>
              </w:rPr>
              <w:t>resid</w:t>
            </w:r>
          </w:p>
        </w:tc>
        <w:tc>
          <w:tcPr>
            <w:tcW w:w="1375" w:type="dxa"/>
          </w:tcPr>
          <w:p>
            <w:pPr>
              <w:pStyle w:val="TableParagraph"/>
              <w:spacing w:line="210" w:lineRule="exact"/>
              <w:ind w:right="128"/>
              <w:jc w:val="right"/>
              <w:rPr>
                <w:sz w:val="20"/>
              </w:rPr>
            </w:pPr>
            <w:r>
              <w:rPr>
                <w:spacing w:val="-2"/>
                <w:sz w:val="20"/>
              </w:rPr>
              <w:t>17.93517</w:t>
            </w:r>
          </w:p>
        </w:tc>
        <w:tc>
          <w:tcPr>
            <w:tcW w:w="2368" w:type="dxa"/>
            <w:gridSpan w:val="2"/>
          </w:tcPr>
          <w:p>
            <w:pPr>
              <w:pStyle w:val="TableParagraph"/>
              <w:spacing w:line="210" w:lineRule="exact"/>
              <w:ind w:left="131"/>
              <w:rPr>
                <w:sz w:val="20"/>
              </w:rPr>
            </w:pPr>
            <w:r>
              <w:rPr>
                <w:sz w:val="20"/>
              </w:rPr>
              <w:t>Schwarz</w:t>
            </w:r>
            <w:r>
              <w:rPr>
                <w:spacing w:val="-8"/>
                <w:sz w:val="20"/>
              </w:rPr>
              <w:t> </w:t>
            </w:r>
            <w:r>
              <w:rPr>
                <w:spacing w:val="-2"/>
                <w:sz w:val="20"/>
              </w:rPr>
              <w:t>criterion</w:t>
            </w:r>
          </w:p>
        </w:tc>
        <w:tc>
          <w:tcPr>
            <w:tcW w:w="896" w:type="dxa"/>
          </w:tcPr>
          <w:p>
            <w:pPr>
              <w:pStyle w:val="TableParagraph"/>
              <w:spacing w:line="210" w:lineRule="exact"/>
              <w:ind w:right="26"/>
              <w:jc w:val="right"/>
              <w:rPr>
                <w:sz w:val="20"/>
              </w:rPr>
            </w:pPr>
            <w:r>
              <w:rPr>
                <w:spacing w:val="-2"/>
                <w:sz w:val="20"/>
              </w:rPr>
              <w:t>2.312427</w:t>
            </w:r>
          </w:p>
        </w:tc>
      </w:tr>
      <w:tr>
        <w:trPr>
          <w:trHeight w:val="230" w:hRule="atLeast"/>
        </w:trPr>
        <w:tc>
          <w:tcPr>
            <w:tcW w:w="1847" w:type="dxa"/>
          </w:tcPr>
          <w:p>
            <w:pPr>
              <w:pStyle w:val="TableParagraph"/>
              <w:spacing w:line="210" w:lineRule="exact"/>
              <w:ind w:left="36"/>
              <w:rPr>
                <w:sz w:val="20"/>
              </w:rPr>
            </w:pPr>
            <w:r>
              <w:rPr>
                <w:sz w:val="20"/>
              </w:rPr>
              <w:t>Log</w:t>
            </w:r>
            <w:r>
              <w:rPr>
                <w:spacing w:val="-6"/>
                <w:sz w:val="20"/>
              </w:rPr>
              <w:t> </w:t>
            </w:r>
            <w:r>
              <w:rPr>
                <w:spacing w:val="-2"/>
                <w:sz w:val="20"/>
              </w:rPr>
              <w:t>likelihood</w:t>
            </w:r>
          </w:p>
        </w:tc>
        <w:tc>
          <w:tcPr>
            <w:tcW w:w="1375" w:type="dxa"/>
          </w:tcPr>
          <w:p>
            <w:pPr>
              <w:pStyle w:val="TableParagraph"/>
              <w:spacing w:line="210" w:lineRule="exact"/>
              <w:ind w:right="128"/>
              <w:jc w:val="right"/>
              <w:rPr>
                <w:sz w:val="20"/>
              </w:rPr>
            </w:pPr>
            <w:r>
              <w:rPr>
                <w:spacing w:val="-4"/>
                <w:sz w:val="20"/>
              </w:rPr>
              <w:t>-</w:t>
            </w:r>
            <w:r>
              <w:rPr>
                <w:spacing w:val="-2"/>
                <w:sz w:val="20"/>
              </w:rPr>
              <w:t>40.71522</w:t>
            </w:r>
          </w:p>
        </w:tc>
        <w:tc>
          <w:tcPr>
            <w:tcW w:w="1432" w:type="dxa"/>
          </w:tcPr>
          <w:p>
            <w:pPr>
              <w:pStyle w:val="TableParagraph"/>
              <w:spacing w:line="210" w:lineRule="exact"/>
              <w:ind w:left="131"/>
              <w:rPr>
                <w:sz w:val="20"/>
              </w:rPr>
            </w:pPr>
            <w:r>
              <w:rPr>
                <w:spacing w:val="-4"/>
                <w:sz w:val="20"/>
              </w:rPr>
              <w:t>F-</w:t>
            </w:r>
            <w:r>
              <w:rPr>
                <w:spacing w:val="-2"/>
                <w:sz w:val="20"/>
              </w:rPr>
              <w:t>statistic</w:t>
            </w:r>
          </w:p>
        </w:tc>
        <w:tc>
          <w:tcPr>
            <w:tcW w:w="936" w:type="dxa"/>
          </w:tcPr>
          <w:p>
            <w:pPr>
              <w:pStyle w:val="TableParagraph"/>
              <w:rPr>
                <w:sz w:val="16"/>
              </w:rPr>
            </w:pPr>
          </w:p>
        </w:tc>
        <w:tc>
          <w:tcPr>
            <w:tcW w:w="896" w:type="dxa"/>
          </w:tcPr>
          <w:p>
            <w:pPr>
              <w:pStyle w:val="TableParagraph"/>
              <w:spacing w:line="210" w:lineRule="exact"/>
              <w:ind w:right="26"/>
              <w:jc w:val="right"/>
              <w:rPr>
                <w:sz w:val="20"/>
              </w:rPr>
            </w:pPr>
            <w:r>
              <w:rPr>
                <w:spacing w:val="-2"/>
                <w:sz w:val="20"/>
              </w:rPr>
              <w:t>2.204913</w:t>
            </w:r>
          </w:p>
        </w:tc>
      </w:tr>
      <w:tr>
        <w:trPr>
          <w:trHeight w:val="265" w:hRule="atLeast"/>
        </w:trPr>
        <w:tc>
          <w:tcPr>
            <w:tcW w:w="1847" w:type="dxa"/>
            <w:tcBorders>
              <w:bottom w:val="double" w:sz="6" w:space="0" w:color="000000"/>
            </w:tcBorders>
          </w:tcPr>
          <w:p>
            <w:pPr>
              <w:pStyle w:val="TableParagraph"/>
              <w:spacing w:line="226" w:lineRule="exact"/>
              <w:ind w:left="36"/>
              <w:rPr>
                <w:sz w:val="20"/>
              </w:rPr>
            </w:pPr>
            <w:r>
              <w:rPr>
                <w:sz w:val="20"/>
              </w:rPr>
              <w:t>Durbin-Watson</w:t>
            </w:r>
            <w:r>
              <w:rPr>
                <w:spacing w:val="-12"/>
                <w:sz w:val="20"/>
              </w:rPr>
              <w:t> </w:t>
            </w:r>
            <w:r>
              <w:rPr>
                <w:spacing w:val="-4"/>
                <w:sz w:val="20"/>
              </w:rPr>
              <w:t>stat</w:t>
            </w:r>
          </w:p>
        </w:tc>
        <w:tc>
          <w:tcPr>
            <w:tcW w:w="1375" w:type="dxa"/>
          </w:tcPr>
          <w:p>
            <w:pPr>
              <w:pStyle w:val="TableParagraph"/>
              <w:spacing w:line="226" w:lineRule="exact"/>
              <w:ind w:right="128"/>
              <w:jc w:val="right"/>
              <w:rPr>
                <w:sz w:val="20"/>
              </w:rPr>
            </w:pPr>
            <w:r>
              <w:rPr>
                <w:spacing w:val="-2"/>
                <w:sz w:val="20"/>
              </w:rPr>
              <w:t>1.981879</w:t>
            </w:r>
          </w:p>
        </w:tc>
        <w:tc>
          <w:tcPr>
            <w:tcW w:w="1432" w:type="dxa"/>
            <w:tcBorders>
              <w:bottom w:val="double" w:sz="6" w:space="0" w:color="000000"/>
            </w:tcBorders>
          </w:tcPr>
          <w:p>
            <w:pPr>
              <w:pStyle w:val="TableParagraph"/>
              <w:spacing w:line="226" w:lineRule="exact"/>
              <w:ind w:left="131"/>
              <w:rPr>
                <w:sz w:val="20"/>
              </w:rPr>
            </w:pPr>
            <w:r>
              <w:rPr>
                <w:spacing w:val="-2"/>
                <w:sz w:val="20"/>
              </w:rPr>
              <w:t>Prob(F-statistic)</w:t>
            </w:r>
          </w:p>
        </w:tc>
        <w:tc>
          <w:tcPr>
            <w:tcW w:w="936" w:type="dxa"/>
            <w:tcBorders>
              <w:bottom w:val="single" w:sz="6" w:space="0" w:color="000000"/>
            </w:tcBorders>
          </w:tcPr>
          <w:p>
            <w:pPr>
              <w:pStyle w:val="TableParagraph"/>
              <w:rPr>
                <w:sz w:val="18"/>
              </w:rPr>
            </w:pPr>
          </w:p>
        </w:tc>
        <w:tc>
          <w:tcPr>
            <w:tcW w:w="896" w:type="dxa"/>
            <w:tcBorders>
              <w:bottom w:val="double" w:sz="6" w:space="0" w:color="000000"/>
            </w:tcBorders>
          </w:tcPr>
          <w:p>
            <w:pPr>
              <w:pStyle w:val="TableParagraph"/>
              <w:spacing w:line="226" w:lineRule="exact"/>
              <w:ind w:right="26"/>
              <w:jc w:val="right"/>
              <w:rPr>
                <w:sz w:val="20"/>
              </w:rPr>
            </w:pPr>
            <w:r>
              <w:rPr>
                <w:spacing w:val="-2"/>
                <w:sz w:val="20"/>
              </w:rPr>
              <w:t>0.124543</w:t>
            </w:r>
          </w:p>
        </w:tc>
      </w:tr>
    </w:tbl>
    <w:p>
      <w:pPr>
        <w:pStyle w:val="BodyText"/>
        <w:rPr>
          <w:sz w:val="20"/>
        </w:rPr>
      </w:pPr>
    </w:p>
    <w:p>
      <w:pPr>
        <w:pStyle w:val="BodyText"/>
        <w:spacing w:before="16"/>
        <w:rPr>
          <w:sz w:val="20"/>
        </w:rPr>
      </w:pPr>
    </w:p>
    <w:p>
      <w:pPr>
        <w:spacing w:before="0"/>
        <w:ind w:left="711" w:right="0" w:firstLine="0"/>
        <w:jc w:val="left"/>
        <w:rPr>
          <w:sz w:val="20"/>
        </w:rPr>
      </w:pPr>
      <w:r>
        <w:rPr>
          <w:sz w:val="20"/>
        </w:rPr>
        <w:t>USIRD</w:t>
      </w:r>
      <w:r>
        <w:rPr>
          <w:spacing w:val="-2"/>
          <w:sz w:val="20"/>
        </w:rPr>
        <w:t> </w:t>
      </w:r>
      <w:r>
        <w:rPr>
          <w:sz w:val="20"/>
        </w:rPr>
        <w:t>@</w:t>
      </w:r>
      <w:r>
        <w:rPr>
          <w:spacing w:val="-5"/>
          <w:sz w:val="20"/>
        </w:rPr>
        <w:t> </w:t>
      </w:r>
      <w:r>
        <w:rPr>
          <w:sz w:val="20"/>
        </w:rPr>
        <w:t>1</w:t>
      </w:r>
      <w:r>
        <w:rPr>
          <w:sz w:val="20"/>
          <w:vertAlign w:val="superscript"/>
        </w:rPr>
        <w:t>ST</w:t>
      </w:r>
      <w:r>
        <w:rPr>
          <w:spacing w:val="-5"/>
          <w:sz w:val="20"/>
          <w:vertAlign w:val="baseline"/>
        </w:rPr>
        <w:t> </w:t>
      </w:r>
      <w:r>
        <w:rPr>
          <w:spacing w:val="-4"/>
          <w:sz w:val="20"/>
          <w:vertAlign w:val="baseline"/>
        </w:rPr>
        <w:t>DIFF</w:t>
      </w:r>
    </w:p>
    <w:tbl>
      <w:tblPr>
        <w:tblW w:w="0" w:type="auto"/>
        <w:jc w:val="left"/>
        <w:tblInd w:w="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14"/>
        <w:gridCol w:w="1307"/>
        <w:gridCol w:w="1248"/>
        <w:gridCol w:w="1090"/>
        <w:gridCol w:w="929"/>
      </w:tblGrid>
      <w:tr>
        <w:trPr>
          <w:trHeight w:val="225" w:hRule="atLeast"/>
        </w:trPr>
        <w:tc>
          <w:tcPr>
            <w:tcW w:w="1914" w:type="dxa"/>
          </w:tcPr>
          <w:p>
            <w:pPr>
              <w:pStyle w:val="TableParagraph"/>
              <w:spacing w:line="205" w:lineRule="exact"/>
              <w:ind w:left="36"/>
              <w:rPr>
                <w:b/>
                <w:sz w:val="20"/>
              </w:rPr>
            </w:pPr>
            <w:r>
              <w:rPr>
                <w:b/>
                <w:sz w:val="20"/>
              </w:rPr>
              <w:t>ADF</w:t>
            </w:r>
            <w:r>
              <w:rPr>
                <w:b/>
                <w:spacing w:val="-4"/>
                <w:sz w:val="20"/>
              </w:rPr>
              <w:t> </w:t>
            </w:r>
            <w:r>
              <w:rPr>
                <w:b/>
                <w:sz w:val="20"/>
              </w:rPr>
              <w:t>Test</w:t>
            </w:r>
            <w:r>
              <w:rPr>
                <w:b/>
                <w:spacing w:val="-4"/>
                <w:sz w:val="20"/>
              </w:rPr>
              <w:t> </w:t>
            </w:r>
            <w:r>
              <w:rPr>
                <w:b/>
                <w:spacing w:val="-2"/>
                <w:sz w:val="20"/>
              </w:rPr>
              <w:t>Statistic</w:t>
            </w:r>
          </w:p>
        </w:tc>
        <w:tc>
          <w:tcPr>
            <w:tcW w:w="1307" w:type="dxa"/>
          </w:tcPr>
          <w:p>
            <w:pPr>
              <w:pStyle w:val="TableParagraph"/>
              <w:spacing w:line="205" w:lineRule="exact"/>
              <w:ind w:left="152"/>
              <w:rPr>
                <w:b/>
                <w:sz w:val="20"/>
              </w:rPr>
            </w:pPr>
            <w:r>
              <w:rPr>
                <w:b/>
                <w:spacing w:val="-2"/>
                <w:sz w:val="20"/>
              </w:rPr>
              <w:t>-6.618476</w:t>
            </w:r>
          </w:p>
        </w:tc>
        <w:tc>
          <w:tcPr>
            <w:tcW w:w="2338" w:type="dxa"/>
            <w:gridSpan w:val="2"/>
          </w:tcPr>
          <w:p>
            <w:pPr>
              <w:pStyle w:val="TableParagraph"/>
              <w:spacing w:line="205" w:lineRule="exact"/>
              <w:ind w:left="132"/>
              <w:rPr>
                <w:b/>
                <w:sz w:val="20"/>
              </w:rPr>
            </w:pPr>
            <w:r>
              <w:rPr>
                <w:b/>
                <w:sz w:val="20"/>
              </w:rPr>
              <w:t>1%</w:t>
            </w:r>
            <w:r>
              <w:rPr>
                <w:b/>
                <w:spacing w:val="70"/>
                <w:w w:val="150"/>
                <w:sz w:val="20"/>
              </w:rPr>
              <w:t> </w:t>
            </w:r>
            <w:r>
              <w:rPr>
                <w:b/>
                <w:sz w:val="20"/>
              </w:rPr>
              <w:t>Critical</w:t>
            </w:r>
            <w:r>
              <w:rPr>
                <w:b/>
                <w:spacing w:val="-3"/>
                <w:sz w:val="20"/>
              </w:rPr>
              <w:t> </w:t>
            </w:r>
            <w:r>
              <w:rPr>
                <w:b/>
                <w:spacing w:val="-2"/>
                <w:sz w:val="20"/>
              </w:rPr>
              <w:t>Value*</w:t>
            </w:r>
          </w:p>
        </w:tc>
        <w:tc>
          <w:tcPr>
            <w:tcW w:w="929" w:type="dxa"/>
          </w:tcPr>
          <w:p>
            <w:pPr>
              <w:pStyle w:val="TableParagraph"/>
              <w:spacing w:line="205" w:lineRule="exact"/>
              <w:ind w:right="28"/>
              <w:jc w:val="right"/>
              <w:rPr>
                <w:b/>
                <w:sz w:val="20"/>
              </w:rPr>
            </w:pPr>
            <w:r>
              <w:rPr>
                <w:b/>
                <w:spacing w:val="-2"/>
                <w:sz w:val="20"/>
              </w:rPr>
              <w:t>-3.6067</w:t>
            </w:r>
          </w:p>
        </w:tc>
      </w:tr>
      <w:tr>
        <w:trPr>
          <w:trHeight w:val="230" w:hRule="atLeast"/>
        </w:trPr>
        <w:tc>
          <w:tcPr>
            <w:tcW w:w="1914" w:type="dxa"/>
          </w:tcPr>
          <w:p>
            <w:pPr>
              <w:pStyle w:val="TableParagraph"/>
              <w:rPr>
                <w:sz w:val="16"/>
              </w:rPr>
            </w:pPr>
          </w:p>
        </w:tc>
        <w:tc>
          <w:tcPr>
            <w:tcW w:w="1307" w:type="dxa"/>
          </w:tcPr>
          <w:p>
            <w:pPr>
              <w:pStyle w:val="TableParagraph"/>
              <w:rPr>
                <w:sz w:val="16"/>
              </w:rPr>
            </w:pPr>
          </w:p>
        </w:tc>
        <w:tc>
          <w:tcPr>
            <w:tcW w:w="2338" w:type="dxa"/>
            <w:gridSpan w:val="2"/>
          </w:tcPr>
          <w:p>
            <w:pPr>
              <w:pStyle w:val="TableParagraph"/>
              <w:spacing w:line="210" w:lineRule="exact"/>
              <w:ind w:left="132"/>
              <w:rPr>
                <w:b/>
                <w:sz w:val="20"/>
              </w:rPr>
            </w:pPr>
            <w:r>
              <w:rPr>
                <w:b/>
                <w:sz w:val="20"/>
              </w:rPr>
              <w:t>5%</w:t>
            </w:r>
            <w:r>
              <w:rPr>
                <w:b/>
                <w:spacing w:val="70"/>
                <w:w w:val="150"/>
                <w:sz w:val="20"/>
              </w:rPr>
              <w:t> </w:t>
            </w:r>
            <w:r>
              <w:rPr>
                <w:b/>
                <w:sz w:val="20"/>
              </w:rPr>
              <w:t>Critical</w:t>
            </w:r>
            <w:r>
              <w:rPr>
                <w:b/>
                <w:spacing w:val="-3"/>
                <w:sz w:val="20"/>
              </w:rPr>
              <w:t> </w:t>
            </w:r>
            <w:r>
              <w:rPr>
                <w:b/>
                <w:spacing w:val="-2"/>
                <w:sz w:val="20"/>
              </w:rPr>
              <w:t>Value</w:t>
            </w:r>
          </w:p>
        </w:tc>
        <w:tc>
          <w:tcPr>
            <w:tcW w:w="929" w:type="dxa"/>
          </w:tcPr>
          <w:p>
            <w:pPr>
              <w:pStyle w:val="TableParagraph"/>
              <w:spacing w:line="210" w:lineRule="exact"/>
              <w:ind w:right="28"/>
              <w:jc w:val="right"/>
              <w:rPr>
                <w:b/>
                <w:sz w:val="20"/>
              </w:rPr>
            </w:pPr>
            <w:r>
              <w:rPr>
                <w:b/>
                <w:spacing w:val="-2"/>
                <w:sz w:val="20"/>
              </w:rPr>
              <w:t>-2.9378</w:t>
            </w:r>
          </w:p>
        </w:tc>
      </w:tr>
      <w:tr>
        <w:trPr>
          <w:trHeight w:val="224" w:hRule="atLeast"/>
        </w:trPr>
        <w:tc>
          <w:tcPr>
            <w:tcW w:w="1914" w:type="dxa"/>
            <w:tcBorders>
              <w:bottom w:val="double" w:sz="6" w:space="0" w:color="000000"/>
            </w:tcBorders>
          </w:tcPr>
          <w:p>
            <w:pPr>
              <w:pStyle w:val="TableParagraph"/>
              <w:rPr>
                <w:sz w:val="16"/>
              </w:rPr>
            </w:pPr>
          </w:p>
        </w:tc>
        <w:tc>
          <w:tcPr>
            <w:tcW w:w="1307" w:type="dxa"/>
            <w:tcBorders>
              <w:bottom w:val="double" w:sz="6" w:space="0" w:color="000000"/>
            </w:tcBorders>
          </w:tcPr>
          <w:p>
            <w:pPr>
              <w:pStyle w:val="TableParagraph"/>
              <w:rPr>
                <w:sz w:val="16"/>
              </w:rPr>
            </w:pPr>
          </w:p>
        </w:tc>
        <w:tc>
          <w:tcPr>
            <w:tcW w:w="2338" w:type="dxa"/>
            <w:gridSpan w:val="2"/>
            <w:tcBorders>
              <w:bottom w:val="double" w:sz="6" w:space="0" w:color="000000"/>
            </w:tcBorders>
          </w:tcPr>
          <w:p>
            <w:pPr>
              <w:pStyle w:val="TableParagraph"/>
              <w:spacing w:line="205" w:lineRule="exact"/>
              <w:ind w:left="132"/>
              <w:rPr>
                <w:b/>
                <w:sz w:val="20"/>
              </w:rPr>
            </w:pPr>
            <w:r>
              <w:rPr>
                <w:b/>
                <w:sz w:val="20"/>
              </w:rPr>
              <w:t>10%</w:t>
            </w:r>
            <w:r>
              <w:rPr>
                <w:b/>
                <w:spacing w:val="-4"/>
                <w:sz w:val="20"/>
              </w:rPr>
              <w:t> </w:t>
            </w:r>
            <w:r>
              <w:rPr>
                <w:b/>
                <w:sz w:val="20"/>
              </w:rPr>
              <w:t>Critical</w:t>
            </w:r>
            <w:r>
              <w:rPr>
                <w:b/>
                <w:spacing w:val="-4"/>
                <w:sz w:val="20"/>
              </w:rPr>
              <w:t> </w:t>
            </w:r>
            <w:r>
              <w:rPr>
                <w:b/>
                <w:spacing w:val="-2"/>
                <w:sz w:val="20"/>
              </w:rPr>
              <w:t>Value</w:t>
            </w:r>
          </w:p>
        </w:tc>
        <w:tc>
          <w:tcPr>
            <w:tcW w:w="929" w:type="dxa"/>
            <w:tcBorders>
              <w:bottom w:val="double" w:sz="6" w:space="0" w:color="000000"/>
            </w:tcBorders>
          </w:tcPr>
          <w:p>
            <w:pPr>
              <w:pStyle w:val="TableParagraph"/>
              <w:spacing w:line="205" w:lineRule="exact"/>
              <w:ind w:right="28"/>
              <w:jc w:val="right"/>
              <w:rPr>
                <w:b/>
                <w:sz w:val="20"/>
              </w:rPr>
            </w:pPr>
            <w:r>
              <w:rPr>
                <w:b/>
                <w:spacing w:val="-2"/>
                <w:sz w:val="20"/>
              </w:rPr>
              <w:t>-2.6069</w:t>
            </w:r>
          </w:p>
        </w:tc>
      </w:tr>
      <w:tr>
        <w:trPr>
          <w:trHeight w:val="505" w:hRule="atLeast"/>
        </w:trPr>
        <w:tc>
          <w:tcPr>
            <w:tcW w:w="6488" w:type="dxa"/>
            <w:gridSpan w:val="5"/>
            <w:tcBorders>
              <w:top w:val="double" w:sz="6" w:space="0" w:color="000000"/>
            </w:tcBorders>
          </w:tcPr>
          <w:p>
            <w:pPr>
              <w:pStyle w:val="TableParagraph"/>
              <w:spacing w:before="40"/>
              <w:ind w:left="36"/>
              <w:rPr>
                <w:b/>
                <w:sz w:val="20"/>
              </w:rPr>
            </w:pPr>
            <w:r>
              <w:rPr>
                <w:b/>
                <w:sz w:val="20"/>
              </w:rPr>
              <w:t>*MacKinnon</w:t>
            </w:r>
            <w:r>
              <w:rPr>
                <w:b/>
                <w:spacing w:val="-6"/>
                <w:sz w:val="20"/>
              </w:rPr>
              <w:t> </w:t>
            </w:r>
            <w:r>
              <w:rPr>
                <w:b/>
                <w:sz w:val="20"/>
              </w:rPr>
              <w:t>critical</w:t>
            </w:r>
            <w:r>
              <w:rPr>
                <w:b/>
                <w:spacing w:val="-5"/>
                <w:sz w:val="20"/>
              </w:rPr>
              <w:t> </w:t>
            </w:r>
            <w:r>
              <w:rPr>
                <w:b/>
                <w:sz w:val="20"/>
              </w:rPr>
              <w:t>values</w:t>
            </w:r>
            <w:r>
              <w:rPr>
                <w:b/>
                <w:spacing w:val="-7"/>
                <w:sz w:val="20"/>
              </w:rPr>
              <w:t> </w:t>
            </w:r>
            <w:r>
              <w:rPr>
                <w:b/>
                <w:sz w:val="20"/>
              </w:rPr>
              <w:t>for</w:t>
            </w:r>
            <w:r>
              <w:rPr>
                <w:b/>
                <w:spacing w:val="-4"/>
                <w:sz w:val="20"/>
              </w:rPr>
              <w:t> </w:t>
            </w:r>
            <w:r>
              <w:rPr>
                <w:b/>
                <w:sz w:val="20"/>
              </w:rPr>
              <w:t>rejection</w:t>
            </w:r>
            <w:r>
              <w:rPr>
                <w:b/>
                <w:spacing w:val="-7"/>
                <w:sz w:val="20"/>
              </w:rPr>
              <w:t> </w:t>
            </w:r>
            <w:r>
              <w:rPr>
                <w:b/>
                <w:sz w:val="20"/>
              </w:rPr>
              <w:t>of</w:t>
            </w:r>
            <w:r>
              <w:rPr>
                <w:b/>
                <w:spacing w:val="-5"/>
                <w:sz w:val="20"/>
              </w:rPr>
              <w:t> </w:t>
            </w:r>
            <w:r>
              <w:rPr>
                <w:b/>
                <w:sz w:val="20"/>
              </w:rPr>
              <w:t>hypothesis</w:t>
            </w:r>
            <w:r>
              <w:rPr>
                <w:b/>
                <w:spacing w:val="-5"/>
                <w:sz w:val="20"/>
              </w:rPr>
              <w:t> </w:t>
            </w:r>
            <w:r>
              <w:rPr>
                <w:b/>
                <w:sz w:val="20"/>
              </w:rPr>
              <w:t>of</w:t>
            </w:r>
            <w:r>
              <w:rPr>
                <w:b/>
                <w:spacing w:val="-6"/>
                <w:sz w:val="20"/>
              </w:rPr>
              <w:t> </w:t>
            </w:r>
            <w:r>
              <w:rPr>
                <w:b/>
                <w:sz w:val="20"/>
              </w:rPr>
              <w:t>a</w:t>
            </w:r>
            <w:r>
              <w:rPr>
                <w:b/>
                <w:spacing w:val="-4"/>
                <w:sz w:val="20"/>
              </w:rPr>
              <w:t> </w:t>
            </w:r>
            <w:r>
              <w:rPr>
                <w:b/>
                <w:sz w:val="20"/>
              </w:rPr>
              <w:t>unit</w:t>
            </w:r>
            <w:r>
              <w:rPr>
                <w:b/>
                <w:spacing w:val="-4"/>
                <w:sz w:val="20"/>
              </w:rPr>
              <w:t> </w:t>
            </w:r>
            <w:r>
              <w:rPr>
                <w:b/>
                <w:spacing w:val="-2"/>
                <w:sz w:val="20"/>
              </w:rPr>
              <w:t>root.</w:t>
            </w:r>
          </w:p>
        </w:tc>
      </w:tr>
      <w:tr>
        <w:trPr>
          <w:trHeight w:val="460" w:hRule="atLeast"/>
        </w:trPr>
        <w:tc>
          <w:tcPr>
            <w:tcW w:w="6488" w:type="dxa"/>
            <w:gridSpan w:val="5"/>
          </w:tcPr>
          <w:p>
            <w:pPr>
              <w:pStyle w:val="TableParagraph"/>
              <w:spacing w:line="215" w:lineRule="exact" w:before="226"/>
              <w:ind w:left="36"/>
              <w:rPr>
                <w:b/>
                <w:sz w:val="20"/>
              </w:rPr>
            </w:pPr>
            <w:r>
              <w:rPr>
                <w:b/>
                <w:sz w:val="20"/>
              </w:rPr>
              <w:t>Augmented</w:t>
            </w:r>
            <w:r>
              <w:rPr>
                <w:b/>
                <w:spacing w:val="-8"/>
                <w:sz w:val="20"/>
              </w:rPr>
              <w:t> </w:t>
            </w:r>
            <w:r>
              <w:rPr>
                <w:b/>
                <w:sz w:val="20"/>
              </w:rPr>
              <w:t>Dickey-Fuller</w:t>
            </w:r>
            <w:r>
              <w:rPr>
                <w:b/>
                <w:spacing w:val="-7"/>
                <w:sz w:val="20"/>
              </w:rPr>
              <w:t> </w:t>
            </w:r>
            <w:r>
              <w:rPr>
                <w:b/>
                <w:sz w:val="20"/>
              </w:rPr>
              <w:t>Test</w:t>
            </w:r>
            <w:r>
              <w:rPr>
                <w:b/>
                <w:spacing w:val="-7"/>
                <w:sz w:val="20"/>
              </w:rPr>
              <w:t> </w:t>
            </w:r>
            <w:r>
              <w:rPr>
                <w:b/>
                <w:spacing w:val="-2"/>
                <w:sz w:val="20"/>
              </w:rPr>
              <w:t>Equation</w:t>
            </w:r>
          </w:p>
        </w:tc>
      </w:tr>
      <w:tr>
        <w:trPr>
          <w:trHeight w:val="229" w:hRule="atLeast"/>
        </w:trPr>
        <w:tc>
          <w:tcPr>
            <w:tcW w:w="6488" w:type="dxa"/>
            <w:gridSpan w:val="5"/>
          </w:tcPr>
          <w:p>
            <w:pPr>
              <w:pStyle w:val="TableParagraph"/>
              <w:spacing w:line="209" w:lineRule="exact"/>
              <w:ind w:left="36"/>
              <w:rPr>
                <w:b/>
                <w:sz w:val="20"/>
              </w:rPr>
            </w:pPr>
            <w:r>
              <w:rPr>
                <w:b/>
                <w:sz w:val="20"/>
              </w:rPr>
              <w:t>Dependent</w:t>
            </w:r>
            <w:r>
              <w:rPr>
                <w:b/>
                <w:spacing w:val="-6"/>
                <w:sz w:val="20"/>
              </w:rPr>
              <w:t> </w:t>
            </w:r>
            <w:r>
              <w:rPr>
                <w:b/>
                <w:sz w:val="20"/>
              </w:rPr>
              <w:t>Variable:</w:t>
            </w:r>
            <w:r>
              <w:rPr>
                <w:b/>
                <w:spacing w:val="-7"/>
                <w:sz w:val="20"/>
              </w:rPr>
              <w:t> </w:t>
            </w:r>
            <w:r>
              <w:rPr>
                <w:b/>
                <w:spacing w:val="-2"/>
                <w:sz w:val="20"/>
              </w:rPr>
              <w:t>D(USIRD,2)</w:t>
            </w:r>
          </w:p>
        </w:tc>
      </w:tr>
      <w:tr>
        <w:trPr>
          <w:trHeight w:val="229" w:hRule="atLeast"/>
        </w:trPr>
        <w:tc>
          <w:tcPr>
            <w:tcW w:w="6488" w:type="dxa"/>
            <w:gridSpan w:val="5"/>
          </w:tcPr>
          <w:p>
            <w:pPr>
              <w:pStyle w:val="TableParagraph"/>
              <w:spacing w:line="209" w:lineRule="exact"/>
              <w:ind w:left="36"/>
              <w:rPr>
                <w:b/>
                <w:sz w:val="20"/>
              </w:rPr>
            </w:pPr>
            <w:r>
              <w:rPr>
                <w:b/>
                <w:sz w:val="20"/>
              </w:rPr>
              <w:t>Method:</w:t>
            </w:r>
            <w:r>
              <w:rPr>
                <w:b/>
                <w:spacing w:val="-6"/>
                <w:sz w:val="20"/>
              </w:rPr>
              <w:t> </w:t>
            </w:r>
            <w:r>
              <w:rPr>
                <w:b/>
                <w:sz w:val="20"/>
              </w:rPr>
              <w:t>Least</w:t>
            </w:r>
            <w:r>
              <w:rPr>
                <w:b/>
                <w:spacing w:val="-6"/>
                <w:sz w:val="20"/>
              </w:rPr>
              <w:t> </w:t>
            </w:r>
            <w:r>
              <w:rPr>
                <w:b/>
                <w:spacing w:val="-2"/>
                <w:sz w:val="20"/>
              </w:rPr>
              <w:t>Squares</w:t>
            </w:r>
          </w:p>
        </w:tc>
      </w:tr>
      <w:tr>
        <w:trPr>
          <w:trHeight w:val="230" w:hRule="atLeast"/>
        </w:trPr>
        <w:tc>
          <w:tcPr>
            <w:tcW w:w="6488" w:type="dxa"/>
            <w:gridSpan w:val="5"/>
          </w:tcPr>
          <w:p>
            <w:pPr>
              <w:pStyle w:val="TableParagraph"/>
              <w:spacing w:line="210" w:lineRule="exact"/>
              <w:ind w:left="36"/>
              <w:rPr>
                <w:b/>
                <w:sz w:val="20"/>
              </w:rPr>
            </w:pPr>
            <w:r>
              <w:rPr>
                <w:b/>
                <w:sz w:val="20"/>
              </w:rPr>
              <w:t>Date:</w:t>
            </w:r>
            <w:r>
              <w:rPr>
                <w:b/>
                <w:spacing w:val="-4"/>
                <w:sz w:val="20"/>
              </w:rPr>
              <w:t> </w:t>
            </w:r>
            <w:r>
              <w:rPr>
                <w:b/>
                <w:sz w:val="20"/>
              </w:rPr>
              <w:t>02/18/14</w:t>
            </w:r>
            <w:r>
              <w:rPr>
                <w:b/>
                <w:spacing w:val="63"/>
                <w:w w:val="150"/>
                <w:sz w:val="20"/>
              </w:rPr>
              <w:t> </w:t>
            </w:r>
            <w:r>
              <w:rPr>
                <w:b/>
                <w:sz w:val="20"/>
              </w:rPr>
              <w:t>Time:</w:t>
            </w:r>
            <w:r>
              <w:rPr>
                <w:b/>
                <w:spacing w:val="-3"/>
                <w:sz w:val="20"/>
              </w:rPr>
              <w:t> </w:t>
            </w:r>
            <w:r>
              <w:rPr>
                <w:b/>
                <w:spacing w:val="-4"/>
                <w:sz w:val="20"/>
              </w:rPr>
              <w:t>09:24</w:t>
            </w:r>
          </w:p>
        </w:tc>
      </w:tr>
      <w:tr>
        <w:trPr>
          <w:trHeight w:val="230" w:hRule="atLeast"/>
        </w:trPr>
        <w:tc>
          <w:tcPr>
            <w:tcW w:w="6488" w:type="dxa"/>
            <w:gridSpan w:val="5"/>
          </w:tcPr>
          <w:p>
            <w:pPr>
              <w:pStyle w:val="TableParagraph"/>
              <w:spacing w:line="210" w:lineRule="exact"/>
              <w:ind w:left="36"/>
              <w:rPr>
                <w:b/>
                <w:sz w:val="20"/>
              </w:rPr>
            </w:pPr>
            <w:r>
              <w:rPr>
                <w:b/>
                <w:sz w:val="20"/>
              </w:rPr>
              <w:t>Sample(adjusted):</w:t>
            </w:r>
            <w:r>
              <w:rPr>
                <w:b/>
                <w:spacing w:val="-8"/>
                <w:sz w:val="20"/>
              </w:rPr>
              <w:t> </w:t>
            </w:r>
            <w:r>
              <w:rPr>
                <w:b/>
                <w:sz w:val="20"/>
              </w:rPr>
              <w:t>1973</w:t>
            </w:r>
            <w:r>
              <w:rPr>
                <w:b/>
                <w:spacing w:val="-7"/>
                <w:sz w:val="20"/>
              </w:rPr>
              <w:t> </w:t>
            </w:r>
            <w:r>
              <w:rPr>
                <w:b/>
                <w:spacing w:val="-4"/>
                <w:sz w:val="20"/>
              </w:rPr>
              <w:t>2011</w:t>
            </w:r>
          </w:p>
        </w:tc>
      </w:tr>
      <w:tr>
        <w:trPr>
          <w:trHeight w:val="224" w:hRule="atLeast"/>
        </w:trPr>
        <w:tc>
          <w:tcPr>
            <w:tcW w:w="6488" w:type="dxa"/>
            <w:gridSpan w:val="5"/>
            <w:tcBorders>
              <w:bottom w:val="double" w:sz="6" w:space="0" w:color="000000"/>
            </w:tcBorders>
          </w:tcPr>
          <w:p>
            <w:pPr>
              <w:pStyle w:val="TableParagraph"/>
              <w:spacing w:line="205" w:lineRule="exact"/>
              <w:ind w:left="36"/>
              <w:rPr>
                <w:b/>
                <w:sz w:val="20"/>
              </w:rPr>
            </w:pPr>
            <w:r>
              <w:rPr>
                <w:b/>
                <w:sz w:val="20"/>
              </w:rPr>
              <w:t>Included</w:t>
            </w:r>
            <w:r>
              <w:rPr>
                <w:b/>
                <w:spacing w:val="-8"/>
                <w:sz w:val="20"/>
              </w:rPr>
              <w:t> </w:t>
            </w:r>
            <w:r>
              <w:rPr>
                <w:b/>
                <w:sz w:val="20"/>
              </w:rPr>
              <w:t>observations:</w:t>
            </w:r>
            <w:r>
              <w:rPr>
                <w:b/>
                <w:spacing w:val="-6"/>
                <w:sz w:val="20"/>
              </w:rPr>
              <w:t> </w:t>
            </w:r>
            <w:r>
              <w:rPr>
                <w:b/>
                <w:sz w:val="20"/>
              </w:rPr>
              <w:t>39</w:t>
            </w:r>
            <w:r>
              <w:rPr>
                <w:b/>
                <w:spacing w:val="-5"/>
                <w:sz w:val="20"/>
              </w:rPr>
              <w:t> </w:t>
            </w:r>
            <w:r>
              <w:rPr>
                <w:b/>
                <w:sz w:val="20"/>
              </w:rPr>
              <w:t>after</w:t>
            </w:r>
            <w:r>
              <w:rPr>
                <w:b/>
                <w:spacing w:val="-6"/>
                <w:sz w:val="20"/>
              </w:rPr>
              <w:t> </w:t>
            </w:r>
            <w:r>
              <w:rPr>
                <w:b/>
                <w:sz w:val="20"/>
              </w:rPr>
              <w:t>adjusting</w:t>
            </w:r>
            <w:r>
              <w:rPr>
                <w:b/>
                <w:spacing w:val="-6"/>
                <w:sz w:val="20"/>
              </w:rPr>
              <w:t> </w:t>
            </w:r>
            <w:r>
              <w:rPr>
                <w:b/>
                <w:spacing w:val="-2"/>
                <w:sz w:val="20"/>
              </w:rPr>
              <w:t>endpoints</w:t>
            </w:r>
          </w:p>
        </w:tc>
      </w:tr>
      <w:tr>
        <w:trPr>
          <w:trHeight w:val="269" w:hRule="atLeast"/>
        </w:trPr>
        <w:tc>
          <w:tcPr>
            <w:tcW w:w="1914" w:type="dxa"/>
            <w:tcBorders>
              <w:top w:val="double" w:sz="6" w:space="0" w:color="000000"/>
              <w:bottom w:val="double" w:sz="6" w:space="0" w:color="000000"/>
            </w:tcBorders>
          </w:tcPr>
          <w:p>
            <w:pPr>
              <w:pStyle w:val="TableParagraph"/>
              <w:spacing w:line="209" w:lineRule="exact" w:before="40"/>
              <w:ind w:left="650"/>
              <w:rPr>
                <w:b/>
                <w:sz w:val="20"/>
              </w:rPr>
            </w:pPr>
            <w:r>
              <w:rPr>
                <w:b/>
                <w:spacing w:val="-2"/>
                <w:sz w:val="20"/>
              </w:rPr>
              <w:t>Variable</w:t>
            </w:r>
          </w:p>
        </w:tc>
        <w:tc>
          <w:tcPr>
            <w:tcW w:w="1307" w:type="dxa"/>
            <w:tcBorders>
              <w:top w:val="double" w:sz="6" w:space="0" w:color="000000"/>
              <w:bottom w:val="double" w:sz="6" w:space="0" w:color="000000"/>
            </w:tcBorders>
          </w:tcPr>
          <w:p>
            <w:pPr>
              <w:pStyle w:val="TableParagraph"/>
              <w:spacing w:line="209" w:lineRule="exact" w:before="40"/>
              <w:ind w:right="129"/>
              <w:jc w:val="right"/>
              <w:rPr>
                <w:b/>
                <w:sz w:val="20"/>
              </w:rPr>
            </w:pPr>
            <w:r>
              <w:rPr>
                <w:b/>
                <w:spacing w:val="-2"/>
                <w:sz w:val="20"/>
              </w:rPr>
              <w:t>Coefficient</w:t>
            </w:r>
          </w:p>
        </w:tc>
        <w:tc>
          <w:tcPr>
            <w:tcW w:w="1248" w:type="dxa"/>
            <w:tcBorders>
              <w:top w:val="double" w:sz="6" w:space="0" w:color="000000"/>
              <w:bottom w:val="double" w:sz="6" w:space="0" w:color="000000"/>
            </w:tcBorders>
          </w:tcPr>
          <w:p>
            <w:pPr>
              <w:pStyle w:val="TableParagraph"/>
              <w:spacing w:line="209" w:lineRule="exact" w:before="40"/>
              <w:ind w:left="176"/>
              <w:rPr>
                <w:b/>
                <w:sz w:val="20"/>
              </w:rPr>
            </w:pPr>
            <w:r>
              <w:rPr>
                <w:b/>
                <w:sz w:val="20"/>
              </w:rPr>
              <w:t>Std.</w:t>
            </w:r>
            <w:r>
              <w:rPr>
                <w:b/>
                <w:spacing w:val="-4"/>
                <w:sz w:val="20"/>
              </w:rPr>
              <w:t> </w:t>
            </w:r>
            <w:r>
              <w:rPr>
                <w:b/>
                <w:spacing w:val="-2"/>
                <w:sz w:val="20"/>
              </w:rPr>
              <w:t>Error</w:t>
            </w:r>
          </w:p>
        </w:tc>
        <w:tc>
          <w:tcPr>
            <w:tcW w:w="1090" w:type="dxa"/>
            <w:tcBorders>
              <w:top w:val="double" w:sz="6" w:space="0" w:color="000000"/>
              <w:bottom w:val="double" w:sz="6" w:space="0" w:color="000000"/>
            </w:tcBorders>
          </w:tcPr>
          <w:p>
            <w:pPr>
              <w:pStyle w:val="TableParagraph"/>
              <w:spacing w:line="209" w:lineRule="exact" w:before="40"/>
              <w:ind w:left="103"/>
              <w:jc w:val="center"/>
              <w:rPr>
                <w:b/>
                <w:sz w:val="20"/>
              </w:rPr>
            </w:pPr>
            <w:r>
              <w:rPr>
                <w:b/>
                <w:spacing w:val="-2"/>
                <w:sz w:val="20"/>
              </w:rPr>
              <w:t>t-Statistic</w:t>
            </w:r>
          </w:p>
        </w:tc>
        <w:tc>
          <w:tcPr>
            <w:tcW w:w="929" w:type="dxa"/>
            <w:tcBorders>
              <w:top w:val="double" w:sz="6" w:space="0" w:color="000000"/>
              <w:bottom w:val="double" w:sz="6" w:space="0" w:color="000000"/>
            </w:tcBorders>
          </w:tcPr>
          <w:p>
            <w:pPr>
              <w:pStyle w:val="TableParagraph"/>
              <w:spacing w:line="209" w:lineRule="exact" w:before="40"/>
              <w:ind w:right="29"/>
              <w:jc w:val="right"/>
              <w:rPr>
                <w:b/>
                <w:sz w:val="20"/>
              </w:rPr>
            </w:pPr>
            <w:r>
              <w:rPr>
                <w:b/>
                <w:spacing w:val="-2"/>
                <w:sz w:val="20"/>
              </w:rPr>
              <w:t>Prob.</w:t>
            </w:r>
          </w:p>
        </w:tc>
      </w:tr>
      <w:tr>
        <w:trPr>
          <w:trHeight w:val="275" w:hRule="atLeast"/>
        </w:trPr>
        <w:tc>
          <w:tcPr>
            <w:tcW w:w="1914" w:type="dxa"/>
            <w:tcBorders>
              <w:top w:val="double" w:sz="6" w:space="0" w:color="000000"/>
            </w:tcBorders>
          </w:tcPr>
          <w:p>
            <w:pPr>
              <w:pStyle w:val="TableParagraph"/>
              <w:spacing w:line="215" w:lineRule="exact" w:before="40"/>
              <w:ind w:left="422"/>
              <w:rPr>
                <w:b/>
                <w:sz w:val="20"/>
              </w:rPr>
            </w:pPr>
            <w:r>
              <w:rPr>
                <w:b/>
                <w:spacing w:val="-2"/>
                <w:sz w:val="20"/>
              </w:rPr>
              <w:t>D(USIRD(-</w:t>
            </w:r>
            <w:r>
              <w:rPr>
                <w:b/>
                <w:spacing w:val="-5"/>
                <w:sz w:val="20"/>
              </w:rPr>
              <w:t>1))</w:t>
            </w:r>
          </w:p>
        </w:tc>
        <w:tc>
          <w:tcPr>
            <w:tcW w:w="1307" w:type="dxa"/>
            <w:tcBorders>
              <w:top w:val="double" w:sz="6" w:space="0" w:color="000000"/>
            </w:tcBorders>
          </w:tcPr>
          <w:p>
            <w:pPr>
              <w:pStyle w:val="TableParagraph"/>
              <w:spacing w:line="215" w:lineRule="exact" w:before="40"/>
              <w:ind w:right="127"/>
              <w:jc w:val="right"/>
              <w:rPr>
                <w:b/>
                <w:sz w:val="20"/>
              </w:rPr>
            </w:pPr>
            <w:r>
              <w:rPr>
                <w:b/>
                <w:spacing w:val="-2"/>
                <w:sz w:val="20"/>
              </w:rPr>
              <w:t>-1.451133</w:t>
            </w:r>
          </w:p>
        </w:tc>
        <w:tc>
          <w:tcPr>
            <w:tcW w:w="1248" w:type="dxa"/>
            <w:tcBorders>
              <w:top w:val="double" w:sz="6" w:space="0" w:color="000000"/>
            </w:tcBorders>
          </w:tcPr>
          <w:p>
            <w:pPr>
              <w:pStyle w:val="TableParagraph"/>
              <w:spacing w:line="215" w:lineRule="exact" w:before="40"/>
              <w:ind w:right="182"/>
              <w:jc w:val="right"/>
              <w:rPr>
                <w:b/>
                <w:sz w:val="20"/>
              </w:rPr>
            </w:pPr>
            <w:r>
              <w:rPr>
                <w:b/>
                <w:spacing w:val="-2"/>
                <w:sz w:val="20"/>
              </w:rPr>
              <w:t>0.219255</w:t>
            </w:r>
          </w:p>
        </w:tc>
        <w:tc>
          <w:tcPr>
            <w:tcW w:w="1090" w:type="dxa"/>
            <w:tcBorders>
              <w:top w:val="double" w:sz="6" w:space="0" w:color="000000"/>
            </w:tcBorders>
          </w:tcPr>
          <w:p>
            <w:pPr>
              <w:pStyle w:val="TableParagraph"/>
              <w:spacing w:line="215" w:lineRule="exact" w:before="40"/>
              <w:ind w:left="176" w:right="65"/>
              <w:jc w:val="center"/>
              <w:rPr>
                <w:b/>
                <w:sz w:val="20"/>
              </w:rPr>
            </w:pPr>
            <w:r>
              <w:rPr>
                <w:b/>
                <w:spacing w:val="-2"/>
                <w:sz w:val="20"/>
              </w:rPr>
              <w:t>-6.618476</w:t>
            </w:r>
          </w:p>
        </w:tc>
        <w:tc>
          <w:tcPr>
            <w:tcW w:w="929" w:type="dxa"/>
            <w:tcBorders>
              <w:top w:val="double" w:sz="6" w:space="0" w:color="000000"/>
            </w:tcBorders>
          </w:tcPr>
          <w:p>
            <w:pPr>
              <w:pStyle w:val="TableParagraph"/>
              <w:spacing w:line="215" w:lineRule="exact" w:before="40"/>
              <w:ind w:right="28"/>
              <w:jc w:val="right"/>
              <w:rPr>
                <w:b/>
                <w:sz w:val="20"/>
              </w:rPr>
            </w:pPr>
            <w:r>
              <w:rPr>
                <w:b/>
                <w:spacing w:val="-2"/>
                <w:sz w:val="20"/>
              </w:rPr>
              <w:t>0.0000</w:t>
            </w:r>
          </w:p>
        </w:tc>
      </w:tr>
      <w:tr>
        <w:trPr>
          <w:trHeight w:val="230" w:hRule="atLeast"/>
        </w:trPr>
        <w:tc>
          <w:tcPr>
            <w:tcW w:w="1914" w:type="dxa"/>
          </w:tcPr>
          <w:p>
            <w:pPr>
              <w:pStyle w:val="TableParagraph"/>
              <w:spacing w:line="210" w:lineRule="exact"/>
              <w:ind w:left="348"/>
              <w:rPr>
                <w:b/>
                <w:sz w:val="20"/>
              </w:rPr>
            </w:pPr>
            <w:r>
              <w:rPr>
                <w:b/>
                <w:spacing w:val="-2"/>
                <w:sz w:val="20"/>
              </w:rPr>
              <w:t>D(USIRD(-1),2)</w:t>
            </w:r>
          </w:p>
        </w:tc>
        <w:tc>
          <w:tcPr>
            <w:tcW w:w="1307" w:type="dxa"/>
          </w:tcPr>
          <w:p>
            <w:pPr>
              <w:pStyle w:val="TableParagraph"/>
              <w:spacing w:line="210" w:lineRule="exact"/>
              <w:ind w:right="127"/>
              <w:jc w:val="right"/>
              <w:rPr>
                <w:b/>
                <w:sz w:val="20"/>
              </w:rPr>
            </w:pPr>
            <w:r>
              <w:rPr>
                <w:b/>
                <w:spacing w:val="-2"/>
                <w:sz w:val="20"/>
              </w:rPr>
              <w:t>0.345164</w:t>
            </w:r>
          </w:p>
        </w:tc>
        <w:tc>
          <w:tcPr>
            <w:tcW w:w="1248" w:type="dxa"/>
          </w:tcPr>
          <w:p>
            <w:pPr>
              <w:pStyle w:val="TableParagraph"/>
              <w:spacing w:line="210" w:lineRule="exact"/>
              <w:ind w:right="182"/>
              <w:jc w:val="right"/>
              <w:rPr>
                <w:b/>
                <w:sz w:val="20"/>
              </w:rPr>
            </w:pPr>
            <w:r>
              <w:rPr>
                <w:b/>
                <w:spacing w:val="-2"/>
                <w:sz w:val="20"/>
              </w:rPr>
              <w:t>0.145286</w:t>
            </w:r>
          </w:p>
        </w:tc>
        <w:tc>
          <w:tcPr>
            <w:tcW w:w="1090" w:type="dxa"/>
          </w:tcPr>
          <w:p>
            <w:pPr>
              <w:pStyle w:val="TableParagraph"/>
              <w:spacing w:line="210" w:lineRule="exact"/>
              <w:ind w:left="176"/>
              <w:jc w:val="center"/>
              <w:rPr>
                <w:b/>
                <w:sz w:val="20"/>
              </w:rPr>
            </w:pPr>
            <w:r>
              <w:rPr>
                <w:b/>
                <w:spacing w:val="-2"/>
                <w:sz w:val="20"/>
              </w:rPr>
              <w:t>2.375763</w:t>
            </w:r>
          </w:p>
        </w:tc>
        <w:tc>
          <w:tcPr>
            <w:tcW w:w="929" w:type="dxa"/>
          </w:tcPr>
          <w:p>
            <w:pPr>
              <w:pStyle w:val="TableParagraph"/>
              <w:spacing w:line="210" w:lineRule="exact"/>
              <w:ind w:right="28"/>
              <w:jc w:val="right"/>
              <w:rPr>
                <w:b/>
                <w:sz w:val="20"/>
              </w:rPr>
            </w:pPr>
            <w:r>
              <w:rPr>
                <w:b/>
                <w:spacing w:val="-2"/>
                <w:sz w:val="20"/>
              </w:rPr>
              <w:t>0.0230</w:t>
            </w:r>
          </w:p>
        </w:tc>
      </w:tr>
      <w:tr>
        <w:trPr>
          <w:trHeight w:val="224" w:hRule="atLeast"/>
        </w:trPr>
        <w:tc>
          <w:tcPr>
            <w:tcW w:w="1914" w:type="dxa"/>
            <w:tcBorders>
              <w:bottom w:val="double" w:sz="6" w:space="0" w:color="000000"/>
            </w:tcBorders>
          </w:tcPr>
          <w:p>
            <w:pPr>
              <w:pStyle w:val="TableParagraph"/>
              <w:spacing w:line="205" w:lineRule="exact"/>
              <w:ind w:left="131"/>
              <w:jc w:val="center"/>
              <w:rPr>
                <w:b/>
                <w:sz w:val="20"/>
              </w:rPr>
            </w:pPr>
            <w:r>
              <w:rPr>
                <w:b/>
                <w:spacing w:val="-10"/>
                <w:sz w:val="20"/>
              </w:rPr>
              <w:t>C</w:t>
            </w:r>
          </w:p>
        </w:tc>
        <w:tc>
          <w:tcPr>
            <w:tcW w:w="1307" w:type="dxa"/>
            <w:tcBorders>
              <w:bottom w:val="double" w:sz="6" w:space="0" w:color="000000"/>
            </w:tcBorders>
          </w:tcPr>
          <w:p>
            <w:pPr>
              <w:pStyle w:val="TableParagraph"/>
              <w:spacing w:line="205" w:lineRule="exact"/>
              <w:ind w:right="127"/>
              <w:jc w:val="right"/>
              <w:rPr>
                <w:b/>
                <w:sz w:val="20"/>
              </w:rPr>
            </w:pPr>
            <w:r>
              <w:rPr>
                <w:b/>
                <w:spacing w:val="-2"/>
                <w:sz w:val="20"/>
              </w:rPr>
              <w:t>0.037631</w:t>
            </w:r>
          </w:p>
        </w:tc>
        <w:tc>
          <w:tcPr>
            <w:tcW w:w="1248" w:type="dxa"/>
            <w:tcBorders>
              <w:bottom w:val="double" w:sz="6" w:space="0" w:color="000000"/>
            </w:tcBorders>
          </w:tcPr>
          <w:p>
            <w:pPr>
              <w:pStyle w:val="TableParagraph"/>
              <w:spacing w:line="205" w:lineRule="exact"/>
              <w:ind w:right="182"/>
              <w:jc w:val="right"/>
              <w:rPr>
                <w:b/>
                <w:sz w:val="20"/>
              </w:rPr>
            </w:pPr>
            <w:r>
              <w:rPr>
                <w:b/>
                <w:spacing w:val="-2"/>
                <w:sz w:val="20"/>
              </w:rPr>
              <w:t>0.111333</w:t>
            </w:r>
          </w:p>
        </w:tc>
        <w:tc>
          <w:tcPr>
            <w:tcW w:w="1090" w:type="dxa"/>
            <w:tcBorders>
              <w:bottom w:val="double" w:sz="6" w:space="0" w:color="000000"/>
            </w:tcBorders>
          </w:tcPr>
          <w:p>
            <w:pPr>
              <w:pStyle w:val="TableParagraph"/>
              <w:spacing w:line="205" w:lineRule="exact"/>
              <w:ind w:left="176"/>
              <w:jc w:val="center"/>
              <w:rPr>
                <w:b/>
                <w:sz w:val="20"/>
              </w:rPr>
            </w:pPr>
            <w:r>
              <w:rPr>
                <w:b/>
                <w:spacing w:val="-2"/>
                <w:sz w:val="20"/>
              </w:rPr>
              <w:t>0.338003</w:t>
            </w:r>
          </w:p>
        </w:tc>
        <w:tc>
          <w:tcPr>
            <w:tcW w:w="929" w:type="dxa"/>
            <w:tcBorders>
              <w:bottom w:val="double" w:sz="6" w:space="0" w:color="000000"/>
            </w:tcBorders>
          </w:tcPr>
          <w:p>
            <w:pPr>
              <w:pStyle w:val="TableParagraph"/>
              <w:spacing w:line="205" w:lineRule="exact"/>
              <w:ind w:right="28"/>
              <w:jc w:val="right"/>
              <w:rPr>
                <w:b/>
                <w:sz w:val="20"/>
              </w:rPr>
            </w:pPr>
            <w:r>
              <w:rPr>
                <w:b/>
                <w:spacing w:val="-2"/>
                <w:sz w:val="20"/>
              </w:rPr>
              <w:t>0.7373</w:t>
            </w:r>
          </w:p>
        </w:tc>
      </w:tr>
      <w:tr>
        <w:trPr>
          <w:trHeight w:val="275" w:hRule="atLeast"/>
        </w:trPr>
        <w:tc>
          <w:tcPr>
            <w:tcW w:w="1914" w:type="dxa"/>
            <w:tcBorders>
              <w:top w:val="double" w:sz="6" w:space="0" w:color="000000"/>
            </w:tcBorders>
          </w:tcPr>
          <w:p>
            <w:pPr>
              <w:pStyle w:val="TableParagraph"/>
              <w:spacing w:line="215" w:lineRule="exact" w:before="40"/>
              <w:ind w:left="36"/>
              <w:rPr>
                <w:b/>
                <w:sz w:val="20"/>
              </w:rPr>
            </w:pPr>
            <w:r>
              <w:rPr>
                <w:b/>
                <w:spacing w:val="-2"/>
                <w:sz w:val="20"/>
              </w:rPr>
              <w:t>R-squared</w:t>
            </w:r>
          </w:p>
        </w:tc>
        <w:tc>
          <w:tcPr>
            <w:tcW w:w="1307" w:type="dxa"/>
            <w:tcBorders>
              <w:top w:val="double" w:sz="6" w:space="0" w:color="000000"/>
            </w:tcBorders>
          </w:tcPr>
          <w:p>
            <w:pPr>
              <w:pStyle w:val="TableParagraph"/>
              <w:spacing w:line="215" w:lineRule="exact" w:before="40"/>
              <w:ind w:right="127"/>
              <w:jc w:val="right"/>
              <w:rPr>
                <w:b/>
                <w:sz w:val="20"/>
              </w:rPr>
            </w:pPr>
            <w:r>
              <w:rPr>
                <w:b/>
                <w:spacing w:val="-2"/>
                <w:sz w:val="20"/>
              </w:rPr>
              <w:t>0.603046</w:t>
            </w:r>
          </w:p>
        </w:tc>
        <w:tc>
          <w:tcPr>
            <w:tcW w:w="2338" w:type="dxa"/>
            <w:gridSpan w:val="2"/>
            <w:tcBorders>
              <w:top w:val="double" w:sz="6" w:space="0" w:color="000000"/>
            </w:tcBorders>
          </w:tcPr>
          <w:p>
            <w:pPr>
              <w:pStyle w:val="TableParagraph"/>
              <w:spacing w:line="215" w:lineRule="exact" w:before="40"/>
              <w:ind w:left="130"/>
              <w:rPr>
                <w:b/>
                <w:sz w:val="20"/>
              </w:rPr>
            </w:pPr>
            <w:r>
              <w:rPr>
                <w:b/>
                <w:sz w:val="20"/>
              </w:rPr>
              <w:t>Mean</w:t>
            </w:r>
            <w:r>
              <w:rPr>
                <w:b/>
                <w:spacing w:val="-6"/>
                <w:sz w:val="20"/>
              </w:rPr>
              <w:t> </w:t>
            </w:r>
            <w:r>
              <w:rPr>
                <w:b/>
                <w:sz w:val="20"/>
              </w:rPr>
              <w:t>dependent</w:t>
            </w:r>
            <w:r>
              <w:rPr>
                <w:b/>
                <w:spacing w:val="-5"/>
                <w:sz w:val="20"/>
              </w:rPr>
              <w:t> var</w:t>
            </w:r>
          </w:p>
        </w:tc>
        <w:tc>
          <w:tcPr>
            <w:tcW w:w="929" w:type="dxa"/>
            <w:tcBorders>
              <w:top w:val="double" w:sz="6" w:space="0" w:color="000000"/>
            </w:tcBorders>
          </w:tcPr>
          <w:p>
            <w:pPr>
              <w:pStyle w:val="TableParagraph"/>
              <w:spacing w:line="215" w:lineRule="exact" w:before="40"/>
              <w:ind w:right="28"/>
              <w:jc w:val="right"/>
              <w:rPr>
                <w:b/>
                <w:sz w:val="20"/>
              </w:rPr>
            </w:pPr>
            <w:r>
              <w:rPr>
                <w:b/>
                <w:spacing w:val="-2"/>
                <w:sz w:val="20"/>
              </w:rPr>
              <w:t>-0.003280</w:t>
            </w:r>
          </w:p>
        </w:tc>
      </w:tr>
      <w:tr>
        <w:trPr>
          <w:trHeight w:val="230" w:hRule="atLeast"/>
        </w:trPr>
        <w:tc>
          <w:tcPr>
            <w:tcW w:w="1914" w:type="dxa"/>
          </w:tcPr>
          <w:p>
            <w:pPr>
              <w:pStyle w:val="TableParagraph"/>
              <w:spacing w:line="211" w:lineRule="exact"/>
              <w:ind w:left="36"/>
              <w:rPr>
                <w:b/>
                <w:sz w:val="20"/>
              </w:rPr>
            </w:pPr>
            <w:r>
              <w:rPr>
                <w:b/>
                <w:sz w:val="20"/>
              </w:rPr>
              <w:t>Adjusted</w:t>
            </w:r>
            <w:r>
              <w:rPr>
                <w:b/>
                <w:spacing w:val="-10"/>
                <w:sz w:val="20"/>
              </w:rPr>
              <w:t> </w:t>
            </w:r>
            <w:r>
              <w:rPr>
                <w:b/>
                <w:sz w:val="20"/>
              </w:rPr>
              <w:t>R-</w:t>
            </w:r>
            <w:r>
              <w:rPr>
                <w:b/>
                <w:spacing w:val="-2"/>
                <w:sz w:val="20"/>
              </w:rPr>
              <w:t>squared</w:t>
            </w:r>
          </w:p>
        </w:tc>
        <w:tc>
          <w:tcPr>
            <w:tcW w:w="1307" w:type="dxa"/>
          </w:tcPr>
          <w:p>
            <w:pPr>
              <w:pStyle w:val="TableParagraph"/>
              <w:spacing w:line="211" w:lineRule="exact"/>
              <w:ind w:right="127"/>
              <w:jc w:val="right"/>
              <w:rPr>
                <w:b/>
                <w:sz w:val="20"/>
              </w:rPr>
            </w:pPr>
            <w:r>
              <w:rPr>
                <w:b/>
                <w:spacing w:val="-2"/>
                <w:sz w:val="20"/>
              </w:rPr>
              <w:t>0.580993</w:t>
            </w:r>
          </w:p>
        </w:tc>
        <w:tc>
          <w:tcPr>
            <w:tcW w:w="2338" w:type="dxa"/>
            <w:gridSpan w:val="2"/>
          </w:tcPr>
          <w:p>
            <w:pPr>
              <w:pStyle w:val="TableParagraph"/>
              <w:spacing w:line="211" w:lineRule="exact"/>
              <w:ind w:left="132"/>
              <w:rPr>
                <w:b/>
                <w:sz w:val="20"/>
              </w:rPr>
            </w:pPr>
            <w:r>
              <w:rPr>
                <w:b/>
                <w:sz w:val="20"/>
              </w:rPr>
              <w:t>S.D.</w:t>
            </w:r>
            <w:r>
              <w:rPr>
                <w:b/>
                <w:spacing w:val="-6"/>
                <w:sz w:val="20"/>
              </w:rPr>
              <w:t> </w:t>
            </w:r>
            <w:r>
              <w:rPr>
                <w:b/>
                <w:sz w:val="20"/>
              </w:rPr>
              <w:t>dependent</w:t>
            </w:r>
            <w:r>
              <w:rPr>
                <w:b/>
                <w:spacing w:val="-7"/>
                <w:sz w:val="20"/>
              </w:rPr>
              <w:t> </w:t>
            </w:r>
            <w:r>
              <w:rPr>
                <w:b/>
                <w:spacing w:val="-5"/>
                <w:sz w:val="20"/>
              </w:rPr>
              <w:t>var</w:t>
            </w:r>
          </w:p>
        </w:tc>
        <w:tc>
          <w:tcPr>
            <w:tcW w:w="929" w:type="dxa"/>
          </w:tcPr>
          <w:p>
            <w:pPr>
              <w:pStyle w:val="TableParagraph"/>
              <w:spacing w:line="211" w:lineRule="exact"/>
              <w:ind w:right="28"/>
              <w:jc w:val="right"/>
              <w:rPr>
                <w:b/>
                <w:sz w:val="20"/>
              </w:rPr>
            </w:pPr>
            <w:r>
              <w:rPr>
                <w:b/>
                <w:spacing w:val="-2"/>
                <w:sz w:val="20"/>
              </w:rPr>
              <w:t>1.068634</w:t>
            </w:r>
          </w:p>
        </w:tc>
      </w:tr>
      <w:tr>
        <w:trPr>
          <w:trHeight w:val="230" w:hRule="atLeast"/>
        </w:trPr>
        <w:tc>
          <w:tcPr>
            <w:tcW w:w="1914" w:type="dxa"/>
          </w:tcPr>
          <w:p>
            <w:pPr>
              <w:pStyle w:val="TableParagraph"/>
              <w:spacing w:line="211" w:lineRule="exact"/>
              <w:ind w:left="36"/>
              <w:rPr>
                <w:b/>
                <w:sz w:val="20"/>
              </w:rPr>
            </w:pPr>
            <w:r>
              <w:rPr>
                <w:b/>
                <w:sz w:val="20"/>
              </w:rPr>
              <w:t>S.E.</w:t>
            </w:r>
            <w:r>
              <w:rPr>
                <w:b/>
                <w:spacing w:val="-3"/>
                <w:sz w:val="20"/>
              </w:rPr>
              <w:t> </w:t>
            </w:r>
            <w:r>
              <w:rPr>
                <w:b/>
                <w:sz w:val="20"/>
              </w:rPr>
              <w:t>of</w:t>
            </w:r>
            <w:r>
              <w:rPr>
                <w:b/>
                <w:spacing w:val="-3"/>
                <w:sz w:val="20"/>
              </w:rPr>
              <w:t> </w:t>
            </w:r>
            <w:r>
              <w:rPr>
                <w:b/>
                <w:spacing w:val="-2"/>
                <w:sz w:val="20"/>
              </w:rPr>
              <w:t>regression</w:t>
            </w:r>
          </w:p>
        </w:tc>
        <w:tc>
          <w:tcPr>
            <w:tcW w:w="1307" w:type="dxa"/>
          </w:tcPr>
          <w:p>
            <w:pPr>
              <w:pStyle w:val="TableParagraph"/>
              <w:spacing w:line="211" w:lineRule="exact"/>
              <w:ind w:right="127"/>
              <w:jc w:val="right"/>
              <w:rPr>
                <w:b/>
                <w:sz w:val="20"/>
              </w:rPr>
            </w:pPr>
            <w:r>
              <w:rPr>
                <w:b/>
                <w:spacing w:val="-2"/>
                <w:sz w:val="20"/>
              </w:rPr>
              <w:t>0.691735</w:t>
            </w:r>
          </w:p>
        </w:tc>
        <w:tc>
          <w:tcPr>
            <w:tcW w:w="2338" w:type="dxa"/>
            <w:gridSpan w:val="2"/>
          </w:tcPr>
          <w:p>
            <w:pPr>
              <w:pStyle w:val="TableParagraph"/>
              <w:spacing w:line="211" w:lineRule="exact"/>
              <w:ind w:left="132"/>
              <w:rPr>
                <w:b/>
                <w:sz w:val="20"/>
              </w:rPr>
            </w:pPr>
            <w:r>
              <w:rPr>
                <w:b/>
                <w:sz w:val="20"/>
              </w:rPr>
              <w:t>Akaike</w:t>
            </w:r>
            <w:r>
              <w:rPr>
                <w:b/>
                <w:spacing w:val="-7"/>
                <w:sz w:val="20"/>
              </w:rPr>
              <w:t> </w:t>
            </w:r>
            <w:r>
              <w:rPr>
                <w:b/>
                <w:sz w:val="20"/>
              </w:rPr>
              <w:t>info</w:t>
            </w:r>
            <w:r>
              <w:rPr>
                <w:b/>
                <w:spacing w:val="-5"/>
                <w:sz w:val="20"/>
              </w:rPr>
              <w:t> </w:t>
            </w:r>
            <w:r>
              <w:rPr>
                <w:b/>
                <w:spacing w:val="-2"/>
                <w:sz w:val="20"/>
              </w:rPr>
              <w:t>criterion</w:t>
            </w:r>
          </w:p>
        </w:tc>
        <w:tc>
          <w:tcPr>
            <w:tcW w:w="929" w:type="dxa"/>
          </w:tcPr>
          <w:p>
            <w:pPr>
              <w:pStyle w:val="TableParagraph"/>
              <w:spacing w:line="211" w:lineRule="exact"/>
              <w:ind w:right="28"/>
              <w:jc w:val="right"/>
              <w:rPr>
                <w:b/>
                <w:sz w:val="20"/>
              </w:rPr>
            </w:pPr>
            <w:r>
              <w:rPr>
                <w:b/>
                <w:spacing w:val="-2"/>
                <w:sz w:val="20"/>
              </w:rPr>
              <w:t>2.174575</w:t>
            </w:r>
          </w:p>
        </w:tc>
      </w:tr>
      <w:tr>
        <w:trPr>
          <w:trHeight w:val="230" w:hRule="atLeast"/>
        </w:trPr>
        <w:tc>
          <w:tcPr>
            <w:tcW w:w="1914" w:type="dxa"/>
          </w:tcPr>
          <w:p>
            <w:pPr>
              <w:pStyle w:val="TableParagraph"/>
              <w:spacing w:line="210" w:lineRule="exact"/>
              <w:ind w:left="36"/>
              <w:rPr>
                <w:b/>
                <w:sz w:val="20"/>
              </w:rPr>
            </w:pPr>
            <w:r>
              <w:rPr>
                <w:b/>
                <w:sz w:val="20"/>
              </w:rPr>
              <w:t>Sum</w:t>
            </w:r>
            <w:r>
              <w:rPr>
                <w:b/>
                <w:spacing w:val="-8"/>
                <w:sz w:val="20"/>
              </w:rPr>
              <w:t> </w:t>
            </w:r>
            <w:r>
              <w:rPr>
                <w:b/>
                <w:sz w:val="20"/>
              </w:rPr>
              <w:t>squared</w:t>
            </w:r>
            <w:r>
              <w:rPr>
                <w:b/>
                <w:spacing w:val="-5"/>
                <w:sz w:val="20"/>
              </w:rPr>
              <w:t> </w:t>
            </w:r>
            <w:r>
              <w:rPr>
                <w:b/>
                <w:spacing w:val="-4"/>
                <w:sz w:val="20"/>
              </w:rPr>
              <w:t>resid</w:t>
            </w:r>
          </w:p>
        </w:tc>
        <w:tc>
          <w:tcPr>
            <w:tcW w:w="1307" w:type="dxa"/>
          </w:tcPr>
          <w:p>
            <w:pPr>
              <w:pStyle w:val="TableParagraph"/>
              <w:spacing w:line="210" w:lineRule="exact"/>
              <w:ind w:right="127"/>
              <w:jc w:val="right"/>
              <w:rPr>
                <w:b/>
                <w:sz w:val="20"/>
              </w:rPr>
            </w:pPr>
            <w:r>
              <w:rPr>
                <w:b/>
                <w:spacing w:val="-2"/>
                <w:sz w:val="20"/>
              </w:rPr>
              <w:t>17.22589</w:t>
            </w:r>
          </w:p>
        </w:tc>
        <w:tc>
          <w:tcPr>
            <w:tcW w:w="2338" w:type="dxa"/>
            <w:gridSpan w:val="2"/>
          </w:tcPr>
          <w:p>
            <w:pPr>
              <w:pStyle w:val="TableParagraph"/>
              <w:spacing w:line="210" w:lineRule="exact"/>
              <w:ind w:left="132"/>
              <w:rPr>
                <w:b/>
                <w:sz w:val="20"/>
              </w:rPr>
            </w:pPr>
            <w:r>
              <w:rPr>
                <w:b/>
                <w:sz w:val="20"/>
              </w:rPr>
              <w:t>Schwarz</w:t>
            </w:r>
            <w:r>
              <w:rPr>
                <w:b/>
                <w:spacing w:val="-5"/>
                <w:sz w:val="20"/>
              </w:rPr>
              <w:t> </w:t>
            </w:r>
            <w:r>
              <w:rPr>
                <w:b/>
                <w:spacing w:val="-2"/>
                <w:sz w:val="20"/>
              </w:rPr>
              <w:t>criterion</w:t>
            </w:r>
          </w:p>
        </w:tc>
        <w:tc>
          <w:tcPr>
            <w:tcW w:w="929" w:type="dxa"/>
          </w:tcPr>
          <w:p>
            <w:pPr>
              <w:pStyle w:val="TableParagraph"/>
              <w:spacing w:line="210" w:lineRule="exact"/>
              <w:ind w:right="28"/>
              <w:jc w:val="right"/>
              <w:rPr>
                <w:b/>
                <w:sz w:val="20"/>
              </w:rPr>
            </w:pPr>
            <w:r>
              <w:rPr>
                <w:b/>
                <w:spacing w:val="-2"/>
                <w:sz w:val="20"/>
              </w:rPr>
              <w:t>2.302541</w:t>
            </w:r>
          </w:p>
        </w:tc>
      </w:tr>
      <w:tr>
        <w:trPr>
          <w:trHeight w:val="229" w:hRule="atLeast"/>
        </w:trPr>
        <w:tc>
          <w:tcPr>
            <w:tcW w:w="1914" w:type="dxa"/>
          </w:tcPr>
          <w:p>
            <w:pPr>
              <w:pStyle w:val="TableParagraph"/>
              <w:spacing w:line="209" w:lineRule="exact"/>
              <w:ind w:left="36"/>
              <w:rPr>
                <w:b/>
                <w:sz w:val="20"/>
              </w:rPr>
            </w:pPr>
            <w:r>
              <w:rPr>
                <w:b/>
                <w:sz w:val="20"/>
              </w:rPr>
              <w:t>Log</w:t>
            </w:r>
            <w:r>
              <w:rPr>
                <w:b/>
                <w:spacing w:val="-3"/>
                <w:sz w:val="20"/>
              </w:rPr>
              <w:t> </w:t>
            </w:r>
            <w:r>
              <w:rPr>
                <w:b/>
                <w:spacing w:val="-2"/>
                <w:sz w:val="20"/>
              </w:rPr>
              <w:t>likelihood</w:t>
            </w:r>
          </w:p>
        </w:tc>
        <w:tc>
          <w:tcPr>
            <w:tcW w:w="1307" w:type="dxa"/>
          </w:tcPr>
          <w:p>
            <w:pPr>
              <w:pStyle w:val="TableParagraph"/>
              <w:spacing w:line="209" w:lineRule="exact"/>
              <w:ind w:right="127"/>
              <w:jc w:val="right"/>
              <w:rPr>
                <w:b/>
                <w:sz w:val="20"/>
              </w:rPr>
            </w:pPr>
            <w:r>
              <w:rPr>
                <w:b/>
                <w:spacing w:val="-2"/>
                <w:sz w:val="20"/>
              </w:rPr>
              <w:t>-39.40422</w:t>
            </w:r>
          </w:p>
        </w:tc>
        <w:tc>
          <w:tcPr>
            <w:tcW w:w="1248" w:type="dxa"/>
          </w:tcPr>
          <w:p>
            <w:pPr>
              <w:pStyle w:val="TableParagraph"/>
              <w:spacing w:line="209" w:lineRule="exact"/>
              <w:ind w:left="132"/>
              <w:rPr>
                <w:b/>
                <w:sz w:val="20"/>
              </w:rPr>
            </w:pPr>
            <w:r>
              <w:rPr>
                <w:b/>
                <w:spacing w:val="-2"/>
                <w:sz w:val="20"/>
              </w:rPr>
              <w:t>F-statistic</w:t>
            </w:r>
          </w:p>
        </w:tc>
        <w:tc>
          <w:tcPr>
            <w:tcW w:w="1090" w:type="dxa"/>
          </w:tcPr>
          <w:p>
            <w:pPr>
              <w:pStyle w:val="TableParagraph"/>
              <w:rPr>
                <w:sz w:val="16"/>
              </w:rPr>
            </w:pPr>
          </w:p>
        </w:tc>
        <w:tc>
          <w:tcPr>
            <w:tcW w:w="929" w:type="dxa"/>
          </w:tcPr>
          <w:p>
            <w:pPr>
              <w:pStyle w:val="TableParagraph"/>
              <w:spacing w:line="209" w:lineRule="exact"/>
              <w:ind w:right="28"/>
              <w:jc w:val="right"/>
              <w:rPr>
                <w:b/>
                <w:sz w:val="20"/>
              </w:rPr>
            </w:pPr>
            <w:r>
              <w:rPr>
                <w:b/>
                <w:spacing w:val="-2"/>
                <w:sz w:val="20"/>
              </w:rPr>
              <w:t>27.34533</w:t>
            </w:r>
          </w:p>
        </w:tc>
      </w:tr>
      <w:tr>
        <w:trPr>
          <w:trHeight w:val="266" w:hRule="atLeast"/>
        </w:trPr>
        <w:tc>
          <w:tcPr>
            <w:tcW w:w="1914" w:type="dxa"/>
            <w:tcBorders>
              <w:bottom w:val="double" w:sz="6" w:space="0" w:color="000000"/>
            </w:tcBorders>
          </w:tcPr>
          <w:p>
            <w:pPr>
              <w:pStyle w:val="TableParagraph"/>
              <w:spacing w:line="224" w:lineRule="exact"/>
              <w:ind w:left="36"/>
              <w:rPr>
                <w:b/>
                <w:sz w:val="20"/>
              </w:rPr>
            </w:pPr>
            <w:r>
              <w:rPr>
                <w:b/>
                <w:sz w:val="20"/>
              </w:rPr>
              <w:t>Durbin-Watson</w:t>
            </w:r>
            <w:r>
              <w:rPr>
                <w:b/>
                <w:spacing w:val="-12"/>
                <w:sz w:val="20"/>
              </w:rPr>
              <w:t> </w:t>
            </w:r>
            <w:r>
              <w:rPr>
                <w:b/>
                <w:spacing w:val="-4"/>
                <w:sz w:val="20"/>
              </w:rPr>
              <w:t>stat</w:t>
            </w:r>
          </w:p>
        </w:tc>
        <w:tc>
          <w:tcPr>
            <w:tcW w:w="1307" w:type="dxa"/>
          </w:tcPr>
          <w:p>
            <w:pPr>
              <w:pStyle w:val="TableParagraph"/>
              <w:spacing w:line="224" w:lineRule="exact"/>
              <w:ind w:right="127"/>
              <w:jc w:val="right"/>
              <w:rPr>
                <w:b/>
                <w:sz w:val="20"/>
              </w:rPr>
            </w:pPr>
            <w:r>
              <w:rPr>
                <w:b/>
                <w:spacing w:val="-2"/>
                <w:sz w:val="20"/>
              </w:rPr>
              <w:t>2.179585</w:t>
            </w:r>
          </w:p>
        </w:tc>
        <w:tc>
          <w:tcPr>
            <w:tcW w:w="2338" w:type="dxa"/>
            <w:gridSpan w:val="2"/>
            <w:tcBorders>
              <w:bottom w:val="double" w:sz="6" w:space="0" w:color="000000"/>
            </w:tcBorders>
          </w:tcPr>
          <w:p>
            <w:pPr>
              <w:pStyle w:val="TableParagraph"/>
              <w:spacing w:line="224" w:lineRule="exact"/>
              <w:ind w:left="132"/>
              <w:rPr>
                <w:b/>
                <w:sz w:val="20"/>
              </w:rPr>
            </w:pPr>
            <w:r>
              <w:rPr>
                <w:b/>
                <w:spacing w:val="-2"/>
                <w:sz w:val="20"/>
              </w:rPr>
              <w:t>Prob(F-statistic)</w:t>
            </w:r>
          </w:p>
        </w:tc>
        <w:tc>
          <w:tcPr>
            <w:tcW w:w="929" w:type="dxa"/>
            <w:tcBorders>
              <w:bottom w:val="double" w:sz="6" w:space="0" w:color="000000"/>
            </w:tcBorders>
          </w:tcPr>
          <w:p>
            <w:pPr>
              <w:pStyle w:val="TableParagraph"/>
              <w:spacing w:line="224" w:lineRule="exact"/>
              <w:ind w:right="28"/>
              <w:jc w:val="right"/>
              <w:rPr>
                <w:b/>
                <w:sz w:val="20"/>
              </w:rPr>
            </w:pPr>
            <w:r>
              <w:rPr>
                <w:b/>
                <w:spacing w:val="-2"/>
                <w:sz w:val="20"/>
              </w:rPr>
              <w:t>0.000000</w:t>
            </w:r>
          </w:p>
        </w:tc>
      </w:tr>
    </w:tbl>
    <w:p>
      <w:pPr>
        <w:spacing w:after="0" w:line="224" w:lineRule="exact"/>
        <w:jc w:val="right"/>
        <w:rPr>
          <w:sz w:val="20"/>
        </w:rPr>
        <w:sectPr>
          <w:pgSz w:w="11910" w:h="16840"/>
          <w:pgMar w:header="0" w:footer="979" w:top="1360" w:bottom="1240" w:left="280" w:right="0"/>
        </w:sectPr>
      </w:pPr>
    </w:p>
    <w:p>
      <w:pPr>
        <w:spacing w:before="62" w:after="3"/>
        <w:ind w:left="711" w:right="0" w:firstLine="0"/>
        <w:jc w:val="left"/>
        <w:rPr>
          <w:sz w:val="20"/>
        </w:rPr>
      </w:pPr>
      <w:r>
        <w:rPr>
          <w:sz w:val="20"/>
        </w:rPr>
        <w:t>GOCE</w:t>
      </w:r>
      <w:r>
        <w:rPr>
          <w:spacing w:val="-4"/>
          <w:sz w:val="20"/>
        </w:rPr>
        <w:t> </w:t>
      </w:r>
      <w:r>
        <w:rPr>
          <w:sz w:val="20"/>
        </w:rPr>
        <w:t>@</w:t>
      </w:r>
      <w:r>
        <w:rPr>
          <w:spacing w:val="-3"/>
          <w:sz w:val="20"/>
        </w:rPr>
        <w:t> </w:t>
      </w:r>
      <w:r>
        <w:rPr>
          <w:spacing w:val="-4"/>
          <w:sz w:val="20"/>
        </w:rPr>
        <w:t>LEVEL</w:t>
      </w:r>
    </w:p>
    <w:tbl>
      <w:tblPr>
        <w:tblW w:w="0" w:type="auto"/>
        <w:jc w:val="left"/>
        <w:tblInd w:w="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47"/>
        <w:gridCol w:w="1375"/>
        <w:gridCol w:w="1432"/>
        <w:gridCol w:w="936"/>
        <w:gridCol w:w="896"/>
      </w:tblGrid>
      <w:tr>
        <w:trPr>
          <w:trHeight w:val="224" w:hRule="atLeast"/>
        </w:trPr>
        <w:tc>
          <w:tcPr>
            <w:tcW w:w="1847" w:type="dxa"/>
          </w:tcPr>
          <w:p>
            <w:pPr>
              <w:pStyle w:val="TableParagraph"/>
              <w:spacing w:line="204" w:lineRule="exact"/>
              <w:ind w:left="36"/>
              <w:rPr>
                <w:sz w:val="20"/>
              </w:rPr>
            </w:pPr>
            <w:r>
              <w:rPr>
                <w:sz w:val="20"/>
              </w:rPr>
              <w:t>ADF</w:t>
            </w:r>
            <w:r>
              <w:rPr>
                <w:spacing w:val="-4"/>
                <w:sz w:val="20"/>
              </w:rPr>
              <w:t> </w:t>
            </w:r>
            <w:r>
              <w:rPr>
                <w:sz w:val="20"/>
              </w:rPr>
              <w:t>Test</w:t>
            </w:r>
            <w:r>
              <w:rPr>
                <w:spacing w:val="-4"/>
                <w:sz w:val="20"/>
              </w:rPr>
              <w:t> </w:t>
            </w:r>
            <w:r>
              <w:rPr>
                <w:spacing w:val="-2"/>
                <w:sz w:val="20"/>
              </w:rPr>
              <w:t>Statistic</w:t>
            </w:r>
          </w:p>
        </w:tc>
        <w:tc>
          <w:tcPr>
            <w:tcW w:w="1375" w:type="dxa"/>
          </w:tcPr>
          <w:p>
            <w:pPr>
              <w:pStyle w:val="TableParagraph"/>
              <w:spacing w:line="204" w:lineRule="exact"/>
              <w:ind w:left="219"/>
              <w:rPr>
                <w:sz w:val="20"/>
              </w:rPr>
            </w:pPr>
            <w:r>
              <w:rPr>
                <w:spacing w:val="-4"/>
                <w:sz w:val="20"/>
              </w:rPr>
              <w:t>-</w:t>
            </w:r>
            <w:r>
              <w:rPr>
                <w:spacing w:val="-2"/>
                <w:sz w:val="20"/>
              </w:rPr>
              <w:t>0.132702</w:t>
            </w:r>
          </w:p>
        </w:tc>
        <w:tc>
          <w:tcPr>
            <w:tcW w:w="2368" w:type="dxa"/>
            <w:gridSpan w:val="2"/>
          </w:tcPr>
          <w:p>
            <w:pPr>
              <w:pStyle w:val="TableParagraph"/>
              <w:spacing w:line="204" w:lineRule="exact"/>
              <w:ind w:left="131"/>
              <w:rPr>
                <w:sz w:val="20"/>
              </w:rPr>
            </w:pPr>
            <w:r>
              <w:rPr>
                <w:sz w:val="20"/>
              </w:rPr>
              <w:t>1%</w:t>
            </w:r>
            <w:r>
              <w:rPr>
                <w:spacing w:val="68"/>
                <w:w w:val="150"/>
                <w:sz w:val="20"/>
              </w:rPr>
              <w:t> </w:t>
            </w:r>
            <w:r>
              <w:rPr>
                <w:sz w:val="20"/>
              </w:rPr>
              <w:t>Critical</w:t>
            </w:r>
            <w:r>
              <w:rPr>
                <w:spacing w:val="-2"/>
                <w:sz w:val="20"/>
              </w:rPr>
              <w:t> Value*</w:t>
            </w:r>
          </w:p>
        </w:tc>
        <w:tc>
          <w:tcPr>
            <w:tcW w:w="896" w:type="dxa"/>
          </w:tcPr>
          <w:p>
            <w:pPr>
              <w:pStyle w:val="TableParagraph"/>
              <w:spacing w:line="204" w:lineRule="exact"/>
              <w:ind w:right="26"/>
              <w:jc w:val="right"/>
              <w:rPr>
                <w:sz w:val="20"/>
              </w:rPr>
            </w:pPr>
            <w:r>
              <w:rPr>
                <w:spacing w:val="-4"/>
                <w:sz w:val="20"/>
              </w:rPr>
              <w:t>-</w:t>
            </w:r>
            <w:r>
              <w:rPr>
                <w:spacing w:val="-2"/>
                <w:sz w:val="20"/>
              </w:rPr>
              <w:t>3.6019</w:t>
            </w:r>
          </w:p>
        </w:tc>
      </w:tr>
      <w:tr>
        <w:trPr>
          <w:trHeight w:val="229" w:hRule="atLeast"/>
        </w:trPr>
        <w:tc>
          <w:tcPr>
            <w:tcW w:w="1847" w:type="dxa"/>
          </w:tcPr>
          <w:p>
            <w:pPr>
              <w:pStyle w:val="TableParagraph"/>
              <w:rPr>
                <w:sz w:val="16"/>
              </w:rPr>
            </w:pPr>
          </w:p>
        </w:tc>
        <w:tc>
          <w:tcPr>
            <w:tcW w:w="1375" w:type="dxa"/>
          </w:tcPr>
          <w:p>
            <w:pPr>
              <w:pStyle w:val="TableParagraph"/>
              <w:rPr>
                <w:sz w:val="16"/>
              </w:rPr>
            </w:pPr>
          </w:p>
        </w:tc>
        <w:tc>
          <w:tcPr>
            <w:tcW w:w="2368" w:type="dxa"/>
            <w:gridSpan w:val="2"/>
          </w:tcPr>
          <w:p>
            <w:pPr>
              <w:pStyle w:val="TableParagraph"/>
              <w:spacing w:line="209" w:lineRule="exact"/>
              <w:ind w:left="131"/>
              <w:rPr>
                <w:sz w:val="20"/>
              </w:rPr>
            </w:pPr>
            <w:r>
              <w:rPr>
                <w:sz w:val="20"/>
              </w:rPr>
              <w:t>5%</w:t>
            </w:r>
            <w:r>
              <w:rPr>
                <w:spacing w:val="68"/>
                <w:w w:val="150"/>
                <w:sz w:val="20"/>
              </w:rPr>
              <w:t> </w:t>
            </w:r>
            <w:r>
              <w:rPr>
                <w:sz w:val="20"/>
              </w:rPr>
              <w:t>Critical</w:t>
            </w:r>
            <w:r>
              <w:rPr>
                <w:spacing w:val="-2"/>
                <w:sz w:val="20"/>
              </w:rPr>
              <w:t> </w:t>
            </w:r>
            <w:r>
              <w:rPr>
                <w:spacing w:val="-4"/>
                <w:sz w:val="20"/>
              </w:rPr>
              <w:t>Value</w:t>
            </w:r>
          </w:p>
        </w:tc>
        <w:tc>
          <w:tcPr>
            <w:tcW w:w="896" w:type="dxa"/>
          </w:tcPr>
          <w:p>
            <w:pPr>
              <w:pStyle w:val="TableParagraph"/>
              <w:spacing w:line="209" w:lineRule="exact"/>
              <w:ind w:right="26"/>
              <w:jc w:val="right"/>
              <w:rPr>
                <w:sz w:val="20"/>
              </w:rPr>
            </w:pPr>
            <w:r>
              <w:rPr>
                <w:spacing w:val="-4"/>
                <w:sz w:val="20"/>
              </w:rPr>
              <w:t>-</w:t>
            </w:r>
            <w:r>
              <w:rPr>
                <w:spacing w:val="-2"/>
                <w:sz w:val="20"/>
              </w:rPr>
              <w:t>2.9358</w:t>
            </w:r>
          </w:p>
        </w:tc>
      </w:tr>
      <w:tr>
        <w:trPr>
          <w:trHeight w:val="224" w:hRule="atLeast"/>
        </w:trPr>
        <w:tc>
          <w:tcPr>
            <w:tcW w:w="1847" w:type="dxa"/>
            <w:tcBorders>
              <w:bottom w:val="double" w:sz="6" w:space="0" w:color="000000"/>
            </w:tcBorders>
          </w:tcPr>
          <w:p>
            <w:pPr>
              <w:pStyle w:val="TableParagraph"/>
              <w:rPr>
                <w:sz w:val="16"/>
              </w:rPr>
            </w:pPr>
          </w:p>
        </w:tc>
        <w:tc>
          <w:tcPr>
            <w:tcW w:w="1375" w:type="dxa"/>
            <w:tcBorders>
              <w:bottom w:val="double" w:sz="6" w:space="0" w:color="000000"/>
            </w:tcBorders>
          </w:tcPr>
          <w:p>
            <w:pPr>
              <w:pStyle w:val="TableParagraph"/>
              <w:rPr>
                <w:sz w:val="16"/>
              </w:rPr>
            </w:pPr>
          </w:p>
        </w:tc>
        <w:tc>
          <w:tcPr>
            <w:tcW w:w="2368" w:type="dxa"/>
            <w:gridSpan w:val="2"/>
            <w:tcBorders>
              <w:bottom w:val="double" w:sz="6" w:space="0" w:color="000000"/>
            </w:tcBorders>
          </w:tcPr>
          <w:p>
            <w:pPr>
              <w:pStyle w:val="TableParagraph"/>
              <w:spacing w:line="205" w:lineRule="exact"/>
              <w:ind w:left="131"/>
              <w:rPr>
                <w:sz w:val="20"/>
              </w:rPr>
            </w:pPr>
            <w:r>
              <w:rPr>
                <w:sz w:val="20"/>
              </w:rPr>
              <w:t>10%</w:t>
            </w:r>
            <w:r>
              <w:rPr>
                <w:spacing w:val="-6"/>
                <w:sz w:val="20"/>
              </w:rPr>
              <w:t> </w:t>
            </w:r>
            <w:r>
              <w:rPr>
                <w:sz w:val="20"/>
              </w:rPr>
              <w:t>Critical</w:t>
            </w:r>
            <w:r>
              <w:rPr>
                <w:spacing w:val="-4"/>
                <w:sz w:val="20"/>
              </w:rPr>
              <w:t> </w:t>
            </w:r>
            <w:r>
              <w:rPr>
                <w:spacing w:val="-2"/>
                <w:sz w:val="20"/>
              </w:rPr>
              <w:t>Value</w:t>
            </w:r>
          </w:p>
        </w:tc>
        <w:tc>
          <w:tcPr>
            <w:tcW w:w="896" w:type="dxa"/>
            <w:tcBorders>
              <w:bottom w:val="double" w:sz="6" w:space="0" w:color="000000"/>
            </w:tcBorders>
          </w:tcPr>
          <w:p>
            <w:pPr>
              <w:pStyle w:val="TableParagraph"/>
              <w:spacing w:line="205" w:lineRule="exact"/>
              <w:ind w:right="26"/>
              <w:jc w:val="right"/>
              <w:rPr>
                <w:sz w:val="20"/>
              </w:rPr>
            </w:pPr>
            <w:r>
              <w:rPr>
                <w:spacing w:val="-4"/>
                <w:sz w:val="20"/>
              </w:rPr>
              <w:t>-</w:t>
            </w:r>
            <w:r>
              <w:rPr>
                <w:spacing w:val="-2"/>
                <w:sz w:val="20"/>
              </w:rPr>
              <w:t>2.6059</w:t>
            </w:r>
          </w:p>
        </w:tc>
      </w:tr>
      <w:tr>
        <w:trPr>
          <w:trHeight w:val="506" w:hRule="atLeast"/>
        </w:trPr>
        <w:tc>
          <w:tcPr>
            <w:tcW w:w="6486" w:type="dxa"/>
            <w:gridSpan w:val="5"/>
            <w:tcBorders>
              <w:top w:val="double" w:sz="6" w:space="0" w:color="000000"/>
            </w:tcBorders>
          </w:tcPr>
          <w:p>
            <w:pPr>
              <w:pStyle w:val="TableParagraph"/>
              <w:spacing w:before="42"/>
              <w:ind w:left="36"/>
              <w:rPr>
                <w:sz w:val="20"/>
              </w:rPr>
            </w:pPr>
            <w:r>
              <w:rPr>
                <w:sz w:val="20"/>
              </w:rPr>
              <w:t>*MacKinnon</w:t>
            </w:r>
            <w:r>
              <w:rPr>
                <w:spacing w:val="-6"/>
                <w:sz w:val="20"/>
              </w:rPr>
              <w:t> </w:t>
            </w:r>
            <w:r>
              <w:rPr>
                <w:sz w:val="20"/>
              </w:rPr>
              <w:t>critical</w:t>
            </w:r>
            <w:r>
              <w:rPr>
                <w:spacing w:val="-4"/>
                <w:sz w:val="20"/>
              </w:rPr>
              <w:t> </w:t>
            </w:r>
            <w:r>
              <w:rPr>
                <w:sz w:val="20"/>
              </w:rPr>
              <w:t>values</w:t>
            </w:r>
            <w:r>
              <w:rPr>
                <w:spacing w:val="-6"/>
                <w:sz w:val="20"/>
              </w:rPr>
              <w:t> </w:t>
            </w:r>
            <w:r>
              <w:rPr>
                <w:sz w:val="20"/>
              </w:rPr>
              <w:t>for</w:t>
            </w:r>
            <w:r>
              <w:rPr>
                <w:spacing w:val="-4"/>
                <w:sz w:val="20"/>
              </w:rPr>
              <w:t> </w:t>
            </w:r>
            <w:r>
              <w:rPr>
                <w:sz w:val="20"/>
              </w:rPr>
              <w:t>rejection</w:t>
            </w:r>
            <w:r>
              <w:rPr>
                <w:spacing w:val="-6"/>
                <w:sz w:val="20"/>
              </w:rPr>
              <w:t> </w:t>
            </w:r>
            <w:r>
              <w:rPr>
                <w:sz w:val="20"/>
              </w:rPr>
              <w:t>of</w:t>
            </w:r>
            <w:r>
              <w:rPr>
                <w:spacing w:val="-6"/>
                <w:sz w:val="20"/>
              </w:rPr>
              <w:t> </w:t>
            </w:r>
            <w:r>
              <w:rPr>
                <w:sz w:val="20"/>
              </w:rPr>
              <w:t>hypothesis</w:t>
            </w:r>
            <w:r>
              <w:rPr>
                <w:spacing w:val="-6"/>
                <w:sz w:val="20"/>
              </w:rPr>
              <w:t> </w:t>
            </w:r>
            <w:r>
              <w:rPr>
                <w:sz w:val="20"/>
              </w:rPr>
              <w:t>of</w:t>
            </w:r>
            <w:r>
              <w:rPr>
                <w:spacing w:val="-6"/>
                <w:sz w:val="20"/>
              </w:rPr>
              <w:t> </w:t>
            </w:r>
            <w:r>
              <w:rPr>
                <w:sz w:val="20"/>
              </w:rPr>
              <w:t>a</w:t>
            </w:r>
            <w:r>
              <w:rPr>
                <w:spacing w:val="-4"/>
                <w:sz w:val="20"/>
              </w:rPr>
              <w:t> </w:t>
            </w:r>
            <w:r>
              <w:rPr>
                <w:sz w:val="20"/>
              </w:rPr>
              <w:t>unit</w:t>
            </w:r>
            <w:r>
              <w:rPr>
                <w:spacing w:val="-6"/>
                <w:sz w:val="20"/>
              </w:rPr>
              <w:t> </w:t>
            </w:r>
            <w:r>
              <w:rPr>
                <w:spacing w:val="-2"/>
                <w:sz w:val="20"/>
              </w:rPr>
              <w:t>root.</w:t>
            </w:r>
          </w:p>
        </w:tc>
      </w:tr>
      <w:tr>
        <w:trPr>
          <w:trHeight w:val="459" w:hRule="atLeast"/>
        </w:trPr>
        <w:tc>
          <w:tcPr>
            <w:tcW w:w="6486" w:type="dxa"/>
            <w:gridSpan w:val="5"/>
          </w:tcPr>
          <w:p>
            <w:pPr>
              <w:pStyle w:val="TableParagraph"/>
              <w:spacing w:line="215" w:lineRule="exact" w:before="225"/>
              <w:ind w:left="36"/>
              <w:rPr>
                <w:sz w:val="20"/>
              </w:rPr>
            </w:pPr>
            <w:r>
              <w:rPr>
                <w:sz w:val="20"/>
              </w:rPr>
              <w:t>Augmented</w:t>
            </w:r>
            <w:r>
              <w:rPr>
                <w:spacing w:val="-8"/>
                <w:sz w:val="20"/>
              </w:rPr>
              <w:t> </w:t>
            </w:r>
            <w:r>
              <w:rPr>
                <w:sz w:val="20"/>
              </w:rPr>
              <w:t>Dickey-Fuller</w:t>
            </w:r>
            <w:r>
              <w:rPr>
                <w:spacing w:val="-8"/>
                <w:sz w:val="20"/>
              </w:rPr>
              <w:t> </w:t>
            </w:r>
            <w:r>
              <w:rPr>
                <w:sz w:val="20"/>
              </w:rPr>
              <w:t>Test</w:t>
            </w:r>
            <w:r>
              <w:rPr>
                <w:spacing w:val="-9"/>
                <w:sz w:val="20"/>
              </w:rPr>
              <w:t> </w:t>
            </w:r>
            <w:r>
              <w:rPr>
                <w:spacing w:val="-2"/>
                <w:sz w:val="20"/>
              </w:rPr>
              <w:t>Equation</w:t>
            </w:r>
          </w:p>
        </w:tc>
      </w:tr>
      <w:tr>
        <w:trPr>
          <w:trHeight w:val="230" w:hRule="atLeast"/>
        </w:trPr>
        <w:tc>
          <w:tcPr>
            <w:tcW w:w="6486" w:type="dxa"/>
            <w:gridSpan w:val="5"/>
          </w:tcPr>
          <w:p>
            <w:pPr>
              <w:pStyle w:val="TableParagraph"/>
              <w:spacing w:line="210" w:lineRule="exact"/>
              <w:ind w:left="36"/>
              <w:rPr>
                <w:sz w:val="20"/>
              </w:rPr>
            </w:pPr>
            <w:r>
              <w:rPr>
                <w:sz w:val="20"/>
              </w:rPr>
              <w:t>Dependent</w:t>
            </w:r>
            <w:r>
              <w:rPr>
                <w:spacing w:val="-7"/>
                <w:sz w:val="20"/>
              </w:rPr>
              <w:t> </w:t>
            </w:r>
            <w:r>
              <w:rPr>
                <w:sz w:val="20"/>
              </w:rPr>
              <w:t>Variable:</w:t>
            </w:r>
            <w:r>
              <w:rPr>
                <w:spacing w:val="-7"/>
                <w:sz w:val="20"/>
              </w:rPr>
              <w:t> </w:t>
            </w:r>
            <w:r>
              <w:rPr>
                <w:spacing w:val="-2"/>
                <w:sz w:val="20"/>
              </w:rPr>
              <w:t>D(GOCE)</w:t>
            </w:r>
          </w:p>
        </w:tc>
      </w:tr>
      <w:tr>
        <w:trPr>
          <w:trHeight w:val="229" w:hRule="atLeast"/>
        </w:trPr>
        <w:tc>
          <w:tcPr>
            <w:tcW w:w="6486" w:type="dxa"/>
            <w:gridSpan w:val="5"/>
          </w:tcPr>
          <w:p>
            <w:pPr>
              <w:pStyle w:val="TableParagraph"/>
              <w:spacing w:line="209" w:lineRule="exact"/>
              <w:ind w:left="36"/>
              <w:rPr>
                <w:sz w:val="20"/>
              </w:rPr>
            </w:pPr>
            <w:r>
              <w:rPr>
                <w:sz w:val="20"/>
              </w:rPr>
              <w:t>Method:</w:t>
            </w:r>
            <w:r>
              <w:rPr>
                <w:spacing w:val="-8"/>
                <w:sz w:val="20"/>
              </w:rPr>
              <w:t> </w:t>
            </w:r>
            <w:r>
              <w:rPr>
                <w:sz w:val="20"/>
              </w:rPr>
              <w:t>Least</w:t>
            </w:r>
            <w:r>
              <w:rPr>
                <w:spacing w:val="-7"/>
                <w:sz w:val="20"/>
              </w:rPr>
              <w:t> </w:t>
            </w:r>
            <w:r>
              <w:rPr>
                <w:spacing w:val="-2"/>
                <w:sz w:val="20"/>
              </w:rPr>
              <w:t>Squares</w:t>
            </w:r>
          </w:p>
        </w:tc>
      </w:tr>
      <w:tr>
        <w:trPr>
          <w:trHeight w:val="229" w:hRule="atLeast"/>
        </w:trPr>
        <w:tc>
          <w:tcPr>
            <w:tcW w:w="6486" w:type="dxa"/>
            <w:gridSpan w:val="5"/>
          </w:tcPr>
          <w:p>
            <w:pPr>
              <w:pStyle w:val="TableParagraph"/>
              <w:spacing w:line="209" w:lineRule="exact"/>
              <w:ind w:left="36"/>
              <w:rPr>
                <w:sz w:val="20"/>
              </w:rPr>
            </w:pPr>
            <w:r>
              <w:rPr>
                <w:sz w:val="20"/>
              </w:rPr>
              <w:t>Date:</w:t>
            </w:r>
            <w:r>
              <w:rPr>
                <w:spacing w:val="-5"/>
                <w:sz w:val="20"/>
              </w:rPr>
              <w:t> </w:t>
            </w:r>
            <w:r>
              <w:rPr>
                <w:sz w:val="20"/>
              </w:rPr>
              <w:t>02/18/14</w:t>
            </w:r>
            <w:r>
              <w:rPr>
                <w:spacing w:val="63"/>
                <w:w w:val="150"/>
                <w:sz w:val="20"/>
              </w:rPr>
              <w:t> </w:t>
            </w:r>
            <w:r>
              <w:rPr>
                <w:sz w:val="20"/>
              </w:rPr>
              <w:t>Time:</w:t>
            </w:r>
            <w:r>
              <w:rPr>
                <w:spacing w:val="-3"/>
                <w:sz w:val="20"/>
              </w:rPr>
              <w:t> </w:t>
            </w:r>
            <w:r>
              <w:rPr>
                <w:spacing w:val="-2"/>
                <w:sz w:val="20"/>
              </w:rPr>
              <w:t>09:24</w:t>
            </w:r>
          </w:p>
        </w:tc>
      </w:tr>
      <w:tr>
        <w:trPr>
          <w:trHeight w:val="230" w:hRule="atLeast"/>
        </w:trPr>
        <w:tc>
          <w:tcPr>
            <w:tcW w:w="6486" w:type="dxa"/>
            <w:gridSpan w:val="5"/>
          </w:tcPr>
          <w:p>
            <w:pPr>
              <w:pStyle w:val="TableParagraph"/>
              <w:spacing w:line="210" w:lineRule="exact"/>
              <w:ind w:left="36"/>
              <w:rPr>
                <w:sz w:val="20"/>
              </w:rPr>
            </w:pPr>
            <w:r>
              <w:rPr>
                <w:sz w:val="20"/>
              </w:rPr>
              <w:t>Sample(adjusted):</w:t>
            </w:r>
            <w:r>
              <w:rPr>
                <w:spacing w:val="-9"/>
                <w:sz w:val="20"/>
              </w:rPr>
              <w:t> </w:t>
            </w:r>
            <w:r>
              <w:rPr>
                <w:sz w:val="20"/>
              </w:rPr>
              <w:t>1972</w:t>
            </w:r>
            <w:r>
              <w:rPr>
                <w:spacing w:val="-9"/>
                <w:sz w:val="20"/>
              </w:rPr>
              <w:t> </w:t>
            </w:r>
            <w:r>
              <w:rPr>
                <w:spacing w:val="-4"/>
                <w:sz w:val="20"/>
              </w:rPr>
              <w:t>2011</w:t>
            </w:r>
          </w:p>
        </w:tc>
      </w:tr>
      <w:tr>
        <w:trPr>
          <w:trHeight w:val="224" w:hRule="atLeast"/>
        </w:trPr>
        <w:tc>
          <w:tcPr>
            <w:tcW w:w="6486" w:type="dxa"/>
            <w:gridSpan w:val="5"/>
            <w:tcBorders>
              <w:bottom w:val="double" w:sz="6" w:space="0" w:color="000000"/>
            </w:tcBorders>
          </w:tcPr>
          <w:p>
            <w:pPr>
              <w:pStyle w:val="TableParagraph"/>
              <w:spacing w:line="205" w:lineRule="exact"/>
              <w:ind w:left="36"/>
              <w:rPr>
                <w:sz w:val="20"/>
              </w:rPr>
            </w:pPr>
            <w:r>
              <w:rPr>
                <w:sz w:val="20"/>
              </w:rPr>
              <w:t>Included</w:t>
            </w:r>
            <w:r>
              <w:rPr>
                <w:spacing w:val="-6"/>
                <w:sz w:val="20"/>
              </w:rPr>
              <w:t> </w:t>
            </w:r>
            <w:r>
              <w:rPr>
                <w:sz w:val="20"/>
              </w:rPr>
              <w:t>observations:</w:t>
            </w:r>
            <w:r>
              <w:rPr>
                <w:spacing w:val="-8"/>
                <w:sz w:val="20"/>
              </w:rPr>
              <w:t> </w:t>
            </w:r>
            <w:r>
              <w:rPr>
                <w:sz w:val="20"/>
              </w:rPr>
              <w:t>40</w:t>
            </w:r>
            <w:r>
              <w:rPr>
                <w:spacing w:val="-5"/>
                <w:sz w:val="20"/>
              </w:rPr>
              <w:t> </w:t>
            </w:r>
            <w:r>
              <w:rPr>
                <w:sz w:val="20"/>
              </w:rPr>
              <w:t>after</w:t>
            </w:r>
            <w:r>
              <w:rPr>
                <w:spacing w:val="-7"/>
                <w:sz w:val="20"/>
              </w:rPr>
              <w:t> </w:t>
            </w:r>
            <w:r>
              <w:rPr>
                <w:sz w:val="20"/>
              </w:rPr>
              <w:t>adjusting</w:t>
            </w:r>
            <w:r>
              <w:rPr>
                <w:spacing w:val="-7"/>
                <w:sz w:val="20"/>
              </w:rPr>
              <w:t> </w:t>
            </w:r>
            <w:r>
              <w:rPr>
                <w:spacing w:val="-2"/>
                <w:sz w:val="20"/>
              </w:rPr>
              <w:t>endpoints</w:t>
            </w:r>
          </w:p>
        </w:tc>
      </w:tr>
      <w:tr>
        <w:trPr>
          <w:trHeight w:val="269" w:hRule="atLeast"/>
        </w:trPr>
        <w:tc>
          <w:tcPr>
            <w:tcW w:w="1847" w:type="dxa"/>
            <w:tcBorders>
              <w:top w:val="double" w:sz="6" w:space="0" w:color="000000"/>
              <w:bottom w:val="double" w:sz="6" w:space="0" w:color="000000"/>
            </w:tcBorders>
          </w:tcPr>
          <w:p>
            <w:pPr>
              <w:pStyle w:val="TableParagraph"/>
              <w:spacing w:line="209" w:lineRule="exact" w:before="40"/>
              <w:ind w:left="677"/>
              <w:rPr>
                <w:sz w:val="20"/>
              </w:rPr>
            </w:pPr>
            <w:r>
              <w:rPr>
                <w:spacing w:val="-2"/>
                <w:sz w:val="20"/>
              </w:rPr>
              <w:t>Variable</w:t>
            </w:r>
          </w:p>
        </w:tc>
        <w:tc>
          <w:tcPr>
            <w:tcW w:w="1375" w:type="dxa"/>
            <w:tcBorders>
              <w:top w:val="double" w:sz="6" w:space="0" w:color="000000"/>
              <w:bottom w:val="double" w:sz="6" w:space="0" w:color="000000"/>
            </w:tcBorders>
          </w:tcPr>
          <w:p>
            <w:pPr>
              <w:pStyle w:val="TableParagraph"/>
              <w:spacing w:line="209" w:lineRule="exact" w:before="40"/>
              <w:ind w:right="131"/>
              <w:jc w:val="right"/>
              <w:rPr>
                <w:sz w:val="20"/>
              </w:rPr>
            </w:pPr>
            <w:r>
              <w:rPr>
                <w:spacing w:val="-2"/>
                <w:sz w:val="20"/>
              </w:rPr>
              <w:t>Coefficient</w:t>
            </w:r>
          </w:p>
        </w:tc>
        <w:tc>
          <w:tcPr>
            <w:tcW w:w="1432" w:type="dxa"/>
            <w:tcBorders>
              <w:top w:val="double" w:sz="6" w:space="0" w:color="000000"/>
              <w:bottom w:val="double" w:sz="6" w:space="0" w:color="000000"/>
            </w:tcBorders>
          </w:tcPr>
          <w:p>
            <w:pPr>
              <w:pStyle w:val="TableParagraph"/>
              <w:spacing w:line="209" w:lineRule="exact" w:before="40"/>
              <w:ind w:left="273"/>
              <w:rPr>
                <w:sz w:val="20"/>
              </w:rPr>
            </w:pPr>
            <w:r>
              <w:rPr>
                <w:sz w:val="20"/>
              </w:rPr>
              <w:t>Std.</w:t>
            </w:r>
            <w:r>
              <w:rPr>
                <w:spacing w:val="-4"/>
                <w:sz w:val="20"/>
              </w:rPr>
              <w:t> </w:t>
            </w:r>
            <w:r>
              <w:rPr>
                <w:spacing w:val="-2"/>
                <w:sz w:val="20"/>
              </w:rPr>
              <w:t>Error</w:t>
            </w:r>
          </w:p>
        </w:tc>
        <w:tc>
          <w:tcPr>
            <w:tcW w:w="936" w:type="dxa"/>
            <w:tcBorders>
              <w:top w:val="double" w:sz="6" w:space="0" w:color="000000"/>
              <w:bottom w:val="double" w:sz="6" w:space="0" w:color="000000"/>
            </w:tcBorders>
          </w:tcPr>
          <w:p>
            <w:pPr>
              <w:pStyle w:val="TableParagraph"/>
              <w:spacing w:line="209" w:lineRule="exact" w:before="40"/>
              <w:ind w:right="112"/>
              <w:jc w:val="right"/>
              <w:rPr>
                <w:sz w:val="20"/>
              </w:rPr>
            </w:pPr>
            <w:r>
              <w:rPr>
                <w:spacing w:val="-4"/>
                <w:sz w:val="20"/>
              </w:rPr>
              <w:t>t-</w:t>
            </w:r>
            <w:r>
              <w:rPr>
                <w:spacing w:val="-2"/>
                <w:sz w:val="20"/>
              </w:rPr>
              <w:t>Statistic</w:t>
            </w:r>
          </w:p>
        </w:tc>
        <w:tc>
          <w:tcPr>
            <w:tcW w:w="896" w:type="dxa"/>
            <w:tcBorders>
              <w:top w:val="double" w:sz="6" w:space="0" w:color="000000"/>
              <w:bottom w:val="double" w:sz="6" w:space="0" w:color="000000"/>
            </w:tcBorders>
          </w:tcPr>
          <w:p>
            <w:pPr>
              <w:pStyle w:val="TableParagraph"/>
              <w:spacing w:line="209" w:lineRule="exact" w:before="40"/>
              <w:ind w:right="27"/>
              <w:jc w:val="right"/>
              <w:rPr>
                <w:sz w:val="20"/>
              </w:rPr>
            </w:pPr>
            <w:r>
              <w:rPr>
                <w:spacing w:val="-2"/>
                <w:sz w:val="20"/>
              </w:rPr>
              <w:t>Prob.</w:t>
            </w:r>
          </w:p>
        </w:tc>
      </w:tr>
      <w:tr>
        <w:trPr>
          <w:trHeight w:val="276" w:hRule="atLeast"/>
        </w:trPr>
        <w:tc>
          <w:tcPr>
            <w:tcW w:w="1847" w:type="dxa"/>
            <w:tcBorders>
              <w:top w:val="double" w:sz="6" w:space="0" w:color="000000"/>
            </w:tcBorders>
          </w:tcPr>
          <w:p>
            <w:pPr>
              <w:pStyle w:val="TableParagraph"/>
              <w:spacing w:line="214" w:lineRule="exact" w:before="42"/>
              <w:ind w:left="600"/>
              <w:rPr>
                <w:sz w:val="20"/>
              </w:rPr>
            </w:pPr>
            <w:r>
              <w:rPr>
                <w:spacing w:val="-2"/>
                <w:sz w:val="20"/>
              </w:rPr>
              <w:t>GOCE(-</w:t>
            </w:r>
            <w:r>
              <w:rPr>
                <w:spacing w:val="-5"/>
                <w:sz w:val="20"/>
              </w:rPr>
              <w:t>1)</w:t>
            </w:r>
          </w:p>
        </w:tc>
        <w:tc>
          <w:tcPr>
            <w:tcW w:w="1375" w:type="dxa"/>
            <w:tcBorders>
              <w:top w:val="double" w:sz="6" w:space="0" w:color="000000"/>
            </w:tcBorders>
          </w:tcPr>
          <w:p>
            <w:pPr>
              <w:pStyle w:val="TableParagraph"/>
              <w:spacing w:line="214" w:lineRule="exact" w:before="42"/>
              <w:ind w:right="128"/>
              <w:jc w:val="right"/>
              <w:rPr>
                <w:sz w:val="20"/>
              </w:rPr>
            </w:pPr>
            <w:r>
              <w:rPr>
                <w:spacing w:val="-4"/>
                <w:sz w:val="20"/>
              </w:rPr>
              <w:t>-</w:t>
            </w:r>
            <w:r>
              <w:rPr>
                <w:spacing w:val="-2"/>
                <w:sz w:val="20"/>
              </w:rPr>
              <w:t>0.002265</w:t>
            </w:r>
          </w:p>
        </w:tc>
        <w:tc>
          <w:tcPr>
            <w:tcW w:w="1432" w:type="dxa"/>
            <w:tcBorders>
              <w:top w:val="double" w:sz="6" w:space="0" w:color="000000"/>
            </w:tcBorders>
          </w:tcPr>
          <w:p>
            <w:pPr>
              <w:pStyle w:val="TableParagraph"/>
              <w:spacing w:line="214" w:lineRule="exact" w:before="42"/>
              <w:ind w:left="311"/>
              <w:rPr>
                <w:sz w:val="20"/>
              </w:rPr>
            </w:pPr>
            <w:r>
              <w:rPr>
                <w:spacing w:val="-2"/>
                <w:sz w:val="20"/>
              </w:rPr>
              <w:t>0.017068</w:t>
            </w:r>
          </w:p>
        </w:tc>
        <w:tc>
          <w:tcPr>
            <w:tcW w:w="936" w:type="dxa"/>
            <w:tcBorders>
              <w:top w:val="double" w:sz="6" w:space="0" w:color="000000"/>
            </w:tcBorders>
          </w:tcPr>
          <w:p>
            <w:pPr>
              <w:pStyle w:val="TableParagraph"/>
              <w:spacing w:line="214" w:lineRule="exact" w:before="42"/>
              <w:ind w:right="110"/>
              <w:jc w:val="right"/>
              <w:rPr>
                <w:sz w:val="20"/>
              </w:rPr>
            </w:pPr>
            <w:r>
              <w:rPr>
                <w:spacing w:val="-4"/>
                <w:sz w:val="20"/>
              </w:rPr>
              <w:t>-</w:t>
            </w:r>
            <w:r>
              <w:rPr>
                <w:spacing w:val="-2"/>
                <w:sz w:val="20"/>
              </w:rPr>
              <w:t>0.132702</w:t>
            </w:r>
          </w:p>
        </w:tc>
        <w:tc>
          <w:tcPr>
            <w:tcW w:w="896" w:type="dxa"/>
            <w:tcBorders>
              <w:top w:val="double" w:sz="6" w:space="0" w:color="000000"/>
            </w:tcBorders>
          </w:tcPr>
          <w:p>
            <w:pPr>
              <w:pStyle w:val="TableParagraph"/>
              <w:spacing w:line="214" w:lineRule="exact" w:before="42"/>
              <w:ind w:right="26"/>
              <w:jc w:val="right"/>
              <w:rPr>
                <w:sz w:val="20"/>
              </w:rPr>
            </w:pPr>
            <w:r>
              <w:rPr>
                <w:spacing w:val="-2"/>
                <w:sz w:val="20"/>
              </w:rPr>
              <w:t>0.8951</w:t>
            </w:r>
          </w:p>
        </w:tc>
      </w:tr>
      <w:tr>
        <w:trPr>
          <w:trHeight w:val="229" w:hRule="atLeast"/>
        </w:trPr>
        <w:tc>
          <w:tcPr>
            <w:tcW w:w="1847" w:type="dxa"/>
          </w:tcPr>
          <w:p>
            <w:pPr>
              <w:pStyle w:val="TableParagraph"/>
              <w:spacing w:line="209" w:lineRule="exact"/>
              <w:ind w:left="461"/>
              <w:rPr>
                <w:sz w:val="20"/>
              </w:rPr>
            </w:pPr>
            <w:r>
              <w:rPr>
                <w:spacing w:val="-2"/>
                <w:sz w:val="20"/>
              </w:rPr>
              <w:t>D(GOCE(-</w:t>
            </w:r>
            <w:r>
              <w:rPr>
                <w:spacing w:val="-5"/>
                <w:sz w:val="20"/>
              </w:rPr>
              <w:t>1))</w:t>
            </w:r>
          </w:p>
        </w:tc>
        <w:tc>
          <w:tcPr>
            <w:tcW w:w="1375" w:type="dxa"/>
          </w:tcPr>
          <w:p>
            <w:pPr>
              <w:pStyle w:val="TableParagraph"/>
              <w:spacing w:line="209" w:lineRule="exact"/>
              <w:ind w:right="128"/>
              <w:jc w:val="right"/>
              <w:rPr>
                <w:sz w:val="20"/>
              </w:rPr>
            </w:pPr>
            <w:r>
              <w:rPr>
                <w:spacing w:val="-4"/>
                <w:sz w:val="20"/>
              </w:rPr>
              <w:t>-</w:t>
            </w:r>
            <w:r>
              <w:rPr>
                <w:spacing w:val="-2"/>
                <w:sz w:val="20"/>
              </w:rPr>
              <w:t>0.254094</w:t>
            </w:r>
          </w:p>
        </w:tc>
        <w:tc>
          <w:tcPr>
            <w:tcW w:w="1432" w:type="dxa"/>
          </w:tcPr>
          <w:p>
            <w:pPr>
              <w:pStyle w:val="TableParagraph"/>
              <w:spacing w:line="209" w:lineRule="exact"/>
              <w:ind w:left="311"/>
              <w:rPr>
                <w:sz w:val="20"/>
              </w:rPr>
            </w:pPr>
            <w:r>
              <w:rPr>
                <w:spacing w:val="-2"/>
                <w:sz w:val="20"/>
              </w:rPr>
              <w:t>0.162203</w:t>
            </w:r>
          </w:p>
        </w:tc>
        <w:tc>
          <w:tcPr>
            <w:tcW w:w="936" w:type="dxa"/>
          </w:tcPr>
          <w:p>
            <w:pPr>
              <w:pStyle w:val="TableParagraph"/>
              <w:spacing w:line="209" w:lineRule="exact"/>
              <w:ind w:right="110"/>
              <w:jc w:val="right"/>
              <w:rPr>
                <w:sz w:val="20"/>
              </w:rPr>
            </w:pPr>
            <w:r>
              <w:rPr>
                <w:spacing w:val="-4"/>
                <w:sz w:val="20"/>
              </w:rPr>
              <w:t>-</w:t>
            </w:r>
            <w:r>
              <w:rPr>
                <w:spacing w:val="-2"/>
                <w:sz w:val="20"/>
              </w:rPr>
              <w:t>1.566516</w:t>
            </w:r>
          </w:p>
        </w:tc>
        <w:tc>
          <w:tcPr>
            <w:tcW w:w="896" w:type="dxa"/>
          </w:tcPr>
          <w:p>
            <w:pPr>
              <w:pStyle w:val="TableParagraph"/>
              <w:spacing w:line="209" w:lineRule="exact"/>
              <w:ind w:right="26"/>
              <w:jc w:val="right"/>
              <w:rPr>
                <w:sz w:val="20"/>
              </w:rPr>
            </w:pPr>
            <w:r>
              <w:rPr>
                <w:spacing w:val="-2"/>
                <w:sz w:val="20"/>
              </w:rPr>
              <w:t>0.1257</w:t>
            </w:r>
          </w:p>
        </w:tc>
      </w:tr>
      <w:tr>
        <w:trPr>
          <w:trHeight w:val="224" w:hRule="atLeast"/>
        </w:trPr>
        <w:tc>
          <w:tcPr>
            <w:tcW w:w="1847" w:type="dxa"/>
            <w:tcBorders>
              <w:bottom w:val="double" w:sz="6" w:space="0" w:color="000000"/>
            </w:tcBorders>
          </w:tcPr>
          <w:p>
            <w:pPr>
              <w:pStyle w:val="TableParagraph"/>
              <w:spacing w:line="205" w:lineRule="exact"/>
              <w:ind w:left="197"/>
              <w:jc w:val="center"/>
              <w:rPr>
                <w:sz w:val="20"/>
              </w:rPr>
            </w:pPr>
            <w:r>
              <w:rPr>
                <w:spacing w:val="-10"/>
                <w:sz w:val="20"/>
              </w:rPr>
              <w:t>C</w:t>
            </w:r>
          </w:p>
        </w:tc>
        <w:tc>
          <w:tcPr>
            <w:tcW w:w="1375" w:type="dxa"/>
            <w:tcBorders>
              <w:bottom w:val="double" w:sz="6" w:space="0" w:color="000000"/>
            </w:tcBorders>
          </w:tcPr>
          <w:p>
            <w:pPr>
              <w:pStyle w:val="TableParagraph"/>
              <w:spacing w:line="205" w:lineRule="exact"/>
              <w:ind w:right="128"/>
              <w:jc w:val="right"/>
              <w:rPr>
                <w:sz w:val="20"/>
              </w:rPr>
            </w:pPr>
            <w:r>
              <w:rPr>
                <w:spacing w:val="-2"/>
                <w:sz w:val="20"/>
              </w:rPr>
              <w:t>0.283316</w:t>
            </w:r>
          </w:p>
        </w:tc>
        <w:tc>
          <w:tcPr>
            <w:tcW w:w="1432" w:type="dxa"/>
            <w:tcBorders>
              <w:bottom w:val="double" w:sz="6" w:space="0" w:color="000000"/>
            </w:tcBorders>
          </w:tcPr>
          <w:p>
            <w:pPr>
              <w:pStyle w:val="TableParagraph"/>
              <w:spacing w:line="205" w:lineRule="exact"/>
              <w:ind w:left="311"/>
              <w:rPr>
                <w:sz w:val="20"/>
              </w:rPr>
            </w:pPr>
            <w:r>
              <w:rPr>
                <w:spacing w:val="-2"/>
                <w:sz w:val="20"/>
              </w:rPr>
              <w:t>0.187148</w:t>
            </w:r>
          </w:p>
        </w:tc>
        <w:tc>
          <w:tcPr>
            <w:tcW w:w="936" w:type="dxa"/>
            <w:tcBorders>
              <w:bottom w:val="double" w:sz="6" w:space="0" w:color="000000"/>
            </w:tcBorders>
          </w:tcPr>
          <w:p>
            <w:pPr>
              <w:pStyle w:val="TableParagraph"/>
              <w:spacing w:line="205" w:lineRule="exact"/>
              <w:ind w:right="110"/>
              <w:jc w:val="right"/>
              <w:rPr>
                <w:sz w:val="20"/>
              </w:rPr>
            </w:pPr>
            <w:r>
              <w:rPr>
                <w:spacing w:val="-2"/>
                <w:sz w:val="20"/>
              </w:rPr>
              <w:t>1.513859</w:t>
            </w:r>
          </w:p>
        </w:tc>
        <w:tc>
          <w:tcPr>
            <w:tcW w:w="896" w:type="dxa"/>
            <w:tcBorders>
              <w:bottom w:val="double" w:sz="6" w:space="0" w:color="000000"/>
            </w:tcBorders>
          </w:tcPr>
          <w:p>
            <w:pPr>
              <w:pStyle w:val="TableParagraph"/>
              <w:spacing w:line="205" w:lineRule="exact"/>
              <w:ind w:right="26"/>
              <w:jc w:val="right"/>
              <w:rPr>
                <w:sz w:val="20"/>
              </w:rPr>
            </w:pPr>
            <w:r>
              <w:rPr>
                <w:spacing w:val="-2"/>
                <w:sz w:val="20"/>
              </w:rPr>
              <w:t>0.1386</w:t>
            </w:r>
          </w:p>
        </w:tc>
      </w:tr>
      <w:tr>
        <w:trPr>
          <w:trHeight w:val="276" w:hRule="atLeast"/>
        </w:trPr>
        <w:tc>
          <w:tcPr>
            <w:tcW w:w="1847" w:type="dxa"/>
            <w:tcBorders>
              <w:top w:val="double" w:sz="6" w:space="0" w:color="000000"/>
            </w:tcBorders>
          </w:tcPr>
          <w:p>
            <w:pPr>
              <w:pStyle w:val="TableParagraph"/>
              <w:spacing w:line="214" w:lineRule="exact" w:before="42"/>
              <w:ind w:left="36"/>
              <w:rPr>
                <w:sz w:val="20"/>
              </w:rPr>
            </w:pPr>
            <w:r>
              <w:rPr>
                <w:spacing w:val="-2"/>
                <w:sz w:val="20"/>
              </w:rPr>
              <w:t>R-squared</w:t>
            </w:r>
          </w:p>
        </w:tc>
        <w:tc>
          <w:tcPr>
            <w:tcW w:w="1375" w:type="dxa"/>
            <w:tcBorders>
              <w:top w:val="double" w:sz="6" w:space="0" w:color="000000"/>
            </w:tcBorders>
          </w:tcPr>
          <w:p>
            <w:pPr>
              <w:pStyle w:val="TableParagraph"/>
              <w:spacing w:line="214" w:lineRule="exact" w:before="42"/>
              <w:ind w:right="128"/>
              <w:jc w:val="right"/>
              <w:rPr>
                <w:sz w:val="20"/>
              </w:rPr>
            </w:pPr>
            <w:r>
              <w:rPr>
                <w:spacing w:val="-2"/>
                <w:sz w:val="20"/>
              </w:rPr>
              <w:t>0.064482</w:t>
            </w:r>
          </w:p>
        </w:tc>
        <w:tc>
          <w:tcPr>
            <w:tcW w:w="2368" w:type="dxa"/>
            <w:gridSpan w:val="2"/>
            <w:tcBorders>
              <w:top w:val="double" w:sz="6" w:space="0" w:color="000000"/>
            </w:tcBorders>
          </w:tcPr>
          <w:p>
            <w:pPr>
              <w:pStyle w:val="TableParagraph"/>
              <w:spacing w:line="214" w:lineRule="exact" w:before="42"/>
              <w:ind w:left="131"/>
              <w:rPr>
                <w:sz w:val="20"/>
              </w:rPr>
            </w:pPr>
            <w:r>
              <w:rPr>
                <w:sz w:val="20"/>
              </w:rPr>
              <w:t>Mean</w:t>
            </w:r>
            <w:r>
              <w:rPr>
                <w:spacing w:val="-7"/>
                <w:sz w:val="20"/>
              </w:rPr>
              <w:t> </w:t>
            </w:r>
            <w:r>
              <w:rPr>
                <w:sz w:val="20"/>
              </w:rPr>
              <w:t>dependent</w:t>
            </w:r>
            <w:r>
              <w:rPr>
                <w:spacing w:val="-7"/>
                <w:sz w:val="20"/>
              </w:rPr>
              <w:t> </w:t>
            </w:r>
            <w:r>
              <w:rPr>
                <w:spacing w:val="-5"/>
                <w:sz w:val="20"/>
              </w:rPr>
              <w:t>var</w:t>
            </w:r>
          </w:p>
        </w:tc>
        <w:tc>
          <w:tcPr>
            <w:tcW w:w="896" w:type="dxa"/>
            <w:tcBorders>
              <w:top w:val="double" w:sz="6" w:space="0" w:color="000000"/>
            </w:tcBorders>
          </w:tcPr>
          <w:p>
            <w:pPr>
              <w:pStyle w:val="TableParagraph"/>
              <w:spacing w:line="214" w:lineRule="exact" w:before="42"/>
              <w:ind w:right="26"/>
              <w:jc w:val="right"/>
              <w:rPr>
                <w:sz w:val="20"/>
              </w:rPr>
            </w:pPr>
            <w:r>
              <w:rPr>
                <w:spacing w:val="-2"/>
                <w:sz w:val="20"/>
              </w:rPr>
              <w:t>0.205460</w:t>
            </w:r>
          </w:p>
        </w:tc>
      </w:tr>
      <w:tr>
        <w:trPr>
          <w:trHeight w:val="229" w:hRule="atLeast"/>
        </w:trPr>
        <w:tc>
          <w:tcPr>
            <w:tcW w:w="1847" w:type="dxa"/>
          </w:tcPr>
          <w:p>
            <w:pPr>
              <w:pStyle w:val="TableParagraph"/>
              <w:spacing w:line="209" w:lineRule="exact"/>
              <w:ind w:left="36"/>
              <w:rPr>
                <w:sz w:val="20"/>
              </w:rPr>
            </w:pPr>
            <w:r>
              <w:rPr>
                <w:sz w:val="20"/>
              </w:rPr>
              <w:t>Adjusted</w:t>
            </w:r>
            <w:r>
              <w:rPr>
                <w:spacing w:val="-10"/>
                <w:sz w:val="20"/>
              </w:rPr>
              <w:t> </w:t>
            </w:r>
            <w:r>
              <w:rPr>
                <w:sz w:val="20"/>
              </w:rPr>
              <w:t>R-</w:t>
            </w:r>
            <w:r>
              <w:rPr>
                <w:spacing w:val="-2"/>
                <w:sz w:val="20"/>
              </w:rPr>
              <w:t>squared</w:t>
            </w:r>
          </w:p>
        </w:tc>
        <w:tc>
          <w:tcPr>
            <w:tcW w:w="1375" w:type="dxa"/>
          </w:tcPr>
          <w:p>
            <w:pPr>
              <w:pStyle w:val="TableParagraph"/>
              <w:spacing w:line="209" w:lineRule="exact"/>
              <w:ind w:right="128"/>
              <w:jc w:val="right"/>
              <w:rPr>
                <w:sz w:val="20"/>
              </w:rPr>
            </w:pPr>
            <w:r>
              <w:rPr>
                <w:spacing w:val="-2"/>
                <w:sz w:val="20"/>
              </w:rPr>
              <w:t>0.013913</w:t>
            </w:r>
          </w:p>
        </w:tc>
        <w:tc>
          <w:tcPr>
            <w:tcW w:w="2368" w:type="dxa"/>
            <w:gridSpan w:val="2"/>
          </w:tcPr>
          <w:p>
            <w:pPr>
              <w:pStyle w:val="TableParagraph"/>
              <w:spacing w:line="209" w:lineRule="exact"/>
              <w:ind w:left="131"/>
              <w:rPr>
                <w:sz w:val="20"/>
              </w:rPr>
            </w:pPr>
            <w:r>
              <w:rPr>
                <w:sz w:val="20"/>
              </w:rPr>
              <w:t>S.D.</w:t>
            </w:r>
            <w:r>
              <w:rPr>
                <w:spacing w:val="-5"/>
                <w:sz w:val="20"/>
              </w:rPr>
              <w:t> </w:t>
            </w:r>
            <w:r>
              <w:rPr>
                <w:sz w:val="20"/>
              </w:rPr>
              <w:t>dependent</w:t>
            </w:r>
            <w:r>
              <w:rPr>
                <w:spacing w:val="-6"/>
                <w:sz w:val="20"/>
              </w:rPr>
              <w:t> </w:t>
            </w:r>
            <w:r>
              <w:rPr>
                <w:spacing w:val="-5"/>
                <w:sz w:val="20"/>
              </w:rPr>
              <w:t>var</w:t>
            </w:r>
          </w:p>
        </w:tc>
        <w:tc>
          <w:tcPr>
            <w:tcW w:w="896" w:type="dxa"/>
          </w:tcPr>
          <w:p>
            <w:pPr>
              <w:pStyle w:val="TableParagraph"/>
              <w:spacing w:line="209" w:lineRule="exact"/>
              <w:ind w:right="26"/>
              <w:jc w:val="right"/>
              <w:rPr>
                <w:sz w:val="20"/>
              </w:rPr>
            </w:pPr>
            <w:r>
              <w:rPr>
                <w:spacing w:val="-2"/>
                <w:sz w:val="20"/>
              </w:rPr>
              <w:t>0.274665</w:t>
            </w:r>
          </w:p>
        </w:tc>
      </w:tr>
      <w:tr>
        <w:trPr>
          <w:trHeight w:val="230" w:hRule="atLeast"/>
        </w:trPr>
        <w:tc>
          <w:tcPr>
            <w:tcW w:w="1847" w:type="dxa"/>
          </w:tcPr>
          <w:p>
            <w:pPr>
              <w:pStyle w:val="TableParagraph"/>
              <w:spacing w:line="210" w:lineRule="exact"/>
              <w:ind w:left="36"/>
              <w:rPr>
                <w:sz w:val="20"/>
              </w:rPr>
            </w:pPr>
            <w:r>
              <w:rPr>
                <w:sz w:val="20"/>
              </w:rPr>
              <w:t>S.E.</w:t>
            </w:r>
            <w:r>
              <w:rPr>
                <w:spacing w:val="-3"/>
                <w:sz w:val="20"/>
              </w:rPr>
              <w:t> </w:t>
            </w:r>
            <w:r>
              <w:rPr>
                <w:sz w:val="20"/>
              </w:rPr>
              <w:t>of</w:t>
            </w:r>
            <w:r>
              <w:rPr>
                <w:spacing w:val="-3"/>
                <w:sz w:val="20"/>
              </w:rPr>
              <w:t> </w:t>
            </w:r>
            <w:r>
              <w:rPr>
                <w:spacing w:val="-2"/>
                <w:sz w:val="20"/>
              </w:rPr>
              <w:t>regression</w:t>
            </w:r>
          </w:p>
        </w:tc>
        <w:tc>
          <w:tcPr>
            <w:tcW w:w="1375" w:type="dxa"/>
          </w:tcPr>
          <w:p>
            <w:pPr>
              <w:pStyle w:val="TableParagraph"/>
              <w:spacing w:line="210" w:lineRule="exact"/>
              <w:ind w:right="128"/>
              <w:jc w:val="right"/>
              <w:rPr>
                <w:sz w:val="20"/>
              </w:rPr>
            </w:pPr>
            <w:r>
              <w:rPr>
                <w:spacing w:val="-2"/>
                <w:sz w:val="20"/>
              </w:rPr>
              <w:t>0.272748</w:t>
            </w:r>
          </w:p>
        </w:tc>
        <w:tc>
          <w:tcPr>
            <w:tcW w:w="2368" w:type="dxa"/>
            <w:gridSpan w:val="2"/>
          </w:tcPr>
          <w:p>
            <w:pPr>
              <w:pStyle w:val="TableParagraph"/>
              <w:spacing w:line="210" w:lineRule="exact"/>
              <w:ind w:left="131"/>
              <w:rPr>
                <w:sz w:val="20"/>
              </w:rPr>
            </w:pPr>
            <w:r>
              <w:rPr>
                <w:sz w:val="20"/>
              </w:rPr>
              <w:t>Akaike</w:t>
            </w:r>
            <w:r>
              <w:rPr>
                <w:spacing w:val="-8"/>
                <w:sz w:val="20"/>
              </w:rPr>
              <w:t> </w:t>
            </w:r>
            <w:r>
              <w:rPr>
                <w:sz w:val="20"/>
              </w:rPr>
              <w:t>info</w:t>
            </w:r>
            <w:r>
              <w:rPr>
                <w:spacing w:val="-7"/>
                <w:sz w:val="20"/>
              </w:rPr>
              <w:t> </w:t>
            </w:r>
            <w:r>
              <w:rPr>
                <w:spacing w:val="-2"/>
                <w:sz w:val="20"/>
              </w:rPr>
              <w:t>criterion</w:t>
            </w:r>
          </w:p>
        </w:tc>
        <w:tc>
          <w:tcPr>
            <w:tcW w:w="896" w:type="dxa"/>
          </w:tcPr>
          <w:p>
            <w:pPr>
              <w:pStyle w:val="TableParagraph"/>
              <w:spacing w:line="210" w:lineRule="exact"/>
              <w:ind w:right="26"/>
              <w:jc w:val="right"/>
              <w:rPr>
                <w:sz w:val="20"/>
              </w:rPr>
            </w:pPr>
            <w:r>
              <w:rPr>
                <w:spacing w:val="-2"/>
                <w:sz w:val="20"/>
              </w:rPr>
              <w:t>0.311499</w:t>
            </w:r>
          </w:p>
        </w:tc>
      </w:tr>
      <w:tr>
        <w:trPr>
          <w:trHeight w:val="230" w:hRule="atLeast"/>
        </w:trPr>
        <w:tc>
          <w:tcPr>
            <w:tcW w:w="1847" w:type="dxa"/>
          </w:tcPr>
          <w:p>
            <w:pPr>
              <w:pStyle w:val="TableParagraph"/>
              <w:spacing w:line="210" w:lineRule="exact"/>
              <w:ind w:left="36"/>
              <w:rPr>
                <w:sz w:val="20"/>
              </w:rPr>
            </w:pPr>
            <w:r>
              <w:rPr>
                <w:sz w:val="20"/>
              </w:rPr>
              <w:t>Sum</w:t>
            </w:r>
            <w:r>
              <w:rPr>
                <w:spacing w:val="-8"/>
                <w:sz w:val="20"/>
              </w:rPr>
              <w:t> </w:t>
            </w:r>
            <w:r>
              <w:rPr>
                <w:sz w:val="20"/>
              </w:rPr>
              <w:t>squared</w:t>
            </w:r>
            <w:r>
              <w:rPr>
                <w:spacing w:val="-4"/>
                <w:sz w:val="20"/>
              </w:rPr>
              <w:t> </w:t>
            </w:r>
            <w:r>
              <w:rPr>
                <w:spacing w:val="-2"/>
                <w:sz w:val="20"/>
              </w:rPr>
              <w:t>resid</w:t>
            </w:r>
          </w:p>
        </w:tc>
        <w:tc>
          <w:tcPr>
            <w:tcW w:w="1375" w:type="dxa"/>
          </w:tcPr>
          <w:p>
            <w:pPr>
              <w:pStyle w:val="TableParagraph"/>
              <w:spacing w:line="210" w:lineRule="exact"/>
              <w:ind w:right="128"/>
              <w:jc w:val="right"/>
              <w:rPr>
                <w:sz w:val="20"/>
              </w:rPr>
            </w:pPr>
            <w:r>
              <w:rPr>
                <w:spacing w:val="-2"/>
                <w:sz w:val="20"/>
              </w:rPr>
              <w:t>2.752476</w:t>
            </w:r>
          </w:p>
        </w:tc>
        <w:tc>
          <w:tcPr>
            <w:tcW w:w="2368" w:type="dxa"/>
            <w:gridSpan w:val="2"/>
          </w:tcPr>
          <w:p>
            <w:pPr>
              <w:pStyle w:val="TableParagraph"/>
              <w:spacing w:line="210" w:lineRule="exact"/>
              <w:ind w:left="131"/>
              <w:rPr>
                <w:sz w:val="20"/>
              </w:rPr>
            </w:pPr>
            <w:r>
              <w:rPr>
                <w:sz w:val="20"/>
              </w:rPr>
              <w:t>Schwarz</w:t>
            </w:r>
            <w:r>
              <w:rPr>
                <w:spacing w:val="-8"/>
                <w:sz w:val="20"/>
              </w:rPr>
              <w:t> </w:t>
            </w:r>
            <w:r>
              <w:rPr>
                <w:spacing w:val="-2"/>
                <w:sz w:val="20"/>
              </w:rPr>
              <w:t>criterion</w:t>
            </w:r>
          </w:p>
        </w:tc>
        <w:tc>
          <w:tcPr>
            <w:tcW w:w="896" w:type="dxa"/>
          </w:tcPr>
          <w:p>
            <w:pPr>
              <w:pStyle w:val="TableParagraph"/>
              <w:spacing w:line="210" w:lineRule="exact"/>
              <w:ind w:right="26"/>
              <w:jc w:val="right"/>
              <w:rPr>
                <w:sz w:val="20"/>
              </w:rPr>
            </w:pPr>
            <w:r>
              <w:rPr>
                <w:spacing w:val="-2"/>
                <w:sz w:val="20"/>
              </w:rPr>
              <w:t>0.438165</w:t>
            </w:r>
          </w:p>
        </w:tc>
      </w:tr>
      <w:tr>
        <w:trPr>
          <w:trHeight w:val="230" w:hRule="atLeast"/>
        </w:trPr>
        <w:tc>
          <w:tcPr>
            <w:tcW w:w="1847" w:type="dxa"/>
          </w:tcPr>
          <w:p>
            <w:pPr>
              <w:pStyle w:val="TableParagraph"/>
              <w:spacing w:line="210" w:lineRule="exact"/>
              <w:ind w:left="36"/>
              <w:rPr>
                <w:sz w:val="20"/>
              </w:rPr>
            </w:pPr>
            <w:r>
              <w:rPr>
                <w:sz w:val="20"/>
              </w:rPr>
              <w:t>Log</w:t>
            </w:r>
            <w:r>
              <w:rPr>
                <w:spacing w:val="-6"/>
                <w:sz w:val="20"/>
              </w:rPr>
              <w:t> </w:t>
            </w:r>
            <w:r>
              <w:rPr>
                <w:spacing w:val="-2"/>
                <w:sz w:val="20"/>
              </w:rPr>
              <w:t>likelihood</w:t>
            </w:r>
          </w:p>
        </w:tc>
        <w:tc>
          <w:tcPr>
            <w:tcW w:w="1375" w:type="dxa"/>
          </w:tcPr>
          <w:p>
            <w:pPr>
              <w:pStyle w:val="TableParagraph"/>
              <w:spacing w:line="210" w:lineRule="exact"/>
              <w:ind w:right="128"/>
              <w:jc w:val="right"/>
              <w:rPr>
                <w:sz w:val="20"/>
              </w:rPr>
            </w:pPr>
            <w:r>
              <w:rPr>
                <w:spacing w:val="-4"/>
                <w:sz w:val="20"/>
              </w:rPr>
              <w:t>-</w:t>
            </w:r>
            <w:r>
              <w:rPr>
                <w:spacing w:val="-2"/>
                <w:sz w:val="20"/>
              </w:rPr>
              <w:t>3.229971</w:t>
            </w:r>
          </w:p>
        </w:tc>
        <w:tc>
          <w:tcPr>
            <w:tcW w:w="1432" w:type="dxa"/>
          </w:tcPr>
          <w:p>
            <w:pPr>
              <w:pStyle w:val="TableParagraph"/>
              <w:spacing w:line="210" w:lineRule="exact"/>
              <w:ind w:left="131"/>
              <w:rPr>
                <w:sz w:val="20"/>
              </w:rPr>
            </w:pPr>
            <w:r>
              <w:rPr>
                <w:spacing w:val="-4"/>
                <w:sz w:val="20"/>
              </w:rPr>
              <w:t>F-</w:t>
            </w:r>
            <w:r>
              <w:rPr>
                <w:spacing w:val="-2"/>
                <w:sz w:val="20"/>
              </w:rPr>
              <w:t>statistic</w:t>
            </w:r>
          </w:p>
        </w:tc>
        <w:tc>
          <w:tcPr>
            <w:tcW w:w="936" w:type="dxa"/>
          </w:tcPr>
          <w:p>
            <w:pPr>
              <w:pStyle w:val="TableParagraph"/>
              <w:rPr>
                <w:sz w:val="16"/>
              </w:rPr>
            </w:pPr>
          </w:p>
        </w:tc>
        <w:tc>
          <w:tcPr>
            <w:tcW w:w="896" w:type="dxa"/>
          </w:tcPr>
          <w:p>
            <w:pPr>
              <w:pStyle w:val="TableParagraph"/>
              <w:spacing w:line="210" w:lineRule="exact"/>
              <w:ind w:right="26"/>
              <w:jc w:val="right"/>
              <w:rPr>
                <w:sz w:val="20"/>
              </w:rPr>
            </w:pPr>
            <w:r>
              <w:rPr>
                <w:spacing w:val="-2"/>
                <w:sz w:val="20"/>
              </w:rPr>
              <w:t>1.275133</w:t>
            </w:r>
          </w:p>
        </w:tc>
      </w:tr>
      <w:tr>
        <w:trPr>
          <w:trHeight w:val="265" w:hRule="atLeast"/>
        </w:trPr>
        <w:tc>
          <w:tcPr>
            <w:tcW w:w="1847" w:type="dxa"/>
            <w:tcBorders>
              <w:bottom w:val="double" w:sz="6" w:space="0" w:color="000000"/>
            </w:tcBorders>
          </w:tcPr>
          <w:p>
            <w:pPr>
              <w:pStyle w:val="TableParagraph"/>
              <w:spacing w:line="226" w:lineRule="exact"/>
              <w:ind w:left="36"/>
              <w:rPr>
                <w:sz w:val="20"/>
              </w:rPr>
            </w:pPr>
            <w:r>
              <w:rPr>
                <w:sz w:val="20"/>
              </w:rPr>
              <w:t>Durbin-Watson</w:t>
            </w:r>
            <w:r>
              <w:rPr>
                <w:spacing w:val="-12"/>
                <w:sz w:val="20"/>
              </w:rPr>
              <w:t> </w:t>
            </w:r>
            <w:r>
              <w:rPr>
                <w:spacing w:val="-4"/>
                <w:sz w:val="20"/>
              </w:rPr>
              <w:t>stat</w:t>
            </w:r>
          </w:p>
        </w:tc>
        <w:tc>
          <w:tcPr>
            <w:tcW w:w="1375" w:type="dxa"/>
          </w:tcPr>
          <w:p>
            <w:pPr>
              <w:pStyle w:val="TableParagraph"/>
              <w:spacing w:line="226" w:lineRule="exact"/>
              <w:ind w:right="128"/>
              <w:jc w:val="right"/>
              <w:rPr>
                <w:sz w:val="20"/>
              </w:rPr>
            </w:pPr>
            <w:r>
              <w:rPr>
                <w:spacing w:val="-2"/>
                <w:sz w:val="20"/>
              </w:rPr>
              <w:t>2.003245</w:t>
            </w:r>
          </w:p>
        </w:tc>
        <w:tc>
          <w:tcPr>
            <w:tcW w:w="1432" w:type="dxa"/>
            <w:tcBorders>
              <w:bottom w:val="double" w:sz="6" w:space="0" w:color="000000"/>
            </w:tcBorders>
          </w:tcPr>
          <w:p>
            <w:pPr>
              <w:pStyle w:val="TableParagraph"/>
              <w:spacing w:line="226" w:lineRule="exact"/>
              <w:ind w:left="131"/>
              <w:rPr>
                <w:sz w:val="20"/>
              </w:rPr>
            </w:pPr>
            <w:r>
              <w:rPr>
                <w:spacing w:val="-2"/>
                <w:sz w:val="20"/>
              </w:rPr>
              <w:t>Prob(F-statistic)</w:t>
            </w:r>
          </w:p>
        </w:tc>
        <w:tc>
          <w:tcPr>
            <w:tcW w:w="936" w:type="dxa"/>
            <w:tcBorders>
              <w:bottom w:val="single" w:sz="6" w:space="0" w:color="000000"/>
            </w:tcBorders>
          </w:tcPr>
          <w:p>
            <w:pPr>
              <w:pStyle w:val="TableParagraph"/>
              <w:rPr>
                <w:sz w:val="18"/>
              </w:rPr>
            </w:pPr>
          </w:p>
        </w:tc>
        <w:tc>
          <w:tcPr>
            <w:tcW w:w="896" w:type="dxa"/>
            <w:tcBorders>
              <w:bottom w:val="double" w:sz="6" w:space="0" w:color="000000"/>
            </w:tcBorders>
          </w:tcPr>
          <w:p>
            <w:pPr>
              <w:pStyle w:val="TableParagraph"/>
              <w:spacing w:line="226" w:lineRule="exact"/>
              <w:ind w:right="26"/>
              <w:jc w:val="right"/>
              <w:rPr>
                <w:sz w:val="20"/>
              </w:rPr>
            </w:pPr>
            <w:r>
              <w:rPr>
                <w:spacing w:val="-2"/>
                <w:sz w:val="20"/>
              </w:rPr>
              <w:t>0.291386</w:t>
            </w:r>
          </w:p>
        </w:tc>
      </w:tr>
    </w:tbl>
    <w:p>
      <w:pPr>
        <w:pStyle w:val="BodyText"/>
        <w:rPr>
          <w:sz w:val="20"/>
        </w:rPr>
      </w:pPr>
    </w:p>
    <w:p>
      <w:pPr>
        <w:pStyle w:val="BodyText"/>
        <w:spacing w:before="16"/>
        <w:rPr>
          <w:sz w:val="20"/>
        </w:rPr>
      </w:pPr>
    </w:p>
    <w:p>
      <w:pPr>
        <w:spacing w:before="0"/>
        <w:ind w:left="711" w:right="0" w:firstLine="0"/>
        <w:jc w:val="left"/>
        <w:rPr>
          <w:sz w:val="20"/>
        </w:rPr>
      </w:pPr>
      <w:r>
        <w:rPr>
          <w:sz w:val="20"/>
        </w:rPr>
        <w:t>GOCE</w:t>
      </w:r>
      <w:r>
        <w:rPr>
          <w:spacing w:val="-3"/>
          <w:sz w:val="20"/>
        </w:rPr>
        <w:t> </w:t>
      </w:r>
      <w:r>
        <w:rPr>
          <w:sz w:val="20"/>
        </w:rPr>
        <w:t>@</w:t>
      </w:r>
      <w:r>
        <w:rPr>
          <w:spacing w:val="-4"/>
          <w:sz w:val="20"/>
        </w:rPr>
        <w:t> </w:t>
      </w:r>
      <w:r>
        <w:rPr>
          <w:sz w:val="20"/>
        </w:rPr>
        <w:t>1</w:t>
      </w:r>
      <w:r>
        <w:rPr>
          <w:sz w:val="20"/>
          <w:vertAlign w:val="superscript"/>
        </w:rPr>
        <w:t>ST</w:t>
      </w:r>
      <w:r>
        <w:rPr>
          <w:spacing w:val="-3"/>
          <w:sz w:val="20"/>
          <w:vertAlign w:val="baseline"/>
        </w:rPr>
        <w:t> </w:t>
      </w:r>
      <w:r>
        <w:rPr>
          <w:spacing w:val="-4"/>
          <w:sz w:val="20"/>
          <w:vertAlign w:val="baseline"/>
        </w:rPr>
        <w:t>DIFF</w:t>
      </w:r>
    </w:p>
    <w:tbl>
      <w:tblPr>
        <w:tblW w:w="0" w:type="auto"/>
        <w:jc w:val="left"/>
        <w:tblInd w:w="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62"/>
        <w:gridCol w:w="1361"/>
        <w:gridCol w:w="1433"/>
        <w:gridCol w:w="905"/>
        <w:gridCol w:w="930"/>
      </w:tblGrid>
      <w:tr>
        <w:trPr>
          <w:trHeight w:val="225" w:hRule="atLeast"/>
        </w:trPr>
        <w:tc>
          <w:tcPr>
            <w:tcW w:w="1862" w:type="dxa"/>
          </w:tcPr>
          <w:p>
            <w:pPr>
              <w:pStyle w:val="TableParagraph"/>
              <w:spacing w:line="205" w:lineRule="exact"/>
              <w:ind w:left="36"/>
              <w:rPr>
                <w:sz w:val="20"/>
              </w:rPr>
            </w:pPr>
            <w:r>
              <w:rPr>
                <w:sz w:val="20"/>
              </w:rPr>
              <w:t>ADF</w:t>
            </w:r>
            <w:r>
              <w:rPr>
                <w:spacing w:val="-4"/>
                <w:sz w:val="20"/>
              </w:rPr>
              <w:t> </w:t>
            </w:r>
            <w:r>
              <w:rPr>
                <w:sz w:val="20"/>
              </w:rPr>
              <w:t>Test</w:t>
            </w:r>
            <w:r>
              <w:rPr>
                <w:spacing w:val="-4"/>
                <w:sz w:val="20"/>
              </w:rPr>
              <w:t> </w:t>
            </w:r>
            <w:r>
              <w:rPr>
                <w:spacing w:val="-2"/>
                <w:sz w:val="20"/>
              </w:rPr>
              <w:t>Statistic</w:t>
            </w:r>
          </w:p>
        </w:tc>
        <w:tc>
          <w:tcPr>
            <w:tcW w:w="1361" w:type="dxa"/>
          </w:tcPr>
          <w:p>
            <w:pPr>
              <w:pStyle w:val="TableParagraph"/>
              <w:spacing w:line="205" w:lineRule="exact"/>
              <w:ind w:left="204"/>
              <w:rPr>
                <w:sz w:val="20"/>
              </w:rPr>
            </w:pPr>
            <w:r>
              <w:rPr>
                <w:spacing w:val="-4"/>
                <w:sz w:val="20"/>
              </w:rPr>
              <w:t>-</w:t>
            </w:r>
            <w:r>
              <w:rPr>
                <w:spacing w:val="-2"/>
                <w:sz w:val="20"/>
              </w:rPr>
              <w:t>4.950671</w:t>
            </w:r>
          </w:p>
        </w:tc>
        <w:tc>
          <w:tcPr>
            <w:tcW w:w="2338" w:type="dxa"/>
            <w:gridSpan w:val="2"/>
          </w:tcPr>
          <w:p>
            <w:pPr>
              <w:pStyle w:val="TableParagraph"/>
              <w:spacing w:line="205" w:lineRule="exact"/>
              <w:ind w:left="130"/>
              <w:rPr>
                <w:sz w:val="20"/>
              </w:rPr>
            </w:pPr>
            <w:r>
              <w:rPr>
                <w:sz w:val="20"/>
              </w:rPr>
              <w:t>1%</w:t>
            </w:r>
            <w:r>
              <w:rPr>
                <w:spacing w:val="68"/>
                <w:w w:val="150"/>
                <w:sz w:val="20"/>
              </w:rPr>
              <w:t> </w:t>
            </w:r>
            <w:r>
              <w:rPr>
                <w:sz w:val="20"/>
              </w:rPr>
              <w:t>Critical</w:t>
            </w:r>
            <w:r>
              <w:rPr>
                <w:spacing w:val="-2"/>
                <w:sz w:val="20"/>
              </w:rPr>
              <w:t> Value*</w:t>
            </w:r>
          </w:p>
        </w:tc>
        <w:tc>
          <w:tcPr>
            <w:tcW w:w="930" w:type="dxa"/>
          </w:tcPr>
          <w:p>
            <w:pPr>
              <w:pStyle w:val="TableParagraph"/>
              <w:spacing w:line="205" w:lineRule="exact"/>
              <w:ind w:right="31"/>
              <w:jc w:val="right"/>
              <w:rPr>
                <w:sz w:val="20"/>
              </w:rPr>
            </w:pPr>
            <w:r>
              <w:rPr>
                <w:spacing w:val="-4"/>
                <w:sz w:val="20"/>
              </w:rPr>
              <w:t>-</w:t>
            </w:r>
            <w:r>
              <w:rPr>
                <w:spacing w:val="-2"/>
                <w:sz w:val="20"/>
              </w:rPr>
              <w:t>3.6067</w:t>
            </w:r>
          </w:p>
        </w:tc>
      </w:tr>
      <w:tr>
        <w:trPr>
          <w:trHeight w:val="230" w:hRule="atLeast"/>
        </w:trPr>
        <w:tc>
          <w:tcPr>
            <w:tcW w:w="1862" w:type="dxa"/>
          </w:tcPr>
          <w:p>
            <w:pPr>
              <w:pStyle w:val="TableParagraph"/>
              <w:rPr>
                <w:sz w:val="16"/>
              </w:rPr>
            </w:pPr>
          </w:p>
        </w:tc>
        <w:tc>
          <w:tcPr>
            <w:tcW w:w="1361" w:type="dxa"/>
          </w:tcPr>
          <w:p>
            <w:pPr>
              <w:pStyle w:val="TableParagraph"/>
              <w:rPr>
                <w:sz w:val="16"/>
              </w:rPr>
            </w:pPr>
          </w:p>
        </w:tc>
        <w:tc>
          <w:tcPr>
            <w:tcW w:w="2338" w:type="dxa"/>
            <w:gridSpan w:val="2"/>
          </w:tcPr>
          <w:p>
            <w:pPr>
              <w:pStyle w:val="TableParagraph"/>
              <w:spacing w:line="210" w:lineRule="exact"/>
              <w:ind w:left="130"/>
              <w:rPr>
                <w:sz w:val="20"/>
              </w:rPr>
            </w:pPr>
            <w:r>
              <w:rPr>
                <w:sz w:val="20"/>
              </w:rPr>
              <w:t>5%</w:t>
            </w:r>
            <w:r>
              <w:rPr>
                <w:spacing w:val="68"/>
                <w:w w:val="150"/>
                <w:sz w:val="20"/>
              </w:rPr>
              <w:t> </w:t>
            </w:r>
            <w:r>
              <w:rPr>
                <w:sz w:val="20"/>
              </w:rPr>
              <w:t>Critical</w:t>
            </w:r>
            <w:r>
              <w:rPr>
                <w:spacing w:val="-2"/>
                <w:sz w:val="20"/>
              </w:rPr>
              <w:t> </w:t>
            </w:r>
            <w:r>
              <w:rPr>
                <w:spacing w:val="-4"/>
                <w:sz w:val="20"/>
              </w:rPr>
              <w:t>Value</w:t>
            </w:r>
          </w:p>
        </w:tc>
        <w:tc>
          <w:tcPr>
            <w:tcW w:w="930" w:type="dxa"/>
          </w:tcPr>
          <w:p>
            <w:pPr>
              <w:pStyle w:val="TableParagraph"/>
              <w:spacing w:line="210" w:lineRule="exact"/>
              <w:ind w:right="31"/>
              <w:jc w:val="right"/>
              <w:rPr>
                <w:sz w:val="20"/>
              </w:rPr>
            </w:pPr>
            <w:r>
              <w:rPr>
                <w:spacing w:val="-4"/>
                <w:sz w:val="20"/>
              </w:rPr>
              <w:t>-</w:t>
            </w:r>
            <w:r>
              <w:rPr>
                <w:spacing w:val="-2"/>
                <w:sz w:val="20"/>
              </w:rPr>
              <w:t>2.9378</w:t>
            </w:r>
          </w:p>
        </w:tc>
      </w:tr>
      <w:tr>
        <w:trPr>
          <w:trHeight w:val="224" w:hRule="atLeast"/>
        </w:trPr>
        <w:tc>
          <w:tcPr>
            <w:tcW w:w="1862" w:type="dxa"/>
            <w:tcBorders>
              <w:bottom w:val="double" w:sz="6" w:space="0" w:color="000000"/>
            </w:tcBorders>
          </w:tcPr>
          <w:p>
            <w:pPr>
              <w:pStyle w:val="TableParagraph"/>
              <w:rPr>
                <w:sz w:val="16"/>
              </w:rPr>
            </w:pPr>
          </w:p>
        </w:tc>
        <w:tc>
          <w:tcPr>
            <w:tcW w:w="1361" w:type="dxa"/>
            <w:tcBorders>
              <w:bottom w:val="double" w:sz="6" w:space="0" w:color="000000"/>
            </w:tcBorders>
          </w:tcPr>
          <w:p>
            <w:pPr>
              <w:pStyle w:val="TableParagraph"/>
              <w:rPr>
                <w:sz w:val="16"/>
              </w:rPr>
            </w:pPr>
          </w:p>
        </w:tc>
        <w:tc>
          <w:tcPr>
            <w:tcW w:w="2338" w:type="dxa"/>
            <w:gridSpan w:val="2"/>
            <w:tcBorders>
              <w:bottom w:val="double" w:sz="6" w:space="0" w:color="000000"/>
            </w:tcBorders>
          </w:tcPr>
          <w:p>
            <w:pPr>
              <w:pStyle w:val="TableParagraph"/>
              <w:spacing w:line="205" w:lineRule="exact"/>
              <w:ind w:left="130"/>
              <w:rPr>
                <w:sz w:val="20"/>
              </w:rPr>
            </w:pPr>
            <w:r>
              <w:rPr>
                <w:sz w:val="20"/>
              </w:rPr>
              <w:t>10%</w:t>
            </w:r>
            <w:r>
              <w:rPr>
                <w:spacing w:val="-6"/>
                <w:sz w:val="20"/>
              </w:rPr>
              <w:t> </w:t>
            </w:r>
            <w:r>
              <w:rPr>
                <w:sz w:val="20"/>
              </w:rPr>
              <w:t>Critical</w:t>
            </w:r>
            <w:r>
              <w:rPr>
                <w:spacing w:val="-4"/>
                <w:sz w:val="20"/>
              </w:rPr>
              <w:t> </w:t>
            </w:r>
            <w:r>
              <w:rPr>
                <w:spacing w:val="-2"/>
                <w:sz w:val="20"/>
              </w:rPr>
              <w:t>Value</w:t>
            </w:r>
          </w:p>
        </w:tc>
        <w:tc>
          <w:tcPr>
            <w:tcW w:w="930" w:type="dxa"/>
            <w:tcBorders>
              <w:bottom w:val="double" w:sz="6" w:space="0" w:color="000000"/>
            </w:tcBorders>
          </w:tcPr>
          <w:p>
            <w:pPr>
              <w:pStyle w:val="TableParagraph"/>
              <w:spacing w:line="205" w:lineRule="exact"/>
              <w:ind w:right="31"/>
              <w:jc w:val="right"/>
              <w:rPr>
                <w:sz w:val="20"/>
              </w:rPr>
            </w:pPr>
            <w:r>
              <w:rPr>
                <w:spacing w:val="-4"/>
                <w:sz w:val="20"/>
              </w:rPr>
              <w:t>-</w:t>
            </w:r>
            <w:r>
              <w:rPr>
                <w:spacing w:val="-2"/>
                <w:sz w:val="20"/>
              </w:rPr>
              <w:t>2.6069</w:t>
            </w:r>
          </w:p>
        </w:tc>
      </w:tr>
      <w:tr>
        <w:trPr>
          <w:trHeight w:val="505" w:hRule="atLeast"/>
        </w:trPr>
        <w:tc>
          <w:tcPr>
            <w:tcW w:w="6491" w:type="dxa"/>
            <w:gridSpan w:val="5"/>
            <w:tcBorders>
              <w:top w:val="double" w:sz="6" w:space="0" w:color="000000"/>
            </w:tcBorders>
          </w:tcPr>
          <w:p>
            <w:pPr>
              <w:pStyle w:val="TableParagraph"/>
              <w:spacing w:before="40"/>
              <w:ind w:left="36"/>
              <w:rPr>
                <w:sz w:val="20"/>
              </w:rPr>
            </w:pPr>
            <w:r>
              <w:rPr>
                <w:sz w:val="20"/>
              </w:rPr>
              <w:t>*MacKinnon</w:t>
            </w:r>
            <w:r>
              <w:rPr>
                <w:spacing w:val="-6"/>
                <w:sz w:val="20"/>
              </w:rPr>
              <w:t> </w:t>
            </w:r>
            <w:r>
              <w:rPr>
                <w:sz w:val="20"/>
              </w:rPr>
              <w:t>critical</w:t>
            </w:r>
            <w:r>
              <w:rPr>
                <w:spacing w:val="-4"/>
                <w:sz w:val="20"/>
              </w:rPr>
              <w:t> </w:t>
            </w:r>
            <w:r>
              <w:rPr>
                <w:sz w:val="20"/>
              </w:rPr>
              <w:t>values</w:t>
            </w:r>
            <w:r>
              <w:rPr>
                <w:spacing w:val="-6"/>
                <w:sz w:val="20"/>
              </w:rPr>
              <w:t> </w:t>
            </w:r>
            <w:r>
              <w:rPr>
                <w:sz w:val="20"/>
              </w:rPr>
              <w:t>for</w:t>
            </w:r>
            <w:r>
              <w:rPr>
                <w:spacing w:val="-4"/>
                <w:sz w:val="20"/>
              </w:rPr>
              <w:t> </w:t>
            </w:r>
            <w:r>
              <w:rPr>
                <w:sz w:val="20"/>
              </w:rPr>
              <w:t>rejection</w:t>
            </w:r>
            <w:r>
              <w:rPr>
                <w:spacing w:val="-6"/>
                <w:sz w:val="20"/>
              </w:rPr>
              <w:t> </w:t>
            </w:r>
            <w:r>
              <w:rPr>
                <w:sz w:val="20"/>
              </w:rPr>
              <w:t>of</w:t>
            </w:r>
            <w:r>
              <w:rPr>
                <w:spacing w:val="-6"/>
                <w:sz w:val="20"/>
              </w:rPr>
              <w:t> </w:t>
            </w:r>
            <w:r>
              <w:rPr>
                <w:sz w:val="20"/>
              </w:rPr>
              <w:t>hypothesis</w:t>
            </w:r>
            <w:r>
              <w:rPr>
                <w:spacing w:val="-6"/>
                <w:sz w:val="20"/>
              </w:rPr>
              <w:t> </w:t>
            </w:r>
            <w:r>
              <w:rPr>
                <w:sz w:val="20"/>
              </w:rPr>
              <w:t>of</w:t>
            </w:r>
            <w:r>
              <w:rPr>
                <w:spacing w:val="-6"/>
                <w:sz w:val="20"/>
              </w:rPr>
              <w:t> </w:t>
            </w:r>
            <w:r>
              <w:rPr>
                <w:sz w:val="20"/>
              </w:rPr>
              <w:t>a</w:t>
            </w:r>
            <w:r>
              <w:rPr>
                <w:spacing w:val="-4"/>
                <w:sz w:val="20"/>
              </w:rPr>
              <w:t> </w:t>
            </w:r>
            <w:r>
              <w:rPr>
                <w:sz w:val="20"/>
              </w:rPr>
              <w:t>unit</w:t>
            </w:r>
            <w:r>
              <w:rPr>
                <w:spacing w:val="-6"/>
                <w:sz w:val="20"/>
              </w:rPr>
              <w:t> </w:t>
            </w:r>
            <w:r>
              <w:rPr>
                <w:spacing w:val="-2"/>
                <w:sz w:val="20"/>
              </w:rPr>
              <w:t>root.</w:t>
            </w:r>
          </w:p>
        </w:tc>
      </w:tr>
      <w:tr>
        <w:trPr>
          <w:trHeight w:val="460" w:hRule="atLeast"/>
        </w:trPr>
        <w:tc>
          <w:tcPr>
            <w:tcW w:w="6491" w:type="dxa"/>
            <w:gridSpan w:val="5"/>
          </w:tcPr>
          <w:p>
            <w:pPr>
              <w:pStyle w:val="TableParagraph"/>
              <w:spacing w:line="215" w:lineRule="exact" w:before="226"/>
              <w:ind w:left="36"/>
              <w:rPr>
                <w:sz w:val="20"/>
              </w:rPr>
            </w:pPr>
            <w:r>
              <w:rPr>
                <w:sz w:val="20"/>
              </w:rPr>
              <w:t>Augmented</w:t>
            </w:r>
            <w:r>
              <w:rPr>
                <w:spacing w:val="-8"/>
                <w:sz w:val="20"/>
              </w:rPr>
              <w:t> </w:t>
            </w:r>
            <w:r>
              <w:rPr>
                <w:sz w:val="20"/>
              </w:rPr>
              <w:t>Dickey-Fuller</w:t>
            </w:r>
            <w:r>
              <w:rPr>
                <w:spacing w:val="-8"/>
                <w:sz w:val="20"/>
              </w:rPr>
              <w:t> </w:t>
            </w:r>
            <w:r>
              <w:rPr>
                <w:sz w:val="20"/>
              </w:rPr>
              <w:t>Test</w:t>
            </w:r>
            <w:r>
              <w:rPr>
                <w:spacing w:val="-9"/>
                <w:sz w:val="20"/>
              </w:rPr>
              <w:t> </w:t>
            </w:r>
            <w:r>
              <w:rPr>
                <w:spacing w:val="-2"/>
                <w:sz w:val="20"/>
              </w:rPr>
              <w:t>Equation</w:t>
            </w:r>
          </w:p>
        </w:tc>
      </w:tr>
      <w:tr>
        <w:trPr>
          <w:trHeight w:val="229" w:hRule="atLeast"/>
        </w:trPr>
        <w:tc>
          <w:tcPr>
            <w:tcW w:w="6491" w:type="dxa"/>
            <w:gridSpan w:val="5"/>
          </w:tcPr>
          <w:p>
            <w:pPr>
              <w:pStyle w:val="TableParagraph"/>
              <w:spacing w:line="209" w:lineRule="exact"/>
              <w:ind w:left="36"/>
              <w:rPr>
                <w:sz w:val="20"/>
              </w:rPr>
            </w:pPr>
            <w:r>
              <w:rPr>
                <w:sz w:val="20"/>
              </w:rPr>
              <w:t>Dependent</w:t>
            </w:r>
            <w:r>
              <w:rPr>
                <w:spacing w:val="-7"/>
                <w:sz w:val="20"/>
              </w:rPr>
              <w:t> </w:t>
            </w:r>
            <w:r>
              <w:rPr>
                <w:sz w:val="20"/>
              </w:rPr>
              <w:t>Variable:</w:t>
            </w:r>
            <w:r>
              <w:rPr>
                <w:spacing w:val="-7"/>
                <w:sz w:val="20"/>
              </w:rPr>
              <w:t> </w:t>
            </w:r>
            <w:r>
              <w:rPr>
                <w:spacing w:val="-2"/>
                <w:sz w:val="20"/>
              </w:rPr>
              <w:t>D(GOCE,2)</w:t>
            </w:r>
          </w:p>
        </w:tc>
      </w:tr>
      <w:tr>
        <w:trPr>
          <w:trHeight w:val="229" w:hRule="atLeast"/>
        </w:trPr>
        <w:tc>
          <w:tcPr>
            <w:tcW w:w="1862" w:type="dxa"/>
          </w:tcPr>
          <w:p>
            <w:pPr>
              <w:pStyle w:val="TableParagraph"/>
              <w:spacing w:line="209" w:lineRule="exact"/>
              <w:ind w:left="36" w:right="-15"/>
              <w:rPr>
                <w:sz w:val="20"/>
              </w:rPr>
            </w:pPr>
            <w:r>
              <w:rPr>
                <w:sz w:val="20"/>
              </w:rPr>
              <w:t>Method:</w:t>
            </w:r>
            <w:r>
              <w:rPr>
                <w:spacing w:val="-8"/>
                <w:sz w:val="20"/>
              </w:rPr>
              <w:t> </w:t>
            </w:r>
            <w:r>
              <w:rPr>
                <w:sz w:val="20"/>
              </w:rPr>
              <w:t>Least</w:t>
            </w:r>
            <w:r>
              <w:rPr>
                <w:spacing w:val="-7"/>
                <w:sz w:val="20"/>
              </w:rPr>
              <w:t> </w:t>
            </w:r>
            <w:r>
              <w:rPr>
                <w:spacing w:val="-2"/>
                <w:sz w:val="20"/>
              </w:rPr>
              <w:t>Squares</w:t>
            </w:r>
          </w:p>
        </w:tc>
        <w:tc>
          <w:tcPr>
            <w:tcW w:w="1361" w:type="dxa"/>
          </w:tcPr>
          <w:p>
            <w:pPr>
              <w:pStyle w:val="TableParagraph"/>
              <w:rPr>
                <w:sz w:val="16"/>
              </w:rPr>
            </w:pPr>
          </w:p>
        </w:tc>
        <w:tc>
          <w:tcPr>
            <w:tcW w:w="1433" w:type="dxa"/>
          </w:tcPr>
          <w:p>
            <w:pPr>
              <w:pStyle w:val="TableParagraph"/>
              <w:rPr>
                <w:sz w:val="16"/>
              </w:rPr>
            </w:pPr>
          </w:p>
        </w:tc>
        <w:tc>
          <w:tcPr>
            <w:tcW w:w="905" w:type="dxa"/>
          </w:tcPr>
          <w:p>
            <w:pPr>
              <w:pStyle w:val="TableParagraph"/>
              <w:rPr>
                <w:sz w:val="16"/>
              </w:rPr>
            </w:pPr>
          </w:p>
        </w:tc>
        <w:tc>
          <w:tcPr>
            <w:tcW w:w="930" w:type="dxa"/>
          </w:tcPr>
          <w:p>
            <w:pPr>
              <w:pStyle w:val="TableParagraph"/>
              <w:rPr>
                <w:sz w:val="16"/>
              </w:rPr>
            </w:pPr>
          </w:p>
        </w:tc>
      </w:tr>
      <w:tr>
        <w:trPr>
          <w:trHeight w:val="230" w:hRule="atLeast"/>
        </w:trPr>
        <w:tc>
          <w:tcPr>
            <w:tcW w:w="6491" w:type="dxa"/>
            <w:gridSpan w:val="5"/>
          </w:tcPr>
          <w:p>
            <w:pPr>
              <w:pStyle w:val="TableParagraph"/>
              <w:spacing w:line="210" w:lineRule="exact"/>
              <w:ind w:left="36"/>
              <w:rPr>
                <w:sz w:val="20"/>
              </w:rPr>
            </w:pPr>
            <w:r>
              <w:rPr>
                <w:sz w:val="20"/>
              </w:rPr>
              <w:t>Date:</w:t>
            </w:r>
            <w:r>
              <w:rPr>
                <w:spacing w:val="-5"/>
                <w:sz w:val="20"/>
              </w:rPr>
              <w:t> </w:t>
            </w:r>
            <w:r>
              <w:rPr>
                <w:sz w:val="20"/>
              </w:rPr>
              <w:t>02/18/14</w:t>
            </w:r>
            <w:r>
              <w:rPr>
                <w:spacing w:val="63"/>
                <w:w w:val="150"/>
                <w:sz w:val="20"/>
              </w:rPr>
              <w:t> </w:t>
            </w:r>
            <w:r>
              <w:rPr>
                <w:sz w:val="20"/>
              </w:rPr>
              <w:t>Time:</w:t>
            </w:r>
            <w:r>
              <w:rPr>
                <w:spacing w:val="-3"/>
                <w:sz w:val="20"/>
              </w:rPr>
              <w:t> </w:t>
            </w:r>
            <w:r>
              <w:rPr>
                <w:spacing w:val="-2"/>
                <w:sz w:val="20"/>
              </w:rPr>
              <w:t>09:25</w:t>
            </w:r>
          </w:p>
        </w:tc>
      </w:tr>
      <w:tr>
        <w:trPr>
          <w:trHeight w:val="230" w:hRule="atLeast"/>
        </w:trPr>
        <w:tc>
          <w:tcPr>
            <w:tcW w:w="6491" w:type="dxa"/>
            <w:gridSpan w:val="5"/>
          </w:tcPr>
          <w:p>
            <w:pPr>
              <w:pStyle w:val="TableParagraph"/>
              <w:spacing w:line="210" w:lineRule="exact"/>
              <w:ind w:left="36"/>
              <w:rPr>
                <w:sz w:val="20"/>
              </w:rPr>
            </w:pPr>
            <w:r>
              <w:rPr>
                <w:sz w:val="20"/>
              </w:rPr>
              <w:t>Sample(adjusted):</w:t>
            </w:r>
            <w:r>
              <w:rPr>
                <w:spacing w:val="-9"/>
                <w:sz w:val="20"/>
              </w:rPr>
              <w:t> </w:t>
            </w:r>
            <w:r>
              <w:rPr>
                <w:sz w:val="20"/>
              </w:rPr>
              <w:t>1973</w:t>
            </w:r>
            <w:r>
              <w:rPr>
                <w:spacing w:val="-9"/>
                <w:sz w:val="20"/>
              </w:rPr>
              <w:t> </w:t>
            </w:r>
            <w:r>
              <w:rPr>
                <w:spacing w:val="-4"/>
                <w:sz w:val="20"/>
              </w:rPr>
              <w:t>2011</w:t>
            </w:r>
          </w:p>
        </w:tc>
      </w:tr>
      <w:tr>
        <w:trPr>
          <w:trHeight w:val="224" w:hRule="atLeast"/>
        </w:trPr>
        <w:tc>
          <w:tcPr>
            <w:tcW w:w="6491" w:type="dxa"/>
            <w:gridSpan w:val="5"/>
            <w:tcBorders>
              <w:bottom w:val="double" w:sz="6" w:space="0" w:color="000000"/>
            </w:tcBorders>
          </w:tcPr>
          <w:p>
            <w:pPr>
              <w:pStyle w:val="TableParagraph"/>
              <w:spacing w:line="205" w:lineRule="exact"/>
              <w:ind w:left="36"/>
              <w:rPr>
                <w:sz w:val="20"/>
              </w:rPr>
            </w:pPr>
            <w:r>
              <w:rPr>
                <w:sz w:val="20"/>
              </w:rPr>
              <w:t>Included</w:t>
            </w:r>
            <w:r>
              <w:rPr>
                <w:spacing w:val="-6"/>
                <w:sz w:val="20"/>
              </w:rPr>
              <w:t> </w:t>
            </w:r>
            <w:r>
              <w:rPr>
                <w:sz w:val="20"/>
              </w:rPr>
              <w:t>observations:</w:t>
            </w:r>
            <w:r>
              <w:rPr>
                <w:spacing w:val="-8"/>
                <w:sz w:val="20"/>
              </w:rPr>
              <w:t> </w:t>
            </w:r>
            <w:r>
              <w:rPr>
                <w:sz w:val="20"/>
              </w:rPr>
              <w:t>39</w:t>
            </w:r>
            <w:r>
              <w:rPr>
                <w:spacing w:val="-5"/>
                <w:sz w:val="20"/>
              </w:rPr>
              <w:t> </w:t>
            </w:r>
            <w:r>
              <w:rPr>
                <w:sz w:val="20"/>
              </w:rPr>
              <w:t>after</w:t>
            </w:r>
            <w:r>
              <w:rPr>
                <w:spacing w:val="-7"/>
                <w:sz w:val="20"/>
              </w:rPr>
              <w:t> </w:t>
            </w:r>
            <w:r>
              <w:rPr>
                <w:sz w:val="20"/>
              </w:rPr>
              <w:t>adjusting</w:t>
            </w:r>
            <w:r>
              <w:rPr>
                <w:spacing w:val="-7"/>
                <w:sz w:val="20"/>
              </w:rPr>
              <w:t> </w:t>
            </w:r>
            <w:r>
              <w:rPr>
                <w:spacing w:val="-2"/>
                <w:sz w:val="20"/>
              </w:rPr>
              <w:t>endpoints</w:t>
            </w:r>
          </w:p>
        </w:tc>
      </w:tr>
      <w:tr>
        <w:trPr>
          <w:trHeight w:val="269" w:hRule="atLeast"/>
        </w:trPr>
        <w:tc>
          <w:tcPr>
            <w:tcW w:w="1862" w:type="dxa"/>
            <w:tcBorders>
              <w:top w:val="double" w:sz="6" w:space="0" w:color="000000"/>
              <w:bottom w:val="double" w:sz="6" w:space="0" w:color="000000"/>
            </w:tcBorders>
          </w:tcPr>
          <w:p>
            <w:pPr>
              <w:pStyle w:val="TableParagraph"/>
              <w:spacing w:line="209" w:lineRule="exact" w:before="40"/>
              <w:ind w:left="677"/>
              <w:rPr>
                <w:sz w:val="20"/>
              </w:rPr>
            </w:pPr>
            <w:r>
              <w:rPr>
                <w:spacing w:val="-2"/>
                <w:sz w:val="20"/>
              </w:rPr>
              <w:t>Variable</w:t>
            </w:r>
          </w:p>
        </w:tc>
        <w:tc>
          <w:tcPr>
            <w:tcW w:w="1361" w:type="dxa"/>
            <w:tcBorders>
              <w:top w:val="double" w:sz="6" w:space="0" w:color="000000"/>
              <w:bottom w:val="double" w:sz="6" w:space="0" w:color="000000"/>
            </w:tcBorders>
          </w:tcPr>
          <w:p>
            <w:pPr>
              <w:pStyle w:val="TableParagraph"/>
              <w:spacing w:line="209" w:lineRule="exact" w:before="40"/>
              <w:ind w:right="132"/>
              <w:jc w:val="right"/>
              <w:rPr>
                <w:sz w:val="20"/>
              </w:rPr>
            </w:pPr>
            <w:r>
              <w:rPr>
                <w:spacing w:val="-2"/>
                <w:sz w:val="20"/>
              </w:rPr>
              <w:t>Coefficient</w:t>
            </w:r>
          </w:p>
        </w:tc>
        <w:tc>
          <w:tcPr>
            <w:tcW w:w="1433" w:type="dxa"/>
            <w:tcBorders>
              <w:top w:val="double" w:sz="6" w:space="0" w:color="000000"/>
              <w:bottom w:val="double" w:sz="6" w:space="0" w:color="000000"/>
            </w:tcBorders>
          </w:tcPr>
          <w:p>
            <w:pPr>
              <w:pStyle w:val="TableParagraph"/>
              <w:spacing w:line="209" w:lineRule="exact" w:before="40"/>
              <w:ind w:left="272"/>
              <w:rPr>
                <w:sz w:val="20"/>
              </w:rPr>
            </w:pPr>
            <w:r>
              <w:rPr>
                <w:sz w:val="20"/>
              </w:rPr>
              <w:t>Std.</w:t>
            </w:r>
            <w:r>
              <w:rPr>
                <w:spacing w:val="-4"/>
                <w:sz w:val="20"/>
              </w:rPr>
              <w:t> </w:t>
            </w:r>
            <w:r>
              <w:rPr>
                <w:spacing w:val="-2"/>
                <w:sz w:val="20"/>
              </w:rPr>
              <w:t>Error</w:t>
            </w:r>
          </w:p>
        </w:tc>
        <w:tc>
          <w:tcPr>
            <w:tcW w:w="905" w:type="dxa"/>
            <w:tcBorders>
              <w:top w:val="double" w:sz="6" w:space="0" w:color="000000"/>
              <w:bottom w:val="double" w:sz="6" w:space="0" w:color="000000"/>
            </w:tcBorders>
          </w:tcPr>
          <w:p>
            <w:pPr>
              <w:pStyle w:val="TableParagraph"/>
              <w:spacing w:line="209" w:lineRule="exact" w:before="40"/>
              <w:ind w:right="27"/>
              <w:jc w:val="center"/>
              <w:rPr>
                <w:sz w:val="20"/>
              </w:rPr>
            </w:pPr>
            <w:r>
              <w:rPr>
                <w:spacing w:val="-4"/>
                <w:sz w:val="20"/>
              </w:rPr>
              <w:t>t-</w:t>
            </w:r>
            <w:r>
              <w:rPr>
                <w:spacing w:val="-2"/>
                <w:sz w:val="20"/>
              </w:rPr>
              <w:t>Statistic</w:t>
            </w:r>
          </w:p>
        </w:tc>
        <w:tc>
          <w:tcPr>
            <w:tcW w:w="930" w:type="dxa"/>
            <w:tcBorders>
              <w:top w:val="double" w:sz="6" w:space="0" w:color="000000"/>
              <w:bottom w:val="double" w:sz="6" w:space="0" w:color="000000"/>
            </w:tcBorders>
          </w:tcPr>
          <w:p>
            <w:pPr>
              <w:pStyle w:val="TableParagraph"/>
              <w:spacing w:line="209" w:lineRule="exact" w:before="40"/>
              <w:ind w:right="32"/>
              <w:jc w:val="right"/>
              <w:rPr>
                <w:sz w:val="20"/>
              </w:rPr>
            </w:pPr>
            <w:r>
              <w:rPr>
                <w:spacing w:val="-2"/>
                <w:sz w:val="20"/>
              </w:rPr>
              <w:t>Prob.</w:t>
            </w:r>
          </w:p>
        </w:tc>
      </w:tr>
      <w:tr>
        <w:trPr>
          <w:trHeight w:val="275" w:hRule="atLeast"/>
        </w:trPr>
        <w:tc>
          <w:tcPr>
            <w:tcW w:w="1862" w:type="dxa"/>
            <w:tcBorders>
              <w:top w:val="double" w:sz="6" w:space="0" w:color="000000"/>
            </w:tcBorders>
          </w:tcPr>
          <w:p>
            <w:pPr>
              <w:pStyle w:val="TableParagraph"/>
              <w:spacing w:line="215" w:lineRule="exact" w:before="40"/>
              <w:ind w:left="461"/>
              <w:rPr>
                <w:sz w:val="20"/>
              </w:rPr>
            </w:pPr>
            <w:r>
              <w:rPr>
                <w:spacing w:val="-2"/>
                <w:sz w:val="20"/>
              </w:rPr>
              <w:t>D(GOCE(-</w:t>
            </w:r>
            <w:r>
              <w:rPr>
                <w:spacing w:val="-5"/>
                <w:sz w:val="20"/>
              </w:rPr>
              <w:t>1))</w:t>
            </w:r>
          </w:p>
        </w:tc>
        <w:tc>
          <w:tcPr>
            <w:tcW w:w="1361" w:type="dxa"/>
            <w:tcBorders>
              <w:top w:val="double" w:sz="6" w:space="0" w:color="000000"/>
            </w:tcBorders>
          </w:tcPr>
          <w:p>
            <w:pPr>
              <w:pStyle w:val="TableParagraph"/>
              <w:spacing w:line="215" w:lineRule="exact" w:before="40"/>
              <w:ind w:right="129"/>
              <w:jc w:val="right"/>
              <w:rPr>
                <w:sz w:val="20"/>
              </w:rPr>
            </w:pPr>
            <w:r>
              <w:rPr>
                <w:spacing w:val="-4"/>
                <w:sz w:val="20"/>
              </w:rPr>
              <w:t>-</w:t>
            </w:r>
            <w:r>
              <w:rPr>
                <w:spacing w:val="-2"/>
                <w:sz w:val="20"/>
              </w:rPr>
              <w:t>1.316237</w:t>
            </w:r>
          </w:p>
        </w:tc>
        <w:tc>
          <w:tcPr>
            <w:tcW w:w="1433" w:type="dxa"/>
            <w:tcBorders>
              <w:top w:val="double" w:sz="6" w:space="0" w:color="000000"/>
            </w:tcBorders>
          </w:tcPr>
          <w:p>
            <w:pPr>
              <w:pStyle w:val="TableParagraph"/>
              <w:spacing w:line="215" w:lineRule="exact" w:before="40"/>
              <w:ind w:left="310"/>
              <w:rPr>
                <w:sz w:val="20"/>
              </w:rPr>
            </w:pPr>
            <w:r>
              <w:rPr>
                <w:spacing w:val="-2"/>
                <w:sz w:val="20"/>
              </w:rPr>
              <w:t>0.265870</w:t>
            </w:r>
          </w:p>
        </w:tc>
        <w:tc>
          <w:tcPr>
            <w:tcW w:w="905" w:type="dxa"/>
            <w:tcBorders>
              <w:top w:val="double" w:sz="6" w:space="0" w:color="000000"/>
            </w:tcBorders>
          </w:tcPr>
          <w:p>
            <w:pPr>
              <w:pStyle w:val="TableParagraph"/>
              <w:spacing w:line="215" w:lineRule="exact" w:before="40"/>
              <w:ind w:right="75"/>
              <w:jc w:val="center"/>
              <w:rPr>
                <w:sz w:val="20"/>
              </w:rPr>
            </w:pPr>
            <w:r>
              <w:rPr>
                <w:spacing w:val="-4"/>
                <w:sz w:val="20"/>
              </w:rPr>
              <w:t>-</w:t>
            </w:r>
            <w:r>
              <w:rPr>
                <w:spacing w:val="-2"/>
                <w:sz w:val="20"/>
              </w:rPr>
              <w:t>4.950671</w:t>
            </w:r>
          </w:p>
        </w:tc>
        <w:tc>
          <w:tcPr>
            <w:tcW w:w="930" w:type="dxa"/>
            <w:tcBorders>
              <w:top w:val="double" w:sz="6" w:space="0" w:color="000000"/>
            </w:tcBorders>
          </w:tcPr>
          <w:p>
            <w:pPr>
              <w:pStyle w:val="TableParagraph"/>
              <w:spacing w:line="215" w:lineRule="exact" w:before="40"/>
              <w:ind w:right="31"/>
              <w:jc w:val="right"/>
              <w:rPr>
                <w:sz w:val="20"/>
              </w:rPr>
            </w:pPr>
            <w:r>
              <w:rPr>
                <w:spacing w:val="-2"/>
                <w:sz w:val="20"/>
              </w:rPr>
              <w:t>0.0000</w:t>
            </w:r>
          </w:p>
        </w:tc>
      </w:tr>
      <w:tr>
        <w:trPr>
          <w:trHeight w:val="230" w:hRule="atLeast"/>
        </w:trPr>
        <w:tc>
          <w:tcPr>
            <w:tcW w:w="1862" w:type="dxa"/>
          </w:tcPr>
          <w:p>
            <w:pPr>
              <w:pStyle w:val="TableParagraph"/>
              <w:spacing w:line="210" w:lineRule="exact"/>
              <w:ind w:left="386"/>
              <w:rPr>
                <w:sz w:val="20"/>
              </w:rPr>
            </w:pPr>
            <w:r>
              <w:rPr>
                <w:spacing w:val="-2"/>
                <w:sz w:val="20"/>
              </w:rPr>
              <w:t>D(GOCE(-1),2)</w:t>
            </w:r>
          </w:p>
        </w:tc>
        <w:tc>
          <w:tcPr>
            <w:tcW w:w="1361" w:type="dxa"/>
          </w:tcPr>
          <w:p>
            <w:pPr>
              <w:pStyle w:val="TableParagraph"/>
              <w:spacing w:line="210" w:lineRule="exact"/>
              <w:ind w:right="129"/>
              <w:jc w:val="right"/>
              <w:rPr>
                <w:sz w:val="20"/>
              </w:rPr>
            </w:pPr>
            <w:r>
              <w:rPr>
                <w:spacing w:val="-2"/>
                <w:sz w:val="20"/>
              </w:rPr>
              <w:t>0.047762</w:t>
            </w:r>
          </w:p>
        </w:tc>
        <w:tc>
          <w:tcPr>
            <w:tcW w:w="1433" w:type="dxa"/>
          </w:tcPr>
          <w:p>
            <w:pPr>
              <w:pStyle w:val="TableParagraph"/>
              <w:spacing w:line="210" w:lineRule="exact"/>
              <w:ind w:left="310"/>
              <w:rPr>
                <w:sz w:val="20"/>
              </w:rPr>
            </w:pPr>
            <w:r>
              <w:rPr>
                <w:spacing w:val="-2"/>
                <w:sz w:val="20"/>
              </w:rPr>
              <w:t>0.168966</w:t>
            </w:r>
          </w:p>
        </w:tc>
        <w:tc>
          <w:tcPr>
            <w:tcW w:w="905" w:type="dxa"/>
          </w:tcPr>
          <w:p>
            <w:pPr>
              <w:pStyle w:val="TableParagraph"/>
              <w:spacing w:line="210" w:lineRule="exact"/>
              <w:ind w:right="10"/>
              <w:jc w:val="center"/>
              <w:rPr>
                <w:sz w:val="20"/>
              </w:rPr>
            </w:pPr>
            <w:r>
              <w:rPr>
                <w:spacing w:val="-2"/>
                <w:sz w:val="20"/>
              </w:rPr>
              <w:t>0.282673</w:t>
            </w:r>
          </w:p>
        </w:tc>
        <w:tc>
          <w:tcPr>
            <w:tcW w:w="930" w:type="dxa"/>
          </w:tcPr>
          <w:p>
            <w:pPr>
              <w:pStyle w:val="TableParagraph"/>
              <w:spacing w:line="210" w:lineRule="exact"/>
              <w:ind w:right="31"/>
              <w:jc w:val="right"/>
              <w:rPr>
                <w:sz w:val="20"/>
              </w:rPr>
            </w:pPr>
            <w:r>
              <w:rPr>
                <w:spacing w:val="-2"/>
                <w:sz w:val="20"/>
              </w:rPr>
              <w:t>0.7790</w:t>
            </w:r>
          </w:p>
        </w:tc>
      </w:tr>
      <w:tr>
        <w:trPr>
          <w:trHeight w:val="224" w:hRule="atLeast"/>
        </w:trPr>
        <w:tc>
          <w:tcPr>
            <w:tcW w:w="1862" w:type="dxa"/>
            <w:tcBorders>
              <w:bottom w:val="double" w:sz="6" w:space="0" w:color="000000"/>
            </w:tcBorders>
          </w:tcPr>
          <w:p>
            <w:pPr>
              <w:pStyle w:val="TableParagraph"/>
              <w:spacing w:line="205" w:lineRule="exact"/>
              <w:ind w:left="182"/>
              <w:jc w:val="center"/>
              <w:rPr>
                <w:sz w:val="20"/>
              </w:rPr>
            </w:pPr>
            <w:r>
              <w:rPr>
                <w:spacing w:val="-10"/>
                <w:sz w:val="20"/>
              </w:rPr>
              <w:t>C</w:t>
            </w:r>
          </w:p>
        </w:tc>
        <w:tc>
          <w:tcPr>
            <w:tcW w:w="1361" w:type="dxa"/>
            <w:tcBorders>
              <w:bottom w:val="double" w:sz="6" w:space="0" w:color="000000"/>
            </w:tcBorders>
          </w:tcPr>
          <w:p>
            <w:pPr>
              <w:pStyle w:val="TableParagraph"/>
              <w:spacing w:line="205" w:lineRule="exact"/>
              <w:ind w:right="129"/>
              <w:jc w:val="right"/>
              <w:rPr>
                <w:sz w:val="20"/>
              </w:rPr>
            </w:pPr>
            <w:r>
              <w:rPr>
                <w:spacing w:val="-2"/>
                <w:sz w:val="20"/>
              </w:rPr>
              <w:t>0.272456</w:t>
            </w:r>
          </w:p>
        </w:tc>
        <w:tc>
          <w:tcPr>
            <w:tcW w:w="1433" w:type="dxa"/>
            <w:tcBorders>
              <w:bottom w:val="double" w:sz="6" w:space="0" w:color="000000"/>
            </w:tcBorders>
          </w:tcPr>
          <w:p>
            <w:pPr>
              <w:pStyle w:val="TableParagraph"/>
              <w:spacing w:line="205" w:lineRule="exact"/>
              <w:ind w:left="310"/>
              <w:rPr>
                <w:sz w:val="20"/>
              </w:rPr>
            </w:pPr>
            <w:r>
              <w:rPr>
                <w:spacing w:val="-2"/>
                <w:sz w:val="20"/>
              </w:rPr>
              <w:t>0.071217</w:t>
            </w:r>
          </w:p>
        </w:tc>
        <w:tc>
          <w:tcPr>
            <w:tcW w:w="905" w:type="dxa"/>
            <w:tcBorders>
              <w:bottom w:val="double" w:sz="6" w:space="0" w:color="000000"/>
            </w:tcBorders>
          </w:tcPr>
          <w:p>
            <w:pPr>
              <w:pStyle w:val="TableParagraph"/>
              <w:spacing w:line="205" w:lineRule="exact"/>
              <w:ind w:right="10"/>
              <w:jc w:val="center"/>
              <w:rPr>
                <w:sz w:val="20"/>
              </w:rPr>
            </w:pPr>
            <w:r>
              <w:rPr>
                <w:spacing w:val="-2"/>
                <w:sz w:val="20"/>
              </w:rPr>
              <w:t>3.825743</w:t>
            </w:r>
          </w:p>
        </w:tc>
        <w:tc>
          <w:tcPr>
            <w:tcW w:w="930" w:type="dxa"/>
            <w:tcBorders>
              <w:bottom w:val="double" w:sz="6" w:space="0" w:color="000000"/>
            </w:tcBorders>
          </w:tcPr>
          <w:p>
            <w:pPr>
              <w:pStyle w:val="TableParagraph"/>
              <w:spacing w:line="205" w:lineRule="exact"/>
              <w:ind w:right="31"/>
              <w:jc w:val="right"/>
              <w:rPr>
                <w:sz w:val="20"/>
              </w:rPr>
            </w:pPr>
            <w:r>
              <w:rPr>
                <w:spacing w:val="-2"/>
                <w:sz w:val="20"/>
              </w:rPr>
              <w:t>0.0005</w:t>
            </w:r>
          </w:p>
        </w:tc>
      </w:tr>
      <w:tr>
        <w:trPr>
          <w:trHeight w:val="275" w:hRule="atLeast"/>
        </w:trPr>
        <w:tc>
          <w:tcPr>
            <w:tcW w:w="1862" w:type="dxa"/>
            <w:tcBorders>
              <w:top w:val="double" w:sz="6" w:space="0" w:color="000000"/>
            </w:tcBorders>
          </w:tcPr>
          <w:p>
            <w:pPr>
              <w:pStyle w:val="TableParagraph"/>
              <w:spacing w:line="215" w:lineRule="exact" w:before="40"/>
              <w:ind w:left="36"/>
              <w:rPr>
                <w:sz w:val="20"/>
              </w:rPr>
            </w:pPr>
            <w:r>
              <w:rPr>
                <w:spacing w:val="-2"/>
                <w:sz w:val="20"/>
              </w:rPr>
              <w:t>R-squared</w:t>
            </w:r>
          </w:p>
        </w:tc>
        <w:tc>
          <w:tcPr>
            <w:tcW w:w="1361" w:type="dxa"/>
            <w:tcBorders>
              <w:top w:val="double" w:sz="6" w:space="0" w:color="000000"/>
            </w:tcBorders>
          </w:tcPr>
          <w:p>
            <w:pPr>
              <w:pStyle w:val="TableParagraph"/>
              <w:spacing w:line="215" w:lineRule="exact" w:before="40"/>
              <w:ind w:right="129"/>
              <w:jc w:val="right"/>
              <w:rPr>
                <w:sz w:val="20"/>
              </w:rPr>
            </w:pPr>
            <w:r>
              <w:rPr>
                <w:spacing w:val="-2"/>
                <w:sz w:val="20"/>
              </w:rPr>
              <w:t>0.622064</w:t>
            </w:r>
          </w:p>
        </w:tc>
        <w:tc>
          <w:tcPr>
            <w:tcW w:w="2338" w:type="dxa"/>
            <w:gridSpan w:val="2"/>
            <w:tcBorders>
              <w:top w:val="double" w:sz="6" w:space="0" w:color="000000"/>
            </w:tcBorders>
          </w:tcPr>
          <w:p>
            <w:pPr>
              <w:pStyle w:val="TableParagraph"/>
              <w:spacing w:line="215" w:lineRule="exact" w:before="40"/>
              <w:ind w:left="130"/>
              <w:rPr>
                <w:sz w:val="20"/>
              </w:rPr>
            </w:pPr>
            <w:r>
              <w:rPr>
                <w:sz w:val="20"/>
              </w:rPr>
              <w:t>Mean</w:t>
            </w:r>
            <w:r>
              <w:rPr>
                <w:spacing w:val="-7"/>
                <w:sz w:val="20"/>
              </w:rPr>
              <w:t> </w:t>
            </w:r>
            <w:r>
              <w:rPr>
                <w:sz w:val="20"/>
              </w:rPr>
              <w:t>dependent</w:t>
            </w:r>
            <w:r>
              <w:rPr>
                <w:spacing w:val="-7"/>
                <w:sz w:val="20"/>
              </w:rPr>
              <w:t> </w:t>
            </w:r>
            <w:r>
              <w:rPr>
                <w:spacing w:val="-5"/>
                <w:sz w:val="20"/>
              </w:rPr>
              <w:t>var</w:t>
            </w:r>
          </w:p>
        </w:tc>
        <w:tc>
          <w:tcPr>
            <w:tcW w:w="930" w:type="dxa"/>
            <w:tcBorders>
              <w:top w:val="double" w:sz="6" w:space="0" w:color="000000"/>
            </w:tcBorders>
          </w:tcPr>
          <w:p>
            <w:pPr>
              <w:pStyle w:val="TableParagraph"/>
              <w:spacing w:line="215" w:lineRule="exact" w:before="40"/>
              <w:ind w:right="31"/>
              <w:jc w:val="right"/>
              <w:rPr>
                <w:sz w:val="20"/>
              </w:rPr>
            </w:pPr>
            <w:r>
              <w:rPr>
                <w:spacing w:val="-4"/>
                <w:sz w:val="20"/>
              </w:rPr>
              <w:t>-</w:t>
            </w:r>
            <w:r>
              <w:rPr>
                <w:spacing w:val="-2"/>
                <w:sz w:val="20"/>
              </w:rPr>
              <w:t>0.007353</w:t>
            </w:r>
          </w:p>
        </w:tc>
      </w:tr>
      <w:tr>
        <w:trPr>
          <w:trHeight w:val="230" w:hRule="atLeast"/>
        </w:trPr>
        <w:tc>
          <w:tcPr>
            <w:tcW w:w="1862" w:type="dxa"/>
          </w:tcPr>
          <w:p>
            <w:pPr>
              <w:pStyle w:val="TableParagraph"/>
              <w:spacing w:line="211" w:lineRule="exact"/>
              <w:ind w:left="36"/>
              <w:rPr>
                <w:sz w:val="20"/>
              </w:rPr>
            </w:pPr>
            <w:r>
              <w:rPr>
                <w:sz w:val="20"/>
              </w:rPr>
              <w:t>Adjusted</w:t>
            </w:r>
            <w:r>
              <w:rPr>
                <w:spacing w:val="-10"/>
                <w:sz w:val="20"/>
              </w:rPr>
              <w:t> </w:t>
            </w:r>
            <w:r>
              <w:rPr>
                <w:sz w:val="20"/>
              </w:rPr>
              <w:t>R-</w:t>
            </w:r>
            <w:r>
              <w:rPr>
                <w:spacing w:val="-2"/>
                <w:sz w:val="20"/>
              </w:rPr>
              <w:t>squared</w:t>
            </w:r>
          </w:p>
        </w:tc>
        <w:tc>
          <w:tcPr>
            <w:tcW w:w="1361" w:type="dxa"/>
          </w:tcPr>
          <w:p>
            <w:pPr>
              <w:pStyle w:val="TableParagraph"/>
              <w:spacing w:line="211" w:lineRule="exact"/>
              <w:ind w:right="129"/>
              <w:jc w:val="right"/>
              <w:rPr>
                <w:sz w:val="20"/>
              </w:rPr>
            </w:pPr>
            <w:r>
              <w:rPr>
                <w:spacing w:val="-2"/>
                <w:sz w:val="20"/>
              </w:rPr>
              <w:t>0.601068</w:t>
            </w:r>
          </w:p>
        </w:tc>
        <w:tc>
          <w:tcPr>
            <w:tcW w:w="2338" w:type="dxa"/>
            <w:gridSpan w:val="2"/>
          </w:tcPr>
          <w:p>
            <w:pPr>
              <w:pStyle w:val="TableParagraph"/>
              <w:spacing w:line="211" w:lineRule="exact"/>
              <w:ind w:left="130"/>
              <w:rPr>
                <w:sz w:val="20"/>
              </w:rPr>
            </w:pPr>
            <w:r>
              <w:rPr>
                <w:sz w:val="20"/>
              </w:rPr>
              <w:t>S.D.</w:t>
            </w:r>
            <w:r>
              <w:rPr>
                <w:spacing w:val="-5"/>
                <w:sz w:val="20"/>
              </w:rPr>
              <w:t> </w:t>
            </w:r>
            <w:r>
              <w:rPr>
                <w:sz w:val="20"/>
              </w:rPr>
              <w:t>dependent</w:t>
            </w:r>
            <w:r>
              <w:rPr>
                <w:spacing w:val="-6"/>
                <w:sz w:val="20"/>
              </w:rPr>
              <w:t> </w:t>
            </w:r>
            <w:r>
              <w:rPr>
                <w:spacing w:val="-5"/>
                <w:sz w:val="20"/>
              </w:rPr>
              <w:t>var</w:t>
            </w:r>
          </w:p>
        </w:tc>
        <w:tc>
          <w:tcPr>
            <w:tcW w:w="930" w:type="dxa"/>
          </w:tcPr>
          <w:p>
            <w:pPr>
              <w:pStyle w:val="TableParagraph"/>
              <w:spacing w:line="211" w:lineRule="exact"/>
              <w:ind w:right="31"/>
              <w:jc w:val="right"/>
              <w:rPr>
                <w:sz w:val="20"/>
              </w:rPr>
            </w:pPr>
            <w:r>
              <w:rPr>
                <w:spacing w:val="-2"/>
                <w:sz w:val="20"/>
              </w:rPr>
              <w:t>0.437379</w:t>
            </w:r>
          </w:p>
        </w:tc>
      </w:tr>
      <w:tr>
        <w:trPr>
          <w:trHeight w:val="230" w:hRule="atLeast"/>
        </w:trPr>
        <w:tc>
          <w:tcPr>
            <w:tcW w:w="1862" w:type="dxa"/>
          </w:tcPr>
          <w:p>
            <w:pPr>
              <w:pStyle w:val="TableParagraph"/>
              <w:spacing w:line="211" w:lineRule="exact"/>
              <w:ind w:left="36"/>
              <w:rPr>
                <w:sz w:val="20"/>
              </w:rPr>
            </w:pPr>
            <w:r>
              <w:rPr>
                <w:sz w:val="20"/>
              </w:rPr>
              <w:t>S.E.</w:t>
            </w:r>
            <w:r>
              <w:rPr>
                <w:spacing w:val="-3"/>
                <w:sz w:val="20"/>
              </w:rPr>
              <w:t> </w:t>
            </w:r>
            <w:r>
              <w:rPr>
                <w:sz w:val="20"/>
              </w:rPr>
              <w:t>of</w:t>
            </w:r>
            <w:r>
              <w:rPr>
                <w:spacing w:val="-3"/>
                <w:sz w:val="20"/>
              </w:rPr>
              <w:t> </w:t>
            </w:r>
            <w:r>
              <w:rPr>
                <w:spacing w:val="-2"/>
                <w:sz w:val="20"/>
              </w:rPr>
              <w:t>regression</w:t>
            </w:r>
          </w:p>
        </w:tc>
        <w:tc>
          <w:tcPr>
            <w:tcW w:w="1361" w:type="dxa"/>
          </w:tcPr>
          <w:p>
            <w:pPr>
              <w:pStyle w:val="TableParagraph"/>
              <w:spacing w:line="211" w:lineRule="exact"/>
              <w:ind w:right="129"/>
              <w:jc w:val="right"/>
              <w:rPr>
                <w:sz w:val="20"/>
              </w:rPr>
            </w:pPr>
            <w:r>
              <w:rPr>
                <w:spacing w:val="-2"/>
                <w:sz w:val="20"/>
              </w:rPr>
              <w:t>0.276254</w:t>
            </w:r>
          </w:p>
        </w:tc>
        <w:tc>
          <w:tcPr>
            <w:tcW w:w="2338" w:type="dxa"/>
            <w:gridSpan w:val="2"/>
          </w:tcPr>
          <w:p>
            <w:pPr>
              <w:pStyle w:val="TableParagraph"/>
              <w:spacing w:line="211" w:lineRule="exact"/>
              <w:ind w:left="130"/>
              <w:rPr>
                <w:sz w:val="20"/>
              </w:rPr>
            </w:pPr>
            <w:r>
              <w:rPr>
                <w:sz w:val="20"/>
              </w:rPr>
              <w:t>Akaike</w:t>
            </w:r>
            <w:r>
              <w:rPr>
                <w:spacing w:val="-8"/>
                <w:sz w:val="20"/>
              </w:rPr>
              <w:t> </w:t>
            </w:r>
            <w:r>
              <w:rPr>
                <w:sz w:val="20"/>
              </w:rPr>
              <w:t>info</w:t>
            </w:r>
            <w:r>
              <w:rPr>
                <w:spacing w:val="-7"/>
                <w:sz w:val="20"/>
              </w:rPr>
              <w:t> </w:t>
            </w:r>
            <w:r>
              <w:rPr>
                <w:spacing w:val="-2"/>
                <w:sz w:val="20"/>
              </w:rPr>
              <w:t>criterion</w:t>
            </w:r>
          </w:p>
        </w:tc>
        <w:tc>
          <w:tcPr>
            <w:tcW w:w="930" w:type="dxa"/>
          </w:tcPr>
          <w:p>
            <w:pPr>
              <w:pStyle w:val="TableParagraph"/>
              <w:spacing w:line="211" w:lineRule="exact"/>
              <w:ind w:right="31"/>
              <w:jc w:val="right"/>
              <w:rPr>
                <w:sz w:val="20"/>
              </w:rPr>
            </w:pPr>
            <w:r>
              <w:rPr>
                <w:spacing w:val="-2"/>
                <w:sz w:val="20"/>
              </w:rPr>
              <w:t>0.338808</w:t>
            </w:r>
          </w:p>
        </w:tc>
      </w:tr>
      <w:tr>
        <w:trPr>
          <w:trHeight w:val="230" w:hRule="atLeast"/>
        </w:trPr>
        <w:tc>
          <w:tcPr>
            <w:tcW w:w="1862" w:type="dxa"/>
          </w:tcPr>
          <w:p>
            <w:pPr>
              <w:pStyle w:val="TableParagraph"/>
              <w:spacing w:line="210" w:lineRule="exact"/>
              <w:ind w:left="36"/>
              <w:rPr>
                <w:sz w:val="20"/>
              </w:rPr>
            </w:pPr>
            <w:r>
              <w:rPr>
                <w:sz w:val="20"/>
              </w:rPr>
              <w:t>Sum</w:t>
            </w:r>
            <w:r>
              <w:rPr>
                <w:spacing w:val="-8"/>
                <w:sz w:val="20"/>
              </w:rPr>
              <w:t> </w:t>
            </w:r>
            <w:r>
              <w:rPr>
                <w:sz w:val="20"/>
              </w:rPr>
              <w:t>squared</w:t>
            </w:r>
            <w:r>
              <w:rPr>
                <w:spacing w:val="-4"/>
                <w:sz w:val="20"/>
              </w:rPr>
              <w:t> </w:t>
            </w:r>
            <w:r>
              <w:rPr>
                <w:spacing w:val="-2"/>
                <w:sz w:val="20"/>
              </w:rPr>
              <w:t>resid</w:t>
            </w:r>
          </w:p>
        </w:tc>
        <w:tc>
          <w:tcPr>
            <w:tcW w:w="1361" w:type="dxa"/>
          </w:tcPr>
          <w:p>
            <w:pPr>
              <w:pStyle w:val="TableParagraph"/>
              <w:spacing w:line="210" w:lineRule="exact"/>
              <w:ind w:right="129"/>
              <w:jc w:val="right"/>
              <w:rPr>
                <w:sz w:val="20"/>
              </w:rPr>
            </w:pPr>
            <w:r>
              <w:rPr>
                <w:spacing w:val="-2"/>
                <w:sz w:val="20"/>
              </w:rPr>
              <w:t>2.747377</w:t>
            </w:r>
          </w:p>
        </w:tc>
        <w:tc>
          <w:tcPr>
            <w:tcW w:w="2338" w:type="dxa"/>
            <w:gridSpan w:val="2"/>
          </w:tcPr>
          <w:p>
            <w:pPr>
              <w:pStyle w:val="TableParagraph"/>
              <w:spacing w:line="210" w:lineRule="exact"/>
              <w:ind w:left="130"/>
              <w:rPr>
                <w:sz w:val="20"/>
              </w:rPr>
            </w:pPr>
            <w:r>
              <w:rPr>
                <w:sz w:val="20"/>
              </w:rPr>
              <w:t>Schwarz</w:t>
            </w:r>
            <w:r>
              <w:rPr>
                <w:spacing w:val="-8"/>
                <w:sz w:val="20"/>
              </w:rPr>
              <w:t> </w:t>
            </w:r>
            <w:r>
              <w:rPr>
                <w:spacing w:val="-2"/>
                <w:sz w:val="20"/>
              </w:rPr>
              <w:t>criterion</w:t>
            </w:r>
          </w:p>
        </w:tc>
        <w:tc>
          <w:tcPr>
            <w:tcW w:w="930" w:type="dxa"/>
          </w:tcPr>
          <w:p>
            <w:pPr>
              <w:pStyle w:val="TableParagraph"/>
              <w:spacing w:line="210" w:lineRule="exact"/>
              <w:ind w:right="31"/>
              <w:jc w:val="right"/>
              <w:rPr>
                <w:sz w:val="20"/>
              </w:rPr>
            </w:pPr>
            <w:r>
              <w:rPr>
                <w:spacing w:val="-2"/>
                <w:sz w:val="20"/>
              </w:rPr>
              <w:t>0.466775</w:t>
            </w:r>
          </w:p>
        </w:tc>
      </w:tr>
      <w:tr>
        <w:trPr>
          <w:trHeight w:val="229" w:hRule="atLeast"/>
        </w:trPr>
        <w:tc>
          <w:tcPr>
            <w:tcW w:w="1862" w:type="dxa"/>
          </w:tcPr>
          <w:p>
            <w:pPr>
              <w:pStyle w:val="TableParagraph"/>
              <w:spacing w:line="209" w:lineRule="exact"/>
              <w:ind w:left="36"/>
              <w:rPr>
                <w:sz w:val="20"/>
              </w:rPr>
            </w:pPr>
            <w:r>
              <w:rPr>
                <w:sz w:val="20"/>
              </w:rPr>
              <w:t>Log</w:t>
            </w:r>
            <w:r>
              <w:rPr>
                <w:spacing w:val="-6"/>
                <w:sz w:val="20"/>
              </w:rPr>
              <w:t> </w:t>
            </w:r>
            <w:r>
              <w:rPr>
                <w:spacing w:val="-2"/>
                <w:sz w:val="20"/>
              </w:rPr>
              <w:t>likelihood</w:t>
            </w:r>
          </w:p>
        </w:tc>
        <w:tc>
          <w:tcPr>
            <w:tcW w:w="1361" w:type="dxa"/>
          </w:tcPr>
          <w:p>
            <w:pPr>
              <w:pStyle w:val="TableParagraph"/>
              <w:spacing w:line="209" w:lineRule="exact"/>
              <w:ind w:right="129"/>
              <w:jc w:val="right"/>
              <w:rPr>
                <w:sz w:val="20"/>
              </w:rPr>
            </w:pPr>
            <w:r>
              <w:rPr>
                <w:spacing w:val="-4"/>
                <w:sz w:val="20"/>
              </w:rPr>
              <w:t>-</w:t>
            </w:r>
            <w:r>
              <w:rPr>
                <w:spacing w:val="-2"/>
                <w:sz w:val="20"/>
              </w:rPr>
              <w:t>3.606761</w:t>
            </w:r>
          </w:p>
        </w:tc>
        <w:tc>
          <w:tcPr>
            <w:tcW w:w="1433" w:type="dxa"/>
          </w:tcPr>
          <w:p>
            <w:pPr>
              <w:pStyle w:val="TableParagraph"/>
              <w:spacing w:line="209" w:lineRule="exact"/>
              <w:ind w:left="130"/>
              <w:rPr>
                <w:sz w:val="20"/>
              </w:rPr>
            </w:pPr>
            <w:r>
              <w:rPr>
                <w:spacing w:val="-4"/>
                <w:sz w:val="20"/>
              </w:rPr>
              <w:t>F-</w:t>
            </w:r>
            <w:r>
              <w:rPr>
                <w:spacing w:val="-2"/>
                <w:sz w:val="20"/>
              </w:rPr>
              <w:t>statistic</w:t>
            </w:r>
          </w:p>
        </w:tc>
        <w:tc>
          <w:tcPr>
            <w:tcW w:w="905" w:type="dxa"/>
          </w:tcPr>
          <w:p>
            <w:pPr>
              <w:pStyle w:val="TableParagraph"/>
              <w:rPr>
                <w:sz w:val="16"/>
              </w:rPr>
            </w:pPr>
          </w:p>
        </w:tc>
        <w:tc>
          <w:tcPr>
            <w:tcW w:w="930" w:type="dxa"/>
          </w:tcPr>
          <w:p>
            <w:pPr>
              <w:pStyle w:val="TableParagraph"/>
              <w:spacing w:line="209" w:lineRule="exact"/>
              <w:ind w:right="31"/>
              <w:jc w:val="right"/>
              <w:rPr>
                <w:sz w:val="20"/>
              </w:rPr>
            </w:pPr>
            <w:r>
              <w:rPr>
                <w:spacing w:val="-2"/>
                <w:sz w:val="20"/>
              </w:rPr>
              <w:t>29.62711</w:t>
            </w:r>
          </w:p>
        </w:tc>
      </w:tr>
      <w:tr>
        <w:trPr>
          <w:trHeight w:val="266" w:hRule="atLeast"/>
        </w:trPr>
        <w:tc>
          <w:tcPr>
            <w:tcW w:w="1862" w:type="dxa"/>
            <w:tcBorders>
              <w:bottom w:val="double" w:sz="6" w:space="0" w:color="000000"/>
            </w:tcBorders>
          </w:tcPr>
          <w:p>
            <w:pPr>
              <w:pStyle w:val="TableParagraph"/>
              <w:spacing w:line="224" w:lineRule="exact"/>
              <w:ind w:left="36"/>
              <w:rPr>
                <w:sz w:val="20"/>
              </w:rPr>
            </w:pPr>
            <w:r>
              <w:rPr>
                <w:sz w:val="20"/>
              </w:rPr>
              <w:t>Durbin-Watson</w:t>
            </w:r>
            <w:r>
              <w:rPr>
                <w:spacing w:val="-12"/>
                <w:sz w:val="20"/>
              </w:rPr>
              <w:t> </w:t>
            </w:r>
            <w:r>
              <w:rPr>
                <w:spacing w:val="-4"/>
                <w:sz w:val="20"/>
              </w:rPr>
              <w:t>stat</w:t>
            </w:r>
          </w:p>
        </w:tc>
        <w:tc>
          <w:tcPr>
            <w:tcW w:w="1361" w:type="dxa"/>
          </w:tcPr>
          <w:p>
            <w:pPr>
              <w:pStyle w:val="TableParagraph"/>
              <w:spacing w:line="224" w:lineRule="exact"/>
              <w:ind w:right="129"/>
              <w:jc w:val="right"/>
              <w:rPr>
                <w:sz w:val="20"/>
              </w:rPr>
            </w:pPr>
            <w:r>
              <w:rPr>
                <w:spacing w:val="-2"/>
                <w:sz w:val="20"/>
              </w:rPr>
              <w:t>1.972369</w:t>
            </w:r>
          </w:p>
        </w:tc>
        <w:tc>
          <w:tcPr>
            <w:tcW w:w="1433" w:type="dxa"/>
            <w:tcBorders>
              <w:bottom w:val="double" w:sz="6" w:space="0" w:color="000000"/>
            </w:tcBorders>
          </w:tcPr>
          <w:p>
            <w:pPr>
              <w:pStyle w:val="TableParagraph"/>
              <w:spacing w:line="224" w:lineRule="exact"/>
              <w:ind w:left="130"/>
              <w:rPr>
                <w:sz w:val="20"/>
              </w:rPr>
            </w:pPr>
            <w:r>
              <w:rPr>
                <w:spacing w:val="-2"/>
                <w:sz w:val="20"/>
              </w:rPr>
              <w:t>Prob(F-statistic)</w:t>
            </w:r>
          </w:p>
        </w:tc>
        <w:tc>
          <w:tcPr>
            <w:tcW w:w="905" w:type="dxa"/>
            <w:tcBorders>
              <w:bottom w:val="double" w:sz="6" w:space="0" w:color="000000"/>
            </w:tcBorders>
          </w:tcPr>
          <w:p>
            <w:pPr>
              <w:pStyle w:val="TableParagraph"/>
              <w:rPr>
                <w:sz w:val="18"/>
              </w:rPr>
            </w:pPr>
          </w:p>
        </w:tc>
        <w:tc>
          <w:tcPr>
            <w:tcW w:w="930" w:type="dxa"/>
            <w:tcBorders>
              <w:bottom w:val="double" w:sz="6" w:space="0" w:color="000000"/>
            </w:tcBorders>
          </w:tcPr>
          <w:p>
            <w:pPr>
              <w:pStyle w:val="TableParagraph"/>
              <w:spacing w:line="224" w:lineRule="exact"/>
              <w:ind w:right="31"/>
              <w:jc w:val="right"/>
              <w:rPr>
                <w:sz w:val="20"/>
              </w:rPr>
            </w:pPr>
            <w:r>
              <w:rPr>
                <w:spacing w:val="-2"/>
                <w:sz w:val="20"/>
              </w:rPr>
              <w:t>0.000000</w:t>
            </w:r>
          </w:p>
        </w:tc>
      </w:tr>
    </w:tbl>
    <w:p>
      <w:pPr>
        <w:spacing w:after="0" w:line="224" w:lineRule="exact"/>
        <w:jc w:val="right"/>
        <w:rPr>
          <w:sz w:val="20"/>
        </w:rPr>
        <w:sectPr>
          <w:pgSz w:w="11910" w:h="16840"/>
          <w:pgMar w:header="0" w:footer="979" w:top="1360" w:bottom="1240" w:left="280" w:right="0"/>
        </w:sectPr>
      </w:pPr>
    </w:p>
    <w:p>
      <w:pPr>
        <w:spacing w:before="62" w:after="3"/>
        <w:ind w:left="711" w:right="0" w:firstLine="0"/>
        <w:jc w:val="left"/>
        <w:rPr>
          <w:sz w:val="20"/>
        </w:rPr>
      </w:pPr>
      <w:r>
        <w:rPr>
          <w:sz w:val="20"/>
        </w:rPr>
        <w:t>ECM</w:t>
      </w:r>
      <w:r>
        <w:rPr>
          <w:spacing w:val="-4"/>
          <w:sz w:val="20"/>
        </w:rPr>
        <w:t> </w:t>
      </w:r>
      <w:r>
        <w:rPr>
          <w:sz w:val="20"/>
        </w:rPr>
        <w:t>@</w:t>
      </w:r>
      <w:r>
        <w:rPr>
          <w:spacing w:val="-3"/>
          <w:sz w:val="20"/>
        </w:rPr>
        <w:t> </w:t>
      </w:r>
      <w:r>
        <w:rPr>
          <w:spacing w:val="-4"/>
          <w:sz w:val="20"/>
        </w:rPr>
        <w:t>LEVEL</w:t>
      </w:r>
    </w:p>
    <w:tbl>
      <w:tblPr>
        <w:tblW w:w="0" w:type="auto"/>
        <w:jc w:val="left"/>
        <w:tblInd w:w="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47"/>
        <w:gridCol w:w="1375"/>
        <w:gridCol w:w="1432"/>
        <w:gridCol w:w="936"/>
        <w:gridCol w:w="896"/>
      </w:tblGrid>
      <w:tr>
        <w:trPr>
          <w:trHeight w:val="224" w:hRule="atLeast"/>
        </w:trPr>
        <w:tc>
          <w:tcPr>
            <w:tcW w:w="1847" w:type="dxa"/>
          </w:tcPr>
          <w:p>
            <w:pPr>
              <w:pStyle w:val="TableParagraph"/>
              <w:spacing w:line="204" w:lineRule="exact"/>
              <w:ind w:left="36"/>
              <w:rPr>
                <w:sz w:val="20"/>
              </w:rPr>
            </w:pPr>
            <w:r>
              <w:rPr>
                <w:sz w:val="20"/>
              </w:rPr>
              <w:t>ADF</w:t>
            </w:r>
            <w:r>
              <w:rPr>
                <w:spacing w:val="-4"/>
                <w:sz w:val="20"/>
              </w:rPr>
              <w:t> </w:t>
            </w:r>
            <w:r>
              <w:rPr>
                <w:sz w:val="20"/>
              </w:rPr>
              <w:t>Test</w:t>
            </w:r>
            <w:r>
              <w:rPr>
                <w:spacing w:val="-4"/>
                <w:sz w:val="20"/>
              </w:rPr>
              <w:t> </w:t>
            </w:r>
            <w:r>
              <w:rPr>
                <w:spacing w:val="-2"/>
                <w:sz w:val="20"/>
              </w:rPr>
              <w:t>Statistic</w:t>
            </w:r>
          </w:p>
        </w:tc>
        <w:tc>
          <w:tcPr>
            <w:tcW w:w="1375" w:type="dxa"/>
          </w:tcPr>
          <w:p>
            <w:pPr>
              <w:pStyle w:val="TableParagraph"/>
              <w:spacing w:line="204" w:lineRule="exact"/>
              <w:ind w:left="219"/>
              <w:rPr>
                <w:sz w:val="20"/>
              </w:rPr>
            </w:pPr>
            <w:r>
              <w:rPr>
                <w:spacing w:val="-4"/>
                <w:sz w:val="20"/>
              </w:rPr>
              <w:t>-</w:t>
            </w:r>
            <w:r>
              <w:rPr>
                <w:spacing w:val="-2"/>
                <w:sz w:val="20"/>
              </w:rPr>
              <w:t>4.046095</w:t>
            </w:r>
          </w:p>
        </w:tc>
        <w:tc>
          <w:tcPr>
            <w:tcW w:w="2368" w:type="dxa"/>
            <w:gridSpan w:val="2"/>
          </w:tcPr>
          <w:p>
            <w:pPr>
              <w:pStyle w:val="TableParagraph"/>
              <w:spacing w:line="204" w:lineRule="exact"/>
              <w:ind w:left="131"/>
              <w:rPr>
                <w:sz w:val="20"/>
              </w:rPr>
            </w:pPr>
            <w:r>
              <w:rPr>
                <w:sz w:val="20"/>
              </w:rPr>
              <w:t>1%</w:t>
            </w:r>
            <w:r>
              <w:rPr>
                <w:spacing w:val="68"/>
                <w:w w:val="150"/>
                <w:sz w:val="20"/>
              </w:rPr>
              <w:t> </w:t>
            </w:r>
            <w:r>
              <w:rPr>
                <w:sz w:val="20"/>
              </w:rPr>
              <w:t>Critical</w:t>
            </w:r>
            <w:r>
              <w:rPr>
                <w:spacing w:val="-2"/>
                <w:sz w:val="20"/>
              </w:rPr>
              <w:t> Value*</w:t>
            </w:r>
          </w:p>
        </w:tc>
        <w:tc>
          <w:tcPr>
            <w:tcW w:w="896" w:type="dxa"/>
          </w:tcPr>
          <w:p>
            <w:pPr>
              <w:pStyle w:val="TableParagraph"/>
              <w:spacing w:line="204" w:lineRule="exact"/>
              <w:ind w:right="26"/>
              <w:jc w:val="right"/>
              <w:rPr>
                <w:sz w:val="20"/>
              </w:rPr>
            </w:pPr>
            <w:r>
              <w:rPr>
                <w:spacing w:val="-4"/>
                <w:sz w:val="20"/>
              </w:rPr>
              <w:t>-</w:t>
            </w:r>
            <w:r>
              <w:rPr>
                <w:spacing w:val="-2"/>
                <w:sz w:val="20"/>
              </w:rPr>
              <w:t>3.6019</w:t>
            </w:r>
          </w:p>
        </w:tc>
      </w:tr>
      <w:tr>
        <w:trPr>
          <w:trHeight w:val="229" w:hRule="atLeast"/>
        </w:trPr>
        <w:tc>
          <w:tcPr>
            <w:tcW w:w="1847" w:type="dxa"/>
          </w:tcPr>
          <w:p>
            <w:pPr>
              <w:pStyle w:val="TableParagraph"/>
              <w:rPr>
                <w:sz w:val="16"/>
              </w:rPr>
            </w:pPr>
          </w:p>
        </w:tc>
        <w:tc>
          <w:tcPr>
            <w:tcW w:w="1375" w:type="dxa"/>
          </w:tcPr>
          <w:p>
            <w:pPr>
              <w:pStyle w:val="TableParagraph"/>
              <w:rPr>
                <w:sz w:val="16"/>
              </w:rPr>
            </w:pPr>
          </w:p>
        </w:tc>
        <w:tc>
          <w:tcPr>
            <w:tcW w:w="2368" w:type="dxa"/>
            <w:gridSpan w:val="2"/>
          </w:tcPr>
          <w:p>
            <w:pPr>
              <w:pStyle w:val="TableParagraph"/>
              <w:spacing w:line="209" w:lineRule="exact"/>
              <w:ind w:left="131"/>
              <w:rPr>
                <w:sz w:val="20"/>
              </w:rPr>
            </w:pPr>
            <w:r>
              <w:rPr>
                <w:sz w:val="20"/>
              </w:rPr>
              <w:t>5%</w:t>
            </w:r>
            <w:r>
              <w:rPr>
                <w:spacing w:val="68"/>
                <w:w w:val="150"/>
                <w:sz w:val="20"/>
              </w:rPr>
              <w:t> </w:t>
            </w:r>
            <w:r>
              <w:rPr>
                <w:sz w:val="20"/>
              </w:rPr>
              <w:t>Critical</w:t>
            </w:r>
            <w:r>
              <w:rPr>
                <w:spacing w:val="-2"/>
                <w:sz w:val="20"/>
              </w:rPr>
              <w:t> </w:t>
            </w:r>
            <w:r>
              <w:rPr>
                <w:spacing w:val="-4"/>
                <w:sz w:val="20"/>
              </w:rPr>
              <w:t>Value</w:t>
            </w:r>
          </w:p>
        </w:tc>
        <w:tc>
          <w:tcPr>
            <w:tcW w:w="896" w:type="dxa"/>
          </w:tcPr>
          <w:p>
            <w:pPr>
              <w:pStyle w:val="TableParagraph"/>
              <w:spacing w:line="209" w:lineRule="exact"/>
              <w:ind w:right="26"/>
              <w:jc w:val="right"/>
              <w:rPr>
                <w:sz w:val="20"/>
              </w:rPr>
            </w:pPr>
            <w:r>
              <w:rPr>
                <w:spacing w:val="-4"/>
                <w:sz w:val="20"/>
              </w:rPr>
              <w:t>-</w:t>
            </w:r>
            <w:r>
              <w:rPr>
                <w:spacing w:val="-2"/>
                <w:sz w:val="20"/>
              </w:rPr>
              <w:t>2.9358</w:t>
            </w:r>
          </w:p>
        </w:tc>
      </w:tr>
      <w:tr>
        <w:trPr>
          <w:trHeight w:val="224" w:hRule="atLeast"/>
        </w:trPr>
        <w:tc>
          <w:tcPr>
            <w:tcW w:w="1847" w:type="dxa"/>
            <w:tcBorders>
              <w:bottom w:val="double" w:sz="6" w:space="0" w:color="000000"/>
            </w:tcBorders>
          </w:tcPr>
          <w:p>
            <w:pPr>
              <w:pStyle w:val="TableParagraph"/>
              <w:rPr>
                <w:sz w:val="16"/>
              </w:rPr>
            </w:pPr>
          </w:p>
        </w:tc>
        <w:tc>
          <w:tcPr>
            <w:tcW w:w="1375" w:type="dxa"/>
            <w:tcBorders>
              <w:bottom w:val="double" w:sz="6" w:space="0" w:color="000000"/>
            </w:tcBorders>
          </w:tcPr>
          <w:p>
            <w:pPr>
              <w:pStyle w:val="TableParagraph"/>
              <w:rPr>
                <w:sz w:val="16"/>
              </w:rPr>
            </w:pPr>
          </w:p>
        </w:tc>
        <w:tc>
          <w:tcPr>
            <w:tcW w:w="2368" w:type="dxa"/>
            <w:gridSpan w:val="2"/>
            <w:tcBorders>
              <w:bottom w:val="double" w:sz="6" w:space="0" w:color="000000"/>
            </w:tcBorders>
          </w:tcPr>
          <w:p>
            <w:pPr>
              <w:pStyle w:val="TableParagraph"/>
              <w:spacing w:line="205" w:lineRule="exact"/>
              <w:ind w:left="131"/>
              <w:rPr>
                <w:sz w:val="20"/>
              </w:rPr>
            </w:pPr>
            <w:r>
              <w:rPr>
                <w:sz w:val="20"/>
              </w:rPr>
              <w:t>10%</w:t>
            </w:r>
            <w:r>
              <w:rPr>
                <w:spacing w:val="-6"/>
                <w:sz w:val="20"/>
              </w:rPr>
              <w:t> </w:t>
            </w:r>
            <w:r>
              <w:rPr>
                <w:sz w:val="20"/>
              </w:rPr>
              <w:t>Critical</w:t>
            </w:r>
            <w:r>
              <w:rPr>
                <w:spacing w:val="-4"/>
                <w:sz w:val="20"/>
              </w:rPr>
              <w:t> </w:t>
            </w:r>
            <w:r>
              <w:rPr>
                <w:spacing w:val="-2"/>
                <w:sz w:val="20"/>
              </w:rPr>
              <w:t>Value</w:t>
            </w:r>
          </w:p>
        </w:tc>
        <w:tc>
          <w:tcPr>
            <w:tcW w:w="896" w:type="dxa"/>
            <w:tcBorders>
              <w:bottom w:val="double" w:sz="6" w:space="0" w:color="000000"/>
            </w:tcBorders>
          </w:tcPr>
          <w:p>
            <w:pPr>
              <w:pStyle w:val="TableParagraph"/>
              <w:spacing w:line="205" w:lineRule="exact"/>
              <w:ind w:right="26"/>
              <w:jc w:val="right"/>
              <w:rPr>
                <w:sz w:val="20"/>
              </w:rPr>
            </w:pPr>
            <w:r>
              <w:rPr>
                <w:spacing w:val="-4"/>
                <w:sz w:val="20"/>
              </w:rPr>
              <w:t>-</w:t>
            </w:r>
            <w:r>
              <w:rPr>
                <w:spacing w:val="-2"/>
                <w:sz w:val="20"/>
              </w:rPr>
              <w:t>2.6059</w:t>
            </w:r>
          </w:p>
        </w:tc>
      </w:tr>
      <w:tr>
        <w:trPr>
          <w:trHeight w:val="506" w:hRule="atLeast"/>
        </w:trPr>
        <w:tc>
          <w:tcPr>
            <w:tcW w:w="6486" w:type="dxa"/>
            <w:gridSpan w:val="5"/>
            <w:tcBorders>
              <w:top w:val="double" w:sz="6" w:space="0" w:color="000000"/>
            </w:tcBorders>
          </w:tcPr>
          <w:p>
            <w:pPr>
              <w:pStyle w:val="TableParagraph"/>
              <w:spacing w:before="42"/>
              <w:ind w:left="36"/>
              <w:rPr>
                <w:sz w:val="20"/>
              </w:rPr>
            </w:pPr>
            <w:r>
              <w:rPr>
                <w:sz w:val="20"/>
              </w:rPr>
              <w:t>*MacKinnon</w:t>
            </w:r>
            <w:r>
              <w:rPr>
                <w:spacing w:val="-6"/>
                <w:sz w:val="20"/>
              </w:rPr>
              <w:t> </w:t>
            </w:r>
            <w:r>
              <w:rPr>
                <w:sz w:val="20"/>
              </w:rPr>
              <w:t>critical</w:t>
            </w:r>
            <w:r>
              <w:rPr>
                <w:spacing w:val="-4"/>
                <w:sz w:val="20"/>
              </w:rPr>
              <w:t> </w:t>
            </w:r>
            <w:r>
              <w:rPr>
                <w:sz w:val="20"/>
              </w:rPr>
              <w:t>values</w:t>
            </w:r>
            <w:r>
              <w:rPr>
                <w:spacing w:val="-6"/>
                <w:sz w:val="20"/>
              </w:rPr>
              <w:t> </w:t>
            </w:r>
            <w:r>
              <w:rPr>
                <w:sz w:val="20"/>
              </w:rPr>
              <w:t>for</w:t>
            </w:r>
            <w:r>
              <w:rPr>
                <w:spacing w:val="-4"/>
                <w:sz w:val="20"/>
              </w:rPr>
              <w:t> </w:t>
            </w:r>
            <w:r>
              <w:rPr>
                <w:sz w:val="20"/>
              </w:rPr>
              <w:t>rejection</w:t>
            </w:r>
            <w:r>
              <w:rPr>
                <w:spacing w:val="-6"/>
                <w:sz w:val="20"/>
              </w:rPr>
              <w:t> </w:t>
            </w:r>
            <w:r>
              <w:rPr>
                <w:sz w:val="20"/>
              </w:rPr>
              <w:t>of</w:t>
            </w:r>
            <w:r>
              <w:rPr>
                <w:spacing w:val="-6"/>
                <w:sz w:val="20"/>
              </w:rPr>
              <w:t> </w:t>
            </w:r>
            <w:r>
              <w:rPr>
                <w:sz w:val="20"/>
              </w:rPr>
              <w:t>hypothesis</w:t>
            </w:r>
            <w:r>
              <w:rPr>
                <w:spacing w:val="-6"/>
                <w:sz w:val="20"/>
              </w:rPr>
              <w:t> </w:t>
            </w:r>
            <w:r>
              <w:rPr>
                <w:sz w:val="20"/>
              </w:rPr>
              <w:t>of</w:t>
            </w:r>
            <w:r>
              <w:rPr>
                <w:spacing w:val="-6"/>
                <w:sz w:val="20"/>
              </w:rPr>
              <w:t> </w:t>
            </w:r>
            <w:r>
              <w:rPr>
                <w:sz w:val="20"/>
              </w:rPr>
              <w:t>a</w:t>
            </w:r>
            <w:r>
              <w:rPr>
                <w:spacing w:val="-4"/>
                <w:sz w:val="20"/>
              </w:rPr>
              <w:t> </w:t>
            </w:r>
            <w:r>
              <w:rPr>
                <w:sz w:val="20"/>
              </w:rPr>
              <w:t>unit</w:t>
            </w:r>
            <w:r>
              <w:rPr>
                <w:spacing w:val="-6"/>
                <w:sz w:val="20"/>
              </w:rPr>
              <w:t> </w:t>
            </w:r>
            <w:r>
              <w:rPr>
                <w:spacing w:val="-2"/>
                <w:sz w:val="20"/>
              </w:rPr>
              <w:t>root.</w:t>
            </w:r>
          </w:p>
        </w:tc>
      </w:tr>
      <w:tr>
        <w:trPr>
          <w:trHeight w:val="459" w:hRule="atLeast"/>
        </w:trPr>
        <w:tc>
          <w:tcPr>
            <w:tcW w:w="6486" w:type="dxa"/>
            <w:gridSpan w:val="5"/>
          </w:tcPr>
          <w:p>
            <w:pPr>
              <w:pStyle w:val="TableParagraph"/>
              <w:spacing w:line="215" w:lineRule="exact" w:before="225"/>
              <w:ind w:left="36"/>
              <w:rPr>
                <w:sz w:val="20"/>
              </w:rPr>
            </w:pPr>
            <w:r>
              <w:rPr>
                <w:sz w:val="20"/>
              </w:rPr>
              <w:t>Augmented</w:t>
            </w:r>
            <w:r>
              <w:rPr>
                <w:spacing w:val="-8"/>
                <w:sz w:val="20"/>
              </w:rPr>
              <w:t> </w:t>
            </w:r>
            <w:r>
              <w:rPr>
                <w:sz w:val="20"/>
              </w:rPr>
              <w:t>Dickey-Fuller</w:t>
            </w:r>
            <w:r>
              <w:rPr>
                <w:spacing w:val="-8"/>
                <w:sz w:val="20"/>
              </w:rPr>
              <w:t> </w:t>
            </w:r>
            <w:r>
              <w:rPr>
                <w:sz w:val="20"/>
              </w:rPr>
              <w:t>Test</w:t>
            </w:r>
            <w:r>
              <w:rPr>
                <w:spacing w:val="-9"/>
                <w:sz w:val="20"/>
              </w:rPr>
              <w:t> </w:t>
            </w:r>
            <w:r>
              <w:rPr>
                <w:spacing w:val="-2"/>
                <w:sz w:val="20"/>
              </w:rPr>
              <w:t>Equation</w:t>
            </w:r>
          </w:p>
        </w:tc>
      </w:tr>
      <w:tr>
        <w:trPr>
          <w:trHeight w:val="230" w:hRule="atLeast"/>
        </w:trPr>
        <w:tc>
          <w:tcPr>
            <w:tcW w:w="6486" w:type="dxa"/>
            <w:gridSpan w:val="5"/>
          </w:tcPr>
          <w:p>
            <w:pPr>
              <w:pStyle w:val="TableParagraph"/>
              <w:spacing w:line="210" w:lineRule="exact"/>
              <w:ind w:left="36"/>
              <w:rPr>
                <w:sz w:val="20"/>
              </w:rPr>
            </w:pPr>
            <w:r>
              <w:rPr>
                <w:sz w:val="20"/>
              </w:rPr>
              <w:t>Dependent</w:t>
            </w:r>
            <w:r>
              <w:rPr>
                <w:spacing w:val="-7"/>
                <w:sz w:val="20"/>
              </w:rPr>
              <w:t> </w:t>
            </w:r>
            <w:r>
              <w:rPr>
                <w:sz w:val="20"/>
              </w:rPr>
              <w:t>Variable:</w:t>
            </w:r>
            <w:r>
              <w:rPr>
                <w:spacing w:val="-7"/>
                <w:sz w:val="20"/>
              </w:rPr>
              <w:t> </w:t>
            </w:r>
            <w:r>
              <w:rPr>
                <w:spacing w:val="-2"/>
                <w:sz w:val="20"/>
              </w:rPr>
              <w:t>D(ECM)</w:t>
            </w:r>
          </w:p>
        </w:tc>
      </w:tr>
      <w:tr>
        <w:trPr>
          <w:trHeight w:val="229" w:hRule="atLeast"/>
        </w:trPr>
        <w:tc>
          <w:tcPr>
            <w:tcW w:w="6486" w:type="dxa"/>
            <w:gridSpan w:val="5"/>
          </w:tcPr>
          <w:p>
            <w:pPr>
              <w:pStyle w:val="TableParagraph"/>
              <w:spacing w:line="209" w:lineRule="exact"/>
              <w:ind w:left="36"/>
              <w:rPr>
                <w:sz w:val="20"/>
              </w:rPr>
            </w:pPr>
            <w:r>
              <w:rPr>
                <w:sz w:val="20"/>
              </w:rPr>
              <w:t>Method:</w:t>
            </w:r>
            <w:r>
              <w:rPr>
                <w:spacing w:val="-8"/>
                <w:sz w:val="20"/>
              </w:rPr>
              <w:t> </w:t>
            </w:r>
            <w:r>
              <w:rPr>
                <w:sz w:val="20"/>
              </w:rPr>
              <w:t>Least</w:t>
            </w:r>
            <w:r>
              <w:rPr>
                <w:spacing w:val="-7"/>
                <w:sz w:val="20"/>
              </w:rPr>
              <w:t> </w:t>
            </w:r>
            <w:r>
              <w:rPr>
                <w:spacing w:val="-2"/>
                <w:sz w:val="20"/>
              </w:rPr>
              <w:t>Squares</w:t>
            </w:r>
          </w:p>
        </w:tc>
      </w:tr>
      <w:tr>
        <w:trPr>
          <w:trHeight w:val="229" w:hRule="atLeast"/>
        </w:trPr>
        <w:tc>
          <w:tcPr>
            <w:tcW w:w="6486" w:type="dxa"/>
            <w:gridSpan w:val="5"/>
          </w:tcPr>
          <w:p>
            <w:pPr>
              <w:pStyle w:val="TableParagraph"/>
              <w:spacing w:line="209" w:lineRule="exact"/>
              <w:ind w:left="36"/>
              <w:rPr>
                <w:sz w:val="20"/>
              </w:rPr>
            </w:pPr>
            <w:r>
              <w:rPr>
                <w:sz w:val="20"/>
              </w:rPr>
              <w:t>Date:</w:t>
            </w:r>
            <w:r>
              <w:rPr>
                <w:spacing w:val="-5"/>
                <w:sz w:val="20"/>
              </w:rPr>
              <w:t> </w:t>
            </w:r>
            <w:r>
              <w:rPr>
                <w:sz w:val="20"/>
              </w:rPr>
              <w:t>02/18/14</w:t>
            </w:r>
            <w:r>
              <w:rPr>
                <w:spacing w:val="63"/>
                <w:w w:val="150"/>
                <w:sz w:val="20"/>
              </w:rPr>
              <w:t> </w:t>
            </w:r>
            <w:r>
              <w:rPr>
                <w:sz w:val="20"/>
              </w:rPr>
              <w:t>Time:</w:t>
            </w:r>
            <w:r>
              <w:rPr>
                <w:spacing w:val="-3"/>
                <w:sz w:val="20"/>
              </w:rPr>
              <w:t> </w:t>
            </w:r>
            <w:r>
              <w:rPr>
                <w:spacing w:val="-2"/>
                <w:sz w:val="20"/>
              </w:rPr>
              <w:t>09:26</w:t>
            </w:r>
          </w:p>
        </w:tc>
      </w:tr>
      <w:tr>
        <w:trPr>
          <w:trHeight w:val="230" w:hRule="atLeast"/>
        </w:trPr>
        <w:tc>
          <w:tcPr>
            <w:tcW w:w="6486" w:type="dxa"/>
            <w:gridSpan w:val="5"/>
          </w:tcPr>
          <w:p>
            <w:pPr>
              <w:pStyle w:val="TableParagraph"/>
              <w:spacing w:line="210" w:lineRule="exact"/>
              <w:ind w:left="36"/>
              <w:rPr>
                <w:sz w:val="20"/>
              </w:rPr>
            </w:pPr>
            <w:r>
              <w:rPr>
                <w:sz w:val="20"/>
              </w:rPr>
              <w:t>Sample(adjusted):</w:t>
            </w:r>
            <w:r>
              <w:rPr>
                <w:spacing w:val="-9"/>
                <w:sz w:val="20"/>
              </w:rPr>
              <w:t> </w:t>
            </w:r>
            <w:r>
              <w:rPr>
                <w:sz w:val="20"/>
              </w:rPr>
              <w:t>1972</w:t>
            </w:r>
            <w:r>
              <w:rPr>
                <w:spacing w:val="-9"/>
                <w:sz w:val="20"/>
              </w:rPr>
              <w:t> </w:t>
            </w:r>
            <w:r>
              <w:rPr>
                <w:spacing w:val="-4"/>
                <w:sz w:val="20"/>
              </w:rPr>
              <w:t>2011</w:t>
            </w:r>
          </w:p>
        </w:tc>
      </w:tr>
      <w:tr>
        <w:trPr>
          <w:trHeight w:val="224" w:hRule="atLeast"/>
        </w:trPr>
        <w:tc>
          <w:tcPr>
            <w:tcW w:w="6486" w:type="dxa"/>
            <w:gridSpan w:val="5"/>
            <w:tcBorders>
              <w:bottom w:val="double" w:sz="6" w:space="0" w:color="000000"/>
            </w:tcBorders>
          </w:tcPr>
          <w:p>
            <w:pPr>
              <w:pStyle w:val="TableParagraph"/>
              <w:spacing w:line="205" w:lineRule="exact"/>
              <w:ind w:left="36"/>
              <w:rPr>
                <w:sz w:val="20"/>
              </w:rPr>
            </w:pPr>
            <w:r>
              <w:rPr>
                <w:sz w:val="20"/>
              </w:rPr>
              <w:t>Included</w:t>
            </w:r>
            <w:r>
              <w:rPr>
                <w:spacing w:val="-6"/>
                <w:sz w:val="20"/>
              </w:rPr>
              <w:t> </w:t>
            </w:r>
            <w:r>
              <w:rPr>
                <w:sz w:val="20"/>
              </w:rPr>
              <w:t>observations:</w:t>
            </w:r>
            <w:r>
              <w:rPr>
                <w:spacing w:val="-8"/>
                <w:sz w:val="20"/>
              </w:rPr>
              <w:t> </w:t>
            </w:r>
            <w:r>
              <w:rPr>
                <w:sz w:val="20"/>
              </w:rPr>
              <w:t>40</w:t>
            </w:r>
            <w:r>
              <w:rPr>
                <w:spacing w:val="-5"/>
                <w:sz w:val="20"/>
              </w:rPr>
              <w:t> </w:t>
            </w:r>
            <w:r>
              <w:rPr>
                <w:sz w:val="20"/>
              </w:rPr>
              <w:t>after</w:t>
            </w:r>
            <w:r>
              <w:rPr>
                <w:spacing w:val="-7"/>
                <w:sz w:val="20"/>
              </w:rPr>
              <w:t> </w:t>
            </w:r>
            <w:r>
              <w:rPr>
                <w:sz w:val="20"/>
              </w:rPr>
              <w:t>adjusting</w:t>
            </w:r>
            <w:r>
              <w:rPr>
                <w:spacing w:val="-7"/>
                <w:sz w:val="20"/>
              </w:rPr>
              <w:t> </w:t>
            </w:r>
            <w:r>
              <w:rPr>
                <w:spacing w:val="-2"/>
                <w:sz w:val="20"/>
              </w:rPr>
              <w:t>endpoints</w:t>
            </w:r>
          </w:p>
        </w:tc>
      </w:tr>
      <w:tr>
        <w:trPr>
          <w:trHeight w:val="269" w:hRule="atLeast"/>
        </w:trPr>
        <w:tc>
          <w:tcPr>
            <w:tcW w:w="1847" w:type="dxa"/>
            <w:tcBorders>
              <w:top w:val="double" w:sz="6" w:space="0" w:color="000000"/>
              <w:bottom w:val="double" w:sz="6" w:space="0" w:color="000000"/>
            </w:tcBorders>
          </w:tcPr>
          <w:p>
            <w:pPr>
              <w:pStyle w:val="TableParagraph"/>
              <w:spacing w:line="209" w:lineRule="exact" w:before="40"/>
              <w:ind w:left="677"/>
              <w:rPr>
                <w:sz w:val="20"/>
              </w:rPr>
            </w:pPr>
            <w:r>
              <w:rPr>
                <w:spacing w:val="-2"/>
                <w:sz w:val="20"/>
              </w:rPr>
              <w:t>Variable</w:t>
            </w:r>
          </w:p>
        </w:tc>
        <w:tc>
          <w:tcPr>
            <w:tcW w:w="1375" w:type="dxa"/>
            <w:tcBorders>
              <w:top w:val="double" w:sz="6" w:space="0" w:color="000000"/>
              <w:bottom w:val="double" w:sz="6" w:space="0" w:color="000000"/>
            </w:tcBorders>
          </w:tcPr>
          <w:p>
            <w:pPr>
              <w:pStyle w:val="TableParagraph"/>
              <w:spacing w:line="209" w:lineRule="exact" w:before="40"/>
              <w:ind w:right="131"/>
              <w:jc w:val="right"/>
              <w:rPr>
                <w:sz w:val="20"/>
              </w:rPr>
            </w:pPr>
            <w:r>
              <w:rPr>
                <w:spacing w:val="-2"/>
                <w:sz w:val="20"/>
              </w:rPr>
              <w:t>Coefficient</w:t>
            </w:r>
          </w:p>
        </w:tc>
        <w:tc>
          <w:tcPr>
            <w:tcW w:w="1432" w:type="dxa"/>
            <w:tcBorders>
              <w:top w:val="double" w:sz="6" w:space="0" w:color="000000"/>
              <w:bottom w:val="double" w:sz="6" w:space="0" w:color="000000"/>
            </w:tcBorders>
          </w:tcPr>
          <w:p>
            <w:pPr>
              <w:pStyle w:val="TableParagraph"/>
              <w:spacing w:line="209" w:lineRule="exact" w:before="40"/>
              <w:ind w:left="273"/>
              <w:rPr>
                <w:sz w:val="20"/>
              </w:rPr>
            </w:pPr>
            <w:r>
              <w:rPr>
                <w:sz w:val="20"/>
              </w:rPr>
              <w:t>Std.</w:t>
            </w:r>
            <w:r>
              <w:rPr>
                <w:spacing w:val="-4"/>
                <w:sz w:val="20"/>
              </w:rPr>
              <w:t> </w:t>
            </w:r>
            <w:r>
              <w:rPr>
                <w:spacing w:val="-2"/>
                <w:sz w:val="20"/>
              </w:rPr>
              <w:t>Error</w:t>
            </w:r>
          </w:p>
        </w:tc>
        <w:tc>
          <w:tcPr>
            <w:tcW w:w="936" w:type="dxa"/>
            <w:tcBorders>
              <w:top w:val="double" w:sz="6" w:space="0" w:color="000000"/>
              <w:bottom w:val="double" w:sz="6" w:space="0" w:color="000000"/>
            </w:tcBorders>
          </w:tcPr>
          <w:p>
            <w:pPr>
              <w:pStyle w:val="TableParagraph"/>
              <w:spacing w:line="209" w:lineRule="exact" w:before="40"/>
              <w:ind w:right="112"/>
              <w:jc w:val="right"/>
              <w:rPr>
                <w:sz w:val="20"/>
              </w:rPr>
            </w:pPr>
            <w:r>
              <w:rPr>
                <w:spacing w:val="-4"/>
                <w:sz w:val="20"/>
              </w:rPr>
              <w:t>t-</w:t>
            </w:r>
            <w:r>
              <w:rPr>
                <w:spacing w:val="-2"/>
                <w:sz w:val="20"/>
              </w:rPr>
              <w:t>Statistic</w:t>
            </w:r>
          </w:p>
        </w:tc>
        <w:tc>
          <w:tcPr>
            <w:tcW w:w="896" w:type="dxa"/>
            <w:tcBorders>
              <w:top w:val="double" w:sz="6" w:space="0" w:color="000000"/>
              <w:bottom w:val="double" w:sz="6" w:space="0" w:color="000000"/>
            </w:tcBorders>
          </w:tcPr>
          <w:p>
            <w:pPr>
              <w:pStyle w:val="TableParagraph"/>
              <w:spacing w:line="209" w:lineRule="exact" w:before="40"/>
              <w:ind w:right="27"/>
              <w:jc w:val="right"/>
              <w:rPr>
                <w:sz w:val="20"/>
              </w:rPr>
            </w:pPr>
            <w:r>
              <w:rPr>
                <w:spacing w:val="-2"/>
                <w:sz w:val="20"/>
              </w:rPr>
              <w:t>Prob.</w:t>
            </w:r>
          </w:p>
        </w:tc>
      </w:tr>
      <w:tr>
        <w:trPr>
          <w:trHeight w:val="276" w:hRule="atLeast"/>
        </w:trPr>
        <w:tc>
          <w:tcPr>
            <w:tcW w:w="1847" w:type="dxa"/>
            <w:tcBorders>
              <w:top w:val="double" w:sz="6" w:space="0" w:color="000000"/>
            </w:tcBorders>
          </w:tcPr>
          <w:p>
            <w:pPr>
              <w:pStyle w:val="TableParagraph"/>
              <w:spacing w:line="214" w:lineRule="exact" w:before="42"/>
              <w:ind w:left="655"/>
              <w:rPr>
                <w:sz w:val="20"/>
              </w:rPr>
            </w:pPr>
            <w:r>
              <w:rPr>
                <w:spacing w:val="-2"/>
                <w:sz w:val="20"/>
              </w:rPr>
              <w:t>ECM(-</w:t>
            </w:r>
            <w:r>
              <w:rPr>
                <w:spacing w:val="-5"/>
                <w:sz w:val="20"/>
              </w:rPr>
              <w:t>1)</w:t>
            </w:r>
          </w:p>
        </w:tc>
        <w:tc>
          <w:tcPr>
            <w:tcW w:w="1375" w:type="dxa"/>
            <w:tcBorders>
              <w:top w:val="double" w:sz="6" w:space="0" w:color="000000"/>
            </w:tcBorders>
          </w:tcPr>
          <w:p>
            <w:pPr>
              <w:pStyle w:val="TableParagraph"/>
              <w:spacing w:line="214" w:lineRule="exact" w:before="42"/>
              <w:ind w:right="128"/>
              <w:jc w:val="right"/>
              <w:rPr>
                <w:sz w:val="20"/>
              </w:rPr>
            </w:pPr>
            <w:r>
              <w:rPr>
                <w:spacing w:val="-4"/>
                <w:sz w:val="20"/>
              </w:rPr>
              <w:t>-</w:t>
            </w:r>
            <w:r>
              <w:rPr>
                <w:spacing w:val="-2"/>
                <w:sz w:val="20"/>
              </w:rPr>
              <w:t>0.901228</w:t>
            </w:r>
          </w:p>
        </w:tc>
        <w:tc>
          <w:tcPr>
            <w:tcW w:w="1432" w:type="dxa"/>
            <w:tcBorders>
              <w:top w:val="double" w:sz="6" w:space="0" w:color="000000"/>
            </w:tcBorders>
          </w:tcPr>
          <w:p>
            <w:pPr>
              <w:pStyle w:val="TableParagraph"/>
              <w:spacing w:line="214" w:lineRule="exact" w:before="42"/>
              <w:ind w:left="311"/>
              <w:rPr>
                <w:sz w:val="20"/>
              </w:rPr>
            </w:pPr>
            <w:r>
              <w:rPr>
                <w:spacing w:val="-2"/>
                <w:sz w:val="20"/>
              </w:rPr>
              <w:t>0.222740</w:t>
            </w:r>
          </w:p>
        </w:tc>
        <w:tc>
          <w:tcPr>
            <w:tcW w:w="936" w:type="dxa"/>
            <w:tcBorders>
              <w:top w:val="double" w:sz="6" w:space="0" w:color="000000"/>
            </w:tcBorders>
          </w:tcPr>
          <w:p>
            <w:pPr>
              <w:pStyle w:val="TableParagraph"/>
              <w:spacing w:line="214" w:lineRule="exact" w:before="42"/>
              <w:ind w:right="110"/>
              <w:jc w:val="right"/>
              <w:rPr>
                <w:sz w:val="20"/>
              </w:rPr>
            </w:pPr>
            <w:r>
              <w:rPr>
                <w:spacing w:val="-4"/>
                <w:sz w:val="20"/>
              </w:rPr>
              <w:t>-</w:t>
            </w:r>
            <w:r>
              <w:rPr>
                <w:spacing w:val="-2"/>
                <w:sz w:val="20"/>
              </w:rPr>
              <w:t>4.046095</w:t>
            </w:r>
          </w:p>
        </w:tc>
        <w:tc>
          <w:tcPr>
            <w:tcW w:w="896" w:type="dxa"/>
            <w:tcBorders>
              <w:top w:val="double" w:sz="6" w:space="0" w:color="000000"/>
            </w:tcBorders>
          </w:tcPr>
          <w:p>
            <w:pPr>
              <w:pStyle w:val="TableParagraph"/>
              <w:spacing w:line="214" w:lineRule="exact" w:before="42"/>
              <w:ind w:right="26"/>
              <w:jc w:val="right"/>
              <w:rPr>
                <w:sz w:val="20"/>
              </w:rPr>
            </w:pPr>
            <w:r>
              <w:rPr>
                <w:spacing w:val="-2"/>
                <w:sz w:val="20"/>
              </w:rPr>
              <w:t>0.0003</w:t>
            </w:r>
          </w:p>
        </w:tc>
      </w:tr>
      <w:tr>
        <w:trPr>
          <w:trHeight w:val="229" w:hRule="atLeast"/>
        </w:trPr>
        <w:tc>
          <w:tcPr>
            <w:tcW w:w="1847" w:type="dxa"/>
          </w:tcPr>
          <w:p>
            <w:pPr>
              <w:pStyle w:val="TableParagraph"/>
              <w:spacing w:line="209" w:lineRule="exact"/>
              <w:ind w:left="516"/>
              <w:rPr>
                <w:sz w:val="20"/>
              </w:rPr>
            </w:pPr>
            <w:r>
              <w:rPr>
                <w:spacing w:val="-2"/>
                <w:sz w:val="20"/>
              </w:rPr>
              <w:t>D(ECM(-</w:t>
            </w:r>
            <w:r>
              <w:rPr>
                <w:spacing w:val="-5"/>
                <w:sz w:val="20"/>
              </w:rPr>
              <w:t>1))</w:t>
            </w:r>
          </w:p>
        </w:tc>
        <w:tc>
          <w:tcPr>
            <w:tcW w:w="1375" w:type="dxa"/>
          </w:tcPr>
          <w:p>
            <w:pPr>
              <w:pStyle w:val="TableParagraph"/>
              <w:spacing w:line="209" w:lineRule="exact"/>
              <w:ind w:right="128"/>
              <w:jc w:val="right"/>
              <w:rPr>
                <w:sz w:val="20"/>
              </w:rPr>
            </w:pPr>
            <w:r>
              <w:rPr>
                <w:spacing w:val="-2"/>
                <w:sz w:val="20"/>
              </w:rPr>
              <w:t>0.038219</w:t>
            </w:r>
          </w:p>
        </w:tc>
        <w:tc>
          <w:tcPr>
            <w:tcW w:w="1432" w:type="dxa"/>
          </w:tcPr>
          <w:p>
            <w:pPr>
              <w:pStyle w:val="TableParagraph"/>
              <w:spacing w:line="209" w:lineRule="exact"/>
              <w:ind w:left="311"/>
              <w:rPr>
                <w:sz w:val="20"/>
              </w:rPr>
            </w:pPr>
            <w:r>
              <w:rPr>
                <w:spacing w:val="-2"/>
                <w:sz w:val="20"/>
              </w:rPr>
              <w:t>0.168739</w:t>
            </w:r>
          </w:p>
        </w:tc>
        <w:tc>
          <w:tcPr>
            <w:tcW w:w="936" w:type="dxa"/>
          </w:tcPr>
          <w:p>
            <w:pPr>
              <w:pStyle w:val="TableParagraph"/>
              <w:spacing w:line="209" w:lineRule="exact"/>
              <w:ind w:right="110"/>
              <w:jc w:val="right"/>
              <w:rPr>
                <w:sz w:val="20"/>
              </w:rPr>
            </w:pPr>
            <w:r>
              <w:rPr>
                <w:spacing w:val="-2"/>
                <w:sz w:val="20"/>
              </w:rPr>
              <w:t>0.226500</w:t>
            </w:r>
          </w:p>
        </w:tc>
        <w:tc>
          <w:tcPr>
            <w:tcW w:w="896" w:type="dxa"/>
          </w:tcPr>
          <w:p>
            <w:pPr>
              <w:pStyle w:val="TableParagraph"/>
              <w:spacing w:line="209" w:lineRule="exact"/>
              <w:ind w:right="26"/>
              <w:jc w:val="right"/>
              <w:rPr>
                <w:sz w:val="20"/>
              </w:rPr>
            </w:pPr>
            <w:r>
              <w:rPr>
                <w:spacing w:val="-2"/>
                <w:sz w:val="20"/>
              </w:rPr>
              <w:t>0.8221</w:t>
            </w:r>
          </w:p>
        </w:tc>
      </w:tr>
      <w:tr>
        <w:trPr>
          <w:trHeight w:val="224" w:hRule="atLeast"/>
        </w:trPr>
        <w:tc>
          <w:tcPr>
            <w:tcW w:w="1847" w:type="dxa"/>
            <w:tcBorders>
              <w:bottom w:val="double" w:sz="6" w:space="0" w:color="000000"/>
            </w:tcBorders>
          </w:tcPr>
          <w:p>
            <w:pPr>
              <w:pStyle w:val="TableParagraph"/>
              <w:spacing w:line="205" w:lineRule="exact"/>
              <w:ind w:left="197"/>
              <w:jc w:val="center"/>
              <w:rPr>
                <w:sz w:val="20"/>
              </w:rPr>
            </w:pPr>
            <w:r>
              <w:rPr>
                <w:spacing w:val="-10"/>
                <w:sz w:val="20"/>
              </w:rPr>
              <w:t>C</w:t>
            </w:r>
          </w:p>
        </w:tc>
        <w:tc>
          <w:tcPr>
            <w:tcW w:w="1375" w:type="dxa"/>
            <w:tcBorders>
              <w:bottom w:val="double" w:sz="6" w:space="0" w:color="000000"/>
            </w:tcBorders>
          </w:tcPr>
          <w:p>
            <w:pPr>
              <w:pStyle w:val="TableParagraph"/>
              <w:spacing w:line="205" w:lineRule="exact"/>
              <w:ind w:right="128"/>
              <w:jc w:val="right"/>
              <w:rPr>
                <w:sz w:val="20"/>
              </w:rPr>
            </w:pPr>
            <w:r>
              <w:rPr>
                <w:spacing w:val="-4"/>
                <w:sz w:val="20"/>
              </w:rPr>
              <w:t>-</w:t>
            </w:r>
            <w:r>
              <w:rPr>
                <w:spacing w:val="-2"/>
                <w:sz w:val="20"/>
              </w:rPr>
              <w:t>0.033336</w:t>
            </w:r>
          </w:p>
        </w:tc>
        <w:tc>
          <w:tcPr>
            <w:tcW w:w="1432" w:type="dxa"/>
            <w:tcBorders>
              <w:bottom w:val="double" w:sz="6" w:space="0" w:color="000000"/>
            </w:tcBorders>
          </w:tcPr>
          <w:p>
            <w:pPr>
              <w:pStyle w:val="TableParagraph"/>
              <w:spacing w:line="205" w:lineRule="exact"/>
              <w:ind w:left="311"/>
              <w:rPr>
                <w:sz w:val="20"/>
              </w:rPr>
            </w:pPr>
            <w:r>
              <w:rPr>
                <w:spacing w:val="-2"/>
                <w:sz w:val="20"/>
              </w:rPr>
              <w:t>0.096873</w:t>
            </w:r>
          </w:p>
        </w:tc>
        <w:tc>
          <w:tcPr>
            <w:tcW w:w="936" w:type="dxa"/>
            <w:tcBorders>
              <w:bottom w:val="double" w:sz="6" w:space="0" w:color="000000"/>
            </w:tcBorders>
          </w:tcPr>
          <w:p>
            <w:pPr>
              <w:pStyle w:val="TableParagraph"/>
              <w:spacing w:line="205" w:lineRule="exact"/>
              <w:ind w:right="110"/>
              <w:jc w:val="right"/>
              <w:rPr>
                <w:sz w:val="20"/>
              </w:rPr>
            </w:pPr>
            <w:r>
              <w:rPr>
                <w:spacing w:val="-4"/>
                <w:sz w:val="20"/>
              </w:rPr>
              <w:t>-</w:t>
            </w:r>
            <w:r>
              <w:rPr>
                <w:spacing w:val="-2"/>
                <w:sz w:val="20"/>
              </w:rPr>
              <w:t>0.344121</w:t>
            </w:r>
          </w:p>
        </w:tc>
        <w:tc>
          <w:tcPr>
            <w:tcW w:w="896" w:type="dxa"/>
            <w:tcBorders>
              <w:bottom w:val="double" w:sz="6" w:space="0" w:color="000000"/>
            </w:tcBorders>
          </w:tcPr>
          <w:p>
            <w:pPr>
              <w:pStyle w:val="TableParagraph"/>
              <w:spacing w:line="205" w:lineRule="exact"/>
              <w:ind w:right="26"/>
              <w:jc w:val="right"/>
              <w:rPr>
                <w:sz w:val="20"/>
              </w:rPr>
            </w:pPr>
            <w:r>
              <w:rPr>
                <w:spacing w:val="-2"/>
                <w:sz w:val="20"/>
              </w:rPr>
              <w:t>0.7327</w:t>
            </w:r>
          </w:p>
        </w:tc>
      </w:tr>
      <w:tr>
        <w:trPr>
          <w:trHeight w:val="276" w:hRule="atLeast"/>
        </w:trPr>
        <w:tc>
          <w:tcPr>
            <w:tcW w:w="1847" w:type="dxa"/>
            <w:tcBorders>
              <w:top w:val="double" w:sz="6" w:space="0" w:color="000000"/>
            </w:tcBorders>
          </w:tcPr>
          <w:p>
            <w:pPr>
              <w:pStyle w:val="TableParagraph"/>
              <w:spacing w:line="214" w:lineRule="exact" w:before="42"/>
              <w:ind w:left="36"/>
              <w:rPr>
                <w:sz w:val="20"/>
              </w:rPr>
            </w:pPr>
            <w:r>
              <w:rPr>
                <w:spacing w:val="-2"/>
                <w:sz w:val="20"/>
              </w:rPr>
              <w:t>R-squared</w:t>
            </w:r>
          </w:p>
        </w:tc>
        <w:tc>
          <w:tcPr>
            <w:tcW w:w="1375" w:type="dxa"/>
            <w:tcBorders>
              <w:top w:val="double" w:sz="6" w:space="0" w:color="000000"/>
            </w:tcBorders>
          </w:tcPr>
          <w:p>
            <w:pPr>
              <w:pStyle w:val="TableParagraph"/>
              <w:spacing w:line="214" w:lineRule="exact" w:before="42"/>
              <w:ind w:right="128"/>
              <w:jc w:val="right"/>
              <w:rPr>
                <w:sz w:val="20"/>
              </w:rPr>
            </w:pPr>
            <w:r>
              <w:rPr>
                <w:spacing w:val="-2"/>
                <w:sz w:val="20"/>
              </w:rPr>
              <w:t>0.431039</w:t>
            </w:r>
          </w:p>
        </w:tc>
        <w:tc>
          <w:tcPr>
            <w:tcW w:w="2368" w:type="dxa"/>
            <w:gridSpan w:val="2"/>
            <w:tcBorders>
              <w:top w:val="double" w:sz="6" w:space="0" w:color="000000"/>
            </w:tcBorders>
          </w:tcPr>
          <w:p>
            <w:pPr>
              <w:pStyle w:val="TableParagraph"/>
              <w:spacing w:line="214" w:lineRule="exact" w:before="42"/>
              <w:ind w:left="131"/>
              <w:rPr>
                <w:sz w:val="20"/>
              </w:rPr>
            </w:pPr>
            <w:r>
              <w:rPr>
                <w:sz w:val="20"/>
              </w:rPr>
              <w:t>Mean</w:t>
            </w:r>
            <w:r>
              <w:rPr>
                <w:spacing w:val="-7"/>
                <w:sz w:val="20"/>
              </w:rPr>
              <w:t> </w:t>
            </w:r>
            <w:r>
              <w:rPr>
                <w:sz w:val="20"/>
              </w:rPr>
              <w:t>dependent</w:t>
            </w:r>
            <w:r>
              <w:rPr>
                <w:spacing w:val="-7"/>
                <w:sz w:val="20"/>
              </w:rPr>
              <w:t> </w:t>
            </w:r>
            <w:r>
              <w:rPr>
                <w:spacing w:val="-5"/>
                <w:sz w:val="20"/>
              </w:rPr>
              <w:t>var</w:t>
            </w:r>
          </w:p>
        </w:tc>
        <w:tc>
          <w:tcPr>
            <w:tcW w:w="896" w:type="dxa"/>
            <w:tcBorders>
              <w:top w:val="double" w:sz="6" w:space="0" w:color="000000"/>
            </w:tcBorders>
          </w:tcPr>
          <w:p>
            <w:pPr>
              <w:pStyle w:val="TableParagraph"/>
              <w:spacing w:line="214" w:lineRule="exact" w:before="42"/>
              <w:ind w:right="26"/>
              <w:jc w:val="right"/>
              <w:rPr>
                <w:sz w:val="20"/>
              </w:rPr>
            </w:pPr>
            <w:r>
              <w:rPr>
                <w:spacing w:val="-2"/>
                <w:sz w:val="20"/>
              </w:rPr>
              <w:t>0.002837</w:t>
            </w:r>
          </w:p>
        </w:tc>
      </w:tr>
      <w:tr>
        <w:trPr>
          <w:trHeight w:val="229" w:hRule="atLeast"/>
        </w:trPr>
        <w:tc>
          <w:tcPr>
            <w:tcW w:w="1847" w:type="dxa"/>
          </w:tcPr>
          <w:p>
            <w:pPr>
              <w:pStyle w:val="TableParagraph"/>
              <w:spacing w:line="209" w:lineRule="exact"/>
              <w:ind w:left="36"/>
              <w:rPr>
                <w:sz w:val="20"/>
              </w:rPr>
            </w:pPr>
            <w:r>
              <w:rPr>
                <w:sz w:val="20"/>
              </w:rPr>
              <w:t>Adjusted</w:t>
            </w:r>
            <w:r>
              <w:rPr>
                <w:spacing w:val="-10"/>
                <w:sz w:val="20"/>
              </w:rPr>
              <w:t> </w:t>
            </w:r>
            <w:r>
              <w:rPr>
                <w:sz w:val="20"/>
              </w:rPr>
              <w:t>R-</w:t>
            </w:r>
            <w:r>
              <w:rPr>
                <w:spacing w:val="-2"/>
                <w:sz w:val="20"/>
              </w:rPr>
              <w:t>squared</w:t>
            </w:r>
          </w:p>
        </w:tc>
        <w:tc>
          <w:tcPr>
            <w:tcW w:w="1375" w:type="dxa"/>
          </w:tcPr>
          <w:p>
            <w:pPr>
              <w:pStyle w:val="TableParagraph"/>
              <w:spacing w:line="209" w:lineRule="exact"/>
              <w:ind w:right="128"/>
              <w:jc w:val="right"/>
              <w:rPr>
                <w:sz w:val="20"/>
              </w:rPr>
            </w:pPr>
            <w:r>
              <w:rPr>
                <w:spacing w:val="-2"/>
                <w:sz w:val="20"/>
              </w:rPr>
              <w:t>0.400284</w:t>
            </w:r>
          </w:p>
        </w:tc>
        <w:tc>
          <w:tcPr>
            <w:tcW w:w="2368" w:type="dxa"/>
            <w:gridSpan w:val="2"/>
          </w:tcPr>
          <w:p>
            <w:pPr>
              <w:pStyle w:val="TableParagraph"/>
              <w:spacing w:line="209" w:lineRule="exact"/>
              <w:ind w:left="131"/>
              <w:rPr>
                <w:sz w:val="20"/>
              </w:rPr>
            </w:pPr>
            <w:r>
              <w:rPr>
                <w:sz w:val="20"/>
              </w:rPr>
              <w:t>S.D.</w:t>
            </w:r>
            <w:r>
              <w:rPr>
                <w:spacing w:val="-5"/>
                <w:sz w:val="20"/>
              </w:rPr>
              <w:t> </w:t>
            </w:r>
            <w:r>
              <w:rPr>
                <w:sz w:val="20"/>
              </w:rPr>
              <w:t>dependent</w:t>
            </w:r>
            <w:r>
              <w:rPr>
                <w:spacing w:val="-6"/>
                <w:sz w:val="20"/>
              </w:rPr>
              <w:t> </w:t>
            </w:r>
            <w:r>
              <w:rPr>
                <w:spacing w:val="-5"/>
                <w:sz w:val="20"/>
              </w:rPr>
              <w:t>var</w:t>
            </w:r>
          </w:p>
        </w:tc>
        <w:tc>
          <w:tcPr>
            <w:tcW w:w="896" w:type="dxa"/>
          </w:tcPr>
          <w:p>
            <w:pPr>
              <w:pStyle w:val="TableParagraph"/>
              <w:spacing w:line="209" w:lineRule="exact"/>
              <w:ind w:right="26"/>
              <w:jc w:val="right"/>
              <w:rPr>
                <w:sz w:val="20"/>
              </w:rPr>
            </w:pPr>
            <w:r>
              <w:rPr>
                <w:spacing w:val="-2"/>
                <w:sz w:val="20"/>
              </w:rPr>
              <w:t>0.787071</w:t>
            </w:r>
          </w:p>
        </w:tc>
      </w:tr>
      <w:tr>
        <w:trPr>
          <w:trHeight w:val="230" w:hRule="atLeast"/>
        </w:trPr>
        <w:tc>
          <w:tcPr>
            <w:tcW w:w="1847" w:type="dxa"/>
          </w:tcPr>
          <w:p>
            <w:pPr>
              <w:pStyle w:val="TableParagraph"/>
              <w:spacing w:line="210" w:lineRule="exact"/>
              <w:ind w:left="36"/>
              <w:rPr>
                <w:sz w:val="20"/>
              </w:rPr>
            </w:pPr>
            <w:r>
              <w:rPr>
                <w:sz w:val="20"/>
              </w:rPr>
              <w:t>S.E.</w:t>
            </w:r>
            <w:r>
              <w:rPr>
                <w:spacing w:val="-3"/>
                <w:sz w:val="20"/>
              </w:rPr>
              <w:t> </w:t>
            </w:r>
            <w:r>
              <w:rPr>
                <w:sz w:val="20"/>
              </w:rPr>
              <w:t>of</w:t>
            </w:r>
            <w:r>
              <w:rPr>
                <w:spacing w:val="-3"/>
                <w:sz w:val="20"/>
              </w:rPr>
              <w:t> </w:t>
            </w:r>
            <w:r>
              <w:rPr>
                <w:spacing w:val="-2"/>
                <w:sz w:val="20"/>
              </w:rPr>
              <w:t>regression</w:t>
            </w:r>
          </w:p>
        </w:tc>
        <w:tc>
          <w:tcPr>
            <w:tcW w:w="1375" w:type="dxa"/>
          </w:tcPr>
          <w:p>
            <w:pPr>
              <w:pStyle w:val="TableParagraph"/>
              <w:spacing w:line="210" w:lineRule="exact"/>
              <w:ind w:right="128"/>
              <w:jc w:val="right"/>
              <w:rPr>
                <w:sz w:val="20"/>
              </w:rPr>
            </w:pPr>
            <w:r>
              <w:rPr>
                <w:spacing w:val="-2"/>
                <w:sz w:val="20"/>
              </w:rPr>
              <w:t>0.609518</w:t>
            </w:r>
          </w:p>
        </w:tc>
        <w:tc>
          <w:tcPr>
            <w:tcW w:w="2368" w:type="dxa"/>
            <w:gridSpan w:val="2"/>
          </w:tcPr>
          <w:p>
            <w:pPr>
              <w:pStyle w:val="TableParagraph"/>
              <w:spacing w:line="210" w:lineRule="exact"/>
              <w:ind w:left="131"/>
              <w:rPr>
                <w:sz w:val="20"/>
              </w:rPr>
            </w:pPr>
            <w:r>
              <w:rPr>
                <w:sz w:val="20"/>
              </w:rPr>
              <w:t>Akaike</w:t>
            </w:r>
            <w:r>
              <w:rPr>
                <w:spacing w:val="-8"/>
                <w:sz w:val="20"/>
              </w:rPr>
              <w:t> </w:t>
            </w:r>
            <w:r>
              <w:rPr>
                <w:sz w:val="20"/>
              </w:rPr>
              <w:t>info</w:t>
            </w:r>
            <w:r>
              <w:rPr>
                <w:spacing w:val="-7"/>
                <w:sz w:val="20"/>
              </w:rPr>
              <w:t> </w:t>
            </w:r>
            <w:r>
              <w:rPr>
                <w:spacing w:val="-2"/>
                <w:sz w:val="20"/>
              </w:rPr>
              <w:t>criterion</w:t>
            </w:r>
          </w:p>
        </w:tc>
        <w:tc>
          <w:tcPr>
            <w:tcW w:w="896" w:type="dxa"/>
          </w:tcPr>
          <w:p>
            <w:pPr>
              <w:pStyle w:val="TableParagraph"/>
              <w:spacing w:line="210" w:lineRule="exact"/>
              <w:ind w:right="26"/>
              <w:jc w:val="right"/>
              <w:rPr>
                <w:sz w:val="20"/>
              </w:rPr>
            </w:pPr>
            <w:r>
              <w:rPr>
                <w:spacing w:val="-2"/>
                <w:sz w:val="20"/>
              </w:rPr>
              <w:t>1.919743</w:t>
            </w:r>
          </w:p>
        </w:tc>
      </w:tr>
      <w:tr>
        <w:trPr>
          <w:trHeight w:val="230" w:hRule="atLeast"/>
        </w:trPr>
        <w:tc>
          <w:tcPr>
            <w:tcW w:w="1847" w:type="dxa"/>
          </w:tcPr>
          <w:p>
            <w:pPr>
              <w:pStyle w:val="TableParagraph"/>
              <w:spacing w:line="210" w:lineRule="exact"/>
              <w:ind w:left="36"/>
              <w:rPr>
                <w:sz w:val="20"/>
              </w:rPr>
            </w:pPr>
            <w:r>
              <w:rPr>
                <w:sz w:val="20"/>
              </w:rPr>
              <w:t>Sum</w:t>
            </w:r>
            <w:r>
              <w:rPr>
                <w:spacing w:val="-8"/>
                <w:sz w:val="20"/>
              </w:rPr>
              <w:t> </w:t>
            </w:r>
            <w:r>
              <w:rPr>
                <w:sz w:val="20"/>
              </w:rPr>
              <w:t>squared</w:t>
            </w:r>
            <w:r>
              <w:rPr>
                <w:spacing w:val="-4"/>
                <w:sz w:val="20"/>
              </w:rPr>
              <w:t> </w:t>
            </w:r>
            <w:r>
              <w:rPr>
                <w:spacing w:val="-2"/>
                <w:sz w:val="20"/>
              </w:rPr>
              <w:t>resid</w:t>
            </w:r>
          </w:p>
        </w:tc>
        <w:tc>
          <w:tcPr>
            <w:tcW w:w="1375" w:type="dxa"/>
          </w:tcPr>
          <w:p>
            <w:pPr>
              <w:pStyle w:val="TableParagraph"/>
              <w:spacing w:line="210" w:lineRule="exact"/>
              <w:ind w:right="128"/>
              <w:jc w:val="right"/>
              <w:rPr>
                <w:sz w:val="20"/>
              </w:rPr>
            </w:pPr>
            <w:r>
              <w:rPr>
                <w:spacing w:val="-2"/>
                <w:sz w:val="20"/>
              </w:rPr>
              <w:t>13.74596</w:t>
            </w:r>
          </w:p>
        </w:tc>
        <w:tc>
          <w:tcPr>
            <w:tcW w:w="2368" w:type="dxa"/>
            <w:gridSpan w:val="2"/>
          </w:tcPr>
          <w:p>
            <w:pPr>
              <w:pStyle w:val="TableParagraph"/>
              <w:spacing w:line="210" w:lineRule="exact"/>
              <w:ind w:left="131"/>
              <w:rPr>
                <w:sz w:val="20"/>
              </w:rPr>
            </w:pPr>
            <w:r>
              <w:rPr>
                <w:sz w:val="20"/>
              </w:rPr>
              <w:t>Schwarz</w:t>
            </w:r>
            <w:r>
              <w:rPr>
                <w:spacing w:val="-8"/>
                <w:sz w:val="20"/>
              </w:rPr>
              <w:t> </w:t>
            </w:r>
            <w:r>
              <w:rPr>
                <w:spacing w:val="-2"/>
                <w:sz w:val="20"/>
              </w:rPr>
              <w:t>criterion</w:t>
            </w:r>
          </w:p>
        </w:tc>
        <w:tc>
          <w:tcPr>
            <w:tcW w:w="896" w:type="dxa"/>
          </w:tcPr>
          <w:p>
            <w:pPr>
              <w:pStyle w:val="TableParagraph"/>
              <w:spacing w:line="210" w:lineRule="exact"/>
              <w:ind w:right="26"/>
              <w:jc w:val="right"/>
              <w:rPr>
                <w:sz w:val="20"/>
              </w:rPr>
            </w:pPr>
            <w:r>
              <w:rPr>
                <w:spacing w:val="-2"/>
                <w:sz w:val="20"/>
              </w:rPr>
              <w:t>2.046409</w:t>
            </w:r>
          </w:p>
        </w:tc>
      </w:tr>
      <w:tr>
        <w:trPr>
          <w:trHeight w:val="230" w:hRule="atLeast"/>
        </w:trPr>
        <w:tc>
          <w:tcPr>
            <w:tcW w:w="1847" w:type="dxa"/>
          </w:tcPr>
          <w:p>
            <w:pPr>
              <w:pStyle w:val="TableParagraph"/>
              <w:spacing w:line="210" w:lineRule="exact"/>
              <w:ind w:left="36"/>
              <w:rPr>
                <w:sz w:val="20"/>
              </w:rPr>
            </w:pPr>
            <w:r>
              <w:rPr>
                <w:sz w:val="20"/>
              </w:rPr>
              <w:t>Log</w:t>
            </w:r>
            <w:r>
              <w:rPr>
                <w:spacing w:val="-6"/>
                <w:sz w:val="20"/>
              </w:rPr>
              <w:t> </w:t>
            </w:r>
            <w:r>
              <w:rPr>
                <w:spacing w:val="-2"/>
                <w:sz w:val="20"/>
              </w:rPr>
              <w:t>likelihood</w:t>
            </w:r>
          </w:p>
        </w:tc>
        <w:tc>
          <w:tcPr>
            <w:tcW w:w="1375" w:type="dxa"/>
          </w:tcPr>
          <w:p>
            <w:pPr>
              <w:pStyle w:val="TableParagraph"/>
              <w:spacing w:line="210" w:lineRule="exact"/>
              <w:ind w:right="128"/>
              <w:jc w:val="right"/>
              <w:rPr>
                <w:sz w:val="20"/>
              </w:rPr>
            </w:pPr>
            <w:r>
              <w:rPr>
                <w:spacing w:val="-4"/>
                <w:sz w:val="20"/>
              </w:rPr>
              <w:t>-</w:t>
            </w:r>
            <w:r>
              <w:rPr>
                <w:spacing w:val="-2"/>
                <w:sz w:val="20"/>
              </w:rPr>
              <w:t>35.39485</w:t>
            </w:r>
          </w:p>
        </w:tc>
        <w:tc>
          <w:tcPr>
            <w:tcW w:w="1432" w:type="dxa"/>
          </w:tcPr>
          <w:p>
            <w:pPr>
              <w:pStyle w:val="TableParagraph"/>
              <w:spacing w:line="210" w:lineRule="exact"/>
              <w:ind w:left="131"/>
              <w:rPr>
                <w:sz w:val="20"/>
              </w:rPr>
            </w:pPr>
            <w:r>
              <w:rPr>
                <w:spacing w:val="-4"/>
                <w:sz w:val="20"/>
              </w:rPr>
              <w:t>F-</w:t>
            </w:r>
            <w:r>
              <w:rPr>
                <w:spacing w:val="-2"/>
                <w:sz w:val="20"/>
              </w:rPr>
              <w:t>statistic</w:t>
            </w:r>
          </w:p>
        </w:tc>
        <w:tc>
          <w:tcPr>
            <w:tcW w:w="936" w:type="dxa"/>
          </w:tcPr>
          <w:p>
            <w:pPr>
              <w:pStyle w:val="TableParagraph"/>
              <w:rPr>
                <w:sz w:val="16"/>
              </w:rPr>
            </w:pPr>
          </w:p>
        </w:tc>
        <w:tc>
          <w:tcPr>
            <w:tcW w:w="896" w:type="dxa"/>
          </w:tcPr>
          <w:p>
            <w:pPr>
              <w:pStyle w:val="TableParagraph"/>
              <w:spacing w:line="210" w:lineRule="exact"/>
              <w:ind w:right="26"/>
              <w:jc w:val="right"/>
              <w:rPr>
                <w:sz w:val="20"/>
              </w:rPr>
            </w:pPr>
            <w:r>
              <w:rPr>
                <w:spacing w:val="-2"/>
                <w:sz w:val="20"/>
              </w:rPr>
              <w:t>14.01539</w:t>
            </w:r>
          </w:p>
        </w:tc>
      </w:tr>
      <w:tr>
        <w:trPr>
          <w:trHeight w:val="265" w:hRule="atLeast"/>
        </w:trPr>
        <w:tc>
          <w:tcPr>
            <w:tcW w:w="1847" w:type="dxa"/>
            <w:tcBorders>
              <w:bottom w:val="double" w:sz="6" w:space="0" w:color="000000"/>
            </w:tcBorders>
          </w:tcPr>
          <w:p>
            <w:pPr>
              <w:pStyle w:val="TableParagraph"/>
              <w:spacing w:line="226" w:lineRule="exact"/>
              <w:ind w:left="36"/>
              <w:rPr>
                <w:sz w:val="20"/>
              </w:rPr>
            </w:pPr>
            <w:r>
              <w:rPr>
                <w:sz w:val="20"/>
              </w:rPr>
              <w:t>Durbin-Watson</w:t>
            </w:r>
            <w:r>
              <w:rPr>
                <w:spacing w:val="-12"/>
                <w:sz w:val="20"/>
              </w:rPr>
              <w:t> </w:t>
            </w:r>
            <w:r>
              <w:rPr>
                <w:spacing w:val="-4"/>
                <w:sz w:val="20"/>
              </w:rPr>
              <w:t>stat</w:t>
            </w:r>
          </w:p>
        </w:tc>
        <w:tc>
          <w:tcPr>
            <w:tcW w:w="1375" w:type="dxa"/>
          </w:tcPr>
          <w:p>
            <w:pPr>
              <w:pStyle w:val="TableParagraph"/>
              <w:spacing w:line="226" w:lineRule="exact"/>
              <w:ind w:right="128"/>
              <w:jc w:val="right"/>
              <w:rPr>
                <w:sz w:val="20"/>
              </w:rPr>
            </w:pPr>
            <w:r>
              <w:rPr>
                <w:spacing w:val="-2"/>
                <w:sz w:val="20"/>
              </w:rPr>
              <w:t>1.928114</w:t>
            </w:r>
          </w:p>
        </w:tc>
        <w:tc>
          <w:tcPr>
            <w:tcW w:w="1432" w:type="dxa"/>
            <w:tcBorders>
              <w:bottom w:val="double" w:sz="6" w:space="0" w:color="000000"/>
            </w:tcBorders>
          </w:tcPr>
          <w:p>
            <w:pPr>
              <w:pStyle w:val="TableParagraph"/>
              <w:spacing w:line="226" w:lineRule="exact"/>
              <w:ind w:left="131"/>
              <w:rPr>
                <w:sz w:val="20"/>
              </w:rPr>
            </w:pPr>
            <w:r>
              <w:rPr>
                <w:spacing w:val="-2"/>
                <w:sz w:val="20"/>
              </w:rPr>
              <w:t>Prob(F-statistic)</w:t>
            </w:r>
          </w:p>
        </w:tc>
        <w:tc>
          <w:tcPr>
            <w:tcW w:w="936" w:type="dxa"/>
            <w:tcBorders>
              <w:bottom w:val="single" w:sz="6" w:space="0" w:color="000000"/>
            </w:tcBorders>
          </w:tcPr>
          <w:p>
            <w:pPr>
              <w:pStyle w:val="TableParagraph"/>
              <w:rPr>
                <w:sz w:val="18"/>
              </w:rPr>
            </w:pPr>
          </w:p>
        </w:tc>
        <w:tc>
          <w:tcPr>
            <w:tcW w:w="896" w:type="dxa"/>
            <w:tcBorders>
              <w:bottom w:val="double" w:sz="6" w:space="0" w:color="000000"/>
            </w:tcBorders>
          </w:tcPr>
          <w:p>
            <w:pPr>
              <w:pStyle w:val="TableParagraph"/>
              <w:spacing w:line="226" w:lineRule="exact"/>
              <w:ind w:right="26"/>
              <w:jc w:val="right"/>
              <w:rPr>
                <w:sz w:val="20"/>
              </w:rPr>
            </w:pPr>
            <w:r>
              <w:rPr>
                <w:spacing w:val="-2"/>
                <w:sz w:val="20"/>
              </w:rPr>
              <w:t>0.000029</w:t>
            </w:r>
          </w:p>
        </w:tc>
      </w:tr>
    </w:tbl>
    <w:p>
      <w:pPr>
        <w:pStyle w:val="BodyText"/>
        <w:rPr>
          <w:sz w:val="20"/>
        </w:rPr>
      </w:pPr>
    </w:p>
    <w:p>
      <w:pPr>
        <w:pStyle w:val="BodyText"/>
        <w:rPr>
          <w:sz w:val="20"/>
        </w:rPr>
      </w:pPr>
    </w:p>
    <w:p>
      <w:pPr>
        <w:pStyle w:val="BodyText"/>
        <w:spacing w:before="14"/>
        <w:rPr>
          <w:sz w:val="20"/>
        </w:rPr>
      </w:pPr>
    </w:p>
    <w:p>
      <w:pPr>
        <w:spacing w:before="0" w:after="3"/>
        <w:ind w:left="1314" w:right="0" w:firstLine="0"/>
        <w:jc w:val="left"/>
        <w:rPr>
          <w:sz w:val="20"/>
        </w:rPr>
      </w:pPr>
      <w:r>
        <w:rPr>
          <w:sz w:val="20"/>
        </w:rPr>
        <w:t>OVER</w:t>
      </w:r>
      <w:r>
        <w:rPr>
          <w:spacing w:val="-8"/>
          <w:sz w:val="20"/>
        </w:rPr>
        <w:t> </w:t>
      </w:r>
      <w:r>
        <w:rPr>
          <w:sz w:val="20"/>
        </w:rPr>
        <w:t>PARAMETIZED</w:t>
      </w:r>
      <w:r>
        <w:rPr>
          <w:spacing w:val="-6"/>
          <w:sz w:val="20"/>
        </w:rPr>
        <w:t> </w:t>
      </w:r>
      <w:r>
        <w:rPr>
          <w:sz w:val="20"/>
        </w:rPr>
        <w:t>ECM</w:t>
      </w:r>
      <w:r>
        <w:rPr>
          <w:spacing w:val="-4"/>
          <w:sz w:val="20"/>
        </w:rPr>
        <w:t> </w:t>
      </w:r>
      <w:r>
        <w:rPr>
          <w:sz w:val="20"/>
        </w:rPr>
        <w:t>FOR</w:t>
      </w:r>
      <w:r>
        <w:rPr>
          <w:spacing w:val="-7"/>
          <w:sz w:val="20"/>
        </w:rPr>
        <w:t> </w:t>
      </w:r>
      <w:r>
        <w:rPr>
          <w:sz w:val="20"/>
        </w:rPr>
        <w:t>MODEL</w:t>
      </w:r>
      <w:r>
        <w:rPr>
          <w:spacing w:val="-8"/>
          <w:sz w:val="20"/>
        </w:rPr>
        <w:t> </w:t>
      </w:r>
      <w:r>
        <w:rPr>
          <w:spacing w:val="-5"/>
          <w:sz w:val="20"/>
        </w:rPr>
        <w:t>1A</w:t>
      </w:r>
    </w:p>
    <w:tbl>
      <w:tblPr>
        <w:tblW w:w="0" w:type="auto"/>
        <w:jc w:val="left"/>
        <w:tblInd w:w="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17"/>
        <w:gridCol w:w="1206"/>
        <w:gridCol w:w="1251"/>
        <w:gridCol w:w="1087"/>
        <w:gridCol w:w="930"/>
      </w:tblGrid>
      <w:tr>
        <w:trPr>
          <w:trHeight w:val="225" w:hRule="atLeast"/>
        </w:trPr>
        <w:tc>
          <w:tcPr>
            <w:tcW w:w="6491" w:type="dxa"/>
            <w:gridSpan w:val="5"/>
          </w:tcPr>
          <w:p>
            <w:pPr>
              <w:pStyle w:val="TableParagraph"/>
              <w:spacing w:line="205" w:lineRule="exact"/>
              <w:ind w:left="36"/>
              <w:rPr>
                <w:sz w:val="20"/>
              </w:rPr>
            </w:pPr>
            <w:r>
              <w:rPr>
                <w:sz w:val="20"/>
              </w:rPr>
              <w:t>Dependent</w:t>
            </w:r>
            <w:r>
              <w:rPr>
                <w:spacing w:val="-8"/>
                <w:sz w:val="20"/>
              </w:rPr>
              <w:t> </w:t>
            </w:r>
            <w:r>
              <w:rPr>
                <w:sz w:val="20"/>
              </w:rPr>
              <w:t>Variable:</w:t>
            </w:r>
            <w:r>
              <w:rPr>
                <w:spacing w:val="-8"/>
                <w:sz w:val="20"/>
              </w:rPr>
              <w:t> </w:t>
            </w:r>
            <w:r>
              <w:rPr>
                <w:spacing w:val="-2"/>
                <w:sz w:val="20"/>
              </w:rPr>
              <w:t>D(KFW,2)</w:t>
            </w:r>
          </w:p>
        </w:tc>
      </w:tr>
      <w:tr>
        <w:trPr>
          <w:trHeight w:val="230" w:hRule="atLeast"/>
        </w:trPr>
        <w:tc>
          <w:tcPr>
            <w:tcW w:w="2017" w:type="dxa"/>
          </w:tcPr>
          <w:p>
            <w:pPr>
              <w:pStyle w:val="TableParagraph"/>
              <w:spacing w:line="210" w:lineRule="exact"/>
              <w:ind w:left="36"/>
              <w:rPr>
                <w:sz w:val="20"/>
              </w:rPr>
            </w:pPr>
            <w:r>
              <w:rPr>
                <w:sz w:val="20"/>
              </w:rPr>
              <w:t>Method:</w:t>
            </w:r>
            <w:r>
              <w:rPr>
                <w:spacing w:val="-8"/>
                <w:sz w:val="20"/>
              </w:rPr>
              <w:t> </w:t>
            </w:r>
            <w:r>
              <w:rPr>
                <w:sz w:val="20"/>
              </w:rPr>
              <w:t>Least</w:t>
            </w:r>
            <w:r>
              <w:rPr>
                <w:spacing w:val="-7"/>
                <w:sz w:val="20"/>
              </w:rPr>
              <w:t> </w:t>
            </w:r>
            <w:r>
              <w:rPr>
                <w:spacing w:val="-2"/>
                <w:sz w:val="20"/>
              </w:rPr>
              <w:t>Squares</w:t>
            </w:r>
          </w:p>
        </w:tc>
        <w:tc>
          <w:tcPr>
            <w:tcW w:w="1206" w:type="dxa"/>
          </w:tcPr>
          <w:p>
            <w:pPr>
              <w:pStyle w:val="TableParagraph"/>
              <w:rPr>
                <w:sz w:val="16"/>
              </w:rPr>
            </w:pPr>
          </w:p>
        </w:tc>
        <w:tc>
          <w:tcPr>
            <w:tcW w:w="1251" w:type="dxa"/>
          </w:tcPr>
          <w:p>
            <w:pPr>
              <w:pStyle w:val="TableParagraph"/>
              <w:rPr>
                <w:sz w:val="16"/>
              </w:rPr>
            </w:pPr>
          </w:p>
        </w:tc>
        <w:tc>
          <w:tcPr>
            <w:tcW w:w="1087" w:type="dxa"/>
          </w:tcPr>
          <w:p>
            <w:pPr>
              <w:pStyle w:val="TableParagraph"/>
              <w:rPr>
                <w:sz w:val="16"/>
              </w:rPr>
            </w:pPr>
          </w:p>
        </w:tc>
        <w:tc>
          <w:tcPr>
            <w:tcW w:w="930" w:type="dxa"/>
          </w:tcPr>
          <w:p>
            <w:pPr>
              <w:pStyle w:val="TableParagraph"/>
              <w:rPr>
                <w:sz w:val="16"/>
              </w:rPr>
            </w:pPr>
          </w:p>
        </w:tc>
      </w:tr>
      <w:tr>
        <w:trPr>
          <w:trHeight w:val="230" w:hRule="atLeast"/>
        </w:trPr>
        <w:tc>
          <w:tcPr>
            <w:tcW w:w="6491" w:type="dxa"/>
            <w:gridSpan w:val="5"/>
          </w:tcPr>
          <w:p>
            <w:pPr>
              <w:pStyle w:val="TableParagraph"/>
              <w:spacing w:line="211" w:lineRule="exact"/>
              <w:ind w:left="36"/>
              <w:rPr>
                <w:sz w:val="20"/>
              </w:rPr>
            </w:pPr>
            <w:r>
              <w:rPr>
                <w:sz w:val="20"/>
              </w:rPr>
              <w:t>Date:</w:t>
            </w:r>
            <w:r>
              <w:rPr>
                <w:spacing w:val="-5"/>
                <w:sz w:val="20"/>
              </w:rPr>
              <w:t> </w:t>
            </w:r>
            <w:r>
              <w:rPr>
                <w:sz w:val="20"/>
              </w:rPr>
              <w:t>02/18/14</w:t>
            </w:r>
            <w:r>
              <w:rPr>
                <w:spacing w:val="63"/>
                <w:w w:val="150"/>
                <w:sz w:val="20"/>
              </w:rPr>
              <w:t> </w:t>
            </w:r>
            <w:r>
              <w:rPr>
                <w:sz w:val="20"/>
              </w:rPr>
              <w:t>Time:</w:t>
            </w:r>
            <w:r>
              <w:rPr>
                <w:spacing w:val="-3"/>
                <w:sz w:val="20"/>
              </w:rPr>
              <w:t> </w:t>
            </w:r>
            <w:r>
              <w:rPr>
                <w:spacing w:val="-2"/>
                <w:sz w:val="20"/>
              </w:rPr>
              <w:t>09:40</w:t>
            </w:r>
          </w:p>
        </w:tc>
      </w:tr>
      <w:tr>
        <w:trPr>
          <w:trHeight w:val="229" w:hRule="atLeast"/>
        </w:trPr>
        <w:tc>
          <w:tcPr>
            <w:tcW w:w="6491" w:type="dxa"/>
            <w:gridSpan w:val="5"/>
          </w:tcPr>
          <w:p>
            <w:pPr>
              <w:pStyle w:val="TableParagraph"/>
              <w:spacing w:line="209" w:lineRule="exact"/>
              <w:ind w:left="36"/>
              <w:rPr>
                <w:sz w:val="20"/>
              </w:rPr>
            </w:pPr>
            <w:r>
              <w:rPr>
                <w:sz w:val="20"/>
              </w:rPr>
              <w:t>Sample(adjusted):</w:t>
            </w:r>
            <w:r>
              <w:rPr>
                <w:spacing w:val="-9"/>
                <w:sz w:val="20"/>
              </w:rPr>
              <w:t> </w:t>
            </w:r>
            <w:r>
              <w:rPr>
                <w:sz w:val="20"/>
              </w:rPr>
              <w:t>1973</w:t>
            </w:r>
            <w:r>
              <w:rPr>
                <w:spacing w:val="-9"/>
                <w:sz w:val="20"/>
              </w:rPr>
              <w:t> </w:t>
            </w:r>
            <w:r>
              <w:rPr>
                <w:spacing w:val="-4"/>
                <w:sz w:val="20"/>
              </w:rPr>
              <w:t>2011</w:t>
            </w:r>
          </w:p>
        </w:tc>
      </w:tr>
      <w:tr>
        <w:trPr>
          <w:trHeight w:val="223" w:hRule="atLeast"/>
        </w:trPr>
        <w:tc>
          <w:tcPr>
            <w:tcW w:w="6491" w:type="dxa"/>
            <w:gridSpan w:val="5"/>
            <w:tcBorders>
              <w:bottom w:val="double" w:sz="6" w:space="0" w:color="000000"/>
            </w:tcBorders>
          </w:tcPr>
          <w:p>
            <w:pPr>
              <w:pStyle w:val="TableParagraph"/>
              <w:spacing w:line="204" w:lineRule="exact"/>
              <w:ind w:left="36"/>
              <w:rPr>
                <w:sz w:val="20"/>
              </w:rPr>
            </w:pPr>
            <w:r>
              <w:rPr>
                <w:sz w:val="20"/>
              </w:rPr>
              <w:t>Included</w:t>
            </w:r>
            <w:r>
              <w:rPr>
                <w:spacing w:val="-6"/>
                <w:sz w:val="20"/>
              </w:rPr>
              <w:t> </w:t>
            </w:r>
            <w:r>
              <w:rPr>
                <w:sz w:val="20"/>
              </w:rPr>
              <w:t>observations:</w:t>
            </w:r>
            <w:r>
              <w:rPr>
                <w:spacing w:val="-8"/>
                <w:sz w:val="20"/>
              </w:rPr>
              <w:t> </w:t>
            </w:r>
            <w:r>
              <w:rPr>
                <w:sz w:val="20"/>
              </w:rPr>
              <w:t>39</w:t>
            </w:r>
            <w:r>
              <w:rPr>
                <w:spacing w:val="-5"/>
                <w:sz w:val="20"/>
              </w:rPr>
              <w:t> </w:t>
            </w:r>
            <w:r>
              <w:rPr>
                <w:sz w:val="20"/>
              </w:rPr>
              <w:t>after</w:t>
            </w:r>
            <w:r>
              <w:rPr>
                <w:spacing w:val="-7"/>
                <w:sz w:val="20"/>
              </w:rPr>
              <w:t> </w:t>
            </w:r>
            <w:r>
              <w:rPr>
                <w:sz w:val="20"/>
              </w:rPr>
              <w:t>adjusting</w:t>
            </w:r>
            <w:r>
              <w:rPr>
                <w:spacing w:val="-7"/>
                <w:sz w:val="20"/>
              </w:rPr>
              <w:t> </w:t>
            </w:r>
            <w:r>
              <w:rPr>
                <w:spacing w:val="-2"/>
                <w:sz w:val="20"/>
              </w:rPr>
              <w:t>endpoints</w:t>
            </w:r>
          </w:p>
        </w:tc>
      </w:tr>
      <w:tr>
        <w:trPr>
          <w:trHeight w:val="271" w:hRule="atLeast"/>
        </w:trPr>
        <w:tc>
          <w:tcPr>
            <w:tcW w:w="2017" w:type="dxa"/>
            <w:tcBorders>
              <w:top w:val="double" w:sz="6" w:space="0" w:color="000000"/>
              <w:bottom w:val="double" w:sz="6" w:space="0" w:color="000000"/>
            </w:tcBorders>
          </w:tcPr>
          <w:p>
            <w:pPr>
              <w:pStyle w:val="TableParagraph"/>
              <w:spacing w:line="209" w:lineRule="exact" w:before="42"/>
              <w:ind w:left="677"/>
              <w:rPr>
                <w:sz w:val="20"/>
              </w:rPr>
            </w:pPr>
            <w:r>
              <w:rPr>
                <w:spacing w:val="-2"/>
                <w:sz w:val="20"/>
              </w:rPr>
              <w:t>Variable</w:t>
            </w:r>
          </w:p>
        </w:tc>
        <w:tc>
          <w:tcPr>
            <w:tcW w:w="1206" w:type="dxa"/>
            <w:tcBorders>
              <w:top w:val="double" w:sz="6" w:space="0" w:color="000000"/>
              <w:bottom w:val="double" w:sz="6" w:space="0" w:color="000000"/>
            </w:tcBorders>
          </w:tcPr>
          <w:p>
            <w:pPr>
              <w:pStyle w:val="TableParagraph"/>
              <w:spacing w:line="209" w:lineRule="exact" w:before="42"/>
              <w:ind w:left="127" w:right="87"/>
              <w:jc w:val="center"/>
              <w:rPr>
                <w:sz w:val="20"/>
              </w:rPr>
            </w:pPr>
            <w:r>
              <w:rPr>
                <w:spacing w:val="-2"/>
                <w:sz w:val="20"/>
              </w:rPr>
              <w:t>Coefficient</w:t>
            </w:r>
          </w:p>
        </w:tc>
        <w:tc>
          <w:tcPr>
            <w:tcW w:w="1251" w:type="dxa"/>
            <w:tcBorders>
              <w:top w:val="double" w:sz="6" w:space="0" w:color="000000"/>
              <w:bottom w:val="double" w:sz="6" w:space="0" w:color="000000"/>
            </w:tcBorders>
          </w:tcPr>
          <w:p>
            <w:pPr>
              <w:pStyle w:val="TableParagraph"/>
              <w:spacing w:line="209" w:lineRule="exact" w:before="42"/>
              <w:ind w:left="174" w:right="91"/>
              <w:jc w:val="center"/>
              <w:rPr>
                <w:sz w:val="20"/>
              </w:rPr>
            </w:pPr>
            <w:r>
              <w:rPr>
                <w:sz w:val="20"/>
              </w:rPr>
              <w:t>Std.</w:t>
            </w:r>
            <w:r>
              <w:rPr>
                <w:spacing w:val="-4"/>
                <w:sz w:val="20"/>
              </w:rPr>
              <w:t> </w:t>
            </w:r>
            <w:r>
              <w:rPr>
                <w:spacing w:val="-2"/>
                <w:sz w:val="20"/>
              </w:rPr>
              <w:t>Error</w:t>
            </w:r>
          </w:p>
        </w:tc>
        <w:tc>
          <w:tcPr>
            <w:tcW w:w="1087" w:type="dxa"/>
            <w:tcBorders>
              <w:top w:val="double" w:sz="6" w:space="0" w:color="000000"/>
              <w:bottom w:val="double" w:sz="6" w:space="0" w:color="000000"/>
            </w:tcBorders>
          </w:tcPr>
          <w:p>
            <w:pPr>
              <w:pStyle w:val="TableParagraph"/>
              <w:spacing w:line="209" w:lineRule="exact" w:before="42"/>
              <w:ind w:left="169" w:right="17"/>
              <w:jc w:val="center"/>
              <w:rPr>
                <w:sz w:val="20"/>
              </w:rPr>
            </w:pPr>
            <w:r>
              <w:rPr>
                <w:spacing w:val="-4"/>
                <w:sz w:val="20"/>
              </w:rPr>
              <w:t>t-</w:t>
            </w:r>
            <w:r>
              <w:rPr>
                <w:spacing w:val="-2"/>
                <w:sz w:val="20"/>
              </w:rPr>
              <w:t>Statistic</w:t>
            </w:r>
          </w:p>
        </w:tc>
        <w:tc>
          <w:tcPr>
            <w:tcW w:w="930" w:type="dxa"/>
            <w:tcBorders>
              <w:top w:val="double" w:sz="6" w:space="0" w:color="000000"/>
              <w:bottom w:val="double" w:sz="6" w:space="0" w:color="000000"/>
            </w:tcBorders>
          </w:tcPr>
          <w:p>
            <w:pPr>
              <w:pStyle w:val="TableParagraph"/>
              <w:spacing w:line="209" w:lineRule="exact" w:before="42"/>
              <w:ind w:right="32"/>
              <w:jc w:val="right"/>
              <w:rPr>
                <w:sz w:val="20"/>
              </w:rPr>
            </w:pPr>
            <w:r>
              <w:rPr>
                <w:spacing w:val="-2"/>
                <w:sz w:val="20"/>
              </w:rPr>
              <w:t>Prob.</w:t>
            </w:r>
          </w:p>
        </w:tc>
      </w:tr>
      <w:tr>
        <w:trPr>
          <w:trHeight w:val="275" w:hRule="atLeast"/>
        </w:trPr>
        <w:tc>
          <w:tcPr>
            <w:tcW w:w="2017" w:type="dxa"/>
            <w:tcBorders>
              <w:top w:val="double" w:sz="6" w:space="0" w:color="000000"/>
            </w:tcBorders>
          </w:tcPr>
          <w:p>
            <w:pPr>
              <w:pStyle w:val="TableParagraph"/>
              <w:spacing w:line="215" w:lineRule="exact" w:before="40"/>
              <w:ind w:left="437"/>
              <w:rPr>
                <w:sz w:val="20"/>
              </w:rPr>
            </w:pPr>
            <w:r>
              <w:rPr>
                <w:spacing w:val="-2"/>
                <w:sz w:val="20"/>
              </w:rPr>
              <w:t>D(KFW(-1),2)</w:t>
            </w:r>
          </w:p>
        </w:tc>
        <w:tc>
          <w:tcPr>
            <w:tcW w:w="1206" w:type="dxa"/>
            <w:tcBorders>
              <w:top w:val="double" w:sz="6" w:space="0" w:color="000000"/>
            </w:tcBorders>
          </w:tcPr>
          <w:p>
            <w:pPr>
              <w:pStyle w:val="TableParagraph"/>
              <w:spacing w:line="215" w:lineRule="exact" w:before="40"/>
              <w:ind w:left="127"/>
              <w:jc w:val="center"/>
              <w:rPr>
                <w:sz w:val="20"/>
              </w:rPr>
            </w:pPr>
            <w:r>
              <w:rPr>
                <w:spacing w:val="-4"/>
                <w:sz w:val="20"/>
              </w:rPr>
              <w:t>-</w:t>
            </w:r>
            <w:r>
              <w:rPr>
                <w:spacing w:val="-2"/>
                <w:sz w:val="20"/>
              </w:rPr>
              <w:t>0.401921</w:t>
            </w:r>
          </w:p>
        </w:tc>
        <w:tc>
          <w:tcPr>
            <w:tcW w:w="1251" w:type="dxa"/>
            <w:tcBorders>
              <w:top w:val="double" w:sz="6" w:space="0" w:color="000000"/>
            </w:tcBorders>
          </w:tcPr>
          <w:p>
            <w:pPr>
              <w:pStyle w:val="TableParagraph"/>
              <w:spacing w:line="215" w:lineRule="exact" w:before="40"/>
              <w:ind w:left="174" w:right="53"/>
              <w:jc w:val="center"/>
              <w:rPr>
                <w:sz w:val="20"/>
              </w:rPr>
            </w:pPr>
            <w:r>
              <w:rPr>
                <w:spacing w:val="-2"/>
                <w:sz w:val="20"/>
              </w:rPr>
              <w:t>0.118523</w:t>
            </w:r>
          </w:p>
        </w:tc>
        <w:tc>
          <w:tcPr>
            <w:tcW w:w="1087" w:type="dxa"/>
            <w:tcBorders>
              <w:top w:val="double" w:sz="6" w:space="0" w:color="000000"/>
            </w:tcBorders>
          </w:tcPr>
          <w:p>
            <w:pPr>
              <w:pStyle w:val="TableParagraph"/>
              <w:spacing w:line="215" w:lineRule="exact" w:before="40"/>
              <w:ind w:left="169" w:right="65"/>
              <w:jc w:val="center"/>
              <w:rPr>
                <w:sz w:val="20"/>
              </w:rPr>
            </w:pPr>
            <w:r>
              <w:rPr>
                <w:spacing w:val="-4"/>
                <w:sz w:val="20"/>
              </w:rPr>
              <w:t>-</w:t>
            </w:r>
            <w:r>
              <w:rPr>
                <w:spacing w:val="-2"/>
                <w:sz w:val="20"/>
              </w:rPr>
              <w:t>3.391070</w:t>
            </w:r>
          </w:p>
        </w:tc>
        <w:tc>
          <w:tcPr>
            <w:tcW w:w="930" w:type="dxa"/>
            <w:tcBorders>
              <w:top w:val="double" w:sz="6" w:space="0" w:color="000000"/>
            </w:tcBorders>
          </w:tcPr>
          <w:p>
            <w:pPr>
              <w:pStyle w:val="TableParagraph"/>
              <w:spacing w:line="215" w:lineRule="exact" w:before="40"/>
              <w:ind w:right="31"/>
              <w:jc w:val="right"/>
              <w:rPr>
                <w:sz w:val="20"/>
              </w:rPr>
            </w:pPr>
            <w:r>
              <w:rPr>
                <w:spacing w:val="-2"/>
                <w:sz w:val="20"/>
              </w:rPr>
              <w:t>0.0026</w:t>
            </w:r>
          </w:p>
        </w:tc>
      </w:tr>
      <w:tr>
        <w:trPr>
          <w:trHeight w:val="230" w:hRule="atLeast"/>
        </w:trPr>
        <w:tc>
          <w:tcPr>
            <w:tcW w:w="2017" w:type="dxa"/>
          </w:tcPr>
          <w:p>
            <w:pPr>
              <w:pStyle w:val="TableParagraph"/>
              <w:spacing w:line="210" w:lineRule="exact"/>
              <w:ind w:left="353"/>
              <w:rPr>
                <w:sz w:val="20"/>
              </w:rPr>
            </w:pPr>
            <w:r>
              <w:rPr>
                <w:spacing w:val="-2"/>
                <w:sz w:val="20"/>
              </w:rPr>
              <w:t>D(EXTDEBT,2)</w:t>
            </w:r>
          </w:p>
        </w:tc>
        <w:tc>
          <w:tcPr>
            <w:tcW w:w="1206" w:type="dxa"/>
          </w:tcPr>
          <w:p>
            <w:pPr>
              <w:pStyle w:val="TableParagraph"/>
              <w:spacing w:line="210" w:lineRule="exact"/>
              <w:ind w:left="191"/>
              <w:jc w:val="center"/>
              <w:rPr>
                <w:sz w:val="20"/>
              </w:rPr>
            </w:pPr>
            <w:r>
              <w:rPr>
                <w:spacing w:val="-2"/>
                <w:sz w:val="20"/>
              </w:rPr>
              <w:t>0.272752</w:t>
            </w:r>
          </w:p>
        </w:tc>
        <w:tc>
          <w:tcPr>
            <w:tcW w:w="1251" w:type="dxa"/>
          </w:tcPr>
          <w:p>
            <w:pPr>
              <w:pStyle w:val="TableParagraph"/>
              <w:spacing w:line="210" w:lineRule="exact"/>
              <w:ind w:left="174" w:right="53"/>
              <w:jc w:val="center"/>
              <w:rPr>
                <w:sz w:val="20"/>
              </w:rPr>
            </w:pPr>
            <w:r>
              <w:rPr>
                <w:spacing w:val="-2"/>
                <w:sz w:val="20"/>
              </w:rPr>
              <w:t>0.058101</w:t>
            </w:r>
          </w:p>
        </w:tc>
        <w:tc>
          <w:tcPr>
            <w:tcW w:w="1087" w:type="dxa"/>
          </w:tcPr>
          <w:p>
            <w:pPr>
              <w:pStyle w:val="TableParagraph"/>
              <w:spacing w:line="210" w:lineRule="exact"/>
              <w:ind w:left="169"/>
              <w:jc w:val="center"/>
              <w:rPr>
                <w:sz w:val="20"/>
              </w:rPr>
            </w:pPr>
            <w:r>
              <w:rPr>
                <w:spacing w:val="-2"/>
                <w:sz w:val="20"/>
              </w:rPr>
              <w:t>4.694472</w:t>
            </w:r>
          </w:p>
        </w:tc>
        <w:tc>
          <w:tcPr>
            <w:tcW w:w="930" w:type="dxa"/>
          </w:tcPr>
          <w:p>
            <w:pPr>
              <w:pStyle w:val="TableParagraph"/>
              <w:spacing w:line="210" w:lineRule="exact"/>
              <w:ind w:right="31"/>
              <w:jc w:val="right"/>
              <w:rPr>
                <w:sz w:val="20"/>
              </w:rPr>
            </w:pPr>
            <w:r>
              <w:rPr>
                <w:spacing w:val="-2"/>
                <w:sz w:val="20"/>
              </w:rPr>
              <w:t>0.0001</w:t>
            </w:r>
          </w:p>
        </w:tc>
      </w:tr>
      <w:tr>
        <w:trPr>
          <w:trHeight w:val="229" w:hRule="atLeast"/>
        </w:trPr>
        <w:tc>
          <w:tcPr>
            <w:tcW w:w="2017" w:type="dxa"/>
          </w:tcPr>
          <w:p>
            <w:pPr>
              <w:pStyle w:val="TableParagraph"/>
              <w:spacing w:line="209" w:lineRule="exact"/>
              <w:ind w:left="202"/>
              <w:rPr>
                <w:sz w:val="20"/>
              </w:rPr>
            </w:pPr>
            <w:r>
              <w:rPr>
                <w:spacing w:val="-2"/>
                <w:sz w:val="20"/>
              </w:rPr>
              <w:t>D(EXTDEBT(-</w:t>
            </w:r>
            <w:r>
              <w:rPr>
                <w:spacing w:val="-4"/>
                <w:sz w:val="20"/>
              </w:rPr>
              <w:t>1),2)</w:t>
            </w:r>
          </w:p>
        </w:tc>
        <w:tc>
          <w:tcPr>
            <w:tcW w:w="1206" w:type="dxa"/>
          </w:tcPr>
          <w:p>
            <w:pPr>
              <w:pStyle w:val="TableParagraph"/>
              <w:spacing w:line="209" w:lineRule="exact"/>
              <w:ind w:left="191"/>
              <w:jc w:val="center"/>
              <w:rPr>
                <w:sz w:val="20"/>
              </w:rPr>
            </w:pPr>
            <w:r>
              <w:rPr>
                <w:spacing w:val="-2"/>
                <w:sz w:val="20"/>
              </w:rPr>
              <w:t>0.079978</w:t>
            </w:r>
          </w:p>
        </w:tc>
        <w:tc>
          <w:tcPr>
            <w:tcW w:w="1251" w:type="dxa"/>
          </w:tcPr>
          <w:p>
            <w:pPr>
              <w:pStyle w:val="TableParagraph"/>
              <w:spacing w:line="209" w:lineRule="exact"/>
              <w:ind w:left="174" w:right="53"/>
              <w:jc w:val="center"/>
              <w:rPr>
                <w:sz w:val="20"/>
              </w:rPr>
            </w:pPr>
            <w:r>
              <w:rPr>
                <w:spacing w:val="-2"/>
                <w:sz w:val="20"/>
              </w:rPr>
              <w:t>0.062270</w:t>
            </w:r>
          </w:p>
        </w:tc>
        <w:tc>
          <w:tcPr>
            <w:tcW w:w="1087" w:type="dxa"/>
          </w:tcPr>
          <w:p>
            <w:pPr>
              <w:pStyle w:val="TableParagraph"/>
              <w:spacing w:line="209" w:lineRule="exact"/>
              <w:ind w:left="169"/>
              <w:jc w:val="center"/>
              <w:rPr>
                <w:sz w:val="20"/>
              </w:rPr>
            </w:pPr>
            <w:r>
              <w:rPr>
                <w:spacing w:val="-2"/>
                <w:sz w:val="20"/>
              </w:rPr>
              <w:t>1.284386</w:t>
            </w:r>
          </w:p>
        </w:tc>
        <w:tc>
          <w:tcPr>
            <w:tcW w:w="930" w:type="dxa"/>
          </w:tcPr>
          <w:p>
            <w:pPr>
              <w:pStyle w:val="TableParagraph"/>
              <w:spacing w:line="209" w:lineRule="exact"/>
              <w:ind w:right="31"/>
              <w:jc w:val="right"/>
              <w:rPr>
                <w:sz w:val="20"/>
              </w:rPr>
            </w:pPr>
            <w:r>
              <w:rPr>
                <w:spacing w:val="-2"/>
                <w:sz w:val="20"/>
              </w:rPr>
              <w:t>0.2124</w:t>
            </w:r>
          </w:p>
        </w:tc>
      </w:tr>
      <w:tr>
        <w:trPr>
          <w:trHeight w:val="229" w:hRule="atLeast"/>
        </w:trPr>
        <w:tc>
          <w:tcPr>
            <w:tcW w:w="2017" w:type="dxa"/>
          </w:tcPr>
          <w:p>
            <w:pPr>
              <w:pStyle w:val="TableParagraph"/>
              <w:spacing w:line="209" w:lineRule="exact"/>
              <w:ind w:left="607"/>
              <w:rPr>
                <w:sz w:val="20"/>
              </w:rPr>
            </w:pPr>
            <w:r>
              <w:rPr>
                <w:spacing w:val="-2"/>
                <w:sz w:val="20"/>
              </w:rPr>
              <w:t>D(DOP,2)</w:t>
            </w:r>
          </w:p>
        </w:tc>
        <w:tc>
          <w:tcPr>
            <w:tcW w:w="1206" w:type="dxa"/>
          </w:tcPr>
          <w:p>
            <w:pPr>
              <w:pStyle w:val="TableParagraph"/>
              <w:spacing w:line="209" w:lineRule="exact"/>
              <w:ind w:left="127"/>
              <w:jc w:val="center"/>
              <w:rPr>
                <w:sz w:val="20"/>
              </w:rPr>
            </w:pPr>
            <w:r>
              <w:rPr>
                <w:spacing w:val="-4"/>
                <w:sz w:val="20"/>
              </w:rPr>
              <w:t>-</w:t>
            </w:r>
            <w:r>
              <w:rPr>
                <w:spacing w:val="-2"/>
                <w:sz w:val="20"/>
              </w:rPr>
              <w:t>0.346061</w:t>
            </w:r>
          </w:p>
        </w:tc>
        <w:tc>
          <w:tcPr>
            <w:tcW w:w="1251" w:type="dxa"/>
          </w:tcPr>
          <w:p>
            <w:pPr>
              <w:pStyle w:val="TableParagraph"/>
              <w:spacing w:line="209" w:lineRule="exact"/>
              <w:ind w:left="174" w:right="53"/>
              <w:jc w:val="center"/>
              <w:rPr>
                <w:sz w:val="20"/>
              </w:rPr>
            </w:pPr>
            <w:r>
              <w:rPr>
                <w:spacing w:val="-2"/>
                <w:sz w:val="20"/>
              </w:rPr>
              <w:t>0.577219</w:t>
            </w:r>
          </w:p>
        </w:tc>
        <w:tc>
          <w:tcPr>
            <w:tcW w:w="1087" w:type="dxa"/>
          </w:tcPr>
          <w:p>
            <w:pPr>
              <w:pStyle w:val="TableParagraph"/>
              <w:spacing w:line="209" w:lineRule="exact"/>
              <w:ind w:left="169" w:right="65"/>
              <w:jc w:val="center"/>
              <w:rPr>
                <w:sz w:val="20"/>
              </w:rPr>
            </w:pPr>
            <w:r>
              <w:rPr>
                <w:spacing w:val="-4"/>
                <w:sz w:val="20"/>
              </w:rPr>
              <w:t>-</w:t>
            </w:r>
            <w:r>
              <w:rPr>
                <w:spacing w:val="-2"/>
                <w:sz w:val="20"/>
              </w:rPr>
              <w:t>0.599531</w:t>
            </w:r>
          </w:p>
        </w:tc>
        <w:tc>
          <w:tcPr>
            <w:tcW w:w="930" w:type="dxa"/>
          </w:tcPr>
          <w:p>
            <w:pPr>
              <w:pStyle w:val="TableParagraph"/>
              <w:spacing w:line="209" w:lineRule="exact"/>
              <w:ind w:right="31"/>
              <w:jc w:val="right"/>
              <w:rPr>
                <w:sz w:val="20"/>
              </w:rPr>
            </w:pPr>
            <w:r>
              <w:rPr>
                <w:spacing w:val="-2"/>
                <w:sz w:val="20"/>
              </w:rPr>
              <w:t>0.5549</w:t>
            </w:r>
          </w:p>
        </w:tc>
      </w:tr>
      <w:tr>
        <w:trPr>
          <w:trHeight w:val="230" w:hRule="atLeast"/>
        </w:trPr>
        <w:tc>
          <w:tcPr>
            <w:tcW w:w="2017" w:type="dxa"/>
          </w:tcPr>
          <w:p>
            <w:pPr>
              <w:pStyle w:val="TableParagraph"/>
              <w:spacing w:line="210" w:lineRule="exact"/>
              <w:ind w:left="458"/>
              <w:rPr>
                <w:sz w:val="20"/>
              </w:rPr>
            </w:pPr>
            <w:r>
              <w:rPr>
                <w:spacing w:val="-2"/>
                <w:sz w:val="20"/>
              </w:rPr>
              <w:t>D(DOP(-1),2)</w:t>
            </w:r>
          </w:p>
        </w:tc>
        <w:tc>
          <w:tcPr>
            <w:tcW w:w="1206" w:type="dxa"/>
          </w:tcPr>
          <w:p>
            <w:pPr>
              <w:pStyle w:val="TableParagraph"/>
              <w:spacing w:line="210" w:lineRule="exact"/>
              <w:ind w:left="127"/>
              <w:jc w:val="center"/>
              <w:rPr>
                <w:sz w:val="20"/>
              </w:rPr>
            </w:pPr>
            <w:r>
              <w:rPr>
                <w:spacing w:val="-4"/>
                <w:sz w:val="20"/>
              </w:rPr>
              <w:t>-</w:t>
            </w:r>
            <w:r>
              <w:rPr>
                <w:spacing w:val="-2"/>
                <w:sz w:val="20"/>
              </w:rPr>
              <w:t>0.987925</w:t>
            </w:r>
          </w:p>
        </w:tc>
        <w:tc>
          <w:tcPr>
            <w:tcW w:w="1251" w:type="dxa"/>
          </w:tcPr>
          <w:p>
            <w:pPr>
              <w:pStyle w:val="TableParagraph"/>
              <w:spacing w:line="210" w:lineRule="exact"/>
              <w:ind w:left="174" w:right="53"/>
              <w:jc w:val="center"/>
              <w:rPr>
                <w:sz w:val="20"/>
              </w:rPr>
            </w:pPr>
            <w:r>
              <w:rPr>
                <w:spacing w:val="-2"/>
                <w:sz w:val="20"/>
              </w:rPr>
              <w:t>0.580502</w:t>
            </w:r>
          </w:p>
        </w:tc>
        <w:tc>
          <w:tcPr>
            <w:tcW w:w="1087" w:type="dxa"/>
          </w:tcPr>
          <w:p>
            <w:pPr>
              <w:pStyle w:val="TableParagraph"/>
              <w:spacing w:line="210" w:lineRule="exact"/>
              <w:ind w:left="169" w:right="65"/>
              <w:jc w:val="center"/>
              <w:rPr>
                <w:sz w:val="20"/>
              </w:rPr>
            </w:pPr>
            <w:r>
              <w:rPr>
                <w:spacing w:val="-4"/>
                <w:sz w:val="20"/>
              </w:rPr>
              <w:t>-</w:t>
            </w:r>
            <w:r>
              <w:rPr>
                <w:spacing w:val="-2"/>
                <w:sz w:val="20"/>
              </w:rPr>
              <w:t>1.701846</w:t>
            </w:r>
          </w:p>
        </w:tc>
        <w:tc>
          <w:tcPr>
            <w:tcW w:w="930" w:type="dxa"/>
          </w:tcPr>
          <w:p>
            <w:pPr>
              <w:pStyle w:val="TableParagraph"/>
              <w:spacing w:line="210" w:lineRule="exact"/>
              <w:ind w:right="31"/>
              <w:jc w:val="right"/>
              <w:rPr>
                <w:sz w:val="20"/>
              </w:rPr>
            </w:pPr>
            <w:r>
              <w:rPr>
                <w:spacing w:val="-2"/>
                <w:sz w:val="20"/>
              </w:rPr>
              <w:t>0.1029</w:t>
            </w:r>
          </w:p>
        </w:tc>
      </w:tr>
      <w:tr>
        <w:trPr>
          <w:trHeight w:val="230" w:hRule="atLeast"/>
        </w:trPr>
        <w:tc>
          <w:tcPr>
            <w:tcW w:w="2017" w:type="dxa"/>
          </w:tcPr>
          <w:p>
            <w:pPr>
              <w:pStyle w:val="TableParagraph"/>
              <w:spacing w:line="210" w:lineRule="exact"/>
              <w:ind w:left="497"/>
              <w:rPr>
                <w:sz w:val="20"/>
              </w:rPr>
            </w:pPr>
            <w:r>
              <w:rPr>
                <w:spacing w:val="-2"/>
                <w:sz w:val="20"/>
              </w:rPr>
              <w:t>D(INF(-1),2)</w:t>
            </w:r>
          </w:p>
        </w:tc>
        <w:tc>
          <w:tcPr>
            <w:tcW w:w="1206" w:type="dxa"/>
          </w:tcPr>
          <w:p>
            <w:pPr>
              <w:pStyle w:val="TableParagraph"/>
              <w:spacing w:line="210" w:lineRule="exact"/>
              <w:ind w:left="191"/>
              <w:jc w:val="center"/>
              <w:rPr>
                <w:sz w:val="20"/>
              </w:rPr>
            </w:pPr>
            <w:r>
              <w:rPr>
                <w:spacing w:val="-2"/>
                <w:sz w:val="20"/>
              </w:rPr>
              <w:t>0.051490</w:t>
            </w:r>
          </w:p>
        </w:tc>
        <w:tc>
          <w:tcPr>
            <w:tcW w:w="1251" w:type="dxa"/>
          </w:tcPr>
          <w:p>
            <w:pPr>
              <w:pStyle w:val="TableParagraph"/>
              <w:spacing w:line="210" w:lineRule="exact"/>
              <w:ind w:left="174" w:right="53"/>
              <w:jc w:val="center"/>
              <w:rPr>
                <w:sz w:val="20"/>
              </w:rPr>
            </w:pPr>
            <w:r>
              <w:rPr>
                <w:spacing w:val="-2"/>
                <w:sz w:val="20"/>
              </w:rPr>
              <w:t>0.199526</w:t>
            </w:r>
          </w:p>
        </w:tc>
        <w:tc>
          <w:tcPr>
            <w:tcW w:w="1087" w:type="dxa"/>
          </w:tcPr>
          <w:p>
            <w:pPr>
              <w:pStyle w:val="TableParagraph"/>
              <w:spacing w:line="210" w:lineRule="exact"/>
              <w:ind w:left="169"/>
              <w:jc w:val="center"/>
              <w:rPr>
                <w:sz w:val="20"/>
              </w:rPr>
            </w:pPr>
            <w:r>
              <w:rPr>
                <w:spacing w:val="-2"/>
                <w:sz w:val="20"/>
              </w:rPr>
              <w:t>0.258060</w:t>
            </w:r>
          </w:p>
        </w:tc>
        <w:tc>
          <w:tcPr>
            <w:tcW w:w="930" w:type="dxa"/>
          </w:tcPr>
          <w:p>
            <w:pPr>
              <w:pStyle w:val="TableParagraph"/>
              <w:spacing w:line="210" w:lineRule="exact"/>
              <w:ind w:right="31"/>
              <w:jc w:val="right"/>
              <w:rPr>
                <w:sz w:val="20"/>
              </w:rPr>
            </w:pPr>
            <w:r>
              <w:rPr>
                <w:spacing w:val="-2"/>
                <w:sz w:val="20"/>
              </w:rPr>
              <w:t>0.7988</w:t>
            </w:r>
          </w:p>
        </w:tc>
      </w:tr>
      <w:tr>
        <w:trPr>
          <w:trHeight w:val="230" w:hRule="atLeast"/>
        </w:trPr>
        <w:tc>
          <w:tcPr>
            <w:tcW w:w="2017" w:type="dxa"/>
          </w:tcPr>
          <w:p>
            <w:pPr>
              <w:pStyle w:val="TableParagraph"/>
              <w:spacing w:line="210" w:lineRule="exact"/>
              <w:ind w:left="614"/>
              <w:rPr>
                <w:sz w:val="20"/>
              </w:rPr>
            </w:pPr>
            <w:r>
              <w:rPr>
                <w:spacing w:val="-2"/>
                <w:sz w:val="20"/>
              </w:rPr>
              <w:t>D(GCF,2)</w:t>
            </w:r>
          </w:p>
        </w:tc>
        <w:tc>
          <w:tcPr>
            <w:tcW w:w="1206" w:type="dxa"/>
          </w:tcPr>
          <w:p>
            <w:pPr>
              <w:pStyle w:val="TableParagraph"/>
              <w:spacing w:line="210" w:lineRule="exact"/>
              <w:ind w:left="127"/>
              <w:jc w:val="center"/>
              <w:rPr>
                <w:sz w:val="20"/>
              </w:rPr>
            </w:pPr>
            <w:r>
              <w:rPr>
                <w:spacing w:val="-4"/>
                <w:sz w:val="20"/>
              </w:rPr>
              <w:t>-</w:t>
            </w:r>
            <w:r>
              <w:rPr>
                <w:spacing w:val="-2"/>
                <w:sz w:val="20"/>
              </w:rPr>
              <w:t>0.049846</w:t>
            </w:r>
          </w:p>
        </w:tc>
        <w:tc>
          <w:tcPr>
            <w:tcW w:w="1251" w:type="dxa"/>
          </w:tcPr>
          <w:p>
            <w:pPr>
              <w:pStyle w:val="TableParagraph"/>
              <w:spacing w:line="210" w:lineRule="exact"/>
              <w:ind w:left="174" w:right="53"/>
              <w:jc w:val="center"/>
              <w:rPr>
                <w:sz w:val="20"/>
              </w:rPr>
            </w:pPr>
            <w:r>
              <w:rPr>
                <w:spacing w:val="-2"/>
                <w:sz w:val="20"/>
              </w:rPr>
              <w:t>0.049644</w:t>
            </w:r>
          </w:p>
        </w:tc>
        <w:tc>
          <w:tcPr>
            <w:tcW w:w="1087" w:type="dxa"/>
          </w:tcPr>
          <w:p>
            <w:pPr>
              <w:pStyle w:val="TableParagraph"/>
              <w:spacing w:line="210" w:lineRule="exact"/>
              <w:ind w:left="169" w:right="65"/>
              <w:jc w:val="center"/>
              <w:rPr>
                <w:sz w:val="20"/>
              </w:rPr>
            </w:pPr>
            <w:r>
              <w:rPr>
                <w:spacing w:val="-4"/>
                <w:sz w:val="20"/>
              </w:rPr>
              <w:t>-</w:t>
            </w:r>
            <w:r>
              <w:rPr>
                <w:spacing w:val="-2"/>
                <w:sz w:val="20"/>
              </w:rPr>
              <w:t>1.004051</w:t>
            </w:r>
          </w:p>
        </w:tc>
        <w:tc>
          <w:tcPr>
            <w:tcW w:w="930" w:type="dxa"/>
          </w:tcPr>
          <w:p>
            <w:pPr>
              <w:pStyle w:val="TableParagraph"/>
              <w:spacing w:line="210" w:lineRule="exact"/>
              <w:ind w:right="31"/>
              <w:jc w:val="right"/>
              <w:rPr>
                <w:sz w:val="20"/>
              </w:rPr>
            </w:pPr>
            <w:r>
              <w:rPr>
                <w:spacing w:val="-2"/>
                <w:sz w:val="20"/>
              </w:rPr>
              <w:t>0.3263</w:t>
            </w:r>
          </w:p>
        </w:tc>
      </w:tr>
      <w:tr>
        <w:trPr>
          <w:trHeight w:val="230" w:hRule="atLeast"/>
        </w:trPr>
        <w:tc>
          <w:tcPr>
            <w:tcW w:w="2017" w:type="dxa"/>
          </w:tcPr>
          <w:p>
            <w:pPr>
              <w:pStyle w:val="TableParagraph"/>
              <w:spacing w:line="210" w:lineRule="exact"/>
              <w:ind w:left="463"/>
              <w:rPr>
                <w:sz w:val="20"/>
              </w:rPr>
            </w:pPr>
            <w:r>
              <w:rPr>
                <w:spacing w:val="-2"/>
                <w:sz w:val="20"/>
              </w:rPr>
              <w:t>D(GCF(-1),2)</w:t>
            </w:r>
          </w:p>
        </w:tc>
        <w:tc>
          <w:tcPr>
            <w:tcW w:w="1206" w:type="dxa"/>
          </w:tcPr>
          <w:p>
            <w:pPr>
              <w:pStyle w:val="TableParagraph"/>
              <w:spacing w:line="210" w:lineRule="exact"/>
              <w:ind w:left="127"/>
              <w:jc w:val="center"/>
              <w:rPr>
                <w:sz w:val="20"/>
              </w:rPr>
            </w:pPr>
            <w:r>
              <w:rPr>
                <w:spacing w:val="-4"/>
                <w:sz w:val="20"/>
              </w:rPr>
              <w:t>-</w:t>
            </w:r>
            <w:r>
              <w:rPr>
                <w:spacing w:val="-2"/>
                <w:sz w:val="20"/>
              </w:rPr>
              <w:t>0.056301</w:t>
            </w:r>
          </w:p>
        </w:tc>
        <w:tc>
          <w:tcPr>
            <w:tcW w:w="1251" w:type="dxa"/>
          </w:tcPr>
          <w:p>
            <w:pPr>
              <w:pStyle w:val="TableParagraph"/>
              <w:spacing w:line="210" w:lineRule="exact"/>
              <w:ind w:left="174" w:right="53"/>
              <w:jc w:val="center"/>
              <w:rPr>
                <w:sz w:val="20"/>
              </w:rPr>
            </w:pPr>
            <w:r>
              <w:rPr>
                <w:spacing w:val="-2"/>
                <w:sz w:val="20"/>
              </w:rPr>
              <w:t>0.048570</w:t>
            </w:r>
          </w:p>
        </w:tc>
        <w:tc>
          <w:tcPr>
            <w:tcW w:w="1087" w:type="dxa"/>
          </w:tcPr>
          <w:p>
            <w:pPr>
              <w:pStyle w:val="TableParagraph"/>
              <w:spacing w:line="210" w:lineRule="exact"/>
              <w:ind w:left="169" w:right="65"/>
              <w:jc w:val="center"/>
              <w:rPr>
                <w:sz w:val="20"/>
              </w:rPr>
            </w:pPr>
            <w:r>
              <w:rPr>
                <w:spacing w:val="-4"/>
                <w:sz w:val="20"/>
              </w:rPr>
              <w:t>-</w:t>
            </w:r>
            <w:r>
              <w:rPr>
                <w:spacing w:val="-2"/>
                <w:sz w:val="20"/>
              </w:rPr>
              <w:t>1.159168</w:t>
            </w:r>
          </w:p>
        </w:tc>
        <w:tc>
          <w:tcPr>
            <w:tcW w:w="930" w:type="dxa"/>
          </w:tcPr>
          <w:p>
            <w:pPr>
              <w:pStyle w:val="TableParagraph"/>
              <w:spacing w:line="210" w:lineRule="exact"/>
              <w:ind w:right="31"/>
              <w:jc w:val="right"/>
              <w:rPr>
                <w:sz w:val="20"/>
              </w:rPr>
            </w:pPr>
            <w:r>
              <w:rPr>
                <w:spacing w:val="-2"/>
                <w:sz w:val="20"/>
              </w:rPr>
              <w:t>0.2588</w:t>
            </w:r>
          </w:p>
        </w:tc>
      </w:tr>
      <w:tr>
        <w:trPr>
          <w:trHeight w:val="229" w:hRule="atLeast"/>
        </w:trPr>
        <w:tc>
          <w:tcPr>
            <w:tcW w:w="2017" w:type="dxa"/>
          </w:tcPr>
          <w:p>
            <w:pPr>
              <w:pStyle w:val="TableParagraph"/>
              <w:spacing w:line="209" w:lineRule="exact"/>
              <w:ind w:left="670"/>
              <w:rPr>
                <w:sz w:val="20"/>
              </w:rPr>
            </w:pPr>
            <w:r>
              <w:rPr>
                <w:spacing w:val="-2"/>
                <w:sz w:val="20"/>
              </w:rPr>
              <w:t>D(DR,2)</w:t>
            </w:r>
          </w:p>
        </w:tc>
        <w:tc>
          <w:tcPr>
            <w:tcW w:w="1206" w:type="dxa"/>
          </w:tcPr>
          <w:p>
            <w:pPr>
              <w:pStyle w:val="TableParagraph"/>
              <w:spacing w:line="209" w:lineRule="exact"/>
              <w:ind w:left="191"/>
              <w:jc w:val="center"/>
              <w:rPr>
                <w:sz w:val="20"/>
              </w:rPr>
            </w:pPr>
            <w:r>
              <w:rPr>
                <w:spacing w:val="-2"/>
                <w:sz w:val="20"/>
              </w:rPr>
              <w:t>0.802085</w:t>
            </w:r>
          </w:p>
        </w:tc>
        <w:tc>
          <w:tcPr>
            <w:tcW w:w="1251" w:type="dxa"/>
          </w:tcPr>
          <w:p>
            <w:pPr>
              <w:pStyle w:val="TableParagraph"/>
              <w:spacing w:line="209" w:lineRule="exact"/>
              <w:ind w:left="174" w:right="53"/>
              <w:jc w:val="center"/>
              <w:rPr>
                <w:sz w:val="20"/>
              </w:rPr>
            </w:pPr>
            <w:r>
              <w:rPr>
                <w:spacing w:val="-2"/>
                <w:sz w:val="20"/>
              </w:rPr>
              <w:t>0.678762</w:t>
            </w:r>
          </w:p>
        </w:tc>
        <w:tc>
          <w:tcPr>
            <w:tcW w:w="1087" w:type="dxa"/>
          </w:tcPr>
          <w:p>
            <w:pPr>
              <w:pStyle w:val="TableParagraph"/>
              <w:spacing w:line="209" w:lineRule="exact"/>
              <w:ind w:left="169"/>
              <w:jc w:val="center"/>
              <w:rPr>
                <w:sz w:val="20"/>
              </w:rPr>
            </w:pPr>
            <w:r>
              <w:rPr>
                <w:spacing w:val="-2"/>
                <w:sz w:val="20"/>
              </w:rPr>
              <w:t>1.181687</w:t>
            </w:r>
          </w:p>
        </w:tc>
        <w:tc>
          <w:tcPr>
            <w:tcW w:w="930" w:type="dxa"/>
          </w:tcPr>
          <w:p>
            <w:pPr>
              <w:pStyle w:val="TableParagraph"/>
              <w:spacing w:line="209" w:lineRule="exact"/>
              <w:ind w:right="31"/>
              <w:jc w:val="right"/>
              <w:rPr>
                <w:sz w:val="20"/>
              </w:rPr>
            </w:pPr>
            <w:r>
              <w:rPr>
                <w:spacing w:val="-2"/>
                <w:sz w:val="20"/>
              </w:rPr>
              <w:t>0.2499</w:t>
            </w:r>
          </w:p>
        </w:tc>
      </w:tr>
      <w:tr>
        <w:trPr>
          <w:trHeight w:val="229" w:hRule="atLeast"/>
        </w:trPr>
        <w:tc>
          <w:tcPr>
            <w:tcW w:w="2017" w:type="dxa"/>
          </w:tcPr>
          <w:p>
            <w:pPr>
              <w:pStyle w:val="TableParagraph"/>
              <w:spacing w:line="209" w:lineRule="exact"/>
              <w:ind w:left="518"/>
              <w:rPr>
                <w:sz w:val="20"/>
              </w:rPr>
            </w:pPr>
            <w:r>
              <w:rPr>
                <w:spacing w:val="-2"/>
                <w:sz w:val="20"/>
              </w:rPr>
              <w:t>D(DR(-1),2)</w:t>
            </w:r>
          </w:p>
        </w:tc>
        <w:tc>
          <w:tcPr>
            <w:tcW w:w="1206" w:type="dxa"/>
          </w:tcPr>
          <w:p>
            <w:pPr>
              <w:pStyle w:val="TableParagraph"/>
              <w:spacing w:line="209" w:lineRule="exact"/>
              <w:ind w:left="191"/>
              <w:jc w:val="center"/>
              <w:rPr>
                <w:sz w:val="20"/>
              </w:rPr>
            </w:pPr>
            <w:r>
              <w:rPr>
                <w:spacing w:val="-2"/>
                <w:sz w:val="20"/>
              </w:rPr>
              <w:t>0.729211</w:t>
            </w:r>
          </w:p>
        </w:tc>
        <w:tc>
          <w:tcPr>
            <w:tcW w:w="1251" w:type="dxa"/>
          </w:tcPr>
          <w:p>
            <w:pPr>
              <w:pStyle w:val="TableParagraph"/>
              <w:spacing w:line="209" w:lineRule="exact"/>
              <w:ind w:left="174" w:right="53"/>
              <w:jc w:val="center"/>
              <w:rPr>
                <w:sz w:val="20"/>
              </w:rPr>
            </w:pPr>
            <w:r>
              <w:rPr>
                <w:spacing w:val="-2"/>
                <w:sz w:val="20"/>
              </w:rPr>
              <w:t>0.684285</w:t>
            </w:r>
          </w:p>
        </w:tc>
        <w:tc>
          <w:tcPr>
            <w:tcW w:w="1087" w:type="dxa"/>
          </w:tcPr>
          <w:p>
            <w:pPr>
              <w:pStyle w:val="TableParagraph"/>
              <w:spacing w:line="209" w:lineRule="exact"/>
              <w:ind w:left="169"/>
              <w:jc w:val="center"/>
              <w:rPr>
                <w:sz w:val="20"/>
              </w:rPr>
            </w:pPr>
            <w:r>
              <w:rPr>
                <w:spacing w:val="-2"/>
                <w:sz w:val="20"/>
              </w:rPr>
              <w:t>1.065654</w:t>
            </w:r>
          </w:p>
        </w:tc>
        <w:tc>
          <w:tcPr>
            <w:tcW w:w="930" w:type="dxa"/>
          </w:tcPr>
          <w:p>
            <w:pPr>
              <w:pStyle w:val="TableParagraph"/>
              <w:spacing w:line="209" w:lineRule="exact"/>
              <w:ind w:right="31"/>
              <w:jc w:val="right"/>
              <w:rPr>
                <w:sz w:val="20"/>
              </w:rPr>
            </w:pPr>
            <w:r>
              <w:rPr>
                <w:spacing w:val="-2"/>
                <w:sz w:val="20"/>
              </w:rPr>
              <w:t>0.2981</w:t>
            </w:r>
          </w:p>
        </w:tc>
      </w:tr>
      <w:tr>
        <w:trPr>
          <w:trHeight w:val="230" w:hRule="atLeast"/>
        </w:trPr>
        <w:tc>
          <w:tcPr>
            <w:tcW w:w="2017" w:type="dxa"/>
          </w:tcPr>
          <w:p>
            <w:pPr>
              <w:pStyle w:val="TableParagraph"/>
              <w:spacing w:line="210" w:lineRule="exact"/>
              <w:ind w:left="446"/>
              <w:rPr>
                <w:sz w:val="20"/>
              </w:rPr>
            </w:pPr>
            <w:r>
              <w:rPr>
                <w:spacing w:val="-2"/>
                <w:sz w:val="20"/>
              </w:rPr>
              <w:t>D(PRIVCR,2)</w:t>
            </w:r>
          </w:p>
        </w:tc>
        <w:tc>
          <w:tcPr>
            <w:tcW w:w="1206" w:type="dxa"/>
          </w:tcPr>
          <w:p>
            <w:pPr>
              <w:pStyle w:val="TableParagraph"/>
              <w:spacing w:line="210" w:lineRule="exact"/>
              <w:ind w:left="127"/>
              <w:jc w:val="center"/>
              <w:rPr>
                <w:sz w:val="20"/>
              </w:rPr>
            </w:pPr>
            <w:r>
              <w:rPr>
                <w:spacing w:val="-4"/>
                <w:sz w:val="20"/>
              </w:rPr>
              <w:t>-</w:t>
            </w:r>
            <w:r>
              <w:rPr>
                <w:spacing w:val="-2"/>
                <w:sz w:val="20"/>
              </w:rPr>
              <w:t>1.061348</w:t>
            </w:r>
          </w:p>
        </w:tc>
        <w:tc>
          <w:tcPr>
            <w:tcW w:w="1251" w:type="dxa"/>
          </w:tcPr>
          <w:p>
            <w:pPr>
              <w:pStyle w:val="TableParagraph"/>
              <w:spacing w:line="210" w:lineRule="exact"/>
              <w:ind w:left="174" w:right="53"/>
              <w:jc w:val="center"/>
              <w:rPr>
                <w:sz w:val="20"/>
              </w:rPr>
            </w:pPr>
            <w:r>
              <w:rPr>
                <w:spacing w:val="-2"/>
                <w:sz w:val="20"/>
              </w:rPr>
              <w:t>0.932176</w:t>
            </w:r>
          </w:p>
        </w:tc>
        <w:tc>
          <w:tcPr>
            <w:tcW w:w="1087" w:type="dxa"/>
          </w:tcPr>
          <w:p>
            <w:pPr>
              <w:pStyle w:val="TableParagraph"/>
              <w:spacing w:line="210" w:lineRule="exact"/>
              <w:ind w:left="169" w:right="65"/>
              <w:jc w:val="center"/>
              <w:rPr>
                <w:sz w:val="20"/>
              </w:rPr>
            </w:pPr>
            <w:r>
              <w:rPr>
                <w:spacing w:val="-4"/>
                <w:sz w:val="20"/>
              </w:rPr>
              <w:t>-</w:t>
            </w:r>
            <w:r>
              <w:rPr>
                <w:spacing w:val="-2"/>
                <w:sz w:val="20"/>
              </w:rPr>
              <w:t>1.138570</w:t>
            </w:r>
          </w:p>
        </w:tc>
        <w:tc>
          <w:tcPr>
            <w:tcW w:w="930" w:type="dxa"/>
          </w:tcPr>
          <w:p>
            <w:pPr>
              <w:pStyle w:val="TableParagraph"/>
              <w:spacing w:line="210" w:lineRule="exact"/>
              <w:ind w:right="31"/>
              <w:jc w:val="right"/>
              <w:rPr>
                <w:sz w:val="20"/>
              </w:rPr>
            </w:pPr>
            <w:r>
              <w:rPr>
                <w:spacing w:val="-2"/>
                <w:sz w:val="20"/>
              </w:rPr>
              <w:t>0.2671</w:t>
            </w:r>
          </w:p>
        </w:tc>
      </w:tr>
      <w:tr>
        <w:trPr>
          <w:trHeight w:val="230" w:hRule="atLeast"/>
        </w:trPr>
        <w:tc>
          <w:tcPr>
            <w:tcW w:w="2017" w:type="dxa"/>
          </w:tcPr>
          <w:p>
            <w:pPr>
              <w:pStyle w:val="TableParagraph"/>
              <w:spacing w:line="211" w:lineRule="exact"/>
              <w:ind w:left="298"/>
              <w:rPr>
                <w:sz w:val="20"/>
              </w:rPr>
            </w:pPr>
            <w:r>
              <w:rPr>
                <w:spacing w:val="-2"/>
                <w:sz w:val="20"/>
              </w:rPr>
              <w:t>D(PRIVCR(-1),2)</w:t>
            </w:r>
          </w:p>
        </w:tc>
        <w:tc>
          <w:tcPr>
            <w:tcW w:w="1206" w:type="dxa"/>
          </w:tcPr>
          <w:p>
            <w:pPr>
              <w:pStyle w:val="TableParagraph"/>
              <w:spacing w:line="211" w:lineRule="exact"/>
              <w:ind w:left="127"/>
              <w:jc w:val="center"/>
              <w:rPr>
                <w:sz w:val="20"/>
              </w:rPr>
            </w:pPr>
            <w:r>
              <w:rPr>
                <w:spacing w:val="-4"/>
                <w:sz w:val="20"/>
              </w:rPr>
              <w:t>-</w:t>
            </w:r>
            <w:r>
              <w:rPr>
                <w:spacing w:val="-2"/>
                <w:sz w:val="20"/>
              </w:rPr>
              <w:t>2.233268</w:t>
            </w:r>
          </w:p>
        </w:tc>
        <w:tc>
          <w:tcPr>
            <w:tcW w:w="1251" w:type="dxa"/>
          </w:tcPr>
          <w:p>
            <w:pPr>
              <w:pStyle w:val="TableParagraph"/>
              <w:spacing w:line="211" w:lineRule="exact"/>
              <w:ind w:left="174" w:right="53"/>
              <w:jc w:val="center"/>
              <w:rPr>
                <w:sz w:val="20"/>
              </w:rPr>
            </w:pPr>
            <w:r>
              <w:rPr>
                <w:spacing w:val="-2"/>
                <w:sz w:val="20"/>
              </w:rPr>
              <w:t>1.046025</w:t>
            </w:r>
          </w:p>
        </w:tc>
        <w:tc>
          <w:tcPr>
            <w:tcW w:w="1087" w:type="dxa"/>
          </w:tcPr>
          <w:p>
            <w:pPr>
              <w:pStyle w:val="TableParagraph"/>
              <w:spacing w:line="211" w:lineRule="exact"/>
              <w:ind w:left="169" w:right="65"/>
              <w:jc w:val="center"/>
              <w:rPr>
                <w:sz w:val="20"/>
              </w:rPr>
            </w:pPr>
            <w:r>
              <w:rPr>
                <w:spacing w:val="-4"/>
                <w:sz w:val="20"/>
              </w:rPr>
              <w:t>-</w:t>
            </w:r>
            <w:r>
              <w:rPr>
                <w:spacing w:val="-2"/>
                <w:sz w:val="20"/>
              </w:rPr>
              <w:t>2.135005</w:t>
            </w:r>
          </w:p>
        </w:tc>
        <w:tc>
          <w:tcPr>
            <w:tcW w:w="930" w:type="dxa"/>
          </w:tcPr>
          <w:p>
            <w:pPr>
              <w:pStyle w:val="TableParagraph"/>
              <w:spacing w:line="211" w:lineRule="exact"/>
              <w:ind w:right="31"/>
              <w:jc w:val="right"/>
              <w:rPr>
                <w:sz w:val="20"/>
              </w:rPr>
            </w:pPr>
            <w:r>
              <w:rPr>
                <w:spacing w:val="-2"/>
                <w:sz w:val="20"/>
              </w:rPr>
              <w:t>0.0441</w:t>
            </w:r>
          </w:p>
        </w:tc>
      </w:tr>
      <w:tr>
        <w:trPr>
          <w:trHeight w:val="230" w:hRule="atLeast"/>
        </w:trPr>
        <w:tc>
          <w:tcPr>
            <w:tcW w:w="2017" w:type="dxa"/>
          </w:tcPr>
          <w:p>
            <w:pPr>
              <w:pStyle w:val="TableParagraph"/>
              <w:spacing w:line="211" w:lineRule="exact"/>
              <w:ind w:left="509"/>
              <w:rPr>
                <w:sz w:val="20"/>
              </w:rPr>
            </w:pPr>
            <w:r>
              <w:rPr>
                <w:spacing w:val="-2"/>
                <w:sz w:val="20"/>
              </w:rPr>
              <w:t>D(USIRD,2)</w:t>
            </w:r>
          </w:p>
        </w:tc>
        <w:tc>
          <w:tcPr>
            <w:tcW w:w="1206" w:type="dxa"/>
          </w:tcPr>
          <w:p>
            <w:pPr>
              <w:pStyle w:val="TableParagraph"/>
              <w:spacing w:line="211" w:lineRule="exact"/>
              <w:ind w:left="127"/>
              <w:jc w:val="center"/>
              <w:rPr>
                <w:sz w:val="20"/>
              </w:rPr>
            </w:pPr>
            <w:r>
              <w:rPr>
                <w:spacing w:val="-4"/>
                <w:sz w:val="20"/>
              </w:rPr>
              <w:t>-</w:t>
            </w:r>
            <w:r>
              <w:rPr>
                <w:spacing w:val="-2"/>
                <w:sz w:val="20"/>
              </w:rPr>
              <w:t>0.037951</w:t>
            </w:r>
          </w:p>
        </w:tc>
        <w:tc>
          <w:tcPr>
            <w:tcW w:w="1251" w:type="dxa"/>
          </w:tcPr>
          <w:p>
            <w:pPr>
              <w:pStyle w:val="TableParagraph"/>
              <w:spacing w:line="211" w:lineRule="exact"/>
              <w:ind w:left="174" w:right="53"/>
              <w:jc w:val="center"/>
              <w:rPr>
                <w:sz w:val="20"/>
              </w:rPr>
            </w:pPr>
            <w:r>
              <w:rPr>
                <w:spacing w:val="-2"/>
                <w:sz w:val="20"/>
              </w:rPr>
              <w:t>0.160513</w:t>
            </w:r>
          </w:p>
        </w:tc>
        <w:tc>
          <w:tcPr>
            <w:tcW w:w="1087" w:type="dxa"/>
          </w:tcPr>
          <w:p>
            <w:pPr>
              <w:pStyle w:val="TableParagraph"/>
              <w:spacing w:line="211" w:lineRule="exact"/>
              <w:ind w:left="169" w:right="65"/>
              <w:jc w:val="center"/>
              <w:rPr>
                <w:sz w:val="20"/>
              </w:rPr>
            </w:pPr>
            <w:r>
              <w:rPr>
                <w:spacing w:val="-4"/>
                <w:sz w:val="20"/>
              </w:rPr>
              <w:t>-</w:t>
            </w:r>
            <w:r>
              <w:rPr>
                <w:spacing w:val="-2"/>
                <w:sz w:val="20"/>
              </w:rPr>
              <w:t>0.236437</w:t>
            </w:r>
          </w:p>
        </w:tc>
        <w:tc>
          <w:tcPr>
            <w:tcW w:w="930" w:type="dxa"/>
          </w:tcPr>
          <w:p>
            <w:pPr>
              <w:pStyle w:val="TableParagraph"/>
              <w:spacing w:line="211" w:lineRule="exact"/>
              <w:ind w:right="31"/>
              <w:jc w:val="right"/>
              <w:rPr>
                <w:sz w:val="20"/>
              </w:rPr>
            </w:pPr>
            <w:r>
              <w:rPr>
                <w:spacing w:val="-2"/>
                <w:sz w:val="20"/>
              </w:rPr>
              <w:t>0.8153</w:t>
            </w:r>
          </w:p>
        </w:tc>
      </w:tr>
      <w:tr>
        <w:trPr>
          <w:trHeight w:val="230" w:hRule="atLeast"/>
        </w:trPr>
        <w:tc>
          <w:tcPr>
            <w:tcW w:w="2017" w:type="dxa"/>
          </w:tcPr>
          <w:p>
            <w:pPr>
              <w:pStyle w:val="TableParagraph"/>
              <w:spacing w:line="210" w:lineRule="exact"/>
              <w:ind w:left="274"/>
              <w:rPr>
                <w:sz w:val="20"/>
              </w:rPr>
            </w:pPr>
            <w:r>
              <w:rPr>
                <w:spacing w:val="-2"/>
                <w:sz w:val="20"/>
              </w:rPr>
              <w:t>D(INTDIFF(-</w:t>
            </w:r>
            <w:r>
              <w:rPr>
                <w:spacing w:val="-4"/>
                <w:sz w:val="20"/>
              </w:rPr>
              <w:t>1),2)</w:t>
            </w:r>
          </w:p>
        </w:tc>
        <w:tc>
          <w:tcPr>
            <w:tcW w:w="1206" w:type="dxa"/>
          </w:tcPr>
          <w:p>
            <w:pPr>
              <w:pStyle w:val="TableParagraph"/>
              <w:spacing w:line="210" w:lineRule="exact"/>
              <w:ind w:left="191"/>
              <w:jc w:val="center"/>
              <w:rPr>
                <w:sz w:val="20"/>
              </w:rPr>
            </w:pPr>
            <w:r>
              <w:rPr>
                <w:spacing w:val="-2"/>
                <w:sz w:val="20"/>
              </w:rPr>
              <w:t>0.135223</w:t>
            </w:r>
          </w:p>
        </w:tc>
        <w:tc>
          <w:tcPr>
            <w:tcW w:w="1251" w:type="dxa"/>
          </w:tcPr>
          <w:p>
            <w:pPr>
              <w:pStyle w:val="TableParagraph"/>
              <w:spacing w:line="210" w:lineRule="exact"/>
              <w:ind w:left="174" w:right="53"/>
              <w:jc w:val="center"/>
              <w:rPr>
                <w:sz w:val="20"/>
              </w:rPr>
            </w:pPr>
            <w:r>
              <w:rPr>
                <w:spacing w:val="-2"/>
                <w:sz w:val="20"/>
              </w:rPr>
              <w:t>0.148195</w:t>
            </w:r>
          </w:p>
        </w:tc>
        <w:tc>
          <w:tcPr>
            <w:tcW w:w="1087" w:type="dxa"/>
          </w:tcPr>
          <w:p>
            <w:pPr>
              <w:pStyle w:val="TableParagraph"/>
              <w:spacing w:line="210" w:lineRule="exact"/>
              <w:ind w:left="169"/>
              <w:jc w:val="center"/>
              <w:rPr>
                <w:sz w:val="20"/>
              </w:rPr>
            </w:pPr>
            <w:r>
              <w:rPr>
                <w:spacing w:val="-2"/>
                <w:sz w:val="20"/>
              </w:rPr>
              <w:t>0.912467</w:t>
            </w:r>
          </w:p>
        </w:tc>
        <w:tc>
          <w:tcPr>
            <w:tcW w:w="930" w:type="dxa"/>
          </w:tcPr>
          <w:p>
            <w:pPr>
              <w:pStyle w:val="TableParagraph"/>
              <w:spacing w:line="210" w:lineRule="exact"/>
              <w:ind w:right="31"/>
              <w:jc w:val="right"/>
              <w:rPr>
                <w:sz w:val="20"/>
              </w:rPr>
            </w:pPr>
            <w:r>
              <w:rPr>
                <w:spacing w:val="-2"/>
                <w:sz w:val="20"/>
              </w:rPr>
              <w:t>0.3714</w:t>
            </w:r>
          </w:p>
        </w:tc>
      </w:tr>
      <w:tr>
        <w:trPr>
          <w:trHeight w:val="229" w:hRule="atLeast"/>
        </w:trPr>
        <w:tc>
          <w:tcPr>
            <w:tcW w:w="2017" w:type="dxa"/>
          </w:tcPr>
          <w:p>
            <w:pPr>
              <w:pStyle w:val="TableParagraph"/>
              <w:spacing w:line="209" w:lineRule="exact"/>
              <w:ind w:left="535"/>
              <w:rPr>
                <w:sz w:val="20"/>
              </w:rPr>
            </w:pPr>
            <w:r>
              <w:rPr>
                <w:spacing w:val="-2"/>
                <w:sz w:val="20"/>
              </w:rPr>
              <w:t>D(GOCE,2)</w:t>
            </w:r>
          </w:p>
        </w:tc>
        <w:tc>
          <w:tcPr>
            <w:tcW w:w="1206" w:type="dxa"/>
          </w:tcPr>
          <w:p>
            <w:pPr>
              <w:pStyle w:val="TableParagraph"/>
              <w:spacing w:line="209" w:lineRule="exact"/>
              <w:ind w:left="191"/>
              <w:jc w:val="center"/>
              <w:rPr>
                <w:sz w:val="20"/>
              </w:rPr>
            </w:pPr>
            <w:r>
              <w:rPr>
                <w:spacing w:val="-2"/>
                <w:sz w:val="20"/>
              </w:rPr>
              <w:t>0.426412</w:t>
            </w:r>
          </w:p>
        </w:tc>
        <w:tc>
          <w:tcPr>
            <w:tcW w:w="1251" w:type="dxa"/>
          </w:tcPr>
          <w:p>
            <w:pPr>
              <w:pStyle w:val="TableParagraph"/>
              <w:spacing w:line="209" w:lineRule="exact"/>
              <w:ind w:left="174" w:right="53"/>
              <w:jc w:val="center"/>
              <w:rPr>
                <w:sz w:val="20"/>
              </w:rPr>
            </w:pPr>
            <w:r>
              <w:rPr>
                <w:spacing w:val="-2"/>
                <w:sz w:val="20"/>
              </w:rPr>
              <w:t>0.619047</w:t>
            </w:r>
          </w:p>
        </w:tc>
        <w:tc>
          <w:tcPr>
            <w:tcW w:w="1087" w:type="dxa"/>
          </w:tcPr>
          <w:p>
            <w:pPr>
              <w:pStyle w:val="TableParagraph"/>
              <w:spacing w:line="209" w:lineRule="exact"/>
              <w:ind w:left="169"/>
              <w:jc w:val="center"/>
              <w:rPr>
                <w:sz w:val="20"/>
              </w:rPr>
            </w:pPr>
            <w:r>
              <w:rPr>
                <w:spacing w:val="-2"/>
                <w:sz w:val="20"/>
              </w:rPr>
              <w:t>0.688819</w:t>
            </w:r>
          </w:p>
        </w:tc>
        <w:tc>
          <w:tcPr>
            <w:tcW w:w="930" w:type="dxa"/>
          </w:tcPr>
          <w:p>
            <w:pPr>
              <w:pStyle w:val="TableParagraph"/>
              <w:spacing w:line="209" w:lineRule="exact"/>
              <w:ind w:right="31"/>
              <w:jc w:val="right"/>
              <w:rPr>
                <w:sz w:val="20"/>
              </w:rPr>
            </w:pPr>
            <w:r>
              <w:rPr>
                <w:spacing w:val="-2"/>
                <w:sz w:val="20"/>
              </w:rPr>
              <w:t>0.4981</w:t>
            </w:r>
          </w:p>
        </w:tc>
      </w:tr>
      <w:tr>
        <w:trPr>
          <w:trHeight w:val="229" w:hRule="atLeast"/>
        </w:trPr>
        <w:tc>
          <w:tcPr>
            <w:tcW w:w="2017" w:type="dxa"/>
          </w:tcPr>
          <w:p>
            <w:pPr>
              <w:pStyle w:val="TableParagraph"/>
              <w:spacing w:line="209" w:lineRule="exact"/>
              <w:ind w:left="386"/>
              <w:rPr>
                <w:sz w:val="20"/>
              </w:rPr>
            </w:pPr>
            <w:r>
              <w:rPr>
                <w:spacing w:val="-2"/>
                <w:sz w:val="20"/>
              </w:rPr>
              <w:t>D(GOCE(-1),2)</w:t>
            </w:r>
          </w:p>
        </w:tc>
        <w:tc>
          <w:tcPr>
            <w:tcW w:w="1206" w:type="dxa"/>
          </w:tcPr>
          <w:p>
            <w:pPr>
              <w:pStyle w:val="TableParagraph"/>
              <w:spacing w:line="209" w:lineRule="exact"/>
              <w:ind w:left="191"/>
              <w:jc w:val="center"/>
              <w:rPr>
                <w:sz w:val="20"/>
              </w:rPr>
            </w:pPr>
            <w:r>
              <w:rPr>
                <w:spacing w:val="-2"/>
                <w:sz w:val="20"/>
              </w:rPr>
              <w:t>0.437816</w:t>
            </w:r>
          </w:p>
        </w:tc>
        <w:tc>
          <w:tcPr>
            <w:tcW w:w="1251" w:type="dxa"/>
          </w:tcPr>
          <w:p>
            <w:pPr>
              <w:pStyle w:val="TableParagraph"/>
              <w:spacing w:line="209" w:lineRule="exact"/>
              <w:ind w:left="174" w:right="53"/>
              <w:jc w:val="center"/>
              <w:rPr>
                <w:sz w:val="20"/>
              </w:rPr>
            </w:pPr>
            <w:r>
              <w:rPr>
                <w:spacing w:val="-2"/>
                <w:sz w:val="20"/>
              </w:rPr>
              <w:t>0.559938</w:t>
            </w:r>
          </w:p>
        </w:tc>
        <w:tc>
          <w:tcPr>
            <w:tcW w:w="1087" w:type="dxa"/>
          </w:tcPr>
          <w:p>
            <w:pPr>
              <w:pStyle w:val="TableParagraph"/>
              <w:spacing w:line="209" w:lineRule="exact"/>
              <w:ind w:left="169"/>
              <w:jc w:val="center"/>
              <w:rPr>
                <w:sz w:val="20"/>
              </w:rPr>
            </w:pPr>
            <w:r>
              <w:rPr>
                <w:spacing w:val="-2"/>
                <w:sz w:val="20"/>
              </w:rPr>
              <w:t>0.781900</w:t>
            </w:r>
          </w:p>
        </w:tc>
        <w:tc>
          <w:tcPr>
            <w:tcW w:w="930" w:type="dxa"/>
          </w:tcPr>
          <w:p>
            <w:pPr>
              <w:pStyle w:val="TableParagraph"/>
              <w:spacing w:line="209" w:lineRule="exact"/>
              <w:ind w:right="31"/>
              <w:jc w:val="right"/>
              <w:rPr>
                <w:sz w:val="20"/>
              </w:rPr>
            </w:pPr>
            <w:r>
              <w:rPr>
                <w:spacing w:val="-2"/>
                <w:sz w:val="20"/>
              </w:rPr>
              <w:t>0.4426</w:t>
            </w:r>
          </w:p>
        </w:tc>
      </w:tr>
      <w:tr>
        <w:trPr>
          <w:trHeight w:val="224" w:hRule="atLeast"/>
        </w:trPr>
        <w:tc>
          <w:tcPr>
            <w:tcW w:w="2017" w:type="dxa"/>
            <w:tcBorders>
              <w:bottom w:val="double" w:sz="6" w:space="0" w:color="000000"/>
            </w:tcBorders>
          </w:tcPr>
          <w:p>
            <w:pPr>
              <w:pStyle w:val="TableParagraph"/>
              <w:spacing w:line="205" w:lineRule="exact"/>
              <w:ind w:left="655"/>
              <w:rPr>
                <w:sz w:val="20"/>
              </w:rPr>
            </w:pPr>
            <w:r>
              <w:rPr>
                <w:spacing w:val="-2"/>
                <w:sz w:val="20"/>
              </w:rPr>
              <w:t>ECM(-</w:t>
            </w:r>
            <w:r>
              <w:rPr>
                <w:spacing w:val="-5"/>
                <w:sz w:val="20"/>
              </w:rPr>
              <w:t>1)</w:t>
            </w:r>
          </w:p>
        </w:tc>
        <w:tc>
          <w:tcPr>
            <w:tcW w:w="1206" w:type="dxa"/>
            <w:tcBorders>
              <w:bottom w:val="double" w:sz="6" w:space="0" w:color="000000"/>
            </w:tcBorders>
          </w:tcPr>
          <w:p>
            <w:pPr>
              <w:pStyle w:val="TableParagraph"/>
              <w:spacing w:line="205" w:lineRule="exact"/>
              <w:ind w:left="127"/>
              <w:jc w:val="center"/>
              <w:rPr>
                <w:sz w:val="20"/>
              </w:rPr>
            </w:pPr>
            <w:r>
              <w:rPr>
                <w:spacing w:val="-4"/>
                <w:sz w:val="20"/>
              </w:rPr>
              <w:t>-</w:t>
            </w:r>
            <w:r>
              <w:rPr>
                <w:spacing w:val="-2"/>
                <w:sz w:val="20"/>
              </w:rPr>
              <w:t>1.135099</w:t>
            </w:r>
          </w:p>
        </w:tc>
        <w:tc>
          <w:tcPr>
            <w:tcW w:w="1251" w:type="dxa"/>
            <w:tcBorders>
              <w:bottom w:val="double" w:sz="6" w:space="0" w:color="000000"/>
            </w:tcBorders>
          </w:tcPr>
          <w:p>
            <w:pPr>
              <w:pStyle w:val="TableParagraph"/>
              <w:spacing w:line="205" w:lineRule="exact"/>
              <w:ind w:left="174" w:right="53"/>
              <w:jc w:val="center"/>
              <w:rPr>
                <w:sz w:val="20"/>
              </w:rPr>
            </w:pPr>
            <w:r>
              <w:rPr>
                <w:spacing w:val="-2"/>
                <w:sz w:val="20"/>
              </w:rPr>
              <w:t>0.246117</w:t>
            </w:r>
          </w:p>
        </w:tc>
        <w:tc>
          <w:tcPr>
            <w:tcW w:w="1087" w:type="dxa"/>
            <w:tcBorders>
              <w:bottom w:val="double" w:sz="6" w:space="0" w:color="000000"/>
            </w:tcBorders>
          </w:tcPr>
          <w:p>
            <w:pPr>
              <w:pStyle w:val="TableParagraph"/>
              <w:spacing w:line="205" w:lineRule="exact"/>
              <w:ind w:left="169" w:right="65"/>
              <w:jc w:val="center"/>
              <w:rPr>
                <w:sz w:val="20"/>
              </w:rPr>
            </w:pPr>
            <w:r>
              <w:rPr>
                <w:spacing w:val="-4"/>
                <w:sz w:val="20"/>
              </w:rPr>
              <w:t>-</w:t>
            </w:r>
            <w:r>
              <w:rPr>
                <w:spacing w:val="-2"/>
                <w:sz w:val="20"/>
              </w:rPr>
              <w:t>4.612031</w:t>
            </w:r>
          </w:p>
        </w:tc>
        <w:tc>
          <w:tcPr>
            <w:tcW w:w="930" w:type="dxa"/>
            <w:tcBorders>
              <w:bottom w:val="double" w:sz="6" w:space="0" w:color="000000"/>
            </w:tcBorders>
          </w:tcPr>
          <w:p>
            <w:pPr>
              <w:pStyle w:val="TableParagraph"/>
              <w:spacing w:line="205" w:lineRule="exact"/>
              <w:ind w:right="31"/>
              <w:jc w:val="right"/>
              <w:rPr>
                <w:sz w:val="20"/>
              </w:rPr>
            </w:pPr>
            <w:r>
              <w:rPr>
                <w:spacing w:val="-2"/>
                <w:sz w:val="20"/>
              </w:rPr>
              <w:t>0.0001</w:t>
            </w:r>
          </w:p>
        </w:tc>
      </w:tr>
      <w:tr>
        <w:trPr>
          <w:trHeight w:val="275" w:hRule="atLeast"/>
        </w:trPr>
        <w:tc>
          <w:tcPr>
            <w:tcW w:w="2017" w:type="dxa"/>
            <w:tcBorders>
              <w:top w:val="double" w:sz="6" w:space="0" w:color="000000"/>
            </w:tcBorders>
          </w:tcPr>
          <w:p>
            <w:pPr>
              <w:pStyle w:val="TableParagraph"/>
              <w:spacing w:line="215" w:lineRule="exact" w:before="40"/>
              <w:ind w:left="36"/>
              <w:rPr>
                <w:sz w:val="20"/>
              </w:rPr>
            </w:pPr>
            <w:r>
              <w:rPr>
                <w:spacing w:val="-2"/>
                <w:sz w:val="20"/>
              </w:rPr>
              <w:t>R-squared</w:t>
            </w:r>
          </w:p>
        </w:tc>
        <w:tc>
          <w:tcPr>
            <w:tcW w:w="1206" w:type="dxa"/>
            <w:tcBorders>
              <w:top w:val="double" w:sz="6" w:space="0" w:color="000000"/>
            </w:tcBorders>
          </w:tcPr>
          <w:p>
            <w:pPr>
              <w:pStyle w:val="TableParagraph"/>
              <w:spacing w:line="215" w:lineRule="exact" w:before="40"/>
              <w:ind w:left="191"/>
              <w:jc w:val="center"/>
              <w:rPr>
                <w:sz w:val="20"/>
              </w:rPr>
            </w:pPr>
            <w:r>
              <w:rPr>
                <w:spacing w:val="-2"/>
                <w:sz w:val="20"/>
              </w:rPr>
              <w:t>0.915781</w:t>
            </w:r>
          </w:p>
        </w:tc>
        <w:tc>
          <w:tcPr>
            <w:tcW w:w="2338" w:type="dxa"/>
            <w:gridSpan w:val="2"/>
            <w:tcBorders>
              <w:top w:val="double" w:sz="6" w:space="0" w:color="000000"/>
            </w:tcBorders>
          </w:tcPr>
          <w:p>
            <w:pPr>
              <w:pStyle w:val="TableParagraph"/>
              <w:spacing w:line="215" w:lineRule="exact" w:before="40"/>
              <w:ind w:left="130"/>
              <w:rPr>
                <w:sz w:val="20"/>
              </w:rPr>
            </w:pPr>
            <w:r>
              <w:rPr>
                <w:sz w:val="20"/>
              </w:rPr>
              <w:t>Mean</w:t>
            </w:r>
            <w:r>
              <w:rPr>
                <w:spacing w:val="-7"/>
                <w:sz w:val="20"/>
              </w:rPr>
              <w:t> </w:t>
            </w:r>
            <w:r>
              <w:rPr>
                <w:sz w:val="20"/>
              </w:rPr>
              <w:t>dependent</w:t>
            </w:r>
            <w:r>
              <w:rPr>
                <w:spacing w:val="-7"/>
                <w:sz w:val="20"/>
              </w:rPr>
              <w:t> </w:t>
            </w:r>
            <w:r>
              <w:rPr>
                <w:spacing w:val="-5"/>
                <w:sz w:val="20"/>
              </w:rPr>
              <w:t>var</w:t>
            </w:r>
          </w:p>
        </w:tc>
        <w:tc>
          <w:tcPr>
            <w:tcW w:w="930" w:type="dxa"/>
            <w:tcBorders>
              <w:top w:val="double" w:sz="6" w:space="0" w:color="000000"/>
            </w:tcBorders>
          </w:tcPr>
          <w:p>
            <w:pPr>
              <w:pStyle w:val="TableParagraph"/>
              <w:spacing w:line="215" w:lineRule="exact" w:before="40"/>
              <w:ind w:right="31"/>
              <w:jc w:val="right"/>
              <w:rPr>
                <w:sz w:val="20"/>
              </w:rPr>
            </w:pPr>
            <w:r>
              <w:rPr>
                <w:spacing w:val="-4"/>
                <w:sz w:val="20"/>
              </w:rPr>
              <w:t>-</w:t>
            </w:r>
            <w:r>
              <w:rPr>
                <w:spacing w:val="-2"/>
                <w:sz w:val="20"/>
              </w:rPr>
              <w:t>0.001876</w:t>
            </w:r>
          </w:p>
        </w:tc>
      </w:tr>
      <w:tr>
        <w:trPr>
          <w:trHeight w:val="230" w:hRule="atLeast"/>
        </w:trPr>
        <w:tc>
          <w:tcPr>
            <w:tcW w:w="2017" w:type="dxa"/>
          </w:tcPr>
          <w:p>
            <w:pPr>
              <w:pStyle w:val="TableParagraph"/>
              <w:spacing w:line="210" w:lineRule="exact"/>
              <w:ind w:left="36"/>
              <w:rPr>
                <w:sz w:val="20"/>
              </w:rPr>
            </w:pPr>
            <w:r>
              <w:rPr>
                <w:sz w:val="20"/>
              </w:rPr>
              <w:t>Adjusted</w:t>
            </w:r>
            <w:r>
              <w:rPr>
                <w:spacing w:val="-10"/>
                <w:sz w:val="20"/>
              </w:rPr>
              <w:t> </w:t>
            </w:r>
            <w:r>
              <w:rPr>
                <w:sz w:val="20"/>
              </w:rPr>
              <w:t>R-</w:t>
            </w:r>
            <w:r>
              <w:rPr>
                <w:spacing w:val="-2"/>
                <w:sz w:val="20"/>
              </w:rPr>
              <w:t>squared</w:t>
            </w:r>
          </w:p>
        </w:tc>
        <w:tc>
          <w:tcPr>
            <w:tcW w:w="1206" w:type="dxa"/>
          </w:tcPr>
          <w:p>
            <w:pPr>
              <w:pStyle w:val="TableParagraph"/>
              <w:spacing w:line="210" w:lineRule="exact"/>
              <w:ind w:left="191"/>
              <w:jc w:val="center"/>
              <w:rPr>
                <w:sz w:val="20"/>
              </w:rPr>
            </w:pPr>
            <w:r>
              <w:rPr>
                <w:spacing w:val="-2"/>
                <w:sz w:val="20"/>
              </w:rPr>
              <w:t>0.854532</w:t>
            </w:r>
          </w:p>
        </w:tc>
        <w:tc>
          <w:tcPr>
            <w:tcW w:w="2338" w:type="dxa"/>
            <w:gridSpan w:val="2"/>
          </w:tcPr>
          <w:p>
            <w:pPr>
              <w:pStyle w:val="TableParagraph"/>
              <w:spacing w:line="210" w:lineRule="exact"/>
              <w:ind w:left="130"/>
              <w:rPr>
                <w:sz w:val="20"/>
              </w:rPr>
            </w:pPr>
            <w:r>
              <w:rPr>
                <w:sz w:val="20"/>
              </w:rPr>
              <w:t>S.D.</w:t>
            </w:r>
            <w:r>
              <w:rPr>
                <w:spacing w:val="-5"/>
                <w:sz w:val="20"/>
              </w:rPr>
              <w:t> </w:t>
            </w:r>
            <w:r>
              <w:rPr>
                <w:sz w:val="20"/>
              </w:rPr>
              <w:t>dependent</w:t>
            </w:r>
            <w:r>
              <w:rPr>
                <w:spacing w:val="-6"/>
                <w:sz w:val="20"/>
              </w:rPr>
              <w:t> </w:t>
            </w:r>
            <w:r>
              <w:rPr>
                <w:spacing w:val="-5"/>
                <w:sz w:val="20"/>
              </w:rPr>
              <w:t>var</w:t>
            </w:r>
          </w:p>
        </w:tc>
        <w:tc>
          <w:tcPr>
            <w:tcW w:w="930" w:type="dxa"/>
          </w:tcPr>
          <w:p>
            <w:pPr>
              <w:pStyle w:val="TableParagraph"/>
              <w:spacing w:line="210" w:lineRule="exact"/>
              <w:ind w:right="31"/>
              <w:jc w:val="right"/>
              <w:rPr>
                <w:sz w:val="20"/>
              </w:rPr>
            </w:pPr>
            <w:r>
              <w:rPr>
                <w:spacing w:val="-2"/>
                <w:sz w:val="20"/>
              </w:rPr>
              <w:t>1.827269</w:t>
            </w:r>
          </w:p>
        </w:tc>
      </w:tr>
      <w:tr>
        <w:trPr>
          <w:trHeight w:val="230" w:hRule="atLeast"/>
        </w:trPr>
        <w:tc>
          <w:tcPr>
            <w:tcW w:w="2017" w:type="dxa"/>
          </w:tcPr>
          <w:p>
            <w:pPr>
              <w:pStyle w:val="TableParagraph"/>
              <w:spacing w:line="210" w:lineRule="exact"/>
              <w:ind w:left="36"/>
              <w:rPr>
                <w:sz w:val="20"/>
              </w:rPr>
            </w:pPr>
            <w:r>
              <w:rPr>
                <w:sz w:val="20"/>
              </w:rPr>
              <w:t>S.E.</w:t>
            </w:r>
            <w:r>
              <w:rPr>
                <w:spacing w:val="-3"/>
                <w:sz w:val="20"/>
              </w:rPr>
              <w:t> </w:t>
            </w:r>
            <w:r>
              <w:rPr>
                <w:sz w:val="20"/>
              </w:rPr>
              <w:t>of</w:t>
            </w:r>
            <w:r>
              <w:rPr>
                <w:spacing w:val="-3"/>
                <w:sz w:val="20"/>
              </w:rPr>
              <w:t> </w:t>
            </w:r>
            <w:r>
              <w:rPr>
                <w:spacing w:val="-2"/>
                <w:sz w:val="20"/>
              </w:rPr>
              <w:t>regression</w:t>
            </w:r>
          </w:p>
        </w:tc>
        <w:tc>
          <w:tcPr>
            <w:tcW w:w="1206" w:type="dxa"/>
          </w:tcPr>
          <w:p>
            <w:pPr>
              <w:pStyle w:val="TableParagraph"/>
              <w:spacing w:line="210" w:lineRule="exact"/>
              <w:ind w:left="191"/>
              <w:jc w:val="center"/>
              <w:rPr>
                <w:sz w:val="20"/>
              </w:rPr>
            </w:pPr>
            <w:r>
              <w:rPr>
                <w:spacing w:val="-2"/>
                <w:sz w:val="20"/>
              </w:rPr>
              <w:t>0.696927</w:t>
            </w:r>
          </w:p>
        </w:tc>
        <w:tc>
          <w:tcPr>
            <w:tcW w:w="2338" w:type="dxa"/>
            <w:gridSpan w:val="2"/>
          </w:tcPr>
          <w:p>
            <w:pPr>
              <w:pStyle w:val="TableParagraph"/>
              <w:spacing w:line="210" w:lineRule="exact"/>
              <w:ind w:left="130"/>
              <w:rPr>
                <w:sz w:val="20"/>
              </w:rPr>
            </w:pPr>
            <w:r>
              <w:rPr>
                <w:sz w:val="20"/>
              </w:rPr>
              <w:t>Akaike</w:t>
            </w:r>
            <w:r>
              <w:rPr>
                <w:spacing w:val="-8"/>
                <w:sz w:val="20"/>
              </w:rPr>
              <w:t> </w:t>
            </w:r>
            <w:r>
              <w:rPr>
                <w:sz w:val="20"/>
              </w:rPr>
              <w:t>info</w:t>
            </w:r>
            <w:r>
              <w:rPr>
                <w:spacing w:val="-7"/>
                <w:sz w:val="20"/>
              </w:rPr>
              <w:t> </w:t>
            </w:r>
            <w:r>
              <w:rPr>
                <w:spacing w:val="-2"/>
                <w:sz w:val="20"/>
              </w:rPr>
              <w:t>criterion</w:t>
            </w:r>
          </w:p>
        </w:tc>
        <w:tc>
          <w:tcPr>
            <w:tcW w:w="930" w:type="dxa"/>
          </w:tcPr>
          <w:p>
            <w:pPr>
              <w:pStyle w:val="TableParagraph"/>
              <w:spacing w:line="210" w:lineRule="exact"/>
              <w:ind w:right="31"/>
              <w:jc w:val="right"/>
              <w:rPr>
                <w:sz w:val="20"/>
              </w:rPr>
            </w:pPr>
            <w:r>
              <w:rPr>
                <w:spacing w:val="-2"/>
                <w:sz w:val="20"/>
              </w:rPr>
              <w:t>2.415002</w:t>
            </w:r>
          </w:p>
        </w:tc>
      </w:tr>
      <w:tr>
        <w:trPr>
          <w:trHeight w:val="230" w:hRule="atLeast"/>
        </w:trPr>
        <w:tc>
          <w:tcPr>
            <w:tcW w:w="2017" w:type="dxa"/>
          </w:tcPr>
          <w:p>
            <w:pPr>
              <w:pStyle w:val="TableParagraph"/>
              <w:spacing w:line="210" w:lineRule="exact"/>
              <w:ind w:left="36"/>
              <w:rPr>
                <w:sz w:val="20"/>
              </w:rPr>
            </w:pPr>
            <w:r>
              <w:rPr>
                <w:sz w:val="20"/>
              </w:rPr>
              <w:t>Sum</w:t>
            </w:r>
            <w:r>
              <w:rPr>
                <w:spacing w:val="-8"/>
                <w:sz w:val="20"/>
              </w:rPr>
              <w:t> </w:t>
            </w:r>
            <w:r>
              <w:rPr>
                <w:sz w:val="20"/>
              </w:rPr>
              <w:t>squared</w:t>
            </w:r>
            <w:r>
              <w:rPr>
                <w:spacing w:val="-4"/>
                <w:sz w:val="20"/>
              </w:rPr>
              <w:t> </w:t>
            </w:r>
            <w:r>
              <w:rPr>
                <w:spacing w:val="-2"/>
                <w:sz w:val="20"/>
              </w:rPr>
              <w:t>resid</w:t>
            </w:r>
          </w:p>
        </w:tc>
        <w:tc>
          <w:tcPr>
            <w:tcW w:w="1206" w:type="dxa"/>
          </w:tcPr>
          <w:p>
            <w:pPr>
              <w:pStyle w:val="TableParagraph"/>
              <w:spacing w:line="210" w:lineRule="exact"/>
              <w:ind w:left="191"/>
              <w:jc w:val="center"/>
              <w:rPr>
                <w:sz w:val="20"/>
              </w:rPr>
            </w:pPr>
            <w:r>
              <w:rPr>
                <w:spacing w:val="-2"/>
                <w:sz w:val="20"/>
              </w:rPr>
              <w:t>10.68555</w:t>
            </w:r>
          </w:p>
        </w:tc>
        <w:tc>
          <w:tcPr>
            <w:tcW w:w="2338" w:type="dxa"/>
            <w:gridSpan w:val="2"/>
          </w:tcPr>
          <w:p>
            <w:pPr>
              <w:pStyle w:val="TableParagraph"/>
              <w:spacing w:line="210" w:lineRule="exact"/>
              <w:ind w:left="130"/>
              <w:rPr>
                <w:sz w:val="20"/>
              </w:rPr>
            </w:pPr>
            <w:r>
              <w:rPr>
                <w:sz w:val="20"/>
              </w:rPr>
              <w:t>Schwarz</w:t>
            </w:r>
            <w:r>
              <w:rPr>
                <w:spacing w:val="-8"/>
                <w:sz w:val="20"/>
              </w:rPr>
              <w:t> </w:t>
            </w:r>
            <w:r>
              <w:rPr>
                <w:spacing w:val="-2"/>
                <w:sz w:val="20"/>
              </w:rPr>
              <w:t>criterion</w:t>
            </w:r>
          </w:p>
        </w:tc>
        <w:tc>
          <w:tcPr>
            <w:tcW w:w="930" w:type="dxa"/>
          </w:tcPr>
          <w:p>
            <w:pPr>
              <w:pStyle w:val="TableParagraph"/>
              <w:spacing w:line="210" w:lineRule="exact"/>
              <w:ind w:right="31"/>
              <w:jc w:val="right"/>
              <w:rPr>
                <w:sz w:val="20"/>
              </w:rPr>
            </w:pPr>
            <w:r>
              <w:rPr>
                <w:spacing w:val="-2"/>
                <w:sz w:val="20"/>
              </w:rPr>
              <w:t>3.140145</w:t>
            </w:r>
          </w:p>
        </w:tc>
      </w:tr>
      <w:tr>
        <w:trPr>
          <w:trHeight w:val="265" w:hRule="atLeast"/>
        </w:trPr>
        <w:tc>
          <w:tcPr>
            <w:tcW w:w="2017" w:type="dxa"/>
            <w:tcBorders>
              <w:bottom w:val="double" w:sz="6" w:space="0" w:color="000000"/>
            </w:tcBorders>
          </w:tcPr>
          <w:p>
            <w:pPr>
              <w:pStyle w:val="TableParagraph"/>
              <w:spacing w:line="226" w:lineRule="exact"/>
              <w:ind w:left="36"/>
              <w:rPr>
                <w:sz w:val="20"/>
              </w:rPr>
            </w:pPr>
            <w:r>
              <w:rPr>
                <w:sz w:val="20"/>
              </w:rPr>
              <w:t>Log</w:t>
            </w:r>
            <w:r>
              <w:rPr>
                <w:spacing w:val="-6"/>
                <w:sz w:val="20"/>
              </w:rPr>
              <w:t> </w:t>
            </w:r>
            <w:r>
              <w:rPr>
                <w:spacing w:val="-2"/>
                <w:sz w:val="20"/>
              </w:rPr>
              <w:t>likelihood</w:t>
            </w:r>
          </w:p>
        </w:tc>
        <w:tc>
          <w:tcPr>
            <w:tcW w:w="1206" w:type="dxa"/>
            <w:tcBorders>
              <w:bottom w:val="single" w:sz="6" w:space="0" w:color="000000"/>
            </w:tcBorders>
          </w:tcPr>
          <w:p>
            <w:pPr>
              <w:pStyle w:val="TableParagraph"/>
              <w:spacing w:line="226" w:lineRule="exact"/>
              <w:ind w:left="127"/>
              <w:jc w:val="center"/>
              <w:rPr>
                <w:sz w:val="20"/>
              </w:rPr>
            </w:pPr>
            <w:r>
              <w:rPr>
                <w:spacing w:val="-4"/>
                <w:sz w:val="20"/>
              </w:rPr>
              <w:t>-</w:t>
            </w:r>
            <w:r>
              <w:rPr>
                <w:spacing w:val="-2"/>
                <w:sz w:val="20"/>
              </w:rPr>
              <w:t>30.09255</w:t>
            </w:r>
          </w:p>
        </w:tc>
        <w:tc>
          <w:tcPr>
            <w:tcW w:w="2338" w:type="dxa"/>
            <w:gridSpan w:val="2"/>
            <w:tcBorders>
              <w:bottom w:val="double" w:sz="6" w:space="0" w:color="000000"/>
            </w:tcBorders>
          </w:tcPr>
          <w:p>
            <w:pPr>
              <w:pStyle w:val="TableParagraph"/>
              <w:spacing w:line="226" w:lineRule="exact"/>
              <w:ind w:left="130"/>
              <w:rPr>
                <w:sz w:val="20"/>
              </w:rPr>
            </w:pPr>
            <w:r>
              <w:rPr>
                <w:spacing w:val="-2"/>
                <w:sz w:val="20"/>
              </w:rPr>
              <w:t>Durbin-Watson</w:t>
            </w:r>
            <w:r>
              <w:rPr>
                <w:spacing w:val="12"/>
                <w:sz w:val="20"/>
              </w:rPr>
              <w:t> </w:t>
            </w:r>
            <w:r>
              <w:rPr>
                <w:spacing w:val="-4"/>
                <w:sz w:val="20"/>
              </w:rPr>
              <w:t>stat</w:t>
            </w:r>
          </w:p>
        </w:tc>
        <w:tc>
          <w:tcPr>
            <w:tcW w:w="930" w:type="dxa"/>
            <w:tcBorders>
              <w:bottom w:val="double" w:sz="6" w:space="0" w:color="000000"/>
            </w:tcBorders>
          </w:tcPr>
          <w:p>
            <w:pPr>
              <w:pStyle w:val="TableParagraph"/>
              <w:spacing w:line="226" w:lineRule="exact"/>
              <w:ind w:right="31"/>
              <w:jc w:val="right"/>
              <w:rPr>
                <w:sz w:val="20"/>
              </w:rPr>
            </w:pPr>
            <w:r>
              <w:rPr>
                <w:spacing w:val="-2"/>
                <w:sz w:val="20"/>
              </w:rPr>
              <w:t>1.645959</w:t>
            </w:r>
          </w:p>
        </w:tc>
      </w:tr>
    </w:tbl>
    <w:p>
      <w:pPr>
        <w:spacing w:after="0" w:line="226" w:lineRule="exact"/>
        <w:jc w:val="right"/>
        <w:rPr>
          <w:sz w:val="20"/>
        </w:rPr>
        <w:sectPr>
          <w:pgSz w:w="11910" w:h="16840"/>
          <w:pgMar w:header="0" w:footer="979" w:top="1360" w:bottom="1240" w:left="280" w:right="0"/>
        </w:sectPr>
      </w:pPr>
    </w:p>
    <w:p>
      <w:pPr>
        <w:spacing w:before="62" w:after="3"/>
        <w:ind w:left="711" w:right="0" w:firstLine="0"/>
        <w:jc w:val="left"/>
        <w:rPr>
          <w:sz w:val="20"/>
        </w:rPr>
      </w:pPr>
      <w:r>
        <w:rPr>
          <w:sz w:val="20"/>
        </w:rPr>
        <w:t>PASSIMONIOUS</w:t>
      </w:r>
      <w:r>
        <w:rPr>
          <w:spacing w:val="-9"/>
          <w:sz w:val="20"/>
        </w:rPr>
        <w:t> </w:t>
      </w:r>
      <w:r>
        <w:rPr>
          <w:sz w:val="20"/>
        </w:rPr>
        <w:t>ECM</w:t>
      </w:r>
      <w:r>
        <w:rPr>
          <w:spacing w:val="-4"/>
          <w:sz w:val="20"/>
        </w:rPr>
        <w:t> </w:t>
      </w:r>
      <w:r>
        <w:rPr>
          <w:sz w:val="20"/>
        </w:rPr>
        <w:t>FOR</w:t>
      </w:r>
      <w:r>
        <w:rPr>
          <w:spacing w:val="-7"/>
          <w:sz w:val="20"/>
        </w:rPr>
        <w:t> </w:t>
      </w:r>
      <w:r>
        <w:rPr>
          <w:sz w:val="20"/>
        </w:rPr>
        <w:t>MODEL</w:t>
      </w:r>
      <w:r>
        <w:rPr>
          <w:spacing w:val="-10"/>
          <w:sz w:val="20"/>
        </w:rPr>
        <w:t> </w:t>
      </w:r>
      <w:r>
        <w:rPr>
          <w:spacing w:val="-5"/>
          <w:sz w:val="20"/>
        </w:rPr>
        <w:t>1A</w:t>
      </w:r>
    </w:p>
    <w:tbl>
      <w:tblPr>
        <w:tblW w:w="0" w:type="auto"/>
        <w:jc w:val="left"/>
        <w:tblInd w:w="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71"/>
        <w:gridCol w:w="1251"/>
        <w:gridCol w:w="1250"/>
        <w:gridCol w:w="1086"/>
        <w:gridCol w:w="929"/>
      </w:tblGrid>
      <w:tr>
        <w:trPr>
          <w:trHeight w:val="224" w:hRule="atLeast"/>
        </w:trPr>
        <w:tc>
          <w:tcPr>
            <w:tcW w:w="6487" w:type="dxa"/>
            <w:gridSpan w:val="5"/>
          </w:tcPr>
          <w:p>
            <w:pPr>
              <w:pStyle w:val="TableParagraph"/>
              <w:spacing w:line="204" w:lineRule="exact"/>
              <w:ind w:left="36"/>
              <w:rPr>
                <w:sz w:val="20"/>
              </w:rPr>
            </w:pPr>
            <w:r>
              <w:rPr>
                <w:sz w:val="20"/>
              </w:rPr>
              <w:t>Dependent</w:t>
            </w:r>
            <w:r>
              <w:rPr>
                <w:spacing w:val="-8"/>
                <w:sz w:val="20"/>
              </w:rPr>
              <w:t> </w:t>
            </w:r>
            <w:r>
              <w:rPr>
                <w:sz w:val="20"/>
              </w:rPr>
              <w:t>Variable:</w:t>
            </w:r>
            <w:r>
              <w:rPr>
                <w:spacing w:val="-8"/>
                <w:sz w:val="20"/>
              </w:rPr>
              <w:t> </w:t>
            </w:r>
            <w:r>
              <w:rPr>
                <w:spacing w:val="-2"/>
                <w:sz w:val="20"/>
              </w:rPr>
              <w:t>D(KFW,2)</w:t>
            </w:r>
          </w:p>
        </w:tc>
      </w:tr>
      <w:tr>
        <w:trPr>
          <w:trHeight w:val="229" w:hRule="atLeast"/>
        </w:trPr>
        <w:tc>
          <w:tcPr>
            <w:tcW w:w="1971" w:type="dxa"/>
          </w:tcPr>
          <w:p>
            <w:pPr>
              <w:pStyle w:val="TableParagraph"/>
              <w:spacing w:line="209" w:lineRule="exact"/>
              <w:ind w:left="36"/>
              <w:rPr>
                <w:sz w:val="20"/>
              </w:rPr>
            </w:pPr>
            <w:r>
              <w:rPr>
                <w:sz w:val="20"/>
              </w:rPr>
              <w:t>Method:</w:t>
            </w:r>
            <w:r>
              <w:rPr>
                <w:spacing w:val="-8"/>
                <w:sz w:val="20"/>
              </w:rPr>
              <w:t> </w:t>
            </w:r>
            <w:r>
              <w:rPr>
                <w:sz w:val="20"/>
              </w:rPr>
              <w:t>Least</w:t>
            </w:r>
            <w:r>
              <w:rPr>
                <w:spacing w:val="-7"/>
                <w:sz w:val="20"/>
              </w:rPr>
              <w:t> </w:t>
            </w:r>
            <w:r>
              <w:rPr>
                <w:spacing w:val="-2"/>
                <w:sz w:val="20"/>
              </w:rPr>
              <w:t>Squares</w:t>
            </w:r>
          </w:p>
        </w:tc>
        <w:tc>
          <w:tcPr>
            <w:tcW w:w="1251" w:type="dxa"/>
          </w:tcPr>
          <w:p>
            <w:pPr>
              <w:pStyle w:val="TableParagraph"/>
              <w:rPr>
                <w:sz w:val="16"/>
              </w:rPr>
            </w:pPr>
          </w:p>
        </w:tc>
        <w:tc>
          <w:tcPr>
            <w:tcW w:w="1250" w:type="dxa"/>
          </w:tcPr>
          <w:p>
            <w:pPr>
              <w:pStyle w:val="TableParagraph"/>
              <w:rPr>
                <w:sz w:val="16"/>
              </w:rPr>
            </w:pPr>
          </w:p>
        </w:tc>
        <w:tc>
          <w:tcPr>
            <w:tcW w:w="1086" w:type="dxa"/>
          </w:tcPr>
          <w:p>
            <w:pPr>
              <w:pStyle w:val="TableParagraph"/>
              <w:rPr>
                <w:sz w:val="16"/>
              </w:rPr>
            </w:pPr>
          </w:p>
        </w:tc>
        <w:tc>
          <w:tcPr>
            <w:tcW w:w="929" w:type="dxa"/>
          </w:tcPr>
          <w:p>
            <w:pPr>
              <w:pStyle w:val="TableParagraph"/>
              <w:rPr>
                <w:sz w:val="16"/>
              </w:rPr>
            </w:pPr>
          </w:p>
        </w:tc>
      </w:tr>
      <w:tr>
        <w:trPr>
          <w:trHeight w:val="230" w:hRule="atLeast"/>
        </w:trPr>
        <w:tc>
          <w:tcPr>
            <w:tcW w:w="6487" w:type="dxa"/>
            <w:gridSpan w:val="5"/>
          </w:tcPr>
          <w:p>
            <w:pPr>
              <w:pStyle w:val="TableParagraph"/>
              <w:spacing w:line="210" w:lineRule="exact"/>
              <w:ind w:left="36"/>
              <w:rPr>
                <w:sz w:val="20"/>
              </w:rPr>
            </w:pPr>
            <w:r>
              <w:rPr>
                <w:sz w:val="20"/>
              </w:rPr>
              <w:t>Date:</w:t>
            </w:r>
            <w:r>
              <w:rPr>
                <w:spacing w:val="-4"/>
                <w:sz w:val="20"/>
              </w:rPr>
              <w:t> </w:t>
            </w:r>
            <w:r>
              <w:rPr>
                <w:sz w:val="20"/>
              </w:rPr>
              <w:t>02/18/14</w:t>
            </w:r>
            <w:r>
              <w:rPr>
                <w:spacing w:val="63"/>
                <w:w w:val="150"/>
                <w:sz w:val="20"/>
              </w:rPr>
              <w:t> </w:t>
            </w:r>
            <w:r>
              <w:rPr>
                <w:sz w:val="20"/>
              </w:rPr>
              <w:t>Time:</w:t>
            </w:r>
            <w:r>
              <w:rPr>
                <w:spacing w:val="-3"/>
                <w:sz w:val="20"/>
              </w:rPr>
              <w:t> </w:t>
            </w:r>
            <w:r>
              <w:rPr>
                <w:spacing w:val="-4"/>
                <w:sz w:val="20"/>
              </w:rPr>
              <w:t>09:45</w:t>
            </w:r>
          </w:p>
        </w:tc>
      </w:tr>
      <w:tr>
        <w:trPr>
          <w:trHeight w:val="230" w:hRule="atLeast"/>
        </w:trPr>
        <w:tc>
          <w:tcPr>
            <w:tcW w:w="6487" w:type="dxa"/>
            <w:gridSpan w:val="5"/>
          </w:tcPr>
          <w:p>
            <w:pPr>
              <w:pStyle w:val="TableParagraph"/>
              <w:spacing w:line="210" w:lineRule="exact"/>
              <w:ind w:left="36"/>
              <w:rPr>
                <w:sz w:val="20"/>
              </w:rPr>
            </w:pPr>
            <w:r>
              <w:rPr>
                <w:sz w:val="20"/>
              </w:rPr>
              <w:t>Sample(adjusted):</w:t>
            </w:r>
            <w:r>
              <w:rPr>
                <w:spacing w:val="-9"/>
                <w:sz w:val="20"/>
              </w:rPr>
              <w:t> </w:t>
            </w:r>
            <w:r>
              <w:rPr>
                <w:sz w:val="20"/>
              </w:rPr>
              <w:t>1973</w:t>
            </w:r>
            <w:r>
              <w:rPr>
                <w:spacing w:val="-9"/>
                <w:sz w:val="20"/>
              </w:rPr>
              <w:t> </w:t>
            </w:r>
            <w:r>
              <w:rPr>
                <w:spacing w:val="-4"/>
                <w:sz w:val="20"/>
              </w:rPr>
              <w:t>2011</w:t>
            </w:r>
          </w:p>
        </w:tc>
      </w:tr>
      <w:tr>
        <w:trPr>
          <w:trHeight w:val="224" w:hRule="atLeast"/>
        </w:trPr>
        <w:tc>
          <w:tcPr>
            <w:tcW w:w="6487" w:type="dxa"/>
            <w:gridSpan w:val="5"/>
            <w:tcBorders>
              <w:bottom w:val="double" w:sz="6" w:space="0" w:color="000000"/>
            </w:tcBorders>
          </w:tcPr>
          <w:p>
            <w:pPr>
              <w:pStyle w:val="TableParagraph"/>
              <w:spacing w:line="205" w:lineRule="exact"/>
              <w:ind w:left="36"/>
              <w:rPr>
                <w:sz w:val="20"/>
              </w:rPr>
            </w:pPr>
            <w:r>
              <w:rPr>
                <w:sz w:val="20"/>
              </w:rPr>
              <w:t>Included</w:t>
            </w:r>
            <w:r>
              <w:rPr>
                <w:spacing w:val="-6"/>
                <w:sz w:val="20"/>
              </w:rPr>
              <w:t> </w:t>
            </w:r>
            <w:r>
              <w:rPr>
                <w:sz w:val="20"/>
              </w:rPr>
              <w:t>observations:</w:t>
            </w:r>
            <w:r>
              <w:rPr>
                <w:spacing w:val="-8"/>
                <w:sz w:val="20"/>
              </w:rPr>
              <w:t> </w:t>
            </w:r>
            <w:r>
              <w:rPr>
                <w:sz w:val="20"/>
              </w:rPr>
              <w:t>39</w:t>
            </w:r>
            <w:r>
              <w:rPr>
                <w:spacing w:val="-5"/>
                <w:sz w:val="20"/>
              </w:rPr>
              <w:t> </w:t>
            </w:r>
            <w:r>
              <w:rPr>
                <w:sz w:val="20"/>
              </w:rPr>
              <w:t>after</w:t>
            </w:r>
            <w:r>
              <w:rPr>
                <w:spacing w:val="-7"/>
                <w:sz w:val="20"/>
              </w:rPr>
              <w:t> </w:t>
            </w:r>
            <w:r>
              <w:rPr>
                <w:sz w:val="20"/>
              </w:rPr>
              <w:t>adjusting</w:t>
            </w:r>
            <w:r>
              <w:rPr>
                <w:spacing w:val="-7"/>
                <w:sz w:val="20"/>
              </w:rPr>
              <w:t> </w:t>
            </w:r>
            <w:r>
              <w:rPr>
                <w:spacing w:val="-2"/>
                <w:sz w:val="20"/>
              </w:rPr>
              <w:t>endpoints</w:t>
            </w:r>
          </w:p>
        </w:tc>
      </w:tr>
      <w:tr>
        <w:trPr>
          <w:trHeight w:val="269" w:hRule="atLeast"/>
        </w:trPr>
        <w:tc>
          <w:tcPr>
            <w:tcW w:w="1971" w:type="dxa"/>
            <w:tcBorders>
              <w:top w:val="double" w:sz="6" w:space="0" w:color="000000"/>
              <w:bottom w:val="double" w:sz="6" w:space="0" w:color="000000"/>
            </w:tcBorders>
          </w:tcPr>
          <w:p>
            <w:pPr>
              <w:pStyle w:val="TableParagraph"/>
              <w:spacing w:line="209" w:lineRule="exact" w:before="40"/>
              <w:ind w:left="677"/>
              <w:rPr>
                <w:sz w:val="20"/>
              </w:rPr>
            </w:pPr>
            <w:r>
              <w:rPr>
                <w:spacing w:val="-2"/>
                <w:sz w:val="20"/>
              </w:rPr>
              <w:t>Variable</w:t>
            </w:r>
          </w:p>
        </w:tc>
        <w:tc>
          <w:tcPr>
            <w:tcW w:w="1251" w:type="dxa"/>
            <w:tcBorders>
              <w:top w:val="double" w:sz="6" w:space="0" w:color="000000"/>
              <w:bottom w:val="double" w:sz="6" w:space="0" w:color="000000"/>
            </w:tcBorders>
          </w:tcPr>
          <w:p>
            <w:pPr>
              <w:pStyle w:val="TableParagraph"/>
              <w:spacing w:line="209" w:lineRule="exact" w:before="40"/>
              <w:ind w:left="174" w:right="87"/>
              <w:jc w:val="center"/>
              <w:rPr>
                <w:sz w:val="20"/>
              </w:rPr>
            </w:pPr>
            <w:r>
              <w:rPr>
                <w:spacing w:val="-2"/>
                <w:sz w:val="20"/>
              </w:rPr>
              <w:t>Coefficient</w:t>
            </w:r>
          </w:p>
        </w:tc>
        <w:tc>
          <w:tcPr>
            <w:tcW w:w="1250" w:type="dxa"/>
            <w:tcBorders>
              <w:top w:val="double" w:sz="6" w:space="0" w:color="000000"/>
              <w:bottom w:val="double" w:sz="6" w:space="0" w:color="000000"/>
            </w:tcBorders>
          </w:tcPr>
          <w:p>
            <w:pPr>
              <w:pStyle w:val="TableParagraph"/>
              <w:spacing w:line="209" w:lineRule="exact" w:before="40"/>
              <w:ind w:left="124" w:right="38"/>
              <w:jc w:val="center"/>
              <w:rPr>
                <w:sz w:val="20"/>
              </w:rPr>
            </w:pPr>
            <w:r>
              <w:rPr>
                <w:sz w:val="20"/>
              </w:rPr>
              <w:t>Std.</w:t>
            </w:r>
            <w:r>
              <w:rPr>
                <w:spacing w:val="-4"/>
                <w:sz w:val="20"/>
              </w:rPr>
              <w:t> </w:t>
            </w:r>
            <w:r>
              <w:rPr>
                <w:spacing w:val="-2"/>
                <w:sz w:val="20"/>
              </w:rPr>
              <w:t>Error</w:t>
            </w:r>
          </w:p>
        </w:tc>
        <w:tc>
          <w:tcPr>
            <w:tcW w:w="1086" w:type="dxa"/>
            <w:tcBorders>
              <w:top w:val="double" w:sz="6" w:space="0" w:color="000000"/>
              <w:bottom w:val="double" w:sz="6" w:space="0" w:color="000000"/>
            </w:tcBorders>
          </w:tcPr>
          <w:p>
            <w:pPr>
              <w:pStyle w:val="TableParagraph"/>
              <w:spacing w:line="209" w:lineRule="exact" w:before="40"/>
              <w:ind w:left="174" w:right="17"/>
              <w:jc w:val="center"/>
              <w:rPr>
                <w:sz w:val="20"/>
              </w:rPr>
            </w:pPr>
            <w:r>
              <w:rPr>
                <w:spacing w:val="-4"/>
                <w:sz w:val="20"/>
              </w:rPr>
              <w:t>t-</w:t>
            </w:r>
            <w:r>
              <w:rPr>
                <w:spacing w:val="-2"/>
                <w:sz w:val="20"/>
              </w:rPr>
              <w:t>Statistic</w:t>
            </w:r>
          </w:p>
        </w:tc>
        <w:tc>
          <w:tcPr>
            <w:tcW w:w="929" w:type="dxa"/>
            <w:tcBorders>
              <w:top w:val="double" w:sz="6" w:space="0" w:color="000000"/>
              <w:bottom w:val="double" w:sz="6" w:space="0" w:color="000000"/>
            </w:tcBorders>
          </w:tcPr>
          <w:p>
            <w:pPr>
              <w:pStyle w:val="TableParagraph"/>
              <w:spacing w:line="209" w:lineRule="exact" w:before="40"/>
              <w:ind w:right="28"/>
              <w:jc w:val="right"/>
              <w:rPr>
                <w:sz w:val="20"/>
              </w:rPr>
            </w:pPr>
            <w:r>
              <w:rPr>
                <w:spacing w:val="-2"/>
                <w:sz w:val="20"/>
              </w:rPr>
              <w:t>Prob.</w:t>
            </w:r>
          </w:p>
        </w:tc>
      </w:tr>
      <w:tr>
        <w:trPr>
          <w:trHeight w:val="275" w:hRule="atLeast"/>
        </w:trPr>
        <w:tc>
          <w:tcPr>
            <w:tcW w:w="1971" w:type="dxa"/>
            <w:tcBorders>
              <w:top w:val="double" w:sz="6" w:space="0" w:color="000000"/>
            </w:tcBorders>
          </w:tcPr>
          <w:p>
            <w:pPr>
              <w:pStyle w:val="TableParagraph"/>
              <w:spacing w:line="215" w:lineRule="exact" w:before="40"/>
              <w:ind w:left="353"/>
              <w:rPr>
                <w:sz w:val="20"/>
              </w:rPr>
            </w:pPr>
            <w:r>
              <w:rPr>
                <w:spacing w:val="-2"/>
                <w:sz w:val="20"/>
              </w:rPr>
              <w:t>D(EXTDEBT,2)</w:t>
            </w:r>
          </w:p>
        </w:tc>
        <w:tc>
          <w:tcPr>
            <w:tcW w:w="1251" w:type="dxa"/>
            <w:tcBorders>
              <w:top w:val="double" w:sz="6" w:space="0" w:color="000000"/>
            </w:tcBorders>
          </w:tcPr>
          <w:p>
            <w:pPr>
              <w:pStyle w:val="TableParagraph"/>
              <w:spacing w:line="215" w:lineRule="exact" w:before="40"/>
              <w:ind w:left="238"/>
              <w:jc w:val="center"/>
              <w:rPr>
                <w:sz w:val="20"/>
              </w:rPr>
            </w:pPr>
            <w:r>
              <w:rPr>
                <w:spacing w:val="-2"/>
                <w:sz w:val="20"/>
              </w:rPr>
              <w:t>0.208801</w:t>
            </w:r>
          </w:p>
        </w:tc>
        <w:tc>
          <w:tcPr>
            <w:tcW w:w="1250" w:type="dxa"/>
            <w:tcBorders>
              <w:top w:val="double" w:sz="6" w:space="0" w:color="000000"/>
            </w:tcBorders>
          </w:tcPr>
          <w:p>
            <w:pPr>
              <w:pStyle w:val="TableParagraph"/>
              <w:spacing w:line="215" w:lineRule="exact" w:before="40"/>
              <w:ind w:left="124"/>
              <w:jc w:val="center"/>
              <w:rPr>
                <w:sz w:val="20"/>
              </w:rPr>
            </w:pPr>
            <w:r>
              <w:rPr>
                <w:spacing w:val="-2"/>
                <w:sz w:val="20"/>
              </w:rPr>
              <w:t>0.047477</w:t>
            </w:r>
          </w:p>
        </w:tc>
        <w:tc>
          <w:tcPr>
            <w:tcW w:w="1086" w:type="dxa"/>
            <w:tcBorders>
              <w:top w:val="double" w:sz="6" w:space="0" w:color="000000"/>
            </w:tcBorders>
          </w:tcPr>
          <w:p>
            <w:pPr>
              <w:pStyle w:val="TableParagraph"/>
              <w:spacing w:line="215" w:lineRule="exact" w:before="40"/>
              <w:ind w:left="174"/>
              <w:jc w:val="center"/>
              <w:rPr>
                <w:sz w:val="20"/>
              </w:rPr>
            </w:pPr>
            <w:r>
              <w:rPr>
                <w:spacing w:val="-2"/>
                <w:sz w:val="20"/>
              </w:rPr>
              <w:t>4.397968</w:t>
            </w:r>
          </w:p>
        </w:tc>
        <w:tc>
          <w:tcPr>
            <w:tcW w:w="929" w:type="dxa"/>
            <w:tcBorders>
              <w:top w:val="double" w:sz="6" w:space="0" w:color="000000"/>
            </w:tcBorders>
          </w:tcPr>
          <w:p>
            <w:pPr>
              <w:pStyle w:val="TableParagraph"/>
              <w:spacing w:line="215" w:lineRule="exact" w:before="40"/>
              <w:ind w:right="27"/>
              <w:jc w:val="right"/>
              <w:rPr>
                <w:sz w:val="20"/>
              </w:rPr>
            </w:pPr>
            <w:r>
              <w:rPr>
                <w:spacing w:val="-2"/>
                <w:sz w:val="20"/>
              </w:rPr>
              <w:t>0.0001</w:t>
            </w:r>
          </w:p>
        </w:tc>
      </w:tr>
      <w:tr>
        <w:trPr>
          <w:trHeight w:val="230" w:hRule="atLeast"/>
        </w:trPr>
        <w:tc>
          <w:tcPr>
            <w:tcW w:w="1971" w:type="dxa"/>
          </w:tcPr>
          <w:p>
            <w:pPr>
              <w:pStyle w:val="TableParagraph"/>
              <w:spacing w:line="210" w:lineRule="exact"/>
              <w:ind w:left="458"/>
              <w:rPr>
                <w:sz w:val="20"/>
              </w:rPr>
            </w:pPr>
            <w:r>
              <w:rPr>
                <w:spacing w:val="-2"/>
                <w:sz w:val="20"/>
              </w:rPr>
              <w:t>D(DOP(-1),2)</w:t>
            </w:r>
          </w:p>
        </w:tc>
        <w:tc>
          <w:tcPr>
            <w:tcW w:w="1251" w:type="dxa"/>
          </w:tcPr>
          <w:p>
            <w:pPr>
              <w:pStyle w:val="TableParagraph"/>
              <w:spacing w:line="210" w:lineRule="exact"/>
              <w:ind w:left="174"/>
              <w:jc w:val="center"/>
              <w:rPr>
                <w:sz w:val="20"/>
              </w:rPr>
            </w:pPr>
            <w:r>
              <w:rPr>
                <w:spacing w:val="-4"/>
                <w:sz w:val="20"/>
              </w:rPr>
              <w:t>-</w:t>
            </w:r>
            <w:r>
              <w:rPr>
                <w:spacing w:val="-2"/>
                <w:sz w:val="20"/>
              </w:rPr>
              <w:t>0.601640</w:t>
            </w:r>
          </w:p>
        </w:tc>
        <w:tc>
          <w:tcPr>
            <w:tcW w:w="1250" w:type="dxa"/>
          </w:tcPr>
          <w:p>
            <w:pPr>
              <w:pStyle w:val="TableParagraph"/>
              <w:spacing w:line="210" w:lineRule="exact"/>
              <w:ind w:left="124"/>
              <w:jc w:val="center"/>
              <w:rPr>
                <w:sz w:val="20"/>
              </w:rPr>
            </w:pPr>
            <w:r>
              <w:rPr>
                <w:spacing w:val="-2"/>
                <w:sz w:val="20"/>
              </w:rPr>
              <w:t>0.407675</w:t>
            </w:r>
          </w:p>
        </w:tc>
        <w:tc>
          <w:tcPr>
            <w:tcW w:w="1086" w:type="dxa"/>
          </w:tcPr>
          <w:p>
            <w:pPr>
              <w:pStyle w:val="TableParagraph"/>
              <w:spacing w:line="210" w:lineRule="exact"/>
              <w:ind w:left="174" w:right="65"/>
              <w:jc w:val="center"/>
              <w:rPr>
                <w:sz w:val="20"/>
              </w:rPr>
            </w:pPr>
            <w:r>
              <w:rPr>
                <w:spacing w:val="-4"/>
                <w:sz w:val="20"/>
              </w:rPr>
              <w:t>-</w:t>
            </w:r>
            <w:r>
              <w:rPr>
                <w:spacing w:val="-2"/>
                <w:sz w:val="20"/>
              </w:rPr>
              <w:t>1.475782</w:t>
            </w:r>
          </w:p>
        </w:tc>
        <w:tc>
          <w:tcPr>
            <w:tcW w:w="929" w:type="dxa"/>
          </w:tcPr>
          <w:p>
            <w:pPr>
              <w:pStyle w:val="TableParagraph"/>
              <w:spacing w:line="210" w:lineRule="exact"/>
              <w:ind w:right="27"/>
              <w:jc w:val="right"/>
              <w:rPr>
                <w:sz w:val="20"/>
              </w:rPr>
            </w:pPr>
            <w:r>
              <w:rPr>
                <w:spacing w:val="-2"/>
                <w:sz w:val="20"/>
              </w:rPr>
              <w:t>0.1504</w:t>
            </w:r>
          </w:p>
        </w:tc>
      </w:tr>
      <w:tr>
        <w:trPr>
          <w:trHeight w:val="230" w:hRule="atLeast"/>
        </w:trPr>
        <w:tc>
          <w:tcPr>
            <w:tcW w:w="1971" w:type="dxa"/>
          </w:tcPr>
          <w:p>
            <w:pPr>
              <w:pStyle w:val="TableParagraph"/>
              <w:spacing w:line="210" w:lineRule="exact"/>
              <w:ind w:left="648"/>
              <w:rPr>
                <w:sz w:val="20"/>
              </w:rPr>
            </w:pPr>
            <w:r>
              <w:rPr>
                <w:spacing w:val="-2"/>
                <w:sz w:val="20"/>
              </w:rPr>
              <w:t>D(INF,2)</w:t>
            </w:r>
          </w:p>
        </w:tc>
        <w:tc>
          <w:tcPr>
            <w:tcW w:w="1251" w:type="dxa"/>
          </w:tcPr>
          <w:p>
            <w:pPr>
              <w:pStyle w:val="TableParagraph"/>
              <w:spacing w:line="210" w:lineRule="exact"/>
              <w:ind w:left="174"/>
              <w:jc w:val="center"/>
              <w:rPr>
                <w:sz w:val="20"/>
              </w:rPr>
            </w:pPr>
            <w:r>
              <w:rPr>
                <w:spacing w:val="-4"/>
                <w:sz w:val="20"/>
              </w:rPr>
              <w:t>-</w:t>
            </w:r>
            <w:r>
              <w:rPr>
                <w:spacing w:val="-2"/>
                <w:sz w:val="20"/>
              </w:rPr>
              <w:t>0.194608</w:t>
            </w:r>
          </w:p>
        </w:tc>
        <w:tc>
          <w:tcPr>
            <w:tcW w:w="1250" w:type="dxa"/>
          </w:tcPr>
          <w:p>
            <w:pPr>
              <w:pStyle w:val="TableParagraph"/>
              <w:spacing w:line="210" w:lineRule="exact"/>
              <w:ind w:left="124"/>
              <w:jc w:val="center"/>
              <w:rPr>
                <w:sz w:val="20"/>
              </w:rPr>
            </w:pPr>
            <w:r>
              <w:rPr>
                <w:spacing w:val="-2"/>
                <w:sz w:val="20"/>
              </w:rPr>
              <w:t>0.139838</w:t>
            </w:r>
          </w:p>
        </w:tc>
        <w:tc>
          <w:tcPr>
            <w:tcW w:w="1086" w:type="dxa"/>
          </w:tcPr>
          <w:p>
            <w:pPr>
              <w:pStyle w:val="TableParagraph"/>
              <w:spacing w:line="210" w:lineRule="exact"/>
              <w:ind w:left="174" w:right="65"/>
              <w:jc w:val="center"/>
              <w:rPr>
                <w:sz w:val="20"/>
              </w:rPr>
            </w:pPr>
            <w:r>
              <w:rPr>
                <w:spacing w:val="-4"/>
                <w:sz w:val="20"/>
              </w:rPr>
              <w:t>-</w:t>
            </w:r>
            <w:r>
              <w:rPr>
                <w:spacing w:val="-2"/>
                <w:sz w:val="20"/>
              </w:rPr>
              <w:t>1.391667</w:t>
            </w:r>
          </w:p>
        </w:tc>
        <w:tc>
          <w:tcPr>
            <w:tcW w:w="929" w:type="dxa"/>
          </w:tcPr>
          <w:p>
            <w:pPr>
              <w:pStyle w:val="TableParagraph"/>
              <w:spacing w:line="210" w:lineRule="exact"/>
              <w:ind w:right="27"/>
              <w:jc w:val="right"/>
              <w:rPr>
                <w:sz w:val="20"/>
              </w:rPr>
            </w:pPr>
            <w:r>
              <w:rPr>
                <w:spacing w:val="-2"/>
                <w:sz w:val="20"/>
              </w:rPr>
              <w:t>0.1743</w:t>
            </w:r>
          </w:p>
        </w:tc>
      </w:tr>
      <w:tr>
        <w:trPr>
          <w:trHeight w:val="230" w:hRule="atLeast"/>
        </w:trPr>
        <w:tc>
          <w:tcPr>
            <w:tcW w:w="1971" w:type="dxa"/>
          </w:tcPr>
          <w:p>
            <w:pPr>
              <w:pStyle w:val="TableParagraph"/>
              <w:spacing w:line="210" w:lineRule="exact"/>
              <w:ind w:left="463"/>
              <w:rPr>
                <w:sz w:val="20"/>
              </w:rPr>
            </w:pPr>
            <w:r>
              <w:rPr>
                <w:spacing w:val="-2"/>
                <w:sz w:val="20"/>
              </w:rPr>
              <w:t>D(GCF(-1),2)</w:t>
            </w:r>
          </w:p>
        </w:tc>
        <w:tc>
          <w:tcPr>
            <w:tcW w:w="1251" w:type="dxa"/>
          </w:tcPr>
          <w:p>
            <w:pPr>
              <w:pStyle w:val="TableParagraph"/>
              <w:spacing w:line="210" w:lineRule="exact"/>
              <w:ind w:left="174"/>
              <w:jc w:val="center"/>
              <w:rPr>
                <w:sz w:val="20"/>
              </w:rPr>
            </w:pPr>
            <w:r>
              <w:rPr>
                <w:spacing w:val="-4"/>
                <w:sz w:val="20"/>
              </w:rPr>
              <w:t>-</w:t>
            </w:r>
            <w:r>
              <w:rPr>
                <w:spacing w:val="-2"/>
                <w:sz w:val="20"/>
              </w:rPr>
              <w:t>0.077298</w:t>
            </w:r>
          </w:p>
        </w:tc>
        <w:tc>
          <w:tcPr>
            <w:tcW w:w="1250" w:type="dxa"/>
          </w:tcPr>
          <w:p>
            <w:pPr>
              <w:pStyle w:val="TableParagraph"/>
              <w:spacing w:line="210" w:lineRule="exact"/>
              <w:ind w:left="124"/>
              <w:jc w:val="center"/>
              <w:rPr>
                <w:sz w:val="20"/>
              </w:rPr>
            </w:pPr>
            <w:r>
              <w:rPr>
                <w:spacing w:val="-2"/>
                <w:sz w:val="20"/>
              </w:rPr>
              <w:t>0.049736</w:t>
            </w:r>
          </w:p>
        </w:tc>
        <w:tc>
          <w:tcPr>
            <w:tcW w:w="1086" w:type="dxa"/>
          </w:tcPr>
          <w:p>
            <w:pPr>
              <w:pStyle w:val="TableParagraph"/>
              <w:spacing w:line="210" w:lineRule="exact"/>
              <w:ind w:left="174" w:right="65"/>
              <w:jc w:val="center"/>
              <w:rPr>
                <w:sz w:val="20"/>
              </w:rPr>
            </w:pPr>
            <w:r>
              <w:rPr>
                <w:spacing w:val="-4"/>
                <w:sz w:val="20"/>
              </w:rPr>
              <w:t>-</w:t>
            </w:r>
            <w:r>
              <w:rPr>
                <w:spacing w:val="-2"/>
                <w:sz w:val="20"/>
              </w:rPr>
              <w:t>1.554171</w:t>
            </w:r>
          </w:p>
        </w:tc>
        <w:tc>
          <w:tcPr>
            <w:tcW w:w="929" w:type="dxa"/>
          </w:tcPr>
          <w:p>
            <w:pPr>
              <w:pStyle w:val="TableParagraph"/>
              <w:spacing w:line="210" w:lineRule="exact"/>
              <w:ind w:right="27"/>
              <w:jc w:val="right"/>
              <w:rPr>
                <w:sz w:val="20"/>
              </w:rPr>
            </w:pPr>
            <w:r>
              <w:rPr>
                <w:spacing w:val="-2"/>
                <w:sz w:val="20"/>
              </w:rPr>
              <w:t>0.1306</w:t>
            </w:r>
          </w:p>
        </w:tc>
      </w:tr>
      <w:tr>
        <w:trPr>
          <w:trHeight w:val="230" w:hRule="atLeast"/>
        </w:trPr>
        <w:tc>
          <w:tcPr>
            <w:tcW w:w="1971" w:type="dxa"/>
          </w:tcPr>
          <w:p>
            <w:pPr>
              <w:pStyle w:val="TableParagraph"/>
              <w:spacing w:line="210" w:lineRule="exact"/>
              <w:ind w:left="670"/>
              <w:rPr>
                <w:sz w:val="20"/>
              </w:rPr>
            </w:pPr>
            <w:r>
              <w:rPr>
                <w:spacing w:val="-2"/>
                <w:sz w:val="20"/>
              </w:rPr>
              <w:t>D(DR,2)</w:t>
            </w:r>
          </w:p>
        </w:tc>
        <w:tc>
          <w:tcPr>
            <w:tcW w:w="1251" w:type="dxa"/>
          </w:tcPr>
          <w:p>
            <w:pPr>
              <w:pStyle w:val="TableParagraph"/>
              <w:spacing w:line="210" w:lineRule="exact"/>
              <w:ind w:left="238"/>
              <w:jc w:val="center"/>
              <w:rPr>
                <w:sz w:val="20"/>
              </w:rPr>
            </w:pPr>
            <w:r>
              <w:rPr>
                <w:spacing w:val="-2"/>
                <w:sz w:val="20"/>
              </w:rPr>
              <w:t>0.441408</w:t>
            </w:r>
          </w:p>
        </w:tc>
        <w:tc>
          <w:tcPr>
            <w:tcW w:w="1250" w:type="dxa"/>
          </w:tcPr>
          <w:p>
            <w:pPr>
              <w:pStyle w:val="TableParagraph"/>
              <w:spacing w:line="210" w:lineRule="exact"/>
              <w:ind w:left="124"/>
              <w:jc w:val="center"/>
              <w:rPr>
                <w:sz w:val="20"/>
              </w:rPr>
            </w:pPr>
            <w:r>
              <w:rPr>
                <w:spacing w:val="-2"/>
                <w:sz w:val="20"/>
              </w:rPr>
              <w:t>0.493481</w:t>
            </w:r>
          </w:p>
        </w:tc>
        <w:tc>
          <w:tcPr>
            <w:tcW w:w="1086" w:type="dxa"/>
          </w:tcPr>
          <w:p>
            <w:pPr>
              <w:pStyle w:val="TableParagraph"/>
              <w:spacing w:line="210" w:lineRule="exact"/>
              <w:ind w:left="174"/>
              <w:jc w:val="center"/>
              <w:rPr>
                <w:sz w:val="20"/>
              </w:rPr>
            </w:pPr>
            <w:r>
              <w:rPr>
                <w:spacing w:val="-2"/>
                <w:sz w:val="20"/>
              </w:rPr>
              <w:t>0.894479</w:t>
            </w:r>
          </w:p>
        </w:tc>
        <w:tc>
          <w:tcPr>
            <w:tcW w:w="929" w:type="dxa"/>
          </w:tcPr>
          <w:p>
            <w:pPr>
              <w:pStyle w:val="TableParagraph"/>
              <w:spacing w:line="210" w:lineRule="exact"/>
              <w:ind w:right="27"/>
              <w:jc w:val="right"/>
              <w:rPr>
                <w:sz w:val="20"/>
              </w:rPr>
            </w:pPr>
            <w:r>
              <w:rPr>
                <w:spacing w:val="-2"/>
                <w:sz w:val="20"/>
              </w:rPr>
              <w:t>0.3782</w:t>
            </w:r>
          </w:p>
        </w:tc>
      </w:tr>
      <w:tr>
        <w:trPr>
          <w:trHeight w:val="229" w:hRule="atLeast"/>
        </w:trPr>
        <w:tc>
          <w:tcPr>
            <w:tcW w:w="1971" w:type="dxa"/>
          </w:tcPr>
          <w:p>
            <w:pPr>
              <w:pStyle w:val="TableParagraph"/>
              <w:spacing w:line="209" w:lineRule="exact"/>
              <w:ind w:left="298"/>
              <w:rPr>
                <w:sz w:val="20"/>
              </w:rPr>
            </w:pPr>
            <w:r>
              <w:rPr>
                <w:spacing w:val="-2"/>
                <w:sz w:val="20"/>
              </w:rPr>
              <w:t>D(PRIVCR(-1),2)</w:t>
            </w:r>
          </w:p>
        </w:tc>
        <w:tc>
          <w:tcPr>
            <w:tcW w:w="1251" w:type="dxa"/>
          </w:tcPr>
          <w:p>
            <w:pPr>
              <w:pStyle w:val="TableParagraph"/>
              <w:spacing w:line="209" w:lineRule="exact"/>
              <w:ind w:left="174"/>
              <w:jc w:val="center"/>
              <w:rPr>
                <w:sz w:val="20"/>
              </w:rPr>
            </w:pPr>
            <w:r>
              <w:rPr>
                <w:spacing w:val="-4"/>
                <w:sz w:val="20"/>
              </w:rPr>
              <w:t>-</w:t>
            </w:r>
            <w:r>
              <w:rPr>
                <w:spacing w:val="-2"/>
                <w:sz w:val="20"/>
              </w:rPr>
              <w:t>1.057323</w:t>
            </w:r>
          </w:p>
        </w:tc>
        <w:tc>
          <w:tcPr>
            <w:tcW w:w="1250" w:type="dxa"/>
          </w:tcPr>
          <w:p>
            <w:pPr>
              <w:pStyle w:val="TableParagraph"/>
              <w:spacing w:line="209" w:lineRule="exact"/>
              <w:ind w:left="124"/>
              <w:jc w:val="center"/>
              <w:rPr>
                <w:sz w:val="20"/>
              </w:rPr>
            </w:pPr>
            <w:r>
              <w:rPr>
                <w:spacing w:val="-2"/>
                <w:sz w:val="20"/>
              </w:rPr>
              <w:t>0.877283</w:t>
            </w:r>
          </w:p>
        </w:tc>
        <w:tc>
          <w:tcPr>
            <w:tcW w:w="1086" w:type="dxa"/>
          </w:tcPr>
          <w:p>
            <w:pPr>
              <w:pStyle w:val="TableParagraph"/>
              <w:spacing w:line="209" w:lineRule="exact"/>
              <w:ind w:left="174" w:right="65"/>
              <w:jc w:val="center"/>
              <w:rPr>
                <w:sz w:val="20"/>
              </w:rPr>
            </w:pPr>
            <w:r>
              <w:rPr>
                <w:spacing w:val="-4"/>
                <w:sz w:val="20"/>
              </w:rPr>
              <w:t>-</w:t>
            </w:r>
            <w:r>
              <w:rPr>
                <w:spacing w:val="-2"/>
                <w:sz w:val="20"/>
              </w:rPr>
              <w:t>1.205225</w:t>
            </w:r>
          </w:p>
        </w:tc>
        <w:tc>
          <w:tcPr>
            <w:tcW w:w="929" w:type="dxa"/>
          </w:tcPr>
          <w:p>
            <w:pPr>
              <w:pStyle w:val="TableParagraph"/>
              <w:spacing w:line="209" w:lineRule="exact"/>
              <w:ind w:right="27"/>
              <w:jc w:val="right"/>
              <w:rPr>
                <w:sz w:val="20"/>
              </w:rPr>
            </w:pPr>
            <w:r>
              <w:rPr>
                <w:spacing w:val="-2"/>
                <w:sz w:val="20"/>
              </w:rPr>
              <w:t>0.2375</w:t>
            </w:r>
          </w:p>
        </w:tc>
      </w:tr>
      <w:tr>
        <w:trPr>
          <w:trHeight w:val="229" w:hRule="atLeast"/>
        </w:trPr>
        <w:tc>
          <w:tcPr>
            <w:tcW w:w="1971" w:type="dxa"/>
          </w:tcPr>
          <w:p>
            <w:pPr>
              <w:pStyle w:val="TableParagraph"/>
              <w:spacing w:line="209" w:lineRule="exact"/>
              <w:ind w:left="290"/>
              <w:rPr>
                <w:sz w:val="20"/>
              </w:rPr>
            </w:pPr>
            <w:r>
              <w:rPr>
                <w:spacing w:val="-2"/>
                <w:sz w:val="20"/>
              </w:rPr>
              <w:t>D(URSIRD(-</w:t>
            </w:r>
            <w:r>
              <w:rPr>
                <w:spacing w:val="-4"/>
                <w:sz w:val="20"/>
              </w:rPr>
              <w:t>1),2)</w:t>
            </w:r>
          </w:p>
        </w:tc>
        <w:tc>
          <w:tcPr>
            <w:tcW w:w="1251" w:type="dxa"/>
          </w:tcPr>
          <w:p>
            <w:pPr>
              <w:pStyle w:val="TableParagraph"/>
              <w:spacing w:line="209" w:lineRule="exact"/>
              <w:ind w:left="174"/>
              <w:jc w:val="center"/>
              <w:rPr>
                <w:sz w:val="20"/>
              </w:rPr>
            </w:pPr>
            <w:r>
              <w:rPr>
                <w:spacing w:val="-4"/>
                <w:sz w:val="20"/>
              </w:rPr>
              <w:t>-</w:t>
            </w:r>
            <w:r>
              <w:rPr>
                <w:spacing w:val="-2"/>
                <w:sz w:val="20"/>
              </w:rPr>
              <w:t>0.072382</w:t>
            </w:r>
          </w:p>
        </w:tc>
        <w:tc>
          <w:tcPr>
            <w:tcW w:w="1250" w:type="dxa"/>
          </w:tcPr>
          <w:p>
            <w:pPr>
              <w:pStyle w:val="TableParagraph"/>
              <w:spacing w:line="209" w:lineRule="exact"/>
              <w:ind w:left="124"/>
              <w:jc w:val="center"/>
              <w:rPr>
                <w:sz w:val="20"/>
              </w:rPr>
            </w:pPr>
            <w:r>
              <w:rPr>
                <w:spacing w:val="-2"/>
                <w:sz w:val="20"/>
              </w:rPr>
              <w:t>0.134363</w:t>
            </w:r>
          </w:p>
        </w:tc>
        <w:tc>
          <w:tcPr>
            <w:tcW w:w="1086" w:type="dxa"/>
          </w:tcPr>
          <w:p>
            <w:pPr>
              <w:pStyle w:val="TableParagraph"/>
              <w:spacing w:line="209" w:lineRule="exact"/>
              <w:ind w:left="174" w:right="65"/>
              <w:jc w:val="center"/>
              <w:rPr>
                <w:sz w:val="20"/>
              </w:rPr>
            </w:pPr>
            <w:r>
              <w:rPr>
                <w:spacing w:val="-4"/>
                <w:sz w:val="20"/>
              </w:rPr>
              <w:t>-</w:t>
            </w:r>
            <w:r>
              <w:rPr>
                <w:spacing w:val="-2"/>
                <w:sz w:val="20"/>
              </w:rPr>
              <w:t>0.538704</w:t>
            </w:r>
          </w:p>
        </w:tc>
        <w:tc>
          <w:tcPr>
            <w:tcW w:w="929" w:type="dxa"/>
          </w:tcPr>
          <w:p>
            <w:pPr>
              <w:pStyle w:val="TableParagraph"/>
              <w:spacing w:line="209" w:lineRule="exact"/>
              <w:ind w:right="27"/>
              <w:jc w:val="right"/>
              <w:rPr>
                <w:sz w:val="20"/>
              </w:rPr>
            </w:pPr>
            <w:r>
              <w:rPr>
                <w:spacing w:val="-2"/>
                <w:sz w:val="20"/>
              </w:rPr>
              <w:t>0.5941</w:t>
            </w:r>
          </w:p>
        </w:tc>
      </w:tr>
      <w:tr>
        <w:trPr>
          <w:trHeight w:val="230" w:hRule="atLeast"/>
        </w:trPr>
        <w:tc>
          <w:tcPr>
            <w:tcW w:w="1971" w:type="dxa"/>
          </w:tcPr>
          <w:p>
            <w:pPr>
              <w:pStyle w:val="TableParagraph"/>
              <w:spacing w:line="211" w:lineRule="exact"/>
              <w:ind w:left="386"/>
              <w:rPr>
                <w:sz w:val="20"/>
              </w:rPr>
            </w:pPr>
            <w:r>
              <w:rPr>
                <w:spacing w:val="-2"/>
                <w:sz w:val="20"/>
              </w:rPr>
              <w:t>D(GOCE(-1),2)</w:t>
            </w:r>
          </w:p>
        </w:tc>
        <w:tc>
          <w:tcPr>
            <w:tcW w:w="1251" w:type="dxa"/>
          </w:tcPr>
          <w:p>
            <w:pPr>
              <w:pStyle w:val="TableParagraph"/>
              <w:spacing w:line="211" w:lineRule="exact"/>
              <w:ind w:left="174"/>
              <w:jc w:val="center"/>
              <w:rPr>
                <w:sz w:val="20"/>
              </w:rPr>
            </w:pPr>
            <w:r>
              <w:rPr>
                <w:spacing w:val="-4"/>
                <w:sz w:val="20"/>
              </w:rPr>
              <w:t>-</w:t>
            </w:r>
            <w:r>
              <w:rPr>
                <w:spacing w:val="-2"/>
                <w:sz w:val="20"/>
              </w:rPr>
              <w:t>0.565986</w:t>
            </w:r>
          </w:p>
        </w:tc>
        <w:tc>
          <w:tcPr>
            <w:tcW w:w="1250" w:type="dxa"/>
          </w:tcPr>
          <w:p>
            <w:pPr>
              <w:pStyle w:val="TableParagraph"/>
              <w:spacing w:line="211" w:lineRule="exact"/>
              <w:ind w:left="124"/>
              <w:jc w:val="center"/>
              <w:rPr>
                <w:sz w:val="20"/>
              </w:rPr>
            </w:pPr>
            <w:r>
              <w:rPr>
                <w:spacing w:val="-2"/>
                <w:sz w:val="20"/>
              </w:rPr>
              <w:t>0.488688</w:t>
            </w:r>
          </w:p>
        </w:tc>
        <w:tc>
          <w:tcPr>
            <w:tcW w:w="1086" w:type="dxa"/>
          </w:tcPr>
          <w:p>
            <w:pPr>
              <w:pStyle w:val="TableParagraph"/>
              <w:spacing w:line="211" w:lineRule="exact"/>
              <w:ind w:left="174" w:right="65"/>
              <w:jc w:val="center"/>
              <w:rPr>
                <w:sz w:val="20"/>
              </w:rPr>
            </w:pPr>
            <w:r>
              <w:rPr>
                <w:spacing w:val="-4"/>
                <w:sz w:val="20"/>
              </w:rPr>
              <w:t>-</w:t>
            </w:r>
            <w:r>
              <w:rPr>
                <w:spacing w:val="-2"/>
                <w:sz w:val="20"/>
              </w:rPr>
              <w:t>1.158177</w:t>
            </w:r>
          </w:p>
        </w:tc>
        <w:tc>
          <w:tcPr>
            <w:tcW w:w="929" w:type="dxa"/>
          </w:tcPr>
          <w:p>
            <w:pPr>
              <w:pStyle w:val="TableParagraph"/>
              <w:spacing w:line="211" w:lineRule="exact"/>
              <w:ind w:right="27"/>
              <w:jc w:val="right"/>
              <w:rPr>
                <w:sz w:val="20"/>
              </w:rPr>
            </w:pPr>
            <w:r>
              <w:rPr>
                <w:spacing w:val="-2"/>
                <w:sz w:val="20"/>
              </w:rPr>
              <w:t>0.2559</w:t>
            </w:r>
          </w:p>
        </w:tc>
      </w:tr>
      <w:tr>
        <w:trPr>
          <w:trHeight w:val="225" w:hRule="atLeast"/>
        </w:trPr>
        <w:tc>
          <w:tcPr>
            <w:tcW w:w="1971" w:type="dxa"/>
            <w:tcBorders>
              <w:bottom w:val="double" w:sz="6" w:space="0" w:color="000000"/>
            </w:tcBorders>
          </w:tcPr>
          <w:p>
            <w:pPr>
              <w:pStyle w:val="TableParagraph"/>
              <w:spacing w:line="205" w:lineRule="exact"/>
              <w:ind w:left="655"/>
              <w:rPr>
                <w:sz w:val="20"/>
              </w:rPr>
            </w:pPr>
            <w:r>
              <w:rPr>
                <w:spacing w:val="-2"/>
                <w:sz w:val="20"/>
              </w:rPr>
              <w:t>ECM(-</w:t>
            </w:r>
            <w:r>
              <w:rPr>
                <w:spacing w:val="-5"/>
                <w:sz w:val="20"/>
              </w:rPr>
              <w:t>1)</w:t>
            </w:r>
          </w:p>
        </w:tc>
        <w:tc>
          <w:tcPr>
            <w:tcW w:w="1251" w:type="dxa"/>
            <w:tcBorders>
              <w:bottom w:val="double" w:sz="6" w:space="0" w:color="000000"/>
            </w:tcBorders>
          </w:tcPr>
          <w:p>
            <w:pPr>
              <w:pStyle w:val="TableParagraph"/>
              <w:spacing w:line="205" w:lineRule="exact"/>
              <w:ind w:left="174"/>
              <w:jc w:val="center"/>
              <w:rPr>
                <w:sz w:val="20"/>
              </w:rPr>
            </w:pPr>
            <w:r>
              <w:rPr>
                <w:spacing w:val="-4"/>
                <w:sz w:val="20"/>
              </w:rPr>
              <w:t>-</w:t>
            </w:r>
            <w:r>
              <w:rPr>
                <w:spacing w:val="-2"/>
                <w:sz w:val="20"/>
              </w:rPr>
              <w:t>1.422630</w:t>
            </w:r>
          </w:p>
        </w:tc>
        <w:tc>
          <w:tcPr>
            <w:tcW w:w="1250" w:type="dxa"/>
            <w:tcBorders>
              <w:bottom w:val="double" w:sz="6" w:space="0" w:color="000000"/>
            </w:tcBorders>
          </w:tcPr>
          <w:p>
            <w:pPr>
              <w:pStyle w:val="TableParagraph"/>
              <w:spacing w:line="205" w:lineRule="exact"/>
              <w:ind w:left="124"/>
              <w:jc w:val="center"/>
              <w:rPr>
                <w:sz w:val="20"/>
              </w:rPr>
            </w:pPr>
            <w:r>
              <w:rPr>
                <w:spacing w:val="-2"/>
                <w:sz w:val="20"/>
              </w:rPr>
              <w:t>0.247771</w:t>
            </w:r>
          </w:p>
        </w:tc>
        <w:tc>
          <w:tcPr>
            <w:tcW w:w="1086" w:type="dxa"/>
            <w:tcBorders>
              <w:bottom w:val="double" w:sz="6" w:space="0" w:color="000000"/>
            </w:tcBorders>
          </w:tcPr>
          <w:p>
            <w:pPr>
              <w:pStyle w:val="TableParagraph"/>
              <w:spacing w:line="205" w:lineRule="exact"/>
              <w:ind w:left="174" w:right="65"/>
              <w:jc w:val="center"/>
              <w:rPr>
                <w:sz w:val="20"/>
              </w:rPr>
            </w:pPr>
            <w:r>
              <w:rPr>
                <w:spacing w:val="-4"/>
                <w:sz w:val="20"/>
              </w:rPr>
              <w:t>-</w:t>
            </w:r>
            <w:r>
              <w:rPr>
                <w:spacing w:val="-2"/>
                <w:sz w:val="20"/>
              </w:rPr>
              <w:t>5.741712</w:t>
            </w:r>
          </w:p>
        </w:tc>
        <w:tc>
          <w:tcPr>
            <w:tcW w:w="929" w:type="dxa"/>
            <w:tcBorders>
              <w:bottom w:val="double" w:sz="6" w:space="0" w:color="000000"/>
            </w:tcBorders>
          </w:tcPr>
          <w:p>
            <w:pPr>
              <w:pStyle w:val="TableParagraph"/>
              <w:spacing w:line="205" w:lineRule="exact"/>
              <w:ind w:right="27"/>
              <w:jc w:val="right"/>
              <w:rPr>
                <w:sz w:val="20"/>
              </w:rPr>
            </w:pPr>
            <w:r>
              <w:rPr>
                <w:spacing w:val="-2"/>
                <w:sz w:val="20"/>
              </w:rPr>
              <w:t>0.0000</w:t>
            </w:r>
          </w:p>
        </w:tc>
      </w:tr>
      <w:tr>
        <w:trPr>
          <w:trHeight w:val="275" w:hRule="atLeast"/>
        </w:trPr>
        <w:tc>
          <w:tcPr>
            <w:tcW w:w="1971" w:type="dxa"/>
            <w:tcBorders>
              <w:top w:val="double" w:sz="6" w:space="0" w:color="000000"/>
            </w:tcBorders>
          </w:tcPr>
          <w:p>
            <w:pPr>
              <w:pStyle w:val="TableParagraph"/>
              <w:spacing w:line="215" w:lineRule="exact" w:before="40"/>
              <w:ind w:left="36"/>
              <w:rPr>
                <w:sz w:val="20"/>
              </w:rPr>
            </w:pPr>
            <w:r>
              <w:rPr>
                <w:spacing w:val="-2"/>
                <w:sz w:val="20"/>
              </w:rPr>
              <w:t>R-squared</w:t>
            </w:r>
          </w:p>
        </w:tc>
        <w:tc>
          <w:tcPr>
            <w:tcW w:w="1251" w:type="dxa"/>
            <w:tcBorders>
              <w:top w:val="double" w:sz="6" w:space="0" w:color="000000"/>
            </w:tcBorders>
          </w:tcPr>
          <w:p>
            <w:pPr>
              <w:pStyle w:val="TableParagraph"/>
              <w:spacing w:line="215" w:lineRule="exact" w:before="40"/>
              <w:ind w:left="238"/>
              <w:jc w:val="center"/>
              <w:rPr>
                <w:sz w:val="20"/>
              </w:rPr>
            </w:pPr>
            <w:r>
              <w:rPr>
                <w:spacing w:val="-2"/>
                <w:sz w:val="20"/>
              </w:rPr>
              <w:t>0.851474</w:t>
            </w:r>
          </w:p>
        </w:tc>
        <w:tc>
          <w:tcPr>
            <w:tcW w:w="2336" w:type="dxa"/>
            <w:gridSpan w:val="2"/>
            <w:tcBorders>
              <w:top w:val="double" w:sz="6" w:space="0" w:color="000000"/>
            </w:tcBorders>
          </w:tcPr>
          <w:p>
            <w:pPr>
              <w:pStyle w:val="TableParagraph"/>
              <w:spacing w:line="215" w:lineRule="exact" w:before="40"/>
              <w:ind w:left="131"/>
              <w:rPr>
                <w:sz w:val="20"/>
              </w:rPr>
            </w:pPr>
            <w:r>
              <w:rPr>
                <w:sz w:val="20"/>
              </w:rPr>
              <w:t>Mean</w:t>
            </w:r>
            <w:r>
              <w:rPr>
                <w:spacing w:val="-7"/>
                <w:sz w:val="20"/>
              </w:rPr>
              <w:t> </w:t>
            </w:r>
            <w:r>
              <w:rPr>
                <w:sz w:val="20"/>
              </w:rPr>
              <w:t>dependent</w:t>
            </w:r>
            <w:r>
              <w:rPr>
                <w:spacing w:val="-7"/>
                <w:sz w:val="20"/>
              </w:rPr>
              <w:t> </w:t>
            </w:r>
            <w:r>
              <w:rPr>
                <w:spacing w:val="-5"/>
                <w:sz w:val="20"/>
              </w:rPr>
              <w:t>var</w:t>
            </w:r>
          </w:p>
        </w:tc>
        <w:tc>
          <w:tcPr>
            <w:tcW w:w="929" w:type="dxa"/>
            <w:tcBorders>
              <w:top w:val="double" w:sz="6" w:space="0" w:color="000000"/>
            </w:tcBorders>
          </w:tcPr>
          <w:p>
            <w:pPr>
              <w:pStyle w:val="TableParagraph"/>
              <w:spacing w:line="215" w:lineRule="exact" w:before="40"/>
              <w:ind w:right="27"/>
              <w:jc w:val="right"/>
              <w:rPr>
                <w:sz w:val="20"/>
              </w:rPr>
            </w:pPr>
            <w:r>
              <w:rPr>
                <w:spacing w:val="-4"/>
                <w:sz w:val="20"/>
              </w:rPr>
              <w:t>-</w:t>
            </w:r>
            <w:r>
              <w:rPr>
                <w:spacing w:val="-2"/>
                <w:sz w:val="20"/>
              </w:rPr>
              <w:t>0.001876</w:t>
            </w:r>
          </w:p>
        </w:tc>
      </w:tr>
      <w:tr>
        <w:trPr>
          <w:trHeight w:val="230" w:hRule="atLeast"/>
        </w:trPr>
        <w:tc>
          <w:tcPr>
            <w:tcW w:w="1971" w:type="dxa"/>
          </w:tcPr>
          <w:p>
            <w:pPr>
              <w:pStyle w:val="TableParagraph"/>
              <w:spacing w:line="210" w:lineRule="exact"/>
              <w:ind w:left="36"/>
              <w:rPr>
                <w:sz w:val="20"/>
              </w:rPr>
            </w:pPr>
            <w:r>
              <w:rPr>
                <w:sz w:val="20"/>
              </w:rPr>
              <w:t>Adjusted</w:t>
            </w:r>
            <w:r>
              <w:rPr>
                <w:spacing w:val="-10"/>
                <w:sz w:val="20"/>
              </w:rPr>
              <w:t> </w:t>
            </w:r>
            <w:r>
              <w:rPr>
                <w:sz w:val="20"/>
              </w:rPr>
              <w:t>R-</w:t>
            </w:r>
            <w:r>
              <w:rPr>
                <w:spacing w:val="-2"/>
                <w:sz w:val="20"/>
              </w:rPr>
              <w:t>squared</w:t>
            </w:r>
          </w:p>
        </w:tc>
        <w:tc>
          <w:tcPr>
            <w:tcW w:w="1251" w:type="dxa"/>
          </w:tcPr>
          <w:p>
            <w:pPr>
              <w:pStyle w:val="TableParagraph"/>
              <w:spacing w:line="210" w:lineRule="exact"/>
              <w:ind w:left="238"/>
              <w:jc w:val="center"/>
              <w:rPr>
                <w:sz w:val="20"/>
              </w:rPr>
            </w:pPr>
            <w:r>
              <w:rPr>
                <w:spacing w:val="-2"/>
                <w:sz w:val="20"/>
              </w:rPr>
              <w:t>0.811867</w:t>
            </w:r>
          </w:p>
        </w:tc>
        <w:tc>
          <w:tcPr>
            <w:tcW w:w="2336" w:type="dxa"/>
            <w:gridSpan w:val="2"/>
          </w:tcPr>
          <w:p>
            <w:pPr>
              <w:pStyle w:val="TableParagraph"/>
              <w:spacing w:line="210" w:lineRule="exact"/>
              <w:ind w:left="131"/>
              <w:rPr>
                <w:sz w:val="20"/>
              </w:rPr>
            </w:pPr>
            <w:r>
              <w:rPr>
                <w:sz w:val="20"/>
              </w:rPr>
              <w:t>S.D.</w:t>
            </w:r>
            <w:r>
              <w:rPr>
                <w:spacing w:val="-5"/>
                <w:sz w:val="20"/>
              </w:rPr>
              <w:t> </w:t>
            </w:r>
            <w:r>
              <w:rPr>
                <w:sz w:val="20"/>
              </w:rPr>
              <w:t>dependent</w:t>
            </w:r>
            <w:r>
              <w:rPr>
                <w:spacing w:val="-6"/>
                <w:sz w:val="20"/>
              </w:rPr>
              <w:t> </w:t>
            </w:r>
            <w:r>
              <w:rPr>
                <w:spacing w:val="-5"/>
                <w:sz w:val="20"/>
              </w:rPr>
              <w:t>var</w:t>
            </w:r>
          </w:p>
        </w:tc>
        <w:tc>
          <w:tcPr>
            <w:tcW w:w="929" w:type="dxa"/>
          </w:tcPr>
          <w:p>
            <w:pPr>
              <w:pStyle w:val="TableParagraph"/>
              <w:spacing w:line="210" w:lineRule="exact"/>
              <w:ind w:right="27"/>
              <w:jc w:val="right"/>
              <w:rPr>
                <w:sz w:val="20"/>
              </w:rPr>
            </w:pPr>
            <w:r>
              <w:rPr>
                <w:spacing w:val="-2"/>
                <w:sz w:val="20"/>
              </w:rPr>
              <w:t>1.827269</w:t>
            </w:r>
          </w:p>
        </w:tc>
      </w:tr>
      <w:tr>
        <w:trPr>
          <w:trHeight w:val="230" w:hRule="atLeast"/>
        </w:trPr>
        <w:tc>
          <w:tcPr>
            <w:tcW w:w="1971" w:type="dxa"/>
          </w:tcPr>
          <w:p>
            <w:pPr>
              <w:pStyle w:val="TableParagraph"/>
              <w:spacing w:line="210" w:lineRule="exact"/>
              <w:ind w:left="36"/>
              <w:rPr>
                <w:sz w:val="20"/>
              </w:rPr>
            </w:pPr>
            <w:r>
              <w:rPr>
                <w:sz w:val="20"/>
              </w:rPr>
              <w:t>S.E.</w:t>
            </w:r>
            <w:r>
              <w:rPr>
                <w:spacing w:val="-3"/>
                <w:sz w:val="20"/>
              </w:rPr>
              <w:t> </w:t>
            </w:r>
            <w:r>
              <w:rPr>
                <w:sz w:val="20"/>
              </w:rPr>
              <w:t>of</w:t>
            </w:r>
            <w:r>
              <w:rPr>
                <w:spacing w:val="-3"/>
                <w:sz w:val="20"/>
              </w:rPr>
              <w:t> </w:t>
            </w:r>
            <w:r>
              <w:rPr>
                <w:spacing w:val="-2"/>
                <w:sz w:val="20"/>
              </w:rPr>
              <w:t>regression</w:t>
            </w:r>
          </w:p>
        </w:tc>
        <w:tc>
          <w:tcPr>
            <w:tcW w:w="1251" w:type="dxa"/>
          </w:tcPr>
          <w:p>
            <w:pPr>
              <w:pStyle w:val="TableParagraph"/>
              <w:spacing w:line="210" w:lineRule="exact"/>
              <w:ind w:left="238"/>
              <w:jc w:val="center"/>
              <w:rPr>
                <w:sz w:val="20"/>
              </w:rPr>
            </w:pPr>
            <w:r>
              <w:rPr>
                <w:spacing w:val="-2"/>
                <w:sz w:val="20"/>
              </w:rPr>
              <w:t>0.792565</w:t>
            </w:r>
          </w:p>
        </w:tc>
        <w:tc>
          <w:tcPr>
            <w:tcW w:w="2336" w:type="dxa"/>
            <w:gridSpan w:val="2"/>
          </w:tcPr>
          <w:p>
            <w:pPr>
              <w:pStyle w:val="TableParagraph"/>
              <w:spacing w:line="210" w:lineRule="exact"/>
              <w:ind w:left="131"/>
              <w:rPr>
                <w:sz w:val="20"/>
              </w:rPr>
            </w:pPr>
            <w:r>
              <w:rPr>
                <w:sz w:val="20"/>
              </w:rPr>
              <w:t>Akaike</w:t>
            </w:r>
            <w:r>
              <w:rPr>
                <w:spacing w:val="-8"/>
                <w:sz w:val="20"/>
              </w:rPr>
              <w:t> </w:t>
            </w:r>
            <w:r>
              <w:rPr>
                <w:sz w:val="20"/>
              </w:rPr>
              <w:t>info</w:t>
            </w:r>
            <w:r>
              <w:rPr>
                <w:spacing w:val="-7"/>
                <w:sz w:val="20"/>
              </w:rPr>
              <w:t> </w:t>
            </w:r>
            <w:r>
              <w:rPr>
                <w:spacing w:val="-2"/>
                <w:sz w:val="20"/>
              </w:rPr>
              <w:t>criterion</w:t>
            </w:r>
          </w:p>
        </w:tc>
        <w:tc>
          <w:tcPr>
            <w:tcW w:w="929" w:type="dxa"/>
          </w:tcPr>
          <w:p>
            <w:pPr>
              <w:pStyle w:val="TableParagraph"/>
              <w:spacing w:line="210" w:lineRule="exact"/>
              <w:ind w:right="27"/>
              <w:jc w:val="right"/>
              <w:rPr>
                <w:sz w:val="20"/>
              </w:rPr>
            </w:pPr>
            <w:r>
              <w:rPr>
                <w:spacing w:val="-2"/>
                <w:sz w:val="20"/>
              </w:rPr>
              <w:t>2.572089</w:t>
            </w:r>
          </w:p>
        </w:tc>
      </w:tr>
      <w:tr>
        <w:trPr>
          <w:trHeight w:val="230" w:hRule="atLeast"/>
        </w:trPr>
        <w:tc>
          <w:tcPr>
            <w:tcW w:w="1971" w:type="dxa"/>
          </w:tcPr>
          <w:p>
            <w:pPr>
              <w:pStyle w:val="TableParagraph"/>
              <w:spacing w:line="210" w:lineRule="exact"/>
              <w:ind w:left="36"/>
              <w:rPr>
                <w:sz w:val="20"/>
              </w:rPr>
            </w:pPr>
            <w:r>
              <w:rPr>
                <w:sz w:val="20"/>
              </w:rPr>
              <w:t>Sum</w:t>
            </w:r>
            <w:r>
              <w:rPr>
                <w:spacing w:val="-8"/>
                <w:sz w:val="20"/>
              </w:rPr>
              <w:t> </w:t>
            </w:r>
            <w:r>
              <w:rPr>
                <w:sz w:val="20"/>
              </w:rPr>
              <w:t>squared</w:t>
            </w:r>
            <w:r>
              <w:rPr>
                <w:spacing w:val="-4"/>
                <w:sz w:val="20"/>
              </w:rPr>
              <w:t> </w:t>
            </w:r>
            <w:r>
              <w:rPr>
                <w:spacing w:val="-2"/>
                <w:sz w:val="20"/>
              </w:rPr>
              <w:t>resid</w:t>
            </w:r>
          </w:p>
        </w:tc>
        <w:tc>
          <w:tcPr>
            <w:tcW w:w="1251" w:type="dxa"/>
          </w:tcPr>
          <w:p>
            <w:pPr>
              <w:pStyle w:val="TableParagraph"/>
              <w:spacing w:line="210" w:lineRule="exact"/>
              <w:ind w:left="238"/>
              <w:jc w:val="center"/>
              <w:rPr>
                <w:sz w:val="20"/>
              </w:rPr>
            </w:pPr>
            <w:r>
              <w:rPr>
                <w:spacing w:val="-2"/>
                <w:sz w:val="20"/>
              </w:rPr>
              <w:t>18.84476</w:t>
            </w:r>
          </w:p>
        </w:tc>
        <w:tc>
          <w:tcPr>
            <w:tcW w:w="2336" w:type="dxa"/>
            <w:gridSpan w:val="2"/>
          </w:tcPr>
          <w:p>
            <w:pPr>
              <w:pStyle w:val="TableParagraph"/>
              <w:spacing w:line="210" w:lineRule="exact"/>
              <w:ind w:left="131"/>
              <w:rPr>
                <w:sz w:val="20"/>
              </w:rPr>
            </w:pPr>
            <w:r>
              <w:rPr>
                <w:sz w:val="20"/>
              </w:rPr>
              <w:t>Schwarz</w:t>
            </w:r>
            <w:r>
              <w:rPr>
                <w:spacing w:val="-8"/>
                <w:sz w:val="20"/>
              </w:rPr>
              <w:t> </w:t>
            </w:r>
            <w:r>
              <w:rPr>
                <w:spacing w:val="-2"/>
                <w:sz w:val="20"/>
              </w:rPr>
              <w:t>criterion</w:t>
            </w:r>
          </w:p>
        </w:tc>
        <w:tc>
          <w:tcPr>
            <w:tcW w:w="929" w:type="dxa"/>
          </w:tcPr>
          <w:p>
            <w:pPr>
              <w:pStyle w:val="TableParagraph"/>
              <w:spacing w:line="210" w:lineRule="exact"/>
              <w:ind w:right="27"/>
              <w:jc w:val="right"/>
              <w:rPr>
                <w:sz w:val="20"/>
              </w:rPr>
            </w:pPr>
            <w:r>
              <w:rPr>
                <w:spacing w:val="-2"/>
                <w:sz w:val="20"/>
              </w:rPr>
              <w:t>2.955988</w:t>
            </w:r>
          </w:p>
        </w:tc>
      </w:tr>
      <w:tr>
        <w:trPr>
          <w:trHeight w:val="265" w:hRule="atLeast"/>
        </w:trPr>
        <w:tc>
          <w:tcPr>
            <w:tcW w:w="1971" w:type="dxa"/>
            <w:tcBorders>
              <w:bottom w:val="double" w:sz="6" w:space="0" w:color="000000"/>
            </w:tcBorders>
          </w:tcPr>
          <w:p>
            <w:pPr>
              <w:pStyle w:val="TableParagraph"/>
              <w:spacing w:line="226" w:lineRule="exact"/>
              <w:ind w:left="36"/>
              <w:rPr>
                <w:sz w:val="20"/>
              </w:rPr>
            </w:pPr>
            <w:r>
              <w:rPr>
                <w:sz w:val="20"/>
              </w:rPr>
              <w:t>Log</w:t>
            </w:r>
            <w:r>
              <w:rPr>
                <w:spacing w:val="-6"/>
                <w:sz w:val="20"/>
              </w:rPr>
              <w:t> </w:t>
            </w:r>
            <w:r>
              <w:rPr>
                <w:spacing w:val="-2"/>
                <w:sz w:val="20"/>
              </w:rPr>
              <w:t>likelihood</w:t>
            </w:r>
          </w:p>
        </w:tc>
        <w:tc>
          <w:tcPr>
            <w:tcW w:w="1251" w:type="dxa"/>
          </w:tcPr>
          <w:p>
            <w:pPr>
              <w:pStyle w:val="TableParagraph"/>
              <w:spacing w:line="226" w:lineRule="exact"/>
              <w:ind w:left="174"/>
              <w:jc w:val="center"/>
              <w:rPr>
                <w:sz w:val="20"/>
              </w:rPr>
            </w:pPr>
            <w:r>
              <w:rPr>
                <w:spacing w:val="-4"/>
                <w:sz w:val="20"/>
              </w:rPr>
              <w:t>-</w:t>
            </w:r>
            <w:r>
              <w:rPr>
                <w:spacing w:val="-2"/>
                <w:sz w:val="20"/>
              </w:rPr>
              <w:t>41.15573</w:t>
            </w:r>
          </w:p>
        </w:tc>
        <w:tc>
          <w:tcPr>
            <w:tcW w:w="2336" w:type="dxa"/>
            <w:gridSpan w:val="2"/>
            <w:tcBorders>
              <w:bottom w:val="double" w:sz="6" w:space="0" w:color="000000"/>
            </w:tcBorders>
          </w:tcPr>
          <w:p>
            <w:pPr>
              <w:pStyle w:val="TableParagraph"/>
              <w:spacing w:line="226" w:lineRule="exact"/>
              <w:ind w:left="131"/>
              <w:rPr>
                <w:sz w:val="20"/>
              </w:rPr>
            </w:pPr>
            <w:r>
              <w:rPr>
                <w:spacing w:val="-2"/>
                <w:sz w:val="20"/>
              </w:rPr>
              <w:t>Durbin-Watson</w:t>
            </w:r>
            <w:r>
              <w:rPr>
                <w:spacing w:val="12"/>
                <w:sz w:val="20"/>
              </w:rPr>
              <w:t> </w:t>
            </w:r>
            <w:r>
              <w:rPr>
                <w:spacing w:val="-4"/>
                <w:sz w:val="20"/>
              </w:rPr>
              <w:t>stat</w:t>
            </w:r>
          </w:p>
        </w:tc>
        <w:tc>
          <w:tcPr>
            <w:tcW w:w="929" w:type="dxa"/>
            <w:tcBorders>
              <w:bottom w:val="double" w:sz="6" w:space="0" w:color="000000"/>
            </w:tcBorders>
          </w:tcPr>
          <w:p>
            <w:pPr>
              <w:pStyle w:val="TableParagraph"/>
              <w:spacing w:line="226" w:lineRule="exact"/>
              <w:ind w:right="27"/>
              <w:jc w:val="right"/>
              <w:rPr>
                <w:sz w:val="20"/>
              </w:rPr>
            </w:pPr>
            <w:r>
              <w:rPr>
                <w:spacing w:val="-2"/>
                <w:sz w:val="20"/>
              </w:rPr>
              <w:t>1.772730</w:t>
            </w:r>
          </w:p>
        </w:tc>
      </w:tr>
    </w:tbl>
    <w:p>
      <w:pPr>
        <w:pStyle w:val="BodyText"/>
        <w:rPr>
          <w:sz w:val="20"/>
        </w:rPr>
      </w:pPr>
    </w:p>
    <w:p>
      <w:pPr>
        <w:pStyle w:val="BodyText"/>
        <w:spacing w:before="12"/>
        <w:rPr>
          <w:sz w:val="20"/>
        </w:rPr>
      </w:pPr>
    </w:p>
    <w:p>
      <w:pPr>
        <w:spacing w:before="0" w:after="10"/>
        <w:ind w:left="711" w:right="0" w:firstLine="0"/>
        <w:jc w:val="left"/>
        <w:rPr>
          <w:sz w:val="20"/>
        </w:rPr>
      </w:pPr>
      <w:r>
        <w:rPr>
          <w:sz w:val="20"/>
        </w:rPr>
        <w:t>JOHASEN</w:t>
      </w:r>
      <w:r>
        <w:rPr>
          <w:spacing w:val="-6"/>
          <w:sz w:val="20"/>
        </w:rPr>
        <w:t> </w:t>
      </w:r>
      <w:r>
        <w:rPr>
          <w:sz w:val="20"/>
        </w:rPr>
        <w:t>TEST</w:t>
      </w:r>
      <w:r>
        <w:rPr>
          <w:spacing w:val="-3"/>
          <w:sz w:val="20"/>
        </w:rPr>
        <w:t> </w:t>
      </w:r>
      <w:r>
        <w:rPr>
          <w:sz w:val="20"/>
        </w:rPr>
        <w:t>FOR</w:t>
      </w:r>
      <w:r>
        <w:rPr>
          <w:spacing w:val="-6"/>
          <w:sz w:val="20"/>
        </w:rPr>
        <w:t> </w:t>
      </w:r>
      <w:r>
        <w:rPr>
          <w:sz w:val="20"/>
        </w:rPr>
        <w:t>MODEL</w:t>
      </w:r>
      <w:r>
        <w:rPr>
          <w:spacing w:val="-7"/>
          <w:sz w:val="20"/>
        </w:rPr>
        <w:t> </w:t>
      </w:r>
      <w:r>
        <w:rPr>
          <w:spacing w:val="-5"/>
          <w:sz w:val="20"/>
        </w:rPr>
        <w:t>1A</w:t>
      </w:r>
    </w:p>
    <w:tbl>
      <w:tblP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02"/>
        <w:gridCol w:w="1129"/>
        <w:gridCol w:w="1043"/>
        <w:gridCol w:w="966"/>
        <w:gridCol w:w="6546"/>
      </w:tblGrid>
      <w:tr>
        <w:trPr>
          <w:trHeight w:val="225" w:hRule="atLeast"/>
        </w:trPr>
        <w:tc>
          <w:tcPr>
            <w:tcW w:w="10886" w:type="dxa"/>
            <w:gridSpan w:val="5"/>
          </w:tcPr>
          <w:p>
            <w:pPr>
              <w:pStyle w:val="TableParagraph"/>
              <w:spacing w:line="205" w:lineRule="exact"/>
              <w:ind w:left="28"/>
              <w:rPr>
                <w:sz w:val="20"/>
              </w:rPr>
            </w:pPr>
            <w:r>
              <w:rPr>
                <w:sz w:val="20"/>
              </w:rPr>
              <w:t>Date:</w:t>
            </w:r>
            <w:r>
              <w:rPr>
                <w:spacing w:val="-5"/>
                <w:sz w:val="20"/>
              </w:rPr>
              <w:t> </w:t>
            </w:r>
            <w:r>
              <w:rPr>
                <w:sz w:val="20"/>
              </w:rPr>
              <w:t>02/18/14</w:t>
            </w:r>
            <w:r>
              <w:rPr>
                <w:spacing w:val="63"/>
                <w:w w:val="150"/>
                <w:sz w:val="20"/>
              </w:rPr>
              <w:t> </w:t>
            </w:r>
            <w:r>
              <w:rPr>
                <w:sz w:val="20"/>
              </w:rPr>
              <w:t>Time:</w:t>
            </w:r>
            <w:r>
              <w:rPr>
                <w:spacing w:val="-3"/>
                <w:sz w:val="20"/>
              </w:rPr>
              <w:t> </w:t>
            </w:r>
            <w:r>
              <w:rPr>
                <w:spacing w:val="-2"/>
                <w:sz w:val="20"/>
              </w:rPr>
              <w:t>09:47</w:t>
            </w:r>
          </w:p>
        </w:tc>
      </w:tr>
      <w:tr>
        <w:trPr>
          <w:trHeight w:val="230" w:hRule="atLeast"/>
        </w:trPr>
        <w:tc>
          <w:tcPr>
            <w:tcW w:w="10886" w:type="dxa"/>
            <w:gridSpan w:val="5"/>
          </w:tcPr>
          <w:p>
            <w:pPr>
              <w:pStyle w:val="TableParagraph"/>
              <w:spacing w:line="210" w:lineRule="exact"/>
              <w:ind w:left="28"/>
              <w:rPr>
                <w:sz w:val="20"/>
              </w:rPr>
            </w:pPr>
            <w:r>
              <w:rPr>
                <w:sz w:val="20"/>
              </w:rPr>
              <w:t>Sample:</w:t>
            </w:r>
            <w:r>
              <w:rPr>
                <w:spacing w:val="-5"/>
                <w:sz w:val="20"/>
              </w:rPr>
              <w:t> </w:t>
            </w:r>
            <w:r>
              <w:rPr>
                <w:sz w:val="20"/>
              </w:rPr>
              <w:t>1970</w:t>
            </w:r>
            <w:r>
              <w:rPr>
                <w:spacing w:val="-3"/>
                <w:sz w:val="20"/>
              </w:rPr>
              <w:t> </w:t>
            </w:r>
            <w:r>
              <w:rPr>
                <w:spacing w:val="-4"/>
                <w:sz w:val="20"/>
              </w:rPr>
              <w:t>2011</w:t>
            </w:r>
          </w:p>
        </w:tc>
      </w:tr>
      <w:tr>
        <w:trPr>
          <w:trHeight w:val="230" w:hRule="atLeast"/>
        </w:trPr>
        <w:tc>
          <w:tcPr>
            <w:tcW w:w="10886" w:type="dxa"/>
            <w:gridSpan w:val="5"/>
          </w:tcPr>
          <w:p>
            <w:pPr>
              <w:pStyle w:val="TableParagraph"/>
              <w:spacing w:line="210" w:lineRule="exact"/>
              <w:ind w:left="28"/>
              <w:rPr>
                <w:sz w:val="20"/>
              </w:rPr>
            </w:pPr>
            <w:r>
              <w:rPr>
                <w:sz w:val="20"/>
              </w:rPr>
              <w:t>Included</w:t>
            </w:r>
            <w:r>
              <w:rPr>
                <w:spacing w:val="-8"/>
                <w:sz w:val="20"/>
              </w:rPr>
              <w:t> </w:t>
            </w:r>
            <w:r>
              <w:rPr>
                <w:sz w:val="20"/>
              </w:rPr>
              <w:t>observations:</w:t>
            </w:r>
            <w:r>
              <w:rPr>
                <w:spacing w:val="-10"/>
                <w:sz w:val="20"/>
              </w:rPr>
              <w:t> </w:t>
            </w:r>
            <w:r>
              <w:rPr>
                <w:spacing w:val="-5"/>
                <w:sz w:val="20"/>
              </w:rPr>
              <w:t>40</w:t>
            </w:r>
          </w:p>
        </w:tc>
      </w:tr>
      <w:tr>
        <w:trPr>
          <w:trHeight w:val="1380" w:hRule="atLeast"/>
        </w:trPr>
        <w:tc>
          <w:tcPr>
            <w:tcW w:w="1202" w:type="dxa"/>
          </w:tcPr>
          <w:p>
            <w:pPr>
              <w:pStyle w:val="TableParagraph"/>
              <w:ind w:left="48" w:right="111" w:firstLine="2"/>
              <w:jc w:val="center"/>
              <w:rPr>
                <w:sz w:val="20"/>
              </w:rPr>
            </w:pPr>
            <w:r>
              <w:rPr>
                <w:spacing w:val="-4"/>
                <w:sz w:val="20"/>
              </w:rPr>
              <w:t>Test </w:t>
            </w:r>
            <w:r>
              <w:rPr>
                <w:spacing w:val="-2"/>
                <w:sz w:val="20"/>
              </w:rPr>
              <w:t>assumption: Linear deterministic </w:t>
            </w:r>
            <w:r>
              <w:rPr>
                <w:sz w:val="20"/>
              </w:rPr>
              <w:t>trend in the</w:t>
            </w:r>
          </w:p>
          <w:p>
            <w:pPr>
              <w:pStyle w:val="TableParagraph"/>
              <w:spacing w:line="215" w:lineRule="exact"/>
              <w:ind w:right="64"/>
              <w:jc w:val="center"/>
              <w:rPr>
                <w:sz w:val="20"/>
              </w:rPr>
            </w:pPr>
            <w:r>
              <w:rPr>
                <w:spacing w:val="-4"/>
                <w:sz w:val="20"/>
              </w:rPr>
              <w:t>data</w:t>
            </w:r>
          </w:p>
        </w:tc>
        <w:tc>
          <w:tcPr>
            <w:tcW w:w="1129" w:type="dxa"/>
          </w:tcPr>
          <w:p>
            <w:pPr>
              <w:pStyle w:val="TableParagraph"/>
              <w:rPr>
                <w:sz w:val="18"/>
              </w:rPr>
            </w:pPr>
          </w:p>
        </w:tc>
        <w:tc>
          <w:tcPr>
            <w:tcW w:w="1043" w:type="dxa"/>
          </w:tcPr>
          <w:p>
            <w:pPr>
              <w:pStyle w:val="TableParagraph"/>
              <w:rPr>
                <w:sz w:val="18"/>
              </w:rPr>
            </w:pPr>
          </w:p>
        </w:tc>
        <w:tc>
          <w:tcPr>
            <w:tcW w:w="966" w:type="dxa"/>
          </w:tcPr>
          <w:p>
            <w:pPr>
              <w:pStyle w:val="TableParagraph"/>
              <w:rPr>
                <w:sz w:val="18"/>
              </w:rPr>
            </w:pPr>
          </w:p>
        </w:tc>
        <w:tc>
          <w:tcPr>
            <w:tcW w:w="6546" w:type="dxa"/>
          </w:tcPr>
          <w:p>
            <w:pPr>
              <w:pStyle w:val="TableParagraph"/>
              <w:rPr>
                <w:sz w:val="18"/>
              </w:rPr>
            </w:pPr>
          </w:p>
        </w:tc>
      </w:tr>
      <w:tr>
        <w:trPr>
          <w:trHeight w:val="230" w:hRule="atLeast"/>
        </w:trPr>
        <w:tc>
          <w:tcPr>
            <w:tcW w:w="10886" w:type="dxa"/>
            <w:gridSpan w:val="5"/>
          </w:tcPr>
          <w:p>
            <w:pPr>
              <w:pStyle w:val="TableParagraph"/>
              <w:spacing w:line="210" w:lineRule="exact"/>
              <w:ind w:left="28"/>
              <w:rPr>
                <w:sz w:val="20"/>
              </w:rPr>
            </w:pPr>
            <w:r>
              <w:rPr>
                <w:sz w:val="20"/>
              </w:rPr>
              <w:t>Series:</w:t>
            </w:r>
            <w:r>
              <w:rPr>
                <w:spacing w:val="-6"/>
                <w:sz w:val="20"/>
              </w:rPr>
              <w:t> </w:t>
            </w:r>
            <w:r>
              <w:rPr>
                <w:sz w:val="20"/>
              </w:rPr>
              <w:t>KFW</w:t>
            </w:r>
            <w:r>
              <w:rPr>
                <w:spacing w:val="-4"/>
                <w:sz w:val="20"/>
              </w:rPr>
              <w:t> </w:t>
            </w:r>
            <w:r>
              <w:rPr>
                <w:sz w:val="20"/>
              </w:rPr>
              <w:t>EXTDEBT</w:t>
            </w:r>
            <w:r>
              <w:rPr>
                <w:spacing w:val="-2"/>
                <w:sz w:val="20"/>
              </w:rPr>
              <w:t> </w:t>
            </w:r>
            <w:r>
              <w:rPr>
                <w:sz w:val="20"/>
              </w:rPr>
              <w:t>DOP</w:t>
            </w:r>
            <w:r>
              <w:rPr>
                <w:spacing w:val="-4"/>
                <w:sz w:val="20"/>
              </w:rPr>
              <w:t> </w:t>
            </w:r>
            <w:r>
              <w:rPr>
                <w:sz w:val="20"/>
              </w:rPr>
              <w:t>INF</w:t>
            </w:r>
            <w:r>
              <w:rPr>
                <w:spacing w:val="-6"/>
                <w:sz w:val="20"/>
              </w:rPr>
              <w:t> </w:t>
            </w:r>
            <w:r>
              <w:rPr>
                <w:sz w:val="20"/>
              </w:rPr>
              <w:t>GCF</w:t>
            </w:r>
            <w:r>
              <w:rPr>
                <w:spacing w:val="-5"/>
                <w:sz w:val="20"/>
              </w:rPr>
              <w:t> </w:t>
            </w:r>
            <w:r>
              <w:rPr>
                <w:sz w:val="20"/>
              </w:rPr>
              <w:t>DR</w:t>
            </w:r>
            <w:r>
              <w:rPr>
                <w:spacing w:val="-6"/>
                <w:sz w:val="20"/>
              </w:rPr>
              <w:t> </w:t>
            </w:r>
            <w:r>
              <w:rPr>
                <w:sz w:val="20"/>
              </w:rPr>
              <w:t>PRIVCR</w:t>
            </w:r>
            <w:r>
              <w:rPr>
                <w:spacing w:val="-2"/>
                <w:sz w:val="20"/>
              </w:rPr>
              <w:t> </w:t>
            </w:r>
            <w:r>
              <w:rPr>
                <w:sz w:val="20"/>
              </w:rPr>
              <w:t>USIRD</w:t>
            </w:r>
            <w:r>
              <w:rPr>
                <w:spacing w:val="-5"/>
                <w:sz w:val="20"/>
              </w:rPr>
              <w:t> </w:t>
            </w:r>
            <w:r>
              <w:rPr>
                <w:spacing w:val="-4"/>
                <w:sz w:val="20"/>
              </w:rPr>
              <w:t>GOCE</w:t>
            </w:r>
          </w:p>
        </w:tc>
      </w:tr>
      <w:tr>
        <w:trPr>
          <w:trHeight w:val="224" w:hRule="atLeast"/>
        </w:trPr>
        <w:tc>
          <w:tcPr>
            <w:tcW w:w="10886" w:type="dxa"/>
            <w:gridSpan w:val="5"/>
            <w:tcBorders>
              <w:bottom w:val="double" w:sz="6" w:space="0" w:color="000000"/>
            </w:tcBorders>
          </w:tcPr>
          <w:p>
            <w:pPr>
              <w:pStyle w:val="TableParagraph"/>
              <w:spacing w:line="205" w:lineRule="exact"/>
              <w:ind w:left="28"/>
              <w:rPr>
                <w:sz w:val="20"/>
              </w:rPr>
            </w:pPr>
            <w:r>
              <w:rPr>
                <w:sz w:val="20"/>
              </w:rPr>
              <w:t>Lags</w:t>
            </w:r>
            <w:r>
              <w:rPr>
                <w:spacing w:val="-5"/>
                <w:sz w:val="20"/>
              </w:rPr>
              <w:t> </w:t>
            </w:r>
            <w:r>
              <w:rPr>
                <w:sz w:val="20"/>
              </w:rPr>
              <w:t>interval:</w:t>
            </w:r>
            <w:r>
              <w:rPr>
                <w:spacing w:val="-5"/>
                <w:sz w:val="20"/>
              </w:rPr>
              <w:t> </w:t>
            </w:r>
            <w:r>
              <w:rPr>
                <w:sz w:val="20"/>
              </w:rPr>
              <w:t>1</w:t>
            </w:r>
            <w:r>
              <w:rPr>
                <w:spacing w:val="-3"/>
                <w:sz w:val="20"/>
              </w:rPr>
              <w:t> </w:t>
            </w:r>
            <w:r>
              <w:rPr>
                <w:sz w:val="20"/>
              </w:rPr>
              <w:t>to</w:t>
            </w:r>
            <w:r>
              <w:rPr>
                <w:spacing w:val="-3"/>
                <w:sz w:val="20"/>
              </w:rPr>
              <w:t> </w:t>
            </w:r>
            <w:r>
              <w:rPr>
                <w:spacing w:val="-10"/>
                <w:sz w:val="20"/>
              </w:rPr>
              <w:t>1</w:t>
            </w:r>
          </w:p>
        </w:tc>
      </w:tr>
      <w:tr>
        <w:trPr>
          <w:trHeight w:val="504" w:hRule="atLeast"/>
        </w:trPr>
        <w:tc>
          <w:tcPr>
            <w:tcW w:w="1202" w:type="dxa"/>
            <w:tcBorders>
              <w:top w:val="double" w:sz="6" w:space="0" w:color="000000"/>
            </w:tcBorders>
          </w:tcPr>
          <w:p>
            <w:pPr>
              <w:pStyle w:val="TableParagraph"/>
              <w:rPr>
                <w:sz w:val="18"/>
              </w:rPr>
            </w:pPr>
          </w:p>
        </w:tc>
        <w:tc>
          <w:tcPr>
            <w:tcW w:w="1129" w:type="dxa"/>
            <w:tcBorders>
              <w:top w:val="double" w:sz="6" w:space="0" w:color="000000"/>
            </w:tcBorders>
          </w:tcPr>
          <w:p>
            <w:pPr>
              <w:pStyle w:val="TableParagraph"/>
              <w:spacing w:before="40"/>
              <w:ind w:right="57"/>
              <w:jc w:val="center"/>
              <w:rPr>
                <w:sz w:val="20"/>
              </w:rPr>
            </w:pPr>
            <w:r>
              <w:rPr>
                <w:spacing w:val="-2"/>
                <w:sz w:val="20"/>
              </w:rPr>
              <w:t>Likelihood</w:t>
            </w:r>
          </w:p>
        </w:tc>
        <w:tc>
          <w:tcPr>
            <w:tcW w:w="1043" w:type="dxa"/>
            <w:tcBorders>
              <w:top w:val="double" w:sz="6" w:space="0" w:color="000000"/>
            </w:tcBorders>
          </w:tcPr>
          <w:p>
            <w:pPr>
              <w:pStyle w:val="TableParagraph"/>
              <w:spacing w:before="40"/>
              <w:ind w:left="119" w:right="101"/>
              <w:jc w:val="center"/>
              <w:rPr>
                <w:sz w:val="20"/>
              </w:rPr>
            </w:pPr>
            <w:r>
              <w:rPr>
                <w:sz w:val="20"/>
              </w:rPr>
              <w:t>5 </w:t>
            </w:r>
            <w:r>
              <w:rPr>
                <w:spacing w:val="-2"/>
                <w:sz w:val="20"/>
              </w:rPr>
              <w:t>Percent</w:t>
            </w:r>
          </w:p>
        </w:tc>
        <w:tc>
          <w:tcPr>
            <w:tcW w:w="966" w:type="dxa"/>
            <w:tcBorders>
              <w:top w:val="double" w:sz="6" w:space="0" w:color="000000"/>
            </w:tcBorders>
          </w:tcPr>
          <w:p>
            <w:pPr>
              <w:pStyle w:val="TableParagraph"/>
              <w:spacing w:before="40"/>
              <w:ind w:left="105" w:right="50"/>
              <w:jc w:val="center"/>
              <w:rPr>
                <w:sz w:val="20"/>
              </w:rPr>
            </w:pPr>
            <w:r>
              <w:rPr>
                <w:sz w:val="20"/>
              </w:rPr>
              <w:t>1 </w:t>
            </w:r>
            <w:r>
              <w:rPr>
                <w:spacing w:val="-2"/>
                <w:sz w:val="20"/>
              </w:rPr>
              <w:t>Percent</w:t>
            </w:r>
          </w:p>
        </w:tc>
        <w:tc>
          <w:tcPr>
            <w:tcW w:w="6546" w:type="dxa"/>
            <w:tcBorders>
              <w:top w:val="double" w:sz="6" w:space="0" w:color="000000"/>
            </w:tcBorders>
          </w:tcPr>
          <w:p>
            <w:pPr>
              <w:pStyle w:val="TableParagraph"/>
              <w:spacing w:line="230" w:lineRule="atLeast" w:before="24"/>
              <w:ind w:left="350" w:right="5645" w:hanging="274"/>
              <w:rPr>
                <w:sz w:val="20"/>
              </w:rPr>
            </w:pPr>
            <w:r>
              <w:rPr>
                <w:spacing w:val="-2"/>
                <w:sz w:val="20"/>
              </w:rPr>
              <w:t>Hypothesi </w:t>
            </w:r>
            <w:r>
              <w:rPr>
                <w:spacing w:val="-4"/>
                <w:sz w:val="20"/>
              </w:rPr>
              <w:t>zed</w:t>
            </w:r>
          </w:p>
        </w:tc>
      </w:tr>
      <w:tr>
        <w:trPr>
          <w:trHeight w:val="453" w:hRule="atLeast"/>
        </w:trPr>
        <w:tc>
          <w:tcPr>
            <w:tcW w:w="1202" w:type="dxa"/>
            <w:tcBorders>
              <w:bottom w:val="double" w:sz="6" w:space="0" w:color="000000"/>
            </w:tcBorders>
          </w:tcPr>
          <w:p>
            <w:pPr>
              <w:pStyle w:val="TableParagraph"/>
              <w:spacing w:line="224" w:lineRule="exact"/>
              <w:ind w:right="187"/>
              <w:jc w:val="right"/>
              <w:rPr>
                <w:sz w:val="20"/>
              </w:rPr>
            </w:pPr>
            <w:r>
              <w:rPr>
                <w:spacing w:val="-2"/>
                <w:sz w:val="20"/>
              </w:rPr>
              <w:t>Eigenvalue</w:t>
            </w:r>
          </w:p>
        </w:tc>
        <w:tc>
          <w:tcPr>
            <w:tcW w:w="1129" w:type="dxa"/>
            <w:tcBorders>
              <w:bottom w:val="double" w:sz="6" w:space="0" w:color="000000"/>
            </w:tcBorders>
          </w:tcPr>
          <w:p>
            <w:pPr>
              <w:pStyle w:val="TableParagraph"/>
              <w:spacing w:line="224" w:lineRule="exact"/>
              <w:ind w:left="1" w:right="57"/>
              <w:jc w:val="center"/>
              <w:rPr>
                <w:sz w:val="20"/>
              </w:rPr>
            </w:pPr>
            <w:r>
              <w:rPr>
                <w:spacing w:val="-2"/>
                <w:sz w:val="20"/>
              </w:rPr>
              <w:t>Ratio</w:t>
            </w:r>
          </w:p>
        </w:tc>
        <w:tc>
          <w:tcPr>
            <w:tcW w:w="1043" w:type="dxa"/>
            <w:tcBorders>
              <w:bottom w:val="double" w:sz="6" w:space="0" w:color="000000"/>
            </w:tcBorders>
          </w:tcPr>
          <w:p>
            <w:pPr>
              <w:pStyle w:val="TableParagraph"/>
              <w:spacing w:line="224" w:lineRule="exact"/>
              <w:ind w:left="232"/>
              <w:rPr>
                <w:sz w:val="20"/>
              </w:rPr>
            </w:pPr>
            <w:r>
              <w:rPr>
                <w:spacing w:val="-2"/>
                <w:sz w:val="20"/>
              </w:rPr>
              <w:t>Critical</w:t>
            </w:r>
          </w:p>
          <w:p>
            <w:pPr>
              <w:pStyle w:val="TableParagraph"/>
              <w:spacing w:line="209" w:lineRule="exact"/>
              <w:ind w:left="292"/>
              <w:rPr>
                <w:sz w:val="20"/>
              </w:rPr>
            </w:pPr>
            <w:r>
              <w:rPr>
                <w:spacing w:val="-2"/>
                <w:sz w:val="20"/>
              </w:rPr>
              <w:t>Value</w:t>
            </w:r>
          </w:p>
        </w:tc>
        <w:tc>
          <w:tcPr>
            <w:tcW w:w="966" w:type="dxa"/>
            <w:tcBorders>
              <w:bottom w:val="double" w:sz="6" w:space="0" w:color="000000"/>
            </w:tcBorders>
          </w:tcPr>
          <w:p>
            <w:pPr>
              <w:pStyle w:val="TableParagraph"/>
              <w:spacing w:line="224" w:lineRule="exact"/>
              <w:ind w:left="210"/>
              <w:rPr>
                <w:sz w:val="20"/>
              </w:rPr>
            </w:pPr>
            <w:r>
              <w:rPr>
                <w:spacing w:val="-2"/>
                <w:sz w:val="20"/>
              </w:rPr>
              <w:t>Critical</w:t>
            </w:r>
          </w:p>
          <w:p>
            <w:pPr>
              <w:pStyle w:val="TableParagraph"/>
              <w:spacing w:line="209" w:lineRule="exact"/>
              <w:ind w:left="270"/>
              <w:rPr>
                <w:sz w:val="20"/>
              </w:rPr>
            </w:pPr>
            <w:r>
              <w:rPr>
                <w:spacing w:val="-2"/>
                <w:sz w:val="20"/>
              </w:rPr>
              <w:t>Value</w:t>
            </w:r>
          </w:p>
        </w:tc>
        <w:tc>
          <w:tcPr>
            <w:tcW w:w="6546" w:type="dxa"/>
            <w:tcBorders>
              <w:bottom w:val="double" w:sz="6" w:space="0" w:color="000000"/>
            </w:tcBorders>
          </w:tcPr>
          <w:p>
            <w:pPr>
              <w:pStyle w:val="TableParagraph"/>
              <w:spacing w:line="224" w:lineRule="exact"/>
              <w:ind w:left="232"/>
              <w:rPr>
                <w:sz w:val="20"/>
              </w:rPr>
            </w:pPr>
            <w:r>
              <w:rPr>
                <w:sz w:val="20"/>
              </w:rPr>
              <w:t>No.</w:t>
            </w:r>
            <w:r>
              <w:rPr>
                <w:spacing w:val="-2"/>
                <w:sz w:val="20"/>
              </w:rPr>
              <w:t> </w:t>
            </w:r>
            <w:r>
              <w:rPr>
                <w:spacing w:val="-5"/>
                <w:sz w:val="20"/>
              </w:rPr>
              <w:t>of</w:t>
            </w:r>
          </w:p>
          <w:p>
            <w:pPr>
              <w:pStyle w:val="TableParagraph"/>
              <w:spacing w:line="209" w:lineRule="exact"/>
              <w:ind w:left="257"/>
              <w:rPr>
                <w:sz w:val="20"/>
              </w:rPr>
            </w:pPr>
            <w:r>
              <w:rPr>
                <w:spacing w:val="-2"/>
                <w:sz w:val="20"/>
              </w:rPr>
              <w:t>CE(s)</w:t>
            </w:r>
          </w:p>
        </w:tc>
      </w:tr>
      <w:tr>
        <w:trPr>
          <w:trHeight w:val="276" w:hRule="atLeast"/>
        </w:trPr>
        <w:tc>
          <w:tcPr>
            <w:tcW w:w="1202" w:type="dxa"/>
            <w:tcBorders>
              <w:top w:val="double" w:sz="6" w:space="0" w:color="000000"/>
            </w:tcBorders>
          </w:tcPr>
          <w:p>
            <w:pPr>
              <w:pStyle w:val="TableParagraph"/>
              <w:spacing w:line="214" w:lineRule="exact" w:before="42"/>
              <w:ind w:right="232"/>
              <w:jc w:val="right"/>
              <w:rPr>
                <w:sz w:val="20"/>
              </w:rPr>
            </w:pPr>
            <w:r>
              <w:rPr>
                <w:spacing w:val="-2"/>
                <w:sz w:val="20"/>
              </w:rPr>
              <w:t>0.935807</w:t>
            </w:r>
          </w:p>
        </w:tc>
        <w:tc>
          <w:tcPr>
            <w:tcW w:w="1129" w:type="dxa"/>
            <w:tcBorders>
              <w:top w:val="double" w:sz="6" w:space="0" w:color="000000"/>
            </w:tcBorders>
          </w:tcPr>
          <w:p>
            <w:pPr>
              <w:pStyle w:val="TableParagraph"/>
              <w:spacing w:line="214" w:lineRule="exact" w:before="42"/>
              <w:ind w:left="55" w:right="57"/>
              <w:jc w:val="center"/>
              <w:rPr>
                <w:sz w:val="20"/>
              </w:rPr>
            </w:pPr>
            <w:r>
              <w:rPr>
                <w:spacing w:val="-2"/>
                <w:sz w:val="20"/>
              </w:rPr>
              <w:t>320.0949</w:t>
            </w:r>
          </w:p>
        </w:tc>
        <w:tc>
          <w:tcPr>
            <w:tcW w:w="1043" w:type="dxa"/>
            <w:tcBorders>
              <w:top w:val="double" w:sz="6" w:space="0" w:color="000000"/>
            </w:tcBorders>
          </w:tcPr>
          <w:p>
            <w:pPr>
              <w:pStyle w:val="TableParagraph"/>
              <w:spacing w:line="214" w:lineRule="exact" w:before="42"/>
              <w:ind w:left="119" w:right="99"/>
              <w:jc w:val="center"/>
              <w:rPr>
                <w:sz w:val="20"/>
              </w:rPr>
            </w:pPr>
            <w:r>
              <w:rPr>
                <w:spacing w:val="-2"/>
                <w:sz w:val="20"/>
              </w:rPr>
              <w:t>192.89</w:t>
            </w:r>
          </w:p>
        </w:tc>
        <w:tc>
          <w:tcPr>
            <w:tcW w:w="966" w:type="dxa"/>
            <w:tcBorders>
              <w:top w:val="double" w:sz="6" w:space="0" w:color="000000"/>
            </w:tcBorders>
          </w:tcPr>
          <w:p>
            <w:pPr>
              <w:pStyle w:val="TableParagraph"/>
              <w:spacing w:line="214" w:lineRule="exact" w:before="42"/>
              <w:ind w:left="105" w:right="53"/>
              <w:jc w:val="center"/>
              <w:rPr>
                <w:sz w:val="20"/>
              </w:rPr>
            </w:pPr>
            <w:r>
              <w:rPr>
                <w:spacing w:val="-2"/>
                <w:sz w:val="20"/>
              </w:rPr>
              <w:t>204.95</w:t>
            </w:r>
          </w:p>
        </w:tc>
        <w:tc>
          <w:tcPr>
            <w:tcW w:w="6546" w:type="dxa"/>
            <w:tcBorders>
              <w:top w:val="double" w:sz="6" w:space="0" w:color="000000"/>
            </w:tcBorders>
          </w:tcPr>
          <w:p>
            <w:pPr>
              <w:pStyle w:val="TableParagraph"/>
              <w:spacing w:line="214" w:lineRule="exact" w:before="42"/>
              <w:ind w:left="372"/>
              <w:rPr>
                <w:sz w:val="20"/>
              </w:rPr>
            </w:pPr>
            <w:r>
              <w:rPr>
                <w:sz w:val="20"/>
              </w:rPr>
              <w:t>None</w:t>
            </w:r>
            <w:r>
              <w:rPr>
                <w:spacing w:val="-6"/>
                <w:sz w:val="20"/>
              </w:rPr>
              <w:t> </w:t>
            </w:r>
            <w:r>
              <w:rPr>
                <w:spacing w:val="-5"/>
                <w:sz w:val="20"/>
              </w:rPr>
              <w:t>**</w:t>
            </w:r>
          </w:p>
        </w:tc>
      </w:tr>
      <w:tr>
        <w:trPr>
          <w:trHeight w:val="229" w:hRule="atLeast"/>
        </w:trPr>
        <w:tc>
          <w:tcPr>
            <w:tcW w:w="1202" w:type="dxa"/>
          </w:tcPr>
          <w:p>
            <w:pPr>
              <w:pStyle w:val="TableParagraph"/>
              <w:spacing w:line="209" w:lineRule="exact"/>
              <w:ind w:right="232"/>
              <w:jc w:val="right"/>
              <w:rPr>
                <w:sz w:val="20"/>
              </w:rPr>
            </w:pPr>
            <w:r>
              <w:rPr>
                <w:spacing w:val="-2"/>
                <w:sz w:val="20"/>
              </w:rPr>
              <w:t>0.797808</w:t>
            </w:r>
          </w:p>
        </w:tc>
        <w:tc>
          <w:tcPr>
            <w:tcW w:w="1129" w:type="dxa"/>
          </w:tcPr>
          <w:p>
            <w:pPr>
              <w:pStyle w:val="TableParagraph"/>
              <w:spacing w:line="209" w:lineRule="exact"/>
              <w:ind w:left="55" w:right="57"/>
              <w:jc w:val="center"/>
              <w:rPr>
                <w:sz w:val="20"/>
              </w:rPr>
            </w:pPr>
            <w:r>
              <w:rPr>
                <w:spacing w:val="-2"/>
                <w:sz w:val="20"/>
              </w:rPr>
              <w:t>210.2607</w:t>
            </w:r>
          </w:p>
        </w:tc>
        <w:tc>
          <w:tcPr>
            <w:tcW w:w="1043" w:type="dxa"/>
          </w:tcPr>
          <w:p>
            <w:pPr>
              <w:pStyle w:val="TableParagraph"/>
              <w:spacing w:line="209" w:lineRule="exact"/>
              <w:ind w:left="119" w:right="99"/>
              <w:jc w:val="center"/>
              <w:rPr>
                <w:sz w:val="20"/>
              </w:rPr>
            </w:pPr>
            <w:r>
              <w:rPr>
                <w:spacing w:val="-2"/>
                <w:sz w:val="20"/>
              </w:rPr>
              <w:t>156.00</w:t>
            </w:r>
          </w:p>
        </w:tc>
        <w:tc>
          <w:tcPr>
            <w:tcW w:w="966" w:type="dxa"/>
          </w:tcPr>
          <w:p>
            <w:pPr>
              <w:pStyle w:val="TableParagraph"/>
              <w:spacing w:line="209" w:lineRule="exact"/>
              <w:ind w:left="105" w:right="53"/>
              <w:jc w:val="center"/>
              <w:rPr>
                <w:sz w:val="20"/>
              </w:rPr>
            </w:pPr>
            <w:r>
              <w:rPr>
                <w:spacing w:val="-2"/>
                <w:sz w:val="20"/>
              </w:rPr>
              <w:t>168.36</w:t>
            </w:r>
          </w:p>
        </w:tc>
        <w:tc>
          <w:tcPr>
            <w:tcW w:w="6546" w:type="dxa"/>
          </w:tcPr>
          <w:p>
            <w:pPr>
              <w:pStyle w:val="TableParagraph"/>
              <w:spacing w:line="209" w:lineRule="exact"/>
              <w:ind w:left="221"/>
              <w:rPr>
                <w:sz w:val="20"/>
              </w:rPr>
            </w:pPr>
            <w:r>
              <w:rPr>
                <w:sz w:val="20"/>
              </w:rPr>
              <w:t>At</w:t>
            </w:r>
            <w:r>
              <w:rPr>
                <w:spacing w:val="-3"/>
                <w:sz w:val="20"/>
              </w:rPr>
              <w:t> </w:t>
            </w:r>
            <w:r>
              <w:rPr>
                <w:sz w:val="20"/>
              </w:rPr>
              <w:t>most</w:t>
            </w:r>
            <w:r>
              <w:rPr>
                <w:spacing w:val="-4"/>
                <w:sz w:val="20"/>
              </w:rPr>
              <w:t> </w:t>
            </w:r>
            <w:r>
              <w:rPr>
                <w:sz w:val="20"/>
              </w:rPr>
              <w:t>1</w:t>
            </w:r>
            <w:r>
              <w:rPr>
                <w:spacing w:val="-1"/>
                <w:sz w:val="20"/>
              </w:rPr>
              <w:t> </w:t>
            </w:r>
            <w:r>
              <w:rPr>
                <w:spacing w:val="-5"/>
                <w:sz w:val="20"/>
              </w:rPr>
              <w:t>**</w:t>
            </w:r>
          </w:p>
        </w:tc>
      </w:tr>
      <w:tr>
        <w:trPr>
          <w:trHeight w:val="230" w:hRule="atLeast"/>
        </w:trPr>
        <w:tc>
          <w:tcPr>
            <w:tcW w:w="1202" w:type="dxa"/>
          </w:tcPr>
          <w:p>
            <w:pPr>
              <w:pStyle w:val="TableParagraph"/>
              <w:spacing w:line="210" w:lineRule="exact"/>
              <w:ind w:right="232"/>
              <w:jc w:val="right"/>
              <w:rPr>
                <w:sz w:val="20"/>
              </w:rPr>
            </w:pPr>
            <w:r>
              <w:rPr>
                <w:spacing w:val="-2"/>
                <w:sz w:val="20"/>
              </w:rPr>
              <w:t>0.662013</w:t>
            </w:r>
          </w:p>
        </w:tc>
        <w:tc>
          <w:tcPr>
            <w:tcW w:w="1129" w:type="dxa"/>
          </w:tcPr>
          <w:p>
            <w:pPr>
              <w:pStyle w:val="TableParagraph"/>
              <w:spacing w:line="210" w:lineRule="exact"/>
              <w:ind w:left="55" w:right="57"/>
              <w:jc w:val="center"/>
              <w:rPr>
                <w:sz w:val="20"/>
              </w:rPr>
            </w:pPr>
            <w:r>
              <w:rPr>
                <w:spacing w:val="-2"/>
                <w:sz w:val="20"/>
              </w:rPr>
              <w:t>146.3192</w:t>
            </w:r>
          </w:p>
        </w:tc>
        <w:tc>
          <w:tcPr>
            <w:tcW w:w="1043" w:type="dxa"/>
          </w:tcPr>
          <w:p>
            <w:pPr>
              <w:pStyle w:val="TableParagraph"/>
              <w:spacing w:line="210" w:lineRule="exact"/>
              <w:ind w:left="119" w:right="99"/>
              <w:jc w:val="center"/>
              <w:rPr>
                <w:sz w:val="20"/>
              </w:rPr>
            </w:pPr>
            <w:r>
              <w:rPr>
                <w:spacing w:val="-2"/>
                <w:sz w:val="20"/>
              </w:rPr>
              <w:t>124.24</w:t>
            </w:r>
          </w:p>
        </w:tc>
        <w:tc>
          <w:tcPr>
            <w:tcW w:w="966" w:type="dxa"/>
          </w:tcPr>
          <w:p>
            <w:pPr>
              <w:pStyle w:val="TableParagraph"/>
              <w:spacing w:line="210" w:lineRule="exact"/>
              <w:ind w:left="105" w:right="53"/>
              <w:jc w:val="center"/>
              <w:rPr>
                <w:sz w:val="20"/>
              </w:rPr>
            </w:pPr>
            <w:r>
              <w:rPr>
                <w:spacing w:val="-2"/>
                <w:sz w:val="20"/>
              </w:rPr>
              <w:t>133.57</w:t>
            </w:r>
          </w:p>
        </w:tc>
        <w:tc>
          <w:tcPr>
            <w:tcW w:w="6546" w:type="dxa"/>
          </w:tcPr>
          <w:p>
            <w:pPr>
              <w:pStyle w:val="TableParagraph"/>
              <w:spacing w:line="210" w:lineRule="exact"/>
              <w:ind w:left="221"/>
              <w:rPr>
                <w:sz w:val="20"/>
              </w:rPr>
            </w:pPr>
            <w:r>
              <w:rPr>
                <w:sz w:val="20"/>
              </w:rPr>
              <w:t>At</w:t>
            </w:r>
            <w:r>
              <w:rPr>
                <w:spacing w:val="-3"/>
                <w:sz w:val="20"/>
              </w:rPr>
              <w:t> </w:t>
            </w:r>
            <w:r>
              <w:rPr>
                <w:sz w:val="20"/>
              </w:rPr>
              <w:t>most</w:t>
            </w:r>
            <w:r>
              <w:rPr>
                <w:spacing w:val="-4"/>
                <w:sz w:val="20"/>
              </w:rPr>
              <w:t> </w:t>
            </w:r>
            <w:r>
              <w:rPr>
                <w:sz w:val="20"/>
              </w:rPr>
              <w:t>2</w:t>
            </w:r>
            <w:r>
              <w:rPr>
                <w:spacing w:val="-1"/>
                <w:sz w:val="20"/>
              </w:rPr>
              <w:t> </w:t>
            </w:r>
            <w:r>
              <w:rPr>
                <w:spacing w:val="-5"/>
                <w:sz w:val="20"/>
              </w:rPr>
              <w:t>**</w:t>
            </w:r>
          </w:p>
        </w:tc>
      </w:tr>
      <w:tr>
        <w:trPr>
          <w:trHeight w:val="230" w:hRule="atLeast"/>
        </w:trPr>
        <w:tc>
          <w:tcPr>
            <w:tcW w:w="1202" w:type="dxa"/>
          </w:tcPr>
          <w:p>
            <w:pPr>
              <w:pStyle w:val="TableParagraph"/>
              <w:spacing w:line="210" w:lineRule="exact"/>
              <w:ind w:right="232"/>
              <w:jc w:val="right"/>
              <w:rPr>
                <w:sz w:val="20"/>
              </w:rPr>
            </w:pPr>
            <w:r>
              <w:rPr>
                <w:spacing w:val="-2"/>
                <w:sz w:val="20"/>
              </w:rPr>
              <w:t>0.578695</w:t>
            </w:r>
          </w:p>
        </w:tc>
        <w:tc>
          <w:tcPr>
            <w:tcW w:w="1129" w:type="dxa"/>
          </w:tcPr>
          <w:p>
            <w:pPr>
              <w:pStyle w:val="TableParagraph"/>
              <w:spacing w:line="210" w:lineRule="exact"/>
              <w:ind w:left="55" w:right="57"/>
              <w:jc w:val="center"/>
              <w:rPr>
                <w:sz w:val="20"/>
              </w:rPr>
            </w:pPr>
            <w:r>
              <w:rPr>
                <w:spacing w:val="-2"/>
                <w:sz w:val="20"/>
              </w:rPr>
              <w:t>102.9292</w:t>
            </w:r>
          </w:p>
        </w:tc>
        <w:tc>
          <w:tcPr>
            <w:tcW w:w="1043" w:type="dxa"/>
          </w:tcPr>
          <w:p>
            <w:pPr>
              <w:pStyle w:val="TableParagraph"/>
              <w:spacing w:line="210" w:lineRule="exact"/>
              <w:ind w:left="119" w:right="51"/>
              <w:jc w:val="center"/>
              <w:rPr>
                <w:sz w:val="20"/>
              </w:rPr>
            </w:pPr>
            <w:r>
              <w:rPr>
                <w:spacing w:val="-2"/>
                <w:sz w:val="20"/>
              </w:rPr>
              <w:t>94.15</w:t>
            </w:r>
          </w:p>
        </w:tc>
        <w:tc>
          <w:tcPr>
            <w:tcW w:w="966" w:type="dxa"/>
          </w:tcPr>
          <w:p>
            <w:pPr>
              <w:pStyle w:val="TableParagraph"/>
              <w:spacing w:line="210" w:lineRule="exact"/>
              <w:ind w:left="105" w:right="53"/>
              <w:jc w:val="center"/>
              <w:rPr>
                <w:sz w:val="20"/>
              </w:rPr>
            </w:pPr>
            <w:r>
              <w:rPr>
                <w:spacing w:val="-2"/>
                <w:sz w:val="20"/>
              </w:rPr>
              <w:t>103.18</w:t>
            </w:r>
          </w:p>
        </w:tc>
        <w:tc>
          <w:tcPr>
            <w:tcW w:w="6546" w:type="dxa"/>
          </w:tcPr>
          <w:p>
            <w:pPr>
              <w:pStyle w:val="TableParagraph"/>
              <w:spacing w:line="210" w:lineRule="exact"/>
              <w:ind w:left="221"/>
              <w:rPr>
                <w:sz w:val="20"/>
              </w:rPr>
            </w:pPr>
            <w:r>
              <w:rPr>
                <w:sz w:val="20"/>
              </w:rPr>
              <w:t>At</w:t>
            </w:r>
            <w:r>
              <w:rPr>
                <w:spacing w:val="-3"/>
                <w:sz w:val="20"/>
              </w:rPr>
              <w:t> </w:t>
            </w:r>
            <w:r>
              <w:rPr>
                <w:sz w:val="20"/>
              </w:rPr>
              <w:t>most</w:t>
            </w:r>
            <w:r>
              <w:rPr>
                <w:spacing w:val="-4"/>
                <w:sz w:val="20"/>
              </w:rPr>
              <w:t> </w:t>
            </w:r>
            <w:r>
              <w:rPr>
                <w:sz w:val="20"/>
              </w:rPr>
              <w:t>3</w:t>
            </w:r>
            <w:r>
              <w:rPr>
                <w:spacing w:val="-1"/>
                <w:sz w:val="20"/>
              </w:rPr>
              <w:t> </w:t>
            </w:r>
            <w:r>
              <w:rPr>
                <w:spacing w:val="-10"/>
                <w:sz w:val="20"/>
              </w:rPr>
              <w:t>*</w:t>
            </w:r>
          </w:p>
        </w:tc>
      </w:tr>
      <w:tr>
        <w:trPr>
          <w:trHeight w:val="230" w:hRule="atLeast"/>
        </w:trPr>
        <w:tc>
          <w:tcPr>
            <w:tcW w:w="1202" w:type="dxa"/>
          </w:tcPr>
          <w:p>
            <w:pPr>
              <w:pStyle w:val="TableParagraph"/>
              <w:spacing w:line="210" w:lineRule="exact"/>
              <w:ind w:right="232"/>
              <w:jc w:val="right"/>
              <w:rPr>
                <w:sz w:val="20"/>
              </w:rPr>
            </w:pPr>
            <w:r>
              <w:rPr>
                <w:spacing w:val="-2"/>
                <w:sz w:val="20"/>
              </w:rPr>
              <w:t>0.506735</w:t>
            </w:r>
          </w:p>
        </w:tc>
        <w:tc>
          <w:tcPr>
            <w:tcW w:w="1129" w:type="dxa"/>
          </w:tcPr>
          <w:p>
            <w:pPr>
              <w:pStyle w:val="TableParagraph"/>
              <w:spacing w:line="210" w:lineRule="exact"/>
              <w:ind w:left="55" w:right="57"/>
              <w:jc w:val="center"/>
              <w:rPr>
                <w:sz w:val="20"/>
              </w:rPr>
            </w:pPr>
            <w:r>
              <w:rPr>
                <w:spacing w:val="-2"/>
                <w:sz w:val="20"/>
              </w:rPr>
              <w:t>68.35335</w:t>
            </w:r>
          </w:p>
        </w:tc>
        <w:tc>
          <w:tcPr>
            <w:tcW w:w="1043" w:type="dxa"/>
          </w:tcPr>
          <w:p>
            <w:pPr>
              <w:pStyle w:val="TableParagraph"/>
              <w:spacing w:line="210" w:lineRule="exact"/>
              <w:ind w:left="119" w:right="51"/>
              <w:jc w:val="center"/>
              <w:rPr>
                <w:sz w:val="20"/>
              </w:rPr>
            </w:pPr>
            <w:r>
              <w:rPr>
                <w:spacing w:val="-2"/>
                <w:sz w:val="20"/>
              </w:rPr>
              <w:t>68.52</w:t>
            </w:r>
          </w:p>
        </w:tc>
        <w:tc>
          <w:tcPr>
            <w:tcW w:w="966" w:type="dxa"/>
          </w:tcPr>
          <w:p>
            <w:pPr>
              <w:pStyle w:val="TableParagraph"/>
              <w:spacing w:line="210" w:lineRule="exact"/>
              <w:ind w:left="105"/>
              <w:jc w:val="center"/>
              <w:rPr>
                <w:sz w:val="20"/>
              </w:rPr>
            </w:pPr>
            <w:r>
              <w:rPr>
                <w:spacing w:val="-2"/>
                <w:sz w:val="20"/>
              </w:rPr>
              <w:t>76.07</w:t>
            </w:r>
          </w:p>
        </w:tc>
        <w:tc>
          <w:tcPr>
            <w:tcW w:w="6546" w:type="dxa"/>
          </w:tcPr>
          <w:p>
            <w:pPr>
              <w:pStyle w:val="TableParagraph"/>
              <w:spacing w:line="210" w:lineRule="exact"/>
              <w:ind w:left="221"/>
              <w:rPr>
                <w:sz w:val="20"/>
              </w:rPr>
            </w:pPr>
            <w:r>
              <w:rPr>
                <w:sz w:val="20"/>
              </w:rPr>
              <w:t>At</w:t>
            </w:r>
            <w:r>
              <w:rPr>
                <w:spacing w:val="-4"/>
                <w:sz w:val="20"/>
              </w:rPr>
              <w:t> </w:t>
            </w:r>
            <w:r>
              <w:rPr>
                <w:sz w:val="20"/>
              </w:rPr>
              <w:t>most</w:t>
            </w:r>
            <w:r>
              <w:rPr>
                <w:spacing w:val="-6"/>
                <w:sz w:val="20"/>
              </w:rPr>
              <w:t> </w:t>
            </w:r>
            <w:r>
              <w:rPr>
                <w:spacing w:val="-10"/>
                <w:sz w:val="20"/>
              </w:rPr>
              <w:t>4</w:t>
            </w:r>
          </w:p>
        </w:tc>
      </w:tr>
      <w:tr>
        <w:trPr>
          <w:trHeight w:val="229" w:hRule="atLeast"/>
        </w:trPr>
        <w:tc>
          <w:tcPr>
            <w:tcW w:w="1202" w:type="dxa"/>
          </w:tcPr>
          <w:p>
            <w:pPr>
              <w:pStyle w:val="TableParagraph"/>
              <w:spacing w:line="209" w:lineRule="exact"/>
              <w:ind w:right="232"/>
              <w:jc w:val="right"/>
              <w:rPr>
                <w:sz w:val="20"/>
              </w:rPr>
            </w:pPr>
            <w:r>
              <w:rPr>
                <w:spacing w:val="-2"/>
                <w:sz w:val="20"/>
              </w:rPr>
              <w:t>0.378693</w:t>
            </w:r>
          </w:p>
        </w:tc>
        <w:tc>
          <w:tcPr>
            <w:tcW w:w="1129" w:type="dxa"/>
          </w:tcPr>
          <w:p>
            <w:pPr>
              <w:pStyle w:val="TableParagraph"/>
              <w:spacing w:line="209" w:lineRule="exact"/>
              <w:ind w:left="55" w:right="57"/>
              <w:jc w:val="center"/>
              <w:rPr>
                <w:sz w:val="20"/>
              </w:rPr>
            </w:pPr>
            <w:r>
              <w:rPr>
                <w:spacing w:val="-2"/>
                <w:sz w:val="20"/>
              </w:rPr>
              <w:t>40.08503</w:t>
            </w:r>
          </w:p>
        </w:tc>
        <w:tc>
          <w:tcPr>
            <w:tcW w:w="1043" w:type="dxa"/>
          </w:tcPr>
          <w:p>
            <w:pPr>
              <w:pStyle w:val="TableParagraph"/>
              <w:spacing w:line="209" w:lineRule="exact"/>
              <w:ind w:left="119" w:right="51"/>
              <w:jc w:val="center"/>
              <w:rPr>
                <w:sz w:val="20"/>
              </w:rPr>
            </w:pPr>
            <w:r>
              <w:rPr>
                <w:spacing w:val="-2"/>
                <w:sz w:val="20"/>
              </w:rPr>
              <w:t>47.21</w:t>
            </w:r>
          </w:p>
        </w:tc>
        <w:tc>
          <w:tcPr>
            <w:tcW w:w="966" w:type="dxa"/>
          </w:tcPr>
          <w:p>
            <w:pPr>
              <w:pStyle w:val="TableParagraph"/>
              <w:spacing w:line="209" w:lineRule="exact"/>
              <w:ind w:left="105"/>
              <w:jc w:val="center"/>
              <w:rPr>
                <w:sz w:val="20"/>
              </w:rPr>
            </w:pPr>
            <w:r>
              <w:rPr>
                <w:spacing w:val="-2"/>
                <w:sz w:val="20"/>
              </w:rPr>
              <w:t>54.46</w:t>
            </w:r>
          </w:p>
        </w:tc>
        <w:tc>
          <w:tcPr>
            <w:tcW w:w="6546" w:type="dxa"/>
          </w:tcPr>
          <w:p>
            <w:pPr>
              <w:pStyle w:val="TableParagraph"/>
              <w:spacing w:line="209" w:lineRule="exact"/>
              <w:ind w:left="221"/>
              <w:rPr>
                <w:sz w:val="20"/>
              </w:rPr>
            </w:pPr>
            <w:r>
              <w:rPr>
                <w:sz w:val="20"/>
              </w:rPr>
              <w:t>At</w:t>
            </w:r>
            <w:r>
              <w:rPr>
                <w:spacing w:val="-4"/>
                <w:sz w:val="20"/>
              </w:rPr>
              <w:t> </w:t>
            </w:r>
            <w:r>
              <w:rPr>
                <w:sz w:val="20"/>
              </w:rPr>
              <w:t>most</w:t>
            </w:r>
            <w:r>
              <w:rPr>
                <w:spacing w:val="-6"/>
                <w:sz w:val="20"/>
              </w:rPr>
              <w:t> </w:t>
            </w:r>
            <w:r>
              <w:rPr>
                <w:spacing w:val="-10"/>
                <w:sz w:val="20"/>
              </w:rPr>
              <w:t>5</w:t>
            </w:r>
          </w:p>
        </w:tc>
      </w:tr>
      <w:tr>
        <w:trPr>
          <w:trHeight w:val="229" w:hRule="atLeast"/>
        </w:trPr>
        <w:tc>
          <w:tcPr>
            <w:tcW w:w="1202" w:type="dxa"/>
          </w:tcPr>
          <w:p>
            <w:pPr>
              <w:pStyle w:val="TableParagraph"/>
              <w:spacing w:line="210" w:lineRule="exact"/>
              <w:ind w:right="232"/>
              <w:jc w:val="right"/>
              <w:rPr>
                <w:sz w:val="20"/>
              </w:rPr>
            </w:pPr>
            <w:r>
              <w:rPr>
                <w:spacing w:val="-2"/>
                <w:sz w:val="20"/>
              </w:rPr>
              <w:t>0.317649</w:t>
            </w:r>
          </w:p>
        </w:tc>
        <w:tc>
          <w:tcPr>
            <w:tcW w:w="1129" w:type="dxa"/>
          </w:tcPr>
          <w:p>
            <w:pPr>
              <w:pStyle w:val="TableParagraph"/>
              <w:spacing w:line="210" w:lineRule="exact"/>
              <w:ind w:left="55" w:right="57"/>
              <w:jc w:val="center"/>
              <w:rPr>
                <w:sz w:val="20"/>
              </w:rPr>
            </w:pPr>
            <w:r>
              <w:rPr>
                <w:spacing w:val="-2"/>
                <w:sz w:val="20"/>
              </w:rPr>
              <w:t>21.04781</w:t>
            </w:r>
          </w:p>
        </w:tc>
        <w:tc>
          <w:tcPr>
            <w:tcW w:w="1043" w:type="dxa"/>
          </w:tcPr>
          <w:p>
            <w:pPr>
              <w:pStyle w:val="TableParagraph"/>
              <w:spacing w:line="210" w:lineRule="exact"/>
              <w:ind w:left="119" w:right="51"/>
              <w:jc w:val="center"/>
              <w:rPr>
                <w:sz w:val="20"/>
              </w:rPr>
            </w:pPr>
            <w:r>
              <w:rPr>
                <w:spacing w:val="-2"/>
                <w:sz w:val="20"/>
              </w:rPr>
              <w:t>29.68</w:t>
            </w:r>
          </w:p>
        </w:tc>
        <w:tc>
          <w:tcPr>
            <w:tcW w:w="966" w:type="dxa"/>
          </w:tcPr>
          <w:p>
            <w:pPr>
              <w:pStyle w:val="TableParagraph"/>
              <w:spacing w:line="210" w:lineRule="exact"/>
              <w:ind w:left="105"/>
              <w:jc w:val="center"/>
              <w:rPr>
                <w:sz w:val="20"/>
              </w:rPr>
            </w:pPr>
            <w:r>
              <w:rPr>
                <w:spacing w:val="-2"/>
                <w:sz w:val="20"/>
              </w:rPr>
              <w:t>35.65</w:t>
            </w:r>
          </w:p>
        </w:tc>
        <w:tc>
          <w:tcPr>
            <w:tcW w:w="6546" w:type="dxa"/>
          </w:tcPr>
          <w:p>
            <w:pPr>
              <w:pStyle w:val="TableParagraph"/>
              <w:spacing w:line="210" w:lineRule="exact"/>
              <w:ind w:left="221"/>
              <w:rPr>
                <w:sz w:val="20"/>
              </w:rPr>
            </w:pPr>
            <w:r>
              <w:rPr>
                <w:sz w:val="20"/>
              </w:rPr>
              <w:t>At</w:t>
            </w:r>
            <w:r>
              <w:rPr>
                <w:spacing w:val="-4"/>
                <w:sz w:val="20"/>
              </w:rPr>
              <w:t> </w:t>
            </w:r>
            <w:r>
              <w:rPr>
                <w:sz w:val="20"/>
              </w:rPr>
              <w:t>most</w:t>
            </w:r>
            <w:r>
              <w:rPr>
                <w:spacing w:val="-6"/>
                <w:sz w:val="20"/>
              </w:rPr>
              <w:t> </w:t>
            </w:r>
            <w:r>
              <w:rPr>
                <w:spacing w:val="-10"/>
                <w:sz w:val="20"/>
              </w:rPr>
              <w:t>6</w:t>
            </w:r>
          </w:p>
        </w:tc>
      </w:tr>
      <w:tr>
        <w:trPr>
          <w:trHeight w:val="230" w:hRule="atLeast"/>
        </w:trPr>
        <w:tc>
          <w:tcPr>
            <w:tcW w:w="1202" w:type="dxa"/>
          </w:tcPr>
          <w:p>
            <w:pPr>
              <w:pStyle w:val="TableParagraph"/>
              <w:spacing w:line="210" w:lineRule="exact"/>
              <w:ind w:right="232"/>
              <w:jc w:val="right"/>
              <w:rPr>
                <w:sz w:val="20"/>
              </w:rPr>
            </w:pPr>
            <w:r>
              <w:rPr>
                <w:spacing w:val="-2"/>
                <w:sz w:val="20"/>
              </w:rPr>
              <w:t>0.131239</w:t>
            </w:r>
          </w:p>
        </w:tc>
        <w:tc>
          <w:tcPr>
            <w:tcW w:w="1129" w:type="dxa"/>
          </w:tcPr>
          <w:p>
            <w:pPr>
              <w:pStyle w:val="TableParagraph"/>
              <w:spacing w:line="210" w:lineRule="exact"/>
              <w:ind w:left="55" w:right="57"/>
              <w:jc w:val="center"/>
              <w:rPr>
                <w:sz w:val="20"/>
              </w:rPr>
            </w:pPr>
            <w:r>
              <w:rPr>
                <w:spacing w:val="-2"/>
                <w:sz w:val="20"/>
              </w:rPr>
              <w:t>5.759381</w:t>
            </w:r>
          </w:p>
        </w:tc>
        <w:tc>
          <w:tcPr>
            <w:tcW w:w="1043" w:type="dxa"/>
          </w:tcPr>
          <w:p>
            <w:pPr>
              <w:pStyle w:val="TableParagraph"/>
              <w:spacing w:line="210" w:lineRule="exact"/>
              <w:ind w:left="119" w:right="51"/>
              <w:jc w:val="center"/>
              <w:rPr>
                <w:sz w:val="20"/>
              </w:rPr>
            </w:pPr>
            <w:r>
              <w:rPr>
                <w:spacing w:val="-2"/>
                <w:sz w:val="20"/>
              </w:rPr>
              <w:t>15.41</w:t>
            </w:r>
          </w:p>
        </w:tc>
        <w:tc>
          <w:tcPr>
            <w:tcW w:w="966" w:type="dxa"/>
          </w:tcPr>
          <w:p>
            <w:pPr>
              <w:pStyle w:val="TableParagraph"/>
              <w:spacing w:line="210" w:lineRule="exact"/>
              <w:ind w:left="105"/>
              <w:jc w:val="center"/>
              <w:rPr>
                <w:sz w:val="20"/>
              </w:rPr>
            </w:pPr>
            <w:r>
              <w:rPr>
                <w:spacing w:val="-2"/>
                <w:sz w:val="20"/>
              </w:rPr>
              <w:t>20.04</w:t>
            </w:r>
          </w:p>
        </w:tc>
        <w:tc>
          <w:tcPr>
            <w:tcW w:w="6546" w:type="dxa"/>
          </w:tcPr>
          <w:p>
            <w:pPr>
              <w:pStyle w:val="TableParagraph"/>
              <w:spacing w:line="210" w:lineRule="exact"/>
              <w:ind w:left="221"/>
              <w:rPr>
                <w:sz w:val="20"/>
              </w:rPr>
            </w:pPr>
            <w:r>
              <w:rPr>
                <w:sz w:val="20"/>
              </w:rPr>
              <w:t>At</w:t>
            </w:r>
            <w:r>
              <w:rPr>
                <w:spacing w:val="-4"/>
                <w:sz w:val="20"/>
              </w:rPr>
              <w:t> </w:t>
            </w:r>
            <w:r>
              <w:rPr>
                <w:sz w:val="20"/>
              </w:rPr>
              <w:t>most</w:t>
            </w:r>
            <w:r>
              <w:rPr>
                <w:spacing w:val="-6"/>
                <w:sz w:val="20"/>
              </w:rPr>
              <w:t> </w:t>
            </w:r>
            <w:r>
              <w:rPr>
                <w:spacing w:val="-10"/>
                <w:sz w:val="20"/>
              </w:rPr>
              <w:t>7</w:t>
            </w:r>
          </w:p>
        </w:tc>
      </w:tr>
      <w:tr>
        <w:trPr>
          <w:trHeight w:val="224" w:hRule="atLeast"/>
        </w:trPr>
        <w:tc>
          <w:tcPr>
            <w:tcW w:w="1202" w:type="dxa"/>
            <w:tcBorders>
              <w:bottom w:val="double" w:sz="6" w:space="0" w:color="000000"/>
            </w:tcBorders>
          </w:tcPr>
          <w:p>
            <w:pPr>
              <w:pStyle w:val="TableParagraph"/>
              <w:spacing w:line="205" w:lineRule="exact"/>
              <w:ind w:right="232"/>
              <w:jc w:val="right"/>
              <w:rPr>
                <w:sz w:val="20"/>
              </w:rPr>
            </w:pPr>
            <w:r>
              <w:rPr>
                <w:spacing w:val="-2"/>
                <w:sz w:val="20"/>
              </w:rPr>
              <w:t>0.003292</w:t>
            </w:r>
          </w:p>
        </w:tc>
        <w:tc>
          <w:tcPr>
            <w:tcW w:w="1129" w:type="dxa"/>
            <w:tcBorders>
              <w:bottom w:val="double" w:sz="6" w:space="0" w:color="000000"/>
            </w:tcBorders>
          </w:tcPr>
          <w:p>
            <w:pPr>
              <w:pStyle w:val="TableParagraph"/>
              <w:spacing w:line="205" w:lineRule="exact"/>
              <w:ind w:left="55" w:right="57"/>
              <w:jc w:val="center"/>
              <w:rPr>
                <w:sz w:val="20"/>
              </w:rPr>
            </w:pPr>
            <w:r>
              <w:rPr>
                <w:spacing w:val="-2"/>
                <w:sz w:val="20"/>
              </w:rPr>
              <w:t>0.131915</w:t>
            </w:r>
          </w:p>
        </w:tc>
        <w:tc>
          <w:tcPr>
            <w:tcW w:w="1043" w:type="dxa"/>
            <w:tcBorders>
              <w:bottom w:val="double" w:sz="6" w:space="0" w:color="000000"/>
            </w:tcBorders>
          </w:tcPr>
          <w:p>
            <w:pPr>
              <w:pStyle w:val="TableParagraph"/>
              <w:spacing w:line="205" w:lineRule="exact"/>
              <w:ind w:left="119"/>
              <w:jc w:val="center"/>
              <w:rPr>
                <w:sz w:val="20"/>
              </w:rPr>
            </w:pPr>
            <w:r>
              <w:rPr>
                <w:spacing w:val="-4"/>
                <w:sz w:val="20"/>
              </w:rPr>
              <w:t>3.76</w:t>
            </w:r>
          </w:p>
        </w:tc>
        <w:tc>
          <w:tcPr>
            <w:tcW w:w="966" w:type="dxa"/>
            <w:tcBorders>
              <w:bottom w:val="double" w:sz="6" w:space="0" w:color="000000"/>
            </w:tcBorders>
          </w:tcPr>
          <w:p>
            <w:pPr>
              <w:pStyle w:val="TableParagraph"/>
              <w:spacing w:line="205" w:lineRule="exact"/>
              <w:ind w:left="155"/>
              <w:jc w:val="center"/>
              <w:rPr>
                <w:sz w:val="20"/>
              </w:rPr>
            </w:pPr>
            <w:r>
              <w:rPr>
                <w:spacing w:val="-4"/>
                <w:sz w:val="20"/>
              </w:rPr>
              <w:t>6.65</w:t>
            </w:r>
          </w:p>
        </w:tc>
        <w:tc>
          <w:tcPr>
            <w:tcW w:w="6546" w:type="dxa"/>
            <w:tcBorders>
              <w:bottom w:val="double" w:sz="6" w:space="0" w:color="000000"/>
            </w:tcBorders>
          </w:tcPr>
          <w:p>
            <w:pPr>
              <w:pStyle w:val="TableParagraph"/>
              <w:spacing w:line="205" w:lineRule="exact"/>
              <w:ind w:left="221"/>
              <w:rPr>
                <w:sz w:val="20"/>
              </w:rPr>
            </w:pPr>
            <w:r>
              <w:rPr>
                <w:sz w:val="20"/>
              </w:rPr>
              <w:t>At</w:t>
            </w:r>
            <w:r>
              <w:rPr>
                <w:spacing w:val="-4"/>
                <w:sz w:val="20"/>
              </w:rPr>
              <w:t> </w:t>
            </w:r>
            <w:r>
              <w:rPr>
                <w:sz w:val="20"/>
              </w:rPr>
              <w:t>most</w:t>
            </w:r>
            <w:r>
              <w:rPr>
                <w:spacing w:val="-6"/>
                <w:sz w:val="20"/>
              </w:rPr>
              <w:t> </w:t>
            </w:r>
            <w:r>
              <w:rPr>
                <w:spacing w:val="-10"/>
                <w:sz w:val="20"/>
              </w:rPr>
              <w:t>8</w:t>
            </w:r>
          </w:p>
        </w:tc>
      </w:tr>
      <w:tr>
        <w:trPr>
          <w:trHeight w:val="1885" w:hRule="atLeast"/>
        </w:trPr>
        <w:tc>
          <w:tcPr>
            <w:tcW w:w="1202" w:type="dxa"/>
            <w:tcBorders>
              <w:top w:val="double" w:sz="6" w:space="0" w:color="000000"/>
            </w:tcBorders>
          </w:tcPr>
          <w:p>
            <w:pPr>
              <w:pStyle w:val="TableParagraph"/>
              <w:spacing w:before="40"/>
              <w:ind w:left="43" w:right="109" w:firstLine="56"/>
              <w:jc w:val="center"/>
              <w:rPr>
                <w:sz w:val="20"/>
              </w:rPr>
            </w:pPr>
            <w:r>
              <w:rPr>
                <w:spacing w:val="-2"/>
                <w:sz w:val="20"/>
              </w:rPr>
              <w:t>*(**) denotes </w:t>
            </w:r>
            <w:r>
              <w:rPr>
                <w:sz w:val="20"/>
              </w:rPr>
              <w:t>rejection of </w:t>
            </w:r>
            <w:r>
              <w:rPr>
                <w:spacing w:val="-4"/>
                <w:sz w:val="20"/>
              </w:rPr>
              <w:t>the </w:t>
            </w:r>
            <w:r>
              <w:rPr>
                <w:sz w:val="20"/>
              </w:rPr>
              <w:t>hypothesis</w:t>
            </w:r>
            <w:r>
              <w:rPr>
                <w:spacing w:val="-13"/>
                <w:sz w:val="20"/>
              </w:rPr>
              <w:t> </w:t>
            </w:r>
            <w:r>
              <w:rPr>
                <w:sz w:val="20"/>
              </w:rPr>
              <w:t>at </w:t>
            </w:r>
            <w:r>
              <w:rPr>
                <w:spacing w:val="-2"/>
                <w:sz w:val="20"/>
              </w:rPr>
              <w:t>5%(1%)</w:t>
            </w:r>
          </w:p>
          <w:p>
            <w:pPr>
              <w:pStyle w:val="TableParagraph"/>
              <w:spacing w:line="230" w:lineRule="exact"/>
              <w:ind w:right="64"/>
              <w:jc w:val="center"/>
              <w:rPr>
                <w:sz w:val="20"/>
              </w:rPr>
            </w:pPr>
            <w:r>
              <w:rPr>
                <w:spacing w:val="-2"/>
                <w:sz w:val="20"/>
              </w:rPr>
              <w:t>significance level</w:t>
            </w:r>
          </w:p>
        </w:tc>
        <w:tc>
          <w:tcPr>
            <w:tcW w:w="1129" w:type="dxa"/>
            <w:tcBorders>
              <w:top w:val="double" w:sz="6" w:space="0" w:color="000000"/>
            </w:tcBorders>
          </w:tcPr>
          <w:p>
            <w:pPr>
              <w:pStyle w:val="TableParagraph"/>
              <w:rPr>
                <w:sz w:val="18"/>
              </w:rPr>
            </w:pPr>
          </w:p>
        </w:tc>
        <w:tc>
          <w:tcPr>
            <w:tcW w:w="1043" w:type="dxa"/>
            <w:tcBorders>
              <w:top w:val="double" w:sz="6" w:space="0" w:color="000000"/>
            </w:tcBorders>
          </w:tcPr>
          <w:p>
            <w:pPr>
              <w:pStyle w:val="TableParagraph"/>
              <w:rPr>
                <w:sz w:val="18"/>
              </w:rPr>
            </w:pPr>
          </w:p>
        </w:tc>
        <w:tc>
          <w:tcPr>
            <w:tcW w:w="966" w:type="dxa"/>
            <w:tcBorders>
              <w:top w:val="double" w:sz="6" w:space="0" w:color="000000"/>
            </w:tcBorders>
          </w:tcPr>
          <w:p>
            <w:pPr>
              <w:pStyle w:val="TableParagraph"/>
              <w:rPr>
                <w:sz w:val="18"/>
              </w:rPr>
            </w:pPr>
          </w:p>
        </w:tc>
        <w:tc>
          <w:tcPr>
            <w:tcW w:w="6546" w:type="dxa"/>
            <w:tcBorders>
              <w:top w:val="double" w:sz="6" w:space="0" w:color="000000"/>
            </w:tcBorders>
          </w:tcPr>
          <w:p>
            <w:pPr>
              <w:pStyle w:val="TableParagraph"/>
              <w:rPr>
                <w:sz w:val="18"/>
              </w:rPr>
            </w:pPr>
          </w:p>
        </w:tc>
      </w:tr>
      <w:tr>
        <w:trPr>
          <w:trHeight w:val="455" w:hRule="atLeast"/>
        </w:trPr>
        <w:tc>
          <w:tcPr>
            <w:tcW w:w="1202" w:type="dxa"/>
          </w:tcPr>
          <w:p>
            <w:pPr>
              <w:pStyle w:val="TableParagraph"/>
              <w:spacing w:line="226" w:lineRule="exact"/>
              <w:ind w:right="266"/>
              <w:jc w:val="right"/>
              <w:rPr>
                <w:sz w:val="20"/>
              </w:rPr>
            </w:pPr>
            <w:r>
              <w:rPr>
                <w:sz w:val="20"/>
              </w:rPr>
              <w:t>L.R.</w:t>
            </w:r>
            <w:r>
              <w:rPr>
                <w:spacing w:val="-7"/>
                <w:sz w:val="20"/>
              </w:rPr>
              <w:t> </w:t>
            </w:r>
            <w:r>
              <w:rPr>
                <w:spacing w:val="-4"/>
                <w:sz w:val="20"/>
              </w:rPr>
              <w:t>test</w:t>
            </w:r>
          </w:p>
          <w:p>
            <w:pPr>
              <w:pStyle w:val="TableParagraph"/>
              <w:spacing w:line="210" w:lineRule="exact"/>
              <w:ind w:right="203"/>
              <w:jc w:val="right"/>
              <w:rPr>
                <w:sz w:val="20"/>
              </w:rPr>
            </w:pPr>
            <w:r>
              <w:rPr>
                <w:sz w:val="20"/>
              </w:rPr>
              <w:t>indicates</w:t>
            </w:r>
            <w:r>
              <w:rPr>
                <w:spacing w:val="-10"/>
                <w:sz w:val="20"/>
              </w:rPr>
              <w:t> 4</w:t>
            </w:r>
          </w:p>
        </w:tc>
        <w:tc>
          <w:tcPr>
            <w:tcW w:w="1129" w:type="dxa"/>
          </w:tcPr>
          <w:p>
            <w:pPr>
              <w:pStyle w:val="TableParagraph"/>
              <w:rPr>
                <w:sz w:val="18"/>
              </w:rPr>
            </w:pPr>
          </w:p>
        </w:tc>
        <w:tc>
          <w:tcPr>
            <w:tcW w:w="1043" w:type="dxa"/>
          </w:tcPr>
          <w:p>
            <w:pPr>
              <w:pStyle w:val="TableParagraph"/>
              <w:rPr>
                <w:sz w:val="18"/>
              </w:rPr>
            </w:pPr>
          </w:p>
        </w:tc>
        <w:tc>
          <w:tcPr>
            <w:tcW w:w="966" w:type="dxa"/>
          </w:tcPr>
          <w:p>
            <w:pPr>
              <w:pStyle w:val="TableParagraph"/>
              <w:rPr>
                <w:sz w:val="18"/>
              </w:rPr>
            </w:pPr>
          </w:p>
        </w:tc>
        <w:tc>
          <w:tcPr>
            <w:tcW w:w="6546" w:type="dxa"/>
          </w:tcPr>
          <w:p>
            <w:pPr>
              <w:pStyle w:val="TableParagraph"/>
              <w:rPr>
                <w:sz w:val="18"/>
              </w:rPr>
            </w:pPr>
          </w:p>
        </w:tc>
      </w:tr>
    </w:tbl>
    <w:p>
      <w:pPr>
        <w:spacing w:after="0"/>
        <w:rPr>
          <w:sz w:val="18"/>
        </w:rPr>
        <w:sectPr>
          <w:pgSz w:w="11910" w:h="16840"/>
          <w:pgMar w:header="0" w:footer="979" w:top="1360" w:bottom="1240" w:left="280" w:right="0"/>
        </w:sectPr>
      </w:pPr>
    </w:p>
    <w:p>
      <w:pPr>
        <w:pStyle w:val="BodyText"/>
        <w:spacing w:before="1"/>
        <w:rPr>
          <w:sz w:val="2"/>
        </w:rPr>
      </w:pPr>
    </w:p>
    <w:tbl>
      <w:tblP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44"/>
        <w:gridCol w:w="1193"/>
        <w:gridCol w:w="1055"/>
        <w:gridCol w:w="983"/>
        <w:gridCol w:w="946"/>
        <w:gridCol w:w="989"/>
        <w:gridCol w:w="1238"/>
        <w:gridCol w:w="1524"/>
        <w:gridCol w:w="1829"/>
      </w:tblGrid>
      <w:tr>
        <w:trPr>
          <w:trHeight w:val="1260" w:hRule="atLeast"/>
        </w:trPr>
        <w:tc>
          <w:tcPr>
            <w:tcW w:w="1144" w:type="dxa"/>
          </w:tcPr>
          <w:p>
            <w:pPr>
              <w:pStyle w:val="TableParagraph"/>
              <w:ind w:left="55" w:right="33"/>
              <w:jc w:val="center"/>
              <w:rPr>
                <w:sz w:val="20"/>
              </w:rPr>
            </w:pPr>
            <w:r>
              <w:rPr>
                <w:spacing w:val="-2"/>
                <w:sz w:val="20"/>
              </w:rPr>
              <w:t>cointegrating equation(s)</w:t>
            </w:r>
            <w:r>
              <w:rPr>
                <w:spacing w:val="40"/>
                <w:sz w:val="20"/>
              </w:rPr>
              <w:t> </w:t>
            </w:r>
            <w:r>
              <w:rPr>
                <w:sz w:val="20"/>
              </w:rPr>
              <w:t>at 5% </w:t>
            </w:r>
            <w:r>
              <w:rPr>
                <w:spacing w:val="-2"/>
                <w:sz w:val="20"/>
              </w:rPr>
              <w:t>significance level</w:t>
            </w:r>
          </w:p>
        </w:tc>
        <w:tc>
          <w:tcPr>
            <w:tcW w:w="1193" w:type="dxa"/>
          </w:tcPr>
          <w:p>
            <w:pPr>
              <w:pStyle w:val="TableParagraph"/>
              <w:rPr>
                <w:sz w:val="18"/>
              </w:rPr>
            </w:pPr>
          </w:p>
        </w:tc>
        <w:tc>
          <w:tcPr>
            <w:tcW w:w="1055" w:type="dxa"/>
          </w:tcPr>
          <w:p>
            <w:pPr>
              <w:pStyle w:val="TableParagraph"/>
              <w:rPr>
                <w:sz w:val="18"/>
              </w:rPr>
            </w:pPr>
          </w:p>
        </w:tc>
        <w:tc>
          <w:tcPr>
            <w:tcW w:w="983" w:type="dxa"/>
          </w:tcPr>
          <w:p>
            <w:pPr>
              <w:pStyle w:val="TableParagraph"/>
              <w:rPr>
                <w:sz w:val="18"/>
              </w:rPr>
            </w:pPr>
          </w:p>
        </w:tc>
        <w:tc>
          <w:tcPr>
            <w:tcW w:w="946" w:type="dxa"/>
          </w:tcPr>
          <w:p>
            <w:pPr>
              <w:pStyle w:val="TableParagraph"/>
              <w:rPr>
                <w:sz w:val="18"/>
              </w:rPr>
            </w:pPr>
          </w:p>
        </w:tc>
        <w:tc>
          <w:tcPr>
            <w:tcW w:w="989" w:type="dxa"/>
          </w:tcPr>
          <w:p>
            <w:pPr>
              <w:pStyle w:val="TableParagraph"/>
              <w:rPr>
                <w:sz w:val="18"/>
              </w:rPr>
            </w:pPr>
          </w:p>
        </w:tc>
        <w:tc>
          <w:tcPr>
            <w:tcW w:w="1238" w:type="dxa"/>
          </w:tcPr>
          <w:p>
            <w:pPr>
              <w:pStyle w:val="TableParagraph"/>
              <w:rPr>
                <w:sz w:val="18"/>
              </w:rPr>
            </w:pPr>
          </w:p>
        </w:tc>
        <w:tc>
          <w:tcPr>
            <w:tcW w:w="1524" w:type="dxa"/>
          </w:tcPr>
          <w:p>
            <w:pPr>
              <w:pStyle w:val="TableParagraph"/>
              <w:rPr>
                <w:sz w:val="18"/>
              </w:rPr>
            </w:pPr>
          </w:p>
        </w:tc>
        <w:tc>
          <w:tcPr>
            <w:tcW w:w="1829" w:type="dxa"/>
          </w:tcPr>
          <w:p>
            <w:pPr>
              <w:pStyle w:val="TableParagraph"/>
              <w:rPr>
                <w:sz w:val="18"/>
              </w:rPr>
            </w:pPr>
          </w:p>
        </w:tc>
      </w:tr>
      <w:tr>
        <w:trPr>
          <w:trHeight w:val="339" w:hRule="atLeast"/>
        </w:trPr>
        <w:tc>
          <w:tcPr>
            <w:tcW w:w="10901" w:type="dxa"/>
            <w:gridSpan w:val="9"/>
            <w:tcBorders>
              <w:bottom w:val="double" w:sz="6" w:space="0" w:color="000000"/>
            </w:tcBorders>
          </w:tcPr>
          <w:p>
            <w:pPr>
              <w:pStyle w:val="TableParagraph"/>
              <w:spacing w:line="209" w:lineRule="exact" w:before="111"/>
              <w:ind w:left="93"/>
              <w:rPr>
                <w:sz w:val="20"/>
              </w:rPr>
            </w:pPr>
            <w:r>
              <w:rPr>
                <w:sz w:val="20"/>
              </w:rPr>
              <w:t>Unnormalized</w:t>
            </w:r>
            <w:r>
              <w:rPr>
                <w:spacing w:val="-11"/>
                <w:sz w:val="20"/>
              </w:rPr>
              <w:t> </w:t>
            </w:r>
            <w:r>
              <w:rPr>
                <w:sz w:val="20"/>
              </w:rPr>
              <w:t>Cointegrating</w:t>
            </w:r>
            <w:r>
              <w:rPr>
                <w:spacing w:val="-10"/>
                <w:sz w:val="20"/>
              </w:rPr>
              <w:t> </w:t>
            </w:r>
            <w:r>
              <w:rPr>
                <w:spacing w:val="-2"/>
                <w:sz w:val="20"/>
              </w:rPr>
              <w:t>Coefficients:</w:t>
            </w:r>
          </w:p>
        </w:tc>
      </w:tr>
      <w:tr>
        <w:trPr>
          <w:trHeight w:val="275" w:hRule="atLeast"/>
        </w:trPr>
        <w:tc>
          <w:tcPr>
            <w:tcW w:w="1144" w:type="dxa"/>
            <w:tcBorders>
              <w:top w:val="double" w:sz="6" w:space="0" w:color="000000"/>
            </w:tcBorders>
          </w:tcPr>
          <w:p>
            <w:pPr>
              <w:pStyle w:val="TableParagraph"/>
              <w:spacing w:line="215" w:lineRule="exact" w:before="40"/>
              <w:ind w:left="71" w:right="52"/>
              <w:jc w:val="center"/>
              <w:rPr>
                <w:sz w:val="20"/>
              </w:rPr>
            </w:pPr>
            <w:r>
              <w:rPr>
                <w:spacing w:val="-5"/>
                <w:sz w:val="20"/>
              </w:rPr>
              <w:t>KFW</w:t>
            </w:r>
          </w:p>
        </w:tc>
        <w:tc>
          <w:tcPr>
            <w:tcW w:w="1193" w:type="dxa"/>
            <w:tcBorders>
              <w:top w:val="double" w:sz="6" w:space="0" w:color="000000"/>
            </w:tcBorders>
          </w:tcPr>
          <w:p>
            <w:pPr>
              <w:pStyle w:val="TableParagraph"/>
              <w:spacing w:line="215" w:lineRule="exact" w:before="40"/>
              <w:ind w:left="76" w:right="54"/>
              <w:jc w:val="center"/>
              <w:rPr>
                <w:sz w:val="20"/>
              </w:rPr>
            </w:pPr>
            <w:r>
              <w:rPr>
                <w:spacing w:val="-2"/>
                <w:sz w:val="20"/>
              </w:rPr>
              <w:t>EXTDEBT</w:t>
            </w:r>
          </w:p>
        </w:tc>
        <w:tc>
          <w:tcPr>
            <w:tcW w:w="1055" w:type="dxa"/>
            <w:tcBorders>
              <w:top w:val="double" w:sz="6" w:space="0" w:color="000000"/>
            </w:tcBorders>
          </w:tcPr>
          <w:p>
            <w:pPr>
              <w:pStyle w:val="TableParagraph"/>
              <w:spacing w:line="215" w:lineRule="exact" w:before="40"/>
              <w:ind w:left="75" w:right="53"/>
              <w:jc w:val="center"/>
              <w:rPr>
                <w:sz w:val="20"/>
              </w:rPr>
            </w:pPr>
            <w:r>
              <w:rPr>
                <w:spacing w:val="-5"/>
                <w:sz w:val="20"/>
              </w:rPr>
              <w:t>DOP</w:t>
            </w:r>
          </w:p>
        </w:tc>
        <w:tc>
          <w:tcPr>
            <w:tcW w:w="983" w:type="dxa"/>
            <w:tcBorders>
              <w:top w:val="double" w:sz="6" w:space="0" w:color="000000"/>
            </w:tcBorders>
          </w:tcPr>
          <w:p>
            <w:pPr>
              <w:pStyle w:val="TableParagraph"/>
              <w:spacing w:line="215" w:lineRule="exact" w:before="40"/>
              <w:ind w:left="78" w:right="48"/>
              <w:jc w:val="center"/>
              <w:rPr>
                <w:sz w:val="20"/>
              </w:rPr>
            </w:pPr>
            <w:r>
              <w:rPr>
                <w:spacing w:val="-5"/>
                <w:sz w:val="20"/>
              </w:rPr>
              <w:t>INF</w:t>
            </w:r>
          </w:p>
        </w:tc>
        <w:tc>
          <w:tcPr>
            <w:tcW w:w="946" w:type="dxa"/>
            <w:tcBorders>
              <w:top w:val="double" w:sz="6" w:space="0" w:color="000000"/>
            </w:tcBorders>
          </w:tcPr>
          <w:p>
            <w:pPr>
              <w:pStyle w:val="TableParagraph"/>
              <w:spacing w:line="215" w:lineRule="exact" w:before="40"/>
              <w:ind w:left="40" w:right="47"/>
              <w:jc w:val="center"/>
              <w:rPr>
                <w:sz w:val="20"/>
              </w:rPr>
            </w:pPr>
            <w:r>
              <w:rPr>
                <w:spacing w:val="-5"/>
                <w:sz w:val="20"/>
              </w:rPr>
              <w:t>GCF</w:t>
            </w:r>
          </w:p>
        </w:tc>
        <w:tc>
          <w:tcPr>
            <w:tcW w:w="989" w:type="dxa"/>
            <w:tcBorders>
              <w:top w:val="double" w:sz="6" w:space="0" w:color="000000"/>
            </w:tcBorders>
          </w:tcPr>
          <w:p>
            <w:pPr>
              <w:pStyle w:val="TableParagraph"/>
              <w:spacing w:line="215" w:lineRule="exact" w:before="40"/>
              <w:ind w:right="49"/>
              <w:jc w:val="center"/>
              <w:rPr>
                <w:sz w:val="20"/>
              </w:rPr>
            </w:pPr>
            <w:r>
              <w:rPr>
                <w:spacing w:val="-5"/>
                <w:sz w:val="20"/>
              </w:rPr>
              <w:t>DR</w:t>
            </w:r>
          </w:p>
        </w:tc>
        <w:tc>
          <w:tcPr>
            <w:tcW w:w="1238" w:type="dxa"/>
            <w:tcBorders>
              <w:top w:val="double" w:sz="6" w:space="0" w:color="000000"/>
            </w:tcBorders>
          </w:tcPr>
          <w:p>
            <w:pPr>
              <w:pStyle w:val="TableParagraph"/>
              <w:spacing w:line="215" w:lineRule="exact" w:before="40"/>
              <w:ind w:left="152"/>
              <w:rPr>
                <w:sz w:val="20"/>
              </w:rPr>
            </w:pPr>
            <w:r>
              <w:rPr>
                <w:spacing w:val="-2"/>
                <w:sz w:val="20"/>
              </w:rPr>
              <w:t>PRIVCR</w:t>
            </w:r>
          </w:p>
        </w:tc>
        <w:tc>
          <w:tcPr>
            <w:tcW w:w="1524" w:type="dxa"/>
            <w:tcBorders>
              <w:top w:val="double" w:sz="6" w:space="0" w:color="000000"/>
            </w:tcBorders>
          </w:tcPr>
          <w:p>
            <w:pPr>
              <w:pStyle w:val="TableParagraph"/>
              <w:spacing w:line="215" w:lineRule="exact" w:before="40"/>
              <w:ind w:left="4" w:right="99"/>
              <w:jc w:val="center"/>
              <w:rPr>
                <w:sz w:val="20"/>
              </w:rPr>
            </w:pPr>
            <w:r>
              <w:rPr>
                <w:spacing w:val="-2"/>
                <w:sz w:val="20"/>
              </w:rPr>
              <w:t>USIRD</w:t>
            </w:r>
          </w:p>
        </w:tc>
        <w:tc>
          <w:tcPr>
            <w:tcW w:w="1829" w:type="dxa"/>
            <w:tcBorders>
              <w:top w:val="double" w:sz="6" w:space="0" w:color="000000"/>
            </w:tcBorders>
          </w:tcPr>
          <w:p>
            <w:pPr>
              <w:pStyle w:val="TableParagraph"/>
              <w:spacing w:line="215" w:lineRule="exact" w:before="40"/>
              <w:ind w:left="4" w:right="238"/>
              <w:jc w:val="center"/>
              <w:rPr>
                <w:sz w:val="20"/>
              </w:rPr>
            </w:pPr>
            <w:r>
              <w:rPr>
                <w:spacing w:val="-4"/>
                <w:sz w:val="20"/>
              </w:rPr>
              <w:t>GOCE</w:t>
            </w:r>
          </w:p>
        </w:tc>
      </w:tr>
      <w:tr>
        <w:trPr>
          <w:trHeight w:val="230" w:hRule="atLeast"/>
        </w:trPr>
        <w:tc>
          <w:tcPr>
            <w:tcW w:w="1144" w:type="dxa"/>
          </w:tcPr>
          <w:p>
            <w:pPr>
              <w:pStyle w:val="TableParagraph"/>
              <w:spacing w:line="210" w:lineRule="exact"/>
              <w:ind w:left="72" w:right="49"/>
              <w:jc w:val="center"/>
              <w:rPr>
                <w:sz w:val="20"/>
              </w:rPr>
            </w:pPr>
            <w:r>
              <w:rPr>
                <w:spacing w:val="-4"/>
                <w:sz w:val="20"/>
              </w:rPr>
              <w:t>-</w:t>
            </w:r>
            <w:r>
              <w:rPr>
                <w:spacing w:val="-2"/>
                <w:sz w:val="20"/>
              </w:rPr>
              <w:t>0.056982</w:t>
            </w:r>
          </w:p>
        </w:tc>
        <w:tc>
          <w:tcPr>
            <w:tcW w:w="1193" w:type="dxa"/>
          </w:tcPr>
          <w:p>
            <w:pPr>
              <w:pStyle w:val="TableParagraph"/>
              <w:spacing w:line="210" w:lineRule="exact"/>
              <w:ind w:left="76" w:right="53"/>
              <w:jc w:val="center"/>
              <w:rPr>
                <w:sz w:val="20"/>
              </w:rPr>
            </w:pPr>
            <w:r>
              <w:rPr>
                <w:spacing w:val="-4"/>
                <w:sz w:val="20"/>
              </w:rPr>
              <w:t>-</w:t>
            </w:r>
            <w:r>
              <w:rPr>
                <w:spacing w:val="-2"/>
                <w:sz w:val="20"/>
              </w:rPr>
              <w:t>0.128792</w:t>
            </w:r>
          </w:p>
        </w:tc>
        <w:tc>
          <w:tcPr>
            <w:tcW w:w="1055" w:type="dxa"/>
          </w:tcPr>
          <w:p>
            <w:pPr>
              <w:pStyle w:val="TableParagraph"/>
              <w:spacing w:line="210" w:lineRule="exact"/>
              <w:ind w:left="75"/>
              <w:jc w:val="center"/>
              <w:rPr>
                <w:sz w:val="20"/>
              </w:rPr>
            </w:pPr>
            <w:r>
              <w:rPr>
                <w:spacing w:val="-2"/>
                <w:sz w:val="20"/>
              </w:rPr>
              <w:t>0.009409</w:t>
            </w:r>
          </w:p>
        </w:tc>
        <w:tc>
          <w:tcPr>
            <w:tcW w:w="983" w:type="dxa"/>
          </w:tcPr>
          <w:p>
            <w:pPr>
              <w:pStyle w:val="TableParagraph"/>
              <w:spacing w:line="210" w:lineRule="exact"/>
              <w:ind w:left="78" w:right="48"/>
              <w:jc w:val="center"/>
              <w:rPr>
                <w:sz w:val="20"/>
              </w:rPr>
            </w:pPr>
            <w:r>
              <w:rPr>
                <w:spacing w:val="-4"/>
                <w:sz w:val="20"/>
              </w:rPr>
              <w:t>-</w:t>
            </w:r>
            <w:r>
              <w:rPr>
                <w:spacing w:val="-2"/>
                <w:sz w:val="20"/>
              </w:rPr>
              <w:t>0.052790</w:t>
            </w:r>
          </w:p>
        </w:tc>
        <w:tc>
          <w:tcPr>
            <w:tcW w:w="946" w:type="dxa"/>
          </w:tcPr>
          <w:p>
            <w:pPr>
              <w:pStyle w:val="TableParagraph"/>
              <w:spacing w:line="210" w:lineRule="exact"/>
              <w:ind w:left="41" w:right="46"/>
              <w:jc w:val="center"/>
              <w:rPr>
                <w:sz w:val="20"/>
              </w:rPr>
            </w:pPr>
            <w:r>
              <w:rPr>
                <w:spacing w:val="-4"/>
                <w:sz w:val="20"/>
              </w:rPr>
              <w:t>-</w:t>
            </w:r>
            <w:r>
              <w:rPr>
                <w:spacing w:val="-2"/>
                <w:sz w:val="20"/>
              </w:rPr>
              <w:t>0.118574</w:t>
            </w:r>
          </w:p>
        </w:tc>
        <w:tc>
          <w:tcPr>
            <w:tcW w:w="989" w:type="dxa"/>
          </w:tcPr>
          <w:p>
            <w:pPr>
              <w:pStyle w:val="TableParagraph"/>
              <w:spacing w:line="210" w:lineRule="exact"/>
              <w:jc w:val="center"/>
              <w:rPr>
                <w:sz w:val="20"/>
              </w:rPr>
            </w:pPr>
            <w:r>
              <w:rPr>
                <w:spacing w:val="-2"/>
                <w:sz w:val="20"/>
              </w:rPr>
              <w:t>0.238852</w:t>
            </w:r>
          </w:p>
        </w:tc>
        <w:tc>
          <w:tcPr>
            <w:tcW w:w="1238" w:type="dxa"/>
          </w:tcPr>
          <w:p>
            <w:pPr>
              <w:pStyle w:val="TableParagraph"/>
              <w:spacing w:line="210" w:lineRule="exact"/>
              <w:ind w:left="164"/>
              <w:rPr>
                <w:sz w:val="20"/>
              </w:rPr>
            </w:pPr>
            <w:r>
              <w:rPr>
                <w:spacing w:val="-2"/>
                <w:sz w:val="20"/>
              </w:rPr>
              <w:t>0.024890</w:t>
            </w:r>
          </w:p>
        </w:tc>
        <w:tc>
          <w:tcPr>
            <w:tcW w:w="1524" w:type="dxa"/>
          </w:tcPr>
          <w:p>
            <w:pPr>
              <w:pStyle w:val="TableParagraph"/>
              <w:spacing w:line="210" w:lineRule="exact"/>
              <w:ind w:left="60" w:right="99"/>
              <w:jc w:val="center"/>
              <w:rPr>
                <w:sz w:val="20"/>
              </w:rPr>
            </w:pPr>
            <w:r>
              <w:rPr>
                <w:spacing w:val="-2"/>
                <w:sz w:val="20"/>
              </w:rPr>
              <w:t>0.133057</w:t>
            </w:r>
          </w:p>
        </w:tc>
        <w:tc>
          <w:tcPr>
            <w:tcW w:w="1829" w:type="dxa"/>
          </w:tcPr>
          <w:p>
            <w:pPr>
              <w:pStyle w:val="TableParagraph"/>
              <w:spacing w:line="210" w:lineRule="exact"/>
              <w:ind w:left="57" w:right="238"/>
              <w:jc w:val="center"/>
              <w:rPr>
                <w:sz w:val="20"/>
              </w:rPr>
            </w:pPr>
            <w:r>
              <w:rPr>
                <w:spacing w:val="-2"/>
                <w:sz w:val="20"/>
              </w:rPr>
              <w:t>0.248441</w:t>
            </w:r>
          </w:p>
        </w:tc>
      </w:tr>
      <w:tr>
        <w:trPr>
          <w:trHeight w:val="229" w:hRule="atLeast"/>
        </w:trPr>
        <w:tc>
          <w:tcPr>
            <w:tcW w:w="1144" w:type="dxa"/>
          </w:tcPr>
          <w:p>
            <w:pPr>
              <w:pStyle w:val="TableParagraph"/>
              <w:spacing w:line="209" w:lineRule="exact"/>
              <w:ind w:left="71"/>
              <w:jc w:val="center"/>
              <w:rPr>
                <w:sz w:val="20"/>
              </w:rPr>
            </w:pPr>
            <w:r>
              <w:rPr>
                <w:spacing w:val="-2"/>
                <w:sz w:val="20"/>
              </w:rPr>
              <w:t>0.092964</w:t>
            </w:r>
          </w:p>
        </w:tc>
        <w:tc>
          <w:tcPr>
            <w:tcW w:w="1193" w:type="dxa"/>
          </w:tcPr>
          <w:p>
            <w:pPr>
              <w:pStyle w:val="TableParagraph"/>
              <w:spacing w:line="209" w:lineRule="exact"/>
              <w:ind w:left="76" w:right="53"/>
              <w:jc w:val="center"/>
              <w:rPr>
                <w:sz w:val="20"/>
              </w:rPr>
            </w:pPr>
            <w:r>
              <w:rPr>
                <w:spacing w:val="-4"/>
                <w:sz w:val="20"/>
              </w:rPr>
              <w:t>-</w:t>
            </w:r>
            <w:r>
              <w:rPr>
                <w:spacing w:val="-2"/>
                <w:sz w:val="20"/>
              </w:rPr>
              <w:t>0.027765</w:t>
            </w:r>
          </w:p>
        </w:tc>
        <w:tc>
          <w:tcPr>
            <w:tcW w:w="1055" w:type="dxa"/>
          </w:tcPr>
          <w:p>
            <w:pPr>
              <w:pStyle w:val="TableParagraph"/>
              <w:spacing w:line="209" w:lineRule="exact"/>
              <w:ind w:left="75" w:right="53"/>
              <w:jc w:val="center"/>
              <w:rPr>
                <w:sz w:val="20"/>
              </w:rPr>
            </w:pPr>
            <w:r>
              <w:rPr>
                <w:spacing w:val="-4"/>
                <w:sz w:val="20"/>
              </w:rPr>
              <w:t>-</w:t>
            </w:r>
            <w:r>
              <w:rPr>
                <w:spacing w:val="-2"/>
                <w:sz w:val="20"/>
              </w:rPr>
              <w:t>0.395785</w:t>
            </w:r>
          </w:p>
        </w:tc>
        <w:tc>
          <w:tcPr>
            <w:tcW w:w="983" w:type="dxa"/>
          </w:tcPr>
          <w:p>
            <w:pPr>
              <w:pStyle w:val="TableParagraph"/>
              <w:spacing w:line="209" w:lineRule="exact"/>
              <w:ind w:left="84" w:right="6"/>
              <w:jc w:val="center"/>
              <w:rPr>
                <w:sz w:val="20"/>
              </w:rPr>
            </w:pPr>
            <w:r>
              <w:rPr>
                <w:spacing w:val="-2"/>
                <w:sz w:val="20"/>
              </w:rPr>
              <w:t>0.385850</w:t>
            </w:r>
          </w:p>
        </w:tc>
        <w:tc>
          <w:tcPr>
            <w:tcW w:w="946" w:type="dxa"/>
          </w:tcPr>
          <w:p>
            <w:pPr>
              <w:pStyle w:val="TableParagraph"/>
              <w:spacing w:line="209" w:lineRule="exact"/>
              <w:ind w:left="41" w:right="46"/>
              <w:jc w:val="center"/>
              <w:rPr>
                <w:sz w:val="20"/>
              </w:rPr>
            </w:pPr>
            <w:r>
              <w:rPr>
                <w:spacing w:val="-4"/>
                <w:sz w:val="20"/>
              </w:rPr>
              <w:t>-</w:t>
            </w:r>
            <w:r>
              <w:rPr>
                <w:spacing w:val="-2"/>
                <w:sz w:val="20"/>
              </w:rPr>
              <w:t>0.013260</w:t>
            </w:r>
          </w:p>
        </w:tc>
        <w:tc>
          <w:tcPr>
            <w:tcW w:w="989" w:type="dxa"/>
          </w:tcPr>
          <w:p>
            <w:pPr>
              <w:pStyle w:val="TableParagraph"/>
              <w:spacing w:line="209" w:lineRule="exact"/>
              <w:ind w:left="5" w:right="53"/>
              <w:jc w:val="center"/>
              <w:rPr>
                <w:sz w:val="20"/>
              </w:rPr>
            </w:pPr>
            <w:r>
              <w:rPr>
                <w:spacing w:val="-4"/>
                <w:sz w:val="20"/>
              </w:rPr>
              <w:t>-</w:t>
            </w:r>
            <w:r>
              <w:rPr>
                <w:spacing w:val="-2"/>
                <w:sz w:val="20"/>
              </w:rPr>
              <w:t>0.334578</w:t>
            </w:r>
          </w:p>
        </w:tc>
        <w:tc>
          <w:tcPr>
            <w:tcW w:w="1238" w:type="dxa"/>
          </w:tcPr>
          <w:p>
            <w:pPr>
              <w:pStyle w:val="TableParagraph"/>
              <w:spacing w:line="209" w:lineRule="exact"/>
              <w:ind w:left="164"/>
              <w:rPr>
                <w:sz w:val="20"/>
              </w:rPr>
            </w:pPr>
            <w:r>
              <w:rPr>
                <w:spacing w:val="-2"/>
                <w:sz w:val="20"/>
              </w:rPr>
              <w:t>0.067513</w:t>
            </w:r>
          </w:p>
        </w:tc>
        <w:tc>
          <w:tcPr>
            <w:tcW w:w="1524" w:type="dxa"/>
          </w:tcPr>
          <w:p>
            <w:pPr>
              <w:pStyle w:val="TableParagraph"/>
              <w:spacing w:line="209" w:lineRule="exact"/>
              <w:ind w:left="60" w:right="99"/>
              <w:jc w:val="center"/>
              <w:rPr>
                <w:sz w:val="20"/>
              </w:rPr>
            </w:pPr>
            <w:r>
              <w:rPr>
                <w:spacing w:val="-2"/>
                <w:sz w:val="20"/>
              </w:rPr>
              <w:t>0.222726</w:t>
            </w:r>
          </w:p>
        </w:tc>
        <w:tc>
          <w:tcPr>
            <w:tcW w:w="1829" w:type="dxa"/>
          </w:tcPr>
          <w:p>
            <w:pPr>
              <w:pStyle w:val="TableParagraph"/>
              <w:spacing w:line="209" w:lineRule="exact"/>
              <w:ind w:left="4" w:right="238"/>
              <w:jc w:val="center"/>
              <w:rPr>
                <w:sz w:val="20"/>
              </w:rPr>
            </w:pPr>
            <w:r>
              <w:rPr>
                <w:spacing w:val="-4"/>
                <w:sz w:val="20"/>
              </w:rPr>
              <w:t>-</w:t>
            </w:r>
            <w:r>
              <w:rPr>
                <w:spacing w:val="-2"/>
                <w:sz w:val="20"/>
              </w:rPr>
              <w:t>0.162944</w:t>
            </w:r>
          </w:p>
        </w:tc>
      </w:tr>
      <w:tr>
        <w:trPr>
          <w:trHeight w:val="229" w:hRule="atLeast"/>
        </w:trPr>
        <w:tc>
          <w:tcPr>
            <w:tcW w:w="1144" w:type="dxa"/>
          </w:tcPr>
          <w:p>
            <w:pPr>
              <w:pStyle w:val="TableParagraph"/>
              <w:spacing w:line="209" w:lineRule="exact"/>
              <w:ind w:left="72" w:right="49"/>
              <w:jc w:val="center"/>
              <w:rPr>
                <w:sz w:val="20"/>
              </w:rPr>
            </w:pPr>
            <w:r>
              <w:rPr>
                <w:spacing w:val="-4"/>
                <w:sz w:val="20"/>
              </w:rPr>
              <w:t>-</w:t>
            </w:r>
            <w:r>
              <w:rPr>
                <w:spacing w:val="-2"/>
                <w:sz w:val="20"/>
              </w:rPr>
              <w:t>0.008392</w:t>
            </w:r>
          </w:p>
        </w:tc>
        <w:tc>
          <w:tcPr>
            <w:tcW w:w="1193" w:type="dxa"/>
          </w:tcPr>
          <w:p>
            <w:pPr>
              <w:pStyle w:val="TableParagraph"/>
              <w:spacing w:line="209" w:lineRule="exact"/>
              <w:ind w:left="76" w:right="53"/>
              <w:jc w:val="center"/>
              <w:rPr>
                <w:sz w:val="20"/>
              </w:rPr>
            </w:pPr>
            <w:r>
              <w:rPr>
                <w:spacing w:val="-4"/>
                <w:sz w:val="20"/>
              </w:rPr>
              <w:t>-</w:t>
            </w:r>
            <w:r>
              <w:rPr>
                <w:spacing w:val="-2"/>
                <w:sz w:val="20"/>
              </w:rPr>
              <w:t>0.096631</w:t>
            </w:r>
          </w:p>
        </w:tc>
        <w:tc>
          <w:tcPr>
            <w:tcW w:w="1055" w:type="dxa"/>
          </w:tcPr>
          <w:p>
            <w:pPr>
              <w:pStyle w:val="TableParagraph"/>
              <w:spacing w:line="209" w:lineRule="exact"/>
              <w:ind w:left="75"/>
              <w:jc w:val="center"/>
              <w:rPr>
                <w:sz w:val="20"/>
              </w:rPr>
            </w:pPr>
            <w:r>
              <w:rPr>
                <w:spacing w:val="-2"/>
                <w:sz w:val="20"/>
              </w:rPr>
              <w:t>0.646499</w:t>
            </w:r>
          </w:p>
        </w:tc>
        <w:tc>
          <w:tcPr>
            <w:tcW w:w="983" w:type="dxa"/>
          </w:tcPr>
          <w:p>
            <w:pPr>
              <w:pStyle w:val="TableParagraph"/>
              <w:spacing w:line="209" w:lineRule="exact"/>
              <w:ind w:left="78" w:right="48"/>
              <w:jc w:val="center"/>
              <w:rPr>
                <w:sz w:val="20"/>
              </w:rPr>
            </w:pPr>
            <w:r>
              <w:rPr>
                <w:spacing w:val="-4"/>
                <w:sz w:val="20"/>
              </w:rPr>
              <w:t>-</w:t>
            </w:r>
            <w:r>
              <w:rPr>
                <w:spacing w:val="-2"/>
                <w:sz w:val="20"/>
              </w:rPr>
              <w:t>0.103429</w:t>
            </w:r>
          </w:p>
        </w:tc>
        <w:tc>
          <w:tcPr>
            <w:tcW w:w="946" w:type="dxa"/>
          </w:tcPr>
          <w:p>
            <w:pPr>
              <w:pStyle w:val="TableParagraph"/>
              <w:spacing w:line="209" w:lineRule="exact"/>
              <w:ind w:left="40"/>
              <w:jc w:val="center"/>
              <w:rPr>
                <w:sz w:val="20"/>
              </w:rPr>
            </w:pPr>
            <w:r>
              <w:rPr>
                <w:spacing w:val="-2"/>
                <w:sz w:val="20"/>
              </w:rPr>
              <w:t>0.091364</w:t>
            </w:r>
          </w:p>
        </w:tc>
        <w:tc>
          <w:tcPr>
            <w:tcW w:w="989" w:type="dxa"/>
          </w:tcPr>
          <w:p>
            <w:pPr>
              <w:pStyle w:val="TableParagraph"/>
              <w:spacing w:line="209" w:lineRule="exact"/>
              <w:jc w:val="center"/>
              <w:rPr>
                <w:sz w:val="20"/>
              </w:rPr>
            </w:pPr>
            <w:r>
              <w:rPr>
                <w:spacing w:val="-2"/>
                <w:sz w:val="20"/>
              </w:rPr>
              <w:t>0.278965</w:t>
            </w:r>
          </w:p>
        </w:tc>
        <w:tc>
          <w:tcPr>
            <w:tcW w:w="1238" w:type="dxa"/>
          </w:tcPr>
          <w:p>
            <w:pPr>
              <w:pStyle w:val="TableParagraph"/>
              <w:spacing w:line="209" w:lineRule="exact"/>
              <w:ind w:left="104"/>
              <w:rPr>
                <w:sz w:val="20"/>
              </w:rPr>
            </w:pPr>
            <w:r>
              <w:rPr>
                <w:spacing w:val="-4"/>
                <w:sz w:val="20"/>
              </w:rPr>
              <w:t>-</w:t>
            </w:r>
            <w:r>
              <w:rPr>
                <w:spacing w:val="-2"/>
                <w:sz w:val="20"/>
              </w:rPr>
              <w:t>0.107511</w:t>
            </w:r>
          </w:p>
        </w:tc>
        <w:tc>
          <w:tcPr>
            <w:tcW w:w="1524" w:type="dxa"/>
          </w:tcPr>
          <w:p>
            <w:pPr>
              <w:pStyle w:val="TableParagraph"/>
              <w:spacing w:line="209" w:lineRule="exact"/>
              <w:ind w:left="7" w:right="99"/>
              <w:jc w:val="center"/>
              <w:rPr>
                <w:sz w:val="20"/>
              </w:rPr>
            </w:pPr>
            <w:r>
              <w:rPr>
                <w:spacing w:val="-4"/>
                <w:sz w:val="20"/>
              </w:rPr>
              <w:t>-</w:t>
            </w:r>
            <w:r>
              <w:rPr>
                <w:spacing w:val="-2"/>
                <w:sz w:val="20"/>
              </w:rPr>
              <w:t>0.014277</w:t>
            </w:r>
          </w:p>
        </w:tc>
        <w:tc>
          <w:tcPr>
            <w:tcW w:w="1829" w:type="dxa"/>
          </w:tcPr>
          <w:p>
            <w:pPr>
              <w:pStyle w:val="TableParagraph"/>
              <w:spacing w:line="209" w:lineRule="exact"/>
              <w:ind w:left="57" w:right="238"/>
              <w:jc w:val="center"/>
              <w:rPr>
                <w:sz w:val="20"/>
              </w:rPr>
            </w:pPr>
            <w:r>
              <w:rPr>
                <w:spacing w:val="-2"/>
                <w:sz w:val="20"/>
              </w:rPr>
              <w:t>0.201019</w:t>
            </w:r>
          </w:p>
        </w:tc>
      </w:tr>
      <w:tr>
        <w:trPr>
          <w:trHeight w:val="230" w:hRule="atLeast"/>
        </w:trPr>
        <w:tc>
          <w:tcPr>
            <w:tcW w:w="1144" w:type="dxa"/>
          </w:tcPr>
          <w:p>
            <w:pPr>
              <w:pStyle w:val="TableParagraph"/>
              <w:spacing w:line="210" w:lineRule="exact"/>
              <w:ind w:left="72" w:right="49"/>
              <w:jc w:val="center"/>
              <w:rPr>
                <w:sz w:val="20"/>
              </w:rPr>
            </w:pPr>
            <w:r>
              <w:rPr>
                <w:spacing w:val="-4"/>
                <w:sz w:val="20"/>
              </w:rPr>
              <w:t>-</w:t>
            </w:r>
            <w:r>
              <w:rPr>
                <w:spacing w:val="-2"/>
                <w:sz w:val="20"/>
              </w:rPr>
              <w:t>0.201595</w:t>
            </w:r>
          </w:p>
        </w:tc>
        <w:tc>
          <w:tcPr>
            <w:tcW w:w="1193" w:type="dxa"/>
          </w:tcPr>
          <w:p>
            <w:pPr>
              <w:pStyle w:val="TableParagraph"/>
              <w:spacing w:line="210" w:lineRule="exact"/>
              <w:ind w:left="76"/>
              <w:jc w:val="center"/>
              <w:rPr>
                <w:sz w:val="20"/>
              </w:rPr>
            </w:pPr>
            <w:r>
              <w:rPr>
                <w:spacing w:val="-2"/>
                <w:sz w:val="20"/>
              </w:rPr>
              <w:t>0.008584</w:t>
            </w:r>
          </w:p>
        </w:tc>
        <w:tc>
          <w:tcPr>
            <w:tcW w:w="1055" w:type="dxa"/>
          </w:tcPr>
          <w:p>
            <w:pPr>
              <w:pStyle w:val="TableParagraph"/>
              <w:spacing w:line="210" w:lineRule="exact"/>
              <w:ind w:left="75" w:right="53"/>
              <w:jc w:val="center"/>
              <w:rPr>
                <w:sz w:val="20"/>
              </w:rPr>
            </w:pPr>
            <w:r>
              <w:rPr>
                <w:spacing w:val="-4"/>
                <w:sz w:val="20"/>
              </w:rPr>
              <w:t>-</w:t>
            </w:r>
            <w:r>
              <w:rPr>
                <w:spacing w:val="-2"/>
                <w:sz w:val="20"/>
              </w:rPr>
              <w:t>0.250619</w:t>
            </w:r>
          </w:p>
        </w:tc>
        <w:tc>
          <w:tcPr>
            <w:tcW w:w="983" w:type="dxa"/>
          </w:tcPr>
          <w:p>
            <w:pPr>
              <w:pStyle w:val="TableParagraph"/>
              <w:spacing w:line="210" w:lineRule="exact"/>
              <w:ind w:left="84" w:right="6"/>
              <w:jc w:val="center"/>
              <w:rPr>
                <w:sz w:val="20"/>
              </w:rPr>
            </w:pPr>
            <w:r>
              <w:rPr>
                <w:spacing w:val="-2"/>
                <w:sz w:val="20"/>
              </w:rPr>
              <w:t>0.003787</w:t>
            </w:r>
          </w:p>
        </w:tc>
        <w:tc>
          <w:tcPr>
            <w:tcW w:w="946" w:type="dxa"/>
          </w:tcPr>
          <w:p>
            <w:pPr>
              <w:pStyle w:val="TableParagraph"/>
              <w:spacing w:line="210" w:lineRule="exact"/>
              <w:ind w:left="40"/>
              <w:jc w:val="center"/>
              <w:rPr>
                <w:sz w:val="20"/>
              </w:rPr>
            </w:pPr>
            <w:r>
              <w:rPr>
                <w:spacing w:val="-2"/>
                <w:sz w:val="20"/>
              </w:rPr>
              <w:t>0.086628</w:t>
            </w:r>
          </w:p>
        </w:tc>
        <w:tc>
          <w:tcPr>
            <w:tcW w:w="989" w:type="dxa"/>
          </w:tcPr>
          <w:p>
            <w:pPr>
              <w:pStyle w:val="TableParagraph"/>
              <w:spacing w:line="210" w:lineRule="exact"/>
              <w:ind w:left="5" w:right="53"/>
              <w:jc w:val="center"/>
              <w:rPr>
                <w:sz w:val="20"/>
              </w:rPr>
            </w:pPr>
            <w:r>
              <w:rPr>
                <w:spacing w:val="-4"/>
                <w:sz w:val="20"/>
              </w:rPr>
              <w:t>-</w:t>
            </w:r>
            <w:r>
              <w:rPr>
                <w:spacing w:val="-2"/>
                <w:sz w:val="20"/>
              </w:rPr>
              <w:t>0.059388</w:t>
            </w:r>
          </w:p>
        </w:tc>
        <w:tc>
          <w:tcPr>
            <w:tcW w:w="1238" w:type="dxa"/>
          </w:tcPr>
          <w:p>
            <w:pPr>
              <w:pStyle w:val="TableParagraph"/>
              <w:spacing w:line="210" w:lineRule="exact"/>
              <w:ind w:left="164"/>
              <w:rPr>
                <w:sz w:val="20"/>
              </w:rPr>
            </w:pPr>
            <w:r>
              <w:rPr>
                <w:spacing w:val="-2"/>
                <w:sz w:val="20"/>
              </w:rPr>
              <w:t>0.095439</w:t>
            </w:r>
          </w:p>
        </w:tc>
        <w:tc>
          <w:tcPr>
            <w:tcW w:w="1524" w:type="dxa"/>
          </w:tcPr>
          <w:p>
            <w:pPr>
              <w:pStyle w:val="TableParagraph"/>
              <w:spacing w:line="210" w:lineRule="exact"/>
              <w:ind w:left="60" w:right="99"/>
              <w:jc w:val="center"/>
              <w:rPr>
                <w:sz w:val="20"/>
              </w:rPr>
            </w:pPr>
            <w:r>
              <w:rPr>
                <w:spacing w:val="-2"/>
                <w:sz w:val="20"/>
              </w:rPr>
              <w:t>0.155499</w:t>
            </w:r>
          </w:p>
        </w:tc>
        <w:tc>
          <w:tcPr>
            <w:tcW w:w="1829" w:type="dxa"/>
          </w:tcPr>
          <w:p>
            <w:pPr>
              <w:pStyle w:val="TableParagraph"/>
              <w:spacing w:line="210" w:lineRule="exact"/>
              <w:ind w:left="4" w:right="238"/>
              <w:jc w:val="center"/>
              <w:rPr>
                <w:sz w:val="20"/>
              </w:rPr>
            </w:pPr>
            <w:r>
              <w:rPr>
                <w:spacing w:val="-4"/>
                <w:sz w:val="20"/>
              </w:rPr>
              <w:t>-</w:t>
            </w:r>
            <w:r>
              <w:rPr>
                <w:spacing w:val="-2"/>
                <w:sz w:val="20"/>
              </w:rPr>
              <w:t>0.021419</w:t>
            </w:r>
          </w:p>
        </w:tc>
      </w:tr>
      <w:tr>
        <w:trPr>
          <w:trHeight w:val="230" w:hRule="atLeast"/>
        </w:trPr>
        <w:tc>
          <w:tcPr>
            <w:tcW w:w="1144" w:type="dxa"/>
          </w:tcPr>
          <w:p>
            <w:pPr>
              <w:pStyle w:val="TableParagraph"/>
              <w:spacing w:line="210" w:lineRule="exact"/>
              <w:ind w:left="72" w:right="49"/>
              <w:jc w:val="center"/>
              <w:rPr>
                <w:sz w:val="20"/>
              </w:rPr>
            </w:pPr>
            <w:r>
              <w:rPr>
                <w:spacing w:val="-4"/>
                <w:sz w:val="20"/>
              </w:rPr>
              <w:t>-</w:t>
            </w:r>
            <w:r>
              <w:rPr>
                <w:spacing w:val="-2"/>
                <w:sz w:val="20"/>
              </w:rPr>
              <w:t>0.252534</w:t>
            </w:r>
          </w:p>
        </w:tc>
        <w:tc>
          <w:tcPr>
            <w:tcW w:w="1193" w:type="dxa"/>
          </w:tcPr>
          <w:p>
            <w:pPr>
              <w:pStyle w:val="TableParagraph"/>
              <w:spacing w:line="210" w:lineRule="exact"/>
              <w:ind w:left="76"/>
              <w:jc w:val="center"/>
              <w:rPr>
                <w:sz w:val="20"/>
              </w:rPr>
            </w:pPr>
            <w:r>
              <w:rPr>
                <w:spacing w:val="-2"/>
                <w:sz w:val="20"/>
              </w:rPr>
              <w:t>0.016211</w:t>
            </w:r>
          </w:p>
        </w:tc>
        <w:tc>
          <w:tcPr>
            <w:tcW w:w="1055" w:type="dxa"/>
          </w:tcPr>
          <w:p>
            <w:pPr>
              <w:pStyle w:val="TableParagraph"/>
              <w:spacing w:line="210" w:lineRule="exact"/>
              <w:ind w:left="75"/>
              <w:jc w:val="center"/>
              <w:rPr>
                <w:sz w:val="20"/>
              </w:rPr>
            </w:pPr>
            <w:r>
              <w:rPr>
                <w:spacing w:val="-2"/>
                <w:sz w:val="20"/>
              </w:rPr>
              <w:t>0.292949</w:t>
            </w:r>
          </w:p>
        </w:tc>
        <w:tc>
          <w:tcPr>
            <w:tcW w:w="983" w:type="dxa"/>
          </w:tcPr>
          <w:p>
            <w:pPr>
              <w:pStyle w:val="TableParagraph"/>
              <w:spacing w:line="210" w:lineRule="exact"/>
              <w:ind w:left="84" w:right="6"/>
              <w:jc w:val="center"/>
              <w:rPr>
                <w:sz w:val="20"/>
              </w:rPr>
            </w:pPr>
            <w:r>
              <w:rPr>
                <w:spacing w:val="-2"/>
                <w:sz w:val="20"/>
              </w:rPr>
              <w:t>0.050268</w:t>
            </w:r>
          </w:p>
        </w:tc>
        <w:tc>
          <w:tcPr>
            <w:tcW w:w="946" w:type="dxa"/>
          </w:tcPr>
          <w:p>
            <w:pPr>
              <w:pStyle w:val="TableParagraph"/>
              <w:spacing w:line="210" w:lineRule="exact"/>
              <w:ind w:left="41" w:right="46"/>
              <w:jc w:val="center"/>
              <w:rPr>
                <w:sz w:val="20"/>
              </w:rPr>
            </w:pPr>
            <w:r>
              <w:rPr>
                <w:spacing w:val="-4"/>
                <w:sz w:val="20"/>
              </w:rPr>
              <w:t>-</w:t>
            </w:r>
            <w:r>
              <w:rPr>
                <w:spacing w:val="-2"/>
                <w:sz w:val="20"/>
              </w:rPr>
              <w:t>0.118657</w:t>
            </w:r>
          </w:p>
        </w:tc>
        <w:tc>
          <w:tcPr>
            <w:tcW w:w="989" w:type="dxa"/>
          </w:tcPr>
          <w:p>
            <w:pPr>
              <w:pStyle w:val="TableParagraph"/>
              <w:spacing w:line="210" w:lineRule="exact"/>
              <w:jc w:val="center"/>
              <w:rPr>
                <w:sz w:val="20"/>
              </w:rPr>
            </w:pPr>
            <w:r>
              <w:rPr>
                <w:spacing w:val="-2"/>
                <w:sz w:val="20"/>
              </w:rPr>
              <w:t>0.109752</w:t>
            </w:r>
          </w:p>
        </w:tc>
        <w:tc>
          <w:tcPr>
            <w:tcW w:w="1238" w:type="dxa"/>
          </w:tcPr>
          <w:p>
            <w:pPr>
              <w:pStyle w:val="TableParagraph"/>
              <w:spacing w:line="210" w:lineRule="exact"/>
              <w:ind w:left="164"/>
              <w:rPr>
                <w:sz w:val="20"/>
              </w:rPr>
            </w:pPr>
            <w:r>
              <w:rPr>
                <w:spacing w:val="-2"/>
                <w:sz w:val="20"/>
              </w:rPr>
              <w:t>0.222889</w:t>
            </w:r>
          </w:p>
        </w:tc>
        <w:tc>
          <w:tcPr>
            <w:tcW w:w="1524" w:type="dxa"/>
          </w:tcPr>
          <w:p>
            <w:pPr>
              <w:pStyle w:val="TableParagraph"/>
              <w:spacing w:line="210" w:lineRule="exact"/>
              <w:ind w:left="7" w:right="99"/>
              <w:jc w:val="center"/>
              <w:rPr>
                <w:sz w:val="20"/>
              </w:rPr>
            </w:pPr>
            <w:r>
              <w:rPr>
                <w:spacing w:val="-4"/>
                <w:sz w:val="20"/>
              </w:rPr>
              <w:t>-</w:t>
            </w:r>
            <w:r>
              <w:rPr>
                <w:spacing w:val="-2"/>
                <w:sz w:val="20"/>
              </w:rPr>
              <w:t>0.167187</w:t>
            </w:r>
          </w:p>
        </w:tc>
        <w:tc>
          <w:tcPr>
            <w:tcW w:w="1829" w:type="dxa"/>
          </w:tcPr>
          <w:p>
            <w:pPr>
              <w:pStyle w:val="TableParagraph"/>
              <w:spacing w:line="210" w:lineRule="exact"/>
              <w:ind w:left="57" w:right="238"/>
              <w:jc w:val="center"/>
              <w:rPr>
                <w:sz w:val="20"/>
              </w:rPr>
            </w:pPr>
            <w:r>
              <w:rPr>
                <w:spacing w:val="-2"/>
                <w:sz w:val="20"/>
              </w:rPr>
              <w:t>0.124272</w:t>
            </w:r>
          </w:p>
        </w:tc>
      </w:tr>
      <w:tr>
        <w:trPr>
          <w:trHeight w:val="230" w:hRule="atLeast"/>
        </w:trPr>
        <w:tc>
          <w:tcPr>
            <w:tcW w:w="1144" w:type="dxa"/>
          </w:tcPr>
          <w:p>
            <w:pPr>
              <w:pStyle w:val="TableParagraph"/>
              <w:spacing w:line="210" w:lineRule="exact"/>
              <w:ind w:left="72" w:right="49"/>
              <w:jc w:val="center"/>
              <w:rPr>
                <w:sz w:val="20"/>
              </w:rPr>
            </w:pPr>
            <w:r>
              <w:rPr>
                <w:spacing w:val="-4"/>
                <w:sz w:val="20"/>
              </w:rPr>
              <w:t>-</w:t>
            </w:r>
            <w:r>
              <w:rPr>
                <w:spacing w:val="-2"/>
                <w:sz w:val="20"/>
              </w:rPr>
              <w:t>0.064686</w:t>
            </w:r>
          </w:p>
        </w:tc>
        <w:tc>
          <w:tcPr>
            <w:tcW w:w="1193" w:type="dxa"/>
          </w:tcPr>
          <w:p>
            <w:pPr>
              <w:pStyle w:val="TableParagraph"/>
              <w:spacing w:line="210" w:lineRule="exact"/>
              <w:ind w:left="76"/>
              <w:jc w:val="center"/>
              <w:rPr>
                <w:sz w:val="20"/>
              </w:rPr>
            </w:pPr>
            <w:r>
              <w:rPr>
                <w:spacing w:val="-2"/>
                <w:sz w:val="20"/>
              </w:rPr>
              <w:t>0.081174</w:t>
            </w:r>
          </w:p>
        </w:tc>
        <w:tc>
          <w:tcPr>
            <w:tcW w:w="1055" w:type="dxa"/>
          </w:tcPr>
          <w:p>
            <w:pPr>
              <w:pStyle w:val="TableParagraph"/>
              <w:spacing w:line="210" w:lineRule="exact"/>
              <w:ind w:left="75"/>
              <w:jc w:val="center"/>
              <w:rPr>
                <w:sz w:val="20"/>
              </w:rPr>
            </w:pPr>
            <w:r>
              <w:rPr>
                <w:spacing w:val="-2"/>
                <w:sz w:val="20"/>
              </w:rPr>
              <w:t>0.472051</w:t>
            </w:r>
          </w:p>
        </w:tc>
        <w:tc>
          <w:tcPr>
            <w:tcW w:w="983" w:type="dxa"/>
          </w:tcPr>
          <w:p>
            <w:pPr>
              <w:pStyle w:val="TableParagraph"/>
              <w:spacing w:line="210" w:lineRule="exact"/>
              <w:ind w:left="84" w:right="6"/>
              <w:jc w:val="center"/>
              <w:rPr>
                <w:sz w:val="20"/>
              </w:rPr>
            </w:pPr>
            <w:r>
              <w:rPr>
                <w:spacing w:val="-2"/>
                <w:sz w:val="20"/>
              </w:rPr>
              <w:t>0.078383</w:t>
            </w:r>
          </w:p>
        </w:tc>
        <w:tc>
          <w:tcPr>
            <w:tcW w:w="946" w:type="dxa"/>
          </w:tcPr>
          <w:p>
            <w:pPr>
              <w:pStyle w:val="TableParagraph"/>
              <w:spacing w:line="210" w:lineRule="exact"/>
              <w:ind w:left="41" w:right="46"/>
              <w:jc w:val="center"/>
              <w:rPr>
                <w:sz w:val="20"/>
              </w:rPr>
            </w:pPr>
            <w:r>
              <w:rPr>
                <w:spacing w:val="-4"/>
                <w:sz w:val="20"/>
              </w:rPr>
              <w:t>-</w:t>
            </w:r>
            <w:r>
              <w:rPr>
                <w:spacing w:val="-2"/>
                <w:sz w:val="20"/>
              </w:rPr>
              <w:t>0.038828</w:t>
            </w:r>
          </w:p>
        </w:tc>
        <w:tc>
          <w:tcPr>
            <w:tcW w:w="989" w:type="dxa"/>
          </w:tcPr>
          <w:p>
            <w:pPr>
              <w:pStyle w:val="TableParagraph"/>
              <w:spacing w:line="210" w:lineRule="exact"/>
              <w:ind w:left="5" w:right="53"/>
              <w:jc w:val="center"/>
              <w:rPr>
                <w:sz w:val="20"/>
              </w:rPr>
            </w:pPr>
            <w:r>
              <w:rPr>
                <w:spacing w:val="-4"/>
                <w:sz w:val="20"/>
              </w:rPr>
              <w:t>-</w:t>
            </w:r>
            <w:r>
              <w:rPr>
                <w:spacing w:val="-2"/>
                <w:sz w:val="20"/>
              </w:rPr>
              <w:t>0.407542</w:t>
            </w:r>
          </w:p>
        </w:tc>
        <w:tc>
          <w:tcPr>
            <w:tcW w:w="1238" w:type="dxa"/>
          </w:tcPr>
          <w:p>
            <w:pPr>
              <w:pStyle w:val="TableParagraph"/>
              <w:spacing w:line="210" w:lineRule="exact"/>
              <w:ind w:left="164"/>
              <w:rPr>
                <w:sz w:val="20"/>
              </w:rPr>
            </w:pPr>
            <w:r>
              <w:rPr>
                <w:spacing w:val="-2"/>
                <w:sz w:val="20"/>
              </w:rPr>
              <w:t>0.339601</w:t>
            </w:r>
          </w:p>
        </w:tc>
        <w:tc>
          <w:tcPr>
            <w:tcW w:w="1524" w:type="dxa"/>
          </w:tcPr>
          <w:p>
            <w:pPr>
              <w:pStyle w:val="TableParagraph"/>
              <w:spacing w:line="210" w:lineRule="exact"/>
              <w:ind w:left="60" w:right="99"/>
              <w:jc w:val="center"/>
              <w:rPr>
                <w:sz w:val="20"/>
              </w:rPr>
            </w:pPr>
            <w:r>
              <w:rPr>
                <w:spacing w:val="-2"/>
                <w:sz w:val="20"/>
              </w:rPr>
              <w:t>0.195444</w:t>
            </w:r>
          </w:p>
        </w:tc>
        <w:tc>
          <w:tcPr>
            <w:tcW w:w="1829" w:type="dxa"/>
          </w:tcPr>
          <w:p>
            <w:pPr>
              <w:pStyle w:val="TableParagraph"/>
              <w:spacing w:line="210" w:lineRule="exact"/>
              <w:ind w:left="4" w:right="238"/>
              <w:jc w:val="center"/>
              <w:rPr>
                <w:sz w:val="20"/>
              </w:rPr>
            </w:pPr>
            <w:r>
              <w:rPr>
                <w:spacing w:val="-4"/>
                <w:sz w:val="20"/>
              </w:rPr>
              <w:t>-</w:t>
            </w:r>
            <w:r>
              <w:rPr>
                <w:spacing w:val="-2"/>
                <w:sz w:val="20"/>
              </w:rPr>
              <w:t>0.498531</w:t>
            </w:r>
          </w:p>
        </w:tc>
      </w:tr>
      <w:tr>
        <w:trPr>
          <w:trHeight w:val="230" w:hRule="atLeast"/>
        </w:trPr>
        <w:tc>
          <w:tcPr>
            <w:tcW w:w="1144" w:type="dxa"/>
          </w:tcPr>
          <w:p>
            <w:pPr>
              <w:pStyle w:val="TableParagraph"/>
              <w:spacing w:line="210" w:lineRule="exact"/>
              <w:ind w:left="71"/>
              <w:jc w:val="center"/>
              <w:rPr>
                <w:sz w:val="20"/>
              </w:rPr>
            </w:pPr>
            <w:r>
              <w:rPr>
                <w:spacing w:val="-2"/>
                <w:sz w:val="20"/>
              </w:rPr>
              <w:t>0.199873</w:t>
            </w:r>
          </w:p>
        </w:tc>
        <w:tc>
          <w:tcPr>
            <w:tcW w:w="1193" w:type="dxa"/>
          </w:tcPr>
          <w:p>
            <w:pPr>
              <w:pStyle w:val="TableParagraph"/>
              <w:spacing w:line="210" w:lineRule="exact"/>
              <w:ind w:left="76" w:right="53"/>
              <w:jc w:val="center"/>
              <w:rPr>
                <w:sz w:val="20"/>
              </w:rPr>
            </w:pPr>
            <w:r>
              <w:rPr>
                <w:spacing w:val="-4"/>
                <w:sz w:val="20"/>
              </w:rPr>
              <w:t>-</w:t>
            </w:r>
            <w:r>
              <w:rPr>
                <w:spacing w:val="-2"/>
                <w:sz w:val="20"/>
              </w:rPr>
              <w:t>0.089638</w:t>
            </w:r>
          </w:p>
        </w:tc>
        <w:tc>
          <w:tcPr>
            <w:tcW w:w="1055" w:type="dxa"/>
          </w:tcPr>
          <w:p>
            <w:pPr>
              <w:pStyle w:val="TableParagraph"/>
              <w:spacing w:line="210" w:lineRule="exact"/>
              <w:ind w:left="75"/>
              <w:jc w:val="center"/>
              <w:rPr>
                <w:sz w:val="20"/>
              </w:rPr>
            </w:pPr>
            <w:r>
              <w:rPr>
                <w:spacing w:val="-2"/>
                <w:sz w:val="20"/>
              </w:rPr>
              <w:t>0.024613</w:t>
            </w:r>
          </w:p>
        </w:tc>
        <w:tc>
          <w:tcPr>
            <w:tcW w:w="983" w:type="dxa"/>
          </w:tcPr>
          <w:p>
            <w:pPr>
              <w:pStyle w:val="TableParagraph"/>
              <w:spacing w:line="210" w:lineRule="exact"/>
              <w:ind w:left="78" w:right="48"/>
              <w:jc w:val="center"/>
              <w:rPr>
                <w:sz w:val="20"/>
              </w:rPr>
            </w:pPr>
            <w:r>
              <w:rPr>
                <w:spacing w:val="-4"/>
                <w:sz w:val="20"/>
              </w:rPr>
              <w:t>-</w:t>
            </w:r>
            <w:r>
              <w:rPr>
                <w:spacing w:val="-2"/>
                <w:sz w:val="20"/>
              </w:rPr>
              <w:t>0.006116</w:t>
            </w:r>
          </w:p>
        </w:tc>
        <w:tc>
          <w:tcPr>
            <w:tcW w:w="946" w:type="dxa"/>
          </w:tcPr>
          <w:p>
            <w:pPr>
              <w:pStyle w:val="TableParagraph"/>
              <w:spacing w:line="210" w:lineRule="exact"/>
              <w:ind w:left="41" w:right="46"/>
              <w:jc w:val="center"/>
              <w:rPr>
                <w:sz w:val="20"/>
              </w:rPr>
            </w:pPr>
            <w:r>
              <w:rPr>
                <w:spacing w:val="-4"/>
                <w:sz w:val="20"/>
              </w:rPr>
              <w:t>-</w:t>
            </w:r>
            <w:r>
              <w:rPr>
                <w:spacing w:val="-2"/>
                <w:sz w:val="20"/>
              </w:rPr>
              <w:t>0.004327</w:t>
            </w:r>
          </w:p>
        </w:tc>
        <w:tc>
          <w:tcPr>
            <w:tcW w:w="989" w:type="dxa"/>
          </w:tcPr>
          <w:p>
            <w:pPr>
              <w:pStyle w:val="TableParagraph"/>
              <w:spacing w:line="210" w:lineRule="exact"/>
              <w:jc w:val="center"/>
              <w:rPr>
                <w:sz w:val="20"/>
              </w:rPr>
            </w:pPr>
            <w:r>
              <w:rPr>
                <w:spacing w:val="-2"/>
                <w:sz w:val="20"/>
              </w:rPr>
              <w:t>0.148127</w:t>
            </w:r>
          </w:p>
        </w:tc>
        <w:tc>
          <w:tcPr>
            <w:tcW w:w="1238" w:type="dxa"/>
          </w:tcPr>
          <w:p>
            <w:pPr>
              <w:pStyle w:val="TableParagraph"/>
              <w:spacing w:line="210" w:lineRule="exact"/>
              <w:ind w:left="164"/>
              <w:rPr>
                <w:sz w:val="20"/>
              </w:rPr>
            </w:pPr>
            <w:r>
              <w:rPr>
                <w:spacing w:val="-2"/>
                <w:sz w:val="20"/>
              </w:rPr>
              <w:t>0.345028</w:t>
            </w:r>
          </w:p>
        </w:tc>
        <w:tc>
          <w:tcPr>
            <w:tcW w:w="1524" w:type="dxa"/>
          </w:tcPr>
          <w:p>
            <w:pPr>
              <w:pStyle w:val="TableParagraph"/>
              <w:spacing w:line="210" w:lineRule="exact"/>
              <w:ind w:left="7" w:right="99"/>
              <w:jc w:val="center"/>
              <w:rPr>
                <w:sz w:val="20"/>
              </w:rPr>
            </w:pPr>
            <w:r>
              <w:rPr>
                <w:spacing w:val="-4"/>
                <w:sz w:val="20"/>
              </w:rPr>
              <w:t>-</w:t>
            </w:r>
            <w:r>
              <w:rPr>
                <w:spacing w:val="-2"/>
                <w:sz w:val="20"/>
              </w:rPr>
              <w:t>0.014424</w:t>
            </w:r>
          </w:p>
        </w:tc>
        <w:tc>
          <w:tcPr>
            <w:tcW w:w="1829" w:type="dxa"/>
          </w:tcPr>
          <w:p>
            <w:pPr>
              <w:pStyle w:val="TableParagraph"/>
              <w:spacing w:line="210" w:lineRule="exact"/>
              <w:ind w:left="4" w:right="238"/>
              <w:jc w:val="center"/>
              <w:rPr>
                <w:sz w:val="20"/>
              </w:rPr>
            </w:pPr>
            <w:r>
              <w:rPr>
                <w:spacing w:val="-4"/>
                <w:sz w:val="20"/>
              </w:rPr>
              <w:t>-</w:t>
            </w:r>
            <w:r>
              <w:rPr>
                <w:spacing w:val="-2"/>
                <w:sz w:val="20"/>
              </w:rPr>
              <w:t>0.448508</w:t>
            </w:r>
          </w:p>
        </w:tc>
      </w:tr>
      <w:tr>
        <w:trPr>
          <w:trHeight w:val="229" w:hRule="atLeast"/>
        </w:trPr>
        <w:tc>
          <w:tcPr>
            <w:tcW w:w="1144" w:type="dxa"/>
          </w:tcPr>
          <w:p>
            <w:pPr>
              <w:pStyle w:val="TableParagraph"/>
              <w:spacing w:line="209" w:lineRule="exact"/>
              <w:ind w:left="72" w:right="49"/>
              <w:jc w:val="center"/>
              <w:rPr>
                <w:sz w:val="20"/>
              </w:rPr>
            </w:pPr>
            <w:r>
              <w:rPr>
                <w:spacing w:val="-4"/>
                <w:sz w:val="20"/>
              </w:rPr>
              <w:t>-</w:t>
            </w:r>
            <w:r>
              <w:rPr>
                <w:spacing w:val="-2"/>
                <w:sz w:val="20"/>
              </w:rPr>
              <w:t>0.066549</w:t>
            </w:r>
          </w:p>
        </w:tc>
        <w:tc>
          <w:tcPr>
            <w:tcW w:w="1193" w:type="dxa"/>
          </w:tcPr>
          <w:p>
            <w:pPr>
              <w:pStyle w:val="TableParagraph"/>
              <w:spacing w:line="209" w:lineRule="exact"/>
              <w:ind w:left="76"/>
              <w:jc w:val="center"/>
              <w:rPr>
                <w:sz w:val="20"/>
              </w:rPr>
            </w:pPr>
            <w:r>
              <w:rPr>
                <w:spacing w:val="-2"/>
                <w:sz w:val="20"/>
              </w:rPr>
              <w:t>0.081007</w:t>
            </w:r>
          </w:p>
        </w:tc>
        <w:tc>
          <w:tcPr>
            <w:tcW w:w="1055" w:type="dxa"/>
          </w:tcPr>
          <w:p>
            <w:pPr>
              <w:pStyle w:val="TableParagraph"/>
              <w:spacing w:line="209" w:lineRule="exact"/>
              <w:ind w:left="75" w:right="53"/>
              <w:jc w:val="center"/>
              <w:rPr>
                <w:sz w:val="20"/>
              </w:rPr>
            </w:pPr>
            <w:r>
              <w:rPr>
                <w:spacing w:val="-4"/>
                <w:sz w:val="20"/>
              </w:rPr>
              <w:t>-</w:t>
            </w:r>
            <w:r>
              <w:rPr>
                <w:spacing w:val="-2"/>
                <w:sz w:val="20"/>
              </w:rPr>
              <w:t>0.563476</w:t>
            </w:r>
          </w:p>
        </w:tc>
        <w:tc>
          <w:tcPr>
            <w:tcW w:w="983" w:type="dxa"/>
          </w:tcPr>
          <w:p>
            <w:pPr>
              <w:pStyle w:val="TableParagraph"/>
              <w:spacing w:line="209" w:lineRule="exact"/>
              <w:ind w:left="78" w:right="48"/>
              <w:jc w:val="center"/>
              <w:rPr>
                <w:sz w:val="20"/>
              </w:rPr>
            </w:pPr>
            <w:r>
              <w:rPr>
                <w:spacing w:val="-4"/>
                <w:sz w:val="20"/>
              </w:rPr>
              <w:t>-</w:t>
            </w:r>
            <w:r>
              <w:rPr>
                <w:spacing w:val="-2"/>
                <w:sz w:val="20"/>
              </w:rPr>
              <w:t>0.018541</w:t>
            </w:r>
          </w:p>
        </w:tc>
        <w:tc>
          <w:tcPr>
            <w:tcW w:w="946" w:type="dxa"/>
          </w:tcPr>
          <w:p>
            <w:pPr>
              <w:pStyle w:val="TableParagraph"/>
              <w:spacing w:line="209" w:lineRule="exact"/>
              <w:ind w:left="41" w:right="46"/>
              <w:jc w:val="center"/>
              <w:rPr>
                <w:sz w:val="20"/>
              </w:rPr>
            </w:pPr>
            <w:r>
              <w:rPr>
                <w:spacing w:val="-4"/>
                <w:sz w:val="20"/>
              </w:rPr>
              <w:t>-</w:t>
            </w:r>
            <w:r>
              <w:rPr>
                <w:spacing w:val="-2"/>
                <w:sz w:val="20"/>
              </w:rPr>
              <w:t>0.015199</w:t>
            </w:r>
          </w:p>
        </w:tc>
        <w:tc>
          <w:tcPr>
            <w:tcW w:w="989" w:type="dxa"/>
          </w:tcPr>
          <w:p>
            <w:pPr>
              <w:pStyle w:val="TableParagraph"/>
              <w:spacing w:line="209" w:lineRule="exact"/>
              <w:ind w:left="5" w:right="53"/>
              <w:jc w:val="center"/>
              <w:rPr>
                <w:sz w:val="20"/>
              </w:rPr>
            </w:pPr>
            <w:r>
              <w:rPr>
                <w:spacing w:val="-4"/>
                <w:sz w:val="20"/>
              </w:rPr>
              <w:t>-</w:t>
            </w:r>
            <w:r>
              <w:rPr>
                <w:spacing w:val="-2"/>
                <w:sz w:val="20"/>
              </w:rPr>
              <w:t>0.123148</w:t>
            </w:r>
          </w:p>
        </w:tc>
        <w:tc>
          <w:tcPr>
            <w:tcW w:w="1238" w:type="dxa"/>
          </w:tcPr>
          <w:p>
            <w:pPr>
              <w:pStyle w:val="TableParagraph"/>
              <w:spacing w:line="209" w:lineRule="exact"/>
              <w:ind w:left="104"/>
              <w:rPr>
                <w:sz w:val="20"/>
              </w:rPr>
            </w:pPr>
            <w:r>
              <w:rPr>
                <w:spacing w:val="-4"/>
                <w:sz w:val="20"/>
              </w:rPr>
              <w:t>-</w:t>
            </w:r>
            <w:r>
              <w:rPr>
                <w:spacing w:val="-2"/>
                <w:sz w:val="20"/>
              </w:rPr>
              <w:t>0.018443</w:t>
            </w:r>
          </w:p>
        </w:tc>
        <w:tc>
          <w:tcPr>
            <w:tcW w:w="1524" w:type="dxa"/>
          </w:tcPr>
          <w:p>
            <w:pPr>
              <w:pStyle w:val="TableParagraph"/>
              <w:spacing w:line="209" w:lineRule="exact"/>
              <w:ind w:left="60" w:right="99"/>
              <w:jc w:val="center"/>
              <w:rPr>
                <w:sz w:val="20"/>
              </w:rPr>
            </w:pPr>
            <w:r>
              <w:rPr>
                <w:spacing w:val="-2"/>
                <w:sz w:val="20"/>
              </w:rPr>
              <w:t>0.090601</w:t>
            </w:r>
          </w:p>
        </w:tc>
        <w:tc>
          <w:tcPr>
            <w:tcW w:w="1829" w:type="dxa"/>
          </w:tcPr>
          <w:p>
            <w:pPr>
              <w:pStyle w:val="TableParagraph"/>
              <w:spacing w:line="209" w:lineRule="exact"/>
              <w:ind w:left="57" w:right="238"/>
              <w:jc w:val="center"/>
              <w:rPr>
                <w:sz w:val="20"/>
              </w:rPr>
            </w:pPr>
            <w:r>
              <w:rPr>
                <w:spacing w:val="-2"/>
                <w:sz w:val="20"/>
              </w:rPr>
              <w:t>0.045248</w:t>
            </w:r>
          </w:p>
        </w:tc>
      </w:tr>
      <w:tr>
        <w:trPr>
          <w:trHeight w:val="223" w:hRule="atLeast"/>
        </w:trPr>
        <w:tc>
          <w:tcPr>
            <w:tcW w:w="1144" w:type="dxa"/>
            <w:tcBorders>
              <w:bottom w:val="double" w:sz="6" w:space="0" w:color="000000"/>
            </w:tcBorders>
          </w:tcPr>
          <w:p>
            <w:pPr>
              <w:pStyle w:val="TableParagraph"/>
              <w:spacing w:line="204" w:lineRule="exact"/>
              <w:ind w:left="71"/>
              <w:jc w:val="center"/>
              <w:rPr>
                <w:sz w:val="20"/>
              </w:rPr>
            </w:pPr>
            <w:r>
              <w:rPr>
                <w:spacing w:val="-2"/>
                <w:sz w:val="20"/>
              </w:rPr>
              <w:t>0.024144</w:t>
            </w:r>
          </w:p>
        </w:tc>
        <w:tc>
          <w:tcPr>
            <w:tcW w:w="1193" w:type="dxa"/>
            <w:tcBorders>
              <w:bottom w:val="double" w:sz="6" w:space="0" w:color="000000"/>
            </w:tcBorders>
          </w:tcPr>
          <w:p>
            <w:pPr>
              <w:pStyle w:val="TableParagraph"/>
              <w:spacing w:line="204" w:lineRule="exact"/>
              <w:ind w:left="76" w:right="53"/>
              <w:jc w:val="center"/>
              <w:rPr>
                <w:sz w:val="20"/>
              </w:rPr>
            </w:pPr>
            <w:r>
              <w:rPr>
                <w:spacing w:val="-4"/>
                <w:sz w:val="20"/>
              </w:rPr>
              <w:t>-</w:t>
            </w:r>
            <w:r>
              <w:rPr>
                <w:spacing w:val="-2"/>
                <w:sz w:val="20"/>
              </w:rPr>
              <w:t>0.010642</w:t>
            </w:r>
          </w:p>
        </w:tc>
        <w:tc>
          <w:tcPr>
            <w:tcW w:w="1055" w:type="dxa"/>
            <w:tcBorders>
              <w:bottom w:val="double" w:sz="6" w:space="0" w:color="000000"/>
            </w:tcBorders>
          </w:tcPr>
          <w:p>
            <w:pPr>
              <w:pStyle w:val="TableParagraph"/>
              <w:spacing w:line="204" w:lineRule="exact"/>
              <w:ind w:left="75" w:right="53"/>
              <w:jc w:val="center"/>
              <w:rPr>
                <w:sz w:val="20"/>
              </w:rPr>
            </w:pPr>
            <w:r>
              <w:rPr>
                <w:spacing w:val="-4"/>
                <w:sz w:val="20"/>
              </w:rPr>
              <w:t>-</w:t>
            </w:r>
            <w:r>
              <w:rPr>
                <w:spacing w:val="-2"/>
                <w:sz w:val="20"/>
              </w:rPr>
              <w:t>0.098713</w:t>
            </w:r>
          </w:p>
        </w:tc>
        <w:tc>
          <w:tcPr>
            <w:tcW w:w="983" w:type="dxa"/>
            <w:tcBorders>
              <w:bottom w:val="double" w:sz="6" w:space="0" w:color="000000"/>
            </w:tcBorders>
          </w:tcPr>
          <w:p>
            <w:pPr>
              <w:pStyle w:val="TableParagraph"/>
              <w:spacing w:line="204" w:lineRule="exact"/>
              <w:ind w:left="78" w:right="48"/>
              <w:jc w:val="center"/>
              <w:rPr>
                <w:sz w:val="20"/>
              </w:rPr>
            </w:pPr>
            <w:r>
              <w:rPr>
                <w:spacing w:val="-4"/>
                <w:sz w:val="20"/>
              </w:rPr>
              <w:t>-</w:t>
            </w:r>
            <w:r>
              <w:rPr>
                <w:spacing w:val="-2"/>
                <w:sz w:val="20"/>
              </w:rPr>
              <w:t>0.021451</w:t>
            </w:r>
          </w:p>
        </w:tc>
        <w:tc>
          <w:tcPr>
            <w:tcW w:w="946" w:type="dxa"/>
            <w:tcBorders>
              <w:bottom w:val="double" w:sz="6" w:space="0" w:color="000000"/>
            </w:tcBorders>
          </w:tcPr>
          <w:p>
            <w:pPr>
              <w:pStyle w:val="TableParagraph"/>
              <w:spacing w:line="204" w:lineRule="exact"/>
              <w:ind w:left="41" w:right="46"/>
              <w:jc w:val="center"/>
              <w:rPr>
                <w:sz w:val="20"/>
              </w:rPr>
            </w:pPr>
            <w:r>
              <w:rPr>
                <w:spacing w:val="-4"/>
                <w:sz w:val="20"/>
              </w:rPr>
              <w:t>-</w:t>
            </w:r>
            <w:r>
              <w:rPr>
                <w:spacing w:val="-2"/>
                <w:sz w:val="20"/>
              </w:rPr>
              <w:t>0.003951</w:t>
            </w:r>
          </w:p>
        </w:tc>
        <w:tc>
          <w:tcPr>
            <w:tcW w:w="989" w:type="dxa"/>
            <w:tcBorders>
              <w:bottom w:val="double" w:sz="6" w:space="0" w:color="000000"/>
            </w:tcBorders>
          </w:tcPr>
          <w:p>
            <w:pPr>
              <w:pStyle w:val="TableParagraph"/>
              <w:spacing w:line="204" w:lineRule="exact"/>
              <w:ind w:left="5" w:right="53"/>
              <w:jc w:val="center"/>
              <w:rPr>
                <w:sz w:val="20"/>
              </w:rPr>
            </w:pPr>
            <w:r>
              <w:rPr>
                <w:spacing w:val="-4"/>
                <w:sz w:val="20"/>
              </w:rPr>
              <w:t>-</w:t>
            </w:r>
            <w:r>
              <w:rPr>
                <w:spacing w:val="-2"/>
                <w:sz w:val="20"/>
              </w:rPr>
              <w:t>0.207841</w:t>
            </w:r>
          </w:p>
        </w:tc>
        <w:tc>
          <w:tcPr>
            <w:tcW w:w="1238" w:type="dxa"/>
            <w:tcBorders>
              <w:bottom w:val="double" w:sz="6" w:space="0" w:color="000000"/>
            </w:tcBorders>
          </w:tcPr>
          <w:p>
            <w:pPr>
              <w:pStyle w:val="TableParagraph"/>
              <w:spacing w:line="204" w:lineRule="exact"/>
              <w:ind w:left="164"/>
              <w:rPr>
                <w:sz w:val="20"/>
              </w:rPr>
            </w:pPr>
            <w:r>
              <w:rPr>
                <w:spacing w:val="-2"/>
                <w:sz w:val="20"/>
              </w:rPr>
              <w:t>0.012762</w:t>
            </w:r>
          </w:p>
        </w:tc>
        <w:tc>
          <w:tcPr>
            <w:tcW w:w="1524" w:type="dxa"/>
            <w:tcBorders>
              <w:bottom w:val="double" w:sz="6" w:space="0" w:color="000000"/>
            </w:tcBorders>
          </w:tcPr>
          <w:p>
            <w:pPr>
              <w:pStyle w:val="TableParagraph"/>
              <w:spacing w:line="204" w:lineRule="exact"/>
              <w:ind w:left="7" w:right="99"/>
              <w:jc w:val="center"/>
              <w:rPr>
                <w:sz w:val="20"/>
              </w:rPr>
            </w:pPr>
            <w:r>
              <w:rPr>
                <w:spacing w:val="-4"/>
                <w:sz w:val="20"/>
              </w:rPr>
              <w:t>-</w:t>
            </w:r>
            <w:r>
              <w:rPr>
                <w:spacing w:val="-2"/>
                <w:sz w:val="20"/>
              </w:rPr>
              <w:t>0.033765</w:t>
            </w:r>
          </w:p>
        </w:tc>
        <w:tc>
          <w:tcPr>
            <w:tcW w:w="1829" w:type="dxa"/>
            <w:tcBorders>
              <w:bottom w:val="double" w:sz="6" w:space="0" w:color="000000"/>
            </w:tcBorders>
          </w:tcPr>
          <w:p>
            <w:pPr>
              <w:pStyle w:val="TableParagraph"/>
              <w:spacing w:line="204" w:lineRule="exact"/>
              <w:ind w:left="57" w:right="238"/>
              <w:jc w:val="center"/>
              <w:rPr>
                <w:sz w:val="20"/>
              </w:rPr>
            </w:pPr>
            <w:r>
              <w:rPr>
                <w:spacing w:val="-2"/>
                <w:sz w:val="20"/>
              </w:rPr>
              <w:t>0.008080</w:t>
            </w:r>
          </w:p>
        </w:tc>
      </w:tr>
      <w:tr>
        <w:trPr>
          <w:trHeight w:val="2110" w:hRule="atLeast"/>
        </w:trPr>
        <w:tc>
          <w:tcPr>
            <w:tcW w:w="1144" w:type="dxa"/>
            <w:tcBorders>
              <w:top w:val="double" w:sz="6" w:space="0" w:color="000000"/>
              <w:bottom w:val="double" w:sz="6" w:space="0" w:color="000000"/>
            </w:tcBorders>
          </w:tcPr>
          <w:p>
            <w:pPr>
              <w:pStyle w:val="TableParagraph"/>
              <w:spacing w:before="43"/>
              <w:rPr>
                <w:sz w:val="20"/>
              </w:rPr>
            </w:pPr>
          </w:p>
          <w:p>
            <w:pPr>
              <w:pStyle w:val="TableParagraph"/>
              <w:ind w:left="67" w:right="45" w:firstLine="50"/>
              <w:jc w:val="center"/>
              <w:rPr>
                <w:sz w:val="20"/>
              </w:rPr>
            </w:pPr>
            <w:r>
              <w:rPr>
                <w:spacing w:val="-2"/>
                <w:sz w:val="20"/>
              </w:rPr>
              <w:t>Normalized Cointegratin </w:t>
            </w:r>
            <w:r>
              <w:rPr>
                <w:spacing w:val="-10"/>
                <w:sz w:val="20"/>
              </w:rPr>
              <w:t>g</w:t>
            </w:r>
            <w:r>
              <w:rPr>
                <w:spacing w:val="-2"/>
                <w:sz w:val="20"/>
              </w:rPr>
              <w:t> Coefficients: </w:t>
            </w:r>
            <w:r>
              <w:rPr>
                <w:spacing w:val="-10"/>
                <w:sz w:val="20"/>
              </w:rPr>
              <w:t>1</w:t>
            </w:r>
          </w:p>
          <w:p>
            <w:pPr>
              <w:pStyle w:val="TableParagraph"/>
              <w:ind w:left="71" w:right="51"/>
              <w:jc w:val="center"/>
              <w:rPr>
                <w:sz w:val="20"/>
              </w:rPr>
            </w:pPr>
            <w:r>
              <w:rPr>
                <w:spacing w:val="-2"/>
                <w:sz w:val="20"/>
              </w:rPr>
              <w:t>Cointegratin </w:t>
            </w:r>
            <w:r>
              <w:rPr>
                <w:spacing w:val="-10"/>
                <w:sz w:val="20"/>
              </w:rPr>
              <w:t>g</w:t>
            </w:r>
          </w:p>
          <w:p>
            <w:pPr>
              <w:pStyle w:val="TableParagraph"/>
              <w:spacing w:line="207" w:lineRule="exact"/>
              <w:ind w:left="15"/>
              <w:jc w:val="center"/>
              <w:rPr>
                <w:sz w:val="20"/>
              </w:rPr>
            </w:pPr>
            <w:r>
              <w:rPr>
                <w:spacing w:val="-2"/>
                <w:sz w:val="20"/>
              </w:rPr>
              <w:t>Equation(s)</w:t>
            </w:r>
          </w:p>
        </w:tc>
        <w:tc>
          <w:tcPr>
            <w:tcW w:w="1193" w:type="dxa"/>
            <w:tcBorders>
              <w:top w:val="double" w:sz="6" w:space="0" w:color="000000"/>
              <w:bottom w:val="double" w:sz="6" w:space="0" w:color="000000"/>
            </w:tcBorders>
          </w:tcPr>
          <w:p>
            <w:pPr>
              <w:pStyle w:val="TableParagraph"/>
              <w:rPr>
                <w:sz w:val="18"/>
              </w:rPr>
            </w:pPr>
          </w:p>
        </w:tc>
        <w:tc>
          <w:tcPr>
            <w:tcW w:w="1055" w:type="dxa"/>
            <w:tcBorders>
              <w:top w:val="double" w:sz="6" w:space="0" w:color="000000"/>
              <w:bottom w:val="double" w:sz="6" w:space="0" w:color="000000"/>
            </w:tcBorders>
          </w:tcPr>
          <w:p>
            <w:pPr>
              <w:pStyle w:val="TableParagraph"/>
              <w:rPr>
                <w:sz w:val="18"/>
              </w:rPr>
            </w:pPr>
          </w:p>
        </w:tc>
        <w:tc>
          <w:tcPr>
            <w:tcW w:w="983" w:type="dxa"/>
            <w:tcBorders>
              <w:top w:val="double" w:sz="6" w:space="0" w:color="000000"/>
              <w:bottom w:val="double" w:sz="6" w:space="0" w:color="000000"/>
            </w:tcBorders>
          </w:tcPr>
          <w:p>
            <w:pPr>
              <w:pStyle w:val="TableParagraph"/>
              <w:rPr>
                <w:sz w:val="18"/>
              </w:rPr>
            </w:pPr>
          </w:p>
        </w:tc>
        <w:tc>
          <w:tcPr>
            <w:tcW w:w="946" w:type="dxa"/>
            <w:tcBorders>
              <w:top w:val="double" w:sz="6" w:space="0" w:color="000000"/>
              <w:bottom w:val="double" w:sz="6" w:space="0" w:color="000000"/>
            </w:tcBorders>
          </w:tcPr>
          <w:p>
            <w:pPr>
              <w:pStyle w:val="TableParagraph"/>
              <w:rPr>
                <w:sz w:val="18"/>
              </w:rPr>
            </w:pPr>
          </w:p>
        </w:tc>
        <w:tc>
          <w:tcPr>
            <w:tcW w:w="989" w:type="dxa"/>
            <w:tcBorders>
              <w:top w:val="double" w:sz="6" w:space="0" w:color="000000"/>
              <w:bottom w:val="double" w:sz="6" w:space="0" w:color="000000"/>
            </w:tcBorders>
          </w:tcPr>
          <w:p>
            <w:pPr>
              <w:pStyle w:val="TableParagraph"/>
              <w:rPr>
                <w:sz w:val="18"/>
              </w:rPr>
            </w:pPr>
          </w:p>
        </w:tc>
        <w:tc>
          <w:tcPr>
            <w:tcW w:w="1238" w:type="dxa"/>
            <w:tcBorders>
              <w:top w:val="double" w:sz="6" w:space="0" w:color="000000"/>
              <w:bottom w:val="double" w:sz="6" w:space="0" w:color="000000"/>
            </w:tcBorders>
          </w:tcPr>
          <w:p>
            <w:pPr>
              <w:pStyle w:val="TableParagraph"/>
              <w:rPr>
                <w:sz w:val="18"/>
              </w:rPr>
            </w:pPr>
          </w:p>
        </w:tc>
        <w:tc>
          <w:tcPr>
            <w:tcW w:w="1524" w:type="dxa"/>
            <w:tcBorders>
              <w:top w:val="double" w:sz="6" w:space="0" w:color="000000"/>
              <w:bottom w:val="double" w:sz="6" w:space="0" w:color="000000"/>
            </w:tcBorders>
          </w:tcPr>
          <w:p>
            <w:pPr>
              <w:pStyle w:val="TableParagraph"/>
              <w:rPr>
                <w:sz w:val="18"/>
              </w:rPr>
            </w:pPr>
          </w:p>
        </w:tc>
        <w:tc>
          <w:tcPr>
            <w:tcW w:w="1829" w:type="dxa"/>
            <w:tcBorders>
              <w:top w:val="double" w:sz="6" w:space="0" w:color="000000"/>
              <w:bottom w:val="double" w:sz="6" w:space="0" w:color="000000"/>
            </w:tcBorders>
          </w:tcPr>
          <w:p>
            <w:pPr>
              <w:pStyle w:val="TableParagraph"/>
              <w:rPr>
                <w:sz w:val="18"/>
              </w:rPr>
            </w:pPr>
          </w:p>
        </w:tc>
      </w:tr>
      <w:tr>
        <w:trPr>
          <w:trHeight w:val="276" w:hRule="atLeast"/>
        </w:trPr>
        <w:tc>
          <w:tcPr>
            <w:tcW w:w="1144" w:type="dxa"/>
            <w:tcBorders>
              <w:top w:val="double" w:sz="6" w:space="0" w:color="000000"/>
            </w:tcBorders>
          </w:tcPr>
          <w:p>
            <w:pPr>
              <w:pStyle w:val="TableParagraph"/>
              <w:spacing w:line="214" w:lineRule="exact" w:before="42"/>
              <w:ind w:left="71" w:right="52"/>
              <w:jc w:val="center"/>
              <w:rPr>
                <w:sz w:val="20"/>
              </w:rPr>
            </w:pPr>
            <w:r>
              <w:rPr>
                <w:spacing w:val="-5"/>
                <w:sz w:val="20"/>
              </w:rPr>
              <w:t>KFW</w:t>
            </w:r>
          </w:p>
        </w:tc>
        <w:tc>
          <w:tcPr>
            <w:tcW w:w="1193" w:type="dxa"/>
            <w:tcBorders>
              <w:top w:val="double" w:sz="6" w:space="0" w:color="000000"/>
            </w:tcBorders>
          </w:tcPr>
          <w:p>
            <w:pPr>
              <w:pStyle w:val="TableParagraph"/>
              <w:spacing w:line="214" w:lineRule="exact" w:before="42"/>
              <w:ind w:left="76" w:right="54"/>
              <w:jc w:val="center"/>
              <w:rPr>
                <w:sz w:val="20"/>
              </w:rPr>
            </w:pPr>
            <w:r>
              <w:rPr>
                <w:spacing w:val="-2"/>
                <w:sz w:val="20"/>
              </w:rPr>
              <w:t>EXTDEBT</w:t>
            </w:r>
          </w:p>
        </w:tc>
        <w:tc>
          <w:tcPr>
            <w:tcW w:w="1055" w:type="dxa"/>
            <w:tcBorders>
              <w:top w:val="double" w:sz="6" w:space="0" w:color="000000"/>
            </w:tcBorders>
          </w:tcPr>
          <w:p>
            <w:pPr>
              <w:pStyle w:val="TableParagraph"/>
              <w:spacing w:line="214" w:lineRule="exact" w:before="42"/>
              <w:ind w:left="75" w:right="53"/>
              <w:jc w:val="center"/>
              <w:rPr>
                <w:sz w:val="20"/>
              </w:rPr>
            </w:pPr>
            <w:r>
              <w:rPr>
                <w:spacing w:val="-5"/>
                <w:sz w:val="20"/>
              </w:rPr>
              <w:t>DOP</w:t>
            </w:r>
          </w:p>
        </w:tc>
        <w:tc>
          <w:tcPr>
            <w:tcW w:w="983" w:type="dxa"/>
            <w:tcBorders>
              <w:top w:val="double" w:sz="6" w:space="0" w:color="000000"/>
            </w:tcBorders>
          </w:tcPr>
          <w:p>
            <w:pPr>
              <w:pStyle w:val="TableParagraph"/>
              <w:spacing w:line="214" w:lineRule="exact" w:before="42"/>
              <w:ind w:left="78" w:right="48"/>
              <w:jc w:val="center"/>
              <w:rPr>
                <w:sz w:val="20"/>
              </w:rPr>
            </w:pPr>
            <w:r>
              <w:rPr>
                <w:spacing w:val="-5"/>
                <w:sz w:val="20"/>
              </w:rPr>
              <w:t>INF</w:t>
            </w:r>
          </w:p>
        </w:tc>
        <w:tc>
          <w:tcPr>
            <w:tcW w:w="946" w:type="dxa"/>
            <w:tcBorders>
              <w:top w:val="double" w:sz="6" w:space="0" w:color="000000"/>
            </w:tcBorders>
          </w:tcPr>
          <w:p>
            <w:pPr>
              <w:pStyle w:val="TableParagraph"/>
              <w:spacing w:line="214" w:lineRule="exact" w:before="42"/>
              <w:ind w:left="40" w:right="47"/>
              <w:jc w:val="center"/>
              <w:rPr>
                <w:sz w:val="20"/>
              </w:rPr>
            </w:pPr>
            <w:r>
              <w:rPr>
                <w:spacing w:val="-5"/>
                <w:sz w:val="20"/>
              </w:rPr>
              <w:t>GCF</w:t>
            </w:r>
          </w:p>
        </w:tc>
        <w:tc>
          <w:tcPr>
            <w:tcW w:w="989" w:type="dxa"/>
            <w:tcBorders>
              <w:top w:val="double" w:sz="6" w:space="0" w:color="000000"/>
            </w:tcBorders>
          </w:tcPr>
          <w:p>
            <w:pPr>
              <w:pStyle w:val="TableParagraph"/>
              <w:spacing w:line="214" w:lineRule="exact" w:before="42"/>
              <w:ind w:right="49"/>
              <w:jc w:val="center"/>
              <w:rPr>
                <w:sz w:val="20"/>
              </w:rPr>
            </w:pPr>
            <w:r>
              <w:rPr>
                <w:spacing w:val="-5"/>
                <w:sz w:val="20"/>
              </w:rPr>
              <w:t>DR</w:t>
            </w:r>
          </w:p>
        </w:tc>
        <w:tc>
          <w:tcPr>
            <w:tcW w:w="1238" w:type="dxa"/>
            <w:tcBorders>
              <w:top w:val="double" w:sz="6" w:space="0" w:color="000000"/>
            </w:tcBorders>
          </w:tcPr>
          <w:p>
            <w:pPr>
              <w:pStyle w:val="TableParagraph"/>
              <w:spacing w:line="214" w:lineRule="exact" w:before="42"/>
              <w:ind w:left="152"/>
              <w:rPr>
                <w:sz w:val="20"/>
              </w:rPr>
            </w:pPr>
            <w:r>
              <w:rPr>
                <w:spacing w:val="-2"/>
                <w:sz w:val="20"/>
              </w:rPr>
              <w:t>PRIVCR</w:t>
            </w:r>
          </w:p>
        </w:tc>
        <w:tc>
          <w:tcPr>
            <w:tcW w:w="1524" w:type="dxa"/>
            <w:tcBorders>
              <w:top w:val="double" w:sz="6" w:space="0" w:color="000000"/>
            </w:tcBorders>
          </w:tcPr>
          <w:p>
            <w:pPr>
              <w:pStyle w:val="TableParagraph"/>
              <w:spacing w:line="214" w:lineRule="exact" w:before="42"/>
              <w:ind w:left="4" w:right="99"/>
              <w:jc w:val="center"/>
              <w:rPr>
                <w:sz w:val="20"/>
              </w:rPr>
            </w:pPr>
            <w:r>
              <w:rPr>
                <w:spacing w:val="-2"/>
                <w:sz w:val="20"/>
              </w:rPr>
              <w:t>USIRD</w:t>
            </w:r>
          </w:p>
        </w:tc>
        <w:tc>
          <w:tcPr>
            <w:tcW w:w="1829" w:type="dxa"/>
            <w:tcBorders>
              <w:top w:val="double" w:sz="6" w:space="0" w:color="000000"/>
            </w:tcBorders>
          </w:tcPr>
          <w:p>
            <w:pPr>
              <w:pStyle w:val="TableParagraph"/>
              <w:spacing w:line="214" w:lineRule="exact" w:before="42"/>
              <w:ind w:left="4" w:right="238"/>
              <w:jc w:val="center"/>
              <w:rPr>
                <w:sz w:val="20"/>
              </w:rPr>
            </w:pPr>
            <w:r>
              <w:rPr>
                <w:spacing w:val="-4"/>
                <w:sz w:val="20"/>
              </w:rPr>
              <w:t>GOCE</w:t>
            </w:r>
          </w:p>
        </w:tc>
      </w:tr>
      <w:tr>
        <w:trPr>
          <w:trHeight w:val="229" w:hRule="atLeast"/>
        </w:trPr>
        <w:tc>
          <w:tcPr>
            <w:tcW w:w="1144" w:type="dxa"/>
          </w:tcPr>
          <w:p>
            <w:pPr>
              <w:pStyle w:val="TableParagraph"/>
              <w:spacing w:line="209" w:lineRule="exact"/>
              <w:ind w:left="71"/>
              <w:jc w:val="center"/>
              <w:rPr>
                <w:sz w:val="20"/>
              </w:rPr>
            </w:pPr>
            <w:r>
              <w:rPr>
                <w:spacing w:val="-2"/>
                <w:sz w:val="20"/>
              </w:rPr>
              <w:t>1.000000</w:t>
            </w:r>
          </w:p>
        </w:tc>
        <w:tc>
          <w:tcPr>
            <w:tcW w:w="1193" w:type="dxa"/>
          </w:tcPr>
          <w:p>
            <w:pPr>
              <w:pStyle w:val="TableParagraph"/>
              <w:spacing w:line="209" w:lineRule="exact"/>
              <w:ind w:left="76"/>
              <w:jc w:val="center"/>
              <w:rPr>
                <w:sz w:val="20"/>
              </w:rPr>
            </w:pPr>
            <w:r>
              <w:rPr>
                <w:spacing w:val="-2"/>
                <w:sz w:val="20"/>
              </w:rPr>
              <w:t>2.260204</w:t>
            </w:r>
          </w:p>
        </w:tc>
        <w:tc>
          <w:tcPr>
            <w:tcW w:w="1055" w:type="dxa"/>
          </w:tcPr>
          <w:p>
            <w:pPr>
              <w:pStyle w:val="TableParagraph"/>
              <w:spacing w:line="209" w:lineRule="exact"/>
              <w:ind w:left="75" w:right="53"/>
              <w:jc w:val="center"/>
              <w:rPr>
                <w:sz w:val="20"/>
              </w:rPr>
            </w:pPr>
            <w:r>
              <w:rPr>
                <w:spacing w:val="-4"/>
                <w:sz w:val="20"/>
              </w:rPr>
              <w:t>-</w:t>
            </w:r>
            <w:r>
              <w:rPr>
                <w:spacing w:val="-2"/>
                <w:sz w:val="20"/>
              </w:rPr>
              <w:t>0.165123</w:t>
            </w:r>
          </w:p>
        </w:tc>
        <w:tc>
          <w:tcPr>
            <w:tcW w:w="983" w:type="dxa"/>
          </w:tcPr>
          <w:p>
            <w:pPr>
              <w:pStyle w:val="TableParagraph"/>
              <w:spacing w:line="209" w:lineRule="exact"/>
              <w:ind w:left="84" w:right="6"/>
              <w:jc w:val="center"/>
              <w:rPr>
                <w:sz w:val="20"/>
              </w:rPr>
            </w:pPr>
            <w:r>
              <w:rPr>
                <w:spacing w:val="-2"/>
                <w:sz w:val="20"/>
              </w:rPr>
              <w:t>0.926431</w:t>
            </w:r>
          </w:p>
        </w:tc>
        <w:tc>
          <w:tcPr>
            <w:tcW w:w="946" w:type="dxa"/>
          </w:tcPr>
          <w:p>
            <w:pPr>
              <w:pStyle w:val="TableParagraph"/>
              <w:spacing w:line="209" w:lineRule="exact"/>
              <w:ind w:left="40"/>
              <w:jc w:val="center"/>
              <w:rPr>
                <w:sz w:val="20"/>
              </w:rPr>
            </w:pPr>
            <w:r>
              <w:rPr>
                <w:spacing w:val="-2"/>
                <w:sz w:val="20"/>
              </w:rPr>
              <w:t>2.080895</w:t>
            </w:r>
          </w:p>
        </w:tc>
        <w:tc>
          <w:tcPr>
            <w:tcW w:w="989" w:type="dxa"/>
          </w:tcPr>
          <w:p>
            <w:pPr>
              <w:pStyle w:val="TableParagraph"/>
              <w:spacing w:line="209" w:lineRule="exact"/>
              <w:ind w:left="5" w:right="53"/>
              <w:jc w:val="center"/>
              <w:rPr>
                <w:sz w:val="20"/>
              </w:rPr>
            </w:pPr>
            <w:r>
              <w:rPr>
                <w:spacing w:val="-4"/>
                <w:sz w:val="20"/>
              </w:rPr>
              <w:t>-</w:t>
            </w:r>
            <w:r>
              <w:rPr>
                <w:spacing w:val="-2"/>
                <w:sz w:val="20"/>
              </w:rPr>
              <w:t>4.191684</w:t>
            </w:r>
          </w:p>
        </w:tc>
        <w:tc>
          <w:tcPr>
            <w:tcW w:w="1238" w:type="dxa"/>
          </w:tcPr>
          <w:p>
            <w:pPr>
              <w:pStyle w:val="TableParagraph"/>
              <w:spacing w:line="209" w:lineRule="exact"/>
              <w:ind w:left="104"/>
              <w:rPr>
                <w:sz w:val="20"/>
              </w:rPr>
            </w:pPr>
            <w:r>
              <w:rPr>
                <w:spacing w:val="-4"/>
                <w:sz w:val="20"/>
              </w:rPr>
              <w:t>-</w:t>
            </w:r>
            <w:r>
              <w:rPr>
                <w:spacing w:val="-2"/>
                <w:sz w:val="20"/>
              </w:rPr>
              <w:t>0.436799</w:t>
            </w:r>
          </w:p>
        </w:tc>
        <w:tc>
          <w:tcPr>
            <w:tcW w:w="1524" w:type="dxa"/>
          </w:tcPr>
          <w:p>
            <w:pPr>
              <w:pStyle w:val="TableParagraph"/>
              <w:spacing w:line="209" w:lineRule="exact"/>
              <w:ind w:left="7" w:right="99"/>
              <w:jc w:val="center"/>
              <w:rPr>
                <w:sz w:val="20"/>
              </w:rPr>
            </w:pPr>
            <w:r>
              <w:rPr>
                <w:spacing w:val="-4"/>
                <w:sz w:val="20"/>
              </w:rPr>
              <w:t>-</w:t>
            </w:r>
            <w:r>
              <w:rPr>
                <w:spacing w:val="-2"/>
                <w:sz w:val="20"/>
              </w:rPr>
              <w:t>2.335059</w:t>
            </w:r>
          </w:p>
        </w:tc>
        <w:tc>
          <w:tcPr>
            <w:tcW w:w="1829" w:type="dxa"/>
          </w:tcPr>
          <w:p>
            <w:pPr>
              <w:pStyle w:val="TableParagraph"/>
              <w:spacing w:line="209" w:lineRule="exact"/>
              <w:ind w:left="4" w:right="238"/>
              <w:jc w:val="center"/>
              <w:rPr>
                <w:sz w:val="20"/>
              </w:rPr>
            </w:pPr>
            <w:r>
              <w:rPr>
                <w:spacing w:val="-4"/>
                <w:sz w:val="20"/>
              </w:rPr>
              <w:t>-</w:t>
            </w:r>
            <w:r>
              <w:rPr>
                <w:spacing w:val="-2"/>
                <w:sz w:val="20"/>
              </w:rPr>
              <w:t>4.359956</w:t>
            </w:r>
          </w:p>
        </w:tc>
      </w:tr>
      <w:tr>
        <w:trPr>
          <w:trHeight w:val="345" w:hRule="atLeast"/>
        </w:trPr>
        <w:tc>
          <w:tcPr>
            <w:tcW w:w="1144" w:type="dxa"/>
          </w:tcPr>
          <w:p>
            <w:pPr>
              <w:pStyle w:val="TableParagraph"/>
              <w:rPr>
                <w:sz w:val="18"/>
              </w:rPr>
            </w:pPr>
          </w:p>
        </w:tc>
        <w:tc>
          <w:tcPr>
            <w:tcW w:w="1193" w:type="dxa"/>
          </w:tcPr>
          <w:p>
            <w:pPr>
              <w:pStyle w:val="TableParagraph"/>
              <w:spacing w:line="226" w:lineRule="exact"/>
              <w:ind w:left="76"/>
              <w:jc w:val="center"/>
              <w:rPr>
                <w:sz w:val="20"/>
              </w:rPr>
            </w:pPr>
            <w:r>
              <w:rPr>
                <w:spacing w:val="-2"/>
                <w:sz w:val="20"/>
              </w:rPr>
              <w:t>(0.73588)</w:t>
            </w:r>
          </w:p>
        </w:tc>
        <w:tc>
          <w:tcPr>
            <w:tcW w:w="1055" w:type="dxa"/>
          </w:tcPr>
          <w:p>
            <w:pPr>
              <w:pStyle w:val="TableParagraph"/>
              <w:spacing w:line="226" w:lineRule="exact"/>
              <w:ind w:left="75"/>
              <w:jc w:val="center"/>
              <w:rPr>
                <w:sz w:val="20"/>
              </w:rPr>
            </w:pPr>
            <w:r>
              <w:rPr>
                <w:spacing w:val="-2"/>
                <w:sz w:val="20"/>
              </w:rPr>
              <w:t>(0.81570)</w:t>
            </w:r>
          </w:p>
        </w:tc>
        <w:tc>
          <w:tcPr>
            <w:tcW w:w="983" w:type="dxa"/>
          </w:tcPr>
          <w:p>
            <w:pPr>
              <w:pStyle w:val="TableParagraph"/>
              <w:spacing w:line="226" w:lineRule="exact"/>
              <w:ind w:left="84" w:right="6"/>
              <w:jc w:val="center"/>
              <w:rPr>
                <w:sz w:val="20"/>
              </w:rPr>
            </w:pPr>
            <w:r>
              <w:rPr>
                <w:spacing w:val="-2"/>
                <w:sz w:val="20"/>
              </w:rPr>
              <w:t>(0.38151)</w:t>
            </w:r>
          </w:p>
        </w:tc>
        <w:tc>
          <w:tcPr>
            <w:tcW w:w="946" w:type="dxa"/>
          </w:tcPr>
          <w:p>
            <w:pPr>
              <w:pStyle w:val="TableParagraph"/>
              <w:spacing w:line="226" w:lineRule="exact"/>
              <w:ind w:left="40"/>
              <w:jc w:val="center"/>
              <w:rPr>
                <w:sz w:val="20"/>
              </w:rPr>
            </w:pPr>
            <w:r>
              <w:rPr>
                <w:spacing w:val="-2"/>
                <w:sz w:val="20"/>
              </w:rPr>
              <w:t>(0.59936)</w:t>
            </w:r>
          </w:p>
        </w:tc>
        <w:tc>
          <w:tcPr>
            <w:tcW w:w="989" w:type="dxa"/>
          </w:tcPr>
          <w:p>
            <w:pPr>
              <w:pStyle w:val="TableParagraph"/>
              <w:spacing w:line="226" w:lineRule="exact"/>
              <w:jc w:val="center"/>
              <w:rPr>
                <w:sz w:val="20"/>
              </w:rPr>
            </w:pPr>
            <w:r>
              <w:rPr>
                <w:spacing w:val="-2"/>
                <w:sz w:val="20"/>
              </w:rPr>
              <w:t>(1.33736)</w:t>
            </w:r>
          </w:p>
        </w:tc>
        <w:tc>
          <w:tcPr>
            <w:tcW w:w="1238" w:type="dxa"/>
          </w:tcPr>
          <w:p>
            <w:pPr>
              <w:pStyle w:val="TableParagraph"/>
              <w:spacing w:line="226" w:lineRule="exact"/>
              <w:ind w:left="147"/>
              <w:rPr>
                <w:sz w:val="20"/>
              </w:rPr>
            </w:pPr>
            <w:r>
              <w:rPr>
                <w:spacing w:val="-2"/>
                <w:sz w:val="20"/>
              </w:rPr>
              <w:t>(0.41330)</w:t>
            </w:r>
          </w:p>
        </w:tc>
        <w:tc>
          <w:tcPr>
            <w:tcW w:w="1524" w:type="dxa"/>
          </w:tcPr>
          <w:p>
            <w:pPr>
              <w:pStyle w:val="TableParagraph"/>
              <w:spacing w:line="226" w:lineRule="exact"/>
              <w:ind w:left="60" w:right="99"/>
              <w:jc w:val="center"/>
              <w:rPr>
                <w:sz w:val="20"/>
              </w:rPr>
            </w:pPr>
            <w:r>
              <w:rPr>
                <w:spacing w:val="-2"/>
                <w:sz w:val="20"/>
              </w:rPr>
              <w:t>(0.75457)</w:t>
            </w:r>
          </w:p>
        </w:tc>
        <w:tc>
          <w:tcPr>
            <w:tcW w:w="1829" w:type="dxa"/>
          </w:tcPr>
          <w:p>
            <w:pPr>
              <w:pStyle w:val="TableParagraph"/>
              <w:spacing w:line="226" w:lineRule="exact"/>
              <w:ind w:left="57" w:right="238"/>
              <w:jc w:val="center"/>
              <w:rPr>
                <w:sz w:val="20"/>
              </w:rPr>
            </w:pPr>
            <w:r>
              <w:rPr>
                <w:spacing w:val="-2"/>
                <w:sz w:val="20"/>
              </w:rPr>
              <w:t>(1.19669)</w:t>
            </w:r>
          </w:p>
        </w:tc>
      </w:tr>
      <w:tr>
        <w:trPr>
          <w:trHeight w:val="570" w:hRule="atLeast"/>
        </w:trPr>
        <w:tc>
          <w:tcPr>
            <w:tcW w:w="1144" w:type="dxa"/>
            <w:tcBorders>
              <w:bottom w:val="double" w:sz="6" w:space="0" w:color="000000"/>
            </w:tcBorders>
          </w:tcPr>
          <w:p>
            <w:pPr>
              <w:pStyle w:val="TableParagraph"/>
              <w:spacing w:line="230" w:lineRule="atLeast" w:before="90"/>
              <w:ind w:left="178" w:firstLine="271"/>
              <w:rPr>
                <w:sz w:val="20"/>
              </w:rPr>
            </w:pPr>
            <w:r>
              <w:rPr>
                <w:spacing w:val="-4"/>
                <w:sz w:val="20"/>
              </w:rPr>
              <w:t>Log </w:t>
            </w:r>
            <w:r>
              <w:rPr>
                <w:spacing w:val="-2"/>
                <w:sz w:val="20"/>
              </w:rPr>
              <w:t>likelihood</w:t>
            </w:r>
          </w:p>
        </w:tc>
        <w:tc>
          <w:tcPr>
            <w:tcW w:w="1193" w:type="dxa"/>
            <w:tcBorders>
              <w:bottom w:val="double" w:sz="6" w:space="0" w:color="000000"/>
            </w:tcBorders>
          </w:tcPr>
          <w:p>
            <w:pPr>
              <w:pStyle w:val="TableParagraph"/>
              <w:spacing w:before="111"/>
              <w:ind w:left="76" w:right="53"/>
              <w:jc w:val="center"/>
              <w:rPr>
                <w:sz w:val="20"/>
              </w:rPr>
            </w:pPr>
            <w:r>
              <w:rPr>
                <w:spacing w:val="-4"/>
                <w:sz w:val="20"/>
              </w:rPr>
              <w:t>-</w:t>
            </w:r>
            <w:r>
              <w:rPr>
                <w:spacing w:val="-2"/>
                <w:sz w:val="20"/>
              </w:rPr>
              <w:t>128.7814</w:t>
            </w:r>
          </w:p>
        </w:tc>
        <w:tc>
          <w:tcPr>
            <w:tcW w:w="1055" w:type="dxa"/>
            <w:tcBorders>
              <w:bottom w:val="double" w:sz="6" w:space="0" w:color="000000"/>
            </w:tcBorders>
          </w:tcPr>
          <w:p>
            <w:pPr>
              <w:pStyle w:val="TableParagraph"/>
              <w:rPr>
                <w:sz w:val="18"/>
              </w:rPr>
            </w:pPr>
          </w:p>
        </w:tc>
        <w:tc>
          <w:tcPr>
            <w:tcW w:w="983" w:type="dxa"/>
            <w:tcBorders>
              <w:bottom w:val="double" w:sz="6" w:space="0" w:color="000000"/>
            </w:tcBorders>
          </w:tcPr>
          <w:p>
            <w:pPr>
              <w:pStyle w:val="TableParagraph"/>
              <w:rPr>
                <w:sz w:val="18"/>
              </w:rPr>
            </w:pPr>
          </w:p>
        </w:tc>
        <w:tc>
          <w:tcPr>
            <w:tcW w:w="946" w:type="dxa"/>
            <w:tcBorders>
              <w:bottom w:val="double" w:sz="6" w:space="0" w:color="000000"/>
            </w:tcBorders>
          </w:tcPr>
          <w:p>
            <w:pPr>
              <w:pStyle w:val="TableParagraph"/>
              <w:rPr>
                <w:sz w:val="18"/>
              </w:rPr>
            </w:pPr>
          </w:p>
        </w:tc>
        <w:tc>
          <w:tcPr>
            <w:tcW w:w="989" w:type="dxa"/>
            <w:tcBorders>
              <w:bottom w:val="double" w:sz="6" w:space="0" w:color="000000"/>
            </w:tcBorders>
          </w:tcPr>
          <w:p>
            <w:pPr>
              <w:pStyle w:val="TableParagraph"/>
              <w:rPr>
                <w:sz w:val="18"/>
              </w:rPr>
            </w:pPr>
          </w:p>
        </w:tc>
        <w:tc>
          <w:tcPr>
            <w:tcW w:w="1238" w:type="dxa"/>
            <w:tcBorders>
              <w:bottom w:val="double" w:sz="6" w:space="0" w:color="000000"/>
            </w:tcBorders>
          </w:tcPr>
          <w:p>
            <w:pPr>
              <w:pStyle w:val="TableParagraph"/>
              <w:rPr>
                <w:sz w:val="18"/>
              </w:rPr>
            </w:pPr>
          </w:p>
        </w:tc>
        <w:tc>
          <w:tcPr>
            <w:tcW w:w="1524" w:type="dxa"/>
            <w:tcBorders>
              <w:bottom w:val="double" w:sz="6" w:space="0" w:color="000000"/>
            </w:tcBorders>
          </w:tcPr>
          <w:p>
            <w:pPr>
              <w:pStyle w:val="TableParagraph"/>
              <w:rPr>
                <w:sz w:val="18"/>
              </w:rPr>
            </w:pPr>
          </w:p>
        </w:tc>
        <w:tc>
          <w:tcPr>
            <w:tcW w:w="1829" w:type="dxa"/>
            <w:tcBorders>
              <w:bottom w:val="double" w:sz="6" w:space="0" w:color="000000"/>
            </w:tcBorders>
          </w:tcPr>
          <w:p>
            <w:pPr>
              <w:pStyle w:val="TableParagraph"/>
              <w:rPr>
                <w:sz w:val="18"/>
              </w:rPr>
            </w:pPr>
          </w:p>
        </w:tc>
      </w:tr>
      <w:tr>
        <w:trPr>
          <w:trHeight w:val="2107" w:hRule="atLeast"/>
        </w:trPr>
        <w:tc>
          <w:tcPr>
            <w:tcW w:w="1144" w:type="dxa"/>
            <w:tcBorders>
              <w:top w:val="double" w:sz="6" w:space="0" w:color="000000"/>
              <w:bottom w:val="double" w:sz="6" w:space="0" w:color="000000"/>
            </w:tcBorders>
          </w:tcPr>
          <w:p>
            <w:pPr>
              <w:pStyle w:val="TableParagraph"/>
              <w:spacing w:before="40"/>
              <w:rPr>
                <w:sz w:val="20"/>
              </w:rPr>
            </w:pPr>
          </w:p>
          <w:p>
            <w:pPr>
              <w:pStyle w:val="TableParagraph"/>
              <w:spacing w:before="1"/>
              <w:ind w:left="67" w:right="45" w:firstLine="50"/>
              <w:jc w:val="center"/>
              <w:rPr>
                <w:sz w:val="20"/>
              </w:rPr>
            </w:pPr>
            <w:r>
              <w:rPr>
                <w:spacing w:val="-2"/>
                <w:sz w:val="20"/>
              </w:rPr>
              <w:t>Normalized Cointegratin </w:t>
            </w:r>
            <w:r>
              <w:rPr>
                <w:spacing w:val="-10"/>
                <w:sz w:val="20"/>
              </w:rPr>
              <w:t>g</w:t>
            </w:r>
            <w:r>
              <w:rPr>
                <w:spacing w:val="-2"/>
                <w:sz w:val="20"/>
              </w:rPr>
              <w:t> Coefficients: </w:t>
            </w:r>
            <w:r>
              <w:rPr>
                <w:spacing w:val="-10"/>
                <w:sz w:val="20"/>
              </w:rPr>
              <w:t>2</w:t>
            </w:r>
          </w:p>
          <w:p>
            <w:pPr>
              <w:pStyle w:val="TableParagraph"/>
              <w:spacing w:line="230" w:lineRule="exact"/>
              <w:ind w:left="71" w:right="54"/>
              <w:jc w:val="center"/>
              <w:rPr>
                <w:sz w:val="20"/>
              </w:rPr>
            </w:pPr>
            <w:r>
              <w:rPr>
                <w:spacing w:val="-2"/>
                <w:sz w:val="20"/>
              </w:rPr>
              <w:t>Cointegratin</w:t>
            </w:r>
          </w:p>
          <w:p>
            <w:pPr>
              <w:pStyle w:val="TableParagraph"/>
              <w:spacing w:line="228" w:lineRule="exact"/>
              <w:ind w:left="115" w:right="97" w:firstLine="6"/>
              <w:jc w:val="center"/>
              <w:rPr>
                <w:sz w:val="20"/>
              </w:rPr>
            </w:pPr>
            <w:r>
              <w:rPr>
                <w:spacing w:val="-10"/>
                <w:sz w:val="20"/>
              </w:rPr>
              <w:t>g</w:t>
            </w:r>
            <w:r>
              <w:rPr>
                <w:spacing w:val="-2"/>
                <w:sz w:val="20"/>
              </w:rPr>
              <w:t> Equation(s)</w:t>
            </w:r>
          </w:p>
        </w:tc>
        <w:tc>
          <w:tcPr>
            <w:tcW w:w="1193" w:type="dxa"/>
            <w:tcBorders>
              <w:top w:val="double" w:sz="6" w:space="0" w:color="000000"/>
              <w:bottom w:val="double" w:sz="6" w:space="0" w:color="000000"/>
            </w:tcBorders>
          </w:tcPr>
          <w:p>
            <w:pPr>
              <w:pStyle w:val="TableParagraph"/>
              <w:rPr>
                <w:sz w:val="18"/>
              </w:rPr>
            </w:pPr>
          </w:p>
        </w:tc>
        <w:tc>
          <w:tcPr>
            <w:tcW w:w="1055" w:type="dxa"/>
            <w:tcBorders>
              <w:top w:val="double" w:sz="6" w:space="0" w:color="000000"/>
              <w:bottom w:val="double" w:sz="6" w:space="0" w:color="000000"/>
            </w:tcBorders>
          </w:tcPr>
          <w:p>
            <w:pPr>
              <w:pStyle w:val="TableParagraph"/>
              <w:rPr>
                <w:sz w:val="18"/>
              </w:rPr>
            </w:pPr>
          </w:p>
        </w:tc>
        <w:tc>
          <w:tcPr>
            <w:tcW w:w="983" w:type="dxa"/>
            <w:tcBorders>
              <w:top w:val="double" w:sz="6" w:space="0" w:color="000000"/>
              <w:bottom w:val="double" w:sz="6" w:space="0" w:color="000000"/>
            </w:tcBorders>
          </w:tcPr>
          <w:p>
            <w:pPr>
              <w:pStyle w:val="TableParagraph"/>
              <w:rPr>
                <w:sz w:val="18"/>
              </w:rPr>
            </w:pPr>
          </w:p>
        </w:tc>
        <w:tc>
          <w:tcPr>
            <w:tcW w:w="946" w:type="dxa"/>
            <w:tcBorders>
              <w:top w:val="double" w:sz="6" w:space="0" w:color="000000"/>
              <w:bottom w:val="double" w:sz="6" w:space="0" w:color="000000"/>
            </w:tcBorders>
          </w:tcPr>
          <w:p>
            <w:pPr>
              <w:pStyle w:val="TableParagraph"/>
              <w:rPr>
                <w:sz w:val="18"/>
              </w:rPr>
            </w:pPr>
          </w:p>
        </w:tc>
        <w:tc>
          <w:tcPr>
            <w:tcW w:w="989" w:type="dxa"/>
            <w:tcBorders>
              <w:top w:val="double" w:sz="6" w:space="0" w:color="000000"/>
              <w:bottom w:val="double" w:sz="6" w:space="0" w:color="000000"/>
            </w:tcBorders>
          </w:tcPr>
          <w:p>
            <w:pPr>
              <w:pStyle w:val="TableParagraph"/>
              <w:rPr>
                <w:sz w:val="18"/>
              </w:rPr>
            </w:pPr>
          </w:p>
        </w:tc>
        <w:tc>
          <w:tcPr>
            <w:tcW w:w="1238" w:type="dxa"/>
            <w:tcBorders>
              <w:top w:val="double" w:sz="6" w:space="0" w:color="000000"/>
              <w:bottom w:val="double" w:sz="6" w:space="0" w:color="000000"/>
            </w:tcBorders>
          </w:tcPr>
          <w:p>
            <w:pPr>
              <w:pStyle w:val="TableParagraph"/>
              <w:rPr>
                <w:sz w:val="18"/>
              </w:rPr>
            </w:pPr>
          </w:p>
        </w:tc>
        <w:tc>
          <w:tcPr>
            <w:tcW w:w="1524" w:type="dxa"/>
            <w:tcBorders>
              <w:top w:val="double" w:sz="6" w:space="0" w:color="000000"/>
              <w:bottom w:val="double" w:sz="6" w:space="0" w:color="000000"/>
            </w:tcBorders>
          </w:tcPr>
          <w:p>
            <w:pPr>
              <w:pStyle w:val="TableParagraph"/>
              <w:rPr>
                <w:sz w:val="18"/>
              </w:rPr>
            </w:pPr>
          </w:p>
        </w:tc>
        <w:tc>
          <w:tcPr>
            <w:tcW w:w="1829" w:type="dxa"/>
            <w:tcBorders>
              <w:top w:val="double" w:sz="6" w:space="0" w:color="000000"/>
              <w:bottom w:val="double" w:sz="6" w:space="0" w:color="000000"/>
            </w:tcBorders>
          </w:tcPr>
          <w:p>
            <w:pPr>
              <w:pStyle w:val="TableParagraph"/>
              <w:rPr>
                <w:sz w:val="18"/>
              </w:rPr>
            </w:pPr>
          </w:p>
        </w:tc>
      </w:tr>
      <w:tr>
        <w:trPr>
          <w:trHeight w:val="277" w:hRule="atLeast"/>
        </w:trPr>
        <w:tc>
          <w:tcPr>
            <w:tcW w:w="1144" w:type="dxa"/>
            <w:tcBorders>
              <w:top w:val="double" w:sz="6" w:space="0" w:color="000000"/>
            </w:tcBorders>
          </w:tcPr>
          <w:p>
            <w:pPr>
              <w:pStyle w:val="TableParagraph"/>
              <w:spacing w:line="215" w:lineRule="exact" w:before="42"/>
              <w:ind w:left="71" w:right="52"/>
              <w:jc w:val="center"/>
              <w:rPr>
                <w:sz w:val="20"/>
              </w:rPr>
            </w:pPr>
            <w:r>
              <w:rPr>
                <w:spacing w:val="-5"/>
                <w:sz w:val="20"/>
              </w:rPr>
              <w:t>KFW</w:t>
            </w:r>
          </w:p>
        </w:tc>
        <w:tc>
          <w:tcPr>
            <w:tcW w:w="1193" w:type="dxa"/>
            <w:tcBorders>
              <w:top w:val="double" w:sz="6" w:space="0" w:color="000000"/>
            </w:tcBorders>
          </w:tcPr>
          <w:p>
            <w:pPr>
              <w:pStyle w:val="TableParagraph"/>
              <w:spacing w:line="215" w:lineRule="exact" w:before="42"/>
              <w:ind w:left="76" w:right="54"/>
              <w:jc w:val="center"/>
              <w:rPr>
                <w:sz w:val="20"/>
              </w:rPr>
            </w:pPr>
            <w:r>
              <w:rPr>
                <w:spacing w:val="-2"/>
                <w:sz w:val="20"/>
              </w:rPr>
              <w:t>EXTDEBT</w:t>
            </w:r>
          </w:p>
        </w:tc>
        <w:tc>
          <w:tcPr>
            <w:tcW w:w="1055" w:type="dxa"/>
            <w:tcBorders>
              <w:top w:val="double" w:sz="6" w:space="0" w:color="000000"/>
            </w:tcBorders>
          </w:tcPr>
          <w:p>
            <w:pPr>
              <w:pStyle w:val="TableParagraph"/>
              <w:spacing w:line="215" w:lineRule="exact" w:before="42"/>
              <w:ind w:left="75" w:right="53"/>
              <w:jc w:val="center"/>
              <w:rPr>
                <w:sz w:val="20"/>
              </w:rPr>
            </w:pPr>
            <w:r>
              <w:rPr>
                <w:spacing w:val="-5"/>
                <w:sz w:val="20"/>
              </w:rPr>
              <w:t>DOP</w:t>
            </w:r>
          </w:p>
        </w:tc>
        <w:tc>
          <w:tcPr>
            <w:tcW w:w="983" w:type="dxa"/>
            <w:tcBorders>
              <w:top w:val="double" w:sz="6" w:space="0" w:color="000000"/>
            </w:tcBorders>
          </w:tcPr>
          <w:p>
            <w:pPr>
              <w:pStyle w:val="TableParagraph"/>
              <w:spacing w:line="215" w:lineRule="exact" w:before="42"/>
              <w:ind w:left="78" w:right="48"/>
              <w:jc w:val="center"/>
              <w:rPr>
                <w:sz w:val="20"/>
              </w:rPr>
            </w:pPr>
            <w:r>
              <w:rPr>
                <w:spacing w:val="-5"/>
                <w:sz w:val="20"/>
              </w:rPr>
              <w:t>INF</w:t>
            </w:r>
          </w:p>
        </w:tc>
        <w:tc>
          <w:tcPr>
            <w:tcW w:w="946" w:type="dxa"/>
            <w:tcBorders>
              <w:top w:val="double" w:sz="6" w:space="0" w:color="000000"/>
            </w:tcBorders>
          </w:tcPr>
          <w:p>
            <w:pPr>
              <w:pStyle w:val="TableParagraph"/>
              <w:spacing w:line="215" w:lineRule="exact" w:before="42"/>
              <w:ind w:left="40" w:right="47"/>
              <w:jc w:val="center"/>
              <w:rPr>
                <w:sz w:val="20"/>
              </w:rPr>
            </w:pPr>
            <w:r>
              <w:rPr>
                <w:spacing w:val="-5"/>
                <w:sz w:val="20"/>
              </w:rPr>
              <w:t>GCF</w:t>
            </w:r>
          </w:p>
        </w:tc>
        <w:tc>
          <w:tcPr>
            <w:tcW w:w="989" w:type="dxa"/>
            <w:tcBorders>
              <w:top w:val="double" w:sz="6" w:space="0" w:color="000000"/>
            </w:tcBorders>
          </w:tcPr>
          <w:p>
            <w:pPr>
              <w:pStyle w:val="TableParagraph"/>
              <w:spacing w:line="215" w:lineRule="exact" w:before="42"/>
              <w:ind w:right="49"/>
              <w:jc w:val="center"/>
              <w:rPr>
                <w:sz w:val="20"/>
              </w:rPr>
            </w:pPr>
            <w:r>
              <w:rPr>
                <w:spacing w:val="-5"/>
                <w:sz w:val="20"/>
              </w:rPr>
              <w:t>DR</w:t>
            </w:r>
          </w:p>
        </w:tc>
        <w:tc>
          <w:tcPr>
            <w:tcW w:w="1238" w:type="dxa"/>
            <w:tcBorders>
              <w:top w:val="double" w:sz="6" w:space="0" w:color="000000"/>
            </w:tcBorders>
          </w:tcPr>
          <w:p>
            <w:pPr>
              <w:pStyle w:val="TableParagraph"/>
              <w:spacing w:line="215" w:lineRule="exact" w:before="42"/>
              <w:ind w:left="152"/>
              <w:rPr>
                <w:sz w:val="20"/>
              </w:rPr>
            </w:pPr>
            <w:r>
              <w:rPr>
                <w:spacing w:val="-2"/>
                <w:sz w:val="20"/>
              </w:rPr>
              <w:t>PRIVCR</w:t>
            </w:r>
          </w:p>
        </w:tc>
        <w:tc>
          <w:tcPr>
            <w:tcW w:w="1524" w:type="dxa"/>
            <w:tcBorders>
              <w:top w:val="double" w:sz="6" w:space="0" w:color="000000"/>
            </w:tcBorders>
          </w:tcPr>
          <w:p>
            <w:pPr>
              <w:pStyle w:val="TableParagraph"/>
              <w:spacing w:line="215" w:lineRule="exact" w:before="42"/>
              <w:ind w:left="4" w:right="99"/>
              <w:jc w:val="center"/>
              <w:rPr>
                <w:sz w:val="20"/>
              </w:rPr>
            </w:pPr>
            <w:r>
              <w:rPr>
                <w:spacing w:val="-2"/>
                <w:sz w:val="20"/>
              </w:rPr>
              <w:t>USIRD</w:t>
            </w:r>
          </w:p>
        </w:tc>
        <w:tc>
          <w:tcPr>
            <w:tcW w:w="1829" w:type="dxa"/>
            <w:tcBorders>
              <w:top w:val="double" w:sz="6" w:space="0" w:color="000000"/>
            </w:tcBorders>
          </w:tcPr>
          <w:p>
            <w:pPr>
              <w:pStyle w:val="TableParagraph"/>
              <w:spacing w:line="215" w:lineRule="exact" w:before="42"/>
              <w:ind w:left="4" w:right="238"/>
              <w:jc w:val="center"/>
              <w:rPr>
                <w:sz w:val="20"/>
              </w:rPr>
            </w:pPr>
            <w:r>
              <w:rPr>
                <w:spacing w:val="-4"/>
                <w:sz w:val="20"/>
              </w:rPr>
              <w:t>GOCE</w:t>
            </w:r>
          </w:p>
        </w:tc>
      </w:tr>
      <w:tr>
        <w:trPr>
          <w:trHeight w:val="229" w:hRule="atLeast"/>
        </w:trPr>
        <w:tc>
          <w:tcPr>
            <w:tcW w:w="1144" w:type="dxa"/>
          </w:tcPr>
          <w:p>
            <w:pPr>
              <w:pStyle w:val="TableParagraph"/>
              <w:spacing w:line="209" w:lineRule="exact"/>
              <w:ind w:left="71"/>
              <w:jc w:val="center"/>
              <w:rPr>
                <w:sz w:val="20"/>
              </w:rPr>
            </w:pPr>
            <w:r>
              <w:rPr>
                <w:spacing w:val="-2"/>
                <w:sz w:val="20"/>
              </w:rPr>
              <w:t>1.000000</w:t>
            </w:r>
          </w:p>
        </w:tc>
        <w:tc>
          <w:tcPr>
            <w:tcW w:w="1193" w:type="dxa"/>
          </w:tcPr>
          <w:p>
            <w:pPr>
              <w:pStyle w:val="TableParagraph"/>
              <w:spacing w:line="209" w:lineRule="exact"/>
              <w:ind w:left="76"/>
              <w:jc w:val="center"/>
              <w:rPr>
                <w:sz w:val="20"/>
              </w:rPr>
            </w:pPr>
            <w:r>
              <w:rPr>
                <w:spacing w:val="-2"/>
                <w:sz w:val="20"/>
              </w:rPr>
              <w:t>0.000000</w:t>
            </w:r>
          </w:p>
        </w:tc>
        <w:tc>
          <w:tcPr>
            <w:tcW w:w="1055" w:type="dxa"/>
          </w:tcPr>
          <w:p>
            <w:pPr>
              <w:pStyle w:val="TableParagraph"/>
              <w:spacing w:line="209" w:lineRule="exact"/>
              <w:ind w:left="75" w:right="53"/>
              <w:jc w:val="center"/>
              <w:rPr>
                <w:sz w:val="20"/>
              </w:rPr>
            </w:pPr>
            <w:r>
              <w:rPr>
                <w:spacing w:val="-4"/>
                <w:sz w:val="20"/>
              </w:rPr>
              <w:t>-</w:t>
            </w:r>
            <w:r>
              <w:rPr>
                <w:spacing w:val="-2"/>
                <w:sz w:val="20"/>
              </w:rPr>
              <w:t>3.779758</w:t>
            </w:r>
          </w:p>
        </w:tc>
        <w:tc>
          <w:tcPr>
            <w:tcW w:w="983" w:type="dxa"/>
          </w:tcPr>
          <w:p>
            <w:pPr>
              <w:pStyle w:val="TableParagraph"/>
              <w:spacing w:line="209" w:lineRule="exact"/>
              <w:ind w:left="84" w:right="6"/>
              <w:jc w:val="center"/>
              <w:rPr>
                <w:sz w:val="20"/>
              </w:rPr>
            </w:pPr>
            <w:r>
              <w:rPr>
                <w:spacing w:val="-2"/>
                <w:sz w:val="20"/>
              </w:rPr>
              <w:t>3.774221</w:t>
            </w:r>
          </w:p>
        </w:tc>
        <w:tc>
          <w:tcPr>
            <w:tcW w:w="946" w:type="dxa"/>
          </w:tcPr>
          <w:p>
            <w:pPr>
              <w:pStyle w:val="TableParagraph"/>
              <w:spacing w:line="209" w:lineRule="exact"/>
              <w:ind w:left="40"/>
              <w:jc w:val="center"/>
              <w:rPr>
                <w:sz w:val="20"/>
              </w:rPr>
            </w:pPr>
            <w:r>
              <w:rPr>
                <w:spacing w:val="-2"/>
                <w:sz w:val="20"/>
              </w:rPr>
              <w:t>0.116889</w:t>
            </w:r>
          </w:p>
        </w:tc>
        <w:tc>
          <w:tcPr>
            <w:tcW w:w="989" w:type="dxa"/>
          </w:tcPr>
          <w:p>
            <w:pPr>
              <w:pStyle w:val="TableParagraph"/>
              <w:spacing w:line="209" w:lineRule="exact"/>
              <w:ind w:left="5" w:right="53"/>
              <w:jc w:val="center"/>
              <w:rPr>
                <w:sz w:val="20"/>
              </w:rPr>
            </w:pPr>
            <w:r>
              <w:rPr>
                <w:spacing w:val="-4"/>
                <w:sz w:val="20"/>
              </w:rPr>
              <w:t>-</w:t>
            </w:r>
            <w:r>
              <w:rPr>
                <w:spacing w:val="-2"/>
                <w:sz w:val="20"/>
              </w:rPr>
              <w:t>3.668187</w:t>
            </w:r>
          </w:p>
        </w:tc>
        <w:tc>
          <w:tcPr>
            <w:tcW w:w="1238" w:type="dxa"/>
          </w:tcPr>
          <w:p>
            <w:pPr>
              <w:pStyle w:val="TableParagraph"/>
              <w:spacing w:line="209" w:lineRule="exact"/>
              <w:ind w:left="164"/>
              <w:rPr>
                <w:sz w:val="20"/>
              </w:rPr>
            </w:pPr>
            <w:r>
              <w:rPr>
                <w:spacing w:val="-2"/>
                <w:sz w:val="20"/>
              </w:rPr>
              <w:t>0.590484</w:t>
            </w:r>
          </w:p>
        </w:tc>
        <w:tc>
          <w:tcPr>
            <w:tcW w:w="1524" w:type="dxa"/>
          </w:tcPr>
          <w:p>
            <w:pPr>
              <w:pStyle w:val="TableParagraph"/>
              <w:spacing w:line="209" w:lineRule="exact"/>
              <w:ind w:left="60" w:right="99"/>
              <w:jc w:val="center"/>
              <w:rPr>
                <w:sz w:val="20"/>
              </w:rPr>
            </w:pPr>
            <w:r>
              <w:rPr>
                <w:spacing w:val="-2"/>
                <w:sz w:val="20"/>
              </w:rPr>
              <w:t>1.843646</w:t>
            </w:r>
          </w:p>
        </w:tc>
        <w:tc>
          <w:tcPr>
            <w:tcW w:w="1829" w:type="dxa"/>
          </w:tcPr>
          <w:p>
            <w:pPr>
              <w:pStyle w:val="TableParagraph"/>
              <w:spacing w:line="209" w:lineRule="exact"/>
              <w:ind w:left="4" w:right="238"/>
              <w:jc w:val="center"/>
              <w:rPr>
                <w:sz w:val="20"/>
              </w:rPr>
            </w:pPr>
            <w:r>
              <w:rPr>
                <w:spacing w:val="-4"/>
                <w:sz w:val="20"/>
              </w:rPr>
              <w:t>-</w:t>
            </w:r>
            <w:r>
              <w:rPr>
                <w:spacing w:val="-2"/>
                <w:sz w:val="20"/>
              </w:rPr>
              <w:t>2.057072</w:t>
            </w:r>
          </w:p>
        </w:tc>
      </w:tr>
      <w:tr>
        <w:trPr>
          <w:trHeight w:val="229" w:hRule="atLeast"/>
        </w:trPr>
        <w:tc>
          <w:tcPr>
            <w:tcW w:w="1144" w:type="dxa"/>
          </w:tcPr>
          <w:p>
            <w:pPr>
              <w:pStyle w:val="TableParagraph"/>
              <w:rPr>
                <w:sz w:val="16"/>
              </w:rPr>
            </w:pPr>
          </w:p>
        </w:tc>
        <w:tc>
          <w:tcPr>
            <w:tcW w:w="1193" w:type="dxa"/>
          </w:tcPr>
          <w:p>
            <w:pPr>
              <w:pStyle w:val="TableParagraph"/>
              <w:rPr>
                <w:sz w:val="16"/>
              </w:rPr>
            </w:pPr>
          </w:p>
        </w:tc>
        <w:tc>
          <w:tcPr>
            <w:tcW w:w="1055" w:type="dxa"/>
          </w:tcPr>
          <w:p>
            <w:pPr>
              <w:pStyle w:val="TableParagraph"/>
              <w:spacing w:line="209" w:lineRule="exact"/>
              <w:ind w:left="75"/>
              <w:jc w:val="center"/>
              <w:rPr>
                <w:sz w:val="20"/>
              </w:rPr>
            </w:pPr>
            <w:r>
              <w:rPr>
                <w:spacing w:val="-2"/>
                <w:sz w:val="20"/>
              </w:rPr>
              <w:t>(1.49759)</w:t>
            </w:r>
          </w:p>
        </w:tc>
        <w:tc>
          <w:tcPr>
            <w:tcW w:w="983" w:type="dxa"/>
          </w:tcPr>
          <w:p>
            <w:pPr>
              <w:pStyle w:val="TableParagraph"/>
              <w:spacing w:line="209" w:lineRule="exact"/>
              <w:ind w:left="84" w:right="6"/>
              <w:jc w:val="center"/>
              <w:rPr>
                <w:sz w:val="20"/>
              </w:rPr>
            </w:pPr>
            <w:r>
              <w:rPr>
                <w:spacing w:val="-2"/>
                <w:sz w:val="20"/>
              </w:rPr>
              <w:t>(1.26391)</w:t>
            </w:r>
          </w:p>
        </w:tc>
        <w:tc>
          <w:tcPr>
            <w:tcW w:w="946" w:type="dxa"/>
          </w:tcPr>
          <w:p>
            <w:pPr>
              <w:pStyle w:val="TableParagraph"/>
              <w:spacing w:line="209" w:lineRule="exact"/>
              <w:ind w:left="40"/>
              <w:jc w:val="center"/>
              <w:rPr>
                <w:sz w:val="20"/>
              </w:rPr>
            </w:pPr>
            <w:r>
              <w:rPr>
                <w:spacing w:val="-2"/>
                <w:sz w:val="20"/>
              </w:rPr>
              <w:t>(0.20313)</w:t>
            </w:r>
          </w:p>
        </w:tc>
        <w:tc>
          <w:tcPr>
            <w:tcW w:w="989" w:type="dxa"/>
          </w:tcPr>
          <w:p>
            <w:pPr>
              <w:pStyle w:val="TableParagraph"/>
              <w:spacing w:line="209" w:lineRule="exact"/>
              <w:jc w:val="center"/>
              <w:rPr>
                <w:sz w:val="20"/>
              </w:rPr>
            </w:pPr>
            <w:r>
              <w:rPr>
                <w:spacing w:val="-2"/>
                <w:sz w:val="20"/>
              </w:rPr>
              <w:t>(1.23076)</w:t>
            </w:r>
          </w:p>
        </w:tc>
        <w:tc>
          <w:tcPr>
            <w:tcW w:w="1238" w:type="dxa"/>
          </w:tcPr>
          <w:p>
            <w:pPr>
              <w:pStyle w:val="TableParagraph"/>
              <w:spacing w:line="209" w:lineRule="exact"/>
              <w:ind w:left="147"/>
              <w:rPr>
                <w:sz w:val="20"/>
              </w:rPr>
            </w:pPr>
            <w:r>
              <w:rPr>
                <w:spacing w:val="-2"/>
                <w:sz w:val="20"/>
              </w:rPr>
              <w:t>(0.49502)</w:t>
            </w:r>
          </w:p>
        </w:tc>
        <w:tc>
          <w:tcPr>
            <w:tcW w:w="1524" w:type="dxa"/>
          </w:tcPr>
          <w:p>
            <w:pPr>
              <w:pStyle w:val="TableParagraph"/>
              <w:spacing w:line="209" w:lineRule="exact"/>
              <w:ind w:left="60" w:right="99"/>
              <w:jc w:val="center"/>
              <w:rPr>
                <w:sz w:val="20"/>
              </w:rPr>
            </w:pPr>
            <w:r>
              <w:rPr>
                <w:spacing w:val="-2"/>
                <w:sz w:val="20"/>
              </w:rPr>
              <w:t>(0.79550)</w:t>
            </w:r>
          </w:p>
        </w:tc>
        <w:tc>
          <w:tcPr>
            <w:tcW w:w="1829" w:type="dxa"/>
          </w:tcPr>
          <w:p>
            <w:pPr>
              <w:pStyle w:val="TableParagraph"/>
              <w:spacing w:line="209" w:lineRule="exact"/>
              <w:ind w:left="57" w:right="238"/>
              <w:jc w:val="center"/>
              <w:rPr>
                <w:sz w:val="20"/>
              </w:rPr>
            </w:pPr>
            <w:r>
              <w:rPr>
                <w:spacing w:val="-2"/>
                <w:sz w:val="20"/>
              </w:rPr>
              <w:t>(0.61519)</w:t>
            </w:r>
          </w:p>
        </w:tc>
      </w:tr>
      <w:tr>
        <w:trPr>
          <w:trHeight w:val="230" w:hRule="atLeast"/>
        </w:trPr>
        <w:tc>
          <w:tcPr>
            <w:tcW w:w="1144" w:type="dxa"/>
          </w:tcPr>
          <w:p>
            <w:pPr>
              <w:pStyle w:val="TableParagraph"/>
              <w:spacing w:line="211" w:lineRule="exact"/>
              <w:ind w:left="71"/>
              <w:jc w:val="center"/>
              <w:rPr>
                <w:sz w:val="20"/>
              </w:rPr>
            </w:pPr>
            <w:r>
              <w:rPr>
                <w:spacing w:val="-2"/>
                <w:sz w:val="20"/>
              </w:rPr>
              <w:t>0.000000</w:t>
            </w:r>
          </w:p>
        </w:tc>
        <w:tc>
          <w:tcPr>
            <w:tcW w:w="1193" w:type="dxa"/>
          </w:tcPr>
          <w:p>
            <w:pPr>
              <w:pStyle w:val="TableParagraph"/>
              <w:spacing w:line="211" w:lineRule="exact"/>
              <w:ind w:left="76"/>
              <w:jc w:val="center"/>
              <w:rPr>
                <w:sz w:val="20"/>
              </w:rPr>
            </w:pPr>
            <w:r>
              <w:rPr>
                <w:spacing w:val="-2"/>
                <w:sz w:val="20"/>
              </w:rPr>
              <w:t>1.000000</w:t>
            </w:r>
          </w:p>
        </w:tc>
        <w:tc>
          <w:tcPr>
            <w:tcW w:w="1055" w:type="dxa"/>
          </w:tcPr>
          <w:p>
            <w:pPr>
              <w:pStyle w:val="TableParagraph"/>
              <w:spacing w:line="211" w:lineRule="exact"/>
              <w:ind w:left="75"/>
              <w:jc w:val="center"/>
              <w:rPr>
                <w:sz w:val="20"/>
              </w:rPr>
            </w:pPr>
            <w:r>
              <w:rPr>
                <w:spacing w:val="-2"/>
                <w:sz w:val="20"/>
              </w:rPr>
              <w:t>1.599252</w:t>
            </w:r>
          </w:p>
        </w:tc>
        <w:tc>
          <w:tcPr>
            <w:tcW w:w="983" w:type="dxa"/>
          </w:tcPr>
          <w:p>
            <w:pPr>
              <w:pStyle w:val="TableParagraph"/>
              <w:spacing w:line="211" w:lineRule="exact"/>
              <w:ind w:left="78" w:right="48"/>
              <w:jc w:val="center"/>
              <w:rPr>
                <w:sz w:val="20"/>
              </w:rPr>
            </w:pPr>
            <w:r>
              <w:rPr>
                <w:spacing w:val="-4"/>
                <w:sz w:val="20"/>
              </w:rPr>
              <w:t>-</w:t>
            </w:r>
            <w:r>
              <w:rPr>
                <w:spacing w:val="-2"/>
                <w:sz w:val="20"/>
              </w:rPr>
              <w:t>1.259970</w:t>
            </w:r>
          </w:p>
        </w:tc>
        <w:tc>
          <w:tcPr>
            <w:tcW w:w="946" w:type="dxa"/>
          </w:tcPr>
          <w:p>
            <w:pPr>
              <w:pStyle w:val="TableParagraph"/>
              <w:spacing w:line="211" w:lineRule="exact"/>
              <w:ind w:left="40"/>
              <w:jc w:val="center"/>
              <w:rPr>
                <w:sz w:val="20"/>
              </w:rPr>
            </w:pPr>
            <w:r>
              <w:rPr>
                <w:spacing w:val="-2"/>
                <w:sz w:val="20"/>
              </w:rPr>
              <w:t>0.868951</w:t>
            </w:r>
          </w:p>
        </w:tc>
        <w:tc>
          <w:tcPr>
            <w:tcW w:w="989" w:type="dxa"/>
          </w:tcPr>
          <w:p>
            <w:pPr>
              <w:pStyle w:val="TableParagraph"/>
              <w:spacing w:line="211" w:lineRule="exact"/>
              <w:ind w:left="5" w:right="53"/>
              <w:jc w:val="center"/>
              <w:rPr>
                <w:sz w:val="20"/>
              </w:rPr>
            </w:pPr>
            <w:r>
              <w:rPr>
                <w:spacing w:val="-4"/>
                <w:sz w:val="20"/>
              </w:rPr>
              <w:t>-</w:t>
            </w:r>
            <w:r>
              <w:rPr>
                <w:spacing w:val="-2"/>
                <w:sz w:val="20"/>
              </w:rPr>
              <w:t>0.231615</w:t>
            </w:r>
          </w:p>
        </w:tc>
        <w:tc>
          <w:tcPr>
            <w:tcW w:w="1238" w:type="dxa"/>
          </w:tcPr>
          <w:p>
            <w:pPr>
              <w:pStyle w:val="TableParagraph"/>
              <w:spacing w:line="211" w:lineRule="exact"/>
              <w:ind w:left="104"/>
              <w:rPr>
                <w:sz w:val="20"/>
              </w:rPr>
            </w:pPr>
            <w:r>
              <w:rPr>
                <w:spacing w:val="-4"/>
                <w:sz w:val="20"/>
              </w:rPr>
              <w:t>-</w:t>
            </w:r>
            <w:r>
              <w:rPr>
                <w:spacing w:val="-2"/>
                <w:sz w:val="20"/>
              </w:rPr>
              <w:t>0.454509</w:t>
            </w:r>
          </w:p>
        </w:tc>
        <w:tc>
          <w:tcPr>
            <w:tcW w:w="1524" w:type="dxa"/>
          </w:tcPr>
          <w:p>
            <w:pPr>
              <w:pStyle w:val="TableParagraph"/>
              <w:spacing w:line="211" w:lineRule="exact"/>
              <w:ind w:left="7" w:right="99"/>
              <w:jc w:val="center"/>
              <w:rPr>
                <w:sz w:val="20"/>
              </w:rPr>
            </w:pPr>
            <w:r>
              <w:rPr>
                <w:spacing w:val="-4"/>
                <w:sz w:val="20"/>
              </w:rPr>
              <w:t>-</w:t>
            </w:r>
            <w:r>
              <w:rPr>
                <w:spacing w:val="-2"/>
                <w:sz w:val="20"/>
              </w:rPr>
              <w:t>1.848818</w:t>
            </w:r>
          </w:p>
        </w:tc>
        <w:tc>
          <w:tcPr>
            <w:tcW w:w="1829" w:type="dxa"/>
          </w:tcPr>
          <w:p>
            <w:pPr>
              <w:pStyle w:val="TableParagraph"/>
              <w:spacing w:line="211" w:lineRule="exact"/>
              <w:ind w:left="4" w:right="238"/>
              <w:jc w:val="center"/>
              <w:rPr>
                <w:sz w:val="20"/>
              </w:rPr>
            </w:pPr>
            <w:r>
              <w:rPr>
                <w:spacing w:val="-4"/>
                <w:sz w:val="20"/>
              </w:rPr>
              <w:t>-</w:t>
            </w:r>
            <w:r>
              <w:rPr>
                <w:spacing w:val="-2"/>
                <w:sz w:val="20"/>
              </w:rPr>
              <w:t>1.018883</w:t>
            </w:r>
          </w:p>
        </w:tc>
      </w:tr>
      <w:tr>
        <w:trPr>
          <w:trHeight w:val="345" w:hRule="atLeast"/>
        </w:trPr>
        <w:tc>
          <w:tcPr>
            <w:tcW w:w="1144" w:type="dxa"/>
          </w:tcPr>
          <w:p>
            <w:pPr>
              <w:pStyle w:val="TableParagraph"/>
              <w:rPr>
                <w:sz w:val="18"/>
              </w:rPr>
            </w:pPr>
          </w:p>
        </w:tc>
        <w:tc>
          <w:tcPr>
            <w:tcW w:w="1193" w:type="dxa"/>
          </w:tcPr>
          <w:p>
            <w:pPr>
              <w:pStyle w:val="TableParagraph"/>
              <w:rPr>
                <w:sz w:val="18"/>
              </w:rPr>
            </w:pPr>
          </w:p>
        </w:tc>
        <w:tc>
          <w:tcPr>
            <w:tcW w:w="1055" w:type="dxa"/>
          </w:tcPr>
          <w:p>
            <w:pPr>
              <w:pStyle w:val="TableParagraph"/>
              <w:spacing w:line="226" w:lineRule="exact"/>
              <w:ind w:left="75"/>
              <w:jc w:val="center"/>
              <w:rPr>
                <w:sz w:val="20"/>
              </w:rPr>
            </w:pPr>
            <w:r>
              <w:rPr>
                <w:spacing w:val="-2"/>
                <w:sz w:val="20"/>
              </w:rPr>
              <w:t>(0.86367)</w:t>
            </w:r>
          </w:p>
        </w:tc>
        <w:tc>
          <w:tcPr>
            <w:tcW w:w="983" w:type="dxa"/>
          </w:tcPr>
          <w:p>
            <w:pPr>
              <w:pStyle w:val="TableParagraph"/>
              <w:spacing w:line="226" w:lineRule="exact"/>
              <w:ind w:left="84" w:right="6"/>
              <w:jc w:val="center"/>
              <w:rPr>
                <w:sz w:val="20"/>
              </w:rPr>
            </w:pPr>
            <w:r>
              <w:rPr>
                <w:spacing w:val="-2"/>
                <w:sz w:val="20"/>
              </w:rPr>
              <w:t>(0.72890)</w:t>
            </w:r>
          </w:p>
        </w:tc>
        <w:tc>
          <w:tcPr>
            <w:tcW w:w="946" w:type="dxa"/>
          </w:tcPr>
          <w:p>
            <w:pPr>
              <w:pStyle w:val="TableParagraph"/>
              <w:spacing w:line="226" w:lineRule="exact"/>
              <w:ind w:left="40"/>
              <w:jc w:val="center"/>
              <w:rPr>
                <w:sz w:val="20"/>
              </w:rPr>
            </w:pPr>
            <w:r>
              <w:rPr>
                <w:spacing w:val="-2"/>
                <w:sz w:val="20"/>
              </w:rPr>
              <w:t>(0.11714)</w:t>
            </w:r>
          </w:p>
        </w:tc>
        <w:tc>
          <w:tcPr>
            <w:tcW w:w="989" w:type="dxa"/>
          </w:tcPr>
          <w:p>
            <w:pPr>
              <w:pStyle w:val="TableParagraph"/>
              <w:spacing w:line="226" w:lineRule="exact"/>
              <w:jc w:val="center"/>
              <w:rPr>
                <w:sz w:val="20"/>
              </w:rPr>
            </w:pPr>
            <w:r>
              <w:rPr>
                <w:spacing w:val="-2"/>
                <w:sz w:val="20"/>
              </w:rPr>
              <w:t>(0.70979)</w:t>
            </w:r>
          </w:p>
        </w:tc>
        <w:tc>
          <w:tcPr>
            <w:tcW w:w="1238" w:type="dxa"/>
          </w:tcPr>
          <w:p>
            <w:pPr>
              <w:pStyle w:val="TableParagraph"/>
              <w:spacing w:line="226" w:lineRule="exact"/>
              <w:ind w:left="147"/>
              <w:rPr>
                <w:sz w:val="20"/>
              </w:rPr>
            </w:pPr>
            <w:r>
              <w:rPr>
                <w:spacing w:val="-2"/>
                <w:sz w:val="20"/>
              </w:rPr>
              <w:t>(0.28548)</w:t>
            </w:r>
          </w:p>
        </w:tc>
        <w:tc>
          <w:tcPr>
            <w:tcW w:w="1524" w:type="dxa"/>
          </w:tcPr>
          <w:p>
            <w:pPr>
              <w:pStyle w:val="TableParagraph"/>
              <w:spacing w:line="226" w:lineRule="exact"/>
              <w:ind w:left="60" w:right="99"/>
              <w:jc w:val="center"/>
              <w:rPr>
                <w:sz w:val="20"/>
              </w:rPr>
            </w:pPr>
            <w:r>
              <w:rPr>
                <w:spacing w:val="-2"/>
                <w:sz w:val="20"/>
              </w:rPr>
              <w:t>(0.45877)</w:t>
            </w:r>
          </w:p>
        </w:tc>
        <w:tc>
          <w:tcPr>
            <w:tcW w:w="1829" w:type="dxa"/>
          </w:tcPr>
          <w:p>
            <w:pPr>
              <w:pStyle w:val="TableParagraph"/>
              <w:spacing w:line="226" w:lineRule="exact"/>
              <w:ind w:left="57" w:right="238"/>
              <w:jc w:val="center"/>
              <w:rPr>
                <w:sz w:val="20"/>
              </w:rPr>
            </w:pPr>
            <w:r>
              <w:rPr>
                <w:spacing w:val="-2"/>
                <w:sz w:val="20"/>
              </w:rPr>
              <w:t>(0.35478)</w:t>
            </w:r>
          </w:p>
        </w:tc>
      </w:tr>
      <w:tr>
        <w:trPr>
          <w:trHeight w:val="570" w:hRule="atLeast"/>
        </w:trPr>
        <w:tc>
          <w:tcPr>
            <w:tcW w:w="1144" w:type="dxa"/>
            <w:tcBorders>
              <w:bottom w:val="double" w:sz="6" w:space="0" w:color="000000"/>
            </w:tcBorders>
          </w:tcPr>
          <w:p>
            <w:pPr>
              <w:pStyle w:val="TableParagraph"/>
              <w:spacing w:line="230" w:lineRule="atLeast" w:before="90"/>
              <w:ind w:left="178" w:firstLine="271"/>
              <w:rPr>
                <w:sz w:val="20"/>
              </w:rPr>
            </w:pPr>
            <w:r>
              <w:rPr>
                <w:spacing w:val="-4"/>
                <w:sz w:val="20"/>
              </w:rPr>
              <w:t>Log </w:t>
            </w:r>
            <w:r>
              <w:rPr>
                <w:spacing w:val="-2"/>
                <w:sz w:val="20"/>
              </w:rPr>
              <w:t>likelihood</w:t>
            </w:r>
          </w:p>
        </w:tc>
        <w:tc>
          <w:tcPr>
            <w:tcW w:w="2248" w:type="dxa"/>
            <w:gridSpan w:val="2"/>
            <w:tcBorders>
              <w:bottom w:val="double" w:sz="6" w:space="0" w:color="000000"/>
            </w:tcBorders>
          </w:tcPr>
          <w:p>
            <w:pPr>
              <w:pStyle w:val="TableParagraph"/>
              <w:spacing w:before="111"/>
              <w:ind w:left="200"/>
              <w:rPr>
                <w:sz w:val="20"/>
              </w:rPr>
            </w:pPr>
            <w:r>
              <w:rPr>
                <w:spacing w:val="-4"/>
                <w:sz w:val="20"/>
              </w:rPr>
              <w:t>-</w:t>
            </w:r>
            <w:r>
              <w:rPr>
                <w:spacing w:val="-2"/>
                <w:sz w:val="20"/>
              </w:rPr>
              <w:t>96.81063</w:t>
            </w:r>
          </w:p>
        </w:tc>
        <w:tc>
          <w:tcPr>
            <w:tcW w:w="983" w:type="dxa"/>
            <w:tcBorders>
              <w:bottom w:val="double" w:sz="6" w:space="0" w:color="000000"/>
            </w:tcBorders>
          </w:tcPr>
          <w:p>
            <w:pPr>
              <w:pStyle w:val="TableParagraph"/>
              <w:rPr>
                <w:sz w:val="18"/>
              </w:rPr>
            </w:pPr>
          </w:p>
        </w:tc>
        <w:tc>
          <w:tcPr>
            <w:tcW w:w="946" w:type="dxa"/>
            <w:tcBorders>
              <w:bottom w:val="double" w:sz="6" w:space="0" w:color="000000"/>
            </w:tcBorders>
          </w:tcPr>
          <w:p>
            <w:pPr>
              <w:pStyle w:val="TableParagraph"/>
              <w:rPr>
                <w:sz w:val="18"/>
              </w:rPr>
            </w:pPr>
          </w:p>
        </w:tc>
        <w:tc>
          <w:tcPr>
            <w:tcW w:w="989" w:type="dxa"/>
            <w:tcBorders>
              <w:bottom w:val="double" w:sz="6" w:space="0" w:color="000000"/>
            </w:tcBorders>
          </w:tcPr>
          <w:p>
            <w:pPr>
              <w:pStyle w:val="TableParagraph"/>
              <w:rPr>
                <w:sz w:val="18"/>
              </w:rPr>
            </w:pPr>
          </w:p>
        </w:tc>
        <w:tc>
          <w:tcPr>
            <w:tcW w:w="1238" w:type="dxa"/>
            <w:tcBorders>
              <w:bottom w:val="double" w:sz="6" w:space="0" w:color="000000"/>
            </w:tcBorders>
          </w:tcPr>
          <w:p>
            <w:pPr>
              <w:pStyle w:val="TableParagraph"/>
              <w:rPr>
                <w:sz w:val="18"/>
              </w:rPr>
            </w:pPr>
          </w:p>
        </w:tc>
        <w:tc>
          <w:tcPr>
            <w:tcW w:w="1524" w:type="dxa"/>
            <w:tcBorders>
              <w:bottom w:val="double" w:sz="6" w:space="0" w:color="000000"/>
            </w:tcBorders>
          </w:tcPr>
          <w:p>
            <w:pPr>
              <w:pStyle w:val="TableParagraph"/>
              <w:rPr>
                <w:sz w:val="18"/>
              </w:rPr>
            </w:pPr>
          </w:p>
        </w:tc>
        <w:tc>
          <w:tcPr>
            <w:tcW w:w="1829" w:type="dxa"/>
            <w:tcBorders>
              <w:bottom w:val="double" w:sz="6" w:space="0" w:color="000000"/>
            </w:tcBorders>
          </w:tcPr>
          <w:p>
            <w:pPr>
              <w:pStyle w:val="TableParagraph"/>
              <w:rPr>
                <w:sz w:val="18"/>
              </w:rPr>
            </w:pPr>
          </w:p>
        </w:tc>
      </w:tr>
      <w:tr>
        <w:trPr>
          <w:trHeight w:val="2150" w:hRule="atLeast"/>
        </w:trPr>
        <w:tc>
          <w:tcPr>
            <w:tcW w:w="1144" w:type="dxa"/>
            <w:tcBorders>
              <w:top w:val="double" w:sz="6" w:space="0" w:color="000000"/>
              <w:bottom w:val="double" w:sz="6" w:space="0" w:color="000000"/>
            </w:tcBorders>
          </w:tcPr>
          <w:p>
            <w:pPr>
              <w:pStyle w:val="TableParagraph"/>
              <w:spacing w:before="40"/>
              <w:rPr>
                <w:sz w:val="20"/>
              </w:rPr>
            </w:pPr>
          </w:p>
          <w:p>
            <w:pPr>
              <w:pStyle w:val="TableParagraph"/>
              <w:spacing w:before="1"/>
              <w:ind w:left="67" w:right="45" w:firstLine="50"/>
              <w:jc w:val="center"/>
              <w:rPr>
                <w:sz w:val="20"/>
              </w:rPr>
            </w:pPr>
            <w:r>
              <w:rPr>
                <w:spacing w:val="-2"/>
                <w:sz w:val="20"/>
              </w:rPr>
              <w:t>Normalized Cointegratin </w:t>
            </w:r>
            <w:r>
              <w:rPr>
                <w:spacing w:val="-10"/>
                <w:sz w:val="20"/>
              </w:rPr>
              <w:t>g</w:t>
            </w:r>
            <w:r>
              <w:rPr>
                <w:spacing w:val="-2"/>
                <w:sz w:val="20"/>
              </w:rPr>
              <w:t> Coefficients: </w:t>
            </w:r>
            <w:r>
              <w:rPr>
                <w:spacing w:val="-10"/>
                <w:sz w:val="20"/>
              </w:rPr>
              <w:t>3</w:t>
            </w:r>
          </w:p>
          <w:p>
            <w:pPr>
              <w:pStyle w:val="TableParagraph"/>
              <w:ind w:left="81" w:right="61"/>
              <w:jc w:val="center"/>
              <w:rPr>
                <w:sz w:val="20"/>
              </w:rPr>
            </w:pPr>
            <w:r>
              <w:rPr>
                <w:spacing w:val="-2"/>
                <w:sz w:val="20"/>
              </w:rPr>
              <w:t>Cointegratin </w:t>
            </w:r>
            <w:r>
              <w:rPr>
                <w:spacing w:val="-10"/>
                <w:sz w:val="20"/>
              </w:rPr>
              <w:t>g</w:t>
            </w:r>
            <w:r>
              <w:rPr>
                <w:spacing w:val="-2"/>
                <w:sz w:val="20"/>
              </w:rPr>
              <w:t> Equation(s)</w:t>
            </w:r>
          </w:p>
        </w:tc>
        <w:tc>
          <w:tcPr>
            <w:tcW w:w="2248" w:type="dxa"/>
            <w:gridSpan w:val="2"/>
            <w:tcBorders>
              <w:top w:val="double" w:sz="6" w:space="0" w:color="000000"/>
            </w:tcBorders>
          </w:tcPr>
          <w:p>
            <w:pPr>
              <w:pStyle w:val="TableParagraph"/>
              <w:rPr>
                <w:sz w:val="18"/>
              </w:rPr>
            </w:pPr>
          </w:p>
        </w:tc>
        <w:tc>
          <w:tcPr>
            <w:tcW w:w="983" w:type="dxa"/>
            <w:tcBorders>
              <w:top w:val="double" w:sz="6" w:space="0" w:color="000000"/>
              <w:bottom w:val="double" w:sz="6" w:space="0" w:color="000000"/>
            </w:tcBorders>
          </w:tcPr>
          <w:p>
            <w:pPr>
              <w:pStyle w:val="TableParagraph"/>
              <w:rPr>
                <w:sz w:val="18"/>
              </w:rPr>
            </w:pPr>
          </w:p>
        </w:tc>
        <w:tc>
          <w:tcPr>
            <w:tcW w:w="946" w:type="dxa"/>
            <w:tcBorders>
              <w:top w:val="double" w:sz="6" w:space="0" w:color="000000"/>
              <w:bottom w:val="double" w:sz="6" w:space="0" w:color="000000"/>
            </w:tcBorders>
          </w:tcPr>
          <w:p>
            <w:pPr>
              <w:pStyle w:val="TableParagraph"/>
              <w:rPr>
                <w:sz w:val="18"/>
              </w:rPr>
            </w:pPr>
          </w:p>
        </w:tc>
        <w:tc>
          <w:tcPr>
            <w:tcW w:w="989" w:type="dxa"/>
            <w:tcBorders>
              <w:top w:val="double" w:sz="6" w:space="0" w:color="000000"/>
              <w:bottom w:val="double" w:sz="6" w:space="0" w:color="000000"/>
            </w:tcBorders>
          </w:tcPr>
          <w:p>
            <w:pPr>
              <w:pStyle w:val="TableParagraph"/>
              <w:rPr>
                <w:sz w:val="18"/>
              </w:rPr>
            </w:pPr>
          </w:p>
        </w:tc>
        <w:tc>
          <w:tcPr>
            <w:tcW w:w="1238" w:type="dxa"/>
            <w:tcBorders>
              <w:top w:val="double" w:sz="6" w:space="0" w:color="000000"/>
            </w:tcBorders>
          </w:tcPr>
          <w:p>
            <w:pPr>
              <w:pStyle w:val="TableParagraph"/>
              <w:rPr>
                <w:sz w:val="18"/>
              </w:rPr>
            </w:pPr>
          </w:p>
        </w:tc>
        <w:tc>
          <w:tcPr>
            <w:tcW w:w="1524" w:type="dxa"/>
            <w:tcBorders>
              <w:top w:val="double" w:sz="6" w:space="0" w:color="000000"/>
              <w:bottom w:val="double" w:sz="6" w:space="0" w:color="000000"/>
            </w:tcBorders>
          </w:tcPr>
          <w:p>
            <w:pPr>
              <w:pStyle w:val="TableParagraph"/>
              <w:rPr>
                <w:sz w:val="18"/>
              </w:rPr>
            </w:pPr>
          </w:p>
        </w:tc>
        <w:tc>
          <w:tcPr>
            <w:tcW w:w="1829" w:type="dxa"/>
            <w:tcBorders>
              <w:top w:val="double" w:sz="6" w:space="0" w:color="000000"/>
            </w:tcBorders>
          </w:tcPr>
          <w:p>
            <w:pPr>
              <w:pStyle w:val="TableParagraph"/>
              <w:rPr>
                <w:sz w:val="18"/>
              </w:rPr>
            </w:pPr>
          </w:p>
        </w:tc>
      </w:tr>
    </w:tbl>
    <w:p>
      <w:pPr>
        <w:spacing w:after="0"/>
        <w:rPr>
          <w:sz w:val="18"/>
        </w:rPr>
        <w:sectPr>
          <w:pgSz w:w="11910" w:h="16840"/>
          <w:pgMar w:header="0" w:footer="979" w:top="1400" w:bottom="1240" w:left="280" w:right="0"/>
        </w:sectPr>
      </w:pPr>
    </w:p>
    <w:p>
      <w:pPr>
        <w:pStyle w:val="BodyText"/>
        <w:spacing w:before="1"/>
        <w:rPr>
          <w:sz w:val="2"/>
        </w:rPr>
      </w:pPr>
    </w:p>
    <w:tbl>
      <w:tblP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42"/>
        <w:gridCol w:w="1226"/>
        <w:gridCol w:w="1017"/>
        <w:gridCol w:w="992"/>
        <w:gridCol w:w="946"/>
        <w:gridCol w:w="989"/>
        <w:gridCol w:w="1238"/>
        <w:gridCol w:w="1524"/>
        <w:gridCol w:w="1829"/>
      </w:tblGrid>
      <w:tr>
        <w:trPr>
          <w:trHeight w:val="225" w:hRule="atLeast"/>
        </w:trPr>
        <w:tc>
          <w:tcPr>
            <w:tcW w:w="1142" w:type="dxa"/>
          </w:tcPr>
          <w:p>
            <w:pPr>
              <w:pStyle w:val="TableParagraph"/>
              <w:spacing w:line="206" w:lineRule="exact"/>
              <w:ind w:left="73" w:right="52"/>
              <w:jc w:val="center"/>
              <w:rPr>
                <w:sz w:val="20"/>
              </w:rPr>
            </w:pPr>
            <w:r>
              <w:rPr>
                <w:spacing w:val="-5"/>
                <w:sz w:val="20"/>
              </w:rPr>
              <w:t>KFW</w:t>
            </w:r>
          </w:p>
        </w:tc>
        <w:tc>
          <w:tcPr>
            <w:tcW w:w="1226" w:type="dxa"/>
          </w:tcPr>
          <w:p>
            <w:pPr>
              <w:pStyle w:val="TableParagraph"/>
              <w:spacing w:line="206" w:lineRule="exact"/>
              <w:ind w:left="47" w:right="51"/>
              <w:jc w:val="center"/>
              <w:rPr>
                <w:sz w:val="20"/>
              </w:rPr>
            </w:pPr>
            <w:r>
              <w:rPr>
                <w:spacing w:val="-2"/>
                <w:sz w:val="20"/>
              </w:rPr>
              <w:t>EXTDEBT</w:t>
            </w:r>
          </w:p>
        </w:tc>
        <w:tc>
          <w:tcPr>
            <w:tcW w:w="1017" w:type="dxa"/>
          </w:tcPr>
          <w:p>
            <w:pPr>
              <w:pStyle w:val="TableParagraph"/>
              <w:spacing w:line="206" w:lineRule="exact"/>
              <w:ind w:left="51" w:right="52"/>
              <w:jc w:val="center"/>
              <w:rPr>
                <w:sz w:val="20"/>
              </w:rPr>
            </w:pPr>
            <w:r>
              <w:rPr>
                <w:spacing w:val="-5"/>
                <w:sz w:val="20"/>
              </w:rPr>
              <w:t>DOP</w:t>
            </w:r>
          </w:p>
        </w:tc>
        <w:tc>
          <w:tcPr>
            <w:tcW w:w="992" w:type="dxa"/>
          </w:tcPr>
          <w:p>
            <w:pPr>
              <w:pStyle w:val="TableParagraph"/>
              <w:spacing w:line="206" w:lineRule="exact"/>
              <w:ind w:left="83" w:right="48"/>
              <w:jc w:val="center"/>
              <w:rPr>
                <w:sz w:val="20"/>
              </w:rPr>
            </w:pPr>
            <w:r>
              <w:rPr>
                <w:spacing w:val="-5"/>
                <w:sz w:val="20"/>
              </w:rPr>
              <w:t>INF</w:t>
            </w:r>
          </w:p>
        </w:tc>
        <w:tc>
          <w:tcPr>
            <w:tcW w:w="946" w:type="dxa"/>
          </w:tcPr>
          <w:p>
            <w:pPr>
              <w:pStyle w:val="TableParagraph"/>
              <w:spacing w:line="206" w:lineRule="exact"/>
              <w:ind w:right="11"/>
              <w:jc w:val="center"/>
              <w:rPr>
                <w:sz w:val="20"/>
              </w:rPr>
            </w:pPr>
            <w:r>
              <w:rPr>
                <w:spacing w:val="-5"/>
                <w:sz w:val="20"/>
              </w:rPr>
              <w:t>GCF</w:t>
            </w:r>
          </w:p>
        </w:tc>
        <w:tc>
          <w:tcPr>
            <w:tcW w:w="989" w:type="dxa"/>
          </w:tcPr>
          <w:p>
            <w:pPr>
              <w:pStyle w:val="TableParagraph"/>
              <w:spacing w:line="206" w:lineRule="exact"/>
              <w:ind w:right="53"/>
              <w:jc w:val="center"/>
              <w:rPr>
                <w:sz w:val="20"/>
              </w:rPr>
            </w:pPr>
            <w:r>
              <w:rPr>
                <w:spacing w:val="-5"/>
                <w:sz w:val="20"/>
              </w:rPr>
              <w:t>DR</w:t>
            </w:r>
          </w:p>
        </w:tc>
        <w:tc>
          <w:tcPr>
            <w:tcW w:w="1238" w:type="dxa"/>
          </w:tcPr>
          <w:p>
            <w:pPr>
              <w:pStyle w:val="TableParagraph"/>
              <w:spacing w:line="206" w:lineRule="exact"/>
              <w:ind w:left="150"/>
              <w:rPr>
                <w:sz w:val="20"/>
              </w:rPr>
            </w:pPr>
            <w:r>
              <w:rPr>
                <w:spacing w:val="-2"/>
                <w:sz w:val="20"/>
              </w:rPr>
              <w:t>PRIVCR</w:t>
            </w:r>
          </w:p>
        </w:tc>
        <w:tc>
          <w:tcPr>
            <w:tcW w:w="1524" w:type="dxa"/>
          </w:tcPr>
          <w:p>
            <w:pPr>
              <w:pStyle w:val="TableParagraph"/>
              <w:spacing w:line="206" w:lineRule="exact"/>
              <w:ind w:right="99"/>
              <w:jc w:val="center"/>
              <w:rPr>
                <w:sz w:val="20"/>
              </w:rPr>
            </w:pPr>
            <w:r>
              <w:rPr>
                <w:spacing w:val="-2"/>
                <w:sz w:val="20"/>
              </w:rPr>
              <w:t>USIRD</w:t>
            </w:r>
          </w:p>
        </w:tc>
        <w:tc>
          <w:tcPr>
            <w:tcW w:w="1829" w:type="dxa"/>
          </w:tcPr>
          <w:p>
            <w:pPr>
              <w:pStyle w:val="TableParagraph"/>
              <w:spacing w:line="206" w:lineRule="exact"/>
              <w:ind w:right="238"/>
              <w:jc w:val="center"/>
              <w:rPr>
                <w:sz w:val="20"/>
              </w:rPr>
            </w:pPr>
            <w:r>
              <w:rPr>
                <w:spacing w:val="-4"/>
                <w:sz w:val="20"/>
              </w:rPr>
              <w:t>GOCE</w:t>
            </w:r>
          </w:p>
        </w:tc>
      </w:tr>
      <w:tr>
        <w:trPr>
          <w:trHeight w:val="229" w:hRule="atLeast"/>
        </w:trPr>
        <w:tc>
          <w:tcPr>
            <w:tcW w:w="1142" w:type="dxa"/>
          </w:tcPr>
          <w:p>
            <w:pPr>
              <w:pStyle w:val="TableParagraph"/>
              <w:spacing w:line="209" w:lineRule="exact"/>
              <w:ind w:left="73"/>
              <w:jc w:val="center"/>
              <w:rPr>
                <w:sz w:val="20"/>
              </w:rPr>
            </w:pPr>
            <w:r>
              <w:rPr>
                <w:spacing w:val="-2"/>
                <w:sz w:val="20"/>
              </w:rPr>
              <w:t>1.000000</w:t>
            </w:r>
          </w:p>
        </w:tc>
        <w:tc>
          <w:tcPr>
            <w:tcW w:w="1226" w:type="dxa"/>
          </w:tcPr>
          <w:p>
            <w:pPr>
              <w:pStyle w:val="TableParagraph"/>
              <w:spacing w:line="209" w:lineRule="exact"/>
              <w:ind w:left="51" w:right="4"/>
              <w:jc w:val="center"/>
              <w:rPr>
                <w:sz w:val="20"/>
              </w:rPr>
            </w:pPr>
            <w:r>
              <w:rPr>
                <w:spacing w:val="-2"/>
                <w:sz w:val="20"/>
              </w:rPr>
              <w:t>0.000000</w:t>
            </w:r>
          </w:p>
        </w:tc>
        <w:tc>
          <w:tcPr>
            <w:tcW w:w="1017" w:type="dxa"/>
          </w:tcPr>
          <w:p>
            <w:pPr>
              <w:pStyle w:val="TableParagraph"/>
              <w:spacing w:line="209" w:lineRule="exact"/>
              <w:ind w:left="52" w:right="1"/>
              <w:jc w:val="center"/>
              <w:rPr>
                <w:sz w:val="20"/>
              </w:rPr>
            </w:pPr>
            <w:r>
              <w:rPr>
                <w:spacing w:val="-2"/>
                <w:sz w:val="20"/>
              </w:rPr>
              <w:t>0.000000</w:t>
            </w:r>
          </w:p>
        </w:tc>
        <w:tc>
          <w:tcPr>
            <w:tcW w:w="992" w:type="dxa"/>
          </w:tcPr>
          <w:p>
            <w:pPr>
              <w:pStyle w:val="TableParagraph"/>
              <w:spacing w:line="209" w:lineRule="exact"/>
              <w:ind w:left="83"/>
              <w:jc w:val="center"/>
              <w:rPr>
                <w:sz w:val="20"/>
              </w:rPr>
            </w:pPr>
            <w:r>
              <w:rPr>
                <w:spacing w:val="-2"/>
                <w:sz w:val="20"/>
              </w:rPr>
              <w:t>2.823482</w:t>
            </w:r>
          </w:p>
        </w:tc>
        <w:tc>
          <w:tcPr>
            <w:tcW w:w="946" w:type="dxa"/>
          </w:tcPr>
          <w:p>
            <w:pPr>
              <w:pStyle w:val="TableParagraph"/>
              <w:spacing w:line="209" w:lineRule="exact"/>
              <w:ind w:left="36"/>
              <w:jc w:val="center"/>
              <w:rPr>
                <w:sz w:val="20"/>
              </w:rPr>
            </w:pPr>
            <w:r>
              <w:rPr>
                <w:spacing w:val="-2"/>
                <w:sz w:val="20"/>
              </w:rPr>
              <w:t>0.983138</w:t>
            </w:r>
          </w:p>
        </w:tc>
        <w:tc>
          <w:tcPr>
            <w:tcW w:w="989" w:type="dxa"/>
          </w:tcPr>
          <w:p>
            <w:pPr>
              <w:pStyle w:val="TableParagraph"/>
              <w:spacing w:line="209" w:lineRule="exact"/>
              <w:ind w:left="3" w:right="55"/>
              <w:jc w:val="center"/>
              <w:rPr>
                <w:sz w:val="20"/>
              </w:rPr>
            </w:pPr>
            <w:r>
              <w:rPr>
                <w:spacing w:val="-4"/>
                <w:sz w:val="20"/>
              </w:rPr>
              <w:t>-</w:t>
            </w:r>
            <w:r>
              <w:rPr>
                <w:spacing w:val="-2"/>
                <w:sz w:val="20"/>
              </w:rPr>
              <w:t>2.558793</w:t>
            </w:r>
          </w:p>
        </w:tc>
        <w:tc>
          <w:tcPr>
            <w:tcW w:w="1238" w:type="dxa"/>
          </w:tcPr>
          <w:p>
            <w:pPr>
              <w:pStyle w:val="TableParagraph"/>
              <w:spacing w:line="209" w:lineRule="exact"/>
              <w:ind w:left="102"/>
              <w:rPr>
                <w:sz w:val="20"/>
              </w:rPr>
            </w:pPr>
            <w:r>
              <w:rPr>
                <w:spacing w:val="-4"/>
                <w:sz w:val="20"/>
              </w:rPr>
              <w:t>-</w:t>
            </w:r>
            <w:r>
              <w:rPr>
                <w:spacing w:val="-2"/>
                <w:sz w:val="20"/>
              </w:rPr>
              <w:t>0.129169</w:t>
            </w:r>
          </w:p>
        </w:tc>
        <w:tc>
          <w:tcPr>
            <w:tcW w:w="1524" w:type="dxa"/>
          </w:tcPr>
          <w:p>
            <w:pPr>
              <w:pStyle w:val="TableParagraph"/>
              <w:spacing w:line="209" w:lineRule="exact"/>
              <w:ind w:left="56" w:right="99"/>
              <w:jc w:val="center"/>
              <w:rPr>
                <w:sz w:val="20"/>
              </w:rPr>
            </w:pPr>
            <w:r>
              <w:rPr>
                <w:spacing w:val="-2"/>
                <w:sz w:val="20"/>
              </w:rPr>
              <w:t>0.971764</w:t>
            </w:r>
          </w:p>
        </w:tc>
        <w:tc>
          <w:tcPr>
            <w:tcW w:w="1829" w:type="dxa"/>
          </w:tcPr>
          <w:p>
            <w:pPr>
              <w:pStyle w:val="TableParagraph"/>
              <w:spacing w:line="209" w:lineRule="exact"/>
              <w:ind w:right="238"/>
              <w:jc w:val="center"/>
              <w:rPr>
                <w:sz w:val="20"/>
              </w:rPr>
            </w:pPr>
            <w:r>
              <w:rPr>
                <w:spacing w:val="-4"/>
                <w:sz w:val="20"/>
              </w:rPr>
              <w:t>-</w:t>
            </w:r>
            <w:r>
              <w:rPr>
                <w:spacing w:val="-2"/>
                <w:sz w:val="20"/>
              </w:rPr>
              <w:t>1.637981</w:t>
            </w:r>
          </w:p>
        </w:tc>
      </w:tr>
      <w:tr>
        <w:trPr>
          <w:trHeight w:val="229" w:hRule="atLeast"/>
        </w:trPr>
        <w:tc>
          <w:tcPr>
            <w:tcW w:w="1142" w:type="dxa"/>
          </w:tcPr>
          <w:p>
            <w:pPr>
              <w:pStyle w:val="TableParagraph"/>
              <w:rPr>
                <w:sz w:val="16"/>
              </w:rPr>
            </w:pPr>
          </w:p>
        </w:tc>
        <w:tc>
          <w:tcPr>
            <w:tcW w:w="1226" w:type="dxa"/>
          </w:tcPr>
          <w:p>
            <w:pPr>
              <w:pStyle w:val="TableParagraph"/>
              <w:rPr>
                <w:sz w:val="16"/>
              </w:rPr>
            </w:pPr>
          </w:p>
        </w:tc>
        <w:tc>
          <w:tcPr>
            <w:tcW w:w="1017" w:type="dxa"/>
          </w:tcPr>
          <w:p>
            <w:pPr>
              <w:pStyle w:val="TableParagraph"/>
              <w:rPr>
                <w:sz w:val="16"/>
              </w:rPr>
            </w:pPr>
          </w:p>
        </w:tc>
        <w:tc>
          <w:tcPr>
            <w:tcW w:w="992" w:type="dxa"/>
          </w:tcPr>
          <w:p>
            <w:pPr>
              <w:pStyle w:val="TableParagraph"/>
              <w:spacing w:line="209" w:lineRule="exact"/>
              <w:ind w:left="83"/>
              <w:jc w:val="center"/>
              <w:rPr>
                <w:sz w:val="20"/>
              </w:rPr>
            </w:pPr>
            <w:r>
              <w:rPr>
                <w:spacing w:val="-2"/>
                <w:sz w:val="20"/>
              </w:rPr>
              <w:t>(1.10768)</w:t>
            </w:r>
          </w:p>
        </w:tc>
        <w:tc>
          <w:tcPr>
            <w:tcW w:w="946" w:type="dxa"/>
          </w:tcPr>
          <w:p>
            <w:pPr>
              <w:pStyle w:val="TableParagraph"/>
              <w:spacing w:line="209" w:lineRule="exact"/>
              <w:ind w:left="36"/>
              <w:jc w:val="center"/>
              <w:rPr>
                <w:sz w:val="20"/>
              </w:rPr>
            </w:pPr>
            <w:r>
              <w:rPr>
                <w:spacing w:val="-2"/>
                <w:sz w:val="20"/>
              </w:rPr>
              <w:t>(0.36599)</w:t>
            </w:r>
          </w:p>
        </w:tc>
        <w:tc>
          <w:tcPr>
            <w:tcW w:w="989" w:type="dxa"/>
          </w:tcPr>
          <w:p>
            <w:pPr>
              <w:pStyle w:val="TableParagraph"/>
              <w:spacing w:line="209" w:lineRule="exact"/>
              <w:ind w:right="4"/>
              <w:jc w:val="center"/>
              <w:rPr>
                <w:sz w:val="20"/>
              </w:rPr>
            </w:pPr>
            <w:r>
              <w:rPr>
                <w:spacing w:val="-2"/>
                <w:sz w:val="20"/>
              </w:rPr>
              <w:t>(1.03255)</w:t>
            </w:r>
          </w:p>
        </w:tc>
        <w:tc>
          <w:tcPr>
            <w:tcW w:w="1238" w:type="dxa"/>
          </w:tcPr>
          <w:p>
            <w:pPr>
              <w:pStyle w:val="TableParagraph"/>
              <w:spacing w:line="209" w:lineRule="exact"/>
              <w:ind w:left="145"/>
              <w:rPr>
                <w:sz w:val="20"/>
              </w:rPr>
            </w:pPr>
            <w:r>
              <w:rPr>
                <w:spacing w:val="-2"/>
                <w:sz w:val="20"/>
              </w:rPr>
              <w:t>(0.54613)</w:t>
            </w:r>
          </w:p>
        </w:tc>
        <w:tc>
          <w:tcPr>
            <w:tcW w:w="1524" w:type="dxa"/>
          </w:tcPr>
          <w:p>
            <w:pPr>
              <w:pStyle w:val="TableParagraph"/>
              <w:spacing w:line="209" w:lineRule="exact"/>
              <w:ind w:left="56" w:right="99"/>
              <w:jc w:val="center"/>
              <w:rPr>
                <w:sz w:val="20"/>
              </w:rPr>
            </w:pPr>
            <w:r>
              <w:rPr>
                <w:spacing w:val="-2"/>
                <w:sz w:val="20"/>
              </w:rPr>
              <w:t>(0.61546)</w:t>
            </w:r>
          </w:p>
        </w:tc>
        <w:tc>
          <w:tcPr>
            <w:tcW w:w="1829" w:type="dxa"/>
          </w:tcPr>
          <w:p>
            <w:pPr>
              <w:pStyle w:val="TableParagraph"/>
              <w:spacing w:line="209" w:lineRule="exact"/>
              <w:ind w:left="53" w:right="238"/>
              <w:jc w:val="center"/>
              <w:rPr>
                <w:sz w:val="20"/>
              </w:rPr>
            </w:pPr>
            <w:r>
              <w:rPr>
                <w:spacing w:val="-2"/>
                <w:sz w:val="20"/>
              </w:rPr>
              <w:t>(0.65386)</w:t>
            </w:r>
          </w:p>
        </w:tc>
      </w:tr>
      <w:tr>
        <w:trPr>
          <w:trHeight w:val="230" w:hRule="atLeast"/>
        </w:trPr>
        <w:tc>
          <w:tcPr>
            <w:tcW w:w="1142" w:type="dxa"/>
          </w:tcPr>
          <w:p>
            <w:pPr>
              <w:pStyle w:val="TableParagraph"/>
              <w:spacing w:line="210" w:lineRule="exact"/>
              <w:ind w:left="73"/>
              <w:jc w:val="center"/>
              <w:rPr>
                <w:sz w:val="20"/>
              </w:rPr>
            </w:pPr>
            <w:r>
              <w:rPr>
                <w:spacing w:val="-2"/>
                <w:sz w:val="20"/>
              </w:rPr>
              <w:t>0.000000</w:t>
            </w:r>
          </w:p>
        </w:tc>
        <w:tc>
          <w:tcPr>
            <w:tcW w:w="1226" w:type="dxa"/>
          </w:tcPr>
          <w:p>
            <w:pPr>
              <w:pStyle w:val="TableParagraph"/>
              <w:spacing w:line="210" w:lineRule="exact"/>
              <w:ind w:left="51" w:right="4"/>
              <w:jc w:val="center"/>
              <w:rPr>
                <w:sz w:val="20"/>
              </w:rPr>
            </w:pPr>
            <w:r>
              <w:rPr>
                <w:spacing w:val="-2"/>
                <w:sz w:val="20"/>
              </w:rPr>
              <w:t>1.000000</w:t>
            </w:r>
          </w:p>
        </w:tc>
        <w:tc>
          <w:tcPr>
            <w:tcW w:w="1017" w:type="dxa"/>
          </w:tcPr>
          <w:p>
            <w:pPr>
              <w:pStyle w:val="TableParagraph"/>
              <w:spacing w:line="210" w:lineRule="exact"/>
              <w:ind w:left="52" w:right="1"/>
              <w:jc w:val="center"/>
              <w:rPr>
                <w:sz w:val="20"/>
              </w:rPr>
            </w:pPr>
            <w:r>
              <w:rPr>
                <w:spacing w:val="-2"/>
                <w:sz w:val="20"/>
              </w:rPr>
              <w:t>0.000000</w:t>
            </w:r>
          </w:p>
        </w:tc>
        <w:tc>
          <w:tcPr>
            <w:tcW w:w="992" w:type="dxa"/>
          </w:tcPr>
          <w:p>
            <w:pPr>
              <w:pStyle w:val="TableParagraph"/>
              <w:spacing w:line="210" w:lineRule="exact"/>
              <w:ind w:left="83" w:right="48"/>
              <w:jc w:val="center"/>
              <w:rPr>
                <w:sz w:val="20"/>
              </w:rPr>
            </w:pPr>
            <w:r>
              <w:rPr>
                <w:spacing w:val="-4"/>
                <w:sz w:val="20"/>
              </w:rPr>
              <w:t>-</w:t>
            </w:r>
            <w:r>
              <w:rPr>
                <w:spacing w:val="-2"/>
                <w:sz w:val="20"/>
              </w:rPr>
              <w:t>0.857704</w:t>
            </w:r>
          </w:p>
        </w:tc>
        <w:tc>
          <w:tcPr>
            <w:tcW w:w="946" w:type="dxa"/>
          </w:tcPr>
          <w:p>
            <w:pPr>
              <w:pStyle w:val="TableParagraph"/>
              <w:spacing w:line="210" w:lineRule="exact"/>
              <w:ind w:left="36"/>
              <w:jc w:val="center"/>
              <w:rPr>
                <w:sz w:val="20"/>
              </w:rPr>
            </w:pPr>
            <w:r>
              <w:rPr>
                <w:spacing w:val="-2"/>
                <w:sz w:val="20"/>
              </w:rPr>
              <w:t>0.502433</w:t>
            </w:r>
          </w:p>
        </w:tc>
        <w:tc>
          <w:tcPr>
            <w:tcW w:w="989" w:type="dxa"/>
          </w:tcPr>
          <w:p>
            <w:pPr>
              <w:pStyle w:val="TableParagraph"/>
              <w:spacing w:line="210" w:lineRule="exact"/>
              <w:ind w:left="3" w:right="55"/>
              <w:jc w:val="center"/>
              <w:rPr>
                <w:sz w:val="20"/>
              </w:rPr>
            </w:pPr>
            <w:r>
              <w:rPr>
                <w:spacing w:val="-4"/>
                <w:sz w:val="20"/>
              </w:rPr>
              <w:t>-</w:t>
            </w:r>
            <w:r>
              <w:rPr>
                <w:spacing w:val="-2"/>
                <w:sz w:val="20"/>
              </w:rPr>
              <w:t>0.701010</w:t>
            </w:r>
          </w:p>
        </w:tc>
        <w:tc>
          <w:tcPr>
            <w:tcW w:w="1238" w:type="dxa"/>
          </w:tcPr>
          <w:p>
            <w:pPr>
              <w:pStyle w:val="TableParagraph"/>
              <w:spacing w:line="210" w:lineRule="exact"/>
              <w:ind w:left="102"/>
              <w:rPr>
                <w:sz w:val="20"/>
              </w:rPr>
            </w:pPr>
            <w:r>
              <w:rPr>
                <w:spacing w:val="-4"/>
                <w:sz w:val="20"/>
              </w:rPr>
              <w:t>-</w:t>
            </w:r>
            <w:r>
              <w:rPr>
                <w:spacing w:val="-2"/>
                <w:sz w:val="20"/>
              </w:rPr>
              <w:t>0.150017</w:t>
            </w:r>
          </w:p>
        </w:tc>
        <w:tc>
          <w:tcPr>
            <w:tcW w:w="1524" w:type="dxa"/>
          </w:tcPr>
          <w:p>
            <w:pPr>
              <w:pStyle w:val="TableParagraph"/>
              <w:spacing w:line="210" w:lineRule="exact"/>
              <w:ind w:left="3" w:right="99"/>
              <w:jc w:val="center"/>
              <w:rPr>
                <w:sz w:val="20"/>
              </w:rPr>
            </w:pPr>
            <w:r>
              <w:rPr>
                <w:spacing w:val="-4"/>
                <w:sz w:val="20"/>
              </w:rPr>
              <w:t>-</w:t>
            </w:r>
            <w:r>
              <w:rPr>
                <w:spacing w:val="-2"/>
                <w:sz w:val="20"/>
              </w:rPr>
              <w:t>1.479916</w:t>
            </w:r>
          </w:p>
        </w:tc>
        <w:tc>
          <w:tcPr>
            <w:tcW w:w="1829" w:type="dxa"/>
          </w:tcPr>
          <w:p>
            <w:pPr>
              <w:pStyle w:val="TableParagraph"/>
              <w:spacing w:line="210" w:lineRule="exact"/>
              <w:ind w:right="238"/>
              <w:jc w:val="center"/>
              <w:rPr>
                <w:sz w:val="20"/>
              </w:rPr>
            </w:pPr>
            <w:r>
              <w:rPr>
                <w:spacing w:val="-4"/>
                <w:sz w:val="20"/>
              </w:rPr>
              <w:t>-</w:t>
            </w:r>
            <w:r>
              <w:rPr>
                <w:spacing w:val="-2"/>
                <w:sz w:val="20"/>
              </w:rPr>
              <w:t>1.196205</w:t>
            </w:r>
          </w:p>
        </w:tc>
      </w:tr>
      <w:tr>
        <w:trPr>
          <w:trHeight w:val="230" w:hRule="atLeast"/>
        </w:trPr>
        <w:tc>
          <w:tcPr>
            <w:tcW w:w="1142" w:type="dxa"/>
          </w:tcPr>
          <w:p>
            <w:pPr>
              <w:pStyle w:val="TableParagraph"/>
              <w:rPr>
                <w:sz w:val="16"/>
              </w:rPr>
            </w:pPr>
          </w:p>
        </w:tc>
        <w:tc>
          <w:tcPr>
            <w:tcW w:w="1226" w:type="dxa"/>
          </w:tcPr>
          <w:p>
            <w:pPr>
              <w:pStyle w:val="TableParagraph"/>
              <w:rPr>
                <w:sz w:val="16"/>
              </w:rPr>
            </w:pPr>
          </w:p>
        </w:tc>
        <w:tc>
          <w:tcPr>
            <w:tcW w:w="1017" w:type="dxa"/>
          </w:tcPr>
          <w:p>
            <w:pPr>
              <w:pStyle w:val="TableParagraph"/>
              <w:rPr>
                <w:sz w:val="16"/>
              </w:rPr>
            </w:pPr>
          </w:p>
        </w:tc>
        <w:tc>
          <w:tcPr>
            <w:tcW w:w="992" w:type="dxa"/>
          </w:tcPr>
          <w:p>
            <w:pPr>
              <w:pStyle w:val="TableParagraph"/>
              <w:spacing w:line="210" w:lineRule="exact"/>
              <w:ind w:left="83"/>
              <w:jc w:val="center"/>
              <w:rPr>
                <w:sz w:val="20"/>
              </w:rPr>
            </w:pPr>
            <w:r>
              <w:rPr>
                <w:spacing w:val="-2"/>
                <w:sz w:val="20"/>
              </w:rPr>
              <w:t>(0.54862)</w:t>
            </w:r>
          </w:p>
        </w:tc>
        <w:tc>
          <w:tcPr>
            <w:tcW w:w="946" w:type="dxa"/>
          </w:tcPr>
          <w:p>
            <w:pPr>
              <w:pStyle w:val="TableParagraph"/>
              <w:spacing w:line="210" w:lineRule="exact"/>
              <w:ind w:left="36"/>
              <w:jc w:val="center"/>
              <w:rPr>
                <w:sz w:val="20"/>
              </w:rPr>
            </w:pPr>
            <w:r>
              <w:rPr>
                <w:spacing w:val="-2"/>
                <w:sz w:val="20"/>
              </w:rPr>
              <w:t>(0.18127)</w:t>
            </w:r>
          </w:p>
        </w:tc>
        <w:tc>
          <w:tcPr>
            <w:tcW w:w="989" w:type="dxa"/>
          </w:tcPr>
          <w:p>
            <w:pPr>
              <w:pStyle w:val="TableParagraph"/>
              <w:spacing w:line="210" w:lineRule="exact"/>
              <w:ind w:right="4"/>
              <w:jc w:val="center"/>
              <w:rPr>
                <w:sz w:val="20"/>
              </w:rPr>
            </w:pPr>
            <w:r>
              <w:rPr>
                <w:spacing w:val="-2"/>
                <w:sz w:val="20"/>
              </w:rPr>
              <w:t>(0.51140)</w:t>
            </w:r>
          </w:p>
        </w:tc>
        <w:tc>
          <w:tcPr>
            <w:tcW w:w="1238" w:type="dxa"/>
          </w:tcPr>
          <w:p>
            <w:pPr>
              <w:pStyle w:val="TableParagraph"/>
              <w:spacing w:line="210" w:lineRule="exact"/>
              <w:ind w:left="145"/>
              <w:rPr>
                <w:sz w:val="20"/>
              </w:rPr>
            </w:pPr>
            <w:r>
              <w:rPr>
                <w:spacing w:val="-2"/>
                <w:sz w:val="20"/>
              </w:rPr>
              <w:t>(0.27049)</w:t>
            </w:r>
          </w:p>
        </w:tc>
        <w:tc>
          <w:tcPr>
            <w:tcW w:w="1524" w:type="dxa"/>
          </w:tcPr>
          <w:p>
            <w:pPr>
              <w:pStyle w:val="TableParagraph"/>
              <w:spacing w:line="210" w:lineRule="exact"/>
              <w:ind w:left="56" w:right="99"/>
              <w:jc w:val="center"/>
              <w:rPr>
                <w:sz w:val="20"/>
              </w:rPr>
            </w:pPr>
            <w:r>
              <w:rPr>
                <w:spacing w:val="-2"/>
                <w:sz w:val="20"/>
              </w:rPr>
              <w:t>(0.30483)</w:t>
            </w:r>
          </w:p>
        </w:tc>
        <w:tc>
          <w:tcPr>
            <w:tcW w:w="1829" w:type="dxa"/>
          </w:tcPr>
          <w:p>
            <w:pPr>
              <w:pStyle w:val="TableParagraph"/>
              <w:spacing w:line="210" w:lineRule="exact"/>
              <w:ind w:left="53" w:right="238"/>
              <w:jc w:val="center"/>
              <w:rPr>
                <w:sz w:val="20"/>
              </w:rPr>
            </w:pPr>
            <w:r>
              <w:rPr>
                <w:spacing w:val="-2"/>
                <w:sz w:val="20"/>
              </w:rPr>
              <w:t>(0.32385)</w:t>
            </w:r>
          </w:p>
        </w:tc>
      </w:tr>
      <w:tr>
        <w:trPr>
          <w:trHeight w:val="230" w:hRule="atLeast"/>
        </w:trPr>
        <w:tc>
          <w:tcPr>
            <w:tcW w:w="1142" w:type="dxa"/>
          </w:tcPr>
          <w:p>
            <w:pPr>
              <w:pStyle w:val="TableParagraph"/>
              <w:spacing w:line="210" w:lineRule="exact"/>
              <w:ind w:left="73"/>
              <w:jc w:val="center"/>
              <w:rPr>
                <w:sz w:val="20"/>
              </w:rPr>
            </w:pPr>
            <w:r>
              <w:rPr>
                <w:spacing w:val="-2"/>
                <w:sz w:val="20"/>
              </w:rPr>
              <w:t>0.000000</w:t>
            </w:r>
          </w:p>
        </w:tc>
        <w:tc>
          <w:tcPr>
            <w:tcW w:w="1226" w:type="dxa"/>
          </w:tcPr>
          <w:p>
            <w:pPr>
              <w:pStyle w:val="TableParagraph"/>
              <w:spacing w:line="210" w:lineRule="exact"/>
              <w:ind w:left="51" w:right="4"/>
              <w:jc w:val="center"/>
              <w:rPr>
                <w:sz w:val="20"/>
              </w:rPr>
            </w:pPr>
            <w:r>
              <w:rPr>
                <w:spacing w:val="-2"/>
                <w:sz w:val="20"/>
              </w:rPr>
              <w:t>0.000000</w:t>
            </w:r>
          </w:p>
        </w:tc>
        <w:tc>
          <w:tcPr>
            <w:tcW w:w="1017" w:type="dxa"/>
          </w:tcPr>
          <w:p>
            <w:pPr>
              <w:pStyle w:val="TableParagraph"/>
              <w:spacing w:line="210" w:lineRule="exact"/>
              <w:ind w:left="52" w:right="1"/>
              <w:jc w:val="center"/>
              <w:rPr>
                <w:sz w:val="20"/>
              </w:rPr>
            </w:pPr>
            <w:r>
              <w:rPr>
                <w:spacing w:val="-2"/>
                <w:sz w:val="20"/>
              </w:rPr>
              <w:t>1.000000</w:t>
            </w:r>
          </w:p>
        </w:tc>
        <w:tc>
          <w:tcPr>
            <w:tcW w:w="992" w:type="dxa"/>
          </w:tcPr>
          <w:p>
            <w:pPr>
              <w:pStyle w:val="TableParagraph"/>
              <w:spacing w:line="210" w:lineRule="exact"/>
              <w:ind w:left="83" w:right="48"/>
              <w:jc w:val="center"/>
              <w:rPr>
                <w:sz w:val="20"/>
              </w:rPr>
            </w:pPr>
            <w:r>
              <w:rPr>
                <w:spacing w:val="-4"/>
                <w:sz w:val="20"/>
              </w:rPr>
              <w:t>-</w:t>
            </w:r>
            <w:r>
              <w:rPr>
                <w:spacing w:val="-2"/>
                <w:sz w:val="20"/>
              </w:rPr>
              <w:t>0.251534</w:t>
            </w:r>
          </w:p>
        </w:tc>
        <w:tc>
          <w:tcPr>
            <w:tcW w:w="946" w:type="dxa"/>
          </w:tcPr>
          <w:p>
            <w:pPr>
              <w:pStyle w:val="TableParagraph"/>
              <w:spacing w:line="210" w:lineRule="exact"/>
              <w:ind w:left="36"/>
              <w:jc w:val="center"/>
              <w:rPr>
                <w:sz w:val="20"/>
              </w:rPr>
            </w:pPr>
            <w:r>
              <w:rPr>
                <w:spacing w:val="-2"/>
                <w:sz w:val="20"/>
              </w:rPr>
              <w:t>0.229181</w:t>
            </w:r>
          </w:p>
        </w:tc>
        <w:tc>
          <w:tcPr>
            <w:tcW w:w="989" w:type="dxa"/>
          </w:tcPr>
          <w:p>
            <w:pPr>
              <w:pStyle w:val="TableParagraph"/>
              <w:spacing w:line="210" w:lineRule="exact"/>
              <w:ind w:right="4"/>
              <w:jc w:val="center"/>
              <w:rPr>
                <w:sz w:val="20"/>
              </w:rPr>
            </w:pPr>
            <w:r>
              <w:rPr>
                <w:spacing w:val="-2"/>
                <w:sz w:val="20"/>
              </w:rPr>
              <w:t>0.293509</w:t>
            </w:r>
          </w:p>
        </w:tc>
        <w:tc>
          <w:tcPr>
            <w:tcW w:w="1238" w:type="dxa"/>
          </w:tcPr>
          <w:p>
            <w:pPr>
              <w:pStyle w:val="TableParagraph"/>
              <w:spacing w:line="210" w:lineRule="exact"/>
              <w:ind w:left="102"/>
              <w:rPr>
                <w:sz w:val="20"/>
              </w:rPr>
            </w:pPr>
            <w:r>
              <w:rPr>
                <w:spacing w:val="-4"/>
                <w:sz w:val="20"/>
              </w:rPr>
              <w:t>-</w:t>
            </w:r>
            <w:r>
              <w:rPr>
                <w:spacing w:val="-2"/>
                <w:sz w:val="20"/>
              </w:rPr>
              <w:t>0.190397</w:t>
            </w:r>
          </w:p>
        </w:tc>
        <w:tc>
          <w:tcPr>
            <w:tcW w:w="1524" w:type="dxa"/>
          </w:tcPr>
          <w:p>
            <w:pPr>
              <w:pStyle w:val="TableParagraph"/>
              <w:spacing w:line="210" w:lineRule="exact"/>
              <w:ind w:left="3" w:right="99"/>
              <w:jc w:val="center"/>
              <w:rPr>
                <w:sz w:val="20"/>
              </w:rPr>
            </w:pPr>
            <w:r>
              <w:rPr>
                <w:spacing w:val="-4"/>
                <w:sz w:val="20"/>
              </w:rPr>
              <w:t>-</w:t>
            </w:r>
            <w:r>
              <w:rPr>
                <w:spacing w:val="-2"/>
                <w:sz w:val="20"/>
              </w:rPr>
              <w:t>0.230671</w:t>
            </w:r>
          </w:p>
        </w:tc>
        <w:tc>
          <w:tcPr>
            <w:tcW w:w="1829" w:type="dxa"/>
          </w:tcPr>
          <w:p>
            <w:pPr>
              <w:pStyle w:val="TableParagraph"/>
              <w:spacing w:line="210" w:lineRule="exact"/>
              <w:ind w:left="53" w:right="238"/>
              <w:jc w:val="center"/>
              <w:rPr>
                <w:sz w:val="20"/>
              </w:rPr>
            </w:pPr>
            <w:r>
              <w:rPr>
                <w:spacing w:val="-2"/>
                <w:sz w:val="20"/>
              </w:rPr>
              <w:t>0.110878</w:t>
            </w:r>
          </w:p>
        </w:tc>
      </w:tr>
      <w:tr>
        <w:trPr>
          <w:trHeight w:val="344" w:hRule="atLeast"/>
        </w:trPr>
        <w:tc>
          <w:tcPr>
            <w:tcW w:w="1142" w:type="dxa"/>
          </w:tcPr>
          <w:p>
            <w:pPr>
              <w:pStyle w:val="TableParagraph"/>
              <w:rPr>
                <w:sz w:val="18"/>
              </w:rPr>
            </w:pPr>
          </w:p>
        </w:tc>
        <w:tc>
          <w:tcPr>
            <w:tcW w:w="1226" w:type="dxa"/>
          </w:tcPr>
          <w:p>
            <w:pPr>
              <w:pStyle w:val="TableParagraph"/>
              <w:rPr>
                <w:sz w:val="18"/>
              </w:rPr>
            </w:pPr>
          </w:p>
        </w:tc>
        <w:tc>
          <w:tcPr>
            <w:tcW w:w="1017" w:type="dxa"/>
          </w:tcPr>
          <w:p>
            <w:pPr>
              <w:pStyle w:val="TableParagraph"/>
              <w:rPr>
                <w:sz w:val="18"/>
              </w:rPr>
            </w:pPr>
          </w:p>
        </w:tc>
        <w:tc>
          <w:tcPr>
            <w:tcW w:w="992" w:type="dxa"/>
          </w:tcPr>
          <w:p>
            <w:pPr>
              <w:pStyle w:val="TableParagraph"/>
              <w:spacing w:line="226" w:lineRule="exact"/>
              <w:ind w:left="83"/>
              <w:jc w:val="center"/>
              <w:rPr>
                <w:sz w:val="20"/>
              </w:rPr>
            </w:pPr>
            <w:r>
              <w:rPr>
                <w:spacing w:val="-2"/>
                <w:sz w:val="20"/>
              </w:rPr>
              <w:t>(0.19794)</w:t>
            </w:r>
          </w:p>
        </w:tc>
        <w:tc>
          <w:tcPr>
            <w:tcW w:w="946" w:type="dxa"/>
          </w:tcPr>
          <w:p>
            <w:pPr>
              <w:pStyle w:val="TableParagraph"/>
              <w:spacing w:line="226" w:lineRule="exact"/>
              <w:ind w:left="36"/>
              <w:jc w:val="center"/>
              <w:rPr>
                <w:sz w:val="20"/>
              </w:rPr>
            </w:pPr>
            <w:r>
              <w:rPr>
                <w:spacing w:val="-2"/>
                <w:sz w:val="20"/>
              </w:rPr>
              <w:t>(0.06540)</w:t>
            </w:r>
          </w:p>
        </w:tc>
        <w:tc>
          <w:tcPr>
            <w:tcW w:w="989" w:type="dxa"/>
          </w:tcPr>
          <w:p>
            <w:pPr>
              <w:pStyle w:val="TableParagraph"/>
              <w:spacing w:line="226" w:lineRule="exact"/>
              <w:ind w:right="4"/>
              <w:jc w:val="center"/>
              <w:rPr>
                <w:sz w:val="20"/>
              </w:rPr>
            </w:pPr>
            <w:r>
              <w:rPr>
                <w:spacing w:val="-2"/>
                <w:sz w:val="20"/>
              </w:rPr>
              <w:t>(0.18451)</w:t>
            </w:r>
          </w:p>
        </w:tc>
        <w:tc>
          <w:tcPr>
            <w:tcW w:w="1238" w:type="dxa"/>
          </w:tcPr>
          <w:p>
            <w:pPr>
              <w:pStyle w:val="TableParagraph"/>
              <w:spacing w:line="226" w:lineRule="exact"/>
              <w:ind w:left="145"/>
              <w:rPr>
                <w:sz w:val="20"/>
              </w:rPr>
            </w:pPr>
            <w:r>
              <w:rPr>
                <w:spacing w:val="-2"/>
                <w:sz w:val="20"/>
              </w:rPr>
              <w:t>(0.09759)</w:t>
            </w:r>
          </w:p>
        </w:tc>
        <w:tc>
          <w:tcPr>
            <w:tcW w:w="1524" w:type="dxa"/>
          </w:tcPr>
          <w:p>
            <w:pPr>
              <w:pStyle w:val="TableParagraph"/>
              <w:spacing w:line="226" w:lineRule="exact"/>
              <w:ind w:left="56" w:right="99"/>
              <w:jc w:val="center"/>
              <w:rPr>
                <w:sz w:val="20"/>
              </w:rPr>
            </w:pPr>
            <w:r>
              <w:rPr>
                <w:spacing w:val="-2"/>
                <w:sz w:val="20"/>
              </w:rPr>
              <w:t>(0.10998)</w:t>
            </w:r>
          </w:p>
        </w:tc>
        <w:tc>
          <w:tcPr>
            <w:tcW w:w="1829" w:type="dxa"/>
          </w:tcPr>
          <w:p>
            <w:pPr>
              <w:pStyle w:val="TableParagraph"/>
              <w:spacing w:line="226" w:lineRule="exact"/>
              <w:ind w:left="53" w:right="238"/>
              <w:jc w:val="center"/>
              <w:rPr>
                <w:sz w:val="20"/>
              </w:rPr>
            </w:pPr>
            <w:r>
              <w:rPr>
                <w:spacing w:val="-2"/>
                <w:sz w:val="20"/>
              </w:rPr>
              <w:t>(0.11684)</w:t>
            </w:r>
          </w:p>
        </w:tc>
      </w:tr>
      <w:tr>
        <w:trPr>
          <w:trHeight w:val="732" w:hRule="atLeast"/>
        </w:trPr>
        <w:tc>
          <w:tcPr>
            <w:tcW w:w="1142" w:type="dxa"/>
          </w:tcPr>
          <w:p>
            <w:pPr>
              <w:pStyle w:val="TableParagraph"/>
              <w:spacing w:before="109"/>
              <w:ind w:left="449"/>
              <w:rPr>
                <w:sz w:val="20"/>
              </w:rPr>
            </w:pPr>
            <w:r>
              <w:rPr>
                <w:spacing w:val="-5"/>
                <w:sz w:val="20"/>
              </w:rPr>
              <w:t>Log</w:t>
            </w:r>
          </w:p>
          <w:p>
            <w:pPr>
              <w:pStyle w:val="TableParagraph"/>
              <w:tabs>
                <w:tab w:pos="10898" w:val="left" w:leader="none"/>
              </w:tabs>
              <w:spacing w:before="1"/>
              <w:ind w:left="14" w:right="-9764"/>
              <w:rPr>
                <w:sz w:val="20"/>
              </w:rPr>
            </w:pPr>
            <w:r>
              <w:rPr>
                <w:spacing w:val="31"/>
                <w:sz w:val="20"/>
                <w:u w:val="double"/>
              </w:rPr>
              <w:t>  </w:t>
            </w:r>
            <w:r>
              <w:rPr>
                <w:spacing w:val="-2"/>
                <w:sz w:val="20"/>
                <w:u w:val="double"/>
              </w:rPr>
              <w:t>likelihood</w:t>
            </w:r>
            <w:r>
              <w:rPr>
                <w:sz w:val="20"/>
                <w:u w:val="double"/>
              </w:rPr>
              <w:tab/>
            </w:r>
          </w:p>
        </w:tc>
        <w:tc>
          <w:tcPr>
            <w:tcW w:w="1226" w:type="dxa"/>
          </w:tcPr>
          <w:p>
            <w:pPr>
              <w:pStyle w:val="TableParagraph"/>
              <w:spacing w:before="109"/>
              <w:ind w:left="47" w:right="50"/>
              <w:jc w:val="center"/>
              <w:rPr>
                <w:sz w:val="20"/>
              </w:rPr>
            </w:pPr>
            <w:r>
              <w:rPr>
                <w:spacing w:val="-4"/>
                <w:sz w:val="20"/>
              </w:rPr>
              <w:t>-</w:t>
            </w:r>
            <w:r>
              <w:rPr>
                <w:spacing w:val="-2"/>
                <w:sz w:val="20"/>
              </w:rPr>
              <w:t>75.11567</w:t>
            </w:r>
          </w:p>
        </w:tc>
        <w:tc>
          <w:tcPr>
            <w:tcW w:w="1017" w:type="dxa"/>
          </w:tcPr>
          <w:p>
            <w:pPr>
              <w:pStyle w:val="TableParagraph"/>
              <w:rPr>
                <w:sz w:val="18"/>
              </w:rPr>
            </w:pPr>
          </w:p>
        </w:tc>
        <w:tc>
          <w:tcPr>
            <w:tcW w:w="992" w:type="dxa"/>
          </w:tcPr>
          <w:p>
            <w:pPr>
              <w:pStyle w:val="TableParagraph"/>
              <w:rPr>
                <w:sz w:val="18"/>
              </w:rPr>
            </w:pPr>
          </w:p>
        </w:tc>
        <w:tc>
          <w:tcPr>
            <w:tcW w:w="946" w:type="dxa"/>
          </w:tcPr>
          <w:p>
            <w:pPr>
              <w:pStyle w:val="TableParagraph"/>
              <w:rPr>
                <w:sz w:val="18"/>
              </w:rPr>
            </w:pPr>
          </w:p>
        </w:tc>
        <w:tc>
          <w:tcPr>
            <w:tcW w:w="989" w:type="dxa"/>
          </w:tcPr>
          <w:p>
            <w:pPr>
              <w:pStyle w:val="TableParagraph"/>
              <w:rPr>
                <w:sz w:val="18"/>
              </w:rPr>
            </w:pPr>
          </w:p>
        </w:tc>
        <w:tc>
          <w:tcPr>
            <w:tcW w:w="1238" w:type="dxa"/>
          </w:tcPr>
          <w:p>
            <w:pPr>
              <w:pStyle w:val="TableParagraph"/>
              <w:rPr>
                <w:sz w:val="18"/>
              </w:rPr>
            </w:pPr>
          </w:p>
        </w:tc>
        <w:tc>
          <w:tcPr>
            <w:tcW w:w="1524" w:type="dxa"/>
          </w:tcPr>
          <w:p>
            <w:pPr>
              <w:pStyle w:val="TableParagraph"/>
              <w:rPr>
                <w:sz w:val="18"/>
              </w:rPr>
            </w:pPr>
          </w:p>
        </w:tc>
        <w:tc>
          <w:tcPr>
            <w:tcW w:w="1829" w:type="dxa"/>
          </w:tcPr>
          <w:p>
            <w:pPr>
              <w:pStyle w:val="TableParagraph"/>
              <w:rPr>
                <w:sz w:val="18"/>
              </w:rPr>
            </w:pPr>
          </w:p>
        </w:tc>
      </w:tr>
      <w:tr>
        <w:trPr>
          <w:trHeight w:val="1992" w:hRule="atLeast"/>
        </w:trPr>
        <w:tc>
          <w:tcPr>
            <w:tcW w:w="1142" w:type="dxa"/>
            <w:tcBorders>
              <w:bottom w:val="double" w:sz="6" w:space="0" w:color="000000"/>
            </w:tcBorders>
          </w:tcPr>
          <w:p>
            <w:pPr>
              <w:pStyle w:val="TableParagraph"/>
              <w:spacing w:before="153"/>
              <w:ind w:left="67" w:right="43" w:firstLine="50"/>
              <w:jc w:val="center"/>
              <w:rPr>
                <w:sz w:val="20"/>
              </w:rPr>
            </w:pPr>
            <w:r>
              <w:rPr>
                <w:spacing w:val="-2"/>
                <w:sz w:val="20"/>
              </w:rPr>
              <w:t>Normalized Cointegratin </w:t>
            </w:r>
            <w:r>
              <w:rPr>
                <w:spacing w:val="-10"/>
                <w:sz w:val="20"/>
              </w:rPr>
              <w:t>g</w:t>
            </w:r>
            <w:r>
              <w:rPr>
                <w:spacing w:val="-2"/>
                <w:sz w:val="20"/>
              </w:rPr>
              <w:t> Coefficients: </w:t>
            </w:r>
            <w:r>
              <w:rPr>
                <w:spacing w:val="-10"/>
                <w:sz w:val="20"/>
              </w:rPr>
              <w:t>4</w:t>
            </w:r>
          </w:p>
          <w:p>
            <w:pPr>
              <w:pStyle w:val="TableParagraph"/>
              <w:spacing w:line="230" w:lineRule="atLeast"/>
              <w:ind w:left="81" w:right="59"/>
              <w:jc w:val="center"/>
              <w:rPr>
                <w:sz w:val="20"/>
              </w:rPr>
            </w:pPr>
            <w:r>
              <w:rPr>
                <w:spacing w:val="-2"/>
                <w:sz w:val="20"/>
              </w:rPr>
              <w:t>Cointegratin </w:t>
            </w:r>
            <w:r>
              <w:rPr>
                <w:spacing w:val="-10"/>
                <w:sz w:val="20"/>
              </w:rPr>
              <w:t>g</w:t>
            </w:r>
            <w:r>
              <w:rPr>
                <w:spacing w:val="-2"/>
                <w:sz w:val="20"/>
              </w:rPr>
              <w:t> Equation(s)</w:t>
            </w:r>
          </w:p>
        </w:tc>
        <w:tc>
          <w:tcPr>
            <w:tcW w:w="1226" w:type="dxa"/>
            <w:tcBorders>
              <w:bottom w:val="double" w:sz="6" w:space="0" w:color="000000"/>
            </w:tcBorders>
          </w:tcPr>
          <w:p>
            <w:pPr>
              <w:pStyle w:val="TableParagraph"/>
              <w:rPr>
                <w:sz w:val="18"/>
              </w:rPr>
            </w:pPr>
          </w:p>
        </w:tc>
        <w:tc>
          <w:tcPr>
            <w:tcW w:w="1017" w:type="dxa"/>
            <w:tcBorders>
              <w:bottom w:val="double" w:sz="6" w:space="0" w:color="000000"/>
            </w:tcBorders>
          </w:tcPr>
          <w:p>
            <w:pPr>
              <w:pStyle w:val="TableParagraph"/>
              <w:rPr>
                <w:sz w:val="18"/>
              </w:rPr>
            </w:pPr>
          </w:p>
        </w:tc>
        <w:tc>
          <w:tcPr>
            <w:tcW w:w="992" w:type="dxa"/>
            <w:tcBorders>
              <w:bottom w:val="double" w:sz="6" w:space="0" w:color="000000"/>
            </w:tcBorders>
          </w:tcPr>
          <w:p>
            <w:pPr>
              <w:pStyle w:val="TableParagraph"/>
              <w:rPr>
                <w:sz w:val="18"/>
              </w:rPr>
            </w:pPr>
          </w:p>
        </w:tc>
        <w:tc>
          <w:tcPr>
            <w:tcW w:w="946" w:type="dxa"/>
            <w:tcBorders>
              <w:bottom w:val="double" w:sz="6" w:space="0" w:color="000000"/>
            </w:tcBorders>
          </w:tcPr>
          <w:p>
            <w:pPr>
              <w:pStyle w:val="TableParagraph"/>
              <w:rPr>
                <w:sz w:val="18"/>
              </w:rPr>
            </w:pPr>
          </w:p>
        </w:tc>
        <w:tc>
          <w:tcPr>
            <w:tcW w:w="989" w:type="dxa"/>
            <w:tcBorders>
              <w:bottom w:val="double" w:sz="6" w:space="0" w:color="000000"/>
            </w:tcBorders>
          </w:tcPr>
          <w:p>
            <w:pPr>
              <w:pStyle w:val="TableParagraph"/>
              <w:rPr>
                <w:sz w:val="18"/>
              </w:rPr>
            </w:pPr>
          </w:p>
        </w:tc>
        <w:tc>
          <w:tcPr>
            <w:tcW w:w="1238" w:type="dxa"/>
            <w:tcBorders>
              <w:bottom w:val="double" w:sz="6" w:space="0" w:color="000000"/>
            </w:tcBorders>
          </w:tcPr>
          <w:p>
            <w:pPr>
              <w:pStyle w:val="TableParagraph"/>
              <w:rPr>
                <w:sz w:val="18"/>
              </w:rPr>
            </w:pPr>
          </w:p>
        </w:tc>
        <w:tc>
          <w:tcPr>
            <w:tcW w:w="1524" w:type="dxa"/>
            <w:tcBorders>
              <w:bottom w:val="double" w:sz="6" w:space="0" w:color="000000"/>
            </w:tcBorders>
          </w:tcPr>
          <w:p>
            <w:pPr>
              <w:pStyle w:val="TableParagraph"/>
              <w:rPr>
                <w:sz w:val="18"/>
              </w:rPr>
            </w:pPr>
          </w:p>
        </w:tc>
        <w:tc>
          <w:tcPr>
            <w:tcW w:w="1829" w:type="dxa"/>
            <w:tcBorders>
              <w:bottom w:val="double" w:sz="6" w:space="0" w:color="000000"/>
            </w:tcBorders>
          </w:tcPr>
          <w:p>
            <w:pPr>
              <w:pStyle w:val="TableParagraph"/>
              <w:rPr>
                <w:sz w:val="18"/>
              </w:rPr>
            </w:pPr>
          </w:p>
        </w:tc>
      </w:tr>
      <w:tr>
        <w:trPr>
          <w:trHeight w:val="275" w:hRule="atLeast"/>
        </w:trPr>
        <w:tc>
          <w:tcPr>
            <w:tcW w:w="1142" w:type="dxa"/>
            <w:tcBorders>
              <w:top w:val="double" w:sz="6" w:space="0" w:color="000000"/>
            </w:tcBorders>
          </w:tcPr>
          <w:p>
            <w:pPr>
              <w:pStyle w:val="TableParagraph"/>
              <w:spacing w:line="215" w:lineRule="exact" w:before="40"/>
              <w:ind w:left="73" w:right="52"/>
              <w:jc w:val="center"/>
              <w:rPr>
                <w:sz w:val="20"/>
              </w:rPr>
            </w:pPr>
            <w:r>
              <w:rPr>
                <w:spacing w:val="-5"/>
                <w:sz w:val="20"/>
              </w:rPr>
              <w:t>KFW</w:t>
            </w:r>
          </w:p>
        </w:tc>
        <w:tc>
          <w:tcPr>
            <w:tcW w:w="1226" w:type="dxa"/>
            <w:tcBorders>
              <w:top w:val="double" w:sz="6" w:space="0" w:color="000000"/>
            </w:tcBorders>
          </w:tcPr>
          <w:p>
            <w:pPr>
              <w:pStyle w:val="TableParagraph"/>
              <w:spacing w:line="215" w:lineRule="exact" w:before="40"/>
              <w:ind w:left="47" w:right="51"/>
              <w:jc w:val="center"/>
              <w:rPr>
                <w:sz w:val="20"/>
              </w:rPr>
            </w:pPr>
            <w:r>
              <w:rPr>
                <w:spacing w:val="-2"/>
                <w:sz w:val="20"/>
              </w:rPr>
              <w:t>EXTDEBT</w:t>
            </w:r>
          </w:p>
        </w:tc>
        <w:tc>
          <w:tcPr>
            <w:tcW w:w="1017" w:type="dxa"/>
            <w:tcBorders>
              <w:top w:val="double" w:sz="6" w:space="0" w:color="000000"/>
            </w:tcBorders>
          </w:tcPr>
          <w:p>
            <w:pPr>
              <w:pStyle w:val="TableParagraph"/>
              <w:spacing w:line="215" w:lineRule="exact" w:before="40"/>
              <w:ind w:left="51" w:right="52"/>
              <w:jc w:val="center"/>
              <w:rPr>
                <w:sz w:val="20"/>
              </w:rPr>
            </w:pPr>
            <w:r>
              <w:rPr>
                <w:spacing w:val="-5"/>
                <w:sz w:val="20"/>
              </w:rPr>
              <w:t>DOP</w:t>
            </w:r>
          </w:p>
        </w:tc>
        <w:tc>
          <w:tcPr>
            <w:tcW w:w="992" w:type="dxa"/>
            <w:tcBorders>
              <w:top w:val="double" w:sz="6" w:space="0" w:color="000000"/>
            </w:tcBorders>
          </w:tcPr>
          <w:p>
            <w:pPr>
              <w:pStyle w:val="TableParagraph"/>
              <w:spacing w:line="215" w:lineRule="exact" w:before="40"/>
              <w:ind w:left="83" w:right="48"/>
              <w:jc w:val="center"/>
              <w:rPr>
                <w:sz w:val="20"/>
              </w:rPr>
            </w:pPr>
            <w:r>
              <w:rPr>
                <w:spacing w:val="-5"/>
                <w:sz w:val="20"/>
              </w:rPr>
              <w:t>INF</w:t>
            </w:r>
          </w:p>
        </w:tc>
        <w:tc>
          <w:tcPr>
            <w:tcW w:w="946" w:type="dxa"/>
            <w:tcBorders>
              <w:top w:val="double" w:sz="6" w:space="0" w:color="000000"/>
            </w:tcBorders>
          </w:tcPr>
          <w:p>
            <w:pPr>
              <w:pStyle w:val="TableParagraph"/>
              <w:spacing w:line="215" w:lineRule="exact" w:before="40"/>
              <w:ind w:right="11"/>
              <w:jc w:val="center"/>
              <w:rPr>
                <w:sz w:val="20"/>
              </w:rPr>
            </w:pPr>
            <w:r>
              <w:rPr>
                <w:spacing w:val="-5"/>
                <w:sz w:val="20"/>
              </w:rPr>
              <w:t>GCF</w:t>
            </w:r>
          </w:p>
        </w:tc>
        <w:tc>
          <w:tcPr>
            <w:tcW w:w="989" w:type="dxa"/>
            <w:tcBorders>
              <w:top w:val="double" w:sz="6" w:space="0" w:color="000000"/>
            </w:tcBorders>
          </w:tcPr>
          <w:p>
            <w:pPr>
              <w:pStyle w:val="TableParagraph"/>
              <w:spacing w:line="215" w:lineRule="exact" w:before="40"/>
              <w:ind w:right="53"/>
              <w:jc w:val="center"/>
              <w:rPr>
                <w:sz w:val="20"/>
              </w:rPr>
            </w:pPr>
            <w:r>
              <w:rPr>
                <w:spacing w:val="-5"/>
                <w:sz w:val="20"/>
              </w:rPr>
              <w:t>DR</w:t>
            </w:r>
          </w:p>
        </w:tc>
        <w:tc>
          <w:tcPr>
            <w:tcW w:w="1238" w:type="dxa"/>
            <w:tcBorders>
              <w:top w:val="double" w:sz="6" w:space="0" w:color="000000"/>
            </w:tcBorders>
          </w:tcPr>
          <w:p>
            <w:pPr>
              <w:pStyle w:val="TableParagraph"/>
              <w:spacing w:line="215" w:lineRule="exact" w:before="40"/>
              <w:ind w:left="150"/>
              <w:rPr>
                <w:sz w:val="20"/>
              </w:rPr>
            </w:pPr>
            <w:r>
              <w:rPr>
                <w:spacing w:val="-2"/>
                <w:sz w:val="20"/>
              </w:rPr>
              <w:t>PRIVCR</w:t>
            </w:r>
          </w:p>
        </w:tc>
        <w:tc>
          <w:tcPr>
            <w:tcW w:w="1524" w:type="dxa"/>
            <w:tcBorders>
              <w:top w:val="double" w:sz="6" w:space="0" w:color="000000"/>
            </w:tcBorders>
          </w:tcPr>
          <w:p>
            <w:pPr>
              <w:pStyle w:val="TableParagraph"/>
              <w:spacing w:line="215" w:lineRule="exact" w:before="40"/>
              <w:ind w:right="99"/>
              <w:jc w:val="center"/>
              <w:rPr>
                <w:sz w:val="20"/>
              </w:rPr>
            </w:pPr>
            <w:r>
              <w:rPr>
                <w:spacing w:val="-2"/>
                <w:sz w:val="20"/>
              </w:rPr>
              <w:t>USIRD</w:t>
            </w:r>
          </w:p>
        </w:tc>
        <w:tc>
          <w:tcPr>
            <w:tcW w:w="1829" w:type="dxa"/>
            <w:tcBorders>
              <w:top w:val="double" w:sz="6" w:space="0" w:color="000000"/>
            </w:tcBorders>
          </w:tcPr>
          <w:p>
            <w:pPr>
              <w:pStyle w:val="TableParagraph"/>
              <w:spacing w:line="215" w:lineRule="exact" w:before="40"/>
              <w:ind w:right="238"/>
              <w:jc w:val="center"/>
              <w:rPr>
                <w:sz w:val="20"/>
              </w:rPr>
            </w:pPr>
            <w:r>
              <w:rPr>
                <w:spacing w:val="-4"/>
                <w:sz w:val="20"/>
              </w:rPr>
              <w:t>GOCE</w:t>
            </w:r>
          </w:p>
        </w:tc>
      </w:tr>
      <w:tr>
        <w:trPr>
          <w:trHeight w:val="230" w:hRule="atLeast"/>
        </w:trPr>
        <w:tc>
          <w:tcPr>
            <w:tcW w:w="1142" w:type="dxa"/>
          </w:tcPr>
          <w:p>
            <w:pPr>
              <w:pStyle w:val="TableParagraph"/>
              <w:spacing w:line="210" w:lineRule="exact"/>
              <w:ind w:left="73"/>
              <w:jc w:val="center"/>
              <w:rPr>
                <w:sz w:val="20"/>
              </w:rPr>
            </w:pPr>
            <w:r>
              <w:rPr>
                <w:spacing w:val="-2"/>
                <w:sz w:val="20"/>
              </w:rPr>
              <w:t>1.000000</w:t>
            </w:r>
          </w:p>
        </w:tc>
        <w:tc>
          <w:tcPr>
            <w:tcW w:w="1226" w:type="dxa"/>
          </w:tcPr>
          <w:p>
            <w:pPr>
              <w:pStyle w:val="TableParagraph"/>
              <w:spacing w:line="210" w:lineRule="exact"/>
              <w:ind w:left="51" w:right="4"/>
              <w:jc w:val="center"/>
              <w:rPr>
                <w:sz w:val="20"/>
              </w:rPr>
            </w:pPr>
            <w:r>
              <w:rPr>
                <w:spacing w:val="-2"/>
                <w:sz w:val="20"/>
              </w:rPr>
              <w:t>0.000000</w:t>
            </w:r>
          </w:p>
        </w:tc>
        <w:tc>
          <w:tcPr>
            <w:tcW w:w="1017" w:type="dxa"/>
          </w:tcPr>
          <w:p>
            <w:pPr>
              <w:pStyle w:val="TableParagraph"/>
              <w:spacing w:line="210" w:lineRule="exact"/>
              <w:ind w:left="52" w:right="1"/>
              <w:jc w:val="center"/>
              <w:rPr>
                <w:sz w:val="20"/>
              </w:rPr>
            </w:pPr>
            <w:r>
              <w:rPr>
                <w:spacing w:val="-2"/>
                <w:sz w:val="20"/>
              </w:rPr>
              <w:t>0.000000</w:t>
            </w:r>
          </w:p>
        </w:tc>
        <w:tc>
          <w:tcPr>
            <w:tcW w:w="992" w:type="dxa"/>
          </w:tcPr>
          <w:p>
            <w:pPr>
              <w:pStyle w:val="TableParagraph"/>
              <w:spacing w:line="210" w:lineRule="exact"/>
              <w:ind w:left="83"/>
              <w:jc w:val="center"/>
              <w:rPr>
                <w:sz w:val="20"/>
              </w:rPr>
            </w:pPr>
            <w:r>
              <w:rPr>
                <w:spacing w:val="-2"/>
                <w:sz w:val="20"/>
              </w:rPr>
              <w:t>0.000000</w:t>
            </w:r>
          </w:p>
        </w:tc>
        <w:tc>
          <w:tcPr>
            <w:tcW w:w="946" w:type="dxa"/>
          </w:tcPr>
          <w:p>
            <w:pPr>
              <w:pStyle w:val="TableParagraph"/>
              <w:spacing w:line="210" w:lineRule="exact"/>
              <w:ind w:left="40" w:right="49"/>
              <w:jc w:val="center"/>
              <w:rPr>
                <w:sz w:val="20"/>
              </w:rPr>
            </w:pPr>
            <w:r>
              <w:rPr>
                <w:spacing w:val="-4"/>
                <w:sz w:val="20"/>
              </w:rPr>
              <w:t>-</w:t>
            </w:r>
            <w:r>
              <w:rPr>
                <w:spacing w:val="-2"/>
                <w:sz w:val="20"/>
              </w:rPr>
              <w:t>0.861388</w:t>
            </w:r>
          </w:p>
        </w:tc>
        <w:tc>
          <w:tcPr>
            <w:tcW w:w="989" w:type="dxa"/>
          </w:tcPr>
          <w:p>
            <w:pPr>
              <w:pStyle w:val="TableParagraph"/>
              <w:spacing w:line="210" w:lineRule="exact"/>
              <w:ind w:right="4"/>
              <w:jc w:val="center"/>
              <w:rPr>
                <w:sz w:val="20"/>
              </w:rPr>
            </w:pPr>
            <w:r>
              <w:rPr>
                <w:spacing w:val="-2"/>
                <w:sz w:val="20"/>
              </w:rPr>
              <w:t>0.146476</w:t>
            </w:r>
          </w:p>
        </w:tc>
        <w:tc>
          <w:tcPr>
            <w:tcW w:w="1238" w:type="dxa"/>
          </w:tcPr>
          <w:p>
            <w:pPr>
              <w:pStyle w:val="TableParagraph"/>
              <w:spacing w:line="210" w:lineRule="exact"/>
              <w:ind w:left="102"/>
              <w:rPr>
                <w:sz w:val="20"/>
              </w:rPr>
            </w:pPr>
            <w:r>
              <w:rPr>
                <w:spacing w:val="-4"/>
                <w:sz w:val="20"/>
              </w:rPr>
              <w:t>-</w:t>
            </w:r>
            <w:r>
              <w:rPr>
                <w:spacing w:val="-2"/>
                <w:sz w:val="20"/>
              </w:rPr>
              <w:t>0.254541</w:t>
            </w:r>
          </w:p>
        </w:tc>
        <w:tc>
          <w:tcPr>
            <w:tcW w:w="1524" w:type="dxa"/>
          </w:tcPr>
          <w:p>
            <w:pPr>
              <w:pStyle w:val="TableParagraph"/>
              <w:spacing w:line="210" w:lineRule="exact"/>
              <w:ind w:left="3" w:right="99"/>
              <w:jc w:val="center"/>
              <w:rPr>
                <w:sz w:val="20"/>
              </w:rPr>
            </w:pPr>
            <w:r>
              <w:rPr>
                <w:spacing w:val="-4"/>
                <w:sz w:val="20"/>
              </w:rPr>
              <w:t>-</w:t>
            </w:r>
            <w:r>
              <w:rPr>
                <w:spacing w:val="-2"/>
                <w:sz w:val="20"/>
              </w:rPr>
              <w:t>0.699992</w:t>
            </w:r>
          </w:p>
        </w:tc>
        <w:tc>
          <w:tcPr>
            <w:tcW w:w="1829" w:type="dxa"/>
          </w:tcPr>
          <w:p>
            <w:pPr>
              <w:pStyle w:val="TableParagraph"/>
              <w:spacing w:line="210" w:lineRule="exact"/>
              <w:ind w:left="53" w:right="238"/>
              <w:jc w:val="center"/>
              <w:rPr>
                <w:sz w:val="20"/>
              </w:rPr>
            </w:pPr>
            <w:r>
              <w:rPr>
                <w:spacing w:val="-2"/>
                <w:sz w:val="20"/>
              </w:rPr>
              <w:t>0.073495</w:t>
            </w:r>
          </w:p>
        </w:tc>
      </w:tr>
      <w:tr>
        <w:trPr>
          <w:trHeight w:val="230" w:hRule="atLeast"/>
        </w:trPr>
        <w:tc>
          <w:tcPr>
            <w:tcW w:w="1142" w:type="dxa"/>
          </w:tcPr>
          <w:p>
            <w:pPr>
              <w:pStyle w:val="TableParagraph"/>
              <w:rPr>
                <w:sz w:val="16"/>
              </w:rPr>
            </w:pPr>
          </w:p>
        </w:tc>
        <w:tc>
          <w:tcPr>
            <w:tcW w:w="1226" w:type="dxa"/>
          </w:tcPr>
          <w:p>
            <w:pPr>
              <w:pStyle w:val="TableParagraph"/>
              <w:rPr>
                <w:sz w:val="16"/>
              </w:rPr>
            </w:pPr>
          </w:p>
        </w:tc>
        <w:tc>
          <w:tcPr>
            <w:tcW w:w="1017" w:type="dxa"/>
          </w:tcPr>
          <w:p>
            <w:pPr>
              <w:pStyle w:val="TableParagraph"/>
              <w:rPr>
                <w:sz w:val="16"/>
              </w:rPr>
            </w:pPr>
          </w:p>
        </w:tc>
        <w:tc>
          <w:tcPr>
            <w:tcW w:w="992" w:type="dxa"/>
          </w:tcPr>
          <w:p>
            <w:pPr>
              <w:pStyle w:val="TableParagraph"/>
              <w:rPr>
                <w:sz w:val="16"/>
              </w:rPr>
            </w:pPr>
          </w:p>
        </w:tc>
        <w:tc>
          <w:tcPr>
            <w:tcW w:w="946" w:type="dxa"/>
          </w:tcPr>
          <w:p>
            <w:pPr>
              <w:pStyle w:val="TableParagraph"/>
              <w:spacing w:line="210" w:lineRule="exact"/>
              <w:ind w:left="36"/>
              <w:jc w:val="center"/>
              <w:rPr>
                <w:sz w:val="20"/>
              </w:rPr>
            </w:pPr>
            <w:r>
              <w:rPr>
                <w:spacing w:val="-2"/>
                <w:sz w:val="20"/>
              </w:rPr>
              <w:t>(0.55864)</w:t>
            </w:r>
          </w:p>
        </w:tc>
        <w:tc>
          <w:tcPr>
            <w:tcW w:w="989" w:type="dxa"/>
          </w:tcPr>
          <w:p>
            <w:pPr>
              <w:pStyle w:val="TableParagraph"/>
              <w:spacing w:line="210" w:lineRule="exact"/>
              <w:ind w:right="4"/>
              <w:jc w:val="center"/>
              <w:rPr>
                <w:sz w:val="20"/>
              </w:rPr>
            </w:pPr>
            <w:r>
              <w:rPr>
                <w:spacing w:val="-2"/>
                <w:sz w:val="20"/>
              </w:rPr>
              <w:t>(0.30667)</w:t>
            </w:r>
          </w:p>
        </w:tc>
        <w:tc>
          <w:tcPr>
            <w:tcW w:w="1238" w:type="dxa"/>
          </w:tcPr>
          <w:p>
            <w:pPr>
              <w:pStyle w:val="TableParagraph"/>
              <w:spacing w:line="210" w:lineRule="exact"/>
              <w:ind w:left="145"/>
              <w:rPr>
                <w:sz w:val="20"/>
              </w:rPr>
            </w:pPr>
            <w:r>
              <w:rPr>
                <w:spacing w:val="-2"/>
                <w:sz w:val="20"/>
              </w:rPr>
              <w:t>(0.48721)</w:t>
            </w:r>
          </w:p>
        </w:tc>
        <w:tc>
          <w:tcPr>
            <w:tcW w:w="1524" w:type="dxa"/>
          </w:tcPr>
          <w:p>
            <w:pPr>
              <w:pStyle w:val="TableParagraph"/>
              <w:spacing w:line="210" w:lineRule="exact"/>
              <w:ind w:left="56" w:right="99"/>
              <w:jc w:val="center"/>
              <w:rPr>
                <w:sz w:val="20"/>
              </w:rPr>
            </w:pPr>
            <w:r>
              <w:rPr>
                <w:spacing w:val="-2"/>
                <w:sz w:val="20"/>
              </w:rPr>
              <w:t>(0.32488)</w:t>
            </w:r>
          </w:p>
        </w:tc>
        <w:tc>
          <w:tcPr>
            <w:tcW w:w="1829" w:type="dxa"/>
          </w:tcPr>
          <w:p>
            <w:pPr>
              <w:pStyle w:val="TableParagraph"/>
              <w:spacing w:line="210" w:lineRule="exact"/>
              <w:ind w:left="53" w:right="238"/>
              <w:jc w:val="center"/>
              <w:rPr>
                <w:sz w:val="20"/>
              </w:rPr>
            </w:pPr>
            <w:r>
              <w:rPr>
                <w:spacing w:val="-2"/>
                <w:sz w:val="20"/>
              </w:rPr>
              <w:t>(0.57621)</w:t>
            </w:r>
          </w:p>
        </w:tc>
      </w:tr>
      <w:tr>
        <w:trPr>
          <w:trHeight w:val="230" w:hRule="atLeast"/>
        </w:trPr>
        <w:tc>
          <w:tcPr>
            <w:tcW w:w="1142" w:type="dxa"/>
          </w:tcPr>
          <w:p>
            <w:pPr>
              <w:pStyle w:val="TableParagraph"/>
              <w:spacing w:line="210" w:lineRule="exact"/>
              <w:ind w:left="73"/>
              <w:jc w:val="center"/>
              <w:rPr>
                <w:sz w:val="20"/>
              </w:rPr>
            </w:pPr>
            <w:r>
              <w:rPr>
                <w:spacing w:val="-2"/>
                <w:sz w:val="20"/>
              </w:rPr>
              <w:t>0.000000</w:t>
            </w:r>
          </w:p>
        </w:tc>
        <w:tc>
          <w:tcPr>
            <w:tcW w:w="1226" w:type="dxa"/>
          </w:tcPr>
          <w:p>
            <w:pPr>
              <w:pStyle w:val="TableParagraph"/>
              <w:spacing w:line="210" w:lineRule="exact"/>
              <w:ind w:left="51" w:right="4"/>
              <w:jc w:val="center"/>
              <w:rPr>
                <w:sz w:val="20"/>
              </w:rPr>
            </w:pPr>
            <w:r>
              <w:rPr>
                <w:spacing w:val="-2"/>
                <w:sz w:val="20"/>
              </w:rPr>
              <w:t>1.000000</w:t>
            </w:r>
          </w:p>
        </w:tc>
        <w:tc>
          <w:tcPr>
            <w:tcW w:w="1017" w:type="dxa"/>
          </w:tcPr>
          <w:p>
            <w:pPr>
              <w:pStyle w:val="TableParagraph"/>
              <w:spacing w:line="210" w:lineRule="exact"/>
              <w:ind w:left="52" w:right="1"/>
              <w:jc w:val="center"/>
              <w:rPr>
                <w:sz w:val="20"/>
              </w:rPr>
            </w:pPr>
            <w:r>
              <w:rPr>
                <w:spacing w:val="-2"/>
                <w:sz w:val="20"/>
              </w:rPr>
              <w:t>0.000000</w:t>
            </w:r>
          </w:p>
        </w:tc>
        <w:tc>
          <w:tcPr>
            <w:tcW w:w="992" w:type="dxa"/>
          </w:tcPr>
          <w:p>
            <w:pPr>
              <w:pStyle w:val="TableParagraph"/>
              <w:spacing w:line="210" w:lineRule="exact"/>
              <w:ind w:left="83"/>
              <w:jc w:val="center"/>
              <w:rPr>
                <w:sz w:val="20"/>
              </w:rPr>
            </w:pPr>
            <w:r>
              <w:rPr>
                <w:spacing w:val="-2"/>
                <w:sz w:val="20"/>
              </w:rPr>
              <w:t>0.000000</w:t>
            </w:r>
          </w:p>
        </w:tc>
        <w:tc>
          <w:tcPr>
            <w:tcW w:w="946" w:type="dxa"/>
          </w:tcPr>
          <w:p>
            <w:pPr>
              <w:pStyle w:val="TableParagraph"/>
              <w:spacing w:line="210" w:lineRule="exact"/>
              <w:ind w:left="36"/>
              <w:jc w:val="center"/>
              <w:rPr>
                <w:sz w:val="20"/>
              </w:rPr>
            </w:pPr>
            <w:r>
              <w:rPr>
                <w:spacing w:val="-2"/>
                <w:sz w:val="20"/>
              </w:rPr>
              <w:t>1.062754</w:t>
            </w:r>
          </w:p>
        </w:tc>
        <w:tc>
          <w:tcPr>
            <w:tcW w:w="989" w:type="dxa"/>
          </w:tcPr>
          <w:p>
            <w:pPr>
              <w:pStyle w:val="TableParagraph"/>
              <w:spacing w:line="210" w:lineRule="exact"/>
              <w:ind w:left="3" w:right="55"/>
              <w:jc w:val="center"/>
              <w:rPr>
                <w:sz w:val="20"/>
              </w:rPr>
            </w:pPr>
            <w:r>
              <w:rPr>
                <w:spacing w:val="-4"/>
                <w:sz w:val="20"/>
              </w:rPr>
              <w:t>-</w:t>
            </w:r>
            <w:r>
              <w:rPr>
                <w:spacing w:val="-2"/>
                <w:sz w:val="20"/>
              </w:rPr>
              <w:t>1.522804</w:t>
            </w:r>
          </w:p>
        </w:tc>
        <w:tc>
          <w:tcPr>
            <w:tcW w:w="1238" w:type="dxa"/>
          </w:tcPr>
          <w:p>
            <w:pPr>
              <w:pStyle w:val="TableParagraph"/>
              <w:spacing w:line="210" w:lineRule="exact"/>
              <w:ind w:left="102"/>
              <w:rPr>
                <w:sz w:val="20"/>
              </w:rPr>
            </w:pPr>
            <w:r>
              <w:rPr>
                <w:spacing w:val="-4"/>
                <w:sz w:val="20"/>
              </w:rPr>
              <w:t>-</w:t>
            </w:r>
            <w:r>
              <w:rPr>
                <w:spacing w:val="-2"/>
                <w:sz w:val="20"/>
              </w:rPr>
              <w:t>0.111932</w:t>
            </w:r>
          </w:p>
        </w:tc>
        <w:tc>
          <w:tcPr>
            <w:tcW w:w="1524" w:type="dxa"/>
          </w:tcPr>
          <w:p>
            <w:pPr>
              <w:pStyle w:val="TableParagraph"/>
              <w:spacing w:line="210" w:lineRule="exact"/>
              <w:ind w:left="3" w:right="99"/>
              <w:jc w:val="center"/>
              <w:rPr>
                <w:sz w:val="20"/>
              </w:rPr>
            </w:pPr>
            <w:r>
              <w:rPr>
                <w:spacing w:val="-4"/>
                <w:sz w:val="20"/>
              </w:rPr>
              <w:t>-</w:t>
            </w:r>
            <w:r>
              <w:rPr>
                <w:spacing w:val="-2"/>
                <w:sz w:val="20"/>
              </w:rPr>
              <w:t>0.972078</w:t>
            </w:r>
          </w:p>
        </w:tc>
        <w:tc>
          <w:tcPr>
            <w:tcW w:w="1829" w:type="dxa"/>
          </w:tcPr>
          <w:p>
            <w:pPr>
              <w:pStyle w:val="TableParagraph"/>
              <w:spacing w:line="210" w:lineRule="exact"/>
              <w:ind w:right="238"/>
              <w:jc w:val="center"/>
              <w:rPr>
                <w:sz w:val="20"/>
              </w:rPr>
            </w:pPr>
            <w:r>
              <w:rPr>
                <w:spacing w:val="-4"/>
                <w:sz w:val="20"/>
              </w:rPr>
              <w:t>-</w:t>
            </w:r>
            <w:r>
              <w:rPr>
                <w:spacing w:val="-2"/>
                <w:sz w:val="20"/>
              </w:rPr>
              <w:t>1.716109</w:t>
            </w:r>
          </w:p>
        </w:tc>
      </w:tr>
      <w:tr>
        <w:trPr>
          <w:trHeight w:val="229" w:hRule="atLeast"/>
        </w:trPr>
        <w:tc>
          <w:tcPr>
            <w:tcW w:w="1142" w:type="dxa"/>
          </w:tcPr>
          <w:p>
            <w:pPr>
              <w:pStyle w:val="TableParagraph"/>
              <w:rPr>
                <w:sz w:val="16"/>
              </w:rPr>
            </w:pPr>
          </w:p>
        </w:tc>
        <w:tc>
          <w:tcPr>
            <w:tcW w:w="1226" w:type="dxa"/>
          </w:tcPr>
          <w:p>
            <w:pPr>
              <w:pStyle w:val="TableParagraph"/>
              <w:rPr>
                <w:sz w:val="16"/>
              </w:rPr>
            </w:pPr>
          </w:p>
        </w:tc>
        <w:tc>
          <w:tcPr>
            <w:tcW w:w="1017" w:type="dxa"/>
          </w:tcPr>
          <w:p>
            <w:pPr>
              <w:pStyle w:val="TableParagraph"/>
              <w:rPr>
                <w:sz w:val="16"/>
              </w:rPr>
            </w:pPr>
          </w:p>
        </w:tc>
        <w:tc>
          <w:tcPr>
            <w:tcW w:w="992" w:type="dxa"/>
          </w:tcPr>
          <w:p>
            <w:pPr>
              <w:pStyle w:val="TableParagraph"/>
              <w:rPr>
                <w:sz w:val="16"/>
              </w:rPr>
            </w:pPr>
          </w:p>
        </w:tc>
        <w:tc>
          <w:tcPr>
            <w:tcW w:w="946" w:type="dxa"/>
          </w:tcPr>
          <w:p>
            <w:pPr>
              <w:pStyle w:val="TableParagraph"/>
              <w:spacing w:line="209" w:lineRule="exact"/>
              <w:ind w:left="36"/>
              <w:jc w:val="center"/>
              <w:rPr>
                <w:sz w:val="20"/>
              </w:rPr>
            </w:pPr>
            <w:r>
              <w:rPr>
                <w:spacing w:val="-2"/>
                <w:sz w:val="20"/>
              </w:rPr>
              <w:t>(0.27887)</w:t>
            </w:r>
          </w:p>
        </w:tc>
        <w:tc>
          <w:tcPr>
            <w:tcW w:w="989" w:type="dxa"/>
          </w:tcPr>
          <w:p>
            <w:pPr>
              <w:pStyle w:val="TableParagraph"/>
              <w:spacing w:line="209" w:lineRule="exact"/>
              <w:ind w:right="4"/>
              <w:jc w:val="center"/>
              <w:rPr>
                <w:sz w:val="20"/>
              </w:rPr>
            </w:pPr>
            <w:r>
              <w:rPr>
                <w:spacing w:val="-2"/>
                <w:sz w:val="20"/>
              </w:rPr>
              <w:t>(0.15309)</w:t>
            </w:r>
          </w:p>
        </w:tc>
        <w:tc>
          <w:tcPr>
            <w:tcW w:w="1238" w:type="dxa"/>
          </w:tcPr>
          <w:p>
            <w:pPr>
              <w:pStyle w:val="TableParagraph"/>
              <w:spacing w:line="209" w:lineRule="exact"/>
              <w:ind w:left="145"/>
              <w:rPr>
                <w:sz w:val="20"/>
              </w:rPr>
            </w:pPr>
            <w:r>
              <w:rPr>
                <w:spacing w:val="-2"/>
                <w:sz w:val="20"/>
              </w:rPr>
              <w:t>(0.24321)</w:t>
            </w:r>
          </w:p>
        </w:tc>
        <w:tc>
          <w:tcPr>
            <w:tcW w:w="1524" w:type="dxa"/>
          </w:tcPr>
          <w:p>
            <w:pPr>
              <w:pStyle w:val="TableParagraph"/>
              <w:spacing w:line="209" w:lineRule="exact"/>
              <w:ind w:left="56" w:right="99"/>
              <w:jc w:val="center"/>
              <w:rPr>
                <w:sz w:val="20"/>
              </w:rPr>
            </w:pPr>
            <w:r>
              <w:rPr>
                <w:spacing w:val="-2"/>
                <w:sz w:val="20"/>
              </w:rPr>
              <w:t>(0.16218)</w:t>
            </w:r>
          </w:p>
        </w:tc>
        <w:tc>
          <w:tcPr>
            <w:tcW w:w="1829" w:type="dxa"/>
          </w:tcPr>
          <w:p>
            <w:pPr>
              <w:pStyle w:val="TableParagraph"/>
              <w:spacing w:line="209" w:lineRule="exact"/>
              <w:ind w:left="53" w:right="238"/>
              <w:jc w:val="center"/>
              <w:rPr>
                <w:sz w:val="20"/>
              </w:rPr>
            </w:pPr>
            <w:r>
              <w:rPr>
                <w:spacing w:val="-2"/>
                <w:sz w:val="20"/>
              </w:rPr>
              <w:t>(0.28764)</w:t>
            </w:r>
          </w:p>
        </w:tc>
      </w:tr>
      <w:tr>
        <w:trPr>
          <w:trHeight w:val="229" w:hRule="atLeast"/>
        </w:trPr>
        <w:tc>
          <w:tcPr>
            <w:tcW w:w="1142" w:type="dxa"/>
          </w:tcPr>
          <w:p>
            <w:pPr>
              <w:pStyle w:val="TableParagraph"/>
              <w:spacing w:line="209" w:lineRule="exact"/>
              <w:ind w:left="73"/>
              <w:jc w:val="center"/>
              <w:rPr>
                <w:sz w:val="20"/>
              </w:rPr>
            </w:pPr>
            <w:r>
              <w:rPr>
                <w:spacing w:val="-2"/>
                <w:sz w:val="20"/>
              </w:rPr>
              <w:t>0.000000</w:t>
            </w:r>
          </w:p>
        </w:tc>
        <w:tc>
          <w:tcPr>
            <w:tcW w:w="1226" w:type="dxa"/>
          </w:tcPr>
          <w:p>
            <w:pPr>
              <w:pStyle w:val="TableParagraph"/>
              <w:spacing w:line="209" w:lineRule="exact"/>
              <w:ind w:left="51" w:right="4"/>
              <w:jc w:val="center"/>
              <w:rPr>
                <w:sz w:val="20"/>
              </w:rPr>
            </w:pPr>
            <w:r>
              <w:rPr>
                <w:spacing w:val="-2"/>
                <w:sz w:val="20"/>
              </w:rPr>
              <w:t>0.000000</w:t>
            </w:r>
          </w:p>
        </w:tc>
        <w:tc>
          <w:tcPr>
            <w:tcW w:w="1017" w:type="dxa"/>
          </w:tcPr>
          <w:p>
            <w:pPr>
              <w:pStyle w:val="TableParagraph"/>
              <w:spacing w:line="209" w:lineRule="exact"/>
              <w:ind w:left="52" w:right="1"/>
              <w:jc w:val="center"/>
              <w:rPr>
                <w:sz w:val="20"/>
              </w:rPr>
            </w:pPr>
            <w:r>
              <w:rPr>
                <w:spacing w:val="-2"/>
                <w:sz w:val="20"/>
              </w:rPr>
              <w:t>1.000000</w:t>
            </w:r>
          </w:p>
        </w:tc>
        <w:tc>
          <w:tcPr>
            <w:tcW w:w="992" w:type="dxa"/>
          </w:tcPr>
          <w:p>
            <w:pPr>
              <w:pStyle w:val="TableParagraph"/>
              <w:spacing w:line="209" w:lineRule="exact"/>
              <w:ind w:left="83"/>
              <w:jc w:val="center"/>
              <w:rPr>
                <w:sz w:val="20"/>
              </w:rPr>
            </w:pPr>
            <w:r>
              <w:rPr>
                <w:spacing w:val="-2"/>
                <w:sz w:val="20"/>
              </w:rPr>
              <w:t>0.000000</w:t>
            </w:r>
          </w:p>
        </w:tc>
        <w:tc>
          <w:tcPr>
            <w:tcW w:w="946" w:type="dxa"/>
          </w:tcPr>
          <w:p>
            <w:pPr>
              <w:pStyle w:val="TableParagraph"/>
              <w:spacing w:line="209" w:lineRule="exact"/>
              <w:ind w:left="36"/>
              <w:jc w:val="center"/>
              <w:rPr>
                <w:sz w:val="20"/>
              </w:rPr>
            </w:pPr>
            <w:r>
              <w:rPr>
                <w:spacing w:val="-2"/>
                <w:sz w:val="20"/>
              </w:rPr>
              <w:t>0.393503</w:t>
            </w:r>
          </w:p>
        </w:tc>
        <w:tc>
          <w:tcPr>
            <w:tcW w:w="989" w:type="dxa"/>
          </w:tcPr>
          <w:p>
            <w:pPr>
              <w:pStyle w:val="TableParagraph"/>
              <w:spacing w:line="209" w:lineRule="exact"/>
              <w:ind w:right="4"/>
              <w:jc w:val="center"/>
              <w:rPr>
                <w:sz w:val="20"/>
              </w:rPr>
            </w:pPr>
            <w:r>
              <w:rPr>
                <w:spacing w:val="-2"/>
                <w:sz w:val="20"/>
              </w:rPr>
              <w:t>0.052506</w:t>
            </w:r>
          </w:p>
        </w:tc>
        <w:tc>
          <w:tcPr>
            <w:tcW w:w="1238" w:type="dxa"/>
          </w:tcPr>
          <w:p>
            <w:pPr>
              <w:pStyle w:val="TableParagraph"/>
              <w:spacing w:line="209" w:lineRule="exact"/>
              <w:ind w:left="102"/>
              <w:rPr>
                <w:sz w:val="20"/>
              </w:rPr>
            </w:pPr>
            <w:r>
              <w:rPr>
                <w:spacing w:val="-4"/>
                <w:sz w:val="20"/>
              </w:rPr>
              <w:t>-</w:t>
            </w:r>
            <w:r>
              <w:rPr>
                <w:spacing w:val="-2"/>
                <w:sz w:val="20"/>
              </w:rPr>
              <w:t>0.179228</w:t>
            </w:r>
          </w:p>
        </w:tc>
        <w:tc>
          <w:tcPr>
            <w:tcW w:w="1524" w:type="dxa"/>
          </w:tcPr>
          <w:p>
            <w:pPr>
              <w:pStyle w:val="TableParagraph"/>
              <w:spacing w:line="209" w:lineRule="exact"/>
              <w:ind w:left="3" w:right="99"/>
              <w:jc w:val="center"/>
              <w:rPr>
                <w:sz w:val="20"/>
              </w:rPr>
            </w:pPr>
            <w:r>
              <w:rPr>
                <w:spacing w:val="-4"/>
                <w:sz w:val="20"/>
              </w:rPr>
              <w:t>-</w:t>
            </w:r>
            <w:r>
              <w:rPr>
                <w:spacing w:val="-2"/>
                <w:sz w:val="20"/>
              </w:rPr>
              <w:t>0.081740</w:t>
            </w:r>
          </w:p>
        </w:tc>
        <w:tc>
          <w:tcPr>
            <w:tcW w:w="1829" w:type="dxa"/>
          </w:tcPr>
          <w:p>
            <w:pPr>
              <w:pStyle w:val="TableParagraph"/>
              <w:spacing w:line="209" w:lineRule="exact"/>
              <w:ind w:right="238"/>
              <w:jc w:val="center"/>
              <w:rPr>
                <w:sz w:val="20"/>
              </w:rPr>
            </w:pPr>
            <w:r>
              <w:rPr>
                <w:spacing w:val="-4"/>
                <w:sz w:val="20"/>
              </w:rPr>
              <w:t>-</w:t>
            </w:r>
            <w:r>
              <w:rPr>
                <w:spacing w:val="-2"/>
                <w:sz w:val="20"/>
              </w:rPr>
              <w:t>0.041592</w:t>
            </w:r>
          </w:p>
        </w:tc>
      </w:tr>
      <w:tr>
        <w:trPr>
          <w:trHeight w:val="230" w:hRule="atLeast"/>
        </w:trPr>
        <w:tc>
          <w:tcPr>
            <w:tcW w:w="1142" w:type="dxa"/>
          </w:tcPr>
          <w:p>
            <w:pPr>
              <w:pStyle w:val="TableParagraph"/>
              <w:rPr>
                <w:sz w:val="16"/>
              </w:rPr>
            </w:pPr>
          </w:p>
        </w:tc>
        <w:tc>
          <w:tcPr>
            <w:tcW w:w="1226" w:type="dxa"/>
          </w:tcPr>
          <w:p>
            <w:pPr>
              <w:pStyle w:val="TableParagraph"/>
              <w:rPr>
                <w:sz w:val="16"/>
              </w:rPr>
            </w:pPr>
          </w:p>
        </w:tc>
        <w:tc>
          <w:tcPr>
            <w:tcW w:w="1017" w:type="dxa"/>
          </w:tcPr>
          <w:p>
            <w:pPr>
              <w:pStyle w:val="TableParagraph"/>
              <w:rPr>
                <w:sz w:val="16"/>
              </w:rPr>
            </w:pPr>
          </w:p>
        </w:tc>
        <w:tc>
          <w:tcPr>
            <w:tcW w:w="992" w:type="dxa"/>
          </w:tcPr>
          <w:p>
            <w:pPr>
              <w:pStyle w:val="TableParagraph"/>
              <w:rPr>
                <w:sz w:val="16"/>
              </w:rPr>
            </w:pPr>
          </w:p>
        </w:tc>
        <w:tc>
          <w:tcPr>
            <w:tcW w:w="946" w:type="dxa"/>
          </w:tcPr>
          <w:p>
            <w:pPr>
              <w:pStyle w:val="TableParagraph"/>
              <w:spacing w:line="210" w:lineRule="exact"/>
              <w:ind w:left="36"/>
              <w:jc w:val="center"/>
              <w:rPr>
                <w:sz w:val="20"/>
              </w:rPr>
            </w:pPr>
            <w:r>
              <w:rPr>
                <w:spacing w:val="-2"/>
                <w:sz w:val="20"/>
              </w:rPr>
              <w:t>(0.16992)</w:t>
            </w:r>
          </w:p>
        </w:tc>
        <w:tc>
          <w:tcPr>
            <w:tcW w:w="989" w:type="dxa"/>
          </w:tcPr>
          <w:p>
            <w:pPr>
              <w:pStyle w:val="TableParagraph"/>
              <w:spacing w:line="210" w:lineRule="exact"/>
              <w:ind w:right="4"/>
              <w:jc w:val="center"/>
              <w:rPr>
                <w:sz w:val="20"/>
              </w:rPr>
            </w:pPr>
            <w:r>
              <w:rPr>
                <w:spacing w:val="-2"/>
                <w:sz w:val="20"/>
              </w:rPr>
              <w:t>(0.09328)</w:t>
            </w:r>
          </w:p>
        </w:tc>
        <w:tc>
          <w:tcPr>
            <w:tcW w:w="1238" w:type="dxa"/>
          </w:tcPr>
          <w:p>
            <w:pPr>
              <w:pStyle w:val="TableParagraph"/>
              <w:spacing w:line="210" w:lineRule="exact"/>
              <w:ind w:left="145"/>
              <w:rPr>
                <w:sz w:val="20"/>
              </w:rPr>
            </w:pPr>
            <w:r>
              <w:rPr>
                <w:spacing w:val="-2"/>
                <w:sz w:val="20"/>
              </w:rPr>
              <w:t>(0.14820)</w:t>
            </w:r>
          </w:p>
        </w:tc>
        <w:tc>
          <w:tcPr>
            <w:tcW w:w="1524" w:type="dxa"/>
          </w:tcPr>
          <w:p>
            <w:pPr>
              <w:pStyle w:val="TableParagraph"/>
              <w:spacing w:line="210" w:lineRule="exact"/>
              <w:ind w:left="56" w:right="99"/>
              <w:jc w:val="center"/>
              <w:rPr>
                <w:sz w:val="20"/>
              </w:rPr>
            </w:pPr>
            <w:r>
              <w:rPr>
                <w:spacing w:val="-2"/>
                <w:sz w:val="20"/>
              </w:rPr>
              <w:t>(0.09882)</w:t>
            </w:r>
          </w:p>
        </w:tc>
        <w:tc>
          <w:tcPr>
            <w:tcW w:w="1829" w:type="dxa"/>
          </w:tcPr>
          <w:p>
            <w:pPr>
              <w:pStyle w:val="TableParagraph"/>
              <w:spacing w:line="210" w:lineRule="exact"/>
              <w:ind w:left="53" w:right="238"/>
              <w:jc w:val="center"/>
              <w:rPr>
                <w:sz w:val="20"/>
              </w:rPr>
            </w:pPr>
            <w:r>
              <w:rPr>
                <w:spacing w:val="-2"/>
                <w:sz w:val="20"/>
              </w:rPr>
              <w:t>(0.17527)</w:t>
            </w:r>
          </w:p>
        </w:tc>
      </w:tr>
      <w:tr>
        <w:trPr>
          <w:trHeight w:val="230" w:hRule="atLeast"/>
        </w:trPr>
        <w:tc>
          <w:tcPr>
            <w:tcW w:w="1142" w:type="dxa"/>
          </w:tcPr>
          <w:p>
            <w:pPr>
              <w:pStyle w:val="TableParagraph"/>
              <w:spacing w:line="210" w:lineRule="exact"/>
              <w:ind w:left="73"/>
              <w:jc w:val="center"/>
              <w:rPr>
                <w:sz w:val="20"/>
              </w:rPr>
            </w:pPr>
            <w:r>
              <w:rPr>
                <w:spacing w:val="-2"/>
                <w:sz w:val="20"/>
              </w:rPr>
              <w:t>0.000000</w:t>
            </w:r>
          </w:p>
        </w:tc>
        <w:tc>
          <w:tcPr>
            <w:tcW w:w="1226" w:type="dxa"/>
          </w:tcPr>
          <w:p>
            <w:pPr>
              <w:pStyle w:val="TableParagraph"/>
              <w:spacing w:line="210" w:lineRule="exact"/>
              <w:ind w:left="51" w:right="4"/>
              <w:jc w:val="center"/>
              <w:rPr>
                <w:sz w:val="20"/>
              </w:rPr>
            </w:pPr>
            <w:r>
              <w:rPr>
                <w:spacing w:val="-2"/>
                <w:sz w:val="20"/>
              </w:rPr>
              <w:t>0.000000</w:t>
            </w:r>
          </w:p>
        </w:tc>
        <w:tc>
          <w:tcPr>
            <w:tcW w:w="1017" w:type="dxa"/>
          </w:tcPr>
          <w:p>
            <w:pPr>
              <w:pStyle w:val="TableParagraph"/>
              <w:spacing w:line="210" w:lineRule="exact"/>
              <w:ind w:left="52" w:right="1"/>
              <w:jc w:val="center"/>
              <w:rPr>
                <w:sz w:val="20"/>
              </w:rPr>
            </w:pPr>
            <w:r>
              <w:rPr>
                <w:spacing w:val="-2"/>
                <w:sz w:val="20"/>
              </w:rPr>
              <w:t>0.000000</w:t>
            </w:r>
          </w:p>
        </w:tc>
        <w:tc>
          <w:tcPr>
            <w:tcW w:w="992" w:type="dxa"/>
          </w:tcPr>
          <w:p>
            <w:pPr>
              <w:pStyle w:val="TableParagraph"/>
              <w:spacing w:line="210" w:lineRule="exact"/>
              <w:ind w:left="83"/>
              <w:jc w:val="center"/>
              <w:rPr>
                <w:sz w:val="20"/>
              </w:rPr>
            </w:pPr>
            <w:r>
              <w:rPr>
                <w:spacing w:val="-2"/>
                <w:sz w:val="20"/>
              </w:rPr>
              <w:t>1.000000</w:t>
            </w:r>
          </w:p>
        </w:tc>
        <w:tc>
          <w:tcPr>
            <w:tcW w:w="946" w:type="dxa"/>
          </w:tcPr>
          <w:p>
            <w:pPr>
              <w:pStyle w:val="TableParagraph"/>
              <w:spacing w:line="210" w:lineRule="exact"/>
              <w:ind w:left="36"/>
              <w:jc w:val="center"/>
              <w:rPr>
                <w:sz w:val="20"/>
              </w:rPr>
            </w:pPr>
            <w:r>
              <w:rPr>
                <w:spacing w:val="-2"/>
                <w:sz w:val="20"/>
              </w:rPr>
              <w:t>0.653281</w:t>
            </w:r>
          </w:p>
        </w:tc>
        <w:tc>
          <w:tcPr>
            <w:tcW w:w="989" w:type="dxa"/>
          </w:tcPr>
          <w:p>
            <w:pPr>
              <w:pStyle w:val="TableParagraph"/>
              <w:spacing w:line="210" w:lineRule="exact"/>
              <w:ind w:left="3" w:right="55"/>
              <w:jc w:val="center"/>
              <w:rPr>
                <w:sz w:val="20"/>
              </w:rPr>
            </w:pPr>
            <w:r>
              <w:rPr>
                <w:spacing w:val="-4"/>
                <w:sz w:val="20"/>
              </w:rPr>
              <w:t>-</w:t>
            </w:r>
            <w:r>
              <w:rPr>
                <w:spacing w:val="-2"/>
                <w:sz w:val="20"/>
              </w:rPr>
              <w:t>0.958132</w:t>
            </w:r>
          </w:p>
        </w:tc>
        <w:tc>
          <w:tcPr>
            <w:tcW w:w="1238" w:type="dxa"/>
          </w:tcPr>
          <w:p>
            <w:pPr>
              <w:pStyle w:val="TableParagraph"/>
              <w:spacing w:line="210" w:lineRule="exact"/>
              <w:ind w:left="162"/>
              <w:rPr>
                <w:sz w:val="20"/>
              </w:rPr>
            </w:pPr>
            <w:r>
              <w:rPr>
                <w:spacing w:val="-2"/>
                <w:sz w:val="20"/>
              </w:rPr>
              <w:t>0.044403</w:t>
            </w:r>
          </w:p>
        </w:tc>
        <w:tc>
          <w:tcPr>
            <w:tcW w:w="1524" w:type="dxa"/>
          </w:tcPr>
          <w:p>
            <w:pPr>
              <w:pStyle w:val="TableParagraph"/>
              <w:spacing w:line="210" w:lineRule="exact"/>
              <w:ind w:left="56" w:right="99"/>
              <w:jc w:val="center"/>
              <w:rPr>
                <w:sz w:val="20"/>
              </w:rPr>
            </w:pPr>
            <w:r>
              <w:rPr>
                <w:spacing w:val="-2"/>
                <w:sz w:val="20"/>
              </w:rPr>
              <w:t>0.592090</w:t>
            </w:r>
          </w:p>
        </w:tc>
        <w:tc>
          <w:tcPr>
            <w:tcW w:w="1829" w:type="dxa"/>
          </w:tcPr>
          <w:p>
            <w:pPr>
              <w:pStyle w:val="TableParagraph"/>
              <w:spacing w:line="210" w:lineRule="exact"/>
              <w:ind w:right="238"/>
              <w:jc w:val="center"/>
              <w:rPr>
                <w:sz w:val="20"/>
              </w:rPr>
            </w:pPr>
            <w:r>
              <w:rPr>
                <w:spacing w:val="-4"/>
                <w:sz w:val="20"/>
              </w:rPr>
              <w:t>-</w:t>
            </w:r>
            <w:r>
              <w:rPr>
                <w:spacing w:val="-2"/>
                <w:sz w:val="20"/>
              </w:rPr>
              <w:t>0.606158</w:t>
            </w:r>
          </w:p>
        </w:tc>
      </w:tr>
      <w:tr>
        <w:trPr>
          <w:trHeight w:val="345" w:hRule="atLeast"/>
        </w:trPr>
        <w:tc>
          <w:tcPr>
            <w:tcW w:w="1142" w:type="dxa"/>
          </w:tcPr>
          <w:p>
            <w:pPr>
              <w:pStyle w:val="TableParagraph"/>
              <w:rPr>
                <w:sz w:val="18"/>
              </w:rPr>
            </w:pPr>
          </w:p>
        </w:tc>
        <w:tc>
          <w:tcPr>
            <w:tcW w:w="1226" w:type="dxa"/>
          </w:tcPr>
          <w:p>
            <w:pPr>
              <w:pStyle w:val="TableParagraph"/>
              <w:rPr>
                <w:sz w:val="18"/>
              </w:rPr>
            </w:pPr>
          </w:p>
        </w:tc>
        <w:tc>
          <w:tcPr>
            <w:tcW w:w="1017" w:type="dxa"/>
          </w:tcPr>
          <w:p>
            <w:pPr>
              <w:pStyle w:val="TableParagraph"/>
              <w:rPr>
                <w:sz w:val="18"/>
              </w:rPr>
            </w:pPr>
          </w:p>
        </w:tc>
        <w:tc>
          <w:tcPr>
            <w:tcW w:w="992" w:type="dxa"/>
          </w:tcPr>
          <w:p>
            <w:pPr>
              <w:pStyle w:val="TableParagraph"/>
              <w:rPr>
                <w:sz w:val="18"/>
              </w:rPr>
            </w:pPr>
          </w:p>
        </w:tc>
        <w:tc>
          <w:tcPr>
            <w:tcW w:w="946" w:type="dxa"/>
          </w:tcPr>
          <w:p>
            <w:pPr>
              <w:pStyle w:val="TableParagraph"/>
              <w:spacing w:line="226" w:lineRule="exact"/>
              <w:ind w:left="36"/>
              <w:jc w:val="center"/>
              <w:rPr>
                <w:sz w:val="20"/>
              </w:rPr>
            </w:pPr>
            <w:r>
              <w:rPr>
                <w:spacing w:val="-2"/>
                <w:sz w:val="20"/>
              </w:rPr>
              <w:t>(0.33127)</w:t>
            </w:r>
          </w:p>
        </w:tc>
        <w:tc>
          <w:tcPr>
            <w:tcW w:w="989" w:type="dxa"/>
          </w:tcPr>
          <w:p>
            <w:pPr>
              <w:pStyle w:val="TableParagraph"/>
              <w:spacing w:line="226" w:lineRule="exact"/>
              <w:ind w:right="4"/>
              <w:jc w:val="center"/>
              <w:rPr>
                <w:sz w:val="20"/>
              </w:rPr>
            </w:pPr>
            <w:r>
              <w:rPr>
                <w:spacing w:val="-2"/>
                <w:sz w:val="20"/>
              </w:rPr>
              <w:t>(0.18186)</w:t>
            </w:r>
          </w:p>
        </w:tc>
        <w:tc>
          <w:tcPr>
            <w:tcW w:w="1238" w:type="dxa"/>
          </w:tcPr>
          <w:p>
            <w:pPr>
              <w:pStyle w:val="TableParagraph"/>
              <w:spacing w:line="226" w:lineRule="exact"/>
              <w:ind w:left="145"/>
              <w:rPr>
                <w:sz w:val="20"/>
              </w:rPr>
            </w:pPr>
            <w:r>
              <w:rPr>
                <w:spacing w:val="-2"/>
                <w:sz w:val="20"/>
              </w:rPr>
              <w:t>(0.28891)</w:t>
            </w:r>
          </w:p>
        </w:tc>
        <w:tc>
          <w:tcPr>
            <w:tcW w:w="1524" w:type="dxa"/>
          </w:tcPr>
          <w:p>
            <w:pPr>
              <w:pStyle w:val="TableParagraph"/>
              <w:spacing w:line="226" w:lineRule="exact"/>
              <w:ind w:left="56" w:right="99"/>
              <w:jc w:val="center"/>
              <w:rPr>
                <w:sz w:val="20"/>
              </w:rPr>
            </w:pPr>
            <w:r>
              <w:rPr>
                <w:spacing w:val="-2"/>
                <w:sz w:val="20"/>
              </w:rPr>
              <w:t>(0.19266)</w:t>
            </w:r>
          </w:p>
        </w:tc>
        <w:tc>
          <w:tcPr>
            <w:tcW w:w="1829" w:type="dxa"/>
          </w:tcPr>
          <w:p>
            <w:pPr>
              <w:pStyle w:val="TableParagraph"/>
              <w:spacing w:line="226" w:lineRule="exact"/>
              <w:ind w:left="53" w:right="238"/>
              <w:jc w:val="center"/>
              <w:rPr>
                <w:sz w:val="20"/>
              </w:rPr>
            </w:pPr>
            <w:r>
              <w:rPr>
                <w:spacing w:val="-2"/>
                <w:sz w:val="20"/>
              </w:rPr>
              <w:t>(0.34169)</w:t>
            </w:r>
          </w:p>
        </w:tc>
      </w:tr>
      <w:tr>
        <w:trPr>
          <w:trHeight w:val="731" w:hRule="atLeast"/>
        </w:trPr>
        <w:tc>
          <w:tcPr>
            <w:tcW w:w="1142" w:type="dxa"/>
          </w:tcPr>
          <w:p>
            <w:pPr>
              <w:pStyle w:val="TableParagraph"/>
              <w:spacing w:line="229" w:lineRule="exact" w:before="111"/>
              <w:ind w:left="449"/>
              <w:rPr>
                <w:sz w:val="20"/>
              </w:rPr>
            </w:pPr>
            <w:r>
              <w:rPr>
                <w:spacing w:val="-5"/>
                <w:sz w:val="20"/>
              </w:rPr>
              <w:t>Log</w:t>
            </w:r>
          </w:p>
          <w:p>
            <w:pPr>
              <w:pStyle w:val="TableParagraph"/>
              <w:tabs>
                <w:tab w:pos="10898" w:val="left" w:leader="none"/>
              </w:tabs>
              <w:spacing w:line="229" w:lineRule="exact"/>
              <w:ind w:left="14" w:right="-9764"/>
              <w:rPr>
                <w:sz w:val="20"/>
              </w:rPr>
            </w:pPr>
            <w:r>
              <w:rPr>
                <w:spacing w:val="31"/>
                <w:sz w:val="20"/>
                <w:u w:val="double"/>
              </w:rPr>
              <w:t>  </w:t>
            </w:r>
            <w:r>
              <w:rPr>
                <w:spacing w:val="-2"/>
                <w:sz w:val="20"/>
                <w:u w:val="double"/>
              </w:rPr>
              <w:t>likelihood</w:t>
            </w:r>
            <w:r>
              <w:rPr>
                <w:sz w:val="20"/>
                <w:u w:val="double"/>
              </w:rPr>
              <w:tab/>
            </w:r>
          </w:p>
        </w:tc>
        <w:tc>
          <w:tcPr>
            <w:tcW w:w="1226" w:type="dxa"/>
          </w:tcPr>
          <w:p>
            <w:pPr>
              <w:pStyle w:val="TableParagraph"/>
              <w:spacing w:before="111"/>
              <w:ind w:left="47" w:right="50"/>
              <w:jc w:val="center"/>
              <w:rPr>
                <w:sz w:val="20"/>
              </w:rPr>
            </w:pPr>
            <w:r>
              <w:rPr>
                <w:spacing w:val="-4"/>
                <w:sz w:val="20"/>
              </w:rPr>
              <w:t>-</w:t>
            </w:r>
            <w:r>
              <w:rPr>
                <w:spacing w:val="-2"/>
                <w:sz w:val="20"/>
              </w:rPr>
              <w:t>57.82772</w:t>
            </w:r>
          </w:p>
        </w:tc>
        <w:tc>
          <w:tcPr>
            <w:tcW w:w="1017" w:type="dxa"/>
          </w:tcPr>
          <w:p>
            <w:pPr>
              <w:pStyle w:val="TableParagraph"/>
              <w:rPr>
                <w:sz w:val="18"/>
              </w:rPr>
            </w:pPr>
          </w:p>
        </w:tc>
        <w:tc>
          <w:tcPr>
            <w:tcW w:w="992" w:type="dxa"/>
          </w:tcPr>
          <w:p>
            <w:pPr>
              <w:pStyle w:val="TableParagraph"/>
              <w:rPr>
                <w:sz w:val="18"/>
              </w:rPr>
            </w:pPr>
          </w:p>
        </w:tc>
        <w:tc>
          <w:tcPr>
            <w:tcW w:w="946" w:type="dxa"/>
          </w:tcPr>
          <w:p>
            <w:pPr>
              <w:pStyle w:val="TableParagraph"/>
              <w:rPr>
                <w:sz w:val="18"/>
              </w:rPr>
            </w:pPr>
          </w:p>
        </w:tc>
        <w:tc>
          <w:tcPr>
            <w:tcW w:w="989" w:type="dxa"/>
          </w:tcPr>
          <w:p>
            <w:pPr>
              <w:pStyle w:val="TableParagraph"/>
              <w:rPr>
                <w:sz w:val="18"/>
              </w:rPr>
            </w:pPr>
          </w:p>
        </w:tc>
        <w:tc>
          <w:tcPr>
            <w:tcW w:w="1238" w:type="dxa"/>
          </w:tcPr>
          <w:p>
            <w:pPr>
              <w:pStyle w:val="TableParagraph"/>
              <w:rPr>
                <w:sz w:val="18"/>
              </w:rPr>
            </w:pPr>
          </w:p>
        </w:tc>
        <w:tc>
          <w:tcPr>
            <w:tcW w:w="1524" w:type="dxa"/>
          </w:tcPr>
          <w:p>
            <w:pPr>
              <w:pStyle w:val="TableParagraph"/>
              <w:rPr>
                <w:sz w:val="18"/>
              </w:rPr>
            </w:pPr>
          </w:p>
        </w:tc>
        <w:tc>
          <w:tcPr>
            <w:tcW w:w="1829" w:type="dxa"/>
          </w:tcPr>
          <w:p>
            <w:pPr>
              <w:pStyle w:val="TableParagraph"/>
              <w:rPr>
                <w:sz w:val="18"/>
              </w:rPr>
            </w:pPr>
          </w:p>
        </w:tc>
      </w:tr>
      <w:tr>
        <w:trPr>
          <w:trHeight w:val="1992" w:hRule="atLeast"/>
        </w:trPr>
        <w:tc>
          <w:tcPr>
            <w:tcW w:w="1142" w:type="dxa"/>
            <w:tcBorders>
              <w:bottom w:val="double" w:sz="6" w:space="0" w:color="000000"/>
            </w:tcBorders>
          </w:tcPr>
          <w:p>
            <w:pPr>
              <w:pStyle w:val="TableParagraph"/>
              <w:spacing w:before="153"/>
              <w:ind w:left="67" w:right="43" w:firstLine="50"/>
              <w:jc w:val="center"/>
              <w:rPr>
                <w:sz w:val="20"/>
              </w:rPr>
            </w:pPr>
            <w:r>
              <w:rPr>
                <w:spacing w:val="-2"/>
                <w:sz w:val="20"/>
              </w:rPr>
              <w:t>Normalized Cointegratin </w:t>
            </w:r>
            <w:r>
              <w:rPr>
                <w:spacing w:val="-10"/>
                <w:sz w:val="20"/>
              </w:rPr>
              <w:t>g</w:t>
            </w:r>
            <w:r>
              <w:rPr>
                <w:spacing w:val="-2"/>
                <w:sz w:val="20"/>
              </w:rPr>
              <w:t> Coefficients: </w:t>
            </w:r>
            <w:r>
              <w:rPr>
                <w:spacing w:val="-10"/>
                <w:sz w:val="20"/>
              </w:rPr>
              <w:t>5</w:t>
            </w:r>
          </w:p>
          <w:p>
            <w:pPr>
              <w:pStyle w:val="TableParagraph"/>
              <w:spacing w:before="2"/>
              <w:ind w:left="73" w:right="51"/>
              <w:jc w:val="center"/>
              <w:rPr>
                <w:sz w:val="20"/>
              </w:rPr>
            </w:pPr>
            <w:r>
              <w:rPr>
                <w:spacing w:val="-2"/>
                <w:sz w:val="20"/>
              </w:rPr>
              <w:t>Cointegratin </w:t>
            </w:r>
            <w:r>
              <w:rPr>
                <w:spacing w:val="-10"/>
                <w:sz w:val="20"/>
              </w:rPr>
              <w:t>g</w:t>
            </w:r>
          </w:p>
          <w:p>
            <w:pPr>
              <w:pStyle w:val="TableParagraph"/>
              <w:spacing w:line="207" w:lineRule="exact"/>
              <w:ind w:left="73" w:right="56"/>
              <w:jc w:val="center"/>
              <w:rPr>
                <w:sz w:val="20"/>
              </w:rPr>
            </w:pPr>
            <w:r>
              <w:rPr>
                <w:spacing w:val="-2"/>
                <w:sz w:val="20"/>
              </w:rPr>
              <w:t>Equation(s)</w:t>
            </w:r>
          </w:p>
        </w:tc>
        <w:tc>
          <w:tcPr>
            <w:tcW w:w="1226" w:type="dxa"/>
            <w:tcBorders>
              <w:bottom w:val="double" w:sz="6" w:space="0" w:color="000000"/>
            </w:tcBorders>
          </w:tcPr>
          <w:p>
            <w:pPr>
              <w:pStyle w:val="TableParagraph"/>
              <w:rPr>
                <w:sz w:val="18"/>
              </w:rPr>
            </w:pPr>
          </w:p>
        </w:tc>
        <w:tc>
          <w:tcPr>
            <w:tcW w:w="1017" w:type="dxa"/>
            <w:tcBorders>
              <w:bottom w:val="double" w:sz="6" w:space="0" w:color="000000"/>
            </w:tcBorders>
          </w:tcPr>
          <w:p>
            <w:pPr>
              <w:pStyle w:val="TableParagraph"/>
              <w:rPr>
                <w:sz w:val="18"/>
              </w:rPr>
            </w:pPr>
          </w:p>
        </w:tc>
        <w:tc>
          <w:tcPr>
            <w:tcW w:w="992" w:type="dxa"/>
            <w:tcBorders>
              <w:bottom w:val="double" w:sz="6" w:space="0" w:color="000000"/>
            </w:tcBorders>
          </w:tcPr>
          <w:p>
            <w:pPr>
              <w:pStyle w:val="TableParagraph"/>
              <w:rPr>
                <w:sz w:val="18"/>
              </w:rPr>
            </w:pPr>
          </w:p>
        </w:tc>
        <w:tc>
          <w:tcPr>
            <w:tcW w:w="946" w:type="dxa"/>
            <w:tcBorders>
              <w:bottom w:val="double" w:sz="6" w:space="0" w:color="000000"/>
            </w:tcBorders>
          </w:tcPr>
          <w:p>
            <w:pPr>
              <w:pStyle w:val="TableParagraph"/>
              <w:rPr>
                <w:sz w:val="18"/>
              </w:rPr>
            </w:pPr>
          </w:p>
        </w:tc>
        <w:tc>
          <w:tcPr>
            <w:tcW w:w="989" w:type="dxa"/>
            <w:tcBorders>
              <w:bottom w:val="double" w:sz="6" w:space="0" w:color="000000"/>
            </w:tcBorders>
          </w:tcPr>
          <w:p>
            <w:pPr>
              <w:pStyle w:val="TableParagraph"/>
              <w:rPr>
                <w:sz w:val="18"/>
              </w:rPr>
            </w:pPr>
          </w:p>
        </w:tc>
        <w:tc>
          <w:tcPr>
            <w:tcW w:w="1238" w:type="dxa"/>
            <w:tcBorders>
              <w:bottom w:val="double" w:sz="6" w:space="0" w:color="000000"/>
            </w:tcBorders>
          </w:tcPr>
          <w:p>
            <w:pPr>
              <w:pStyle w:val="TableParagraph"/>
              <w:rPr>
                <w:sz w:val="18"/>
              </w:rPr>
            </w:pPr>
          </w:p>
        </w:tc>
        <w:tc>
          <w:tcPr>
            <w:tcW w:w="1524" w:type="dxa"/>
            <w:tcBorders>
              <w:bottom w:val="double" w:sz="6" w:space="0" w:color="000000"/>
            </w:tcBorders>
          </w:tcPr>
          <w:p>
            <w:pPr>
              <w:pStyle w:val="TableParagraph"/>
              <w:rPr>
                <w:sz w:val="18"/>
              </w:rPr>
            </w:pPr>
          </w:p>
        </w:tc>
        <w:tc>
          <w:tcPr>
            <w:tcW w:w="1829" w:type="dxa"/>
            <w:tcBorders>
              <w:bottom w:val="double" w:sz="6" w:space="0" w:color="000000"/>
            </w:tcBorders>
          </w:tcPr>
          <w:p>
            <w:pPr>
              <w:pStyle w:val="TableParagraph"/>
              <w:rPr>
                <w:sz w:val="18"/>
              </w:rPr>
            </w:pPr>
          </w:p>
        </w:tc>
      </w:tr>
      <w:tr>
        <w:trPr>
          <w:trHeight w:val="275" w:hRule="atLeast"/>
        </w:trPr>
        <w:tc>
          <w:tcPr>
            <w:tcW w:w="1142" w:type="dxa"/>
            <w:tcBorders>
              <w:top w:val="double" w:sz="6" w:space="0" w:color="000000"/>
            </w:tcBorders>
          </w:tcPr>
          <w:p>
            <w:pPr>
              <w:pStyle w:val="TableParagraph"/>
              <w:spacing w:line="215" w:lineRule="exact" w:before="40"/>
              <w:ind w:left="73" w:right="52"/>
              <w:jc w:val="center"/>
              <w:rPr>
                <w:sz w:val="20"/>
              </w:rPr>
            </w:pPr>
            <w:r>
              <w:rPr>
                <w:spacing w:val="-5"/>
                <w:sz w:val="20"/>
              </w:rPr>
              <w:t>KFW</w:t>
            </w:r>
          </w:p>
        </w:tc>
        <w:tc>
          <w:tcPr>
            <w:tcW w:w="1226" w:type="dxa"/>
            <w:tcBorders>
              <w:top w:val="double" w:sz="6" w:space="0" w:color="000000"/>
            </w:tcBorders>
          </w:tcPr>
          <w:p>
            <w:pPr>
              <w:pStyle w:val="TableParagraph"/>
              <w:spacing w:line="215" w:lineRule="exact" w:before="40"/>
              <w:ind w:left="47" w:right="51"/>
              <w:jc w:val="center"/>
              <w:rPr>
                <w:sz w:val="20"/>
              </w:rPr>
            </w:pPr>
            <w:r>
              <w:rPr>
                <w:spacing w:val="-2"/>
                <w:sz w:val="20"/>
              </w:rPr>
              <w:t>EXTDEBT</w:t>
            </w:r>
          </w:p>
        </w:tc>
        <w:tc>
          <w:tcPr>
            <w:tcW w:w="1017" w:type="dxa"/>
            <w:tcBorders>
              <w:top w:val="double" w:sz="6" w:space="0" w:color="000000"/>
            </w:tcBorders>
          </w:tcPr>
          <w:p>
            <w:pPr>
              <w:pStyle w:val="TableParagraph"/>
              <w:spacing w:line="215" w:lineRule="exact" w:before="40"/>
              <w:ind w:left="51" w:right="52"/>
              <w:jc w:val="center"/>
              <w:rPr>
                <w:sz w:val="20"/>
              </w:rPr>
            </w:pPr>
            <w:r>
              <w:rPr>
                <w:spacing w:val="-5"/>
                <w:sz w:val="20"/>
              </w:rPr>
              <w:t>DOP</w:t>
            </w:r>
          </w:p>
        </w:tc>
        <w:tc>
          <w:tcPr>
            <w:tcW w:w="992" w:type="dxa"/>
            <w:tcBorders>
              <w:top w:val="double" w:sz="6" w:space="0" w:color="000000"/>
            </w:tcBorders>
          </w:tcPr>
          <w:p>
            <w:pPr>
              <w:pStyle w:val="TableParagraph"/>
              <w:spacing w:line="215" w:lineRule="exact" w:before="40"/>
              <w:ind w:left="83" w:right="48"/>
              <w:jc w:val="center"/>
              <w:rPr>
                <w:sz w:val="20"/>
              </w:rPr>
            </w:pPr>
            <w:r>
              <w:rPr>
                <w:spacing w:val="-5"/>
                <w:sz w:val="20"/>
              </w:rPr>
              <w:t>INF</w:t>
            </w:r>
          </w:p>
        </w:tc>
        <w:tc>
          <w:tcPr>
            <w:tcW w:w="946" w:type="dxa"/>
            <w:tcBorders>
              <w:top w:val="double" w:sz="6" w:space="0" w:color="000000"/>
            </w:tcBorders>
          </w:tcPr>
          <w:p>
            <w:pPr>
              <w:pStyle w:val="TableParagraph"/>
              <w:spacing w:line="215" w:lineRule="exact" w:before="40"/>
              <w:ind w:right="11"/>
              <w:jc w:val="center"/>
              <w:rPr>
                <w:sz w:val="20"/>
              </w:rPr>
            </w:pPr>
            <w:r>
              <w:rPr>
                <w:spacing w:val="-5"/>
                <w:sz w:val="20"/>
              </w:rPr>
              <w:t>GCF</w:t>
            </w:r>
          </w:p>
        </w:tc>
        <w:tc>
          <w:tcPr>
            <w:tcW w:w="989" w:type="dxa"/>
            <w:tcBorders>
              <w:top w:val="double" w:sz="6" w:space="0" w:color="000000"/>
            </w:tcBorders>
          </w:tcPr>
          <w:p>
            <w:pPr>
              <w:pStyle w:val="TableParagraph"/>
              <w:spacing w:line="215" w:lineRule="exact" w:before="40"/>
              <w:ind w:right="53"/>
              <w:jc w:val="center"/>
              <w:rPr>
                <w:sz w:val="20"/>
              </w:rPr>
            </w:pPr>
            <w:r>
              <w:rPr>
                <w:spacing w:val="-5"/>
                <w:sz w:val="20"/>
              </w:rPr>
              <w:t>DR</w:t>
            </w:r>
          </w:p>
        </w:tc>
        <w:tc>
          <w:tcPr>
            <w:tcW w:w="1238" w:type="dxa"/>
            <w:tcBorders>
              <w:top w:val="double" w:sz="6" w:space="0" w:color="000000"/>
            </w:tcBorders>
          </w:tcPr>
          <w:p>
            <w:pPr>
              <w:pStyle w:val="TableParagraph"/>
              <w:spacing w:line="215" w:lineRule="exact" w:before="40"/>
              <w:ind w:left="150"/>
              <w:rPr>
                <w:sz w:val="20"/>
              </w:rPr>
            </w:pPr>
            <w:r>
              <w:rPr>
                <w:spacing w:val="-2"/>
                <w:sz w:val="20"/>
              </w:rPr>
              <w:t>PRIVCR</w:t>
            </w:r>
          </w:p>
        </w:tc>
        <w:tc>
          <w:tcPr>
            <w:tcW w:w="1524" w:type="dxa"/>
            <w:tcBorders>
              <w:top w:val="double" w:sz="6" w:space="0" w:color="000000"/>
            </w:tcBorders>
          </w:tcPr>
          <w:p>
            <w:pPr>
              <w:pStyle w:val="TableParagraph"/>
              <w:spacing w:line="215" w:lineRule="exact" w:before="40"/>
              <w:ind w:right="99"/>
              <w:jc w:val="center"/>
              <w:rPr>
                <w:sz w:val="20"/>
              </w:rPr>
            </w:pPr>
            <w:r>
              <w:rPr>
                <w:spacing w:val="-2"/>
                <w:sz w:val="20"/>
              </w:rPr>
              <w:t>USIRD</w:t>
            </w:r>
          </w:p>
        </w:tc>
        <w:tc>
          <w:tcPr>
            <w:tcW w:w="1829" w:type="dxa"/>
            <w:tcBorders>
              <w:top w:val="double" w:sz="6" w:space="0" w:color="000000"/>
            </w:tcBorders>
          </w:tcPr>
          <w:p>
            <w:pPr>
              <w:pStyle w:val="TableParagraph"/>
              <w:spacing w:line="215" w:lineRule="exact" w:before="40"/>
              <w:ind w:right="238"/>
              <w:jc w:val="center"/>
              <w:rPr>
                <w:sz w:val="20"/>
              </w:rPr>
            </w:pPr>
            <w:r>
              <w:rPr>
                <w:spacing w:val="-4"/>
                <w:sz w:val="20"/>
              </w:rPr>
              <w:t>GOCE</w:t>
            </w:r>
          </w:p>
        </w:tc>
      </w:tr>
      <w:tr>
        <w:trPr>
          <w:trHeight w:val="230" w:hRule="atLeast"/>
        </w:trPr>
        <w:tc>
          <w:tcPr>
            <w:tcW w:w="1142" w:type="dxa"/>
          </w:tcPr>
          <w:p>
            <w:pPr>
              <w:pStyle w:val="TableParagraph"/>
              <w:spacing w:line="210" w:lineRule="exact"/>
              <w:ind w:left="73"/>
              <w:jc w:val="center"/>
              <w:rPr>
                <w:sz w:val="20"/>
              </w:rPr>
            </w:pPr>
            <w:r>
              <w:rPr>
                <w:spacing w:val="-2"/>
                <w:sz w:val="20"/>
              </w:rPr>
              <w:t>1.000000</w:t>
            </w:r>
          </w:p>
        </w:tc>
        <w:tc>
          <w:tcPr>
            <w:tcW w:w="1226" w:type="dxa"/>
          </w:tcPr>
          <w:p>
            <w:pPr>
              <w:pStyle w:val="TableParagraph"/>
              <w:spacing w:line="210" w:lineRule="exact"/>
              <w:ind w:left="51" w:right="4"/>
              <w:jc w:val="center"/>
              <w:rPr>
                <w:sz w:val="20"/>
              </w:rPr>
            </w:pPr>
            <w:r>
              <w:rPr>
                <w:spacing w:val="-2"/>
                <w:sz w:val="20"/>
              </w:rPr>
              <w:t>0.000000</w:t>
            </w:r>
          </w:p>
        </w:tc>
        <w:tc>
          <w:tcPr>
            <w:tcW w:w="1017" w:type="dxa"/>
          </w:tcPr>
          <w:p>
            <w:pPr>
              <w:pStyle w:val="TableParagraph"/>
              <w:spacing w:line="210" w:lineRule="exact"/>
              <w:ind w:left="52" w:right="1"/>
              <w:jc w:val="center"/>
              <w:rPr>
                <w:sz w:val="20"/>
              </w:rPr>
            </w:pPr>
            <w:r>
              <w:rPr>
                <w:spacing w:val="-2"/>
                <w:sz w:val="20"/>
              </w:rPr>
              <w:t>0.000000</w:t>
            </w:r>
          </w:p>
        </w:tc>
        <w:tc>
          <w:tcPr>
            <w:tcW w:w="992" w:type="dxa"/>
          </w:tcPr>
          <w:p>
            <w:pPr>
              <w:pStyle w:val="TableParagraph"/>
              <w:spacing w:line="210" w:lineRule="exact"/>
              <w:ind w:left="83"/>
              <w:jc w:val="center"/>
              <w:rPr>
                <w:sz w:val="20"/>
              </w:rPr>
            </w:pPr>
            <w:r>
              <w:rPr>
                <w:spacing w:val="-2"/>
                <w:sz w:val="20"/>
              </w:rPr>
              <w:t>0.000000</w:t>
            </w:r>
          </w:p>
        </w:tc>
        <w:tc>
          <w:tcPr>
            <w:tcW w:w="946" w:type="dxa"/>
          </w:tcPr>
          <w:p>
            <w:pPr>
              <w:pStyle w:val="TableParagraph"/>
              <w:spacing w:line="210" w:lineRule="exact"/>
              <w:ind w:left="36"/>
              <w:jc w:val="center"/>
              <w:rPr>
                <w:sz w:val="20"/>
              </w:rPr>
            </w:pPr>
            <w:r>
              <w:rPr>
                <w:spacing w:val="-2"/>
                <w:sz w:val="20"/>
              </w:rPr>
              <w:t>0.000000</w:t>
            </w:r>
          </w:p>
        </w:tc>
        <w:tc>
          <w:tcPr>
            <w:tcW w:w="989" w:type="dxa"/>
          </w:tcPr>
          <w:p>
            <w:pPr>
              <w:pStyle w:val="TableParagraph"/>
              <w:spacing w:line="210" w:lineRule="exact"/>
              <w:ind w:left="3" w:right="55"/>
              <w:jc w:val="center"/>
              <w:rPr>
                <w:sz w:val="20"/>
              </w:rPr>
            </w:pPr>
            <w:r>
              <w:rPr>
                <w:spacing w:val="-4"/>
                <w:sz w:val="20"/>
              </w:rPr>
              <w:t>-</w:t>
            </w:r>
            <w:r>
              <w:rPr>
                <w:spacing w:val="-2"/>
                <w:sz w:val="20"/>
              </w:rPr>
              <w:t>0.204259</w:t>
            </w:r>
          </w:p>
        </w:tc>
        <w:tc>
          <w:tcPr>
            <w:tcW w:w="1238" w:type="dxa"/>
          </w:tcPr>
          <w:p>
            <w:pPr>
              <w:pStyle w:val="TableParagraph"/>
              <w:spacing w:line="210" w:lineRule="exact"/>
              <w:ind w:left="102"/>
              <w:rPr>
                <w:sz w:val="20"/>
              </w:rPr>
            </w:pPr>
            <w:r>
              <w:rPr>
                <w:spacing w:val="-4"/>
                <w:sz w:val="20"/>
              </w:rPr>
              <w:t>-</w:t>
            </w:r>
            <w:r>
              <w:rPr>
                <w:spacing w:val="-2"/>
                <w:sz w:val="20"/>
              </w:rPr>
              <w:t>0.616414</w:t>
            </w:r>
          </w:p>
        </w:tc>
        <w:tc>
          <w:tcPr>
            <w:tcW w:w="1524" w:type="dxa"/>
          </w:tcPr>
          <w:p>
            <w:pPr>
              <w:pStyle w:val="TableParagraph"/>
              <w:spacing w:line="210" w:lineRule="exact"/>
              <w:ind w:left="3" w:right="99"/>
              <w:jc w:val="center"/>
              <w:rPr>
                <w:sz w:val="20"/>
              </w:rPr>
            </w:pPr>
            <w:r>
              <w:rPr>
                <w:spacing w:val="-4"/>
                <w:sz w:val="20"/>
              </w:rPr>
              <w:t>-</w:t>
            </w:r>
            <w:r>
              <w:rPr>
                <w:spacing w:val="-2"/>
                <w:sz w:val="20"/>
              </w:rPr>
              <w:t>0.126311</w:t>
            </w:r>
          </w:p>
        </w:tc>
        <w:tc>
          <w:tcPr>
            <w:tcW w:w="1829" w:type="dxa"/>
          </w:tcPr>
          <w:p>
            <w:pPr>
              <w:pStyle w:val="TableParagraph"/>
              <w:spacing w:line="210" w:lineRule="exact"/>
              <w:ind w:right="238"/>
              <w:jc w:val="center"/>
              <w:rPr>
                <w:sz w:val="20"/>
              </w:rPr>
            </w:pPr>
            <w:r>
              <w:rPr>
                <w:spacing w:val="-4"/>
                <w:sz w:val="20"/>
              </w:rPr>
              <w:t>-</w:t>
            </w:r>
            <w:r>
              <w:rPr>
                <w:spacing w:val="-2"/>
                <w:sz w:val="20"/>
              </w:rPr>
              <w:t>0.292864</w:t>
            </w:r>
          </w:p>
        </w:tc>
      </w:tr>
      <w:tr>
        <w:trPr>
          <w:trHeight w:val="230" w:hRule="atLeast"/>
        </w:trPr>
        <w:tc>
          <w:tcPr>
            <w:tcW w:w="1142" w:type="dxa"/>
          </w:tcPr>
          <w:p>
            <w:pPr>
              <w:pStyle w:val="TableParagraph"/>
              <w:rPr>
                <w:sz w:val="16"/>
              </w:rPr>
            </w:pPr>
          </w:p>
        </w:tc>
        <w:tc>
          <w:tcPr>
            <w:tcW w:w="1226" w:type="dxa"/>
          </w:tcPr>
          <w:p>
            <w:pPr>
              <w:pStyle w:val="TableParagraph"/>
              <w:rPr>
                <w:sz w:val="16"/>
              </w:rPr>
            </w:pPr>
          </w:p>
        </w:tc>
        <w:tc>
          <w:tcPr>
            <w:tcW w:w="1017" w:type="dxa"/>
          </w:tcPr>
          <w:p>
            <w:pPr>
              <w:pStyle w:val="TableParagraph"/>
              <w:rPr>
                <w:sz w:val="16"/>
              </w:rPr>
            </w:pPr>
          </w:p>
        </w:tc>
        <w:tc>
          <w:tcPr>
            <w:tcW w:w="992" w:type="dxa"/>
          </w:tcPr>
          <w:p>
            <w:pPr>
              <w:pStyle w:val="TableParagraph"/>
              <w:rPr>
                <w:sz w:val="16"/>
              </w:rPr>
            </w:pPr>
          </w:p>
        </w:tc>
        <w:tc>
          <w:tcPr>
            <w:tcW w:w="946" w:type="dxa"/>
          </w:tcPr>
          <w:p>
            <w:pPr>
              <w:pStyle w:val="TableParagraph"/>
              <w:rPr>
                <w:sz w:val="16"/>
              </w:rPr>
            </w:pPr>
          </w:p>
        </w:tc>
        <w:tc>
          <w:tcPr>
            <w:tcW w:w="989" w:type="dxa"/>
          </w:tcPr>
          <w:p>
            <w:pPr>
              <w:pStyle w:val="TableParagraph"/>
              <w:spacing w:line="210" w:lineRule="exact"/>
              <w:ind w:right="4"/>
              <w:jc w:val="center"/>
              <w:rPr>
                <w:sz w:val="20"/>
              </w:rPr>
            </w:pPr>
            <w:r>
              <w:rPr>
                <w:spacing w:val="-2"/>
                <w:sz w:val="20"/>
              </w:rPr>
              <w:t>(0.20355)</w:t>
            </w:r>
          </w:p>
        </w:tc>
        <w:tc>
          <w:tcPr>
            <w:tcW w:w="1238" w:type="dxa"/>
          </w:tcPr>
          <w:p>
            <w:pPr>
              <w:pStyle w:val="TableParagraph"/>
              <w:spacing w:line="210" w:lineRule="exact"/>
              <w:ind w:left="145"/>
              <w:rPr>
                <w:sz w:val="20"/>
              </w:rPr>
            </w:pPr>
            <w:r>
              <w:rPr>
                <w:spacing w:val="-2"/>
                <w:sz w:val="20"/>
              </w:rPr>
              <w:t>(0.25029)</w:t>
            </w:r>
          </w:p>
        </w:tc>
        <w:tc>
          <w:tcPr>
            <w:tcW w:w="1524" w:type="dxa"/>
          </w:tcPr>
          <w:p>
            <w:pPr>
              <w:pStyle w:val="TableParagraph"/>
              <w:spacing w:line="210" w:lineRule="exact"/>
              <w:ind w:left="56" w:right="99"/>
              <w:jc w:val="center"/>
              <w:rPr>
                <w:sz w:val="20"/>
              </w:rPr>
            </w:pPr>
            <w:r>
              <w:rPr>
                <w:spacing w:val="-2"/>
                <w:sz w:val="20"/>
              </w:rPr>
              <w:t>(0.23282)</w:t>
            </w:r>
          </w:p>
        </w:tc>
        <w:tc>
          <w:tcPr>
            <w:tcW w:w="1829" w:type="dxa"/>
          </w:tcPr>
          <w:p>
            <w:pPr>
              <w:pStyle w:val="TableParagraph"/>
              <w:spacing w:line="210" w:lineRule="exact"/>
              <w:ind w:left="53" w:right="238"/>
              <w:jc w:val="center"/>
              <w:rPr>
                <w:sz w:val="20"/>
              </w:rPr>
            </w:pPr>
            <w:r>
              <w:rPr>
                <w:spacing w:val="-2"/>
                <w:sz w:val="20"/>
              </w:rPr>
              <w:t>(0.31865)</w:t>
            </w:r>
          </w:p>
        </w:tc>
      </w:tr>
      <w:tr>
        <w:trPr>
          <w:trHeight w:val="230" w:hRule="atLeast"/>
        </w:trPr>
        <w:tc>
          <w:tcPr>
            <w:tcW w:w="1142" w:type="dxa"/>
          </w:tcPr>
          <w:p>
            <w:pPr>
              <w:pStyle w:val="TableParagraph"/>
              <w:spacing w:line="210" w:lineRule="exact"/>
              <w:ind w:left="73"/>
              <w:jc w:val="center"/>
              <w:rPr>
                <w:sz w:val="20"/>
              </w:rPr>
            </w:pPr>
            <w:r>
              <w:rPr>
                <w:spacing w:val="-2"/>
                <w:sz w:val="20"/>
              </w:rPr>
              <w:t>0.000000</w:t>
            </w:r>
          </w:p>
        </w:tc>
        <w:tc>
          <w:tcPr>
            <w:tcW w:w="1226" w:type="dxa"/>
          </w:tcPr>
          <w:p>
            <w:pPr>
              <w:pStyle w:val="TableParagraph"/>
              <w:spacing w:line="210" w:lineRule="exact"/>
              <w:ind w:left="51" w:right="4"/>
              <w:jc w:val="center"/>
              <w:rPr>
                <w:sz w:val="20"/>
              </w:rPr>
            </w:pPr>
            <w:r>
              <w:rPr>
                <w:spacing w:val="-2"/>
                <w:sz w:val="20"/>
              </w:rPr>
              <w:t>1.000000</w:t>
            </w:r>
          </w:p>
        </w:tc>
        <w:tc>
          <w:tcPr>
            <w:tcW w:w="1017" w:type="dxa"/>
          </w:tcPr>
          <w:p>
            <w:pPr>
              <w:pStyle w:val="TableParagraph"/>
              <w:spacing w:line="210" w:lineRule="exact"/>
              <w:ind w:left="52" w:right="1"/>
              <w:jc w:val="center"/>
              <w:rPr>
                <w:sz w:val="20"/>
              </w:rPr>
            </w:pPr>
            <w:r>
              <w:rPr>
                <w:spacing w:val="-2"/>
                <w:sz w:val="20"/>
              </w:rPr>
              <w:t>0.000000</w:t>
            </w:r>
          </w:p>
        </w:tc>
        <w:tc>
          <w:tcPr>
            <w:tcW w:w="992" w:type="dxa"/>
          </w:tcPr>
          <w:p>
            <w:pPr>
              <w:pStyle w:val="TableParagraph"/>
              <w:spacing w:line="210" w:lineRule="exact"/>
              <w:ind w:left="83"/>
              <w:jc w:val="center"/>
              <w:rPr>
                <w:sz w:val="20"/>
              </w:rPr>
            </w:pPr>
            <w:r>
              <w:rPr>
                <w:spacing w:val="-2"/>
                <w:sz w:val="20"/>
              </w:rPr>
              <w:t>0.000000</w:t>
            </w:r>
          </w:p>
        </w:tc>
        <w:tc>
          <w:tcPr>
            <w:tcW w:w="946" w:type="dxa"/>
          </w:tcPr>
          <w:p>
            <w:pPr>
              <w:pStyle w:val="TableParagraph"/>
              <w:spacing w:line="210" w:lineRule="exact"/>
              <w:ind w:left="36"/>
              <w:jc w:val="center"/>
              <w:rPr>
                <w:sz w:val="20"/>
              </w:rPr>
            </w:pPr>
            <w:r>
              <w:rPr>
                <w:spacing w:val="-2"/>
                <w:sz w:val="20"/>
              </w:rPr>
              <w:t>0.000000</w:t>
            </w:r>
          </w:p>
        </w:tc>
        <w:tc>
          <w:tcPr>
            <w:tcW w:w="989" w:type="dxa"/>
          </w:tcPr>
          <w:p>
            <w:pPr>
              <w:pStyle w:val="TableParagraph"/>
              <w:spacing w:line="210" w:lineRule="exact"/>
              <w:ind w:left="3" w:right="55"/>
              <w:jc w:val="center"/>
              <w:rPr>
                <w:sz w:val="20"/>
              </w:rPr>
            </w:pPr>
            <w:r>
              <w:rPr>
                <w:spacing w:val="-4"/>
                <w:sz w:val="20"/>
              </w:rPr>
              <w:t>-</w:t>
            </w:r>
            <w:r>
              <w:rPr>
                <w:spacing w:val="-2"/>
                <w:sz w:val="20"/>
              </w:rPr>
              <w:t>1.090077</w:t>
            </w:r>
          </w:p>
        </w:tc>
        <w:tc>
          <w:tcPr>
            <w:tcW w:w="1238" w:type="dxa"/>
          </w:tcPr>
          <w:p>
            <w:pPr>
              <w:pStyle w:val="TableParagraph"/>
              <w:spacing w:line="210" w:lineRule="exact"/>
              <w:ind w:left="162"/>
              <w:rPr>
                <w:sz w:val="20"/>
              </w:rPr>
            </w:pPr>
            <w:r>
              <w:rPr>
                <w:spacing w:val="-2"/>
                <w:sz w:val="20"/>
              </w:rPr>
              <w:t>0.334536</w:t>
            </w:r>
          </w:p>
        </w:tc>
        <w:tc>
          <w:tcPr>
            <w:tcW w:w="1524" w:type="dxa"/>
          </w:tcPr>
          <w:p>
            <w:pPr>
              <w:pStyle w:val="TableParagraph"/>
              <w:spacing w:line="210" w:lineRule="exact"/>
              <w:ind w:left="3" w:right="99"/>
              <w:jc w:val="center"/>
              <w:rPr>
                <w:sz w:val="20"/>
              </w:rPr>
            </w:pPr>
            <w:r>
              <w:rPr>
                <w:spacing w:val="-4"/>
                <w:sz w:val="20"/>
              </w:rPr>
              <w:t>-</w:t>
            </w:r>
            <w:r>
              <w:rPr>
                <w:spacing w:val="-2"/>
                <w:sz w:val="20"/>
              </w:rPr>
              <w:t>1.679868</w:t>
            </w:r>
          </w:p>
        </w:tc>
        <w:tc>
          <w:tcPr>
            <w:tcW w:w="1829" w:type="dxa"/>
          </w:tcPr>
          <w:p>
            <w:pPr>
              <w:pStyle w:val="TableParagraph"/>
              <w:spacing w:line="210" w:lineRule="exact"/>
              <w:ind w:right="238"/>
              <w:jc w:val="center"/>
              <w:rPr>
                <w:sz w:val="20"/>
              </w:rPr>
            </w:pPr>
            <w:r>
              <w:rPr>
                <w:spacing w:val="-4"/>
                <w:sz w:val="20"/>
              </w:rPr>
              <w:t>-</w:t>
            </w:r>
            <w:r>
              <w:rPr>
                <w:spacing w:val="-2"/>
                <w:sz w:val="20"/>
              </w:rPr>
              <w:t>1.264106</w:t>
            </w:r>
          </w:p>
        </w:tc>
      </w:tr>
      <w:tr>
        <w:trPr>
          <w:trHeight w:val="230" w:hRule="atLeast"/>
        </w:trPr>
        <w:tc>
          <w:tcPr>
            <w:tcW w:w="1142" w:type="dxa"/>
          </w:tcPr>
          <w:p>
            <w:pPr>
              <w:pStyle w:val="TableParagraph"/>
              <w:rPr>
                <w:sz w:val="16"/>
              </w:rPr>
            </w:pPr>
          </w:p>
        </w:tc>
        <w:tc>
          <w:tcPr>
            <w:tcW w:w="1226" w:type="dxa"/>
          </w:tcPr>
          <w:p>
            <w:pPr>
              <w:pStyle w:val="TableParagraph"/>
              <w:rPr>
                <w:sz w:val="16"/>
              </w:rPr>
            </w:pPr>
          </w:p>
        </w:tc>
        <w:tc>
          <w:tcPr>
            <w:tcW w:w="1017" w:type="dxa"/>
          </w:tcPr>
          <w:p>
            <w:pPr>
              <w:pStyle w:val="TableParagraph"/>
              <w:rPr>
                <w:sz w:val="16"/>
              </w:rPr>
            </w:pPr>
          </w:p>
        </w:tc>
        <w:tc>
          <w:tcPr>
            <w:tcW w:w="992" w:type="dxa"/>
          </w:tcPr>
          <w:p>
            <w:pPr>
              <w:pStyle w:val="TableParagraph"/>
              <w:rPr>
                <w:sz w:val="16"/>
              </w:rPr>
            </w:pPr>
          </w:p>
        </w:tc>
        <w:tc>
          <w:tcPr>
            <w:tcW w:w="946" w:type="dxa"/>
          </w:tcPr>
          <w:p>
            <w:pPr>
              <w:pStyle w:val="TableParagraph"/>
              <w:rPr>
                <w:sz w:val="16"/>
              </w:rPr>
            </w:pPr>
          </w:p>
        </w:tc>
        <w:tc>
          <w:tcPr>
            <w:tcW w:w="989" w:type="dxa"/>
          </w:tcPr>
          <w:p>
            <w:pPr>
              <w:pStyle w:val="TableParagraph"/>
              <w:spacing w:line="210" w:lineRule="exact"/>
              <w:ind w:right="4"/>
              <w:jc w:val="center"/>
              <w:rPr>
                <w:sz w:val="20"/>
              </w:rPr>
            </w:pPr>
            <w:r>
              <w:rPr>
                <w:spacing w:val="-2"/>
                <w:sz w:val="20"/>
              </w:rPr>
              <w:t>(0.25994)</w:t>
            </w:r>
          </w:p>
        </w:tc>
        <w:tc>
          <w:tcPr>
            <w:tcW w:w="1238" w:type="dxa"/>
          </w:tcPr>
          <w:p>
            <w:pPr>
              <w:pStyle w:val="TableParagraph"/>
              <w:spacing w:line="210" w:lineRule="exact"/>
              <w:ind w:left="145"/>
              <w:rPr>
                <w:sz w:val="20"/>
              </w:rPr>
            </w:pPr>
            <w:r>
              <w:rPr>
                <w:spacing w:val="-2"/>
                <w:sz w:val="20"/>
              </w:rPr>
              <w:t>(0.31963)</w:t>
            </w:r>
          </w:p>
        </w:tc>
        <w:tc>
          <w:tcPr>
            <w:tcW w:w="1524" w:type="dxa"/>
          </w:tcPr>
          <w:p>
            <w:pPr>
              <w:pStyle w:val="TableParagraph"/>
              <w:spacing w:line="210" w:lineRule="exact"/>
              <w:ind w:left="56" w:right="99"/>
              <w:jc w:val="center"/>
              <w:rPr>
                <w:sz w:val="20"/>
              </w:rPr>
            </w:pPr>
            <w:r>
              <w:rPr>
                <w:spacing w:val="-2"/>
                <w:sz w:val="20"/>
              </w:rPr>
              <w:t>(0.29732)</w:t>
            </w:r>
          </w:p>
        </w:tc>
        <w:tc>
          <w:tcPr>
            <w:tcW w:w="1829" w:type="dxa"/>
          </w:tcPr>
          <w:p>
            <w:pPr>
              <w:pStyle w:val="TableParagraph"/>
              <w:spacing w:line="210" w:lineRule="exact"/>
              <w:ind w:left="53" w:right="238"/>
              <w:jc w:val="center"/>
              <w:rPr>
                <w:sz w:val="20"/>
              </w:rPr>
            </w:pPr>
            <w:r>
              <w:rPr>
                <w:spacing w:val="-2"/>
                <w:sz w:val="20"/>
              </w:rPr>
              <w:t>(0.40693)</w:t>
            </w:r>
          </w:p>
        </w:tc>
      </w:tr>
      <w:tr>
        <w:trPr>
          <w:trHeight w:val="229" w:hRule="atLeast"/>
        </w:trPr>
        <w:tc>
          <w:tcPr>
            <w:tcW w:w="1142" w:type="dxa"/>
          </w:tcPr>
          <w:p>
            <w:pPr>
              <w:pStyle w:val="TableParagraph"/>
              <w:spacing w:line="209" w:lineRule="exact"/>
              <w:ind w:left="73"/>
              <w:jc w:val="center"/>
              <w:rPr>
                <w:sz w:val="20"/>
              </w:rPr>
            </w:pPr>
            <w:r>
              <w:rPr>
                <w:spacing w:val="-2"/>
                <w:sz w:val="20"/>
              </w:rPr>
              <w:t>0.000000</w:t>
            </w:r>
          </w:p>
        </w:tc>
        <w:tc>
          <w:tcPr>
            <w:tcW w:w="1226" w:type="dxa"/>
          </w:tcPr>
          <w:p>
            <w:pPr>
              <w:pStyle w:val="TableParagraph"/>
              <w:spacing w:line="209" w:lineRule="exact"/>
              <w:ind w:left="51" w:right="4"/>
              <w:jc w:val="center"/>
              <w:rPr>
                <w:sz w:val="20"/>
              </w:rPr>
            </w:pPr>
            <w:r>
              <w:rPr>
                <w:spacing w:val="-2"/>
                <w:sz w:val="20"/>
              </w:rPr>
              <w:t>0.000000</w:t>
            </w:r>
          </w:p>
        </w:tc>
        <w:tc>
          <w:tcPr>
            <w:tcW w:w="1017" w:type="dxa"/>
          </w:tcPr>
          <w:p>
            <w:pPr>
              <w:pStyle w:val="TableParagraph"/>
              <w:spacing w:line="209" w:lineRule="exact"/>
              <w:ind w:left="52" w:right="1"/>
              <w:jc w:val="center"/>
              <w:rPr>
                <w:sz w:val="20"/>
              </w:rPr>
            </w:pPr>
            <w:r>
              <w:rPr>
                <w:spacing w:val="-2"/>
                <w:sz w:val="20"/>
              </w:rPr>
              <w:t>1.000000</w:t>
            </w:r>
          </w:p>
        </w:tc>
        <w:tc>
          <w:tcPr>
            <w:tcW w:w="992" w:type="dxa"/>
          </w:tcPr>
          <w:p>
            <w:pPr>
              <w:pStyle w:val="TableParagraph"/>
              <w:spacing w:line="209" w:lineRule="exact"/>
              <w:ind w:left="83"/>
              <w:jc w:val="center"/>
              <w:rPr>
                <w:sz w:val="20"/>
              </w:rPr>
            </w:pPr>
            <w:r>
              <w:rPr>
                <w:spacing w:val="-2"/>
                <w:sz w:val="20"/>
              </w:rPr>
              <w:t>0.000000</w:t>
            </w:r>
          </w:p>
        </w:tc>
        <w:tc>
          <w:tcPr>
            <w:tcW w:w="946" w:type="dxa"/>
          </w:tcPr>
          <w:p>
            <w:pPr>
              <w:pStyle w:val="TableParagraph"/>
              <w:spacing w:line="209" w:lineRule="exact"/>
              <w:ind w:left="36"/>
              <w:jc w:val="center"/>
              <w:rPr>
                <w:sz w:val="20"/>
              </w:rPr>
            </w:pPr>
            <w:r>
              <w:rPr>
                <w:spacing w:val="-2"/>
                <w:sz w:val="20"/>
              </w:rPr>
              <w:t>0.000000</w:t>
            </w:r>
          </w:p>
        </w:tc>
        <w:tc>
          <w:tcPr>
            <w:tcW w:w="989" w:type="dxa"/>
          </w:tcPr>
          <w:p>
            <w:pPr>
              <w:pStyle w:val="TableParagraph"/>
              <w:spacing w:line="209" w:lineRule="exact"/>
              <w:ind w:right="4"/>
              <w:jc w:val="center"/>
              <w:rPr>
                <w:sz w:val="20"/>
              </w:rPr>
            </w:pPr>
            <w:r>
              <w:rPr>
                <w:spacing w:val="-2"/>
                <w:sz w:val="20"/>
              </w:rPr>
              <w:t>0.212731</w:t>
            </w:r>
          </w:p>
        </w:tc>
        <w:tc>
          <w:tcPr>
            <w:tcW w:w="1238" w:type="dxa"/>
          </w:tcPr>
          <w:p>
            <w:pPr>
              <w:pStyle w:val="TableParagraph"/>
              <w:spacing w:line="209" w:lineRule="exact"/>
              <w:ind w:left="102"/>
              <w:rPr>
                <w:sz w:val="20"/>
              </w:rPr>
            </w:pPr>
            <w:r>
              <w:rPr>
                <w:spacing w:val="-4"/>
                <w:sz w:val="20"/>
              </w:rPr>
              <w:t>-</w:t>
            </w:r>
            <w:r>
              <w:rPr>
                <w:spacing w:val="-2"/>
                <w:sz w:val="20"/>
              </w:rPr>
              <w:t>0.013915</w:t>
            </w:r>
          </w:p>
        </w:tc>
        <w:tc>
          <w:tcPr>
            <w:tcW w:w="1524" w:type="dxa"/>
          </w:tcPr>
          <w:p>
            <w:pPr>
              <w:pStyle w:val="TableParagraph"/>
              <w:spacing w:line="209" w:lineRule="exact"/>
              <w:ind w:left="3" w:right="99"/>
              <w:jc w:val="center"/>
              <w:rPr>
                <w:sz w:val="20"/>
              </w:rPr>
            </w:pPr>
            <w:r>
              <w:rPr>
                <w:spacing w:val="-4"/>
                <w:sz w:val="20"/>
              </w:rPr>
              <w:t>-</w:t>
            </w:r>
            <w:r>
              <w:rPr>
                <w:spacing w:val="-2"/>
                <w:sz w:val="20"/>
              </w:rPr>
              <w:t>0.343812</w:t>
            </w:r>
          </w:p>
        </w:tc>
        <w:tc>
          <w:tcPr>
            <w:tcW w:w="1829" w:type="dxa"/>
          </w:tcPr>
          <w:p>
            <w:pPr>
              <w:pStyle w:val="TableParagraph"/>
              <w:spacing w:line="209" w:lineRule="exact"/>
              <w:ind w:left="53" w:right="238"/>
              <w:jc w:val="center"/>
              <w:rPr>
                <w:sz w:val="20"/>
              </w:rPr>
            </w:pPr>
            <w:r>
              <w:rPr>
                <w:spacing w:val="-2"/>
                <w:sz w:val="20"/>
              </w:rPr>
              <w:t>0.125770</w:t>
            </w:r>
          </w:p>
        </w:tc>
      </w:tr>
      <w:tr>
        <w:trPr>
          <w:trHeight w:val="229" w:hRule="atLeast"/>
        </w:trPr>
        <w:tc>
          <w:tcPr>
            <w:tcW w:w="1142" w:type="dxa"/>
          </w:tcPr>
          <w:p>
            <w:pPr>
              <w:pStyle w:val="TableParagraph"/>
              <w:rPr>
                <w:sz w:val="16"/>
              </w:rPr>
            </w:pPr>
          </w:p>
        </w:tc>
        <w:tc>
          <w:tcPr>
            <w:tcW w:w="1226" w:type="dxa"/>
          </w:tcPr>
          <w:p>
            <w:pPr>
              <w:pStyle w:val="TableParagraph"/>
              <w:rPr>
                <w:sz w:val="16"/>
              </w:rPr>
            </w:pPr>
          </w:p>
        </w:tc>
        <w:tc>
          <w:tcPr>
            <w:tcW w:w="1017" w:type="dxa"/>
          </w:tcPr>
          <w:p>
            <w:pPr>
              <w:pStyle w:val="TableParagraph"/>
              <w:rPr>
                <w:sz w:val="16"/>
              </w:rPr>
            </w:pPr>
          </w:p>
        </w:tc>
        <w:tc>
          <w:tcPr>
            <w:tcW w:w="992" w:type="dxa"/>
          </w:tcPr>
          <w:p>
            <w:pPr>
              <w:pStyle w:val="TableParagraph"/>
              <w:rPr>
                <w:sz w:val="16"/>
              </w:rPr>
            </w:pPr>
          </w:p>
        </w:tc>
        <w:tc>
          <w:tcPr>
            <w:tcW w:w="946" w:type="dxa"/>
          </w:tcPr>
          <w:p>
            <w:pPr>
              <w:pStyle w:val="TableParagraph"/>
              <w:rPr>
                <w:sz w:val="16"/>
              </w:rPr>
            </w:pPr>
          </w:p>
        </w:tc>
        <w:tc>
          <w:tcPr>
            <w:tcW w:w="989" w:type="dxa"/>
          </w:tcPr>
          <w:p>
            <w:pPr>
              <w:pStyle w:val="TableParagraph"/>
              <w:spacing w:line="210" w:lineRule="exact"/>
              <w:ind w:right="4"/>
              <w:jc w:val="center"/>
              <w:rPr>
                <w:sz w:val="20"/>
              </w:rPr>
            </w:pPr>
            <w:r>
              <w:rPr>
                <w:spacing w:val="-2"/>
                <w:sz w:val="20"/>
              </w:rPr>
              <w:t>(0.08967)</w:t>
            </w:r>
          </w:p>
        </w:tc>
        <w:tc>
          <w:tcPr>
            <w:tcW w:w="1238" w:type="dxa"/>
          </w:tcPr>
          <w:p>
            <w:pPr>
              <w:pStyle w:val="TableParagraph"/>
              <w:spacing w:line="210" w:lineRule="exact"/>
              <w:ind w:left="145"/>
              <w:rPr>
                <w:sz w:val="20"/>
              </w:rPr>
            </w:pPr>
            <w:r>
              <w:rPr>
                <w:spacing w:val="-2"/>
                <w:sz w:val="20"/>
              </w:rPr>
              <w:t>(0.11025)</w:t>
            </w:r>
          </w:p>
        </w:tc>
        <w:tc>
          <w:tcPr>
            <w:tcW w:w="1524" w:type="dxa"/>
          </w:tcPr>
          <w:p>
            <w:pPr>
              <w:pStyle w:val="TableParagraph"/>
              <w:spacing w:line="210" w:lineRule="exact"/>
              <w:ind w:left="56" w:right="99"/>
              <w:jc w:val="center"/>
              <w:rPr>
                <w:sz w:val="20"/>
              </w:rPr>
            </w:pPr>
            <w:r>
              <w:rPr>
                <w:spacing w:val="-2"/>
                <w:sz w:val="20"/>
              </w:rPr>
              <w:t>(0.10256)</w:t>
            </w:r>
          </w:p>
        </w:tc>
        <w:tc>
          <w:tcPr>
            <w:tcW w:w="1829" w:type="dxa"/>
          </w:tcPr>
          <w:p>
            <w:pPr>
              <w:pStyle w:val="TableParagraph"/>
              <w:spacing w:line="210" w:lineRule="exact"/>
              <w:ind w:left="53" w:right="238"/>
              <w:jc w:val="center"/>
              <w:rPr>
                <w:sz w:val="20"/>
              </w:rPr>
            </w:pPr>
            <w:r>
              <w:rPr>
                <w:spacing w:val="-2"/>
                <w:sz w:val="20"/>
              </w:rPr>
              <w:t>(0.14037)</w:t>
            </w:r>
          </w:p>
        </w:tc>
      </w:tr>
      <w:tr>
        <w:trPr>
          <w:trHeight w:val="230" w:hRule="atLeast"/>
        </w:trPr>
        <w:tc>
          <w:tcPr>
            <w:tcW w:w="1142" w:type="dxa"/>
          </w:tcPr>
          <w:p>
            <w:pPr>
              <w:pStyle w:val="TableParagraph"/>
              <w:spacing w:line="210" w:lineRule="exact"/>
              <w:ind w:left="73"/>
              <w:jc w:val="center"/>
              <w:rPr>
                <w:sz w:val="20"/>
              </w:rPr>
            </w:pPr>
            <w:r>
              <w:rPr>
                <w:spacing w:val="-2"/>
                <w:sz w:val="20"/>
              </w:rPr>
              <w:t>0.000000</w:t>
            </w:r>
          </w:p>
        </w:tc>
        <w:tc>
          <w:tcPr>
            <w:tcW w:w="1226" w:type="dxa"/>
          </w:tcPr>
          <w:p>
            <w:pPr>
              <w:pStyle w:val="TableParagraph"/>
              <w:spacing w:line="210" w:lineRule="exact"/>
              <w:ind w:left="51" w:right="4"/>
              <w:jc w:val="center"/>
              <w:rPr>
                <w:sz w:val="20"/>
              </w:rPr>
            </w:pPr>
            <w:r>
              <w:rPr>
                <w:spacing w:val="-2"/>
                <w:sz w:val="20"/>
              </w:rPr>
              <w:t>0.000000</w:t>
            </w:r>
          </w:p>
        </w:tc>
        <w:tc>
          <w:tcPr>
            <w:tcW w:w="1017" w:type="dxa"/>
          </w:tcPr>
          <w:p>
            <w:pPr>
              <w:pStyle w:val="TableParagraph"/>
              <w:spacing w:line="210" w:lineRule="exact"/>
              <w:ind w:left="52" w:right="1"/>
              <w:jc w:val="center"/>
              <w:rPr>
                <w:sz w:val="20"/>
              </w:rPr>
            </w:pPr>
            <w:r>
              <w:rPr>
                <w:spacing w:val="-2"/>
                <w:sz w:val="20"/>
              </w:rPr>
              <w:t>0.000000</w:t>
            </w:r>
          </w:p>
        </w:tc>
        <w:tc>
          <w:tcPr>
            <w:tcW w:w="992" w:type="dxa"/>
          </w:tcPr>
          <w:p>
            <w:pPr>
              <w:pStyle w:val="TableParagraph"/>
              <w:spacing w:line="210" w:lineRule="exact"/>
              <w:ind w:left="83"/>
              <w:jc w:val="center"/>
              <w:rPr>
                <w:sz w:val="20"/>
              </w:rPr>
            </w:pPr>
            <w:r>
              <w:rPr>
                <w:spacing w:val="-2"/>
                <w:sz w:val="20"/>
              </w:rPr>
              <w:t>1.000000</w:t>
            </w:r>
          </w:p>
        </w:tc>
        <w:tc>
          <w:tcPr>
            <w:tcW w:w="946" w:type="dxa"/>
          </w:tcPr>
          <w:p>
            <w:pPr>
              <w:pStyle w:val="TableParagraph"/>
              <w:spacing w:line="210" w:lineRule="exact"/>
              <w:ind w:left="36"/>
              <w:jc w:val="center"/>
              <w:rPr>
                <w:sz w:val="20"/>
              </w:rPr>
            </w:pPr>
            <w:r>
              <w:rPr>
                <w:spacing w:val="-2"/>
                <w:sz w:val="20"/>
              </w:rPr>
              <w:t>0.000000</w:t>
            </w:r>
          </w:p>
        </w:tc>
        <w:tc>
          <w:tcPr>
            <w:tcW w:w="989" w:type="dxa"/>
          </w:tcPr>
          <w:p>
            <w:pPr>
              <w:pStyle w:val="TableParagraph"/>
              <w:spacing w:line="210" w:lineRule="exact"/>
              <w:ind w:left="3" w:right="55"/>
              <w:jc w:val="center"/>
              <w:rPr>
                <w:sz w:val="20"/>
              </w:rPr>
            </w:pPr>
            <w:r>
              <w:rPr>
                <w:spacing w:val="-4"/>
                <w:sz w:val="20"/>
              </w:rPr>
              <w:t>-</w:t>
            </w:r>
            <w:r>
              <w:rPr>
                <w:spacing w:val="-2"/>
                <w:sz w:val="20"/>
              </w:rPr>
              <w:t>0.692133</w:t>
            </w:r>
          </w:p>
        </w:tc>
        <w:tc>
          <w:tcPr>
            <w:tcW w:w="1238" w:type="dxa"/>
          </w:tcPr>
          <w:p>
            <w:pPr>
              <w:pStyle w:val="TableParagraph"/>
              <w:spacing w:line="210" w:lineRule="exact"/>
              <w:ind w:left="162"/>
              <w:rPr>
                <w:sz w:val="20"/>
              </w:rPr>
            </w:pPr>
            <w:r>
              <w:rPr>
                <w:spacing w:val="-2"/>
                <w:sz w:val="20"/>
              </w:rPr>
              <w:t>0.318850</w:t>
            </w:r>
          </w:p>
        </w:tc>
        <w:tc>
          <w:tcPr>
            <w:tcW w:w="1524" w:type="dxa"/>
          </w:tcPr>
          <w:p>
            <w:pPr>
              <w:pStyle w:val="TableParagraph"/>
              <w:spacing w:line="210" w:lineRule="exact"/>
              <w:ind w:left="56" w:right="99"/>
              <w:jc w:val="center"/>
              <w:rPr>
                <w:sz w:val="20"/>
              </w:rPr>
            </w:pPr>
            <w:r>
              <w:rPr>
                <w:spacing w:val="-2"/>
                <w:sz w:val="20"/>
              </w:rPr>
              <w:t>0.157008</w:t>
            </w:r>
          </w:p>
        </w:tc>
        <w:tc>
          <w:tcPr>
            <w:tcW w:w="1829" w:type="dxa"/>
          </w:tcPr>
          <w:p>
            <w:pPr>
              <w:pStyle w:val="TableParagraph"/>
              <w:spacing w:line="210" w:lineRule="exact"/>
              <w:ind w:right="238"/>
              <w:jc w:val="center"/>
              <w:rPr>
                <w:sz w:val="20"/>
              </w:rPr>
            </w:pPr>
            <w:r>
              <w:rPr>
                <w:spacing w:val="-4"/>
                <w:sz w:val="20"/>
              </w:rPr>
              <w:t>-</w:t>
            </w:r>
            <w:r>
              <w:rPr>
                <w:spacing w:val="-2"/>
                <w:sz w:val="20"/>
              </w:rPr>
              <w:t>0.328309</w:t>
            </w:r>
          </w:p>
        </w:tc>
      </w:tr>
      <w:tr>
        <w:trPr>
          <w:trHeight w:val="230" w:hRule="atLeast"/>
        </w:trPr>
        <w:tc>
          <w:tcPr>
            <w:tcW w:w="1142" w:type="dxa"/>
          </w:tcPr>
          <w:p>
            <w:pPr>
              <w:pStyle w:val="TableParagraph"/>
              <w:rPr>
                <w:sz w:val="16"/>
              </w:rPr>
            </w:pPr>
          </w:p>
        </w:tc>
        <w:tc>
          <w:tcPr>
            <w:tcW w:w="1226" w:type="dxa"/>
          </w:tcPr>
          <w:p>
            <w:pPr>
              <w:pStyle w:val="TableParagraph"/>
              <w:rPr>
                <w:sz w:val="16"/>
              </w:rPr>
            </w:pPr>
          </w:p>
        </w:tc>
        <w:tc>
          <w:tcPr>
            <w:tcW w:w="1017" w:type="dxa"/>
          </w:tcPr>
          <w:p>
            <w:pPr>
              <w:pStyle w:val="TableParagraph"/>
              <w:rPr>
                <w:sz w:val="16"/>
              </w:rPr>
            </w:pPr>
          </w:p>
        </w:tc>
        <w:tc>
          <w:tcPr>
            <w:tcW w:w="992" w:type="dxa"/>
          </w:tcPr>
          <w:p>
            <w:pPr>
              <w:pStyle w:val="TableParagraph"/>
              <w:rPr>
                <w:sz w:val="16"/>
              </w:rPr>
            </w:pPr>
          </w:p>
        </w:tc>
        <w:tc>
          <w:tcPr>
            <w:tcW w:w="946" w:type="dxa"/>
          </w:tcPr>
          <w:p>
            <w:pPr>
              <w:pStyle w:val="TableParagraph"/>
              <w:rPr>
                <w:sz w:val="16"/>
              </w:rPr>
            </w:pPr>
          </w:p>
        </w:tc>
        <w:tc>
          <w:tcPr>
            <w:tcW w:w="989" w:type="dxa"/>
          </w:tcPr>
          <w:p>
            <w:pPr>
              <w:pStyle w:val="TableParagraph"/>
              <w:spacing w:line="210" w:lineRule="exact"/>
              <w:ind w:right="4"/>
              <w:jc w:val="center"/>
              <w:rPr>
                <w:sz w:val="20"/>
              </w:rPr>
            </w:pPr>
            <w:r>
              <w:rPr>
                <w:spacing w:val="-2"/>
                <w:sz w:val="20"/>
              </w:rPr>
              <w:t>(0.14014)</w:t>
            </w:r>
          </w:p>
        </w:tc>
        <w:tc>
          <w:tcPr>
            <w:tcW w:w="1238" w:type="dxa"/>
          </w:tcPr>
          <w:p>
            <w:pPr>
              <w:pStyle w:val="TableParagraph"/>
              <w:spacing w:line="210" w:lineRule="exact"/>
              <w:ind w:left="145"/>
              <w:rPr>
                <w:sz w:val="20"/>
              </w:rPr>
            </w:pPr>
            <w:r>
              <w:rPr>
                <w:spacing w:val="-2"/>
                <w:sz w:val="20"/>
              </w:rPr>
              <w:t>(0.17232)</w:t>
            </w:r>
          </w:p>
        </w:tc>
        <w:tc>
          <w:tcPr>
            <w:tcW w:w="1524" w:type="dxa"/>
          </w:tcPr>
          <w:p>
            <w:pPr>
              <w:pStyle w:val="TableParagraph"/>
              <w:spacing w:line="210" w:lineRule="exact"/>
              <w:ind w:left="56" w:right="99"/>
              <w:jc w:val="center"/>
              <w:rPr>
                <w:sz w:val="20"/>
              </w:rPr>
            </w:pPr>
            <w:r>
              <w:rPr>
                <w:spacing w:val="-2"/>
                <w:sz w:val="20"/>
              </w:rPr>
              <w:t>(0.16029)</w:t>
            </w:r>
          </w:p>
        </w:tc>
        <w:tc>
          <w:tcPr>
            <w:tcW w:w="1829" w:type="dxa"/>
          </w:tcPr>
          <w:p>
            <w:pPr>
              <w:pStyle w:val="TableParagraph"/>
              <w:spacing w:line="210" w:lineRule="exact"/>
              <w:ind w:left="53" w:right="238"/>
              <w:jc w:val="center"/>
              <w:rPr>
                <w:sz w:val="20"/>
              </w:rPr>
            </w:pPr>
            <w:r>
              <w:rPr>
                <w:spacing w:val="-2"/>
                <w:sz w:val="20"/>
              </w:rPr>
              <w:t>(0.21938)</w:t>
            </w:r>
          </w:p>
        </w:tc>
      </w:tr>
      <w:tr>
        <w:trPr>
          <w:trHeight w:val="230" w:hRule="atLeast"/>
        </w:trPr>
        <w:tc>
          <w:tcPr>
            <w:tcW w:w="1142" w:type="dxa"/>
          </w:tcPr>
          <w:p>
            <w:pPr>
              <w:pStyle w:val="TableParagraph"/>
              <w:spacing w:line="210" w:lineRule="exact"/>
              <w:ind w:left="73"/>
              <w:jc w:val="center"/>
              <w:rPr>
                <w:sz w:val="20"/>
              </w:rPr>
            </w:pPr>
            <w:r>
              <w:rPr>
                <w:spacing w:val="-2"/>
                <w:sz w:val="20"/>
              </w:rPr>
              <w:t>0.000000</w:t>
            </w:r>
          </w:p>
        </w:tc>
        <w:tc>
          <w:tcPr>
            <w:tcW w:w="1226" w:type="dxa"/>
          </w:tcPr>
          <w:p>
            <w:pPr>
              <w:pStyle w:val="TableParagraph"/>
              <w:spacing w:line="210" w:lineRule="exact"/>
              <w:ind w:left="51" w:right="4"/>
              <w:jc w:val="center"/>
              <w:rPr>
                <w:sz w:val="20"/>
              </w:rPr>
            </w:pPr>
            <w:r>
              <w:rPr>
                <w:spacing w:val="-2"/>
                <w:sz w:val="20"/>
              </w:rPr>
              <w:t>0.000000</w:t>
            </w:r>
          </w:p>
        </w:tc>
        <w:tc>
          <w:tcPr>
            <w:tcW w:w="1017" w:type="dxa"/>
          </w:tcPr>
          <w:p>
            <w:pPr>
              <w:pStyle w:val="TableParagraph"/>
              <w:spacing w:line="210" w:lineRule="exact"/>
              <w:ind w:left="52" w:right="1"/>
              <w:jc w:val="center"/>
              <w:rPr>
                <w:sz w:val="20"/>
              </w:rPr>
            </w:pPr>
            <w:r>
              <w:rPr>
                <w:spacing w:val="-2"/>
                <w:sz w:val="20"/>
              </w:rPr>
              <w:t>0.000000</w:t>
            </w:r>
          </w:p>
        </w:tc>
        <w:tc>
          <w:tcPr>
            <w:tcW w:w="992" w:type="dxa"/>
          </w:tcPr>
          <w:p>
            <w:pPr>
              <w:pStyle w:val="TableParagraph"/>
              <w:spacing w:line="210" w:lineRule="exact"/>
              <w:ind w:left="83"/>
              <w:jc w:val="center"/>
              <w:rPr>
                <w:sz w:val="20"/>
              </w:rPr>
            </w:pPr>
            <w:r>
              <w:rPr>
                <w:spacing w:val="-2"/>
                <w:sz w:val="20"/>
              </w:rPr>
              <w:t>0.000000</w:t>
            </w:r>
          </w:p>
        </w:tc>
        <w:tc>
          <w:tcPr>
            <w:tcW w:w="946" w:type="dxa"/>
          </w:tcPr>
          <w:p>
            <w:pPr>
              <w:pStyle w:val="TableParagraph"/>
              <w:spacing w:line="210" w:lineRule="exact"/>
              <w:ind w:left="36"/>
              <w:jc w:val="center"/>
              <w:rPr>
                <w:sz w:val="20"/>
              </w:rPr>
            </w:pPr>
            <w:r>
              <w:rPr>
                <w:spacing w:val="-2"/>
                <w:sz w:val="20"/>
              </w:rPr>
              <w:t>1.000000</w:t>
            </w:r>
          </w:p>
        </w:tc>
        <w:tc>
          <w:tcPr>
            <w:tcW w:w="989" w:type="dxa"/>
          </w:tcPr>
          <w:p>
            <w:pPr>
              <w:pStyle w:val="TableParagraph"/>
              <w:spacing w:line="210" w:lineRule="exact"/>
              <w:ind w:left="3" w:right="55"/>
              <w:jc w:val="center"/>
              <w:rPr>
                <w:sz w:val="20"/>
              </w:rPr>
            </w:pPr>
            <w:r>
              <w:rPr>
                <w:spacing w:val="-4"/>
                <w:sz w:val="20"/>
              </w:rPr>
              <w:t>-</w:t>
            </w:r>
            <w:r>
              <w:rPr>
                <w:spacing w:val="-2"/>
                <w:sz w:val="20"/>
              </w:rPr>
              <w:t>0.407175</w:t>
            </w:r>
          </w:p>
        </w:tc>
        <w:tc>
          <w:tcPr>
            <w:tcW w:w="1238" w:type="dxa"/>
          </w:tcPr>
          <w:p>
            <w:pPr>
              <w:pStyle w:val="TableParagraph"/>
              <w:spacing w:line="210" w:lineRule="exact"/>
              <w:ind w:left="102"/>
              <w:rPr>
                <w:sz w:val="20"/>
              </w:rPr>
            </w:pPr>
            <w:r>
              <w:rPr>
                <w:spacing w:val="-4"/>
                <w:sz w:val="20"/>
              </w:rPr>
              <w:t>-</w:t>
            </w:r>
            <w:r>
              <w:rPr>
                <w:spacing w:val="-2"/>
                <w:sz w:val="20"/>
              </w:rPr>
              <w:t>0.420105</w:t>
            </w:r>
          </w:p>
        </w:tc>
        <w:tc>
          <w:tcPr>
            <w:tcW w:w="1524" w:type="dxa"/>
          </w:tcPr>
          <w:p>
            <w:pPr>
              <w:pStyle w:val="TableParagraph"/>
              <w:spacing w:line="210" w:lineRule="exact"/>
              <w:ind w:left="56" w:right="99"/>
              <w:jc w:val="center"/>
              <w:rPr>
                <w:sz w:val="20"/>
              </w:rPr>
            </w:pPr>
            <w:r>
              <w:rPr>
                <w:spacing w:val="-2"/>
                <w:sz w:val="20"/>
              </w:rPr>
              <w:t>0.665996</w:t>
            </w:r>
          </w:p>
        </w:tc>
        <w:tc>
          <w:tcPr>
            <w:tcW w:w="1829" w:type="dxa"/>
          </w:tcPr>
          <w:p>
            <w:pPr>
              <w:pStyle w:val="TableParagraph"/>
              <w:spacing w:line="210" w:lineRule="exact"/>
              <w:ind w:right="238"/>
              <w:jc w:val="center"/>
              <w:rPr>
                <w:sz w:val="20"/>
              </w:rPr>
            </w:pPr>
            <w:r>
              <w:rPr>
                <w:spacing w:val="-4"/>
                <w:sz w:val="20"/>
              </w:rPr>
              <w:t>-</w:t>
            </w:r>
            <w:r>
              <w:rPr>
                <w:spacing w:val="-2"/>
                <w:sz w:val="20"/>
              </w:rPr>
              <w:t>0.425312</w:t>
            </w:r>
          </w:p>
        </w:tc>
      </w:tr>
      <w:tr>
        <w:trPr>
          <w:trHeight w:val="344" w:hRule="atLeast"/>
        </w:trPr>
        <w:tc>
          <w:tcPr>
            <w:tcW w:w="1142" w:type="dxa"/>
          </w:tcPr>
          <w:p>
            <w:pPr>
              <w:pStyle w:val="TableParagraph"/>
              <w:rPr>
                <w:sz w:val="18"/>
              </w:rPr>
            </w:pPr>
          </w:p>
        </w:tc>
        <w:tc>
          <w:tcPr>
            <w:tcW w:w="1226" w:type="dxa"/>
          </w:tcPr>
          <w:p>
            <w:pPr>
              <w:pStyle w:val="TableParagraph"/>
              <w:rPr>
                <w:sz w:val="18"/>
              </w:rPr>
            </w:pPr>
          </w:p>
        </w:tc>
        <w:tc>
          <w:tcPr>
            <w:tcW w:w="1017" w:type="dxa"/>
          </w:tcPr>
          <w:p>
            <w:pPr>
              <w:pStyle w:val="TableParagraph"/>
              <w:rPr>
                <w:sz w:val="18"/>
              </w:rPr>
            </w:pPr>
          </w:p>
        </w:tc>
        <w:tc>
          <w:tcPr>
            <w:tcW w:w="992" w:type="dxa"/>
          </w:tcPr>
          <w:p>
            <w:pPr>
              <w:pStyle w:val="TableParagraph"/>
              <w:rPr>
                <w:sz w:val="18"/>
              </w:rPr>
            </w:pPr>
          </w:p>
        </w:tc>
        <w:tc>
          <w:tcPr>
            <w:tcW w:w="946" w:type="dxa"/>
          </w:tcPr>
          <w:p>
            <w:pPr>
              <w:pStyle w:val="TableParagraph"/>
              <w:rPr>
                <w:sz w:val="18"/>
              </w:rPr>
            </w:pPr>
          </w:p>
        </w:tc>
        <w:tc>
          <w:tcPr>
            <w:tcW w:w="989" w:type="dxa"/>
          </w:tcPr>
          <w:p>
            <w:pPr>
              <w:pStyle w:val="TableParagraph"/>
              <w:spacing w:line="226" w:lineRule="exact"/>
              <w:ind w:right="4"/>
              <w:jc w:val="center"/>
              <w:rPr>
                <w:sz w:val="20"/>
              </w:rPr>
            </w:pPr>
            <w:r>
              <w:rPr>
                <w:spacing w:val="-2"/>
                <w:sz w:val="20"/>
              </w:rPr>
              <w:t>(0.28475)</w:t>
            </w:r>
          </w:p>
        </w:tc>
        <w:tc>
          <w:tcPr>
            <w:tcW w:w="1238" w:type="dxa"/>
          </w:tcPr>
          <w:p>
            <w:pPr>
              <w:pStyle w:val="TableParagraph"/>
              <w:spacing w:line="226" w:lineRule="exact"/>
              <w:ind w:left="145"/>
              <w:rPr>
                <w:sz w:val="20"/>
              </w:rPr>
            </w:pPr>
            <w:r>
              <w:rPr>
                <w:spacing w:val="-2"/>
                <w:sz w:val="20"/>
              </w:rPr>
              <w:t>(0.35013)</w:t>
            </w:r>
          </w:p>
        </w:tc>
        <w:tc>
          <w:tcPr>
            <w:tcW w:w="1524" w:type="dxa"/>
          </w:tcPr>
          <w:p>
            <w:pPr>
              <w:pStyle w:val="TableParagraph"/>
              <w:spacing w:line="226" w:lineRule="exact"/>
              <w:ind w:left="56" w:right="99"/>
              <w:jc w:val="center"/>
              <w:rPr>
                <w:sz w:val="20"/>
              </w:rPr>
            </w:pPr>
            <w:r>
              <w:rPr>
                <w:spacing w:val="-2"/>
                <w:sz w:val="20"/>
              </w:rPr>
              <w:t>(0.32570)</w:t>
            </w:r>
          </w:p>
        </w:tc>
        <w:tc>
          <w:tcPr>
            <w:tcW w:w="1829" w:type="dxa"/>
          </w:tcPr>
          <w:p>
            <w:pPr>
              <w:pStyle w:val="TableParagraph"/>
              <w:spacing w:line="226" w:lineRule="exact"/>
              <w:ind w:left="53" w:right="238"/>
              <w:jc w:val="center"/>
              <w:rPr>
                <w:sz w:val="20"/>
              </w:rPr>
            </w:pPr>
            <w:r>
              <w:rPr>
                <w:spacing w:val="-2"/>
                <w:sz w:val="20"/>
              </w:rPr>
              <w:t>(0.44576)</w:t>
            </w:r>
          </w:p>
        </w:tc>
      </w:tr>
      <w:tr>
        <w:trPr>
          <w:trHeight w:val="732" w:hRule="atLeast"/>
        </w:trPr>
        <w:tc>
          <w:tcPr>
            <w:tcW w:w="1142" w:type="dxa"/>
          </w:tcPr>
          <w:p>
            <w:pPr>
              <w:pStyle w:val="TableParagraph"/>
              <w:spacing w:before="109"/>
              <w:ind w:left="449"/>
              <w:rPr>
                <w:sz w:val="20"/>
              </w:rPr>
            </w:pPr>
            <w:r>
              <w:rPr>
                <w:spacing w:val="-5"/>
                <w:sz w:val="20"/>
              </w:rPr>
              <w:t>Log</w:t>
            </w:r>
          </w:p>
          <w:p>
            <w:pPr>
              <w:pStyle w:val="TableParagraph"/>
              <w:tabs>
                <w:tab w:pos="10898" w:val="left" w:leader="none"/>
              </w:tabs>
              <w:spacing w:before="1"/>
              <w:ind w:left="14" w:right="-9764"/>
              <w:rPr>
                <w:sz w:val="20"/>
              </w:rPr>
            </w:pPr>
            <w:r>
              <w:rPr>
                <w:spacing w:val="31"/>
                <w:sz w:val="20"/>
                <w:u w:val="double"/>
              </w:rPr>
              <w:t>  </w:t>
            </w:r>
            <w:r>
              <w:rPr>
                <w:spacing w:val="-2"/>
                <w:sz w:val="20"/>
                <w:u w:val="double"/>
              </w:rPr>
              <w:t>likelihood</w:t>
            </w:r>
            <w:r>
              <w:rPr>
                <w:sz w:val="20"/>
                <w:u w:val="double"/>
              </w:rPr>
              <w:tab/>
            </w:r>
          </w:p>
        </w:tc>
        <w:tc>
          <w:tcPr>
            <w:tcW w:w="1226" w:type="dxa"/>
          </w:tcPr>
          <w:p>
            <w:pPr>
              <w:pStyle w:val="TableParagraph"/>
              <w:spacing w:before="109"/>
              <w:ind w:left="47" w:right="50"/>
              <w:jc w:val="center"/>
              <w:rPr>
                <w:sz w:val="20"/>
              </w:rPr>
            </w:pPr>
            <w:r>
              <w:rPr>
                <w:spacing w:val="-4"/>
                <w:sz w:val="20"/>
              </w:rPr>
              <w:t>-</w:t>
            </w:r>
            <w:r>
              <w:rPr>
                <w:spacing w:val="-2"/>
                <w:sz w:val="20"/>
              </w:rPr>
              <w:t>43.69356</w:t>
            </w:r>
          </w:p>
        </w:tc>
        <w:tc>
          <w:tcPr>
            <w:tcW w:w="1017" w:type="dxa"/>
          </w:tcPr>
          <w:p>
            <w:pPr>
              <w:pStyle w:val="TableParagraph"/>
              <w:rPr>
                <w:sz w:val="18"/>
              </w:rPr>
            </w:pPr>
          </w:p>
        </w:tc>
        <w:tc>
          <w:tcPr>
            <w:tcW w:w="992" w:type="dxa"/>
          </w:tcPr>
          <w:p>
            <w:pPr>
              <w:pStyle w:val="TableParagraph"/>
              <w:rPr>
                <w:sz w:val="18"/>
              </w:rPr>
            </w:pPr>
          </w:p>
        </w:tc>
        <w:tc>
          <w:tcPr>
            <w:tcW w:w="946" w:type="dxa"/>
          </w:tcPr>
          <w:p>
            <w:pPr>
              <w:pStyle w:val="TableParagraph"/>
              <w:rPr>
                <w:sz w:val="18"/>
              </w:rPr>
            </w:pPr>
          </w:p>
        </w:tc>
        <w:tc>
          <w:tcPr>
            <w:tcW w:w="989" w:type="dxa"/>
          </w:tcPr>
          <w:p>
            <w:pPr>
              <w:pStyle w:val="TableParagraph"/>
              <w:rPr>
                <w:sz w:val="18"/>
              </w:rPr>
            </w:pPr>
          </w:p>
        </w:tc>
        <w:tc>
          <w:tcPr>
            <w:tcW w:w="1238" w:type="dxa"/>
          </w:tcPr>
          <w:p>
            <w:pPr>
              <w:pStyle w:val="TableParagraph"/>
              <w:rPr>
                <w:sz w:val="18"/>
              </w:rPr>
            </w:pPr>
          </w:p>
        </w:tc>
        <w:tc>
          <w:tcPr>
            <w:tcW w:w="1524" w:type="dxa"/>
          </w:tcPr>
          <w:p>
            <w:pPr>
              <w:pStyle w:val="TableParagraph"/>
              <w:rPr>
                <w:sz w:val="18"/>
              </w:rPr>
            </w:pPr>
          </w:p>
        </w:tc>
        <w:tc>
          <w:tcPr>
            <w:tcW w:w="1829" w:type="dxa"/>
          </w:tcPr>
          <w:p>
            <w:pPr>
              <w:pStyle w:val="TableParagraph"/>
              <w:rPr>
                <w:sz w:val="18"/>
              </w:rPr>
            </w:pPr>
          </w:p>
        </w:tc>
      </w:tr>
      <w:tr>
        <w:trPr>
          <w:trHeight w:val="1113" w:hRule="atLeast"/>
        </w:trPr>
        <w:tc>
          <w:tcPr>
            <w:tcW w:w="1142" w:type="dxa"/>
            <w:tcBorders>
              <w:bottom w:val="double" w:sz="6" w:space="0" w:color="000000"/>
            </w:tcBorders>
          </w:tcPr>
          <w:p>
            <w:pPr>
              <w:pStyle w:val="TableParagraph"/>
              <w:spacing w:before="153"/>
              <w:ind w:left="67" w:right="43" w:firstLine="50"/>
              <w:jc w:val="center"/>
              <w:rPr>
                <w:sz w:val="20"/>
              </w:rPr>
            </w:pPr>
            <w:r>
              <w:rPr>
                <w:spacing w:val="-2"/>
                <w:sz w:val="20"/>
              </w:rPr>
              <w:t>Normalized Cointegratin </w:t>
            </w:r>
            <w:r>
              <w:rPr>
                <w:spacing w:val="-10"/>
                <w:sz w:val="20"/>
              </w:rPr>
              <w:t>g</w:t>
            </w:r>
            <w:r>
              <w:rPr>
                <w:spacing w:val="-2"/>
                <w:sz w:val="20"/>
              </w:rPr>
              <w:t> Coefficients:</w:t>
            </w:r>
          </w:p>
        </w:tc>
        <w:tc>
          <w:tcPr>
            <w:tcW w:w="1226" w:type="dxa"/>
            <w:tcBorders>
              <w:bottom w:val="double" w:sz="6" w:space="0" w:color="000000"/>
            </w:tcBorders>
          </w:tcPr>
          <w:p>
            <w:pPr>
              <w:pStyle w:val="TableParagraph"/>
              <w:rPr>
                <w:sz w:val="18"/>
              </w:rPr>
            </w:pPr>
          </w:p>
        </w:tc>
        <w:tc>
          <w:tcPr>
            <w:tcW w:w="1017" w:type="dxa"/>
            <w:tcBorders>
              <w:bottom w:val="double" w:sz="6" w:space="0" w:color="000000"/>
            </w:tcBorders>
          </w:tcPr>
          <w:p>
            <w:pPr>
              <w:pStyle w:val="TableParagraph"/>
              <w:rPr>
                <w:sz w:val="18"/>
              </w:rPr>
            </w:pPr>
          </w:p>
        </w:tc>
        <w:tc>
          <w:tcPr>
            <w:tcW w:w="992" w:type="dxa"/>
            <w:tcBorders>
              <w:bottom w:val="double" w:sz="6" w:space="0" w:color="000000"/>
            </w:tcBorders>
          </w:tcPr>
          <w:p>
            <w:pPr>
              <w:pStyle w:val="TableParagraph"/>
              <w:rPr>
                <w:sz w:val="18"/>
              </w:rPr>
            </w:pPr>
          </w:p>
        </w:tc>
        <w:tc>
          <w:tcPr>
            <w:tcW w:w="946" w:type="dxa"/>
            <w:tcBorders>
              <w:bottom w:val="double" w:sz="6" w:space="0" w:color="000000"/>
            </w:tcBorders>
          </w:tcPr>
          <w:p>
            <w:pPr>
              <w:pStyle w:val="TableParagraph"/>
              <w:rPr>
                <w:sz w:val="18"/>
              </w:rPr>
            </w:pPr>
          </w:p>
        </w:tc>
        <w:tc>
          <w:tcPr>
            <w:tcW w:w="989" w:type="dxa"/>
            <w:tcBorders>
              <w:bottom w:val="double" w:sz="6" w:space="0" w:color="000000"/>
            </w:tcBorders>
          </w:tcPr>
          <w:p>
            <w:pPr>
              <w:pStyle w:val="TableParagraph"/>
              <w:rPr>
                <w:sz w:val="18"/>
              </w:rPr>
            </w:pPr>
          </w:p>
        </w:tc>
        <w:tc>
          <w:tcPr>
            <w:tcW w:w="1238" w:type="dxa"/>
          </w:tcPr>
          <w:p>
            <w:pPr>
              <w:pStyle w:val="TableParagraph"/>
              <w:rPr>
                <w:sz w:val="18"/>
              </w:rPr>
            </w:pPr>
          </w:p>
        </w:tc>
        <w:tc>
          <w:tcPr>
            <w:tcW w:w="1524" w:type="dxa"/>
            <w:tcBorders>
              <w:bottom w:val="double" w:sz="6" w:space="0" w:color="000000"/>
            </w:tcBorders>
          </w:tcPr>
          <w:p>
            <w:pPr>
              <w:pStyle w:val="TableParagraph"/>
              <w:rPr>
                <w:sz w:val="18"/>
              </w:rPr>
            </w:pPr>
          </w:p>
        </w:tc>
        <w:tc>
          <w:tcPr>
            <w:tcW w:w="1829" w:type="dxa"/>
          </w:tcPr>
          <w:p>
            <w:pPr>
              <w:pStyle w:val="TableParagraph"/>
              <w:rPr>
                <w:sz w:val="18"/>
              </w:rPr>
            </w:pPr>
          </w:p>
        </w:tc>
      </w:tr>
    </w:tbl>
    <w:p>
      <w:pPr>
        <w:spacing w:after="0"/>
        <w:rPr>
          <w:sz w:val="18"/>
        </w:rPr>
        <w:sectPr>
          <w:pgSz w:w="11910" w:h="16840"/>
          <w:pgMar w:header="0" w:footer="979" w:top="1400" w:bottom="1240" w:left="280" w:right="0"/>
        </w:sectPr>
      </w:pPr>
    </w:p>
    <w:tbl>
      <w:tblP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27"/>
        <w:gridCol w:w="1225"/>
        <w:gridCol w:w="1045"/>
        <w:gridCol w:w="983"/>
        <w:gridCol w:w="946"/>
        <w:gridCol w:w="960"/>
        <w:gridCol w:w="1246"/>
        <w:gridCol w:w="1523"/>
        <w:gridCol w:w="1828"/>
      </w:tblGrid>
      <w:tr>
        <w:trPr>
          <w:trHeight w:val="938" w:hRule="atLeast"/>
        </w:trPr>
        <w:tc>
          <w:tcPr>
            <w:tcW w:w="10883" w:type="dxa"/>
            <w:gridSpan w:val="9"/>
            <w:tcBorders>
              <w:bottom w:val="single" w:sz="6" w:space="0" w:color="000000"/>
            </w:tcBorders>
          </w:tcPr>
          <w:p>
            <w:pPr>
              <w:pStyle w:val="TableParagraph"/>
              <w:spacing w:line="221" w:lineRule="exact"/>
              <w:ind w:left="518"/>
              <w:rPr>
                <w:sz w:val="20"/>
              </w:rPr>
            </w:pPr>
            <w:r>
              <w:rPr>
                <w:spacing w:val="-10"/>
                <w:sz w:val="20"/>
              </w:rPr>
              <w:t>6</w:t>
            </w:r>
          </w:p>
          <w:p>
            <w:pPr>
              <w:pStyle w:val="TableParagraph"/>
              <w:spacing w:before="1"/>
              <w:ind w:left="518" w:right="9771" w:hanging="452"/>
              <w:rPr>
                <w:sz w:val="20"/>
              </w:rPr>
            </w:pPr>
            <w:r>
              <w:rPr>
                <w:spacing w:val="-2"/>
                <w:sz w:val="20"/>
              </w:rPr>
              <w:t>Cointegratin </w:t>
            </w:r>
            <w:r>
              <w:rPr>
                <w:spacing w:val="-10"/>
                <w:sz w:val="20"/>
              </w:rPr>
              <w:t>g</w:t>
            </w:r>
          </w:p>
          <w:p>
            <w:pPr>
              <w:pStyle w:val="TableParagraph"/>
              <w:tabs>
                <w:tab w:pos="10883" w:val="left" w:leader="none"/>
              </w:tabs>
              <w:spacing w:line="228" w:lineRule="exact"/>
              <w:ind w:right="-15"/>
              <w:rPr>
                <w:sz w:val="20"/>
              </w:rPr>
            </w:pPr>
            <w:r>
              <w:rPr>
                <w:spacing w:val="50"/>
                <w:sz w:val="20"/>
                <w:u w:val="single"/>
              </w:rPr>
              <w:t> </w:t>
            </w:r>
            <w:r>
              <w:rPr>
                <w:spacing w:val="-2"/>
                <w:sz w:val="20"/>
                <w:u w:val="single"/>
              </w:rPr>
              <w:t>Equation(s)</w:t>
            </w:r>
            <w:r>
              <w:rPr>
                <w:sz w:val="20"/>
                <w:u w:val="single"/>
              </w:rPr>
              <w:tab/>
            </w:r>
          </w:p>
        </w:tc>
      </w:tr>
      <w:tr>
        <w:trPr>
          <w:trHeight w:val="276" w:hRule="atLeast"/>
        </w:trPr>
        <w:tc>
          <w:tcPr>
            <w:tcW w:w="1127" w:type="dxa"/>
            <w:tcBorders>
              <w:top w:val="single" w:sz="6" w:space="0" w:color="000000"/>
            </w:tcBorders>
          </w:tcPr>
          <w:p>
            <w:pPr>
              <w:pStyle w:val="TableParagraph"/>
              <w:spacing w:line="214" w:lineRule="exact" w:before="43"/>
              <w:ind w:left="7"/>
              <w:jc w:val="center"/>
              <w:rPr>
                <w:sz w:val="20"/>
              </w:rPr>
            </w:pPr>
            <w:r>
              <w:rPr>
                <w:spacing w:val="-5"/>
                <w:sz w:val="20"/>
              </w:rPr>
              <w:t>KFW</w:t>
            </w:r>
          </w:p>
        </w:tc>
        <w:tc>
          <w:tcPr>
            <w:tcW w:w="1225" w:type="dxa"/>
            <w:tcBorders>
              <w:top w:val="single" w:sz="6" w:space="0" w:color="000000"/>
            </w:tcBorders>
          </w:tcPr>
          <w:p>
            <w:pPr>
              <w:pStyle w:val="TableParagraph"/>
              <w:spacing w:line="214" w:lineRule="exact" w:before="43"/>
              <w:ind w:left="49" w:right="51"/>
              <w:jc w:val="center"/>
              <w:rPr>
                <w:sz w:val="20"/>
              </w:rPr>
            </w:pPr>
            <w:r>
              <w:rPr>
                <w:spacing w:val="-2"/>
                <w:sz w:val="20"/>
              </w:rPr>
              <w:t>EXTDEBT</w:t>
            </w:r>
          </w:p>
        </w:tc>
        <w:tc>
          <w:tcPr>
            <w:tcW w:w="1045" w:type="dxa"/>
            <w:tcBorders>
              <w:top w:val="single" w:sz="6" w:space="0" w:color="000000"/>
            </w:tcBorders>
          </w:tcPr>
          <w:p>
            <w:pPr>
              <w:pStyle w:val="TableParagraph"/>
              <w:spacing w:line="214" w:lineRule="exact" w:before="43"/>
              <w:ind w:left="26" w:right="49"/>
              <w:jc w:val="center"/>
              <w:rPr>
                <w:sz w:val="20"/>
              </w:rPr>
            </w:pPr>
            <w:r>
              <w:rPr>
                <w:spacing w:val="-5"/>
                <w:sz w:val="20"/>
              </w:rPr>
              <w:t>DOP</w:t>
            </w:r>
          </w:p>
        </w:tc>
        <w:tc>
          <w:tcPr>
            <w:tcW w:w="983" w:type="dxa"/>
            <w:tcBorders>
              <w:top w:val="single" w:sz="6" w:space="0" w:color="000000"/>
            </w:tcBorders>
          </w:tcPr>
          <w:p>
            <w:pPr>
              <w:pStyle w:val="TableParagraph"/>
              <w:spacing w:line="214" w:lineRule="exact" w:before="43"/>
              <w:ind w:right="6"/>
              <w:jc w:val="center"/>
              <w:rPr>
                <w:sz w:val="20"/>
              </w:rPr>
            </w:pPr>
            <w:r>
              <w:rPr>
                <w:spacing w:val="-5"/>
                <w:sz w:val="20"/>
              </w:rPr>
              <w:t>INF</w:t>
            </w:r>
          </w:p>
        </w:tc>
        <w:tc>
          <w:tcPr>
            <w:tcW w:w="946" w:type="dxa"/>
            <w:tcBorders>
              <w:top w:val="single" w:sz="6" w:space="0" w:color="000000"/>
            </w:tcBorders>
          </w:tcPr>
          <w:p>
            <w:pPr>
              <w:pStyle w:val="TableParagraph"/>
              <w:spacing w:line="214" w:lineRule="exact" w:before="43"/>
              <w:ind w:right="46"/>
              <w:jc w:val="center"/>
              <w:rPr>
                <w:sz w:val="20"/>
              </w:rPr>
            </w:pPr>
            <w:r>
              <w:rPr>
                <w:spacing w:val="-5"/>
                <w:sz w:val="20"/>
              </w:rPr>
              <w:t>GCF</w:t>
            </w:r>
          </w:p>
        </w:tc>
        <w:tc>
          <w:tcPr>
            <w:tcW w:w="960" w:type="dxa"/>
            <w:tcBorders>
              <w:top w:val="single" w:sz="6" w:space="0" w:color="000000"/>
            </w:tcBorders>
          </w:tcPr>
          <w:p>
            <w:pPr>
              <w:pStyle w:val="TableParagraph"/>
              <w:spacing w:line="214" w:lineRule="exact" w:before="43"/>
              <w:ind w:right="59"/>
              <w:jc w:val="center"/>
              <w:rPr>
                <w:sz w:val="20"/>
              </w:rPr>
            </w:pPr>
            <w:r>
              <w:rPr>
                <w:spacing w:val="-5"/>
                <w:sz w:val="20"/>
              </w:rPr>
              <w:t>DR</w:t>
            </w:r>
          </w:p>
        </w:tc>
        <w:tc>
          <w:tcPr>
            <w:tcW w:w="1246" w:type="dxa"/>
            <w:tcBorders>
              <w:top w:val="single" w:sz="6" w:space="0" w:color="000000"/>
            </w:tcBorders>
          </w:tcPr>
          <w:p>
            <w:pPr>
              <w:pStyle w:val="TableParagraph"/>
              <w:spacing w:line="214" w:lineRule="exact" w:before="43"/>
              <w:ind w:left="161"/>
              <w:rPr>
                <w:sz w:val="20"/>
              </w:rPr>
            </w:pPr>
            <w:r>
              <w:rPr>
                <w:spacing w:val="-2"/>
                <w:sz w:val="20"/>
              </w:rPr>
              <w:t>PRIVCR</w:t>
            </w:r>
          </w:p>
        </w:tc>
        <w:tc>
          <w:tcPr>
            <w:tcW w:w="1523" w:type="dxa"/>
            <w:tcBorders>
              <w:top w:val="single" w:sz="6" w:space="0" w:color="000000"/>
            </w:tcBorders>
          </w:tcPr>
          <w:p>
            <w:pPr>
              <w:pStyle w:val="TableParagraph"/>
              <w:spacing w:line="214" w:lineRule="exact" w:before="43"/>
              <w:ind w:right="90"/>
              <w:jc w:val="center"/>
              <w:rPr>
                <w:sz w:val="20"/>
              </w:rPr>
            </w:pPr>
            <w:r>
              <w:rPr>
                <w:spacing w:val="-2"/>
                <w:sz w:val="20"/>
              </w:rPr>
              <w:t>USIRD</w:t>
            </w:r>
          </w:p>
        </w:tc>
        <w:tc>
          <w:tcPr>
            <w:tcW w:w="1828" w:type="dxa"/>
            <w:tcBorders>
              <w:top w:val="single" w:sz="6" w:space="0" w:color="000000"/>
            </w:tcBorders>
          </w:tcPr>
          <w:p>
            <w:pPr>
              <w:pStyle w:val="TableParagraph"/>
              <w:spacing w:line="214" w:lineRule="exact" w:before="43"/>
              <w:ind w:right="228"/>
              <w:jc w:val="center"/>
              <w:rPr>
                <w:sz w:val="20"/>
              </w:rPr>
            </w:pPr>
            <w:r>
              <w:rPr>
                <w:spacing w:val="-4"/>
                <w:sz w:val="20"/>
              </w:rPr>
              <w:t>GOCE</w:t>
            </w:r>
          </w:p>
        </w:tc>
      </w:tr>
      <w:tr>
        <w:trPr>
          <w:trHeight w:val="229" w:hRule="atLeast"/>
        </w:trPr>
        <w:tc>
          <w:tcPr>
            <w:tcW w:w="1127" w:type="dxa"/>
          </w:tcPr>
          <w:p>
            <w:pPr>
              <w:pStyle w:val="TableParagraph"/>
              <w:spacing w:line="209" w:lineRule="exact"/>
              <w:ind w:left="59"/>
              <w:jc w:val="center"/>
              <w:rPr>
                <w:sz w:val="20"/>
              </w:rPr>
            </w:pPr>
            <w:r>
              <w:rPr>
                <w:spacing w:val="-2"/>
                <w:sz w:val="20"/>
              </w:rPr>
              <w:t>1.000000</w:t>
            </w:r>
          </w:p>
        </w:tc>
        <w:tc>
          <w:tcPr>
            <w:tcW w:w="1225" w:type="dxa"/>
          </w:tcPr>
          <w:p>
            <w:pPr>
              <w:pStyle w:val="TableParagraph"/>
              <w:spacing w:line="209" w:lineRule="exact"/>
              <w:ind w:left="51" w:right="2"/>
              <w:jc w:val="center"/>
              <w:rPr>
                <w:sz w:val="20"/>
              </w:rPr>
            </w:pPr>
            <w:r>
              <w:rPr>
                <w:spacing w:val="-2"/>
                <w:sz w:val="20"/>
              </w:rPr>
              <w:t>0.000000</w:t>
            </w:r>
          </w:p>
        </w:tc>
        <w:tc>
          <w:tcPr>
            <w:tcW w:w="1045" w:type="dxa"/>
          </w:tcPr>
          <w:p>
            <w:pPr>
              <w:pStyle w:val="TableParagraph"/>
              <w:spacing w:line="209" w:lineRule="exact"/>
              <w:ind w:left="49" w:right="23"/>
              <w:jc w:val="center"/>
              <w:rPr>
                <w:sz w:val="20"/>
              </w:rPr>
            </w:pPr>
            <w:r>
              <w:rPr>
                <w:spacing w:val="-2"/>
                <w:sz w:val="20"/>
              </w:rPr>
              <w:t>0.000000</w:t>
            </w:r>
          </w:p>
        </w:tc>
        <w:tc>
          <w:tcPr>
            <w:tcW w:w="983" w:type="dxa"/>
          </w:tcPr>
          <w:p>
            <w:pPr>
              <w:pStyle w:val="TableParagraph"/>
              <w:spacing w:line="209" w:lineRule="exact"/>
              <w:ind w:left="78" w:right="39"/>
              <w:jc w:val="center"/>
              <w:rPr>
                <w:sz w:val="20"/>
              </w:rPr>
            </w:pPr>
            <w:r>
              <w:rPr>
                <w:spacing w:val="-2"/>
                <w:sz w:val="20"/>
              </w:rPr>
              <w:t>0.000000</w:t>
            </w:r>
          </w:p>
        </w:tc>
        <w:tc>
          <w:tcPr>
            <w:tcW w:w="946" w:type="dxa"/>
          </w:tcPr>
          <w:p>
            <w:pPr>
              <w:pStyle w:val="TableParagraph"/>
              <w:spacing w:line="209" w:lineRule="exact"/>
              <w:ind w:left="47" w:right="46"/>
              <w:jc w:val="center"/>
              <w:rPr>
                <w:sz w:val="20"/>
              </w:rPr>
            </w:pPr>
            <w:r>
              <w:rPr>
                <w:spacing w:val="-2"/>
                <w:sz w:val="20"/>
              </w:rPr>
              <w:t>0.000000</w:t>
            </w:r>
          </w:p>
        </w:tc>
        <w:tc>
          <w:tcPr>
            <w:tcW w:w="960" w:type="dxa"/>
          </w:tcPr>
          <w:p>
            <w:pPr>
              <w:pStyle w:val="TableParagraph"/>
              <w:spacing w:line="209" w:lineRule="exact"/>
              <w:ind w:left="49" w:right="59"/>
              <w:jc w:val="center"/>
              <w:rPr>
                <w:sz w:val="20"/>
              </w:rPr>
            </w:pPr>
            <w:r>
              <w:rPr>
                <w:spacing w:val="-2"/>
                <w:sz w:val="20"/>
              </w:rPr>
              <w:t>0.000000</w:t>
            </w:r>
          </w:p>
        </w:tc>
        <w:tc>
          <w:tcPr>
            <w:tcW w:w="1246" w:type="dxa"/>
          </w:tcPr>
          <w:p>
            <w:pPr>
              <w:pStyle w:val="TableParagraph"/>
              <w:spacing w:line="209" w:lineRule="exact"/>
              <w:ind w:left="113"/>
              <w:rPr>
                <w:sz w:val="20"/>
              </w:rPr>
            </w:pPr>
            <w:r>
              <w:rPr>
                <w:spacing w:val="-4"/>
                <w:sz w:val="20"/>
              </w:rPr>
              <w:t>-</w:t>
            </w:r>
            <w:r>
              <w:rPr>
                <w:spacing w:val="-2"/>
                <w:sz w:val="20"/>
              </w:rPr>
              <w:t>0.739638</w:t>
            </w:r>
          </w:p>
        </w:tc>
        <w:tc>
          <w:tcPr>
            <w:tcW w:w="1523" w:type="dxa"/>
          </w:tcPr>
          <w:p>
            <w:pPr>
              <w:pStyle w:val="TableParagraph"/>
              <w:spacing w:line="209" w:lineRule="exact"/>
              <w:ind w:left="2" w:right="90"/>
              <w:jc w:val="center"/>
              <w:rPr>
                <w:sz w:val="20"/>
              </w:rPr>
            </w:pPr>
            <w:r>
              <w:rPr>
                <w:spacing w:val="-4"/>
                <w:sz w:val="20"/>
              </w:rPr>
              <w:t>-</w:t>
            </w:r>
            <w:r>
              <w:rPr>
                <w:spacing w:val="-2"/>
                <w:sz w:val="20"/>
              </w:rPr>
              <w:t>0.385093</w:t>
            </w:r>
          </w:p>
        </w:tc>
        <w:tc>
          <w:tcPr>
            <w:tcW w:w="1828" w:type="dxa"/>
          </w:tcPr>
          <w:p>
            <w:pPr>
              <w:pStyle w:val="TableParagraph"/>
              <w:spacing w:line="209" w:lineRule="exact"/>
              <w:ind w:right="228"/>
              <w:jc w:val="center"/>
              <w:rPr>
                <w:sz w:val="20"/>
              </w:rPr>
            </w:pPr>
            <w:r>
              <w:rPr>
                <w:spacing w:val="-4"/>
                <w:sz w:val="20"/>
              </w:rPr>
              <w:t>-</w:t>
            </w:r>
            <w:r>
              <w:rPr>
                <w:spacing w:val="-2"/>
                <w:sz w:val="20"/>
              </w:rPr>
              <w:t>0.051941</w:t>
            </w:r>
          </w:p>
        </w:tc>
      </w:tr>
      <w:tr>
        <w:trPr>
          <w:trHeight w:val="230" w:hRule="atLeast"/>
        </w:trPr>
        <w:tc>
          <w:tcPr>
            <w:tcW w:w="1127" w:type="dxa"/>
          </w:tcPr>
          <w:p>
            <w:pPr>
              <w:pStyle w:val="TableParagraph"/>
              <w:rPr>
                <w:sz w:val="16"/>
              </w:rPr>
            </w:pPr>
          </w:p>
        </w:tc>
        <w:tc>
          <w:tcPr>
            <w:tcW w:w="1225" w:type="dxa"/>
          </w:tcPr>
          <w:p>
            <w:pPr>
              <w:pStyle w:val="TableParagraph"/>
              <w:rPr>
                <w:sz w:val="16"/>
              </w:rPr>
            </w:pPr>
          </w:p>
        </w:tc>
        <w:tc>
          <w:tcPr>
            <w:tcW w:w="1045" w:type="dxa"/>
          </w:tcPr>
          <w:p>
            <w:pPr>
              <w:pStyle w:val="TableParagraph"/>
              <w:rPr>
                <w:sz w:val="16"/>
              </w:rPr>
            </w:pPr>
          </w:p>
        </w:tc>
        <w:tc>
          <w:tcPr>
            <w:tcW w:w="983" w:type="dxa"/>
          </w:tcPr>
          <w:p>
            <w:pPr>
              <w:pStyle w:val="TableParagraph"/>
              <w:rPr>
                <w:sz w:val="16"/>
              </w:rPr>
            </w:pPr>
          </w:p>
        </w:tc>
        <w:tc>
          <w:tcPr>
            <w:tcW w:w="946" w:type="dxa"/>
          </w:tcPr>
          <w:p>
            <w:pPr>
              <w:pStyle w:val="TableParagraph"/>
              <w:rPr>
                <w:sz w:val="16"/>
              </w:rPr>
            </w:pPr>
          </w:p>
        </w:tc>
        <w:tc>
          <w:tcPr>
            <w:tcW w:w="960" w:type="dxa"/>
          </w:tcPr>
          <w:p>
            <w:pPr>
              <w:pStyle w:val="TableParagraph"/>
              <w:rPr>
                <w:sz w:val="16"/>
              </w:rPr>
            </w:pPr>
          </w:p>
        </w:tc>
        <w:tc>
          <w:tcPr>
            <w:tcW w:w="1246" w:type="dxa"/>
          </w:tcPr>
          <w:p>
            <w:pPr>
              <w:pStyle w:val="TableParagraph"/>
              <w:spacing w:line="210" w:lineRule="exact"/>
              <w:ind w:left="156"/>
              <w:rPr>
                <w:sz w:val="20"/>
              </w:rPr>
            </w:pPr>
            <w:r>
              <w:rPr>
                <w:spacing w:val="-2"/>
                <w:sz w:val="20"/>
              </w:rPr>
              <w:t>(0.25252)</w:t>
            </w:r>
          </w:p>
        </w:tc>
        <w:tc>
          <w:tcPr>
            <w:tcW w:w="1523" w:type="dxa"/>
          </w:tcPr>
          <w:p>
            <w:pPr>
              <w:pStyle w:val="TableParagraph"/>
              <w:spacing w:line="210" w:lineRule="exact"/>
              <w:ind w:left="55" w:right="90"/>
              <w:jc w:val="center"/>
              <w:rPr>
                <w:sz w:val="20"/>
              </w:rPr>
            </w:pPr>
            <w:r>
              <w:rPr>
                <w:spacing w:val="-2"/>
                <w:sz w:val="20"/>
              </w:rPr>
              <w:t>(0.16238)</w:t>
            </w:r>
          </w:p>
        </w:tc>
        <w:tc>
          <w:tcPr>
            <w:tcW w:w="1828" w:type="dxa"/>
          </w:tcPr>
          <w:p>
            <w:pPr>
              <w:pStyle w:val="TableParagraph"/>
              <w:spacing w:line="210" w:lineRule="exact"/>
              <w:ind w:left="54" w:right="228"/>
              <w:jc w:val="center"/>
              <w:rPr>
                <w:sz w:val="20"/>
              </w:rPr>
            </w:pPr>
            <w:r>
              <w:rPr>
                <w:spacing w:val="-2"/>
                <w:sz w:val="20"/>
              </w:rPr>
              <w:t>(0.30182)</w:t>
            </w:r>
          </w:p>
        </w:tc>
      </w:tr>
      <w:tr>
        <w:trPr>
          <w:trHeight w:val="230" w:hRule="atLeast"/>
        </w:trPr>
        <w:tc>
          <w:tcPr>
            <w:tcW w:w="1127" w:type="dxa"/>
          </w:tcPr>
          <w:p>
            <w:pPr>
              <w:pStyle w:val="TableParagraph"/>
              <w:spacing w:line="210" w:lineRule="exact"/>
              <w:ind w:left="59"/>
              <w:jc w:val="center"/>
              <w:rPr>
                <w:sz w:val="20"/>
              </w:rPr>
            </w:pPr>
            <w:r>
              <w:rPr>
                <w:spacing w:val="-2"/>
                <w:sz w:val="20"/>
              </w:rPr>
              <w:t>0.000000</w:t>
            </w:r>
          </w:p>
        </w:tc>
        <w:tc>
          <w:tcPr>
            <w:tcW w:w="1225" w:type="dxa"/>
          </w:tcPr>
          <w:p>
            <w:pPr>
              <w:pStyle w:val="TableParagraph"/>
              <w:spacing w:line="210" w:lineRule="exact"/>
              <w:ind w:left="51" w:right="2"/>
              <w:jc w:val="center"/>
              <w:rPr>
                <w:sz w:val="20"/>
              </w:rPr>
            </w:pPr>
            <w:r>
              <w:rPr>
                <w:spacing w:val="-2"/>
                <w:sz w:val="20"/>
              </w:rPr>
              <w:t>1.000000</w:t>
            </w:r>
          </w:p>
        </w:tc>
        <w:tc>
          <w:tcPr>
            <w:tcW w:w="1045" w:type="dxa"/>
          </w:tcPr>
          <w:p>
            <w:pPr>
              <w:pStyle w:val="TableParagraph"/>
              <w:spacing w:line="210" w:lineRule="exact"/>
              <w:ind w:left="49" w:right="23"/>
              <w:jc w:val="center"/>
              <w:rPr>
                <w:sz w:val="20"/>
              </w:rPr>
            </w:pPr>
            <w:r>
              <w:rPr>
                <w:spacing w:val="-2"/>
                <w:sz w:val="20"/>
              </w:rPr>
              <w:t>0.000000</w:t>
            </w:r>
          </w:p>
        </w:tc>
        <w:tc>
          <w:tcPr>
            <w:tcW w:w="983" w:type="dxa"/>
          </w:tcPr>
          <w:p>
            <w:pPr>
              <w:pStyle w:val="TableParagraph"/>
              <w:spacing w:line="210" w:lineRule="exact"/>
              <w:ind w:left="78" w:right="39"/>
              <w:jc w:val="center"/>
              <w:rPr>
                <w:sz w:val="20"/>
              </w:rPr>
            </w:pPr>
            <w:r>
              <w:rPr>
                <w:spacing w:val="-2"/>
                <w:sz w:val="20"/>
              </w:rPr>
              <w:t>0.000000</w:t>
            </w:r>
          </w:p>
        </w:tc>
        <w:tc>
          <w:tcPr>
            <w:tcW w:w="946" w:type="dxa"/>
          </w:tcPr>
          <w:p>
            <w:pPr>
              <w:pStyle w:val="TableParagraph"/>
              <w:spacing w:line="210" w:lineRule="exact"/>
              <w:ind w:left="47" w:right="46"/>
              <w:jc w:val="center"/>
              <w:rPr>
                <w:sz w:val="20"/>
              </w:rPr>
            </w:pPr>
            <w:r>
              <w:rPr>
                <w:spacing w:val="-2"/>
                <w:sz w:val="20"/>
              </w:rPr>
              <w:t>0.000000</w:t>
            </w:r>
          </w:p>
        </w:tc>
        <w:tc>
          <w:tcPr>
            <w:tcW w:w="960" w:type="dxa"/>
          </w:tcPr>
          <w:p>
            <w:pPr>
              <w:pStyle w:val="TableParagraph"/>
              <w:spacing w:line="210" w:lineRule="exact"/>
              <w:ind w:left="49" w:right="59"/>
              <w:jc w:val="center"/>
              <w:rPr>
                <w:sz w:val="20"/>
              </w:rPr>
            </w:pPr>
            <w:r>
              <w:rPr>
                <w:spacing w:val="-2"/>
                <w:sz w:val="20"/>
              </w:rPr>
              <w:t>0.000000</w:t>
            </w:r>
          </w:p>
        </w:tc>
        <w:tc>
          <w:tcPr>
            <w:tcW w:w="1246" w:type="dxa"/>
          </w:tcPr>
          <w:p>
            <w:pPr>
              <w:pStyle w:val="TableParagraph"/>
              <w:spacing w:line="210" w:lineRule="exact"/>
              <w:ind w:left="113"/>
              <w:rPr>
                <w:sz w:val="20"/>
              </w:rPr>
            </w:pPr>
            <w:r>
              <w:rPr>
                <w:spacing w:val="-4"/>
                <w:sz w:val="20"/>
              </w:rPr>
              <w:t>-</w:t>
            </w:r>
            <w:r>
              <w:rPr>
                <w:spacing w:val="-2"/>
                <w:sz w:val="20"/>
              </w:rPr>
              <w:t>0.323074</w:t>
            </w:r>
          </w:p>
        </w:tc>
        <w:tc>
          <w:tcPr>
            <w:tcW w:w="1523" w:type="dxa"/>
          </w:tcPr>
          <w:p>
            <w:pPr>
              <w:pStyle w:val="TableParagraph"/>
              <w:spacing w:line="210" w:lineRule="exact"/>
              <w:ind w:left="2" w:right="90"/>
              <w:jc w:val="center"/>
              <w:rPr>
                <w:sz w:val="20"/>
              </w:rPr>
            </w:pPr>
            <w:r>
              <w:rPr>
                <w:spacing w:val="-4"/>
                <w:sz w:val="20"/>
              </w:rPr>
              <w:t>-</w:t>
            </w:r>
            <w:r>
              <w:rPr>
                <w:spacing w:val="-2"/>
                <w:sz w:val="20"/>
              </w:rPr>
              <w:t>3.060920</w:t>
            </w:r>
          </w:p>
        </w:tc>
        <w:tc>
          <w:tcPr>
            <w:tcW w:w="1828" w:type="dxa"/>
          </w:tcPr>
          <w:p>
            <w:pPr>
              <w:pStyle w:val="TableParagraph"/>
              <w:spacing w:line="210" w:lineRule="exact"/>
              <w:ind w:left="53" w:right="228"/>
              <w:jc w:val="center"/>
              <w:rPr>
                <w:sz w:val="20"/>
              </w:rPr>
            </w:pPr>
            <w:r>
              <w:rPr>
                <w:spacing w:val="-2"/>
                <w:sz w:val="20"/>
              </w:rPr>
              <w:t>0.021636</w:t>
            </w:r>
          </w:p>
        </w:tc>
      </w:tr>
      <w:tr>
        <w:trPr>
          <w:trHeight w:val="230" w:hRule="atLeast"/>
        </w:trPr>
        <w:tc>
          <w:tcPr>
            <w:tcW w:w="1127" w:type="dxa"/>
          </w:tcPr>
          <w:p>
            <w:pPr>
              <w:pStyle w:val="TableParagraph"/>
              <w:rPr>
                <w:sz w:val="16"/>
              </w:rPr>
            </w:pPr>
          </w:p>
        </w:tc>
        <w:tc>
          <w:tcPr>
            <w:tcW w:w="1225" w:type="dxa"/>
          </w:tcPr>
          <w:p>
            <w:pPr>
              <w:pStyle w:val="TableParagraph"/>
              <w:rPr>
                <w:sz w:val="16"/>
              </w:rPr>
            </w:pPr>
          </w:p>
        </w:tc>
        <w:tc>
          <w:tcPr>
            <w:tcW w:w="1045" w:type="dxa"/>
          </w:tcPr>
          <w:p>
            <w:pPr>
              <w:pStyle w:val="TableParagraph"/>
              <w:rPr>
                <w:sz w:val="16"/>
              </w:rPr>
            </w:pPr>
          </w:p>
        </w:tc>
        <w:tc>
          <w:tcPr>
            <w:tcW w:w="983" w:type="dxa"/>
          </w:tcPr>
          <w:p>
            <w:pPr>
              <w:pStyle w:val="TableParagraph"/>
              <w:rPr>
                <w:sz w:val="16"/>
              </w:rPr>
            </w:pPr>
          </w:p>
        </w:tc>
        <w:tc>
          <w:tcPr>
            <w:tcW w:w="946" w:type="dxa"/>
          </w:tcPr>
          <w:p>
            <w:pPr>
              <w:pStyle w:val="TableParagraph"/>
              <w:rPr>
                <w:sz w:val="16"/>
              </w:rPr>
            </w:pPr>
          </w:p>
        </w:tc>
        <w:tc>
          <w:tcPr>
            <w:tcW w:w="960" w:type="dxa"/>
          </w:tcPr>
          <w:p>
            <w:pPr>
              <w:pStyle w:val="TableParagraph"/>
              <w:rPr>
                <w:sz w:val="16"/>
              </w:rPr>
            </w:pPr>
          </w:p>
        </w:tc>
        <w:tc>
          <w:tcPr>
            <w:tcW w:w="1246" w:type="dxa"/>
          </w:tcPr>
          <w:p>
            <w:pPr>
              <w:pStyle w:val="TableParagraph"/>
              <w:spacing w:line="210" w:lineRule="exact"/>
              <w:ind w:left="156"/>
              <w:rPr>
                <w:sz w:val="20"/>
              </w:rPr>
            </w:pPr>
            <w:r>
              <w:rPr>
                <w:spacing w:val="-2"/>
                <w:sz w:val="20"/>
              </w:rPr>
              <w:t>(0.59539)</w:t>
            </w:r>
          </w:p>
        </w:tc>
        <w:tc>
          <w:tcPr>
            <w:tcW w:w="1523" w:type="dxa"/>
          </w:tcPr>
          <w:p>
            <w:pPr>
              <w:pStyle w:val="TableParagraph"/>
              <w:spacing w:line="210" w:lineRule="exact"/>
              <w:ind w:left="55" w:right="90"/>
              <w:jc w:val="center"/>
              <w:rPr>
                <w:sz w:val="20"/>
              </w:rPr>
            </w:pPr>
            <w:r>
              <w:rPr>
                <w:spacing w:val="-2"/>
                <w:sz w:val="20"/>
              </w:rPr>
              <w:t>(0.38285)</w:t>
            </w:r>
          </w:p>
        </w:tc>
        <w:tc>
          <w:tcPr>
            <w:tcW w:w="1828" w:type="dxa"/>
          </w:tcPr>
          <w:p>
            <w:pPr>
              <w:pStyle w:val="TableParagraph"/>
              <w:spacing w:line="210" w:lineRule="exact"/>
              <w:ind w:left="54" w:right="228"/>
              <w:jc w:val="center"/>
              <w:rPr>
                <w:sz w:val="20"/>
              </w:rPr>
            </w:pPr>
            <w:r>
              <w:rPr>
                <w:spacing w:val="-2"/>
                <w:sz w:val="20"/>
              </w:rPr>
              <w:t>(0.71163)</w:t>
            </w:r>
          </w:p>
        </w:tc>
      </w:tr>
      <w:tr>
        <w:trPr>
          <w:trHeight w:val="229" w:hRule="atLeast"/>
        </w:trPr>
        <w:tc>
          <w:tcPr>
            <w:tcW w:w="1127" w:type="dxa"/>
          </w:tcPr>
          <w:p>
            <w:pPr>
              <w:pStyle w:val="TableParagraph"/>
              <w:spacing w:line="209" w:lineRule="exact"/>
              <w:ind w:left="59"/>
              <w:jc w:val="center"/>
              <w:rPr>
                <w:sz w:val="20"/>
              </w:rPr>
            </w:pPr>
            <w:r>
              <w:rPr>
                <w:spacing w:val="-2"/>
                <w:sz w:val="20"/>
              </w:rPr>
              <w:t>0.000000</w:t>
            </w:r>
          </w:p>
        </w:tc>
        <w:tc>
          <w:tcPr>
            <w:tcW w:w="1225" w:type="dxa"/>
          </w:tcPr>
          <w:p>
            <w:pPr>
              <w:pStyle w:val="TableParagraph"/>
              <w:spacing w:line="209" w:lineRule="exact"/>
              <w:ind w:left="51" w:right="2"/>
              <w:jc w:val="center"/>
              <w:rPr>
                <w:sz w:val="20"/>
              </w:rPr>
            </w:pPr>
            <w:r>
              <w:rPr>
                <w:spacing w:val="-2"/>
                <w:sz w:val="20"/>
              </w:rPr>
              <w:t>0.000000</w:t>
            </w:r>
          </w:p>
        </w:tc>
        <w:tc>
          <w:tcPr>
            <w:tcW w:w="1045" w:type="dxa"/>
          </w:tcPr>
          <w:p>
            <w:pPr>
              <w:pStyle w:val="TableParagraph"/>
              <w:spacing w:line="209" w:lineRule="exact"/>
              <w:ind w:left="49" w:right="23"/>
              <w:jc w:val="center"/>
              <w:rPr>
                <w:sz w:val="20"/>
              </w:rPr>
            </w:pPr>
            <w:r>
              <w:rPr>
                <w:spacing w:val="-2"/>
                <w:sz w:val="20"/>
              </w:rPr>
              <w:t>1.000000</w:t>
            </w:r>
          </w:p>
        </w:tc>
        <w:tc>
          <w:tcPr>
            <w:tcW w:w="983" w:type="dxa"/>
          </w:tcPr>
          <w:p>
            <w:pPr>
              <w:pStyle w:val="TableParagraph"/>
              <w:spacing w:line="209" w:lineRule="exact"/>
              <w:ind w:left="78" w:right="39"/>
              <w:jc w:val="center"/>
              <w:rPr>
                <w:sz w:val="20"/>
              </w:rPr>
            </w:pPr>
            <w:r>
              <w:rPr>
                <w:spacing w:val="-2"/>
                <w:sz w:val="20"/>
              </w:rPr>
              <w:t>0.000000</w:t>
            </w:r>
          </w:p>
        </w:tc>
        <w:tc>
          <w:tcPr>
            <w:tcW w:w="946" w:type="dxa"/>
          </w:tcPr>
          <w:p>
            <w:pPr>
              <w:pStyle w:val="TableParagraph"/>
              <w:spacing w:line="209" w:lineRule="exact"/>
              <w:ind w:left="47" w:right="46"/>
              <w:jc w:val="center"/>
              <w:rPr>
                <w:sz w:val="20"/>
              </w:rPr>
            </w:pPr>
            <w:r>
              <w:rPr>
                <w:spacing w:val="-2"/>
                <w:sz w:val="20"/>
              </w:rPr>
              <w:t>0.000000</w:t>
            </w:r>
          </w:p>
        </w:tc>
        <w:tc>
          <w:tcPr>
            <w:tcW w:w="960" w:type="dxa"/>
          </w:tcPr>
          <w:p>
            <w:pPr>
              <w:pStyle w:val="TableParagraph"/>
              <w:spacing w:line="209" w:lineRule="exact"/>
              <w:ind w:left="49" w:right="59"/>
              <w:jc w:val="center"/>
              <w:rPr>
                <w:sz w:val="20"/>
              </w:rPr>
            </w:pPr>
            <w:r>
              <w:rPr>
                <w:spacing w:val="-2"/>
                <w:sz w:val="20"/>
              </w:rPr>
              <w:t>0.000000</w:t>
            </w:r>
          </w:p>
        </w:tc>
        <w:tc>
          <w:tcPr>
            <w:tcW w:w="1246" w:type="dxa"/>
          </w:tcPr>
          <w:p>
            <w:pPr>
              <w:pStyle w:val="TableParagraph"/>
              <w:spacing w:line="209" w:lineRule="exact"/>
              <w:ind w:left="173"/>
              <w:rPr>
                <w:sz w:val="20"/>
              </w:rPr>
            </w:pPr>
            <w:r>
              <w:rPr>
                <w:spacing w:val="-2"/>
                <w:sz w:val="20"/>
              </w:rPr>
              <w:t>0.114419</w:t>
            </w:r>
          </w:p>
        </w:tc>
        <w:tc>
          <w:tcPr>
            <w:tcW w:w="1523" w:type="dxa"/>
          </w:tcPr>
          <w:p>
            <w:pPr>
              <w:pStyle w:val="TableParagraph"/>
              <w:spacing w:line="209" w:lineRule="exact"/>
              <w:ind w:left="2" w:right="90"/>
              <w:jc w:val="center"/>
              <w:rPr>
                <w:sz w:val="20"/>
              </w:rPr>
            </w:pPr>
            <w:r>
              <w:rPr>
                <w:spacing w:val="-4"/>
                <w:sz w:val="20"/>
              </w:rPr>
              <w:t>-</w:t>
            </w:r>
            <w:r>
              <w:rPr>
                <w:spacing w:val="-2"/>
                <w:sz w:val="20"/>
              </w:rPr>
              <w:t>0.074296</w:t>
            </w:r>
          </w:p>
        </w:tc>
        <w:tc>
          <w:tcPr>
            <w:tcW w:w="1828" w:type="dxa"/>
          </w:tcPr>
          <w:p>
            <w:pPr>
              <w:pStyle w:val="TableParagraph"/>
              <w:spacing w:line="209" w:lineRule="exact"/>
              <w:ind w:right="228"/>
              <w:jc w:val="center"/>
              <w:rPr>
                <w:sz w:val="20"/>
              </w:rPr>
            </w:pPr>
            <w:r>
              <w:rPr>
                <w:spacing w:val="-4"/>
                <w:sz w:val="20"/>
              </w:rPr>
              <w:t>-</w:t>
            </w:r>
            <w:r>
              <w:rPr>
                <w:spacing w:val="-2"/>
                <w:sz w:val="20"/>
              </w:rPr>
              <w:t>0.125145</w:t>
            </w:r>
          </w:p>
        </w:tc>
      </w:tr>
      <w:tr>
        <w:trPr>
          <w:trHeight w:val="229" w:hRule="atLeast"/>
        </w:trPr>
        <w:tc>
          <w:tcPr>
            <w:tcW w:w="1127" w:type="dxa"/>
          </w:tcPr>
          <w:p>
            <w:pPr>
              <w:pStyle w:val="TableParagraph"/>
              <w:rPr>
                <w:sz w:val="16"/>
              </w:rPr>
            </w:pPr>
          </w:p>
        </w:tc>
        <w:tc>
          <w:tcPr>
            <w:tcW w:w="1225" w:type="dxa"/>
          </w:tcPr>
          <w:p>
            <w:pPr>
              <w:pStyle w:val="TableParagraph"/>
              <w:rPr>
                <w:sz w:val="16"/>
              </w:rPr>
            </w:pPr>
          </w:p>
        </w:tc>
        <w:tc>
          <w:tcPr>
            <w:tcW w:w="1045" w:type="dxa"/>
          </w:tcPr>
          <w:p>
            <w:pPr>
              <w:pStyle w:val="TableParagraph"/>
              <w:rPr>
                <w:sz w:val="16"/>
              </w:rPr>
            </w:pPr>
          </w:p>
        </w:tc>
        <w:tc>
          <w:tcPr>
            <w:tcW w:w="983" w:type="dxa"/>
          </w:tcPr>
          <w:p>
            <w:pPr>
              <w:pStyle w:val="TableParagraph"/>
              <w:rPr>
                <w:sz w:val="16"/>
              </w:rPr>
            </w:pPr>
          </w:p>
        </w:tc>
        <w:tc>
          <w:tcPr>
            <w:tcW w:w="946" w:type="dxa"/>
          </w:tcPr>
          <w:p>
            <w:pPr>
              <w:pStyle w:val="TableParagraph"/>
              <w:rPr>
                <w:sz w:val="16"/>
              </w:rPr>
            </w:pPr>
          </w:p>
        </w:tc>
        <w:tc>
          <w:tcPr>
            <w:tcW w:w="960" w:type="dxa"/>
          </w:tcPr>
          <w:p>
            <w:pPr>
              <w:pStyle w:val="TableParagraph"/>
              <w:rPr>
                <w:sz w:val="16"/>
              </w:rPr>
            </w:pPr>
          </w:p>
        </w:tc>
        <w:tc>
          <w:tcPr>
            <w:tcW w:w="1246" w:type="dxa"/>
          </w:tcPr>
          <w:p>
            <w:pPr>
              <w:pStyle w:val="TableParagraph"/>
              <w:spacing w:line="209" w:lineRule="exact"/>
              <w:ind w:left="156"/>
              <w:rPr>
                <w:sz w:val="20"/>
              </w:rPr>
            </w:pPr>
            <w:r>
              <w:rPr>
                <w:spacing w:val="-2"/>
                <w:sz w:val="20"/>
              </w:rPr>
              <w:t>(0.09432)</w:t>
            </w:r>
          </w:p>
        </w:tc>
        <w:tc>
          <w:tcPr>
            <w:tcW w:w="1523" w:type="dxa"/>
          </w:tcPr>
          <w:p>
            <w:pPr>
              <w:pStyle w:val="TableParagraph"/>
              <w:spacing w:line="209" w:lineRule="exact"/>
              <w:ind w:left="55" w:right="90"/>
              <w:jc w:val="center"/>
              <w:rPr>
                <w:sz w:val="20"/>
              </w:rPr>
            </w:pPr>
            <w:r>
              <w:rPr>
                <w:spacing w:val="-2"/>
                <w:sz w:val="20"/>
              </w:rPr>
              <w:t>(0.06065)</w:t>
            </w:r>
          </w:p>
        </w:tc>
        <w:tc>
          <w:tcPr>
            <w:tcW w:w="1828" w:type="dxa"/>
          </w:tcPr>
          <w:p>
            <w:pPr>
              <w:pStyle w:val="TableParagraph"/>
              <w:spacing w:line="209" w:lineRule="exact"/>
              <w:ind w:left="54" w:right="228"/>
              <w:jc w:val="center"/>
              <w:rPr>
                <w:sz w:val="20"/>
              </w:rPr>
            </w:pPr>
            <w:r>
              <w:rPr>
                <w:spacing w:val="-2"/>
                <w:sz w:val="20"/>
              </w:rPr>
              <w:t>(0.11274)</w:t>
            </w:r>
          </w:p>
        </w:tc>
      </w:tr>
      <w:tr>
        <w:trPr>
          <w:trHeight w:val="230" w:hRule="atLeast"/>
        </w:trPr>
        <w:tc>
          <w:tcPr>
            <w:tcW w:w="1127" w:type="dxa"/>
          </w:tcPr>
          <w:p>
            <w:pPr>
              <w:pStyle w:val="TableParagraph"/>
              <w:spacing w:line="210" w:lineRule="exact"/>
              <w:ind w:left="59"/>
              <w:jc w:val="center"/>
              <w:rPr>
                <w:sz w:val="20"/>
              </w:rPr>
            </w:pPr>
            <w:r>
              <w:rPr>
                <w:spacing w:val="-2"/>
                <w:sz w:val="20"/>
              </w:rPr>
              <w:t>0.000000</w:t>
            </w:r>
          </w:p>
        </w:tc>
        <w:tc>
          <w:tcPr>
            <w:tcW w:w="1225" w:type="dxa"/>
          </w:tcPr>
          <w:p>
            <w:pPr>
              <w:pStyle w:val="TableParagraph"/>
              <w:spacing w:line="210" w:lineRule="exact"/>
              <w:ind w:left="51" w:right="2"/>
              <w:jc w:val="center"/>
              <w:rPr>
                <w:sz w:val="20"/>
              </w:rPr>
            </w:pPr>
            <w:r>
              <w:rPr>
                <w:spacing w:val="-2"/>
                <w:sz w:val="20"/>
              </w:rPr>
              <w:t>0.000000</w:t>
            </w:r>
          </w:p>
        </w:tc>
        <w:tc>
          <w:tcPr>
            <w:tcW w:w="1045" w:type="dxa"/>
          </w:tcPr>
          <w:p>
            <w:pPr>
              <w:pStyle w:val="TableParagraph"/>
              <w:spacing w:line="210" w:lineRule="exact"/>
              <w:ind w:left="49" w:right="23"/>
              <w:jc w:val="center"/>
              <w:rPr>
                <w:sz w:val="20"/>
              </w:rPr>
            </w:pPr>
            <w:r>
              <w:rPr>
                <w:spacing w:val="-2"/>
                <w:sz w:val="20"/>
              </w:rPr>
              <w:t>0.000000</w:t>
            </w:r>
          </w:p>
        </w:tc>
        <w:tc>
          <w:tcPr>
            <w:tcW w:w="983" w:type="dxa"/>
          </w:tcPr>
          <w:p>
            <w:pPr>
              <w:pStyle w:val="TableParagraph"/>
              <w:spacing w:line="210" w:lineRule="exact"/>
              <w:ind w:left="78" w:right="39"/>
              <w:jc w:val="center"/>
              <w:rPr>
                <w:sz w:val="20"/>
              </w:rPr>
            </w:pPr>
            <w:r>
              <w:rPr>
                <w:spacing w:val="-2"/>
                <w:sz w:val="20"/>
              </w:rPr>
              <w:t>1.000000</w:t>
            </w:r>
          </w:p>
        </w:tc>
        <w:tc>
          <w:tcPr>
            <w:tcW w:w="946" w:type="dxa"/>
          </w:tcPr>
          <w:p>
            <w:pPr>
              <w:pStyle w:val="TableParagraph"/>
              <w:spacing w:line="210" w:lineRule="exact"/>
              <w:ind w:left="47" w:right="46"/>
              <w:jc w:val="center"/>
              <w:rPr>
                <w:sz w:val="20"/>
              </w:rPr>
            </w:pPr>
            <w:r>
              <w:rPr>
                <w:spacing w:val="-2"/>
                <w:sz w:val="20"/>
              </w:rPr>
              <w:t>0.000000</w:t>
            </w:r>
          </w:p>
        </w:tc>
        <w:tc>
          <w:tcPr>
            <w:tcW w:w="960" w:type="dxa"/>
          </w:tcPr>
          <w:p>
            <w:pPr>
              <w:pStyle w:val="TableParagraph"/>
              <w:spacing w:line="210" w:lineRule="exact"/>
              <w:ind w:left="49" w:right="59"/>
              <w:jc w:val="center"/>
              <w:rPr>
                <w:sz w:val="20"/>
              </w:rPr>
            </w:pPr>
            <w:r>
              <w:rPr>
                <w:spacing w:val="-2"/>
                <w:sz w:val="20"/>
              </w:rPr>
              <w:t>0.000000</w:t>
            </w:r>
          </w:p>
        </w:tc>
        <w:tc>
          <w:tcPr>
            <w:tcW w:w="1246" w:type="dxa"/>
          </w:tcPr>
          <w:p>
            <w:pPr>
              <w:pStyle w:val="TableParagraph"/>
              <w:spacing w:line="210" w:lineRule="exact"/>
              <w:ind w:left="113"/>
              <w:rPr>
                <w:sz w:val="20"/>
              </w:rPr>
            </w:pPr>
            <w:r>
              <w:rPr>
                <w:spacing w:val="-4"/>
                <w:sz w:val="20"/>
              </w:rPr>
              <w:t>-</w:t>
            </w:r>
            <w:r>
              <w:rPr>
                <w:spacing w:val="-2"/>
                <w:sz w:val="20"/>
              </w:rPr>
              <w:t>0.098693</w:t>
            </w:r>
          </w:p>
        </w:tc>
        <w:tc>
          <w:tcPr>
            <w:tcW w:w="1523" w:type="dxa"/>
          </w:tcPr>
          <w:p>
            <w:pPr>
              <w:pStyle w:val="TableParagraph"/>
              <w:spacing w:line="210" w:lineRule="exact"/>
              <w:ind w:left="2" w:right="90"/>
              <w:jc w:val="center"/>
              <w:rPr>
                <w:sz w:val="20"/>
              </w:rPr>
            </w:pPr>
            <w:r>
              <w:rPr>
                <w:spacing w:val="-4"/>
                <w:sz w:val="20"/>
              </w:rPr>
              <w:t>-</w:t>
            </w:r>
            <w:r>
              <w:rPr>
                <w:spacing w:val="-2"/>
                <w:sz w:val="20"/>
              </w:rPr>
              <w:t>0.719876</w:t>
            </w:r>
          </w:p>
        </w:tc>
        <w:tc>
          <w:tcPr>
            <w:tcW w:w="1828" w:type="dxa"/>
          </w:tcPr>
          <w:p>
            <w:pPr>
              <w:pStyle w:val="TableParagraph"/>
              <w:spacing w:line="210" w:lineRule="exact"/>
              <w:ind w:left="53" w:right="228"/>
              <w:jc w:val="center"/>
              <w:rPr>
                <w:sz w:val="20"/>
              </w:rPr>
            </w:pPr>
            <w:r>
              <w:rPr>
                <w:spacing w:val="-2"/>
                <w:sz w:val="20"/>
              </w:rPr>
              <w:t>0.488059</w:t>
            </w:r>
          </w:p>
        </w:tc>
      </w:tr>
      <w:tr>
        <w:trPr>
          <w:trHeight w:val="230" w:hRule="atLeast"/>
        </w:trPr>
        <w:tc>
          <w:tcPr>
            <w:tcW w:w="1127" w:type="dxa"/>
          </w:tcPr>
          <w:p>
            <w:pPr>
              <w:pStyle w:val="TableParagraph"/>
              <w:rPr>
                <w:sz w:val="16"/>
              </w:rPr>
            </w:pPr>
          </w:p>
        </w:tc>
        <w:tc>
          <w:tcPr>
            <w:tcW w:w="1225" w:type="dxa"/>
          </w:tcPr>
          <w:p>
            <w:pPr>
              <w:pStyle w:val="TableParagraph"/>
              <w:rPr>
                <w:sz w:val="16"/>
              </w:rPr>
            </w:pPr>
          </w:p>
        </w:tc>
        <w:tc>
          <w:tcPr>
            <w:tcW w:w="1045" w:type="dxa"/>
          </w:tcPr>
          <w:p>
            <w:pPr>
              <w:pStyle w:val="TableParagraph"/>
              <w:rPr>
                <w:sz w:val="16"/>
              </w:rPr>
            </w:pPr>
          </w:p>
        </w:tc>
        <w:tc>
          <w:tcPr>
            <w:tcW w:w="983" w:type="dxa"/>
          </w:tcPr>
          <w:p>
            <w:pPr>
              <w:pStyle w:val="TableParagraph"/>
              <w:rPr>
                <w:sz w:val="16"/>
              </w:rPr>
            </w:pPr>
          </w:p>
        </w:tc>
        <w:tc>
          <w:tcPr>
            <w:tcW w:w="946" w:type="dxa"/>
          </w:tcPr>
          <w:p>
            <w:pPr>
              <w:pStyle w:val="TableParagraph"/>
              <w:rPr>
                <w:sz w:val="16"/>
              </w:rPr>
            </w:pPr>
          </w:p>
        </w:tc>
        <w:tc>
          <w:tcPr>
            <w:tcW w:w="960" w:type="dxa"/>
          </w:tcPr>
          <w:p>
            <w:pPr>
              <w:pStyle w:val="TableParagraph"/>
              <w:rPr>
                <w:sz w:val="16"/>
              </w:rPr>
            </w:pPr>
          </w:p>
        </w:tc>
        <w:tc>
          <w:tcPr>
            <w:tcW w:w="1246" w:type="dxa"/>
          </w:tcPr>
          <w:p>
            <w:pPr>
              <w:pStyle w:val="TableParagraph"/>
              <w:spacing w:line="210" w:lineRule="exact"/>
              <w:ind w:left="156"/>
              <w:rPr>
                <w:sz w:val="20"/>
              </w:rPr>
            </w:pPr>
            <w:r>
              <w:rPr>
                <w:spacing w:val="-2"/>
                <w:sz w:val="20"/>
              </w:rPr>
              <w:t>(0.35577)</w:t>
            </w:r>
          </w:p>
        </w:tc>
        <w:tc>
          <w:tcPr>
            <w:tcW w:w="1523" w:type="dxa"/>
          </w:tcPr>
          <w:p>
            <w:pPr>
              <w:pStyle w:val="TableParagraph"/>
              <w:spacing w:line="210" w:lineRule="exact"/>
              <w:ind w:left="55" w:right="90"/>
              <w:jc w:val="center"/>
              <w:rPr>
                <w:sz w:val="20"/>
              </w:rPr>
            </w:pPr>
            <w:r>
              <w:rPr>
                <w:spacing w:val="-2"/>
                <w:sz w:val="20"/>
              </w:rPr>
              <w:t>(0.22877)</w:t>
            </w:r>
          </w:p>
        </w:tc>
        <w:tc>
          <w:tcPr>
            <w:tcW w:w="1828" w:type="dxa"/>
          </w:tcPr>
          <w:p>
            <w:pPr>
              <w:pStyle w:val="TableParagraph"/>
              <w:spacing w:line="210" w:lineRule="exact"/>
              <w:ind w:left="54" w:right="228"/>
              <w:jc w:val="center"/>
              <w:rPr>
                <w:sz w:val="20"/>
              </w:rPr>
            </w:pPr>
            <w:r>
              <w:rPr>
                <w:spacing w:val="-2"/>
                <w:sz w:val="20"/>
              </w:rPr>
              <w:t>(0.42523)</w:t>
            </w:r>
          </w:p>
        </w:tc>
      </w:tr>
      <w:tr>
        <w:trPr>
          <w:trHeight w:val="230" w:hRule="atLeast"/>
        </w:trPr>
        <w:tc>
          <w:tcPr>
            <w:tcW w:w="1127" w:type="dxa"/>
          </w:tcPr>
          <w:p>
            <w:pPr>
              <w:pStyle w:val="TableParagraph"/>
              <w:spacing w:line="210" w:lineRule="exact"/>
              <w:ind w:left="59"/>
              <w:jc w:val="center"/>
              <w:rPr>
                <w:sz w:val="20"/>
              </w:rPr>
            </w:pPr>
            <w:r>
              <w:rPr>
                <w:spacing w:val="-2"/>
                <w:sz w:val="20"/>
              </w:rPr>
              <w:t>0.000000</w:t>
            </w:r>
          </w:p>
        </w:tc>
        <w:tc>
          <w:tcPr>
            <w:tcW w:w="1225" w:type="dxa"/>
          </w:tcPr>
          <w:p>
            <w:pPr>
              <w:pStyle w:val="TableParagraph"/>
              <w:spacing w:line="210" w:lineRule="exact"/>
              <w:ind w:left="51" w:right="2"/>
              <w:jc w:val="center"/>
              <w:rPr>
                <w:sz w:val="20"/>
              </w:rPr>
            </w:pPr>
            <w:r>
              <w:rPr>
                <w:spacing w:val="-2"/>
                <w:sz w:val="20"/>
              </w:rPr>
              <w:t>0.000000</w:t>
            </w:r>
          </w:p>
        </w:tc>
        <w:tc>
          <w:tcPr>
            <w:tcW w:w="1045" w:type="dxa"/>
          </w:tcPr>
          <w:p>
            <w:pPr>
              <w:pStyle w:val="TableParagraph"/>
              <w:spacing w:line="210" w:lineRule="exact"/>
              <w:ind w:left="49" w:right="23"/>
              <w:jc w:val="center"/>
              <w:rPr>
                <w:sz w:val="20"/>
              </w:rPr>
            </w:pPr>
            <w:r>
              <w:rPr>
                <w:spacing w:val="-2"/>
                <w:sz w:val="20"/>
              </w:rPr>
              <w:t>0.000000</w:t>
            </w:r>
          </w:p>
        </w:tc>
        <w:tc>
          <w:tcPr>
            <w:tcW w:w="983" w:type="dxa"/>
          </w:tcPr>
          <w:p>
            <w:pPr>
              <w:pStyle w:val="TableParagraph"/>
              <w:spacing w:line="210" w:lineRule="exact"/>
              <w:ind w:left="78" w:right="39"/>
              <w:jc w:val="center"/>
              <w:rPr>
                <w:sz w:val="20"/>
              </w:rPr>
            </w:pPr>
            <w:r>
              <w:rPr>
                <w:spacing w:val="-2"/>
                <w:sz w:val="20"/>
              </w:rPr>
              <w:t>0.000000</w:t>
            </w:r>
          </w:p>
        </w:tc>
        <w:tc>
          <w:tcPr>
            <w:tcW w:w="946" w:type="dxa"/>
          </w:tcPr>
          <w:p>
            <w:pPr>
              <w:pStyle w:val="TableParagraph"/>
              <w:spacing w:line="210" w:lineRule="exact"/>
              <w:ind w:left="47" w:right="46"/>
              <w:jc w:val="center"/>
              <w:rPr>
                <w:sz w:val="20"/>
              </w:rPr>
            </w:pPr>
            <w:r>
              <w:rPr>
                <w:spacing w:val="-2"/>
                <w:sz w:val="20"/>
              </w:rPr>
              <w:t>1.000000</w:t>
            </w:r>
          </w:p>
        </w:tc>
        <w:tc>
          <w:tcPr>
            <w:tcW w:w="960" w:type="dxa"/>
          </w:tcPr>
          <w:p>
            <w:pPr>
              <w:pStyle w:val="TableParagraph"/>
              <w:spacing w:line="210" w:lineRule="exact"/>
              <w:ind w:left="49" w:right="59"/>
              <w:jc w:val="center"/>
              <w:rPr>
                <w:sz w:val="20"/>
              </w:rPr>
            </w:pPr>
            <w:r>
              <w:rPr>
                <w:spacing w:val="-2"/>
                <w:sz w:val="20"/>
              </w:rPr>
              <w:t>0.000000</w:t>
            </w:r>
          </w:p>
        </w:tc>
        <w:tc>
          <w:tcPr>
            <w:tcW w:w="1246" w:type="dxa"/>
          </w:tcPr>
          <w:p>
            <w:pPr>
              <w:pStyle w:val="TableParagraph"/>
              <w:spacing w:line="210" w:lineRule="exact"/>
              <w:ind w:left="113"/>
              <w:rPr>
                <w:sz w:val="20"/>
              </w:rPr>
            </w:pPr>
            <w:r>
              <w:rPr>
                <w:spacing w:val="-4"/>
                <w:sz w:val="20"/>
              </w:rPr>
              <w:t>-</w:t>
            </w:r>
            <w:r>
              <w:rPr>
                <w:spacing w:val="-2"/>
                <w:sz w:val="20"/>
              </w:rPr>
              <w:t>0.665741</w:t>
            </w:r>
          </w:p>
        </w:tc>
        <w:tc>
          <w:tcPr>
            <w:tcW w:w="1523" w:type="dxa"/>
          </w:tcPr>
          <w:p>
            <w:pPr>
              <w:pStyle w:val="TableParagraph"/>
              <w:spacing w:line="210" w:lineRule="exact"/>
              <w:ind w:left="55" w:right="90"/>
              <w:jc w:val="center"/>
              <w:rPr>
                <w:sz w:val="20"/>
              </w:rPr>
            </w:pPr>
            <w:r>
              <w:rPr>
                <w:spacing w:val="-2"/>
                <w:sz w:val="20"/>
              </w:rPr>
              <w:t>0.150133</w:t>
            </w:r>
          </w:p>
        </w:tc>
        <w:tc>
          <w:tcPr>
            <w:tcW w:w="1828" w:type="dxa"/>
          </w:tcPr>
          <w:p>
            <w:pPr>
              <w:pStyle w:val="TableParagraph"/>
              <w:spacing w:line="210" w:lineRule="exact"/>
              <w:ind w:left="53" w:right="228"/>
              <w:jc w:val="center"/>
              <w:rPr>
                <w:sz w:val="20"/>
              </w:rPr>
            </w:pPr>
            <w:r>
              <w:rPr>
                <w:spacing w:val="-2"/>
                <w:sz w:val="20"/>
              </w:rPr>
              <w:t>0.054949</w:t>
            </w:r>
          </w:p>
        </w:tc>
      </w:tr>
      <w:tr>
        <w:trPr>
          <w:trHeight w:val="230" w:hRule="atLeast"/>
        </w:trPr>
        <w:tc>
          <w:tcPr>
            <w:tcW w:w="1127" w:type="dxa"/>
          </w:tcPr>
          <w:p>
            <w:pPr>
              <w:pStyle w:val="TableParagraph"/>
              <w:rPr>
                <w:sz w:val="16"/>
              </w:rPr>
            </w:pPr>
          </w:p>
        </w:tc>
        <w:tc>
          <w:tcPr>
            <w:tcW w:w="1225" w:type="dxa"/>
          </w:tcPr>
          <w:p>
            <w:pPr>
              <w:pStyle w:val="TableParagraph"/>
              <w:rPr>
                <w:sz w:val="16"/>
              </w:rPr>
            </w:pPr>
          </w:p>
        </w:tc>
        <w:tc>
          <w:tcPr>
            <w:tcW w:w="1045" w:type="dxa"/>
          </w:tcPr>
          <w:p>
            <w:pPr>
              <w:pStyle w:val="TableParagraph"/>
              <w:rPr>
                <w:sz w:val="16"/>
              </w:rPr>
            </w:pPr>
          </w:p>
        </w:tc>
        <w:tc>
          <w:tcPr>
            <w:tcW w:w="983" w:type="dxa"/>
          </w:tcPr>
          <w:p>
            <w:pPr>
              <w:pStyle w:val="TableParagraph"/>
              <w:rPr>
                <w:sz w:val="16"/>
              </w:rPr>
            </w:pPr>
          </w:p>
        </w:tc>
        <w:tc>
          <w:tcPr>
            <w:tcW w:w="946" w:type="dxa"/>
          </w:tcPr>
          <w:p>
            <w:pPr>
              <w:pStyle w:val="TableParagraph"/>
              <w:rPr>
                <w:sz w:val="16"/>
              </w:rPr>
            </w:pPr>
          </w:p>
        </w:tc>
        <w:tc>
          <w:tcPr>
            <w:tcW w:w="960" w:type="dxa"/>
          </w:tcPr>
          <w:p>
            <w:pPr>
              <w:pStyle w:val="TableParagraph"/>
              <w:rPr>
                <w:sz w:val="16"/>
              </w:rPr>
            </w:pPr>
          </w:p>
        </w:tc>
        <w:tc>
          <w:tcPr>
            <w:tcW w:w="1246" w:type="dxa"/>
          </w:tcPr>
          <w:p>
            <w:pPr>
              <w:pStyle w:val="TableParagraph"/>
              <w:spacing w:line="210" w:lineRule="exact"/>
              <w:ind w:left="156"/>
              <w:rPr>
                <w:sz w:val="20"/>
              </w:rPr>
            </w:pPr>
            <w:r>
              <w:rPr>
                <w:spacing w:val="-2"/>
                <w:sz w:val="20"/>
              </w:rPr>
              <w:t>(0.32121)</w:t>
            </w:r>
          </w:p>
        </w:tc>
        <w:tc>
          <w:tcPr>
            <w:tcW w:w="1523" w:type="dxa"/>
          </w:tcPr>
          <w:p>
            <w:pPr>
              <w:pStyle w:val="TableParagraph"/>
              <w:spacing w:line="210" w:lineRule="exact"/>
              <w:ind w:left="55" w:right="90"/>
              <w:jc w:val="center"/>
              <w:rPr>
                <w:sz w:val="20"/>
              </w:rPr>
            </w:pPr>
            <w:r>
              <w:rPr>
                <w:spacing w:val="-2"/>
                <w:sz w:val="20"/>
              </w:rPr>
              <w:t>(0.20655)</w:t>
            </w:r>
          </w:p>
        </w:tc>
        <w:tc>
          <w:tcPr>
            <w:tcW w:w="1828" w:type="dxa"/>
          </w:tcPr>
          <w:p>
            <w:pPr>
              <w:pStyle w:val="TableParagraph"/>
              <w:spacing w:line="210" w:lineRule="exact"/>
              <w:ind w:left="54" w:right="228"/>
              <w:jc w:val="center"/>
              <w:rPr>
                <w:sz w:val="20"/>
              </w:rPr>
            </w:pPr>
            <w:r>
              <w:rPr>
                <w:spacing w:val="-2"/>
                <w:sz w:val="20"/>
              </w:rPr>
              <w:t>(0.38392)</w:t>
            </w:r>
          </w:p>
        </w:tc>
      </w:tr>
      <w:tr>
        <w:trPr>
          <w:trHeight w:val="229" w:hRule="atLeast"/>
        </w:trPr>
        <w:tc>
          <w:tcPr>
            <w:tcW w:w="1127" w:type="dxa"/>
          </w:tcPr>
          <w:p>
            <w:pPr>
              <w:pStyle w:val="TableParagraph"/>
              <w:spacing w:line="209" w:lineRule="exact"/>
              <w:ind w:left="59"/>
              <w:jc w:val="center"/>
              <w:rPr>
                <w:sz w:val="20"/>
              </w:rPr>
            </w:pPr>
            <w:r>
              <w:rPr>
                <w:spacing w:val="-2"/>
                <w:sz w:val="20"/>
              </w:rPr>
              <w:t>0.000000</w:t>
            </w:r>
          </w:p>
        </w:tc>
        <w:tc>
          <w:tcPr>
            <w:tcW w:w="1225" w:type="dxa"/>
          </w:tcPr>
          <w:p>
            <w:pPr>
              <w:pStyle w:val="TableParagraph"/>
              <w:spacing w:line="209" w:lineRule="exact"/>
              <w:ind w:left="51" w:right="2"/>
              <w:jc w:val="center"/>
              <w:rPr>
                <w:sz w:val="20"/>
              </w:rPr>
            </w:pPr>
            <w:r>
              <w:rPr>
                <w:spacing w:val="-2"/>
                <w:sz w:val="20"/>
              </w:rPr>
              <w:t>0.000000</w:t>
            </w:r>
          </w:p>
        </w:tc>
        <w:tc>
          <w:tcPr>
            <w:tcW w:w="1045" w:type="dxa"/>
          </w:tcPr>
          <w:p>
            <w:pPr>
              <w:pStyle w:val="TableParagraph"/>
              <w:spacing w:line="209" w:lineRule="exact"/>
              <w:ind w:left="49" w:right="23"/>
              <w:jc w:val="center"/>
              <w:rPr>
                <w:sz w:val="20"/>
              </w:rPr>
            </w:pPr>
            <w:r>
              <w:rPr>
                <w:spacing w:val="-2"/>
                <w:sz w:val="20"/>
              </w:rPr>
              <w:t>0.000000</w:t>
            </w:r>
          </w:p>
        </w:tc>
        <w:tc>
          <w:tcPr>
            <w:tcW w:w="983" w:type="dxa"/>
          </w:tcPr>
          <w:p>
            <w:pPr>
              <w:pStyle w:val="TableParagraph"/>
              <w:spacing w:line="209" w:lineRule="exact"/>
              <w:ind w:left="78" w:right="39"/>
              <w:jc w:val="center"/>
              <w:rPr>
                <w:sz w:val="20"/>
              </w:rPr>
            </w:pPr>
            <w:r>
              <w:rPr>
                <w:spacing w:val="-2"/>
                <w:sz w:val="20"/>
              </w:rPr>
              <w:t>0.000000</w:t>
            </w:r>
          </w:p>
        </w:tc>
        <w:tc>
          <w:tcPr>
            <w:tcW w:w="946" w:type="dxa"/>
          </w:tcPr>
          <w:p>
            <w:pPr>
              <w:pStyle w:val="TableParagraph"/>
              <w:spacing w:line="209" w:lineRule="exact"/>
              <w:ind w:left="47" w:right="46"/>
              <w:jc w:val="center"/>
              <w:rPr>
                <w:sz w:val="20"/>
              </w:rPr>
            </w:pPr>
            <w:r>
              <w:rPr>
                <w:spacing w:val="-2"/>
                <w:sz w:val="20"/>
              </w:rPr>
              <w:t>0.000000</w:t>
            </w:r>
          </w:p>
        </w:tc>
        <w:tc>
          <w:tcPr>
            <w:tcW w:w="960" w:type="dxa"/>
          </w:tcPr>
          <w:p>
            <w:pPr>
              <w:pStyle w:val="TableParagraph"/>
              <w:spacing w:line="209" w:lineRule="exact"/>
              <w:ind w:left="49" w:right="59"/>
              <w:jc w:val="center"/>
              <w:rPr>
                <w:sz w:val="20"/>
              </w:rPr>
            </w:pPr>
            <w:r>
              <w:rPr>
                <w:spacing w:val="-2"/>
                <w:sz w:val="20"/>
              </w:rPr>
              <w:t>1.000000</w:t>
            </w:r>
          </w:p>
        </w:tc>
        <w:tc>
          <w:tcPr>
            <w:tcW w:w="1246" w:type="dxa"/>
          </w:tcPr>
          <w:p>
            <w:pPr>
              <w:pStyle w:val="TableParagraph"/>
              <w:spacing w:line="209" w:lineRule="exact"/>
              <w:ind w:left="113"/>
              <w:rPr>
                <w:sz w:val="20"/>
              </w:rPr>
            </w:pPr>
            <w:r>
              <w:rPr>
                <w:spacing w:val="-4"/>
                <w:sz w:val="20"/>
              </w:rPr>
              <w:t>-</w:t>
            </w:r>
            <w:r>
              <w:rPr>
                <w:spacing w:val="-2"/>
                <w:sz w:val="20"/>
              </w:rPr>
              <w:t>0.603269</w:t>
            </w:r>
          </w:p>
        </w:tc>
        <w:tc>
          <w:tcPr>
            <w:tcW w:w="1523" w:type="dxa"/>
          </w:tcPr>
          <w:p>
            <w:pPr>
              <w:pStyle w:val="TableParagraph"/>
              <w:spacing w:line="209" w:lineRule="exact"/>
              <w:ind w:left="2" w:right="90"/>
              <w:jc w:val="center"/>
              <w:rPr>
                <w:sz w:val="20"/>
              </w:rPr>
            </w:pPr>
            <w:r>
              <w:rPr>
                <w:spacing w:val="-4"/>
                <w:sz w:val="20"/>
              </w:rPr>
              <w:t>-</w:t>
            </w:r>
            <w:r>
              <w:rPr>
                <w:spacing w:val="-2"/>
                <w:sz w:val="20"/>
              </w:rPr>
              <w:t>1.266931</w:t>
            </w:r>
          </w:p>
        </w:tc>
        <w:tc>
          <w:tcPr>
            <w:tcW w:w="1828" w:type="dxa"/>
          </w:tcPr>
          <w:p>
            <w:pPr>
              <w:pStyle w:val="TableParagraph"/>
              <w:spacing w:line="209" w:lineRule="exact"/>
              <w:ind w:left="53" w:right="228"/>
              <w:jc w:val="center"/>
              <w:rPr>
                <w:sz w:val="20"/>
              </w:rPr>
            </w:pPr>
            <w:r>
              <w:rPr>
                <w:spacing w:val="-2"/>
                <w:sz w:val="20"/>
              </w:rPr>
              <w:t>1.179496</w:t>
            </w:r>
          </w:p>
        </w:tc>
      </w:tr>
      <w:tr>
        <w:trPr>
          <w:trHeight w:val="344" w:hRule="atLeast"/>
        </w:trPr>
        <w:tc>
          <w:tcPr>
            <w:tcW w:w="1127" w:type="dxa"/>
          </w:tcPr>
          <w:p>
            <w:pPr>
              <w:pStyle w:val="TableParagraph"/>
              <w:rPr>
                <w:sz w:val="18"/>
              </w:rPr>
            </w:pPr>
          </w:p>
        </w:tc>
        <w:tc>
          <w:tcPr>
            <w:tcW w:w="1225" w:type="dxa"/>
          </w:tcPr>
          <w:p>
            <w:pPr>
              <w:pStyle w:val="TableParagraph"/>
              <w:rPr>
                <w:sz w:val="18"/>
              </w:rPr>
            </w:pPr>
          </w:p>
        </w:tc>
        <w:tc>
          <w:tcPr>
            <w:tcW w:w="1045" w:type="dxa"/>
          </w:tcPr>
          <w:p>
            <w:pPr>
              <w:pStyle w:val="TableParagraph"/>
              <w:rPr>
                <w:sz w:val="18"/>
              </w:rPr>
            </w:pPr>
          </w:p>
        </w:tc>
        <w:tc>
          <w:tcPr>
            <w:tcW w:w="983" w:type="dxa"/>
          </w:tcPr>
          <w:p>
            <w:pPr>
              <w:pStyle w:val="TableParagraph"/>
              <w:rPr>
                <w:sz w:val="18"/>
              </w:rPr>
            </w:pPr>
          </w:p>
        </w:tc>
        <w:tc>
          <w:tcPr>
            <w:tcW w:w="946" w:type="dxa"/>
          </w:tcPr>
          <w:p>
            <w:pPr>
              <w:pStyle w:val="TableParagraph"/>
              <w:rPr>
                <w:sz w:val="18"/>
              </w:rPr>
            </w:pPr>
          </w:p>
        </w:tc>
        <w:tc>
          <w:tcPr>
            <w:tcW w:w="960" w:type="dxa"/>
          </w:tcPr>
          <w:p>
            <w:pPr>
              <w:pStyle w:val="TableParagraph"/>
              <w:rPr>
                <w:sz w:val="18"/>
              </w:rPr>
            </w:pPr>
          </w:p>
        </w:tc>
        <w:tc>
          <w:tcPr>
            <w:tcW w:w="1246" w:type="dxa"/>
          </w:tcPr>
          <w:p>
            <w:pPr>
              <w:pStyle w:val="TableParagraph"/>
              <w:spacing w:line="225" w:lineRule="exact"/>
              <w:ind w:left="156"/>
              <w:rPr>
                <w:sz w:val="20"/>
              </w:rPr>
            </w:pPr>
            <w:r>
              <w:rPr>
                <w:spacing w:val="-2"/>
                <w:sz w:val="20"/>
              </w:rPr>
              <w:t>(0.35795)</w:t>
            </w:r>
          </w:p>
        </w:tc>
        <w:tc>
          <w:tcPr>
            <w:tcW w:w="1523" w:type="dxa"/>
          </w:tcPr>
          <w:p>
            <w:pPr>
              <w:pStyle w:val="TableParagraph"/>
              <w:spacing w:line="225" w:lineRule="exact"/>
              <w:ind w:left="55" w:right="90"/>
              <w:jc w:val="center"/>
              <w:rPr>
                <w:sz w:val="20"/>
              </w:rPr>
            </w:pPr>
            <w:r>
              <w:rPr>
                <w:spacing w:val="-2"/>
                <w:sz w:val="20"/>
              </w:rPr>
              <w:t>(0.23017)</w:t>
            </w:r>
          </w:p>
        </w:tc>
        <w:tc>
          <w:tcPr>
            <w:tcW w:w="1828" w:type="dxa"/>
          </w:tcPr>
          <w:p>
            <w:pPr>
              <w:pStyle w:val="TableParagraph"/>
              <w:spacing w:line="225" w:lineRule="exact"/>
              <w:ind w:left="54" w:right="228"/>
              <w:jc w:val="center"/>
              <w:rPr>
                <w:sz w:val="20"/>
              </w:rPr>
            </w:pPr>
            <w:r>
              <w:rPr>
                <w:spacing w:val="-2"/>
                <w:sz w:val="20"/>
              </w:rPr>
              <w:t>(0.42783)</w:t>
            </w:r>
          </w:p>
        </w:tc>
      </w:tr>
      <w:tr>
        <w:trPr>
          <w:trHeight w:val="733" w:hRule="atLeast"/>
        </w:trPr>
        <w:tc>
          <w:tcPr>
            <w:tcW w:w="1127" w:type="dxa"/>
          </w:tcPr>
          <w:p>
            <w:pPr>
              <w:pStyle w:val="TableParagraph"/>
              <w:spacing w:before="111"/>
              <w:ind w:left="434"/>
              <w:rPr>
                <w:sz w:val="20"/>
              </w:rPr>
            </w:pPr>
            <w:r>
              <w:rPr>
                <w:spacing w:val="-5"/>
                <w:sz w:val="20"/>
              </w:rPr>
              <w:t>Log</w:t>
            </w:r>
          </w:p>
          <w:p>
            <w:pPr>
              <w:pStyle w:val="TableParagraph"/>
              <w:tabs>
                <w:tab w:pos="10883" w:val="left" w:leader="none"/>
              </w:tabs>
              <w:ind w:right="-9764"/>
              <w:rPr>
                <w:sz w:val="20"/>
              </w:rPr>
            </w:pPr>
            <w:r>
              <w:rPr>
                <w:spacing w:val="31"/>
                <w:sz w:val="20"/>
                <w:u w:val="double"/>
              </w:rPr>
              <w:t>  </w:t>
            </w:r>
            <w:r>
              <w:rPr>
                <w:spacing w:val="-2"/>
                <w:sz w:val="20"/>
                <w:u w:val="double"/>
              </w:rPr>
              <w:t>likelihood</w:t>
            </w:r>
            <w:r>
              <w:rPr>
                <w:sz w:val="20"/>
                <w:u w:val="double"/>
              </w:rPr>
              <w:tab/>
            </w:r>
          </w:p>
        </w:tc>
        <w:tc>
          <w:tcPr>
            <w:tcW w:w="1225" w:type="dxa"/>
          </w:tcPr>
          <w:p>
            <w:pPr>
              <w:pStyle w:val="TableParagraph"/>
              <w:spacing w:before="111"/>
              <w:ind w:left="49" w:right="50"/>
              <w:jc w:val="center"/>
              <w:rPr>
                <w:sz w:val="20"/>
              </w:rPr>
            </w:pPr>
            <w:r>
              <w:rPr>
                <w:spacing w:val="-4"/>
                <w:sz w:val="20"/>
              </w:rPr>
              <w:t>-</w:t>
            </w:r>
            <w:r>
              <w:rPr>
                <w:spacing w:val="-2"/>
                <w:sz w:val="20"/>
              </w:rPr>
              <w:t>34.17495</w:t>
            </w:r>
          </w:p>
        </w:tc>
        <w:tc>
          <w:tcPr>
            <w:tcW w:w="1045" w:type="dxa"/>
          </w:tcPr>
          <w:p>
            <w:pPr>
              <w:pStyle w:val="TableParagraph"/>
              <w:rPr>
                <w:sz w:val="18"/>
              </w:rPr>
            </w:pPr>
          </w:p>
        </w:tc>
        <w:tc>
          <w:tcPr>
            <w:tcW w:w="983" w:type="dxa"/>
          </w:tcPr>
          <w:p>
            <w:pPr>
              <w:pStyle w:val="TableParagraph"/>
              <w:rPr>
                <w:sz w:val="18"/>
              </w:rPr>
            </w:pPr>
          </w:p>
        </w:tc>
        <w:tc>
          <w:tcPr>
            <w:tcW w:w="946" w:type="dxa"/>
          </w:tcPr>
          <w:p>
            <w:pPr>
              <w:pStyle w:val="TableParagraph"/>
              <w:rPr>
                <w:sz w:val="18"/>
              </w:rPr>
            </w:pPr>
          </w:p>
        </w:tc>
        <w:tc>
          <w:tcPr>
            <w:tcW w:w="960" w:type="dxa"/>
          </w:tcPr>
          <w:p>
            <w:pPr>
              <w:pStyle w:val="TableParagraph"/>
              <w:rPr>
                <w:sz w:val="18"/>
              </w:rPr>
            </w:pPr>
          </w:p>
        </w:tc>
        <w:tc>
          <w:tcPr>
            <w:tcW w:w="1246" w:type="dxa"/>
          </w:tcPr>
          <w:p>
            <w:pPr>
              <w:pStyle w:val="TableParagraph"/>
              <w:rPr>
                <w:sz w:val="18"/>
              </w:rPr>
            </w:pPr>
          </w:p>
        </w:tc>
        <w:tc>
          <w:tcPr>
            <w:tcW w:w="1523" w:type="dxa"/>
          </w:tcPr>
          <w:p>
            <w:pPr>
              <w:pStyle w:val="TableParagraph"/>
              <w:rPr>
                <w:sz w:val="18"/>
              </w:rPr>
            </w:pPr>
          </w:p>
        </w:tc>
        <w:tc>
          <w:tcPr>
            <w:tcW w:w="1828" w:type="dxa"/>
          </w:tcPr>
          <w:p>
            <w:pPr>
              <w:pStyle w:val="TableParagraph"/>
              <w:rPr>
                <w:sz w:val="18"/>
              </w:rPr>
            </w:pPr>
          </w:p>
        </w:tc>
      </w:tr>
      <w:tr>
        <w:trPr>
          <w:trHeight w:val="1992" w:hRule="atLeast"/>
        </w:trPr>
        <w:tc>
          <w:tcPr>
            <w:tcW w:w="1127" w:type="dxa"/>
            <w:tcBorders>
              <w:bottom w:val="double" w:sz="6" w:space="0" w:color="000000"/>
            </w:tcBorders>
          </w:tcPr>
          <w:p>
            <w:pPr>
              <w:pStyle w:val="TableParagraph"/>
              <w:spacing w:before="153"/>
              <w:ind w:left="52" w:right="43" w:firstLine="50"/>
              <w:jc w:val="center"/>
              <w:rPr>
                <w:sz w:val="20"/>
              </w:rPr>
            </w:pPr>
            <w:r>
              <w:rPr>
                <w:spacing w:val="-2"/>
                <w:sz w:val="20"/>
              </w:rPr>
              <w:t>Normalized Cointegratin </w:t>
            </w:r>
            <w:r>
              <w:rPr>
                <w:spacing w:val="-10"/>
                <w:sz w:val="20"/>
              </w:rPr>
              <w:t>g</w:t>
            </w:r>
            <w:r>
              <w:rPr>
                <w:spacing w:val="-2"/>
                <w:sz w:val="20"/>
              </w:rPr>
              <w:t> Coefficients: </w:t>
            </w:r>
            <w:r>
              <w:rPr>
                <w:spacing w:val="-10"/>
                <w:sz w:val="20"/>
              </w:rPr>
              <w:t>7</w:t>
            </w:r>
          </w:p>
          <w:p>
            <w:pPr>
              <w:pStyle w:val="TableParagraph"/>
              <w:spacing w:line="230" w:lineRule="exact"/>
              <w:ind w:left="67" w:right="59"/>
              <w:jc w:val="center"/>
              <w:rPr>
                <w:sz w:val="20"/>
              </w:rPr>
            </w:pPr>
            <w:r>
              <w:rPr>
                <w:spacing w:val="-2"/>
                <w:sz w:val="20"/>
              </w:rPr>
              <w:t>Cointegratin </w:t>
            </w:r>
            <w:r>
              <w:rPr>
                <w:spacing w:val="-10"/>
                <w:sz w:val="20"/>
              </w:rPr>
              <w:t>g</w:t>
            </w:r>
            <w:r>
              <w:rPr>
                <w:spacing w:val="-2"/>
                <w:sz w:val="20"/>
              </w:rPr>
              <w:t> Equation(s)</w:t>
            </w:r>
          </w:p>
        </w:tc>
        <w:tc>
          <w:tcPr>
            <w:tcW w:w="1225" w:type="dxa"/>
            <w:tcBorders>
              <w:bottom w:val="double" w:sz="6" w:space="0" w:color="000000"/>
            </w:tcBorders>
          </w:tcPr>
          <w:p>
            <w:pPr>
              <w:pStyle w:val="TableParagraph"/>
              <w:rPr>
                <w:sz w:val="18"/>
              </w:rPr>
            </w:pPr>
          </w:p>
        </w:tc>
        <w:tc>
          <w:tcPr>
            <w:tcW w:w="1045" w:type="dxa"/>
            <w:tcBorders>
              <w:bottom w:val="double" w:sz="6" w:space="0" w:color="000000"/>
            </w:tcBorders>
          </w:tcPr>
          <w:p>
            <w:pPr>
              <w:pStyle w:val="TableParagraph"/>
              <w:rPr>
                <w:sz w:val="18"/>
              </w:rPr>
            </w:pPr>
          </w:p>
        </w:tc>
        <w:tc>
          <w:tcPr>
            <w:tcW w:w="983" w:type="dxa"/>
            <w:tcBorders>
              <w:bottom w:val="double" w:sz="6" w:space="0" w:color="000000"/>
            </w:tcBorders>
          </w:tcPr>
          <w:p>
            <w:pPr>
              <w:pStyle w:val="TableParagraph"/>
              <w:rPr>
                <w:sz w:val="18"/>
              </w:rPr>
            </w:pPr>
          </w:p>
        </w:tc>
        <w:tc>
          <w:tcPr>
            <w:tcW w:w="946" w:type="dxa"/>
            <w:tcBorders>
              <w:bottom w:val="double" w:sz="6" w:space="0" w:color="000000"/>
            </w:tcBorders>
          </w:tcPr>
          <w:p>
            <w:pPr>
              <w:pStyle w:val="TableParagraph"/>
              <w:rPr>
                <w:sz w:val="18"/>
              </w:rPr>
            </w:pPr>
          </w:p>
        </w:tc>
        <w:tc>
          <w:tcPr>
            <w:tcW w:w="960" w:type="dxa"/>
            <w:tcBorders>
              <w:bottom w:val="double" w:sz="6" w:space="0" w:color="000000"/>
            </w:tcBorders>
          </w:tcPr>
          <w:p>
            <w:pPr>
              <w:pStyle w:val="TableParagraph"/>
              <w:rPr>
                <w:sz w:val="18"/>
              </w:rPr>
            </w:pPr>
          </w:p>
        </w:tc>
        <w:tc>
          <w:tcPr>
            <w:tcW w:w="1246" w:type="dxa"/>
            <w:tcBorders>
              <w:bottom w:val="double" w:sz="6" w:space="0" w:color="000000"/>
            </w:tcBorders>
          </w:tcPr>
          <w:p>
            <w:pPr>
              <w:pStyle w:val="TableParagraph"/>
              <w:rPr>
                <w:sz w:val="18"/>
              </w:rPr>
            </w:pPr>
          </w:p>
        </w:tc>
        <w:tc>
          <w:tcPr>
            <w:tcW w:w="1523" w:type="dxa"/>
            <w:tcBorders>
              <w:bottom w:val="double" w:sz="6" w:space="0" w:color="000000"/>
            </w:tcBorders>
          </w:tcPr>
          <w:p>
            <w:pPr>
              <w:pStyle w:val="TableParagraph"/>
              <w:rPr>
                <w:sz w:val="18"/>
              </w:rPr>
            </w:pPr>
          </w:p>
        </w:tc>
        <w:tc>
          <w:tcPr>
            <w:tcW w:w="1828" w:type="dxa"/>
            <w:tcBorders>
              <w:bottom w:val="double" w:sz="6" w:space="0" w:color="000000"/>
            </w:tcBorders>
          </w:tcPr>
          <w:p>
            <w:pPr>
              <w:pStyle w:val="TableParagraph"/>
              <w:rPr>
                <w:sz w:val="18"/>
              </w:rPr>
            </w:pPr>
          </w:p>
        </w:tc>
      </w:tr>
      <w:tr>
        <w:trPr>
          <w:trHeight w:val="274" w:hRule="atLeast"/>
        </w:trPr>
        <w:tc>
          <w:tcPr>
            <w:tcW w:w="1127" w:type="dxa"/>
            <w:tcBorders>
              <w:top w:val="double" w:sz="6" w:space="0" w:color="000000"/>
            </w:tcBorders>
          </w:tcPr>
          <w:p>
            <w:pPr>
              <w:pStyle w:val="TableParagraph"/>
              <w:spacing w:line="215" w:lineRule="exact" w:before="39"/>
              <w:ind w:left="7"/>
              <w:jc w:val="center"/>
              <w:rPr>
                <w:sz w:val="20"/>
              </w:rPr>
            </w:pPr>
            <w:r>
              <w:rPr>
                <w:spacing w:val="-5"/>
                <w:sz w:val="20"/>
              </w:rPr>
              <w:t>KFW</w:t>
            </w:r>
          </w:p>
        </w:tc>
        <w:tc>
          <w:tcPr>
            <w:tcW w:w="1225" w:type="dxa"/>
            <w:tcBorders>
              <w:top w:val="double" w:sz="6" w:space="0" w:color="000000"/>
            </w:tcBorders>
          </w:tcPr>
          <w:p>
            <w:pPr>
              <w:pStyle w:val="TableParagraph"/>
              <w:spacing w:line="215" w:lineRule="exact" w:before="39"/>
              <w:ind w:left="49" w:right="51"/>
              <w:jc w:val="center"/>
              <w:rPr>
                <w:sz w:val="20"/>
              </w:rPr>
            </w:pPr>
            <w:r>
              <w:rPr>
                <w:spacing w:val="-2"/>
                <w:sz w:val="20"/>
              </w:rPr>
              <w:t>EXTDEBT</w:t>
            </w:r>
          </w:p>
        </w:tc>
        <w:tc>
          <w:tcPr>
            <w:tcW w:w="1045" w:type="dxa"/>
            <w:tcBorders>
              <w:top w:val="double" w:sz="6" w:space="0" w:color="000000"/>
            </w:tcBorders>
          </w:tcPr>
          <w:p>
            <w:pPr>
              <w:pStyle w:val="TableParagraph"/>
              <w:spacing w:line="215" w:lineRule="exact" w:before="39"/>
              <w:ind w:left="26" w:right="49"/>
              <w:jc w:val="center"/>
              <w:rPr>
                <w:sz w:val="20"/>
              </w:rPr>
            </w:pPr>
            <w:r>
              <w:rPr>
                <w:spacing w:val="-5"/>
                <w:sz w:val="20"/>
              </w:rPr>
              <w:t>DOP</w:t>
            </w:r>
          </w:p>
        </w:tc>
        <w:tc>
          <w:tcPr>
            <w:tcW w:w="983" w:type="dxa"/>
            <w:tcBorders>
              <w:top w:val="double" w:sz="6" w:space="0" w:color="000000"/>
            </w:tcBorders>
          </w:tcPr>
          <w:p>
            <w:pPr>
              <w:pStyle w:val="TableParagraph"/>
              <w:spacing w:line="215" w:lineRule="exact" w:before="39"/>
              <w:ind w:right="6"/>
              <w:jc w:val="center"/>
              <w:rPr>
                <w:sz w:val="20"/>
              </w:rPr>
            </w:pPr>
            <w:r>
              <w:rPr>
                <w:spacing w:val="-5"/>
                <w:sz w:val="20"/>
              </w:rPr>
              <w:t>INF</w:t>
            </w:r>
          </w:p>
        </w:tc>
        <w:tc>
          <w:tcPr>
            <w:tcW w:w="946" w:type="dxa"/>
            <w:tcBorders>
              <w:top w:val="double" w:sz="6" w:space="0" w:color="000000"/>
            </w:tcBorders>
          </w:tcPr>
          <w:p>
            <w:pPr>
              <w:pStyle w:val="TableParagraph"/>
              <w:spacing w:line="215" w:lineRule="exact" w:before="39"/>
              <w:ind w:right="46"/>
              <w:jc w:val="center"/>
              <w:rPr>
                <w:sz w:val="20"/>
              </w:rPr>
            </w:pPr>
            <w:r>
              <w:rPr>
                <w:spacing w:val="-5"/>
                <w:sz w:val="20"/>
              </w:rPr>
              <w:t>GCF</w:t>
            </w:r>
          </w:p>
        </w:tc>
        <w:tc>
          <w:tcPr>
            <w:tcW w:w="960" w:type="dxa"/>
            <w:tcBorders>
              <w:top w:val="double" w:sz="6" w:space="0" w:color="000000"/>
            </w:tcBorders>
          </w:tcPr>
          <w:p>
            <w:pPr>
              <w:pStyle w:val="TableParagraph"/>
              <w:spacing w:line="215" w:lineRule="exact" w:before="39"/>
              <w:ind w:right="59"/>
              <w:jc w:val="center"/>
              <w:rPr>
                <w:sz w:val="20"/>
              </w:rPr>
            </w:pPr>
            <w:r>
              <w:rPr>
                <w:spacing w:val="-5"/>
                <w:sz w:val="20"/>
              </w:rPr>
              <w:t>DR</w:t>
            </w:r>
          </w:p>
        </w:tc>
        <w:tc>
          <w:tcPr>
            <w:tcW w:w="1246" w:type="dxa"/>
            <w:tcBorders>
              <w:top w:val="double" w:sz="6" w:space="0" w:color="000000"/>
            </w:tcBorders>
          </w:tcPr>
          <w:p>
            <w:pPr>
              <w:pStyle w:val="TableParagraph"/>
              <w:spacing w:line="215" w:lineRule="exact" w:before="39"/>
              <w:ind w:left="161"/>
              <w:rPr>
                <w:sz w:val="20"/>
              </w:rPr>
            </w:pPr>
            <w:r>
              <w:rPr>
                <w:spacing w:val="-2"/>
                <w:sz w:val="20"/>
              </w:rPr>
              <w:t>PRIVCR</w:t>
            </w:r>
          </w:p>
        </w:tc>
        <w:tc>
          <w:tcPr>
            <w:tcW w:w="1523" w:type="dxa"/>
            <w:tcBorders>
              <w:top w:val="double" w:sz="6" w:space="0" w:color="000000"/>
            </w:tcBorders>
          </w:tcPr>
          <w:p>
            <w:pPr>
              <w:pStyle w:val="TableParagraph"/>
              <w:spacing w:line="215" w:lineRule="exact" w:before="39"/>
              <w:ind w:left="2" w:right="90"/>
              <w:jc w:val="center"/>
              <w:rPr>
                <w:sz w:val="20"/>
              </w:rPr>
            </w:pPr>
            <w:r>
              <w:rPr>
                <w:spacing w:val="-2"/>
                <w:sz w:val="20"/>
              </w:rPr>
              <w:t>URIRD</w:t>
            </w:r>
          </w:p>
        </w:tc>
        <w:tc>
          <w:tcPr>
            <w:tcW w:w="1828" w:type="dxa"/>
            <w:tcBorders>
              <w:top w:val="double" w:sz="6" w:space="0" w:color="000000"/>
            </w:tcBorders>
          </w:tcPr>
          <w:p>
            <w:pPr>
              <w:pStyle w:val="TableParagraph"/>
              <w:spacing w:line="215" w:lineRule="exact" w:before="39"/>
              <w:ind w:right="228"/>
              <w:jc w:val="center"/>
              <w:rPr>
                <w:sz w:val="20"/>
              </w:rPr>
            </w:pPr>
            <w:r>
              <w:rPr>
                <w:spacing w:val="-4"/>
                <w:sz w:val="20"/>
              </w:rPr>
              <w:t>GOCE</w:t>
            </w:r>
          </w:p>
        </w:tc>
      </w:tr>
      <w:tr>
        <w:trPr>
          <w:trHeight w:val="230" w:hRule="atLeast"/>
        </w:trPr>
        <w:tc>
          <w:tcPr>
            <w:tcW w:w="1127" w:type="dxa"/>
          </w:tcPr>
          <w:p>
            <w:pPr>
              <w:pStyle w:val="TableParagraph"/>
              <w:spacing w:line="211" w:lineRule="exact"/>
              <w:ind w:left="59"/>
              <w:jc w:val="center"/>
              <w:rPr>
                <w:sz w:val="20"/>
              </w:rPr>
            </w:pPr>
            <w:r>
              <w:rPr>
                <w:spacing w:val="-2"/>
                <w:sz w:val="20"/>
              </w:rPr>
              <w:t>1.000000</w:t>
            </w:r>
          </w:p>
        </w:tc>
        <w:tc>
          <w:tcPr>
            <w:tcW w:w="1225" w:type="dxa"/>
          </w:tcPr>
          <w:p>
            <w:pPr>
              <w:pStyle w:val="TableParagraph"/>
              <w:spacing w:line="211" w:lineRule="exact"/>
              <w:ind w:left="51" w:right="2"/>
              <w:jc w:val="center"/>
              <w:rPr>
                <w:sz w:val="20"/>
              </w:rPr>
            </w:pPr>
            <w:r>
              <w:rPr>
                <w:spacing w:val="-2"/>
                <w:sz w:val="20"/>
              </w:rPr>
              <w:t>0.000000</w:t>
            </w:r>
          </w:p>
        </w:tc>
        <w:tc>
          <w:tcPr>
            <w:tcW w:w="1045" w:type="dxa"/>
          </w:tcPr>
          <w:p>
            <w:pPr>
              <w:pStyle w:val="TableParagraph"/>
              <w:spacing w:line="211" w:lineRule="exact"/>
              <w:ind w:left="49" w:right="23"/>
              <w:jc w:val="center"/>
              <w:rPr>
                <w:sz w:val="20"/>
              </w:rPr>
            </w:pPr>
            <w:r>
              <w:rPr>
                <w:spacing w:val="-2"/>
                <w:sz w:val="20"/>
              </w:rPr>
              <w:t>0.000000</w:t>
            </w:r>
          </w:p>
        </w:tc>
        <w:tc>
          <w:tcPr>
            <w:tcW w:w="983" w:type="dxa"/>
          </w:tcPr>
          <w:p>
            <w:pPr>
              <w:pStyle w:val="TableParagraph"/>
              <w:spacing w:line="211" w:lineRule="exact"/>
              <w:ind w:left="78" w:right="39"/>
              <w:jc w:val="center"/>
              <w:rPr>
                <w:sz w:val="20"/>
              </w:rPr>
            </w:pPr>
            <w:r>
              <w:rPr>
                <w:spacing w:val="-2"/>
                <w:sz w:val="20"/>
              </w:rPr>
              <w:t>0.000000</w:t>
            </w:r>
          </w:p>
        </w:tc>
        <w:tc>
          <w:tcPr>
            <w:tcW w:w="946" w:type="dxa"/>
          </w:tcPr>
          <w:p>
            <w:pPr>
              <w:pStyle w:val="TableParagraph"/>
              <w:spacing w:line="211" w:lineRule="exact"/>
              <w:ind w:left="47" w:right="46"/>
              <w:jc w:val="center"/>
              <w:rPr>
                <w:sz w:val="20"/>
              </w:rPr>
            </w:pPr>
            <w:r>
              <w:rPr>
                <w:spacing w:val="-2"/>
                <w:sz w:val="20"/>
              </w:rPr>
              <w:t>0.000000</w:t>
            </w:r>
          </w:p>
        </w:tc>
        <w:tc>
          <w:tcPr>
            <w:tcW w:w="960" w:type="dxa"/>
          </w:tcPr>
          <w:p>
            <w:pPr>
              <w:pStyle w:val="TableParagraph"/>
              <w:spacing w:line="211" w:lineRule="exact"/>
              <w:ind w:left="49" w:right="59"/>
              <w:jc w:val="center"/>
              <w:rPr>
                <w:sz w:val="20"/>
              </w:rPr>
            </w:pPr>
            <w:r>
              <w:rPr>
                <w:spacing w:val="-2"/>
                <w:sz w:val="20"/>
              </w:rPr>
              <w:t>0.000000</w:t>
            </w:r>
          </w:p>
        </w:tc>
        <w:tc>
          <w:tcPr>
            <w:tcW w:w="1246" w:type="dxa"/>
          </w:tcPr>
          <w:p>
            <w:pPr>
              <w:pStyle w:val="TableParagraph"/>
              <w:spacing w:line="211" w:lineRule="exact"/>
              <w:ind w:left="173"/>
              <w:rPr>
                <w:sz w:val="20"/>
              </w:rPr>
            </w:pPr>
            <w:r>
              <w:rPr>
                <w:spacing w:val="-2"/>
                <w:sz w:val="20"/>
              </w:rPr>
              <w:t>0.000000</w:t>
            </w:r>
          </w:p>
        </w:tc>
        <w:tc>
          <w:tcPr>
            <w:tcW w:w="1523" w:type="dxa"/>
          </w:tcPr>
          <w:p>
            <w:pPr>
              <w:pStyle w:val="TableParagraph"/>
              <w:spacing w:line="211" w:lineRule="exact"/>
              <w:ind w:left="2" w:right="90"/>
              <w:jc w:val="center"/>
              <w:rPr>
                <w:sz w:val="20"/>
              </w:rPr>
            </w:pPr>
            <w:r>
              <w:rPr>
                <w:spacing w:val="-4"/>
                <w:sz w:val="20"/>
              </w:rPr>
              <w:t>-</w:t>
            </w:r>
            <w:r>
              <w:rPr>
                <w:spacing w:val="-2"/>
                <w:sz w:val="20"/>
              </w:rPr>
              <w:t>0.420367</w:t>
            </w:r>
          </w:p>
        </w:tc>
        <w:tc>
          <w:tcPr>
            <w:tcW w:w="1828" w:type="dxa"/>
          </w:tcPr>
          <w:p>
            <w:pPr>
              <w:pStyle w:val="TableParagraph"/>
              <w:spacing w:line="211" w:lineRule="exact"/>
              <w:ind w:right="228"/>
              <w:jc w:val="center"/>
              <w:rPr>
                <w:sz w:val="20"/>
              </w:rPr>
            </w:pPr>
            <w:r>
              <w:rPr>
                <w:spacing w:val="-4"/>
                <w:sz w:val="20"/>
              </w:rPr>
              <w:t>-</w:t>
            </w:r>
            <w:r>
              <w:rPr>
                <w:spacing w:val="-2"/>
                <w:sz w:val="20"/>
              </w:rPr>
              <w:t>0.869519</w:t>
            </w:r>
          </w:p>
        </w:tc>
      </w:tr>
      <w:tr>
        <w:trPr>
          <w:trHeight w:val="229" w:hRule="atLeast"/>
        </w:trPr>
        <w:tc>
          <w:tcPr>
            <w:tcW w:w="1127" w:type="dxa"/>
          </w:tcPr>
          <w:p>
            <w:pPr>
              <w:pStyle w:val="TableParagraph"/>
              <w:rPr>
                <w:sz w:val="16"/>
              </w:rPr>
            </w:pPr>
          </w:p>
        </w:tc>
        <w:tc>
          <w:tcPr>
            <w:tcW w:w="1225" w:type="dxa"/>
          </w:tcPr>
          <w:p>
            <w:pPr>
              <w:pStyle w:val="TableParagraph"/>
              <w:rPr>
                <w:sz w:val="16"/>
              </w:rPr>
            </w:pPr>
          </w:p>
        </w:tc>
        <w:tc>
          <w:tcPr>
            <w:tcW w:w="1045" w:type="dxa"/>
          </w:tcPr>
          <w:p>
            <w:pPr>
              <w:pStyle w:val="TableParagraph"/>
              <w:rPr>
                <w:sz w:val="16"/>
              </w:rPr>
            </w:pPr>
          </w:p>
        </w:tc>
        <w:tc>
          <w:tcPr>
            <w:tcW w:w="983" w:type="dxa"/>
          </w:tcPr>
          <w:p>
            <w:pPr>
              <w:pStyle w:val="TableParagraph"/>
              <w:rPr>
                <w:sz w:val="16"/>
              </w:rPr>
            </w:pPr>
          </w:p>
        </w:tc>
        <w:tc>
          <w:tcPr>
            <w:tcW w:w="946" w:type="dxa"/>
          </w:tcPr>
          <w:p>
            <w:pPr>
              <w:pStyle w:val="TableParagraph"/>
              <w:rPr>
                <w:sz w:val="16"/>
              </w:rPr>
            </w:pPr>
          </w:p>
        </w:tc>
        <w:tc>
          <w:tcPr>
            <w:tcW w:w="960" w:type="dxa"/>
          </w:tcPr>
          <w:p>
            <w:pPr>
              <w:pStyle w:val="TableParagraph"/>
              <w:rPr>
                <w:sz w:val="16"/>
              </w:rPr>
            </w:pPr>
          </w:p>
        </w:tc>
        <w:tc>
          <w:tcPr>
            <w:tcW w:w="1246" w:type="dxa"/>
          </w:tcPr>
          <w:p>
            <w:pPr>
              <w:pStyle w:val="TableParagraph"/>
              <w:rPr>
                <w:sz w:val="16"/>
              </w:rPr>
            </w:pPr>
          </w:p>
        </w:tc>
        <w:tc>
          <w:tcPr>
            <w:tcW w:w="1523" w:type="dxa"/>
          </w:tcPr>
          <w:p>
            <w:pPr>
              <w:pStyle w:val="TableParagraph"/>
              <w:spacing w:line="209" w:lineRule="exact"/>
              <w:ind w:left="55" w:right="90"/>
              <w:jc w:val="center"/>
              <w:rPr>
                <w:sz w:val="20"/>
              </w:rPr>
            </w:pPr>
            <w:r>
              <w:rPr>
                <w:spacing w:val="-2"/>
                <w:sz w:val="20"/>
              </w:rPr>
              <w:t>(0.16577)</w:t>
            </w:r>
          </w:p>
        </w:tc>
        <w:tc>
          <w:tcPr>
            <w:tcW w:w="1828" w:type="dxa"/>
          </w:tcPr>
          <w:p>
            <w:pPr>
              <w:pStyle w:val="TableParagraph"/>
              <w:spacing w:line="209" w:lineRule="exact"/>
              <w:ind w:left="54" w:right="228"/>
              <w:jc w:val="center"/>
              <w:rPr>
                <w:sz w:val="20"/>
              </w:rPr>
            </w:pPr>
            <w:r>
              <w:rPr>
                <w:spacing w:val="-2"/>
                <w:sz w:val="20"/>
              </w:rPr>
              <w:t>(0.07401)</w:t>
            </w:r>
          </w:p>
        </w:tc>
      </w:tr>
      <w:tr>
        <w:trPr>
          <w:trHeight w:val="229" w:hRule="atLeast"/>
        </w:trPr>
        <w:tc>
          <w:tcPr>
            <w:tcW w:w="1127" w:type="dxa"/>
          </w:tcPr>
          <w:p>
            <w:pPr>
              <w:pStyle w:val="TableParagraph"/>
              <w:spacing w:line="209" w:lineRule="exact"/>
              <w:ind w:left="59"/>
              <w:jc w:val="center"/>
              <w:rPr>
                <w:sz w:val="20"/>
              </w:rPr>
            </w:pPr>
            <w:r>
              <w:rPr>
                <w:spacing w:val="-2"/>
                <w:sz w:val="20"/>
              </w:rPr>
              <w:t>0.000000</w:t>
            </w:r>
          </w:p>
        </w:tc>
        <w:tc>
          <w:tcPr>
            <w:tcW w:w="1225" w:type="dxa"/>
          </w:tcPr>
          <w:p>
            <w:pPr>
              <w:pStyle w:val="TableParagraph"/>
              <w:spacing w:line="209" w:lineRule="exact"/>
              <w:ind w:left="51" w:right="2"/>
              <w:jc w:val="center"/>
              <w:rPr>
                <w:sz w:val="20"/>
              </w:rPr>
            </w:pPr>
            <w:r>
              <w:rPr>
                <w:spacing w:val="-2"/>
                <w:sz w:val="20"/>
              </w:rPr>
              <w:t>1.000000</w:t>
            </w:r>
          </w:p>
        </w:tc>
        <w:tc>
          <w:tcPr>
            <w:tcW w:w="1045" w:type="dxa"/>
          </w:tcPr>
          <w:p>
            <w:pPr>
              <w:pStyle w:val="TableParagraph"/>
              <w:spacing w:line="209" w:lineRule="exact"/>
              <w:ind w:left="49" w:right="23"/>
              <w:jc w:val="center"/>
              <w:rPr>
                <w:sz w:val="20"/>
              </w:rPr>
            </w:pPr>
            <w:r>
              <w:rPr>
                <w:spacing w:val="-2"/>
                <w:sz w:val="20"/>
              </w:rPr>
              <w:t>0.000000</w:t>
            </w:r>
          </w:p>
        </w:tc>
        <w:tc>
          <w:tcPr>
            <w:tcW w:w="983" w:type="dxa"/>
          </w:tcPr>
          <w:p>
            <w:pPr>
              <w:pStyle w:val="TableParagraph"/>
              <w:spacing w:line="209" w:lineRule="exact"/>
              <w:ind w:left="78" w:right="39"/>
              <w:jc w:val="center"/>
              <w:rPr>
                <w:sz w:val="20"/>
              </w:rPr>
            </w:pPr>
            <w:r>
              <w:rPr>
                <w:spacing w:val="-2"/>
                <w:sz w:val="20"/>
              </w:rPr>
              <w:t>0.000000</w:t>
            </w:r>
          </w:p>
        </w:tc>
        <w:tc>
          <w:tcPr>
            <w:tcW w:w="946" w:type="dxa"/>
          </w:tcPr>
          <w:p>
            <w:pPr>
              <w:pStyle w:val="TableParagraph"/>
              <w:spacing w:line="209" w:lineRule="exact"/>
              <w:ind w:left="47" w:right="46"/>
              <w:jc w:val="center"/>
              <w:rPr>
                <w:sz w:val="20"/>
              </w:rPr>
            </w:pPr>
            <w:r>
              <w:rPr>
                <w:spacing w:val="-2"/>
                <w:sz w:val="20"/>
              </w:rPr>
              <w:t>0.000000</w:t>
            </w:r>
          </w:p>
        </w:tc>
        <w:tc>
          <w:tcPr>
            <w:tcW w:w="960" w:type="dxa"/>
          </w:tcPr>
          <w:p>
            <w:pPr>
              <w:pStyle w:val="TableParagraph"/>
              <w:spacing w:line="209" w:lineRule="exact"/>
              <w:ind w:left="49" w:right="59"/>
              <w:jc w:val="center"/>
              <w:rPr>
                <w:sz w:val="20"/>
              </w:rPr>
            </w:pPr>
            <w:r>
              <w:rPr>
                <w:spacing w:val="-2"/>
                <w:sz w:val="20"/>
              </w:rPr>
              <w:t>0.000000</w:t>
            </w:r>
          </w:p>
        </w:tc>
        <w:tc>
          <w:tcPr>
            <w:tcW w:w="1246" w:type="dxa"/>
          </w:tcPr>
          <w:p>
            <w:pPr>
              <w:pStyle w:val="TableParagraph"/>
              <w:spacing w:line="209" w:lineRule="exact"/>
              <w:ind w:left="173"/>
              <w:rPr>
                <w:sz w:val="20"/>
              </w:rPr>
            </w:pPr>
            <w:r>
              <w:rPr>
                <w:spacing w:val="-2"/>
                <w:sz w:val="20"/>
              </w:rPr>
              <w:t>0.000000</w:t>
            </w:r>
          </w:p>
        </w:tc>
        <w:tc>
          <w:tcPr>
            <w:tcW w:w="1523" w:type="dxa"/>
          </w:tcPr>
          <w:p>
            <w:pPr>
              <w:pStyle w:val="TableParagraph"/>
              <w:spacing w:line="209" w:lineRule="exact"/>
              <w:ind w:left="2" w:right="90"/>
              <w:jc w:val="center"/>
              <w:rPr>
                <w:sz w:val="20"/>
              </w:rPr>
            </w:pPr>
            <w:r>
              <w:rPr>
                <w:spacing w:val="-4"/>
                <w:sz w:val="20"/>
              </w:rPr>
              <w:t>-</w:t>
            </w:r>
            <w:r>
              <w:rPr>
                <w:spacing w:val="-2"/>
                <w:sz w:val="20"/>
              </w:rPr>
              <w:t>3.076328</w:t>
            </w:r>
          </w:p>
        </w:tc>
        <w:tc>
          <w:tcPr>
            <w:tcW w:w="1828" w:type="dxa"/>
          </w:tcPr>
          <w:p>
            <w:pPr>
              <w:pStyle w:val="TableParagraph"/>
              <w:spacing w:line="209" w:lineRule="exact"/>
              <w:ind w:right="228"/>
              <w:jc w:val="center"/>
              <w:rPr>
                <w:sz w:val="20"/>
              </w:rPr>
            </w:pPr>
            <w:r>
              <w:rPr>
                <w:spacing w:val="-4"/>
                <w:sz w:val="20"/>
              </w:rPr>
              <w:t>-</w:t>
            </w:r>
            <w:r>
              <w:rPr>
                <w:spacing w:val="-2"/>
                <w:sz w:val="20"/>
              </w:rPr>
              <w:t>0.335482</w:t>
            </w:r>
          </w:p>
        </w:tc>
      </w:tr>
      <w:tr>
        <w:trPr>
          <w:trHeight w:val="230" w:hRule="atLeast"/>
        </w:trPr>
        <w:tc>
          <w:tcPr>
            <w:tcW w:w="1127" w:type="dxa"/>
          </w:tcPr>
          <w:p>
            <w:pPr>
              <w:pStyle w:val="TableParagraph"/>
              <w:rPr>
                <w:sz w:val="16"/>
              </w:rPr>
            </w:pPr>
          </w:p>
        </w:tc>
        <w:tc>
          <w:tcPr>
            <w:tcW w:w="1225" w:type="dxa"/>
          </w:tcPr>
          <w:p>
            <w:pPr>
              <w:pStyle w:val="TableParagraph"/>
              <w:rPr>
                <w:sz w:val="16"/>
              </w:rPr>
            </w:pPr>
          </w:p>
        </w:tc>
        <w:tc>
          <w:tcPr>
            <w:tcW w:w="1045" w:type="dxa"/>
          </w:tcPr>
          <w:p>
            <w:pPr>
              <w:pStyle w:val="TableParagraph"/>
              <w:rPr>
                <w:sz w:val="16"/>
              </w:rPr>
            </w:pPr>
          </w:p>
        </w:tc>
        <w:tc>
          <w:tcPr>
            <w:tcW w:w="983" w:type="dxa"/>
          </w:tcPr>
          <w:p>
            <w:pPr>
              <w:pStyle w:val="TableParagraph"/>
              <w:rPr>
                <w:sz w:val="16"/>
              </w:rPr>
            </w:pPr>
          </w:p>
        </w:tc>
        <w:tc>
          <w:tcPr>
            <w:tcW w:w="946" w:type="dxa"/>
          </w:tcPr>
          <w:p>
            <w:pPr>
              <w:pStyle w:val="TableParagraph"/>
              <w:rPr>
                <w:sz w:val="16"/>
              </w:rPr>
            </w:pPr>
          </w:p>
        </w:tc>
        <w:tc>
          <w:tcPr>
            <w:tcW w:w="960" w:type="dxa"/>
          </w:tcPr>
          <w:p>
            <w:pPr>
              <w:pStyle w:val="TableParagraph"/>
              <w:rPr>
                <w:sz w:val="16"/>
              </w:rPr>
            </w:pPr>
          </w:p>
        </w:tc>
        <w:tc>
          <w:tcPr>
            <w:tcW w:w="1246" w:type="dxa"/>
          </w:tcPr>
          <w:p>
            <w:pPr>
              <w:pStyle w:val="TableParagraph"/>
              <w:rPr>
                <w:sz w:val="16"/>
              </w:rPr>
            </w:pPr>
          </w:p>
        </w:tc>
        <w:tc>
          <w:tcPr>
            <w:tcW w:w="1523" w:type="dxa"/>
          </w:tcPr>
          <w:p>
            <w:pPr>
              <w:pStyle w:val="TableParagraph"/>
              <w:spacing w:line="210" w:lineRule="exact"/>
              <w:ind w:left="55" w:right="90"/>
              <w:jc w:val="center"/>
              <w:rPr>
                <w:sz w:val="20"/>
              </w:rPr>
            </w:pPr>
            <w:r>
              <w:rPr>
                <w:spacing w:val="-2"/>
                <w:sz w:val="20"/>
              </w:rPr>
              <w:t>(0.38849)</w:t>
            </w:r>
          </w:p>
        </w:tc>
        <w:tc>
          <w:tcPr>
            <w:tcW w:w="1828" w:type="dxa"/>
          </w:tcPr>
          <w:p>
            <w:pPr>
              <w:pStyle w:val="TableParagraph"/>
              <w:spacing w:line="210" w:lineRule="exact"/>
              <w:ind w:left="54" w:right="228"/>
              <w:jc w:val="center"/>
              <w:rPr>
                <w:sz w:val="20"/>
              </w:rPr>
            </w:pPr>
            <w:r>
              <w:rPr>
                <w:spacing w:val="-2"/>
                <w:sz w:val="20"/>
              </w:rPr>
              <w:t>(0.17344)</w:t>
            </w:r>
          </w:p>
        </w:tc>
      </w:tr>
      <w:tr>
        <w:trPr>
          <w:trHeight w:val="230" w:hRule="atLeast"/>
        </w:trPr>
        <w:tc>
          <w:tcPr>
            <w:tcW w:w="1127" w:type="dxa"/>
          </w:tcPr>
          <w:p>
            <w:pPr>
              <w:pStyle w:val="TableParagraph"/>
              <w:spacing w:line="210" w:lineRule="exact"/>
              <w:ind w:left="59"/>
              <w:jc w:val="center"/>
              <w:rPr>
                <w:sz w:val="20"/>
              </w:rPr>
            </w:pPr>
            <w:r>
              <w:rPr>
                <w:spacing w:val="-2"/>
                <w:sz w:val="20"/>
              </w:rPr>
              <w:t>0.000000</w:t>
            </w:r>
          </w:p>
        </w:tc>
        <w:tc>
          <w:tcPr>
            <w:tcW w:w="1225" w:type="dxa"/>
          </w:tcPr>
          <w:p>
            <w:pPr>
              <w:pStyle w:val="TableParagraph"/>
              <w:spacing w:line="210" w:lineRule="exact"/>
              <w:ind w:left="51" w:right="2"/>
              <w:jc w:val="center"/>
              <w:rPr>
                <w:sz w:val="20"/>
              </w:rPr>
            </w:pPr>
            <w:r>
              <w:rPr>
                <w:spacing w:val="-2"/>
                <w:sz w:val="20"/>
              </w:rPr>
              <w:t>0.000000</w:t>
            </w:r>
          </w:p>
        </w:tc>
        <w:tc>
          <w:tcPr>
            <w:tcW w:w="1045" w:type="dxa"/>
          </w:tcPr>
          <w:p>
            <w:pPr>
              <w:pStyle w:val="TableParagraph"/>
              <w:spacing w:line="210" w:lineRule="exact"/>
              <w:ind w:left="49" w:right="23"/>
              <w:jc w:val="center"/>
              <w:rPr>
                <w:sz w:val="20"/>
              </w:rPr>
            </w:pPr>
            <w:r>
              <w:rPr>
                <w:spacing w:val="-2"/>
                <w:sz w:val="20"/>
              </w:rPr>
              <w:t>1.000000</w:t>
            </w:r>
          </w:p>
        </w:tc>
        <w:tc>
          <w:tcPr>
            <w:tcW w:w="983" w:type="dxa"/>
          </w:tcPr>
          <w:p>
            <w:pPr>
              <w:pStyle w:val="TableParagraph"/>
              <w:spacing w:line="210" w:lineRule="exact"/>
              <w:ind w:left="78" w:right="39"/>
              <w:jc w:val="center"/>
              <w:rPr>
                <w:sz w:val="20"/>
              </w:rPr>
            </w:pPr>
            <w:r>
              <w:rPr>
                <w:spacing w:val="-2"/>
                <w:sz w:val="20"/>
              </w:rPr>
              <w:t>0.000000</w:t>
            </w:r>
          </w:p>
        </w:tc>
        <w:tc>
          <w:tcPr>
            <w:tcW w:w="946" w:type="dxa"/>
          </w:tcPr>
          <w:p>
            <w:pPr>
              <w:pStyle w:val="TableParagraph"/>
              <w:spacing w:line="210" w:lineRule="exact"/>
              <w:ind w:left="47" w:right="46"/>
              <w:jc w:val="center"/>
              <w:rPr>
                <w:sz w:val="20"/>
              </w:rPr>
            </w:pPr>
            <w:r>
              <w:rPr>
                <w:spacing w:val="-2"/>
                <w:sz w:val="20"/>
              </w:rPr>
              <w:t>0.000000</w:t>
            </w:r>
          </w:p>
        </w:tc>
        <w:tc>
          <w:tcPr>
            <w:tcW w:w="960" w:type="dxa"/>
          </w:tcPr>
          <w:p>
            <w:pPr>
              <w:pStyle w:val="TableParagraph"/>
              <w:spacing w:line="210" w:lineRule="exact"/>
              <w:ind w:left="49" w:right="59"/>
              <w:jc w:val="center"/>
              <w:rPr>
                <w:sz w:val="20"/>
              </w:rPr>
            </w:pPr>
            <w:r>
              <w:rPr>
                <w:spacing w:val="-2"/>
                <w:sz w:val="20"/>
              </w:rPr>
              <w:t>0.000000</w:t>
            </w:r>
          </w:p>
        </w:tc>
        <w:tc>
          <w:tcPr>
            <w:tcW w:w="1246" w:type="dxa"/>
          </w:tcPr>
          <w:p>
            <w:pPr>
              <w:pStyle w:val="TableParagraph"/>
              <w:spacing w:line="210" w:lineRule="exact"/>
              <w:ind w:left="173"/>
              <w:rPr>
                <w:sz w:val="20"/>
              </w:rPr>
            </w:pPr>
            <w:r>
              <w:rPr>
                <w:spacing w:val="-2"/>
                <w:sz w:val="20"/>
              </w:rPr>
              <w:t>0.000000</w:t>
            </w:r>
          </w:p>
        </w:tc>
        <w:tc>
          <w:tcPr>
            <w:tcW w:w="1523" w:type="dxa"/>
          </w:tcPr>
          <w:p>
            <w:pPr>
              <w:pStyle w:val="TableParagraph"/>
              <w:spacing w:line="210" w:lineRule="exact"/>
              <w:ind w:left="2" w:right="90"/>
              <w:jc w:val="center"/>
              <w:rPr>
                <w:sz w:val="20"/>
              </w:rPr>
            </w:pPr>
            <w:r>
              <w:rPr>
                <w:spacing w:val="-4"/>
                <w:sz w:val="20"/>
              </w:rPr>
              <w:t>-</w:t>
            </w:r>
            <w:r>
              <w:rPr>
                <w:spacing w:val="-2"/>
                <w:sz w:val="20"/>
              </w:rPr>
              <w:t>0.068840</w:t>
            </w:r>
          </w:p>
        </w:tc>
        <w:tc>
          <w:tcPr>
            <w:tcW w:w="1828" w:type="dxa"/>
          </w:tcPr>
          <w:p>
            <w:pPr>
              <w:pStyle w:val="TableParagraph"/>
              <w:spacing w:line="210" w:lineRule="exact"/>
              <w:ind w:left="53" w:right="228"/>
              <w:jc w:val="center"/>
              <w:rPr>
                <w:sz w:val="20"/>
              </w:rPr>
            </w:pPr>
            <w:r>
              <w:rPr>
                <w:spacing w:val="-2"/>
                <w:sz w:val="20"/>
              </w:rPr>
              <w:t>0.001331</w:t>
            </w:r>
          </w:p>
        </w:tc>
      </w:tr>
      <w:tr>
        <w:trPr>
          <w:trHeight w:val="230" w:hRule="atLeast"/>
        </w:trPr>
        <w:tc>
          <w:tcPr>
            <w:tcW w:w="1127" w:type="dxa"/>
          </w:tcPr>
          <w:p>
            <w:pPr>
              <w:pStyle w:val="TableParagraph"/>
              <w:rPr>
                <w:sz w:val="16"/>
              </w:rPr>
            </w:pPr>
          </w:p>
        </w:tc>
        <w:tc>
          <w:tcPr>
            <w:tcW w:w="1225" w:type="dxa"/>
          </w:tcPr>
          <w:p>
            <w:pPr>
              <w:pStyle w:val="TableParagraph"/>
              <w:rPr>
                <w:sz w:val="16"/>
              </w:rPr>
            </w:pPr>
          </w:p>
        </w:tc>
        <w:tc>
          <w:tcPr>
            <w:tcW w:w="1045" w:type="dxa"/>
          </w:tcPr>
          <w:p>
            <w:pPr>
              <w:pStyle w:val="TableParagraph"/>
              <w:rPr>
                <w:sz w:val="16"/>
              </w:rPr>
            </w:pPr>
          </w:p>
        </w:tc>
        <w:tc>
          <w:tcPr>
            <w:tcW w:w="983" w:type="dxa"/>
          </w:tcPr>
          <w:p>
            <w:pPr>
              <w:pStyle w:val="TableParagraph"/>
              <w:rPr>
                <w:sz w:val="16"/>
              </w:rPr>
            </w:pPr>
          </w:p>
        </w:tc>
        <w:tc>
          <w:tcPr>
            <w:tcW w:w="946" w:type="dxa"/>
          </w:tcPr>
          <w:p>
            <w:pPr>
              <w:pStyle w:val="TableParagraph"/>
              <w:rPr>
                <w:sz w:val="16"/>
              </w:rPr>
            </w:pPr>
          </w:p>
        </w:tc>
        <w:tc>
          <w:tcPr>
            <w:tcW w:w="960" w:type="dxa"/>
          </w:tcPr>
          <w:p>
            <w:pPr>
              <w:pStyle w:val="TableParagraph"/>
              <w:rPr>
                <w:sz w:val="16"/>
              </w:rPr>
            </w:pPr>
          </w:p>
        </w:tc>
        <w:tc>
          <w:tcPr>
            <w:tcW w:w="1246" w:type="dxa"/>
          </w:tcPr>
          <w:p>
            <w:pPr>
              <w:pStyle w:val="TableParagraph"/>
              <w:rPr>
                <w:sz w:val="16"/>
              </w:rPr>
            </w:pPr>
          </w:p>
        </w:tc>
        <w:tc>
          <w:tcPr>
            <w:tcW w:w="1523" w:type="dxa"/>
          </w:tcPr>
          <w:p>
            <w:pPr>
              <w:pStyle w:val="TableParagraph"/>
              <w:spacing w:line="210" w:lineRule="exact"/>
              <w:ind w:left="55" w:right="90"/>
              <w:jc w:val="center"/>
              <w:rPr>
                <w:sz w:val="20"/>
              </w:rPr>
            </w:pPr>
            <w:r>
              <w:rPr>
                <w:spacing w:val="-2"/>
                <w:sz w:val="20"/>
              </w:rPr>
              <w:t>(0.06402)</w:t>
            </w:r>
          </w:p>
        </w:tc>
        <w:tc>
          <w:tcPr>
            <w:tcW w:w="1828" w:type="dxa"/>
          </w:tcPr>
          <w:p>
            <w:pPr>
              <w:pStyle w:val="TableParagraph"/>
              <w:spacing w:line="210" w:lineRule="exact"/>
              <w:ind w:left="54" w:right="228"/>
              <w:jc w:val="center"/>
              <w:rPr>
                <w:sz w:val="20"/>
              </w:rPr>
            </w:pPr>
            <w:r>
              <w:rPr>
                <w:spacing w:val="-2"/>
                <w:sz w:val="20"/>
              </w:rPr>
              <w:t>(0.02858)</w:t>
            </w:r>
          </w:p>
        </w:tc>
      </w:tr>
      <w:tr>
        <w:trPr>
          <w:trHeight w:val="230" w:hRule="atLeast"/>
        </w:trPr>
        <w:tc>
          <w:tcPr>
            <w:tcW w:w="1127" w:type="dxa"/>
          </w:tcPr>
          <w:p>
            <w:pPr>
              <w:pStyle w:val="TableParagraph"/>
              <w:spacing w:line="210" w:lineRule="exact"/>
              <w:ind w:left="59"/>
              <w:jc w:val="center"/>
              <w:rPr>
                <w:sz w:val="20"/>
              </w:rPr>
            </w:pPr>
            <w:r>
              <w:rPr>
                <w:spacing w:val="-2"/>
                <w:sz w:val="20"/>
              </w:rPr>
              <w:t>0.000000</w:t>
            </w:r>
          </w:p>
        </w:tc>
        <w:tc>
          <w:tcPr>
            <w:tcW w:w="1225" w:type="dxa"/>
          </w:tcPr>
          <w:p>
            <w:pPr>
              <w:pStyle w:val="TableParagraph"/>
              <w:spacing w:line="210" w:lineRule="exact"/>
              <w:ind w:left="51" w:right="2"/>
              <w:jc w:val="center"/>
              <w:rPr>
                <w:sz w:val="20"/>
              </w:rPr>
            </w:pPr>
            <w:r>
              <w:rPr>
                <w:spacing w:val="-2"/>
                <w:sz w:val="20"/>
              </w:rPr>
              <w:t>0.000000</w:t>
            </w:r>
          </w:p>
        </w:tc>
        <w:tc>
          <w:tcPr>
            <w:tcW w:w="1045" w:type="dxa"/>
          </w:tcPr>
          <w:p>
            <w:pPr>
              <w:pStyle w:val="TableParagraph"/>
              <w:spacing w:line="210" w:lineRule="exact"/>
              <w:ind w:left="49" w:right="23"/>
              <w:jc w:val="center"/>
              <w:rPr>
                <w:sz w:val="20"/>
              </w:rPr>
            </w:pPr>
            <w:r>
              <w:rPr>
                <w:spacing w:val="-2"/>
                <w:sz w:val="20"/>
              </w:rPr>
              <w:t>0.000000</w:t>
            </w:r>
          </w:p>
        </w:tc>
        <w:tc>
          <w:tcPr>
            <w:tcW w:w="983" w:type="dxa"/>
          </w:tcPr>
          <w:p>
            <w:pPr>
              <w:pStyle w:val="TableParagraph"/>
              <w:spacing w:line="210" w:lineRule="exact"/>
              <w:ind w:left="78" w:right="39"/>
              <w:jc w:val="center"/>
              <w:rPr>
                <w:sz w:val="20"/>
              </w:rPr>
            </w:pPr>
            <w:r>
              <w:rPr>
                <w:spacing w:val="-2"/>
                <w:sz w:val="20"/>
              </w:rPr>
              <w:t>1.000000</w:t>
            </w:r>
          </w:p>
        </w:tc>
        <w:tc>
          <w:tcPr>
            <w:tcW w:w="946" w:type="dxa"/>
          </w:tcPr>
          <w:p>
            <w:pPr>
              <w:pStyle w:val="TableParagraph"/>
              <w:spacing w:line="210" w:lineRule="exact"/>
              <w:ind w:left="47" w:right="46"/>
              <w:jc w:val="center"/>
              <w:rPr>
                <w:sz w:val="20"/>
              </w:rPr>
            </w:pPr>
            <w:r>
              <w:rPr>
                <w:spacing w:val="-2"/>
                <w:sz w:val="20"/>
              </w:rPr>
              <w:t>0.000000</w:t>
            </w:r>
          </w:p>
        </w:tc>
        <w:tc>
          <w:tcPr>
            <w:tcW w:w="960" w:type="dxa"/>
          </w:tcPr>
          <w:p>
            <w:pPr>
              <w:pStyle w:val="TableParagraph"/>
              <w:spacing w:line="210" w:lineRule="exact"/>
              <w:ind w:left="49" w:right="59"/>
              <w:jc w:val="center"/>
              <w:rPr>
                <w:sz w:val="20"/>
              </w:rPr>
            </w:pPr>
            <w:r>
              <w:rPr>
                <w:spacing w:val="-2"/>
                <w:sz w:val="20"/>
              </w:rPr>
              <w:t>0.000000</w:t>
            </w:r>
          </w:p>
        </w:tc>
        <w:tc>
          <w:tcPr>
            <w:tcW w:w="1246" w:type="dxa"/>
          </w:tcPr>
          <w:p>
            <w:pPr>
              <w:pStyle w:val="TableParagraph"/>
              <w:spacing w:line="210" w:lineRule="exact"/>
              <w:ind w:left="173"/>
              <w:rPr>
                <w:sz w:val="20"/>
              </w:rPr>
            </w:pPr>
            <w:r>
              <w:rPr>
                <w:spacing w:val="-2"/>
                <w:sz w:val="20"/>
              </w:rPr>
              <w:t>0.000000</w:t>
            </w:r>
          </w:p>
        </w:tc>
        <w:tc>
          <w:tcPr>
            <w:tcW w:w="1523" w:type="dxa"/>
          </w:tcPr>
          <w:p>
            <w:pPr>
              <w:pStyle w:val="TableParagraph"/>
              <w:spacing w:line="210" w:lineRule="exact"/>
              <w:ind w:left="2" w:right="90"/>
              <w:jc w:val="center"/>
              <w:rPr>
                <w:sz w:val="20"/>
              </w:rPr>
            </w:pPr>
            <w:r>
              <w:rPr>
                <w:spacing w:val="-4"/>
                <w:sz w:val="20"/>
              </w:rPr>
              <w:t>-</w:t>
            </w:r>
            <w:r>
              <w:rPr>
                <w:spacing w:val="-2"/>
                <w:sz w:val="20"/>
              </w:rPr>
              <w:t>0.724583</w:t>
            </w:r>
          </w:p>
        </w:tc>
        <w:tc>
          <w:tcPr>
            <w:tcW w:w="1828" w:type="dxa"/>
          </w:tcPr>
          <w:p>
            <w:pPr>
              <w:pStyle w:val="TableParagraph"/>
              <w:spacing w:line="210" w:lineRule="exact"/>
              <w:ind w:left="53" w:right="228"/>
              <w:jc w:val="center"/>
              <w:rPr>
                <w:sz w:val="20"/>
              </w:rPr>
            </w:pPr>
            <w:r>
              <w:rPr>
                <w:spacing w:val="-2"/>
                <w:sz w:val="20"/>
              </w:rPr>
              <w:t>0.378966</w:t>
            </w:r>
          </w:p>
        </w:tc>
      </w:tr>
      <w:tr>
        <w:trPr>
          <w:trHeight w:val="229" w:hRule="atLeast"/>
        </w:trPr>
        <w:tc>
          <w:tcPr>
            <w:tcW w:w="1127" w:type="dxa"/>
          </w:tcPr>
          <w:p>
            <w:pPr>
              <w:pStyle w:val="TableParagraph"/>
              <w:rPr>
                <w:sz w:val="16"/>
              </w:rPr>
            </w:pPr>
          </w:p>
        </w:tc>
        <w:tc>
          <w:tcPr>
            <w:tcW w:w="1225" w:type="dxa"/>
          </w:tcPr>
          <w:p>
            <w:pPr>
              <w:pStyle w:val="TableParagraph"/>
              <w:rPr>
                <w:sz w:val="16"/>
              </w:rPr>
            </w:pPr>
          </w:p>
        </w:tc>
        <w:tc>
          <w:tcPr>
            <w:tcW w:w="1045" w:type="dxa"/>
          </w:tcPr>
          <w:p>
            <w:pPr>
              <w:pStyle w:val="TableParagraph"/>
              <w:rPr>
                <w:sz w:val="16"/>
              </w:rPr>
            </w:pPr>
          </w:p>
        </w:tc>
        <w:tc>
          <w:tcPr>
            <w:tcW w:w="983" w:type="dxa"/>
          </w:tcPr>
          <w:p>
            <w:pPr>
              <w:pStyle w:val="TableParagraph"/>
              <w:rPr>
                <w:sz w:val="16"/>
              </w:rPr>
            </w:pPr>
          </w:p>
        </w:tc>
        <w:tc>
          <w:tcPr>
            <w:tcW w:w="946" w:type="dxa"/>
          </w:tcPr>
          <w:p>
            <w:pPr>
              <w:pStyle w:val="TableParagraph"/>
              <w:rPr>
                <w:sz w:val="16"/>
              </w:rPr>
            </w:pPr>
          </w:p>
        </w:tc>
        <w:tc>
          <w:tcPr>
            <w:tcW w:w="960" w:type="dxa"/>
          </w:tcPr>
          <w:p>
            <w:pPr>
              <w:pStyle w:val="TableParagraph"/>
              <w:rPr>
                <w:sz w:val="16"/>
              </w:rPr>
            </w:pPr>
          </w:p>
        </w:tc>
        <w:tc>
          <w:tcPr>
            <w:tcW w:w="1246" w:type="dxa"/>
          </w:tcPr>
          <w:p>
            <w:pPr>
              <w:pStyle w:val="TableParagraph"/>
              <w:rPr>
                <w:sz w:val="16"/>
              </w:rPr>
            </w:pPr>
          </w:p>
        </w:tc>
        <w:tc>
          <w:tcPr>
            <w:tcW w:w="1523" w:type="dxa"/>
          </w:tcPr>
          <w:p>
            <w:pPr>
              <w:pStyle w:val="TableParagraph"/>
              <w:spacing w:line="209" w:lineRule="exact"/>
              <w:ind w:left="55" w:right="90"/>
              <w:jc w:val="center"/>
              <w:rPr>
                <w:sz w:val="20"/>
              </w:rPr>
            </w:pPr>
            <w:r>
              <w:rPr>
                <w:spacing w:val="-2"/>
                <w:sz w:val="20"/>
              </w:rPr>
              <w:t>(0.23013)</w:t>
            </w:r>
          </w:p>
        </w:tc>
        <w:tc>
          <w:tcPr>
            <w:tcW w:w="1828" w:type="dxa"/>
          </w:tcPr>
          <w:p>
            <w:pPr>
              <w:pStyle w:val="TableParagraph"/>
              <w:spacing w:line="209" w:lineRule="exact"/>
              <w:ind w:left="54" w:right="228"/>
              <w:jc w:val="center"/>
              <w:rPr>
                <w:sz w:val="20"/>
              </w:rPr>
            </w:pPr>
            <w:r>
              <w:rPr>
                <w:spacing w:val="-2"/>
                <w:sz w:val="20"/>
              </w:rPr>
              <w:t>(0.10274)</w:t>
            </w:r>
          </w:p>
        </w:tc>
      </w:tr>
      <w:tr>
        <w:trPr>
          <w:trHeight w:val="229" w:hRule="atLeast"/>
        </w:trPr>
        <w:tc>
          <w:tcPr>
            <w:tcW w:w="1127" w:type="dxa"/>
          </w:tcPr>
          <w:p>
            <w:pPr>
              <w:pStyle w:val="TableParagraph"/>
              <w:spacing w:line="209" w:lineRule="exact"/>
              <w:ind w:left="59"/>
              <w:jc w:val="center"/>
              <w:rPr>
                <w:sz w:val="20"/>
              </w:rPr>
            </w:pPr>
            <w:r>
              <w:rPr>
                <w:spacing w:val="-2"/>
                <w:sz w:val="20"/>
              </w:rPr>
              <w:t>0.000000</w:t>
            </w:r>
          </w:p>
        </w:tc>
        <w:tc>
          <w:tcPr>
            <w:tcW w:w="1225" w:type="dxa"/>
          </w:tcPr>
          <w:p>
            <w:pPr>
              <w:pStyle w:val="TableParagraph"/>
              <w:spacing w:line="209" w:lineRule="exact"/>
              <w:ind w:left="51" w:right="2"/>
              <w:jc w:val="center"/>
              <w:rPr>
                <w:sz w:val="20"/>
              </w:rPr>
            </w:pPr>
            <w:r>
              <w:rPr>
                <w:spacing w:val="-2"/>
                <w:sz w:val="20"/>
              </w:rPr>
              <w:t>0.000000</w:t>
            </w:r>
          </w:p>
        </w:tc>
        <w:tc>
          <w:tcPr>
            <w:tcW w:w="1045" w:type="dxa"/>
          </w:tcPr>
          <w:p>
            <w:pPr>
              <w:pStyle w:val="TableParagraph"/>
              <w:spacing w:line="209" w:lineRule="exact"/>
              <w:ind w:left="49" w:right="23"/>
              <w:jc w:val="center"/>
              <w:rPr>
                <w:sz w:val="20"/>
              </w:rPr>
            </w:pPr>
            <w:r>
              <w:rPr>
                <w:spacing w:val="-2"/>
                <w:sz w:val="20"/>
              </w:rPr>
              <w:t>0.000000</w:t>
            </w:r>
          </w:p>
        </w:tc>
        <w:tc>
          <w:tcPr>
            <w:tcW w:w="983" w:type="dxa"/>
          </w:tcPr>
          <w:p>
            <w:pPr>
              <w:pStyle w:val="TableParagraph"/>
              <w:spacing w:line="209" w:lineRule="exact"/>
              <w:ind w:left="78" w:right="39"/>
              <w:jc w:val="center"/>
              <w:rPr>
                <w:sz w:val="20"/>
              </w:rPr>
            </w:pPr>
            <w:r>
              <w:rPr>
                <w:spacing w:val="-2"/>
                <w:sz w:val="20"/>
              </w:rPr>
              <w:t>0.000000</w:t>
            </w:r>
          </w:p>
        </w:tc>
        <w:tc>
          <w:tcPr>
            <w:tcW w:w="946" w:type="dxa"/>
          </w:tcPr>
          <w:p>
            <w:pPr>
              <w:pStyle w:val="TableParagraph"/>
              <w:spacing w:line="209" w:lineRule="exact"/>
              <w:ind w:left="47" w:right="46"/>
              <w:jc w:val="center"/>
              <w:rPr>
                <w:sz w:val="20"/>
              </w:rPr>
            </w:pPr>
            <w:r>
              <w:rPr>
                <w:spacing w:val="-2"/>
                <w:sz w:val="20"/>
              </w:rPr>
              <w:t>1.000000</w:t>
            </w:r>
          </w:p>
        </w:tc>
        <w:tc>
          <w:tcPr>
            <w:tcW w:w="960" w:type="dxa"/>
          </w:tcPr>
          <w:p>
            <w:pPr>
              <w:pStyle w:val="TableParagraph"/>
              <w:spacing w:line="209" w:lineRule="exact"/>
              <w:ind w:left="49" w:right="59"/>
              <w:jc w:val="center"/>
              <w:rPr>
                <w:sz w:val="20"/>
              </w:rPr>
            </w:pPr>
            <w:r>
              <w:rPr>
                <w:spacing w:val="-2"/>
                <w:sz w:val="20"/>
              </w:rPr>
              <w:t>0.000000</w:t>
            </w:r>
          </w:p>
        </w:tc>
        <w:tc>
          <w:tcPr>
            <w:tcW w:w="1246" w:type="dxa"/>
          </w:tcPr>
          <w:p>
            <w:pPr>
              <w:pStyle w:val="TableParagraph"/>
              <w:spacing w:line="209" w:lineRule="exact"/>
              <w:ind w:left="173"/>
              <w:rPr>
                <w:sz w:val="20"/>
              </w:rPr>
            </w:pPr>
            <w:r>
              <w:rPr>
                <w:spacing w:val="-2"/>
                <w:sz w:val="20"/>
              </w:rPr>
              <w:t>0.000000</w:t>
            </w:r>
          </w:p>
        </w:tc>
        <w:tc>
          <w:tcPr>
            <w:tcW w:w="1523" w:type="dxa"/>
          </w:tcPr>
          <w:p>
            <w:pPr>
              <w:pStyle w:val="TableParagraph"/>
              <w:spacing w:line="209" w:lineRule="exact"/>
              <w:ind w:left="55" w:right="90"/>
              <w:jc w:val="center"/>
              <w:rPr>
                <w:sz w:val="20"/>
              </w:rPr>
            </w:pPr>
            <w:r>
              <w:rPr>
                <w:spacing w:val="-2"/>
                <w:sz w:val="20"/>
              </w:rPr>
              <w:t>0.118384</w:t>
            </w:r>
          </w:p>
        </w:tc>
        <w:tc>
          <w:tcPr>
            <w:tcW w:w="1828" w:type="dxa"/>
          </w:tcPr>
          <w:p>
            <w:pPr>
              <w:pStyle w:val="TableParagraph"/>
              <w:spacing w:line="209" w:lineRule="exact"/>
              <w:ind w:right="228"/>
              <w:jc w:val="center"/>
              <w:rPr>
                <w:sz w:val="20"/>
              </w:rPr>
            </w:pPr>
            <w:r>
              <w:rPr>
                <w:spacing w:val="-4"/>
                <w:sz w:val="20"/>
              </w:rPr>
              <w:t>-</w:t>
            </w:r>
            <w:r>
              <w:rPr>
                <w:spacing w:val="-2"/>
                <w:sz w:val="20"/>
              </w:rPr>
              <w:t>0.680946</w:t>
            </w:r>
          </w:p>
        </w:tc>
      </w:tr>
      <w:tr>
        <w:trPr>
          <w:trHeight w:val="230" w:hRule="atLeast"/>
        </w:trPr>
        <w:tc>
          <w:tcPr>
            <w:tcW w:w="1127" w:type="dxa"/>
          </w:tcPr>
          <w:p>
            <w:pPr>
              <w:pStyle w:val="TableParagraph"/>
              <w:rPr>
                <w:sz w:val="16"/>
              </w:rPr>
            </w:pPr>
          </w:p>
        </w:tc>
        <w:tc>
          <w:tcPr>
            <w:tcW w:w="1225" w:type="dxa"/>
          </w:tcPr>
          <w:p>
            <w:pPr>
              <w:pStyle w:val="TableParagraph"/>
              <w:rPr>
                <w:sz w:val="16"/>
              </w:rPr>
            </w:pPr>
          </w:p>
        </w:tc>
        <w:tc>
          <w:tcPr>
            <w:tcW w:w="1045" w:type="dxa"/>
          </w:tcPr>
          <w:p>
            <w:pPr>
              <w:pStyle w:val="TableParagraph"/>
              <w:rPr>
                <w:sz w:val="16"/>
              </w:rPr>
            </w:pPr>
          </w:p>
        </w:tc>
        <w:tc>
          <w:tcPr>
            <w:tcW w:w="983" w:type="dxa"/>
          </w:tcPr>
          <w:p>
            <w:pPr>
              <w:pStyle w:val="TableParagraph"/>
              <w:rPr>
                <w:sz w:val="16"/>
              </w:rPr>
            </w:pPr>
          </w:p>
        </w:tc>
        <w:tc>
          <w:tcPr>
            <w:tcW w:w="946" w:type="dxa"/>
          </w:tcPr>
          <w:p>
            <w:pPr>
              <w:pStyle w:val="TableParagraph"/>
              <w:rPr>
                <w:sz w:val="16"/>
              </w:rPr>
            </w:pPr>
          </w:p>
        </w:tc>
        <w:tc>
          <w:tcPr>
            <w:tcW w:w="960" w:type="dxa"/>
          </w:tcPr>
          <w:p>
            <w:pPr>
              <w:pStyle w:val="TableParagraph"/>
              <w:rPr>
                <w:sz w:val="16"/>
              </w:rPr>
            </w:pPr>
          </w:p>
        </w:tc>
        <w:tc>
          <w:tcPr>
            <w:tcW w:w="1246" w:type="dxa"/>
          </w:tcPr>
          <w:p>
            <w:pPr>
              <w:pStyle w:val="TableParagraph"/>
              <w:rPr>
                <w:sz w:val="16"/>
              </w:rPr>
            </w:pPr>
          </w:p>
        </w:tc>
        <w:tc>
          <w:tcPr>
            <w:tcW w:w="1523" w:type="dxa"/>
          </w:tcPr>
          <w:p>
            <w:pPr>
              <w:pStyle w:val="TableParagraph"/>
              <w:spacing w:line="210" w:lineRule="exact"/>
              <w:ind w:left="55" w:right="90"/>
              <w:jc w:val="center"/>
              <w:rPr>
                <w:sz w:val="20"/>
              </w:rPr>
            </w:pPr>
            <w:r>
              <w:rPr>
                <w:spacing w:val="-2"/>
                <w:sz w:val="20"/>
              </w:rPr>
              <w:t>(0.23459)</w:t>
            </w:r>
          </w:p>
        </w:tc>
        <w:tc>
          <w:tcPr>
            <w:tcW w:w="1828" w:type="dxa"/>
          </w:tcPr>
          <w:p>
            <w:pPr>
              <w:pStyle w:val="TableParagraph"/>
              <w:spacing w:line="210" w:lineRule="exact"/>
              <w:ind w:left="54" w:right="228"/>
              <w:jc w:val="center"/>
              <w:rPr>
                <w:sz w:val="20"/>
              </w:rPr>
            </w:pPr>
            <w:r>
              <w:rPr>
                <w:spacing w:val="-2"/>
                <w:sz w:val="20"/>
              </w:rPr>
              <w:t>(0.10473)</w:t>
            </w:r>
          </w:p>
        </w:tc>
      </w:tr>
      <w:tr>
        <w:trPr>
          <w:trHeight w:val="230" w:hRule="atLeast"/>
        </w:trPr>
        <w:tc>
          <w:tcPr>
            <w:tcW w:w="1127" w:type="dxa"/>
          </w:tcPr>
          <w:p>
            <w:pPr>
              <w:pStyle w:val="TableParagraph"/>
              <w:spacing w:line="210" w:lineRule="exact"/>
              <w:ind w:left="59"/>
              <w:jc w:val="center"/>
              <w:rPr>
                <w:sz w:val="20"/>
              </w:rPr>
            </w:pPr>
            <w:r>
              <w:rPr>
                <w:spacing w:val="-2"/>
                <w:sz w:val="20"/>
              </w:rPr>
              <w:t>0.000000</w:t>
            </w:r>
          </w:p>
        </w:tc>
        <w:tc>
          <w:tcPr>
            <w:tcW w:w="1225" w:type="dxa"/>
          </w:tcPr>
          <w:p>
            <w:pPr>
              <w:pStyle w:val="TableParagraph"/>
              <w:spacing w:line="210" w:lineRule="exact"/>
              <w:ind w:left="51" w:right="2"/>
              <w:jc w:val="center"/>
              <w:rPr>
                <w:sz w:val="20"/>
              </w:rPr>
            </w:pPr>
            <w:r>
              <w:rPr>
                <w:spacing w:val="-2"/>
                <w:sz w:val="20"/>
              </w:rPr>
              <w:t>0.000000</w:t>
            </w:r>
          </w:p>
        </w:tc>
        <w:tc>
          <w:tcPr>
            <w:tcW w:w="1045" w:type="dxa"/>
          </w:tcPr>
          <w:p>
            <w:pPr>
              <w:pStyle w:val="TableParagraph"/>
              <w:spacing w:line="210" w:lineRule="exact"/>
              <w:ind w:left="49" w:right="23"/>
              <w:jc w:val="center"/>
              <w:rPr>
                <w:sz w:val="20"/>
              </w:rPr>
            </w:pPr>
            <w:r>
              <w:rPr>
                <w:spacing w:val="-2"/>
                <w:sz w:val="20"/>
              </w:rPr>
              <w:t>0.000000</w:t>
            </w:r>
          </w:p>
        </w:tc>
        <w:tc>
          <w:tcPr>
            <w:tcW w:w="983" w:type="dxa"/>
          </w:tcPr>
          <w:p>
            <w:pPr>
              <w:pStyle w:val="TableParagraph"/>
              <w:spacing w:line="210" w:lineRule="exact"/>
              <w:ind w:left="78" w:right="39"/>
              <w:jc w:val="center"/>
              <w:rPr>
                <w:sz w:val="20"/>
              </w:rPr>
            </w:pPr>
            <w:r>
              <w:rPr>
                <w:spacing w:val="-2"/>
                <w:sz w:val="20"/>
              </w:rPr>
              <w:t>0.000000</w:t>
            </w:r>
          </w:p>
        </w:tc>
        <w:tc>
          <w:tcPr>
            <w:tcW w:w="946" w:type="dxa"/>
          </w:tcPr>
          <w:p>
            <w:pPr>
              <w:pStyle w:val="TableParagraph"/>
              <w:spacing w:line="210" w:lineRule="exact"/>
              <w:ind w:left="47" w:right="46"/>
              <w:jc w:val="center"/>
              <w:rPr>
                <w:sz w:val="20"/>
              </w:rPr>
            </w:pPr>
            <w:r>
              <w:rPr>
                <w:spacing w:val="-2"/>
                <w:sz w:val="20"/>
              </w:rPr>
              <w:t>0.000000</w:t>
            </w:r>
          </w:p>
        </w:tc>
        <w:tc>
          <w:tcPr>
            <w:tcW w:w="960" w:type="dxa"/>
          </w:tcPr>
          <w:p>
            <w:pPr>
              <w:pStyle w:val="TableParagraph"/>
              <w:spacing w:line="210" w:lineRule="exact"/>
              <w:ind w:left="49" w:right="59"/>
              <w:jc w:val="center"/>
              <w:rPr>
                <w:sz w:val="20"/>
              </w:rPr>
            </w:pPr>
            <w:r>
              <w:rPr>
                <w:spacing w:val="-2"/>
                <w:sz w:val="20"/>
              </w:rPr>
              <w:t>1.000000</w:t>
            </w:r>
          </w:p>
        </w:tc>
        <w:tc>
          <w:tcPr>
            <w:tcW w:w="1246" w:type="dxa"/>
          </w:tcPr>
          <w:p>
            <w:pPr>
              <w:pStyle w:val="TableParagraph"/>
              <w:spacing w:line="210" w:lineRule="exact"/>
              <w:ind w:left="173"/>
              <w:rPr>
                <w:sz w:val="20"/>
              </w:rPr>
            </w:pPr>
            <w:r>
              <w:rPr>
                <w:spacing w:val="-2"/>
                <w:sz w:val="20"/>
              </w:rPr>
              <w:t>0.000000</w:t>
            </w:r>
          </w:p>
        </w:tc>
        <w:tc>
          <w:tcPr>
            <w:tcW w:w="1523" w:type="dxa"/>
          </w:tcPr>
          <w:p>
            <w:pPr>
              <w:pStyle w:val="TableParagraph"/>
              <w:spacing w:line="210" w:lineRule="exact"/>
              <w:ind w:left="2" w:right="90"/>
              <w:jc w:val="center"/>
              <w:rPr>
                <w:sz w:val="20"/>
              </w:rPr>
            </w:pPr>
            <w:r>
              <w:rPr>
                <w:spacing w:val="-4"/>
                <w:sz w:val="20"/>
              </w:rPr>
              <w:t>-</w:t>
            </w:r>
            <w:r>
              <w:rPr>
                <w:spacing w:val="-2"/>
                <w:sz w:val="20"/>
              </w:rPr>
              <w:t>1.295701</w:t>
            </w:r>
          </w:p>
        </w:tc>
        <w:tc>
          <w:tcPr>
            <w:tcW w:w="1828" w:type="dxa"/>
          </w:tcPr>
          <w:p>
            <w:pPr>
              <w:pStyle w:val="TableParagraph"/>
              <w:spacing w:line="210" w:lineRule="exact"/>
              <w:ind w:left="53" w:right="228"/>
              <w:jc w:val="center"/>
              <w:rPr>
                <w:sz w:val="20"/>
              </w:rPr>
            </w:pPr>
            <w:r>
              <w:rPr>
                <w:spacing w:val="-2"/>
                <w:sz w:val="20"/>
              </w:rPr>
              <w:t>0.512656</w:t>
            </w:r>
          </w:p>
        </w:tc>
      </w:tr>
      <w:tr>
        <w:trPr>
          <w:trHeight w:val="230" w:hRule="atLeast"/>
        </w:trPr>
        <w:tc>
          <w:tcPr>
            <w:tcW w:w="1127" w:type="dxa"/>
          </w:tcPr>
          <w:p>
            <w:pPr>
              <w:pStyle w:val="TableParagraph"/>
              <w:rPr>
                <w:sz w:val="16"/>
              </w:rPr>
            </w:pPr>
          </w:p>
        </w:tc>
        <w:tc>
          <w:tcPr>
            <w:tcW w:w="1225" w:type="dxa"/>
          </w:tcPr>
          <w:p>
            <w:pPr>
              <w:pStyle w:val="TableParagraph"/>
              <w:rPr>
                <w:sz w:val="16"/>
              </w:rPr>
            </w:pPr>
          </w:p>
        </w:tc>
        <w:tc>
          <w:tcPr>
            <w:tcW w:w="1045" w:type="dxa"/>
          </w:tcPr>
          <w:p>
            <w:pPr>
              <w:pStyle w:val="TableParagraph"/>
              <w:rPr>
                <w:sz w:val="16"/>
              </w:rPr>
            </w:pPr>
          </w:p>
        </w:tc>
        <w:tc>
          <w:tcPr>
            <w:tcW w:w="983" w:type="dxa"/>
          </w:tcPr>
          <w:p>
            <w:pPr>
              <w:pStyle w:val="TableParagraph"/>
              <w:rPr>
                <w:sz w:val="16"/>
              </w:rPr>
            </w:pPr>
          </w:p>
        </w:tc>
        <w:tc>
          <w:tcPr>
            <w:tcW w:w="946" w:type="dxa"/>
          </w:tcPr>
          <w:p>
            <w:pPr>
              <w:pStyle w:val="TableParagraph"/>
              <w:rPr>
                <w:sz w:val="16"/>
              </w:rPr>
            </w:pPr>
          </w:p>
        </w:tc>
        <w:tc>
          <w:tcPr>
            <w:tcW w:w="960" w:type="dxa"/>
          </w:tcPr>
          <w:p>
            <w:pPr>
              <w:pStyle w:val="TableParagraph"/>
              <w:rPr>
                <w:sz w:val="16"/>
              </w:rPr>
            </w:pPr>
          </w:p>
        </w:tc>
        <w:tc>
          <w:tcPr>
            <w:tcW w:w="1246" w:type="dxa"/>
          </w:tcPr>
          <w:p>
            <w:pPr>
              <w:pStyle w:val="TableParagraph"/>
              <w:rPr>
                <w:sz w:val="16"/>
              </w:rPr>
            </w:pPr>
          </w:p>
        </w:tc>
        <w:tc>
          <w:tcPr>
            <w:tcW w:w="1523" w:type="dxa"/>
          </w:tcPr>
          <w:p>
            <w:pPr>
              <w:pStyle w:val="TableParagraph"/>
              <w:spacing w:line="210" w:lineRule="exact"/>
              <w:ind w:left="55" w:right="90"/>
              <w:jc w:val="center"/>
              <w:rPr>
                <w:sz w:val="20"/>
              </w:rPr>
            </w:pPr>
            <w:r>
              <w:rPr>
                <w:spacing w:val="-2"/>
                <w:sz w:val="20"/>
              </w:rPr>
              <w:t>(0.24341)</w:t>
            </w:r>
          </w:p>
        </w:tc>
        <w:tc>
          <w:tcPr>
            <w:tcW w:w="1828" w:type="dxa"/>
          </w:tcPr>
          <w:p>
            <w:pPr>
              <w:pStyle w:val="TableParagraph"/>
              <w:spacing w:line="210" w:lineRule="exact"/>
              <w:ind w:left="54" w:right="228"/>
              <w:jc w:val="center"/>
              <w:rPr>
                <w:sz w:val="20"/>
              </w:rPr>
            </w:pPr>
            <w:r>
              <w:rPr>
                <w:spacing w:val="-2"/>
                <w:sz w:val="20"/>
              </w:rPr>
              <w:t>(0.10867)</w:t>
            </w:r>
          </w:p>
        </w:tc>
      </w:tr>
      <w:tr>
        <w:trPr>
          <w:trHeight w:val="230" w:hRule="atLeast"/>
        </w:trPr>
        <w:tc>
          <w:tcPr>
            <w:tcW w:w="1127" w:type="dxa"/>
          </w:tcPr>
          <w:p>
            <w:pPr>
              <w:pStyle w:val="TableParagraph"/>
              <w:spacing w:line="210" w:lineRule="exact"/>
              <w:ind w:left="59"/>
              <w:jc w:val="center"/>
              <w:rPr>
                <w:sz w:val="20"/>
              </w:rPr>
            </w:pPr>
            <w:r>
              <w:rPr>
                <w:spacing w:val="-2"/>
                <w:sz w:val="20"/>
              </w:rPr>
              <w:t>0.000000</w:t>
            </w:r>
          </w:p>
        </w:tc>
        <w:tc>
          <w:tcPr>
            <w:tcW w:w="1225" w:type="dxa"/>
          </w:tcPr>
          <w:p>
            <w:pPr>
              <w:pStyle w:val="TableParagraph"/>
              <w:spacing w:line="210" w:lineRule="exact"/>
              <w:ind w:left="51" w:right="2"/>
              <w:jc w:val="center"/>
              <w:rPr>
                <w:sz w:val="20"/>
              </w:rPr>
            </w:pPr>
            <w:r>
              <w:rPr>
                <w:spacing w:val="-2"/>
                <w:sz w:val="20"/>
              </w:rPr>
              <w:t>0.000000</w:t>
            </w:r>
          </w:p>
        </w:tc>
        <w:tc>
          <w:tcPr>
            <w:tcW w:w="1045" w:type="dxa"/>
          </w:tcPr>
          <w:p>
            <w:pPr>
              <w:pStyle w:val="TableParagraph"/>
              <w:spacing w:line="210" w:lineRule="exact"/>
              <w:ind w:left="49" w:right="23"/>
              <w:jc w:val="center"/>
              <w:rPr>
                <w:sz w:val="20"/>
              </w:rPr>
            </w:pPr>
            <w:r>
              <w:rPr>
                <w:spacing w:val="-2"/>
                <w:sz w:val="20"/>
              </w:rPr>
              <w:t>0.000000</w:t>
            </w:r>
          </w:p>
        </w:tc>
        <w:tc>
          <w:tcPr>
            <w:tcW w:w="983" w:type="dxa"/>
          </w:tcPr>
          <w:p>
            <w:pPr>
              <w:pStyle w:val="TableParagraph"/>
              <w:spacing w:line="210" w:lineRule="exact"/>
              <w:ind w:left="78" w:right="39"/>
              <w:jc w:val="center"/>
              <w:rPr>
                <w:sz w:val="20"/>
              </w:rPr>
            </w:pPr>
            <w:r>
              <w:rPr>
                <w:spacing w:val="-2"/>
                <w:sz w:val="20"/>
              </w:rPr>
              <w:t>0.000000</w:t>
            </w:r>
          </w:p>
        </w:tc>
        <w:tc>
          <w:tcPr>
            <w:tcW w:w="946" w:type="dxa"/>
          </w:tcPr>
          <w:p>
            <w:pPr>
              <w:pStyle w:val="TableParagraph"/>
              <w:spacing w:line="210" w:lineRule="exact"/>
              <w:ind w:left="47" w:right="46"/>
              <w:jc w:val="center"/>
              <w:rPr>
                <w:sz w:val="20"/>
              </w:rPr>
            </w:pPr>
            <w:r>
              <w:rPr>
                <w:spacing w:val="-2"/>
                <w:sz w:val="20"/>
              </w:rPr>
              <w:t>0.000000</w:t>
            </w:r>
          </w:p>
        </w:tc>
        <w:tc>
          <w:tcPr>
            <w:tcW w:w="960" w:type="dxa"/>
          </w:tcPr>
          <w:p>
            <w:pPr>
              <w:pStyle w:val="TableParagraph"/>
              <w:spacing w:line="210" w:lineRule="exact"/>
              <w:ind w:left="49" w:right="59"/>
              <w:jc w:val="center"/>
              <w:rPr>
                <w:sz w:val="20"/>
              </w:rPr>
            </w:pPr>
            <w:r>
              <w:rPr>
                <w:spacing w:val="-2"/>
                <w:sz w:val="20"/>
              </w:rPr>
              <w:t>0.000000</w:t>
            </w:r>
          </w:p>
        </w:tc>
        <w:tc>
          <w:tcPr>
            <w:tcW w:w="1246" w:type="dxa"/>
          </w:tcPr>
          <w:p>
            <w:pPr>
              <w:pStyle w:val="TableParagraph"/>
              <w:spacing w:line="210" w:lineRule="exact"/>
              <w:ind w:left="173"/>
              <w:rPr>
                <w:sz w:val="20"/>
              </w:rPr>
            </w:pPr>
            <w:r>
              <w:rPr>
                <w:spacing w:val="-2"/>
                <w:sz w:val="20"/>
              </w:rPr>
              <w:t>1.000000</w:t>
            </w:r>
          </w:p>
        </w:tc>
        <w:tc>
          <w:tcPr>
            <w:tcW w:w="1523" w:type="dxa"/>
          </w:tcPr>
          <w:p>
            <w:pPr>
              <w:pStyle w:val="TableParagraph"/>
              <w:spacing w:line="210" w:lineRule="exact"/>
              <w:ind w:left="2" w:right="90"/>
              <w:jc w:val="center"/>
              <w:rPr>
                <w:sz w:val="20"/>
              </w:rPr>
            </w:pPr>
            <w:r>
              <w:rPr>
                <w:spacing w:val="-4"/>
                <w:sz w:val="20"/>
              </w:rPr>
              <w:t>-</w:t>
            </w:r>
            <w:r>
              <w:rPr>
                <w:spacing w:val="-2"/>
                <w:sz w:val="20"/>
              </w:rPr>
              <w:t>0.047691</w:t>
            </w:r>
          </w:p>
        </w:tc>
        <w:tc>
          <w:tcPr>
            <w:tcW w:w="1828" w:type="dxa"/>
          </w:tcPr>
          <w:p>
            <w:pPr>
              <w:pStyle w:val="TableParagraph"/>
              <w:spacing w:line="210" w:lineRule="exact"/>
              <w:ind w:right="228"/>
              <w:jc w:val="center"/>
              <w:rPr>
                <w:sz w:val="20"/>
              </w:rPr>
            </w:pPr>
            <w:r>
              <w:rPr>
                <w:spacing w:val="-4"/>
                <w:sz w:val="20"/>
              </w:rPr>
              <w:t>-</w:t>
            </w:r>
            <w:r>
              <w:rPr>
                <w:spacing w:val="-2"/>
                <w:sz w:val="20"/>
              </w:rPr>
              <w:t>1.105377</w:t>
            </w:r>
          </w:p>
        </w:tc>
      </w:tr>
      <w:tr>
        <w:trPr>
          <w:trHeight w:val="344" w:hRule="atLeast"/>
        </w:trPr>
        <w:tc>
          <w:tcPr>
            <w:tcW w:w="1127" w:type="dxa"/>
          </w:tcPr>
          <w:p>
            <w:pPr>
              <w:pStyle w:val="TableParagraph"/>
              <w:rPr>
                <w:sz w:val="18"/>
              </w:rPr>
            </w:pPr>
          </w:p>
        </w:tc>
        <w:tc>
          <w:tcPr>
            <w:tcW w:w="1225" w:type="dxa"/>
          </w:tcPr>
          <w:p>
            <w:pPr>
              <w:pStyle w:val="TableParagraph"/>
              <w:rPr>
                <w:sz w:val="18"/>
              </w:rPr>
            </w:pPr>
          </w:p>
        </w:tc>
        <w:tc>
          <w:tcPr>
            <w:tcW w:w="1045" w:type="dxa"/>
          </w:tcPr>
          <w:p>
            <w:pPr>
              <w:pStyle w:val="TableParagraph"/>
              <w:rPr>
                <w:sz w:val="18"/>
              </w:rPr>
            </w:pPr>
          </w:p>
        </w:tc>
        <w:tc>
          <w:tcPr>
            <w:tcW w:w="983" w:type="dxa"/>
          </w:tcPr>
          <w:p>
            <w:pPr>
              <w:pStyle w:val="TableParagraph"/>
              <w:rPr>
                <w:sz w:val="18"/>
              </w:rPr>
            </w:pPr>
          </w:p>
        </w:tc>
        <w:tc>
          <w:tcPr>
            <w:tcW w:w="946" w:type="dxa"/>
          </w:tcPr>
          <w:p>
            <w:pPr>
              <w:pStyle w:val="TableParagraph"/>
              <w:rPr>
                <w:sz w:val="18"/>
              </w:rPr>
            </w:pPr>
          </w:p>
        </w:tc>
        <w:tc>
          <w:tcPr>
            <w:tcW w:w="960" w:type="dxa"/>
          </w:tcPr>
          <w:p>
            <w:pPr>
              <w:pStyle w:val="TableParagraph"/>
              <w:rPr>
                <w:sz w:val="18"/>
              </w:rPr>
            </w:pPr>
          </w:p>
        </w:tc>
        <w:tc>
          <w:tcPr>
            <w:tcW w:w="1246" w:type="dxa"/>
          </w:tcPr>
          <w:p>
            <w:pPr>
              <w:pStyle w:val="TableParagraph"/>
              <w:rPr>
                <w:sz w:val="18"/>
              </w:rPr>
            </w:pPr>
          </w:p>
        </w:tc>
        <w:tc>
          <w:tcPr>
            <w:tcW w:w="1523" w:type="dxa"/>
          </w:tcPr>
          <w:p>
            <w:pPr>
              <w:pStyle w:val="TableParagraph"/>
              <w:spacing w:line="226" w:lineRule="exact"/>
              <w:ind w:left="55" w:right="90"/>
              <w:jc w:val="center"/>
              <w:rPr>
                <w:sz w:val="20"/>
              </w:rPr>
            </w:pPr>
            <w:r>
              <w:rPr>
                <w:spacing w:val="-2"/>
                <w:sz w:val="20"/>
              </w:rPr>
              <w:t>(0.16701)</w:t>
            </w:r>
          </w:p>
        </w:tc>
        <w:tc>
          <w:tcPr>
            <w:tcW w:w="1828" w:type="dxa"/>
          </w:tcPr>
          <w:p>
            <w:pPr>
              <w:pStyle w:val="TableParagraph"/>
              <w:spacing w:line="226" w:lineRule="exact"/>
              <w:ind w:left="54" w:right="228"/>
              <w:jc w:val="center"/>
              <w:rPr>
                <w:sz w:val="20"/>
              </w:rPr>
            </w:pPr>
            <w:r>
              <w:rPr>
                <w:spacing w:val="-2"/>
                <w:sz w:val="20"/>
              </w:rPr>
              <w:t>(0.07456)</w:t>
            </w:r>
          </w:p>
        </w:tc>
      </w:tr>
      <w:tr>
        <w:trPr>
          <w:trHeight w:val="732" w:hRule="atLeast"/>
        </w:trPr>
        <w:tc>
          <w:tcPr>
            <w:tcW w:w="1127" w:type="dxa"/>
          </w:tcPr>
          <w:p>
            <w:pPr>
              <w:pStyle w:val="TableParagraph"/>
              <w:spacing w:before="109"/>
              <w:ind w:left="434"/>
              <w:rPr>
                <w:sz w:val="20"/>
              </w:rPr>
            </w:pPr>
            <w:r>
              <w:rPr>
                <w:spacing w:val="-5"/>
                <w:sz w:val="20"/>
              </w:rPr>
              <w:t>Log</w:t>
            </w:r>
          </w:p>
          <w:p>
            <w:pPr>
              <w:pStyle w:val="TableParagraph"/>
              <w:tabs>
                <w:tab w:pos="10883" w:val="left" w:leader="none"/>
              </w:tabs>
              <w:spacing w:before="1"/>
              <w:ind w:right="-9764"/>
              <w:rPr>
                <w:sz w:val="20"/>
              </w:rPr>
            </w:pPr>
            <w:r>
              <w:rPr>
                <w:spacing w:val="31"/>
                <w:sz w:val="20"/>
                <w:u w:val="double"/>
              </w:rPr>
              <w:t>  </w:t>
            </w:r>
            <w:r>
              <w:rPr>
                <w:spacing w:val="-2"/>
                <w:sz w:val="20"/>
                <w:u w:val="double"/>
              </w:rPr>
              <w:t>likelihood</w:t>
            </w:r>
            <w:r>
              <w:rPr>
                <w:sz w:val="20"/>
                <w:u w:val="double"/>
              </w:rPr>
              <w:tab/>
            </w:r>
          </w:p>
        </w:tc>
        <w:tc>
          <w:tcPr>
            <w:tcW w:w="1225" w:type="dxa"/>
          </w:tcPr>
          <w:p>
            <w:pPr>
              <w:pStyle w:val="TableParagraph"/>
              <w:spacing w:before="109"/>
              <w:ind w:left="49" w:right="50"/>
              <w:jc w:val="center"/>
              <w:rPr>
                <w:sz w:val="20"/>
              </w:rPr>
            </w:pPr>
            <w:r>
              <w:rPr>
                <w:spacing w:val="-4"/>
                <w:sz w:val="20"/>
              </w:rPr>
              <w:t>-</w:t>
            </w:r>
            <w:r>
              <w:rPr>
                <w:spacing w:val="-2"/>
                <w:sz w:val="20"/>
              </w:rPr>
              <w:t>26.53073</w:t>
            </w:r>
          </w:p>
        </w:tc>
        <w:tc>
          <w:tcPr>
            <w:tcW w:w="1045" w:type="dxa"/>
          </w:tcPr>
          <w:p>
            <w:pPr>
              <w:pStyle w:val="TableParagraph"/>
              <w:rPr>
                <w:sz w:val="18"/>
              </w:rPr>
            </w:pPr>
          </w:p>
        </w:tc>
        <w:tc>
          <w:tcPr>
            <w:tcW w:w="983" w:type="dxa"/>
          </w:tcPr>
          <w:p>
            <w:pPr>
              <w:pStyle w:val="TableParagraph"/>
              <w:rPr>
                <w:sz w:val="18"/>
              </w:rPr>
            </w:pPr>
          </w:p>
        </w:tc>
        <w:tc>
          <w:tcPr>
            <w:tcW w:w="946" w:type="dxa"/>
          </w:tcPr>
          <w:p>
            <w:pPr>
              <w:pStyle w:val="TableParagraph"/>
              <w:rPr>
                <w:sz w:val="18"/>
              </w:rPr>
            </w:pPr>
          </w:p>
        </w:tc>
        <w:tc>
          <w:tcPr>
            <w:tcW w:w="960" w:type="dxa"/>
          </w:tcPr>
          <w:p>
            <w:pPr>
              <w:pStyle w:val="TableParagraph"/>
              <w:rPr>
                <w:sz w:val="18"/>
              </w:rPr>
            </w:pPr>
          </w:p>
        </w:tc>
        <w:tc>
          <w:tcPr>
            <w:tcW w:w="1246" w:type="dxa"/>
          </w:tcPr>
          <w:p>
            <w:pPr>
              <w:pStyle w:val="TableParagraph"/>
              <w:rPr>
                <w:sz w:val="18"/>
              </w:rPr>
            </w:pPr>
          </w:p>
        </w:tc>
        <w:tc>
          <w:tcPr>
            <w:tcW w:w="1523" w:type="dxa"/>
          </w:tcPr>
          <w:p>
            <w:pPr>
              <w:pStyle w:val="TableParagraph"/>
              <w:rPr>
                <w:sz w:val="18"/>
              </w:rPr>
            </w:pPr>
          </w:p>
        </w:tc>
        <w:tc>
          <w:tcPr>
            <w:tcW w:w="1828" w:type="dxa"/>
          </w:tcPr>
          <w:p>
            <w:pPr>
              <w:pStyle w:val="TableParagraph"/>
              <w:rPr>
                <w:sz w:val="18"/>
              </w:rPr>
            </w:pPr>
          </w:p>
        </w:tc>
      </w:tr>
      <w:tr>
        <w:trPr>
          <w:trHeight w:val="1992" w:hRule="atLeast"/>
        </w:trPr>
        <w:tc>
          <w:tcPr>
            <w:tcW w:w="1127" w:type="dxa"/>
            <w:tcBorders>
              <w:bottom w:val="double" w:sz="6" w:space="0" w:color="000000"/>
            </w:tcBorders>
          </w:tcPr>
          <w:p>
            <w:pPr>
              <w:pStyle w:val="TableParagraph"/>
              <w:spacing w:before="153"/>
              <w:ind w:left="52" w:right="43" w:firstLine="50"/>
              <w:jc w:val="center"/>
              <w:rPr>
                <w:sz w:val="20"/>
              </w:rPr>
            </w:pPr>
            <w:r>
              <w:rPr>
                <w:spacing w:val="-2"/>
                <w:sz w:val="20"/>
              </w:rPr>
              <w:t>Normalized Cointegratin </w:t>
            </w:r>
            <w:r>
              <w:rPr>
                <w:spacing w:val="-10"/>
                <w:sz w:val="20"/>
              </w:rPr>
              <w:t>g</w:t>
            </w:r>
            <w:r>
              <w:rPr>
                <w:spacing w:val="-2"/>
                <w:sz w:val="20"/>
              </w:rPr>
              <w:t> Coefficients: </w:t>
            </w:r>
            <w:r>
              <w:rPr>
                <w:spacing w:val="-10"/>
                <w:sz w:val="20"/>
              </w:rPr>
              <w:t>8</w:t>
            </w:r>
          </w:p>
          <w:p>
            <w:pPr>
              <w:pStyle w:val="TableParagraph"/>
              <w:spacing w:line="230" w:lineRule="exact"/>
              <w:ind w:left="67" w:right="59"/>
              <w:jc w:val="center"/>
              <w:rPr>
                <w:sz w:val="20"/>
              </w:rPr>
            </w:pPr>
            <w:r>
              <w:rPr>
                <w:spacing w:val="-2"/>
                <w:sz w:val="20"/>
              </w:rPr>
              <w:t>Cointegratin </w:t>
            </w:r>
            <w:r>
              <w:rPr>
                <w:spacing w:val="-10"/>
                <w:sz w:val="20"/>
              </w:rPr>
              <w:t>g</w:t>
            </w:r>
            <w:r>
              <w:rPr>
                <w:spacing w:val="-2"/>
                <w:sz w:val="20"/>
              </w:rPr>
              <w:t> Equation(s)</w:t>
            </w:r>
          </w:p>
        </w:tc>
        <w:tc>
          <w:tcPr>
            <w:tcW w:w="1225" w:type="dxa"/>
            <w:tcBorders>
              <w:bottom w:val="double" w:sz="6" w:space="0" w:color="000000"/>
            </w:tcBorders>
          </w:tcPr>
          <w:p>
            <w:pPr>
              <w:pStyle w:val="TableParagraph"/>
              <w:rPr>
                <w:sz w:val="18"/>
              </w:rPr>
            </w:pPr>
          </w:p>
        </w:tc>
        <w:tc>
          <w:tcPr>
            <w:tcW w:w="1045" w:type="dxa"/>
            <w:tcBorders>
              <w:bottom w:val="double" w:sz="6" w:space="0" w:color="000000"/>
            </w:tcBorders>
          </w:tcPr>
          <w:p>
            <w:pPr>
              <w:pStyle w:val="TableParagraph"/>
              <w:rPr>
                <w:sz w:val="18"/>
              </w:rPr>
            </w:pPr>
          </w:p>
        </w:tc>
        <w:tc>
          <w:tcPr>
            <w:tcW w:w="983" w:type="dxa"/>
            <w:tcBorders>
              <w:bottom w:val="double" w:sz="6" w:space="0" w:color="000000"/>
            </w:tcBorders>
          </w:tcPr>
          <w:p>
            <w:pPr>
              <w:pStyle w:val="TableParagraph"/>
              <w:rPr>
                <w:sz w:val="18"/>
              </w:rPr>
            </w:pPr>
          </w:p>
        </w:tc>
        <w:tc>
          <w:tcPr>
            <w:tcW w:w="946" w:type="dxa"/>
            <w:tcBorders>
              <w:bottom w:val="double" w:sz="6" w:space="0" w:color="000000"/>
            </w:tcBorders>
          </w:tcPr>
          <w:p>
            <w:pPr>
              <w:pStyle w:val="TableParagraph"/>
              <w:rPr>
                <w:sz w:val="18"/>
              </w:rPr>
            </w:pPr>
          </w:p>
        </w:tc>
        <w:tc>
          <w:tcPr>
            <w:tcW w:w="960" w:type="dxa"/>
            <w:tcBorders>
              <w:bottom w:val="double" w:sz="6" w:space="0" w:color="000000"/>
            </w:tcBorders>
          </w:tcPr>
          <w:p>
            <w:pPr>
              <w:pStyle w:val="TableParagraph"/>
              <w:rPr>
                <w:sz w:val="18"/>
              </w:rPr>
            </w:pPr>
          </w:p>
        </w:tc>
        <w:tc>
          <w:tcPr>
            <w:tcW w:w="1246" w:type="dxa"/>
            <w:tcBorders>
              <w:bottom w:val="double" w:sz="6" w:space="0" w:color="000000"/>
            </w:tcBorders>
          </w:tcPr>
          <w:p>
            <w:pPr>
              <w:pStyle w:val="TableParagraph"/>
              <w:rPr>
                <w:sz w:val="18"/>
              </w:rPr>
            </w:pPr>
          </w:p>
        </w:tc>
        <w:tc>
          <w:tcPr>
            <w:tcW w:w="1523" w:type="dxa"/>
            <w:tcBorders>
              <w:bottom w:val="double" w:sz="6" w:space="0" w:color="000000"/>
            </w:tcBorders>
          </w:tcPr>
          <w:p>
            <w:pPr>
              <w:pStyle w:val="TableParagraph"/>
              <w:rPr>
                <w:sz w:val="18"/>
              </w:rPr>
            </w:pPr>
          </w:p>
        </w:tc>
        <w:tc>
          <w:tcPr>
            <w:tcW w:w="1828" w:type="dxa"/>
            <w:tcBorders>
              <w:bottom w:val="double" w:sz="6" w:space="0" w:color="000000"/>
            </w:tcBorders>
          </w:tcPr>
          <w:p>
            <w:pPr>
              <w:pStyle w:val="TableParagraph"/>
              <w:rPr>
                <w:sz w:val="18"/>
              </w:rPr>
            </w:pPr>
          </w:p>
        </w:tc>
      </w:tr>
      <w:tr>
        <w:trPr>
          <w:trHeight w:val="274" w:hRule="atLeast"/>
        </w:trPr>
        <w:tc>
          <w:tcPr>
            <w:tcW w:w="1127" w:type="dxa"/>
            <w:tcBorders>
              <w:top w:val="double" w:sz="6" w:space="0" w:color="000000"/>
            </w:tcBorders>
          </w:tcPr>
          <w:p>
            <w:pPr>
              <w:pStyle w:val="TableParagraph"/>
              <w:spacing w:line="215" w:lineRule="exact" w:before="39"/>
              <w:ind w:left="7"/>
              <w:jc w:val="center"/>
              <w:rPr>
                <w:sz w:val="20"/>
              </w:rPr>
            </w:pPr>
            <w:r>
              <w:rPr>
                <w:spacing w:val="-5"/>
                <w:sz w:val="20"/>
              </w:rPr>
              <w:t>KFW</w:t>
            </w:r>
          </w:p>
        </w:tc>
        <w:tc>
          <w:tcPr>
            <w:tcW w:w="1225" w:type="dxa"/>
            <w:tcBorders>
              <w:top w:val="double" w:sz="6" w:space="0" w:color="000000"/>
            </w:tcBorders>
          </w:tcPr>
          <w:p>
            <w:pPr>
              <w:pStyle w:val="TableParagraph"/>
              <w:spacing w:line="215" w:lineRule="exact" w:before="39"/>
              <w:ind w:left="49" w:right="51"/>
              <w:jc w:val="center"/>
              <w:rPr>
                <w:sz w:val="20"/>
              </w:rPr>
            </w:pPr>
            <w:r>
              <w:rPr>
                <w:spacing w:val="-2"/>
                <w:sz w:val="20"/>
              </w:rPr>
              <w:t>EXTDEBT</w:t>
            </w:r>
          </w:p>
        </w:tc>
        <w:tc>
          <w:tcPr>
            <w:tcW w:w="1045" w:type="dxa"/>
            <w:tcBorders>
              <w:top w:val="double" w:sz="6" w:space="0" w:color="000000"/>
            </w:tcBorders>
          </w:tcPr>
          <w:p>
            <w:pPr>
              <w:pStyle w:val="TableParagraph"/>
              <w:spacing w:line="215" w:lineRule="exact" w:before="39"/>
              <w:ind w:left="26" w:right="49"/>
              <w:jc w:val="center"/>
              <w:rPr>
                <w:sz w:val="20"/>
              </w:rPr>
            </w:pPr>
            <w:r>
              <w:rPr>
                <w:spacing w:val="-5"/>
                <w:sz w:val="20"/>
              </w:rPr>
              <w:t>DOP</w:t>
            </w:r>
          </w:p>
        </w:tc>
        <w:tc>
          <w:tcPr>
            <w:tcW w:w="983" w:type="dxa"/>
            <w:tcBorders>
              <w:top w:val="double" w:sz="6" w:space="0" w:color="000000"/>
            </w:tcBorders>
          </w:tcPr>
          <w:p>
            <w:pPr>
              <w:pStyle w:val="TableParagraph"/>
              <w:spacing w:line="215" w:lineRule="exact" w:before="39"/>
              <w:ind w:right="6"/>
              <w:jc w:val="center"/>
              <w:rPr>
                <w:sz w:val="20"/>
              </w:rPr>
            </w:pPr>
            <w:r>
              <w:rPr>
                <w:spacing w:val="-5"/>
                <w:sz w:val="20"/>
              </w:rPr>
              <w:t>INF</w:t>
            </w:r>
          </w:p>
        </w:tc>
        <w:tc>
          <w:tcPr>
            <w:tcW w:w="946" w:type="dxa"/>
            <w:tcBorders>
              <w:top w:val="double" w:sz="6" w:space="0" w:color="000000"/>
            </w:tcBorders>
          </w:tcPr>
          <w:p>
            <w:pPr>
              <w:pStyle w:val="TableParagraph"/>
              <w:spacing w:line="215" w:lineRule="exact" w:before="39"/>
              <w:ind w:right="46"/>
              <w:jc w:val="center"/>
              <w:rPr>
                <w:sz w:val="20"/>
              </w:rPr>
            </w:pPr>
            <w:r>
              <w:rPr>
                <w:spacing w:val="-5"/>
                <w:sz w:val="20"/>
              </w:rPr>
              <w:t>GCF</w:t>
            </w:r>
          </w:p>
        </w:tc>
        <w:tc>
          <w:tcPr>
            <w:tcW w:w="960" w:type="dxa"/>
            <w:tcBorders>
              <w:top w:val="double" w:sz="6" w:space="0" w:color="000000"/>
            </w:tcBorders>
          </w:tcPr>
          <w:p>
            <w:pPr>
              <w:pStyle w:val="TableParagraph"/>
              <w:spacing w:line="215" w:lineRule="exact" w:before="39"/>
              <w:ind w:right="59"/>
              <w:jc w:val="center"/>
              <w:rPr>
                <w:sz w:val="20"/>
              </w:rPr>
            </w:pPr>
            <w:r>
              <w:rPr>
                <w:spacing w:val="-5"/>
                <w:sz w:val="20"/>
              </w:rPr>
              <w:t>DR</w:t>
            </w:r>
          </w:p>
        </w:tc>
        <w:tc>
          <w:tcPr>
            <w:tcW w:w="1246" w:type="dxa"/>
            <w:tcBorders>
              <w:top w:val="double" w:sz="6" w:space="0" w:color="000000"/>
            </w:tcBorders>
          </w:tcPr>
          <w:p>
            <w:pPr>
              <w:pStyle w:val="TableParagraph"/>
              <w:spacing w:line="215" w:lineRule="exact" w:before="39"/>
              <w:ind w:left="161"/>
              <w:rPr>
                <w:sz w:val="20"/>
              </w:rPr>
            </w:pPr>
            <w:r>
              <w:rPr>
                <w:spacing w:val="-2"/>
                <w:sz w:val="20"/>
              </w:rPr>
              <w:t>PRIVCR</w:t>
            </w:r>
          </w:p>
        </w:tc>
        <w:tc>
          <w:tcPr>
            <w:tcW w:w="1523" w:type="dxa"/>
            <w:tcBorders>
              <w:top w:val="double" w:sz="6" w:space="0" w:color="000000"/>
            </w:tcBorders>
          </w:tcPr>
          <w:p>
            <w:pPr>
              <w:pStyle w:val="TableParagraph"/>
              <w:spacing w:line="215" w:lineRule="exact" w:before="39"/>
              <w:ind w:right="90"/>
              <w:jc w:val="center"/>
              <w:rPr>
                <w:sz w:val="20"/>
              </w:rPr>
            </w:pPr>
            <w:r>
              <w:rPr>
                <w:spacing w:val="-2"/>
                <w:sz w:val="20"/>
              </w:rPr>
              <w:t>USIRD</w:t>
            </w:r>
          </w:p>
        </w:tc>
        <w:tc>
          <w:tcPr>
            <w:tcW w:w="1828" w:type="dxa"/>
            <w:tcBorders>
              <w:top w:val="double" w:sz="6" w:space="0" w:color="000000"/>
            </w:tcBorders>
          </w:tcPr>
          <w:p>
            <w:pPr>
              <w:pStyle w:val="TableParagraph"/>
              <w:spacing w:line="215" w:lineRule="exact" w:before="39"/>
              <w:ind w:right="228"/>
              <w:jc w:val="center"/>
              <w:rPr>
                <w:sz w:val="20"/>
              </w:rPr>
            </w:pPr>
            <w:r>
              <w:rPr>
                <w:spacing w:val="-4"/>
                <w:sz w:val="20"/>
              </w:rPr>
              <w:t>GOCE</w:t>
            </w:r>
          </w:p>
        </w:tc>
      </w:tr>
      <w:tr>
        <w:trPr>
          <w:trHeight w:val="230" w:hRule="atLeast"/>
        </w:trPr>
        <w:tc>
          <w:tcPr>
            <w:tcW w:w="1127" w:type="dxa"/>
          </w:tcPr>
          <w:p>
            <w:pPr>
              <w:pStyle w:val="TableParagraph"/>
              <w:spacing w:line="210" w:lineRule="exact"/>
              <w:ind w:left="59"/>
              <w:jc w:val="center"/>
              <w:rPr>
                <w:sz w:val="20"/>
              </w:rPr>
            </w:pPr>
            <w:r>
              <w:rPr>
                <w:spacing w:val="-2"/>
                <w:sz w:val="20"/>
              </w:rPr>
              <w:t>1.000000</w:t>
            </w:r>
          </w:p>
        </w:tc>
        <w:tc>
          <w:tcPr>
            <w:tcW w:w="1225" w:type="dxa"/>
          </w:tcPr>
          <w:p>
            <w:pPr>
              <w:pStyle w:val="TableParagraph"/>
              <w:spacing w:line="210" w:lineRule="exact"/>
              <w:ind w:left="51" w:right="2"/>
              <w:jc w:val="center"/>
              <w:rPr>
                <w:sz w:val="20"/>
              </w:rPr>
            </w:pPr>
            <w:r>
              <w:rPr>
                <w:spacing w:val="-2"/>
                <w:sz w:val="20"/>
              </w:rPr>
              <w:t>0.000000</w:t>
            </w:r>
          </w:p>
        </w:tc>
        <w:tc>
          <w:tcPr>
            <w:tcW w:w="1045" w:type="dxa"/>
          </w:tcPr>
          <w:p>
            <w:pPr>
              <w:pStyle w:val="TableParagraph"/>
              <w:spacing w:line="210" w:lineRule="exact"/>
              <w:ind w:left="49" w:right="23"/>
              <w:jc w:val="center"/>
              <w:rPr>
                <w:sz w:val="20"/>
              </w:rPr>
            </w:pPr>
            <w:r>
              <w:rPr>
                <w:spacing w:val="-2"/>
                <w:sz w:val="20"/>
              </w:rPr>
              <w:t>0.000000</w:t>
            </w:r>
          </w:p>
        </w:tc>
        <w:tc>
          <w:tcPr>
            <w:tcW w:w="983" w:type="dxa"/>
          </w:tcPr>
          <w:p>
            <w:pPr>
              <w:pStyle w:val="TableParagraph"/>
              <w:spacing w:line="210" w:lineRule="exact"/>
              <w:ind w:left="78" w:right="39"/>
              <w:jc w:val="center"/>
              <w:rPr>
                <w:sz w:val="20"/>
              </w:rPr>
            </w:pPr>
            <w:r>
              <w:rPr>
                <w:spacing w:val="-2"/>
                <w:sz w:val="20"/>
              </w:rPr>
              <w:t>0.000000</w:t>
            </w:r>
          </w:p>
        </w:tc>
        <w:tc>
          <w:tcPr>
            <w:tcW w:w="946" w:type="dxa"/>
          </w:tcPr>
          <w:p>
            <w:pPr>
              <w:pStyle w:val="TableParagraph"/>
              <w:spacing w:line="210" w:lineRule="exact"/>
              <w:ind w:left="47" w:right="46"/>
              <w:jc w:val="center"/>
              <w:rPr>
                <w:sz w:val="20"/>
              </w:rPr>
            </w:pPr>
            <w:r>
              <w:rPr>
                <w:spacing w:val="-2"/>
                <w:sz w:val="20"/>
              </w:rPr>
              <w:t>0.000000</w:t>
            </w:r>
          </w:p>
        </w:tc>
        <w:tc>
          <w:tcPr>
            <w:tcW w:w="960" w:type="dxa"/>
          </w:tcPr>
          <w:p>
            <w:pPr>
              <w:pStyle w:val="TableParagraph"/>
              <w:spacing w:line="210" w:lineRule="exact"/>
              <w:ind w:left="49" w:right="59"/>
              <w:jc w:val="center"/>
              <w:rPr>
                <w:sz w:val="20"/>
              </w:rPr>
            </w:pPr>
            <w:r>
              <w:rPr>
                <w:spacing w:val="-2"/>
                <w:sz w:val="20"/>
              </w:rPr>
              <w:t>0.000000</w:t>
            </w:r>
          </w:p>
        </w:tc>
        <w:tc>
          <w:tcPr>
            <w:tcW w:w="1246" w:type="dxa"/>
          </w:tcPr>
          <w:p>
            <w:pPr>
              <w:pStyle w:val="TableParagraph"/>
              <w:spacing w:line="210" w:lineRule="exact"/>
              <w:ind w:left="173"/>
              <w:rPr>
                <w:sz w:val="20"/>
              </w:rPr>
            </w:pPr>
            <w:r>
              <w:rPr>
                <w:spacing w:val="-2"/>
                <w:sz w:val="20"/>
              </w:rPr>
              <w:t>0.000000</w:t>
            </w:r>
          </w:p>
        </w:tc>
        <w:tc>
          <w:tcPr>
            <w:tcW w:w="1523" w:type="dxa"/>
          </w:tcPr>
          <w:p>
            <w:pPr>
              <w:pStyle w:val="TableParagraph"/>
              <w:spacing w:line="210" w:lineRule="exact"/>
              <w:ind w:left="55" w:right="90"/>
              <w:jc w:val="center"/>
              <w:rPr>
                <w:sz w:val="20"/>
              </w:rPr>
            </w:pPr>
            <w:r>
              <w:rPr>
                <w:spacing w:val="-2"/>
                <w:sz w:val="20"/>
              </w:rPr>
              <w:t>0.000000</w:t>
            </w:r>
          </w:p>
        </w:tc>
        <w:tc>
          <w:tcPr>
            <w:tcW w:w="1828" w:type="dxa"/>
          </w:tcPr>
          <w:p>
            <w:pPr>
              <w:pStyle w:val="TableParagraph"/>
              <w:spacing w:line="210" w:lineRule="exact"/>
              <w:ind w:right="228"/>
              <w:jc w:val="center"/>
              <w:rPr>
                <w:sz w:val="20"/>
              </w:rPr>
            </w:pPr>
            <w:r>
              <w:rPr>
                <w:spacing w:val="-4"/>
                <w:sz w:val="20"/>
              </w:rPr>
              <w:t>-</w:t>
            </w:r>
            <w:r>
              <w:rPr>
                <w:spacing w:val="-2"/>
                <w:sz w:val="20"/>
              </w:rPr>
              <w:t>0.641641</w:t>
            </w:r>
          </w:p>
        </w:tc>
      </w:tr>
      <w:tr>
        <w:trPr>
          <w:trHeight w:val="225" w:hRule="atLeast"/>
        </w:trPr>
        <w:tc>
          <w:tcPr>
            <w:tcW w:w="1127" w:type="dxa"/>
          </w:tcPr>
          <w:p>
            <w:pPr>
              <w:pStyle w:val="TableParagraph"/>
              <w:rPr>
                <w:sz w:val="16"/>
              </w:rPr>
            </w:pPr>
          </w:p>
        </w:tc>
        <w:tc>
          <w:tcPr>
            <w:tcW w:w="1225" w:type="dxa"/>
          </w:tcPr>
          <w:p>
            <w:pPr>
              <w:pStyle w:val="TableParagraph"/>
              <w:rPr>
                <w:sz w:val="16"/>
              </w:rPr>
            </w:pPr>
          </w:p>
        </w:tc>
        <w:tc>
          <w:tcPr>
            <w:tcW w:w="1045" w:type="dxa"/>
          </w:tcPr>
          <w:p>
            <w:pPr>
              <w:pStyle w:val="TableParagraph"/>
              <w:rPr>
                <w:sz w:val="16"/>
              </w:rPr>
            </w:pPr>
          </w:p>
        </w:tc>
        <w:tc>
          <w:tcPr>
            <w:tcW w:w="983" w:type="dxa"/>
          </w:tcPr>
          <w:p>
            <w:pPr>
              <w:pStyle w:val="TableParagraph"/>
              <w:rPr>
                <w:sz w:val="16"/>
              </w:rPr>
            </w:pPr>
          </w:p>
        </w:tc>
        <w:tc>
          <w:tcPr>
            <w:tcW w:w="946" w:type="dxa"/>
          </w:tcPr>
          <w:p>
            <w:pPr>
              <w:pStyle w:val="TableParagraph"/>
              <w:rPr>
                <w:sz w:val="16"/>
              </w:rPr>
            </w:pPr>
          </w:p>
        </w:tc>
        <w:tc>
          <w:tcPr>
            <w:tcW w:w="960" w:type="dxa"/>
          </w:tcPr>
          <w:p>
            <w:pPr>
              <w:pStyle w:val="TableParagraph"/>
              <w:rPr>
                <w:sz w:val="16"/>
              </w:rPr>
            </w:pPr>
          </w:p>
        </w:tc>
        <w:tc>
          <w:tcPr>
            <w:tcW w:w="1246" w:type="dxa"/>
          </w:tcPr>
          <w:p>
            <w:pPr>
              <w:pStyle w:val="TableParagraph"/>
              <w:rPr>
                <w:sz w:val="16"/>
              </w:rPr>
            </w:pPr>
          </w:p>
        </w:tc>
        <w:tc>
          <w:tcPr>
            <w:tcW w:w="1523" w:type="dxa"/>
          </w:tcPr>
          <w:p>
            <w:pPr>
              <w:pStyle w:val="TableParagraph"/>
              <w:rPr>
                <w:sz w:val="16"/>
              </w:rPr>
            </w:pPr>
          </w:p>
        </w:tc>
        <w:tc>
          <w:tcPr>
            <w:tcW w:w="1828" w:type="dxa"/>
          </w:tcPr>
          <w:p>
            <w:pPr>
              <w:pStyle w:val="TableParagraph"/>
              <w:spacing w:line="205" w:lineRule="exact"/>
              <w:ind w:left="54" w:right="228"/>
              <w:jc w:val="center"/>
              <w:rPr>
                <w:sz w:val="20"/>
              </w:rPr>
            </w:pPr>
            <w:r>
              <w:rPr>
                <w:spacing w:val="-2"/>
                <w:sz w:val="20"/>
              </w:rPr>
              <w:t>(0.62488)</w:t>
            </w:r>
          </w:p>
        </w:tc>
      </w:tr>
    </w:tbl>
    <w:p>
      <w:pPr>
        <w:spacing w:after="0" w:line="205" w:lineRule="exact"/>
        <w:jc w:val="center"/>
        <w:rPr>
          <w:sz w:val="20"/>
        </w:rPr>
        <w:sectPr>
          <w:type w:val="continuous"/>
          <w:pgSz w:w="11910" w:h="16840"/>
          <w:pgMar w:header="0" w:footer="979" w:top="1420" w:bottom="1240" w:left="280" w:right="0"/>
        </w:sectPr>
      </w:pPr>
    </w:p>
    <w:p>
      <w:pPr>
        <w:pStyle w:val="BodyText"/>
        <w:spacing w:before="1"/>
        <w:rPr>
          <w:sz w:val="2"/>
        </w:rPr>
      </w:pPr>
    </w:p>
    <w:tbl>
      <w:tblPr>
        <w:tblW w:w="0" w:type="auto"/>
        <w:jc w:val="left"/>
        <w:tblInd w:w="8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38"/>
        <w:gridCol w:w="1178"/>
        <w:gridCol w:w="1068"/>
        <w:gridCol w:w="983"/>
        <w:gridCol w:w="946"/>
        <w:gridCol w:w="990"/>
        <w:gridCol w:w="1237"/>
        <w:gridCol w:w="1493"/>
        <w:gridCol w:w="1274"/>
      </w:tblGrid>
      <w:tr>
        <w:trPr>
          <w:trHeight w:val="225" w:hRule="atLeast"/>
        </w:trPr>
        <w:tc>
          <w:tcPr>
            <w:tcW w:w="1038" w:type="dxa"/>
          </w:tcPr>
          <w:p>
            <w:pPr>
              <w:pStyle w:val="TableParagraph"/>
              <w:spacing w:line="206" w:lineRule="exact"/>
              <w:ind w:right="76"/>
              <w:jc w:val="center"/>
              <w:rPr>
                <w:sz w:val="20"/>
              </w:rPr>
            </w:pPr>
            <w:r>
              <w:rPr>
                <w:spacing w:val="-2"/>
                <w:sz w:val="20"/>
              </w:rPr>
              <w:t>0.000000</w:t>
            </w:r>
          </w:p>
        </w:tc>
        <w:tc>
          <w:tcPr>
            <w:tcW w:w="1178" w:type="dxa"/>
          </w:tcPr>
          <w:p>
            <w:pPr>
              <w:pStyle w:val="TableParagraph"/>
              <w:spacing w:line="206" w:lineRule="exact"/>
              <w:ind w:left="50" w:right="3"/>
              <w:jc w:val="center"/>
              <w:rPr>
                <w:sz w:val="20"/>
              </w:rPr>
            </w:pPr>
            <w:r>
              <w:rPr>
                <w:spacing w:val="-2"/>
                <w:sz w:val="20"/>
              </w:rPr>
              <w:t>1.000000</w:t>
            </w:r>
          </w:p>
        </w:tc>
        <w:tc>
          <w:tcPr>
            <w:tcW w:w="1068" w:type="dxa"/>
          </w:tcPr>
          <w:p>
            <w:pPr>
              <w:pStyle w:val="TableParagraph"/>
              <w:spacing w:line="206" w:lineRule="exact"/>
              <w:ind w:left="48"/>
              <w:jc w:val="center"/>
              <w:rPr>
                <w:sz w:val="20"/>
              </w:rPr>
            </w:pPr>
            <w:r>
              <w:rPr>
                <w:spacing w:val="-2"/>
                <w:sz w:val="20"/>
              </w:rPr>
              <w:t>0.000000</w:t>
            </w:r>
          </w:p>
        </w:tc>
        <w:tc>
          <w:tcPr>
            <w:tcW w:w="983" w:type="dxa"/>
          </w:tcPr>
          <w:p>
            <w:pPr>
              <w:pStyle w:val="TableParagraph"/>
              <w:spacing w:line="206" w:lineRule="exact"/>
              <w:ind w:left="78" w:right="40"/>
              <w:jc w:val="center"/>
              <w:rPr>
                <w:sz w:val="20"/>
              </w:rPr>
            </w:pPr>
            <w:r>
              <w:rPr>
                <w:spacing w:val="-2"/>
                <w:sz w:val="20"/>
              </w:rPr>
              <w:t>0.000000</w:t>
            </w:r>
          </w:p>
        </w:tc>
        <w:tc>
          <w:tcPr>
            <w:tcW w:w="946" w:type="dxa"/>
          </w:tcPr>
          <w:p>
            <w:pPr>
              <w:pStyle w:val="TableParagraph"/>
              <w:spacing w:line="206" w:lineRule="exact"/>
              <w:ind w:left="46" w:right="46"/>
              <w:jc w:val="center"/>
              <w:rPr>
                <w:sz w:val="20"/>
              </w:rPr>
            </w:pPr>
            <w:r>
              <w:rPr>
                <w:spacing w:val="-2"/>
                <w:sz w:val="20"/>
              </w:rPr>
              <w:t>0.000000</w:t>
            </w:r>
          </w:p>
        </w:tc>
        <w:tc>
          <w:tcPr>
            <w:tcW w:w="990" w:type="dxa"/>
          </w:tcPr>
          <w:p>
            <w:pPr>
              <w:pStyle w:val="TableParagraph"/>
              <w:spacing w:line="206" w:lineRule="exact"/>
              <w:ind w:right="41"/>
              <w:jc w:val="center"/>
              <w:rPr>
                <w:sz w:val="20"/>
              </w:rPr>
            </w:pPr>
            <w:r>
              <w:rPr>
                <w:spacing w:val="-2"/>
                <w:sz w:val="20"/>
              </w:rPr>
              <w:t>0.000000</w:t>
            </w:r>
          </w:p>
        </w:tc>
        <w:tc>
          <w:tcPr>
            <w:tcW w:w="1237" w:type="dxa"/>
          </w:tcPr>
          <w:p>
            <w:pPr>
              <w:pStyle w:val="TableParagraph"/>
              <w:spacing w:line="206" w:lineRule="exact"/>
              <w:ind w:left="143"/>
              <w:rPr>
                <w:sz w:val="20"/>
              </w:rPr>
            </w:pPr>
            <w:r>
              <w:rPr>
                <w:spacing w:val="-2"/>
                <w:sz w:val="20"/>
              </w:rPr>
              <w:t>0.000000</w:t>
            </w:r>
          </w:p>
        </w:tc>
        <w:tc>
          <w:tcPr>
            <w:tcW w:w="1493" w:type="dxa"/>
          </w:tcPr>
          <w:p>
            <w:pPr>
              <w:pStyle w:val="TableParagraph"/>
              <w:spacing w:line="206" w:lineRule="exact"/>
              <w:ind w:right="48"/>
              <w:jc w:val="center"/>
              <w:rPr>
                <w:sz w:val="20"/>
              </w:rPr>
            </w:pPr>
            <w:r>
              <w:rPr>
                <w:spacing w:val="-2"/>
                <w:sz w:val="20"/>
              </w:rPr>
              <w:t>0.000000</w:t>
            </w:r>
          </w:p>
        </w:tc>
        <w:tc>
          <w:tcPr>
            <w:tcW w:w="1274" w:type="dxa"/>
          </w:tcPr>
          <w:p>
            <w:pPr>
              <w:pStyle w:val="TableParagraph"/>
              <w:spacing w:line="206" w:lineRule="exact"/>
              <w:ind w:right="63"/>
              <w:jc w:val="right"/>
              <w:rPr>
                <w:sz w:val="20"/>
              </w:rPr>
            </w:pPr>
            <w:r>
              <w:rPr>
                <w:spacing w:val="-2"/>
                <w:sz w:val="20"/>
              </w:rPr>
              <w:t>1.332172</w:t>
            </w:r>
          </w:p>
        </w:tc>
      </w:tr>
      <w:tr>
        <w:trPr>
          <w:trHeight w:val="229" w:hRule="atLeast"/>
        </w:trPr>
        <w:tc>
          <w:tcPr>
            <w:tcW w:w="1038" w:type="dxa"/>
          </w:tcPr>
          <w:p>
            <w:pPr>
              <w:pStyle w:val="TableParagraph"/>
              <w:rPr>
                <w:sz w:val="16"/>
              </w:rPr>
            </w:pPr>
          </w:p>
        </w:tc>
        <w:tc>
          <w:tcPr>
            <w:tcW w:w="1178" w:type="dxa"/>
          </w:tcPr>
          <w:p>
            <w:pPr>
              <w:pStyle w:val="TableParagraph"/>
              <w:rPr>
                <w:sz w:val="16"/>
              </w:rPr>
            </w:pPr>
          </w:p>
        </w:tc>
        <w:tc>
          <w:tcPr>
            <w:tcW w:w="1068" w:type="dxa"/>
          </w:tcPr>
          <w:p>
            <w:pPr>
              <w:pStyle w:val="TableParagraph"/>
              <w:rPr>
                <w:sz w:val="16"/>
              </w:rPr>
            </w:pPr>
          </w:p>
        </w:tc>
        <w:tc>
          <w:tcPr>
            <w:tcW w:w="983" w:type="dxa"/>
          </w:tcPr>
          <w:p>
            <w:pPr>
              <w:pStyle w:val="TableParagraph"/>
              <w:rPr>
                <w:sz w:val="16"/>
              </w:rPr>
            </w:pPr>
          </w:p>
        </w:tc>
        <w:tc>
          <w:tcPr>
            <w:tcW w:w="946" w:type="dxa"/>
          </w:tcPr>
          <w:p>
            <w:pPr>
              <w:pStyle w:val="TableParagraph"/>
              <w:rPr>
                <w:sz w:val="16"/>
              </w:rPr>
            </w:pPr>
          </w:p>
        </w:tc>
        <w:tc>
          <w:tcPr>
            <w:tcW w:w="990" w:type="dxa"/>
          </w:tcPr>
          <w:p>
            <w:pPr>
              <w:pStyle w:val="TableParagraph"/>
              <w:rPr>
                <w:sz w:val="16"/>
              </w:rPr>
            </w:pPr>
          </w:p>
        </w:tc>
        <w:tc>
          <w:tcPr>
            <w:tcW w:w="1237" w:type="dxa"/>
          </w:tcPr>
          <w:p>
            <w:pPr>
              <w:pStyle w:val="TableParagraph"/>
              <w:rPr>
                <w:sz w:val="16"/>
              </w:rPr>
            </w:pPr>
          </w:p>
        </w:tc>
        <w:tc>
          <w:tcPr>
            <w:tcW w:w="1493" w:type="dxa"/>
          </w:tcPr>
          <w:p>
            <w:pPr>
              <w:pStyle w:val="TableParagraph"/>
              <w:rPr>
                <w:sz w:val="16"/>
              </w:rPr>
            </w:pPr>
          </w:p>
        </w:tc>
        <w:tc>
          <w:tcPr>
            <w:tcW w:w="1274" w:type="dxa"/>
          </w:tcPr>
          <w:p>
            <w:pPr>
              <w:pStyle w:val="TableParagraph"/>
              <w:spacing w:line="209" w:lineRule="exact"/>
              <w:ind w:right="46"/>
              <w:jc w:val="right"/>
              <w:rPr>
                <w:sz w:val="20"/>
              </w:rPr>
            </w:pPr>
            <w:r>
              <w:rPr>
                <w:spacing w:val="-2"/>
                <w:sz w:val="20"/>
              </w:rPr>
              <w:t>(4.35143)</w:t>
            </w:r>
          </w:p>
        </w:tc>
      </w:tr>
      <w:tr>
        <w:trPr>
          <w:trHeight w:val="229" w:hRule="atLeast"/>
        </w:trPr>
        <w:tc>
          <w:tcPr>
            <w:tcW w:w="1038" w:type="dxa"/>
          </w:tcPr>
          <w:p>
            <w:pPr>
              <w:pStyle w:val="TableParagraph"/>
              <w:spacing w:line="209" w:lineRule="exact"/>
              <w:ind w:right="76"/>
              <w:jc w:val="center"/>
              <w:rPr>
                <w:sz w:val="20"/>
              </w:rPr>
            </w:pPr>
            <w:r>
              <w:rPr>
                <w:spacing w:val="-2"/>
                <w:sz w:val="20"/>
              </w:rPr>
              <w:t>0.000000</w:t>
            </w:r>
          </w:p>
        </w:tc>
        <w:tc>
          <w:tcPr>
            <w:tcW w:w="1178" w:type="dxa"/>
          </w:tcPr>
          <w:p>
            <w:pPr>
              <w:pStyle w:val="TableParagraph"/>
              <w:spacing w:line="209" w:lineRule="exact"/>
              <w:ind w:left="50" w:right="3"/>
              <w:jc w:val="center"/>
              <w:rPr>
                <w:sz w:val="20"/>
              </w:rPr>
            </w:pPr>
            <w:r>
              <w:rPr>
                <w:spacing w:val="-2"/>
                <w:sz w:val="20"/>
              </w:rPr>
              <w:t>0.000000</w:t>
            </w:r>
          </w:p>
        </w:tc>
        <w:tc>
          <w:tcPr>
            <w:tcW w:w="1068" w:type="dxa"/>
          </w:tcPr>
          <w:p>
            <w:pPr>
              <w:pStyle w:val="TableParagraph"/>
              <w:spacing w:line="209" w:lineRule="exact"/>
              <w:ind w:left="48"/>
              <w:jc w:val="center"/>
              <w:rPr>
                <w:sz w:val="20"/>
              </w:rPr>
            </w:pPr>
            <w:r>
              <w:rPr>
                <w:spacing w:val="-2"/>
                <w:sz w:val="20"/>
              </w:rPr>
              <w:t>1.000000</w:t>
            </w:r>
          </w:p>
        </w:tc>
        <w:tc>
          <w:tcPr>
            <w:tcW w:w="983" w:type="dxa"/>
          </w:tcPr>
          <w:p>
            <w:pPr>
              <w:pStyle w:val="TableParagraph"/>
              <w:spacing w:line="209" w:lineRule="exact"/>
              <w:ind w:left="78" w:right="40"/>
              <w:jc w:val="center"/>
              <w:rPr>
                <w:sz w:val="20"/>
              </w:rPr>
            </w:pPr>
            <w:r>
              <w:rPr>
                <w:spacing w:val="-2"/>
                <w:sz w:val="20"/>
              </w:rPr>
              <w:t>0.000000</w:t>
            </w:r>
          </w:p>
        </w:tc>
        <w:tc>
          <w:tcPr>
            <w:tcW w:w="946" w:type="dxa"/>
          </w:tcPr>
          <w:p>
            <w:pPr>
              <w:pStyle w:val="TableParagraph"/>
              <w:spacing w:line="209" w:lineRule="exact"/>
              <w:ind w:left="46" w:right="46"/>
              <w:jc w:val="center"/>
              <w:rPr>
                <w:sz w:val="20"/>
              </w:rPr>
            </w:pPr>
            <w:r>
              <w:rPr>
                <w:spacing w:val="-2"/>
                <w:sz w:val="20"/>
              </w:rPr>
              <w:t>0.000000</w:t>
            </w:r>
          </w:p>
        </w:tc>
        <w:tc>
          <w:tcPr>
            <w:tcW w:w="990" w:type="dxa"/>
          </w:tcPr>
          <w:p>
            <w:pPr>
              <w:pStyle w:val="TableParagraph"/>
              <w:spacing w:line="209" w:lineRule="exact"/>
              <w:ind w:right="41"/>
              <w:jc w:val="center"/>
              <w:rPr>
                <w:sz w:val="20"/>
              </w:rPr>
            </w:pPr>
            <w:r>
              <w:rPr>
                <w:spacing w:val="-2"/>
                <w:sz w:val="20"/>
              </w:rPr>
              <w:t>0.000000</w:t>
            </w:r>
          </w:p>
        </w:tc>
        <w:tc>
          <w:tcPr>
            <w:tcW w:w="1237" w:type="dxa"/>
          </w:tcPr>
          <w:p>
            <w:pPr>
              <w:pStyle w:val="TableParagraph"/>
              <w:spacing w:line="209" w:lineRule="exact"/>
              <w:ind w:left="143"/>
              <w:rPr>
                <w:sz w:val="20"/>
              </w:rPr>
            </w:pPr>
            <w:r>
              <w:rPr>
                <w:spacing w:val="-2"/>
                <w:sz w:val="20"/>
              </w:rPr>
              <w:t>0.000000</w:t>
            </w:r>
          </w:p>
        </w:tc>
        <w:tc>
          <w:tcPr>
            <w:tcW w:w="1493" w:type="dxa"/>
          </w:tcPr>
          <w:p>
            <w:pPr>
              <w:pStyle w:val="TableParagraph"/>
              <w:spacing w:line="209" w:lineRule="exact"/>
              <w:ind w:right="48"/>
              <w:jc w:val="center"/>
              <w:rPr>
                <w:sz w:val="20"/>
              </w:rPr>
            </w:pPr>
            <w:r>
              <w:rPr>
                <w:spacing w:val="-2"/>
                <w:sz w:val="20"/>
              </w:rPr>
              <w:t>0.000000</w:t>
            </w:r>
          </w:p>
        </w:tc>
        <w:tc>
          <w:tcPr>
            <w:tcW w:w="1274" w:type="dxa"/>
          </w:tcPr>
          <w:p>
            <w:pPr>
              <w:pStyle w:val="TableParagraph"/>
              <w:spacing w:line="209" w:lineRule="exact"/>
              <w:ind w:right="63"/>
              <w:jc w:val="right"/>
              <w:rPr>
                <w:sz w:val="20"/>
              </w:rPr>
            </w:pPr>
            <w:r>
              <w:rPr>
                <w:spacing w:val="-2"/>
                <w:sz w:val="20"/>
              </w:rPr>
              <w:t>0.038649</w:t>
            </w:r>
          </w:p>
        </w:tc>
      </w:tr>
      <w:tr>
        <w:trPr>
          <w:trHeight w:val="230" w:hRule="atLeast"/>
        </w:trPr>
        <w:tc>
          <w:tcPr>
            <w:tcW w:w="1038" w:type="dxa"/>
          </w:tcPr>
          <w:p>
            <w:pPr>
              <w:pStyle w:val="TableParagraph"/>
              <w:rPr>
                <w:sz w:val="16"/>
              </w:rPr>
            </w:pPr>
          </w:p>
        </w:tc>
        <w:tc>
          <w:tcPr>
            <w:tcW w:w="1178" w:type="dxa"/>
          </w:tcPr>
          <w:p>
            <w:pPr>
              <w:pStyle w:val="TableParagraph"/>
              <w:rPr>
                <w:sz w:val="16"/>
              </w:rPr>
            </w:pPr>
          </w:p>
        </w:tc>
        <w:tc>
          <w:tcPr>
            <w:tcW w:w="1068" w:type="dxa"/>
          </w:tcPr>
          <w:p>
            <w:pPr>
              <w:pStyle w:val="TableParagraph"/>
              <w:rPr>
                <w:sz w:val="16"/>
              </w:rPr>
            </w:pPr>
          </w:p>
        </w:tc>
        <w:tc>
          <w:tcPr>
            <w:tcW w:w="983" w:type="dxa"/>
          </w:tcPr>
          <w:p>
            <w:pPr>
              <w:pStyle w:val="TableParagraph"/>
              <w:rPr>
                <w:sz w:val="16"/>
              </w:rPr>
            </w:pPr>
          </w:p>
        </w:tc>
        <w:tc>
          <w:tcPr>
            <w:tcW w:w="946" w:type="dxa"/>
          </w:tcPr>
          <w:p>
            <w:pPr>
              <w:pStyle w:val="TableParagraph"/>
              <w:rPr>
                <w:sz w:val="16"/>
              </w:rPr>
            </w:pPr>
          </w:p>
        </w:tc>
        <w:tc>
          <w:tcPr>
            <w:tcW w:w="990" w:type="dxa"/>
          </w:tcPr>
          <w:p>
            <w:pPr>
              <w:pStyle w:val="TableParagraph"/>
              <w:rPr>
                <w:sz w:val="16"/>
              </w:rPr>
            </w:pPr>
          </w:p>
        </w:tc>
        <w:tc>
          <w:tcPr>
            <w:tcW w:w="1237" w:type="dxa"/>
          </w:tcPr>
          <w:p>
            <w:pPr>
              <w:pStyle w:val="TableParagraph"/>
              <w:rPr>
                <w:sz w:val="16"/>
              </w:rPr>
            </w:pPr>
          </w:p>
        </w:tc>
        <w:tc>
          <w:tcPr>
            <w:tcW w:w="1493" w:type="dxa"/>
          </w:tcPr>
          <w:p>
            <w:pPr>
              <w:pStyle w:val="TableParagraph"/>
              <w:rPr>
                <w:sz w:val="16"/>
              </w:rPr>
            </w:pPr>
          </w:p>
        </w:tc>
        <w:tc>
          <w:tcPr>
            <w:tcW w:w="1274" w:type="dxa"/>
          </w:tcPr>
          <w:p>
            <w:pPr>
              <w:pStyle w:val="TableParagraph"/>
              <w:spacing w:line="210" w:lineRule="exact"/>
              <w:ind w:right="46"/>
              <w:jc w:val="right"/>
              <w:rPr>
                <w:sz w:val="20"/>
              </w:rPr>
            </w:pPr>
            <w:r>
              <w:rPr>
                <w:spacing w:val="-2"/>
                <w:sz w:val="20"/>
              </w:rPr>
              <w:t>(0.12373)</w:t>
            </w:r>
          </w:p>
        </w:tc>
      </w:tr>
      <w:tr>
        <w:trPr>
          <w:trHeight w:val="230" w:hRule="atLeast"/>
        </w:trPr>
        <w:tc>
          <w:tcPr>
            <w:tcW w:w="1038" w:type="dxa"/>
          </w:tcPr>
          <w:p>
            <w:pPr>
              <w:pStyle w:val="TableParagraph"/>
              <w:spacing w:line="210" w:lineRule="exact"/>
              <w:ind w:right="76"/>
              <w:jc w:val="center"/>
              <w:rPr>
                <w:sz w:val="20"/>
              </w:rPr>
            </w:pPr>
            <w:r>
              <w:rPr>
                <w:spacing w:val="-2"/>
                <w:sz w:val="20"/>
              </w:rPr>
              <w:t>0.000000</w:t>
            </w:r>
          </w:p>
        </w:tc>
        <w:tc>
          <w:tcPr>
            <w:tcW w:w="1178" w:type="dxa"/>
          </w:tcPr>
          <w:p>
            <w:pPr>
              <w:pStyle w:val="TableParagraph"/>
              <w:spacing w:line="210" w:lineRule="exact"/>
              <w:ind w:left="50" w:right="3"/>
              <w:jc w:val="center"/>
              <w:rPr>
                <w:sz w:val="20"/>
              </w:rPr>
            </w:pPr>
            <w:r>
              <w:rPr>
                <w:spacing w:val="-2"/>
                <w:sz w:val="20"/>
              </w:rPr>
              <w:t>0.000000</w:t>
            </w:r>
          </w:p>
        </w:tc>
        <w:tc>
          <w:tcPr>
            <w:tcW w:w="1068" w:type="dxa"/>
          </w:tcPr>
          <w:p>
            <w:pPr>
              <w:pStyle w:val="TableParagraph"/>
              <w:spacing w:line="210" w:lineRule="exact"/>
              <w:ind w:left="48"/>
              <w:jc w:val="center"/>
              <w:rPr>
                <w:sz w:val="20"/>
              </w:rPr>
            </w:pPr>
            <w:r>
              <w:rPr>
                <w:spacing w:val="-2"/>
                <w:sz w:val="20"/>
              </w:rPr>
              <w:t>0.000000</w:t>
            </w:r>
          </w:p>
        </w:tc>
        <w:tc>
          <w:tcPr>
            <w:tcW w:w="983" w:type="dxa"/>
          </w:tcPr>
          <w:p>
            <w:pPr>
              <w:pStyle w:val="TableParagraph"/>
              <w:spacing w:line="210" w:lineRule="exact"/>
              <w:ind w:left="78" w:right="40"/>
              <w:jc w:val="center"/>
              <w:rPr>
                <w:sz w:val="20"/>
              </w:rPr>
            </w:pPr>
            <w:r>
              <w:rPr>
                <w:spacing w:val="-2"/>
                <w:sz w:val="20"/>
              </w:rPr>
              <w:t>1.000000</w:t>
            </w:r>
          </w:p>
        </w:tc>
        <w:tc>
          <w:tcPr>
            <w:tcW w:w="946" w:type="dxa"/>
          </w:tcPr>
          <w:p>
            <w:pPr>
              <w:pStyle w:val="TableParagraph"/>
              <w:spacing w:line="210" w:lineRule="exact"/>
              <w:ind w:left="46" w:right="46"/>
              <w:jc w:val="center"/>
              <w:rPr>
                <w:sz w:val="20"/>
              </w:rPr>
            </w:pPr>
            <w:r>
              <w:rPr>
                <w:spacing w:val="-2"/>
                <w:sz w:val="20"/>
              </w:rPr>
              <w:t>0.000000</w:t>
            </w:r>
          </w:p>
        </w:tc>
        <w:tc>
          <w:tcPr>
            <w:tcW w:w="990" w:type="dxa"/>
          </w:tcPr>
          <w:p>
            <w:pPr>
              <w:pStyle w:val="TableParagraph"/>
              <w:spacing w:line="210" w:lineRule="exact"/>
              <w:ind w:right="41"/>
              <w:jc w:val="center"/>
              <w:rPr>
                <w:sz w:val="20"/>
              </w:rPr>
            </w:pPr>
            <w:r>
              <w:rPr>
                <w:spacing w:val="-2"/>
                <w:sz w:val="20"/>
              </w:rPr>
              <w:t>0.000000</w:t>
            </w:r>
          </w:p>
        </w:tc>
        <w:tc>
          <w:tcPr>
            <w:tcW w:w="1237" w:type="dxa"/>
          </w:tcPr>
          <w:p>
            <w:pPr>
              <w:pStyle w:val="TableParagraph"/>
              <w:spacing w:line="210" w:lineRule="exact"/>
              <w:ind w:left="143"/>
              <w:rPr>
                <w:sz w:val="20"/>
              </w:rPr>
            </w:pPr>
            <w:r>
              <w:rPr>
                <w:spacing w:val="-2"/>
                <w:sz w:val="20"/>
              </w:rPr>
              <w:t>0.000000</w:t>
            </w:r>
          </w:p>
        </w:tc>
        <w:tc>
          <w:tcPr>
            <w:tcW w:w="1493" w:type="dxa"/>
          </w:tcPr>
          <w:p>
            <w:pPr>
              <w:pStyle w:val="TableParagraph"/>
              <w:spacing w:line="210" w:lineRule="exact"/>
              <w:ind w:right="48"/>
              <w:jc w:val="center"/>
              <w:rPr>
                <w:sz w:val="20"/>
              </w:rPr>
            </w:pPr>
            <w:r>
              <w:rPr>
                <w:spacing w:val="-2"/>
                <w:sz w:val="20"/>
              </w:rPr>
              <w:t>0.000000</w:t>
            </w:r>
          </w:p>
        </w:tc>
        <w:tc>
          <w:tcPr>
            <w:tcW w:w="1274" w:type="dxa"/>
          </w:tcPr>
          <w:p>
            <w:pPr>
              <w:pStyle w:val="TableParagraph"/>
              <w:spacing w:line="210" w:lineRule="exact"/>
              <w:ind w:right="63"/>
              <w:jc w:val="right"/>
              <w:rPr>
                <w:sz w:val="20"/>
              </w:rPr>
            </w:pPr>
            <w:r>
              <w:rPr>
                <w:spacing w:val="-2"/>
                <w:sz w:val="20"/>
              </w:rPr>
              <w:t>0.771757</w:t>
            </w:r>
          </w:p>
        </w:tc>
      </w:tr>
      <w:tr>
        <w:trPr>
          <w:trHeight w:val="230" w:hRule="atLeast"/>
        </w:trPr>
        <w:tc>
          <w:tcPr>
            <w:tcW w:w="1038" w:type="dxa"/>
          </w:tcPr>
          <w:p>
            <w:pPr>
              <w:pStyle w:val="TableParagraph"/>
              <w:rPr>
                <w:sz w:val="16"/>
              </w:rPr>
            </w:pPr>
          </w:p>
        </w:tc>
        <w:tc>
          <w:tcPr>
            <w:tcW w:w="1178" w:type="dxa"/>
          </w:tcPr>
          <w:p>
            <w:pPr>
              <w:pStyle w:val="TableParagraph"/>
              <w:rPr>
                <w:sz w:val="16"/>
              </w:rPr>
            </w:pPr>
          </w:p>
        </w:tc>
        <w:tc>
          <w:tcPr>
            <w:tcW w:w="1068" w:type="dxa"/>
          </w:tcPr>
          <w:p>
            <w:pPr>
              <w:pStyle w:val="TableParagraph"/>
              <w:rPr>
                <w:sz w:val="16"/>
              </w:rPr>
            </w:pPr>
          </w:p>
        </w:tc>
        <w:tc>
          <w:tcPr>
            <w:tcW w:w="983" w:type="dxa"/>
          </w:tcPr>
          <w:p>
            <w:pPr>
              <w:pStyle w:val="TableParagraph"/>
              <w:rPr>
                <w:sz w:val="16"/>
              </w:rPr>
            </w:pPr>
          </w:p>
        </w:tc>
        <w:tc>
          <w:tcPr>
            <w:tcW w:w="946" w:type="dxa"/>
          </w:tcPr>
          <w:p>
            <w:pPr>
              <w:pStyle w:val="TableParagraph"/>
              <w:rPr>
                <w:sz w:val="16"/>
              </w:rPr>
            </w:pPr>
          </w:p>
        </w:tc>
        <w:tc>
          <w:tcPr>
            <w:tcW w:w="990" w:type="dxa"/>
          </w:tcPr>
          <w:p>
            <w:pPr>
              <w:pStyle w:val="TableParagraph"/>
              <w:rPr>
                <w:sz w:val="16"/>
              </w:rPr>
            </w:pPr>
          </w:p>
        </w:tc>
        <w:tc>
          <w:tcPr>
            <w:tcW w:w="1237" w:type="dxa"/>
          </w:tcPr>
          <w:p>
            <w:pPr>
              <w:pStyle w:val="TableParagraph"/>
              <w:rPr>
                <w:sz w:val="16"/>
              </w:rPr>
            </w:pPr>
          </w:p>
        </w:tc>
        <w:tc>
          <w:tcPr>
            <w:tcW w:w="1493" w:type="dxa"/>
          </w:tcPr>
          <w:p>
            <w:pPr>
              <w:pStyle w:val="TableParagraph"/>
              <w:rPr>
                <w:sz w:val="16"/>
              </w:rPr>
            </w:pPr>
          </w:p>
        </w:tc>
        <w:tc>
          <w:tcPr>
            <w:tcW w:w="1274" w:type="dxa"/>
          </w:tcPr>
          <w:p>
            <w:pPr>
              <w:pStyle w:val="TableParagraph"/>
              <w:spacing w:line="210" w:lineRule="exact"/>
              <w:ind w:right="46"/>
              <w:jc w:val="right"/>
              <w:rPr>
                <w:sz w:val="20"/>
              </w:rPr>
            </w:pPr>
            <w:r>
              <w:rPr>
                <w:spacing w:val="-2"/>
                <w:sz w:val="20"/>
              </w:rPr>
              <w:t>(1.05829)</w:t>
            </w:r>
          </w:p>
        </w:tc>
      </w:tr>
      <w:tr>
        <w:trPr>
          <w:trHeight w:val="230" w:hRule="atLeast"/>
        </w:trPr>
        <w:tc>
          <w:tcPr>
            <w:tcW w:w="1038" w:type="dxa"/>
          </w:tcPr>
          <w:p>
            <w:pPr>
              <w:pStyle w:val="TableParagraph"/>
              <w:spacing w:line="210" w:lineRule="exact"/>
              <w:ind w:right="76"/>
              <w:jc w:val="center"/>
              <w:rPr>
                <w:sz w:val="20"/>
              </w:rPr>
            </w:pPr>
            <w:r>
              <w:rPr>
                <w:spacing w:val="-2"/>
                <w:sz w:val="20"/>
              </w:rPr>
              <w:t>0.000000</w:t>
            </w:r>
          </w:p>
        </w:tc>
        <w:tc>
          <w:tcPr>
            <w:tcW w:w="1178" w:type="dxa"/>
          </w:tcPr>
          <w:p>
            <w:pPr>
              <w:pStyle w:val="TableParagraph"/>
              <w:spacing w:line="210" w:lineRule="exact"/>
              <w:ind w:left="50" w:right="3"/>
              <w:jc w:val="center"/>
              <w:rPr>
                <w:sz w:val="20"/>
              </w:rPr>
            </w:pPr>
            <w:r>
              <w:rPr>
                <w:spacing w:val="-2"/>
                <w:sz w:val="20"/>
              </w:rPr>
              <w:t>0.000000</w:t>
            </w:r>
          </w:p>
        </w:tc>
        <w:tc>
          <w:tcPr>
            <w:tcW w:w="1068" w:type="dxa"/>
          </w:tcPr>
          <w:p>
            <w:pPr>
              <w:pStyle w:val="TableParagraph"/>
              <w:spacing w:line="210" w:lineRule="exact"/>
              <w:ind w:left="48"/>
              <w:jc w:val="center"/>
              <w:rPr>
                <w:sz w:val="20"/>
              </w:rPr>
            </w:pPr>
            <w:r>
              <w:rPr>
                <w:spacing w:val="-2"/>
                <w:sz w:val="20"/>
              </w:rPr>
              <w:t>0.000000</w:t>
            </w:r>
          </w:p>
        </w:tc>
        <w:tc>
          <w:tcPr>
            <w:tcW w:w="983" w:type="dxa"/>
          </w:tcPr>
          <w:p>
            <w:pPr>
              <w:pStyle w:val="TableParagraph"/>
              <w:spacing w:line="210" w:lineRule="exact"/>
              <w:ind w:left="78" w:right="40"/>
              <w:jc w:val="center"/>
              <w:rPr>
                <w:sz w:val="20"/>
              </w:rPr>
            </w:pPr>
            <w:r>
              <w:rPr>
                <w:spacing w:val="-2"/>
                <w:sz w:val="20"/>
              </w:rPr>
              <w:t>0.000000</w:t>
            </w:r>
          </w:p>
        </w:tc>
        <w:tc>
          <w:tcPr>
            <w:tcW w:w="946" w:type="dxa"/>
          </w:tcPr>
          <w:p>
            <w:pPr>
              <w:pStyle w:val="TableParagraph"/>
              <w:spacing w:line="210" w:lineRule="exact"/>
              <w:ind w:left="46" w:right="46"/>
              <w:jc w:val="center"/>
              <w:rPr>
                <w:sz w:val="20"/>
              </w:rPr>
            </w:pPr>
            <w:r>
              <w:rPr>
                <w:spacing w:val="-2"/>
                <w:sz w:val="20"/>
              </w:rPr>
              <w:t>1.000000</w:t>
            </w:r>
          </w:p>
        </w:tc>
        <w:tc>
          <w:tcPr>
            <w:tcW w:w="990" w:type="dxa"/>
          </w:tcPr>
          <w:p>
            <w:pPr>
              <w:pStyle w:val="TableParagraph"/>
              <w:spacing w:line="210" w:lineRule="exact"/>
              <w:ind w:right="41"/>
              <w:jc w:val="center"/>
              <w:rPr>
                <w:sz w:val="20"/>
              </w:rPr>
            </w:pPr>
            <w:r>
              <w:rPr>
                <w:spacing w:val="-2"/>
                <w:sz w:val="20"/>
              </w:rPr>
              <w:t>0.000000</w:t>
            </w:r>
          </w:p>
        </w:tc>
        <w:tc>
          <w:tcPr>
            <w:tcW w:w="1237" w:type="dxa"/>
          </w:tcPr>
          <w:p>
            <w:pPr>
              <w:pStyle w:val="TableParagraph"/>
              <w:spacing w:line="210" w:lineRule="exact"/>
              <w:ind w:left="143"/>
              <w:rPr>
                <w:sz w:val="20"/>
              </w:rPr>
            </w:pPr>
            <w:r>
              <w:rPr>
                <w:spacing w:val="-2"/>
                <w:sz w:val="20"/>
              </w:rPr>
              <w:t>0.000000</w:t>
            </w:r>
          </w:p>
        </w:tc>
        <w:tc>
          <w:tcPr>
            <w:tcW w:w="1493" w:type="dxa"/>
          </w:tcPr>
          <w:p>
            <w:pPr>
              <w:pStyle w:val="TableParagraph"/>
              <w:spacing w:line="210" w:lineRule="exact"/>
              <w:ind w:right="48"/>
              <w:jc w:val="center"/>
              <w:rPr>
                <w:sz w:val="20"/>
              </w:rPr>
            </w:pPr>
            <w:r>
              <w:rPr>
                <w:spacing w:val="-2"/>
                <w:sz w:val="20"/>
              </w:rPr>
              <w:t>0.000000</w:t>
            </w:r>
          </w:p>
        </w:tc>
        <w:tc>
          <w:tcPr>
            <w:tcW w:w="1274" w:type="dxa"/>
          </w:tcPr>
          <w:p>
            <w:pPr>
              <w:pStyle w:val="TableParagraph"/>
              <w:spacing w:line="210" w:lineRule="exact"/>
              <w:ind w:right="56"/>
              <w:jc w:val="right"/>
              <w:rPr>
                <w:sz w:val="20"/>
              </w:rPr>
            </w:pPr>
            <w:r>
              <w:rPr>
                <w:spacing w:val="-4"/>
                <w:sz w:val="20"/>
              </w:rPr>
              <w:t>-</w:t>
            </w:r>
            <w:r>
              <w:rPr>
                <w:spacing w:val="-2"/>
                <w:sz w:val="20"/>
              </w:rPr>
              <w:t>0.745121</w:t>
            </w:r>
          </w:p>
        </w:tc>
      </w:tr>
      <w:tr>
        <w:trPr>
          <w:trHeight w:val="229" w:hRule="atLeast"/>
        </w:trPr>
        <w:tc>
          <w:tcPr>
            <w:tcW w:w="1038" w:type="dxa"/>
          </w:tcPr>
          <w:p>
            <w:pPr>
              <w:pStyle w:val="TableParagraph"/>
              <w:rPr>
                <w:sz w:val="16"/>
              </w:rPr>
            </w:pPr>
          </w:p>
        </w:tc>
        <w:tc>
          <w:tcPr>
            <w:tcW w:w="1178" w:type="dxa"/>
          </w:tcPr>
          <w:p>
            <w:pPr>
              <w:pStyle w:val="TableParagraph"/>
              <w:rPr>
                <w:sz w:val="16"/>
              </w:rPr>
            </w:pPr>
          </w:p>
        </w:tc>
        <w:tc>
          <w:tcPr>
            <w:tcW w:w="1068" w:type="dxa"/>
          </w:tcPr>
          <w:p>
            <w:pPr>
              <w:pStyle w:val="TableParagraph"/>
              <w:rPr>
                <w:sz w:val="16"/>
              </w:rPr>
            </w:pPr>
          </w:p>
        </w:tc>
        <w:tc>
          <w:tcPr>
            <w:tcW w:w="983" w:type="dxa"/>
          </w:tcPr>
          <w:p>
            <w:pPr>
              <w:pStyle w:val="TableParagraph"/>
              <w:rPr>
                <w:sz w:val="16"/>
              </w:rPr>
            </w:pPr>
          </w:p>
        </w:tc>
        <w:tc>
          <w:tcPr>
            <w:tcW w:w="946" w:type="dxa"/>
          </w:tcPr>
          <w:p>
            <w:pPr>
              <w:pStyle w:val="TableParagraph"/>
              <w:rPr>
                <w:sz w:val="16"/>
              </w:rPr>
            </w:pPr>
          </w:p>
        </w:tc>
        <w:tc>
          <w:tcPr>
            <w:tcW w:w="990" w:type="dxa"/>
          </w:tcPr>
          <w:p>
            <w:pPr>
              <w:pStyle w:val="TableParagraph"/>
              <w:rPr>
                <w:sz w:val="16"/>
              </w:rPr>
            </w:pPr>
          </w:p>
        </w:tc>
        <w:tc>
          <w:tcPr>
            <w:tcW w:w="1237" w:type="dxa"/>
          </w:tcPr>
          <w:p>
            <w:pPr>
              <w:pStyle w:val="TableParagraph"/>
              <w:rPr>
                <w:sz w:val="16"/>
              </w:rPr>
            </w:pPr>
          </w:p>
        </w:tc>
        <w:tc>
          <w:tcPr>
            <w:tcW w:w="1493" w:type="dxa"/>
          </w:tcPr>
          <w:p>
            <w:pPr>
              <w:pStyle w:val="TableParagraph"/>
              <w:rPr>
                <w:sz w:val="16"/>
              </w:rPr>
            </w:pPr>
          </w:p>
        </w:tc>
        <w:tc>
          <w:tcPr>
            <w:tcW w:w="1274" w:type="dxa"/>
          </w:tcPr>
          <w:p>
            <w:pPr>
              <w:pStyle w:val="TableParagraph"/>
              <w:spacing w:line="209" w:lineRule="exact"/>
              <w:ind w:right="46"/>
              <w:jc w:val="right"/>
              <w:rPr>
                <w:sz w:val="20"/>
              </w:rPr>
            </w:pPr>
            <w:r>
              <w:rPr>
                <w:spacing w:val="-2"/>
                <w:sz w:val="20"/>
              </w:rPr>
              <w:t>(0.27408)</w:t>
            </w:r>
          </w:p>
        </w:tc>
      </w:tr>
      <w:tr>
        <w:trPr>
          <w:trHeight w:val="229" w:hRule="atLeast"/>
        </w:trPr>
        <w:tc>
          <w:tcPr>
            <w:tcW w:w="1038" w:type="dxa"/>
          </w:tcPr>
          <w:p>
            <w:pPr>
              <w:pStyle w:val="TableParagraph"/>
              <w:spacing w:line="209" w:lineRule="exact"/>
              <w:ind w:right="76"/>
              <w:jc w:val="center"/>
              <w:rPr>
                <w:sz w:val="20"/>
              </w:rPr>
            </w:pPr>
            <w:r>
              <w:rPr>
                <w:spacing w:val="-2"/>
                <w:sz w:val="20"/>
              </w:rPr>
              <w:t>0.000000</w:t>
            </w:r>
          </w:p>
        </w:tc>
        <w:tc>
          <w:tcPr>
            <w:tcW w:w="1178" w:type="dxa"/>
          </w:tcPr>
          <w:p>
            <w:pPr>
              <w:pStyle w:val="TableParagraph"/>
              <w:spacing w:line="209" w:lineRule="exact"/>
              <w:ind w:left="50" w:right="3"/>
              <w:jc w:val="center"/>
              <w:rPr>
                <w:sz w:val="20"/>
              </w:rPr>
            </w:pPr>
            <w:r>
              <w:rPr>
                <w:spacing w:val="-2"/>
                <w:sz w:val="20"/>
              </w:rPr>
              <w:t>0.000000</w:t>
            </w:r>
          </w:p>
        </w:tc>
        <w:tc>
          <w:tcPr>
            <w:tcW w:w="1068" w:type="dxa"/>
          </w:tcPr>
          <w:p>
            <w:pPr>
              <w:pStyle w:val="TableParagraph"/>
              <w:spacing w:line="209" w:lineRule="exact"/>
              <w:ind w:left="48"/>
              <w:jc w:val="center"/>
              <w:rPr>
                <w:sz w:val="20"/>
              </w:rPr>
            </w:pPr>
            <w:r>
              <w:rPr>
                <w:spacing w:val="-2"/>
                <w:sz w:val="20"/>
              </w:rPr>
              <w:t>0.000000</w:t>
            </w:r>
          </w:p>
        </w:tc>
        <w:tc>
          <w:tcPr>
            <w:tcW w:w="983" w:type="dxa"/>
          </w:tcPr>
          <w:p>
            <w:pPr>
              <w:pStyle w:val="TableParagraph"/>
              <w:spacing w:line="209" w:lineRule="exact"/>
              <w:ind w:left="78" w:right="40"/>
              <w:jc w:val="center"/>
              <w:rPr>
                <w:sz w:val="20"/>
              </w:rPr>
            </w:pPr>
            <w:r>
              <w:rPr>
                <w:spacing w:val="-2"/>
                <w:sz w:val="20"/>
              </w:rPr>
              <w:t>0.000000</w:t>
            </w:r>
          </w:p>
        </w:tc>
        <w:tc>
          <w:tcPr>
            <w:tcW w:w="946" w:type="dxa"/>
          </w:tcPr>
          <w:p>
            <w:pPr>
              <w:pStyle w:val="TableParagraph"/>
              <w:spacing w:line="209" w:lineRule="exact"/>
              <w:ind w:left="46" w:right="46"/>
              <w:jc w:val="center"/>
              <w:rPr>
                <w:sz w:val="20"/>
              </w:rPr>
            </w:pPr>
            <w:r>
              <w:rPr>
                <w:spacing w:val="-2"/>
                <w:sz w:val="20"/>
              </w:rPr>
              <w:t>0.000000</w:t>
            </w:r>
          </w:p>
        </w:tc>
        <w:tc>
          <w:tcPr>
            <w:tcW w:w="990" w:type="dxa"/>
          </w:tcPr>
          <w:p>
            <w:pPr>
              <w:pStyle w:val="TableParagraph"/>
              <w:spacing w:line="209" w:lineRule="exact"/>
              <w:ind w:right="41"/>
              <w:jc w:val="center"/>
              <w:rPr>
                <w:sz w:val="20"/>
              </w:rPr>
            </w:pPr>
            <w:r>
              <w:rPr>
                <w:spacing w:val="-2"/>
                <w:sz w:val="20"/>
              </w:rPr>
              <w:t>1.000000</w:t>
            </w:r>
          </w:p>
        </w:tc>
        <w:tc>
          <w:tcPr>
            <w:tcW w:w="1237" w:type="dxa"/>
          </w:tcPr>
          <w:p>
            <w:pPr>
              <w:pStyle w:val="TableParagraph"/>
              <w:spacing w:line="209" w:lineRule="exact"/>
              <w:ind w:left="143"/>
              <w:rPr>
                <w:sz w:val="20"/>
              </w:rPr>
            </w:pPr>
            <w:r>
              <w:rPr>
                <w:spacing w:val="-2"/>
                <w:sz w:val="20"/>
              </w:rPr>
              <w:t>0.000000</w:t>
            </w:r>
          </w:p>
        </w:tc>
        <w:tc>
          <w:tcPr>
            <w:tcW w:w="1493" w:type="dxa"/>
          </w:tcPr>
          <w:p>
            <w:pPr>
              <w:pStyle w:val="TableParagraph"/>
              <w:spacing w:line="209" w:lineRule="exact"/>
              <w:ind w:right="48"/>
              <w:jc w:val="center"/>
              <w:rPr>
                <w:sz w:val="20"/>
              </w:rPr>
            </w:pPr>
            <w:r>
              <w:rPr>
                <w:spacing w:val="-2"/>
                <w:sz w:val="20"/>
              </w:rPr>
              <w:t>0.000000</w:t>
            </w:r>
          </w:p>
        </w:tc>
        <w:tc>
          <w:tcPr>
            <w:tcW w:w="1274" w:type="dxa"/>
          </w:tcPr>
          <w:p>
            <w:pPr>
              <w:pStyle w:val="TableParagraph"/>
              <w:spacing w:line="209" w:lineRule="exact"/>
              <w:ind w:right="63"/>
              <w:jc w:val="right"/>
              <w:rPr>
                <w:sz w:val="20"/>
              </w:rPr>
            </w:pPr>
            <w:r>
              <w:rPr>
                <w:spacing w:val="-2"/>
                <w:sz w:val="20"/>
              </w:rPr>
              <w:t>1.215046</w:t>
            </w:r>
          </w:p>
        </w:tc>
      </w:tr>
      <w:tr>
        <w:trPr>
          <w:trHeight w:val="230" w:hRule="atLeast"/>
        </w:trPr>
        <w:tc>
          <w:tcPr>
            <w:tcW w:w="1038" w:type="dxa"/>
          </w:tcPr>
          <w:p>
            <w:pPr>
              <w:pStyle w:val="TableParagraph"/>
              <w:rPr>
                <w:sz w:val="16"/>
              </w:rPr>
            </w:pPr>
          </w:p>
        </w:tc>
        <w:tc>
          <w:tcPr>
            <w:tcW w:w="1178" w:type="dxa"/>
          </w:tcPr>
          <w:p>
            <w:pPr>
              <w:pStyle w:val="TableParagraph"/>
              <w:rPr>
                <w:sz w:val="16"/>
              </w:rPr>
            </w:pPr>
          </w:p>
        </w:tc>
        <w:tc>
          <w:tcPr>
            <w:tcW w:w="1068" w:type="dxa"/>
          </w:tcPr>
          <w:p>
            <w:pPr>
              <w:pStyle w:val="TableParagraph"/>
              <w:rPr>
                <w:sz w:val="16"/>
              </w:rPr>
            </w:pPr>
          </w:p>
        </w:tc>
        <w:tc>
          <w:tcPr>
            <w:tcW w:w="983" w:type="dxa"/>
          </w:tcPr>
          <w:p>
            <w:pPr>
              <w:pStyle w:val="TableParagraph"/>
              <w:rPr>
                <w:sz w:val="16"/>
              </w:rPr>
            </w:pPr>
          </w:p>
        </w:tc>
        <w:tc>
          <w:tcPr>
            <w:tcW w:w="946" w:type="dxa"/>
          </w:tcPr>
          <w:p>
            <w:pPr>
              <w:pStyle w:val="TableParagraph"/>
              <w:rPr>
                <w:sz w:val="16"/>
              </w:rPr>
            </w:pPr>
          </w:p>
        </w:tc>
        <w:tc>
          <w:tcPr>
            <w:tcW w:w="990" w:type="dxa"/>
          </w:tcPr>
          <w:p>
            <w:pPr>
              <w:pStyle w:val="TableParagraph"/>
              <w:rPr>
                <w:sz w:val="16"/>
              </w:rPr>
            </w:pPr>
          </w:p>
        </w:tc>
        <w:tc>
          <w:tcPr>
            <w:tcW w:w="1237" w:type="dxa"/>
          </w:tcPr>
          <w:p>
            <w:pPr>
              <w:pStyle w:val="TableParagraph"/>
              <w:rPr>
                <w:sz w:val="16"/>
              </w:rPr>
            </w:pPr>
          </w:p>
        </w:tc>
        <w:tc>
          <w:tcPr>
            <w:tcW w:w="1493" w:type="dxa"/>
          </w:tcPr>
          <w:p>
            <w:pPr>
              <w:pStyle w:val="TableParagraph"/>
              <w:rPr>
                <w:sz w:val="16"/>
              </w:rPr>
            </w:pPr>
          </w:p>
        </w:tc>
        <w:tc>
          <w:tcPr>
            <w:tcW w:w="1274" w:type="dxa"/>
          </w:tcPr>
          <w:p>
            <w:pPr>
              <w:pStyle w:val="TableParagraph"/>
              <w:spacing w:line="210" w:lineRule="exact"/>
              <w:ind w:right="46"/>
              <w:jc w:val="right"/>
              <w:rPr>
                <w:sz w:val="20"/>
              </w:rPr>
            </w:pPr>
            <w:r>
              <w:rPr>
                <w:spacing w:val="-2"/>
                <w:sz w:val="20"/>
              </w:rPr>
              <w:t>(1.84662)</w:t>
            </w:r>
          </w:p>
        </w:tc>
      </w:tr>
      <w:tr>
        <w:trPr>
          <w:trHeight w:val="230" w:hRule="atLeast"/>
        </w:trPr>
        <w:tc>
          <w:tcPr>
            <w:tcW w:w="1038" w:type="dxa"/>
          </w:tcPr>
          <w:p>
            <w:pPr>
              <w:pStyle w:val="TableParagraph"/>
              <w:spacing w:line="210" w:lineRule="exact"/>
              <w:ind w:right="76"/>
              <w:jc w:val="center"/>
              <w:rPr>
                <w:sz w:val="20"/>
              </w:rPr>
            </w:pPr>
            <w:r>
              <w:rPr>
                <w:spacing w:val="-2"/>
                <w:sz w:val="20"/>
              </w:rPr>
              <w:t>0.000000</w:t>
            </w:r>
          </w:p>
        </w:tc>
        <w:tc>
          <w:tcPr>
            <w:tcW w:w="1178" w:type="dxa"/>
          </w:tcPr>
          <w:p>
            <w:pPr>
              <w:pStyle w:val="TableParagraph"/>
              <w:spacing w:line="210" w:lineRule="exact"/>
              <w:ind w:left="50" w:right="3"/>
              <w:jc w:val="center"/>
              <w:rPr>
                <w:sz w:val="20"/>
              </w:rPr>
            </w:pPr>
            <w:r>
              <w:rPr>
                <w:spacing w:val="-2"/>
                <w:sz w:val="20"/>
              </w:rPr>
              <w:t>0.000000</w:t>
            </w:r>
          </w:p>
        </w:tc>
        <w:tc>
          <w:tcPr>
            <w:tcW w:w="1068" w:type="dxa"/>
          </w:tcPr>
          <w:p>
            <w:pPr>
              <w:pStyle w:val="TableParagraph"/>
              <w:spacing w:line="210" w:lineRule="exact"/>
              <w:ind w:left="48"/>
              <w:jc w:val="center"/>
              <w:rPr>
                <w:sz w:val="20"/>
              </w:rPr>
            </w:pPr>
            <w:r>
              <w:rPr>
                <w:spacing w:val="-2"/>
                <w:sz w:val="20"/>
              </w:rPr>
              <w:t>0.000000</w:t>
            </w:r>
          </w:p>
        </w:tc>
        <w:tc>
          <w:tcPr>
            <w:tcW w:w="983" w:type="dxa"/>
          </w:tcPr>
          <w:p>
            <w:pPr>
              <w:pStyle w:val="TableParagraph"/>
              <w:spacing w:line="210" w:lineRule="exact"/>
              <w:ind w:left="78" w:right="40"/>
              <w:jc w:val="center"/>
              <w:rPr>
                <w:sz w:val="20"/>
              </w:rPr>
            </w:pPr>
            <w:r>
              <w:rPr>
                <w:spacing w:val="-2"/>
                <w:sz w:val="20"/>
              </w:rPr>
              <w:t>0.000000</w:t>
            </w:r>
          </w:p>
        </w:tc>
        <w:tc>
          <w:tcPr>
            <w:tcW w:w="946" w:type="dxa"/>
          </w:tcPr>
          <w:p>
            <w:pPr>
              <w:pStyle w:val="TableParagraph"/>
              <w:spacing w:line="210" w:lineRule="exact"/>
              <w:ind w:left="46" w:right="46"/>
              <w:jc w:val="center"/>
              <w:rPr>
                <w:sz w:val="20"/>
              </w:rPr>
            </w:pPr>
            <w:r>
              <w:rPr>
                <w:spacing w:val="-2"/>
                <w:sz w:val="20"/>
              </w:rPr>
              <w:t>0.000000</w:t>
            </w:r>
          </w:p>
        </w:tc>
        <w:tc>
          <w:tcPr>
            <w:tcW w:w="990" w:type="dxa"/>
          </w:tcPr>
          <w:p>
            <w:pPr>
              <w:pStyle w:val="TableParagraph"/>
              <w:spacing w:line="210" w:lineRule="exact"/>
              <w:ind w:right="41"/>
              <w:jc w:val="center"/>
              <w:rPr>
                <w:sz w:val="20"/>
              </w:rPr>
            </w:pPr>
            <w:r>
              <w:rPr>
                <w:spacing w:val="-2"/>
                <w:sz w:val="20"/>
              </w:rPr>
              <w:t>0.000000</w:t>
            </w:r>
          </w:p>
        </w:tc>
        <w:tc>
          <w:tcPr>
            <w:tcW w:w="1237" w:type="dxa"/>
          </w:tcPr>
          <w:p>
            <w:pPr>
              <w:pStyle w:val="TableParagraph"/>
              <w:spacing w:line="210" w:lineRule="exact"/>
              <w:ind w:left="143"/>
              <w:rPr>
                <w:sz w:val="20"/>
              </w:rPr>
            </w:pPr>
            <w:r>
              <w:rPr>
                <w:spacing w:val="-2"/>
                <w:sz w:val="20"/>
              </w:rPr>
              <w:t>1.000000</w:t>
            </w:r>
          </w:p>
        </w:tc>
        <w:tc>
          <w:tcPr>
            <w:tcW w:w="1493" w:type="dxa"/>
          </w:tcPr>
          <w:p>
            <w:pPr>
              <w:pStyle w:val="TableParagraph"/>
              <w:spacing w:line="210" w:lineRule="exact"/>
              <w:ind w:right="48"/>
              <w:jc w:val="center"/>
              <w:rPr>
                <w:sz w:val="20"/>
              </w:rPr>
            </w:pPr>
            <w:r>
              <w:rPr>
                <w:spacing w:val="-2"/>
                <w:sz w:val="20"/>
              </w:rPr>
              <w:t>0.000000</w:t>
            </w:r>
          </w:p>
        </w:tc>
        <w:tc>
          <w:tcPr>
            <w:tcW w:w="1274" w:type="dxa"/>
          </w:tcPr>
          <w:p>
            <w:pPr>
              <w:pStyle w:val="TableParagraph"/>
              <w:spacing w:line="210" w:lineRule="exact"/>
              <w:ind w:right="56"/>
              <w:jc w:val="right"/>
              <w:rPr>
                <w:sz w:val="20"/>
              </w:rPr>
            </w:pPr>
            <w:r>
              <w:rPr>
                <w:spacing w:val="-4"/>
                <w:sz w:val="20"/>
              </w:rPr>
              <w:t>-</w:t>
            </w:r>
            <w:r>
              <w:rPr>
                <w:spacing w:val="-2"/>
                <w:sz w:val="20"/>
              </w:rPr>
              <w:t>1.079524</w:t>
            </w:r>
          </w:p>
        </w:tc>
      </w:tr>
      <w:tr>
        <w:trPr>
          <w:trHeight w:val="230" w:hRule="atLeast"/>
        </w:trPr>
        <w:tc>
          <w:tcPr>
            <w:tcW w:w="1038" w:type="dxa"/>
          </w:tcPr>
          <w:p>
            <w:pPr>
              <w:pStyle w:val="TableParagraph"/>
              <w:rPr>
                <w:sz w:val="16"/>
              </w:rPr>
            </w:pPr>
          </w:p>
        </w:tc>
        <w:tc>
          <w:tcPr>
            <w:tcW w:w="1178" w:type="dxa"/>
          </w:tcPr>
          <w:p>
            <w:pPr>
              <w:pStyle w:val="TableParagraph"/>
              <w:rPr>
                <w:sz w:val="16"/>
              </w:rPr>
            </w:pPr>
          </w:p>
        </w:tc>
        <w:tc>
          <w:tcPr>
            <w:tcW w:w="1068" w:type="dxa"/>
          </w:tcPr>
          <w:p>
            <w:pPr>
              <w:pStyle w:val="TableParagraph"/>
              <w:rPr>
                <w:sz w:val="16"/>
              </w:rPr>
            </w:pPr>
          </w:p>
        </w:tc>
        <w:tc>
          <w:tcPr>
            <w:tcW w:w="983" w:type="dxa"/>
          </w:tcPr>
          <w:p>
            <w:pPr>
              <w:pStyle w:val="TableParagraph"/>
              <w:rPr>
                <w:sz w:val="16"/>
              </w:rPr>
            </w:pPr>
          </w:p>
        </w:tc>
        <w:tc>
          <w:tcPr>
            <w:tcW w:w="946" w:type="dxa"/>
          </w:tcPr>
          <w:p>
            <w:pPr>
              <w:pStyle w:val="TableParagraph"/>
              <w:rPr>
                <w:sz w:val="16"/>
              </w:rPr>
            </w:pPr>
          </w:p>
        </w:tc>
        <w:tc>
          <w:tcPr>
            <w:tcW w:w="990" w:type="dxa"/>
          </w:tcPr>
          <w:p>
            <w:pPr>
              <w:pStyle w:val="TableParagraph"/>
              <w:rPr>
                <w:sz w:val="16"/>
              </w:rPr>
            </w:pPr>
          </w:p>
        </w:tc>
        <w:tc>
          <w:tcPr>
            <w:tcW w:w="1237" w:type="dxa"/>
          </w:tcPr>
          <w:p>
            <w:pPr>
              <w:pStyle w:val="TableParagraph"/>
              <w:rPr>
                <w:sz w:val="16"/>
              </w:rPr>
            </w:pPr>
          </w:p>
        </w:tc>
        <w:tc>
          <w:tcPr>
            <w:tcW w:w="1493" w:type="dxa"/>
          </w:tcPr>
          <w:p>
            <w:pPr>
              <w:pStyle w:val="TableParagraph"/>
              <w:rPr>
                <w:sz w:val="16"/>
              </w:rPr>
            </w:pPr>
          </w:p>
        </w:tc>
        <w:tc>
          <w:tcPr>
            <w:tcW w:w="1274" w:type="dxa"/>
          </w:tcPr>
          <w:p>
            <w:pPr>
              <w:pStyle w:val="TableParagraph"/>
              <w:spacing w:line="210" w:lineRule="exact"/>
              <w:ind w:right="46"/>
              <w:jc w:val="right"/>
              <w:rPr>
                <w:sz w:val="20"/>
              </w:rPr>
            </w:pPr>
            <w:r>
              <w:rPr>
                <w:spacing w:val="-2"/>
                <w:sz w:val="20"/>
              </w:rPr>
              <w:t>(0.17250)</w:t>
            </w:r>
          </w:p>
        </w:tc>
      </w:tr>
      <w:tr>
        <w:trPr>
          <w:trHeight w:val="230" w:hRule="atLeast"/>
        </w:trPr>
        <w:tc>
          <w:tcPr>
            <w:tcW w:w="1038" w:type="dxa"/>
          </w:tcPr>
          <w:p>
            <w:pPr>
              <w:pStyle w:val="TableParagraph"/>
              <w:spacing w:line="210" w:lineRule="exact"/>
              <w:ind w:right="76"/>
              <w:jc w:val="center"/>
              <w:rPr>
                <w:sz w:val="20"/>
              </w:rPr>
            </w:pPr>
            <w:r>
              <w:rPr>
                <w:spacing w:val="-2"/>
                <w:sz w:val="20"/>
              </w:rPr>
              <w:t>0.000000</w:t>
            </w:r>
          </w:p>
        </w:tc>
        <w:tc>
          <w:tcPr>
            <w:tcW w:w="1178" w:type="dxa"/>
          </w:tcPr>
          <w:p>
            <w:pPr>
              <w:pStyle w:val="TableParagraph"/>
              <w:spacing w:line="210" w:lineRule="exact"/>
              <w:ind w:left="50" w:right="3"/>
              <w:jc w:val="center"/>
              <w:rPr>
                <w:sz w:val="20"/>
              </w:rPr>
            </w:pPr>
            <w:r>
              <w:rPr>
                <w:spacing w:val="-2"/>
                <w:sz w:val="20"/>
              </w:rPr>
              <w:t>0.000000</w:t>
            </w:r>
          </w:p>
        </w:tc>
        <w:tc>
          <w:tcPr>
            <w:tcW w:w="1068" w:type="dxa"/>
          </w:tcPr>
          <w:p>
            <w:pPr>
              <w:pStyle w:val="TableParagraph"/>
              <w:spacing w:line="210" w:lineRule="exact"/>
              <w:ind w:left="48"/>
              <w:jc w:val="center"/>
              <w:rPr>
                <w:sz w:val="20"/>
              </w:rPr>
            </w:pPr>
            <w:r>
              <w:rPr>
                <w:spacing w:val="-2"/>
                <w:sz w:val="20"/>
              </w:rPr>
              <w:t>0.000000</w:t>
            </w:r>
          </w:p>
        </w:tc>
        <w:tc>
          <w:tcPr>
            <w:tcW w:w="983" w:type="dxa"/>
          </w:tcPr>
          <w:p>
            <w:pPr>
              <w:pStyle w:val="TableParagraph"/>
              <w:spacing w:line="210" w:lineRule="exact"/>
              <w:ind w:left="78" w:right="40"/>
              <w:jc w:val="center"/>
              <w:rPr>
                <w:sz w:val="20"/>
              </w:rPr>
            </w:pPr>
            <w:r>
              <w:rPr>
                <w:spacing w:val="-2"/>
                <w:sz w:val="20"/>
              </w:rPr>
              <w:t>0.000000</w:t>
            </w:r>
          </w:p>
        </w:tc>
        <w:tc>
          <w:tcPr>
            <w:tcW w:w="946" w:type="dxa"/>
          </w:tcPr>
          <w:p>
            <w:pPr>
              <w:pStyle w:val="TableParagraph"/>
              <w:spacing w:line="210" w:lineRule="exact"/>
              <w:ind w:left="46" w:right="46"/>
              <w:jc w:val="center"/>
              <w:rPr>
                <w:sz w:val="20"/>
              </w:rPr>
            </w:pPr>
            <w:r>
              <w:rPr>
                <w:spacing w:val="-2"/>
                <w:sz w:val="20"/>
              </w:rPr>
              <w:t>0.000000</w:t>
            </w:r>
          </w:p>
        </w:tc>
        <w:tc>
          <w:tcPr>
            <w:tcW w:w="990" w:type="dxa"/>
          </w:tcPr>
          <w:p>
            <w:pPr>
              <w:pStyle w:val="TableParagraph"/>
              <w:spacing w:line="210" w:lineRule="exact"/>
              <w:ind w:right="41"/>
              <w:jc w:val="center"/>
              <w:rPr>
                <w:sz w:val="20"/>
              </w:rPr>
            </w:pPr>
            <w:r>
              <w:rPr>
                <w:spacing w:val="-2"/>
                <w:sz w:val="20"/>
              </w:rPr>
              <w:t>0.000000</w:t>
            </w:r>
          </w:p>
        </w:tc>
        <w:tc>
          <w:tcPr>
            <w:tcW w:w="1237" w:type="dxa"/>
          </w:tcPr>
          <w:p>
            <w:pPr>
              <w:pStyle w:val="TableParagraph"/>
              <w:spacing w:line="210" w:lineRule="exact"/>
              <w:ind w:left="143"/>
              <w:rPr>
                <w:sz w:val="20"/>
              </w:rPr>
            </w:pPr>
            <w:r>
              <w:rPr>
                <w:spacing w:val="-2"/>
                <w:sz w:val="20"/>
              </w:rPr>
              <w:t>0.000000</w:t>
            </w:r>
          </w:p>
        </w:tc>
        <w:tc>
          <w:tcPr>
            <w:tcW w:w="1493" w:type="dxa"/>
          </w:tcPr>
          <w:p>
            <w:pPr>
              <w:pStyle w:val="TableParagraph"/>
              <w:spacing w:line="210" w:lineRule="exact"/>
              <w:ind w:right="48"/>
              <w:jc w:val="center"/>
              <w:rPr>
                <w:sz w:val="20"/>
              </w:rPr>
            </w:pPr>
            <w:r>
              <w:rPr>
                <w:spacing w:val="-2"/>
                <w:sz w:val="20"/>
              </w:rPr>
              <w:t>1.000000</w:t>
            </w:r>
          </w:p>
        </w:tc>
        <w:tc>
          <w:tcPr>
            <w:tcW w:w="1274" w:type="dxa"/>
          </w:tcPr>
          <w:p>
            <w:pPr>
              <w:pStyle w:val="TableParagraph"/>
              <w:spacing w:line="210" w:lineRule="exact"/>
              <w:ind w:right="63"/>
              <w:jc w:val="right"/>
              <w:rPr>
                <w:sz w:val="20"/>
              </w:rPr>
            </w:pPr>
            <w:r>
              <w:rPr>
                <w:spacing w:val="-2"/>
                <w:sz w:val="20"/>
              </w:rPr>
              <w:t>0.542093</w:t>
            </w:r>
          </w:p>
        </w:tc>
      </w:tr>
      <w:tr>
        <w:trPr>
          <w:trHeight w:val="344" w:hRule="atLeast"/>
        </w:trPr>
        <w:tc>
          <w:tcPr>
            <w:tcW w:w="1038" w:type="dxa"/>
          </w:tcPr>
          <w:p>
            <w:pPr>
              <w:pStyle w:val="TableParagraph"/>
              <w:rPr>
                <w:sz w:val="18"/>
              </w:rPr>
            </w:pPr>
          </w:p>
        </w:tc>
        <w:tc>
          <w:tcPr>
            <w:tcW w:w="1178" w:type="dxa"/>
          </w:tcPr>
          <w:p>
            <w:pPr>
              <w:pStyle w:val="TableParagraph"/>
              <w:rPr>
                <w:sz w:val="18"/>
              </w:rPr>
            </w:pPr>
          </w:p>
        </w:tc>
        <w:tc>
          <w:tcPr>
            <w:tcW w:w="1068" w:type="dxa"/>
          </w:tcPr>
          <w:p>
            <w:pPr>
              <w:pStyle w:val="TableParagraph"/>
              <w:rPr>
                <w:sz w:val="18"/>
              </w:rPr>
            </w:pPr>
          </w:p>
        </w:tc>
        <w:tc>
          <w:tcPr>
            <w:tcW w:w="983" w:type="dxa"/>
          </w:tcPr>
          <w:p>
            <w:pPr>
              <w:pStyle w:val="TableParagraph"/>
              <w:rPr>
                <w:sz w:val="18"/>
              </w:rPr>
            </w:pPr>
          </w:p>
        </w:tc>
        <w:tc>
          <w:tcPr>
            <w:tcW w:w="946" w:type="dxa"/>
          </w:tcPr>
          <w:p>
            <w:pPr>
              <w:pStyle w:val="TableParagraph"/>
              <w:rPr>
                <w:sz w:val="18"/>
              </w:rPr>
            </w:pPr>
          </w:p>
        </w:tc>
        <w:tc>
          <w:tcPr>
            <w:tcW w:w="990" w:type="dxa"/>
          </w:tcPr>
          <w:p>
            <w:pPr>
              <w:pStyle w:val="TableParagraph"/>
              <w:rPr>
                <w:sz w:val="18"/>
              </w:rPr>
            </w:pPr>
          </w:p>
        </w:tc>
        <w:tc>
          <w:tcPr>
            <w:tcW w:w="1237" w:type="dxa"/>
          </w:tcPr>
          <w:p>
            <w:pPr>
              <w:pStyle w:val="TableParagraph"/>
              <w:rPr>
                <w:sz w:val="18"/>
              </w:rPr>
            </w:pPr>
          </w:p>
        </w:tc>
        <w:tc>
          <w:tcPr>
            <w:tcW w:w="1493" w:type="dxa"/>
          </w:tcPr>
          <w:p>
            <w:pPr>
              <w:pStyle w:val="TableParagraph"/>
              <w:rPr>
                <w:sz w:val="18"/>
              </w:rPr>
            </w:pPr>
          </w:p>
        </w:tc>
        <w:tc>
          <w:tcPr>
            <w:tcW w:w="1274" w:type="dxa"/>
          </w:tcPr>
          <w:p>
            <w:pPr>
              <w:pStyle w:val="TableParagraph"/>
              <w:spacing w:line="226" w:lineRule="exact"/>
              <w:ind w:right="46"/>
              <w:jc w:val="right"/>
              <w:rPr>
                <w:sz w:val="20"/>
              </w:rPr>
            </w:pPr>
            <w:r>
              <w:rPr>
                <w:spacing w:val="-2"/>
                <w:sz w:val="20"/>
              </w:rPr>
              <w:t>(1.41245)</w:t>
            </w:r>
          </w:p>
        </w:tc>
      </w:tr>
      <w:tr>
        <w:trPr>
          <w:trHeight w:val="610" w:hRule="atLeast"/>
        </w:trPr>
        <w:tc>
          <w:tcPr>
            <w:tcW w:w="1038" w:type="dxa"/>
            <w:tcBorders>
              <w:bottom w:val="double" w:sz="6" w:space="0" w:color="000000"/>
            </w:tcBorders>
          </w:tcPr>
          <w:p>
            <w:pPr>
              <w:pStyle w:val="TableParagraph"/>
              <w:spacing w:before="109"/>
              <w:ind w:left="50" w:right="176" w:firstLine="271"/>
              <w:rPr>
                <w:sz w:val="20"/>
              </w:rPr>
            </w:pPr>
            <w:r>
              <w:rPr>
                <w:spacing w:val="-4"/>
                <w:sz w:val="20"/>
              </w:rPr>
              <w:t>Log </w:t>
            </w:r>
            <w:r>
              <w:rPr>
                <w:spacing w:val="-2"/>
                <w:sz w:val="20"/>
              </w:rPr>
              <w:t>likelihood</w:t>
            </w:r>
          </w:p>
        </w:tc>
        <w:tc>
          <w:tcPr>
            <w:tcW w:w="1178" w:type="dxa"/>
            <w:tcBorders>
              <w:bottom w:val="double" w:sz="6" w:space="0" w:color="000000"/>
            </w:tcBorders>
          </w:tcPr>
          <w:p>
            <w:pPr>
              <w:pStyle w:val="TableParagraph"/>
              <w:spacing w:before="109"/>
              <w:ind w:left="47" w:right="50"/>
              <w:jc w:val="center"/>
              <w:rPr>
                <w:sz w:val="20"/>
              </w:rPr>
            </w:pPr>
            <w:r>
              <w:rPr>
                <w:spacing w:val="-4"/>
                <w:sz w:val="20"/>
              </w:rPr>
              <w:t>-</w:t>
            </w:r>
            <w:r>
              <w:rPr>
                <w:spacing w:val="-2"/>
                <w:sz w:val="20"/>
              </w:rPr>
              <w:t>23.71700</w:t>
            </w:r>
          </w:p>
        </w:tc>
        <w:tc>
          <w:tcPr>
            <w:tcW w:w="1068" w:type="dxa"/>
            <w:tcBorders>
              <w:bottom w:val="double" w:sz="6" w:space="0" w:color="000000"/>
            </w:tcBorders>
          </w:tcPr>
          <w:p>
            <w:pPr>
              <w:pStyle w:val="TableParagraph"/>
              <w:rPr>
                <w:sz w:val="18"/>
              </w:rPr>
            </w:pPr>
          </w:p>
        </w:tc>
        <w:tc>
          <w:tcPr>
            <w:tcW w:w="983" w:type="dxa"/>
            <w:tcBorders>
              <w:bottom w:val="double" w:sz="6" w:space="0" w:color="000000"/>
            </w:tcBorders>
          </w:tcPr>
          <w:p>
            <w:pPr>
              <w:pStyle w:val="TableParagraph"/>
              <w:rPr>
                <w:sz w:val="18"/>
              </w:rPr>
            </w:pPr>
          </w:p>
        </w:tc>
        <w:tc>
          <w:tcPr>
            <w:tcW w:w="946" w:type="dxa"/>
            <w:tcBorders>
              <w:bottom w:val="double" w:sz="6" w:space="0" w:color="000000"/>
            </w:tcBorders>
          </w:tcPr>
          <w:p>
            <w:pPr>
              <w:pStyle w:val="TableParagraph"/>
              <w:rPr>
                <w:sz w:val="18"/>
              </w:rPr>
            </w:pPr>
          </w:p>
        </w:tc>
        <w:tc>
          <w:tcPr>
            <w:tcW w:w="990" w:type="dxa"/>
            <w:tcBorders>
              <w:bottom w:val="double" w:sz="6" w:space="0" w:color="000000"/>
            </w:tcBorders>
          </w:tcPr>
          <w:p>
            <w:pPr>
              <w:pStyle w:val="TableParagraph"/>
              <w:rPr>
                <w:sz w:val="18"/>
              </w:rPr>
            </w:pPr>
          </w:p>
        </w:tc>
        <w:tc>
          <w:tcPr>
            <w:tcW w:w="1237" w:type="dxa"/>
          </w:tcPr>
          <w:p>
            <w:pPr>
              <w:pStyle w:val="TableParagraph"/>
              <w:rPr>
                <w:sz w:val="18"/>
              </w:rPr>
            </w:pPr>
          </w:p>
        </w:tc>
        <w:tc>
          <w:tcPr>
            <w:tcW w:w="1493" w:type="dxa"/>
            <w:tcBorders>
              <w:bottom w:val="double" w:sz="6" w:space="0" w:color="000000"/>
            </w:tcBorders>
          </w:tcPr>
          <w:p>
            <w:pPr>
              <w:pStyle w:val="TableParagraph"/>
              <w:rPr>
                <w:sz w:val="18"/>
              </w:rPr>
            </w:pPr>
          </w:p>
        </w:tc>
        <w:tc>
          <w:tcPr>
            <w:tcW w:w="1274" w:type="dxa"/>
          </w:tcPr>
          <w:p>
            <w:pPr>
              <w:pStyle w:val="TableParagraph"/>
              <w:rPr>
                <w:sz w:val="18"/>
              </w:rPr>
            </w:pPr>
          </w:p>
        </w:tc>
      </w:tr>
    </w:tbl>
    <w:p>
      <w:pPr>
        <w:pStyle w:val="BodyText"/>
        <w:rPr>
          <w:sz w:val="20"/>
        </w:rPr>
      </w:pPr>
    </w:p>
    <w:p>
      <w:pPr>
        <w:pStyle w:val="BodyText"/>
        <w:rPr>
          <w:sz w:val="20"/>
        </w:rPr>
      </w:pPr>
    </w:p>
    <w:p>
      <w:pPr>
        <w:pStyle w:val="BodyText"/>
        <w:spacing w:before="13"/>
        <w:rPr>
          <w:sz w:val="20"/>
        </w:rPr>
      </w:pPr>
    </w:p>
    <w:p>
      <w:pPr>
        <w:spacing w:before="1"/>
        <w:ind w:left="3664" w:right="0" w:firstLine="0"/>
        <w:jc w:val="left"/>
        <w:rPr>
          <w:b/>
          <w:sz w:val="20"/>
        </w:rPr>
      </w:pPr>
      <w:r>
        <w:rPr/>
        <mc:AlternateContent>
          <mc:Choice Requires="wps">
            <w:drawing>
              <wp:anchor distT="0" distB="0" distL="0" distR="0" allowOverlap="1" layoutInCell="1" locked="0" behindDoc="0" simplePos="0" relativeHeight="15760896">
                <wp:simplePos x="0" y="0"/>
                <wp:positionH relativeFrom="page">
                  <wp:posOffset>640080</wp:posOffset>
                </wp:positionH>
                <wp:positionV relativeFrom="paragraph">
                  <wp:posOffset>-466051</wp:posOffset>
                </wp:positionV>
                <wp:extent cx="733425" cy="27940"/>
                <wp:effectExtent l="0" t="0" r="0" b="0"/>
                <wp:wrapNone/>
                <wp:docPr id="310" name="Graphic 310"/>
                <wp:cNvGraphicFramePr>
                  <a:graphicFrameLocks/>
                </wp:cNvGraphicFramePr>
                <a:graphic>
                  <a:graphicData uri="http://schemas.microsoft.com/office/word/2010/wordprocessingShape">
                    <wps:wsp>
                      <wps:cNvPr id="310" name="Graphic 310"/>
                      <wps:cNvSpPr/>
                      <wps:spPr>
                        <a:xfrm>
                          <a:off x="0" y="0"/>
                          <a:ext cx="733425" cy="27940"/>
                        </a:xfrm>
                        <a:custGeom>
                          <a:avLst/>
                          <a:gdLst/>
                          <a:ahLst/>
                          <a:cxnLst/>
                          <a:rect l="l" t="t" r="r" b="b"/>
                          <a:pathLst>
                            <a:path w="733425" h="27940">
                              <a:moveTo>
                                <a:pt x="733348" y="18288"/>
                              </a:moveTo>
                              <a:lnTo>
                                <a:pt x="0" y="18288"/>
                              </a:lnTo>
                              <a:lnTo>
                                <a:pt x="0" y="27432"/>
                              </a:lnTo>
                              <a:lnTo>
                                <a:pt x="733348" y="27432"/>
                              </a:lnTo>
                              <a:lnTo>
                                <a:pt x="733348" y="18288"/>
                              </a:lnTo>
                              <a:close/>
                            </a:path>
                            <a:path w="733425" h="27940">
                              <a:moveTo>
                                <a:pt x="733348" y="0"/>
                              </a:moveTo>
                              <a:lnTo>
                                <a:pt x="0" y="0"/>
                              </a:lnTo>
                              <a:lnTo>
                                <a:pt x="0" y="9144"/>
                              </a:lnTo>
                              <a:lnTo>
                                <a:pt x="733348" y="9144"/>
                              </a:lnTo>
                              <a:lnTo>
                                <a:pt x="7333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0.400002pt;margin-top:-36.696999pt;width:57.75pt;height:2.2pt;mso-position-horizontal-relative:page;mso-position-vertical-relative:paragraph;z-index:15760896" id="docshape291" coordorigin="1008,-734" coordsize="1155,44" path="m2163,-705l1008,-705,1008,-691,2163,-691,2163,-705xm2163,-734l1008,-734,1008,-720,2163,-720,2163,-734xe" filled="true" fillcolor="#000000" stroked="false">
                <v:path arrowok="t"/>
                <v:fill type="solid"/>
                <w10:wrap type="none"/>
              </v:shape>
            </w:pict>
          </mc:Fallback>
        </mc:AlternateContent>
      </w:r>
      <w:r>
        <w:rPr/>
        <mc:AlternateContent>
          <mc:Choice Requires="wps">
            <w:drawing>
              <wp:anchor distT="0" distB="0" distL="0" distR="0" allowOverlap="1" layoutInCell="1" locked="0" behindDoc="1" simplePos="0" relativeHeight="464184320">
                <wp:simplePos x="0" y="0"/>
                <wp:positionH relativeFrom="page">
                  <wp:posOffset>6502654</wp:posOffset>
                </wp:positionH>
                <wp:positionV relativeFrom="paragraph">
                  <wp:posOffset>-490435</wp:posOffset>
                </wp:positionV>
                <wp:extent cx="1057910" cy="52069"/>
                <wp:effectExtent l="0" t="0" r="0" b="0"/>
                <wp:wrapNone/>
                <wp:docPr id="311" name="Graphic 311"/>
                <wp:cNvGraphicFramePr>
                  <a:graphicFrameLocks/>
                </wp:cNvGraphicFramePr>
                <a:graphic>
                  <a:graphicData uri="http://schemas.microsoft.com/office/word/2010/wordprocessingShape">
                    <wps:wsp>
                      <wps:cNvPr id="311" name="Graphic 311"/>
                      <wps:cNvSpPr/>
                      <wps:spPr>
                        <a:xfrm>
                          <a:off x="0" y="0"/>
                          <a:ext cx="1057910" cy="52069"/>
                        </a:xfrm>
                        <a:custGeom>
                          <a:avLst/>
                          <a:gdLst/>
                          <a:ahLst/>
                          <a:cxnLst/>
                          <a:rect l="l" t="t" r="r" b="b"/>
                          <a:pathLst>
                            <a:path w="1057910" h="52069">
                              <a:moveTo>
                                <a:pt x="853744" y="42672"/>
                              </a:moveTo>
                              <a:lnTo>
                                <a:pt x="0" y="42672"/>
                              </a:lnTo>
                              <a:lnTo>
                                <a:pt x="0" y="51816"/>
                              </a:lnTo>
                              <a:lnTo>
                                <a:pt x="853744" y="51816"/>
                              </a:lnTo>
                              <a:lnTo>
                                <a:pt x="853744" y="42672"/>
                              </a:lnTo>
                              <a:close/>
                            </a:path>
                            <a:path w="1057910" h="52069">
                              <a:moveTo>
                                <a:pt x="896366" y="0"/>
                              </a:moveTo>
                              <a:lnTo>
                                <a:pt x="844550" y="0"/>
                              </a:lnTo>
                              <a:lnTo>
                                <a:pt x="844550" y="9144"/>
                              </a:lnTo>
                              <a:lnTo>
                                <a:pt x="896366" y="9144"/>
                              </a:lnTo>
                              <a:lnTo>
                                <a:pt x="896366" y="0"/>
                              </a:lnTo>
                              <a:close/>
                            </a:path>
                            <a:path w="1057910" h="52069">
                              <a:moveTo>
                                <a:pt x="1057910" y="42672"/>
                              </a:moveTo>
                              <a:lnTo>
                                <a:pt x="896366" y="42672"/>
                              </a:lnTo>
                              <a:lnTo>
                                <a:pt x="896366" y="51816"/>
                              </a:lnTo>
                              <a:lnTo>
                                <a:pt x="1057910" y="51816"/>
                              </a:lnTo>
                              <a:lnTo>
                                <a:pt x="1057910" y="42672"/>
                              </a:lnTo>
                              <a:close/>
                            </a:path>
                            <a:path w="1057910" h="52069">
                              <a:moveTo>
                                <a:pt x="1057910" y="24384"/>
                              </a:moveTo>
                              <a:lnTo>
                                <a:pt x="896366" y="24384"/>
                              </a:lnTo>
                              <a:lnTo>
                                <a:pt x="896366" y="18288"/>
                              </a:lnTo>
                              <a:lnTo>
                                <a:pt x="844550" y="18288"/>
                              </a:lnTo>
                              <a:lnTo>
                                <a:pt x="844550" y="24384"/>
                              </a:lnTo>
                              <a:lnTo>
                                <a:pt x="0" y="24384"/>
                              </a:lnTo>
                              <a:lnTo>
                                <a:pt x="0" y="33528"/>
                              </a:lnTo>
                              <a:lnTo>
                                <a:pt x="853744" y="33528"/>
                              </a:lnTo>
                              <a:lnTo>
                                <a:pt x="853744" y="27432"/>
                              </a:lnTo>
                              <a:lnTo>
                                <a:pt x="896366" y="27432"/>
                              </a:lnTo>
                              <a:lnTo>
                                <a:pt x="896366" y="33528"/>
                              </a:lnTo>
                              <a:lnTo>
                                <a:pt x="1057910" y="33528"/>
                              </a:lnTo>
                              <a:lnTo>
                                <a:pt x="1057910" y="2438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12.020020pt;margin-top:-38.617001pt;width:83.3pt;height:4.1pt;mso-position-horizontal-relative:page;mso-position-vertical-relative:paragraph;z-index:-39132160" id="docshape292" coordorigin="10240,-772" coordsize="1666,82" path="m11585,-705l10240,-705,10240,-691,11585,-691,11585,-705xm11652,-772l11570,-772,11570,-758,11652,-758,11652,-772xm11906,-705l11652,-705,11652,-691,11906,-691,11906,-705xm11906,-734l11652,-734,11652,-744,11570,-744,11570,-734,10240,-734,10240,-720,11585,-720,11585,-729,11652,-729,11652,-720,11906,-720,11906,-734xe" filled="true" fillcolor="#000000" stroked="false">
                <v:path arrowok="t"/>
                <v:fill type="solid"/>
                <w10:wrap type="none"/>
              </v:shape>
            </w:pict>
          </mc:Fallback>
        </mc:AlternateContent>
      </w:r>
      <w:r>
        <w:rPr>
          <w:b/>
          <w:sz w:val="20"/>
        </w:rPr>
        <w:t>APPENDIX</w:t>
      </w:r>
      <w:r>
        <w:rPr>
          <w:b/>
          <w:spacing w:val="-13"/>
          <w:sz w:val="20"/>
        </w:rPr>
        <w:t> </w:t>
      </w:r>
      <w:r>
        <w:rPr>
          <w:b/>
          <w:spacing w:val="-5"/>
          <w:sz w:val="20"/>
        </w:rPr>
        <w:t>A3</w:t>
      </w:r>
    </w:p>
    <w:p>
      <w:pPr>
        <w:spacing w:before="0"/>
        <w:ind w:left="678" w:right="2376" w:firstLine="0"/>
        <w:jc w:val="center"/>
        <w:rPr>
          <w:b/>
          <w:sz w:val="20"/>
        </w:rPr>
      </w:pPr>
      <w:r>
        <w:rPr>
          <w:b/>
          <w:sz w:val="20"/>
        </w:rPr>
        <w:t>RESULT</w:t>
      </w:r>
      <w:r>
        <w:rPr>
          <w:b/>
          <w:spacing w:val="-7"/>
          <w:sz w:val="20"/>
        </w:rPr>
        <w:t> </w:t>
      </w:r>
      <w:r>
        <w:rPr>
          <w:b/>
          <w:sz w:val="20"/>
        </w:rPr>
        <w:t>OF</w:t>
      </w:r>
      <w:r>
        <w:rPr>
          <w:b/>
          <w:spacing w:val="-6"/>
          <w:sz w:val="20"/>
        </w:rPr>
        <w:t> </w:t>
      </w:r>
      <w:r>
        <w:rPr>
          <w:b/>
          <w:sz w:val="20"/>
        </w:rPr>
        <w:t>ANALYSES</w:t>
      </w:r>
      <w:r>
        <w:rPr>
          <w:b/>
          <w:spacing w:val="-6"/>
          <w:sz w:val="20"/>
        </w:rPr>
        <w:t> </w:t>
      </w:r>
      <w:r>
        <w:rPr>
          <w:b/>
          <w:sz w:val="20"/>
        </w:rPr>
        <w:t>FOR</w:t>
      </w:r>
      <w:r>
        <w:rPr>
          <w:b/>
          <w:spacing w:val="-6"/>
          <w:sz w:val="20"/>
        </w:rPr>
        <w:t> </w:t>
      </w:r>
      <w:r>
        <w:rPr>
          <w:b/>
          <w:sz w:val="20"/>
        </w:rPr>
        <w:t>MODEL</w:t>
      </w:r>
      <w:r>
        <w:rPr>
          <w:b/>
          <w:spacing w:val="-7"/>
          <w:sz w:val="20"/>
        </w:rPr>
        <w:t> </w:t>
      </w:r>
      <w:r>
        <w:rPr>
          <w:b/>
          <w:sz w:val="20"/>
        </w:rPr>
        <w:t>1B</w:t>
      </w:r>
      <w:r>
        <w:rPr>
          <w:b/>
          <w:spacing w:val="-6"/>
          <w:sz w:val="20"/>
        </w:rPr>
        <w:t> </w:t>
      </w:r>
      <w:r>
        <w:rPr>
          <w:b/>
          <w:sz w:val="20"/>
        </w:rPr>
        <w:t>MORGAN</w:t>
      </w:r>
      <w:r>
        <w:rPr>
          <w:b/>
          <w:spacing w:val="-6"/>
          <w:sz w:val="20"/>
        </w:rPr>
        <w:t> </w:t>
      </w:r>
      <w:r>
        <w:rPr>
          <w:b/>
          <w:sz w:val="20"/>
        </w:rPr>
        <w:t>GUARANTY</w:t>
      </w:r>
      <w:r>
        <w:rPr>
          <w:b/>
          <w:spacing w:val="-6"/>
          <w:sz w:val="20"/>
        </w:rPr>
        <w:t> </w:t>
      </w:r>
      <w:r>
        <w:rPr>
          <w:b/>
          <w:sz w:val="20"/>
        </w:rPr>
        <w:t>TRUST</w:t>
      </w:r>
      <w:r>
        <w:rPr>
          <w:b/>
          <w:spacing w:val="-6"/>
          <w:sz w:val="20"/>
        </w:rPr>
        <w:t> </w:t>
      </w:r>
      <w:r>
        <w:rPr>
          <w:b/>
          <w:sz w:val="20"/>
        </w:rPr>
        <w:t>(1986)</w:t>
      </w:r>
      <w:r>
        <w:rPr>
          <w:b/>
          <w:spacing w:val="-8"/>
          <w:sz w:val="20"/>
        </w:rPr>
        <w:t> </w:t>
      </w:r>
      <w:r>
        <w:rPr>
          <w:b/>
          <w:spacing w:val="-2"/>
          <w:sz w:val="20"/>
        </w:rPr>
        <w:t>ESTIMATES</w:t>
      </w:r>
    </w:p>
    <w:p>
      <w:pPr>
        <w:spacing w:before="228" w:after="3"/>
        <w:ind w:left="0" w:right="1730" w:firstLine="0"/>
        <w:jc w:val="center"/>
        <w:rPr>
          <w:sz w:val="20"/>
        </w:rPr>
      </w:pPr>
      <w:r>
        <w:rPr>
          <w:sz w:val="20"/>
        </w:rPr>
        <w:t>OLS</w:t>
      </w:r>
      <w:r>
        <w:rPr>
          <w:spacing w:val="-7"/>
          <w:sz w:val="20"/>
        </w:rPr>
        <w:t> </w:t>
      </w:r>
      <w:r>
        <w:rPr>
          <w:sz w:val="20"/>
        </w:rPr>
        <w:t>RESULT</w:t>
      </w:r>
      <w:r>
        <w:rPr>
          <w:spacing w:val="-3"/>
          <w:sz w:val="20"/>
        </w:rPr>
        <w:t> </w:t>
      </w:r>
      <w:r>
        <w:rPr>
          <w:sz w:val="20"/>
        </w:rPr>
        <w:t>FOR</w:t>
      </w:r>
      <w:r>
        <w:rPr>
          <w:spacing w:val="-6"/>
          <w:sz w:val="20"/>
        </w:rPr>
        <w:t> </w:t>
      </w:r>
      <w:r>
        <w:rPr>
          <w:sz w:val="20"/>
        </w:rPr>
        <w:t>MODEL</w:t>
      </w:r>
      <w:r>
        <w:rPr>
          <w:spacing w:val="-8"/>
          <w:sz w:val="20"/>
        </w:rPr>
        <w:t> </w:t>
      </w:r>
      <w:r>
        <w:rPr>
          <w:spacing w:val="-5"/>
          <w:sz w:val="20"/>
        </w:rPr>
        <w:t>1B</w:t>
      </w:r>
    </w:p>
    <w:tbl>
      <w:tblPr>
        <w:tblW w:w="0" w:type="auto"/>
        <w:jc w:val="left"/>
        <w:tblInd w:w="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10"/>
        <w:gridCol w:w="1313"/>
        <w:gridCol w:w="1433"/>
        <w:gridCol w:w="937"/>
        <w:gridCol w:w="897"/>
      </w:tblGrid>
      <w:tr>
        <w:trPr>
          <w:trHeight w:val="225" w:hRule="atLeast"/>
        </w:trPr>
        <w:tc>
          <w:tcPr>
            <w:tcW w:w="6490" w:type="dxa"/>
            <w:gridSpan w:val="5"/>
          </w:tcPr>
          <w:p>
            <w:pPr>
              <w:pStyle w:val="TableParagraph"/>
              <w:spacing w:line="205" w:lineRule="exact"/>
              <w:ind w:left="36"/>
              <w:rPr>
                <w:sz w:val="20"/>
              </w:rPr>
            </w:pPr>
            <w:r>
              <w:rPr>
                <w:sz w:val="20"/>
              </w:rPr>
              <w:t>Dependent</w:t>
            </w:r>
            <w:r>
              <w:rPr>
                <w:spacing w:val="-8"/>
                <w:sz w:val="20"/>
              </w:rPr>
              <w:t> </w:t>
            </w:r>
            <w:r>
              <w:rPr>
                <w:sz w:val="20"/>
              </w:rPr>
              <w:t>Variable:</w:t>
            </w:r>
            <w:r>
              <w:rPr>
                <w:spacing w:val="-8"/>
                <w:sz w:val="20"/>
              </w:rPr>
              <w:t> </w:t>
            </w:r>
            <w:r>
              <w:rPr>
                <w:spacing w:val="-5"/>
                <w:sz w:val="20"/>
              </w:rPr>
              <w:t>KFM</w:t>
            </w:r>
          </w:p>
        </w:tc>
      </w:tr>
      <w:tr>
        <w:trPr>
          <w:trHeight w:val="230" w:hRule="atLeast"/>
        </w:trPr>
        <w:tc>
          <w:tcPr>
            <w:tcW w:w="1910" w:type="dxa"/>
          </w:tcPr>
          <w:p>
            <w:pPr>
              <w:pStyle w:val="TableParagraph"/>
              <w:spacing w:line="210" w:lineRule="exact"/>
              <w:ind w:left="36"/>
              <w:rPr>
                <w:sz w:val="20"/>
              </w:rPr>
            </w:pPr>
            <w:r>
              <w:rPr>
                <w:sz w:val="20"/>
              </w:rPr>
              <w:t>Method:</w:t>
            </w:r>
            <w:r>
              <w:rPr>
                <w:spacing w:val="-8"/>
                <w:sz w:val="20"/>
              </w:rPr>
              <w:t> </w:t>
            </w:r>
            <w:r>
              <w:rPr>
                <w:sz w:val="20"/>
              </w:rPr>
              <w:t>Least</w:t>
            </w:r>
            <w:r>
              <w:rPr>
                <w:spacing w:val="-7"/>
                <w:sz w:val="20"/>
              </w:rPr>
              <w:t> </w:t>
            </w:r>
            <w:r>
              <w:rPr>
                <w:spacing w:val="-2"/>
                <w:sz w:val="20"/>
              </w:rPr>
              <w:t>Squares</w:t>
            </w:r>
          </w:p>
        </w:tc>
        <w:tc>
          <w:tcPr>
            <w:tcW w:w="1313" w:type="dxa"/>
          </w:tcPr>
          <w:p>
            <w:pPr>
              <w:pStyle w:val="TableParagraph"/>
              <w:rPr>
                <w:sz w:val="16"/>
              </w:rPr>
            </w:pPr>
          </w:p>
        </w:tc>
        <w:tc>
          <w:tcPr>
            <w:tcW w:w="1433" w:type="dxa"/>
          </w:tcPr>
          <w:p>
            <w:pPr>
              <w:pStyle w:val="TableParagraph"/>
              <w:rPr>
                <w:sz w:val="16"/>
              </w:rPr>
            </w:pPr>
          </w:p>
        </w:tc>
        <w:tc>
          <w:tcPr>
            <w:tcW w:w="937" w:type="dxa"/>
          </w:tcPr>
          <w:p>
            <w:pPr>
              <w:pStyle w:val="TableParagraph"/>
              <w:rPr>
                <w:sz w:val="16"/>
              </w:rPr>
            </w:pPr>
          </w:p>
        </w:tc>
        <w:tc>
          <w:tcPr>
            <w:tcW w:w="897" w:type="dxa"/>
          </w:tcPr>
          <w:p>
            <w:pPr>
              <w:pStyle w:val="TableParagraph"/>
              <w:rPr>
                <w:sz w:val="16"/>
              </w:rPr>
            </w:pPr>
          </w:p>
        </w:tc>
      </w:tr>
      <w:tr>
        <w:trPr>
          <w:trHeight w:val="230" w:hRule="atLeast"/>
        </w:trPr>
        <w:tc>
          <w:tcPr>
            <w:tcW w:w="6490" w:type="dxa"/>
            <w:gridSpan w:val="5"/>
          </w:tcPr>
          <w:p>
            <w:pPr>
              <w:pStyle w:val="TableParagraph"/>
              <w:spacing w:line="210" w:lineRule="exact"/>
              <w:ind w:left="36"/>
              <w:rPr>
                <w:sz w:val="20"/>
              </w:rPr>
            </w:pPr>
            <w:r>
              <w:rPr>
                <w:sz w:val="20"/>
              </w:rPr>
              <w:t>Date:</w:t>
            </w:r>
            <w:r>
              <w:rPr>
                <w:spacing w:val="-5"/>
                <w:sz w:val="20"/>
              </w:rPr>
              <w:t> </w:t>
            </w:r>
            <w:r>
              <w:rPr>
                <w:sz w:val="20"/>
              </w:rPr>
              <w:t>02/18/14</w:t>
            </w:r>
            <w:r>
              <w:rPr>
                <w:spacing w:val="63"/>
                <w:w w:val="150"/>
                <w:sz w:val="20"/>
              </w:rPr>
              <w:t> </w:t>
            </w:r>
            <w:r>
              <w:rPr>
                <w:sz w:val="20"/>
              </w:rPr>
              <w:t>Time:</w:t>
            </w:r>
            <w:r>
              <w:rPr>
                <w:spacing w:val="-3"/>
                <w:sz w:val="20"/>
              </w:rPr>
              <w:t> </w:t>
            </w:r>
            <w:r>
              <w:rPr>
                <w:spacing w:val="-2"/>
                <w:sz w:val="20"/>
              </w:rPr>
              <w:t>13:24</w:t>
            </w:r>
          </w:p>
        </w:tc>
      </w:tr>
      <w:tr>
        <w:trPr>
          <w:trHeight w:val="229" w:hRule="atLeast"/>
        </w:trPr>
        <w:tc>
          <w:tcPr>
            <w:tcW w:w="1910" w:type="dxa"/>
          </w:tcPr>
          <w:p>
            <w:pPr>
              <w:pStyle w:val="TableParagraph"/>
              <w:spacing w:line="209" w:lineRule="exact"/>
              <w:ind w:left="36"/>
              <w:rPr>
                <w:sz w:val="20"/>
              </w:rPr>
            </w:pPr>
            <w:r>
              <w:rPr>
                <w:sz w:val="20"/>
              </w:rPr>
              <w:t>Sample:</w:t>
            </w:r>
            <w:r>
              <w:rPr>
                <w:spacing w:val="-5"/>
                <w:sz w:val="20"/>
              </w:rPr>
              <w:t> </w:t>
            </w:r>
            <w:r>
              <w:rPr>
                <w:sz w:val="20"/>
              </w:rPr>
              <w:t>1970</w:t>
            </w:r>
            <w:r>
              <w:rPr>
                <w:spacing w:val="-3"/>
                <w:sz w:val="20"/>
              </w:rPr>
              <w:t> </w:t>
            </w:r>
            <w:r>
              <w:rPr>
                <w:spacing w:val="-4"/>
                <w:sz w:val="20"/>
              </w:rPr>
              <w:t>2011</w:t>
            </w:r>
          </w:p>
        </w:tc>
        <w:tc>
          <w:tcPr>
            <w:tcW w:w="1313" w:type="dxa"/>
          </w:tcPr>
          <w:p>
            <w:pPr>
              <w:pStyle w:val="TableParagraph"/>
              <w:rPr>
                <w:sz w:val="16"/>
              </w:rPr>
            </w:pPr>
          </w:p>
        </w:tc>
        <w:tc>
          <w:tcPr>
            <w:tcW w:w="1433" w:type="dxa"/>
          </w:tcPr>
          <w:p>
            <w:pPr>
              <w:pStyle w:val="TableParagraph"/>
              <w:rPr>
                <w:sz w:val="16"/>
              </w:rPr>
            </w:pPr>
          </w:p>
        </w:tc>
        <w:tc>
          <w:tcPr>
            <w:tcW w:w="937" w:type="dxa"/>
          </w:tcPr>
          <w:p>
            <w:pPr>
              <w:pStyle w:val="TableParagraph"/>
              <w:rPr>
                <w:sz w:val="16"/>
              </w:rPr>
            </w:pPr>
          </w:p>
        </w:tc>
        <w:tc>
          <w:tcPr>
            <w:tcW w:w="897" w:type="dxa"/>
          </w:tcPr>
          <w:p>
            <w:pPr>
              <w:pStyle w:val="TableParagraph"/>
              <w:rPr>
                <w:sz w:val="16"/>
              </w:rPr>
            </w:pPr>
          </w:p>
        </w:tc>
      </w:tr>
      <w:tr>
        <w:trPr>
          <w:trHeight w:val="229" w:hRule="atLeast"/>
        </w:trPr>
        <w:tc>
          <w:tcPr>
            <w:tcW w:w="6490" w:type="dxa"/>
            <w:gridSpan w:val="5"/>
          </w:tcPr>
          <w:p>
            <w:pPr>
              <w:pStyle w:val="TableParagraph"/>
              <w:spacing w:line="209" w:lineRule="exact"/>
              <w:ind w:left="36"/>
              <w:rPr>
                <w:sz w:val="20"/>
              </w:rPr>
            </w:pPr>
            <w:r>
              <w:rPr>
                <w:sz w:val="20"/>
              </w:rPr>
              <w:t>Included</w:t>
            </w:r>
            <w:r>
              <w:rPr>
                <w:spacing w:val="-9"/>
                <w:sz w:val="20"/>
              </w:rPr>
              <w:t> </w:t>
            </w:r>
            <w:r>
              <w:rPr>
                <w:sz w:val="20"/>
              </w:rPr>
              <w:t>observations:</w:t>
            </w:r>
            <w:r>
              <w:rPr>
                <w:spacing w:val="-10"/>
                <w:sz w:val="20"/>
              </w:rPr>
              <w:t> </w:t>
            </w:r>
            <w:r>
              <w:rPr>
                <w:spacing w:val="-5"/>
                <w:sz w:val="20"/>
              </w:rPr>
              <w:t>41</w:t>
            </w:r>
          </w:p>
        </w:tc>
      </w:tr>
      <w:tr>
        <w:trPr>
          <w:trHeight w:val="224" w:hRule="atLeast"/>
        </w:trPr>
        <w:tc>
          <w:tcPr>
            <w:tcW w:w="6490" w:type="dxa"/>
            <w:gridSpan w:val="5"/>
            <w:tcBorders>
              <w:bottom w:val="double" w:sz="6" w:space="0" w:color="000000"/>
            </w:tcBorders>
          </w:tcPr>
          <w:p>
            <w:pPr>
              <w:pStyle w:val="TableParagraph"/>
              <w:spacing w:line="205" w:lineRule="exact"/>
              <w:ind w:left="36"/>
              <w:rPr>
                <w:sz w:val="20"/>
              </w:rPr>
            </w:pPr>
            <w:r>
              <w:rPr>
                <w:sz w:val="20"/>
              </w:rPr>
              <w:t>Excluded</w:t>
            </w:r>
            <w:r>
              <w:rPr>
                <w:spacing w:val="-9"/>
                <w:sz w:val="20"/>
              </w:rPr>
              <w:t> </w:t>
            </w:r>
            <w:r>
              <w:rPr>
                <w:sz w:val="20"/>
              </w:rPr>
              <w:t>observations:</w:t>
            </w:r>
            <w:r>
              <w:rPr>
                <w:spacing w:val="-11"/>
                <w:sz w:val="20"/>
              </w:rPr>
              <w:t> </w:t>
            </w:r>
            <w:r>
              <w:rPr>
                <w:spacing w:val="-10"/>
                <w:sz w:val="20"/>
              </w:rPr>
              <w:t>1</w:t>
            </w:r>
          </w:p>
        </w:tc>
      </w:tr>
      <w:tr>
        <w:trPr>
          <w:trHeight w:val="269" w:hRule="atLeast"/>
        </w:trPr>
        <w:tc>
          <w:tcPr>
            <w:tcW w:w="1910" w:type="dxa"/>
            <w:tcBorders>
              <w:top w:val="double" w:sz="6" w:space="0" w:color="000000"/>
              <w:bottom w:val="double" w:sz="6" w:space="0" w:color="000000"/>
            </w:tcBorders>
          </w:tcPr>
          <w:p>
            <w:pPr>
              <w:pStyle w:val="TableParagraph"/>
              <w:spacing w:line="209" w:lineRule="exact" w:before="40"/>
              <w:ind w:left="677"/>
              <w:rPr>
                <w:sz w:val="20"/>
              </w:rPr>
            </w:pPr>
            <w:r>
              <w:rPr>
                <w:spacing w:val="-2"/>
                <w:sz w:val="20"/>
              </w:rPr>
              <w:t>Variable</w:t>
            </w:r>
          </w:p>
        </w:tc>
        <w:tc>
          <w:tcPr>
            <w:tcW w:w="1313" w:type="dxa"/>
            <w:tcBorders>
              <w:top w:val="double" w:sz="6" w:space="0" w:color="000000"/>
              <w:bottom w:val="double" w:sz="6" w:space="0" w:color="000000"/>
            </w:tcBorders>
          </w:tcPr>
          <w:p>
            <w:pPr>
              <w:pStyle w:val="TableParagraph"/>
              <w:spacing w:line="209" w:lineRule="exact" w:before="40"/>
              <w:ind w:left="234" w:right="87"/>
              <w:jc w:val="center"/>
              <w:rPr>
                <w:sz w:val="20"/>
              </w:rPr>
            </w:pPr>
            <w:r>
              <w:rPr>
                <w:spacing w:val="-2"/>
                <w:sz w:val="20"/>
              </w:rPr>
              <w:t>Coefficient</w:t>
            </w:r>
          </w:p>
        </w:tc>
        <w:tc>
          <w:tcPr>
            <w:tcW w:w="1433" w:type="dxa"/>
            <w:tcBorders>
              <w:top w:val="double" w:sz="6" w:space="0" w:color="000000"/>
              <w:bottom w:val="double" w:sz="6" w:space="0" w:color="000000"/>
            </w:tcBorders>
          </w:tcPr>
          <w:p>
            <w:pPr>
              <w:pStyle w:val="TableParagraph"/>
              <w:spacing w:line="209" w:lineRule="exact" w:before="40"/>
              <w:ind w:left="272"/>
              <w:rPr>
                <w:sz w:val="20"/>
              </w:rPr>
            </w:pPr>
            <w:r>
              <w:rPr>
                <w:sz w:val="20"/>
              </w:rPr>
              <w:t>Std.</w:t>
            </w:r>
            <w:r>
              <w:rPr>
                <w:spacing w:val="-4"/>
                <w:sz w:val="20"/>
              </w:rPr>
              <w:t> </w:t>
            </w:r>
            <w:r>
              <w:rPr>
                <w:spacing w:val="-2"/>
                <w:sz w:val="20"/>
              </w:rPr>
              <w:t>Error</w:t>
            </w:r>
          </w:p>
        </w:tc>
        <w:tc>
          <w:tcPr>
            <w:tcW w:w="937" w:type="dxa"/>
            <w:tcBorders>
              <w:top w:val="double" w:sz="6" w:space="0" w:color="000000"/>
              <w:bottom w:val="double" w:sz="6" w:space="0" w:color="000000"/>
            </w:tcBorders>
          </w:tcPr>
          <w:p>
            <w:pPr>
              <w:pStyle w:val="TableParagraph"/>
              <w:spacing w:line="209" w:lineRule="exact" w:before="40"/>
              <w:ind w:right="115"/>
              <w:jc w:val="right"/>
              <w:rPr>
                <w:sz w:val="20"/>
              </w:rPr>
            </w:pPr>
            <w:r>
              <w:rPr>
                <w:spacing w:val="-4"/>
                <w:sz w:val="20"/>
              </w:rPr>
              <w:t>t-</w:t>
            </w:r>
            <w:r>
              <w:rPr>
                <w:spacing w:val="-2"/>
                <w:sz w:val="20"/>
              </w:rPr>
              <w:t>Statistic</w:t>
            </w:r>
          </w:p>
        </w:tc>
        <w:tc>
          <w:tcPr>
            <w:tcW w:w="897" w:type="dxa"/>
            <w:tcBorders>
              <w:top w:val="double" w:sz="6" w:space="0" w:color="000000"/>
              <w:bottom w:val="double" w:sz="6" w:space="0" w:color="000000"/>
            </w:tcBorders>
          </w:tcPr>
          <w:p>
            <w:pPr>
              <w:pStyle w:val="TableParagraph"/>
              <w:spacing w:line="209" w:lineRule="exact" w:before="40"/>
              <w:ind w:right="31"/>
              <w:jc w:val="right"/>
              <w:rPr>
                <w:sz w:val="20"/>
              </w:rPr>
            </w:pPr>
            <w:r>
              <w:rPr>
                <w:spacing w:val="-2"/>
                <w:sz w:val="20"/>
              </w:rPr>
              <w:t>Prob.</w:t>
            </w:r>
          </w:p>
        </w:tc>
      </w:tr>
      <w:tr>
        <w:trPr>
          <w:trHeight w:val="276" w:hRule="atLeast"/>
        </w:trPr>
        <w:tc>
          <w:tcPr>
            <w:tcW w:w="1910" w:type="dxa"/>
            <w:tcBorders>
              <w:top w:val="double" w:sz="6" w:space="0" w:color="000000"/>
            </w:tcBorders>
          </w:tcPr>
          <w:p>
            <w:pPr>
              <w:pStyle w:val="TableParagraph"/>
              <w:spacing w:line="214" w:lineRule="exact" w:before="43"/>
              <w:ind w:left="135" w:right="1"/>
              <w:jc w:val="center"/>
              <w:rPr>
                <w:sz w:val="20"/>
              </w:rPr>
            </w:pPr>
            <w:r>
              <w:rPr>
                <w:spacing w:val="-10"/>
                <w:sz w:val="20"/>
              </w:rPr>
              <w:t>C</w:t>
            </w:r>
          </w:p>
        </w:tc>
        <w:tc>
          <w:tcPr>
            <w:tcW w:w="1313" w:type="dxa"/>
            <w:tcBorders>
              <w:top w:val="double" w:sz="6" w:space="0" w:color="000000"/>
            </w:tcBorders>
          </w:tcPr>
          <w:p>
            <w:pPr>
              <w:pStyle w:val="TableParagraph"/>
              <w:spacing w:line="214" w:lineRule="exact" w:before="43"/>
              <w:ind w:left="298"/>
              <w:jc w:val="center"/>
              <w:rPr>
                <w:sz w:val="20"/>
              </w:rPr>
            </w:pPr>
            <w:r>
              <w:rPr>
                <w:spacing w:val="-2"/>
                <w:sz w:val="20"/>
              </w:rPr>
              <w:t>1.709477</w:t>
            </w:r>
          </w:p>
        </w:tc>
        <w:tc>
          <w:tcPr>
            <w:tcW w:w="1433" w:type="dxa"/>
            <w:tcBorders>
              <w:top w:val="double" w:sz="6" w:space="0" w:color="000000"/>
            </w:tcBorders>
          </w:tcPr>
          <w:p>
            <w:pPr>
              <w:pStyle w:val="TableParagraph"/>
              <w:spacing w:line="214" w:lineRule="exact" w:before="43"/>
              <w:ind w:left="310"/>
              <w:rPr>
                <w:sz w:val="20"/>
              </w:rPr>
            </w:pPr>
            <w:r>
              <w:rPr>
                <w:spacing w:val="-2"/>
                <w:sz w:val="20"/>
              </w:rPr>
              <w:t>2.183927</w:t>
            </w:r>
          </w:p>
        </w:tc>
        <w:tc>
          <w:tcPr>
            <w:tcW w:w="937" w:type="dxa"/>
            <w:tcBorders>
              <w:top w:val="double" w:sz="6" w:space="0" w:color="000000"/>
            </w:tcBorders>
          </w:tcPr>
          <w:p>
            <w:pPr>
              <w:pStyle w:val="TableParagraph"/>
              <w:spacing w:line="214" w:lineRule="exact" w:before="43"/>
              <w:ind w:right="113"/>
              <w:jc w:val="right"/>
              <w:rPr>
                <w:sz w:val="20"/>
              </w:rPr>
            </w:pPr>
            <w:r>
              <w:rPr>
                <w:spacing w:val="-2"/>
                <w:sz w:val="20"/>
              </w:rPr>
              <w:t>0.782754</w:t>
            </w:r>
          </w:p>
        </w:tc>
        <w:tc>
          <w:tcPr>
            <w:tcW w:w="897" w:type="dxa"/>
            <w:tcBorders>
              <w:top w:val="double" w:sz="6" w:space="0" w:color="000000"/>
            </w:tcBorders>
          </w:tcPr>
          <w:p>
            <w:pPr>
              <w:pStyle w:val="TableParagraph"/>
              <w:spacing w:line="214" w:lineRule="exact" w:before="43"/>
              <w:ind w:right="30"/>
              <w:jc w:val="right"/>
              <w:rPr>
                <w:sz w:val="20"/>
              </w:rPr>
            </w:pPr>
            <w:r>
              <w:rPr>
                <w:spacing w:val="-2"/>
                <w:sz w:val="20"/>
              </w:rPr>
              <w:t>0.4395</w:t>
            </w:r>
          </w:p>
        </w:tc>
      </w:tr>
      <w:tr>
        <w:trPr>
          <w:trHeight w:val="229" w:hRule="atLeast"/>
        </w:trPr>
        <w:tc>
          <w:tcPr>
            <w:tcW w:w="1910" w:type="dxa"/>
          </w:tcPr>
          <w:p>
            <w:pPr>
              <w:pStyle w:val="TableParagraph"/>
              <w:spacing w:line="209" w:lineRule="exact"/>
              <w:ind w:left="566"/>
              <w:rPr>
                <w:sz w:val="20"/>
              </w:rPr>
            </w:pPr>
            <w:r>
              <w:rPr>
                <w:spacing w:val="-2"/>
                <w:sz w:val="20"/>
              </w:rPr>
              <w:t>EXTDEBT</w:t>
            </w:r>
          </w:p>
        </w:tc>
        <w:tc>
          <w:tcPr>
            <w:tcW w:w="1313" w:type="dxa"/>
          </w:tcPr>
          <w:p>
            <w:pPr>
              <w:pStyle w:val="TableParagraph"/>
              <w:spacing w:line="209" w:lineRule="exact"/>
              <w:ind w:left="298"/>
              <w:jc w:val="center"/>
              <w:rPr>
                <w:sz w:val="20"/>
              </w:rPr>
            </w:pPr>
            <w:r>
              <w:rPr>
                <w:spacing w:val="-2"/>
                <w:sz w:val="20"/>
              </w:rPr>
              <w:t>0.230579</w:t>
            </w:r>
          </w:p>
        </w:tc>
        <w:tc>
          <w:tcPr>
            <w:tcW w:w="1433" w:type="dxa"/>
          </w:tcPr>
          <w:p>
            <w:pPr>
              <w:pStyle w:val="TableParagraph"/>
              <w:spacing w:line="209" w:lineRule="exact"/>
              <w:ind w:left="310"/>
              <w:rPr>
                <w:sz w:val="20"/>
              </w:rPr>
            </w:pPr>
            <w:r>
              <w:rPr>
                <w:spacing w:val="-2"/>
                <w:sz w:val="20"/>
              </w:rPr>
              <w:t>0.114668</w:t>
            </w:r>
          </w:p>
        </w:tc>
        <w:tc>
          <w:tcPr>
            <w:tcW w:w="937" w:type="dxa"/>
          </w:tcPr>
          <w:p>
            <w:pPr>
              <w:pStyle w:val="TableParagraph"/>
              <w:spacing w:line="209" w:lineRule="exact"/>
              <w:ind w:right="113"/>
              <w:jc w:val="right"/>
              <w:rPr>
                <w:sz w:val="20"/>
              </w:rPr>
            </w:pPr>
            <w:r>
              <w:rPr>
                <w:spacing w:val="-2"/>
                <w:sz w:val="20"/>
              </w:rPr>
              <w:t>2.010835</w:t>
            </w:r>
          </w:p>
        </w:tc>
        <w:tc>
          <w:tcPr>
            <w:tcW w:w="897" w:type="dxa"/>
          </w:tcPr>
          <w:p>
            <w:pPr>
              <w:pStyle w:val="TableParagraph"/>
              <w:spacing w:line="209" w:lineRule="exact"/>
              <w:ind w:right="30"/>
              <w:jc w:val="right"/>
              <w:rPr>
                <w:sz w:val="20"/>
              </w:rPr>
            </w:pPr>
            <w:r>
              <w:rPr>
                <w:spacing w:val="-2"/>
                <w:sz w:val="20"/>
              </w:rPr>
              <w:t>0.0528</w:t>
            </w:r>
          </w:p>
        </w:tc>
      </w:tr>
      <w:tr>
        <w:trPr>
          <w:trHeight w:val="230" w:hRule="atLeast"/>
        </w:trPr>
        <w:tc>
          <w:tcPr>
            <w:tcW w:w="1910" w:type="dxa"/>
          </w:tcPr>
          <w:p>
            <w:pPr>
              <w:pStyle w:val="TableParagraph"/>
              <w:spacing w:line="210" w:lineRule="exact"/>
              <w:ind w:left="135" w:right="4"/>
              <w:jc w:val="center"/>
              <w:rPr>
                <w:sz w:val="20"/>
              </w:rPr>
            </w:pPr>
            <w:r>
              <w:rPr>
                <w:spacing w:val="-5"/>
                <w:sz w:val="20"/>
              </w:rPr>
              <w:t>DOP</w:t>
            </w:r>
          </w:p>
        </w:tc>
        <w:tc>
          <w:tcPr>
            <w:tcW w:w="1313" w:type="dxa"/>
          </w:tcPr>
          <w:p>
            <w:pPr>
              <w:pStyle w:val="TableParagraph"/>
              <w:spacing w:line="210" w:lineRule="exact"/>
              <w:ind w:left="234"/>
              <w:jc w:val="center"/>
              <w:rPr>
                <w:sz w:val="20"/>
              </w:rPr>
            </w:pPr>
            <w:r>
              <w:rPr>
                <w:spacing w:val="-4"/>
                <w:sz w:val="20"/>
              </w:rPr>
              <w:t>-</w:t>
            </w:r>
            <w:r>
              <w:rPr>
                <w:spacing w:val="-2"/>
                <w:sz w:val="20"/>
              </w:rPr>
              <w:t>0.059823</w:t>
            </w:r>
          </w:p>
        </w:tc>
        <w:tc>
          <w:tcPr>
            <w:tcW w:w="1433" w:type="dxa"/>
          </w:tcPr>
          <w:p>
            <w:pPr>
              <w:pStyle w:val="TableParagraph"/>
              <w:spacing w:line="210" w:lineRule="exact"/>
              <w:ind w:left="310"/>
              <w:rPr>
                <w:sz w:val="20"/>
              </w:rPr>
            </w:pPr>
            <w:r>
              <w:rPr>
                <w:spacing w:val="-2"/>
                <w:sz w:val="20"/>
              </w:rPr>
              <w:t>0.890980</w:t>
            </w:r>
          </w:p>
        </w:tc>
        <w:tc>
          <w:tcPr>
            <w:tcW w:w="937" w:type="dxa"/>
          </w:tcPr>
          <w:p>
            <w:pPr>
              <w:pStyle w:val="TableParagraph"/>
              <w:spacing w:line="210" w:lineRule="exact"/>
              <w:ind w:right="113"/>
              <w:jc w:val="right"/>
              <w:rPr>
                <w:sz w:val="20"/>
              </w:rPr>
            </w:pPr>
            <w:r>
              <w:rPr>
                <w:spacing w:val="-4"/>
                <w:sz w:val="20"/>
              </w:rPr>
              <w:t>-</w:t>
            </w:r>
            <w:r>
              <w:rPr>
                <w:spacing w:val="-2"/>
                <w:sz w:val="20"/>
              </w:rPr>
              <w:t>0.067143</w:t>
            </w:r>
          </w:p>
        </w:tc>
        <w:tc>
          <w:tcPr>
            <w:tcW w:w="897" w:type="dxa"/>
          </w:tcPr>
          <w:p>
            <w:pPr>
              <w:pStyle w:val="TableParagraph"/>
              <w:spacing w:line="210" w:lineRule="exact"/>
              <w:ind w:right="30"/>
              <w:jc w:val="right"/>
              <w:rPr>
                <w:sz w:val="20"/>
              </w:rPr>
            </w:pPr>
            <w:r>
              <w:rPr>
                <w:spacing w:val="-2"/>
                <w:sz w:val="20"/>
              </w:rPr>
              <w:t>0.9469</w:t>
            </w:r>
          </w:p>
        </w:tc>
      </w:tr>
      <w:tr>
        <w:trPr>
          <w:trHeight w:val="230" w:hRule="atLeast"/>
        </w:trPr>
        <w:tc>
          <w:tcPr>
            <w:tcW w:w="1910" w:type="dxa"/>
          </w:tcPr>
          <w:p>
            <w:pPr>
              <w:pStyle w:val="TableParagraph"/>
              <w:spacing w:line="210" w:lineRule="exact"/>
              <w:ind w:left="135"/>
              <w:jc w:val="center"/>
              <w:rPr>
                <w:sz w:val="20"/>
              </w:rPr>
            </w:pPr>
            <w:r>
              <w:rPr>
                <w:spacing w:val="-5"/>
                <w:sz w:val="20"/>
              </w:rPr>
              <w:t>INF</w:t>
            </w:r>
          </w:p>
        </w:tc>
        <w:tc>
          <w:tcPr>
            <w:tcW w:w="1313" w:type="dxa"/>
          </w:tcPr>
          <w:p>
            <w:pPr>
              <w:pStyle w:val="TableParagraph"/>
              <w:spacing w:line="210" w:lineRule="exact"/>
              <w:ind w:left="234"/>
              <w:jc w:val="center"/>
              <w:rPr>
                <w:sz w:val="20"/>
              </w:rPr>
            </w:pPr>
            <w:r>
              <w:rPr>
                <w:spacing w:val="-4"/>
                <w:sz w:val="20"/>
              </w:rPr>
              <w:t>-</w:t>
            </w:r>
            <w:r>
              <w:rPr>
                <w:spacing w:val="-2"/>
                <w:sz w:val="20"/>
              </w:rPr>
              <w:t>0.084413</w:t>
            </w:r>
          </w:p>
        </w:tc>
        <w:tc>
          <w:tcPr>
            <w:tcW w:w="1433" w:type="dxa"/>
          </w:tcPr>
          <w:p>
            <w:pPr>
              <w:pStyle w:val="TableParagraph"/>
              <w:spacing w:line="210" w:lineRule="exact"/>
              <w:ind w:left="310"/>
              <w:rPr>
                <w:sz w:val="20"/>
              </w:rPr>
            </w:pPr>
            <w:r>
              <w:rPr>
                <w:spacing w:val="-2"/>
                <w:sz w:val="20"/>
              </w:rPr>
              <w:t>0.303162</w:t>
            </w:r>
          </w:p>
        </w:tc>
        <w:tc>
          <w:tcPr>
            <w:tcW w:w="937" w:type="dxa"/>
          </w:tcPr>
          <w:p>
            <w:pPr>
              <w:pStyle w:val="TableParagraph"/>
              <w:spacing w:line="210" w:lineRule="exact"/>
              <w:ind w:right="113"/>
              <w:jc w:val="right"/>
              <w:rPr>
                <w:sz w:val="20"/>
              </w:rPr>
            </w:pPr>
            <w:r>
              <w:rPr>
                <w:spacing w:val="-4"/>
                <w:sz w:val="20"/>
              </w:rPr>
              <w:t>-</w:t>
            </w:r>
            <w:r>
              <w:rPr>
                <w:spacing w:val="-2"/>
                <w:sz w:val="20"/>
              </w:rPr>
              <w:t>0.278443</w:t>
            </w:r>
          </w:p>
        </w:tc>
        <w:tc>
          <w:tcPr>
            <w:tcW w:w="897" w:type="dxa"/>
          </w:tcPr>
          <w:p>
            <w:pPr>
              <w:pStyle w:val="TableParagraph"/>
              <w:spacing w:line="210" w:lineRule="exact"/>
              <w:ind w:right="30"/>
              <w:jc w:val="right"/>
              <w:rPr>
                <w:sz w:val="20"/>
              </w:rPr>
            </w:pPr>
            <w:r>
              <w:rPr>
                <w:spacing w:val="-2"/>
                <w:sz w:val="20"/>
              </w:rPr>
              <w:t>0.7825</w:t>
            </w:r>
          </w:p>
        </w:tc>
      </w:tr>
      <w:tr>
        <w:trPr>
          <w:trHeight w:val="230" w:hRule="atLeast"/>
        </w:trPr>
        <w:tc>
          <w:tcPr>
            <w:tcW w:w="1910" w:type="dxa"/>
          </w:tcPr>
          <w:p>
            <w:pPr>
              <w:pStyle w:val="TableParagraph"/>
              <w:spacing w:line="210" w:lineRule="exact"/>
              <w:ind w:left="135" w:right="2"/>
              <w:jc w:val="center"/>
              <w:rPr>
                <w:sz w:val="20"/>
              </w:rPr>
            </w:pPr>
            <w:r>
              <w:rPr>
                <w:spacing w:val="-5"/>
                <w:sz w:val="20"/>
              </w:rPr>
              <w:t>GCF</w:t>
            </w:r>
          </w:p>
        </w:tc>
        <w:tc>
          <w:tcPr>
            <w:tcW w:w="1313" w:type="dxa"/>
          </w:tcPr>
          <w:p>
            <w:pPr>
              <w:pStyle w:val="TableParagraph"/>
              <w:spacing w:line="210" w:lineRule="exact"/>
              <w:ind w:left="234"/>
              <w:jc w:val="center"/>
              <w:rPr>
                <w:sz w:val="20"/>
              </w:rPr>
            </w:pPr>
            <w:r>
              <w:rPr>
                <w:spacing w:val="-4"/>
                <w:sz w:val="20"/>
              </w:rPr>
              <w:t>-</w:t>
            </w:r>
            <w:r>
              <w:rPr>
                <w:spacing w:val="-2"/>
                <w:sz w:val="20"/>
              </w:rPr>
              <w:t>0.023812</w:t>
            </w:r>
          </w:p>
        </w:tc>
        <w:tc>
          <w:tcPr>
            <w:tcW w:w="1433" w:type="dxa"/>
          </w:tcPr>
          <w:p>
            <w:pPr>
              <w:pStyle w:val="TableParagraph"/>
              <w:spacing w:line="210" w:lineRule="exact"/>
              <w:ind w:left="310"/>
              <w:rPr>
                <w:sz w:val="20"/>
              </w:rPr>
            </w:pPr>
            <w:r>
              <w:rPr>
                <w:spacing w:val="-2"/>
                <w:sz w:val="20"/>
              </w:rPr>
              <w:t>0.128507</w:t>
            </w:r>
          </w:p>
        </w:tc>
        <w:tc>
          <w:tcPr>
            <w:tcW w:w="937" w:type="dxa"/>
          </w:tcPr>
          <w:p>
            <w:pPr>
              <w:pStyle w:val="TableParagraph"/>
              <w:spacing w:line="210" w:lineRule="exact"/>
              <w:ind w:right="113"/>
              <w:jc w:val="right"/>
              <w:rPr>
                <w:sz w:val="20"/>
              </w:rPr>
            </w:pPr>
            <w:r>
              <w:rPr>
                <w:spacing w:val="-4"/>
                <w:sz w:val="20"/>
              </w:rPr>
              <w:t>-</w:t>
            </w:r>
            <w:r>
              <w:rPr>
                <w:spacing w:val="-2"/>
                <w:sz w:val="20"/>
              </w:rPr>
              <w:t>0.185293</w:t>
            </w:r>
          </w:p>
        </w:tc>
        <w:tc>
          <w:tcPr>
            <w:tcW w:w="897" w:type="dxa"/>
          </w:tcPr>
          <w:p>
            <w:pPr>
              <w:pStyle w:val="TableParagraph"/>
              <w:spacing w:line="210" w:lineRule="exact"/>
              <w:ind w:right="30"/>
              <w:jc w:val="right"/>
              <w:rPr>
                <w:sz w:val="20"/>
              </w:rPr>
            </w:pPr>
            <w:r>
              <w:rPr>
                <w:spacing w:val="-2"/>
                <w:sz w:val="20"/>
              </w:rPr>
              <w:t>0.8542</w:t>
            </w:r>
          </w:p>
        </w:tc>
      </w:tr>
      <w:tr>
        <w:trPr>
          <w:trHeight w:val="230" w:hRule="atLeast"/>
        </w:trPr>
        <w:tc>
          <w:tcPr>
            <w:tcW w:w="1910" w:type="dxa"/>
          </w:tcPr>
          <w:p>
            <w:pPr>
              <w:pStyle w:val="TableParagraph"/>
              <w:spacing w:line="210" w:lineRule="exact"/>
              <w:ind w:left="135" w:right="1"/>
              <w:jc w:val="center"/>
              <w:rPr>
                <w:sz w:val="20"/>
              </w:rPr>
            </w:pPr>
            <w:r>
              <w:rPr>
                <w:spacing w:val="-5"/>
                <w:sz w:val="20"/>
              </w:rPr>
              <w:t>DR</w:t>
            </w:r>
          </w:p>
        </w:tc>
        <w:tc>
          <w:tcPr>
            <w:tcW w:w="1313" w:type="dxa"/>
          </w:tcPr>
          <w:p>
            <w:pPr>
              <w:pStyle w:val="TableParagraph"/>
              <w:spacing w:line="210" w:lineRule="exact"/>
              <w:ind w:left="234"/>
              <w:jc w:val="center"/>
              <w:rPr>
                <w:sz w:val="20"/>
              </w:rPr>
            </w:pPr>
            <w:r>
              <w:rPr>
                <w:spacing w:val="-4"/>
                <w:sz w:val="20"/>
              </w:rPr>
              <w:t>-</w:t>
            </w:r>
            <w:r>
              <w:rPr>
                <w:spacing w:val="-2"/>
                <w:sz w:val="20"/>
              </w:rPr>
              <w:t>0.134784</w:t>
            </w:r>
          </w:p>
        </w:tc>
        <w:tc>
          <w:tcPr>
            <w:tcW w:w="1433" w:type="dxa"/>
          </w:tcPr>
          <w:p>
            <w:pPr>
              <w:pStyle w:val="TableParagraph"/>
              <w:spacing w:line="210" w:lineRule="exact"/>
              <w:ind w:left="310"/>
              <w:rPr>
                <w:sz w:val="20"/>
              </w:rPr>
            </w:pPr>
            <w:r>
              <w:rPr>
                <w:spacing w:val="-2"/>
                <w:sz w:val="20"/>
              </w:rPr>
              <w:t>0.485097</w:t>
            </w:r>
          </w:p>
        </w:tc>
        <w:tc>
          <w:tcPr>
            <w:tcW w:w="937" w:type="dxa"/>
          </w:tcPr>
          <w:p>
            <w:pPr>
              <w:pStyle w:val="TableParagraph"/>
              <w:spacing w:line="210" w:lineRule="exact"/>
              <w:ind w:right="113"/>
              <w:jc w:val="right"/>
              <w:rPr>
                <w:sz w:val="20"/>
              </w:rPr>
            </w:pPr>
            <w:r>
              <w:rPr>
                <w:spacing w:val="-4"/>
                <w:sz w:val="20"/>
              </w:rPr>
              <w:t>-</w:t>
            </w:r>
            <w:r>
              <w:rPr>
                <w:spacing w:val="-2"/>
                <w:sz w:val="20"/>
              </w:rPr>
              <w:t>0.277849</w:t>
            </w:r>
          </w:p>
        </w:tc>
        <w:tc>
          <w:tcPr>
            <w:tcW w:w="897" w:type="dxa"/>
          </w:tcPr>
          <w:p>
            <w:pPr>
              <w:pStyle w:val="TableParagraph"/>
              <w:spacing w:line="210" w:lineRule="exact"/>
              <w:ind w:right="30"/>
              <w:jc w:val="right"/>
              <w:rPr>
                <w:sz w:val="20"/>
              </w:rPr>
            </w:pPr>
            <w:r>
              <w:rPr>
                <w:spacing w:val="-2"/>
                <w:sz w:val="20"/>
              </w:rPr>
              <w:t>0.7829</w:t>
            </w:r>
          </w:p>
        </w:tc>
      </w:tr>
      <w:tr>
        <w:trPr>
          <w:trHeight w:val="229" w:hRule="atLeast"/>
        </w:trPr>
        <w:tc>
          <w:tcPr>
            <w:tcW w:w="1910" w:type="dxa"/>
          </w:tcPr>
          <w:p>
            <w:pPr>
              <w:pStyle w:val="TableParagraph"/>
              <w:spacing w:line="209" w:lineRule="exact"/>
              <w:ind w:left="660"/>
              <w:rPr>
                <w:sz w:val="20"/>
              </w:rPr>
            </w:pPr>
            <w:r>
              <w:rPr>
                <w:spacing w:val="-2"/>
                <w:sz w:val="20"/>
              </w:rPr>
              <w:t>PRIVCR</w:t>
            </w:r>
          </w:p>
        </w:tc>
        <w:tc>
          <w:tcPr>
            <w:tcW w:w="1313" w:type="dxa"/>
          </w:tcPr>
          <w:p>
            <w:pPr>
              <w:pStyle w:val="TableParagraph"/>
              <w:spacing w:line="209" w:lineRule="exact"/>
              <w:ind w:left="234"/>
              <w:jc w:val="center"/>
              <w:rPr>
                <w:sz w:val="20"/>
              </w:rPr>
            </w:pPr>
            <w:r>
              <w:rPr>
                <w:spacing w:val="-4"/>
                <w:sz w:val="20"/>
              </w:rPr>
              <w:t>-</w:t>
            </w:r>
            <w:r>
              <w:rPr>
                <w:spacing w:val="-2"/>
                <w:sz w:val="20"/>
              </w:rPr>
              <w:t>0.042269</w:t>
            </w:r>
          </w:p>
        </w:tc>
        <w:tc>
          <w:tcPr>
            <w:tcW w:w="1433" w:type="dxa"/>
          </w:tcPr>
          <w:p>
            <w:pPr>
              <w:pStyle w:val="TableParagraph"/>
              <w:spacing w:line="209" w:lineRule="exact"/>
              <w:ind w:left="310"/>
              <w:rPr>
                <w:sz w:val="20"/>
              </w:rPr>
            </w:pPr>
            <w:r>
              <w:rPr>
                <w:spacing w:val="-2"/>
                <w:sz w:val="20"/>
              </w:rPr>
              <w:t>0.468172</w:t>
            </w:r>
          </w:p>
        </w:tc>
        <w:tc>
          <w:tcPr>
            <w:tcW w:w="937" w:type="dxa"/>
          </w:tcPr>
          <w:p>
            <w:pPr>
              <w:pStyle w:val="TableParagraph"/>
              <w:spacing w:line="209" w:lineRule="exact"/>
              <w:ind w:right="113"/>
              <w:jc w:val="right"/>
              <w:rPr>
                <w:sz w:val="20"/>
              </w:rPr>
            </w:pPr>
            <w:r>
              <w:rPr>
                <w:spacing w:val="-4"/>
                <w:sz w:val="20"/>
              </w:rPr>
              <w:t>-</w:t>
            </w:r>
            <w:r>
              <w:rPr>
                <w:spacing w:val="-2"/>
                <w:sz w:val="20"/>
              </w:rPr>
              <w:t>0.090286</w:t>
            </w:r>
          </w:p>
        </w:tc>
        <w:tc>
          <w:tcPr>
            <w:tcW w:w="897" w:type="dxa"/>
          </w:tcPr>
          <w:p>
            <w:pPr>
              <w:pStyle w:val="TableParagraph"/>
              <w:spacing w:line="209" w:lineRule="exact"/>
              <w:ind w:right="30"/>
              <w:jc w:val="right"/>
              <w:rPr>
                <w:sz w:val="20"/>
              </w:rPr>
            </w:pPr>
            <w:r>
              <w:rPr>
                <w:spacing w:val="-2"/>
                <w:sz w:val="20"/>
              </w:rPr>
              <w:t>0.9286</w:t>
            </w:r>
          </w:p>
        </w:tc>
      </w:tr>
      <w:tr>
        <w:trPr>
          <w:trHeight w:val="229" w:hRule="atLeast"/>
        </w:trPr>
        <w:tc>
          <w:tcPr>
            <w:tcW w:w="1910" w:type="dxa"/>
          </w:tcPr>
          <w:p>
            <w:pPr>
              <w:pStyle w:val="TableParagraph"/>
              <w:spacing w:line="209" w:lineRule="exact"/>
              <w:ind w:left="722"/>
              <w:rPr>
                <w:sz w:val="20"/>
              </w:rPr>
            </w:pPr>
            <w:r>
              <w:rPr>
                <w:spacing w:val="-2"/>
                <w:sz w:val="20"/>
              </w:rPr>
              <w:t>USIRD</w:t>
            </w:r>
          </w:p>
        </w:tc>
        <w:tc>
          <w:tcPr>
            <w:tcW w:w="1313" w:type="dxa"/>
          </w:tcPr>
          <w:p>
            <w:pPr>
              <w:pStyle w:val="TableParagraph"/>
              <w:spacing w:line="209" w:lineRule="exact"/>
              <w:ind w:left="298"/>
              <w:jc w:val="center"/>
              <w:rPr>
                <w:sz w:val="20"/>
              </w:rPr>
            </w:pPr>
            <w:r>
              <w:rPr>
                <w:spacing w:val="-2"/>
                <w:sz w:val="20"/>
              </w:rPr>
              <w:t>0.008644</w:t>
            </w:r>
          </w:p>
        </w:tc>
        <w:tc>
          <w:tcPr>
            <w:tcW w:w="1433" w:type="dxa"/>
          </w:tcPr>
          <w:p>
            <w:pPr>
              <w:pStyle w:val="TableParagraph"/>
              <w:spacing w:line="209" w:lineRule="exact"/>
              <w:ind w:left="310"/>
              <w:rPr>
                <w:sz w:val="20"/>
              </w:rPr>
            </w:pPr>
            <w:r>
              <w:rPr>
                <w:spacing w:val="-2"/>
                <w:sz w:val="20"/>
              </w:rPr>
              <w:t>0.306105</w:t>
            </w:r>
          </w:p>
        </w:tc>
        <w:tc>
          <w:tcPr>
            <w:tcW w:w="937" w:type="dxa"/>
          </w:tcPr>
          <w:p>
            <w:pPr>
              <w:pStyle w:val="TableParagraph"/>
              <w:spacing w:line="209" w:lineRule="exact"/>
              <w:ind w:right="113"/>
              <w:jc w:val="right"/>
              <w:rPr>
                <w:sz w:val="20"/>
              </w:rPr>
            </w:pPr>
            <w:r>
              <w:rPr>
                <w:spacing w:val="-2"/>
                <w:sz w:val="20"/>
              </w:rPr>
              <w:t>0.028238</w:t>
            </w:r>
          </w:p>
        </w:tc>
        <w:tc>
          <w:tcPr>
            <w:tcW w:w="897" w:type="dxa"/>
          </w:tcPr>
          <w:p>
            <w:pPr>
              <w:pStyle w:val="TableParagraph"/>
              <w:spacing w:line="209" w:lineRule="exact"/>
              <w:ind w:right="30"/>
              <w:jc w:val="right"/>
              <w:rPr>
                <w:sz w:val="20"/>
              </w:rPr>
            </w:pPr>
            <w:r>
              <w:rPr>
                <w:spacing w:val="-2"/>
                <w:sz w:val="20"/>
              </w:rPr>
              <w:t>0.9776</w:t>
            </w:r>
          </w:p>
        </w:tc>
      </w:tr>
      <w:tr>
        <w:trPr>
          <w:trHeight w:val="224" w:hRule="atLeast"/>
        </w:trPr>
        <w:tc>
          <w:tcPr>
            <w:tcW w:w="1910" w:type="dxa"/>
            <w:tcBorders>
              <w:bottom w:val="double" w:sz="6" w:space="0" w:color="000000"/>
            </w:tcBorders>
          </w:tcPr>
          <w:p>
            <w:pPr>
              <w:pStyle w:val="TableParagraph"/>
              <w:spacing w:line="205" w:lineRule="exact"/>
              <w:ind w:left="749"/>
              <w:rPr>
                <w:sz w:val="20"/>
              </w:rPr>
            </w:pPr>
            <w:r>
              <w:rPr>
                <w:spacing w:val="-4"/>
                <w:sz w:val="20"/>
              </w:rPr>
              <w:t>GOCE</w:t>
            </w:r>
          </w:p>
        </w:tc>
        <w:tc>
          <w:tcPr>
            <w:tcW w:w="1313" w:type="dxa"/>
            <w:tcBorders>
              <w:bottom w:val="double" w:sz="6" w:space="0" w:color="000000"/>
            </w:tcBorders>
          </w:tcPr>
          <w:p>
            <w:pPr>
              <w:pStyle w:val="TableParagraph"/>
              <w:spacing w:line="205" w:lineRule="exact"/>
              <w:ind w:left="298"/>
              <w:jc w:val="center"/>
              <w:rPr>
                <w:sz w:val="20"/>
              </w:rPr>
            </w:pPr>
            <w:r>
              <w:rPr>
                <w:spacing w:val="-2"/>
                <w:sz w:val="20"/>
              </w:rPr>
              <w:t>0.764468</w:t>
            </w:r>
          </w:p>
        </w:tc>
        <w:tc>
          <w:tcPr>
            <w:tcW w:w="1433" w:type="dxa"/>
            <w:tcBorders>
              <w:bottom w:val="double" w:sz="6" w:space="0" w:color="000000"/>
            </w:tcBorders>
          </w:tcPr>
          <w:p>
            <w:pPr>
              <w:pStyle w:val="TableParagraph"/>
              <w:spacing w:line="205" w:lineRule="exact"/>
              <w:ind w:left="310"/>
              <w:rPr>
                <w:sz w:val="20"/>
              </w:rPr>
            </w:pPr>
            <w:r>
              <w:rPr>
                <w:spacing w:val="-2"/>
                <w:sz w:val="20"/>
              </w:rPr>
              <w:t>0.585399</w:t>
            </w:r>
          </w:p>
        </w:tc>
        <w:tc>
          <w:tcPr>
            <w:tcW w:w="937" w:type="dxa"/>
            <w:tcBorders>
              <w:bottom w:val="double" w:sz="6" w:space="0" w:color="000000"/>
            </w:tcBorders>
          </w:tcPr>
          <w:p>
            <w:pPr>
              <w:pStyle w:val="TableParagraph"/>
              <w:spacing w:line="205" w:lineRule="exact"/>
              <w:ind w:right="113"/>
              <w:jc w:val="right"/>
              <w:rPr>
                <w:sz w:val="20"/>
              </w:rPr>
            </w:pPr>
            <w:r>
              <w:rPr>
                <w:spacing w:val="-2"/>
                <w:sz w:val="20"/>
              </w:rPr>
              <w:t>1.305894</w:t>
            </w:r>
          </w:p>
        </w:tc>
        <w:tc>
          <w:tcPr>
            <w:tcW w:w="897" w:type="dxa"/>
            <w:tcBorders>
              <w:bottom w:val="double" w:sz="6" w:space="0" w:color="000000"/>
            </w:tcBorders>
          </w:tcPr>
          <w:p>
            <w:pPr>
              <w:pStyle w:val="TableParagraph"/>
              <w:spacing w:line="205" w:lineRule="exact"/>
              <w:ind w:right="30"/>
              <w:jc w:val="right"/>
              <w:rPr>
                <w:sz w:val="20"/>
              </w:rPr>
            </w:pPr>
            <w:r>
              <w:rPr>
                <w:spacing w:val="-2"/>
                <w:sz w:val="20"/>
              </w:rPr>
              <w:t>0.2009</w:t>
            </w:r>
          </w:p>
        </w:tc>
      </w:tr>
      <w:tr>
        <w:trPr>
          <w:trHeight w:val="275" w:hRule="atLeast"/>
        </w:trPr>
        <w:tc>
          <w:tcPr>
            <w:tcW w:w="1910" w:type="dxa"/>
            <w:tcBorders>
              <w:top w:val="double" w:sz="6" w:space="0" w:color="000000"/>
            </w:tcBorders>
          </w:tcPr>
          <w:p>
            <w:pPr>
              <w:pStyle w:val="TableParagraph"/>
              <w:spacing w:line="215" w:lineRule="exact" w:before="40"/>
              <w:ind w:left="36"/>
              <w:rPr>
                <w:sz w:val="20"/>
              </w:rPr>
            </w:pPr>
            <w:r>
              <w:rPr>
                <w:spacing w:val="-2"/>
                <w:sz w:val="20"/>
              </w:rPr>
              <w:t>R-squared</w:t>
            </w:r>
          </w:p>
        </w:tc>
        <w:tc>
          <w:tcPr>
            <w:tcW w:w="1313" w:type="dxa"/>
            <w:tcBorders>
              <w:top w:val="double" w:sz="6" w:space="0" w:color="000000"/>
            </w:tcBorders>
          </w:tcPr>
          <w:p>
            <w:pPr>
              <w:pStyle w:val="TableParagraph"/>
              <w:spacing w:line="215" w:lineRule="exact" w:before="40"/>
              <w:ind w:left="298"/>
              <w:jc w:val="center"/>
              <w:rPr>
                <w:sz w:val="20"/>
              </w:rPr>
            </w:pPr>
            <w:r>
              <w:rPr>
                <w:spacing w:val="-2"/>
                <w:sz w:val="20"/>
              </w:rPr>
              <w:t>0.881447</w:t>
            </w:r>
          </w:p>
        </w:tc>
        <w:tc>
          <w:tcPr>
            <w:tcW w:w="2370" w:type="dxa"/>
            <w:gridSpan w:val="2"/>
            <w:tcBorders>
              <w:top w:val="double" w:sz="6" w:space="0" w:color="000000"/>
            </w:tcBorders>
          </w:tcPr>
          <w:p>
            <w:pPr>
              <w:pStyle w:val="TableParagraph"/>
              <w:spacing w:line="215" w:lineRule="exact" w:before="40"/>
              <w:ind w:left="130"/>
              <w:rPr>
                <w:sz w:val="20"/>
              </w:rPr>
            </w:pPr>
            <w:r>
              <w:rPr>
                <w:sz w:val="20"/>
              </w:rPr>
              <w:t>Mean</w:t>
            </w:r>
            <w:r>
              <w:rPr>
                <w:spacing w:val="-7"/>
                <w:sz w:val="20"/>
              </w:rPr>
              <w:t> </w:t>
            </w:r>
            <w:r>
              <w:rPr>
                <w:sz w:val="20"/>
              </w:rPr>
              <w:t>dependent</w:t>
            </w:r>
            <w:r>
              <w:rPr>
                <w:spacing w:val="-7"/>
                <w:sz w:val="20"/>
              </w:rPr>
              <w:t> </w:t>
            </w:r>
            <w:r>
              <w:rPr>
                <w:spacing w:val="-5"/>
                <w:sz w:val="20"/>
              </w:rPr>
              <w:t>var</w:t>
            </w:r>
          </w:p>
        </w:tc>
        <w:tc>
          <w:tcPr>
            <w:tcW w:w="897" w:type="dxa"/>
            <w:tcBorders>
              <w:top w:val="double" w:sz="6" w:space="0" w:color="000000"/>
            </w:tcBorders>
          </w:tcPr>
          <w:p>
            <w:pPr>
              <w:pStyle w:val="TableParagraph"/>
              <w:spacing w:line="215" w:lineRule="exact" w:before="40"/>
              <w:ind w:right="30"/>
              <w:jc w:val="right"/>
              <w:rPr>
                <w:sz w:val="20"/>
              </w:rPr>
            </w:pPr>
            <w:r>
              <w:rPr>
                <w:spacing w:val="-2"/>
                <w:sz w:val="20"/>
              </w:rPr>
              <w:t>10.98126</w:t>
            </w:r>
          </w:p>
        </w:tc>
      </w:tr>
      <w:tr>
        <w:trPr>
          <w:trHeight w:val="230" w:hRule="atLeast"/>
        </w:trPr>
        <w:tc>
          <w:tcPr>
            <w:tcW w:w="1910" w:type="dxa"/>
          </w:tcPr>
          <w:p>
            <w:pPr>
              <w:pStyle w:val="TableParagraph"/>
              <w:spacing w:line="210" w:lineRule="exact"/>
              <w:ind w:left="36"/>
              <w:rPr>
                <w:sz w:val="20"/>
              </w:rPr>
            </w:pPr>
            <w:r>
              <w:rPr>
                <w:sz w:val="20"/>
              </w:rPr>
              <w:t>Adjusted</w:t>
            </w:r>
            <w:r>
              <w:rPr>
                <w:spacing w:val="-10"/>
                <w:sz w:val="20"/>
              </w:rPr>
              <w:t> </w:t>
            </w:r>
            <w:r>
              <w:rPr>
                <w:sz w:val="20"/>
              </w:rPr>
              <w:t>R-</w:t>
            </w:r>
            <w:r>
              <w:rPr>
                <w:spacing w:val="-2"/>
                <w:sz w:val="20"/>
              </w:rPr>
              <w:t>squared</w:t>
            </w:r>
          </w:p>
        </w:tc>
        <w:tc>
          <w:tcPr>
            <w:tcW w:w="1313" w:type="dxa"/>
          </w:tcPr>
          <w:p>
            <w:pPr>
              <w:pStyle w:val="TableParagraph"/>
              <w:spacing w:line="210" w:lineRule="exact"/>
              <w:ind w:left="298"/>
              <w:jc w:val="center"/>
              <w:rPr>
                <w:sz w:val="20"/>
              </w:rPr>
            </w:pPr>
            <w:r>
              <w:rPr>
                <w:spacing w:val="-2"/>
                <w:sz w:val="20"/>
              </w:rPr>
              <w:t>0.851809</w:t>
            </w:r>
          </w:p>
        </w:tc>
        <w:tc>
          <w:tcPr>
            <w:tcW w:w="2370" w:type="dxa"/>
            <w:gridSpan w:val="2"/>
          </w:tcPr>
          <w:p>
            <w:pPr>
              <w:pStyle w:val="TableParagraph"/>
              <w:spacing w:line="210" w:lineRule="exact"/>
              <w:ind w:left="130"/>
              <w:rPr>
                <w:sz w:val="20"/>
              </w:rPr>
            </w:pPr>
            <w:r>
              <w:rPr>
                <w:sz w:val="20"/>
              </w:rPr>
              <w:t>S.D.</w:t>
            </w:r>
            <w:r>
              <w:rPr>
                <w:spacing w:val="-5"/>
                <w:sz w:val="20"/>
              </w:rPr>
              <w:t> </w:t>
            </w:r>
            <w:r>
              <w:rPr>
                <w:sz w:val="20"/>
              </w:rPr>
              <w:t>dependent</w:t>
            </w:r>
            <w:r>
              <w:rPr>
                <w:spacing w:val="-6"/>
                <w:sz w:val="20"/>
              </w:rPr>
              <w:t> </w:t>
            </w:r>
            <w:r>
              <w:rPr>
                <w:spacing w:val="-5"/>
                <w:sz w:val="20"/>
              </w:rPr>
              <w:t>var</w:t>
            </w:r>
          </w:p>
        </w:tc>
        <w:tc>
          <w:tcPr>
            <w:tcW w:w="897" w:type="dxa"/>
          </w:tcPr>
          <w:p>
            <w:pPr>
              <w:pStyle w:val="TableParagraph"/>
              <w:spacing w:line="210" w:lineRule="exact"/>
              <w:ind w:right="30"/>
              <w:jc w:val="right"/>
              <w:rPr>
                <w:sz w:val="20"/>
              </w:rPr>
            </w:pPr>
            <w:r>
              <w:rPr>
                <w:spacing w:val="-2"/>
                <w:sz w:val="20"/>
              </w:rPr>
              <w:t>2.885465</w:t>
            </w:r>
          </w:p>
        </w:tc>
      </w:tr>
      <w:tr>
        <w:trPr>
          <w:trHeight w:val="230" w:hRule="atLeast"/>
        </w:trPr>
        <w:tc>
          <w:tcPr>
            <w:tcW w:w="1910" w:type="dxa"/>
          </w:tcPr>
          <w:p>
            <w:pPr>
              <w:pStyle w:val="TableParagraph"/>
              <w:spacing w:line="210" w:lineRule="exact"/>
              <w:ind w:left="36"/>
              <w:rPr>
                <w:sz w:val="20"/>
              </w:rPr>
            </w:pPr>
            <w:r>
              <w:rPr>
                <w:sz w:val="20"/>
              </w:rPr>
              <w:t>S.E.</w:t>
            </w:r>
            <w:r>
              <w:rPr>
                <w:spacing w:val="-3"/>
                <w:sz w:val="20"/>
              </w:rPr>
              <w:t> </w:t>
            </w:r>
            <w:r>
              <w:rPr>
                <w:sz w:val="20"/>
              </w:rPr>
              <w:t>of</w:t>
            </w:r>
            <w:r>
              <w:rPr>
                <w:spacing w:val="-3"/>
                <w:sz w:val="20"/>
              </w:rPr>
              <w:t> </w:t>
            </w:r>
            <w:r>
              <w:rPr>
                <w:spacing w:val="-2"/>
                <w:sz w:val="20"/>
              </w:rPr>
              <w:t>regression</w:t>
            </w:r>
          </w:p>
        </w:tc>
        <w:tc>
          <w:tcPr>
            <w:tcW w:w="1313" w:type="dxa"/>
          </w:tcPr>
          <w:p>
            <w:pPr>
              <w:pStyle w:val="TableParagraph"/>
              <w:spacing w:line="210" w:lineRule="exact"/>
              <w:ind w:left="298"/>
              <w:jc w:val="center"/>
              <w:rPr>
                <w:sz w:val="20"/>
              </w:rPr>
            </w:pPr>
            <w:r>
              <w:rPr>
                <w:spacing w:val="-2"/>
                <w:sz w:val="20"/>
              </w:rPr>
              <w:t>1.110778</w:t>
            </w:r>
          </w:p>
        </w:tc>
        <w:tc>
          <w:tcPr>
            <w:tcW w:w="2370" w:type="dxa"/>
            <w:gridSpan w:val="2"/>
          </w:tcPr>
          <w:p>
            <w:pPr>
              <w:pStyle w:val="TableParagraph"/>
              <w:spacing w:line="210" w:lineRule="exact"/>
              <w:ind w:left="130"/>
              <w:rPr>
                <w:sz w:val="20"/>
              </w:rPr>
            </w:pPr>
            <w:r>
              <w:rPr>
                <w:sz w:val="20"/>
              </w:rPr>
              <w:t>Akaike</w:t>
            </w:r>
            <w:r>
              <w:rPr>
                <w:spacing w:val="-8"/>
                <w:sz w:val="20"/>
              </w:rPr>
              <w:t> </w:t>
            </w:r>
            <w:r>
              <w:rPr>
                <w:sz w:val="20"/>
              </w:rPr>
              <w:t>info</w:t>
            </w:r>
            <w:r>
              <w:rPr>
                <w:spacing w:val="-7"/>
                <w:sz w:val="20"/>
              </w:rPr>
              <w:t> </w:t>
            </w:r>
            <w:r>
              <w:rPr>
                <w:spacing w:val="-2"/>
                <w:sz w:val="20"/>
              </w:rPr>
              <w:t>criterion</w:t>
            </w:r>
          </w:p>
        </w:tc>
        <w:tc>
          <w:tcPr>
            <w:tcW w:w="897" w:type="dxa"/>
          </w:tcPr>
          <w:p>
            <w:pPr>
              <w:pStyle w:val="TableParagraph"/>
              <w:spacing w:line="210" w:lineRule="exact"/>
              <w:ind w:right="30"/>
              <w:jc w:val="right"/>
              <w:rPr>
                <w:sz w:val="20"/>
              </w:rPr>
            </w:pPr>
            <w:r>
              <w:rPr>
                <w:spacing w:val="-2"/>
                <w:sz w:val="20"/>
              </w:rPr>
              <w:t>3.239186</w:t>
            </w:r>
          </w:p>
        </w:tc>
      </w:tr>
      <w:tr>
        <w:trPr>
          <w:trHeight w:val="230" w:hRule="atLeast"/>
        </w:trPr>
        <w:tc>
          <w:tcPr>
            <w:tcW w:w="1910" w:type="dxa"/>
          </w:tcPr>
          <w:p>
            <w:pPr>
              <w:pStyle w:val="TableParagraph"/>
              <w:spacing w:line="210" w:lineRule="exact"/>
              <w:ind w:left="36"/>
              <w:rPr>
                <w:sz w:val="20"/>
              </w:rPr>
            </w:pPr>
            <w:r>
              <w:rPr>
                <w:sz w:val="20"/>
              </w:rPr>
              <w:t>Sum</w:t>
            </w:r>
            <w:r>
              <w:rPr>
                <w:spacing w:val="-8"/>
                <w:sz w:val="20"/>
              </w:rPr>
              <w:t> </w:t>
            </w:r>
            <w:r>
              <w:rPr>
                <w:sz w:val="20"/>
              </w:rPr>
              <w:t>squared</w:t>
            </w:r>
            <w:r>
              <w:rPr>
                <w:spacing w:val="-4"/>
                <w:sz w:val="20"/>
              </w:rPr>
              <w:t> </w:t>
            </w:r>
            <w:r>
              <w:rPr>
                <w:spacing w:val="-2"/>
                <w:sz w:val="20"/>
              </w:rPr>
              <w:t>resid</w:t>
            </w:r>
          </w:p>
        </w:tc>
        <w:tc>
          <w:tcPr>
            <w:tcW w:w="1313" w:type="dxa"/>
          </w:tcPr>
          <w:p>
            <w:pPr>
              <w:pStyle w:val="TableParagraph"/>
              <w:spacing w:line="210" w:lineRule="exact"/>
              <w:ind w:left="298"/>
              <w:jc w:val="center"/>
              <w:rPr>
                <w:sz w:val="20"/>
              </w:rPr>
            </w:pPr>
            <w:r>
              <w:rPr>
                <w:spacing w:val="-2"/>
                <w:sz w:val="20"/>
              </w:rPr>
              <w:t>39.48248</w:t>
            </w:r>
          </w:p>
        </w:tc>
        <w:tc>
          <w:tcPr>
            <w:tcW w:w="2370" w:type="dxa"/>
            <w:gridSpan w:val="2"/>
          </w:tcPr>
          <w:p>
            <w:pPr>
              <w:pStyle w:val="TableParagraph"/>
              <w:spacing w:line="210" w:lineRule="exact"/>
              <w:ind w:left="130"/>
              <w:rPr>
                <w:sz w:val="20"/>
              </w:rPr>
            </w:pPr>
            <w:r>
              <w:rPr>
                <w:sz w:val="20"/>
              </w:rPr>
              <w:t>Schwarz</w:t>
            </w:r>
            <w:r>
              <w:rPr>
                <w:spacing w:val="-8"/>
                <w:sz w:val="20"/>
              </w:rPr>
              <w:t> </w:t>
            </w:r>
            <w:r>
              <w:rPr>
                <w:spacing w:val="-2"/>
                <w:sz w:val="20"/>
              </w:rPr>
              <w:t>criterion</w:t>
            </w:r>
          </w:p>
        </w:tc>
        <w:tc>
          <w:tcPr>
            <w:tcW w:w="897" w:type="dxa"/>
          </w:tcPr>
          <w:p>
            <w:pPr>
              <w:pStyle w:val="TableParagraph"/>
              <w:spacing w:line="210" w:lineRule="exact"/>
              <w:ind w:right="30"/>
              <w:jc w:val="right"/>
              <w:rPr>
                <w:sz w:val="20"/>
              </w:rPr>
            </w:pPr>
            <w:r>
              <w:rPr>
                <w:spacing w:val="-2"/>
                <w:sz w:val="20"/>
              </w:rPr>
              <w:t>3.615336</w:t>
            </w:r>
          </w:p>
        </w:tc>
      </w:tr>
      <w:tr>
        <w:trPr>
          <w:trHeight w:val="230" w:hRule="atLeast"/>
        </w:trPr>
        <w:tc>
          <w:tcPr>
            <w:tcW w:w="1910" w:type="dxa"/>
          </w:tcPr>
          <w:p>
            <w:pPr>
              <w:pStyle w:val="TableParagraph"/>
              <w:spacing w:line="210" w:lineRule="exact"/>
              <w:ind w:left="36"/>
              <w:rPr>
                <w:sz w:val="20"/>
              </w:rPr>
            </w:pPr>
            <w:r>
              <w:rPr>
                <w:sz w:val="20"/>
              </w:rPr>
              <w:t>Log</w:t>
            </w:r>
            <w:r>
              <w:rPr>
                <w:spacing w:val="-6"/>
                <w:sz w:val="20"/>
              </w:rPr>
              <w:t> </w:t>
            </w:r>
            <w:r>
              <w:rPr>
                <w:spacing w:val="-2"/>
                <w:sz w:val="20"/>
              </w:rPr>
              <w:t>likelihood</w:t>
            </w:r>
          </w:p>
        </w:tc>
        <w:tc>
          <w:tcPr>
            <w:tcW w:w="1313" w:type="dxa"/>
          </w:tcPr>
          <w:p>
            <w:pPr>
              <w:pStyle w:val="TableParagraph"/>
              <w:spacing w:line="210" w:lineRule="exact"/>
              <w:ind w:left="234"/>
              <w:jc w:val="center"/>
              <w:rPr>
                <w:sz w:val="20"/>
              </w:rPr>
            </w:pPr>
            <w:r>
              <w:rPr>
                <w:spacing w:val="-4"/>
                <w:sz w:val="20"/>
              </w:rPr>
              <w:t>-</w:t>
            </w:r>
            <w:r>
              <w:rPr>
                <w:spacing w:val="-2"/>
                <w:sz w:val="20"/>
              </w:rPr>
              <w:t>57.40332</w:t>
            </w:r>
          </w:p>
        </w:tc>
        <w:tc>
          <w:tcPr>
            <w:tcW w:w="1433" w:type="dxa"/>
          </w:tcPr>
          <w:p>
            <w:pPr>
              <w:pStyle w:val="TableParagraph"/>
              <w:spacing w:line="210" w:lineRule="exact"/>
              <w:ind w:left="130"/>
              <w:rPr>
                <w:sz w:val="20"/>
              </w:rPr>
            </w:pPr>
            <w:r>
              <w:rPr>
                <w:spacing w:val="-4"/>
                <w:sz w:val="20"/>
              </w:rPr>
              <w:t>F-</w:t>
            </w:r>
            <w:r>
              <w:rPr>
                <w:spacing w:val="-2"/>
                <w:sz w:val="20"/>
              </w:rPr>
              <w:t>statistic</w:t>
            </w:r>
          </w:p>
        </w:tc>
        <w:tc>
          <w:tcPr>
            <w:tcW w:w="937" w:type="dxa"/>
          </w:tcPr>
          <w:p>
            <w:pPr>
              <w:pStyle w:val="TableParagraph"/>
              <w:rPr>
                <w:sz w:val="16"/>
              </w:rPr>
            </w:pPr>
          </w:p>
        </w:tc>
        <w:tc>
          <w:tcPr>
            <w:tcW w:w="897" w:type="dxa"/>
          </w:tcPr>
          <w:p>
            <w:pPr>
              <w:pStyle w:val="TableParagraph"/>
              <w:spacing w:line="210" w:lineRule="exact"/>
              <w:ind w:right="30"/>
              <w:jc w:val="right"/>
              <w:rPr>
                <w:sz w:val="20"/>
              </w:rPr>
            </w:pPr>
            <w:r>
              <w:rPr>
                <w:spacing w:val="-2"/>
                <w:sz w:val="20"/>
              </w:rPr>
              <w:t>29.74016</w:t>
            </w:r>
          </w:p>
        </w:tc>
      </w:tr>
      <w:tr>
        <w:trPr>
          <w:trHeight w:val="266" w:hRule="atLeast"/>
        </w:trPr>
        <w:tc>
          <w:tcPr>
            <w:tcW w:w="1910" w:type="dxa"/>
            <w:tcBorders>
              <w:bottom w:val="double" w:sz="6" w:space="0" w:color="000000"/>
            </w:tcBorders>
          </w:tcPr>
          <w:p>
            <w:pPr>
              <w:pStyle w:val="TableParagraph"/>
              <w:spacing w:line="226" w:lineRule="exact"/>
              <w:ind w:left="36"/>
              <w:rPr>
                <w:sz w:val="20"/>
              </w:rPr>
            </w:pPr>
            <w:r>
              <w:rPr>
                <w:sz w:val="20"/>
              </w:rPr>
              <w:t>Durbin-Watson</w:t>
            </w:r>
            <w:r>
              <w:rPr>
                <w:spacing w:val="-12"/>
                <w:sz w:val="20"/>
              </w:rPr>
              <w:t> </w:t>
            </w:r>
            <w:r>
              <w:rPr>
                <w:spacing w:val="-4"/>
                <w:sz w:val="20"/>
              </w:rPr>
              <w:t>stat</w:t>
            </w:r>
          </w:p>
        </w:tc>
        <w:tc>
          <w:tcPr>
            <w:tcW w:w="1313" w:type="dxa"/>
          </w:tcPr>
          <w:p>
            <w:pPr>
              <w:pStyle w:val="TableParagraph"/>
              <w:spacing w:line="226" w:lineRule="exact"/>
              <w:ind w:left="298"/>
              <w:jc w:val="center"/>
              <w:rPr>
                <w:sz w:val="20"/>
              </w:rPr>
            </w:pPr>
            <w:r>
              <w:rPr>
                <w:spacing w:val="-2"/>
                <w:sz w:val="20"/>
              </w:rPr>
              <w:t>1.482398</w:t>
            </w:r>
          </w:p>
        </w:tc>
        <w:tc>
          <w:tcPr>
            <w:tcW w:w="1433" w:type="dxa"/>
            <w:tcBorders>
              <w:bottom w:val="double" w:sz="6" w:space="0" w:color="000000"/>
            </w:tcBorders>
          </w:tcPr>
          <w:p>
            <w:pPr>
              <w:pStyle w:val="TableParagraph"/>
              <w:spacing w:line="226" w:lineRule="exact"/>
              <w:ind w:left="130"/>
              <w:rPr>
                <w:sz w:val="20"/>
              </w:rPr>
            </w:pPr>
            <w:r>
              <w:rPr>
                <w:spacing w:val="-2"/>
                <w:sz w:val="20"/>
              </w:rPr>
              <w:t>Prob(F-statistic)</w:t>
            </w:r>
          </w:p>
        </w:tc>
        <w:tc>
          <w:tcPr>
            <w:tcW w:w="937" w:type="dxa"/>
            <w:tcBorders>
              <w:bottom w:val="single" w:sz="6" w:space="0" w:color="000000"/>
            </w:tcBorders>
          </w:tcPr>
          <w:p>
            <w:pPr>
              <w:pStyle w:val="TableParagraph"/>
              <w:rPr>
                <w:sz w:val="18"/>
              </w:rPr>
            </w:pPr>
          </w:p>
        </w:tc>
        <w:tc>
          <w:tcPr>
            <w:tcW w:w="897" w:type="dxa"/>
            <w:tcBorders>
              <w:bottom w:val="double" w:sz="6" w:space="0" w:color="000000"/>
            </w:tcBorders>
          </w:tcPr>
          <w:p>
            <w:pPr>
              <w:pStyle w:val="TableParagraph"/>
              <w:spacing w:line="226" w:lineRule="exact"/>
              <w:ind w:right="30"/>
              <w:jc w:val="right"/>
              <w:rPr>
                <w:sz w:val="20"/>
              </w:rPr>
            </w:pPr>
            <w:r>
              <w:rPr>
                <w:spacing w:val="-2"/>
                <w:sz w:val="20"/>
              </w:rPr>
              <w:t>0.000000</w:t>
            </w:r>
          </w:p>
        </w:tc>
      </w:tr>
    </w:tbl>
    <w:p>
      <w:pPr>
        <w:spacing w:before="15" w:after="10"/>
        <w:ind w:left="711" w:right="0" w:firstLine="0"/>
        <w:jc w:val="left"/>
        <w:rPr>
          <w:sz w:val="20"/>
        </w:rPr>
      </w:pPr>
      <w:r>
        <w:rPr>
          <w:spacing w:val="-5"/>
          <w:sz w:val="20"/>
        </w:rPr>
        <w:t>ECM</w:t>
      </w:r>
    </w:p>
    <w:tbl>
      <w:tblPr>
        <w:tblW w:w="0" w:type="auto"/>
        <w:jc w:val="left"/>
        <w:tblInd w:w="7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81"/>
      </w:tblGrid>
      <w:tr>
        <w:trPr>
          <w:trHeight w:val="683" w:hRule="atLeast"/>
        </w:trPr>
        <w:tc>
          <w:tcPr>
            <w:tcW w:w="1181" w:type="dxa"/>
          </w:tcPr>
          <w:p>
            <w:pPr>
              <w:pStyle w:val="TableParagraph"/>
              <w:ind w:left="3"/>
              <w:jc w:val="center"/>
              <w:rPr>
                <w:sz w:val="20"/>
              </w:rPr>
            </w:pPr>
            <w:r>
              <w:rPr>
                <w:sz w:val="20"/>
              </w:rPr>
              <w:t>Last</w:t>
            </w:r>
            <w:r>
              <w:rPr>
                <w:spacing w:val="-13"/>
                <w:sz w:val="20"/>
              </w:rPr>
              <w:t> </w:t>
            </w:r>
            <w:r>
              <w:rPr>
                <w:sz w:val="20"/>
              </w:rPr>
              <w:t>updated: 02/18/14 -</w:t>
            </w:r>
          </w:p>
          <w:p>
            <w:pPr>
              <w:pStyle w:val="TableParagraph"/>
              <w:spacing w:line="213" w:lineRule="exact"/>
              <w:ind w:left="3" w:right="3"/>
              <w:jc w:val="center"/>
              <w:rPr>
                <w:sz w:val="20"/>
              </w:rPr>
            </w:pPr>
            <w:r>
              <w:rPr>
                <w:spacing w:val="-2"/>
                <w:sz w:val="20"/>
              </w:rPr>
              <w:t>13:24</w:t>
            </w:r>
          </w:p>
        </w:tc>
      </w:tr>
      <w:tr>
        <w:trPr>
          <w:trHeight w:val="805" w:hRule="atLeast"/>
        </w:trPr>
        <w:tc>
          <w:tcPr>
            <w:tcW w:w="1181" w:type="dxa"/>
          </w:tcPr>
          <w:p>
            <w:pPr>
              <w:pStyle w:val="TableParagraph"/>
              <w:ind w:left="83" w:right="81" w:firstLine="108"/>
              <w:rPr>
                <w:sz w:val="20"/>
              </w:rPr>
            </w:pPr>
            <w:r>
              <w:rPr>
                <w:spacing w:val="-2"/>
                <w:sz w:val="20"/>
              </w:rPr>
              <w:t>Modified: </w:t>
            </w:r>
            <w:r>
              <w:rPr>
                <w:sz w:val="20"/>
              </w:rPr>
              <w:t>1970</w:t>
            </w:r>
            <w:r>
              <w:rPr>
                <w:spacing w:val="-4"/>
                <w:sz w:val="20"/>
              </w:rPr>
              <w:t> </w:t>
            </w:r>
            <w:r>
              <w:rPr>
                <w:sz w:val="20"/>
              </w:rPr>
              <w:t>2011</w:t>
            </w:r>
            <w:r>
              <w:rPr>
                <w:spacing w:val="-1"/>
                <w:sz w:val="20"/>
              </w:rPr>
              <w:t> </w:t>
            </w:r>
            <w:r>
              <w:rPr>
                <w:spacing w:val="-5"/>
                <w:sz w:val="20"/>
              </w:rPr>
              <w:t>//</w:t>
            </w:r>
          </w:p>
          <w:p>
            <w:pPr>
              <w:pStyle w:val="TableParagraph"/>
              <w:ind w:left="180"/>
              <w:rPr>
                <w:sz w:val="20"/>
              </w:rPr>
            </w:pPr>
            <w:r>
              <w:rPr>
                <w:spacing w:val="-2"/>
                <w:sz w:val="20"/>
              </w:rPr>
              <w:t>makeresid</w:t>
            </w:r>
          </w:p>
        </w:tc>
      </w:tr>
      <w:tr>
        <w:trPr>
          <w:trHeight w:val="344" w:hRule="atLeast"/>
        </w:trPr>
        <w:tc>
          <w:tcPr>
            <w:tcW w:w="1181" w:type="dxa"/>
          </w:tcPr>
          <w:p>
            <w:pPr>
              <w:pStyle w:val="TableParagraph"/>
              <w:spacing w:line="215" w:lineRule="exact" w:before="109"/>
              <w:ind w:left="52"/>
              <w:jc w:val="center"/>
              <w:rPr>
                <w:sz w:val="20"/>
              </w:rPr>
            </w:pPr>
            <w:r>
              <w:rPr>
                <w:spacing w:val="-2"/>
                <w:sz w:val="20"/>
              </w:rPr>
              <w:t>0.829823</w:t>
            </w:r>
          </w:p>
        </w:tc>
      </w:tr>
      <w:tr>
        <w:trPr>
          <w:trHeight w:val="230" w:hRule="atLeast"/>
        </w:trPr>
        <w:tc>
          <w:tcPr>
            <w:tcW w:w="1181" w:type="dxa"/>
          </w:tcPr>
          <w:p>
            <w:pPr>
              <w:pStyle w:val="TableParagraph"/>
              <w:spacing w:line="210" w:lineRule="exact"/>
              <w:ind w:left="52"/>
              <w:jc w:val="center"/>
              <w:rPr>
                <w:sz w:val="20"/>
              </w:rPr>
            </w:pPr>
            <w:r>
              <w:rPr>
                <w:spacing w:val="-2"/>
                <w:sz w:val="20"/>
              </w:rPr>
              <w:t>0.828432</w:t>
            </w:r>
          </w:p>
        </w:tc>
      </w:tr>
      <w:tr>
        <w:trPr>
          <w:trHeight w:val="230" w:hRule="atLeast"/>
        </w:trPr>
        <w:tc>
          <w:tcPr>
            <w:tcW w:w="1181" w:type="dxa"/>
          </w:tcPr>
          <w:p>
            <w:pPr>
              <w:pStyle w:val="TableParagraph"/>
              <w:spacing w:line="210" w:lineRule="exact"/>
              <w:ind w:left="52"/>
              <w:jc w:val="center"/>
              <w:rPr>
                <w:sz w:val="20"/>
              </w:rPr>
            </w:pPr>
            <w:r>
              <w:rPr>
                <w:spacing w:val="-2"/>
                <w:sz w:val="20"/>
              </w:rPr>
              <w:t>0.096612</w:t>
            </w:r>
          </w:p>
        </w:tc>
      </w:tr>
      <w:tr>
        <w:trPr>
          <w:trHeight w:val="230" w:hRule="atLeast"/>
        </w:trPr>
        <w:tc>
          <w:tcPr>
            <w:tcW w:w="1181" w:type="dxa"/>
          </w:tcPr>
          <w:p>
            <w:pPr>
              <w:pStyle w:val="TableParagraph"/>
              <w:spacing w:line="210" w:lineRule="exact"/>
              <w:ind w:left="52"/>
              <w:jc w:val="center"/>
              <w:rPr>
                <w:sz w:val="20"/>
              </w:rPr>
            </w:pPr>
            <w:r>
              <w:rPr>
                <w:spacing w:val="-2"/>
                <w:sz w:val="20"/>
              </w:rPr>
              <w:t>0.518786</w:t>
            </w:r>
          </w:p>
        </w:tc>
      </w:tr>
      <w:tr>
        <w:trPr>
          <w:trHeight w:val="225" w:hRule="atLeast"/>
        </w:trPr>
        <w:tc>
          <w:tcPr>
            <w:tcW w:w="1181" w:type="dxa"/>
          </w:tcPr>
          <w:p>
            <w:pPr>
              <w:pStyle w:val="TableParagraph"/>
              <w:spacing w:line="205" w:lineRule="exact"/>
              <w:ind w:left="3" w:right="3"/>
              <w:jc w:val="center"/>
              <w:rPr>
                <w:sz w:val="20"/>
              </w:rPr>
            </w:pPr>
            <w:r>
              <w:rPr>
                <w:spacing w:val="-4"/>
                <w:sz w:val="20"/>
              </w:rPr>
              <w:t>-</w:t>
            </w:r>
            <w:r>
              <w:rPr>
                <w:spacing w:val="-2"/>
                <w:sz w:val="20"/>
              </w:rPr>
              <w:t>0.469318</w:t>
            </w:r>
          </w:p>
        </w:tc>
      </w:tr>
    </w:tbl>
    <w:p>
      <w:pPr>
        <w:spacing w:after="0" w:line="205" w:lineRule="exact"/>
        <w:jc w:val="center"/>
        <w:rPr>
          <w:sz w:val="20"/>
        </w:rPr>
        <w:sectPr>
          <w:pgSz w:w="11910" w:h="16840"/>
          <w:pgMar w:header="0" w:footer="979" w:top="1400" w:bottom="1313" w:left="280" w:right="0"/>
        </w:sectPr>
      </w:pPr>
    </w:p>
    <w:tbl>
      <w:tblPr>
        <w:tblW w:w="0" w:type="auto"/>
        <w:jc w:val="left"/>
        <w:tblInd w:w="9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16"/>
      </w:tblGrid>
      <w:tr>
        <w:trPr>
          <w:trHeight w:val="225" w:hRule="atLeast"/>
        </w:trPr>
        <w:tc>
          <w:tcPr>
            <w:tcW w:w="916" w:type="dxa"/>
          </w:tcPr>
          <w:p>
            <w:pPr>
              <w:pStyle w:val="TableParagraph"/>
              <w:spacing w:line="206" w:lineRule="exact"/>
              <w:ind w:left="52"/>
              <w:jc w:val="center"/>
              <w:rPr>
                <w:sz w:val="20"/>
              </w:rPr>
            </w:pPr>
            <w:r>
              <w:rPr>
                <w:spacing w:val="-2"/>
                <w:sz w:val="20"/>
              </w:rPr>
              <w:t>0.000310</w:t>
            </w:r>
          </w:p>
        </w:tc>
      </w:tr>
      <w:tr>
        <w:trPr>
          <w:trHeight w:val="229" w:hRule="atLeast"/>
        </w:trPr>
        <w:tc>
          <w:tcPr>
            <w:tcW w:w="916" w:type="dxa"/>
          </w:tcPr>
          <w:p>
            <w:pPr>
              <w:pStyle w:val="TableParagraph"/>
              <w:spacing w:line="209" w:lineRule="exact"/>
              <w:ind w:left="206"/>
              <w:jc w:val="center"/>
              <w:rPr>
                <w:sz w:val="20"/>
              </w:rPr>
            </w:pPr>
            <w:r>
              <w:rPr>
                <w:spacing w:val="-5"/>
                <w:sz w:val="20"/>
              </w:rPr>
              <w:t>NA</w:t>
            </w:r>
          </w:p>
        </w:tc>
      </w:tr>
      <w:tr>
        <w:trPr>
          <w:trHeight w:val="229" w:hRule="atLeast"/>
        </w:trPr>
        <w:tc>
          <w:tcPr>
            <w:tcW w:w="916" w:type="dxa"/>
          </w:tcPr>
          <w:p>
            <w:pPr>
              <w:pStyle w:val="TableParagraph"/>
              <w:spacing w:line="209" w:lineRule="exact"/>
              <w:ind w:left="52"/>
              <w:jc w:val="center"/>
              <w:rPr>
                <w:sz w:val="20"/>
              </w:rPr>
            </w:pPr>
            <w:r>
              <w:rPr>
                <w:spacing w:val="-2"/>
                <w:sz w:val="20"/>
              </w:rPr>
              <w:t>0.053341</w:t>
            </w:r>
          </w:p>
        </w:tc>
      </w:tr>
      <w:tr>
        <w:trPr>
          <w:trHeight w:val="230" w:hRule="atLeast"/>
        </w:trPr>
        <w:tc>
          <w:tcPr>
            <w:tcW w:w="916" w:type="dxa"/>
          </w:tcPr>
          <w:p>
            <w:pPr>
              <w:pStyle w:val="TableParagraph"/>
              <w:spacing w:line="210" w:lineRule="exact"/>
              <w:jc w:val="center"/>
              <w:rPr>
                <w:sz w:val="20"/>
              </w:rPr>
            </w:pPr>
            <w:r>
              <w:rPr>
                <w:spacing w:val="-4"/>
                <w:sz w:val="20"/>
              </w:rPr>
              <w:t>-</w:t>
            </w:r>
            <w:r>
              <w:rPr>
                <w:spacing w:val="-2"/>
                <w:sz w:val="20"/>
              </w:rPr>
              <w:t>0.304027</w:t>
            </w:r>
          </w:p>
        </w:tc>
      </w:tr>
      <w:tr>
        <w:trPr>
          <w:trHeight w:val="230" w:hRule="atLeast"/>
        </w:trPr>
        <w:tc>
          <w:tcPr>
            <w:tcW w:w="916" w:type="dxa"/>
          </w:tcPr>
          <w:p>
            <w:pPr>
              <w:pStyle w:val="TableParagraph"/>
              <w:spacing w:line="210" w:lineRule="exact"/>
              <w:jc w:val="center"/>
              <w:rPr>
                <w:sz w:val="20"/>
              </w:rPr>
            </w:pPr>
            <w:r>
              <w:rPr>
                <w:spacing w:val="-4"/>
                <w:sz w:val="20"/>
              </w:rPr>
              <w:t>-</w:t>
            </w:r>
            <w:r>
              <w:rPr>
                <w:spacing w:val="-2"/>
                <w:sz w:val="20"/>
              </w:rPr>
              <w:t>1.784745</w:t>
            </w:r>
          </w:p>
        </w:tc>
      </w:tr>
      <w:tr>
        <w:trPr>
          <w:trHeight w:val="230" w:hRule="atLeast"/>
        </w:trPr>
        <w:tc>
          <w:tcPr>
            <w:tcW w:w="916" w:type="dxa"/>
          </w:tcPr>
          <w:p>
            <w:pPr>
              <w:pStyle w:val="TableParagraph"/>
              <w:spacing w:line="210" w:lineRule="exact"/>
              <w:jc w:val="center"/>
              <w:rPr>
                <w:sz w:val="20"/>
              </w:rPr>
            </w:pPr>
            <w:r>
              <w:rPr>
                <w:spacing w:val="-4"/>
                <w:sz w:val="20"/>
              </w:rPr>
              <w:t>-</w:t>
            </w:r>
            <w:r>
              <w:rPr>
                <w:spacing w:val="-2"/>
                <w:sz w:val="20"/>
              </w:rPr>
              <w:t>1.312379</w:t>
            </w:r>
          </w:p>
        </w:tc>
      </w:tr>
      <w:tr>
        <w:trPr>
          <w:trHeight w:val="230" w:hRule="atLeast"/>
        </w:trPr>
        <w:tc>
          <w:tcPr>
            <w:tcW w:w="916" w:type="dxa"/>
          </w:tcPr>
          <w:p>
            <w:pPr>
              <w:pStyle w:val="TableParagraph"/>
              <w:spacing w:line="210" w:lineRule="exact"/>
              <w:jc w:val="center"/>
              <w:rPr>
                <w:sz w:val="20"/>
              </w:rPr>
            </w:pPr>
            <w:r>
              <w:rPr>
                <w:spacing w:val="-4"/>
                <w:sz w:val="20"/>
              </w:rPr>
              <w:t>-</w:t>
            </w:r>
            <w:r>
              <w:rPr>
                <w:spacing w:val="-2"/>
                <w:sz w:val="20"/>
              </w:rPr>
              <w:t>0.879424</w:t>
            </w:r>
          </w:p>
        </w:tc>
      </w:tr>
      <w:tr>
        <w:trPr>
          <w:trHeight w:val="229" w:hRule="atLeast"/>
        </w:trPr>
        <w:tc>
          <w:tcPr>
            <w:tcW w:w="916" w:type="dxa"/>
          </w:tcPr>
          <w:p>
            <w:pPr>
              <w:pStyle w:val="TableParagraph"/>
              <w:spacing w:line="209" w:lineRule="exact"/>
              <w:ind w:left="52"/>
              <w:jc w:val="center"/>
              <w:rPr>
                <w:sz w:val="20"/>
              </w:rPr>
            </w:pPr>
            <w:r>
              <w:rPr>
                <w:spacing w:val="-2"/>
                <w:sz w:val="20"/>
              </w:rPr>
              <w:t>0.157653</w:t>
            </w:r>
          </w:p>
        </w:tc>
      </w:tr>
      <w:tr>
        <w:trPr>
          <w:trHeight w:val="229" w:hRule="atLeast"/>
        </w:trPr>
        <w:tc>
          <w:tcPr>
            <w:tcW w:w="916" w:type="dxa"/>
          </w:tcPr>
          <w:p>
            <w:pPr>
              <w:pStyle w:val="TableParagraph"/>
              <w:spacing w:line="209" w:lineRule="exact"/>
              <w:ind w:left="52"/>
              <w:jc w:val="center"/>
              <w:rPr>
                <w:sz w:val="20"/>
              </w:rPr>
            </w:pPr>
            <w:r>
              <w:rPr>
                <w:spacing w:val="-2"/>
                <w:sz w:val="20"/>
              </w:rPr>
              <w:t>0.393231</w:t>
            </w:r>
          </w:p>
        </w:tc>
      </w:tr>
      <w:tr>
        <w:trPr>
          <w:trHeight w:val="230" w:hRule="atLeast"/>
        </w:trPr>
        <w:tc>
          <w:tcPr>
            <w:tcW w:w="916" w:type="dxa"/>
          </w:tcPr>
          <w:p>
            <w:pPr>
              <w:pStyle w:val="TableParagraph"/>
              <w:spacing w:line="210" w:lineRule="exact"/>
              <w:ind w:left="52"/>
              <w:jc w:val="center"/>
              <w:rPr>
                <w:sz w:val="20"/>
              </w:rPr>
            </w:pPr>
            <w:r>
              <w:rPr>
                <w:spacing w:val="-2"/>
                <w:sz w:val="20"/>
              </w:rPr>
              <w:t>0.056308</w:t>
            </w:r>
          </w:p>
        </w:tc>
      </w:tr>
      <w:tr>
        <w:trPr>
          <w:trHeight w:val="230" w:hRule="atLeast"/>
        </w:trPr>
        <w:tc>
          <w:tcPr>
            <w:tcW w:w="916" w:type="dxa"/>
          </w:tcPr>
          <w:p>
            <w:pPr>
              <w:pStyle w:val="TableParagraph"/>
              <w:spacing w:line="210" w:lineRule="exact"/>
              <w:jc w:val="center"/>
              <w:rPr>
                <w:sz w:val="20"/>
              </w:rPr>
            </w:pPr>
            <w:r>
              <w:rPr>
                <w:spacing w:val="-4"/>
                <w:sz w:val="20"/>
              </w:rPr>
              <w:t>-</w:t>
            </w:r>
            <w:r>
              <w:rPr>
                <w:spacing w:val="-2"/>
                <w:sz w:val="20"/>
              </w:rPr>
              <w:t>0.146909</w:t>
            </w:r>
          </w:p>
        </w:tc>
      </w:tr>
      <w:tr>
        <w:trPr>
          <w:trHeight w:val="230" w:hRule="atLeast"/>
        </w:trPr>
        <w:tc>
          <w:tcPr>
            <w:tcW w:w="916" w:type="dxa"/>
          </w:tcPr>
          <w:p>
            <w:pPr>
              <w:pStyle w:val="TableParagraph"/>
              <w:spacing w:line="210" w:lineRule="exact"/>
              <w:jc w:val="center"/>
              <w:rPr>
                <w:sz w:val="20"/>
              </w:rPr>
            </w:pPr>
            <w:r>
              <w:rPr>
                <w:spacing w:val="-4"/>
                <w:sz w:val="20"/>
              </w:rPr>
              <w:t>-</w:t>
            </w:r>
            <w:r>
              <w:rPr>
                <w:spacing w:val="-2"/>
                <w:sz w:val="20"/>
              </w:rPr>
              <w:t>0.071850</w:t>
            </w:r>
          </w:p>
        </w:tc>
      </w:tr>
      <w:tr>
        <w:trPr>
          <w:trHeight w:val="230" w:hRule="atLeast"/>
        </w:trPr>
        <w:tc>
          <w:tcPr>
            <w:tcW w:w="916" w:type="dxa"/>
          </w:tcPr>
          <w:p>
            <w:pPr>
              <w:pStyle w:val="TableParagraph"/>
              <w:spacing w:line="210" w:lineRule="exact"/>
              <w:ind w:left="52"/>
              <w:jc w:val="center"/>
              <w:rPr>
                <w:sz w:val="20"/>
              </w:rPr>
            </w:pPr>
            <w:r>
              <w:rPr>
                <w:spacing w:val="-2"/>
                <w:sz w:val="20"/>
              </w:rPr>
              <w:t>0.578633</w:t>
            </w:r>
          </w:p>
        </w:tc>
      </w:tr>
      <w:tr>
        <w:trPr>
          <w:trHeight w:val="229" w:hRule="atLeast"/>
        </w:trPr>
        <w:tc>
          <w:tcPr>
            <w:tcW w:w="916" w:type="dxa"/>
          </w:tcPr>
          <w:p>
            <w:pPr>
              <w:pStyle w:val="TableParagraph"/>
              <w:spacing w:line="209" w:lineRule="exact"/>
              <w:ind w:left="52"/>
              <w:jc w:val="center"/>
              <w:rPr>
                <w:sz w:val="20"/>
              </w:rPr>
            </w:pPr>
            <w:r>
              <w:rPr>
                <w:spacing w:val="-2"/>
                <w:sz w:val="20"/>
              </w:rPr>
              <w:t>0.074131</w:t>
            </w:r>
          </w:p>
        </w:tc>
      </w:tr>
      <w:tr>
        <w:trPr>
          <w:trHeight w:val="229" w:hRule="atLeast"/>
        </w:trPr>
        <w:tc>
          <w:tcPr>
            <w:tcW w:w="916" w:type="dxa"/>
          </w:tcPr>
          <w:p>
            <w:pPr>
              <w:pStyle w:val="TableParagraph"/>
              <w:spacing w:line="209" w:lineRule="exact"/>
              <w:ind w:left="52"/>
              <w:jc w:val="center"/>
              <w:rPr>
                <w:sz w:val="20"/>
              </w:rPr>
            </w:pPr>
            <w:r>
              <w:rPr>
                <w:spacing w:val="-2"/>
                <w:sz w:val="20"/>
              </w:rPr>
              <w:t>0.678237</w:t>
            </w:r>
          </w:p>
        </w:tc>
      </w:tr>
      <w:tr>
        <w:trPr>
          <w:trHeight w:val="230" w:hRule="atLeast"/>
        </w:trPr>
        <w:tc>
          <w:tcPr>
            <w:tcW w:w="916" w:type="dxa"/>
          </w:tcPr>
          <w:p>
            <w:pPr>
              <w:pStyle w:val="TableParagraph"/>
              <w:spacing w:line="211" w:lineRule="exact"/>
              <w:ind w:left="52"/>
              <w:jc w:val="center"/>
              <w:rPr>
                <w:sz w:val="20"/>
              </w:rPr>
            </w:pPr>
            <w:r>
              <w:rPr>
                <w:spacing w:val="-2"/>
                <w:sz w:val="20"/>
              </w:rPr>
              <w:t>0.074883</w:t>
            </w:r>
          </w:p>
        </w:tc>
      </w:tr>
      <w:tr>
        <w:trPr>
          <w:trHeight w:val="230" w:hRule="atLeast"/>
        </w:trPr>
        <w:tc>
          <w:tcPr>
            <w:tcW w:w="916" w:type="dxa"/>
          </w:tcPr>
          <w:p>
            <w:pPr>
              <w:pStyle w:val="TableParagraph"/>
              <w:spacing w:line="211" w:lineRule="exact"/>
              <w:jc w:val="center"/>
              <w:rPr>
                <w:sz w:val="20"/>
              </w:rPr>
            </w:pPr>
            <w:r>
              <w:rPr>
                <w:spacing w:val="-4"/>
                <w:sz w:val="20"/>
              </w:rPr>
              <w:t>-</w:t>
            </w:r>
            <w:r>
              <w:rPr>
                <w:spacing w:val="-2"/>
                <w:sz w:val="20"/>
              </w:rPr>
              <w:t>0.555210</w:t>
            </w:r>
          </w:p>
        </w:tc>
      </w:tr>
      <w:tr>
        <w:trPr>
          <w:trHeight w:val="230" w:hRule="atLeast"/>
        </w:trPr>
        <w:tc>
          <w:tcPr>
            <w:tcW w:w="916" w:type="dxa"/>
          </w:tcPr>
          <w:p>
            <w:pPr>
              <w:pStyle w:val="TableParagraph"/>
              <w:spacing w:line="210" w:lineRule="exact"/>
              <w:ind w:left="52"/>
              <w:jc w:val="center"/>
              <w:rPr>
                <w:sz w:val="20"/>
              </w:rPr>
            </w:pPr>
            <w:r>
              <w:rPr>
                <w:spacing w:val="-2"/>
                <w:sz w:val="20"/>
              </w:rPr>
              <w:t>0.814354</w:t>
            </w:r>
          </w:p>
        </w:tc>
      </w:tr>
      <w:tr>
        <w:trPr>
          <w:trHeight w:val="230" w:hRule="atLeast"/>
        </w:trPr>
        <w:tc>
          <w:tcPr>
            <w:tcW w:w="916" w:type="dxa"/>
          </w:tcPr>
          <w:p>
            <w:pPr>
              <w:pStyle w:val="TableParagraph"/>
              <w:spacing w:line="210" w:lineRule="exact"/>
              <w:jc w:val="center"/>
              <w:rPr>
                <w:sz w:val="20"/>
              </w:rPr>
            </w:pPr>
            <w:r>
              <w:rPr>
                <w:spacing w:val="-4"/>
                <w:sz w:val="20"/>
              </w:rPr>
              <w:t>-</w:t>
            </w:r>
            <w:r>
              <w:rPr>
                <w:spacing w:val="-2"/>
                <w:sz w:val="20"/>
              </w:rPr>
              <w:t>0.515877</w:t>
            </w:r>
          </w:p>
        </w:tc>
      </w:tr>
      <w:tr>
        <w:trPr>
          <w:trHeight w:val="229" w:hRule="atLeast"/>
        </w:trPr>
        <w:tc>
          <w:tcPr>
            <w:tcW w:w="916" w:type="dxa"/>
          </w:tcPr>
          <w:p>
            <w:pPr>
              <w:pStyle w:val="TableParagraph"/>
              <w:spacing w:line="209" w:lineRule="exact"/>
              <w:ind w:left="52"/>
              <w:jc w:val="center"/>
              <w:rPr>
                <w:sz w:val="20"/>
              </w:rPr>
            </w:pPr>
            <w:r>
              <w:rPr>
                <w:spacing w:val="-2"/>
                <w:sz w:val="20"/>
              </w:rPr>
              <w:t>0.134409</w:t>
            </w:r>
          </w:p>
        </w:tc>
      </w:tr>
      <w:tr>
        <w:trPr>
          <w:trHeight w:val="229" w:hRule="atLeast"/>
        </w:trPr>
        <w:tc>
          <w:tcPr>
            <w:tcW w:w="916" w:type="dxa"/>
          </w:tcPr>
          <w:p>
            <w:pPr>
              <w:pStyle w:val="TableParagraph"/>
              <w:spacing w:line="209" w:lineRule="exact"/>
              <w:ind w:left="52"/>
              <w:jc w:val="center"/>
              <w:rPr>
                <w:sz w:val="20"/>
              </w:rPr>
            </w:pPr>
            <w:r>
              <w:rPr>
                <w:spacing w:val="-2"/>
                <w:sz w:val="20"/>
              </w:rPr>
              <w:t>1.369040</w:t>
            </w:r>
          </w:p>
        </w:tc>
      </w:tr>
      <w:tr>
        <w:trPr>
          <w:trHeight w:val="230" w:hRule="atLeast"/>
        </w:trPr>
        <w:tc>
          <w:tcPr>
            <w:tcW w:w="916" w:type="dxa"/>
          </w:tcPr>
          <w:p>
            <w:pPr>
              <w:pStyle w:val="TableParagraph"/>
              <w:spacing w:line="210" w:lineRule="exact"/>
              <w:jc w:val="center"/>
              <w:rPr>
                <w:sz w:val="20"/>
              </w:rPr>
            </w:pPr>
            <w:r>
              <w:rPr>
                <w:spacing w:val="-4"/>
                <w:sz w:val="20"/>
              </w:rPr>
              <w:t>-</w:t>
            </w:r>
            <w:r>
              <w:rPr>
                <w:spacing w:val="-2"/>
                <w:sz w:val="20"/>
              </w:rPr>
              <w:t>0.153966</w:t>
            </w:r>
          </w:p>
        </w:tc>
      </w:tr>
      <w:tr>
        <w:trPr>
          <w:trHeight w:val="230" w:hRule="atLeast"/>
        </w:trPr>
        <w:tc>
          <w:tcPr>
            <w:tcW w:w="916" w:type="dxa"/>
          </w:tcPr>
          <w:p>
            <w:pPr>
              <w:pStyle w:val="TableParagraph"/>
              <w:spacing w:line="210" w:lineRule="exact"/>
              <w:ind w:left="52"/>
              <w:jc w:val="center"/>
              <w:rPr>
                <w:sz w:val="20"/>
              </w:rPr>
            </w:pPr>
            <w:r>
              <w:rPr>
                <w:spacing w:val="-2"/>
                <w:sz w:val="20"/>
              </w:rPr>
              <w:t>0.512967</w:t>
            </w:r>
          </w:p>
        </w:tc>
      </w:tr>
      <w:tr>
        <w:trPr>
          <w:trHeight w:val="230" w:hRule="atLeast"/>
        </w:trPr>
        <w:tc>
          <w:tcPr>
            <w:tcW w:w="916" w:type="dxa"/>
          </w:tcPr>
          <w:p>
            <w:pPr>
              <w:pStyle w:val="TableParagraph"/>
              <w:spacing w:line="210" w:lineRule="exact"/>
              <w:ind w:left="52"/>
              <w:jc w:val="center"/>
              <w:rPr>
                <w:sz w:val="20"/>
              </w:rPr>
            </w:pPr>
            <w:r>
              <w:rPr>
                <w:spacing w:val="-2"/>
                <w:sz w:val="20"/>
              </w:rPr>
              <w:t>0.712941</w:t>
            </w:r>
          </w:p>
        </w:tc>
      </w:tr>
      <w:tr>
        <w:trPr>
          <w:trHeight w:val="229" w:hRule="atLeast"/>
        </w:trPr>
        <w:tc>
          <w:tcPr>
            <w:tcW w:w="916" w:type="dxa"/>
          </w:tcPr>
          <w:p>
            <w:pPr>
              <w:pStyle w:val="TableParagraph"/>
              <w:spacing w:line="209" w:lineRule="exact"/>
              <w:ind w:left="52"/>
              <w:jc w:val="center"/>
              <w:rPr>
                <w:sz w:val="20"/>
              </w:rPr>
            </w:pPr>
            <w:r>
              <w:rPr>
                <w:spacing w:val="-2"/>
                <w:sz w:val="20"/>
              </w:rPr>
              <w:t>2.346089</w:t>
            </w:r>
          </w:p>
        </w:tc>
      </w:tr>
      <w:tr>
        <w:trPr>
          <w:trHeight w:val="229" w:hRule="atLeast"/>
        </w:trPr>
        <w:tc>
          <w:tcPr>
            <w:tcW w:w="916" w:type="dxa"/>
          </w:tcPr>
          <w:p>
            <w:pPr>
              <w:pStyle w:val="TableParagraph"/>
              <w:spacing w:line="209" w:lineRule="exact"/>
              <w:jc w:val="center"/>
              <w:rPr>
                <w:sz w:val="20"/>
              </w:rPr>
            </w:pPr>
            <w:r>
              <w:rPr>
                <w:spacing w:val="-4"/>
                <w:sz w:val="20"/>
              </w:rPr>
              <w:t>-</w:t>
            </w:r>
            <w:r>
              <w:rPr>
                <w:spacing w:val="-2"/>
                <w:sz w:val="20"/>
              </w:rPr>
              <w:t>1.147171</w:t>
            </w:r>
          </w:p>
        </w:tc>
      </w:tr>
      <w:tr>
        <w:trPr>
          <w:trHeight w:val="230" w:hRule="atLeast"/>
        </w:trPr>
        <w:tc>
          <w:tcPr>
            <w:tcW w:w="916" w:type="dxa"/>
          </w:tcPr>
          <w:p>
            <w:pPr>
              <w:pStyle w:val="TableParagraph"/>
              <w:spacing w:line="210" w:lineRule="exact"/>
              <w:jc w:val="center"/>
              <w:rPr>
                <w:sz w:val="20"/>
              </w:rPr>
            </w:pPr>
            <w:r>
              <w:rPr>
                <w:spacing w:val="-4"/>
                <w:sz w:val="20"/>
              </w:rPr>
              <w:t>-</w:t>
            </w:r>
            <w:r>
              <w:rPr>
                <w:spacing w:val="-2"/>
                <w:sz w:val="20"/>
              </w:rPr>
              <w:t>0.529015</w:t>
            </w:r>
          </w:p>
        </w:tc>
      </w:tr>
      <w:tr>
        <w:trPr>
          <w:trHeight w:val="230" w:hRule="atLeast"/>
        </w:trPr>
        <w:tc>
          <w:tcPr>
            <w:tcW w:w="916" w:type="dxa"/>
          </w:tcPr>
          <w:p>
            <w:pPr>
              <w:pStyle w:val="TableParagraph"/>
              <w:spacing w:line="210" w:lineRule="exact"/>
              <w:jc w:val="center"/>
              <w:rPr>
                <w:sz w:val="20"/>
              </w:rPr>
            </w:pPr>
            <w:r>
              <w:rPr>
                <w:spacing w:val="-4"/>
                <w:sz w:val="20"/>
              </w:rPr>
              <w:t>-</w:t>
            </w:r>
            <w:r>
              <w:rPr>
                <w:spacing w:val="-2"/>
                <w:sz w:val="20"/>
              </w:rPr>
              <w:t>0.319751</w:t>
            </w:r>
          </w:p>
        </w:tc>
      </w:tr>
      <w:tr>
        <w:trPr>
          <w:trHeight w:val="230" w:hRule="atLeast"/>
        </w:trPr>
        <w:tc>
          <w:tcPr>
            <w:tcW w:w="916" w:type="dxa"/>
          </w:tcPr>
          <w:p>
            <w:pPr>
              <w:pStyle w:val="TableParagraph"/>
              <w:spacing w:line="210" w:lineRule="exact"/>
              <w:ind w:left="52"/>
              <w:jc w:val="center"/>
              <w:rPr>
                <w:sz w:val="20"/>
              </w:rPr>
            </w:pPr>
            <w:r>
              <w:rPr>
                <w:spacing w:val="-2"/>
                <w:sz w:val="20"/>
              </w:rPr>
              <w:t>0.001695</w:t>
            </w:r>
          </w:p>
        </w:tc>
      </w:tr>
      <w:tr>
        <w:trPr>
          <w:trHeight w:val="230" w:hRule="atLeast"/>
        </w:trPr>
        <w:tc>
          <w:tcPr>
            <w:tcW w:w="916" w:type="dxa"/>
          </w:tcPr>
          <w:p>
            <w:pPr>
              <w:pStyle w:val="TableParagraph"/>
              <w:spacing w:line="210" w:lineRule="exact"/>
              <w:jc w:val="center"/>
              <w:rPr>
                <w:sz w:val="20"/>
              </w:rPr>
            </w:pPr>
            <w:r>
              <w:rPr>
                <w:spacing w:val="-4"/>
                <w:sz w:val="20"/>
              </w:rPr>
              <w:t>-</w:t>
            </w:r>
            <w:r>
              <w:rPr>
                <w:spacing w:val="-2"/>
                <w:sz w:val="20"/>
              </w:rPr>
              <w:t>1.544539</w:t>
            </w:r>
          </w:p>
        </w:tc>
      </w:tr>
      <w:tr>
        <w:trPr>
          <w:trHeight w:val="229" w:hRule="atLeast"/>
        </w:trPr>
        <w:tc>
          <w:tcPr>
            <w:tcW w:w="916" w:type="dxa"/>
          </w:tcPr>
          <w:p>
            <w:pPr>
              <w:pStyle w:val="TableParagraph"/>
              <w:spacing w:line="209" w:lineRule="exact"/>
              <w:jc w:val="center"/>
              <w:rPr>
                <w:sz w:val="20"/>
              </w:rPr>
            </w:pPr>
            <w:r>
              <w:rPr>
                <w:spacing w:val="-4"/>
                <w:sz w:val="20"/>
              </w:rPr>
              <w:t>-</w:t>
            </w:r>
            <w:r>
              <w:rPr>
                <w:spacing w:val="-2"/>
                <w:sz w:val="20"/>
              </w:rPr>
              <w:t>3.054603</w:t>
            </w:r>
          </w:p>
        </w:tc>
      </w:tr>
      <w:tr>
        <w:trPr>
          <w:trHeight w:val="229" w:hRule="atLeast"/>
        </w:trPr>
        <w:tc>
          <w:tcPr>
            <w:tcW w:w="916" w:type="dxa"/>
          </w:tcPr>
          <w:p>
            <w:pPr>
              <w:pStyle w:val="TableParagraph"/>
              <w:spacing w:line="209" w:lineRule="exact"/>
              <w:jc w:val="center"/>
              <w:rPr>
                <w:sz w:val="20"/>
              </w:rPr>
            </w:pPr>
            <w:r>
              <w:rPr>
                <w:spacing w:val="-4"/>
                <w:sz w:val="20"/>
              </w:rPr>
              <w:t>-</w:t>
            </w:r>
            <w:r>
              <w:rPr>
                <w:spacing w:val="-2"/>
                <w:sz w:val="20"/>
              </w:rPr>
              <w:t>0.597696</w:t>
            </w:r>
          </w:p>
        </w:tc>
      </w:tr>
      <w:tr>
        <w:trPr>
          <w:trHeight w:val="230" w:hRule="atLeast"/>
        </w:trPr>
        <w:tc>
          <w:tcPr>
            <w:tcW w:w="916" w:type="dxa"/>
          </w:tcPr>
          <w:p>
            <w:pPr>
              <w:pStyle w:val="TableParagraph"/>
              <w:spacing w:line="211" w:lineRule="exact"/>
              <w:ind w:left="52"/>
              <w:jc w:val="center"/>
              <w:rPr>
                <w:sz w:val="20"/>
              </w:rPr>
            </w:pPr>
            <w:r>
              <w:rPr>
                <w:spacing w:val="-2"/>
                <w:sz w:val="20"/>
              </w:rPr>
              <w:t>0.912463</w:t>
            </w:r>
          </w:p>
        </w:tc>
      </w:tr>
      <w:tr>
        <w:trPr>
          <w:trHeight w:val="230" w:hRule="atLeast"/>
        </w:trPr>
        <w:tc>
          <w:tcPr>
            <w:tcW w:w="916" w:type="dxa"/>
          </w:tcPr>
          <w:p>
            <w:pPr>
              <w:pStyle w:val="TableParagraph"/>
              <w:spacing w:line="210" w:lineRule="exact"/>
              <w:ind w:left="52"/>
              <w:jc w:val="center"/>
              <w:rPr>
                <w:sz w:val="20"/>
              </w:rPr>
            </w:pPr>
            <w:r>
              <w:rPr>
                <w:spacing w:val="-2"/>
                <w:sz w:val="20"/>
              </w:rPr>
              <w:t>0.670016</w:t>
            </w:r>
          </w:p>
        </w:tc>
      </w:tr>
      <w:tr>
        <w:trPr>
          <w:trHeight w:val="230" w:hRule="atLeast"/>
        </w:trPr>
        <w:tc>
          <w:tcPr>
            <w:tcW w:w="916" w:type="dxa"/>
          </w:tcPr>
          <w:p>
            <w:pPr>
              <w:pStyle w:val="TableParagraph"/>
              <w:spacing w:line="210" w:lineRule="exact"/>
              <w:jc w:val="center"/>
              <w:rPr>
                <w:sz w:val="20"/>
              </w:rPr>
            </w:pPr>
            <w:r>
              <w:rPr>
                <w:spacing w:val="-4"/>
                <w:sz w:val="20"/>
              </w:rPr>
              <w:t>-</w:t>
            </w:r>
            <w:r>
              <w:rPr>
                <w:spacing w:val="-2"/>
                <w:sz w:val="20"/>
              </w:rPr>
              <w:t>1.392749</w:t>
            </w:r>
          </w:p>
        </w:tc>
      </w:tr>
      <w:tr>
        <w:trPr>
          <w:trHeight w:val="230" w:hRule="atLeast"/>
        </w:trPr>
        <w:tc>
          <w:tcPr>
            <w:tcW w:w="916" w:type="dxa"/>
          </w:tcPr>
          <w:p>
            <w:pPr>
              <w:pStyle w:val="TableParagraph"/>
              <w:spacing w:line="210" w:lineRule="exact"/>
              <w:ind w:left="52"/>
              <w:jc w:val="center"/>
              <w:rPr>
                <w:sz w:val="20"/>
              </w:rPr>
            </w:pPr>
            <w:r>
              <w:rPr>
                <w:spacing w:val="-2"/>
                <w:sz w:val="20"/>
              </w:rPr>
              <w:t>1.482437</w:t>
            </w:r>
          </w:p>
        </w:tc>
      </w:tr>
      <w:tr>
        <w:trPr>
          <w:trHeight w:val="225" w:hRule="atLeast"/>
        </w:trPr>
        <w:tc>
          <w:tcPr>
            <w:tcW w:w="916" w:type="dxa"/>
          </w:tcPr>
          <w:p>
            <w:pPr>
              <w:pStyle w:val="TableParagraph"/>
              <w:spacing w:line="205" w:lineRule="exact"/>
              <w:ind w:left="52"/>
              <w:jc w:val="center"/>
              <w:rPr>
                <w:sz w:val="20"/>
              </w:rPr>
            </w:pPr>
            <w:r>
              <w:rPr>
                <w:spacing w:val="-2"/>
                <w:sz w:val="20"/>
              </w:rPr>
              <w:t>1.482438</w:t>
            </w:r>
          </w:p>
        </w:tc>
      </w:tr>
    </w:tbl>
    <w:p>
      <w:pPr>
        <w:pStyle w:val="BodyText"/>
        <w:spacing w:before="23"/>
        <w:rPr>
          <w:sz w:val="20"/>
        </w:rPr>
      </w:pPr>
    </w:p>
    <w:p>
      <w:pPr>
        <w:spacing w:before="1"/>
        <w:ind w:left="711" w:right="0" w:firstLine="0"/>
        <w:jc w:val="left"/>
        <w:rPr>
          <w:sz w:val="20"/>
        </w:rPr>
      </w:pPr>
      <w:r>
        <w:rPr>
          <w:sz w:val="20"/>
        </w:rPr>
        <w:t>CORRELATION</w:t>
      </w:r>
      <w:r>
        <w:rPr>
          <w:spacing w:val="-10"/>
          <w:sz w:val="20"/>
        </w:rPr>
        <w:t> </w:t>
      </w:r>
      <w:r>
        <w:rPr>
          <w:sz w:val="20"/>
        </w:rPr>
        <w:t>MATRIX</w:t>
      </w:r>
      <w:r>
        <w:rPr>
          <w:spacing w:val="-8"/>
          <w:sz w:val="20"/>
        </w:rPr>
        <w:t> </w:t>
      </w:r>
      <w:r>
        <w:rPr>
          <w:sz w:val="20"/>
        </w:rPr>
        <w:t>FOR</w:t>
      </w:r>
      <w:r>
        <w:rPr>
          <w:spacing w:val="-9"/>
          <w:sz w:val="20"/>
        </w:rPr>
        <w:t> </w:t>
      </w:r>
      <w:r>
        <w:rPr>
          <w:sz w:val="20"/>
        </w:rPr>
        <w:t>MODEL</w:t>
      </w:r>
      <w:r>
        <w:rPr>
          <w:spacing w:val="-9"/>
          <w:sz w:val="20"/>
        </w:rPr>
        <w:t> </w:t>
      </w:r>
      <w:r>
        <w:rPr>
          <w:spacing w:val="-5"/>
          <w:sz w:val="20"/>
        </w:rPr>
        <w:t>1B</w:t>
      </w:r>
    </w:p>
    <w:p>
      <w:pPr>
        <w:pStyle w:val="BodyText"/>
        <w:spacing w:before="7"/>
        <w:rPr>
          <w:sz w:val="20"/>
        </w:rPr>
      </w:pPr>
    </w:p>
    <w:tbl>
      <w:tblPr>
        <w:tblW w:w="0" w:type="auto"/>
        <w:jc w:val="left"/>
        <w:tblInd w:w="5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86"/>
        <w:gridCol w:w="1026"/>
        <w:gridCol w:w="1098"/>
        <w:gridCol w:w="1191"/>
        <w:gridCol w:w="1303"/>
        <w:gridCol w:w="1302"/>
        <w:gridCol w:w="1279"/>
        <w:gridCol w:w="1165"/>
        <w:gridCol w:w="1101"/>
      </w:tblGrid>
      <w:tr>
        <w:trPr>
          <w:trHeight w:val="226" w:hRule="atLeast"/>
        </w:trPr>
        <w:tc>
          <w:tcPr>
            <w:tcW w:w="1086" w:type="dxa"/>
          </w:tcPr>
          <w:p>
            <w:pPr>
              <w:pStyle w:val="TableParagraph"/>
              <w:spacing w:line="206" w:lineRule="exact"/>
              <w:ind w:left="287"/>
              <w:rPr>
                <w:rFonts w:ascii="Arial MT"/>
                <w:sz w:val="20"/>
              </w:rPr>
            </w:pPr>
            <w:r>
              <w:rPr>
                <w:rFonts w:ascii="Arial MT"/>
                <w:spacing w:val="-5"/>
                <w:sz w:val="20"/>
              </w:rPr>
              <w:t>KFM</w:t>
            </w:r>
          </w:p>
        </w:tc>
        <w:tc>
          <w:tcPr>
            <w:tcW w:w="1026" w:type="dxa"/>
          </w:tcPr>
          <w:p>
            <w:pPr>
              <w:pStyle w:val="TableParagraph"/>
              <w:spacing w:line="206" w:lineRule="exact"/>
              <w:ind w:left="138"/>
              <w:rPr>
                <w:rFonts w:ascii="Arial MT"/>
                <w:sz w:val="20"/>
              </w:rPr>
            </w:pPr>
            <w:r>
              <w:rPr>
                <w:rFonts w:ascii="Arial MT"/>
                <w:spacing w:val="-2"/>
                <w:sz w:val="20"/>
              </w:rPr>
              <w:t>EXDEBT</w:t>
            </w:r>
          </w:p>
        </w:tc>
        <w:tc>
          <w:tcPr>
            <w:tcW w:w="1098" w:type="dxa"/>
          </w:tcPr>
          <w:p>
            <w:pPr>
              <w:pStyle w:val="TableParagraph"/>
              <w:spacing w:line="206" w:lineRule="exact"/>
              <w:ind w:left="1" w:right="107"/>
              <w:jc w:val="center"/>
              <w:rPr>
                <w:rFonts w:ascii="Arial MT"/>
                <w:sz w:val="20"/>
              </w:rPr>
            </w:pPr>
            <w:r>
              <w:rPr>
                <w:rFonts w:ascii="Arial MT"/>
                <w:spacing w:val="-5"/>
                <w:sz w:val="20"/>
              </w:rPr>
              <w:t>DOP</w:t>
            </w:r>
          </w:p>
        </w:tc>
        <w:tc>
          <w:tcPr>
            <w:tcW w:w="1191" w:type="dxa"/>
          </w:tcPr>
          <w:p>
            <w:pPr>
              <w:pStyle w:val="TableParagraph"/>
              <w:spacing w:line="206" w:lineRule="exact"/>
              <w:ind w:right="96"/>
              <w:jc w:val="center"/>
              <w:rPr>
                <w:rFonts w:ascii="Arial MT"/>
                <w:sz w:val="20"/>
              </w:rPr>
            </w:pPr>
            <w:r>
              <w:rPr>
                <w:rFonts w:ascii="Arial MT"/>
                <w:spacing w:val="-5"/>
                <w:sz w:val="20"/>
              </w:rPr>
              <w:t>INF</w:t>
            </w:r>
          </w:p>
        </w:tc>
        <w:tc>
          <w:tcPr>
            <w:tcW w:w="1303" w:type="dxa"/>
          </w:tcPr>
          <w:p>
            <w:pPr>
              <w:pStyle w:val="TableParagraph"/>
              <w:spacing w:line="206" w:lineRule="exact"/>
              <w:ind w:left="62" w:right="54"/>
              <w:jc w:val="center"/>
              <w:rPr>
                <w:rFonts w:ascii="Arial MT"/>
                <w:sz w:val="20"/>
              </w:rPr>
            </w:pPr>
            <w:r>
              <w:rPr>
                <w:rFonts w:ascii="Arial MT"/>
                <w:spacing w:val="-5"/>
                <w:sz w:val="20"/>
              </w:rPr>
              <w:t>GCF</w:t>
            </w:r>
          </w:p>
        </w:tc>
        <w:tc>
          <w:tcPr>
            <w:tcW w:w="1302" w:type="dxa"/>
          </w:tcPr>
          <w:p>
            <w:pPr>
              <w:pStyle w:val="TableParagraph"/>
              <w:spacing w:line="206" w:lineRule="exact"/>
              <w:ind w:left="57" w:right="50"/>
              <w:jc w:val="center"/>
              <w:rPr>
                <w:rFonts w:ascii="Arial MT"/>
                <w:sz w:val="20"/>
              </w:rPr>
            </w:pPr>
            <w:r>
              <w:rPr>
                <w:rFonts w:ascii="Arial MT"/>
                <w:spacing w:val="-5"/>
                <w:sz w:val="20"/>
              </w:rPr>
              <w:t>DR</w:t>
            </w:r>
          </w:p>
        </w:tc>
        <w:tc>
          <w:tcPr>
            <w:tcW w:w="1279" w:type="dxa"/>
          </w:tcPr>
          <w:p>
            <w:pPr>
              <w:pStyle w:val="TableParagraph"/>
              <w:spacing w:line="206" w:lineRule="exact"/>
              <w:ind w:left="82" w:right="55"/>
              <w:jc w:val="center"/>
              <w:rPr>
                <w:rFonts w:ascii="Arial MT"/>
                <w:sz w:val="20"/>
              </w:rPr>
            </w:pPr>
            <w:r>
              <w:rPr>
                <w:rFonts w:ascii="Arial MT"/>
                <w:spacing w:val="-2"/>
                <w:sz w:val="20"/>
              </w:rPr>
              <w:t>PRIVCR</w:t>
            </w:r>
          </w:p>
        </w:tc>
        <w:tc>
          <w:tcPr>
            <w:tcW w:w="1165" w:type="dxa"/>
          </w:tcPr>
          <w:p>
            <w:pPr>
              <w:pStyle w:val="TableParagraph"/>
              <w:spacing w:line="206" w:lineRule="exact"/>
              <w:ind w:left="30" w:right="52"/>
              <w:jc w:val="center"/>
              <w:rPr>
                <w:rFonts w:ascii="Arial MT"/>
                <w:sz w:val="20"/>
              </w:rPr>
            </w:pPr>
            <w:r>
              <w:rPr>
                <w:rFonts w:ascii="Arial MT"/>
                <w:spacing w:val="-4"/>
                <w:sz w:val="20"/>
              </w:rPr>
              <w:t>USIRD</w:t>
            </w:r>
          </w:p>
        </w:tc>
        <w:tc>
          <w:tcPr>
            <w:tcW w:w="1101" w:type="dxa"/>
          </w:tcPr>
          <w:p>
            <w:pPr>
              <w:pStyle w:val="TableParagraph"/>
              <w:spacing w:line="206" w:lineRule="exact"/>
              <w:ind w:left="112"/>
              <w:jc w:val="center"/>
              <w:rPr>
                <w:rFonts w:ascii="Arial MT"/>
                <w:sz w:val="20"/>
              </w:rPr>
            </w:pPr>
            <w:r>
              <w:rPr>
                <w:rFonts w:ascii="Arial MT"/>
                <w:spacing w:val="-4"/>
                <w:sz w:val="20"/>
              </w:rPr>
              <w:t>GOCE</w:t>
            </w:r>
          </w:p>
        </w:tc>
      </w:tr>
      <w:tr>
        <w:trPr>
          <w:trHeight w:val="229" w:hRule="atLeast"/>
        </w:trPr>
        <w:tc>
          <w:tcPr>
            <w:tcW w:w="1086" w:type="dxa"/>
          </w:tcPr>
          <w:p>
            <w:pPr>
              <w:pStyle w:val="TableParagraph"/>
              <w:spacing w:line="209" w:lineRule="exact"/>
              <w:ind w:right="201"/>
              <w:jc w:val="right"/>
              <w:rPr>
                <w:rFonts w:ascii="Arial MT"/>
                <w:sz w:val="20"/>
              </w:rPr>
            </w:pPr>
            <w:r>
              <w:rPr>
                <w:rFonts w:ascii="Arial MT"/>
                <w:spacing w:val="-2"/>
                <w:sz w:val="20"/>
              </w:rPr>
              <w:t>1.000000</w:t>
            </w:r>
          </w:p>
        </w:tc>
        <w:tc>
          <w:tcPr>
            <w:tcW w:w="1026" w:type="dxa"/>
          </w:tcPr>
          <w:p>
            <w:pPr>
              <w:pStyle w:val="TableParagraph"/>
              <w:spacing w:line="209" w:lineRule="exact"/>
              <w:ind w:left="147"/>
              <w:rPr>
                <w:rFonts w:ascii="Arial MT"/>
                <w:sz w:val="20"/>
              </w:rPr>
            </w:pPr>
            <w:r>
              <w:rPr>
                <w:rFonts w:ascii="Arial MT"/>
                <w:spacing w:val="-2"/>
                <w:sz w:val="20"/>
              </w:rPr>
              <w:t>0.861568</w:t>
            </w:r>
          </w:p>
        </w:tc>
        <w:tc>
          <w:tcPr>
            <w:tcW w:w="1098" w:type="dxa"/>
          </w:tcPr>
          <w:p>
            <w:pPr>
              <w:pStyle w:val="TableParagraph"/>
              <w:spacing w:line="209" w:lineRule="exact"/>
              <w:ind w:right="52"/>
              <w:jc w:val="center"/>
              <w:rPr>
                <w:rFonts w:ascii="Arial MT"/>
                <w:sz w:val="20"/>
              </w:rPr>
            </w:pPr>
            <w:r>
              <w:rPr>
                <w:rFonts w:ascii="Arial MT"/>
                <w:spacing w:val="-2"/>
                <w:sz w:val="20"/>
              </w:rPr>
              <w:t>0.657842</w:t>
            </w:r>
          </w:p>
        </w:tc>
        <w:tc>
          <w:tcPr>
            <w:tcW w:w="1191" w:type="dxa"/>
          </w:tcPr>
          <w:p>
            <w:pPr>
              <w:pStyle w:val="TableParagraph"/>
              <w:spacing w:line="209" w:lineRule="exact"/>
              <w:ind w:left="51" w:right="96"/>
              <w:jc w:val="center"/>
              <w:rPr>
                <w:rFonts w:ascii="Arial MT"/>
                <w:sz w:val="20"/>
              </w:rPr>
            </w:pPr>
            <w:r>
              <w:rPr>
                <w:rFonts w:ascii="Arial MT"/>
                <w:spacing w:val="-2"/>
                <w:sz w:val="20"/>
              </w:rPr>
              <w:t>0.014818</w:t>
            </w:r>
          </w:p>
        </w:tc>
        <w:tc>
          <w:tcPr>
            <w:tcW w:w="1303" w:type="dxa"/>
          </w:tcPr>
          <w:p>
            <w:pPr>
              <w:pStyle w:val="TableParagraph"/>
              <w:spacing w:line="209" w:lineRule="exact"/>
              <w:ind w:left="114" w:right="54"/>
              <w:jc w:val="center"/>
              <w:rPr>
                <w:rFonts w:ascii="Arial MT"/>
                <w:sz w:val="20"/>
              </w:rPr>
            </w:pPr>
            <w:r>
              <w:rPr>
                <w:rFonts w:ascii="Arial MT"/>
                <w:spacing w:val="-2"/>
                <w:sz w:val="20"/>
              </w:rPr>
              <w:t>0.740678</w:t>
            </w:r>
          </w:p>
        </w:tc>
        <w:tc>
          <w:tcPr>
            <w:tcW w:w="1302" w:type="dxa"/>
          </w:tcPr>
          <w:p>
            <w:pPr>
              <w:pStyle w:val="TableParagraph"/>
              <w:spacing w:line="209" w:lineRule="exact"/>
              <w:ind w:left="57" w:right="55"/>
              <w:jc w:val="center"/>
              <w:rPr>
                <w:rFonts w:ascii="Arial MT"/>
                <w:sz w:val="20"/>
              </w:rPr>
            </w:pPr>
            <w:r>
              <w:rPr>
                <w:rFonts w:ascii="Arial MT"/>
                <w:spacing w:val="-2"/>
                <w:sz w:val="20"/>
              </w:rPr>
              <w:t>-0.087726</w:t>
            </w:r>
          </w:p>
        </w:tc>
        <w:tc>
          <w:tcPr>
            <w:tcW w:w="1279" w:type="dxa"/>
          </w:tcPr>
          <w:p>
            <w:pPr>
              <w:pStyle w:val="TableParagraph"/>
              <w:spacing w:line="209" w:lineRule="exact"/>
              <w:ind w:left="82"/>
              <w:jc w:val="center"/>
              <w:rPr>
                <w:rFonts w:ascii="Arial MT"/>
                <w:sz w:val="20"/>
              </w:rPr>
            </w:pPr>
            <w:r>
              <w:rPr>
                <w:rFonts w:ascii="Arial MT"/>
                <w:spacing w:val="-2"/>
                <w:sz w:val="20"/>
              </w:rPr>
              <w:t>0.915322</w:t>
            </w:r>
          </w:p>
        </w:tc>
        <w:tc>
          <w:tcPr>
            <w:tcW w:w="1165" w:type="dxa"/>
          </w:tcPr>
          <w:p>
            <w:pPr>
              <w:pStyle w:val="TableParagraph"/>
              <w:spacing w:line="209" w:lineRule="exact"/>
              <w:ind w:left="52" w:right="22"/>
              <w:jc w:val="center"/>
              <w:rPr>
                <w:rFonts w:ascii="Arial MT"/>
                <w:sz w:val="20"/>
              </w:rPr>
            </w:pPr>
            <w:r>
              <w:rPr>
                <w:rFonts w:ascii="Arial MT"/>
                <w:spacing w:val="-2"/>
                <w:sz w:val="20"/>
              </w:rPr>
              <w:t>0.719935</w:t>
            </w:r>
          </w:p>
        </w:tc>
        <w:tc>
          <w:tcPr>
            <w:tcW w:w="1101" w:type="dxa"/>
          </w:tcPr>
          <w:p>
            <w:pPr>
              <w:pStyle w:val="TableParagraph"/>
              <w:spacing w:line="209" w:lineRule="exact"/>
              <w:ind w:left="164"/>
              <w:jc w:val="center"/>
              <w:rPr>
                <w:rFonts w:ascii="Arial MT"/>
                <w:sz w:val="20"/>
              </w:rPr>
            </w:pPr>
            <w:r>
              <w:rPr>
                <w:rFonts w:ascii="Arial MT"/>
                <w:spacing w:val="-2"/>
                <w:sz w:val="20"/>
              </w:rPr>
              <w:t>0.926018</w:t>
            </w:r>
          </w:p>
        </w:tc>
      </w:tr>
      <w:tr>
        <w:trPr>
          <w:trHeight w:val="229" w:hRule="atLeast"/>
        </w:trPr>
        <w:tc>
          <w:tcPr>
            <w:tcW w:w="1086" w:type="dxa"/>
          </w:tcPr>
          <w:p>
            <w:pPr>
              <w:pStyle w:val="TableParagraph"/>
              <w:spacing w:line="209" w:lineRule="exact"/>
              <w:ind w:right="141"/>
              <w:jc w:val="right"/>
              <w:rPr>
                <w:rFonts w:ascii="Arial MT"/>
                <w:sz w:val="20"/>
              </w:rPr>
            </w:pPr>
            <w:r>
              <w:rPr>
                <w:rFonts w:ascii="Arial MT"/>
                <w:spacing w:val="-2"/>
                <w:sz w:val="20"/>
              </w:rPr>
              <w:t>0.861568</w:t>
            </w:r>
          </w:p>
        </w:tc>
        <w:tc>
          <w:tcPr>
            <w:tcW w:w="1026" w:type="dxa"/>
          </w:tcPr>
          <w:p>
            <w:pPr>
              <w:pStyle w:val="TableParagraph"/>
              <w:spacing w:line="209" w:lineRule="exact"/>
              <w:ind w:left="147"/>
              <w:rPr>
                <w:rFonts w:ascii="Arial MT"/>
                <w:sz w:val="20"/>
              </w:rPr>
            </w:pPr>
            <w:r>
              <w:rPr>
                <w:rFonts w:ascii="Arial MT"/>
                <w:spacing w:val="-2"/>
                <w:sz w:val="20"/>
              </w:rPr>
              <w:t>1.000000</w:t>
            </w:r>
          </w:p>
        </w:tc>
        <w:tc>
          <w:tcPr>
            <w:tcW w:w="1098" w:type="dxa"/>
          </w:tcPr>
          <w:p>
            <w:pPr>
              <w:pStyle w:val="TableParagraph"/>
              <w:spacing w:line="209" w:lineRule="exact"/>
              <w:ind w:right="52"/>
              <w:jc w:val="center"/>
              <w:rPr>
                <w:rFonts w:ascii="Arial MT"/>
                <w:sz w:val="20"/>
              </w:rPr>
            </w:pPr>
            <w:r>
              <w:rPr>
                <w:rFonts w:ascii="Arial MT"/>
                <w:spacing w:val="-2"/>
                <w:sz w:val="20"/>
              </w:rPr>
              <w:t>0.649789</w:t>
            </w:r>
          </w:p>
        </w:tc>
        <w:tc>
          <w:tcPr>
            <w:tcW w:w="1191" w:type="dxa"/>
          </w:tcPr>
          <w:p>
            <w:pPr>
              <w:pStyle w:val="TableParagraph"/>
              <w:spacing w:line="209" w:lineRule="exact"/>
              <w:ind w:left="51" w:right="96"/>
              <w:jc w:val="center"/>
              <w:rPr>
                <w:rFonts w:ascii="Arial MT"/>
                <w:sz w:val="20"/>
              </w:rPr>
            </w:pPr>
            <w:r>
              <w:rPr>
                <w:rFonts w:ascii="Arial MT"/>
                <w:spacing w:val="-2"/>
                <w:sz w:val="20"/>
              </w:rPr>
              <w:t>0.132065</w:t>
            </w:r>
          </w:p>
        </w:tc>
        <w:tc>
          <w:tcPr>
            <w:tcW w:w="1303" w:type="dxa"/>
          </w:tcPr>
          <w:p>
            <w:pPr>
              <w:pStyle w:val="TableParagraph"/>
              <w:spacing w:line="209" w:lineRule="exact"/>
              <w:ind w:left="114" w:right="54"/>
              <w:jc w:val="center"/>
              <w:rPr>
                <w:rFonts w:ascii="Arial MT"/>
                <w:sz w:val="20"/>
              </w:rPr>
            </w:pPr>
            <w:r>
              <w:rPr>
                <w:rFonts w:ascii="Arial MT"/>
                <w:spacing w:val="-2"/>
                <w:sz w:val="20"/>
              </w:rPr>
              <w:t>0.663510</w:t>
            </w:r>
          </w:p>
        </w:tc>
        <w:tc>
          <w:tcPr>
            <w:tcW w:w="1302" w:type="dxa"/>
          </w:tcPr>
          <w:p>
            <w:pPr>
              <w:pStyle w:val="TableParagraph"/>
              <w:spacing w:line="209" w:lineRule="exact"/>
              <w:ind w:left="57"/>
              <w:jc w:val="center"/>
              <w:rPr>
                <w:rFonts w:ascii="Arial MT"/>
                <w:sz w:val="20"/>
              </w:rPr>
            </w:pPr>
            <w:r>
              <w:rPr>
                <w:rFonts w:ascii="Arial MT"/>
                <w:spacing w:val="-2"/>
                <w:sz w:val="20"/>
              </w:rPr>
              <w:t>0.211684</w:t>
            </w:r>
          </w:p>
        </w:tc>
        <w:tc>
          <w:tcPr>
            <w:tcW w:w="1279" w:type="dxa"/>
          </w:tcPr>
          <w:p>
            <w:pPr>
              <w:pStyle w:val="TableParagraph"/>
              <w:spacing w:line="209" w:lineRule="exact"/>
              <w:ind w:left="82"/>
              <w:jc w:val="center"/>
              <w:rPr>
                <w:rFonts w:ascii="Arial MT"/>
                <w:sz w:val="20"/>
              </w:rPr>
            </w:pPr>
            <w:r>
              <w:rPr>
                <w:rFonts w:ascii="Arial MT"/>
                <w:spacing w:val="-2"/>
                <w:sz w:val="20"/>
              </w:rPr>
              <w:t>0.832532</w:t>
            </w:r>
          </w:p>
        </w:tc>
        <w:tc>
          <w:tcPr>
            <w:tcW w:w="1165" w:type="dxa"/>
          </w:tcPr>
          <w:p>
            <w:pPr>
              <w:pStyle w:val="TableParagraph"/>
              <w:spacing w:line="209" w:lineRule="exact"/>
              <w:ind w:left="52" w:right="22"/>
              <w:jc w:val="center"/>
              <w:rPr>
                <w:rFonts w:ascii="Arial MT"/>
                <w:sz w:val="20"/>
              </w:rPr>
            </w:pPr>
            <w:r>
              <w:rPr>
                <w:rFonts w:ascii="Arial MT"/>
                <w:spacing w:val="-2"/>
                <w:sz w:val="20"/>
              </w:rPr>
              <w:t>0.789665</w:t>
            </w:r>
          </w:p>
        </w:tc>
        <w:tc>
          <w:tcPr>
            <w:tcW w:w="1101" w:type="dxa"/>
          </w:tcPr>
          <w:p>
            <w:pPr>
              <w:pStyle w:val="TableParagraph"/>
              <w:spacing w:line="209" w:lineRule="exact"/>
              <w:ind w:left="164"/>
              <w:jc w:val="center"/>
              <w:rPr>
                <w:rFonts w:ascii="Arial MT"/>
                <w:sz w:val="20"/>
              </w:rPr>
            </w:pPr>
            <w:r>
              <w:rPr>
                <w:rFonts w:ascii="Arial MT"/>
                <w:spacing w:val="-2"/>
                <w:sz w:val="20"/>
              </w:rPr>
              <w:t>0.843810</w:t>
            </w:r>
          </w:p>
        </w:tc>
      </w:tr>
      <w:tr>
        <w:trPr>
          <w:trHeight w:val="230" w:hRule="atLeast"/>
        </w:trPr>
        <w:tc>
          <w:tcPr>
            <w:tcW w:w="1086" w:type="dxa"/>
          </w:tcPr>
          <w:p>
            <w:pPr>
              <w:pStyle w:val="TableParagraph"/>
              <w:spacing w:line="210" w:lineRule="exact"/>
              <w:ind w:right="141"/>
              <w:jc w:val="right"/>
              <w:rPr>
                <w:rFonts w:ascii="Arial MT"/>
                <w:sz w:val="20"/>
              </w:rPr>
            </w:pPr>
            <w:r>
              <w:rPr>
                <w:rFonts w:ascii="Arial MT"/>
                <w:spacing w:val="-2"/>
                <w:sz w:val="20"/>
              </w:rPr>
              <w:t>0.657842</w:t>
            </w:r>
          </w:p>
        </w:tc>
        <w:tc>
          <w:tcPr>
            <w:tcW w:w="1026" w:type="dxa"/>
          </w:tcPr>
          <w:p>
            <w:pPr>
              <w:pStyle w:val="TableParagraph"/>
              <w:spacing w:line="210" w:lineRule="exact"/>
              <w:ind w:left="147"/>
              <w:rPr>
                <w:rFonts w:ascii="Arial MT"/>
                <w:sz w:val="20"/>
              </w:rPr>
            </w:pPr>
            <w:r>
              <w:rPr>
                <w:rFonts w:ascii="Arial MT"/>
                <w:spacing w:val="-2"/>
                <w:sz w:val="20"/>
              </w:rPr>
              <w:t>0.649789</w:t>
            </w:r>
          </w:p>
        </w:tc>
        <w:tc>
          <w:tcPr>
            <w:tcW w:w="1098" w:type="dxa"/>
          </w:tcPr>
          <w:p>
            <w:pPr>
              <w:pStyle w:val="TableParagraph"/>
              <w:spacing w:line="210" w:lineRule="exact"/>
              <w:ind w:right="52"/>
              <w:jc w:val="center"/>
              <w:rPr>
                <w:rFonts w:ascii="Arial MT"/>
                <w:sz w:val="20"/>
              </w:rPr>
            </w:pPr>
            <w:r>
              <w:rPr>
                <w:rFonts w:ascii="Arial MT"/>
                <w:spacing w:val="-2"/>
                <w:sz w:val="20"/>
              </w:rPr>
              <w:t>1.000000</w:t>
            </w:r>
          </w:p>
        </w:tc>
        <w:tc>
          <w:tcPr>
            <w:tcW w:w="1191" w:type="dxa"/>
          </w:tcPr>
          <w:p>
            <w:pPr>
              <w:pStyle w:val="TableParagraph"/>
              <w:spacing w:line="210" w:lineRule="exact"/>
              <w:ind w:left="51" w:right="96"/>
              <w:jc w:val="center"/>
              <w:rPr>
                <w:rFonts w:ascii="Arial MT"/>
                <w:sz w:val="20"/>
              </w:rPr>
            </w:pPr>
            <w:r>
              <w:rPr>
                <w:rFonts w:ascii="Arial MT"/>
                <w:spacing w:val="-2"/>
                <w:sz w:val="20"/>
              </w:rPr>
              <w:t>0.135152</w:t>
            </w:r>
          </w:p>
        </w:tc>
        <w:tc>
          <w:tcPr>
            <w:tcW w:w="1303" w:type="dxa"/>
          </w:tcPr>
          <w:p>
            <w:pPr>
              <w:pStyle w:val="TableParagraph"/>
              <w:spacing w:line="210" w:lineRule="exact"/>
              <w:ind w:left="114" w:right="54"/>
              <w:jc w:val="center"/>
              <w:rPr>
                <w:rFonts w:ascii="Arial MT"/>
                <w:sz w:val="20"/>
              </w:rPr>
            </w:pPr>
            <w:r>
              <w:rPr>
                <w:rFonts w:ascii="Arial MT"/>
                <w:spacing w:val="-2"/>
                <w:sz w:val="20"/>
              </w:rPr>
              <w:t>0.568821</w:t>
            </w:r>
          </w:p>
        </w:tc>
        <w:tc>
          <w:tcPr>
            <w:tcW w:w="1302" w:type="dxa"/>
          </w:tcPr>
          <w:p>
            <w:pPr>
              <w:pStyle w:val="TableParagraph"/>
              <w:spacing w:line="210" w:lineRule="exact"/>
              <w:ind w:left="57" w:right="55"/>
              <w:jc w:val="center"/>
              <w:rPr>
                <w:rFonts w:ascii="Arial MT"/>
                <w:sz w:val="20"/>
              </w:rPr>
            </w:pPr>
            <w:r>
              <w:rPr>
                <w:rFonts w:ascii="Arial MT"/>
                <w:spacing w:val="-2"/>
                <w:sz w:val="20"/>
              </w:rPr>
              <w:t>-0.047294</w:t>
            </w:r>
          </w:p>
        </w:tc>
        <w:tc>
          <w:tcPr>
            <w:tcW w:w="1279" w:type="dxa"/>
          </w:tcPr>
          <w:p>
            <w:pPr>
              <w:pStyle w:val="TableParagraph"/>
              <w:spacing w:line="210" w:lineRule="exact"/>
              <w:ind w:left="82"/>
              <w:jc w:val="center"/>
              <w:rPr>
                <w:rFonts w:ascii="Arial MT"/>
                <w:sz w:val="20"/>
              </w:rPr>
            </w:pPr>
            <w:r>
              <w:rPr>
                <w:rFonts w:ascii="Arial MT"/>
                <w:spacing w:val="-2"/>
                <w:sz w:val="20"/>
              </w:rPr>
              <w:t>0.652047</w:t>
            </w:r>
          </w:p>
        </w:tc>
        <w:tc>
          <w:tcPr>
            <w:tcW w:w="1165" w:type="dxa"/>
          </w:tcPr>
          <w:p>
            <w:pPr>
              <w:pStyle w:val="TableParagraph"/>
              <w:spacing w:line="210" w:lineRule="exact"/>
              <w:ind w:left="52" w:right="22"/>
              <w:jc w:val="center"/>
              <w:rPr>
                <w:rFonts w:ascii="Arial MT"/>
                <w:sz w:val="20"/>
              </w:rPr>
            </w:pPr>
            <w:r>
              <w:rPr>
                <w:rFonts w:ascii="Arial MT"/>
                <w:spacing w:val="-2"/>
                <w:sz w:val="20"/>
              </w:rPr>
              <w:t>0.636693</w:t>
            </w:r>
          </w:p>
        </w:tc>
        <w:tc>
          <w:tcPr>
            <w:tcW w:w="1101" w:type="dxa"/>
          </w:tcPr>
          <w:p>
            <w:pPr>
              <w:pStyle w:val="TableParagraph"/>
              <w:spacing w:line="210" w:lineRule="exact"/>
              <w:ind w:left="164"/>
              <w:jc w:val="center"/>
              <w:rPr>
                <w:rFonts w:ascii="Arial MT"/>
                <w:sz w:val="20"/>
              </w:rPr>
            </w:pPr>
            <w:r>
              <w:rPr>
                <w:rFonts w:ascii="Arial MT"/>
                <w:spacing w:val="-2"/>
                <w:sz w:val="20"/>
              </w:rPr>
              <w:t>0.695295</w:t>
            </w:r>
          </w:p>
        </w:tc>
      </w:tr>
      <w:tr>
        <w:trPr>
          <w:trHeight w:val="230" w:hRule="atLeast"/>
        </w:trPr>
        <w:tc>
          <w:tcPr>
            <w:tcW w:w="1086" w:type="dxa"/>
          </w:tcPr>
          <w:p>
            <w:pPr>
              <w:pStyle w:val="TableParagraph"/>
              <w:spacing w:line="210" w:lineRule="exact"/>
              <w:ind w:right="141"/>
              <w:jc w:val="right"/>
              <w:rPr>
                <w:rFonts w:ascii="Arial MT"/>
                <w:sz w:val="20"/>
              </w:rPr>
            </w:pPr>
            <w:r>
              <w:rPr>
                <w:rFonts w:ascii="Arial MT"/>
                <w:spacing w:val="-2"/>
                <w:sz w:val="20"/>
              </w:rPr>
              <w:t>0.014818</w:t>
            </w:r>
          </w:p>
        </w:tc>
        <w:tc>
          <w:tcPr>
            <w:tcW w:w="1026" w:type="dxa"/>
          </w:tcPr>
          <w:p>
            <w:pPr>
              <w:pStyle w:val="TableParagraph"/>
              <w:spacing w:line="210" w:lineRule="exact"/>
              <w:ind w:left="147"/>
              <w:rPr>
                <w:rFonts w:ascii="Arial MT"/>
                <w:sz w:val="20"/>
              </w:rPr>
            </w:pPr>
            <w:r>
              <w:rPr>
                <w:rFonts w:ascii="Arial MT"/>
                <w:spacing w:val="-2"/>
                <w:sz w:val="20"/>
              </w:rPr>
              <w:t>0.132065</w:t>
            </w:r>
          </w:p>
        </w:tc>
        <w:tc>
          <w:tcPr>
            <w:tcW w:w="1098" w:type="dxa"/>
          </w:tcPr>
          <w:p>
            <w:pPr>
              <w:pStyle w:val="TableParagraph"/>
              <w:spacing w:line="210" w:lineRule="exact"/>
              <w:ind w:right="52"/>
              <w:jc w:val="center"/>
              <w:rPr>
                <w:rFonts w:ascii="Arial MT"/>
                <w:sz w:val="20"/>
              </w:rPr>
            </w:pPr>
            <w:r>
              <w:rPr>
                <w:rFonts w:ascii="Arial MT"/>
                <w:spacing w:val="-2"/>
                <w:sz w:val="20"/>
              </w:rPr>
              <w:t>0.135152</w:t>
            </w:r>
          </w:p>
        </w:tc>
        <w:tc>
          <w:tcPr>
            <w:tcW w:w="1191" w:type="dxa"/>
          </w:tcPr>
          <w:p>
            <w:pPr>
              <w:pStyle w:val="TableParagraph"/>
              <w:spacing w:line="210" w:lineRule="exact"/>
              <w:ind w:left="51" w:right="96"/>
              <w:jc w:val="center"/>
              <w:rPr>
                <w:rFonts w:ascii="Arial MT"/>
                <w:sz w:val="20"/>
              </w:rPr>
            </w:pPr>
            <w:r>
              <w:rPr>
                <w:rFonts w:ascii="Arial MT"/>
                <w:spacing w:val="-2"/>
                <w:sz w:val="20"/>
              </w:rPr>
              <w:t>1.000000</w:t>
            </w:r>
          </w:p>
        </w:tc>
        <w:tc>
          <w:tcPr>
            <w:tcW w:w="1303" w:type="dxa"/>
          </w:tcPr>
          <w:p>
            <w:pPr>
              <w:pStyle w:val="TableParagraph"/>
              <w:spacing w:line="210" w:lineRule="exact"/>
              <w:ind w:left="114" w:right="54"/>
              <w:jc w:val="center"/>
              <w:rPr>
                <w:rFonts w:ascii="Arial MT"/>
                <w:sz w:val="20"/>
              </w:rPr>
            </w:pPr>
            <w:r>
              <w:rPr>
                <w:rFonts w:ascii="Arial MT"/>
                <w:spacing w:val="-2"/>
                <w:sz w:val="20"/>
              </w:rPr>
              <w:t>0.070470</w:t>
            </w:r>
          </w:p>
        </w:tc>
        <w:tc>
          <w:tcPr>
            <w:tcW w:w="1302" w:type="dxa"/>
          </w:tcPr>
          <w:p>
            <w:pPr>
              <w:pStyle w:val="TableParagraph"/>
              <w:spacing w:line="210" w:lineRule="exact"/>
              <w:ind w:left="57"/>
              <w:jc w:val="center"/>
              <w:rPr>
                <w:rFonts w:ascii="Arial MT"/>
                <w:sz w:val="20"/>
              </w:rPr>
            </w:pPr>
            <w:r>
              <w:rPr>
                <w:rFonts w:ascii="Arial MT"/>
                <w:spacing w:val="-2"/>
                <w:sz w:val="20"/>
              </w:rPr>
              <w:t>0.456139</w:t>
            </w:r>
          </w:p>
        </w:tc>
        <w:tc>
          <w:tcPr>
            <w:tcW w:w="1279" w:type="dxa"/>
          </w:tcPr>
          <w:p>
            <w:pPr>
              <w:pStyle w:val="TableParagraph"/>
              <w:spacing w:line="210" w:lineRule="exact"/>
              <w:ind w:left="82"/>
              <w:jc w:val="center"/>
              <w:rPr>
                <w:rFonts w:ascii="Arial MT"/>
                <w:sz w:val="20"/>
              </w:rPr>
            </w:pPr>
            <w:r>
              <w:rPr>
                <w:rFonts w:ascii="Arial MT"/>
                <w:spacing w:val="-2"/>
                <w:sz w:val="20"/>
              </w:rPr>
              <w:t>0.006982</w:t>
            </w:r>
          </w:p>
        </w:tc>
        <w:tc>
          <w:tcPr>
            <w:tcW w:w="1165" w:type="dxa"/>
          </w:tcPr>
          <w:p>
            <w:pPr>
              <w:pStyle w:val="TableParagraph"/>
              <w:spacing w:line="210" w:lineRule="exact"/>
              <w:ind w:left="52" w:right="22"/>
              <w:jc w:val="center"/>
              <w:rPr>
                <w:rFonts w:ascii="Arial MT"/>
                <w:sz w:val="20"/>
              </w:rPr>
            </w:pPr>
            <w:r>
              <w:rPr>
                <w:rFonts w:ascii="Arial MT"/>
                <w:spacing w:val="-2"/>
                <w:sz w:val="20"/>
              </w:rPr>
              <w:t>0.006236</w:t>
            </w:r>
          </w:p>
        </w:tc>
        <w:tc>
          <w:tcPr>
            <w:tcW w:w="1101" w:type="dxa"/>
          </w:tcPr>
          <w:p>
            <w:pPr>
              <w:pStyle w:val="TableParagraph"/>
              <w:spacing w:line="210" w:lineRule="exact"/>
              <w:ind w:left="164"/>
              <w:jc w:val="center"/>
              <w:rPr>
                <w:rFonts w:ascii="Arial MT"/>
                <w:sz w:val="20"/>
              </w:rPr>
            </w:pPr>
            <w:r>
              <w:rPr>
                <w:rFonts w:ascii="Arial MT"/>
                <w:spacing w:val="-2"/>
                <w:sz w:val="20"/>
              </w:rPr>
              <w:t>0.014569</w:t>
            </w:r>
          </w:p>
        </w:tc>
      </w:tr>
      <w:tr>
        <w:trPr>
          <w:trHeight w:val="230" w:hRule="atLeast"/>
        </w:trPr>
        <w:tc>
          <w:tcPr>
            <w:tcW w:w="1086" w:type="dxa"/>
          </w:tcPr>
          <w:p>
            <w:pPr>
              <w:pStyle w:val="TableParagraph"/>
              <w:spacing w:line="210" w:lineRule="exact"/>
              <w:ind w:right="141"/>
              <w:jc w:val="right"/>
              <w:rPr>
                <w:rFonts w:ascii="Arial MT"/>
                <w:sz w:val="20"/>
              </w:rPr>
            </w:pPr>
            <w:r>
              <w:rPr>
                <w:rFonts w:ascii="Arial MT"/>
                <w:spacing w:val="-2"/>
                <w:sz w:val="20"/>
              </w:rPr>
              <w:t>0.740678</w:t>
            </w:r>
          </w:p>
        </w:tc>
        <w:tc>
          <w:tcPr>
            <w:tcW w:w="1026" w:type="dxa"/>
          </w:tcPr>
          <w:p>
            <w:pPr>
              <w:pStyle w:val="TableParagraph"/>
              <w:spacing w:line="210" w:lineRule="exact"/>
              <w:ind w:left="147"/>
              <w:rPr>
                <w:rFonts w:ascii="Arial MT"/>
                <w:sz w:val="20"/>
              </w:rPr>
            </w:pPr>
            <w:r>
              <w:rPr>
                <w:rFonts w:ascii="Arial MT"/>
                <w:spacing w:val="-2"/>
                <w:sz w:val="20"/>
              </w:rPr>
              <w:t>0.663510</w:t>
            </w:r>
          </w:p>
        </w:tc>
        <w:tc>
          <w:tcPr>
            <w:tcW w:w="1098" w:type="dxa"/>
          </w:tcPr>
          <w:p>
            <w:pPr>
              <w:pStyle w:val="TableParagraph"/>
              <w:spacing w:line="210" w:lineRule="exact"/>
              <w:ind w:right="52"/>
              <w:jc w:val="center"/>
              <w:rPr>
                <w:rFonts w:ascii="Arial MT"/>
                <w:sz w:val="20"/>
              </w:rPr>
            </w:pPr>
            <w:r>
              <w:rPr>
                <w:rFonts w:ascii="Arial MT"/>
                <w:spacing w:val="-2"/>
                <w:sz w:val="20"/>
              </w:rPr>
              <w:t>0.568821</w:t>
            </w:r>
          </w:p>
        </w:tc>
        <w:tc>
          <w:tcPr>
            <w:tcW w:w="1191" w:type="dxa"/>
          </w:tcPr>
          <w:p>
            <w:pPr>
              <w:pStyle w:val="TableParagraph"/>
              <w:spacing w:line="210" w:lineRule="exact"/>
              <w:ind w:left="51" w:right="96"/>
              <w:jc w:val="center"/>
              <w:rPr>
                <w:rFonts w:ascii="Arial MT"/>
                <w:sz w:val="20"/>
              </w:rPr>
            </w:pPr>
            <w:r>
              <w:rPr>
                <w:rFonts w:ascii="Arial MT"/>
                <w:spacing w:val="-2"/>
                <w:sz w:val="20"/>
              </w:rPr>
              <w:t>0.070470</w:t>
            </w:r>
          </w:p>
        </w:tc>
        <w:tc>
          <w:tcPr>
            <w:tcW w:w="1303" w:type="dxa"/>
          </w:tcPr>
          <w:p>
            <w:pPr>
              <w:pStyle w:val="TableParagraph"/>
              <w:spacing w:line="210" w:lineRule="exact"/>
              <w:ind w:left="114" w:right="54"/>
              <w:jc w:val="center"/>
              <w:rPr>
                <w:rFonts w:ascii="Arial MT"/>
                <w:sz w:val="20"/>
              </w:rPr>
            </w:pPr>
            <w:r>
              <w:rPr>
                <w:rFonts w:ascii="Arial MT"/>
                <w:spacing w:val="-2"/>
                <w:sz w:val="20"/>
              </w:rPr>
              <w:t>1.000000</w:t>
            </w:r>
          </w:p>
        </w:tc>
        <w:tc>
          <w:tcPr>
            <w:tcW w:w="1302" w:type="dxa"/>
          </w:tcPr>
          <w:p>
            <w:pPr>
              <w:pStyle w:val="TableParagraph"/>
              <w:spacing w:line="210" w:lineRule="exact"/>
              <w:ind w:left="57" w:right="55"/>
              <w:jc w:val="center"/>
              <w:rPr>
                <w:rFonts w:ascii="Arial MT"/>
                <w:sz w:val="20"/>
              </w:rPr>
            </w:pPr>
            <w:r>
              <w:rPr>
                <w:rFonts w:ascii="Arial MT"/>
                <w:spacing w:val="-2"/>
                <w:sz w:val="20"/>
              </w:rPr>
              <w:t>-0.181267</w:t>
            </w:r>
          </w:p>
        </w:tc>
        <w:tc>
          <w:tcPr>
            <w:tcW w:w="1279" w:type="dxa"/>
          </w:tcPr>
          <w:p>
            <w:pPr>
              <w:pStyle w:val="TableParagraph"/>
              <w:spacing w:line="210" w:lineRule="exact"/>
              <w:ind w:left="82"/>
              <w:jc w:val="center"/>
              <w:rPr>
                <w:rFonts w:ascii="Arial MT"/>
                <w:sz w:val="20"/>
              </w:rPr>
            </w:pPr>
            <w:r>
              <w:rPr>
                <w:rFonts w:ascii="Arial MT"/>
                <w:spacing w:val="-2"/>
                <w:sz w:val="20"/>
              </w:rPr>
              <w:t>0.821569</w:t>
            </w:r>
          </w:p>
        </w:tc>
        <w:tc>
          <w:tcPr>
            <w:tcW w:w="1165" w:type="dxa"/>
          </w:tcPr>
          <w:p>
            <w:pPr>
              <w:pStyle w:val="TableParagraph"/>
              <w:spacing w:line="210" w:lineRule="exact"/>
              <w:ind w:left="52" w:right="22"/>
              <w:jc w:val="center"/>
              <w:rPr>
                <w:rFonts w:ascii="Arial MT"/>
                <w:sz w:val="20"/>
              </w:rPr>
            </w:pPr>
            <w:r>
              <w:rPr>
                <w:rFonts w:ascii="Arial MT"/>
                <w:spacing w:val="-2"/>
                <w:sz w:val="20"/>
              </w:rPr>
              <w:t>0.536487</w:t>
            </w:r>
          </w:p>
        </w:tc>
        <w:tc>
          <w:tcPr>
            <w:tcW w:w="1101" w:type="dxa"/>
          </w:tcPr>
          <w:p>
            <w:pPr>
              <w:pStyle w:val="TableParagraph"/>
              <w:spacing w:line="210" w:lineRule="exact"/>
              <w:ind w:left="164"/>
              <w:jc w:val="center"/>
              <w:rPr>
                <w:rFonts w:ascii="Arial MT"/>
                <w:sz w:val="20"/>
              </w:rPr>
            </w:pPr>
            <w:r>
              <w:rPr>
                <w:rFonts w:ascii="Arial MT"/>
                <w:spacing w:val="-2"/>
                <w:sz w:val="20"/>
              </w:rPr>
              <w:t>0.817219</w:t>
            </w:r>
          </w:p>
        </w:tc>
      </w:tr>
      <w:tr>
        <w:trPr>
          <w:trHeight w:val="230" w:hRule="atLeast"/>
        </w:trPr>
        <w:tc>
          <w:tcPr>
            <w:tcW w:w="1086" w:type="dxa"/>
          </w:tcPr>
          <w:p>
            <w:pPr>
              <w:pStyle w:val="TableParagraph"/>
              <w:spacing w:line="211" w:lineRule="exact"/>
              <w:ind w:right="136"/>
              <w:jc w:val="right"/>
              <w:rPr>
                <w:rFonts w:ascii="Arial MT"/>
                <w:sz w:val="20"/>
              </w:rPr>
            </w:pPr>
            <w:r>
              <w:rPr>
                <w:rFonts w:ascii="Arial MT"/>
                <w:spacing w:val="-2"/>
                <w:sz w:val="20"/>
              </w:rPr>
              <w:t>-0.087726</w:t>
            </w:r>
          </w:p>
        </w:tc>
        <w:tc>
          <w:tcPr>
            <w:tcW w:w="1026" w:type="dxa"/>
          </w:tcPr>
          <w:p>
            <w:pPr>
              <w:pStyle w:val="TableParagraph"/>
              <w:spacing w:line="211" w:lineRule="exact"/>
              <w:ind w:left="147"/>
              <w:rPr>
                <w:rFonts w:ascii="Arial MT"/>
                <w:sz w:val="20"/>
              </w:rPr>
            </w:pPr>
            <w:r>
              <w:rPr>
                <w:rFonts w:ascii="Arial MT"/>
                <w:spacing w:val="-2"/>
                <w:sz w:val="20"/>
              </w:rPr>
              <w:t>0.211684</w:t>
            </w:r>
          </w:p>
        </w:tc>
        <w:tc>
          <w:tcPr>
            <w:tcW w:w="1098" w:type="dxa"/>
          </w:tcPr>
          <w:p>
            <w:pPr>
              <w:pStyle w:val="TableParagraph"/>
              <w:spacing w:line="211" w:lineRule="exact"/>
              <w:ind w:right="107"/>
              <w:jc w:val="center"/>
              <w:rPr>
                <w:rFonts w:ascii="Arial MT"/>
                <w:sz w:val="20"/>
              </w:rPr>
            </w:pPr>
            <w:r>
              <w:rPr>
                <w:rFonts w:ascii="Arial MT"/>
                <w:spacing w:val="-2"/>
                <w:sz w:val="20"/>
              </w:rPr>
              <w:t>-0.047294</w:t>
            </w:r>
          </w:p>
        </w:tc>
        <w:tc>
          <w:tcPr>
            <w:tcW w:w="1191" w:type="dxa"/>
          </w:tcPr>
          <w:p>
            <w:pPr>
              <w:pStyle w:val="TableParagraph"/>
              <w:spacing w:line="211" w:lineRule="exact"/>
              <w:ind w:left="51" w:right="96"/>
              <w:jc w:val="center"/>
              <w:rPr>
                <w:rFonts w:ascii="Arial MT"/>
                <w:sz w:val="20"/>
              </w:rPr>
            </w:pPr>
            <w:r>
              <w:rPr>
                <w:rFonts w:ascii="Arial MT"/>
                <w:spacing w:val="-2"/>
                <w:sz w:val="20"/>
              </w:rPr>
              <w:t>0.456139</w:t>
            </w:r>
          </w:p>
        </w:tc>
        <w:tc>
          <w:tcPr>
            <w:tcW w:w="1303" w:type="dxa"/>
          </w:tcPr>
          <w:p>
            <w:pPr>
              <w:pStyle w:val="TableParagraph"/>
              <w:spacing w:line="211" w:lineRule="exact"/>
              <w:ind w:left="60" w:right="55"/>
              <w:jc w:val="center"/>
              <w:rPr>
                <w:rFonts w:ascii="Arial MT"/>
                <w:sz w:val="20"/>
              </w:rPr>
            </w:pPr>
            <w:r>
              <w:rPr>
                <w:rFonts w:ascii="Arial MT"/>
                <w:spacing w:val="-2"/>
                <w:sz w:val="20"/>
              </w:rPr>
              <w:t>-0.181267</w:t>
            </w:r>
          </w:p>
        </w:tc>
        <w:tc>
          <w:tcPr>
            <w:tcW w:w="1302" w:type="dxa"/>
          </w:tcPr>
          <w:p>
            <w:pPr>
              <w:pStyle w:val="TableParagraph"/>
              <w:spacing w:line="211" w:lineRule="exact"/>
              <w:ind w:left="57"/>
              <w:jc w:val="center"/>
              <w:rPr>
                <w:rFonts w:ascii="Arial MT"/>
                <w:sz w:val="20"/>
              </w:rPr>
            </w:pPr>
            <w:r>
              <w:rPr>
                <w:rFonts w:ascii="Arial MT"/>
                <w:spacing w:val="-2"/>
                <w:sz w:val="20"/>
              </w:rPr>
              <w:t>1.000000</w:t>
            </w:r>
          </w:p>
        </w:tc>
        <w:tc>
          <w:tcPr>
            <w:tcW w:w="1279" w:type="dxa"/>
          </w:tcPr>
          <w:p>
            <w:pPr>
              <w:pStyle w:val="TableParagraph"/>
              <w:spacing w:line="211" w:lineRule="exact"/>
              <w:ind w:left="82" w:right="55"/>
              <w:jc w:val="center"/>
              <w:rPr>
                <w:rFonts w:ascii="Arial MT"/>
                <w:sz w:val="20"/>
              </w:rPr>
            </w:pPr>
            <w:r>
              <w:rPr>
                <w:rFonts w:ascii="Arial MT"/>
                <w:spacing w:val="-2"/>
                <w:sz w:val="20"/>
              </w:rPr>
              <w:t>-0.174955</w:t>
            </w:r>
          </w:p>
        </w:tc>
        <w:tc>
          <w:tcPr>
            <w:tcW w:w="1165" w:type="dxa"/>
          </w:tcPr>
          <w:p>
            <w:pPr>
              <w:pStyle w:val="TableParagraph"/>
              <w:spacing w:line="211" w:lineRule="exact"/>
              <w:ind w:left="52" w:right="22"/>
              <w:jc w:val="center"/>
              <w:rPr>
                <w:rFonts w:ascii="Arial MT"/>
                <w:sz w:val="20"/>
              </w:rPr>
            </w:pPr>
            <w:r>
              <w:rPr>
                <w:rFonts w:ascii="Arial MT"/>
                <w:spacing w:val="-2"/>
                <w:sz w:val="20"/>
              </w:rPr>
              <w:t>0.244543</w:t>
            </w:r>
          </w:p>
        </w:tc>
        <w:tc>
          <w:tcPr>
            <w:tcW w:w="1101" w:type="dxa"/>
          </w:tcPr>
          <w:p>
            <w:pPr>
              <w:pStyle w:val="TableParagraph"/>
              <w:spacing w:line="211" w:lineRule="exact"/>
              <w:ind w:left="109"/>
              <w:jc w:val="center"/>
              <w:rPr>
                <w:rFonts w:ascii="Arial MT"/>
                <w:sz w:val="20"/>
              </w:rPr>
            </w:pPr>
            <w:r>
              <w:rPr>
                <w:rFonts w:ascii="Arial MT"/>
                <w:spacing w:val="-2"/>
                <w:sz w:val="20"/>
              </w:rPr>
              <w:t>-0.180289</w:t>
            </w:r>
          </w:p>
        </w:tc>
      </w:tr>
      <w:tr>
        <w:trPr>
          <w:trHeight w:val="229" w:hRule="atLeast"/>
        </w:trPr>
        <w:tc>
          <w:tcPr>
            <w:tcW w:w="1086" w:type="dxa"/>
          </w:tcPr>
          <w:p>
            <w:pPr>
              <w:pStyle w:val="TableParagraph"/>
              <w:spacing w:line="209" w:lineRule="exact"/>
              <w:ind w:right="141"/>
              <w:jc w:val="right"/>
              <w:rPr>
                <w:rFonts w:ascii="Arial MT"/>
                <w:sz w:val="20"/>
              </w:rPr>
            </w:pPr>
            <w:r>
              <w:rPr>
                <w:rFonts w:ascii="Arial MT"/>
                <w:spacing w:val="-2"/>
                <w:sz w:val="20"/>
              </w:rPr>
              <w:t>0.915322</w:t>
            </w:r>
          </w:p>
        </w:tc>
        <w:tc>
          <w:tcPr>
            <w:tcW w:w="1026" w:type="dxa"/>
          </w:tcPr>
          <w:p>
            <w:pPr>
              <w:pStyle w:val="TableParagraph"/>
              <w:spacing w:line="209" w:lineRule="exact"/>
              <w:ind w:left="147"/>
              <w:rPr>
                <w:rFonts w:ascii="Arial MT"/>
                <w:sz w:val="20"/>
              </w:rPr>
            </w:pPr>
            <w:r>
              <w:rPr>
                <w:rFonts w:ascii="Arial MT"/>
                <w:spacing w:val="-2"/>
                <w:sz w:val="20"/>
              </w:rPr>
              <w:t>0.832532</w:t>
            </w:r>
          </w:p>
        </w:tc>
        <w:tc>
          <w:tcPr>
            <w:tcW w:w="1098" w:type="dxa"/>
          </w:tcPr>
          <w:p>
            <w:pPr>
              <w:pStyle w:val="TableParagraph"/>
              <w:spacing w:line="209" w:lineRule="exact"/>
              <w:ind w:right="52"/>
              <w:jc w:val="center"/>
              <w:rPr>
                <w:rFonts w:ascii="Arial MT"/>
                <w:sz w:val="20"/>
              </w:rPr>
            </w:pPr>
            <w:r>
              <w:rPr>
                <w:rFonts w:ascii="Arial MT"/>
                <w:spacing w:val="-2"/>
                <w:sz w:val="20"/>
              </w:rPr>
              <w:t>0.652047</w:t>
            </w:r>
          </w:p>
        </w:tc>
        <w:tc>
          <w:tcPr>
            <w:tcW w:w="1191" w:type="dxa"/>
          </w:tcPr>
          <w:p>
            <w:pPr>
              <w:pStyle w:val="TableParagraph"/>
              <w:spacing w:line="209" w:lineRule="exact"/>
              <w:ind w:left="51" w:right="96"/>
              <w:jc w:val="center"/>
              <w:rPr>
                <w:rFonts w:ascii="Arial MT"/>
                <w:sz w:val="20"/>
              </w:rPr>
            </w:pPr>
            <w:r>
              <w:rPr>
                <w:rFonts w:ascii="Arial MT"/>
                <w:spacing w:val="-2"/>
                <w:sz w:val="20"/>
              </w:rPr>
              <w:t>0.006982</w:t>
            </w:r>
          </w:p>
        </w:tc>
        <w:tc>
          <w:tcPr>
            <w:tcW w:w="1303" w:type="dxa"/>
          </w:tcPr>
          <w:p>
            <w:pPr>
              <w:pStyle w:val="TableParagraph"/>
              <w:spacing w:line="209" w:lineRule="exact"/>
              <w:ind w:left="114" w:right="54"/>
              <w:jc w:val="center"/>
              <w:rPr>
                <w:rFonts w:ascii="Arial MT"/>
                <w:sz w:val="20"/>
              </w:rPr>
            </w:pPr>
            <w:r>
              <w:rPr>
                <w:rFonts w:ascii="Arial MT"/>
                <w:spacing w:val="-2"/>
                <w:sz w:val="20"/>
              </w:rPr>
              <w:t>0.821569</w:t>
            </w:r>
          </w:p>
        </w:tc>
        <w:tc>
          <w:tcPr>
            <w:tcW w:w="1302" w:type="dxa"/>
          </w:tcPr>
          <w:p>
            <w:pPr>
              <w:pStyle w:val="TableParagraph"/>
              <w:spacing w:line="209" w:lineRule="exact"/>
              <w:ind w:left="57" w:right="55"/>
              <w:jc w:val="center"/>
              <w:rPr>
                <w:rFonts w:ascii="Arial MT"/>
                <w:sz w:val="20"/>
              </w:rPr>
            </w:pPr>
            <w:r>
              <w:rPr>
                <w:rFonts w:ascii="Arial MT"/>
                <w:spacing w:val="-2"/>
                <w:sz w:val="20"/>
              </w:rPr>
              <w:t>-0.174955</w:t>
            </w:r>
          </w:p>
        </w:tc>
        <w:tc>
          <w:tcPr>
            <w:tcW w:w="1279" w:type="dxa"/>
          </w:tcPr>
          <w:p>
            <w:pPr>
              <w:pStyle w:val="TableParagraph"/>
              <w:spacing w:line="209" w:lineRule="exact"/>
              <w:ind w:left="82"/>
              <w:jc w:val="center"/>
              <w:rPr>
                <w:rFonts w:ascii="Arial MT"/>
                <w:sz w:val="20"/>
              </w:rPr>
            </w:pPr>
            <w:r>
              <w:rPr>
                <w:rFonts w:ascii="Arial MT"/>
                <w:spacing w:val="-2"/>
                <w:sz w:val="20"/>
              </w:rPr>
              <w:t>1.000000</w:t>
            </w:r>
          </w:p>
        </w:tc>
        <w:tc>
          <w:tcPr>
            <w:tcW w:w="1165" w:type="dxa"/>
          </w:tcPr>
          <w:p>
            <w:pPr>
              <w:pStyle w:val="TableParagraph"/>
              <w:spacing w:line="209" w:lineRule="exact"/>
              <w:ind w:left="52" w:right="22"/>
              <w:jc w:val="center"/>
              <w:rPr>
                <w:rFonts w:ascii="Arial MT"/>
                <w:sz w:val="20"/>
              </w:rPr>
            </w:pPr>
            <w:r>
              <w:rPr>
                <w:rFonts w:ascii="Arial MT"/>
                <w:spacing w:val="-2"/>
                <w:sz w:val="20"/>
              </w:rPr>
              <w:t>0.706453</w:t>
            </w:r>
          </w:p>
        </w:tc>
        <w:tc>
          <w:tcPr>
            <w:tcW w:w="1101" w:type="dxa"/>
          </w:tcPr>
          <w:p>
            <w:pPr>
              <w:pStyle w:val="TableParagraph"/>
              <w:spacing w:line="209" w:lineRule="exact"/>
              <w:ind w:left="164"/>
              <w:jc w:val="center"/>
              <w:rPr>
                <w:rFonts w:ascii="Arial MT"/>
                <w:sz w:val="20"/>
              </w:rPr>
            </w:pPr>
            <w:r>
              <w:rPr>
                <w:rFonts w:ascii="Arial MT"/>
                <w:spacing w:val="-2"/>
                <w:sz w:val="20"/>
              </w:rPr>
              <w:t>0.990481</w:t>
            </w:r>
          </w:p>
        </w:tc>
      </w:tr>
      <w:tr>
        <w:trPr>
          <w:trHeight w:val="229" w:hRule="atLeast"/>
        </w:trPr>
        <w:tc>
          <w:tcPr>
            <w:tcW w:w="1086" w:type="dxa"/>
          </w:tcPr>
          <w:p>
            <w:pPr>
              <w:pStyle w:val="TableParagraph"/>
              <w:spacing w:line="209" w:lineRule="exact"/>
              <w:ind w:right="141"/>
              <w:jc w:val="right"/>
              <w:rPr>
                <w:rFonts w:ascii="Arial MT"/>
                <w:sz w:val="20"/>
              </w:rPr>
            </w:pPr>
            <w:r>
              <w:rPr>
                <w:rFonts w:ascii="Arial MT"/>
                <w:spacing w:val="-2"/>
                <w:sz w:val="20"/>
              </w:rPr>
              <w:t>0.719935</w:t>
            </w:r>
          </w:p>
        </w:tc>
        <w:tc>
          <w:tcPr>
            <w:tcW w:w="1026" w:type="dxa"/>
          </w:tcPr>
          <w:p>
            <w:pPr>
              <w:pStyle w:val="TableParagraph"/>
              <w:spacing w:line="209" w:lineRule="exact"/>
              <w:ind w:left="147"/>
              <w:rPr>
                <w:rFonts w:ascii="Arial MT"/>
                <w:sz w:val="20"/>
              </w:rPr>
            </w:pPr>
            <w:r>
              <w:rPr>
                <w:rFonts w:ascii="Arial MT"/>
                <w:spacing w:val="-2"/>
                <w:sz w:val="20"/>
              </w:rPr>
              <w:t>0.789665</w:t>
            </w:r>
          </w:p>
        </w:tc>
        <w:tc>
          <w:tcPr>
            <w:tcW w:w="1098" w:type="dxa"/>
          </w:tcPr>
          <w:p>
            <w:pPr>
              <w:pStyle w:val="TableParagraph"/>
              <w:spacing w:line="209" w:lineRule="exact"/>
              <w:ind w:right="52"/>
              <w:jc w:val="center"/>
              <w:rPr>
                <w:rFonts w:ascii="Arial MT"/>
                <w:sz w:val="20"/>
              </w:rPr>
            </w:pPr>
            <w:r>
              <w:rPr>
                <w:rFonts w:ascii="Arial MT"/>
                <w:spacing w:val="-2"/>
                <w:sz w:val="20"/>
              </w:rPr>
              <w:t>0.636693</w:t>
            </w:r>
          </w:p>
        </w:tc>
        <w:tc>
          <w:tcPr>
            <w:tcW w:w="1191" w:type="dxa"/>
          </w:tcPr>
          <w:p>
            <w:pPr>
              <w:pStyle w:val="TableParagraph"/>
              <w:spacing w:line="209" w:lineRule="exact"/>
              <w:ind w:left="51" w:right="96"/>
              <w:jc w:val="center"/>
              <w:rPr>
                <w:rFonts w:ascii="Arial MT"/>
                <w:sz w:val="20"/>
              </w:rPr>
            </w:pPr>
            <w:r>
              <w:rPr>
                <w:rFonts w:ascii="Arial MT"/>
                <w:spacing w:val="-2"/>
                <w:sz w:val="20"/>
              </w:rPr>
              <w:t>0.006236</w:t>
            </w:r>
          </w:p>
        </w:tc>
        <w:tc>
          <w:tcPr>
            <w:tcW w:w="1303" w:type="dxa"/>
          </w:tcPr>
          <w:p>
            <w:pPr>
              <w:pStyle w:val="TableParagraph"/>
              <w:spacing w:line="209" w:lineRule="exact"/>
              <w:ind w:left="114" w:right="54"/>
              <w:jc w:val="center"/>
              <w:rPr>
                <w:rFonts w:ascii="Arial MT"/>
                <w:sz w:val="20"/>
              </w:rPr>
            </w:pPr>
            <w:r>
              <w:rPr>
                <w:rFonts w:ascii="Arial MT"/>
                <w:spacing w:val="-2"/>
                <w:sz w:val="20"/>
              </w:rPr>
              <w:t>0.536487</w:t>
            </w:r>
          </w:p>
        </w:tc>
        <w:tc>
          <w:tcPr>
            <w:tcW w:w="1302" w:type="dxa"/>
          </w:tcPr>
          <w:p>
            <w:pPr>
              <w:pStyle w:val="TableParagraph"/>
              <w:spacing w:line="209" w:lineRule="exact"/>
              <w:ind w:left="57"/>
              <w:jc w:val="center"/>
              <w:rPr>
                <w:rFonts w:ascii="Arial MT"/>
                <w:sz w:val="20"/>
              </w:rPr>
            </w:pPr>
            <w:r>
              <w:rPr>
                <w:rFonts w:ascii="Arial MT"/>
                <w:spacing w:val="-2"/>
                <w:sz w:val="20"/>
              </w:rPr>
              <w:t>0.244543</w:t>
            </w:r>
          </w:p>
        </w:tc>
        <w:tc>
          <w:tcPr>
            <w:tcW w:w="1279" w:type="dxa"/>
          </w:tcPr>
          <w:p>
            <w:pPr>
              <w:pStyle w:val="TableParagraph"/>
              <w:spacing w:line="209" w:lineRule="exact"/>
              <w:ind w:left="82"/>
              <w:jc w:val="center"/>
              <w:rPr>
                <w:rFonts w:ascii="Arial MT"/>
                <w:sz w:val="20"/>
              </w:rPr>
            </w:pPr>
            <w:r>
              <w:rPr>
                <w:rFonts w:ascii="Arial MT"/>
                <w:spacing w:val="-2"/>
                <w:sz w:val="20"/>
              </w:rPr>
              <w:t>0.706453</w:t>
            </w:r>
          </w:p>
        </w:tc>
        <w:tc>
          <w:tcPr>
            <w:tcW w:w="1165" w:type="dxa"/>
          </w:tcPr>
          <w:p>
            <w:pPr>
              <w:pStyle w:val="TableParagraph"/>
              <w:spacing w:line="209" w:lineRule="exact"/>
              <w:ind w:left="52" w:right="22"/>
              <w:jc w:val="center"/>
              <w:rPr>
                <w:rFonts w:ascii="Arial MT"/>
                <w:sz w:val="20"/>
              </w:rPr>
            </w:pPr>
            <w:r>
              <w:rPr>
                <w:rFonts w:ascii="Arial MT"/>
                <w:spacing w:val="-2"/>
                <w:sz w:val="20"/>
              </w:rPr>
              <w:t>1.000000</w:t>
            </w:r>
          </w:p>
        </w:tc>
        <w:tc>
          <w:tcPr>
            <w:tcW w:w="1101" w:type="dxa"/>
          </w:tcPr>
          <w:p>
            <w:pPr>
              <w:pStyle w:val="TableParagraph"/>
              <w:spacing w:line="209" w:lineRule="exact"/>
              <w:ind w:left="164"/>
              <w:jc w:val="center"/>
              <w:rPr>
                <w:rFonts w:ascii="Arial MT"/>
                <w:sz w:val="20"/>
              </w:rPr>
            </w:pPr>
            <w:r>
              <w:rPr>
                <w:rFonts w:ascii="Arial MT"/>
                <w:spacing w:val="-2"/>
                <w:sz w:val="20"/>
              </w:rPr>
              <w:t>0.725159</w:t>
            </w:r>
          </w:p>
        </w:tc>
      </w:tr>
      <w:tr>
        <w:trPr>
          <w:trHeight w:val="226" w:hRule="atLeast"/>
        </w:trPr>
        <w:tc>
          <w:tcPr>
            <w:tcW w:w="1086" w:type="dxa"/>
          </w:tcPr>
          <w:p>
            <w:pPr>
              <w:pStyle w:val="TableParagraph"/>
              <w:spacing w:line="206" w:lineRule="exact"/>
              <w:ind w:right="141"/>
              <w:jc w:val="right"/>
              <w:rPr>
                <w:rFonts w:ascii="Arial MT"/>
                <w:sz w:val="20"/>
              </w:rPr>
            </w:pPr>
            <w:r>
              <w:rPr>
                <w:rFonts w:ascii="Arial MT"/>
                <w:spacing w:val="-2"/>
                <w:sz w:val="20"/>
              </w:rPr>
              <w:t>0.926018</w:t>
            </w:r>
          </w:p>
        </w:tc>
        <w:tc>
          <w:tcPr>
            <w:tcW w:w="1026" w:type="dxa"/>
          </w:tcPr>
          <w:p>
            <w:pPr>
              <w:pStyle w:val="TableParagraph"/>
              <w:spacing w:line="206" w:lineRule="exact"/>
              <w:ind w:left="147"/>
              <w:rPr>
                <w:rFonts w:ascii="Arial MT"/>
                <w:sz w:val="20"/>
              </w:rPr>
            </w:pPr>
            <w:r>
              <w:rPr>
                <w:rFonts w:ascii="Arial MT"/>
                <w:spacing w:val="-2"/>
                <w:sz w:val="20"/>
              </w:rPr>
              <w:t>0.843810</w:t>
            </w:r>
          </w:p>
        </w:tc>
        <w:tc>
          <w:tcPr>
            <w:tcW w:w="1098" w:type="dxa"/>
          </w:tcPr>
          <w:p>
            <w:pPr>
              <w:pStyle w:val="TableParagraph"/>
              <w:spacing w:line="206" w:lineRule="exact"/>
              <w:ind w:right="52"/>
              <w:jc w:val="center"/>
              <w:rPr>
                <w:rFonts w:ascii="Arial MT"/>
                <w:sz w:val="20"/>
              </w:rPr>
            </w:pPr>
            <w:r>
              <w:rPr>
                <w:rFonts w:ascii="Arial MT"/>
                <w:spacing w:val="-2"/>
                <w:sz w:val="20"/>
              </w:rPr>
              <w:t>0.695295</w:t>
            </w:r>
          </w:p>
        </w:tc>
        <w:tc>
          <w:tcPr>
            <w:tcW w:w="1191" w:type="dxa"/>
          </w:tcPr>
          <w:p>
            <w:pPr>
              <w:pStyle w:val="TableParagraph"/>
              <w:spacing w:line="206" w:lineRule="exact"/>
              <w:ind w:left="51" w:right="96"/>
              <w:jc w:val="center"/>
              <w:rPr>
                <w:rFonts w:ascii="Arial MT"/>
                <w:sz w:val="20"/>
              </w:rPr>
            </w:pPr>
            <w:r>
              <w:rPr>
                <w:rFonts w:ascii="Arial MT"/>
                <w:spacing w:val="-2"/>
                <w:sz w:val="20"/>
              </w:rPr>
              <w:t>0.014569</w:t>
            </w:r>
          </w:p>
        </w:tc>
        <w:tc>
          <w:tcPr>
            <w:tcW w:w="1303" w:type="dxa"/>
          </w:tcPr>
          <w:p>
            <w:pPr>
              <w:pStyle w:val="TableParagraph"/>
              <w:spacing w:line="206" w:lineRule="exact"/>
              <w:ind w:left="114" w:right="54"/>
              <w:jc w:val="center"/>
              <w:rPr>
                <w:rFonts w:ascii="Arial MT"/>
                <w:sz w:val="20"/>
              </w:rPr>
            </w:pPr>
            <w:r>
              <w:rPr>
                <w:rFonts w:ascii="Arial MT"/>
                <w:spacing w:val="-2"/>
                <w:sz w:val="20"/>
              </w:rPr>
              <w:t>0.817219</w:t>
            </w:r>
          </w:p>
        </w:tc>
        <w:tc>
          <w:tcPr>
            <w:tcW w:w="1302" w:type="dxa"/>
          </w:tcPr>
          <w:p>
            <w:pPr>
              <w:pStyle w:val="TableParagraph"/>
              <w:spacing w:line="206" w:lineRule="exact"/>
              <w:ind w:left="57" w:right="55"/>
              <w:jc w:val="center"/>
              <w:rPr>
                <w:rFonts w:ascii="Arial MT"/>
                <w:sz w:val="20"/>
              </w:rPr>
            </w:pPr>
            <w:r>
              <w:rPr>
                <w:rFonts w:ascii="Arial MT"/>
                <w:spacing w:val="-2"/>
                <w:sz w:val="20"/>
              </w:rPr>
              <w:t>-0.180289</w:t>
            </w:r>
          </w:p>
        </w:tc>
        <w:tc>
          <w:tcPr>
            <w:tcW w:w="1279" w:type="dxa"/>
          </w:tcPr>
          <w:p>
            <w:pPr>
              <w:pStyle w:val="TableParagraph"/>
              <w:spacing w:line="206" w:lineRule="exact"/>
              <w:ind w:left="82"/>
              <w:jc w:val="center"/>
              <w:rPr>
                <w:rFonts w:ascii="Arial MT"/>
                <w:sz w:val="20"/>
              </w:rPr>
            </w:pPr>
            <w:r>
              <w:rPr>
                <w:rFonts w:ascii="Arial MT"/>
                <w:spacing w:val="-2"/>
                <w:sz w:val="20"/>
              </w:rPr>
              <w:t>0.990481</w:t>
            </w:r>
          </w:p>
        </w:tc>
        <w:tc>
          <w:tcPr>
            <w:tcW w:w="1165" w:type="dxa"/>
          </w:tcPr>
          <w:p>
            <w:pPr>
              <w:pStyle w:val="TableParagraph"/>
              <w:spacing w:line="206" w:lineRule="exact"/>
              <w:ind w:left="52" w:right="22"/>
              <w:jc w:val="center"/>
              <w:rPr>
                <w:rFonts w:ascii="Arial MT"/>
                <w:sz w:val="20"/>
              </w:rPr>
            </w:pPr>
            <w:r>
              <w:rPr>
                <w:rFonts w:ascii="Arial MT"/>
                <w:spacing w:val="-2"/>
                <w:sz w:val="20"/>
              </w:rPr>
              <w:t>0.725159</w:t>
            </w:r>
          </w:p>
        </w:tc>
        <w:tc>
          <w:tcPr>
            <w:tcW w:w="1101" w:type="dxa"/>
          </w:tcPr>
          <w:p>
            <w:pPr>
              <w:pStyle w:val="TableParagraph"/>
              <w:spacing w:line="206" w:lineRule="exact"/>
              <w:ind w:left="164"/>
              <w:jc w:val="center"/>
              <w:rPr>
                <w:rFonts w:ascii="Arial MT"/>
                <w:sz w:val="20"/>
              </w:rPr>
            </w:pPr>
            <w:r>
              <w:rPr>
                <w:rFonts w:ascii="Arial MT"/>
                <w:spacing w:val="-2"/>
                <w:sz w:val="20"/>
              </w:rPr>
              <w:t>1.000000</w:t>
            </w:r>
          </w:p>
        </w:tc>
      </w:tr>
    </w:tbl>
    <w:p>
      <w:pPr>
        <w:spacing w:after="0" w:line="206" w:lineRule="exact"/>
        <w:jc w:val="center"/>
        <w:rPr>
          <w:rFonts w:ascii="Arial MT"/>
          <w:sz w:val="20"/>
        </w:rPr>
        <w:sectPr>
          <w:type w:val="continuous"/>
          <w:pgSz w:w="11910" w:h="16840"/>
          <w:pgMar w:header="0" w:footer="979" w:top="1420" w:bottom="1240" w:left="280" w:right="0"/>
        </w:sectPr>
      </w:pPr>
    </w:p>
    <w:p>
      <w:pPr>
        <w:spacing w:before="62"/>
        <w:ind w:left="711" w:right="7493" w:firstLine="0"/>
        <w:jc w:val="left"/>
        <w:rPr>
          <w:sz w:val="20"/>
        </w:rPr>
      </w:pPr>
      <w:r>
        <w:rPr>
          <w:sz w:val="20"/>
        </w:rPr>
        <w:t>UNIT</w:t>
      </w:r>
      <w:r>
        <w:rPr>
          <w:spacing w:val="-6"/>
          <w:sz w:val="20"/>
        </w:rPr>
        <w:t> </w:t>
      </w:r>
      <w:r>
        <w:rPr>
          <w:sz w:val="20"/>
        </w:rPr>
        <w:t>ROOT</w:t>
      </w:r>
      <w:r>
        <w:rPr>
          <w:spacing w:val="-7"/>
          <w:sz w:val="20"/>
        </w:rPr>
        <w:t> </w:t>
      </w:r>
      <w:r>
        <w:rPr>
          <w:sz w:val="20"/>
        </w:rPr>
        <w:t>TEST</w:t>
      </w:r>
      <w:r>
        <w:rPr>
          <w:spacing w:val="-6"/>
          <w:sz w:val="20"/>
        </w:rPr>
        <w:t> </w:t>
      </w:r>
      <w:r>
        <w:rPr>
          <w:sz w:val="20"/>
        </w:rPr>
        <w:t>FOR</w:t>
      </w:r>
      <w:r>
        <w:rPr>
          <w:spacing w:val="-9"/>
          <w:sz w:val="20"/>
        </w:rPr>
        <w:t> </w:t>
      </w:r>
      <w:r>
        <w:rPr>
          <w:sz w:val="20"/>
        </w:rPr>
        <w:t>MODEL</w:t>
      </w:r>
      <w:r>
        <w:rPr>
          <w:spacing w:val="-10"/>
          <w:sz w:val="20"/>
        </w:rPr>
        <w:t> </w:t>
      </w:r>
      <w:r>
        <w:rPr>
          <w:sz w:val="20"/>
        </w:rPr>
        <w:t>1B KFM @ LEVEL</w:t>
      </w:r>
    </w:p>
    <w:tbl>
      <w:tblPr>
        <w:tblW w:w="0" w:type="auto"/>
        <w:jc w:val="left"/>
        <w:tblInd w:w="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47"/>
        <w:gridCol w:w="1375"/>
        <w:gridCol w:w="1432"/>
        <w:gridCol w:w="936"/>
        <w:gridCol w:w="896"/>
      </w:tblGrid>
      <w:tr>
        <w:trPr>
          <w:trHeight w:val="225" w:hRule="atLeast"/>
        </w:trPr>
        <w:tc>
          <w:tcPr>
            <w:tcW w:w="1847" w:type="dxa"/>
          </w:tcPr>
          <w:p>
            <w:pPr>
              <w:pStyle w:val="TableParagraph"/>
              <w:spacing w:line="205" w:lineRule="exact"/>
              <w:ind w:left="36"/>
              <w:rPr>
                <w:sz w:val="20"/>
              </w:rPr>
            </w:pPr>
            <w:r>
              <w:rPr>
                <w:sz w:val="20"/>
              </w:rPr>
              <w:t>ADF</w:t>
            </w:r>
            <w:r>
              <w:rPr>
                <w:spacing w:val="-4"/>
                <w:sz w:val="20"/>
              </w:rPr>
              <w:t> </w:t>
            </w:r>
            <w:r>
              <w:rPr>
                <w:sz w:val="20"/>
              </w:rPr>
              <w:t>Test</w:t>
            </w:r>
            <w:r>
              <w:rPr>
                <w:spacing w:val="-4"/>
                <w:sz w:val="20"/>
              </w:rPr>
              <w:t> </w:t>
            </w:r>
            <w:r>
              <w:rPr>
                <w:spacing w:val="-2"/>
                <w:sz w:val="20"/>
              </w:rPr>
              <w:t>Statistic</w:t>
            </w:r>
          </w:p>
        </w:tc>
        <w:tc>
          <w:tcPr>
            <w:tcW w:w="1375" w:type="dxa"/>
          </w:tcPr>
          <w:p>
            <w:pPr>
              <w:pStyle w:val="TableParagraph"/>
              <w:spacing w:line="205" w:lineRule="exact"/>
              <w:ind w:left="219"/>
              <w:rPr>
                <w:sz w:val="20"/>
              </w:rPr>
            </w:pPr>
            <w:r>
              <w:rPr>
                <w:spacing w:val="-4"/>
                <w:sz w:val="20"/>
              </w:rPr>
              <w:t>-</w:t>
            </w:r>
            <w:r>
              <w:rPr>
                <w:spacing w:val="-2"/>
                <w:sz w:val="20"/>
              </w:rPr>
              <w:t>0.681736</w:t>
            </w:r>
          </w:p>
        </w:tc>
        <w:tc>
          <w:tcPr>
            <w:tcW w:w="2368" w:type="dxa"/>
            <w:gridSpan w:val="2"/>
          </w:tcPr>
          <w:p>
            <w:pPr>
              <w:pStyle w:val="TableParagraph"/>
              <w:spacing w:line="205" w:lineRule="exact"/>
              <w:ind w:left="131"/>
              <w:rPr>
                <w:sz w:val="20"/>
              </w:rPr>
            </w:pPr>
            <w:r>
              <w:rPr>
                <w:sz w:val="20"/>
              </w:rPr>
              <w:t>1%</w:t>
            </w:r>
            <w:r>
              <w:rPr>
                <w:spacing w:val="68"/>
                <w:w w:val="150"/>
                <w:sz w:val="20"/>
              </w:rPr>
              <w:t> </w:t>
            </w:r>
            <w:r>
              <w:rPr>
                <w:sz w:val="20"/>
              </w:rPr>
              <w:t>Critical</w:t>
            </w:r>
            <w:r>
              <w:rPr>
                <w:spacing w:val="-2"/>
                <w:sz w:val="20"/>
              </w:rPr>
              <w:t> Value*</w:t>
            </w:r>
          </w:p>
        </w:tc>
        <w:tc>
          <w:tcPr>
            <w:tcW w:w="896" w:type="dxa"/>
          </w:tcPr>
          <w:p>
            <w:pPr>
              <w:pStyle w:val="TableParagraph"/>
              <w:spacing w:line="205" w:lineRule="exact"/>
              <w:ind w:right="26"/>
              <w:jc w:val="right"/>
              <w:rPr>
                <w:sz w:val="20"/>
              </w:rPr>
            </w:pPr>
            <w:r>
              <w:rPr>
                <w:spacing w:val="-4"/>
                <w:sz w:val="20"/>
              </w:rPr>
              <w:t>-</w:t>
            </w:r>
            <w:r>
              <w:rPr>
                <w:spacing w:val="-2"/>
                <w:sz w:val="20"/>
              </w:rPr>
              <w:t>3.6019</w:t>
            </w:r>
          </w:p>
        </w:tc>
      </w:tr>
      <w:tr>
        <w:trPr>
          <w:trHeight w:val="230" w:hRule="atLeast"/>
        </w:trPr>
        <w:tc>
          <w:tcPr>
            <w:tcW w:w="1847" w:type="dxa"/>
          </w:tcPr>
          <w:p>
            <w:pPr>
              <w:pStyle w:val="TableParagraph"/>
              <w:rPr>
                <w:sz w:val="16"/>
              </w:rPr>
            </w:pPr>
          </w:p>
        </w:tc>
        <w:tc>
          <w:tcPr>
            <w:tcW w:w="1375" w:type="dxa"/>
          </w:tcPr>
          <w:p>
            <w:pPr>
              <w:pStyle w:val="TableParagraph"/>
              <w:rPr>
                <w:sz w:val="16"/>
              </w:rPr>
            </w:pPr>
          </w:p>
        </w:tc>
        <w:tc>
          <w:tcPr>
            <w:tcW w:w="2368" w:type="dxa"/>
            <w:gridSpan w:val="2"/>
          </w:tcPr>
          <w:p>
            <w:pPr>
              <w:pStyle w:val="TableParagraph"/>
              <w:spacing w:line="210" w:lineRule="exact"/>
              <w:ind w:left="131"/>
              <w:rPr>
                <w:sz w:val="20"/>
              </w:rPr>
            </w:pPr>
            <w:r>
              <w:rPr>
                <w:sz w:val="20"/>
              </w:rPr>
              <w:t>5%</w:t>
            </w:r>
            <w:r>
              <w:rPr>
                <w:spacing w:val="68"/>
                <w:w w:val="150"/>
                <w:sz w:val="20"/>
              </w:rPr>
              <w:t> </w:t>
            </w:r>
            <w:r>
              <w:rPr>
                <w:sz w:val="20"/>
              </w:rPr>
              <w:t>Critical</w:t>
            </w:r>
            <w:r>
              <w:rPr>
                <w:spacing w:val="-2"/>
                <w:sz w:val="20"/>
              </w:rPr>
              <w:t> </w:t>
            </w:r>
            <w:r>
              <w:rPr>
                <w:spacing w:val="-4"/>
                <w:sz w:val="20"/>
              </w:rPr>
              <w:t>Value</w:t>
            </w:r>
          </w:p>
        </w:tc>
        <w:tc>
          <w:tcPr>
            <w:tcW w:w="896" w:type="dxa"/>
          </w:tcPr>
          <w:p>
            <w:pPr>
              <w:pStyle w:val="TableParagraph"/>
              <w:spacing w:line="210" w:lineRule="exact"/>
              <w:ind w:right="26"/>
              <w:jc w:val="right"/>
              <w:rPr>
                <w:sz w:val="20"/>
              </w:rPr>
            </w:pPr>
            <w:r>
              <w:rPr>
                <w:spacing w:val="-4"/>
                <w:sz w:val="20"/>
              </w:rPr>
              <w:t>-</w:t>
            </w:r>
            <w:r>
              <w:rPr>
                <w:spacing w:val="-2"/>
                <w:sz w:val="20"/>
              </w:rPr>
              <w:t>2.9358</w:t>
            </w:r>
          </w:p>
        </w:tc>
      </w:tr>
      <w:tr>
        <w:trPr>
          <w:trHeight w:val="224" w:hRule="atLeast"/>
        </w:trPr>
        <w:tc>
          <w:tcPr>
            <w:tcW w:w="1847" w:type="dxa"/>
            <w:tcBorders>
              <w:bottom w:val="double" w:sz="6" w:space="0" w:color="000000"/>
            </w:tcBorders>
          </w:tcPr>
          <w:p>
            <w:pPr>
              <w:pStyle w:val="TableParagraph"/>
              <w:rPr>
                <w:sz w:val="16"/>
              </w:rPr>
            </w:pPr>
          </w:p>
        </w:tc>
        <w:tc>
          <w:tcPr>
            <w:tcW w:w="1375" w:type="dxa"/>
            <w:tcBorders>
              <w:bottom w:val="double" w:sz="6" w:space="0" w:color="000000"/>
            </w:tcBorders>
          </w:tcPr>
          <w:p>
            <w:pPr>
              <w:pStyle w:val="TableParagraph"/>
              <w:rPr>
                <w:sz w:val="16"/>
              </w:rPr>
            </w:pPr>
          </w:p>
        </w:tc>
        <w:tc>
          <w:tcPr>
            <w:tcW w:w="2368" w:type="dxa"/>
            <w:gridSpan w:val="2"/>
            <w:tcBorders>
              <w:bottom w:val="double" w:sz="6" w:space="0" w:color="000000"/>
            </w:tcBorders>
          </w:tcPr>
          <w:p>
            <w:pPr>
              <w:pStyle w:val="TableParagraph"/>
              <w:spacing w:line="205" w:lineRule="exact"/>
              <w:ind w:left="131"/>
              <w:rPr>
                <w:sz w:val="20"/>
              </w:rPr>
            </w:pPr>
            <w:r>
              <w:rPr>
                <w:sz w:val="20"/>
              </w:rPr>
              <w:t>10%</w:t>
            </w:r>
            <w:r>
              <w:rPr>
                <w:spacing w:val="-6"/>
                <w:sz w:val="20"/>
              </w:rPr>
              <w:t> </w:t>
            </w:r>
            <w:r>
              <w:rPr>
                <w:sz w:val="20"/>
              </w:rPr>
              <w:t>Critical</w:t>
            </w:r>
            <w:r>
              <w:rPr>
                <w:spacing w:val="-4"/>
                <w:sz w:val="20"/>
              </w:rPr>
              <w:t> </w:t>
            </w:r>
            <w:r>
              <w:rPr>
                <w:spacing w:val="-2"/>
                <w:sz w:val="20"/>
              </w:rPr>
              <w:t>Value</w:t>
            </w:r>
          </w:p>
        </w:tc>
        <w:tc>
          <w:tcPr>
            <w:tcW w:w="896" w:type="dxa"/>
            <w:tcBorders>
              <w:bottom w:val="double" w:sz="6" w:space="0" w:color="000000"/>
            </w:tcBorders>
          </w:tcPr>
          <w:p>
            <w:pPr>
              <w:pStyle w:val="TableParagraph"/>
              <w:spacing w:line="205" w:lineRule="exact"/>
              <w:ind w:right="26"/>
              <w:jc w:val="right"/>
              <w:rPr>
                <w:sz w:val="20"/>
              </w:rPr>
            </w:pPr>
            <w:r>
              <w:rPr>
                <w:spacing w:val="-4"/>
                <w:sz w:val="20"/>
              </w:rPr>
              <w:t>-</w:t>
            </w:r>
            <w:r>
              <w:rPr>
                <w:spacing w:val="-2"/>
                <w:sz w:val="20"/>
              </w:rPr>
              <w:t>2.6059</w:t>
            </w:r>
          </w:p>
        </w:tc>
      </w:tr>
      <w:tr>
        <w:trPr>
          <w:trHeight w:val="505" w:hRule="atLeast"/>
        </w:trPr>
        <w:tc>
          <w:tcPr>
            <w:tcW w:w="6486" w:type="dxa"/>
            <w:gridSpan w:val="5"/>
            <w:tcBorders>
              <w:top w:val="double" w:sz="6" w:space="0" w:color="000000"/>
            </w:tcBorders>
          </w:tcPr>
          <w:p>
            <w:pPr>
              <w:pStyle w:val="TableParagraph"/>
              <w:spacing w:before="40"/>
              <w:ind w:left="36"/>
              <w:rPr>
                <w:sz w:val="20"/>
              </w:rPr>
            </w:pPr>
            <w:r>
              <w:rPr>
                <w:sz w:val="20"/>
              </w:rPr>
              <w:t>*MacKinnon</w:t>
            </w:r>
            <w:r>
              <w:rPr>
                <w:spacing w:val="-6"/>
                <w:sz w:val="20"/>
              </w:rPr>
              <w:t> </w:t>
            </w:r>
            <w:r>
              <w:rPr>
                <w:sz w:val="20"/>
              </w:rPr>
              <w:t>critical</w:t>
            </w:r>
            <w:r>
              <w:rPr>
                <w:spacing w:val="-4"/>
                <w:sz w:val="20"/>
              </w:rPr>
              <w:t> </w:t>
            </w:r>
            <w:r>
              <w:rPr>
                <w:sz w:val="20"/>
              </w:rPr>
              <w:t>values</w:t>
            </w:r>
            <w:r>
              <w:rPr>
                <w:spacing w:val="-6"/>
                <w:sz w:val="20"/>
              </w:rPr>
              <w:t> </w:t>
            </w:r>
            <w:r>
              <w:rPr>
                <w:sz w:val="20"/>
              </w:rPr>
              <w:t>for</w:t>
            </w:r>
            <w:r>
              <w:rPr>
                <w:spacing w:val="-4"/>
                <w:sz w:val="20"/>
              </w:rPr>
              <w:t> </w:t>
            </w:r>
            <w:r>
              <w:rPr>
                <w:sz w:val="20"/>
              </w:rPr>
              <w:t>rejection</w:t>
            </w:r>
            <w:r>
              <w:rPr>
                <w:spacing w:val="-6"/>
                <w:sz w:val="20"/>
              </w:rPr>
              <w:t> </w:t>
            </w:r>
            <w:r>
              <w:rPr>
                <w:sz w:val="20"/>
              </w:rPr>
              <w:t>of</w:t>
            </w:r>
            <w:r>
              <w:rPr>
                <w:spacing w:val="-6"/>
                <w:sz w:val="20"/>
              </w:rPr>
              <w:t> </w:t>
            </w:r>
            <w:r>
              <w:rPr>
                <w:sz w:val="20"/>
              </w:rPr>
              <w:t>hypothesis</w:t>
            </w:r>
            <w:r>
              <w:rPr>
                <w:spacing w:val="-6"/>
                <w:sz w:val="20"/>
              </w:rPr>
              <w:t> </w:t>
            </w:r>
            <w:r>
              <w:rPr>
                <w:sz w:val="20"/>
              </w:rPr>
              <w:t>of</w:t>
            </w:r>
            <w:r>
              <w:rPr>
                <w:spacing w:val="-6"/>
                <w:sz w:val="20"/>
              </w:rPr>
              <w:t> </w:t>
            </w:r>
            <w:r>
              <w:rPr>
                <w:sz w:val="20"/>
              </w:rPr>
              <w:t>a</w:t>
            </w:r>
            <w:r>
              <w:rPr>
                <w:spacing w:val="-4"/>
                <w:sz w:val="20"/>
              </w:rPr>
              <w:t> </w:t>
            </w:r>
            <w:r>
              <w:rPr>
                <w:sz w:val="20"/>
              </w:rPr>
              <w:t>unit</w:t>
            </w:r>
            <w:r>
              <w:rPr>
                <w:spacing w:val="-6"/>
                <w:sz w:val="20"/>
              </w:rPr>
              <w:t> </w:t>
            </w:r>
            <w:r>
              <w:rPr>
                <w:spacing w:val="-2"/>
                <w:sz w:val="20"/>
              </w:rPr>
              <w:t>root.</w:t>
            </w:r>
          </w:p>
        </w:tc>
      </w:tr>
      <w:tr>
        <w:trPr>
          <w:trHeight w:val="460" w:hRule="atLeast"/>
        </w:trPr>
        <w:tc>
          <w:tcPr>
            <w:tcW w:w="6486" w:type="dxa"/>
            <w:gridSpan w:val="5"/>
          </w:tcPr>
          <w:p>
            <w:pPr>
              <w:pStyle w:val="TableParagraph"/>
              <w:spacing w:line="215" w:lineRule="exact" w:before="226"/>
              <w:ind w:left="36"/>
              <w:rPr>
                <w:sz w:val="20"/>
              </w:rPr>
            </w:pPr>
            <w:r>
              <w:rPr>
                <w:sz w:val="20"/>
              </w:rPr>
              <w:t>Augmented</w:t>
            </w:r>
            <w:r>
              <w:rPr>
                <w:spacing w:val="-8"/>
                <w:sz w:val="20"/>
              </w:rPr>
              <w:t> </w:t>
            </w:r>
            <w:r>
              <w:rPr>
                <w:sz w:val="20"/>
              </w:rPr>
              <w:t>Dickey-Fuller</w:t>
            </w:r>
            <w:r>
              <w:rPr>
                <w:spacing w:val="-8"/>
                <w:sz w:val="20"/>
              </w:rPr>
              <w:t> </w:t>
            </w:r>
            <w:r>
              <w:rPr>
                <w:sz w:val="20"/>
              </w:rPr>
              <w:t>Test</w:t>
            </w:r>
            <w:r>
              <w:rPr>
                <w:spacing w:val="-9"/>
                <w:sz w:val="20"/>
              </w:rPr>
              <w:t> </w:t>
            </w:r>
            <w:r>
              <w:rPr>
                <w:spacing w:val="-2"/>
                <w:sz w:val="20"/>
              </w:rPr>
              <w:t>Equation</w:t>
            </w:r>
          </w:p>
        </w:tc>
      </w:tr>
      <w:tr>
        <w:trPr>
          <w:trHeight w:val="229" w:hRule="atLeast"/>
        </w:trPr>
        <w:tc>
          <w:tcPr>
            <w:tcW w:w="6486" w:type="dxa"/>
            <w:gridSpan w:val="5"/>
          </w:tcPr>
          <w:p>
            <w:pPr>
              <w:pStyle w:val="TableParagraph"/>
              <w:spacing w:line="209" w:lineRule="exact"/>
              <w:ind w:left="36"/>
              <w:rPr>
                <w:sz w:val="20"/>
              </w:rPr>
            </w:pPr>
            <w:r>
              <w:rPr>
                <w:sz w:val="20"/>
              </w:rPr>
              <w:t>Dependent</w:t>
            </w:r>
            <w:r>
              <w:rPr>
                <w:spacing w:val="-8"/>
                <w:sz w:val="20"/>
              </w:rPr>
              <w:t> </w:t>
            </w:r>
            <w:r>
              <w:rPr>
                <w:sz w:val="20"/>
              </w:rPr>
              <w:t>Variable:</w:t>
            </w:r>
            <w:r>
              <w:rPr>
                <w:spacing w:val="-8"/>
                <w:sz w:val="20"/>
              </w:rPr>
              <w:t> </w:t>
            </w:r>
            <w:r>
              <w:rPr>
                <w:spacing w:val="-2"/>
                <w:sz w:val="20"/>
              </w:rPr>
              <w:t>D(KFM)</w:t>
            </w:r>
          </w:p>
        </w:tc>
      </w:tr>
      <w:tr>
        <w:trPr>
          <w:trHeight w:val="229" w:hRule="atLeast"/>
        </w:trPr>
        <w:tc>
          <w:tcPr>
            <w:tcW w:w="6486" w:type="dxa"/>
            <w:gridSpan w:val="5"/>
          </w:tcPr>
          <w:p>
            <w:pPr>
              <w:pStyle w:val="TableParagraph"/>
              <w:spacing w:line="209" w:lineRule="exact"/>
              <w:ind w:left="36"/>
              <w:rPr>
                <w:sz w:val="20"/>
              </w:rPr>
            </w:pPr>
            <w:r>
              <w:rPr>
                <w:sz w:val="20"/>
              </w:rPr>
              <w:t>Method:</w:t>
            </w:r>
            <w:r>
              <w:rPr>
                <w:spacing w:val="-8"/>
                <w:sz w:val="20"/>
              </w:rPr>
              <w:t> </w:t>
            </w:r>
            <w:r>
              <w:rPr>
                <w:sz w:val="20"/>
              </w:rPr>
              <w:t>Least</w:t>
            </w:r>
            <w:r>
              <w:rPr>
                <w:spacing w:val="-7"/>
                <w:sz w:val="20"/>
              </w:rPr>
              <w:t> </w:t>
            </w:r>
            <w:r>
              <w:rPr>
                <w:spacing w:val="-2"/>
                <w:sz w:val="20"/>
              </w:rPr>
              <w:t>Squares</w:t>
            </w:r>
          </w:p>
        </w:tc>
      </w:tr>
      <w:tr>
        <w:trPr>
          <w:trHeight w:val="230" w:hRule="atLeast"/>
        </w:trPr>
        <w:tc>
          <w:tcPr>
            <w:tcW w:w="6486" w:type="dxa"/>
            <w:gridSpan w:val="5"/>
          </w:tcPr>
          <w:p>
            <w:pPr>
              <w:pStyle w:val="TableParagraph"/>
              <w:spacing w:line="210" w:lineRule="exact"/>
              <w:ind w:left="36"/>
              <w:rPr>
                <w:sz w:val="20"/>
              </w:rPr>
            </w:pPr>
            <w:r>
              <w:rPr>
                <w:sz w:val="20"/>
              </w:rPr>
              <w:t>Date:</w:t>
            </w:r>
            <w:r>
              <w:rPr>
                <w:spacing w:val="-5"/>
                <w:sz w:val="20"/>
              </w:rPr>
              <w:t> </w:t>
            </w:r>
            <w:r>
              <w:rPr>
                <w:sz w:val="20"/>
              </w:rPr>
              <w:t>02/18/14</w:t>
            </w:r>
            <w:r>
              <w:rPr>
                <w:spacing w:val="63"/>
                <w:w w:val="150"/>
                <w:sz w:val="20"/>
              </w:rPr>
              <w:t> </w:t>
            </w:r>
            <w:r>
              <w:rPr>
                <w:sz w:val="20"/>
              </w:rPr>
              <w:t>Time:</w:t>
            </w:r>
            <w:r>
              <w:rPr>
                <w:spacing w:val="-3"/>
                <w:sz w:val="20"/>
              </w:rPr>
              <w:t> </w:t>
            </w:r>
            <w:r>
              <w:rPr>
                <w:spacing w:val="-2"/>
                <w:sz w:val="20"/>
              </w:rPr>
              <w:t>13:29</w:t>
            </w:r>
          </w:p>
        </w:tc>
      </w:tr>
      <w:tr>
        <w:trPr>
          <w:trHeight w:val="230" w:hRule="atLeast"/>
        </w:trPr>
        <w:tc>
          <w:tcPr>
            <w:tcW w:w="6486" w:type="dxa"/>
            <w:gridSpan w:val="5"/>
          </w:tcPr>
          <w:p>
            <w:pPr>
              <w:pStyle w:val="TableParagraph"/>
              <w:spacing w:line="210" w:lineRule="exact"/>
              <w:ind w:left="36"/>
              <w:rPr>
                <w:sz w:val="20"/>
              </w:rPr>
            </w:pPr>
            <w:r>
              <w:rPr>
                <w:sz w:val="20"/>
              </w:rPr>
              <w:t>Sample(adjusted):</w:t>
            </w:r>
            <w:r>
              <w:rPr>
                <w:spacing w:val="-9"/>
                <w:sz w:val="20"/>
              </w:rPr>
              <w:t> </w:t>
            </w:r>
            <w:r>
              <w:rPr>
                <w:sz w:val="20"/>
              </w:rPr>
              <w:t>1972</w:t>
            </w:r>
            <w:r>
              <w:rPr>
                <w:spacing w:val="-9"/>
                <w:sz w:val="20"/>
              </w:rPr>
              <w:t> </w:t>
            </w:r>
            <w:r>
              <w:rPr>
                <w:spacing w:val="-4"/>
                <w:sz w:val="20"/>
              </w:rPr>
              <w:t>2011</w:t>
            </w:r>
          </w:p>
        </w:tc>
      </w:tr>
      <w:tr>
        <w:trPr>
          <w:trHeight w:val="224" w:hRule="atLeast"/>
        </w:trPr>
        <w:tc>
          <w:tcPr>
            <w:tcW w:w="6486" w:type="dxa"/>
            <w:gridSpan w:val="5"/>
            <w:tcBorders>
              <w:bottom w:val="double" w:sz="6" w:space="0" w:color="000000"/>
            </w:tcBorders>
          </w:tcPr>
          <w:p>
            <w:pPr>
              <w:pStyle w:val="TableParagraph"/>
              <w:spacing w:line="205" w:lineRule="exact"/>
              <w:ind w:left="36"/>
              <w:rPr>
                <w:sz w:val="20"/>
              </w:rPr>
            </w:pPr>
            <w:r>
              <w:rPr>
                <w:sz w:val="20"/>
              </w:rPr>
              <w:t>Included</w:t>
            </w:r>
            <w:r>
              <w:rPr>
                <w:spacing w:val="-6"/>
                <w:sz w:val="20"/>
              </w:rPr>
              <w:t> </w:t>
            </w:r>
            <w:r>
              <w:rPr>
                <w:sz w:val="20"/>
              </w:rPr>
              <w:t>observations:</w:t>
            </w:r>
            <w:r>
              <w:rPr>
                <w:spacing w:val="-8"/>
                <w:sz w:val="20"/>
              </w:rPr>
              <w:t> </w:t>
            </w:r>
            <w:r>
              <w:rPr>
                <w:sz w:val="20"/>
              </w:rPr>
              <w:t>40</w:t>
            </w:r>
            <w:r>
              <w:rPr>
                <w:spacing w:val="-5"/>
                <w:sz w:val="20"/>
              </w:rPr>
              <w:t> </w:t>
            </w:r>
            <w:r>
              <w:rPr>
                <w:sz w:val="20"/>
              </w:rPr>
              <w:t>after</w:t>
            </w:r>
            <w:r>
              <w:rPr>
                <w:spacing w:val="-7"/>
                <w:sz w:val="20"/>
              </w:rPr>
              <w:t> </w:t>
            </w:r>
            <w:r>
              <w:rPr>
                <w:sz w:val="20"/>
              </w:rPr>
              <w:t>adjusting</w:t>
            </w:r>
            <w:r>
              <w:rPr>
                <w:spacing w:val="-7"/>
                <w:sz w:val="20"/>
              </w:rPr>
              <w:t> </w:t>
            </w:r>
            <w:r>
              <w:rPr>
                <w:spacing w:val="-2"/>
                <w:sz w:val="20"/>
              </w:rPr>
              <w:t>endpoints</w:t>
            </w:r>
          </w:p>
        </w:tc>
      </w:tr>
      <w:tr>
        <w:trPr>
          <w:trHeight w:val="269" w:hRule="atLeast"/>
        </w:trPr>
        <w:tc>
          <w:tcPr>
            <w:tcW w:w="1847" w:type="dxa"/>
            <w:tcBorders>
              <w:top w:val="double" w:sz="6" w:space="0" w:color="000000"/>
              <w:bottom w:val="double" w:sz="6" w:space="0" w:color="000000"/>
            </w:tcBorders>
          </w:tcPr>
          <w:p>
            <w:pPr>
              <w:pStyle w:val="TableParagraph"/>
              <w:spacing w:line="209" w:lineRule="exact" w:before="40"/>
              <w:ind w:left="677"/>
              <w:rPr>
                <w:sz w:val="20"/>
              </w:rPr>
            </w:pPr>
            <w:r>
              <w:rPr>
                <w:spacing w:val="-2"/>
                <w:sz w:val="20"/>
              </w:rPr>
              <w:t>Variable</w:t>
            </w:r>
          </w:p>
        </w:tc>
        <w:tc>
          <w:tcPr>
            <w:tcW w:w="1375" w:type="dxa"/>
            <w:tcBorders>
              <w:top w:val="double" w:sz="6" w:space="0" w:color="000000"/>
              <w:bottom w:val="double" w:sz="6" w:space="0" w:color="000000"/>
            </w:tcBorders>
          </w:tcPr>
          <w:p>
            <w:pPr>
              <w:pStyle w:val="TableParagraph"/>
              <w:spacing w:line="209" w:lineRule="exact" w:before="40"/>
              <w:ind w:right="131"/>
              <w:jc w:val="right"/>
              <w:rPr>
                <w:sz w:val="20"/>
              </w:rPr>
            </w:pPr>
            <w:r>
              <w:rPr>
                <w:spacing w:val="-2"/>
                <w:sz w:val="20"/>
              </w:rPr>
              <w:t>Coefficient</w:t>
            </w:r>
          </w:p>
        </w:tc>
        <w:tc>
          <w:tcPr>
            <w:tcW w:w="1432" w:type="dxa"/>
            <w:tcBorders>
              <w:top w:val="double" w:sz="6" w:space="0" w:color="000000"/>
              <w:bottom w:val="double" w:sz="6" w:space="0" w:color="000000"/>
            </w:tcBorders>
          </w:tcPr>
          <w:p>
            <w:pPr>
              <w:pStyle w:val="TableParagraph"/>
              <w:spacing w:line="209" w:lineRule="exact" w:before="40"/>
              <w:ind w:left="273"/>
              <w:rPr>
                <w:sz w:val="20"/>
              </w:rPr>
            </w:pPr>
            <w:r>
              <w:rPr>
                <w:sz w:val="20"/>
              </w:rPr>
              <w:t>Std.</w:t>
            </w:r>
            <w:r>
              <w:rPr>
                <w:spacing w:val="-4"/>
                <w:sz w:val="20"/>
              </w:rPr>
              <w:t> </w:t>
            </w:r>
            <w:r>
              <w:rPr>
                <w:spacing w:val="-2"/>
                <w:sz w:val="20"/>
              </w:rPr>
              <w:t>Error</w:t>
            </w:r>
          </w:p>
        </w:tc>
        <w:tc>
          <w:tcPr>
            <w:tcW w:w="936" w:type="dxa"/>
            <w:tcBorders>
              <w:top w:val="double" w:sz="6" w:space="0" w:color="000000"/>
              <w:bottom w:val="double" w:sz="6" w:space="0" w:color="000000"/>
            </w:tcBorders>
          </w:tcPr>
          <w:p>
            <w:pPr>
              <w:pStyle w:val="TableParagraph"/>
              <w:spacing w:line="209" w:lineRule="exact" w:before="40"/>
              <w:ind w:right="112"/>
              <w:jc w:val="right"/>
              <w:rPr>
                <w:sz w:val="20"/>
              </w:rPr>
            </w:pPr>
            <w:r>
              <w:rPr>
                <w:spacing w:val="-4"/>
                <w:sz w:val="20"/>
              </w:rPr>
              <w:t>t-</w:t>
            </w:r>
            <w:r>
              <w:rPr>
                <w:spacing w:val="-2"/>
                <w:sz w:val="20"/>
              </w:rPr>
              <w:t>Statistic</w:t>
            </w:r>
          </w:p>
        </w:tc>
        <w:tc>
          <w:tcPr>
            <w:tcW w:w="896" w:type="dxa"/>
            <w:tcBorders>
              <w:top w:val="double" w:sz="6" w:space="0" w:color="000000"/>
              <w:bottom w:val="double" w:sz="6" w:space="0" w:color="000000"/>
            </w:tcBorders>
          </w:tcPr>
          <w:p>
            <w:pPr>
              <w:pStyle w:val="TableParagraph"/>
              <w:spacing w:line="209" w:lineRule="exact" w:before="40"/>
              <w:ind w:right="27"/>
              <w:jc w:val="right"/>
              <w:rPr>
                <w:sz w:val="20"/>
              </w:rPr>
            </w:pPr>
            <w:r>
              <w:rPr>
                <w:spacing w:val="-2"/>
                <w:sz w:val="20"/>
              </w:rPr>
              <w:t>Prob.</w:t>
            </w:r>
          </w:p>
        </w:tc>
      </w:tr>
      <w:tr>
        <w:trPr>
          <w:trHeight w:val="275" w:hRule="atLeast"/>
        </w:trPr>
        <w:tc>
          <w:tcPr>
            <w:tcW w:w="1847" w:type="dxa"/>
            <w:tcBorders>
              <w:top w:val="double" w:sz="6" w:space="0" w:color="000000"/>
            </w:tcBorders>
          </w:tcPr>
          <w:p>
            <w:pPr>
              <w:pStyle w:val="TableParagraph"/>
              <w:spacing w:line="215" w:lineRule="exact" w:before="41"/>
              <w:ind w:left="655"/>
              <w:rPr>
                <w:sz w:val="20"/>
              </w:rPr>
            </w:pPr>
            <w:r>
              <w:rPr>
                <w:spacing w:val="-2"/>
                <w:sz w:val="20"/>
              </w:rPr>
              <w:t>KFM(-</w:t>
            </w:r>
            <w:r>
              <w:rPr>
                <w:spacing w:val="-5"/>
                <w:sz w:val="20"/>
              </w:rPr>
              <w:t>1)</w:t>
            </w:r>
          </w:p>
        </w:tc>
        <w:tc>
          <w:tcPr>
            <w:tcW w:w="1375" w:type="dxa"/>
            <w:tcBorders>
              <w:top w:val="double" w:sz="6" w:space="0" w:color="000000"/>
            </w:tcBorders>
          </w:tcPr>
          <w:p>
            <w:pPr>
              <w:pStyle w:val="TableParagraph"/>
              <w:spacing w:line="215" w:lineRule="exact" w:before="41"/>
              <w:ind w:right="128"/>
              <w:jc w:val="right"/>
              <w:rPr>
                <w:sz w:val="20"/>
              </w:rPr>
            </w:pPr>
            <w:r>
              <w:rPr>
                <w:spacing w:val="-4"/>
                <w:sz w:val="20"/>
              </w:rPr>
              <w:t>-</w:t>
            </w:r>
            <w:r>
              <w:rPr>
                <w:spacing w:val="-2"/>
                <w:sz w:val="20"/>
              </w:rPr>
              <w:t>0.056834</w:t>
            </w:r>
          </w:p>
        </w:tc>
        <w:tc>
          <w:tcPr>
            <w:tcW w:w="1432" w:type="dxa"/>
            <w:tcBorders>
              <w:top w:val="double" w:sz="6" w:space="0" w:color="000000"/>
            </w:tcBorders>
          </w:tcPr>
          <w:p>
            <w:pPr>
              <w:pStyle w:val="TableParagraph"/>
              <w:spacing w:line="215" w:lineRule="exact" w:before="41"/>
              <w:ind w:left="311"/>
              <w:rPr>
                <w:sz w:val="20"/>
              </w:rPr>
            </w:pPr>
            <w:r>
              <w:rPr>
                <w:spacing w:val="-2"/>
                <w:sz w:val="20"/>
              </w:rPr>
              <w:t>0.083366</w:t>
            </w:r>
          </w:p>
        </w:tc>
        <w:tc>
          <w:tcPr>
            <w:tcW w:w="936" w:type="dxa"/>
            <w:tcBorders>
              <w:top w:val="double" w:sz="6" w:space="0" w:color="000000"/>
            </w:tcBorders>
          </w:tcPr>
          <w:p>
            <w:pPr>
              <w:pStyle w:val="TableParagraph"/>
              <w:spacing w:line="215" w:lineRule="exact" w:before="41"/>
              <w:ind w:right="110"/>
              <w:jc w:val="right"/>
              <w:rPr>
                <w:sz w:val="20"/>
              </w:rPr>
            </w:pPr>
            <w:r>
              <w:rPr>
                <w:spacing w:val="-4"/>
                <w:sz w:val="20"/>
              </w:rPr>
              <w:t>-</w:t>
            </w:r>
            <w:r>
              <w:rPr>
                <w:spacing w:val="-2"/>
                <w:sz w:val="20"/>
              </w:rPr>
              <w:t>0.681736</w:t>
            </w:r>
          </w:p>
        </w:tc>
        <w:tc>
          <w:tcPr>
            <w:tcW w:w="896" w:type="dxa"/>
            <w:tcBorders>
              <w:top w:val="double" w:sz="6" w:space="0" w:color="000000"/>
            </w:tcBorders>
          </w:tcPr>
          <w:p>
            <w:pPr>
              <w:pStyle w:val="TableParagraph"/>
              <w:spacing w:line="215" w:lineRule="exact" w:before="41"/>
              <w:ind w:right="26"/>
              <w:jc w:val="right"/>
              <w:rPr>
                <w:sz w:val="20"/>
              </w:rPr>
            </w:pPr>
            <w:r>
              <w:rPr>
                <w:spacing w:val="-2"/>
                <w:sz w:val="20"/>
              </w:rPr>
              <w:t>0.4997</w:t>
            </w:r>
          </w:p>
        </w:tc>
      </w:tr>
      <w:tr>
        <w:trPr>
          <w:trHeight w:val="230" w:hRule="atLeast"/>
        </w:trPr>
        <w:tc>
          <w:tcPr>
            <w:tcW w:w="1847" w:type="dxa"/>
          </w:tcPr>
          <w:p>
            <w:pPr>
              <w:pStyle w:val="TableParagraph"/>
              <w:spacing w:line="210" w:lineRule="exact"/>
              <w:ind w:left="516"/>
              <w:rPr>
                <w:sz w:val="20"/>
              </w:rPr>
            </w:pPr>
            <w:r>
              <w:rPr>
                <w:spacing w:val="-2"/>
                <w:sz w:val="20"/>
              </w:rPr>
              <w:t>D(KFM(-</w:t>
            </w:r>
            <w:r>
              <w:rPr>
                <w:spacing w:val="-5"/>
                <w:sz w:val="20"/>
              </w:rPr>
              <w:t>1))</w:t>
            </w:r>
          </w:p>
        </w:tc>
        <w:tc>
          <w:tcPr>
            <w:tcW w:w="1375" w:type="dxa"/>
          </w:tcPr>
          <w:p>
            <w:pPr>
              <w:pStyle w:val="TableParagraph"/>
              <w:spacing w:line="210" w:lineRule="exact"/>
              <w:ind w:right="128"/>
              <w:jc w:val="right"/>
              <w:rPr>
                <w:sz w:val="20"/>
              </w:rPr>
            </w:pPr>
            <w:r>
              <w:rPr>
                <w:spacing w:val="-4"/>
                <w:sz w:val="20"/>
              </w:rPr>
              <w:t>-</w:t>
            </w:r>
            <w:r>
              <w:rPr>
                <w:spacing w:val="-2"/>
                <w:sz w:val="20"/>
              </w:rPr>
              <w:t>0.387316</w:t>
            </w:r>
          </w:p>
        </w:tc>
        <w:tc>
          <w:tcPr>
            <w:tcW w:w="1432" w:type="dxa"/>
          </w:tcPr>
          <w:p>
            <w:pPr>
              <w:pStyle w:val="TableParagraph"/>
              <w:spacing w:line="210" w:lineRule="exact"/>
              <w:ind w:left="311"/>
              <w:rPr>
                <w:sz w:val="20"/>
              </w:rPr>
            </w:pPr>
            <w:r>
              <w:rPr>
                <w:spacing w:val="-2"/>
                <w:sz w:val="20"/>
              </w:rPr>
              <w:t>0.155722</w:t>
            </w:r>
          </w:p>
        </w:tc>
        <w:tc>
          <w:tcPr>
            <w:tcW w:w="936" w:type="dxa"/>
          </w:tcPr>
          <w:p>
            <w:pPr>
              <w:pStyle w:val="TableParagraph"/>
              <w:spacing w:line="210" w:lineRule="exact"/>
              <w:ind w:right="110"/>
              <w:jc w:val="right"/>
              <w:rPr>
                <w:sz w:val="20"/>
              </w:rPr>
            </w:pPr>
            <w:r>
              <w:rPr>
                <w:spacing w:val="-4"/>
                <w:sz w:val="20"/>
              </w:rPr>
              <w:t>-</w:t>
            </w:r>
            <w:r>
              <w:rPr>
                <w:spacing w:val="-2"/>
                <w:sz w:val="20"/>
              </w:rPr>
              <w:t>2.487235</w:t>
            </w:r>
          </w:p>
        </w:tc>
        <w:tc>
          <w:tcPr>
            <w:tcW w:w="896" w:type="dxa"/>
          </w:tcPr>
          <w:p>
            <w:pPr>
              <w:pStyle w:val="TableParagraph"/>
              <w:spacing w:line="210" w:lineRule="exact"/>
              <w:ind w:right="26"/>
              <w:jc w:val="right"/>
              <w:rPr>
                <w:sz w:val="20"/>
              </w:rPr>
            </w:pPr>
            <w:r>
              <w:rPr>
                <w:spacing w:val="-2"/>
                <w:sz w:val="20"/>
              </w:rPr>
              <w:t>0.0175</w:t>
            </w:r>
          </w:p>
        </w:tc>
      </w:tr>
      <w:tr>
        <w:trPr>
          <w:trHeight w:val="224" w:hRule="atLeast"/>
        </w:trPr>
        <w:tc>
          <w:tcPr>
            <w:tcW w:w="1847" w:type="dxa"/>
            <w:tcBorders>
              <w:bottom w:val="double" w:sz="6" w:space="0" w:color="000000"/>
            </w:tcBorders>
          </w:tcPr>
          <w:p>
            <w:pPr>
              <w:pStyle w:val="TableParagraph"/>
              <w:spacing w:line="205" w:lineRule="exact"/>
              <w:ind w:left="197"/>
              <w:jc w:val="center"/>
              <w:rPr>
                <w:sz w:val="20"/>
              </w:rPr>
            </w:pPr>
            <w:r>
              <w:rPr>
                <w:spacing w:val="-10"/>
                <w:sz w:val="20"/>
              </w:rPr>
              <w:t>C</w:t>
            </w:r>
          </w:p>
        </w:tc>
        <w:tc>
          <w:tcPr>
            <w:tcW w:w="1375" w:type="dxa"/>
            <w:tcBorders>
              <w:bottom w:val="double" w:sz="6" w:space="0" w:color="000000"/>
            </w:tcBorders>
          </w:tcPr>
          <w:p>
            <w:pPr>
              <w:pStyle w:val="TableParagraph"/>
              <w:spacing w:line="205" w:lineRule="exact"/>
              <w:ind w:right="128"/>
              <w:jc w:val="right"/>
              <w:rPr>
                <w:sz w:val="20"/>
              </w:rPr>
            </w:pPr>
            <w:r>
              <w:rPr>
                <w:spacing w:val="-2"/>
                <w:sz w:val="20"/>
              </w:rPr>
              <w:t>0.932545</w:t>
            </w:r>
          </w:p>
        </w:tc>
        <w:tc>
          <w:tcPr>
            <w:tcW w:w="1432" w:type="dxa"/>
            <w:tcBorders>
              <w:bottom w:val="double" w:sz="6" w:space="0" w:color="000000"/>
            </w:tcBorders>
          </w:tcPr>
          <w:p>
            <w:pPr>
              <w:pStyle w:val="TableParagraph"/>
              <w:spacing w:line="205" w:lineRule="exact"/>
              <w:ind w:left="311"/>
              <w:rPr>
                <w:sz w:val="20"/>
              </w:rPr>
            </w:pPr>
            <w:r>
              <w:rPr>
                <w:spacing w:val="-2"/>
                <w:sz w:val="20"/>
              </w:rPr>
              <w:t>0.921857</w:t>
            </w:r>
          </w:p>
        </w:tc>
        <w:tc>
          <w:tcPr>
            <w:tcW w:w="936" w:type="dxa"/>
            <w:tcBorders>
              <w:bottom w:val="double" w:sz="6" w:space="0" w:color="000000"/>
            </w:tcBorders>
          </w:tcPr>
          <w:p>
            <w:pPr>
              <w:pStyle w:val="TableParagraph"/>
              <w:spacing w:line="205" w:lineRule="exact"/>
              <w:ind w:right="110"/>
              <w:jc w:val="right"/>
              <w:rPr>
                <w:sz w:val="20"/>
              </w:rPr>
            </w:pPr>
            <w:r>
              <w:rPr>
                <w:spacing w:val="-2"/>
                <w:sz w:val="20"/>
              </w:rPr>
              <w:t>1.011594</w:t>
            </w:r>
          </w:p>
        </w:tc>
        <w:tc>
          <w:tcPr>
            <w:tcW w:w="896" w:type="dxa"/>
            <w:tcBorders>
              <w:bottom w:val="double" w:sz="6" w:space="0" w:color="000000"/>
            </w:tcBorders>
          </w:tcPr>
          <w:p>
            <w:pPr>
              <w:pStyle w:val="TableParagraph"/>
              <w:spacing w:line="205" w:lineRule="exact"/>
              <w:ind w:right="26"/>
              <w:jc w:val="right"/>
              <w:rPr>
                <w:sz w:val="20"/>
              </w:rPr>
            </w:pPr>
            <w:r>
              <w:rPr>
                <w:spacing w:val="-2"/>
                <w:sz w:val="20"/>
              </w:rPr>
              <w:t>0.3183</w:t>
            </w:r>
          </w:p>
        </w:tc>
      </w:tr>
      <w:tr>
        <w:trPr>
          <w:trHeight w:val="275" w:hRule="atLeast"/>
        </w:trPr>
        <w:tc>
          <w:tcPr>
            <w:tcW w:w="1847" w:type="dxa"/>
            <w:tcBorders>
              <w:top w:val="double" w:sz="6" w:space="0" w:color="000000"/>
            </w:tcBorders>
          </w:tcPr>
          <w:p>
            <w:pPr>
              <w:pStyle w:val="TableParagraph"/>
              <w:spacing w:line="215" w:lineRule="exact" w:before="40"/>
              <w:ind w:left="36"/>
              <w:rPr>
                <w:sz w:val="20"/>
              </w:rPr>
            </w:pPr>
            <w:r>
              <w:rPr>
                <w:spacing w:val="-2"/>
                <w:sz w:val="20"/>
              </w:rPr>
              <w:t>R-squared</w:t>
            </w:r>
          </w:p>
        </w:tc>
        <w:tc>
          <w:tcPr>
            <w:tcW w:w="1375" w:type="dxa"/>
            <w:tcBorders>
              <w:top w:val="double" w:sz="6" w:space="0" w:color="000000"/>
            </w:tcBorders>
          </w:tcPr>
          <w:p>
            <w:pPr>
              <w:pStyle w:val="TableParagraph"/>
              <w:spacing w:line="215" w:lineRule="exact" w:before="40"/>
              <w:ind w:right="128"/>
              <w:jc w:val="right"/>
              <w:rPr>
                <w:sz w:val="20"/>
              </w:rPr>
            </w:pPr>
            <w:r>
              <w:rPr>
                <w:spacing w:val="-2"/>
                <w:sz w:val="20"/>
              </w:rPr>
              <w:t>0.186549</w:t>
            </w:r>
          </w:p>
        </w:tc>
        <w:tc>
          <w:tcPr>
            <w:tcW w:w="2368" w:type="dxa"/>
            <w:gridSpan w:val="2"/>
            <w:tcBorders>
              <w:top w:val="double" w:sz="6" w:space="0" w:color="000000"/>
            </w:tcBorders>
          </w:tcPr>
          <w:p>
            <w:pPr>
              <w:pStyle w:val="TableParagraph"/>
              <w:spacing w:line="215" w:lineRule="exact" w:before="40"/>
              <w:ind w:left="131"/>
              <w:rPr>
                <w:sz w:val="20"/>
              </w:rPr>
            </w:pPr>
            <w:r>
              <w:rPr>
                <w:sz w:val="20"/>
              </w:rPr>
              <w:t>Mean</w:t>
            </w:r>
            <w:r>
              <w:rPr>
                <w:spacing w:val="-7"/>
                <w:sz w:val="20"/>
              </w:rPr>
              <w:t> </w:t>
            </w:r>
            <w:r>
              <w:rPr>
                <w:sz w:val="20"/>
              </w:rPr>
              <w:t>dependent</w:t>
            </w:r>
            <w:r>
              <w:rPr>
                <w:spacing w:val="-7"/>
                <w:sz w:val="20"/>
              </w:rPr>
              <w:t> </w:t>
            </w:r>
            <w:r>
              <w:rPr>
                <w:spacing w:val="-5"/>
                <w:sz w:val="20"/>
              </w:rPr>
              <w:t>var</w:t>
            </w:r>
          </w:p>
        </w:tc>
        <w:tc>
          <w:tcPr>
            <w:tcW w:w="896" w:type="dxa"/>
            <w:tcBorders>
              <w:top w:val="double" w:sz="6" w:space="0" w:color="000000"/>
            </w:tcBorders>
          </w:tcPr>
          <w:p>
            <w:pPr>
              <w:pStyle w:val="TableParagraph"/>
              <w:spacing w:line="215" w:lineRule="exact" w:before="40"/>
              <w:ind w:right="26"/>
              <w:jc w:val="right"/>
              <w:rPr>
                <w:sz w:val="20"/>
              </w:rPr>
            </w:pPr>
            <w:r>
              <w:rPr>
                <w:spacing w:val="-2"/>
                <w:sz w:val="20"/>
              </w:rPr>
              <w:t>0.225323</w:t>
            </w:r>
          </w:p>
        </w:tc>
      </w:tr>
      <w:tr>
        <w:trPr>
          <w:trHeight w:val="230" w:hRule="atLeast"/>
        </w:trPr>
        <w:tc>
          <w:tcPr>
            <w:tcW w:w="1847" w:type="dxa"/>
          </w:tcPr>
          <w:p>
            <w:pPr>
              <w:pStyle w:val="TableParagraph"/>
              <w:spacing w:line="210" w:lineRule="exact"/>
              <w:ind w:left="36"/>
              <w:rPr>
                <w:sz w:val="20"/>
              </w:rPr>
            </w:pPr>
            <w:r>
              <w:rPr>
                <w:sz w:val="20"/>
              </w:rPr>
              <w:t>Adjusted</w:t>
            </w:r>
            <w:r>
              <w:rPr>
                <w:spacing w:val="-10"/>
                <w:sz w:val="20"/>
              </w:rPr>
              <w:t> </w:t>
            </w:r>
            <w:r>
              <w:rPr>
                <w:sz w:val="20"/>
              </w:rPr>
              <w:t>R-</w:t>
            </w:r>
            <w:r>
              <w:rPr>
                <w:spacing w:val="-2"/>
                <w:sz w:val="20"/>
              </w:rPr>
              <w:t>squared</w:t>
            </w:r>
          </w:p>
        </w:tc>
        <w:tc>
          <w:tcPr>
            <w:tcW w:w="1375" w:type="dxa"/>
          </w:tcPr>
          <w:p>
            <w:pPr>
              <w:pStyle w:val="TableParagraph"/>
              <w:spacing w:line="210" w:lineRule="exact"/>
              <w:ind w:right="128"/>
              <w:jc w:val="right"/>
              <w:rPr>
                <w:sz w:val="20"/>
              </w:rPr>
            </w:pPr>
            <w:r>
              <w:rPr>
                <w:spacing w:val="-2"/>
                <w:sz w:val="20"/>
              </w:rPr>
              <w:t>0.142579</w:t>
            </w:r>
          </w:p>
        </w:tc>
        <w:tc>
          <w:tcPr>
            <w:tcW w:w="2368" w:type="dxa"/>
            <w:gridSpan w:val="2"/>
          </w:tcPr>
          <w:p>
            <w:pPr>
              <w:pStyle w:val="TableParagraph"/>
              <w:spacing w:line="210" w:lineRule="exact"/>
              <w:ind w:left="131"/>
              <w:rPr>
                <w:sz w:val="20"/>
              </w:rPr>
            </w:pPr>
            <w:r>
              <w:rPr>
                <w:sz w:val="20"/>
              </w:rPr>
              <w:t>S.D.</w:t>
            </w:r>
            <w:r>
              <w:rPr>
                <w:spacing w:val="-5"/>
                <w:sz w:val="20"/>
              </w:rPr>
              <w:t> </w:t>
            </w:r>
            <w:r>
              <w:rPr>
                <w:sz w:val="20"/>
              </w:rPr>
              <w:t>dependent</w:t>
            </w:r>
            <w:r>
              <w:rPr>
                <w:spacing w:val="-6"/>
                <w:sz w:val="20"/>
              </w:rPr>
              <w:t> </w:t>
            </w:r>
            <w:r>
              <w:rPr>
                <w:spacing w:val="-5"/>
                <w:sz w:val="20"/>
              </w:rPr>
              <w:t>var</w:t>
            </w:r>
          </w:p>
        </w:tc>
        <w:tc>
          <w:tcPr>
            <w:tcW w:w="896" w:type="dxa"/>
          </w:tcPr>
          <w:p>
            <w:pPr>
              <w:pStyle w:val="TableParagraph"/>
              <w:spacing w:line="210" w:lineRule="exact"/>
              <w:ind w:right="26"/>
              <w:jc w:val="right"/>
              <w:rPr>
                <w:sz w:val="20"/>
              </w:rPr>
            </w:pPr>
            <w:r>
              <w:rPr>
                <w:spacing w:val="-2"/>
                <w:sz w:val="20"/>
              </w:rPr>
              <w:t>1.479610</w:t>
            </w:r>
          </w:p>
        </w:tc>
      </w:tr>
      <w:tr>
        <w:trPr>
          <w:trHeight w:val="230" w:hRule="atLeast"/>
        </w:trPr>
        <w:tc>
          <w:tcPr>
            <w:tcW w:w="1847" w:type="dxa"/>
          </w:tcPr>
          <w:p>
            <w:pPr>
              <w:pStyle w:val="TableParagraph"/>
              <w:spacing w:line="210" w:lineRule="exact"/>
              <w:ind w:left="36"/>
              <w:rPr>
                <w:sz w:val="20"/>
              </w:rPr>
            </w:pPr>
            <w:r>
              <w:rPr>
                <w:sz w:val="20"/>
              </w:rPr>
              <w:t>S.E.</w:t>
            </w:r>
            <w:r>
              <w:rPr>
                <w:spacing w:val="-3"/>
                <w:sz w:val="20"/>
              </w:rPr>
              <w:t> </w:t>
            </w:r>
            <w:r>
              <w:rPr>
                <w:sz w:val="20"/>
              </w:rPr>
              <w:t>of</w:t>
            </w:r>
            <w:r>
              <w:rPr>
                <w:spacing w:val="-3"/>
                <w:sz w:val="20"/>
              </w:rPr>
              <w:t> </w:t>
            </w:r>
            <w:r>
              <w:rPr>
                <w:spacing w:val="-2"/>
                <w:sz w:val="20"/>
              </w:rPr>
              <w:t>regression</w:t>
            </w:r>
          </w:p>
        </w:tc>
        <w:tc>
          <w:tcPr>
            <w:tcW w:w="1375" w:type="dxa"/>
          </w:tcPr>
          <w:p>
            <w:pPr>
              <w:pStyle w:val="TableParagraph"/>
              <w:spacing w:line="210" w:lineRule="exact"/>
              <w:ind w:right="128"/>
              <w:jc w:val="right"/>
              <w:rPr>
                <w:sz w:val="20"/>
              </w:rPr>
            </w:pPr>
            <w:r>
              <w:rPr>
                <w:spacing w:val="-2"/>
                <w:sz w:val="20"/>
              </w:rPr>
              <w:t>1.370074</w:t>
            </w:r>
          </w:p>
        </w:tc>
        <w:tc>
          <w:tcPr>
            <w:tcW w:w="2368" w:type="dxa"/>
            <w:gridSpan w:val="2"/>
          </w:tcPr>
          <w:p>
            <w:pPr>
              <w:pStyle w:val="TableParagraph"/>
              <w:spacing w:line="210" w:lineRule="exact"/>
              <w:ind w:left="131"/>
              <w:rPr>
                <w:sz w:val="20"/>
              </w:rPr>
            </w:pPr>
            <w:r>
              <w:rPr>
                <w:sz w:val="20"/>
              </w:rPr>
              <w:t>Akaike</w:t>
            </w:r>
            <w:r>
              <w:rPr>
                <w:spacing w:val="-8"/>
                <w:sz w:val="20"/>
              </w:rPr>
              <w:t> </w:t>
            </w:r>
            <w:r>
              <w:rPr>
                <w:sz w:val="20"/>
              </w:rPr>
              <w:t>info</w:t>
            </w:r>
            <w:r>
              <w:rPr>
                <w:spacing w:val="-7"/>
                <w:sz w:val="20"/>
              </w:rPr>
              <w:t> </w:t>
            </w:r>
            <w:r>
              <w:rPr>
                <w:spacing w:val="-2"/>
                <w:sz w:val="20"/>
              </w:rPr>
              <w:t>criterion</w:t>
            </w:r>
          </w:p>
        </w:tc>
        <w:tc>
          <w:tcPr>
            <w:tcW w:w="896" w:type="dxa"/>
          </w:tcPr>
          <w:p>
            <w:pPr>
              <w:pStyle w:val="TableParagraph"/>
              <w:spacing w:line="210" w:lineRule="exact"/>
              <w:ind w:right="26"/>
              <w:jc w:val="right"/>
              <w:rPr>
                <w:sz w:val="20"/>
              </w:rPr>
            </w:pPr>
            <w:r>
              <w:rPr>
                <w:spacing w:val="-2"/>
                <w:sz w:val="20"/>
              </w:rPr>
              <w:t>3.539646</w:t>
            </w:r>
          </w:p>
        </w:tc>
      </w:tr>
      <w:tr>
        <w:trPr>
          <w:trHeight w:val="230" w:hRule="atLeast"/>
        </w:trPr>
        <w:tc>
          <w:tcPr>
            <w:tcW w:w="1847" w:type="dxa"/>
          </w:tcPr>
          <w:p>
            <w:pPr>
              <w:pStyle w:val="TableParagraph"/>
              <w:spacing w:line="210" w:lineRule="exact"/>
              <w:ind w:left="36"/>
              <w:rPr>
                <w:sz w:val="20"/>
              </w:rPr>
            </w:pPr>
            <w:r>
              <w:rPr>
                <w:sz w:val="20"/>
              </w:rPr>
              <w:t>Sum</w:t>
            </w:r>
            <w:r>
              <w:rPr>
                <w:spacing w:val="-8"/>
                <w:sz w:val="20"/>
              </w:rPr>
              <w:t> </w:t>
            </w:r>
            <w:r>
              <w:rPr>
                <w:sz w:val="20"/>
              </w:rPr>
              <w:t>squared</w:t>
            </w:r>
            <w:r>
              <w:rPr>
                <w:spacing w:val="-4"/>
                <w:sz w:val="20"/>
              </w:rPr>
              <w:t> </w:t>
            </w:r>
            <w:r>
              <w:rPr>
                <w:spacing w:val="-2"/>
                <w:sz w:val="20"/>
              </w:rPr>
              <w:t>resid</w:t>
            </w:r>
          </w:p>
        </w:tc>
        <w:tc>
          <w:tcPr>
            <w:tcW w:w="1375" w:type="dxa"/>
          </w:tcPr>
          <w:p>
            <w:pPr>
              <w:pStyle w:val="TableParagraph"/>
              <w:spacing w:line="210" w:lineRule="exact"/>
              <w:ind w:right="128"/>
              <w:jc w:val="right"/>
              <w:rPr>
                <w:sz w:val="20"/>
              </w:rPr>
            </w:pPr>
            <w:r>
              <w:rPr>
                <w:spacing w:val="-2"/>
                <w:sz w:val="20"/>
              </w:rPr>
              <w:t>69.45285</w:t>
            </w:r>
          </w:p>
        </w:tc>
        <w:tc>
          <w:tcPr>
            <w:tcW w:w="2368" w:type="dxa"/>
            <w:gridSpan w:val="2"/>
          </w:tcPr>
          <w:p>
            <w:pPr>
              <w:pStyle w:val="TableParagraph"/>
              <w:spacing w:line="210" w:lineRule="exact"/>
              <w:ind w:left="131"/>
              <w:rPr>
                <w:sz w:val="20"/>
              </w:rPr>
            </w:pPr>
            <w:r>
              <w:rPr>
                <w:sz w:val="20"/>
              </w:rPr>
              <w:t>Schwarz</w:t>
            </w:r>
            <w:r>
              <w:rPr>
                <w:spacing w:val="-8"/>
                <w:sz w:val="20"/>
              </w:rPr>
              <w:t> </w:t>
            </w:r>
            <w:r>
              <w:rPr>
                <w:spacing w:val="-2"/>
                <w:sz w:val="20"/>
              </w:rPr>
              <w:t>criterion</w:t>
            </w:r>
          </w:p>
        </w:tc>
        <w:tc>
          <w:tcPr>
            <w:tcW w:w="896" w:type="dxa"/>
          </w:tcPr>
          <w:p>
            <w:pPr>
              <w:pStyle w:val="TableParagraph"/>
              <w:spacing w:line="210" w:lineRule="exact"/>
              <w:ind w:right="26"/>
              <w:jc w:val="right"/>
              <w:rPr>
                <w:sz w:val="20"/>
              </w:rPr>
            </w:pPr>
            <w:r>
              <w:rPr>
                <w:spacing w:val="-2"/>
                <w:sz w:val="20"/>
              </w:rPr>
              <w:t>3.666312</w:t>
            </w:r>
          </w:p>
        </w:tc>
      </w:tr>
      <w:tr>
        <w:trPr>
          <w:trHeight w:val="229" w:hRule="atLeast"/>
        </w:trPr>
        <w:tc>
          <w:tcPr>
            <w:tcW w:w="1847" w:type="dxa"/>
          </w:tcPr>
          <w:p>
            <w:pPr>
              <w:pStyle w:val="TableParagraph"/>
              <w:spacing w:line="209" w:lineRule="exact"/>
              <w:ind w:left="36"/>
              <w:rPr>
                <w:sz w:val="20"/>
              </w:rPr>
            </w:pPr>
            <w:r>
              <w:rPr>
                <w:sz w:val="20"/>
              </w:rPr>
              <w:t>Log</w:t>
            </w:r>
            <w:r>
              <w:rPr>
                <w:spacing w:val="-6"/>
                <w:sz w:val="20"/>
              </w:rPr>
              <w:t> </w:t>
            </w:r>
            <w:r>
              <w:rPr>
                <w:spacing w:val="-2"/>
                <w:sz w:val="20"/>
              </w:rPr>
              <w:t>likelihood</w:t>
            </w:r>
          </w:p>
        </w:tc>
        <w:tc>
          <w:tcPr>
            <w:tcW w:w="1375" w:type="dxa"/>
          </w:tcPr>
          <w:p>
            <w:pPr>
              <w:pStyle w:val="TableParagraph"/>
              <w:spacing w:line="209" w:lineRule="exact"/>
              <w:ind w:right="128"/>
              <w:jc w:val="right"/>
              <w:rPr>
                <w:sz w:val="20"/>
              </w:rPr>
            </w:pPr>
            <w:r>
              <w:rPr>
                <w:spacing w:val="-4"/>
                <w:sz w:val="20"/>
              </w:rPr>
              <w:t>-</w:t>
            </w:r>
            <w:r>
              <w:rPr>
                <w:spacing w:val="-2"/>
                <w:sz w:val="20"/>
              </w:rPr>
              <w:t>67.79291</w:t>
            </w:r>
          </w:p>
        </w:tc>
        <w:tc>
          <w:tcPr>
            <w:tcW w:w="1432" w:type="dxa"/>
          </w:tcPr>
          <w:p>
            <w:pPr>
              <w:pStyle w:val="TableParagraph"/>
              <w:spacing w:line="209" w:lineRule="exact"/>
              <w:ind w:left="131"/>
              <w:rPr>
                <w:sz w:val="20"/>
              </w:rPr>
            </w:pPr>
            <w:r>
              <w:rPr>
                <w:spacing w:val="-4"/>
                <w:sz w:val="20"/>
              </w:rPr>
              <w:t>F-</w:t>
            </w:r>
            <w:r>
              <w:rPr>
                <w:spacing w:val="-2"/>
                <w:sz w:val="20"/>
              </w:rPr>
              <w:t>statistic</w:t>
            </w:r>
          </w:p>
        </w:tc>
        <w:tc>
          <w:tcPr>
            <w:tcW w:w="936" w:type="dxa"/>
          </w:tcPr>
          <w:p>
            <w:pPr>
              <w:pStyle w:val="TableParagraph"/>
              <w:rPr>
                <w:sz w:val="16"/>
              </w:rPr>
            </w:pPr>
          </w:p>
        </w:tc>
        <w:tc>
          <w:tcPr>
            <w:tcW w:w="896" w:type="dxa"/>
          </w:tcPr>
          <w:p>
            <w:pPr>
              <w:pStyle w:val="TableParagraph"/>
              <w:spacing w:line="209" w:lineRule="exact"/>
              <w:ind w:right="26"/>
              <w:jc w:val="right"/>
              <w:rPr>
                <w:sz w:val="20"/>
              </w:rPr>
            </w:pPr>
            <w:r>
              <w:rPr>
                <w:spacing w:val="-2"/>
                <w:sz w:val="20"/>
              </w:rPr>
              <w:t>4.242624</w:t>
            </w:r>
          </w:p>
        </w:tc>
      </w:tr>
      <w:tr>
        <w:trPr>
          <w:trHeight w:val="266" w:hRule="atLeast"/>
        </w:trPr>
        <w:tc>
          <w:tcPr>
            <w:tcW w:w="1847" w:type="dxa"/>
            <w:tcBorders>
              <w:bottom w:val="double" w:sz="6" w:space="0" w:color="000000"/>
            </w:tcBorders>
          </w:tcPr>
          <w:p>
            <w:pPr>
              <w:pStyle w:val="TableParagraph"/>
              <w:spacing w:line="224" w:lineRule="exact"/>
              <w:ind w:left="36"/>
              <w:rPr>
                <w:sz w:val="20"/>
              </w:rPr>
            </w:pPr>
            <w:r>
              <w:rPr>
                <w:sz w:val="20"/>
              </w:rPr>
              <w:t>Durbin-Watson</w:t>
            </w:r>
            <w:r>
              <w:rPr>
                <w:spacing w:val="-12"/>
                <w:sz w:val="20"/>
              </w:rPr>
              <w:t> </w:t>
            </w:r>
            <w:r>
              <w:rPr>
                <w:spacing w:val="-4"/>
                <w:sz w:val="20"/>
              </w:rPr>
              <w:t>stat</w:t>
            </w:r>
          </w:p>
        </w:tc>
        <w:tc>
          <w:tcPr>
            <w:tcW w:w="1375" w:type="dxa"/>
          </w:tcPr>
          <w:p>
            <w:pPr>
              <w:pStyle w:val="TableParagraph"/>
              <w:spacing w:line="224" w:lineRule="exact"/>
              <w:ind w:right="128"/>
              <w:jc w:val="right"/>
              <w:rPr>
                <w:sz w:val="20"/>
              </w:rPr>
            </w:pPr>
            <w:r>
              <w:rPr>
                <w:spacing w:val="-2"/>
                <w:sz w:val="20"/>
              </w:rPr>
              <w:t>2.231421</w:t>
            </w:r>
          </w:p>
        </w:tc>
        <w:tc>
          <w:tcPr>
            <w:tcW w:w="1432" w:type="dxa"/>
            <w:tcBorders>
              <w:bottom w:val="double" w:sz="6" w:space="0" w:color="000000"/>
            </w:tcBorders>
          </w:tcPr>
          <w:p>
            <w:pPr>
              <w:pStyle w:val="TableParagraph"/>
              <w:spacing w:line="224" w:lineRule="exact"/>
              <w:ind w:left="131"/>
              <w:rPr>
                <w:sz w:val="20"/>
              </w:rPr>
            </w:pPr>
            <w:r>
              <w:rPr>
                <w:spacing w:val="-2"/>
                <w:sz w:val="20"/>
              </w:rPr>
              <w:t>Prob(F-statistic)</w:t>
            </w:r>
          </w:p>
        </w:tc>
        <w:tc>
          <w:tcPr>
            <w:tcW w:w="936" w:type="dxa"/>
            <w:tcBorders>
              <w:bottom w:val="single" w:sz="6" w:space="0" w:color="000000"/>
            </w:tcBorders>
          </w:tcPr>
          <w:p>
            <w:pPr>
              <w:pStyle w:val="TableParagraph"/>
              <w:rPr>
                <w:sz w:val="18"/>
              </w:rPr>
            </w:pPr>
          </w:p>
        </w:tc>
        <w:tc>
          <w:tcPr>
            <w:tcW w:w="896" w:type="dxa"/>
            <w:tcBorders>
              <w:bottom w:val="double" w:sz="6" w:space="0" w:color="000000"/>
            </w:tcBorders>
          </w:tcPr>
          <w:p>
            <w:pPr>
              <w:pStyle w:val="TableParagraph"/>
              <w:spacing w:line="224" w:lineRule="exact"/>
              <w:ind w:right="26"/>
              <w:jc w:val="right"/>
              <w:rPr>
                <w:sz w:val="20"/>
              </w:rPr>
            </w:pPr>
            <w:r>
              <w:rPr>
                <w:spacing w:val="-2"/>
                <w:sz w:val="20"/>
              </w:rPr>
              <w:t>0.021934</w:t>
            </w:r>
          </w:p>
        </w:tc>
      </w:tr>
    </w:tbl>
    <w:p>
      <w:pPr>
        <w:pStyle w:val="BodyText"/>
        <w:rPr>
          <w:sz w:val="20"/>
        </w:rPr>
      </w:pPr>
    </w:p>
    <w:p>
      <w:pPr>
        <w:pStyle w:val="BodyText"/>
        <w:spacing w:before="14"/>
        <w:rPr>
          <w:sz w:val="20"/>
        </w:rPr>
      </w:pPr>
    </w:p>
    <w:p>
      <w:pPr>
        <w:spacing w:before="0" w:after="3"/>
        <w:ind w:left="711" w:right="0" w:firstLine="0"/>
        <w:jc w:val="left"/>
        <w:rPr>
          <w:sz w:val="20"/>
        </w:rPr>
      </w:pPr>
      <w:r>
        <w:rPr>
          <w:sz w:val="20"/>
        </w:rPr>
        <w:t>KFM</w:t>
      </w:r>
      <w:r>
        <w:rPr>
          <w:spacing w:val="-3"/>
          <w:sz w:val="20"/>
        </w:rPr>
        <w:t> </w:t>
      </w:r>
      <w:r>
        <w:rPr>
          <w:sz w:val="20"/>
        </w:rPr>
        <w:t>@</w:t>
      </w:r>
      <w:r>
        <w:rPr>
          <w:spacing w:val="-4"/>
          <w:sz w:val="20"/>
        </w:rPr>
        <w:t> </w:t>
      </w:r>
      <w:r>
        <w:rPr>
          <w:sz w:val="20"/>
        </w:rPr>
        <w:t>1</w:t>
      </w:r>
      <w:r>
        <w:rPr>
          <w:sz w:val="20"/>
          <w:vertAlign w:val="superscript"/>
        </w:rPr>
        <w:t>ST</w:t>
      </w:r>
      <w:r>
        <w:rPr>
          <w:spacing w:val="-2"/>
          <w:sz w:val="20"/>
          <w:vertAlign w:val="baseline"/>
        </w:rPr>
        <w:t> </w:t>
      </w:r>
      <w:r>
        <w:rPr>
          <w:spacing w:val="-4"/>
          <w:sz w:val="20"/>
          <w:vertAlign w:val="baseline"/>
        </w:rPr>
        <w:t>DIFF</w:t>
      </w:r>
    </w:p>
    <w:tbl>
      <w:tblPr>
        <w:tblW w:w="0" w:type="auto"/>
        <w:jc w:val="left"/>
        <w:tblInd w:w="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08"/>
        <w:gridCol w:w="1316"/>
        <w:gridCol w:w="1434"/>
        <w:gridCol w:w="906"/>
        <w:gridCol w:w="931"/>
      </w:tblGrid>
      <w:tr>
        <w:trPr>
          <w:trHeight w:val="225" w:hRule="atLeast"/>
        </w:trPr>
        <w:tc>
          <w:tcPr>
            <w:tcW w:w="1908" w:type="dxa"/>
          </w:tcPr>
          <w:p>
            <w:pPr>
              <w:pStyle w:val="TableParagraph"/>
              <w:spacing w:line="205" w:lineRule="exact"/>
              <w:ind w:left="36"/>
              <w:rPr>
                <w:sz w:val="20"/>
              </w:rPr>
            </w:pPr>
            <w:r>
              <w:rPr>
                <w:sz w:val="20"/>
              </w:rPr>
              <w:t>ADF</w:t>
            </w:r>
            <w:r>
              <w:rPr>
                <w:spacing w:val="-4"/>
                <w:sz w:val="20"/>
              </w:rPr>
              <w:t> </w:t>
            </w:r>
            <w:r>
              <w:rPr>
                <w:sz w:val="20"/>
              </w:rPr>
              <w:t>Test</w:t>
            </w:r>
            <w:r>
              <w:rPr>
                <w:spacing w:val="-4"/>
                <w:sz w:val="20"/>
              </w:rPr>
              <w:t> </w:t>
            </w:r>
            <w:r>
              <w:rPr>
                <w:spacing w:val="-2"/>
                <w:sz w:val="20"/>
              </w:rPr>
              <w:t>Statistic</w:t>
            </w:r>
          </w:p>
        </w:tc>
        <w:tc>
          <w:tcPr>
            <w:tcW w:w="1316" w:type="dxa"/>
          </w:tcPr>
          <w:p>
            <w:pPr>
              <w:pStyle w:val="TableParagraph"/>
              <w:spacing w:line="205" w:lineRule="exact"/>
              <w:ind w:left="257"/>
              <w:rPr>
                <w:sz w:val="20"/>
              </w:rPr>
            </w:pPr>
            <w:r>
              <w:rPr>
                <w:spacing w:val="-4"/>
                <w:sz w:val="20"/>
              </w:rPr>
              <w:t>-</w:t>
            </w:r>
            <w:r>
              <w:rPr>
                <w:spacing w:val="-2"/>
                <w:sz w:val="20"/>
              </w:rPr>
              <w:t>7.244402</w:t>
            </w:r>
          </w:p>
        </w:tc>
        <w:tc>
          <w:tcPr>
            <w:tcW w:w="2340" w:type="dxa"/>
            <w:gridSpan w:val="2"/>
          </w:tcPr>
          <w:p>
            <w:pPr>
              <w:pStyle w:val="TableParagraph"/>
              <w:spacing w:line="205" w:lineRule="exact"/>
              <w:ind w:left="129"/>
              <w:rPr>
                <w:sz w:val="20"/>
              </w:rPr>
            </w:pPr>
            <w:r>
              <w:rPr>
                <w:sz w:val="20"/>
              </w:rPr>
              <w:t>1%</w:t>
            </w:r>
            <w:r>
              <w:rPr>
                <w:spacing w:val="68"/>
                <w:w w:val="150"/>
                <w:sz w:val="20"/>
              </w:rPr>
              <w:t> </w:t>
            </w:r>
            <w:r>
              <w:rPr>
                <w:sz w:val="20"/>
              </w:rPr>
              <w:t>Critical</w:t>
            </w:r>
            <w:r>
              <w:rPr>
                <w:spacing w:val="-2"/>
                <w:sz w:val="20"/>
              </w:rPr>
              <w:t> Value*</w:t>
            </w:r>
          </w:p>
        </w:tc>
        <w:tc>
          <w:tcPr>
            <w:tcW w:w="931" w:type="dxa"/>
          </w:tcPr>
          <w:p>
            <w:pPr>
              <w:pStyle w:val="TableParagraph"/>
              <w:spacing w:line="205" w:lineRule="exact"/>
              <w:ind w:right="35"/>
              <w:jc w:val="right"/>
              <w:rPr>
                <w:sz w:val="20"/>
              </w:rPr>
            </w:pPr>
            <w:r>
              <w:rPr>
                <w:spacing w:val="-4"/>
                <w:sz w:val="20"/>
              </w:rPr>
              <w:t>-</w:t>
            </w:r>
            <w:r>
              <w:rPr>
                <w:spacing w:val="-2"/>
                <w:sz w:val="20"/>
              </w:rPr>
              <w:t>3.6067</w:t>
            </w:r>
          </w:p>
        </w:tc>
      </w:tr>
      <w:tr>
        <w:trPr>
          <w:trHeight w:val="230" w:hRule="atLeast"/>
        </w:trPr>
        <w:tc>
          <w:tcPr>
            <w:tcW w:w="1908" w:type="dxa"/>
          </w:tcPr>
          <w:p>
            <w:pPr>
              <w:pStyle w:val="TableParagraph"/>
              <w:rPr>
                <w:sz w:val="16"/>
              </w:rPr>
            </w:pPr>
          </w:p>
        </w:tc>
        <w:tc>
          <w:tcPr>
            <w:tcW w:w="1316" w:type="dxa"/>
          </w:tcPr>
          <w:p>
            <w:pPr>
              <w:pStyle w:val="TableParagraph"/>
              <w:rPr>
                <w:sz w:val="16"/>
              </w:rPr>
            </w:pPr>
          </w:p>
        </w:tc>
        <w:tc>
          <w:tcPr>
            <w:tcW w:w="2340" w:type="dxa"/>
            <w:gridSpan w:val="2"/>
          </w:tcPr>
          <w:p>
            <w:pPr>
              <w:pStyle w:val="TableParagraph"/>
              <w:spacing w:line="210" w:lineRule="exact"/>
              <w:ind w:left="129"/>
              <w:rPr>
                <w:sz w:val="20"/>
              </w:rPr>
            </w:pPr>
            <w:r>
              <w:rPr>
                <w:sz w:val="20"/>
              </w:rPr>
              <w:t>5%</w:t>
            </w:r>
            <w:r>
              <w:rPr>
                <w:spacing w:val="68"/>
                <w:w w:val="150"/>
                <w:sz w:val="20"/>
              </w:rPr>
              <w:t> </w:t>
            </w:r>
            <w:r>
              <w:rPr>
                <w:sz w:val="20"/>
              </w:rPr>
              <w:t>Critical</w:t>
            </w:r>
            <w:r>
              <w:rPr>
                <w:spacing w:val="-2"/>
                <w:sz w:val="20"/>
              </w:rPr>
              <w:t> </w:t>
            </w:r>
            <w:r>
              <w:rPr>
                <w:spacing w:val="-4"/>
                <w:sz w:val="20"/>
              </w:rPr>
              <w:t>Value</w:t>
            </w:r>
          </w:p>
        </w:tc>
        <w:tc>
          <w:tcPr>
            <w:tcW w:w="931" w:type="dxa"/>
          </w:tcPr>
          <w:p>
            <w:pPr>
              <w:pStyle w:val="TableParagraph"/>
              <w:spacing w:line="210" w:lineRule="exact"/>
              <w:ind w:right="35"/>
              <w:jc w:val="right"/>
              <w:rPr>
                <w:sz w:val="20"/>
              </w:rPr>
            </w:pPr>
            <w:r>
              <w:rPr>
                <w:spacing w:val="-4"/>
                <w:sz w:val="20"/>
              </w:rPr>
              <w:t>-</w:t>
            </w:r>
            <w:r>
              <w:rPr>
                <w:spacing w:val="-2"/>
                <w:sz w:val="20"/>
              </w:rPr>
              <w:t>2.9378</w:t>
            </w:r>
          </w:p>
        </w:tc>
      </w:tr>
      <w:tr>
        <w:trPr>
          <w:trHeight w:val="224" w:hRule="atLeast"/>
        </w:trPr>
        <w:tc>
          <w:tcPr>
            <w:tcW w:w="1908" w:type="dxa"/>
            <w:tcBorders>
              <w:bottom w:val="double" w:sz="6" w:space="0" w:color="000000"/>
            </w:tcBorders>
          </w:tcPr>
          <w:p>
            <w:pPr>
              <w:pStyle w:val="TableParagraph"/>
              <w:rPr>
                <w:sz w:val="16"/>
              </w:rPr>
            </w:pPr>
          </w:p>
        </w:tc>
        <w:tc>
          <w:tcPr>
            <w:tcW w:w="1316" w:type="dxa"/>
            <w:tcBorders>
              <w:bottom w:val="double" w:sz="6" w:space="0" w:color="000000"/>
            </w:tcBorders>
          </w:tcPr>
          <w:p>
            <w:pPr>
              <w:pStyle w:val="TableParagraph"/>
              <w:rPr>
                <w:sz w:val="16"/>
              </w:rPr>
            </w:pPr>
          </w:p>
        </w:tc>
        <w:tc>
          <w:tcPr>
            <w:tcW w:w="2340" w:type="dxa"/>
            <w:gridSpan w:val="2"/>
            <w:tcBorders>
              <w:bottom w:val="double" w:sz="6" w:space="0" w:color="000000"/>
            </w:tcBorders>
          </w:tcPr>
          <w:p>
            <w:pPr>
              <w:pStyle w:val="TableParagraph"/>
              <w:spacing w:line="205" w:lineRule="exact"/>
              <w:ind w:left="129"/>
              <w:rPr>
                <w:sz w:val="20"/>
              </w:rPr>
            </w:pPr>
            <w:r>
              <w:rPr>
                <w:sz w:val="20"/>
              </w:rPr>
              <w:t>10%</w:t>
            </w:r>
            <w:r>
              <w:rPr>
                <w:spacing w:val="-6"/>
                <w:sz w:val="20"/>
              </w:rPr>
              <w:t> </w:t>
            </w:r>
            <w:r>
              <w:rPr>
                <w:sz w:val="20"/>
              </w:rPr>
              <w:t>Critical</w:t>
            </w:r>
            <w:r>
              <w:rPr>
                <w:spacing w:val="-4"/>
                <w:sz w:val="20"/>
              </w:rPr>
              <w:t> </w:t>
            </w:r>
            <w:r>
              <w:rPr>
                <w:spacing w:val="-2"/>
                <w:sz w:val="20"/>
              </w:rPr>
              <w:t>Value</w:t>
            </w:r>
          </w:p>
        </w:tc>
        <w:tc>
          <w:tcPr>
            <w:tcW w:w="931" w:type="dxa"/>
            <w:tcBorders>
              <w:bottom w:val="double" w:sz="6" w:space="0" w:color="000000"/>
            </w:tcBorders>
          </w:tcPr>
          <w:p>
            <w:pPr>
              <w:pStyle w:val="TableParagraph"/>
              <w:spacing w:line="205" w:lineRule="exact"/>
              <w:ind w:right="35"/>
              <w:jc w:val="right"/>
              <w:rPr>
                <w:sz w:val="20"/>
              </w:rPr>
            </w:pPr>
            <w:r>
              <w:rPr>
                <w:spacing w:val="-4"/>
                <w:sz w:val="20"/>
              </w:rPr>
              <w:t>-</w:t>
            </w:r>
            <w:r>
              <w:rPr>
                <w:spacing w:val="-2"/>
                <w:sz w:val="20"/>
              </w:rPr>
              <w:t>2.6069</w:t>
            </w:r>
          </w:p>
        </w:tc>
      </w:tr>
      <w:tr>
        <w:trPr>
          <w:trHeight w:val="505" w:hRule="atLeast"/>
        </w:trPr>
        <w:tc>
          <w:tcPr>
            <w:tcW w:w="6495" w:type="dxa"/>
            <w:gridSpan w:val="5"/>
            <w:tcBorders>
              <w:top w:val="double" w:sz="6" w:space="0" w:color="000000"/>
            </w:tcBorders>
          </w:tcPr>
          <w:p>
            <w:pPr>
              <w:pStyle w:val="TableParagraph"/>
              <w:spacing w:before="40"/>
              <w:ind w:left="36"/>
              <w:rPr>
                <w:sz w:val="20"/>
              </w:rPr>
            </w:pPr>
            <w:r>
              <w:rPr>
                <w:sz w:val="20"/>
              </w:rPr>
              <w:t>*MacKinnon</w:t>
            </w:r>
            <w:r>
              <w:rPr>
                <w:spacing w:val="-6"/>
                <w:sz w:val="20"/>
              </w:rPr>
              <w:t> </w:t>
            </w:r>
            <w:r>
              <w:rPr>
                <w:sz w:val="20"/>
              </w:rPr>
              <w:t>critical</w:t>
            </w:r>
            <w:r>
              <w:rPr>
                <w:spacing w:val="-4"/>
                <w:sz w:val="20"/>
              </w:rPr>
              <w:t> </w:t>
            </w:r>
            <w:r>
              <w:rPr>
                <w:sz w:val="20"/>
              </w:rPr>
              <w:t>values</w:t>
            </w:r>
            <w:r>
              <w:rPr>
                <w:spacing w:val="-6"/>
                <w:sz w:val="20"/>
              </w:rPr>
              <w:t> </w:t>
            </w:r>
            <w:r>
              <w:rPr>
                <w:sz w:val="20"/>
              </w:rPr>
              <w:t>for</w:t>
            </w:r>
            <w:r>
              <w:rPr>
                <w:spacing w:val="-4"/>
                <w:sz w:val="20"/>
              </w:rPr>
              <w:t> </w:t>
            </w:r>
            <w:r>
              <w:rPr>
                <w:sz w:val="20"/>
              </w:rPr>
              <w:t>rejection</w:t>
            </w:r>
            <w:r>
              <w:rPr>
                <w:spacing w:val="-6"/>
                <w:sz w:val="20"/>
              </w:rPr>
              <w:t> </w:t>
            </w:r>
            <w:r>
              <w:rPr>
                <w:sz w:val="20"/>
              </w:rPr>
              <w:t>of</w:t>
            </w:r>
            <w:r>
              <w:rPr>
                <w:spacing w:val="-6"/>
                <w:sz w:val="20"/>
              </w:rPr>
              <w:t> </w:t>
            </w:r>
            <w:r>
              <w:rPr>
                <w:sz w:val="20"/>
              </w:rPr>
              <w:t>hypothesis</w:t>
            </w:r>
            <w:r>
              <w:rPr>
                <w:spacing w:val="-6"/>
                <w:sz w:val="20"/>
              </w:rPr>
              <w:t> </w:t>
            </w:r>
            <w:r>
              <w:rPr>
                <w:sz w:val="20"/>
              </w:rPr>
              <w:t>of</w:t>
            </w:r>
            <w:r>
              <w:rPr>
                <w:spacing w:val="-6"/>
                <w:sz w:val="20"/>
              </w:rPr>
              <w:t> </w:t>
            </w:r>
            <w:r>
              <w:rPr>
                <w:sz w:val="20"/>
              </w:rPr>
              <w:t>a</w:t>
            </w:r>
            <w:r>
              <w:rPr>
                <w:spacing w:val="-4"/>
                <w:sz w:val="20"/>
              </w:rPr>
              <w:t> </w:t>
            </w:r>
            <w:r>
              <w:rPr>
                <w:sz w:val="20"/>
              </w:rPr>
              <w:t>unit</w:t>
            </w:r>
            <w:r>
              <w:rPr>
                <w:spacing w:val="-6"/>
                <w:sz w:val="20"/>
              </w:rPr>
              <w:t> </w:t>
            </w:r>
            <w:r>
              <w:rPr>
                <w:spacing w:val="-2"/>
                <w:sz w:val="20"/>
              </w:rPr>
              <w:t>root.</w:t>
            </w:r>
          </w:p>
        </w:tc>
      </w:tr>
      <w:tr>
        <w:trPr>
          <w:trHeight w:val="459" w:hRule="atLeast"/>
        </w:trPr>
        <w:tc>
          <w:tcPr>
            <w:tcW w:w="6495" w:type="dxa"/>
            <w:gridSpan w:val="5"/>
          </w:tcPr>
          <w:p>
            <w:pPr>
              <w:pStyle w:val="TableParagraph"/>
              <w:spacing w:line="214" w:lineRule="exact" w:before="226"/>
              <w:ind w:left="36"/>
              <w:rPr>
                <w:sz w:val="20"/>
              </w:rPr>
            </w:pPr>
            <w:r>
              <w:rPr>
                <w:sz w:val="20"/>
              </w:rPr>
              <w:t>Augmented</w:t>
            </w:r>
            <w:r>
              <w:rPr>
                <w:spacing w:val="-8"/>
                <w:sz w:val="20"/>
              </w:rPr>
              <w:t> </w:t>
            </w:r>
            <w:r>
              <w:rPr>
                <w:sz w:val="20"/>
              </w:rPr>
              <w:t>Dickey-Fuller</w:t>
            </w:r>
            <w:r>
              <w:rPr>
                <w:spacing w:val="-8"/>
                <w:sz w:val="20"/>
              </w:rPr>
              <w:t> </w:t>
            </w:r>
            <w:r>
              <w:rPr>
                <w:sz w:val="20"/>
              </w:rPr>
              <w:t>Test</w:t>
            </w:r>
            <w:r>
              <w:rPr>
                <w:spacing w:val="-9"/>
                <w:sz w:val="20"/>
              </w:rPr>
              <w:t> </w:t>
            </w:r>
            <w:r>
              <w:rPr>
                <w:spacing w:val="-2"/>
                <w:sz w:val="20"/>
              </w:rPr>
              <w:t>Equation</w:t>
            </w:r>
          </w:p>
        </w:tc>
      </w:tr>
      <w:tr>
        <w:trPr>
          <w:trHeight w:val="229" w:hRule="atLeast"/>
        </w:trPr>
        <w:tc>
          <w:tcPr>
            <w:tcW w:w="6495" w:type="dxa"/>
            <w:gridSpan w:val="5"/>
          </w:tcPr>
          <w:p>
            <w:pPr>
              <w:pStyle w:val="TableParagraph"/>
              <w:spacing w:line="209" w:lineRule="exact"/>
              <w:ind w:left="36"/>
              <w:rPr>
                <w:sz w:val="20"/>
              </w:rPr>
            </w:pPr>
            <w:r>
              <w:rPr>
                <w:sz w:val="20"/>
              </w:rPr>
              <w:t>Dependent</w:t>
            </w:r>
            <w:r>
              <w:rPr>
                <w:spacing w:val="-8"/>
                <w:sz w:val="20"/>
              </w:rPr>
              <w:t> </w:t>
            </w:r>
            <w:r>
              <w:rPr>
                <w:sz w:val="20"/>
              </w:rPr>
              <w:t>Variable:</w:t>
            </w:r>
            <w:r>
              <w:rPr>
                <w:spacing w:val="-8"/>
                <w:sz w:val="20"/>
              </w:rPr>
              <w:t> </w:t>
            </w:r>
            <w:r>
              <w:rPr>
                <w:spacing w:val="-2"/>
                <w:sz w:val="20"/>
              </w:rPr>
              <w:t>D(KFM,2)</w:t>
            </w:r>
          </w:p>
        </w:tc>
      </w:tr>
      <w:tr>
        <w:trPr>
          <w:trHeight w:val="230" w:hRule="atLeast"/>
        </w:trPr>
        <w:tc>
          <w:tcPr>
            <w:tcW w:w="1908" w:type="dxa"/>
          </w:tcPr>
          <w:p>
            <w:pPr>
              <w:pStyle w:val="TableParagraph"/>
              <w:spacing w:line="210" w:lineRule="exact"/>
              <w:ind w:left="36"/>
              <w:rPr>
                <w:sz w:val="20"/>
              </w:rPr>
            </w:pPr>
            <w:r>
              <w:rPr>
                <w:sz w:val="20"/>
              </w:rPr>
              <w:t>Method:</w:t>
            </w:r>
            <w:r>
              <w:rPr>
                <w:spacing w:val="-8"/>
                <w:sz w:val="20"/>
              </w:rPr>
              <w:t> </w:t>
            </w:r>
            <w:r>
              <w:rPr>
                <w:sz w:val="20"/>
              </w:rPr>
              <w:t>Least</w:t>
            </w:r>
            <w:r>
              <w:rPr>
                <w:spacing w:val="-7"/>
                <w:sz w:val="20"/>
              </w:rPr>
              <w:t> </w:t>
            </w:r>
            <w:r>
              <w:rPr>
                <w:spacing w:val="-2"/>
                <w:sz w:val="20"/>
              </w:rPr>
              <w:t>Squares</w:t>
            </w:r>
          </w:p>
        </w:tc>
        <w:tc>
          <w:tcPr>
            <w:tcW w:w="1316" w:type="dxa"/>
          </w:tcPr>
          <w:p>
            <w:pPr>
              <w:pStyle w:val="TableParagraph"/>
              <w:rPr>
                <w:sz w:val="16"/>
              </w:rPr>
            </w:pPr>
          </w:p>
        </w:tc>
        <w:tc>
          <w:tcPr>
            <w:tcW w:w="1434" w:type="dxa"/>
          </w:tcPr>
          <w:p>
            <w:pPr>
              <w:pStyle w:val="TableParagraph"/>
              <w:rPr>
                <w:sz w:val="16"/>
              </w:rPr>
            </w:pPr>
          </w:p>
        </w:tc>
        <w:tc>
          <w:tcPr>
            <w:tcW w:w="906" w:type="dxa"/>
          </w:tcPr>
          <w:p>
            <w:pPr>
              <w:pStyle w:val="TableParagraph"/>
              <w:rPr>
                <w:sz w:val="16"/>
              </w:rPr>
            </w:pPr>
          </w:p>
        </w:tc>
        <w:tc>
          <w:tcPr>
            <w:tcW w:w="931" w:type="dxa"/>
          </w:tcPr>
          <w:p>
            <w:pPr>
              <w:pStyle w:val="TableParagraph"/>
              <w:rPr>
                <w:sz w:val="16"/>
              </w:rPr>
            </w:pPr>
          </w:p>
        </w:tc>
      </w:tr>
      <w:tr>
        <w:trPr>
          <w:trHeight w:val="230" w:hRule="atLeast"/>
        </w:trPr>
        <w:tc>
          <w:tcPr>
            <w:tcW w:w="6495" w:type="dxa"/>
            <w:gridSpan w:val="5"/>
          </w:tcPr>
          <w:p>
            <w:pPr>
              <w:pStyle w:val="TableParagraph"/>
              <w:spacing w:line="210" w:lineRule="exact"/>
              <w:ind w:left="36"/>
              <w:rPr>
                <w:sz w:val="20"/>
              </w:rPr>
            </w:pPr>
            <w:r>
              <w:rPr>
                <w:sz w:val="20"/>
              </w:rPr>
              <w:t>Date:</w:t>
            </w:r>
            <w:r>
              <w:rPr>
                <w:spacing w:val="-5"/>
                <w:sz w:val="20"/>
              </w:rPr>
              <w:t> </w:t>
            </w:r>
            <w:r>
              <w:rPr>
                <w:sz w:val="20"/>
              </w:rPr>
              <w:t>02/18/14</w:t>
            </w:r>
            <w:r>
              <w:rPr>
                <w:spacing w:val="63"/>
                <w:w w:val="150"/>
                <w:sz w:val="20"/>
              </w:rPr>
              <w:t> </w:t>
            </w:r>
            <w:r>
              <w:rPr>
                <w:sz w:val="20"/>
              </w:rPr>
              <w:t>Time:</w:t>
            </w:r>
            <w:r>
              <w:rPr>
                <w:spacing w:val="-3"/>
                <w:sz w:val="20"/>
              </w:rPr>
              <w:t> </w:t>
            </w:r>
            <w:r>
              <w:rPr>
                <w:spacing w:val="-2"/>
                <w:sz w:val="20"/>
              </w:rPr>
              <w:t>13:30</w:t>
            </w:r>
          </w:p>
        </w:tc>
      </w:tr>
      <w:tr>
        <w:trPr>
          <w:trHeight w:val="230" w:hRule="atLeast"/>
        </w:trPr>
        <w:tc>
          <w:tcPr>
            <w:tcW w:w="6495" w:type="dxa"/>
            <w:gridSpan w:val="5"/>
          </w:tcPr>
          <w:p>
            <w:pPr>
              <w:pStyle w:val="TableParagraph"/>
              <w:spacing w:line="210" w:lineRule="exact"/>
              <w:ind w:left="36"/>
              <w:rPr>
                <w:sz w:val="20"/>
              </w:rPr>
            </w:pPr>
            <w:r>
              <w:rPr>
                <w:sz w:val="20"/>
              </w:rPr>
              <w:t>Sample(adjusted):</w:t>
            </w:r>
            <w:r>
              <w:rPr>
                <w:spacing w:val="-9"/>
                <w:sz w:val="20"/>
              </w:rPr>
              <w:t> </w:t>
            </w:r>
            <w:r>
              <w:rPr>
                <w:sz w:val="20"/>
              </w:rPr>
              <w:t>1973</w:t>
            </w:r>
            <w:r>
              <w:rPr>
                <w:spacing w:val="-9"/>
                <w:sz w:val="20"/>
              </w:rPr>
              <w:t> </w:t>
            </w:r>
            <w:r>
              <w:rPr>
                <w:spacing w:val="-4"/>
                <w:sz w:val="20"/>
              </w:rPr>
              <w:t>2011</w:t>
            </w:r>
          </w:p>
        </w:tc>
      </w:tr>
      <w:tr>
        <w:trPr>
          <w:trHeight w:val="224" w:hRule="atLeast"/>
        </w:trPr>
        <w:tc>
          <w:tcPr>
            <w:tcW w:w="6495" w:type="dxa"/>
            <w:gridSpan w:val="5"/>
            <w:tcBorders>
              <w:bottom w:val="double" w:sz="6" w:space="0" w:color="000000"/>
            </w:tcBorders>
          </w:tcPr>
          <w:p>
            <w:pPr>
              <w:pStyle w:val="TableParagraph"/>
              <w:spacing w:line="205" w:lineRule="exact"/>
              <w:ind w:left="36"/>
              <w:rPr>
                <w:sz w:val="20"/>
              </w:rPr>
            </w:pPr>
            <w:r>
              <w:rPr>
                <w:sz w:val="20"/>
              </w:rPr>
              <w:t>Included</w:t>
            </w:r>
            <w:r>
              <w:rPr>
                <w:spacing w:val="-6"/>
                <w:sz w:val="20"/>
              </w:rPr>
              <w:t> </w:t>
            </w:r>
            <w:r>
              <w:rPr>
                <w:sz w:val="20"/>
              </w:rPr>
              <w:t>observations:</w:t>
            </w:r>
            <w:r>
              <w:rPr>
                <w:spacing w:val="-8"/>
                <w:sz w:val="20"/>
              </w:rPr>
              <w:t> </w:t>
            </w:r>
            <w:r>
              <w:rPr>
                <w:sz w:val="20"/>
              </w:rPr>
              <w:t>39</w:t>
            </w:r>
            <w:r>
              <w:rPr>
                <w:spacing w:val="-5"/>
                <w:sz w:val="20"/>
              </w:rPr>
              <w:t> </w:t>
            </w:r>
            <w:r>
              <w:rPr>
                <w:sz w:val="20"/>
              </w:rPr>
              <w:t>after</w:t>
            </w:r>
            <w:r>
              <w:rPr>
                <w:spacing w:val="-7"/>
                <w:sz w:val="20"/>
              </w:rPr>
              <w:t> </w:t>
            </w:r>
            <w:r>
              <w:rPr>
                <w:sz w:val="20"/>
              </w:rPr>
              <w:t>adjusting</w:t>
            </w:r>
            <w:r>
              <w:rPr>
                <w:spacing w:val="-7"/>
                <w:sz w:val="20"/>
              </w:rPr>
              <w:t> </w:t>
            </w:r>
            <w:r>
              <w:rPr>
                <w:spacing w:val="-2"/>
                <w:sz w:val="20"/>
              </w:rPr>
              <w:t>endpoints</w:t>
            </w:r>
          </w:p>
        </w:tc>
      </w:tr>
      <w:tr>
        <w:trPr>
          <w:trHeight w:val="269" w:hRule="atLeast"/>
        </w:trPr>
        <w:tc>
          <w:tcPr>
            <w:tcW w:w="1908" w:type="dxa"/>
            <w:tcBorders>
              <w:top w:val="double" w:sz="6" w:space="0" w:color="000000"/>
              <w:bottom w:val="double" w:sz="6" w:space="0" w:color="000000"/>
            </w:tcBorders>
          </w:tcPr>
          <w:p>
            <w:pPr>
              <w:pStyle w:val="TableParagraph"/>
              <w:spacing w:line="209" w:lineRule="exact" w:before="40"/>
              <w:ind w:left="727"/>
              <w:rPr>
                <w:sz w:val="20"/>
              </w:rPr>
            </w:pPr>
            <w:r>
              <w:rPr>
                <w:spacing w:val="-2"/>
                <w:sz w:val="20"/>
              </w:rPr>
              <w:t>Variable</w:t>
            </w:r>
          </w:p>
        </w:tc>
        <w:tc>
          <w:tcPr>
            <w:tcW w:w="1316" w:type="dxa"/>
            <w:tcBorders>
              <w:top w:val="double" w:sz="6" w:space="0" w:color="000000"/>
              <w:bottom w:val="double" w:sz="6" w:space="0" w:color="000000"/>
            </w:tcBorders>
          </w:tcPr>
          <w:p>
            <w:pPr>
              <w:pStyle w:val="TableParagraph"/>
              <w:spacing w:line="209" w:lineRule="exact" w:before="40"/>
              <w:ind w:right="133"/>
              <w:jc w:val="right"/>
              <w:rPr>
                <w:sz w:val="20"/>
              </w:rPr>
            </w:pPr>
            <w:r>
              <w:rPr>
                <w:spacing w:val="-2"/>
                <w:sz w:val="20"/>
              </w:rPr>
              <w:t>Coefficient</w:t>
            </w:r>
          </w:p>
        </w:tc>
        <w:tc>
          <w:tcPr>
            <w:tcW w:w="1434" w:type="dxa"/>
            <w:tcBorders>
              <w:top w:val="double" w:sz="6" w:space="0" w:color="000000"/>
              <w:bottom w:val="double" w:sz="6" w:space="0" w:color="000000"/>
            </w:tcBorders>
          </w:tcPr>
          <w:p>
            <w:pPr>
              <w:pStyle w:val="TableParagraph"/>
              <w:spacing w:line="209" w:lineRule="exact" w:before="40"/>
              <w:ind w:left="271"/>
              <w:rPr>
                <w:sz w:val="20"/>
              </w:rPr>
            </w:pPr>
            <w:r>
              <w:rPr>
                <w:sz w:val="20"/>
              </w:rPr>
              <w:t>Std.</w:t>
            </w:r>
            <w:r>
              <w:rPr>
                <w:spacing w:val="-4"/>
                <w:sz w:val="20"/>
              </w:rPr>
              <w:t> </w:t>
            </w:r>
            <w:r>
              <w:rPr>
                <w:spacing w:val="-2"/>
                <w:sz w:val="20"/>
              </w:rPr>
              <w:t>Error</w:t>
            </w:r>
          </w:p>
        </w:tc>
        <w:tc>
          <w:tcPr>
            <w:tcW w:w="906" w:type="dxa"/>
            <w:tcBorders>
              <w:top w:val="double" w:sz="6" w:space="0" w:color="000000"/>
              <w:bottom w:val="double" w:sz="6" w:space="0" w:color="000000"/>
            </w:tcBorders>
          </w:tcPr>
          <w:p>
            <w:pPr>
              <w:pStyle w:val="TableParagraph"/>
              <w:spacing w:line="209" w:lineRule="exact" w:before="40"/>
              <w:ind w:right="32"/>
              <w:jc w:val="center"/>
              <w:rPr>
                <w:sz w:val="20"/>
              </w:rPr>
            </w:pPr>
            <w:r>
              <w:rPr>
                <w:spacing w:val="-4"/>
                <w:sz w:val="20"/>
              </w:rPr>
              <w:t>t-</w:t>
            </w:r>
            <w:r>
              <w:rPr>
                <w:spacing w:val="-2"/>
                <w:sz w:val="20"/>
              </w:rPr>
              <w:t>Statistic</w:t>
            </w:r>
          </w:p>
        </w:tc>
        <w:tc>
          <w:tcPr>
            <w:tcW w:w="931" w:type="dxa"/>
            <w:tcBorders>
              <w:top w:val="double" w:sz="6" w:space="0" w:color="000000"/>
              <w:bottom w:val="double" w:sz="6" w:space="0" w:color="000000"/>
            </w:tcBorders>
          </w:tcPr>
          <w:p>
            <w:pPr>
              <w:pStyle w:val="TableParagraph"/>
              <w:spacing w:line="209" w:lineRule="exact" w:before="40"/>
              <w:ind w:right="36"/>
              <w:jc w:val="right"/>
              <w:rPr>
                <w:sz w:val="20"/>
              </w:rPr>
            </w:pPr>
            <w:r>
              <w:rPr>
                <w:spacing w:val="-2"/>
                <w:sz w:val="20"/>
              </w:rPr>
              <w:t>Prob.</w:t>
            </w:r>
          </w:p>
        </w:tc>
      </w:tr>
      <w:tr>
        <w:trPr>
          <w:trHeight w:val="275" w:hRule="atLeast"/>
        </w:trPr>
        <w:tc>
          <w:tcPr>
            <w:tcW w:w="1908" w:type="dxa"/>
            <w:tcBorders>
              <w:top w:val="double" w:sz="6" w:space="0" w:color="000000"/>
            </w:tcBorders>
          </w:tcPr>
          <w:p>
            <w:pPr>
              <w:pStyle w:val="TableParagraph"/>
              <w:spacing w:line="215" w:lineRule="exact" w:before="40"/>
              <w:ind w:left="566"/>
              <w:rPr>
                <w:sz w:val="20"/>
              </w:rPr>
            </w:pPr>
            <w:r>
              <w:rPr>
                <w:spacing w:val="-2"/>
                <w:sz w:val="20"/>
              </w:rPr>
              <w:t>D(KFM(-</w:t>
            </w:r>
            <w:r>
              <w:rPr>
                <w:spacing w:val="-5"/>
                <w:sz w:val="20"/>
              </w:rPr>
              <w:t>1))</w:t>
            </w:r>
          </w:p>
        </w:tc>
        <w:tc>
          <w:tcPr>
            <w:tcW w:w="1316" w:type="dxa"/>
            <w:tcBorders>
              <w:top w:val="double" w:sz="6" w:space="0" w:color="000000"/>
            </w:tcBorders>
          </w:tcPr>
          <w:p>
            <w:pPr>
              <w:pStyle w:val="TableParagraph"/>
              <w:spacing w:line="215" w:lineRule="exact" w:before="40"/>
              <w:ind w:right="130"/>
              <w:jc w:val="right"/>
              <w:rPr>
                <w:sz w:val="20"/>
              </w:rPr>
            </w:pPr>
            <w:r>
              <w:rPr>
                <w:spacing w:val="-4"/>
                <w:sz w:val="20"/>
              </w:rPr>
              <w:t>-</w:t>
            </w:r>
            <w:r>
              <w:rPr>
                <w:spacing w:val="-2"/>
                <w:sz w:val="20"/>
              </w:rPr>
              <w:t>1.982445</w:t>
            </w:r>
          </w:p>
        </w:tc>
        <w:tc>
          <w:tcPr>
            <w:tcW w:w="1434" w:type="dxa"/>
            <w:tcBorders>
              <w:top w:val="double" w:sz="6" w:space="0" w:color="000000"/>
            </w:tcBorders>
          </w:tcPr>
          <w:p>
            <w:pPr>
              <w:pStyle w:val="TableParagraph"/>
              <w:spacing w:line="215" w:lineRule="exact" w:before="40"/>
              <w:ind w:left="309"/>
              <w:rPr>
                <w:sz w:val="20"/>
              </w:rPr>
            </w:pPr>
            <w:r>
              <w:rPr>
                <w:spacing w:val="-2"/>
                <w:sz w:val="20"/>
              </w:rPr>
              <w:t>0.273652</w:t>
            </w:r>
          </w:p>
        </w:tc>
        <w:tc>
          <w:tcPr>
            <w:tcW w:w="906" w:type="dxa"/>
            <w:tcBorders>
              <w:top w:val="double" w:sz="6" w:space="0" w:color="000000"/>
            </w:tcBorders>
          </w:tcPr>
          <w:p>
            <w:pPr>
              <w:pStyle w:val="TableParagraph"/>
              <w:spacing w:line="215" w:lineRule="exact" w:before="40"/>
              <w:ind w:right="80"/>
              <w:jc w:val="center"/>
              <w:rPr>
                <w:sz w:val="20"/>
              </w:rPr>
            </w:pPr>
            <w:r>
              <w:rPr>
                <w:spacing w:val="-4"/>
                <w:sz w:val="20"/>
              </w:rPr>
              <w:t>-</w:t>
            </w:r>
            <w:r>
              <w:rPr>
                <w:spacing w:val="-2"/>
                <w:sz w:val="20"/>
              </w:rPr>
              <w:t>7.244402</w:t>
            </w:r>
          </w:p>
        </w:tc>
        <w:tc>
          <w:tcPr>
            <w:tcW w:w="931" w:type="dxa"/>
            <w:tcBorders>
              <w:top w:val="double" w:sz="6" w:space="0" w:color="000000"/>
            </w:tcBorders>
          </w:tcPr>
          <w:p>
            <w:pPr>
              <w:pStyle w:val="TableParagraph"/>
              <w:spacing w:line="215" w:lineRule="exact" w:before="40"/>
              <w:ind w:right="35"/>
              <w:jc w:val="right"/>
              <w:rPr>
                <w:sz w:val="20"/>
              </w:rPr>
            </w:pPr>
            <w:r>
              <w:rPr>
                <w:spacing w:val="-2"/>
                <w:sz w:val="20"/>
              </w:rPr>
              <w:t>0.0000</w:t>
            </w:r>
          </w:p>
        </w:tc>
      </w:tr>
      <w:tr>
        <w:trPr>
          <w:trHeight w:val="230" w:hRule="atLeast"/>
        </w:trPr>
        <w:tc>
          <w:tcPr>
            <w:tcW w:w="1908" w:type="dxa"/>
          </w:tcPr>
          <w:p>
            <w:pPr>
              <w:pStyle w:val="TableParagraph"/>
              <w:spacing w:line="210" w:lineRule="exact"/>
              <w:ind w:left="490"/>
              <w:rPr>
                <w:sz w:val="20"/>
              </w:rPr>
            </w:pPr>
            <w:r>
              <w:rPr>
                <w:spacing w:val="-2"/>
                <w:sz w:val="20"/>
              </w:rPr>
              <w:t>D(KFM(-1),2)</w:t>
            </w:r>
          </w:p>
        </w:tc>
        <w:tc>
          <w:tcPr>
            <w:tcW w:w="1316" w:type="dxa"/>
          </w:tcPr>
          <w:p>
            <w:pPr>
              <w:pStyle w:val="TableParagraph"/>
              <w:spacing w:line="210" w:lineRule="exact"/>
              <w:ind w:right="130"/>
              <w:jc w:val="right"/>
              <w:rPr>
                <w:sz w:val="20"/>
              </w:rPr>
            </w:pPr>
            <w:r>
              <w:rPr>
                <w:spacing w:val="-2"/>
                <w:sz w:val="20"/>
              </w:rPr>
              <w:t>0.396060</w:t>
            </w:r>
          </w:p>
        </w:tc>
        <w:tc>
          <w:tcPr>
            <w:tcW w:w="1434" w:type="dxa"/>
          </w:tcPr>
          <w:p>
            <w:pPr>
              <w:pStyle w:val="TableParagraph"/>
              <w:spacing w:line="210" w:lineRule="exact"/>
              <w:ind w:left="309"/>
              <w:rPr>
                <w:sz w:val="20"/>
              </w:rPr>
            </w:pPr>
            <w:r>
              <w:rPr>
                <w:spacing w:val="-2"/>
                <w:sz w:val="20"/>
              </w:rPr>
              <w:t>0.165435</w:t>
            </w:r>
          </w:p>
        </w:tc>
        <w:tc>
          <w:tcPr>
            <w:tcW w:w="906" w:type="dxa"/>
          </w:tcPr>
          <w:p>
            <w:pPr>
              <w:pStyle w:val="TableParagraph"/>
              <w:spacing w:line="210" w:lineRule="exact"/>
              <w:ind w:right="15"/>
              <w:jc w:val="center"/>
              <w:rPr>
                <w:sz w:val="20"/>
              </w:rPr>
            </w:pPr>
            <w:r>
              <w:rPr>
                <w:spacing w:val="-2"/>
                <w:sz w:val="20"/>
              </w:rPr>
              <w:t>2.394051</w:t>
            </w:r>
          </w:p>
        </w:tc>
        <w:tc>
          <w:tcPr>
            <w:tcW w:w="931" w:type="dxa"/>
          </w:tcPr>
          <w:p>
            <w:pPr>
              <w:pStyle w:val="TableParagraph"/>
              <w:spacing w:line="210" w:lineRule="exact"/>
              <w:ind w:right="35"/>
              <w:jc w:val="right"/>
              <w:rPr>
                <w:sz w:val="20"/>
              </w:rPr>
            </w:pPr>
            <w:r>
              <w:rPr>
                <w:spacing w:val="-2"/>
                <w:sz w:val="20"/>
              </w:rPr>
              <w:t>0.0220</w:t>
            </w:r>
          </w:p>
        </w:tc>
      </w:tr>
      <w:tr>
        <w:trPr>
          <w:trHeight w:val="224" w:hRule="atLeast"/>
        </w:trPr>
        <w:tc>
          <w:tcPr>
            <w:tcW w:w="1908" w:type="dxa"/>
            <w:tcBorders>
              <w:bottom w:val="double" w:sz="6" w:space="0" w:color="000000"/>
            </w:tcBorders>
          </w:tcPr>
          <w:p>
            <w:pPr>
              <w:pStyle w:val="TableParagraph"/>
              <w:spacing w:line="205" w:lineRule="exact"/>
              <w:ind w:left="232"/>
              <w:jc w:val="center"/>
              <w:rPr>
                <w:sz w:val="20"/>
              </w:rPr>
            </w:pPr>
            <w:r>
              <w:rPr>
                <w:spacing w:val="-10"/>
                <w:sz w:val="20"/>
              </w:rPr>
              <w:t>C</w:t>
            </w:r>
          </w:p>
        </w:tc>
        <w:tc>
          <w:tcPr>
            <w:tcW w:w="1316" w:type="dxa"/>
            <w:tcBorders>
              <w:bottom w:val="double" w:sz="6" w:space="0" w:color="000000"/>
            </w:tcBorders>
          </w:tcPr>
          <w:p>
            <w:pPr>
              <w:pStyle w:val="TableParagraph"/>
              <w:spacing w:line="205" w:lineRule="exact"/>
              <w:ind w:right="130"/>
              <w:jc w:val="right"/>
              <w:rPr>
                <w:sz w:val="20"/>
              </w:rPr>
            </w:pPr>
            <w:r>
              <w:rPr>
                <w:spacing w:val="-2"/>
                <w:sz w:val="20"/>
              </w:rPr>
              <w:t>0.417101</w:t>
            </w:r>
          </w:p>
        </w:tc>
        <w:tc>
          <w:tcPr>
            <w:tcW w:w="1434" w:type="dxa"/>
            <w:tcBorders>
              <w:bottom w:val="double" w:sz="6" w:space="0" w:color="000000"/>
            </w:tcBorders>
          </w:tcPr>
          <w:p>
            <w:pPr>
              <w:pStyle w:val="TableParagraph"/>
              <w:spacing w:line="205" w:lineRule="exact"/>
              <w:ind w:left="309"/>
              <w:rPr>
                <w:sz w:val="20"/>
              </w:rPr>
            </w:pPr>
            <w:r>
              <w:rPr>
                <w:spacing w:val="-2"/>
                <w:sz w:val="20"/>
              </w:rPr>
              <w:t>0.214262</w:t>
            </w:r>
          </w:p>
        </w:tc>
        <w:tc>
          <w:tcPr>
            <w:tcW w:w="906" w:type="dxa"/>
            <w:tcBorders>
              <w:bottom w:val="double" w:sz="6" w:space="0" w:color="000000"/>
            </w:tcBorders>
          </w:tcPr>
          <w:p>
            <w:pPr>
              <w:pStyle w:val="TableParagraph"/>
              <w:spacing w:line="205" w:lineRule="exact"/>
              <w:ind w:right="15"/>
              <w:jc w:val="center"/>
              <w:rPr>
                <w:sz w:val="20"/>
              </w:rPr>
            </w:pPr>
            <w:r>
              <w:rPr>
                <w:spacing w:val="-2"/>
                <w:sz w:val="20"/>
              </w:rPr>
              <w:t>1.946682</w:t>
            </w:r>
          </w:p>
        </w:tc>
        <w:tc>
          <w:tcPr>
            <w:tcW w:w="931" w:type="dxa"/>
            <w:tcBorders>
              <w:bottom w:val="double" w:sz="6" w:space="0" w:color="000000"/>
            </w:tcBorders>
          </w:tcPr>
          <w:p>
            <w:pPr>
              <w:pStyle w:val="TableParagraph"/>
              <w:spacing w:line="205" w:lineRule="exact"/>
              <w:ind w:right="35"/>
              <w:jc w:val="right"/>
              <w:rPr>
                <w:sz w:val="20"/>
              </w:rPr>
            </w:pPr>
            <w:r>
              <w:rPr>
                <w:spacing w:val="-2"/>
                <w:sz w:val="20"/>
              </w:rPr>
              <w:t>0.0594</w:t>
            </w:r>
          </w:p>
        </w:tc>
      </w:tr>
      <w:tr>
        <w:trPr>
          <w:trHeight w:val="275" w:hRule="atLeast"/>
        </w:trPr>
        <w:tc>
          <w:tcPr>
            <w:tcW w:w="1908" w:type="dxa"/>
            <w:tcBorders>
              <w:top w:val="double" w:sz="6" w:space="0" w:color="000000"/>
            </w:tcBorders>
          </w:tcPr>
          <w:p>
            <w:pPr>
              <w:pStyle w:val="TableParagraph"/>
              <w:spacing w:line="215" w:lineRule="exact" w:before="40"/>
              <w:ind w:left="36"/>
              <w:rPr>
                <w:sz w:val="20"/>
              </w:rPr>
            </w:pPr>
            <w:r>
              <w:rPr>
                <w:spacing w:val="-2"/>
                <w:sz w:val="20"/>
              </w:rPr>
              <w:t>R-squared</w:t>
            </w:r>
          </w:p>
        </w:tc>
        <w:tc>
          <w:tcPr>
            <w:tcW w:w="1316" w:type="dxa"/>
            <w:tcBorders>
              <w:top w:val="double" w:sz="6" w:space="0" w:color="000000"/>
            </w:tcBorders>
          </w:tcPr>
          <w:p>
            <w:pPr>
              <w:pStyle w:val="TableParagraph"/>
              <w:spacing w:line="215" w:lineRule="exact" w:before="40"/>
              <w:ind w:right="130"/>
              <w:jc w:val="right"/>
              <w:rPr>
                <w:sz w:val="20"/>
              </w:rPr>
            </w:pPr>
            <w:r>
              <w:rPr>
                <w:spacing w:val="-2"/>
                <w:sz w:val="20"/>
              </w:rPr>
              <w:t>0.749930</w:t>
            </w:r>
          </w:p>
        </w:tc>
        <w:tc>
          <w:tcPr>
            <w:tcW w:w="2340" w:type="dxa"/>
            <w:gridSpan w:val="2"/>
            <w:tcBorders>
              <w:top w:val="double" w:sz="6" w:space="0" w:color="000000"/>
            </w:tcBorders>
          </w:tcPr>
          <w:p>
            <w:pPr>
              <w:pStyle w:val="TableParagraph"/>
              <w:spacing w:line="215" w:lineRule="exact" w:before="40"/>
              <w:ind w:left="129"/>
              <w:rPr>
                <w:sz w:val="20"/>
              </w:rPr>
            </w:pPr>
            <w:r>
              <w:rPr>
                <w:sz w:val="20"/>
              </w:rPr>
              <w:t>Mean</w:t>
            </w:r>
            <w:r>
              <w:rPr>
                <w:spacing w:val="-7"/>
                <w:sz w:val="20"/>
              </w:rPr>
              <w:t> </w:t>
            </w:r>
            <w:r>
              <w:rPr>
                <w:sz w:val="20"/>
              </w:rPr>
              <w:t>dependent</w:t>
            </w:r>
            <w:r>
              <w:rPr>
                <w:spacing w:val="-7"/>
                <w:sz w:val="20"/>
              </w:rPr>
              <w:t> </w:t>
            </w:r>
            <w:r>
              <w:rPr>
                <w:spacing w:val="-5"/>
                <w:sz w:val="20"/>
              </w:rPr>
              <w:t>var</w:t>
            </w:r>
          </w:p>
        </w:tc>
        <w:tc>
          <w:tcPr>
            <w:tcW w:w="931" w:type="dxa"/>
            <w:tcBorders>
              <w:top w:val="double" w:sz="6" w:space="0" w:color="000000"/>
            </w:tcBorders>
          </w:tcPr>
          <w:p>
            <w:pPr>
              <w:pStyle w:val="TableParagraph"/>
              <w:spacing w:line="215" w:lineRule="exact" w:before="40"/>
              <w:ind w:right="35"/>
              <w:jc w:val="right"/>
              <w:rPr>
                <w:sz w:val="20"/>
              </w:rPr>
            </w:pPr>
            <w:r>
              <w:rPr>
                <w:spacing w:val="-4"/>
                <w:sz w:val="20"/>
              </w:rPr>
              <w:t>-</w:t>
            </w:r>
            <w:r>
              <w:rPr>
                <w:spacing w:val="-2"/>
                <w:sz w:val="20"/>
              </w:rPr>
              <w:t>0.002338</w:t>
            </w:r>
          </w:p>
        </w:tc>
      </w:tr>
      <w:tr>
        <w:trPr>
          <w:trHeight w:val="230" w:hRule="atLeast"/>
        </w:trPr>
        <w:tc>
          <w:tcPr>
            <w:tcW w:w="1908" w:type="dxa"/>
          </w:tcPr>
          <w:p>
            <w:pPr>
              <w:pStyle w:val="TableParagraph"/>
              <w:spacing w:line="211" w:lineRule="exact"/>
              <w:ind w:left="36"/>
              <w:rPr>
                <w:sz w:val="20"/>
              </w:rPr>
            </w:pPr>
            <w:r>
              <w:rPr>
                <w:sz w:val="20"/>
              </w:rPr>
              <w:t>Adjusted</w:t>
            </w:r>
            <w:r>
              <w:rPr>
                <w:spacing w:val="-10"/>
                <w:sz w:val="20"/>
              </w:rPr>
              <w:t> </w:t>
            </w:r>
            <w:r>
              <w:rPr>
                <w:sz w:val="20"/>
              </w:rPr>
              <w:t>R-</w:t>
            </w:r>
            <w:r>
              <w:rPr>
                <w:spacing w:val="-2"/>
                <w:sz w:val="20"/>
              </w:rPr>
              <w:t>squared</w:t>
            </w:r>
          </w:p>
        </w:tc>
        <w:tc>
          <w:tcPr>
            <w:tcW w:w="1316" w:type="dxa"/>
          </w:tcPr>
          <w:p>
            <w:pPr>
              <w:pStyle w:val="TableParagraph"/>
              <w:spacing w:line="211" w:lineRule="exact"/>
              <w:ind w:right="130"/>
              <w:jc w:val="right"/>
              <w:rPr>
                <w:sz w:val="20"/>
              </w:rPr>
            </w:pPr>
            <w:r>
              <w:rPr>
                <w:spacing w:val="-2"/>
                <w:sz w:val="20"/>
              </w:rPr>
              <w:t>0.736038</w:t>
            </w:r>
          </w:p>
        </w:tc>
        <w:tc>
          <w:tcPr>
            <w:tcW w:w="2340" w:type="dxa"/>
            <w:gridSpan w:val="2"/>
          </w:tcPr>
          <w:p>
            <w:pPr>
              <w:pStyle w:val="TableParagraph"/>
              <w:spacing w:line="211" w:lineRule="exact"/>
              <w:ind w:left="129"/>
              <w:rPr>
                <w:sz w:val="20"/>
              </w:rPr>
            </w:pPr>
            <w:r>
              <w:rPr>
                <w:sz w:val="20"/>
              </w:rPr>
              <w:t>S.D.</w:t>
            </w:r>
            <w:r>
              <w:rPr>
                <w:spacing w:val="-5"/>
                <w:sz w:val="20"/>
              </w:rPr>
              <w:t> </w:t>
            </w:r>
            <w:r>
              <w:rPr>
                <w:sz w:val="20"/>
              </w:rPr>
              <w:t>dependent</w:t>
            </w:r>
            <w:r>
              <w:rPr>
                <w:spacing w:val="-6"/>
                <w:sz w:val="20"/>
              </w:rPr>
              <w:t> </w:t>
            </w:r>
            <w:r>
              <w:rPr>
                <w:spacing w:val="-5"/>
                <w:sz w:val="20"/>
              </w:rPr>
              <w:t>var</w:t>
            </w:r>
          </w:p>
        </w:tc>
        <w:tc>
          <w:tcPr>
            <w:tcW w:w="931" w:type="dxa"/>
          </w:tcPr>
          <w:p>
            <w:pPr>
              <w:pStyle w:val="TableParagraph"/>
              <w:spacing w:line="211" w:lineRule="exact"/>
              <w:ind w:right="35"/>
              <w:jc w:val="right"/>
              <w:rPr>
                <w:sz w:val="20"/>
              </w:rPr>
            </w:pPr>
            <w:r>
              <w:rPr>
                <w:spacing w:val="-2"/>
                <w:sz w:val="20"/>
              </w:rPr>
              <w:t>2.526219</w:t>
            </w:r>
          </w:p>
        </w:tc>
      </w:tr>
      <w:tr>
        <w:trPr>
          <w:trHeight w:val="230" w:hRule="atLeast"/>
        </w:trPr>
        <w:tc>
          <w:tcPr>
            <w:tcW w:w="1908" w:type="dxa"/>
          </w:tcPr>
          <w:p>
            <w:pPr>
              <w:pStyle w:val="TableParagraph"/>
              <w:spacing w:line="210" w:lineRule="exact"/>
              <w:ind w:left="36"/>
              <w:rPr>
                <w:sz w:val="20"/>
              </w:rPr>
            </w:pPr>
            <w:r>
              <w:rPr>
                <w:sz w:val="20"/>
              </w:rPr>
              <w:t>S.E.</w:t>
            </w:r>
            <w:r>
              <w:rPr>
                <w:spacing w:val="-3"/>
                <w:sz w:val="20"/>
              </w:rPr>
              <w:t> </w:t>
            </w:r>
            <w:r>
              <w:rPr>
                <w:sz w:val="20"/>
              </w:rPr>
              <w:t>of</w:t>
            </w:r>
            <w:r>
              <w:rPr>
                <w:spacing w:val="-3"/>
                <w:sz w:val="20"/>
              </w:rPr>
              <w:t> </w:t>
            </w:r>
            <w:r>
              <w:rPr>
                <w:spacing w:val="-2"/>
                <w:sz w:val="20"/>
              </w:rPr>
              <w:t>regression</w:t>
            </w:r>
          </w:p>
        </w:tc>
        <w:tc>
          <w:tcPr>
            <w:tcW w:w="1316" w:type="dxa"/>
          </w:tcPr>
          <w:p>
            <w:pPr>
              <w:pStyle w:val="TableParagraph"/>
              <w:spacing w:line="210" w:lineRule="exact"/>
              <w:ind w:right="130"/>
              <w:jc w:val="right"/>
              <w:rPr>
                <w:sz w:val="20"/>
              </w:rPr>
            </w:pPr>
            <w:r>
              <w:rPr>
                <w:spacing w:val="-2"/>
                <w:sz w:val="20"/>
              </w:rPr>
              <w:t>1.297902</w:t>
            </w:r>
          </w:p>
        </w:tc>
        <w:tc>
          <w:tcPr>
            <w:tcW w:w="2340" w:type="dxa"/>
            <w:gridSpan w:val="2"/>
          </w:tcPr>
          <w:p>
            <w:pPr>
              <w:pStyle w:val="TableParagraph"/>
              <w:spacing w:line="210" w:lineRule="exact"/>
              <w:ind w:left="129"/>
              <w:rPr>
                <w:sz w:val="20"/>
              </w:rPr>
            </w:pPr>
            <w:r>
              <w:rPr>
                <w:sz w:val="20"/>
              </w:rPr>
              <w:t>Akaike</w:t>
            </w:r>
            <w:r>
              <w:rPr>
                <w:spacing w:val="-8"/>
                <w:sz w:val="20"/>
              </w:rPr>
              <w:t> </w:t>
            </w:r>
            <w:r>
              <w:rPr>
                <w:sz w:val="20"/>
              </w:rPr>
              <w:t>info</w:t>
            </w:r>
            <w:r>
              <w:rPr>
                <w:spacing w:val="-7"/>
                <w:sz w:val="20"/>
              </w:rPr>
              <w:t> </w:t>
            </w:r>
            <w:r>
              <w:rPr>
                <w:spacing w:val="-2"/>
                <w:sz w:val="20"/>
              </w:rPr>
              <w:t>criterion</w:t>
            </w:r>
          </w:p>
        </w:tc>
        <w:tc>
          <w:tcPr>
            <w:tcW w:w="931" w:type="dxa"/>
          </w:tcPr>
          <w:p>
            <w:pPr>
              <w:pStyle w:val="TableParagraph"/>
              <w:spacing w:line="210" w:lineRule="exact"/>
              <w:ind w:right="35"/>
              <w:jc w:val="right"/>
              <w:rPr>
                <w:sz w:val="20"/>
              </w:rPr>
            </w:pPr>
            <w:r>
              <w:rPr>
                <w:spacing w:val="-2"/>
                <w:sz w:val="20"/>
              </w:rPr>
              <w:t>3.433179</w:t>
            </w:r>
          </w:p>
        </w:tc>
      </w:tr>
      <w:tr>
        <w:trPr>
          <w:trHeight w:val="229" w:hRule="atLeast"/>
        </w:trPr>
        <w:tc>
          <w:tcPr>
            <w:tcW w:w="1908" w:type="dxa"/>
          </w:tcPr>
          <w:p>
            <w:pPr>
              <w:pStyle w:val="TableParagraph"/>
              <w:spacing w:line="209" w:lineRule="exact"/>
              <w:ind w:left="36"/>
              <w:rPr>
                <w:sz w:val="20"/>
              </w:rPr>
            </w:pPr>
            <w:r>
              <w:rPr>
                <w:sz w:val="20"/>
              </w:rPr>
              <w:t>Sum</w:t>
            </w:r>
            <w:r>
              <w:rPr>
                <w:spacing w:val="-8"/>
                <w:sz w:val="20"/>
              </w:rPr>
              <w:t> </w:t>
            </w:r>
            <w:r>
              <w:rPr>
                <w:sz w:val="20"/>
              </w:rPr>
              <w:t>squared</w:t>
            </w:r>
            <w:r>
              <w:rPr>
                <w:spacing w:val="-4"/>
                <w:sz w:val="20"/>
              </w:rPr>
              <w:t> </w:t>
            </w:r>
            <w:r>
              <w:rPr>
                <w:spacing w:val="-2"/>
                <w:sz w:val="20"/>
              </w:rPr>
              <w:t>resid</w:t>
            </w:r>
          </w:p>
        </w:tc>
        <w:tc>
          <w:tcPr>
            <w:tcW w:w="1316" w:type="dxa"/>
          </w:tcPr>
          <w:p>
            <w:pPr>
              <w:pStyle w:val="TableParagraph"/>
              <w:spacing w:line="209" w:lineRule="exact"/>
              <w:ind w:right="130"/>
              <w:jc w:val="right"/>
              <w:rPr>
                <w:sz w:val="20"/>
              </w:rPr>
            </w:pPr>
            <w:r>
              <w:rPr>
                <w:spacing w:val="-2"/>
                <w:sz w:val="20"/>
              </w:rPr>
              <w:t>60.64383</w:t>
            </w:r>
          </w:p>
        </w:tc>
        <w:tc>
          <w:tcPr>
            <w:tcW w:w="2340" w:type="dxa"/>
            <w:gridSpan w:val="2"/>
          </w:tcPr>
          <w:p>
            <w:pPr>
              <w:pStyle w:val="TableParagraph"/>
              <w:spacing w:line="209" w:lineRule="exact"/>
              <w:ind w:left="129"/>
              <w:rPr>
                <w:sz w:val="20"/>
              </w:rPr>
            </w:pPr>
            <w:r>
              <w:rPr>
                <w:sz w:val="20"/>
              </w:rPr>
              <w:t>Schwarz</w:t>
            </w:r>
            <w:r>
              <w:rPr>
                <w:spacing w:val="-8"/>
                <w:sz w:val="20"/>
              </w:rPr>
              <w:t> </w:t>
            </w:r>
            <w:r>
              <w:rPr>
                <w:spacing w:val="-2"/>
                <w:sz w:val="20"/>
              </w:rPr>
              <w:t>criterion</w:t>
            </w:r>
          </w:p>
        </w:tc>
        <w:tc>
          <w:tcPr>
            <w:tcW w:w="931" w:type="dxa"/>
          </w:tcPr>
          <w:p>
            <w:pPr>
              <w:pStyle w:val="TableParagraph"/>
              <w:spacing w:line="209" w:lineRule="exact"/>
              <w:ind w:right="35"/>
              <w:jc w:val="right"/>
              <w:rPr>
                <w:sz w:val="20"/>
              </w:rPr>
            </w:pPr>
            <w:r>
              <w:rPr>
                <w:spacing w:val="-2"/>
                <w:sz w:val="20"/>
              </w:rPr>
              <w:t>3.561146</w:t>
            </w:r>
          </w:p>
        </w:tc>
      </w:tr>
      <w:tr>
        <w:trPr>
          <w:trHeight w:val="229" w:hRule="atLeast"/>
        </w:trPr>
        <w:tc>
          <w:tcPr>
            <w:tcW w:w="1908" w:type="dxa"/>
          </w:tcPr>
          <w:p>
            <w:pPr>
              <w:pStyle w:val="TableParagraph"/>
              <w:spacing w:line="209" w:lineRule="exact"/>
              <w:ind w:left="36"/>
              <w:rPr>
                <w:sz w:val="20"/>
              </w:rPr>
            </w:pPr>
            <w:r>
              <w:rPr>
                <w:sz w:val="20"/>
              </w:rPr>
              <w:t>Log</w:t>
            </w:r>
            <w:r>
              <w:rPr>
                <w:spacing w:val="-6"/>
                <w:sz w:val="20"/>
              </w:rPr>
              <w:t> </w:t>
            </w:r>
            <w:r>
              <w:rPr>
                <w:spacing w:val="-2"/>
                <w:sz w:val="20"/>
              </w:rPr>
              <w:t>likelihood</w:t>
            </w:r>
          </w:p>
        </w:tc>
        <w:tc>
          <w:tcPr>
            <w:tcW w:w="1316" w:type="dxa"/>
          </w:tcPr>
          <w:p>
            <w:pPr>
              <w:pStyle w:val="TableParagraph"/>
              <w:spacing w:line="209" w:lineRule="exact"/>
              <w:ind w:right="130"/>
              <w:jc w:val="right"/>
              <w:rPr>
                <w:sz w:val="20"/>
              </w:rPr>
            </w:pPr>
            <w:r>
              <w:rPr>
                <w:spacing w:val="-4"/>
                <w:sz w:val="20"/>
              </w:rPr>
              <w:t>-</w:t>
            </w:r>
            <w:r>
              <w:rPr>
                <w:spacing w:val="-2"/>
                <w:sz w:val="20"/>
              </w:rPr>
              <w:t>63.94700</w:t>
            </w:r>
          </w:p>
        </w:tc>
        <w:tc>
          <w:tcPr>
            <w:tcW w:w="1434" w:type="dxa"/>
          </w:tcPr>
          <w:p>
            <w:pPr>
              <w:pStyle w:val="TableParagraph"/>
              <w:spacing w:line="209" w:lineRule="exact"/>
              <w:ind w:left="129"/>
              <w:rPr>
                <w:sz w:val="20"/>
              </w:rPr>
            </w:pPr>
            <w:r>
              <w:rPr>
                <w:spacing w:val="-4"/>
                <w:sz w:val="20"/>
              </w:rPr>
              <w:t>F-</w:t>
            </w:r>
            <w:r>
              <w:rPr>
                <w:spacing w:val="-2"/>
                <w:sz w:val="20"/>
              </w:rPr>
              <w:t>statistic</w:t>
            </w:r>
          </w:p>
        </w:tc>
        <w:tc>
          <w:tcPr>
            <w:tcW w:w="906" w:type="dxa"/>
          </w:tcPr>
          <w:p>
            <w:pPr>
              <w:pStyle w:val="TableParagraph"/>
              <w:rPr>
                <w:sz w:val="16"/>
              </w:rPr>
            </w:pPr>
          </w:p>
        </w:tc>
        <w:tc>
          <w:tcPr>
            <w:tcW w:w="931" w:type="dxa"/>
          </w:tcPr>
          <w:p>
            <w:pPr>
              <w:pStyle w:val="TableParagraph"/>
              <w:spacing w:line="209" w:lineRule="exact"/>
              <w:ind w:right="35"/>
              <w:jc w:val="right"/>
              <w:rPr>
                <w:sz w:val="20"/>
              </w:rPr>
            </w:pPr>
            <w:r>
              <w:rPr>
                <w:spacing w:val="-2"/>
                <w:sz w:val="20"/>
              </w:rPr>
              <w:t>53.97994</w:t>
            </w:r>
          </w:p>
        </w:tc>
      </w:tr>
      <w:tr>
        <w:trPr>
          <w:trHeight w:val="267" w:hRule="atLeast"/>
        </w:trPr>
        <w:tc>
          <w:tcPr>
            <w:tcW w:w="1908" w:type="dxa"/>
            <w:tcBorders>
              <w:bottom w:val="double" w:sz="6" w:space="0" w:color="000000"/>
            </w:tcBorders>
          </w:tcPr>
          <w:p>
            <w:pPr>
              <w:pStyle w:val="TableParagraph"/>
              <w:spacing w:line="226" w:lineRule="exact"/>
              <w:ind w:left="36"/>
              <w:rPr>
                <w:sz w:val="20"/>
              </w:rPr>
            </w:pPr>
            <w:r>
              <w:rPr>
                <w:sz w:val="20"/>
              </w:rPr>
              <w:t>Durbin-Watson</w:t>
            </w:r>
            <w:r>
              <w:rPr>
                <w:spacing w:val="-12"/>
                <w:sz w:val="20"/>
              </w:rPr>
              <w:t> </w:t>
            </w:r>
            <w:r>
              <w:rPr>
                <w:spacing w:val="-4"/>
                <w:sz w:val="20"/>
              </w:rPr>
              <w:t>stat</w:t>
            </w:r>
          </w:p>
        </w:tc>
        <w:tc>
          <w:tcPr>
            <w:tcW w:w="1316" w:type="dxa"/>
          </w:tcPr>
          <w:p>
            <w:pPr>
              <w:pStyle w:val="TableParagraph"/>
              <w:spacing w:line="226" w:lineRule="exact"/>
              <w:ind w:right="130"/>
              <w:jc w:val="right"/>
              <w:rPr>
                <w:sz w:val="20"/>
              </w:rPr>
            </w:pPr>
            <w:r>
              <w:rPr>
                <w:spacing w:val="-2"/>
                <w:sz w:val="20"/>
              </w:rPr>
              <w:t>2.327095</w:t>
            </w:r>
          </w:p>
        </w:tc>
        <w:tc>
          <w:tcPr>
            <w:tcW w:w="1434" w:type="dxa"/>
            <w:tcBorders>
              <w:bottom w:val="double" w:sz="6" w:space="0" w:color="000000"/>
            </w:tcBorders>
          </w:tcPr>
          <w:p>
            <w:pPr>
              <w:pStyle w:val="TableParagraph"/>
              <w:spacing w:line="226" w:lineRule="exact"/>
              <w:ind w:left="129"/>
              <w:rPr>
                <w:sz w:val="20"/>
              </w:rPr>
            </w:pPr>
            <w:r>
              <w:rPr>
                <w:spacing w:val="-2"/>
                <w:sz w:val="20"/>
              </w:rPr>
              <w:t>Prob(F-statistic)</w:t>
            </w:r>
          </w:p>
        </w:tc>
        <w:tc>
          <w:tcPr>
            <w:tcW w:w="906" w:type="dxa"/>
            <w:tcBorders>
              <w:bottom w:val="double" w:sz="6" w:space="0" w:color="000000"/>
            </w:tcBorders>
          </w:tcPr>
          <w:p>
            <w:pPr>
              <w:pStyle w:val="TableParagraph"/>
              <w:rPr>
                <w:sz w:val="18"/>
              </w:rPr>
            </w:pPr>
          </w:p>
        </w:tc>
        <w:tc>
          <w:tcPr>
            <w:tcW w:w="931" w:type="dxa"/>
            <w:tcBorders>
              <w:bottom w:val="double" w:sz="6" w:space="0" w:color="000000"/>
            </w:tcBorders>
          </w:tcPr>
          <w:p>
            <w:pPr>
              <w:pStyle w:val="TableParagraph"/>
              <w:spacing w:line="226" w:lineRule="exact"/>
              <w:ind w:right="35"/>
              <w:jc w:val="right"/>
              <w:rPr>
                <w:sz w:val="20"/>
              </w:rPr>
            </w:pPr>
            <w:r>
              <w:rPr>
                <w:spacing w:val="-2"/>
                <w:sz w:val="20"/>
              </w:rPr>
              <w:t>0.000000</w:t>
            </w:r>
          </w:p>
        </w:tc>
      </w:tr>
    </w:tbl>
    <w:p>
      <w:pPr>
        <w:spacing w:after="0" w:line="226" w:lineRule="exact"/>
        <w:jc w:val="right"/>
        <w:rPr>
          <w:sz w:val="20"/>
        </w:rPr>
        <w:sectPr>
          <w:pgSz w:w="11910" w:h="16840"/>
          <w:pgMar w:header="0" w:footer="979" w:top="1360" w:bottom="1240" w:left="280" w:right="0"/>
        </w:sectPr>
      </w:pPr>
    </w:p>
    <w:p>
      <w:pPr>
        <w:spacing w:before="62" w:after="3"/>
        <w:ind w:left="711" w:right="0" w:firstLine="0"/>
        <w:jc w:val="left"/>
        <w:rPr>
          <w:sz w:val="20"/>
        </w:rPr>
      </w:pPr>
      <w:r>
        <w:rPr>
          <w:sz w:val="20"/>
        </w:rPr>
        <w:t>EXTDEBT</w:t>
      </w:r>
      <w:r>
        <w:rPr>
          <w:spacing w:val="-6"/>
          <w:sz w:val="20"/>
        </w:rPr>
        <w:t> </w:t>
      </w:r>
      <w:r>
        <w:rPr>
          <w:sz w:val="20"/>
        </w:rPr>
        <w:t>@</w:t>
      </w:r>
      <w:r>
        <w:rPr>
          <w:spacing w:val="-5"/>
          <w:sz w:val="20"/>
        </w:rPr>
        <w:t> </w:t>
      </w:r>
      <w:r>
        <w:rPr>
          <w:spacing w:val="-4"/>
          <w:sz w:val="20"/>
        </w:rPr>
        <w:t>LEVEL</w:t>
      </w:r>
    </w:p>
    <w:tbl>
      <w:tblPr>
        <w:tblW w:w="0" w:type="auto"/>
        <w:jc w:val="left"/>
        <w:tblInd w:w="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17"/>
        <w:gridCol w:w="1305"/>
        <w:gridCol w:w="1432"/>
        <w:gridCol w:w="936"/>
        <w:gridCol w:w="896"/>
      </w:tblGrid>
      <w:tr>
        <w:trPr>
          <w:trHeight w:val="224" w:hRule="atLeast"/>
        </w:trPr>
        <w:tc>
          <w:tcPr>
            <w:tcW w:w="1917" w:type="dxa"/>
          </w:tcPr>
          <w:p>
            <w:pPr>
              <w:pStyle w:val="TableParagraph"/>
              <w:spacing w:line="204" w:lineRule="exact"/>
              <w:ind w:left="36"/>
              <w:rPr>
                <w:sz w:val="20"/>
              </w:rPr>
            </w:pPr>
            <w:r>
              <w:rPr>
                <w:sz w:val="20"/>
              </w:rPr>
              <w:t>ADF</w:t>
            </w:r>
            <w:r>
              <w:rPr>
                <w:spacing w:val="-4"/>
                <w:sz w:val="20"/>
              </w:rPr>
              <w:t> </w:t>
            </w:r>
            <w:r>
              <w:rPr>
                <w:sz w:val="20"/>
              </w:rPr>
              <w:t>Test</w:t>
            </w:r>
            <w:r>
              <w:rPr>
                <w:spacing w:val="-4"/>
                <w:sz w:val="20"/>
              </w:rPr>
              <w:t> </w:t>
            </w:r>
            <w:r>
              <w:rPr>
                <w:spacing w:val="-2"/>
                <w:sz w:val="20"/>
              </w:rPr>
              <w:t>Statistic</w:t>
            </w:r>
          </w:p>
        </w:tc>
        <w:tc>
          <w:tcPr>
            <w:tcW w:w="1305" w:type="dxa"/>
          </w:tcPr>
          <w:p>
            <w:pPr>
              <w:pStyle w:val="TableParagraph"/>
              <w:spacing w:line="204" w:lineRule="exact"/>
              <w:ind w:left="149"/>
              <w:rPr>
                <w:sz w:val="20"/>
              </w:rPr>
            </w:pPr>
            <w:r>
              <w:rPr>
                <w:spacing w:val="-4"/>
                <w:sz w:val="20"/>
              </w:rPr>
              <w:t>-</w:t>
            </w:r>
            <w:r>
              <w:rPr>
                <w:spacing w:val="-2"/>
                <w:sz w:val="20"/>
              </w:rPr>
              <w:t>2.201592</w:t>
            </w:r>
          </w:p>
        </w:tc>
        <w:tc>
          <w:tcPr>
            <w:tcW w:w="2368" w:type="dxa"/>
            <w:gridSpan w:val="2"/>
          </w:tcPr>
          <w:p>
            <w:pPr>
              <w:pStyle w:val="TableParagraph"/>
              <w:spacing w:line="204" w:lineRule="exact"/>
              <w:ind w:left="131"/>
              <w:rPr>
                <w:sz w:val="20"/>
              </w:rPr>
            </w:pPr>
            <w:r>
              <w:rPr>
                <w:sz w:val="20"/>
              </w:rPr>
              <w:t>1%</w:t>
            </w:r>
            <w:r>
              <w:rPr>
                <w:spacing w:val="68"/>
                <w:w w:val="150"/>
                <w:sz w:val="20"/>
              </w:rPr>
              <w:t> </w:t>
            </w:r>
            <w:r>
              <w:rPr>
                <w:sz w:val="20"/>
              </w:rPr>
              <w:t>Critical</w:t>
            </w:r>
            <w:r>
              <w:rPr>
                <w:spacing w:val="-2"/>
                <w:sz w:val="20"/>
              </w:rPr>
              <w:t> Value*</w:t>
            </w:r>
          </w:p>
        </w:tc>
        <w:tc>
          <w:tcPr>
            <w:tcW w:w="896" w:type="dxa"/>
          </w:tcPr>
          <w:p>
            <w:pPr>
              <w:pStyle w:val="TableParagraph"/>
              <w:spacing w:line="204" w:lineRule="exact"/>
              <w:ind w:right="26"/>
              <w:jc w:val="right"/>
              <w:rPr>
                <w:sz w:val="20"/>
              </w:rPr>
            </w:pPr>
            <w:r>
              <w:rPr>
                <w:spacing w:val="-4"/>
                <w:sz w:val="20"/>
              </w:rPr>
              <w:t>-</w:t>
            </w:r>
            <w:r>
              <w:rPr>
                <w:spacing w:val="-2"/>
                <w:sz w:val="20"/>
              </w:rPr>
              <w:t>3.6019</w:t>
            </w:r>
          </w:p>
        </w:tc>
      </w:tr>
      <w:tr>
        <w:trPr>
          <w:trHeight w:val="229" w:hRule="atLeast"/>
        </w:trPr>
        <w:tc>
          <w:tcPr>
            <w:tcW w:w="1917" w:type="dxa"/>
          </w:tcPr>
          <w:p>
            <w:pPr>
              <w:pStyle w:val="TableParagraph"/>
              <w:rPr>
                <w:sz w:val="16"/>
              </w:rPr>
            </w:pPr>
          </w:p>
        </w:tc>
        <w:tc>
          <w:tcPr>
            <w:tcW w:w="1305" w:type="dxa"/>
          </w:tcPr>
          <w:p>
            <w:pPr>
              <w:pStyle w:val="TableParagraph"/>
              <w:rPr>
                <w:sz w:val="16"/>
              </w:rPr>
            </w:pPr>
          </w:p>
        </w:tc>
        <w:tc>
          <w:tcPr>
            <w:tcW w:w="2368" w:type="dxa"/>
            <w:gridSpan w:val="2"/>
          </w:tcPr>
          <w:p>
            <w:pPr>
              <w:pStyle w:val="TableParagraph"/>
              <w:spacing w:line="209" w:lineRule="exact"/>
              <w:ind w:left="131"/>
              <w:rPr>
                <w:sz w:val="20"/>
              </w:rPr>
            </w:pPr>
            <w:r>
              <w:rPr>
                <w:sz w:val="20"/>
              </w:rPr>
              <w:t>5%</w:t>
            </w:r>
            <w:r>
              <w:rPr>
                <w:spacing w:val="68"/>
                <w:w w:val="150"/>
                <w:sz w:val="20"/>
              </w:rPr>
              <w:t> </w:t>
            </w:r>
            <w:r>
              <w:rPr>
                <w:sz w:val="20"/>
              </w:rPr>
              <w:t>Critical</w:t>
            </w:r>
            <w:r>
              <w:rPr>
                <w:spacing w:val="-2"/>
                <w:sz w:val="20"/>
              </w:rPr>
              <w:t> </w:t>
            </w:r>
            <w:r>
              <w:rPr>
                <w:spacing w:val="-4"/>
                <w:sz w:val="20"/>
              </w:rPr>
              <w:t>Value</w:t>
            </w:r>
          </w:p>
        </w:tc>
        <w:tc>
          <w:tcPr>
            <w:tcW w:w="896" w:type="dxa"/>
          </w:tcPr>
          <w:p>
            <w:pPr>
              <w:pStyle w:val="TableParagraph"/>
              <w:spacing w:line="209" w:lineRule="exact"/>
              <w:ind w:right="26"/>
              <w:jc w:val="right"/>
              <w:rPr>
                <w:sz w:val="20"/>
              </w:rPr>
            </w:pPr>
            <w:r>
              <w:rPr>
                <w:spacing w:val="-4"/>
                <w:sz w:val="20"/>
              </w:rPr>
              <w:t>-</w:t>
            </w:r>
            <w:r>
              <w:rPr>
                <w:spacing w:val="-2"/>
                <w:sz w:val="20"/>
              </w:rPr>
              <w:t>2.9358</w:t>
            </w:r>
          </w:p>
        </w:tc>
      </w:tr>
      <w:tr>
        <w:trPr>
          <w:trHeight w:val="224" w:hRule="atLeast"/>
        </w:trPr>
        <w:tc>
          <w:tcPr>
            <w:tcW w:w="1917" w:type="dxa"/>
            <w:tcBorders>
              <w:bottom w:val="double" w:sz="6" w:space="0" w:color="000000"/>
            </w:tcBorders>
          </w:tcPr>
          <w:p>
            <w:pPr>
              <w:pStyle w:val="TableParagraph"/>
              <w:rPr>
                <w:sz w:val="16"/>
              </w:rPr>
            </w:pPr>
          </w:p>
        </w:tc>
        <w:tc>
          <w:tcPr>
            <w:tcW w:w="1305" w:type="dxa"/>
            <w:tcBorders>
              <w:bottom w:val="double" w:sz="6" w:space="0" w:color="000000"/>
            </w:tcBorders>
          </w:tcPr>
          <w:p>
            <w:pPr>
              <w:pStyle w:val="TableParagraph"/>
              <w:rPr>
                <w:sz w:val="16"/>
              </w:rPr>
            </w:pPr>
          </w:p>
        </w:tc>
        <w:tc>
          <w:tcPr>
            <w:tcW w:w="2368" w:type="dxa"/>
            <w:gridSpan w:val="2"/>
            <w:tcBorders>
              <w:bottom w:val="double" w:sz="6" w:space="0" w:color="000000"/>
            </w:tcBorders>
          </w:tcPr>
          <w:p>
            <w:pPr>
              <w:pStyle w:val="TableParagraph"/>
              <w:spacing w:line="205" w:lineRule="exact"/>
              <w:ind w:left="131"/>
              <w:rPr>
                <w:sz w:val="20"/>
              </w:rPr>
            </w:pPr>
            <w:r>
              <w:rPr>
                <w:sz w:val="20"/>
              </w:rPr>
              <w:t>10%</w:t>
            </w:r>
            <w:r>
              <w:rPr>
                <w:spacing w:val="-6"/>
                <w:sz w:val="20"/>
              </w:rPr>
              <w:t> </w:t>
            </w:r>
            <w:r>
              <w:rPr>
                <w:sz w:val="20"/>
              </w:rPr>
              <w:t>Critical</w:t>
            </w:r>
            <w:r>
              <w:rPr>
                <w:spacing w:val="-4"/>
                <w:sz w:val="20"/>
              </w:rPr>
              <w:t> </w:t>
            </w:r>
            <w:r>
              <w:rPr>
                <w:spacing w:val="-2"/>
                <w:sz w:val="20"/>
              </w:rPr>
              <w:t>Value</w:t>
            </w:r>
          </w:p>
        </w:tc>
        <w:tc>
          <w:tcPr>
            <w:tcW w:w="896" w:type="dxa"/>
            <w:tcBorders>
              <w:bottom w:val="double" w:sz="6" w:space="0" w:color="000000"/>
            </w:tcBorders>
          </w:tcPr>
          <w:p>
            <w:pPr>
              <w:pStyle w:val="TableParagraph"/>
              <w:spacing w:line="205" w:lineRule="exact"/>
              <w:ind w:right="26"/>
              <w:jc w:val="right"/>
              <w:rPr>
                <w:sz w:val="20"/>
              </w:rPr>
            </w:pPr>
            <w:r>
              <w:rPr>
                <w:spacing w:val="-4"/>
                <w:sz w:val="20"/>
              </w:rPr>
              <w:t>-</w:t>
            </w:r>
            <w:r>
              <w:rPr>
                <w:spacing w:val="-2"/>
                <w:sz w:val="20"/>
              </w:rPr>
              <w:t>2.6059</w:t>
            </w:r>
          </w:p>
        </w:tc>
      </w:tr>
      <w:tr>
        <w:trPr>
          <w:trHeight w:val="506" w:hRule="atLeast"/>
        </w:trPr>
        <w:tc>
          <w:tcPr>
            <w:tcW w:w="6486" w:type="dxa"/>
            <w:gridSpan w:val="5"/>
            <w:tcBorders>
              <w:top w:val="double" w:sz="6" w:space="0" w:color="000000"/>
            </w:tcBorders>
          </w:tcPr>
          <w:p>
            <w:pPr>
              <w:pStyle w:val="TableParagraph"/>
              <w:spacing w:before="42"/>
              <w:ind w:left="36"/>
              <w:rPr>
                <w:sz w:val="20"/>
              </w:rPr>
            </w:pPr>
            <w:r>
              <w:rPr>
                <w:sz w:val="20"/>
              </w:rPr>
              <w:t>*MacKinnon</w:t>
            </w:r>
            <w:r>
              <w:rPr>
                <w:spacing w:val="-6"/>
                <w:sz w:val="20"/>
              </w:rPr>
              <w:t> </w:t>
            </w:r>
            <w:r>
              <w:rPr>
                <w:sz w:val="20"/>
              </w:rPr>
              <w:t>critical</w:t>
            </w:r>
            <w:r>
              <w:rPr>
                <w:spacing w:val="-4"/>
                <w:sz w:val="20"/>
              </w:rPr>
              <w:t> </w:t>
            </w:r>
            <w:r>
              <w:rPr>
                <w:sz w:val="20"/>
              </w:rPr>
              <w:t>values</w:t>
            </w:r>
            <w:r>
              <w:rPr>
                <w:spacing w:val="-6"/>
                <w:sz w:val="20"/>
              </w:rPr>
              <w:t> </w:t>
            </w:r>
            <w:r>
              <w:rPr>
                <w:sz w:val="20"/>
              </w:rPr>
              <w:t>for</w:t>
            </w:r>
            <w:r>
              <w:rPr>
                <w:spacing w:val="-4"/>
                <w:sz w:val="20"/>
              </w:rPr>
              <w:t> </w:t>
            </w:r>
            <w:r>
              <w:rPr>
                <w:sz w:val="20"/>
              </w:rPr>
              <w:t>rejection</w:t>
            </w:r>
            <w:r>
              <w:rPr>
                <w:spacing w:val="-5"/>
                <w:sz w:val="20"/>
              </w:rPr>
              <w:t> </w:t>
            </w:r>
            <w:r>
              <w:rPr>
                <w:sz w:val="20"/>
              </w:rPr>
              <w:t>of</w:t>
            </w:r>
            <w:r>
              <w:rPr>
                <w:spacing w:val="-7"/>
                <w:sz w:val="20"/>
              </w:rPr>
              <w:t> </w:t>
            </w:r>
            <w:r>
              <w:rPr>
                <w:sz w:val="20"/>
              </w:rPr>
              <w:t>hypothesis</w:t>
            </w:r>
            <w:r>
              <w:rPr>
                <w:spacing w:val="-5"/>
                <w:sz w:val="20"/>
              </w:rPr>
              <w:t> </w:t>
            </w:r>
            <w:r>
              <w:rPr>
                <w:sz w:val="20"/>
              </w:rPr>
              <w:t>of</w:t>
            </w:r>
            <w:r>
              <w:rPr>
                <w:spacing w:val="-6"/>
                <w:sz w:val="20"/>
              </w:rPr>
              <w:t> </w:t>
            </w:r>
            <w:r>
              <w:rPr>
                <w:sz w:val="20"/>
              </w:rPr>
              <w:t>a</w:t>
            </w:r>
            <w:r>
              <w:rPr>
                <w:spacing w:val="-5"/>
                <w:sz w:val="20"/>
              </w:rPr>
              <w:t> </w:t>
            </w:r>
            <w:r>
              <w:rPr>
                <w:sz w:val="20"/>
              </w:rPr>
              <w:t>unit</w:t>
            </w:r>
            <w:r>
              <w:rPr>
                <w:spacing w:val="2"/>
                <w:sz w:val="20"/>
              </w:rPr>
              <w:t> </w:t>
            </w:r>
            <w:r>
              <w:rPr>
                <w:spacing w:val="-2"/>
                <w:sz w:val="20"/>
              </w:rPr>
              <w:t>root.</w:t>
            </w:r>
          </w:p>
        </w:tc>
      </w:tr>
      <w:tr>
        <w:trPr>
          <w:trHeight w:val="459" w:hRule="atLeast"/>
        </w:trPr>
        <w:tc>
          <w:tcPr>
            <w:tcW w:w="6486" w:type="dxa"/>
            <w:gridSpan w:val="5"/>
          </w:tcPr>
          <w:p>
            <w:pPr>
              <w:pStyle w:val="TableParagraph"/>
              <w:spacing w:line="215" w:lineRule="exact" w:before="225"/>
              <w:ind w:left="36"/>
              <w:rPr>
                <w:sz w:val="20"/>
              </w:rPr>
            </w:pPr>
            <w:r>
              <w:rPr>
                <w:sz w:val="20"/>
              </w:rPr>
              <w:t>Augmented</w:t>
            </w:r>
            <w:r>
              <w:rPr>
                <w:spacing w:val="-8"/>
                <w:sz w:val="20"/>
              </w:rPr>
              <w:t> </w:t>
            </w:r>
            <w:r>
              <w:rPr>
                <w:sz w:val="20"/>
              </w:rPr>
              <w:t>Dickey-Fuller</w:t>
            </w:r>
            <w:r>
              <w:rPr>
                <w:spacing w:val="-8"/>
                <w:sz w:val="20"/>
              </w:rPr>
              <w:t> </w:t>
            </w:r>
            <w:r>
              <w:rPr>
                <w:sz w:val="20"/>
              </w:rPr>
              <w:t>Test</w:t>
            </w:r>
            <w:r>
              <w:rPr>
                <w:spacing w:val="-9"/>
                <w:sz w:val="20"/>
              </w:rPr>
              <w:t> </w:t>
            </w:r>
            <w:r>
              <w:rPr>
                <w:spacing w:val="-2"/>
                <w:sz w:val="20"/>
              </w:rPr>
              <w:t>Equation</w:t>
            </w:r>
          </w:p>
        </w:tc>
      </w:tr>
      <w:tr>
        <w:trPr>
          <w:trHeight w:val="230" w:hRule="atLeast"/>
        </w:trPr>
        <w:tc>
          <w:tcPr>
            <w:tcW w:w="6486" w:type="dxa"/>
            <w:gridSpan w:val="5"/>
          </w:tcPr>
          <w:p>
            <w:pPr>
              <w:pStyle w:val="TableParagraph"/>
              <w:spacing w:line="210" w:lineRule="exact"/>
              <w:ind w:left="36"/>
              <w:rPr>
                <w:sz w:val="20"/>
              </w:rPr>
            </w:pPr>
            <w:r>
              <w:rPr>
                <w:sz w:val="20"/>
              </w:rPr>
              <w:t>Dependent</w:t>
            </w:r>
            <w:r>
              <w:rPr>
                <w:spacing w:val="-8"/>
                <w:sz w:val="20"/>
              </w:rPr>
              <w:t> </w:t>
            </w:r>
            <w:r>
              <w:rPr>
                <w:sz w:val="20"/>
              </w:rPr>
              <w:t>Variable:</w:t>
            </w:r>
            <w:r>
              <w:rPr>
                <w:spacing w:val="-8"/>
                <w:sz w:val="20"/>
              </w:rPr>
              <w:t> </w:t>
            </w:r>
            <w:r>
              <w:rPr>
                <w:spacing w:val="-2"/>
                <w:sz w:val="20"/>
              </w:rPr>
              <w:t>D(EXTDEBT)</w:t>
            </w:r>
          </w:p>
        </w:tc>
      </w:tr>
      <w:tr>
        <w:trPr>
          <w:trHeight w:val="229" w:hRule="atLeast"/>
        </w:trPr>
        <w:tc>
          <w:tcPr>
            <w:tcW w:w="1917" w:type="dxa"/>
          </w:tcPr>
          <w:p>
            <w:pPr>
              <w:pStyle w:val="TableParagraph"/>
              <w:spacing w:line="209" w:lineRule="exact"/>
              <w:ind w:left="36"/>
              <w:rPr>
                <w:sz w:val="20"/>
              </w:rPr>
            </w:pPr>
            <w:r>
              <w:rPr>
                <w:sz w:val="20"/>
              </w:rPr>
              <w:t>Method:</w:t>
            </w:r>
            <w:r>
              <w:rPr>
                <w:spacing w:val="-8"/>
                <w:sz w:val="20"/>
              </w:rPr>
              <w:t> </w:t>
            </w:r>
            <w:r>
              <w:rPr>
                <w:sz w:val="20"/>
              </w:rPr>
              <w:t>Least</w:t>
            </w:r>
            <w:r>
              <w:rPr>
                <w:spacing w:val="-7"/>
                <w:sz w:val="20"/>
              </w:rPr>
              <w:t> </w:t>
            </w:r>
            <w:r>
              <w:rPr>
                <w:spacing w:val="-2"/>
                <w:sz w:val="20"/>
              </w:rPr>
              <w:t>Squares</w:t>
            </w:r>
          </w:p>
        </w:tc>
        <w:tc>
          <w:tcPr>
            <w:tcW w:w="1305" w:type="dxa"/>
          </w:tcPr>
          <w:p>
            <w:pPr>
              <w:pStyle w:val="TableParagraph"/>
              <w:rPr>
                <w:sz w:val="16"/>
              </w:rPr>
            </w:pPr>
          </w:p>
        </w:tc>
        <w:tc>
          <w:tcPr>
            <w:tcW w:w="1432" w:type="dxa"/>
          </w:tcPr>
          <w:p>
            <w:pPr>
              <w:pStyle w:val="TableParagraph"/>
              <w:rPr>
                <w:sz w:val="16"/>
              </w:rPr>
            </w:pPr>
          </w:p>
        </w:tc>
        <w:tc>
          <w:tcPr>
            <w:tcW w:w="936" w:type="dxa"/>
          </w:tcPr>
          <w:p>
            <w:pPr>
              <w:pStyle w:val="TableParagraph"/>
              <w:rPr>
                <w:sz w:val="16"/>
              </w:rPr>
            </w:pPr>
          </w:p>
        </w:tc>
        <w:tc>
          <w:tcPr>
            <w:tcW w:w="896" w:type="dxa"/>
          </w:tcPr>
          <w:p>
            <w:pPr>
              <w:pStyle w:val="TableParagraph"/>
              <w:rPr>
                <w:sz w:val="16"/>
              </w:rPr>
            </w:pPr>
          </w:p>
        </w:tc>
      </w:tr>
      <w:tr>
        <w:trPr>
          <w:trHeight w:val="229" w:hRule="atLeast"/>
        </w:trPr>
        <w:tc>
          <w:tcPr>
            <w:tcW w:w="6486" w:type="dxa"/>
            <w:gridSpan w:val="5"/>
          </w:tcPr>
          <w:p>
            <w:pPr>
              <w:pStyle w:val="TableParagraph"/>
              <w:spacing w:line="209" w:lineRule="exact"/>
              <w:ind w:left="36"/>
              <w:rPr>
                <w:sz w:val="20"/>
              </w:rPr>
            </w:pPr>
            <w:r>
              <w:rPr>
                <w:sz w:val="20"/>
              </w:rPr>
              <w:t>Date:</w:t>
            </w:r>
            <w:r>
              <w:rPr>
                <w:spacing w:val="-5"/>
                <w:sz w:val="20"/>
              </w:rPr>
              <w:t> </w:t>
            </w:r>
            <w:r>
              <w:rPr>
                <w:sz w:val="20"/>
              </w:rPr>
              <w:t>02/18/14</w:t>
            </w:r>
            <w:r>
              <w:rPr>
                <w:spacing w:val="63"/>
                <w:w w:val="150"/>
                <w:sz w:val="20"/>
              </w:rPr>
              <w:t> </w:t>
            </w:r>
            <w:r>
              <w:rPr>
                <w:sz w:val="20"/>
              </w:rPr>
              <w:t>Time:</w:t>
            </w:r>
            <w:r>
              <w:rPr>
                <w:spacing w:val="-3"/>
                <w:sz w:val="20"/>
              </w:rPr>
              <w:t> </w:t>
            </w:r>
            <w:r>
              <w:rPr>
                <w:spacing w:val="-2"/>
                <w:sz w:val="20"/>
              </w:rPr>
              <w:t>13:31</w:t>
            </w:r>
          </w:p>
        </w:tc>
      </w:tr>
      <w:tr>
        <w:trPr>
          <w:trHeight w:val="230" w:hRule="atLeast"/>
        </w:trPr>
        <w:tc>
          <w:tcPr>
            <w:tcW w:w="6486" w:type="dxa"/>
            <w:gridSpan w:val="5"/>
          </w:tcPr>
          <w:p>
            <w:pPr>
              <w:pStyle w:val="TableParagraph"/>
              <w:spacing w:line="210" w:lineRule="exact"/>
              <w:ind w:left="36"/>
              <w:rPr>
                <w:sz w:val="20"/>
              </w:rPr>
            </w:pPr>
            <w:r>
              <w:rPr>
                <w:sz w:val="20"/>
              </w:rPr>
              <w:t>Sample(adjusted):</w:t>
            </w:r>
            <w:r>
              <w:rPr>
                <w:spacing w:val="-9"/>
                <w:sz w:val="20"/>
              </w:rPr>
              <w:t> </w:t>
            </w:r>
            <w:r>
              <w:rPr>
                <w:sz w:val="20"/>
              </w:rPr>
              <w:t>1972</w:t>
            </w:r>
            <w:r>
              <w:rPr>
                <w:spacing w:val="-9"/>
                <w:sz w:val="20"/>
              </w:rPr>
              <w:t> </w:t>
            </w:r>
            <w:r>
              <w:rPr>
                <w:spacing w:val="-4"/>
                <w:sz w:val="20"/>
              </w:rPr>
              <w:t>2011</w:t>
            </w:r>
          </w:p>
        </w:tc>
      </w:tr>
      <w:tr>
        <w:trPr>
          <w:trHeight w:val="224" w:hRule="atLeast"/>
        </w:trPr>
        <w:tc>
          <w:tcPr>
            <w:tcW w:w="6486" w:type="dxa"/>
            <w:gridSpan w:val="5"/>
            <w:tcBorders>
              <w:bottom w:val="double" w:sz="6" w:space="0" w:color="000000"/>
            </w:tcBorders>
          </w:tcPr>
          <w:p>
            <w:pPr>
              <w:pStyle w:val="TableParagraph"/>
              <w:spacing w:line="205" w:lineRule="exact"/>
              <w:ind w:left="36"/>
              <w:rPr>
                <w:sz w:val="20"/>
              </w:rPr>
            </w:pPr>
            <w:r>
              <w:rPr>
                <w:sz w:val="20"/>
              </w:rPr>
              <w:t>Included</w:t>
            </w:r>
            <w:r>
              <w:rPr>
                <w:spacing w:val="-6"/>
                <w:sz w:val="20"/>
              </w:rPr>
              <w:t> </w:t>
            </w:r>
            <w:r>
              <w:rPr>
                <w:sz w:val="20"/>
              </w:rPr>
              <w:t>observations:</w:t>
            </w:r>
            <w:r>
              <w:rPr>
                <w:spacing w:val="-8"/>
                <w:sz w:val="20"/>
              </w:rPr>
              <w:t> </w:t>
            </w:r>
            <w:r>
              <w:rPr>
                <w:sz w:val="20"/>
              </w:rPr>
              <w:t>40</w:t>
            </w:r>
            <w:r>
              <w:rPr>
                <w:spacing w:val="-5"/>
                <w:sz w:val="20"/>
              </w:rPr>
              <w:t> </w:t>
            </w:r>
            <w:r>
              <w:rPr>
                <w:sz w:val="20"/>
              </w:rPr>
              <w:t>after</w:t>
            </w:r>
            <w:r>
              <w:rPr>
                <w:spacing w:val="-7"/>
                <w:sz w:val="20"/>
              </w:rPr>
              <w:t> </w:t>
            </w:r>
            <w:r>
              <w:rPr>
                <w:sz w:val="20"/>
              </w:rPr>
              <w:t>adjusting</w:t>
            </w:r>
            <w:r>
              <w:rPr>
                <w:spacing w:val="-7"/>
                <w:sz w:val="20"/>
              </w:rPr>
              <w:t> </w:t>
            </w:r>
            <w:r>
              <w:rPr>
                <w:spacing w:val="-2"/>
                <w:sz w:val="20"/>
              </w:rPr>
              <w:t>endpoints</w:t>
            </w:r>
          </w:p>
        </w:tc>
      </w:tr>
      <w:tr>
        <w:trPr>
          <w:trHeight w:val="269" w:hRule="atLeast"/>
        </w:trPr>
        <w:tc>
          <w:tcPr>
            <w:tcW w:w="1917" w:type="dxa"/>
            <w:tcBorders>
              <w:top w:val="double" w:sz="6" w:space="0" w:color="000000"/>
              <w:bottom w:val="double" w:sz="6" w:space="0" w:color="000000"/>
            </w:tcBorders>
          </w:tcPr>
          <w:p>
            <w:pPr>
              <w:pStyle w:val="TableParagraph"/>
              <w:spacing w:line="209" w:lineRule="exact" w:before="40"/>
              <w:ind w:left="677"/>
              <w:rPr>
                <w:sz w:val="20"/>
              </w:rPr>
            </w:pPr>
            <w:r>
              <w:rPr>
                <w:spacing w:val="-2"/>
                <w:sz w:val="20"/>
              </w:rPr>
              <w:t>Variable</w:t>
            </w:r>
          </w:p>
        </w:tc>
        <w:tc>
          <w:tcPr>
            <w:tcW w:w="1305" w:type="dxa"/>
            <w:tcBorders>
              <w:top w:val="double" w:sz="6" w:space="0" w:color="000000"/>
              <w:bottom w:val="double" w:sz="6" w:space="0" w:color="000000"/>
            </w:tcBorders>
          </w:tcPr>
          <w:p>
            <w:pPr>
              <w:pStyle w:val="TableParagraph"/>
              <w:spacing w:line="209" w:lineRule="exact" w:before="40"/>
              <w:ind w:right="131"/>
              <w:jc w:val="right"/>
              <w:rPr>
                <w:sz w:val="20"/>
              </w:rPr>
            </w:pPr>
            <w:r>
              <w:rPr>
                <w:spacing w:val="-2"/>
                <w:sz w:val="20"/>
              </w:rPr>
              <w:t>Coefficient</w:t>
            </w:r>
          </w:p>
        </w:tc>
        <w:tc>
          <w:tcPr>
            <w:tcW w:w="1432" w:type="dxa"/>
            <w:tcBorders>
              <w:top w:val="double" w:sz="6" w:space="0" w:color="000000"/>
              <w:bottom w:val="double" w:sz="6" w:space="0" w:color="000000"/>
            </w:tcBorders>
          </w:tcPr>
          <w:p>
            <w:pPr>
              <w:pStyle w:val="TableParagraph"/>
              <w:spacing w:line="209" w:lineRule="exact" w:before="40"/>
              <w:ind w:left="273"/>
              <w:rPr>
                <w:sz w:val="20"/>
              </w:rPr>
            </w:pPr>
            <w:r>
              <w:rPr>
                <w:sz w:val="20"/>
              </w:rPr>
              <w:t>Std.</w:t>
            </w:r>
            <w:r>
              <w:rPr>
                <w:spacing w:val="-3"/>
                <w:sz w:val="20"/>
              </w:rPr>
              <w:t> </w:t>
            </w:r>
            <w:r>
              <w:rPr>
                <w:spacing w:val="-2"/>
                <w:sz w:val="20"/>
              </w:rPr>
              <w:t>Error</w:t>
            </w:r>
          </w:p>
        </w:tc>
        <w:tc>
          <w:tcPr>
            <w:tcW w:w="936" w:type="dxa"/>
            <w:tcBorders>
              <w:top w:val="double" w:sz="6" w:space="0" w:color="000000"/>
              <w:bottom w:val="double" w:sz="6" w:space="0" w:color="000000"/>
            </w:tcBorders>
          </w:tcPr>
          <w:p>
            <w:pPr>
              <w:pStyle w:val="TableParagraph"/>
              <w:spacing w:line="209" w:lineRule="exact" w:before="40"/>
              <w:ind w:right="112"/>
              <w:jc w:val="right"/>
              <w:rPr>
                <w:sz w:val="20"/>
              </w:rPr>
            </w:pPr>
            <w:r>
              <w:rPr>
                <w:spacing w:val="-4"/>
                <w:sz w:val="20"/>
              </w:rPr>
              <w:t>t-</w:t>
            </w:r>
            <w:r>
              <w:rPr>
                <w:spacing w:val="-2"/>
                <w:sz w:val="20"/>
              </w:rPr>
              <w:t>Statistic</w:t>
            </w:r>
          </w:p>
        </w:tc>
        <w:tc>
          <w:tcPr>
            <w:tcW w:w="896" w:type="dxa"/>
            <w:tcBorders>
              <w:top w:val="double" w:sz="6" w:space="0" w:color="000000"/>
              <w:bottom w:val="double" w:sz="6" w:space="0" w:color="000000"/>
            </w:tcBorders>
          </w:tcPr>
          <w:p>
            <w:pPr>
              <w:pStyle w:val="TableParagraph"/>
              <w:spacing w:line="209" w:lineRule="exact" w:before="40"/>
              <w:ind w:right="27"/>
              <w:jc w:val="right"/>
              <w:rPr>
                <w:sz w:val="20"/>
              </w:rPr>
            </w:pPr>
            <w:r>
              <w:rPr>
                <w:spacing w:val="-2"/>
                <w:sz w:val="20"/>
              </w:rPr>
              <w:t>Prob.</w:t>
            </w:r>
          </w:p>
        </w:tc>
      </w:tr>
      <w:tr>
        <w:trPr>
          <w:trHeight w:val="276" w:hRule="atLeast"/>
        </w:trPr>
        <w:tc>
          <w:tcPr>
            <w:tcW w:w="1917" w:type="dxa"/>
            <w:tcBorders>
              <w:top w:val="double" w:sz="6" w:space="0" w:color="000000"/>
            </w:tcBorders>
          </w:tcPr>
          <w:p>
            <w:pPr>
              <w:pStyle w:val="TableParagraph"/>
              <w:spacing w:line="214" w:lineRule="exact" w:before="42"/>
              <w:ind w:left="415"/>
              <w:rPr>
                <w:sz w:val="20"/>
              </w:rPr>
            </w:pPr>
            <w:r>
              <w:rPr>
                <w:spacing w:val="-2"/>
                <w:sz w:val="20"/>
              </w:rPr>
              <w:t>EXTDEBT(-</w:t>
            </w:r>
            <w:r>
              <w:rPr>
                <w:spacing w:val="-5"/>
                <w:sz w:val="20"/>
              </w:rPr>
              <w:t>1)</w:t>
            </w:r>
          </w:p>
        </w:tc>
        <w:tc>
          <w:tcPr>
            <w:tcW w:w="1305" w:type="dxa"/>
            <w:tcBorders>
              <w:top w:val="double" w:sz="6" w:space="0" w:color="000000"/>
            </w:tcBorders>
          </w:tcPr>
          <w:p>
            <w:pPr>
              <w:pStyle w:val="TableParagraph"/>
              <w:spacing w:line="214" w:lineRule="exact" w:before="42"/>
              <w:ind w:right="128"/>
              <w:jc w:val="right"/>
              <w:rPr>
                <w:sz w:val="20"/>
              </w:rPr>
            </w:pPr>
            <w:r>
              <w:rPr>
                <w:spacing w:val="-4"/>
                <w:sz w:val="20"/>
              </w:rPr>
              <w:t>-</w:t>
            </w:r>
            <w:r>
              <w:rPr>
                <w:spacing w:val="-2"/>
                <w:sz w:val="20"/>
              </w:rPr>
              <w:t>0.188125</w:t>
            </w:r>
          </w:p>
        </w:tc>
        <w:tc>
          <w:tcPr>
            <w:tcW w:w="1432" w:type="dxa"/>
            <w:tcBorders>
              <w:top w:val="double" w:sz="6" w:space="0" w:color="000000"/>
            </w:tcBorders>
          </w:tcPr>
          <w:p>
            <w:pPr>
              <w:pStyle w:val="TableParagraph"/>
              <w:spacing w:line="214" w:lineRule="exact" w:before="42"/>
              <w:ind w:left="311"/>
              <w:rPr>
                <w:sz w:val="20"/>
              </w:rPr>
            </w:pPr>
            <w:r>
              <w:rPr>
                <w:spacing w:val="-2"/>
                <w:sz w:val="20"/>
              </w:rPr>
              <w:t>0.085450</w:t>
            </w:r>
          </w:p>
        </w:tc>
        <w:tc>
          <w:tcPr>
            <w:tcW w:w="936" w:type="dxa"/>
            <w:tcBorders>
              <w:top w:val="double" w:sz="6" w:space="0" w:color="000000"/>
            </w:tcBorders>
          </w:tcPr>
          <w:p>
            <w:pPr>
              <w:pStyle w:val="TableParagraph"/>
              <w:spacing w:line="214" w:lineRule="exact" w:before="42"/>
              <w:ind w:right="110"/>
              <w:jc w:val="right"/>
              <w:rPr>
                <w:sz w:val="20"/>
              </w:rPr>
            </w:pPr>
            <w:r>
              <w:rPr>
                <w:spacing w:val="-4"/>
                <w:sz w:val="20"/>
              </w:rPr>
              <w:t>-</w:t>
            </w:r>
            <w:r>
              <w:rPr>
                <w:spacing w:val="-2"/>
                <w:sz w:val="20"/>
              </w:rPr>
              <w:t>2.201592</w:t>
            </w:r>
          </w:p>
        </w:tc>
        <w:tc>
          <w:tcPr>
            <w:tcW w:w="896" w:type="dxa"/>
            <w:tcBorders>
              <w:top w:val="double" w:sz="6" w:space="0" w:color="000000"/>
            </w:tcBorders>
          </w:tcPr>
          <w:p>
            <w:pPr>
              <w:pStyle w:val="TableParagraph"/>
              <w:spacing w:line="214" w:lineRule="exact" w:before="42"/>
              <w:ind w:right="26"/>
              <w:jc w:val="right"/>
              <w:rPr>
                <w:sz w:val="20"/>
              </w:rPr>
            </w:pPr>
            <w:r>
              <w:rPr>
                <w:spacing w:val="-2"/>
                <w:sz w:val="20"/>
              </w:rPr>
              <w:t>0.0340</w:t>
            </w:r>
          </w:p>
        </w:tc>
      </w:tr>
      <w:tr>
        <w:trPr>
          <w:trHeight w:val="229" w:hRule="atLeast"/>
        </w:trPr>
        <w:tc>
          <w:tcPr>
            <w:tcW w:w="1917" w:type="dxa"/>
          </w:tcPr>
          <w:p>
            <w:pPr>
              <w:pStyle w:val="TableParagraph"/>
              <w:spacing w:line="209" w:lineRule="exact"/>
              <w:ind w:left="278"/>
              <w:rPr>
                <w:sz w:val="20"/>
              </w:rPr>
            </w:pPr>
            <w:r>
              <w:rPr>
                <w:spacing w:val="-2"/>
                <w:sz w:val="20"/>
              </w:rPr>
              <w:t>D(EXTDEBT(-</w:t>
            </w:r>
            <w:r>
              <w:rPr>
                <w:spacing w:val="-5"/>
                <w:sz w:val="20"/>
              </w:rPr>
              <w:t>1))</w:t>
            </w:r>
          </w:p>
        </w:tc>
        <w:tc>
          <w:tcPr>
            <w:tcW w:w="1305" w:type="dxa"/>
          </w:tcPr>
          <w:p>
            <w:pPr>
              <w:pStyle w:val="TableParagraph"/>
              <w:spacing w:line="209" w:lineRule="exact"/>
              <w:ind w:right="128"/>
              <w:jc w:val="right"/>
              <w:rPr>
                <w:sz w:val="20"/>
              </w:rPr>
            </w:pPr>
            <w:r>
              <w:rPr>
                <w:spacing w:val="-4"/>
                <w:sz w:val="20"/>
              </w:rPr>
              <w:t>-</w:t>
            </w:r>
            <w:r>
              <w:rPr>
                <w:spacing w:val="-2"/>
                <w:sz w:val="20"/>
              </w:rPr>
              <w:t>0.299084</w:t>
            </w:r>
          </w:p>
        </w:tc>
        <w:tc>
          <w:tcPr>
            <w:tcW w:w="1432" w:type="dxa"/>
          </w:tcPr>
          <w:p>
            <w:pPr>
              <w:pStyle w:val="TableParagraph"/>
              <w:spacing w:line="209" w:lineRule="exact"/>
              <w:ind w:left="311"/>
              <w:rPr>
                <w:sz w:val="20"/>
              </w:rPr>
            </w:pPr>
            <w:r>
              <w:rPr>
                <w:spacing w:val="-2"/>
                <w:sz w:val="20"/>
              </w:rPr>
              <w:t>0.146248</w:t>
            </w:r>
          </w:p>
        </w:tc>
        <w:tc>
          <w:tcPr>
            <w:tcW w:w="936" w:type="dxa"/>
          </w:tcPr>
          <w:p>
            <w:pPr>
              <w:pStyle w:val="TableParagraph"/>
              <w:spacing w:line="209" w:lineRule="exact"/>
              <w:ind w:right="110"/>
              <w:jc w:val="right"/>
              <w:rPr>
                <w:sz w:val="20"/>
              </w:rPr>
            </w:pPr>
            <w:r>
              <w:rPr>
                <w:spacing w:val="-4"/>
                <w:sz w:val="20"/>
              </w:rPr>
              <w:t>-</w:t>
            </w:r>
            <w:r>
              <w:rPr>
                <w:spacing w:val="-2"/>
                <w:sz w:val="20"/>
              </w:rPr>
              <w:t>2.045049</w:t>
            </w:r>
          </w:p>
        </w:tc>
        <w:tc>
          <w:tcPr>
            <w:tcW w:w="896" w:type="dxa"/>
          </w:tcPr>
          <w:p>
            <w:pPr>
              <w:pStyle w:val="TableParagraph"/>
              <w:spacing w:line="209" w:lineRule="exact"/>
              <w:ind w:right="26"/>
              <w:jc w:val="right"/>
              <w:rPr>
                <w:sz w:val="20"/>
              </w:rPr>
            </w:pPr>
            <w:r>
              <w:rPr>
                <w:spacing w:val="-2"/>
                <w:sz w:val="20"/>
              </w:rPr>
              <w:t>0.0480</w:t>
            </w:r>
          </w:p>
        </w:tc>
      </w:tr>
      <w:tr>
        <w:trPr>
          <w:trHeight w:val="224" w:hRule="atLeast"/>
        </w:trPr>
        <w:tc>
          <w:tcPr>
            <w:tcW w:w="1917" w:type="dxa"/>
            <w:tcBorders>
              <w:bottom w:val="double" w:sz="6" w:space="0" w:color="000000"/>
            </w:tcBorders>
          </w:tcPr>
          <w:p>
            <w:pPr>
              <w:pStyle w:val="TableParagraph"/>
              <w:spacing w:line="205" w:lineRule="exact"/>
              <w:ind w:left="127"/>
              <w:jc w:val="center"/>
              <w:rPr>
                <w:sz w:val="20"/>
              </w:rPr>
            </w:pPr>
            <w:r>
              <w:rPr>
                <w:spacing w:val="-10"/>
                <w:sz w:val="20"/>
              </w:rPr>
              <w:t>C</w:t>
            </w:r>
          </w:p>
        </w:tc>
        <w:tc>
          <w:tcPr>
            <w:tcW w:w="1305" w:type="dxa"/>
            <w:tcBorders>
              <w:bottom w:val="double" w:sz="6" w:space="0" w:color="000000"/>
            </w:tcBorders>
          </w:tcPr>
          <w:p>
            <w:pPr>
              <w:pStyle w:val="TableParagraph"/>
              <w:spacing w:line="205" w:lineRule="exact"/>
              <w:ind w:right="128"/>
              <w:jc w:val="right"/>
              <w:rPr>
                <w:sz w:val="20"/>
              </w:rPr>
            </w:pPr>
            <w:r>
              <w:rPr>
                <w:spacing w:val="-2"/>
                <w:sz w:val="20"/>
              </w:rPr>
              <w:t>2.103002</w:t>
            </w:r>
          </w:p>
        </w:tc>
        <w:tc>
          <w:tcPr>
            <w:tcW w:w="1432" w:type="dxa"/>
            <w:tcBorders>
              <w:bottom w:val="double" w:sz="6" w:space="0" w:color="000000"/>
            </w:tcBorders>
          </w:tcPr>
          <w:p>
            <w:pPr>
              <w:pStyle w:val="TableParagraph"/>
              <w:spacing w:line="205" w:lineRule="exact"/>
              <w:ind w:left="311"/>
              <w:rPr>
                <w:sz w:val="20"/>
              </w:rPr>
            </w:pPr>
            <w:r>
              <w:rPr>
                <w:spacing w:val="-2"/>
                <w:sz w:val="20"/>
              </w:rPr>
              <w:t>0.848483</w:t>
            </w:r>
          </w:p>
        </w:tc>
        <w:tc>
          <w:tcPr>
            <w:tcW w:w="936" w:type="dxa"/>
            <w:tcBorders>
              <w:bottom w:val="double" w:sz="6" w:space="0" w:color="000000"/>
            </w:tcBorders>
          </w:tcPr>
          <w:p>
            <w:pPr>
              <w:pStyle w:val="TableParagraph"/>
              <w:spacing w:line="205" w:lineRule="exact"/>
              <w:ind w:right="110"/>
              <w:jc w:val="right"/>
              <w:rPr>
                <w:sz w:val="20"/>
              </w:rPr>
            </w:pPr>
            <w:r>
              <w:rPr>
                <w:spacing w:val="-2"/>
                <w:sz w:val="20"/>
              </w:rPr>
              <w:t>2.478544</w:t>
            </w:r>
          </w:p>
        </w:tc>
        <w:tc>
          <w:tcPr>
            <w:tcW w:w="896" w:type="dxa"/>
            <w:tcBorders>
              <w:bottom w:val="double" w:sz="6" w:space="0" w:color="000000"/>
            </w:tcBorders>
          </w:tcPr>
          <w:p>
            <w:pPr>
              <w:pStyle w:val="TableParagraph"/>
              <w:spacing w:line="205" w:lineRule="exact"/>
              <w:ind w:right="26"/>
              <w:jc w:val="right"/>
              <w:rPr>
                <w:sz w:val="20"/>
              </w:rPr>
            </w:pPr>
            <w:r>
              <w:rPr>
                <w:spacing w:val="-2"/>
                <w:sz w:val="20"/>
              </w:rPr>
              <w:t>0.0179</w:t>
            </w:r>
          </w:p>
        </w:tc>
      </w:tr>
      <w:tr>
        <w:trPr>
          <w:trHeight w:val="276" w:hRule="atLeast"/>
        </w:trPr>
        <w:tc>
          <w:tcPr>
            <w:tcW w:w="1917" w:type="dxa"/>
            <w:tcBorders>
              <w:top w:val="double" w:sz="6" w:space="0" w:color="000000"/>
            </w:tcBorders>
          </w:tcPr>
          <w:p>
            <w:pPr>
              <w:pStyle w:val="TableParagraph"/>
              <w:spacing w:line="214" w:lineRule="exact" w:before="42"/>
              <w:ind w:left="36"/>
              <w:rPr>
                <w:sz w:val="20"/>
              </w:rPr>
            </w:pPr>
            <w:r>
              <w:rPr>
                <w:spacing w:val="-2"/>
                <w:sz w:val="20"/>
              </w:rPr>
              <w:t>R-squared</w:t>
            </w:r>
          </w:p>
        </w:tc>
        <w:tc>
          <w:tcPr>
            <w:tcW w:w="1305" w:type="dxa"/>
            <w:tcBorders>
              <w:top w:val="double" w:sz="6" w:space="0" w:color="000000"/>
            </w:tcBorders>
          </w:tcPr>
          <w:p>
            <w:pPr>
              <w:pStyle w:val="TableParagraph"/>
              <w:spacing w:line="214" w:lineRule="exact" w:before="42"/>
              <w:ind w:right="128"/>
              <w:jc w:val="right"/>
              <w:rPr>
                <w:sz w:val="20"/>
              </w:rPr>
            </w:pPr>
            <w:r>
              <w:rPr>
                <w:spacing w:val="-2"/>
                <w:sz w:val="20"/>
              </w:rPr>
              <w:t>0.228160</w:t>
            </w:r>
          </w:p>
        </w:tc>
        <w:tc>
          <w:tcPr>
            <w:tcW w:w="2368" w:type="dxa"/>
            <w:gridSpan w:val="2"/>
            <w:tcBorders>
              <w:top w:val="double" w:sz="6" w:space="0" w:color="000000"/>
            </w:tcBorders>
          </w:tcPr>
          <w:p>
            <w:pPr>
              <w:pStyle w:val="TableParagraph"/>
              <w:spacing w:line="214" w:lineRule="exact" w:before="42"/>
              <w:ind w:left="131"/>
              <w:rPr>
                <w:sz w:val="20"/>
              </w:rPr>
            </w:pPr>
            <w:r>
              <w:rPr>
                <w:sz w:val="20"/>
              </w:rPr>
              <w:t>Mean</w:t>
            </w:r>
            <w:r>
              <w:rPr>
                <w:spacing w:val="-7"/>
                <w:sz w:val="20"/>
              </w:rPr>
              <w:t> </w:t>
            </w:r>
            <w:r>
              <w:rPr>
                <w:sz w:val="20"/>
              </w:rPr>
              <w:t>dependent</w:t>
            </w:r>
            <w:r>
              <w:rPr>
                <w:spacing w:val="-7"/>
                <w:sz w:val="20"/>
              </w:rPr>
              <w:t> </w:t>
            </w:r>
            <w:r>
              <w:rPr>
                <w:spacing w:val="-5"/>
                <w:sz w:val="20"/>
              </w:rPr>
              <w:t>var</w:t>
            </w:r>
          </w:p>
        </w:tc>
        <w:tc>
          <w:tcPr>
            <w:tcW w:w="896" w:type="dxa"/>
            <w:tcBorders>
              <w:top w:val="double" w:sz="6" w:space="0" w:color="000000"/>
            </w:tcBorders>
          </w:tcPr>
          <w:p>
            <w:pPr>
              <w:pStyle w:val="TableParagraph"/>
              <w:spacing w:line="214" w:lineRule="exact" w:before="42"/>
              <w:ind w:right="26"/>
              <w:jc w:val="right"/>
              <w:rPr>
                <w:sz w:val="20"/>
              </w:rPr>
            </w:pPr>
            <w:r>
              <w:rPr>
                <w:spacing w:val="-2"/>
                <w:sz w:val="20"/>
              </w:rPr>
              <w:t>0.274691</w:t>
            </w:r>
          </w:p>
        </w:tc>
      </w:tr>
      <w:tr>
        <w:trPr>
          <w:trHeight w:val="229" w:hRule="atLeast"/>
        </w:trPr>
        <w:tc>
          <w:tcPr>
            <w:tcW w:w="1917" w:type="dxa"/>
          </w:tcPr>
          <w:p>
            <w:pPr>
              <w:pStyle w:val="TableParagraph"/>
              <w:spacing w:line="209" w:lineRule="exact"/>
              <w:ind w:left="36"/>
              <w:rPr>
                <w:sz w:val="20"/>
              </w:rPr>
            </w:pPr>
            <w:r>
              <w:rPr>
                <w:sz w:val="20"/>
              </w:rPr>
              <w:t>Adjusted</w:t>
            </w:r>
            <w:r>
              <w:rPr>
                <w:spacing w:val="-10"/>
                <w:sz w:val="20"/>
              </w:rPr>
              <w:t> </w:t>
            </w:r>
            <w:r>
              <w:rPr>
                <w:sz w:val="20"/>
              </w:rPr>
              <w:t>R-</w:t>
            </w:r>
            <w:r>
              <w:rPr>
                <w:spacing w:val="-2"/>
                <w:sz w:val="20"/>
              </w:rPr>
              <w:t>squared</w:t>
            </w:r>
          </w:p>
        </w:tc>
        <w:tc>
          <w:tcPr>
            <w:tcW w:w="1305" w:type="dxa"/>
          </w:tcPr>
          <w:p>
            <w:pPr>
              <w:pStyle w:val="TableParagraph"/>
              <w:spacing w:line="209" w:lineRule="exact"/>
              <w:ind w:right="128"/>
              <w:jc w:val="right"/>
              <w:rPr>
                <w:sz w:val="20"/>
              </w:rPr>
            </w:pPr>
            <w:r>
              <w:rPr>
                <w:spacing w:val="-2"/>
                <w:sz w:val="20"/>
              </w:rPr>
              <w:t>0.186439</w:t>
            </w:r>
          </w:p>
        </w:tc>
        <w:tc>
          <w:tcPr>
            <w:tcW w:w="2368" w:type="dxa"/>
            <w:gridSpan w:val="2"/>
          </w:tcPr>
          <w:p>
            <w:pPr>
              <w:pStyle w:val="TableParagraph"/>
              <w:spacing w:line="209" w:lineRule="exact"/>
              <w:ind w:left="131"/>
              <w:rPr>
                <w:sz w:val="20"/>
              </w:rPr>
            </w:pPr>
            <w:r>
              <w:rPr>
                <w:sz w:val="20"/>
              </w:rPr>
              <w:t>S.D.</w:t>
            </w:r>
            <w:r>
              <w:rPr>
                <w:spacing w:val="-5"/>
                <w:sz w:val="20"/>
              </w:rPr>
              <w:t> </w:t>
            </w:r>
            <w:r>
              <w:rPr>
                <w:sz w:val="20"/>
              </w:rPr>
              <w:t>dependent</w:t>
            </w:r>
            <w:r>
              <w:rPr>
                <w:spacing w:val="-6"/>
                <w:sz w:val="20"/>
              </w:rPr>
              <w:t> </w:t>
            </w:r>
            <w:r>
              <w:rPr>
                <w:spacing w:val="-5"/>
                <w:sz w:val="20"/>
              </w:rPr>
              <w:t>var</w:t>
            </w:r>
          </w:p>
        </w:tc>
        <w:tc>
          <w:tcPr>
            <w:tcW w:w="896" w:type="dxa"/>
          </w:tcPr>
          <w:p>
            <w:pPr>
              <w:pStyle w:val="TableParagraph"/>
              <w:spacing w:line="209" w:lineRule="exact"/>
              <w:ind w:right="26"/>
              <w:jc w:val="right"/>
              <w:rPr>
                <w:sz w:val="20"/>
              </w:rPr>
            </w:pPr>
            <w:r>
              <w:rPr>
                <w:spacing w:val="-2"/>
                <w:sz w:val="20"/>
              </w:rPr>
              <w:t>2.270709</w:t>
            </w:r>
          </w:p>
        </w:tc>
      </w:tr>
      <w:tr>
        <w:trPr>
          <w:trHeight w:val="230" w:hRule="atLeast"/>
        </w:trPr>
        <w:tc>
          <w:tcPr>
            <w:tcW w:w="1917" w:type="dxa"/>
          </w:tcPr>
          <w:p>
            <w:pPr>
              <w:pStyle w:val="TableParagraph"/>
              <w:spacing w:line="210" w:lineRule="exact"/>
              <w:ind w:left="36"/>
              <w:rPr>
                <w:sz w:val="20"/>
              </w:rPr>
            </w:pPr>
            <w:r>
              <w:rPr>
                <w:sz w:val="20"/>
              </w:rPr>
              <w:t>S.E.</w:t>
            </w:r>
            <w:r>
              <w:rPr>
                <w:spacing w:val="-3"/>
                <w:sz w:val="20"/>
              </w:rPr>
              <w:t> </w:t>
            </w:r>
            <w:r>
              <w:rPr>
                <w:sz w:val="20"/>
              </w:rPr>
              <w:t>of</w:t>
            </w:r>
            <w:r>
              <w:rPr>
                <w:spacing w:val="-3"/>
                <w:sz w:val="20"/>
              </w:rPr>
              <w:t> </w:t>
            </w:r>
            <w:r>
              <w:rPr>
                <w:spacing w:val="-2"/>
                <w:sz w:val="20"/>
              </w:rPr>
              <w:t>regression</w:t>
            </w:r>
          </w:p>
        </w:tc>
        <w:tc>
          <w:tcPr>
            <w:tcW w:w="1305" w:type="dxa"/>
          </w:tcPr>
          <w:p>
            <w:pPr>
              <w:pStyle w:val="TableParagraph"/>
              <w:spacing w:line="210" w:lineRule="exact"/>
              <w:ind w:right="128"/>
              <w:jc w:val="right"/>
              <w:rPr>
                <w:sz w:val="20"/>
              </w:rPr>
            </w:pPr>
            <w:r>
              <w:rPr>
                <w:spacing w:val="-2"/>
                <w:sz w:val="20"/>
              </w:rPr>
              <w:t>2.048126</w:t>
            </w:r>
          </w:p>
        </w:tc>
        <w:tc>
          <w:tcPr>
            <w:tcW w:w="2368" w:type="dxa"/>
            <w:gridSpan w:val="2"/>
          </w:tcPr>
          <w:p>
            <w:pPr>
              <w:pStyle w:val="TableParagraph"/>
              <w:spacing w:line="210" w:lineRule="exact"/>
              <w:ind w:left="131"/>
              <w:rPr>
                <w:sz w:val="20"/>
              </w:rPr>
            </w:pPr>
            <w:r>
              <w:rPr>
                <w:sz w:val="20"/>
              </w:rPr>
              <w:t>Akaike</w:t>
            </w:r>
            <w:r>
              <w:rPr>
                <w:spacing w:val="-8"/>
                <w:sz w:val="20"/>
              </w:rPr>
              <w:t> </w:t>
            </w:r>
            <w:r>
              <w:rPr>
                <w:sz w:val="20"/>
              </w:rPr>
              <w:t>info</w:t>
            </w:r>
            <w:r>
              <w:rPr>
                <w:spacing w:val="-7"/>
                <w:sz w:val="20"/>
              </w:rPr>
              <w:t> </w:t>
            </w:r>
            <w:r>
              <w:rPr>
                <w:spacing w:val="-2"/>
                <w:sz w:val="20"/>
              </w:rPr>
              <w:t>criterion</w:t>
            </w:r>
          </w:p>
        </w:tc>
        <w:tc>
          <w:tcPr>
            <w:tcW w:w="896" w:type="dxa"/>
          </w:tcPr>
          <w:p>
            <w:pPr>
              <w:pStyle w:val="TableParagraph"/>
              <w:spacing w:line="210" w:lineRule="exact"/>
              <w:ind w:right="26"/>
              <w:jc w:val="right"/>
              <w:rPr>
                <w:sz w:val="20"/>
              </w:rPr>
            </w:pPr>
            <w:r>
              <w:rPr>
                <w:spacing w:val="-2"/>
                <w:sz w:val="20"/>
              </w:rPr>
              <w:t>4.343766</w:t>
            </w:r>
          </w:p>
        </w:tc>
      </w:tr>
      <w:tr>
        <w:trPr>
          <w:trHeight w:val="230" w:hRule="atLeast"/>
        </w:trPr>
        <w:tc>
          <w:tcPr>
            <w:tcW w:w="1917" w:type="dxa"/>
          </w:tcPr>
          <w:p>
            <w:pPr>
              <w:pStyle w:val="TableParagraph"/>
              <w:spacing w:line="210" w:lineRule="exact"/>
              <w:ind w:left="36"/>
              <w:rPr>
                <w:sz w:val="20"/>
              </w:rPr>
            </w:pPr>
            <w:r>
              <w:rPr>
                <w:sz w:val="20"/>
              </w:rPr>
              <w:t>Sum</w:t>
            </w:r>
            <w:r>
              <w:rPr>
                <w:spacing w:val="-8"/>
                <w:sz w:val="20"/>
              </w:rPr>
              <w:t> </w:t>
            </w:r>
            <w:r>
              <w:rPr>
                <w:sz w:val="20"/>
              </w:rPr>
              <w:t>squared</w:t>
            </w:r>
            <w:r>
              <w:rPr>
                <w:spacing w:val="-4"/>
                <w:sz w:val="20"/>
              </w:rPr>
              <w:t> </w:t>
            </w:r>
            <w:r>
              <w:rPr>
                <w:spacing w:val="-2"/>
                <w:sz w:val="20"/>
              </w:rPr>
              <w:t>resid</w:t>
            </w:r>
          </w:p>
        </w:tc>
        <w:tc>
          <w:tcPr>
            <w:tcW w:w="1305" w:type="dxa"/>
          </w:tcPr>
          <w:p>
            <w:pPr>
              <w:pStyle w:val="TableParagraph"/>
              <w:spacing w:line="210" w:lineRule="exact"/>
              <w:ind w:right="128"/>
              <w:jc w:val="right"/>
              <w:rPr>
                <w:sz w:val="20"/>
              </w:rPr>
            </w:pPr>
            <w:r>
              <w:rPr>
                <w:spacing w:val="-2"/>
                <w:sz w:val="20"/>
              </w:rPr>
              <w:t>155.2083</w:t>
            </w:r>
          </w:p>
        </w:tc>
        <w:tc>
          <w:tcPr>
            <w:tcW w:w="2368" w:type="dxa"/>
            <w:gridSpan w:val="2"/>
          </w:tcPr>
          <w:p>
            <w:pPr>
              <w:pStyle w:val="TableParagraph"/>
              <w:spacing w:line="210" w:lineRule="exact"/>
              <w:ind w:left="131"/>
              <w:rPr>
                <w:sz w:val="20"/>
              </w:rPr>
            </w:pPr>
            <w:r>
              <w:rPr>
                <w:sz w:val="20"/>
              </w:rPr>
              <w:t>Schwarz</w:t>
            </w:r>
            <w:r>
              <w:rPr>
                <w:spacing w:val="-8"/>
                <w:sz w:val="20"/>
              </w:rPr>
              <w:t> </w:t>
            </w:r>
            <w:r>
              <w:rPr>
                <w:spacing w:val="-2"/>
                <w:sz w:val="20"/>
              </w:rPr>
              <w:t>criterion</w:t>
            </w:r>
          </w:p>
        </w:tc>
        <w:tc>
          <w:tcPr>
            <w:tcW w:w="896" w:type="dxa"/>
          </w:tcPr>
          <w:p>
            <w:pPr>
              <w:pStyle w:val="TableParagraph"/>
              <w:spacing w:line="210" w:lineRule="exact"/>
              <w:ind w:right="26"/>
              <w:jc w:val="right"/>
              <w:rPr>
                <w:sz w:val="20"/>
              </w:rPr>
            </w:pPr>
            <w:r>
              <w:rPr>
                <w:spacing w:val="-2"/>
                <w:sz w:val="20"/>
              </w:rPr>
              <w:t>4.470432</w:t>
            </w:r>
          </w:p>
        </w:tc>
      </w:tr>
      <w:tr>
        <w:trPr>
          <w:trHeight w:val="230" w:hRule="atLeast"/>
        </w:trPr>
        <w:tc>
          <w:tcPr>
            <w:tcW w:w="1917" w:type="dxa"/>
          </w:tcPr>
          <w:p>
            <w:pPr>
              <w:pStyle w:val="TableParagraph"/>
              <w:spacing w:line="210" w:lineRule="exact"/>
              <w:ind w:left="36"/>
              <w:rPr>
                <w:sz w:val="20"/>
              </w:rPr>
            </w:pPr>
            <w:r>
              <w:rPr>
                <w:sz w:val="20"/>
              </w:rPr>
              <w:t>Log</w:t>
            </w:r>
            <w:r>
              <w:rPr>
                <w:spacing w:val="-6"/>
                <w:sz w:val="20"/>
              </w:rPr>
              <w:t> </w:t>
            </w:r>
            <w:r>
              <w:rPr>
                <w:spacing w:val="-2"/>
                <w:sz w:val="20"/>
              </w:rPr>
              <w:t>likelihood</w:t>
            </w:r>
          </w:p>
        </w:tc>
        <w:tc>
          <w:tcPr>
            <w:tcW w:w="1305" w:type="dxa"/>
          </w:tcPr>
          <w:p>
            <w:pPr>
              <w:pStyle w:val="TableParagraph"/>
              <w:spacing w:line="210" w:lineRule="exact"/>
              <w:ind w:right="128"/>
              <w:jc w:val="right"/>
              <w:rPr>
                <w:sz w:val="20"/>
              </w:rPr>
            </w:pPr>
            <w:r>
              <w:rPr>
                <w:spacing w:val="-4"/>
                <w:sz w:val="20"/>
              </w:rPr>
              <w:t>-</w:t>
            </w:r>
            <w:r>
              <w:rPr>
                <w:spacing w:val="-2"/>
                <w:sz w:val="20"/>
              </w:rPr>
              <w:t>83.87531</w:t>
            </w:r>
          </w:p>
        </w:tc>
        <w:tc>
          <w:tcPr>
            <w:tcW w:w="1432" w:type="dxa"/>
          </w:tcPr>
          <w:p>
            <w:pPr>
              <w:pStyle w:val="TableParagraph"/>
              <w:spacing w:line="210" w:lineRule="exact"/>
              <w:ind w:left="131"/>
              <w:rPr>
                <w:sz w:val="20"/>
              </w:rPr>
            </w:pPr>
            <w:r>
              <w:rPr>
                <w:spacing w:val="-4"/>
                <w:sz w:val="20"/>
              </w:rPr>
              <w:t>F-</w:t>
            </w:r>
            <w:r>
              <w:rPr>
                <w:spacing w:val="-2"/>
                <w:sz w:val="20"/>
              </w:rPr>
              <w:t>statistic</w:t>
            </w:r>
          </w:p>
        </w:tc>
        <w:tc>
          <w:tcPr>
            <w:tcW w:w="936" w:type="dxa"/>
          </w:tcPr>
          <w:p>
            <w:pPr>
              <w:pStyle w:val="TableParagraph"/>
              <w:rPr>
                <w:sz w:val="16"/>
              </w:rPr>
            </w:pPr>
          </w:p>
        </w:tc>
        <w:tc>
          <w:tcPr>
            <w:tcW w:w="896" w:type="dxa"/>
          </w:tcPr>
          <w:p>
            <w:pPr>
              <w:pStyle w:val="TableParagraph"/>
              <w:spacing w:line="210" w:lineRule="exact"/>
              <w:ind w:right="26"/>
              <w:jc w:val="right"/>
              <w:rPr>
                <w:sz w:val="20"/>
              </w:rPr>
            </w:pPr>
            <w:r>
              <w:rPr>
                <w:spacing w:val="-2"/>
                <w:sz w:val="20"/>
              </w:rPr>
              <w:t>5.468688</w:t>
            </w:r>
          </w:p>
        </w:tc>
      </w:tr>
      <w:tr>
        <w:trPr>
          <w:trHeight w:val="265" w:hRule="atLeast"/>
        </w:trPr>
        <w:tc>
          <w:tcPr>
            <w:tcW w:w="1917" w:type="dxa"/>
            <w:tcBorders>
              <w:bottom w:val="double" w:sz="6" w:space="0" w:color="000000"/>
            </w:tcBorders>
          </w:tcPr>
          <w:p>
            <w:pPr>
              <w:pStyle w:val="TableParagraph"/>
              <w:spacing w:line="226" w:lineRule="exact"/>
              <w:ind w:left="36"/>
              <w:rPr>
                <w:sz w:val="20"/>
              </w:rPr>
            </w:pPr>
            <w:r>
              <w:rPr>
                <w:sz w:val="20"/>
              </w:rPr>
              <w:t>Durbin-Watson</w:t>
            </w:r>
            <w:r>
              <w:rPr>
                <w:spacing w:val="-12"/>
                <w:sz w:val="20"/>
              </w:rPr>
              <w:t> </w:t>
            </w:r>
            <w:r>
              <w:rPr>
                <w:spacing w:val="-4"/>
                <w:sz w:val="20"/>
              </w:rPr>
              <w:t>stat</w:t>
            </w:r>
          </w:p>
        </w:tc>
        <w:tc>
          <w:tcPr>
            <w:tcW w:w="1305" w:type="dxa"/>
          </w:tcPr>
          <w:p>
            <w:pPr>
              <w:pStyle w:val="TableParagraph"/>
              <w:spacing w:line="226" w:lineRule="exact"/>
              <w:ind w:right="128"/>
              <w:jc w:val="right"/>
              <w:rPr>
                <w:sz w:val="20"/>
              </w:rPr>
            </w:pPr>
            <w:r>
              <w:rPr>
                <w:spacing w:val="-2"/>
                <w:sz w:val="20"/>
              </w:rPr>
              <w:t>2.246333</w:t>
            </w:r>
          </w:p>
        </w:tc>
        <w:tc>
          <w:tcPr>
            <w:tcW w:w="1432" w:type="dxa"/>
            <w:tcBorders>
              <w:bottom w:val="double" w:sz="6" w:space="0" w:color="000000"/>
            </w:tcBorders>
          </w:tcPr>
          <w:p>
            <w:pPr>
              <w:pStyle w:val="TableParagraph"/>
              <w:spacing w:line="226" w:lineRule="exact"/>
              <w:ind w:left="131"/>
              <w:rPr>
                <w:sz w:val="20"/>
              </w:rPr>
            </w:pPr>
            <w:r>
              <w:rPr>
                <w:spacing w:val="-2"/>
                <w:sz w:val="20"/>
              </w:rPr>
              <w:t>Prob(F-statistic)</w:t>
            </w:r>
          </w:p>
        </w:tc>
        <w:tc>
          <w:tcPr>
            <w:tcW w:w="936" w:type="dxa"/>
            <w:tcBorders>
              <w:bottom w:val="single" w:sz="6" w:space="0" w:color="000000"/>
            </w:tcBorders>
          </w:tcPr>
          <w:p>
            <w:pPr>
              <w:pStyle w:val="TableParagraph"/>
              <w:rPr>
                <w:sz w:val="18"/>
              </w:rPr>
            </w:pPr>
          </w:p>
        </w:tc>
        <w:tc>
          <w:tcPr>
            <w:tcW w:w="896" w:type="dxa"/>
            <w:tcBorders>
              <w:bottom w:val="double" w:sz="6" w:space="0" w:color="000000"/>
            </w:tcBorders>
          </w:tcPr>
          <w:p>
            <w:pPr>
              <w:pStyle w:val="TableParagraph"/>
              <w:spacing w:line="226" w:lineRule="exact"/>
              <w:ind w:right="26"/>
              <w:jc w:val="right"/>
              <w:rPr>
                <w:sz w:val="20"/>
              </w:rPr>
            </w:pPr>
            <w:r>
              <w:rPr>
                <w:spacing w:val="-2"/>
                <w:sz w:val="20"/>
              </w:rPr>
              <w:t>0.008303</w:t>
            </w:r>
          </w:p>
        </w:tc>
      </w:tr>
    </w:tbl>
    <w:p>
      <w:pPr>
        <w:pStyle w:val="BodyText"/>
        <w:rPr>
          <w:sz w:val="20"/>
        </w:rPr>
      </w:pPr>
    </w:p>
    <w:p>
      <w:pPr>
        <w:pStyle w:val="BodyText"/>
        <w:spacing w:before="16"/>
        <w:rPr>
          <w:sz w:val="20"/>
        </w:rPr>
      </w:pPr>
    </w:p>
    <w:p>
      <w:pPr>
        <w:spacing w:before="0"/>
        <w:ind w:left="711" w:right="0" w:firstLine="0"/>
        <w:jc w:val="left"/>
        <w:rPr>
          <w:sz w:val="20"/>
        </w:rPr>
      </w:pPr>
      <w:r>
        <w:rPr>
          <w:sz w:val="20"/>
        </w:rPr>
        <w:t>EXTDEBT</w:t>
      </w:r>
      <w:r>
        <w:rPr>
          <w:spacing w:val="-5"/>
          <w:sz w:val="20"/>
        </w:rPr>
        <w:t> </w:t>
      </w:r>
      <w:r>
        <w:rPr>
          <w:sz w:val="20"/>
        </w:rPr>
        <w:t>@</w:t>
      </w:r>
      <w:r>
        <w:rPr>
          <w:spacing w:val="-5"/>
          <w:sz w:val="20"/>
        </w:rPr>
        <w:t> </w:t>
      </w:r>
      <w:r>
        <w:rPr>
          <w:sz w:val="20"/>
        </w:rPr>
        <w:t>1</w:t>
      </w:r>
      <w:r>
        <w:rPr>
          <w:sz w:val="20"/>
          <w:vertAlign w:val="superscript"/>
        </w:rPr>
        <w:t>ST</w:t>
      </w:r>
      <w:r>
        <w:rPr>
          <w:spacing w:val="-4"/>
          <w:sz w:val="20"/>
          <w:vertAlign w:val="baseline"/>
        </w:rPr>
        <w:t> DIFF</w:t>
      </w:r>
    </w:p>
    <w:tbl>
      <w:tblPr>
        <w:tblW w:w="0" w:type="auto"/>
        <w:jc w:val="left"/>
        <w:tblInd w:w="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54"/>
        <w:gridCol w:w="1268"/>
        <w:gridCol w:w="1432"/>
        <w:gridCol w:w="904"/>
        <w:gridCol w:w="929"/>
      </w:tblGrid>
      <w:tr>
        <w:trPr>
          <w:trHeight w:val="225" w:hRule="atLeast"/>
        </w:trPr>
        <w:tc>
          <w:tcPr>
            <w:tcW w:w="1954" w:type="dxa"/>
          </w:tcPr>
          <w:p>
            <w:pPr>
              <w:pStyle w:val="TableParagraph"/>
              <w:spacing w:line="205" w:lineRule="exact"/>
              <w:ind w:left="36"/>
              <w:rPr>
                <w:sz w:val="20"/>
              </w:rPr>
            </w:pPr>
            <w:r>
              <w:rPr>
                <w:sz w:val="20"/>
              </w:rPr>
              <w:t>ADF</w:t>
            </w:r>
            <w:r>
              <w:rPr>
                <w:spacing w:val="-4"/>
                <w:sz w:val="20"/>
              </w:rPr>
              <w:t> </w:t>
            </w:r>
            <w:r>
              <w:rPr>
                <w:sz w:val="20"/>
              </w:rPr>
              <w:t>Test</w:t>
            </w:r>
            <w:r>
              <w:rPr>
                <w:spacing w:val="-4"/>
                <w:sz w:val="20"/>
              </w:rPr>
              <w:t> </w:t>
            </w:r>
            <w:r>
              <w:rPr>
                <w:spacing w:val="-2"/>
                <w:sz w:val="20"/>
              </w:rPr>
              <w:t>Statistic</w:t>
            </w:r>
          </w:p>
        </w:tc>
        <w:tc>
          <w:tcPr>
            <w:tcW w:w="1268" w:type="dxa"/>
          </w:tcPr>
          <w:p>
            <w:pPr>
              <w:pStyle w:val="TableParagraph"/>
              <w:spacing w:line="205" w:lineRule="exact"/>
              <w:ind w:left="112"/>
              <w:rPr>
                <w:sz w:val="20"/>
              </w:rPr>
            </w:pPr>
            <w:r>
              <w:rPr>
                <w:spacing w:val="-4"/>
                <w:sz w:val="20"/>
              </w:rPr>
              <w:t>-</w:t>
            </w:r>
            <w:r>
              <w:rPr>
                <w:spacing w:val="-2"/>
                <w:sz w:val="20"/>
              </w:rPr>
              <w:t>8.348753</w:t>
            </w:r>
          </w:p>
        </w:tc>
        <w:tc>
          <w:tcPr>
            <w:tcW w:w="2336" w:type="dxa"/>
            <w:gridSpan w:val="2"/>
          </w:tcPr>
          <w:p>
            <w:pPr>
              <w:pStyle w:val="TableParagraph"/>
              <w:spacing w:line="205" w:lineRule="exact"/>
              <w:ind w:left="131"/>
              <w:rPr>
                <w:sz w:val="20"/>
              </w:rPr>
            </w:pPr>
            <w:r>
              <w:rPr>
                <w:sz w:val="20"/>
              </w:rPr>
              <w:t>1%</w:t>
            </w:r>
            <w:r>
              <w:rPr>
                <w:spacing w:val="68"/>
                <w:w w:val="150"/>
                <w:sz w:val="20"/>
              </w:rPr>
              <w:t> </w:t>
            </w:r>
            <w:r>
              <w:rPr>
                <w:sz w:val="20"/>
              </w:rPr>
              <w:t>Critical</w:t>
            </w:r>
            <w:r>
              <w:rPr>
                <w:spacing w:val="-2"/>
                <w:sz w:val="20"/>
              </w:rPr>
              <w:t> Value*</w:t>
            </w:r>
          </w:p>
        </w:tc>
        <w:tc>
          <w:tcPr>
            <w:tcW w:w="929" w:type="dxa"/>
          </w:tcPr>
          <w:p>
            <w:pPr>
              <w:pStyle w:val="TableParagraph"/>
              <w:spacing w:line="205" w:lineRule="exact"/>
              <w:ind w:right="27"/>
              <w:jc w:val="right"/>
              <w:rPr>
                <w:sz w:val="20"/>
              </w:rPr>
            </w:pPr>
            <w:r>
              <w:rPr>
                <w:spacing w:val="-4"/>
                <w:sz w:val="20"/>
              </w:rPr>
              <w:t>-</w:t>
            </w:r>
            <w:r>
              <w:rPr>
                <w:spacing w:val="-2"/>
                <w:sz w:val="20"/>
              </w:rPr>
              <w:t>3.6067</w:t>
            </w:r>
          </w:p>
        </w:tc>
      </w:tr>
      <w:tr>
        <w:trPr>
          <w:trHeight w:val="230" w:hRule="atLeast"/>
        </w:trPr>
        <w:tc>
          <w:tcPr>
            <w:tcW w:w="1954" w:type="dxa"/>
          </w:tcPr>
          <w:p>
            <w:pPr>
              <w:pStyle w:val="TableParagraph"/>
              <w:rPr>
                <w:sz w:val="16"/>
              </w:rPr>
            </w:pPr>
          </w:p>
        </w:tc>
        <w:tc>
          <w:tcPr>
            <w:tcW w:w="1268" w:type="dxa"/>
          </w:tcPr>
          <w:p>
            <w:pPr>
              <w:pStyle w:val="TableParagraph"/>
              <w:rPr>
                <w:sz w:val="16"/>
              </w:rPr>
            </w:pPr>
          </w:p>
        </w:tc>
        <w:tc>
          <w:tcPr>
            <w:tcW w:w="2336" w:type="dxa"/>
            <w:gridSpan w:val="2"/>
          </w:tcPr>
          <w:p>
            <w:pPr>
              <w:pStyle w:val="TableParagraph"/>
              <w:spacing w:line="210" w:lineRule="exact"/>
              <w:ind w:left="131"/>
              <w:rPr>
                <w:sz w:val="20"/>
              </w:rPr>
            </w:pPr>
            <w:r>
              <w:rPr>
                <w:sz w:val="20"/>
              </w:rPr>
              <w:t>5%</w:t>
            </w:r>
            <w:r>
              <w:rPr>
                <w:spacing w:val="68"/>
                <w:w w:val="150"/>
                <w:sz w:val="20"/>
              </w:rPr>
              <w:t> </w:t>
            </w:r>
            <w:r>
              <w:rPr>
                <w:sz w:val="20"/>
              </w:rPr>
              <w:t>Critical</w:t>
            </w:r>
            <w:r>
              <w:rPr>
                <w:spacing w:val="-2"/>
                <w:sz w:val="20"/>
              </w:rPr>
              <w:t> </w:t>
            </w:r>
            <w:r>
              <w:rPr>
                <w:spacing w:val="-4"/>
                <w:sz w:val="20"/>
              </w:rPr>
              <w:t>Value</w:t>
            </w:r>
          </w:p>
        </w:tc>
        <w:tc>
          <w:tcPr>
            <w:tcW w:w="929" w:type="dxa"/>
          </w:tcPr>
          <w:p>
            <w:pPr>
              <w:pStyle w:val="TableParagraph"/>
              <w:spacing w:line="210" w:lineRule="exact"/>
              <w:ind w:right="27"/>
              <w:jc w:val="right"/>
              <w:rPr>
                <w:sz w:val="20"/>
              </w:rPr>
            </w:pPr>
            <w:r>
              <w:rPr>
                <w:spacing w:val="-4"/>
                <w:sz w:val="20"/>
              </w:rPr>
              <w:t>-</w:t>
            </w:r>
            <w:r>
              <w:rPr>
                <w:spacing w:val="-2"/>
                <w:sz w:val="20"/>
              </w:rPr>
              <w:t>2.9378</w:t>
            </w:r>
          </w:p>
        </w:tc>
      </w:tr>
      <w:tr>
        <w:trPr>
          <w:trHeight w:val="224" w:hRule="atLeast"/>
        </w:trPr>
        <w:tc>
          <w:tcPr>
            <w:tcW w:w="1954" w:type="dxa"/>
            <w:tcBorders>
              <w:bottom w:val="double" w:sz="6" w:space="0" w:color="000000"/>
            </w:tcBorders>
          </w:tcPr>
          <w:p>
            <w:pPr>
              <w:pStyle w:val="TableParagraph"/>
              <w:rPr>
                <w:sz w:val="16"/>
              </w:rPr>
            </w:pPr>
          </w:p>
        </w:tc>
        <w:tc>
          <w:tcPr>
            <w:tcW w:w="1268" w:type="dxa"/>
            <w:tcBorders>
              <w:bottom w:val="double" w:sz="6" w:space="0" w:color="000000"/>
            </w:tcBorders>
          </w:tcPr>
          <w:p>
            <w:pPr>
              <w:pStyle w:val="TableParagraph"/>
              <w:rPr>
                <w:sz w:val="16"/>
              </w:rPr>
            </w:pPr>
          </w:p>
        </w:tc>
        <w:tc>
          <w:tcPr>
            <w:tcW w:w="2336" w:type="dxa"/>
            <w:gridSpan w:val="2"/>
            <w:tcBorders>
              <w:bottom w:val="double" w:sz="6" w:space="0" w:color="000000"/>
            </w:tcBorders>
          </w:tcPr>
          <w:p>
            <w:pPr>
              <w:pStyle w:val="TableParagraph"/>
              <w:spacing w:line="205" w:lineRule="exact"/>
              <w:ind w:left="131"/>
              <w:rPr>
                <w:sz w:val="20"/>
              </w:rPr>
            </w:pPr>
            <w:r>
              <w:rPr>
                <w:sz w:val="20"/>
              </w:rPr>
              <w:t>10%</w:t>
            </w:r>
            <w:r>
              <w:rPr>
                <w:spacing w:val="-6"/>
                <w:sz w:val="20"/>
              </w:rPr>
              <w:t> </w:t>
            </w:r>
            <w:r>
              <w:rPr>
                <w:sz w:val="20"/>
              </w:rPr>
              <w:t>Critical</w:t>
            </w:r>
            <w:r>
              <w:rPr>
                <w:spacing w:val="-4"/>
                <w:sz w:val="20"/>
              </w:rPr>
              <w:t> </w:t>
            </w:r>
            <w:r>
              <w:rPr>
                <w:spacing w:val="-2"/>
                <w:sz w:val="20"/>
              </w:rPr>
              <w:t>Value</w:t>
            </w:r>
          </w:p>
        </w:tc>
        <w:tc>
          <w:tcPr>
            <w:tcW w:w="929" w:type="dxa"/>
            <w:tcBorders>
              <w:bottom w:val="double" w:sz="6" w:space="0" w:color="000000"/>
            </w:tcBorders>
          </w:tcPr>
          <w:p>
            <w:pPr>
              <w:pStyle w:val="TableParagraph"/>
              <w:spacing w:line="205" w:lineRule="exact"/>
              <w:ind w:right="27"/>
              <w:jc w:val="right"/>
              <w:rPr>
                <w:sz w:val="20"/>
              </w:rPr>
            </w:pPr>
            <w:r>
              <w:rPr>
                <w:spacing w:val="-4"/>
                <w:sz w:val="20"/>
              </w:rPr>
              <w:t>-</w:t>
            </w:r>
            <w:r>
              <w:rPr>
                <w:spacing w:val="-2"/>
                <w:sz w:val="20"/>
              </w:rPr>
              <w:t>2.6069</w:t>
            </w:r>
          </w:p>
        </w:tc>
      </w:tr>
      <w:tr>
        <w:trPr>
          <w:trHeight w:val="505" w:hRule="atLeast"/>
        </w:trPr>
        <w:tc>
          <w:tcPr>
            <w:tcW w:w="6487" w:type="dxa"/>
            <w:gridSpan w:val="5"/>
            <w:tcBorders>
              <w:top w:val="double" w:sz="6" w:space="0" w:color="000000"/>
            </w:tcBorders>
          </w:tcPr>
          <w:p>
            <w:pPr>
              <w:pStyle w:val="TableParagraph"/>
              <w:spacing w:before="40"/>
              <w:ind w:left="36"/>
              <w:rPr>
                <w:sz w:val="20"/>
              </w:rPr>
            </w:pPr>
            <w:r>
              <w:rPr>
                <w:sz w:val="20"/>
              </w:rPr>
              <w:t>*MacKinnon</w:t>
            </w:r>
            <w:r>
              <w:rPr>
                <w:spacing w:val="-6"/>
                <w:sz w:val="20"/>
              </w:rPr>
              <w:t> </w:t>
            </w:r>
            <w:r>
              <w:rPr>
                <w:sz w:val="20"/>
              </w:rPr>
              <w:t>critical</w:t>
            </w:r>
            <w:r>
              <w:rPr>
                <w:spacing w:val="-4"/>
                <w:sz w:val="20"/>
              </w:rPr>
              <w:t> </w:t>
            </w:r>
            <w:r>
              <w:rPr>
                <w:sz w:val="20"/>
              </w:rPr>
              <w:t>values</w:t>
            </w:r>
            <w:r>
              <w:rPr>
                <w:spacing w:val="-6"/>
                <w:sz w:val="20"/>
              </w:rPr>
              <w:t> </w:t>
            </w:r>
            <w:r>
              <w:rPr>
                <w:sz w:val="20"/>
              </w:rPr>
              <w:t>for</w:t>
            </w:r>
            <w:r>
              <w:rPr>
                <w:spacing w:val="-4"/>
                <w:sz w:val="20"/>
              </w:rPr>
              <w:t> </w:t>
            </w:r>
            <w:r>
              <w:rPr>
                <w:sz w:val="20"/>
              </w:rPr>
              <w:t>rejection</w:t>
            </w:r>
            <w:r>
              <w:rPr>
                <w:spacing w:val="-5"/>
                <w:sz w:val="20"/>
              </w:rPr>
              <w:t> </w:t>
            </w:r>
            <w:r>
              <w:rPr>
                <w:sz w:val="20"/>
              </w:rPr>
              <w:t>of</w:t>
            </w:r>
            <w:r>
              <w:rPr>
                <w:spacing w:val="-7"/>
                <w:sz w:val="20"/>
              </w:rPr>
              <w:t> </w:t>
            </w:r>
            <w:r>
              <w:rPr>
                <w:sz w:val="20"/>
              </w:rPr>
              <w:t>hypothesis</w:t>
            </w:r>
            <w:r>
              <w:rPr>
                <w:spacing w:val="-5"/>
                <w:sz w:val="20"/>
              </w:rPr>
              <w:t> </w:t>
            </w:r>
            <w:r>
              <w:rPr>
                <w:sz w:val="20"/>
              </w:rPr>
              <w:t>of</w:t>
            </w:r>
            <w:r>
              <w:rPr>
                <w:spacing w:val="-6"/>
                <w:sz w:val="20"/>
              </w:rPr>
              <w:t> </w:t>
            </w:r>
            <w:r>
              <w:rPr>
                <w:sz w:val="20"/>
              </w:rPr>
              <w:t>a</w:t>
            </w:r>
            <w:r>
              <w:rPr>
                <w:spacing w:val="-5"/>
                <w:sz w:val="20"/>
              </w:rPr>
              <w:t> </w:t>
            </w:r>
            <w:r>
              <w:rPr>
                <w:sz w:val="20"/>
              </w:rPr>
              <w:t>unit</w:t>
            </w:r>
            <w:r>
              <w:rPr>
                <w:spacing w:val="2"/>
                <w:sz w:val="20"/>
              </w:rPr>
              <w:t> </w:t>
            </w:r>
            <w:r>
              <w:rPr>
                <w:spacing w:val="-2"/>
                <w:sz w:val="20"/>
              </w:rPr>
              <w:t>root.</w:t>
            </w:r>
          </w:p>
        </w:tc>
      </w:tr>
      <w:tr>
        <w:trPr>
          <w:trHeight w:val="460" w:hRule="atLeast"/>
        </w:trPr>
        <w:tc>
          <w:tcPr>
            <w:tcW w:w="6487" w:type="dxa"/>
            <w:gridSpan w:val="5"/>
          </w:tcPr>
          <w:p>
            <w:pPr>
              <w:pStyle w:val="TableParagraph"/>
              <w:spacing w:line="215" w:lineRule="exact" w:before="226"/>
              <w:ind w:left="36"/>
              <w:rPr>
                <w:sz w:val="20"/>
              </w:rPr>
            </w:pPr>
            <w:r>
              <w:rPr>
                <w:sz w:val="20"/>
              </w:rPr>
              <w:t>Augmented</w:t>
            </w:r>
            <w:r>
              <w:rPr>
                <w:spacing w:val="-8"/>
                <w:sz w:val="20"/>
              </w:rPr>
              <w:t> </w:t>
            </w:r>
            <w:r>
              <w:rPr>
                <w:sz w:val="20"/>
              </w:rPr>
              <w:t>Dickey-Fuller</w:t>
            </w:r>
            <w:r>
              <w:rPr>
                <w:spacing w:val="-8"/>
                <w:sz w:val="20"/>
              </w:rPr>
              <w:t> </w:t>
            </w:r>
            <w:r>
              <w:rPr>
                <w:sz w:val="20"/>
              </w:rPr>
              <w:t>Test</w:t>
            </w:r>
            <w:r>
              <w:rPr>
                <w:spacing w:val="-9"/>
                <w:sz w:val="20"/>
              </w:rPr>
              <w:t> </w:t>
            </w:r>
            <w:r>
              <w:rPr>
                <w:spacing w:val="-2"/>
                <w:sz w:val="20"/>
              </w:rPr>
              <w:t>Equation</w:t>
            </w:r>
          </w:p>
        </w:tc>
      </w:tr>
      <w:tr>
        <w:trPr>
          <w:trHeight w:val="229" w:hRule="atLeast"/>
        </w:trPr>
        <w:tc>
          <w:tcPr>
            <w:tcW w:w="6487" w:type="dxa"/>
            <w:gridSpan w:val="5"/>
          </w:tcPr>
          <w:p>
            <w:pPr>
              <w:pStyle w:val="TableParagraph"/>
              <w:spacing w:line="209" w:lineRule="exact"/>
              <w:ind w:left="36"/>
              <w:rPr>
                <w:sz w:val="20"/>
              </w:rPr>
            </w:pPr>
            <w:r>
              <w:rPr>
                <w:sz w:val="20"/>
              </w:rPr>
              <w:t>Dependent</w:t>
            </w:r>
            <w:r>
              <w:rPr>
                <w:spacing w:val="-8"/>
                <w:sz w:val="20"/>
              </w:rPr>
              <w:t> </w:t>
            </w:r>
            <w:r>
              <w:rPr>
                <w:sz w:val="20"/>
              </w:rPr>
              <w:t>Variable:</w:t>
            </w:r>
            <w:r>
              <w:rPr>
                <w:spacing w:val="-8"/>
                <w:sz w:val="20"/>
              </w:rPr>
              <w:t> </w:t>
            </w:r>
            <w:r>
              <w:rPr>
                <w:spacing w:val="-2"/>
                <w:sz w:val="20"/>
              </w:rPr>
              <w:t>D(EXTDEBT,2)</w:t>
            </w:r>
          </w:p>
        </w:tc>
      </w:tr>
      <w:tr>
        <w:trPr>
          <w:trHeight w:val="229" w:hRule="atLeast"/>
        </w:trPr>
        <w:tc>
          <w:tcPr>
            <w:tcW w:w="1954" w:type="dxa"/>
          </w:tcPr>
          <w:p>
            <w:pPr>
              <w:pStyle w:val="TableParagraph"/>
              <w:spacing w:line="209" w:lineRule="exact"/>
              <w:ind w:left="36"/>
              <w:rPr>
                <w:sz w:val="20"/>
              </w:rPr>
            </w:pPr>
            <w:r>
              <w:rPr>
                <w:sz w:val="20"/>
              </w:rPr>
              <w:t>Method:</w:t>
            </w:r>
            <w:r>
              <w:rPr>
                <w:spacing w:val="-8"/>
                <w:sz w:val="20"/>
              </w:rPr>
              <w:t> </w:t>
            </w:r>
            <w:r>
              <w:rPr>
                <w:sz w:val="20"/>
              </w:rPr>
              <w:t>Least</w:t>
            </w:r>
            <w:r>
              <w:rPr>
                <w:spacing w:val="-7"/>
                <w:sz w:val="20"/>
              </w:rPr>
              <w:t> </w:t>
            </w:r>
            <w:r>
              <w:rPr>
                <w:spacing w:val="-2"/>
                <w:sz w:val="20"/>
              </w:rPr>
              <w:t>Squares</w:t>
            </w:r>
          </w:p>
        </w:tc>
        <w:tc>
          <w:tcPr>
            <w:tcW w:w="1268" w:type="dxa"/>
          </w:tcPr>
          <w:p>
            <w:pPr>
              <w:pStyle w:val="TableParagraph"/>
              <w:rPr>
                <w:sz w:val="16"/>
              </w:rPr>
            </w:pPr>
          </w:p>
        </w:tc>
        <w:tc>
          <w:tcPr>
            <w:tcW w:w="1432" w:type="dxa"/>
          </w:tcPr>
          <w:p>
            <w:pPr>
              <w:pStyle w:val="TableParagraph"/>
              <w:rPr>
                <w:sz w:val="16"/>
              </w:rPr>
            </w:pPr>
          </w:p>
        </w:tc>
        <w:tc>
          <w:tcPr>
            <w:tcW w:w="904" w:type="dxa"/>
          </w:tcPr>
          <w:p>
            <w:pPr>
              <w:pStyle w:val="TableParagraph"/>
              <w:rPr>
                <w:sz w:val="16"/>
              </w:rPr>
            </w:pPr>
          </w:p>
        </w:tc>
        <w:tc>
          <w:tcPr>
            <w:tcW w:w="929" w:type="dxa"/>
          </w:tcPr>
          <w:p>
            <w:pPr>
              <w:pStyle w:val="TableParagraph"/>
              <w:rPr>
                <w:sz w:val="16"/>
              </w:rPr>
            </w:pPr>
          </w:p>
        </w:tc>
      </w:tr>
      <w:tr>
        <w:trPr>
          <w:trHeight w:val="230" w:hRule="atLeast"/>
        </w:trPr>
        <w:tc>
          <w:tcPr>
            <w:tcW w:w="6487" w:type="dxa"/>
            <w:gridSpan w:val="5"/>
          </w:tcPr>
          <w:p>
            <w:pPr>
              <w:pStyle w:val="TableParagraph"/>
              <w:spacing w:line="210" w:lineRule="exact"/>
              <w:ind w:left="36"/>
              <w:rPr>
                <w:sz w:val="20"/>
              </w:rPr>
            </w:pPr>
            <w:r>
              <w:rPr>
                <w:sz w:val="20"/>
              </w:rPr>
              <w:t>Date:</w:t>
            </w:r>
            <w:r>
              <w:rPr>
                <w:spacing w:val="-5"/>
                <w:sz w:val="20"/>
              </w:rPr>
              <w:t> </w:t>
            </w:r>
            <w:r>
              <w:rPr>
                <w:sz w:val="20"/>
              </w:rPr>
              <w:t>02/18/14</w:t>
            </w:r>
            <w:r>
              <w:rPr>
                <w:spacing w:val="63"/>
                <w:w w:val="150"/>
                <w:sz w:val="20"/>
              </w:rPr>
              <w:t> </w:t>
            </w:r>
            <w:r>
              <w:rPr>
                <w:sz w:val="20"/>
              </w:rPr>
              <w:t>Time:</w:t>
            </w:r>
            <w:r>
              <w:rPr>
                <w:spacing w:val="-3"/>
                <w:sz w:val="20"/>
              </w:rPr>
              <w:t> </w:t>
            </w:r>
            <w:r>
              <w:rPr>
                <w:spacing w:val="-2"/>
                <w:sz w:val="20"/>
              </w:rPr>
              <w:t>13:32</w:t>
            </w:r>
          </w:p>
        </w:tc>
      </w:tr>
      <w:tr>
        <w:trPr>
          <w:trHeight w:val="230" w:hRule="atLeast"/>
        </w:trPr>
        <w:tc>
          <w:tcPr>
            <w:tcW w:w="6487" w:type="dxa"/>
            <w:gridSpan w:val="5"/>
          </w:tcPr>
          <w:p>
            <w:pPr>
              <w:pStyle w:val="TableParagraph"/>
              <w:spacing w:line="210" w:lineRule="exact"/>
              <w:ind w:left="36"/>
              <w:rPr>
                <w:sz w:val="20"/>
              </w:rPr>
            </w:pPr>
            <w:r>
              <w:rPr>
                <w:sz w:val="20"/>
              </w:rPr>
              <w:t>Sample(adjusted):</w:t>
            </w:r>
            <w:r>
              <w:rPr>
                <w:spacing w:val="-9"/>
                <w:sz w:val="20"/>
              </w:rPr>
              <w:t> </w:t>
            </w:r>
            <w:r>
              <w:rPr>
                <w:sz w:val="20"/>
              </w:rPr>
              <w:t>1973</w:t>
            </w:r>
            <w:r>
              <w:rPr>
                <w:spacing w:val="-9"/>
                <w:sz w:val="20"/>
              </w:rPr>
              <w:t> </w:t>
            </w:r>
            <w:r>
              <w:rPr>
                <w:spacing w:val="-4"/>
                <w:sz w:val="20"/>
              </w:rPr>
              <w:t>2011</w:t>
            </w:r>
          </w:p>
        </w:tc>
      </w:tr>
      <w:tr>
        <w:trPr>
          <w:trHeight w:val="224" w:hRule="atLeast"/>
        </w:trPr>
        <w:tc>
          <w:tcPr>
            <w:tcW w:w="6487" w:type="dxa"/>
            <w:gridSpan w:val="5"/>
            <w:tcBorders>
              <w:bottom w:val="double" w:sz="6" w:space="0" w:color="000000"/>
            </w:tcBorders>
          </w:tcPr>
          <w:p>
            <w:pPr>
              <w:pStyle w:val="TableParagraph"/>
              <w:spacing w:line="205" w:lineRule="exact"/>
              <w:ind w:left="36"/>
              <w:rPr>
                <w:sz w:val="20"/>
              </w:rPr>
            </w:pPr>
            <w:r>
              <w:rPr>
                <w:sz w:val="20"/>
              </w:rPr>
              <w:t>Included</w:t>
            </w:r>
            <w:r>
              <w:rPr>
                <w:spacing w:val="-6"/>
                <w:sz w:val="20"/>
              </w:rPr>
              <w:t> </w:t>
            </w:r>
            <w:r>
              <w:rPr>
                <w:sz w:val="20"/>
              </w:rPr>
              <w:t>observations:</w:t>
            </w:r>
            <w:r>
              <w:rPr>
                <w:spacing w:val="-8"/>
                <w:sz w:val="20"/>
              </w:rPr>
              <w:t> </w:t>
            </w:r>
            <w:r>
              <w:rPr>
                <w:sz w:val="20"/>
              </w:rPr>
              <w:t>39</w:t>
            </w:r>
            <w:r>
              <w:rPr>
                <w:spacing w:val="-5"/>
                <w:sz w:val="20"/>
              </w:rPr>
              <w:t> </w:t>
            </w:r>
            <w:r>
              <w:rPr>
                <w:sz w:val="20"/>
              </w:rPr>
              <w:t>after</w:t>
            </w:r>
            <w:r>
              <w:rPr>
                <w:spacing w:val="-7"/>
                <w:sz w:val="20"/>
              </w:rPr>
              <w:t> </w:t>
            </w:r>
            <w:r>
              <w:rPr>
                <w:sz w:val="20"/>
              </w:rPr>
              <w:t>adjusting</w:t>
            </w:r>
            <w:r>
              <w:rPr>
                <w:spacing w:val="-7"/>
                <w:sz w:val="20"/>
              </w:rPr>
              <w:t> </w:t>
            </w:r>
            <w:r>
              <w:rPr>
                <w:spacing w:val="-2"/>
                <w:sz w:val="20"/>
              </w:rPr>
              <w:t>endpoints</w:t>
            </w:r>
          </w:p>
        </w:tc>
      </w:tr>
      <w:tr>
        <w:trPr>
          <w:trHeight w:val="269" w:hRule="atLeast"/>
        </w:trPr>
        <w:tc>
          <w:tcPr>
            <w:tcW w:w="1954" w:type="dxa"/>
            <w:tcBorders>
              <w:top w:val="double" w:sz="6" w:space="0" w:color="000000"/>
              <w:bottom w:val="double" w:sz="6" w:space="0" w:color="000000"/>
            </w:tcBorders>
          </w:tcPr>
          <w:p>
            <w:pPr>
              <w:pStyle w:val="TableParagraph"/>
              <w:spacing w:line="209" w:lineRule="exact" w:before="40"/>
              <w:ind w:left="677"/>
              <w:rPr>
                <w:sz w:val="20"/>
              </w:rPr>
            </w:pPr>
            <w:r>
              <w:rPr>
                <w:spacing w:val="-2"/>
                <w:sz w:val="20"/>
              </w:rPr>
              <w:t>Variable</w:t>
            </w:r>
          </w:p>
        </w:tc>
        <w:tc>
          <w:tcPr>
            <w:tcW w:w="1268" w:type="dxa"/>
            <w:tcBorders>
              <w:top w:val="double" w:sz="6" w:space="0" w:color="000000"/>
              <w:bottom w:val="double" w:sz="6" w:space="0" w:color="000000"/>
            </w:tcBorders>
          </w:tcPr>
          <w:p>
            <w:pPr>
              <w:pStyle w:val="TableParagraph"/>
              <w:spacing w:line="209" w:lineRule="exact" w:before="40"/>
              <w:ind w:right="131"/>
              <w:jc w:val="right"/>
              <w:rPr>
                <w:sz w:val="20"/>
              </w:rPr>
            </w:pPr>
            <w:r>
              <w:rPr>
                <w:spacing w:val="-2"/>
                <w:sz w:val="20"/>
              </w:rPr>
              <w:t>Coefficient</w:t>
            </w:r>
          </w:p>
        </w:tc>
        <w:tc>
          <w:tcPr>
            <w:tcW w:w="1432" w:type="dxa"/>
            <w:tcBorders>
              <w:top w:val="double" w:sz="6" w:space="0" w:color="000000"/>
              <w:bottom w:val="double" w:sz="6" w:space="0" w:color="000000"/>
            </w:tcBorders>
          </w:tcPr>
          <w:p>
            <w:pPr>
              <w:pStyle w:val="TableParagraph"/>
              <w:spacing w:line="209" w:lineRule="exact" w:before="40"/>
              <w:ind w:left="273"/>
              <w:rPr>
                <w:sz w:val="20"/>
              </w:rPr>
            </w:pPr>
            <w:r>
              <w:rPr>
                <w:sz w:val="20"/>
              </w:rPr>
              <w:t>Std.</w:t>
            </w:r>
            <w:r>
              <w:rPr>
                <w:spacing w:val="-4"/>
                <w:sz w:val="20"/>
              </w:rPr>
              <w:t> </w:t>
            </w:r>
            <w:r>
              <w:rPr>
                <w:spacing w:val="-2"/>
                <w:sz w:val="20"/>
              </w:rPr>
              <w:t>Error</w:t>
            </w:r>
          </w:p>
        </w:tc>
        <w:tc>
          <w:tcPr>
            <w:tcW w:w="904" w:type="dxa"/>
            <w:tcBorders>
              <w:top w:val="double" w:sz="6" w:space="0" w:color="000000"/>
              <w:bottom w:val="double" w:sz="6" w:space="0" w:color="000000"/>
            </w:tcBorders>
          </w:tcPr>
          <w:p>
            <w:pPr>
              <w:pStyle w:val="TableParagraph"/>
              <w:spacing w:line="209" w:lineRule="exact" w:before="40"/>
              <w:ind w:right="22"/>
              <w:jc w:val="center"/>
              <w:rPr>
                <w:sz w:val="20"/>
              </w:rPr>
            </w:pPr>
            <w:r>
              <w:rPr>
                <w:spacing w:val="-4"/>
                <w:sz w:val="20"/>
              </w:rPr>
              <w:t>t-</w:t>
            </w:r>
            <w:r>
              <w:rPr>
                <w:spacing w:val="-2"/>
                <w:sz w:val="20"/>
              </w:rPr>
              <w:t>Statistic</w:t>
            </w:r>
          </w:p>
        </w:tc>
        <w:tc>
          <w:tcPr>
            <w:tcW w:w="929" w:type="dxa"/>
            <w:tcBorders>
              <w:top w:val="double" w:sz="6" w:space="0" w:color="000000"/>
              <w:bottom w:val="double" w:sz="6" w:space="0" w:color="000000"/>
            </w:tcBorders>
          </w:tcPr>
          <w:p>
            <w:pPr>
              <w:pStyle w:val="TableParagraph"/>
              <w:spacing w:line="209" w:lineRule="exact" w:before="40"/>
              <w:ind w:right="28"/>
              <w:jc w:val="right"/>
              <w:rPr>
                <w:sz w:val="20"/>
              </w:rPr>
            </w:pPr>
            <w:r>
              <w:rPr>
                <w:spacing w:val="-2"/>
                <w:sz w:val="20"/>
              </w:rPr>
              <w:t>Prob.</w:t>
            </w:r>
          </w:p>
        </w:tc>
      </w:tr>
      <w:tr>
        <w:trPr>
          <w:trHeight w:val="275" w:hRule="atLeast"/>
        </w:trPr>
        <w:tc>
          <w:tcPr>
            <w:tcW w:w="1954" w:type="dxa"/>
            <w:tcBorders>
              <w:top w:val="double" w:sz="6" w:space="0" w:color="000000"/>
            </w:tcBorders>
          </w:tcPr>
          <w:p>
            <w:pPr>
              <w:pStyle w:val="TableParagraph"/>
              <w:spacing w:line="215" w:lineRule="exact" w:before="40"/>
              <w:ind w:left="278"/>
              <w:rPr>
                <w:sz w:val="20"/>
              </w:rPr>
            </w:pPr>
            <w:r>
              <w:rPr>
                <w:spacing w:val="-2"/>
                <w:sz w:val="20"/>
              </w:rPr>
              <w:t>D(EXTDEBT(-</w:t>
            </w:r>
            <w:r>
              <w:rPr>
                <w:spacing w:val="-5"/>
                <w:sz w:val="20"/>
              </w:rPr>
              <w:t>1))</w:t>
            </w:r>
          </w:p>
        </w:tc>
        <w:tc>
          <w:tcPr>
            <w:tcW w:w="1268" w:type="dxa"/>
            <w:tcBorders>
              <w:top w:val="double" w:sz="6" w:space="0" w:color="000000"/>
            </w:tcBorders>
          </w:tcPr>
          <w:p>
            <w:pPr>
              <w:pStyle w:val="TableParagraph"/>
              <w:spacing w:line="215" w:lineRule="exact" w:before="40"/>
              <w:ind w:right="128"/>
              <w:jc w:val="right"/>
              <w:rPr>
                <w:sz w:val="20"/>
              </w:rPr>
            </w:pPr>
            <w:r>
              <w:rPr>
                <w:spacing w:val="-4"/>
                <w:sz w:val="20"/>
              </w:rPr>
              <w:t>-</w:t>
            </w:r>
            <w:r>
              <w:rPr>
                <w:spacing w:val="-2"/>
                <w:sz w:val="20"/>
              </w:rPr>
              <w:t>1.969770</w:t>
            </w:r>
          </w:p>
        </w:tc>
        <w:tc>
          <w:tcPr>
            <w:tcW w:w="1432" w:type="dxa"/>
            <w:tcBorders>
              <w:top w:val="double" w:sz="6" w:space="0" w:color="000000"/>
            </w:tcBorders>
          </w:tcPr>
          <w:p>
            <w:pPr>
              <w:pStyle w:val="TableParagraph"/>
              <w:spacing w:line="215" w:lineRule="exact" w:before="40"/>
              <w:ind w:left="311"/>
              <w:rPr>
                <w:sz w:val="20"/>
              </w:rPr>
            </w:pPr>
            <w:r>
              <w:rPr>
                <w:spacing w:val="-2"/>
                <w:sz w:val="20"/>
              </w:rPr>
              <w:t>0.235936</w:t>
            </w:r>
          </w:p>
        </w:tc>
        <w:tc>
          <w:tcPr>
            <w:tcW w:w="904" w:type="dxa"/>
            <w:tcBorders>
              <w:top w:val="double" w:sz="6" w:space="0" w:color="000000"/>
            </w:tcBorders>
          </w:tcPr>
          <w:p>
            <w:pPr>
              <w:pStyle w:val="TableParagraph"/>
              <w:spacing w:line="215" w:lineRule="exact" w:before="40"/>
              <w:ind w:right="70"/>
              <w:jc w:val="center"/>
              <w:rPr>
                <w:sz w:val="20"/>
              </w:rPr>
            </w:pPr>
            <w:r>
              <w:rPr>
                <w:spacing w:val="-4"/>
                <w:sz w:val="20"/>
              </w:rPr>
              <w:t>-</w:t>
            </w:r>
            <w:r>
              <w:rPr>
                <w:spacing w:val="-2"/>
                <w:sz w:val="20"/>
              </w:rPr>
              <w:t>8.348753</w:t>
            </w:r>
          </w:p>
        </w:tc>
        <w:tc>
          <w:tcPr>
            <w:tcW w:w="929" w:type="dxa"/>
            <w:tcBorders>
              <w:top w:val="double" w:sz="6" w:space="0" w:color="000000"/>
            </w:tcBorders>
          </w:tcPr>
          <w:p>
            <w:pPr>
              <w:pStyle w:val="TableParagraph"/>
              <w:spacing w:line="215" w:lineRule="exact" w:before="40"/>
              <w:ind w:right="27"/>
              <w:jc w:val="right"/>
              <w:rPr>
                <w:sz w:val="20"/>
              </w:rPr>
            </w:pPr>
            <w:r>
              <w:rPr>
                <w:spacing w:val="-2"/>
                <w:sz w:val="20"/>
              </w:rPr>
              <w:t>0.0000</w:t>
            </w:r>
          </w:p>
        </w:tc>
      </w:tr>
      <w:tr>
        <w:trPr>
          <w:trHeight w:val="230" w:hRule="atLeast"/>
        </w:trPr>
        <w:tc>
          <w:tcPr>
            <w:tcW w:w="1954" w:type="dxa"/>
          </w:tcPr>
          <w:p>
            <w:pPr>
              <w:pStyle w:val="TableParagraph"/>
              <w:spacing w:line="210" w:lineRule="exact"/>
              <w:ind w:left="202"/>
              <w:rPr>
                <w:sz w:val="20"/>
              </w:rPr>
            </w:pPr>
            <w:r>
              <w:rPr>
                <w:spacing w:val="-2"/>
                <w:sz w:val="20"/>
              </w:rPr>
              <w:t>D(EXTDEBT(-</w:t>
            </w:r>
            <w:r>
              <w:rPr>
                <w:spacing w:val="-4"/>
                <w:sz w:val="20"/>
              </w:rPr>
              <w:t>1),2)</w:t>
            </w:r>
          </w:p>
        </w:tc>
        <w:tc>
          <w:tcPr>
            <w:tcW w:w="1268" w:type="dxa"/>
          </w:tcPr>
          <w:p>
            <w:pPr>
              <w:pStyle w:val="TableParagraph"/>
              <w:spacing w:line="210" w:lineRule="exact"/>
              <w:ind w:right="128"/>
              <w:jc w:val="right"/>
              <w:rPr>
                <w:sz w:val="20"/>
              </w:rPr>
            </w:pPr>
            <w:r>
              <w:rPr>
                <w:spacing w:val="-2"/>
                <w:sz w:val="20"/>
              </w:rPr>
              <w:t>0.437732</w:t>
            </w:r>
          </w:p>
        </w:tc>
        <w:tc>
          <w:tcPr>
            <w:tcW w:w="1432" w:type="dxa"/>
          </w:tcPr>
          <w:p>
            <w:pPr>
              <w:pStyle w:val="TableParagraph"/>
              <w:spacing w:line="210" w:lineRule="exact"/>
              <w:ind w:left="311"/>
              <w:rPr>
                <w:sz w:val="20"/>
              </w:rPr>
            </w:pPr>
            <w:r>
              <w:rPr>
                <w:spacing w:val="-2"/>
                <w:sz w:val="20"/>
              </w:rPr>
              <w:t>0.143023</w:t>
            </w:r>
          </w:p>
        </w:tc>
        <w:tc>
          <w:tcPr>
            <w:tcW w:w="904" w:type="dxa"/>
          </w:tcPr>
          <w:p>
            <w:pPr>
              <w:pStyle w:val="TableParagraph"/>
              <w:spacing w:line="210" w:lineRule="exact"/>
              <w:ind w:right="5"/>
              <w:jc w:val="center"/>
              <w:rPr>
                <w:sz w:val="20"/>
              </w:rPr>
            </w:pPr>
            <w:r>
              <w:rPr>
                <w:spacing w:val="-2"/>
                <w:sz w:val="20"/>
              </w:rPr>
              <w:t>3.060567</w:t>
            </w:r>
          </w:p>
        </w:tc>
        <w:tc>
          <w:tcPr>
            <w:tcW w:w="929" w:type="dxa"/>
          </w:tcPr>
          <w:p>
            <w:pPr>
              <w:pStyle w:val="TableParagraph"/>
              <w:spacing w:line="210" w:lineRule="exact"/>
              <w:ind w:right="27"/>
              <w:jc w:val="right"/>
              <w:rPr>
                <w:sz w:val="20"/>
              </w:rPr>
            </w:pPr>
            <w:r>
              <w:rPr>
                <w:spacing w:val="-2"/>
                <w:sz w:val="20"/>
              </w:rPr>
              <w:t>0.0042</w:t>
            </w:r>
          </w:p>
        </w:tc>
      </w:tr>
      <w:tr>
        <w:trPr>
          <w:trHeight w:val="224" w:hRule="atLeast"/>
        </w:trPr>
        <w:tc>
          <w:tcPr>
            <w:tcW w:w="1954" w:type="dxa"/>
            <w:tcBorders>
              <w:bottom w:val="double" w:sz="6" w:space="0" w:color="000000"/>
            </w:tcBorders>
          </w:tcPr>
          <w:p>
            <w:pPr>
              <w:pStyle w:val="TableParagraph"/>
              <w:spacing w:line="205" w:lineRule="exact"/>
              <w:ind w:left="90"/>
              <w:jc w:val="center"/>
              <w:rPr>
                <w:sz w:val="20"/>
              </w:rPr>
            </w:pPr>
            <w:r>
              <w:rPr>
                <w:spacing w:val="-10"/>
                <w:sz w:val="20"/>
              </w:rPr>
              <w:t>C</w:t>
            </w:r>
          </w:p>
        </w:tc>
        <w:tc>
          <w:tcPr>
            <w:tcW w:w="1268" w:type="dxa"/>
            <w:tcBorders>
              <w:bottom w:val="double" w:sz="6" w:space="0" w:color="000000"/>
            </w:tcBorders>
          </w:tcPr>
          <w:p>
            <w:pPr>
              <w:pStyle w:val="TableParagraph"/>
              <w:spacing w:line="205" w:lineRule="exact"/>
              <w:ind w:right="128"/>
              <w:jc w:val="right"/>
              <w:rPr>
                <w:sz w:val="20"/>
              </w:rPr>
            </w:pPr>
            <w:r>
              <w:rPr>
                <w:spacing w:val="-2"/>
                <w:sz w:val="20"/>
              </w:rPr>
              <w:t>0.470617</w:t>
            </w:r>
          </w:p>
        </w:tc>
        <w:tc>
          <w:tcPr>
            <w:tcW w:w="1432" w:type="dxa"/>
            <w:tcBorders>
              <w:bottom w:val="double" w:sz="6" w:space="0" w:color="000000"/>
            </w:tcBorders>
          </w:tcPr>
          <w:p>
            <w:pPr>
              <w:pStyle w:val="TableParagraph"/>
              <w:spacing w:line="205" w:lineRule="exact"/>
              <w:ind w:left="311"/>
              <w:rPr>
                <w:sz w:val="20"/>
              </w:rPr>
            </w:pPr>
            <w:r>
              <w:rPr>
                <w:spacing w:val="-2"/>
                <w:sz w:val="20"/>
              </w:rPr>
              <w:t>0.311519</w:t>
            </w:r>
          </w:p>
        </w:tc>
        <w:tc>
          <w:tcPr>
            <w:tcW w:w="904" w:type="dxa"/>
            <w:tcBorders>
              <w:bottom w:val="double" w:sz="6" w:space="0" w:color="000000"/>
            </w:tcBorders>
          </w:tcPr>
          <w:p>
            <w:pPr>
              <w:pStyle w:val="TableParagraph"/>
              <w:spacing w:line="205" w:lineRule="exact"/>
              <w:ind w:right="5"/>
              <w:jc w:val="center"/>
              <w:rPr>
                <w:sz w:val="20"/>
              </w:rPr>
            </w:pPr>
            <w:r>
              <w:rPr>
                <w:spacing w:val="-2"/>
                <w:sz w:val="20"/>
              </w:rPr>
              <w:t>1.510716</w:t>
            </w:r>
          </w:p>
        </w:tc>
        <w:tc>
          <w:tcPr>
            <w:tcW w:w="929" w:type="dxa"/>
            <w:tcBorders>
              <w:bottom w:val="double" w:sz="6" w:space="0" w:color="000000"/>
            </w:tcBorders>
          </w:tcPr>
          <w:p>
            <w:pPr>
              <w:pStyle w:val="TableParagraph"/>
              <w:spacing w:line="205" w:lineRule="exact"/>
              <w:ind w:right="27"/>
              <w:jc w:val="right"/>
              <w:rPr>
                <w:sz w:val="20"/>
              </w:rPr>
            </w:pPr>
            <w:r>
              <w:rPr>
                <w:spacing w:val="-2"/>
                <w:sz w:val="20"/>
              </w:rPr>
              <w:t>0.1396</w:t>
            </w:r>
          </w:p>
        </w:tc>
      </w:tr>
      <w:tr>
        <w:trPr>
          <w:trHeight w:val="275" w:hRule="atLeast"/>
        </w:trPr>
        <w:tc>
          <w:tcPr>
            <w:tcW w:w="1954" w:type="dxa"/>
            <w:tcBorders>
              <w:top w:val="double" w:sz="6" w:space="0" w:color="000000"/>
            </w:tcBorders>
          </w:tcPr>
          <w:p>
            <w:pPr>
              <w:pStyle w:val="TableParagraph"/>
              <w:spacing w:line="215" w:lineRule="exact" w:before="40"/>
              <w:ind w:left="36"/>
              <w:rPr>
                <w:sz w:val="20"/>
              </w:rPr>
            </w:pPr>
            <w:r>
              <w:rPr>
                <w:spacing w:val="-2"/>
                <w:sz w:val="20"/>
              </w:rPr>
              <w:t>R-squared</w:t>
            </w:r>
          </w:p>
        </w:tc>
        <w:tc>
          <w:tcPr>
            <w:tcW w:w="1268" w:type="dxa"/>
            <w:tcBorders>
              <w:top w:val="double" w:sz="6" w:space="0" w:color="000000"/>
            </w:tcBorders>
          </w:tcPr>
          <w:p>
            <w:pPr>
              <w:pStyle w:val="TableParagraph"/>
              <w:spacing w:line="215" w:lineRule="exact" w:before="40"/>
              <w:ind w:right="128"/>
              <w:jc w:val="right"/>
              <w:rPr>
                <w:sz w:val="20"/>
              </w:rPr>
            </w:pPr>
            <w:r>
              <w:rPr>
                <w:spacing w:val="-2"/>
                <w:sz w:val="20"/>
              </w:rPr>
              <w:t>0.760957</w:t>
            </w:r>
          </w:p>
        </w:tc>
        <w:tc>
          <w:tcPr>
            <w:tcW w:w="2336" w:type="dxa"/>
            <w:gridSpan w:val="2"/>
            <w:tcBorders>
              <w:top w:val="double" w:sz="6" w:space="0" w:color="000000"/>
            </w:tcBorders>
          </w:tcPr>
          <w:p>
            <w:pPr>
              <w:pStyle w:val="TableParagraph"/>
              <w:spacing w:line="215" w:lineRule="exact" w:before="40"/>
              <w:ind w:left="131"/>
              <w:rPr>
                <w:sz w:val="20"/>
              </w:rPr>
            </w:pPr>
            <w:r>
              <w:rPr>
                <w:sz w:val="20"/>
              </w:rPr>
              <w:t>Mean</w:t>
            </w:r>
            <w:r>
              <w:rPr>
                <w:spacing w:val="-7"/>
                <w:sz w:val="20"/>
              </w:rPr>
              <w:t> </w:t>
            </w:r>
            <w:r>
              <w:rPr>
                <w:sz w:val="20"/>
              </w:rPr>
              <w:t>dependent</w:t>
            </w:r>
            <w:r>
              <w:rPr>
                <w:spacing w:val="-7"/>
                <w:sz w:val="20"/>
              </w:rPr>
              <w:t> </w:t>
            </w:r>
            <w:r>
              <w:rPr>
                <w:spacing w:val="-5"/>
                <w:sz w:val="20"/>
              </w:rPr>
              <w:t>var</w:t>
            </w:r>
          </w:p>
        </w:tc>
        <w:tc>
          <w:tcPr>
            <w:tcW w:w="929" w:type="dxa"/>
            <w:tcBorders>
              <w:top w:val="double" w:sz="6" w:space="0" w:color="000000"/>
            </w:tcBorders>
          </w:tcPr>
          <w:p>
            <w:pPr>
              <w:pStyle w:val="TableParagraph"/>
              <w:spacing w:line="215" w:lineRule="exact" w:before="40"/>
              <w:ind w:right="27"/>
              <w:jc w:val="right"/>
              <w:rPr>
                <w:sz w:val="20"/>
              </w:rPr>
            </w:pPr>
            <w:r>
              <w:rPr>
                <w:spacing w:val="-4"/>
                <w:sz w:val="20"/>
              </w:rPr>
              <w:t>-</w:t>
            </w:r>
            <w:r>
              <w:rPr>
                <w:spacing w:val="-2"/>
                <w:sz w:val="20"/>
              </w:rPr>
              <w:t>0.063611</w:t>
            </w:r>
          </w:p>
        </w:tc>
      </w:tr>
      <w:tr>
        <w:trPr>
          <w:trHeight w:val="230" w:hRule="atLeast"/>
        </w:trPr>
        <w:tc>
          <w:tcPr>
            <w:tcW w:w="1954" w:type="dxa"/>
          </w:tcPr>
          <w:p>
            <w:pPr>
              <w:pStyle w:val="TableParagraph"/>
              <w:spacing w:line="211" w:lineRule="exact"/>
              <w:ind w:left="36"/>
              <w:rPr>
                <w:sz w:val="20"/>
              </w:rPr>
            </w:pPr>
            <w:r>
              <w:rPr>
                <w:sz w:val="20"/>
              </w:rPr>
              <w:t>Adjusted</w:t>
            </w:r>
            <w:r>
              <w:rPr>
                <w:spacing w:val="-10"/>
                <w:sz w:val="20"/>
              </w:rPr>
              <w:t> </w:t>
            </w:r>
            <w:r>
              <w:rPr>
                <w:sz w:val="20"/>
              </w:rPr>
              <w:t>R-</w:t>
            </w:r>
            <w:r>
              <w:rPr>
                <w:spacing w:val="-2"/>
                <w:sz w:val="20"/>
              </w:rPr>
              <w:t>squared</w:t>
            </w:r>
          </w:p>
        </w:tc>
        <w:tc>
          <w:tcPr>
            <w:tcW w:w="1268" w:type="dxa"/>
          </w:tcPr>
          <w:p>
            <w:pPr>
              <w:pStyle w:val="TableParagraph"/>
              <w:spacing w:line="211" w:lineRule="exact"/>
              <w:ind w:right="128"/>
              <w:jc w:val="right"/>
              <w:rPr>
                <w:sz w:val="20"/>
              </w:rPr>
            </w:pPr>
            <w:r>
              <w:rPr>
                <w:spacing w:val="-2"/>
                <w:sz w:val="20"/>
              </w:rPr>
              <w:t>0.747677</w:t>
            </w:r>
          </w:p>
        </w:tc>
        <w:tc>
          <w:tcPr>
            <w:tcW w:w="2336" w:type="dxa"/>
            <w:gridSpan w:val="2"/>
          </w:tcPr>
          <w:p>
            <w:pPr>
              <w:pStyle w:val="TableParagraph"/>
              <w:spacing w:line="211" w:lineRule="exact"/>
              <w:ind w:left="131"/>
              <w:rPr>
                <w:sz w:val="20"/>
              </w:rPr>
            </w:pPr>
            <w:r>
              <w:rPr>
                <w:sz w:val="20"/>
              </w:rPr>
              <w:t>S.D.</w:t>
            </w:r>
            <w:r>
              <w:rPr>
                <w:spacing w:val="-5"/>
                <w:sz w:val="20"/>
              </w:rPr>
              <w:t> </w:t>
            </w:r>
            <w:r>
              <w:rPr>
                <w:sz w:val="20"/>
              </w:rPr>
              <w:t>dependent</w:t>
            </w:r>
            <w:r>
              <w:rPr>
                <w:spacing w:val="-6"/>
                <w:sz w:val="20"/>
              </w:rPr>
              <w:t> </w:t>
            </w:r>
            <w:r>
              <w:rPr>
                <w:spacing w:val="-5"/>
                <w:sz w:val="20"/>
              </w:rPr>
              <w:t>var</w:t>
            </w:r>
          </w:p>
        </w:tc>
        <w:tc>
          <w:tcPr>
            <w:tcW w:w="929" w:type="dxa"/>
          </w:tcPr>
          <w:p>
            <w:pPr>
              <w:pStyle w:val="TableParagraph"/>
              <w:spacing w:line="211" w:lineRule="exact"/>
              <w:ind w:right="27"/>
              <w:jc w:val="right"/>
              <w:rPr>
                <w:sz w:val="20"/>
              </w:rPr>
            </w:pPr>
            <w:r>
              <w:rPr>
                <w:spacing w:val="-2"/>
                <w:sz w:val="20"/>
              </w:rPr>
              <w:t>3.783674</w:t>
            </w:r>
          </w:p>
        </w:tc>
      </w:tr>
      <w:tr>
        <w:trPr>
          <w:trHeight w:val="230" w:hRule="atLeast"/>
        </w:trPr>
        <w:tc>
          <w:tcPr>
            <w:tcW w:w="1954" w:type="dxa"/>
          </w:tcPr>
          <w:p>
            <w:pPr>
              <w:pStyle w:val="TableParagraph"/>
              <w:spacing w:line="211" w:lineRule="exact"/>
              <w:ind w:left="36"/>
              <w:rPr>
                <w:sz w:val="20"/>
              </w:rPr>
            </w:pPr>
            <w:r>
              <w:rPr>
                <w:sz w:val="20"/>
              </w:rPr>
              <w:t>S.E.</w:t>
            </w:r>
            <w:r>
              <w:rPr>
                <w:spacing w:val="-3"/>
                <w:sz w:val="20"/>
              </w:rPr>
              <w:t> </w:t>
            </w:r>
            <w:r>
              <w:rPr>
                <w:sz w:val="20"/>
              </w:rPr>
              <w:t>of</w:t>
            </w:r>
            <w:r>
              <w:rPr>
                <w:spacing w:val="-3"/>
                <w:sz w:val="20"/>
              </w:rPr>
              <w:t> </w:t>
            </w:r>
            <w:r>
              <w:rPr>
                <w:spacing w:val="-2"/>
                <w:sz w:val="20"/>
              </w:rPr>
              <w:t>regression</w:t>
            </w:r>
          </w:p>
        </w:tc>
        <w:tc>
          <w:tcPr>
            <w:tcW w:w="1268" w:type="dxa"/>
          </w:tcPr>
          <w:p>
            <w:pPr>
              <w:pStyle w:val="TableParagraph"/>
              <w:spacing w:line="211" w:lineRule="exact"/>
              <w:ind w:right="128"/>
              <w:jc w:val="right"/>
              <w:rPr>
                <w:sz w:val="20"/>
              </w:rPr>
            </w:pPr>
            <w:r>
              <w:rPr>
                <w:spacing w:val="-2"/>
                <w:sz w:val="20"/>
              </w:rPr>
              <w:t>1.900607</w:t>
            </w:r>
          </w:p>
        </w:tc>
        <w:tc>
          <w:tcPr>
            <w:tcW w:w="2336" w:type="dxa"/>
            <w:gridSpan w:val="2"/>
          </w:tcPr>
          <w:p>
            <w:pPr>
              <w:pStyle w:val="TableParagraph"/>
              <w:spacing w:line="211" w:lineRule="exact"/>
              <w:ind w:left="131"/>
              <w:rPr>
                <w:sz w:val="20"/>
              </w:rPr>
            </w:pPr>
            <w:r>
              <w:rPr>
                <w:sz w:val="20"/>
              </w:rPr>
              <w:t>Akaike</w:t>
            </w:r>
            <w:r>
              <w:rPr>
                <w:spacing w:val="-8"/>
                <w:sz w:val="20"/>
              </w:rPr>
              <w:t> </w:t>
            </w:r>
            <w:r>
              <w:rPr>
                <w:sz w:val="20"/>
              </w:rPr>
              <w:t>info</w:t>
            </w:r>
            <w:r>
              <w:rPr>
                <w:spacing w:val="-7"/>
                <w:sz w:val="20"/>
              </w:rPr>
              <w:t> </w:t>
            </w:r>
            <w:r>
              <w:rPr>
                <w:spacing w:val="-2"/>
                <w:sz w:val="20"/>
              </w:rPr>
              <w:t>criterion</w:t>
            </w:r>
          </w:p>
        </w:tc>
        <w:tc>
          <w:tcPr>
            <w:tcW w:w="929" w:type="dxa"/>
          </w:tcPr>
          <w:p>
            <w:pPr>
              <w:pStyle w:val="TableParagraph"/>
              <w:spacing w:line="211" w:lineRule="exact"/>
              <w:ind w:right="27"/>
              <w:jc w:val="right"/>
              <w:rPr>
                <w:sz w:val="20"/>
              </w:rPr>
            </w:pPr>
            <w:r>
              <w:rPr>
                <w:spacing w:val="-2"/>
                <w:sz w:val="20"/>
              </w:rPr>
              <w:t>4.196027</w:t>
            </w:r>
          </w:p>
        </w:tc>
      </w:tr>
      <w:tr>
        <w:trPr>
          <w:trHeight w:val="230" w:hRule="atLeast"/>
        </w:trPr>
        <w:tc>
          <w:tcPr>
            <w:tcW w:w="1954" w:type="dxa"/>
          </w:tcPr>
          <w:p>
            <w:pPr>
              <w:pStyle w:val="TableParagraph"/>
              <w:spacing w:line="210" w:lineRule="exact"/>
              <w:ind w:left="36"/>
              <w:rPr>
                <w:sz w:val="20"/>
              </w:rPr>
            </w:pPr>
            <w:r>
              <w:rPr>
                <w:sz w:val="20"/>
              </w:rPr>
              <w:t>Sum</w:t>
            </w:r>
            <w:r>
              <w:rPr>
                <w:spacing w:val="-8"/>
                <w:sz w:val="20"/>
              </w:rPr>
              <w:t> </w:t>
            </w:r>
            <w:r>
              <w:rPr>
                <w:sz w:val="20"/>
              </w:rPr>
              <w:t>squared</w:t>
            </w:r>
            <w:r>
              <w:rPr>
                <w:spacing w:val="-4"/>
                <w:sz w:val="20"/>
              </w:rPr>
              <w:t> </w:t>
            </w:r>
            <w:r>
              <w:rPr>
                <w:spacing w:val="-2"/>
                <w:sz w:val="20"/>
              </w:rPr>
              <w:t>resid</w:t>
            </w:r>
          </w:p>
        </w:tc>
        <w:tc>
          <w:tcPr>
            <w:tcW w:w="1268" w:type="dxa"/>
          </w:tcPr>
          <w:p>
            <w:pPr>
              <w:pStyle w:val="TableParagraph"/>
              <w:spacing w:line="210" w:lineRule="exact"/>
              <w:ind w:right="128"/>
              <w:jc w:val="right"/>
              <w:rPr>
                <w:sz w:val="20"/>
              </w:rPr>
            </w:pPr>
            <w:r>
              <w:rPr>
                <w:spacing w:val="-2"/>
                <w:sz w:val="20"/>
              </w:rPr>
              <w:t>130.0430</w:t>
            </w:r>
          </w:p>
        </w:tc>
        <w:tc>
          <w:tcPr>
            <w:tcW w:w="2336" w:type="dxa"/>
            <w:gridSpan w:val="2"/>
          </w:tcPr>
          <w:p>
            <w:pPr>
              <w:pStyle w:val="TableParagraph"/>
              <w:spacing w:line="210" w:lineRule="exact"/>
              <w:ind w:left="131"/>
              <w:rPr>
                <w:sz w:val="20"/>
              </w:rPr>
            </w:pPr>
            <w:r>
              <w:rPr>
                <w:sz w:val="20"/>
              </w:rPr>
              <w:t>Schwarz</w:t>
            </w:r>
            <w:r>
              <w:rPr>
                <w:spacing w:val="-8"/>
                <w:sz w:val="20"/>
              </w:rPr>
              <w:t> </w:t>
            </w:r>
            <w:r>
              <w:rPr>
                <w:spacing w:val="-2"/>
                <w:sz w:val="20"/>
              </w:rPr>
              <w:t>criterion</w:t>
            </w:r>
          </w:p>
        </w:tc>
        <w:tc>
          <w:tcPr>
            <w:tcW w:w="929" w:type="dxa"/>
          </w:tcPr>
          <w:p>
            <w:pPr>
              <w:pStyle w:val="TableParagraph"/>
              <w:spacing w:line="210" w:lineRule="exact"/>
              <w:ind w:right="27"/>
              <w:jc w:val="right"/>
              <w:rPr>
                <w:sz w:val="20"/>
              </w:rPr>
            </w:pPr>
            <w:r>
              <w:rPr>
                <w:spacing w:val="-2"/>
                <w:sz w:val="20"/>
              </w:rPr>
              <w:t>4.323993</w:t>
            </w:r>
          </w:p>
        </w:tc>
      </w:tr>
      <w:tr>
        <w:trPr>
          <w:trHeight w:val="229" w:hRule="atLeast"/>
        </w:trPr>
        <w:tc>
          <w:tcPr>
            <w:tcW w:w="1954" w:type="dxa"/>
          </w:tcPr>
          <w:p>
            <w:pPr>
              <w:pStyle w:val="TableParagraph"/>
              <w:spacing w:line="209" w:lineRule="exact"/>
              <w:ind w:left="36"/>
              <w:rPr>
                <w:sz w:val="20"/>
              </w:rPr>
            </w:pPr>
            <w:r>
              <w:rPr>
                <w:sz w:val="20"/>
              </w:rPr>
              <w:t>Log</w:t>
            </w:r>
            <w:r>
              <w:rPr>
                <w:spacing w:val="-6"/>
                <w:sz w:val="20"/>
              </w:rPr>
              <w:t> </w:t>
            </w:r>
            <w:r>
              <w:rPr>
                <w:spacing w:val="-2"/>
                <w:sz w:val="20"/>
              </w:rPr>
              <w:t>likelihood</w:t>
            </w:r>
          </w:p>
        </w:tc>
        <w:tc>
          <w:tcPr>
            <w:tcW w:w="1268" w:type="dxa"/>
          </w:tcPr>
          <w:p>
            <w:pPr>
              <w:pStyle w:val="TableParagraph"/>
              <w:spacing w:line="209" w:lineRule="exact"/>
              <w:ind w:right="128"/>
              <w:jc w:val="right"/>
              <w:rPr>
                <w:sz w:val="20"/>
              </w:rPr>
            </w:pPr>
            <w:r>
              <w:rPr>
                <w:spacing w:val="-4"/>
                <w:sz w:val="20"/>
              </w:rPr>
              <w:t>-</w:t>
            </w:r>
            <w:r>
              <w:rPr>
                <w:spacing w:val="-2"/>
                <w:sz w:val="20"/>
              </w:rPr>
              <w:t>78.82252</w:t>
            </w:r>
          </w:p>
        </w:tc>
        <w:tc>
          <w:tcPr>
            <w:tcW w:w="1432" w:type="dxa"/>
          </w:tcPr>
          <w:p>
            <w:pPr>
              <w:pStyle w:val="TableParagraph"/>
              <w:spacing w:line="209" w:lineRule="exact"/>
              <w:ind w:left="131"/>
              <w:rPr>
                <w:sz w:val="20"/>
              </w:rPr>
            </w:pPr>
            <w:r>
              <w:rPr>
                <w:spacing w:val="-4"/>
                <w:sz w:val="20"/>
              </w:rPr>
              <w:t>F-</w:t>
            </w:r>
            <w:r>
              <w:rPr>
                <w:spacing w:val="-2"/>
                <w:sz w:val="20"/>
              </w:rPr>
              <w:t>statistic</w:t>
            </w:r>
          </w:p>
        </w:tc>
        <w:tc>
          <w:tcPr>
            <w:tcW w:w="904" w:type="dxa"/>
          </w:tcPr>
          <w:p>
            <w:pPr>
              <w:pStyle w:val="TableParagraph"/>
              <w:rPr>
                <w:sz w:val="16"/>
              </w:rPr>
            </w:pPr>
          </w:p>
        </w:tc>
        <w:tc>
          <w:tcPr>
            <w:tcW w:w="929" w:type="dxa"/>
          </w:tcPr>
          <w:p>
            <w:pPr>
              <w:pStyle w:val="TableParagraph"/>
              <w:spacing w:line="209" w:lineRule="exact"/>
              <w:ind w:right="27"/>
              <w:jc w:val="right"/>
              <w:rPr>
                <w:sz w:val="20"/>
              </w:rPr>
            </w:pPr>
            <w:r>
              <w:rPr>
                <w:spacing w:val="-2"/>
                <w:sz w:val="20"/>
              </w:rPr>
              <w:t>57.30026</w:t>
            </w:r>
          </w:p>
        </w:tc>
      </w:tr>
      <w:tr>
        <w:trPr>
          <w:trHeight w:val="266" w:hRule="atLeast"/>
        </w:trPr>
        <w:tc>
          <w:tcPr>
            <w:tcW w:w="1954" w:type="dxa"/>
            <w:tcBorders>
              <w:bottom w:val="double" w:sz="6" w:space="0" w:color="000000"/>
            </w:tcBorders>
          </w:tcPr>
          <w:p>
            <w:pPr>
              <w:pStyle w:val="TableParagraph"/>
              <w:spacing w:line="224" w:lineRule="exact"/>
              <w:ind w:left="36"/>
              <w:rPr>
                <w:sz w:val="20"/>
              </w:rPr>
            </w:pPr>
            <w:r>
              <w:rPr>
                <w:sz w:val="20"/>
              </w:rPr>
              <w:t>Durbin-Watson</w:t>
            </w:r>
            <w:r>
              <w:rPr>
                <w:spacing w:val="-12"/>
                <w:sz w:val="20"/>
              </w:rPr>
              <w:t> </w:t>
            </w:r>
            <w:r>
              <w:rPr>
                <w:spacing w:val="-4"/>
                <w:sz w:val="20"/>
              </w:rPr>
              <w:t>stat</w:t>
            </w:r>
          </w:p>
        </w:tc>
        <w:tc>
          <w:tcPr>
            <w:tcW w:w="1268" w:type="dxa"/>
          </w:tcPr>
          <w:p>
            <w:pPr>
              <w:pStyle w:val="TableParagraph"/>
              <w:spacing w:line="224" w:lineRule="exact"/>
              <w:ind w:right="128"/>
              <w:jc w:val="right"/>
              <w:rPr>
                <w:sz w:val="20"/>
              </w:rPr>
            </w:pPr>
            <w:r>
              <w:rPr>
                <w:spacing w:val="-2"/>
                <w:sz w:val="20"/>
              </w:rPr>
              <w:t>2.172098</w:t>
            </w:r>
          </w:p>
        </w:tc>
        <w:tc>
          <w:tcPr>
            <w:tcW w:w="1432" w:type="dxa"/>
            <w:tcBorders>
              <w:bottom w:val="double" w:sz="6" w:space="0" w:color="000000"/>
            </w:tcBorders>
          </w:tcPr>
          <w:p>
            <w:pPr>
              <w:pStyle w:val="TableParagraph"/>
              <w:spacing w:line="224" w:lineRule="exact"/>
              <w:ind w:left="131"/>
              <w:rPr>
                <w:sz w:val="20"/>
              </w:rPr>
            </w:pPr>
            <w:r>
              <w:rPr>
                <w:spacing w:val="-2"/>
                <w:sz w:val="20"/>
              </w:rPr>
              <w:t>Prob(F-statistic)</w:t>
            </w:r>
          </w:p>
        </w:tc>
        <w:tc>
          <w:tcPr>
            <w:tcW w:w="904" w:type="dxa"/>
            <w:tcBorders>
              <w:bottom w:val="double" w:sz="6" w:space="0" w:color="000000"/>
            </w:tcBorders>
          </w:tcPr>
          <w:p>
            <w:pPr>
              <w:pStyle w:val="TableParagraph"/>
              <w:rPr>
                <w:sz w:val="18"/>
              </w:rPr>
            </w:pPr>
          </w:p>
        </w:tc>
        <w:tc>
          <w:tcPr>
            <w:tcW w:w="929" w:type="dxa"/>
            <w:tcBorders>
              <w:bottom w:val="double" w:sz="6" w:space="0" w:color="000000"/>
            </w:tcBorders>
          </w:tcPr>
          <w:p>
            <w:pPr>
              <w:pStyle w:val="TableParagraph"/>
              <w:spacing w:line="224" w:lineRule="exact"/>
              <w:ind w:right="27"/>
              <w:jc w:val="right"/>
              <w:rPr>
                <w:sz w:val="20"/>
              </w:rPr>
            </w:pPr>
            <w:r>
              <w:rPr>
                <w:spacing w:val="-2"/>
                <w:sz w:val="20"/>
              </w:rPr>
              <w:t>0.000000</w:t>
            </w:r>
          </w:p>
        </w:tc>
      </w:tr>
    </w:tbl>
    <w:p>
      <w:pPr>
        <w:spacing w:after="0" w:line="224" w:lineRule="exact"/>
        <w:jc w:val="right"/>
        <w:rPr>
          <w:sz w:val="20"/>
        </w:rPr>
        <w:sectPr>
          <w:pgSz w:w="11910" w:h="16840"/>
          <w:pgMar w:header="0" w:footer="979" w:top="1360" w:bottom="1240" w:left="280" w:right="0"/>
        </w:sectPr>
      </w:pPr>
    </w:p>
    <w:p>
      <w:pPr>
        <w:spacing w:before="62" w:after="3"/>
        <w:ind w:left="711" w:right="0" w:firstLine="0"/>
        <w:jc w:val="left"/>
        <w:rPr>
          <w:sz w:val="20"/>
        </w:rPr>
      </w:pPr>
      <w:r>
        <w:rPr>
          <w:sz w:val="20"/>
        </w:rPr>
        <w:t>DOP</w:t>
      </w:r>
      <w:r>
        <w:rPr>
          <w:spacing w:val="-1"/>
          <w:sz w:val="20"/>
        </w:rPr>
        <w:t> </w:t>
      </w:r>
      <w:r>
        <w:rPr>
          <w:sz w:val="20"/>
        </w:rPr>
        <w:t>@</w:t>
      </w:r>
      <w:r>
        <w:rPr>
          <w:spacing w:val="-4"/>
          <w:sz w:val="20"/>
        </w:rPr>
        <w:t> LEVEL</w:t>
      </w:r>
    </w:p>
    <w:tbl>
      <w:tblPr>
        <w:tblW w:w="0" w:type="auto"/>
        <w:jc w:val="left"/>
        <w:tblInd w:w="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47"/>
        <w:gridCol w:w="1375"/>
        <w:gridCol w:w="1432"/>
        <w:gridCol w:w="904"/>
        <w:gridCol w:w="929"/>
      </w:tblGrid>
      <w:tr>
        <w:trPr>
          <w:trHeight w:val="224" w:hRule="atLeast"/>
        </w:trPr>
        <w:tc>
          <w:tcPr>
            <w:tcW w:w="1847" w:type="dxa"/>
          </w:tcPr>
          <w:p>
            <w:pPr>
              <w:pStyle w:val="TableParagraph"/>
              <w:spacing w:line="204" w:lineRule="exact"/>
              <w:ind w:left="36"/>
              <w:rPr>
                <w:sz w:val="20"/>
              </w:rPr>
            </w:pPr>
            <w:r>
              <w:rPr>
                <w:sz w:val="20"/>
              </w:rPr>
              <w:t>ADF</w:t>
            </w:r>
            <w:r>
              <w:rPr>
                <w:spacing w:val="-4"/>
                <w:sz w:val="20"/>
              </w:rPr>
              <w:t> </w:t>
            </w:r>
            <w:r>
              <w:rPr>
                <w:sz w:val="20"/>
              </w:rPr>
              <w:t>Test</w:t>
            </w:r>
            <w:r>
              <w:rPr>
                <w:spacing w:val="-4"/>
                <w:sz w:val="20"/>
              </w:rPr>
              <w:t> </w:t>
            </w:r>
            <w:r>
              <w:rPr>
                <w:spacing w:val="-2"/>
                <w:sz w:val="20"/>
              </w:rPr>
              <w:t>Statistic</w:t>
            </w:r>
          </w:p>
        </w:tc>
        <w:tc>
          <w:tcPr>
            <w:tcW w:w="1375" w:type="dxa"/>
          </w:tcPr>
          <w:p>
            <w:pPr>
              <w:pStyle w:val="TableParagraph"/>
              <w:spacing w:line="204" w:lineRule="exact"/>
              <w:ind w:left="219"/>
              <w:rPr>
                <w:sz w:val="20"/>
              </w:rPr>
            </w:pPr>
            <w:r>
              <w:rPr>
                <w:spacing w:val="-4"/>
                <w:sz w:val="20"/>
              </w:rPr>
              <w:t>-</w:t>
            </w:r>
            <w:r>
              <w:rPr>
                <w:spacing w:val="-2"/>
                <w:sz w:val="20"/>
              </w:rPr>
              <w:t>1.860631</w:t>
            </w:r>
          </w:p>
        </w:tc>
        <w:tc>
          <w:tcPr>
            <w:tcW w:w="2336" w:type="dxa"/>
            <w:gridSpan w:val="2"/>
          </w:tcPr>
          <w:p>
            <w:pPr>
              <w:pStyle w:val="TableParagraph"/>
              <w:spacing w:line="204" w:lineRule="exact"/>
              <w:ind w:left="131"/>
              <w:rPr>
                <w:sz w:val="20"/>
              </w:rPr>
            </w:pPr>
            <w:r>
              <w:rPr>
                <w:sz w:val="20"/>
              </w:rPr>
              <w:t>1%</w:t>
            </w:r>
            <w:r>
              <w:rPr>
                <w:spacing w:val="68"/>
                <w:w w:val="150"/>
                <w:sz w:val="20"/>
              </w:rPr>
              <w:t> </w:t>
            </w:r>
            <w:r>
              <w:rPr>
                <w:sz w:val="20"/>
              </w:rPr>
              <w:t>Critical</w:t>
            </w:r>
            <w:r>
              <w:rPr>
                <w:spacing w:val="-2"/>
                <w:sz w:val="20"/>
              </w:rPr>
              <w:t> Value*</w:t>
            </w:r>
          </w:p>
        </w:tc>
        <w:tc>
          <w:tcPr>
            <w:tcW w:w="929" w:type="dxa"/>
          </w:tcPr>
          <w:p>
            <w:pPr>
              <w:pStyle w:val="TableParagraph"/>
              <w:spacing w:line="204" w:lineRule="exact"/>
              <w:ind w:right="27"/>
              <w:jc w:val="right"/>
              <w:rPr>
                <w:sz w:val="20"/>
              </w:rPr>
            </w:pPr>
            <w:r>
              <w:rPr>
                <w:spacing w:val="-4"/>
                <w:sz w:val="20"/>
              </w:rPr>
              <w:t>-</w:t>
            </w:r>
            <w:r>
              <w:rPr>
                <w:spacing w:val="-2"/>
                <w:sz w:val="20"/>
              </w:rPr>
              <w:t>3.6019</w:t>
            </w:r>
          </w:p>
        </w:tc>
      </w:tr>
      <w:tr>
        <w:trPr>
          <w:trHeight w:val="229" w:hRule="atLeast"/>
        </w:trPr>
        <w:tc>
          <w:tcPr>
            <w:tcW w:w="1847" w:type="dxa"/>
          </w:tcPr>
          <w:p>
            <w:pPr>
              <w:pStyle w:val="TableParagraph"/>
              <w:rPr>
                <w:sz w:val="16"/>
              </w:rPr>
            </w:pPr>
          </w:p>
        </w:tc>
        <w:tc>
          <w:tcPr>
            <w:tcW w:w="1375" w:type="dxa"/>
          </w:tcPr>
          <w:p>
            <w:pPr>
              <w:pStyle w:val="TableParagraph"/>
              <w:rPr>
                <w:sz w:val="16"/>
              </w:rPr>
            </w:pPr>
          </w:p>
        </w:tc>
        <w:tc>
          <w:tcPr>
            <w:tcW w:w="2336" w:type="dxa"/>
            <w:gridSpan w:val="2"/>
          </w:tcPr>
          <w:p>
            <w:pPr>
              <w:pStyle w:val="TableParagraph"/>
              <w:spacing w:line="209" w:lineRule="exact"/>
              <w:ind w:left="131"/>
              <w:rPr>
                <w:sz w:val="20"/>
              </w:rPr>
            </w:pPr>
            <w:r>
              <w:rPr>
                <w:sz w:val="20"/>
              </w:rPr>
              <w:t>5%</w:t>
            </w:r>
            <w:r>
              <w:rPr>
                <w:spacing w:val="68"/>
                <w:w w:val="150"/>
                <w:sz w:val="20"/>
              </w:rPr>
              <w:t> </w:t>
            </w:r>
            <w:r>
              <w:rPr>
                <w:sz w:val="20"/>
              </w:rPr>
              <w:t>Critical</w:t>
            </w:r>
            <w:r>
              <w:rPr>
                <w:spacing w:val="-2"/>
                <w:sz w:val="20"/>
              </w:rPr>
              <w:t> </w:t>
            </w:r>
            <w:r>
              <w:rPr>
                <w:spacing w:val="-4"/>
                <w:sz w:val="20"/>
              </w:rPr>
              <w:t>Value</w:t>
            </w:r>
          </w:p>
        </w:tc>
        <w:tc>
          <w:tcPr>
            <w:tcW w:w="929" w:type="dxa"/>
          </w:tcPr>
          <w:p>
            <w:pPr>
              <w:pStyle w:val="TableParagraph"/>
              <w:spacing w:line="209" w:lineRule="exact"/>
              <w:ind w:right="27"/>
              <w:jc w:val="right"/>
              <w:rPr>
                <w:sz w:val="20"/>
              </w:rPr>
            </w:pPr>
            <w:r>
              <w:rPr>
                <w:spacing w:val="-4"/>
                <w:sz w:val="20"/>
              </w:rPr>
              <w:t>-</w:t>
            </w:r>
            <w:r>
              <w:rPr>
                <w:spacing w:val="-2"/>
                <w:sz w:val="20"/>
              </w:rPr>
              <w:t>2.9358</w:t>
            </w:r>
          </w:p>
        </w:tc>
      </w:tr>
      <w:tr>
        <w:trPr>
          <w:trHeight w:val="224" w:hRule="atLeast"/>
        </w:trPr>
        <w:tc>
          <w:tcPr>
            <w:tcW w:w="1847" w:type="dxa"/>
            <w:tcBorders>
              <w:bottom w:val="double" w:sz="6" w:space="0" w:color="000000"/>
            </w:tcBorders>
          </w:tcPr>
          <w:p>
            <w:pPr>
              <w:pStyle w:val="TableParagraph"/>
              <w:rPr>
                <w:sz w:val="16"/>
              </w:rPr>
            </w:pPr>
          </w:p>
        </w:tc>
        <w:tc>
          <w:tcPr>
            <w:tcW w:w="1375" w:type="dxa"/>
            <w:tcBorders>
              <w:bottom w:val="double" w:sz="6" w:space="0" w:color="000000"/>
            </w:tcBorders>
          </w:tcPr>
          <w:p>
            <w:pPr>
              <w:pStyle w:val="TableParagraph"/>
              <w:rPr>
                <w:sz w:val="16"/>
              </w:rPr>
            </w:pPr>
          </w:p>
        </w:tc>
        <w:tc>
          <w:tcPr>
            <w:tcW w:w="2336" w:type="dxa"/>
            <w:gridSpan w:val="2"/>
            <w:tcBorders>
              <w:bottom w:val="double" w:sz="6" w:space="0" w:color="000000"/>
            </w:tcBorders>
          </w:tcPr>
          <w:p>
            <w:pPr>
              <w:pStyle w:val="TableParagraph"/>
              <w:spacing w:line="205" w:lineRule="exact"/>
              <w:ind w:left="131"/>
              <w:rPr>
                <w:sz w:val="20"/>
              </w:rPr>
            </w:pPr>
            <w:r>
              <w:rPr>
                <w:sz w:val="20"/>
              </w:rPr>
              <w:t>10%</w:t>
            </w:r>
            <w:r>
              <w:rPr>
                <w:spacing w:val="-6"/>
                <w:sz w:val="20"/>
              </w:rPr>
              <w:t> </w:t>
            </w:r>
            <w:r>
              <w:rPr>
                <w:sz w:val="20"/>
              </w:rPr>
              <w:t>Critical</w:t>
            </w:r>
            <w:r>
              <w:rPr>
                <w:spacing w:val="-4"/>
                <w:sz w:val="20"/>
              </w:rPr>
              <w:t> </w:t>
            </w:r>
            <w:r>
              <w:rPr>
                <w:spacing w:val="-2"/>
                <w:sz w:val="20"/>
              </w:rPr>
              <w:t>Value</w:t>
            </w:r>
          </w:p>
        </w:tc>
        <w:tc>
          <w:tcPr>
            <w:tcW w:w="929" w:type="dxa"/>
            <w:tcBorders>
              <w:bottom w:val="double" w:sz="6" w:space="0" w:color="000000"/>
            </w:tcBorders>
          </w:tcPr>
          <w:p>
            <w:pPr>
              <w:pStyle w:val="TableParagraph"/>
              <w:spacing w:line="205" w:lineRule="exact"/>
              <w:ind w:right="27"/>
              <w:jc w:val="right"/>
              <w:rPr>
                <w:sz w:val="20"/>
              </w:rPr>
            </w:pPr>
            <w:r>
              <w:rPr>
                <w:spacing w:val="-4"/>
                <w:sz w:val="20"/>
              </w:rPr>
              <w:t>-</w:t>
            </w:r>
            <w:r>
              <w:rPr>
                <w:spacing w:val="-2"/>
                <w:sz w:val="20"/>
              </w:rPr>
              <w:t>2.6059</w:t>
            </w:r>
          </w:p>
        </w:tc>
      </w:tr>
      <w:tr>
        <w:trPr>
          <w:trHeight w:val="506" w:hRule="atLeast"/>
        </w:trPr>
        <w:tc>
          <w:tcPr>
            <w:tcW w:w="6487" w:type="dxa"/>
            <w:gridSpan w:val="5"/>
            <w:tcBorders>
              <w:top w:val="double" w:sz="6" w:space="0" w:color="000000"/>
            </w:tcBorders>
          </w:tcPr>
          <w:p>
            <w:pPr>
              <w:pStyle w:val="TableParagraph"/>
              <w:spacing w:before="42"/>
              <w:ind w:left="36"/>
              <w:rPr>
                <w:sz w:val="20"/>
              </w:rPr>
            </w:pPr>
            <w:r>
              <w:rPr>
                <w:sz w:val="20"/>
              </w:rPr>
              <w:t>*MacKinnon</w:t>
            </w:r>
            <w:r>
              <w:rPr>
                <w:spacing w:val="-6"/>
                <w:sz w:val="20"/>
              </w:rPr>
              <w:t> </w:t>
            </w:r>
            <w:r>
              <w:rPr>
                <w:sz w:val="20"/>
              </w:rPr>
              <w:t>critical</w:t>
            </w:r>
            <w:r>
              <w:rPr>
                <w:spacing w:val="-4"/>
                <w:sz w:val="20"/>
              </w:rPr>
              <w:t> </w:t>
            </w:r>
            <w:r>
              <w:rPr>
                <w:sz w:val="20"/>
              </w:rPr>
              <w:t>values</w:t>
            </w:r>
            <w:r>
              <w:rPr>
                <w:spacing w:val="-6"/>
                <w:sz w:val="20"/>
              </w:rPr>
              <w:t> </w:t>
            </w:r>
            <w:r>
              <w:rPr>
                <w:sz w:val="20"/>
              </w:rPr>
              <w:t>for</w:t>
            </w:r>
            <w:r>
              <w:rPr>
                <w:spacing w:val="-4"/>
                <w:sz w:val="20"/>
              </w:rPr>
              <w:t> </w:t>
            </w:r>
            <w:r>
              <w:rPr>
                <w:sz w:val="20"/>
              </w:rPr>
              <w:t>rejection</w:t>
            </w:r>
            <w:r>
              <w:rPr>
                <w:spacing w:val="-6"/>
                <w:sz w:val="20"/>
              </w:rPr>
              <w:t> </w:t>
            </w:r>
            <w:r>
              <w:rPr>
                <w:sz w:val="20"/>
              </w:rPr>
              <w:t>of hypothesis</w:t>
            </w:r>
            <w:r>
              <w:rPr>
                <w:spacing w:val="-6"/>
                <w:sz w:val="20"/>
              </w:rPr>
              <w:t> </w:t>
            </w:r>
            <w:r>
              <w:rPr>
                <w:sz w:val="20"/>
              </w:rPr>
              <w:t>of</w:t>
            </w:r>
            <w:r>
              <w:rPr>
                <w:spacing w:val="-6"/>
                <w:sz w:val="20"/>
              </w:rPr>
              <w:t> </w:t>
            </w:r>
            <w:r>
              <w:rPr>
                <w:sz w:val="20"/>
              </w:rPr>
              <w:t>a</w:t>
            </w:r>
            <w:r>
              <w:rPr>
                <w:spacing w:val="-5"/>
                <w:sz w:val="20"/>
              </w:rPr>
              <w:t> </w:t>
            </w:r>
            <w:r>
              <w:rPr>
                <w:sz w:val="20"/>
              </w:rPr>
              <w:t>unit</w:t>
            </w:r>
            <w:r>
              <w:rPr>
                <w:spacing w:val="-5"/>
                <w:sz w:val="20"/>
              </w:rPr>
              <w:t> </w:t>
            </w:r>
            <w:r>
              <w:rPr>
                <w:spacing w:val="-2"/>
                <w:sz w:val="20"/>
              </w:rPr>
              <w:t>root.</w:t>
            </w:r>
          </w:p>
        </w:tc>
      </w:tr>
      <w:tr>
        <w:trPr>
          <w:trHeight w:val="459" w:hRule="atLeast"/>
        </w:trPr>
        <w:tc>
          <w:tcPr>
            <w:tcW w:w="6487" w:type="dxa"/>
            <w:gridSpan w:val="5"/>
          </w:tcPr>
          <w:p>
            <w:pPr>
              <w:pStyle w:val="TableParagraph"/>
              <w:spacing w:line="215" w:lineRule="exact" w:before="225"/>
              <w:ind w:left="36"/>
              <w:rPr>
                <w:sz w:val="20"/>
              </w:rPr>
            </w:pPr>
            <w:r>
              <w:rPr>
                <w:sz w:val="20"/>
              </w:rPr>
              <w:t>Augmented</w:t>
            </w:r>
            <w:r>
              <w:rPr>
                <w:spacing w:val="-8"/>
                <w:sz w:val="20"/>
              </w:rPr>
              <w:t> </w:t>
            </w:r>
            <w:r>
              <w:rPr>
                <w:sz w:val="20"/>
              </w:rPr>
              <w:t>Dickey-Fuller</w:t>
            </w:r>
            <w:r>
              <w:rPr>
                <w:spacing w:val="-8"/>
                <w:sz w:val="20"/>
              </w:rPr>
              <w:t> </w:t>
            </w:r>
            <w:r>
              <w:rPr>
                <w:sz w:val="20"/>
              </w:rPr>
              <w:t>Test</w:t>
            </w:r>
            <w:r>
              <w:rPr>
                <w:spacing w:val="-9"/>
                <w:sz w:val="20"/>
              </w:rPr>
              <w:t> </w:t>
            </w:r>
            <w:r>
              <w:rPr>
                <w:spacing w:val="-2"/>
                <w:sz w:val="20"/>
              </w:rPr>
              <w:t>Equation</w:t>
            </w:r>
          </w:p>
        </w:tc>
      </w:tr>
      <w:tr>
        <w:trPr>
          <w:trHeight w:val="230" w:hRule="atLeast"/>
        </w:trPr>
        <w:tc>
          <w:tcPr>
            <w:tcW w:w="6487" w:type="dxa"/>
            <w:gridSpan w:val="5"/>
          </w:tcPr>
          <w:p>
            <w:pPr>
              <w:pStyle w:val="TableParagraph"/>
              <w:spacing w:line="210" w:lineRule="exact"/>
              <w:ind w:left="36"/>
              <w:rPr>
                <w:sz w:val="20"/>
              </w:rPr>
            </w:pPr>
            <w:r>
              <w:rPr>
                <w:sz w:val="20"/>
              </w:rPr>
              <w:t>Dependent</w:t>
            </w:r>
            <w:r>
              <w:rPr>
                <w:spacing w:val="-8"/>
                <w:sz w:val="20"/>
              </w:rPr>
              <w:t> </w:t>
            </w:r>
            <w:r>
              <w:rPr>
                <w:sz w:val="20"/>
              </w:rPr>
              <w:t>Variable:</w:t>
            </w:r>
            <w:r>
              <w:rPr>
                <w:spacing w:val="-8"/>
                <w:sz w:val="20"/>
              </w:rPr>
              <w:t> </w:t>
            </w:r>
            <w:r>
              <w:rPr>
                <w:spacing w:val="-2"/>
                <w:sz w:val="20"/>
              </w:rPr>
              <w:t>D(DOP)</w:t>
            </w:r>
          </w:p>
        </w:tc>
      </w:tr>
      <w:tr>
        <w:trPr>
          <w:trHeight w:val="229" w:hRule="atLeast"/>
        </w:trPr>
        <w:tc>
          <w:tcPr>
            <w:tcW w:w="6487" w:type="dxa"/>
            <w:gridSpan w:val="5"/>
          </w:tcPr>
          <w:p>
            <w:pPr>
              <w:pStyle w:val="TableParagraph"/>
              <w:spacing w:line="209" w:lineRule="exact"/>
              <w:ind w:left="36"/>
              <w:rPr>
                <w:sz w:val="20"/>
              </w:rPr>
            </w:pPr>
            <w:r>
              <w:rPr>
                <w:sz w:val="20"/>
              </w:rPr>
              <w:t>Method:</w:t>
            </w:r>
            <w:r>
              <w:rPr>
                <w:spacing w:val="-8"/>
                <w:sz w:val="20"/>
              </w:rPr>
              <w:t> </w:t>
            </w:r>
            <w:r>
              <w:rPr>
                <w:sz w:val="20"/>
              </w:rPr>
              <w:t>Least</w:t>
            </w:r>
            <w:r>
              <w:rPr>
                <w:spacing w:val="-7"/>
                <w:sz w:val="20"/>
              </w:rPr>
              <w:t> </w:t>
            </w:r>
            <w:r>
              <w:rPr>
                <w:spacing w:val="-2"/>
                <w:sz w:val="20"/>
              </w:rPr>
              <w:t>Squares</w:t>
            </w:r>
          </w:p>
        </w:tc>
      </w:tr>
      <w:tr>
        <w:trPr>
          <w:trHeight w:val="229" w:hRule="atLeast"/>
        </w:trPr>
        <w:tc>
          <w:tcPr>
            <w:tcW w:w="6487" w:type="dxa"/>
            <w:gridSpan w:val="5"/>
          </w:tcPr>
          <w:p>
            <w:pPr>
              <w:pStyle w:val="TableParagraph"/>
              <w:spacing w:line="209" w:lineRule="exact"/>
              <w:ind w:left="36"/>
              <w:rPr>
                <w:sz w:val="20"/>
              </w:rPr>
            </w:pPr>
            <w:r>
              <w:rPr>
                <w:sz w:val="20"/>
              </w:rPr>
              <w:t>Date:</w:t>
            </w:r>
            <w:r>
              <w:rPr>
                <w:spacing w:val="-5"/>
                <w:sz w:val="20"/>
              </w:rPr>
              <w:t> </w:t>
            </w:r>
            <w:r>
              <w:rPr>
                <w:sz w:val="20"/>
              </w:rPr>
              <w:t>02/18/14</w:t>
            </w:r>
            <w:r>
              <w:rPr>
                <w:spacing w:val="63"/>
                <w:w w:val="150"/>
                <w:sz w:val="20"/>
              </w:rPr>
              <w:t> </w:t>
            </w:r>
            <w:r>
              <w:rPr>
                <w:sz w:val="20"/>
              </w:rPr>
              <w:t>Time:</w:t>
            </w:r>
            <w:r>
              <w:rPr>
                <w:spacing w:val="-3"/>
                <w:sz w:val="20"/>
              </w:rPr>
              <w:t> </w:t>
            </w:r>
            <w:r>
              <w:rPr>
                <w:spacing w:val="-2"/>
                <w:sz w:val="20"/>
              </w:rPr>
              <w:t>13:33</w:t>
            </w:r>
          </w:p>
        </w:tc>
      </w:tr>
      <w:tr>
        <w:trPr>
          <w:trHeight w:val="230" w:hRule="atLeast"/>
        </w:trPr>
        <w:tc>
          <w:tcPr>
            <w:tcW w:w="6487" w:type="dxa"/>
            <w:gridSpan w:val="5"/>
          </w:tcPr>
          <w:p>
            <w:pPr>
              <w:pStyle w:val="TableParagraph"/>
              <w:spacing w:line="210" w:lineRule="exact"/>
              <w:ind w:left="36"/>
              <w:rPr>
                <w:sz w:val="20"/>
              </w:rPr>
            </w:pPr>
            <w:r>
              <w:rPr>
                <w:sz w:val="20"/>
              </w:rPr>
              <w:t>Sample(adjusted):</w:t>
            </w:r>
            <w:r>
              <w:rPr>
                <w:spacing w:val="-9"/>
                <w:sz w:val="20"/>
              </w:rPr>
              <w:t> </w:t>
            </w:r>
            <w:r>
              <w:rPr>
                <w:sz w:val="20"/>
              </w:rPr>
              <w:t>1972</w:t>
            </w:r>
            <w:r>
              <w:rPr>
                <w:spacing w:val="-9"/>
                <w:sz w:val="20"/>
              </w:rPr>
              <w:t> </w:t>
            </w:r>
            <w:r>
              <w:rPr>
                <w:spacing w:val="-4"/>
                <w:sz w:val="20"/>
              </w:rPr>
              <w:t>2011</w:t>
            </w:r>
          </w:p>
        </w:tc>
      </w:tr>
      <w:tr>
        <w:trPr>
          <w:trHeight w:val="224" w:hRule="atLeast"/>
        </w:trPr>
        <w:tc>
          <w:tcPr>
            <w:tcW w:w="6487" w:type="dxa"/>
            <w:gridSpan w:val="5"/>
            <w:tcBorders>
              <w:bottom w:val="double" w:sz="6" w:space="0" w:color="000000"/>
            </w:tcBorders>
          </w:tcPr>
          <w:p>
            <w:pPr>
              <w:pStyle w:val="TableParagraph"/>
              <w:spacing w:line="205" w:lineRule="exact"/>
              <w:ind w:left="36"/>
              <w:rPr>
                <w:sz w:val="20"/>
              </w:rPr>
            </w:pPr>
            <w:r>
              <w:rPr>
                <w:sz w:val="20"/>
              </w:rPr>
              <w:t>Included</w:t>
            </w:r>
            <w:r>
              <w:rPr>
                <w:spacing w:val="-6"/>
                <w:sz w:val="20"/>
              </w:rPr>
              <w:t> </w:t>
            </w:r>
            <w:r>
              <w:rPr>
                <w:sz w:val="20"/>
              </w:rPr>
              <w:t>observations:</w:t>
            </w:r>
            <w:r>
              <w:rPr>
                <w:spacing w:val="-8"/>
                <w:sz w:val="20"/>
              </w:rPr>
              <w:t> </w:t>
            </w:r>
            <w:r>
              <w:rPr>
                <w:sz w:val="20"/>
              </w:rPr>
              <w:t>40</w:t>
            </w:r>
            <w:r>
              <w:rPr>
                <w:spacing w:val="-5"/>
                <w:sz w:val="20"/>
              </w:rPr>
              <w:t> </w:t>
            </w:r>
            <w:r>
              <w:rPr>
                <w:sz w:val="20"/>
              </w:rPr>
              <w:t>after</w:t>
            </w:r>
            <w:r>
              <w:rPr>
                <w:spacing w:val="-7"/>
                <w:sz w:val="20"/>
              </w:rPr>
              <w:t> </w:t>
            </w:r>
            <w:r>
              <w:rPr>
                <w:sz w:val="20"/>
              </w:rPr>
              <w:t>adjusting</w:t>
            </w:r>
            <w:r>
              <w:rPr>
                <w:spacing w:val="-7"/>
                <w:sz w:val="20"/>
              </w:rPr>
              <w:t> </w:t>
            </w:r>
            <w:r>
              <w:rPr>
                <w:spacing w:val="-2"/>
                <w:sz w:val="20"/>
              </w:rPr>
              <w:t>endpoints</w:t>
            </w:r>
          </w:p>
        </w:tc>
      </w:tr>
      <w:tr>
        <w:trPr>
          <w:trHeight w:val="269" w:hRule="atLeast"/>
        </w:trPr>
        <w:tc>
          <w:tcPr>
            <w:tcW w:w="1847" w:type="dxa"/>
            <w:tcBorders>
              <w:top w:val="double" w:sz="6" w:space="0" w:color="000000"/>
              <w:bottom w:val="double" w:sz="6" w:space="0" w:color="000000"/>
            </w:tcBorders>
          </w:tcPr>
          <w:p>
            <w:pPr>
              <w:pStyle w:val="TableParagraph"/>
              <w:spacing w:line="209" w:lineRule="exact" w:before="40"/>
              <w:ind w:left="677"/>
              <w:rPr>
                <w:sz w:val="20"/>
              </w:rPr>
            </w:pPr>
            <w:r>
              <w:rPr>
                <w:spacing w:val="-2"/>
                <w:sz w:val="20"/>
              </w:rPr>
              <w:t>Variable</w:t>
            </w:r>
          </w:p>
        </w:tc>
        <w:tc>
          <w:tcPr>
            <w:tcW w:w="1375" w:type="dxa"/>
            <w:tcBorders>
              <w:top w:val="double" w:sz="6" w:space="0" w:color="000000"/>
              <w:bottom w:val="double" w:sz="6" w:space="0" w:color="000000"/>
            </w:tcBorders>
          </w:tcPr>
          <w:p>
            <w:pPr>
              <w:pStyle w:val="TableParagraph"/>
              <w:spacing w:line="209" w:lineRule="exact" w:before="40"/>
              <w:ind w:right="131"/>
              <w:jc w:val="right"/>
              <w:rPr>
                <w:sz w:val="20"/>
              </w:rPr>
            </w:pPr>
            <w:r>
              <w:rPr>
                <w:spacing w:val="-2"/>
                <w:sz w:val="20"/>
              </w:rPr>
              <w:t>Coefficient</w:t>
            </w:r>
          </w:p>
        </w:tc>
        <w:tc>
          <w:tcPr>
            <w:tcW w:w="1432" w:type="dxa"/>
            <w:tcBorders>
              <w:top w:val="double" w:sz="6" w:space="0" w:color="000000"/>
              <w:bottom w:val="double" w:sz="6" w:space="0" w:color="000000"/>
            </w:tcBorders>
          </w:tcPr>
          <w:p>
            <w:pPr>
              <w:pStyle w:val="TableParagraph"/>
              <w:spacing w:line="209" w:lineRule="exact" w:before="40"/>
              <w:ind w:left="273"/>
              <w:rPr>
                <w:sz w:val="20"/>
              </w:rPr>
            </w:pPr>
            <w:r>
              <w:rPr>
                <w:sz w:val="20"/>
              </w:rPr>
              <w:t>Std.</w:t>
            </w:r>
            <w:r>
              <w:rPr>
                <w:spacing w:val="-4"/>
                <w:sz w:val="20"/>
              </w:rPr>
              <w:t> </w:t>
            </w:r>
            <w:r>
              <w:rPr>
                <w:spacing w:val="-2"/>
                <w:sz w:val="20"/>
              </w:rPr>
              <w:t>Error</w:t>
            </w:r>
          </w:p>
        </w:tc>
        <w:tc>
          <w:tcPr>
            <w:tcW w:w="904" w:type="dxa"/>
            <w:tcBorders>
              <w:top w:val="double" w:sz="6" w:space="0" w:color="000000"/>
              <w:bottom w:val="double" w:sz="6" w:space="0" w:color="000000"/>
            </w:tcBorders>
          </w:tcPr>
          <w:p>
            <w:pPr>
              <w:pStyle w:val="TableParagraph"/>
              <w:spacing w:line="209" w:lineRule="exact" w:before="40"/>
              <w:ind w:right="22"/>
              <w:jc w:val="center"/>
              <w:rPr>
                <w:sz w:val="20"/>
              </w:rPr>
            </w:pPr>
            <w:r>
              <w:rPr>
                <w:spacing w:val="-4"/>
                <w:sz w:val="20"/>
              </w:rPr>
              <w:t>t-</w:t>
            </w:r>
            <w:r>
              <w:rPr>
                <w:spacing w:val="-2"/>
                <w:sz w:val="20"/>
              </w:rPr>
              <w:t>Statistic</w:t>
            </w:r>
          </w:p>
        </w:tc>
        <w:tc>
          <w:tcPr>
            <w:tcW w:w="929" w:type="dxa"/>
            <w:tcBorders>
              <w:top w:val="double" w:sz="6" w:space="0" w:color="000000"/>
              <w:bottom w:val="double" w:sz="6" w:space="0" w:color="000000"/>
            </w:tcBorders>
          </w:tcPr>
          <w:p>
            <w:pPr>
              <w:pStyle w:val="TableParagraph"/>
              <w:spacing w:line="209" w:lineRule="exact" w:before="40"/>
              <w:ind w:right="28"/>
              <w:jc w:val="right"/>
              <w:rPr>
                <w:sz w:val="20"/>
              </w:rPr>
            </w:pPr>
            <w:r>
              <w:rPr>
                <w:spacing w:val="-2"/>
                <w:sz w:val="20"/>
              </w:rPr>
              <w:t>Prob.</w:t>
            </w:r>
          </w:p>
        </w:tc>
      </w:tr>
      <w:tr>
        <w:trPr>
          <w:trHeight w:val="276" w:hRule="atLeast"/>
        </w:trPr>
        <w:tc>
          <w:tcPr>
            <w:tcW w:w="1847" w:type="dxa"/>
            <w:tcBorders>
              <w:top w:val="double" w:sz="6" w:space="0" w:color="000000"/>
            </w:tcBorders>
          </w:tcPr>
          <w:p>
            <w:pPr>
              <w:pStyle w:val="TableParagraph"/>
              <w:spacing w:line="214" w:lineRule="exact" w:before="42"/>
              <w:ind w:left="672"/>
              <w:rPr>
                <w:sz w:val="20"/>
              </w:rPr>
            </w:pPr>
            <w:r>
              <w:rPr>
                <w:spacing w:val="-2"/>
                <w:sz w:val="20"/>
              </w:rPr>
              <w:t>DOP(-</w:t>
            </w:r>
            <w:r>
              <w:rPr>
                <w:spacing w:val="-5"/>
                <w:sz w:val="20"/>
              </w:rPr>
              <w:t>1)</w:t>
            </w:r>
          </w:p>
        </w:tc>
        <w:tc>
          <w:tcPr>
            <w:tcW w:w="1375" w:type="dxa"/>
            <w:tcBorders>
              <w:top w:val="double" w:sz="6" w:space="0" w:color="000000"/>
            </w:tcBorders>
          </w:tcPr>
          <w:p>
            <w:pPr>
              <w:pStyle w:val="TableParagraph"/>
              <w:spacing w:line="214" w:lineRule="exact" w:before="42"/>
              <w:ind w:right="128"/>
              <w:jc w:val="right"/>
              <w:rPr>
                <w:sz w:val="20"/>
              </w:rPr>
            </w:pPr>
            <w:r>
              <w:rPr>
                <w:spacing w:val="-4"/>
                <w:sz w:val="20"/>
              </w:rPr>
              <w:t>-</w:t>
            </w:r>
            <w:r>
              <w:rPr>
                <w:spacing w:val="-2"/>
                <w:sz w:val="20"/>
              </w:rPr>
              <w:t>0.223312</w:t>
            </w:r>
          </w:p>
        </w:tc>
        <w:tc>
          <w:tcPr>
            <w:tcW w:w="1432" w:type="dxa"/>
            <w:tcBorders>
              <w:top w:val="double" w:sz="6" w:space="0" w:color="000000"/>
            </w:tcBorders>
          </w:tcPr>
          <w:p>
            <w:pPr>
              <w:pStyle w:val="TableParagraph"/>
              <w:spacing w:line="214" w:lineRule="exact" w:before="42"/>
              <w:ind w:left="311"/>
              <w:rPr>
                <w:sz w:val="20"/>
              </w:rPr>
            </w:pPr>
            <w:r>
              <w:rPr>
                <w:spacing w:val="-2"/>
                <w:sz w:val="20"/>
              </w:rPr>
              <w:t>0.120020</w:t>
            </w:r>
          </w:p>
        </w:tc>
        <w:tc>
          <w:tcPr>
            <w:tcW w:w="904" w:type="dxa"/>
            <w:tcBorders>
              <w:top w:val="double" w:sz="6" w:space="0" w:color="000000"/>
            </w:tcBorders>
          </w:tcPr>
          <w:p>
            <w:pPr>
              <w:pStyle w:val="TableParagraph"/>
              <w:spacing w:line="214" w:lineRule="exact" w:before="42"/>
              <w:ind w:right="70"/>
              <w:jc w:val="center"/>
              <w:rPr>
                <w:sz w:val="20"/>
              </w:rPr>
            </w:pPr>
            <w:r>
              <w:rPr>
                <w:spacing w:val="-4"/>
                <w:sz w:val="20"/>
              </w:rPr>
              <w:t>-</w:t>
            </w:r>
            <w:r>
              <w:rPr>
                <w:spacing w:val="-2"/>
                <w:sz w:val="20"/>
              </w:rPr>
              <w:t>1.860631</w:t>
            </w:r>
          </w:p>
        </w:tc>
        <w:tc>
          <w:tcPr>
            <w:tcW w:w="929" w:type="dxa"/>
            <w:tcBorders>
              <w:top w:val="double" w:sz="6" w:space="0" w:color="000000"/>
            </w:tcBorders>
          </w:tcPr>
          <w:p>
            <w:pPr>
              <w:pStyle w:val="TableParagraph"/>
              <w:spacing w:line="214" w:lineRule="exact" w:before="42"/>
              <w:ind w:right="27"/>
              <w:jc w:val="right"/>
              <w:rPr>
                <w:sz w:val="20"/>
              </w:rPr>
            </w:pPr>
            <w:r>
              <w:rPr>
                <w:spacing w:val="-2"/>
                <w:sz w:val="20"/>
              </w:rPr>
              <w:t>0.0708</w:t>
            </w:r>
          </w:p>
        </w:tc>
      </w:tr>
      <w:tr>
        <w:trPr>
          <w:trHeight w:val="229" w:hRule="atLeast"/>
        </w:trPr>
        <w:tc>
          <w:tcPr>
            <w:tcW w:w="1847" w:type="dxa"/>
          </w:tcPr>
          <w:p>
            <w:pPr>
              <w:pStyle w:val="TableParagraph"/>
              <w:spacing w:line="209" w:lineRule="exact"/>
              <w:ind w:left="533"/>
              <w:rPr>
                <w:sz w:val="20"/>
              </w:rPr>
            </w:pPr>
            <w:r>
              <w:rPr>
                <w:spacing w:val="-2"/>
                <w:sz w:val="20"/>
              </w:rPr>
              <w:t>D(DOP(-</w:t>
            </w:r>
            <w:r>
              <w:rPr>
                <w:spacing w:val="-5"/>
                <w:sz w:val="20"/>
              </w:rPr>
              <w:t>1))</w:t>
            </w:r>
          </w:p>
        </w:tc>
        <w:tc>
          <w:tcPr>
            <w:tcW w:w="1375" w:type="dxa"/>
          </w:tcPr>
          <w:p>
            <w:pPr>
              <w:pStyle w:val="TableParagraph"/>
              <w:spacing w:line="209" w:lineRule="exact"/>
              <w:ind w:right="128"/>
              <w:jc w:val="right"/>
              <w:rPr>
                <w:sz w:val="20"/>
              </w:rPr>
            </w:pPr>
            <w:r>
              <w:rPr>
                <w:spacing w:val="-4"/>
                <w:sz w:val="20"/>
              </w:rPr>
              <w:t>-</w:t>
            </w:r>
            <w:r>
              <w:rPr>
                <w:spacing w:val="-2"/>
                <w:sz w:val="20"/>
              </w:rPr>
              <w:t>0.288539</w:t>
            </w:r>
          </w:p>
        </w:tc>
        <w:tc>
          <w:tcPr>
            <w:tcW w:w="1432" w:type="dxa"/>
          </w:tcPr>
          <w:p>
            <w:pPr>
              <w:pStyle w:val="TableParagraph"/>
              <w:spacing w:line="209" w:lineRule="exact"/>
              <w:ind w:left="311"/>
              <w:rPr>
                <w:sz w:val="20"/>
              </w:rPr>
            </w:pPr>
            <w:r>
              <w:rPr>
                <w:spacing w:val="-2"/>
                <w:sz w:val="20"/>
              </w:rPr>
              <w:t>0.154958</w:t>
            </w:r>
          </w:p>
        </w:tc>
        <w:tc>
          <w:tcPr>
            <w:tcW w:w="904" w:type="dxa"/>
          </w:tcPr>
          <w:p>
            <w:pPr>
              <w:pStyle w:val="TableParagraph"/>
              <w:spacing w:line="209" w:lineRule="exact"/>
              <w:ind w:right="70"/>
              <w:jc w:val="center"/>
              <w:rPr>
                <w:sz w:val="20"/>
              </w:rPr>
            </w:pPr>
            <w:r>
              <w:rPr>
                <w:spacing w:val="-4"/>
                <w:sz w:val="20"/>
              </w:rPr>
              <w:t>-</w:t>
            </w:r>
            <w:r>
              <w:rPr>
                <w:spacing w:val="-2"/>
                <w:sz w:val="20"/>
              </w:rPr>
              <w:t>1.862047</w:t>
            </w:r>
          </w:p>
        </w:tc>
        <w:tc>
          <w:tcPr>
            <w:tcW w:w="929" w:type="dxa"/>
          </w:tcPr>
          <w:p>
            <w:pPr>
              <w:pStyle w:val="TableParagraph"/>
              <w:spacing w:line="209" w:lineRule="exact"/>
              <w:ind w:right="27"/>
              <w:jc w:val="right"/>
              <w:rPr>
                <w:sz w:val="20"/>
              </w:rPr>
            </w:pPr>
            <w:r>
              <w:rPr>
                <w:spacing w:val="-2"/>
                <w:sz w:val="20"/>
              </w:rPr>
              <w:t>0.0706</w:t>
            </w:r>
          </w:p>
        </w:tc>
      </w:tr>
      <w:tr>
        <w:trPr>
          <w:trHeight w:val="224" w:hRule="atLeast"/>
        </w:trPr>
        <w:tc>
          <w:tcPr>
            <w:tcW w:w="1847" w:type="dxa"/>
            <w:tcBorders>
              <w:bottom w:val="double" w:sz="6" w:space="0" w:color="000000"/>
            </w:tcBorders>
          </w:tcPr>
          <w:p>
            <w:pPr>
              <w:pStyle w:val="TableParagraph"/>
              <w:spacing w:line="205" w:lineRule="exact"/>
              <w:ind w:left="197"/>
              <w:jc w:val="center"/>
              <w:rPr>
                <w:sz w:val="20"/>
              </w:rPr>
            </w:pPr>
            <w:r>
              <w:rPr>
                <w:spacing w:val="-10"/>
                <w:sz w:val="20"/>
              </w:rPr>
              <w:t>C</w:t>
            </w:r>
          </w:p>
        </w:tc>
        <w:tc>
          <w:tcPr>
            <w:tcW w:w="1375" w:type="dxa"/>
            <w:tcBorders>
              <w:bottom w:val="double" w:sz="6" w:space="0" w:color="000000"/>
            </w:tcBorders>
          </w:tcPr>
          <w:p>
            <w:pPr>
              <w:pStyle w:val="TableParagraph"/>
              <w:spacing w:line="205" w:lineRule="exact"/>
              <w:ind w:right="128"/>
              <w:jc w:val="right"/>
              <w:rPr>
                <w:sz w:val="20"/>
              </w:rPr>
            </w:pPr>
            <w:r>
              <w:rPr>
                <w:spacing w:val="-4"/>
                <w:sz w:val="20"/>
              </w:rPr>
              <w:t>-</w:t>
            </w:r>
            <w:r>
              <w:rPr>
                <w:spacing w:val="-2"/>
                <w:sz w:val="20"/>
              </w:rPr>
              <w:t>0.141315</w:t>
            </w:r>
          </w:p>
        </w:tc>
        <w:tc>
          <w:tcPr>
            <w:tcW w:w="1432" w:type="dxa"/>
            <w:tcBorders>
              <w:bottom w:val="double" w:sz="6" w:space="0" w:color="000000"/>
            </w:tcBorders>
          </w:tcPr>
          <w:p>
            <w:pPr>
              <w:pStyle w:val="TableParagraph"/>
              <w:spacing w:line="205" w:lineRule="exact"/>
              <w:ind w:left="311"/>
              <w:rPr>
                <w:sz w:val="20"/>
              </w:rPr>
            </w:pPr>
            <w:r>
              <w:rPr>
                <w:spacing w:val="-2"/>
                <w:sz w:val="20"/>
              </w:rPr>
              <w:t>0.093570</w:t>
            </w:r>
          </w:p>
        </w:tc>
        <w:tc>
          <w:tcPr>
            <w:tcW w:w="904" w:type="dxa"/>
            <w:tcBorders>
              <w:bottom w:val="double" w:sz="6" w:space="0" w:color="000000"/>
            </w:tcBorders>
          </w:tcPr>
          <w:p>
            <w:pPr>
              <w:pStyle w:val="TableParagraph"/>
              <w:spacing w:line="205" w:lineRule="exact"/>
              <w:ind w:right="70"/>
              <w:jc w:val="center"/>
              <w:rPr>
                <w:sz w:val="20"/>
              </w:rPr>
            </w:pPr>
            <w:r>
              <w:rPr>
                <w:spacing w:val="-4"/>
                <w:sz w:val="20"/>
              </w:rPr>
              <w:t>-</w:t>
            </w:r>
            <w:r>
              <w:rPr>
                <w:spacing w:val="-2"/>
                <w:sz w:val="20"/>
              </w:rPr>
              <w:t>1.510253</w:t>
            </w:r>
          </w:p>
        </w:tc>
        <w:tc>
          <w:tcPr>
            <w:tcW w:w="929" w:type="dxa"/>
            <w:tcBorders>
              <w:bottom w:val="double" w:sz="6" w:space="0" w:color="000000"/>
            </w:tcBorders>
          </w:tcPr>
          <w:p>
            <w:pPr>
              <w:pStyle w:val="TableParagraph"/>
              <w:spacing w:line="205" w:lineRule="exact"/>
              <w:ind w:right="27"/>
              <w:jc w:val="right"/>
              <w:rPr>
                <w:sz w:val="20"/>
              </w:rPr>
            </w:pPr>
            <w:r>
              <w:rPr>
                <w:spacing w:val="-2"/>
                <w:sz w:val="20"/>
              </w:rPr>
              <w:t>0.1395</w:t>
            </w:r>
          </w:p>
        </w:tc>
      </w:tr>
      <w:tr>
        <w:trPr>
          <w:trHeight w:val="276" w:hRule="atLeast"/>
        </w:trPr>
        <w:tc>
          <w:tcPr>
            <w:tcW w:w="1847" w:type="dxa"/>
            <w:tcBorders>
              <w:top w:val="double" w:sz="6" w:space="0" w:color="000000"/>
            </w:tcBorders>
          </w:tcPr>
          <w:p>
            <w:pPr>
              <w:pStyle w:val="TableParagraph"/>
              <w:spacing w:line="214" w:lineRule="exact" w:before="42"/>
              <w:ind w:left="36"/>
              <w:rPr>
                <w:sz w:val="20"/>
              </w:rPr>
            </w:pPr>
            <w:r>
              <w:rPr>
                <w:spacing w:val="-2"/>
                <w:sz w:val="20"/>
              </w:rPr>
              <w:t>R-squared</w:t>
            </w:r>
          </w:p>
        </w:tc>
        <w:tc>
          <w:tcPr>
            <w:tcW w:w="1375" w:type="dxa"/>
            <w:tcBorders>
              <w:top w:val="double" w:sz="6" w:space="0" w:color="000000"/>
            </w:tcBorders>
          </w:tcPr>
          <w:p>
            <w:pPr>
              <w:pStyle w:val="TableParagraph"/>
              <w:spacing w:line="214" w:lineRule="exact" w:before="42"/>
              <w:ind w:right="128"/>
              <w:jc w:val="right"/>
              <w:rPr>
                <w:sz w:val="20"/>
              </w:rPr>
            </w:pPr>
            <w:r>
              <w:rPr>
                <w:spacing w:val="-2"/>
                <w:sz w:val="20"/>
              </w:rPr>
              <w:t>0.225577</w:t>
            </w:r>
          </w:p>
        </w:tc>
        <w:tc>
          <w:tcPr>
            <w:tcW w:w="2336" w:type="dxa"/>
            <w:gridSpan w:val="2"/>
            <w:tcBorders>
              <w:top w:val="double" w:sz="6" w:space="0" w:color="000000"/>
            </w:tcBorders>
          </w:tcPr>
          <w:p>
            <w:pPr>
              <w:pStyle w:val="TableParagraph"/>
              <w:spacing w:line="214" w:lineRule="exact" w:before="42"/>
              <w:ind w:left="131"/>
              <w:rPr>
                <w:sz w:val="20"/>
              </w:rPr>
            </w:pPr>
            <w:r>
              <w:rPr>
                <w:sz w:val="20"/>
              </w:rPr>
              <w:t>Mean</w:t>
            </w:r>
            <w:r>
              <w:rPr>
                <w:spacing w:val="-7"/>
                <w:sz w:val="20"/>
              </w:rPr>
              <w:t> </w:t>
            </w:r>
            <w:r>
              <w:rPr>
                <w:sz w:val="20"/>
              </w:rPr>
              <w:t>dependent</w:t>
            </w:r>
            <w:r>
              <w:rPr>
                <w:spacing w:val="-7"/>
                <w:sz w:val="20"/>
              </w:rPr>
              <w:t> </w:t>
            </w:r>
            <w:r>
              <w:rPr>
                <w:spacing w:val="-5"/>
                <w:sz w:val="20"/>
              </w:rPr>
              <w:t>var</w:t>
            </w:r>
          </w:p>
        </w:tc>
        <w:tc>
          <w:tcPr>
            <w:tcW w:w="929" w:type="dxa"/>
            <w:tcBorders>
              <w:top w:val="double" w:sz="6" w:space="0" w:color="000000"/>
            </w:tcBorders>
          </w:tcPr>
          <w:p>
            <w:pPr>
              <w:pStyle w:val="TableParagraph"/>
              <w:spacing w:line="214" w:lineRule="exact" w:before="42"/>
              <w:ind w:right="27"/>
              <w:jc w:val="right"/>
              <w:rPr>
                <w:sz w:val="20"/>
              </w:rPr>
            </w:pPr>
            <w:r>
              <w:rPr>
                <w:spacing w:val="-2"/>
                <w:sz w:val="20"/>
              </w:rPr>
              <w:t>0.015071</w:t>
            </w:r>
          </w:p>
        </w:tc>
      </w:tr>
      <w:tr>
        <w:trPr>
          <w:trHeight w:val="229" w:hRule="atLeast"/>
        </w:trPr>
        <w:tc>
          <w:tcPr>
            <w:tcW w:w="1847" w:type="dxa"/>
          </w:tcPr>
          <w:p>
            <w:pPr>
              <w:pStyle w:val="TableParagraph"/>
              <w:spacing w:line="209" w:lineRule="exact"/>
              <w:ind w:left="36"/>
              <w:rPr>
                <w:sz w:val="20"/>
              </w:rPr>
            </w:pPr>
            <w:r>
              <w:rPr>
                <w:sz w:val="20"/>
              </w:rPr>
              <w:t>Adjusted</w:t>
            </w:r>
            <w:r>
              <w:rPr>
                <w:spacing w:val="-10"/>
                <w:sz w:val="20"/>
              </w:rPr>
              <w:t> </w:t>
            </w:r>
            <w:r>
              <w:rPr>
                <w:sz w:val="20"/>
              </w:rPr>
              <w:t>R-</w:t>
            </w:r>
            <w:r>
              <w:rPr>
                <w:spacing w:val="-2"/>
                <w:sz w:val="20"/>
              </w:rPr>
              <w:t>squared</w:t>
            </w:r>
          </w:p>
        </w:tc>
        <w:tc>
          <w:tcPr>
            <w:tcW w:w="1375" w:type="dxa"/>
          </w:tcPr>
          <w:p>
            <w:pPr>
              <w:pStyle w:val="TableParagraph"/>
              <w:spacing w:line="209" w:lineRule="exact"/>
              <w:ind w:right="128"/>
              <w:jc w:val="right"/>
              <w:rPr>
                <w:sz w:val="20"/>
              </w:rPr>
            </w:pPr>
            <w:r>
              <w:rPr>
                <w:spacing w:val="-2"/>
                <w:sz w:val="20"/>
              </w:rPr>
              <w:t>0.183716</w:t>
            </w:r>
          </w:p>
        </w:tc>
        <w:tc>
          <w:tcPr>
            <w:tcW w:w="2336" w:type="dxa"/>
            <w:gridSpan w:val="2"/>
          </w:tcPr>
          <w:p>
            <w:pPr>
              <w:pStyle w:val="TableParagraph"/>
              <w:spacing w:line="209" w:lineRule="exact"/>
              <w:ind w:left="131"/>
              <w:rPr>
                <w:sz w:val="20"/>
              </w:rPr>
            </w:pPr>
            <w:r>
              <w:rPr>
                <w:sz w:val="20"/>
              </w:rPr>
              <w:t>S.D.</w:t>
            </w:r>
            <w:r>
              <w:rPr>
                <w:spacing w:val="-5"/>
                <w:sz w:val="20"/>
              </w:rPr>
              <w:t> </w:t>
            </w:r>
            <w:r>
              <w:rPr>
                <w:sz w:val="20"/>
              </w:rPr>
              <w:t>dependent</w:t>
            </w:r>
            <w:r>
              <w:rPr>
                <w:spacing w:val="-6"/>
                <w:sz w:val="20"/>
              </w:rPr>
              <w:t> </w:t>
            </w:r>
            <w:r>
              <w:rPr>
                <w:spacing w:val="-5"/>
                <w:sz w:val="20"/>
              </w:rPr>
              <w:t>var</w:t>
            </w:r>
          </w:p>
        </w:tc>
        <w:tc>
          <w:tcPr>
            <w:tcW w:w="929" w:type="dxa"/>
          </w:tcPr>
          <w:p>
            <w:pPr>
              <w:pStyle w:val="TableParagraph"/>
              <w:spacing w:line="209" w:lineRule="exact"/>
              <w:ind w:right="27"/>
              <w:jc w:val="right"/>
              <w:rPr>
                <w:sz w:val="20"/>
              </w:rPr>
            </w:pPr>
            <w:r>
              <w:rPr>
                <w:spacing w:val="-2"/>
                <w:sz w:val="20"/>
              </w:rPr>
              <w:t>0.237482</w:t>
            </w:r>
          </w:p>
        </w:tc>
      </w:tr>
      <w:tr>
        <w:trPr>
          <w:trHeight w:val="230" w:hRule="atLeast"/>
        </w:trPr>
        <w:tc>
          <w:tcPr>
            <w:tcW w:w="1847" w:type="dxa"/>
          </w:tcPr>
          <w:p>
            <w:pPr>
              <w:pStyle w:val="TableParagraph"/>
              <w:spacing w:line="210" w:lineRule="exact"/>
              <w:ind w:left="36"/>
              <w:rPr>
                <w:sz w:val="20"/>
              </w:rPr>
            </w:pPr>
            <w:r>
              <w:rPr>
                <w:sz w:val="20"/>
              </w:rPr>
              <w:t>S.E.</w:t>
            </w:r>
            <w:r>
              <w:rPr>
                <w:spacing w:val="-3"/>
                <w:sz w:val="20"/>
              </w:rPr>
              <w:t> </w:t>
            </w:r>
            <w:r>
              <w:rPr>
                <w:sz w:val="20"/>
              </w:rPr>
              <w:t>of</w:t>
            </w:r>
            <w:r>
              <w:rPr>
                <w:spacing w:val="-3"/>
                <w:sz w:val="20"/>
              </w:rPr>
              <w:t> </w:t>
            </w:r>
            <w:r>
              <w:rPr>
                <w:spacing w:val="-2"/>
                <w:sz w:val="20"/>
              </w:rPr>
              <w:t>regression</w:t>
            </w:r>
          </w:p>
        </w:tc>
        <w:tc>
          <w:tcPr>
            <w:tcW w:w="1375" w:type="dxa"/>
          </w:tcPr>
          <w:p>
            <w:pPr>
              <w:pStyle w:val="TableParagraph"/>
              <w:spacing w:line="210" w:lineRule="exact"/>
              <w:ind w:right="128"/>
              <w:jc w:val="right"/>
              <w:rPr>
                <w:sz w:val="20"/>
              </w:rPr>
            </w:pPr>
            <w:r>
              <w:rPr>
                <w:spacing w:val="-2"/>
                <w:sz w:val="20"/>
              </w:rPr>
              <w:t>0.214561</w:t>
            </w:r>
          </w:p>
        </w:tc>
        <w:tc>
          <w:tcPr>
            <w:tcW w:w="2336" w:type="dxa"/>
            <w:gridSpan w:val="2"/>
          </w:tcPr>
          <w:p>
            <w:pPr>
              <w:pStyle w:val="TableParagraph"/>
              <w:spacing w:line="210" w:lineRule="exact"/>
              <w:ind w:left="131"/>
              <w:rPr>
                <w:sz w:val="20"/>
              </w:rPr>
            </w:pPr>
            <w:r>
              <w:rPr>
                <w:sz w:val="20"/>
              </w:rPr>
              <w:t>Akaike</w:t>
            </w:r>
            <w:r>
              <w:rPr>
                <w:spacing w:val="-8"/>
                <w:sz w:val="20"/>
              </w:rPr>
              <w:t> </w:t>
            </w:r>
            <w:r>
              <w:rPr>
                <w:sz w:val="20"/>
              </w:rPr>
              <w:t>info</w:t>
            </w:r>
            <w:r>
              <w:rPr>
                <w:spacing w:val="-7"/>
                <w:sz w:val="20"/>
              </w:rPr>
              <w:t> </w:t>
            </w:r>
            <w:r>
              <w:rPr>
                <w:spacing w:val="-2"/>
                <w:sz w:val="20"/>
              </w:rPr>
              <w:t>criterion</w:t>
            </w:r>
          </w:p>
        </w:tc>
        <w:tc>
          <w:tcPr>
            <w:tcW w:w="929" w:type="dxa"/>
          </w:tcPr>
          <w:p>
            <w:pPr>
              <w:pStyle w:val="TableParagraph"/>
              <w:spacing w:line="210" w:lineRule="exact"/>
              <w:ind w:right="27"/>
              <w:jc w:val="right"/>
              <w:rPr>
                <w:sz w:val="20"/>
              </w:rPr>
            </w:pPr>
            <w:r>
              <w:rPr>
                <w:spacing w:val="-4"/>
                <w:sz w:val="20"/>
              </w:rPr>
              <w:t>-</w:t>
            </w:r>
            <w:r>
              <w:rPr>
                <w:spacing w:val="-2"/>
                <w:sz w:val="20"/>
              </w:rPr>
              <w:t>0.168407</w:t>
            </w:r>
          </w:p>
        </w:tc>
      </w:tr>
      <w:tr>
        <w:trPr>
          <w:trHeight w:val="230" w:hRule="atLeast"/>
        </w:trPr>
        <w:tc>
          <w:tcPr>
            <w:tcW w:w="1847" w:type="dxa"/>
          </w:tcPr>
          <w:p>
            <w:pPr>
              <w:pStyle w:val="TableParagraph"/>
              <w:spacing w:line="210" w:lineRule="exact"/>
              <w:ind w:left="36"/>
              <w:rPr>
                <w:sz w:val="20"/>
              </w:rPr>
            </w:pPr>
            <w:r>
              <w:rPr>
                <w:sz w:val="20"/>
              </w:rPr>
              <w:t>Sum</w:t>
            </w:r>
            <w:r>
              <w:rPr>
                <w:spacing w:val="-8"/>
                <w:sz w:val="20"/>
              </w:rPr>
              <w:t> </w:t>
            </w:r>
            <w:r>
              <w:rPr>
                <w:sz w:val="20"/>
              </w:rPr>
              <w:t>squared</w:t>
            </w:r>
            <w:r>
              <w:rPr>
                <w:spacing w:val="-4"/>
                <w:sz w:val="20"/>
              </w:rPr>
              <w:t> </w:t>
            </w:r>
            <w:r>
              <w:rPr>
                <w:spacing w:val="-2"/>
                <w:sz w:val="20"/>
              </w:rPr>
              <w:t>resid</w:t>
            </w:r>
          </w:p>
        </w:tc>
        <w:tc>
          <w:tcPr>
            <w:tcW w:w="1375" w:type="dxa"/>
          </w:tcPr>
          <w:p>
            <w:pPr>
              <w:pStyle w:val="TableParagraph"/>
              <w:spacing w:line="210" w:lineRule="exact"/>
              <w:ind w:right="128"/>
              <w:jc w:val="right"/>
              <w:rPr>
                <w:sz w:val="20"/>
              </w:rPr>
            </w:pPr>
            <w:r>
              <w:rPr>
                <w:spacing w:val="-2"/>
                <w:sz w:val="20"/>
              </w:rPr>
              <w:t>1.703348</w:t>
            </w:r>
          </w:p>
        </w:tc>
        <w:tc>
          <w:tcPr>
            <w:tcW w:w="2336" w:type="dxa"/>
            <w:gridSpan w:val="2"/>
          </w:tcPr>
          <w:p>
            <w:pPr>
              <w:pStyle w:val="TableParagraph"/>
              <w:spacing w:line="210" w:lineRule="exact"/>
              <w:ind w:left="131"/>
              <w:rPr>
                <w:sz w:val="20"/>
              </w:rPr>
            </w:pPr>
            <w:r>
              <w:rPr>
                <w:sz w:val="20"/>
              </w:rPr>
              <w:t>Schwarz</w:t>
            </w:r>
            <w:r>
              <w:rPr>
                <w:spacing w:val="-8"/>
                <w:sz w:val="20"/>
              </w:rPr>
              <w:t> </w:t>
            </w:r>
            <w:r>
              <w:rPr>
                <w:spacing w:val="-2"/>
                <w:sz w:val="20"/>
              </w:rPr>
              <w:t>criterion</w:t>
            </w:r>
          </w:p>
        </w:tc>
        <w:tc>
          <w:tcPr>
            <w:tcW w:w="929" w:type="dxa"/>
          </w:tcPr>
          <w:p>
            <w:pPr>
              <w:pStyle w:val="TableParagraph"/>
              <w:spacing w:line="210" w:lineRule="exact"/>
              <w:ind w:right="27"/>
              <w:jc w:val="right"/>
              <w:rPr>
                <w:sz w:val="20"/>
              </w:rPr>
            </w:pPr>
            <w:r>
              <w:rPr>
                <w:spacing w:val="-4"/>
                <w:sz w:val="20"/>
              </w:rPr>
              <w:t>-</w:t>
            </w:r>
            <w:r>
              <w:rPr>
                <w:spacing w:val="-2"/>
                <w:sz w:val="20"/>
              </w:rPr>
              <w:t>0.041741</w:t>
            </w:r>
          </w:p>
        </w:tc>
      </w:tr>
      <w:tr>
        <w:trPr>
          <w:trHeight w:val="230" w:hRule="atLeast"/>
        </w:trPr>
        <w:tc>
          <w:tcPr>
            <w:tcW w:w="1847" w:type="dxa"/>
          </w:tcPr>
          <w:p>
            <w:pPr>
              <w:pStyle w:val="TableParagraph"/>
              <w:spacing w:line="210" w:lineRule="exact"/>
              <w:ind w:left="36"/>
              <w:rPr>
                <w:sz w:val="20"/>
              </w:rPr>
            </w:pPr>
            <w:r>
              <w:rPr>
                <w:sz w:val="20"/>
              </w:rPr>
              <w:t>Log</w:t>
            </w:r>
            <w:r>
              <w:rPr>
                <w:spacing w:val="-6"/>
                <w:sz w:val="20"/>
              </w:rPr>
              <w:t> </w:t>
            </w:r>
            <w:r>
              <w:rPr>
                <w:spacing w:val="-2"/>
                <w:sz w:val="20"/>
              </w:rPr>
              <w:t>likelihood</w:t>
            </w:r>
          </w:p>
        </w:tc>
        <w:tc>
          <w:tcPr>
            <w:tcW w:w="1375" w:type="dxa"/>
          </w:tcPr>
          <w:p>
            <w:pPr>
              <w:pStyle w:val="TableParagraph"/>
              <w:spacing w:line="210" w:lineRule="exact"/>
              <w:ind w:right="128"/>
              <w:jc w:val="right"/>
              <w:rPr>
                <w:sz w:val="20"/>
              </w:rPr>
            </w:pPr>
            <w:r>
              <w:rPr>
                <w:spacing w:val="-2"/>
                <w:sz w:val="20"/>
              </w:rPr>
              <w:t>6.368137</w:t>
            </w:r>
          </w:p>
        </w:tc>
        <w:tc>
          <w:tcPr>
            <w:tcW w:w="1432" w:type="dxa"/>
          </w:tcPr>
          <w:p>
            <w:pPr>
              <w:pStyle w:val="TableParagraph"/>
              <w:spacing w:line="210" w:lineRule="exact"/>
              <w:ind w:left="131"/>
              <w:rPr>
                <w:sz w:val="20"/>
              </w:rPr>
            </w:pPr>
            <w:r>
              <w:rPr>
                <w:spacing w:val="-4"/>
                <w:sz w:val="20"/>
              </w:rPr>
              <w:t>F-</w:t>
            </w:r>
            <w:r>
              <w:rPr>
                <w:spacing w:val="-2"/>
                <w:sz w:val="20"/>
              </w:rPr>
              <w:t>statistic</w:t>
            </w:r>
          </w:p>
        </w:tc>
        <w:tc>
          <w:tcPr>
            <w:tcW w:w="904" w:type="dxa"/>
          </w:tcPr>
          <w:p>
            <w:pPr>
              <w:pStyle w:val="TableParagraph"/>
              <w:rPr>
                <w:sz w:val="16"/>
              </w:rPr>
            </w:pPr>
          </w:p>
        </w:tc>
        <w:tc>
          <w:tcPr>
            <w:tcW w:w="929" w:type="dxa"/>
          </w:tcPr>
          <w:p>
            <w:pPr>
              <w:pStyle w:val="TableParagraph"/>
              <w:spacing w:line="210" w:lineRule="exact"/>
              <w:ind w:right="27"/>
              <w:jc w:val="right"/>
              <w:rPr>
                <w:sz w:val="20"/>
              </w:rPr>
            </w:pPr>
            <w:r>
              <w:rPr>
                <w:spacing w:val="-2"/>
                <w:sz w:val="20"/>
              </w:rPr>
              <w:t>5.388750</w:t>
            </w:r>
          </w:p>
        </w:tc>
      </w:tr>
      <w:tr>
        <w:trPr>
          <w:trHeight w:val="265" w:hRule="atLeast"/>
        </w:trPr>
        <w:tc>
          <w:tcPr>
            <w:tcW w:w="1847" w:type="dxa"/>
            <w:tcBorders>
              <w:bottom w:val="double" w:sz="6" w:space="0" w:color="000000"/>
            </w:tcBorders>
          </w:tcPr>
          <w:p>
            <w:pPr>
              <w:pStyle w:val="TableParagraph"/>
              <w:spacing w:line="226" w:lineRule="exact"/>
              <w:ind w:left="36"/>
              <w:rPr>
                <w:sz w:val="20"/>
              </w:rPr>
            </w:pPr>
            <w:r>
              <w:rPr>
                <w:sz w:val="20"/>
              </w:rPr>
              <w:t>Durbin-Watson</w:t>
            </w:r>
            <w:r>
              <w:rPr>
                <w:spacing w:val="-12"/>
                <w:sz w:val="20"/>
              </w:rPr>
              <w:t> </w:t>
            </w:r>
            <w:r>
              <w:rPr>
                <w:spacing w:val="-4"/>
                <w:sz w:val="20"/>
              </w:rPr>
              <w:t>stat</w:t>
            </w:r>
          </w:p>
        </w:tc>
        <w:tc>
          <w:tcPr>
            <w:tcW w:w="1375" w:type="dxa"/>
          </w:tcPr>
          <w:p>
            <w:pPr>
              <w:pStyle w:val="TableParagraph"/>
              <w:spacing w:line="226" w:lineRule="exact"/>
              <w:ind w:right="128"/>
              <w:jc w:val="right"/>
              <w:rPr>
                <w:sz w:val="20"/>
              </w:rPr>
            </w:pPr>
            <w:r>
              <w:rPr>
                <w:spacing w:val="-2"/>
                <w:sz w:val="20"/>
              </w:rPr>
              <w:t>1.975173</w:t>
            </w:r>
          </w:p>
        </w:tc>
        <w:tc>
          <w:tcPr>
            <w:tcW w:w="1432" w:type="dxa"/>
            <w:tcBorders>
              <w:bottom w:val="double" w:sz="6" w:space="0" w:color="000000"/>
            </w:tcBorders>
          </w:tcPr>
          <w:p>
            <w:pPr>
              <w:pStyle w:val="TableParagraph"/>
              <w:spacing w:line="226" w:lineRule="exact"/>
              <w:ind w:left="131"/>
              <w:rPr>
                <w:sz w:val="20"/>
              </w:rPr>
            </w:pPr>
            <w:r>
              <w:rPr>
                <w:spacing w:val="-2"/>
                <w:sz w:val="20"/>
              </w:rPr>
              <w:t>Prob(F-statistic)</w:t>
            </w:r>
          </w:p>
        </w:tc>
        <w:tc>
          <w:tcPr>
            <w:tcW w:w="904" w:type="dxa"/>
            <w:tcBorders>
              <w:bottom w:val="double" w:sz="6" w:space="0" w:color="000000"/>
            </w:tcBorders>
          </w:tcPr>
          <w:p>
            <w:pPr>
              <w:pStyle w:val="TableParagraph"/>
              <w:rPr>
                <w:sz w:val="18"/>
              </w:rPr>
            </w:pPr>
          </w:p>
        </w:tc>
        <w:tc>
          <w:tcPr>
            <w:tcW w:w="929" w:type="dxa"/>
            <w:tcBorders>
              <w:bottom w:val="double" w:sz="6" w:space="0" w:color="000000"/>
            </w:tcBorders>
          </w:tcPr>
          <w:p>
            <w:pPr>
              <w:pStyle w:val="TableParagraph"/>
              <w:spacing w:line="226" w:lineRule="exact"/>
              <w:ind w:right="27"/>
              <w:jc w:val="right"/>
              <w:rPr>
                <w:sz w:val="20"/>
              </w:rPr>
            </w:pPr>
            <w:r>
              <w:rPr>
                <w:spacing w:val="-2"/>
                <w:sz w:val="20"/>
              </w:rPr>
              <w:t>0.008833</w:t>
            </w:r>
          </w:p>
        </w:tc>
      </w:tr>
    </w:tbl>
    <w:p>
      <w:pPr>
        <w:pStyle w:val="BodyText"/>
        <w:rPr>
          <w:sz w:val="20"/>
        </w:rPr>
      </w:pPr>
    </w:p>
    <w:p>
      <w:pPr>
        <w:pStyle w:val="BodyText"/>
        <w:rPr>
          <w:sz w:val="20"/>
        </w:rPr>
      </w:pPr>
    </w:p>
    <w:p>
      <w:pPr>
        <w:pStyle w:val="BodyText"/>
        <w:spacing w:before="14"/>
        <w:rPr>
          <w:sz w:val="20"/>
        </w:rPr>
      </w:pPr>
    </w:p>
    <w:p>
      <w:pPr>
        <w:spacing w:before="0" w:after="3"/>
        <w:ind w:left="711" w:right="0" w:firstLine="0"/>
        <w:jc w:val="left"/>
        <w:rPr>
          <w:sz w:val="20"/>
        </w:rPr>
      </w:pPr>
      <w:r>
        <w:rPr>
          <w:sz w:val="20"/>
        </w:rPr>
        <w:t>DOP</w:t>
      </w:r>
      <w:r>
        <w:rPr>
          <w:spacing w:val="-2"/>
          <w:sz w:val="20"/>
        </w:rPr>
        <w:t> </w:t>
      </w:r>
      <w:r>
        <w:rPr>
          <w:sz w:val="20"/>
        </w:rPr>
        <w:t>@</w:t>
      </w:r>
      <w:r>
        <w:rPr>
          <w:spacing w:val="-4"/>
          <w:sz w:val="20"/>
        </w:rPr>
        <w:t> </w:t>
      </w:r>
      <w:r>
        <w:rPr>
          <w:sz w:val="20"/>
        </w:rPr>
        <w:t>1</w:t>
      </w:r>
      <w:r>
        <w:rPr>
          <w:sz w:val="20"/>
          <w:vertAlign w:val="superscript"/>
        </w:rPr>
        <w:t>ST</w:t>
      </w:r>
      <w:r>
        <w:rPr>
          <w:spacing w:val="-3"/>
          <w:sz w:val="20"/>
          <w:vertAlign w:val="baseline"/>
        </w:rPr>
        <w:t> </w:t>
      </w:r>
      <w:r>
        <w:rPr>
          <w:spacing w:val="-4"/>
          <w:sz w:val="20"/>
          <w:vertAlign w:val="baseline"/>
        </w:rPr>
        <w:t>DIFF</w:t>
      </w:r>
    </w:p>
    <w:tbl>
      <w:tblPr>
        <w:tblW w:w="0" w:type="auto"/>
        <w:jc w:val="left"/>
        <w:tblInd w:w="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47"/>
        <w:gridCol w:w="1375"/>
        <w:gridCol w:w="1432"/>
        <w:gridCol w:w="904"/>
        <w:gridCol w:w="929"/>
      </w:tblGrid>
      <w:tr>
        <w:trPr>
          <w:trHeight w:val="225" w:hRule="atLeast"/>
        </w:trPr>
        <w:tc>
          <w:tcPr>
            <w:tcW w:w="1847" w:type="dxa"/>
          </w:tcPr>
          <w:p>
            <w:pPr>
              <w:pStyle w:val="TableParagraph"/>
              <w:spacing w:line="205" w:lineRule="exact"/>
              <w:ind w:left="36"/>
              <w:rPr>
                <w:sz w:val="20"/>
              </w:rPr>
            </w:pPr>
            <w:r>
              <w:rPr>
                <w:sz w:val="20"/>
              </w:rPr>
              <w:t>ADF</w:t>
            </w:r>
            <w:r>
              <w:rPr>
                <w:spacing w:val="-4"/>
                <w:sz w:val="20"/>
              </w:rPr>
              <w:t> </w:t>
            </w:r>
            <w:r>
              <w:rPr>
                <w:sz w:val="20"/>
              </w:rPr>
              <w:t>Test</w:t>
            </w:r>
            <w:r>
              <w:rPr>
                <w:spacing w:val="-4"/>
                <w:sz w:val="20"/>
              </w:rPr>
              <w:t> </w:t>
            </w:r>
            <w:r>
              <w:rPr>
                <w:spacing w:val="-2"/>
                <w:sz w:val="20"/>
              </w:rPr>
              <w:t>Statistic</w:t>
            </w:r>
          </w:p>
        </w:tc>
        <w:tc>
          <w:tcPr>
            <w:tcW w:w="1375" w:type="dxa"/>
          </w:tcPr>
          <w:p>
            <w:pPr>
              <w:pStyle w:val="TableParagraph"/>
              <w:spacing w:line="205" w:lineRule="exact"/>
              <w:ind w:left="219"/>
              <w:rPr>
                <w:sz w:val="20"/>
              </w:rPr>
            </w:pPr>
            <w:r>
              <w:rPr>
                <w:spacing w:val="-4"/>
                <w:sz w:val="20"/>
              </w:rPr>
              <w:t>-</w:t>
            </w:r>
            <w:r>
              <w:rPr>
                <w:spacing w:val="-2"/>
                <w:sz w:val="20"/>
              </w:rPr>
              <w:t>5.323674</w:t>
            </w:r>
          </w:p>
        </w:tc>
        <w:tc>
          <w:tcPr>
            <w:tcW w:w="2336" w:type="dxa"/>
            <w:gridSpan w:val="2"/>
          </w:tcPr>
          <w:p>
            <w:pPr>
              <w:pStyle w:val="TableParagraph"/>
              <w:spacing w:line="205" w:lineRule="exact"/>
              <w:ind w:left="131"/>
              <w:rPr>
                <w:sz w:val="20"/>
              </w:rPr>
            </w:pPr>
            <w:r>
              <w:rPr>
                <w:sz w:val="20"/>
              </w:rPr>
              <w:t>1%</w:t>
            </w:r>
            <w:r>
              <w:rPr>
                <w:spacing w:val="68"/>
                <w:w w:val="150"/>
                <w:sz w:val="20"/>
              </w:rPr>
              <w:t> </w:t>
            </w:r>
            <w:r>
              <w:rPr>
                <w:sz w:val="20"/>
              </w:rPr>
              <w:t>Critical</w:t>
            </w:r>
            <w:r>
              <w:rPr>
                <w:spacing w:val="-2"/>
                <w:sz w:val="20"/>
              </w:rPr>
              <w:t> Value*</w:t>
            </w:r>
          </w:p>
        </w:tc>
        <w:tc>
          <w:tcPr>
            <w:tcW w:w="929" w:type="dxa"/>
          </w:tcPr>
          <w:p>
            <w:pPr>
              <w:pStyle w:val="TableParagraph"/>
              <w:spacing w:line="205" w:lineRule="exact"/>
              <w:ind w:right="27"/>
              <w:jc w:val="right"/>
              <w:rPr>
                <w:sz w:val="20"/>
              </w:rPr>
            </w:pPr>
            <w:r>
              <w:rPr>
                <w:spacing w:val="-4"/>
                <w:sz w:val="20"/>
              </w:rPr>
              <w:t>-</w:t>
            </w:r>
            <w:r>
              <w:rPr>
                <w:spacing w:val="-2"/>
                <w:sz w:val="20"/>
              </w:rPr>
              <w:t>3.6067</w:t>
            </w:r>
          </w:p>
        </w:tc>
      </w:tr>
      <w:tr>
        <w:trPr>
          <w:trHeight w:val="230" w:hRule="atLeast"/>
        </w:trPr>
        <w:tc>
          <w:tcPr>
            <w:tcW w:w="1847" w:type="dxa"/>
          </w:tcPr>
          <w:p>
            <w:pPr>
              <w:pStyle w:val="TableParagraph"/>
              <w:rPr>
                <w:sz w:val="16"/>
              </w:rPr>
            </w:pPr>
          </w:p>
        </w:tc>
        <w:tc>
          <w:tcPr>
            <w:tcW w:w="1375" w:type="dxa"/>
          </w:tcPr>
          <w:p>
            <w:pPr>
              <w:pStyle w:val="TableParagraph"/>
              <w:rPr>
                <w:sz w:val="16"/>
              </w:rPr>
            </w:pPr>
          </w:p>
        </w:tc>
        <w:tc>
          <w:tcPr>
            <w:tcW w:w="2336" w:type="dxa"/>
            <w:gridSpan w:val="2"/>
          </w:tcPr>
          <w:p>
            <w:pPr>
              <w:pStyle w:val="TableParagraph"/>
              <w:spacing w:line="210" w:lineRule="exact"/>
              <w:ind w:left="131"/>
              <w:rPr>
                <w:sz w:val="20"/>
              </w:rPr>
            </w:pPr>
            <w:r>
              <w:rPr>
                <w:sz w:val="20"/>
              </w:rPr>
              <w:t>5%</w:t>
            </w:r>
            <w:r>
              <w:rPr>
                <w:spacing w:val="68"/>
                <w:w w:val="150"/>
                <w:sz w:val="20"/>
              </w:rPr>
              <w:t> </w:t>
            </w:r>
            <w:r>
              <w:rPr>
                <w:sz w:val="20"/>
              </w:rPr>
              <w:t>Critical</w:t>
            </w:r>
            <w:r>
              <w:rPr>
                <w:spacing w:val="-2"/>
                <w:sz w:val="20"/>
              </w:rPr>
              <w:t> </w:t>
            </w:r>
            <w:r>
              <w:rPr>
                <w:spacing w:val="-4"/>
                <w:sz w:val="20"/>
              </w:rPr>
              <w:t>Value</w:t>
            </w:r>
          </w:p>
        </w:tc>
        <w:tc>
          <w:tcPr>
            <w:tcW w:w="929" w:type="dxa"/>
          </w:tcPr>
          <w:p>
            <w:pPr>
              <w:pStyle w:val="TableParagraph"/>
              <w:spacing w:line="210" w:lineRule="exact"/>
              <w:ind w:right="27"/>
              <w:jc w:val="right"/>
              <w:rPr>
                <w:sz w:val="20"/>
              </w:rPr>
            </w:pPr>
            <w:r>
              <w:rPr>
                <w:spacing w:val="-4"/>
                <w:sz w:val="20"/>
              </w:rPr>
              <w:t>-</w:t>
            </w:r>
            <w:r>
              <w:rPr>
                <w:spacing w:val="-2"/>
                <w:sz w:val="20"/>
              </w:rPr>
              <w:t>2.9378</w:t>
            </w:r>
          </w:p>
        </w:tc>
      </w:tr>
      <w:tr>
        <w:trPr>
          <w:trHeight w:val="224" w:hRule="atLeast"/>
        </w:trPr>
        <w:tc>
          <w:tcPr>
            <w:tcW w:w="1847" w:type="dxa"/>
            <w:tcBorders>
              <w:bottom w:val="double" w:sz="6" w:space="0" w:color="000000"/>
            </w:tcBorders>
          </w:tcPr>
          <w:p>
            <w:pPr>
              <w:pStyle w:val="TableParagraph"/>
              <w:rPr>
                <w:sz w:val="16"/>
              </w:rPr>
            </w:pPr>
          </w:p>
        </w:tc>
        <w:tc>
          <w:tcPr>
            <w:tcW w:w="1375" w:type="dxa"/>
            <w:tcBorders>
              <w:bottom w:val="double" w:sz="6" w:space="0" w:color="000000"/>
            </w:tcBorders>
          </w:tcPr>
          <w:p>
            <w:pPr>
              <w:pStyle w:val="TableParagraph"/>
              <w:rPr>
                <w:sz w:val="16"/>
              </w:rPr>
            </w:pPr>
          </w:p>
        </w:tc>
        <w:tc>
          <w:tcPr>
            <w:tcW w:w="2336" w:type="dxa"/>
            <w:gridSpan w:val="2"/>
            <w:tcBorders>
              <w:bottom w:val="double" w:sz="6" w:space="0" w:color="000000"/>
            </w:tcBorders>
          </w:tcPr>
          <w:p>
            <w:pPr>
              <w:pStyle w:val="TableParagraph"/>
              <w:spacing w:line="205" w:lineRule="exact"/>
              <w:ind w:left="131"/>
              <w:rPr>
                <w:sz w:val="20"/>
              </w:rPr>
            </w:pPr>
            <w:r>
              <w:rPr>
                <w:sz w:val="20"/>
              </w:rPr>
              <w:t>10%</w:t>
            </w:r>
            <w:r>
              <w:rPr>
                <w:spacing w:val="-6"/>
                <w:sz w:val="20"/>
              </w:rPr>
              <w:t> </w:t>
            </w:r>
            <w:r>
              <w:rPr>
                <w:sz w:val="20"/>
              </w:rPr>
              <w:t>Critical</w:t>
            </w:r>
            <w:r>
              <w:rPr>
                <w:spacing w:val="-4"/>
                <w:sz w:val="20"/>
              </w:rPr>
              <w:t> </w:t>
            </w:r>
            <w:r>
              <w:rPr>
                <w:spacing w:val="-2"/>
                <w:sz w:val="20"/>
              </w:rPr>
              <w:t>Value</w:t>
            </w:r>
          </w:p>
        </w:tc>
        <w:tc>
          <w:tcPr>
            <w:tcW w:w="929" w:type="dxa"/>
            <w:tcBorders>
              <w:bottom w:val="double" w:sz="6" w:space="0" w:color="000000"/>
            </w:tcBorders>
          </w:tcPr>
          <w:p>
            <w:pPr>
              <w:pStyle w:val="TableParagraph"/>
              <w:spacing w:line="205" w:lineRule="exact"/>
              <w:ind w:right="27"/>
              <w:jc w:val="right"/>
              <w:rPr>
                <w:sz w:val="20"/>
              </w:rPr>
            </w:pPr>
            <w:r>
              <w:rPr>
                <w:spacing w:val="-4"/>
                <w:sz w:val="20"/>
              </w:rPr>
              <w:t>-</w:t>
            </w:r>
            <w:r>
              <w:rPr>
                <w:spacing w:val="-2"/>
                <w:sz w:val="20"/>
              </w:rPr>
              <w:t>2.6069</w:t>
            </w:r>
          </w:p>
        </w:tc>
      </w:tr>
      <w:tr>
        <w:trPr>
          <w:trHeight w:val="505" w:hRule="atLeast"/>
        </w:trPr>
        <w:tc>
          <w:tcPr>
            <w:tcW w:w="6487" w:type="dxa"/>
            <w:gridSpan w:val="5"/>
            <w:tcBorders>
              <w:top w:val="double" w:sz="6" w:space="0" w:color="000000"/>
            </w:tcBorders>
          </w:tcPr>
          <w:p>
            <w:pPr>
              <w:pStyle w:val="TableParagraph"/>
              <w:spacing w:before="40"/>
              <w:ind w:left="36"/>
              <w:rPr>
                <w:sz w:val="20"/>
              </w:rPr>
            </w:pPr>
            <w:r>
              <w:rPr>
                <w:sz w:val="20"/>
              </w:rPr>
              <w:t>*MacKinnon</w:t>
            </w:r>
            <w:r>
              <w:rPr>
                <w:spacing w:val="-6"/>
                <w:sz w:val="20"/>
              </w:rPr>
              <w:t> </w:t>
            </w:r>
            <w:r>
              <w:rPr>
                <w:sz w:val="20"/>
              </w:rPr>
              <w:t>critical</w:t>
            </w:r>
            <w:r>
              <w:rPr>
                <w:spacing w:val="-4"/>
                <w:sz w:val="20"/>
              </w:rPr>
              <w:t> </w:t>
            </w:r>
            <w:r>
              <w:rPr>
                <w:sz w:val="20"/>
              </w:rPr>
              <w:t>values</w:t>
            </w:r>
            <w:r>
              <w:rPr>
                <w:spacing w:val="-6"/>
                <w:sz w:val="20"/>
              </w:rPr>
              <w:t> </w:t>
            </w:r>
            <w:r>
              <w:rPr>
                <w:sz w:val="20"/>
              </w:rPr>
              <w:t>for</w:t>
            </w:r>
            <w:r>
              <w:rPr>
                <w:spacing w:val="-4"/>
                <w:sz w:val="20"/>
              </w:rPr>
              <w:t> </w:t>
            </w:r>
            <w:r>
              <w:rPr>
                <w:sz w:val="20"/>
              </w:rPr>
              <w:t>rejection</w:t>
            </w:r>
            <w:r>
              <w:rPr>
                <w:spacing w:val="-6"/>
                <w:sz w:val="20"/>
              </w:rPr>
              <w:t> </w:t>
            </w:r>
            <w:r>
              <w:rPr>
                <w:sz w:val="20"/>
              </w:rPr>
              <w:t>of</w:t>
            </w:r>
            <w:r>
              <w:rPr>
                <w:spacing w:val="-6"/>
                <w:sz w:val="20"/>
              </w:rPr>
              <w:t> </w:t>
            </w:r>
            <w:r>
              <w:rPr>
                <w:sz w:val="20"/>
              </w:rPr>
              <w:t>hypothesis</w:t>
            </w:r>
            <w:r>
              <w:rPr>
                <w:spacing w:val="-5"/>
                <w:sz w:val="20"/>
              </w:rPr>
              <w:t> </w:t>
            </w:r>
            <w:r>
              <w:rPr>
                <w:sz w:val="20"/>
              </w:rPr>
              <w:t>of</w:t>
            </w:r>
            <w:r>
              <w:rPr>
                <w:spacing w:val="-6"/>
                <w:sz w:val="20"/>
              </w:rPr>
              <w:t> </w:t>
            </w:r>
            <w:r>
              <w:rPr>
                <w:sz w:val="20"/>
              </w:rPr>
              <w:t>a</w:t>
            </w:r>
            <w:r>
              <w:rPr>
                <w:spacing w:val="1"/>
                <w:sz w:val="20"/>
              </w:rPr>
              <w:t> </w:t>
            </w:r>
            <w:r>
              <w:rPr>
                <w:sz w:val="20"/>
              </w:rPr>
              <w:t>unit</w:t>
            </w:r>
            <w:r>
              <w:rPr>
                <w:spacing w:val="-5"/>
                <w:sz w:val="20"/>
              </w:rPr>
              <w:t> </w:t>
            </w:r>
            <w:r>
              <w:rPr>
                <w:spacing w:val="-2"/>
                <w:sz w:val="20"/>
              </w:rPr>
              <w:t>root.</w:t>
            </w:r>
          </w:p>
        </w:tc>
      </w:tr>
      <w:tr>
        <w:trPr>
          <w:trHeight w:val="459" w:hRule="atLeast"/>
        </w:trPr>
        <w:tc>
          <w:tcPr>
            <w:tcW w:w="6487" w:type="dxa"/>
            <w:gridSpan w:val="5"/>
          </w:tcPr>
          <w:p>
            <w:pPr>
              <w:pStyle w:val="TableParagraph"/>
              <w:spacing w:line="214" w:lineRule="exact" w:before="226"/>
              <w:ind w:left="36"/>
              <w:rPr>
                <w:sz w:val="20"/>
              </w:rPr>
            </w:pPr>
            <w:r>
              <w:rPr>
                <w:sz w:val="20"/>
              </w:rPr>
              <w:t>Augmented</w:t>
            </w:r>
            <w:r>
              <w:rPr>
                <w:spacing w:val="-8"/>
                <w:sz w:val="20"/>
              </w:rPr>
              <w:t> </w:t>
            </w:r>
            <w:r>
              <w:rPr>
                <w:sz w:val="20"/>
              </w:rPr>
              <w:t>Dickey-Fuller</w:t>
            </w:r>
            <w:r>
              <w:rPr>
                <w:spacing w:val="-8"/>
                <w:sz w:val="20"/>
              </w:rPr>
              <w:t> </w:t>
            </w:r>
            <w:r>
              <w:rPr>
                <w:sz w:val="20"/>
              </w:rPr>
              <w:t>Test</w:t>
            </w:r>
            <w:r>
              <w:rPr>
                <w:spacing w:val="-9"/>
                <w:sz w:val="20"/>
              </w:rPr>
              <w:t> </w:t>
            </w:r>
            <w:r>
              <w:rPr>
                <w:spacing w:val="-2"/>
                <w:sz w:val="20"/>
              </w:rPr>
              <w:t>Equation</w:t>
            </w:r>
          </w:p>
        </w:tc>
      </w:tr>
      <w:tr>
        <w:trPr>
          <w:trHeight w:val="229" w:hRule="atLeast"/>
        </w:trPr>
        <w:tc>
          <w:tcPr>
            <w:tcW w:w="6487" w:type="dxa"/>
            <w:gridSpan w:val="5"/>
          </w:tcPr>
          <w:p>
            <w:pPr>
              <w:pStyle w:val="TableParagraph"/>
              <w:spacing w:line="209" w:lineRule="exact"/>
              <w:ind w:left="36"/>
              <w:rPr>
                <w:sz w:val="20"/>
              </w:rPr>
            </w:pPr>
            <w:r>
              <w:rPr>
                <w:sz w:val="20"/>
              </w:rPr>
              <w:t>Dependent</w:t>
            </w:r>
            <w:r>
              <w:rPr>
                <w:spacing w:val="-8"/>
                <w:sz w:val="20"/>
              </w:rPr>
              <w:t> </w:t>
            </w:r>
            <w:r>
              <w:rPr>
                <w:sz w:val="20"/>
              </w:rPr>
              <w:t>Variable:</w:t>
            </w:r>
            <w:r>
              <w:rPr>
                <w:spacing w:val="-8"/>
                <w:sz w:val="20"/>
              </w:rPr>
              <w:t> </w:t>
            </w:r>
            <w:r>
              <w:rPr>
                <w:spacing w:val="-2"/>
                <w:sz w:val="20"/>
              </w:rPr>
              <w:t>D(DOP,2)</w:t>
            </w:r>
          </w:p>
        </w:tc>
      </w:tr>
      <w:tr>
        <w:trPr>
          <w:trHeight w:val="230" w:hRule="atLeast"/>
        </w:trPr>
        <w:tc>
          <w:tcPr>
            <w:tcW w:w="6487" w:type="dxa"/>
            <w:gridSpan w:val="5"/>
          </w:tcPr>
          <w:p>
            <w:pPr>
              <w:pStyle w:val="TableParagraph"/>
              <w:spacing w:line="210" w:lineRule="exact"/>
              <w:ind w:left="36"/>
              <w:rPr>
                <w:sz w:val="20"/>
              </w:rPr>
            </w:pPr>
            <w:r>
              <w:rPr>
                <w:sz w:val="20"/>
              </w:rPr>
              <w:t>Method:</w:t>
            </w:r>
            <w:r>
              <w:rPr>
                <w:spacing w:val="-8"/>
                <w:sz w:val="20"/>
              </w:rPr>
              <w:t> </w:t>
            </w:r>
            <w:r>
              <w:rPr>
                <w:sz w:val="20"/>
              </w:rPr>
              <w:t>Least</w:t>
            </w:r>
            <w:r>
              <w:rPr>
                <w:spacing w:val="-7"/>
                <w:sz w:val="20"/>
              </w:rPr>
              <w:t> </w:t>
            </w:r>
            <w:r>
              <w:rPr>
                <w:spacing w:val="-2"/>
                <w:sz w:val="20"/>
              </w:rPr>
              <w:t>Squares</w:t>
            </w:r>
          </w:p>
        </w:tc>
      </w:tr>
      <w:tr>
        <w:trPr>
          <w:trHeight w:val="230" w:hRule="atLeast"/>
        </w:trPr>
        <w:tc>
          <w:tcPr>
            <w:tcW w:w="6487" w:type="dxa"/>
            <w:gridSpan w:val="5"/>
          </w:tcPr>
          <w:p>
            <w:pPr>
              <w:pStyle w:val="TableParagraph"/>
              <w:spacing w:line="210" w:lineRule="exact"/>
              <w:ind w:left="36"/>
              <w:rPr>
                <w:sz w:val="20"/>
              </w:rPr>
            </w:pPr>
            <w:r>
              <w:rPr>
                <w:sz w:val="20"/>
              </w:rPr>
              <w:t>Date:</w:t>
            </w:r>
            <w:r>
              <w:rPr>
                <w:spacing w:val="-5"/>
                <w:sz w:val="20"/>
              </w:rPr>
              <w:t> </w:t>
            </w:r>
            <w:r>
              <w:rPr>
                <w:sz w:val="20"/>
              </w:rPr>
              <w:t>02/18/14</w:t>
            </w:r>
            <w:r>
              <w:rPr>
                <w:spacing w:val="63"/>
                <w:w w:val="150"/>
                <w:sz w:val="20"/>
              </w:rPr>
              <w:t> </w:t>
            </w:r>
            <w:r>
              <w:rPr>
                <w:sz w:val="20"/>
              </w:rPr>
              <w:t>Time:</w:t>
            </w:r>
            <w:r>
              <w:rPr>
                <w:spacing w:val="-3"/>
                <w:sz w:val="20"/>
              </w:rPr>
              <w:t> </w:t>
            </w:r>
            <w:r>
              <w:rPr>
                <w:spacing w:val="-2"/>
                <w:sz w:val="20"/>
              </w:rPr>
              <w:t>13:34</w:t>
            </w:r>
          </w:p>
        </w:tc>
      </w:tr>
      <w:tr>
        <w:trPr>
          <w:trHeight w:val="230" w:hRule="atLeast"/>
        </w:trPr>
        <w:tc>
          <w:tcPr>
            <w:tcW w:w="6487" w:type="dxa"/>
            <w:gridSpan w:val="5"/>
          </w:tcPr>
          <w:p>
            <w:pPr>
              <w:pStyle w:val="TableParagraph"/>
              <w:spacing w:line="210" w:lineRule="exact"/>
              <w:ind w:left="36"/>
              <w:rPr>
                <w:sz w:val="20"/>
              </w:rPr>
            </w:pPr>
            <w:r>
              <w:rPr>
                <w:sz w:val="20"/>
              </w:rPr>
              <w:t>Sample(adjusted):</w:t>
            </w:r>
            <w:r>
              <w:rPr>
                <w:spacing w:val="-9"/>
                <w:sz w:val="20"/>
              </w:rPr>
              <w:t> </w:t>
            </w:r>
            <w:r>
              <w:rPr>
                <w:sz w:val="20"/>
              </w:rPr>
              <w:t>1973</w:t>
            </w:r>
            <w:r>
              <w:rPr>
                <w:spacing w:val="-9"/>
                <w:sz w:val="20"/>
              </w:rPr>
              <w:t> </w:t>
            </w:r>
            <w:r>
              <w:rPr>
                <w:spacing w:val="-4"/>
                <w:sz w:val="20"/>
              </w:rPr>
              <w:t>2011</w:t>
            </w:r>
          </w:p>
        </w:tc>
      </w:tr>
      <w:tr>
        <w:trPr>
          <w:trHeight w:val="224" w:hRule="atLeast"/>
        </w:trPr>
        <w:tc>
          <w:tcPr>
            <w:tcW w:w="6487" w:type="dxa"/>
            <w:gridSpan w:val="5"/>
            <w:tcBorders>
              <w:bottom w:val="double" w:sz="6" w:space="0" w:color="000000"/>
            </w:tcBorders>
          </w:tcPr>
          <w:p>
            <w:pPr>
              <w:pStyle w:val="TableParagraph"/>
              <w:spacing w:line="205" w:lineRule="exact"/>
              <w:ind w:left="36"/>
              <w:rPr>
                <w:sz w:val="20"/>
              </w:rPr>
            </w:pPr>
            <w:r>
              <w:rPr>
                <w:sz w:val="20"/>
              </w:rPr>
              <w:t>Included</w:t>
            </w:r>
            <w:r>
              <w:rPr>
                <w:spacing w:val="-6"/>
                <w:sz w:val="20"/>
              </w:rPr>
              <w:t> </w:t>
            </w:r>
            <w:r>
              <w:rPr>
                <w:sz w:val="20"/>
              </w:rPr>
              <w:t>observations:</w:t>
            </w:r>
            <w:r>
              <w:rPr>
                <w:spacing w:val="-8"/>
                <w:sz w:val="20"/>
              </w:rPr>
              <w:t> </w:t>
            </w:r>
            <w:r>
              <w:rPr>
                <w:sz w:val="20"/>
              </w:rPr>
              <w:t>39</w:t>
            </w:r>
            <w:r>
              <w:rPr>
                <w:spacing w:val="-5"/>
                <w:sz w:val="20"/>
              </w:rPr>
              <w:t> </w:t>
            </w:r>
            <w:r>
              <w:rPr>
                <w:sz w:val="20"/>
              </w:rPr>
              <w:t>after</w:t>
            </w:r>
            <w:r>
              <w:rPr>
                <w:spacing w:val="-7"/>
                <w:sz w:val="20"/>
              </w:rPr>
              <w:t> </w:t>
            </w:r>
            <w:r>
              <w:rPr>
                <w:sz w:val="20"/>
              </w:rPr>
              <w:t>adjusting</w:t>
            </w:r>
            <w:r>
              <w:rPr>
                <w:spacing w:val="-7"/>
                <w:sz w:val="20"/>
              </w:rPr>
              <w:t> </w:t>
            </w:r>
            <w:r>
              <w:rPr>
                <w:spacing w:val="-2"/>
                <w:sz w:val="20"/>
              </w:rPr>
              <w:t>endpoints</w:t>
            </w:r>
          </w:p>
        </w:tc>
      </w:tr>
      <w:tr>
        <w:trPr>
          <w:trHeight w:val="269" w:hRule="atLeast"/>
        </w:trPr>
        <w:tc>
          <w:tcPr>
            <w:tcW w:w="1847" w:type="dxa"/>
            <w:tcBorders>
              <w:top w:val="double" w:sz="6" w:space="0" w:color="000000"/>
              <w:bottom w:val="double" w:sz="6" w:space="0" w:color="000000"/>
            </w:tcBorders>
          </w:tcPr>
          <w:p>
            <w:pPr>
              <w:pStyle w:val="TableParagraph"/>
              <w:spacing w:line="209" w:lineRule="exact" w:before="40"/>
              <w:ind w:left="677"/>
              <w:rPr>
                <w:sz w:val="20"/>
              </w:rPr>
            </w:pPr>
            <w:r>
              <w:rPr>
                <w:spacing w:val="-2"/>
                <w:sz w:val="20"/>
              </w:rPr>
              <w:t>Variable</w:t>
            </w:r>
          </w:p>
        </w:tc>
        <w:tc>
          <w:tcPr>
            <w:tcW w:w="1375" w:type="dxa"/>
            <w:tcBorders>
              <w:top w:val="double" w:sz="6" w:space="0" w:color="000000"/>
              <w:bottom w:val="double" w:sz="6" w:space="0" w:color="000000"/>
            </w:tcBorders>
          </w:tcPr>
          <w:p>
            <w:pPr>
              <w:pStyle w:val="TableParagraph"/>
              <w:spacing w:line="209" w:lineRule="exact" w:before="40"/>
              <w:ind w:right="131"/>
              <w:jc w:val="right"/>
              <w:rPr>
                <w:sz w:val="20"/>
              </w:rPr>
            </w:pPr>
            <w:r>
              <w:rPr>
                <w:spacing w:val="-2"/>
                <w:sz w:val="20"/>
              </w:rPr>
              <w:t>Coefficient</w:t>
            </w:r>
          </w:p>
        </w:tc>
        <w:tc>
          <w:tcPr>
            <w:tcW w:w="1432" w:type="dxa"/>
            <w:tcBorders>
              <w:top w:val="double" w:sz="6" w:space="0" w:color="000000"/>
              <w:bottom w:val="double" w:sz="6" w:space="0" w:color="000000"/>
            </w:tcBorders>
          </w:tcPr>
          <w:p>
            <w:pPr>
              <w:pStyle w:val="TableParagraph"/>
              <w:spacing w:line="209" w:lineRule="exact" w:before="40"/>
              <w:ind w:left="273"/>
              <w:rPr>
                <w:sz w:val="20"/>
              </w:rPr>
            </w:pPr>
            <w:r>
              <w:rPr>
                <w:sz w:val="20"/>
              </w:rPr>
              <w:t>Std.</w:t>
            </w:r>
            <w:r>
              <w:rPr>
                <w:spacing w:val="-4"/>
                <w:sz w:val="20"/>
              </w:rPr>
              <w:t> </w:t>
            </w:r>
            <w:r>
              <w:rPr>
                <w:spacing w:val="-2"/>
                <w:sz w:val="20"/>
              </w:rPr>
              <w:t>Error</w:t>
            </w:r>
          </w:p>
        </w:tc>
        <w:tc>
          <w:tcPr>
            <w:tcW w:w="904" w:type="dxa"/>
            <w:tcBorders>
              <w:top w:val="double" w:sz="6" w:space="0" w:color="000000"/>
              <w:bottom w:val="double" w:sz="6" w:space="0" w:color="000000"/>
            </w:tcBorders>
          </w:tcPr>
          <w:p>
            <w:pPr>
              <w:pStyle w:val="TableParagraph"/>
              <w:spacing w:line="209" w:lineRule="exact" w:before="40"/>
              <w:ind w:right="22"/>
              <w:jc w:val="center"/>
              <w:rPr>
                <w:sz w:val="20"/>
              </w:rPr>
            </w:pPr>
            <w:r>
              <w:rPr>
                <w:spacing w:val="-4"/>
                <w:sz w:val="20"/>
              </w:rPr>
              <w:t>t-</w:t>
            </w:r>
            <w:r>
              <w:rPr>
                <w:spacing w:val="-2"/>
                <w:sz w:val="20"/>
              </w:rPr>
              <w:t>Statistic</w:t>
            </w:r>
          </w:p>
        </w:tc>
        <w:tc>
          <w:tcPr>
            <w:tcW w:w="929" w:type="dxa"/>
            <w:tcBorders>
              <w:top w:val="double" w:sz="6" w:space="0" w:color="000000"/>
              <w:bottom w:val="double" w:sz="6" w:space="0" w:color="000000"/>
            </w:tcBorders>
          </w:tcPr>
          <w:p>
            <w:pPr>
              <w:pStyle w:val="TableParagraph"/>
              <w:spacing w:line="209" w:lineRule="exact" w:before="40"/>
              <w:ind w:right="28"/>
              <w:jc w:val="right"/>
              <w:rPr>
                <w:sz w:val="20"/>
              </w:rPr>
            </w:pPr>
            <w:r>
              <w:rPr>
                <w:spacing w:val="-2"/>
                <w:sz w:val="20"/>
              </w:rPr>
              <w:t>Prob.</w:t>
            </w:r>
          </w:p>
        </w:tc>
      </w:tr>
      <w:tr>
        <w:trPr>
          <w:trHeight w:val="275" w:hRule="atLeast"/>
        </w:trPr>
        <w:tc>
          <w:tcPr>
            <w:tcW w:w="1847" w:type="dxa"/>
            <w:tcBorders>
              <w:top w:val="double" w:sz="6" w:space="0" w:color="000000"/>
            </w:tcBorders>
          </w:tcPr>
          <w:p>
            <w:pPr>
              <w:pStyle w:val="TableParagraph"/>
              <w:spacing w:line="215" w:lineRule="exact" w:before="40"/>
              <w:ind w:left="533"/>
              <w:rPr>
                <w:sz w:val="20"/>
              </w:rPr>
            </w:pPr>
            <w:r>
              <w:rPr>
                <w:spacing w:val="-2"/>
                <w:sz w:val="20"/>
              </w:rPr>
              <w:t>D(DOP(-</w:t>
            </w:r>
            <w:r>
              <w:rPr>
                <w:spacing w:val="-5"/>
                <w:sz w:val="20"/>
              </w:rPr>
              <w:t>1))</w:t>
            </w:r>
          </w:p>
        </w:tc>
        <w:tc>
          <w:tcPr>
            <w:tcW w:w="1375" w:type="dxa"/>
            <w:tcBorders>
              <w:top w:val="double" w:sz="6" w:space="0" w:color="000000"/>
            </w:tcBorders>
          </w:tcPr>
          <w:p>
            <w:pPr>
              <w:pStyle w:val="TableParagraph"/>
              <w:spacing w:line="215" w:lineRule="exact" w:before="40"/>
              <w:ind w:right="128"/>
              <w:jc w:val="right"/>
              <w:rPr>
                <w:sz w:val="20"/>
              </w:rPr>
            </w:pPr>
            <w:r>
              <w:rPr>
                <w:spacing w:val="-4"/>
                <w:sz w:val="20"/>
              </w:rPr>
              <w:t>-</w:t>
            </w:r>
            <w:r>
              <w:rPr>
                <w:spacing w:val="-2"/>
                <w:sz w:val="20"/>
              </w:rPr>
              <w:t>1.483596</w:t>
            </w:r>
          </w:p>
        </w:tc>
        <w:tc>
          <w:tcPr>
            <w:tcW w:w="1432" w:type="dxa"/>
            <w:tcBorders>
              <w:top w:val="double" w:sz="6" w:space="0" w:color="000000"/>
            </w:tcBorders>
          </w:tcPr>
          <w:p>
            <w:pPr>
              <w:pStyle w:val="TableParagraph"/>
              <w:spacing w:line="215" w:lineRule="exact" w:before="40"/>
              <w:ind w:left="311"/>
              <w:rPr>
                <w:sz w:val="20"/>
              </w:rPr>
            </w:pPr>
            <w:r>
              <w:rPr>
                <w:spacing w:val="-2"/>
                <w:sz w:val="20"/>
              </w:rPr>
              <w:t>0.278679</w:t>
            </w:r>
          </w:p>
        </w:tc>
        <w:tc>
          <w:tcPr>
            <w:tcW w:w="904" w:type="dxa"/>
            <w:tcBorders>
              <w:top w:val="double" w:sz="6" w:space="0" w:color="000000"/>
            </w:tcBorders>
          </w:tcPr>
          <w:p>
            <w:pPr>
              <w:pStyle w:val="TableParagraph"/>
              <w:spacing w:line="215" w:lineRule="exact" w:before="40"/>
              <w:ind w:right="70"/>
              <w:jc w:val="center"/>
              <w:rPr>
                <w:sz w:val="20"/>
              </w:rPr>
            </w:pPr>
            <w:r>
              <w:rPr>
                <w:spacing w:val="-4"/>
                <w:sz w:val="20"/>
              </w:rPr>
              <w:t>-</w:t>
            </w:r>
            <w:r>
              <w:rPr>
                <w:spacing w:val="-2"/>
                <w:sz w:val="20"/>
              </w:rPr>
              <w:t>5.323674</w:t>
            </w:r>
          </w:p>
        </w:tc>
        <w:tc>
          <w:tcPr>
            <w:tcW w:w="929" w:type="dxa"/>
            <w:tcBorders>
              <w:top w:val="double" w:sz="6" w:space="0" w:color="000000"/>
            </w:tcBorders>
          </w:tcPr>
          <w:p>
            <w:pPr>
              <w:pStyle w:val="TableParagraph"/>
              <w:spacing w:line="215" w:lineRule="exact" w:before="40"/>
              <w:ind w:right="27"/>
              <w:jc w:val="right"/>
              <w:rPr>
                <w:sz w:val="20"/>
              </w:rPr>
            </w:pPr>
            <w:r>
              <w:rPr>
                <w:spacing w:val="-2"/>
                <w:sz w:val="20"/>
              </w:rPr>
              <w:t>0.0000</w:t>
            </w:r>
          </w:p>
        </w:tc>
      </w:tr>
      <w:tr>
        <w:trPr>
          <w:trHeight w:val="230" w:hRule="atLeast"/>
        </w:trPr>
        <w:tc>
          <w:tcPr>
            <w:tcW w:w="1847" w:type="dxa"/>
          </w:tcPr>
          <w:p>
            <w:pPr>
              <w:pStyle w:val="TableParagraph"/>
              <w:spacing w:line="210" w:lineRule="exact"/>
              <w:ind w:left="458"/>
              <w:rPr>
                <w:sz w:val="20"/>
              </w:rPr>
            </w:pPr>
            <w:r>
              <w:rPr>
                <w:spacing w:val="-2"/>
                <w:sz w:val="20"/>
              </w:rPr>
              <w:t>D(DOP(-1),2)</w:t>
            </w:r>
          </w:p>
        </w:tc>
        <w:tc>
          <w:tcPr>
            <w:tcW w:w="1375" w:type="dxa"/>
          </w:tcPr>
          <w:p>
            <w:pPr>
              <w:pStyle w:val="TableParagraph"/>
              <w:spacing w:line="210" w:lineRule="exact"/>
              <w:ind w:right="128"/>
              <w:jc w:val="right"/>
              <w:rPr>
                <w:sz w:val="20"/>
              </w:rPr>
            </w:pPr>
            <w:r>
              <w:rPr>
                <w:spacing w:val="-2"/>
                <w:sz w:val="20"/>
              </w:rPr>
              <w:t>0.066946</w:t>
            </w:r>
          </w:p>
        </w:tc>
        <w:tc>
          <w:tcPr>
            <w:tcW w:w="1432" w:type="dxa"/>
          </w:tcPr>
          <w:p>
            <w:pPr>
              <w:pStyle w:val="TableParagraph"/>
              <w:spacing w:line="210" w:lineRule="exact"/>
              <w:ind w:left="311"/>
              <w:rPr>
                <w:sz w:val="20"/>
              </w:rPr>
            </w:pPr>
            <w:r>
              <w:rPr>
                <w:spacing w:val="-2"/>
                <w:sz w:val="20"/>
              </w:rPr>
              <w:t>0.166600</w:t>
            </w:r>
          </w:p>
        </w:tc>
        <w:tc>
          <w:tcPr>
            <w:tcW w:w="904" w:type="dxa"/>
          </w:tcPr>
          <w:p>
            <w:pPr>
              <w:pStyle w:val="TableParagraph"/>
              <w:spacing w:line="210" w:lineRule="exact"/>
              <w:ind w:right="5"/>
              <w:jc w:val="center"/>
              <w:rPr>
                <w:sz w:val="20"/>
              </w:rPr>
            </w:pPr>
            <w:r>
              <w:rPr>
                <w:spacing w:val="-2"/>
                <w:sz w:val="20"/>
              </w:rPr>
              <w:t>0.401841</w:t>
            </w:r>
          </w:p>
        </w:tc>
        <w:tc>
          <w:tcPr>
            <w:tcW w:w="929" w:type="dxa"/>
          </w:tcPr>
          <w:p>
            <w:pPr>
              <w:pStyle w:val="TableParagraph"/>
              <w:spacing w:line="210" w:lineRule="exact"/>
              <w:ind w:right="27"/>
              <w:jc w:val="right"/>
              <w:rPr>
                <w:sz w:val="20"/>
              </w:rPr>
            </w:pPr>
            <w:r>
              <w:rPr>
                <w:spacing w:val="-2"/>
                <w:sz w:val="20"/>
              </w:rPr>
              <w:t>0.6902</w:t>
            </w:r>
          </w:p>
        </w:tc>
      </w:tr>
      <w:tr>
        <w:trPr>
          <w:trHeight w:val="224" w:hRule="atLeast"/>
        </w:trPr>
        <w:tc>
          <w:tcPr>
            <w:tcW w:w="1847" w:type="dxa"/>
            <w:tcBorders>
              <w:bottom w:val="double" w:sz="6" w:space="0" w:color="000000"/>
            </w:tcBorders>
          </w:tcPr>
          <w:p>
            <w:pPr>
              <w:pStyle w:val="TableParagraph"/>
              <w:spacing w:line="205" w:lineRule="exact"/>
              <w:ind w:left="197"/>
              <w:jc w:val="center"/>
              <w:rPr>
                <w:sz w:val="20"/>
              </w:rPr>
            </w:pPr>
            <w:r>
              <w:rPr>
                <w:spacing w:val="-10"/>
                <w:sz w:val="20"/>
              </w:rPr>
              <w:t>C</w:t>
            </w:r>
          </w:p>
        </w:tc>
        <w:tc>
          <w:tcPr>
            <w:tcW w:w="1375" w:type="dxa"/>
            <w:tcBorders>
              <w:bottom w:val="double" w:sz="6" w:space="0" w:color="000000"/>
            </w:tcBorders>
          </w:tcPr>
          <w:p>
            <w:pPr>
              <w:pStyle w:val="TableParagraph"/>
              <w:spacing w:line="205" w:lineRule="exact"/>
              <w:ind w:right="128"/>
              <w:jc w:val="right"/>
              <w:rPr>
                <w:sz w:val="20"/>
              </w:rPr>
            </w:pPr>
            <w:r>
              <w:rPr>
                <w:spacing w:val="-2"/>
                <w:sz w:val="20"/>
              </w:rPr>
              <w:t>0.022731</w:t>
            </w:r>
          </w:p>
        </w:tc>
        <w:tc>
          <w:tcPr>
            <w:tcW w:w="1432" w:type="dxa"/>
            <w:tcBorders>
              <w:bottom w:val="double" w:sz="6" w:space="0" w:color="000000"/>
            </w:tcBorders>
          </w:tcPr>
          <w:p>
            <w:pPr>
              <w:pStyle w:val="TableParagraph"/>
              <w:spacing w:line="205" w:lineRule="exact"/>
              <w:ind w:left="311"/>
              <w:rPr>
                <w:sz w:val="20"/>
              </w:rPr>
            </w:pPr>
            <w:r>
              <w:rPr>
                <w:spacing w:val="-2"/>
                <w:sz w:val="20"/>
              </w:rPr>
              <w:t>0.036518</w:t>
            </w:r>
          </w:p>
        </w:tc>
        <w:tc>
          <w:tcPr>
            <w:tcW w:w="904" w:type="dxa"/>
            <w:tcBorders>
              <w:bottom w:val="double" w:sz="6" w:space="0" w:color="000000"/>
            </w:tcBorders>
          </w:tcPr>
          <w:p>
            <w:pPr>
              <w:pStyle w:val="TableParagraph"/>
              <w:spacing w:line="205" w:lineRule="exact"/>
              <w:ind w:right="5"/>
              <w:jc w:val="center"/>
              <w:rPr>
                <w:sz w:val="20"/>
              </w:rPr>
            </w:pPr>
            <w:r>
              <w:rPr>
                <w:spacing w:val="-2"/>
                <w:sz w:val="20"/>
              </w:rPr>
              <w:t>0.622461</w:t>
            </w:r>
          </w:p>
        </w:tc>
        <w:tc>
          <w:tcPr>
            <w:tcW w:w="929" w:type="dxa"/>
            <w:tcBorders>
              <w:bottom w:val="double" w:sz="6" w:space="0" w:color="000000"/>
            </w:tcBorders>
          </w:tcPr>
          <w:p>
            <w:pPr>
              <w:pStyle w:val="TableParagraph"/>
              <w:spacing w:line="205" w:lineRule="exact"/>
              <w:ind w:right="27"/>
              <w:jc w:val="right"/>
              <w:rPr>
                <w:sz w:val="20"/>
              </w:rPr>
            </w:pPr>
            <w:r>
              <w:rPr>
                <w:spacing w:val="-2"/>
                <w:sz w:val="20"/>
              </w:rPr>
              <w:t>0.5376</w:t>
            </w:r>
          </w:p>
        </w:tc>
      </w:tr>
      <w:tr>
        <w:trPr>
          <w:trHeight w:val="275" w:hRule="atLeast"/>
        </w:trPr>
        <w:tc>
          <w:tcPr>
            <w:tcW w:w="1847" w:type="dxa"/>
            <w:tcBorders>
              <w:top w:val="double" w:sz="6" w:space="0" w:color="000000"/>
            </w:tcBorders>
          </w:tcPr>
          <w:p>
            <w:pPr>
              <w:pStyle w:val="TableParagraph"/>
              <w:spacing w:line="215" w:lineRule="exact" w:before="40"/>
              <w:ind w:left="36"/>
              <w:rPr>
                <w:sz w:val="20"/>
              </w:rPr>
            </w:pPr>
            <w:r>
              <w:rPr>
                <w:spacing w:val="-2"/>
                <w:sz w:val="20"/>
              </w:rPr>
              <w:t>R-squared</w:t>
            </w:r>
          </w:p>
        </w:tc>
        <w:tc>
          <w:tcPr>
            <w:tcW w:w="1375" w:type="dxa"/>
            <w:tcBorders>
              <w:top w:val="double" w:sz="6" w:space="0" w:color="000000"/>
            </w:tcBorders>
          </w:tcPr>
          <w:p>
            <w:pPr>
              <w:pStyle w:val="TableParagraph"/>
              <w:spacing w:line="215" w:lineRule="exact" w:before="40"/>
              <w:ind w:right="128"/>
              <w:jc w:val="right"/>
              <w:rPr>
                <w:sz w:val="20"/>
              </w:rPr>
            </w:pPr>
            <w:r>
              <w:rPr>
                <w:spacing w:val="-2"/>
                <w:sz w:val="20"/>
              </w:rPr>
              <w:t>0.695038</w:t>
            </w:r>
          </w:p>
        </w:tc>
        <w:tc>
          <w:tcPr>
            <w:tcW w:w="2336" w:type="dxa"/>
            <w:gridSpan w:val="2"/>
            <w:tcBorders>
              <w:top w:val="double" w:sz="6" w:space="0" w:color="000000"/>
            </w:tcBorders>
          </w:tcPr>
          <w:p>
            <w:pPr>
              <w:pStyle w:val="TableParagraph"/>
              <w:spacing w:line="215" w:lineRule="exact" w:before="40"/>
              <w:ind w:left="131"/>
              <w:rPr>
                <w:sz w:val="20"/>
              </w:rPr>
            </w:pPr>
            <w:r>
              <w:rPr>
                <w:sz w:val="20"/>
              </w:rPr>
              <w:t>Mean</w:t>
            </w:r>
            <w:r>
              <w:rPr>
                <w:spacing w:val="-7"/>
                <w:sz w:val="20"/>
              </w:rPr>
              <w:t> </w:t>
            </w:r>
            <w:r>
              <w:rPr>
                <w:sz w:val="20"/>
              </w:rPr>
              <w:t>dependent</w:t>
            </w:r>
            <w:r>
              <w:rPr>
                <w:spacing w:val="-7"/>
                <w:sz w:val="20"/>
              </w:rPr>
              <w:t> </w:t>
            </w:r>
            <w:r>
              <w:rPr>
                <w:spacing w:val="-5"/>
                <w:sz w:val="20"/>
              </w:rPr>
              <w:t>var</w:t>
            </w:r>
          </w:p>
        </w:tc>
        <w:tc>
          <w:tcPr>
            <w:tcW w:w="929" w:type="dxa"/>
            <w:tcBorders>
              <w:top w:val="double" w:sz="6" w:space="0" w:color="000000"/>
            </w:tcBorders>
          </w:tcPr>
          <w:p>
            <w:pPr>
              <w:pStyle w:val="TableParagraph"/>
              <w:spacing w:line="215" w:lineRule="exact" w:before="40"/>
              <w:ind w:right="27"/>
              <w:jc w:val="right"/>
              <w:rPr>
                <w:sz w:val="20"/>
              </w:rPr>
            </w:pPr>
            <w:r>
              <w:rPr>
                <w:spacing w:val="-2"/>
                <w:sz w:val="20"/>
              </w:rPr>
              <w:t>0.005171</w:t>
            </w:r>
          </w:p>
        </w:tc>
      </w:tr>
      <w:tr>
        <w:trPr>
          <w:trHeight w:val="230" w:hRule="atLeast"/>
        </w:trPr>
        <w:tc>
          <w:tcPr>
            <w:tcW w:w="1847" w:type="dxa"/>
          </w:tcPr>
          <w:p>
            <w:pPr>
              <w:pStyle w:val="TableParagraph"/>
              <w:spacing w:line="211" w:lineRule="exact"/>
              <w:ind w:left="36"/>
              <w:rPr>
                <w:sz w:val="20"/>
              </w:rPr>
            </w:pPr>
            <w:r>
              <w:rPr>
                <w:sz w:val="20"/>
              </w:rPr>
              <w:t>Adjusted</w:t>
            </w:r>
            <w:r>
              <w:rPr>
                <w:spacing w:val="-10"/>
                <w:sz w:val="20"/>
              </w:rPr>
              <w:t> </w:t>
            </w:r>
            <w:r>
              <w:rPr>
                <w:sz w:val="20"/>
              </w:rPr>
              <w:t>R-</w:t>
            </w:r>
            <w:r>
              <w:rPr>
                <w:spacing w:val="-2"/>
                <w:sz w:val="20"/>
              </w:rPr>
              <w:t>squared</w:t>
            </w:r>
          </w:p>
        </w:tc>
        <w:tc>
          <w:tcPr>
            <w:tcW w:w="1375" w:type="dxa"/>
          </w:tcPr>
          <w:p>
            <w:pPr>
              <w:pStyle w:val="TableParagraph"/>
              <w:spacing w:line="211" w:lineRule="exact"/>
              <w:ind w:right="128"/>
              <w:jc w:val="right"/>
              <w:rPr>
                <w:sz w:val="20"/>
              </w:rPr>
            </w:pPr>
            <w:r>
              <w:rPr>
                <w:spacing w:val="-2"/>
                <w:sz w:val="20"/>
              </w:rPr>
              <w:t>0.678096</w:t>
            </w:r>
          </w:p>
        </w:tc>
        <w:tc>
          <w:tcPr>
            <w:tcW w:w="2336" w:type="dxa"/>
            <w:gridSpan w:val="2"/>
          </w:tcPr>
          <w:p>
            <w:pPr>
              <w:pStyle w:val="TableParagraph"/>
              <w:spacing w:line="211" w:lineRule="exact"/>
              <w:ind w:left="131"/>
              <w:rPr>
                <w:sz w:val="20"/>
              </w:rPr>
            </w:pPr>
            <w:r>
              <w:rPr>
                <w:sz w:val="20"/>
              </w:rPr>
              <w:t>S.D.</w:t>
            </w:r>
            <w:r>
              <w:rPr>
                <w:spacing w:val="-5"/>
                <w:sz w:val="20"/>
              </w:rPr>
              <w:t> </w:t>
            </w:r>
            <w:r>
              <w:rPr>
                <w:sz w:val="20"/>
              </w:rPr>
              <w:t>dependent</w:t>
            </w:r>
            <w:r>
              <w:rPr>
                <w:spacing w:val="-6"/>
                <w:sz w:val="20"/>
              </w:rPr>
              <w:t> </w:t>
            </w:r>
            <w:r>
              <w:rPr>
                <w:spacing w:val="-5"/>
                <w:sz w:val="20"/>
              </w:rPr>
              <w:t>var</w:t>
            </w:r>
          </w:p>
        </w:tc>
        <w:tc>
          <w:tcPr>
            <w:tcW w:w="929" w:type="dxa"/>
          </w:tcPr>
          <w:p>
            <w:pPr>
              <w:pStyle w:val="TableParagraph"/>
              <w:spacing w:line="211" w:lineRule="exact"/>
              <w:ind w:right="27"/>
              <w:jc w:val="right"/>
              <w:rPr>
                <w:sz w:val="20"/>
              </w:rPr>
            </w:pPr>
            <w:r>
              <w:rPr>
                <w:spacing w:val="-2"/>
                <w:sz w:val="20"/>
              </w:rPr>
              <w:t>0.399967</w:t>
            </w:r>
          </w:p>
        </w:tc>
      </w:tr>
      <w:tr>
        <w:trPr>
          <w:trHeight w:val="230" w:hRule="atLeast"/>
        </w:trPr>
        <w:tc>
          <w:tcPr>
            <w:tcW w:w="1847" w:type="dxa"/>
          </w:tcPr>
          <w:p>
            <w:pPr>
              <w:pStyle w:val="TableParagraph"/>
              <w:spacing w:line="210" w:lineRule="exact"/>
              <w:ind w:left="36"/>
              <w:rPr>
                <w:sz w:val="20"/>
              </w:rPr>
            </w:pPr>
            <w:r>
              <w:rPr>
                <w:sz w:val="20"/>
              </w:rPr>
              <w:t>S.E.</w:t>
            </w:r>
            <w:r>
              <w:rPr>
                <w:spacing w:val="-3"/>
                <w:sz w:val="20"/>
              </w:rPr>
              <w:t> </w:t>
            </w:r>
            <w:r>
              <w:rPr>
                <w:sz w:val="20"/>
              </w:rPr>
              <w:t>of</w:t>
            </w:r>
            <w:r>
              <w:rPr>
                <w:spacing w:val="-3"/>
                <w:sz w:val="20"/>
              </w:rPr>
              <w:t> </w:t>
            </w:r>
            <w:r>
              <w:rPr>
                <w:spacing w:val="-2"/>
                <w:sz w:val="20"/>
              </w:rPr>
              <w:t>regression</w:t>
            </w:r>
          </w:p>
        </w:tc>
        <w:tc>
          <w:tcPr>
            <w:tcW w:w="1375" w:type="dxa"/>
          </w:tcPr>
          <w:p>
            <w:pPr>
              <w:pStyle w:val="TableParagraph"/>
              <w:spacing w:line="210" w:lineRule="exact"/>
              <w:ind w:right="128"/>
              <w:jc w:val="right"/>
              <w:rPr>
                <w:sz w:val="20"/>
              </w:rPr>
            </w:pPr>
            <w:r>
              <w:rPr>
                <w:spacing w:val="-2"/>
                <w:sz w:val="20"/>
              </w:rPr>
              <w:t>0.226928</w:t>
            </w:r>
          </w:p>
        </w:tc>
        <w:tc>
          <w:tcPr>
            <w:tcW w:w="2336" w:type="dxa"/>
            <w:gridSpan w:val="2"/>
          </w:tcPr>
          <w:p>
            <w:pPr>
              <w:pStyle w:val="TableParagraph"/>
              <w:spacing w:line="210" w:lineRule="exact"/>
              <w:ind w:left="131"/>
              <w:rPr>
                <w:sz w:val="20"/>
              </w:rPr>
            </w:pPr>
            <w:r>
              <w:rPr>
                <w:sz w:val="20"/>
              </w:rPr>
              <w:t>Akaike</w:t>
            </w:r>
            <w:r>
              <w:rPr>
                <w:spacing w:val="-8"/>
                <w:sz w:val="20"/>
              </w:rPr>
              <w:t> </w:t>
            </w:r>
            <w:r>
              <w:rPr>
                <w:sz w:val="20"/>
              </w:rPr>
              <w:t>info</w:t>
            </w:r>
            <w:r>
              <w:rPr>
                <w:spacing w:val="-7"/>
                <w:sz w:val="20"/>
              </w:rPr>
              <w:t> </w:t>
            </w:r>
            <w:r>
              <w:rPr>
                <w:spacing w:val="-2"/>
                <w:sz w:val="20"/>
              </w:rPr>
              <w:t>criterion</w:t>
            </w:r>
          </w:p>
        </w:tc>
        <w:tc>
          <w:tcPr>
            <w:tcW w:w="929" w:type="dxa"/>
          </w:tcPr>
          <w:p>
            <w:pPr>
              <w:pStyle w:val="TableParagraph"/>
              <w:spacing w:line="210" w:lineRule="exact"/>
              <w:ind w:right="27"/>
              <w:jc w:val="right"/>
              <w:rPr>
                <w:sz w:val="20"/>
              </w:rPr>
            </w:pPr>
            <w:r>
              <w:rPr>
                <w:spacing w:val="-4"/>
                <w:sz w:val="20"/>
              </w:rPr>
              <w:t>-</w:t>
            </w:r>
            <w:r>
              <w:rPr>
                <w:spacing w:val="-2"/>
                <w:sz w:val="20"/>
              </w:rPr>
              <w:t>0.054568</w:t>
            </w:r>
          </w:p>
        </w:tc>
      </w:tr>
      <w:tr>
        <w:trPr>
          <w:trHeight w:val="229" w:hRule="atLeast"/>
        </w:trPr>
        <w:tc>
          <w:tcPr>
            <w:tcW w:w="1847" w:type="dxa"/>
          </w:tcPr>
          <w:p>
            <w:pPr>
              <w:pStyle w:val="TableParagraph"/>
              <w:spacing w:line="209" w:lineRule="exact"/>
              <w:ind w:left="36"/>
              <w:rPr>
                <w:sz w:val="20"/>
              </w:rPr>
            </w:pPr>
            <w:r>
              <w:rPr>
                <w:sz w:val="20"/>
              </w:rPr>
              <w:t>Sum</w:t>
            </w:r>
            <w:r>
              <w:rPr>
                <w:spacing w:val="-8"/>
                <w:sz w:val="20"/>
              </w:rPr>
              <w:t> </w:t>
            </w:r>
            <w:r>
              <w:rPr>
                <w:sz w:val="20"/>
              </w:rPr>
              <w:t>squared</w:t>
            </w:r>
            <w:r>
              <w:rPr>
                <w:spacing w:val="-4"/>
                <w:sz w:val="20"/>
              </w:rPr>
              <w:t> </w:t>
            </w:r>
            <w:r>
              <w:rPr>
                <w:spacing w:val="-2"/>
                <w:sz w:val="20"/>
              </w:rPr>
              <w:t>resid</w:t>
            </w:r>
          </w:p>
        </w:tc>
        <w:tc>
          <w:tcPr>
            <w:tcW w:w="1375" w:type="dxa"/>
          </w:tcPr>
          <w:p>
            <w:pPr>
              <w:pStyle w:val="TableParagraph"/>
              <w:spacing w:line="209" w:lineRule="exact"/>
              <w:ind w:right="128"/>
              <w:jc w:val="right"/>
              <w:rPr>
                <w:sz w:val="20"/>
              </w:rPr>
            </w:pPr>
            <w:r>
              <w:rPr>
                <w:spacing w:val="-2"/>
                <w:sz w:val="20"/>
              </w:rPr>
              <w:t>1.853861</w:t>
            </w:r>
          </w:p>
        </w:tc>
        <w:tc>
          <w:tcPr>
            <w:tcW w:w="2336" w:type="dxa"/>
            <w:gridSpan w:val="2"/>
          </w:tcPr>
          <w:p>
            <w:pPr>
              <w:pStyle w:val="TableParagraph"/>
              <w:spacing w:line="209" w:lineRule="exact"/>
              <w:ind w:left="131"/>
              <w:rPr>
                <w:sz w:val="20"/>
              </w:rPr>
            </w:pPr>
            <w:r>
              <w:rPr>
                <w:sz w:val="20"/>
              </w:rPr>
              <w:t>Schwarz</w:t>
            </w:r>
            <w:r>
              <w:rPr>
                <w:spacing w:val="-8"/>
                <w:sz w:val="20"/>
              </w:rPr>
              <w:t> </w:t>
            </w:r>
            <w:r>
              <w:rPr>
                <w:spacing w:val="-2"/>
                <w:sz w:val="20"/>
              </w:rPr>
              <w:t>criterion</w:t>
            </w:r>
          </w:p>
        </w:tc>
        <w:tc>
          <w:tcPr>
            <w:tcW w:w="929" w:type="dxa"/>
          </w:tcPr>
          <w:p>
            <w:pPr>
              <w:pStyle w:val="TableParagraph"/>
              <w:spacing w:line="209" w:lineRule="exact"/>
              <w:ind w:right="27"/>
              <w:jc w:val="right"/>
              <w:rPr>
                <w:sz w:val="20"/>
              </w:rPr>
            </w:pPr>
            <w:r>
              <w:rPr>
                <w:spacing w:val="-2"/>
                <w:sz w:val="20"/>
              </w:rPr>
              <w:t>0.073398</w:t>
            </w:r>
          </w:p>
        </w:tc>
      </w:tr>
      <w:tr>
        <w:trPr>
          <w:trHeight w:val="229" w:hRule="atLeast"/>
        </w:trPr>
        <w:tc>
          <w:tcPr>
            <w:tcW w:w="1847" w:type="dxa"/>
          </w:tcPr>
          <w:p>
            <w:pPr>
              <w:pStyle w:val="TableParagraph"/>
              <w:spacing w:line="209" w:lineRule="exact"/>
              <w:ind w:left="36"/>
              <w:rPr>
                <w:sz w:val="20"/>
              </w:rPr>
            </w:pPr>
            <w:r>
              <w:rPr>
                <w:sz w:val="20"/>
              </w:rPr>
              <w:t>Log</w:t>
            </w:r>
            <w:r>
              <w:rPr>
                <w:spacing w:val="-6"/>
                <w:sz w:val="20"/>
              </w:rPr>
              <w:t> </w:t>
            </w:r>
            <w:r>
              <w:rPr>
                <w:spacing w:val="-2"/>
                <w:sz w:val="20"/>
              </w:rPr>
              <w:t>likelihood</w:t>
            </w:r>
          </w:p>
        </w:tc>
        <w:tc>
          <w:tcPr>
            <w:tcW w:w="1375" w:type="dxa"/>
          </w:tcPr>
          <w:p>
            <w:pPr>
              <w:pStyle w:val="TableParagraph"/>
              <w:spacing w:line="209" w:lineRule="exact"/>
              <w:ind w:right="128"/>
              <w:jc w:val="right"/>
              <w:rPr>
                <w:sz w:val="20"/>
              </w:rPr>
            </w:pPr>
            <w:r>
              <w:rPr>
                <w:spacing w:val="-2"/>
                <w:sz w:val="20"/>
              </w:rPr>
              <w:t>4.064074</w:t>
            </w:r>
          </w:p>
        </w:tc>
        <w:tc>
          <w:tcPr>
            <w:tcW w:w="1432" w:type="dxa"/>
          </w:tcPr>
          <w:p>
            <w:pPr>
              <w:pStyle w:val="TableParagraph"/>
              <w:spacing w:line="209" w:lineRule="exact"/>
              <w:ind w:left="131"/>
              <w:rPr>
                <w:sz w:val="20"/>
              </w:rPr>
            </w:pPr>
            <w:r>
              <w:rPr>
                <w:spacing w:val="-4"/>
                <w:sz w:val="20"/>
              </w:rPr>
              <w:t>F-</w:t>
            </w:r>
            <w:r>
              <w:rPr>
                <w:spacing w:val="-2"/>
                <w:sz w:val="20"/>
              </w:rPr>
              <w:t>statistic</w:t>
            </w:r>
          </w:p>
        </w:tc>
        <w:tc>
          <w:tcPr>
            <w:tcW w:w="904" w:type="dxa"/>
          </w:tcPr>
          <w:p>
            <w:pPr>
              <w:pStyle w:val="TableParagraph"/>
              <w:rPr>
                <w:sz w:val="16"/>
              </w:rPr>
            </w:pPr>
          </w:p>
        </w:tc>
        <w:tc>
          <w:tcPr>
            <w:tcW w:w="929" w:type="dxa"/>
          </w:tcPr>
          <w:p>
            <w:pPr>
              <w:pStyle w:val="TableParagraph"/>
              <w:spacing w:line="209" w:lineRule="exact"/>
              <w:ind w:right="27"/>
              <w:jc w:val="right"/>
              <w:rPr>
                <w:sz w:val="20"/>
              </w:rPr>
            </w:pPr>
            <w:r>
              <w:rPr>
                <w:spacing w:val="-2"/>
                <w:sz w:val="20"/>
              </w:rPr>
              <w:t>41.02378</w:t>
            </w:r>
          </w:p>
        </w:tc>
      </w:tr>
      <w:tr>
        <w:trPr>
          <w:trHeight w:val="267" w:hRule="atLeast"/>
        </w:trPr>
        <w:tc>
          <w:tcPr>
            <w:tcW w:w="1847" w:type="dxa"/>
            <w:tcBorders>
              <w:bottom w:val="double" w:sz="6" w:space="0" w:color="000000"/>
            </w:tcBorders>
          </w:tcPr>
          <w:p>
            <w:pPr>
              <w:pStyle w:val="TableParagraph"/>
              <w:spacing w:line="226" w:lineRule="exact"/>
              <w:ind w:left="36"/>
              <w:rPr>
                <w:sz w:val="20"/>
              </w:rPr>
            </w:pPr>
            <w:r>
              <w:rPr>
                <w:sz w:val="20"/>
              </w:rPr>
              <w:t>Durbin-Watson</w:t>
            </w:r>
            <w:r>
              <w:rPr>
                <w:spacing w:val="-12"/>
                <w:sz w:val="20"/>
              </w:rPr>
              <w:t> </w:t>
            </w:r>
            <w:r>
              <w:rPr>
                <w:spacing w:val="-4"/>
                <w:sz w:val="20"/>
              </w:rPr>
              <w:t>stat</w:t>
            </w:r>
          </w:p>
        </w:tc>
        <w:tc>
          <w:tcPr>
            <w:tcW w:w="1375" w:type="dxa"/>
          </w:tcPr>
          <w:p>
            <w:pPr>
              <w:pStyle w:val="TableParagraph"/>
              <w:spacing w:line="226" w:lineRule="exact"/>
              <w:ind w:right="128"/>
              <w:jc w:val="right"/>
              <w:rPr>
                <w:sz w:val="20"/>
              </w:rPr>
            </w:pPr>
            <w:r>
              <w:rPr>
                <w:spacing w:val="-2"/>
                <w:sz w:val="20"/>
              </w:rPr>
              <w:t>1.994631</w:t>
            </w:r>
          </w:p>
        </w:tc>
        <w:tc>
          <w:tcPr>
            <w:tcW w:w="1432" w:type="dxa"/>
            <w:tcBorders>
              <w:bottom w:val="double" w:sz="6" w:space="0" w:color="000000"/>
            </w:tcBorders>
          </w:tcPr>
          <w:p>
            <w:pPr>
              <w:pStyle w:val="TableParagraph"/>
              <w:spacing w:line="226" w:lineRule="exact"/>
              <w:ind w:left="131"/>
              <w:rPr>
                <w:sz w:val="20"/>
              </w:rPr>
            </w:pPr>
            <w:r>
              <w:rPr>
                <w:spacing w:val="-2"/>
                <w:sz w:val="20"/>
              </w:rPr>
              <w:t>Prob(F-statistic)</w:t>
            </w:r>
          </w:p>
        </w:tc>
        <w:tc>
          <w:tcPr>
            <w:tcW w:w="904" w:type="dxa"/>
            <w:tcBorders>
              <w:bottom w:val="double" w:sz="6" w:space="0" w:color="000000"/>
            </w:tcBorders>
          </w:tcPr>
          <w:p>
            <w:pPr>
              <w:pStyle w:val="TableParagraph"/>
              <w:rPr>
                <w:sz w:val="18"/>
              </w:rPr>
            </w:pPr>
          </w:p>
        </w:tc>
        <w:tc>
          <w:tcPr>
            <w:tcW w:w="929" w:type="dxa"/>
            <w:tcBorders>
              <w:bottom w:val="double" w:sz="6" w:space="0" w:color="000000"/>
            </w:tcBorders>
          </w:tcPr>
          <w:p>
            <w:pPr>
              <w:pStyle w:val="TableParagraph"/>
              <w:spacing w:line="226" w:lineRule="exact"/>
              <w:ind w:right="27"/>
              <w:jc w:val="right"/>
              <w:rPr>
                <w:sz w:val="20"/>
              </w:rPr>
            </w:pPr>
            <w:r>
              <w:rPr>
                <w:spacing w:val="-2"/>
                <w:sz w:val="20"/>
              </w:rPr>
              <w:t>0.000000</w:t>
            </w:r>
          </w:p>
        </w:tc>
      </w:tr>
    </w:tbl>
    <w:p>
      <w:pPr>
        <w:spacing w:after="0" w:line="226" w:lineRule="exact"/>
        <w:jc w:val="right"/>
        <w:rPr>
          <w:sz w:val="20"/>
        </w:rPr>
        <w:sectPr>
          <w:pgSz w:w="11910" w:h="16840"/>
          <w:pgMar w:header="0" w:footer="979" w:top="1360" w:bottom="1240" w:left="280" w:right="0"/>
        </w:sectPr>
      </w:pPr>
    </w:p>
    <w:p>
      <w:pPr>
        <w:spacing w:before="62" w:after="3"/>
        <w:ind w:left="711" w:right="0" w:firstLine="0"/>
        <w:jc w:val="left"/>
        <w:rPr>
          <w:sz w:val="20"/>
        </w:rPr>
      </w:pPr>
      <w:r>
        <w:rPr>
          <w:sz w:val="20"/>
        </w:rPr>
        <w:t>INF</w:t>
      </w:r>
      <w:r>
        <w:rPr>
          <w:spacing w:val="-4"/>
          <w:sz w:val="20"/>
        </w:rPr>
        <w:t> </w:t>
      </w:r>
      <w:r>
        <w:rPr>
          <w:sz w:val="20"/>
        </w:rPr>
        <w:t>@</w:t>
      </w:r>
      <w:r>
        <w:rPr>
          <w:spacing w:val="-1"/>
          <w:sz w:val="20"/>
        </w:rPr>
        <w:t> </w:t>
      </w:r>
      <w:r>
        <w:rPr>
          <w:spacing w:val="-4"/>
          <w:sz w:val="20"/>
        </w:rPr>
        <w:t>LEVEL</w:t>
      </w:r>
    </w:p>
    <w:tbl>
      <w:tblPr>
        <w:tblW w:w="0" w:type="auto"/>
        <w:jc w:val="left"/>
        <w:tblInd w:w="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47"/>
        <w:gridCol w:w="1375"/>
        <w:gridCol w:w="1432"/>
        <w:gridCol w:w="904"/>
        <w:gridCol w:w="929"/>
      </w:tblGrid>
      <w:tr>
        <w:trPr>
          <w:trHeight w:val="224" w:hRule="atLeast"/>
        </w:trPr>
        <w:tc>
          <w:tcPr>
            <w:tcW w:w="1847" w:type="dxa"/>
          </w:tcPr>
          <w:p>
            <w:pPr>
              <w:pStyle w:val="TableParagraph"/>
              <w:spacing w:line="204" w:lineRule="exact"/>
              <w:ind w:left="36"/>
              <w:rPr>
                <w:sz w:val="20"/>
              </w:rPr>
            </w:pPr>
            <w:r>
              <w:rPr>
                <w:sz w:val="20"/>
              </w:rPr>
              <w:t>ADF</w:t>
            </w:r>
            <w:r>
              <w:rPr>
                <w:spacing w:val="-4"/>
                <w:sz w:val="20"/>
              </w:rPr>
              <w:t> </w:t>
            </w:r>
            <w:r>
              <w:rPr>
                <w:sz w:val="20"/>
              </w:rPr>
              <w:t>Test</w:t>
            </w:r>
            <w:r>
              <w:rPr>
                <w:spacing w:val="-4"/>
                <w:sz w:val="20"/>
              </w:rPr>
              <w:t> </w:t>
            </w:r>
            <w:r>
              <w:rPr>
                <w:spacing w:val="-2"/>
                <w:sz w:val="20"/>
              </w:rPr>
              <w:t>Statistic</w:t>
            </w:r>
          </w:p>
        </w:tc>
        <w:tc>
          <w:tcPr>
            <w:tcW w:w="1375" w:type="dxa"/>
          </w:tcPr>
          <w:p>
            <w:pPr>
              <w:pStyle w:val="TableParagraph"/>
              <w:spacing w:line="204" w:lineRule="exact"/>
              <w:ind w:left="219"/>
              <w:rPr>
                <w:sz w:val="20"/>
              </w:rPr>
            </w:pPr>
            <w:r>
              <w:rPr>
                <w:spacing w:val="-4"/>
                <w:sz w:val="20"/>
              </w:rPr>
              <w:t>-</w:t>
            </w:r>
            <w:r>
              <w:rPr>
                <w:spacing w:val="-2"/>
                <w:sz w:val="20"/>
              </w:rPr>
              <w:t>4.342622</w:t>
            </w:r>
          </w:p>
        </w:tc>
        <w:tc>
          <w:tcPr>
            <w:tcW w:w="2336" w:type="dxa"/>
            <w:gridSpan w:val="2"/>
          </w:tcPr>
          <w:p>
            <w:pPr>
              <w:pStyle w:val="TableParagraph"/>
              <w:spacing w:line="204" w:lineRule="exact"/>
              <w:ind w:left="131"/>
              <w:rPr>
                <w:sz w:val="20"/>
              </w:rPr>
            </w:pPr>
            <w:r>
              <w:rPr>
                <w:sz w:val="20"/>
              </w:rPr>
              <w:t>1%</w:t>
            </w:r>
            <w:r>
              <w:rPr>
                <w:spacing w:val="68"/>
                <w:w w:val="150"/>
                <w:sz w:val="20"/>
              </w:rPr>
              <w:t> </w:t>
            </w:r>
            <w:r>
              <w:rPr>
                <w:sz w:val="20"/>
              </w:rPr>
              <w:t>Critical</w:t>
            </w:r>
            <w:r>
              <w:rPr>
                <w:spacing w:val="-2"/>
                <w:sz w:val="20"/>
              </w:rPr>
              <w:t> Value*</w:t>
            </w:r>
          </w:p>
        </w:tc>
        <w:tc>
          <w:tcPr>
            <w:tcW w:w="929" w:type="dxa"/>
          </w:tcPr>
          <w:p>
            <w:pPr>
              <w:pStyle w:val="TableParagraph"/>
              <w:spacing w:line="204" w:lineRule="exact"/>
              <w:ind w:right="27"/>
              <w:jc w:val="right"/>
              <w:rPr>
                <w:sz w:val="20"/>
              </w:rPr>
            </w:pPr>
            <w:r>
              <w:rPr>
                <w:spacing w:val="-4"/>
                <w:sz w:val="20"/>
              </w:rPr>
              <w:t>-</w:t>
            </w:r>
            <w:r>
              <w:rPr>
                <w:spacing w:val="-2"/>
                <w:sz w:val="20"/>
              </w:rPr>
              <w:t>3.6019</w:t>
            </w:r>
          </w:p>
        </w:tc>
      </w:tr>
      <w:tr>
        <w:trPr>
          <w:trHeight w:val="229" w:hRule="atLeast"/>
        </w:trPr>
        <w:tc>
          <w:tcPr>
            <w:tcW w:w="1847" w:type="dxa"/>
          </w:tcPr>
          <w:p>
            <w:pPr>
              <w:pStyle w:val="TableParagraph"/>
              <w:rPr>
                <w:sz w:val="16"/>
              </w:rPr>
            </w:pPr>
          </w:p>
        </w:tc>
        <w:tc>
          <w:tcPr>
            <w:tcW w:w="1375" w:type="dxa"/>
          </w:tcPr>
          <w:p>
            <w:pPr>
              <w:pStyle w:val="TableParagraph"/>
              <w:rPr>
                <w:sz w:val="16"/>
              </w:rPr>
            </w:pPr>
          </w:p>
        </w:tc>
        <w:tc>
          <w:tcPr>
            <w:tcW w:w="2336" w:type="dxa"/>
            <w:gridSpan w:val="2"/>
          </w:tcPr>
          <w:p>
            <w:pPr>
              <w:pStyle w:val="TableParagraph"/>
              <w:spacing w:line="209" w:lineRule="exact"/>
              <w:ind w:left="131"/>
              <w:rPr>
                <w:sz w:val="20"/>
              </w:rPr>
            </w:pPr>
            <w:r>
              <w:rPr>
                <w:sz w:val="20"/>
              </w:rPr>
              <w:t>5%</w:t>
            </w:r>
            <w:r>
              <w:rPr>
                <w:spacing w:val="68"/>
                <w:w w:val="150"/>
                <w:sz w:val="20"/>
              </w:rPr>
              <w:t> </w:t>
            </w:r>
            <w:r>
              <w:rPr>
                <w:sz w:val="20"/>
              </w:rPr>
              <w:t>Critical</w:t>
            </w:r>
            <w:r>
              <w:rPr>
                <w:spacing w:val="-2"/>
                <w:sz w:val="20"/>
              </w:rPr>
              <w:t> </w:t>
            </w:r>
            <w:r>
              <w:rPr>
                <w:spacing w:val="-4"/>
                <w:sz w:val="20"/>
              </w:rPr>
              <w:t>Value</w:t>
            </w:r>
          </w:p>
        </w:tc>
        <w:tc>
          <w:tcPr>
            <w:tcW w:w="929" w:type="dxa"/>
          </w:tcPr>
          <w:p>
            <w:pPr>
              <w:pStyle w:val="TableParagraph"/>
              <w:spacing w:line="209" w:lineRule="exact"/>
              <w:ind w:right="27"/>
              <w:jc w:val="right"/>
              <w:rPr>
                <w:sz w:val="20"/>
              </w:rPr>
            </w:pPr>
            <w:r>
              <w:rPr>
                <w:spacing w:val="-4"/>
                <w:sz w:val="20"/>
              </w:rPr>
              <w:t>-</w:t>
            </w:r>
            <w:r>
              <w:rPr>
                <w:spacing w:val="-2"/>
                <w:sz w:val="20"/>
              </w:rPr>
              <w:t>2.9358</w:t>
            </w:r>
          </w:p>
        </w:tc>
      </w:tr>
      <w:tr>
        <w:trPr>
          <w:trHeight w:val="224" w:hRule="atLeast"/>
        </w:trPr>
        <w:tc>
          <w:tcPr>
            <w:tcW w:w="1847" w:type="dxa"/>
            <w:tcBorders>
              <w:bottom w:val="double" w:sz="6" w:space="0" w:color="000000"/>
            </w:tcBorders>
          </w:tcPr>
          <w:p>
            <w:pPr>
              <w:pStyle w:val="TableParagraph"/>
              <w:rPr>
                <w:sz w:val="16"/>
              </w:rPr>
            </w:pPr>
          </w:p>
        </w:tc>
        <w:tc>
          <w:tcPr>
            <w:tcW w:w="1375" w:type="dxa"/>
            <w:tcBorders>
              <w:bottom w:val="double" w:sz="6" w:space="0" w:color="000000"/>
            </w:tcBorders>
          </w:tcPr>
          <w:p>
            <w:pPr>
              <w:pStyle w:val="TableParagraph"/>
              <w:rPr>
                <w:sz w:val="16"/>
              </w:rPr>
            </w:pPr>
          </w:p>
        </w:tc>
        <w:tc>
          <w:tcPr>
            <w:tcW w:w="2336" w:type="dxa"/>
            <w:gridSpan w:val="2"/>
            <w:tcBorders>
              <w:bottom w:val="double" w:sz="6" w:space="0" w:color="000000"/>
            </w:tcBorders>
          </w:tcPr>
          <w:p>
            <w:pPr>
              <w:pStyle w:val="TableParagraph"/>
              <w:spacing w:line="205" w:lineRule="exact"/>
              <w:ind w:left="131"/>
              <w:rPr>
                <w:sz w:val="20"/>
              </w:rPr>
            </w:pPr>
            <w:r>
              <w:rPr>
                <w:sz w:val="20"/>
              </w:rPr>
              <w:t>10%</w:t>
            </w:r>
            <w:r>
              <w:rPr>
                <w:spacing w:val="-6"/>
                <w:sz w:val="20"/>
              </w:rPr>
              <w:t> </w:t>
            </w:r>
            <w:r>
              <w:rPr>
                <w:sz w:val="20"/>
              </w:rPr>
              <w:t>Critical</w:t>
            </w:r>
            <w:r>
              <w:rPr>
                <w:spacing w:val="-4"/>
                <w:sz w:val="20"/>
              </w:rPr>
              <w:t> </w:t>
            </w:r>
            <w:r>
              <w:rPr>
                <w:spacing w:val="-2"/>
                <w:sz w:val="20"/>
              </w:rPr>
              <w:t>Value</w:t>
            </w:r>
          </w:p>
        </w:tc>
        <w:tc>
          <w:tcPr>
            <w:tcW w:w="929" w:type="dxa"/>
            <w:tcBorders>
              <w:bottom w:val="double" w:sz="6" w:space="0" w:color="000000"/>
            </w:tcBorders>
          </w:tcPr>
          <w:p>
            <w:pPr>
              <w:pStyle w:val="TableParagraph"/>
              <w:spacing w:line="205" w:lineRule="exact"/>
              <w:ind w:right="27"/>
              <w:jc w:val="right"/>
              <w:rPr>
                <w:sz w:val="20"/>
              </w:rPr>
            </w:pPr>
            <w:r>
              <w:rPr>
                <w:spacing w:val="-4"/>
                <w:sz w:val="20"/>
              </w:rPr>
              <w:t>-</w:t>
            </w:r>
            <w:r>
              <w:rPr>
                <w:spacing w:val="-2"/>
                <w:sz w:val="20"/>
              </w:rPr>
              <w:t>2.6059</w:t>
            </w:r>
          </w:p>
        </w:tc>
      </w:tr>
      <w:tr>
        <w:trPr>
          <w:trHeight w:val="506" w:hRule="atLeast"/>
        </w:trPr>
        <w:tc>
          <w:tcPr>
            <w:tcW w:w="6487" w:type="dxa"/>
            <w:gridSpan w:val="5"/>
            <w:tcBorders>
              <w:top w:val="double" w:sz="6" w:space="0" w:color="000000"/>
            </w:tcBorders>
          </w:tcPr>
          <w:p>
            <w:pPr>
              <w:pStyle w:val="TableParagraph"/>
              <w:spacing w:before="42"/>
              <w:ind w:left="36"/>
              <w:rPr>
                <w:sz w:val="20"/>
              </w:rPr>
            </w:pPr>
            <w:r>
              <w:rPr>
                <w:sz w:val="20"/>
              </w:rPr>
              <w:t>*MacKinnon</w:t>
            </w:r>
            <w:r>
              <w:rPr>
                <w:spacing w:val="-6"/>
                <w:sz w:val="20"/>
              </w:rPr>
              <w:t> </w:t>
            </w:r>
            <w:r>
              <w:rPr>
                <w:sz w:val="20"/>
              </w:rPr>
              <w:t>critical</w:t>
            </w:r>
            <w:r>
              <w:rPr>
                <w:spacing w:val="-4"/>
                <w:sz w:val="20"/>
              </w:rPr>
              <w:t> </w:t>
            </w:r>
            <w:r>
              <w:rPr>
                <w:sz w:val="20"/>
              </w:rPr>
              <w:t>values</w:t>
            </w:r>
            <w:r>
              <w:rPr>
                <w:spacing w:val="-6"/>
                <w:sz w:val="20"/>
              </w:rPr>
              <w:t> </w:t>
            </w:r>
            <w:r>
              <w:rPr>
                <w:sz w:val="20"/>
              </w:rPr>
              <w:t>for</w:t>
            </w:r>
            <w:r>
              <w:rPr>
                <w:spacing w:val="-4"/>
                <w:sz w:val="20"/>
              </w:rPr>
              <w:t> </w:t>
            </w:r>
            <w:r>
              <w:rPr>
                <w:sz w:val="20"/>
              </w:rPr>
              <w:t>rejection</w:t>
            </w:r>
            <w:r>
              <w:rPr>
                <w:spacing w:val="-5"/>
                <w:sz w:val="20"/>
              </w:rPr>
              <w:t> </w:t>
            </w:r>
            <w:r>
              <w:rPr>
                <w:sz w:val="20"/>
              </w:rPr>
              <w:t>of</w:t>
            </w:r>
            <w:r>
              <w:rPr>
                <w:spacing w:val="-7"/>
                <w:sz w:val="20"/>
              </w:rPr>
              <w:t> </w:t>
            </w:r>
            <w:r>
              <w:rPr>
                <w:sz w:val="20"/>
              </w:rPr>
              <w:t>hypothesis</w:t>
            </w:r>
            <w:r>
              <w:rPr>
                <w:spacing w:val="-5"/>
                <w:sz w:val="20"/>
              </w:rPr>
              <w:t> </w:t>
            </w:r>
            <w:r>
              <w:rPr>
                <w:sz w:val="20"/>
              </w:rPr>
              <w:t>of</w:t>
            </w:r>
            <w:r>
              <w:rPr>
                <w:spacing w:val="-6"/>
                <w:sz w:val="20"/>
              </w:rPr>
              <w:t> </w:t>
            </w:r>
            <w:r>
              <w:rPr>
                <w:sz w:val="20"/>
              </w:rPr>
              <w:t>a</w:t>
            </w:r>
            <w:r>
              <w:rPr>
                <w:spacing w:val="-5"/>
                <w:sz w:val="20"/>
              </w:rPr>
              <w:t> </w:t>
            </w:r>
            <w:r>
              <w:rPr>
                <w:sz w:val="20"/>
              </w:rPr>
              <w:t>unit</w:t>
            </w:r>
            <w:r>
              <w:rPr>
                <w:spacing w:val="2"/>
                <w:sz w:val="20"/>
              </w:rPr>
              <w:t> </w:t>
            </w:r>
            <w:r>
              <w:rPr>
                <w:spacing w:val="-2"/>
                <w:sz w:val="20"/>
              </w:rPr>
              <w:t>root.</w:t>
            </w:r>
          </w:p>
        </w:tc>
      </w:tr>
      <w:tr>
        <w:trPr>
          <w:trHeight w:val="459" w:hRule="atLeast"/>
        </w:trPr>
        <w:tc>
          <w:tcPr>
            <w:tcW w:w="6487" w:type="dxa"/>
            <w:gridSpan w:val="5"/>
          </w:tcPr>
          <w:p>
            <w:pPr>
              <w:pStyle w:val="TableParagraph"/>
              <w:spacing w:line="215" w:lineRule="exact" w:before="225"/>
              <w:ind w:left="36"/>
              <w:rPr>
                <w:sz w:val="20"/>
              </w:rPr>
            </w:pPr>
            <w:r>
              <w:rPr>
                <w:sz w:val="20"/>
              </w:rPr>
              <w:t>Augmented</w:t>
            </w:r>
            <w:r>
              <w:rPr>
                <w:spacing w:val="-8"/>
                <w:sz w:val="20"/>
              </w:rPr>
              <w:t> </w:t>
            </w:r>
            <w:r>
              <w:rPr>
                <w:sz w:val="20"/>
              </w:rPr>
              <w:t>Dickey-Fuller</w:t>
            </w:r>
            <w:r>
              <w:rPr>
                <w:spacing w:val="-8"/>
                <w:sz w:val="20"/>
              </w:rPr>
              <w:t> </w:t>
            </w:r>
            <w:r>
              <w:rPr>
                <w:sz w:val="20"/>
              </w:rPr>
              <w:t>Test</w:t>
            </w:r>
            <w:r>
              <w:rPr>
                <w:spacing w:val="-9"/>
                <w:sz w:val="20"/>
              </w:rPr>
              <w:t> </w:t>
            </w:r>
            <w:r>
              <w:rPr>
                <w:spacing w:val="-2"/>
                <w:sz w:val="20"/>
              </w:rPr>
              <w:t>Equation</w:t>
            </w:r>
          </w:p>
        </w:tc>
      </w:tr>
      <w:tr>
        <w:trPr>
          <w:trHeight w:val="230" w:hRule="atLeast"/>
        </w:trPr>
        <w:tc>
          <w:tcPr>
            <w:tcW w:w="6487" w:type="dxa"/>
            <w:gridSpan w:val="5"/>
          </w:tcPr>
          <w:p>
            <w:pPr>
              <w:pStyle w:val="TableParagraph"/>
              <w:spacing w:line="210" w:lineRule="exact"/>
              <w:ind w:left="36"/>
              <w:rPr>
                <w:sz w:val="20"/>
              </w:rPr>
            </w:pPr>
            <w:r>
              <w:rPr>
                <w:sz w:val="20"/>
              </w:rPr>
              <w:t>Dependent</w:t>
            </w:r>
            <w:r>
              <w:rPr>
                <w:spacing w:val="-8"/>
                <w:sz w:val="20"/>
              </w:rPr>
              <w:t> </w:t>
            </w:r>
            <w:r>
              <w:rPr>
                <w:sz w:val="20"/>
              </w:rPr>
              <w:t>Variable:</w:t>
            </w:r>
            <w:r>
              <w:rPr>
                <w:spacing w:val="-8"/>
                <w:sz w:val="20"/>
              </w:rPr>
              <w:t> </w:t>
            </w:r>
            <w:r>
              <w:rPr>
                <w:spacing w:val="-2"/>
                <w:sz w:val="20"/>
              </w:rPr>
              <w:t>D(INF)</w:t>
            </w:r>
          </w:p>
        </w:tc>
      </w:tr>
      <w:tr>
        <w:trPr>
          <w:trHeight w:val="229" w:hRule="atLeast"/>
        </w:trPr>
        <w:tc>
          <w:tcPr>
            <w:tcW w:w="6487" w:type="dxa"/>
            <w:gridSpan w:val="5"/>
          </w:tcPr>
          <w:p>
            <w:pPr>
              <w:pStyle w:val="TableParagraph"/>
              <w:spacing w:line="209" w:lineRule="exact"/>
              <w:ind w:left="36"/>
              <w:rPr>
                <w:sz w:val="20"/>
              </w:rPr>
            </w:pPr>
            <w:r>
              <w:rPr>
                <w:sz w:val="20"/>
              </w:rPr>
              <w:t>Method:</w:t>
            </w:r>
            <w:r>
              <w:rPr>
                <w:spacing w:val="-8"/>
                <w:sz w:val="20"/>
              </w:rPr>
              <w:t> </w:t>
            </w:r>
            <w:r>
              <w:rPr>
                <w:sz w:val="20"/>
              </w:rPr>
              <w:t>Least</w:t>
            </w:r>
            <w:r>
              <w:rPr>
                <w:spacing w:val="-7"/>
                <w:sz w:val="20"/>
              </w:rPr>
              <w:t> </w:t>
            </w:r>
            <w:r>
              <w:rPr>
                <w:spacing w:val="-2"/>
                <w:sz w:val="20"/>
              </w:rPr>
              <w:t>Squares</w:t>
            </w:r>
          </w:p>
        </w:tc>
      </w:tr>
      <w:tr>
        <w:trPr>
          <w:trHeight w:val="229" w:hRule="atLeast"/>
        </w:trPr>
        <w:tc>
          <w:tcPr>
            <w:tcW w:w="6487" w:type="dxa"/>
            <w:gridSpan w:val="5"/>
          </w:tcPr>
          <w:p>
            <w:pPr>
              <w:pStyle w:val="TableParagraph"/>
              <w:spacing w:line="209" w:lineRule="exact"/>
              <w:ind w:left="36"/>
              <w:rPr>
                <w:sz w:val="20"/>
              </w:rPr>
            </w:pPr>
            <w:r>
              <w:rPr>
                <w:sz w:val="20"/>
              </w:rPr>
              <w:t>Date:</w:t>
            </w:r>
            <w:r>
              <w:rPr>
                <w:spacing w:val="-5"/>
                <w:sz w:val="20"/>
              </w:rPr>
              <w:t> </w:t>
            </w:r>
            <w:r>
              <w:rPr>
                <w:sz w:val="20"/>
              </w:rPr>
              <w:t>02/18/14</w:t>
            </w:r>
            <w:r>
              <w:rPr>
                <w:spacing w:val="63"/>
                <w:w w:val="150"/>
                <w:sz w:val="20"/>
              </w:rPr>
              <w:t> </w:t>
            </w:r>
            <w:r>
              <w:rPr>
                <w:sz w:val="20"/>
              </w:rPr>
              <w:t>Time:</w:t>
            </w:r>
            <w:r>
              <w:rPr>
                <w:spacing w:val="-3"/>
                <w:sz w:val="20"/>
              </w:rPr>
              <w:t> </w:t>
            </w:r>
            <w:r>
              <w:rPr>
                <w:spacing w:val="-2"/>
                <w:sz w:val="20"/>
              </w:rPr>
              <w:t>13:35</w:t>
            </w:r>
          </w:p>
        </w:tc>
      </w:tr>
      <w:tr>
        <w:trPr>
          <w:trHeight w:val="230" w:hRule="atLeast"/>
        </w:trPr>
        <w:tc>
          <w:tcPr>
            <w:tcW w:w="6487" w:type="dxa"/>
            <w:gridSpan w:val="5"/>
          </w:tcPr>
          <w:p>
            <w:pPr>
              <w:pStyle w:val="TableParagraph"/>
              <w:spacing w:line="210" w:lineRule="exact"/>
              <w:ind w:left="36"/>
              <w:rPr>
                <w:sz w:val="20"/>
              </w:rPr>
            </w:pPr>
            <w:r>
              <w:rPr>
                <w:sz w:val="20"/>
              </w:rPr>
              <w:t>Sample(adjusted):</w:t>
            </w:r>
            <w:r>
              <w:rPr>
                <w:spacing w:val="-9"/>
                <w:sz w:val="20"/>
              </w:rPr>
              <w:t> </w:t>
            </w:r>
            <w:r>
              <w:rPr>
                <w:sz w:val="20"/>
              </w:rPr>
              <w:t>1972</w:t>
            </w:r>
            <w:r>
              <w:rPr>
                <w:spacing w:val="-9"/>
                <w:sz w:val="20"/>
              </w:rPr>
              <w:t> </w:t>
            </w:r>
            <w:r>
              <w:rPr>
                <w:spacing w:val="-4"/>
                <w:sz w:val="20"/>
              </w:rPr>
              <w:t>2011</w:t>
            </w:r>
          </w:p>
        </w:tc>
      </w:tr>
      <w:tr>
        <w:trPr>
          <w:trHeight w:val="224" w:hRule="atLeast"/>
        </w:trPr>
        <w:tc>
          <w:tcPr>
            <w:tcW w:w="6487" w:type="dxa"/>
            <w:gridSpan w:val="5"/>
            <w:tcBorders>
              <w:bottom w:val="double" w:sz="6" w:space="0" w:color="000000"/>
            </w:tcBorders>
          </w:tcPr>
          <w:p>
            <w:pPr>
              <w:pStyle w:val="TableParagraph"/>
              <w:spacing w:line="205" w:lineRule="exact"/>
              <w:ind w:left="36"/>
              <w:rPr>
                <w:sz w:val="20"/>
              </w:rPr>
            </w:pPr>
            <w:r>
              <w:rPr>
                <w:sz w:val="20"/>
              </w:rPr>
              <w:t>Included</w:t>
            </w:r>
            <w:r>
              <w:rPr>
                <w:spacing w:val="-6"/>
                <w:sz w:val="20"/>
              </w:rPr>
              <w:t> </w:t>
            </w:r>
            <w:r>
              <w:rPr>
                <w:sz w:val="20"/>
              </w:rPr>
              <w:t>observations:</w:t>
            </w:r>
            <w:r>
              <w:rPr>
                <w:spacing w:val="-8"/>
                <w:sz w:val="20"/>
              </w:rPr>
              <w:t> </w:t>
            </w:r>
            <w:r>
              <w:rPr>
                <w:sz w:val="20"/>
              </w:rPr>
              <w:t>40</w:t>
            </w:r>
            <w:r>
              <w:rPr>
                <w:spacing w:val="-5"/>
                <w:sz w:val="20"/>
              </w:rPr>
              <w:t> </w:t>
            </w:r>
            <w:r>
              <w:rPr>
                <w:sz w:val="20"/>
              </w:rPr>
              <w:t>after</w:t>
            </w:r>
            <w:r>
              <w:rPr>
                <w:spacing w:val="-7"/>
                <w:sz w:val="20"/>
              </w:rPr>
              <w:t> </w:t>
            </w:r>
            <w:r>
              <w:rPr>
                <w:sz w:val="20"/>
              </w:rPr>
              <w:t>adjusting</w:t>
            </w:r>
            <w:r>
              <w:rPr>
                <w:spacing w:val="-7"/>
                <w:sz w:val="20"/>
              </w:rPr>
              <w:t> </w:t>
            </w:r>
            <w:r>
              <w:rPr>
                <w:spacing w:val="-2"/>
                <w:sz w:val="20"/>
              </w:rPr>
              <w:t>endpoints</w:t>
            </w:r>
          </w:p>
        </w:tc>
      </w:tr>
      <w:tr>
        <w:trPr>
          <w:trHeight w:val="269" w:hRule="atLeast"/>
        </w:trPr>
        <w:tc>
          <w:tcPr>
            <w:tcW w:w="1847" w:type="dxa"/>
            <w:tcBorders>
              <w:top w:val="double" w:sz="6" w:space="0" w:color="000000"/>
              <w:bottom w:val="double" w:sz="6" w:space="0" w:color="000000"/>
            </w:tcBorders>
          </w:tcPr>
          <w:p>
            <w:pPr>
              <w:pStyle w:val="TableParagraph"/>
              <w:spacing w:line="209" w:lineRule="exact" w:before="40"/>
              <w:ind w:left="677"/>
              <w:rPr>
                <w:sz w:val="20"/>
              </w:rPr>
            </w:pPr>
            <w:r>
              <w:rPr>
                <w:spacing w:val="-2"/>
                <w:sz w:val="20"/>
              </w:rPr>
              <w:t>Variable</w:t>
            </w:r>
          </w:p>
        </w:tc>
        <w:tc>
          <w:tcPr>
            <w:tcW w:w="1375" w:type="dxa"/>
            <w:tcBorders>
              <w:top w:val="double" w:sz="6" w:space="0" w:color="000000"/>
              <w:bottom w:val="double" w:sz="6" w:space="0" w:color="000000"/>
            </w:tcBorders>
          </w:tcPr>
          <w:p>
            <w:pPr>
              <w:pStyle w:val="TableParagraph"/>
              <w:spacing w:line="209" w:lineRule="exact" w:before="40"/>
              <w:ind w:right="131"/>
              <w:jc w:val="right"/>
              <w:rPr>
                <w:sz w:val="20"/>
              </w:rPr>
            </w:pPr>
            <w:r>
              <w:rPr>
                <w:spacing w:val="-2"/>
                <w:sz w:val="20"/>
              </w:rPr>
              <w:t>Coefficient</w:t>
            </w:r>
          </w:p>
        </w:tc>
        <w:tc>
          <w:tcPr>
            <w:tcW w:w="1432" w:type="dxa"/>
            <w:tcBorders>
              <w:top w:val="double" w:sz="6" w:space="0" w:color="000000"/>
              <w:bottom w:val="double" w:sz="6" w:space="0" w:color="000000"/>
            </w:tcBorders>
          </w:tcPr>
          <w:p>
            <w:pPr>
              <w:pStyle w:val="TableParagraph"/>
              <w:spacing w:line="209" w:lineRule="exact" w:before="40"/>
              <w:ind w:left="273"/>
              <w:rPr>
                <w:sz w:val="20"/>
              </w:rPr>
            </w:pPr>
            <w:r>
              <w:rPr>
                <w:sz w:val="20"/>
              </w:rPr>
              <w:t>Std.</w:t>
            </w:r>
            <w:r>
              <w:rPr>
                <w:spacing w:val="-3"/>
                <w:sz w:val="20"/>
              </w:rPr>
              <w:t> </w:t>
            </w:r>
            <w:r>
              <w:rPr>
                <w:spacing w:val="-2"/>
                <w:sz w:val="20"/>
              </w:rPr>
              <w:t>Error</w:t>
            </w:r>
          </w:p>
        </w:tc>
        <w:tc>
          <w:tcPr>
            <w:tcW w:w="904" w:type="dxa"/>
            <w:tcBorders>
              <w:top w:val="double" w:sz="6" w:space="0" w:color="000000"/>
              <w:bottom w:val="double" w:sz="6" w:space="0" w:color="000000"/>
            </w:tcBorders>
          </w:tcPr>
          <w:p>
            <w:pPr>
              <w:pStyle w:val="TableParagraph"/>
              <w:spacing w:line="209" w:lineRule="exact" w:before="40"/>
              <w:ind w:right="22"/>
              <w:jc w:val="center"/>
              <w:rPr>
                <w:sz w:val="20"/>
              </w:rPr>
            </w:pPr>
            <w:r>
              <w:rPr>
                <w:spacing w:val="-4"/>
                <w:sz w:val="20"/>
              </w:rPr>
              <w:t>t-</w:t>
            </w:r>
            <w:r>
              <w:rPr>
                <w:spacing w:val="-2"/>
                <w:sz w:val="20"/>
              </w:rPr>
              <w:t>Statistic</w:t>
            </w:r>
          </w:p>
        </w:tc>
        <w:tc>
          <w:tcPr>
            <w:tcW w:w="929" w:type="dxa"/>
            <w:tcBorders>
              <w:top w:val="double" w:sz="6" w:space="0" w:color="000000"/>
              <w:bottom w:val="double" w:sz="6" w:space="0" w:color="000000"/>
            </w:tcBorders>
          </w:tcPr>
          <w:p>
            <w:pPr>
              <w:pStyle w:val="TableParagraph"/>
              <w:spacing w:line="209" w:lineRule="exact" w:before="40"/>
              <w:ind w:right="28"/>
              <w:jc w:val="right"/>
              <w:rPr>
                <w:sz w:val="20"/>
              </w:rPr>
            </w:pPr>
            <w:r>
              <w:rPr>
                <w:spacing w:val="-2"/>
                <w:sz w:val="20"/>
              </w:rPr>
              <w:t>Prob.</w:t>
            </w:r>
          </w:p>
        </w:tc>
      </w:tr>
      <w:tr>
        <w:trPr>
          <w:trHeight w:val="276" w:hRule="atLeast"/>
        </w:trPr>
        <w:tc>
          <w:tcPr>
            <w:tcW w:w="1847" w:type="dxa"/>
            <w:tcBorders>
              <w:top w:val="double" w:sz="6" w:space="0" w:color="000000"/>
            </w:tcBorders>
          </w:tcPr>
          <w:p>
            <w:pPr>
              <w:pStyle w:val="TableParagraph"/>
              <w:spacing w:line="214" w:lineRule="exact" w:before="42"/>
              <w:ind w:left="710"/>
              <w:rPr>
                <w:sz w:val="20"/>
              </w:rPr>
            </w:pPr>
            <w:r>
              <w:rPr>
                <w:spacing w:val="-2"/>
                <w:sz w:val="20"/>
              </w:rPr>
              <w:t>INF(-</w:t>
            </w:r>
            <w:r>
              <w:rPr>
                <w:spacing w:val="-5"/>
                <w:sz w:val="20"/>
              </w:rPr>
              <w:t>1)</w:t>
            </w:r>
          </w:p>
        </w:tc>
        <w:tc>
          <w:tcPr>
            <w:tcW w:w="1375" w:type="dxa"/>
            <w:tcBorders>
              <w:top w:val="double" w:sz="6" w:space="0" w:color="000000"/>
            </w:tcBorders>
          </w:tcPr>
          <w:p>
            <w:pPr>
              <w:pStyle w:val="TableParagraph"/>
              <w:spacing w:line="214" w:lineRule="exact" w:before="42"/>
              <w:ind w:right="128"/>
              <w:jc w:val="right"/>
              <w:rPr>
                <w:sz w:val="20"/>
              </w:rPr>
            </w:pPr>
            <w:r>
              <w:rPr>
                <w:spacing w:val="-4"/>
                <w:sz w:val="20"/>
              </w:rPr>
              <w:t>-</w:t>
            </w:r>
            <w:r>
              <w:rPr>
                <w:spacing w:val="-2"/>
                <w:sz w:val="20"/>
              </w:rPr>
              <w:t>0.717441</w:t>
            </w:r>
          </w:p>
        </w:tc>
        <w:tc>
          <w:tcPr>
            <w:tcW w:w="1432" w:type="dxa"/>
            <w:tcBorders>
              <w:top w:val="double" w:sz="6" w:space="0" w:color="000000"/>
            </w:tcBorders>
          </w:tcPr>
          <w:p>
            <w:pPr>
              <w:pStyle w:val="TableParagraph"/>
              <w:spacing w:line="214" w:lineRule="exact" w:before="42"/>
              <w:ind w:left="311"/>
              <w:rPr>
                <w:sz w:val="20"/>
              </w:rPr>
            </w:pPr>
            <w:r>
              <w:rPr>
                <w:spacing w:val="-2"/>
                <w:sz w:val="20"/>
              </w:rPr>
              <w:t>0.165209</w:t>
            </w:r>
          </w:p>
        </w:tc>
        <w:tc>
          <w:tcPr>
            <w:tcW w:w="904" w:type="dxa"/>
            <w:tcBorders>
              <w:top w:val="double" w:sz="6" w:space="0" w:color="000000"/>
            </w:tcBorders>
          </w:tcPr>
          <w:p>
            <w:pPr>
              <w:pStyle w:val="TableParagraph"/>
              <w:spacing w:line="214" w:lineRule="exact" w:before="42"/>
              <w:ind w:right="70"/>
              <w:jc w:val="center"/>
              <w:rPr>
                <w:sz w:val="20"/>
              </w:rPr>
            </w:pPr>
            <w:r>
              <w:rPr>
                <w:spacing w:val="-4"/>
                <w:sz w:val="20"/>
              </w:rPr>
              <w:t>-</w:t>
            </w:r>
            <w:r>
              <w:rPr>
                <w:spacing w:val="-2"/>
                <w:sz w:val="20"/>
              </w:rPr>
              <w:t>4.342622</w:t>
            </w:r>
          </w:p>
        </w:tc>
        <w:tc>
          <w:tcPr>
            <w:tcW w:w="929" w:type="dxa"/>
            <w:tcBorders>
              <w:top w:val="double" w:sz="6" w:space="0" w:color="000000"/>
            </w:tcBorders>
          </w:tcPr>
          <w:p>
            <w:pPr>
              <w:pStyle w:val="TableParagraph"/>
              <w:spacing w:line="214" w:lineRule="exact" w:before="42"/>
              <w:ind w:right="27"/>
              <w:jc w:val="right"/>
              <w:rPr>
                <w:sz w:val="20"/>
              </w:rPr>
            </w:pPr>
            <w:r>
              <w:rPr>
                <w:spacing w:val="-2"/>
                <w:sz w:val="20"/>
              </w:rPr>
              <w:t>0.0001</w:t>
            </w:r>
          </w:p>
        </w:tc>
      </w:tr>
      <w:tr>
        <w:trPr>
          <w:trHeight w:val="229" w:hRule="atLeast"/>
        </w:trPr>
        <w:tc>
          <w:tcPr>
            <w:tcW w:w="1847" w:type="dxa"/>
          </w:tcPr>
          <w:p>
            <w:pPr>
              <w:pStyle w:val="TableParagraph"/>
              <w:spacing w:line="209" w:lineRule="exact"/>
              <w:ind w:left="571"/>
              <w:rPr>
                <w:sz w:val="20"/>
              </w:rPr>
            </w:pPr>
            <w:r>
              <w:rPr>
                <w:spacing w:val="-2"/>
                <w:sz w:val="20"/>
              </w:rPr>
              <w:t>D(INF(-</w:t>
            </w:r>
            <w:r>
              <w:rPr>
                <w:spacing w:val="-5"/>
                <w:sz w:val="20"/>
              </w:rPr>
              <w:t>1))</w:t>
            </w:r>
          </w:p>
        </w:tc>
        <w:tc>
          <w:tcPr>
            <w:tcW w:w="1375" w:type="dxa"/>
          </w:tcPr>
          <w:p>
            <w:pPr>
              <w:pStyle w:val="TableParagraph"/>
              <w:spacing w:line="209" w:lineRule="exact"/>
              <w:ind w:right="128"/>
              <w:jc w:val="right"/>
              <w:rPr>
                <w:sz w:val="20"/>
              </w:rPr>
            </w:pPr>
            <w:r>
              <w:rPr>
                <w:spacing w:val="-2"/>
                <w:sz w:val="20"/>
              </w:rPr>
              <w:t>0.300114</w:t>
            </w:r>
          </w:p>
        </w:tc>
        <w:tc>
          <w:tcPr>
            <w:tcW w:w="1432" w:type="dxa"/>
          </w:tcPr>
          <w:p>
            <w:pPr>
              <w:pStyle w:val="TableParagraph"/>
              <w:spacing w:line="209" w:lineRule="exact"/>
              <w:ind w:left="311"/>
              <w:rPr>
                <w:sz w:val="20"/>
              </w:rPr>
            </w:pPr>
            <w:r>
              <w:rPr>
                <w:spacing w:val="-2"/>
                <w:sz w:val="20"/>
              </w:rPr>
              <w:t>0.157124</w:t>
            </w:r>
          </w:p>
        </w:tc>
        <w:tc>
          <w:tcPr>
            <w:tcW w:w="904" w:type="dxa"/>
          </w:tcPr>
          <w:p>
            <w:pPr>
              <w:pStyle w:val="TableParagraph"/>
              <w:spacing w:line="209" w:lineRule="exact"/>
              <w:ind w:right="5"/>
              <w:jc w:val="center"/>
              <w:rPr>
                <w:sz w:val="20"/>
              </w:rPr>
            </w:pPr>
            <w:r>
              <w:rPr>
                <w:spacing w:val="-2"/>
                <w:sz w:val="20"/>
              </w:rPr>
              <w:t>1.910050</w:t>
            </w:r>
          </w:p>
        </w:tc>
        <w:tc>
          <w:tcPr>
            <w:tcW w:w="929" w:type="dxa"/>
          </w:tcPr>
          <w:p>
            <w:pPr>
              <w:pStyle w:val="TableParagraph"/>
              <w:spacing w:line="209" w:lineRule="exact"/>
              <w:ind w:right="27"/>
              <w:jc w:val="right"/>
              <w:rPr>
                <w:sz w:val="20"/>
              </w:rPr>
            </w:pPr>
            <w:r>
              <w:rPr>
                <w:spacing w:val="-2"/>
                <w:sz w:val="20"/>
              </w:rPr>
              <w:t>0.0639</w:t>
            </w:r>
          </w:p>
        </w:tc>
      </w:tr>
      <w:tr>
        <w:trPr>
          <w:trHeight w:val="224" w:hRule="atLeast"/>
        </w:trPr>
        <w:tc>
          <w:tcPr>
            <w:tcW w:w="1847" w:type="dxa"/>
            <w:tcBorders>
              <w:bottom w:val="double" w:sz="6" w:space="0" w:color="000000"/>
            </w:tcBorders>
          </w:tcPr>
          <w:p>
            <w:pPr>
              <w:pStyle w:val="TableParagraph"/>
              <w:spacing w:line="205" w:lineRule="exact"/>
              <w:ind w:left="197"/>
              <w:jc w:val="center"/>
              <w:rPr>
                <w:sz w:val="20"/>
              </w:rPr>
            </w:pPr>
            <w:r>
              <w:rPr>
                <w:spacing w:val="-10"/>
                <w:sz w:val="20"/>
              </w:rPr>
              <w:t>C</w:t>
            </w:r>
          </w:p>
        </w:tc>
        <w:tc>
          <w:tcPr>
            <w:tcW w:w="1375" w:type="dxa"/>
            <w:tcBorders>
              <w:bottom w:val="double" w:sz="6" w:space="0" w:color="000000"/>
            </w:tcBorders>
          </w:tcPr>
          <w:p>
            <w:pPr>
              <w:pStyle w:val="TableParagraph"/>
              <w:spacing w:line="205" w:lineRule="exact"/>
              <w:ind w:right="128"/>
              <w:jc w:val="right"/>
              <w:rPr>
                <w:sz w:val="20"/>
              </w:rPr>
            </w:pPr>
            <w:r>
              <w:rPr>
                <w:spacing w:val="-2"/>
                <w:sz w:val="20"/>
              </w:rPr>
              <w:t>1.919745</w:t>
            </w:r>
          </w:p>
        </w:tc>
        <w:tc>
          <w:tcPr>
            <w:tcW w:w="1432" w:type="dxa"/>
            <w:tcBorders>
              <w:bottom w:val="double" w:sz="6" w:space="0" w:color="000000"/>
            </w:tcBorders>
          </w:tcPr>
          <w:p>
            <w:pPr>
              <w:pStyle w:val="TableParagraph"/>
              <w:spacing w:line="205" w:lineRule="exact"/>
              <w:ind w:left="311"/>
              <w:rPr>
                <w:sz w:val="20"/>
              </w:rPr>
            </w:pPr>
            <w:r>
              <w:rPr>
                <w:spacing w:val="-2"/>
                <w:sz w:val="20"/>
              </w:rPr>
              <w:t>0.456300</w:t>
            </w:r>
          </w:p>
        </w:tc>
        <w:tc>
          <w:tcPr>
            <w:tcW w:w="904" w:type="dxa"/>
            <w:tcBorders>
              <w:bottom w:val="double" w:sz="6" w:space="0" w:color="000000"/>
            </w:tcBorders>
          </w:tcPr>
          <w:p>
            <w:pPr>
              <w:pStyle w:val="TableParagraph"/>
              <w:spacing w:line="205" w:lineRule="exact"/>
              <w:ind w:right="5"/>
              <w:jc w:val="center"/>
              <w:rPr>
                <w:sz w:val="20"/>
              </w:rPr>
            </w:pPr>
            <w:r>
              <w:rPr>
                <w:spacing w:val="-2"/>
                <w:sz w:val="20"/>
              </w:rPr>
              <w:t>4.207203</w:t>
            </w:r>
          </w:p>
        </w:tc>
        <w:tc>
          <w:tcPr>
            <w:tcW w:w="929" w:type="dxa"/>
            <w:tcBorders>
              <w:bottom w:val="double" w:sz="6" w:space="0" w:color="000000"/>
            </w:tcBorders>
          </w:tcPr>
          <w:p>
            <w:pPr>
              <w:pStyle w:val="TableParagraph"/>
              <w:spacing w:line="205" w:lineRule="exact"/>
              <w:ind w:right="27"/>
              <w:jc w:val="right"/>
              <w:rPr>
                <w:sz w:val="20"/>
              </w:rPr>
            </w:pPr>
            <w:r>
              <w:rPr>
                <w:spacing w:val="-2"/>
                <w:sz w:val="20"/>
              </w:rPr>
              <w:t>0.0002</w:t>
            </w:r>
          </w:p>
        </w:tc>
      </w:tr>
      <w:tr>
        <w:trPr>
          <w:trHeight w:val="276" w:hRule="atLeast"/>
        </w:trPr>
        <w:tc>
          <w:tcPr>
            <w:tcW w:w="1847" w:type="dxa"/>
            <w:tcBorders>
              <w:top w:val="double" w:sz="6" w:space="0" w:color="000000"/>
            </w:tcBorders>
          </w:tcPr>
          <w:p>
            <w:pPr>
              <w:pStyle w:val="TableParagraph"/>
              <w:spacing w:line="214" w:lineRule="exact" w:before="42"/>
              <w:ind w:left="36"/>
              <w:rPr>
                <w:sz w:val="20"/>
              </w:rPr>
            </w:pPr>
            <w:r>
              <w:rPr>
                <w:spacing w:val="-2"/>
                <w:sz w:val="20"/>
              </w:rPr>
              <w:t>R-squared</w:t>
            </w:r>
          </w:p>
        </w:tc>
        <w:tc>
          <w:tcPr>
            <w:tcW w:w="1375" w:type="dxa"/>
            <w:tcBorders>
              <w:top w:val="double" w:sz="6" w:space="0" w:color="000000"/>
            </w:tcBorders>
          </w:tcPr>
          <w:p>
            <w:pPr>
              <w:pStyle w:val="TableParagraph"/>
              <w:spacing w:line="214" w:lineRule="exact" w:before="42"/>
              <w:ind w:right="128"/>
              <w:jc w:val="right"/>
              <w:rPr>
                <w:sz w:val="20"/>
              </w:rPr>
            </w:pPr>
            <w:r>
              <w:rPr>
                <w:spacing w:val="-2"/>
                <w:sz w:val="20"/>
              </w:rPr>
              <w:t>0.339884</w:t>
            </w:r>
          </w:p>
        </w:tc>
        <w:tc>
          <w:tcPr>
            <w:tcW w:w="2336" w:type="dxa"/>
            <w:gridSpan w:val="2"/>
            <w:tcBorders>
              <w:top w:val="double" w:sz="6" w:space="0" w:color="000000"/>
            </w:tcBorders>
          </w:tcPr>
          <w:p>
            <w:pPr>
              <w:pStyle w:val="TableParagraph"/>
              <w:spacing w:line="214" w:lineRule="exact" w:before="42"/>
              <w:ind w:left="131"/>
              <w:rPr>
                <w:sz w:val="20"/>
              </w:rPr>
            </w:pPr>
            <w:r>
              <w:rPr>
                <w:sz w:val="20"/>
              </w:rPr>
              <w:t>Mean</w:t>
            </w:r>
            <w:r>
              <w:rPr>
                <w:spacing w:val="-7"/>
                <w:sz w:val="20"/>
              </w:rPr>
              <w:t> </w:t>
            </w:r>
            <w:r>
              <w:rPr>
                <w:sz w:val="20"/>
              </w:rPr>
              <w:t>dependent</w:t>
            </w:r>
            <w:r>
              <w:rPr>
                <w:spacing w:val="-7"/>
                <w:sz w:val="20"/>
              </w:rPr>
              <w:t> </w:t>
            </w:r>
            <w:r>
              <w:rPr>
                <w:spacing w:val="-5"/>
                <w:sz w:val="20"/>
              </w:rPr>
              <w:t>var</w:t>
            </w:r>
          </w:p>
        </w:tc>
        <w:tc>
          <w:tcPr>
            <w:tcW w:w="929" w:type="dxa"/>
            <w:tcBorders>
              <w:top w:val="double" w:sz="6" w:space="0" w:color="000000"/>
            </w:tcBorders>
          </w:tcPr>
          <w:p>
            <w:pPr>
              <w:pStyle w:val="TableParagraph"/>
              <w:spacing w:line="214" w:lineRule="exact" w:before="42"/>
              <w:ind w:right="27"/>
              <w:jc w:val="right"/>
              <w:rPr>
                <w:sz w:val="20"/>
              </w:rPr>
            </w:pPr>
            <w:r>
              <w:rPr>
                <w:spacing w:val="-4"/>
                <w:sz w:val="20"/>
              </w:rPr>
              <w:t>-</w:t>
            </w:r>
            <w:r>
              <w:rPr>
                <w:spacing w:val="-2"/>
                <w:sz w:val="20"/>
              </w:rPr>
              <w:t>0.009826</w:t>
            </w:r>
          </w:p>
        </w:tc>
      </w:tr>
      <w:tr>
        <w:trPr>
          <w:trHeight w:val="229" w:hRule="atLeast"/>
        </w:trPr>
        <w:tc>
          <w:tcPr>
            <w:tcW w:w="1847" w:type="dxa"/>
          </w:tcPr>
          <w:p>
            <w:pPr>
              <w:pStyle w:val="TableParagraph"/>
              <w:spacing w:line="209" w:lineRule="exact"/>
              <w:ind w:left="36"/>
              <w:rPr>
                <w:sz w:val="20"/>
              </w:rPr>
            </w:pPr>
            <w:r>
              <w:rPr>
                <w:sz w:val="20"/>
              </w:rPr>
              <w:t>Adjusted</w:t>
            </w:r>
            <w:r>
              <w:rPr>
                <w:spacing w:val="-10"/>
                <w:sz w:val="20"/>
              </w:rPr>
              <w:t> </w:t>
            </w:r>
            <w:r>
              <w:rPr>
                <w:sz w:val="20"/>
              </w:rPr>
              <w:t>R-</w:t>
            </w:r>
            <w:r>
              <w:rPr>
                <w:spacing w:val="-2"/>
                <w:sz w:val="20"/>
              </w:rPr>
              <w:t>squared</w:t>
            </w:r>
          </w:p>
        </w:tc>
        <w:tc>
          <w:tcPr>
            <w:tcW w:w="1375" w:type="dxa"/>
          </w:tcPr>
          <w:p>
            <w:pPr>
              <w:pStyle w:val="TableParagraph"/>
              <w:spacing w:line="209" w:lineRule="exact"/>
              <w:ind w:right="128"/>
              <w:jc w:val="right"/>
              <w:rPr>
                <w:sz w:val="20"/>
              </w:rPr>
            </w:pPr>
            <w:r>
              <w:rPr>
                <w:spacing w:val="-2"/>
                <w:sz w:val="20"/>
              </w:rPr>
              <w:t>0.304202</w:t>
            </w:r>
          </w:p>
        </w:tc>
        <w:tc>
          <w:tcPr>
            <w:tcW w:w="2336" w:type="dxa"/>
            <w:gridSpan w:val="2"/>
          </w:tcPr>
          <w:p>
            <w:pPr>
              <w:pStyle w:val="TableParagraph"/>
              <w:spacing w:line="209" w:lineRule="exact"/>
              <w:ind w:left="131"/>
              <w:rPr>
                <w:sz w:val="20"/>
              </w:rPr>
            </w:pPr>
            <w:r>
              <w:rPr>
                <w:sz w:val="20"/>
              </w:rPr>
              <w:t>S.D.</w:t>
            </w:r>
            <w:r>
              <w:rPr>
                <w:spacing w:val="-5"/>
                <w:sz w:val="20"/>
              </w:rPr>
              <w:t> </w:t>
            </w:r>
            <w:r>
              <w:rPr>
                <w:sz w:val="20"/>
              </w:rPr>
              <w:t>dependent</w:t>
            </w:r>
            <w:r>
              <w:rPr>
                <w:spacing w:val="-6"/>
                <w:sz w:val="20"/>
              </w:rPr>
              <w:t> </w:t>
            </w:r>
            <w:r>
              <w:rPr>
                <w:spacing w:val="-5"/>
                <w:sz w:val="20"/>
              </w:rPr>
              <w:t>var</w:t>
            </w:r>
          </w:p>
        </w:tc>
        <w:tc>
          <w:tcPr>
            <w:tcW w:w="929" w:type="dxa"/>
          </w:tcPr>
          <w:p>
            <w:pPr>
              <w:pStyle w:val="TableParagraph"/>
              <w:spacing w:line="209" w:lineRule="exact"/>
              <w:ind w:right="27"/>
              <w:jc w:val="right"/>
              <w:rPr>
                <w:sz w:val="20"/>
              </w:rPr>
            </w:pPr>
            <w:r>
              <w:rPr>
                <w:spacing w:val="-2"/>
                <w:sz w:val="20"/>
              </w:rPr>
              <w:t>0.787047</w:t>
            </w:r>
          </w:p>
        </w:tc>
      </w:tr>
      <w:tr>
        <w:trPr>
          <w:trHeight w:val="230" w:hRule="atLeast"/>
        </w:trPr>
        <w:tc>
          <w:tcPr>
            <w:tcW w:w="1847" w:type="dxa"/>
          </w:tcPr>
          <w:p>
            <w:pPr>
              <w:pStyle w:val="TableParagraph"/>
              <w:spacing w:line="210" w:lineRule="exact"/>
              <w:ind w:left="36"/>
              <w:rPr>
                <w:sz w:val="20"/>
              </w:rPr>
            </w:pPr>
            <w:r>
              <w:rPr>
                <w:sz w:val="20"/>
              </w:rPr>
              <w:t>S.E.</w:t>
            </w:r>
            <w:r>
              <w:rPr>
                <w:spacing w:val="-3"/>
                <w:sz w:val="20"/>
              </w:rPr>
              <w:t> </w:t>
            </w:r>
            <w:r>
              <w:rPr>
                <w:sz w:val="20"/>
              </w:rPr>
              <w:t>of</w:t>
            </w:r>
            <w:r>
              <w:rPr>
                <w:spacing w:val="-3"/>
                <w:sz w:val="20"/>
              </w:rPr>
              <w:t> </w:t>
            </w:r>
            <w:r>
              <w:rPr>
                <w:spacing w:val="-2"/>
                <w:sz w:val="20"/>
              </w:rPr>
              <w:t>regression</w:t>
            </w:r>
          </w:p>
        </w:tc>
        <w:tc>
          <w:tcPr>
            <w:tcW w:w="1375" w:type="dxa"/>
          </w:tcPr>
          <w:p>
            <w:pPr>
              <w:pStyle w:val="TableParagraph"/>
              <w:spacing w:line="210" w:lineRule="exact"/>
              <w:ind w:right="128"/>
              <w:jc w:val="right"/>
              <w:rPr>
                <w:sz w:val="20"/>
              </w:rPr>
            </w:pPr>
            <w:r>
              <w:rPr>
                <w:spacing w:val="-2"/>
                <w:sz w:val="20"/>
              </w:rPr>
              <w:t>0.656511</w:t>
            </w:r>
          </w:p>
        </w:tc>
        <w:tc>
          <w:tcPr>
            <w:tcW w:w="2336" w:type="dxa"/>
            <w:gridSpan w:val="2"/>
          </w:tcPr>
          <w:p>
            <w:pPr>
              <w:pStyle w:val="TableParagraph"/>
              <w:spacing w:line="210" w:lineRule="exact"/>
              <w:ind w:left="131"/>
              <w:rPr>
                <w:sz w:val="20"/>
              </w:rPr>
            </w:pPr>
            <w:r>
              <w:rPr>
                <w:sz w:val="20"/>
              </w:rPr>
              <w:t>Akaike</w:t>
            </w:r>
            <w:r>
              <w:rPr>
                <w:spacing w:val="-8"/>
                <w:sz w:val="20"/>
              </w:rPr>
              <w:t> </w:t>
            </w:r>
            <w:r>
              <w:rPr>
                <w:sz w:val="20"/>
              </w:rPr>
              <w:t>info</w:t>
            </w:r>
            <w:r>
              <w:rPr>
                <w:spacing w:val="-7"/>
                <w:sz w:val="20"/>
              </w:rPr>
              <w:t> </w:t>
            </w:r>
            <w:r>
              <w:rPr>
                <w:spacing w:val="-2"/>
                <w:sz w:val="20"/>
              </w:rPr>
              <w:t>criterion</w:t>
            </w:r>
          </w:p>
        </w:tc>
        <w:tc>
          <w:tcPr>
            <w:tcW w:w="929" w:type="dxa"/>
          </w:tcPr>
          <w:p>
            <w:pPr>
              <w:pStyle w:val="TableParagraph"/>
              <w:spacing w:line="210" w:lineRule="exact"/>
              <w:ind w:right="27"/>
              <w:jc w:val="right"/>
              <w:rPr>
                <w:sz w:val="20"/>
              </w:rPr>
            </w:pPr>
            <w:r>
              <w:rPr>
                <w:spacing w:val="-2"/>
                <w:sz w:val="20"/>
              </w:rPr>
              <w:t>2.068285</w:t>
            </w:r>
          </w:p>
        </w:tc>
      </w:tr>
      <w:tr>
        <w:trPr>
          <w:trHeight w:val="230" w:hRule="atLeast"/>
        </w:trPr>
        <w:tc>
          <w:tcPr>
            <w:tcW w:w="1847" w:type="dxa"/>
          </w:tcPr>
          <w:p>
            <w:pPr>
              <w:pStyle w:val="TableParagraph"/>
              <w:spacing w:line="210" w:lineRule="exact"/>
              <w:ind w:left="36"/>
              <w:rPr>
                <w:sz w:val="20"/>
              </w:rPr>
            </w:pPr>
            <w:r>
              <w:rPr>
                <w:sz w:val="20"/>
              </w:rPr>
              <w:t>Sum</w:t>
            </w:r>
            <w:r>
              <w:rPr>
                <w:spacing w:val="-8"/>
                <w:sz w:val="20"/>
              </w:rPr>
              <w:t> </w:t>
            </w:r>
            <w:r>
              <w:rPr>
                <w:sz w:val="20"/>
              </w:rPr>
              <w:t>squared</w:t>
            </w:r>
            <w:r>
              <w:rPr>
                <w:spacing w:val="-4"/>
                <w:sz w:val="20"/>
              </w:rPr>
              <w:t> </w:t>
            </w:r>
            <w:r>
              <w:rPr>
                <w:spacing w:val="-2"/>
                <w:sz w:val="20"/>
              </w:rPr>
              <w:t>resid</w:t>
            </w:r>
          </w:p>
        </w:tc>
        <w:tc>
          <w:tcPr>
            <w:tcW w:w="1375" w:type="dxa"/>
          </w:tcPr>
          <w:p>
            <w:pPr>
              <w:pStyle w:val="TableParagraph"/>
              <w:spacing w:line="210" w:lineRule="exact"/>
              <w:ind w:right="128"/>
              <w:jc w:val="right"/>
              <w:rPr>
                <w:sz w:val="20"/>
              </w:rPr>
            </w:pPr>
            <w:r>
              <w:rPr>
                <w:spacing w:val="-2"/>
                <w:sz w:val="20"/>
              </w:rPr>
              <w:t>15.94726</w:t>
            </w:r>
          </w:p>
        </w:tc>
        <w:tc>
          <w:tcPr>
            <w:tcW w:w="2336" w:type="dxa"/>
            <w:gridSpan w:val="2"/>
          </w:tcPr>
          <w:p>
            <w:pPr>
              <w:pStyle w:val="TableParagraph"/>
              <w:spacing w:line="210" w:lineRule="exact"/>
              <w:ind w:left="131"/>
              <w:rPr>
                <w:sz w:val="20"/>
              </w:rPr>
            </w:pPr>
            <w:r>
              <w:rPr>
                <w:sz w:val="20"/>
              </w:rPr>
              <w:t>Schwarz</w:t>
            </w:r>
            <w:r>
              <w:rPr>
                <w:spacing w:val="-8"/>
                <w:sz w:val="20"/>
              </w:rPr>
              <w:t> </w:t>
            </w:r>
            <w:r>
              <w:rPr>
                <w:spacing w:val="-2"/>
                <w:sz w:val="20"/>
              </w:rPr>
              <w:t>criterion</w:t>
            </w:r>
          </w:p>
        </w:tc>
        <w:tc>
          <w:tcPr>
            <w:tcW w:w="929" w:type="dxa"/>
          </w:tcPr>
          <w:p>
            <w:pPr>
              <w:pStyle w:val="TableParagraph"/>
              <w:spacing w:line="210" w:lineRule="exact"/>
              <w:ind w:right="27"/>
              <w:jc w:val="right"/>
              <w:rPr>
                <w:sz w:val="20"/>
              </w:rPr>
            </w:pPr>
            <w:r>
              <w:rPr>
                <w:spacing w:val="-2"/>
                <w:sz w:val="20"/>
              </w:rPr>
              <w:t>2.194951</w:t>
            </w:r>
          </w:p>
        </w:tc>
      </w:tr>
      <w:tr>
        <w:trPr>
          <w:trHeight w:val="230" w:hRule="atLeast"/>
        </w:trPr>
        <w:tc>
          <w:tcPr>
            <w:tcW w:w="1847" w:type="dxa"/>
          </w:tcPr>
          <w:p>
            <w:pPr>
              <w:pStyle w:val="TableParagraph"/>
              <w:spacing w:line="210" w:lineRule="exact"/>
              <w:ind w:left="36"/>
              <w:rPr>
                <w:sz w:val="20"/>
              </w:rPr>
            </w:pPr>
            <w:r>
              <w:rPr>
                <w:sz w:val="20"/>
              </w:rPr>
              <w:t>Log</w:t>
            </w:r>
            <w:r>
              <w:rPr>
                <w:spacing w:val="-6"/>
                <w:sz w:val="20"/>
              </w:rPr>
              <w:t> </w:t>
            </w:r>
            <w:r>
              <w:rPr>
                <w:spacing w:val="-2"/>
                <w:sz w:val="20"/>
              </w:rPr>
              <w:t>likelihood</w:t>
            </w:r>
          </w:p>
        </w:tc>
        <w:tc>
          <w:tcPr>
            <w:tcW w:w="1375" w:type="dxa"/>
          </w:tcPr>
          <w:p>
            <w:pPr>
              <w:pStyle w:val="TableParagraph"/>
              <w:spacing w:line="210" w:lineRule="exact"/>
              <w:ind w:right="128"/>
              <w:jc w:val="right"/>
              <w:rPr>
                <w:sz w:val="20"/>
              </w:rPr>
            </w:pPr>
            <w:r>
              <w:rPr>
                <w:spacing w:val="-4"/>
                <w:sz w:val="20"/>
              </w:rPr>
              <w:t>-</w:t>
            </w:r>
            <w:r>
              <w:rPr>
                <w:spacing w:val="-2"/>
                <w:sz w:val="20"/>
              </w:rPr>
              <w:t>38.36570</w:t>
            </w:r>
          </w:p>
        </w:tc>
        <w:tc>
          <w:tcPr>
            <w:tcW w:w="1432" w:type="dxa"/>
          </w:tcPr>
          <w:p>
            <w:pPr>
              <w:pStyle w:val="TableParagraph"/>
              <w:spacing w:line="210" w:lineRule="exact"/>
              <w:ind w:left="131"/>
              <w:rPr>
                <w:sz w:val="20"/>
              </w:rPr>
            </w:pPr>
            <w:r>
              <w:rPr>
                <w:spacing w:val="-4"/>
                <w:sz w:val="20"/>
              </w:rPr>
              <w:t>F-</w:t>
            </w:r>
            <w:r>
              <w:rPr>
                <w:spacing w:val="-2"/>
                <w:sz w:val="20"/>
              </w:rPr>
              <w:t>statistic</w:t>
            </w:r>
          </w:p>
        </w:tc>
        <w:tc>
          <w:tcPr>
            <w:tcW w:w="904" w:type="dxa"/>
          </w:tcPr>
          <w:p>
            <w:pPr>
              <w:pStyle w:val="TableParagraph"/>
              <w:rPr>
                <w:sz w:val="16"/>
              </w:rPr>
            </w:pPr>
          </w:p>
        </w:tc>
        <w:tc>
          <w:tcPr>
            <w:tcW w:w="929" w:type="dxa"/>
          </w:tcPr>
          <w:p>
            <w:pPr>
              <w:pStyle w:val="TableParagraph"/>
              <w:spacing w:line="210" w:lineRule="exact"/>
              <w:ind w:right="27"/>
              <w:jc w:val="right"/>
              <w:rPr>
                <w:sz w:val="20"/>
              </w:rPr>
            </w:pPr>
            <w:r>
              <w:rPr>
                <w:spacing w:val="-2"/>
                <w:sz w:val="20"/>
              </w:rPr>
              <w:t>9.525368</w:t>
            </w:r>
          </w:p>
        </w:tc>
      </w:tr>
      <w:tr>
        <w:trPr>
          <w:trHeight w:val="265" w:hRule="atLeast"/>
        </w:trPr>
        <w:tc>
          <w:tcPr>
            <w:tcW w:w="1847" w:type="dxa"/>
            <w:tcBorders>
              <w:bottom w:val="double" w:sz="6" w:space="0" w:color="000000"/>
            </w:tcBorders>
          </w:tcPr>
          <w:p>
            <w:pPr>
              <w:pStyle w:val="TableParagraph"/>
              <w:spacing w:line="226" w:lineRule="exact"/>
              <w:ind w:left="36"/>
              <w:rPr>
                <w:sz w:val="20"/>
              </w:rPr>
            </w:pPr>
            <w:r>
              <w:rPr>
                <w:sz w:val="20"/>
              </w:rPr>
              <w:t>Durbin-Watson</w:t>
            </w:r>
            <w:r>
              <w:rPr>
                <w:spacing w:val="-12"/>
                <w:sz w:val="20"/>
              </w:rPr>
              <w:t> </w:t>
            </w:r>
            <w:r>
              <w:rPr>
                <w:spacing w:val="-4"/>
                <w:sz w:val="20"/>
              </w:rPr>
              <w:t>stat</w:t>
            </w:r>
          </w:p>
        </w:tc>
        <w:tc>
          <w:tcPr>
            <w:tcW w:w="1375" w:type="dxa"/>
          </w:tcPr>
          <w:p>
            <w:pPr>
              <w:pStyle w:val="TableParagraph"/>
              <w:spacing w:line="226" w:lineRule="exact"/>
              <w:ind w:right="128"/>
              <w:jc w:val="right"/>
              <w:rPr>
                <w:sz w:val="20"/>
              </w:rPr>
            </w:pPr>
            <w:r>
              <w:rPr>
                <w:spacing w:val="-2"/>
                <w:sz w:val="20"/>
              </w:rPr>
              <w:t>1.747053</w:t>
            </w:r>
          </w:p>
        </w:tc>
        <w:tc>
          <w:tcPr>
            <w:tcW w:w="1432" w:type="dxa"/>
            <w:tcBorders>
              <w:bottom w:val="double" w:sz="6" w:space="0" w:color="000000"/>
            </w:tcBorders>
          </w:tcPr>
          <w:p>
            <w:pPr>
              <w:pStyle w:val="TableParagraph"/>
              <w:spacing w:line="226" w:lineRule="exact"/>
              <w:ind w:left="131"/>
              <w:rPr>
                <w:sz w:val="20"/>
              </w:rPr>
            </w:pPr>
            <w:r>
              <w:rPr>
                <w:spacing w:val="-2"/>
                <w:sz w:val="20"/>
              </w:rPr>
              <w:t>Prob(F-statistic)</w:t>
            </w:r>
          </w:p>
        </w:tc>
        <w:tc>
          <w:tcPr>
            <w:tcW w:w="904" w:type="dxa"/>
            <w:tcBorders>
              <w:bottom w:val="double" w:sz="6" w:space="0" w:color="000000"/>
            </w:tcBorders>
          </w:tcPr>
          <w:p>
            <w:pPr>
              <w:pStyle w:val="TableParagraph"/>
              <w:rPr>
                <w:sz w:val="18"/>
              </w:rPr>
            </w:pPr>
          </w:p>
        </w:tc>
        <w:tc>
          <w:tcPr>
            <w:tcW w:w="929" w:type="dxa"/>
            <w:tcBorders>
              <w:bottom w:val="double" w:sz="6" w:space="0" w:color="000000"/>
            </w:tcBorders>
          </w:tcPr>
          <w:p>
            <w:pPr>
              <w:pStyle w:val="TableParagraph"/>
              <w:spacing w:line="226" w:lineRule="exact"/>
              <w:ind w:right="27"/>
              <w:jc w:val="right"/>
              <w:rPr>
                <w:sz w:val="20"/>
              </w:rPr>
            </w:pPr>
            <w:r>
              <w:rPr>
                <w:spacing w:val="-2"/>
                <w:sz w:val="20"/>
              </w:rPr>
              <w:t>0.000460</w:t>
            </w:r>
          </w:p>
        </w:tc>
      </w:tr>
    </w:tbl>
    <w:p>
      <w:pPr>
        <w:pStyle w:val="BodyText"/>
        <w:rPr>
          <w:sz w:val="20"/>
        </w:rPr>
      </w:pPr>
    </w:p>
    <w:p>
      <w:pPr>
        <w:pStyle w:val="BodyText"/>
        <w:spacing w:before="16"/>
        <w:rPr>
          <w:sz w:val="20"/>
        </w:rPr>
      </w:pPr>
    </w:p>
    <w:p>
      <w:pPr>
        <w:spacing w:before="0"/>
        <w:ind w:left="711" w:right="0" w:firstLine="0"/>
        <w:jc w:val="left"/>
        <w:rPr>
          <w:sz w:val="20"/>
        </w:rPr>
      </w:pPr>
      <w:r>
        <w:rPr>
          <w:sz w:val="20"/>
        </w:rPr>
        <w:t>GCF</w:t>
      </w:r>
      <w:r>
        <w:rPr>
          <w:spacing w:val="-2"/>
          <w:sz w:val="20"/>
        </w:rPr>
        <w:t> </w:t>
      </w:r>
      <w:r>
        <w:rPr>
          <w:sz w:val="20"/>
        </w:rPr>
        <w:t>@</w:t>
      </w:r>
      <w:r>
        <w:rPr>
          <w:spacing w:val="-4"/>
          <w:sz w:val="20"/>
        </w:rPr>
        <w:t> </w:t>
      </w:r>
      <w:r>
        <w:rPr>
          <w:spacing w:val="-2"/>
          <w:sz w:val="20"/>
        </w:rPr>
        <w:t>LEVEL</w:t>
      </w:r>
    </w:p>
    <w:tbl>
      <w:tblPr>
        <w:tblW w:w="0" w:type="auto"/>
        <w:jc w:val="left"/>
        <w:tblInd w:w="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47"/>
        <w:gridCol w:w="1375"/>
        <w:gridCol w:w="1432"/>
        <w:gridCol w:w="936"/>
        <w:gridCol w:w="896"/>
      </w:tblGrid>
      <w:tr>
        <w:trPr>
          <w:trHeight w:val="225" w:hRule="atLeast"/>
        </w:trPr>
        <w:tc>
          <w:tcPr>
            <w:tcW w:w="1847" w:type="dxa"/>
          </w:tcPr>
          <w:p>
            <w:pPr>
              <w:pStyle w:val="TableParagraph"/>
              <w:spacing w:line="205" w:lineRule="exact"/>
              <w:ind w:left="36"/>
              <w:rPr>
                <w:sz w:val="20"/>
              </w:rPr>
            </w:pPr>
            <w:r>
              <w:rPr>
                <w:sz w:val="20"/>
              </w:rPr>
              <w:t>ADF</w:t>
            </w:r>
            <w:r>
              <w:rPr>
                <w:spacing w:val="-4"/>
                <w:sz w:val="20"/>
              </w:rPr>
              <w:t> </w:t>
            </w:r>
            <w:r>
              <w:rPr>
                <w:sz w:val="20"/>
              </w:rPr>
              <w:t>Test</w:t>
            </w:r>
            <w:r>
              <w:rPr>
                <w:spacing w:val="-4"/>
                <w:sz w:val="20"/>
              </w:rPr>
              <w:t> </w:t>
            </w:r>
            <w:r>
              <w:rPr>
                <w:spacing w:val="-2"/>
                <w:sz w:val="20"/>
              </w:rPr>
              <w:t>Statistic</w:t>
            </w:r>
          </w:p>
        </w:tc>
        <w:tc>
          <w:tcPr>
            <w:tcW w:w="1375" w:type="dxa"/>
          </w:tcPr>
          <w:p>
            <w:pPr>
              <w:pStyle w:val="TableParagraph"/>
              <w:spacing w:line="205" w:lineRule="exact"/>
              <w:ind w:left="219"/>
              <w:rPr>
                <w:sz w:val="20"/>
              </w:rPr>
            </w:pPr>
            <w:r>
              <w:rPr>
                <w:spacing w:val="-4"/>
                <w:sz w:val="20"/>
              </w:rPr>
              <w:t>-</w:t>
            </w:r>
            <w:r>
              <w:rPr>
                <w:spacing w:val="-2"/>
                <w:sz w:val="20"/>
              </w:rPr>
              <w:t>1.946810</w:t>
            </w:r>
          </w:p>
        </w:tc>
        <w:tc>
          <w:tcPr>
            <w:tcW w:w="2368" w:type="dxa"/>
            <w:gridSpan w:val="2"/>
          </w:tcPr>
          <w:p>
            <w:pPr>
              <w:pStyle w:val="TableParagraph"/>
              <w:spacing w:line="205" w:lineRule="exact"/>
              <w:ind w:left="131"/>
              <w:rPr>
                <w:sz w:val="20"/>
              </w:rPr>
            </w:pPr>
            <w:r>
              <w:rPr>
                <w:sz w:val="20"/>
              </w:rPr>
              <w:t>1%</w:t>
            </w:r>
            <w:r>
              <w:rPr>
                <w:spacing w:val="68"/>
                <w:w w:val="150"/>
                <w:sz w:val="20"/>
              </w:rPr>
              <w:t> </w:t>
            </w:r>
            <w:r>
              <w:rPr>
                <w:sz w:val="20"/>
              </w:rPr>
              <w:t>Critical</w:t>
            </w:r>
            <w:r>
              <w:rPr>
                <w:spacing w:val="-2"/>
                <w:sz w:val="20"/>
              </w:rPr>
              <w:t> Value*</w:t>
            </w:r>
          </w:p>
        </w:tc>
        <w:tc>
          <w:tcPr>
            <w:tcW w:w="896" w:type="dxa"/>
          </w:tcPr>
          <w:p>
            <w:pPr>
              <w:pStyle w:val="TableParagraph"/>
              <w:spacing w:line="205" w:lineRule="exact"/>
              <w:ind w:right="26"/>
              <w:jc w:val="right"/>
              <w:rPr>
                <w:sz w:val="20"/>
              </w:rPr>
            </w:pPr>
            <w:r>
              <w:rPr>
                <w:spacing w:val="-4"/>
                <w:sz w:val="20"/>
              </w:rPr>
              <w:t>-</w:t>
            </w:r>
            <w:r>
              <w:rPr>
                <w:spacing w:val="-2"/>
                <w:sz w:val="20"/>
              </w:rPr>
              <w:t>3.6019</w:t>
            </w:r>
          </w:p>
        </w:tc>
      </w:tr>
      <w:tr>
        <w:trPr>
          <w:trHeight w:val="230" w:hRule="atLeast"/>
        </w:trPr>
        <w:tc>
          <w:tcPr>
            <w:tcW w:w="1847" w:type="dxa"/>
          </w:tcPr>
          <w:p>
            <w:pPr>
              <w:pStyle w:val="TableParagraph"/>
              <w:rPr>
                <w:sz w:val="16"/>
              </w:rPr>
            </w:pPr>
          </w:p>
        </w:tc>
        <w:tc>
          <w:tcPr>
            <w:tcW w:w="1375" w:type="dxa"/>
          </w:tcPr>
          <w:p>
            <w:pPr>
              <w:pStyle w:val="TableParagraph"/>
              <w:rPr>
                <w:sz w:val="16"/>
              </w:rPr>
            </w:pPr>
          </w:p>
        </w:tc>
        <w:tc>
          <w:tcPr>
            <w:tcW w:w="2368" w:type="dxa"/>
            <w:gridSpan w:val="2"/>
          </w:tcPr>
          <w:p>
            <w:pPr>
              <w:pStyle w:val="TableParagraph"/>
              <w:spacing w:line="210" w:lineRule="exact"/>
              <w:ind w:left="131"/>
              <w:rPr>
                <w:sz w:val="20"/>
              </w:rPr>
            </w:pPr>
            <w:r>
              <w:rPr>
                <w:sz w:val="20"/>
              </w:rPr>
              <w:t>5%</w:t>
            </w:r>
            <w:r>
              <w:rPr>
                <w:spacing w:val="68"/>
                <w:w w:val="150"/>
                <w:sz w:val="20"/>
              </w:rPr>
              <w:t> </w:t>
            </w:r>
            <w:r>
              <w:rPr>
                <w:sz w:val="20"/>
              </w:rPr>
              <w:t>Critical</w:t>
            </w:r>
            <w:r>
              <w:rPr>
                <w:spacing w:val="-2"/>
                <w:sz w:val="20"/>
              </w:rPr>
              <w:t> </w:t>
            </w:r>
            <w:r>
              <w:rPr>
                <w:spacing w:val="-4"/>
                <w:sz w:val="20"/>
              </w:rPr>
              <w:t>Value</w:t>
            </w:r>
          </w:p>
        </w:tc>
        <w:tc>
          <w:tcPr>
            <w:tcW w:w="896" w:type="dxa"/>
          </w:tcPr>
          <w:p>
            <w:pPr>
              <w:pStyle w:val="TableParagraph"/>
              <w:spacing w:line="210" w:lineRule="exact"/>
              <w:ind w:right="26"/>
              <w:jc w:val="right"/>
              <w:rPr>
                <w:sz w:val="20"/>
              </w:rPr>
            </w:pPr>
            <w:r>
              <w:rPr>
                <w:spacing w:val="-4"/>
                <w:sz w:val="20"/>
              </w:rPr>
              <w:t>-</w:t>
            </w:r>
            <w:r>
              <w:rPr>
                <w:spacing w:val="-2"/>
                <w:sz w:val="20"/>
              </w:rPr>
              <w:t>2.9358</w:t>
            </w:r>
          </w:p>
        </w:tc>
      </w:tr>
      <w:tr>
        <w:trPr>
          <w:trHeight w:val="224" w:hRule="atLeast"/>
        </w:trPr>
        <w:tc>
          <w:tcPr>
            <w:tcW w:w="1847" w:type="dxa"/>
            <w:tcBorders>
              <w:bottom w:val="double" w:sz="6" w:space="0" w:color="000000"/>
            </w:tcBorders>
          </w:tcPr>
          <w:p>
            <w:pPr>
              <w:pStyle w:val="TableParagraph"/>
              <w:rPr>
                <w:sz w:val="16"/>
              </w:rPr>
            </w:pPr>
          </w:p>
        </w:tc>
        <w:tc>
          <w:tcPr>
            <w:tcW w:w="1375" w:type="dxa"/>
            <w:tcBorders>
              <w:bottom w:val="double" w:sz="6" w:space="0" w:color="000000"/>
            </w:tcBorders>
          </w:tcPr>
          <w:p>
            <w:pPr>
              <w:pStyle w:val="TableParagraph"/>
              <w:rPr>
                <w:sz w:val="16"/>
              </w:rPr>
            </w:pPr>
          </w:p>
        </w:tc>
        <w:tc>
          <w:tcPr>
            <w:tcW w:w="2368" w:type="dxa"/>
            <w:gridSpan w:val="2"/>
            <w:tcBorders>
              <w:bottom w:val="double" w:sz="6" w:space="0" w:color="000000"/>
            </w:tcBorders>
          </w:tcPr>
          <w:p>
            <w:pPr>
              <w:pStyle w:val="TableParagraph"/>
              <w:spacing w:line="205" w:lineRule="exact"/>
              <w:ind w:left="131"/>
              <w:rPr>
                <w:sz w:val="20"/>
              </w:rPr>
            </w:pPr>
            <w:r>
              <w:rPr>
                <w:sz w:val="20"/>
              </w:rPr>
              <w:t>10%</w:t>
            </w:r>
            <w:r>
              <w:rPr>
                <w:spacing w:val="-6"/>
                <w:sz w:val="20"/>
              </w:rPr>
              <w:t> </w:t>
            </w:r>
            <w:r>
              <w:rPr>
                <w:sz w:val="20"/>
              </w:rPr>
              <w:t>Critical</w:t>
            </w:r>
            <w:r>
              <w:rPr>
                <w:spacing w:val="-4"/>
                <w:sz w:val="20"/>
              </w:rPr>
              <w:t> </w:t>
            </w:r>
            <w:r>
              <w:rPr>
                <w:spacing w:val="-2"/>
                <w:sz w:val="20"/>
              </w:rPr>
              <w:t>Value</w:t>
            </w:r>
          </w:p>
        </w:tc>
        <w:tc>
          <w:tcPr>
            <w:tcW w:w="896" w:type="dxa"/>
            <w:tcBorders>
              <w:bottom w:val="double" w:sz="6" w:space="0" w:color="000000"/>
            </w:tcBorders>
          </w:tcPr>
          <w:p>
            <w:pPr>
              <w:pStyle w:val="TableParagraph"/>
              <w:spacing w:line="205" w:lineRule="exact"/>
              <w:ind w:right="26"/>
              <w:jc w:val="right"/>
              <w:rPr>
                <w:sz w:val="20"/>
              </w:rPr>
            </w:pPr>
            <w:r>
              <w:rPr>
                <w:spacing w:val="-4"/>
                <w:sz w:val="20"/>
              </w:rPr>
              <w:t>-</w:t>
            </w:r>
            <w:r>
              <w:rPr>
                <w:spacing w:val="-2"/>
                <w:sz w:val="20"/>
              </w:rPr>
              <w:t>2.6059</w:t>
            </w:r>
          </w:p>
        </w:tc>
      </w:tr>
      <w:tr>
        <w:trPr>
          <w:trHeight w:val="505" w:hRule="atLeast"/>
        </w:trPr>
        <w:tc>
          <w:tcPr>
            <w:tcW w:w="6486" w:type="dxa"/>
            <w:gridSpan w:val="5"/>
            <w:tcBorders>
              <w:top w:val="double" w:sz="6" w:space="0" w:color="000000"/>
            </w:tcBorders>
          </w:tcPr>
          <w:p>
            <w:pPr>
              <w:pStyle w:val="TableParagraph"/>
              <w:spacing w:before="40"/>
              <w:ind w:left="36"/>
              <w:rPr>
                <w:sz w:val="20"/>
              </w:rPr>
            </w:pPr>
            <w:r>
              <w:rPr>
                <w:sz w:val="20"/>
              </w:rPr>
              <w:t>*MacKinnon</w:t>
            </w:r>
            <w:r>
              <w:rPr>
                <w:spacing w:val="-6"/>
                <w:sz w:val="20"/>
              </w:rPr>
              <w:t> </w:t>
            </w:r>
            <w:r>
              <w:rPr>
                <w:sz w:val="20"/>
              </w:rPr>
              <w:t>critical</w:t>
            </w:r>
            <w:r>
              <w:rPr>
                <w:spacing w:val="-4"/>
                <w:sz w:val="20"/>
              </w:rPr>
              <w:t> </w:t>
            </w:r>
            <w:r>
              <w:rPr>
                <w:sz w:val="20"/>
              </w:rPr>
              <w:t>values</w:t>
            </w:r>
            <w:r>
              <w:rPr>
                <w:spacing w:val="-6"/>
                <w:sz w:val="20"/>
              </w:rPr>
              <w:t> </w:t>
            </w:r>
            <w:r>
              <w:rPr>
                <w:sz w:val="20"/>
              </w:rPr>
              <w:t>for</w:t>
            </w:r>
            <w:r>
              <w:rPr>
                <w:spacing w:val="-4"/>
                <w:sz w:val="20"/>
              </w:rPr>
              <w:t> </w:t>
            </w:r>
            <w:r>
              <w:rPr>
                <w:sz w:val="20"/>
              </w:rPr>
              <w:t>rejection</w:t>
            </w:r>
            <w:r>
              <w:rPr>
                <w:spacing w:val="-6"/>
                <w:sz w:val="20"/>
              </w:rPr>
              <w:t> </w:t>
            </w:r>
            <w:r>
              <w:rPr>
                <w:sz w:val="20"/>
              </w:rPr>
              <w:t>of</w:t>
            </w:r>
            <w:r>
              <w:rPr>
                <w:spacing w:val="-6"/>
                <w:sz w:val="20"/>
              </w:rPr>
              <w:t> </w:t>
            </w:r>
            <w:r>
              <w:rPr>
                <w:sz w:val="20"/>
              </w:rPr>
              <w:t>hypothesis</w:t>
            </w:r>
            <w:r>
              <w:rPr>
                <w:spacing w:val="-6"/>
                <w:sz w:val="20"/>
              </w:rPr>
              <w:t> </w:t>
            </w:r>
            <w:r>
              <w:rPr>
                <w:sz w:val="20"/>
              </w:rPr>
              <w:t>of</w:t>
            </w:r>
            <w:r>
              <w:rPr>
                <w:spacing w:val="-6"/>
                <w:sz w:val="20"/>
              </w:rPr>
              <w:t> </w:t>
            </w:r>
            <w:r>
              <w:rPr>
                <w:sz w:val="20"/>
              </w:rPr>
              <w:t>a</w:t>
            </w:r>
            <w:r>
              <w:rPr>
                <w:spacing w:val="-4"/>
                <w:sz w:val="20"/>
              </w:rPr>
              <w:t> </w:t>
            </w:r>
            <w:r>
              <w:rPr>
                <w:sz w:val="20"/>
              </w:rPr>
              <w:t>unit</w:t>
            </w:r>
            <w:r>
              <w:rPr>
                <w:spacing w:val="-6"/>
                <w:sz w:val="20"/>
              </w:rPr>
              <w:t> </w:t>
            </w:r>
            <w:r>
              <w:rPr>
                <w:spacing w:val="-2"/>
                <w:sz w:val="20"/>
              </w:rPr>
              <w:t>root.</w:t>
            </w:r>
          </w:p>
        </w:tc>
      </w:tr>
      <w:tr>
        <w:trPr>
          <w:trHeight w:val="460" w:hRule="atLeast"/>
        </w:trPr>
        <w:tc>
          <w:tcPr>
            <w:tcW w:w="6486" w:type="dxa"/>
            <w:gridSpan w:val="5"/>
          </w:tcPr>
          <w:p>
            <w:pPr>
              <w:pStyle w:val="TableParagraph"/>
              <w:spacing w:line="215" w:lineRule="exact" w:before="226"/>
              <w:ind w:left="36"/>
              <w:rPr>
                <w:sz w:val="20"/>
              </w:rPr>
            </w:pPr>
            <w:r>
              <w:rPr>
                <w:sz w:val="20"/>
              </w:rPr>
              <w:t>Augmented</w:t>
            </w:r>
            <w:r>
              <w:rPr>
                <w:spacing w:val="-8"/>
                <w:sz w:val="20"/>
              </w:rPr>
              <w:t> </w:t>
            </w:r>
            <w:r>
              <w:rPr>
                <w:sz w:val="20"/>
              </w:rPr>
              <w:t>Dickey-Fuller</w:t>
            </w:r>
            <w:r>
              <w:rPr>
                <w:spacing w:val="-8"/>
                <w:sz w:val="20"/>
              </w:rPr>
              <w:t> </w:t>
            </w:r>
            <w:r>
              <w:rPr>
                <w:sz w:val="20"/>
              </w:rPr>
              <w:t>Test</w:t>
            </w:r>
            <w:r>
              <w:rPr>
                <w:spacing w:val="-9"/>
                <w:sz w:val="20"/>
              </w:rPr>
              <w:t> </w:t>
            </w:r>
            <w:r>
              <w:rPr>
                <w:spacing w:val="-2"/>
                <w:sz w:val="20"/>
              </w:rPr>
              <w:t>Equation</w:t>
            </w:r>
          </w:p>
        </w:tc>
      </w:tr>
      <w:tr>
        <w:trPr>
          <w:trHeight w:val="229" w:hRule="atLeast"/>
        </w:trPr>
        <w:tc>
          <w:tcPr>
            <w:tcW w:w="6486" w:type="dxa"/>
            <w:gridSpan w:val="5"/>
          </w:tcPr>
          <w:p>
            <w:pPr>
              <w:pStyle w:val="TableParagraph"/>
              <w:spacing w:line="209" w:lineRule="exact"/>
              <w:ind w:left="36"/>
              <w:rPr>
                <w:sz w:val="20"/>
              </w:rPr>
            </w:pPr>
            <w:r>
              <w:rPr>
                <w:sz w:val="20"/>
              </w:rPr>
              <w:t>Dependent</w:t>
            </w:r>
            <w:r>
              <w:rPr>
                <w:spacing w:val="-8"/>
                <w:sz w:val="20"/>
              </w:rPr>
              <w:t> </w:t>
            </w:r>
            <w:r>
              <w:rPr>
                <w:sz w:val="20"/>
              </w:rPr>
              <w:t>Variable:</w:t>
            </w:r>
            <w:r>
              <w:rPr>
                <w:spacing w:val="-8"/>
                <w:sz w:val="20"/>
              </w:rPr>
              <w:t> </w:t>
            </w:r>
            <w:r>
              <w:rPr>
                <w:spacing w:val="-2"/>
                <w:sz w:val="20"/>
              </w:rPr>
              <w:t>D(GCF)</w:t>
            </w:r>
          </w:p>
        </w:tc>
      </w:tr>
      <w:tr>
        <w:trPr>
          <w:trHeight w:val="229" w:hRule="atLeast"/>
        </w:trPr>
        <w:tc>
          <w:tcPr>
            <w:tcW w:w="6486" w:type="dxa"/>
            <w:gridSpan w:val="5"/>
          </w:tcPr>
          <w:p>
            <w:pPr>
              <w:pStyle w:val="TableParagraph"/>
              <w:spacing w:line="209" w:lineRule="exact"/>
              <w:ind w:left="36"/>
              <w:rPr>
                <w:sz w:val="20"/>
              </w:rPr>
            </w:pPr>
            <w:r>
              <w:rPr>
                <w:sz w:val="20"/>
              </w:rPr>
              <w:t>Method:</w:t>
            </w:r>
            <w:r>
              <w:rPr>
                <w:spacing w:val="-8"/>
                <w:sz w:val="20"/>
              </w:rPr>
              <w:t> </w:t>
            </w:r>
            <w:r>
              <w:rPr>
                <w:sz w:val="20"/>
              </w:rPr>
              <w:t>Least</w:t>
            </w:r>
            <w:r>
              <w:rPr>
                <w:spacing w:val="-7"/>
                <w:sz w:val="20"/>
              </w:rPr>
              <w:t> </w:t>
            </w:r>
            <w:r>
              <w:rPr>
                <w:spacing w:val="-2"/>
                <w:sz w:val="20"/>
              </w:rPr>
              <w:t>Squares</w:t>
            </w:r>
          </w:p>
        </w:tc>
      </w:tr>
      <w:tr>
        <w:trPr>
          <w:trHeight w:val="230" w:hRule="atLeast"/>
        </w:trPr>
        <w:tc>
          <w:tcPr>
            <w:tcW w:w="6486" w:type="dxa"/>
            <w:gridSpan w:val="5"/>
          </w:tcPr>
          <w:p>
            <w:pPr>
              <w:pStyle w:val="TableParagraph"/>
              <w:spacing w:line="210" w:lineRule="exact"/>
              <w:ind w:left="36"/>
              <w:rPr>
                <w:sz w:val="20"/>
              </w:rPr>
            </w:pPr>
            <w:r>
              <w:rPr>
                <w:sz w:val="20"/>
              </w:rPr>
              <w:t>Date:</w:t>
            </w:r>
            <w:r>
              <w:rPr>
                <w:spacing w:val="-5"/>
                <w:sz w:val="20"/>
              </w:rPr>
              <w:t> </w:t>
            </w:r>
            <w:r>
              <w:rPr>
                <w:sz w:val="20"/>
              </w:rPr>
              <w:t>02/18/14</w:t>
            </w:r>
            <w:r>
              <w:rPr>
                <w:spacing w:val="63"/>
                <w:w w:val="150"/>
                <w:sz w:val="20"/>
              </w:rPr>
              <w:t> </w:t>
            </w:r>
            <w:r>
              <w:rPr>
                <w:sz w:val="20"/>
              </w:rPr>
              <w:t>Time:</w:t>
            </w:r>
            <w:r>
              <w:rPr>
                <w:spacing w:val="-3"/>
                <w:sz w:val="20"/>
              </w:rPr>
              <w:t> </w:t>
            </w:r>
            <w:r>
              <w:rPr>
                <w:spacing w:val="-2"/>
                <w:sz w:val="20"/>
              </w:rPr>
              <w:t>13:37</w:t>
            </w:r>
          </w:p>
        </w:tc>
      </w:tr>
      <w:tr>
        <w:trPr>
          <w:trHeight w:val="230" w:hRule="atLeast"/>
        </w:trPr>
        <w:tc>
          <w:tcPr>
            <w:tcW w:w="6486" w:type="dxa"/>
            <w:gridSpan w:val="5"/>
          </w:tcPr>
          <w:p>
            <w:pPr>
              <w:pStyle w:val="TableParagraph"/>
              <w:spacing w:line="210" w:lineRule="exact"/>
              <w:ind w:left="36"/>
              <w:rPr>
                <w:sz w:val="20"/>
              </w:rPr>
            </w:pPr>
            <w:r>
              <w:rPr>
                <w:sz w:val="20"/>
              </w:rPr>
              <w:t>Sample(adjusted):</w:t>
            </w:r>
            <w:r>
              <w:rPr>
                <w:spacing w:val="-9"/>
                <w:sz w:val="20"/>
              </w:rPr>
              <w:t> </w:t>
            </w:r>
            <w:r>
              <w:rPr>
                <w:sz w:val="20"/>
              </w:rPr>
              <w:t>1972</w:t>
            </w:r>
            <w:r>
              <w:rPr>
                <w:spacing w:val="-9"/>
                <w:sz w:val="20"/>
              </w:rPr>
              <w:t> </w:t>
            </w:r>
            <w:r>
              <w:rPr>
                <w:spacing w:val="-4"/>
                <w:sz w:val="20"/>
              </w:rPr>
              <w:t>2011</w:t>
            </w:r>
          </w:p>
        </w:tc>
      </w:tr>
      <w:tr>
        <w:trPr>
          <w:trHeight w:val="224" w:hRule="atLeast"/>
        </w:trPr>
        <w:tc>
          <w:tcPr>
            <w:tcW w:w="6486" w:type="dxa"/>
            <w:gridSpan w:val="5"/>
            <w:tcBorders>
              <w:bottom w:val="double" w:sz="6" w:space="0" w:color="000000"/>
            </w:tcBorders>
          </w:tcPr>
          <w:p>
            <w:pPr>
              <w:pStyle w:val="TableParagraph"/>
              <w:spacing w:line="205" w:lineRule="exact"/>
              <w:ind w:left="36"/>
              <w:rPr>
                <w:sz w:val="20"/>
              </w:rPr>
            </w:pPr>
            <w:r>
              <w:rPr>
                <w:sz w:val="20"/>
              </w:rPr>
              <w:t>Included</w:t>
            </w:r>
            <w:r>
              <w:rPr>
                <w:spacing w:val="-6"/>
                <w:sz w:val="20"/>
              </w:rPr>
              <w:t> </w:t>
            </w:r>
            <w:r>
              <w:rPr>
                <w:sz w:val="20"/>
              </w:rPr>
              <w:t>observations:</w:t>
            </w:r>
            <w:r>
              <w:rPr>
                <w:spacing w:val="-8"/>
                <w:sz w:val="20"/>
              </w:rPr>
              <w:t> </w:t>
            </w:r>
            <w:r>
              <w:rPr>
                <w:sz w:val="20"/>
              </w:rPr>
              <w:t>40</w:t>
            </w:r>
            <w:r>
              <w:rPr>
                <w:spacing w:val="-5"/>
                <w:sz w:val="20"/>
              </w:rPr>
              <w:t> </w:t>
            </w:r>
            <w:r>
              <w:rPr>
                <w:sz w:val="20"/>
              </w:rPr>
              <w:t>after</w:t>
            </w:r>
            <w:r>
              <w:rPr>
                <w:spacing w:val="-7"/>
                <w:sz w:val="20"/>
              </w:rPr>
              <w:t> </w:t>
            </w:r>
            <w:r>
              <w:rPr>
                <w:sz w:val="20"/>
              </w:rPr>
              <w:t>adjusting</w:t>
            </w:r>
            <w:r>
              <w:rPr>
                <w:spacing w:val="-7"/>
                <w:sz w:val="20"/>
              </w:rPr>
              <w:t> </w:t>
            </w:r>
            <w:r>
              <w:rPr>
                <w:spacing w:val="-2"/>
                <w:sz w:val="20"/>
              </w:rPr>
              <w:t>endpoints</w:t>
            </w:r>
          </w:p>
        </w:tc>
      </w:tr>
      <w:tr>
        <w:trPr>
          <w:trHeight w:val="269" w:hRule="atLeast"/>
        </w:trPr>
        <w:tc>
          <w:tcPr>
            <w:tcW w:w="1847" w:type="dxa"/>
            <w:tcBorders>
              <w:top w:val="double" w:sz="6" w:space="0" w:color="000000"/>
              <w:bottom w:val="double" w:sz="6" w:space="0" w:color="000000"/>
            </w:tcBorders>
          </w:tcPr>
          <w:p>
            <w:pPr>
              <w:pStyle w:val="TableParagraph"/>
              <w:spacing w:line="209" w:lineRule="exact" w:before="40"/>
              <w:ind w:left="677"/>
              <w:rPr>
                <w:sz w:val="20"/>
              </w:rPr>
            </w:pPr>
            <w:r>
              <w:rPr>
                <w:spacing w:val="-2"/>
                <w:sz w:val="20"/>
              </w:rPr>
              <w:t>Variable</w:t>
            </w:r>
          </w:p>
        </w:tc>
        <w:tc>
          <w:tcPr>
            <w:tcW w:w="1375" w:type="dxa"/>
            <w:tcBorders>
              <w:top w:val="double" w:sz="6" w:space="0" w:color="000000"/>
              <w:bottom w:val="double" w:sz="6" w:space="0" w:color="000000"/>
            </w:tcBorders>
          </w:tcPr>
          <w:p>
            <w:pPr>
              <w:pStyle w:val="TableParagraph"/>
              <w:spacing w:line="209" w:lineRule="exact" w:before="40"/>
              <w:ind w:right="131"/>
              <w:jc w:val="right"/>
              <w:rPr>
                <w:sz w:val="20"/>
              </w:rPr>
            </w:pPr>
            <w:r>
              <w:rPr>
                <w:spacing w:val="-2"/>
                <w:sz w:val="20"/>
              </w:rPr>
              <w:t>Coefficient</w:t>
            </w:r>
          </w:p>
        </w:tc>
        <w:tc>
          <w:tcPr>
            <w:tcW w:w="1432" w:type="dxa"/>
            <w:tcBorders>
              <w:top w:val="double" w:sz="6" w:space="0" w:color="000000"/>
              <w:bottom w:val="double" w:sz="6" w:space="0" w:color="000000"/>
            </w:tcBorders>
          </w:tcPr>
          <w:p>
            <w:pPr>
              <w:pStyle w:val="TableParagraph"/>
              <w:spacing w:line="209" w:lineRule="exact" w:before="40"/>
              <w:ind w:left="273"/>
              <w:rPr>
                <w:sz w:val="20"/>
              </w:rPr>
            </w:pPr>
            <w:r>
              <w:rPr>
                <w:sz w:val="20"/>
              </w:rPr>
              <w:t>Std.</w:t>
            </w:r>
            <w:r>
              <w:rPr>
                <w:spacing w:val="-4"/>
                <w:sz w:val="20"/>
              </w:rPr>
              <w:t> </w:t>
            </w:r>
            <w:r>
              <w:rPr>
                <w:spacing w:val="-2"/>
                <w:sz w:val="20"/>
              </w:rPr>
              <w:t>Error</w:t>
            </w:r>
          </w:p>
        </w:tc>
        <w:tc>
          <w:tcPr>
            <w:tcW w:w="936" w:type="dxa"/>
            <w:tcBorders>
              <w:top w:val="double" w:sz="6" w:space="0" w:color="000000"/>
              <w:bottom w:val="double" w:sz="6" w:space="0" w:color="000000"/>
            </w:tcBorders>
          </w:tcPr>
          <w:p>
            <w:pPr>
              <w:pStyle w:val="TableParagraph"/>
              <w:spacing w:line="209" w:lineRule="exact" w:before="40"/>
              <w:ind w:right="112"/>
              <w:jc w:val="right"/>
              <w:rPr>
                <w:sz w:val="20"/>
              </w:rPr>
            </w:pPr>
            <w:r>
              <w:rPr>
                <w:spacing w:val="-4"/>
                <w:sz w:val="20"/>
              </w:rPr>
              <w:t>t-</w:t>
            </w:r>
            <w:r>
              <w:rPr>
                <w:spacing w:val="-2"/>
                <w:sz w:val="20"/>
              </w:rPr>
              <w:t>Statistic</w:t>
            </w:r>
          </w:p>
        </w:tc>
        <w:tc>
          <w:tcPr>
            <w:tcW w:w="896" w:type="dxa"/>
            <w:tcBorders>
              <w:top w:val="double" w:sz="6" w:space="0" w:color="000000"/>
              <w:bottom w:val="double" w:sz="6" w:space="0" w:color="000000"/>
            </w:tcBorders>
          </w:tcPr>
          <w:p>
            <w:pPr>
              <w:pStyle w:val="TableParagraph"/>
              <w:spacing w:line="209" w:lineRule="exact" w:before="40"/>
              <w:ind w:right="27"/>
              <w:jc w:val="right"/>
              <w:rPr>
                <w:sz w:val="20"/>
              </w:rPr>
            </w:pPr>
            <w:r>
              <w:rPr>
                <w:spacing w:val="-2"/>
                <w:sz w:val="20"/>
              </w:rPr>
              <w:t>Prob.</w:t>
            </w:r>
          </w:p>
        </w:tc>
      </w:tr>
      <w:tr>
        <w:trPr>
          <w:trHeight w:val="275" w:hRule="atLeast"/>
        </w:trPr>
        <w:tc>
          <w:tcPr>
            <w:tcW w:w="1847" w:type="dxa"/>
            <w:tcBorders>
              <w:top w:val="double" w:sz="6" w:space="0" w:color="000000"/>
            </w:tcBorders>
          </w:tcPr>
          <w:p>
            <w:pPr>
              <w:pStyle w:val="TableParagraph"/>
              <w:spacing w:line="215" w:lineRule="exact" w:before="40"/>
              <w:ind w:left="677"/>
              <w:rPr>
                <w:sz w:val="20"/>
              </w:rPr>
            </w:pPr>
            <w:r>
              <w:rPr>
                <w:spacing w:val="-2"/>
                <w:sz w:val="20"/>
              </w:rPr>
              <w:t>GCF(-</w:t>
            </w:r>
            <w:r>
              <w:rPr>
                <w:spacing w:val="-5"/>
                <w:sz w:val="20"/>
              </w:rPr>
              <w:t>1)</w:t>
            </w:r>
          </w:p>
        </w:tc>
        <w:tc>
          <w:tcPr>
            <w:tcW w:w="1375" w:type="dxa"/>
            <w:tcBorders>
              <w:top w:val="double" w:sz="6" w:space="0" w:color="000000"/>
            </w:tcBorders>
          </w:tcPr>
          <w:p>
            <w:pPr>
              <w:pStyle w:val="TableParagraph"/>
              <w:spacing w:line="215" w:lineRule="exact" w:before="40"/>
              <w:ind w:right="128"/>
              <w:jc w:val="right"/>
              <w:rPr>
                <w:sz w:val="20"/>
              </w:rPr>
            </w:pPr>
            <w:r>
              <w:rPr>
                <w:spacing w:val="-4"/>
                <w:sz w:val="20"/>
              </w:rPr>
              <w:t>-</w:t>
            </w:r>
            <w:r>
              <w:rPr>
                <w:spacing w:val="-2"/>
                <w:sz w:val="20"/>
              </w:rPr>
              <w:t>0.269803</w:t>
            </w:r>
          </w:p>
        </w:tc>
        <w:tc>
          <w:tcPr>
            <w:tcW w:w="1432" w:type="dxa"/>
            <w:tcBorders>
              <w:top w:val="double" w:sz="6" w:space="0" w:color="000000"/>
            </w:tcBorders>
          </w:tcPr>
          <w:p>
            <w:pPr>
              <w:pStyle w:val="TableParagraph"/>
              <w:spacing w:line="215" w:lineRule="exact" w:before="40"/>
              <w:ind w:left="311"/>
              <w:rPr>
                <w:sz w:val="20"/>
              </w:rPr>
            </w:pPr>
            <w:r>
              <w:rPr>
                <w:spacing w:val="-2"/>
                <w:sz w:val="20"/>
              </w:rPr>
              <w:t>0.138587</w:t>
            </w:r>
          </w:p>
        </w:tc>
        <w:tc>
          <w:tcPr>
            <w:tcW w:w="936" w:type="dxa"/>
            <w:tcBorders>
              <w:top w:val="double" w:sz="6" w:space="0" w:color="000000"/>
            </w:tcBorders>
          </w:tcPr>
          <w:p>
            <w:pPr>
              <w:pStyle w:val="TableParagraph"/>
              <w:spacing w:line="215" w:lineRule="exact" w:before="40"/>
              <w:ind w:right="110"/>
              <w:jc w:val="right"/>
              <w:rPr>
                <w:sz w:val="20"/>
              </w:rPr>
            </w:pPr>
            <w:r>
              <w:rPr>
                <w:spacing w:val="-4"/>
                <w:sz w:val="20"/>
              </w:rPr>
              <w:t>-</w:t>
            </w:r>
            <w:r>
              <w:rPr>
                <w:spacing w:val="-2"/>
                <w:sz w:val="20"/>
              </w:rPr>
              <w:t>1.946810</w:t>
            </w:r>
          </w:p>
        </w:tc>
        <w:tc>
          <w:tcPr>
            <w:tcW w:w="896" w:type="dxa"/>
            <w:tcBorders>
              <w:top w:val="double" w:sz="6" w:space="0" w:color="000000"/>
            </w:tcBorders>
          </w:tcPr>
          <w:p>
            <w:pPr>
              <w:pStyle w:val="TableParagraph"/>
              <w:spacing w:line="215" w:lineRule="exact" w:before="40"/>
              <w:ind w:right="26"/>
              <w:jc w:val="right"/>
              <w:rPr>
                <w:sz w:val="20"/>
              </w:rPr>
            </w:pPr>
            <w:r>
              <w:rPr>
                <w:spacing w:val="-2"/>
                <w:sz w:val="20"/>
              </w:rPr>
              <w:t>0.0592</w:t>
            </w:r>
          </w:p>
        </w:tc>
      </w:tr>
      <w:tr>
        <w:trPr>
          <w:trHeight w:val="230" w:hRule="atLeast"/>
        </w:trPr>
        <w:tc>
          <w:tcPr>
            <w:tcW w:w="1847" w:type="dxa"/>
          </w:tcPr>
          <w:p>
            <w:pPr>
              <w:pStyle w:val="TableParagraph"/>
              <w:spacing w:line="210" w:lineRule="exact"/>
              <w:ind w:left="538"/>
              <w:rPr>
                <w:sz w:val="20"/>
              </w:rPr>
            </w:pPr>
            <w:r>
              <w:rPr>
                <w:spacing w:val="-2"/>
                <w:sz w:val="20"/>
              </w:rPr>
              <w:t>D(GCF(-</w:t>
            </w:r>
            <w:r>
              <w:rPr>
                <w:spacing w:val="-5"/>
                <w:sz w:val="20"/>
              </w:rPr>
              <w:t>1))</w:t>
            </w:r>
          </w:p>
        </w:tc>
        <w:tc>
          <w:tcPr>
            <w:tcW w:w="1375" w:type="dxa"/>
          </w:tcPr>
          <w:p>
            <w:pPr>
              <w:pStyle w:val="TableParagraph"/>
              <w:spacing w:line="210" w:lineRule="exact"/>
              <w:ind w:right="128"/>
              <w:jc w:val="right"/>
              <w:rPr>
                <w:sz w:val="20"/>
              </w:rPr>
            </w:pPr>
            <w:r>
              <w:rPr>
                <w:spacing w:val="-4"/>
                <w:sz w:val="20"/>
              </w:rPr>
              <w:t>-</w:t>
            </w:r>
            <w:r>
              <w:rPr>
                <w:spacing w:val="-2"/>
                <w:sz w:val="20"/>
              </w:rPr>
              <w:t>0.232948</w:t>
            </w:r>
          </w:p>
        </w:tc>
        <w:tc>
          <w:tcPr>
            <w:tcW w:w="1432" w:type="dxa"/>
          </w:tcPr>
          <w:p>
            <w:pPr>
              <w:pStyle w:val="TableParagraph"/>
              <w:spacing w:line="210" w:lineRule="exact"/>
              <w:ind w:left="311"/>
              <w:rPr>
                <w:sz w:val="20"/>
              </w:rPr>
            </w:pPr>
            <w:r>
              <w:rPr>
                <w:spacing w:val="-2"/>
                <w:sz w:val="20"/>
              </w:rPr>
              <w:t>0.164877</w:t>
            </w:r>
          </w:p>
        </w:tc>
        <w:tc>
          <w:tcPr>
            <w:tcW w:w="936" w:type="dxa"/>
          </w:tcPr>
          <w:p>
            <w:pPr>
              <w:pStyle w:val="TableParagraph"/>
              <w:spacing w:line="210" w:lineRule="exact"/>
              <w:ind w:right="110"/>
              <w:jc w:val="right"/>
              <w:rPr>
                <w:sz w:val="20"/>
              </w:rPr>
            </w:pPr>
            <w:r>
              <w:rPr>
                <w:spacing w:val="-4"/>
                <w:sz w:val="20"/>
              </w:rPr>
              <w:t>-</w:t>
            </w:r>
            <w:r>
              <w:rPr>
                <w:spacing w:val="-2"/>
                <w:sz w:val="20"/>
              </w:rPr>
              <w:t>1.412857</w:t>
            </w:r>
          </w:p>
        </w:tc>
        <w:tc>
          <w:tcPr>
            <w:tcW w:w="896" w:type="dxa"/>
          </w:tcPr>
          <w:p>
            <w:pPr>
              <w:pStyle w:val="TableParagraph"/>
              <w:spacing w:line="210" w:lineRule="exact"/>
              <w:ind w:right="26"/>
              <w:jc w:val="right"/>
              <w:rPr>
                <w:sz w:val="20"/>
              </w:rPr>
            </w:pPr>
            <w:r>
              <w:rPr>
                <w:spacing w:val="-2"/>
                <w:sz w:val="20"/>
              </w:rPr>
              <w:t>0.1661</w:t>
            </w:r>
          </w:p>
        </w:tc>
      </w:tr>
      <w:tr>
        <w:trPr>
          <w:trHeight w:val="224" w:hRule="atLeast"/>
        </w:trPr>
        <w:tc>
          <w:tcPr>
            <w:tcW w:w="1847" w:type="dxa"/>
            <w:tcBorders>
              <w:bottom w:val="double" w:sz="6" w:space="0" w:color="000000"/>
            </w:tcBorders>
          </w:tcPr>
          <w:p>
            <w:pPr>
              <w:pStyle w:val="TableParagraph"/>
              <w:spacing w:line="205" w:lineRule="exact"/>
              <w:ind w:left="197"/>
              <w:jc w:val="center"/>
              <w:rPr>
                <w:sz w:val="20"/>
              </w:rPr>
            </w:pPr>
            <w:r>
              <w:rPr>
                <w:spacing w:val="-10"/>
                <w:sz w:val="20"/>
              </w:rPr>
              <w:t>C</w:t>
            </w:r>
          </w:p>
        </w:tc>
        <w:tc>
          <w:tcPr>
            <w:tcW w:w="1375" w:type="dxa"/>
            <w:tcBorders>
              <w:bottom w:val="double" w:sz="6" w:space="0" w:color="000000"/>
            </w:tcBorders>
          </w:tcPr>
          <w:p>
            <w:pPr>
              <w:pStyle w:val="TableParagraph"/>
              <w:spacing w:line="205" w:lineRule="exact"/>
              <w:ind w:right="128"/>
              <w:jc w:val="right"/>
              <w:rPr>
                <w:sz w:val="20"/>
              </w:rPr>
            </w:pPr>
            <w:r>
              <w:rPr>
                <w:spacing w:val="-2"/>
                <w:sz w:val="20"/>
              </w:rPr>
              <w:t>2.655797</w:t>
            </w:r>
          </w:p>
        </w:tc>
        <w:tc>
          <w:tcPr>
            <w:tcW w:w="1432" w:type="dxa"/>
            <w:tcBorders>
              <w:bottom w:val="double" w:sz="6" w:space="0" w:color="000000"/>
            </w:tcBorders>
          </w:tcPr>
          <w:p>
            <w:pPr>
              <w:pStyle w:val="TableParagraph"/>
              <w:spacing w:line="205" w:lineRule="exact"/>
              <w:ind w:left="311"/>
              <w:rPr>
                <w:sz w:val="20"/>
              </w:rPr>
            </w:pPr>
            <w:r>
              <w:rPr>
                <w:spacing w:val="-2"/>
                <w:sz w:val="20"/>
              </w:rPr>
              <w:t>1.285416</w:t>
            </w:r>
          </w:p>
        </w:tc>
        <w:tc>
          <w:tcPr>
            <w:tcW w:w="936" w:type="dxa"/>
            <w:tcBorders>
              <w:bottom w:val="double" w:sz="6" w:space="0" w:color="000000"/>
            </w:tcBorders>
          </w:tcPr>
          <w:p>
            <w:pPr>
              <w:pStyle w:val="TableParagraph"/>
              <w:spacing w:line="205" w:lineRule="exact"/>
              <w:ind w:right="110"/>
              <w:jc w:val="right"/>
              <w:rPr>
                <w:sz w:val="20"/>
              </w:rPr>
            </w:pPr>
            <w:r>
              <w:rPr>
                <w:spacing w:val="-2"/>
                <w:sz w:val="20"/>
              </w:rPr>
              <w:t>2.066099</w:t>
            </w:r>
          </w:p>
        </w:tc>
        <w:tc>
          <w:tcPr>
            <w:tcW w:w="896" w:type="dxa"/>
            <w:tcBorders>
              <w:bottom w:val="double" w:sz="6" w:space="0" w:color="000000"/>
            </w:tcBorders>
          </w:tcPr>
          <w:p>
            <w:pPr>
              <w:pStyle w:val="TableParagraph"/>
              <w:spacing w:line="205" w:lineRule="exact"/>
              <w:ind w:right="26"/>
              <w:jc w:val="right"/>
              <w:rPr>
                <w:sz w:val="20"/>
              </w:rPr>
            </w:pPr>
            <w:r>
              <w:rPr>
                <w:spacing w:val="-2"/>
                <w:sz w:val="20"/>
              </w:rPr>
              <w:t>0.0459</w:t>
            </w:r>
          </w:p>
        </w:tc>
      </w:tr>
      <w:tr>
        <w:trPr>
          <w:trHeight w:val="275" w:hRule="atLeast"/>
        </w:trPr>
        <w:tc>
          <w:tcPr>
            <w:tcW w:w="1847" w:type="dxa"/>
            <w:tcBorders>
              <w:top w:val="double" w:sz="6" w:space="0" w:color="000000"/>
            </w:tcBorders>
          </w:tcPr>
          <w:p>
            <w:pPr>
              <w:pStyle w:val="TableParagraph"/>
              <w:spacing w:line="215" w:lineRule="exact" w:before="40"/>
              <w:ind w:left="36"/>
              <w:rPr>
                <w:sz w:val="20"/>
              </w:rPr>
            </w:pPr>
            <w:r>
              <w:rPr>
                <w:spacing w:val="-2"/>
                <w:sz w:val="20"/>
              </w:rPr>
              <w:t>R-squared</w:t>
            </w:r>
          </w:p>
        </w:tc>
        <w:tc>
          <w:tcPr>
            <w:tcW w:w="1375" w:type="dxa"/>
            <w:tcBorders>
              <w:top w:val="double" w:sz="6" w:space="0" w:color="000000"/>
            </w:tcBorders>
          </w:tcPr>
          <w:p>
            <w:pPr>
              <w:pStyle w:val="TableParagraph"/>
              <w:spacing w:line="215" w:lineRule="exact" w:before="40"/>
              <w:ind w:right="128"/>
              <w:jc w:val="right"/>
              <w:rPr>
                <w:sz w:val="20"/>
              </w:rPr>
            </w:pPr>
            <w:r>
              <w:rPr>
                <w:spacing w:val="-2"/>
                <w:sz w:val="20"/>
              </w:rPr>
              <w:t>0.221706</w:t>
            </w:r>
          </w:p>
        </w:tc>
        <w:tc>
          <w:tcPr>
            <w:tcW w:w="2368" w:type="dxa"/>
            <w:gridSpan w:val="2"/>
            <w:tcBorders>
              <w:top w:val="double" w:sz="6" w:space="0" w:color="000000"/>
            </w:tcBorders>
          </w:tcPr>
          <w:p>
            <w:pPr>
              <w:pStyle w:val="TableParagraph"/>
              <w:spacing w:line="215" w:lineRule="exact" w:before="40"/>
              <w:ind w:left="131"/>
              <w:rPr>
                <w:sz w:val="20"/>
              </w:rPr>
            </w:pPr>
            <w:r>
              <w:rPr>
                <w:sz w:val="20"/>
              </w:rPr>
              <w:t>Mean</w:t>
            </w:r>
            <w:r>
              <w:rPr>
                <w:spacing w:val="-7"/>
                <w:sz w:val="20"/>
              </w:rPr>
              <w:t> </w:t>
            </w:r>
            <w:r>
              <w:rPr>
                <w:sz w:val="20"/>
              </w:rPr>
              <w:t>dependent</w:t>
            </w:r>
            <w:r>
              <w:rPr>
                <w:spacing w:val="-7"/>
                <w:sz w:val="20"/>
              </w:rPr>
              <w:t> </w:t>
            </w:r>
            <w:r>
              <w:rPr>
                <w:spacing w:val="-5"/>
                <w:sz w:val="20"/>
              </w:rPr>
              <w:t>var</w:t>
            </w:r>
          </w:p>
        </w:tc>
        <w:tc>
          <w:tcPr>
            <w:tcW w:w="896" w:type="dxa"/>
            <w:tcBorders>
              <w:top w:val="double" w:sz="6" w:space="0" w:color="000000"/>
            </w:tcBorders>
          </w:tcPr>
          <w:p>
            <w:pPr>
              <w:pStyle w:val="TableParagraph"/>
              <w:spacing w:line="215" w:lineRule="exact" w:before="40"/>
              <w:ind w:right="26"/>
              <w:jc w:val="right"/>
              <w:rPr>
                <w:sz w:val="20"/>
              </w:rPr>
            </w:pPr>
            <w:r>
              <w:rPr>
                <w:spacing w:val="-2"/>
                <w:sz w:val="20"/>
              </w:rPr>
              <w:t>0.147875</w:t>
            </w:r>
          </w:p>
        </w:tc>
      </w:tr>
      <w:tr>
        <w:trPr>
          <w:trHeight w:val="230" w:hRule="atLeast"/>
        </w:trPr>
        <w:tc>
          <w:tcPr>
            <w:tcW w:w="1847" w:type="dxa"/>
          </w:tcPr>
          <w:p>
            <w:pPr>
              <w:pStyle w:val="TableParagraph"/>
              <w:spacing w:line="211" w:lineRule="exact"/>
              <w:ind w:left="36"/>
              <w:rPr>
                <w:sz w:val="20"/>
              </w:rPr>
            </w:pPr>
            <w:r>
              <w:rPr>
                <w:sz w:val="20"/>
              </w:rPr>
              <w:t>Adjusted</w:t>
            </w:r>
            <w:r>
              <w:rPr>
                <w:spacing w:val="-10"/>
                <w:sz w:val="20"/>
              </w:rPr>
              <w:t> </w:t>
            </w:r>
            <w:r>
              <w:rPr>
                <w:sz w:val="20"/>
              </w:rPr>
              <w:t>R-</w:t>
            </w:r>
            <w:r>
              <w:rPr>
                <w:spacing w:val="-2"/>
                <w:sz w:val="20"/>
              </w:rPr>
              <w:t>squared</w:t>
            </w:r>
          </w:p>
        </w:tc>
        <w:tc>
          <w:tcPr>
            <w:tcW w:w="1375" w:type="dxa"/>
          </w:tcPr>
          <w:p>
            <w:pPr>
              <w:pStyle w:val="TableParagraph"/>
              <w:spacing w:line="211" w:lineRule="exact"/>
              <w:ind w:right="128"/>
              <w:jc w:val="right"/>
              <w:rPr>
                <w:sz w:val="20"/>
              </w:rPr>
            </w:pPr>
            <w:r>
              <w:rPr>
                <w:spacing w:val="-2"/>
                <w:sz w:val="20"/>
              </w:rPr>
              <w:t>0.179636</w:t>
            </w:r>
          </w:p>
        </w:tc>
        <w:tc>
          <w:tcPr>
            <w:tcW w:w="2368" w:type="dxa"/>
            <w:gridSpan w:val="2"/>
          </w:tcPr>
          <w:p>
            <w:pPr>
              <w:pStyle w:val="TableParagraph"/>
              <w:spacing w:line="211" w:lineRule="exact"/>
              <w:ind w:left="131"/>
              <w:rPr>
                <w:sz w:val="20"/>
              </w:rPr>
            </w:pPr>
            <w:r>
              <w:rPr>
                <w:sz w:val="20"/>
              </w:rPr>
              <w:t>S.D.</w:t>
            </w:r>
            <w:r>
              <w:rPr>
                <w:spacing w:val="-5"/>
                <w:sz w:val="20"/>
              </w:rPr>
              <w:t> </w:t>
            </w:r>
            <w:r>
              <w:rPr>
                <w:sz w:val="20"/>
              </w:rPr>
              <w:t>dependent</w:t>
            </w:r>
            <w:r>
              <w:rPr>
                <w:spacing w:val="-6"/>
                <w:sz w:val="20"/>
              </w:rPr>
              <w:t> </w:t>
            </w:r>
            <w:r>
              <w:rPr>
                <w:spacing w:val="-5"/>
                <w:sz w:val="20"/>
              </w:rPr>
              <w:t>var</w:t>
            </w:r>
          </w:p>
        </w:tc>
        <w:tc>
          <w:tcPr>
            <w:tcW w:w="896" w:type="dxa"/>
          </w:tcPr>
          <w:p>
            <w:pPr>
              <w:pStyle w:val="TableParagraph"/>
              <w:spacing w:line="211" w:lineRule="exact"/>
              <w:ind w:right="26"/>
              <w:jc w:val="right"/>
              <w:rPr>
                <w:sz w:val="20"/>
              </w:rPr>
            </w:pPr>
            <w:r>
              <w:rPr>
                <w:spacing w:val="-2"/>
                <w:sz w:val="20"/>
              </w:rPr>
              <w:t>2.036369</w:t>
            </w:r>
          </w:p>
        </w:tc>
      </w:tr>
      <w:tr>
        <w:trPr>
          <w:trHeight w:val="230" w:hRule="atLeast"/>
        </w:trPr>
        <w:tc>
          <w:tcPr>
            <w:tcW w:w="1847" w:type="dxa"/>
          </w:tcPr>
          <w:p>
            <w:pPr>
              <w:pStyle w:val="TableParagraph"/>
              <w:spacing w:line="211" w:lineRule="exact"/>
              <w:ind w:left="36"/>
              <w:rPr>
                <w:sz w:val="20"/>
              </w:rPr>
            </w:pPr>
            <w:r>
              <w:rPr>
                <w:sz w:val="20"/>
              </w:rPr>
              <w:t>S.E.</w:t>
            </w:r>
            <w:r>
              <w:rPr>
                <w:spacing w:val="-3"/>
                <w:sz w:val="20"/>
              </w:rPr>
              <w:t> </w:t>
            </w:r>
            <w:r>
              <w:rPr>
                <w:sz w:val="20"/>
              </w:rPr>
              <w:t>of</w:t>
            </w:r>
            <w:r>
              <w:rPr>
                <w:spacing w:val="-3"/>
                <w:sz w:val="20"/>
              </w:rPr>
              <w:t> </w:t>
            </w:r>
            <w:r>
              <w:rPr>
                <w:spacing w:val="-2"/>
                <w:sz w:val="20"/>
              </w:rPr>
              <w:t>regression</w:t>
            </w:r>
          </w:p>
        </w:tc>
        <w:tc>
          <w:tcPr>
            <w:tcW w:w="1375" w:type="dxa"/>
          </w:tcPr>
          <w:p>
            <w:pPr>
              <w:pStyle w:val="TableParagraph"/>
              <w:spacing w:line="211" w:lineRule="exact"/>
              <w:ind w:right="128"/>
              <w:jc w:val="right"/>
              <w:rPr>
                <w:sz w:val="20"/>
              </w:rPr>
            </w:pPr>
            <w:r>
              <w:rPr>
                <w:spacing w:val="-2"/>
                <w:sz w:val="20"/>
              </w:rPr>
              <w:t>1.844419</w:t>
            </w:r>
          </w:p>
        </w:tc>
        <w:tc>
          <w:tcPr>
            <w:tcW w:w="2368" w:type="dxa"/>
            <w:gridSpan w:val="2"/>
          </w:tcPr>
          <w:p>
            <w:pPr>
              <w:pStyle w:val="TableParagraph"/>
              <w:spacing w:line="211" w:lineRule="exact"/>
              <w:ind w:left="131"/>
              <w:rPr>
                <w:sz w:val="20"/>
              </w:rPr>
            </w:pPr>
            <w:r>
              <w:rPr>
                <w:sz w:val="20"/>
              </w:rPr>
              <w:t>Akaike</w:t>
            </w:r>
            <w:r>
              <w:rPr>
                <w:spacing w:val="-8"/>
                <w:sz w:val="20"/>
              </w:rPr>
              <w:t> </w:t>
            </w:r>
            <w:r>
              <w:rPr>
                <w:sz w:val="20"/>
              </w:rPr>
              <w:t>info</w:t>
            </w:r>
            <w:r>
              <w:rPr>
                <w:spacing w:val="-7"/>
                <w:sz w:val="20"/>
              </w:rPr>
              <w:t> </w:t>
            </w:r>
            <w:r>
              <w:rPr>
                <w:spacing w:val="-2"/>
                <w:sz w:val="20"/>
              </w:rPr>
              <w:t>criterion</w:t>
            </w:r>
          </w:p>
        </w:tc>
        <w:tc>
          <w:tcPr>
            <w:tcW w:w="896" w:type="dxa"/>
          </w:tcPr>
          <w:p>
            <w:pPr>
              <w:pStyle w:val="TableParagraph"/>
              <w:spacing w:line="211" w:lineRule="exact"/>
              <w:ind w:right="26"/>
              <w:jc w:val="right"/>
              <w:rPr>
                <w:sz w:val="20"/>
              </w:rPr>
            </w:pPr>
            <w:r>
              <w:rPr>
                <w:spacing w:val="-2"/>
                <w:sz w:val="20"/>
              </w:rPr>
              <w:t>4.134244</w:t>
            </w:r>
          </w:p>
        </w:tc>
      </w:tr>
      <w:tr>
        <w:trPr>
          <w:trHeight w:val="230" w:hRule="atLeast"/>
        </w:trPr>
        <w:tc>
          <w:tcPr>
            <w:tcW w:w="1847" w:type="dxa"/>
          </w:tcPr>
          <w:p>
            <w:pPr>
              <w:pStyle w:val="TableParagraph"/>
              <w:spacing w:line="210" w:lineRule="exact"/>
              <w:ind w:left="36"/>
              <w:rPr>
                <w:sz w:val="20"/>
              </w:rPr>
            </w:pPr>
            <w:r>
              <w:rPr>
                <w:sz w:val="20"/>
              </w:rPr>
              <w:t>Sum</w:t>
            </w:r>
            <w:r>
              <w:rPr>
                <w:spacing w:val="-8"/>
                <w:sz w:val="20"/>
              </w:rPr>
              <w:t> </w:t>
            </w:r>
            <w:r>
              <w:rPr>
                <w:sz w:val="20"/>
              </w:rPr>
              <w:t>squared</w:t>
            </w:r>
            <w:r>
              <w:rPr>
                <w:spacing w:val="-4"/>
                <w:sz w:val="20"/>
              </w:rPr>
              <w:t> </w:t>
            </w:r>
            <w:r>
              <w:rPr>
                <w:spacing w:val="-2"/>
                <w:sz w:val="20"/>
              </w:rPr>
              <w:t>resid</w:t>
            </w:r>
          </w:p>
        </w:tc>
        <w:tc>
          <w:tcPr>
            <w:tcW w:w="1375" w:type="dxa"/>
          </w:tcPr>
          <w:p>
            <w:pPr>
              <w:pStyle w:val="TableParagraph"/>
              <w:spacing w:line="210" w:lineRule="exact"/>
              <w:ind w:right="128"/>
              <w:jc w:val="right"/>
              <w:rPr>
                <w:sz w:val="20"/>
              </w:rPr>
            </w:pPr>
            <w:r>
              <w:rPr>
                <w:spacing w:val="-2"/>
                <w:sz w:val="20"/>
              </w:rPr>
              <w:t>125.8696</w:t>
            </w:r>
          </w:p>
        </w:tc>
        <w:tc>
          <w:tcPr>
            <w:tcW w:w="2368" w:type="dxa"/>
            <w:gridSpan w:val="2"/>
          </w:tcPr>
          <w:p>
            <w:pPr>
              <w:pStyle w:val="TableParagraph"/>
              <w:spacing w:line="210" w:lineRule="exact"/>
              <w:ind w:left="131"/>
              <w:rPr>
                <w:sz w:val="20"/>
              </w:rPr>
            </w:pPr>
            <w:r>
              <w:rPr>
                <w:sz w:val="20"/>
              </w:rPr>
              <w:t>Schwarz</w:t>
            </w:r>
            <w:r>
              <w:rPr>
                <w:spacing w:val="-8"/>
                <w:sz w:val="20"/>
              </w:rPr>
              <w:t> </w:t>
            </w:r>
            <w:r>
              <w:rPr>
                <w:spacing w:val="-2"/>
                <w:sz w:val="20"/>
              </w:rPr>
              <w:t>criterion</w:t>
            </w:r>
          </w:p>
        </w:tc>
        <w:tc>
          <w:tcPr>
            <w:tcW w:w="896" w:type="dxa"/>
          </w:tcPr>
          <w:p>
            <w:pPr>
              <w:pStyle w:val="TableParagraph"/>
              <w:spacing w:line="210" w:lineRule="exact"/>
              <w:ind w:right="26"/>
              <w:jc w:val="right"/>
              <w:rPr>
                <w:sz w:val="20"/>
              </w:rPr>
            </w:pPr>
            <w:r>
              <w:rPr>
                <w:spacing w:val="-2"/>
                <w:sz w:val="20"/>
              </w:rPr>
              <w:t>4.260910</w:t>
            </w:r>
          </w:p>
        </w:tc>
      </w:tr>
      <w:tr>
        <w:trPr>
          <w:trHeight w:val="229" w:hRule="atLeast"/>
        </w:trPr>
        <w:tc>
          <w:tcPr>
            <w:tcW w:w="1847" w:type="dxa"/>
          </w:tcPr>
          <w:p>
            <w:pPr>
              <w:pStyle w:val="TableParagraph"/>
              <w:spacing w:line="209" w:lineRule="exact"/>
              <w:ind w:left="36"/>
              <w:rPr>
                <w:sz w:val="20"/>
              </w:rPr>
            </w:pPr>
            <w:r>
              <w:rPr>
                <w:sz w:val="20"/>
              </w:rPr>
              <w:t>Log</w:t>
            </w:r>
            <w:r>
              <w:rPr>
                <w:spacing w:val="-6"/>
                <w:sz w:val="20"/>
              </w:rPr>
              <w:t> </w:t>
            </w:r>
            <w:r>
              <w:rPr>
                <w:spacing w:val="-2"/>
                <w:sz w:val="20"/>
              </w:rPr>
              <w:t>likelihood</w:t>
            </w:r>
          </w:p>
        </w:tc>
        <w:tc>
          <w:tcPr>
            <w:tcW w:w="1375" w:type="dxa"/>
          </w:tcPr>
          <w:p>
            <w:pPr>
              <w:pStyle w:val="TableParagraph"/>
              <w:spacing w:line="209" w:lineRule="exact"/>
              <w:ind w:right="128"/>
              <w:jc w:val="right"/>
              <w:rPr>
                <w:sz w:val="20"/>
              </w:rPr>
            </w:pPr>
            <w:r>
              <w:rPr>
                <w:spacing w:val="-4"/>
                <w:sz w:val="20"/>
              </w:rPr>
              <w:t>-</w:t>
            </w:r>
            <w:r>
              <w:rPr>
                <w:spacing w:val="-2"/>
                <w:sz w:val="20"/>
              </w:rPr>
              <w:t>79.68489</w:t>
            </w:r>
          </w:p>
        </w:tc>
        <w:tc>
          <w:tcPr>
            <w:tcW w:w="1432" w:type="dxa"/>
          </w:tcPr>
          <w:p>
            <w:pPr>
              <w:pStyle w:val="TableParagraph"/>
              <w:spacing w:line="209" w:lineRule="exact"/>
              <w:ind w:left="131"/>
              <w:rPr>
                <w:sz w:val="20"/>
              </w:rPr>
            </w:pPr>
            <w:r>
              <w:rPr>
                <w:spacing w:val="-4"/>
                <w:sz w:val="20"/>
              </w:rPr>
              <w:t>F-</w:t>
            </w:r>
            <w:r>
              <w:rPr>
                <w:spacing w:val="-2"/>
                <w:sz w:val="20"/>
              </w:rPr>
              <w:t>statistic</w:t>
            </w:r>
          </w:p>
        </w:tc>
        <w:tc>
          <w:tcPr>
            <w:tcW w:w="936" w:type="dxa"/>
          </w:tcPr>
          <w:p>
            <w:pPr>
              <w:pStyle w:val="TableParagraph"/>
              <w:rPr>
                <w:sz w:val="16"/>
              </w:rPr>
            </w:pPr>
          </w:p>
        </w:tc>
        <w:tc>
          <w:tcPr>
            <w:tcW w:w="896" w:type="dxa"/>
          </w:tcPr>
          <w:p>
            <w:pPr>
              <w:pStyle w:val="TableParagraph"/>
              <w:spacing w:line="209" w:lineRule="exact"/>
              <w:ind w:right="26"/>
              <w:jc w:val="right"/>
              <w:rPr>
                <w:sz w:val="20"/>
              </w:rPr>
            </w:pPr>
            <w:r>
              <w:rPr>
                <w:spacing w:val="-2"/>
                <w:sz w:val="20"/>
              </w:rPr>
              <w:t>5.269946</w:t>
            </w:r>
          </w:p>
        </w:tc>
      </w:tr>
      <w:tr>
        <w:trPr>
          <w:trHeight w:val="266" w:hRule="atLeast"/>
        </w:trPr>
        <w:tc>
          <w:tcPr>
            <w:tcW w:w="1847" w:type="dxa"/>
            <w:tcBorders>
              <w:bottom w:val="double" w:sz="6" w:space="0" w:color="000000"/>
            </w:tcBorders>
          </w:tcPr>
          <w:p>
            <w:pPr>
              <w:pStyle w:val="TableParagraph"/>
              <w:spacing w:line="224" w:lineRule="exact"/>
              <w:ind w:left="36"/>
              <w:rPr>
                <w:sz w:val="20"/>
              </w:rPr>
            </w:pPr>
            <w:r>
              <w:rPr>
                <w:sz w:val="20"/>
              </w:rPr>
              <w:t>Durbin-Watson</w:t>
            </w:r>
            <w:r>
              <w:rPr>
                <w:spacing w:val="-12"/>
                <w:sz w:val="20"/>
              </w:rPr>
              <w:t> </w:t>
            </w:r>
            <w:r>
              <w:rPr>
                <w:spacing w:val="-4"/>
                <w:sz w:val="20"/>
              </w:rPr>
              <w:t>stat</w:t>
            </w:r>
          </w:p>
        </w:tc>
        <w:tc>
          <w:tcPr>
            <w:tcW w:w="1375" w:type="dxa"/>
          </w:tcPr>
          <w:p>
            <w:pPr>
              <w:pStyle w:val="TableParagraph"/>
              <w:spacing w:line="224" w:lineRule="exact"/>
              <w:ind w:right="128"/>
              <w:jc w:val="right"/>
              <w:rPr>
                <w:sz w:val="20"/>
              </w:rPr>
            </w:pPr>
            <w:r>
              <w:rPr>
                <w:spacing w:val="-2"/>
                <w:sz w:val="20"/>
              </w:rPr>
              <w:t>2.202112</w:t>
            </w:r>
          </w:p>
        </w:tc>
        <w:tc>
          <w:tcPr>
            <w:tcW w:w="1432" w:type="dxa"/>
            <w:tcBorders>
              <w:bottom w:val="double" w:sz="6" w:space="0" w:color="000000"/>
            </w:tcBorders>
          </w:tcPr>
          <w:p>
            <w:pPr>
              <w:pStyle w:val="TableParagraph"/>
              <w:spacing w:line="224" w:lineRule="exact"/>
              <w:ind w:left="131"/>
              <w:rPr>
                <w:sz w:val="20"/>
              </w:rPr>
            </w:pPr>
            <w:r>
              <w:rPr>
                <w:spacing w:val="-2"/>
                <w:sz w:val="20"/>
              </w:rPr>
              <w:t>Prob(F-statistic)</w:t>
            </w:r>
          </w:p>
        </w:tc>
        <w:tc>
          <w:tcPr>
            <w:tcW w:w="936" w:type="dxa"/>
            <w:tcBorders>
              <w:bottom w:val="single" w:sz="6" w:space="0" w:color="000000"/>
            </w:tcBorders>
          </w:tcPr>
          <w:p>
            <w:pPr>
              <w:pStyle w:val="TableParagraph"/>
              <w:rPr>
                <w:sz w:val="18"/>
              </w:rPr>
            </w:pPr>
          </w:p>
        </w:tc>
        <w:tc>
          <w:tcPr>
            <w:tcW w:w="896" w:type="dxa"/>
            <w:tcBorders>
              <w:bottom w:val="double" w:sz="6" w:space="0" w:color="000000"/>
            </w:tcBorders>
          </w:tcPr>
          <w:p>
            <w:pPr>
              <w:pStyle w:val="TableParagraph"/>
              <w:spacing w:line="224" w:lineRule="exact"/>
              <w:ind w:right="26"/>
              <w:jc w:val="right"/>
              <w:rPr>
                <w:sz w:val="20"/>
              </w:rPr>
            </w:pPr>
            <w:r>
              <w:rPr>
                <w:spacing w:val="-2"/>
                <w:sz w:val="20"/>
              </w:rPr>
              <w:t>0.009686</w:t>
            </w:r>
          </w:p>
        </w:tc>
      </w:tr>
    </w:tbl>
    <w:p>
      <w:pPr>
        <w:spacing w:after="0" w:line="224" w:lineRule="exact"/>
        <w:jc w:val="right"/>
        <w:rPr>
          <w:sz w:val="20"/>
        </w:rPr>
        <w:sectPr>
          <w:pgSz w:w="11910" w:h="16840"/>
          <w:pgMar w:header="0" w:footer="979" w:top="1360" w:bottom="1240" w:left="280" w:right="0"/>
        </w:sectPr>
      </w:pPr>
    </w:p>
    <w:p>
      <w:pPr>
        <w:spacing w:before="82" w:after="3"/>
        <w:ind w:left="711" w:right="0" w:firstLine="0"/>
        <w:jc w:val="left"/>
        <w:rPr>
          <w:sz w:val="20"/>
        </w:rPr>
      </w:pPr>
      <w:r>
        <w:rPr>
          <w:sz w:val="20"/>
        </w:rPr>
        <w:t>GCF</w:t>
      </w:r>
      <w:r>
        <w:rPr>
          <w:spacing w:val="-2"/>
          <w:sz w:val="20"/>
        </w:rPr>
        <w:t> </w:t>
      </w:r>
      <w:r>
        <w:rPr>
          <w:sz w:val="20"/>
        </w:rPr>
        <w:t>@</w:t>
      </w:r>
      <w:r>
        <w:rPr>
          <w:spacing w:val="-5"/>
          <w:sz w:val="20"/>
        </w:rPr>
        <w:t> </w:t>
      </w:r>
      <w:r>
        <w:rPr>
          <w:sz w:val="20"/>
        </w:rPr>
        <w:t>1</w:t>
      </w:r>
      <w:r>
        <w:rPr>
          <w:sz w:val="20"/>
          <w:vertAlign w:val="superscript"/>
        </w:rPr>
        <w:t>ST</w:t>
      </w:r>
      <w:r>
        <w:rPr>
          <w:spacing w:val="-4"/>
          <w:sz w:val="20"/>
          <w:vertAlign w:val="baseline"/>
        </w:rPr>
        <w:t> DIFF</w:t>
      </w:r>
    </w:p>
    <w:tbl>
      <w:tblPr>
        <w:tblW w:w="0" w:type="auto"/>
        <w:jc w:val="left"/>
        <w:tblInd w:w="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47"/>
        <w:gridCol w:w="1375"/>
        <w:gridCol w:w="1432"/>
        <w:gridCol w:w="904"/>
        <w:gridCol w:w="929"/>
      </w:tblGrid>
      <w:tr>
        <w:trPr>
          <w:trHeight w:val="224" w:hRule="atLeast"/>
        </w:trPr>
        <w:tc>
          <w:tcPr>
            <w:tcW w:w="1847" w:type="dxa"/>
          </w:tcPr>
          <w:p>
            <w:pPr>
              <w:pStyle w:val="TableParagraph"/>
              <w:spacing w:line="204" w:lineRule="exact"/>
              <w:ind w:left="36"/>
              <w:rPr>
                <w:sz w:val="20"/>
              </w:rPr>
            </w:pPr>
            <w:r>
              <w:rPr>
                <w:sz w:val="20"/>
              </w:rPr>
              <w:t>ADF</w:t>
            </w:r>
            <w:r>
              <w:rPr>
                <w:spacing w:val="-4"/>
                <w:sz w:val="20"/>
              </w:rPr>
              <w:t> </w:t>
            </w:r>
            <w:r>
              <w:rPr>
                <w:sz w:val="20"/>
              </w:rPr>
              <w:t>Test</w:t>
            </w:r>
            <w:r>
              <w:rPr>
                <w:spacing w:val="-4"/>
                <w:sz w:val="20"/>
              </w:rPr>
              <w:t> </w:t>
            </w:r>
            <w:r>
              <w:rPr>
                <w:spacing w:val="-2"/>
                <w:sz w:val="20"/>
              </w:rPr>
              <w:t>Statistic</w:t>
            </w:r>
          </w:p>
        </w:tc>
        <w:tc>
          <w:tcPr>
            <w:tcW w:w="1375" w:type="dxa"/>
          </w:tcPr>
          <w:p>
            <w:pPr>
              <w:pStyle w:val="TableParagraph"/>
              <w:spacing w:line="204" w:lineRule="exact"/>
              <w:ind w:left="219"/>
              <w:rPr>
                <w:sz w:val="20"/>
              </w:rPr>
            </w:pPr>
            <w:r>
              <w:rPr>
                <w:spacing w:val="-4"/>
                <w:sz w:val="20"/>
              </w:rPr>
              <w:t>-</w:t>
            </w:r>
            <w:r>
              <w:rPr>
                <w:spacing w:val="-2"/>
                <w:sz w:val="20"/>
              </w:rPr>
              <w:t>8.681226</w:t>
            </w:r>
          </w:p>
        </w:tc>
        <w:tc>
          <w:tcPr>
            <w:tcW w:w="2336" w:type="dxa"/>
            <w:gridSpan w:val="2"/>
          </w:tcPr>
          <w:p>
            <w:pPr>
              <w:pStyle w:val="TableParagraph"/>
              <w:spacing w:line="204" w:lineRule="exact"/>
              <w:ind w:left="131"/>
              <w:rPr>
                <w:sz w:val="20"/>
              </w:rPr>
            </w:pPr>
            <w:r>
              <w:rPr>
                <w:sz w:val="20"/>
              </w:rPr>
              <w:t>1%</w:t>
            </w:r>
            <w:r>
              <w:rPr>
                <w:spacing w:val="68"/>
                <w:w w:val="150"/>
                <w:sz w:val="20"/>
              </w:rPr>
              <w:t> </w:t>
            </w:r>
            <w:r>
              <w:rPr>
                <w:sz w:val="20"/>
              </w:rPr>
              <w:t>Critical</w:t>
            </w:r>
            <w:r>
              <w:rPr>
                <w:spacing w:val="-2"/>
                <w:sz w:val="20"/>
              </w:rPr>
              <w:t> Value*</w:t>
            </w:r>
          </w:p>
        </w:tc>
        <w:tc>
          <w:tcPr>
            <w:tcW w:w="929" w:type="dxa"/>
          </w:tcPr>
          <w:p>
            <w:pPr>
              <w:pStyle w:val="TableParagraph"/>
              <w:spacing w:line="204" w:lineRule="exact"/>
              <w:ind w:right="27"/>
              <w:jc w:val="right"/>
              <w:rPr>
                <w:sz w:val="20"/>
              </w:rPr>
            </w:pPr>
            <w:r>
              <w:rPr>
                <w:spacing w:val="-4"/>
                <w:sz w:val="20"/>
              </w:rPr>
              <w:t>-</w:t>
            </w:r>
            <w:r>
              <w:rPr>
                <w:spacing w:val="-2"/>
                <w:sz w:val="20"/>
              </w:rPr>
              <w:t>3.6067</w:t>
            </w:r>
          </w:p>
        </w:tc>
      </w:tr>
      <w:tr>
        <w:trPr>
          <w:trHeight w:val="229" w:hRule="atLeast"/>
        </w:trPr>
        <w:tc>
          <w:tcPr>
            <w:tcW w:w="1847" w:type="dxa"/>
          </w:tcPr>
          <w:p>
            <w:pPr>
              <w:pStyle w:val="TableParagraph"/>
              <w:rPr>
                <w:sz w:val="16"/>
              </w:rPr>
            </w:pPr>
          </w:p>
        </w:tc>
        <w:tc>
          <w:tcPr>
            <w:tcW w:w="1375" w:type="dxa"/>
          </w:tcPr>
          <w:p>
            <w:pPr>
              <w:pStyle w:val="TableParagraph"/>
              <w:rPr>
                <w:sz w:val="16"/>
              </w:rPr>
            </w:pPr>
          </w:p>
        </w:tc>
        <w:tc>
          <w:tcPr>
            <w:tcW w:w="2336" w:type="dxa"/>
            <w:gridSpan w:val="2"/>
          </w:tcPr>
          <w:p>
            <w:pPr>
              <w:pStyle w:val="TableParagraph"/>
              <w:spacing w:line="209" w:lineRule="exact"/>
              <w:ind w:left="131"/>
              <w:rPr>
                <w:sz w:val="20"/>
              </w:rPr>
            </w:pPr>
            <w:r>
              <w:rPr>
                <w:sz w:val="20"/>
              </w:rPr>
              <w:t>5%</w:t>
            </w:r>
            <w:r>
              <w:rPr>
                <w:spacing w:val="68"/>
                <w:w w:val="150"/>
                <w:sz w:val="20"/>
              </w:rPr>
              <w:t> </w:t>
            </w:r>
            <w:r>
              <w:rPr>
                <w:sz w:val="20"/>
              </w:rPr>
              <w:t>Critical</w:t>
            </w:r>
            <w:r>
              <w:rPr>
                <w:spacing w:val="-2"/>
                <w:sz w:val="20"/>
              </w:rPr>
              <w:t> </w:t>
            </w:r>
            <w:r>
              <w:rPr>
                <w:spacing w:val="-4"/>
                <w:sz w:val="20"/>
              </w:rPr>
              <w:t>Value</w:t>
            </w:r>
          </w:p>
        </w:tc>
        <w:tc>
          <w:tcPr>
            <w:tcW w:w="929" w:type="dxa"/>
          </w:tcPr>
          <w:p>
            <w:pPr>
              <w:pStyle w:val="TableParagraph"/>
              <w:spacing w:line="209" w:lineRule="exact"/>
              <w:ind w:right="27"/>
              <w:jc w:val="right"/>
              <w:rPr>
                <w:sz w:val="20"/>
              </w:rPr>
            </w:pPr>
            <w:r>
              <w:rPr>
                <w:spacing w:val="-4"/>
                <w:sz w:val="20"/>
              </w:rPr>
              <w:t>-</w:t>
            </w:r>
            <w:r>
              <w:rPr>
                <w:spacing w:val="-2"/>
                <w:sz w:val="20"/>
              </w:rPr>
              <w:t>2.9378</w:t>
            </w:r>
          </w:p>
        </w:tc>
      </w:tr>
      <w:tr>
        <w:trPr>
          <w:trHeight w:val="224" w:hRule="atLeast"/>
        </w:trPr>
        <w:tc>
          <w:tcPr>
            <w:tcW w:w="1847" w:type="dxa"/>
            <w:tcBorders>
              <w:bottom w:val="double" w:sz="6" w:space="0" w:color="000000"/>
            </w:tcBorders>
          </w:tcPr>
          <w:p>
            <w:pPr>
              <w:pStyle w:val="TableParagraph"/>
              <w:rPr>
                <w:sz w:val="16"/>
              </w:rPr>
            </w:pPr>
          </w:p>
        </w:tc>
        <w:tc>
          <w:tcPr>
            <w:tcW w:w="1375" w:type="dxa"/>
            <w:tcBorders>
              <w:bottom w:val="double" w:sz="6" w:space="0" w:color="000000"/>
            </w:tcBorders>
          </w:tcPr>
          <w:p>
            <w:pPr>
              <w:pStyle w:val="TableParagraph"/>
              <w:rPr>
                <w:sz w:val="16"/>
              </w:rPr>
            </w:pPr>
          </w:p>
        </w:tc>
        <w:tc>
          <w:tcPr>
            <w:tcW w:w="2336" w:type="dxa"/>
            <w:gridSpan w:val="2"/>
            <w:tcBorders>
              <w:bottom w:val="double" w:sz="6" w:space="0" w:color="000000"/>
            </w:tcBorders>
          </w:tcPr>
          <w:p>
            <w:pPr>
              <w:pStyle w:val="TableParagraph"/>
              <w:spacing w:line="205" w:lineRule="exact"/>
              <w:ind w:left="131"/>
              <w:rPr>
                <w:sz w:val="20"/>
              </w:rPr>
            </w:pPr>
            <w:r>
              <w:rPr>
                <w:sz w:val="20"/>
              </w:rPr>
              <w:t>10%</w:t>
            </w:r>
            <w:r>
              <w:rPr>
                <w:spacing w:val="-6"/>
                <w:sz w:val="20"/>
              </w:rPr>
              <w:t> </w:t>
            </w:r>
            <w:r>
              <w:rPr>
                <w:sz w:val="20"/>
              </w:rPr>
              <w:t>Critical</w:t>
            </w:r>
            <w:r>
              <w:rPr>
                <w:spacing w:val="-4"/>
                <w:sz w:val="20"/>
              </w:rPr>
              <w:t> </w:t>
            </w:r>
            <w:r>
              <w:rPr>
                <w:spacing w:val="-2"/>
                <w:sz w:val="20"/>
              </w:rPr>
              <w:t>Value</w:t>
            </w:r>
          </w:p>
        </w:tc>
        <w:tc>
          <w:tcPr>
            <w:tcW w:w="929" w:type="dxa"/>
            <w:tcBorders>
              <w:bottom w:val="double" w:sz="6" w:space="0" w:color="000000"/>
            </w:tcBorders>
          </w:tcPr>
          <w:p>
            <w:pPr>
              <w:pStyle w:val="TableParagraph"/>
              <w:spacing w:line="205" w:lineRule="exact"/>
              <w:ind w:right="27"/>
              <w:jc w:val="right"/>
              <w:rPr>
                <w:sz w:val="20"/>
              </w:rPr>
            </w:pPr>
            <w:r>
              <w:rPr>
                <w:spacing w:val="-4"/>
                <w:sz w:val="20"/>
              </w:rPr>
              <w:t>-</w:t>
            </w:r>
            <w:r>
              <w:rPr>
                <w:spacing w:val="-2"/>
                <w:sz w:val="20"/>
              </w:rPr>
              <w:t>2.6069</w:t>
            </w:r>
          </w:p>
        </w:tc>
      </w:tr>
      <w:tr>
        <w:trPr>
          <w:trHeight w:val="506" w:hRule="atLeast"/>
        </w:trPr>
        <w:tc>
          <w:tcPr>
            <w:tcW w:w="6487" w:type="dxa"/>
            <w:gridSpan w:val="5"/>
            <w:tcBorders>
              <w:top w:val="double" w:sz="6" w:space="0" w:color="000000"/>
            </w:tcBorders>
          </w:tcPr>
          <w:p>
            <w:pPr>
              <w:pStyle w:val="TableParagraph"/>
              <w:spacing w:before="42"/>
              <w:ind w:left="36"/>
              <w:rPr>
                <w:sz w:val="20"/>
              </w:rPr>
            </w:pPr>
            <w:r>
              <w:rPr>
                <w:sz w:val="20"/>
              </w:rPr>
              <w:t>*MacKinnon</w:t>
            </w:r>
            <w:r>
              <w:rPr>
                <w:spacing w:val="-6"/>
                <w:sz w:val="20"/>
              </w:rPr>
              <w:t> </w:t>
            </w:r>
            <w:r>
              <w:rPr>
                <w:sz w:val="20"/>
              </w:rPr>
              <w:t>critical</w:t>
            </w:r>
            <w:r>
              <w:rPr>
                <w:spacing w:val="-4"/>
                <w:sz w:val="20"/>
              </w:rPr>
              <w:t> </w:t>
            </w:r>
            <w:r>
              <w:rPr>
                <w:sz w:val="20"/>
              </w:rPr>
              <w:t>values</w:t>
            </w:r>
            <w:r>
              <w:rPr>
                <w:spacing w:val="-6"/>
                <w:sz w:val="20"/>
              </w:rPr>
              <w:t> </w:t>
            </w:r>
            <w:r>
              <w:rPr>
                <w:sz w:val="20"/>
              </w:rPr>
              <w:t>for</w:t>
            </w:r>
            <w:r>
              <w:rPr>
                <w:spacing w:val="-4"/>
                <w:sz w:val="20"/>
              </w:rPr>
              <w:t> </w:t>
            </w:r>
            <w:r>
              <w:rPr>
                <w:sz w:val="20"/>
              </w:rPr>
              <w:t>rejection</w:t>
            </w:r>
            <w:r>
              <w:rPr>
                <w:spacing w:val="-5"/>
                <w:sz w:val="20"/>
              </w:rPr>
              <w:t> </w:t>
            </w:r>
            <w:r>
              <w:rPr>
                <w:sz w:val="20"/>
              </w:rPr>
              <w:t>of</w:t>
            </w:r>
            <w:r>
              <w:rPr>
                <w:spacing w:val="-7"/>
                <w:sz w:val="20"/>
              </w:rPr>
              <w:t> </w:t>
            </w:r>
            <w:r>
              <w:rPr>
                <w:sz w:val="20"/>
              </w:rPr>
              <w:t>hypothesis</w:t>
            </w:r>
            <w:r>
              <w:rPr>
                <w:spacing w:val="-5"/>
                <w:sz w:val="20"/>
              </w:rPr>
              <w:t> </w:t>
            </w:r>
            <w:r>
              <w:rPr>
                <w:sz w:val="20"/>
              </w:rPr>
              <w:t>of</w:t>
            </w:r>
            <w:r>
              <w:rPr>
                <w:spacing w:val="-6"/>
                <w:sz w:val="20"/>
              </w:rPr>
              <w:t> </w:t>
            </w:r>
            <w:r>
              <w:rPr>
                <w:sz w:val="20"/>
              </w:rPr>
              <w:t>a</w:t>
            </w:r>
            <w:r>
              <w:rPr>
                <w:spacing w:val="-5"/>
                <w:sz w:val="20"/>
              </w:rPr>
              <w:t> </w:t>
            </w:r>
            <w:r>
              <w:rPr>
                <w:sz w:val="20"/>
              </w:rPr>
              <w:t>unit</w:t>
            </w:r>
            <w:r>
              <w:rPr>
                <w:spacing w:val="2"/>
                <w:sz w:val="20"/>
              </w:rPr>
              <w:t> </w:t>
            </w:r>
            <w:r>
              <w:rPr>
                <w:spacing w:val="-2"/>
                <w:sz w:val="20"/>
              </w:rPr>
              <w:t>root.</w:t>
            </w:r>
          </w:p>
        </w:tc>
      </w:tr>
      <w:tr>
        <w:trPr>
          <w:trHeight w:val="459" w:hRule="atLeast"/>
        </w:trPr>
        <w:tc>
          <w:tcPr>
            <w:tcW w:w="6487" w:type="dxa"/>
            <w:gridSpan w:val="5"/>
          </w:tcPr>
          <w:p>
            <w:pPr>
              <w:pStyle w:val="TableParagraph"/>
              <w:spacing w:line="215" w:lineRule="exact" w:before="225"/>
              <w:ind w:left="36"/>
              <w:rPr>
                <w:sz w:val="20"/>
              </w:rPr>
            </w:pPr>
            <w:r>
              <w:rPr>
                <w:sz w:val="20"/>
              </w:rPr>
              <w:t>Augmented</w:t>
            </w:r>
            <w:r>
              <w:rPr>
                <w:spacing w:val="-8"/>
                <w:sz w:val="20"/>
              </w:rPr>
              <w:t> </w:t>
            </w:r>
            <w:r>
              <w:rPr>
                <w:sz w:val="20"/>
              </w:rPr>
              <w:t>Dickey-Fuller</w:t>
            </w:r>
            <w:r>
              <w:rPr>
                <w:spacing w:val="-8"/>
                <w:sz w:val="20"/>
              </w:rPr>
              <w:t> </w:t>
            </w:r>
            <w:r>
              <w:rPr>
                <w:sz w:val="20"/>
              </w:rPr>
              <w:t>Test</w:t>
            </w:r>
            <w:r>
              <w:rPr>
                <w:spacing w:val="-9"/>
                <w:sz w:val="20"/>
              </w:rPr>
              <w:t> </w:t>
            </w:r>
            <w:r>
              <w:rPr>
                <w:spacing w:val="-2"/>
                <w:sz w:val="20"/>
              </w:rPr>
              <w:t>Equation</w:t>
            </w:r>
          </w:p>
        </w:tc>
      </w:tr>
      <w:tr>
        <w:trPr>
          <w:trHeight w:val="230" w:hRule="atLeast"/>
        </w:trPr>
        <w:tc>
          <w:tcPr>
            <w:tcW w:w="6487" w:type="dxa"/>
            <w:gridSpan w:val="5"/>
          </w:tcPr>
          <w:p>
            <w:pPr>
              <w:pStyle w:val="TableParagraph"/>
              <w:spacing w:line="210" w:lineRule="exact"/>
              <w:ind w:left="36"/>
              <w:rPr>
                <w:sz w:val="20"/>
              </w:rPr>
            </w:pPr>
            <w:r>
              <w:rPr>
                <w:sz w:val="20"/>
              </w:rPr>
              <w:t>Dependent</w:t>
            </w:r>
            <w:r>
              <w:rPr>
                <w:spacing w:val="-8"/>
                <w:sz w:val="20"/>
              </w:rPr>
              <w:t> </w:t>
            </w:r>
            <w:r>
              <w:rPr>
                <w:sz w:val="20"/>
              </w:rPr>
              <w:t>Variable:</w:t>
            </w:r>
            <w:r>
              <w:rPr>
                <w:spacing w:val="-8"/>
                <w:sz w:val="20"/>
              </w:rPr>
              <w:t> </w:t>
            </w:r>
            <w:r>
              <w:rPr>
                <w:spacing w:val="-2"/>
                <w:sz w:val="20"/>
              </w:rPr>
              <w:t>D(GCF,2)</w:t>
            </w:r>
          </w:p>
        </w:tc>
      </w:tr>
      <w:tr>
        <w:trPr>
          <w:trHeight w:val="229" w:hRule="atLeast"/>
        </w:trPr>
        <w:tc>
          <w:tcPr>
            <w:tcW w:w="6487" w:type="dxa"/>
            <w:gridSpan w:val="5"/>
          </w:tcPr>
          <w:p>
            <w:pPr>
              <w:pStyle w:val="TableParagraph"/>
              <w:spacing w:line="209" w:lineRule="exact"/>
              <w:ind w:left="36"/>
              <w:rPr>
                <w:sz w:val="20"/>
              </w:rPr>
            </w:pPr>
            <w:r>
              <w:rPr>
                <w:sz w:val="20"/>
              </w:rPr>
              <w:t>Method:</w:t>
            </w:r>
            <w:r>
              <w:rPr>
                <w:spacing w:val="-8"/>
                <w:sz w:val="20"/>
              </w:rPr>
              <w:t> </w:t>
            </w:r>
            <w:r>
              <w:rPr>
                <w:sz w:val="20"/>
              </w:rPr>
              <w:t>Least</w:t>
            </w:r>
            <w:r>
              <w:rPr>
                <w:spacing w:val="-7"/>
                <w:sz w:val="20"/>
              </w:rPr>
              <w:t> </w:t>
            </w:r>
            <w:r>
              <w:rPr>
                <w:spacing w:val="-2"/>
                <w:sz w:val="20"/>
              </w:rPr>
              <w:t>Squares</w:t>
            </w:r>
          </w:p>
        </w:tc>
      </w:tr>
      <w:tr>
        <w:trPr>
          <w:trHeight w:val="229" w:hRule="atLeast"/>
        </w:trPr>
        <w:tc>
          <w:tcPr>
            <w:tcW w:w="6487" w:type="dxa"/>
            <w:gridSpan w:val="5"/>
          </w:tcPr>
          <w:p>
            <w:pPr>
              <w:pStyle w:val="TableParagraph"/>
              <w:spacing w:line="209" w:lineRule="exact"/>
              <w:ind w:left="36"/>
              <w:rPr>
                <w:sz w:val="20"/>
              </w:rPr>
            </w:pPr>
            <w:r>
              <w:rPr>
                <w:sz w:val="20"/>
              </w:rPr>
              <w:t>Date:</w:t>
            </w:r>
            <w:r>
              <w:rPr>
                <w:spacing w:val="-5"/>
                <w:sz w:val="20"/>
              </w:rPr>
              <w:t> </w:t>
            </w:r>
            <w:r>
              <w:rPr>
                <w:sz w:val="20"/>
              </w:rPr>
              <w:t>02/18/14</w:t>
            </w:r>
            <w:r>
              <w:rPr>
                <w:spacing w:val="63"/>
                <w:w w:val="150"/>
                <w:sz w:val="20"/>
              </w:rPr>
              <w:t> </w:t>
            </w:r>
            <w:r>
              <w:rPr>
                <w:sz w:val="20"/>
              </w:rPr>
              <w:t>Time:</w:t>
            </w:r>
            <w:r>
              <w:rPr>
                <w:spacing w:val="-3"/>
                <w:sz w:val="20"/>
              </w:rPr>
              <w:t> </w:t>
            </w:r>
            <w:r>
              <w:rPr>
                <w:spacing w:val="-2"/>
                <w:sz w:val="20"/>
              </w:rPr>
              <w:t>13:38</w:t>
            </w:r>
          </w:p>
        </w:tc>
      </w:tr>
      <w:tr>
        <w:trPr>
          <w:trHeight w:val="230" w:hRule="atLeast"/>
        </w:trPr>
        <w:tc>
          <w:tcPr>
            <w:tcW w:w="6487" w:type="dxa"/>
            <w:gridSpan w:val="5"/>
          </w:tcPr>
          <w:p>
            <w:pPr>
              <w:pStyle w:val="TableParagraph"/>
              <w:spacing w:line="210" w:lineRule="exact"/>
              <w:ind w:left="36"/>
              <w:rPr>
                <w:sz w:val="20"/>
              </w:rPr>
            </w:pPr>
            <w:r>
              <w:rPr>
                <w:sz w:val="20"/>
              </w:rPr>
              <w:t>Sample(adjusted):</w:t>
            </w:r>
            <w:r>
              <w:rPr>
                <w:spacing w:val="-9"/>
                <w:sz w:val="20"/>
              </w:rPr>
              <w:t> </w:t>
            </w:r>
            <w:r>
              <w:rPr>
                <w:sz w:val="20"/>
              </w:rPr>
              <w:t>1973</w:t>
            </w:r>
            <w:r>
              <w:rPr>
                <w:spacing w:val="-9"/>
                <w:sz w:val="20"/>
              </w:rPr>
              <w:t> </w:t>
            </w:r>
            <w:r>
              <w:rPr>
                <w:spacing w:val="-4"/>
                <w:sz w:val="20"/>
              </w:rPr>
              <w:t>2011</w:t>
            </w:r>
          </w:p>
        </w:tc>
      </w:tr>
      <w:tr>
        <w:trPr>
          <w:trHeight w:val="224" w:hRule="atLeast"/>
        </w:trPr>
        <w:tc>
          <w:tcPr>
            <w:tcW w:w="6487" w:type="dxa"/>
            <w:gridSpan w:val="5"/>
            <w:tcBorders>
              <w:bottom w:val="double" w:sz="6" w:space="0" w:color="000000"/>
            </w:tcBorders>
          </w:tcPr>
          <w:p>
            <w:pPr>
              <w:pStyle w:val="TableParagraph"/>
              <w:spacing w:line="205" w:lineRule="exact"/>
              <w:ind w:left="36"/>
              <w:rPr>
                <w:sz w:val="20"/>
              </w:rPr>
            </w:pPr>
            <w:r>
              <w:rPr>
                <w:sz w:val="20"/>
              </w:rPr>
              <w:t>Included</w:t>
            </w:r>
            <w:r>
              <w:rPr>
                <w:spacing w:val="-6"/>
                <w:sz w:val="20"/>
              </w:rPr>
              <w:t> </w:t>
            </w:r>
            <w:r>
              <w:rPr>
                <w:sz w:val="20"/>
              </w:rPr>
              <w:t>observations:</w:t>
            </w:r>
            <w:r>
              <w:rPr>
                <w:spacing w:val="-8"/>
                <w:sz w:val="20"/>
              </w:rPr>
              <w:t> </w:t>
            </w:r>
            <w:r>
              <w:rPr>
                <w:sz w:val="20"/>
              </w:rPr>
              <w:t>39</w:t>
            </w:r>
            <w:r>
              <w:rPr>
                <w:spacing w:val="-5"/>
                <w:sz w:val="20"/>
              </w:rPr>
              <w:t> </w:t>
            </w:r>
            <w:r>
              <w:rPr>
                <w:sz w:val="20"/>
              </w:rPr>
              <w:t>after</w:t>
            </w:r>
            <w:r>
              <w:rPr>
                <w:spacing w:val="-7"/>
                <w:sz w:val="20"/>
              </w:rPr>
              <w:t> </w:t>
            </w:r>
            <w:r>
              <w:rPr>
                <w:sz w:val="20"/>
              </w:rPr>
              <w:t>adjusting</w:t>
            </w:r>
            <w:r>
              <w:rPr>
                <w:spacing w:val="-7"/>
                <w:sz w:val="20"/>
              </w:rPr>
              <w:t> </w:t>
            </w:r>
            <w:r>
              <w:rPr>
                <w:spacing w:val="-2"/>
                <w:sz w:val="20"/>
              </w:rPr>
              <w:t>endpoints</w:t>
            </w:r>
          </w:p>
        </w:tc>
      </w:tr>
      <w:tr>
        <w:trPr>
          <w:trHeight w:val="269" w:hRule="atLeast"/>
        </w:trPr>
        <w:tc>
          <w:tcPr>
            <w:tcW w:w="1847" w:type="dxa"/>
            <w:tcBorders>
              <w:top w:val="double" w:sz="6" w:space="0" w:color="000000"/>
              <w:bottom w:val="double" w:sz="6" w:space="0" w:color="000000"/>
            </w:tcBorders>
          </w:tcPr>
          <w:p>
            <w:pPr>
              <w:pStyle w:val="TableParagraph"/>
              <w:spacing w:line="209" w:lineRule="exact" w:before="40"/>
              <w:ind w:left="677"/>
              <w:rPr>
                <w:sz w:val="20"/>
              </w:rPr>
            </w:pPr>
            <w:r>
              <w:rPr>
                <w:spacing w:val="-2"/>
                <w:sz w:val="20"/>
              </w:rPr>
              <w:t>Variable</w:t>
            </w:r>
          </w:p>
        </w:tc>
        <w:tc>
          <w:tcPr>
            <w:tcW w:w="1375" w:type="dxa"/>
            <w:tcBorders>
              <w:top w:val="double" w:sz="6" w:space="0" w:color="000000"/>
              <w:bottom w:val="double" w:sz="6" w:space="0" w:color="000000"/>
            </w:tcBorders>
          </w:tcPr>
          <w:p>
            <w:pPr>
              <w:pStyle w:val="TableParagraph"/>
              <w:spacing w:line="209" w:lineRule="exact" w:before="40"/>
              <w:ind w:right="131"/>
              <w:jc w:val="right"/>
              <w:rPr>
                <w:sz w:val="20"/>
              </w:rPr>
            </w:pPr>
            <w:r>
              <w:rPr>
                <w:spacing w:val="-2"/>
                <w:sz w:val="20"/>
              </w:rPr>
              <w:t>Coefficient</w:t>
            </w:r>
          </w:p>
        </w:tc>
        <w:tc>
          <w:tcPr>
            <w:tcW w:w="1432" w:type="dxa"/>
            <w:tcBorders>
              <w:top w:val="double" w:sz="6" w:space="0" w:color="000000"/>
              <w:bottom w:val="double" w:sz="6" w:space="0" w:color="000000"/>
            </w:tcBorders>
          </w:tcPr>
          <w:p>
            <w:pPr>
              <w:pStyle w:val="TableParagraph"/>
              <w:spacing w:line="209" w:lineRule="exact" w:before="40"/>
              <w:ind w:left="273"/>
              <w:rPr>
                <w:sz w:val="20"/>
              </w:rPr>
            </w:pPr>
            <w:r>
              <w:rPr>
                <w:sz w:val="20"/>
              </w:rPr>
              <w:t>Std.</w:t>
            </w:r>
            <w:r>
              <w:rPr>
                <w:spacing w:val="-3"/>
                <w:sz w:val="20"/>
              </w:rPr>
              <w:t> </w:t>
            </w:r>
            <w:r>
              <w:rPr>
                <w:spacing w:val="-2"/>
                <w:sz w:val="20"/>
              </w:rPr>
              <w:t>Error</w:t>
            </w:r>
          </w:p>
        </w:tc>
        <w:tc>
          <w:tcPr>
            <w:tcW w:w="904" w:type="dxa"/>
            <w:tcBorders>
              <w:top w:val="double" w:sz="6" w:space="0" w:color="000000"/>
              <w:bottom w:val="double" w:sz="6" w:space="0" w:color="000000"/>
            </w:tcBorders>
          </w:tcPr>
          <w:p>
            <w:pPr>
              <w:pStyle w:val="TableParagraph"/>
              <w:spacing w:line="209" w:lineRule="exact" w:before="40"/>
              <w:ind w:right="22"/>
              <w:jc w:val="center"/>
              <w:rPr>
                <w:sz w:val="20"/>
              </w:rPr>
            </w:pPr>
            <w:r>
              <w:rPr>
                <w:spacing w:val="-4"/>
                <w:sz w:val="20"/>
              </w:rPr>
              <w:t>t-</w:t>
            </w:r>
            <w:r>
              <w:rPr>
                <w:spacing w:val="-2"/>
                <w:sz w:val="20"/>
              </w:rPr>
              <w:t>Statistic</w:t>
            </w:r>
          </w:p>
        </w:tc>
        <w:tc>
          <w:tcPr>
            <w:tcW w:w="929" w:type="dxa"/>
            <w:tcBorders>
              <w:top w:val="double" w:sz="6" w:space="0" w:color="000000"/>
              <w:bottom w:val="double" w:sz="6" w:space="0" w:color="000000"/>
            </w:tcBorders>
          </w:tcPr>
          <w:p>
            <w:pPr>
              <w:pStyle w:val="TableParagraph"/>
              <w:spacing w:line="209" w:lineRule="exact" w:before="40"/>
              <w:ind w:right="28"/>
              <w:jc w:val="right"/>
              <w:rPr>
                <w:sz w:val="20"/>
              </w:rPr>
            </w:pPr>
            <w:r>
              <w:rPr>
                <w:spacing w:val="-2"/>
                <w:sz w:val="20"/>
              </w:rPr>
              <w:t>Prob.</w:t>
            </w:r>
          </w:p>
        </w:tc>
      </w:tr>
      <w:tr>
        <w:trPr>
          <w:trHeight w:val="276" w:hRule="atLeast"/>
        </w:trPr>
        <w:tc>
          <w:tcPr>
            <w:tcW w:w="1847" w:type="dxa"/>
            <w:tcBorders>
              <w:top w:val="double" w:sz="6" w:space="0" w:color="000000"/>
            </w:tcBorders>
          </w:tcPr>
          <w:p>
            <w:pPr>
              <w:pStyle w:val="TableParagraph"/>
              <w:spacing w:line="214" w:lineRule="exact" w:before="42"/>
              <w:ind w:left="538"/>
              <w:rPr>
                <w:sz w:val="20"/>
              </w:rPr>
            </w:pPr>
            <w:r>
              <w:rPr>
                <w:spacing w:val="-2"/>
                <w:sz w:val="20"/>
              </w:rPr>
              <w:t>D(GCF(-</w:t>
            </w:r>
            <w:r>
              <w:rPr>
                <w:spacing w:val="-5"/>
                <w:sz w:val="20"/>
              </w:rPr>
              <w:t>1))</w:t>
            </w:r>
          </w:p>
        </w:tc>
        <w:tc>
          <w:tcPr>
            <w:tcW w:w="1375" w:type="dxa"/>
            <w:tcBorders>
              <w:top w:val="double" w:sz="6" w:space="0" w:color="000000"/>
            </w:tcBorders>
          </w:tcPr>
          <w:p>
            <w:pPr>
              <w:pStyle w:val="TableParagraph"/>
              <w:spacing w:line="214" w:lineRule="exact" w:before="42"/>
              <w:ind w:right="128"/>
              <w:jc w:val="right"/>
              <w:rPr>
                <w:sz w:val="20"/>
              </w:rPr>
            </w:pPr>
            <w:r>
              <w:rPr>
                <w:spacing w:val="-4"/>
                <w:sz w:val="20"/>
              </w:rPr>
              <w:t>-</w:t>
            </w:r>
            <w:r>
              <w:rPr>
                <w:spacing w:val="-2"/>
                <w:sz w:val="20"/>
              </w:rPr>
              <w:t>2.094698</w:t>
            </w:r>
          </w:p>
        </w:tc>
        <w:tc>
          <w:tcPr>
            <w:tcW w:w="1432" w:type="dxa"/>
            <w:tcBorders>
              <w:top w:val="double" w:sz="6" w:space="0" w:color="000000"/>
            </w:tcBorders>
          </w:tcPr>
          <w:p>
            <w:pPr>
              <w:pStyle w:val="TableParagraph"/>
              <w:spacing w:line="214" w:lineRule="exact" w:before="42"/>
              <w:ind w:left="311"/>
              <w:rPr>
                <w:sz w:val="20"/>
              </w:rPr>
            </w:pPr>
            <w:r>
              <w:rPr>
                <w:spacing w:val="-2"/>
                <w:sz w:val="20"/>
              </w:rPr>
              <w:t>0.241291</w:t>
            </w:r>
          </w:p>
        </w:tc>
        <w:tc>
          <w:tcPr>
            <w:tcW w:w="904" w:type="dxa"/>
            <w:tcBorders>
              <w:top w:val="double" w:sz="6" w:space="0" w:color="000000"/>
            </w:tcBorders>
          </w:tcPr>
          <w:p>
            <w:pPr>
              <w:pStyle w:val="TableParagraph"/>
              <w:spacing w:line="214" w:lineRule="exact" w:before="42"/>
              <w:ind w:right="70"/>
              <w:jc w:val="center"/>
              <w:rPr>
                <w:sz w:val="20"/>
              </w:rPr>
            </w:pPr>
            <w:r>
              <w:rPr>
                <w:spacing w:val="-4"/>
                <w:sz w:val="20"/>
              </w:rPr>
              <w:t>-</w:t>
            </w:r>
            <w:r>
              <w:rPr>
                <w:spacing w:val="-2"/>
                <w:sz w:val="20"/>
              </w:rPr>
              <w:t>8.681226</w:t>
            </w:r>
          </w:p>
        </w:tc>
        <w:tc>
          <w:tcPr>
            <w:tcW w:w="929" w:type="dxa"/>
            <w:tcBorders>
              <w:top w:val="double" w:sz="6" w:space="0" w:color="000000"/>
            </w:tcBorders>
          </w:tcPr>
          <w:p>
            <w:pPr>
              <w:pStyle w:val="TableParagraph"/>
              <w:spacing w:line="214" w:lineRule="exact" w:before="42"/>
              <w:ind w:right="27"/>
              <w:jc w:val="right"/>
              <w:rPr>
                <w:sz w:val="20"/>
              </w:rPr>
            </w:pPr>
            <w:r>
              <w:rPr>
                <w:spacing w:val="-2"/>
                <w:sz w:val="20"/>
              </w:rPr>
              <w:t>0.0000</w:t>
            </w:r>
          </w:p>
        </w:tc>
      </w:tr>
      <w:tr>
        <w:trPr>
          <w:trHeight w:val="229" w:hRule="atLeast"/>
        </w:trPr>
        <w:tc>
          <w:tcPr>
            <w:tcW w:w="1847" w:type="dxa"/>
          </w:tcPr>
          <w:p>
            <w:pPr>
              <w:pStyle w:val="TableParagraph"/>
              <w:spacing w:line="209" w:lineRule="exact"/>
              <w:ind w:left="463"/>
              <w:rPr>
                <w:sz w:val="20"/>
              </w:rPr>
            </w:pPr>
            <w:r>
              <w:rPr>
                <w:spacing w:val="-2"/>
                <w:sz w:val="20"/>
              </w:rPr>
              <w:t>D(GCF(-1),2)</w:t>
            </w:r>
          </w:p>
        </w:tc>
        <w:tc>
          <w:tcPr>
            <w:tcW w:w="1375" w:type="dxa"/>
          </w:tcPr>
          <w:p>
            <w:pPr>
              <w:pStyle w:val="TableParagraph"/>
              <w:spacing w:line="209" w:lineRule="exact"/>
              <w:ind w:right="128"/>
              <w:jc w:val="right"/>
              <w:rPr>
                <w:sz w:val="20"/>
              </w:rPr>
            </w:pPr>
            <w:r>
              <w:rPr>
                <w:spacing w:val="-2"/>
                <w:sz w:val="20"/>
              </w:rPr>
              <w:t>0.515979</w:t>
            </w:r>
          </w:p>
        </w:tc>
        <w:tc>
          <w:tcPr>
            <w:tcW w:w="1432" w:type="dxa"/>
          </w:tcPr>
          <w:p>
            <w:pPr>
              <w:pStyle w:val="TableParagraph"/>
              <w:spacing w:line="209" w:lineRule="exact"/>
              <w:ind w:left="311"/>
              <w:rPr>
                <w:sz w:val="20"/>
              </w:rPr>
            </w:pPr>
            <w:r>
              <w:rPr>
                <w:spacing w:val="-2"/>
                <w:sz w:val="20"/>
              </w:rPr>
              <w:t>0.145079</w:t>
            </w:r>
          </w:p>
        </w:tc>
        <w:tc>
          <w:tcPr>
            <w:tcW w:w="904" w:type="dxa"/>
          </w:tcPr>
          <w:p>
            <w:pPr>
              <w:pStyle w:val="TableParagraph"/>
              <w:spacing w:line="209" w:lineRule="exact"/>
              <w:ind w:right="5"/>
              <w:jc w:val="center"/>
              <w:rPr>
                <w:sz w:val="20"/>
              </w:rPr>
            </w:pPr>
            <w:r>
              <w:rPr>
                <w:spacing w:val="-2"/>
                <w:sz w:val="20"/>
              </w:rPr>
              <w:t>3.556549</w:t>
            </w:r>
          </w:p>
        </w:tc>
        <w:tc>
          <w:tcPr>
            <w:tcW w:w="929" w:type="dxa"/>
          </w:tcPr>
          <w:p>
            <w:pPr>
              <w:pStyle w:val="TableParagraph"/>
              <w:spacing w:line="209" w:lineRule="exact"/>
              <w:ind w:right="27"/>
              <w:jc w:val="right"/>
              <w:rPr>
                <w:sz w:val="20"/>
              </w:rPr>
            </w:pPr>
            <w:r>
              <w:rPr>
                <w:spacing w:val="-2"/>
                <w:sz w:val="20"/>
              </w:rPr>
              <w:t>0.0011</w:t>
            </w:r>
          </w:p>
        </w:tc>
      </w:tr>
      <w:tr>
        <w:trPr>
          <w:trHeight w:val="224" w:hRule="atLeast"/>
        </w:trPr>
        <w:tc>
          <w:tcPr>
            <w:tcW w:w="1847" w:type="dxa"/>
            <w:tcBorders>
              <w:bottom w:val="double" w:sz="6" w:space="0" w:color="000000"/>
            </w:tcBorders>
          </w:tcPr>
          <w:p>
            <w:pPr>
              <w:pStyle w:val="TableParagraph"/>
              <w:spacing w:line="205" w:lineRule="exact"/>
              <w:ind w:left="197"/>
              <w:jc w:val="center"/>
              <w:rPr>
                <w:sz w:val="20"/>
              </w:rPr>
            </w:pPr>
            <w:r>
              <w:rPr>
                <w:spacing w:val="-10"/>
                <w:sz w:val="20"/>
              </w:rPr>
              <w:t>C</w:t>
            </w:r>
          </w:p>
        </w:tc>
        <w:tc>
          <w:tcPr>
            <w:tcW w:w="1375" w:type="dxa"/>
            <w:tcBorders>
              <w:bottom w:val="double" w:sz="6" w:space="0" w:color="000000"/>
            </w:tcBorders>
          </w:tcPr>
          <w:p>
            <w:pPr>
              <w:pStyle w:val="TableParagraph"/>
              <w:spacing w:line="205" w:lineRule="exact"/>
              <w:ind w:right="128"/>
              <w:jc w:val="right"/>
              <w:rPr>
                <w:sz w:val="20"/>
              </w:rPr>
            </w:pPr>
            <w:r>
              <w:rPr>
                <w:spacing w:val="-2"/>
                <w:sz w:val="20"/>
              </w:rPr>
              <w:t>0.368647</w:t>
            </w:r>
          </w:p>
        </w:tc>
        <w:tc>
          <w:tcPr>
            <w:tcW w:w="1432" w:type="dxa"/>
            <w:tcBorders>
              <w:bottom w:val="double" w:sz="6" w:space="0" w:color="000000"/>
            </w:tcBorders>
          </w:tcPr>
          <w:p>
            <w:pPr>
              <w:pStyle w:val="TableParagraph"/>
              <w:spacing w:line="205" w:lineRule="exact"/>
              <w:ind w:left="311"/>
              <w:rPr>
                <w:sz w:val="20"/>
              </w:rPr>
            </w:pPr>
            <w:r>
              <w:rPr>
                <w:spacing w:val="-2"/>
                <w:sz w:val="20"/>
              </w:rPr>
              <w:t>0.274213</w:t>
            </w:r>
          </w:p>
        </w:tc>
        <w:tc>
          <w:tcPr>
            <w:tcW w:w="904" w:type="dxa"/>
            <w:tcBorders>
              <w:bottom w:val="double" w:sz="6" w:space="0" w:color="000000"/>
            </w:tcBorders>
          </w:tcPr>
          <w:p>
            <w:pPr>
              <w:pStyle w:val="TableParagraph"/>
              <w:spacing w:line="205" w:lineRule="exact"/>
              <w:ind w:right="5"/>
              <w:jc w:val="center"/>
              <w:rPr>
                <w:sz w:val="20"/>
              </w:rPr>
            </w:pPr>
            <w:r>
              <w:rPr>
                <w:spacing w:val="-2"/>
                <w:sz w:val="20"/>
              </w:rPr>
              <w:t>1.344382</w:t>
            </w:r>
          </w:p>
        </w:tc>
        <w:tc>
          <w:tcPr>
            <w:tcW w:w="929" w:type="dxa"/>
            <w:tcBorders>
              <w:bottom w:val="double" w:sz="6" w:space="0" w:color="000000"/>
            </w:tcBorders>
          </w:tcPr>
          <w:p>
            <w:pPr>
              <w:pStyle w:val="TableParagraph"/>
              <w:spacing w:line="205" w:lineRule="exact"/>
              <w:ind w:right="27"/>
              <w:jc w:val="right"/>
              <w:rPr>
                <w:sz w:val="20"/>
              </w:rPr>
            </w:pPr>
            <w:r>
              <w:rPr>
                <w:spacing w:val="-2"/>
                <w:sz w:val="20"/>
              </w:rPr>
              <w:t>0.1872</w:t>
            </w:r>
          </w:p>
        </w:tc>
      </w:tr>
      <w:tr>
        <w:trPr>
          <w:trHeight w:val="276" w:hRule="atLeast"/>
        </w:trPr>
        <w:tc>
          <w:tcPr>
            <w:tcW w:w="1847" w:type="dxa"/>
            <w:tcBorders>
              <w:top w:val="double" w:sz="6" w:space="0" w:color="000000"/>
            </w:tcBorders>
          </w:tcPr>
          <w:p>
            <w:pPr>
              <w:pStyle w:val="TableParagraph"/>
              <w:spacing w:line="214" w:lineRule="exact" w:before="42"/>
              <w:ind w:left="36"/>
              <w:rPr>
                <w:sz w:val="20"/>
              </w:rPr>
            </w:pPr>
            <w:r>
              <w:rPr>
                <w:spacing w:val="-2"/>
                <w:sz w:val="20"/>
              </w:rPr>
              <w:t>R-squared</w:t>
            </w:r>
          </w:p>
        </w:tc>
        <w:tc>
          <w:tcPr>
            <w:tcW w:w="1375" w:type="dxa"/>
            <w:tcBorders>
              <w:top w:val="double" w:sz="6" w:space="0" w:color="000000"/>
            </w:tcBorders>
          </w:tcPr>
          <w:p>
            <w:pPr>
              <w:pStyle w:val="TableParagraph"/>
              <w:spacing w:line="214" w:lineRule="exact" w:before="42"/>
              <w:ind w:right="128"/>
              <w:jc w:val="right"/>
              <w:rPr>
                <w:sz w:val="20"/>
              </w:rPr>
            </w:pPr>
            <w:r>
              <w:rPr>
                <w:spacing w:val="-2"/>
                <w:sz w:val="20"/>
              </w:rPr>
              <w:t>0.767533</w:t>
            </w:r>
          </w:p>
        </w:tc>
        <w:tc>
          <w:tcPr>
            <w:tcW w:w="2336" w:type="dxa"/>
            <w:gridSpan w:val="2"/>
            <w:tcBorders>
              <w:top w:val="double" w:sz="6" w:space="0" w:color="000000"/>
            </w:tcBorders>
          </w:tcPr>
          <w:p>
            <w:pPr>
              <w:pStyle w:val="TableParagraph"/>
              <w:spacing w:line="214" w:lineRule="exact" w:before="42"/>
              <w:ind w:left="131"/>
              <w:rPr>
                <w:sz w:val="20"/>
              </w:rPr>
            </w:pPr>
            <w:r>
              <w:rPr>
                <w:sz w:val="20"/>
              </w:rPr>
              <w:t>Mean</w:t>
            </w:r>
            <w:r>
              <w:rPr>
                <w:spacing w:val="-7"/>
                <w:sz w:val="20"/>
              </w:rPr>
              <w:t> </w:t>
            </w:r>
            <w:r>
              <w:rPr>
                <w:sz w:val="20"/>
              </w:rPr>
              <w:t>dependent</w:t>
            </w:r>
            <w:r>
              <w:rPr>
                <w:spacing w:val="-7"/>
                <w:sz w:val="20"/>
              </w:rPr>
              <w:t> </w:t>
            </w:r>
            <w:r>
              <w:rPr>
                <w:spacing w:val="-5"/>
                <w:sz w:val="20"/>
              </w:rPr>
              <w:t>var</w:t>
            </w:r>
          </w:p>
        </w:tc>
        <w:tc>
          <w:tcPr>
            <w:tcW w:w="929" w:type="dxa"/>
            <w:tcBorders>
              <w:top w:val="double" w:sz="6" w:space="0" w:color="000000"/>
            </w:tcBorders>
          </w:tcPr>
          <w:p>
            <w:pPr>
              <w:pStyle w:val="TableParagraph"/>
              <w:spacing w:line="214" w:lineRule="exact" w:before="42"/>
              <w:ind w:right="27"/>
              <w:jc w:val="right"/>
              <w:rPr>
                <w:sz w:val="20"/>
              </w:rPr>
            </w:pPr>
            <w:r>
              <w:rPr>
                <w:spacing w:val="-4"/>
                <w:sz w:val="20"/>
              </w:rPr>
              <w:t>-</w:t>
            </w:r>
            <w:r>
              <w:rPr>
                <w:spacing w:val="-2"/>
                <w:sz w:val="20"/>
              </w:rPr>
              <w:t>0.035172</w:t>
            </w:r>
          </w:p>
        </w:tc>
      </w:tr>
      <w:tr>
        <w:trPr>
          <w:trHeight w:val="229" w:hRule="atLeast"/>
        </w:trPr>
        <w:tc>
          <w:tcPr>
            <w:tcW w:w="1847" w:type="dxa"/>
          </w:tcPr>
          <w:p>
            <w:pPr>
              <w:pStyle w:val="TableParagraph"/>
              <w:spacing w:line="209" w:lineRule="exact"/>
              <w:ind w:left="36"/>
              <w:rPr>
                <w:sz w:val="20"/>
              </w:rPr>
            </w:pPr>
            <w:r>
              <w:rPr>
                <w:sz w:val="20"/>
              </w:rPr>
              <w:t>Adjusted</w:t>
            </w:r>
            <w:r>
              <w:rPr>
                <w:spacing w:val="-10"/>
                <w:sz w:val="20"/>
              </w:rPr>
              <w:t> </w:t>
            </w:r>
            <w:r>
              <w:rPr>
                <w:sz w:val="20"/>
              </w:rPr>
              <w:t>R-</w:t>
            </w:r>
            <w:r>
              <w:rPr>
                <w:spacing w:val="-2"/>
                <w:sz w:val="20"/>
              </w:rPr>
              <w:t>squared</w:t>
            </w:r>
          </w:p>
        </w:tc>
        <w:tc>
          <w:tcPr>
            <w:tcW w:w="1375" w:type="dxa"/>
          </w:tcPr>
          <w:p>
            <w:pPr>
              <w:pStyle w:val="TableParagraph"/>
              <w:spacing w:line="209" w:lineRule="exact"/>
              <w:ind w:right="128"/>
              <w:jc w:val="right"/>
              <w:rPr>
                <w:sz w:val="20"/>
              </w:rPr>
            </w:pPr>
            <w:r>
              <w:rPr>
                <w:spacing w:val="-2"/>
                <w:sz w:val="20"/>
              </w:rPr>
              <w:t>0.754618</w:t>
            </w:r>
          </w:p>
        </w:tc>
        <w:tc>
          <w:tcPr>
            <w:tcW w:w="2336" w:type="dxa"/>
            <w:gridSpan w:val="2"/>
          </w:tcPr>
          <w:p>
            <w:pPr>
              <w:pStyle w:val="TableParagraph"/>
              <w:spacing w:line="209" w:lineRule="exact"/>
              <w:ind w:left="131"/>
              <w:rPr>
                <w:sz w:val="20"/>
              </w:rPr>
            </w:pPr>
            <w:r>
              <w:rPr>
                <w:sz w:val="20"/>
              </w:rPr>
              <w:t>S.D.</w:t>
            </w:r>
            <w:r>
              <w:rPr>
                <w:spacing w:val="-5"/>
                <w:sz w:val="20"/>
              </w:rPr>
              <w:t> </w:t>
            </w:r>
            <w:r>
              <w:rPr>
                <w:sz w:val="20"/>
              </w:rPr>
              <w:t>dependent</w:t>
            </w:r>
            <w:r>
              <w:rPr>
                <w:spacing w:val="-6"/>
                <w:sz w:val="20"/>
              </w:rPr>
              <w:t> </w:t>
            </w:r>
            <w:r>
              <w:rPr>
                <w:spacing w:val="-5"/>
                <w:sz w:val="20"/>
              </w:rPr>
              <w:t>var</w:t>
            </w:r>
          </w:p>
        </w:tc>
        <w:tc>
          <w:tcPr>
            <w:tcW w:w="929" w:type="dxa"/>
          </w:tcPr>
          <w:p>
            <w:pPr>
              <w:pStyle w:val="TableParagraph"/>
              <w:spacing w:line="209" w:lineRule="exact"/>
              <w:ind w:right="27"/>
              <w:jc w:val="right"/>
              <w:rPr>
                <w:sz w:val="20"/>
              </w:rPr>
            </w:pPr>
            <w:r>
              <w:rPr>
                <w:spacing w:val="-2"/>
                <w:sz w:val="20"/>
              </w:rPr>
              <w:t>3.406828</w:t>
            </w:r>
          </w:p>
        </w:tc>
      </w:tr>
      <w:tr>
        <w:trPr>
          <w:trHeight w:val="230" w:hRule="atLeast"/>
        </w:trPr>
        <w:tc>
          <w:tcPr>
            <w:tcW w:w="1847" w:type="dxa"/>
          </w:tcPr>
          <w:p>
            <w:pPr>
              <w:pStyle w:val="TableParagraph"/>
              <w:spacing w:line="210" w:lineRule="exact"/>
              <w:ind w:left="36"/>
              <w:rPr>
                <w:sz w:val="20"/>
              </w:rPr>
            </w:pPr>
            <w:r>
              <w:rPr>
                <w:sz w:val="20"/>
              </w:rPr>
              <w:t>S.E.</w:t>
            </w:r>
            <w:r>
              <w:rPr>
                <w:spacing w:val="-3"/>
                <w:sz w:val="20"/>
              </w:rPr>
              <w:t> </w:t>
            </w:r>
            <w:r>
              <w:rPr>
                <w:sz w:val="20"/>
              </w:rPr>
              <w:t>of</w:t>
            </w:r>
            <w:r>
              <w:rPr>
                <w:spacing w:val="-3"/>
                <w:sz w:val="20"/>
              </w:rPr>
              <w:t> </w:t>
            </w:r>
            <w:r>
              <w:rPr>
                <w:spacing w:val="-2"/>
                <w:sz w:val="20"/>
              </w:rPr>
              <w:t>regression</w:t>
            </w:r>
          </w:p>
        </w:tc>
        <w:tc>
          <w:tcPr>
            <w:tcW w:w="1375" w:type="dxa"/>
          </w:tcPr>
          <w:p>
            <w:pPr>
              <w:pStyle w:val="TableParagraph"/>
              <w:spacing w:line="210" w:lineRule="exact"/>
              <w:ind w:right="128"/>
              <w:jc w:val="right"/>
              <w:rPr>
                <w:sz w:val="20"/>
              </w:rPr>
            </w:pPr>
            <w:r>
              <w:rPr>
                <w:spacing w:val="-2"/>
                <w:sz w:val="20"/>
              </w:rPr>
              <w:t>1.687607</w:t>
            </w:r>
          </w:p>
        </w:tc>
        <w:tc>
          <w:tcPr>
            <w:tcW w:w="2336" w:type="dxa"/>
            <w:gridSpan w:val="2"/>
          </w:tcPr>
          <w:p>
            <w:pPr>
              <w:pStyle w:val="TableParagraph"/>
              <w:spacing w:line="210" w:lineRule="exact"/>
              <w:ind w:left="131"/>
              <w:rPr>
                <w:sz w:val="20"/>
              </w:rPr>
            </w:pPr>
            <w:r>
              <w:rPr>
                <w:sz w:val="20"/>
              </w:rPr>
              <w:t>Akaike</w:t>
            </w:r>
            <w:r>
              <w:rPr>
                <w:spacing w:val="-8"/>
                <w:sz w:val="20"/>
              </w:rPr>
              <w:t> </w:t>
            </w:r>
            <w:r>
              <w:rPr>
                <w:sz w:val="20"/>
              </w:rPr>
              <w:t>info</w:t>
            </w:r>
            <w:r>
              <w:rPr>
                <w:spacing w:val="-7"/>
                <w:sz w:val="20"/>
              </w:rPr>
              <w:t> </w:t>
            </w:r>
            <w:r>
              <w:rPr>
                <w:spacing w:val="-2"/>
                <w:sz w:val="20"/>
              </w:rPr>
              <w:t>criterion</w:t>
            </w:r>
          </w:p>
        </w:tc>
        <w:tc>
          <w:tcPr>
            <w:tcW w:w="929" w:type="dxa"/>
          </w:tcPr>
          <w:p>
            <w:pPr>
              <w:pStyle w:val="TableParagraph"/>
              <w:spacing w:line="210" w:lineRule="exact"/>
              <w:ind w:right="27"/>
              <w:jc w:val="right"/>
              <w:rPr>
                <w:sz w:val="20"/>
              </w:rPr>
            </w:pPr>
            <w:r>
              <w:rPr>
                <w:spacing w:val="-2"/>
                <w:sz w:val="20"/>
              </w:rPr>
              <w:t>3.958304</w:t>
            </w:r>
          </w:p>
        </w:tc>
      </w:tr>
      <w:tr>
        <w:trPr>
          <w:trHeight w:val="230" w:hRule="atLeast"/>
        </w:trPr>
        <w:tc>
          <w:tcPr>
            <w:tcW w:w="1847" w:type="dxa"/>
          </w:tcPr>
          <w:p>
            <w:pPr>
              <w:pStyle w:val="TableParagraph"/>
              <w:spacing w:line="210" w:lineRule="exact"/>
              <w:ind w:left="36"/>
              <w:rPr>
                <w:sz w:val="20"/>
              </w:rPr>
            </w:pPr>
            <w:r>
              <w:rPr>
                <w:sz w:val="20"/>
              </w:rPr>
              <w:t>Sum</w:t>
            </w:r>
            <w:r>
              <w:rPr>
                <w:spacing w:val="-8"/>
                <w:sz w:val="20"/>
              </w:rPr>
              <w:t> </w:t>
            </w:r>
            <w:r>
              <w:rPr>
                <w:sz w:val="20"/>
              </w:rPr>
              <w:t>squared</w:t>
            </w:r>
            <w:r>
              <w:rPr>
                <w:spacing w:val="-4"/>
                <w:sz w:val="20"/>
              </w:rPr>
              <w:t> </w:t>
            </w:r>
            <w:r>
              <w:rPr>
                <w:spacing w:val="-2"/>
                <w:sz w:val="20"/>
              </w:rPr>
              <w:t>resid</w:t>
            </w:r>
          </w:p>
        </w:tc>
        <w:tc>
          <w:tcPr>
            <w:tcW w:w="1375" w:type="dxa"/>
          </w:tcPr>
          <w:p>
            <w:pPr>
              <w:pStyle w:val="TableParagraph"/>
              <w:spacing w:line="210" w:lineRule="exact"/>
              <w:ind w:right="128"/>
              <w:jc w:val="right"/>
              <w:rPr>
                <w:sz w:val="20"/>
              </w:rPr>
            </w:pPr>
            <w:r>
              <w:rPr>
                <w:spacing w:val="-2"/>
                <w:sz w:val="20"/>
              </w:rPr>
              <w:t>102.5286</w:t>
            </w:r>
          </w:p>
        </w:tc>
        <w:tc>
          <w:tcPr>
            <w:tcW w:w="2336" w:type="dxa"/>
            <w:gridSpan w:val="2"/>
          </w:tcPr>
          <w:p>
            <w:pPr>
              <w:pStyle w:val="TableParagraph"/>
              <w:spacing w:line="210" w:lineRule="exact"/>
              <w:ind w:left="131"/>
              <w:rPr>
                <w:sz w:val="20"/>
              </w:rPr>
            </w:pPr>
            <w:r>
              <w:rPr>
                <w:sz w:val="20"/>
              </w:rPr>
              <w:t>Schwarz</w:t>
            </w:r>
            <w:r>
              <w:rPr>
                <w:spacing w:val="-8"/>
                <w:sz w:val="20"/>
              </w:rPr>
              <w:t> </w:t>
            </w:r>
            <w:r>
              <w:rPr>
                <w:spacing w:val="-2"/>
                <w:sz w:val="20"/>
              </w:rPr>
              <w:t>criterion</w:t>
            </w:r>
          </w:p>
        </w:tc>
        <w:tc>
          <w:tcPr>
            <w:tcW w:w="929" w:type="dxa"/>
          </w:tcPr>
          <w:p>
            <w:pPr>
              <w:pStyle w:val="TableParagraph"/>
              <w:spacing w:line="210" w:lineRule="exact"/>
              <w:ind w:right="27"/>
              <w:jc w:val="right"/>
              <w:rPr>
                <w:sz w:val="20"/>
              </w:rPr>
            </w:pPr>
            <w:r>
              <w:rPr>
                <w:spacing w:val="-2"/>
                <w:sz w:val="20"/>
              </w:rPr>
              <w:t>4.086270</w:t>
            </w:r>
          </w:p>
        </w:tc>
      </w:tr>
      <w:tr>
        <w:trPr>
          <w:trHeight w:val="230" w:hRule="atLeast"/>
        </w:trPr>
        <w:tc>
          <w:tcPr>
            <w:tcW w:w="1847" w:type="dxa"/>
          </w:tcPr>
          <w:p>
            <w:pPr>
              <w:pStyle w:val="TableParagraph"/>
              <w:spacing w:line="210" w:lineRule="exact"/>
              <w:ind w:left="36"/>
              <w:rPr>
                <w:sz w:val="20"/>
              </w:rPr>
            </w:pPr>
            <w:r>
              <w:rPr>
                <w:sz w:val="20"/>
              </w:rPr>
              <w:t>Log</w:t>
            </w:r>
            <w:r>
              <w:rPr>
                <w:spacing w:val="-6"/>
                <w:sz w:val="20"/>
              </w:rPr>
              <w:t> </w:t>
            </w:r>
            <w:r>
              <w:rPr>
                <w:spacing w:val="-2"/>
                <w:sz w:val="20"/>
              </w:rPr>
              <w:t>likelihood</w:t>
            </w:r>
          </w:p>
        </w:tc>
        <w:tc>
          <w:tcPr>
            <w:tcW w:w="1375" w:type="dxa"/>
          </w:tcPr>
          <w:p>
            <w:pPr>
              <w:pStyle w:val="TableParagraph"/>
              <w:spacing w:line="210" w:lineRule="exact"/>
              <w:ind w:right="128"/>
              <w:jc w:val="right"/>
              <w:rPr>
                <w:sz w:val="20"/>
              </w:rPr>
            </w:pPr>
            <w:r>
              <w:rPr>
                <w:spacing w:val="-4"/>
                <w:sz w:val="20"/>
              </w:rPr>
              <w:t>-</w:t>
            </w:r>
            <w:r>
              <w:rPr>
                <w:spacing w:val="-2"/>
                <w:sz w:val="20"/>
              </w:rPr>
              <w:t>74.18692</w:t>
            </w:r>
          </w:p>
        </w:tc>
        <w:tc>
          <w:tcPr>
            <w:tcW w:w="1432" w:type="dxa"/>
          </w:tcPr>
          <w:p>
            <w:pPr>
              <w:pStyle w:val="TableParagraph"/>
              <w:spacing w:line="210" w:lineRule="exact"/>
              <w:ind w:left="131"/>
              <w:rPr>
                <w:sz w:val="20"/>
              </w:rPr>
            </w:pPr>
            <w:r>
              <w:rPr>
                <w:spacing w:val="-4"/>
                <w:sz w:val="20"/>
              </w:rPr>
              <w:t>F-</w:t>
            </w:r>
            <w:r>
              <w:rPr>
                <w:spacing w:val="-2"/>
                <w:sz w:val="20"/>
              </w:rPr>
              <w:t>statistic</w:t>
            </w:r>
          </w:p>
        </w:tc>
        <w:tc>
          <w:tcPr>
            <w:tcW w:w="904" w:type="dxa"/>
          </w:tcPr>
          <w:p>
            <w:pPr>
              <w:pStyle w:val="TableParagraph"/>
              <w:rPr>
                <w:sz w:val="16"/>
              </w:rPr>
            </w:pPr>
          </w:p>
        </w:tc>
        <w:tc>
          <w:tcPr>
            <w:tcW w:w="929" w:type="dxa"/>
          </w:tcPr>
          <w:p>
            <w:pPr>
              <w:pStyle w:val="TableParagraph"/>
              <w:spacing w:line="210" w:lineRule="exact"/>
              <w:ind w:right="27"/>
              <w:jc w:val="right"/>
              <w:rPr>
                <w:sz w:val="20"/>
              </w:rPr>
            </w:pPr>
            <w:r>
              <w:rPr>
                <w:spacing w:val="-2"/>
                <w:sz w:val="20"/>
              </w:rPr>
              <w:t>59.43037</w:t>
            </w:r>
          </w:p>
        </w:tc>
      </w:tr>
      <w:tr>
        <w:trPr>
          <w:trHeight w:val="265" w:hRule="atLeast"/>
        </w:trPr>
        <w:tc>
          <w:tcPr>
            <w:tcW w:w="1847" w:type="dxa"/>
            <w:tcBorders>
              <w:bottom w:val="double" w:sz="6" w:space="0" w:color="000000"/>
            </w:tcBorders>
          </w:tcPr>
          <w:p>
            <w:pPr>
              <w:pStyle w:val="TableParagraph"/>
              <w:spacing w:line="226" w:lineRule="exact"/>
              <w:ind w:left="36"/>
              <w:rPr>
                <w:sz w:val="20"/>
              </w:rPr>
            </w:pPr>
            <w:r>
              <w:rPr>
                <w:sz w:val="20"/>
              </w:rPr>
              <w:t>Durbin-Watson</w:t>
            </w:r>
            <w:r>
              <w:rPr>
                <w:spacing w:val="-12"/>
                <w:sz w:val="20"/>
              </w:rPr>
              <w:t> </w:t>
            </w:r>
            <w:r>
              <w:rPr>
                <w:spacing w:val="-4"/>
                <w:sz w:val="20"/>
              </w:rPr>
              <w:t>stat</w:t>
            </w:r>
          </w:p>
        </w:tc>
        <w:tc>
          <w:tcPr>
            <w:tcW w:w="1375" w:type="dxa"/>
          </w:tcPr>
          <w:p>
            <w:pPr>
              <w:pStyle w:val="TableParagraph"/>
              <w:spacing w:line="226" w:lineRule="exact"/>
              <w:ind w:right="128"/>
              <w:jc w:val="right"/>
              <w:rPr>
                <w:sz w:val="20"/>
              </w:rPr>
            </w:pPr>
            <w:r>
              <w:rPr>
                <w:spacing w:val="-2"/>
                <w:sz w:val="20"/>
              </w:rPr>
              <w:t>2.151887</w:t>
            </w:r>
          </w:p>
        </w:tc>
        <w:tc>
          <w:tcPr>
            <w:tcW w:w="1432" w:type="dxa"/>
            <w:tcBorders>
              <w:bottom w:val="double" w:sz="6" w:space="0" w:color="000000"/>
            </w:tcBorders>
          </w:tcPr>
          <w:p>
            <w:pPr>
              <w:pStyle w:val="TableParagraph"/>
              <w:spacing w:line="226" w:lineRule="exact"/>
              <w:ind w:left="131"/>
              <w:rPr>
                <w:sz w:val="20"/>
              </w:rPr>
            </w:pPr>
            <w:r>
              <w:rPr>
                <w:spacing w:val="-2"/>
                <w:sz w:val="20"/>
              </w:rPr>
              <w:t>Prob(F-statistic)</w:t>
            </w:r>
          </w:p>
        </w:tc>
        <w:tc>
          <w:tcPr>
            <w:tcW w:w="904" w:type="dxa"/>
            <w:tcBorders>
              <w:bottom w:val="double" w:sz="6" w:space="0" w:color="000000"/>
            </w:tcBorders>
          </w:tcPr>
          <w:p>
            <w:pPr>
              <w:pStyle w:val="TableParagraph"/>
              <w:rPr>
                <w:sz w:val="18"/>
              </w:rPr>
            </w:pPr>
          </w:p>
        </w:tc>
        <w:tc>
          <w:tcPr>
            <w:tcW w:w="929" w:type="dxa"/>
            <w:tcBorders>
              <w:bottom w:val="double" w:sz="6" w:space="0" w:color="000000"/>
            </w:tcBorders>
          </w:tcPr>
          <w:p>
            <w:pPr>
              <w:pStyle w:val="TableParagraph"/>
              <w:spacing w:line="226" w:lineRule="exact"/>
              <w:ind w:right="27"/>
              <w:jc w:val="right"/>
              <w:rPr>
                <w:sz w:val="20"/>
              </w:rPr>
            </w:pPr>
            <w:r>
              <w:rPr>
                <w:spacing w:val="-2"/>
                <w:sz w:val="20"/>
              </w:rPr>
              <w:t>0.000000</w:t>
            </w:r>
          </w:p>
        </w:tc>
      </w:tr>
    </w:tbl>
    <w:p>
      <w:pPr>
        <w:pStyle w:val="BodyText"/>
        <w:rPr>
          <w:sz w:val="20"/>
        </w:rPr>
      </w:pPr>
    </w:p>
    <w:p>
      <w:pPr>
        <w:pStyle w:val="BodyText"/>
        <w:spacing w:before="16"/>
        <w:rPr>
          <w:sz w:val="20"/>
        </w:rPr>
      </w:pPr>
    </w:p>
    <w:p>
      <w:pPr>
        <w:spacing w:before="0"/>
        <w:ind w:left="711" w:right="0" w:firstLine="0"/>
        <w:jc w:val="left"/>
        <w:rPr>
          <w:sz w:val="20"/>
        </w:rPr>
      </w:pPr>
      <w:r>
        <w:rPr>
          <w:sz w:val="20"/>
        </w:rPr>
        <w:t>DR</w:t>
      </w:r>
      <w:r>
        <w:rPr>
          <w:spacing w:val="-4"/>
          <w:sz w:val="20"/>
        </w:rPr>
        <w:t> </w:t>
      </w:r>
      <w:r>
        <w:rPr>
          <w:sz w:val="20"/>
        </w:rPr>
        <w:t>@</w:t>
      </w:r>
      <w:r>
        <w:rPr>
          <w:spacing w:val="-1"/>
          <w:sz w:val="20"/>
        </w:rPr>
        <w:t> </w:t>
      </w:r>
      <w:r>
        <w:rPr>
          <w:spacing w:val="-2"/>
          <w:sz w:val="20"/>
        </w:rPr>
        <w:t>LEVEL</w:t>
      </w:r>
    </w:p>
    <w:tbl>
      <w:tblPr>
        <w:tblW w:w="0" w:type="auto"/>
        <w:jc w:val="left"/>
        <w:tblInd w:w="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73"/>
        <w:gridCol w:w="1350"/>
        <w:gridCol w:w="1433"/>
        <w:gridCol w:w="905"/>
        <w:gridCol w:w="930"/>
      </w:tblGrid>
      <w:tr>
        <w:trPr>
          <w:trHeight w:val="225" w:hRule="atLeast"/>
        </w:trPr>
        <w:tc>
          <w:tcPr>
            <w:tcW w:w="1873" w:type="dxa"/>
          </w:tcPr>
          <w:p>
            <w:pPr>
              <w:pStyle w:val="TableParagraph"/>
              <w:spacing w:line="205" w:lineRule="exact"/>
              <w:ind w:left="36"/>
              <w:rPr>
                <w:sz w:val="20"/>
              </w:rPr>
            </w:pPr>
            <w:r>
              <w:rPr>
                <w:sz w:val="20"/>
              </w:rPr>
              <w:t>ADF</w:t>
            </w:r>
            <w:r>
              <w:rPr>
                <w:spacing w:val="-4"/>
                <w:sz w:val="20"/>
              </w:rPr>
              <w:t> </w:t>
            </w:r>
            <w:r>
              <w:rPr>
                <w:sz w:val="20"/>
              </w:rPr>
              <w:t>Test</w:t>
            </w:r>
            <w:r>
              <w:rPr>
                <w:spacing w:val="-4"/>
                <w:sz w:val="20"/>
              </w:rPr>
              <w:t> </w:t>
            </w:r>
            <w:r>
              <w:rPr>
                <w:spacing w:val="-2"/>
                <w:sz w:val="20"/>
              </w:rPr>
              <w:t>Statistic</w:t>
            </w:r>
          </w:p>
        </w:tc>
        <w:tc>
          <w:tcPr>
            <w:tcW w:w="1350" w:type="dxa"/>
          </w:tcPr>
          <w:p>
            <w:pPr>
              <w:pStyle w:val="TableParagraph"/>
              <w:spacing w:line="205" w:lineRule="exact"/>
              <w:ind w:left="244"/>
              <w:rPr>
                <w:sz w:val="20"/>
              </w:rPr>
            </w:pPr>
            <w:r>
              <w:rPr>
                <w:spacing w:val="-2"/>
                <w:sz w:val="20"/>
              </w:rPr>
              <w:t>0.031552</w:t>
            </w:r>
          </w:p>
        </w:tc>
        <w:tc>
          <w:tcPr>
            <w:tcW w:w="2338" w:type="dxa"/>
            <w:gridSpan w:val="2"/>
          </w:tcPr>
          <w:p>
            <w:pPr>
              <w:pStyle w:val="TableParagraph"/>
              <w:spacing w:line="205" w:lineRule="exact"/>
              <w:ind w:left="130"/>
              <w:rPr>
                <w:sz w:val="20"/>
              </w:rPr>
            </w:pPr>
            <w:r>
              <w:rPr>
                <w:sz w:val="20"/>
              </w:rPr>
              <w:t>1%</w:t>
            </w:r>
            <w:r>
              <w:rPr>
                <w:spacing w:val="68"/>
                <w:w w:val="150"/>
                <w:sz w:val="20"/>
              </w:rPr>
              <w:t> </w:t>
            </w:r>
            <w:r>
              <w:rPr>
                <w:sz w:val="20"/>
              </w:rPr>
              <w:t>Critical</w:t>
            </w:r>
            <w:r>
              <w:rPr>
                <w:spacing w:val="-2"/>
                <w:sz w:val="20"/>
              </w:rPr>
              <w:t> Value*</w:t>
            </w:r>
          </w:p>
        </w:tc>
        <w:tc>
          <w:tcPr>
            <w:tcW w:w="930" w:type="dxa"/>
          </w:tcPr>
          <w:p>
            <w:pPr>
              <w:pStyle w:val="TableParagraph"/>
              <w:spacing w:line="205" w:lineRule="exact"/>
              <w:ind w:right="31"/>
              <w:jc w:val="right"/>
              <w:rPr>
                <w:sz w:val="20"/>
              </w:rPr>
            </w:pPr>
            <w:r>
              <w:rPr>
                <w:spacing w:val="-4"/>
                <w:sz w:val="20"/>
              </w:rPr>
              <w:t>-</w:t>
            </w:r>
            <w:r>
              <w:rPr>
                <w:spacing w:val="-2"/>
                <w:sz w:val="20"/>
              </w:rPr>
              <w:t>3.6171</w:t>
            </w:r>
          </w:p>
        </w:tc>
      </w:tr>
      <w:tr>
        <w:trPr>
          <w:trHeight w:val="230" w:hRule="atLeast"/>
        </w:trPr>
        <w:tc>
          <w:tcPr>
            <w:tcW w:w="1873" w:type="dxa"/>
          </w:tcPr>
          <w:p>
            <w:pPr>
              <w:pStyle w:val="TableParagraph"/>
              <w:rPr>
                <w:sz w:val="16"/>
              </w:rPr>
            </w:pPr>
          </w:p>
        </w:tc>
        <w:tc>
          <w:tcPr>
            <w:tcW w:w="1350" w:type="dxa"/>
          </w:tcPr>
          <w:p>
            <w:pPr>
              <w:pStyle w:val="TableParagraph"/>
              <w:rPr>
                <w:sz w:val="16"/>
              </w:rPr>
            </w:pPr>
          </w:p>
        </w:tc>
        <w:tc>
          <w:tcPr>
            <w:tcW w:w="2338" w:type="dxa"/>
            <w:gridSpan w:val="2"/>
          </w:tcPr>
          <w:p>
            <w:pPr>
              <w:pStyle w:val="TableParagraph"/>
              <w:spacing w:line="210" w:lineRule="exact"/>
              <w:ind w:left="130"/>
              <w:rPr>
                <w:sz w:val="20"/>
              </w:rPr>
            </w:pPr>
            <w:r>
              <w:rPr>
                <w:sz w:val="20"/>
              </w:rPr>
              <w:t>5%</w:t>
            </w:r>
            <w:r>
              <w:rPr>
                <w:spacing w:val="68"/>
                <w:w w:val="150"/>
                <w:sz w:val="20"/>
              </w:rPr>
              <w:t> </w:t>
            </w:r>
            <w:r>
              <w:rPr>
                <w:sz w:val="20"/>
              </w:rPr>
              <w:t>Critical</w:t>
            </w:r>
            <w:r>
              <w:rPr>
                <w:spacing w:val="-2"/>
                <w:sz w:val="20"/>
              </w:rPr>
              <w:t> </w:t>
            </w:r>
            <w:r>
              <w:rPr>
                <w:spacing w:val="-4"/>
                <w:sz w:val="20"/>
              </w:rPr>
              <w:t>Value</w:t>
            </w:r>
          </w:p>
        </w:tc>
        <w:tc>
          <w:tcPr>
            <w:tcW w:w="930" w:type="dxa"/>
          </w:tcPr>
          <w:p>
            <w:pPr>
              <w:pStyle w:val="TableParagraph"/>
              <w:spacing w:line="210" w:lineRule="exact"/>
              <w:ind w:right="31"/>
              <w:jc w:val="right"/>
              <w:rPr>
                <w:sz w:val="20"/>
              </w:rPr>
            </w:pPr>
            <w:r>
              <w:rPr>
                <w:spacing w:val="-4"/>
                <w:sz w:val="20"/>
              </w:rPr>
              <w:t>-</w:t>
            </w:r>
            <w:r>
              <w:rPr>
                <w:spacing w:val="-2"/>
                <w:sz w:val="20"/>
              </w:rPr>
              <w:t>2.9422</w:t>
            </w:r>
          </w:p>
        </w:tc>
      </w:tr>
      <w:tr>
        <w:trPr>
          <w:trHeight w:val="224" w:hRule="atLeast"/>
        </w:trPr>
        <w:tc>
          <w:tcPr>
            <w:tcW w:w="1873" w:type="dxa"/>
            <w:tcBorders>
              <w:bottom w:val="double" w:sz="6" w:space="0" w:color="000000"/>
            </w:tcBorders>
          </w:tcPr>
          <w:p>
            <w:pPr>
              <w:pStyle w:val="TableParagraph"/>
              <w:rPr>
                <w:sz w:val="16"/>
              </w:rPr>
            </w:pPr>
          </w:p>
        </w:tc>
        <w:tc>
          <w:tcPr>
            <w:tcW w:w="1350" w:type="dxa"/>
            <w:tcBorders>
              <w:bottom w:val="double" w:sz="6" w:space="0" w:color="000000"/>
            </w:tcBorders>
          </w:tcPr>
          <w:p>
            <w:pPr>
              <w:pStyle w:val="TableParagraph"/>
              <w:rPr>
                <w:sz w:val="16"/>
              </w:rPr>
            </w:pPr>
          </w:p>
        </w:tc>
        <w:tc>
          <w:tcPr>
            <w:tcW w:w="2338" w:type="dxa"/>
            <w:gridSpan w:val="2"/>
            <w:tcBorders>
              <w:bottom w:val="double" w:sz="6" w:space="0" w:color="000000"/>
            </w:tcBorders>
          </w:tcPr>
          <w:p>
            <w:pPr>
              <w:pStyle w:val="TableParagraph"/>
              <w:spacing w:line="205" w:lineRule="exact"/>
              <w:ind w:left="130"/>
              <w:rPr>
                <w:sz w:val="20"/>
              </w:rPr>
            </w:pPr>
            <w:r>
              <w:rPr>
                <w:sz w:val="20"/>
              </w:rPr>
              <w:t>10%</w:t>
            </w:r>
            <w:r>
              <w:rPr>
                <w:spacing w:val="-6"/>
                <w:sz w:val="20"/>
              </w:rPr>
              <w:t> </w:t>
            </w:r>
            <w:r>
              <w:rPr>
                <w:sz w:val="20"/>
              </w:rPr>
              <w:t>Critical</w:t>
            </w:r>
            <w:r>
              <w:rPr>
                <w:spacing w:val="-4"/>
                <w:sz w:val="20"/>
              </w:rPr>
              <w:t> </w:t>
            </w:r>
            <w:r>
              <w:rPr>
                <w:spacing w:val="-2"/>
                <w:sz w:val="20"/>
              </w:rPr>
              <w:t>Value</w:t>
            </w:r>
          </w:p>
        </w:tc>
        <w:tc>
          <w:tcPr>
            <w:tcW w:w="930" w:type="dxa"/>
            <w:tcBorders>
              <w:bottom w:val="double" w:sz="6" w:space="0" w:color="000000"/>
            </w:tcBorders>
          </w:tcPr>
          <w:p>
            <w:pPr>
              <w:pStyle w:val="TableParagraph"/>
              <w:spacing w:line="205" w:lineRule="exact"/>
              <w:ind w:right="31"/>
              <w:jc w:val="right"/>
              <w:rPr>
                <w:sz w:val="20"/>
              </w:rPr>
            </w:pPr>
            <w:r>
              <w:rPr>
                <w:spacing w:val="-4"/>
                <w:sz w:val="20"/>
              </w:rPr>
              <w:t>-</w:t>
            </w:r>
            <w:r>
              <w:rPr>
                <w:spacing w:val="-2"/>
                <w:sz w:val="20"/>
              </w:rPr>
              <w:t>2.6092</w:t>
            </w:r>
          </w:p>
        </w:tc>
      </w:tr>
      <w:tr>
        <w:trPr>
          <w:trHeight w:val="505" w:hRule="atLeast"/>
        </w:trPr>
        <w:tc>
          <w:tcPr>
            <w:tcW w:w="6491" w:type="dxa"/>
            <w:gridSpan w:val="5"/>
            <w:tcBorders>
              <w:top w:val="double" w:sz="6" w:space="0" w:color="000000"/>
            </w:tcBorders>
          </w:tcPr>
          <w:p>
            <w:pPr>
              <w:pStyle w:val="TableParagraph"/>
              <w:spacing w:before="40"/>
              <w:ind w:left="36"/>
              <w:rPr>
                <w:sz w:val="20"/>
              </w:rPr>
            </w:pPr>
            <w:r>
              <w:rPr>
                <w:sz w:val="20"/>
              </w:rPr>
              <w:t>*MacKinnon</w:t>
            </w:r>
            <w:r>
              <w:rPr>
                <w:spacing w:val="-6"/>
                <w:sz w:val="20"/>
              </w:rPr>
              <w:t> </w:t>
            </w:r>
            <w:r>
              <w:rPr>
                <w:sz w:val="20"/>
              </w:rPr>
              <w:t>critical</w:t>
            </w:r>
            <w:r>
              <w:rPr>
                <w:spacing w:val="-4"/>
                <w:sz w:val="20"/>
              </w:rPr>
              <w:t> </w:t>
            </w:r>
            <w:r>
              <w:rPr>
                <w:sz w:val="20"/>
              </w:rPr>
              <w:t>values</w:t>
            </w:r>
            <w:r>
              <w:rPr>
                <w:spacing w:val="-6"/>
                <w:sz w:val="20"/>
              </w:rPr>
              <w:t> </w:t>
            </w:r>
            <w:r>
              <w:rPr>
                <w:sz w:val="20"/>
              </w:rPr>
              <w:t>for</w:t>
            </w:r>
            <w:r>
              <w:rPr>
                <w:spacing w:val="-4"/>
                <w:sz w:val="20"/>
              </w:rPr>
              <w:t> </w:t>
            </w:r>
            <w:r>
              <w:rPr>
                <w:sz w:val="20"/>
              </w:rPr>
              <w:t>rejection</w:t>
            </w:r>
            <w:r>
              <w:rPr>
                <w:spacing w:val="-6"/>
                <w:sz w:val="20"/>
              </w:rPr>
              <w:t> </w:t>
            </w:r>
            <w:r>
              <w:rPr>
                <w:sz w:val="20"/>
              </w:rPr>
              <w:t>of</w:t>
            </w:r>
            <w:r>
              <w:rPr>
                <w:spacing w:val="-6"/>
                <w:sz w:val="20"/>
              </w:rPr>
              <w:t> </w:t>
            </w:r>
            <w:r>
              <w:rPr>
                <w:sz w:val="20"/>
              </w:rPr>
              <w:t>hypothesis</w:t>
            </w:r>
            <w:r>
              <w:rPr>
                <w:spacing w:val="-6"/>
                <w:sz w:val="20"/>
              </w:rPr>
              <w:t> </w:t>
            </w:r>
            <w:r>
              <w:rPr>
                <w:sz w:val="20"/>
              </w:rPr>
              <w:t>of</w:t>
            </w:r>
            <w:r>
              <w:rPr>
                <w:spacing w:val="-6"/>
                <w:sz w:val="20"/>
              </w:rPr>
              <w:t> </w:t>
            </w:r>
            <w:r>
              <w:rPr>
                <w:sz w:val="20"/>
              </w:rPr>
              <w:t>a</w:t>
            </w:r>
            <w:r>
              <w:rPr>
                <w:spacing w:val="-4"/>
                <w:sz w:val="20"/>
              </w:rPr>
              <w:t> </w:t>
            </w:r>
            <w:r>
              <w:rPr>
                <w:sz w:val="20"/>
              </w:rPr>
              <w:t>unit</w:t>
            </w:r>
            <w:r>
              <w:rPr>
                <w:spacing w:val="-6"/>
                <w:sz w:val="20"/>
              </w:rPr>
              <w:t> </w:t>
            </w:r>
            <w:r>
              <w:rPr>
                <w:spacing w:val="-2"/>
                <w:sz w:val="20"/>
              </w:rPr>
              <w:t>root.</w:t>
            </w:r>
          </w:p>
        </w:tc>
      </w:tr>
      <w:tr>
        <w:trPr>
          <w:trHeight w:val="460" w:hRule="atLeast"/>
        </w:trPr>
        <w:tc>
          <w:tcPr>
            <w:tcW w:w="6491" w:type="dxa"/>
            <w:gridSpan w:val="5"/>
          </w:tcPr>
          <w:p>
            <w:pPr>
              <w:pStyle w:val="TableParagraph"/>
              <w:spacing w:line="215" w:lineRule="exact" w:before="226"/>
              <w:ind w:left="36"/>
              <w:rPr>
                <w:sz w:val="20"/>
              </w:rPr>
            </w:pPr>
            <w:r>
              <w:rPr>
                <w:sz w:val="20"/>
              </w:rPr>
              <w:t>Augmented</w:t>
            </w:r>
            <w:r>
              <w:rPr>
                <w:spacing w:val="-8"/>
                <w:sz w:val="20"/>
              </w:rPr>
              <w:t> </w:t>
            </w:r>
            <w:r>
              <w:rPr>
                <w:sz w:val="20"/>
              </w:rPr>
              <w:t>Dickey-Fuller</w:t>
            </w:r>
            <w:r>
              <w:rPr>
                <w:spacing w:val="-8"/>
                <w:sz w:val="20"/>
              </w:rPr>
              <w:t> </w:t>
            </w:r>
            <w:r>
              <w:rPr>
                <w:sz w:val="20"/>
              </w:rPr>
              <w:t>Test</w:t>
            </w:r>
            <w:r>
              <w:rPr>
                <w:spacing w:val="-9"/>
                <w:sz w:val="20"/>
              </w:rPr>
              <w:t> </w:t>
            </w:r>
            <w:r>
              <w:rPr>
                <w:spacing w:val="-2"/>
                <w:sz w:val="20"/>
              </w:rPr>
              <w:t>Equation</w:t>
            </w:r>
          </w:p>
        </w:tc>
      </w:tr>
      <w:tr>
        <w:trPr>
          <w:trHeight w:val="229" w:hRule="atLeast"/>
        </w:trPr>
        <w:tc>
          <w:tcPr>
            <w:tcW w:w="6491" w:type="dxa"/>
            <w:gridSpan w:val="5"/>
          </w:tcPr>
          <w:p>
            <w:pPr>
              <w:pStyle w:val="TableParagraph"/>
              <w:spacing w:line="209" w:lineRule="exact"/>
              <w:ind w:left="36"/>
              <w:rPr>
                <w:sz w:val="20"/>
              </w:rPr>
            </w:pPr>
            <w:r>
              <w:rPr>
                <w:sz w:val="20"/>
              </w:rPr>
              <w:t>Dependent</w:t>
            </w:r>
            <w:r>
              <w:rPr>
                <w:spacing w:val="-8"/>
                <w:sz w:val="20"/>
              </w:rPr>
              <w:t> </w:t>
            </w:r>
            <w:r>
              <w:rPr>
                <w:sz w:val="20"/>
              </w:rPr>
              <w:t>Variable:</w:t>
            </w:r>
            <w:r>
              <w:rPr>
                <w:spacing w:val="-8"/>
                <w:sz w:val="20"/>
              </w:rPr>
              <w:t> </w:t>
            </w:r>
            <w:r>
              <w:rPr>
                <w:spacing w:val="-4"/>
                <w:sz w:val="20"/>
              </w:rPr>
              <w:t>D(DR)</w:t>
            </w:r>
          </w:p>
        </w:tc>
      </w:tr>
      <w:tr>
        <w:trPr>
          <w:trHeight w:val="229" w:hRule="atLeast"/>
        </w:trPr>
        <w:tc>
          <w:tcPr>
            <w:tcW w:w="1873" w:type="dxa"/>
          </w:tcPr>
          <w:p>
            <w:pPr>
              <w:pStyle w:val="TableParagraph"/>
              <w:spacing w:line="209" w:lineRule="exact"/>
              <w:ind w:left="36" w:right="-15"/>
              <w:rPr>
                <w:sz w:val="20"/>
              </w:rPr>
            </w:pPr>
            <w:r>
              <w:rPr>
                <w:sz w:val="20"/>
              </w:rPr>
              <w:t>Method:</w:t>
            </w:r>
            <w:r>
              <w:rPr>
                <w:spacing w:val="-8"/>
                <w:sz w:val="20"/>
              </w:rPr>
              <w:t> </w:t>
            </w:r>
            <w:r>
              <w:rPr>
                <w:sz w:val="20"/>
              </w:rPr>
              <w:t>Least</w:t>
            </w:r>
            <w:r>
              <w:rPr>
                <w:spacing w:val="-7"/>
                <w:sz w:val="20"/>
              </w:rPr>
              <w:t> </w:t>
            </w:r>
            <w:r>
              <w:rPr>
                <w:spacing w:val="-2"/>
                <w:sz w:val="20"/>
              </w:rPr>
              <w:t>Squares</w:t>
            </w:r>
          </w:p>
        </w:tc>
        <w:tc>
          <w:tcPr>
            <w:tcW w:w="1350" w:type="dxa"/>
          </w:tcPr>
          <w:p>
            <w:pPr>
              <w:pStyle w:val="TableParagraph"/>
              <w:rPr>
                <w:sz w:val="16"/>
              </w:rPr>
            </w:pPr>
          </w:p>
        </w:tc>
        <w:tc>
          <w:tcPr>
            <w:tcW w:w="1433" w:type="dxa"/>
          </w:tcPr>
          <w:p>
            <w:pPr>
              <w:pStyle w:val="TableParagraph"/>
              <w:rPr>
                <w:sz w:val="16"/>
              </w:rPr>
            </w:pPr>
          </w:p>
        </w:tc>
        <w:tc>
          <w:tcPr>
            <w:tcW w:w="905" w:type="dxa"/>
          </w:tcPr>
          <w:p>
            <w:pPr>
              <w:pStyle w:val="TableParagraph"/>
              <w:rPr>
                <w:sz w:val="16"/>
              </w:rPr>
            </w:pPr>
          </w:p>
        </w:tc>
        <w:tc>
          <w:tcPr>
            <w:tcW w:w="930" w:type="dxa"/>
          </w:tcPr>
          <w:p>
            <w:pPr>
              <w:pStyle w:val="TableParagraph"/>
              <w:rPr>
                <w:sz w:val="16"/>
              </w:rPr>
            </w:pPr>
          </w:p>
        </w:tc>
      </w:tr>
      <w:tr>
        <w:trPr>
          <w:trHeight w:val="230" w:hRule="atLeast"/>
        </w:trPr>
        <w:tc>
          <w:tcPr>
            <w:tcW w:w="6491" w:type="dxa"/>
            <w:gridSpan w:val="5"/>
          </w:tcPr>
          <w:p>
            <w:pPr>
              <w:pStyle w:val="TableParagraph"/>
              <w:spacing w:line="210" w:lineRule="exact"/>
              <w:ind w:left="36"/>
              <w:rPr>
                <w:sz w:val="20"/>
              </w:rPr>
            </w:pPr>
            <w:r>
              <w:rPr>
                <w:sz w:val="20"/>
              </w:rPr>
              <w:t>Date:</w:t>
            </w:r>
            <w:r>
              <w:rPr>
                <w:spacing w:val="-5"/>
                <w:sz w:val="20"/>
              </w:rPr>
              <w:t> </w:t>
            </w:r>
            <w:r>
              <w:rPr>
                <w:sz w:val="20"/>
              </w:rPr>
              <w:t>02/18/14</w:t>
            </w:r>
            <w:r>
              <w:rPr>
                <w:spacing w:val="63"/>
                <w:w w:val="150"/>
                <w:sz w:val="20"/>
              </w:rPr>
              <w:t> </w:t>
            </w:r>
            <w:r>
              <w:rPr>
                <w:sz w:val="20"/>
              </w:rPr>
              <w:t>Time:</w:t>
            </w:r>
            <w:r>
              <w:rPr>
                <w:spacing w:val="-3"/>
                <w:sz w:val="20"/>
              </w:rPr>
              <w:t> </w:t>
            </w:r>
            <w:r>
              <w:rPr>
                <w:spacing w:val="-2"/>
                <w:sz w:val="20"/>
              </w:rPr>
              <w:t>13:39</w:t>
            </w:r>
          </w:p>
        </w:tc>
      </w:tr>
      <w:tr>
        <w:trPr>
          <w:trHeight w:val="230" w:hRule="atLeast"/>
        </w:trPr>
        <w:tc>
          <w:tcPr>
            <w:tcW w:w="6491" w:type="dxa"/>
            <w:gridSpan w:val="5"/>
          </w:tcPr>
          <w:p>
            <w:pPr>
              <w:pStyle w:val="TableParagraph"/>
              <w:spacing w:line="210" w:lineRule="exact"/>
              <w:ind w:left="36"/>
              <w:rPr>
                <w:sz w:val="20"/>
              </w:rPr>
            </w:pPr>
            <w:r>
              <w:rPr>
                <w:sz w:val="20"/>
              </w:rPr>
              <w:t>Sample(adjusted):</w:t>
            </w:r>
            <w:r>
              <w:rPr>
                <w:spacing w:val="-9"/>
                <w:sz w:val="20"/>
              </w:rPr>
              <w:t> </w:t>
            </w:r>
            <w:r>
              <w:rPr>
                <w:sz w:val="20"/>
              </w:rPr>
              <w:t>1972</w:t>
            </w:r>
            <w:r>
              <w:rPr>
                <w:spacing w:val="-9"/>
                <w:sz w:val="20"/>
              </w:rPr>
              <w:t> </w:t>
            </w:r>
            <w:r>
              <w:rPr>
                <w:spacing w:val="-4"/>
                <w:sz w:val="20"/>
              </w:rPr>
              <w:t>2011</w:t>
            </w:r>
          </w:p>
        </w:tc>
      </w:tr>
      <w:tr>
        <w:trPr>
          <w:trHeight w:val="230" w:hRule="atLeast"/>
        </w:trPr>
        <w:tc>
          <w:tcPr>
            <w:tcW w:w="6491" w:type="dxa"/>
            <w:gridSpan w:val="5"/>
          </w:tcPr>
          <w:p>
            <w:pPr>
              <w:pStyle w:val="TableParagraph"/>
              <w:spacing w:line="210" w:lineRule="exact"/>
              <w:ind w:left="36"/>
              <w:rPr>
                <w:sz w:val="20"/>
              </w:rPr>
            </w:pPr>
            <w:r>
              <w:rPr>
                <w:sz w:val="20"/>
              </w:rPr>
              <w:t>Included</w:t>
            </w:r>
            <w:r>
              <w:rPr>
                <w:spacing w:val="-9"/>
                <w:sz w:val="20"/>
              </w:rPr>
              <w:t> </w:t>
            </w:r>
            <w:r>
              <w:rPr>
                <w:sz w:val="20"/>
              </w:rPr>
              <w:t>observations:</w:t>
            </w:r>
            <w:r>
              <w:rPr>
                <w:spacing w:val="-10"/>
                <w:sz w:val="20"/>
              </w:rPr>
              <w:t> </w:t>
            </w:r>
            <w:r>
              <w:rPr>
                <w:spacing w:val="-5"/>
                <w:sz w:val="20"/>
              </w:rPr>
              <w:t>37</w:t>
            </w:r>
          </w:p>
        </w:tc>
      </w:tr>
      <w:tr>
        <w:trPr>
          <w:trHeight w:val="224" w:hRule="atLeast"/>
        </w:trPr>
        <w:tc>
          <w:tcPr>
            <w:tcW w:w="6491" w:type="dxa"/>
            <w:gridSpan w:val="5"/>
            <w:tcBorders>
              <w:bottom w:val="double" w:sz="6" w:space="0" w:color="000000"/>
            </w:tcBorders>
          </w:tcPr>
          <w:p>
            <w:pPr>
              <w:pStyle w:val="TableParagraph"/>
              <w:spacing w:line="205" w:lineRule="exact"/>
              <w:ind w:left="36"/>
              <w:rPr>
                <w:sz w:val="20"/>
              </w:rPr>
            </w:pPr>
            <w:r>
              <w:rPr>
                <w:sz w:val="20"/>
              </w:rPr>
              <w:t>Excluded</w:t>
            </w:r>
            <w:r>
              <w:rPr>
                <w:spacing w:val="-7"/>
                <w:sz w:val="20"/>
              </w:rPr>
              <w:t> </w:t>
            </w:r>
            <w:r>
              <w:rPr>
                <w:sz w:val="20"/>
              </w:rPr>
              <w:t>observations:</w:t>
            </w:r>
            <w:r>
              <w:rPr>
                <w:spacing w:val="-7"/>
                <w:sz w:val="20"/>
              </w:rPr>
              <w:t> </w:t>
            </w:r>
            <w:r>
              <w:rPr>
                <w:sz w:val="20"/>
              </w:rPr>
              <w:t>3</w:t>
            </w:r>
            <w:r>
              <w:rPr>
                <w:spacing w:val="-7"/>
                <w:sz w:val="20"/>
              </w:rPr>
              <w:t> </w:t>
            </w:r>
            <w:r>
              <w:rPr>
                <w:sz w:val="20"/>
              </w:rPr>
              <w:t>after</w:t>
            </w:r>
            <w:r>
              <w:rPr>
                <w:spacing w:val="-4"/>
                <w:sz w:val="20"/>
              </w:rPr>
              <w:t> </w:t>
            </w:r>
            <w:r>
              <w:rPr>
                <w:sz w:val="20"/>
              </w:rPr>
              <w:t>adjusting</w:t>
            </w:r>
            <w:r>
              <w:rPr>
                <w:spacing w:val="-8"/>
                <w:sz w:val="20"/>
              </w:rPr>
              <w:t> </w:t>
            </w:r>
            <w:r>
              <w:rPr>
                <w:spacing w:val="-2"/>
                <w:sz w:val="20"/>
              </w:rPr>
              <w:t>endpoints</w:t>
            </w:r>
          </w:p>
        </w:tc>
      </w:tr>
      <w:tr>
        <w:trPr>
          <w:trHeight w:val="269" w:hRule="atLeast"/>
        </w:trPr>
        <w:tc>
          <w:tcPr>
            <w:tcW w:w="1873" w:type="dxa"/>
            <w:tcBorders>
              <w:top w:val="double" w:sz="6" w:space="0" w:color="000000"/>
              <w:bottom w:val="double" w:sz="6" w:space="0" w:color="000000"/>
            </w:tcBorders>
          </w:tcPr>
          <w:p>
            <w:pPr>
              <w:pStyle w:val="TableParagraph"/>
              <w:spacing w:line="209" w:lineRule="exact" w:before="40"/>
              <w:ind w:left="677"/>
              <w:rPr>
                <w:sz w:val="20"/>
              </w:rPr>
            </w:pPr>
            <w:r>
              <w:rPr>
                <w:spacing w:val="-2"/>
                <w:sz w:val="20"/>
              </w:rPr>
              <w:t>Variable</w:t>
            </w:r>
          </w:p>
        </w:tc>
        <w:tc>
          <w:tcPr>
            <w:tcW w:w="1350" w:type="dxa"/>
            <w:tcBorders>
              <w:top w:val="double" w:sz="6" w:space="0" w:color="000000"/>
              <w:bottom w:val="double" w:sz="6" w:space="0" w:color="000000"/>
            </w:tcBorders>
          </w:tcPr>
          <w:p>
            <w:pPr>
              <w:pStyle w:val="TableParagraph"/>
              <w:spacing w:line="209" w:lineRule="exact" w:before="40"/>
              <w:ind w:right="132"/>
              <w:jc w:val="right"/>
              <w:rPr>
                <w:sz w:val="20"/>
              </w:rPr>
            </w:pPr>
            <w:r>
              <w:rPr>
                <w:spacing w:val="-2"/>
                <w:sz w:val="20"/>
              </w:rPr>
              <w:t>Coefficient</w:t>
            </w:r>
          </w:p>
        </w:tc>
        <w:tc>
          <w:tcPr>
            <w:tcW w:w="1433" w:type="dxa"/>
            <w:tcBorders>
              <w:top w:val="double" w:sz="6" w:space="0" w:color="000000"/>
              <w:bottom w:val="double" w:sz="6" w:space="0" w:color="000000"/>
            </w:tcBorders>
          </w:tcPr>
          <w:p>
            <w:pPr>
              <w:pStyle w:val="TableParagraph"/>
              <w:spacing w:line="209" w:lineRule="exact" w:before="40"/>
              <w:ind w:left="272"/>
              <w:rPr>
                <w:sz w:val="20"/>
              </w:rPr>
            </w:pPr>
            <w:r>
              <w:rPr>
                <w:sz w:val="20"/>
              </w:rPr>
              <w:t>Std.</w:t>
            </w:r>
            <w:r>
              <w:rPr>
                <w:spacing w:val="-4"/>
                <w:sz w:val="20"/>
              </w:rPr>
              <w:t> </w:t>
            </w:r>
            <w:r>
              <w:rPr>
                <w:spacing w:val="-2"/>
                <w:sz w:val="20"/>
              </w:rPr>
              <w:t>Error</w:t>
            </w:r>
          </w:p>
        </w:tc>
        <w:tc>
          <w:tcPr>
            <w:tcW w:w="905" w:type="dxa"/>
            <w:tcBorders>
              <w:top w:val="double" w:sz="6" w:space="0" w:color="000000"/>
              <w:bottom w:val="double" w:sz="6" w:space="0" w:color="000000"/>
            </w:tcBorders>
          </w:tcPr>
          <w:p>
            <w:pPr>
              <w:pStyle w:val="TableParagraph"/>
              <w:spacing w:line="209" w:lineRule="exact" w:before="40"/>
              <w:ind w:right="27"/>
              <w:jc w:val="center"/>
              <w:rPr>
                <w:sz w:val="20"/>
              </w:rPr>
            </w:pPr>
            <w:r>
              <w:rPr>
                <w:spacing w:val="-4"/>
                <w:sz w:val="20"/>
              </w:rPr>
              <w:t>t-</w:t>
            </w:r>
            <w:r>
              <w:rPr>
                <w:spacing w:val="-2"/>
                <w:sz w:val="20"/>
              </w:rPr>
              <w:t>Statistic</w:t>
            </w:r>
          </w:p>
        </w:tc>
        <w:tc>
          <w:tcPr>
            <w:tcW w:w="930" w:type="dxa"/>
            <w:tcBorders>
              <w:top w:val="double" w:sz="6" w:space="0" w:color="000000"/>
              <w:bottom w:val="double" w:sz="6" w:space="0" w:color="000000"/>
            </w:tcBorders>
          </w:tcPr>
          <w:p>
            <w:pPr>
              <w:pStyle w:val="TableParagraph"/>
              <w:spacing w:line="209" w:lineRule="exact" w:before="40"/>
              <w:ind w:right="32"/>
              <w:jc w:val="right"/>
              <w:rPr>
                <w:sz w:val="20"/>
              </w:rPr>
            </w:pPr>
            <w:r>
              <w:rPr>
                <w:spacing w:val="-2"/>
                <w:sz w:val="20"/>
              </w:rPr>
              <w:t>Prob.</w:t>
            </w:r>
          </w:p>
        </w:tc>
      </w:tr>
      <w:tr>
        <w:trPr>
          <w:trHeight w:val="275" w:hRule="atLeast"/>
        </w:trPr>
        <w:tc>
          <w:tcPr>
            <w:tcW w:w="1873" w:type="dxa"/>
            <w:tcBorders>
              <w:top w:val="double" w:sz="6" w:space="0" w:color="000000"/>
            </w:tcBorders>
          </w:tcPr>
          <w:p>
            <w:pPr>
              <w:pStyle w:val="TableParagraph"/>
              <w:spacing w:line="215" w:lineRule="exact" w:before="40"/>
              <w:ind w:left="732"/>
              <w:rPr>
                <w:sz w:val="20"/>
              </w:rPr>
            </w:pPr>
            <w:r>
              <w:rPr>
                <w:spacing w:val="-2"/>
                <w:sz w:val="20"/>
              </w:rPr>
              <w:t>DR(-</w:t>
            </w:r>
            <w:r>
              <w:rPr>
                <w:spacing w:val="-5"/>
                <w:sz w:val="20"/>
              </w:rPr>
              <w:t>1)</w:t>
            </w:r>
          </w:p>
        </w:tc>
        <w:tc>
          <w:tcPr>
            <w:tcW w:w="1350" w:type="dxa"/>
            <w:tcBorders>
              <w:top w:val="double" w:sz="6" w:space="0" w:color="000000"/>
            </w:tcBorders>
          </w:tcPr>
          <w:p>
            <w:pPr>
              <w:pStyle w:val="TableParagraph"/>
              <w:spacing w:line="215" w:lineRule="exact" w:before="40"/>
              <w:ind w:right="129"/>
              <w:jc w:val="right"/>
              <w:rPr>
                <w:sz w:val="20"/>
              </w:rPr>
            </w:pPr>
            <w:r>
              <w:rPr>
                <w:spacing w:val="-2"/>
                <w:sz w:val="20"/>
              </w:rPr>
              <w:t>0.001953</w:t>
            </w:r>
          </w:p>
        </w:tc>
        <w:tc>
          <w:tcPr>
            <w:tcW w:w="1433" w:type="dxa"/>
            <w:tcBorders>
              <w:top w:val="double" w:sz="6" w:space="0" w:color="000000"/>
            </w:tcBorders>
          </w:tcPr>
          <w:p>
            <w:pPr>
              <w:pStyle w:val="TableParagraph"/>
              <w:spacing w:line="215" w:lineRule="exact" w:before="40"/>
              <w:ind w:left="310"/>
              <w:rPr>
                <w:sz w:val="20"/>
              </w:rPr>
            </w:pPr>
            <w:r>
              <w:rPr>
                <w:spacing w:val="-2"/>
                <w:sz w:val="20"/>
              </w:rPr>
              <w:t>0.061899</w:t>
            </w:r>
          </w:p>
        </w:tc>
        <w:tc>
          <w:tcPr>
            <w:tcW w:w="905" w:type="dxa"/>
            <w:tcBorders>
              <w:top w:val="double" w:sz="6" w:space="0" w:color="000000"/>
            </w:tcBorders>
          </w:tcPr>
          <w:p>
            <w:pPr>
              <w:pStyle w:val="TableParagraph"/>
              <w:spacing w:line="215" w:lineRule="exact" w:before="40"/>
              <w:ind w:right="10"/>
              <w:jc w:val="center"/>
              <w:rPr>
                <w:sz w:val="20"/>
              </w:rPr>
            </w:pPr>
            <w:r>
              <w:rPr>
                <w:spacing w:val="-2"/>
                <w:sz w:val="20"/>
              </w:rPr>
              <w:t>0.031552</w:t>
            </w:r>
          </w:p>
        </w:tc>
        <w:tc>
          <w:tcPr>
            <w:tcW w:w="930" w:type="dxa"/>
            <w:tcBorders>
              <w:top w:val="double" w:sz="6" w:space="0" w:color="000000"/>
            </w:tcBorders>
          </w:tcPr>
          <w:p>
            <w:pPr>
              <w:pStyle w:val="TableParagraph"/>
              <w:spacing w:line="215" w:lineRule="exact" w:before="40"/>
              <w:ind w:right="31"/>
              <w:jc w:val="right"/>
              <w:rPr>
                <w:sz w:val="20"/>
              </w:rPr>
            </w:pPr>
            <w:r>
              <w:rPr>
                <w:spacing w:val="-2"/>
                <w:sz w:val="20"/>
              </w:rPr>
              <w:t>0.9750</w:t>
            </w:r>
          </w:p>
        </w:tc>
      </w:tr>
      <w:tr>
        <w:trPr>
          <w:trHeight w:val="230" w:hRule="atLeast"/>
        </w:trPr>
        <w:tc>
          <w:tcPr>
            <w:tcW w:w="1873" w:type="dxa"/>
          </w:tcPr>
          <w:p>
            <w:pPr>
              <w:pStyle w:val="TableParagraph"/>
              <w:spacing w:line="210" w:lineRule="exact"/>
              <w:ind w:left="595"/>
              <w:rPr>
                <w:sz w:val="20"/>
              </w:rPr>
            </w:pPr>
            <w:r>
              <w:rPr>
                <w:spacing w:val="-2"/>
                <w:sz w:val="20"/>
              </w:rPr>
              <w:t>D(DR(-</w:t>
            </w:r>
            <w:r>
              <w:rPr>
                <w:spacing w:val="-5"/>
                <w:sz w:val="20"/>
              </w:rPr>
              <w:t>1))</w:t>
            </w:r>
          </w:p>
        </w:tc>
        <w:tc>
          <w:tcPr>
            <w:tcW w:w="1350" w:type="dxa"/>
          </w:tcPr>
          <w:p>
            <w:pPr>
              <w:pStyle w:val="TableParagraph"/>
              <w:spacing w:line="210" w:lineRule="exact"/>
              <w:ind w:right="129"/>
              <w:jc w:val="right"/>
              <w:rPr>
                <w:sz w:val="20"/>
              </w:rPr>
            </w:pPr>
            <w:r>
              <w:rPr>
                <w:spacing w:val="-4"/>
                <w:sz w:val="20"/>
              </w:rPr>
              <w:t>-</w:t>
            </w:r>
            <w:r>
              <w:rPr>
                <w:spacing w:val="-2"/>
                <w:sz w:val="20"/>
              </w:rPr>
              <w:t>0.018330</w:t>
            </w:r>
          </w:p>
        </w:tc>
        <w:tc>
          <w:tcPr>
            <w:tcW w:w="1433" w:type="dxa"/>
          </w:tcPr>
          <w:p>
            <w:pPr>
              <w:pStyle w:val="TableParagraph"/>
              <w:spacing w:line="210" w:lineRule="exact"/>
              <w:ind w:left="310"/>
              <w:rPr>
                <w:sz w:val="20"/>
              </w:rPr>
            </w:pPr>
            <w:r>
              <w:rPr>
                <w:spacing w:val="-2"/>
                <w:sz w:val="20"/>
              </w:rPr>
              <w:t>0.188951</w:t>
            </w:r>
          </w:p>
        </w:tc>
        <w:tc>
          <w:tcPr>
            <w:tcW w:w="905" w:type="dxa"/>
          </w:tcPr>
          <w:p>
            <w:pPr>
              <w:pStyle w:val="TableParagraph"/>
              <w:spacing w:line="210" w:lineRule="exact"/>
              <w:ind w:right="75"/>
              <w:jc w:val="center"/>
              <w:rPr>
                <w:sz w:val="20"/>
              </w:rPr>
            </w:pPr>
            <w:r>
              <w:rPr>
                <w:spacing w:val="-4"/>
                <w:sz w:val="20"/>
              </w:rPr>
              <w:t>-</w:t>
            </w:r>
            <w:r>
              <w:rPr>
                <w:spacing w:val="-2"/>
                <w:sz w:val="20"/>
              </w:rPr>
              <w:t>0.097008</w:t>
            </w:r>
          </w:p>
        </w:tc>
        <w:tc>
          <w:tcPr>
            <w:tcW w:w="930" w:type="dxa"/>
          </w:tcPr>
          <w:p>
            <w:pPr>
              <w:pStyle w:val="TableParagraph"/>
              <w:spacing w:line="210" w:lineRule="exact"/>
              <w:ind w:right="31"/>
              <w:jc w:val="right"/>
              <w:rPr>
                <w:sz w:val="20"/>
              </w:rPr>
            </w:pPr>
            <w:r>
              <w:rPr>
                <w:spacing w:val="-2"/>
                <w:sz w:val="20"/>
              </w:rPr>
              <w:t>0.9233</w:t>
            </w:r>
          </w:p>
        </w:tc>
      </w:tr>
      <w:tr>
        <w:trPr>
          <w:trHeight w:val="224" w:hRule="atLeast"/>
        </w:trPr>
        <w:tc>
          <w:tcPr>
            <w:tcW w:w="1873" w:type="dxa"/>
            <w:tcBorders>
              <w:bottom w:val="double" w:sz="6" w:space="0" w:color="000000"/>
            </w:tcBorders>
          </w:tcPr>
          <w:p>
            <w:pPr>
              <w:pStyle w:val="TableParagraph"/>
              <w:spacing w:line="205" w:lineRule="exact"/>
              <w:ind w:left="171"/>
              <w:jc w:val="center"/>
              <w:rPr>
                <w:sz w:val="20"/>
              </w:rPr>
            </w:pPr>
            <w:r>
              <w:rPr>
                <w:spacing w:val="-10"/>
                <w:sz w:val="20"/>
              </w:rPr>
              <w:t>C</w:t>
            </w:r>
          </w:p>
        </w:tc>
        <w:tc>
          <w:tcPr>
            <w:tcW w:w="1350" w:type="dxa"/>
            <w:tcBorders>
              <w:bottom w:val="double" w:sz="6" w:space="0" w:color="000000"/>
            </w:tcBorders>
          </w:tcPr>
          <w:p>
            <w:pPr>
              <w:pStyle w:val="TableParagraph"/>
              <w:spacing w:line="205" w:lineRule="exact"/>
              <w:ind w:right="129"/>
              <w:jc w:val="right"/>
              <w:rPr>
                <w:sz w:val="20"/>
              </w:rPr>
            </w:pPr>
            <w:r>
              <w:rPr>
                <w:spacing w:val="-4"/>
                <w:sz w:val="20"/>
              </w:rPr>
              <w:t>-</w:t>
            </w:r>
            <w:r>
              <w:rPr>
                <w:spacing w:val="-2"/>
                <w:sz w:val="20"/>
              </w:rPr>
              <w:t>0.029941</w:t>
            </w:r>
          </w:p>
        </w:tc>
        <w:tc>
          <w:tcPr>
            <w:tcW w:w="1433" w:type="dxa"/>
            <w:tcBorders>
              <w:bottom w:val="double" w:sz="6" w:space="0" w:color="000000"/>
            </w:tcBorders>
          </w:tcPr>
          <w:p>
            <w:pPr>
              <w:pStyle w:val="TableParagraph"/>
              <w:spacing w:line="205" w:lineRule="exact"/>
              <w:ind w:left="310"/>
              <w:rPr>
                <w:sz w:val="20"/>
              </w:rPr>
            </w:pPr>
            <w:r>
              <w:rPr>
                <w:spacing w:val="-2"/>
                <w:sz w:val="20"/>
              </w:rPr>
              <w:t>0.120583</w:t>
            </w:r>
          </w:p>
        </w:tc>
        <w:tc>
          <w:tcPr>
            <w:tcW w:w="905" w:type="dxa"/>
            <w:tcBorders>
              <w:bottom w:val="double" w:sz="6" w:space="0" w:color="000000"/>
            </w:tcBorders>
          </w:tcPr>
          <w:p>
            <w:pPr>
              <w:pStyle w:val="TableParagraph"/>
              <w:spacing w:line="205" w:lineRule="exact"/>
              <w:ind w:right="75"/>
              <w:jc w:val="center"/>
              <w:rPr>
                <w:sz w:val="20"/>
              </w:rPr>
            </w:pPr>
            <w:r>
              <w:rPr>
                <w:spacing w:val="-4"/>
                <w:sz w:val="20"/>
              </w:rPr>
              <w:t>-</w:t>
            </w:r>
            <w:r>
              <w:rPr>
                <w:spacing w:val="-2"/>
                <w:sz w:val="20"/>
              </w:rPr>
              <w:t>0.248304</w:t>
            </w:r>
          </w:p>
        </w:tc>
        <w:tc>
          <w:tcPr>
            <w:tcW w:w="930" w:type="dxa"/>
            <w:tcBorders>
              <w:bottom w:val="double" w:sz="6" w:space="0" w:color="000000"/>
            </w:tcBorders>
          </w:tcPr>
          <w:p>
            <w:pPr>
              <w:pStyle w:val="TableParagraph"/>
              <w:spacing w:line="205" w:lineRule="exact"/>
              <w:ind w:right="31"/>
              <w:jc w:val="right"/>
              <w:rPr>
                <w:sz w:val="20"/>
              </w:rPr>
            </w:pPr>
            <w:r>
              <w:rPr>
                <w:spacing w:val="-2"/>
                <w:sz w:val="20"/>
              </w:rPr>
              <w:t>0.8054</w:t>
            </w:r>
          </w:p>
        </w:tc>
      </w:tr>
      <w:tr>
        <w:trPr>
          <w:trHeight w:val="275" w:hRule="atLeast"/>
        </w:trPr>
        <w:tc>
          <w:tcPr>
            <w:tcW w:w="1873" w:type="dxa"/>
            <w:tcBorders>
              <w:top w:val="double" w:sz="6" w:space="0" w:color="000000"/>
            </w:tcBorders>
          </w:tcPr>
          <w:p>
            <w:pPr>
              <w:pStyle w:val="TableParagraph"/>
              <w:spacing w:line="215" w:lineRule="exact" w:before="40"/>
              <w:ind w:left="36"/>
              <w:rPr>
                <w:sz w:val="20"/>
              </w:rPr>
            </w:pPr>
            <w:r>
              <w:rPr>
                <w:spacing w:val="-2"/>
                <w:sz w:val="20"/>
              </w:rPr>
              <w:t>R-squared</w:t>
            </w:r>
          </w:p>
        </w:tc>
        <w:tc>
          <w:tcPr>
            <w:tcW w:w="1350" w:type="dxa"/>
            <w:tcBorders>
              <w:top w:val="double" w:sz="6" w:space="0" w:color="000000"/>
            </w:tcBorders>
          </w:tcPr>
          <w:p>
            <w:pPr>
              <w:pStyle w:val="TableParagraph"/>
              <w:spacing w:line="215" w:lineRule="exact" w:before="40"/>
              <w:ind w:right="129"/>
              <w:jc w:val="right"/>
              <w:rPr>
                <w:sz w:val="20"/>
              </w:rPr>
            </w:pPr>
            <w:r>
              <w:rPr>
                <w:spacing w:val="-2"/>
                <w:sz w:val="20"/>
              </w:rPr>
              <w:t>0.000278</w:t>
            </w:r>
          </w:p>
        </w:tc>
        <w:tc>
          <w:tcPr>
            <w:tcW w:w="2338" w:type="dxa"/>
            <w:gridSpan w:val="2"/>
            <w:tcBorders>
              <w:top w:val="double" w:sz="6" w:space="0" w:color="000000"/>
            </w:tcBorders>
          </w:tcPr>
          <w:p>
            <w:pPr>
              <w:pStyle w:val="TableParagraph"/>
              <w:spacing w:line="215" w:lineRule="exact" w:before="40"/>
              <w:ind w:left="130"/>
              <w:rPr>
                <w:sz w:val="20"/>
              </w:rPr>
            </w:pPr>
            <w:r>
              <w:rPr>
                <w:sz w:val="20"/>
              </w:rPr>
              <w:t>Mean</w:t>
            </w:r>
            <w:r>
              <w:rPr>
                <w:spacing w:val="-7"/>
                <w:sz w:val="20"/>
              </w:rPr>
              <w:t> </w:t>
            </w:r>
            <w:r>
              <w:rPr>
                <w:sz w:val="20"/>
              </w:rPr>
              <w:t>dependent</w:t>
            </w:r>
            <w:r>
              <w:rPr>
                <w:spacing w:val="-7"/>
                <w:sz w:val="20"/>
              </w:rPr>
              <w:t> </w:t>
            </w:r>
            <w:r>
              <w:rPr>
                <w:spacing w:val="-5"/>
                <w:sz w:val="20"/>
              </w:rPr>
              <w:t>var</w:t>
            </w:r>
          </w:p>
        </w:tc>
        <w:tc>
          <w:tcPr>
            <w:tcW w:w="930" w:type="dxa"/>
            <w:tcBorders>
              <w:top w:val="double" w:sz="6" w:space="0" w:color="000000"/>
            </w:tcBorders>
          </w:tcPr>
          <w:p>
            <w:pPr>
              <w:pStyle w:val="TableParagraph"/>
              <w:spacing w:line="215" w:lineRule="exact" w:before="40"/>
              <w:ind w:right="31"/>
              <w:jc w:val="right"/>
              <w:rPr>
                <w:sz w:val="20"/>
              </w:rPr>
            </w:pPr>
            <w:r>
              <w:rPr>
                <w:spacing w:val="-4"/>
                <w:sz w:val="20"/>
              </w:rPr>
              <w:t>-</w:t>
            </w:r>
            <w:r>
              <w:rPr>
                <w:spacing w:val="-2"/>
                <w:sz w:val="20"/>
              </w:rPr>
              <w:t>0.026056</w:t>
            </w:r>
          </w:p>
        </w:tc>
      </w:tr>
      <w:tr>
        <w:trPr>
          <w:trHeight w:val="230" w:hRule="atLeast"/>
        </w:trPr>
        <w:tc>
          <w:tcPr>
            <w:tcW w:w="1873" w:type="dxa"/>
          </w:tcPr>
          <w:p>
            <w:pPr>
              <w:pStyle w:val="TableParagraph"/>
              <w:spacing w:line="211" w:lineRule="exact"/>
              <w:ind w:left="36"/>
              <w:rPr>
                <w:sz w:val="20"/>
              </w:rPr>
            </w:pPr>
            <w:r>
              <w:rPr>
                <w:sz w:val="20"/>
              </w:rPr>
              <w:t>Adjusted</w:t>
            </w:r>
            <w:r>
              <w:rPr>
                <w:spacing w:val="-10"/>
                <w:sz w:val="20"/>
              </w:rPr>
              <w:t> </w:t>
            </w:r>
            <w:r>
              <w:rPr>
                <w:sz w:val="20"/>
              </w:rPr>
              <w:t>R-</w:t>
            </w:r>
            <w:r>
              <w:rPr>
                <w:spacing w:val="-2"/>
                <w:sz w:val="20"/>
              </w:rPr>
              <w:t>squared</w:t>
            </w:r>
          </w:p>
        </w:tc>
        <w:tc>
          <w:tcPr>
            <w:tcW w:w="1350" w:type="dxa"/>
          </w:tcPr>
          <w:p>
            <w:pPr>
              <w:pStyle w:val="TableParagraph"/>
              <w:spacing w:line="211" w:lineRule="exact"/>
              <w:ind w:right="129"/>
              <w:jc w:val="right"/>
              <w:rPr>
                <w:sz w:val="20"/>
              </w:rPr>
            </w:pPr>
            <w:r>
              <w:rPr>
                <w:spacing w:val="-4"/>
                <w:sz w:val="20"/>
              </w:rPr>
              <w:t>-</w:t>
            </w:r>
            <w:r>
              <w:rPr>
                <w:spacing w:val="-2"/>
                <w:sz w:val="20"/>
              </w:rPr>
              <w:t>0.058529</w:t>
            </w:r>
          </w:p>
        </w:tc>
        <w:tc>
          <w:tcPr>
            <w:tcW w:w="2338" w:type="dxa"/>
            <w:gridSpan w:val="2"/>
          </w:tcPr>
          <w:p>
            <w:pPr>
              <w:pStyle w:val="TableParagraph"/>
              <w:spacing w:line="211" w:lineRule="exact"/>
              <w:ind w:left="130"/>
              <w:rPr>
                <w:sz w:val="20"/>
              </w:rPr>
            </w:pPr>
            <w:r>
              <w:rPr>
                <w:sz w:val="20"/>
              </w:rPr>
              <w:t>S.D.</w:t>
            </w:r>
            <w:r>
              <w:rPr>
                <w:spacing w:val="-5"/>
                <w:sz w:val="20"/>
              </w:rPr>
              <w:t> </w:t>
            </w:r>
            <w:r>
              <w:rPr>
                <w:sz w:val="20"/>
              </w:rPr>
              <w:t>dependent</w:t>
            </w:r>
            <w:r>
              <w:rPr>
                <w:spacing w:val="-6"/>
                <w:sz w:val="20"/>
              </w:rPr>
              <w:t> </w:t>
            </w:r>
            <w:r>
              <w:rPr>
                <w:spacing w:val="-5"/>
                <w:sz w:val="20"/>
              </w:rPr>
              <w:t>var</w:t>
            </w:r>
          </w:p>
        </w:tc>
        <w:tc>
          <w:tcPr>
            <w:tcW w:w="930" w:type="dxa"/>
          </w:tcPr>
          <w:p>
            <w:pPr>
              <w:pStyle w:val="TableParagraph"/>
              <w:spacing w:line="211" w:lineRule="exact"/>
              <w:ind w:right="31"/>
              <w:jc w:val="right"/>
              <w:rPr>
                <w:sz w:val="20"/>
              </w:rPr>
            </w:pPr>
            <w:r>
              <w:rPr>
                <w:spacing w:val="-2"/>
                <w:sz w:val="20"/>
              </w:rPr>
              <w:t>0.221176</w:t>
            </w:r>
          </w:p>
        </w:tc>
      </w:tr>
      <w:tr>
        <w:trPr>
          <w:trHeight w:val="230" w:hRule="atLeast"/>
        </w:trPr>
        <w:tc>
          <w:tcPr>
            <w:tcW w:w="1873" w:type="dxa"/>
          </w:tcPr>
          <w:p>
            <w:pPr>
              <w:pStyle w:val="TableParagraph"/>
              <w:spacing w:line="210" w:lineRule="exact"/>
              <w:ind w:left="36"/>
              <w:rPr>
                <w:sz w:val="20"/>
              </w:rPr>
            </w:pPr>
            <w:r>
              <w:rPr>
                <w:sz w:val="20"/>
              </w:rPr>
              <w:t>S.E.</w:t>
            </w:r>
            <w:r>
              <w:rPr>
                <w:spacing w:val="-3"/>
                <w:sz w:val="20"/>
              </w:rPr>
              <w:t> </w:t>
            </w:r>
            <w:r>
              <w:rPr>
                <w:sz w:val="20"/>
              </w:rPr>
              <w:t>of</w:t>
            </w:r>
            <w:r>
              <w:rPr>
                <w:spacing w:val="-3"/>
                <w:sz w:val="20"/>
              </w:rPr>
              <w:t> </w:t>
            </w:r>
            <w:r>
              <w:rPr>
                <w:spacing w:val="-2"/>
                <w:sz w:val="20"/>
              </w:rPr>
              <w:t>regression</w:t>
            </w:r>
          </w:p>
        </w:tc>
        <w:tc>
          <w:tcPr>
            <w:tcW w:w="1350" w:type="dxa"/>
          </w:tcPr>
          <w:p>
            <w:pPr>
              <w:pStyle w:val="TableParagraph"/>
              <w:spacing w:line="210" w:lineRule="exact"/>
              <w:ind w:right="129"/>
              <w:jc w:val="right"/>
              <w:rPr>
                <w:sz w:val="20"/>
              </w:rPr>
            </w:pPr>
            <w:r>
              <w:rPr>
                <w:spacing w:val="-2"/>
                <w:sz w:val="20"/>
              </w:rPr>
              <w:t>0.227556</w:t>
            </w:r>
          </w:p>
        </w:tc>
        <w:tc>
          <w:tcPr>
            <w:tcW w:w="2338" w:type="dxa"/>
            <w:gridSpan w:val="2"/>
          </w:tcPr>
          <w:p>
            <w:pPr>
              <w:pStyle w:val="TableParagraph"/>
              <w:spacing w:line="210" w:lineRule="exact"/>
              <w:ind w:left="130"/>
              <w:rPr>
                <w:sz w:val="20"/>
              </w:rPr>
            </w:pPr>
            <w:r>
              <w:rPr>
                <w:sz w:val="20"/>
              </w:rPr>
              <w:t>Akaike</w:t>
            </w:r>
            <w:r>
              <w:rPr>
                <w:spacing w:val="-8"/>
                <w:sz w:val="20"/>
              </w:rPr>
              <w:t> </w:t>
            </w:r>
            <w:r>
              <w:rPr>
                <w:sz w:val="20"/>
              </w:rPr>
              <w:t>info</w:t>
            </w:r>
            <w:r>
              <w:rPr>
                <w:spacing w:val="-7"/>
                <w:sz w:val="20"/>
              </w:rPr>
              <w:t> </w:t>
            </w:r>
            <w:r>
              <w:rPr>
                <w:spacing w:val="-2"/>
                <w:sz w:val="20"/>
              </w:rPr>
              <w:t>criterion</w:t>
            </w:r>
          </w:p>
        </w:tc>
        <w:tc>
          <w:tcPr>
            <w:tcW w:w="930" w:type="dxa"/>
          </w:tcPr>
          <w:p>
            <w:pPr>
              <w:pStyle w:val="TableParagraph"/>
              <w:spacing w:line="210" w:lineRule="exact"/>
              <w:ind w:right="31"/>
              <w:jc w:val="right"/>
              <w:rPr>
                <w:sz w:val="20"/>
              </w:rPr>
            </w:pPr>
            <w:r>
              <w:rPr>
                <w:spacing w:val="-4"/>
                <w:sz w:val="20"/>
              </w:rPr>
              <w:t>-</w:t>
            </w:r>
            <w:r>
              <w:rPr>
                <w:spacing w:val="-2"/>
                <w:sz w:val="20"/>
              </w:rPr>
              <w:t>0.045235</w:t>
            </w:r>
          </w:p>
        </w:tc>
      </w:tr>
      <w:tr>
        <w:trPr>
          <w:trHeight w:val="229" w:hRule="atLeast"/>
        </w:trPr>
        <w:tc>
          <w:tcPr>
            <w:tcW w:w="1873" w:type="dxa"/>
          </w:tcPr>
          <w:p>
            <w:pPr>
              <w:pStyle w:val="TableParagraph"/>
              <w:spacing w:line="209" w:lineRule="exact"/>
              <w:ind w:left="36"/>
              <w:rPr>
                <w:sz w:val="20"/>
              </w:rPr>
            </w:pPr>
            <w:r>
              <w:rPr>
                <w:sz w:val="20"/>
              </w:rPr>
              <w:t>Sum</w:t>
            </w:r>
            <w:r>
              <w:rPr>
                <w:spacing w:val="-8"/>
                <w:sz w:val="20"/>
              </w:rPr>
              <w:t> </w:t>
            </w:r>
            <w:r>
              <w:rPr>
                <w:sz w:val="20"/>
              </w:rPr>
              <w:t>squared</w:t>
            </w:r>
            <w:r>
              <w:rPr>
                <w:spacing w:val="-4"/>
                <w:sz w:val="20"/>
              </w:rPr>
              <w:t> </w:t>
            </w:r>
            <w:r>
              <w:rPr>
                <w:spacing w:val="-2"/>
                <w:sz w:val="20"/>
              </w:rPr>
              <w:t>resid</w:t>
            </w:r>
          </w:p>
        </w:tc>
        <w:tc>
          <w:tcPr>
            <w:tcW w:w="1350" w:type="dxa"/>
          </w:tcPr>
          <w:p>
            <w:pPr>
              <w:pStyle w:val="TableParagraph"/>
              <w:spacing w:line="209" w:lineRule="exact"/>
              <w:ind w:right="129"/>
              <w:jc w:val="right"/>
              <w:rPr>
                <w:sz w:val="20"/>
              </w:rPr>
            </w:pPr>
            <w:r>
              <w:rPr>
                <w:spacing w:val="-2"/>
                <w:sz w:val="20"/>
              </w:rPr>
              <w:t>1.760581</w:t>
            </w:r>
          </w:p>
        </w:tc>
        <w:tc>
          <w:tcPr>
            <w:tcW w:w="2338" w:type="dxa"/>
            <w:gridSpan w:val="2"/>
          </w:tcPr>
          <w:p>
            <w:pPr>
              <w:pStyle w:val="TableParagraph"/>
              <w:spacing w:line="209" w:lineRule="exact"/>
              <w:ind w:left="130"/>
              <w:rPr>
                <w:sz w:val="20"/>
              </w:rPr>
            </w:pPr>
            <w:r>
              <w:rPr>
                <w:sz w:val="20"/>
              </w:rPr>
              <w:t>Schwarz</w:t>
            </w:r>
            <w:r>
              <w:rPr>
                <w:spacing w:val="-8"/>
                <w:sz w:val="20"/>
              </w:rPr>
              <w:t> </w:t>
            </w:r>
            <w:r>
              <w:rPr>
                <w:spacing w:val="-2"/>
                <w:sz w:val="20"/>
              </w:rPr>
              <w:t>criterion</w:t>
            </w:r>
          </w:p>
        </w:tc>
        <w:tc>
          <w:tcPr>
            <w:tcW w:w="930" w:type="dxa"/>
          </w:tcPr>
          <w:p>
            <w:pPr>
              <w:pStyle w:val="TableParagraph"/>
              <w:spacing w:line="209" w:lineRule="exact"/>
              <w:ind w:right="31"/>
              <w:jc w:val="right"/>
              <w:rPr>
                <w:sz w:val="20"/>
              </w:rPr>
            </w:pPr>
            <w:r>
              <w:rPr>
                <w:spacing w:val="-2"/>
                <w:sz w:val="20"/>
              </w:rPr>
              <w:t>0.085380</w:t>
            </w:r>
          </w:p>
        </w:tc>
      </w:tr>
      <w:tr>
        <w:trPr>
          <w:trHeight w:val="229" w:hRule="atLeast"/>
        </w:trPr>
        <w:tc>
          <w:tcPr>
            <w:tcW w:w="1873" w:type="dxa"/>
          </w:tcPr>
          <w:p>
            <w:pPr>
              <w:pStyle w:val="TableParagraph"/>
              <w:spacing w:line="209" w:lineRule="exact"/>
              <w:ind w:left="36"/>
              <w:rPr>
                <w:sz w:val="20"/>
              </w:rPr>
            </w:pPr>
            <w:r>
              <w:rPr>
                <w:sz w:val="20"/>
              </w:rPr>
              <w:t>Log</w:t>
            </w:r>
            <w:r>
              <w:rPr>
                <w:spacing w:val="-6"/>
                <w:sz w:val="20"/>
              </w:rPr>
              <w:t> </w:t>
            </w:r>
            <w:r>
              <w:rPr>
                <w:spacing w:val="-2"/>
                <w:sz w:val="20"/>
              </w:rPr>
              <w:t>likelihood</w:t>
            </w:r>
          </w:p>
        </w:tc>
        <w:tc>
          <w:tcPr>
            <w:tcW w:w="1350" w:type="dxa"/>
          </w:tcPr>
          <w:p>
            <w:pPr>
              <w:pStyle w:val="TableParagraph"/>
              <w:spacing w:line="209" w:lineRule="exact"/>
              <w:ind w:right="129"/>
              <w:jc w:val="right"/>
              <w:rPr>
                <w:sz w:val="20"/>
              </w:rPr>
            </w:pPr>
            <w:r>
              <w:rPr>
                <w:spacing w:val="-2"/>
                <w:sz w:val="20"/>
              </w:rPr>
              <w:t>3.836848</w:t>
            </w:r>
          </w:p>
        </w:tc>
        <w:tc>
          <w:tcPr>
            <w:tcW w:w="1433" w:type="dxa"/>
          </w:tcPr>
          <w:p>
            <w:pPr>
              <w:pStyle w:val="TableParagraph"/>
              <w:spacing w:line="209" w:lineRule="exact"/>
              <w:ind w:left="130"/>
              <w:rPr>
                <w:sz w:val="20"/>
              </w:rPr>
            </w:pPr>
            <w:r>
              <w:rPr>
                <w:spacing w:val="-4"/>
                <w:sz w:val="20"/>
              </w:rPr>
              <w:t>F-</w:t>
            </w:r>
            <w:r>
              <w:rPr>
                <w:spacing w:val="-2"/>
                <w:sz w:val="20"/>
              </w:rPr>
              <w:t>statistic</w:t>
            </w:r>
          </w:p>
        </w:tc>
        <w:tc>
          <w:tcPr>
            <w:tcW w:w="905" w:type="dxa"/>
          </w:tcPr>
          <w:p>
            <w:pPr>
              <w:pStyle w:val="TableParagraph"/>
              <w:rPr>
                <w:sz w:val="16"/>
              </w:rPr>
            </w:pPr>
          </w:p>
        </w:tc>
        <w:tc>
          <w:tcPr>
            <w:tcW w:w="930" w:type="dxa"/>
          </w:tcPr>
          <w:p>
            <w:pPr>
              <w:pStyle w:val="TableParagraph"/>
              <w:spacing w:line="209" w:lineRule="exact"/>
              <w:ind w:right="31"/>
              <w:jc w:val="right"/>
              <w:rPr>
                <w:sz w:val="20"/>
              </w:rPr>
            </w:pPr>
            <w:r>
              <w:rPr>
                <w:spacing w:val="-2"/>
                <w:sz w:val="20"/>
              </w:rPr>
              <w:t>0.004728</w:t>
            </w:r>
          </w:p>
        </w:tc>
      </w:tr>
      <w:tr>
        <w:trPr>
          <w:trHeight w:val="267" w:hRule="atLeast"/>
        </w:trPr>
        <w:tc>
          <w:tcPr>
            <w:tcW w:w="1873" w:type="dxa"/>
            <w:tcBorders>
              <w:bottom w:val="double" w:sz="6" w:space="0" w:color="000000"/>
            </w:tcBorders>
          </w:tcPr>
          <w:p>
            <w:pPr>
              <w:pStyle w:val="TableParagraph"/>
              <w:spacing w:line="226" w:lineRule="exact"/>
              <w:ind w:left="36"/>
              <w:rPr>
                <w:sz w:val="20"/>
              </w:rPr>
            </w:pPr>
            <w:r>
              <w:rPr>
                <w:sz w:val="20"/>
              </w:rPr>
              <w:t>Durbin-Watson</w:t>
            </w:r>
            <w:r>
              <w:rPr>
                <w:spacing w:val="-12"/>
                <w:sz w:val="20"/>
              </w:rPr>
              <w:t> </w:t>
            </w:r>
            <w:r>
              <w:rPr>
                <w:spacing w:val="-4"/>
                <w:sz w:val="20"/>
              </w:rPr>
              <w:t>stat</w:t>
            </w:r>
          </w:p>
        </w:tc>
        <w:tc>
          <w:tcPr>
            <w:tcW w:w="1350" w:type="dxa"/>
          </w:tcPr>
          <w:p>
            <w:pPr>
              <w:pStyle w:val="TableParagraph"/>
              <w:spacing w:line="226" w:lineRule="exact"/>
              <w:ind w:right="129"/>
              <w:jc w:val="right"/>
              <w:rPr>
                <w:sz w:val="20"/>
              </w:rPr>
            </w:pPr>
            <w:r>
              <w:rPr>
                <w:spacing w:val="-2"/>
                <w:sz w:val="20"/>
              </w:rPr>
              <w:t>1.901674</w:t>
            </w:r>
          </w:p>
        </w:tc>
        <w:tc>
          <w:tcPr>
            <w:tcW w:w="1433" w:type="dxa"/>
            <w:tcBorders>
              <w:bottom w:val="double" w:sz="6" w:space="0" w:color="000000"/>
            </w:tcBorders>
          </w:tcPr>
          <w:p>
            <w:pPr>
              <w:pStyle w:val="TableParagraph"/>
              <w:spacing w:line="226" w:lineRule="exact"/>
              <w:ind w:left="130"/>
              <w:rPr>
                <w:sz w:val="20"/>
              </w:rPr>
            </w:pPr>
            <w:r>
              <w:rPr>
                <w:spacing w:val="-2"/>
                <w:sz w:val="20"/>
              </w:rPr>
              <w:t>Prob(F-statistic)</w:t>
            </w:r>
          </w:p>
        </w:tc>
        <w:tc>
          <w:tcPr>
            <w:tcW w:w="905" w:type="dxa"/>
            <w:tcBorders>
              <w:bottom w:val="double" w:sz="6" w:space="0" w:color="000000"/>
            </w:tcBorders>
          </w:tcPr>
          <w:p>
            <w:pPr>
              <w:pStyle w:val="TableParagraph"/>
              <w:rPr>
                <w:sz w:val="18"/>
              </w:rPr>
            </w:pPr>
          </w:p>
        </w:tc>
        <w:tc>
          <w:tcPr>
            <w:tcW w:w="930" w:type="dxa"/>
            <w:tcBorders>
              <w:bottom w:val="double" w:sz="6" w:space="0" w:color="000000"/>
            </w:tcBorders>
          </w:tcPr>
          <w:p>
            <w:pPr>
              <w:pStyle w:val="TableParagraph"/>
              <w:spacing w:line="226" w:lineRule="exact"/>
              <w:ind w:right="31"/>
              <w:jc w:val="right"/>
              <w:rPr>
                <w:sz w:val="20"/>
              </w:rPr>
            </w:pPr>
            <w:r>
              <w:rPr>
                <w:spacing w:val="-2"/>
                <w:sz w:val="20"/>
              </w:rPr>
              <w:t>0.995284</w:t>
            </w:r>
          </w:p>
        </w:tc>
      </w:tr>
    </w:tbl>
    <w:p>
      <w:pPr>
        <w:spacing w:after="0" w:line="226" w:lineRule="exact"/>
        <w:jc w:val="right"/>
        <w:rPr>
          <w:sz w:val="20"/>
        </w:rPr>
        <w:sectPr>
          <w:pgSz w:w="11910" w:h="16840"/>
          <w:pgMar w:header="0" w:footer="979" w:top="1340" w:bottom="1240" w:left="280" w:right="0"/>
        </w:sectPr>
      </w:pPr>
    </w:p>
    <w:p>
      <w:pPr>
        <w:spacing w:before="82" w:after="3"/>
        <w:ind w:left="711" w:right="0" w:firstLine="0"/>
        <w:jc w:val="left"/>
        <w:rPr>
          <w:sz w:val="20"/>
        </w:rPr>
      </w:pPr>
      <w:r>
        <w:rPr>
          <w:sz w:val="20"/>
        </w:rPr>
        <w:t>DR</w:t>
      </w:r>
      <w:r>
        <w:rPr>
          <w:spacing w:val="-4"/>
          <w:sz w:val="20"/>
        </w:rPr>
        <w:t> </w:t>
      </w:r>
      <w:r>
        <w:rPr>
          <w:sz w:val="20"/>
        </w:rPr>
        <w:t>@</w:t>
      </w:r>
      <w:r>
        <w:rPr>
          <w:spacing w:val="-3"/>
          <w:sz w:val="20"/>
        </w:rPr>
        <w:t> </w:t>
      </w:r>
      <w:r>
        <w:rPr>
          <w:sz w:val="20"/>
        </w:rPr>
        <w:t>1</w:t>
      </w:r>
      <w:r>
        <w:rPr>
          <w:sz w:val="20"/>
          <w:vertAlign w:val="superscript"/>
        </w:rPr>
        <w:t>ST</w:t>
      </w:r>
      <w:r>
        <w:rPr>
          <w:spacing w:val="-2"/>
          <w:sz w:val="20"/>
          <w:vertAlign w:val="baseline"/>
        </w:rPr>
        <w:t> </w:t>
      </w:r>
      <w:r>
        <w:rPr>
          <w:spacing w:val="-4"/>
          <w:sz w:val="20"/>
          <w:vertAlign w:val="baseline"/>
        </w:rPr>
        <w:t>DIFF</w:t>
      </w:r>
    </w:p>
    <w:tbl>
      <w:tblPr>
        <w:tblW w:w="0" w:type="auto"/>
        <w:jc w:val="left"/>
        <w:tblInd w:w="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47"/>
        <w:gridCol w:w="1375"/>
        <w:gridCol w:w="1432"/>
        <w:gridCol w:w="904"/>
        <w:gridCol w:w="929"/>
      </w:tblGrid>
      <w:tr>
        <w:trPr>
          <w:trHeight w:val="224" w:hRule="atLeast"/>
        </w:trPr>
        <w:tc>
          <w:tcPr>
            <w:tcW w:w="1847" w:type="dxa"/>
          </w:tcPr>
          <w:p>
            <w:pPr>
              <w:pStyle w:val="TableParagraph"/>
              <w:spacing w:line="204" w:lineRule="exact"/>
              <w:ind w:left="36"/>
              <w:rPr>
                <w:sz w:val="20"/>
              </w:rPr>
            </w:pPr>
            <w:r>
              <w:rPr>
                <w:sz w:val="20"/>
              </w:rPr>
              <w:t>ADF</w:t>
            </w:r>
            <w:r>
              <w:rPr>
                <w:spacing w:val="-4"/>
                <w:sz w:val="20"/>
              </w:rPr>
              <w:t> </w:t>
            </w:r>
            <w:r>
              <w:rPr>
                <w:sz w:val="20"/>
              </w:rPr>
              <w:t>Test</w:t>
            </w:r>
            <w:r>
              <w:rPr>
                <w:spacing w:val="-4"/>
                <w:sz w:val="20"/>
              </w:rPr>
              <w:t> </w:t>
            </w:r>
            <w:r>
              <w:rPr>
                <w:spacing w:val="-2"/>
                <w:sz w:val="20"/>
              </w:rPr>
              <w:t>Statistic</w:t>
            </w:r>
          </w:p>
        </w:tc>
        <w:tc>
          <w:tcPr>
            <w:tcW w:w="1375" w:type="dxa"/>
          </w:tcPr>
          <w:p>
            <w:pPr>
              <w:pStyle w:val="TableParagraph"/>
              <w:spacing w:line="204" w:lineRule="exact"/>
              <w:ind w:left="219"/>
              <w:rPr>
                <w:sz w:val="20"/>
              </w:rPr>
            </w:pPr>
            <w:r>
              <w:rPr>
                <w:spacing w:val="-4"/>
                <w:sz w:val="20"/>
              </w:rPr>
              <w:t>-</w:t>
            </w:r>
            <w:r>
              <w:rPr>
                <w:spacing w:val="-2"/>
                <w:sz w:val="20"/>
              </w:rPr>
              <w:t>2.951926</w:t>
            </w:r>
          </w:p>
        </w:tc>
        <w:tc>
          <w:tcPr>
            <w:tcW w:w="2336" w:type="dxa"/>
            <w:gridSpan w:val="2"/>
          </w:tcPr>
          <w:p>
            <w:pPr>
              <w:pStyle w:val="TableParagraph"/>
              <w:spacing w:line="204" w:lineRule="exact"/>
              <w:ind w:left="131"/>
              <w:rPr>
                <w:sz w:val="20"/>
              </w:rPr>
            </w:pPr>
            <w:r>
              <w:rPr>
                <w:sz w:val="20"/>
              </w:rPr>
              <w:t>1%</w:t>
            </w:r>
            <w:r>
              <w:rPr>
                <w:spacing w:val="68"/>
                <w:w w:val="150"/>
                <w:sz w:val="20"/>
              </w:rPr>
              <w:t> </w:t>
            </w:r>
            <w:r>
              <w:rPr>
                <w:sz w:val="20"/>
              </w:rPr>
              <w:t>Critical</w:t>
            </w:r>
            <w:r>
              <w:rPr>
                <w:spacing w:val="-2"/>
                <w:sz w:val="20"/>
              </w:rPr>
              <w:t> Value*</w:t>
            </w:r>
          </w:p>
        </w:tc>
        <w:tc>
          <w:tcPr>
            <w:tcW w:w="929" w:type="dxa"/>
          </w:tcPr>
          <w:p>
            <w:pPr>
              <w:pStyle w:val="TableParagraph"/>
              <w:spacing w:line="204" w:lineRule="exact"/>
              <w:ind w:right="27"/>
              <w:jc w:val="right"/>
              <w:rPr>
                <w:sz w:val="20"/>
              </w:rPr>
            </w:pPr>
            <w:r>
              <w:rPr>
                <w:spacing w:val="-4"/>
                <w:sz w:val="20"/>
              </w:rPr>
              <w:t>-</w:t>
            </w:r>
            <w:r>
              <w:rPr>
                <w:spacing w:val="-2"/>
                <w:sz w:val="20"/>
              </w:rPr>
              <w:t>3.6289</w:t>
            </w:r>
          </w:p>
        </w:tc>
      </w:tr>
      <w:tr>
        <w:trPr>
          <w:trHeight w:val="229" w:hRule="atLeast"/>
        </w:trPr>
        <w:tc>
          <w:tcPr>
            <w:tcW w:w="1847" w:type="dxa"/>
          </w:tcPr>
          <w:p>
            <w:pPr>
              <w:pStyle w:val="TableParagraph"/>
              <w:rPr>
                <w:sz w:val="16"/>
              </w:rPr>
            </w:pPr>
          </w:p>
        </w:tc>
        <w:tc>
          <w:tcPr>
            <w:tcW w:w="1375" w:type="dxa"/>
          </w:tcPr>
          <w:p>
            <w:pPr>
              <w:pStyle w:val="TableParagraph"/>
              <w:rPr>
                <w:sz w:val="16"/>
              </w:rPr>
            </w:pPr>
          </w:p>
        </w:tc>
        <w:tc>
          <w:tcPr>
            <w:tcW w:w="2336" w:type="dxa"/>
            <w:gridSpan w:val="2"/>
          </w:tcPr>
          <w:p>
            <w:pPr>
              <w:pStyle w:val="TableParagraph"/>
              <w:spacing w:line="209" w:lineRule="exact"/>
              <w:ind w:left="131"/>
              <w:rPr>
                <w:sz w:val="20"/>
              </w:rPr>
            </w:pPr>
            <w:r>
              <w:rPr>
                <w:sz w:val="20"/>
              </w:rPr>
              <w:t>5%</w:t>
            </w:r>
            <w:r>
              <w:rPr>
                <w:spacing w:val="68"/>
                <w:w w:val="150"/>
                <w:sz w:val="20"/>
              </w:rPr>
              <w:t> </w:t>
            </w:r>
            <w:r>
              <w:rPr>
                <w:sz w:val="20"/>
              </w:rPr>
              <w:t>Critical</w:t>
            </w:r>
            <w:r>
              <w:rPr>
                <w:spacing w:val="-2"/>
                <w:sz w:val="20"/>
              </w:rPr>
              <w:t> </w:t>
            </w:r>
            <w:r>
              <w:rPr>
                <w:spacing w:val="-4"/>
                <w:sz w:val="20"/>
              </w:rPr>
              <w:t>Value</w:t>
            </w:r>
          </w:p>
        </w:tc>
        <w:tc>
          <w:tcPr>
            <w:tcW w:w="929" w:type="dxa"/>
          </w:tcPr>
          <w:p>
            <w:pPr>
              <w:pStyle w:val="TableParagraph"/>
              <w:spacing w:line="209" w:lineRule="exact"/>
              <w:ind w:right="27"/>
              <w:jc w:val="right"/>
              <w:rPr>
                <w:sz w:val="20"/>
              </w:rPr>
            </w:pPr>
            <w:r>
              <w:rPr>
                <w:spacing w:val="-4"/>
                <w:sz w:val="20"/>
              </w:rPr>
              <w:t>-</w:t>
            </w:r>
            <w:r>
              <w:rPr>
                <w:spacing w:val="-2"/>
                <w:sz w:val="20"/>
              </w:rPr>
              <w:t>2.9472</w:t>
            </w:r>
          </w:p>
        </w:tc>
      </w:tr>
      <w:tr>
        <w:trPr>
          <w:trHeight w:val="224" w:hRule="atLeast"/>
        </w:trPr>
        <w:tc>
          <w:tcPr>
            <w:tcW w:w="1847" w:type="dxa"/>
            <w:tcBorders>
              <w:bottom w:val="double" w:sz="6" w:space="0" w:color="000000"/>
            </w:tcBorders>
          </w:tcPr>
          <w:p>
            <w:pPr>
              <w:pStyle w:val="TableParagraph"/>
              <w:rPr>
                <w:sz w:val="16"/>
              </w:rPr>
            </w:pPr>
          </w:p>
        </w:tc>
        <w:tc>
          <w:tcPr>
            <w:tcW w:w="1375" w:type="dxa"/>
            <w:tcBorders>
              <w:bottom w:val="double" w:sz="6" w:space="0" w:color="000000"/>
            </w:tcBorders>
          </w:tcPr>
          <w:p>
            <w:pPr>
              <w:pStyle w:val="TableParagraph"/>
              <w:rPr>
                <w:sz w:val="16"/>
              </w:rPr>
            </w:pPr>
          </w:p>
        </w:tc>
        <w:tc>
          <w:tcPr>
            <w:tcW w:w="2336" w:type="dxa"/>
            <w:gridSpan w:val="2"/>
            <w:tcBorders>
              <w:bottom w:val="double" w:sz="6" w:space="0" w:color="000000"/>
            </w:tcBorders>
          </w:tcPr>
          <w:p>
            <w:pPr>
              <w:pStyle w:val="TableParagraph"/>
              <w:spacing w:line="205" w:lineRule="exact"/>
              <w:ind w:left="131"/>
              <w:rPr>
                <w:sz w:val="20"/>
              </w:rPr>
            </w:pPr>
            <w:r>
              <w:rPr>
                <w:sz w:val="20"/>
              </w:rPr>
              <w:t>10%</w:t>
            </w:r>
            <w:r>
              <w:rPr>
                <w:spacing w:val="-6"/>
                <w:sz w:val="20"/>
              </w:rPr>
              <w:t> </w:t>
            </w:r>
            <w:r>
              <w:rPr>
                <w:sz w:val="20"/>
              </w:rPr>
              <w:t>Critical</w:t>
            </w:r>
            <w:r>
              <w:rPr>
                <w:spacing w:val="-4"/>
                <w:sz w:val="20"/>
              </w:rPr>
              <w:t> </w:t>
            </w:r>
            <w:r>
              <w:rPr>
                <w:spacing w:val="-2"/>
                <w:sz w:val="20"/>
              </w:rPr>
              <w:t>Value</w:t>
            </w:r>
          </w:p>
        </w:tc>
        <w:tc>
          <w:tcPr>
            <w:tcW w:w="929" w:type="dxa"/>
            <w:tcBorders>
              <w:bottom w:val="double" w:sz="6" w:space="0" w:color="000000"/>
            </w:tcBorders>
          </w:tcPr>
          <w:p>
            <w:pPr>
              <w:pStyle w:val="TableParagraph"/>
              <w:spacing w:line="205" w:lineRule="exact"/>
              <w:ind w:right="27"/>
              <w:jc w:val="right"/>
              <w:rPr>
                <w:sz w:val="20"/>
              </w:rPr>
            </w:pPr>
            <w:r>
              <w:rPr>
                <w:spacing w:val="-4"/>
                <w:sz w:val="20"/>
              </w:rPr>
              <w:t>-</w:t>
            </w:r>
            <w:r>
              <w:rPr>
                <w:spacing w:val="-2"/>
                <w:sz w:val="20"/>
              </w:rPr>
              <w:t>2.6118</w:t>
            </w:r>
          </w:p>
        </w:tc>
      </w:tr>
      <w:tr>
        <w:trPr>
          <w:trHeight w:val="506" w:hRule="atLeast"/>
        </w:trPr>
        <w:tc>
          <w:tcPr>
            <w:tcW w:w="6487" w:type="dxa"/>
            <w:gridSpan w:val="5"/>
            <w:tcBorders>
              <w:top w:val="double" w:sz="6" w:space="0" w:color="000000"/>
            </w:tcBorders>
          </w:tcPr>
          <w:p>
            <w:pPr>
              <w:pStyle w:val="TableParagraph"/>
              <w:spacing w:before="42"/>
              <w:ind w:left="36"/>
              <w:rPr>
                <w:sz w:val="20"/>
              </w:rPr>
            </w:pPr>
            <w:r>
              <w:rPr>
                <w:sz w:val="20"/>
              </w:rPr>
              <w:t>*MacKinnon</w:t>
            </w:r>
            <w:r>
              <w:rPr>
                <w:spacing w:val="-6"/>
                <w:sz w:val="20"/>
              </w:rPr>
              <w:t> </w:t>
            </w:r>
            <w:r>
              <w:rPr>
                <w:sz w:val="20"/>
              </w:rPr>
              <w:t>critical</w:t>
            </w:r>
            <w:r>
              <w:rPr>
                <w:spacing w:val="-4"/>
                <w:sz w:val="20"/>
              </w:rPr>
              <w:t> </w:t>
            </w:r>
            <w:r>
              <w:rPr>
                <w:sz w:val="20"/>
              </w:rPr>
              <w:t>values</w:t>
            </w:r>
            <w:r>
              <w:rPr>
                <w:spacing w:val="-6"/>
                <w:sz w:val="20"/>
              </w:rPr>
              <w:t> </w:t>
            </w:r>
            <w:r>
              <w:rPr>
                <w:sz w:val="20"/>
              </w:rPr>
              <w:t>for</w:t>
            </w:r>
            <w:r>
              <w:rPr>
                <w:spacing w:val="-4"/>
                <w:sz w:val="20"/>
              </w:rPr>
              <w:t> </w:t>
            </w:r>
            <w:r>
              <w:rPr>
                <w:sz w:val="20"/>
              </w:rPr>
              <w:t>rejection</w:t>
            </w:r>
            <w:r>
              <w:rPr>
                <w:spacing w:val="-5"/>
                <w:sz w:val="20"/>
              </w:rPr>
              <w:t> </w:t>
            </w:r>
            <w:r>
              <w:rPr>
                <w:sz w:val="20"/>
              </w:rPr>
              <w:t>of</w:t>
            </w:r>
            <w:r>
              <w:rPr>
                <w:spacing w:val="-7"/>
                <w:sz w:val="20"/>
              </w:rPr>
              <w:t> </w:t>
            </w:r>
            <w:r>
              <w:rPr>
                <w:sz w:val="20"/>
              </w:rPr>
              <w:t>hypothesis</w:t>
            </w:r>
            <w:r>
              <w:rPr>
                <w:spacing w:val="-5"/>
                <w:sz w:val="20"/>
              </w:rPr>
              <w:t> </w:t>
            </w:r>
            <w:r>
              <w:rPr>
                <w:sz w:val="20"/>
              </w:rPr>
              <w:t>of</w:t>
            </w:r>
            <w:r>
              <w:rPr>
                <w:spacing w:val="-6"/>
                <w:sz w:val="20"/>
              </w:rPr>
              <w:t> </w:t>
            </w:r>
            <w:r>
              <w:rPr>
                <w:sz w:val="20"/>
              </w:rPr>
              <w:t>a</w:t>
            </w:r>
            <w:r>
              <w:rPr>
                <w:spacing w:val="-5"/>
                <w:sz w:val="20"/>
              </w:rPr>
              <w:t> </w:t>
            </w:r>
            <w:r>
              <w:rPr>
                <w:sz w:val="20"/>
              </w:rPr>
              <w:t>unit</w:t>
            </w:r>
            <w:r>
              <w:rPr>
                <w:spacing w:val="2"/>
                <w:sz w:val="20"/>
              </w:rPr>
              <w:t> </w:t>
            </w:r>
            <w:r>
              <w:rPr>
                <w:spacing w:val="-2"/>
                <w:sz w:val="20"/>
              </w:rPr>
              <w:t>root.</w:t>
            </w:r>
          </w:p>
        </w:tc>
      </w:tr>
      <w:tr>
        <w:trPr>
          <w:trHeight w:val="459" w:hRule="atLeast"/>
        </w:trPr>
        <w:tc>
          <w:tcPr>
            <w:tcW w:w="6487" w:type="dxa"/>
            <w:gridSpan w:val="5"/>
          </w:tcPr>
          <w:p>
            <w:pPr>
              <w:pStyle w:val="TableParagraph"/>
              <w:spacing w:line="215" w:lineRule="exact" w:before="225"/>
              <w:ind w:left="36"/>
              <w:rPr>
                <w:sz w:val="20"/>
              </w:rPr>
            </w:pPr>
            <w:r>
              <w:rPr>
                <w:sz w:val="20"/>
              </w:rPr>
              <w:t>Augmented</w:t>
            </w:r>
            <w:r>
              <w:rPr>
                <w:spacing w:val="-8"/>
                <w:sz w:val="20"/>
              </w:rPr>
              <w:t> </w:t>
            </w:r>
            <w:r>
              <w:rPr>
                <w:sz w:val="20"/>
              </w:rPr>
              <w:t>Dickey-Fuller</w:t>
            </w:r>
            <w:r>
              <w:rPr>
                <w:spacing w:val="-8"/>
                <w:sz w:val="20"/>
              </w:rPr>
              <w:t> </w:t>
            </w:r>
            <w:r>
              <w:rPr>
                <w:sz w:val="20"/>
              </w:rPr>
              <w:t>Test</w:t>
            </w:r>
            <w:r>
              <w:rPr>
                <w:spacing w:val="-9"/>
                <w:sz w:val="20"/>
              </w:rPr>
              <w:t> </w:t>
            </w:r>
            <w:r>
              <w:rPr>
                <w:spacing w:val="-2"/>
                <w:sz w:val="20"/>
              </w:rPr>
              <w:t>Equation</w:t>
            </w:r>
          </w:p>
        </w:tc>
      </w:tr>
      <w:tr>
        <w:trPr>
          <w:trHeight w:val="230" w:hRule="atLeast"/>
        </w:trPr>
        <w:tc>
          <w:tcPr>
            <w:tcW w:w="6487" w:type="dxa"/>
            <w:gridSpan w:val="5"/>
          </w:tcPr>
          <w:p>
            <w:pPr>
              <w:pStyle w:val="TableParagraph"/>
              <w:spacing w:line="210" w:lineRule="exact"/>
              <w:ind w:left="36"/>
              <w:rPr>
                <w:sz w:val="20"/>
              </w:rPr>
            </w:pPr>
            <w:r>
              <w:rPr>
                <w:sz w:val="20"/>
              </w:rPr>
              <w:t>Dependent</w:t>
            </w:r>
            <w:r>
              <w:rPr>
                <w:spacing w:val="-8"/>
                <w:sz w:val="20"/>
              </w:rPr>
              <w:t> </w:t>
            </w:r>
            <w:r>
              <w:rPr>
                <w:sz w:val="20"/>
              </w:rPr>
              <w:t>Variable:</w:t>
            </w:r>
            <w:r>
              <w:rPr>
                <w:spacing w:val="-8"/>
                <w:sz w:val="20"/>
              </w:rPr>
              <w:t> </w:t>
            </w:r>
            <w:r>
              <w:rPr>
                <w:spacing w:val="-2"/>
                <w:sz w:val="20"/>
              </w:rPr>
              <w:t>D(DR,2)</w:t>
            </w:r>
          </w:p>
        </w:tc>
      </w:tr>
      <w:tr>
        <w:trPr>
          <w:trHeight w:val="229" w:hRule="atLeast"/>
        </w:trPr>
        <w:tc>
          <w:tcPr>
            <w:tcW w:w="6487" w:type="dxa"/>
            <w:gridSpan w:val="5"/>
          </w:tcPr>
          <w:p>
            <w:pPr>
              <w:pStyle w:val="TableParagraph"/>
              <w:spacing w:line="209" w:lineRule="exact"/>
              <w:ind w:left="36"/>
              <w:rPr>
                <w:sz w:val="20"/>
              </w:rPr>
            </w:pPr>
            <w:r>
              <w:rPr>
                <w:sz w:val="20"/>
              </w:rPr>
              <w:t>Method:</w:t>
            </w:r>
            <w:r>
              <w:rPr>
                <w:spacing w:val="-8"/>
                <w:sz w:val="20"/>
              </w:rPr>
              <w:t> </w:t>
            </w:r>
            <w:r>
              <w:rPr>
                <w:sz w:val="20"/>
              </w:rPr>
              <w:t>Least</w:t>
            </w:r>
            <w:r>
              <w:rPr>
                <w:spacing w:val="-7"/>
                <w:sz w:val="20"/>
              </w:rPr>
              <w:t> </w:t>
            </w:r>
            <w:r>
              <w:rPr>
                <w:spacing w:val="-2"/>
                <w:sz w:val="20"/>
              </w:rPr>
              <w:t>Squares</w:t>
            </w:r>
          </w:p>
        </w:tc>
      </w:tr>
      <w:tr>
        <w:trPr>
          <w:trHeight w:val="229" w:hRule="atLeast"/>
        </w:trPr>
        <w:tc>
          <w:tcPr>
            <w:tcW w:w="6487" w:type="dxa"/>
            <w:gridSpan w:val="5"/>
          </w:tcPr>
          <w:p>
            <w:pPr>
              <w:pStyle w:val="TableParagraph"/>
              <w:spacing w:line="209" w:lineRule="exact"/>
              <w:ind w:left="36"/>
              <w:rPr>
                <w:sz w:val="20"/>
              </w:rPr>
            </w:pPr>
            <w:r>
              <w:rPr>
                <w:sz w:val="20"/>
              </w:rPr>
              <w:t>Date:</w:t>
            </w:r>
            <w:r>
              <w:rPr>
                <w:spacing w:val="-5"/>
                <w:sz w:val="20"/>
              </w:rPr>
              <w:t> </w:t>
            </w:r>
            <w:r>
              <w:rPr>
                <w:sz w:val="20"/>
              </w:rPr>
              <w:t>02/18/14</w:t>
            </w:r>
            <w:r>
              <w:rPr>
                <w:spacing w:val="63"/>
                <w:w w:val="150"/>
                <w:sz w:val="20"/>
              </w:rPr>
              <w:t> </w:t>
            </w:r>
            <w:r>
              <w:rPr>
                <w:sz w:val="20"/>
              </w:rPr>
              <w:t>Time:</w:t>
            </w:r>
            <w:r>
              <w:rPr>
                <w:spacing w:val="-3"/>
                <w:sz w:val="20"/>
              </w:rPr>
              <w:t> </w:t>
            </w:r>
            <w:r>
              <w:rPr>
                <w:spacing w:val="-2"/>
                <w:sz w:val="20"/>
              </w:rPr>
              <w:t>13:40</w:t>
            </w:r>
          </w:p>
        </w:tc>
      </w:tr>
      <w:tr>
        <w:trPr>
          <w:trHeight w:val="230" w:hRule="atLeast"/>
        </w:trPr>
        <w:tc>
          <w:tcPr>
            <w:tcW w:w="6487" w:type="dxa"/>
            <w:gridSpan w:val="5"/>
          </w:tcPr>
          <w:p>
            <w:pPr>
              <w:pStyle w:val="TableParagraph"/>
              <w:spacing w:line="210" w:lineRule="exact"/>
              <w:ind w:left="36"/>
              <w:rPr>
                <w:sz w:val="20"/>
              </w:rPr>
            </w:pPr>
            <w:r>
              <w:rPr>
                <w:sz w:val="20"/>
              </w:rPr>
              <w:t>Sample(adjusted):</w:t>
            </w:r>
            <w:r>
              <w:rPr>
                <w:spacing w:val="-9"/>
                <w:sz w:val="20"/>
              </w:rPr>
              <w:t> </w:t>
            </w:r>
            <w:r>
              <w:rPr>
                <w:sz w:val="20"/>
              </w:rPr>
              <w:t>1973</w:t>
            </w:r>
            <w:r>
              <w:rPr>
                <w:spacing w:val="-9"/>
                <w:sz w:val="20"/>
              </w:rPr>
              <w:t> </w:t>
            </w:r>
            <w:r>
              <w:rPr>
                <w:spacing w:val="-4"/>
                <w:sz w:val="20"/>
              </w:rPr>
              <w:t>2011</w:t>
            </w:r>
          </w:p>
        </w:tc>
      </w:tr>
      <w:tr>
        <w:trPr>
          <w:trHeight w:val="230" w:hRule="atLeast"/>
        </w:trPr>
        <w:tc>
          <w:tcPr>
            <w:tcW w:w="6487" w:type="dxa"/>
            <w:gridSpan w:val="5"/>
          </w:tcPr>
          <w:p>
            <w:pPr>
              <w:pStyle w:val="TableParagraph"/>
              <w:spacing w:line="210" w:lineRule="exact"/>
              <w:ind w:left="36"/>
              <w:rPr>
                <w:sz w:val="20"/>
              </w:rPr>
            </w:pPr>
            <w:r>
              <w:rPr>
                <w:sz w:val="20"/>
              </w:rPr>
              <w:t>Included</w:t>
            </w:r>
            <w:r>
              <w:rPr>
                <w:spacing w:val="-9"/>
                <w:sz w:val="20"/>
              </w:rPr>
              <w:t> </w:t>
            </w:r>
            <w:r>
              <w:rPr>
                <w:sz w:val="20"/>
              </w:rPr>
              <w:t>observations:</w:t>
            </w:r>
            <w:r>
              <w:rPr>
                <w:spacing w:val="-10"/>
                <w:sz w:val="20"/>
              </w:rPr>
              <w:t> </w:t>
            </w:r>
            <w:r>
              <w:rPr>
                <w:spacing w:val="-5"/>
                <w:sz w:val="20"/>
              </w:rPr>
              <w:t>35</w:t>
            </w:r>
          </w:p>
        </w:tc>
      </w:tr>
      <w:tr>
        <w:trPr>
          <w:trHeight w:val="224" w:hRule="atLeast"/>
        </w:trPr>
        <w:tc>
          <w:tcPr>
            <w:tcW w:w="6487" w:type="dxa"/>
            <w:gridSpan w:val="5"/>
            <w:tcBorders>
              <w:bottom w:val="double" w:sz="6" w:space="0" w:color="000000"/>
            </w:tcBorders>
          </w:tcPr>
          <w:p>
            <w:pPr>
              <w:pStyle w:val="TableParagraph"/>
              <w:spacing w:line="205" w:lineRule="exact"/>
              <w:ind w:left="36"/>
              <w:rPr>
                <w:sz w:val="20"/>
              </w:rPr>
            </w:pPr>
            <w:r>
              <w:rPr>
                <w:sz w:val="20"/>
              </w:rPr>
              <w:t>Excluded</w:t>
            </w:r>
            <w:r>
              <w:rPr>
                <w:spacing w:val="-7"/>
                <w:sz w:val="20"/>
              </w:rPr>
              <w:t> </w:t>
            </w:r>
            <w:r>
              <w:rPr>
                <w:sz w:val="20"/>
              </w:rPr>
              <w:t>observations:</w:t>
            </w:r>
            <w:r>
              <w:rPr>
                <w:spacing w:val="-7"/>
                <w:sz w:val="20"/>
              </w:rPr>
              <w:t> </w:t>
            </w:r>
            <w:r>
              <w:rPr>
                <w:sz w:val="20"/>
              </w:rPr>
              <w:t>4</w:t>
            </w:r>
            <w:r>
              <w:rPr>
                <w:spacing w:val="-7"/>
                <w:sz w:val="20"/>
              </w:rPr>
              <w:t> </w:t>
            </w:r>
            <w:r>
              <w:rPr>
                <w:sz w:val="20"/>
              </w:rPr>
              <w:t>after</w:t>
            </w:r>
            <w:r>
              <w:rPr>
                <w:spacing w:val="-4"/>
                <w:sz w:val="20"/>
              </w:rPr>
              <w:t> </w:t>
            </w:r>
            <w:r>
              <w:rPr>
                <w:sz w:val="20"/>
              </w:rPr>
              <w:t>adjusting</w:t>
            </w:r>
            <w:r>
              <w:rPr>
                <w:spacing w:val="-8"/>
                <w:sz w:val="20"/>
              </w:rPr>
              <w:t> </w:t>
            </w:r>
            <w:r>
              <w:rPr>
                <w:spacing w:val="-2"/>
                <w:sz w:val="20"/>
              </w:rPr>
              <w:t>endpoints</w:t>
            </w:r>
          </w:p>
        </w:tc>
      </w:tr>
      <w:tr>
        <w:trPr>
          <w:trHeight w:val="269" w:hRule="atLeast"/>
        </w:trPr>
        <w:tc>
          <w:tcPr>
            <w:tcW w:w="1847" w:type="dxa"/>
            <w:tcBorders>
              <w:top w:val="double" w:sz="6" w:space="0" w:color="000000"/>
              <w:bottom w:val="double" w:sz="6" w:space="0" w:color="000000"/>
            </w:tcBorders>
          </w:tcPr>
          <w:p>
            <w:pPr>
              <w:pStyle w:val="TableParagraph"/>
              <w:spacing w:line="209" w:lineRule="exact" w:before="40"/>
              <w:ind w:left="677"/>
              <w:rPr>
                <w:sz w:val="20"/>
              </w:rPr>
            </w:pPr>
            <w:r>
              <w:rPr>
                <w:spacing w:val="-2"/>
                <w:sz w:val="20"/>
              </w:rPr>
              <w:t>Variable</w:t>
            </w:r>
          </w:p>
        </w:tc>
        <w:tc>
          <w:tcPr>
            <w:tcW w:w="1375" w:type="dxa"/>
            <w:tcBorders>
              <w:top w:val="double" w:sz="6" w:space="0" w:color="000000"/>
              <w:bottom w:val="double" w:sz="6" w:space="0" w:color="000000"/>
            </w:tcBorders>
          </w:tcPr>
          <w:p>
            <w:pPr>
              <w:pStyle w:val="TableParagraph"/>
              <w:spacing w:line="209" w:lineRule="exact" w:before="40"/>
              <w:ind w:right="131"/>
              <w:jc w:val="right"/>
              <w:rPr>
                <w:sz w:val="20"/>
              </w:rPr>
            </w:pPr>
            <w:r>
              <w:rPr>
                <w:spacing w:val="-2"/>
                <w:sz w:val="20"/>
              </w:rPr>
              <w:t>Coefficient</w:t>
            </w:r>
          </w:p>
        </w:tc>
        <w:tc>
          <w:tcPr>
            <w:tcW w:w="1432" w:type="dxa"/>
            <w:tcBorders>
              <w:top w:val="double" w:sz="6" w:space="0" w:color="000000"/>
              <w:bottom w:val="double" w:sz="6" w:space="0" w:color="000000"/>
            </w:tcBorders>
          </w:tcPr>
          <w:p>
            <w:pPr>
              <w:pStyle w:val="TableParagraph"/>
              <w:spacing w:line="209" w:lineRule="exact" w:before="40"/>
              <w:ind w:left="273"/>
              <w:rPr>
                <w:sz w:val="20"/>
              </w:rPr>
            </w:pPr>
            <w:r>
              <w:rPr>
                <w:sz w:val="20"/>
              </w:rPr>
              <w:t>Std.</w:t>
            </w:r>
            <w:r>
              <w:rPr>
                <w:spacing w:val="-4"/>
                <w:sz w:val="20"/>
              </w:rPr>
              <w:t> </w:t>
            </w:r>
            <w:r>
              <w:rPr>
                <w:spacing w:val="-2"/>
                <w:sz w:val="20"/>
              </w:rPr>
              <w:t>Error</w:t>
            </w:r>
          </w:p>
        </w:tc>
        <w:tc>
          <w:tcPr>
            <w:tcW w:w="904" w:type="dxa"/>
            <w:tcBorders>
              <w:top w:val="double" w:sz="6" w:space="0" w:color="000000"/>
              <w:bottom w:val="double" w:sz="6" w:space="0" w:color="000000"/>
            </w:tcBorders>
          </w:tcPr>
          <w:p>
            <w:pPr>
              <w:pStyle w:val="TableParagraph"/>
              <w:spacing w:line="209" w:lineRule="exact" w:before="40"/>
              <w:ind w:right="22"/>
              <w:jc w:val="center"/>
              <w:rPr>
                <w:sz w:val="20"/>
              </w:rPr>
            </w:pPr>
            <w:r>
              <w:rPr>
                <w:spacing w:val="-4"/>
                <w:sz w:val="20"/>
              </w:rPr>
              <w:t>t-</w:t>
            </w:r>
            <w:r>
              <w:rPr>
                <w:spacing w:val="-2"/>
                <w:sz w:val="20"/>
              </w:rPr>
              <w:t>Statistic</w:t>
            </w:r>
          </w:p>
        </w:tc>
        <w:tc>
          <w:tcPr>
            <w:tcW w:w="929" w:type="dxa"/>
            <w:tcBorders>
              <w:top w:val="double" w:sz="6" w:space="0" w:color="000000"/>
              <w:bottom w:val="double" w:sz="6" w:space="0" w:color="000000"/>
            </w:tcBorders>
          </w:tcPr>
          <w:p>
            <w:pPr>
              <w:pStyle w:val="TableParagraph"/>
              <w:spacing w:line="209" w:lineRule="exact" w:before="40"/>
              <w:ind w:right="28"/>
              <w:jc w:val="right"/>
              <w:rPr>
                <w:sz w:val="20"/>
              </w:rPr>
            </w:pPr>
            <w:r>
              <w:rPr>
                <w:spacing w:val="-2"/>
                <w:sz w:val="20"/>
              </w:rPr>
              <w:t>Prob.</w:t>
            </w:r>
          </w:p>
        </w:tc>
      </w:tr>
      <w:tr>
        <w:trPr>
          <w:trHeight w:val="275" w:hRule="atLeast"/>
        </w:trPr>
        <w:tc>
          <w:tcPr>
            <w:tcW w:w="1847" w:type="dxa"/>
            <w:tcBorders>
              <w:top w:val="double" w:sz="6" w:space="0" w:color="000000"/>
            </w:tcBorders>
          </w:tcPr>
          <w:p>
            <w:pPr>
              <w:pStyle w:val="TableParagraph"/>
              <w:spacing w:line="215" w:lineRule="exact" w:before="41"/>
              <w:ind w:left="595"/>
              <w:rPr>
                <w:sz w:val="20"/>
              </w:rPr>
            </w:pPr>
            <w:r>
              <w:rPr>
                <w:spacing w:val="-2"/>
                <w:sz w:val="20"/>
              </w:rPr>
              <w:t>D(DR(-</w:t>
            </w:r>
            <w:r>
              <w:rPr>
                <w:spacing w:val="-5"/>
                <w:sz w:val="20"/>
              </w:rPr>
              <w:t>1))</w:t>
            </w:r>
          </w:p>
        </w:tc>
        <w:tc>
          <w:tcPr>
            <w:tcW w:w="1375" w:type="dxa"/>
            <w:tcBorders>
              <w:top w:val="double" w:sz="6" w:space="0" w:color="000000"/>
            </w:tcBorders>
          </w:tcPr>
          <w:p>
            <w:pPr>
              <w:pStyle w:val="TableParagraph"/>
              <w:spacing w:line="215" w:lineRule="exact" w:before="41"/>
              <w:ind w:right="128"/>
              <w:jc w:val="right"/>
              <w:rPr>
                <w:sz w:val="20"/>
              </w:rPr>
            </w:pPr>
            <w:r>
              <w:rPr>
                <w:spacing w:val="-4"/>
                <w:sz w:val="20"/>
              </w:rPr>
              <w:t>-</w:t>
            </w:r>
            <w:r>
              <w:rPr>
                <w:spacing w:val="-2"/>
                <w:sz w:val="20"/>
              </w:rPr>
              <w:t>0.812049</w:t>
            </w:r>
          </w:p>
        </w:tc>
        <w:tc>
          <w:tcPr>
            <w:tcW w:w="1432" w:type="dxa"/>
            <w:tcBorders>
              <w:top w:val="double" w:sz="6" w:space="0" w:color="000000"/>
            </w:tcBorders>
          </w:tcPr>
          <w:p>
            <w:pPr>
              <w:pStyle w:val="TableParagraph"/>
              <w:spacing w:line="215" w:lineRule="exact" w:before="41"/>
              <w:ind w:left="311"/>
              <w:rPr>
                <w:sz w:val="20"/>
              </w:rPr>
            </w:pPr>
            <w:r>
              <w:rPr>
                <w:spacing w:val="-2"/>
                <w:sz w:val="20"/>
              </w:rPr>
              <w:t>0.275091</w:t>
            </w:r>
          </w:p>
        </w:tc>
        <w:tc>
          <w:tcPr>
            <w:tcW w:w="904" w:type="dxa"/>
            <w:tcBorders>
              <w:top w:val="double" w:sz="6" w:space="0" w:color="000000"/>
            </w:tcBorders>
          </w:tcPr>
          <w:p>
            <w:pPr>
              <w:pStyle w:val="TableParagraph"/>
              <w:spacing w:line="215" w:lineRule="exact" w:before="41"/>
              <w:ind w:right="70"/>
              <w:jc w:val="center"/>
              <w:rPr>
                <w:sz w:val="20"/>
              </w:rPr>
            </w:pPr>
            <w:r>
              <w:rPr>
                <w:spacing w:val="-4"/>
                <w:sz w:val="20"/>
              </w:rPr>
              <w:t>-</w:t>
            </w:r>
            <w:r>
              <w:rPr>
                <w:spacing w:val="-2"/>
                <w:sz w:val="20"/>
              </w:rPr>
              <w:t>2.951926</w:t>
            </w:r>
          </w:p>
        </w:tc>
        <w:tc>
          <w:tcPr>
            <w:tcW w:w="929" w:type="dxa"/>
            <w:tcBorders>
              <w:top w:val="double" w:sz="6" w:space="0" w:color="000000"/>
            </w:tcBorders>
          </w:tcPr>
          <w:p>
            <w:pPr>
              <w:pStyle w:val="TableParagraph"/>
              <w:spacing w:line="215" w:lineRule="exact" w:before="41"/>
              <w:ind w:right="27"/>
              <w:jc w:val="right"/>
              <w:rPr>
                <w:sz w:val="20"/>
              </w:rPr>
            </w:pPr>
            <w:r>
              <w:rPr>
                <w:spacing w:val="-2"/>
                <w:sz w:val="20"/>
              </w:rPr>
              <w:t>0.0059</w:t>
            </w:r>
          </w:p>
        </w:tc>
      </w:tr>
      <w:tr>
        <w:trPr>
          <w:trHeight w:val="230" w:hRule="atLeast"/>
        </w:trPr>
        <w:tc>
          <w:tcPr>
            <w:tcW w:w="1847" w:type="dxa"/>
          </w:tcPr>
          <w:p>
            <w:pPr>
              <w:pStyle w:val="TableParagraph"/>
              <w:spacing w:line="210" w:lineRule="exact"/>
              <w:ind w:left="518"/>
              <w:rPr>
                <w:sz w:val="20"/>
              </w:rPr>
            </w:pPr>
            <w:r>
              <w:rPr>
                <w:spacing w:val="-2"/>
                <w:sz w:val="20"/>
              </w:rPr>
              <w:t>D(DR(-1),2)</w:t>
            </w:r>
          </w:p>
        </w:tc>
        <w:tc>
          <w:tcPr>
            <w:tcW w:w="1375" w:type="dxa"/>
          </w:tcPr>
          <w:p>
            <w:pPr>
              <w:pStyle w:val="TableParagraph"/>
              <w:spacing w:line="210" w:lineRule="exact"/>
              <w:ind w:right="128"/>
              <w:jc w:val="right"/>
              <w:rPr>
                <w:sz w:val="20"/>
              </w:rPr>
            </w:pPr>
            <w:r>
              <w:rPr>
                <w:spacing w:val="-4"/>
                <w:sz w:val="20"/>
              </w:rPr>
              <w:t>-</w:t>
            </w:r>
            <w:r>
              <w:rPr>
                <w:spacing w:val="-2"/>
                <w:sz w:val="20"/>
              </w:rPr>
              <w:t>0.196452</w:t>
            </w:r>
          </w:p>
        </w:tc>
        <w:tc>
          <w:tcPr>
            <w:tcW w:w="1432" w:type="dxa"/>
          </w:tcPr>
          <w:p>
            <w:pPr>
              <w:pStyle w:val="TableParagraph"/>
              <w:spacing w:line="210" w:lineRule="exact"/>
              <w:ind w:left="311"/>
              <w:rPr>
                <w:sz w:val="20"/>
              </w:rPr>
            </w:pPr>
            <w:r>
              <w:rPr>
                <w:spacing w:val="-2"/>
                <w:sz w:val="20"/>
              </w:rPr>
              <w:t>0.187300</w:t>
            </w:r>
          </w:p>
        </w:tc>
        <w:tc>
          <w:tcPr>
            <w:tcW w:w="904" w:type="dxa"/>
          </w:tcPr>
          <w:p>
            <w:pPr>
              <w:pStyle w:val="TableParagraph"/>
              <w:spacing w:line="210" w:lineRule="exact"/>
              <w:ind w:right="70"/>
              <w:jc w:val="center"/>
              <w:rPr>
                <w:sz w:val="20"/>
              </w:rPr>
            </w:pPr>
            <w:r>
              <w:rPr>
                <w:spacing w:val="-4"/>
                <w:sz w:val="20"/>
              </w:rPr>
              <w:t>-</w:t>
            </w:r>
            <w:r>
              <w:rPr>
                <w:spacing w:val="-2"/>
                <w:sz w:val="20"/>
              </w:rPr>
              <w:t>1.048863</w:t>
            </w:r>
          </w:p>
        </w:tc>
        <w:tc>
          <w:tcPr>
            <w:tcW w:w="929" w:type="dxa"/>
          </w:tcPr>
          <w:p>
            <w:pPr>
              <w:pStyle w:val="TableParagraph"/>
              <w:spacing w:line="210" w:lineRule="exact"/>
              <w:ind w:right="27"/>
              <w:jc w:val="right"/>
              <w:rPr>
                <w:sz w:val="20"/>
              </w:rPr>
            </w:pPr>
            <w:r>
              <w:rPr>
                <w:spacing w:val="-2"/>
                <w:sz w:val="20"/>
              </w:rPr>
              <w:t>0.3021</w:t>
            </w:r>
          </w:p>
        </w:tc>
      </w:tr>
      <w:tr>
        <w:trPr>
          <w:trHeight w:val="224" w:hRule="atLeast"/>
        </w:trPr>
        <w:tc>
          <w:tcPr>
            <w:tcW w:w="1847" w:type="dxa"/>
            <w:tcBorders>
              <w:bottom w:val="double" w:sz="6" w:space="0" w:color="000000"/>
            </w:tcBorders>
          </w:tcPr>
          <w:p>
            <w:pPr>
              <w:pStyle w:val="TableParagraph"/>
              <w:spacing w:line="205" w:lineRule="exact"/>
              <w:ind w:left="197"/>
              <w:jc w:val="center"/>
              <w:rPr>
                <w:sz w:val="20"/>
              </w:rPr>
            </w:pPr>
            <w:r>
              <w:rPr>
                <w:spacing w:val="-10"/>
                <w:sz w:val="20"/>
              </w:rPr>
              <w:t>C</w:t>
            </w:r>
          </w:p>
        </w:tc>
        <w:tc>
          <w:tcPr>
            <w:tcW w:w="1375" w:type="dxa"/>
            <w:tcBorders>
              <w:bottom w:val="double" w:sz="6" w:space="0" w:color="000000"/>
            </w:tcBorders>
          </w:tcPr>
          <w:p>
            <w:pPr>
              <w:pStyle w:val="TableParagraph"/>
              <w:spacing w:line="205" w:lineRule="exact"/>
              <w:ind w:right="128"/>
              <w:jc w:val="right"/>
              <w:rPr>
                <w:sz w:val="20"/>
              </w:rPr>
            </w:pPr>
            <w:r>
              <w:rPr>
                <w:spacing w:val="-4"/>
                <w:sz w:val="20"/>
              </w:rPr>
              <w:t>-</w:t>
            </w:r>
            <w:r>
              <w:rPr>
                <w:spacing w:val="-2"/>
                <w:sz w:val="20"/>
              </w:rPr>
              <w:t>0.025496</w:t>
            </w:r>
          </w:p>
        </w:tc>
        <w:tc>
          <w:tcPr>
            <w:tcW w:w="1432" w:type="dxa"/>
            <w:tcBorders>
              <w:bottom w:val="double" w:sz="6" w:space="0" w:color="000000"/>
            </w:tcBorders>
          </w:tcPr>
          <w:p>
            <w:pPr>
              <w:pStyle w:val="TableParagraph"/>
              <w:spacing w:line="205" w:lineRule="exact"/>
              <w:ind w:left="311"/>
              <w:rPr>
                <w:sz w:val="20"/>
              </w:rPr>
            </w:pPr>
            <w:r>
              <w:rPr>
                <w:spacing w:val="-2"/>
                <w:sz w:val="20"/>
              </w:rPr>
              <w:t>0.039288</w:t>
            </w:r>
          </w:p>
        </w:tc>
        <w:tc>
          <w:tcPr>
            <w:tcW w:w="904" w:type="dxa"/>
            <w:tcBorders>
              <w:bottom w:val="double" w:sz="6" w:space="0" w:color="000000"/>
            </w:tcBorders>
          </w:tcPr>
          <w:p>
            <w:pPr>
              <w:pStyle w:val="TableParagraph"/>
              <w:spacing w:line="205" w:lineRule="exact"/>
              <w:ind w:right="70"/>
              <w:jc w:val="center"/>
              <w:rPr>
                <w:sz w:val="20"/>
              </w:rPr>
            </w:pPr>
            <w:r>
              <w:rPr>
                <w:spacing w:val="-4"/>
                <w:sz w:val="20"/>
              </w:rPr>
              <w:t>-</w:t>
            </w:r>
            <w:r>
              <w:rPr>
                <w:spacing w:val="-2"/>
                <w:sz w:val="20"/>
              </w:rPr>
              <w:t>0.648935</w:t>
            </w:r>
          </w:p>
        </w:tc>
        <w:tc>
          <w:tcPr>
            <w:tcW w:w="929" w:type="dxa"/>
            <w:tcBorders>
              <w:bottom w:val="double" w:sz="6" w:space="0" w:color="000000"/>
            </w:tcBorders>
          </w:tcPr>
          <w:p>
            <w:pPr>
              <w:pStyle w:val="TableParagraph"/>
              <w:spacing w:line="205" w:lineRule="exact"/>
              <w:ind w:right="27"/>
              <w:jc w:val="right"/>
              <w:rPr>
                <w:sz w:val="20"/>
              </w:rPr>
            </w:pPr>
            <w:r>
              <w:rPr>
                <w:spacing w:val="-2"/>
                <w:sz w:val="20"/>
              </w:rPr>
              <w:t>0.5210</w:t>
            </w:r>
          </w:p>
        </w:tc>
      </w:tr>
      <w:tr>
        <w:trPr>
          <w:trHeight w:val="275" w:hRule="atLeast"/>
        </w:trPr>
        <w:tc>
          <w:tcPr>
            <w:tcW w:w="1847" w:type="dxa"/>
            <w:tcBorders>
              <w:top w:val="double" w:sz="6" w:space="0" w:color="000000"/>
            </w:tcBorders>
          </w:tcPr>
          <w:p>
            <w:pPr>
              <w:pStyle w:val="TableParagraph"/>
              <w:spacing w:line="215" w:lineRule="exact" w:before="40"/>
              <w:ind w:left="36"/>
              <w:rPr>
                <w:sz w:val="20"/>
              </w:rPr>
            </w:pPr>
            <w:r>
              <w:rPr>
                <w:spacing w:val="-2"/>
                <w:sz w:val="20"/>
              </w:rPr>
              <w:t>R-squared</w:t>
            </w:r>
          </w:p>
        </w:tc>
        <w:tc>
          <w:tcPr>
            <w:tcW w:w="1375" w:type="dxa"/>
            <w:tcBorders>
              <w:top w:val="double" w:sz="6" w:space="0" w:color="000000"/>
            </w:tcBorders>
          </w:tcPr>
          <w:p>
            <w:pPr>
              <w:pStyle w:val="TableParagraph"/>
              <w:spacing w:line="215" w:lineRule="exact" w:before="40"/>
              <w:ind w:right="128"/>
              <w:jc w:val="right"/>
              <w:rPr>
                <w:sz w:val="20"/>
              </w:rPr>
            </w:pPr>
            <w:r>
              <w:rPr>
                <w:spacing w:val="-2"/>
                <w:sz w:val="20"/>
              </w:rPr>
              <w:t>0.487936</w:t>
            </w:r>
          </w:p>
        </w:tc>
        <w:tc>
          <w:tcPr>
            <w:tcW w:w="2336" w:type="dxa"/>
            <w:gridSpan w:val="2"/>
            <w:tcBorders>
              <w:top w:val="double" w:sz="6" w:space="0" w:color="000000"/>
            </w:tcBorders>
          </w:tcPr>
          <w:p>
            <w:pPr>
              <w:pStyle w:val="TableParagraph"/>
              <w:spacing w:line="215" w:lineRule="exact" w:before="40"/>
              <w:ind w:left="131"/>
              <w:rPr>
                <w:sz w:val="20"/>
              </w:rPr>
            </w:pPr>
            <w:r>
              <w:rPr>
                <w:sz w:val="20"/>
              </w:rPr>
              <w:t>Mean</w:t>
            </w:r>
            <w:r>
              <w:rPr>
                <w:spacing w:val="-7"/>
                <w:sz w:val="20"/>
              </w:rPr>
              <w:t> </w:t>
            </w:r>
            <w:r>
              <w:rPr>
                <w:sz w:val="20"/>
              </w:rPr>
              <w:t>dependent</w:t>
            </w:r>
            <w:r>
              <w:rPr>
                <w:spacing w:val="-7"/>
                <w:sz w:val="20"/>
              </w:rPr>
              <w:t> </w:t>
            </w:r>
            <w:r>
              <w:rPr>
                <w:spacing w:val="-5"/>
                <w:sz w:val="20"/>
              </w:rPr>
              <w:t>var</w:t>
            </w:r>
          </w:p>
        </w:tc>
        <w:tc>
          <w:tcPr>
            <w:tcW w:w="929" w:type="dxa"/>
            <w:tcBorders>
              <w:top w:val="double" w:sz="6" w:space="0" w:color="000000"/>
            </w:tcBorders>
          </w:tcPr>
          <w:p>
            <w:pPr>
              <w:pStyle w:val="TableParagraph"/>
              <w:spacing w:line="215" w:lineRule="exact" w:before="40"/>
              <w:ind w:right="27"/>
              <w:jc w:val="right"/>
              <w:rPr>
                <w:sz w:val="20"/>
              </w:rPr>
            </w:pPr>
            <w:r>
              <w:rPr>
                <w:spacing w:val="-4"/>
                <w:sz w:val="20"/>
              </w:rPr>
              <w:t>-</w:t>
            </w:r>
            <w:r>
              <w:rPr>
                <w:spacing w:val="-2"/>
                <w:sz w:val="20"/>
              </w:rPr>
              <w:t>0.004218</w:t>
            </w:r>
          </w:p>
        </w:tc>
      </w:tr>
      <w:tr>
        <w:trPr>
          <w:trHeight w:val="230" w:hRule="atLeast"/>
        </w:trPr>
        <w:tc>
          <w:tcPr>
            <w:tcW w:w="1847" w:type="dxa"/>
          </w:tcPr>
          <w:p>
            <w:pPr>
              <w:pStyle w:val="TableParagraph"/>
              <w:spacing w:line="210" w:lineRule="exact"/>
              <w:ind w:left="36"/>
              <w:rPr>
                <w:sz w:val="20"/>
              </w:rPr>
            </w:pPr>
            <w:r>
              <w:rPr>
                <w:sz w:val="20"/>
              </w:rPr>
              <w:t>Adjusted</w:t>
            </w:r>
            <w:r>
              <w:rPr>
                <w:spacing w:val="-10"/>
                <w:sz w:val="20"/>
              </w:rPr>
              <w:t> </w:t>
            </w:r>
            <w:r>
              <w:rPr>
                <w:sz w:val="20"/>
              </w:rPr>
              <w:t>R-</w:t>
            </w:r>
            <w:r>
              <w:rPr>
                <w:spacing w:val="-2"/>
                <w:sz w:val="20"/>
              </w:rPr>
              <w:t>squared</w:t>
            </w:r>
          </w:p>
        </w:tc>
        <w:tc>
          <w:tcPr>
            <w:tcW w:w="1375" w:type="dxa"/>
          </w:tcPr>
          <w:p>
            <w:pPr>
              <w:pStyle w:val="TableParagraph"/>
              <w:spacing w:line="210" w:lineRule="exact"/>
              <w:ind w:right="128"/>
              <w:jc w:val="right"/>
              <w:rPr>
                <w:sz w:val="20"/>
              </w:rPr>
            </w:pPr>
            <w:r>
              <w:rPr>
                <w:spacing w:val="-2"/>
                <w:sz w:val="20"/>
              </w:rPr>
              <w:t>0.455932</w:t>
            </w:r>
          </w:p>
        </w:tc>
        <w:tc>
          <w:tcPr>
            <w:tcW w:w="2336" w:type="dxa"/>
            <w:gridSpan w:val="2"/>
          </w:tcPr>
          <w:p>
            <w:pPr>
              <w:pStyle w:val="TableParagraph"/>
              <w:spacing w:line="210" w:lineRule="exact"/>
              <w:ind w:left="131"/>
              <w:rPr>
                <w:sz w:val="20"/>
              </w:rPr>
            </w:pPr>
            <w:r>
              <w:rPr>
                <w:sz w:val="20"/>
              </w:rPr>
              <w:t>S.D.</w:t>
            </w:r>
            <w:r>
              <w:rPr>
                <w:spacing w:val="-5"/>
                <w:sz w:val="20"/>
              </w:rPr>
              <w:t> </w:t>
            </w:r>
            <w:r>
              <w:rPr>
                <w:sz w:val="20"/>
              </w:rPr>
              <w:t>dependent</w:t>
            </w:r>
            <w:r>
              <w:rPr>
                <w:spacing w:val="-6"/>
                <w:sz w:val="20"/>
              </w:rPr>
              <w:t> </w:t>
            </w:r>
            <w:r>
              <w:rPr>
                <w:spacing w:val="-5"/>
                <w:sz w:val="20"/>
              </w:rPr>
              <w:t>var</w:t>
            </w:r>
          </w:p>
        </w:tc>
        <w:tc>
          <w:tcPr>
            <w:tcW w:w="929" w:type="dxa"/>
          </w:tcPr>
          <w:p>
            <w:pPr>
              <w:pStyle w:val="TableParagraph"/>
              <w:spacing w:line="210" w:lineRule="exact"/>
              <w:ind w:right="27"/>
              <w:jc w:val="right"/>
              <w:rPr>
                <w:sz w:val="20"/>
              </w:rPr>
            </w:pPr>
            <w:r>
              <w:rPr>
                <w:spacing w:val="-2"/>
                <w:sz w:val="20"/>
              </w:rPr>
              <w:t>0.312521</w:t>
            </w:r>
          </w:p>
        </w:tc>
      </w:tr>
      <w:tr>
        <w:trPr>
          <w:trHeight w:val="230" w:hRule="atLeast"/>
        </w:trPr>
        <w:tc>
          <w:tcPr>
            <w:tcW w:w="1847" w:type="dxa"/>
          </w:tcPr>
          <w:p>
            <w:pPr>
              <w:pStyle w:val="TableParagraph"/>
              <w:spacing w:line="210" w:lineRule="exact"/>
              <w:ind w:left="36"/>
              <w:rPr>
                <w:sz w:val="20"/>
              </w:rPr>
            </w:pPr>
            <w:r>
              <w:rPr>
                <w:sz w:val="20"/>
              </w:rPr>
              <w:t>S.E.</w:t>
            </w:r>
            <w:r>
              <w:rPr>
                <w:spacing w:val="-3"/>
                <w:sz w:val="20"/>
              </w:rPr>
              <w:t> </w:t>
            </w:r>
            <w:r>
              <w:rPr>
                <w:sz w:val="20"/>
              </w:rPr>
              <w:t>of</w:t>
            </w:r>
            <w:r>
              <w:rPr>
                <w:spacing w:val="-3"/>
                <w:sz w:val="20"/>
              </w:rPr>
              <w:t> </w:t>
            </w:r>
            <w:r>
              <w:rPr>
                <w:spacing w:val="-2"/>
                <w:sz w:val="20"/>
              </w:rPr>
              <w:t>regression</w:t>
            </w:r>
          </w:p>
        </w:tc>
        <w:tc>
          <w:tcPr>
            <w:tcW w:w="1375" w:type="dxa"/>
          </w:tcPr>
          <w:p>
            <w:pPr>
              <w:pStyle w:val="TableParagraph"/>
              <w:spacing w:line="210" w:lineRule="exact"/>
              <w:ind w:right="128"/>
              <w:jc w:val="right"/>
              <w:rPr>
                <w:sz w:val="20"/>
              </w:rPr>
            </w:pPr>
            <w:r>
              <w:rPr>
                <w:spacing w:val="-2"/>
                <w:sz w:val="20"/>
              </w:rPr>
              <w:t>0.230519</w:t>
            </w:r>
          </w:p>
        </w:tc>
        <w:tc>
          <w:tcPr>
            <w:tcW w:w="2336" w:type="dxa"/>
            <w:gridSpan w:val="2"/>
          </w:tcPr>
          <w:p>
            <w:pPr>
              <w:pStyle w:val="TableParagraph"/>
              <w:spacing w:line="210" w:lineRule="exact"/>
              <w:ind w:left="131"/>
              <w:rPr>
                <w:sz w:val="20"/>
              </w:rPr>
            </w:pPr>
            <w:r>
              <w:rPr>
                <w:sz w:val="20"/>
              </w:rPr>
              <w:t>Akaike</w:t>
            </w:r>
            <w:r>
              <w:rPr>
                <w:spacing w:val="-8"/>
                <w:sz w:val="20"/>
              </w:rPr>
              <w:t> </w:t>
            </w:r>
            <w:r>
              <w:rPr>
                <w:sz w:val="20"/>
              </w:rPr>
              <w:t>info</w:t>
            </w:r>
            <w:r>
              <w:rPr>
                <w:spacing w:val="-7"/>
                <w:sz w:val="20"/>
              </w:rPr>
              <w:t> </w:t>
            </w:r>
            <w:r>
              <w:rPr>
                <w:spacing w:val="-2"/>
                <w:sz w:val="20"/>
              </w:rPr>
              <w:t>criterion</w:t>
            </w:r>
          </w:p>
        </w:tc>
        <w:tc>
          <w:tcPr>
            <w:tcW w:w="929" w:type="dxa"/>
          </w:tcPr>
          <w:p>
            <w:pPr>
              <w:pStyle w:val="TableParagraph"/>
              <w:spacing w:line="210" w:lineRule="exact"/>
              <w:ind w:right="27"/>
              <w:jc w:val="right"/>
              <w:rPr>
                <w:sz w:val="20"/>
              </w:rPr>
            </w:pPr>
            <w:r>
              <w:rPr>
                <w:spacing w:val="-4"/>
                <w:sz w:val="20"/>
              </w:rPr>
              <w:t>-</w:t>
            </w:r>
            <w:r>
              <w:rPr>
                <w:spacing w:val="-2"/>
                <w:sz w:val="20"/>
              </w:rPr>
              <w:t>0.015154</w:t>
            </w:r>
          </w:p>
        </w:tc>
      </w:tr>
      <w:tr>
        <w:trPr>
          <w:trHeight w:val="230" w:hRule="atLeast"/>
        </w:trPr>
        <w:tc>
          <w:tcPr>
            <w:tcW w:w="1847" w:type="dxa"/>
          </w:tcPr>
          <w:p>
            <w:pPr>
              <w:pStyle w:val="TableParagraph"/>
              <w:spacing w:line="210" w:lineRule="exact"/>
              <w:ind w:left="36"/>
              <w:rPr>
                <w:sz w:val="20"/>
              </w:rPr>
            </w:pPr>
            <w:r>
              <w:rPr>
                <w:sz w:val="20"/>
              </w:rPr>
              <w:t>Sum</w:t>
            </w:r>
            <w:r>
              <w:rPr>
                <w:spacing w:val="-8"/>
                <w:sz w:val="20"/>
              </w:rPr>
              <w:t> </w:t>
            </w:r>
            <w:r>
              <w:rPr>
                <w:sz w:val="20"/>
              </w:rPr>
              <w:t>squared</w:t>
            </w:r>
            <w:r>
              <w:rPr>
                <w:spacing w:val="-4"/>
                <w:sz w:val="20"/>
              </w:rPr>
              <w:t> </w:t>
            </w:r>
            <w:r>
              <w:rPr>
                <w:spacing w:val="-2"/>
                <w:sz w:val="20"/>
              </w:rPr>
              <w:t>resid</w:t>
            </w:r>
          </w:p>
        </w:tc>
        <w:tc>
          <w:tcPr>
            <w:tcW w:w="1375" w:type="dxa"/>
          </w:tcPr>
          <w:p>
            <w:pPr>
              <w:pStyle w:val="TableParagraph"/>
              <w:spacing w:line="210" w:lineRule="exact"/>
              <w:ind w:right="128"/>
              <w:jc w:val="right"/>
              <w:rPr>
                <w:sz w:val="20"/>
              </w:rPr>
            </w:pPr>
            <w:r>
              <w:rPr>
                <w:spacing w:val="-2"/>
                <w:sz w:val="20"/>
              </w:rPr>
              <w:t>1.700442</w:t>
            </w:r>
          </w:p>
        </w:tc>
        <w:tc>
          <w:tcPr>
            <w:tcW w:w="2336" w:type="dxa"/>
            <w:gridSpan w:val="2"/>
          </w:tcPr>
          <w:p>
            <w:pPr>
              <w:pStyle w:val="TableParagraph"/>
              <w:spacing w:line="210" w:lineRule="exact"/>
              <w:ind w:left="131"/>
              <w:rPr>
                <w:sz w:val="20"/>
              </w:rPr>
            </w:pPr>
            <w:r>
              <w:rPr>
                <w:sz w:val="20"/>
              </w:rPr>
              <w:t>Schwarz</w:t>
            </w:r>
            <w:r>
              <w:rPr>
                <w:spacing w:val="-8"/>
                <w:sz w:val="20"/>
              </w:rPr>
              <w:t> </w:t>
            </w:r>
            <w:r>
              <w:rPr>
                <w:spacing w:val="-2"/>
                <w:sz w:val="20"/>
              </w:rPr>
              <w:t>criterion</w:t>
            </w:r>
          </w:p>
        </w:tc>
        <w:tc>
          <w:tcPr>
            <w:tcW w:w="929" w:type="dxa"/>
          </w:tcPr>
          <w:p>
            <w:pPr>
              <w:pStyle w:val="TableParagraph"/>
              <w:spacing w:line="210" w:lineRule="exact"/>
              <w:ind w:right="27"/>
              <w:jc w:val="right"/>
              <w:rPr>
                <w:sz w:val="20"/>
              </w:rPr>
            </w:pPr>
            <w:r>
              <w:rPr>
                <w:spacing w:val="-2"/>
                <w:sz w:val="20"/>
              </w:rPr>
              <w:t>0.118161</w:t>
            </w:r>
          </w:p>
        </w:tc>
      </w:tr>
      <w:tr>
        <w:trPr>
          <w:trHeight w:val="229" w:hRule="atLeast"/>
        </w:trPr>
        <w:tc>
          <w:tcPr>
            <w:tcW w:w="1847" w:type="dxa"/>
          </w:tcPr>
          <w:p>
            <w:pPr>
              <w:pStyle w:val="TableParagraph"/>
              <w:spacing w:line="209" w:lineRule="exact"/>
              <w:ind w:left="36"/>
              <w:rPr>
                <w:sz w:val="20"/>
              </w:rPr>
            </w:pPr>
            <w:r>
              <w:rPr>
                <w:sz w:val="20"/>
              </w:rPr>
              <w:t>Log</w:t>
            </w:r>
            <w:r>
              <w:rPr>
                <w:spacing w:val="-6"/>
                <w:sz w:val="20"/>
              </w:rPr>
              <w:t> </w:t>
            </w:r>
            <w:r>
              <w:rPr>
                <w:spacing w:val="-2"/>
                <w:sz w:val="20"/>
              </w:rPr>
              <w:t>likelihood</w:t>
            </w:r>
          </w:p>
        </w:tc>
        <w:tc>
          <w:tcPr>
            <w:tcW w:w="1375" w:type="dxa"/>
          </w:tcPr>
          <w:p>
            <w:pPr>
              <w:pStyle w:val="TableParagraph"/>
              <w:spacing w:line="209" w:lineRule="exact"/>
              <w:ind w:right="128"/>
              <w:jc w:val="right"/>
              <w:rPr>
                <w:sz w:val="20"/>
              </w:rPr>
            </w:pPr>
            <w:r>
              <w:rPr>
                <w:spacing w:val="-2"/>
                <w:sz w:val="20"/>
              </w:rPr>
              <w:t>3.265197</w:t>
            </w:r>
          </w:p>
        </w:tc>
        <w:tc>
          <w:tcPr>
            <w:tcW w:w="1432" w:type="dxa"/>
          </w:tcPr>
          <w:p>
            <w:pPr>
              <w:pStyle w:val="TableParagraph"/>
              <w:spacing w:line="209" w:lineRule="exact"/>
              <w:ind w:left="131"/>
              <w:rPr>
                <w:sz w:val="20"/>
              </w:rPr>
            </w:pPr>
            <w:r>
              <w:rPr>
                <w:spacing w:val="-4"/>
                <w:sz w:val="20"/>
              </w:rPr>
              <w:t>F-</w:t>
            </w:r>
            <w:r>
              <w:rPr>
                <w:spacing w:val="-2"/>
                <w:sz w:val="20"/>
              </w:rPr>
              <w:t>statistic</w:t>
            </w:r>
          </w:p>
        </w:tc>
        <w:tc>
          <w:tcPr>
            <w:tcW w:w="904" w:type="dxa"/>
          </w:tcPr>
          <w:p>
            <w:pPr>
              <w:pStyle w:val="TableParagraph"/>
              <w:rPr>
                <w:sz w:val="16"/>
              </w:rPr>
            </w:pPr>
          </w:p>
        </w:tc>
        <w:tc>
          <w:tcPr>
            <w:tcW w:w="929" w:type="dxa"/>
          </w:tcPr>
          <w:p>
            <w:pPr>
              <w:pStyle w:val="TableParagraph"/>
              <w:spacing w:line="209" w:lineRule="exact"/>
              <w:ind w:right="27"/>
              <w:jc w:val="right"/>
              <w:rPr>
                <w:sz w:val="20"/>
              </w:rPr>
            </w:pPr>
            <w:r>
              <w:rPr>
                <w:spacing w:val="-2"/>
                <w:sz w:val="20"/>
              </w:rPr>
              <w:t>15.24612</w:t>
            </w:r>
          </w:p>
        </w:tc>
      </w:tr>
      <w:tr>
        <w:trPr>
          <w:trHeight w:val="266" w:hRule="atLeast"/>
        </w:trPr>
        <w:tc>
          <w:tcPr>
            <w:tcW w:w="1847" w:type="dxa"/>
            <w:tcBorders>
              <w:bottom w:val="double" w:sz="6" w:space="0" w:color="000000"/>
            </w:tcBorders>
          </w:tcPr>
          <w:p>
            <w:pPr>
              <w:pStyle w:val="TableParagraph"/>
              <w:spacing w:line="224" w:lineRule="exact"/>
              <w:ind w:left="36"/>
              <w:rPr>
                <w:sz w:val="20"/>
              </w:rPr>
            </w:pPr>
            <w:r>
              <w:rPr>
                <w:sz w:val="20"/>
              </w:rPr>
              <w:t>Durbin-Watson</w:t>
            </w:r>
            <w:r>
              <w:rPr>
                <w:spacing w:val="-12"/>
                <w:sz w:val="20"/>
              </w:rPr>
              <w:t> </w:t>
            </w:r>
            <w:r>
              <w:rPr>
                <w:spacing w:val="-4"/>
                <w:sz w:val="20"/>
              </w:rPr>
              <w:t>stat</w:t>
            </w:r>
          </w:p>
        </w:tc>
        <w:tc>
          <w:tcPr>
            <w:tcW w:w="1375" w:type="dxa"/>
          </w:tcPr>
          <w:p>
            <w:pPr>
              <w:pStyle w:val="TableParagraph"/>
              <w:spacing w:line="224" w:lineRule="exact"/>
              <w:ind w:right="128"/>
              <w:jc w:val="right"/>
              <w:rPr>
                <w:sz w:val="20"/>
              </w:rPr>
            </w:pPr>
            <w:r>
              <w:rPr>
                <w:spacing w:val="-2"/>
                <w:sz w:val="20"/>
              </w:rPr>
              <w:t>2.023238</w:t>
            </w:r>
          </w:p>
        </w:tc>
        <w:tc>
          <w:tcPr>
            <w:tcW w:w="1432" w:type="dxa"/>
            <w:tcBorders>
              <w:bottom w:val="double" w:sz="6" w:space="0" w:color="000000"/>
            </w:tcBorders>
          </w:tcPr>
          <w:p>
            <w:pPr>
              <w:pStyle w:val="TableParagraph"/>
              <w:spacing w:line="224" w:lineRule="exact"/>
              <w:ind w:left="131"/>
              <w:rPr>
                <w:sz w:val="20"/>
              </w:rPr>
            </w:pPr>
            <w:r>
              <w:rPr>
                <w:spacing w:val="-2"/>
                <w:sz w:val="20"/>
              </w:rPr>
              <w:t>Prob(F-statistic)</w:t>
            </w:r>
          </w:p>
        </w:tc>
        <w:tc>
          <w:tcPr>
            <w:tcW w:w="904" w:type="dxa"/>
            <w:tcBorders>
              <w:bottom w:val="double" w:sz="6" w:space="0" w:color="000000"/>
            </w:tcBorders>
          </w:tcPr>
          <w:p>
            <w:pPr>
              <w:pStyle w:val="TableParagraph"/>
              <w:rPr>
                <w:sz w:val="18"/>
              </w:rPr>
            </w:pPr>
          </w:p>
        </w:tc>
        <w:tc>
          <w:tcPr>
            <w:tcW w:w="929" w:type="dxa"/>
            <w:tcBorders>
              <w:bottom w:val="double" w:sz="6" w:space="0" w:color="000000"/>
            </w:tcBorders>
          </w:tcPr>
          <w:p>
            <w:pPr>
              <w:pStyle w:val="TableParagraph"/>
              <w:spacing w:line="224" w:lineRule="exact"/>
              <w:ind w:right="27"/>
              <w:jc w:val="right"/>
              <w:rPr>
                <w:sz w:val="20"/>
              </w:rPr>
            </w:pPr>
            <w:r>
              <w:rPr>
                <w:spacing w:val="-2"/>
                <w:sz w:val="20"/>
              </w:rPr>
              <w:t>0.000022</w:t>
            </w:r>
          </w:p>
        </w:tc>
      </w:tr>
    </w:tbl>
    <w:p>
      <w:pPr>
        <w:pStyle w:val="BodyText"/>
        <w:rPr>
          <w:sz w:val="20"/>
        </w:rPr>
      </w:pPr>
    </w:p>
    <w:p>
      <w:pPr>
        <w:pStyle w:val="BodyText"/>
        <w:rPr>
          <w:sz w:val="20"/>
        </w:rPr>
      </w:pPr>
    </w:p>
    <w:p>
      <w:pPr>
        <w:pStyle w:val="BodyText"/>
        <w:spacing w:before="14"/>
        <w:rPr>
          <w:sz w:val="20"/>
        </w:rPr>
      </w:pPr>
    </w:p>
    <w:p>
      <w:pPr>
        <w:spacing w:before="1" w:after="2"/>
        <w:ind w:left="711" w:right="0" w:firstLine="0"/>
        <w:jc w:val="left"/>
        <w:rPr>
          <w:sz w:val="20"/>
        </w:rPr>
      </w:pPr>
      <w:r>
        <w:rPr>
          <w:sz w:val="20"/>
        </w:rPr>
        <w:t>PRIVCR</w:t>
      </w:r>
      <w:r>
        <w:rPr>
          <w:spacing w:val="-5"/>
          <w:sz w:val="20"/>
        </w:rPr>
        <w:t> </w:t>
      </w:r>
      <w:r>
        <w:rPr>
          <w:sz w:val="20"/>
        </w:rPr>
        <w:t>@</w:t>
      </w:r>
      <w:r>
        <w:rPr>
          <w:spacing w:val="-6"/>
          <w:sz w:val="20"/>
        </w:rPr>
        <w:t> </w:t>
      </w:r>
      <w:r>
        <w:rPr>
          <w:spacing w:val="-4"/>
          <w:sz w:val="20"/>
        </w:rPr>
        <w:t>LEVEL</w:t>
      </w:r>
    </w:p>
    <w:tbl>
      <w:tblPr>
        <w:tblW w:w="0" w:type="auto"/>
        <w:jc w:val="left"/>
        <w:tblInd w:w="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93"/>
        <w:gridCol w:w="1329"/>
        <w:gridCol w:w="1458"/>
        <w:gridCol w:w="879"/>
        <w:gridCol w:w="929"/>
      </w:tblGrid>
      <w:tr>
        <w:trPr>
          <w:trHeight w:val="225" w:hRule="atLeast"/>
        </w:trPr>
        <w:tc>
          <w:tcPr>
            <w:tcW w:w="1893" w:type="dxa"/>
          </w:tcPr>
          <w:p>
            <w:pPr>
              <w:pStyle w:val="TableParagraph"/>
              <w:spacing w:line="205" w:lineRule="exact"/>
              <w:ind w:left="36"/>
              <w:rPr>
                <w:sz w:val="20"/>
              </w:rPr>
            </w:pPr>
            <w:r>
              <w:rPr>
                <w:sz w:val="20"/>
              </w:rPr>
              <w:t>ADF</w:t>
            </w:r>
            <w:r>
              <w:rPr>
                <w:spacing w:val="-4"/>
                <w:sz w:val="20"/>
              </w:rPr>
              <w:t> </w:t>
            </w:r>
            <w:r>
              <w:rPr>
                <w:sz w:val="20"/>
              </w:rPr>
              <w:t>Test</w:t>
            </w:r>
            <w:r>
              <w:rPr>
                <w:spacing w:val="-4"/>
                <w:sz w:val="20"/>
              </w:rPr>
              <w:t> </w:t>
            </w:r>
            <w:r>
              <w:rPr>
                <w:spacing w:val="-2"/>
                <w:sz w:val="20"/>
              </w:rPr>
              <w:t>Statistic</w:t>
            </w:r>
          </w:p>
        </w:tc>
        <w:tc>
          <w:tcPr>
            <w:tcW w:w="1329" w:type="dxa"/>
          </w:tcPr>
          <w:p>
            <w:pPr>
              <w:pStyle w:val="TableParagraph"/>
              <w:spacing w:line="205" w:lineRule="exact"/>
              <w:ind w:left="224"/>
              <w:rPr>
                <w:sz w:val="20"/>
              </w:rPr>
            </w:pPr>
            <w:r>
              <w:rPr>
                <w:spacing w:val="-2"/>
                <w:sz w:val="20"/>
              </w:rPr>
              <w:t>0.040245</w:t>
            </w:r>
          </w:p>
        </w:tc>
        <w:tc>
          <w:tcPr>
            <w:tcW w:w="2337" w:type="dxa"/>
            <w:gridSpan w:val="2"/>
          </w:tcPr>
          <w:p>
            <w:pPr>
              <w:pStyle w:val="TableParagraph"/>
              <w:spacing w:line="205" w:lineRule="exact"/>
              <w:ind w:left="131"/>
              <w:rPr>
                <w:sz w:val="20"/>
              </w:rPr>
            </w:pPr>
            <w:r>
              <w:rPr>
                <w:sz w:val="20"/>
              </w:rPr>
              <w:t>1%</w:t>
            </w:r>
            <w:r>
              <w:rPr>
                <w:spacing w:val="68"/>
                <w:w w:val="150"/>
                <w:sz w:val="20"/>
              </w:rPr>
              <w:t> </w:t>
            </w:r>
            <w:r>
              <w:rPr>
                <w:sz w:val="20"/>
              </w:rPr>
              <w:t>Critical</w:t>
            </w:r>
            <w:r>
              <w:rPr>
                <w:spacing w:val="-2"/>
                <w:sz w:val="20"/>
              </w:rPr>
              <w:t> Value*</w:t>
            </w:r>
          </w:p>
        </w:tc>
        <w:tc>
          <w:tcPr>
            <w:tcW w:w="929" w:type="dxa"/>
          </w:tcPr>
          <w:p>
            <w:pPr>
              <w:pStyle w:val="TableParagraph"/>
              <w:spacing w:line="205" w:lineRule="exact"/>
              <w:ind w:right="28"/>
              <w:jc w:val="right"/>
              <w:rPr>
                <w:sz w:val="20"/>
              </w:rPr>
            </w:pPr>
            <w:r>
              <w:rPr>
                <w:spacing w:val="-4"/>
                <w:sz w:val="20"/>
              </w:rPr>
              <w:t>-</w:t>
            </w:r>
            <w:r>
              <w:rPr>
                <w:spacing w:val="-2"/>
                <w:sz w:val="20"/>
              </w:rPr>
              <w:t>3.6019</w:t>
            </w:r>
          </w:p>
        </w:tc>
      </w:tr>
      <w:tr>
        <w:trPr>
          <w:trHeight w:val="230" w:hRule="atLeast"/>
        </w:trPr>
        <w:tc>
          <w:tcPr>
            <w:tcW w:w="1893" w:type="dxa"/>
          </w:tcPr>
          <w:p>
            <w:pPr>
              <w:pStyle w:val="TableParagraph"/>
              <w:rPr>
                <w:sz w:val="16"/>
              </w:rPr>
            </w:pPr>
          </w:p>
        </w:tc>
        <w:tc>
          <w:tcPr>
            <w:tcW w:w="1329" w:type="dxa"/>
          </w:tcPr>
          <w:p>
            <w:pPr>
              <w:pStyle w:val="TableParagraph"/>
              <w:rPr>
                <w:sz w:val="16"/>
              </w:rPr>
            </w:pPr>
          </w:p>
        </w:tc>
        <w:tc>
          <w:tcPr>
            <w:tcW w:w="2337" w:type="dxa"/>
            <w:gridSpan w:val="2"/>
          </w:tcPr>
          <w:p>
            <w:pPr>
              <w:pStyle w:val="TableParagraph"/>
              <w:spacing w:line="211" w:lineRule="exact"/>
              <w:ind w:left="131"/>
              <w:rPr>
                <w:sz w:val="20"/>
              </w:rPr>
            </w:pPr>
            <w:r>
              <w:rPr>
                <w:sz w:val="20"/>
              </w:rPr>
              <w:t>5%</w:t>
            </w:r>
            <w:r>
              <w:rPr>
                <w:spacing w:val="68"/>
                <w:w w:val="150"/>
                <w:sz w:val="20"/>
              </w:rPr>
              <w:t> </w:t>
            </w:r>
            <w:r>
              <w:rPr>
                <w:sz w:val="20"/>
              </w:rPr>
              <w:t>Critical</w:t>
            </w:r>
            <w:r>
              <w:rPr>
                <w:spacing w:val="-2"/>
                <w:sz w:val="20"/>
              </w:rPr>
              <w:t> </w:t>
            </w:r>
            <w:r>
              <w:rPr>
                <w:spacing w:val="-4"/>
                <w:sz w:val="20"/>
              </w:rPr>
              <w:t>Value</w:t>
            </w:r>
          </w:p>
        </w:tc>
        <w:tc>
          <w:tcPr>
            <w:tcW w:w="929" w:type="dxa"/>
          </w:tcPr>
          <w:p>
            <w:pPr>
              <w:pStyle w:val="TableParagraph"/>
              <w:spacing w:line="211" w:lineRule="exact"/>
              <w:ind w:right="28"/>
              <w:jc w:val="right"/>
              <w:rPr>
                <w:sz w:val="20"/>
              </w:rPr>
            </w:pPr>
            <w:r>
              <w:rPr>
                <w:spacing w:val="-4"/>
                <w:sz w:val="20"/>
              </w:rPr>
              <w:t>-</w:t>
            </w:r>
            <w:r>
              <w:rPr>
                <w:spacing w:val="-2"/>
                <w:sz w:val="20"/>
              </w:rPr>
              <w:t>2.9358</w:t>
            </w:r>
          </w:p>
        </w:tc>
      </w:tr>
      <w:tr>
        <w:trPr>
          <w:trHeight w:val="224" w:hRule="atLeast"/>
        </w:trPr>
        <w:tc>
          <w:tcPr>
            <w:tcW w:w="1893" w:type="dxa"/>
            <w:tcBorders>
              <w:bottom w:val="double" w:sz="6" w:space="0" w:color="000000"/>
            </w:tcBorders>
          </w:tcPr>
          <w:p>
            <w:pPr>
              <w:pStyle w:val="TableParagraph"/>
              <w:rPr>
                <w:sz w:val="16"/>
              </w:rPr>
            </w:pPr>
          </w:p>
        </w:tc>
        <w:tc>
          <w:tcPr>
            <w:tcW w:w="1329" w:type="dxa"/>
            <w:tcBorders>
              <w:bottom w:val="double" w:sz="6" w:space="0" w:color="000000"/>
            </w:tcBorders>
          </w:tcPr>
          <w:p>
            <w:pPr>
              <w:pStyle w:val="TableParagraph"/>
              <w:rPr>
                <w:sz w:val="16"/>
              </w:rPr>
            </w:pPr>
          </w:p>
        </w:tc>
        <w:tc>
          <w:tcPr>
            <w:tcW w:w="2337" w:type="dxa"/>
            <w:gridSpan w:val="2"/>
            <w:tcBorders>
              <w:bottom w:val="double" w:sz="6" w:space="0" w:color="000000"/>
            </w:tcBorders>
          </w:tcPr>
          <w:p>
            <w:pPr>
              <w:pStyle w:val="TableParagraph"/>
              <w:spacing w:line="205" w:lineRule="exact"/>
              <w:ind w:left="131"/>
              <w:rPr>
                <w:sz w:val="20"/>
              </w:rPr>
            </w:pPr>
            <w:r>
              <w:rPr>
                <w:sz w:val="20"/>
              </w:rPr>
              <w:t>10%</w:t>
            </w:r>
            <w:r>
              <w:rPr>
                <w:spacing w:val="-6"/>
                <w:sz w:val="20"/>
              </w:rPr>
              <w:t> </w:t>
            </w:r>
            <w:r>
              <w:rPr>
                <w:sz w:val="20"/>
              </w:rPr>
              <w:t>Critical</w:t>
            </w:r>
            <w:r>
              <w:rPr>
                <w:spacing w:val="-4"/>
                <w:sz w:val="20"/>
              </w:rPr>
              <w:t> </w:t>
            </w:r>
            <w:r>
              <w:rPr>
                <w:spacing w:val="-2"/>
                <w:sz w:val="20"/>
              </w:rPr>
              <w:t>Value</w:t>
            </w:r>
          </w:p>
        </w:tc>
        <w:tc>
          <w:tcPr>
            <w:tcW w:w="929" w:type="dxa"/>
            <w:tcBorders>
              <w:bottom w:val="double" w:sz="6" w:space="0" w:color="000000"/>
            </w:tcBorders>
          </w:tcPr>
          <w:p>
            <w:pPr>
              <w:pStyle w:val="TableParagraph"/>
              <w:spacing w:line="205" w:lineRule="exact"/>
              <w:ind w:right="28"/>
              <w:jc w:val="right"/>
              <w:rPr>
                <w:sz w:val="20"/>
              </w:rPr>
            </w:pPr>
            <w:r>
              <w:rPr>
                <w:spacing w:val="-4"/>
                <w:sz w:val="20"/>
              </w:rPr>
              <w:t>-</w:t>
            </w:r>
            <w:r>
              <w:rPr>
                <w:spacing w:val="-2"/>
                <w:sz w:val="20"/>
              </w:rPr>
              <w:t>2.6059</w:t>
            </w:r>
          </w:p>
        </w:tc>
      </w:tr>
      <w:tr>
        <w:trPr>
          <w:trHeight w:val="504" w:hRule="atLeast"/>
        </w:trPr>
        <w:tc>
          <w:tcPr>
            <w:tcW w:w="6488" w:type="dxa"/>
            <w:gridSpan w:val="5"/>
            <w:tcBorders>
              <w:top w:val="double" w:sz="6" w:space="0" w:color="000000"/>
            </w:tcBorders>
          </w:tcPr>
          <w:p>
            <w:pPr>
              <w:pStyle w:val="TableParagraph"/>
              <w:spacing w:before="40"/>
              <w:ind w:left="36"/>
              <w:rPr>
                <w:sz w:val="20"/>
              </w:rPr>
            </w:pPr>
            <w:r>
              <w:rPr>
                <w:sz w:val="20"/>
              </w:rPr>
              <w:t>*MacKinnon</w:t>
            </w:r>
            <w:r>
              <w:rPr>
                <w:spacing w:val="-6"/>
                <w:sz w:val="20"/>
              </w:rPr>
              <w:t> </w:t>
            </w:r>
            <w:r>
              <w:rPr>
                <w:sz w:val="20"/>
              </w:rPr>
              <w:t>critical</w:t>
            </w:r>
            <w:r>
              <w:rPr>
                <w:spacing w:val="-4"/>
                <w:sz w:val="20"/>
              </w:rPr>
              <w:t> </w:t>
            </w:r>
            <w:r>
              <w:rPr>
                <w:sz w:val="20"/>
              </w:rPr>
              <w:t>values</w:t>
            </w:r>
            <w:r>
              <w:rPr>
                <w:spacing w:val="-6"/>
                <w:sz w:val="20"/>
              </w:rPr>
              <w:t> </w:t>
            </w:r>
            <w:r>
              <w:rPr>
                <w:sz w:val="20"/>
              </w:rPr>
              <w:t>for</w:t>
            </w:r>
            <w:r>
              <w:rPr>
                <w:spacing w:val="-2"/>
                <w:sz w:val="20"/>
              </w:rPr>
              <w:t> </w:t>
            </w:r>
            <w:r>
              <w:rPr>
                <w:sz w:val="20"/>
              </w:rPr>
              <w:t>rejection</w:t>
            </w:r>
            <w:r>
              <w:rPr>
                <w:spacing w:val="-5"/>
                <w:sz w:val="20"/>
              </w:rPr>
              <w:t> </w:t>
            </w:r>
            <w:r>
              <w:rPr>
                <w:sz w:val="20"/>
              </w:rPr>
              <w:t>of</w:t>
            </w:r>
            <w:r>
              <w:rPr>
                <w:spacing w:val="-6"/>
                <w:sz w:val="20"/>
              </w:rPr>
              <w:t> </w:t>
            </w:r>
            <w:r>
              <w:rPr>
                <w:sz w:val="20"/>
              </w:rPr>
              <w:t>hypothesis</w:t>
            </w:r>
            <w:r>
              <w:rPr>
                <w:spacing w:val="-6"/>
                <w:sz w:val="20"/>
              </w:rPr>
              <w:t> </w:t>
            </w:r>
            <w:r>
              <w:rPr>
                <w:sz w:val="20"/>
              </w:rPr>
              <w:t>of</w:t>
            </w:r>
            <w:r>
              <w:rPr>
                <w:spacing w:val="-6"/>
                <w:sz w:val="20"/>
              </w:rPr>
              <w:t> </w:t>
            </w:r>
            <w:r>
              <w:rPr>
                <w:sz w:val="20"/>
              </w:rPr>
              <w:t>a</w:t>
            </w:r>
            <w:r>
              <w:rPr>
                <w:spacing w:val="-5"/>
                <w:sz w:val="20"/>
              </w:rPr>
              <w:t> </w:t>
            </w:r>
            <w:r>
              <w:rPr>
                <w:sz w:val="20"/>
              </w:rPr>
              <w:t>unit</w:t>
            </w:r>
            <w:r>
              <w:rPr>
                <w:spacing w:val="-5"/>
                <w:sz w:val="20"/>
              </w:rPr>
              <w:t> </w:t>
            </w:r>
            <w:r>
              <w:rPr>
                <w:spacing w:val="-2"/>
                <w:sz w:val="20"/>
              </w:rPr>
              <w:t>root.</w:t>
            </w:r>
          </w:p>
        </w:tc>
      </w:tr>
      <w:tr>
        <w:trPr>
          <w:trHeight w:val="459" w:hRule="atLeast"/>
        </w:trPr>
        <w:tc>
          <w:tcPr>
            <w:tcW w:w="6488" w:type="dxa"/>
            <w:gridSpan w:val="5"/>
          </w:tcPr>
          <w:p>
            <w:pPr>
              <w:pStyle w:val="TableParagraph"/>
              <w:spacing w:line="215" w:lineRule="exact" w:before="225"/>
              <w:ind w:left="36"/>
              <w:rPr>
                <w:sz w:val="20"/>
              </w:rPr>
            </w:pPr>
            <w:r>
              <w:rPr>
                <w:sz w:val="20"/>
              </w:rPr>
              <w:t>Augmented</w:t>
            </w:r>
            <w:r>
              <w:rPr>
                <w:spacing w:val="-8"/>
                <w:sz w:val="20"/>
              </w:rPr>
              <w:t> </w:t>
            </w:r>
            <w:r>
              <w:rPr>
                <w:sz w:val="20"/>
              </w:rPr>
              <w:t>Dickey-Fuller</w:t>
            </w:r>
            <w:r>
              <w:rPr>
                <w:spacing w:val="-8"/>
                <w:sz w:val="20"/>
              </w:rPr>
              <w:t> </w:t>
            </w:r>
            <w:r>
              <w:rPr>
                <w:sz w:val="20"/>
              </w:rPr>
              <w:t>Test</w:t>
            </w:r>
            <w:r>
              <w:rPr>
                <w:spacing w:val="-9"/>
                <w:sz w:val="20"/>
              </w:rPr>
              <w:t> </w:t>
            </w:r>
            <w:r>
              <w:rPr>
                <w:spacing w:val="-2"/>
                <w:sz w:val="20"/>
              </w:rPr>
              <w:t>Equation</w:t>
            </w:r>
          </w:p>
        </w:tc>
      </w:tr>
      <w:tr>
        <w:trPr>
          <w:trHeight w:val="230" w:hRule="atLeast"/>
        </w:trPr>
        <w:tc>
          <w:tcPr>
            <w:tcW w:w="6488" w:type="dxa"/>
            <w:gridSpan w:val="5"/>
          </w:tcPr>
          <w:p>
            <w:pPr>
              <w:pStyle w:val="TableParagraph"/>
              <w:spacing w:line="210" w:lineRule="exact"/>
              <w:ind w:left="36"/>
              <w:rPr>
                <w:sz w:val="20"/>
              </w:rPr>
            </w:pPr>
            <w:r>
              <w:rPr>
                <w:sz w:val="20"/>
              </w:rPr>
              <w:t>Dependent</w:t>
            </w:r>
            <w:r>
              <w:rPr>
                <w:spacing w:val="-8"/>
                <w:sz w:val="20"/>
              </w:rPr>
              <w:t> </w:t>
            </w:r>
            <w:r>
              <w:rPr>
                <w:sz w:val="20"/>
              </w:rPr>
              <w:t>Variable:</w:t>
            </w:r>
            <w:r>
              <w:rPr>
                <w:spacing w:val="-8"/>
                <w:sz w:val="20"/>
              </w:rPr>
              <w:t> </w:t>
            </w:r>
            <w:r>
              <w:rPr>
                <w:spacing w:val="-2"/>
                <w:sz w:val="20"/>
              </w:rPr>
              <w:t>D(PRIVCR)</w:t>
            </w:r>
          </w:p>
        </w:tc>
      </w:tr>
      <w:tr>
        <w:trPr>
          <w:trHeight w:val="230" w:hRule="atLeast"/>
        </w:trPr>
        <w:tc>
          <w:tcPr>
            <w:tcW w:w="1893" w:type="dxa"/>
          </w:tcPr>
          <w:p>
            <w:pPr>
              <w:pStyle w:val="TableParagraph"/>
              <w:spacing w:line="210" w:lineRule="exact"/>
              <w:ind w:left="36"/>
              <w:rPr>
                <w:sz w:val="20"/>
              </w:rPr>
            </w:pPr>
            <w:r>
              <w:rPr>
                <w:sz w:val="20"/>
              </w:rPr>
              <w:t>Method:</w:t>
            </w:r>
            <w:r>
              <w:rPr>
                <w:spacing w:val="-8"/>
                <w:sz w:val="20"/>
              </w:rPr>
              <w:t> </w:t>
            </w:r>
            <w:r>
              <w:rPr>
                <w:sz w:val="20"/>
              </w:rPr>
              <w:t>Least</w:t>
            </w:r>
            <w:r>
              <w:rPr>
                <w:spacing w:val="-7"/>
                <w:sz w:val="20"/>
              </w:rPr>
              <w:t> </w:t>
            </w:r>
            <w:r>
              <w:rPr>
                <w:spacing w:val="-2"/>
                <w:sz w:val="20"/>
              </w:rPr>
              <w:t>Squares</w:t>
            </w:r>
          </w:p>
        </w:tc>
        <w:tc>
          <w:tcPr>
            <w:tcW w:w="1329" w:type="dxa"/>
          </w:tcPr>
          <w:p>
            <w:pPr>
              <w:pStyle w:val="TableParagraph"/>
              <w:rPr>
                <w:sz w:val="16"/>
              </w:rPr>
            </w:pPr>
          </w:p>
        </w:tc>
        <w:tc>
          <w:tcPr>
            <w:tcW w:w="1458" w:type="dxa"/>
          </w:tcPr>
          <w:p>
            <w:pPr>
              <w:pStyle w:val="TableParagraph"/>
              <w:rPr>
                <w:sz w:val="16"/>
              </w:rPr>
            </w:pPr>
          </w:p>
        </w:tc>
        <w:tc>
          <w:tcPr>
            <w:tcW w:w="879" w:type="dxa"/>
          </w:tcPr>
          <w:p>
            <w:pPr>
              <w:pStyle w:val="TableParagraph"/>
              <w:rPr>
                <w:sz w:val="16"/>
              </w:rPr>
            </w:pPr>
          </w:p>
        </w:tc>
        <w:tc>
          <w:tcPr>
            <w:tcW w:w="929" w:type="dxa"/>
          </w:tcPr>
          <w:p>
            <w:pPr>
              <w:pStyle w:val="TableParagraph"/>
              <w:rPr>
                <w:sz w:val="16"/>
              </w:rPr>
            </w:pPr>
          </w:p>
        </w:tc>
      </w:tr>
      <w:tr>
        <w:trPr>
          <w:trHeight w:val="230" w:hRule="atLeast"/>
        </w:trPr>
        <w:tc>
          <w:tcPr>
            <w:tcW w:w="6488" w:type="dxa"/>
            <w:gridSpan w:val="5"/>
          </w:tcPr>
          <w:p>
            <w:pPr>
              <w:pStyle w:val="TableParagraph"/>
              <w:spacing w:line="210" w:lineRule="exact"/>
              <w:ind w:left="36"/>
              <w:rPr>
                <w:sz w:val="20"/>
              </w:rPr>
            </w:pPr>
            <w:r>
              <w:rPr>
                <w:sz w:val="20"/>
              </w:rPr>
              <w:t>Date:</w:t>
            </w:r>
            <w:r>
              <w:rPr>
                <w:spacing w:val="-5"/>
                <w:sz w:val="20"/>
              </w:rPr>
              <w:t> </w:t>
            </w:r>
            <w:r>
              <w:rPr>
                <w:sz w:val="20"/>
              </w:rPr>
              <w:t>02/18/14</w:t>
            </w:r>
            <w:r>
              <w:rPr>
                <w:spacing w:val="63"/>
                <w:w w:val="150"/>
                <w:sz w:val="20"/>
              </w:rPr>
              <w:t> </w:t>
            </w:r>
            <w:r>
              <w:rPr>
                <w:sz w:val="20"/>
              </w:rPr>
              <w:t>Time:</w:t>
            </w:r>
            <w:r>
              <w:rPr>
                <w:spacing w:val="-3"/>
                <w:sz w:val="20"/>
              </w:rPr>
              <w:t> </w:t>
            </w:r>
            <w:r>
              <w:rPr>
                <w:spacing w:val="-2"/>
                <w:sz w:val="20"/>
              </w:rPr>
              <w:t>13:41</w:t>
            </w:r>
          </w:p>
        </w:tc>
      </w:tr>
      <w:tr>
        <w:trPr>
          <w:trHeight w:val="230" w:hRule="atLeast"/>
        </w:trPr>
        <w:tc>
          <w:tcPr>
            <w:tcW w:w="6488" w:type="dxa"/>
            <w:gridSpan w:val="5"/>
          </w:tcPr>
          <w:p>
            <w:pPr>
              <w:pStyle w:val="TableParagraph"/>
              <w:spacing w:line="210" w:lineRule="exact"/>
              <w:ind w:left="36"/>
              <w:rPr>
                <w:sz w:val="20"/>
              </w:rPr>
            </w:pPr>
            <w:r>
              <w:rPr>
                <w:sz w:val="20"/>
              </w:rPr>
              <w:t>Sample(adjusted):</w:t>
            </w:r>
            <w:r>
              <w:rPr>
                <w:spacing w:val="-9"/>
                <w:sz w:val="20"/>
              </w:rPr>
              <w:t> </w:t>
            </w:r>
            <w:r>
              <w:rPr>
                <w:sz w:val="20"/>
              </w:rPr>
              <w:t>1972</w:t>
            </w:r>
            <w:r>
              <w:rPr>
                <w:spacing w:val="-9"/>
                <w:sz w:val="20"/>
              </w:rPr>
              <w:t> </w:t>
            </w:r>
            <w:r>
              <w:rPr>
                <w:spacing w:val="-4"/>
                <w:sz w:val="20"/>
              </w:rPr>
              <w:t>2011</w:t>
            </w:r>
          </w:p>
        </w:tc>
      </w:tr>
      <w:tr>
        <w:trPr>
          <w:trHeight w:val="224" w:hRule="atLeast"/>
        </w:trPr>
        <w:tc>
          <w:tcPr>
            <w:tcW w:w="6488" w:type="dxa"/>
            <w:gridSpan w:val="5"/>
            <w:tcBorders>
              <w:bottom w:val="double" w:sz="6" w:space="0" w:color="000000"/>
            </w:tcBorders>
          </w:tcPr>
          <w:p>
            <w:pPr>
              <w:pStyle w:val="TableParagraph"/>
              <w:spacing w:line="205" w:lineRule="exact"/>
              <w:ind w:left="36"/>
              <w:rPr>
                <w:sz w:val="20"/>
              </w:rPr>
            </w:pPr>
            <w:r>
              <w:rPr>
                <w:sz w:val="20"/>
              </w:rPr>
              <w:t>Included</w:t>
            </w:r>
            <w:r>
              <w:rPr>
                <w:spacing w:val="-6"/>
                <w:sz w:val="20"/>
              </w:rPr>
              <w:t> </w:t>
            </w:r>
            <w:r>
              <w:rPr>
                <w:sz w:val="20"/>
              </w:rPr>
              <w:t>observations:</w:t>
            </w:r>
            <w:r>
              <w:rPr>
                <w:spacing w:val="-7"/>
                <w:sz w:val="20"/>
              </w:rPr>
              <w:t> </w:t>
            </w:r>
            <w:r>
              <w:rPr>
                <w:sz w:val="20"/>
              </w:rPr>
              <w:t>40</w:t>
            </w:r>
            <w:r>
              <w:rPr>
                <w:spacing w:val="-6"/>
                <w:sz w:val="20"/>
              </w:rPr>
              <w:t> </w:t>
            </w:r>
            <w:r>
              <w:rPr>
                <w:sz w:val="20"/>
              </w:rPr>
              <w:t>after</w:t>
            </w:r>
            <w:r>
              <w:rPr>
                <w:spacing w:val="-6"/>
                <w:sz w:val="20"/>
              </w:rPr>
              <w:t> </w:t>
            </w:r>
            <w:r>
              <w:rPr>
                <w:sz w:val="20"/>
              </w:rPr>
              <w:t>adjusting</w:t>
            </w:r>
            <w:r>
              <w:rPr>
                <w:spacing w:val="-4"/>
                <w:sz w:val="20"/>
              </w:rPr>
              <w:t> </w:t>
            </w:r>
            <w:r>
              <w:rPr>
                <w:spacing w:val="-2"/>
                <w:sz w:val="20"/>
              </w:rPr>
              <w:t>endpoints</w:t>
            </w:r>
          </w:p>
        </w:tc>
      </w:tr>
      <w:tr>
        <w:trPr>
          <w:trHeight w:val="269" w:hRule="atLeast"/>
        </w:trPr>
        <w:tc>
          <w:tcPr>
            <w:tcW w:w="1893" w:type="dxa"/>
            <w:tcBorders>
              <w:top w:val="double" w:sz="6" w:space="0" w:color="000000"/>
              <w:bottom w:val="double" w:sz="6" w:space="0" w:color="000000"/>
            </w:tcBorders>
          </w:tcPr>
          <w:p>
            <w:pPr>
              <w:pStyle w:val="TableParagraph"/>
              <w:spacing w:line="209" w:lineRule="exact" w:before="40"/>
              <w:ind w:left="677"/>
              <w:rPr>
                <w:sz w:val="20"/>
              </w:rPr>
            </w:pPr>
            <w:r>
              <w:rPr>
                <w:spacing w:val="-2"/>
                <w:sz w:val="20"/>
              </w:rPr>
              <w:t>Variable</w:t>
            </w:r>
          </w:p>
        </w:tc>
        <w:tc>
          <w:tcPr>
            <w:tcW w:w="1329" w:type="dxa"/>
            <w:tcBorders>
              <w:top w:val="double" w:sz="6" w:space="0" w:color="000000"/>
              <w:bottom w:val="double" w:sz="6" w:space="0" w:color="000000"/>
            </w:tcBorders>
          </w:tcPr>
          <w:p>
            <w:pPr>
              <w:pStyle w:val="TableParagraph"/>
              <w:spacing w:line="209" w:lineRule="exact" w:before="40"/>
              <w:ind w:right="131"/>
              <w:jc w:val="right"/>
              <w:rPr>
                <w:sz w:val="20"/>
              </w:rPr>
            </w:pPr>
            <w:r>
              <w:rPr>
                <w:spacing w:val="-2"/>
                <w:sz w:val="20"/>
              </w:rPr>
              <w:t>Coefficient</w:t>
            </w:r>
          </w:p>
        </w:tc>
        <w:tc>
          <w:tcPr>
            <w:tcW w:w="1458" w:type="dxa"/>
            <w:tcBorders>
              <w:top w:val="double" w:sz="6" w:space="0" w:color="000000"/>
              <w:bottom w:val="double" w:sz="6" w:space="0" w:color="000000"/>
            </w:tcBorders>
          </w:tcPr>
          <w:p>
            <w:pPr>
              <w:pStyle w:val="TableParagraph"/>
              <w:spacing w:line="209" w:lineRule="exact" w:before="40"/>
              <w:ind w:left="273"/>
              <w:rPr>
                <w:sz w:val="20"/>
              </w:rPr>
            </w:pPr>
            <w:r>
              <w:rPr>
                <w:sz w:val="20"/>
              </w:rPr>
              <w:t>Std.</w:t>
            </w:r>
            <w:r>
              <w:rPr>
                <w:spacing w:val="-4"/>
                <w:sz w:val="20"/>
              </w:rPr>
              <w:t> </w:t>
            </w:r>
            <w:r>
              <w:rPr>
                <w:spacing w:val="-2"/>
                <w:sz w:val="20"/>
              </w:rPr>
              <w:t>Error</w:t>
            </w:r>
          </w:p>
        </w:tc>
        <w:tc>
          <w:tcPr>
            <w:tcW w:w="879" w:type="dxa"/>
            <w:tcBorders>
              <w:top w:val="double" w:sz="6" w:space="0" w:color="000000"/>
              <w:bottom w:val="double" w:sz="6" w:space="0" w:color="000000"/>
            </w:tcBorders>
          </w:tcPr>
          <w:p>
            <w:pPr>
              <w:pStyle w:val="TableParagraph"/>
              <w:spacing w:line="209" w:lineRule="exact" w:before="40"/>
              <w:ind w:right="49"/>
              <w:jc w:val="center"/>
              <w:rPr>
                <w:sz w:val="20"/>
              </w:rPr>
            </w:pPr>
            <w:r>
              <w:rPr>
                <w:spacing w:val="-4"/>
                <w:sz w:val="20"/>
              </w:rPr>
              <w:t>t-</w:t>
            </w:r>
            <w:r>
              <w:rPr>
                <w:spacing w:val="-2"/>
                <w:sz w:val="20"/>
              </w:rPr>
              <w:t>Statistic</w:t>
            </w:r>
          </w:p>
        </w:tc>
        <w:tc>
          <w:tcPr>
            <w:tcW w:w="929" w:type="dxa"/>
            <w:tcBorders>
              <w:top w:val="double" w:sz="6" w:space="0" w:color="000000"/>
              <w:bottom w:val="double" w:sz="6" w:space="0" w:color="000000"/>
            </w:tcBorders>
          </w:tcPr>
          <w:p>
            <w:pPr>
              <w:pStyle w:val="TableParagraph"/>
              <w:spacing w:line="209" w:lineRule="exact" w:before="40"/>
              <w:ind w:right="29"/>
              <w:jc w:val="right"/>
              <w:rPr>
                <w:sz w:val="20"/>
              </w:rPr>
            </w:pPr>
            <w:r>
              <w:rPr>
                <w:spacing w:val="-2"/>
                <w:sz w:val="20"/>
              </w:rPr>
              <w:t>Prob.</w:t>
            </w:r>
          </w:p>
        </w:tc>
      </w:tr>
      <w:tr>
        <w:trPr>
          <w:trHeight w:val="275" w:hRule="atLeast"/>
        </w:trPr>
        <w:tc>
          <w:tcPr>
            <w:tcW w:w="1893" w:type="dxa"/>
            <w:tcBorders>
              <w:top w:val="double" w:sz="6" w:space="0" w:color="000000"/>
            </w:tcBorders>
          </w:tcPr>
          <w:p>
            <w:pPr>
              <w:pStyle w:val="TableParagraph"/>
              <w:spacing w:line="215" w:lineRule="exact" w:before="40"/>
              <w:ind w:left="511"/>
              <w:rPr>
                <w:sz w:val="20"/>
              </w:rPr>
            </w:pPr>
            <w:r>
              <w:rPr>
                <w:spacing w:val="-2"/>
                <w:sz w:val="20"/>
              </w:rPr>
              <w:t>PRIVCR(-</w:t>
            </w:r>
            <w:r>
              <w:rPr>
                <w:spacing w:val="-5"/>
                <w:sz w:val="20"/>
              </w:rPr>
              <w:t>1)</w:t>
            </w:r>
          </w:p>
        </w:tc>
        <w:tc>
          <w:tcPr>
            <w:tcW w:w="1329" w:type="dxa"/>
            <w:tcBorders>
              <w:top w:val="double" w:sz="6" w:space="0" w:color="000000"/>
            </w:tcBorders>
          </w:tcPr>
          <w:p>
            <w:pPr>
              <w:pStyle w:val="TableParagraph"/>
              <w:spacing w:line="215" w:lineRule="exact" w:before="40"/>
              <w:ind w:right="128"/>
              <w:jc w:val="right"/>
              <w:rPr>
                <w:sz w:val="20"/>
              </w:rPr>
            </w:pPr>
            <w:r>
              <w:rPr>
                <w:spacing w:val="-2"/>
                <w:sz w:val="20"/>
              </w:rPr>
              <w:t>0.000336</w:t>
            </w:r>
          </w:p>
        </w:tc>
        <w:tc>
          <w:tcPr>
            <w:tcW w:w="1458" w:type="dxa"/>
            <w:tcBorders>
              <w:top w:val="double" w:sz="6" w:space="0" w:color="000000"/>
            </w:tcBorders>
          </w:tcPr>
          <w:p>
            <w:pPr>
              <w:pStyle w:val="TableParagraph"/>
              <w:spacing w:line="215" w:lineRule="exact" w:before="40"/>
              <w:ind w:left="311"/>
              <w:rPr>
                <w:sz w:val="20"/>
              </w:rPr>
            </w:pPr>
            <w:r>
              <w:rPr>
                <w:spacing w:val="-2"/>
                <w:sz w:val="20"/>
              </w:rPr>
              <w:t>0.008351</w:t>
            </w:r>
          </w:p>
        </w:tc>
        <w:tc>
          <w:tcPr>
            <w:tcW w:w="879" w:type="dxa"/>
            <w:tcBorders>
              <w:top w:val="double" w:sz="6" w:space="0" w:color="000000"/>
            </w:tcBorders>
          </w:tcPr>
          <w:p>
            <w:pPr>
              <w:pStyle w:val="TableParagraph"/>
              <w:spacing w:line="215" w:lineRule="exact" w:before="40"/>
              <w:ind w:left="17" w:right="49"/>
              <w:jc w:val="center"/>
              <w:rPr>
                <w:sz w:val="20"/>
              </w:rPr>
            </w:pPr>
            <w:r>
              <w:rPr>
                <w:spacing w:val="-2"/>
                <w:sz w:val="20"/>
              </w:rPr>
              <w:t>0.040245</w:t>
            </w:r>
          </w:p>
        </w:tc>
        <w:tc>
          <w:tcPr>
            <w:tcW w:w="929" w:type="dxa"/>
            <w:tcBorders>
              <w:top w:val="double" w:sz="6" w:space="0" w:color="000000"/>
            </w:tcBorders>
          </w:tcPr>
          <w:p>
            <w:pPr>
              <w:pStyle w:val="TableParagraph"/>
              <w:spacing w:line="215" w:lineRule="exact" w:before="40"/>
              <w:ind w:right="28"/>
              <w:jc w:val="right"/>
              <w:rPr>
                <w:sz w:val="20"/>
              </w:rPr>
            </w:pPr>
            <w:r>
              <w:rPr>
                <w:spacing w:val="-2"/>
                <w:sz w:val="20"/>
              </w:rPr>
              <w:t>0.9681</w:t>
            </w:r>
          </w:p>
        </w:tc>
      </w:tr>
      <w:tr>
        <w:trPr>
          <w:trHeight w:val="230" w:hRule="atLeast"/>
        </w:trPr>
        <w:tc>
          <w:tcPr>
            <w:tcW w:w="1893" w:type="dxa"/>
          </w:tcPr>
          <w:p>
            <w:pPr>
              <w:pStyle w:val="TableParagraph"/>
              <w:spacing w:line="210" w:lineRule="exact"/>
              <w:ind w:left="372"/>
              <w:rPr>
                <w:sz w:val="20"/>
              </w:rPr>
            </w:pPr>
            <w:r>
              <w:rPr>
                <w:spacing w:val="-2"/>
                <w:sz w:val="20"/>
              </w:rPr>
              <w:t>D(PRIVCR(-</w:t>
            </w:r>
            <w:r>
              <w:rPr>
                <w:spacing w:val="-5"/>
                <w:sz w:val="20"/>
              </w:rPr>
              <w:t>1))</w:t>
            </w:r>
          </w:p>
        </w:tc>
        <w:tc>
          <w:tcPr>
            <w:tcW w:w="1329" w:type="dxa"/>
          </w:tcPr>
          <w:p>
            <w:pPr>
              <w:pStyle w:val="TableParagraph"/>
              <w:spacing w:line="210" w:lineRule="exact"/>
              <w:ind w:right="128"/>
              <w:jc w:val="right"/>
              <w:rPr>
                <w:sz w:val="20"/>
              </w:rPr>
            </w:pPr>
            <w:r>
              <w:rPr>
                <w:spacing w:val="-2"/>
                <w:sz w:val="20"/>
              </w:rPr>
              <w:t>0.272232</w:t>
            </w:r>
          </w:p>
        </w:tc>
        <w:tc>
          <w:tcPr>
            <w:tcW w:w="1458" w:type="dxa"/>
          </w:tcPr>
          <w:p>
            <w:pPr>
              <w:pStyle w:val="TableParagraph"/>
              <w:spacing w:line="210" w:lineRule="exact"/>
              <w:ind w:left="311"/>
              <w:rPr>
                <w:sz w:val="20"/>
              </w:rPr>
            </w:pPr>
            <w:r>
              <w:rPr>
                <w:spacing w:val="-2"/>
                <w:sz w:val="20"/>
              </w:rPr>
              <w:t>0.160607</w:t>
            </w:r>
          </w:p>
        </w:tc>
        <w:tc>
          <w:tcPr>
            <w:tcW w:w="879" w:type="dxa"/>
          </w:tcPr>
          <w:p>
            <w:pPr>
              <w:pStyle w:val="TableParagraph"/>
              <w:spacing w:line="210" w:lineRule="exact"/>
              <w:ind w:left="17" w:right="49"/>
              <w:jc w:val="center"/>
              <w:rPr>
                <w:sz w:val="20"/>
              </w:rPr>
            </w:pPr>
            <w:r>
              <w:rPr>
                <w:spacing w:val="-2"/>
                <w:sz w:val="20"/>
              </w:rPr>
              <w:t>1.695022</w:t>
            </w:r>
          </w:p>
        </w:tc>
        <w:tc>
          <w:tcPr>
            <w:tcW w:w="929" w:type="dxa"/>
          </w:tcPr>
          <w:p>
            <w:pPr>
              <w:pStyle w:val="TableParagraph"/>
              <w:spacing w:line="210" w:lineRule="exact"/>
              <w:ind w:right="28"/>
              <w:jc w:val="right"/>
              <w:rPr>
                <w:sz w:val="20"/>
              </w:rPr>
            </w:pPr>
            <w:r>
              <w:rPr>
                <w:spacing w:val="-2"/>
                <w:sz w:val="20"/>
              </w:rPr>
              <w:t>0.0985</w:t>
            </w:r>
          </w:p>
        </w:tc>
      </w:tr>
      <w:tr>
        <w:trPr>
          <w:trHeight w:val="224" w:hRule="atLeast"/>
        </w:trPr>
        <w:tc>
          <w:tcPr>
            <w:tcW w:w="1893" w:type="dxa"/>
            <w:tcBorders>
              <w:bottom w:val="double" w:sz="6" w:space="0" w:color="000000"/>
            </w:tcBorders>
          </w:tcPr>
          <w:p>
            <w:pPr>
              <w:pStyle w:val="TableParagraph"/>
              <w:spacing w:line="205" w:lineRule="exact"/>
              <w:ind w:left="151"/>
              <w:jc w:val="center"/>
              <w:rPr>
                <w:sz w:val="20"/>
              </w:rPr>
            </w:pPr>
            <w:r>
              <w:rPr>
                <w:spacing w:val="-10"/>
                <w:sz w:val="20"/>
              </w:rPr>
              <w:t>C</w:t>
            </w:r>
          </w:p>
        </w:tc>
        <w:tc>
          <w:tcPr>
            <w:tcW w:w="1329" w:type="dxa"/>
            <w:tcBorders>
              <w:bottom w:val="double" w:sz="6" w:space="0" w:color="000000"/>
            </w:tcBorders>
          </w:tcPr>
          <w:p>
            <w:pPr>
              <w:pStyle w:val="TableParagraph"/>
              <w:spacing w:line="205" w:lineRule="exact"/>
              <w:ind w:right="128"/>
              <w:jc w:val="right"/>
              <w:rPr>
                <w:sz w:val="20"/>
              </w:rPr>
            </w:pPr>
            <w:r>
              <w:rPr>
                <w:spacing w:val="-2"/>
                <w:sz w:val="20"/>
              </w:rPr>
              <w:t>0.173772</w:t>
            </w:r>
          </w:p>
        </w:tc>
        <w:tc>
          <w:tcPr>
            <w:tcW w:w="1458" w:type="dxa"/>
            <w:tcBorders>
              <w:bottom w:val="double" w:sz="6" w:space="0" w:color="000000"/>
            </w:tcBorders>
          </w:tcPr>
          <w:p>
            <w:pPr>
              <w:pStyle w:val="TableParagraph"/>
              <w:spacing w:line="205" w:lineRule="exact"/>
              <w:ind w:left="311"/>
              <w:rPr>
                <w:sz w:val="20"/>
              </w:rPr>
            </w:pPr>
            <w:r>
              <w:rPr>
                <w:spacing w:val="-2"/>
                <w:sz w:val="20"/>
              </w:rPr>
              <w:t>0.099598</w:t>
            </w:r>
          </w:p>
        </w:tc>
        <w:tc>
          <w:tcPr>
            <w:tcW w:w="879" w:type="dxa"/>
            <w:tcBorders>
              <w:bottom w:val="double" w:sz="6" w:space="0" w:color="000000"/>
            </w:tcBorders>
          </w:tcPr>
          <w:p>
            <w:pPr>
              <w:pStyle w:val="TableParagraph"/>
              <w:spacing w:line="205" w:lineRule="exact"/>
              <w:ind w:left="17" w:right="49"/>
              <w:jc w:val="center"/>
              <w:rPr>
                <w:sz w:val="20"/>
              </w:rPr>
            </w:pPr>
            <w:r>
              <w:rPr>
                <w:spacing w:val="-2"/>
                <w:sz w:val="20"/>
              </w:rPr>
              <w:t>1.744734</w:t>
            </w:r>
          </w:p>
        </w:tc>
        <w:tc>
          <w:tcPr>
            <w:tcW w:w="929" w:type="dxa"/>
            <w:tcBorders>
              <w:bottom w:val="double" w:sz="6" w:space="0" w:color="000000"/>
            </w:tcBorders>
          </w:tcPr>
          <w:p>
            <w:pPr>
              <w:pStyle w:val="TableParagraph"/>
              <w:spacing w:line="205" w:lineRule="exact"/>
              <w:ind w:right="28"/>
              <w:jc w:val="right"/>
              <w:rPr>
                <w:sz w:val="20"/>
              </w:rPr>
            </w:pPr>
            <w:r>
              <w:rPr>
                <w:spacing w:val="-2"/>
                <w:sz w:val="20"/>
              </w:rPr>
              <w:t>0.0893</w:t>
            </w:r>
          </w:p>
        </w:tc>
      </w:tr>
      <w:tr>
        <w:trPr>
          <w:trHeight w:val="275" w:hRule="atLeast"/>
        </w:trPr>
        <w:tc>
          <w:tcPr>
            <w:tcW w:w="1893" w:type="dxa"/>
            <w:tcBorders>
              <w:top w:val="double" w:sz="6" w:space="0" w:color="000000"/>
            </w:tcBorders>
          </w:tcPr>
          <w:p>
            <w:pPr>
              <w:pStyle w:val="TableParagraph"/>
              <w:spacing w:line="215" w:lineRule="exact" w:before="41"/>
              <w:ind w:left="36"/>
              <w:rPr>
                <w:sz w:val="20"/>
              </w:rPr>
            </w:pPr>
            <w:r>
              <w:rPr>
                <w:spacing w:val="-2"/>
                <w:sz w:val="20"/>
              </w:rPr>
              <w:t>R-squared</w:t>
            </w:r>
          </w:p>
        </w:tc>
        <w:tc>
          <w:tcPr>
            <w:tcW w:w="1329" w:type="dxa"/>
            <w:tcBorders>
              <w:top w:val="double" w:sz="6" w:space="0" w:color="000000"/>
            </w:tcBorders>
          </w:tcPr>
          <w:p>
            <w:pPr>
              <w:pStyle w:val="TableParagraph"/>
              <w:spacing w:line="215" w:lineRule="exact" w:before="41"/>
              <w:ind w:right="128"/>
              <w:jc w:val="right"/>
              <w:rPr>
                <w:sz w:val="20"/>
              </w:rPr>
            </w:pPr>
            <w:r>
              <w:rPr>
                <w:spacing w:val="-2"/>
                <w:sz w:val="20"/>
              </w:rPr>
              <w:t>0.073141</w:t>
            </w:r>
          </w:p>
        </w:tc>
        <w:tc>
          <w:tcPr>
            <w:tcW w:w="2337" w:type="dxa"/>
            <w:gridSpan w:val="2"/>
            <w:tcBorders>
              <w:top w:val="double" w:sz="6" w:space="0" w:color="000000"/>
            </w:tcBorders>
          </w:tcPr>
          <w:p>
            <w:pPr>
              <w:pStyle w:val="TableParagraph"/>
              <w:spacing w:line="215" w:lineRule="exact" w:before="41"/>
              <w:ind w:left="131"/>
              <w:rPr>
                <w:sz w:val="20"/>
              </w:rPr>
            </w:pPr>
            <w:r>
              <w:rPr>
                <w:sz w:val="20"/>
              </w:rPr>
              <w:t>Mean</w:t>
            </w:r>
            <w:r>
              <w:rPr>
                <w:spacing w:val="-7"/>
                <w:sz w:val="20"/>
              </w:rPr>
              <w:t> </w:t>
            </w:r>
            <w:r>
              <w:rPr>
                <w:sz w:val="20"/>
              </w:rPr>
              <w:t>dependent</w:t>
            </w:r>
            <w:r>
              <w:rPr>
                <w:spacing w:val="-7"/>
                <w:sz w:val="20"/>
              </w:rPr>
              <w:t> </w:t>
            </w:r>
            <w:r>
              <w:rPr>
                <w:spacing w:val="-5"/>
                <w:sz w:val="20"/>
              </w:rPr>
              <w:t>var</w:t>
            </w:r>
          </w:p>
        </w:tc>
        <w:tc>
          <w:tcPr>
            <w:tcW w:w="929" w:type="dxa"/>
            <w:tcBorders>
              <w:top w:val="double" w:sz="6" w:space="0" w:color="000000"/>
            </w:tcBorders>
          </w:tcPr>
          <w:p>
            <w:pPr>
              <w:pStyle w:val="TableParagraph"/>
              <w:spacing w:line="215" w:lineRule="exact" w:before="41"/>
              <w:ind w:right="28"/>
              <w:jc w:val="right"/>
              <w:rPr>
                <w:sz w:val="20"/>
              </w:rPr>
            </w:pPr>
            <w:r>
              <w:rPr>
                <w:spacing w:val="-2"/>
                <w:sz w:val="20"/>
              </w:rPr>
              <w:t>0.247245</w:t>
            </w:r>
          </w:p>
        </w:tc>
      </w:tr>
      <w:tr>
        <w:trPr>
          <w:trHeight w:val="230" w:hRule="atLeast"/>
        </w:trPr>
        <w:tc>
          <w:tcPr>
            <w:tcW w:w="1893" w:type="dxa"/>
          </w:tcPr>
          <w:p>
            <w:pPr>
              <w:pStyle w:val="TableParagraph"/>
              <w:spacing w:line="210" w:lineRule="exact"/>
              <w:ind w:left="36"/>
              <w:rPr>
                <w:sz w:val="20"/>
              </w:rPr>
            </w:pPr>
            <w:r>
              <w:rPr>
                <w:sz w:val="20"/>
              </w:rPr>
              <w:t>Adjusted</w:t>
            </w:r>
            <w:r>
              <w:rPr>
                <w:spacing w:val="-10"/>
                <w:sz w:val="20"/>
              </w:rPr>
              <w:t> </w:t>
            </w:r>
            <w:r>
              <w:rPr>
                <w:sz w:val="20"/>
              </w:rPr>
              <w:t>R-</w:t>
            </w:r>
            <w:r>
              <w:rPr>
                <w:spacing w:val="-2"/>
                <w:sz w:val="20"/>
              </w:rPr>
              <w:t>squared</w:t>
            </w:r>
          </w:p>
        </w:tc>
        <w:tc>
          <w:tcPr>
            <w:tcW w:w="1329" w:type="dxa"/>
          </w:tcPr>
          <w:p>
            <w:pPr>
              <w:pStyle w:val="TableParagraph"/>
              <w:spacing w:line="210" w:lineRule="exact"/>
              <w:ind w:right="128"/>
              <w:jc w:val="right"/>
              <w:rPr>
                <w:sz w:val="20"/>
              </w:rPr>
            </w:pPr>
            <w:r>
              <w:rPr>
                <w:spacing w:val="-2"/>
                <w:sz w:val="20"/>
              </w:rPr>
              <w:t>0.023041</w:t>
            </w:r>
          </w:p>
        </w:tc>
        <w:tc>
          <w:tcPr>
            <w:tcW w:w="2337" w:type="dxa"/>
            <w:gridSpan w:val="2"/>
          </w:tcPr>
          <w:p>
            <w:pPr>
              <w:pStyle w:val="TableParagraph"/>
              <w:spacing w:line="210" w:lineRule="exact"/>
              <w:ind w:left="131"/>
              <w:rPr>
                <w:sz w:val="20"/>
              </w:rPr>
            </w:pPr>
            <w:r>
              <w:rPr>
                <w:sz w:val="20"/>
              </w:rPr>
              <w:t>S.D.</w:t>
            </w:r>
            <w:r>
              <w:rPr>
                <w:spacing w:val="-5"/>
                <w:sz w:val="20"/>
              </w:rPr>
              <w:t> </w:t>
            </w:r>
            <w:r>
              <w:rPr>
                <w:sz w:val="20"/>
              </w:rPr>
              <w:t>dependent</w:t>
            </w:r>
            <w:r>
              <w:rPr>
                <w:spacing w:val="-6"/>
                <w:sz w:val="20"/>
              </w:rPr>
              <w:t> </w:t>
            </w:r>
            <w:r>
              <w:rPr>
                <w:spacing w:val="-5"/>
                <w:sz w:val="20"/>
              </w:rPr>
              <w:t>var</w:t>
            </w:r>
          </w:p>
        </w:tc>
        <w:tc>
          <w:tcPr>
            <w:tcW w:w="929" w:type="dxa"/>
          </w:tcPr>
          <w:p>
            <w:pPr>
              <w:pStyle w:val="TableParagraph"/>
              <w:spacing w:line="210" w:lineRule="exact"/>
              <w:ind w:right="28"/>
              <w:jc w:val="right"/>
              <w:rPr>
                <w:sz w:val="20"/>
              </w:rPr>
            </w:pPr>
            <w:r>
              <w:rPr>
                <w:spacing w:val="-2"/>
                <w:sz w:val="20"/>
              </w:rPr>
              <w:t>0.150179</w:t>
            </w:r>
          </w:p>
        </w:tc>
      </w:tr>
      <w:tr>
        <w:trPr>
          <w:trHeight w:val="229" w:hRule="atLeast"/>
        </w:trPr>
        <w:tc>
          <w:tcPr>
            <w:tcW w:w="1893" w:type="dxa"/>
          </w:tcPr>
          <w:p>
            <w:pPr>
              <w:pStyle w:val="TableParagraph"/>
              <w:spacing w:line="209" w:lineRule="exact"/>
              <w:ind w:left="36"/>
              <w:rPr>
                <w:sz w:val="20"/>
              </w:rPr>
            </w:pPr>
            <w:r>
              <w:rPr>
                <w:sz w:val="20"/>
              </w:rPr>
              <w:t>S.E.</w:t>
            </w:r>
            <w:r>
              <w:rPr>
                <w:spacing w:val="-3"/>
                <w:sz w:val="20"/>
              </w:rPr>
              <w:t> </w:t>
            </w:r>
            <w:r>
              <w:rPr>
                <w:sz w:val="20"/>
              </w:rPr>
              <w:t>of</w:t>
            </w:r>
            <w:r>
              <w:rPr>
                <w:spacing w:val="-3"/>
                <w:sz w:val="20"/>
              </w:rPr>
              <w:t> </w:t>
            </w:r>
            <w:r>
              <w:rPr>
                <w:spacing w:val="-2"/>
                <w:sz w:val="20"/>
              </w:rPr>
              <w:t>regression</w:t>
            </w:r>
          </w:p>
        </w:tc>
        <w:tc>
          <w:tcPr>
            <w:tcW w:w="1329" w:type="dxa"/>
          </w:tcPr>
          <w:p>
            <w:pPr>
              <w:pStyle w:val="TableParagraph"/>
              <w:spacing w:line="209" w:lineRule="exact"/>
              <w:ind w:right="128"/>
              <w:jc w:val="right"/>
              <w:rPr>
                <w:sz w:val="20"/>
              </w:rPr>
            </w:pPr>
            <w:r>
              <w:rPr>
                <w:spacing w:val="-2"/>
                <w:sz w:val="20"/>
              </w:rPr>
              <w:t>0.148439</w:t>
            </w:r>
          </w:p>
        </w:tc>
        <w:tc>
          <w:tcPr>
            <w:tcW w:w="2337" w:type="dxa"/>
            <w:gridSpan w:val="2"/>
          </w:tcPr>
          <w:p>
            <w:pPr>
              <w:pStyle w:val="TableParagraph"/>
              <w:spacing w:line="209" w:lineRule="exact"/>
              <w:ind w:left="131"/>
              <w:rPr>
                <w:sz w:val="20"/>
              </w:rPr>
            </w:pPr>
            <w:r>
              <w:rPr>
                <w:sz w:val="20"/>
              </w:rPr>
              <w:t>Akaike</w:t>
            </w:r>
            <w:r>
              <w:rPr>
                <w:spacing w:val="-8"/>
                <w:sz w:val="20"/>
              </w:rPr>
              <w:t> </w:t>
            </w:r>
            <w:r>
              <w:rPr>
                <w:sz w:val="20"/>
              </w:rPr>
              <w:t>info</w:t>
            </w:r>
            <w:r>
              <w:rPr>
                <w:spacing w:val="-7"/>
                <w:sz w:val="20"/>
              </w:rPr>
              <w:t> </w:t>
            </w:r>
            <w:r>
              <w:rPr>
                <w:spacing w:val="-2"/>
                <w:sz w:val="20"/>
              </w:rPr>
              <w:t>criterion</w:t>
            </w:r>
          </w:p>
        </w:tc>
        <w:tc>
          <w:tcPr>
            <w:tcW w:w="929" w:type="dxa"/>
          </w:tcPr>
          <w:p>
            <w:pPr>
              <w:pStyle w:val="TableParagraph"/>
              <w:spacing w:line="209" w:lineRule="exact"/>
              <w:ind w:right="28"/>
              <w:jc w:val="right"/>
              <w:rPr>
                <w:sz w:val="20"/>
              </w:rPr>
            </w:pPr>
            <w:r>
              <w:rPr>
                <w:spacing w:val="-4"/>
                <w:sz w:val="20"/>
              </w:rPr>
              <w:t>-</w:t>
            </w:r>
            <w:r>
              <w:rPr>
                <w:spacing w:val="-2"/>
                <w:sz w:val="20"/>
              </w:rPr>
              <w:t>0.905253</w:t>
            </w:r>
          </w:p>
        </w:tc>
      </w:tr>
      <w:tr>
        <w:trPr>
          <w:trHeight w:val="229" w:hRule="atLeast"/>
        </w:trPr>
        <w:tc>
          <w:tcPr>
            <w:tcW w:w="1893" w:type="dxa"/>
          </w:tcPr>
          <w:p>
            <w:pPr>
              <w:pStyle w:val="TableParagraph"/>
              <w:spacing w:line="209" w:lineRule="exact"/>
              <w:ind w:left="36"/>
              <w:rPr>
                <w:sz w:val="20"/>
              </w:rPr>
            </w:pPr>
            <w:r>
              <w:rPr>
                <w:sz w:val="20"/>
              </w:rPr>
              <w:t>Sum</w:t>
            </w:r>
            <w:r>
              <w:rPr>
                <w:spacing w:val="-8"/>
                <w:sz w:val="20"/>
              </w:rPr>
              <w:t> </w:t>
            </w:r>
            <w:r>
              <w:rPr>
                <w:sz w:val="20"/>
              </w:rPr>
              <w:t>squared</w:t>
            </w:r>
            <w:r>
              <w:rPr>
                <w:spacing w:val="-4"/>
                <w:sz w:val="20"/>
              </w:rPr>
              <w:t> </w:t>
            </w:r>
            <w:r>
              <w:rPr>
                <w:spacing w:val="-2"/>
                <w:sz w:val="20"/>
              </w:rPr>
              <w:t>resid</w:t>
            </w:r>
          </w:p>
        </w:tc>
        <w:tc>
          <w:tcPr>
            <w:tcW w:w="1329" w:type="dxa"/>
          </w:tcPr>
          <w:p>
            <w:pPr>
              <w:pStyle w:val="TableParagraph"/>
              <w:spacing w:line="209" w:lineRule="exact"/>
              <w:ind w:right="128"/>
              <w:jc w:val="right"/>
              <w:rPr>
                <w:sz w:val="20"/>
              </w:rPr>
            </w:pPr>
            <w:r>
              <w:rPr>
                <w:spacing w:val="-2"/>
                <w:sz w:val="20"/>
              </w:rPr>
              <w:t>0.815258</w:t>
            </w:r>
          </w:p>
        </w:tc>
        <w:tc>
          <w:tcPr>
            <w:tcW w:w="2337" w:type="dxa"/>
            <w:gridSpan w:val="2"/>
          </w:tcPr>
          <w:p>
            <w:pPr>
              <w:pStyle w:val="TableParagraph"/>
              <w:spacing w:line="209" w:lineRule="exact"/>
              <w:ind w:left="131"/>
              <w:rPr>
                <w:sz w:val="20"/>
              </w:rPr>
            </w:pPr>
            <w:r>
              <w:rPr>
                <w:sz w:val="20"/>
              </w:rPr>
              <w:t>Schwarz</w:t>
            </w:r>
            <w:r>
              <w:rPr>
                <w:spacing w:val="-8"/>
                <w:sz w:val="20"/>
              </w:rPr>
              <w:t> </w:t>
            </w:r>
            <w:r>
              <w:rPr>
                <w:spacing w:val="-2"/>
                <w:sz w:val="20"/>
              </w:rPr>
              <w:t>criterion</w:t>
            </w:r>
          </w:p>
        </w:tc>
        <w:tc>
          <w:tcPr>
            <w:tcW w:w="929" w:type="dxa"/>
          </w:tcPr>
          <w:p>
            <w:pPr>
              <w:pStyle w:val="TableParagraph"/>
              <w:spacing w:line="209" w:lineRule="exact"/>
              <w:ind w:right="28"/>
              <w:jc w:val="right"/>
              <w:rPr>
                <w:sz w:val="20"/>
              </w:rPr>
            </w:pPr>
            <w:r>
              <w:rPr>
                <w:spacing w:val="-4"/>
                <w:sz w:val="20"/>
              </w:rPr>
              <w:t>-</w:t>
            </w:r>
            <w:r>
              <w:rPr>
                <w:spacing w:val="-2"/>
                <w:sz w:val="20"/>
              </w:rPr>
              <w:t>0.778587</w:t>
            </w:r>
          </w:p>
        </w:tc>
      </w:tr>
      <w:tr>
        <w:trPr>
          <w:trHeight w:val="230" w:hRule="atLeast"/>
        </w:trPr>
        <w:tc>
          <w:tcPr>
            <w:tcW w:w="1893" w:type="dxa"/>
          </w:tcPr>
          <w:p>
            <w:pPr>
              <w:pStyle w:val="TableParagraph"/>
              <w:spacing w:line="210" w:lineRule="exact"/>
              <w:ind w:left="36"/>
              <w:rPr>
                <w:sz w:val="20"/>
              </w:rPr>
            </w:pPr>
            <w:r>
              <w:rPr>
                <w:sz w:val="20"/>
              </w:rPr>
              <w:t>Log</w:t>
            </w:r>
            <w:r>
              <w:rPr>
                <w:spacing w:val="-6"/>
                <w:sz w:val="20"/>
              </w:rPr>
              <w:t> </w:t>
            </w:r>
            <w:r>
              <w:rPr>
                <w:spacing w:val="-2"/>
                <w:sz w:val="20"/>
              </w:rPr>
              <w:t>likelihood</w:t>
            </w:r>
          </w:p>
        </w:tc>
        <w:tc>
          <w:tcPr>
            <w:tcW w:w="1329" w:type="dxa"/>
          </w:tcPr>
          <w:p>
            <w:pPr>
              <w:pStyle w:val="TableParagraph"/>
              <w:spacing w:line="210" w:lineRule="exact"/>
              <w:ind w:right="128"/>
              <w:jc w:val="right"/>
              <w:rPr>
                <w:sz w:val="20"/>
              </w:rPr>
            </w:pPr>
            <w:r>
              <w:rPr>
                <w:spacing w:val="-2"/>
                <w:sz w:val="20"/>
              </w:rPr>
              <w:t>21.10505</w:t>
            </w:r>
          </w:p>
        </w:tc>
        <w:tc>
          <w:tcPr>
            <w:tcW w:w="1458" w:type="dxa"/>
          </w:tcPr>
          <w:p>
            <w:pPr>
              <w:pStyle w:val="TableParagraph"/>
              <w:spacing w:line="210" w:lineRule="exact"/>
              <w:ind w:left="131"/>
              <w:rPr>
                <w:sz w:val="20"/>
              </w:rPr>
            </w:pPr>
            <w:r>
              <w:rPr>
                <w:spacing w:val="-4"/>
                <w:sz w:val="20"/>
              </w:rPr>
              <w:t>F-</w:t>
            </w:r>
            <w:r>
              <w:rPr>
                <w:spacing w:val="-2"/>
                <w:sz w:val="20"/>
              </w:rPr>
              <w:t>statistic</w:t>
            </w:r>
          </w:p>
        </w:tc>
        <w:tc>
          <w:tcPr>
            <w:tcW w:w="879" w:type="dxa"/>
          </w:tcPr>
          <w:p>
            <w:pPr>
              <w:pStyle w:val="TableParagraph"/>
              <w:rPr>
                <w:sz w:val="16"/>
              </w:rPr>
            </w:pPr>
          </w:p>
        </w:tc>
        <w:tc>
          <w:tcPr>
            <w:tcW w:w="929" w:type="dxa"/>
          </w:tcPr>
          <w:p>
            <w:pPr>
              <w:pStyle w:val="TableParagraph"/>
              <w:spacing w:line="210" w:lineRule="exact"/>
              <w:ind w:right="28"/>
              <w:jc w:val="right"/>
              <w:rPr>
                <w:sz w:val="20"/>
              </w:rPr>
            </w:pPr>
            <w:r>
              <w:rPr>
                <w:spacing w:val="-2"/>
                <w:sz w:val="20"/>
              </w:rPr>
              <w:t>1.459894</w:t>
            </w:r>
          </w:p>
        </w:tc>
      </w:tr>
      <w:tr>
        <w:trPr>
          <w:trHeight w:val="265" w:hRule="atLeast"/>
        </w:trPr>
        <w:tc>
          <w:tcPr>
            <w:tcW w:w="1893" w:type="dxa"/>
            <w:tcBorders>
              <w:bottom w:val="double" w:sz="6" w:space="0" w:color="000000"/>
            </w:tcBorders>
          </w:tcPr>
          <w:p>
            <w:pPr>
              <w:pStyle w:val="TableParagraph"/>
              <w:spacing w:line="226" w:lineRule="exact"/>
              <w:ind w:left="36"/>
              <w:rPr>
                <w:sz w:val="20"/>
              </w:rPr>
            </w:pPr>
            <w:r>
              <w:rPr>
                <w:sz w:val="20"/>
              </w:rPr>
              <w:t>Durbin-Watson</w:t>
            </w:r>
            <w:r>
              <w:rPr>
                <w:spacing w:val="-12"/>
                <w:sz w:val="20"/>
              </w:rPr>
              <w:t> </w:t>
            </w:r>
            <w:r>
              <w:rPr>
                <w:spacing w:val="-4"/>
                <w:sz w:val="20"/>
              </w:rPr>
              <w:t>stat</w:t>
            </w:r>
          </w:p>
        </w:tc>
        <w:tc>
          <w:tcPr>
            <w:tcW w:w="1329" w:type="dxa"/>
          </w:tcPr>
          <w:p>
            <w:pPr>
              <w:pStyle w:val="TableParagraph"/>
              <w:spacing w:line="226" w:lineRule="exact"/>
              <w:ind w:right="128"/>
              <w:jc w:val="right"/>
              <w:rPr>
                <w:sz w:val="20"/>
              </w:rPr>
            </w:pPr>
            <w:r>
              <w:rPr>
                <w:spacing w:val="-2"/>
                <w:sz w:val="20"/>
              </w:rPr>
              <w:t>1.783412</w:t>
            </w:r>
          </w:p>
        </w:tc>
        <w:tc>
          <w:tcPr>
            <w:tcW w:w="1458" w:type="dxa"/>
            <w:tcBorders>
              <w:bottom w:val="double" w:sz="6" w:space="0" w:color="000000"/>
            </w:tcBorders>
          </w:tcPr>
          <w:p>
            <w:pPr>
              <w:pStyle w:val="TableParagraph"/>
              <w:spacing w:line="226" w:lineRule="exact"/>
              <w:ind w:left="131"/>
              <w:rPr>
                <w:sz w:val="20"/>
              </w:rPr>
            </w:pPr>
            <w:r>
              <w:rPr>
                <w:spacing w:val="-2"/>
                <w:sz w:val="20"/>
              </w:rPr>
              <w:t>Prob(F-statistic)</w:t>
            </w:r>
          </w:p>
        </w:tc>
        <w:tc>
          <w:tcPr>
            <w:tcW w:w="879" w:type="dxa"/>
            <w:tcBorders>
              <w:bottom w:val="double" w:sz="6" w:space="0" w:color="000000"/>
            </w:tcBorders>
          </w:tcPr>
          <w:p>
            <w:pPr>
              <w:pStyle w:val="TableParagraph"/>
              <w:rPr>
                <w:sz w:val="18"/>
              </w:rPr>
            </w:pPr>
          </w:p>
        </w:tc>
        <w:tc>
          <w:tcPr>
            <w:tcW w:w="929" w:type="dxa"/>
            <w:tcBorders>
              <w:bottom w:val="double" w:sz="6" w:space="0" w:color="000000"/>
            </w:tcBorders>
          </w:tcPr>
          <w:p>
            <w:pPr>
              <w:pStyle w:val="TableParagraph"/>
              <w:spacing w:line="226" w:lineRule="exact"/>
              <w:ind w:right="28"/>
              <w:jc w:val="right"/>
              <w:rPr>
                <w:sz w:val="20"/>
              </w:rPr>
            </w:pPr>
            <w:r>
              <w:rPr>
                <w:spacing w:val="-2"/>
                <w:sz w:val="20"/>
              </w:rPr>
              <w:t>0.245329</w:t>
            </w:r>
          </w:p>
        </w:tc>
      </w:tr>
    </w:tbl>
    <w:p>
      <w:pPr>
        <w:spacing w:after="0" w:line="226" w:lineRule="exact"/>
        <w:jc w:val="right"/>
        <w:rPr>
          <w:sz w:val="20"/>
        </w:rPr>
        <w:sectPr>
          <w:pgSz w:w="11910" w:h="16840"/>
          <w:pgMar w:header="0" w:footer="979" w:top="1340" w:bottom="1240" w:left="280" w:right="0"/>
        </w:sectPr>
      </w:pPr>
    </w:p>
    <w:p>
      <w:pPr>
        <w:spacing w:before="82" w:after="3"/>
        <w:ind w:left="711" w:right="0" w:firstLine="0"/>
        <w:jc w:val="left"/>
        <w:rPr>
          <w:sz w:val="20"/>
        </w:rPr>
      </w:pPr>
      <w:r>
        <w:rPr>
          <w:sz w:val="20"/>
        </w:rPr>
        <w:t>PRIVCR</w:t>
      </w:r>
      <w:r>
        <w:rPr>
          <w:spacing w:val="-4"/>
          <w:sz w:val="20"/>
        </w:rPr>
        <w:t> </w:t>
      </w:r>
      <w:r>
        <w:rPr>
          <w:sz w:val="20"/>
        </w:rPr>
        <w:t>@</w:t>
      </w:r>
      <w:r>
        <w:rPr>
          <w:spacing w:val="-6"/>
          <w:sz w:val="20"/>
        </w:rPr>
        <w:t> </w:t>
      </w:r>
      <w:r>
        <w:rPr>
          <w:sz w:val="20"/>
        </w:rPr>
        <w:t>1</w:t>
      </w:r>
      <w:r>
        <w:rPr>
          <w:sz w:val="20"/>
          <w:vertAlign w:val="superscript"/>
        </w:rPr>
        <w:t>ST</w:t>
      </w:r>
      <w:r>
        <w:rPr>
          <w:spacing w:val="-4"/>
          <w:sz w:val="20"/>
          <w:vertAlign w:val="baseline"/>
        </w:rPr>
        <w:t> DIFF</w:t>
      </w:r>
    </w:p>
    <w:tbl>
      <w:tblPr>
        <w:tblW w:w="0" w:type="auto"/>
        <w:jc w:val="left"/>
        <w:tblInd w:w="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06"/>
        <w:gridCol w:w="1316"/>
        <w:gridCol w:w="1432"/>
        <w:gridCol w:w="904"/>
        <w:gridCol w:w="929"/>
      </w:tblGrid>
      <w:tr>
        <w:trPr>
          <w:trHeight w:val="224" w:hRule="atLeast"/>
        </w:trPr>
        <w:tc>
          <w:tcPr>
            <w:tcW w:w="1906" w:type="dxa"/>
          </w:tcPr>
          <w:p>
            <w:pPr>
              <w:pStyle w:val="TableParagraph"/>
              <w:spacing w:line="204" w:lineRule="exact"/>
              <w:ind w:left="36"/>
              <w:rPr>
                <w:sz w:val="20"/>
              </w:rPr>
            </w:pPr>
            <w:r>
              <w:rPr>
                <w:sz w:val="20"/>
              </w:rPr>
              <w:t>ADF</w:t>
            </w:r>
            <w:r>
              <w:rPr>
                <w:spacing w:val="-4"/>
                <w:sz w:val="20"/>
              </w:rPr>
              <w:t> </w:t>
            </w:r>
            <w:r>
              <w:rPr>
                <w:sz w:val="20"/>
              </w:rPr>
              <w:t>Test</w:t>
            </w:r>
            <w:r>
              <w:rPr>
                <w:spacing w:val="-4"/>
                <w:sz w:val="20"/>
              </w:rPr>
              <w:t> </w:t>
            </w:r>
            <w:r>
              <w:rPr>
                <w:spacing w:val="-2"/>
                <w:sz w:val="20"/>
              </w:rPr>
              <w:t>Statistic</w:t>
            </w:r>
          </w:p>
        </w:tc>
        <w:tc>
          <w:tcPr>
            <w:tcW w:w="1316" w:type="dxa"/>
          </w:tcPr>
          <w:p>
            <w:pPr>
              <w:pStyle w:val="TableParagraph"/>
              <w:spacing w:line="204" w:lineRule="exact"/>
              <w:ind w:left="160"/>
              <w:rPr>
                <w:sz w:val="20"/>
              </w:rPr>
            </w:pPr>
            <w:r>
              <w:rPr>
                <w:spacing w:val="-4"/>
                <w:sz w:val="20"/>
              </w:rPr>
              <w:t>-</w:t>
            </w:r>
            <w:r>
              <w:rPr>
                <w:spacing w:val="-2"/>
                <w:sz w:val="20"/>
              </w:rPr>
              <w:t>4.499841</w:t>
            </w:r>
          </w:p>
        </w:tc>
        <w:tc>
          <w:tcPr>
            <w:tcW w:w="2336" w:type="dxa"/>
            <w:gridSpan w:val="2"/>
          </w:tcPr>
          <w:p>
            <w:pPr>
              <w:pStyle w:val="TableParagraph"/>
              <w:spacing w:line="204" w:lineRule="exact"/>
              <w:ind w:left="131"/>
              <w:rPr>
                <w:sz w:val="20"/>
              </w:rPr>
            </w:pPr>
            <w:r>
              <w:rPr>
                <w:sz w:val="20"/>
              </w:rPr>
              <w:t>1%</w:t>
            </w:r>
            <w:r>
              <w:rPr>
                <w:spacing w:val="68"/>
                <w:w w:val="150"/>
                <w:sz w:val="20"/>
              </w:rPr>
              <w:t> </w:t>
            </w:r>
            <w:r>
              <w:rPr>
                <w:sz w:val="20"/>
              </w:rPr>
              <w:t>Critical</w:t>
            </w:r>
            <w:r>
              <w:rPr>
                <w:spacing w:val="-2"/>
                <w:sz w:val="20"/>
              </w:rPr>
              <w:t> Value*</w:t>
            </w:r>
          </w:p>
        </w:tc>
        <w:tc>
          <w:tcPr>
            <w:tcW w:w="929" w:type="dxa"/>
          </w:tcPr>
          <w:p>
            <w:pPr>
              <w:pStyle w:val="TableParagraph"/>
              <w:spacing w:line="204" w:lineRule="exact"/>
              <w:ind w:right="27"/>
              <w:jc w:val="right"/>
              <w:rPr>
                <w:sz w:val="20"/>
              </w:rPr>
            </w:pPr>
            <w:r>
              <w:rPr>
                <w:spacing w:val="-4"/>
                <w:sz w:val="20"/>
              </w:rPr>
              <w:t>-</w:t>
            </w:r>
            <w:r>
              <w:rPr>
                <w:spacing w:val="-2"/>
                <w:sz w:val="20"/>
              </w:rPr>
              <w:t>3.6067</w:t>
            </w:r>
          </w:p>
        </w:tc>
      </w:tr>
      <w:tr>
        <w:trPr>
          <w:trHeight w:val="229" w:hRule="atLeast"/>
        </w:trPr>
        <w:tc>
          <w:tcPr>
            <w:tcW w:w="1906" w:type="dxa"/>
          </w:tcPr>
          <w:p>
            <w:pPr>
              <w:pStyle w:val="TableParagraph"/>
              <w:rPr>
                <w:sz w:val="16"/>
              </w:rPr>
            </w:pPr>
          </w:p>
        </w:tc>
        <w:tc>
          <w:tcPr>
            <w:tcW w:w="1316" w:type="dxa"/>
          </w:tcPr>
          <w:p>
            <w:pPr>
              <w:pStyle w:val="TableParagraph"/>
              <w:rPr>
                <w:sz w:val="16"/>
              </w:rPr>
            </w:pPr>
          </w:p>
        </w:tc>
        <w:tc>
          <w:tcPr>
            <w:tcW w:w="2336" w:type="dxa"/>
            <w:gridSpan w:val="2"/>
          </w:tcPr>
          <w:p>
            <w:pPr>
              <w:pStyle w:val="TableParagraph"/>
              <w:spacing w:line="209" w:lineRule="exact"/>
              <w:ind w:left="131"/>
              <w:rPr>
                <w:sz w:val="20"/>
              </w:rPr>
            </w:pPr>
            <w:r>
              <w:rPr>
                <w:sz w:val="20"/>
              </w:rPr>
              <w:t>5%</w:t>
            </w:r>
            <w:r>
              <w:rPr>
                <w:spacing w:val="68"/>
                <w:w w:val="150"/>
                <w:sz w:val="20"/>
              </w:rPr>
              <w:t> </w:t>
            </w:r>
            <w:r>
              <w:rPr>
                <w:sz w:val="20"/>
              </w:rPr>
              <w:t>Critical</w:t>
            </w:r>
            <w:r>
              <w:rPr>
                <w:spacing w:val="-2"/>
                <w:sz w:val="20"/>
              </w:rPr>
              <w:t> </w:t>
            </w:r>
            <w:r>
              <w:rPr>
                <w:spacing w:val="-4"/>
                <w:sz w:val="20"/>
              </w:rPr>
              <w:t>Value</w:t>
            </w:r>
          </w:p>
        </w:tc>
        <w:tc>
          <w:tcPr>
            <w:tcW w:w="929" w:type="dxa"/>
          </w:tcPr>
          <w:p>
            <w:pPr>
              <w:pStyle w:val="TableParagraph"/>
              <w:spacing w:line="209" w:lineRule="exact"/>
              <w:ind w:right="27"/>
              <w:jc w:val="right"/>
              <w:rPr>
                <w:sz w:val="20"/>
              </w:rPr>
            </w:pPr>
            <w:r>
              <w:rPr>
                <w:spacing w:val="-4"/>
                <w:sz w:val="20"/>
              </w:rPr>
              <w:t>-</w:t>
            </w:r>
            <w:r>
              <w:rPr>
                <w:spacing w:val="-2"/>
                <w:sz w:val="20"/>
              </w:rPr>
              <w:t>2.9378</w:t>
            </w:r>
          </w:p>
        </w:tc>
      </w:tr>
      <w:tr>
        <w:trPr>
          <w:trHeight w:val="224" w:hRule="atLeast"/>
        </w:trPr>
        <w:tc>
          <w:tcPr>
            <w:tcW w:w="1906" w:type="dxa"/>
            <w:tcBorders>
              <w:bottom w:val="double" w:sz="6" w:space="0" w:color="000000"/>
            </w:tcBorders>
          </w:tcPr>
          <w:p>
            <w:pPr>
              <w:pStyle w:val="TableParagraph"/>
              <w:rPr>
                <w:sz w:val="16"/>
              </w:rPr>
            </w:pPr>
          </w:p>
        </w:tc>
        <w:tc>
          <w:tcPr>
            <w:tcW w:w="1316" w:type="dxa"/>
            <w:tcBorders>
              <w:bottom w:val="double" w:sz="6" w:space="0" w:color="000000"/>
            </w:tcBorders>
          </w:tcPr>
          <w:p>
            <w:pPr>
              <w:pStyle w:val="TableParagraph"/>
              <w:rPr>
                <w:sz w:val="16"/>
              </w:rPr>
            </w:pPr>
          </w:p>
        </w:tc>
        <w:tc>
          <w:tcPr>
            <w:tcW w:w="2336" w:type="dxa"/>
            <w:gridSpan w:val="2"/>
            <w:tcBorders>
              <w:bottom w:val="double" w:sz="6" w:space="0" w:color="000000"/>
            </w:tcBorders>
          </w:tcPr>
          <w:p>
            <w:pPr>
              <w:pStyle w:val="TableParagraph"/>
              <w:spacing w:line="205" w:lineRule="exact"/>
              <w:ind w:left="131"/>
              <w:rPr>
                <w:sz w:val="20"/>
              </w:rPr>
            </w:pPr>
            <w:r>
              <w:rPr>
                <w:sz w:val="20"/>
              </w:rPr>
              <w:t>10%</w:t>
            </w:r>
            <w:r>
              <w:rPr>
                <w:spacing w:val="-6"/>
                <w:sz w:val="20"/>
              </w:rPr>
              <w:t> </w:t>
            </w:r>
            <w:r>
              <w:rPr>
                <w:sz w:val="20"/>
              </w:rPr>
              <w:t>Critical</w:t>
            </w:r>
            <w:r>
              <w:rPr>
                <w:spacing w:val="-4"/>
                <w:sz w:val="20"/>
              </w:rPr>
              <w:t> </w:t>
            </w:r>
            <w:r>
              <w:rPr>
                <w:spacing w:val="-2"/>
                <w:sz w:val="20"/>
              </w:rPr>
              <w:t>Value</w:t>
            </w:r>
          </w:p>
        </w:tc>
        <w:tc>
          <w:tcPr>
            <w:tcW w:w="929" w:type="dxa"/>
            <w:tcBorders>
              <w:bottom w:val="double" w:sz="6" w:space="0" w:color="000000"/>
            </w:tcBorders>
          </w:tcPr>
          <w:p>
            <w:pPr>
              <w:pStyle w:val="TableParagraph"/>
              <w:spacing w:line="205" w:lineRule="exact"/>
              <w:ind w:right="27"/>
              <w:jc w:val="right"/>
              <w:rPr>
                <w:sz w:val="20"/>
              </w:rPr>
            </w:pPr>
            <w:r>
              <w:rPr>
                <w:spacing w:val="-4"/>
                <w:sz w:val="20"/>
              </w:rPr>
              <w:t>-</w:t>
            </w:r>
            <w:r>
              <w:rPr>
                <w:spacing w:val="-2"/>
                <w:sz w:val="20"/>
              </w:rPr>
              <w:t>2.6069</w:t>
            </w:r>
          </w:p>
        </w:tc>
      </w:tr>
      <w:tr>
        <w:trPr>
          <w:trHeight w:val="506" w:hRule="atLeast"/>
        </w:trPr>
        <w:tc>
          <w:tcPr>
            <w:tcW w:w="6487" w:type="dxa"/>
            <w:gridSpan w:val="5"/>
            <w:tcBorders>
              <w:top w:val="double" w:sz="6" w:space="0" w:color="000000"/>
            </w:tcBorders>
          </w:tcPr>
          <w:p>
            <w:pPr>
              <w:pStyle w:val="TableParagraph"/>
              <w:spacing w:before="42"/>
              <w:ind w:left="36"/>
              <w:rPr>
                <w:sz w:val="20"/>
              </w:rPr>
            </w:pPr>
            <w:r>
              <w:rPr>
                <w:sz w:val="20"/>
              </w:rPr>
              <w:t>*MacKinnon</w:t>
            </w:r>
            <w:r>
              <w:rPr>
                <w:spacing w:val="-6"/>
                <w:sz w:val="20"/>
              </w:rPr>
              <w:t> </w:t>
            </w:r>
            <w:r>
              <w:rPr>
                <w:sz w:val="20"/>
              </w:rPr>
              <w:t>critical</w:t>
            </w:r>
            <w:r>
              <w:rPr>
                <w:spacing w:val="-4"/>
                <w:sz w:val="20"/>
              </w:rPr>
              <w:t> </w:t>
            </w:r>
            <w:r>
              <w:rPr>
                <w:sz w:val="20"/>
              </w:rPr>
              <w:t>values</w:t>
            </w:r>
            <w:r>
              <w:rPr>
                <w:spacing w:val="-6"/>
                <w:sz w:val="20"/>
              </w:rPr>
              <w:t> </w:t>
            </w:r>
            <w:r>
              <w:rPr>
                <w:sz w:val="20"/>
              </w:rPr>
              <w:t>for</w:t>
            </w:r>
            <w:r>
              <w:rPr>
                <w:spacing w:val="-4"/>
                <w:sz w:val="20"/>
              </w:rPr>
              <w:t> </w:t>
            </w:r>
            <w:r>
              <w:rPr>
                <w:sz w:val="20"/>
              </w:rPr>
              <w:t>rejection</w:t>
            </w:r>
            <w:r>
              <w:rPr>
                <w:spacing w:val="-6"/>
                <w:sz w:val="20"/>
              </w:rPr>
              <w:t> </w:t>
            </w:r>
            <w:r>
              <w:rPr>
                <w:sz w:val="20"/>
              </w:rPr>
              <w:t>of</w:t>
            </w:r>
            <w:r>
              <w:rPr>
                <w:spacing w:val="-6"/>
                <w:sz w:val="20"/>
              </w:rPr>
              <w:t> </w:t>
            </w:r>
            <w:r>
              <w:rPr>
                <w:sz w:val="20"/>
              </w:rPr>
              <w:t>hypothesis</w:t>
            </w:r>
            <w:r>
              <w:rPr>
                <w:spacing w:val="-6"/>
                <w:sz w:val="20"/>
              </w:rPr>
              <w:t> </w:t>
            </w:r>
            <w:r>
              <w:rPr>
                <w:sz w:val="20"/>
              </w:rPr>
              <w:t>of</w:t>
            </w:r>
            <w:r>
              <w:rPr>
                <w:spacing w:val="-6"/>
                <w:sz w:val="20"/>
              </w:rPr>
              <w:t> </w:t>
            </w:r>
            <w:r>
              <w:rPr>
                <w:sz w:val="20"/>
              </w:rPr>
              <w:t>a</w:t>
            </w:r>
            <w:r>
              <w:rPr>
                <w:spacing w:val="-4"/>
                <w:sz w:val="20"/>
              </w:rPr>
              <w:t> </w:t>
            </w:r>
            <w:r>
              <w:rPr>
                <w:sz w:val="20"/>
              </w:rPr>
              <w:t>unit</w:t>
            </w:r>
            <w:r>
              <w:rPr>
                <w:spacing w:val="-6"/>
                <w:sz w:val="20"/>
              </w:rPr>
              <w:t> </w:t>
            </w:r>
            <w:r>
              <w:rPr>
                <w:spacing w:val="-2"/>
                <w:sz w:val="20"/>
              </w:rPr>
              <w:t>root.</w:t>
            </w:r>
          </w:p>
        </w:tc>
      </w:tr>
      <w:tr>
        <w:trPr>
          <w:trHeight w:val="459" w:hRule="atLeast"/>
        </w:trPr>
        <w:tc>
          <w:tcPr>
            <w:tcW w:w="6487" w:type="dxa"/>
            <w:gridSpan w:val="5"/>
          </w:tcPr>
          <w:p>
            <w:pPr>
              <w:pStyle w:val="TableParagraph"/>
              <w:spacing w:line="215" w:lineRule="exact" w:before="225"/>
              <w:ind w:left="36"/>
              <w:rPr>
                <w:sz w:val="20"/>
              </w:rPr>
            </w:pPr>
            <w:r>
              <w:rPr>
                <w:sz w:val="20"/>
              </w:rPr>
              <w:t>Augmented</w:t>
            </w:r>
            <w:r>
              <w:rPr>
                <w:spacing w:val="-8"/>
                <w:sz w:val="20"/>
              </w:rPr>
              <w:t> </w:t>
            </w:r>
            <w:r>
              <w:rPr>
                <w:sz w:val="20"/>
              </w:rPr>
              <w:t>Dickey-Fuller</w:t>
            </w:r>
            <w:r>
              <w:rPr>
                <w:spacing w:val="-8"/>
                <w:sz w:val="20"/>
              </w:rPr>
              <w:t> </w:t>
            </w:r>
            <w:r>
              <w:rPr>
                <w:sz w:val="20"/>
              </w:rPr>
              <w:t>Test</w:t>
            </w:r>
            <w:r>
              <w:rPr>
                <w:spacing w:val="-9"/>
                <w:sz w:val="20"/>
              </w:rPr>
              <w:t> </w:t>
            </w:r>
            <w:r>
              <w:rPr>
                <w:spacing w:val="-2"/>
                <w:sz w:val="20"/>
              </w:rPr>
              <w:t>Equation</w:t>
            </w:r>
          </w:p>
        </w:tc>
      </w:tr>
      <w:tr>
        <w:trPr>
          <w:trHeight w:val="230" w:hRule="atLeast"/>
        </w:trPr>
        <w:tc>
          <w:tcPr>
            <w:tcW w:w="6487" w:type="dxa"/>
            <w:gridSpan w:val="5"/>
          </w:tcPr>
          <w:p>
            <w:pPr>
              <w:pStyle w:val="TableParagraph"/>
              <w:spacing w:line="210" w:lineRule="exact"/>
              <w:ind w:left="36"/>
              <w:rPr>
                <w:sz w:val="20"/>
              </w:rPr>
            </w:pPr>
            <w:r>
              <w:rPr>
                <w:sz w:val="20"/>
              </w:rPr>
              <w:t>Dependent</w:t>
            </w:r>
            <w:r>
              <w:rPr>
                <w:spacing w:val="-8"/>
                <w:sz w:val="20"/>
              </w:rPr>
              <w:t> </w:t>
            </w:r>
            <w:r>
              <w:rPr>
                <w:sz w:val="20"/>
              </w:rPr>
              <w:t>Variable:</w:t>
            </w:r>
            <w:r>
              <w:rPr>
                <w:spacing w:val="-8"/>
                <w:sz w:val="20"/>
              </w:rPr>
              <w:t> </w:t>
            </w:r>
            <w:r>
              <w:rPr>
                <w:spacing w:val="-2"/>
                <w:sz w:val="20"/>
              </w:rPr>
              <w:t>D(PRIVCR,2)</w:t>
            </w:r>
          </w:p>
        </w:tc>
      </w:tr>
      <w:tr>
        <w:trPr>
          <w:trHeight w:val="229" w:hRule="atLeast"/>
        </w:trPr>
        <w:tc>
          <w:tcPr>
            <w:tcW w:w="1906" w:type="dxa"/>
          </w:tcPr>
          <w:p>
            <w:pPr>
              <w:pStyle w:val="TableParagraph"/>
              <w:spacing w:line="209" w:lineRule="exact"/>
              <w:ind w:left="36"/>
              <w:rPr>
                <w:sz w:val="20"/>
              </w:rPr>
            </w:pPr>
            <w:r>
              <w:rPr>
                <w:sz w:val="20"/>
              </w:rPr>
              <w:t>Method:</w:t>
            </w:r>
            <w:r>
              <w:rPr>
                <w:spacing w:val="-8"/>
                <w:sz w:val="20"/>
              </w:rPr>
              <w:t> </w:t>
            </w:r>
            <w:r>
              <w:rPr>
                <w:sz w:val="20"/>
              </w:rPr>
              <w:t>Least</w:t>
            </w:r>
            <w:r>
              <w:rPr>
                <w:spacing w:val="-7"/>
                <w:sz w:val="20"/>
              </w:rPr>
              <w:t> </w:t>
            </w:r>
            <w:r>
              <w:rPr>
                <w:spacing w:val="-2"/>
                <w:sz w:val="20"/>
              </w:rPr>
              <w:t>Squares</w:t>
            </w:r>
          </w:p>
        </w:tc>
        <w:tc>
          <w:tcPr>
            <w:tcW w:w="1316" w:type="dxa"/>
          </w:tcPr>
          <w:p>
            <w:pPr>
              <w:pStyle w:val="TableParagraph"/>
              <w:rPr>
                <w:sz w:val="16"/>
              </w:rPr>
            </w:pPr>
          </w:p>
        </w:tc>
        <w:tc>
          <w:tcPr>
            <w:tcW w:w="1432" w:type="dxa"/>
          </w:tcPr>
          <w:p>
            <w:pPr>
              <w:pStyle w:val="TableParagraph"/>
              <w:rPr>
                <w:sz w:val="16"/>
              </w:rPr>
            </w:pPr>
          </w:p>
        </w:tc>
        <w:tc>
          <w:tcPr>
            <w:tcW w:w="904" w:type="dxa"/>
          </w:tcPr>
          <w:p>
            <w:pPr>
              <w:pStyle w:val="TableParagraph"/>
              <w:rPr>
                <w:sz w:val="16"/>
              </w:rPr>
            </w:pPr>
          </w:p>
        </w:tc>
        <w:tc>
          <w:tcPr>
            <w:tcW w:w="929" w:type="dxa"/>
          </w:tcPr>
          <w:p>
            <w:pPr>
              <w:pStyle w:val="TableParagraph"/>
              <w:rPr>
                <w:sz w:val="16"/>
              </w:rPr>
            </w:pPr>
          </w:p>
        </w:tc>
      </w:tr>
      <w:tr>
        <w:trPr>
          <w:trHeight w:val="229" w:hRule="atLeast"/>
        </w:trPr>
        <w:tc>
          <w:tcPr>
            <w:tcW w:w="6487" w:type="dxa"/>
            <w:gridSpan w:val="5"/>
          </w:tcPr>
          <w:p>
            <w:pPr>
              <w:pStyle w:val="TableParagraph"/>
              <w:spacing w:line="209" w:lineRule="exact"/>
              <w:ind w:left="36"/>
              <w:rPr>
                <w:sz w:val="20"/>
              </w:rPr>
            </w:pPr>
            <w:r>
              <w:rPr>
                <w:sz w:val="20"/>
              </w:rPr>
              <w:t>Date:</w:t>
            </w:r>
            <w:r>
              <w:rPr>
                <w:spacing w:val="-5"/>
                <w:sz w:val="20"/>
              </w:rPr>
              <w:t> </w:t>
            </w:r>
            <w:r>
              <w:rPr>
                <w:sz w:val="20"/>
              </w:rPr>
              <w:t>02/18/14</w:t>
            </w:r>
            <w:r>
              <w:rPr>
                <w:spacing w:val="63"/>
                <w:w w:val="150"/>
                <w:sz w:val="20"/>
              </w:rPr>
              <w:t> </w:t>
            </w:r>
            <w:r>
              <w:rPr>
                <w:sz w:val="20"/>
              </w:rPr>
              <w:t>Time:</w:t>
            </w:r>
            <w:r>
              <w:rPr>
                <w:spacing w:val="-3"/>
                <w:sz w:val="20"/>
              </w:rPr>
              <w:t> </w:t>
            </w:r>
            <w:r>
              <w:rPr>
                <w:spacing w:val="-2"/>
                <w:sz w:val="20"/>
              </w:rPr>
              <w:t>13:42</w:t>
            </w:r>
          </w:p>
        </w:tc>
      </w:tr>
      <w:tr>
        <w:trPr>
          <w:trHeight w:val="230" w:hRule="atLeast"/>
        </w:trPr>
        <w:tc>
          <w:tcPr>
            <w:tcW w:w="6487" w:type="dxa"/>
            <w:gridSpan w:val="5"/>
          </w:tcPr>
          <w:p>
            <w:pPr>
              <w:pStyle w:val="TableParagraph"/>
              <w:spacing w:line="210" w:lineRule="exact"/>
              <w:ind w:left="36"/>
              <w:rPr>
                <w:sz w:val="20"/>
              </w:rPr>
            </w:pPr>
            <w:r>
              <w:rPr>
                <w:sz w:val="20"/>
              </w:rPr>
              <w:t>Sample(adjusted):</w:t>
            </w:r>
            <w:r>
              <w:rPr>
                <w:spacing w:val="-9"/>
                <w:sz w:val="20"/>
              </w:rPr>
              <w:t> </w:t>
            </w:r>
            <w:r>
              <w:rPr>
                <w:sz w:val="20"/>
              </w:rPr>
              <w:t>1973</w:t>
            </w:r>
            <w:r>
              <w:rPr>
                <w:spacing w:val="-9"/>
                <w:sz w:val="20"/>
              </w:rPr>
              <w:t> </w:t>
            </w:r>
            <w:r>
              <w:rPr>
                <w:spacing w:val="-4"/>
                <w:sz w:val="20"/>
              </w:rPr>
              <w:t>2011</w:t>
            </w:r>
          </w:p>
        </w:tc>
      </w:tr>
      <w:tr>
        <w:trPr>
          <w:trHeight w:val="224" w:hRule="atLeast"/>
        </w:trPr>
        <w:tc>
          <w:tcPr>
            <w:tcW w:w="6487" w:type="dxa"/>
            <w:gridSpan w:val="5"/>
            <w:tcBorders>
              <w:bottom w:val="double" w:sz="6" w:space="0" w:color="000000"/>
            </w:tcBorders>
          </w:tcPr>
          <w:p>
            <w:pPr>
              <w:pStyle w:val="TableParagraph"/>
              <w:spacing w:line="205" w:lineRule="exact"/>
              <w:ind w:left="36"/>
              <w:rPr>
                <w:sz w:val="20"/>
              </w:rPr>
            </w:pPr>
            <w:r>
              <w:rPr>
                <w:sz w:val="20"/>
              </w:rPr>
              <w:t>Included</w:t>
            </w:r>
            <w:r>
              <w:rPr>
                <w:spacing w:val="-5"/>
                <w:sz w:val="20"/>
              </w:rPr>
              <w:t> </w:t>
            </w:r>
            <w:r>
              <w:rPr>
                <w:sz w:val="20"/>
              </w:rPr>
              <w:t>observations:</w:t>
            </w:r>
            <w:r>
              <w:rPr>
                <w:spacing w:val="-8"/>
                <w:sz w:val="20"/>
              </w:rPr>
              <w:t> </w:t>
            </w:r>
            <w:r>
              <w:rPr>
                <w:sz w:val="20"/>
              </w:rPr>
              <w:t>39</w:t>
            </w:r>
            <w:r>
              <w:rPr>
                <w:spacing w:val="-5"/>
                <w:sz w:val="20"/>
              </w:rPr>
              <w:t> </w:t>
            </w:r>
            <w:r>
              <w:rPr>
                <w:sz w:val="20"/>
              </w:rPr>
              <w:t>after</w:t>
            </w:r>
            <w:r>
              <w:rPr>
                <w:spacing w:val="-7"/>
                <w:sz w:val="20"/>
              </w:rPr>
              <w:t> </w:t>
            </w:r>
            <w:r>
              <w:rPr>
                <w:sz w:val="20"/>
              </w:rPr>
              <w:t>adjusting</w:t>
            </w:r>
            <w:r>
              <w:rPr>
                <w:spacing w:val="-7"/>
                <w:sz w:val="20"/>
              </w:rPr>
              <w:t> </w:t>
            </w:r>
            <w:r>
              <w:rPr>
                <w:spacing w:val="-2"/>
                <w:sz w:val="20"/>
              </w:rPr>
              <w:t>endpoints</w:t>
            </w:r>
          </w:p>
        </w:tc>
      </w:tr>
      <w:tr>
        <w:trPr>
          <w:trHeight w:val="269" w:hRule="atLeast"/>
        </w:trPr>
        <w:tc>
          <w:tcPr>
            <w:tcW w:w="1906" w:type="dxa"/>
            <w:tcBorders>
              <w:top w:val="double" w:sz="6" w:space="0" w:color="000000"/>
              <w:bottom w:val="double" w:sz="6" w:space="0" w:color="000000"/>
            </w:tcBorders>
          </w:tcPr>
          <w:p>
            <w:pPr>
              <w:pStyle w:val="TableParagraph"/>
              <w:spacing w:line="209" w:lineRule="exact" w:before="40"/>
              <w:ind w:left="677"/>
              <w:rPr>
                <w:sz w:val="20"/>
              </w:rPr>
            </w:pPr>
            <w:r>
              <w:rPr>
                <w:spacing w:val="-2"/>
                <w:sz w:val="20"/>
              </w:rPr>
              <w:t>Variable</w:t>
            </w:r>
          </w:p>
        </w:tc>
        <w:tc>
          <w:tcPr>
            <w:tcW w:w="1316" w:type="dxa"/>
            <w:tcBorders>
              <w:top w:val="double" w:sz="6" w:space="0" w:color="000000"/>
              <w:bottom w:val="double" w:sz="6" w:space="0" w:color="000000"/>
            </w:tcBorders>
          </w:tcPr>
          <w:p>
            <w:pPr>
              <w:pStyle w:val="TableParagraph"/>
              <w:spacing w:line="209" w:lineRule="exact" w:before="40"/>
              <w:ind w:right="131"/>
              <w:jc w:val="right"/>
              <w:rPr>
                <w:sz w:val="20"/>
              </w:rPr>
            </w:pPr>
            <w:r>
              <w:rPr>
                <w:spacing w:val="-2"/>
                <w:sz w:val="20"/>
              </w:rPr>
              <w:t>Coefficient</w:t>
            </w:r>
          </w:p>
        </w:tc>
        <w:tc>
          <w:tcPr>
            <w:tcW w:w="1432" w:type="dxa"/>
            <w:tcBorders>
              <w:top w:val="double" w:sz="6" w:space="0" w:color="000000"/>
              <w:bottom w:val="double" w:sz="6" w:space="0" w:color="000000"/>
            </w:tcBorders>
          </w:tcPr>
          <w:p>
            <w:pPr>
              <w:pStyle w:val="TableParagraph"/>
              <w:spacing w:line="209" w:lineRule="exact" w:before="40"/>
              <w:ind w:left="273"/>
              <w:rPr>
                <w:sz w:val="20"/>
              </w:rPr>
            </w:pPr>
            <w:r>
              <w:rPr>
                <w:sz w:val="20"/>
              </w:rPr>
              <w:t>Std.</w:t>
            </w:r>
            <w:r>
              <w:rPr>
                <w:spacing w:val="-4"/>
                <w:sz w:val="20"/>
              </w:rPr>
              <w:t> </w:t>
            </w:r>
            <w:r>
              <w:rPr>
                <w:spacing w:val="-2"/>
                <w:sz w:val="20"/>
              </w:rPr>
              <w:t>Error</w:t>
            </w:r>
          </w:p>
        </w:tc>
        <w:tc>
          <w:tcPr>
            <w:tcW w:w="904" w:type="dxa"/>
            <w:tcBorders>
              <w:top w:val="double" w:sz="6" w:space="0" w:color="000000"/>
              <w:bottom w:val="double" w:sz="6" w:space="0" w:color="000000"/>
            </w:tcBorders>
          </w:tcPr>
          <w:p>
            <w:pPr>
              <w:pStyle w:val="TableParagraph"/>
              <w:spacing w:line="209" w:lineRule="exact" w:before="40"/>
              <w:ind w:right="22"/>
              <w:jc w:val="center"/>
              <w:rPr>
                <w:sz w:val="20"/>
              </w:rPr>
            </w:pPr>
            <w:r>
              <w:rPr>
                <w:spacing w:val="-4"/>
                <w:sz w:val="20"/>
              </w:rPr>
              <w:t>t-</w:t>
            </w:r>
            <w:r>
              <w:rPr>
                <w:spacing w:val="-2"/>
                <w:sz w:val="20"/>
              </w:rPr>
              <w:t>Statistic</w:t>
            </w:r>
          </w:p>
        </w:tc>
        <w:tc>
          <w:tcPr>
            <w:tcW w:w="929" w:type="dxa"/>
            <w:tcBorders>
              <w:top w:val="double" w:sz="6" w:space="0" w:color="000000"/>
              <w:bottom w:val="double" w:sz="6" w:space="0" w:color="000000"/>
            </w:tcBorders>
          </w:tcPr>
          <w:p>
            <w:pPr>
              <w:pStyle w:val="TableParagraph"/>
              <w:spacing w:line="209" w:lineRule="exact" w:before="40"/>
              <w:ind w:right="28"/>
              <w:jc w:val="right"/>
              <w:rPr>
                <w:sz w:val="20"/>
              </w:rPr>
            </w:pPr>
            <w:r>
              <w:rPr>
                <w:spacing w:val="-2"/>
                <w:sz w:val="20"/>
              </w:rPr>
              <w:t>Prob.</w:t>
            </w:r>
          </w:p>
        </w:tc>
      </w:tr>
      <w:tr>
        <w:trPr>
          <w:trHeight w:val="276" w:hRule="atLeast"/>
        </w:trPr>
        <w:tc>
          <w:tcPr>
            <w:tcW w:w="1906" w:type="dxa"/>
            <w:tcBorders>
              <w:top w:val="double" w:sz="6" w:space="0" w:color="000000"/>
            </w:tcBorders>
          </w:tcPr>
          <w:p>
            <w:pPr>
              <w:pStyle w:val="TableParagraph"/>
              <w:spacing w:line="214" w:lineRule="exact" w:before="42"/>
              <w:ind w:left="372"/>
              <w:rPr>
                <w:sz w:val="20"/>
              </w:rPr>
            </w:pPr>
            <w:r>
              <w:rPr>
                <w:spacing w:val="-2"/>
                <w:sz w:val="20"/>
              </w:rPr>
              <w:t>D(PRIVCR(-</w:t>
            </w:r>
            <w:r>
              <w:rPr>
                <w:spacing w:val="-5"/>
                <w:sz w:val="20"/>
              </w:rPr>
              <w:t>1))</w:t>
            </w:r>
          </w:p>
        </w:tc>
        <w:tc>
          <w:tcPr>
            <w:tcW w:w="1316" w:type="dxa"/>
            <w:tcBorders>
              <w:top w:val="double" w:sz="6" w:space="0" w:color="000000"/>
            </w:tcBorders>
          </w:tcPr>
          <w:p>
            <w:pPr>
              <w:pStyle w:val="TableParagraph"/>
              <w:spacing w:line="214" w:lineRule="exact" w:before="42"/>
              <w:ind w:right="128"/>
              <w:jc w:val="right"/>
              <w:rPr>
                <w:sz w:val="20"/>
              </w:rPr>
            </w:pPr>
            <w:r>
              <w:rPr>
                <w:spacing w:val="-4"/>
                <w:sz w:val="20"/>
              </w:rPr>
              <w:t>-</w:t>
            </w:r>
            <w:r>
              <w:rPr>
                <w:spacing w:val="-2"/>
                <w:sz w:val="20"/>
              </w:rPr>
              <w:t>0.900015</w:t>
            </w:r>
          </w:p>
        </w:tc>
        <w:tc>
          <w:tcPr>
            <w:tcW w:w="1432" w:type="dxa"/>
            <w:tcBorders>
              <w:top w:val="double" w:sz="6" w:space="0" w:color="000000"/>
            </w:tcBorders>
          </w:tcPr>
          <w:p>
            <w:pPr>
              <w:pStyle w:val="TableParagraph"/>
              <w:spacing w:line="214" w:lineRule="exact" w:before="42"/>
              <w:ind w:left="311"/>
              <w:rPr>
                <w:sz w:val="20"/>
              </w:rPr>
            </w:pPr>
            <w:r>
              <w:rPr>
                <w:spacing w:val="-2"/>
                <w:sz w:val="20"/>
              </w:rPr>
              <w:t>0.200010</w:t>
            </w:r>
          </w:p>
        </w:tc>
        <w:tc>
          <w:tcPr>
            <w:tcW w:w="904" w:type="dxa"/>
            <w:tcBorders>
              <w:top w:val="double" w:sz="6" w:space="0" w:color="000000"/>
            </w:tcBorders>
          </w:tcPr>
          <w:p>
            <w:pPr>
              <w:pStyle w:val="TableParagraph"/>
              <w:spacing w:line="214" w:lineRule="exact" w:before="42"/>
              <w:ind w:right="70"/>
              <w:jc w:val="center"/>
              <w:rPr>
                <w:sz w:val="20"/>
              </w:rPr>
            </w:pPr>
            <w:r>
              <w:rPr>
                <w:spacing w:val="-4"/>
                <w:sz w:val="20"/>
              </w:rPr>
              <w:t>-</w:t>
            </w:r>
            <w:r>
              <w:rPr>
                <w:spacing w:val="-2"/>
                <w:sz w:val="20"/>
              </w:rPr>
              <w:t>4.499841</w:t>
            </w:r>
          </w:p>
        </w:tc>
        <w:tc>
          <w:tcPr>
            <w:tcW w:w="929" w:type="dxa"/>
            <w:tcBorders>
              <w:top w:val="double" w:sz="6" w:space="0" w:color="000000"/>
            </w:tcBorders>
          </w:tcPr>
          <w:p>
            <w:pPr>
              <w:pStyle w:val="TableParagraph"/>
              <w:spacing w:line="214" w:lineRule="exact" w:before="42"/>
              <w:ind w:right="27"/>
              <w:jc w:val="right"/>
              <w:rPr>
                <w:sz w:val="20"/>
              </w:rPr>
            </w:pPr>
            <w:r>
              <w:rPr>
                <w:spacing w:val="-2"/>
                <w:sz w:val="20"/>
              </w:rPr>
              <w:t>0.0001</w:t>
            </w:r>
          </w:p>
        </w:tc>
      </w:tr>
      <w:tr>
        <w:trPr>
          <w:trHeight w:val="229" w:hRule="atLeast"/>
        </w:trPr>
        <w:tc>
          <w:tcPr>
            <w:tcW w:w="1906" w:type="dxa"/>
          </w:tcPr>
          <w:p>
            <w:pPr>
              <w:pStyle w:val="TableParagraph"/>
              <w:spacing w:line="209" w:lineRule="exact"/>
              <w:ind w:left="298"/>
              <w:rPr>
                <w:sz w:val="20"/>
              </w:rPr>
            </w:pPr>
            <w:r>
              <w:rPr>
                <w:spacing w:val="-2"/>
                <w:sz w:val="20"/>
              </w:rPr>
              <w:t>D(PRIVCR(-1),2)</w:t>
            </w:r>
          </w:p>
        </w:tc>
        <w:tc>
          <w:tcPr>
            <w:tcW w:w="1316" w:type="dxa"/>
          </w:tcPr>
          <w:p>
            <w:pPr>
              <w:pStyle w:val="TableParagraph"/>
              <w:spacing w:line="209" w:lineRule="exact"/>
              <w:ind w:right="128"/>
              <w:jc w:val="right"/>
              <w:rPr>
                <w:sz w:val="20"/>
              </w:rPr>
            </w:pPr>
            <w:r>
              <w:rPr>
                <w:spacing w:val="-2"/>
                <w:sz w:val="20"/>
              </w:rPr>
              <w:t>0.254510</w:t>
            </w:r>
          </w:p>
        </w:tc>
        <w:tc>
          <w:tcPr>
            <w:tcW w:w="1432" w:type="dxa"/>
          </w:tcPr>
          <w:p>
            <w:pPr>
              <w:pStyle w:val="TableParagraph"/>
              <w:spacing w:line="209" w:lineRule="exact"/>
              <w:ind w:left="311"/>
              <w:rPr>
                <w:sz w:val="20"/>
              </w:rPr>
            </w:pPr>
            <w:r>
              <w:rPr>
                <w:spacing w:val="-2"/>
                <w:sz w:val="20"/>
              </w:rPr>
              <w:t>0.162636</w:t>
            </w:r>
          </w:p>
        </w:tc>
        <w:tc>
          <w:tcPr>
            <w:tcW w:w="904" w:type="dxa"/>
          </w:tcPr>
          <w:p>
            <w:pPr>
              <w:pStyle w:val="TableParagraph"/>
              <w:spacing w:line="209" w:lineRule="exact"/>
              <w:ind w:right="5"/>
              <w:jc w:val="center"/>
              <w:rPr>
                <w:sz w:val="20"/>
              </w:rPr>
            </w:pPr>
            <w:r>
              <w:rPr>
                <w:spacing w:val="-2"/>
                <w:sz w:val="20"/>
              </w:rPr>
              <w:t>1.564904</w:t>
            </w:r>
          </w:p>
        </w:tc>
        <w:tc>
          <w:tcPr>
            <w:tcW w:w="929" w:type="dxa"/>
          </w:tcPr>
          <w:p>
            <w:pPr>
              <w:pStyle w:val="TableParagraph"/>
              <w:spacing w:line="209" w:lineRule="exact"/>
              <w:ind w:right="27"/>
              <w:jc w:val="right"/>
              <w:rPr>
                <w:sz w:val="20"/>
              </w:rPr>
            </w:pPr>
            <w:r>
              <w:rPr>
                <w:spacing w:val="-2"/>
                <w:sz w:val="20"/>
              </w:rPr>
              <w:t>0.1264</w:t>
            </w:r>
          </w:p>
        </w:tc>
      </w:tr>
      <w:tr>
        <w:trPr>
          <w:trHeight w:val="224" w:hRule="atLeast"/>
        </w:trPr>
        <w:tc>
          <w:tcPr>
            <w:tcW w:w="1906" w:type="dxa"/>
            <w:tcBorders>
              <w:bottom w:val="double" w:sz="6" w:space="0" w:color="000000"/>
            </w:tcBorders>
          </w:tcPr>
          <w:p>
            <w:pPr>
              <w:pStyle w:val="TableParagraph"/>
              <w:spacing w:line="205" w:lineRule="exact"/>
              <w:ind w:left="138"/>
              <w:jc w:val="center"/>
              <w:rPr>
                <w:sz w:val="20"/>
              </w:rPr>
            </w:pPr>
            <w:r>
              <w:rPr>
                <w:spacing w:val="-10"/>
                <w:sz w:val="20"/>
              </w:rPr>
              <w:t>C</w:t>
            </w:r>
          </w:p>
        </w:tc>
        <w:tc>
          <w:tcPr>
            <w:tcW w:w="1316" w:type="dxa"/>
            <w:tcBorders>
              <w:bottom w:val="double" w:sz="6" w:space="0" w:color="000000"/>
            </w:tcBorders>
          </w:tcPr>
          <w:p>
            <w:pPr>
              <w:pStyle w:val="TableParagraph"/>
              <w:spacing w:line="205" w:lineRule="exact"/>
              <w:ind w:right="128"/>
              <w:jc w:val="right"/>
              <w:rPr>
                <w:sz w:val="20"/>
              </w:rPr>
            </w:pPr>
            <w:r>
              <w:rPr>
                <w:spacing w:val="-2"/>
                <w:sz w:val="20"/>
              </w:rPr>
              <w:t>0.225511</w:t>
            </w:r>
          </w:p>
        </w:tc>
        <w:tc>
          <w:tcPr>
            <w:tcW w:w="1432" w:type="dxa"/>
            <w:tcBorders>
              <w:bottom w:val="double" w:sz="6" w:space="0" w:color="000000"/>
            </w:tcBorders>
          </w:tcPr>
          <w:p>
            <w:pPr>
              <w:pStyle w:val="TableParagraph"/>
              <w:spacing w:line="205" w:lineRule="exact"/>
              <w:ind w:left="311"/>
              <w:rPr>
                <w:sz w:val="20"/>
              </w:rPr>
            </w:pPr>
            <w:r>
              <w:rPr>
                <w:spacing w:val="-2"/>
                <w:sz w:val="20"/>
              </w:rPr>
              <w:t>0.056241</w:t>
            </w:r>
          </w:p>
        </w:tc>
        <w:tc>
          <w:tcPr>
            <w:tcW w:w="904" w:type="dxa"/>
            <w:tcBorders>
              <w:bottom w:val="double" w:sz="6" w:space="0" w:color="000000"/>
            </w:tcBorders>
          </w:tcPr>
          <w:p>
            <w:pPr>
              <w:pStyle w:val="TableParagraph"/>
              <w:spacing w:line="205" w:lineRule="exact"/>
              <w:ind w:right="5"/>
              <w:jc w:val="center"/>
              <w:rPr>
                <w:sz w:val="20"/>
              </w:rPr>
            </w:pPr>
            <w:r>
              <w:rPr>
                <w:spacing w:val="-2"/>
                <w:sz w:val="20"/>
              </w:rPr>
              <w:t>4.009717</w:t>
            </w:r>
          </w:p>
        </w:tc>
        <w:tc>
          <w:tcPr>
            <w:tcW w:w="929" w:type="dxa"/>
            <w:tcBorders>
              <w:bottom w:val="double" w:sz="6" w:space="0" w:color="000000"/>
            </w:tcBorders>
          </w:tcPr>
          <w:p>
            <w:pPr>
              <w:pStyle w:val="TableParagraph"/>
              <w:spacing w:line="205" w:lineRule="exact"/>
              <w:ind w:right="27"/>
              <w:jc w:val="right"/>
              <w:rPr>
                <w:sz w:val="20"/>
              </w:rPr>
            </w:pPr>
            <w:r>
              <w:rPr>
                <w:spacing w:val="-2"/>
                <w:sz w:val="20"/>
              </w:rPr>
              <w:t>0.0003</w:t>
            </w:r>
          </w:p>
        </w:tc>
      </w:tr>
      <w:tr>
        <w:trPr>
          <w:trHeight w:val="276" w:hRule="atLeast"/>
        </w:trPr>
        <w:tc>
          <w:tcPr>
            <w:tcW w:w="1906" w:type="dxa"/>
            <w:tcBorders>
              <w:top w:val="double" w:sz="6" w:space="0" w:color="000000"/>
            </w:tcBorders>
          </w:tcPr>
          <w:p>
            <w:pPr>
              <w:pStyle w:val="TableParagraph"/>
              <w:spacing w:line="214" w:lineRule="exact" w:before="42"/>
              <w:ind w:left="36"/>
              <w:rPr>
                <w:sz w:val="20"/>
              </w:rPr>
            </w:pPr>
            <w:r>
              <w:rPr>
                <w:spacing w:val="-2"/>
                <w:sz w:val="20"/>
              </w:rPr>
              <w:t>R-squared</w:t>
            </w:r>
          </w:p>
        </w:tc>
        <w:tc>
          <w:tcPr>
            <w:tcW w:w="1316" w:type="dxa"/>
            <w:tcBorders>
              <w:top w:val="double" w:sz="6" w:space="0" w:color="000000"/>
            </w:tcBorders>
          </w:tcPr>
          <w:p>
            <w:pPr>
              <w:pStyle w:val="TableParagraph"/>
              <w:spacing w:line="214" w:lineRule="exact" w:before="42"/>
              <w:ind w:right="128"/>
              <w:jc w:val="right"/>
              <w:rPr>
                <w:sz w:val="20"/>
              </w:rPr>
            </w:pPr>
            <w:r>
              <w:rPr>
                <w:spacing w:val="-2"/>
                <w:sz w:val="20"/>
              </w:rPr>
              <w:t>0.385114</w:t>
            </w:r>
          </w:p>
        </w:tc>
        <w:tc>
          <w:tcPr>
            <w:tcW w:w="2336" w:type="dxa"/>
            <w:gridSpan w:val="2"/>
            <w:tcBorders>
              <w:top w:val="double" w:sz="6" w:space="0" w:color="000000"/>
            </w:tcBorders>
          </w:tcPr>
          <w:p>
            <w:pPr>
              <w:pStyle w:val="TableParagraph"/>
              <w:spacing w:line="214" w:lineRule="exact" w:before="42"/>
              <w:ind w:left="131"/>
              <w:rPr>
                <w:sz w:val="20"/>
              </w:rPr>
            </w:pPr>
            <w:r>
              <w:rPr>
                <w:sz w:val="20"/>
              </w:rPr>
              <w:t>Mean</w:t>
            </w:r>
            <w:r>
              <w:rPr>
                <w:spacing w:val="-7"/>
                <w:sz w:val="20"/>
              </w:rPr>
              <w:t> </w:t>
            </w:r>
            <w:r>
              <w:rPr>
                <w:sz w:val="20"/>
              </w:rPr>
              <w:t>dependent</w:t>
            </w:r>
            <w:r>
              <w:rPr>
                <w:spacing w:val="-7"/>
                <w:sz w:val="20"/>
              </w:rPr>
              <w:t> </w:t>
            </w:r>
            <w:r>
              <w:rPr>
                <w:spacing w:val="-5"/>
                <w:sz w:val="20"/>
              </w:rPr>
              <w:t>var</w:t>
            </w:r>
          </w:p>
        </w:tc>
        <w:tc>
          <w:tcPr>
            <w:tcW w:w="929" w:type="dxa"/>
            <w:tcBorders>
              <w:top w:val="double" w:sz="6" w:space="0" w:color="000000"/>
            </w:tcBorders>
          </w:tcPr>
          <w:p>
            <w:pPr>
              <w:pStyle w:val="TableParagraph"/>
              <w:spacing w:line="214" w:lineRule="exact" w:before="42"/>
              <w:ind w:right="27"/>
              <w:jc w:val="right"/>
              <w:rPr>
                <w:sz w:val="20"/>
              </w:rPr>
            </w:pPr>
            <w:r>
              <w:rPr>
                <w:spacing w:val="-4"/>
                <w:sz w:val="20"/>
              </w:rPr>
              <w:t>-</w:t>
            </w:r>
            <w:r>
              <w:rPr>
                <w:spacing w:val="-2"/>
                <w:sz w:val="20"/>
              </w:rPr>
              <w:t>0.003566</w:t>
            </w:r>
          </w:p>
        </w:tc>
      </w:tr>
      <w:tr>
        <w:trPr>
          <w:trHeight w:val="229" w:hRule="atLeast"/>
        </w:trPr>
        <w:tc>
          <w:tcPr>
            <w:tcW w:w="1906" w:type="dxa"/>
          </w:tcPr>
          <w:p>
            <w:pPr>
              <w:pStyle w:val="TableParagraph"/>
              <w:spacing w:line="209" w:lineRule="exact"/>
              <w:ind w:left="36"/>
              <w:rPr>
                <w:sz w:val="20"/>
              </w:rPr>
            </w:pPr>
            <w:r>
              <w:rPr>
                <w:sz w:val="20"/>
              </w:rPr>
              <w:t>Adjusted</w:t>
            </w:r>
            <w:r>
              <w:rPr>
                <w:spacing w:val="-10"/>
                <w:sz w:val="20"/>
              </w:rPr>
              <w:t> </w:t>
            </w:r>
            <w:r>
              <w:rPr>
                <w:sz w:val="20"/>
              </w:rPr>
              <w:t>R-</w:t>
            </w:r>
            <w:r>
              <w:rPr>
                <w:spacing w:val="-2"/>
                <w:sz w:val="20"/>
              </w:rPr>
              <w:t>squared</w:t>
            </w:r>
          </w:p>
        </w:tc>
        <w:tc>
          <w:tcPr>
            <w:tcW w:w="1316" w:type="dxa"/>
          </w:tcPr>
          <w:p>
            <w:pPr>
              <w:pStyle w:val="TableParagraph"/>
              <w:spacing w:line="209" w:lineRule="exact"/>
              <w:ind w:right="128"/>
              <w:jc w:val="right"/>
              <w:rPr>
                <w:sz w:val="20"/>
              </w:rPr>
            </w:pPr>
            <w:r>
              <w:rPr>
                <w:spacing w:val="-2"/>
                <w:sz w:val="20"/>
              </w:rPr>
              <w:t>0.350954</w:t>
            </w:r>
          </w:p>
        </w:tc>
        <w:tc>
          <w:tcPr>
            <w:tcW w:w="2336" w:type="dxa"/>
            <w:gridSpan w:val="2"/>
          </w:tcPr>
          <w:p>
            <w:pPr>
              <w:pStyle w:val="TableParagraph"/>
              <w:spacing w:line="209" w:lineRule="exact"/>
              <w:ind w:left="131"/>
              <w:rPr>
                <w:sz w:val="20"/>
              </w:rPr>
            </w:pPr>
            <w:r>
              <w:rPr>
                <w:sz w:val="20"/>
              </w:rPr>
              <w:t>S.D.</w:t>
            </w:r>
            <w:r>
              <w:rPr>
                <w:spacing w:val="-5"/>
                <w:sz w:val="20"/>
              </w:rPr>
              <w:t> </w:t>
            </w:r>
            <w:r>
              <w:rPr>
                <w:sz w:val="20"/>
              </w:rPr>
              <w:t>dependent</w:t>
            </w:r>
            <w:r>
              <w:rPr>
                <w:spacing w:val="-6"/>
                <w:sz w:val="20"/>
              </w:rPr>
              <w:t> </w:t>
            </w:r>
            <w:r>
              <w:rPr>
                <w:spacing w:val="-5"/>
                <w:sz w:val="20"/>
              </w:rPr>
              <w:t>var</w:t>
            </w:r>
          </w:p>
        </w:tc>
        <w:tc>
          <w:tcPr>
            <w:tcW w:w="929" w:type="dxa"/>
          </w:tcPr>
          <w:p>
            <w:pPr>
              <w:pStyle w:val="TableParagraph"/>
              <w:spacing w:line="209" w:lineRule="exact"/>
              <w:ind w:right="27"/>
              <w:jc w:val="right"/>
              <w:rPr>
                <w:sz w:val="20"/>
              </w:rPr>
            </w:pPr>
            <w:r>
              <w:rPr>
                <w:spacing w:val="-2"/>
                <w:sz w:val="20"/>
              </w:rPr>
              <w:t>0.179531</w:t>
            </w:r>
          </w:p>
        </w:tc>
      </w:tr>
      <w:tr>
        <w:trPr>
          <w:trHeight w:val="230" w:hRule="atLeast"/>
        </w:trPr>
        <w:tc>
          <w:tcPr>
            <w:tcW w:w="1906" w:type="dxa"/>
          </w:tcPr>
          <w:p>
            <w:pPr>
              <w:pStyle w:val="TableParagraph"/>
              <w:spacing w:line="210" w:lineRule="exact"/>
              <w:ind w:left="36"/>
              <w:rPr>
                <w:sz w:val="20"/>
              </w:rPr>
            </w:pPr>
            <w:r>
              <w:rPr>
                <w:sz w:val="20"/>
              </w:rPr>
              <w:t>S.E.</w:t>
            </w:r>
            <w:r>
              <w:rPr>
                <w:spacing w:val="-3"/>
                <w:sz w:val="20"/>
              </w:rPr>
              <w:t> </w:t>
            </w:r>
            <w:r>
              <w:rPr>
                <w:sz w:val="20"/>
              </w:rPr>
              <w:t>of</w:t>
            </w:r>
            <w:r>
              <w:rPr>
                <w:spacing w:val="-3"/>
                <w:sz w:val="20"/>
              </w:rPr>
              <w:t> </w:t>
            </w:r>
            <w:r>
              <w:rPr>
                <w:spacing w:val="-2"/>
                <w:sz w:val="20"/>
              </w:rPr>
              <w:t>regression</w:t>
            </w:r>
          </w:p>
        </w:tc>
        <w:tc>
          <w:tcPr>
            <w:tcW w:w="1316" w:type="dxa"/>
          </w:tcPr>
          <w:p>
            <w:pPr>
              <w:pStyle w:val="TableParagraph"/>
              <w:spacing w:line="210" w:lineRule="exact"/>
              <w:ind w:right="128"/>
              <w:jc w:val="right"/>
              <w:rPr>
                <w:sz w:val="20"/>
              </w:rPr>
            </w:pPr>
            <w:r>
              <w:rPr>
                <w:spacing w:val="-2"/>
                <w:sz w:val="20"/>
              </w:rPr>
              <w:t>0.144636</w:t>
            </w:r>
          </w:p>
        </w:tc>
        <w:tc>
          <w:tcPr>
            <w:tcW w:w="2336" w:type="dxa"/>
            <w:gridSpan w:val="2"/>
          </w:tcPr>
          <w:p>
            <w:pPr>
              <w:pStyle w:val="TableParagraph"/>
              <w:spacing w:line="210" w:lineRule="exact"/>
              <w:ind w:left="131"/>
              <w:rPr>
                <w:sz w:val="20"/>
              </w:rPr>
            </w:pPr>
            <w:r>
              <w:rPr>
                <w:sz w:val="20"/>
              </w:rPr>
              <w:t>Akaike</w:t>
            </w:r>
            <w:r>
              <w:rPr>
                <w:spacing w:val="-8"/>
                <w:sz w:val="20"/>
              </w:rPr>
              <w:t> </w:t>
            </w:r>
            <w:r>
              <w:rPr>
                <w:sz w:val="20"/>
              </w:rPr>
              <w:t>info</w:t>
            </w:r>
            <w:r>
              <w:rPr>
                <w:spacing w:val="-7"/>
                <w:sz w:val="20"/>
              </w:rPr>
              <w:t> </w:t>
            </w:r>
            <w:r>
              <w:rPr>
                <w:spacing w:val="-2"/>
                <w:sz w:val="20"/>
              </w:rPr>
              <w:t>criterion</w:t>
            </w:r>
          </w:p>
        </w:tc>
        <w:tc>
          <w:tcPr>
            <w:tcW w:w="929" w:type="dxa"/>
          </w:tcPr>
          <w:p>
            <w:pPr>
              <w:pStyle w:val="TableParagraph"/>
              <w:spacing w:line="210" w:lineRule="exact"/>
              <w:ind w:right="27"/>
              <w:jc w:val="right"/>
              <w:rPr>
                <w:sz w:val="20"/>
              </w:rPr>
            </w:pPr>
            <w:r>
              <w:rPr>
                <w:spacing w:val="-4"/>
                <w:sz w:val="20"/>
              </w:rPr>
              <w:t>-</w:t>
            </w:r>
            <w:r>
              <w:rPr>
                <w:spacing w:val="-2"/>
                <w:sz w:val="20"/>
              </w:rPr>
              <w:t>0.955388</w:t>
            </w:r>
          </w:p>
        </w:tc>
      </w:tr>
      <w:tr>
        <w:trPr>
          <w:trHeight w:val="230" w:hRule="atLeast"/>
        </w:trPr>
        <w:tc>
          <w:tcPr>
            <w:tcW w:w="1906" w:type="dxa"/>
          </w:tcPr>
          <w:p>
            <w:pPr>
              <w:pStyle w:val="TableParagraph"/>
              <w:spacing w:line="210" w:lineRule="exact"/>
              <w:ind w:left="36"/>
              <w:rPr>
                <w:sz w:val="20"/>
              </w:rPr>
            </w:pPr>
            <w:r>
              <w:rPr>
                <w:sz w:val="20"/>
              </w:rPr>
              <w:t>Sum</w:t>
            </w:r>
            <w:r>
              <w:rPr>
                <w:spacing w:val="-8"/>
                <w:sz w:val="20"/>
              </w:rPr>
              <w:t> </w:t>
            </w:r>
            <w:r>
              <w:rPr>
                <w:sz w:val="20"/>
              </w:rPr>
              <w:t>squared</w:t>
            </w:r>
            <w:r>
              <w:rPr>
                <w:spacing w:val="-4"/>
                <w:sz w:val="20"/>
              </w:rPr>
              <w:t> </w:t>
            </w:r>
            <w:r>
              <w:rPr>
                <w:spacing w:val="-2"/>
                <w:sz w:val="20"/>
              </w:rPr>
              <w:t>resid</w:t>
            </w:r>
          </w:p>
        </w:tc>
        <w:tc>
          <w:tcPr>
            <w:tcW w:w="1316" w:type="dxa"/>
          </w:tcPr>
          <w:p>
            <w:pPr>
              <w:pStyle w:val="TableParagraph"/>
              <w:spacing w:line="210" w:lineRule="exact"/>
              <w:ind w:right="128"/>
              <w:jc w:val="right"/>
              <w:rPr>
                <w:sz w:val="20"/>
              </w:rPr>
            </w:pPr>
            <w:r>
              <w:rPr>
                <w:spacing w:val="-2"/>
                <w:sz w:val="20"/>
              </w:rPr>
              <w:t>0.753106</w:t>
            </w:r>
          </w:p>
        </w:tc>
        <w:tc>
          <w:tcPr>
            <w:tcW w:w="2336" w:type="dxa"/>
            <w:gridSpan w:val="2"/>
          </w:tcPr>
          <w:p>
            <w:pPr>
              <w:pStyle w:val="TableParagraph"/>
              <w:spacing w:line="210" w:lineRule="exact"/>
              <w:ind w:left="131"/>
              <w:rPr>
                <w:sz w:val="20"/>
              </w:rPr>
            </w:pPr>
            <w:r>
              <w:rPr>
                <w:sz w:val="20"/>
              </w:rPr>
              <w:t>Schwarz</w:t>
            </w:r>
            <w:r>
              <w:rPr>
                <w:spacing w:val="-8"/>
                <w:sz w:val="20"/>
              </w:rPr>
              <w:t> </w:t>
            </w:r>
            <w:r>
              <w:rPr>
                <w:spacing w:val="-2"/>
                <w:sz w:val="20"/>
              </w:rPr>
              <w:t>criterion</w:t>
            </w:r>
          </w:p>
        </w:tc>
        <w:tc>
          <w:tcPr>
            <w:tcW w:w="929" w:type="dxa"/>
          </w:tcPr>
          <w:p>
            <w:pPr>
              <w:pStyle w:val="TableParagraph"/>
              <w:spacing w:line="210" w:lineRule="exact"/>
              <w:ind w:right="27"/>
              <w:jc w:val="right"/>
              <w:rPr>
                <w:sz w:val="20"/>
              </w:rPr>
            </w:pPr>
            <w:r>
              <w:rPr>
                <w:spacing w:val="-4"/>
                <w:sz w:val="20"/>
              </w:rPr>
              <w:t>-</w:t>
            </w:r>
            <w:r>
              <w:rPr>
                <w:spacing w:val="-2"/>
                <w:sz w:val="20"/>
              </w:rPr>
              <w:t>0.827422</w:t>
            </w:r>
          </w:p>
        </w:tc>
      </w:tr>
      <w:tr>
        <w:trPr>
          <w:trHeight w:val="230" w:hRule="atLeast"/>
        </w:trPr>
        <w:tc>
          <w:tcPr>
            <w:tcW w:w="1906" w:type="dxa"/>
          </w:tcPr>
          <w:p>
            <w:pPr>
              <w:pStyle w:val="TableParagraph"/>
              <w:spacing w:line="210" w:lineRule="exact"/>
              <w:ind w:left="36"/>
              <w:rPr>
                <w:sz w:val="20"/>
              </w:rPr>
            </w:pPr>
            <w:r>
              <w:rPr>
                <w:sz w:val="20"/>
              </w:rPr>
              <w:t>Log</w:t>
            </w:r>
            <w:r>
              <w:rPr>
                <w:spacing w:val="-6"/>
                <w:sz w:val="20"/>
              </w:rPr>
              <w:t> </w:t>
            </w:r>
            <w:r>
              <w:rPr>
                <w:spacing w:val="-2"/>
                <w:sz w:val="20"/>
              </w:rPr>
              <w:t>likelihood</w:t>
            </w:r>
          </w:p>
        </w:tc>
        <w:tc>
          <w:tcPr>
            <w:tcW w:w="1316" w:type="dxa"/>
          </w:tcPr>
          <w:p>
            <w:pPr>
              <w:pStyle w:val="TableParagraph"/>
              <w:spacing w:line="210" w:lineRule="exact"/>
              <w:ind w:right="128"/>
              <w:jc w:val="right"/>
              <w:rPr>
                <w:sz w:val="20"/>
              </w:rPr>
            </w:pPr>
            <w:r>
              <w:rPr>
                <w:spacing w:val="-2"/>
                <w:sz w:val="20"/>
              </w:rPr>
              <w:t>21.63007</w:t>
            </w:r>
          </w:p>
        </w:tc>
        <w:tc>
          <w:tcPr>
            <w:tcW w:w="1432" w:type="dxa"/>
          </w:tcPr>
          <w:p>
            <w:pPr>
              <w:pStyle w:val="TableParagraph"/>
              <w:spacing w:line="210" w:lineRule="exact"/>
              <w:ind w:left="131"/>
              <w:rPr>
                <w:sz w:val="20"/>
              </w:rPr>
            </w:pPr>
            <w:r>
              <w:rPr>
                <w:spacing w:val="-4"/>
                <w:sz w:val="20"/>
              </w:rPr>
              <w:t>F-</w:t>
            </w:r>
            <w:r>
              <w:rPr>
                <w:spacing w:val="-2"/>
                <w:sz w:val="20"/>
              </w:rPr>
              <w:t>statistic</w:t>
            </w:r>
          </w:p>
        </w:tc>
        <w:tc>
          <w:tcPr>
            <w:tcW w:w="904" w:type="dxa"/>
          </w:tcPr>
          <w:p>
            <w:pPr>
              <w:pStyle w:val="TableParagraph"/>
              <w:rPr>
                <w:sz w:val="16"/>
              </w:rPr>
            </w:pPr>
          </w:p>
        </w:tc>
        <w:tc>
          <w:tcPr>
            <w:tcW w:w="929" w:type="dxa"/>
          </w:tcPr>
          <w:p>
            <w:pPr>
              <w:pStyle w:val="TableParagraph"/>
              <w:spacing w:line="210" w:lineRule="exact"/>
              <w:ind w:right="27"/>
              <w:jc w:val="right"/>
              <w:rPr>
                <w:sz w:val="20"/>
              </w:rPr>
            </w:pPr>
            <w:r>
              <w:rPr>
                <w:spacing w:val="-2"/>
                <w:sz w:val="20"/>
              </w:rPr>
              <w:t>11.27373</w:t>
            </w:r>
          </w:p>
        </w:tc>
      </w:tr>
      <w:tr>
        <w:trPr>
          <w:trHeight w:val="265" w:hRule="atLeast"/>
        </w:trPr>
        <w:tc>
          <w:tcPr>
            <w:tcW w:w="1906" w:type="dxa"/>
            <w:tcBorders>
              <w:bottom w:val="double" w:sz="6" w:space="0" w:color="000000"/>
            </w:tcBorders>
          </w:tcPr>
          <w:p>
            <w:pPr>
              <w:pStyle w:val="TableParagraph"/>
              <w:spacing w:line="226" w:lineRule="exact"/>
              <w:ind w:left="36"/>
              <w:rPr>
                <w:sz w:val="20"/>
              </w:rPr>
            </w:pPr>
            <w:r>
              <w:rPr>
                <w:sz w:val="20"/>
              </w:rPr>
              <w:t>Durbin-Watson</w:t>
            </w:r>
            <w:r>
              <w:rPr>
                <w:spacing w:val="-12"/>
                <w:sz w:val="20"/>
              </w:rPr>
              <w:t> </w:t>
            </w:r>
            <w:r>
              <w:rPr>
                <w:spacing w:val="-4"/>
                <w:sz w:val="20"/>
              </w:rPr>
              <w:t>stat</w:t>
            </w:r>
          </w:p>
        </w:tc>
        <w:tc>
          <w:tcPr>
            <w:tcW w:w="1316" w:type="dxa"/>
          </w:tcPr>
          <w:p>
            <w:pPr>
              <w:pStyle w:val="TableParagraph"/>
              <w:spacing w:line="226" w:lineRule="exact"/>
              <w:ind w:right="128"/>
              <w:jc w:val="right"/>
              <w:rPr>
                <w:sz w:val="20"/>
              </w:rPr>
            </w:pPr>
            <w:r>
              <w:rPr>
                <w:spacing w:val="-2"/>
                <w:sz w:val="20"/>
              </w:rPr>
              <w:t>2.068040</w:t>
            </w:r>
          </w:p>
        </w:tc>
        <w:tc>
          <w:tcPr>
            <w:tcW w:w="1432" w:type="dxa"/>
            <w:tcBorders>
              <w:bottom w:val="double" w:sz="6" w:space="0" w:color="000000"/>
            </w:tcBorders>
          </w:tcPr>
          <w:p>
            <w:pPr>
              <w:pStyle w:val="TableParagraph"/>
              <w:spacing w:line="226" w:lineRule="exact"/>
              <w:ind w:left="131"/>
              <w:rPr>
                <w:sz w:val="20"/>
              </w:rPr>
            </w:pPr>
            <w:r>
              <w:rPr>
                <w:spacing w:val="-2"/>
                <w:sz w:val="20"/>
              </w:rPr>
              <w:t>Prob(F-statistic)</w:t>
            </w:r>
          </w:p>
        </w:tc>
        <w:tc>
          <w:tcPr>
            <w:tcW w:w="904" w:type="dxa"/>
            <w:tcBorders>
              <w:bottom w:val="double" w:sz="6" w:space="0" w:color="000000"/>
            </w:tcBorders>
          </w:tcPr>
          <w:p>
            <w:pPr>
              <w:pStyle w:val="TableParagraph"/>
              <w:rPr>
                <w:sz w:val="18"/>
              </w:rPr>
            </w:pPr>
          </w:p>
        </w:tc>
        <w:tc>
          <w:tcPr>
            <w:tcW w:w="929" w:type="dxa"/>
            <w:tcBorders>
              <w:bottom w:val="double" w:sz="6" w:space="0" w:color="000000"/>
            </w:tcBorders>
          </w:tcPr>
          <w:p>
            <w:pPr>
              <w:pStyle w:val="TableParagraph"/>
              <w:spacing w:line="226" w:lineRule="exact"/>
              <w:ind w:right="27"/>
              <w:jc w:val="right"/>
              <w:rPr>
                <w:sz w:val="20"/>
              </w:rPr>
            </w:pPr>
            <w:r>
              <w:rPr>
                <w:spacing w:val="-2"/>
                <w:sz w:val="20"/>
              </w:rPr>
              <w:t>0.000158</w:t>
            </w:r>
          </w:p>
        </w:tc>
      </w:tr>
    </w:tbl>
    <w:p>
      <w:pPr>
        <w:pStyle w:val="BodyText"/>
        <w:rPr>
          <w:sz w:val="20"/>
        </w:rPr>
      </w:pPr>
    </w:p>
    <w:p>
      <w:pPr>
        <w:pStyle w:val="BodyText"/>
        <w:spacing w:before="16"/>
        <w:rPr>
          <w:sz w:val="20"/>
        </w:rPr>
      </w:pPr>
    </w:p>
    <w:p>
      <w:pPr>
        <w:spacing w:before="0"/>
        <w:ind w:left="711" w:right="0" w:firstLine="0"/>
        <w:jc w:val="left"/>
        <w:rPr>
          <w:sz w:val="20"/>
        </w:rPr>
      </w:pPr>
      <w:r>
        <w:rPr>
          <w:sz w:val="20"/>
        </w:rPr>
        <w:t>USIRD</w:t>
      </w:r>
      <w:r>
        <w:rPr>
          <w:spacing w:val="-2"/>
          <w:sz w:val="20"/>
        </w:rPr>
        <w:t> </w:t>
      </w:r>
      <w:r>
        <w:rPr>
          <w:sz w:val="20"/>
        </w:rPr>
        <w:t>@</w:t>
      </w:r>
      <w:r>
        <w:rPr>
          <w:spacing w:val="-5"/>
          <w:sz w:val="20"/>
        </w:rPr>
        <w:t> </w:t>
      </w:r>
      <w:r>
        <w:rPr>
          <w:spacing w:val="-4"/>
          <w:sz w:val="20"/>
        </w:rPr>
        <w:t>LEVEL</w:t>
      </w:r>
    </w:p>
    <w:tbl>
      <w:tblPr>
        <w:tblW w:w="0" w:type="auto"/>
        <w:jc w:val="left"/>
        <w:tblInd w:w="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47"/>
        <w:gridCol w:w="1375"/>
        <w:gridCol w:w="1432"/>
        <w:gridCol w:w="936"/>
        <w:gridCol w:w="896"/>
      </w:tblGrid>
      <w:tr>
        <w:trPr>
          <w:trHeight w:val="225" w:hRule="atLeast"/>
        </w:trPr>
        <w:tc>
          <w:tcPr>
            <w:tcW w:w="1847" w:type="dxa"/>
          </w:tcPr>
          <w:p>
            <w:pPr>
              <w:pStyle w:val="TableParagraph"/>
              <w:spacing w:line="205" w:lineRule="exact"/>
              <w:ind w:left="36"/>
              <w:rPr>
                <w:sz w:val="20"/>
              </w:rPr>
            </w:pPr>
            <w:r>
              <w:rPr>
                <w:sz w:val="20"/>
              </w:rPr>
              <w:t>ADF</w:t>
            </w:r>
            <w:r>
              <w:rPr>
                <w:spacing w:val="-4"/>
                <w:sz w:val="20"/>
              </w:rPr>
              <w:t> </w:t>
            </w:r>
            <w:r>
              <w:rPr>
                <w:sz w:val="20"/>
              </w:rPr>
              <w:t>Test</w:t>
            </w:r>
            <w:r>
              <w:rPr>
                <w:spacing w:val="-4"/>
                <w:sz w:val="20"/>
              </w:rPr>
              <w:t> </w:t>
            </w:r>
            <w:r>
              <w:rPr>
                <w:spacing w:val="-2"/>
                <w:sz w:val="20"/>
              </w:rPr>
              <w:t>Statistic</w:t>
            </w:r>
          </w:p>
        </w:tc>
        <w:tc>
          <w:tcPr>
            <w:tcW w:w="1375" w:type="dxa"/>
          </w:tcPr>
          <w:p>
            <w:pPr>
              <w:pStyle w:val="TableParagraph"/>
              <w:spacing w:line="205" w:lineRule="exact"/>
              <w:ind w:left="219"/>
              <w:rPr>
                <w:sz w:val="20"/>
              </w:rPr>
            </w:pPr>
            <w:r>
              <w:rPr>
                <w:spacing w:val="-4"/>
                <w:sz w:val="20"/>
              </w:rPr>
              <w:t>-</w:t>
            </w:r>
            <w:r>
              <w:rPr>
                <w:spacing w:val="-2"/>
                <w:sz w:val="20"/>
              </w:rPr>
              <w:t>2.056420</w:t>
            </w:r>
          </w:p>
        </w:tc>
        <w:tc>
          <w:tcPr>
            <w:tcW w:w="2368" w:type="dxa"/>
            <w:gridSpan w:val="2"/>
          </w:tcPr>
          <w:p>
            <w:pPr>
              <w:pStyle w:val="TableParagraph"/>
              <w:spacing w:line="205" w:lineRule="exact"/>
              <w:ind w:left="131"/>
              <w:rPr>
                <w:sz w:val="20"/>
              </w:rPr>
            </w:pPr>
            <w:r>
              <w:rPr>
                <w:sz w:val="20"/>
              </w:rPr>
              <w:t>1%</w:t>
            </w:r>
            <w:r>
              <w:rPr>
                <w:spacing w:val="68"/>
                <w:w w:val="150"/>
                <w:sz w:val="20"/>
              </w:rPr>
              <w:t> </w:t>
            </w:r>
            <w:r>
              <w:rPr>
                <w:sz w:val="20"/>
              </w:rPr>
              <w:t>Critical</w:t>
            </w:r>
            <w:r>
              <w:rPr>
                <w:spacing w:val="-2"/>
                <w:sz w:val="20"/>
              </w:rPr>
              <w:t> Value*</w:t>
            </w:r>
          </w:p>
        </w:tc>
        <w:tc>
          <w:tcPr>
            <w:tcW w:w="896" w:type="dxa"/>
          </w:tcPr>
          <w:p>
            <w:pPr>
              <w:pStyle w:val="TableParagraph"/>
              <w:spacing w:line="205" w:lineRule="exact"/>
              <w:ind w:right="26"/>
              <w:jc w:val="right"/>
              <w:rPr>
                <w:sz w:val="20"/>
              </w:rPr>
            </w:pPr>
            <w:r>
              <w:rPr>
                <w:spacing w:val="-4"/>
                <w:sz w:val="20"/>
              </w:rPr>
              <w:t>-</w:t>
            </w:r>
            <w:r>
              <w:rPr>
                <w:spacing w:val="-2"/>
                <w:sz w:val="20"/>
              </w:rPr>
              <w:t>3.6019</w:t>
            </w:r>
          </w:p>
        </w:tc>
      </w:tr>
      <w:tr>
        <w:trPr>
          <w:trHeight w:val="230" w:hRule="atLeast"/>
        </w:trPr>
        <w:tc>
          <w:tcPr>
            <w:tcW w:w="1847" w:type="dxa"/>
          </w:tcPr>
          <w:p>
            <w:pPr>
              <w:pStyle w:val="TableParagraph"/>
              <w:rPr>
                <w:sz w:val="16"/>
              </w:rPr>
            </w:pPr>
          </w:p>
        </w:tc>
        <w:tc>
          <w:tcPr>
            <w:tcW w:w="1375" w:type="dxa"/>
          </w:tcPr>
          <w:p>
            <w:pPr>
              <w:pStyle w:val="TableParagraph"/>
              <w:rPr>
                <w:sz w:val="16"/>
              </w:rPr>
            </w:pPr>
          </w:p>
        </w:tc>
        <w:tc>
          <w:tcPr>
            <w:tcW w:w="2368" w:type="dxa"/>
            <w:gridSpan w:val="2"/>
          </w:tcPr>
          <w:p>
            <w:pPr>
              <w:pStyle w:val="TableParagraph"/>
              <w:spacing w:line="210" w:lineRule="exact"/>
              <w:ind w:left="131"/>
              <w:rPr>
                <w:sz w:val="20"/>
              </w:rPr>
            </w:pPr>
            <w:r>
              <w:rPr>
                <w:sz w:val="20"/>
              </w:rPr>
              <w:t>5%</w:t>
            </w:r>
            <w:r>
              <w:rPr>
                <w:spacing w:val="68"/>
                <w:w w:val="150"/>
                <w:sz w:val="20"/>
              </w:rPr>
              <w:t> </w:t>
            </w:r>
            <w:r>
              <w:rPr>
                <w:sz w:val="20"/>
              </w:rPr>
              <w:t>Critical</w:t>
            </w:r>
            <w:r>
              <w:rPr>
                <w:spacing w:val="-2"/>
                <w:sz w:val="20"/>
              </w:rPr>
              <w:t> </w:t>
            </w:r>
            <w:r>
              <w:rPr>
                <w:spacing w:val="-4"/>
                <w:sz w:val="20"/>
              </w:rPr>
              <w:t>Value</w:t>
            </w:r>
          </w:p>
        </w:tc>
        <w:tc>
          <w:tcPr>
            <w:tcW w:w="896" w:type="dxa"/>
          </w:tcPr>
          <w:p>
            <w:pPr>
              <w:pStyle w:val="TableParagraph"/>
              <w:spacing w:line="210" w:lineRule="exact"/>
              <w:ind w:right="26"/>
              <w:jc w:val="right"/>
              <w:rPr>
                <w:sz w:val="20"/>
              </w:rPr>
            </w:pPr>
            <w:r>
              <w:rPr>
                <w:spacing w:val="-4"/>
                <w:sz w:val="20"/>
              </w:rPr>
              <w:t>-</w:t>
            </w:r>
            <w:r>
              <w:rPr>
                <w:spacing w:val="-2"/>
                <w:sz w:val="20"/>
              </w:rPr>
              <w:t>2.9358</w:t>
            </w:r>
          </w:p>
        </w:tc>
      </w:tr>
      <w:tr>
        <w:trPr>
          <w:trHeight w:val="224" w:hRule="atLeast"/>
        </w:trPr>
        <w:tc>
          <w:tcPr>
            <w:tcW w:w="1847" w:type="dxa"/>
            <w:tcBorders>
              <w:bottom w:val="double" w:sz="6" w:space="0" w:color="000000"/>
            </w:tcBorders>
          </w:tcPr>
          <w:p>
            <w:pPr>
              <w:pStyle w:val="TableParagraph"/>
              <w:rPr>
                <w:sz w:val="16"/>
              </w:rPr>
            </w:pPr>
          </w:p>
        </w:tc>
        <w:tc>
          <w:tcPr>
            <w:tcW w:w="1375" w:type="dxa"/>
            <w:tcBorders>
              <w:bottom w:val="double" w:sz="6" w:space="0" w:color="000000"/>
            </w:tcBorders>
          </w:tcPr>
          <w:p>
            <w:pPr>
              <w:pStyle w:val="TableParagraph"/>
              <w:rPr>
                <w:sz w:val="16"/>
              </w:rPr>
            </w:pPr>
          </w:p>
        </w:tc>
        <w:tc>
          <w:tcPr>
            <w:tcW w:w="2368" w:type="dxa"/>
            <w:gridSpan w:val="2"/>
            <w:tcBorders>
              <w:bottom w:val="double" w:sz="6" w:space="0" w:color="000000"/>
            </w:tcBorders>
          </w:tcPr>
          <w:p>
            <w:pPr>
              <w:pStyle w:val="TableParagraph"/>
              <w:spacing w:line="205" w:lineRule="exact"/>
              <w:ind w:left="131"/>
              <w:rPr>
                <w:sz w:val="20"/>
              </w:rPr>
            </w:pPr>
            <w:r>
              <w:rPr>
                <w:sz w:val="20"/>
              </w:rPr>
              <w:t>10%</w:t>
            </w:r>
            <w:r>
              <w:rPr>
                <w:spacing w:val="-6"/>
                <w:sz w:val="20"/>
              </w:rPr>
              <w:t> </w:t>
            </w:r>
            <w:r>
              <w:rPr>
                <w:sz w:val="20"/>
              </w:rPr>
              <w:t>Critical</w:t>
            </w:r>
            <w:r>
              <w:rPr>
                <w:spacing w:val="-4"/>
                <w:sz w:val="20"/>
              </w:rPr>
              <w:t> </w:t>
            </w:r>
            <w:r>
              <w:rPr>
                <w:spacing w:val="-2"/>
                <w:sz w:val="20"/>
              </w:rPr>
              <w:t>Value</w:t>
            </w:r>
          </w:p>
        </w:tc>
        <w:tc>
          <w:tcPr>
            <w:tcW w:w="896" w:type="dxa"/>
            <w:tcBorders>
              <w:bottom w:val="double" w:sz="6" w:space="0" w:color="000000"/>
            </w:tcBorders>
          </w:tcPr>
          <w:p>
            <w:pPr>
              <w:pStyle w:val="TableParagraph"/>
              <w:spacing w:line="205" w:lineRule="exact"/>
              <w:ind w:right="26"/>
              <w:jc w:val="right"/>
              <w:rPr>
                <w:sz w:val="20"/>
              </w:rPr>
            </w:pPr>
            <w:r>
              <w:rPr>
                <w:spacing w:val="-4"/>
                <w:sz w:val="20"/>
              </w:rPr>
              <w:t>-</w:t>
            </w:r>
            <w:r>
              <w:rPr>
                <w:spacing w:val="-2"/>
                <w:sz w:val="20"/>
              </w:rPr>
              <w:t>2.6059</w:t>
            </w:r>
          </w:p>
        </w:tc>
      </w:tr>
      <w:tr>
        <w:trPr>
          <w:trHeight w:val="505" w:hRule="atLeast"/>
        </w:trPr>
        <w:tc>
          <w:tcPr>
            <w:tcW w:w="6486" w:type="dxa"/>
            <w:gridSpan w:val="5"/>
            <w:tcBorders>
              <w:top w:val="double" w:sz="6" w:space="0" w:color="000000"/>
            </w:tcBorders>
          </w:tcPr>
          <w:p>
            <w:pPr>
              <w:pStyle w:val="TableParagraph"/>
              <w:spacing w:before="40"/>
              <w:ind w:left="36"/>
              <w:rPr>
                <w:sz w:val="20"/>
              </w:rPr>
            </w:pPr>
            <w:r>
              <w:rPr>
                <w:sz w:val="20"/>
              </w:rPr>
              <w:t>*MacKinnon</w:t>
            </w:r>
            <w:r>
              <w:rPr>
                <w:spacing w:val="-6"/>
                <w:sz w:val="20"/>
              </w:rPr>
              <w:t> </w:t>
            </w:r>
            <w:r>
              <w:rPr>
                <w:sz w:val="20"/>
              </w:rPr>
              <w:t>critical</w:t>
            </w:r>
            <w:r>
              <w:rPr>
                <w:spacing w:val="-4"/>
                <w:sz w:val="20"/>
              </w:rPr>
              <w:t> </w:t>
            </w:r>
            <w:r>
              <w:rPr>
                <w:sz w:val="20"/>
              </w:rPr>
              <w:t>values</w:t>
            </w:r>
            <w:r>
              <w:rPr>
                <w:spacing w:val="-6"/>
                <w:sz w:val="20"/>
              </w:rPr>
              <w:t> </w:t>
            </w:r>
            <w:r>
              <w:rPr>
                <w:sz w:val="20"/>
              </w:rPr>
              <w:t>for</w:t>
            </w:r>
            <w:r>
              <w:rPr>
                <w:spacing w:val="-4"/>
                <w:sz w:val="20"/>
              </w:rPr>
              <w:t> </w:t>
            </w:r>
            <w:r>
              <w:rPr>
                <w:sz w:val="20"/>
              </w:rPr>
              <w:t>rejection</w:t>
            </w:r>
            <w:r>
              <w:rPr>
                <w:spacing w:val="-6"/>
                <w:sz w:val="20"/>
              </w:rPr>
              <w:t> </w:t>
            </w:r>
            <w:r>
              <w:rPr>
                <w:sz w:val="20"/>
              </w:rPr>
              <w:t>of</w:t>
            </w:r>
            <w:r>
              <w:rPr>
                <w:spacing w:val="-6"/>
                <w:sz w:val="20"/>
              </w:rPr>
              <w:t> </w:t>
            </w:r>
            <w:r>
              <w:rPr>
                <w:sz w:val="20"/>
              </w:rPr>
              <w:t>hypothesis</w:t>
            </w:r>
            <w:r>
              <w:rPr>
                <w:spacing w:val="-6"/>
                <w:sz w:val="20"/>
              </w:rPr>
              <w:t> </w:t>
            </w:r>
            <w:r>
              <w:rPr>
                <w:sz w:val="20"/>
              </w:rPr>
              <w:t>of</w:t>
            </w:r>
            <w:r>
              <w:rPr>
                <w:spacing w:val="-6"/>
                <w:sz w:val="20"/>
              </w:rPr>
              <w:t> </w:t>
            </w:r>
            <w:r>
              <w:rPr>
                <w:sz w:val="20"/>
              </w:rPr>
              <w:t>a</w:t>
            </w:r>
            <w:r>
              <w:rPr>
                <w:spacing w:val="-4"/>
                <w:sz w:val="20"/>
              </w:rPr>
              <w:t> </w:t>
            </w:r>
            <w:r>
              <w:rPr>
                <w:sz w:val="20"/>
              </w:rPr>
              <w:t>unit</w:t>
            </w:r>
            <w:r>
              <w:rPr>
                <w:spacing w:val="-6"/>
                <w:sz w:val="20"/>
              </w:rPr>
              <w:t> </w:t>
            </w:r>
            <w:r>
              <w:rPr>
                <w:spacing w:val="-2"/>
                <w:sz w:val="20"/>
              </w:rPr>
              <w:t>root.</w:t>
            </w:r>
          </w:p>
        </w:tc>
      </w:tr>
      <w:tr>
        <w:trPr>
          <w:trHeight w:val="460" w:hRule="atLeast"/>
        </w:trPr>
        <w:tc>
          <w:tcPr>
            <w:tcW w:w="6486" w:type="dxa"/>
            <w:gridSpan w:val="5"/>
          </w:tcPr>
          <w:p>
            <w:pPr>
              <w:pStyle w:val="TableParagraph"/>
              <w:spacing w:line="215" w:lineRule="exact" w:before="226"/>
              <w:ind w:left="36"/>
              <w:rPr>
                <w:sz w:val="20"/>
              </w:rPr>
            </w:pPr>
            <w:r>
              <w:rPr>
                <w:sz w:val="20"/>
              </w:rPr>
              <w:t>Augmented</w:t>
            </w:r>
            <w:r>
              <w:rPr>
                <w:spacing w:val="-8"/>
                <w:sz w:val="20"/>
              </w:rPr>
              <w:t> </w:t>
            </w:r>
            <w:r>
              <w:rPr>
                <w:sz w:val="20"/>
              </w:rPr>
              <w:t>Dickey-Fuller</w:t>
            </w:r>
            <w:r>
              <w:rPr>
                <w:spacing w:val="-8"/>
                <w:sz w:val="20"/>
              </w:rPr>
              <w:t> </w:t>
            </w:r>
            <w:r>
              <w:rPr>
                <w:sz w:val="20"/>
              </w:rPr>
              <w:t>Test</w:t>
            </w:r>
            <w:r>
              <w:rPr>
                <w:spacing w:val="-9"/>
                <w:sz w:val="20"/>
              </w:rPr>
              <w:t> </w:t>
            </w:r>
            <w:r>
              <w:rPr>
                <w:spacing w:val="-2"/>
                <w:sz w:val="20"/>
              </w:rPr>
              <w:t>Equation</w:t>
            </w:r>
          </w:p>
        </w:tc>
      </w:tr>
      <w:tr>
        <w:trPr>
          <w:trHeight w:val="229" w:hRule="atLeast"/>
        </w:trPr>
        <w:tc>
          <w:tcPr>
            <w:tcW w:w="6486" w:type="dxa"/>
            <w:gridSpan w:val="5"/>
          </w:tcPr>
          <w:p>
            <w:pPr>
              <w:pStyle w:val="TableParagraph"/>
              <w:spacing w:line="209" w:lineRule="exact"/>
              <w:ind w:left="36"/>
              <w:rPr>
                <w:sz w:val="20"/>
              </w:rPr>
            </w:pPr>
            <w:r>
              <w:rPr>
                <w:sz w:val="20"/>
              </w:rPr>
              <w:t>Dependent</w:t>
            </w:r>
            <w:r>
              <w:rPr>
                <w:spacing w:val="-8"/>
                <w:sz w:val="20"/>
              </w:rPr>
              <w:t> </w:t>
            </w:r>
            <w:r>
              <w:rPr>
                <w:sz w:val="20"/>
              </w:rPr>
              <w:t>Variable:</w:t>
            </w:r>
            <w:r>
              <w:rPr>
                <w:spacing w:val="-8"/>
                <w:sz w:val="20"/>
              </w:rPr>
              <w:t> </w:t>
            </w:r>
            <w:r>
              <w:rPr>
                <w:spacing w:val="-2"/>
                <w:sz w:val="20"/>
              </w:rPr>
              <w:t>D(USIRD)</w:t>
            </w:r>
          </w:p>
        </w:tc>
      </w:tr>
      <w:tr>
        <w:trPr>
          <w:trHeight w:val="229" w:hRule="atLeast"/>
        </w:trPr>
        <w:tc>
          <w:tcPr>
            <w:tcW w:w="6486" w:type="dxa"/>
            <w:gridSpan w:val="5"/>
          </w:tcPr>
          <w:p>
            <w:pPr>
              <w:pStyle w:val="TableParagraph"/>
              <w:spacing w:line="209" w:lineRule="exact"/>
              <w:ind w:left="36"/>
              <w:rPr>
                <w:sz w:val="20"/>
              </w:rPr>
            </w:pPr>
            <w:r>
              <w:rPr>
                <w:sz w:val="20"/>
              </w:rPr>
              <w:t>Method:</w:t>
            </w:r>
            <w:r>
              <w:rPr>
                <w:spacing w:val="-8"/>
                <w:sz w:val="20"/>
              </w:rPr>
              <w:t> </w:t>
            </w:r>
            <w:r>
              <w:rPr>
                <w:sz w:val="20"/>
              </w:rPr>
              <w:t>Least</w:t>
            </w:r>
            <w:r>
              <w:rPr>
                <w:spacing w:val="-7"/>
                <w:sz w:val="20"/>
              </w:rPr>
              <w:t> </w:t>
            </w:r>
            <w:r>
              <w:rPr>
                <w:spacing w:val="-2"/>
                <w:sz w:val="20"/>
              </w:rPr>
              <w:t>Squares</w:t>
            </w:r>
          </w:p>
        </w:tc>
      </w:tr>
      <w:tr>
        <w:trPr>
          <w:trHeight w:val="230" w:hRule="atLeast"/>
        </w:trPr>
        <w:tc>
          <w:tcPr>
            <w:tcW w:w="6486" w:type="dxa"/>
            <w:gridSpan w:val="5"/>
          </w:tcPr>
          <w:p>
            <w:pPr>
              <w:pStyle w:val="TableParagraph"/>
              <w:spacing w:line="210" w:lineRule="exact"/>
              <w:ind w:left="36"/>
              <w:rPr>
                <w:sz w:val="20"/>
              </w:rPr>
            </w:pPr>
            <w:r>
              <w:rPr>
                <w:sz w:val="20"/>
              </w:rPr>
              <w:t>Date:</w:t>
            </w:r>
            <w:r>
              <w:rPr>
                <w:spacing w:val="-5"/>
                <w:sz w:val="20"/>
              </w:rPr>
              <w:t> </w:t>
            </w:r>
            <w:r>
              <w:rPr>
                <w:sz w:val="20"/>
              </w:rPr>
              <w:t>02/18/14</w:t>
            </w:r>
            <w:r>
              <w:rPr>
                <w:spacing w:val="63"/>
                <w:w w:val="150"/>
                <w:sz w:val="20"/>
              </w:rPr>
              <w:t> </w:t>
            </w:r>
            <w:r>
              <w:rPr>
                <w:sz w:val="20"/>
              </w:rPr>
              <w:t>Time:</w:t>
            </w:r>
            <w:r>
              <w:rPr>
                <w:spacing w:val="-3"/>
                <w:sz w:val="20"/>
              </w:rPr>
              <w:t> </w:t>
            </w:r>
            <w:r>
              <w:rPr>
                <w:spacing w:val="-2"/>
                <w:sz w:val="20"/>
              </w:rPr>
              <w:t>13:43</w:t>
            </w:r>
          </w:p>
        </w:tc>
      </w:tr>
      <w:tr>
        <w:trPr>
          <w:trHeight w:val="230" w:hRule="atLeast"/>
        </w:trPr>
        <w:tc>
          <w:tcPr>
            <w:tcW w:w="6486" w:type="dxa"/>
            <w:gridSpan w:val="5"/>
          </w:tcPr>
          <w:p>
            <w:pPr>
              <w:pStyle w:val="TableParagraph"/>
              <w:spacing w:line="210" w:lineRule="exact"/>
              <w:ind w:left="36"/>
              <w:rPr>
                <w:sz w:val="20"/>
              </w:rPr>
            </w:pPr>
            <w:r>
              <w:rPr>
                <w:sz w:val="20"/>
              </w:rPr>
              <w:t>Sample(adjusted):</w:t>
            </w:r>
            <w:r>
              <w:rPr>
                <w:spacing w:val="-9"/>
                <w:sz w:val="20"/>
              </w:rPr>
              <w:t> </w:t>
            </w:r>
            <w:r>
              <w:rPr>
                <w:sz w:val="20"/>
              </w:rPr>
              <w:t>1972</w:t>
            </w:r>
            <w:r>
              <w:rPr>
                <w:spacing w:val="-9"/>
                <w:sz w:val="20"/>
              </w:rPr>
              <w:t> </w:t>
            </w:r>
            <w:r>
              <w:rPr>
                <w:spacing w:val="-4"/>
                <w:sz w:val="20"/>
              </w:rPr>
              <w:t>2011</w:t>
            </w:r>
          </w:p>
        </w:tc>
      </w:tr>
      <w:tr>
        <w:trPr>
          <w:trHeight w:val="224" w:hRule="atLeast"/>
        </w:trPr>
        <w:tc>
          <w:tcPr>
            <w:tcW w:w="6486" w:type="dxa"/>
            <w:gridSpan w:val="5"/>
            <w:tcBorders>
              <w:bottom w:val="double" w:sz="6" w:space="0" w:color="000000"/>
            </w:tcBorders>
          </w:tcPr>
          <w:p>
            <w:pPr>
              <w:pStyle w:val="TableParagraph"/>
              <w:spacing w:line="205" w:lineRule="exact"/>
              <w:ind w:left="36"/>
              <w:rPr>
                <w:sz w:val="20"/>
              </w:rPr>
            </w:pPr>
            <w:r>
              <w:rPr>
                <w:sz w:val="20"/>
              </w:rPr>
              <w:t>Included</w:t>
            </w:r>
            <w:r>
              <w:rPr>
                <w:spacing w:val="-5"/>
                <w:sz w:val="20"/>
              </w:rPr>
              <w:t> </w:t>
            </w:r>
            <w:r>
              <w:rPr>
                <w:sz w:val="20"/>
              </w:rPr>
              <w:t>observations:</w:t>
            </w:r>
            <w:r>
              <w:rPr>
                <w:spacing w:val="-8"/>
                <w:sz w:val="20"/>
              </w:rPr>
              <w:t> </w:t>
            </w:r>
            <w:r>
              <w:rPr>
                <w:sz w:val="20"/>
              </w:rPr>
              <w:t>40</w:t>
            </w:r>
            <w:r>
              <w:rPr>
                <w:spacing w:val="-5"/>
                <w:sz w:val="20"/>
              </w:rPr>
              <w:t> </w:t>
            </w:r>
            <w:r>
              <w:rPr>
                <w:sz w:val="20"/>
              </w:rPr>
              <w:t>after</w:t>
            </w:r>
            <w:r>
              <w:rPr>
                <w:spacing w:val="-7"/>
                <w:sz w:val="20"/>
              </w:rPr>
              <w:t> </w:t>
            </w:r>
            <w:r>
              <w:rPr>
                <w:sz w:val="20"/>
              </w:rPr>
              <w:t>adjusting</w:t>
            </w:r>
            <w:r>
              <w:rPr>
                <w:spacing w:val="-7"/>
                <w:sz w:val="20"/>
              </w:rPr>
              <w:t> </w:t>
            </w:r>
            <w:r>
              <w:rPr>
                <w:spacing w:val="-2"/>
                <w:sz w:val="20"/>
              </w:rPr>
              <w:t>endpoints</w:t>
            </w:r>
          </w:p>
        </w:tc>
      </w:tr>
      <w:tr>
        <w:trPr>
          <w:trHeight w:val="269" w:hRule="atLeast"/>
        </w:trPr>
        <w:tc>
          <w:tcPr>
            <w:tcW w:w="1847" w:type="dxa"/>
            <w:tcBorders>
              <w:top w:val="double" w:sz="6" w:space="0" w:color="000000"/>
              <w:bottom w:val="double" w:sz="6" w:space="0" w:color="000000"/>
            </w:tcBorders>
          </w:tcPr>
          <w:p>
            <w:pPr>
              <w:pStyle w:val="TableParagraph"/>
              <w:spacing w:line="209" w:lineRule="exact" w:before="40"/>
              <w:ind w:left="677"/>
              <w:rPr>
                <w:sz w:val="20"/>
              </w:rPr>
            </w:pPr>
            <w:r>
              <w:rPr>
                <w:spacing w:val="-2"/>
                <w:sz w:val="20"/>
              </w:rPr>
              <w:t>Variable</w:t>
            </w:r>
          </w:p>
        </w:tc>
        <w:tc>
          <w:tcPr>
            <w:tcW w:w="1375" w:type="dxa"/>
            <w:tcBorders>
              <w:top w:val="double" w:sz="6" w:space="0" w:color="000000"/>
              <w:bottom w:val="double" w:sz="6" w:space="0" w:color="000000"/>
            </w:tcBorders>
          </w:tcPr>
          <w:p>
            <w:pPr>
              <w:pStyle w:val="TableParagraph"/>
              <w:spacing w:line="209" w:lineRule="exact" w:before="40"/>
              <w:ind w:right="131"/>
              <w:jc w:val="right"/>
              <w:rPr>
                <w:sz w:val="20"/>
              </w:rPr>
            </w:pPr>
            <w:r>
              <w:rPr>
                <w:spacing w:val="-2"/>
                <w:sz w:val="20"/>
              </w:rPr>
              <w:t>Coefficient</w:t>
            </w:r>
          </w:p>
        </w:tc>
        <w:tc>
          <w:tcPr>
            <w:tcW w:w="1432" w:type="dxa"/>
            <w:tcBorders>
              <w:top w:val="double" w:sz="6" w:space="0" w:color="000000"/>
              <w:bottom w:val="double" w:sz="6" w:space="0" w:color="000000"/>
            </w:tcBorders>
          </w:tcPr>
          <w:p>
            <w:pPr>
              <w:pStyle w:val="TableParagraph"/>
              <w:spacing w:line="209" w:lineRule="exact" w:before="40"/>
              <w:ind w:left="273"/>
              <w:rPr>
                <w:sz w:val="20"/>
              </w:rPr>
            </w:pPr>
            <w:r>
              <w:rPr>
                <w:sz w:val="20"/>
              </w:rPr>
              <w:t>Std.</w:t>
            </w:r>
            <w:r>
              <w:rPr>
                <w:spacing w:val="-4"/>
                <w:sz w:val="20"/>
              </w:rPr>
              <w:t> </w:t>
            </w:r>
            <w:r>
              <w:rPr>
                <w:spacing w:val="-2"/>
                <w:sz w:val="20"/>
              </w:rPr>
              <w:t>Error</w:t>
            </w:r>
          </w:p>
        </w:tc>
        <w:tc>
          <w:tcPr>
            <w:tcW w:w="936" w:type="dxa"/>
            <w:tcBorders>
              <w:top w:val="double" w:sz="6" w:space="0" w:color="000000"/>
              <w:bottom w:val="double" w:sz="6" w:space="0" w:color="000000"/>
            </w:tcBorders>
          </w:tcPr>
          <w:p>
            <w:pPr>
              <w:pStyle w:val="TableParagraph"/>
              <w:spacing w:line="209" w:lineRule="exact" w:before="40"/>
              <w:ind w:right="112"/>
              <w:jc w:val="right"/>
              <w:rPr>
                <w:sz w:val="20"/>
              </w:rPr>
            </w:pPr>
            <w:r>
              <w:rPr>
                <w:spacing w:val="-4"/>
                <w:sz w:val="20"/>
              </w:rPr>
              <w:t>t-</w:t>
            </w:r>
            <w:r>
              <w:rPr>
                <w:spacing w:val="-2"/>
                <w:sz w:val="20"/>
              </w:rPr>
              <w:t>Statistic</w:t>
            </w:r>
          </w:p>
        </w:tc>
        <w:tc>
          <w:tcPr>
            <w:tcW w:w="896" w:type="dxa"/>
            <w:tcBorders>
              <w:top w:val="double" w:sz="6" w:space="0" w:color="000000"/>
              <w:bottom w:val="double" w:sz="6" w:space="0" w:color="000000"/>
            </w:tcBorders>
          </w:tcPr>
          <w:p>
            <w:pPr>
              <w:pStyle w:val="TableParagraph"/>
              <w:spacing w:line="209" w:lineRule="exact" w:before="40"/>
              <w:ind w:right="27"/>
              <w:jc w:val="right"/>
              <w:rPr>
                <w:sz w:val="20"/>
              </w:rPr>
            </w:pPr>
            <w:r>
              <w:rPr>
                <w:spacing w:val="-2"/>
                <w:sz w:val="20"/>
              </w:rPr>
              <w:t>Prob.</w:t>
            </w:r>
          </w:p>
        </w:tc>
      </w:tr>
      <w:tr>
        <w:trPr>
          <w:trHeight w:val="275" w:hRule="atLeast"/>
        </w:trPr>
        <w:tc>
          <w:tcPr>
            <w:tcW w:w="1847" w:type="dxa"/>
            <w:tcBorders>
              <w:top w:val="double" w:sz="6" w:space="0" w:color="000000"/>
            </w:tcBorders>
          </w:tcPr>
          <w:p>
            <w:pPr>
              <w:pStyle w:val="TableParagraph"/>
              <w:spacing w:line="215" w:lineRule="exact" w:before="40"/>
              <w:ind w:left="571"/>
              <w:rPr>
                <w:sz w:val="20"/>
              </w:rPr>
            </w:pPr>
            <w:r>
              <w:rPr>
                <w:spacing w:val="-2"/>
                <w:sz w:val="20"/>
              </w:rPr>
              <w:t>USIRD(-</w:t>
            </w:r>
            <w:r>
              <w:rPr>
                <w:spacing w:val="-5"/>
                <w:sz w:val="20"/>
              </w:rPr>
              <w:t>1)</w:t>
            </w:r>
          </w:p>
        </w:tc>
        <w:tc>
          <w:tcPr>
            <w:tcW w:w="1375" w:type="dxa"/>
            <w:tcBorders>
              <w:top w:val="double" w:sz="6" w:space="0" w:color="000000"/>
            </w:tcBorders>
          </w:tcPr>
          <w:p>
            <w:pPr>
              <w:pStyle w:val="TableParagraph"/>
              <w:spacing w:line="215" w:lineRule="exact" w:before="40"/>
              <w:ind w:right="128"/>
              <w:jc w:val="right"/>
              <w:rPr>
                <w:sz w:val="20"/>
              </w:rPr>
            </w:pPr>
            <w:r>
              <w:rPr>
                <w:spacing w:val="-4"/>
                <w:sz w:val="20"/>
              </w:rPr>
              <w:t>-</w:t>
            </w:r>
            <w:r>
              <w:rPr>
                <w:spacing w:val="-2"/>
                <w:sz w:val="20"/>
              </w:rPr>
              <w:t>0.214803</w:t>
            </w:r>
          </w:p>
        </w:tc>
        <w:tc>
          <w:tcPr>
            <w:tcW w:w="1432" w:type="dxa"/>
            <w:tcBorders>
              <w:top w:val="double" w:sz="6" w:space="0" w:color="000000"/>
            </w:tcBorders>
          </w:tcPr>
          <w:p>
            <w:pPr>
              <w:pStyle w:val="TableParagraph"/>
              <w:spacing w:line="215" w:lineRule="exact" w:before="40"/>
              <w:ind w:left="311"/>
              <w:rPr>
                <w:sz w:val="20"/>
              </w:rPr>
            </w:pPr>
            <w:r>
              <w:rPr>
                <w:spacing w:val="-2"/>
                <w:sz w:val="20"/>
              </w:rPr>
              <w:t>0.104455</w:t>
            </w:r>
          </w:p>
        </w:tc>
        <w:tc>
          <w:tcPr>
            <w:tcW w:w="936" w:type="dxa"/>
            <w:tcBorders>
              <w:top w:val="double" w:sz="6" w:space="0" w:color="000000"/>
            </w:tcBorders>
          </w:tcPr>
          <w:p>
            <w:pPr>
              <w:pStyle w:val="TableParagraph"/>
              <w:spacing w:line="215" w:lineRule="exact" w:before="40"/>
              <w:ind w:right="110"/>
              <w:jc w:val="right"/>
              <w:rPr>
                <w:sz w:val="20"/>
              </w:rPr>
            </w:pPr>
            <w:r>
              <w:rPr>
                <w:spacing w:val="-4"/>
                <w:sz w:val="20"/>
              </w:rPr>
              <w:t>-</w:t>
            </w:r>
            <w:r>
              <w:rPr>
                <w:spacing w:val="-2"/>
                <w:sz w:val="20"/>
              </w:rPr>
              <w:t>2.056420</w:t>
            </w:r>
          </w:p>
        </w:tc>
        <w:tc>
          <w:tcPr>
            <w:tcW w:w="896" w:type="dxa"/>
            <w:tcBorders>
              <w:top w:val="double" w:sz="6" w:space="0" w:color="000000"/>
            </w:tcBorders>
          </w:tcPr>
          <w:p>
            <w:pPr>
              <w:pStyle w:val="TableParagraph"/>
              <w:spacing w:line="215" w:lineRule="exact" w:before="40"/>
              <w:ind w:right="26"/>
              <w:jc w:val="right"/>
              <w:rPr>
                <w:sz w:val="20"/>
              </w:rPr>
            </w:pPr>
            <w:r>
              <w:rPr>
                <w:spacing w:val="-2"/>
                <w:sz w:val="20"/>
              </w:rPr>
              <w:t>0.0468</w:t>
            </w:r>
          </w:p>
        </w:tc>
      </w:tr>
      <w:tr>
        <w:trPr>
          <w:trHeight w:val="230" w:hRule="atLeast"/>
        </w:trPr>
        <w:tc>
          <w:tcPr>
            <w:tcW w:w="1847" w:type="dxa"/>
          </w:tcPr>
          <w:p>
            <w:pPr>
              <w:pStyle w:val="TableParagraph"/>
              <w:spacing w:line="210" w:lineRule="exact"/>
              <w:ind w:left="432"/>
              <w:rPr>
                <w:sz w:val="20"/>
              </w:rPr>
            </w:pPr>
            <w:r>
              <w:rPr>
                <w:spacing w:val="-2"/>
                <w:sz w:val="20"/>
              </w:rPr>
              <w:t>D(USIRD(-</w:t>
            </w:r>
            <w:r>
              <w:rPr>
                <w:spacing w:val="-5"/>
                <w:sz w:val="20"/>
              </w:rPr>
              <w:t>1))</w:t>
            </w:r>
          </w:p>
        </w:tc>
        <w:tc>
          <w:tcPr>
            <w:tcW w:w="1375" w:type="dxa"/>
          </w:tcPr>
          <w:p>
            <w:pPr>
              <w:pStyle w:val="TableParagraph"/>
              <w:spacing w:line="210" w:lineRule="exact"/>
              <w:ind w:right="128"/>
              <w:jc w:val="right"/>
              <w:rPr>
                <w:sz w:val="20"/>
              </w:rPr>
            </w:pPr>
            <w:r>
              <w:rPr>
                <w:spacing w:val="-2"/>
                <w:sz w:val="20"/>
              </w:rPr>
              <w:t>0.024122</w:t>
            </w:r>
          </w:p>
        </w:tc>
        <w:tc>
          <w:tcPr>
            <w:tcW w:w="1432" w:type="dxa"/>
          </w:tcPr>
          <w:p>
            <w:pPr>
              <w:pStyle w:val="TableParagraph"/>
              <w:spacing w:line="210" w:lineRule="exact"/>
              <w:ind w:left="311"/>
              <w:rPr>
                <w:sz w:val="20"/>
              </w:rPr>
            </w:pPr>
            <w:r>
              <w:rPr>
                <w:spacing w:val="-2"/>
                <w:sz w:val="20"/>
              </w:rPr>
              <w:t>0.150434</w:t>
            </w:r>
          </w:p>
        </w:tc>
        <w:tc>
          <w:tcPr>
            <w:tcW w:w="936" w:type="dxa"/>
          </w:tcPr>
          <w:p>
            <w:pPr>
              <w:pStyle w:val="TableParagraph"/>
              <w:spacing w:line="210" w:lineRule="exact"/>
              <w:ind w:right="110"/>
              <w:jc w:val="right"/>
              <w:rPr>
                <w:sz w:val="20"/>
              </w:rPr>
            </w:pPr>
            <w:r>
              <w:rPr>
                <w:spacing w:val="-2"/>
                <w:sz w:val="20"/>
              </w:rPr>
              <w:t>0.160350</w:t>
            </w:r>
          </w:p>
        </w:tc>
        <w:tc>
          <w:tcPr>
            <w:tcW w:w="896" w:type="dxa"/>
          </w:tcPr>
          <w:p>
            <w:pPr>
              <w:pStyle w:val="TableParagraph"/>
              <w:spacing w:line="210" w:lineRule="exact"/>
              <w:ind w:right="26"/>
              <w:jc w:val="right"/>
              <w:rPr>
                <w:sz w:val="20"/>
              </w:rPr>
            </w:pPr>
            <w:r>
              <w:rPr>
                <w:spacing w:val="-2"/>
                <w:sz w:val="20"/>
              </w:rPr>
              <w:t>0.8735</w:t>
            </w:r>
          </w:p>
        </w:tc>
      </w:tr>
      <w:tr>
        <w:trPr>
          <w:trHeight w:val="224" w:hRule="atLeast"/>
        </w:trPr>
        <w:tc>
          <w:tcPr>
            <w:tcW w:w="1847" w:type="dxa"/>
            <w:tcBorders>
              <w:bottom w:val="double" w:sz="6" w:space="0" w:color="000000"/>
            </w:tcBorders>
          </w:tcPr>
          <w:p>
            <w:pPr>
              <w:pStyle w:val="TableParagraph"/>
              <w:spacing w:line="205" w:lineRule="exact"/>
              <w:ind w:left="197"/>
              <w:jc w:val="center"/>
              <w:rPr>
                <w:sz w:val="20"/>
              </w:rPr>
            </w:pPr>
            <w:r>
              <w:rPr>
                <w:spacing w:val="-10"/>
                <w:sz w:val="20"/>
              </w:rPr>
              <w:t>C</w:t>
            </w:r>
          </w:p>
        </w:tc>
        <w:tc>
          <w:tcPr>
            <w:tcW w:w="1375" w:type="dxa"/>
            <w:tcBorders>
              <w:bottom w:val="double" w:sz="6" w:space="0" w:color="000000"/>
            </w:tcBorders>
          </w:tcPr>
          <w:p>
            <w:pPr>
              <w:pStyle w:val="TableParagraph"/>
              <w:spacing w:line="205" w:lineRule="exact"/>
              <w:ind w:right="128"/>
              <w:jc w:val="right"/>
              <w:rPr>
                <w:sz w:val="20"/>
              </w:rPr>
            </w:pPr>
            <w:r>
              <w:rPr>
                <w:spacing w:val="-2"/>
                <w:sz w:val="20"/>
              </w:rPr>
              <w:t>0.408726</w:t>
            </w:r>
          </w:p>
        </w:tc>
        <w:tc>
          <w:tcPr>
            <w:tcW w:w="1432" w:type="dxa"/>
            <w:tcBorders>
              <w:bottom w:val="double" w:sz="6" w:space="0" w:color="000000"/>
            </w:tcBorders>
          </w:tcPr>
          <w:p>
            <w:pPr>
              <w:pStyle w:val="TableParagraph"/>
              <w:spacing w:line="205" w:lineRule="exact"/>
              <w:ind w:left="311"/>
              <w:rPr>
                <w:sz w:val="20"/>
              </w:rPr>
            </w:pPr>
            <w:r>
              <w:rPr>
                <w:spacing w:val="-2"/>
                <w:sz w:val="20"/>
              </w:rPr>
              <w:t>0.220226</w:t>
            </w:r>
          </w:p>
        </w:tc>
        <w:tc>
          <w:tcPr>
            <w:tcW w:w="936" w:type="dxa"/>
            <w:tcBorders>
              <w:bottom w:val="double" w:sz="6" w:space="0" w:color="000000"/>
            </w:tcBorders>
          </w:tcPr>
          <w:p>
            <w:pPr>
              <w:pStyle w:val="TableParagraph"/>
              <w:spacing w:line="205" w:lineRule="exact"/>
              <w:ind w:right="110"/>
              <w:jc w:val="right"/>
              <w:rPr>
                <w:sz w:val="20"/>
              </w:rPr>
            </w:pPr>
            <w:r>
              <w:rPr>
                <w:spacing w:val="-2"/>
                <w:sz w:val="20"/>
              </w:rPr>
              <w:t>1.855942</w:t>
            </w:r>
          </w:p>
        </w:tc>
        <w:tc>
          <w:tcPr>
            <w:tcW w:w="896" w:type="dxa"/>
            <w:tcBorders>
              <w:bottom w:val="double" w:sz="6" w:space="0" w:color="000000"/>
            </w:tcBorders>
          </w:tcPr>
          <w:p>
            <w:pPr>
              <w:pStyle w:val="TableParagraph"/>
              <w:spacing w:line="205" w:lineRule="exact"/>
              <w:ind w:right="26"/>
              <w:jc w:val="right"/>
              <w:rPr>
                <w:sz w:val="20"/>
              </w:rPr>
            </w:pPr>
            <w:r>
              <w:rPr>
                <w:spacing w:val="-2"/>
                <w:sz w:val="20"/>
              </w:rPr>
              <w:t>0.0714</w:t>
            </w:r>
          </w:p>
        </w:tc>
      </w:tr>
      <w:tr>
        <w:trPr>
          <w:trHeight w:val="275" w:hRule="atLeast"/>
        </w:trPr>
        <w:tc>
          <w:tcPr>
            <w:tcW w:w="1847" w:type="dxa"/>
            <w:tcBorders>
              <w:top w:val="double" w:sz="6" w:space="0" w:color="000000"/>
            </w:tcBorders>
          </w:tcPr>
          <w:p>
            <w:pPr>
              <w:pStyle w:val="TableParagraph"/>
              <w:spacing w:line="215" w:lineRule="exact" w:before="40"/>
              <w:ind w:left="36"/>
              <w:rPr>
                <w:sz w:val="20"/>
              </w:rPr>
            </w:pPr>
            <w:r>
              <w:rPr>
                <w:spacing w:val="-2"/>
                <w:sz w:val="20"/>
              </w:rPr>
              <w:t>R-squared</w:t>
            </w:r>
          </w:p>
        </w:tc>
        <w:tc>
          <w:tcPr>
            <w:tcW w:w="1375" w:type="dxa"/>
            <w:tcBorders>
              <w:top w:val="double" w:sz="6" w:space="0" w:color="000000"/>
            </w:tcBorders>
          </w:tcPr>
          <w:p>
            <w:pPr>
              <w:pStyle w:val="TableParagraph"/>
              <w:spacing w:line="215" w:lineRule="exact" w:before="40"/>
              <w:ind w:right="128"/>
              <w:jc w:val="right"/>
              <w:rPr>
                <w:sz w:val="20"/>
              </w:rPr>
            </w:pPr>
            <w:r>
              <w:rPr>
                <w:spacing w:val="-2"/>
                <w:sz w:val="20"/>
              </w:rPr>
              <w:t>0.106492</w:t>
            </w:r>
          </w:p>
        </w:tc>
        <w:tc>
          <w:tcPr>
            <w:tcW w:w="2368" w:type="dxa"/>
            <w:gridSpan w:val="2"/>
            <w:tcBorders>
              <w:top w:val="double" w:sz="6" w:space="0" w:color="000000"/>
            </w:tcBorders>
          </w:tcPr>
          <w:p>
            <w:pPr>
              <w:pStyle w:val="TableParagraph"/>
              <w:spacing w:line="215" w:lineRule="exact" w:before="40"/>
              <w:ind w:left="131"/>
              <w:rPr>
                <w:sz w:val="20"/>
              </w:rPr>
            </w:pPr>
            <w:r>
              <w:rPr>
                <w:sz w:val="20"/>
              </w:rPr>
              <w:t>Mean</w:t>
            </w:r>
            <w:r>
              <w:rPr>
                <w:spacing w:val="-7"/>
                <w:sz w:val="20"/>
              </w:rPr>
              <w:t> </w:t>
            </w:r>
            <w:r>
              <w:rPr>
                <w:sz w:val="20"/>
              </w:rPr>
              <w:t>dependent</w:t>
            </w:r>
            <w:r>
              <w:rPr>
                <w:spacing w:val="-7"/>
                <w:sz w:val="20"/>
              </w:rPr>
              <w:t> </w:t>
            </w:r>
            <w:r>
              <w:rPr>
                <w:spacing w:val="-5"/>
                <w:sz w:val="20"/>
              </w:rPr>
              <w:t>var</w:t>
            </w:r>
          </w:p>
        </w:tc>
        <w:tc>
          <w:tcPr>
            <w:tcW w:w="896" w:type="dxa"/>
            <w:tcBorders>
              <w:top w:val="double" w:sz="6" w:space="0" w:color="000000"/>
            </w:tcBorders>
          </w:tcPr>
          <w:p>
            <w:pPr>
              <w:pStyle w:val="TableParagraph"/>
              <w:spacing w:line="215" w:lineRule="exact" w:before="40"/>
              <w:ind w:right="26"/>
              <w:jc w:val="right"/>
              <w:rPr>
                <w:sz w:val="20"/>
              </w:rPr>
            </w:pPr>
            <w:r>
              <w:rPr>
                <w:spacing w:val="-2"/>
                <w:sz w:val="20"/>
              </w:rPr>
              <w:t>0.013283</w:t>
            </w:r>
          </w:p>
        </w:tc>
      </w:tr>
      <w:tr>
        <w:trPr>
          <w:trHeight w:val="230" w:hRule="atLeast"/>
        </w:trPr>
        <w:tc>
          <w:tcPr>
            <w:tcW w:w="1847" w:type="dxa"/>
          </w:tcPr>
          <w:p>
            <w:pPr>
              <w:pStyle w:val="TableParagraph"/>
              <w:spacing w:line="211" w:lineRule="exact"/>
              <w:ind w:left="36"/>
              <w:rPr>
                <w:sz w:val="20"/>
              </w:rPr>
            </w:pPr>
            <w:r>
              <w:rPr>
                <w:sz w:val="20"/>
              </w:rPr>
              <w:t>Adjusted</w:t>
            </w:r>
            <w:r>
              <w:rPr>
                <w:spacing w:val="-10"/>
                <w:sz w:val="20"/>
              </w:rPr>
              <w:t> </w:t>
            </w:r>
            <w:r>
              <w:rPr>
                <w:sz w:val="20"/>
              </w:rPr>
              <w:t>R-</w:t>
            </w:r>
            <w:r>
              <w:rPr>
                <w:spacing w:val="-2"/>
                <w:sz w:val="20"/>
              </w:rPr>
              <w:t>squared</w:t>
            </w:r>
          </w:p>
        </w:tc>
        <w:tc>
          <w:tcPr>
            <w:tcW w:w="1375" w:type="dxa"/>
          </w:tcPr>
          <w:p>
            <w:pPr>
              <w:pStyle w:val="TableParagraph"/>
              <w:spacing w:line="211" w:lineRule="exact"/>
              <w:ind w:right="128"/>
              <w:jc w:val="right"/>
              <w:rPr>
                <w:sz w:val="20"/>
              </w:rPr>
            </w:pPr>
            <w:r>
              <w:rPr>
                <w:spacing w:val="-2"/>
                <w:sz w:val="20"/>
              </w:rPr>
              <w:t>0.058195</w:t>
            </w:r>
          </w:p>
        </w:tc>
        <w:tc>
          <w:tcPr>
            <w:tcW w:w="2368" w:type="dxa"/>
            <w:gridSpan w:val="2"/>
          </w:tcPr>
          <w:p>
            <w:pPr>
              <w:pStyle w:val="TableParagraph"/>
              <w:spacing w:line="211" w:lineRule="exact"/>
              <w:ind w:left="131"/>
              <w:rPr>
                <w:sz w:val="20"/>
              </w:rPr>
            </w:pPr>
            <w:r>
              <w:rPr>
                <w:sz w:val="20"/>
              </w:rPr>
              <w:t>S.D.</w:t>
            </w:r>
            <w:r>
              <w:rPr>
                <w:spacing w:val="-5"/>
                <w:sz w:val="20"/>
              </w:rPr>
              <w:t> </w:t>
            </w:r>
            <w:r>
              <w:rPr>
                <w:sz w:val="20"/>
              </w:rPr>
              <w:t>dependent</w:t>
            </w:r>
            <w:r>
              <w:rPr>
                <w:spacing w:val="-6"/>
                <w:sz w:val="20"/>
              </w:rPr>
              <w:t> </w:t>
            </w:r>
            <w:r>
              <w:rPr>
                <w:spacing w:val="-5"/>
                <w:sz w:val="20"/>
              </w:rPr>
              <w:t>var</w:t>
            </w:r>
          </w:p>
        </w:tc>
        <w:tc>
          <w:tcPr>
            <w:tcW w:w="896" w:type="dxa"/>
          </w:tcPr>
          <w:p>
            <w:pPr>
              <w:pStyle w:val="TableParagraph"/>
              <w:spacing w:line="211" w:lineRule="exact"/>
              <w:ind w:right="26"/>
              <w:jc w:val="right"/>
              <w:rPr>
                <w:sz w:val="20"/>
              </w:rPr>
            </w:pPr>
            <w:r>
              <w:rPr>
                <w:spacing w:val="-2"/>
                <w:sz w:val="20"/>
              </w:rPr>
              <w:t>0.717416</w:t>
            </w:r>
          </w:p>
        </w:tc>
      </w:tr>
      <w:tr>
        <w:trPr>
          <w:trHeight w:val="230" w:hRule="atLeast"/>
        </w:trPr>
        <w:tc>
          <w:tcPr>
            <w:tcW w:w="1847" w:type="dxa"/>
          </w:tcPr>
          <w:p>
            <w:pPr>
              <w:pStyle w:val="TableParagraph"/>
              <w:spacing w:line="211" w:lineRule="exact"/>
              <w:ind w:left="36"/>
              <w:rPr>
                <w:sz w:val="20"/>
              </w:rPr>
            </w:pPr>
            <w:r>
              <w:rPr>
                <w:sz w:val="20"/>
              </w:rPr>
              <w:t>S.E.</w:t>
            </w:r>
            <w:r>
              <w:rPr>
                <w:spacing w:val="-3"/>
                <w:sz w:val="20"/>
              </w:rPr>
              <w:t> </w:t>
            </w:r>
            <w:r>
              <w:rPr>
                <w:sz w:val="20"/>
              </w:rPr>
              <w:t>of</w:t>
            </w:r>
            <w:r>
              <w:rPr>
                <w:spacing w:val="-3"/>
                <w:sz w:val="20"/>
              </w:rPr>
              <w:t> </w:t>
            </w:r>
            <w:r>
              <w:rPr>
                <w:spacing w:val="-2"/>
                <w:sz w:val="20"/>
              </w:rPr>
              <w:t>regression</w:t>
            </w:r>
          </w:p>
        </w:tc>
        <w:tc>
          <w:tcPr>
            <w:tcW w:w="1375" w:type="dxa"/>
          </w:tcPr>
          <w:p>
            <w:pPr>
              <w:pStyle w:val="TableParagraph"/>
              <w:spacing w:line="211" w:lineRule="exact"/>
              <w:ind w:right="128"/>
              <w:jc w:val="right"/>
              <w:rPr>
                <w:sz w:val="20"/>
              </w:rPr>
            </w:pPr>
            <w:r>
              <w:rPr>
                <w:spacing w:val="-2"/>
                <w:sz w:val="20"/>
              </w:rPr>
              <w:t>0.696229</w:t>
            </w:r>
          </w:p>
        </w:tc>
        <w:tc>
          <w:tcPr>
            <w:tcW w:w="2368" w:type="dxa"/>
            <w:gridSpan w:val="2"/>
          </w:tcPr>
          <w:p>
            <w:pPr>
              <w:pStyle w:val="TableParagraph"/>
              <w:spacing w:line="211" w:lineRule="exact"/>
              <w:ind w:left="131"/>
              <w:rPr>
                <w:sz w:val="20"/>
              </w:rPr>
            </w:pPr>
            <w:r>
              <w:rPr>
                <w:sz w:val="20"/>
              </w:rPr>
              <w:t>Akaike</w:t>
            </w:r>
            <w:r>
              <w:rPr>
                <w:spacing w:val="-8"/>
                <w:sz w:val="20"/>
              </w:rPr>
              <w:t> </w:t>
            </w:r>
            <w:r>
              <w:rPr>
                <w:sz w:val="20"/>
              </w:rPr>
              <w:t>info</w:t>
            </w:r>
            <w:r>
              <w:rPr>
                <w:spacing w:val="-7"/>
                <w:sz w:val="20"/>
              </w:rPr>
              <w:t> </w:t>
            </w:r>
            <w:r>
              <w:rPr>
                <w:spacing w:val="-2"/>
                <w:sz w:val="20"/>
              </w:rPr>
              <w:t>criterion</w:t>
            </w:r>
          </w:p>
        </w:tc>
        <w:tc>
          <w:tcPr>
            <w:tcW w:w="896" w:type="dxa"/>
          </w:tcPr>
          <w:p>
            <w:pPr>
              <w:pStyle w:val="TableParagraph"/>
              <w:spacing w:line="211" w:lineRule="exact"/>
              <w:ind w:right="26"/>
              <w:jc w:val="right"/>
              <w:rPr>
                <w:sz w:val="20"/>
              </w:rPr>
            </w:pPr>
            <w:r>
              <w:rPr>
                <w:spacing w:val="-2"/>
                <w:sz w:val="20"/>
              </w:rPr>
              <w:t>2.185761</w:t>
            </w:r>
          </w:p>
        </w:tc>
      </w:tr>
      <w:tr>
        <w:trPr>
          <w:trHeight w:val="230" w:hRule="atLeast"/>
        </w:trPr>
        <w:tc>
          <w:tcPr>
            <w:tcW w:w="1847" w:type="dxa"/>
          </w:tcPr>
          <w:p>
            <w:pPr>
              <w:pStyle w:val="TableParagraph"/>
              <w:spacing w:line="210" w:lineRule="exact"/>
              <w:ind w:left="36"/>
              <w:rPr>
                <w:sz w:val="20"/>
              </w:rPr>
            </w:pPr>
            <w:r>
              <w:rPr>
                <w:sz w:val="20"/>
              </w:rPr>
              <w:t>Sum</w:t>
            </w:r>
            <w:r>
              <w:rPr>
                <w:spacing w:val="-8"/>
                <w:sz w:val="20"/>
              </w:rPr>
              <w:t> </w:t>
            </w:r>
            <w:r>
              <w:rPr>
                <w:sz w:val="20"/>
              </w:rPr>
              <w:t>squared</w:t>
            </w:r>
            <w:r>
              <w:rPr>
                <w:spacing w:val="-4"/>
                <w:sz w:val="20"/>
              </w:rPr>
              <w:t> </w:t>
            </w:r>
            <w:r>
              <w:rPr>
                <w:spacing w:val="-2"/>
                <w:sz w:val="20"/>
              </w:rPr>
              <w:t>resid</w:t>
            </w:r>
          </w:p>
        </w:tc>
        <w:tc>
          <w:tcPr>
            <w:tcW w:w="1375" w:type="dxa"/>
          </w:tcPr>
          <w:p>
            <w:pPr>
              <w:pStyle w:val="TableParagraph"/>
              <w:spacing w:line="210" w:lineRule="exact"/>
              <w:ind w:right="128"/>
              <w:jc w:val="right"/>
              <w:rPr>
                <w:sz w:val="20"/>
              </w:rPr>
            </w:pPr>
            <w:r>
              <w:rPr>
                <w:spacing w:val="-2"/>
                <w:sz w:val="20"/>
              </w:rPr>
              <w:t>17.93517</w:t>
            </w:r>
          </w:p>
        </w:tc>
        <w:tc>
          <w:tcPr>
            <w:tcW w:w="2368" w:type="dxa"/>
            <w:gridSpan w:val="2"/>
          </w:tcPr>
          <w:p>
            <w:pPr>
              <w:pStyle w:val="TableParagraph"/>
              <w:spacing w:line="210" w:lineRule="exact"/>
              <w:ind w:left="131"/>
              <w:rPr>
                <w:sz w:val="20"/>
              </w:rPr>
            </w:pPr>
            <w:r>
              <w:rPr>
                <w:sz w:val="20"/>
              </w:rPr>
              <w:t>Schwarz</w:t>
            </w:r>
            <w:r>
              <w:rPr>
                <w:spacing w:val="-8"/>
                <w:sz w:val="20"/>
              </w:rPr>
              <w:t> </w:t>
            </w:r>
            <w:r>
              <w:rPr>
                <w:spacing w:val="-2"/>
                <w:sz w:val="20"/>
              </w:rPr>
              <w:t>criterion</w:t>
            </w:r>
          </w:p>
        </w:tc>
        <w:tc>
          <w:tcPr>
            <w:tcW w:w="896" w:type="dxa"/>
          </w:tcPr>
          <w:p>
            <w:pPr>
              <w:pStyle w:val="TableParagraph"/>
              <w:spacing w:line="210" w:lineRule="exact"/>
              <w:ind w:right="26"/>
              <w:jc w:val="right"/>
              <w:rPr>
                <w:sz w:val="20"/>
              </w:rPr>
            </w:pPr>
            <w:r>
              <w:rPr>
                <w:spacing w:val="-2"/>
                <w:sz w:val="20"/>
              </w:rPr>
              <w:t>2.312427</w:t>
            </w:r>
          </w:p>
        </w:tc>
      </w:tr>
      <w:tr>
        <w:trPr>
          <w:trHeight w:val="229" w:hRule="atLeast"/>
        </w:trPr>
        <w:tc>
          <w:tcPr>
            <w:tcW w:w="1847" w:type="dxa"/>
          </w:tcPr>
          <w:p>
            <w:pPr>
              <w:pStyle w:val="TableParagraph"/>
              <w:spacing w:line="209" w:lineRule="exact"/>
              <w:ind w:left="36"/>
              <w:rPr>
                <w:sz w:val="20"/>
              </w:rPr>
            </w:pPr>
            <w:r>
              <w:rPr>
                <w:sz w:val="20"/>
              </w:rPr>
              <w:t>Log</w:t>
            </w:r>
            <w:r>
              <w:rPr>
                <w:spacing w:val="-6"/>
                <w:sz w:val="20"/>
              </w:rPr>
              <w:t> </w:t>
            </w:r>
            <w:r>
              <w:rPr>
                <w:spacing w:val="-2"/>
                <w:sz w:val="20"/>
              </w:rPr>
              <w:t>likelihood</w:t>
            </w:r>
          </w:p>
        </w:tc>
        <w:tc>
          <w:tcPr>
            <w:tcW w:w="1375" w:type="dxa"/>
          </w:tcPr>
          <w:p>
            <w:pPr>
              <w:pStyle w:val="TableParagraph"/>
              <w:spacing w:line="209" w:lineRule="exact"/>
              <w:ind w:right="128"/>
              <w:jc w:val="right"/>
              <w:rPr>
                <w:sz w:val="20"/>
              </w:rPr>
            </w:pPr>
            <w:r>
              <w:rPr>
                <w:spacing w:val="-4"/>
                <w:sz w:val="20"/>
              </w:rPr>
              <w:t>-</w:t>
            </w:r>
            <w:r>
              <w:rPr>
                <w:spacing w:val="-2"/>
                <w:sz w:val="20"/>
              </w:rPr>
              <w:t>40.71522</w:t>
            </w:r>
          </w:p>
        </w:tc>
        <w:tc>
          <w:tcPr>
            <w:tcW w:w="1432" w:type="dxa"/>
          </w:tcPr>
          <w:p>
            <w:pPr>
              <w:pStyle w:val="TableParagraph"/>
              <w:spacing w:line="209" w:lineRule="exact"/>
              <w:ind w:left="131"/>
              <w:rPr>
                <w:sz w:val="20"/>
              </w:rPr>
            </w:pPr>
            <w:r>
              <w:rPr>
                <w:spacing w:val="-4"/>
                <w:sz w:val="20"/>
              </w:rPr>
              <w:t>F-</w:t>
            </w:r>
            <w:r>
              <w:rPr>
                <w:spacing w:val="-2"/>
                <w:sz w:val="20"/>
              </w:rPr>
              <w:t>statistic</w:t>
            </w:r>
          </w:p>
        </w:tc>
        <w:tc>
          <w:tcPr>
            <w:tcW w:w="936" w:type="dxa"/>
          </w:tcPr>
          <w:p>
            <w:pPr>
              <w:pStyle w:val="TableParagraph"/>
              <w:rPr>
                <w:sz w:val="16"/>
              </w:rPr>
            </w:pPr>
          </w:p>
        </w:tc>
        <w:tc>
          <w:tcPr>
            <w:tcW w:w="896" w:type="dxa"/>
          </w:tcPr>
          <w:p>
            <w:pPr>
              <w:pStyle w:val="TableParagraph"/>
              <w:spacing w:line="209" w:lineRule="exact"/>
              <w:ind w:right="26"/>
              <w:jc w:val="right"/>
              <w:rPr>
                <w:sz w:val="20"/>
              </w:rPr>
            </w:pPr>
            <w:r>
              <w:rPr>
                <w:spacing w:val="-2"/>
                <w:sz w:val="20"/>
              </w:rPr>
              <w:t>2.204913</w:t>
            </w:r>
          </w:p>
        </w:tc>
      </w:tr>
      <w:tr>
        <w:trPr>
          <w:trHeight w:val="266" w:hRule="atLeast"/>
        </w:trPr>
        <w:tc>
          <w:tcPr>
            <w:tcW w:w="1847" w:type="dxa"/>
            <w:tcBorders>
              <w:bottom w:val="double" w:sz="6" w:space="0" w:color="000000"/>
            </w:tcBorders>
          </w:tcPr>
          <w:p>
            <w:pPr>
              <w:pStyle w:val="TableParagraph"/>
              <w:spacing w:line="224" w:lineRule="exact"/>
              <w:ind w:left="36"/>
              <w:rPr>
                <w:sz w:val="20"/>
              </w:rPr>
            </w:pPr>
            <w:r>
              <w:rPr>
                <w:sz w:val="20"/>
              </w:rPr>
              <w:t>Durbin-Watson</w:t>
            </w:r>
            <w:r>
              <w:rPr>
                <w:spacing w:val="-12"/>
                <w:sz w:val="20"/>
              </w:rPr>
              <w:t> </w:t>
            </w:r>
            <w:r>
              <w:rPr>
                <w:spacing w:val="-4"/>
                <w:sz w:val="20"/>
              </w:rPr>
              <w:t>stat</w:t>
            </w:r>
          </w:p>
        </w:tc>
        <w:tc>
          <w:tcPr>
            <w:tcW w:w="1375" w:type="dxa"/>
          </w:tcPr>
          <w:p>
            <w:pPr>
              <w:pStyle w:val="TableParagraph"/>
              <w:spacing w:line="224" w:lineRule="exact"/>
              <w:ind w:right="128"/>
              <w:jc w:val="right"/>
              <w:rPr>
                <w:sz w:val="20"/>
              </w:rPr>
            </w:pPr>
            <w:r>
              <w:rPr>
                <w:spacing w:val="-2"/>
                <w:sz w:val="20"/>
              </w:rPr>
              <w:t>1.981879</w:t>
            </w:r>
          </w:p>
        </w:tc>
        <w:tc>
          <w:tcPr>
            <w:tcW w:w="1432" w:type="dxa"/>
            <w:tcBorders>
              <w:bottom w:val="double" w:sz="6" w:space="0" w:color="000000"/>
            </w:tcBorders>
          </w:tcPr>
          <w:p>
            <w:pPr>
              <w:pStyle w:val="TableParagraph"/>
              <w:spacing w:line="224" w:lineRule="exact"/>
              <w:ind w:left="131"/>
              <w:rPr>
                <w:sz w:val="20"/>
              </w:rPr>
            </w:pPr>
            <w:r>
              <w:rPr>
                <w:spacing w:val="-2"/>
                <w:sz w:val="20"/>
              </w:rPr>
              <w:t>Prob(F-statistic)</w:t>
            </w:r>
          </w:p>
        </w:tc>
        <w:tc>
          <w:tcPr>
            <w:tcW w:w="936" w:type="dxa"/>
            <w:tcBorders>
              <w:bottom w:val="single" w:sz="6" w:space="0" w:color="000000"/>
            </w:tcBorders>
          </w:tcPr>
          <w:p>
            <w:pPr>
              <w:pStyle w:val="TableParagraph"/>
              <w:rPr>
                <w:sz w:val="18"/>
              </w:rPr>
            </w:pPr>
          </w:p>
        </w:tc>
        <w:tc>
          <w:tcPr>
            <w:tcW w:w="896" w:type="dxa"/>
            <w:tcBorders>
              <w:bottom w:val="double" w:sz="6" w:space="0" w:color="000000"/>
            </w:tcBorders>
          </w:tcPr>
          <w:p>
            <w:pPr>
              <w:pStyle w:val="TableParagraph"/>
              <w:spacing w:line="224" w:lineRule="exact"/>
              <w:ind w:right="26"/>
              <w:jc w:val="right"/>
              <w:rPr>
                <w:sz w:val="20"/>
              </w:rPr>
            </w:pPr>
            <w:r>
              <w:rPr>
                <w:spacing w:val="-2"/>
                <w:sz w:val="20"/>
              </w:rPr>
              <w:t>0.124543</w:t>
            </w:r>
          </w:p>
        </w:tc>
      </w:tr>
    </w:tbl>
    <w:p>
      <w:pPr>
        <w:spacing w:after="0" w:line="224" w:lineRule="exact"/>
        <w:jc w:val="right"/>
        <w:rPr>
          <w:sz w:val="20"/>
        </w:rPr>
        <w:sectPr>
          <w:pgSz w:w="11910" w:h="16840"/>
          <w:pgMar w:header="0" w:footer="979" w:top="1340" w:bottom="1240" w:left="280" w:right="0"/>
        </w:sectPr>
      </w:pPr>
    </w:p>
    <w:p>
      <w:pPr>
        <w:spacing w:before="82" w:after="3"/>
        <w:ind w:left="711" w:right="0" w:firstLine="0"/>
        <w:jc w:val="left"/>
        <w:rPr>
          <w:sz w:val="20"/>
        </w:rPr>
      </w:pPr>
      <w:r>
        <w:rPr>
          <w:sz w:val="20"/>
        </w:rPr>
        <w:t>USIRD</w:t>
      </w:r>
      <w:r>
        <w:rPr>
          <w:spacing w:val="-2"/>
          <w:sz w:val="20"/>
        </w:rPr>
        <w:t> </w:t>
      </w:r>
      <w:r>
        <w:rPr>
          <w:sz w:val="20"/>
        </w:rPr>
        <w:t>@</w:t>
      </w:r>
      <w:r>
        <w:rPr>
          <w:spacing w:val="-5"/>
          <w:sz w:val="20"/>
        </w:rPr>
        <w:t> </w:t>
      </w:r>
      <w:r>
        <w:rPr>
          <w:sz w:val="20"/>
        </w:rPr>
        <w:t>1</w:t>
      </w:r>
      <w:r>
        <w:rPr>
          <w:sz w:val="20"/>
          <w:vertAlign w:val="superscript"/>
        </w:rPr>
        <w:t>ST</w:t>
      </w:r>
      <w:r>
        <w:rPr>
          <w:spacing w:val="-5"/>
          <w:sz w:val="20"/>
          <w:vertAlign w:val="baseline"/>
        </w:rPr>
        <w:t> </w:t>
      </w:r>
      <w:r>
        <w:rPr>
          <w:spacing w:val="-4"/>
          <w:sz w:val="20"/>
          <w:vertAlign w:val="baseline"/>
        </w:rPr>
        <w:t>DIFF</w:t>
      </w:r>
    </w:p>
    <w:tbl>
      <w:tblPr>
        <w:tblW w:w="0" w:type="auto"/>
        <w:jc w:val="left"/>
        <w:tblInd w:w="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76"/>
        <w:gridCol w:w="1346"/>
        <w:gridCol w:w="1432"/>
        <w:gridCol w:w="904"/>
        <w:gridCol w:w="929"/>
      </w:tblGrid>
      <w:tr>
        <w:trPr>
          <w:trHeight w:val="224" w:hRule="atLeast"/>
        </w:trPr>
        <w:tc>
          <w:tcPr>
            <w:tcW w:w="1876" w:type="dxa"/>
          </w:tcPr>
          <w:p>
            <w:pPr>
              <w:pStyle w:val="TableParagraph"/>
              <w:spacing w:line="204" w:lineRule="exact"/>
              <w:ind w:left="36"/>
              <w:rPr>
                <w:sz w:val="20"/>
              </w:rPr>
            </w:pPr>
            <w:r>
              <w:rPr>
                <w:sz w:val="20"/>
              </w:rPr>
              <w:t>ADF</w:t>
            </w:r>
            <w:r>
              <w:rPr>
                <w:spacing w:val="-4"/>
                <w:sz w:val="20"/>
              </w:rPr>
              <w:t> </w:t>
            </w:r>
            <w:r>
              <w:rPr>
                <w:sz w:val="20"/>
              </w:rPr>
              <w:t>Test</w:t>
            </w:r>
            <w:r>
              <w:rPr>
                <w:spacing w:val="-4"/>
                <w:sz w:val="20"/>
              </w:rPr>
              <w:t> </w:t>
            </w:r>
            <w:r>
              <w:rPr>
                <w:spacing w:val="-2"/>
                <w:sz w:val="20"/>
              </w:rPr>
              <w:t>Statistic</w:t>
            </w:r>
          </w:p>
        </w:tc>
        <w:tc>
          <w:tcPr>
            <w:tcW w:w="1346" w:type="dxa"/>
          </w:tcPr>
          <w:p>
            <w:pPr>
              <w:pStyle w:val="TableParagraph"/>
              <w:spacing w:line="204" w:lineRule="exact"/>
              <w:ind w:left="190"/>
              <w:rPr>
                <w:sz w:val="20"/>
              </w:rPr>
            </w:pPr>
            <w:r>
              <w:rPr>
                <w:spacing w:val="-4"/>
                <w:sz w:val="20"/>
              </w:rPr>
              <w:t>-</w:t>
            </w:r>
            <w:r>
              <w:rPr>
                <w:spacing w:val="-2"/>
                <w:sz w:val="20"/>
              </w:rPr>
              <w:t>6.618476</w:t>
            </w:r>
          </w:p>
        </w:tc>
        <w:tc>
          <w:tcPr>
            <w:tcW w:w="2336" w:type="dxa"/>
            <w:gridSpan w:val="2"/>
          </w:tcPr>
          <w:p>
            <w:pPr>
              <w:pStyle w:val="TableParagraph"/>
              <w:spacing w:line="204" w:lineRule="exact"/>
              <w:ind w:left="131"/>
              <w:rPr>
                <w:sz w:val="20"/>
              </w:rPr>
            </w:pPr>
            <w:r>
              <w:rPr>
                <w:sz w:val="20"/>
              </w:rPr>
              <w:t>1%</w:t>
            </w:r>
            <w:r>
              <w:rPr>
                <w:spacing w:val="68"/>
                <w:w w:val="150"/>
                <w:sz w:val="20"/>
              </w:rPr>
              <w:t> </w:t>
            </w:r>
            <w:r>
              <w:rPr>
                <w:sz w:val="20"/>
              </w:rPr>
              <w:t>Critical</w:t>
            </w:r>
            <w:r>
              <w:rPr>
                <w:spacing w:val="-2"/>
                <w:sz w:val="20"/>
              </w:rPr>
              <w:t> Value*</w:t>
            </w:r>
          </w:p>
        </w:tc>
        <w:tc>
          <w:tcPr>
            <w:tcW w:w="929" w:type="dxa"/>
          </w:tcPr>
          <w:p>
            <w:pPr>
              <w:pStyle w:val="TableParagraph"/>
              <w:spacing w:line="204" w:lineRule="exact"/>
              <w:ind w:right="27"/>
              <w:jc w:val="right"/>
              <w:rPr>
                <w:sz w:val="20"/>
              </w:rPr>
            </w:pPr>
            <w:r>
              <w:rPr>
                <w:spacing w:val="-4"/>
                <w:sz w:val="20"/>
              </w:rPr>
              <w:t>-</w:t>
            </w:r>
            <w:r>
              <w:rPr>
                <w:spacing w:val="-2"/>
                <w:sz w:val="20"/>
              </w:rPr>
              <w:t>3.6067</w:t>
            </w:r>
          </w:p>
        </w:tc>
      </w:tr>
      <w:tr>
        <w:trPr>
          <w:trHeight w:val="229" w:hRule="atLeast"/>
        </w:trPr>
        <w:tc>
          <w:tcPr>
            <w:tcW w:w="1876" w:type="dxa"/>
          </w:tcPr>
          <w:p>
            <w:pPr>
              <w:pStyle w:val="TableParagraph"/>
              <w:rPr>
                <w:sz w:val="16"/>
              </w:rPr>
            </w:pPr>
          </w:p>
        </w:tc>
        <w:tc>
          <w:tcPr>
            <w:tcW w:w="1346" w:type="dxa"/>
          </w:tcPr>
          <w:p>
            <w:pPr>
              <w:pStyle w:val="TableParagraph"/>
              <w:rPr>
                <w:sz w:val="16"/>
              </w:rPr>
            </w:pPr>
          </w:p>
        </w:tc>
        <w:tc>
          <w:tcPr>
            <w:tcW w:w="2336" w:type="dxa"/>
            <w:gridSpan w:val="2"/>
          </w:tcPr>
          <w:p>
            <w:pPr>
              <w:pStyle w:val="TableParagraph"/>
              <w:spacing w:line="209" w:lineRule="exact"/>
              <w:ind w:left="131"/>
              <w:rPr>
                <w:sz w:val="20"/>
              </w:rPr>
            </w:pPr>
            <w:r>
              <w:rPr>
                <w:sz w:val="20"/>
              </w:rPr>
              <w:t>5%</w:t>
            </w:r>
            <w:r>
              <w:rPr>
                <w:spacing w:val="68"/>
                <w:w w:val="150"/>
                <w:sz w:val="20"/>
              </w:rPr>
              <w:t> </w:t>
            </w:r>
            <w:r>
              <w:rPr>
                <w:sz w:val="20"/>
              </w:rPr>
              <w:t>Critical</w:t>
            </w:r>
            <w:r>
              <w:rPr>
                <w:spacing w:val="-2"/>
                <w:sz w:val="20"/>
              </w:rPr>
              <w:t> </w:t>
            </w:r>
            <w:r>
              <w:rPr>
                <w:spacing w:val="-4"/>
                <w:sz w:val="20"/>
              </w:rPr>
              <w:t>Value</w:t>
            </w:r>
          </w:p>
        </w:tc>
        <w:tc>
          <w:tcPr>
            <w:tcW w:w="929" w:type="dxa"/>
          </w:tcPr>
          <w:p>
            <w:pPr>
              <w:pStyle w:val="TableParagraph"/>
              <w:spacing w:line="209" w:lineRule="exact"/>
              <w:ind w:right="27"/>
              <w:jc w:val="right"/>
              <w:rPr>
                <w:sz w:val="20"/>
              </w:rPr>
            </w:pPr>
            <w:r>
              <w:rPr>
                <w:spacing w:val="-4"/>
                <w:sz w:val="20"/>
              </w:rPr>
              <w:t>-</w:t>
            </w:r>
            <w:r>
              <w:rPr>
                <w:spacing w:val="-2"/>
                <w:sz w:val="20"/>
              </w:rPr>
              <w:t>2.9378</w:t>
            </w:r>
          </w:p>
        </w:tc>
      </w:tr>
      <w:tr>
        <w:trPr>
          <w:trHeight w:val="224" w:hRule="atLeast"/>
        </w:trPr>
        <w:tc>
          <w:tcPr>
            <w:tcW w:w="1876" w:type="dxa"/>
            <w:tcBorders>
              <w:bottom w:val="double" w:sz="6" w:space="0" w:color="000000"/>
            </w:tcBorders>
          </w:tcPr>
          <w:p>
            <w:pPr>
              <w:pStyle w:val="TableParagraph"/>
              <w:rPr>
                <w:sz w:val="16"/>
              </w:rPr>
            </w:pPr>
          </w:p>
        </w:tc>
        <w:tc>
          <w:tcPr>
            <w:tcW w:w="1346" w:type="dxa"/>
            <w:tcBorders>
              <w:bottom w:val="double" w:sz="6" w:space="0" w:color="000000"/>
            </w:tcBorders>
          </w:tcPr>
          <w:p>
            <w:pPr>
              <w:pStyle w:val="TableParagraph"/>
              <w:rPr>
                <w:sz w:val="16"/>
              </w:rPr>
            </w:pPr>
          </w:p>
        </w:tc>
        <w:tc>
          <w:tcPr>
            <w:tcW w:w="2336" w:type="dxa"/>
            <w:gridSpan w:val="2"/>
            <w:tcBorders>
              <w:bottom w:val="double" w:sz="6" w:space="0" w:color="000000"/>
            </w:tcBorders>
          </w:tcPr>
          <w:p>
            <w:pPr>
              <w:pStyle w:val="TableParagraph"/>
              <w:spacing w:line="205" w:lineRule="exact"/>
              <w:ind w:left="131"/>
              <w:rPr>
                <w:sz w:val="20"/>
              </w:rPr>
            </w:pPr>
            <w:r>
              <w:rPr>
                <w:sz w:val="20"/>
              </w:rPr>
              <w:t>10%</w:t>
            </w:r>
            <w:r>
              <w:rPr>
                <w:spacing w:val="-6"/>
                <w:sz w:val="20"/>
              </w:rPr>
              <w:t> </w:t>
            </w:r>
            <w:r>
              <w:rPr>
                <w:sz w:val="20"/>
              </w:rPr>
              <w:t>Critical</w:t>
            </w:r>
            <w:r>
              <w:rPr>
                <w:spacing w:val="-4"/>
                <w:sz w:val="20"/>
              </w:rPr>
              <w:t> </w:t>
            </w:r>
            <w:r>
              <w:rPr>
                <w:spacing w:val="-2"/>
                <w:sz w:val="20"/>
              </w:rPr>
              <w:t>Value</w:t>
            </w:r>
          </w:p>
        </w:tc>
        <w:tc>
          <w:tcPr>
            <w:tcW w:w="929" w:type="dxa"/>
            <w:tcBorders>
              <w:bottom w:val="double" w:sz="6" w:space="0" w:color="000000"/>
            </w:tcBorders>
          </w:tcPr>
          <w:p>
            <w:pPr>
              <w:pStyle w:val="TableParagraph"/>
              <w:spacing w:line="205" w:lineRule="exact"/>
              <w:ind w:right="27"/>
              <w:jc w:val="right"/>
              <w:rPr>
                <w:sz w:val="20"/>
              </w:rPr>
            </w:pPr>
            <w:r>
              <w:rPr>
                <w:spacing w:val="-4"/>
                <w:sz w:val="20"/>
              </w:rPr>
              <w:t>-</w:t>
            </w:r>
            <w:r>
              <w:rPr>
                <w:spacing w:val="-2"/>
                <w:sz w:val="20"/>
              </w:rPr>
              <w:t>2.6069</w:t>
            </w:r>
          </w:p>
        </w:tc>
      </w:tr>
      <w:tr>
        <w:trPr>
          <w:trHeight w:val="506" w:hRule="atLeast"/>
        </w:trPr>
        <w:tc>
          <w:tcPr>
            <w:tcW w:w="6487" w:type="dxa"/>
            <w:gridSpan w:val="5"/>
            <w:tcBorders>
              <w:top w:val="double" w:sz="6" w:space="0" w:color="000000"/>
            </w:tcBorders>
          </w:tcPr>
          <w:p>
            <w:pPr>
              <w:pStyle w:val="TableParagraph"/>
              <w:spacing w:before="42"/>
              <w:ind w:left="36"/>
              <w:rPr>
                <w:sz w:val="20"/>
              </w:rPr>
            </w:pPr>
            <w:r>
              <w:rPr>
                <w:sz w:val="20"/>
              </w:rPr>
              <w:t>*MacKinnon</w:t>
            </w:r>
            <w:r>
              <w:rPr>
                <w:spacing w:val="-6"/>
                <w:sz w:val="20"/>
              </w:rPr>
              <w:t> </w:t>
            </w:r>
            <w:r>
              <w:rPr>
                <w:sz w:val="20"/>
              </w:rPr>
              <w:t>critical</w:t>
            </w:r>
            <w:r>
              <w:rPr>
                <w:spacing w:val="-4"/>
                <w:sz w:val="20"/>
              </w:rPr>
              <w:t> </w:t>
            </w:r>
            <w:r>
              <w:rPr>
                <w:sz w:val="20"/>
              </w:rPr>
              <w:t>values</w:t>
            </w:r>
            <w:r>
              <w:rPr>
                <w:spacing w:val="-6"/>
                <w:sz w:val="20"/>
              </w:rPr>
              <w:t> </w:t>
            </w:r>
            <w:r>
              <w:rPr>
                <w:sz w:val="20"/>
              </w:rPr>
              <w:t>for</w:t>
            </w:r>
            <w:r>
              <w:rPr>
                <w:spacing w:val="-4"/>
                <w:sz w:val="20"/>
              </w:rPr>
              <w:t> </w:t>
            </w:r>
            <w:r>
              <w:rPr>
                <w:sz w:val="20"/>
              </w:rPr>
              <w:t>rejection</w:t>
            </w:r>
            <w:r>
              <w:rPr>
                <w:spacing w:val="-6"/>
                <w:sz w:val="20"/>
              </w:rPr>
              <w:t> </w:t>
            </w:r>
            <w:r>
              <w:rPr>
                <w:sz w:val="20"/>
              </w:rPr>
              <w:t>of</w:t>
            </w:r>
            <w:r>
              <w:rPr>
                <w:spacing w:val="-6"/>
                <w:sz w:val="20"/>
              </w:rPr>
              <w:t> </w:t>
            </w:r>
            <w:r>
              <w:rPr>
                <w:sz w:val="20"/>
              </w:rPr>
              <w:t>hypothesis</w:t>
            </w:r>
            <w:r>
              <w:rPr>
                <w:spacing w:val="-6"/>
                <w:sz w:val="20"/>
              </w:rPr>
              <w:t> </w:t>
            </w:r>
            <w:r>
              <w:rPr>
                <w:sz w:val="20"/>
              </w:rPr>
              <w:t>of</w:t>
            </w:r>
            <w:r>
              <w:rPr>
                <w:spacing w:val="-6"/>
                <w:sz w:val="20"/>
              </w:rPr>
              <w:t> </w:t>
            </w:r>
            <w:r>
              <w:rPr>
                <w:sz w:val="20"/>
              </w:rPr>
              <w:t>a</w:t>
            </w:r>
            <w:r>
              <w:rPr>
                <w:spacing w:val="-4"/>
                <w:sz w:val="20"/>
              </w:rPr>
              <w:t> </w:t>
            </w:r>
            <w:r>
              <w:rPr>
                <w:sz w:val="20"/>
              </w:rPr>
              <w:t>unit</w:t>
            </w:r>
            <w:r>
              <w:rPr>
                <w:spacing w:val="-6"/>
                <w:sz w:val="20"/>
              </w:rPr>
              <w:t> </w:t>
            </w:r>
            <w:r>
              <w:rPr>
                <w:spacing w:val="-2"/>
                <w:sz w:val="20"/>
              </w:rPr>
              <w:t>root.</w:t>
            </w:r>
          </w:p>
        </w:tc>
      </w:tr>
      <w:tr>
        <w:trPr>
          <w:trHeight w:val="459" w:hRule="atLeast"/>
        </w:trPr>
        <w:tc>
          <w:tcPr>
            <w:tcW w:w="6487" w:type="dxa"/>
            <w:gridSpan w:val="5"/>
          </w:tcPr>
          <w:p>
            <w:pPr>
              <w:pStyle w:val="TableParagraph"/>
              <w:spacing w:line="215" w:lineRule="exact" w:before="225"/>
              <w:ind w:left="36"/>
              <w:rPr>
                <w:sz w:val="20"/>
              </w:rPr>
            </w:pPr>
            <w:r>
              <w:rPr>
                <w:sz w:val="20"/>
              </w:rPr>
              <w:t>Augmented</w:t>
            </w:r>
            <w:r>
              <w:rPr>
                <w:spacing w:val="-8"/>
                <w:sz w:val="20"/>
              </w:rPr>
              <w:t> </w:t>
            </w:r>
            <w:r>
              <w:rPr>
                <w:sz w:val="20"/>
              </w:rPr>
              <w:t>Dickey-Fuller</w:t>
            </w:r>
            <w:r>
              <w:rPr>
                <w:spacing w:val="-8"/>
                <w:sz w:val="20"/>
              </w:rPr>
              <w:t> </w:t>
            </w:r>
            <w:r>
              <w:rPr>
                <w:sz w:val="20"/>
              </w:rPr>
              <w:t>Test</w:t>
            </w:r>
            <w:r>
              <w:rPr>
                <w:spacing w:val="-9"/>
                <w:sz w:val="20"/>
              </w:rPr>
              <w:t> </w:t>
            </w:r>
            <w:r>
              <w:rPr>
                <w:spacing w:val="-2"/>
                <w:sz w:val="20"/>
              </w:rPr>
              <w:t>Equation</w:t>
            </w:r>
          </w:p>
        </w:tc>
      </w:tr>
      <w:tr>
        <w:trPr>
          <w:trHeight w:val="230" w:hRule="atLeast"/>
        </w:trPr>
        <w:tc>
          <w:tcPr>
            <w:tcW w:w="6487" w:type="dxa"/>
            <w:gridSpan w:val="5"/>
          </w:tcPr>
          <w:p>
            <w:pPr>
              <w:pStyle w:val="TableParagraph"/>
              <w:spacing w:line="210" w:lineRule="exact"/>
              <w:ind w:left="36"/>
              <w:rPr>
                <w:sz w:val="20"/>
              </w:rPr>
            </w:pPr>
            <w:r>
              <w:rPr>
                <w:sz w:val="20"/>
              </w:rPr>
              <w:t>Dependent</w:t>
            </w:r>
            <w:r>
              <w:rPr>
                <w:spacing w:val="-8"/>
                <w:sz w:val="20"/>
              </w:rPr>
              <w:t> </w:t>
            </w:r>
            <w:r>
              <w:rPr>
                <w:sz w:val="20"/>
              </w:rPr>
              <w:t>Variable:</w:t>
            </w:r>
            <w:r>
              <w:rPr>
                <w:spacing w:val="-8"/>
                <w:sz w:val="20"/>
              </w:rPr>
              <w:t> </w:t>
            </w:r>
            <w:r>
              <w:rPr>
                <w:spacing w:val="-2"/>
                <w:sz w:val="20"/>
              </w:rPr>
              <w:t>D(INTDIFF,2)</w:t>
            </w:r>
          </w:p>
        </w:tc>
      </w:tr>
      <w:tr>
        <w:trPr>
          <w:trHeight w:val="229" w:hRule="atLeast"/>
        </w:trPr>
        <w:tc>
          <w:tcPr>
            <w:tcW w:w="1876" w:type="dxa"/>
          </w:tcPr>
          <w:p>
            <w:pPr>
              <w:pStyle w:val="TableParagraph"/>
              <w:spacing w:line="209" w:lineRule="exact"/>
              <w:ind w:left="36"/>
              <w:rPr>
                <w:sz w:val="20"/>
              </w:rPr>
            </w:pPr>
            <w:r>
              <w:rPr>
                <w:sz w:val="20"/>
              </w:rPr>
              <w:t>Method:</w:t>
            </w:r>
            <w:r>
              <w:rPr>
                <w:spacing w:val="-8"/>
                <w:sz w:val="20"/>
              </w:rPr>
              <w:t> </w:t>
            </w:r>
            <w:r>
              <w:rPr>
                <w:sz w:val="20"/>
              </w:rPr>
              <w:t>Least</w:t>
            </w:r>
            <w:r>
              <w:rPr>
                <w:spacing w:val="-7"/>
                <w:sz w:val="20"/>
              </w:rPr>
              <w:t> </w:t>
            </w:r>
            <w:r>
              <w:rPr>
                <w:spacing w:val="-2"/>
                <w:sz w:val="20"/>
              </w:rPr>
              <w:t>Squares</w:t>
            </w:r>
          </w:p>
        </w:tc>
        <w:tc>
          <w:tcPr>
            <w:tcW w:w="1346" w:type="dxa"/>
          </w:tcPr>
          <w:p>
            <w:pPr>
              <w:pStyle w:val="TableParagraph"/>
              <w:rPr>
                <w:sz w:val="16"/>
              </w:rPr>
            </w:pPr>
          </w:p>
        </w:tc>
        <w:tc>
          <w:tcPr>
            <w:tcW w:w="1432" w:type="dxa"/>
          </w:tcPr>
          <w:p>
            <w:pPr>
              <w:pStyle w:val="TableParagraph"/>
              <w:rPr>
                <w:sz w:val="16"/>
              </w:rPr>
            </w:pPr>
          </w:p>
        </w:tc>
        <w:tc>
          <w:tcPr>
            <w:tcW w:w="904" w:type="dxa"/>
          </w:tcPr>
          <w:p>
            <w:pPr>
              <w:pStyle w:val="TableParagraph"/>
              <w:rPr>
                <w:sz w:val="16"/>
              </w:rPr>
            </w:pPr>
          </w:p>
        </w:tc>
        <w:tc>
          <w:tcPr>
            <w:tcW w:w="929" w:type="dxa"/>
          </w:tcPr>
          <w:p>
            <w:pPr>
              <w:pStyle w:val="TableParagraph"/>
              <w:rPr>
                <w:sz w:val="16"/>
              </w:rPr>
            </w:pPr>
          </w:p>
        </w:tc>
      </w:tr>
      <w:tr>
        <w:trPr>
          <w:trHeight w:val="229" w:hRule="atLeast"/>
        </w:trPr>
        <w:tc>
          <w:tcPr>
            <w:tcW w:w="6487" w:type="dxa"/>
            <w:gridSpan w:val="5"/>
          </w:tcPr>
          <w:p>
            <w:pPr>
              <w:pStyle w:val="TableParagraph"/>
              <w:spacing w:line="209" w:lineRule="exact"/>
              <w:ind w:left="36"/>
              <w:rPr>
                <w:sz w:val="20"/>
              </w:rPr>
            </w:pPr>
            <w:r>
              <w:rPr>
                <w:sz w:val="20"/>
              </w:rPr>
              <w:t>Date:</w:t>
            </w:r>
            <w:r>
              <w:rPr>
                <w:spacing w:val="-5"/>
                <w:sz w:val="20"/>
              </w:rPr>
              <w:t> </w:t>
            </w:r>
            <w:r>
              <w:rPr>
                <w:sz w:val="20"/>
              </w:rPr>
              <w:t>02/18/14</w:t>
            </w:r>
            <w:r>
              <w:rPr>
                <w:spacing w:val="63"/>
                <w:w w:val="150"/>
                <w:sz w:val="20"/>
              </w:rPr>
              <w:t> </w:t>
            </w:r>
            <w:r>
              <w:rPr>
                <w:sz w:val="20"/>
              </w:rPr>
              <w:t>Time:</w:t>
            </w:r>
            <w:r>
              <w:rPr>
                <w:spacing w:val="-3"/>
                <w:sz w:val="20"/>
              </w:rPr>
              <w:t> </w:t>
            </w:r>
            <w:r>
              <w:rPr>
                <w:spacing w:val="-2"/>
                <w:sz w:val="20"/>
              </w:rPr>
              <w:t>13:44</w:t>
            </w:r>
          </w:p>
        </w:tc>
      </w:tr>
      <w:tr>
        <w:trPr>
          <w:trHeight w:val="230" w:hRule="atLeast"/>
        </w:trPr>
        <w:tc>
          <w:tcPr>
            <w:tcW w:w="6487" w:type="dxa"/>
            <w:gridSpan w:val="5"/>
          </w:tcPr>
          <w:p>
            <w:pPr>
              <w:pStyle w:val="TableParagraph"/>
              <w:spacing w:line="210" w:lineRule="exact"/>
              <w:ind w:left="36"/>
              <w:rPr>
                <w:sz w:val="20"/>
              </w:rPr>
            </w:pPr>
            <w:r>
              <w:rPr>
                <w:sz w:val="20"/>
              </w:rPr>
              <w:t>Sample(adjusted):</w:t>
            </w:r>
            <w:r>
              <w:rPr>
                <w:spacing w:val="-9"/>
                <w:sz w:val="20"/>
              </w:rPr>
              <w:t> </w:t>
            </w:r>
            <w:r>
              <w:rPr>
                <w:sz w:val="20"/>
              </w:rPr>
              <w:t>1973</w:t>
            </w:r>
            <w:r>
              <w:rPr>
                <w:spacing w:val="-9"/>
                <w:sz w:val="20"/>
              </w:rPr>
              <w:t> </w:t>
            </w:r>
            <w:r>
              <w:rPr>
                <w:spacing w:val="-4"/>
                <w:sz w:val="20"/>
              </w:rPr>
              <w:t>2011</w:t>
            </w:r>
          </w:p>
        </w:tc>
      </w:tr>
      <w:tr>
        <w:trPr>
          <w:trHeight w:val="224" w:hRule="atLeast"/>
        </w:trPr>
        <w:tc>
          <w:tcPr>
            <w:tcW w:w="6487" w:type="dxa"/>
            <w:gridSpan w:val="5"/>
            <w:tcBorders>
              <w:bottom w:val="double" w:sz="6" w:space="0" w:color="000000"/>
            </w:tcBorders>
          </w:tcPr>
          <w:p>
            <w:pPr>
              <w:pStyle w:val="TableParagraph"/>
              <w:spacing w:line="205" w:lineRule="exact"/>
              <w:ind w:left="36"/>
              <w:rPr>
                <w:sz w:val="20"/>
              </w:rPr>
            </w:pPr>
            <w:r>
              <w:rPr>
                <w:sz w:val="20"/>
              </w:rPr>
              <w:t>Included</w:t>
            </w:r>
            <w:r>
              <w:rPr>
                <w:spacing w:val="-5"/>
                <w:sz w:val="20"/>
              </w:rPr>
              <w:t> </w:t>
            </w:r>
            <w:r>
              <w:rPr>
                <w:sz w:val="20"/>
              </w:rPr>
              <w:t>observations:</w:t>
            </w:r>
            <w:r>
              <w:rPr>
                <w:spacing w:val="-8"/>
                <w:sz w:val="20"/>
              </w:rPr>
              <w:t> </w:t>
            </w:r>
            <w:r>
              <w:rPr>
                <w:sz w:val="20"/>
              </w:rPr>
              <w:t>39</w:t>
            </w:r>
            <w:r>
              <w:rPr>
                <w:spacing w:val="-5"/>
                <w:sz w:val="20"/>
              </w:rPr>
              <w:t> </w:t>
            </w:r>
            <w:r>
              <w:rPr>
                <w:sz w:val="20"/>
              </w:rPr>
              <w:t>after</w:t>
            </w:r>
            <w:r>
              <w:rPr>
                <w:spacing w:val="-7"/>
                <w:sz w:val="20"/>
              </w:rPr>
              <w:t> </w:t>
            </w:r>
            <w:r>
              <w:rPr>
                <w:sz w:val="20"/>
              </w:rPr>
              <w:t>adjusting</w:t>
            </w:r>
            <w:r>
              <w:rPr>
                <w:spacing w:val="-7"/>
                <w:sz w:val="20"/>
              </w:rPr>
              <w:t> </w:t>
            </w:r>
            <w:r>
              <w:rPr>
                <w:spacing w:val="-2"/>
                <w:sz w:val="20"/>
              </w:rPr>
              <w:t>endpoints</w:t>
            </w:r>
          </w:p>
        </w:tc>
      </w:tr>
      <w:tr>
        <w:trPr>
          <w:trHeight w:val="269" w:hRule="atLeast"/>
        </w:trPr>
        <w:tc>
          <w:tcPr>
            <w:tcW w:w="1876" w:type="dxa"/>
            <w:tcBorders>
              <w:top w:val="double" w:sz="6" w:space="0" w:color="000000"/>
              <w:bottom w:val="double" w:sz="6" w:space="0" w:color="000000"/>
            </w:tcBorders>
          </w:tcPr>
          <w:p>
            <w:pPr>
              <w:pStyle w:val="TableParagraph"/>
              <w:spacing w:line="209" w:lineRule="exact" w:before="40"/>
              <w:ind w:left="677"/>
              <w:rPr>
                <w:sz w:val="20"/>
              </w:rPr>
            </w:pPr>
            <w:r>
              <w:rPr>
                <w:spacing w:val="-2"/>
                <w:sz w:val="20"/>
              </w:rPr>
              <w:t>Variable</w:t>
            </w:r>
          </w:p>
        </w:tc>
        <w:tc>
          <w:tcPr>
            <w:tcW w:w="1346" w:type="dxa"/>
            <w:tcBorders>
              <w:top w:val="double" w:sz="6" w:space="0" w:color="000000"/>
              <w:bottom w:val="double" w:sz="6" w:space="0" w:color="000000"/>
            </w:tcBorders>
          </w:tcPr>
          <w:p>
            <w:pPr>
              <w:pStyle w:val="TableParagraph"/>
              <w:spacing w:line="209" w:lineRule="exact" w:before="40"/>
              <w:ind w:right="131"/>
              <w:jc w:val="right"/>
              <w:rPr>
                <w:sz w:val="20"/>
              </w:rPr>
            </w:pPr>
            <w:r>
              <w:rPr>
                <w:spacing w:val="-2"/>
                <w:sz w:val="20"/>
              </w:rPr>
              <w:t>Coefficient</w:t>
            </w:r>
          </w:p>
        </w:tc>
        <w:tc>
          <w:tcPr>
            <w:tcW w:w="1432" w:type="dxa"/>
            <w:tcBorders>
              <w:top w:val="double" w:sz="6" w:space="0" w:color="000000"/>
              <w:bottom w:val="double" w:sz="6" w:space="0" w:color="000000"/>
            </w:tcBorders>
          </w:tcPr>
          <w:p>
            <w:pPr>
              <w:pStyle w:val="TableParagraph"/>
              <w:spacing w:line="209" w:lineRule="exact" w:before="40"/>
              <w:ind w:left="273"/>
              <w:rPr>
                <w:sz w:val="20"/>
              </w:rPr>
            </w:pPr>
            <w:r>
              <w:rPr>
                <w:sz w:val="20"/>
              </w:rPr>
              <w:t>Std.</w:t>
            </w:r>
            <w:r>
              <w:rPr>
                <w:spacing w:val="-4"/>
                <w:sz w:val="20"/>
              </w:rPr>
              <w:t> </w:t>
            </w:r>
            <w:r>
              <w:rPr>
                <w:spacing w:val="-2"/>
                <w:sz w:val="20"/>
              </w:rPr>
              <w:t>Error</w:t>
            </w:r>
          </w:p>
        </w:tc>
        <w:tc>
          <w:tcPr>
            <w:tcW w:w="904" w:type="dxa"/>
            <w:tcBorders>
              <w:top w:val="double" w:sz="6" w:space="0" w:color="000000"/>
              <w:bottom w:val="double" w:sz="6" w:space="0" w:color="000000"/>
            </w:tcBorders>
          </w:tcPr>
          <w:p>
            <w:pPr>
              <w:pStyle w:val="TableParagraph"/>
              <w:spacing w:line="209" w:lineRule="exact" w:before="40"/>
              <w:ind w:right="22"/>
              <w:jc w:val="center"/>
              <w:rPr>
                <w:sz w:val="20"/>
              </w:rPr>
            </w:pPr>
            <w:r>
              <w:rPr>
                <w:spacing w:val="-4"/>
                <w:sz w:val="20"/>
              </w:rPr>
              <w:t>t-</w:t>
            </w:r>
            <w:r>
              <w:rPr>
                <w:spacing w:val="-2"/>
                <w:sz w:val="20"/>
              </w:rPr>
              <w:t>Statistic</w:t>
            </w:r>
          </w:p>
        </w:tc>
        <w:tc>
          <w:tcPr>
            <w:tcW w:w="929" w:type="dxa"/>
            <w:tcBorders>
              <w:top w:val="double" w:sz="6" w:space="0" w:color="000000"/>
              <w:bottom w:val="double" w:sz="6" w:space="0" w:color="000000"/>
            </w:tcBorders>
          </w:tcPr>
          <w:p>
            <w:pPr>
              <w:pStyle w:val="TableParagraph"/>
              <w:spacing w:line="209" w:lineRule="exact" w:before="40"/>
              <w:ind w:right="28"/>
              <w:jc w:val="right"/>
              <w:rPr>
                <w:sz w:val="20"/>
              </w:rPr>
            </w:pPr>
            <w:r>
              <w:rPr>
                <w:spacing w:val="-2"/>
                <w:sz w:val="20"/>
              </w:rPr>
              <w:t>Prob.</w:t>
            </w:r>
          </w:p>
        </w:tc>
      </w:tr>
      <w:tr>
        <w:trPr>
          <w:trHeight w:val="276" w:hRule="atLeast"/>
        </w:trPr>
        <w:tc>
          <w:tcPr>
            <w:tcW w:w="1876" w:type="dxa"/>
            <w:tcBorders>
              <w:top w:val="double" w:sz="6" w:space="0" w:color="000000"/>
            </w:tcBorders>
          </w:tcPr>
          <w:p>
            <w:pPr>
              <w:pStyle w:val="TableParagraph"/>
              <w:spacing w:line="214" w:lineRule="exact" w:before="42"/>
              <w:ind w:left="432"/>
              <w:rPr>
                <w:sz w:val="20"/>
              </w:rPr>
            </w:pPr>
            <w:r>
              <w:rPr>
                <w:spacing w:val="-2"/>
                <w:sz w:val="20"/>
              </w:rPr>
              <w:t>D(USIRD(-</w:t>
            </w:r>
            <w:r>
              <w:rPr>
                <w:spacing w:val="-5"/>
                <w:sz w:val="20"/>
              </w:rPr>
              <w:t>1))</w:t>
            </w:r>
          </w:p>
        </w:tc>
        <w:tc>
          <w:tcPr>
            <w:tcW w:w="1346" w:type="dxa"/>
            <w:tcBorders>
              <w:top w:val="double" w:sz="6" w:space="0" w:color="000000"/>
            </w:tcBorders>
          </w:tcPr>
          <w:p>
            <w:pPr>
              <w:pStyle w:val="TableParagraph"/>
              <w:spacing w:line="214" w:lineRule="exact" w:before="42"/>
              <w:ind w:right="128"/>
              <w:jc w:val="right"/>
              <w:rPr>
                <w:sz w:val="20"/>
              </w:rPr>
            </w:pPr>
            <w:r>
              <w:rPr>
                <w:spacing w:val="-4"/>
                <w:sz w:val="20"/>
              </w:rPr>
              <w:t>-</w:t>
            </w:r>
            <w:r>
              <w:rPr>
                <w:spacing w:val="-2"/>
                <w:sz w:val="20"/>
              </w:rPr>
              <w:t>1.451133</w:t>
            </w:r>
          </w:p>
        </w:tc>
        <w:tc>
          <w:tcPr>
            <w:tcW w:w="1432" w:type="dxa"/>
            <w:tcBorders>
              <w:top w:val="double" w:sz="6" w:space="0" w:color="000000"/>
            </w:tcBorders>
          </w:tcPr>
          <w:p>
            <w:pPr>
              <w:pStyle w:val="TableParagraph"/>
              <w:spacing w:line="214" w:lineRule="exact" w:before="42"/>
              <w:ind w:left="311"/>
              <w:rPr>
                <w:sz w:val="20"/>
              </w:rPr>
            </w:pPr>
            <w:r>
              <w:rPr>
                <w:spacing w:val="-2"/>
                <w:sz w:val="20"/>
              </w:rPr>
              <w:t>0.219255</w:t>
            </w:r>
          </w:p>
        </w:tc>
        <w:tc>
          <w:tcPr>
            <w:tcW w:w="904" w:type="dxa"/>
            <w:tcBorders>
              <w:top w:val="double" w:sz="6" w:space="0" w:color="000000"/>
            </w:tcBorders>
          </w:tcPr>
          <w:p>
            <w:pPr>
              <w:pStyle w:val="TableParagraph"/>
              <w:spacing w:line="214" w:lineRule="exact" w:before="42"/>
              <w:ind w:right="70"/>
              <w:jc w:val="center"/>
              <w:rPr>
                <w:sz w:val="20"/>
              </w:rPr>
            </w:pPr>
            <w:r>
              <w:rPr>
                <w:spacing w:val="-4"/>
                <w:sz w:val="20"/>
              </w:rPr>
              <w:t>-</w:t>
            </w:r>
            <w:r>
              <w:rPr>
                <w:spacing w:val="-2"/>
                <w:sz w:val="20"/>
              </w:rPr>
              <w:t>6.618476</w:t>
            </w:r>
          </w:p>
        </w:tc>
        <w:tc>
          <w:tcPr>
            <w:tcW w:w="929" w:type="dxa"/>
            <w:tcBorders>
              <w:top w:val="double" w:sz="6" w:space="0" w:color="000000"/>
            </w:tcBorders>
          </w:tcPr>
          <w:p>
            <w:pPr>
              <w:pStyle w:val="TableParagraph"/>
              <w:spacing w:line="214" w:lineRule="exact" w:before="42"/>
              <w:ind w:right="27"/>
              <w:jc w:val="right"/>
              <w:rPr>
                <w:sz w:val="20"/>
              </w:rPr>
            </w:pPr>
            <w:r>
              <w:rPr>
                <w:spacing w:val="-2"/>
                <w:sz w:val="20"/>
              </w:rPr>
              <w:t>0.0000</w:t>
            </w:r>
          </w:p>
        </w:tc>
      </w:tr>
      <w:tr>
        <w:trPr>
          <w:trHeight w:val="229" w:hRule="atLeast"/>
        </w:trPr>
        <w:tc>
          <w:tcPr>
            <w:tcW w:w="1876" w:type="dxa"/>
          </w:tcPr>
          <w:p>
            <w:pPr>
              <w:pStyle w:val="TableParagraph"/>
              <w:spacing w:line="209" w:lineRule="exact"/>
              <w:ind w:left="358"/>
              <w:rPr>
                <w:sz w:val="20"/>
              </w:rPr>
            </w:pPr>
            <w:r>
              <w:rPr>
                <w:spacing w:val="-2"/>
                <w:sz w:val="20"/>
              </w:rPr>
              <w:t>D(USIRD(-1),2)</w:t>
            </w:r>
          </w:p>
        </w:tc>
        <w:tc>
          <w:tcPr>
            <w:tcW w:w="1346" w:type="dxa"/>
          </w:tcPr>
          <w:p>
            <w:pPr>
              <w:pStyle w:val="TableParagraph"/>
              <w:spacing w:line="209" w:lineRule="exact"/>
              <w:ind w:right="128"/>
              <w:jc w:val="right"/>
              <w:rPr>
                <w:sz w:val="20"/>
              </w:rPr>
            </w:pPr>
            <w:r>
              <w:rPr>
                <w:spacing w:val="-2"/>
                <w:sz w:val="20"/>
              </w:rPr>
              <w:t>0.345164</w:t>
            </w:r>
          </w:p>
        </w:tc>
        <w:tc>
          <w:tcPr>
            <w:tcW w:w="1432" w:type="dxa"/>
          </w:tcPr>
          <w:p>
            <w:pPr>
              <w:pStyle w:val="TableParagraph"/>
              <w:spacing w:line="209" w:lineRule="exact"/>
              <w:ind w:left="311"/>
              <w:rPr>
                <w:sz w:val="20"/>
              </w:rPr>
            </w:pPr>
            <w:r>
              <w:rPr>
                <w:spacing w:val="-2"/>
                <w:sz w:val="20"/>
              </w:rPr>
              <w:t>0.145286</w:t>
            </w:r>
          </w:p>
        </w:tc>
        <w:tc>
          <w:tcPr>
            <w:tcW w:w="904" w:type="dxa"/>
          </w:tcPr>
          <w:p>
            <w:pPr>
              <w:pStyle w:val="TableParagraph"/>
              <w:spacing w:line="209" w:lineRule="exact"/>
              <w:ind w:right="5"/>
              <w:jc w:val="center"/>
              <w:rPr>
                <w:sz w:val="20"/>
              </w:rPr>
            </w:pPr>
            <w:r>
              <w:rPr>
                <w:spacing w:val="-2"/>
                <w:sz w:val="20"/>
              </w:rPr>
              <w:t>2.375763</w:t>
            </w:r>
          </w:p>
        </w:tc>
        <w:tc>
          <w:tcPr>
            <w:tcW w:w="929" w:type="dxa"/>
          </w:tcPr>
          <w:p>
            <w:pPr>
              <w:pStyle w:val="TableParagraph"/>
              <w:spacing w:line="209" w:lineRule="exact"/>
              <w:ind w:right="27"/>
              <w:jc w:val="right"/>
              <w:rPr>
                <w:sz w:val="20"/>
              </w:rPr>
            </w:pPr>
            <w:r>
              <w:rPr>
                <w:spacing w:val="-2"/>
                <w:sz w:val="20"/>
              </w:rPr>
              <w:t>0.0230</w:t>
            </w:r>
          </w:p>
        </w:tc>
      </w:tr>
      <w:tr>
        <w:trPr>
          <w:trHeight w:val="224" w:hRule="atLeast"/>
        </w:trPr>
        <w:tc>
          <w:tcPr>
            <w:tcW w:w="1876" w:type="dxa"/>
            <w:tcBorders>
              <w:bottom w:val="double" w:sz="6" w:space="0" w:color="000000"/>
            </w:tcBorders>
          </w:tcPr>
          <w:p>
            <w:pPr>
              <w:pStyle w:val="TableParagraph"/>
              <w:spacing w:line="205" w:lineRule="exact"/>
              <w:ind w:left="168"/>
              <w:jc w:val="center"/>
              <w:rPr>
                <w:sz w:val="20"/>
              </w:rPr>
            </w:pPr>
            <w:r>
              <w:rPr>
                <w:spacing w:val="-10"/>
                <w:sz w:val="20"/>
              </w:rPr>
              <w:t>C</w:t>
            </w:r>
          </w:p>
        </w:tc>
        <w:tc>
          <w:tcPr>
            <w:tcW w:w="1346" w:type="dxa"/>
            <w:tcBorders>
              <w:bottom w:val="double" w:sz="6" w:space="0" w:color="000000"/>
            </w:tcBorders>
          </w:tcPr>
          <w:p>
            <w:pPr>
              <w:pStyle w:val="TableParagraph"/>
              <w:spacing w:line="205" w:lineRule="exact"/>
              <w:ind w:right="128"/>
              <w:jc w:val="right"/>
              <w:rPr>
                <w:sz w:val="20"/>
              </w:rPr>
            </w:pPr>
            <w:r>
              <w:rPr>
                <w:spacing w:val="-2"/>
                <w:sz w:val="20"/>
              </w:rPr>
              <w:t>0.037631</w:t>
            </w:r>
          </w:p>
        </w:tc>
        <w:tc>
          <w:tcPr>
            <w:tcW w:w="1432" w:type="dxa"/>
            <w:tcBorders>
              <w:bottom w:val="double" w:sz="6" w:space="0" w:color="000000"/>
            </w:tcBorders>
          </w:tcPr>
          <w:p>
            <w:pPr>
              <w:pStyle w:val="TableParagraph"/>
              <w:spacing w:line="205" w:lineRule="exact"/>
              <w:ind w:left="311"/>
              <w:rPr>
                <w:sz w:val="20"/>
              </w:rPr>
            </w:pPr>
            <w:r>
              <w:rPr>
                <w:spacing w:val="-2"/>
                <w:sz w:val="20"/>
              </w:rPr>
              <w:t>0.111333</w:t>
            </w:r>
          </w:p>
        </w:tc>
        <w:tc>
          <w:tcPr>
            <w:tcW w:w="904" w:type="dxa"/>
            <w:tcBorders>
              <w:bottom w:val="double" w:sz="6" w:space="0" w:color="000000"/>
            </w:tcBorders>
          </w:tcPr>
          <w:p>
            <w:pPr>
              <w:pStyle w:val="TableParagraph"/>
              <w:spacing w:line="205" w:lineRule="exact"/>
              <w:ind w:right="5"/>
              <w:jc w:val="center"/>
              <w:rPr>
                <w:sz w:val="20"/>
              </w:rPr>
            </w:pPr>
            <w:r>
              <w:rPr>
                <w:spacing w:val="-2"/>
                <w:sz w:val="20"/>
              </w:rPr>
              <w:t>0.338003</w:t>
            </w:r>
          </w:p>
        </w:tc>
        <w:tc>
          <w:tcPr>
            <w:tcW w:w="929" w:type="dxa"/>
            <w:tcBorders>
              <w:bottom w:val="double" w:sz="6" w:space="0" w:color="000000"/>
            </w:tcBorders>
          </w:tcPr>
          <w:p>
            <w:pPr>
              <w:pStyle w:val="TableParagraph"/>
              <w:spacing w:line="205" w:lineRule="exact"/>
              <w:ind w:right="27"/>
              <w:jc w:val="right"/>
              <w:rPr>
                <w:sz w:val="20"/>
              </w:rPr>
            </w:pPr>
            <w:r>
              <w:rPr>
                <w:spacing w:val="-2"/>
                <w:sz w:val="20"/>
              </w:rPr>
              <w:t>0.7373</w:t>
            </w:r>
          </w:p>
        </w:tc>
      </w:tr>
      <w:tr>
        <w:trPr>
          <w:trHeight w:val="276" w:hRule="atLeast"/>
        </w:trPr>
        <w:tc>
          <w:tcPr>
            <w:tcW w:w="1876" w:type="dxa"/>
            <w:tcBorders>
              <w:top w:val="double" w:sz="6" w:space="0" w:color="000000"/>
            </w:tcBorders>
          </w:tcPr>
          <w:p>
            <w:pPr>
              <w:pStyle w:val="TableParagraph"/>
              <w:spacing w:line="214" w:lineRule="exact" w:before="42"/>
              <w:ind w:left="36"/>
              <w:rPr>
                <w:sz w:val="20"/>
              </w:rPr>
            </w:pPr>
            <w:r>
              <w:rPr>
                <w:spacing w:val="-2"/>
                <w:sz w:val="20"/>
              </w:rPr>
              <w:t>R-squared</w:t>
            </w:r>
          </w:p>
        </w:tc>
        <w:tc>
          <w:tcPr>
            <w:tcW w:w="1346" w:type="dxa"/>
            <w:tcBorders>
              <w:top w:val="double" w:sz="6" w:space="0" w:color="000000"/>
            </w:tcBorders>
          </w:tcPr>
          <w:p>
            <w:pPr>
              <w:pStyle w:val="TableParagraph"/>
              <w:spacing w:line="214" w:lineRule="exact" w:before="42"/>
              <w:ind w:right="128"/>
              <w:jc w:val="right"/>
              <w:rPr>
                <w:sz w:val="20"/>
              </w:rPr>
            </w:pPr>
            <w:r>
              <w:rPr>
                <w:spacing w:val="-2"/>
                <w:sz w:val="20"/>
              </w:rPr>
              <w:t>0.603046</w:t>
            </w:r>
          </w:p>
        </w:tc>
        <w:tc>
          <w:tcPr>
            <w:tcW w:w="2336" w:type="dxa"/>
            <w:gridSpan w:val="2"/>
            <w:tcBorders>
              <w:top w:val="double" w:sz="6" w:space="0" w:color="000000"/>
            </w:tcBorders>
          </w:tcPr>
          <w:p>
            <w:pPr>
              <w:pStyle w:val="TableParagraph"/>
              <w:spacing w:line="214" w:lineRule="exact" w:before="42"/>
              <w:ind w:left="131"/>
              <w:rPr>
                <w:sz w:val="20"/>
              </w:rPr>
            </w:pPr>
            <w:r>
              <w:rPr>
                <w:sz w:val="20"/>
              </w:rPr>
              <w:t>Mean</w:t>
            </w:r>
            <w:r>
              <w:rPr>
                <w:spacing w:val="-7"/>
                <w:sz w:val="20"/>
              </w:rPr>
              <w:t> </w:t>
            </w:r>
            <w:r>
              <w:rPr>
                <w:sz w:val="20"/>
              </w:rPr>
              <w:t>dependent</w:t>
            </w:r>
            <w:r>
              <w:rPr>
                <w:spacing w:val="-7"/>
                <w:sz w:val="20"/>
              </w:rPr>
              <w:t> </w:t>
            </w:r>
            <w:r>
              <w:rPr>
                <w:spacing w:val="-5"/>
                <w:sz w:val="20"/>
              </w:rPr>
              <w:t>var</w:t>
            </w:r>
          </w:p>
        </w:tc>
        <w:tc>
          <w:tcPr>
            <w:tcW w:w="929" w:type="dxa"/>
            <w:tcBorders>
              <w:top w:val="double" w:sz="6" w:space="0" w:color="000000"/>
            </w:tcBorders>
          </w:tcPr>
          <w:p>
            <w:pPr>
              <w:pStyle w:val="TableParagraph"/>
              <w:spacing w:line="214" w:lineRule="exact" w:before="42"/>
              <w:ind w:right="27"/>
              <w:jc w:val="right"/>
              <w:rPr>
                <w:sz w:val="20"/>
              </w:rPr>
            </w:pPr>
            <w:r>
              <w:rPr>
                <w:spacing w:val="-4"/>
                <w:sz w:val="20"/>
              </w:rPr>
              <w:t>-</w:t>
            </w:r>
            <w:r>
              <w:rPr>
                <w:spacing w:val="-2"/>
                <w:sz w:val="20"/>
              </w:rPr>
              <w:t>0.003280</w:t>
            </w:r>
          </w:p>
        </w:tc>
      </w:tr>
      <w:tr>
        <w:trPr>
          <w:trHeight w:val="229" w:hRule="atLeast"/>
        </w:trPr>
        <w:tc>
          <w:tcPr>
            <w:tcW w:w="1876" w:type="dxa"/>
          </w:tcPr>
          <w:p>
            <w:pPr>
              <w:pStyle w:val="TableParagraph"/>
              <w:spacing w:line="209" w:lineRule="exact"/>
              <w:ind w:left="36"/>
              <w:rPr>
                <w:sz w:val="20"/>
              </w:rPr>
            </w:pPr>
            <w:r>
              <w:rPr>
                <w:sz w:val="20"/>
              </w:rPr>
              <w:t>Adjusted</w:t>
            </w:r>
            <w:r>
              <w:rPr>
                <w:spacing w:val="-10"/>
                <w:sz w:val="20"/>
              </w:rPr>
              <w:t> </w:t>
            </w:r>
            <w:r>
              <w:rPr>
                <w:sz w:val="20"/>
              </w:rPr>
              <w:t>R-</w:t>
            </w:r>
            <w:r>
              <w:rPr>
                <w:spacing w:val="-2"/>
                <w:sz w:val="20"/>
              </w:rPr>
              <w:t>squared</w:t>
            </w:r>
          </w:p>
        </w:tc>
        <w:tc>
          <w:tcPr>
            <w:tcW w:w="1346" w:type="dxa"/>
          </w:tcPr>
          <w:p>
            <w:pPr>
              <w:pStyle w:val="TableParagraph"/>
              <w:spacing w:line="209" w:lineRule="exact"/>
              <w:ind w:right="128"/>
              <w:jc w:val="right"/>
              <w:rPr>
                <w:sz w:val="20"/>
              </w:rPr>
            </w:pPr>
            <w:r>
              <w:rPr>
                <w:spacing w:val="-2"/>
                <w:sz w:val="20"/>
              </w:rPr>
              <w:t>0.580993</w:t>
            </w:r>
          </w:p>
        </w:tc>
        <w:tc>
          <w:tcPr>
            <w:tcW w:w="2336" w:type="dxa"/>
            <w:gridSpan w:val="2"/>
          </w:tcPr>
          <w:p>
            <w:pPr>
              <w:pStyle w:val="TableParagraph"/>
              <w:spacing w:line="209" w:lineRule="exact"/>
              <w:ind w:left="131"/>
              <w:rPr>
                <w:sz w:val="20"/>
              </w:rPr>
            </w:pPr>
            <w:r>
              <w:rPr>
                <w:sz w:val="20"/>
              </w:rPr>
              <w:t>S.D.</w:t>
            </w:r>
            <w:r>
              <w:rPr>
                <w:spacing w:val="-5"/>
                <w:sz w:val="20"/>
              </w:rPr>
              <w:t> </w:t>
            </w:r>
            <w:r>
              <w:rPr>
                <w:sz w:val="20"/>
              </w:rPr>
              <w:t>dependent</w:t>
            </w:r>
            <w:r>
              <w:rPr>
                <w:spacing w:val="-6"/>
                <w:sz w:val="20"/>
              </w:rPr>
              <w:t> </w:t>
            </w:r>
            <w:r>
              <w:rPr>
                <w:spacing w:val="-5"/>
                <w:sz w:val="20"/>
              </w:rPr>
              <w:t>var</w:t>
            </w:r>
          </w:p>
        </w:tc>
        <w:tc>
          <w:tcPr>
            <w:tcW w:w="929" w:type="dxa"/>
          </w:tcPr>
          <w:p>
            <w:pPr>
              <w:pStyle w:val="TableParagraph"/>
              <w:spacing w:line="209" w:lineRule="exact"/>
              <w:ind w:right="27"/>
              <w:jc w:val="right"/>
              <w:rPr>
                <w:sz w:val="20"/>
              </w:rPr>
            </w:pPr>
            <w:r>
              <w:rPr>
                <w:spacing w:val="-2"/>
                <w:sz w:val="20"/>
              </w:rPr>
              <w:t>1.068634</w:t>
            </w:r>
          </w:p>
        </w:tc>
      </w:tr>
      <w:tr>
        <w:trPr>
          <w:trHeight w:val="230" w:hRule="atLeast"/>
        </w:trPr>
        <w:tc>
          <w:tcPr>
            <w:tcW w:w="1876" w:type="dxa"/>
          </w:tcPr>
          <w:p>
            <w:pPr>
              <w:pStyle w:val="TableParagraph"/>
              <w:spacing w:line="210" w:lineRule="exact"/>
              <w:ind w:left="36"/>
              <w:rPr>
                <w:sz w:val="20"/>
              </w:rPr>
            </w:pPr>
            <w:r>
              <w:rPr>
                <w:sz w:val="20"/>
              </w:rPr>
              <w:t>S.E.</w:t>
            </w:r>
            <w:r>
              <w:rPr>
                <w:spacing w:val="-3"/>
                <w:sz w:val="20"/>
              </w:rPr>
              <w:t> </w:t>
            </w:r>
            <w:r>
              <w:rPr>
                <w:sz w:val="20"/>
              </w:rPr>
              <w:t>of</w:t>
            </w:r>
            <w:r>
              <w:rPr>
                <w:spacing w:val="-3"/>
                <w:sz w:val="20"/>
              </w:rPr>
              <w:t> </w:t>
            </w:r>
            <w:r>
              <w:rPr>
                <w:spacing w:val="-2"/>
                <w:sz w:val="20"/>
              </w:rPr>
              <w:t>regression</w:t>
            </w:r>
          </w:p>
        </w:tc>
        <w:tc>
          <w:tcPr>
            <w:tcW w:w="1346" w:type="dxa"/>
          </w:tcPr>
          <w:p>
            <w:pPr>
              <w:pStyle w:val="TableParagraph"/>
              <w:spacing w:line="210" w:lineRule="exact"/>
              <w:ind w:right="128"/>
              <w:jc w:val="right"/>
              <w:rPr>
                <w:sz w:val="20"/>
              </w:rPr>
            </w:pPr>
            <w:r>
              <w:rPr>
                <w:spacing w:val="-2"/>
                <w:sz w:val="20"/>
              </w:rPr>
              <w:t>0.691735</w:t>
            </w:r>
          </w:p>
        </w:tc>
        <w:tc>
          <w:tcPr>
            <w:tcW w:w="2336" w:type="dxa"/>
            <w:gridSpan w:val="2"/>
          </w:tcPr>
          <w:p>
            <w:pPr>
              <w:pStyle w:val="TableParagraph"/>
              <w:spacing w:line="210" w:lineRule="exact"/>
              <w:ind w:left="131"/>
              <w:rPr>
                <w:sz w:val="20"/>
              </w:rPr>
            </w:pPr>
            <w:r>
              <w:rPr>
                <w:sz w:val="20"/>
              </w:rPr>
              <w:t>Akaike</w:t>
            </w:r>
            <w:r>
              <w:rPr>
                <w:spacing w:val="-8"/>
                <w:sz w:val="20"/>
              </w:rPr>
              <w:t> </w:t>
            </w:r>
            <w:r>
              <w:rPr>
                <w:sz w:val="20"/>
              </w:rPr>
              <w:t>info</w:t>
            </w:r>
            <w:r>
              <w:rPr>
                <w:spacing w:val="-7"/>
                <w:sz w:val="20"/>
              </w:rPr>
              <w:t> </w:t>
            </w:r>
            <w:r>
              <w:rPr>
                <w:spacing w:val="-2"/>
                <w:sz w:val="20"/>
              </w:rPr>
              <w:t>criterion</w:t>
            </w:r>
          </w:p>
        </w:tc>
        <w:tc>
          <w:tcPr>
            <w:tcW w:w="929" w:type="dxa"/>
          </w:tcPr>
          <w:p>
            <w:pPr>
              <w:pStyle w:val="TableParagraph"/>
              <w:spacing w:line="210" w:lineRule="exact"/>
              <w:ind w:right="27"/>
              <w:jc w:val="right"/>
              <w:rPr>
                <w:sz w:val="20"/>
              </w:rPr>
            </w:pPr>
            <w:r>
              <w:rPr>
                <w:spacing w:val="-2"/>
                <w:sz w:val="20"/>
              </w:rPr>
              <w:t>2.174575</w:t>
            </w:r>
          </w:p>
        </w:tc>
      </w:tr>
      <w:tr>
        <w:trPr>
          <w:trHeight w:val="230" w:hRule="atLeast"/>
        </w:trPr>
        <w:tc>
          <w:tcPr>
            <w:tcW w:w="1876" w:type="dxa"/>
          </w:tcPr>
          <w:p>
            <w:pPr>
              <w:pStyle w:val="TableParagraph"/>
              <w:spacing w:line="210" w:lineRule="exact"/>
              <w:ind w:left="36"/>
              <w:rPr>
                <w:sz w:val="20"/>
              </w:rPr>
            </w:pPr>
            <w:r>
              <w:rPr>
                <w:sz w:val="20"/>
              </w:rPr>
              <w:t>Sum</w:t>
            </w:r>
            <w:r>
              <w:rPr>
                <w:spacing w:val="-8"/>
                <w:sz w:val="20"/>
              </w:rPr>
              <w:t> </w:t>
            </w:r>
            <w:r>
              <w:rPr>
                <w:sz w:val="20"/>
              </w:rPr>
              <w:t>squared</w:t>
            </w:r>
            <w:r>
              <w:rPr>
                <w:spacing w:val="-4"/>
                <w:sz w:val="20"/>
              </w:rPr>
              <w:t> </w:t>
            </w:r>
            <w:r>
              <w:rPr>
                <w:spacing w:val="-2"/>
                <w:sz w:val="20"/>
              </w:rPr>
              <w:t>resid</w:t>
            </w:r>
          </w:p>
        </w:tc>
        <w:tc>
          <w:tcPr>
            <w:tcW w:w="1346" w:type="dxa"/>
          </w:tcPr>
          <w:p>
            <w:pPr>
              <w:pStyle w:val="TableParagraph"/>
              <w:spacing w:line="210" w:lineRule="exact"/>
              <w:ind w:right="128"/>
              <w:jc w:val="right"/>
              <w:rPr>
                <w:sz w:val="20"/>
              </w:rPr>
            </w:pPr>
            <w:r>
              <w:rPr>
                <w:spacing w:val="-2"/>
                <w:sz w:val="20"/>
              </w:rPr>
              <w:t>17.22589</w:t>
            </w:r>
          </w:p>
        </w:tc>
        <w:tc>
          <w:tcPr>
            <w:tcW w:w="2336" w:type="dxa"/>
            <w:gridSpan w:val="2"/>
          </w:tcPr>
          <w:p>
            <w:pPr>
              <w:pStyle w:val="TableParagraph"/>
              <w:spacing w:line="210" w:lineRule="exact"/>
              <w:ind w:left="131"/>
              <w:rPr>
                <w:sz w:val="20"/>
              </w:rPr>
            </w:pPr>
            <w:r>
              <w:rPr>
                <w:sz w:val="20"/>
              </w:rPr>
              <w:t>Schwarz</w:t>
            </w:r>
            <w:r>
              <w:rPr>
                <w:spacing w:val="-8"/>
                <w:sz w:val="20"/>
              </w:rPr>
              <w:t> </w:t>
            </w:r>
            <w:r>
              <w:rPr>
                <w:spacing w:val="-2"/>
                <w:sz w:val="20"/>
              </w:rPr>
              <w:t>criterion</w:t>
            </w:r>
          </w:p>
        </w:tc>
        <w:tc>
          <w:tcPr>
            <w:tcW w:w="929" w:type="dxa"/>
          </w:tcPr>
          <w:p>
            <w:pPr>
              <w:pStyle w:val="TableParagraph"/>
              <w:spacing w:line="210" w:lineRule="exact"/>
              <w:ind w:right="27"/>
              <w:jc w:val="right"/>
              <w:rPr>
                <w:sz w:val="20"/>
              </w:rPr>
            </w:pPr>
            <w:r>
              <w:rPr>
                <w:spacing w:val="-2"/>
                <w:sz w:val="20"/>
              </w:rPr>
              <w:t>2.302541</w:t>
            </w:r>
          </w:p>
        </w:tc>
      </w:tr>
      <w:tr>
        <w:trPr>
          <w:trHeight w:val="230" w:hRule="atLeast"/>
        </w:trPr>
        <w:tc>
          <w:tcPr>
            <w:tcW w:w="1876" w:type="dxa"/>
          </w:tcPr>
          <w:p>
            <w:pPr>
              <w:pStyle w:val="TableParagraph"/>
              <w:spacing w:line="210" w:lineRule="exact"/>
              <w:ind w:left="36"/>
              <w:rPr>
                <w:sz w:val="20"/>
              </w:rPr>
            </w:pPr>
            <w:r>
              <w:rPr>
                <w:sz w:val="20"/>
              </w:rPr>
              <w:t>Log</w:t>
            </w:r>
            <w:r>
              <w:rPr>
                <w:spacing w:val="-6"/>
                <w:sz w:val="20"/>
              </w:rPr>
              <w:t> </w:t>
            </w:r>
            <w:r>
              <w:rPr>
                <w:spacing w:val="-2"/>
                <w:sz w:val="20"/>
              </w:rPr>
              <w:t>likelihood</w:t>
            </w:r>
          </w:p>
        </w:tc>
        <w:tc>
          <w:tcPr>
            <w:tcW w:w="1346" w:type="dxa"/>
          </w:tcPr>
          <w:p>
            <w:pPr>
              <w:pStyle w:val="TableParagraph"/>
              <w:spacing w:line="210" w:lineRule="exact"/>
              <w:ind w:right="128"/>
              <w:jc w:val="right"/>
              <w:rPr>
                <w:sz w:val="20"/>
              </w:rPr>
            </w:pPr>
            <w:r>
              <w:rPr>
                <w:spacing w:val="-4"/>
                <w:sz w:val="20"/>
              </w:rPr>
              <w:t>-</w:t>
            </w:r>
            <w:r>
              <w:rPr>
                <w:spacing w:val="-2"/>
                <w:sz w:val="20"/>
              </w:rPr>
              <w:t>39.40422</w:t>
            </w:r>
          </w:p>
        </w:tc>
        <w:tc>
          <w:tcPr>
            <w:tcW w:w="1432" w:type="dxa"/>
          </w:tcPr>
          <w:p>
            <w:pPr>
              <w:pStyle w:val="TableParagraph"/>
              <w:spacing w:line="210" w:lineRule="exact"/>
              <w:ind w:left="131"/>
              <w:rPr>
                <w:sz w:val="20"/>
              </w:rPr>
            </w:pPr>
            <w:r>
              <w:rPr>
                <w:spacing w:val="-4"/>
                <w:sz w:val="20"/>
              </w:rPr>
              <w:t>F-</w:t>
            </w:r>
            <w:r>
              <w:rPr>
                <w:spacing w:val="-2"/>
                <w:sz w:val="20"/>
              </w:rPr>
              <w:t>statistic</w:t>
            </w:r>
          </w:p>
        </w:tc>
        <w:tc>
          <w:tcPr>
            <w:tcW w:w="904" w:type="dxa"/>
          </w:tcPr>
          <w:p>
            <w:pPr>
              <w:pStyle w:val="TableParagraph"/>
              <w:rPr>
                <w:sz w:val="16"/>
              </w:rPr>
            </w:pPr>
          </w:p>
        </w:tc>
        <w:tc>
          <w:tcPr>
            <w:tcW w:w="929" w:type="dxa"/>
          </w:tcPr>
          <w:p>
            <w:pPr>
              <w:pStyle w:val="TableParagraph"/>
              <w:spacing w:line="210" w:lineRule="exact"/>
              <w:ind w:right="27"/>
              <w:jc w:val="right"/>
              <w:rPr>
                <w:sz w:val="20"/>
              </w:rPr>
            </w:pPr>
            <w:r>
              <w:rPr>
                <w:spacing w:val="-2"/>
                <w:sz w:val="20"/>
              </w:rPr>
              <w:t>27.34533</w:t>
            </w:r>
          </w:p>
        </w:tc>
      </w:tr>
      <w:tr>
        <w:trPr>
          <w:trHeight w:val="265" w:hRule="atLeast"/>
        </w:trPr>
        <w:tc>
          <w:tcPr>
            <w:tcW w:w="1876" w:type="dxa"/>
            <w:tcBorders>
              <w:bottom w:val="double" w:sz="6" w:space="0" w:color="000000"/>
            </w:tcBorders>
          </w:tcPr>
          <w:p>
            <w:pPr>
              <w:pStyle w:val="TableParagraph"/>
              <w:spacing w:line="226" w:lineRule="exact"/>
              <w:ind w:left="36"/>
              <w:rPr>
                <w:sz w:val="20"/>
              </w:rPr>
            </w:pPr>
            <w:r>
              <w:rPr>
                <w:sz w:val="20"/>
              </w:rPr>
              <w:t>Durbin-Watson</w:t>
            </w:r>
            <w:r>
              <w:rPr>
                <w:spacing w:val="-12"/>
                <w:sz w:val="20"/>
              </w:rPr>
              <w:t> </w:t>
            </w:r>
            <w:r>
              <w:rPr>
                <w:spacing w:val="-4"/>
                <w:sz w:val="20"/>
              </w:rPr>
              <w:t>stat</w:t>
            </w:r>
          </w:p>
        </w:tc>
        <w:tc>
          <w:tcPr>
            <w:tcW w:w="1346" w:type="dxa"/>
          </w:tcPr>
          <w:p>
            <w:pPr>
              <w:pStyle w:val="TableParagraph"/>
              <w:spacing w:line="226" w:lineRule="exact"/>
              <w:ind w:right="128"/>
              <w:jc w:val="right"/>
              <w:rPr>
                <w:sz w:val="20"/>
              </w:rPr>
            </w:pPr>
            <w:r>
              <w:rPr>
                <w:spacing w:val="-2"/>
                <w:sz w:val="20"/>
              </w:rPr>
              <w:t>2.179585</w:t>
            </w:r>
          </w:p>
        </w:tc>
        <w:tc>
          <w:tcPr>
            <w:tcW w:w="1432" w:type="dxa"/>
            <w:tcBorders>
              <w:bottom w:val="double" w:sz="6" w:space="0" w:color="000000"/>
            </w:tcBorders>
          </w:tcPr>
          <w:p>
            <w:pPr>
              <w:pStyle w:val="TableParagraph"/>
              <w:spacing w:line="226" w:lineRule="exact"/>
              <w:ind w:left="131"/>
              <w:rPr>
                <w:sz w:val="20"/>
              </w:rPr>
            </w:pPr>
            <w:r>
              <w:rPr>
                <w:spacing w:val="-2"/>
                <w:sz w:val="20"/>
              </w:rPr>
              <w:t>Prob(F-statistic)</w:t>
            </w:r>
          </w:p>
        </w:tc>
        <w:tc>
          <w:tcPr>
            <w:tcW w:w="904" w:type="dxa"/>
            <w:tcBorders>
              <w:bottom w:val="double" w:sz="6" w:space="0" w:color="000000"/>
            </w:tcBorders>
          </w:tcPr>
          <w:p>
            <w:pPr>
              <w:pStyle w:val="TableParagraph"/>
              <w:rPr>
                <w:sz w:val="18"/>
              </w:rPr>
            </w:pPr>
          </w:p>
        </w:tc>
        <w:tc>
          <w:tcPr>
            <w:tcW w:w="929" w:type="dxa"/>
            <w:tcBorders>
              <w:bottom w:val="double" w:sz="6" w:space="0" w:color="000000"/>
            </w:tcBorders>
          </w:tcPr>
          <w:p>
            <w:pPr>
              <w:pStyle w:val="TableParagraph"/>
              <w:spacing w:line="226" w:lineRule="exact"/>
              <w:ind w:right="27"/>
              <w:jc w:val="right"/>
              <w:rPr>
                <w:sz w:val="20"/>
              </w:rPr>
            </w:pPr>
            <w:r>
              <w:rPr>
                <w:spacing w:val="-2"/>
                <w:sz w:val="20"/>
              </w:rPr>
              <w:t>0.000000</w:t>
            </w:r>
          </w:p>
        </w:tc>
      </w:tr>
    </w:tbl>
    <w:p>
      <w:pPr>
        <w:pStyle w:val="BodyText"/>
        <w:rPr>
          <w:sz w:val="20"/>
        </w:rPr>
      </w:pPr>
    </w:p>
    <w:p>
      <w:pPr>
        <w:pStyle w:val="BodyText"/>
        <w:spacing w:before="16"/>
        <w:rPr>
          <w:sz w:val="20"/>
        </w:rPr>
      </w:pPr>
    </w:p>
    <w:p>
      <w:pPr>
        <w:spacing w:before="0"/>
        <w:ind w:left="711" w:right="0" w:firstLine="0"/>
        <w:jc w:val="left"/>
        <w:rPr>
          <w:sz w:val="20"/>
        </w:rPr>
      </w:pPr>
      <w:r>
        <w:rPr>
          <w:sz w:val="20"/>
        </w:rPr>
        <w:t>GOCE</w:t>
      </w:r>
      <w:r>
        <w:rPr>
          <w:spacing w:val="-4"/>
          <w:sz w:val="20"/>
        </w:rPr>
        <w:t> </w:t>
      </w:r>
      <w:r>
        <w:rPr>
          <w:sz w:val="20"/>
        </w:rPr>
        <w:t>@</w:t>
      </w:r>
      <w:r>
        <w:rPr>
          <w:spacing w:val="-3"/>
          <w:sz w:val="20"/>
        </w:rPr>
        <w:t> </w:t>
      </w:r>
      <w:r>
        <w:rPr>
          <w:spacing w:val="-4"/>
          <w:sz w:val="20"/>
        </w:rPr>
        <w:t>LEVEL</w:t>
      </w:r>
    </w:p>
    <w:tbl>
      <w:tblPr>
        <w:tblW w:w="0" w:type="auto"/>
        <w:jc w:val="left"/>
        <w:tblInd w:w="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47"/>
        <w:gridCol w:w="1375"/>
        <w:gridCol w:w="1432"/>
        <w:gridCol w:w="936"/>
        <w:gridCol w:w="896"/>
      </w:tblGrid>
      <w:tr>
        <w:trPr>
          <w:trHeight w:val="225" w:hRule="atLeast"/>
        </w:trPr>
        <w:tc>
          <w:tcPr>
            <w:tcW w:w="1847" w:type="dxa"/>
          </w:tcPr>
          <w:p>
            <w:pPr>
              <w:pStyle w:val="TableParagraph"/>
              <w:spacing w:line="205" w:lineRule="exact"/>
              <w:ind w:left="36"/>
              <w:rPr>
                <w:sz w:val="20"/>
              </w:rPr>
            </w:pPr>
            <w:r>
              <w:rPr>
                <w:sz w:val="20"/>
              </w:rPr>
              <w:t>ADF</w:t>
            </w:r>
            <w:r>
              <w:rPr>
                <w:spacing w:val="-4"/>
                <w:sz w:val="20"/>
              </w:rPr>
              <w:t> </w:t>
            </w:r>
            <w:r>
              <w:rPr>
                <w:sz w:val="20"/>
              </w:rPr>
              <w:t>Test</w:t>
            </w:r>
            <w:r>
              <w:rPr>
                <w:spacing w:val="-4"/>
                <w:sz w:val="20"/>
              </w:rPr>
              <w:t> </w:t>
            </w:r>
            <w:r>
              <w:rPr>
                <w:spacing w:val="-2"/>
                <w:sz w:val="20"/>
              </w:rPr>
              <w:t>Statistic</w:t>
            </w:r>
          </w:p>
        </w:tc>
        <w:tc>
          <w:tcPr>
            <w:tcW w:w="1375" w:type="dxa"/>
          </w:tcPr>
          <w:p>
            <w:pPr>
              <w:pStyle w:val="TableParagraph"/>
              <w:spacing w:line="205" w:lineRule="exact"/>
              <w:ind w:left="219"/>
              <w:rPr>
                <w:sz w:val="20"/>
              </w:rPr>
            </w:pPr>
            <w:r>
              <w:rPr>
                <w:spacing w:val="-4"/>
                <w:sz w:val="20"/>
              </w:rPr>
              <w:t>-</w:t>
            </w:r>
            <w:r>
              <w:rPr>
                <w:spacing w:val="-2"/>
                <w:sz w:val="20"/>
              </w:rPr>
              <w:t>0.132702</w:t>
            </w:r>
          </w:p>
        </w:tc>
        <w:tc>
          <w:tcPr>
            <w:tcW w:w="2368" w:type="dxa"/>
            <w:gridSpan w:val="2"/>
          </w:tcPr>
          <w:p>
            <w:pPr>
              <w:pStyle w:val="TableParagraph"/>
              <w:spacing w:line="205" w:lineRule="exact"/>
              <w:ind w:left="131"/>
              <w:rPr>
                <w:sz w:val="20"/>
              </w:rPr>
            </w:pPr>
            <w:r>
              <w:rPr>
                <w:sz w:val="20"/>
              </w:rPr>
              <w:t>1%</w:t>
            </w:r>
            <w:r>
              <w:rPr>
                <w:spacing w:val="68"/>
                <w:w w:val="150"/>
                <w:sz w:val="20"/>
              </w:rPr>
              <w:t> </w:t>
            </w:r>
            <w:r>
              <w:rPr>
                <w:sz w:val="20"/>
              </w:rPr>
              <w:t>Critical</w:t>
            </w:r>
            <w:r>
              <w:rPr>
                <w:spacing w:val="-2"/>
                <w:sz w:val="20"/>
              </w:rPr>
              <w:t> Value*</w:t>
            </w:r>
          </w:p>
        </w:tc>
        <w:tc>
          <w:tcPr>
            <w:tcW w:w="896" w:type="dxa"/>
          </w:tcPr>
          <w:p>
            <w:pPr>
              <w:pStyle w:val="TableParagraph"/>
              <w:spacing w:line="205" w:lineRule="exact"/>
              <w:ind w:right="26"/>
              <w:jc w:val="right"/>
              <w:rPr>
                <w:sz w:val="20"/>
              </w:rPr>
            </w:pPr>
            <w:r>
              <w:rPr>
                <w:spacing w:val="-4"/>
                <w:sz w:val="20"/>
              </w:rPr>
              <w:t>-</w:t>
            </w:r>
            <w:r>
              <w:rPr>
                <w:spacing w:val="-2"/>
                <w:sz w:val="20"/>
              </w:rPr>
              <w:t>3.6019</w:t>
            </w:r>
          </w:p>
        </w:tc>
      </w:tr>
      <w:tr>
        <w:trPr>
          <w:trHeight w:val="230" w:hRule="atLeast"/>
        </w:trPr>
        <w:tc>
          <w:tcPr>
            <w:tcW w:w="1847" w:type="dxa"/>
          </w:tcPr>
          <w:p>
            <w:pPr>
              <w:pStyle w:val="TableParagraph"/>
              <w:rPr>
                <w:sz w:val="16"/>
              </w:rPr>
            </w:pPr>
          </w:p>
        </w:tc>
        <w:tc>
          <w:tcPr>
            <w:tcW w:w="1375" w:type="dxa"/>
          </w:tcPr>
          <w:p>
            <w:pPr>
              <w:pStyle w:val="TableParagraph"/>
              <w:rPr>
                <w:sz w:val="16"/>
              </w:rPr>
            </w:pPr>
          </w:p>
        </w:tc>
        <w:tc>
          <w:tcPr>
            <w:tcW w:w="2368" w:type="dxa"/>
            <w:gridSpan w:val="2"/>
          </w:tcPr>
          <w:p>
            <w:pPr>
              <w:pStyle w:val="TableParagraph"/>
              <w:spacing w:line="210" w:lineRule="exact"/>
              <w:ind w:left="131"/>
              <w:rPr>
                <w:sz w:val="20"/>
              </w:rPr>
            </w:pPr>
            <w:r>
              <w:rPr>
                <w:sz w:val="20"/>
              </w:rPr>
              <w:t>5%</w:t>
            </w:r>
            <w:r>
              <w:rPr>
                <w:spacing w:val="68"/>
                <w:w w:val="150"/>
                <w:sz w:val="20"/>
              </w:rPr>
              <w:t> </w:t>
            </w:r>
            <w:r>
              <w:rPr>
                <w:sz w:val="20"/>
              </w:rPr>
              <w:t>Critical</w:t>
            </w:r>
            <w:r>
              <w:rPr>
                <w:spacing w:val="-2"/>
                <w:sz w:val="20"/>
              </w:rPr>
              <w:t> </w:t>
            </w:r>
            <w:r>
              <w:rPr>
                <w:spacing w:val="-4"/>
                <w:sz w:val="20"/>
              </w:rPr>
              <w:t>Value</w:t>
            </w:r>
          </w:p>
        </w:tc>
        <w:tc>
          <w:tcPr>
            <w:tcW w:w="896" w:type="dxa"/>
          </w:tcPr>
          <w:p>
            <w:pPr>
              <w:pStyle w:val="TableParagraph"/>
              <w:spacing w:line="210" w:lineRule="exact"/>
              <w:ind w:right="26"/>
              <w:jc w:val="right"/>
              <w:rPr>
                <w:sz w:val="20"/>
              </w:rPr>
            </w:pPr>
            <w:r>
              <w:rPr>
                <w:spacing w:val="-4"/>
                <w:sz w:val="20"/>
              </w:rPr>
              <w:t>-</w:t>
            </w:r>
            <w:r>
              <w:rPr>
                <w:spacing w:val="-2"/>
                <w:sz w:val="20"/>
              </w:rPr>
              <w:t>2.9358</w:t>
            </w:r>
          </w:p>
        </w:tc>
      </w:tr>
      <w:tr>
        <w:trPr>
          <w:trHeight w:val="224" w:hRule="atLeast"/>
        </w:trPr>
        <w:tc>
          <w:tcPr>
            <w:tcW w:w="1847" w:type="dxa"/>
            <w:tcBorders>
              <w:bottom w:val="double" w:sz="6" w:space="0" w:color="000000"/>
            </w:tcBorders>
          </w:tcPr>
          <w:p>
            <w:pPr>
              <w:pStyle w:val="TableParagraph"/>
              <w:rPr>
                <w:sz w:val="16"/>
              </w:rPr>
            </w:pPr>
          </w:p>
        </w:tc>
        <w:tc>
          <w:tcPr>
            <w:tcW w:w="1375" w:type="dxa"/>
            <w:tcBorders>
              <w:bottom w:val="double" w:sz="6" w:space="0" w:color="000000"/>
            </w:tcBorders>
          </w:tcPr>
          <w:p>
            <w:pPr>
              <w:pStyle w:val="TableParagraph"/>
              <w:rPr>
                <w:sz w:val="16"/>
              </w:rPr>
            </w:pPr>
          </w:p>
        </w:tc>
        <w:tc>
          <w:tcPr>
            <w:tcW w:w="2368" w:type="dxa"/>
            <w:gridSpan w:val="2"/>
            <w:tcBorders>
              <w:bottom w:val="double" w:sz="6" w:space="0" w:color="000000"/>
            </w:tcBorders>
          </w:tcPr>
          <w:p>
            <w:pPr>
              <w:pStyle w:val="TableParagraph"/>
              <w:spacing w:line="205" w:lineRule="exact"/>
              <w:ind w:left="131"/>
              <w:rPr>
                <w:sz w:val="20"/>
              </w:rPr>
            </w:pPr>
            <w:r>
              <w:rPr>
                <w:sz w:val="20"/>
              </w:rPr>
              <w:t>10%</w:t>
            </w:r>
            <w:r>
              <w:rPr>
                <w:spacing w:val="-6"/>
                <w:sz w:val="20"/>
              </w:rPr>
              <w:t> </w:t>
            </w:r>
            <w:r>
              <w:rPr>
                <w:sz w:val="20"/>
              </w:rPr>
              <w:t>Critical</w:t>
            </w:r>
            <w:r>
              <w:rPr>
                <w:spacing w:val="-4"/>
                <w:sz w:val="20"/>
              </w:rPr>
              <w:t> </w:t>
            </w:r>
            <w:r>
              <w:rPr>
                <w:spacing w:val="-2"/>
                <w:sz w:val="20"/>
              </w:rPr>
              <w:t>Value</w:t>
            </w:r>
          </w:p>
        </w:tc>
        <w:tc>
          <w:tcPr>
            <w:tcW w:w="896" w:type="dxa"/>
            <w:tcBorders>
              <w:bottom w:val="double" w:sz="6" w:space="0" w:color="000000"/>
            </w:tcBorders>
          </w:tcPr>
          <w:p>
            <w:pPr>
              <w:pStyle w:val="TableParagraph"/>
              <w:spacing w:line="205" w:lineRule="exact"/>
              <w:ind w:right="26"/>
              <w:jc w:val="right"/>
              <w:rPr>
                <w:sz w:val="20"/>
              </w:rPr>
            </w:pPr>
            <w:r>
              <w:rPr>
                <w:spacing w:val="-4"/>
                <w:sz w:val="20"/>
              </w:rPr>
              <w:t>-</w:t>
            </w:r>
            <w:r>
              <w:rPr>
                <w:spacing w:val="-2"/>
                <w:sz w:val="20"/>
              </w:rPr>
              <w:t>2.6059</w:t>
            </w:r>
          </w:p>
        </w:tc>
      </w:tr>
      <w:tr>
        <w:trPr>
          <w:trHeight w:val="505" w:hRule="atLeast"/>
        </w:trPr>
        <w:tc>
          <w:tcPr>
            <w:tcW w:w="6486" w:type="dxa"/>
            <w:gridSpan w:val="5"/>
            <w:tcBorders>
              <w:top w:val="double" w:sz="6" w:space="0" w:color="000000"/>
            </w:tcBorders>
          </w:tcPr>
          <w:p>
            <w:pPr>
              <w:pStyle w:val="TableParagraph"/>
              <w:spacing w:before="40"/>
              <w:ind w:left="36"/>
              <w:rPr>
                <w:sz w:val="20"/>
              </w:rPr>
            </w:pPr>
            <w:r>
              <w:rPr>
                <w:sz w:val="20"/>
              </w:rPr>
              <w:t>*MacKinnon</w:t>
            </w:r>
            <w:r>
              <w:rPr>
                <w:spacing w:val="-6"/>
                <w:sz w:val="20"/>
              </w:rPr>
              <w:t> </w:t>
            </w:r>
            <w:r>
              <w:rPr>
                <w:sz w:val="20"/>
              </w:rPr>
              <w:t>critical</w:t>
            </w:r>
            <w:r>
              <w:rPr>
                <w:spacing w:val="-4"/>
                <w:sz w:val="20"/>
              </w:rPr>
              <w:t> </w:t>
            </w:r>
            <w:r>
              <w:rPr>
                <w:sz w:val="20"/>
              </w:rPr>
              <w:t>values</w:t>
            </w:r>
            <w:r>
              <w:rPr>
                <w:spacing w:val="-6"/>
                <w:sz w:val="20"/>
              </w:rPr>
              <w:t> </w:t>
            </w:r>
            <w:r>
              <w:rPr>
                <w:sz w:val="20"/>
              </w:rPr>
              <w:t>for</w:t>
            </w:r>
            <w:r>
              <w:rPr>
                <w:spacing w:val="-4"/>
                <w:sz w:val="20"/>
              </w:rPr>
              <w:t> </w:t>
            </w:r>
            <w:r>
              <w:rPr>
                <w:sz w:val="20"/>
              </w:rPr>
              <w:t>rejection</w:t>
            </w:r>
            <w:r>
              <w:rPr>
                <w:spacing w:val="-6"/>
                <w:sz w:val="20"/>
              </w:rPr>
              <w:t> </w:t>
            </w:r>
            <w:r>
              <w:rPr>
                <w:sz w:val="20"/>
              </w:rPr>
              <w:t>of</w:t>
            </w:r>
            <w:r>
              <w:rPr>
                <w:spacing w:val="-6"/>
                <w:sz w:val="20"/>
              </w:rPr>
              <w:t> </w:t>
            </w:r>
            <w:r>
              <w:rPr>
                <w:sz w:val="20"/>
              </w:rPr>
              <w:t>hypothesis</w:t>
            </w:r>
            <w:r>
              <w:rPr>
                <w:spacing w:val="-6"/>
                <w:sz w:val="20"/>
              </w:rPr>
              <w:t> </w:t>
            </w:r>
            <w:r>
              <w:rPr>
                <w:sz w:val="20"/>
              </w:rPr>
              <w:t>of</w:t>
            </w:r>
            <w:r>
              <w:rPr>
                <w:spacing w:val="-6"/>
                <w:sz w:val="20"/>
              </w:rPr>
              <w:t> </w:t>
            </w:r>
            <w:r>
              <w:rPr>
                <w:sz w:val="20"/>
              </w:rPr>
              <w:t>a</w:t>
            </w:r>
            <w:r>
              <w:rPr>
                <w:spacing w:val="-4"/>
                <w:sz w:val="20"/>
              </w:rPr>
              <w:t> </w:t>
            </w:r>
            <w:r>
              <w:rPr>
                <w:sz w:val="20"/>
              </w:rPr>
              <w:t>unit</w:t>
            </w:r>
            <w:r>
              <w:rPr>
                <w:spacing w:val="-6"/>
                <w:sz w:val="20"/>
              </w:rPr>
              <w:t> </w:t>
            </w:r>
            <w:r>
              <w:rPr>
                <w:spacing w:val="-2"/>
                <w:sz w:val="20"/>
              </w:rPr>
              <w:t>root.</w:t>
            </w:r>
          </w:p>
        </w:tc>
      </w:tr>
      <w:tr>
        <w:trPr>
          <w:trHeight w:val="460" w:hRule="atLeast"/>
        </w:trPr>
        <w:tc>
          <w:tcPr>
            <w:tcW w:w="6486" w:type="dxa"/>
            <w:gridSpan w:val="5"/>
          </w:tcPr>
          <w:p>
            <w:pPr>
              <w:pStyle w:val="TableParagraph"/>
              <w:spacing w:line="215" w:lineRule="exact" w:before="226"/>
              <w:ind w:left="36"/>
              <w:rPr>
                <w:sz w:val="20"/>
              </w:rPr>
            </w:pPr>
            <w:r>
              <w:rPr>
                <w:sz w:val="20"/>
              </w:rPr>
              <w:t>Augmented</w:t>
            </w:r>
            <w:r>
              <w:rPr>
                <w:spacing w:val="-8"/>
                <w:sz w:val="20"/>
              </w:rPr>
              <w:t> </w:t>
            </w:r>
            <w:r>
              <w:rPr>
                <w:sz w:val="20"/>
              </w:rPr>
              <w:t>Dickey-Fuller</w:t>
            </w:r>
            <w:r>
              <w:rPr>
                <w:spacing w:val="-8"/>
                <w:sz w:val="20"/>
              </w:rPr>
              <w:t> </w:t>
            </w:r>
            <w:r>
              <w:rPr>
                <w:sz w:val="20"/>
              </w:rPr>
              <w:t>Test</w:t>
            </w:r>
            <w:r>
              <w:rPr>
                <w:spacing w:val="-9"/>
                <w:sz w:val="20"/>
              </w:rPr>
              <w:t> </w:t>
            </w:r>
            <w:r>
              <w:rPr>
                <w:spacing w:val="-2"/>
                <w:sz w:val="20"/>
              </w:rPr>
              <w:t>Equation</w:t>
            </w:r>
          </w:p>
        </w:tc>
      </w:tr>
      <w:tr>
        <w:trPr>
          <w:trHeight w:val="229" w:hRule="atLeast"/>
        </w:trPr>
        <w:tc>
          <w:tcPr>
            <w:tcW w:w="6486" w:type="dxa"/>
            <w:gridSpan w:val="5"/>
          </w:tcPr>
          <w:p>
            <w:pPr>
              <w:pStyle w:val="TableParagraph"/>
              <w:spacing w:line="209" w:lineRule="exact"/>
              <w:ind w:left="36"/>
              <w:rPr>
                <w:sz w:val="20"/>
              </w:rPr>
            </w:pPr>
            <w:r>
              <w:rPr>
                <w:sz w:val="20"/>
              </w:rPr>
              <w:t>Dependent</w:t>
            </w:r>
            <w:r>
              <w:rPr>
                <w:spacing w:val="-8"/>
                <w:sz w:val="20"/>
              </w:rPr>
              <w:t> </w:t>
            </w:r>
            <w:r>
              <w:rPr>
                <w:sz w:val="20"/>
              </w:rPr>
              <w:t>Variable:</w:t>
            </w:r>
            <w:r>
              <w:rPr>
                <w:spacing w:val="-8"/>
                <w:sz w:val="20"/>
              </w:rPr>
              <w:t> </w:t>
            </w:r>
            <w:r>
              <w:rPr>
                <w:spacing w:val="-2"/>
                <w:sz w:val="20"/>
              </w:rPr>
              <w:t>D(GOCE)</w:t>
            </w:r>
          </w:p>
        </w:tc>
      </w:tr>
      <w:tr>
        <w:trPr>
          <w:trHeight w:val="229" w:hRule="atLeast"/>
        </w:trPr>
        <w:tc>
          <w:tcPr>
            <w:tcW w:w="6486" w:type="dxa"/>
            <w:gridSpan w:val="5"/>
          </w:tcPr>
          <w:p>
            <w:pPr>
              <w:pStyle w:val="TableParagraph"/>
              <w:spacing w:line="209" w:lineRule="exact"/>
              <w:ind w:left="36"/>
              <w:rPr>
                <w:sz w:val="20"/>
              </w:rPr>
            </w:pPr>
            <w:r>
              <w:rPr>
                <w:sz w:val="20"/>
              </w:rPr>
              <w:t>Method:</w:t>
            </w:r>
            <w:r>
              <w:rPr>
                <w:spacing w:val="-8"/>
                <w:sz w:val="20"/>
              </w:rPr>
              <w:t> </w:t>
            </w:r>
            <w:r>
              <w:rPr>
                <w:sz w:val="20"/>
              </w:rPr>
              <w:t>Least</w:t>
            </w:r>
            <w:r>
              <w:rPr>
                <w:spacing w:val="-7"/>
                <w:sz w:val="20"/>
              </w:rPr>
              <w:t> </w:t>
            </w:r>
            <w:r>
              <w:rPr>
                <w:spacing w:val="-2"/>
                <w:sz w:val="20"/>
              </w:rPr>
              <w:t>Squares</w:t>
            </w:r>
          </w:p>
        </w:tc>
      </w:tr>
      <w:tr>
        <w:trPr>
          <w:trHeight w:val="230" w:hRule="atLeast"/>
        </w:trPr>
        <w:tc>
          <w:tcPr>
            <w:tcW w:w="6486" w:type="dxa"/>
            <w:gridSpan w:val="5"/>
          </w:tcPr>
          <w:p>
            <w:pPr>
              <w:pStyle w:val="TableParagraph"/>
              <w:spacing w:line="210" w:lineRule="exact"/>
              <w:ind w:left="36"/>
              <w:rPr>
                <w:sz w:val="20"/>
              </w:rPr>
            </w:pPr>
            <w:r>
              <w:rPr>
                <w:sz w:val="20"/>
              </w:rPr>
              <w:t>Date:</w:t>
            </w:r>
            <w:r>
              <w:rPr>
                <w:spacing w:val="-5"/>
                <w:sz w:val="20"/>
              </w:rPr>
              <w:t> </w:t>
            </w:r>
            <w:r>
              <w:rPr>
                <w:sz w:val="20"/>
              </w:rPr>
              <w:t>02/18/14</w:t>
            </w:r>
            <w:r>
              <w:rPr>
                <w:spacing w:val="63"/>
                <w:w w:val="150"/>
                <w:sz w:val="20"/>
              </w:rPr>
              <w:t> </w:t>
            </w:r>
            <w:r>
              <w:rPr>
                <w:sz w:val="20"/>
              </w:rPr>
              <w:t>Time:</w:t>
            </w:r>
            <w:r>
              <w:rPr>
                <w:spacing w:val="-3"/>
                <w:sz w:val="20"/>
              </w:rPr>
              <w:t> </w:t>
            </w:r>
            <w:r>
              <w:rPr>
                <w:spacing w:val="-2"/>
                <w:sz w:val="20"/>
              </w:rPr>
              <w:t>13:45</w:t>
            </w:r>
          </w:p>
        </w:tc>
      </w:tr>
      <w:tr>
        <w:trPr>
          <w:trHeight w:val="230" w:hRule="atLeast"/>
        </w:trPr>
        <w:tc>
          <w:tcPr>
            <w:tcW w:w="6486" w:type="dxa"/>
            <w:gridSpan w:val="5"/>
          </w:tcPr>
          <w:p>
            <w:pPr>
              <w:pStyle w:val="TableParagraph"/>
              <w:spacing w:line="210" w:lineRule="exact"/>
              <w:ind w:left="36"/>
              <w:rPr>
                <w:sz w:val="20"/>
              </w:rPr>
            </w:pPr>
            <w:r>
              <w:rPr>
                <w:sz w:val="20"/>
              </w:rPr>
              <w:t>Sample(adjusted):</w:t>
            </w:r>
            <w:r>
              <w:rPr>
                <w:spacing w:val="-9"/>
                <w:sz w:val="20"/>
              </w:rPr>
              <w:t> </w:t>
            </w:r>
            <w:r>
              <w:rPr>
                <w:sz w:val="20"/>
              </w:rPr>
              <w:t>1972</w:t>
            </w:r>
            <w:r>
              <w:rPr>
                <w:spacing w:val="-9"/>
                <w:sz w:val="20"/>
              </w:rPr>
              <w:t> </w:t>
            </w:r>
            <w:r>
              <w:rPr>
                <w:spacing w:val="-4"/>
                <w:sz w:val="20"/>
              </w:rPr>
              <w:t>2011</w:t>
            </w:r>
          </w:p>
        </w:tc>
      </w:tr>
      <w:tr>
        <w:trPr>
          <w:trHeight w:val="224" w:hRule="atLeast"/>
        </w:trPr>
        <w:tc>
          <w:tcPr>
            <w:tcW w:w="6486" w:type="dxa"/>
            <w:gridSpan w:val="5"/>
            <w:tcBorders>
              <w:bottom w:val="double" w:sz="6" w:space="0" w:color="000000"/>
            </w:tcBorders>
          </w:tcPr>
          <w:p>
            <w:pPr>
              <w:pStyle w:val="TableParagraph"/>
              <w:spacing w:line="205" w:lineRule="exact"/>
              <w:ind w:left="36"/>
              <w:rPr>
                <w:sz w:val="20"/>
              </w:rPr>
            </w:pPr>
            <w:r>
              <w:rPr>
                <w:sz w:val="20"/>
              </w:rPr>
              <w:t>Included</w:t>
            </w:r>
            <w:r>
              <w:rPr>
                <w:spacing w:val="-5"/>
                <w:sz w:val="20"/>
              </w:rPr>
              <w:t> </w:t>
            </w:r>
            <w:r>
              <w:rPr>
                <w:sz w:val="20"/>
              </w:rPr>
              <w:t>observations:</w:t>
            </w:r>
            <w:r>
              <w:rPr>
                <w:spacing w:val="-8"/>
                <w:sz w:val="20"/>
              </w:rPr>
              <w:t> </w:t>
            </w:r>
            <w:r>
              <w:rPr>
                <w:sz w:val="20"/>
              </w:rPr>
              <w:t>40</w:t>
            </w:r>
            <w:r>
              <w:rPr>
                <w:spacing w:val="-5"/>
                <w:sz w:val="20"/>
              </w:rPr>
              <w:t> </w:t>
            </w:r>
            <w:r>
              <w:rPr>
                <w:sz w:val="20"/>
              </w:rPr>
              <w:t>after</w:t>
            </w:r>
            <w:r>
              <w:rPr>
                <w:spacing w:val="-7"/>
                <w:sz w:val="20"/>
              </w:rPr>
              <w:t> </w:t>
            </w:r>
            <w:r>
              <w:rPr>
                <w:sz w:val="20"/>
              </w:rPr>
              <w:t>adjusting</w:t>
            </w:r>
            <w:r>
              <w:rPr>
                <w:spacing w:val="-7"/>
                <w:sz w:val="20"/>
              </w:rPr>
              <w:t> </w:t>
            </w:r>
            <w:r>
              <w:rPr>
                <w:spacing w:val="-2"/>
                <w:sz w:val="20"/>
              </w:rPr>
              <w:t>endpoints</w:t>
            </w:r>
          </w:p>
        </w:tc>
      </w:tr>
      <w:tr>
        <w:trPr>
          <w:trHeight w:val="269" w:hRule="atLeast"/>
        </w:trPr>
        <w:tc>
          <w:tcPr>
            <w:tcW w:w="1847" w:type="dxa"/>
            <w:tcBorders>
              <w:top w:val="double" w:sz="6" w:space="0" w:color="000000"/>
              <w:bottom w:val="double" w:sz="6" w:space="0" w:color="000000"/>
            </w:tcBorders>
          </w:tcPr>
          <w:p>
            <w:pPr>
              <w:pStyle w:val="TableParagraph"/>
              <w:spacing w:line="209" w:lineRule="exact" w:before="40"/>
              <w:ind w:left="677"/>
              <w:rPr>
                <w:sz w:val="20"/>
              </w:rPr>
            </w:pPr>
            <w:r>
              <w:rPr>
                <w:spacing w:val="-2"/>
                <w:sz w:val="20"/>
              </w:rPr>
              <w:t>Variable</w:t>
            </w:r>
          </w:p>
        </w:tc>
        <w:tc>
          <w:tcPr>
            <w:tcW w:w="1375" w:type="dxa"/>
            <w:tcBorders>
              <w:top w:val="double" w:sz="6" w:space="0" w:color="000000"/>
              <w:bottom w:val="double" w:sz="6" w:space="0" w:color="000000"/>
            </w:tcBorders>
          </w:tcPr>
          <w:p>
            <w:pPr>
              <w:pStyle w:val="TableParagraph"/>
              <w:spacing w:line="209" w:lineRule="exact" w:before="40"/>
              <w:ind w:right="131"/>
              <w:jc w:val="right"/>
              <w:rPr>
                <w:sz w:val="20"/>
              </w:rPr>
            </w:pPr>
            <w:r>
              <w:rPr>
                <w:spacing w:val="-2"/>
                <w:sz w:val="20"/>
              </w:rPr>
              <w:t>Coefficient</w:t>
            </w:r>
          </w:p>
        </w:tc>
        <w:tc>
          <w:tcPr>
            <w:tcW w:w="1432" w:type="dxa"/>
            <w:tcBorders>
              <w:top w:val="double" w:sz="6" w:space="0" w:color="000000"/>
              <w:bottom w:val="double" w:sz="6" w:space="0" w:color="000000"/>
            </w:tcBorders>
          </w:tcPr>
          <w:p>
            <w:pPr>
              <w:pStyle w:val="TableParagraph"/>
              <w:spacing w:line="209" w:lineRule="exact" w:before="40"/>
              <w:ind w:left="273"/>
              <w:rPr>
                <w:sz w:val="20"/>
              </w:rPr>
            </w:pPr>
            <w:r>
              <w:rPr>
                <w:sz w:val="20"/>
              </w:rPr>
              <w:t>Std.</w:t>
            </w:r>
            <w:r>
              <w:rPr>
                <w:spacing w:val="-4"/>
                <w:sz w:val="20"/>
              </w:rPr>
              <w:t> </w:t>
            </w:r>
            <w:r>
              <w:rPr>
                <w:spacing w:val="-2"/>
                <w:sz w:val="20"/>
              </w:rPr>
              <w:t>Error</w:t>
            </w:r>
          </w:p>
        </w:tc>
        <w:tc>
          <w:tcPr>
            <w:tcW w:w="936" w:type="dxa"/>
            <w:tcBorders>
              <w:top w:val="double" w:sz="6" w:space="0" w:color="000000"/>
              <w:bottom w:val="double" w:sz="6" w:space="0" w:color="000000"/>
            </w:tcBorders>
          </w:tcPr>
          <w:p>
            <w:pPr>
              <w:pStyle w:val="TableParagraph"/>
              <w:spacing w:line="209" w:lineRule="exact" w:before="40"/>
              <w:ind w:right="112"/>
              <w:jc w:val="right"/>
              <w:rPr>
                <w:sz w:val="20"/>
              </w:rPr>
            </w:pPr>
            <w:r>
              <w:rPr>
                <w:spacing w:val="-4"/>
                <w:sz w:val="20"/>
              </w:rPr>
              <w:t>t-</w:t>
            </w:r>
            <w:r>
              <w:rPr>
                <w:spacing w:val="-2"/>
                <w:sz w:val="20"/>
              </w:rPr>
              <w:t>Statistic</w:t>
            </w:r>
          </w:p>
        </w:tc>
        <w:tc>
          <w:tcPr>
            <w:tcW w:w="896" w:type="dxa"/>
            <w:tcBorders>
              <w:top w:val="double" w:sz="6" w:space="0" w:color="000000"/>
              <w:bottom w:val="double" w:sz="6" w:space="0" w:color="000000"/>
            </w:tcBorders>
          </w:tcPr>
          <w:p>
            <w:pPr>
              <w:pStyle w:val="TableParagraph"/>
              <w:spacing w:line="209" w:lineRule="exact" w:before="40"/>
              <w:ind w:right="27"/>
              <w:jc w:val="right"/>
              <w:rPr>
                <w:sz w:val="20"/>
              </w:rPr>
            </w:pPr>
            <w:r>
              <w:rPr>
                <w:spacing w:val="-2"/>
                <w:sz w:val="20"/>
              </w:rPr>
              <w:t>Prob.</w:t>
            </w:r>
          </w:p>
        </w:tc>
      </w:tr>
      <w:tr>
        <w:trPr>
          <w:trHeight w:val="275" w:hRule="atLeast"/>
        </w:trPr>
        <w:tc>
          <w:tcPr>
            <w:tcW w:w="1847" w:type="dxa"/>
            <w:tcBorders>
              <w:top w:val="double" w:sz="6" w:space="0" w:color="000000"/>
            </w:tcBorders>
          </w:tcPr>
          <w:p>
            <w:pPr>
              <w:pStyle w:val="TableParagraph"/>
              <w:spacing w:line="215" w:lineRule="exact" w:before="40"/>
              <w:ind w:left="600"/>
              <w:rPr>
                <w:sz w:val="20"/>
              </w:rPr>
            </w:pPr>
            <w:r>
              <w:rPr>
                <w:spacing w:val="-2"/>
                <w:sz w:val="20"/>
              </w:rPr>
              <w:t>GOCE(-</w:t>
            </w:r>
            <w:r>
              <w:rPr>
                <w:spacing w:val="-5"/>
                <w:sz w:val="20"/>
              </w:rPr>
              <w:t>1)</w:t>
            </w:r>
          </w:p>
        </w:tc>
        <w:tc>
          <w:tcPr>
            <w:tcW w:w="1375" w:type="dxa"/>
            <w:tcBorders>
              <w:top w:val="double" w:sz="6" w:space="0" w:color="000000"/>
            </w:tcBorders>
          </w:tcPr>
          <w:p>
            <w:pPr>
              <w:pStyle w:val="TableParagraph"/>
              <w:spacing w:line="215" w:lineRule="exact" w:before="40"/>
              <w:ind w:right="128"/>
              <w:jc w:val="right"/>
              <w:rPr>
                <w:sz w:val="20"/>
              </w:rPr>
            </w:pPr>
            <w:r>
              <w:rPr>
                <w:spacing w:val="-4"/>
                <w:sz w:val="20"/>
              </w:rPr>
              <w:t>-</w:t>
            </w:r>
            <w:r>
              <w:rPr>
                <w:spacing w:val="-2"/>
                <w:sz w:val="20"/>
              </w:rPr>
              <w:t>0.002265</w:t>
            </w:r>
          </w:p>
        </w:tc>
        <w:tc>
          <w:tcPr>
            <w:tcW w:w="1432" w:type="dxa"/>
            <w:tcBorders>
              <w:top w:val="double" w:sz="6" w:space="0" w:color="000000"/>
            </w:tcBorders>
          </w:tcPr>
          <w:p>
            <w:pPr>
              <w:pStyle w:val="TableParagraph"/>
              <w:spacing w:line="215" w:lineRule="exact" w:before="40"/>
              <w:ind w:left="311"/>
              <w:rPr>
                <w:sz w:val="20"/>
              </w:rPr>
            </w:pPr>
            <w:r>
              <w:rPr>
                <w:spacing w:val="-2"/>
                <w:sz w:val="20"/>
              </w:rPr>
              <w:t>0.017068</w:t>
            </w:r>
          </w:p>
        </w:tc>
        <w:tc>
          <w:tcPr>
            <w:tcW w:w="936" w:type="dxa"/>
            <w:tcBorders>
              <w:top w:val="double" w:sz="6" w:space="0" w:color="000000"/>
            </w:tcBorders>
          </w:tcPr>
          <w:p>
            <w:pPr>
              <w:pStyle w:val="TableParagraph"/>
              <w:spacing w:line="215" w:lineRule="exact" w:before="40"/>
              <w:ind w:right="110"/>
              <w:jc w:val="right"/>
              <w:rPr>
                <w:sz w:val="20"/>
              </w:rPr>
            </w:pPr>
            <w:r>
              <w:rPr>
                <w:spacing w:val="-4"/>
                <w:sz w:val="20"/>
              </w:rPr>
              <w:t>-</w:t>
            </w:r>
            <w:r>
              <w:rPr>
                <w:spacing w:val="-2"/>
                <w:sz w:val="20"/>
              </w:rPr>
              <w:t>0.132702</w:t>
            </w:r>
          </w:p>
        </w:tc>
        <w:tc>
          <w:tcPr>
            <w:tcW w:w="896" w:type="dxa"/>
            <w:tcBorders>
              <w:top w:val="double" w:sz="6" w:space="0" w:color="000000"/>
            </w:tcBorders>
          </w:tcPr>
          <w:p>
            <w:pPr>
              <w:pStyle w:val="TableParagraph"/>
              <w:spacing w:line="215" w:lineRule="exact" w:before="40"/>
              <w:ind w:right="26"/>
              <w:jc w:val="right"/>
              <w:rPr>
                <w:sz w:val="20"/>
              </w:rPr>
            </w:pPr>
            <w:r>
              <w:rPr>
                <w:spacing w:val="-2"/>
                <w:sz w:val="20"/>
              </w:rPr>
              <w:t>0.8951</w:t>
            </w:r>
          </w:p>
        </w:tc>
      </w:tr>
      <w:tr>
        <w:trPr>
          <w:trHeight w:val="230" w:hRule="atLeast"/>
        </w:trPr>
        <w:tc>
          <w:tcPr>
            <w:tcW w:w="1847" w:type="dxa"/>
          </w:tcPr>
          <w:p>
            <w:pPr>
              <w:pStyle w:val="TableParagraph"/>
              <w:spacing w:line="210" w:lineRule="exact"/>
              <w:ind w:left="461"/>
              <w:rPr>
                <w:sz w:val="20"/>
              </w:rPr>
            </w:pPr>
            <w:r>
              <w:rPr>
                <w:spacing w:val="-2"/>
                <w:sz w:val="20"/>
              </w:rPr>
              <w:t>D(GOCE(-</w:t>
            </w:r>
            <w:r>
              <w:rPr>
                <w:spacing w:val="-5"/>
                <w:sz w:val="20"/>
              </w:rPr>
              <w:t>1))</w:t>
            </w:r>
          </w:p>
        </w:tc>
        <w:tc>
          <w:tcPr>
            <w:tcW w:w="1375" w:type="dxa"/>
          </w:tcPr>
          <w:p>
            <w:pPr>
              <w:pStyle w:val="TableParagraph"/>
              <w:spacing w:line="210" w:lineRule="exact"/>
              <w:ind w:right="128"/>
              <w:jc w:val="right"/>
              <w:rPr>
                <w:sz w:val="20"/>
              </w:rPr>
            </w:pPr>
            <w:r>
              <w:rPr>
                <w:spacing w:val="-4"/>
                <w:sz w:val="20"/>
              </w:rPr>
              <w:t>-</w:t>
            </w:r>
            <w:r>
              <w:rPr>
                <w:spacing w:val="-2"/>
                <w:sz w:val="20"/>
              </w:rPr>
              <w:t>0.254094</w:t>
            </w:r>
          </w:p>
        </w:tc>
        <w:tc>
          <w:tcPr>
            <w:tcW w:w="1432" w:type="dxa"/>
          </w:tcPr>
          <w:p>
            <w:pPr>
              <w:pStyle w:val="TableParagraph"/>
              <w:spacing w:line="210" w:lineRule="exact"/>
              <w:ind w:left="311"/>
              <w:rPr>
                <w:sz w:val="20"/>
              </w:rPr>
            </w:pPr>
            <w:r>
              <w:rPr>
                <w:spacing w:val="-2"/>
                <w:sz w:val="20"/>
              </w:rPr>
              <w:t>0.162203</w:t>
            </w:r>
          </w:p>
        </w:tc>
        <w:tc>
          <w:tcPr>
            <w:tcW w:w="936" w:type="dxa"/>
          </w:tcPr>
          <w:p>
            <w:pPr>
              <w:pStyle w:val="TableParagraph"/>
              <w:spacing w:line="210" w:lineRule="exact"/>
              <w:ind w:right="110"/>
              <w:jc w:val="right"/>
              <w:rPr>
                <w:sz w:val="20"/>
              </w:rPr>
            </w:pPr>
            <w:r>
              <w:rPr>
                <w:spacing w:val="-4"/>
                <w:sz w:val="20"/>
              </w:rPr>
              <w:t>-</w:t>
            </w:r>
            <w:r>
              <w:rPr>
                <w:spacing w:val="-2"/>
                <w:sz w:val="20"/>
              </w:rPr>
              <w:t>1.566516</w:t>
            </w:r>
          </w:p>
        </w:tc>
        <w:tc>
          <w:tcPr>
            <w:tcW w:w="896" w:type="dxa"/>
          </w:tcPr>
          <w:p>
            <w:pPr>
              <w:pStyle w:val="TableParagraph"/>
              <w:spacing w:line="210" w:lineRule="exact"/>
              <w:ind w:right="26"/>
              <w:jc w:val="right"/>
              <w:rPr>
                <w:sz w:val="20"/>
              </w:rPr>
            </w:pPr>
            <w:r>
              <w:rPr>
                <w:spacing w:val="-2"/>
                <w:sz w:val="20"/>
              </w:rPr>
              <w:t>0.1257</w:t>
            </w:r>
          </w:p>
        </w:tc>
      </w:tr>
      <w:tr>
        <w:trPr>
          <w:trHeight w:val="224" w:hRule="atLeast"/>
        </w:trPr>
        <w:tc>
          <w:tcPr>
            <w:tcW w:w="1847" w:type="dxa"/>
            <w:tcBorders>
              <w:bottom w:val="double" w:sz="6" w:space="0" w:color="000000"/>
            </w:tcBorders>
          </w:tcPr>
          <w:p>
            <w:pPr>
              <w:pStyle w:val="TableParagraph"/>
              <w:spacing w:line="205" w:lineRule="exact"/>
              <w:ind w:left="197"/>
              <w:jc w:val="center"/>
              <w:rPr>
                <w:sz w:val="20"/>
              </w:rPr>
            </w:pPr>
            <w:r>
              <w:rPr>
                <w:spacing w:val="-10"/>
                <w:sz w:val="20"/>
              </w:rPr>
              <w:t>C</w:t>
            </w:r>
          </w:p>
        </w:tc>
        <w:tc>
          <w:tcPr>
            <w:tcW w:w="1375" w:type="dxa"/>
            <w:tcBorders>
              <w:bottom w:val="double" w:sz="6" w:space="0" w:color="000000"/>
            </w:tcBorders>
          </w:tcPr>
          <w:p>
            <w:pPr>
              <w:pStyle w:val="TableParagraph"/>
              <w:spacing w:line="205" w:lineRule="exact"/>
              <w:ind w:right="128"/>
              <w:jc w:val="right"/>
              <w:rPr>
                <w:sz w:val="20"/>
              </w:rPr>
            </w:pPr>
            <w:r>
              <w:rPr>
                <w:spacing w:val="-2"/>
                <w:sz w:val="20"/>
              </w:rPr>
              <w:t>0.283316</w:t>
            </w:r>
          </w:p>
        </w:tc>
        <w:tc>
          <w:tcPr>
            <w:tcW w:w="1432" w:type="dxa"/>
            <w:tcBorders>
              <w:bottom w:val="double" w:sz="6" w:space="0" w:color="000000"/>
            </w:tcBorders>
          </w:tcPr>
          <w:p>
            <w:pPr>
              <w:pStyle w:val="TableParagraph"/>
              <w:spacing w:line="205" w:lineRule="exact"/>
              <w:ind w:left="311"/>
              <w:rPr>
                <w:sz w:val="20"/>
              </w:rPr>
            </w:pPr>
            <w:r>
              <w:rPr>
                <w:spacing w:val="-2"/>
                <w:sz w:val="20"/>
              </w:rPr>
              <w:t>0.187148</w:t>
            </w:r>
          </w:p>
        </w:tc>
        <w:tc>
          <w:tcPr>
            <w:tcW w:w="936" w:type="dxa"/>
            <w:tcBorders>
              <w:bottom w:val="double" w:sz="6" w:space="0" w:color="000000"/>
            </w:tcBorders>
          </w:tcPr>
          <w:p>
            <w:pPr>
              <w:pStyle w:val="TableParagraph"/>
              <w:spacing w:line="205" w:lineRule="exact"/>
              <w:ind w:right="110"/>
              <w:jc w:val="right"/>
              <w:rPr>
                <w:sz w:val="20"/>
              </w:rPr>
            </w:pPr>
            <w:r>
              <w:rPr>
                <w:spacing w:val="-2"/>
                <w:sz w:val="20"/>
              </w:rPr>
              <w:t>1.513859</w:t>
            </w:r>
          </w:p>
        </w:tc>
        <w:tc>
          <w:tcPr>
            <w:tcW w:w="896" w:type="dxa"/>
            <w:tcBorders>
              <w:bottom w:val="double" w:sz="6" w:space="0" w:color="000000"/>
            </w:tcBorders>
          </w:tcPr>
          <w:p>
            <w:pPr>
              <w:pStyle w:val="TableParagraph"/>
              <w:spacing w:line="205" w:lineRule="exact"/>
              <w:ind w:right="26"/>
              <w:jc w:val="right"/>
              <w:rPr>
                <w:sz w:val="20"/>
              </w:rPr>
            </w:pPr>
            <w:r>
              <w:rPr>
                <w:spacing w:val="-2"/>
                <w:sz w:val="20"/>
              </w:rPr>
              <w:t>0.1386</w:t>
            </w:r>
          </w:p>
        </w:tc>
      </w:tr>
      <w:tr>
        <w:trPr>
          <w:trHeight w:val="275" w:hRule="atLeast"/>
        </w:trPr>
        <w:tc>
          <w:tcPr>
            <w:tcW w:w="1847" w:type="dxa"/>
            <w:tcBorders>
              <w:top w:val="double" w:sz="6" w:space="0" w:color="000000"/>
            </w:tcBorders>
          </w:tcPr>
          <w:p>
            <w:pPr>
              <w:pStyle w:val="TableParagraph"/>
              <w:spacing w:line="215" w:lineRule="exact" w:before="40"/>
              <w:ind w:left="36"/>
              <w:rPr>
                <w:sz w:val="20"/>
              </w:rPr>
            </w:pPr>
            <w:r>
              <w:rPr>
                <w:spacing w:val="-2"/>
                <w:sz w:val="20"/>
              </w:rPr>
              <w:t>R-squared</w:t>
            </w:r>
          </w:p>
        </w:tc>
        <w:tc>
          <w:tcPr>
            <w:tcW w:w="1375" w:type="dxa"/>
            <w:tcBorders>
              <w:top w:val="double" w:sz="6" w:space="0" w:color="000000"/>
            </w:tcBorders>
          </w:tcPr>
          <w:p>
            <w:pPr>
              <w:pStyle w:val="TableParagraph"/>
              <w:spacing w:line="215" w:lineRule="exact" w:before="40"/>
              <w:ind w:right="128"/>
              <w:jc w:val="right"/>
              <w:rPr>
                <w:sz w:val="20"/>
              </w:rPr>
            </w:pPr>
            <w:r>
              <w:rPr>
                <w:spacing w:val="-2"/>
                <w:sz w:val="20"/>
              </w:rPr>
              <w:t>0.064482</w:t>
            </w:r>
          </w:p>
        </w:tc>
        <w:tc>
          <w:tcPr>
            <w:tcW w:w="2368" w:type="dxa"/>
            <w:gridSpan w:val="2"/>
            <w:tcBorders>
              <w:top w:val="double" w:sz="6" w:space="0" w:color="000000"/>
            </w:tcBorders>
          </w:tcPr>
          <w:p>
            <w:pPr>
              <w:pStyle w:val="TableParagraph"/>
              <w:spacing w:line="215" w:lineRule="exact" w:before="40"/>
              <w:ind w:left="131"/>
              <w:rPr>
                <w:sz w:val="20"/>
              </w:rPr>
            </w:pPr>
            <w:r>
              <w:rPr>
                <w:sz w:val="20"/>
              </w:rPr>
              <w:t>Mean</w:t>
            </w:r>
            <w:r>
              <w:rPr>
                <w:spacing w:val="-7"/>
                <w:sz w:val="20"/>
              </w:rPr>
              <w:t> </w:t>
            </w:r>
            <w:r>
              <w:rPr>
                <w:sz w:val="20"/>
              </w:rPr>
              <w:t>dependent</w:t>
            </w:r>
            <w:r>
              <w:rPr>
                <w:spacing w:val="-7"/>
                <w:sz w:val="20"/>
              </w:rPr>
              <w:t> </w:t>
            </w:r>
            <w:r>
              <w:rPr>
                <w:spacing w:val="-5"/>
                <w:sz w:val="20"/>
              </w:rPr>
              <w:t>var</w:t>
            </w:r>
          </w:p>
        </w:tc>
        <w:tc>
          <w:tcPr>
            <w:tcW w:w="896" w:type="dxa"/>
            <w:tcBorders>
              <w:top w:val="double" w:sz="6" w:space="0" w:color="000000"/>
            </w:tcBorders>
          </w:tcPr>
          <w:p>
            <w:pPr>
              <w:pStyle w:val="TableParagraph"/>
              <w:spacing w:line="215" w:lineRule="exact" w:before="40"/>
              <w:ind w:right="26"/>
              <w:jc w:val="right"/>
              <w:rPr>
                <w:sz w:val="20"/>
              </w:rPr>
            </w:pPr>
            <w:r>
              <w:rPr>
                <w:spacing w:val="-2"/>
                <w:sz w:val="20"/>
              </w:rPr>
              <w:t>0.205460</w:t>
            </w:r>
          </w:p>
        </w:tc>
      </w:tr>
      <w:tr>
        <w:trPr>
          <w:trHeight w:val="230" w:hRule="atLeast"/>
        </w:trPr>
        <w:tc>
          <w:tcPr>
            <w:tcW w:w="1847" w:type="dxa"/>
          </w:tcPr>
          <w:p>
            <w:pPr>
              <w:pStyle w:val="TableParagraph"/>
              <w:spacing w:line="211" w:lineRule="exact"/>
              <w:ind w:left="36"/>
              <w:rPr>
                <w:sz w:val="20"/>
              </w:rPr>
            </w:pPr>
            <w:r>
              <w:rPr>
                <w:sz w:val="20"/>
              </w:rPr>
              <w:t>Adjusted</w:t>
            </w:r>
            <w:r>
              <w:rPr>
                <w:spacing w:val="-10"/>
                <w:sz w:val="20"/>
              </w:rPr>
              <w:t> </w:t>
            </w:r>
            <w:r>
              <w:rPr>
                <w:sz w:val="20"/>
              </w:rPr>
              <w:t>R-</w:t>
            </w:r>
            <w:r>
              <w:rPr>
                <w:spacing w:val="-2"/>
                <w:sz w:val="20"/>
              </w:rPr>
              <w:t>squared</w:t>
            </w:r>
          </w:p>
        </w:tc>
        <w:tc>
          <w:tcPr>
            <w:tcW w:w="1375" w:type="dxa"/>
          </w:tcPr>
          <w:p>
            <w:pPr>
              <w:pStyle w:val="TableParagraph"/>
              <w:spacing w:line="211" w:lineRule="exact"/>
              <w:ind w:right="128"/>
              <w:jc w:val="right"/>
              <w:rPr>
                <w:sz w:val="20"/>
              </w:rPr>
            </w:pPr>
            <w:r>
              <w:rPr>
                <w:spacing w:val="-2"/>
                <w:sz w:val="20"/>
              </w:rPr>
              <w:t>0.013913</w:t>
            </w:r>
          </w:p>
        </w:tc>
        <w:tc>
          <w:tcPr>
            <w:tcW w:w="2368" w:type="dxa"/>
            <w:gridSpan w:val="2"/>
          </w:tcPr>
          <w:p>
            <w:pPr>
              <w:pStyle w:val="TableParagraph"/>
              <w:spacing w:line="211" w:lineRule="exact"/>
              <w:ind w:left="131"/>
              <w:rPr>
                <w:sz w:val="20"/>
              </w:rPr>
            </w:pPr>
            <w:r>
              <w:rPr>
                <w:sz w:val="20"/>
              </w:rPr>
              <w:t>S.D.</w:t>
            </w:r>
            <w:r>
              <w:rPr>
                <w:spacing w:val="-5"/>
                <w:sz w:val="20"/>
              </w:rPr>
              <w:t> </w:t>
            </w:r>
            <w:r>
              <w:rPr>
                <w:sz w:val="20"/>
              </w:rPr>
              <w:t>dependent</w:t>
            </w:r>
            <w:r>
              <w:rPr>
                <w:spacing w:val="-6"/>
                <w:sz w:val="20"/>
              </w:rPr>
              <w:t> </w:t>
            </w:r>
            <w:r>
              <w:rPr>
                <w:spacing w:val="-5"/>
                <w:sz w:val="20"/>
              </w:rPr>
              <w:t>var</w:t>
            </w:r>
          </w:p>
        </w:tc>
        <w:tc>
          <w:tcPr>
            <w:tcW w:w="896" w:type="dxa"/>
          </w:tcPr>
          <w:p>
            <w:pPr>
              <w:pStyle w:val="TableParagraph"/>
              <w:spacing w:line="211" w:lineRule="exact"/>
              <w:ind w:right="26"/>
              <w:jc w:val="right"/>
              <w:rPr>
                <w:sz w:val="20"/>
              </w:rPr>
            </w:pPr>
            <w:r>
              <w:rPr>
                <w:spacing w:val="-2"/>
                <w:sz w:val="20"/>
              </w:rPr>
              <w:t>0.274665</w:t>
            </w:r>
          </w:p>
        </w:tc>
      </w:tr>
      <w:tr>
        <w:trPr>
          <w:trHeight w:val="230" w:hRule="atLeast"/>
        </w:trPr>
        <w:tc>
          <w:tcPr>
            <w:tcW w:w="1847" w:type="dxa"/>
          </w:tcPr>
          <w:p>
            <w:pPr>
              <w:pStyle w:val="TableParagraph"/>
              <w:spacing w:line="211" w:lineRule="exact"/>
              <w:ind w:left="36"/>
              <w:rPr>
                <w:sz w:val="20"/>
              </w:rPr>
            </w:pPr>
            <w:r>
              <w:rPr>
                <w:sz w:val="20"/>
              </w:rPr>
              <w:t>S.E.</w:t>
            </w:r>
            <w:r>
              <w:rPr>
                <w:spacing w:val="-3"/>
                <w:sz w:val="20"/>
              </w:rPr>
              <w:t> </w:t>
            </w:r>
            <w:r>
              <w:rPr>
                <w:sz w:val="20"/>
              </w:rPr>
              <w:t>of</w:t>
            </w:r>
            <w:r>
              <w:rPr>
                <w:spacing w:val="-3"/>
                <w:sz w:val="20"/>
              </w:rPr>
              <w:t> </w:t>
            </w:r>
            <w:r>
              <w:rPr>
                <w:spacing w:val="-2"/>
                <w:sz w:val="20"/>
              </w:rPr>
              <w:t>regression</w:t>
            </w:r>
          </w:p>
        </w:tc>
        <w:tc>
          <w:tcPr>
            <w:tcW w:w="1375" w:type="dxa"/>
          </w:tcPr>
          <w:p>
            <w:pPr>
              <w:pStyle w:val="TableParagraph"/>
              <w:spacing w:line="211" w:lineRule="exact"/>
              <w:ind w:right="128"/>
              <w:jc w:val="right"/>
              <w:rPr>
                <w:sz w:val="20"/>
              </w:rPr>
            </w:pPr>
            <w:r>
              <w:rPr>
                <w:spacing w:val="-2"/>
                <w:sz w:val="20"/>
              </w:rPr>
              <w:t>0.272748</w:t>
            </w:r>
          </w:p>
        </w:tc>
        <w:tc>
          <w:tcPr>
            <w:tcW w:w="2368" w:type="dxa"/>
            <w:gridSpan w:val="2"/>
          </w:tcPr>
          <w:p>
            <w:pPr>
              <w:pStyle w:val="TableParagraph"/>
              <w:spacing w:line="211" w:lineRule="exact"/>
              <w:ind w:left="131"/>
              <w:rPr>
                <w:sz w:val="20"/>
              </w:rPr>
            </w:pPr>
            <w:r>
              <w:rPr>
                <w:sz w:val="20"/>
              </w:rPr>
              <w:t>Akaike</w:t>
            </w:r>
            <w:r>
              <w:rPr>
                <w:spacing w:val="-8"/>
                <w:sz w:val="20"/>
              </w:rPr>
              <w:t> </w:t>
            </w:r>
            <w:r>
              <w:rPr>
                <w:sz w:val="20"/>
              </w:rPr>
              <w:t>info</w:t>
            </w:r>
            <w:r>
              <w:rPr>
                <w:spacing w:val="-7"/>
                <w:sz w:val="20"/>
              </w:rPr>
              <w:t> </w:t>
            </w:r>
            <w:r>
              <w:rPr>
                <w:spacing w:val="-2"/>
                <w:sz w:val="20"/>
              </w:rPr>
              <w:t>criterion</w:t>
            </w:r>
          </w:p>
        </w:tc>
        <w:tc>
          <w:tcPr>
            <w:tcW w:w="896" w:type="dxa"/>
          </w:tcPr>
          <w:p>
            <w:pPr>
              <w:pStyle w:val="TableParagraph"/>
              <w:spacing w:line="211" w:lineRule="exact"/>
              <w:ind w:right="26"/>
              <w:jc w:val="right"/>
              <w:rPr>
                <w:sz w:val="20"/>
              </w:rPr>
            </w:pPr>
            <w:r>
              <w:rPr>
                <w:spacing w:val="-2"/>
                <w:sz w:val="20"/>
              </w:rPr>
              <w:t>0.311499</w:t>
            </w:r>
          </w:p>
        </w:tc>
      </w:tr>
      <w:tr>
        <w:trPr>
          <w:trHeight w:val="230" w:hRule="atLeast"/>
        </w:trPr>
        <w:tc>
          <w:tcPr>
            <w:tcW w:w="1847" w:type="dxa"/>
          </w:tcPr>
          <w:p>
            <w:pPr>
              <w:pStyle w:val="TableParagraph"/>
              <w:spacing w:line="210" w:lineRule="exact"/>
              <w:ind w:left="36"/>
              <w:rPr>
                <w:sz w:val="20"/>
              </w:rPr>
            </w:pPr>
            <w:r>
              <w:rPr>
                <w:sz w:val="20"/>
              </w:rPr>
              <w:t>Sum</w:t>
            </w:r>
            <w:r>
              <w:rPr>
                <w:spacing w:val="-8"/>
                <w:sz w:val="20"/>
              </w:rPr>
              <w:t> </w:t>
            </w:r>
            <w:r>
              <w:rPr>
                <w:sz w:val="20"/>
              </w:rPr>
              <w:t>squared</w:t>
            </w:r>
            <w:r>
              <w:rPr>
                <w:spacing w:val="-4"/>
                <w:sz w:val="20"/>
              </w:rPr>
              <w:t> </w:t>
            </w:r>
            <w:r>
              <w:rPr>
                <w:spacing w:val="-2"/>
                <w:sz w:val="20"/>
              </w:rPr>
              <w:t>resid</w:t>
            </w:r>
          </w:p>
        </w:tc>
        <w:tc>
          <w:tcPr>
            <w:tcW w:w="1375" w:type="dxa"/>
          </w:tcPr>
          <w:p>
            <w:pPr>
              <w:pStyle w:val="TableParagraph"/>
              <w:spacing w:line="210" w:lineRule="exact"/>
              <w:ind w:right="128"/>
              <w:jc w:val="right"/>
              <w:rPr>
                <w:sz w:val="20"/>
              </w:rPr>
            </w:pPr>
            <w:r>
              <w:rPr>
                <w:spacing w:val="-2"/>
                <w:sz w:val="20"/>
              </w:rPr>
              <w:t>2.752476</w:t>
            </w:r>
          </w:p>
        </w:tc>
        <w:tc>
          <w:tcPr>
            <w:tcW w:w="2368" w:type="dxa"/>
            <w:gridSpan w:val="2"/>
          </w:tcPr>
          <w:p>
            <w:pPr>
              <w:pStyle w:val="TableParagraph"/>
              <w:spacing w:line="210" w:lineRule="exact"/>
              <w:ind w:left="131"/>
              <w:rPr>
                <w:sz w:val="20"/>
              </w:rPr>
            </w:pPr>
            <w:r>
              <w:rPr>
                <w:sz w:val="20"/>
              </w:rPr>
              <w:t>Schwarz</w:t>
            </w:r>
            <w:r>
              <w:rPr>
                <w:spacing w:val="-8"/>
                <w:sz w:val="20"/>
              </w:rPr>
              <w:t> </w:t>
            </w:r>
            <w:r>
              <w:rPr>
                <w:spacing w:val="-2"/>
                <w:sz w:val="20"/>
              </w:rPr>
              <w:t>criterion</w:t>
            </w:r>
          </w:p>
        </w:tc>
        <w:tc>
          <w:tcPr>
            <w:tcW w:w="896" w:type="dxa"/>
          </w:tcPr>
          <w:p>
            <w:pPr>
              <w:pStyle w:val="TableParagraph"/>
              <w:spacing w:line="210" w:lineRule="exact"/>
              <w:ind w:right="26"/>
              <w:jc w:val="right"/>
              <w:rPr>
                <w:sz w:val="20"/>
              </w:rPr>
            </w:pPr>
            <w:r>
              <w:rPr>
                <w:spacing w:val="-2"/>
                <w:sz w:val="20"/>
              </w:rPr>
              <w:t>0.438165</w:t>
            </w:r>
          </w:p>
        </w:tc>
      </w:tr>
      <w:tr>
        <w:trPr>
          <w:trHeight w:val="229" w:hRule="atLeast"/>
        </w:trPr>
        <w:tc>
          <w:tcPr>
            <w:tcW w:w="1847" w:type="dxa"/>
          </w:tcPr>
          <w:p>
            <w:pPr>
              <w:pStyle w:val="TableParagraph"/>
              <w:spacing w:line="209" w:lineRule="exact"/>
              <w:ind w:left="36"/>
              <w:rPr>
                <w:sz w:val="20"/>
              </w:rPr>
            </w:pPr>
            <w:r>
              <w:rPr>
                <w:sz w:val="20"/>
              </w:rPr>
              <w:t>Log</w:t>
            </w:r>
            <w:r>
              <w:rPr>
                <w:spacing w:val="-6"/>
                <w:sz w:val="20"/>
              </w:rPr>
              <w:t> </w:t>
            </w:r>
            <w:r>
              <w:rPr>
                <w:spacing w:val="-2"/>
                <w:sz w:val="20"/>
              </w:rPr>
              <w:t>likelihood</w:t>
            </w:r>
          </w:p>
        </w:tc>
        <w:tc>
          <w:tcPr>
            <w:tcW w:w="1375" w:type="dxa"/>
          </w:tcPr>
          <w:p>
            <w:pPr>
              <w:pStyle w:val="TableParagraph"/>
              <w:spacing w:line="209" w:lineRule="exact"/>
              <w:ind w:right="128"/>
              <w:jc w:val="right"/>
              <w:rPr>
                <w:sz w:val="20"/>
              </w:rPr>
            </w:pPr>
            <w:r>
              <w:rPr>
                <w:spacing w:val="-4"/>
                <w:sz w:val="20"/>
              </w:rPr>
              <w:t>-</w:t>
            </w:r>
            <w:r>
              <w:rPr>
                <w:spacing w:val="-2"/>
                <w:sz w:val="20"/>
              </w:rPr>
              <w:t>3.229971</w:t>
            </w:r>
          </w:p>
        </w:tc>
        <w:tc>
          <w:tcPr>
            <w:tcW w:w="1432" w:type="dxa"/>
          </w:tcPr>
          <w:p>
            <w:pPr>
              <w:pStyle w:val="TableParagraph"/>
              <w:spacing w:line="209" w:lineRule="exact"/>
              <w:ind w:left="131"/>
              <w:rPr>
                <w:sz w:val="20"/>
              </w:rPr>
            </w:pPr>
            <w:r>
              <w:rPr>
                <w:spacing w:val="-4"/>
                <w:sz w:val="20"/>
              </w:rPr>
              <w:t>F-</w:t>
            </w:r>
            <w:r>
              <w:rPr>
                <w:spacing w:val="-2"/>
                <w:sz w:val="20"/>
              </w:rPr>
              <w:t>statistic</w:t>
            </w:r>
          </w:p>
        </w:tc>
        <w:tc>
          <w:tcPr>
            <w:tcW w:w="936" w:type="dxa"/>
          </w:tcPr>
          <w:p>
            <w:pPr>
              <w:pStyle w:val="TableParagraph"/>
              <w:rPr>
                <w:sz w:val="16"/>
              </w:rPr>
            </w:pPr>
          </w:p>
        </w:tc>
        <w:tc>
          <w:tcPr>
            <w:tcW w:w="896" w:type="dxa"/>
          </w:tcPr>
          <w:p>
            <w:pPr>
              <w:pStyle w:val="TableParagraph"/>
              <w:spacing w:line="209" w:lineRule="exact"/>
              <w:ind w:right="26"/>
              <w:jc w:val="right"/>
              <w:rPr>
                <w:sz w:val="20"/>
              </w:rPr>
            </w:pPr>
            <w:r>
              <w:rPr>
                <w:spacing w:val="-2"/>
                <w:sz w:val="20"/>
              </w:rPr>
              <w:t>1.275133</w:t>
            </w:r>
          </w:p>
        </w:tc>
      </w:tr>
      <w:tr>
        <w:trPr>
          <w:trHeight w:val="266" w:hRule="atLeast"/>
        </w:trPr>
        <w:tc>
          <w:tcPr>
            <w:tcW w:w="1847" w:type="dxa"/>
            <w:tcBorders>
              <w:bottom w:val="double" w:sz="6" w:space="0" w:color="000000"/>
            </w:tcBorders>
          </w:tcPr>
          <w:p>
            <w:pPr>
              <w:pStyle w:val="TableParagraph"/>
              <w:spacing w:line="224" w:lineRule="exact"/>
              <w:ind w:left="36"/>
              <w:rPr>
                <w:sz w:val="20"/>
              </w:rPr>
            </w:pPr>
            <w:r>
              <w:rPr>
                <w:sz w:val="20"/>
              </w:rPr>
              <w:t>Durbin-Watson</w:t>
            </w:r>
            <w:r>
              <w:rPr>
                <w:spacing w:val="-12"/>
                <w:sz w:val="20"/>
              </w:rPr>
              <w:t> </w:t>
            </w:r>
            <w:r>
              <w:rPr>
                <w:spacing w:val="-4"/>
                <w:sz w:val="20"/>
              </w:rPr>
              <w:t>stat</w:t>
            </w:r>
          </w:p>
        </w:tc>
        <w:tc>
          <w:tcPr>
            <w:tcW w:w="1375" w:type="dxa"/>
          </w:tcPr>
          <w:p>
            <w:pPr>
              <w:pStyle w:val="TableParagraph"/>
              <w:spacing w:line="224" w:lineRule="exact"/>
              <w:ind w:right="128"/>
              <w:jc w:val="right"/>
              <w:rPr>
                <w:sz w:val="20"/>
              </w:rPr>
            </w:pPr>
            <w:r>
              <w:rPr>
                <w:spacing w:val="-2"/>
                <w:sz w:val="20"/>
              </w:rPr>
              <w:t>2.003245</w:t>
            </w:r>
          </w:p>
        </w:tc>
        <w:tc>
          <w:tcPr>
            <w:tcW w:w="1432" w:type="dxa"/>
            <w:tcBorders>
              <w:bottom w:val="double" w:sz="6" w:space="0" w:color="000000"/>
            </w:tcBorders>
          </w:tcPr>
          <w:p>
            <w:pPr>
              <w:pStyle w:val="TableParagraph"/>
              <w:spacing w:line="224" w:lineRule="exact"/>
              <w:ind w:left="131"/>
              <w:rPr>
                <w:sz w:val="20"/>
              </w:rPr>
            </w:pPr>
            <w:r>
              <w:rPr>
                <w:spacing w:val="-2"/>
                <w:sz w:val="20"/>
              </w:rPr>
              <w:t>Prob(F-statistic)</w:t>
            </w:r>
          </w:p>
        </w:tc>
        <w:tc>
          <w:tcPr>
            <w:tcW w:w="936" w:type="dxa"/>
            <w:tcBorders>
              <w:bottom w:val="single" w:sz="6" w:space="0" w:color="000000"/>
            </w:tcBorders>
          </w:tcPr>
          <w:p>
            <w:pPr>
              <w:pStyle w:val="TableParagraph"/>
              <w:rPr>
                <w:sz w:val="18"/>
              </w:rPr>
            </w:pPr>
          </w:p>
        </w:tc>
        <w:tc>
          <w:tcPr>
            <w:tcW w:w="896" w:type="dxa"/>
            <w:tcBorders>
              <w:bottom w:val="double" w:sz="6" w:space="0" w:color="000000"/>
            </w:tcBorders>
          </w:tcPr>
          <w:p>
            <w:pPr>
              <w:pStyle w:val="TableParagraph"/>
              <w:spacing w:line="224" w:lineRule="exact"/>
              <w:ind w:right="26"/>
              <w:jc w:val="right"/>
              <w:rPr>
                <w:sz w:val="20"/>
              </w:rPr>
            </w:pPr>
            <w:r>
              <w:rPr>
                <w:spacing w:val="-2"/>
                <w:sz w:val="20"/>
              </w:rPr>
              <w:t>0.291386</w:t>
            </w:r>
          </w:p>
        </w:tc>
      </w:tr>
    </w:tbl>
    <w:p>
      <w:pPr>
        <w:spacing w:after="0" w:line="224" w:lineRule="exact"/>
        <w:jc w:val="right"/>
        <w:rPr>
          <w:sz w:val="20"/>
        </w:rPr>
        <w:sectPr>
          <w:pgSz w:w="11910" w:h="16840"/>
          <w:pgMar w:header="0" w:footer="979" w:top="1340" w:bottom="1240" w:left="280" w:right="0"/>
        </w:sectPr>
      </w:pPr>
    </w:p>
    <w:p>
      <w:pPr>
        <w:spacing w:before="82" w:after="3"/>
        <w:ind w:left="711" w:right="0" w:firstLine="0"/>
        <w:jc w:val="left"/>
        <w:rPr>
          <w:sz w:val="20"/>
        </w:rPr>
      </w:pPr>
      <w:r>
        <w:rPr>
          <w:sz w:val="20"/>
        </w:rPr>
        <w:t>GOCE</w:t>
      </w:r>
      <w:r>
        <w:rPr>
          <w:spacing w:val="-3"/>
          <w:sz w:val="20"/>
        </w:rPr>
        <w:t> </w:t>
      </w:r>
      <w:r>
        <w:rPr>
          <w:sz w:val="20"/>
        </w:rPr>
        <w:t>@</w:t>
      </w:r>
      <w:r>
        <w:rPr>
          <w:spacing w:val="-4"/>
          <w:sz w:val="20"/>
        </w:rPr>
        <w:t> </w:t>
      </w:r>
      <w:r>
        <w:rPr>
          <w:sz w:val="20"/>
        </w:rPr>
        <w:t>1</w:t>
      </w:r>
      <w:r>
        <w:rPr>
          <w:sz w:val="20"/>
          <w:vertAlign w:val="superscript"/>
        </w:rPr>
        <w:t>ST</w:t>
      </w:r>
      <w:r>
        <w:rPr>
          <w:spacing w:val="-3"/>
          <w:sz w:val="20"/>
          <w:vertAlign w:val="baseline"/>
        </w:rPr>
        <w:t> </w:t>
      </w:r>
      <w:r>
        <w:rPr>
          <w:spacing w:val="-4"/>
          <w:sz w:val="20"/>
          <w:vertAlign w:val="baseline"/>
        </w:rPr>
        <w:t>DIFF</w:t>
      </w:r>
    </w:p>
    <w:tbl>
      <w:tblPr>
        <w:tblW w:w="0" w:type="auto"/>
        <w:jc w:val="left"/>
        <w:tblInd w:w="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62"/>
        <w:gridCol w:w="1361"/>
        <w:gridCol w:w="1433"/>
        <w:gridCol w:w="905"/>
        <w:gridCol w:w="930"/>
      </w:tblGrid>
      <w:tr>
        <w:trPr>
          <w:trHeight w:val="224" w:hRule="atLeast"/>
        </w:trPr>
        <w:tc>
          <w:tcPr>
            <w:tcW w:w="1862" w:type="dxa"/>
          </w:tcPr>
          <w:p>
            <w:pPr>
              <w:pStyle w:val="TableParagraph"/>
              <w:spacing w:line="204" w:lineRule="exact"/>
              <w:ind w:left="36"/>
              <w:rPr>
                <w:sz w:val="20"/>
              </w:rPr>
            </w:pPr>
            <w:r>
              <w:rPr>
                <w:sz w:val="20"/>
              </w:rPr>
              <w:t>ADF</w:t>
            </w:r>
            <w:r>
              <w:rPr>
                <w:spacing w:val="-4"/>
                <w:sz w:val="20"/>
              </w:rPr>
              <w:t> </w:t>
            </w:r>
            <w:r>
              <w:rPr>
                <w:sz w:val="20"/>
              </w:rPr>
              <w:t>Test</w:t>
            </w:r>
            <w:r>
              <w:rPr>
                <w:spacing w:val="-4"/>
                <w:sz w:val="20"/>
              </w:rPr>
              <w:t> </w:t>
            </w:r>
            <w:r>
              <w:rPr>
                <w:spacing w:val="-2"/>
                <w:sz w:val="20"/>
              </w:rPr>
              <w:t>Statistic</w:t>
            </w:r>
          </w:p>
        </w:tc>
        <w:tc>
          <w:tcPr>
            <w:tcW w:w="1361" w:type="dxa"/>
          </w:tcPr>
          <w:p>
            <w:pPr>
              <w:pStyle w:val="TableParagraph"/>
              <w:spacing w:line="204" w:lineRule="exact"/>
              <w:ind w:left="204"/>
              <w:rPr>
                <w:sz w:val="20"/>
              </w:rPr>
            </w:pPr>
            <w:r>
              <w:rPr>
                <w:spacing w:val="-4"/>
                <w:sz w:val="20"/>
              </w:rPr>
              <w:t>-</w:t>
            </w:r>
            <w:r>
              <w:rPr>
                <w:spacing w:val="-2"/>
                <w:sz w:val="20"/>
              </w:rPr>
              <w:t>4.950671</w:t>
            </w:r>
          </w:p>
        </w:tc>
        <w:tc>
          <w:tcPr>
            <w:tcW w:w="2338" w:type="dxa"/>
            <w:gridSpan w:val="2"/>
          </w:tcPr>
          <w:p>
            <w:pPr>
              <w:pStyle w:val="TableParagraph"/>
              <w:spacing w:line="204" w:lineRule="exact"/>
              <w:ind w:left="130"/>
              <w:rPr>
                <w:sz w:val="20"/>
              </w:rPr>
            </w:pPr>
            <w:r>
              <w:rPr>
                <w:sz w:val="20"/>
              </w:rPr>
              <w:t>1%</w:t>
            </w:r>
            <w:r>
              <w:rPr>
                <w:spacing w:val="68"/>
                <w:w w:val="150"/>
                <w:sz w:val="20"/>
              </w:rPr>
              <w:t> </w:t>
            </w:r>
            <w:r>
              <w:rPr>
                <w:sz w:val="20"/>
              </w:rPr>
              <w:t>Critical</w:t>
            </w:r>
            <w:r>
              <w:rPr>
                <w:spacing w:val="-2"/>
                <w:sz w:val="20"/>
              </w:rPr>
              <w:t> Value*</w:t>
            </w:r>
          </w:p>
        </w:tc>
        <w:tc>
          <w:tcPr>
            <w:tcW w:w="930" w:type="dxa"/>
          </w:tcPr>
          <w:p>
            <w:pPr>
              <w:pStyle w:val="TableParagraph"/>
              <w:spacing w:line="204" w:lineRule="exact"/>
              <w:ind w:right="31"/>
              <w:jc w:val="right"/>
              <w:rPr>
                <w:sz w:val="20"/>
              </w:rPr>
            </w:pPr>
            <w:r>
              <w:rPr>
                <w:spacing w:val="-4"/>
                <w:sz w:val="20"/>
              </w:rPr>
              <w:t>-</w:t>
            </w:r>
            <w:r>
              <w:rPr>
                <w:spacing w:val="-2"/>
                <w:sz w:val="20"/>
              </w:rPr>
              <w:t>3.6067</w:t>
            </w:r>
          </w:p>
        </w:tc>
      </w:tr>
      <w:tr>
        <w:trPr>
          <w:trHeight w:val="229" w:hRule="atLeast"/>
        </w:trPr>
        <w:tc>
          <w:tcPr>
            <w:tcW w:w="1862" w:type="dxa"/>
          </w:tcPr>
          <w:p>
            <w:pPr>
              <w:pStyle w:val="TableParagraph"/>
              <w:rPr>
                <w:sz w:val="16"/>
              </w:rPr>
            </w:pPr>
          </w:p>
        </w:tc>
        <w:tc>
          <w:tcPr>
            <w:tcW w:w="1361" w:type="dxa"/>
          </w:tcPr>
          <w:p>
            <w:pPr>
              <w:pStyle w:val="TableParagraph"/>
              <w:rPr>
                <w:sz w:val="16"/>
              </w:rPr>
            </w:pPr>
          </w:p>
        </w:tc>
        <w:tc>
          <w:tcPr>
            <w:tcW w:w="2338" w:type="dxa"/>
            <w:gridSpan w:val="2"/>
          </w:tcPr>
          <w:p>
            <w:pPr>
              <w:pStyle w:val="TableParagraph"/>
              <w:spacing w:line="209" w:lineRule="exact"/>
              <w:ind w:left="130"/>
              <w:rPr>
                <w:sz w:val="20"/>
              </w:rPr>
            </w:pPr>
            <w:r>
              <w:rPr>
                <w:sz w:val="20"/>
              </w:rPr>
              <w:t>5%</w:t>
            </w:r>
            <w:r>
              <w:rPr>
                <w:spacing w:val="68"/>
                <w:w w:val="150"/>
                <w:sz w:val="20"/>
              </w:rPr>
              <w:t> </w:t>
            </w:r>
            <w:r>
              <w:rPr>
                <w:sz w:val="20"/>
              </w:rPr>
              <w:t>Critical</w:t>
            </w:r>
            <w:r>
              <w:rPr>
                <w:spacing w:val="-2"/>
                <w:sz w:val="20"/>
              </w:rPr>
              <w:t> </w:t>
            </w:r>
            <w:r>
              <w:rPr>
                <w:spacing w:val="-4"/>
                <w:sz w:val="20"/>
              </w:rPr>
              <w:t>Value</w:t>
            </w:r>
          </w:p>
        </w:tc>
        <w:tc>
          <w:tcPr>
            <w:tcW w:w="930" w:type="dxa"/>
          </w:tcPr>
          <w:p>
            <w:pPr>
              <w:pStyle w:val="TableParagraph"/>
              <w:spacing w:line="209" w:lineRule="exact"/>
              <w:ind w:right="31"/>
              <w:jc w:val="right"/>
              <w:rPr>
                <w:sz w:val="20"/>
              </w:rPr>
            </w:pPr>
            <w:r>
              <w:rPr>
                <w:spacing w:val="-4"/>
                <w:sz w:val="20"/>
              </w:rPr>
              <w:t>-</w:t>
            </w:r>
            <w:r>
              <w:rPr>
                <w:spacing w:val="-2"/>
                <w:sz w:val="20"/>
              </w:rPr>
              <w:t>2.9378</w:t>
            </w:r>
          </w:p>
        </w:tc>
      </w:tr>
      <w:tr>
        <w:trPr>
          <w:trHeight w:val="224" w:hRule="atLeast"/>
        </w:trPr>
        <w:tc>
          <w:tcPr>
            <w:tcW w:w="1862" w:type="dxa"/>
            <w:tcBorders>
              <w:bottom w:val="double" w:sz="6" w:space="0" w:color="000000"/>
            </w:tcBorders>
          </w:tcPr>
          <w:p>
            <w:pPr>
              <w:pStyle w:val="TableParagraph"/>
              <w:rPr>
                <w:sz w:val="16"/>
              </w:rPr>
            </w:pPr>
          </w:p>
        </w:tc>
        <w:tc>
          <w:tcPr>
            <w:tcW w:w="1361" w:type="dxa"/>
            <w:tcBorders>
              <w:bottom w:val="double" w:sz="6" w:space="0" w:color="000000"/>
            </w:tcBorders>
          </w:tcPr>
          <w:p>
            <w:pPr>
              <w:pStyle w:val="TableParagraph"/>
              <w:rPr>
                <w:sz w:val="16"/>
              </w:rPr>
            </w:pPr>
          </w:p>
        </w:tc>
        <w:tc>
          <w:tcPr>
            <w:tcW w:w="2338" w:type="dxa"/>
            <w:gridSpan w:val="2"/>
            <w:tcBorders>
              <w:bottom w:val="double" w:sz="6" w:space="0" w:color="000000"/>
            </w:tcBorders>
          </w:tcPr>
          <w:p>
            <w:pPr>
              <w:pStyle w:val="TableParagraph"/>
              <w:spacing w:line="205" w:lineRule="exact"/>
              <w:ind w:left="130"/>
              <w:rPr>
                <w:sz w:val="20"/>
              </w:rPr>
            </w:pPr>
            <w:r>
              <w:rPr>
                <w:sz w:val="20"/>
              </w:rPr>
              <w:t>10%</w:t>
            </w:r>
            <w:r>
              <w:rPr>
                <w:spacing w:val="-6"/>
                <w:sz w:val="20"/>
              </w:rPr>
              <w:t> </w:t>
            </w:r>
            <w:r>
              <w:rPr>
                <w:sz w:val="20"/>
              </w:rPr>
              <w:t>Critical</w:t>
            </w:r>
            <w:r>
              <w:rPr>
                <w:spacing w:val="-4"/>
                <w:sz w:val="20"/>
              </w:rPr>
              <w:t> </w:t>
            </w:r>
            <w:r>
              <w:rPr>
                <w:spacing w:val="-2"/>
                <w:sz w:val="20"/>
              </w:rPr>
              <w:t>Value</w:t>
            </w:r>
          </w:p>
        </w:tc>
        <w:tc>
          <w:tcPr>
            <w:tcW w:w="930" w:type="dxa"/>
            <w:tcBorders>
              <w:bottom w:val="double" w:sz="6" w:space="0" w:color="000000"/>
            </w:tcBorders>
          </w:tcPr>
          <w:p>
            <w:pPr>
              <w:pStyle w:val="TableParagraph"/>
              <w:spacing w:line="205" w:lineRule="exact"/>
              <w:ind w:right="31"/>
              <w:jc w:val="right"/>
              <w:rPr>
                <w:sz w:val="20"/>
              </w:rPr>
            </w:pPr>
            <w:r>
              <w:rPr>
                <w:spacing w:val="-4"/>
                <w:sz w:val="20"/>
              </w:rPr>
              <w:t>-</w:t>
            </w:r>
            <w:r>
              <w:rPr>
                <w:spacing w:val="-2"/>
                <w:sz w:val="20"/>
              </w:rPr>
              <w:t>2.6069</w:t>
            </w:r>
          </w:p>
        </w:tc>
      </w:tr>
      <w:tr>
        <w:trPr>
          <w:trHeight w:val="506" w:hRule="atLeast"/>
        </w:trPr>
        <w:tc>
          <w:tcPr>
            <w:tcW w:w="6491" w:type="dxa"/>
            <w:gridSpan w:val="5"/>
            <w:tcBorders>
              <w:top w:val="double" w:sz="6" w:space="0" w:color="000000"/>
            </w:tcBorders>
          </w:tcPr>
          <w:p>
            <w:pPr>
              <w:pStyle w:val="TableParagraph"/>
              <w:spacing w:before="42"/>
              <w:ind w:left="36"/>
              <w:rPr>
                <w:sz w:val="20"/>
              </w:rPr>
            </w:pPr>
            <w:r>
              <w:rPr>
                <w:sz w:val="20"/>
              </w:rPr>
              <w:t>*MacKinnon</w:t>
            </w:r>
            <w:r>
              <w:rPr>
                <w:spacing w:val="-6"/>
                <w:sz w:val="20"/>
              </w:rPr>
              <w:t> </w:t>
            </w:r>
            <w:r>
              <w:rPr>
                <w:sz w:val="20"/>
              </w:rPr>
              <w:t>critical</w:t>
            </w:r>
            <w:r>
              <w:rPr>
                <w:spacing w:val="-4"/>
                <w:sz w:val="20"/>
              </w:rPr>
              <w:t> </w:t>
            </w:r>
            <w:r>
              <w:rPr>
                <w:sz w:val="20"/>
              </w:rPr>
              <w:t>values</w:t>
            </w:r>
            <w:r>
              <w:rPr>
                <w:spacing w:val="-6"/>
                <w:sz w:val="20"/>
              </w:rPr>
              <w:t> </w:t>
            </w:r>
            <w:r>
              <w:rPr>
                <w:sz w:val="20"/>
              </w:rPr>
              <w:t>for</w:t>
            </w:r>
            <w:r>
              <w:rPr>
                <w:spacing w:val="-4"/>
                <w:sz w:val="20"/>
              </w:rPr>
              <w:t> </w:t>
            </w:r>
            <w:r>
              <w:rPr>
                <w:sz w:val="20"/>
              </w:rPr>
              <w:t>rejection</w:t>
            </w:r>
            <w:r>
              <w:rPr>
                <w:spacing w:val="-6"/>
                <w:sz w:val="20"/>
              </w:rPr>
              <w:t> </w:t>
            </w:r>
            <w:r>
              <w:rPr>
                <w:sz w:val="20"/>
              </w:rPr>
              <w:t>of</w:t>
            </w:r>
            <w:r>
              <w:rPr>
                <w:spacing w:val="-6"/>
                <w:sz w:val="20"/>
              </w:rPr>
              <w:t> </w:t>
            </w:r>
            <w:r>
              <w:rPr>
                <w:sz w:val="20"/>
              </w:rPr>
              <w:t>hypothesis</w:t>
            </w:r>
            <w:r>
              <w:rPr>
                <w:spacing w:val="-6"/>
                <w:sz w:val="20"/>
              </w:rPr>
              <w:t> </w:t>
            </w:r>
            <w:r>
              <w:rPr>
                <w:sz w:val="20"/>
              </w:rPr>
              <w:t>of</w:t>
            </w:r>
            <w:r>
              <w:rPr>
                <w:spacing w:val="-6"/>
                <w:sz w:val="20"/>
              </w:rPr>
              <w:t> </w:t>
            </w:r>
            <w:r>
              <w:rPr>
                <w:sz w:val="20"/>
              </w:rPr>
              <w:t>a</w:t>
            </w:r>
            <w:r>
              <w:rPr>
                <w:spacing w:val="-4"/>
                <w:sz w:val="20"/>
              </w:rPr>
              <w:t> </w:t>
            </w:r>
            <w:r>
              <w:rPr>
                <w:sz w:val="20"/>
              </w:rPr>
              <w:t>unit</w:t>
            </w:r>
            <w:r>
              <w:rPr>
                <w:spacing w:val="-6"/>
                <w:sz w:val="20"/>
              </w:rPr>
              <w:t> </w:t>
            </w:r>
            <w:r>
              <w:rPr>
                <w:spacing w:val="-2"/>
                <w:sz w:val="20"/>
              </w:rPr>
              <w:t>root.</w:t>
            </w:r>
          </w:p>
        </w:tc>
      </w:tr>
      <w:tr>
        <w:trPr>
          <w:trHeight w:val="459" w:hRule="atLeast"/>
        </w:trPr>
        <w:tc>
          <w:tcPr>
            <w:tcW w:w="6491" w:type="dxa"/>
            <w:gridSpan w:val="5"/>
          </w:tcPr>
          <w:p>
            <w:pPr>
              <w:pStyle w:val="TableParagraph"/>
              <w:spacing w:line="215" w:lineRule="exact" w:before="225"/>
              <w:ind w:left="36"/>
              <w:rPr>
                <w:sz w:val="20"/>
              </w:rPr>
            </w:pPr>
            <w:r>
              <w:rPr>
                <w:sz w:val="20"/>
              </w:rPr>
              <w:t>Augmented</w:t>
            </w:r>
            <w:r>
              <w:rPr>
                <w:spacing w:val="-8"/>
                <w:sz w:val="20"/>
              </w:rPr>
              <w:t> </w:t>
            </w:r>
            <w:r>
              <w:rPr>
                <w:sz w:val="20"/>
              </w:rPr>
              <w:t>Dickey-Fuller</w:t>
            </w:r>
            <w:r>
              <w:rPr>
                <w:spacing w:val="-8"/>
                <w:sz w:val="20"/>
              </w:rPr>
              <w:t> </w:t>
            </w:r>
            <w:r>
              <w:rPr>
                <w:sz w:val="20"/>
              </w:rPr>
              <w:t>Test</w:t>
            </w:r>
            <w:r>
              <w:rPr>
                <w:spacing w:val="-9"/>
                <w:sz w:val="20"/>
              </w:rPr>
              <w:t> </w:t>
            </w:r>
            <w:r>
              <w:rPr>
                <w:spacing w:val="-2"/>
                <w:sz w:val="20"/>
              </w:rPr>
              <w:t>Equation</w:t>
            </w:r>
          </w:p>
        </w:tc>
      </w:tr>
      <w:tr>
        <w:trPr>
          <w:trHeight w:val="230" w:hRule="atLeast"/>
        </w:trPr>
        <w:tc>
          <w:tcPr>
            <w:tcW w:w="6491" w:type="dxa"/>
            <w:gridSpan w:val="5"/>
          </w:tcPr>
          <w:p>
            <w:pPr>
              <w:pStyle w:val="TableParagraph"/>
              <w:spacing w:line="210" w:lineRule="exact"/>
              <w:ind w:left="36"/>
              <w:rPr>
                <w:sz w:val="20"/>
              </w:rPr>
            </w:pPr>
            <w:r>
              <w:rPr>
                <w:sz w:val="20"/>
              </w:rPr>
              <w:t>Dependent</w:t>
            </w:r>
            <w:r>
              <w:rPr>
                <w:spacing w:val="-8"/>
                <w:sz w:val="20"/>
              </w:rPr>
              <w:t> </w:t>
            </w:r>
            <w:r>
              <w:rPr>
                <w:sz w:val="20"/>
              </w:rPr>
              <w:t>Variable:</w:t>
            </w:r>
            <w:r>
              <w:rPr>
                <w:spacing w:val="-8"/>
                <w:sz w:val="20"/>
              </w:rPr>
              <w:t> </w:t>
            </w:r>
            <w:r>
              <w:rPr>
                <w:spacing w:val="-2"/>
                <w:sz w:val="20"/>
              </w:rPr>
              <w:t>D(GOCE,2)</w:t>
            </w:r>
          </w:p>
        </w:tc>
      </w:tr>
      <w:tr>
        <w:trPr>
          <w:trHeight w:val="229" w:hRule="atLeast"/>
        </w:trPr>
        <w:tc>
          <w:tcPr>
            <w:tcW w:w="1862" w:type="dxa"/>
          </w:tcPr>
          <w:p>
            <w:pPr>
              <w:pStyle w:val="TableParagraph"/>
              <w:spacing w:line="209" w:lineRule="exact"/>
              <w:ind w:left="36" w:right="-15"/>
              <w:rPr>
                <w:sz w:val="20"/>
              </w:rPr>
            </w:pPr>
            <w:r>
              <w:rPr>
                <w:sz w:val="20"/>
              </w:rPr>
              <w:t>Method:</w:t>
            </w:r>
            <w:r>
              <w:rPr>
                <w:spacing w:val="-8"/>
                <w:sz w:val="20"/>
              </w:rPr>
              <w:t> </w:t>
            </w:r>
            <w:r>
              <w:rPr>
                <w:sz w:val="20"/>
              </w:rPr>
              <w:t>Least</w:t>
            </w:r>
            <w:r>
              <w:rPr>
                <w:spacing w:val="-7"/>
                <w:sz w:val="20"/>
              </w:rPr>
              <w:t> </w:t>
            </w:r>
            <w:r>
              <w:rPr>
                <w:spacing w:val="-2"/>
                <w:sz w:val="20"/>
              </w:rPr>
              <w:t>Squares</w:t>
            </w:r>
          </w:p>
        </w:tc>
        <w:tc>
          <w:tcPr>
            <w:tcW w:w="1361" w:type="dxa"/>
          </w:tcPr>
          <w:p>
            <w:pPr>
              <w:pStyle w:val="TableParagraph"/>
              <w:rPr>
                <w:sz w:val="16"/>
              </w:rPr>
            </w:pPr>
          </w:p>
        </w:tc>
        <w:tc>
          <w:tcPr>
            <w:tcW w:w="1433" w:type="dxa"/>
          </w:tcPr>
          <w:p>
            <w:pPr>
              <w:pStyle w:val="TableParagraph"/>
              <w:rPr>
                <w:sz w:val="16"/>
              </w:rPr>
            </w:pPr>
          </w:p>
        </w:tc>
        <w:tc>
          <w:tcPr>
            <w:tcW w:w="905" w:type="dxa"/>
          </w:tcPr>
          <w:p>
            <w:pPr>
              <w:pStyle w:val="TableParagraph"/>
              <w:rPr>
                <w:sz w:val="16"/>
              </w:rPr>
            </w:pPr>
          </w:p>
        </w:tc>
        <w:tc>
          <w:tcPr>
            <w:tcW w:w="930" w:type="dxa"/>
          </w:tcPr>
          <w:p>
            <w:pPr>
              <w:pStyle w:val="TableParagraph"/>
              <w:rPr>
                <w:sz w:val="16"/>
              </w:rPr>
            </w:pPr>
          </w:p>
        </w:tc>
      </w:tr>
      <w:tr>
        <w:trPr>
          <w:trHeight w:val="229" w:hRule="atLeast"/>
        </w:trPr>
        <w:tc>
          <w:tcPr>
            <w:tcW w:w="6491" w:type="dxa"/>
            <w:gridSpan w:val="5"/>
          </w:tcPr>
          <w:p>
            <w:pPr>
              <w:pStyle w:val="TableParagraph"/>
              <w:spacing w:line="209" w:lineRule="exact"/>
              <w:ind w:left="36"/>
              <w:rPr>
                <w:sz w:val="20"/>
              </w:rPr>
            </w:pPr>
            <w:r>
              <w:rPr>
                <w:sz w:val="20"/>
              </w:rPr>
              <w:t>Date:</w:t>
            </w:r>
            <w:r>
              <w:rPr>
                <w:spacing w:val="-5"/>
                <w:sz w:val="20"/>
              </w:rPr>
              <w:t> </w:t>
            </w:r>
            <w:r>
              <w:rPr>
                <w:sz w:val="20"/>
              </w:rPr>
              <w:t>02/18/14</w:t>
            </w:r>
            <w:r>
              <w:rPr>
                <w:spacing w:val="63"/>
                <w:w w:val="150"/>
                <w:sz w:val="20"/>
              </w:rPr>
              <w:t> </w:t>
            </w:r>
            <w:r>
              <w:rPr>
                <w:sz w:val="20"/>
              </w:rPr>
              <w:t>Time:</w:t>
            </w:r>
            <w:r>
              <w:rPr>
                <w:spacing w:val="-3"/>
                <w:sz w:val="20"/>
              </w:rPr>
              <w:t> </w:t>
            </w:r>
            <w:r>
              <w:rPr>
                <w:spacing w:val="-2"/>
                <w:sz w:val="20"/>
              </w:rPr>
              <w:t>13:45</w:t>
            </w:r>
          </w:p>
        </w:tc>
      </w:tr>
      <w:tr>
        <w:trPr>
          <w:trHeight w:val="230" w:hRule="atLeast"/>
        </w:trPr>
        <w:tc>
          <w:tcPr>
            <w:tcW w:w="6491" w:type="dxa"/>
            <w:gridSpan w:val="5"/>
          </w:tcPr>
          <w:p>
            <w:pPr>
              <w:pStyle w:val="TableParagraph"/>
              <w:spacing w:line="210" w:lineRule="exact"/>
              <w:ind w:left="36"/>
              <w:rPr>
                <w:sz w:val="20"/>
              </w:rPr>
            </w:pPr>
            <w:r>
              <w:rPr>
                <w:sz w:val="20"/>
              </w:rPr>
              <w:t>Sample(adjusted):</w:t>
            </w:r>
            <w:r>
              <w:rPr>
                <w:spacing w:val="-9"/>
                <w:sz w:val="20"/>
              </w:rPr>
              <w:t> </w:t>
            </w:r>
            <w:r>
              <w:rPr>
                <w:sz w:val="20"/>
              </w:rPr>
              <w:t>1973</w:t>
            </w:r>
            <w:r>
              <w:rPr>
                <w:spacing w:val="-9"/>
                <w:sz w:val="20"/>
              </w:rPr>
              <w:t> </w:t>
            </w:r>
            <w:r>
              <w:rPr>
                <w:spacing w:val="-4"/>
                <w:sz w:val="20"/>
              </w:rPr>
              <w:t>2011</w:t>
            </w:r>
          </w:p>
        </w:tc>
      </w:tr>
      <w:tr>
        <w:trPr>
          <w:trHeight w:val="224" w:hRule="atLeast"/>
        </w:trPr>
        <w:tc>
          <w:tcPr>
            <w:tcW w:w="6491" w:type="dxa"/>
            <w:gridSpan w:val="5"/>
            <w:tcBorders>
              <w:bottom w:val="double" w:sz="6" w:space="0" w:color="000000"/>
            </w:tcBorders>
          </w:tcPr>
          <w:p>
            <w:pPr>
              <w:pStyle w:val="TableParagraph"/>
              <w:spacing w:line="205" w:lineRule="exact"/>
              <w:ind w:left="36"/>
              <w:rPr>
                <w:sz w:val="20"/>
              </w:rPr>
            </w:pPr>
            <w:r>
              <w:rPr>
                <w:sz w:val="20"/>
              </w:rPr>
              <w:t>Included</w:t>
            </w:r>
            <w:r>
              <w:rPr>
                <w:spacing w:val="-5"/>
                <w:sz w:val="20"/>
              </w:rPr>
              <w:t> </w:t>
            </w:r>
            <w:r>
              <w:rPr>
                <w:sz w:val="20"/>
              </w:rPr>
              <w:t>observations:</w:t>
            </w:r>
            <w:r>
              <w:rPr>
                <w:spacing w:val="-8"/>
                <w:sz w:val="20"/>
              </w:rPr>
              <w:t> </w:t>
            </w:r>
            <w:r>
              <w:rPr>
                <w:sz w:val="20"/>
              </w:rPr>
              <w:t>39</w:t>
            </w:r>
            <w:r>
              <w:rPr>
                <w:spacing w:val="-5"/>
                <w:sz w:val="20"/>
              </w:rPr>
              <w:t> </w:t>
            </w:r>
            <w:r>
              <w:rPr>
                <w:sz w:val="20"/>
              </w:rPr>
              <w:t>after</w:t>
            </w:r>
            <w:r>
              <w:rPr>
                <w:spacing w:val="-7"/>
                <w:sz w:val="20"/>
              </w:rPr>
              <w:t> </w:t>
            </w:r>
            <w:r>
              <w:rPr>
                <w:sz w:val="20"/>
              </w:rPr>
              <w:t>adjusting</w:t>
            </w:r>
            <w:r>
              <w:rPr>
                <w:spacing w:val="-7"/>
                <w:sz w:val="20"/>
              </w:rPr>
              <w:t> </w:t>
            </w:r>
            <w:r>
              <w:rPr>
                <w:spacing w:val="-2"/>
                <w:sz w:val="20"/>
              </w:rPr>
              <w:t>endpoints</w:t>
            </w:r>
          </w:p>
        </w:tc>
      </w:tr>
      <w:tr>
        <w:trPr>
          <w:trHeight w:val="269" w:hRule="atLeast"/>
        </w:trPr>
        <w:tc>
          <w:tcPr>
            <w:tcW w:w="1862" w:type="dxa"/>
            <w:tcBorders>
              <w:top w:val="double" w:sz="6" w:space="0" w:color="000000"/>
              <w:bottom w:val="double" w:sz="6" w:space="0" w:color="000000"/>
            </w:tcBorders>
          </w:tcPr>
          <w:p>
            <w:pPr>
              <w:pStyle w:val="TableParagraph"/>
              <w:spacing w:line="209" w:lineRule="exact" w:before="40"/>
              <w:ind w:left="677"/>
              <w:rPr>
                <w:sz w:val="20"/>
              </w:rPr>
            </w:pPr>
            <w:r>
              <w:rPr>
                <w:spacing w:val="-2"/>
                <w:sz w:val="20"/>
              </w:rPr>
              <w:t>Variable</w:t>
            </w:r>
          </w:p>
        </w:tc>
        <w:tc>
          <w:tcPr>
            <w:tcW w:w="1361" w:type="dxa"/>
            <w:tcBorders>
              <w:top w:val="double" w:sz="6" w:space="0" w:color="000000"/>
              <w:bottom w:val="double" w:sz="6" w:space="0" w:color="000000"/>
            </w:tcBorders>
          </w:tcPr>
          <w:p>
            <w:pPr>
              <w:pStyle w:val="TableParagraph"/>
              <w:spacing w:line="209" w:lineRule="exact" w:before="40"/>
              <w:ind w:right="132"/>
              <w:jc w:val="right"/>
              <w:rPr>
                <w:sz w:val="20"/>
              </w:rPr>
            </w:pPr>
            <w:r>
              <w:rPr>
                <w:spacing w:val="-2"/>
                <w:sz w:val="20"/>
              </w:rPr>
              <w:t>Coefficient</w:t>
            </w:r>
          </w:p>
        </w:tc>
        <w:tc>
          <w:tcPr>
            <w:tcW w:w="1433" w:type="dxa"/>
            <w:tcBorders>
              <w:top w:val="double" w:sz="6" w:space="0" w:color="000000"/>
              <w:bottom w:val="double" w:sz="6" w:space="0" w:color="000000"/>
            </w:tcBorders>
          </w:tcPr>
          <w:p>
            <w:pPr>
              <w:pStyle w:val="TableParagraph"/>
              <w:spacing w:line="209" w:lineRule="exact" w:before="40"/>
              <w:ind w:left="272"/>
              <w:rPr>
                <w:sz w:val="20"/>
              </w:rPr>
            </w:pPr>
            <w:r>
              <w:rPr>
                <w:sz w:val="20"/>
              </w:rPr>
              <w:t>Std.</w:t>
            </w:r>
            <w:r>
              <w:rPr>
                <w:spacing w:val="-4"/>
                <w:sz w:val="20"/>
              </w:rPr>
              <w:t> </w:t>
            </w:r>
            <w:r>
              <w:rPr>
                <w:spacing w:val="-2"/>
                <w:sz w:val="20"/>
              </w:rPr>
              <w:t>Error</w:t>
            </w:r>
          </w:p>
        </w:tc>
        <w:tc>
          <w:tcPr>
            <w:tcW w:w="905" w:type="dxa"/>
            <w:tcBorders>
              <w:top w:val="double" w:sz="6" w:space="0" w:color="000000"/>
              <w:bottom w:val="double" w:sz="6" w:space="0" w:color="000000"/>
            </w:tcBorders>
          </w:tcPr>
          <w:p>
            <w:pPr>
              <w:pStyle w:val="TableParagraph"/>
              <w:spacing w:line="209" w:lineRule="exact" w:before="40"/>
              <w:ind w:right="27"/>
              <w:jc w:val="center"/>
              <w:rPr>
                <w:sz w:val="20"/>
              </w:rPr>
            </w:pPr>
            <w:r>
              <w:rPr>
                <w:spacing w:val="-4"/>
                <w:sz w:val="20"/>
              </w:rPr>
              <w:t>t-</w:t>
            </w:r>
            <w:r>
              <w:rPr>
                <w:spacing w:val="-2"/>
                <w:sz w:val="20"/>
              </w:rPr>
              <w:t>Statistic</w:t>
            </w:r>
          </w:p>
        </w:tc>
        <w:tc>
          <w:tcPr>
            <w:tcW w:w="930" w:type="dxa"/>
            <w:tcBorders>
              <w:top w:val="double" w:sz="6" w:space="0" w:color="000000"/>
              <w:bottom w:val="double" w:sz="6" w:space="0" w:color="000000"/>
            </w:tcBorders>
          </w:tcPr>
          <w:p>
            <w:pPr>
              <w:pStyle w:val="TableParagraph"/>
              <w:spacing w:line="209" w:lineRule="exact" w:before="40"/>
              <w:ind w:right="32"/>
              <w:jc w:val="right"/>
              <w:rPr>
                <w:sz w:val="20"/>
              </w:rPr>
            </w:pPr>
            <w:r>
              <w:rPr>
                <w:spacing w:val="-2"/>
                <w:sz w:val="20"/>
              </w:rPr>
              <w:t>Prob.</w:t>
            </w:r>
          </w:p>
        </w:tc>
      </w:tr>
      <w:tr>
        <w:trPr>
          <w:trHeight w:val="276" w:hRule="atLeast"/>
        </w:trPr>
        <w:tc>
          <w:tcPr>
            <w:tcW w:w="1862" w:type="dxa"/>
            <w:tcBorders>
              <w:top w:val="double" w:sz="6" w:space="0" w:color="000000"/>
            </w:tcBorders>
          </w:tcPr>
          <w:p>
            <w:pPr>
              <w:pStyle w:val="TableParagraph"/>
              <w:spacing w:line="214" w:lineRule="exact" w:before="42"/>
              <w:ind w:left="461"/>
              <w:rPr>
                <w:sz w:val="20"/>
              </w:rPr>
            </w:pPr>
            <w:r>
              <w:rPr>
                <w:spacing w:val="-2"/>
                <w:sz w:val="20"/>
              </w:rPr>
              <w:t>D(GOCE(-</w:t>
            </w:r>
            <w:r>
              <w:rPr>
                <w:spacing w:val="-5"/>
                <w:sz w:val="20"/>
              </w:rPr>
              <w:t>1))</w:t>
            </w:r>
          </w:p>
        </w:tc>
        <w:tc>
          <w:tcPr>
            <w:tcW w:w="1361" w:type="dxa"/>
            <w:tcBorders>
              <w:top w:val="double" w:sz="6" w:space="0" w:color="000000"/>
            </w:tcBorders>
          </w:tcPr>
          <w:p>
            <w:pPr>
              <w:pStyle w:val="TableParagraph"/>
              <w:spacing w:line="214" w:lineRule="exact" w:before="42"/>
              <w:ind w:right="129"/>
              <w:jc w:val="right"/>
              <w:rPr>
                <w:sz w:val="20"/>
              </w:rPr>
            </w:pPr>
            <w:r>
              <w:rPr>
                <w:spacing w:val="-4"/>
                <w:sz w:val="20"/>
              </w:rPr>
              <w:t>-</w:t>
            </w:r>
            <w:r>
              <w:rPr>
                <w:spacing w:val="-2"/>
                <w:sz w:val="20"/>
              </w:rPr>
              <w:t>1.316237</w:t>
            </w:r>
          </w:p>
        </w:tc>
        <w:tc>
          <w:tcPr>
            <w:tcW w:w="1433" w:type="dxa"/>
            <w:tcBorders>
              <w:top w:val="double" w:sz="6" w:space="0" w:color="000000"/>
            </w:tcBorders>
          </w:tcPr>
          <w:p>
            <w:pPr>
              <w:pStyle w:val="TableParagraph"/>
              <w:spacing w:line="214" w:lineRule="exact" w:before="42"/>
              <w:ind w:left="310"/>
              <w:rPr>
                <w:sz w:val="20"/>
              </w:rPr>
            </w:pPr>
            <w:r>
              <w:rPr>
                <w:spacing w:val="-2"/>
                <w:sz w:val="20"/>
              </w:rPr>
              <w:t>0.265870</w:t>
            </w:r>
          </w:p>
        </w:tc>
        <w:tc>
          <w:tcPr>
            <w:tcW w:w="905" w:type="dxa"/>
            <w:tcBorders>
              <w:top w:val="double" w:sz="6" w:space="0" w:color="000000"/>
            </w:tcBorders>
          </w:tcPr>
          <w:p>
            <w:pPr>
              <w:pStyle w:val="TableParagraph"/>
              <w:spacing w:line="214" w:lineRule="exact" w:before="42"/>
              <w:ind w:right="75"/>
              <w:jc w:val="center"/>
              <w:rPr>
                <w:sz w:val="20"/>
              </w:rPr>
            </w:pPr>
            <w:r>
              <w:rPr>
                <w:spacing w:val="-4"/>
                <w:sz w:val="20"/>
              </w:rPr>
              <w:t>-</w:t>
            </w:r>
            <w:r>
              <w:rPr>
                <w:spacing w:val="-2"/>
                <w:sz w:val="20"/>
              </w:rPr>
              <w:t>4.950671</w:t>
            </w:r>
          </w:p>
        </w:tc>
        <w:tc>
          <w:tcPr>
            <w:tcW w:w="930" w:type="dxa"/>
            <w:tcBorders>
              <w:top w:val="double" w:sz="6" w:space="0" w:color="000000"/>
            </w:tcBorders>
          </w:tcPr>
          <w:p>
            <w:pPr>
              <w:pStyle w:val="TableParagraph"/>
              <w:spacing w:line="214" w:lineRule="exact" w:before="42"/>
              <w:ind w:right="31"/>
              <w:jc w:val="right"/>
              <w:rPr>
                <w:sz w:val="20"/>
              </w:rPr>
            </w:pPr>
            <w:r>
              <w:rPr>
                <w:spacing w:val="-2"/>
                <w:sz w:val="20"/>
              </w:rPr>
              <w:t>0.0000</w:t>
            </w:r>
          </w:p>
        </w:tc>
      </w:tr>
      <w:tr>
        <w:trPr>
          <w:trHeight w:val="229" w:hRule="atLeast"/>
        </w:trPr>
        <w:tc>
          <w:tcPr>
            <w:tcW w:w="1862" w:type="dxa"/>
          </w:tcPr>
          <w:p>
            <w:pPr>
              <w:pStyle w:val="TableParagraph"/>
              <w:spacing w:line="209" w:lineRule="exact"/>
              <w:ind w:left="386"/>
              <w:rPr>
                <w:sz w:val="20"/>
              </w:rPr>
            </w:pPr>
            <w:r>
              <w:rPr>
                <w:spacing w:val="-2"/>
                <w:sz w:val="20"/>
              </w:rPr>
              <w:t>D(GOCE(-1),2)</w:t>
            </w:r>
          </w:p>
        </w:tc>
        <w:tc>
          <w:tcPr>
            <w:tcW w:w="1361" w:type="dxa"/>
          </w:tcPr>
          <w:p>
            <w:pPr>
              <w:pStyle w:val="TableParagraph"/>
              <w:spacing w:line="209" w:lineRule="exact"/>
              <w:ind w:right="129"/>
              <w:jc w:val="right"/>
              <w:rPr>
                <w:sz w:val="20"/>
              </w:rPr>
            </w:pPr>
            <w:r>
              <w:rPr>
                <w:spacing w:val="-2"/>
                <w:sz w:val="20"/>
              </w:rPr>
              <w:t>0.047762</w:t>
            </w:r>
          </w:p>
        </w:tc>
        <w:tc>
          <w:tcPr>
            <w:tcW w:w="1433" w:type="dxa"/>
          </w:tcPr>
          <w:p>
            <w:pPr>
              <w:pStyle w:val="TableParagraph"/>
              <w:spacing w:line="209" w:lineRule="exact"/>
              <w:ind w:left="310"/>
              <w:rPr>
                <w:sz w:val="20"/>
              </w:rPr>
            </w:pPr>
            <w:r>
              <w:rPr>
                <w:spacing w:val="-2"/>
                <w:sz w:val="20"/>
              </w:rPr>
              <w:t>0.168966</w:t>
            </w:r>
          </w:p>
        </w:tc>
        <w:tc>
          <w:tcPr>
            <w:tcW w:w="905" w:type="dxa"/>
          </w:tcPr>
          <w:p>
            <w:pPr>
              <w:pStyle w:val="TableParagraph"/>
              <w:spacing w:line="209" w:lineRule="exact"/>
              <w:ind w:right="10"/>
              <w:jc w:val="center"/>
              <w:rPr>
                <w:sz w:val="20"/>
              </w:rPr>
            </w:pPr>
            <w:r>
              <w:rPr>
                <w:spacing w:val="-2"/>
                <w:sz w:val="20"/>
              </w:rPr>
              <w:t>0.282673</w:t>
            </w:r>
          </w:p>
        </w:tc>
        <w:tc>
          <w:tcPr>
            <w:tcW w:w="930" w:type="dxa"/>
          </w:tcPr>
          <w:p>
            <w:pPr>
              <w:pStyle w:val="TableParagraph"/>
              <w:spacing w:line="209" w:lineRule="exact"/>
              <w:ind w:right="31"/>
              <w:jc w:val="right"/>
              <w:rPr>
                <w:sz w:val="20"/>
              </w:rPr>
            </w:pPr>
            <w:r>
              <w:rPr>
                <w:spacing w:val="-2"/>
                <w:sz w:val="20"/>
              </w:rPr>
              <w:t>0.7790</w:t>
            </w:r>
          </w:p>
        </w:tc>
      </w:tr>
      <w:tr>
        <w:trPr>
          <w:trHeight w:val="224" w:hRule="atLeast"/>
        </w:trPr>
        <w:tc>
          <w:tcPr>
            <w:tcW w:w="1862" w:type="dxa"/>
            <w:tcBorders>
              <w:bottom w:val="double" w:sz="6" w:space="0" w:color="000000"/>
            </w:tcBorders>
          </w:tcPr>
          <w:p>
            <w:pPr>
              <w:pStyle w:val="TableParagraph"/>
              <w:spacing w:line="205" w:lineRule="exact"/>
              <w:ind w:left="182"/>
              <w:jc w:val="center"/>
              <w:rPr>
                <w:sz w:val="20"/>
              </w:rPr>
            </w:pPr>
            <w:r>
              <w:rPr>
                <w:spacing w:val="-10"/>
                <w:sz w:val="20"/>
              </w:rPr>
              <w:t>C</w:t>
            </w:r>
          </w:p>
        </w:tc>
        <w:tc>
          <w:tcPr>
            <w:tcW w:w="1361" w:type="dxa"/>
            <w:tcBorders>
              <w:bottom w:val="double" w:sz="6" w:space="0" w:color="000000"/>
            </w:tcBorders>
          </w:tcPr>
          <w:p>
            <w:pPr>
              <w:pStyle w:val="TableParagraph"/>
              <w:spacing w:line="205" w:lineRule="exact"/>
              <w:ind w:right="129"/>
              <w:jc w:val="right"/>
              <w:rPr>
                <w:sz w:val="20"/>
              </w:rPr>
            </w:pPr>
            <w:r>
              <w:rPr>
                <w:spacing w:val="-2"/>
                <w:sz w:val="20"/>
              </w:rPr>
              <w:t>0.272456</w:t>
            </w:r>
          </w:p>
        </w:tc>
        <w:tc>
          <w:tcPr>
            <w:tcW w:w="1433" w:type="dxa"/>
            <w:tcBorders>
              <w:bottom w:val="double" w:sz="6" w:space="0" w:color="000000"/>
            </w:tcBorders>
          </w:tcPr>
          <w:p>
            <w:pPr>
              <w:pStyle w:val="TableParagraph"/>
              <w:spacing w:line="205" w:lineRule="exact"/>
              <w:ind w:left="310"/>
              <w:rPr>
                <w:sz w:val="20"/>
              </w:rPr>
            </w:pPr>
            <w:r>
              <w:rPr>
                <w:spacing w:val="-2"/>
                <w:sz w:val="20"/>
              </w:rPr>
              <w:t>0.071217</w:t>
            </w:r>
          </w:p>
        </w:tc>
        <w:tc>
          <w:tcPr>
            <w:tcW w:w="905" w:type="dxa"/>
            <w:tcBorders>
              <w:bottom w:val="double" w:sz="6" w:space="0" w:color="000000"/>
            </w:tcBorders>
          </w:tcPr>
          <w:p>
            <w:pPr>
              <w:pStyle w:val="TableParagraph"/>
              <w:spacing w:line="205" w:lineRule="exact"/>
              <w:ind w:right="10"/>
              <w:jc w:val="center"/>
              <w:rPr>
                <w:sz w:val="20"/>
              </w:rPr>
            </w:pPr>
            <w:r>
              <w:rPr>
                <w:spacing w:val="-2"/>
                <w:sz w:val="20"/>
              </w:rPr>
              <w:t>3.825743</w:t>
            </w:r>
          </w:p>
        </w:tc>
        <w:tc>
          <w:tcPr>
            <w:tcW w:w="930" w:type="dxa"/>
            <w:tcBorders>
              <w:bottom w:val="double" w:sz="6" w:space="0" w:color="000000"/>
            </w:tcBorders>
          </w:tcPr>
          <w:p>
            <w:pPr>
              <w:pStyle w:val="TableParagraph"/>
              <w:spacing w:line="205" w:lineRule="exact"/>
              <w:ind w:right="31"/>
              <w:jc w:val="right"/>
              <w:rPr>
                <w:sz w:val="20"/>
              </w:rPr>
            </w:pPr>
            <w:r>
              <w:rPr>
                <w:spacing w:val="-2"/>
                <w:sz w:val="20"/>
              </w:rPr>
              <w:t>0.0005</w:t>
            </w:r>
          </w:p>
        </w:tc>
      </w:tr>
      <w:tr>
        <w:trPr>
          <w:trHeight w:val="276" w:hRule="atLeast"/>
        </w:trPr>
        <w:tc>
          <w:tcPr>
            <w:tcW w:w="1862" w:type="dxa"/>
            <w:tcBorders>
              <w:top w:val="double" w:sz="6" w:space="0" w:color="000000"/>
            </w:tcBorders>
          </w:tcPr>
          <w:p>
            <w:pPr>
              <w:pStyle w:val="TableParagraph"/>
              <w:spacing w:line="214" w:lineRule="exact" w:before="42"/>
              <w:ind w:left="36"/>
              <w:rPr>
                <w:sz w:val="20"/>
              </w:rPr>
            </w:pPr>
            <w:r>
              <w:rPr>
                <w:spacing w:val="-2"/>
                <w:sz w:val="20"/>
              </w:rPr>
              <w:t>R-squared</w:t>
            </w:r>
          </w:p>
        </w:tc>
        <w:tc>
          <w:tcPr>
            <w:tcW w:w="1361" w:type="dxa"/>
            <w:tcBorders>
              <w:top w:val="double" w:sz="6" w:space="0" w:color="000000"/>
            </w:tcBorders>
          </w:tcPr>
          <w:p>
            <w:pPr>
              <w:pStyle w:val="TableParagraph"/>
              <w:spacing w:line="214" w:lineRule="exact" w:before="42"/>
              <w:ind w:right="129"/>
              <w:jc w:val="right"/>
              <w:rPr>
                <w:sz w:val="20"/>
              </w:rPr>
            </w:pPr>
            <w:r>
              <w:rPr>
                <w:spacing w:val="-2"/>
                <w:sz w:val="20"/>
              </w:rPr>
              <w:t>0.622064</w:t>
            </w:r>
          </w:p>
        </w:tc>
        <w:tc>
          <w:tcPr>
            <w:tcW w:w="2338" w:type="dxa"/>
            <w:gridSpan w:val="2"/>
            <w:tcBorders>
              <w:top w:val="double" w:sz="6" w:space="0" w:color="000000"/>
            </w:tcBorders>
          </w:tcPr>
          <w:p>
            <w:pPr>
              <w:pStyle w:val="TableParagraph"/>
              <w:spacing w:line="214" w:lineRule="exact" w:before="42"/>
              <w:ind w:left="130"/>
              <w:rPr>
                <w:sz w:val="20"/>
              </w:rPr>
            </w:pPr>
            <w:r>
              <w:rPr>
                <w:sz w:val="20"/>
              </w:rPr>
              <w:t>Mean</w:t>
            </w:r>
            <w:r>
              <w:rPr>
                <w:spacing w:val="-7"/>
                <w:sz w:val="20"/>
              </w:rPr>
              <w:t> </w:t>
            </w:r>
            <w:r>
              <w:rPr>
                <w:sz w:val="20"/>
              </w:rPr>
              <w:t>dependent</w:t>
            </w:r>
            <w:r>
              <w:rPr>
                <w:spacing w:val="-7"/>
                <w:sz w:val="20"/>
              </w:rPr>
              <w:t> </w:t>
            </w:r>
            <w:r>
              <w:rPr>
                <w:spacing w:val="-5"/>
                <w:sz w:val="20"/>
              </w:rPr>
              <w:t>var</w:t>
            </w:r>
          </w:p>
        </w:tc>
        <w:tc>
          <w:tcPr>
            <w:tcW w:w="930" w:type="dxa"/>
            <w:tcBorders>
              <w:top w:val="double" w:sz="6" w:space="0" w:color="000000"/>
            </w:tcBorders>
          </w:tcPr>
          <w:p>
            <w:pPr>
              <w:pStyle w:val="TableParagraph"/>
              <w:spacing w:line="214" w:lineRule="exact" w:before="42"/>
              <w:ind w:right="31"/>
              <w:jc w:val="right"/>
              <w:rPr>
                <w:sz w:val="20"/>
              </w:rPr>
            </w:pPr>
            <w:r>
              <w:rPr>
                <w:spacing w:val="-4"/>
                <w:sz w:val="20"/>
              </w:rPr>
              <w:t>-</w:t>
            </w:r>
            <w:r>
              <w:rPr>
                <w:spacing w:val="-2"/>
                <w:sz w:val="20"/>
              </w:rPr>
              <w:t>0.007353</w:t>
            </w:r>
          </w:p>
        </w:tc>
      </w:tr>
      <w:tr>
        <w:trPr>
          <w:trHeight w:val="229" w:hRule="atLeast"/>
        </w:trPr>
        <w:tc>
          <w:tcPr>
            <w:tcW w:w="1862" w:type="dxa"/>
          </w:tcPr>
          <w:p>
            <w:pPr>
              <w:pStyle w:val="TableParagraph"/>
              <w:spacing w:line="209" w:lineRule="exact"/>
              <w:ind w:left="36"/>
              <w:rPr>
                <w:sz w:val="20"/>
              </w:rPr>
            </w:pPr>
            <w:r>
              <w:rPr>
                <w:sz w:val="20"/>
              </w:rPr>
              <w:t>Adjusted</w:t>
            </w:r>
            <w:r>
              <w:rPr>
                <w:spacing w:val="-10"/>
                <w:sz w:val="20"/>
              </w:rPr>
              <w:t> </w:t>
            </w:r>
            <w:r>
              <w:rPr>
                <w:sz w:val="20"/>
              </w:rPr>
              <w:t>R-</w:t>
            </w:r>
            <w:r>
              <w:rPr>
                <w:spacing w:val="-2"/>
                <w:sz w:val="20"/>
              </w:rPr>
              <w:t>squared</w:t>
            </w:r>
          </w:p>
        </w:tc>
        <w:tc>
          <w:tcPr>
            <w:tcW w:w="1361" w:type="dxa"/>
          </w:tcPr>
          <w:p>
            <w:pPr>
              <w:pStyle w:val="TableParagraph"/>
              <w:spacing w:line="209" w:lineRule="exact"/>
              <w:ind w:right="129"/>
              <w:jc w:val="right"/>
              <w:rPr>
                <w:sz w:val="20"/>
              </w:rPr>
            </w:pPr>
            <w:r>
              <w:rPr>
                <w:spacing w:val="-2"/>
                <w:sz w:val="20"/>
              </w:rPr>
              <w:t>0.601068</w:t>
            </w:r>
          </w:p>
        </w:tc>
        <w:tc>
          <w:tcPr>
            <w:tcW w:w="2338" w:type="dxa"/>
            <w:gridSpan w:val="2"/>
          </w:tcPr>
          <w:p>
            <w:pPr>
              <w:pStyle w:val="TableParagraph"/>
              <w:spacing w:line="209" w:lineRule="exact"/>
              <w:ind w:left="130"/>
              <w:rPr>
                <w:sz w:val="20"/>
              </w:rPr>
            </w:pPr>
            <w:r>
              <w:rPr>
                <w:sz w:val="20"/>
              </w:rPr>
              <w:t>S.D.</w:t>
            </w:r>
            <w:r>
              <w:rPr>
                <w:spacing w:val="-5"/>
                <w:sz w:val="20"/>
              </w:rPr>
              <w:t> </w:t>
            </w:r>
            <w:r>
              <w:rPr>
                <w:sz w:val="20"/>
              </w:rPr>
              <w:t>dependent</w:t>
            </w:r>
            <w:r>
              <w:rPr>
                <w:spacing w:val="-6"/>
                <w:sz w:val="20"/>
              </w:rPr>
              <w:t> </w:t>
            </w:r>
            <w:r>
              <w:rPr>
                <w:spacing w:val="-5"/>
                <w:sz w:val="20"/>
              </w:rPr>
              <w:t>var</w:t>
            </w:r>
          </w:p>
        </w:tc>
        <w:tc>
          <w:tcPr>
            <w:tcW w:w="930" w:type="dxa"/>
          </w:tcPr>
          <w:p>
            <w:pPr>
              <w:pStyle w:val="TableParagraph"/>
              <w:spacing w:line="209" w:lineRule="exact"/>
              <w:ind w:right="31"/>
              <w:jc w:val="right"/>
              <w:rPr>
                <w:sz w:val="20"/>
              </w:rPr>
            </w:pPr>
            <w:r>
              <w:rPr>
                <w:spacing w:val="-2"/>
                <w:sz w:val="20"/>
              </w:rPr>
              <w:t>0.437379</w:t>
            </w:r>
          </w:p>
        </w:tc>
      </w:tr>
      <w:tr>
        <w:trPr>
          <w:trHeight w:val="230" w:hRule="atLeast"/>
        </w:trPr>
        <w:tc>
          <w:tcPr>
            <w:tcW w:w="1862" w:type="dxa"/>
          </w:tcPr>
          <w:p>
            <w:pPr>
              <w:pStyle w:val="TableParagraph"/>
              <w:spacing w:line="210" w:lineRule="exact"/>
              <w:ind w:left="36"/>
              <w:rPr>
                <w:sz w:val="20"/>
              </w:rPr>
            </w:pPr>
            <w:r>
              <w:rPr>
                <w:sz w:val="20"/>
              </w:rPr>
              <w:t>S.E.</w:t>
            </w:r>
            <w:r>
              <w:rPr>
                <w:spacing w:val="-3"/>
                <w:sz w:val="20"/>
              </w:rPr>
              <w:t> </w:t>
            </w:r>
            <w:r>
              <w:rPr>
                <w:sz w:val="20"/>
              </w:rPr>
              <w:t>of</w:t>
            </w:r>
            <w:r>
              <w:rPr>
                <w:spacing w:val="-3"/>
                <w:sz w:val="20"/>
              </w:rPr>
              <w:t> </w:t>
            </w:r>
            <w:r>
              <w:rPr>
                <w:spacing w:val="-2"/>
                <w:sz w:val="20"/>
              </w:rPr>
              <w:t>regression</w:t>
            </w:r>
          </w:p>
        </w:tc>
        <w:tc>
          <w:tcPr>
            <w:tcW w:w="1361" w:type="dxa"/>
          </w:tcPr>
          <w:p>
            <w:pPr>
              <w:pStyle w:val="TableParagraph"/>
              <w:spacing w:line="210" w:lineRule="exact"/>
              <w:ind w:right="129"/>
              <w:jc w:val="right"/>
              <w:rPr>
                <w:sz w:val="20"/>
              </w:rPr>
            </w:pPr>
            <w:r>
              <w:rPr>
                <w:spacing w:val="-2"/>
                <w:sz w:val="20"/>
              </w:rPr>
              <w:t>0.276254</w:t>
            </w:r>
          </w:p>
        </w:tc>
        <w:tc>
          <w:tcPr>
            <w:tcW w:w="2338" w:type="dxa"/>
            <w:gridSpan w:val="2"/>
          </w:tcPr>
          <w:p>
            <w:pPr>
              <w:pStyle w:val="TableParagraph"/>
              <w:spacing w:line="210" w:lineRule="exact"/>
              <w:ind w:left="130"/>
              <w:rPr>
                <w:sz w:val="20"/>
              </w:rPr>
            </w:pPr>
            <w:r>
              <w:rPr>
                <w:sz w:val="20"/>
              </w:rPr>
              <w:t>Akaike</w:t>
            </w:r>
            <w:r>
              <w:rPr>
                <w:spacing w:val="-8"/>
                <w:sz w:val="20"/>
              </w:rPr>
              <w:t> </w:t>
            </w:r>
            <w:r>
              <w:rPr>
                <w:sz w:val="20"/>
              </w:rPr>
              <w:t>info</w:t>
            </w:r>
            <w:r>
              <w:rPr>
                <w:spacing w:val="-7"/>
                <w:sz w:val="20"/>
              </w:rPr>
              <w:t> </w:t>
            </w:r>
            <w:r>
              <w:rPr>
                <w:spacing w:val="-2"/>
                <w:sz w:val="20"/>
              </w:rPr>
              <w:t>criterion</w:t>
            </w:r>
          </w:p>
        </w:tc>
        <w:tc>
          <w:tcPr>
            <w:tcW w:w="930" w:type="dxa"/>
          </w:tcPr>
          <w:p>
            <w:pPr>
              <w:pStyle w:val="TableParagraph"/>
              <w:spacing w:line="210" w:lineRule="exact"/>
              <w:ind w:right="31"/>
              <w:jc w:val="right"/>
              <w:rPr>
                <w:sz w:val="20"/>
              </w:rPr>
            </w:pPr>
            <w:r>
              <w:rPr>
                <w:spacing w:val="-2"/>
                <w:sz w:val="20"/>
              </w:rPr>
              <w:t>0.338808</w:t>
            </w:r>
          </w:p>
        </w:tc>
      </w:tr>
      <w:tr>
        <w:trPr>
          <w:trHeight w:val="230" w:hRule="atLeast"/>
        </w:trPr>
        <w:tc>
          <w:tcPr>
            <w:tcW w:w="1862" w:type="dxa"/>
          </w:tcPr>
          <w:p>
            <w:pPr>
              <w:pStyle w:val="TableParagraph"/>
              <w:spacing w:line="210" w:lineRule="exact"/>
              <w:ind w:left="36"/>
              <w:rPr>
                <w:sz w:val="20"/>
              </w:rPr>
            </w:pPr>
            <w:r>
              <w:rPr>
                <w:sz w:val="20"/>
              </w:rPr>
              <w:t>Sum</w:t>
            </w:r>
            <w:r>
              <w:rPr>
                <w:spacing w:val="-8"/>
                <w:sz w:val="20"/>
              </w:rPr>
              <w:t> </w:t>
            </w:r>
            <w:r>
              <w:rPr>
                <w:sz w:val="20"/>
              </w:rPr>
              <w:t>squared</w:t>
            </w:r>
            <w:r>
              <w:rPr>
                <w:spacing w:val="-4"/>
                <w:sz w:val="20"/>
              </w:rPr>
              <w:t> </w:t>
            </w:r>
            <w:r>
              <w:rPr>
                <w:spacing w:val="-2"/>
                <w:sz w:val="20"/>
              </w:rPr>
              <w:t>resid</w:t>
            </w:r>
          </w:p>
        </w:tc>
        <w:tc>
          <w:tcPr>
            <w:tcW w:w="1361" w:type="dxa"/>
          </w:tcPr>
          <w:p>
            <w:pPr>
              <w:pStyle w:val="TableParagraph"/>
              <w:spacing w:line="210" w:lineRule="exact"/>
              <w:ind w:right="129"/>
              <w:jc w:val="right"/>
              <w:rPr>
                <w:sz w:val="20"/>
              </w:rPr>
            </w:pPr>
            <w:r>
              <w:rPr>
                <w:spacing w:val="-2"/>
                <w:sz w:val="20"/>
              </w:rPr>
              <w:t>2.747377</w:t>
            </w:r>
          </w:p>
        </w:tc>
        <w:tc>
          <w:tcPr>
            <w:tcW w:w="2338" w:type="dxa"/>
            <w:gridSpan w:val="2"/>
          </w:tcPr>
          <w:p>
            <w:pPr>
              <w:pStyle w:val="TableParagraph"/>
              <w:spacing w:line="210" w:lineRule="exact"/>
              <w:ind w:left="130"/>
              <w:rPr>
                <w:sz w:val="20"/>
              </w:rPr>
            </w:pPr>
            <w:r>
              <w:rPr>
                <w:sz w:val="20"/>
              </w:rPr>
              <w:t>Schwarz</w:t>
            </w:r>
            <w:r>
              <w:rPr>
                <w:spacing w:val="-8"/>
                <w:sz w:val="20"/>
              </w:rPr>
              <w:t> </w:t>
            </w:r>
            <w:r>
              <w:rPr>
                <w:spacing w:val="-2"/>
                <w:sz w:val="20"/>
              </w:rPr>
              <w:t>criterion</w:t>
            </w:r>
          </w:p>
        </w:tc>
        <w:tc>
          <w:tcPr>
            <w:tcW w:w="930" w:type="dxa"/>
          </w:tcPr>
          <w:p>
            <w:pPr>
              <w:pStyle w:val="TableParagraph"/>
              <w:spacing w:line="210" w:lineRule="exact"/>
              <w:ind w:right="31"/>
              <w:jc w:val="right"/>
              <w:rPr>
                <w:sz w:val="20"/>
              </w:rPr>
            </w:pPr>
            <w:r>
              <w:rPr>
                <w:spacing w:val="-2"/>
                <w:sz w:val="20"/>
              </w:rPr>
              <w:t>0.466775</w:t>
            </w:r>
          </w:p>
        </w:tc>
      </w:tr>
      <w:tr>
        <w:trPr>
          <w:trHeight w:val="230" w:hRule="atLeast"/>
        </w:trPr>
        <w:tc>
          <w:tcPr>
            <w:tcW w:w="1862" w:type="dxa"/>
          </w:tcPr>
          <w:p>
            <w:pPr>
              <w:pStyle w:val="TableParagraph"/>
              <w:spacing w:line="210" w:lineRule="exact"/>
              <w:ind w:left="36"/>
              <w:rPr>
                <w:sz w:val="20"/>
              </w:rPr>
            </w:pPr>
            <w:r>
              <w:rPr>
                <w:sz w:val="20"/>
              </w:rPr>
              <w:t>Log</w:t>
            </w:r>
            <w:r>
              <w:rPr>
                <w:spacing w:val="-6"/>
                <w:sz w:val="20"/>
              </w:rPr>
              <w:t> </w:t>
            </w:r>
            <w:r>
              <w:rPr>
                <w:spacing w:val="-2"/>
                <w:sz w:val="20"/>
              </w:rPr>
              <w:t>likelihood</w:t>
            </w:r>
          </w:p>
        </w:tc>
        <w:tc>
          <w:tcPr>
            <w:tcW w:w="1361" w:type="dxa"/>
          </w:tcPr>
          <w:p>
            <w:pPr>
              <w:pStyle w:val="TableParagraph"/>
              <w:spacing w:line="210" w:lineRule="exact"/>
              <w:ind w:right="129"/>
              <w:jc w:val="right"/>
              <w:rPr>
                <w:sz w:val="20"/>
              </w:rPr>
            </w:pPr>
            <w:r>
              <w:rPr>
                <w:spacing w:val="-4"/>
                <w:sz w:val="20"/>
              </w:rPr>
              <w:t>-</w:t>
            </w:r>
            <w:r>
              <w:rPr>
                <w:spacing w:val="-2"/>
                <w:sz w:val="20"/>
              </w:rPr>
              <w:t>3.606761</w:t>
            </w:r>
          </w:p>
        </w:tc>
        <w:tc>
          <w:tcPr>
            <w:tcW w:w="1433" w:type="dxa"/>
          </w:tcPr>
          <w:p>
            <w:pPr>
              <w:pStyle w:val="TableParagraph"/>
              <w:spacing w:line="210" w:lineRule="exact"/>
              <w:ind w:left="130"/>
              <w:rPr>
                <w:sz w:val="20"/>
              </w:rPr>
            </w:pPr>
            <w:r>
              <w:rPr>
                <w:spacing w:val="-4"/>
                <w:sz w:val="20"/>
              </w:rPr>
              <w:t>F-</w:t>
            </w:r>
            <w:r>
              <w:rPr>
                <w:spacing w:val="-2"/>
                <w:sz w:val="20"/>
              </w:rPr>
              <w:t>statistic</w:t>
            </w:r>
          </w:p>
        </w:tc>
        <w:tc>
          <w:tcPr>
            <w:tcW w:w="905" w:type="dxa"/>
          </w:tcPr>
          <w:p>
            <w:pPr>
              <w:pStyle w:val="TableParagraph"/>
              <w:rPr>
                <w:sz w:val="16"/>
              </w:rPr>
            </w:pPr>
          </w:p>
        </w:tc>
        <w:tc>
          <w:tcPr>
            <w:tcW w:w="930" w:type="dxa"/>
          </w:tcPr>
          <w:p>
            <w:pPr>
              <w:pStyle w:val="TableParagraph"/>
              <w:spacing w:line="210" w:lineRule="exact"/>
              <w:ind w:right="31"/>
              <w:jc w:val="right"/>
              <w:rPr>
                <w:sz w:val="20"/>
              </w:rPr>
            </w:pPr>
            <w:r>
              <w:rPr>
                <w:spacing w:val="-2"/>
                <w:sz w:val="20"/>
              </w:rPr>
              <w:t>29.62711</w:t>
            </w:r>
          </w:p>
        </w:tc>
      </w:tr>
      <w:tr>
        <w:trPr>
          <w:trHeight w:val="265" w:hRule="atLeast"/>
        </w:trPr>
        <w:tc>
          <w:tcPr>
            <w:tcW w:w="1862" w:type="dxa"/>
            <w:tcBorders>
              <w:bottom w:val="double" w:sz="6" w:space="0" w:color="000000"/>
            </w:tcBorders>
          </w:tcPr>
          <w:p>
            <w:pPr>
              <w:pStyle w:val="TableParagraph"/>
              <w:spacing w:line="226" w:lineRule="exact"/>
              <w:ind w:left="36"/>
              <w:rPr>
                <w:sz w:val="20"/>
              </w:rPr>
            </w:pPr>
            <w:r>
              <w:rPr>
                <w:sz w:val="20"/>
              </w:rPr>
              <w:t>Durbin-Watson</w:t>
            </w:r>
            <w:r>
              <w:rPr>
                <w:spacing w:val="-12"/>
                <w:sz w:val="20"/>
              </w:rPr>
              <w:t> </w:t>
            </w:r>
            <w:r>
              <w:rPr>
                <w:spacing w:val="-4"/>
                <w:sz w:val="20"/>
              </w:rPr>
              <w:t>stat</w:t>
            </w:r>
          </w:p>
        </w:tc>
        <w:tc>
          <w:tcPr>
            <w:tcW w:w="1361" w:type="dxa"/>
          </w:tcPr>
          <w:p>
            <w:pPr>
              <w:pStyle w:val="TableParagraph"/>
              <w:spacing w:line="226" w:lineRule="exact"/>
              <w:ind w:right="129"/>
              <w:jc w:val="right"/>
              <w:rPr>
                <w:sz w:val="20"/>
              </w:rPr>
            </w:pPr>
            <w:r>
              <w:rPr>
                <w:spacing w:val="-2"/>
                <w:sz w:val="20"/>
              </w:rPr>
              <w:t>1.972369</w:t>
            </w:r>
          </w:p>
        </w:tc>
        <w:tc>
          <w:tcPr>
            <w:tcW w:w="1433" w:type="dxa"/>
            <w:tcBorders>
              <w:bottom w:val="double" w:sz="6" w:space="0" w:color="000000"/>
            </w:tcBorders>
          </w:tcPr>
          <w:p>
            <w:pPr>
              <w:pStyle w:val="TableParagraph"/>
              <w:spacing w:line="226" w:lineRule="exact"/>
              <w:ind w:left="130"/>
              <w:rPr>
                <w:sz w:val="20"/>
              </w:rPr>
            </w:pPr>
            <w:r>
              <w:rPr>
                <w:spacing w:val="-2"/>
                <w:sz w:val="20"/>
              </w:rPr>
              <w:t>Prob(F-statistic)</w:t>
            </w:r>
          </w:p>
        </w:tc>
        <w:tc>
          <w:tcPr>
            <w:tcW w:w="905" w:type="dxa"/>
            <w:tcBorders>
              <w:bottom w:val="double" w:sz="6" w:space="0" w:color="000000"/>
            </w:tcBorders>
          </w:tcPr>
          <w:p>
            <w:pPr>
              <w:pStyle w:val="TableParagraph"/>
              <w:rPr>
                <w:sz w:val="18"/>
              </w:rPr>
            </w:pPr>
          </w:p>
        </w:tc>
        <w:tc>
          <w:tcPr>
            <w:tcW w:w="930" w:type="dxa"/>
            <w:tcBorders>
              <w:bottom w:val="double" w:sz="6" w:space="0" w:color="000000"/>
            </w:tcBorders>
          </w:tcPr>
          <w:p>
            <w:pPr>
              <w:pStyle w:val="TableParagraph"/>
              <w:spacing w:line="226" w:lineRule="exact"/>
              <w:ind w:right="31"/>
              <w:jc w:val="right"/>
              <w:rPr>
                <w:sz w:val="20"/>
              </w:rPr>
            </w:pPr>
            <w:r>
              <w:rPr>
                <w:spacing w:val="-2"/>
                <w:sz w:val="20"/>
              </w:rPr>
              <w:t>0.000000</w:t>
            </w:r>
          </w:p>
        </w:tc>
      </w:tr>
    </w:tbl>
    <w:p>
      <w:pPr>
        <w:pStyle w:val="BodyText"/>
        <w:rPr>
          <w:sz w:val="20"/>
        </w:rPr>
      </w:pPr>
    </w:p>
    <w:p>
      <w:pPr>
        <w:pStyle w:val="BodyText"/>
        <w:spacing w:before="16"/>
        <w:rPr>
          <w:sz w:val="20"/>
        </w:rPr>
      </w:pPr>
    </w:p>
    <w:p>
      <w:pPr>
        <w:spacing w:before="0"/>
        <w:ind w:left="711" w:right="0" w:firstLine="0"/>
        <w:jc w:val="left"/>
        <w:rPr>
          <w:sz w:val="20"/>
        </w:rPr>
      </w:pPr>
      <w:r>
        <w:rPr>
          <w:sz w:val="20"/>
        </w:rPr>
        <w:t>ECM</w:t>
      </w:r>
      <w:r>
        <w:rPr>
          <w:spacing w:val="-4"/>
          <w:sz w:val="20"/>
        </w:rPr>
        <w:t> </w:t>
      </w:r>
      <w:r>
        <w:rPr>
          <w:sz w:val="20"/>
        </w:rPr>
        <w:t>@</w:t>
      </w:r>
      <w:r>
        <w:rPr>
          <w:spacing w:val="-3"/>
          <w:sz w:val="20"/>
        </w:rPr>
        <w:t> </w:t>
      </w:r>
      <w:r>
        <w:rPr>
          <w:spacing w:val="-4"/>
          <w:sz w:val="20"/>
        </w:rPr>
        <w:t>LEVEL</w:t>
      </w:r>
    </w:p>
    <w:tbl>
      <w:tblPr>
        <w:tblW w:w="0" w:type="auto"/>
        <w:jc w:val="left"/>
        <w:tblInd w:w="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47"/>
        <w:gridCol w:w="1375"/>
        <w:gridCol w:w="1432"/>
        <w:gridCol w:w="936"/>
        <w:gridCol w:w="896"/>
      </w:tblGrid>
      <w:tr>
        <w:trPr>
          <w:trHeight w:val="225" w:hRule="atLeast"/>
        </w:trPr>
        <w:tc>
          <w:tcPr>
            <w:tcW w:w="1847" w:type="dxa"/>
          </w:tcPr>
          <w:p>
            <w:pPr>
              <w:pStyle w:val="TableParagraph"/>
              <w:spacing w:line="205" w:lineRule="exact"/>
              <w:ind w:left="36"/>
              <w:rPr>
                <w:sz w:val="20"/>
              </w:rPr>
            </w:pPr>
            <w:r>
              <w:rPr>
                <w:sz w:val="20"/>
              </w:rPr>
              <w:t>ADF</w:t>
            </w:r>
            <w:r>
              <w:rPr>
                <w:spacing w:val="-4"/>
                <w:sz w:val="20"/>
              </w:rPr>
              <w:t> </w:t>
            </w:r>
            <w:r>
              <w:rPr>
                <w:sz w:val="20"/>
              </w:rPr>
              <w:t>Test</w:t>
            </w:r>
            <w:r>
              <w:rPr>
                <w:spacing w:val="-4"/>
                <w:sz w:val="20"/>
              </w:rPr>
              <w:t> </w:t>
            </w:r>
            <w:r>
              <w:rPr>
                <w:spacing w:val="-2"/>
                <w:sz w:val="20"/>
              </w:rPr>
              <w:t>Statistic</w:t>
            </w:r>
          </w:p>
        </w:tc>
        <w:tc>
          <w:tcPr>
            <w:tcW w:w="1375" w:type="dxa"/>
          </w:tcPr>
          <w:p>
            <w:pPr>
              <w:pStyle w:val="TableParagraph"/>
              <w:spacing w:line="205" w:lineRule="exact"/>
              <w:ind w:left="219"/>
              <w:rPr>
                <w:sz w:val="20"/>
              </w:rPr>
            </w:pPr>
            <w:r>
              <w:rPr>
                <w:spacing w:val="-4"/>
                <w:sz w:val="20"/>
              </w:rPr>
              <w:t>-</w:t>
            </w:r>
            <w:r>
              <w:rPr>
                <w:spacing w:val="-2"/>
                <w:sz w:val="20"/>
              </w:rPr>
              <w:t>3.933229</w:t>
            </w:r>
          </w:p>
        </w:tc>
        <w:tc>
          <w:tcPr>
            <w:tcW w:w="2368" w:type="dxa"/>
            <w:gridSpan w:val="2"/>
          </w:tcPr>
          <w:p>
            <w:pPr>
              <w:pStyle w:val="TableParagraph"/>
              <w:spacing w:line="205" w:lineRule="exact"/>
              <w:ind w:left="131"/>
              <w:rPr>
                <w:sz w:val="20"/>
              </w:rPr>
            </w:pPr>
            <w:r>
              <w:rPr>
                <w:sz w:val="20"/>
              </w:rPr>
              <w:t>1%</w:t>
            </w:r>
            <w:r>
              <w:rPr>
                <w:spacing w:val="68"/>
                <w:w w:val="150"/>
                <w:sz w:val="20"/>
              </w:rPr>
              <w:t> </w:t>
            </w:r>
            <w:r>
              <w:rPr>
                <w:sz w:val="20"/>
              </w:rPr>
              <w:t>Critical</w:t>
            </w:r>
            <w:r>
              <w:rPr>
                <w:spacing w:val="-2"/>
                <w:sz w:val="20"/>
              </w:rPr>
              <w:t> Value*</w:t>
            </w:r>
          </w:p>
        </w:tc>
        <w:tc>
          <w:tcPr>
            <w:tcW w:w="896" w:type="dxa"/>
          </w:tcPr>
          <w:p>
            <w:pPr>
              <w:pStyle w:val="TableParagraph"/>
              <w:spacing w:line="205" w:lineRule="exact"/>
              <w:ind w:right="26"/>
              <w:jc w:val="right"/>
              <w:rPr>
                <w:sz w:val="20"/>
              </w:rPr>
            </w:pPr>
            <w:r>
              <w:rPr>
                <w:spacing w:val="-4"/>
                <w:sz w:val="20"/>
              </w:rPr>
              <w:t>-</w:t>
            </w:r>
            <w:r>
              <w:rPr>
                <w:spacing w:val="-2"/>
                <w:sz w:val="20"/>
              </w:rPr>
              <w:t>3.6171</w:t>
            </w:r>
          </w:p>
        </w:tc>
      </w:tr>
      <w:tr>
        <w:trPr>
          <w:trHeight w:val="230" w:hRule="atLeast"/>
        </w:trPr>
        <w:tc>
          <w:tcPr>
            <w:tcW w:w="1847" w:type="dxa"/>
          </w:tcPr>
          <w:p>
            <w:pPr>
              <w:pStyle w:val="TableParagraph"/>
              <w:rPr>
                <w:sz w:val="16"/>
              </w:rPr>
            </w:pPr>
          </w:p>
        </w:tc>
        <w:tc>
          <w:tcPr>
            <w:tcW w:w="1375" w:type="dxa"/>
          </w:tcPr>
          <w:p>
            <w:pPr>
              <w:pStyle w:val="TableParagraph"/>
              <w:rPr>
                <w:sz w:val="16"/>
              </w:rPr>
            </w:pPr>
          </w:p>
        </w:tc>
        <w:tc>
          <w:tcPr>
            <w:tcW w:w="2368" w:type="dxa"/>
            <w:gridSpan w:val="2"/>
          </w:tcPr>
          <w:p>
            <w:pPr>
              <w:pStyle w:val="TableParagraph"/>
              <w:spacing w:line="210" w:lineRule="exact"/>
              <w:ind w:left="131"/>
              <w:rPr>
                <w:sz w:val="20"/>
              </w:rPr>
            </w:pPr>
            <w:r>
              <w:rPr>
                <w:sz w:val="20"/>
              </w:rPr>
              <w:t>5%</w:t>
            </w:r>
            <w:r>
              <w:rPr>
                <w:spacing w:val="68"/>
                <w:w w:val="150"/>
                <w:sz w:val="20"/>
              </w:rPr>
              <w:t> </w:t>
            </w:r>
            <w:r>
              <w:rPr>
                <w:sz w:val="20"/>
              </w:rPr>
              <w:t>Critical</w:t>
            </w:r>
            <w:r>
              <w:rPr>
                <w:spacing w:val="-2"/>
                <w:sz w:val="20"/>
              </w:rPr>
              <w:t> </w:t>
            </w:r>
            <w:r>
              <w:rPr>
                <w:spacing w:val="-4"/>
                <w:sz w:val="20"/>
              </w:rPr>
              <w:t>Value</w:t>
            </w:r>
          </w:p>
        </w:tc>
        <w:tc>
          <w:tcPr>
            <w:tcW w:w="896" w:type="dxa"/>
          </w:tcPr>
          <w:p>
            <w:pPr>
              <w:pStyle w:val="TableParagraph"/>
              <w:spacing w:line="210" w:lineRule="exact"/>
              <w:ind w:right="26"/>
              <w:jc w:val="right"/>
              <w:rPr>
                <w:sz w:val="20"/>
              </w:rPr>
            </w:pPr>
            <w:r>
              <w:rPr>
                <w:spacing w:val="-4"/>
                <w:sz w:val="20"/>
              </w:rPr>
              <w:t>-</w:t>
            </w:r>
            <w:r>
              <w:rPr>
                <w:spacing w:val="-2"/>
                <w:sz w:val="20"/>
              </w:rPr>
              <w:t>2.9422</w:t>
            </w:r>
          </w:p>
        </w:tc>
      </w:tr>
      <w:tr>
        <w:trPr>
          <w:trHeight w:val="224" w:hRule="atLeast"/>
        </w:trPr>
        <w:tc>
          <w:tcPr>
            <w:tcW w:w="1847" w:type="dxa"/>
            <w:tcBorders>
              <w:bottom w:val="double" w:sz="6" w:space="0" w:color="000000"/>
            </w:tcBorders>
          </w:tcPr>
          <w:p>
            <w:pPr>
              <w:pStyle w:val="TableParagraph"/>
              <w:rPr>
                <w:sz w:val="16"/>
              </w:rPr>
            </w:pPr>
          </w:p>
        </w:tc>
        <w:tc>
          <w:tcPr>
            <w:tcW w:w="1375" w:type="dxa"/>
            <w:tcBorders>
              <w:bottom w:val="double" w:sz="6" w:space="0" w:color="000000"/>
            </w:tcBorders>
          </w:tcPr>
          <w:p>
            <w:pPr>
              <w:pStyle w:val="TableParagraph"/>
              <w:rPr>
                <w:sz w:val="16"/>
              </w:rPr>
            </w:pPr>
          </w:p>
        </w:tc>
        <w:tc>
          <w:tcPr>
            <w:tcW w:w="2368" w:type="dxa"/>
            <w:gridSpan w:val="2"/>
            <w:tcBorders>
              <w:bottom w:val="double" w:sz="6" w:space="0" w:color="000000"/>
            </w:tcBorders>
          </w:tcPr>
          <w:p>
            <w:pPr>
              <w:pStyle w:val="TableParagraph"/>
              <w:spacing w:line="205" w:lineRule="exact"/>
              <w:ind w:left="131"/>
              <w:rPr>
                <w:sz w:val="20"/>
              </w:rPr>
            </w:pPr>
            <w:r>
              <w:rPr>
                <w:sz w:val="20"/>
              </w:rPr>
              <w:t>10%</w:t>
            </w:r>
            <w:r>
              <w:rPr>
                <w:spacing w:val="-6"/>
                <w:sz w:val="20"/>
              </w:rPr>
              <w:t> </w:t>
            </w:r>
            <w:r>
              <w:rPr>
                <w:sz w:val="20"/>
              </w:rPr>
              <w:t>Critical</w:t>
            </w:r>
            <w:r>
              <w:rPr>
                <w:spacing w:val="-4"/>
                <w:sz w:val="20"/>
              </w:rPr>
              <w:t> </w:t>
            </w:r>
            <w:r>
              <w:rPr>
                <w:spacing w:val="-2"/>
                <w:sz w:val="20"/>
              </w:rPr>
              <w:t>Value</w:t>
            </w:r>
          </w:p>
        </w:tc>
        <w:tc>
          <w:tcPr>
            <w:tcW w:w="896" w:type="dxa"/>
            <w:tcBorders>
              <w:bottom w:val="double" w:sz="6" w:space="0" w:color="000000"/>
            </w:tcBorders>
          </w:tcPr>
          <w:p>
            <w:pPr>
              <w:pStyle w:val="TableParagraph"/>
              <w:spacing w:line="205" w:lineRule="exact"/>
              <w:ind w:right="26"/>
              <w:jc w:val="right"/>
              <w:rPr>
                <w:sz w:val="20"/>
              </w:rPr>
            </w:pPr>
            <w:r>
              <w:rPr>
                <w:spacing w:val="-4"/>
                <w:sz w:val="20"/>
              </w:rPr>
              <w:t>-</w:t>
            </w:r>
            <w:r>
              <w:rPr>
                <w:spacing w:val="-2"/>
                <w:sz w:val="20"/>
              </w:rPr>
              <w:t>2.6092</w:t>
            </w:r>
          </w:p>
        </w:tc>
      </w:tr>
      <w:tr>
        <w:trPr>
          <w:trHeight w:val="505" w:hRule="atLeast"/>
        </w:trPr>
        <w:tc>
          <w:tcPr>
            <w:tcW w:w="6486" w:type="dxa"/>
            <w:gridSpan w:val="5"/>
            <w:tcBorders>
              <w:top w:val="double" w:sz="6" w:space="0" w:color="000000"/>
            </w:tcBorders>
          </w:tcPr>
          <w:p>
            <w:pPr>
              <w:pStyle w:val="TableParagraph"/>
              <w:spacing w:before="40"/>
              <w:ind w:left="36"/>
              <w:rPr>
                <w:sz w:val="20"/>
              </w:rPr>
            </w:pPr>
            <w:r>
              <w:rPr>
                <w:sz w:val="20"/>
              </w:rPr>
              <w:t>*MacKinnon</w:t>
            </w:r>
            <w:r>
              <w:rPr>
                <w:spacing w:val="-6"/>
                <w:sz w:val="20"/>
              </w:rPr>
              <w:t> </w:t>
            </w:r>
            <w:r>
              <w:rPr>
                <w:sz w:val="20"/>
              </w:rPr>
              <w:t>critical</w:t>
            </w:r>
            <w:r>
              <w:rPr>
                <w:spacing w:val="-4"/>
                <w:sz w:val="20"/>
              </w:rPr>
              <w:t> </w:t>
            </w:r>
            <w:r>
              <w:rPr>
                <w:sz w:val="20"/>
              </w:rPr>
              <w:t>values</w:t>
            </w:r>
            <w:r>
              <w:rPr>
                <w:spacing w:val="-6"/>
                <w:sz w:val="20"/>
              </w:rPr>
              <w:t> </w:t>
            </w:r>
            <w:r>
              <w:rPr>
                <w:sz w:val="20"/>
              </w:rPr>
              <w:t>for</w:t>
            </w:r>
            <w:r>
              <w:rPr>
                <w:spacing w:val="-4"/>
                <w:sz w:val="20"/>
              </w:rPr>
              <w:t> </w:t>
            </w:r>
            <w:r>
              <w:rPr>
                <w:sz w:val="20"/>
              </w:rPr>
              <w:t>rejection</w:t>
            </w:r>
            <w:r>
              <w:rPr>
                <w:spacing w:val="-6"/>
                <w:sz w:val="20"/>
              </w:rPr>
              <w:t> </w:t>
            </w:r>
            <w:r>
              <w:rPr>
                <w:sz w:val="20"/>
              </w:rPr>
              <w:t>of</w:t>
            </w:r>
            <w:r>
              <w:rPr>
                <w:spacing w:val="-6"/>
                <w:sz w:val="20"/>
              </w:rPr>
              <w:t> </w:t>
            </w:r>
            <w:r>
              <w:rPr>
                <w:sz w:val="20"/>
              </w:rPr>
              <w:t>hypothesis</w:t>
            </w:r>
            <w:r>
              <w:rPr>
                <w:spacing w:val="-6"/>
                <w:sz w:val="20"/>
              </w:rPr>
              <w:t> </w:t>
            </w:r>
            <w:r>
              <w:rPr>
                <w:sz w:val="20"/>
              </w:rPr>
              <w:t>of</w:t>
            </w:r>
            <w:r>
              <w:rPr>
                <w:spacing w:val="-6"/>
                <w:sz w:val="20"/>
              </w:rPr>
              <w:t> </w:t>
            </w:r>
            <w:r>
              <w:rPr>
                <w:sz w:val="20"/>
              </w:rPr>
              <w:t>a</w:t>
            </w:r>
            <w:r>
              <w:rPr>
                <w:spacing w:val="-4"/>
                <w:sz w:val="20"/>
              </w:rPr>
              <w:t> </w:t>
            </w:r>
            <w:r>
              <w:rPr>
                <w:sz w:val="20"/>
              </w:rPr>
              <w:t>unit</w:t>
            </w:r>
            <w:r>
              <w:rPr>
                <w:spacing w:val="-6"/>
                <w:sz w:val="20"/>
              </w:rPr>
              <w:t> </w:t>
            </w:r>
            <w:r>
              <w:rPr>
                <w:spacing w:val="-2"/>
                <w:sz w:val="20"/>
              </w:rPr>
              <w:t>root.</w:t>
            </w:r>
          </w:p>
        </w:tc>
      </w:tr>
      <w:tr>
        <w:trPr>
          <w:trHeight w:val="460" w:hRule="atLeast"/>
        </w:trPr>
        <w:tc>
          <w:tcPr>
            <w:tcW w:w="6486" w:type="dxa"/>
            <w:gridSpan w:val="5"/>
          </w:tcPr>
          <w:p>
            <w:pPr>
              <w:pStyle w:val="TableParagraph"/>
              <w:spacing w:line="215" w:lineRule="exact" w:before="226"/>
              <w:ind w:left="36"/>
              <w:rPr>
                <w:sz w:val="20"/>
              </w:rPr>
            </w:pPr>
            <w:r>
              <w:rPr>
                <w:sz w:val="20"/>
              </w:rPr>
              <w:t>Augmented</w:t>
            </w:r>
            <w:r>
              <w:rPr>
                <w:spacing w:val="-8"/>
                <w:sz w:val="20"/>
              </w:rPr>
              <w:t> </w:t>
            </w:r>
            <w:r>
              <w:rPr>
                <w:sz w:val="20"/>
              </w:rPr>
              <w:t>Dickey-Fuller</w:t>
            </w:r>
            <w:r>
              <w:rPr>
                <w:spacing w:val="-8"/>
                <w:sz w:val="20"/>
              </w:rPr>
              <w:t> </w:t>
            </w:r>
            <w:r>
              <w:rPr>
                <w:sz w:val="20"/>
              </w:rPr>
              <w:t>Test</w:t>
            </w:r>
            <w:r>
              <w:rPr>
                <w:spacing w:val="-9"/>
                <w:sz w:val="20"/>
              </w:rPr>
              <w:t> </w:t>
            </w:r>
            <w:r>
              <w:rPr>
                <w:spacing w:val="-2"/>
                <w:sz w:val="20"/>
              </w:rPr>
              <w:t>Equation</w:t>
            </w:r>
          </w:p>
        </w:tc>
      </w:tr>
      <w:tr>
        <w:trPr>
          <w:trHeight w:val="229" w:hRule="atLeast"/>
        </w:trPr>
        <w:tc>
          <w:tcPr>
            <w:tcW w:w="6486" w:type="dxa"/>
            <w:gridSpan w:val="5"/>
          </w:tcPr>
          <w:p>
            <w:pPr>
              <w:pStyle w:val="TableParagraph"/>
              <w:spacing w:line="209" w:lineRule="exact"/>
              <w:ind w:left="36"/>
              <w:rPr>
                <w:sz w:val="20"/>
              </w:rPr>
            </w:pPr>
            <w:r>
              <w:rPr>
                <w:sz w:val="20"/>
              </w:rPr>
              <w:t>Dependent</w:t>
            </w:r>
            <w:r>
              <w:rPr>
                <w:spacing w:val="-8"/>
                <w:sz w:val="20"/>
              </w:rPr>
              <w:t> </w:t>
            </w:r>
            <w:r>
              <w:rPr>
                <w:sz w:val="20"/>
              </w:rPr>
              <w:t>Variable:</w:t>
            </w:r>
            <w:r>
              <w:rPr>
                <w:spacing w:val="-8"/>
                <w:sz w:val="20"/>
              </w:rPr>
              <w:t> </w:t>
            </w:r>
            <w:r>
              <w:rPr>
                <w:spacing w:val="-2"/>
                <w:sz w:val="20"/>
              </w:rPr>
              <w:t>D(ECM)</w:t>
            </w:r>
          </w:p>
        </w:tc>
      </w:tr>
      <w:tr>
        <w:trPr>
          <w:trHeight w:val="229" w:hRule="atLeast"/>
        </w:trPr>
        <w:tc>
          <w:tcPr>
            <w:tcW w:w="6486" w:type="dxa"/>
            <w:gridSpan w:val="5"/>
          </w:tcPr>
          <w:p>
            <w:pPr>
              <w:pStyle w:val="TableParagraph"/>
              <w:spacing w:line="209" w:lineRule="exact"/>
              <w:ind w:left="36"/>
              <w:rPr>
                <w:sz w:val="20"/>
              </w:rPr>
            </w:pPr>
            <w:r>
              <w:rPr>
                <w:sz w:val="20"/>
              </w:rPr>
              <w:t>Method:</w:t>
            </w:r>
            <w:r>
              <w:rPr>
                <w:spacing w:val="-8"/>
                <w:sz w:val="20"/>
              </w:rPr>
              <w:t> </w:t>
            </w:r>
            <w:r>
              <w:rPr>
                <w:sz w:val="20"/>
              </w:rPr>
              <w:t>Least</w:t>
            </w:r>
            <w:r>
              <w:rPr>
                <w:spacing w:val="-7"/>
                <w:sz w:val="20"/>
              </w:rPr>
              <w:t> </w:t>
            </w:r>
            <w:r>
              <w:rPr>
                <w:spacing w:val="-2"/>
                <w:sz w:val="20"/>
              </w:rPr>
              <w:t>Squares</w:t>
            </w:r>
          </w:p>
        </w:tc>
      </w:tr>
      <w:tr>
        <w:trPr>
          <w:trHeight w:val="230" w:hRule="atLeast"/>
        </w:trPr>
        <w:tc>
          <w:tcPr>
            <w:tcW w:w="6486" w:type="dxa"/>
            <w:gridSpan w:val="5"/>
          </w:tcPr>
          <w:p>
            <w:pPr>
              <w:pStyle w:val="TableParagraph"/>
              <w:spacing w:line="210" w:lineRule="exact"/>
              <w:ind w:left="36"/>
              <w:rPr>
                <w:sz w:val="20"/>
              </w:rPr>
            </w:pPr>
            <w:r>
              <w:rPr>
                <w:sz w:val="20"/>
              </w:rPr>
              <w:t>Date:</w:t>
            </w:r>
            <w:r>
              <w:rPr>
                <w:spacing w:val="-5"/>
                <w:sz w:val="20"/>
              </w:rPr>
              <w:t> </w:t>
            </w:r>
            <w:r>
              <w:rPr>
                <w:sz w:val="20"/>
              </w:rPr>
              <w:t>02/18/14</w:t>
            </w:r>
            <w:r>
              <w:rPr>
                <w:spacing w:val="63"/>
                <w:w w:val="150"/>
                <w:sz w:val="20"/>
              </w:rPr>
              <w:t> </w:t>
            </w:r>
            <w:r>
              <w:rPr>
                <w:sz w:val="20"/>
              </w:rPr>
              <w:t>Time:</w:t>
            </w:r>
            <w:r>
              <w:rPr>
                <w:spacing w:val="-3"/>
                <w:sz w:val="20"/>
              </w:rPr>
              <w:t> </w:t>
            </w:r>
            <w:r>
              <w:rPr>
                <w:spacing w:val="-2"/>
                <w:sz w:val="20"/>
              </w:rPr>
              <w:t>13:46</w:t>
            </w:r>
          </w:p>
        </w:tc>
      </w:tr>
      <w:tr>
        <w:trPr>
          <w:trHeight w:val="230" w:hRule="atLeast"/>
        </w:trPr>
        <w:tc>
          <w:tcPr>
            <w:tcW w:w="6486" w:type="dxa"/>
            <w:gridSpan w:val="5"/>
          </w:tcPr>
          <w:p>
            <w:pPr>
              <w:pStyle w:val="TableParagraph"/>
              <w:spacing w:line="210" w:lineRule="exact"/>
              <w:ind w:left="36"/>
              <w:rPr>
                <w:sz w:val="20"/>
              </w:rPr>
            </w:pPr>
            <w:r>
              <w:rPr>
                <w:sz w:val="20"/>
              </w:rPr>
              <w:t>Sample(adjusted):</w:t>
            </w:r>
            <w:r>
              <w:rPr>
                <w:spacing w:val="-9"/>
                <w:sz w:val="20"/>
              </w:rPr>
              <w:t> </w:t>
            </w:r>
            <w:r>
              <w:rPr>
                <w:sz w:val="20"/>
              </w:rPr>
              <w:t>1972</w:t>
            </w:r>
            <w:r>
              <w:rPr>
                <w:spacing w:val="-9"/>
                <w:sz w:val="20"/>
              </w:rPr>
              <w:t> </w:t>
            </w:r>
            <w:r>
              <w:rPr>
                <w:spacing w:val="-4"/>
                <w:sz w:val="20"/>
              </w:rPr>
              <w:t>2011</w:t>
            </w:r>
          </w:p>
        </w:tc>
      </w:tr>
      <w:tr>
        <w:trPr>
          <w:trHeight w:val="230" w:hRule="atLeast"/>
        </w:trPr>
        <w:tc>
          <w:tcPr>
            <w:tcW w:w="6486" w:type="dxa"/>
            <w:gridSpan w:val="5"/>
          </w:tcPr>
          <w:p>
            <w:pPr>
              <w:pStyle w:val="TableParagraph"/>
              <w:spacing w:line="210" w:lineRule="exact"/>
              <w:ind w:left="36"/>
              <w:rPr>
                <w:sz w:val="20"/>
              </w:rPr>
            </w:pPr>
            <w:r>
              <w:rPr>
                <w:sz w:val="20"/>
              </w:rPr>
              <w:t>Included</w:t>
            </w:r>
            <w:r>
              <w:rPr>
                <w:spacing w:val="-8"/>
                <w:sz w:val="20"/>
              </w:rPr>
              <w:t> </w:t>
            </w:r>
            <w:r>
              <w:rPr>
                <w:sz w:val="20"/>
              </w:rPr>
              <w:t>observations:</w:t>
            </w:r>
            <w:r>
              <w:rPr>
                <w:spacing w:val="-10"/>
                <w:sz w:val="20"/>
              </w:rPr>
              <w:t> </w:t>
            </w:r>
            <w:r>
              <w:rPr>
                <w:spacing w:val="-5"/>
                <w:sz w:val="20"/>
              </w:rPr>
              <w:t>37</w:t>
            </w:r>
          </w:p>
        </w:tc>
      </w:tr>
      <w:tr>
        <w:trPr>
          <w:trHeight w:val="224" w:hRule="atLeast"/>
        </w:trPr>
        <w:tc>
          <w:tcPr>
            <w:tcW w:w="6486" w:type="dxa"/>
            <w:gridSpan w:val="5"/>
            <w:tcBorders>
              <w:bottom w:val="double" w:sz="6" w:space="0" w:color="000000"/>
            </w:tcBorders>
          </w:tcPr>
          <w:p>
            <w:pPr>
              <w:pStyle w:val="TableParagraph"/>
              <w:spacing w:line="205" w:lineRule="exact"/>
              <w:ind w:left="36"/>
              <w:rPr>
                <w:sz w:val="20"/>
              </w:rPr>
            </w:pPr>
            <w:r>
              <w:rPr>
                <w:sz w:val="20"/>
              </w:rPr>
              <w:t>Excluded</w:t>
            </w:r>
            <w:r>
              <w:rPr>
                <w:spacing w:val="-7"/>
                <w:sz w:val="20"/>
              </w:rPr>
              <w:t> </w:t>
            </w:r>
            <w:r>
              <w:rPr>
                <w:sz w:val="20"/>
              </w:rPr>
              <w:t>observations:</w:t>
            </w:r>
            <w:r>
              <w:rPr>
                <w:spacing w:val="-7"/>
                <w:sz w:val="20"/>
              </w:rPr>
              <w:t> </w:t>
            </w:r>
            <w:r>
              <w:rPr>
                <w:sz w:val="20"/>
              </w:rPr>
              <w:t>3</w:t>
            </w:r>
            <w:r>
              <w:rPr>
                <w:spacing w:val="-7"/>
                <w:sz w:val="20"/>
              </w:rPr>
              <w:t> </w:t>
            </w:r>
            <w:r>
              <w:rPr>
                <w:sz w:val="20"/>
              </w:rPr>
              <w:t>after</w:t>
            </w:r>
            <w:r>
              <w:rPr>
                <w:spacing w:val="-4"/>
                <w:sz w:val="20"/>
              </w:rPr>
              <w:t> </w:t>
            </w:r>
            <w:r>
              <w:rPr>
                <w:sz w:val="20"/>
              </w:rPr>
              <w:t>adjusting</w:t>
            </w:r>
            <w:r>
              <w:rPr>
                <w:spacing w:val="-8"/>
                <w:sz w:val="20"/>
              </w:rPr>
              <w:t> </w:t>
            </w:r>
            <w:r>
              <w:rPr>
                <w:spacing w:val="-2"/>
                <w:sz w:val="20"/>
              </w:rPr>
              <w:t>endpoints</w:t>
            </w:r>
          </w:p>
        </w:tc>
      </w:tr>
      <w:tr>
        <w:trPr>
          <w:trHeight w:val="269" w:hRule="atLeast"/>
        </w:trPr>
        <w:tc>
          <w:tcPr>
            <w:tcW w:w="1847" w:type="dxa"/>
            <w:tcBorders>
              <w:top w:val="double" w:sz="6" w:space="0" w:color="000000"/>
              <w:bottom w:val="double" w:sz="6" w:space="0" w:color="000000"/>
            </w:tcBorders>
          </w:tcPr>
          <w:p>
            <w:pPr>
              <w:pStyle w:val="TableParagraph"/>
              <w:spacing w:line="209" w:lineRule="exact" w:before="40"/>
              <w:ind w:left="677"/>
              <w:rPr>
                <w:sz w:val="20"/>
              </w:rPr>
            </w:pPr>
            <w:r>
              <w:rPr>
                <w:spacing w:val="-2"/>
                <w:sz w:val="20"/>
              </w:rPr>
              <w:t>Variable</w:t>
            </w:r>
          </w:p>
        </w:tc>
        <w:tc>
          <w:tcPr>
            <w:tcW w:w="1375" w:type="dxa"/>
            <w:tcBorders>
              <w:top w:val="double" w:sz="6" w:space="0" w:color="000000"/>
              <w:bottom w:val="double" w:sz="6" w:space="0" w:color="000000"/>
            </w:tcBorders>
          </w:tcPr>
          <w:p>
            <w:pPr>
              <w:pStyle w:val="TableParagraph"/>
              <w:spacing w:line="209" w:lineRule="exact" w:before="40"/>
              <w:ind w:right="131"/>
              <w:jc w:val="right"/>
              <w:rPr>
                <w:sz w:val="20"/>
              </w:rPr>
            </w:pPr>
            <w:r>
              <w:rPr>
                <w:spacing w:val="-2"/>
                <w:sz w:val="20"/>
              </w:rPr>
              <w:t>Coefficient</w:t>
            </w:r>
          </w:p>
        </w:tc>
        <w:tc>
          <w:tcPr>
            <w:tcW w:w="1432" w:type="dxa"/>
            <w:tcBorders>
              <w:top w:val="double" w:sz="6" w:space="0" w:color="000000"/>
              <w:bottom w:val="double" w:sz="6" w:space="0" w:color="000000"/>
            </w:tcBorders>
          </w:tcPr>
          <w:p>
            <w:pPr>
              <w:pStyle w:val="TableParagraph"/>
              <w:spacing w:line="209" w:lineRule="exact" w:before="40"/>
              <w:ind w:left="273"/>
              <w:rPr>
                <w:sz w:val="20"/>
              </w:rPr>
            </w:pPr>
            <w:r>
              <w:rPr>
                <w:sz w:val="20"/>
              </w:rPr>
              <w:t>Std.</w:t>
            </w:r>
            <w:r>
              <w:rPr>
                <w:spacing w:val="-4"/>
                <w:sz w:val="20"/>
              </w:rPr>
              <w:t> </w:t>
            </w:r>
            <w:r>
              <w:rPr>
                <w:spacing w:val="-2"/>
                <w:sz w:val="20"/>
              </w:rPr>
              <w:t>Error</w:t>
            </w:r>
          </w:p>
        </w:tc>
        <w:tc>
          <w:tcPr>
            <w:tcW w:w="936" w:type="dxa"/>
            <w:tcBorders>
              <w:top w:val="double" w:sz="6" w:space="0" w:color="000000"/>
              <w:bottom w:val="double" w:sz="6" w:space="0" w:color="000000"/>
            </w:tcBorders>
          </w:tcPr>
          <w:p>
            <w:pPr>
              <w:pStyle w:val="TableParagraph"/>
              <w:spacing w:line="209" w:lineRule="exact" w:before="40"/>
              <w:ind w:right="112"/>
              <w:jc w:val="right"/>
              <w:rPr>
                <w:sz w:val="20"/>
              </w:rPr>
            </w:pPr>
            <w:r>
              <w:rPr>
                <w:spacing w:val="-4"/>
                <w:sz w:val="20"/>
              </w:rPr>
              <w:t>t-</w:t>
            </w:r>
            <w:r>
              <w:rPr>
                <w:spacing w:val="-2"/>
                <w:sz w:val="20"/>
              </w:rPr>
              <w:t>Statistic</w:t>
            </w:r>
          </w:p>
        </w:tc>
        <w:tc>
          <w:tcPr>
            <w:tcW w:w="896" w:type="dxa"/>
            <w:tcBorders>
              <w:top w:val="double" w:sz="6" w:space="0" w:color="000000"/>
              <w:bottom w:val="double" w:sz="6" w:space="0" w:color="000000"/>
            </w:tcBorders>
          </w:tcPr>
          <w:p>
            <w:pPr>
              <w:pStyle w:val="TableParagraph"/>
              <w:spacing w:line="209" w:lineRule="exact" w:before="40"/>
              <w:ind w:right="27"/>
              <w:jc w:val="right"/>
              <w:rPr>
                <w:sz w:val="20"/>
              </w:rPr>
            </w:pPr>
            <w:r>
              <w:rPr>
                <w:spacing w:val="-2"/>
                <w:sz w:val="20"/>
              </w:rPr>
              <w:t>Prob.</w:t>
            </w:r>
          </w:p>
        </w:tc>
      </w:tr>
      <w:tr>
        <w:trPr>
          <w:trHeight w:val="275" w:hRule="atLeast"/>
        </w:trPr>
        <w:tc>
          <w:tcPr>
            <w:tcW w:w="1847" w:type="dxa"/>
            <w:tcBorders>
              <w:top w:val="double" w:sz="6" w:space="0" w:color="000000"/>
            </w:tcBorders>
          </w:tcPr>
          <w:p>
            <w:pPr>
              <w:pStyle w:val="TableParagraph"/>
              <w:spacing w:line="215" w:lineRule="exact" w:before="40"/>
              <w:ind w:left="655"/>
              <w:rPr>
                <w:sz w:val="20"/>
              </w:rPr>
            </w:pPr>
            <w:r>
              <w:rPr>
                <w:spacing w:val="-2"/>
                <w:sz w:val="20"/>
              </w:rPr>
              <w:t>ECM(-</w:t>
            </w:r>
            <w:r>
              <w:rPr>
                <w:spacing w:val="-5"/>
                <w:sz w:val="20"/>
              </w:rPr>
              <w:t>1)</w:t>
            </w:r>
          </w:p>
        </w:tc>
        <w:tc>
          <w:tcPr>
            <w:tcW w:w="1375" w:type="dxa"/>
            <w:tcBorders>
              <w:top w:val="double" w:sz="6" w:space="0" w:color="000000"/>
            </w:tcBorders>
          </w:tcPr>
          <w:p>
            <w:pPr>
              <w:pStyle w:val="TableParagraph"/>
              <w:spacing w:line="215" w:lineRule="exact" w:before="40"/>
              <w:ind w:right="128"/>
              <w:jc w:val="right"/>
              <w:rPr>
                <w:sz w:val="20"/>
              </w:rPr>
            </w:pPr>
            <w:r>
              <w:rPr>
                <w:spacing w:val="-4"/>
                <w:sz w:val="20"/>
              </w:rPr>
              <w:t>-</w:t>
            </w:r>
            <w:r>
              <w:rPr>
                <w:spacing w:val="-2"/>
                <w:sz w:val="20"/>
              </w:rPr>
              <w:t>0.867397</w:t>
            </w:r>
          </w:p>
        </w:tc>
        <w:tc>
          <w:tcPr>
            <w:tcW w:w="1432" w:type="dxa"/>
            <w:tcBorders>
              <w:top w:val="double" w:sz="6" w:space="0" w:color="000000"/>
            </w:tcBorders>
          </w:tcPr>
          <w:p>
            <w:pPr>
              <w:pStyle w:val="TableParagraph"/>
              <w:spacing w:line="215" w:lineRule="exact" w:before="40"/>
              <w:ind w:left="311"/>
              <w:rPr>
                <w:sz w:val="20"/>
              </w:rPr>
            </w:pPr>
            <w:r>
              <w:rPr>
                <w:spacing w:val="-2"/>
                <w:sz w:val="20"/>
              </w:rPr>
              <w:t>0.220530</w:t>
            </w:r>
          </w:p>
        </w:tc>
        <w:tc>
          <w:tcPr>
            <w:tcW w:w="936" w:type="dxa"/>
            <w:tcBorders>
              <w:top w:val="double" w:sz="6" w:space="0" w:color="000000"/>
            </w:tcBorders>
          </w:tcPr>
          <w:p>
            <w:pPr>
              <w:pStyle w:val="TableParagraph"/>
              <w:spacing w:line="215" w:lineRule="exact" w:before="40"/>
              <w:ind w:right="110"/>
              <w:jc w:val="right"/>
              <w:rPr>
                <w:sz w:val="20"/>
              </w:rPr>
            </w:pPr>
            <w:r>
              <w:rPr>
                <w:spacing w:val="-4"/>
                <w:sz w:val="20"/>
              </w:rPr>
              <w:t>-</w:t>
            </w:r>
            <w:r>
              <w:rPr>
                <w:spacing w:val="-2"/>
                <w:sz w:val="20"/>
              </w:rPr>
              <w:t>3.933229</w:t>
            </w:r>
          </w:p>
        </w:tc>
        <w:tc>
          <w:tcPr>
            <w:tcW w:w="896" w:type="dxa"/>
            <w:tcBorders>
              <w:top w:val="double" w:sz="6" w:space="0" w:color="000000"/>
            </w:tcBorders>
          </w:tcPr>
          <w:p>
            <w:pPr>
              <w:pStyle w:val="TableParagraph"/>
              <w:spacing w:line="215" w:lineRule="exact" w:before="40"/>
              <w:ind w:right="26"/>
              <w:jc w:val="right"/>
              <w:rPr>
                <w:sz w:val="20"/>
              </w:rPr>
            </w:pPr>
            <w:r>
              <w:rPr>
                <w:spacing w:val="-2"/>
                <w:sz w:val="20"/>
              </w:rPr>
              <w:t>0.0004</w:t>
            </w:r>
          </w:p>
        </w:tc>
      </w:tr>
      <w:tr>
        <w:trPr>
          <w:trHeight w:val="230" w:hRule="atLeast"/>
        </w:trPr>
        <w:tc>
          <w:tcPr>
            <w:tcW w:w="1847" w:type="dxa"/>
          </w:tcPr>
          <w:p>
            <w:pPr>
              <w:pStyle w:val="TableParagraph"/>
              <w:spacing w:line="210" w:lineRule="exact"/>
              <w:ind w:left="516"/>
              <w:rPr>
                <w:sz w:val="20"/>
              </w:rPr>
            </w:pPr>
            <w:r>
              <w:rPr>
                <w:spacing w:val="-2"/>
                <w:sz w:val="20"/>
              </w:rPr>
              <w:t>D(ECM(-</w:t>
            </w:r>
            <w:r>
              <w:rPr>
                <w:spacing w:val="-5"/>
                <w:sz w:val="20"/>
              </w:rPr>
              <w:t>1))</w:t>
            </w:r>
          </w:p>
        </w:tc>
        <w:tc>
          <w:tcPr>
            <w:tcW w:w="1375" w:type="dxa"/>
          </w:tcPr>
          <w:p>
            <w:pPr>
              <w:pStyle w:val="TableParagraph"/>
              <w:spacing w:line="210" w:lineRule="exact"/>
              <w:ind w:right="128"/>
              <w:jc w:val="right"/>
              <w:rPr>
                <w:sz w:val="20"/>
              </w:rPr>
            </w:pPr>
            <w:r>
              <w:rPr>
                <w:spacing w:val="-2"/>
                <w:sz w:val="20"/>
              </w:rPr>
              <w:t>0.132838</w:t>
            </w:r>
          </w:p>
        </w:tc>
        <w:tc>
          <w:tcPr>
            <w:tcW w:w="1432" w:type="dxa"/>
          </w:tcPr>
          <w:p>
            <w:pPr>
              <w:pStyle w:val="TableParagraph"/>
              <w:spacing w:line="210" w:lineRule="exact"/>
              <w:ind w:left="311"/>
              <w:rPr>
                <w:sz w:val="20"/>
              </w:rPr>
            </w:pPr>
            <w:r>
              <w:rPr>
                <w:spacing w:val="-2"/>
                <w:sz w:val="20"/>
              </w:rPr>
              <w:t>0.176518</w:t>
            </w:r>
          </w:p>
        </w:tc>
        <w:tc>
          <w:tcPr>
            <w:tcW w:w="936" w:type="dxa"/>
          </w:tcPr>
          <w:p>
            <w:pPr>
              <w:pStyle w:val="TableParagraph"/>
              <w:spacing w:line="210" w:lineRule="exact"/>
              <w:ind w:right="110"/>
              <w:jc w:val="right"/>
              <w:rPr>
                <w:sz w:val="20"/>
              </w:rPr>
            </w:pPr>
            <w:r>
              <w:rPr>
                <w:spacing w:val="-2"/>
                <w:sz w:val="20"/>
              </w:rPr>
              <w:t>0.752547</w:t>
            </w:r>
          </w:p>
        </w:tc>
        <w:tc>
          <w:tcPr>
            <w:tcW w:w="896" w:type="dxa"/>
          </w:tcPr>
          <w:p>
            <w:pPr>
              <w:pStyle w:val="TableParagraph"/>
              <w:spacing w:line="210" w:lineRule="exact"/>
              <w:ind w:right="26"/>
              <w:jc w:val="right"/>
              <w:rPr>
                <w:sz w:val="20"/>
              </w:rPr>
            </w:pPr>
            <w:r>
              <w:rPr>
                <w:spacing w:val="-2"/>
                <w:sz w:val="20"/>
              </w:rPr>
              <w:t>0.4569</w:t>
            </w:r>
          </w:p>
        </w:tc>
      </w:tr>
      <w:tr>
        <w:trPr>
          <w:trHeight w:val="224" w:hRule="atLeast"/>
        </w:trPr>
        <w:tc>
          <w:tcPr>
            <w:tcW w:w="1847" w:type="dxa"/>
            <w:tcBorders>
              <w:bottom w:val="double" w:sz="6" w:space="0" w:color="000000"/>
            </w:tcBorders>
          </w:tcPr>
          <w:p>
            <w:pPr>
              <w:pStyle w:val="TableParagraph"/>
              <w:spacing w:line="205" w:lineRule="exact"/>
              <w:ind w:left="197"/>
              <w:jc w:val="center"/>
              <w:rPr>
                <w:sz w:val="20"/>
              </w:rPr>
            </w:pPr>
            <w:r>
              <w:rPr>
                <w:spacing w:val="-10"/>
                <w:sz w:val="20"/>
              </w:rPr>
              <w:t>C</w:t>
            </w:r>
          </w:p>
        </w:tc>
        <w:tc>
          <w:tcPr>
            <w:tcW w:w="1375" w:type="dxa"/>
            <w:tcBorders>
              <w:bottom w:val="double" w:sz="6" w:space="0" w:color="000000"/>
            </w:tcBorders>
          </w:tcPr>
          <w:p>
            <w:pPr>
              <w:pStyle w:val="TableParagraph"/>
              <w:spacing w:line="205" w:lineRule="exact"/>
              <w:ind w:right="128"/>
              <w:jc w:val="right"/>
              <w:rPr>
                <w:sz w:val="20"/>
              </w:rPr>
            </w:pPr>
            <w:r>
              <w:rPr>
                <w:spacing w:val="-4"/>
                <w:sz w:val="20"/>
              </w:rPr>
              <w:t>-</w:t>
            </w:r>
            <w:r>
              <w:rPr>
                <w:spacing w:val="-2"/>
                <w:sz w:val="20"/>
              </w:rPr>
              <w:t>0.030030</w:t>
            </w:r>
          </w:p>
        </w:tc>
        <w:tc>
          <w:tcPr>
            <w:tcW w:w="1432" w:type="dxa"/>
            <w:tcBorders>
              <w:bottom w:val="double" w:sz="6" w:space="0" w:color="000000"/>
            </w:tcBorders>
          </w:tcPr>
          <w:p>
            <w:pPr>
              <w:pStyle w:val="TableParagraph"/>
              <w:spacing w:line="205" w:lineRule="exact"/>
              <w:ind w:left="311"/>
              <w:rPr>
                <w:sz w:val="20"/>
              </w:rPr>
            </w:pPr>
            <w:r>
              <w:rPr>
                <w:spacing w:val="-2"/>
                <w:sz w:val="20"/>
              </w:rPr>
              <w:t>0.168096</w:t>
            </w:r>
          </w:p>
        </w:tc>
        <w:tc>
          <w:tcPr>
            <w:tcW w:w="936" w:type="dxa"/>
            <w:tcBorders>
              <w:bottom w:val="double" w:sz="6" w:space="0" w:color="000000"/>
            </w:tcBorders>
          </w:tcPr>
          <w:p>
            <w:pPr>
              <w:pStyle w:val="TableParagraph"/>
              <w:spacing w:line="205" w:lineRule="exact"/>
              <w:ind w:right="110"/>
              <w:jc w:val="right"/>
              <w:rPr>
                <w:sz w:val="20"/>
              </w:rPr>
            </w:pPr>
            <w:r>
              <w:rPr>
                <w:spacing w:val="-4"/>
                <w:sz w:val="20"/>
              </w:rPr>
              <w:t>-</w:t>
            </w:r>
            <w:r>
              <w:rPr>
                <w:spacing w:val="-2"/>
                <w:sz w:val="20"/>
              </w:rPr>
              <w:t>0.178647</w:t>
            </w:r>
          </w:p>
        </w:tc>
        <w:tc>
          <w:tcPr>
            <w:tcW w:w="896" w:type="dxa"/>
            <w:tcBorders>
              <w:bottom w:val="double" w:sz="6" w:space="0" w:color="000000"/>
            </w:tcBorders>
          </w:tcPr>
          <w:p>
            <w:pPr>
              <w:pStyle w:val="TableParagraph"/>
              <w:spacing w:line="205" w:lineRule="exact"/>
              <w:ind w:right="26"/>
              <w:jc w:val="right"/>
              <w:rPr>
                <w:sz w:val="20"/>
              </w:rPr>
            </w:pPr>
            <w:r>
              <w:rPr>
                <w:spacing w:val="-2"/>
                <w:sz w:val="20"/>
              </w:rPr>
              <w:t>0.8593</w:t>
            </w:r>
          </w:p>
        </w:tc>
      </w:tr>
      <w:tr>
        <w:trPr>
          <w:trHeight w:val="275" w:hRule="atLeast"/>
        </w:trPr>
        <w:tc>
          <w:tcPr>
            <w:tcW w:w="1847" w:type="dxa"/>
            <w:tcBorders>
              <w:top w:val="double" w:sz="6" w:space="0" w:color="000000"/>
            </w:tcBorders>
          </w:tcPr>
          <w:p>
            <w:pPr>
              <w:pStyle w:val="TableParagraph"/>
              <w:spacing w:line="215" w:lineRule="exact" w:before="40"/>
              <w:ind w:left="36"/>
              <w:rPr>
                <w:sz w:val="20"/>
              </w:rPr>
            </w:pPr>
            <w:r>
              <w:rPr>
                <w:spacing w:val="-2"/>
                <w:sz w:val="20"/>
              </w:rPr>
              <w:t>R-squared</w:t>
            </w:r>
          </w:p>
        </w:tc>
        <w:tc>
          <w:tcPr>
            <w:tcW w:w="1375" w:type="dxa"/>
            <w:tcBorders>
              <w:top w:val="double" w:sz="6" w:space="0" w:color="000000"/>
            </w:tcBorders>
          </w:tcPr>
          <w:p>
            <w:pPr>
              <w:pStyle w:val="TableParagraph"/>
              <w:spacing w:line="215" w:lineRule="exact" w:before="40"/>
              <w:ind w:right="128"/>
              <w:jc w:val="right"/>
              <w:rPr>
                <w:sz w:val="20"/>
              </w:rPr>
            </w:pPr>
            <w:r>
              <w:rPr>
                <w:spacing w:val="-2"/>
                <w:sz w:val="20"/>
              </w:rPr>
              <w:t>0.380467</w:t>
            </w:r>
          </w:p>
        </w:tc>
        <w:tc>
          <w:tcPr>
            <w:tcW w:w="2368" w:type="dxa"/>
            <w:gridSpan w:val="2"/>
            <w:tcBorders>
              <w:top w:val="double" w:sz="6" w:space="0" w:color="000000"/>
            </w:tcBorders>
          </w:tcPr>
          <w:p>
            <w:pPr>
              <w:pStyle w:val="TableParagraph"/>
              <w:spacing w:line="215" w:lineRule="exact" w:before="40"/>
              <w:ind w:left="131"/>
              <w:rPr>
                <w:sz w:val="20"/>
              </w:rPr>
            </w:pPr>
            <w:r>
              <w:rPr>
                <w:sz w:val="20"/>
              </w:rPr>
              <w:t>Mean</w:t>
            </w:r>
            <w:r>
              <w:rPr>
                <w:spacing w:val="-7"/>
                <w:sz w:val="20"/>
              </w:rPr>
              <w:t> </w:t>
            </w:r>
            <w:r>
              <w:rPr>
                <w:sz w:val="20"/>
              </w:rPr>
              <w:t>dependent</w:t>
            </w:r>
            <w:r>
              <w:rPr>
                <w:spacing w:val="-7"/>
                <w:sz w:val="20"/>
              </w:rPr>
              <w:t> </w:t>
            </w:r>
            <w:r>
              <w:rPr>
                <w:spacing w:val="-5"/>
                <w:sz w:val="20"/>
              </w:rPr>
              <w:t>var</w:t>
            </w:r>
          </w:p>
        </w:tc>
        <w:tc>
          <w:tcPr>
            <w:tcW w:w="896" w:type="dxa"/>
            <w:tcBorders>
              <w:top w:val="double" w:sz="6" w:space="0" w:color="000000"/>
            </w:tcBorders>
          </w:tcPr>
          <w:p>
            <w:pPr>
              <w:pStyle w:val="TableParagraph"/>
              <w:spacing w:line="215" w:lineRule="exact" w:before="40"/>
              <w:ind w:right="26"/>
              <w:jc w:val="right"/>
              <w:rPr>
                <w:sz w:val="20"/>
              </w:rPr>
            </w:pPr>
            <w:r>
              <w:rPr>
                <w:spacing w:val="-2"/>
                <w:sz w:val="20"/>
              </w:rPr>
              <w:t>0.025901</w:t>
            </w:r>
          </w:p>
        </w:tc>
      </w:tr>
      <w:tr>
        <w:trPr>
          <w:trHeight w:val="230" w:hRule="atLeast"/>
        </w:trPr>
        <w:tc>
          <w:tcPr>
            <w:tcW w:w="1847" w:type="dxa"/>
          </w:tcPr>
          <w:p>
            <w:pPr>
              <w:pStyle w:val="TableParagraph"/>
              <w:spacing w:line="211" w:lineRule="exact"/>
              <w:ind w:left="36"/>
              <w:rPr>
                <w:sz w:val="20"/>
              </w:rPr>
            </w:pPr>
            <w:r>
              <w:rPr>
                <w:sz w:val="20"/>
              </w:rPr>
              <w:t>Adjusted</w:t>
            </w:r>
            <w:r>
              <w:rPr>
                <w:spacing w:val="-10"/>
                <w:sz w:val="20"/>
              </w:rPr>
              <w:t> </w:t>
            </w:r>
            <w:r>
              <w:rPr>
                <w:sz w:val="20"/>
              </w:rPr>
              <w:t>R-</w:t>
            </w:r>
            <w:r>
              <w:rPr>
                <w:spacing w:val="-2"/>
                <w:sz w:val="20"/>
              </w:rPr>
              <w:t>squared</w:t>
            </w:r>
          </w:p>
        </w:tc>
        <w:tc>
          <w:tcPr>
            <w:tcW w:w="1375" w:type="dxa"/>
          </w:tcPr>
          <w:p>
            <w:pPr>
              <w:pStyle w:val="TableParagraph"/>
              <w:spacing w:line="211" w:lineRule="exact"/>
              <w:ind w:right="128"/>
              <w:jc w:val="right"/>
              <w:rPr>
                <w:sz w:val="20"/>
              </w:rPr>
            </w:pPr>
            <w:r>
              <w:rPr>
                <w:spacing w:val="-2"/>
                <w:sz w:val="20"/>
              </w:rPr>
              <w:t>0.344024</w:t>
            </w:r>
          </w:p>
        </w:tc>
        <w:tc>
          <w:tcPr>
            <w:tcW w:w="2368" w:type="dxa"/>
            <w:gridSpan w:val="2"/>
          </w:tcPr>
          <w:p>
            <w:pPr>
              <w:pStyle w:val="TableParagraph"/>
              <w:spacing w:line="211" w:lineRule="exact"/>
              <w:ind w:left="131"/>
              <w:rPr>
                <w:sz w:val="20"/>
              </w:rPr>
            </w:pPr>
            <w:r>
              <w:rPr>
                <w:sz w:val="20"/>
              </w:rPr>
              <w:t>S.D.</w:t>
            </w:r>
            <w:r>
              <w:rPr>
                <w:spacing w:val="-5"/>
                <w:sz w:val="20"/>
              </w:rPr>
              <w:t> </w:t>
            </w:r>
            <w:r>
              <w:rPr>
                <w:sz w:val="20"/>
              </w:rPr>
              <w:t>dependent</w:t>
            </w:r>
            <w:r>
              <w:rPr>
                <w:spacing w:val="-6"/>
                <w:sz w:val="20"/>
              </w:rPr>
              <w:t> </w:t>
            </w:r>
            <w:r>
              <w:rPr>
                <w:spacing w:val="-5"/>
                <w:sz w:val="20"/>
              </w:rPr>
              <w:t>var</w:t>
            </w:r>
          </w:p>
        </w:tc>
        <w:tc>
          <w:tcPr>
            <w:tcW w:w="896" w:type="dxa"/>
          </w:tcPr>
          <w:p>
            <w:pPr>
              <w:pStyle w:val="TableParagraph"/>
              <w:spacing w:line="211" w:lineRule="exact"/>
              <w:ind w:right="26"/>
              <w:jc w:val="right"/>
              <w:rPr>
                <w:sz w:val="20"/>
              </w:rPr>
            </w:pPr>
            <w:r>
              <w:rPr>
                <w:spacing w:val="-2"/>
                <w:sz w:val="20"/>
              </w:rPr>
              <w:t>1.257739</w:t>
            </w:r>
          </w:p>
        </w:tc>
      </w:tr>
      <w:tr>
        <w:trPr>
          <w:trHeight w:val="230" w:hRule="atLeast"/>
        </w:trPr>
        <w:tc>
          <w:tcPr>
            <w:tcW w:w="1847" w:type="dxa"/>
          </w:tcPr>
          <w:p>
            <w:pPr>
              <w:pStyle w:val="TableParagraph"/>
              <w:spacing w:line="210" w:lineRule="exact"/>
              <w:ind w:left="36"/>
              <w:rPr>
                <w:sz w:val="20"/>
              </w:rPr>
            </w:pPr>
            <w:r>
              <w:rPr>
                <w:sz w:val="20"/>
              </w:rPr>
              <w:t>S.E.</w:t>
            </w:r>
            <w:r>
              <w:rPr>
                <w:spacing w:val="-3"/>
                <w:sz w:val="20"/>
              </w:rPr>
              <w:t> </w:t>
            </w:r>
            <w:r>
              <w:rPr>
                <w:sz w:val="20"/>
              </w:rPr>
              <w:t>of</w:t>
            </w:r>
            <w:r>
              <w:rPr>
                <w:spacing w:val="-3"/>
                <w:sz w:val="20"/>
              </w:rPr>
              <w:t> </w:t>
            </w:r>
            <w:r>
              <w:rPr>
                <w:spacing w:val="-2"/>
                <w:sz w:val="20"/>
              </w:rPr>
              <w:t>regression</w:t>
            </w:r>
          </w:p>
        </w:tc>
        <w:tc>
          <w:tcPr>
            <w:tcW w:w="1375" w:type="dxa"/>
          </w:tcPr>
          <w:p>
            <w:pPr>
              <w:pStyle w:val="TableParagraph"/>
              <w:spacing w:line="210" w:lineRule="exact"/>
              <w:ind w:right="128"/>
              <w:jc w:val="right"/>
              <w:rPr>
                <w:sz w:val="20"/>
              </w:rPr>
            </w:pPr>
            <w:r>
              <w:rPr>
                <w:spacing w:val="-2"/>
                <w:sz w:val="20"/>
              </w:rPr>
              <w:t>1.018673</w:t>
            </w:r>
          </w:p>
        </w:tc>
        <w:tc>
          <w:tcPr>
            <w:tcW w:w="2368" w:type="dxa"/>
            <w:gridSpan w:val="2"/>
          </w:tcPr>
          <w:p>
            <w:pPr>
              <w:pStyle w:val="TableParagraph"/>
              <w:spacing w:line="210" w:lineRule="exact"/>
              <w:ind w:left="131"/>
              <w:rPr>
                <w:sz w:val="20"/>
              </w:rPr>
            </w:pPr>
            <w:r>
              <w:rPr>
                <w:sz w:val="20"/>
              </w:rPr>
              <w:t>Akaike</w:t>
            </w:r>
            <w:r>
              <w:rPr>
                <w:spacing w:val="-8"/>
                <w:sz w:val="20"/>
              </w:rPr>
              <w:t> </w:t>
            </w:r>
            <w:r>
              <w:rPr>
                <w:sz w:val="20"/>
              </w:rPr>
              <w:t>info</w:t>
            </w:r>
            <w:r>
              <w:rPr>
                <w:spacing w:val="-7"/>
                <w:sz w:val="20"/>
              </w:rPr>
              <w:t> </w:t>
            </w:r>
            <w:r>
              <w:rPr>
                <w:spacing w:val="-2"/>
                <w:sz w:val="20"/>
              </w:rPr>
              <w:t>criterion</w:t>
            </w:r>
          </w:p>
        </w:tc>
        <w:tc>
          <w:tcPr>
            <w:tcW w:w="896" w:type="dxa"/>
          </w:tcPr>
          <w:p>
            <w:pPr>
              <w:pStyle w:val="TableParagraph"/>
              <w:spacing w:line="210" w:lineRule="exact"/>
              <w:ind w:right="26"/>
              <w:jc w:val="right"/>
              <w:rPr>
                <w:sz w:val="20"/>
              </w:rPr>
            </w:pPr>
            <w:r>
              <w:rPr>
                <w:spacing w:val="-2"/>
                <w:sz w:val="20"/>
              </w:rPr>
              <w:t>2.952483</w:t>
            </w:r>
          </w:p>
        </w:tc>
      </w:tr>
      <w:tr>
        <w:trPr>
          <w:trHeight w:val="229" w:hRule="atLeast"/>
        </w:trPr>
        <w:tc>
          <w:tcPr>
            <w:tcW w:w="1847" w:type="dxa"/>
          </w:tcPr>
          <w:p>
            <w:pPr>
              <w:pStyle w:val="TableParagraph"/>
              <w:spacing w:line="209" w:lineRule="exact"/>
              <w:ind w:left="36"/>
              <w:rPr>
                <w:sz w:val="20"/>
              </w:rPr>
            </w:pPr>
            <w:r>
              <w:rPr>
                <w:sz w:val="20"/>
              </w:rPr>
              <w:t>Sum</w:t>
            </w:r>
            <w:r>
              <w:rPr>
                <w:spacing w:val="-8"/>
                <w:sz w:val="20"/>
              </w:rPr>
              <w:t> </w:t>
            </w:r>
            <w:r>
              <w:rPr>
                <w:sz w:val="20"/>
              </w:rPr>
              <w:t>squared</w:t>
            </w:r>
            <w:r>
              <w:rPr>
                <w:spacing w:val="-4"/>
                <w:sz w:val="20"/>
              </w:rPr>
              <w:t> </w:t>
            </w:r>
            <w:r>
              <w:rPr>
                <w:spacing w:val="-2"/>
                <w:sz w:val="20"/>
              </w:rPr>
              <w:t>resid</w:t>
            </w:r>
          </w:p>
        </w:tc>
        <w:tc>
          <w:tcPr>
            <w:tcW w:w="1375" w:type="dxa"/>
          </w:tcPr>
          <w:p>
            <w:pPr>
              <w:pStyle w:val="TableParagraph"/>
              <w:spacing w:line="209" w:lineRule="exact"/>
              <w:ind w:right="128"/>
              <w:jc w:val="right"/>
              <w:rPr>
                <w:sz w:val="20"/>
              </w:rPr>
            </w:pPr>
            <w:r>
              <w:rPr>
                <w:spacing w:val="-2"/>
                <w:sz w:val="20"/>
              </w:rPr>
              <w:t>35.28161</w:t>
            </w:r>
          </w:p>
        </w:tc>
        <w:tc>
          <w:tcPr>
            <w:tcW w:w="2368" w:type="dxa"/>
            <w:gridSpan w:val="2"/>
          </w:tcPr>
          <w:p>
            <w:pPr>
              <w:pStyle w:val="TableParagraph"/>
              <w:spacing w:line="209" w:lineRule="exact"/>
              <w:ind w:left="131"/>
              <w:rPr>
                <w:sz w:val="20"/>
              </w:rPr>
            </w:pPr>
            <w:r>
              <w:rPr>
                <w:sz w:val="20"/>
              </w:rPr>
              <w:t>Schwarz</w:t>
            </w:r>
            <w:r>
              <w:rPr>
                <w:spacing w:val="-8"/>
                <w:sz w:val="20"/>
              </w:rPr>
              <w:t> </w:t>
            </w:r>
            <w:r>
              <w:rPr>
                <w:spacing w:val="-2"/>
                <w:sz w:val="20"/>
              </w:rPr>
              <w:t>criterion</w:t>
            </w:r>
          </w:p>
        </w:tc>
        <w:tc>
          <w:tcPr>
            <w:tcW w:w="896" w:type="dxa"/>
          </w:tcPr>
          <w:p>
            <w:pPr>
              <w:pStyle w:val="TableParagraph"/>
              <w:spacing w:line="209" w:lineRule="exact"/>
              <w:ind w:right="26"/>
              <w:jc w:val="right"/>
              <w:rPr>
                <w:sz w:val="20"/>
              </w:rPr>
            </w:pPr>
            <w:r>
              <w:rPr>
                <w:spacing w:val="-2"/>
                <w:sz w:val="20"/>
              </w:rPr>
              <w:t>3.083098</w:t>
            </w:r>
          </w:p>
        </w:tc>
      </w:tr>
      <w:tr>
        <w:trPr>
          <w:trHeight w:val="229" w:hRule="atLeast"/>
        </w:trPr>
        <w:tc>
          <w:tcPr>
            <w:tcW w:w="1847" w:type="dxa"/>
          </w:tcPr>
          <w:p>
            <w:pPr>
              <w:pStyle w:val="TableParagraph"/>
              <w:spacing w:line="209" w:lineRule="exact"/>
              <w:ind w:left="36"/>
              <w:rPr>
                <w:sz w:val="20"/>
              </w:rPr>
            </w:pPr>
            <w:r>
              <w:rPr>
                <w:sz w:val="20"/>
              </w:rPr>
              <w:t>Log</w:t>
            </w:r>
            <w:r>
              <w:rPr>
                <w:spacing w:val="-5"/>
                <w:sz w:val="20"/>
              </w:rPr>
              <w:t> </w:t>
            </w:r>
            <w:r>
              <w:rPr>
                <w:spacing w:val="-2"/>
                <w:sz w:val="20"/>
              </w:rPr>
              <w:t>likelihood</w:t>
            </w:r>
          </w:p>
        </w:tc>
        <w:tc>
          <w:tcPr>
            <w:tcW w:w="1375" w:type="dxa"/>
          </w:tcPr>
          <w:p>
            <w:pPr>
              <w:pStyle w:val="TableParagraph"/>
              <w:spacing w:line="209" w:lineRule="exact"/>
              <w:ind w:right="128"/>
              <w:jc w:val="right"/>
              <w:rPr>
                <w:sz w:val="20"/>
              </w:rPr>
            </w:pPr>
            <w:r>
              <w:rPr>
                <w:spacing w:val="-4"/>
                <w:sz w:val="20"/>
              </w:rPr>
              <w:t>-</w:t>
            </w:r>
            <w:r>
              <w:rPr>
                <w:spacing w:val="-2"/>
                <w:sz w:val="20"/>
              </w:rPr>
              <w:t>51.62094</w:t>
            </w:r>
          </w:p>
        </w:tc>
        <w:tc>
          <w:tcPr>
            <w:tcW w:w="1432" w:type="dxa"/>
          </w:tcPr>
          <w:p>
            <w:pPr>
              <w:pStyle w:val="TableParagraph"/>
              <w:spacing w:line="209" w:lineRule="exact"/>
              <w:ind w:left="131"/>
              <w:rPr>
                <w:sz w:val="20"/>
              </w:rPr>
            </w:pPr>
            <w:r>
              <w:rPr>
                <w:spacing w:val="-4"/>
                <w:sz w:val="20"/>
              </w:rPr>
              <w:t>F-</w:t>
            </w:r>
            <w:r>
              <w:rPr>
                <w:spacing w:val="-2"/>
                <w:sz w:val="20"/>
              </w:rPr>
              <w:t>statistic</w:t>
            </w:r>
          </w:p>
        </w:tc>
        <w:tc>
          <w:tcPr>
            <w:tcW w:w="936" w:type="dxa"/>
          </w:tcPr>
          <w:p>
            <w:pPr>
              <w:pStyle w:val="TableParagraph"/>
              <w:rPr>
                <w:sz w:val="16"/>
              </w:rPr>
            </w:pPr>
          </w:p>
        </w:tc>
        <w:tc>
          <w:tcPr>
            <w:tcW w:w="896" w:type="dxa"/>
          </w:tcPr>
          <w:p>
            <w:pPr>
              <w:pStyle w:val="TableParagraph"/>
              <w:spacing w:line="209" w:lineRule="exact"/>
              <w:ind w:right="26"/>
              <w:jc w:val="right"/>
              <w:rPr>
                <w:sz w:val="20"/>
              </w:rPr>
            </w:pPr>
            <w:r>
              <w:rPr>
                <w:spacing w:val="-2"/>
                <w:sz w:val="20"/>
              </w:rPr>
              <w:t>10.44001</w:t>
            </w:r>
          </w:p>
        </w:tc>
      </w:tr>
      <w:tr>
        <w:trPr>
          <w:trHeight w:val="267" w:hRule="atLeast"/>
        </w:trPr>
        <w:tc>
          <w:tcPr>
            <w:tcW w:w="1847" w:type="dxa"/>
            <w:tcBorders>
              <w:bottom w:val="double" w:sz="6" w:space="0" w:color="000000"/>
            </w:tcBorders>
          </w:tcPr>
          <w:p>
            <w:pPr>
              <w:pStyle w:val="TableParagraph"/>
              <w:spacing w:line="226" w:lineRule="exact"/>
              <w:ind w:left="36"/>
              <w:rPr>
                <w:sz w:val="20"/>
              </w:rPr>
            </w:pPr>
            <w:r>
              <w:rPr>
                <w:sz w:val="20"/>
              </w:rPr>
              <w:t>Durbin-Watson</w:t>
            </w:r>
            <w:r>
              <w:rPr>
                <w:spacing w:val="-12"/>
                <w:sz w:val="20"/>
              </w:rPr>
              <w:t> </w:t>
            </w:r>
            <w:r>
              <w:rPr>
                <w:spacing w:val="-4"/>
                <w:sz w:val="20"/>
              </w:rPr>
              <w:t>stat</w:t>
            </w:r>
          </w:p>
        </w:tc>
        <w:tc>
          <w:tcPr>
            <w:tcW w:w="1375" w:type="dxa"/>
          </w:tcPr>
          <w:p>
            <w:pPr>
              <w:pStyle w:val="TableParagraph"/>
              <w:spacing w:line="226" w:lineRule="exact"/>
              <w:ind w:right="128"/>
              <w:jc w:val="right"/>
              <w:rPr>
                <w:sz w:val="20"/>
              </w:rPr>
            </w:pPr>
            <w:r>
              <w:rPr>
                <w:spacing w:val="-2"/>
                <w:sz w:val="20"/>
              </w:rPr>
              <w:t>1.954644</w:t>
            </w:r>
          </w:p>
        </w:tc>
        <w:tc>
          <w:tcPr>
            <w:tcW w:w="1432" w:type="dxa"/>
            <w:tcBorders>
              <w:bottom w:val="double" w:sz="6" w:space="0" w:color="000000"/>
            </w:tcBorders>
          </w:tcPr>
          <w:p>
            <w:pPr>
              <w:pStyle w:val="TableParagraph"/>
              <w:spacing w:line="226" w:lineRule="exact"/>
              <w:ind w:left="131"/>
              <w:rPr>
                <w:sz w:val="20"/>
              </w:rPr>
            </w:pPr>
            <w:r>
              <w:rPr>
                <w:spacing w:val="-2"/>
                <w:sz w:val="20"/>
              </w:rPr>
              <w:t>Prob(F-statistic)</w:t>
            </w:r>
          </w:p>
        </w:tc>
        <w:tc>
          <w:tcPr>
            <w:tcW w:w="936" w:type="dxa"/>
            <w:tcBorders>
              <w:bottom w:val="single" w:sz="6" w:space="0" w:color="000000"/>
            </w:tcBorders>
          </w:tcPr>
          <w:p>
            <w:pPr>
              <w:pStyle w:val="TableParagraph"/>
              <w:rPr>
                <w:sz w:val="18"/>
              </w:rPr>
            </w:pPr>
          </w:p>
        </w:tc>
        <w:tc>
          <w:tcPr>
            <w:tcW w:w="896" w:type="dxa"/>
            <w:tcBorders>
              <w:bottom w:val="double" w:sz="6" w:space="0" w:color="000000"/>
            </w:tcBorders>
          </w:tcPr>
          <w:p>
            <w:pPr>
              <w:pStyle w:val="TableParagraph"/>
              <w:spacing w:line="226" w:lineRule="exact"/>
              <w:ind w:right="26"/>
              <w:jc w:val="right"/>
              <w:rPr>
                <w:sz w:val="20"/>
              </w:rPr>
            </w:pPr>
            <w:r>
              <w:rPr>
                <w:spacing w:val="-2"/>
                <w:sz w:val="20"/>
              </w:rPr>
              <w:t>0.000292</w:t>
            </w:r>
          </w:p>
        </w:tc>
      </w:tr>
    </w:tbl>
    <w:p>
      <w:pPr>
        <w:spacing w:after="0" w:line="226" w:lineRule="exact"/>
        <w:jc w:val="right"/>
        <w:rPr>
          <w:sz w:val="20"/>
        </w:rPr>
        <w:sectPr>
          <w:pgSz w:w="11910" w:h="16840"/>
          <w:pgMar w:header="0" w:footer="979" w:top="1340" w:bottom="1240" w:left="280" w:right="0"/>
        </w:sectPr>
      </w:pPr>
    </w:p>
    <w:p>
      <w:pPr>
        <w:spacing w:before="62" w:after="3"/>
        <w:ind w:left="711" w:right="0" w:firstLine="0"/>
        <w:jc w:val="left"/>
        <w:rPr>
          <w:sz w:val="20"/>
        </w:rPr>
      </w:pPr>
      <w:r>
        <w:rPr>
          <w:sz w:val="20"/>
        </w:rPr>
        <w:t>OVER</w:t>
      </w:r>
      <w:r>
        <w:rPr>
          <w:spacing w:val="-8"/>
          <w:sz w:val="20"/>
        </w:rPr>
        <w:t> </w:t>
      </w:r>
      <w:r>
        <w:rPr>
          <w:sz w:val="20"/>
        </w:rPr>
        <w:t>PARAMETIZED</w:t>
      </w:r>
      <w:r>
        <w:rPr>
          <w:spacing w:val="-6"/>
          <w:sz w:val="20"/>
        </w:rPr>
        <w:t> </w:t>
      </w:r>
      <w:r>
        <w:rPr>
          <w:sz w:val="20"/>
        </w:rPr>
        <w:t>ECM</w:t>
      </w:r>
      <w:r>
        <w:rPr>
          <w:spacing w:val="-4"/>
          <w:sz w:val="20"/>
        </w:rPr>
        <w:t> </w:t>
      </w:r>
      <w:r>
        <w:rPr>
          <w:sz w:val="20"/>
        </w:rPr>
        <w:t>FOR</w:t>
      </w:r>
      <w:r>
        <w:rPr>
          <w:spacing w:val="-7"/>
          <w:sz w:val="20"/>
        </w:rPr>
        <w:t> </w:t>
      </w:r>
      <w:r>
        <w:rPr>
          <w:sz w:val="20"/>
        </w:rPr>
        <w:t>MODEL</w:t>
      </w:r>
      <w:r>
        <w:rPr>
          <w:spacing w:val="-8"/>
          <w:sz w:val="20"/>
        </w:rPr>
        <w:t> </w:t>
      </w:r>
      <w:r>
        <w:rPr>
          <w:spacing w:val="-5"/>
          <w:sz w:val="20"/>
        </w:rPr>
        <w:t>1B</w:t>
      </w:r>
    </w:p>
    <w:tbl>
      <w:tblPr>
        <w:tblW w:w="0" w:type="auto"/>
        <w:jc w:val="left"/>
        <w:tblInd w:w="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17"/>
        <w:gridCol w:w="1206"/>
        <w:gridCol w:w="1251"/>
        <w:gridCol w:w="1119"/>
        <w:gridCol w:w="897"/>
      </w:tblGrid>
      <w:tr>
        <w:trPr>
          <w:trHeight w:val="224" w:hRule="atLeast"/>
        </w:trPr>
        <w:tc>
          <w:tcPr>
            <w:tcW w:w="6490" w:type="dxa"/>
            <w:gridSpan w:val="5"/>
          </w:tcPr>
          <w:p>
            <w:pPr>
              <w:pStyle w:val="TableParagraph"/>
              <w:spacing w:line="204" w:lineRule="exact"/>
              <w:ind w:left="36"/>
              <w:rPr>
                <w:sz w:val="20"/>
              </w:rPr>
            </w:pPr>
            <w:r>
              <w:rPr>
                <w:sz w:val="20"/>
              </w:rPr>
              <w:t>Dependent</w:t>
            </w:r>
            <w:r>
              <w:rPr>
                <w:spacing w:val="-8"/>
                <w:sz w:val="20"/>
              </w:rPr>
              <w:t> </w:t>
            </w:r>
            <w:r>
              <w:rPr>
                <w:sz w:val="20"/>
              </w:rPr>
              <w:t>Variable:</w:t>
            </w:r>
            <w:r>
              <w:rPr>
                <w:spacing w:val="-8"/>
                <w:sz w:val="20"/>
              </w:rPr>
              <w:t> </w:t>
            </w:r>
            <w:r>
              <w:rPr>
                <w:spacing w:val="-2"/>
                <w:sz w:val="20"/>
              </w:rPr>
              <w:t>D(KFM,2)</w:t>
            </w:r>
          </w:p>
        </w:tc>
      </w:tr>
      <w:tr>
        <w:trPr>
          <w:trHeight w:val="229" w:hRule="atLeast"/>
        </w:trPr>
        <w:tc>
          <w:tcPr>
            <w:tcW w:w="2017" w:type="dxa"/>
          </w:tcPr>
          <w:p>
            <w:pPr>
              <w:pStyle w:val="TableParagraph"/>
              <w:spacing w:line="209" w:lineRule="exact"/>
              <w:ind w:left="36"/>
              <w:rPr>
                <w:sz w:val="20"/>
              </w:rPr>
            </w:pPr>
            <w:r>
              <w:rPr>
                <w:sz w:val="20"/>
              </w:rPr>
              <w:t>Method:</w:t>
            </w:r>
            <w:r>
              <w:rPr>
                <w:spacing w:val="-8"/>
                <w:sz w:val="20"/>
              </w:rPr>
              <w:t> </w:t>
            </w:r>
            <w:r>
              <w:rPr>
                <w:sz w:val="20"/>
              </w:rPr>
              <w:t>Least</w:t>
            </w:r>
            <w:r>
              <w:rPr>
                <w:spacing w:val="-7"/>
                <w:sz w:val="20"/>
              </w:rPr>
              <w:t> </w:t>
            </w:r>
            <w:r>
              <w:rPr>
                <w:spacing w:val="-2"/>
                <w:sz w:val="20"/>
              </w:rPr>
              <w:t>Squares</w:t>
            </w:r>
          </w:p>
        </w:tc>
        <w:tc>
          <w:tcPr>
            <w:tcW w:w="1206" w:type="dxa"/>
          </w:tcPr>
          <w:p>
            <w:pPr>
              <w:pStyle w:val="TableParagraph"/>
              <w:rPr>
                <w:sz w:val="16"/>
              </w:rPr>
            </w:pPr>
          </w:p>
        </w:tc>
        <w:tc>
          <w:tcPr>
            <w:tcW w:w="1251" w:type="dxa"/>
          </w:tcPr>
          <w:p>
            <w:pPr>
              <w:pStyle w:val="TableParagraph"/>
              <w:rPr>
                <w:sz w:val="16"/>
              </w:rPr>
            </w:pPr>
          </w:p>
        </w:tc>
        <w:tc>
          <w:tcPr>
            <w:tcW w:w="1119" w:type="dxa"/>
          </w:tcPr>
          <w:p>
            <w:pPr>
              <w:pStyle w:val="TableParagraph"/>
              <w:rPr>
                <w:sz w:val="16"/>
              </w:rPr>
            </w:pPr>
          </w:p>
        </w:tc>
        <w:tc>
          <w:tcPr>
            <w:tcW w:w="897" w:type="dxa"/>
          </w:tcPr>
          <w:p>
            <w:pPr>
              <w:pStyle w:val="TableParagraph"/>
              <w:rPr>
                <w:sz w:val="16"/>
              </w:rPr>
            </w:pPr>
          </w:p>
        </w:tc>
      </w:tr>
      <w:tr>
        <w:trPr>
          <w:trHeight w:val="230" w:hRule="atLeast"/>
        </w:trPr>
        <w:tc>
          <w:tcPr>
            <w:tcW w:w="6490" w:type="dxa"/>
            <w:gridSpan w:val="5"/>
          </w:tcPr>
          <w:p>
            <w:pPr>
              <w:pStyle w:val="TableParagraph"/>
              <w:spacing w:line="210" w:lineRule="exact"/>
              <w:ind w:left="36"/>
              <w:rPr>
                <w:sz w:val="20"/>
              </w:rPr>
            </w:pPr>
            <w:r>
              <w:rPr>
                <w:sz w:val="20"/>
              </w:rPr>
              <w:t>Date:</w:t>
            </w:r>
            <w:r>
              <w:rPr>
                <w:spacing w:val="-5"/>
                <w:sz w:val="20"/>
              </w:rPr>
              <w:t> </w:t>
            </w:r>
            <w:r>
              <w:rPr>
                <w:sz w:val="20"/>
              </w:rPr>
              <w:t>02/18/14</w:t>
            </w:r>
            <w:r>
              <w:rPr>
                <w:spacing w:val="63"/>
                <w:w w:val="150"/>
                <w:sz w:val="20"/>
              </w:rPr>
              <w:t> </w:t>
            </w:r>
            <w:r>
              <w:rPr>
                <w:sz w:val="20"/>
              </w:rPr>
              <w:t>Time:</w:t>
            </w:r>
            <w:r>
              <w:rPr>
                <w:spacing w:val="-3"/>
                <w:sz w:val="20"/>
              </w:rPr>
              <w:t> </w:t>
            </w:r>
            <w:r>
              <w:rPr>
                <w:spacing w:val="-2"/>
                <w:sz w:val="20"/>
              </w:rPr>
              <w:t>13:52</w:t>
            </w:r>
          </w:p>
        </w:tc>
      </w:tr>
      <w:tr>
        <w:trPr>
          <w:trHeight w:val="230" w:hRule="atLeast"/>
        </w:trPr>
        <w:tc>
          <w:tcPr>
            <w:tcW w:w="6490" w:type="dxa"/>
            <w:gridSpan w:val="5"/>
          </w:tcPr>
          <w:p>
            <w:pPr>
              <w:pStyle w:val="TableParagraph"/>
              <w:spacing w:line="210" w:lineRule="exact"/>
              <w:ind w:left="36"/>
              <w:rPr>
                <w:sz w:val="20"/>
              </w:rPr>
            </w:pPr>
            <w:r>
              <w:rPr>
                <w:sz w:val="20"/>
              </w:rPr>
              <w:t>Sample(adjusted):</w:t>
            </w:r>
            <w:r>
              <w:rPr>
                <w:spacing w:val="-9"/>
                <w:sz w:val="20"/>
              </w:rPr>
              <w:t> </w:t>
            </w:r>
            <w:r>
              <w:rPr>
                <w:sz w:val="20"/>
              </w:rPr>
              <w:t>1973</w:t>
            </w:r>
            <w:r>
              <w:rPr>
                <w:spacing w:val="-9"/>
                <w:sz w:val="20"/>
              </w:rPr>
              <w:t> </w:t>
            </w:r>
            <w:r>
              <w:rPr>
                <w:spacing w:val="-4"/>
                <w:sz w:val="20"/>
              </w:rPr>
              <w:t>2011</w:t>
            </w:r>
          </w:p>
        </w:tc>
      </w:tr>
      <w:tr>
        <w:trPr>
          <w:trHeight w:val="230" w:hRule="atLeast"/>
        </w:trPr>
        <w:tc>
          <w:tcPr>
            <w:tcW w:w="6490" w:type="dxa"/>
            <w:gridSpan w:val="5"/>
          </w:tcPr>
          <w:p>
            <w:pPr>
              <w:pStyle w:val="TableParagraph"/>
              <w:spacing w:line="210" w:lineRule="exact"/>
              <w:ind w:left="36"/>
              <w:rPr>
                <w:sz w:val="20"/>
              </w:rPr>
            </w:pPr>
            <w:r>
              <w:rPr>
                <w:sz w:val="20"/>
              </w:rPr>
              <w:t>Included</w:t>
            </w:r>
            <w:r>
              <w:rPr>
                <w:spacing w:val="-9"/>
                <w:sz w:val="20"/>
              </w:rPr>
              <w:t> </w:t>
            </w:r>
            <w:r>
              <w:rPr>
                <w:sz w:val="20"/>
              </w:rPr>
              <w:t>observations:</w:t>
            </w:r>
            <w:r>
              <w:rPr>
                <w:spacing w:val="-10"/>
                <w:sz w:val="20"/>
              </w:rPr>
              <w:t> </w:t>
            </w:r>
            <w:r>
              <w:rPr>
                <w:spacing w:val="-5"/>
                <w:sz w:val="20"/>
              </w:rPr>
              <w:t>35</w:t>
            </w:r>
          </w:p>
        </w:tc>
      </w:tr>
      <w:tr>
        <w:trPr>
          <w:trHeight w:val="224" w:hRule="atLeast"/>
        </w:trPr>
        <w:tc>
          <w:tcPr>
            <w:tcW w:w="6490" w:type="dxa"/>
            <w:gridSpan w:val="5"/>
            <w:tcBorders>
              <w:bottom w:val="double" w:sz="6" w:space="0" w:color="000000"/>
            </w:tcBorders>
          </w:tcPr>
          <w:p>
            <w:pPr>
              <w:pStyle w:val="TableParagraph"/>
              <w:spacing w:line="205" w:lineRule="exact"/>
              <w:ind w:left="36"/>
              <w:rPr>
                <w:sz w:val="20"/>
              </w:rPr>
            </w:pPr>
            <w:r>
              <w:rPr>
                <w:sz w:val="20"/>
              </w:rPr>
              <w:t>Excluded</w:t>
            </w:r>
            <w:r>
              <w:rPr>
                <w:spacing w:val="-7"/>
                <w:sz w:val="20"/>
              </w:rPr>
              <w:t> </w:t>
            </w:r>
            <w:r>
              <w:rPr>
                <w:sz w:val="20"/>
              </w:rPr>
              <w:t>observations:</w:t>
            </w:r>
            <w:r>
              <w:rPr>
                <w:spacing w:val="-7"/>
                <w:sz w:val="20"/>
              </w:rPr>
              <w:t> </w:t>
            </w:r>
            <w:r>
              <w:rPr>
                <w:sz w:val="20"/>
              </w:rPr>
              <w:t>4</w:t>
            </w:r>
            <w:r>
              <w:rPr>
                <w:spacing w:val="-7"/>
                <w:sz w:val="20"/>
              </w:rPr>
              <w:t> </w:t>
            </w:r>
            <w:r>
              <w:rPr>
                <w:sz w:val="20"/>
              </w:rPr>
              <w:t>after</w:t>
            </w:r>
            <w:r>
              <w:rPr>
                <w:spacing w:val="-4"/>
                <w:sz w:val="20"/>
              </w:rPr>
              <w:t> </w:t>
            </w:r>
            <w:r>
              <w:rPr>
                <w:sz w:val="20"/>
              </w:rPr>
              <w:t>adjusting</w:t>
            </w:r>
            <w:r>
              <w:rPr>
                <w:spacing w:val="-8"/>
                <w:sz w:val="20"/>
              </w:rPr>
              <w:t> </w:t>
            </w:r>
            <w:r>
              <w:rPr>
                <w:spacing w:val="-2"/>
                <w:sz w:val="20"/>
              </w:rPr>
              <w:t>endpoints</w:t>
            </w:r>
          </w:p>
        </w:tc>
      </w:tr>
      <w:tr>
        <w:trPr>
          <w:trHeight w:val="269" w:hRule="atLeast"/>
        </w:trPr>
        <w:tc>
          <w:tcPr>
            <w:tcW w:w="2017" w:type="dxa"/>
            <w:tcBorders>
              <w:top w:val="double" w:sz="6" w:space="0" w:color="000000"/>
              <w:bottom w:val="double" w:sz="6" w:space="0" w:color="000000"/>
            </w:tcBorders>
          </w:tcPr>
          <w:p>
            <w:pPr>
              <w:pStyle w:val="TableParagraph"/>
              <w:spacing w:line="209" w:lineRule="exact" w:before="40"/>
              <w:ind w:left="677"/>
              <w:rPr>
                <w:sz w:val="20"/>
              </w:rPr>
            </w:pPr>
            <w:r>
              <w:rPr>
                <w:spacing w:val="-2"/>
                <w:sz w:val="20"/>
              </w:rPr>
              <w:t>Variable</w:t>
            </w:r>
          </w:p>
        </w:tc>
        <w:tc>
          <w:tcPr>
            <w:tcW w:w="1206" w:type="dxa"/>
            <w:tcBorders>
              <w:top w:val="double" w:sz="6" w:space="0" w:color="000000"/>
              <w:bottom w:val="double" w:sz="6" w:space="0" w:color="000000"/>
            </w:tcBorders>
          </w:tcPr>
          <w:p>
            <w:pPr>
              <w:pStyle w:val="TableParagraph"/>
              <w:spacing w:line="209" w:lineRule="exact" w:before="40"/>
              <w:ind w:left="127" w:right="87"/>
              <w:jc w:val="center"/>
              <w:rPr>
                <w:sz w:val="20"/>
              </w:rPr>
            </w:pPr>
            <w:r>
              <w:rPr>
                <w:spacing w:val="-2"/>
                <w:sz w:val="20"/>
              </w:rPr>
              <w:t>Coefficient</w:t>
            </w:r>
          </w:p>
        </w:tc>
        <w:tc>
          <w:tcPr>
            <w:tcW w:w="1251" w:type="dxa"/>
            <w:tcBorders>
              <w:top w:val="double" w:sz="6" w:space="0" w:color="000000"/>
              <w:bottom w:val="double" w:sz="6" w:space="0" w:color="000000"/>
            </w:tcBorders>
          </w:tcPr>
          <w:p>
            <w:pPr>
              <w:pStyle w:val="TableParagraph"/>
              <w:spacing w:line="209" w:lineRule="exact" w:before="40"/>
              <w:ind w:left="174" w:right="91"/>
              <w:jc w:val="center"/>
              <w:rPr>
                <w:sz w:val="20"/>
              </w:rPr>
            </w:pPr>
            <w:r>
              <w:rPr>
                <w:sz w:val="20"/>
              </w:rPr>
              <w:t>Std.</w:t>
            </w:r>
            <w:r>
              <w:rPr>
                <w:spacing w:val="-4"/>
                <w:sz w:val="20"/>
              </w:rPr>
              <w:t> </w:t>
            </w:r>
            <w:r>
              <w:rPr>
                <w:spacing w:val="-2"/>
                <w:sz w:val="20"/>
              </w:rPr>
              <w:t>Error</w:t>
            </w:r>
          </w:p>
        </w:tc>
        <w:tc>
          <w:tcPr>
            <w:tcW w:w="1119" w:type="dxa"/>
            <w:tcBorders>
              <w:top w:val="double" w:sz="6" w:space="0" w:color="000000"/>
              <w:bottom w:val="double" w:sz="6" w:space="0" w:color="000000"/>
            </w:tcBorders>
          </w:tcPr>
          <w:p>
            <w:pPr>
              <w:pStyle w:val="TableParagraph"/>
              <w:spacing w:line="209" w:lineRule="exact" w:before="40"/>
              <w:ind w:left="137" w:right="17"/>
              <w:jc w:val="center"/>
              <w:rPr>
                <w:sz w:val="20"/>
              </w:rPr>
            </w:pPr>
            <w:r>
              <w:rPr>
                <w:spacing w:val="-4"/>
                <w:sz w:val="20"/>
              </w:rPr>
              <w:t>t-</w:t>
            </w:r>
            <w:r>
              <w:rPr>
                <w:spacing w:val="-2"/>
                <w:sz w:val="20"/>
              </w:rPr>
              <w:t>Statistic</w:t>
            </w:r>
          </w:p>
        </w:tc>
        <w:tc>
          <w:tcPr>
            <w:tcW w:w="897" w:type="dxa"/>
            <w:tcBorders>
              <w:top w:val="double" w:sz="6" w:space="0" w:color="000000"/>
              <w:bottom w:val="double" w:sz="6" w:space="0" w:color="000000"/>
            </w:tcBorders>
          </w:tcPr>
          <w:p>
            <w:pPr>
              <w:pStyle w:val="TableParagraph"/>
              <w:spacing w:line="209" w:lineRule="exact" w:before="40"/>
              <w:ind w:right="31"/>
              <w:jc w:val="right"/>
              <w:rPr>
                <w:sz w:val="20"/>
              </w:rPr>
            </w:pPr>
            <w:r>
              <w:rPr>
                <w:spacing w:val="-2"/>
                <w:sz w:val="20"/>
              </w:rPr>
              <w:t>Prob.</w:t>
            </w:r>
          </w:p>
        </w:tc>
      </w:tr>
      <w:tr>
        <w:trPr>
          <w:trHeight w:val="275" w:hRule="atLeast"/>
        </w:trPr>
        <w:tc>
          <w:tcPr>
            <w:tcW w:w="2017" w:type="dxa"/>
            <w:tcBorders>
              <w:top w:val="double" w:sz="6" w:space="0" w:color="000000"/>
            </w:tcBorders>
          </w:tcPr>
          <w:p>
            <w:pPr>
              <w:pStyle w:val="TableParagraph"/>
              <w:spacing w:line="215" w:lineRule="exact" w:before="40"/>
              <w:ind w:left="442"/>
              <w:rPr>
                <w:sz w:val="20"/>
              </w:rPr>
            </w:pPr>
            <w:r>
              <w:rPr>
                <w:spacing w:val="-2"/>
                <w:sz w:val="20"/>
              </w:rPr>
              <w:t>D(KFM(-1),2)</w:t>
            </w:r>
          </w:p>
        </w:tc>
        <w:tc>
          <w:tcPr>
            <w:tcW w:w="1206" w:type="dxa"/>
            <w:tcBorders>
              <w:top w:val="double" w:sz="6" w:space="0" w:color="000000"/>
            </w:tcBorders>
          </w:tcPr>
          <w:p>
            <w:pPr>
              <w:pStyle w:val="TableParagraph"/>
              <w:spacing w:line="215" w:lineRule="exact" w:before="40"/>
              <w:ind w:left="127"/>
              <w:jc w:val="center"/>
              <w:rPr>
                <w:sz w:val="20"/>
              </w:rPr>
            </w:pPr>
            <w:r>
              <w:rPr>
                <w:spacing w:val="-4"/>
                <w:sz w:val="20"/>
              </w:rPr>
              <w:t>-</w:t>
            </w:r>
            <w:r>
              <w:rPr>
                <w:spacing w:val="-2"/>
                <w:sz w:val="20"/>
              </w:rPr>
              <w:t>0.296670</w:t>
            </w:r>
          </w:p>
        </w:tc>
        <w:tc>
          <w:tcPr>
            <w:tcW w:w="1251" w:type="dxa"/>
            <w:tcBorders>
              <w:top w:val="double" w:sz="6" w:space="0" w:color="000000"/>
            </w:tcBorders>
          </w:tcPr>
          <w:p>
            <w:pPr>
              <w:pStyle w:val="TableParagraph"/>
              <w:spacing w:line="215" w:lineRule="exact" w:before="40"/>
              <w:ind w:left="174" w:right="53"/>
              <w:jc w:val="center"/>
              <w:rPr>
                <w:sz w:val="20"/>
              </w:rPr>
            </w:pPr>
            <w:r>
              <w:rPr>
                <w:spacing w:val="-2"/>
                <w:sz w:val="20"/>
              </w:rPr>
              <w:t>0.124142</w:t>
            </w:r>
          </w:p>
        </w:tc>
        <w:tc>
          <w:tcPr>
            <w:tcW w:w="1119" w:type="dxa"/>
            <w:tcBorders>
              <w:top w:val="double" w:sz="6" w:space="0" w:color="000000"/>
            </w:tcBorders>
          </w:tcPr>
          <w:p>
            <w:pPr>
              <w:pStyle w:val="TableParagraph"/>
              <w:spacing w:line="215" w:lineRule="exact" w:before="40"/>
              <w:ind w:left="137" w:right="65"/>
              <w:jc w:val="center"/>
              <w:rPr>
                <w:sz w:val="20"/>
              </w:rPr>
            </w:pPr>
            <w:r>
              <w:rPr>
                <w:spacing w:val="-4"/>
                <w:sz w:val="20"/>
              </w:rPr>
              <w:t>-</w:t>
            </w:r>
            <w:r>
              <w:rPr>
                <w:spacing w:val="-2"/>
                <w:sz w:val="20"/>
              </w:rPr>
              <w:t>2.389769</w:t>
            </w:r>
          </w:p>
        </w:tc>
        <w:tc>
          <w:tcPr>
            <w:tcW w:w="897" w:type="dxa"/>
            <w:tcBorders>
              <w:top w:val="double" w:sz="6" w:space="0" w:color="000000"/>
            </w:tcBorders>
          </w:tcPr>
          <w:p>
            <w:pPr>
              <w:pStyle w:val="TableParagraph"/>
              <w:spacing w:line="215" w:lineRule="exact" w:before="40"/>
              <w:ind w:right="30"/>
              <w:jc w:val="right"/>
              <w:rPr>
                <w:sz w:val="20"/>
              </w:rPr>
            </w:pPr>
            <w:r>
              <w:rPr>
                <w:spacing w:val="-2"/>
                <w:sz w:val="20"/>
              </w:rPr>
              <w:t>0.0287</w:t>
            </w:r>
          </w:p>
        </w:tc>
      </w:tr>
      <w:tr>
        <w:trPr>
          <w:trHeight w:val="230" w:hRule="atLeast"/>
        </w:trPr>
        <w:tc>
          <w:tcPr>
            <w:tcW w:w="2017" w:type="dxa"/>
          </w:tcPr>
          <w:p>
            <w:pPr>
              <w:pStyle w:val="TableParagraph"/>
              <w:spacing w:line="210" w:lineRule="exact"/>
              <w:ind w:left="353"/>
              <w:rPr>
                <w:sz w:val="20"/>
              </w:rPr>
            </w:pPr>
            <w:r>
              <w:rPr>
                <w:spacing w:val="-2"/>
                <w:sz w:val="20"/>
              </w:rPr>
              <w:t>D(EXTDEBT,2)</w:t>
            </w:r>
          </w:p>
        </w:tc>
        <w:tc>
          <w:tcPr>
            <w:tcW w:w="1206" w:type="dxa"/>
          </w:tcPr>
          <w:p>
            <w:pPr>
              <w:pStyle w:val="TableParagraph"/>
              <w:spacing w:line="210" w:lineRule="exact"/>
              <w:ind w:left="191"/>
              <w:jc w:val="center"/>
              <w:rPr>
                <w:sz w:val="20"/>
              </w:rPr>
            </w:pPr>
            <w:r>
              <w:rPr>
                <w:spacing w:val="-2"/>
                <w:sz w:val="20"/>
              </w:rPr>
              <w:t>0.407838</w:t>
            </w:r>
          </w:p>
        </w:tc>
        <w:tc>
          <w:tcPr>
            <w:tcW w:w="1251" w:type="dxa"/>
          </w:tcPr>
          <w:p>
            <w:pPr>
              <w:pStyle w:val="TableParagraph"/>
              <w:spacing w:line="210" w:lineRule="exact"/>
              <w:ind w:left="174" w:right="53"/>
              <w:jc w:val="center"/>
              <w:rPr>
                <w:sz w:val="20"/>
              </w:rPr>
            </w:pPr>
            <w:r>
              <w:rPr>
                <w:spacing w:val="-2"/>
                <w:sz w:val="20"/>
              </w:rPr>
              <w:t>0.112662</w:t>
            </w:r>
          </w:p>
        </w:tc>
        <w:tc>
          <w:tcPr>
            <w:tcW w:w="1119" w:type="dxa"/>
          </w:tcPr>
          <w:p>
            <w:pPr>
              <w:pStyle w:val="TableParagraph"/>
              <w:spacing w:line="210" w:lineRule="exact"/>
              <w:ind w:left="137"/>
              <w:jc w:val="center"/>
              <w:rPr>
                <w:sz w:val="20"/>
              </w:rPr>
            </w:pPr>
            <w:r>
              <w:rPr>
                <w:spacing w:val="-2"/>
                <w:sz w:val="20"/>
              </w:rPr>
              <w:t>3.620029</w:t>
            </w:r>
          </w:p>
        </w:tc>
        <w:tc>
          <w:tcPr>
            <w:tcW w:w="897" w:type="dxa"/>
          </w:tcPr>
          <w:p>
            <w:pPr>
              <w:pStyle w:val="TableParagraph"/>
              <w:spacing w:line="210" w:lineRule="exact"/>
              <w:ind w:right="30"/>
              <w:jc w:val="right"/>
              <w:rPr>
                <w:sz w:val="20"/>
              </w:rPr>
            </w:pPr>
            <w:r>
              <w:rPr>
                <w:spacing w:val="-2"/>
                <w:sz w:val="20"/>
              </w:rPr>
              <w:t>0.0021</w:t>
            </w:r>
          </w:p>
        </w:tc>
      </w:tr>
      <w:tr>
        <w:trPr>
          <w:trHeight w:val="230" w:hRule="atLeast"/>
        </w:trPr>
        <w:tc>
          <w:tcPr>
            <w:tcW w:w="2017" w:type="dxa"/>
          </w:tcPr>
          <w:p>
            <w:pPr>
              <w:pStyle w:val="TableParagraph"/>
              <w:spacing w:line="210" w:lineRule="exact"/>
              <w:ind w:left="202"/>
              <w:rPr>
                <w:sz w:val="20"/>
              </w:rPr>
            </w:pPr>
            <w:r>
              <w:rPr>
                <w:spacing w:val="-2"/>
                <w:sz w:val="20"/>
              </w:rPr>
              <w:t>D(EXTDEBT(-</w:t>
            </w:r>
            <w:r>
              <w:rPr>
                <w:spacing w:val="-4"/>
                <w:sz w:val="20"/>
              </w:rPr>
              <w:t>1),2)</w:t>
            </w:r>
          </w:p>
        </w:tc>
        <w:tc>
          <w:tcPr>
            <w:tcW w:w="1206" w:type="dxa"/>
          </w:tcPr>
          <w:p>
            <w:pPr>
              <w:pStyle w:val="TableParagraph"/>
              <w:spacing w:line="210" w:lineRule="exact"/>
              <w:ind w:left="191"/>
              <w:jc w:val="center"/>
              <w:rPr>
                <w:sz w:val="20"/>
              </w:rPr>
            </w:pPr>
            <w:r>
              <w:rPr>
                <w:spacing w:val="-2"/>
                <w:sz w:val="20"/>
              </w:rPr>
              <w:t>0.142340</w:t>
            </w:r>
          </w:p>
        </w:tc>
        <w:tc>
          <w:tcPr>
            <w:tcW w:w="1251" w:type="dxa"/>
          </w:tcPr>
          <w:p>
            <w:pPr>
              <w:pStyle w:val="TableParagraph"/>
              <w:spacing w:line="210" w:lineRule="exact"/>
              <w:ind w:left="174" w:right="53"/>
              <w:jc w:val="center"/>
              <w:rPr>
                <w:sz w:val="20"/>
              </w:rPr>
            </w:pPr>
            <w:r>
              <w:rPr>
                <w:spacing w:val="-2"/>
                <w:sz w:val="20"/>
              </w:rPr>
              <w:t>0.103164</w:t>
            </w:r>
          </w:p>
        </w:tc>
        <w:tc>
          <w:tcPr>
            <w:tcW w:w="1119" w:type="dxa"/>
          </w:tcPr>
          <w:p>
            <w:pPr>
              <w:pStyle w:val="TableParagraph"/>
              <w:spacing w:line="210" w:lineRule="exact"/>
              <w:ind w:left="137"/>
              <w:jc w:val="center"/>
              <w:rPr>
                <w:sz w:val="20"/>
              </w:rPr>
            </w:pPr>
            <w:r>
              <w:rPr>
                <w:spacing w:val="-2"/>
                <w:sz w:val="20"/>
              </w:rPr>
              <w:t>1.379748</w:t>
            </w:r>
          </w:p>
        </w:tc>
        <w:tc>
          <w:tcPr>
            <w:tcW w:w="897" w:type="dxa"/>
          </w:tcPr>
          <w:p>
            <w:pPr>
              <w:pStyle w:val="TableParagraph"/>
              <w:spacing w:line="210" w:lineRule="exact"/>
              <w:ind w:right="30"/>
              <w:jc w:val="right"/>
              <w:rPr>
                <w:sz w:val="20"/>
              </w:rPr>
            </w:pPr>
            <w:r>
              <w:rPr>
                <w:spacing w:val="-2"/>
                <w:sz w:val="20"/>
              </w:rPr>
              <w:t>0.1855</w:t>
            </w:r>
          </w:p>
        </w:tc>
      </w:tr>
      <w:tr>
        <w:trPr>
          <w:trHeight w:val="230" w:hRule="atLeast"/>
        </w:trPr>
        <w:tc>
          <w:tcPr>
            <w:tcW w:w="2017" w:type="dxa"/>
          </w:tcPr>
          <w:p>
            <w:pPr>
              <w:pStyle w:val="TableParagraph"/>
              <w:spacing w:line="210" w:lineRule="exact"/>
              <w:ind w:left="607"/>
              <w:rPr>
                <w:sz w:val="20"/>
              </w:rPr>
            </w:pPr>
            <w:r>
              <w:rPr>
                <w:spacing w:val="-2"/>
                <w:sz w:val="20"/>
              </w:rPr>
              <w:t>D(DOP,2)</w:t>
            </w:r>
          </w:p>
        </w:tc>
        <w:tc>
          <w:tcPr>
            <w:tcW w:w="1206" w:type="dxa"/>
          </w:tcPr>
          <w:p>
            <w:pPr>
              <w:pStyle w:val="TableParagraph"/>
              <w:spacing w:line="210" w:lineRule="exact"/>
              <w:ind w:left="127"/>
              <w:jc w:val="center"/>
              <w:rPr>
                <w:sz w:val="20"/>
              </w:rPr>
            </w:pPr>
            <w:r>
              <w:rPr>
                <w:spacing w:val="-4"/>
                <w:sz w:val="20"/>
              </w:rPr>
              <w:t>-</w:t>
            </w:r>
            <w:r>
              <w:rPr>
                <w:spacing w:val="-2"/>
                <w:sz w:val="20"/>
              </w:rPr>
              <w:t>2.525752</w:t>
            </w:r>
          </w:p>
        </w:tc>
        <w:tc>
          <w:tcPr>
            <w:tcW w:w="1251" w:type="dxa"/>
          </w:tcPr>
          <w:p>
            <w:pPr>
              <w:pStyle w:val="TableParagraph"/>
              <w:spacing w:line="210" w:lineRule="exact"/>
              <w:ind w:left="174" w:right="53"/>
              <w:jc w:val="center"/>
              <w:rPr>
                <w:sz w:val="20"/>
              </w:rPr>
            </w:pPr>
            <w:r>
              <w:rPr>
                <w:spacing w:val="-2"/>
                <w:sz w:val="20"/>
              </w:rPr>
              <w:t>0.989287</w:t>
            </w:r>
          </w:p>
        </w:tc>
        <w:tc>
          <w:tcPr>
            <w:tcW w:w="1119" w:type="dxa"/>
          </w:tcPr>
          <w:p>
            <w:pPr>
              <w:pStyle w:val="TableParagraph"/>
              <w:spacing w:line="210" w:lineRule="exact"/>
              <w:ind w:left="137" w:right="65"/>
              <w:jc w:val="center"/>
              <w:rPr>
                <w:sz w:val="20"/>
              </w:rPr>
            </w:pPr>
            <w:r>
              <w:rPr>
                <w:spacing w:val="-4"/>
                <w:sz w:val="20"/>
              </w:rPr>
              <w:t>-</w:t>
            </w:r>
            <w:r>
              <w:rPr>
                <w:spacing w:val="-2"/>
                <w:sz w:val="20"/>
              </w:rPr>
              <w:t>2.553103</w:t>
            </w:r>
          </w:p>
        </w:tc>
        <w:tc>
          <w:tcPr>
            <w:tcW w:w="897" w:type="dxa"/>
          </w:tcPr>
          <w:p>
            <w:pPr>
              <w:pStyle w:val="TableParagraph"/>
              <w:spacing w:line="210" w:lineRule="exact"/>
              <w:ind w:right="30"/>
              <w:jc w:val="right"/>
              <w:rPr>
                <w:sz w:val="20"/>
              </w:rPr>
            </w:pPr>
            <w:r>
              <w:rPr>
                <w:spacing w:val="-2"/>
                <w:sz w:val="20"/>
              </w:rPr>
              <w:t>0.0206</w:t>
            </w:r>
          </w:p>
        </w:tc>
      </w:tr>
      <w:tr>
        <w:trPr>
          <w:trHeight w:val="229" w:hRule="atLeast"/>
        </w:trPr>
        <w:tc>
          <w:tcPr>
            <w:tcW w:w="2017" w:type="dxa"/>
          </w:tcPr>
          <w:p>
            <w:pPr>
              <w:pStyle w:val="TableParagraph"/>
              <w:spacing w:line="209" w:lineRule="exact"/>
              <w:ind w:left="458"/>
              <w:rPr>
                <w:sz w:val="20"/>
              </w:rPr>
            </w:pPr>
            <w:r>
              <w:rPr>
                <w:spacing w:val="-2"/>
                <w:sz w:val="20"/>
              </w:rPr>
              <w:t>D(DOP(-1),2)</w:t>
            </w:r>
          </w:p>
        </w:tc>
        <w:tc>
          <w:tcPr>
            <w:tcW w:w="1206" w:type="dxa"/>
          </w:tcPr>
          <w:p>
            <w:pPr>
              <w:pStyle w:val="TableParagraph"/>
              <w:spacing w:line="209" w:lineRule="exact"/>
              <w:ind w:left="127"/>
              <w:jc w:val="center"/>
              <w:rPr>
                <w:sz w:val="20"/>
              </w:rPr>
            </w:pPr>
            <w:r>
              <w:rPr>
                <w:spacing w:val="-4"/>
                <w:sz w:val="20"/>
              </w:rPr>
              <w:t>-</w:t>
            </w:r>
            <w:r>
              <w:rPr>
                <w:spacing w:val="-2"/>
                <w:sz w:val="20"/>
              </w:rPr>
              <w:t>2.306569</w:t>
            </w:r>
          </w:p>
        </w:tc>
        <w:tc>
          <w:tcPr>
            <w:tcW w:w="1251" w:type="dxa"/>
          </w:tcPr>
          <w:p>
            <w:pPr>
              <w:pStyle w:val="TableParagraph"/>
              <w:spacing w:line="209" w:lineRule="exact"/>
              <w:ind w:left="174" w:right="53"/>
              <w:jc w:val="center"/>
              <w:rPr>
                <w:sz w:val="20"/>
              </w:rPr>
            </w:pPr>
            <w:r>
              <w:rPr>
                <w:spacing w:val="-2"/>
                <w:sz w:val="20"/>
              </w:rPr>
              <w:t>0.960885</w:t>
            </w:r>
          </w:p>
        </w:tc>
        <w:tc>
          <w:tcPr>
            <w:tcW w:w="1119" w:type="dxa"/>
          </w:tcPr>
          <w:p>
            <w:pPr>
              <w:pStyle w:val="TableParagraph"/>
              <w:spacing w:line="209" w:lineRule="exact"/>
              <w:ind w:left="137" w:right="65"/>
              <w:jc w:val="center"/>
              <w:rPr>
                <w:sz w:val="20"/>
              </w:rPr>
            </w:pPr>
            <w:r>
              <w:rPr>
                <w:spacing w:val="-4"/>
                <w:sz w:val="20"/>
              </w:rPr>
              <w:t>-</w:t>
            </w:r>
            <w:r>
              <w:rPr>
                <w:spacing w:val="-2"/>
                <w:sz w:val="20"/>
              </w:rPr>
              <w:t>2.400463</w:t>
            </w:r>
          </w:p>
        </w:tc>
        <w:tc>
          <w:tcPr>
            <w:tcW w:w="897" w:type="dxa"/>
          </w:tcPr>
          <w:p>
            <w:pPr>
              <w:pStyle w:val="TableParagraph"/>
              <w:spacing w:line="209" w:lineRule="exact"/>
              <w:ind w:right="30"/>
              <w:jc w:val="right"/>
              <w:rPr>
                <w:sz w:val="20"/>
              </w:rPr>
            </w:pPr>
            <w:r>
              <w:rPr>
                <w:spacing w:val="-2"/>
                <w:sz w:val="20"/>
              </w:rPr>
              <w:t>0.0281</w:t>
            </w:r>
          </w:p>
        </w:tc>
      </w:tr>
      <w:tr>
        <w:trPr>
          <w:trHeight w:val="229" w:hRule="atLeast"/>
        </w:trPr>
        <w:tc>
          <w:tcPr>
            <w:tcW w:w="2017" w:type="dxa"/>
          </w:tcPr>
          <w:p>
            <w:pPr>
              <w:pStyle w:val="TableParagraph"/>
              <w:spacing w:line="209" w:lineRule="exact"/>
              <w:ind w:left="648"/>
              <w:rPr>
                <w:sz w:val="20"/>
              </w:rPr>
            </w:pPr>
            <w:r>
              <w:rPr>
                <w:spacing w:val="-2"/>
                <w:sz w:val="20"/>
              </w:rPr>
              <w:t>D(INF,2)</w:t>
            </w:r>
          </w:p>
        </w:tc>
        <w:tc>
          <w:tcPr>
            <w:tcW w:w="1206" w:type="dxa"/>
          </w:tcPr>
          <w:p>
            <w:pPr>
              <w:pStyle w:val="TableParagraph"/>
              <w:spacing w:line="209" w:lineRule="exact"/>
              <w:ind w:left="191"/>
              <w:jc w:val="center"/>
              <w:rPr>
                <w:sz w:val="20"/>
              </w:rPr>
            </w:pPr>
            <w:r>
              <w:rPr>
                <w:spacing w:val="-2"/>
                <w:sz w:val="20"/>
              </w:rPr>
              <w:t>0.372836</w:t>
            </w:r>
          </w:p>
        </w:tc>
        <w:tc>
          <w:tcPr>
            <w:tcW w:w="1251" w:type="dxa"/>
          </w:tcPr>
          <w:p>
            <w:pPr>
              <w:pStyle w:val="TableParagraph"/>
              <w:spacing w:line="209" w:lineRule="exact"/>
              <w:ind w:left="174" w:right="53"/>
              <w:jc w:val="center"/>
              <w:rPr>
                <w:sz w:val="20"/>
              </w:rPr>
            </w:pPr>
            <w:r>
              <w:rPr>
                <w:spacing w:val="-2"/>
                <w:sz w:val="20"/>
              </w:rPr>
              <w:t>0.262252</w:t>
            </w:r>
          </w:p>
        </w:tc>
        <w:tc>
          <w:tcPr>
            <w:tcW w:w="1119" w:type="dxa"/>
          </w:tcPr>
          <w:p>
            <w:pPr>
              <w:pStyle w:val="TableParagraph"/>
              <w:spacing w:line="209" w:lineRule="exact"/>
              <w:ind w:left="137"/>
              <w:jc w:val="center"/>
              <w:rPr>
                <w:sz w:val="20"/>
              </w:rPr>
            </w:pPr>
            <w:r>
              <w:rPr>
                <w:spacing w:val="-2"/>
                <w:sz w:val="20"/>
              </w:rPr>
              <w:t>1.421671</w:t>
            </w:r>
          </w:p>
        </w:tc>
        <w:tc>
          <w:tcPr>
            <w:tcW w:w="897" w:type="dxa"/>
          </w:tcPr>
          <w:p>
            <w:pPr>
              <w:pStyle w:val="TableParagraph"/>
              <w:spacing w:line="209" w:lineRule="exact"/>
              <w:ind w:right="30"/>
              <w:jc w:val="right"/>
              <w:rPr>
                <w:sz w:val="20"/>
              </w:rPr>
            </w:pPr>
            <w:r>
              <w:rPr>
                <w:spacing w:val="-2"/>
                <w:sz w:val="20"/>
              </w:rPr>
              <w:t>0.1732</w:t>
            </w:r>
          </w:p>
        </w:tc>
      </w:tr>
      <w:tr>
        <w:trPr>
          <w:trHeight w:val="230" w:hRule="atLeast"/>
        </w:trPr>
        <w:tc>
          <w:tcPr>
            <w:tcW w:w="2017" w:type="dxa"/>
          </w:tcPr>
          <w:p>
            <w:pPr>
              <w:pStyle w:val="TableParagraph"/>
              <w:spacing w:line="211" w:lineRule="exact"/>
              <w:ind w:left="497"/>
              <w:rPr>
                <w:sz w:val="20"/>
              </w:rPr>
            </w:pPr>
            <w:r>
              <w:rPr>
                <w:spacing w:val="-2"/>
                <w:sz w:val="20"/>
              </w:rPr>
              <w:t>D(INF(-1),2)</w:t>
            </w:r>
          </w:p>
        </w:tc>
        <w:tc>
          <w:tcPr>
            <w:tcW w:w="1206" w:type="dxa"/>
          </w:tcPr>
          <w:p>
            <w:pPr>
              <w:pStyle w:val="TableParagraph"/>
              <w:spacing w:line="211" w:lineRule="exact"/>
              <w:ind w:left="127"/>
              <w:jc w:val="center"/>
              <w:rPr>
                <w:sz w:val="20"/>
              </w:rPr>
            </w:pPr>
            <w:r>
              <w:rPr>
                <w:spacing w:val="-4"/>
                <w:sz w:val="20"/>
              </w:rPr>
              <w:t>-</w:t>
            </w:r>
            <w:r>
              <w:rPr>
                <w:spacing w:val="-2"/>
                <w:sz w:val="20"/>
              </w:rPr>
              <w:t>0.351650</w:t>
            </w:r>
          </w:p>
        </w:tc>
        <w:tc>
          <w:tcPr>
            <w:tcW w:w="1251" w:type="dxa"/>
          </w:tcPr>
          <w:p>
            <w:pPr>
              <w:pStyle w:val="TableParagraph"/>
              <w:spacing w:line="211" w:lineRule="exact"/>
              <w:ind w:left="174" w:right="53"/>
              <w:jc w:val="center"/>
              <w:rPr>
                <w:sz w:val="20"/>
              </w:rPr>
            </w:pPr>
            <w:r>
              <w:rPr>
                <w:spacing w:val="-2"/>
                <w:sz w:val="20"/>
              </w:rPr>
              <w:t>0.309168</w:t>
            </w:r>
          </w:p>
        </w:tc>
        <w:tc>
          <w:tcPr>
            <w:tcW w:w="1119" w:type="dxa"/>
          </w:tcPr>
          <w:p>
            <w:pPr>
              <w:pStyle w:val="TableParagraph"/>
              <w:spacing w:line="211" w:lineRule="exact"/>
              <w:ind w:left="137" w:right="65"/>
              <w:jc w:val="center"/>
              <w:rPr>
                <w:sz w:val="20"/>
              </w:rPr>
            </w:pPr>
            <w:r>
              <w:rPr>
                <w:spacing w:val="-4"/>
                <w:sz w:val="20"/>
              </w:rPr>
              <w:t>-</w:t>
            </w:r>
            <w:r>
              <w:rPr>
                <w:spacing w:val="-2"/>
                <w:sz w:val="20"/>
              </w:rPr>
              <w:t>1.137408</w:t>
            </w:r>
          </w:p>
        </w:tc>
        <w:tc>
          <w:tcPr>
            <w:tcW w:w="897" w:type="dxa"/>
          </w:tcPr>
          <w:p>
            <w:pPr>
              <w:pStyle w:val="TableParagraph"/>
              <w:spacing w:line="211" w:lineRule="exact"/>
              <w:ind w:right="30"/>
              <w:jc w:val="right"/>
              <w:rPr>
                <w:sz w:val="20"/>
              </w:rPr>
            </w:pPr>
            <w:r>
              <w:rPr>
                <w:spacing w:val="-2"/>
                <w:sz w:val="20"/>
              </w:rPr>
              <w:t>0.2711</w:t>
            </w:r>
          </w:p>
        </w:tc>
      </w:tr>
      <w:tr>
        <w:trPr>
          <w:trHeight w:val="230" w:hRule="atLeast"/>
        </w:trPr>
        <w:tc>
          <w:tcPr>
            <w:tcW w:w="2017" w:type="dxa"/>
          </w:tcPr>
          <w:p>
            <w:pPr>
              <w:pStyle w:val="TableParagraph"/>
              <w:spacing w:line="211" w:lineRule="exact"/>
              <w:ind w:left="614"/>
              <w:rPr>
                <w:sz w:val="20"/>
              </w:rPr>
            </w:pPr>
            <w:r>
              <w:rPr>
                <w:spacing w:val="-2"/>
                <w:sz w:val="20"/>
              </w:rPr>
              <w:t>D(GCF,2)</w:t>
            </w:r>
          </w:p>
        </w:tc>
        <w:tc>
          <w:tcPr>
            <w:tcW w:w="1206" w:type="dxa"/>
          </w:tcPr>
          <w:p>
            <w:pPr>
              <w:pStyle w:val="TableParagraph"/>
              <w:spacing w:line="211" w:lineRule="exact"/>
              <w:ind w:left="127"/>
              <w:jc w:val="center"/>
              <w:rPr>
                <w:sz w:val="20"/>
              </w:rPr>
            </w:pPr>
            <w:r>
              <w:rPr>
                <w:spacing w:val="-4"/>
                <w:sz w:val="20"/>
              </w:rPr>
              <w:t>-</w:t>
            </w:r>
            <w:r>
              <w:rPr>
                <w:spacing w:val="-2"/>
                <w:sz w:val="20"/>
              </w:rPr>
              <w:t>0.102316</w:t>
            </w:r>
          </w:p>
        </w:tc>
        <w:tc>
          <w:tcPr>
            <w:tcW w:w="1251" w:type="dxa"/>
          </w:tcPr>
          <w:p>
            <w:pPr>
              <w:pStyle w:val="TableParagraph"/>
              <w:spacing w:line="211" w:lineRule="exact"/>
              <w:ind w:left="174" w:right="53"/>
              <w:jc w:val="center"/>
              <w:rPr>
                <w:sz w:val="20"/>
              </w:rPr>
            </w:pPr>
            <w:r>
              <w:rPr>
                <w:spacing w:val="-2"/>
                <w:sz w:val="20"/>
              </w:rPr>
              <w:t>0.074613</w:t>
            </w:r>
          </w:p>
        </w:tc>
        <w:tc>
          <w:tcPr>
            <w:tcW w:w="1119" w:type="dxa"/>
          </w:tcPr>
          <w:p>
            <w:pPr>
              <w:pStyle w:val="TableParagraph"/>
              <w:spacing w:line="211" w:lineRule="exact"/>
              <w:ind w:left="137" w:right="65"/>
              <w:jc w:val="center"/>
              <w:rPr>
                <w:sz w:val="20"/>
              </w:rPr>
            </w:pPr>
            <w:r>
              <w:rPr>
                <w:spacing w:val="-4"/>
                <w:sz w:val="20"/>
              </w:rPr>
              <w:t>-</w:t>
            </w:r>
            <w:r>
              <w:rPr>
                <w:spacing w:val="-2"/>
                <w:sz w:val="20"/>
              </w:rPr>
              <w:t>1.371298</w:t>
            </w:r>
          </w:p>
        </w:tc>
        <w:tc>
          <w:tcPr>
            <w:tcW w:w="897" w:type="dxa"/>
          </w:tcPr>
          <w:p>
            <w:pPr>
              <w:pStyle w:val="TableParagraph"/>
              <w:spacing w:line="211" w:lineRule="exact"/>
              <w:ind w:right="30"/>
              <w:jc w:val="right"/>
              <w:rPr>
                <w:sz w:val="20"/>
              </w:rPr>
            </w:pPr>
            <w:r>
              <w:rPr>
                <w:spacing w:val="-2"/>
                <w:sz w:val="20"/>
              </w:rPr>
              <w:t>0.1881</w:t>
            </w:r>
          </w:p>
        </w:tc>
      </w:tr>
      <w:tr>
        <w:trPr>
          <w:trHeight w:val="230" w:hRule="atLeast"/>
        </w:trPr>
        <w:tc>
          <w:tcPr>
            <w:tcW w:w="2017" w:type="dxa"/>
          </w:tcPr>
          <w:p>
            <w:pPr>
              <w:pStyle w:val="TableParagraph"/>
              <w:spacing w:line="210" w:lineRule="exact"/>
              <w:ind w:left="463"/>
              <w:rPr>
                <w:sz w:val="20"/>
              </w:rPr>
            </w:pPr>
            <w:r>
              <w:rPr>
                <w:spacing w:val="-2"/>
                <w:sz w:val="20"/>
              </w:rPr>
              <w:t>D(GCF(-1),2)</w:t>
            </w:r>
          </w:p>
        </w:tc>
        <w:tc>
          <w:tcPr>
            <w:tcW w:w="1206" w:type="dxa"/>
          </w:tcPr>
          <w:p>
            <w:pPr>
              <w:pStyle w:val="TableParagraph"/>
              <w:spacing w:line="210" w:lineRule="exact"/>
              <w:ind w:left="191"/>
              <w:jc w:val="center"/>
              <w:rPr>
                <w:sz w:val="20"/>
              </w:rPr>
            </w:pPr>
            <w:r>
              <w:rPr>
                <w:spacing w:val="-2"/>
                <w:sz w:val="20"/>
              </w:rPr>
              <w:t>0.117949</w:t>
            </w:r>
          </w:p>
        </w:tc>
        <w:tc>
          <w:tcPr>
            <w:tcW w:w="1251" w:type="dxa"/>
          </w:tcPr>
          <w:p>
            <w:pPr>
              <w:pStyle w:val="TableParagraph"/>
              <w:spacing w:line="210" w:lineRule="exact"/>
              <w:ind w:left="174" w:right="53"/>
              <w:jc w:val="center"/>
              <w:rPr>
                <w:sz w:val="20"/>
              </w:rPr>
            </w:pPr>
            <w:r>
              <w:rPr>
                <w:spacing w:val="-2"/>
                <w:sz w:val="20"/>
              </w:rPr>
              <w:t>0.088729</w:t>
            </w:r>
          </w:p>
        </w:tc>
        <w:tc>
          <w:tcPr>
            <w:tcW w:w="1119" w:type="dxa"/>
          </w:tcPr>
          <w:p>
            <w:pPr>
              <w:pStyle w:val="TableParagraph"/>
              <w:spacing w:line="210" w:lineRule="exact"/>
              <w:ind w:left="137"/>
              <w:jc w:val="center"/>
              <w:rPr>
                <w:sz w:val="20"/>
              </w:rPr>
            </w:pPr>
            <w:r>
              <w:rPr>
                <w:spacing w:val="-2"/>
                <w:sz w:val="20"/>
              </w:rPr>
              <w:t>1.329319</w:t>
            </w:r>
          </w:p>
        </w:tc>
        <w:tc>
          <w:tcPr>
            <w:tcW w:w="897" w:type="dxa"/>
          </w:tcPr>
          <w:p>
            <w:pPr>
              <w:pStyle w:val="TableParagraph"/>
              <w:spacing w:line="210" w:lineRule="exact"/>
              <w:ind w:right="30"/>
              <w:jc w:val="right"/>
              <w:rPr>
                <w:sz w:val="20"/>
              </w:rPr>
            </w:pPr>
            <w:r>
              <w:rPr>
                <w:spacing w:val="-2"/>
                <w:sz w:val="20"/>
              </w:rPr>
              <w:t>0.2013</w:t>
            </w:r>
          </w:p>
        </w:tc>
      </w:tr>
      <w:tr>
        <w:trPr>
          <w:trHeight w:val="230" w:hRule="atLeast"/>
        </w:trPr>
        <w:tc>
          <w:tcPr>
            <w:tcW w:w="2017" w:type="dxa"/>
          </w:tcPr>
          <w:p>
            <w:pPr>
              <w:pStyle w:val="TableParagraph"/>
              <w:spacing w:line="210" w:lineRule="exact"/>
              <w:ind w:left="670"/>
              <w:rPr>
                <w:sz w:val="20"/>
              </w:rPr>
            </w:pPr>
            <w:r>
              <w:rPr>
                <w:spacing w:val="-2"/>
                <w:sz w:val="20"/>
              </w:rPr>
              <w:t>D(DR,2)</w:t>
            </w:r>
          </w:p>
        </w:tc>
        <w:tc>
          <w:tcPr>
            <w:tcW w:w="1206" w:type="dxa"/>
          </w:tcPr>
          <w:p>
            <w:pPr>
              <w:pStyle w:val="TableParagraph"/>
              <w:spacing w:line="210" w:lineRule="exact"/>
              <w:ind w:left="191"/>
              <w:jc w:val="center"/>
              <w:rPr>
                <w:sz w:val="20"/>
              </w:rPr>
            </w:pPr>
            <w:r>
              <w:rPr>
                <w:spacing w:val="-2"/>
                <w:sz w:val="20"/>
              </w:rPr>
              <w:t>0.364575</w:t>
            </w:r>
          </w:p>
        </w:tc>
        <w:tc>
          <w:tcPr>
            <w:tcW w:w="1251" w:type="dxa"/>
          </w:tcPr>
          <w:p>
            <w:pPr>
              <w:pStyle w:val="TableParagraph"/>
              <w:spacing w:line="210" w:lineRule="exact"/>
              <w:ind w:left="174" w:right="53"/>
              <w:jc w:val="center"/>
              <w:rPr>
                <w:sz w:val="20"/>
              </w:rPr>
            </w:pPr>
            <w:r>
              <w:rPr>
                <w:spacing w:val="-2"/>
                <w:sz w:val="20"/>
              </w:rPr>
              <w:t>0.970312</w:t>
            </w:r>
          </w:p>
        </w:tc>
        <w:tc>
          <w:tcPr>
            <w:tcW w:w="1119" w:type="dxa"/>
          </w:tcPr>
          <w:p>
            <w:pPr>
              <w:pStyle w:val="TableParagraph"/>
              <w:spacing w:line="210" w:lineRule="exact"/>
              <w:ind w:left="137"/>
              <w:jc w:val="center"/>
              <w:rPr>
                <w:sz w:val="20"/>
              </w:rPr>
            </w:pPr>
            <w:r>
              <w:rPr>
                <w:spacing w:val="-2"/>
                <w:sz w:val="20"/>
              </w:rPr>
              <w:t>0.375730</w:t>
            </w:r>
          </w:p>
        </w:tc>
        <w:tc>
          <w:tcPr>
            <w:tcW w:w="897" w:type="dxa"/>
          </w:tcPr>
          <w:p>
            <w:pPr>
              <w:pStyle w:val="TableParagraph"/>
              <w:spacing w:line="210" w:lineRule="exact"/>
              <w:ind w:right="30"/>
              <w:jc w:val="right"/>
              <w:rPr>
                <w:sz w:val="20"/>
              </w:rPr>
            </w:pPr>
            <w:r>
              <w:rPr>
                <w:spacing w:val="-2"/>
                <w:sz w:val="20"/>
              </w:rPr>
              <w:t>0.7118</w:t>
            </w:r>
          </w:p>
        </w:tc>
      </w:tr>
      <w:tr>
        <w:trPr>
          <w:trHeight w:val="229" w:hRule="atLeast"/>
        </w:trPr>
        <w:tc>
          <w:tcPr>
            <w:tcW w:w="2017" w:type="dxa"/>
          </w:tcPr>
          <w:p>
            <w:pPr>
              <w:pStyle w:val="TableParagraph"/>
              <w:spacing w:line="209" w:lineRule="exact"/>
              <w:ind w:left="518"/>
              <w:rPr>
                <w:sz w:val="20"/>
              </w:rPr>
            </w:pPr>
            <w:r>
              <w:rPr>
                <w:spacing w:val="-2"/>
                <w:sz w:val="20"/>
              </w:rPr>
              <w:t>D(DR(-1),2)</w:t>
            </w:r>
          </w:p>
        </w:tc>
        <w:tc>
          <w:tcPr>
            <w:tcW w:w="1206" w:type="dxa"/>
          </w:tcPr>
          <w:p>
            <w:pPr>
              <w:pStyle w:val="TableParagraph"/>
              <w:spacing w:line="209" w:lineRule="exact"/>
              <w:ind w:left="191"/>
              <w:jc w:val="center"/>
              <w:rPr>
                <w:sz w:val="20"/>
              </w:rPr>
            </w:pPr>
            <w:r>
              <w:rPr>
                <w:spacing w:val="-2"/>
                <w:sz w:val="20"/>
              </w:rPr>
              <w:t>1.774326</w:t>
            </w:r>
          </w:p>
        </w:tc>
        <w:tc>
          <w:tcPr>
            <w:tcW w:w="1251" w:type="dxa"/>
          </w:tcPr>
          <w:p>
            <w:pPr>
              <w:pStyle w:val="TableParagraph"/>
              <w:spacing w:line="209" w:lineRule="exact"/>
              <w:ind w:left="174" w:right="53"/>
              <w:jc w:val="center"/>
              <w:rPr>
                <w:sz w:val="20"/>
              </w:rPr>
            </w:pPr>
            <w:r>
              <w:rPr>
                <w:spacing w:val="-2"/>
                <w:sz w:val="20"/>
              </w:rPr>
              <w:t>1.151708</w:t>
            </w:r>
          </w:p>
        </w:tc>
        <w:tc>
          <w:tcPr>
            <w:tcW w:w="1119" w:type="dxa"/>
          </w:tcPr>
          <w:p>
            <w:pPr>
              <w:pStyle w:val="TableParagraph"/>
              <w:spacing w:line="209" w:lineRule="exact"/>
              <w:ind w:left="137"/>
              <w:jc w:val="center"/>
              <w:rPr>
                <w:sz w:val="20"/>
              </w:rPr>
            </w:pPr>
            <w:r>
              <w:rPr>
                <w:spacing w:val="-2"/>
                <w:sz w:val="20"/>
              </w:rPr>
              <w:t>1.540603</w:t>
            </w:r>
          </w:p>
        </w:tc>
        <w:tc>
          <w:tcPr>
            <w:tcW w:w="897" w:type="dxa"/>
          </w:tcPr>
          <w:p>
            <w:pPr>
              <w:pStyle w:val="TableParagraph"/>
              <w:spacing w:line="209" w:lineRule="exact"/>
              <w:ind w:right="30"/>
              <w:jc w:val="right"/>
              <w:rPr>
                <w:sz w:val="20"/>
              </w:rPr>
            </w:pPr>
            <w:r>
              <w:rPr>
                <w:spacing w:val="-2"/>
                <w:sz w:val="20"/>
              </w:rPr>
              <w:t>0.1418</w:t>
            </w:r>
          </w:p>
        </w:tc>
      </w:tr>
      <w:tr>
        <w:trPr>
          <w:trHeight w:val="229" w:hRule="atLeast"/>
        </w:trPr>
        <w:tc>
          <w:tcPr>
            <w:tcW w:w="2017" w:type="dxa"/>
          </w:tcPr>
          <w:p>
            <w:pPr>
              <w:pStyle w:val="TableParagraph"/>
              <w:spacing w:line="209" w:lineRule="exact"/>
              <w:ind w:left="446"/>
              <w:rPr>
                <w:sz w:val="20"/>
              </w:rPr>
            </w:pPr>
            <w:r>
              <w:rPr>
                <w:spacing w:val="-2"/>
                <w:sz w:val="20"/>
              </w:rPr>
              <w:t>D(PRIVCR,2)</w:t>
            </w:r>
          </w:p>
        </w:tc>
        <w:tc>
          <w:tcPr>
            <w:tcW w:w="1206" w:type="dxa"/>
          </w:tcPr>
          <w:p>
            <w:pPr>
              <w:pStyle w:val="TableParagraph"/>
              <w:spacing w:line="209" w:lineRule="exact"/>
              <w:ind w:left="127"/>
              <w:jc w:val="center"/>
              <w:rPr>
                <w:sz w:val="20"/>
              </w:rPr>
            </w:pPr>
            <w:r>
              <w:rPr>
                <w:spacing w:val="-4"/>
                <w:sz w:val="20"/>
              </w:rPr>
              <w:t>-</w:t>
            </w:r>
            <w:r>
              <w:rPr>
                <w:spacing w:val="-2"/>
                <w:sz w:val="20"/>
              </w:rPr>
              <w:t>1.942842</w:t>
            </w:r>
          </w:p>
        </w:tc>
        <w:tc>
          <w:tcPr>
            <w:tcW w:w="1251" w:type="dxa"/>
          </w:tcPr>
          <w:p>
            <w:pPr>
              <w:pStyle w:val="TableParagraph"/>
              <w:spacing w:line="209" w:lineRule="exact"/>
              <w:ind w:left="174" w:right="53"/>
              <w:jc w:val="center"/>
              <w:rPr>
                <w:sz w:val="20"/>
              </w:rPr>
            </w:pPr>
            <w:r>
              <w:rPr>
                <w:spacing w:val="-2"/>
                <w:sz w:val="20"/>
              </w:rPr>
              <w:t>1.929214</w:t>
            </w:r>
          </w:p>
        </w:tc>
        <w:tc>
          <w:tcPr>
            <w:tcW w:w="1119" w:type="dxa"/>
          </w:tcPr>
          <w:p>
            <w:pPr>
              <w:pStyle w:val="TableParagraph"/>
              <w:spacing w:line="209" w:lineRule="exact"/>
              <w:ind w:left="137" w:right="65"/>
              <w:jc w:val="center"/>
              <w:rPr>
                <w:sz w:val="20"/>
              </w:rPr>
            </w:pPr>
            <w:r>
              <w:rPr>
                <w:spacing w:val="-4"/>
                <w:sz w:val="20"/>
              </w:rPr>
              <w:t>-</w:t>
            </w:r>
            <w:r>
              <w:rPr>
                <w:spacing w:val="-2"/>
                <w:sz w:val="20"/>
              </w:rPr>
              <w:t>1.007064</w:t>
            </w:r>
          </w:p>
        </w:tc>
        <w:tc>
          <w:tcPr>
            <w:tcW w:w="897" w:type="dxa"/>
          </w:tcPr>
          <w:p>
            <w:pPr>
              <w:pStyle w:val="TableParagraph"/>
              <w:spacing w:line="209" w:lineRule="exact"/>
              <w:ind w:right="30"/>
              <w:jc w:val="right"/>
              <w:rPr>
                <w:sz w:val="20"/>
              </w:rPr>
            </w:pPr>
            <w:r>
              <w:rPr>
                <w:spacing w:val="-2"/>
                <w:sz w:val="20"/>
              </w:rPr>
              <w:t>0.3280</w:t>
            </w:r>
          </w:p>
        </w:tc>
      </w:tr>
      <w:tr>
        <w:trPr>
          <w:trHeight w:val="230" w:hRule="atLeast"/>
        </w:trPr>
        <w:tc>
          <w:tcPr>
            <w:tcW w:w="2017" w:type="dxa"/>
          </w:tcPr>
          <w:p>
            <w:pPr>
              <w:pStyle w:val="TableParagraph"/>
              <w:spacing w:line="210" w:lineRule="exact"/>
              <w:ind w:left="298"/>
              <w:rPr>
                <w:sz w:val="20"/>
              </w:rPr>
            </w:pPr>
            <w:r>
              <w:rPr>
                <w:spacing w:val="-2"/>
                <w:sz w:val="20"/>
              </w:rPr>
              <w:t>D(PRIVCR(-1),2)</w:t>
            </w:r>
          </w:p>
        </w:tc>
        <w:tc>
          <w:tcPr>
            <w:tcW w:w="1206" w:type="dxa"/>
          </w:tcPr>
          <w:p>
            <w:pPr>
              <w:pStyle w:val="TableParagraph"/>
              <w:spacing w:line="210" w:lineRule="exact"/>
              <w:ind w:left="127"/>
              <w:jc w:val="center"/>
              <w:rPr>
                <w:sz w:val="20"/>
              </w:rPr>
            </w:pPr>
            <w:r>
              <w:rPr>
                <w:spacing w:val="-4"/>
                <w:sz w:val="20"/>
              </w:rPr>
              <w:t>-</w:t>
            </w:r>
            <w:r>
              <w:rPr>
                <w:spacing w:val="-2"/>
                <w:sz w:val="20"/>
              </w:rPr>
              <w:t>3.671129</w:t>
            </w:r>
          </w:p>
        </w:tc>
        <w:tc>
          <w:tcPr>
            <w:tcW w:w="1251" w:type="dxa"/>
          </w:tcPr>
          <w:p>
            <w:pPr>
              <w:pStyle w:val="TableParagraph"/>
              <w:spacing w:line="210" w:lineRule="exact"/>
              <w:ind w:left="174" w:right="53"/>
              <w:jc w:val="center"/>
              <w:rPr>
                <w:sz w:val="20"/>
              </w:rPr>
            </w:pPr>
            <w:r>
              <w:rPr>
                <w:spacing w:val="-2"/>
                <w:sz w:val="20"/>
              </w:rPr>
              <w:t>1.835121</w:t>
            </w:r>
          </w:p>
        </w:tc>
        <w:tc>
          <w:tcPr>
            <w:tcW w:w="1119" w:type="dxa"/>
          </w:tcPr>
          <w:p>
            <w:pPr>
              <w:pStyle w:val="TableParagraph"/>
              <w:spacing w:line="210" w:lineRule="exact"/>
              <w:ind w:left="137" w:right="65"/>
              <w:jc w:val="center"/>
              <w:rPr>
                <w:sz w:val="20"/>
              </w:rPr>
            </w:pPr>
            <w:r>
              <w:rPr>
                <w:spacing w:val="-4"/>
                <w:sz w:val="20"/>
              </w:rPr>
              <w:t>-</w:t>
            </w:r>
            <w:r>
              <w:rPr>
                <w:spacing w:val="-2"/>
                <w:sz w:val="20"/>
              </w:rPr>
              <w:t>2.000483</w:t>
            </w:r>
          </w:p>
        </w:tc>
        <w:tc>
          <w:tcPr>
            <w:tcW w:w="897" w:type="dxa"/>
          </w:tcPr>
          <w:p>
            <w:pPr>
              <w:pStyle w:val="TableParagraph"/>
              <w:spacing w:line="210" w:lineRule="exact"/>
              <w:ind w:right="30"/>
              <w:jc w:val="right"/>
              <w:rPr>
                <w:sz w:val="20"/>
              </w:rPr>
            </w:pPr>
            <w:r>
              <w:rPr>
                <w:spacing w:val="-2"/>
                <w:sz w:val="20"/>
              </w:rPr>
              <w:t>0.0617</w:t>
            </w:r>
          </w:p>
        </w:tc>
      </w:tr>
      <w:tr>
        <w:trPr>
          <w:trHeight w:val="230" w:hRule="atLeast"/>
        </w:trPr>
        <w:tc>
          <w:tcPr>
            <w:tcW w:w="2017" w:type="dxa"/>
          </w:tcPr>
          <w:p>
            <w:pPr>
              <w:pStyle w:val="TableParagraph"/>
              <w:spacing w:line="210" w:lineRule="exact"/>
              <w:ind w:left="509"/>
              <w:rPr>
                <w:sz w:val="20"/>
              </w:rPr>
            </w:pPr>
            <w:r>
              <w:rPr>
                <w:spacing w:val="-2"/>
                <w:sz w:val="20"/>
              </w:rPr>
              <w:t>D(USIRD,2)</w:t>
            </w:r>
          </w:p>
        </w:tc>
        <w:tc>
          <w:tcPr>
            <w:tcW w:w="1206" w:type="dxa"/>
          </w:tcPr>
          <w:p>
            <w:pPr>
              <w:pStyle w:val="TableParagraph"/>
              <w:spacing w:line="210" w:lineRule="exact"/>
              <w:ind w:left="191"/>
              <w:jc w:val="center"/>
              <w:rPr>
                <w:sz w:val="20"/>
              </w:rPr>
            </w:pPr>
            <w:r>
              <w:rPr>
                <w:spacing w:val="-2"/>
                <w:sz w:val="20"/>
              </w:rPr>
              <w:t>0.626482</w:t>
            </w:r>
          </w:p>
        </w:tc>
        <w:tc>
          <w:tcPr>
            <w:tcW w:w="1251" w:type="dxa"/>
          </w:tcPr>
          <w:p>
            <w:pPr>
              <w:pStyle w:val="TableParagraph"/>
              <w:spacing w:line="210" w:lineRule="exact"/>
              <w:ind w:left="174" w:right="53"/>
              <w:jc w:val="center"/>
              <w:rPr>
                <w:sz w:val="20"/>
              </w:rPr>
            </w:pPr>
            <w:r>
              <w:rPr>
                <w:spacing w:val="-2"/>
                <w:sz w:val="20"/>
              </w:rPr>
              <w:t>0.303848</w:t>
            </w:r>
          </w:p>
        </w:tc>
        <w:tc>
          <w:tcPr>
            <w:tcW w:w="1119" w:type="dxa"/>
          </w:tcPr>
          <w:p>
            <w:pPr>
              <w:pStyle w:val="TableParagraph"/>
              <w:spacing w:line="210" w:lineRule="exact"/>
              <w:ind w:left="137"/>
              <w:jc w:val="center"/>
              <w:rPr>
                <w:sz w:val="20"/>
              </w:rPr>
            </w:pPr>
            <w:r>
              <w:rPr>
                <w:spacing w:val="-2"/>
                <w:sz w:val="20"/>
              </w:rPr>
              <w:t>2.061826</w:t>
            </w:r>
          </w:p>
        </w:tc>
        <w:tc>
          <w:tcPr>
            <w:tcW w:w="897" w:type="dxa"/>
          </w:tcPr>
          <w:p>
            <w:pPr>
              <w:pStyle w:val="TableParagraph"/>
              <w:spacing w:line="210" w:lineRule="exact"/>
              <w:ind w:right="30"/>
              <w:jc w:val="right"/>
              <w:rPr>
                <w:sz w:val="20"/>
              </w:rPr>
            </w:pPr>
            <w:r>
              <w:rPr>
                <w:spacing w:val="-2"/>
                <w:sz w:val="20"/>
              </w:rPr>
              <w:t>0.0549</w:t>
            </w:r>
          </w:p>
        </w:tc>
      </w:tr>
      <w:tr>
        <w:trPr>
          <w:trHeight w:val="230" w:hRule="atLeast"/>
        </w:trPr>
        <w:tc>
          <w:tcPr>
            <w:tcW w:w="2017" w:type="dxa"/>
          </w:tcPr>
          <w:p>
            <w:pPr>
              <w:pStyle w:val="TableParagraph"/>
              <w:spacing w:line="210" w:lineRule="exact"/>
              <w:ind w:left="358"/>
              <w:rPr>
                <w:sz w:val="20"/>
              </w:rPr>
            </w:pPr>
            <w:r>
              <w:rPr>
                <w:spacing w:val="-2"/>
                <w:sz w:val="20"/>
              </w:rPr>
              <w:t>D(USIRD(-1),2)</w:t>
            </w:r>
          </w:p>
        </w:tc>
        <w:tc>
          <w:tcPr>
            <w:tcW w:w="1206" w:type="dxa"/>
          </w:tcPr>
          <w:p>
            <w:pPr>
              <w:pStyle w:val="TableParagraph"/>
              <w:spacing w:line="210" w:lineRule="exact"/>
              <w:ind w:left="191"/>
              <w:jc w:val="center"/>
              <w:rPr>
                <w:sz w:val="20"/>
              </w:rPr>
            </w:pPr>
            <w:r>
              <w:rPr>
                <w:spacing w:val="-2"/>
                <w:sz w:val="20"/>
              </w:rPr>
              <w:t>0.201748</w:t>
            </w:r>
          </w:p>
        </w:tc>
        <w:tc>
          <w:tcPr>
            <w:tcW w:w="1251" w:type="dxa"/>
          </w:tcPr>
          <w:p>
            <w:pPr>
              <w:pStyle w:val="TableParagraph"/>
              <w:spacing w:line="210" w:lineRule="exact"/>
              <w:ind w:left="174" w:right="53"/>
              <w:jc w:val="center"/>
              <w:rPr>
                <w:sz w:val="20"/>
              </w:rPr>
            </w:pPr>
            <w:r>
              <w:rPr>
                <w:spacing w:val="-2"/>
                <w:sz w:val="20"/>
              </w:rPr>
              <w:t>0.286358</w:t>
            </w:r>
          </w:p>
        </w:tc>
        <w:tc>
          <w:tcPr>
            <w:tcW w:w="1119" w:type="dxa"/>
          </w:tcPr>
          <w:p>
            <w:pPr>
              <w:pStyle w:val="TableParagraph"/>
              <w:spacing w:line="210" w:lineRule="exact"/>
              <w:ind w:left="137"/>
              <w:jc w:val="center"/>
              <w:rPr>
                <w:sz w:val="20"/>
              </w:rPr>
            </w:pPr>
            <w:r>
              <w:rPr>
                <w:spacing w:val="-2"/>
                <w:sz w:val="20"/>
              </w:rPr>
              <w:t>0.704529</w:t>
            </w:r>
          </w:p>
        </w:tc>
        <w:tc>
          <w:tcPr>
            <w:tcW w:w="897" w:type="dxa"/>
          </w:tcPr>
          <w:p>
            <w:pPr>
              <w:pStyle w:val="TableParagraph"/>
              <w:spacing w:line="210" w:lineRule="exact"/>
              <w:ind w:right="30"/>
              <w:jc w:val="right"/>
              <w:rPr>
                <w:sz w:val="20"/>
              </w:rPr>
            </w:pPr>
            <w:r>
              <w:rPr>
                <w:spacing w:val="-2"/>
                <w:sz w:val="20"/>
              </w:rPr>
              <w:t>0.4906</w:t>
            </w:r>
          </w:p>
        </w:tc>
      </w:tr>
      <w:tr>
        <w:trPr>
          <w:trHeight w:val="229" w:hRule="atLeast"/>
        </w:trPr>
        <w:tc>
          <w:tcPr>
            <w:tcW w:w="2017" w:type="dxa"/>
          </w:tcPr>
          <w:p>
            <w:pPr>
              <w:pStyle w:val="TableParagraph"/>
              <w:spacing w:line="209" w:lineRule="exact"/>
              <w:ind w:left="535"/>
              <w:rPr>
                <w:sz w:val="20"/>
              </w:rPr>
            </w:pPr>
            <w:r>
              <w:rPr>
                <w:spacing w:val="-2"/>
                <w:sz w:val="20"/>
              </w:rPr>
              <w:t>D(GOCE,2)</w:t>
            </w:r>
          </w:p>
        </w:tc>
        <w:tc>
          <w:tcPr>
            <w:tcW w:w="1206" w:type="dxa"/>
          </w:tcPr>
          <w:p>
            <w:pPr>
              <w:pStyle w:val="TableParagraph"/>
              <w:spacing w:line="209" w:lineRule="exact"/>
              <w:ind w:left="191"/>
              <w:jc w:val="center"/>
              <w:rPr>
                <w:sz w:val="20"/>
              </w:rPr>
            </w:pPr>
            <w:r>
              <w:rPr>
                <w:spacing w:val="-2"/>
                <w:sz w:val="20"/>
              </w:rPr>
              <w:t>1.059232</w:t>
            </w:r>
          </w:p>
        </w:tc>
        <w:tc>
          <w:tcPr>
            <w:tcW w:w="1251" w:type="dxa"/>
          </w:tcPr>
          <w:p>
            <w:pPr>
              <w:pStyle w:val="TableParagraph"/>
              <w:spacing w:line="209" w:lineRule="exact"/>
              <w:ind w:left="174" w:right="53"/>
              <w:jc w:val="center"/>
              <w:rPr>
                <w:sz w:val="20"/>
              </w:rPr>
            </w:pPr>
            <w:r>
              <w:rPr>
                <w:spacing w:val="-2"/>
                <w:sz w:val="20"/>
              </w:rPr>
              <w:t>1.181667</w:t>
            </w:r>
          </w:p>
        </w:tc>
        <w:tc>
          <w:tcPr>
            <w:tcW w:w="1119" w:type="dxa"/>
          </w:tcPr>
          <w:p>
            <w:pPr>
              <w:pStyle w:val="TableParagraph"/>
              <w:spacing w:line="209" w:lineRule="exact"/>
              <w:ind w:left="137"/>
              <w:jc w:val="center"/>
              <w:rPr>
                <w:sz w:val="20"/>
              </w:rPr>
            </w:pPr>
            <w:r>
              <w:rPr>
                <w:spacing w:val="-2"/>
                <w:sz w:val="20"/>
              </w:rPr>
              <w:t>0.896388</w:t>
            </w:r>
          </w:p>
        </w:tc>
        <w:tc>
          <w:tcPr>
            <w:tcW w:w="897" w:type="dxa"/>
          </w:tcPr>
          <w:p>
            <w:pPr>
              <w:pStyle w:val="TableParagraph"/>
              <w:spacing w:line="209" w:lineRule="exact"/>
              <w:ind w:right="30"/>
              <w:jc w:val="right"/>
              <w:rPr>
                <w:sz w:val="20"/>
              </w:rPr>
            </w:pPr>
            <w:r>
              <w:rPr>
                <w:spacing w:val="-2"/>
                <w:sz w:val="20"/>
              </w:rPr>
              <w:t>0.3826</w:t>
            </w:r>
          </w:p>
        </w:tc>
      </w:tr>
      <w:tr>
        <w:trPr>
          <w:trHeight w:val="229" w:hRule="atLeast"/>
        </w:trPr>
        <w:tc>
          <w:tcPr>
            <w:tcW w:w="2017" w:type="dxa"/>
          </w:tcPr>
          <w:p>
            <w:pPr>
              <w:pStyle w:val="TableParagraph"/>
              <w:spacing w:line="209" w:lineRule="exact"/>
              <w:ind w:left="386"/>
              <w:rPr>
                <w:sz w:val="20"/>
              </w:rPr>
            </w:pPr>
            <w:r>
              <w:rPr>
                <w:spacing w:val="-2"/>
                <w:sz w:val="20"/>
              </w:rPr>
              <w:t>D(GOCE(-1),2)</w:t>
            </w:r>
          </w:p>
        </w:tc>
        <w:tc>
          <w:tcPr>
            <w:tcW w:w="1206" w:type="dxa"/>
          </w:tcPr>
          <w:p>
            <w:pPr>
              <w:pStyle w:val="TableParagraph"/>
              <w:spacing w:line="209" w:lineRule="exact"/>
              <w:ind w:left="127"/>
              <w:jc w:val="center"/>
              <w:rPr>
                <w:sz w:val="20"/>
              </w:rPr>
            </w:pPr>
            <w:r>
              <w:rPr>
                <w:spacing w:val="-4"/>
                <w:sz w:val="20"/>
              </w:rPr>
              <w:t>-</w:t>
            </w:r>
            <w:r>
              <w:rPr>
                <w:spacing w:val="-2"/>
                <w:sz w:val="20"/>
              </w:rPr>
              <w:t>0.274093</w:t>
            </w:r>
          </w:p>
        </w:tc>
        <w:tc>
          <w:tcPr>
            <w:tcW w:w="1251" w:type="dxa"/>
          </w:tcPr>
          <w:p>
            <w:pPr>
              <w:pStyle w:val="TableParagraph"/>
              <w:spacing w:line="209" w:lineRule="exact"/>
              <w:ind w:left="174" w:right="53"/>
              <w:jc w:val="center"/>
              <w:rPr>
                <w:sz w:val="20"/>
              </w:rPr>
            </w:pPr>
            <w:r>
              <w:rPr>
                <w:spacing w:val="-2"/>
                <w:sz w:val="20"/>
              </w:rPr>
              <w:t>0.879277</w:t>
            </w:r>
          </w:p>
        </w:tc>
        <w:tc>
          <w:tcPr>
            <w:tcW w:w="1119" w:type="dxa"/>
          </w:tcPr>
          <w:p>
            <w:pPr>
              <w:pStyle w:val="TableParagraph"/>
              <w:spacing w:line="209" w:lineRule="exact"/>
              <w:ind w:left="137" w:right="65"/>
              <w:jc w:val="center"/>
              <w:rPr>
                <w:sz w:val="20"/>
              </w:rPr>
            </w:pPr>
            <w:r>
              <w:rPr>
                <w:spacing w:val="-4"/>
                <w:sz w:val="20"/>
              </w:rPr>
              <w:t>-</w:t>
            </w:r>
            <w:r>
              <w:rPr>
                <w:spacing w:val="-2"/>
                <w:sz w:val="20"/>
              </w:rPr>
              <w:t>0.311726</w:t>
            </w:r>
          </w:p>
        </w:tc>
        <w:tc>
          <w:tcPr>
            <w:tcW w:w="897" w:type="dxa"/>
          </w:tcPr>
          <w:p>
            <w:pPr>
              <w:pStyle w:val="TableParagraph"/>
              <w:spacing w:line="209" w:lineRule="exact"/>
              <w:ind w:right="30"/>
              <w:jc w:val="right"/>
              <w:rPr>
                <w:sz w:val="20"/>
              </w:rPr>
            </w:pPr>
            <w:r>
              <w:rPr>
                <w:spacing w:val="-2"/>
                <w:sz w:val="20"/>
              </w:rPr>
              <w:t>0.7590</w:t>
            </w:r>
          </w:p>
        </w:tc>
      </w:tr>
      <w:tr>
        <w:trPr>
          <w:trHeight w:val="224" w:hRule="atLeast"/>
        </w:trPr>
        <w:tc>
          <w:tcPr>
            <w:tcW w:w="2017" w:type="dxa"/>
            <w:tcBorders>
              <w:bottom w:val="double" w:sz="6" w:space="0" w:color="000000"/>
            </w:tcBorders>
          </w:tcPr>
          <w:p>
            <w:pPr>
              <w:pStyle w:val="TableParagraph"/>
              <w:spacing w:line="205" w:lineRule="exact"/>
              <w:ind w:left="655"/>
              <w:rPr>
                <w:sz w:val="20"/>
              </w:rPr>
            </w:pPr>
            <w:r>
              <w:rPr>
                <w:spacing w:val="-2"/>
                <w:sz w:val="20"/>
              </w:rPr>
              <w:t>ECM(-</w:t>
            </w:r>
            <w:r>
              <w:rPr>
                <w:spacing w:val="-5"/>
                <w:sz w:val="20"/>
              </w:rPr>
              <w:t>1)</w:t>
            </w:r>
          </w:p>
        </w:tc>
        <w:tc>
          <w:tcPr>
            <w:tcW w:w="1206" w:type="dxa"/>
            <w:tcBorders>
              <w:bottom w:val="double" w:sz="6" w:space="0" w:color="000000"/>
            </w:tcBorders>
          </w:tcPr>
          <w:p>
            <w:pPr>
              <w:pStyle w:val="TableParagraph"/>
              <w:spacing w:line="205" w:lineRule="exact"/>
              <w:ind w:left="127"/>
              <w:jc w:val="center"/>
              <w:rPr>
                <w:sz w:val="20"/>
              </w:rPr>
            </w:pPr>
            <w:r>
              <w:rPr>
                <w:spacing w:val="-4"/>
                <w:sz w:val="20"/>
              </w:rPr>
              <w:t>-</w:t>
            </w:r>
            <w:r>
              <w:rPr>
                <w:spacing w:val="-2"/>
                <w:sz w:val="20"/>
              </w:rPr>
              <w:t>1.064011</w:t>
            </w:r>
          </w:p>
        </w:tc>
        <w:tc>
          <w:tcPr>
            <w:tcW w:w="1251" w:type="dxa"/>
            <w:tcBorders>
              <w:bottom w:val="double" w:sz="6" w:space="0" w:color="000000"/>
            </w:tcBorders>
          </w:tcPr>
          <w:p>
            <w:pPr>
              <w:pStyle w:val="TableParagraph"/>
              <w:spacing w:line="205" w:lineRule="exact"/>
              <w:ind w:left="174" w:right="53"/>
              <w:jc w:val="center"/>
              <w:rPr>
                <w:sz w:val="20"/>
              </w:rPr>
            </w:pPr>
            <w:r>
              <w:rPr>
                <w:spacing w:val="-2"/>
                <w:sz w:val="20"/>
              </w:rPr>
              <w:t>0.201494</w:t>
            </w:r>
          </w:p>
        </w:tc>
        <w:tc>
          <w:tcPr>
            <w:tcW w:w="1119" w:type="dxa"/>
            <w:tcBorders>
              <w:bottom w:val="double" w:sz="6" w:space="0" w:color="000000"/>
            </w:tcBorders>
          </w:tcPr>
          <w:p>
            <w:pPr>
              <w:pStyle w:val="TableParagraph"/>
              <w:spacing w:line="205" w:lineRule="exact"/>
              <w:ind w:left="137" w:right="65"/>
              <w:jc w:val="center"/>
              <w:rPr>
                <w:sz w:val="20"/>
              </w:rPr>
            </w:pPr>
            <w:r>
              <w:rPr>
                <w:spacing w:val="-4"/>
                <w:sz w:val="20"/>
              </w:rPr>
              <w:t>-</w:t>
            </w:r>
            <w:r>
              <w:rPr>
                <w:spacing w:val="-2"/>
                <w:sz w:val="20"/>
              </w:rPr>
              <w:t>5.280620</w:t>
            </w:r>
          </w:p>
        </w:tc>
        <w:tc>
          <w:tcPr>
            <w:tcW w:w="897" w:type="dxa"/>
            <w:tcBorders>
              <w:bottom w:val="double" w:sz="6" w:space="0" w:color="000000"/>
            </w:tcBorders>
          </w:tcPr>
          <w:p>
            <w:pPr>
              <w:pStyle w:val="TableParagraph"/>
              <w:spacing w:line="205" w:lineRule="exact"/>
              <w:ind w:right="30"/>
              <w:jc w:val="right"/>
              <w:rPr>
                <w:sz w:val="20"/>
              </w:rPr>
            </w:pPr>
            <w:r>
              <w:rPr>
                <w:spacing w:val="-2"/>
                <w:sz w:val="20"/>
              </w:rPr>
              <w:t>0.0001</w:t>
            </w:r>
          </w:p>
        </w:tc>
      </w:tr>
      <w:tr>
        <w:trPr>
          <w:trHeight w:val="276" w:hRule="atLeast"/>
        </w:trPr>
        <w:tc>
          <w:tcPr>
            <w:tcW w:w="2017" w:type="dxa"/>
            <w:tcBorders>
              <w:top w:val="double" w:sz="6" w:space="0" w:color="000000"/>
            </w:tcBorders>
          </w:tcPr>
          <w:p>
            <w:pPr>
              <w:pStyle w:val="TableParagraph"/>
              <w:spacing w:line="214" w:lineRule="exact" w:before="42"/>
              <w:ind w:left="36"/>
              <w:rPr>
                <w:sz w:val="20"/>
              </w:rPr>
            </w:pPr>
            <w:r>
              <w:rPr>
                <w:spacing w:val="-2"/>
                <w:sz w:val="20"/>
              </w:rPr>
              <w:t>R-squared</w:t>
            </w:r>
          </w:p>
        </w:tc>
        <w:tc>
          <w:tcPr>
            <w:tcW w:w="1206" w:type="dxa"/>
            <w:tcBorders>
              <w:top w:val="double" w:sz="6" w:space="0" w:color="000000"/>
            </w:tcBorders>
          </w:tcPr>
          <w:p>
            <w:pPr>
              <w:pStyle w:val="TableParagraph"/>
              <w:spacing w:line="214" w:lineRule="exact" w:before="42"/>
              <w:ind w:left="191"/>
              <w:jc w:val="center"/>
              <w:rPr>
                <w:sz w:val="20"/>
              </w:rPr>
            </w:pPr>
            <w:r>
              <w:rPr>
                <w:spacing w:val="-2"/>
                <w:sz w:val="20"/>
              </w:rPr>
              <w:t>0.928954</w:t>
            </w:r>
          </w:p>
        </w:tc>
        <w:tc>
          <w:tcPr>
            <w:tcW w:w="2370" w:type="dxa"/>
            <w:gridSpan w:val="2"/>
            <w:tcBorders>
              <w:top w:val="double" w:sz="6" w:space="0" w:color="000000"/>
            </w:tcBorders>
          </w:tcPr>
          <w:p>
            <w:pPr>
              <w:pStyle w:val="TableParagraph"/>
              <w:spacing w:line="214" w:lineRule="exact" w:before="42"/>
              <w:ind w:left="130"/>
              <w:rPr>
                <w:sz w:val="20"/>
              </w:rPr>
            </w:pPr>
            <w:r>
              <w:rPr>
                <w:sz w:val="20"/>
              </w:rPr>
              <w:t>Mean</w:t>
            </w:r>
            <w:r>
              <w:rPr>
                <w:spacing w:val="-7"/>
                <w:sz w:val="20"/>
              </w:rPr>
              <w:t> </w:t>
            </w:r>
            <w:r>
              <w:rPr>
                <w:sz w:val="20"/>
              </w:rPr>
              <w:t>dependent</w:t>
            </w:r>
            <w:r>
              <w:rPr>
                <w:spacing w:val="-7"/>
                <w:sz w:val="20"/>
              </w:rPr>
              <w:t> </w:t>
            </w:r>
            <w:r>
              <w:rPr>
                <w:spacing w:val="-5"/>
                <w:sz w:val="20"/>
              </w:rPr>
              <w:t>var</w:t>
            </w:r>
          </w:p>
        </w:tc>
        <w:tc>
          <w:tcPr>
            <w:tcW w:w="897" w:type="dxa"/>
            <w:tcBorders>
              <w:top w:val="double" w:sz="6" w:space="0" w:color="000000"/>
            </w:tcBorders>
          </w:tcPr>
          <w:p>
            <w:pPr>
              <w:pStyle w:val="TableParagraph"/>
              <w:spacing w:line="214" w:lineRule="exact" w:before="42"/>
              <w:ind w:right="30"/>
              <w:jc w:val="right"/>
              <w:rPr>
                <w:sz w:val="20"/>
              </w:rPr>
            </w:pPr>
            <w:r>
              <w:rPr>
                <w:spacing w:val="-2"/>
                <w:sz w:val="20"/>
              </w:rPr>
              <w:t>0.061694</w:t>
            </w:r>
          </w:p>
        </w:tc>
      </w:tr>
      <w:tr>
        <w:trPr>
          <w:trHeight w:val="229" w:hRule="atLeast"/>
        </w:trPr>
        <w:tc>
          <w:tcPr>
            <w:tcW w:w="2017" w:type="dxa"/>
          </w:tcPr>
          <w:p>
            <w:pPr>
              <w:pStyle w:val="TableParagraph"/>
              <w:spacing w:line="209" w:lineRule="exact"/>
              <w:ind w:left="36"/>
              <w:rPr>
                <w:sz w:val="20"/>
              </w:rPr>
            </w:pPr>
            <w:r>
              <w:rPr>
                <w:sz w:val="20"/>
              </w:rPr>
              <w:t>Adjusted</w:t>
            </w:r>
            <w:r>
              <w:rPr>
                <w:spacing w:val="-10"/>
                <w:sz w:val="20"/>
              </w:rPr>
              <w:t> </w:t>
            </w:r>
            <w:r>
              <w:rPr>
                <w:sz w:val="20"/>
              </w:rPr>
              <w:t>R-</w:t>
            </w:r>
            <w:r>
              <w:rPr>
                <w:spacing w:val="-2"/>
                <w:sz w:val="20"/>
              </w:rPr>
              <w:t>squared</w:t>
            </w:r>
          </w:p>
        </w:tc>
        <w:tc>
          <w:tcPr>
            <w:tcW w:w="1206" w:type="dxa"/>
          </w:tcPr>
          <w:p>
            <w:pPr>
              <w:pStyle w:val="TableParagraph"/>
              <w:spacing w:line="209" w:lineRule="exact"/>
              <w:ind w:left="191"/>
              <w:jc w:val="center"/>
              <w:rPr>
                <w:sz w:val="20"/>
              </w:rPr>
            </w:pPr>
            <w:r>
              <w:rPr>
                <w:spacing w:val="-2"/>
                <w:sz w:val="20"/>
              </w:rPr>
              <w:t>0.857907</w:t>
            </w:r>
          </w:p>
        </w:tc>
        <w:tc>
          <w:tcPr>
            <w:tcW w:w="2370" w:type="dxa"/>
            <w:gridSpan w:val="2"/>
          </w:tcPr>
          <w:p>
            <w:pPr>
              <w:pStyle w:val="TableParagraph"/>
              <w:spacing w:line="209" w:lineRule="exact"/>
              <w:ind w:left="130"/>
              <w:rPr>
                <w:sz w:val="20"/>
              </w:rPr>
            </w:pPr>
            <w:r>
              <w:rPr>
                <w:sz w:val="20"/>
              </w:rPr>
              <w:t>S.D.</w:t>
            </w:r>
            <w:r>
              <w:rPr>
                <w:spacing w:val="-5"/>
                <w:sz w:val="20"/>
              </w:rPr>
              <w:t> </w:t>
            </w:r>
            <w:r>
              <w:rPr>
                <w:sz w:val="20"/>
              </w:rPr>
              <w:t>dependent</w:t>
            </w:r>
            <w:r>
              <w:rPr>
                <w:spacing w:val="-6"/>
                <w:sz w:val="20"/>
              </w:rPr>
              <w:t> </w:t>
            </w:r>
            <w:r>
              <w:rPr>
                <w:spacing w:val="-5"/>
                <w:sz w:val="20"/>
              </w:rPr>
              <w:t>var</w:t>
            </w:r>
          </w:p>
        </w:tc>
        <w:tc>
          <w:tcPr>
            <w:tcW w:w="897" w:type="dxa"/>
          </w:tcPr>
          <w:p>
            <w:pPr>
              <w:pStyle w:val="TableParagraph"/>
              <w:spacing w:line="209" w:lineRule="exact"/>
              <w:ind w:right="30"/>
              <w:jc w:val="right"/>
              <w:rPr>
                <w:sz w:val="20"/>
              </w:rPr>
            </w:pPr>
            <w:r>
              <w:rPr>
                <w:spacing w:val="-2"/>
                <w:sz w:val="20"/>
              </w:rPr>
              <w:t>2.645017</w:t>
            </w:r>
          </w:p>
        </w:tc>
      </w:tr>
      <w:tr>
        <w:trPr>
          <w:trHeight w:val="230" w:hRule="atLeast"/>
        </w:trPr>
        <w:tc>
          <w:tcPr>
            <w:tcW w:w="2017" w:type="dxa"/>
          </w:tcPr>
          <w:p>
            <w:pPr>
              <w:pStyle w:val="TableParagraph"/>
              <w:spacing w:line="210" w:lineRule="exact"/>
              <w:ind w:left="36"/>
              <w:rPr>
                <w:sz w:val="20"/>
              </w:rPr>
            </w:pPr>
            <w:r>
              <w:rPr>
                <w:sz w:val="20"/>
              </w:rPr>
              <w:t>S.E.</w:t>
            </w:r>
            <w:r>
              <w:rPr>
                <w:spacing w:val="-3"/>
                <w:sz w:val="20"/>
              </w:rPr>
              <w:t> </w:t>
            </w:r>
            <w:r>
              <w:rPr>
                <w:sz w:val="20"/>
              </w:rPr>
              <w:t>of</w:t>
            </w:r>
            <w:r>
              <w:rPr>
                <w:spacing w:val="-3"/>
                <w:sz w:val="20"/>
              </w:rPr>
              <w:t> </w:t>
            </w:r>
            <w:r>
              <w:rPr>
                <w:spacing w:val="-2"/>
                <w:sz w:val="20"/>
              </w:rPr>
              <w:t>regression</w:t>
            </w:r>
          </w:p>
        </w:tc>
        <w:tc>
          <w:tcPr>
            <w:tcW w:w="1206" w:type="dxa"/>
          </w:tcPr>
          <w:p>
            <w:pPr>
              <w:pStyle w:val="TableParagraph"/>
              <w:spacing w:line="210" w:lineRule="exact"/>
              <w:ind w:left="191"/>
              <w:jc w:val="center"/>
              <w:rPr>
                <w:sz w:val="20"/>
              </w:rPr>
            </w:pPr>
            <w:r>
              <w:rPr>
                <w:spacing w:val="-2"/>
                <w:sz w:val="20"/>
              </w:rPr>
              <w:t>0.997044</w:t>
            </w:r>
          </w:p>
        </w:tc>
        <w:tc>
          <w:tcPr>
            <w:tcW w:w="2370" w:type="dxa"/>
            <w:gridSpan w:val="2"/>
          </w:tcPr>
          <w:p>
            <w:pPr>
              <w:pStyle w:val="TableParagraph"/>
              <w:spacing w:line="210" w:lineRule="exact"/>
              <w:ind w:left="130"/>
              <w:rPr>
                <w:sz w:val="20"/>
              </w:rPr>
            </w:pPr>
            <w:r>
              <w:rPr>
                <w:sz w:val="20"/>
              </w:rPr>
              <w:t>Akaike</w:t>
            </w:r>
            <w:r>
              <w:rPr>
                <w:spacing w:val="-8"/>
                <w:sz w:val="20"/>
              </w:rPr>
              <w:t> </w:t>
            </w:r>
            <w:r>
              <w:rPr>
                <w:sz w:val="20"/>
              </w:rPr>
              <w:t>info</w:t>
            </w:r>
            <w:r>
              <w:rPr>
                <w:spacing w:val="-7"/>
                <w:sz w:val="20"/>
              </w:rPr>
              <w:t> </w:t>
            </w:r>
            <w:r>
              <w:rPr>
                <w:spacing w:val="-2"/>
                <w:sz w:val="20"/>
              </w:rPr>
              <w:t>criterion</w:t>
            </w:r>
          </w:p>
        </w:tc>
        <w:tc>
          <w:tcPr>
            <w:tcW w:w="897" w:type="dxa"/>
          </w:tcPr>
          <w:p>
            <w:pPr>
              <w:pStyle w:val="TableParagraph"/>
              <w:spacing w:line="210" w:lineRule="exact"/>
              <w:ind w:right="30"/>
              <w:jc w:val="right"/>
              <w:rPr>
                <w:sz w:val="20"/>
              </w:rPr>
            </w:pPr>
            <w:r>
              <w:rPr>
                <w:spacing w:val="-2"/>
                <w:sz w:val="20"/>
              </w:rPr>
              <w:t>3.138394</w:t>
            </w:r>
          </w:p>
        </w:tc>
      </w:tr>
      <w:tr>
        <w:trPr>
          <w:trHeight w:val="230" w:hRule="atLeast"/>
        </w:trPr>
        <w:tc>
          <w:tcPr>
            <w:tcW w:w="2017" w:type="dxa"/>
          </w:tcPr>
          <w:p>
            <w:pPr>
              <w:pStyle w:val="TableParagraph"/>
              <w:spacing w:line="210" w:lineRule="exact"/>
              <w:ind w:left="36"/>
              <w:rPr>
                <w:sz w:val="20"/>
              </w:rPr>
            </w:pPr>
            <w:r>
              <w:rPr>
                <w:sz w:val="20"/>
              </w:rPr>
              <w:t>Sum</w:t>
            </w:r>
            <w:r>
              <w:rPr>
                <w:spacing w:val="-8"/>
                <w:sz w:val="20"/>
              </w:rPr>
              <w:t> </w:t>
            </w:r>
            <w:r>
              <w:rPr>
                <w:sz w:val="20"/>
              </w:rPr>
              <w:t>squared</w:t>
            </w:r>
            <w:r>
              <w:rPr>
                <w:spacing w:val="-4"/>
                <w:sz w:val="20"/>
              </w:rPr>
              <w:t> </w:t>
            </w:r>
            <w:r>
              <w:rPr>
                <w:spacing w:val="-2"/>
                <w:sz w:val="20"/>
              </w:rPr>
              <w:t>resid</w:t>
            </w:r>
          </w:p>
        </w:tc>
        <w:tc>
          <w:tcPr>
            <w:tcW w:w="1206" w:type="dxa"/>
          </w:tcPr>
          <w:p>
            <w:pPr>
              <w:pStyle w:val="TableParagraph"/>
              <w:spacing w:line="210" w:lineRule="exact"/>
              <w:ind w:left="191"/>
              <w:jc w:val="center"/>
              <w:rPr>
                <w:sz w:val="20"/>
              </w:rPr>
            </w:pPr>
            <w:r>
              <w:rPr>
                <w:spacing w:val="-2"/>
                <w:sz w:val="20"/>
              </w:rPr>
              <w:t>16.89966</w:t>
            </w:r>
          </w:p>
        </w:tc>
        <w:tc>
          <w:tcPr>
            <w:tcW w:w="2370" w:type="dxa"/>
            <w:gridSpan w:val="2"/>
          </w:tcPr>
          <w:p>
            <w:pPr>
              <w:pStyle w:val="TableParagraph"/>
              <w:spacing w:line="210" w:lineRule="exact"/>
              <w:ind w:left="130"/>
              <w:rPr>
                <w:sz w:val="20"/>
              </w:rPr>
            </w:pPr>
            <w:r>
              <w:rPr>
                <w:sz w:val="20"/>
              </w:rPr>
              <w:t>Schwarz</w:t>
            </w:r>
            <w:r>
              <w:rPr>
                <w:spacing w:val="-8"/>
                <w:sz w:val="20"/>
              </w:rPr>
              <w:t> </w:t>
            </w:r>
            <w:r>
              <w:rPr>
                <w:spacing w:val="-2"/>
                <w:sz w:val="20"/>
              </w:rPr>
              <w:t>criterion</w:t>
            </w:r>
          </w:p>
        </w:tc>
        <w:tc>
          <w:tcPr>
            <w:tcW w:w="897" w:type="dxa"/>
          </w:tcPr>
          <w:p>
            <w:pPr>
              <w:pStyle w:val="TableParagraph"/>
              <w:spacing w:line="210" w:lineRule="exact"/>
              <w:ind w:right="30"/>
              <w:jc w:val="right"/>
              <w:rPr>
                <w:sz w:val="20"/>
              </w:rPr>
            </w:pPr>
            <w:r>
              <w:rPr>
                <w:spacing w:val="-2"/>
                <w:sz w:val="20"/>
              </w:rPr>
              <w:t>3.938287</w:t>
            </w:r>
          </w:p>
        </w:tc>
      </w:tr>
      <w:tr>
        <w:trPr>
          <w:trHeight w:val="265" w:hRule="atLeast"/>
        </w:trPr>
        <w:tc>
          <w:tcPr>
            <w:tcW w:w="2017" w:type="dxa"/>
            <w:tcBorders>
              <w:bottom w:val="double" w:sz="6" w:space="0" w:color="000000"/>
            </w:tcBorders>
          </w:tcPr>
          <w:p>
            <w:pPr>
              <w:pStyle w:val="TableParagraph"/>
              <w:spacing w:line="226" w:lineRule="exact"/>
              <w:ind w:left="36"/>
              <w:rPr>
                <w:sz w:val="20"/>
              </w:rPr>
            </w:pPr>
            <w:r>
              <w:rPr>
                <w:sz w:val="20"/>
              </w:rPr>
              <w:t>Log</w:t>
            </w:r>
            <w:r>
              <w:rPr>
                <w:spacing w:val="-6"/>
                <w:sz w:val="20"/>
              </w:rPr>
              <w:t> </w:t>
            </w:r>
            <w:r>
              <w:rPr>
                <w:spacing w:val="-2"/>
                <w:sz w:val="20"/>
              </w:rPr>
              <w:t>likelihood</w:t>
            </w:r>
          </w:p>
        </w:tc>
        <w:tc>
          <w:tcPr>
            <w:tcW w:w="1206" w:type="dxa"/>
            <w:tcBorders>
              <w:bottom w:val="single" w:sz="6" w:space="0" w:color="000000"/>
            </w:tcBorders>
          </w:tcPr>
          <w:p>
            <w:pPr>
              <w:pStyle w:val="TableParagraph"/>
              <w:spacing w:line="226" w:lineRule="exact"/>
              <w:ind w:left="127"/>
              <w:jc w:val="center"/>
              <w:rPr>
                <w:sz w:val="20"/>
              </w:rPr>
            </w:pPr>
            <w:r>
              <w:rPr>
                <w:spacing w:val="-4"/>
                <w:sz w:val="20"/>
              </w:rPr>
              <w:t>-</w:t>
            </w:r>
            <w:r>
              <w:rPr>
                <w:spacing w:val="-2"/>
                <w:sz w:val="20"/>
              </w:rPr>
              <w:t>36.92189</w:t>
            </w:r>
          </w:p>
        </w:tc>
        <w:tc>
          <w:tcPr>
            <w:tcW w:w="2370" w:type="dxa"/>
            <w:gridSpan w:val="2"/>
            <w:tcBorders>
              <w:bottom w:val="single" w:sz="6" w:space="0" w:color="000000"/>
            </w:tcBorders>
          </w:tcPr>
          <w:p>
            <w:pPr>
              <w:pStyle w:val="TableParagraph"/>
              <w:spacing w:line="226" w:lineRule="exact"/>
              <w:ind w:left="130"/>
              <w:rPr>
                <w:sz w:val="20"/>
              </w:rPr>
            </w:pPr>
            <w:r>
              <w:rPr>
                <w:spacing w:val="-2"/>
                <w:sz w:val="20"/>
              </w:rPr>
              <w:t>Durbin-Watson</w:t>
            </w:r>
            <w:r>
              <w:rPr>
                <w:spacing w:val="12"/>
                <w:sz w:val="20"/>
              </w:rPr>
              <w:t> </w:t>
            </w:r>
            <w:r>
              <w:rPr>
                <w:spacing w:val="-4"/>
                <w:sz w:val="20"/>
              </w:rPr>
              <w:t>stat</w:t>
            </w:r>
          </w:p>
        </w:tc>
        <w:tc>
          <w:tcPr>
            <w:tcW w:w="897" w:type="dxa"/>
            <w:tcBorders>
              <w:bottom w:val="double" w:sz="6" w:space="0" w:color="000000"/>
            </w:tcBorders>
          </w:tcPr>
          <w:p>
            <w:pPr>
              <w:pStyle w:val="TableParagraph"/>
              <w:spacing w:line="226" w:lineRule="exact"/>
              <w:ind w:right="30"/>
              <w:jc w:val="right"/>
              <w:rPr>
                <w:sz w:val="20"/>
              </w:rPr>
            </w:pPr>
            <w:r>
              <w:rPr>
                <w:spacing w:val="-2"/>
                <w:sz w:val="20"/>
              </w:rPr>
              <w:t>1.257679</w:t>
            </w:r>
          </w:p>
        </w:tc>
      </w:tr>
    </w:tbl>
    <w:p>
      <w:pPr>
        <w:pStyle w:val="BodyText"/>
        <w:spacing w:before="18"/>
        <w:rPr>
          <w:sz w:val="20"/>
        </w:rPr>
      </w:pPr>
    </w:p>
    <w:p>
      <w:pPr>
        <w:spacing w:before="1" w:after="2"/>
        <w:ind w:left="711" w:right="0" w:firstLine="0"/>
        <w:jc w:val="left"/>
        <w:rPr>
          <w:sz w:val="20"/>
        </w:rPr>
      </w:pPr>
      <w:r>
        <w:rPr>
          <w:sz w:val="20"/>
        </w:rPr>
        <w:t>PASSIMONIOUS</w:t>
      </w:r>
      <w:r>
        <w:rPr>
          <w:spacing w:val="-9"/>
          <w:sz w:val="20"/>
        </w:rPr>
        <w:t> </w:t>
      </w:r>
      <w:r>
        <w:rPr>
          <w:sz w:val="20"/>
        </w:rPr>
        <w:t>ECM</w:t>
      </w:r>
      <w:r>
        <w:rPr>
          <w:spacing w:val="-4"/>
          <w:sz w:val="20"/>
        </w:rPr>
        <w:t> </w:t>
      </w:r>
      <w:r>
        <w:rPr>
          <w:sz w:val="20"/>
        </w:rPr>
        <w:t>FOR</w:t>
      </w:r>
      <w:r>
        <w:rPr>
          <w:spacing w:val="-7"/>
          <w:sz w:val="20"/>
        </w:rPr>
        <w:t> </w:t>
      </w:r>
      <w:r>
        <w:rPr>
          <w:sz w:val="20"/>
        </w:rPr>
        <w:t>MODEL</w:t>
      </w:r>
      <w:r>
        <w:rPr>
          <w:spacing w:val="-10"/>
          <w:sz w:val="20"/>
        </w:rPr>
        <w:t> </w:t>
      </w:r>
      <w:r>
        <w:rPr>
          <w:spacing w:val="-5"/>
          <w:sz w:val="20"/>
        </w:rPr>
        <w:t>IB</w:t>
      </w:r>
    </w:p>
    <w:tbl>
      <w:tblPr>
        <w:tblW w:w="0" w:type="auto"/>
        <w:jc w:val="left"/>
        <w:tblInd w:w="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69"/>
        <w:gridCol w:w="1254"/>
        <w:gridCol w:w="1251"/>
        <w:gridCol w:w="1119"/>
        <w:gridCol w:w="897"/>
      </w:tblGrid>
      <w:tr>
        <w:trPr>
          <w:trHeight w:val="225" w:hRule="atLeast"/>
        </w:trPr>
        <w:tc>
          <w:tcPr>
            <w:tcW w:w="6490" w:type="dxa"/>
            <w:gridSpan w:val="5"/>
          </w:tcPr>
          <w:p>
            <w:pPr>
              <w:pStyle w:val="TableParagraph"/>
              <w:spacing w:line="205" w:lineRule="exact"/>
              <w:ind w:left="36"/>
              <w:rPr>
                <w:sz w:val="20"/>
              </w:rPr>
            </w:pPr>
            <w:r>
              <w:rPr>
                <w:sz w:val="20"/>
              </w:rPr>
              <w:t>Dependent</w:t>
            </w:r>
            <w:r>
              <w:rPr>
                <w:spacing w:val="-8"/>
                <w:sz w:val="20"/>
              </w:rPr>
              <w:t> </w:t>
            </w:r>
            <w:r>
              <w:rPr>
                <w:sz w:val="20"/>
              </w:rPr>
              <w:t>Variable:</w:t>
            </w:r>
            <w:r>
              <w:rPr>
                <w:spacing w:val="-8"/>
                <w:sz w:val="20"/>
              </w:rPr>
              <w:t> </w:t>
            </w:r>
            <w:r>
              <w:rPr>
                <w:spacing w:val="-2"/>
                <w:sz w:val="20"/>
              </w:rPr>
              <w:t>D(KFM,2)</w:t>
            </w:r>
          </w:p>
        </w:tc>
      </w:tr>
      <w:tr>
        <w:trPr>
          <w:trHeight w:val="229" w:hRule="atLeast"/>
        </w:trPr>
        <w:tc>
          <w:tcPr>
            <w:tcW w:w="1969" w:type="dxa"/>
          </w:tcPr>
          <w:p>
            <w:pPr>
              <w:pStyle w:val="TableParagraph"/>
              <w:spacing w:line="209" w:lineRule="exact"/>
              <w:ind w:left="36"/>
              <w:rPr>
                <w:sz w:val="20"/>
              </w:rPr>
            </w:pPr>
            <w:r>
              <w:rPr>
                <w:sz w:val="20"/>
              </w:rPr>
              <w:t>Method:</w:t>
            </w:r>
            <w:r>
              <w:rPr>
                <w:spacing w:val="-8"/>
                <w:sz w:val="20"/>
              </w:rPr>
              <w:t> </w:t>
            </w:r>
            <w:r>
              <w:rPr>
                <w:sz w:val="20"/>
              </w:rPr>
              <w:t>Least</w:t>
            </w:r>
            <w:r>
              <w:rPr>
                <w:spacing w:val="-7"/>
                <w:sz w:val="20"/>
              </w:rPr>
              <w:t> </w:t>
            </w:r>
            <w:r>
              <w:rPr>
                <w:spacing w:val="-2"/>
                <w:sz w:val="20"/>
              </w:rPr>
              <w:t>Squares</w:t>
            </w:r>
          </w:p>
        </w:tc>
        <w:tc>
          <w:tcPr>
            <w:tcW w:w="1254" w:type="dxa"/>
          </w:tcPr>
          <w:p>
            <w:pPr>
              <w:pStyle w:val="TableParagraph"/>
              <w:rPr>
                <w:sz w:val="16"/>
              </w:rPr>
            </w:pPr>
          </w:p>
        </w:tc>
        <w:tc>
          <w:tcPr>
            <w:tcW w:w="1251" w:type="dxa"/>
          </w:tcPr>
          <w:p>
            <w:pPr>
              <w:pStyle w:val="TableParagraph"/>
              <w:rPr>
                <w:sz w:val="16"/>
              </w:rPr>
            </w:pPr>
          </w:p>
        </w:tc>
        <w:tc>
          <w:tcPr>
            <w:tcW w:w="1119" w:type="dxa"/>
          </w:tcPr>
          <w:p>
            <w:pPr>
              <w:pStyle w:val="TableParagraph"/>
              <w:rPr>
                <w:sz w:val="16"/>
              </w:rPr>
            </w:pPr>
          </w:p>
        </w:tc>
        <w:tc>
          <w:tcPr>
            <w:tcW w:w="897" w:type="dxa"/>
          </w:tcPr>
          <w:p>
            <w:pPr>
              <w:pStyle w:val="TableParagraph"/>
              <w:rPr>
                <w:sz w:val="16"/>
              </w:rPr>
            </w:pPr>
          </w:p>
        </w:tc>
      </w:tr>
      <w:tr>
        <w:trPr>
          <w:trHeight w:val="229" w:hRule="atLeast"/>
        </w:trPr>
        <w:tc>
          <w:tcPr>
            <w:tcW w:w="6490" w:type="dxa"/>
            <w:gridSpan w:val="5"/>
          </w:tcPr>
          <w:p>
            <w:pPr>
              <w:pStyle w:val="TableParagraph"/>
              <w:spacing w:line="209" w:lineRule="exact"/>
              <w:ind w:left="36"/>
              <w:rPr>
                <w:sz w:val="20"/>
              </w:rPr>
            </w:pPr>
            <w:r>
              <w:rPr>
                <w:sz w:val="20"/>
              </w:rPr>
              <w:t>Date:</w:t>
            </w:r>
            <w:r>
              <w:rPr>
                <w:spacing w:val="-5"/>
                <w:sz w:val="20"/>
              </w:rPr>
              <w:t> </w:t>
            </w:r>
            <w:r>
              <w:rPr>
                <w:sz w:val="20"/>
              </w:rPr>
              <w:t>02/18/14</w:t>
            </w:r>
            <w:r>
              <w:rPr>
                <w:spacing w:val="63"/>
                <w:w w:val="150"/>
                <w:sz w:val="20"/>
              </w:rPr>
              <w:t> </w:t>
            </w:r>
            <w:r>
              <w:rPr>
                <w:sz w:val="20"/>
              </w:rPr>
              <w:t>Time:</w:t>
            </w:r>
            <w:r>
              <w:rPr>
                <w:spacing w:val="-3"/>
                <w:sz w:val="20"/>
              </w:rPr>
              <w:t> </w:t>
            </w:r>
            <w:r>
              <w:rPr>
                <w:spacing w:val="-2"/>
                <w:sz w:val="20"/>
              </w:rPr>
              <w:t>13:57</w:t>
            </w:r>
          </w:p>
        </w:tc>
      </w:tr>
      <w:tr>
        <w:trPr>
          <w:trHeight w:val="230" w:hRule="atLeast"/>
        </w:trPr>
        <w:tc>
          <w:tcPr>
            <w:tcW w:w="6490" w:type="dxa"/>
            <w:gridSpan w:val="5"/>
          </w:tcPr>
          <w:p>
            <w:pPr>
              <w:pStyle w:val="TableParagraph"/>
              <w:spacing w:line="210" w:lineRule="exact"/>
              <w:ind w:left="36"/>
              <w:rPr>
                <w:sz w:val="20"/>
              </w:rPr>
            </w:pPr>
            <w:r>
              <w:rPr>
                <w:sz w:val="20"/>
              </w:rPr>
              <w:t>Sample(adjusted):</w:t>
            </w:r>
            <w:r>
              <w:rPr>
                <w:spacing w:val="-9"/>
                <w:sz w:val="20"/>
              </w:rPr>
              <w:t> </w:t>
            </w:r>
            <w:r>
              <w:rPr>
                <w:sz w:val="20"/>
              </w:rPr>
              <w:t>1973</w:t>
            </w:r>
            <w:r>
              <w:rPr>
                <w:spacing w:val="-9"/>
                <w:sz w:val="20"/>
              </w:rPr>
              <w:t> </w:t>
            </w:r>
            <w:r>
              <w:rPr>
                <w:spacing w:val="-4"/>
                <w:sz w:val="20"/>
              </w:rPr>
              <w:t>2011</w:t>
            </w:r>
          </w:p>
        </w:tc>
      </w:tr>
      <w:tr>
        <w:trPr>
          <w:trHeight w:val="230" w:hRule="atLeast"/>
        </w:trPr>
        <w:tc>
          <w:tcPr>
            <w:tcW w:w="6490" w:type="dxa"/>
            <w:gridSpan w:val="5"/>
          </w:tcPr>
          <w:p>
            <w:pPr>
              <w:pStyle w:val="TableParagraph"/>
              <w:spacing w:line="210" w:lineRule="exact"/>
              <w:ind w:left="36"/>
              <w:rPr>
                <w:sz w:val="20"/>
              </w:rPr>
            </w:pPr>
            <w:r>
              <w:rPr>
                <w:sz w:val="20"/>
              </w:rPr>
              <w:t>Included</w:t>
            </w:r>
            <w:r>
              <w:rPr>
                <w:spacing w:val="-8"/>
                <w:sz w:val="20"/>
              </w:rPr>
              <w:t> </w:t>
            </w:r>
            <w:r>
              <w:rPr>
                <w:sz w:val="20"/>
              </w:rPr>
              <w:t>observations:</w:t>
            </w:r>
            <w:r>
              <w:rPr>
                <w:spacing w:val="-10"/>
                <w:sz w:val="20"/>
              </w:rPr>
              <w:t> </w:t>
            </w:r>
            <w:r>
              <w:rPr>
                <w:spacing w:val="-5"/>
                <w:sz w:val="20"/>
              </w:rPr>
              <w:t>36</w:t>
            </w:r>
          </w:p>
        </w:tc>
      </w:tr>
      <w:tr>
        <w:trPr>
          <w:trHeight w:val="224" w:hRule="atLeast"/>
        </w:trPr>
        <w:tc>
          <w:tcPr>
            <w:tcW w:w="6490" w:type="dxa"/>
            <w:gridSpan w:val="5"/>
            <w:tcBorders>
              <w:bottom w:val="double" w:sz="6" w:space="0" w:color="000000"/>
            </w:tcBorders>
          </w:tcPr>
          <w:p>
            <w:pPr>
              <w:pStyle w:val="TableParagraph"/>
              <w:spacing w:line="205" w:lineRule="exact"/>
              <w:ind w:left="36"/>
              <w:rPr>
                <w:sz w:val="20"/>
              </w:rPr>
            </w:pPr>
            <w:r>
              <w:rPr>
                <w:sz w:val="20"/>
              </w:rPr>
              <w:t>Excluded</w:t>
            </w:r>
            <w:r>
              <w:rPr>
                <w:spacing w:val="-7"/>
                <w:sz w:val="20"/>
              </w:rPr>
              <w:t> </w:t>
            </w:r>
            <w:r>
              <w:rPr>
                <w:sz w:val="20"/>
              </w:rPr>
              <w:t>observations:</w:t>
            </w:r>
            <w:r>
              <w:rPr>
                <w:spacing w:val="-7"/>
                <w:sz w:val="20"/>
              </w:rPr>
              <w:t> </w:t>
            </w:r>
            <w:r>
              <w:rPr>
                <w:sz w:val="20"/>
              </w:rPr>
              <w:t>3</w:t>
            </w:r>
            <w:r>
              <w:rPr>
                <w:spacing w:val="-7"/>
                <w:sz w:val="20"/>
              </w:rPr>
              <w:t> </w:t>
            </w:r>
            <w:r>
              <w:rPr>
                <w:sz w:val="20"/>
              </w:rPr>
              <w:t>after</w:t>
            </w:r>
            <w:r>
              <w:rPr>
                <w:spacing w:val="-4"/>
                <w:sz w:val="20"/>
              </w:rPr>
              <w:t> </w:t>
            </w:r>
            <w:r>
              <w:rPr>
                <w:sz w:val="20"/>
              </w:rPr>
              <w:t>adjusting</w:t>
            </w:r>
            <w:r>
              <w:rPr>
                <w:spacing w:val="-8"/>
                <w:sz w:val="20"/>
              </w:rPr>
              <w:t> </w:t>
            </w:r>
            <w:r>
              <w:rPr>
                <w:spacing w:val="-2"/>
                <w:sz w:val="20"/>
              </w:rPr>
              <w:t>endpoints</w:t>
            </w:r>
          </w:p>
        </w:tc>
      </w:tr>
      <w:tr>
        <w:trPr>
          <w:trHeight w:val="269" w:hRule="atLeast"/>
        </w:trPr>
        <w:tc>
          <w:tcPr>
            <w:tcW w:w="1969" w:type="dxa"/>
            <w:tcBorders>
              <w:top w:val="double" w:sz="6" w:space="0" w:color="000000"/>
              <w:bottom w:val="double" w:sz="6" w:space="0" w:color="000000"/>
            </w:tcBorders>
          </w:tcPr>
          <w:p>
            <w:pPr>
              <w:pStyle w:val="TableParagraph"/>
              <w:spacing w:line="209" w:lineRule="exact" w:before="40"/>
              <w:ind w:left="677"/>
              <w:rPr>
                <w:sz w:val="20"/>
              </w:rPr>
            </w:pPr>
            <w:r>
              <w:rPr>
                <w:spacing w:val="-2"/>
                <w:sz w:val="20"/>
              </w:rPr>
              <w:t>Variable</w:t>
            </w:r>
          </w:p>
        </w:tc>
        <w:tc>
          <w:tcPr>
            <w:tcW w:w="1254" w:type="dxa"/>
            <w:tcBorders>
              <w:top w:val="double" w:sz="6" w:space="0" w:color="000000"/>
              <w:bottom w:val="double" w:sz="6" w:space="0" w:color="000000"/>
            </w:tcBorders>
          </w:tcPr>
          <w:p>
            <w:pPr>
              <w:pStyle w:val="TableParagraph"/>
              <w:spacing w:line="209" w:lineRule="exact" w:before="40"/>
              <w:ind w:left="175" w:right="87"/>
              <w:jc w:val="center"/>
              <w:rPr>
                <w:sz w:val="20"/>
              </w:rPr>
            </w:pPr>
            <w:r>
              <w:rPr>
                <w:spacing w:val="-2"/>
                <w:sz w:val="20"/>
              </w:rPr>
              <w:t>Coefficient</w:t>
            </w:r>
          </w:p>
        </w:tc>
        <w:tc>
          <w:tcPr>
            <w:tcW w:w="1251" w:type="dxa"/>
            <w:tcBorders>
              <w:top w:val="double" w:sz="6" w:space="0" w:color="000000"/>
              <w:bottom w:val="double" w:sz="6" w:space="0" w:color="000000"/>
            </w:tcBorders>
          </w:tcPr>
          <w:p>
            <w:pPr>
              <w:pStyle w:val="TableParagraph"/>
              <w:spacing w:line="209" w:lineRule="exact" w:before="40"/>
              <w:ind w:left="174" w:right="91"/>
              <w:jc w:val="center"/>
              <w:rPr>
                <w:sz w:val="20"/>
              </w:rPr>
            </w:pPr>
            <w:r>
              <w:rPr>
                <w:sz w:val="20"/>
              </w:rPr>
              <w:t>Std.</w:t>
            </w:r>
            <w:r>
              <w:rPr>
                <w:spacing w:val="-4"/>
                <w:sz w:val="20"/>
              </w:rPr>
              <w:t> </w:t>
            </w:r>
            <w:r>
              <w:rPr>
                <w:spacing w:val="-2"/>
                <w:sz w:val="20"/>
              </w:rPr>
              <w:t>Error</w:t>
            </w:r>
          </w:p>
        </w:tc>
        <w:tc>
          <w:tcPr>
            <w:tcW w:w="1119" w:type="dxa"/>
            <w:tcBorders>
              <w:top w:val="double" w:sz="6" w:space="0" w:color="000000"/>
              <w:bottom w:val="double" w:sz="6" w:space="0" w:color="000000"/>
            </w:tcBorders>
          </w:tcPr>
          <w:p>
            <w:pPr>
              <w:pStyle w:val="TableParagraph"/>
              <w:spacing w:line="209" w:lineRule="exact" w:before="40"/>
              <w:ind w:left="137" w:right="17"/>
              <w:jc w:val="center"/>
              <w:rPr>
                <w:sz w:val="20"/>
              </w:rPr>
            </w:pPr>
            <w:r>
              <w:rPr>
                <w:spacing w:val="-4"/>
                <w:sz w:val="20"/>
              </w:rPr>
              <w:t>t-</w:t>
            </w:r>
            <w:r>
              <w:rPr>
                <w:spacing w:val="-2"/>
                <w:sz w:val="20"/>
              </w:rPr>
              <w:t>Statistic</w:t>
            </w:r>
          </w:p>
        </w:tc>
        <w:tc>
          <w:tcPr>
            <w:tcW w:w="897" w:type="dxa"/>
            <w:tcBorders>
              <w:top w:val="double" w:sz="6" w:space="0" w:color="000000"/>
              <w:bottom w:val="double" w:sz="6" w:space="0" w:color="000000"/>
            </w:tcBorders>
          </w:tcPr>
          <w:p>
            <w:pPr>
              <w:pStyle w:val="TableParagraph"/>
              <w:spacing w:line="209" w:lineRule="exact" w:before="40"/>
              <w:ind w:right="31"/>
              <w:jc w:val="right"/>
              <w:rPr>
                <w:sz w:val="20"/>
              </w:rPr>
            </w:pPr>
            <w:r>
              <w:rPr>
                <w:spacing w:val="-2"/>
                <w:sz w:val="20"/>
              </w:rPr>
              <w:t>Prob.</w:t>
            </w:r>
          </w:p>
        </w:tc>
      </w:tr>
      <w:tr>
        <w:trPr>
          <w:trHeight w:val="275" w:hRule="atLeast"/>
        </w:trPr>
        <w:tc>
          <w:tcPr>
            <w:tcW w:w="1969" w:type="dxa"/>
            <w:tcBorders>
              <w:top w:val="double" w:sz="6" w:space="0" w:color="000000"/>
            </w:tcBorders>
          </w:tcPr>
          <w:p>
            <w:pPr>
              <w:pStyle w:val="TableParagraph"/>
              <w:spacing w:line="215" w:lineRule="exact" w:before="40"/>
              <w:ind w:left="353"/>
              <w:rPr>
                <w:sz w:val="20"/>
              </w:rPr>
            </w:pPr>
            <w:r>
              <w:rPr>
                <w:spacing w:val="-2"/>
                <w:sz w:val="20"/>
              </w:rPr>
              <w:t>D(EXTDEBT,2)</w:t>
            </w:r>
          </w:p>
        </w:tc>
        <w:tc>
          <w:tcPr>
            <w:tcW w:w="1254" w:type="dxa"/>
            <w:tcBorders>
              <w:top w:val="double" w:sz="6" w:space="0" w:color="000000"/>
            </w:tcBorders>
          </w:tcPr>
          <w:p>
            <w:pPr>
              <w:pStyle w:val="TableParagraph"/>
              <w:spacing w:line="215" w:lineRule="exact" w:before="40"/>
              <w:ind w:left="239"/>
              <w:jc w:val="center"/>
              <w:rPr>
                <w:sz w:val="20"/>
              </w:rPr>
            </w:pPr>
            <w:r>
              <w:rPr>
                <w:spacing w:val="-2"/>
                <w:sz w:val="20"/>
              </w:rPr>
              <w:t>0.262969</w:t>
            </w:r>
          </w:p>
        </w:tc>
        <w:tc>
          <w:tcPr>
            <w:tcW w:w="1251" w:type="dxa"/>
            <w:tcBorders>
              <w:top w:val="double" w:sz="6" w:space="0" w:color="000000"/>
            </w:tcBorders>
          </w:tcPr>
          <w:p>
            <w:pPr>
              <w:pStyle w:val="TableParagraph"/>
              <w:spacing w:line="215" w:lineRule="exact" w:before="40"/>
              <w:ind w:left="174" w:right="53"/>
              <w:jc w:val="center"/>
              <w:rPr>
                <w:sz w:val="20"/>
              </w:rPr>
            </w:pPr>
            <w:r>
              <w:rPr>
                <w:spacing w:val="-2"/>
                <w:sz w:val="20"/>
              </w:rPr>
              <w:t>0.086956</w:t>
            </w:r>
          </w:p>
        </w:tc>
        <w:tc>
          <w:tcPr>
            <w:tcW w:w="1119" w:type="dxa"/>
            <w:tcBorders>
              <w:top w:val="double" w:sz="6" w:space="0" w:color="000000"/>
            </w:tcBorders>
          </w:tcPr>
          <w:p>
            <w:pPr>
              <w:pStyle w:val="TableParagraph"/>
              <w:spacing w:line="215" w:lineRule="exact" w:before="40"/>
              <w:ind w:left="137"/>
              <w:jc w:val="center"/>
              <w:rPr>
                <w:sz w:val="20"/>
              </w:rPr>
            </w:pPr>
            <w:r>
              <w:rPr>
                <w:spacing w:val="-2"/>
                <w:sz w:val="20"/>
              </w:rPr>
              <w:t>3.024167</w:t>
            </w:r>
          </w:p>
        </w:tc>
        <w:tc>
          <w:tcPr>
            <w:tcW w:w="897" w:type="dxa"/>
            <w:tcBorders>
              <w:top w:val="double" w:sz="6" w:space="0" w:color="000000"/>
            </w:tcBorders>
          </w:tcPr>
          <w:p>
            <w:pPr>
              <w:pStyle w:val="TableParagraph"/>
              <w:spacing w:line="215" w:lineRule="exact" w:before="40"/>
              <w:ind w:right="30"/>
              <w:jc w:val="right"/>
              <w:rPr>
                <w:sz w:val="20"/>
              </w:rPr>
            </w:pPr>
            <w:r>
              <w:rPr>
                <w:spacing w:val="-2"/>
                <w:sz w:val="20"/>
              </w:rPr>
              <w:t>0.0054</w:t>
            </w:r>
          </w:p>
        </w:tc>
      </w:tr>
      <w:tr>
        <w:trPr>
          <w:trHeight w:val="230" w:hRule="atLeast"/>
        </w:trPr>
        <w:tc>
          <w:tcPr>
            <w:tcW w:w="1969" w:type="dxa"/>
          </w:tcPr>
          <w:p>
            <w:pPr>
              <w:pStyle w:val="TableParagraph"/>
              <w:spacing w:line="210" w:lineRule="exact"/>
              <w:ind w:left="607"/>
              <w:rPr>
                <w:sz w:val="20"/>
              </w:rPr>
            </w:pPr>
            <w:r>
              <w:rPr>
                <w:spacing w:val="-2"/>
                <w:sz w:val="20"/>
              </w:rPr>
              <w:t>D(DOP,2)</w:t>
            </w:r>
          </w:p>
        </w:tc>
        <w:tc>
          <w:tcPr>
            <w:tcW w:w="1254" w:type="dxa"/>
          </w:tcPr>
          <w:p>
            <w:pPr>
              <w:pStyle w:val="TableParagraph"/>
              <w:spacing w:line="210" w:lineRule="exact"/>
              <w:ind w:left="239"/>
              <w:jc w:val="center"/>
              <w:rPr>
                <w:sz w:val="20"/>
              </w:rPr>
            </w:pPr>
            <w:r>
              <w:rPr>
                <w:spacing w:val="-2"/>
                <w:sz w:val="20"/>
              </w:rPr>
              <w:t>0.034053</w:t>
            </w:r>
          </w:p>
        </w:tc>
        <w:tc>
          <w:tcPr>
            <w:tcW w:w="1251" w:type="dxa"/>
          </w:tcPr>
          <w:p>
            <w:pPr>
              <w:pStyle w:val="TableParagraph"/>
              <w:spacing w:line="210" w:lineRule="exact"/>
              <w:ind w:left="174" w:right="53"/>
              <w:jc w:val="center"/>
              <w:rPr>
                <w:sz w:val="20"/>
              </w:rPr>
            </w:pPr>
            <w:r>
              <w:rPr>
                <w:spacing w:val="-2"/>
                <w:sz w:val="20"/>
              </w:rPr>
              <w:t>0.730133</w:t>
            </w:r>
          </w:p>
        </w:tc>
        <w:tc>
          <w:tcPr>
            <w:tcW w:w="1119" w:type="dxa"/>
          </w:tcPr>
          <w:p>
            <w:pPr>
              <w:pStyle w:val="TableParagraph"/>
              <w:spacing w:line="210" w:lineRule="exact"/>
              <w:ind w:left="137"/>
              <w:jc w:val="center"/>
              <w:rPr>
                <w:sz w:val="20"/>
              </w:rPr>
            </w:pPr>
            <w:r>
              <w:rPr>
                <w:spacing w:val="-2"/>
                <w:sz w:val="20"/>
              </w:rPr>
              <w:t>0.046640</w:t>
            </w:r>
          </w:p>
        </w:tc>
        <w:tc>
          <w:tcPr>
            <w:tcW w:w="897" w:type="dxa"/>
          </w:tcPr>
          <w:p>
            <w:pPr>
              <w:pStyle w:val="TableParagraph"/>
              <w:spacing w:line="210" w:lineRule="exact"/>
              <w:ind w:right="30"/>
              <w:jc w:val="right"/>
              <w:rPr>
                <w:sz w:val="20"/>
              </w:rPr>
            </w:pPr>
            <w:r>
              <w:rPr>
                <w:spacing w:val="-2"/>
                <w:sz w:val="20"/>
              </w:rPr>
              <w:t>0.9631</w:t>
            </w:r>
          </w:p>
        </w:tc>
      </w:tr>
      <w:tr>
        <w:trPr>
          <w:trHeight w:val="230" w:hRule="atLeast"/>
        </w:trPr>
        <w:tc>
          <w:tcPr>
            <w:tcW w:w="1969" w:type="dxa"/>
          </w:tcPr>
          <w:p>
            <w:pPr>
              <w:pStyle w:val="TableParagraph"/>
              <w:spacing w:line="210" w:lineRule="exact"/>
              <w:ind w:left="648"/>
              <w:rPr>
                <w:sz w:val="20"/>
              </w:rPr>
            </w:pPr>
            <w:r>
              <w:rPr>
                <w:spacing w:val="-2"/>
                <w:sz w:val="20"/>
              </w:rPr>
              <w:t>D(INF,2)</w:t>
            </w:r>
          </w:p>
        </w:tc>
        <w:tc>
          <w:tcPr>
            <w:tcW w:w="1254" w:type="dxa"/>
          </w:tcPr>
          <w:p>
            <w:pPr>
              <w:pStyle w:val="TableParagraph"/>
              <w:spacing w:line="210" w:lineRule="exact"/>
              <w:ind w:left="239"/>
              <w:jc w:val="center"/>
              <w:rPr>
                <w:sz w:val="20"/>
              </w:rPr>
            </w:pPr>
            <w:r>
              <w:rPr>
                <w:spacing w:val="-2"/>
                <w:sz w:val="20"/>
              </w:rPr>
              <w:t>0.100925</w:t>
            </w:r>
          </w:p>
        </w:tc>
        <w:tc>
          <w:tcPr>
            <w:tcW w:w="1251" w:type="dxa"/>
          </w:tcPr>
          <w:p>
            <w:pPr>
              <w:pStyle w:val="TableParagraph"/>
              <w:spacing w:line="210" w:lineRule="exact"/>
              <w:ind w:left="174" w:right="53"/>
              <w:jc w:val="center"/>
              <w:rPr>
                <w:sz w:val="20"/>
              </w:rPr>
            </w:pPr>
            <w:r>
              <w:rPr>
                <w:spacing w:val="-2"/>
                <w:sz w:val="20"/>
              </w:rPr>
              <w:t>0.208266</w:t>
            </w:r>
          </w:p>
        </w:tc>
        <w:tc>
          <w:tcPr>
            <w:tcW w:w="1119" w:type="dxa"/>
          </w:tcPr>
          <w:p>
            <w:pPr>
              <w:pStyle w:val="TableParagraph"/>
              <w:spacing w:line="210" w:lineRule="exact"/>
              <w:ind w:left="137"/>
              <w:jc w:val="center"/>
              <w:rPr>
                <w:sz w:val="20"/>
              </w:rPr>
            </w:pPr>
            <w:r>
              <w:rPr>
                <w:spacing w:val="-2"/>
                <w:sz w:val="20"/>
              </w:rPr>
              <w:t>0.484599</w:t>
            </w:r>
          </w:p>
        </w:tc>
        <w:tc>
          <w:tcPr>
            <w:tcW w:w="897" w:type="dxa"/>
          </w:tcPr>
          <w:p>
            <w:pPr>
              <w:pStyle w:val="TableParagraph"/>
              <w:spacing w:line="210" w:lineRule="exact"/>
              <w:ind w:right="30"/>
              <w:jc w:val="right"/>
              <w:rPr>
                <w:sz w:val="20"/>
              </w:rPr>
            </w:pPr>
            <w:r>
              <w:rPr>
                <w:spacing w:val="-2"/>
                <w:sz w:val="20"/>
              </w:rPr>
              <w:t>0.6319</w:t>
            </w:r>
          </w:p>
        </w:tc>
      </w:tr>
      <w:tr>
        <w:trPr>
          <w:trHeight w:val="230" w:hRule="atLeast"/>
        </w:trPr>
        <w:tc>
          <w:tcPr>
            <w:tcW w:w="1969" w:type="dxa"/>
          </w:tcPr>
          <w:p>
            <w:pPr>
              <w:pStyle w:val="TableParagraph"/>
              <w:spacing w:line="210" w:lineRule="exact"/>
              <w:ind w:left="614"/>
              <w:rPr>
                <w:sz w:val="20"/>
              </w:rPr>
            </w:pPr>
            <w:r>
              <w:rPr>
                <w:spacing w:val="-2"/>
                <w:sz w:val="20"/>
              </w:rPr>
              <w:t>D(GCF,2)</w:t>
            </w:r>
          </w:p>
        </w:tc>
        <w:tc>
          <w:tcPr>
            <w:tcW w:w="1254" w:type="dxa"/>
          </w:tcPr>
          <w:p>
            <w:pPr>
              <w:pStyle w:val="TableParagraph"/>
              <w:spacing w:line="210" w:lineRule="exact"/>
              <w:ind w:left="175"/>
              <w:jc w:val="center"/>
              <w:rPr>
                <w:sz w:val="20"/>
              </w:rPr>
            </w:pPr>
            <w:r>
              <w:rPr>
                <w:spacing w:val="-4"/>
                <w:sz w:val="20"/>
              </w:rPr>
              <w:t>-</w:t>
            </w:r>
            <w:r>
              <w:rPr>
                <w:spacing w:val="-2"/>
                <w:sz w:val="20"/>
              </w:rPr>
              <w:t>0.048238</w:t>
            </w:r>
          </w:p>
        </w:tc>
        <w:tc>
          <w:tcPr>
            <w:tcW w:w="1251" w:type="dxa"/>
          </w:tcPr>
          <w:p>
            <w:pPr>
              <w:pStyle w:val="TableParagraph"/>
              <w:spacing w:line="210" w:lineRule="exact"/>
              <w:ind w:left="174" w:right="53"/>
              <w:jc w:val="center"/>
              <w:rPr>
                <w:sz w:val="20"/>
              </w:rPr>
            </w:pPr>
            <w:r>
              <w:rPr>
                <w:spacing w:val="-2"/>
                <w:sz w:val="20"/>
              </w:rPr>
              <w:t>0.068629</w:t>
            </w:r>
          </w:p>
        </w:tc>
        <w:tc>
          <w:tcPr>
            <w:tcW w:w="1119" w:type="dxa"/>
          </w:tcPr>
          <w:p>
            <w:pPr>
              <w:pStyle w:val="TableParagraph"/>
              <w:spacing w:line="210" w:lineRule="exact"/>
              <w:ind w:left="137" w:right="65"/>
              <w:jc w:val="center"/>
              <w:rPr>
                <w:sz w:val="20"/>
              </w:rPr>
            </w:pPr>
            <w:r>
              <w:rPr>
                <w:spacing w:val="-4"/>
                <w:sz w:val="20"/>
              </w:rPr>
              <w:t>-</w:t>
            </w:r>
            <w:r>
              <w:rPr>
                <w:spacing w:val="-2"/>
                <w:sz w:val="20"/>
              </w:rPr>
              <w:t>0.702876</w:t>
            </w:r>
          </w:p>
        </w:tc>
        <w:tc>
          <w:tcPr>
            <w:tcW w:w="897" w:type="dxa"/>
          </w:tcPr>
          <w:p>
            <w:pPr>
              <w:pStyle w:val="TableParagraph"/>
              <w:spacing w:line="210" w:lineRule="exact"/>
              <w:ind w:right="30"/>
              <w:jc w:val="right"/>
              <w:rPr>
                <w:sz w:val="20"/>
              </w:rPr>
            </w:pPr>
            <w:r>
              <w:rPr>
                <w:spacing w:val="-2"/>
                <w:sz w:val="20"/>
              </w:rPr>
              <w:t>0.4881</w:t>
            </w:r>
          </w:p>
        </w:tc>
      </w:tr>
      <w:tr>
        <w:trPr>
          <w:trHeight w:val="229" w:hRule="atLeast"/>
        </w:trPr>
        <w:tc>
          <w:tcPr>
            <w:tcW w:w="1969" w:type="dxa"/>
          </w:tcPr>
          <w:p>
            <w:pPr>
              <w:pStyle w:val="TableParagraph"/>
              <w:spacing w:line="209" w:lineRule="exact"/>
              <w:ind w:left="518"/>
              <w:rPr>
                <w:sz w:val="20"/>
              </w:rPr>
            </w:pPr>
            <w:r>
              <w:rPr>
                <w:spacing w:val="-2"/>
                <w:sz w:val="20"/>
              </w:rPr>
              <w:t>D(DR(-1),2)</w:t>
            </w:r>
          </w:p>
        </w:tc>
        <w:tc>
          <w:tcPr>
            <w:tcW w:w="1254" w:type="dxa"/>
          </w:tcPr>
          <w:p>
            <w:pPr>
              <w:pStyle w:val="TableParagraph"/>
              <w:spacing w:line="209" w:lineRule="exact"/>
              <w:ind w:left="239"/>
              <w:jc w:val="center"/>
              <w:rPr>
                <w:sz w:val="20"/>
              </w:rPr>
            </w:pPr>
            <w:r>
              <w:rPr>
                <w:spacing w:val="-2"/>
                <w:sz w:val="20"/>
              </w:rPr>
              <w:t>0.592191</w:t>
            </w:r>
          </w:p>
        </w:tc>
        <w:tc>
          <w:tcPr>
            <w:tcW w:w="1251" w:type="dxa"/>
          </w:tcPr>
          <w:p>
            <w:pPr>
              <w:pStyle w:val="TableParagraph"/>
              <w:spacing w:line="209" w:lineRule="exact"/>
              <w:ind w:left="174" w:right="53"/>
              <w:jc w:val="center"/>
              <w:rPr>
                <w:sz w:val="20"/>
              </w:rPr>
            </w:pPr>
            <w:r>
              <w:rPr>
                <w:spacing w:val="-2"/>
                <w:sz w:val="20"/>
              </w:rPr>
              <w:t>0.793468</w:t>
            </w:r>
          </w:p>
        </w:tc>
        <w:tc>
          <w:tcPr>
            <w:tcW w:w="1119" w:type="dxa"/>
          </w:tcPr>
          <w:p>
            <w:pPr>
              <w:pStyle w:val="TableParagraph"/>
              <w:spacing w:line="209" w:lineRule="exact"/>
              <w:ind w:left="137"/>
              <w:jc w:val="center"/>
              <w:rPr>
                <w:sz w:val="20"/>
              </w:rPr>
            </w:pPr>
            <w:r>
              <w:rPr>
                <w:spacing w:val="-2"/>
                <w:sz w:val="20"/>
              </w:rPr>
              <w:t>0.746333</w:t>
            </w:r>
          </w:p>
        </w:tc>
        <w:tc>
          <w:tcPr>
            <w:tcW w:w="897" w:type="dxa"/>
          </w:tcPr>
          <w:p>
            <w:pPr>
              <w:pStyle w:val="TableParagraph"/>
              <w:spacing w:line="209" w:lineRule="exact"/>
              <w:ind w:right="30"/>
              <w:jc w:val="right"/>
              <w:rPr>
                <w:sz w:val="20"/>
              </w:rPr>
            </w:pPr>
            <w:r>
              <w:rPr>
                <w:spacing w:val="-2"/>
                <w:sz w:val="20"/>
              </w:rPr>
              <w:t>0.4619</w:t>
            </w:r>
          </w:p>
        </w:tc>
      </w:tr>
      <w:tr>
        <w:trPr>
          <w:trHeight w:val="229" w:hRule="atLeast"/>
        </w:trPr>
        <w:tc>
          <w:tcPr>
            <w:tcW w:w="1969" w:type="dxa"/>
          </w:tcPr>
          <w:p>
            <w:pPr>
              <w:pStyle w:val="TableParagraph"/>
              <w:spacing w:line="210" w:lineRule="exact"/>
              <w:ind w:left="298"/>
              <w:rPr>
                <w:sz w:val="20"/>
              </w:rPr>
            </w:pPr>
            <w:r>
              <w:rPr>
                <w:spacing w:val="-2"/>
                <w:sz w:val="20"/>
              </w:rPr>
              <w:t>D(PRIVCR(-1),2)</w:t>
            </w:r>
          </w:p>
        </w:tc>
        <w:tc>
          <w:tcPr>
            <w:tcW w:w="1254" w:type="dxa"/>
          </w:tcPr>
          <w:p>
            <w:pPr>
              <w:pStyle w:val="TableParagraph"/>
              <w:spacing w:line="210" w:lineRule="exact"/>
              <w:ind w:left="175"/>
              <w:jc w:val="center"/>
              <w:rPr>
                <w:sz w:val="20"/>
              </w:rPr>
            </w:pPr>
            <w:r>
              <w:rPr>
                <w:spacing w:val="-4"/>
                <w:sz w:val="20"/>
              </w:rPr>
              <w:t>-</w:t>
            </w:r>
            <w:r>
              <w:rPr>
                <w:spacing w:val="-2"/>
                <w:sz w:val="20"/>
              </w:rPr>
              <w:t>1.998049</w:t>
            </w:r>
          </w:p>
        </w:tc>
        <w:tc>
          <w:tcPr>
            <w:tcW w:w="1251" w:type="dxa"/>
          </w:tcPr>
          <w:p>
            <w:pPr>
              <w:pStyle w:val="TableParagraph"/>
              <w:spacing w:line="210" w:lineRule="exact"/>
              <w:ind w:left="174" w:right="53"/>
              <w:jc w:val="center"/>
              <w:rPr>
                <w:sz w:val="20"/>
              </w:rPr>
            </w:pPr>
            <w:r>
              <w:rPr>
                <w:spacing w:val="-2"/>
                <w:sz w:val="20"/>
              </w:rPr>
              <w:t>1.597741</w:t>
            </w:r>
          </w:p>
        </w:tc>
        <w:tc>
          <w:tcPr>
            <w:tcW w:w="1119" w:type="dxa"/>
          </w:tcPr>
          <w:p>
            <w:pPr>
              <w:pStyle w:val="TableParagraph"/>
              <w:spacing w:line="210" w:lineRule="exact"/>
              <w:ind w:left="137" w:right="65"/>
              <w:jc w:val="center"/>
              <w:rPr>
                <w:sz w:val="20"/>
              </w:rPr>
            </w:pPr>
            <w:r>
              <w:rPr>
                <w:spacing w:val="-4"/>
                <w:sz w:val="20"/>
              </w:rPr>
              <w:t>-</w:t>
            </w:r>
            <w:r>
              <w:rPr>
                <w:spacing w:val="-2"/>
                <w:sz w:val="20"/>
              </w:rPr>
              <w:t>1.250547</w:t>
            </w:r>
          </w:p>
        </w:tc>
        <w:tc>
          <w:tcPr>
            <w:tcW w:w="897" w:type="dxa"/>
          </w:tcPr>
          <w:p>
            <w:pPr>
              <w:pStyle w:val="TableParagraph"/>
              <w:spacing w:line="210" w:lineRule="exact"/>
              <w:ind w:right="30"/>
              <w:jc w:val="right"/>
              <w:rPr>
                <w:sz w:val="20"/>
              </w:rPr>
            </w:pPr>
            <w:r>
              <w:rPr>
                <w:spacing w:val="-2"/>
                <w:sz w:val="20"/>
              </w:rPr>
              <w:t>0.2218</w:t>
            </w:r>
          </w:p>
        </w:tc>
      </w:tr>
      <w:tr>
        <w:trPr>
          <w:trHeight w:val="230" w:hRule="atLeast"/>
        </w:trPr>
        <w:tc>
          <w:tcPr>
            <w:tcW w:w="1969" w:type="dxa"/>
          </w:tcPr>
          <w:p>
            <w:pPr>
              <w:pStyle w:val="TableParagraph"/>
              <w:spacing w:line="210" w:lineRule="exact"/>
              <w:ind w:left="509"/>
              <w:rPr>
                <w:sz w:val="20"/>
              </w:rPr>
            </w:pPr>
            <w:r>
              <w:rPr>
                <w:spacing w:val="-2"/>
                <w:sz w:val="20"/>
              </w:rPr>
              <w:t>D(USIRD,2)</w:t>
            </w:r>
          </w:p>
        </w:tc>
        <w:tc>
          <w:tcPr>
            <w:tcW w:w="1254" w:type="dxa"/>
          </w:tcPr>
          <w:p>
            <w:pPr>
              <w:pStyle w:val="TableParagraph"/>
              <w:spacing w:line="210" w:lineRule="exact"/>
              <w:ind w:left="239"/>
              <w:jc w:val="center"/>
              <w:rPr>
                <w:sz w:val="20"/>
              </w:rPr>
            </w:pPr>
            <w:r>
              <w:rPr>
                <w:spacing w:val="-2"/>
                <w:sz w:val="20"/>
              </w:rPr>
              <w:t>0.403307</w:t>
            </w:r>
          </w:p>
        </w:tc>
        <w:tc>
          <w:tcPr>
            <w:tcW w:w="1251" w:type="dxa"/>
          </w:tcPr>
          <w:p>
            <w:pPr>
              <w:pStyle w:val="TableParagraph"/>
              <w:spacing w:line="210" w:lineRule="exact"/>
              <w:ind w:left="174" w:right="53"/>
              <w:jc w:val="center"/>
              <w:rPr>
                <w:sz w:val="20"/>
              </w:rPr>
            </w:pPr>
            <w:r>
              <w:rPr>
                <w:spacing w:val="-2"/>
                <w:sz w:val="20"/>
              </w:rPr>
              <w:t>0.278648</w:t>
            </w:r>
          </w:p>
        </w:tc>
        <w:tc>
          <w:tcPr>
            <w:tcW w:w="1119" w:type="dxa"/>
          </w:tcPr>
          <w:p>
            <w:pPr>
              <w:pStyle w:val="TableParagraph"/>
              <w:spacing w:line="210" w:lineRule="exact"/>
              <w:ind w:left="137"/>
              <w:jc w:val="center"/>
              <w:rPr>
                <w:sz w:val="20"/>
              </w:rPr>
            </w:pPr>
            <w:r>
              <w:rPr>
                <w:spacing w:val="-2"/>
                <w:sz w:val="20"/>
              </w:rPr>
              <w:t>1.447371</w:t>
            </w:r>
          </w:p>
        </w:tc>
        <w:tc>
          <w:tcPr>
            <w:tcW w:w="897" w:type="dxa"/>
          </w:tcPr>
          <w:p>
            <w:pPr>
              <w:pStyle w:val="TableParagraph"/>
              <w:spacing w:line="210" w:lineRule="exact"/>
              <w:ind w:right="30"/>
              <w:jc w:val="right"/>
              <w:rPr>
                <w:sz w:val="20"/>
              </w:rPr>
            </w:pPr>
            <w:r>
              <w:rPr>
                <w:spacing w:val="-2"/>
                <w:sz w:val="20"/>
              </w:rPr>
              <w:t>0.1593</w:t>
            </w:r>
          </w:p>
        </w:tc>
      </w:tr>
      <w:tr>
        <w:trPr>
          <w:trHeight w:val="230" w:hRule="atLeast"/>
        </w:trPr>
        <w:tc>
          <w:tcPr>
            <w:tcW w:w="1969" w:type="dxa"/>
          </w:tcPr>
          <w:p>
            <w:pPr>
              <w:pStyle w:val="TableParagraph"/>
              <w:spacing w:line="210" w:lineRule="exact"/>
              <w:ind w:left="535"/>
              <w:rPr>
                <w:sz w:val="20"/>
              </w:rPr>
            </w:pPr>
            <w:r>
              <w:rPr>
                <w:spacing w:val="-2"/>
                <w:sz w:val="20"/>
              </w:rPr>
              <w:t>D(GOCE,2)</w:t>
            </w:r>
          </w:p>
        </w:tc>
        <w:tc>
          <w:tcPr>
            <w:tcW w:w="1254" w:type="dxa"/>
          </w:tcPr>
          <w:p>
            <w:pPr>
              <w:pStyle w:val="TableParagraph"/>
              <w:spacing w:line="210" w:lineRule="exact"/>
              <w:ind w:left="239"/>
              <w:jc w:val="center"/>
              <w:rPr>
                <w:sz w:val="20"/>
              </w:rPr>
            </w:pPr>
            <w:r>
              <w:rPr>
                <w:spacing w:val="-2"/>
                <w:sz w:val="20"/>
              </w:rPr>
              <w:t>0.920045</w:t>
            </w:r>
          </w:p>
        </w:tc>
        <w:tc>
          <w:tcPr>
            <w:tcW w:w="1251" w:type="dxa"/>
          </w:tcPr>
          <w:p>
            <w:pPr>
              <w:pStyle w:val="TableParagraph"/>
              <w:spacing w:line="210" w:lineRule="exact"/>
              <w:ind w:left="174" w:right="53"/>
              <w:jc w:val="center"/>
              <w:rPr>
                <w:sz w:val="20"/>
              </w:rPr>
            </w:pPr>
            <w:r>
              <w:rPr>
                <w:spacing w:val="-2"/>
                <w:sz w:val="20"/>
              </w:rPr>
              <w:t>0.781819</w:t>
            </w:r>
          </w:p>
        </w:tc>
        <w:tc>
          <w:tcPr>
            <w:tcW w:w="1119" w:type="dxa"/>
          </w:tcPr>
          <w:p>
            <w:pPr>
              <w:pStyle w:val="TableParagraph"/>
              <w:spacing w:line="210" w:lineRule="exact"/>
              <w:ind w:left="137"/>
              <w:jc w:val="center"/>
              <w:rPr>
                <w:sz w:val="20"/>
              </w:rPr>
            </w:pPr>
            <w:r>
              <w:rPr>
                <w:spacing w:val="-2"/>
                <w:sz w:val="20"/>
              </w:rPr>
              <w:t>1.176800</w:t>
            </w:r>
          </w:p>
        </w:tc>
        <w:tc>
          <w:tcPr>
            <w:tcW w:w="897" w:type="dxa"/>
          </w:tcPr>
          <w:p>
            <w:pPr>
              <w:pStyle w:val="TableParagraph"/>
              <w:spacing w:line="210" w:lineRule="exact"/>
              <w:ind w:right="30"/>
              <w:jc w:val="right"/>
              <w:rPr>
                <w:sz w:val="20"/>
              </w:rPr>
            </w:pPr>
            <w:r>
              <w:rPr>
                <w:spacing w:val="-2"/>
                <w:sz w:val="20"/>
              </w:rPr>
              <w:t>0.2495</w:t>
            </w:r>
          </w:p>
        </w:tc>
      </w:tr>
      <w:tr>
        <w:trPr>
          <w:trHeight w:val="224" w:hRule="atLeast"/>
        </w:trPr>
        <w:tc>
          <w:tcPr>
            <w:tcW w:w="1969" w:type="dxa"/>
            <w:tcBorders>
              <w:bottom w:val="double" w:sz="6" w:space="0" w:color="000000"/>
            </w:tcBorders>
          </w:tcPr>
          <w:p>
            <w:pPr>
              <w:pStyle w:val="TableParagraph"/>
              <w:spacing w:line="205" w:lineRule="exact"/>
              <w:ind w:left="655"/>
              <w:rPr>
                <w:sz w:val="20"/>
              </w:rPr>
            </w:pPr>
            <w:r>
              <w:rPr>
                <w:spacing w:val="-2"/>
                <w:sz w:val="20"/>
              </w:rPr>
              <w:t>ECM(-</w:t>
            </w:r>
            <w:r>
              <w:rPr>
                <w:spacing w:val="-5"/>
                <w:sz w:val="20"/>
              </w:rPr>
              <w:t>1)</w:t>
            </w:r>
          </w:p>
        </w:tc>
        <w:tc>
          <w:tcPr>
            <w:tcW w:w="1254" w:type="dxa"/>
            <w:tcBorders>
              <w:bottom w:val="double" w:sz="6" w:space="0" w:color="000000"/>
            </w:tcBorders>
          </w:tcPr>
          <w:p>
            <w:pPr>
              <w:pStyle w:val="TableParagraph"/>
              <w:spacing w:line="205" w:lineRule="exact"/>
              <w:ind w:left="175"/>
              <w:jc w:val="center"/>
              <w:rPr>
                <w:sz w:val="20"/>
              </w:rPr>
            </w:pPr>
            <w:r>
              <w:rPr>
                <w:spacing w:val="-4"/>
                <w:sz w:val="20"/>
              </w:rPr>
              <w:t>-</w:t>
            </w:r>
            <w:r>
              <w:rPr>
                <w:spacing w:val="-2"/>
                <w:sz w:val="20"/>
              </w:rPr>
              <w:t>1.522111</w:t>
            </w:r>
          </w:p>
        </w:tc>
        <w:tc>
          <w:tcPr>
            <w:tcW w:w="1251" w:type="dxa"/>
            <w:tcBorders>
              <w:bottom w:val="double" w:sz="6" w:space="0" w:color="000000"/>
            </w:tcBorders>
          </w:tcPr>
          <w:p>
            <w:pPr>
              <w:pStyle w:val="TableParagraph"/>
              <w:spacing w:line="205" w:lineRule="exact"/>
              <w:ind w:left="174" w:right="53"/>
              <w:jc w:val="center"/>
              <w:rPr>
                <w:sz w:val="20"/>
              </w:rPr>
            </w:pPr>
            <w:r>
              <w:rPr>
                <w:spacing w:val="-2"/>
                <w:sz w:val="20"/>
              </w:rPr>
              <w:t>0.226557</w:t>
            </w:r>
          </w:p>
        </w:tc>
        <w:tc>
          <w:tcPr>
            <w:tcW w:w="1119" w:type="dxa"/>
            <w:tcBorders>
              <w:bottom w:val="double" w:sz="6" w:space="0" w:color="000000"/>
            </w:tcBorders>
          </w:tcPr>
          <w:p>
            <w:pPr>
              <w:pStyle w:val="TableParagraph"/>
              <w:spacing w:line="205" w:lineRule="exact"/>
              <w:ind w:left="137" w:right="65"/>
              <w:jc w:val="center"/>
              <w:rPr>
                <w:sz w:val="20"/>
              </w:rPr>
            </w:pPr>
            <w:r>
              <w:rPr>
                <w:spacing w:val="-4"/>
                <w:sz w:val="20"/>
              </w:rPr>
              <w:t>-</w:t>
            </w:r>
            <w:r>
              <w:rPr>
                <w:spacing w:val="-2"/>
                <w:sz w:val="20"/>
              </w:rPr>
              <w:t>6.718456</w:t>
            </w:r>
          </w:p>
        </w:tc>
        <w:tc>
          <w:tcPr>
            <w:tcW w:w="897" w:type="dxa"/>
            <w:tcBorders>
              <w:bottom w:val="double" w:sz="6" w:space="0" w:color="000000"/>
            </w:tcBorders>
          </w:tcPr>
          <w:p>
            <w:pPr>
              <w:pStyle w:val="TableParagraph"/>
              <w:spacing w:line="205" w:lineRule="exact"/>
              <w:ind w:right="30"/>
              <w:jc w:val="right"/>
              <w:rPr>
                <w:sz w:val="20"/>
              </w:rPr>
            </w:pPr>
            <w:r>
              <w:rPr>
                <w:spacing w:val="-2"/>
                <w:sz w:val="20"/>
              </w:rPr>
              <w:t>0.0000</w:t>
            </w:r>
          </w:p>
        </w:tc>
      </w:tr>
      <w:tr>
        <w:trPr>
          <w:trHeight w:val="275" w:hRule="atLeast"/>
        </w:trPr>
        <w:tc>
          <w:tcPr>
            <w:tcW w:w="1969" w:type="dxa"/>
            <w:tcBorders>
              <w:top w:val="double" w:sz="6" w:space="0" w:color="000000"/>
            </w:tcBorders>
          </w:tcPr>
          <w:p>
            <w:pPr>
              <w:pStyle w:val="TableParagraph"/>
              <w:spacing w:line="215" w:lineRule="exact" w:before="40"/>
              <w:ind w:left="36"/>
              <w:rPr>
                <w:sz w:val="20"/>
              </w:rPr>
            </w:pPr>
            <w:r>
              <w:rPr>
                <w:spacing w:val="-2"/>
                <w:sz w:val="20"/>
              </w:rPr>
              <w:t>R-squared</w:t>
            </w:r>
          </w:p>
        </w:tc>
        <w:tc>
          <w:tcPr>
            <w:tcW w:w="1254" w:type="dxa"/>
            <w:tcBorders>
              <w:top w:val="double" w:sz="6" w:space="0" w:color="000000"/>
            </w:tcBorders>
          </w:tcPr>
          <w:p>
            <w:pPr>
              <w:pStyle w:val="TableParagraph"/>
              <w:spacing w:line="215" w:lineRule="exact" w:before="40"/>
              <w:ind w:left="239"/>
              <w:jc w:val="center"/>
              <w:rPr>
                <w:sz w:val="20"/>
              </w:rPr>
            </w:pPr>
            <w:r>
              <w:rPr>
                <w:spacing w:val="-2"/>
                <w:sz w:val="20"/>
              </w:rPr>
              <w:t>0.805508</w:t>
            </w:r>
          </w:p>
        </w:tc>
        <w:tc>
          <w:tcPr>
            <w:tcW w:w="2370" w:type="dxa"/>
            <w:gridSpan w:val="2"/>
            <w:tcBorders>
              <w:top w:val="double" w:sz="6" w:space="0" w:color="000000"/>
            </w:tcBorders>
          </w:tcPr>
          <w:p>
            <w:pPr>
              <w:pStyle w:val="TableParagraph"/>
              <w:spacing w:line="215" w:lineRule="exact" w:before="40"/>
              <w:ind w:left="130"/>
              <w:rPr>
                <w:sz w:val="20"/>
              </w:rPr>
            </w:pPr>
            <w:r>
              <w:rPr>
                <w:sz w:val="20"/>
              </w:rPr>
              <w:t>Mean</w:t>
            </w:r>
            <w:r>
              <w:rPr>
                <w:spacing w:val="-7"/>
                <w:sz w:val="20"/>
              </w:rPr>
              <w:t> </w:t>
            </w:r>
            <w:r>
              <w:rPr>
                <w:sz w:val="20"/>
              </w:rPr>
              <w:t>dependent</w:t>
            </w:r>
            <w:r>
              <w:rPr>
                <w:spacing w:val="-7"/>
                <w:sz w:val="20"/>
              </w:rPr>
              <w:t> </w:t>
            </w:r>
            <w:r>
              <w:rPr>
                <w:spacing w:val="-5"/>
                <w:sz w:val="20"/>
              </w:rPr>
              <w:t>var</w:t>
            </w:r>
          </w:p>
        </w:tc>
        <w:tc>
          <w:tcPr>
            <w:tcW w:w="897" w:type="dxa"/>
            <w:tcBorders>
              <w:top w:val="double" w:sz="6" w:space="0" w:color="000000"/>
            </w:tcBorders>
          </w:tcPr>
          <w:p>
            <w:pPr>
              <w:pStyle w:val="TableParagraph"/>
              <w:spacing w:line="215" w:lineRule="exact" w:before="40"/>
              <w:ind w:right="30"/>
              <w:jc w:val="right"/>
              <w:rPr>
                <w:sz w:val="20"/>
              </w:rPr>
            </w:pPr>
            <w:r>
              <w:rPr>
                <w:spacing w:val="-2"/>
                <w:sz w:val="20"/>
              </w:rPr>
              <w:t>0.044053</w:t>
            </w:r>
          </w:p>
        </w:tc>
      </w:tr>
      <w:tr>
        <w:trPr>
          <w:trHeight w:val="230" w:hRule="atLeast"/>
        </w:trPr>
        <w:tc>
          <w:tcPr>
            <w:tcW w:w="1969" w:type="dxa"/>
          </w:tcPr>
          <w:p>
            <w:pPr>
              <w:pStyle w:val="TableParagraph"/>
              <w:spacing w:line="210" w:lineRule="exact"/>
              <w:ind w:left="36"/>
              <w:rPr>
                <w:sz w:val="20"/>
              </w:rPr>
            </w:pPr>
            <w:r>
              <w:rPr>
                <w:sz w:val="20"/>
              </w:rPr>
              <w:t>Adjusted</w:t>
            </w:r>
            <w:r>
              <w:rPr>
                <w:spacing w:val="-10"/>
                <w:sz w:val="20"/>
              </w:rPr>
              <w:t> </w:t>
            </w:r>
            <w:r>
              <w:rPr>
                <w:sz w:val="20"/>
              </w:rPr>
              <w:t>R-</w:t>
            </w:r>
            <w:r>
              <w:rPr>
                <w:spacing w:val="-2"/>
                <w:sz w:val="20"/>
              </w:rPr>
              <w:t>squared</w:t>
            </w:r>
          </w:p>
        </w:tc>
        <w:tc>
          <w:tcPr>
            <w:tcW w:w="1254" w:type="dxa"/>
          </w:tcPr>
          <w:p>
            <w:pPr>
              <w:pStyle w:val="TableParagraph"/>
              <w:spacing w:line="210" w:lineRule="exact"/>
              <w:ind w:left="239"/>
              <w:jc w:val="center"/>
              <w:rPr>
                <w:sz w:val="20"/>
              </w:rPr>
            </w:pPr>
            <w:r>
              <w:rPr>
                <w:spacing w:val="-2"/>
                <w:sz w:val="20"/>
              </w:rPr>
              <w:t>0.747880</w:t>
            </w:r>
          </w:p>
        </w:tc>
        <w:tc>
          <w:tcPr>
            <w:tcW w:w="2370" w:type="dxa"/>
            <w:gridSpan w:val="2"/>
          </w:tcPr>
          <w:p>
            <w:pPr>
              <w:pStyle w:val="TableParagraph"/>
              <w:spacing w:line="210" w:lineRule="exact"/>
              <w:ind w:left="130"/>
              <w:rPr>
                <w:sz w:val="20"/>
              </w:rPr>
            </w:pPr>
            <w:r>
              <w:rPr>
                <w:sz w:val="20"/>
              </w:rPr>
              <w:t>S.D.</w:t>
            </w:r>
            <w:r>
              <w:rPr>
                <w:spacing w:val="-5"/>
                <w:sz w:val="20"/>
              </w:rPr>
              <w:t> </w:t>
            </w:r>
            <w:r>
              <w:rPr>
                <w:sz w:val="20"/>
              </w:rPr>
              <w:t>dependent</w:t>
            </w:r>
            <w:r>
              <w:rPr>
                <w:spacing w:val="-6"/>
                <w:sz w:val="20"/>
              </w:rPr>
              <w:t> </w:t>
            </w:r>
            <w:r>
              <w:rPr>
                <w:spacing w:val="-5"/>
                <w:sz w:val="20"/>
              </w:rPr>
              <w:t>var</w:t>
            </w:r>
          </w:p>
        </w:tc>
        <w:tc>
          <w:tcPr>
            <w:tcW w:w="897" w:type="dxa"/>
          </w:tcPr>
          <w:p>
            <w:pPr>
              <w:pStyle w:val="TableParagraph"/>
              <w:spacing w:line="210" w:lineRule="exact"/>
              <w:ind w:right="30"/>
              <w:jc w:val="right"/>
              <w:rPr>
                <w:sz w:val="20"/>
              </w:rPr>
            </w:pPr>
            <w:r>
              <w:rPr>
                <w:spacing w:val="-2"/>
                <w:sz w:val="20"/>
              </w:rPr>
              <w:t>2.609105</w:t>
            </w:r>
          </w:p>
        </w:tc>
      </w:tr>
      <w:tr>
        <w:trPr>
          <w:trHeight w:val="230" w:hRule="atLeast"/>
        </w:trPr>
        <w:tc>
          <w:tcPr>
            <w:tcW w:w="1969" w:type="dxa"/>
          </w:tcPr>
          <w:p>
            <w:pPr>
              <w:pStyle w:val="TableParagraph"/>
              <w:spacing w:line="210" w:lineRule="exact"/>
              <w:ind w:left="36"/>
              <w:rPr>
                <w:sz w:val="20"/>
              </w:rPr>
            </w:pPr>
            <w:r>
              <w:rPr>
                <w:sz w:val="20"/>
              </w:rPr>
              <w:t>S.E.</w:t>
            </w:r>
            <w:r>
              <w:rPr>
                <w:spacing w:val="-3"/>
                <w:sz w:val="20"/>
              </w:rPr>
              <w:t> </w:t>
            </w:r>
            <w:r>
              <w:rPr>
                <w:sz w:val="20"/>
              </w:rPr>
              <w:t>of</w:t>
            </w:r>
            <w:r>
              <w:rPr>
                <w:spacing w:val="-3"/>
                <w:sz w:val="20"/>
              </w:rPr>
              <w:t> </w:t>
            </w:r>
            <w:r>
              <w:rPr>
                <w:spacing w:val="-2"/>
                <w:sz w:val="20"/>
              </w:rPr>
              <w:t>regression</w:t>
            </w:r>
          </w:p>
        </w:tc>
        <w:tc>
          <w:tcPr>
            <w:tcW w:w="1254" w:type="dxa"/>
          </w:tcPr>
          <w:p>
            <w:pPr>
              <w:pStyle w:val="TableParagraph"/>
              <w:spacing w:line="210" w:lineRule="exact"/>
              <w:ind w:left="239"/>
              <w:jc w:val="center"/>
              <w:rPr>
                <w:sz w:val="20"/>
              </w:rPr>
            </w:pPr>
            <w:r>
              <w:rPr>
                <w:spacing w:val="-2"/>
                <w:sz w:val="20"/>
              </w:rPr>
              <w:t>1.310072</w:t>
            </w:r>
          </w:p>
        </w:tc>
        <w:tc>
          <w:tcPr>
            <w:tcW w:w="2370" w:type="dxa"/>
            <w:gridSpan w:val="2"/>
          </w:tcPr>
          <w:p>
            <w:pPr>
              <w:pStyle w:val="TableParagraph"/>
              <w:spacing w:line="210" w:lineRule="exact"/>
              <w:ind w:left="130"/>
              <w:rPr>
                <w:sz w:val="20"/>
              </w:rPr>
            </w:pPr>
            <w:r>
              <w:rPr>
                <w:sz w:val="20"/>
              </w:rPr>
              <w:t>Akaike</w:t>
            </w:r>
            <w:r>
              <w:rPr>
                <w:spacing w:val="-8"/>
                <w:sz w:val="20"/>
              </w:rPr>
              <w:t> </w:t>
            </w:r>
            <w:r>
              <w:rPr>
                <w:sz w:val="20"/>
              </w:rPr>
              <w:t>info</w:t>
            </w:r>
            <w:r>
              <w:rPr>
                <w:spacing w:val="-7"/>
                <w:sz w:val="20"/>
              </w:rPr>
              <w:t> </w:t>
            </w:r>
            <w:r>
              <w:rPr>
                <w:spacing w:val="-2"/>
                <w:sz w:val="20"/>
              </w:rPr>
              <w:t>criterion</w:t>
            </w:r>
          </w:p>
        </w:tc>
        <w:tc>
          <w:tcPr>
            <w:tcW w:w="897" w:type="dxa"/>
          </w:tcPr>
          <w:p>
            <w:pPr>
              <w:pStyle w:val="TableParagraph"/>
              <w:spacing w:line="210" w:lineRule="exact"/>
              <w:ind w:right="30"/>
              <w:jc w:val="right"/>
              <w:rPr>
                <w:sz w:val="20"/>
              </w:rPr>
            </w:pPr>
            <w:r>
              <w:rPr>
                <w:spacing w:val="-2"/>
                <w:sz w:val="20"/>
              </w:rPr>
              <w:t>3.590359</w:t>
            </w:r>
          </w:p>
        </w:tc>
      </w:tr>
      <w:tr>
        <w:trPr>
          <w:trHeight w:val="229" w:hRule="atLeast"/>
        </w:trPr>
        <w:tc>
          <w:tcPr>
            <w:tcW w:w="1969" w:type="dxa"/>
          </w:tcPr>
          <w:p>
            <w:pPr>
              <w:pStyle w:val="TableParagraph"/>
              <w:spacing w:line="209" w:lineRule="exact"/>
              <w:ind w:left="36"/>
              <w:rPr>
                <w:sz w:val="20"/>
              </w:rPr>
            </w:pPr>
            <w:r>
              <w:rPr>
                <w:sz w:val="20"/>
              </w:rPr>
              <w:t>Sum</w:t>
            </w:r>
            <w:r>
              <w:rPr>
                <w:spacing w:val="-8"/>
                <w:sz w:val="20"/>
              </w:rPr>
              <w:t> </w:t>
            </w:r>
            <w:r>
              <w:rPr>
                <w:sz w:val="20"/>
              </w:rPr>
              <w:t>squared</w:t>
            </w:r>
            <w:r>
              <w:rPr>
                <w:spacing w:val="-4"/>
                <w:sz w:val="20"/>
              </w:rPr>
              <w:t> </w:t>
            </w:r>
            <w:r>
              <w:rPr>
                <w:spacing w:val="-2"/>
                <w:sz w:val="20"/>
              </w:rPr>
              <w:t>resid</w:t>
            </w:r>
          </w:p>
        </w:tc>
        <w:tc>
          <w:tcPr>
            <w:tcW w:w="1254" w:type="dxa"/>
          </w:tcPr>
          <w:p>
            <w:pPr>
              <w:pStyle w:val="TableParagraph"/>
              <w:spacing w:line="209" w:lineRule="exact"/>
              <w:ind w:left="239"/>
              <w:jc w:val="center"/>
              <w:rPr>
                <w:sz w:val="20"/>
              </w:rPr>
            </w:pPr>
            <w:r>
              <w:rPr>
                <w:spacing w:val="-2"/>
                <w:sz w:val="20"/>
              </w:rPr>
              <w:t>46.33977</w:t>
            </w:r>
          </w:p>
        </w:tc>
        <w:tc>
          <w:tcPr>
            <w:tcW w:w="2370" w:type="dxa"/>
            <w:gridSpan w:val="2"/>
          </w:tcPr>
          <w:p>
            <w:pPr>
              <w:pStyle w:val="TableParagraph"/>
              <w:spacing w:line="209" w:lineRule="exact"/>
              <w:ind w:left="130"/>
              <w:rPr>
                <w:sz w:val="20"/>
              </w:rPr>
            </w:pPr>
            <w:r>
              <w:rPr>
                <w:sz w:val="20"/>
              </w:rPr>
              <w:t>Schwarz</w:t>
            </w:r>
            <w:r>
              <w:rPr>
                <w:spacing w:val="-8"/>
                <w:sz w:val="20"/>
              </w:rPr>
              <w:t> </w:t>
            </w:r>
            <w:r>
              <w:rPr>
                <w:spacing w:val="-2"/>
                <w:sz w:val="20"/>
              </w:rPr>
              <w:t>criterion</w:t>
            </w:r>
          </w:p>
        </w:tc>
        <w:tc>
          <w:tcPr>
            <w:tcW w:w="897" w:type="dxa"/>
          </w:tcPr>
          <w:p>
            <w:pPr>
              <w:pStyle w:val="TableParagraph"/>
              <w:spacing w:line="209" w:lineRule="exact"/>
              <w:ind w:right="30"/>
              <w:jc w:val="right"/>
              <w:rPr>
                <w:sz w:val="20"/>
              </w:rPr>
            </w:pPr>
            <w:r>
              <w:rPr>
                <w:spacing w:val="-2"/>
                <w:sz w:val="20"/>
              </w:rPr>
              <w:t>3.986238</w:t>
            </w:r>
          </w:p>
        </w:tc>
      </w:tr>
      <w:tr>
        <w:trPr>
          <w:trHeight w:val="266" w:hRule="atLeast"/>
        </w:trPr>
        <w:tc>
          <w:tcPr>
            <w:tcW w:w="1969" w:type="dxa"/>
            <w:tcBorders>
              <w:bottom w:val="double" w:sz="6" w:space="0" w:color="000000"/>
            </w:tcBorders>
          </w:tcPr>
          <w:p>
            <w:pPr>
              <w:pStyle w:val="TableParagraph"/>
              <w:spacing w:line="224" w:lineRule="exact"/>
              <w:ind w:left="36"/>
              <w:rPr>
                <w:sz w:val="20"/>
              </w:rPr>
            </w:pPr>
            <w:r>
              <w:rPr>
                <w:sz w:val="20"/>
              </w:rPr>
              <w:t>Log</w:t>
            </w:r>
            <w:r>
              <w:rPr>
                <w:spacing w:val="-6"/>
                <w:sz w:val="20"/>
              </w:rPr>
              <w:t> </w:t>
            </w:r>
            <w:r>
              <w:rPr>
                <w:spacing w:val="-2"/>
                <w:sz w:val="20"/>
              </w:rPr>
              <w:t>likelihood</w:t>
            </w:r>
          </w:p>
        </w:tc>
        <w:tc>
          <w:tcPr>
            <w:tcW w:w="1254" w:type="dxa"/>
          </w:tcPr>
          <w:p>
            <w:pPr>
              <w:pStyle w:val="TableParagraph"/>
              <w:spacing w:line="224" w:lineRule="exact"/>
              <w:ind w:left="175"/>
              <w:jc w:val="center"/>
              <w:rPr>
                <w:sz w:val="20"/>
              </w:rPr>
            </w:pPr>
            <w:r>
              <w:rPr>
                <w:spacing w:val="-4"/>
                <w:sz w:val="20"/>
              </w:rPr>
              <w:t>-</w:t>
            </w:r>
            <w:r>
              <w:rPr>
                <w:spacing w:val="-2"/>
                <w:sz w:val="20"/>
              </w:rPr>
              <w:t>55.62646</w:t>
            </w:r>
          </w:p>
        </w:tc>
        <w:tc>
          <w:tcPr>
            <w:tcW w:w="2370" w:type="dxa"/>
            <w:gridSpan w:val="2"/>
            <w:tcBorders>
              <w:bottom w:val="single" w:sz="6" w:space="0" w:color="000000"/>
            </w:tcBorders>
          </w:tcPr>
          <w:p>
            <w:pPr>
              <w:pStyle w:val="TableParagraph"/>
              <w:spacing w:line="224" w:lineRule="exact"/>
              <w:ind w:left="130"/>
              <w:rPr>
                <w:sz w:val="20"/>
              </w:rPr>
            </w:pPr>
            <w:r>
              <w:rPr>
                <w:spacing w:val="-2"/>
                <w:sz w:val="20"/>
              </w:rPr>
              <w:t>Durbin-Watson</w:t>
            </w:r>
            <w:r>
              <w:rPr>
                <w:spacing w:val="12"/>
                <w:sz w:val="20"/>
              </w:rPr>
              <w:t> </w:t>
            </w:r>
            <w:r>
              <w:rPr>
                <w:spacing w:val="-4"/>
                <w:sz w:val="20"/>
              </w:rPr>
              <w:t>stat</w:t>
            </w:r>
          </w:p>
        </w:tc>
        <w:tc>
          <w:tcPr>
            <w:tcW w:w="897" w:type="dxa"/>
            <w:tcBorders>
              <w:bottom w:val="double" w:sz="6" w:space="0" w:color="000000"/>
            </w:tcBorders>
          </w:tcPr>
          <w:p>
            <w:pPr>
              <w:pStyle w:val="TableParagraph"/>
              <w:spacing w:line="224" w:lineRule="exact"/>
              <w:ind w:right="30"/>
              <w:jc w:val="right"/>
              <w:rPr>
                <w:sz w:val="20"/>
              </w:rPr>
            </w:pPr>
            <w:r>
              <w:rPr>
                <w:spacing w:val="-2"/>
                <w:sz w:val="20"/>
              </w:rPr>
              <w:t>1.868760</w:t>
            </w:r>
          </w:p>
        </w:tc>
      </w:tr>
    </w:tbl>
    <w:p>
      <w:pPr>
        <w:spacing w:after="0" w:line="224" w:lineRule="exact"/>
        <w:jc w:val="right"/>
        <w:rPr>
          <w:sz w:val="20"/>
        </w:rPr>
        <w:sectPr>
          <w:pgSz w:w="11910" w:h="16840"/>
          <w:pgMar w:header="0" w:footer="979" w:top="1360" w:bottom="1240" w:left="280" w:right="0"/>
        </w:sectPr>
      </w:pPr>
    </w:p>
    <w:p>
      <w:pPr>
        <w:spacing w:before="62"/>
        <w:ind w:left="3262" w:right="0" w:firstLine="0"/>
        <w:jc w:val="left"/>
        <w:rPr>
          <w:sz w:val="20"/>
        </w:rPr>
      </w:pPr>
      <w:r>
        <w:rPr>
          <w:sz w:val="20"/>
        </w:rPr>
        <w:t>APPENDIX</w:t>
      </w:r>
      <w:r>
        <w:rPr>
          <w:spacing w:val="-10"/>
          <w:sz w:val="20"/>
        </w:rPr>
        <w:t> </w:t>
      </w:r>
      <w:r>
        <w:rPr>
          <w:spacing w:val="-5"/>
          <w:sz w:val="20"/>
        </w:rPr>
        <w:t>A4</w:t>
      </w:r>
    </w:p>
    <w:p>
      <w:pPr>
        <w:spacing w:before="229"/>
        <w:ind w:left="812" w:right="0" w:firstLine="0"/>
        <w:jc w:val="left"/>
        <w:rPr>
          <w:b/>
          <w:sz w:val="20"/>
        </w:rPr>
      </w:pPr>
      <w:r>
        <w:rPr>
          <w:b/>
          <w:sz w:val="20"/>
        </w:rPr>
        <w:t>RESULTS</w:t>
      </w:r>
      <w:r>
        <w:rPr>
          <w:b/>
          <w:spacing w:val="-6"/>
          <w:sz w:val="20"/>
        </w:rPr>
        <w:t> </w:t>
      </w:r>
      <w:r>
        <w:rPr>
          <w:b/>
          <w:sz w:val="20"/>
        </w:rPr>
        <w:t>OF</w:t>
      </w:r>
      <w:r>
        <w:rPr>
          <w:b/>
          <w:spacing w:val="-5"/>
          <w:sz w:val="20"/>
        </w:rPr>
        <w:t> </w:t>
      </w:r>
      <w:r>
        <w:rPr>
          <w:b/>
          <w:sz w:val="20"/>
        </w:rPr>
        <w:t>ANALYSES</w:t>
      </w:r>
      <w:r>
        <w:rPr>
          <w:b/>
          <w:spacing w:val="-5"/>
          <w:sz w:val="20"/>
        </w:rPr>
        <w:t> </w:t>
      </w:r>
      <w:r>
        <w:rPr>
          <w:b/>
          <w:sz w:val="20"/>
        </w:rPr>
        <w:t>FOR</w:t>
      </w:r>
      <w:r>
        <w:rPr>
          <w:b/>
          <w:spacing w:val="-2"/>
          <w:sz w:val="20"/>
        </w:rPr>
        <w:t> </w:t>
      </w:r>
      <w:r>
        <w:rPr>
          <w:b/>
          <w:sz w:val="20"/>
        </w:rPr>
        <w:t>MODEL</w:t>
      </w:r>
      <w:r>
        <w:rPr>
          <w:b/>
          <w:spacing w:val="-6"/>
          <w:sz w:val="20"/>
        </w:rPr>
        <w:t> </w:t>
      </w:r>
      <w:r>
        <w:rPr>
          <w:b/>
          <w:sz w:val="20"/>
        </w:rPr>
        <w:t>2A</w:t>
      </w:r>
      <w:r>
        <w:rPr>
          <w:b/>
          <w:spacing w:val="-4"/>
          <w:sz w:val="20"/>
        </w:rPr>
        <w:t> </w:t>
      </w:r>
      <w:r>
        <w:rPr>
          <w:b/>
          <w:sz w:val="20"/>
        </w:rPr>
        <w:t>(WORLD</w:t>
      </w:r>
      <w:r>
        <w:rPr>
          <w:b/>
          <w:spacing w:val="-5"/>
          <w:sz w:val="20"/>
        </w:rPr>
        <w:t> </w:t>
      </w:r>
      <w:r>
        <w:rPr>
          <w:b/>
          <w:sz w:val="20"/>
        </w:rPr>
        <w:t>BANK</w:t>
      </w:r>
      <w:r>
        <w:rPr>
          <w:b/>
          <w:spacing w:val="-4"/>
          <w:sz w:val="20"/>
        </w:rPr>
        <w:t> </w:t>
      </w:r>
      <w:r>
        <w:rPr>
          <w:b/>
          <w:sz w:val="20"/>
        </w:rPr>
        <w:t>&amp;</w:t>
      </w:r>
      <w:r>
        <w:rPr>
          <w:b/>
          <w:spacing w:val="-5"/>
          <w:sz w:val="20"/>
        </w:rPr>
        <w:t> </w:t>
      </w:r>
      <w:r>
        <w:rPr>
          <w:b/>
          <w:sz w:val="20"/>
        </w:rPr>
        <w:t>ERBE</w:t>
      </w:r>
      <w:r>
        <w:rPr>
          <w:b/>
          <w:spacing w:val="-6"/>
          <w:sz w:val="20"/>
        </w:rPr>
        <w:t> </w:t>
      </w:r>
      <w:r>
        <w:rPr>
          <w:b/>
          <w:sz w:val="20"/>
        </w:rPr>
        <w:t>1986</w:t>
      </w:r>
      <w:r>
        <w:rPr>
          <w:b/>
          <w:spacing w:val="-4"/>
          <w:sz w:val="20"/>
        </w:rPr>
        <w:t> </w:t>
      </w:r>
      <w:r>
        <w:rPr>
          <w:b/>
          <w:spacing w:val="-2"/>
          <w:sz w:val="20"/>
        </w:rPr>
        <w:t>ESTIMATES)</w:t>
      </w:r>
    </w:p>
    <w:tbl>
      <w:tblPr>
        <w:tblW w:w="0" w:type="auto"/>
        <w:jc w:val="left"/>
        <w:tblInd w:w="7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82"/>
        <w:gridCol w:w="1257"/>
        <w:gridCol w:w="1232"/>
        <w:gridCol w:w="1087"/>
        <w:gridCol w:w="941"/>
      </w:tblGrid>
      <w:tr>
        <w:trPr>
          <w:trHeight w:val="226" w:hRule="atLeast"/>
        </w:trPr>
        <w:tc>
          <w:tcPr>
            <w:tcW w:w="6499" w:type="dxa"/>
            <w:gridSpan w:val="5"/>
          </w:tcPr>
          <w:p>
            <w:pPr>
              <w:pStyle w:val="TableParagraph"/>
              <w:spacing w:line="206" w:lineRule="exact"/>
              <w:ind w:left="43"/>
              <w:rPr>
                <w:rFonts w:ascii="Arial MT"/>
                <w:sz w:val="20"/>
              </w:rPr>
            </w:pPr>
            <w:r>
              <w:rPr>
                <w:rFonts w:ascii="Arial MT"/>
                <w:sz w:val="20"/>
              </w:rPr>
              <w:t>Dependent</w:t>
            </w:r>
            <w:r>
              <w:rPr>
                <w:rFonts w:ascii="Arial MT"/>
                <w:spacing w:val="-12"/>
                <w:sz w:val="20"/>
              </w:rPr>
              <w:t> </w:t>
            </w:r>
            <w:r>
              <w:rPr>
                <w:rFonts w:ascii="Arial MT"/>
                <w:sz w:val="20"/>
              </w:rPr>
              <w:t>Variable:</w:t>
            </w:r>
            <w:r>
              <w:rPr>
                <w:rFonts w:ascii="Arial MT"/>
                <w:spacing w:val="-13"/>
                <w:sz w:val="20"/>
              </w:rPr>
              <w:t> </w:t>
            </w:r>
            <w:r>
              <w:rPr>
                <w:rFonts w:ascii="Arial MT"/>
                <w:spacing w:val="-5"/>
                <w:sz w:val="20"/>
              </w:rPr>
              <w:t>GDP</w:t>
            </w:r>
          </w:p>
        </w:tc>
      </w:tr>
      <w:tr>
        <w:trPr>
          <w:trHeight w:val="230" w:hRule="atLeast"/>
        </w:trPr>
        <w:tc>
          <w:tcPr>
            <w:tcW w:w="6499" w:type="dxa"/>
            <w:gridSpan w:val="5"/>
          </w:tcPr>
          <w:p>
            <w:pPr>
              <w:pStyle w:val="TableParagraph"/>
              <w:spacing w:line="210" w:lineRule="exact"/>
              <w:ind w:left="43"/>
              <w:rPr>
                <w:rFonts w:ascii="Arial MT"/>
                <w:sz w:val="20"/>
              </w:rPr>
            </w:pPr>
            <w:r>
              <w:rPr>
                <w:rFonts w:ascii="Arial MT"/>
                <w:sz w:val="20"/>
              </w:rPr>
              <w:t>Method:</w:t>
            </w:r>
            <w:r>
              <w:rPr>
                <w:rFonts w:ascii="Arial MT"/>
                <w:spacing w:val="-9"/>
                <w:sz w:val="20"/>
              </w:rPr>
              <w:t> </w:t>
            </w:r>
            <w:r>
              <w:rPr>
                <w:rFonts w:ascii="Arial MT"/>
                <w:sz w:val="20"/>
              </w:rPr>
              <w:t>Least</w:t>
            </w:r>
            <w:r>
              <w:rPr>
                <w:rFonts w:ascii="Arial MT"/>
                <w:spacing w:val="-8"/>
                <w:sz w:val="20"/>
              </w:rPr>
              <w:t> </w:t>
            </w:r>
            <w:r>
              <w:rPr>
                <w:rFonts w:ascii="Arial MT"/>
                <w:spacing w:val="-2"/>
                <w:sz w:val="20"/>
              </w:rPr>
              <w:t>Squares</w:t>
            </w:r>
          </w:p>
        </w:tc>
      </w:tr>
      <w:tr>
        <w:trPr>
          <w:trHeight w:val="230" w:hRule="atLeast"/>
        </w:trPr>
        <w:tc>
          <w:tcPr>
            <w:tcW w:w="6499" w:type="dxa"/>
            <w:gridSpan w:val="5"/>
          </w:tcPr>
          <w:p>
            <w:pPr>
              <w:pStyle w:val="TableParagraph"/>
              <w:spacing w:line="210" w:lineRule="exact"/>
              <w:ind w:left="43"/>
              <w:rPr>
                <w:rFonts w:ascii="Arial MT"/>
                <w:sz w:val="20"/>
              </w:rPr>
            </w:pPr>
            <w:r>
              <w:rPr>
                <w:rFonts w:ascii="Arial MT"/>
                <w:sz w:val="20"/>
              </w:rPr>
              <w:t>Date:</w:t>
            </w:r>
            <w:r>
              <w:rPr>
                <w:rFonts w:ascii="Arial MT"/>
                <w:spacing w:val="-3"/>
                <w:sz w:val="20"/>
              </w:rPr>
              <w:t> </w:t>
            </w:r>
            <w:r>
              <w:rPr>
                <w:rFonts w:ascii="Arial MT"/>
                <w:sz w:val="20"/>
              </w:rPr>
              <w:t>02/22/14</w:t>
            </w:r>
            <w:r>
              <w:rPr>
                <w:rFonts w:ascii="Arial MT"/>
                <w:spacing w:val="71"/>
                <w:w w:val="150"/>
                <w:sz w:val="20"/>
              </w:rPr>
              <w:t> </w:t>
            </w:r>
            <w:r>
              <w:rPr>
                <w:rFonts w:ascii="Arial MT"/>
                <w:sz w:val="20"/>
              </w:rPr>
              <w:t>Time:</w:t>
            </w:r>
            <w:r>
              <w:rPr>
                <w:rFonts w:ascii="Arial MT"/>
                <w:spacing w:val="-4"/>
                <w:sz w:val="20"/>
              </w:rPr>
              <w:t> 07:25</w:t>
            </w:r>
          </w:p>
        </w:tc>
      </w:tr>
      <w:tr>
        <w:trPr>
          <w:trHeight w:val="230" w:hRule="atLeast"/>
        </w:trPr>
        <w:tc>
          <w:tcPr>
            <w:tcW w:w="1982" w:type="dxa"/>
          </w:tcPr>
          <w:p>
            <w:pPr>
              <w:pStyle w:val="TableParagraph"/>
              <w:spacing w:line="210" w:lineRule="exact"/>
              <w:ind w:left="43"/>
              <w:rPr>
                <w:rFonts w:ascii="Arial MT"/>
                <w:sz w:val="20"/>
              </w:rPr>
            </w:pPr>
            <w:r>
              <w:rPr>
                <w:rFonts w:ascii="Arial MT"/>
                <w:sz w:val="20"/>
              </w:rPr>
              <w:t>Sample:</w:t>
            </w:r>
            <w:r>
              <w:rPr>
                <w:rFonts w:ascii="Arial MT"/>
                <w:spacing w:val="-8"/>
                <w:sz w:val="20"/>
              </w:rPr>
              <w:t> </w:t>
            </w:r>
            <w:r>
              <w:rPr>
                <w:rFonts w:ascii="Arial MT"/>
                <w:sz w:val="20"/>
              </w:rPr>
              <w:t>1970</w:t>
            </w:r>
            <w:r>
              <w:rPr>
                <w:rFonts w:ascii="Arial MT"/>
                <w:spacing w:val="-5"/>
                <w:sz w:val="20"/>
              </w:rPr>
              <w:t> </w:t>
            </w:r>
            <w:r>
              <w:rPr>
                <w:rFonts w:ascii="Arial MT"/>
                <w:spacing w:val="-4"/>
                <w:sz w:val="20"/>
              </w:rPr>
              <w:t>2011</w:t>
            </w:r>
          </w:p>
        </w:tc>
        <w:tc>
          <w:tcPr>
            <w:tcW w:w="1257" w:type="dxa"/>
          </w:tcPr>
          <w:p>
            <w:pPr>
              <w:pStyle w:val="TableParagraph"/>
              <w:rPr>
                <w:sz w:val="16"/>
              </w:rPr>
            </w:pPr>
          </w:p>
        </w:tc>
        <w:tc>
          <w:tcPr>
            <w:tcW w:w="1232" w:type="dxa"/>
          </w:tcPr>
          <w:p>
            <w:pPr>
              <w:pStyle w:val="TableParagraph"/>
              <w:rPr>
                <w:sz w:val="16"/>
              </w:rPr>
            </w:pPr>
          </w:p>
        </w:tc>
        <w:tc>
          <w:tcPr>
            <w:tcW w:w="1087" w:type="dxa"/>
          </w:tcPr>
          <w:p>
            <w:pPr>
              <w:pStyle w:val="TableParagraph"/>
              <w:rPr>
                <w:sz w:val="16"/>
              </w:rPr>
            </w:pPr>
          </w:p>
        </w:tc>
        <w:tc>
          <w:tcPr>
            <w:tcW w:w="941" w:type="dxa"/>
          </w:tcPr>
          <w:p>
            <w:pPr>
              <w:pStyle w:val="TableParagraph"/>
              <w:rPr>
                <w:sz w:val="16"/>
              </w:rPr>
            </w:pPr>
          </w:p>
        </w:tc>
      </w:tr>
      <w:tr>
        <w:trPr>
          <w:trHeight w:val="226" w:hRule="atLeast"/>
        </w:trPr>
        <w:tc>
          <w:tcPr>
            <w:tcW w:w="6499" w:type="dxa"/>
            <w:gridSpan w:val="5"/>
            <w:tcBorders>
              <w:bottom w:val="double" w:sz="6" w:space="0" w:color="000000"/>
            </w:tcBorders>
          </w:tcPr>
          <w:p>
            <w:pPr>
              <w:pStyle w:val="TableParagraph"/>
              <w:spacing w:line="207" w:lineRule="exact"/>
              <w:ind w:left="43"/>
              <w:rPr>
                <w:rFonts w:ascii="Arial MT"/>
                <w:sz w:val="20"/>
              </w:rPr>
            </w:pPr>
            <w:r>
              <w:rPr>
                <w:rFonts w:ascii="Arial MT"/>
                <w:sz w:val="20"/>
              </w:rPr>
              <w:t>Included</w:t>
            </w:r>
            <w:r>
              <w:rPr>
                <w:rFonts w:ascii="Arial MT"/>
                <w:spacing w:val="-13"/>
                <w:sz w:val="20"/>
              </w:rPr>
              <w:t> </w:t>
            </w:r>
            <w:r>
              <w:rPr>
                <w:rFonts w:ascii="Arial MT"/>
                <w:sz w:val="20"/>
              </w:rPr>
              <w:t>observations:</w:t>
            </w:r>
            <w:r>
              <w:rPr>
                <w:rFonts w:ascii="Arial MT"/>
                <w:spacing w:val="-14"/>
                <w:sz w:val="20"/>
              </w:rPr>
              <w:t> </w:t>
            </w:r>
            <w:r>
              <w:rPr>
                <w:rFonts w:ascii="Arial MT"/>
                <w:spacing w:val="-5"/>
                <w:sz w:val="20"/>
              </w:rPr>
              <w:t>42</w:t>
            </w:r>
          </w:p>
        </w:tc>
      </w:tr>
      <w:tr>
        <w:trPr>
          <w:trHeight w:val="269" w:hRule="atLeast"/>
        </w:trPr>
        <w:tc>
          <w:tcPr>
            <w:tcW w:w="1982" w:type="dxa"/>
            <w:tcBorders>
              <w:top w:val="double" w:sz="6" w:space="0" w:color="000000"/>
              <w:bottom w:val="double" w:sz="6" w:space="0" w:color="000000"/>
            </w:tcBorders>
          </w:tcPr>
          <w:p>
            <w:pPr>
              <w:pStyle w:val="TableParagraph"/>
              <w:spacing w:line="210" w:lineRule="exact" w:before="39"/>
              <w:ind w:left="662"/>
              <w:rPr>
                <w:rFonts w:ascii="Arial MT"/>
                <w:sz w:val="20"/>
              </w:rPr>
            </w:pPr>
            <w:r>
              <w:rPr>
                <w:rFonts w:ascii="Arial MT"/>
                <w:spacing w:val="-2"/>
                <w:sz w:val="20"/>
              </w:rPr>
              <w:t>Variable</w:t>
            </w:r>
          </w:p>
        </w:tc>
        <w:tc>
          <w:tcPr>
            <w:tcW w:w="1257" w:type="dxa"/>
            <w:tcBorders>
              <w:top w:val="double" w:sz="6" w:space="0" w:color="000000"/>
              <w:bottom w:val="double" w:sz="6" w:space="0" w:color="000000"/>
            </w:tcBorders>
          </w:tcPr>
          <w:p>
            <w:pPr>
              <w:pStyle w:val="TableParagraph"/>
              <w:spacing w:line="210" w:lineRule="exact" w:before="39"/>
              <w:ind w:right="141"/>
              <w:jc w:val="right"/>
              <w:rPr>
                <w:rFonts w:ascii="Arial MT"/>
                <w:sz w:val="20"/>
              </w:rPr>
            </w:pPr>
            <w:r>
              <w:rPr>
                <w:rFonts w:ascii="Arial MT"/>
                <w:spacing w:val="-2"/>
                <w:sz w:val="20"/>
              </w:rPr>
              <w:t>Coefficient</w:t>
            </w:r>
          </w:p>
        </w:tc>
        <w:tc>
          <w:tcPr>
            <w:tcW w:w="1232" w:type="dxa"/>
            <w:tcBorders>
              <w:top w:val="double" w:sz="6" w:space="0" w:color="000000"/>
              <w:bottom w:val="double" w:sz="6" w:space="0" w:color="000000"/>
            </w:tcBorders>
          </w:tcPr>
          <w:p>
            <w:pPr>
              <w:pStyle w:val="TableParagraph"/>
              <w:spacing w:line="210" w:lineRule="exact" w:before="39"/>
              <w:ind w:right="180"/>
              <w:jc w:val="right"/>
              <w:rPr>
                <w:rFonts w:ascii="Arial MT"/>
                <w:sz w:val="20"/>
              </w:rPr>
            </w:pPr>
            <w:r>
              <w:rPr>
                <w:rFonts w:ascii="Arial MT"/>
                <w:sz w:val="20"/>
              </w:rPr>
              <w:t>Std.</w:t>
            </w:r>
            <w:r>
              <w:rPr>
                <w:rFonts w:ascii="Arial MT"/>
                <w:spacing w:val="-4"/>
                <w:sz w:val="20"/>
              </w:rPr>
              <w:t> </w:t>
            </w:r>
            <w:r>
              <w:rPr>
                <w:rFonts w:ascii="Arial MT"/>
                <w:spacing w:val="-2"/>
                <w:sz w:val="20"/>
              </w:rPr>
              <w:t>Error</w:t>
            </w:r>
          </w:p>
        </w:tc>
        <w:tc>
          <w:tcPr>
            <w:tcW w:w="1087" w:type="dxa"/>
            <w:tcBorders>
              <w:top w:val="double" w:sz="6" w:space="0" w:color="000000"/>
              <w:bottom w:val="double" w:sz="6" w:space="0" w:color="000000"/>
            </w:tcBorders>
          </w:tcPr>
          <w:p>
            <w:pPr>
              <w:pStyle w:val="TableParagraph"/>
              <w:spacing w:line="210" w:lineRule="exact" w:before="39"/>
              <w:ind w:right="75"/>
              <w:jc w:val="right"/>
              <w:rPr>
                <w:rFonts w:ascii="Arial MT"/>
                <w:sz w:val="20"/>
              </w:rPr>
            </w:pPr>
            <w:r>
              <w:rPr>
                <w:rFonts w:ascii="Arial MT"/>
                <w:spacing w:val="-2"/>
                <w:sz w:val="20"/>
              </w:rPr>
              <w:t>t-Statistic</w:t>
            </w:r>
          </w:p>
        </w:tc>
        <w:tc>
          <w:tcPr>
            <w:tcW w:w="941" w:type="dxa"/>
            <w:tcBorders>
              <w:top w:val="double" w:sz="6" w:space="0" w:color="000000"/>
              <w:bottom w:val="double" w:sz="6" w:space="0" w:color="000000"/>
            </w:tcBorders>
          </w:tcPr>
          <w:p>
            <w:pPr>
              <w:pStyle w:val="TableParagraph"/>
              <w:spacing w:line="210" w:lineRule="exact" w:before="39"/>
              <w:ind w:right="32"/>
              <w:jc w:val="right"/>
              <w:rPr>
                <w:rFonts w:ascii="Arial MT"/>
                <w:sz w:val="20"/>
              </w:rPr>
            </w:pPr>
            <w:r>
              <w:rPr>
                <w:rFonts w:ascii="Arial MT"/>
                <w:spacing w:val="-2"/>
                <w:sz w:val="20"/>
              </w:rPr>
              <w:t>Prob.</w:t>
            </w:r>
          </w:p>
        </w:tc>
      </w:tr>
      <w:tr>
        <w:trPr>
          <w:trHeight w:val="273" w:hRule="atLeast"/>
        </w:trPr>
        <w:tc>
          <w:tcPr>
            <w:tcW w:w="1982" w:type="dxa"/>
            <w:tcBorders>
              <w:top w:val="double" w:sz="6" w:space="0" w:color="000000"/>
            </w:tcBorders>
          </w:tcPr>
          <w:p>
            <w:pPr>
              <w:pStyle w:val="TableParagraph"/>
              <w:spacing w:line="214" w:lineRule="exact" w:before="39"/>
              <w:ind w:left="629"/>
              <w:rPr>
                <w:rFonts w:ascii="Arial MT"/>
                <w:sz w:val="20"/>
              </w:rPr>
            </w:pPr>
            <w:r>
              <w:rPr>
                <w:rFonts w:ascii="Arial MT"/>
                <w:spacing w:val="-2"/>
                <w:sz w:val="20"/>
              </w:rPr>
              <w:t>EXDEBT</w:t>
            </w:r>
          </w:p>
        </w:tc>
        <w:tc>
          <w:tcPr>
            <w:tcW w:w="1257" w:type="dxa"/>
            <w:tcBorders>
              <w:top w:val="double" w:sz="6" w:space="0" w:color="000000"/>
            </w:tcBorders>
          </w:tcPr>
          <w:p>
            <w:pPr>
              <w:pStyle w:val="TableParagraph"/>
              <w:spacing w:line="214" w:lineRule="exact" w:before="39"/>
              <w:ind w:right="140"/>
              <w:jc w:val="right"/>
              <w:rPr>
                <w:rFonts w:ascii="Arial MT"/>
                <w:sz w:val="20"/>
              </w:rPr>
            </w:pPr>
            <w:r>
              <w:rPr>
                <w:rFonts w:ascii="Arial MT"/>
                <w:spacing w:val="-2"/>
                <w:sz w:val="20"/>
              </w:rPr>
              <w:t>0.060261</w:t>
            </w:r>
          </w:p>
        </w:tc>
        <w:tc>
          <w:tcPr>
            <w:tcW w:w="1232" w:type="dxa"/>
            <w:tcBorders>
              <w:top w:val="double" w:sz="6" w:space="0" w:color="000000"/>
            </w:tcBorders>
          </w:tcPr>
          <w:p>
            <w:pPr>
              <w:pStyle w:val="TableParagraph"/>
              <w:spacing w:line="214" w:lineRule="exact" w:before="39"/>
              <w:ind w:right="179"/>
              <w:jc w:val="right"/>
              <w:rPr>
                <w:rFonts w:ascii="Arial MT"/>
                <w:sz w:val="20"/>
              </w:rPr>
            </w:pPr>
            <w:r>
              <w:rPr>
                <w:rFonts w:ascii="Arial MT"/>
                <w:spacing w:val="-2"/>
                <w:sz w:val="20"/>
              </w:rPr>
              <w:t>0.028090</w:t>
            </w:r>
          </w:p>
        </w:tc>
        <w:tc>
          <w:tcPr>
            <w:tcW w:w="1087" w:type="dxa"/>
            <w:tcBorders>
              <w:top w:val="double" w:sz="6" w:space="0" w:color="000000"/>
            </w:tcBorders>
          </w:tcPr>
          <w:p>
            <w:pPr>
              <w:pStyle w:val="TableParagraph"/>
              <w:spacing w:line="214" w:lineRule="exact" w:before="39"/>
              <w:ind w:right="73"/>
              <w:jc w:val="right"/>
              <w:rPr>
                <w:rFonts w:ascii="Arial MT"/>
                <w:sz w:val="20"/>
              </w:rPr>
            </w:pPr>
            <w:r>
              <w:rPr>
                <w:rFonts w:ascii="Arial MT"/>
                <w:spacing w:val="-2"/>
                <w:sz w:val="20"/>
              </w:rPr>
              <w:t>2.145280</w:t>
            </w:r>
          </w:p>
        </w:tc>
        <w:tc>
          <w:tcPr>
            <w:tcW w:w="941" w:type="dxa"/>
            <w:tcBorders>
              <w:top w:val="double" w:sz="6" w:space="0" w:color="000000"/>
            </w:tcBorders>
          </w:tcPr>
          <w:p>
            <w:pPr>
              <w:pStyle w:val="TableParagraph"/>
              <w:spacing w:line="214" w:lineRule="exact" w:before="39"/>
              <w:ind w:right="34"/>
              <w:jc w:val="right"/>
              <w:rPr>
                <w:rFonts w:ascii="Arial MT"/>
                <w:sz w:val="20"/>
              </w:rPr>
            </w:pPr>
            <w:r>
              <w:rPr>
                <w:rFonts w:ascii="Arial MT"/>
                <w:spacing w:val="-2"/>
                <w:sz w:val="20"/>
              </w:rPr>
              <w:t>0.0386</w:t>
            </w:r>
          </w:p>
        </w:tc>
      </w:tr>
      <w:tr>
        <w:trPr>
          <w:trHeight w:val="230" w:hRule="atLeast"/>
        </w:trPr>
        <w:tc>
          <w:tcPr>
            <w:tcW w:w="1982" w:type="dxa"/>
          </w:tcPr>
          <w:p>
            <w:pPr>
              <w:pStyle w:val="TableParagraph"/>
              <w:spacing w:line="210" w:lineRule="exact"/>
              <w:ind w:left="78"/>
              <w:jc w:val="center"/>
              <w:rPr>
                <w:rFonts w:ascii="Arial MT"/>
                <w:sz w:val="20"/>
              </w:rPr>
            </w:pPr>
            <w:r>
              <w:rPr>
                <w:rFonts w:ascii="Arial MT"/>
                <w:spacing w:val="-5"/>
                <w:sz w:val="20"/>
              </w:rPr>
              <w:t>DFI</w:t>
            </w:r>
          </w:p>
        </w:tc>
        <w:tc>
          <w:tcPr>
            <w:tcW w:w="1257" w:type="dxa"/>
          </w:tcPr>
          <w:p>
            <w:pPr>
              <w:pStyle w:val="TableParagraph"/>
              <w:spacing w:line="210" w:lineRule="exact"/>
              <w:ind w:right="140"/>
              <w:jc w:val="right"/>
              <w:rPr>
                <w:rFonts w:ascii="Arial MT"/>
                <w:sz w:val="20"/>
              </w:rPr>
            </w:pPr>
            <w:r>
              <w:rPr>
                <w:rFonts w:ascii="Arial MT"/>
                <w:spacing w:val="-2"/>
                <w:sz w:val="20"/>
              </w:rPr>
              <w:t>0.613180</w:t>
            </w:r>
          </w:p>
        </w:tc>
        <w:tc>
          <w:tcPr>
            <w:tcW w:w="1232" w:type="dxa"/>
          </w:tcPr>
          <w:p>
            <w:pPr>
              <w:pStyle w:val="TableParagraph"/>
              <w:spacing w:line="210" w:lineRule="exact"/>
              <w:ind w:right="179"/>
              <w:jc w:val="right"/>
              <w:rPr>
                <w:rFonts w:ascii="Arial MT"/>
                <w:sz w:val="20"/>
              </w:rPr>
            </w:pPr>
            <w:r>
              <w:rPr>
                <w:rFonts w:ascii="Arial MT"/>
                <w:spacing w:val="-2"/>
                <w:sz w:val="20"/>
              </w:rPr>
              <w:t>0.062872</w:t>
            </w:r>
          </w:p>
        </w:tc>
        <w:tc>
          <w:tcPr>
            <w:tcW w:w="1087" w:type="dxa"/>
          </w:tcPr>
          <w:p>
            <w:pPr>
              <w:pStyle w:val="TableParagraph"/>
              <w:spacing w:line="210" w:lineRule="exact"/>
              <w:ind w:right="73"/>
              <w:jc w:val="right"/>
              <w:rPr>
                <w:rFonts w:ascii="Arial MT"/>
                <w:sz w:val="20"/>
              </w:rPr>
            </w:pPr>
            <w:r>
              <w:rPr>
                <w:rFonts w:ascii="Arial MT"/>
                <w:spacing w:val="-2"/>
                <w:sz w:val="20"/>
              </w:rPr>
              <w:t>9.752797</w:t>
            </w:r>
          </w:p>
        </w:tc>
        <w:tc>
          <w:tcPr>
            <w:tcW w:w="941" w:type="dxa"/>
          </w:tcPr>
          <w:p>
            <w:pPr>
              <w:pStyle w:val="TableParagraph"/>
              <w:spacing w:line="210" w:lineRule="exact"/>
              <w:ind w:right="34"/>
              <w:jc w:val="right"/>
              <w:rPr>
                <w:rFonts w:ascii="Arial MT"/>
                <w:sz w:val="20"/>
              </w:rPr>
            </w:pPr>
            <w:r>
              <w:rPr>
                <w:rFonts w:ascii="Arial MT"/>
                <w:spacing w:val="-2"/>
                <w:sz w:val="20"/>
              </w:rPr>
              <w:t>0.0000</w:t>
            </w:r>
          </w:p>
        </w:tc>
      </w:tr>
      <w:tr>
        <w:trPr>
          <w:trHeight w:val="230" w:hRule="atLeast"/>
        </w:trPr>
        <w:tc>
          <w:tcPr>
            <w:tcW w:w="1982" w:type="dxa"/>
          </w:tcPr>
          <w:p>
            <w:pPr>
              <w:pStyle w:val="TableParagraph"/>
              <w:spacing w:line="210" w:lineRule="exact"/>
              <w:ind w:left="78" w:right="4"/>
              <w:jc w:val="center"/>
              <w:rPr>
                <w:rFonts w:ascii="Arial MT"/>
                <w:sz w:val="20"/>
              </w:rPr>
            </w:pPr>
            <w:r>
              <w:rPr>
                <w:rFonts w:ascii="Arial MT"/>
                <w:spacing w:val="-5"/>
                <w:sz w:val="20"/>
              </w:rPr>
              <w:t>CAB</w:t>
            </w:r>
          </w:p>
        </w:tc>
        <w:tc>
          <w:tcPr>
            <w:tcW w:w="1257" w:type="dxa"/>
          </w:tcPr>
          <w:p>
            <w:pPr>
              <w:pStyle w:val="TableParagraph"/>
              <w:spacing w:line="210" w:lineRule="exact"/>
              <w:ind w:right="140"/>
              <w:jc w:val="right"/>
              <w:rPr>
                <w:rFonts w:ascii="Arial MT"/>
                <w:sz w:val="20"/>
              </w:rPr>
            </w:pPr>
            <w:r>
              <w:rPr>
                <w:rFonts w:ascii="Arial MT"/>
                <w:spacing w:val="-2"/>
                <w:sz w:val="20"/>
              </w:rPr>
              <w:t>0.151818</w:t>
            </w:r>
          </w:p>
        </w:tc>
        <w:tc>
          <w:tcPr>
            <w:tcW w:w="1232" w:type="dxa"/>
          </w:tcPr>
          <w:p>
            <w:pPr>
              <w:pStyle w:val="TableParagraph"/>
              <w:spacing w:line="210" w:lineRule="exact"/>
              <w:ind w:right="179"/>
              <w:jc w:val="right"/>
              <w:rPr>
                <w:rFonts w:ascii="Arial MT"/>
                <w:sz w:val="20"/>
              </w:rPr>
            </w:pPr>
            <w:r>
              <w:rPr>
                <w:rFonts w:ascii="Arial MT"/>
                <w:spacing w:val="-2"/>
                <w:sz w:val="20"/>
              </w:rPr>
              <w:t>0.057116</w:t>
            </w:r>
          </w:p>
        </w:tc>
        <w:tc>
          <w:tcPr>
            <w:tcW w:w="1087" w:type="dxa"/>
          </w:tcPr>
          <w:p>
            <w:pPr>
              <w:pStyle w:val="TableParagraph"/>
              <w:spacing w:line="210" w:lineRule="exact"/>
              <w:ind w:right="73"/>
              <w:jc w:val="right"/>
              <w:rPr>
                <w:rFonts w:ascii="Arial MT"/>
                <w:sz w:val="20"/>
              </w:rPr>
            </w:pPr>
            <w:r>
              <w:rPr>
                <w:rFonts w:ascii="Arial MT"/>
                <w:spacing w:val="-2"/>
                <w:sz w:val="20"/>
              </w:rPr>
              <w:t>2.658075</w:t>
            </w:r>
          </w:p>
        </w:tc>
        <w:tc>
          <w:tcPr>
            <w:tcW w:w="941" w:type="dxa"/>
          </w:tcPr>
          <w:p>
            <w:pPr>
              <w:pStyle w:val="TableParagraph"/>
              <w:spacing w:line="210" w:lineRule="exact"/>
              <w:ind w:right="34"/>
              <w:jc w:val="right"/>
              <w:rPr>
                <w:rFonts w:ascii="Arial MT"/>
                <w:sz w:val="20"/>
              </w:rPr>
            </w:pPr>
            <w:r>
              <w:rPr>
                <w:rFonts w:ascii="Arial MT"/>
                <w:spacing w:val="-2"/>
                <w:sz w:val="20"/>
              </w:rPr>
              <w:t>0.0115</w:t>
            </w:r>
          </w:p>
        </w:tc>
      </w:tr>
      <w:tr>
        <w:trPr>
          <w:trHeight w:val="229" w:hRule="atLeast"/>
        </w:trPr>
        <w:tc>
          <w:tcPr>
            <w:tcW w:w="1982" w:type="dxa"/>
          </w:tcPr>
          <w:p>
            <w:pPr>
              <w:pStyle w:val="TableParagraph"/>
              <w:spacing w:line="209" w:lineRule="exact"/>
              <w:ind w:left="78" w:right="4"/>
              <w:jc w:val="center"/>
              <w:rPr>
                <w:rFonts w:ascii="Arial MT"/>
                <w:sz w:val="20"/>
              </w:rPr>
            </w:pPr>
            <w:r>
              <w:rPr>
                <w:rFonts w:ascii="Arial MT"/>
                <w:spacing w:val="-5"/>
                <w:sz w:val="20"/>
              </w:rPr>
              <w:t>RES</w:t>
            </w:r>
          </w:p>
        </w:tc>
        <w:tc>
          <w:tcPr>
            <w:tcW w:w="1257" w:type="dxa"/>
          </w:tcPr>
          <w:p>
            <w:pPr>
              <w:pStyle w:val="TableParagraph"/>
              <w:spacing w:line="209" w:lineRule="exact"/>
              <w:ind w:right="140"/>
              <w:jc w:val="right"/>
              <w:rPr>
                <w:rFonts w:ascii="Arial MT"/>
                <w:sz w:val="20"/>
              </w:rPr>
            </w:pPr>
            <w:r>
              <w:rPr>
                <w:rFonts w:ascii="Arial MT"/>
                <w:spacing w:val="-2"/>
                <w:sz w:val="20"/>
              </w:rPr>
              <w:t>0.198151</w:t>
            </w:r>
          </w:p>
        </w:tc>
        <w:tc>
          <w:tcPr>
            <w:tcW w:w="1232" w:type="dxa"/>
          </w:tcPr>
          <w:p>
            <w:pPr>
              <w:pStyle w:val="TableParagraph"/>
              <w:spacing w:line="209" w:lineRule="exact"/>
              <w:ind w:right="179"/>
              <w:jc w:val="right"/>
              <w:rPr>
                <w:rFonts w:ascii="Arial MT"/>
                <w:sz w:val="20"/>
              </w:rPr>
            </w:pPr>
            <w:r>
              <w:rPr>
                <w:rFonts w:ascii="Arial MT"/>
                <w:spacing w:val="-2"/>
                <w:sz w:val="20"/>
              </w:rPr>
              <w:t>0.061219</w:t>
            </w:r>
          </w:p>
        </w:tc>
        <w:tc>
          <w:tcPr>
            <w:tcW w:w="1087" w:type="dxa"/>
          </w:tcPr>
          <w:p>
            <w:pPr>
              <w:pStyle w:val="TableParagraph"/>
              <w:spacing w:line="209" w:lineRule="exact"/>
              <w:ind w:right="73"/>
              <w:jc w:val="right"/>
              <w:rPr>
                <w:rFonts w:ascii="Arial MT"/>
                <w:sz w:val="20"/>
              </w:rPr>
            </w:pPr>
            <w:r>
              <w:rPr>
                <w:rFonts w:ascii="Arial MT"/>
                <w:spacing w:val="-2"/>
                <w:sz w:val="20"/>
              </w:rPr>
              <w:t>3.236736</w:t>
            </w:r>
          </w:p>
        </w:tc>
        <w:tc>
          <w:tcPr>
            <w:tcW w:w="941" w:type="dxa"/>
          </w:tcPr>
          <w:p>
            <w:pPr>
              <w:pStyle w:val="TableParagraph"/>
              <w:spacing w:line="209" w:lineRule="exact"/>
              <w:ind w:right="34"/>
              <w:jc w:val="right"/>
              <w:rPr>
                <w:rFonts w:ascii="Arial MT"/>
                <w:sz w:val="20"/>
              </w:rPr>
            </w:pPr>
            <w:r>
              <w:rPr>
                <w:rFonts w:ascii="Arial MT"/>
                <w:spacing w:val="-2"/>
                <w:sz w:val="20"/>
              </w:rPr>
              <w:t>0.0026</w:t>
            </w:r>
          </w:p>
        </w:tc>
      </w:tr>
      <w:tr>
        <w:trPr>
          <w:trHeight w:val="225" w:hRule="atLeast"/>
        </w:trPr>
        <w:tc>
          <w:tcPr>
            <w:tcW w:w="1982" w:type="dxa"/>
            <w:tcBorders>
              <w:bottom w:val="double" w:sz="6" w:space="0" w:color="000000"/>
            </w:tcBorders>
          </w:tcPr>
          <w:p>
            <w:pPr>
              <w:pStyle w:val="TableParagraph"/>
              <w:spacing w:line="205" w:lineRule="exact"/>
              <w:ind w:left="78" w:right="1"/>
              <w:jc w:val="center"/>
              <w:rPr>
                <w:rFonts w:ascii="Arial MT"/>
                <w:sz w:val="20"/>
              </w:rPr>
            </w:pPr>
            <w:r>
              <w:rPr>
                <w:rFonts w:ascii="Arial MT"/>
                <w:spacing w:val="-10"/>
                <w:sz w:val="20"/>
              </w:rPr>
              <w:t>C</w:t>
            </w:r>
          </w:p>
        </w:tc>
        <w:tc>
          <w:tcPr>
            <w:tcW w:w="1257" w:type="dxa"/>
            <w:tcBorders>
              <w:bottom w:val="double" w:sz="6" w:space="0" w:color="000000"/>
            </w:tcBorders>
          </w:tcPr>
          <w:p>
            <w:pPr>
              <w:pStyle w:val="TableParagraph"/>
              <w:spacing w:line="205" w:lineRule="exact"/>
              <w:ind w:right="140"/>
              <w:jc w:val="right"/>
              <w:rPr>
                <w:rFonts w:ascii="Arial MT"/>
                <w:sz w:val="20"/>
              </w:rPr>
            </w:pPr>
            <w:r>
              <w:rPr>
                <w:rFonts w:ascii="Arial MT"/>
                <w:spacing w:val="-2"/>
                <w:sz w:val="20"/>
              </w:rPr>
              <w:t>2.831836</w:t>
            </w:r>
          </w:p>
        </w:tc>
        <w:tc>
          <w:tcPr>
            <w:tcW w:w="1232" w:type="dxa"/>
            <w:tcBorders>
              <w:bottom w:val="double" w:sz="6" w:space="0" w:color="000000"/>
            </w:tcBorders>
          </w:tcPr>
          <w:p>
            <w:pPr>
              <w:pStyle w:val="TableParagraph"/>
              <w:spacing w:line="205" w:lineRule="exact"/>
              <w:ind w:right="179"/>
              <w:jc w:val="right"/>
              <w:rPr>
                <w:rFonts w:ascii="Arial MT"/>
                <w:sz w:val="20"/>
              </w:rPr>
            </w:pPr>
            <w:r>
              <w:rPr>
                <w:rFonts w:ascii="Arial MT"/>
                <w:spacing w:val="-2"/>
                <w:sz w:val="20"/>
              </w:rPr>
              <w:t>0.340462</w:t>
            </w:r>
          </w:p>
        </w:tc>
        <w:tc>
          <w:tcPr>
            <w:tcW w:w="1087" w:type="dxa"/>
            <w:tcBorders>
              <w:bottom w:val="double" w:sz="6" w:space="0" w:color="000000"/>
            </w:tcBorders>
          </w:tcPr>
          <w:p>
            <w:pPr>
              <w:pStyle w:val="TableParagraph"/>
              <w:spacing w:line="205" w:lineRule="exact"/>
              <w:ind w:right="73"/>
              <w:jc w:val="right"/>
              <w:rPr>
                <w:rFonts w:ascii="Arial MT"/>
                <w:sz w:val="20"/>
              </w:rPr>
            </w:pPr>
            <w:r>
              <w:rPr>
                <w:rFonts w:ascii="Arial MT"/>
                <w:spacing w:val="-2"/>
                <w:sz w:val="20"/>
              </w:rPr>
              <w:t>8.317620</w:t>
            </w:r>
          </w:p>
        </w:tc>
        <w:tc>
          <w:tcPr>
            <w:tcW w:w="941" w:type="dxa"/>
            <w:tcBorders>
              <w:bottom w:val="double" w:sz="6" w:space="0" w:color="000000"/>
            </w:tcBorders>
          </w:tcPr>
          <w:p>
            <w:pPr>
              <w:pStyle w:val="TableParagraph"/>
              <w:spacing w:line="205" w:lineRule="exact"/>
              <w:ind w:right="34"/>
              <w:jc w:val="right"/>
              <w:rPr>
                <w:rFonts w:ascii="Arial MT"/>
                <w:sz w:val="20"/>
              </w:rPr>
            </w:pPr>
            <w:r>
              <w:rPr>
                <w:rFonts w:ascii="Arial MT"/>
                <w:spacing w:val="-2"/>
                <w:sz w:val="20"/>
              </w:rPr>
              <w:t>0.0000</w:t>
            </w:r>
          </w:p>
        </w:tc>
      </w:tr>
      <w:tr>
        <w:trPr>
          <w:trHeight w:val="274" w:hRule="atLeast"/>
        </w:trPr>
        <w:tc>
          <w:tcPr>
            <w:tcW w:w="1982" w:type="dxa"/>
            <w:tcBorders>
              <w:top w:val="double" w:sz="6" w:space="0" w:color="000000"/>
            </w:tcBorders>
          </w:tcPr>
          <w:p>
            <w:pPr>
              <w:pStyle w:val="TableParagraph"/>
              <w:spacing w:line="213" w:lineRule="exact" w:before="42"/>
              <w:ind w:left="43"/>
              <w:rPr>
                <w:rFonts w:ascii="Arial MT"/>
                <w:sz w:val="20"/>
              </w:rPr>
            </w:pPr>
            <w:r>
              <w:rPr>
                <w:rFonts w:ascii="Arial MT"/>
                <w:spacing w:val="-2"/>
                <w:sz w:val="20"/>
              </w:rPr>
              <w:t>R-squared</w:t>
            </w:r>
          </w:p>
        </w:tc>
        <w:tc>
          <w:tcPr>
            <w:tcW w:w="1257" w:type="dxa"/>
            <w:tcBorders>
              <w:top w:val="double" w:sz="6" w:space="0" w:color="000000"/>
            </w:tcBorders>
          </w:tcPr>
          <w:p>
            <w:pPr>
              <w:pStyle w:val="TableParagraph"/>
              <w:spacing w:line="213" w:lineRule="exact" w:before="42"/>
              <w:ind w:right="140"/>
              <w:jc w:val="right"/>
              <w:rPr>
                <w:rFonts w:ascii="Arial MT"/>
                <w:sz w:val="20"/>
              </w:rPr>
            </w:pPr>
            <w:r>
              <w:rPr>
                <w:rFonts w:ascii="Arial MT"/>
                <w:spacing w:val="-2"/>
                <w:sz w:val="20"/>
              </w:rPr>
              <w:t>0.980398</w:t>
            </w:r>
          </w:p>
        </w:tc>
        <w:tc>
          <w:tcPr>
            <w:tcW w:w="2319" w:type="dxa"/>
            <w:gridSpan w:val="2"/>
            <w:tcBorders>
              <w:top w:val="double" w:sz="6" w:space="0" w:color="000000"/>
            </w:tcBorders>
          </w:tcPr>
          <w:p>
            <w:pPr>
              <w:pStyle w:val="TableParagraph"/>
              <w:spacing w:line="213" w:lineRule="exact" w:before="42"/>
              <w:ind w:left="141"/>
              <w:rPr>
                <w:rFonts w:ascii="Arial MT"/>
                <w:sz w:val="20"/>
              </w:rPr>
            </w:pPr>
            <w:r>
              <w:rPr>
                <w:rFonts w:ascii="Arial MT"/>
                <w:sz w:val="20"/>
              </w:rPr>
              <w:t>Mean</w:t>
            </w:r>
            <w:r>
              <w:rPr>
                <w:rFonts w:ascii="Arial MT"/>
                <w:spacing w:val="-10"/>
                <w:sz w:val="20"/>
              </w:rPr>
              <w:t> </w:t>
            </w:r>
            <w:r>
              <w:rPr>
                <w:rFonts w:ascii="Arial MT"/>
                <w:sz w:val="20"/>
              </w:rPr>
              <w:t>dependent</w:t>
            </w:r>
            <w:r>
              <w:rPr>
                <w:rFonts w:ascii="Arial MT"/>
                <w:spacing w:val="-9"/>
                <w:sz w:val="20"/>
              </w:rPr>
              <w:t> </w:t>
            </w:r>
            <w:r>
              <w:rPr>
                <w:rFonts w:ascii="Arial MT"/>
                <w:spacing w:val="-5"/>
                <w:sz w:val="20"/>
              </w:rPr>
              <w:t>var</w:t>
            </w:r>
          </w:p>
        </w:tc>
        <w:tc>
          <w:tcPr>
            <w:tcW w:w="941" w:type="dxa"/>
            <w:tcBorders>
              <w:top w:val="double" w:sz="6" w:space="0" w:color="000000"/>
            </w:tcBorders>
          </w:tcPr>
          <w:p>
            <w:pPr>
              <w:pStyle w:val="TableParagraph"/>
              <w:spacing w:line="213" w:lineRule="exact" w:before="42"/>
              <w:ind w:right="35"/>
              <w:jc w:val="right"/>
              <w:rPr>
                <w:rFonts w:ascii="Arial MT"/>
                <w:sz w:val="20"/>
              </w:rPr>
            </w:pPr>
            <w:r>
              <w:rPr>
                <w:rFonts w:ascii="Arial MT"/>
                <w:spacing w:val="-2"/>
                <w:sz w:val="20"/>
              </w:rPr>
              <w:t>12.99879</w:t>
            </w:r>
          </w:p>
        </w:tc>
      </w:tr>
      <w:tr>
        <w:trPr>
          <w:trHeight w:val="229" w:hRule="atLeast"/>
        </w:trPr>
        <w:tc>
          <w:tcPr>
            <w:tcW w:w="1982" w:type="dxa"/>
          </w:tcPr>
          <w:p>
            <w:pPr>
              <w:pStyle w:val="TableParagraph"/>
              <w:spacing w:line="210" w:lineRule="exact"/>
              <w:ind w:left="43"/>
              <w:rPr>
                <w:rFonts w:ascii="Arial MT"/>
                <w:sz w:val="20"/>
              </w:rPr>
            </w:pPr>
            <w:r>
              <w:rPr>
                <w:rFonts w:ascii="Arial MT"/>
                <w:sz w:val="20"/>
              </w:rPr>
              <w:t>Adjusted</w:t>
            </w:r>
            <w:r>
              <w:rPr>
                <w:rFonts w:ascii="Arial MT"/>
                <w:spacing w:val="-13"/>
                <w:sz w:val="20"/>
              </w:rPr>
              <w:t> </w:t>
            </w:r>
            <w:r>
              <w:rPr>
                <w:rFonts w:ascii="Arial MT"/>
                <w:sz w:val="20"/>
              </w:rPr>
              <w:t>R-</w:t>
            </w:r>
            <w:r>
              <w:rPr>
                <w:rFonts w:ascii="Arial MT"/>
                <w:spacing w:val="-2"/>
                <w:sz w:val="20"/>
              </w:rPr>
              <w:t>squared</w:t>
            </w:r>
          </w:p>
        </w:tc>
        <w:tc>
          <w:tcPr>
            <w:tcW w:w="1257" w:type="dxa"/>
          </w:tcPr>
          <w:p>
            <w:pPr>
              <w:pStyle w:val="TableParagraph"/>
              <w:spacing w:line="210" w:lineRule="exact"/>
              <w:ind w:right="140"/>
              <w:jc w:val="right"/>
              <w:rPr>
                <w:rFonts w:ascii="Arial MT"/>
                <w:sz w:val="20"/>
              </w:rPr>
            </w:pPr>
            <w:r>
              <w:rPr>
                <w:rFonts w:ascii="Arial MT"/>
                <w:spacing w:val="-2"/>
                <w:sz w:val="20"/>
              </w:rPr>
              <w:t>0.978279</w:t>
            </w:r>
          </w:p>
        </w:tc>
        <w:tc>
          <w:tcPr>
            <w:tcW w:w="2319" w:type="dxa"/>
            <w:gridSpan w:val="2"/>
          </w:tcPr>
          <w:p>
            <w:pPr>
              <w:pStyle w:val="TableParagraph"/>
              <w:spacing w:line="210" w:lineRule="exact"/>
              <w:ind w:left="141"/>
              <w:rPr>
                <w:rFonts w:ascii="Arial MT"/>
                <w:sz w:val="20"/>
              </w:rPr>
            </w:pPr>
            <w:r>
              <w:rPr>
                <w:rFonts w:ascii="Arial MT"/>
                <w:sz w:val="20"/>
              </w:rPr>
              <w:t>S.D.</w:t>
            </w:r>
            <w:r>
              <w:rPr>
                <w:rFonts w:ascii="Arial MT"/>
                <w:spacing w:val="-8"/>
                <w:sz w:val="20"/>
              </w:rPr>
              <w:t> </w:t>
            </w:r>
            <w:r>
              <w:rPr>
                <w:rFonts w:ascii="Arial MT"/>
                <w:sz w:val="20"/>
              </w:rPr>
              <w:t>dependent</w:t>
            </w:r>
            <w:r>
              <w:rPr>
                <w:rFonts w:ascii="Arial MT"/>
                <w:spacing w:val="-6"/>
                <w:sz w:val="20"/>
              </w:rPr>
              <w:t> </w:t>
            </w:r>
            <w:r>
              <w:rPr>
                <w:rFonts w:ascii="Arial MT"/>
                <w:spacing w:val="-5"/>
                <w:sz w:val="20"/>
              </w:rPr>
              <w:t>var</w:t>
            </w:r>
          </w:p>
        </w:tc>
        <w:tc>
          <w:tcPr>
            <w:tcW w:w="941" w:type="dxa"/>
          </w:tcPr>
          <w:p>
            <w:pPr>
              <w:pStyle w:val="TableParagraph"/>
              <w:spacing w:line="210" w:lineRule="exact"/>
              <w:ind w:right="34"/>
              <w:jc w:val="right"/>
              <w:rPr>
                <w:rFonts w:ascii="Arial MT"/>
                <w:sz w:val="20"/>
              </w:rPr>
            </w:pPr>
            <w:r>
              <w:rPr>
                <w:rFonts w:ascii="Arial MT"/>
                <w:spacing w:val="-2"/>
                <w:sz w:val="20"/>
              </w:rPr>
              <w:t>2.778640</w:t>
            </w:r>
          </w:p>
        </w:tc>
      </w:tr>
      <w:tr>
        <w:trPr>
          <w:trHeight w:val="230" w:hRule="atLeast"/>
        </w:trPr>
        <w:tc>
          <w:tcPr>
            <w:tcW w:w="1982" w:type="dxa"/>
          </w:tcPr>
          <w:p>
            <w:pPr>
              <w:pStyle w:val="TableParagraph"/>
              <w:spacing w:line="210" w:lineRule="exact"/>
              <w:ind w:left="43"/>
              <w:rPr>
                <w:rFonts w:ascii="Arial MT"/>
                <w:sz w:val="20"/>
              </w:rPr>
            </w:pPr>
            <w:r>
              <w:rPr>
                <w:rFonts w:ascii="Arial MT"/>
                <w:sz w:val="20"/>
              </w:rPr>
              <w:t>S.E.</w:t>
            </w:r>
            <w:r>
              <w:rPr>
                <w:rFonts w:ascii="Arial MT"/>
                <w:spacing w:val="-3"/>
                <w:sz w:val="20"/>
              </w:rPr>
              <w:t> </w:t>
            </w:r>
            <w:r>
              <w:rPr>
                <w:rFonts w:ascii="Arial MT"/>
                <w:sz w:val="20"/>
              </w:rPr>
              <w:t>of</w:t>
            </w:r>
            <w:r>
              <w:rPr>
                <w:rFonts w:ascii="Arial MT"/>
                <w:spacing w:val="-3"/>
                <w:sz w:val="20"/>
              </w:rPr>
              <w:t> </w:t>
            </w:r>
            <w:r>
              <w:rPr>
                <w:rFonts w:ascii="Arial MT"/>
                <w:spacing w:val="-2"/>
                <w:sz w:val="20"/>
              </w:rPr>
              <w:t>regression</w:t>
            </w:r>
          </w:p>
        </w:tc>
        <w:tc>
          <w:tcPr>
            <w:tcW w:w="1257" w:type="dxa"/>
          </w:tcPr>
          <w:p>
            <w:pPr>
              <w:pStyle w:val="TableParagraph"/>
              <w:spacing w:line="210" w:lineRule="exact"/>
              <w:ind w:right="140"/>
              <w:jc w:val="right"/>
              <w:rPr>
                <w:rFonts w:ascii="Arial MT"/>
                <w:sz w:val="20"/>
              </w:rPr>
            </w:pPr>
            <w:r>
              <w:rPr>
                <w:rFonts w:ascii="Arial MT"/>
                <w:spacing w:val="-2"/>
                <w:sz w:val="20"/>
              </w:rPr>
              <w:t>0.409521</w:t>
            </w:r>
          </w:p>
        </w:tc>
        <w:tc>
          <w:tcPr>
            <w:tcW w:w="2319" w:type="dxa"/>
            <w:gridSpan w:val="2"/>
          </w:tcPr>
          <w:p>
            <w:pPr>
              <w:pStyle w:val="TableParagraph"/>
              <w:spacing w:line="210" w:lineRule="exact"/>
              <w:ind w:left="141"/>
              <w:rPr>
                <w:rFonts w:ascii="Arial MT"/>
                <w:sz w:val="20"/>
              </w:rPr>
            </w:pPr>
            <w:r>
              <w:rPr>
                <w:rFonts w:ascii="Arial MT"/>
                <w:sz w:val="20"/>
              </w:rPr>
              <w:t>Akaike</w:t>
            </w:r>
            <w:r>
              <w:rPr>
                <w:rFonts w:ascii="Arial MT"/>
                <w:spacing w:val="-6"/>
                <w:sz w:val="20"/>
              </w:rPr>
              <w:t> </w:t>
            </w:r>
            <w:r>
              <w:rPr>
                <w:rFonts w:ascii="Arial MT"/>
                <w:sz w:val="20"/>
              </w:rPr>
              <w:t>info</w:t>
            </w:r>
            <w:r>
              <w:rPr>
                <w:rFonts w:ascii="Arial MT"/>
                <w:spacing w:val="-5"/>
                <w:sz w:val="20"/>
              </w:rPr>
              <w:t> </w:t>
            </w:r>
            <w:r>
              <w:rPr>
                <w:rFonts w:ascii="Arial MT"/>
                <w:spacing w:val="-2"/>
                <w:sz w:val="20"/>
              </w:rPr>
              <w:t>criterion</w:t>
            </w:r>
          </w:p>
        </w:tc>
        <w:tc>
          <w:tcPr>
            <w:tcW w:w="941" w:type="dxa"/>
          </w:tcPr>
          <w:p>
            <w:pPr>
              <w:pStyle w:val="TableParagraph"/>
              <w:spacing w:line="210" w:lineRule="exact"/>
              <w:ind w:right="34"/>
              <w:jc w:val="right"/>
              <w:rPr>
                <w:rFonts w:ascii="Arial MT"/>
                <w:sz w:val="20"/>
              </w:rPr>
            </w:pPr>
            <w:r>
              <w:rPr>
                <w:rFonts w:ascii="Arial MT"/>
                <w:spacing w:val="-2"/>
                <w:sz w:val="20"/>
              </w:rPr>
              <w:t>1.163689</w:t>
            </w:r>
          </w:p>
        </w:tc>
      </w:tr>
      <w:tr>
        <w:trPr>
          <w:trHeight w:val="230" w:hRule="atLeast"/>
        </w:trPr>
        <w:tc>
          <w:tcPr>
            <w:tcW w:w="1982" w:type="dxa"/>
          </w:tcPr>
          <w:p>
            <w:pPr>
              <w:pStyle w:val="TableParagraph"/>
              <w:spacing w:line="210" w:lineRule="exact"/>
              <w:ind w:left="43"/>
              <w:rPr>
                <w:rFonts w:ascii="Arial MT"/>
                <w:sz w:val="20"/>
              </w:rPr>
            </w:pPr>
            <w:r>
              <w:rPr>
                <w:rFonts w:ascii="Arial MT"/>
                <w:sz w:val="20"/>
              </w:rPr>
              <w:t>Sum</w:t>
            </w:r>
            <w:r>
              <w:rPr>
                <w:rFonts w:ascii="Arial MT"/>
                <w:spacing w:val="-6"/>
                <w:sz w:val="20"/>
              </w:rPr>
              <w:t> </w:t>
            </w:r>
            <w:r>
              <w:rPr>
                <w:rFonts w:ascii="Arial MT"/>
                <w:sz w:val="20"/>
              </w:rPr>
              <w:t>squared</w:t>
            </w:r>
            <w:r>
              <w:rPr>
                <w:rFonts w:ascii="Arial MT"/>
                <w:spacing w:val="-10"/>
                <w:sz w:val="20"/>
              </w:rPr>
              <w:t> </w:t>
            </w:r>
            <w:r>
              <w:rPr>
                <w:rFonts w:ascii="Arial MT"/>
                <w:spacing w:val="-4"/>
                <w:sz w:val="20"/>
              </w:rPr>
              <w:t>resid</w:t>
            </w:r>
          </w:p>
        </w:tc>
        <w:tc>
          <w:tcPr>
            <w:tcW w:w="1257" w:type="dxa"/>
          </w:tcPr>
          <w:p>
            <w:pPr>
              <w:pStyle w:val="TableParagraph"/>
              <w:spacing w:line="210" w:lineRule="exact"/>
              <w:ind w:right="140"/>
              <w:jc w:val="right"/>
              <w:rPr>
                <w:rFonts w:ascii="Arial MT"/>
                <w:sz w:val="20"/>
              </w:rPr>
            </w:pPr>
            <w:r>
              <w:rPr>
                <w:rFonts w:ascii="Arial MT"/>
                <w:spacing w:val="-2"/>
                <w:sz w:val="20"/>
              </w:rPr>
              <w:t>6.205190</w:t>
            </w:r>
          </w:p>
        </w:tc>
        <w:tc>
          <w:tcPr>
            <w:tcW w:w="2319" w:type="dxa"/>
            <w:gridSpan w:val="2"/>
          </w:tcPr>
          <w:p>
            <w:pPr>
              <w:pStyle w:val="TableParagraph"/>
              <w:spacing w:line="210" w:lineRule="exact"/>
              <w:ind w:left="141"/>
              <w:rPr>
                <w:rFonts w:ascii="Arial MT"/>
                <w:sz w:val="20"/>
              </w:rPr>
            </w:pPr>
            <w:r>
              <w:rPr>
                <w:rFonts w:ascii="Arial MT"/>
                <w:sz w:val="20"/>
              </w:rPr>
              <w:t>Schwarz</w:t>
            </w:r>
            <w:r>
              <w:rPr>
                <w:rFonts w:ascii="Arial MT"/>
                <w:spacing w:val="-9"/>
                <w:sz w:val="20"/>
              </w:rPr>
              <w:t> </w:t>
            </w:r>
            <w:r>
              <w:rPr>
                <w:rFonts w:ascii="Arial MT"/>
                <w:spacing w:val="-2"/>
                <w:sz w:val="20"/>
              </w:rPr>
              <w:t>criterion</w:t>
            </w:r>
          </w:p>
        </w:tc>
        <w:tc>
          <w:tcPr>
            <w:tcW w:w="941" w:type="dxa"/>
          </w:tcPr>
          <w:p>
            <w:pPr>
              <w:pStyle w:val="TableParagraph"/>
              <w:spacing w:line="210" w:lineRule="exact"/>
              <w:ind w:right="34"/>
              <w:jc w:val="right"/>
              <w:rPr>
                <w:rFonts w:ascii="Arial MT"/>
                <w:sz w:val="20"/>
              </w:rPr>
            </w:pPr>
            <w:r>
              <w:rPr>
                <w:rFonts w:ascii="Arial MT"/>
                <w:spacing w:val="-2"/>
                <w:sz w:val="20"/>
              </w:rPr>
              <w:t>1.370554</w:t>
            </w:r>
          </w:p>
        </w:tc>
      </w:tr>
      <w:tr>
        <w:trPr>
          <w:trHeight w:val="230" w:hRule="atLeast"/>
        </w:trPr>
        <w:tc>
          <w:tcPr>
            <w:tcW w:w="1982" w:type="dxa"/>
          </w:tcPr>
          <w:p>
            <w:pPr>
              <w:pStyle w:val="TableParagraph"/>
              <w:spacing w:line="210" w:lineRule="exact"/>
              <w:ind w:left="43"/>
              <w:rPr>
                <w:rFonts w:ascii="Arial MT"/>
                <w:sz w:val="20"/>
              </w:rPr>
            </w:pPr>
            <w:r>
              <w:rPr>
                <w:rFonts w:ascii="Arial MT"/>
                <w:sz w:val="20"/>
              </w:rPr>
              <w:t>Log</w:t>
            </w:r>
            <w:r>
              <w:rPr>
                <w:rFonts w:ascii="Arial MT"/>
                <w:spacing w:val="-5"/>
                <w:sz w:val="20"/>
              </w:rPr>
              <w:t> </w:t>
            </w:r>
            <w:r>
              <w:rPr>
                <w:rFonts w:ascii="Arial MT"/>
                <w:spacing w:val="-2"/>
                <w:sz w:val="20"/>
              </w:rPr>
              <w:t>likelihood</w:t>
            </w:r>
          </w:p>
        </w:tc>
        <w:tc>
          <w:tcPr>
            <w:tcW w:w="1257" w:type="dxa"/>
          </w:tcPr>
          <w:p>
            <w:pPr>
              <w:pStyle w:val="TableParagraph"/>
              <w:spacing w:line="210" w:lineRule="exact"/>
              <w:ind w:right="140"/>
              <w:jc w:val="right"/>
              <w:rPr>
                <w:rFonts w:ascii="Arial MT"/>
                <w:sz w:val="20"/>
              </w:rPr>
            </w:pPr>
            <w:r>
              <w:rPr>
                <w:rFonts w:ascii="Arial MT"/>
                <w:spacing w:val="-2"/>
                <w:sz w:val="20"/>
              </w:rPr>
              <w:t>-19.43746</w:t>
            </w:r>
          </w:p>
        </w:tc>
        <w:tc>
          <w:tcPr>
            <w:tcW w:w="1232" w:type="dxa"/>
          </w:tcPr>
          <w:p>
            <w:pPr>
              <w:pStyle w:val="TableParagraph"/>
              <w:spacing w:line="210" w:lineRule="exact"/>
              <w:ind w:right="236"/>
              <w:jc w:val="right"/>
              <w:rPr>
                <w:rFonts w:ascii="Arial MT"/>
                <w:sz w:val="20"/>
              </w:rPr>
            </w:pPr>
            <w:r>
              <w:rPr>
                <w:rFonts w:ascii="Arial MT"/>
                <w:spacing w:val="-2"/>
                <w:sz w:val="20"/>
              </w:rPr>
              <w:t>F-statistic</w:t>
            </w:r>
          </w:p>
        </w:tc>
        <w:tc>
          <w:tcPr>
            <w:tcW w:w="1087" w:type="dxa"/>
          </w:tcPr>
          <w:p>
            <w:pPr>
              <w:pStyle w:val="TableParagraph"/>
              <w:rPr>
                <w:sz w:val="16"/>
              </w:rPr>
            </w:pPr>
          </w:p>
        </w:tc>
        <w:tc>
          <w:tcPr>
            <w:tcW w:w="941" w:type="dxa"/>
          </w:tcPr>
          <w:p>
            <w:pPr>
              <w:pStyle w:val="TableParagraph"/>
              <w:spacing w:line="210" w:lineRule="exact"/>
              <w:ind w:right="35"/>
              <w:jc w:val="right"/>
              <w:rPr>
                <w:rFonts w:ascii="Arial MT"/>
                <w:sz w:val="20"/>
              </w:rPr>
            </w:pPr>
            <w:r>
              <w:rPr>
                <w:rFonts w:ascii="Arial MT"/>
                <w:spacing w:val="-2"/>
                <w:sz w:val="20"/>
              </w:rPr>
              <w:t>462.6337</w:t>
            </w:r>
          </w:p>
        </w:tc>
      </w:tr>
      <w:tr>
        <w:trPr>
          <w:trHeight w:val="228" w:hRule="atLeast"/>
        </w:trPr>
        <w:tc>
          <w:tcPr>
            <w:tcW w:w="1982" w:type="dxa"/>
            <w:tcBorders>
              <w:bottom w:val="double" w:sz="6" w:space="0" w:color="000000"/>
            </w:tcBorders>
          </w:tcPr>
          <w:p>
            <w:pPr>
              <w:pStyle w:val="TableParagraph"/>
              <w:spacing w:line="209" w:lineRule="exact"/>
              <w:ind w:left="43"/>
              <w:rPr>
                <w:rFonts w:ascii="Arial MT"/>
                <w:sz w:val="20"/>
              </w:rPr>
            </w:pPr>
            <w:r>
              <w:rPr>
                <w:rFonts w:ascii="Arial MT"/>
                <w:sz w:val="20"/>
              </w:rPr>
              <w:t>Durbin-Watson</w:t>
            </w:r>
            <w:r>
              <w:rPr>
                <w:rFonts w:ascii="Arial MT"/>
                <w:spacing w:val="-14"/>
                <w:sz w:val="20"/>
              </w:rPr>
              <w:t> </w:t>
            </w:r>
            <w:r>
              <w:rPr>
                <w:rFonts w:ascii="Arial MT"/>
                <w:spacing w:val="-4"/>
                <w:sz w:val="20"/>
              </w:rPr>
              <w:t>stat</w:t>
            </w:r>
          </w:p>
        </w:tc>
        <w:tc>
          <w:tcPr>
            <w:tcW w:w="1257" w:type="dxa"/>
            <w:tcBorders>
              <w:bottom w:val="double" w:sz="6" w:space="0" w:color="000000"/>
            </w:tcBorders>
          </w:tcPr>
          <w:p>
            <w:pPr>
              <w:pStyle w:val="TableParagraph"/>
              <w:spacing w:line="209" w:lineRule="exact"/>
              <w:ind w:right="140"/>
              <w:jc w:val="right"/>
              <w:rPr>
                <w:rFonts w:ascii="Arial MT"/>
                <w:sz w:val="20"/>
              </w:rPr>
            </w:pPr>
            <w:r>
              <w:rPr>
                <w:rFonts w:ascii="Arial MT"/>
                <w:spacing w:val="-2"/>
                <w:sz w:val="20"/>
              </w:rPr>
              <w:t>1.752369</w:t>
            </w:r>
          </w:p>
        </w:tc>
        <w:tc>
          <w:tcPr>
            <w:tcW w:w="2319" w:type="dxa"/>
            <w:gridSpan w:val="2"/>
            <w:tcBorders>
              <w:bottom w:val="double" w:sz="6" w:space="0" w:color="000000"/>
            </w:tcBorders>
          </w:tcPr>
          <w:p>
            <w:pPr>
              <w:pStyle w:val="TableParagraph"/>
              <w:spacing w:line="209" w:lineRule="exact"/>
              <w:ind w:left="141"/>
              <w:rPr>
                <w:rFonts w:ascii="Arial MT"/>
                <w:sz w:val="20"/>
              </w:rPr>
            </w:pPr>
            <w:r>
              <w:rPr>
                <w:rFonts w:ascii="Arial MT"/>
                <w:spacing w:val="-2"/>
                <w:sz w:val="20"/>
              </w:rPr>
              <w:t>Prob(F-statistic)</w:t>
            </w:r>
          </w:p>
        </w:tc>
        <w:tc>
          <w:tcPr>
            <w:tcW w:w="941" w:type="dxa"/>
            <w:tcBorders>
              <w:bottom w:val="double" w:sz="6" w:space="0" w:color="000000"/>
            </w:tcBorders>
          </w:tcPr>
          <w:p>
            <w:pPr>
              <w:pStyle w:val="TableParagraph"/>
              <w:spacing w:line="209" w:lineRule="exact"/>
              <w:ind w:right="34"/>
              <w:jc w:val="right"/>
              <w:rPr>
                <w:rFonts w:ascii="Arial MT"/>
                <w:sz w:val="20"/>
              </w:rPr>
            </w:pPr>
            <w:r>
              <w:rPr>
                <w:rFonts w:ascii="Arial MT"/>
                <w:spacing w:val="-2"/>
                <w:sz w:val="20"/>
              </w:rPr>
              <w:t>0.000000</w:t>
            </w:r>
          </w:p>
        </w:tc>
      </w:tr>
    </w:tbl>
    <w:p>
      <w:pPr>
        <w:pStyle w:val="BodyText"/>
        <w:spacing w:before="11"/>
        <w:rPr>
          <w:b/>
          <w:sz w:val="20"/>
        </w:rPr>
      </w:pPr>
    </w:p>
    <w:p>
      <w:pPr>
        <w:spacing w:before="1"/>
        <w:ind w:left="711" w:right="0" w:firstLine="0"/>
        <w:jc w:val="left"/>
        <w:rPr>
          <w:sz w:val="20"/>
        </w:rPr>
      </w:pPr>
      <w:r>
        <w:rPr>
          <w:spacing w:val="-5"/>
          <w:sz w:val="20"/>
        </w:rPr>
        <w:t>ECM</w:t>
      </w:r>
    </w:p>
    <w:p>
      <w:pPr>
        <w:pStyle w:val="BodyText"/>
        <w:spacing w:before="7"/>
        <w:rPr>
          <w:sz w:val="20"/>
        </w:rPr>
      </w:pPr>
    </w:p>
    <w:tbl>
      <w:tblPr>
        <w:tblW w:w="0" w:type="auto"/>
        <w:jc w:val="left"/>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98"/>
      </w:tblGrid>
      <w:tr>
        <w:trPr>
          <w:trHeight w:val="226" w:hRule="atLeast"/>
        </w:trPr>
        <w:tc>
          <w:tcPr>
            <w:tcW w:w="998" w:type="dxa"/>
          </w:tcPr>
          <w:p>
            <w:pPr>
              <w:pStyle w:val="TableParagraph"/>
              <w:spacing w:line="206" w:lineRule="exact"/>
              <w:ind w:left="54"/>
              <w:jc w:val="center"/>
              <w:rPr>
                <w:rFonts w:ascii="Arial MT"/>
                <w:sz w:val="20"/>
              </w:rPr>
            </w:pPr>
            <w:r>
              <w:rPr>
                <w:rFonts w:ascii="Arial MT"/>
                <w:spacing w:val="-2"/>
                <w:sz w:val="20"/>
              </w:rPr>
              <w:t>0.000499</w:t>
            </w:r>
          </w:p>
        </w:tc>
      </w:tr>
      <w:tr>
        <w:trPr>
          <w:trHeight w:val="229" w:hRule="atLeast"/>
        </w:trPr>
        <w:tc>
          <w:tcPr>
            <w:tcW w:w="998" w:type="dxa"/>
          </w:tcPr>
          <w:p>
            <w:pPr>
              <w:pStyle w:val="TableParagraph"/>
              <w:spacing w:line="209" w:lineRule="exact"/>
              <w:ind w:left="54"/>
              <w:jc w:val="center"/>
              <w:rPr>
                <w:rFonts w:ascii="Arial MT"/>
                <w:sz w:val="20"/>
              </w:rPr>
            </w:pPr>
            <w:r>
              <w:rPr>
                <w:rFonts w:ascii="Arial MT"/>
                <w:spacing w:val="-2"/>
                <w:sz w:val="20"/>
              </w:rPr>
              <w:t>0.004597</w:t>
            </w:r>
          </w:p>
        </w:tc>
      </w:tr>
      <w:tr>
        <w:trPr>
          <w:trHeight w:val="229" w:hRule="atLeast"/>
        </w:trPr>
        <w:tc>
          <w:tcPr>
            <w:tcW w:w="998" w:type="dxa"/>
          </w:tcPr>
          <w:p>
            <w:pPr>
              <w:pStyle w:val="TableParagraph"/>
              <w:spacing w:line="209" w:lineRule="exact"/>
              <w:jc w:val="center"/>
              <w:rPr>
                <w:rFonts w:ascii="Arial MT"/>
                <w:sz w:val="20"/>
              </w:rPr>
            </w:pPr>
            <w:r>
              <w:rPr>
                <w:rFonts w:ascii="Arial MT"/>
                <w:spacing w:val="-2"/>
                <w:sz w:val="20"/>
              </w:rPr>
              <w:t>-0.419627</w:t>
            </w:r>
          </w:p>
        </w:tc>
      </w:tr>
      <w:tr>
        <w:trPr>
          <w:trHeight w:val="230" w:hRule="atLeast"/>
        </w:trPr>
        <w:tc>
          <w:tcPr>
            <w:tcW w:w="998" w:type="dxa"/>
          </w:tcPr>
          <w:p>
            <w:pPr>
              <w:pStyle w:val="TableParagraph"/>
              <w:spacing w:line="210" w:lineRule="exact"/>
              <w:ind w:left="54"/>
              <w:jc w:val="center"/>
              <w:rPr>
                <w:rFonts w:ascii="Arial MT"/>
                <w:sz w:val="20"/>
              </w:rPr>
            </w:pPr>
            <w:r>
              <w:rPr>
                <w:rFonts w:ascii="Arial MT"/>
                <w:spacing w:val="-2"/>
                <w:sz w:val="20"/>
              </w:rPr>
              <w:t>0.126799</w:t>
            </w:r>
          </w:p>
        </w:tc>
      </w:tr>
      <w:tr>
        <w:trPr>
          <w:trHeight w:val="230" w:hRule="atLeast"/>
        </w:trPr>
        <w:tc>
          <w:tcPr>
            <w:tcW w:w="998" w:type="dxa"/>
          </w:tcPr>
          <w:p>
            <w:pPr>
              <w:pStyle w:val="TableParagraph"/>
              <w:spacing w:line="210" w:lineRule="exact"/>
              <w:jc w:val="center"/>
              <w:rPr>
                <w:rFonts w:ascii="Arial MT"/>
                <w:sz w:val="20"/>
              </w:rPr>
            </w:pPr>
            <w:r>
              <w:rPr>
                <w:rFonts w:ascii="Arial MT"/>
                <w:spacing w:val="-2"/>
                <w:sz w:val="20"/>
              </w:rPr>
              <w:t>-0.615467</w:t>
            </w:r>
          </w:p>
        </w:tc>
      </w:tr>
      <w:tr>
        <w:trPr>
          <w:trHeight w:val="230" w:hRule="atLeast"/>
        </w:trPr>
        <w:tc>
          <w:tcPr>
            <w:tcW w:w="998" w:type="dxa"/>
          </w:tcPr>
          <w:p>
            <w:pPr>
              <w:pStyle w:val="TableParagraph"/>
              <w:spacing w:line="210" w:lineRule="exact"/>
              <w:ind w:left="54"/>
              <w:jc w:val="center"/>
              <w:rPr>
                <w:rFonts w:ascii="Arial MT"/>
                <w:sz w:val="20"/>
              </w:rPr>
            </w:pPr>
            <w:r>
              <w:rPr>
                <w:rFonts w:ascii="Arial MT"/>
                <w:spacing w:val="-2"/>
                <w:sz w:val="20"/>
              </w:rPr>
              <w:t>0.522938</w:t>
            </w:r>
          </w:p>
        </w:tc>
      </w:tr>
      <w:tr>
        <w:trPr>
          <w:trHeight w:val="230" w:hRule="atLeast"/>
        </w:trPr>
        <w:tc>
          <w:tcPr>
            <w:tcW w:w="998" w:type="dxa"/>
          </w:tcPr>
          <w:p>
            <w:pPr>
              <w:pStyle w:val="TableParagraph"/>
              <w:spacing w:line="211" w:lineRule="exact"/>
              <w:ind w:left="54"/>
              <w:jc w:val="center"/>
              <w:rPr>
                <w:rFonts w:ascii="Arial MT"/>
                <w:sz w:val="20"/>
              </w:rPr>
            </w:pPr>
            <w:r>
              <w:rPr>
                <w:rFonts w:ascii="Arial MT"/>
                <w:spacing w:val="-2"/>
                <w:sz w:val="20"/>
              </w:rPr>
              <w:t>0.421136</w:t>
            </w:r>
          </w:p>
        </w:tc>
      </w:tr>
      <w:tr>
        <w:trPr>
          <w:trHeight w:val="229" w:hRule="atLeast"/>
        </w:trPr>
        <w:tc>
          <w:tcPr>
            <w:tcW w:w="998" w:type="dxa"/>
          </w:tcPr>
          <w:p>
            <w:pPr>
              <w:pStyle w:val="TableParagraph"/>
              <w:spacing w:line="209" w:lineRule="exact"/>
              <w:ind w:left="54"/>
              <w:jc w:val="center"/>
              <w:rPr>
                <w:rFonts w:ascii="Arial MT"/>
                <w:sz w:val="20"/>
              </w:rPr>
            </w:pPr>
            <w:r>
              <w:rPr>
                <w:rFonts w:ascii="Arial MT"/>
                <w:spacing w:val="-2"/>
                <w:sz w:val="20"/>
              </w:rPr>
              <w:t>0.357743</w:t>
            </w:r>
          </w:p>
        </w:tc>
      </w:tr>
      <w:tr>
        <w:trPr>
          <w:trHeight w:val="229" w:hRule="atLeast"/>
        </w:trPr>
        <w:tc>
          <w:tcPr>
            <w:tcW w:w="998" w:type="dxa"/>
          </w:tcPr>
          <w:p>
            <w:pPr>
              <w:pStyle w:val="TableParagraph"/>
              <w:spacing w:line="209" w:lineRule="exact"/>
              <w:jc w:val="center"/>
              <w:rPr>
                <w:rFonts w:ascii="Arial MT"/>
                <w:sz w:val="20"/>
              </w:rPr>
            </w:pPr>
            <w:r>
              <w:rPr>
                <w:rFonts w:ascii="Arial MT"/>
                <w:spacing w:val="-2"/>
                <w:sz w:val="20"/>
              </w:rPr>
              <w:t>-0.268965</w:t>
            </w:r>
          </w:p>
        </w:tc>
      </w:tr>
      <w:tr>
        <w:trPr>
          <w:trHeight w:val="230" w:hRule="atLeast"/>
        </w:trPr>
        <w:tc>
          <w:tcPr>
            <w:tcW w:w="998" w:type="dxa"/>
          </w:tcPr>
          <w:p>
            <w:pPr>
              <w:pStyle w:val="TableParagraph"/>
              <w:spacing w:line="210" w:lineRule="exact"/>
              <w:jc w:val="center"/>
              <w:rPr>
                <w:rFonts w:ascii="Arial MT"/>
                <w:sz w:val="20"/>
              </w:rPr>
            </w:pPr>
            <w:r>
              <w:rPr>
                <w:rFonts w:ascii="Arial MT"/>
                <w:spacing w:val="-2"/>
                <w:sz w:val="20"/>
              </w:rPr>
              <w:t>-0.016234</w:t>
            </w:r>
          </w:p>
        </w:tc>
      </w:tr>
      <w:tr>
        <w:trPr>
          <w:trHeight w:val="230" w:hRule="atLeast"/>
        </w:trPr>
        <w:tc>
          <w:tcPr>
            <w:tcW w:w="998" w:type="dxa"/>
          </w:tcPr>
          <w:p>
            <w:pPr>
              <w:pStyle w:val="TableParagraph"/>
              <w:spacing w:line="210" w:lineRule="exact"/>
              <w:jc w:val="center"/>
              <w:rPr>
                <w:rFonts w:ascii="Arial MT"/>
                <w:sz w:val="20"/>
              </w:rPr>
            </w:pPr>
            <w:r>
              <w:rPr>
                <w:rFonts w:ascii="Arial MT"/>
                <w:spacing w:val="-2"/>
                <w:sz w:val="20"/>
              </w:rPr>
              <w:t>-0.099215</w:t>
            </w:r>
          </w:p>
        </w:tc>
      </w:tr>
      <w:tr>
        <w:trPr>
          <w:trHeight w:val="230" w:hRule="atLeast"/>
        </w:trPr>
        <w:tc>
          <w:tcPr>
            <w:tcW w:w="998" w:type="dxa"/>
          </w:tcPr>
          <w:p>
            <w:pPr>
              <w:pStyle w:val="TableParagraph"/>
              <w:spacing w:line="210" w:lineRule="exact"/>
              <w:jc w:val="center"/>
              <w:rPr>
                <w:rFonts w:ascii="Arial MT"/>
                <w:sz w:val="20"/>
              </w:rPr>
            </w:pPr>
            <w:r>
              <w:rPr>
                <w:rFonts w:ascii="Arial MT"/>
                <w:spacing w:val="-2"/>
                <w:sz w:val="20"/>
              </w:rPr>
              <w:t>-0.325306</w:t>
            </w:r>
          </w:p>
        </w:tc>
      </w:tr>
      <w:tr>
        <w:trPr>
          <w:trHeight w:val="230" w:hRule="atLeast"/>
        </w:trPr>
        <w:tc>
          <w:tcPr>
            <w:tcW w:w="998" w:type="dxa"/>
          </w:tcPr>
          <w:p>
            <w:pPr>
              <w:pStyle w:val="TableParagraph"/>
              <w:spacing w:line="210" w:lineRule="exact"/>
              <w:jc w:val="center"/>
              <w:rPr>
                <w:rFonts w:ascii="Arial MT"/>
                <w:sz w:val="20"/>
              </w:rPr>
            </w:pPr>
            <w:r>
              <w:rPr>
                <w:rFonts w:ascii="Arial MT"/>
                <w:spacing w:val="-2"/>
                <w:sz w:val="20"/>
              </w:rPr>
              <w:t>-0.552178</w:t>
            </w:r>
          </w:p>
        </w:tc>
      </w:tr>
      <w:tr>
        <w:trPr>
          <w:trHeight w:val="229" w:hRule="atLeast"/>
        </w:trPr>
        <w:tc>
          <w:tcPr>
            <w:tcW w:w="998" w:type="dxa"/>
          </w:tcPr>
          <w:p>
            <w:pPr>
              <w:pStyle w:val="TableParagraph"/>
              <w:spacing w:line="209" w:lineRule="exact"/>
              <w:jc w:val="center"/>
              <w:rPr>
                <w:rFonts w:ascii="Arial MT"/>
                <w:sz w:val="20"/>
              </w:rPr>
            </w:pPr>
            <w:r>
              <w:rPr>
                <w:rFonts w:ascii="Arial MT"/>
                <w:spacing w:val="-2"/>
                <w:sz w:val="20"/>
              </w:rPr>
              <w:t>-0.043477</w:t>
            </w:r>
          </w:p>
        </w:tc>
      </w:tr>
      <w:tr>
        <w:trPr>
          <w:trHeight w:val="229" w:hRule="atLeast"/>
        </w:trPr>
        <w:tc>
          <w:tcPr>
            <w:tcW w:w="998" w:type="dxa"/>
          </w:tcPr>
          <w:p>
            <w:pPr>
              <w:pStyle w:val="TableParagraph"/>
              <w:spacing w:line="209" w:lineRule="exact"/>
              <w:ind w:left="54"/>
              <w:jc w:val="center"/>
              <w:rPr>
                <w:rFonts w:ascii="Arial MT"/>
                <w:sz w:val="20"/>
              </w:rPr>
            </w:pPr>
            <w:r>
              <w:rPr>
                <w:rFonts w:ascii="Arial MT"/>
                <w:spacing w:val="-2"/>
                <w:sz w:val="20"/>
              </w:rPr>
              <w:t>0.542729</w:t>
            </w:r>
          </w:p>
        </w:tc>
      </w:tr>
      <w:tr>
        <w:trPr>
          <w:trHeight w:val="230" w:hRule="atLeast"/>
        </w:trPr>
        <w:tc>
          <w:tcPr>
            <w:tcW w:w="998" w:type="dxa"/>
          </w:tcPr>
          <w:p>
            <w:pPr>
              <w:pStyle w:val="TableParagraph"/>
              <w:spacing w:line="210" w:lineRule="exact"/>
              <w:ind w:left="54"/>
              <w:jc w:val="center"/>
              <w:rPr>
                <w:rFonts w:ascii="Arial MT"/>
                <w:sz w:val="20"/>
              </w:rPr>
            </w:pPr>
            <w:r>
              <w:rPr>
                <w:rFonts w:ascii="Arial MT"/>
                <w:spacing w:val="-2"/>
                <w:sz w:val="20"/>
              </w:rPr>
              <w:t>0.011477</w:t>
            </w:r>
          </w:p>
        </w:tc>
      </w:tr>
      <w:tr>
        <w:trPr>
          <w:trHeight w:val="230" w:hRule="atLeast"/>
        </w:trPr>
        <w:tc>
          <w:tcPr>
            <w:tcW w:w="998" w:type="dxa"/>
          </w:tcPr>
          <w:p>
            <w:pPr>
              <w:pStyle w:val="TableParagraph"/>
              <w:spacing w:line="210" w:lineRule="exact"/>
              <w:jc w:val="center"/>
              <w:rPr>
                <w:rFonts w:ascii="Arial MT"/>
                <w:sz w:val="20"/>
              </w:rPr>
            </w:pPr>
            <w:r>
              <w:rPr>
                <w:rFonts w:ascii="Arial MT"/>
                <w:spacing w:val="-2"/>
                <w:sz w:val="20"/>
              </w:rPr>
              <w:t>-0.338683</w:t>
            </w:r>
          </w:p>
        </w:tc>
      </w:tr>
      <w:tr>
        <w:trPr>
          <w:trHeight w:val="230" w:hRule="atLeast"/>
        </w:trPr>
        <w:tc>
          <w:tcPr>
            <w:tcW w:w="998" w:type="dxa"/>
          </w:tcPr>
          <w:p>
            <w:pPr>
              <w:pStyle w:val="TableParagraph"/>
              <w:spacing w:line="210" w:lineRule="exact"/>
              <w:ind w:left="54"/>
              <w:jc w:val="center"/>
              <w:rPr>
                <w:rFonts w:ascii="Arial MT"/>
                <w:sz w:val="20"/>
              </w:rPr>
            </w:pPr>
            <w:r>
              <w:rPr>
                <w:rFonts w:ascii="Arial MT"/>
                <w:spacing w:val="-2"/>
                <w:sz w:val="20"/>
              </w:rPr>
              <w:t>0.179375</w:t>
            </w:r>
          </w:p>
        </w:tc>
      </w:tr>
      <w:tr>
        <w:trPr>
          <w:trHeight w:val="229" w:hRule="atLeast"/>
        </w:trPr>
        <w:tc>
          <w:tcPr>
            <w:tcW w:w="998" w:type="dxa"/>
          </w:tcPr>
          <w:p>
            <w:pPr>
              <w:pStyle w:val="TableParagraph"/>
              <w:spacing w:line="209" w:lineRule="exact"/>
              <w:ind w:left="54"/>
              <w:jc w:val="center"/>
              <w:rPr>
                <w:rFonts w:ascii="Arial MT"/>
                <w:sz w:val="20"/>
              </w:rPr>
            </w:pPr>
            <w:r>
              <w:rPr>
                <w:rFonts w:ascii="Arial MT"/>
                <w:spacing w:val="-2"/>
                <w:sz w:val="20"/>
              </w:rPr>
              <w:t>0.184404</w:t>
            </w:r>
          </w:p>
        </w:tc>
      </w:tr>
      <w:tr>
        <w:trPr>
          <w:trHeight w:val="229" w:hRule="atLeast"/>
        </w:trPr>
        <w:tc>
          <w:tcPr>
            <w:tcW w:w="998" w:type="dxa"/>
          </w:tcPr>
          <w:p>
            <w:pPr>
              <w:pStyle w:val="TableParagraph"/>
              <w:spacing w:line="209" w:lineRule="exact"/>
              <w:jc w:val="center"/>
              <w:rPr>
                <w:rFonts w:ascii="Arial MT"/>
                <w:sz w:val="20"/>
              </w:rPr>
            </w:pPr>
            <w:r>
              <w:rPr>
                <w:rFonts w:ascii="Arial MT"/>
                <w:spacing w:val="-2"/>
                <w:sz w:val="20"/>
              </w:rPr>
              <w:t>-0.180071</w:t>
            </w:r>
          </w:p>
        </w:tc>
      </w:tr>
      <w:tr>
        <w:trPr>
          <w:trHeight w:val="230" w:hRule="atLeast"/>
        </w:trPr>
        <w:tc>
          <w:tcPr>
            <w:tcW w:w="998" w:type="dxa"/>
          </w:tcPr>
          <w:p>
            <w:pPr>
              <w:pStyle w:val="TableParagraph"/>
              <w:spacing w:line="210" w:lineRule="exact"/>
              <w:jc w:val="center"/>
              <w:rPr>
                <w:rFonts w:ascii="Arial MT"/>
                <w:sz w:val="20"/>
              </w:rPr>
            </w:pPr>
            <w:r>
              <w:rPr>
                <w:rFonts w:ascii="Arial MT"/>
                <w:spacing w:val="-2"/>
                <w:sz w:val="20"/>
              </w:rPr>
              <w:t>-0.272138</w:t>
            </w:r>
          </w:p>
        </w:tc>
      </w:tr>
      <w:tr>
        <w:trPr>
          <w:trHeight w:val="230" w:hRule="atLeast"/>
        </w:trPr>
        <w:tc>
          <w:tcPr>
            <w:tcW w:w="998" w:type="dxa"/>
          </w:tcPr>
          <w:p>
            <w:pPr>
              <w:pStyle w:val="TableParagraph"/>
              <w:spacing w:line="210" w:lineRule="exact"/>
              <w:ind w:left="54"/>
              <w:jc w:val="center"/>
              <w:rPr>
                <w:rFonts w:ascii="Arial MT"/>
                <w:sz w:val="20"/>
              </w:rPr>
            </w:pPr>
            <w:r>
              <w:rPr>
                <w:rFonts w:ascii="Arial MT"/>
                <w:spacing w:val="-2"/>
                <w:sz w:val="20"/>
              </w:rPr>
              <w:t>0.182126</w:t>
            </w:r>
          </w:p>
        </w:tc>
      </w:tr>
      <w:tr>
        <w:trPr>
          <w:trHeight w:val="230" w:hRule="atLeast"/>
        </w:trPr>
        <w:tc>
          <w:tcPr>
            <w:tcW w:w="998" w:type="dxa"/>
          </w:tcPr>
          <w:p>
            <w:pPr>
              <w:pStyle w:val="TableParagraph"/>
              <w:spacing w:line="211" w:lineRule="exact"/>
              <w:jc w:val="center"/>
              <w:rPr>
                <w:rFonts w:ascii="Arial MT"/>
                <w:sz w:val="20"/>
              </w:rPr>
            </w:pPr>
            <w:r>
              <w:rPr>
                <w:rFonts w:ascii="Arial MT"/>
                <w:spacing w:val="-2"/>
                <w:sz w:val="20"/>
              </w:rPr>
              <w:t>-0.125531</w:t>
            </w:r>
          </w:p>
        </w:tc>
      </w:tr>
      <w:tr>
        <w:trPr>
          <w:trHeight w:val="230" w:hRule="atLeast"/>
        </w:trPr>
        <w:tc>
          <w:tcPr>
            <w:tcW w:w="998" w:type="dxa"/>
          </w:tcPr>
          <w:p>
            <w:pPr>
              <w:pStyle w:val="TableParagraph"/>
              <w:spacing w:line="211" w:lineRule="exact"/>
              <w:jc w:val="center"/>
              <w:rPr>
                <w:rFonts w:ascii="Arial MT"/>
                <w:sz w:val="20"/>
              </w:rPr>
            </w:pPr>
            <w:r>
              <w:rPr>
                <w:rFonts w:ascii="Arial MT"/>
                <w:spacing w:val="-2"/>
                <w:sz w:val="20"/>
              </w:rPr>
              <w:t>-0.551001</w:t>
            </w:r>
          </w:p>
        </w:tc>
      </w:tr>
      <w:tr>
        <w:trPr>
          <w:trHeight w:val="229" w:hRule="atLeast"/>
        </w:trPr>
        <w:tc>
          <w:tcPr>
            <w:tcW w:w="998" w:type="dxa"/>
          </w:tcPr>
          <w:p>
            <w:pPr>
              <w:pStyle w:val="TableParagraph"/>
              <w:spacing w:line="209" w:lineRule="exact"/>
              <w:jc w:val="center"/>
              <w:rPr>
                <w:rFonts w:ascii="Arial MT"/>
                <w:sz w:val="20"/>
              </w:rPr>
            </w:pPr>
            <w:r>
              <w:rPr>
                <w:rFonts w:ascii="Arial MT"/>
                <w:spacing w:val="-2"/>
                <w:sz w:val="20"/>
              </w:rPr>
              <w:t>-0.283573</w:t>
            </w:r>
          </w:p>
        </w:tc>
      </w:tr>
      <w:tr>
        <w:trPr>
          <w:trHeight w:val="229" w:hRule="atLeast"/>
        </w:trPr>
        <w:tc>
          <w:tcPr>
            <w:tcW w:w="998" w:type="dxa"/>
          </w:tcPr>
          <w:p>
            <w:pPr>
              <w:pStyle w:val="TableParagraph"/>
              <w:spacing w:line="209" w:lineRule="exact"/>
              <w:ind w:left="54"/>
              <w:jc w:val="center"/>
              <w:rPr>
                <w:rFonts w:ascii="Arial MT"/>
                <w:sz w:val="20"/>
              </w:rPr>
            </w:pPr>
            <w:r>
              <w:rPr>
                <w:rFonts w:ascii="Arial MT"/>
                <w:spacing w:val="-2"/>
                <w:sz w:val="20"/>
              </w:rPr>
              <w:t>0.001712</w:t>
            </w:r>
          </w:p>
        </w:tc>
      </w:tr>
      <w:tr>
        <w:trPr>
          <w:trHeight w:val="230" w:hRule="atLeast"/>
        </w:trPr>
        <w:tc>
          <w:tcPr>
            <w:tcW w:w="998" w:type="dxa"/>
          </w:tcPr>
          <w:p>
            <w:pPr>
              <w:pStyle w:val="TableParagraph"/>
              <w:spacing w:line="210" w:lineRule="exact"/>
              <w:jc w:val="center"/>
              <w:rPr>
                <w:rFonts w:ascii="Arial MT"/>
                <w:sz w:val="20"/>
              </w:rPr>
            </w:pPr>
            <w:r>
              <w:rPr>
                <w:rFonts w:ascii="Arial MT"/>
                <w:spacing w:val="-2"/>
                <w:sz w:val="20"/>
              </w:rPr>
              <w:t>-0.188216</w:t>
            </w:r>
          </w:p>
        </w:tc>
      </w:tr>
      <w:tr>
        <w:trPr>
          <w:trHeight w:val="230" w:hRule="atLeast"/>
        </w:trPr>
        <w:tc>
          <w:tcPr>
            <w:tcW w:w="998" w:type="dxa"/>
          </w:tcPr>
          <w:p>
            <w:pPr>
              <w:pStyle w:val="TableParagraph"/>
              <w:spacing w:line="210" w:lineRule="exact"/>
              <w:ind w:left="54"/>
              <w:jc w:val="center"/>
              <w:rPr>
                <w:rFonts w:ascii="Arial MT"/>
                <w:sz w:val="20"/>
              </w:rPr>
            </w:pPr>
            <w:r>
              <w:rPr>
                <w:rFonts w:ascii="Arial MT"/>
                <w:spacing w:val="-2"/>
                <w:sz w:val="20"/>
              </w:rPr>
              <w:t>0.050148</w:t>
            </w:r>
          </w:p>
        </w:tc>
      </w:tr>
      <w:tr>
        <w:trPr>
          <w:trHeight w:val="230" w:hRule="atLeast"/>
        </w:trPr>
        <w:tc>
          <w:tcPr>
            <w:tcW w:w="998" w:type="dxa"/>
          </w:tcPr>
          <w:p>
            <w:pPr>
              <w:pStyle w:val="TableParagraph"/>
              <w:spacing w:line="210" w:lineRule="exact"/>
              <w:ind w:left="54"/>
              <w:jc w:val="center"/>
              <w:rPr>
                <w:rFonts w:ascii="Arial MT"/>
                <w:sz w:val="20"/>
              </w:rPr>
            </w:pPr>
            <w:r>
              <w:rPr>
                <w:rFonts w:ascii="Arial MT"/>
                <w:spacing w:val="-2"/>
                <w:sz w:val="20"/>
              </w:rPr>
              <w:t>0.022303</w:t>
            </w:r>
          </w:p>
        </w:tc>
      </w:tr>
      <w:tr>
        <w:trPr>
          <w:trHeight w:val="230" w:hRule="atLeast"/>
        </w:trPr>
        <w:tc>
          <w:tcPr>
            <w:tcW w:w="998" w:type="dxa"/>
          </w:tcPr>
          <w:p>
            <w:pPr>
              <w:pStyle w:val="TableParagraph"/>
              <w:spacing w:line="210" w:lineRule="exact"/>
              <w:jc w:val="center"/>
              <w:rPr>
                <w:rFonts w:ascii="Arial MT"/>
                <w:sz w:val="20"/>
              </w:rPr>
            </w:pPr>
            <w:r>
              <w:rPr>
                <w:rFonts w:ascii="Arial MT"/>
                <w:spacing w:val="-2"/>
                <w:sz w:val="20"/>
              </w:rPr>
              <w:t>-0.335910</w:t>
            </w:r>
          </w:p>
        </w:tc>
      </w:tr>
      <w:tr>
        <w:trPr>
          <w:trHeight w:val="229" w:hRule="atLeast"/>
        </w:trPr>
        <w:tc>
          <w:tcPr>
            <w:tcW w:w="998" w:type="dxa"/>
          </w:tcPr>
          <w:p>
            <w:pPr>
              <w:pStyle w:val="TableParagraph"/>
              <w:spacing w:line="209" w:lineRule="exact"/>
              <w:jc w:val="center"/>
              <w:rPr>
                <w:rFonts w:ascii="Arial MT"/>
                <w:sz w:val="20"/>
              </w:rPr>
            </w:pPr>
            <w:r>
              <w:rPr>
                <w:rFonts w:ascii="Arial MT"/>
                <w:spacing w:val="-2"/>
                <w:sz w:val="20"/>
              </w:rPr>
              <w:t>-0.288214</w:t>
            </w:r>
          </w:p>
        </w:tc>
      </w:tr>
      <w:tr>
        <w:trPr>
          <w:trHeight w:val="229" w:hRule="atLeast"/>
        </w:trPr>
        <w:tc>
          <w:tcPr>
            <w:tcW w:w="998" w:type="dxa"/>
          </w:tcPr>
          <w:p>
            <w:pPr>
              <w:pStyle w:val="TableParagraph"/>
              <w:spacing w:line="209" w:lineRule="exact"/>
              <w:ind w:left="54"/>
              <w:jc w:val="center"/>
              <w:rPr>
                <w:rFonts w:ascii="Arial MT"/>
                <w:sz w:val="20"/>
              </w:rPr>
            </w:pPr>
            <w:r>
              <w:rPr>
                <w:rFonts w:ascii="Arial MT"/>
                <w:spacing w:val="-2"/>
                <w:sz w:val="20"/>
              </w:rPr>
              <w:t>0.354140</w:t>
            </w:r>
          </w:p>
        </w:tc>
      </w:tr>
      <w:tr>
        <w:trPr>
          <w:trHeight w:val="230" w:hRule="atLeast"/>
        </w:trPr>
        <w:tc>
          <w:tcPr>
            <w:tcW w:w="998" w:type="dxa"/>
          </w:tcPr>
          <w:p>
            <w:pPr>
              <w:pStyle w:val="TableParagraph"/>
              <w:spacing w:line="210" w:lineRule="exact"/>
              <w:ind w:left="54"/>
              <w:jc w:val="center"/>
              <w:rPr>
                <w:rFonts w:ascii="Arial MT"/>
                <w:sz w:val="20"/>
              </w:rPr>
            </w:pPr>
            <w:r>
              <w:rPr>
                <w:rFonts w:ascii="Arial MT"/>
                <w:spacing w:val="-2"/>
                <w:sz w:val="20"/>
              </w:rPr>
              <w:t>0.572656</w:t>
            </w:r>
          </w:p>
        </w:tc>
      </w:tr>
      <w:tr>
        <w:trPr>
          <w:trHeight w:val="230" w:hRule="atLeast"/>
        </w:trPr>
        <w:tc>
          <w:tcPr>
            <w:tcW w:w="998" w:type="dxa"/>
          </w:tcPr>
          <w:p>
            <w:pPr>
              <w:pStyle w:val="TableParagraph"/>
              <w:spacing w:line="210" w:lineRule="exact"/>
              <w:ind w:left="54"/>
              <w:jc w:val="center"/>
              <w:rPr>
                <w:rFonts w:ascii="Arial MT"/>
                <w:sz w:val="20"/>
              </w:rPr>
            </w:pPr>
            <w:r>
              <w:rPr>
                <w:rFonts w:ascii="Arial MT"/>
                <w:spacing w:val="-2"/>
                <w:sz w:val="20"/>
              </w:rPr>
              <w:t>0.717109</w:t>
            </w:r>
          </w:p>
        </w:tc>
      </w:tr>
      <w:tr>
        <w:trPr>
          <w:trHeight w:val="230" w:hRule="atLeast"/>
        </w:trPr>
        <w:tc>
          <w:tcPr>
            <w:tcW w:w="998" w:type="dxa"/>
          </w:tcPr>
          <w:p>
            <w:pPr>
              <w:pStyle w:val="TableParagraph"/>
              <w:spacing w:line="210" w:lineRule="exact"/>
              <w:ind w:left="54"/>
              <w:jc w:val="center"/>
              <w:rPr>
                <w:rFonts w:ascii="Arial MT"/>
                <w:sz w:val="20"/>
              </w:rPr>
            </w:pPr>
            <w:r>
              <w:rPr>
                <w:rFonts w:ascii="Arial MT"/>
                <w:spacing w:val="-2"/>
                <w:sz w:val="20"/>
              </w:rPr>
              <w:t>0.044559</w:t>
            </w:r>
          </w:p>
        </w:tc>
      </w:tr>
      <w:tr>
        <w:trPr>
          <w:trHeight w:val="230" w:hRule="atLeast"/>
        </w:trPr>
        <w:tc>
          <w:tcPr>
            <w:tcW w:w="998" w:type="dxa"/>
          </w:tcPr>
          <w:p>
            <w:pPr>
              <w:pStyle w:val="TableParagraph"/>
              <w:spacing w:line="210" w:lineRule="exact"/>
              <w:jc w:val="center"/>
              <w:rPr>
                <w:rFonts w:ascii="Arial MT"/>
                <w:sz w:val="20"/>
              </w:rPr>
            </w:pPr>
            <w:r>
              <w:rPr>
                <w:rFonts w:ascii="Arial MT"/>
                <w:spacing w:val="-2"/>
                <w:sz w:val="20"/>
              </w:rPr>
              <w:t>-0.030133</w:t>
            </w:r>
          </w:p>
        </w:tc>
      </w:tr>
      <w:tr>
        <w:trPr>
          <w:trHeight w:val="226" w:hRule="atLeast"/>
        </w:trPr>
        <w:tc>
          <w:tcPr>
            <w:tcW w:w="998" w:type="dxa"/>
          </w:tcPr>
          <w:p>
            <w:pPr>
              <w:pStyle w:val="TableParagraph"/>
              <w:spacing w:line="206" w:lineRule="exact"/>
              <w:ind w:left="54"/>
              <w:jc w:val="center"/>
              <w:rPr>
                <w:rFonts w:ascii="Arial MT"/>
                <w:sz w:val="20"/>
              </w:rPr>
            </w:pPr>
            <w:r>
              <w:rPr>
                <w:rFonts w:ascii="Arial MT"/>
                <w:spacing w:val="-2"/>
                <w:sz w:val="20"/>
              </w:rPr>
              <w:t>0.100902</w:t>
            </w:r>
          </w:p>
        </w:tc>
      </w:tr>
    </w:tbl>
    <w:p>
      <w:pPr>
        <w:spacing w:after="0" w:line="206" w:lineRule="exact"/>
        <w:jc w:val="center"/>
        <w:rPr>
          <w:rFonts w:ascii="Arial MT"/>
          <w:sz w:val="20"/>
        </w:rPr>
        <w:sectPr>
          <w:pgSz w:w="11910" w:h="16840"/>
          <w:pgMar w:header="0" w:footer="979" w:top="1360" w:bottom="1200" w:left="280" w:right="0"/>
        </w:sectPr>
      </w:pPr>
    </w:p>
    <w:p>
      <w:pPr>
        <w:pStyle w:val="BodyText"/>
        <w:spacing w:before="5"/>
        <w:rPr>
          <w:sz w:val="2"/>
        </w:rPr>
      </w:pPr>
    </w:p>
    <w:tbl>
      <w:tblPr>
        <w:tblW w:w="0" w:type="auto"/>
        <w:jc w:val="left"/>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98"/>
      </w:tblGrid>
      <w:tr>
        <w:trPr>
          <w:trHeight w:val="226" w:hRule="atLeast"/>
        </w:trPr>
        <w:tc>
          <w:tcPr>
            <w:tcW w:w="998" w:type="dxa"/>
          </w:tcPr>
          <w:p>
            <w:pPr>
              <w:pStyle w:val="TableParagraph"/>
              <w:spacing w:line="207" w:lineRule="exact"/>
              <w:ind w:left="54"/>
              <w:jc w:val="center"/>
              <w:rPr>
                <w:rFonts w:ascii="Arial MT"/>
                <w:sz w:val="20"/>
              </w:rPr>
            </w:pPr>
            <w:r>
              <w:rPr>
                <w:rFonts w:ascii="Arial MT"/>
                <w:spacing w:val="-2"/>
                <w:sz w:val="20"/>
              </w:rPr>
              <w:t>0.629342</w:t>
            </w:r>
          </w:p>
        </w:tc>
      </w:tr>
      <w:tr>
        <w:trPr>
          <w:trHeight w:val="229" w:hRule="atLeast"/>
        </w:trPr>
        <w:tc>
          <w:tcPr>
            <w:tcW w:w="998" w:type="dxa"/>
          </w:tcPr>
          <w:p>
            <w:pPr>
              <w:pStyle w:val="TableParagraph"/>
              <w:spacing w:line="209" w:lineRule="exact"/>
              <w:ind w:left="54"/>
              <w:jc w:val="center"/>
              <w:rPr>
                <w:rFonts w:ascii="Arial MT"/>
                <w:sz w:val="20"/>
              </w:rPr>
            </w:pPr>
            <w:r>
              <w:rPr>
                <w:rFonts w:ascii="Arial MT"/>
                <w:spacing w:val="-2"/>
                <w:sz w:val="20"/>
              </w:rPr>
              <w:t>0.244129</w:t>
            </w:r>
          </w:p>
        </w:tc>
      </w:tr>
      <w:tr>
        <w:trPr>
          <w:trHeight w:val="229" w:hRule="atLeast"/>
        </w:trPr>
        <w:tc>
          <w:tcPr>
            <w:tcW w:w="998" w:type="dxa"/>
          </w:tcPr>
          <w:p>
            <w:pPr>
              <w:pStyle w:val="TableParagraph"/>
              <w:spacing w:line="209" w:lineRule="exact"/>
              <w:ind w:left="54"/>
              <w:jc w:val="center"/>
              <w:rPr>
                <w:rFonts w:ascii="Arial MT"/>
                <w:sz w:val="20"/>
              </w:rPr>
            </w:pPr>
            <w:r>
              <w:rPr>
                <w:rFonts w:ascii="Arial MT"/>
                <w:spacing w:val="-2"/>
                <w:sz w:val="20"/>
              </w:rPr>
              <w:t>0.944592</w:t>
            </w:r>
          </w:p>
        </w:tc>
      </w:tr>
      <w:tr>
        <w:trPr>
          <w:trHeight w:val="230" w:hRule="atLeast"/>
        </w:trPr>
        <w:tc>
          <w:tcPr>
            <w:tcW w:w="998" w:type="dxa"/>
          </w:tcPr>
          <w:p>
            <w:pPr>
              <w:pStyle w:val="TableParagraph"/>
              <w:spacing w:line="210" w:lineRule="exact"/>
              <w:jc w:val="center"/>
              <w:rPr>
                <w:rFonts w:ascii="Arial MT"/>
                <w:sz w:val="20"/>
              </w:rPr>
            </w:pPr>
            <w:r>
              <w:rPr>
                <w:rFonts w:ascii="Arial MT"/>
                <w:spacing w:val="-2"/>
                <w:sz w:val="20"/>
              </w:rPr>
              <w:t>-0.924740</w:t>
            </w:r>
          </w:p>
        </w:tc>
      </w:tr>
      <w:tr>
        <w:trPr>
          <w:trHeight w:val="226" w:hRule="atLeast"/>
        </w:trPr>
        <w:tc>
          <w:tcPr>
            <w:tcW w:w="998" w:type="dxa"/>
          </w:tcPr>
          <w:p>
            <w:pPr>
              <w:pStyle w:val="TableParagraph"/>
              <w:spacing w:line="206" w:lineRule="exact"/>
              <w:jc w:val="center"/>
              <w:rPr>
                <w:rFonts w:ascii="Arial MT"/>
                <w:sz w:val="20"/>
              </w:rPr>
            </w:pPr>
            <w:r>
              <w:rPr>
                <w:rFonts w:ascii="Arial MT"/>
                <w:spacing w:val="-2"/>
                <w:sz w:val="20"/>
              </w:rPr>
              <w:t>-0.356733</w:t>
            </w:r>
          </w:p>
        </w:tc>
      </w:tr>
    </w:tbl>
    <w:p>
      <w:pPr>
        <w:pStyle w:val="BodyText"/>
        <w:spacing w:before="4"/>
        <w:rPr>
          <w:sz w:val="20"/>
        </w:rPr>
      </w:pPr>
    </w:p>
    <w:p>
      <w:pPr>
        <w:spacing w:before="0"/>
        <w:ind w:left="711" w:right="0" w:firstLine="0"/>
        <w:jc w:val="left"/>
        <w:rPr>
          <w:sz w:val="20"/>
        </w:rPr>
      </w:pPr>
      <w:r>
        <w:rPr>
          <w:sz w:val="20"/>
        </w:rPr>
        <w:t>CORRELATION</w:t>
      </w:r>
      <w:r>
        <w:rPr>
          <w:spacing w:val="-10"/>
          <w:sz w:val="20"/>
        </w:rPr>
        <w:t> </w:t>
      </w:r>
      <w:r>
        <w:rPr>
          <w:sz w:val="20"/>
        </w:rPr>
        <w:t>MATRIX</w:t>
      </w:r>
      <w:r>
        <w:rPr>
          <w:spacing w:val="-8"/>
          <w:sz w:val="20"/>
        </w:rPr>
        <w:t> </w:t>
      </w:r>
      <w:r>
        <w:rPr>
          <w:sz w:val="20"/>
        </w:rPr>
        <w:t>FOR</w:t>
      </w:r>
      <w:r>
        <w:rPr>
          <w:spacing w:val="-9"/>
          <w:sz w:val="20"/>
        </w:rPr>
        <w:t> </w:t>
      </w:r>
      <w:r>
        <w:rPr>
          <w:sz w:val="20"/>
        </w:rPr>
        <w:t>MODEL</w:t>
      </w:r>
      <w:r>
        <w:rPr>
          <w:spacing w:val="-9"/>
          <w:sz w:val="20"/>
        </w:rPr>
        <w:t> </w:t>
      </w:r>
      <w:r>
        <w:rPr>
          <w:spacing w:val="-5"/>
          <w:sz w:val="20"/>
        </w:rPr>
        <w:t>2A</w:t>
      </w:r>
    </w:p>
    <w:p>
      <w:pPr>
        <w:pStyle w:val="BodyText"/>
        <w:rPr>
          <w:sz w:val="20"/>
        </w:rPr>
      </w:pPr>
    </w:p>
    <w:p>
      <w:pPr>
        <w:pStyle w:val="BodyText"/>
        <w:rPr>
          <w:sz w:val="20"/>
        </w:rPr>
      </w:pPr>
    </w:p>
    <w:p>
      <w:pPr>
        <w:pStyle w:val="BodyText"/>
        <w:spacing w:before="6"/>
        <w:rPr>
          <w:sz w:val="20"/>
        </w:rPr>
      </w:pPr>
    </w:p>
    <w:tbl>
      <w:tblPr>
        <w:tblW w:w="0" w:type="auto"/>
        <w:jc w:val="left"/>
        <w:tblInd w:w="10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05"/>
        <w:gridCol w:w="1299"/>
        <w:gridCol w:w="1303"/>
        <w:gridCol w:w="1303"/>
        <w:gridCol w:w="1118"/>
      </w:tblGrid>
      <w:tr>
        <w:trPr>
          <w:trHeight w:val="226" w:hRule="atLeast"/>
        </w:trPr>
        <w:tc>
          <w:tcPr>
            <w:tcW w:w="1105" w:type="dxa"/>
          </w:tcPr>
          <w:p>
            <w:pPr>
              <w:pStyle w:val="TableParagraph"/>
              <w:spacing w:line="206" w:lineRule="exact"/>
              <w:ind w:right="224"/>
              <w:jc w:val="center"/>
              <w:rPr>
                <w:rFonts w:ascii="Arial MT"/>
                <w:sz w:val="20"/>
              </w:rPr>
            </w:pPr>
            <w:r>
              <w:rPr>
                <w:rFonts w:ascii="Arial MT"/>
                <w:spacing w:val="-5"/>
                <w:sz w:val="20"/>
              </w:rPr>
              <w:t>GDP</w:t>
            </w:r>
          </w:p>
        </w:tc>
        <w:tc>
          <w:tcPr>
            <w:tcW w:w="1299" w:type="dxa"/>
          </w:tcPr>
          <w:p>
            <w:pPr>
              <w:pStyle w:val="TableParagraph"/>
              <w:spacing w:line="206" w:lineRule="exact"/>
              <w:ind w:right="55"/>
              <w:jc w:val="center"/>
              <w:rPr>
                <w:rFonts w:ascii="Arial MT"/>
                <w:sz w:val="20"/>
              </w:rPr>
            </w:pPr>
            <w:r>
              <w:rPr>
                <w:rFonts w:ascii="Arial MT"/>
                <w:spacing w:val="-2"/>
                <w:sz w:val="20"/>
              </w:rPr>
              <w:t>EXDEBT</w:t>
            </w:r>
          </w:p>
        </w:tc>
        <w:tc>
          <w:tcPr>
            <w:tcW w:w="1303" w:type="dxa"/>
          </w:tcPr>
          <w:p>
            <w:pPr>
              <w:pStyle w:val="TableParagraph"/>
              <w:spacing w:line="206" w:lineRule="exact"/>
              <w:ind w:left="60" w:right="111"/>
              <w:jc w:val="center"/>
              <w:rPr>
                <w:rFonts w:ascii="Arial MT"/>
                <w:sz w:val="20"/>
              </w:rPr>
            </w:pPr>
            <w:r>
              <w:rPr>
                <w:rFonts w:ascii="Arial MT"/>
                <w:spacing w:val="-5"/>
                <w:sz w:val="20"/>
              </w:rPr>
              <w:t>DFI</w:t>
            </w:r>
          </w:p>
        </w:tc>
        <w:tc>
          <w:tcPr>
            <w:tcW w:w="1303" w:type="dxa"/>
          </w:tcPr>
          <w:p>
            <w:pPr>
              <w:pStyle w:val="TableParagraph"/>
              <w:spacing w:line="206" w:lineRule="exact"/>
              <w:ind w:left="60" w:right="114"/>
              <w:jc w:val="center"/>
              <w:rPr>
                <w:rFonts w:ascii="Arial MT"/>
                <w:sz w:val="20"/>
              </w:rPr>
            </w:pPr>
            <w:r>
              <w:rPr>
                <w:rFonts w:ascii="Arial MT"/>
                <w:spacing w:val="-5"/>
                <w:sz w:val="20"/>
              </w:rPr>
              <w:t>CAB</w:t>
            </w:r>
          </w:p>
        </w:tc>
        <w:tc>
          <w:tcPr>
            <w:tcW w:w="1118" w:type="dxa"/>
          </w:tcPr>
          <w:p>
            <w:pPr>
              <w:pStyle w:val="TableParagraph"/>
              <w:spacing w:line="206" w:lineRule="exact"/>
              <w:ind w:left="124"/>
              <w:jc w:val="center"/>
              <w:rPr>
                <w:rFonts w:ascii="Arial MT"/>
                <w:sz w:val="20"/>
              </w:rPr>
            </w:pPr>
            <w:r>
              <w:rPr>
                <w:rFonts w:ascii="Arial MT"/>
                <w:spacing w:val="-5"/>
                <w:sz w:val="20"/>
              </w:rPr>
              <w:t>RES</w:t>
            </w:r>
          </w:p>
        </w:tc>
      </w:tr>
      <w:tr>
        <w:trPr>
          <w:trHeight w:val="230" w:hRule="atLeast"/>
        </w:trPr>
        <w:tc>
          <w:tcPr>
            <w:tcW w:w="1105" w:type="dxa"/>
          </w:tcPr>
          <w:p>
            <w:pPr>
              <w:pStyle w:val="TableParagraph"/>
              <w:spacing w:line="210" w:lineRule="exact"/>
              <w:ind w:right="170"/>
              <w:jc w:val="center"/>
              <w:rPr>
                <w:rFonts w:ascii="Arial MT"/>
                <w:sz w:val="20"/>
              </w:rPr>
            </w:pPr>
            <w:r>
              <w:rPr>
                <w:rFonts w:ascii="Arial MT"/>
                <w:spacing w:val="-2"/>
                <w:sz w:val="20"/>
              </w:rPr>
              <w:t>1.000000</w:t>
            </w:r>
          </w:p>
        </w:tc>
        <w:tc>
          <w:tcPr>
            <w:tcW w:w="1299" w:type="dxa"/>
          </w:tcPr>
          <w:p>
            <w:pPr>
              <w:pStyle w:val="TableParagraph"/>
              <w:spacing w:line="210" w:lineRule="exact"/>
              <w:ind w:left="54" w:right="55"/>
              <w:jc w:val="center"/>
              <w:rPr>
                <w:rFonts w:ascii="Arial MT"/>
                <w:sz w:val="20"/>
              </w:rPr>
            </w:pPr>
            <w:r>
              <w:rPr>
                <w:rFonts w:ascii="Arial MT"/>
                <w:spacing w:val="-2"/>
                <w:sz w:val="20"/>
              </w:rPr>
              <w:t>0.838584</w:t>
            </w:r>
          </w:p>
        </w:tc>
        <w:tc>
          <w:tcPr>
            <w:tcW w:w="1303" w:type="dxa"/>
          </w:tcPr>
          <w:p>
            <w:pPr>
              <w:pStyle w:val="TableParagraph"/>
              <w:spacing w:line="210" w:lineRule="exact"/>
              <w:ind w:left="60" w:right="60"/>
              <w:jc w:val="center"/>
              <w:rPr>
                <w:rFonts w:ascii="Arial MT"/>
                <w:sz w:val="20"/>
              </w:rPr>
            </w:pPr>
            <w:r>
              <w:rPr>
                <w:rFonts w:ascii="Arial MT"/>
                <w:spacing w:val="-2"/>
                <w:sz w:val="20"/>
              </w:rPr>
              <w:t>0.964968</w:t>
            </w:r>
          </w:p>
        </w:tc>
        <w:tc>
          <w:tcPr>
            <w:tcW w:w="1303" w:type="dxa"/>
          </w:tcPr>
          <w:p>
            <w:pPr>
              <w:pStyle w:val="TableParagraph"/>
              <w:spacing w:line="210" w:lineRule="exact"/>
              <w:ind w:left="60" w:right="60"/>
              <w:jc w:val="center"/>
              <w:rPr>
                <w:rFonts w:ascii="Arial MT"/>
                <w:sz w:val="20"/>
              </w:rPr>
            </w:pPr>
            <w:r>
              <w:rPr>
                <w:rFonts w:ascii="Arial MT"/>
                <w:spacing w:val="-2"/>
                <w:sz w:val="20"/>
              </w:rPr>
              <w:t>0.947727</w:t>
            </w:r>
          </w:p>
        </w:tc>
        <w:tc>
          <w:tcPr>
            <w:tcW w:w="1118" w:type="dxa"/>
          </w:tcPr>
          <w:p>
            <w:pPr>
              <w:pStyle w:val="TableParagraph"/>
              <w:spacing w:line="210" w:lineRule="exact"/>
              <w:ind w:left="178"/>
              <w:jc w:val="center"/>
              <w:rPr>
                <w:rFonts w:ascii="Arial MT"/>
                <w:sz w:val="20"/>
              </w:rPr>
            </w:pPr>
            <w:r>
              <w:rPr>
                <w:rFonts w:ascii="Arial MT"/>
                <w:spacing w:val="-2"/>
                <w:sz w:val="20"/>
              </w:rPr>
              <w:t>0.937394</w:t>
            </w:r>
          </w:p>
        </w:tc>
      </w:tr>
      <w:tr>
        <w:trPr>
          <w:trHeight w:val="230" w:hRule="atLeast"/>
        </w:trPr>
        <w:tc>
          <w:tcPr>
            <w:tcW w:w="1105" w:type="dxa"/>
          </w:tcPr>
          <w:p>
            <w:pPr>
              <w:pStyle w:val="TableParagraph"/>
              <w:spacing w:line="210" w:lineRule="exact"/>
              <w:ind w:right="170"/>
              <w:jc w:val="center"/>
              <w:rPr>
                <w:rFonts w:ascii="Arial MT"/>
                <w:sz w:val="20"/>
              </w:rPr>
            </w:pPr>
            <w:r>
              <w:rPr>
                <w:rFonts w:ascii="Arial MT"/>
                <w:spacing w:val="-2"/>
                <w:sz w:val="20"/>
              </w:rPr>
              <w:t>0.838584</w:t>
            </w:r>
          </w:p>
        </w:tc>
        <w:tc>
          <w:tcPr>
            <w:tcW w:w="1299" w:type="dxa"/>
          </w:tcPr>
          <w:p>
            <w:pPr>
              <w:pStyle w:val="TableParagraph"/>
              <w:spacing w:line="210" w:lineRule="exact"/>
              <w:ind w:left="54" w:right="55"/>
              <w:jc w:val="center"/>
              <w:rPr>
                <w:rFonts w:ascii="Arial MT"/>
                <w:sz w:val="20"/>
              </w:rPr>
            </w:pPr>
            <w:r>
              <w:rPr>
                <w:rFonts w:ascii="Arial MT"/>
                <w:spacing w:val="-2"/>
                <w:sz w:val="20"/>
              </w:rPr>
              <w:t>1.000000</w:t>
            </w:r>
          </w:p>
        </w:tc>
        <w:tc>
          <w:tcPr>
            <w:tcW w:w="1303" w:type="dxa"/>
          </w:tcPr>
          <w:p>
            <w:pPr>
              <w:pStyle w:val="TableParagraph"/>
              <w:spacing w:line="210" w:lineRule="exact"/>
              <w:ind w:left="60" w:right="60"/>
              <w:jc w:val="center"/>
              <w:rPr>
                <w:rFonts w:ascii="Arial MT"/>
                <w:sz w:val="20"/>
              </w:rPr>
            </w:pPr>
            <w:r>
              <w:rPr>
                <w:rFonts w:ascii="Arial MT"/>
                <w:spacing w:val="-2"/>
                <w:sz w:val="20"/>
              </w:rPr>
              <w:t>0.779747</w:t>
            </w:r>
          </w:p>
        </w:tc>
        <w:tc>
          <w:tcPr>
            <w:tcW w:w="1303" w:type="dxa"/>
          </w:tcPr>
          <w:p>
            <w:pPr>
              <w:pStyle w:val="TableParagraph"/>
              <w:spacing w:line="210" w:lineRule="exact"/>
              <w:ind w:left="60" w:right="60"/>
              <w:jc w:val="center"/>
              <w:rPr>
                <w:rFonts w:ascii="Arial MT"/>
                <w:sz w:val="20"/>
              </w:rPr>
            </w:pPr>
            <w:r>
              <w:rPr>
                <w:rFonts w:ascii="Arial MT"/>
                <w:spacing w:val="-2"/>
                <w:sz w:val="20"/>
              </w:rPr>
              <w:t>0.783694</w:t>
            </w:r>
          </w:p>
        </w:tc>
        <w:tc>
          <w:tcPr>
            <w:tcW w:w="1118" w:type="dxa"/>
          </w:tcPr>
          <w:p>
            <w:pPr>
              <w:pStyle w:val="TableParagraph"/>
              <w:spacing w:line="210" w:lineRule="exact"/>
              <w:ind w:left="178"/>
              <w:jc w:val="center"/>
              <w:rPr>
                <w:rFonts w:ascii="Arial MT"/>
                <w:sz w:val="20"/>
              </w:rPr>
            </w:pPr>
            <w:r>
              <w:rPr>
                <w:rFonts w:ascii="Arial MT"/>
                <w:spacing w:val="-2"/>
                <w:sz w:val="20"/>
              </w:rPr>
              <w:t>0.818715</w:t>
            </w:r>
          </w:p>
        </w:tc>
      </w:tr>
      <w:tr>
        <w:trPr>
          <w:trHeight w:val="229" w:hRule="atLeast"/>
        </w:trPr>
        <w:tc>
          <w:tcPr>
            <w:tcW w:w="1105" w:type="dxa"/>
          </w:tcPr>
          <w:p>
            <w:pPr>
              <w:pStyle w:val="TableParagraph"/>
              <w:spacing w:line="209" w:lineRule="exact"/>
              <w:ind w:right="170"/>
              <w:jc w:val="center"/>
              <w:rPr>
                <w:rFonts w:ascii="Arial MT"/>
                <w:sz w:val="20"/>
              </w:rPr>
            </w:pPr>
            <w:r>
              <w:rPr>
                <w:rFonts w:ascii="Arial MT"/>
                <w:spacing w:val="-2"/>
                <w:sz w:val="20"/>
              </w:rPr>
              <w:t>0.964968</w:t>
            </w:r>
          </w:p>
        </w:tc>
        <w:tc>
          <w:tcPr>
            <w:tcW w:w="1299" w:type="dxa"/>
          </w:tcPr>
          <w:p>
            <w:pPr>
              <w:pStyle w:val="TableParagraph"/>
              <w:spacing w:line="209" w:lineRule="exact"/>
              <w:ind w:left="54" w:right="55"/>
              <w:jc w:val="center"/>
              <w:rPr>
                <w:rFonts w:ascii="Arial MT"/>
                <w:sz w:val="20"/>
              </w:rPr>
            </w:pPr>
            <w:r>
              <w:rPr>
                <w:rFonts w:ascii="Arial MT"/>
                <w:spacing w:val="-2"/>
                <w:sz w:val="20"/>
              </w:rPr>
              <w:t>0.779747</w:t>
            </w:r>
          </w:p>
        </w:tc>
        <w:tc>
          <w:tcPr>
            <w:tcW w:w="1303" w:type="dxa"/>
          </w:tcPr>
          <w:p>
            <w:pPr>
              <w:pStyle w:val="TableParagraph"/>
              <w:spacing w:line="209" w:lineRule="exact"/>
              <w:ind w:left="60" w:right="60"/>
              <w:jc w:val="center"/>
              <w:rPr>
                <w:rFonts w:ascii="Arial MT"/>
                <w:sz w:val="20"/>
              </w:rPr>
            </w:pPr>
            <w:r>
              <w:rPr>
                <w:rFonts w:ascii="Arial MT"/>
                <w:spacing w:val="-2"/>
                <w:sz w:val="20"/>
              </w:rPr>
              <w:t>1.000000</w:t>
            </w:r>
          </w:p>
        </w:tc>
        <w:tc>
          <w:tcPr>
            <w:tcW w:w="1303" w:type="dxa"/>
          </w:tcPr>
          <w:p>
            <w:pPr>
              <w:pStyle w:val="TableParagraph"/>
              <w:spacing w:line="209" w:lineRule="exact"/>
              <w:ind w:left="60" w:right="60"/>
              <w:jc w:val="center"/>
              <w:rPr>
                <w:rFonts w:ascii="Arial MT"/>
                <w:sz w:val="20"/>
              </w:rPr>
            </w:pPr>
            <w:r>
              <w:rPr>
                <w:rFonts w:ascii="Arial MT"/>
                <w:spacing w:val="-2"/>
                <w:sz w:val="20"/>
              </w:rPr>
              <w:t>0.892047</w:t>
            </w:r>
          </w:p>
        </w:tc>
        <w:tc>
          <w:tcPr>
            <w:tcW w:w="1118" w:type="dxa"/>
          </w:tcPr>
          <w:p>
            <w:pPr>
              <w:pStyle w:val="TableParagraph"/>
              <w:spacing w:line="209" w:lineRule="exact"/>
              <w:ind w:left="178"/>
              <w:jc w:val="center"/>
              <w:rPr>
                <w:rFonts w:ascii="Arial MT"/>
                <w:sz w:val="20"/>
              </w:rPr>
            </w:pPr>
            <w:r>
              <w:rPr>
                <w:rFonts w:ascii="Arial MT"/>
                <w:spacing w:val="-2"/>
                <w:sz w:val="20"/>
              </w:rPr>
              <w:t>0.862185</w:t>
            </w:r>
          </w:p>
        </w:tc>
      </w:tr>
      <w:tr>
        <w:trPr>
          <w:trHeight w:val="229" w:hRule="atLeast"/>
        </w:trPr>
        <w:tc>
          <w:tcPr>
            <w:tcW w:w="1105" w:type="dxa"/>
          </w:tcPr>
          <w:p>
            <w:pPr>
              <w:pStyle w:val="TableParagraph"/>
              <w:spacing w:line="209" w:lineRule="exact"/>
              <w:ind w:right="170"/>
              <w:jc w:val="center"/>
              <w:rPr>
                <w:rFonts w:ascii="Arial MT"/>
                <w:sz w:val="20"/>
              </w:rPr>
            </w:pPr>
            <w:r>
              <w:rPr>
                <w:rFonts w:ascii="Arial MT"/>
                <w:spacing w:val="-2"/>
                <w:sz w:val="20"/>
              </w:rPr>
              <w:t>0.947727</w:t>
            </w:r>
          </w:p>
        </w:tc>
        <w:tc>
          <w:tcPr>
            <w:tcW w:w="1299" w:type="dxa"/>
          </w:tcPr>
          <w:p>
            <w:pPr>
              <w:pStyle w:val="TableParagraph"/>
              <w:spacing w:line="209" w:lineRule="exact"/>
              <w:ind w:left="54" w:right="55"/>
              <w:jc w:val="center"/>
              <w:rPr>
                <w:rFonts w:ascii="Arial MT"/>
                <w:sz w:val="20"/>
              </w:rPr>
            </w:pPr>
            <w:r>
              <w:rPr>
                <w:rFonts w:ascii="Arial MT"/>
                <w:spacing w:val="-2"/>
                <w:sz w:val="20"/>
              </w:rPr>
              <w:t>0.783694</w:t>
            </w:r>
          </w:p>
        </w:tc>
        <w:tc>
          <w:tcPr>
            <w:tcW w:w="1303" w:type="dxa"/>
          </w:tcPr>
          <w:p>
            <w:pPr>
              <w:pStyle w:val="TableParagraph"/>
              <w:spacing w:line="209" w:lineRule="exact"/>
              <w:ind w:left="60" w:right="60"/>
              <w:jc w:val="center"/>
              <w:rPr>
                <w:rFonts w:ascii="Arial MT"/>
                <w:sz w:val="20"/>
              </w:rPr>
            </w:pPr>
            <w:r>
              <w:rPr>
                <w:rFonts w:ascii="Arial MT"/>
                <w:spacing w:val="-2"/>
                <w:sz w:val="20"/>
              </w:rPr>
              <w:t>0.892047</w:t>
            </w:r>
          </w:p>
        </w:tc>
        <w:tc>
          <w:tcPr>
            <w:tcW w:w="1303" w:type="dxa"/>
          </w:tcPr>
          <w:p>
            <w:pPr>
              <w:pStyle w:val="TableParagraph"/>
              <w:spacing w:line="209" w:lineRule="exact"/>
              <w:ind w:left="60" w:right="60"/>
              <w:jc w:val="center"/>
              <w:rPr>
                <w:rFonts w:ascii="Arial MT"/>
                <w:sz w:val="20"/>
              </w:rPr>
            </w:pPr>
            <w:r>
              <w:rPr>
                <w:rFonts w:ascii="Arial MT"/>
                <w:spacing w:val="-2"/>
                <w:sz w:val="20"/>
              </w:rPr>
              <w:t>1.000000</w:t>
            </w:r>
          </w:p>
        </w:tc>
        <w:tc>
          <w:tcPr>
            <w:tcW w:w="1118" w:type="dxa"/>
          </w:tcPr>
          <w:p>
            <w:pPr>
              <w:pStyle w:val="TableParagraph"/>
              <w:spacing w:line="209" w:lineRule="exact"/>
              <w:ind w:left="178"/>
              <w:jc w:val="center"/>
              <w:rPr>
                <w:rFonts w:ascii="Arial MT"/>
                <w:sz w:val="20"/>
              </w:rPr>
            </w:pPr>
            <w:r>
              <w:rPr>
                <w:rFonts w:ascii="Arial MT"/>
                <w:spacing w:val="-2"/>
                <w:sz w:val="20"/>
              </w:rPr>
              <w:t>0.936287</w:t>
            </w:r>
          </w:p>
        </w:tc>
      </w:tr>
      <w:tr>
        <w:trPr>
          <w:trHeight w:val="226" w:hRule="atLeast"/>
        </w:trPr>
        <w:tc>
          <w:tcPr>
            <w:tcW w:w="1105" w:type="dxa"/>
          </w:tcPr>
          <w:p>
            <w:pPr>
              <w:pStyle w:val="TableParagraph"/>
              <w:spacing w:line="206" w:lineRule="exact"/>
              <w:ind w:right="170"/>
              <w:jc w:val="center"/>
              <w:rPr>
                <w:rFonts w:ascii="Arial MT"/>
                <w:sz w:val="20"/>
              </w:rPr>
            </w:pPr>
            <w:r>
              <w:rPr>
                <w:rFonts w:ascii="Arial MT"/>
                <w:spacing w:val="-2"/>
                <w:sz w:val="20"/>
              </w:rPr>
              <w:t>0.937394</w:t>
            </w:r>
          </w:p>
        </w:tc>
        <w:tc>
          <w:tcPr>
            <w:tcW w:w="1299" w:type="dxa"/>
          </w:tcPr>
          <w:p>
            <w:pPr>
              <w:pStyle w:val="TableParagraph"/>
              <w:spacing w:line="206" w:lineRule="exact"/>
              <w:ind w:left="54" w:right="55"/>
              <w:jc w:val="center"/>
              <w:rPr>
                <w:rFonts w:ascii="Arial MT"/>
                <w:sz w:val="20"/>
              </w:rPr>
            </w:pPr>
            <w:r>
              <w:rPr>
                <w:rFonts w:ascii="Arial MT"/>
                <w:spacing w:val="-2"/>
                <w:sz w:val="20"/>
              </w:rPr>
              <w:t>0.818715</w:t>
            </w:r>
          </w:p>
        </w:tc>
        <w:tc>
          <w:tcPr>
            <w:tcW w:w="1303" w:type="dxa"/>
          </w:tcPr>
          <w:p>
            <w:pPr>
              <w:pStyle w:val="TableParagraph"/>
              <w:spacing w:line="206" w:lineRule="exact"/>
              <w:ind w:left="60" w:right="60"/>
              <w:jc w:val="center"/>
              <w:rPr>
                <w:rFonts w:ascii="Arial MT"/>
                <w:sz w:val="20"/>
              </w:rPr>
            </w:pPr>
            <w:r>
              <w:rPr>
                <w:rFonts w:ascii="Arial MT"/>
                <w:spacing w:val="-2"/>
                <w:sz w:val="20"/>
              </w:rPr>
              <w:t>0.862185</w:t>
            </w:r>
          </w:p>
        </w:tc>
        <w:tc>
          <w:tcPr>
            <w:tcW w:w="1303" w:type="dxa"/>
          </w:tcPr>
          <w:p>
            <w:pPr>
              <w:pStyle w:val="TableParagraph"/>
              <w:spacing w:line="206" w:lineRule="exact"/>
              <w:ind w:left="60" w:right="60"/>
              <w:jc w:val="center"/>
              <w:rPr>
                <w:rFonts w:ascii="Arial MT"/>
                <w:sz w:val="20"/>
              </w:rPr>
            </w:pPr>
            <w:r>
              <w:rPr>
                <w:rFonts w:ascii="Arial MT"/>
                <w:spacing w:val="-2"/>
                <w:sz w:val="20"/>
              </w:rPr>
              <w:t>0.936287</w:t>
            </w:r>
          </w:p>
        </w:tc>
        <w:tc>
          <w:tcPr>
            <w:tcW w:w="1118" w:type="dxa"/>
          </w:tcPr>
          <w:p>
            <w:pPr>
              <w:pStyle w:val="TableParagraph"/>
              <w:spacing w:line="206" w:lineRule="exact"/>
              <w:ind w:left="178"/>
              <w:jc w:val="center"/>
              <w:rPr>
                <w:rFonts w:ascii="Arial MT"/>
                <w:sz w:val="20"/>
              </w:rPr>
            </w:pPr>
            <w:r>
              <w:rPr>
                <w:rFonts w:ascii="Arial MT"/>
                <w:spacing w:val="-2"/>
                <w:sz w:val="20"/>
              </w:rPr>
              <w:t>1.000000</w:t>
            </w:r>
          </w:p>
        </w:tc>
      </w:tr>
    </w:tbl>
    <w:p>
      <w:pPr>
        <w:pStyle w:val="BodyText"/>
        <w:rPr>
          <w:sz w:val="20"/>
        </w:rPr>
      </w:pPr>
    </w:p>
    <w:p>
      <w:pPr>
        <w:pStyle w:val="BodyText"/>
        <w:spacing w:before="5"/>
        <w:rPr>
          <w:sz w:val="20"/>
        </w:rPr>
      </w:pPr>
    </w:p>
    <w:p>
      <w:pPr>
        <w:spacing w:before="0"/>
        <w:ind w:left="771" w:right="0" w:firstLine="0"/>
        <w:jc w:val="left"/>
        <w:rPr>
          <w:sz w:val="20"/>
        </w:rPr>
      </w:pPr>
      <w:r>
        <w:rPr>
          <w:sz w:val="20"/>
        </w:rPr>
        <w:t>ECM</w:t>
      </w:r>
      <w:r>
        <w:rPr>
          <w:spacing w:val="-6"/>
          <w:sz w:val="20"/>
        </w:rPr>
        <w:t> </w:t>
      </w:r>
      <w:r>
        <w:rPr>
          <w:sz w:val="20"/>
        </w:rPr>
        <w:t>UNIT</w:t>
      </w:r>
      <w:r>
        <w:rPr>
          <w:spacing w:val="-2"/>
          <w:sz w:val="20"/>
        </w:rPr>
        <w:t> </w:t>
      </w:r>
      <w:r>
        <w:rPr>
          <w:sz w:val="20"/>
        </w:rPr>
        <w:t>ROOT</w:t>
      </w:r>
      <w:r>
        <w:rPr>
          <w:spacing w:val="-2"/>
          <w:sz w:val="20"/>
        </w:rPr>
        <w:t> </w:t>
      </w:r>
      <w:r>
        <w:rPr>
          <w:sz w:val="20"/>
        </w:rPr>
        <w:t>FOR</w:t>
      </w:r>
      <w:r>
        <w:rPr>
          <w:spacing w:val="-6"/>
          <w:sz w:val="20"/>
        </w:rPr>
        <w:t> </w:t>
      </w:r>
      <w:r>
        <w:rPr>
          <w:sz w:val="20"/>
        </w:rPr>
        <w:t>MODEL</w:t>
      </w:r>
      <w:r>
        <w:rPr>
          <w:spacing w:val="-7"/>
          <w:sz w:val="20"/>
        </w:rPr>
        <w:t> </w:t>
      </w:r>
      <w:r>
        <w:rPr>
          <w:spacing w:val="-5"/>
          <w:sz w:val="20"/>
        </w:rPr>
        <w:t>2A</w:t>
      </w:r>
    </w:p>
    <w:tbl>
      <w:tblPr>
        <w:tblW w:w="0" w:type="auto"/>
        <w:jc w:val="left"/>
        <w:tblInd w:w="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61"/>
        <w:gridCol w:w="1402"/>
        <w:gridCol w:w="1224"/>
        <w:gridCol w:w="1140"/>
        <w:gridCol w:w="998"/>
      </w:tblGrid>
      <w:tr>
        <w:trPr>
          <w:trHeight w:val="225" w:hRule="atLeast"/>
        </w:trPr>
        <w:tc>
          <w:tcPr>
            <w:tcW w:w="6825" w:type="dxa"/>
            <w:gridSpan w:val="5"/>
          </w:tcPr>
          <w:p>
            <w:pPr>
              <w:pStyle w:val="TableParagraph"/>
              <w:spacing w:line="205" w:lineRule="exact"/>
              <w:ind w:left="43"/>
              <w:rPr>
                <w:rFonts w:ascii="Arial MT"/>
                <w:sz w:val="20"/>
              </w:rPr>
            </w:pPr>
            <w:r>
              <w:rPr>
                <w:rFonts w:ascii="Arial MT"/>
                <w:sz w:val="20"/>
              </w:rPr>
              <w:t>Null</w:t>
            </w:r>
            <w:r>
              <w:rPr>
                <w:rFonts w:ascii="Arial MT"/>
                <w:spacing w:val="-8"/>
                <w:sz w:val="20"/>
              </w:rPr>
              <w:t> </w:t>
            </w:r>
            <w:r>
              <w:rPr>
                <w:rFonts w:ascii="Arial MT"/>
                <w:sz w:val="20"/>
              </w:rPr>
              <w:t>Hypothesis:</w:t>
            </w:r>
            <w:r>
              <w:rPr>
                <w:rFonts w:ascii="Arial MT"/>
                <w:spacing w:val="-5"/>
                <w:sz w:val="20"/>
              </w:rPr>
              <w:t> </w:t>
            </w:r>
            <w:r>
              <w:rPr>
                <w:rFonts w:ascii="Arial MT"/>
                <w:sz w:val="20"/>
              </w:rPr>
              <w:t>ECM</w:t>
            </w:r>
            <w:r>
              <w:rPr>
                <w:rFonts w:ascii="Arial MT"/>
                <w:spacing w:val="-5"/>
                <w:sz w:val="20"/>
              </w:rPr>
              <w:t> </w:t>
            </w:r>
            <w:r>
              <w:rPr>
                <w:rFonts w:ascii="Arial MT"/>
                <w:sz w:val="20"/>
              </w:rPr>
              <w:t>has</w:t>
            </w:r>
            <w:r>
              <w:rPr>
                <w:rFonts w:ascii="Arial MT"/>
                <w:spacing w:val="-4"/>
                <w:sz w:val="20"/>
              </w:rPr>
              <w:t> </w:t>
            </w:r>
            <w:r>
              <w:rPr>
                <w:rFonts w:ascii="Arial MT"/>
                <w:sz w:val="20"/>
              </w:rPr>
              <w:t>a</w:t>
            </w:r>
            <w:r>
              <w:rPr>
                <w:rFonts w:ascii="Arial MT"/>
                <w:spacing w:val="-7"/>
                <w:sz w:val="20"/>
              </w:rPr>
              <w:t> </w:t>
            </w:r>
            <w:r>
              <w:rPr>
                <w:rFonts w:ascii="Arial MT"/>
                <w:sz w:val="20"/>
              </w:rPr>
              <w:t>unit</w:t>
            </w:r>
            <w:r>
              <w:rPr>
                <w:rFonts w:ascii="Arial MT"/>
                <w:spacing w:val="-6"/>
                <w:sz w:val="20"/>
              </w:rPr>
              <w:t> </w:t>
            </w:r>
            <w:r>
              <w:rPr>
                <w:rFonts w:ascii="Arial MT"/>
                <w:spacing w:val="-4"/>
                <w:sz w:val="20"/>
              </w:rPr>
              <w:t>root</w:t>
            </w:r>
          </w:p>
        </w:tc>
      </w:tr>
      <w:tr>
        <w:trPr>
          <w:trHeight w:val="229" w:hRule="atLeast"/>
        </w:trPr>
        <w:tc>
          <w:tcPr>
            <w:tcW w:w="2061" w:type="dxa"/>
          </w:tcPr>
          <w:p>
            <w:pPr>
              <w:pStyle w:val="TableParagraph"/>
              <w:spacing w:line="209" w:lineRule="exact"/>
              <w:ind w:left="43"/>
              <w:rPr>
                <w:rFonts w:ascii="Arial MT"/>
                <w:sz w:val="20"/>
              </w:rPr>
            </w:pPr>
            <w:r>
              <w:rPr>
                <w:rFonts w:ascii="Arial MT"/>
                <w:sz w:val="20"/>
              </w:rPr>
              <w:t>Exogenous:</w:t>
            </w:r>
            <w:r>
              <w:rPr>
                <w:rFonts w:ascii="Arial MT"/>
                <w:spacing w:val="-13"/>
                <w:sz w:val="20"/>
              </w:rPr>
              <w:t> </w:t>
            </w:r>
            <w:r>
              <w:rPr>
                <w:rFonts w:ascii="Arial MT"/>
                <w:spacing w:val="-2"/>
                <w:sz w:val="20"/>
              </w:rPr>
              <w:t>Constant</w:t>
            </w:r>
          </w:p>
        </w:tc>
        <w:tc>
          <w:tcPr>
            <w:tcW w:w="1402" w:type="dxa"/>
          </w:tcPr>
          <w:p>
            <w:pPr>
              <w:pStyle w:val="TableParagraph"/>
              <w:rPr>
                <w:sz w:val="16"/>
              </w:rPr>
            </w:pPr>
          </w:p>
        </w:tc>
        <w:tc>
          <w:tcPr>
            <w:tcW w:w="1224" w:type="dxa"/>
          </w:tcPr>
          <w:p>
            <w:pPr>
              <w:pStyle w:val="TableParagraph"/>
              <w:rPr>
                <w:sz w:val="16"/>
              </w:rPr>
            </w:pPr>
          </w:p>
        </w:tc>
        <w:tc>
          <w:tcPr>
            <w:tcW w:w="1140" w:type="dxa"/>
          </w:tcPr>
          <w:p>
            <w:pPr>
              <w:pStyle w:val="TableParagraph"/>
              <w:rPr>
                <w:sz w:val="16"/>
              </w:rPr>
            </w:pPr>
          </w:p>
        </w:tc>
        <w:tc>
          <w:tcPr>
            <w:tcW w:w="998" w:type="dxa"/>
          </w:tcPr>
          <w:p>
            <w:pPr>
              <w:pStyle w:val="TableParagraph"/>
              <w:rPr>
                <w:sz w:val="16"/>
              </w:rPr>
            </w:pPr>
          </w:p>
        </w:tc>
      </w:tr>
      <w:tr>
        <w:trPr>
          <w:trHeight w:val="226" w:hRule="atLeast"/>
        </w:trPr>
        <w:tc>
          <w:tcPr>
            <w:tcW w:w="6825" w:type="dxa"/>
            <w:gridSpan w:val="5"/>
            <w:tcBorders>
              <w:bottom w:val="double" w:sz="6" w:space="0" w:color="000000"/>
            </w:tcBorders>
          </w:tcPr>
          <w:p>
            <w:pPr>
              <w:pStyle w:val="TableParagraph"/>
              <w:spacing w:line="207" w:lineRule="exact"/>
              <w:ind w:left="43"/>
              <w:rPr>
                <w:rFonts w:ascii="Arial MT"/>
                <w:sz w:val="20"/>
              </w:rPr>
            </w:pPr>
            <w:r>
              <w:rPr>
                <w:rFonts w:ascii="Arial MT"/>
                <w:sz w:val="20"/>
              </w:rPr>
              <w:t>Lag</w:t>
            </w:r>
            <w:r>
              <w:rPr>
                <w:rFonts w:ascii="Arial MT"/>
                <w:spacing w:val="-5"/>
                <w:sz w:val="20"/>
              </w:rPr>
              <w:t> </w:t>
            </w:r>
            <w:r>
              <w:rPr>
                <w:rFonts w:ascii="Arial MT"/>
                <w:sz w:val="20"/>
              </w:rPr>
              <w:t>Length:</w:t>
            </w:r>
            <w:r>
              <w:rPr>
                <w:rFonts w:ascii="Arial MT"/>
                <w:spacing w:val="-5"/>
                <w:sz w:val="20"/>
              </w:rPr>
              <w:t> </w:t>
            </w:r>
            <w:r>
              <w:rPr>
                <w:rFonts w:ascii="Arial MT"/>
                <w:sz w:val="20"/>
              </w:rPr>
              <w:t>0</w:t>
            </w:r>
            <w:r>
              <w:rPr>
                <w:rFonts w:ascii="Arial MT"/>
                <w:spacing w:val="-7"/>
                <w:sz w:val="20"/>
              </w:rPr>
              <w:t> </w:t>
            </w:r>
            <w:r>
              <w:rPr>
                <w:rFonts w:ascii="Arial MT"/>
                <w:sz w:val="20"/>
              </w:rPr>
              <w:t>(Automatic</w:t>
            </w:r>
            <w:r>
              <w:rPr>
                <w:rFonts w:ascii="Arial MT"/>
                <w:spacing w:val="-5"/>
                <w:sz w:val="20"/>
              </w:rPr>
              <w:t> </w:t>
            </w:r>
            <w:r>
              <w:rPr>
                <w:rFonts w:ascii="Arial MT"/>
                <w:sz w:val="20"/>
              </w:rPr>
              <w:t>based</w:t>
            </w:r>
            <w:r>
              <w:rPr>
                <w:rFonts w:ascii="Arial MT"/>
                <w:spacing w:val="-8"/>
                <w:sz w:val="20"/>
              </w:rPr>
              <w:t> </w:t>
            </w:r>
            <w:r>
              <w:rPr>
                <w:rFonts w:ascii="Arial MT"/>
                <w:sz w:val="20"/>
              </w:rPr>
              <w:t>on</w:t>
            </w:r>
            <w:r>
              <w:rPr>
                <w:rFonts w:ascii="Arial MT"/>
                <w:spacing w:val="-6"/>
                <w:sz w:val="20"/>
              </w:rPr>
              <w:t> </w:t>
            </w:r>
            <w:r>
              <w:rPr>
                <w:rFonts w:ascii="Arial MT"/>
                <w:sz w:val="20"/>
              </w:rPr>
              <w:t>SIC,</w:t>
            </w:r>
            <w:r>
              <w:rPr>
                <w:rFonts w:ascii="Arial MT"/>
                <w:spacing w:val="-7"/>
                <w:sz w:val="20"/>
              </w:rPr>
              <w:t> </w:t>
            </w:r>
            <w:r>
              <w:rPr>
                <w:rFonts w:ascii="Arial MT"/>
                <w:spacing w:val="-2"/>
                <w:sz w:val="20"/>
              </w:rPr>
              <w:t>MAXLAG=9)</w:t>
            </w:r>
          </w:p>
        </w:tc>
      </w:tr>
      <w:tr>
        <w:trPr>
          <w:trHeight w:val="269" w:hRule="atLeast"/>
        </w:trPr>
        <w:tc>
          <w:tcPr>
            <w:tcW w:w="2061" w:type="dxa"/>
            <w:tcBorders>
              <w:top w:val="double" w:sz="6" w:space="0" w:color="000000"/>
              <w:bottom w:val="double" w:sz="6" w:space="0" w:color="000000"/>
            </w:tcBorders>
          </w:tcPr>
          <w:p>
            <w:pPr>
              <w:pStyle w:val="TableParagraph"/>
              <w:rPr>
                <w:sz w:val="18"/>
              </w:rPr>
            </w:pPr>
          </w:p>
        </w:tc>
        <w:tc>
          <w:tcPr>
            <w:tcW w:w="1402" w:type="dxa"/>
            <w:tcBorders>
              <w:top w:val="double" w:sz="6" w:space="0" w:color="000000"/>
              <w:bottom w:val="double" w:sz="6" w:space="0" w:color="000000"/>
            </w:tcBorders>
          </w:tcPr>
          <w:p>
            <w:pPr>
              <w:pStyle w:val="TableParagraph"/>
              <w:rPr>
                <w:sz w:val="18"/>
              </w:rPr>
            </w:pPr>
          </w:p>
        </w:tc>
        <w:tc>
          <w:tcPr>
            <w:tcW w:w="1224" w:type="dxa"/>
            <w:tcBorders>
              <w:top w:val="double" w:sz="6" w:space="0" w:color="000000"/>
              <w:bottom w:val="double" w:sz="6" w:space="0" w:color="000000"/>
            </w:tcBorders>
          </w:tcPr>
          <w:p>
            <w:pPr>
              <w:pStyle w:val="TableParagraph"/>
              <w:rPr>
                <w:sz w:val="18"/>
              </w:rPr>
            </w:pPr>
          </w:p>
        </w:tc>
        <w:tc>
          <w:tcPr>
            <w:tcW w:w="1140" w:type="dxa"/>
            <w:tcBorders>
              <w:top w:val="double" w:sz="6" w:space="0" w:color="000000"/>
              <w:bottom w:val="double" w:sz="6" w:space="0" w:color="000000"/>
            </w:tcBorders>
          </w:tcPr>
          <w:p>
            <w:pPr>
              <w:pStyle w:val="TableParagraph"/>
              <w:spacing w:line="210" w:lineRule="exact" w:before="39"/>
              <w:ind w:left="68"/>
              <w:rPr>
                <w:rFonts w:ascii="Arial MT"/>
                <w:sz w:val="20"/>
              </w:rPr>
            </w:pPr>
            <w:r>
              <w:rPr>
                <w:rFonts w:ascii="Arial MT"/>
                <w:spacing w:val="-2"/>
                <w:sz w:val="20"/>
              </w:rPr>
              <w:t>t-Statistic</w:t>
            </w:r>
          </w:p>
        </w:tc>
        <w:tc>
          <w:tcPr>
            <w:tcW w:w="998" w:type="dxa"/>
            <w:tcBorders>
              <w:top w:val="double" w:sz="6" w:space="0" w:color="000000"/>
              <w:bottom w:val="double" w:sz="6" w:space="0" w:color="000000"/>
            </w:tcBorders>
          </w:tcPr>
          <w:p>
            <w:pPr>
              <w:pStyle w:val="TableParagraph"/>
              <w:spacing w:line="210" w:lineRule="exact" w:before="39"/>
              <w:ind w:left="256"/>
              <w:rPr>
                <w:rFonts w:ascii="Arial MT"/>
                <w:sz w:val="20"/>
              </w:rPr>
            </w:pPr>
            <w:r>
              <w:rPr>
                <w:rFonts w:ascii="Arial MT"/>
                <w:spacing w:val="-2"/>
                <w:sz w:val="20"/>
              </w:rPr>
              <w:t>Prob.*</w:t>
            </w:r>
          </w:p>
        </w:tc>
      </w:tr>
      <w:tr>
        <w:trPr>
          <w:trHeight w:val="272" w:hRule="atLeast"/>
        </w:trPr>
        <w:tc>
          <w:tcPr>
            <w:tcW w:w="3463" w:type="dxa"/>
            <w:gridSpan w:val="2"/>
            <w:tcBorders>
              <w:top w:val="double" w:sz="6" w:space="0" w:color="000000"/>
              <w:bottom w:val="single" w:sz="6" w:space="0" w:color="000000"/>
            </w:tcBorders>
          </w:tcPr>
          <w:p>
            <w:pPr>
              <w:pStyle w:val="TableParagraph"/>
              <w:spacing w:line="210" w:lineRule="exact" w:before="42"/>
              <w:ind w:left="43"/>
              <w:rPr>
                <w:rFonts w:ascii="Arial MT"/>
                <w:sz w:val="20"/>
              </w:rPr>
            </w:pPr>
            <w:r>
              <w:rPr>
                <w:rFonts w:ascii="Arial MT"/>
                <w:sz w:val="20"/>
              </w:rPr>
              <w:t>Augmented</w:t>
            </w:r>
            <w:r>
              <w:rPr>
                <w:rFonts w:ascii="Arial MT"/>
                <w:spacing w:val="-10"/>
                <w:sz w:val="20"/>
              </w:rPr>
              <w:t> </w:t>
            </w:r>
            <w:r>
              <w:rPr>
                <w:rFonts w:ascii="Arial MT"/>
                <w:sz w:val="20"/>
              </w:rPr>
              <w:t>Dickey-Fuller</w:t>
            </w:r>
            <w:r>
              <w:rPr>
                <w:rFonts w:ascii="Arial MT"/>
                <w:spacing w:val="-10"/>
                <w:sz w:val="20"/>
              </w:rPr>
              <w:t> </w:t>
            </w:r>
            <w:r>
              <w:rPr>
                <w:rFonts w:ascii="Arial MT"/>
                <w:sz w:val="20"/>
              </w:rPr>
              <w:t>test</w:t>
            </w:r>
            <w:r>
              <w:rPr>
                <w:rFonts w:ascii="Arial MT"/>
                <w:spacing w:val="-11"/>
                <w:sz w:val="20"/>
              </w:rPr>
              <w:t> </w:t>
            </w:r>
            <w:r>
              <w:rPr>
                <w:rFonts w:ascii="Arial MT"/>
                <w:spacing w:val="-2"/>
                <w:sz w:val="20"/>
              </w:rPr>
              <w:t>statistic</w:t>
            </w:r>
          </w:p>
        </w:tc>
        <w:tc>
          <w:tcPr>
            <w:tcW w:w="1224" w:type="dxa"/>
            <w:tcBorders>
              <w:top w:val="double" w:sz="6" w:space="0" w:color="000000"/>
              <w:bottom w:val="single" w:sz="6" w:space="0" w:color="000000"/>
            </w:tcBorders>
          </w:tcPr>
          <w:p>
            <w:pPr>
              <w:pStyle w:val="TableParagraph"/>
              <w:rPr>
                <w:sz w:val="18"/>
              </w:rPr>
            </w:pPr>
          </w:p>
        </w:tc>
        <w:tc>
          <w:tcPr>
            <w:tcW w:w="1140" w:type="dxa"/>
            <w:tcBorders>
              <w:top w:val="double" w:sz="6" w:space="0" w:color="000000"/>
              <w:bottom w:val="single" w:sz="6" w:space="0" w:color="000000"/>
            </w:tcBorders>
          </w:tcPr>
          <w:p>
            <w:pPr>
              <w:pStyle w:val="TableParagraph"/>
              <w:spacing w:line="210" w:lineRule="exact" w:before="42"/>
              <w:ind w:left="30"/>
              <w:rPr>
                <w:rFonts w:ascii="Arial MT"/>
                <w:sz w:val="20"/>
              </w:rPr>
            </w:pPr>
            <w:r>
              <w:rPr>
                <w:rFonts w:ascii="Arial MT"/>
                <w:spacing w:val="-2"/>
                <w:sz w:val="20"/>
              </w:rPr>
              <w:t>-5.498625</w:t>
            </w:r>
          </w:p>
        </w:tc>
        <w:tc>
          <w:tcPr>
            <w:tcW w:w="998" w:type="dxa"/>
            <w:tcBorders>
              <w:top w:val="double" w:sz="6" w:space="0" w:color="000000"/>
              <w:bottom w:val="single" w:sz="6" w:space="0" w:color="000000"/>
            </w:tcBorders>
          </w:tcPr>
          <w:p>
            <w:pPr>
              <w:pStyle w:val="TableParagraph"/>
              <w:spacing w:line="210" w:lineRule="exact" w:before="42"/>
              <w:ind w:left="200"/>
              <w:rPr>
                <w:rFonts w:ascii="Arial MT"/>
                <w:sz w:val="20"/>
              </w:rPr>
            </w:pPr>
            <w:r>
              <w:rPr>
                <w:rFonts w:ascii="Arial MT"/>
                <w:spacing w:val="-2"/>
                <w:sz w:val="20"/>
              </w:rPr>
              <w:t>0.0000</w:t>
            </w:r>
          </w:p>
        </w:tc>
      </w:tr>
      <w:tr>
        <w:trPr>
          <w:trHeight w:val="233" w:hRule="atLeast"/>
        </w:trPr>
        <w:tc>
          <w:tcPr>
            <w:tcW w:w="2061" w:type="dxa"/>
            <w:tcBorders>
              <w:top w:val="single" w:sz="6" w:space="0" w:color="000000"/>
            </w:tcBorders>
          </w:tcPr>
          <w:p>
            <w:pPr>
              <w:pStyle w:val="TableParagraph"/>
              <w:spacing w:line="213" w:lineRule="exact"/>
              <w:ind w:left="43"/>
              <w:rPr>
                <w:rFonts w:ascii="Arial MT"/>
                <w:sz w:val="20"/>
              </w:rPr>
            </w:pPr>
            <w:r>
              <w:rPr>
                <w:rFonts w:ascii="Arial MT"/>
                <w:sz w:val="20"/>
              </w:rPr>
              <w:t>Test</w:t>
            </w:r>
            <w:r>
              <w:rPr>
                <w:rFonts w:ascii="Arial MT"/>
                <w:spacing w:val="-8"/>
                <w:sz w:val="20"/>
              </w:rPr>
              <w:t> </w:t>
            </w:r>
            <w:r>
              <w:rPr>
                <w:rFonts w:ascii="Arial MT"/>
                <w:sz w:val="20"/>
              </w:rPr>
              <w:t>critical</w:t>
            </w:r>
            <w:r>
              <w:rPr>
                <w:rFonts w:ascii="Arial MT"/>
                <w:spacing w:val="-8"/>
                <w:sz w:val="20"/>
              </w:rPr>
              <w:t> </w:t>
            </w:r>
            <w:r>
              <w:rPr>
                <w:rFonts w:ascii="Arial MT"/>
                <w:spacing w:val="-2"/>
                <w:sz w:val="20"/>
              </w:rPr>
              <w:t>values:</w:t>
            </w:r>
          </w:p>
        </w:tc>
        <w:tc>
          <w:tcPr>
            <w:tcW w:w="1402" w:type="dxa"/>
            <w:tcBorders>
              <w:top w:val="single" w:sz="6" w:space="0" w:color="000000"/>
            </w:tcBorders>
          </w:tcPr>
          <w:p>
            <w:pPr>
              <w:pStyle w:val="TableParagraph"/>
              <w:spacing w:line="213" w:lineRule="exact"/>
              <w:ind w:left="276"/>
              <w:rPr>
                <w:rFonts w:ascii="Arial MT"/>
                <w:sz w:val="20"/>
              </w:rPr>
            </w:pPr>
            <w:r>
              <w:rPr>
                <w:rFonts w:ascii="Arial MT"/>
                <w:sz w:val="20"/>
              </w:rPr>
              <w:t>1%</w:t>
            </w:r>
            <w:r>
              <w:rPr>
                <w:rFonts w:ascii="Arial MT"/>
                <w:spacing w:val="-4"/>
                <w:sz w:val="20"/>
              </w:rPr>
              <w:t> </w:t>
            </w:r>
            <w:r>
              <w:rPr>
                <w:rFonts w:ascii="Arial MT"/>
                <w:spacing w:val="-2"/>
                <w:sz w:val="20"/>
              </w:rPr>
              <w:t>level</w:t>
            </w:r>
          </w:p>
        </w:tc>
        <w:tc>
          <w:tcPr>
            <w:tcW w:w="1224" w:type="dxa"/>
            <w:tcBorders>
              <w:top w:val="single" w:sz="6" w:space="0" w:color="000000"/>
            </w:tcBorders>
          </w:tcPr>
          <w:p>
            <w:pPr>
              <w:pStyle w:val="TableParagraph"/>
              <w:rPr>
                <w:sz w:val="16"/>
              </w:rPr>
            </w:pPr>
          </w:p>
        </w:tc>
        <w:tc>
          <w:tcPr>
            <w:tcW w:w="1140" w:type="dxa"/>
            <w:tcBorders>
              <w:top w:val="single" w:sz="6" w:space="0" w:color="000000"/>
            </w:tcBorders>
          </w:tcPr>
          <w:p>
            <w:pPr>
              <w:pStyle w:val="TableParagraph"/>
              <w:spacing w:line="213" w:lineRule="exact"/>
              <w:ind w:left="30"/>
              <w:rPr>
                <w:rFonts w:ascii="Arial MT"/>
                <w:sz w:val="20"/>
              </w:rPr>
            </w:pPr>
            <w:r>
              <w:rPr>
                <w:rFonts w:ascii="Arial MT"/>
                <w:spacing w:val="-2"/>
                <w:sz w:val="20"/>
              </w:rPr>
              <w:t>-3.600987</w:t>
            </w:r>
          </w:p>
        </w:tc>
        <w:tc>
          <w:tcPr>
            <w:tcW w:w="998" w:type="dxa"/>
            <w:tcBorders>
              <w:top w:val="single" w:sz="6" w:space="0" w:color="000000"/>
            </w:tcBorders>
          </w:tcPr>
          <w:p>
            <w:pPr>
              <w:pStyle w:val="TableParagraph"/>
              <w:rPr>
                <w:sz w:val="16"/>
              </w:rPr>
            </w:pPr>
          </w:p>
        </w:tc>
      </w:tr>
      <w:tr>
        <w:trPr>
          <w:trHeight w:val="229" w:hRule="atLeast"/>
        </w:trPr>
        <w:tc>
          <w:tcPr>
            <w:tcW w:w="2061" w:type="dxa"/>
          </w:tcPr>
          <w:p>
            <w:pPr>
              <w:pStyle w:val="TableParagraph"/>
              <w:rPr>
                <w:sz w:val="16"/>
              </w:rPr>
            </w:pPr>
          </w:p>
        </w:tc>
        <w:tc>
          <w:tcPr>
            <w:tcW w:w="1402" w:type="dxa"/>
          </w:tcPr>
          <w:p>
            <w:pPr>
              <w:pStyle w:val="TableParagraph"/>
              <w:spacing w:line="209" w:lineRule="exact"/>
              <w:ind w:left="276"/>
              <w:rPr>
                <w:rFonts w:ascii="Arial MT"/>
                <w:sz w:val="20"/>
              </w:rPr>
            </w:pPr>
            <w:r>
              <w:rPr>
                <w:rFonts w:ascii="Arial MT"/>
                <w:sz w:val="20"/>
              </w:rPr>
              <w:t>5%</w:t>
            </w:r>
            <w:r>
              <w:rPr>
                <w:rFonts w:ascii="Arial MT"/>
                <w:spacing w:val="-4"/>
                <w:sz w:val="20"/>
              </w:rPr>
              <w:t> </w:t>
            </w:r>
            <w:r>
              <w:rPr>
                <w:rFonts w:ascii="Arial MT"/>
                <w:spacing w:val="-2"/>
                <w:sz w:val="20"/>
              </w:rPr>
              <w:t>level</w:t>
            </w:r>
          </w:p>
        </w:tc>
        <w:tc>
          <w:tcPr>
            <w:tcW w:w="1224" w:type="dxa"/>
          </w:tcPr>
          <w:p>
            <w:pPr>
              <w:pStyle w:val="TableParagraph"/>
              <w:rPr>
                <w:sz w:val="16"/>
              </w:rPr>
            </w:pPr>
          </w:p>
        </w:tc>
        <w:tc>
          <w:tcPr>
            <w:tcW w:w="1140" w:type="dxa"/>
          </w:tcPr>
          <w:p>
            <w:pPr>
              <w:pStyle w:val="TableParagraph"/>
              <w:spacing w:line="209" w:lineRule="exact"/>
              <w:ind w:left="30"/>
              <w:rPr>
                <w:rFonts w:ascii="Arial MT"/>
                <w:sz w:val="20"/>
              </w:rPr>
            </w:pPr>
            <w:r>
              <w:rPr>
                <w:rFonts w:ascii="Arial MT"/>
                <w:spacing w:val="-2"/>
                <w:sz w:val="20"/>
              </w:rPr>
              <w:t>-2.935001</w:t>
            </w:r>
          </w:p>
        </w:tc>
        <w:tc>
          <w:tcPr>
            <w:tcW w:w="998" w:type="dxa"/>
          </w:tcPr>
          <w:p>
            <w:pPr>
              <w:pStyle w:val="TableParagraph"/>
              <w:rPr>
                <w:sz w:val="16"/>
              </w:rPr>
            </w:pPr>
          </w:p>
        </w:tc>
      </w:tr>
      <w:tr>
        <w:trPr>
          <w:trHeight w:val="225" w:hRule="atLeast"/>
        </w:trPr>
        <w:tc>
          <w:tcPr>
            <w:tcW w:w="2061" w:type="dxa"/>
            <w:tcBorders>
              <w:bottom w:val="double" w:sz="6" w:space="0" w:color="000000"/>
            </w:tcBorders>
          </w:tcPr>
          <w:p>
            <w:pPr>
              <w:pStyle w:val="TableParagraph"/>
              <w:rPr>
                <w:sz w:val="16"/>
              </w:rPr>
            </w:pPr>
          </w:p>
        </w:tc>
        <w:tc>
          <w:tcPr>
            <w:tcW w:w="1402" w:type="dxa"/>
            <w:tcBorders>
              <w:bottom w:val="double" w:sz="6" w:space="0" w:color="000000"/>
            </w:tcBorders>
          </w:tcPr>
          <w:p>
            <w:pPr>
              <w:pStyle w:val="TableParagraph"/>
              <w:spacing w:line="205" w:lineRule="exact"/>
              <w:ind w:left="221"/>
              <w:rPr>
                <w:rFonts w:ascii="Arial MT"/>
                <w:sz w:val="20"/>
              </w:rPr>
            </w:pPr>
            <w:r>
              <w:rPr>
                <w:rFonts w:ascii="Arial MT"/>
                <w:sz w:val="20"/>
              </w:rPr>
              <w:t>10%</w:t>
            </w:r>
            <w:r>
              <w:rPr>
                <w:rFonts w:ascii="Arial MT"/>
                <w:spacing w:val="-8"/>
                <w:sz w:val="20"/>
              </w:rPr>
              <w:t> </w:t>
            </w:r>
            <w:r>
              <w:rPr>
                <w:rFonts w:ascii="Arial MT"/>
                <w:spacing w:val="-2"/>
                <w:sz w:val="20"/>
              </w:rPr>
              <w:t>level</w:t>
            </w:r>
          </w:p>
        </w:tc>
        <w:tc>
          <w:tcPr>
            <w:tcW w:w="1224" w:type="dxa"/>
            <w:tcBorders>
              <w:bottom w:val="double" w:sz="6" w:space="0" w:color="000000"/>
            </w:tcBorders>
          </w:tcPr>
          <w:p>
            <w:pPr>
              <w:pStyle w:val="TableParagraph"/>
              <w:rPr>
                <w:sz w:val="16"/>
              </w:rPr>
            </w:pPr>
          </w:p>
        </w:tc>
        <w:tc>
          <w:tcPr>
            <w:tcW w:w="1140" w:type="dxa"/>
            <w:tcBorders>
              <w:bottom w:val="double" w:sz="6" w:space="0" w:color="000000"/>
            </w:tcBorders>
          </w:tcPr>
          <w:p>
            <w:pPr>
              <w:pStyle w:val="TableParagraph"/>
              <w:spacing w:line="205" w:lineRule="exact"/>
              <w:ind w:left="30"/>
              <w:rPr>
                <w:rFonts w:ascii="Arial MT"/>
                <w:sz w:val="20"/>
              </w:rPr>
            </w:pPr>
            <w:r>
              <w:rPr>
                <w:rFonts w:ascii="Arial MT"/>
                <w:spacing w:val="-2"/>
                <w:sz w:val="20"/>
              </w:rPr>
              <w:t>-2.605836</w:t>
            </w:r>
          </w:p>
        </w:tc>
        <w:tc>
          <w:tcPr>
            <w:tcW w:w="998" w:type="dxa"/>
            <w:tcBorders>
              <w:bottom w:val="double" w:sz="6" w:space="0" w:color="000000"/>
            </w:tcBorders>
          </w:tcPr>
          <w:p>
            <w:pPr>
              <w:pStyle w:val="TableParagraph"/>
              <w:rPr>
                <w:sz w:val="16"/>
              </w:rPr>
            </w:pPr>
          </w:p>
        </w:tc>
      </w:tr>
      <w:tr>
        <w:trPr>
          <w:trHeight w:val="505" w:hRule="atLeast"/>
        </w:trPr>
        <w:tc>
          <w:tcPr>
            <w:tcW w:w="6825" w:type="dxa"/>
            <w:gridSpan w:val="5"/>
            <w:tcBorders>
              <w:top w:val="double" w:sz="6" w:space="0" w:color="000000"/>
            </w:tcBorders>
          </w:tcPr>
          <w:p>
            <w:pPr>
              <w:pStyle w:val="TableParagraph"/>
              <w:spacing w:before="42"/>
              <w:ind w:left="43"/>
              <w:rPr>
                <w:rFonts w:ascii="Arial MT"/>
                <w:sz w:val="20"/>
              </w:rPr>
            </w:pPr>
            <w:r>
              <w:rPr>
                <w:rFonts w:ascii="Arial MT"/>
                <w:sz w:val="20"/>
              </w:rPr>
              <w:t>*MacKinnon</w:t>
            </w:r>
            <w:r>
              <w:rPr>
                <w:rFonts w:ascii="Arial MT"/>
                <w:spacing w:val="-9"/>
                <w:sz w:val="20"/>
              </w:rPr>
              <w:t> </w:t>
            </w:r>
            <w:r>
              <w:rPr>
                <w:rFonts w:ascii="Arial MT"/>
                <w:sz w:val="20"/>
              </w:rPr>
              <w:t>(1996)</w:t>
            </w:r>
            <w:r>
              <w:rPr>
                <w:rFonts w:ascii="Arial MT"/>
                <w:spacing w:val="-10"/>
                <w:sz w:val="20"/>
              </w:rPr>
              <w:t> </w:t>
            </w:r>
            <w:r>
              <w:rPr>
                <w:rFonts w:ascii="Arial MT"/>
                <w:sz w:val="20"/>
              </w:rPr>
              <w:t>one-sided</w:t>
            </w:r>
            <w:r>
              <w:rPr>
                <w:rFonts w:ascii="Arial MT"/>
                <w:spacing w:val="-12"/>
                <w:sz w:val="20"/>
              </w:rPr>
              <w:t> </w:t>
            </w:r>
            <w:r>
              <w:rPr>
                <w:rFonts w:ascii="Arial MT"/>
                <w:sz w:val="20"/>
              </w:rPr>
              <w:t>p-</w:t>
            </w:r>
            <w:r>
              <w:rPr>
                <w:rFonts w:ascii="Arial MT"/>
                <w:spacing w:val="-2"/>
                <w:sz w:val="20"/>
              </w:rPr>
              <w:t>values.</w:t>
            </w:r>
          </w:p>
        </w:tc>
      </w:tr>
      <w:tr>
        <w:trPr>
          <w:trHeight w:val="459" w:hRule="atLeast"/>
        </w:trPr>
        <w:tc>
          <w:tcPr>
            <w:tcW w:w="6825" w:type="dxa"/>
            <w:gridSpan w:val="5"/>
          </w:tcPr>
          <w:p>
            <w:pPr>
              <w:pStyle w:val="TableParagraph"/>
              <w:spacing w:line="214" w:lineRule="exact" w:before="226"/>
              <w:ind w:left="43"/>
              <w:rPr>
                <w:rFonts w:ascii="Arial MT"/>
                <w:sz w:val="20"/>
              </w:rPr>
            </w:pPr>
            <w:r>
              <w:rPr>
                <w:rFonts w:ascii="Arial MT"/>
                <w:sz w:val="20"/>
              </w:rPr>
              <w:t>Augmented</w:t>
            </w:r>
            <w:r>
              <w:rPr>
                <w:rFonts w:ascii="Arial MT"/>
                <w:spacing w:val="-10"/>
                <w:sz w:val="20"/>
              </w:rPr>
              <w:t> </w:t>
            </w:r>
            <w:r>
              <w:rPr>
                <w:rFonts w:ascii="Arial MT"/>
                <w:sz w:val="20"/>
              </w:rPr>
              <w:t>Dickey-Fuller</w:t>
            </w:r>
            <w:r>
              <w:rPr>
                <w:rFonts w:ascii="Arial MT"/>
                <w:spacing w:val="-10"/>
                <w:sz w:val="20"/>
              </w:rPr>
              <w:t> </w:t>
            </w:r>
            <w:r>
              <w:rPr>
                <w:rFonts w:ascii="Arial MT"/>
                <w:sz w:val="20"/>
              </w:rPr>
              <w:t>Test</w:t>
            </w:r>
            <w:r>
              <w:rPr>
                <w:rFonts w:ascii="Arial MT"/>
                <w:spacing w:val="-10"/>
                <w:sz w:val="20"/>
              </w:rPr>
              <w:t> </w:t>
            </w:r>
            <w:r>
              <w:rPr>
                <w:rFonts w:ascii="Arial MT"/>
                <w:spacing w:val="-2"/>
                <w:sz w:val="20"/>
              </w:rPr>
              <w:t>Equation</w:t>
            </w:r>
          </w:p>
        </w:tc>
      </w:tr>
      <w:tr>
        <w:trPr>
          <w:trHeight w:val="230" w:hRule="atLeast"/>
        </w:trPr>
        <w:tc>
          <w:tcPr>
            <w:tcW w:w="6825" w:type="dxa"/>
            <w:gridSpan w:val="5"/>
          </w:tcPr>
          <w:p>
            <w:pPr>
              <w:pStyle w:val="TableParagraph"/>
              <w:spacing w:line="210" w:lineRule="exact"/>
              <w:ind w:left="43"/>
              <w:rPr>
                <w:rFonts w:ascii="Arial MT"/>
                <w:sz w:val="20"/>
              </w:rPr>
            </w:pPr>
            <w:r>
              <w:rPr>
                <w:rFonts w:ascii="Arial MT"/>
                <w:sz w:val="20"/>
              </w:rPr>
              <w:t>Dependent</w:t>
            </w:r>
            <w:r>
              <w:rPr>
                <w:rFonts w:ascii="Arial MT"/>
                <w:spacing w:val="-12"/>
                <w:sz w:val="20"/>
              </w:rPr>
              <w:t> </w:t>
            </w:r>
            <w:r>
              <w:rPr>
                <w:rFonts w:ascii="Arial MT"/>
                <w:sz w:val="20"/>
              </w:rPr>
              <w:t>Variable:</w:t>
            </w:r>
            <w:r>
              <w:rPr>
                <w:rFonts w:ascii="Arial MT"/>
                <w:spacing w:val="-13"/>
                <w:sz w:val="20"/>
              </w:rPr>
              <w:t> </w:t>
            </w:r>
            <w:r>
              <w:rPr>
                <w:rFonts w:ascii="Arial MT"/>
                <w:spacing w:val="-2"/>
                <w:sz w:val="20"/>
              </w:rPr>
              <w:t>D(ECM)</w:t>
            </w:r>
          </w:p>
        </w:tc>
      </w:tr>
      <w:tr>
        <w:trPr>
          <w:trHeight w:val="230" w:hRule="atLeast"/>
        </w:trPr>
        <w:tc>
          <w:tcPr>
            <w:tcW w:w="6825" w:type="dxa"/>
            <w:gridSpan w:val="5"/>
          </w:tcPr>
          <w:p>
            <w:pPr>
              <w:pStyle w:val="TableParagraph"/>
              <w:spacing w:line="210" w:lineRule="exact"/>
              <w:ind w:left="43"/>
              <w:rPr>
                <w:rFonts w:ascii="Arial MT"/>
                <w:sz w:val="20"/>
              </w:rPr>
            </w:pPr>
            <w:r>
              <w:rPr>
                <w:rFonts w:ascii="Arial MT"/>
                <w:sz w:val="20"/>
              </w:rPr>
              <w:t>Method:</w:t>
            </w:r>
            <w:r>
              <w:rPr>
                <w:rFonts w:ascii="Arial MT"/>
                <w:spacing w:val="-9"/>
                <w:sz w:val="20"/>
              </w:rPr>
              <w:t> </w:t>
            </w:r>
            <w:r>
              <w:rPr>
                <w:rFonts w:ascii="Arial MT"/>
                <w:sz w:val="20"/>
              </w:rPr>
              <w:t>Least</w:t>
            </w:r>
            <w:r>
              <w:rPr>
                <w:rFonts w:ascii="Arial MT"/>
                <w:spacing w:val="-8"/>
                <w:sz w:val="20"/>
              </w:rPr>
              <w:t> </w:t>
            </w:r>
            <w:r>
              <w:rPr>
                <w:rFonts w:ascii="Arial MT"/>
                <w:spacing w:val="-2"/>
                <w:sz w:val="20"/>
              </w:rPr>
              <w:t>Squares</w:t>
            </w:r>
          </w:p>
        </w:tc>
      </w:tr>
      <w:tr>
        <w:trPr>
          <w:trHeight w:val="229" w:hRule="atLeast"/>
        </w:trPr>
        <w:tc>
          <w:tcPr>
            <w:tcW w:w="6825" w:type="dxa"/>
            <w:gridSpan w:val="5"/>
          </w:tcPr>
          <w:p>
            <w:pPr>
              <w:pStyle w:val="TableParagraph"/>
              <w:spacing w:line="209" w:lineRule="exact"/>
              <w:ind w:left="43"/>
              <w:rPr>
                <w:rFonts w:ascii="Arial MT"/>
                <w:sz w:val="20"/>
              </w:rPr>
            </w:pPr>
            <w:r>
              <w:rPr>
                <w:rFonts w:ascii="Arial MT"/>
                <w:sz w:val="20"/>
              </w:rPr>
              <w:t>Date:</w:t>
            </w:r>
            <w:r>
              <w:rPr>
                <w:rFonts w:ascii="Arial MT"/>
                <w:spacing w:val="-3"/>
                <w:sz w:val="20"/>
              </w:rPr>
              <w:t> </w:t>
            </w:r>
            <w:r>
              <w:rPr>
                <w:rFonts w:ascii="Arial MT"/>
                <w:sz w:val="20"/>
              </w:rPr>
              <w:t>02/22/14</w:t>
            </w:r>
            <w:r>
              <w:rPr>
                <w:rFonts w:ascii="Arial MT"/>
                <w:spacing w:val="71"/>
                <w:w w:val="150"/>
                <w:sz w:val="20"/>
              </w:rPr>
              <w:t> </w:t>
            </w:r>
            <w:r>
              <w:rPr>
                <w:rFonts w:ascii="Arial MT"/>
                <w:sz w:val="20"/>
              </w:rPr>
              <w:t>Time:</w:t>
            </w:r>
            <w:r>
              <w:rPr>
                <w:rFonts w:ascii="Arial MT"/>
                <w:spacing w:val="-4"/>
                <w:sz w:val="20"/>
              </w:rPr>
              <w:t> 07:46</w:t>
            </w:r>
          </w:p>
        </w:tc>
      </w:tr>
      <w:tr>
        <w:trPr>
          <w:trHeight w:val="229" w:hRule="atLeast"/>
        </w:trPr>
        <w:tc>
          <w:tcPr>
            <w:tcW w:w="6825" w:type="dxa"/>
            <w:gridSpan w:val="5"/>
          </w:tcPr>
          <w:p>
            <w:pPr>
              <w:pStyle w:val="TableParagraph"/>
              <w:spacing w:line="209" w:lineRule="exact"/>
              <w:ind w:left="43"/>
              <w:rPr>
                <w:rFonts w:ascii="Arial MT"/>
                <w:sz w:val="20"/>
              </w:rPr>
            </w:pPr>
            <w:r>
              <w:rPr>
                <w:rFonts w:ascii="Arial MT"/>
                <w:sz w:val="20"/>
              </w:rPr>
              <w:t>Sample(adjusted):</w:t>
            </w:r>
            <w:r>
              <w:rPr>
                <w:rFonts w:ascii="Arial MT"/>
                <w:spacing w:val="-14"/>
                <w:sz w:val="20"/>
              </w:rPr>
              <w:t> </w:t>
            </w:r>
            <w:r>
              <w:rPr>
                <w:rFonts w:ascii="Arial MT"/>
                <w:sz w:val="20"/>
              </w:rPr>
              <w:t>1971</w:t>
            </w:r>
            <w:r>
              <w:rPr>
                <w:rFonts w:ascii="Arial MT"/>
                <w:spacing w:val="-14"/>
                <w:sz w:val="20"/>
              </w:rPr>
              <w:t> </w:t>
            </w:r>
            <w:r>
              <w:rPr>
                <w:rFonts w:ascii="Arial MT"/>
                <w:spacing w:val="-4"/>
                <w:sz w:val="20"/>
              </w:rPr>
              <w:t>2011</w:t>
            </w:r>
          </w:p>
        </w:tc>
      </w:tr>
      <w:tr>
        <w:trPr>
          <w:trHeight w:val="226" w:hRule="atLeast"/>
        </w:trPr>
        <w:tc>
          <w:tcPr>
            <w:tcW w:w="6825" w:type="dxa"/>
            <w:gridSpan w:val="5"/>
            <w:tcBorders>
              <w:bottom w:val="double" w:sz="6" w:space="0" w:color="000000"/>
            </w:tcBorders>
          </w:tcPr>
          <w:p>
            <w:pPr>
              <w:pStyle w:val="TableParagraph"/>
              <w:spacing w:line="207" w:lineRule="exact"/>
              <w:ind w:left="43"/>
              <w:rPr>
                <w:rFonts w:ascii="Arial MT"/>
                <w:sz w:val="20"/>
              </w:rPr>
            </w:pPr>
            <w:r>
              <w:rPr>
                <w:rFonts w:ascii="Arial MT"/>
                <w:sz w:val="20"/>
              </w:rPr>
              <w:t>Included</w:t>
            </w:r>
            <w:r>
              <w:rPr>
                <w:rFonts w:ascii="Arial MT"/>
                <w:spacing w:val="-9"/>
                <w:sz w:val="20"/>
              </w:rPr>
              <w:t> </w:t>
            </w:r>
            <w:r>
              <w:rPr>
                <w:rFonts w:ascii="Arial MT"/>
                <w:sz w:val="20"/>
              </w:rPr>
              <w:t>observations:</w:t>
            </w:r>
            <w:r>
              <w:rPr>
                <w:rFonts w:ascii="Arial MT"/>
                <w:spacing w:val="-9"/>
                <w:sz w:val="20"/>
              </w:rPr>
              <w:t> </w:t>
            </w:r>
            <w:r>
              <w:rPr>
                <w:rFonts w:ascii="Arial MT"/>
                <w:sz w:val="20"/>
              </w:rPr>
              <w:t>41</w:t>
            </w:r>
            <w:r>
              <w:rPr>
                <w:rFonts w:ascii="Arial MT"/>
                <w:spacing w:val="-9"/>
                <w:sz w:val="20"/>
              </w:rPr>
              <w:t> </w:t>
            </w:r>
            <w:r>
              <w:rPr>
                <w:rFonts w:ascii="Arial MT"/>
                <w:sz w:val="20"/>
              </w:rPr>
              <w:t>after</w:t>
            </w:r>
            <w:r>
              <w:rPr>
                <w:rFonts w:ascii="Arial MT"/>
                <w:spacing w:val="-10"/>
                <w:sz w:val="20"/>
              </w:rPr>
              <w:t> </w:t>
            </w:r>
            <w:r>
              <w:rPr>
                <w:rFonts w:ascii="Arial MT"/>
                <w:sz w:val="20"/>
              </w:rPr>
              <w:t>adjusting</w:t>
            </w:r>
            <w:r>
              <w:rPr>
                <w:rFonts w:ascii="Arial MT"/>
                <w:spacing w:val="-8"/>
                <w:sz w:val="20"/>
              </w:rPr>
              <w:t> </w:t>
            </w:r>
            <w:r>
              <w:rPr>
                <w:rFonts w:ascii="Arial MT"/>
                <w:spacing w:val="-2"/>
                <w:sz w:val="20"/>
              </w:rPr>
              <w:t>endpoints</w:t>
            </w:r>
          </w:p>
        </w:tc>
      </w:tr>
      <w:tr>
        <w:trPr>
          <w:trHeight w:val="269" w:hRule="atLeast"/>
        </w:trPr>
        <w:tc>
          <w:tcPr>
            <w:tcW w:w="2061" w:type="dxa"/>
            <w:tcBorders>
              <w:top w:val="double" w:sz="6" w:space="0" w:color="000000"/>
              <w:bottom w:val="double" w:sz="6" w:space="0" w:color="000000"/>
            </w:tcBorders>
          </w:tcPr>
          <w:p>
            <w:pPr>
              <w:pStyle w:val="TableParagraph"/>
              <w:spacing w:line="210" w:lineRule="exact" w:before="39"/>
              <w:ind w:left="713"/>
              <w:rPr>
                <w:rFonts w:ascii="Arial MT"/>
                <w:sz w:val="20"/>
              </w:rPr>
            </w:pPr>
            <w:r>
              <w:rPr>
                <w:rFonts w:ascii="Arial MT"/>
                <w:spacing w:val="-2"/>
                <w:sz w:val="20"/>
              </w:rPr>
              <w:t>Variable</w:t>
            </w:r>
          </w:p>
        </w:tc>
        <w:tc>
          <w:tcPr>
            <w:tcW w:w="1402" w:type="dxa"/>
            <w:tcBorders>
              <w:top w:val="double" w:sz="6" w:space="0" w:color="000000"/>
              <w:bottom w:val="double" w:sz="6" w:space="0" w:color="000000"/>
            </w:tcBorders>
          </w:tcPr>
          <w:p>
            <w:pPr>
              <w:pStyle w:val="TableParagraph"/>
              <w:spacing w:line="210" w:lineRule="exact" w:before="39"/>
              <w:ind w:left="250"/>
              <w:rPr>
                <w:rFonts w:ascii="Arial MT"/>
                <w:sz w:val="20"/>
              </w:rPr>
            </w:pPr>
            <w:r>
              <w:rPr>
                <w:rFonts w:ascii="Arial MT"/>
                <w:spacing w:val="-2"/>
                <w:sz w:val="20"/>
              </w:rPr>
              <w:t>Coefficient</w:t>
            </w:r>
          </w:p>
        </w:tc>
        <w:tc>
          <w:tcPr>
            <w:tcW w:w="1224" w:type="dxa"/>
            <w:tcBorders>
              <w:top w:val="double" w:sz="6" w:space="0" w:color="000000"/>
              <w:bottom w:val="double" w:sz="6" w:space="0" w:color="000000"/>
            </w:tcBorders>
          </w:tcPr>
          <w:p>
            <w:pPr>
              <w:pStyle w:val="TableParagraph"/>
              <w:spacing w:line="210" w:lineRule="exact" w:before="39"/>
              <w:ind w:right="178"/>
              <w:jc w:val="right"/>
              <w:rPr>
                <w:rFonts w:ascii="Arial MT"/>
                <w:sz w:val="20"/>
              </w:rPr>
            </w:pPr>
            <w:r>
              <w:rPr>
                <w:rFonts w:ascii="Arial MT"/>
                <w:sz w:val="20"/>
              </w:rPr>
              <w:t>Std.</w:t>
            </w:r>
            <w:r>
              <w:rPr>
                <w:rFonts w:ascii="Arial MT"/>
                <w:spacing w:val="-4"/>
                <w:sz w:val="20"/>
              </w:rPr>
              <w:t> </w:t>
            </w:r>
            <w:r>
              <w:rPr>
                <w:rFonts w:ascii="Arial MT"/>
                <w:spacing w:val="-2"/>
                <w:sz w:val="20"/>
              </w:rPr>
              <w:t>Error</w:t>
            </w:r>
          </w:p>
        </w:tc>
        <w:tc>
          <w:tcPr>
            <w:tcW w:w="1140" w:type="dxa"/>
            <w:tcBorders>
              <w:top w:val="double" w:sz="6" w:space="0" w:color="000000"/>
              <w:bottom w:val="double" w:sz="6" w:space="0" w:color="000000"/>
            </w:tcBorders>
          </w:tcPr>
          <w:p>
            <w:pPr>
              <w:pStyle w:val="TableParagraph"/>
              <w:spacing w:line="210" w:lineRule="exact" w:before="39"/>
              <w:ind w:right="65"/>
              <w:jc w:val="right"/>
              <w:rPr>
                <w:rFonts w:ascii="Arial MT"/>
                <w:sz w:val="20"/>
              </w:rPr>
            </w:pPr>
            <w:r>
              <w:rPr>
                <w:rFonts w:ascii="Arial MT"/>
                <w:spacing w:val="-2"/>
                <w:sz w:val="20"/>
              </w:rPr>
              <w:t>t-Statistic</w:t>
            </w:r>
          </w:p>
        </w:tc>
        <w:tc>
          <w:tcPr>
            <w:tcW w:w="998" w:type="dxa"/>
            <w:tcBorders>
              <w:top w:val="double" w:sz="6" w:space="0" w:color="000000"/>
              <w:bottom w:val="double" w:sz="6" w:space="0" w:color="000000"/>
            </w:tcBorders>
          </w:tcPr>
          <w:p>
            <w:pPr>
              <w:pStyle w:val="TableParagraph"/>
              <w:spacing w:line="210" w:lineRule="exact" w:before="39"/>
              <w:ind w:right="34"/>
              <w:jc w:val="right"/>
              <w:rPr>
                <w:rFonts w:ascii="Arial MT"/>
                <w:sz w:val="20"/>
              </w:rPr>
            </w:pPr>
            <w:r>
              <w:rPr>
                <w:rFonts w:ascii="Arial MT"/>
                <w:spacing w:val="-2"/>
                <w:sz w:val="20"/>
              </w:rPr>
              <w:t>Prob.</w:t>
            </w:r>
          </w:p>
        </w:tc>
      </w:tr>
      <w:tr>
        <w:trPr>
          <w:trHeight w:val="275" w:hRule="atLeast"/>
        </w:trPr>
        <w:tc>
          <w:tcPr>
            <w:tcW w:w="2061" w:type="dxa"/>
            <w:tcBorders>
              <w:top w:val="double" w:sz="6" w:space="0" w:color="000000"/>
            </w:tcBorders>
          </w:tcPr>
          <w:p>
            <w:pPr>
              <w:pStyle w:val="TableParagraph"/>
              <w:spacing w:line="214" w:lineRule="exact" w:before="42"/>
              <w:ind w:left="701"/>
              <w:rPr>
                <w:rFonts w:ascii="Arial MT"/>
                <w:sz w:val="20"/>
              </w:rPr>
            </w:pPr>
            <w:r>
              <w:rPr>
                <w:rFonts w:ascii="Arial MT"/>
                <w:spacing w:val="-2"/>
                <w:sz w:val="20"/>
              </w:rPr>
              <w:t>ECM(-</w:t>
            </w:r>
            <w:r>
              <w:rPr>
                <w:rFonts w:ascii="Arial MT"/>
                <w:spacing w:val="-5"/>
                <w:sz w:val="20"/>
              </w:rPr>
              <w:t>1)</w:t>
            </w:r>
          </w:p>
        </w:tc>
        <w:tc>
          <w:tcPr>
            <w:tcW w:w="1402" w:type="dxa"/>
            <w:tcBorders>
              <w:top w:val="double" w:sz="6" w:space="0" w:color="000000"/>
            </w:tcBorders>
          </w:tcPr>
          <w:p>
            <w:pPr>
              <w:pStyle w:val="TableParagraph"/>
              <w:spacing w:line="214" w:lineRule="exact" w:before="42"/>
              <w:ind w:left="296"/>
              <w:rPr>
                <w:rFonts w:ascii="Arial MT"/>
                <w:sz w:val="20"/>
              </w:rPr>
            </w:pPr>
            <w:r>
              <w:rPr>
                <w:rFonts w:ascii="Arial MT"/>
                <w:spacing w:val="-2"/>
                <w:sz w:val="20"/>
              </w:rPr>
              <w:t>-0.884001</w:t>
            </w:r>
          </w:p>
        </w:tc>
        <w:tc>
          <w:tcPr>
            <w:tcW w:w="1224" w:type="dxa"/>
            <w:tcBorders>
              <w:top w:val="double" w:sz="6" w:space="0" w:color="000000"/>
            </w:tcBorders>
          </w:tcPr>
          <w:p>
            <w:pPr>
              <w:pStyle w:val="TableParagraph"/>
              <w:spacing w:line="214" w:lineRule="exact" w:before="42"/>
              <w:ind w:right="176"/>
              <w:jc w:val="right"/>
              <w:rPr>
                <w:rFonts w:ascii="Arial MT"/>
                <w:sz w:val="20"/>
              </w:rPr>
            </w:pPr>
            <w:r>
              <w:rPr>
                <w:rFonts w:ascii="Arial MT"/>
                <w:spacing w:val="-2"/>
                <w:sz w:val="20"/>
              </w:rPr>
              <w:t>0.160768</w:t>
            </w:r>
          </w:p>
        </w:tc>
        <w:tc>
          <w:tcPr>
            <w:tcW w:w="1140" w:type="dxa"/>
            <w:tcBorders>
              <w:top w:val="double" w:sz="6" w:space="0" w:color="000000"/>
            </w:tcBorders>
          </w:tcPr>
          <w:p>
            <w:pPr>
              <w:pStyle w:val="TableParagraph"/>
              <w:spacing w:line="214" w:lineRule="exact" w:before="42"/>
              <w:ind w:right="63"/>
              <w:jc w:val="right"/>
              <w:rPr>
                <w:rFonts w:ascii="Arial MT"/>
                <w:sz w:val="20"/>
              </w:rPr>
            </w:pPr>
            <w:r>
              <w:rPr>
                <w:rFonts w:ascii="Arial MT"/>
                <w:spacing w:val="-2"/>
                <w:sz w:val="20"/>
              </w:rPr>
              <w:t>-5.498625</w:t>
            </w:r>
          </w:p>
        </w:tc>
        <w:tc>
          <w:tcPr>
            <w:tcW w:w="998" w:type="dxa"/>
            <w:tcBorders>
              <w:top w:val="double" w:sz="6" w:space="0" w:color="000000"/>
            </w:tcBorders>
          </w:tcPr>
          <w:p>
            <w:pPr>
              <w:pStyle w:val="TableParagraph"/>
              <w:spacing w:line="214" w:lineRule="exact" w:before="42"/>
              <w:ind w:right="36"/>
              <w:jc w:val="right"/>
              <w:rPr>
                <w:rFonts w:ascii="Arial MT"/>
                <w:sz w:val="20"/>
              </w:rPr>
            </w:pPr>
            <w:r>
              <w:rPr>
                <w:rFonts w:ascii="Arial MT"/>
                <w:spacing w:val="-2"/>
                <w:sz w:val="20"/>
              </w:rPr>
              <w:t>0.0000</w:t>
            </w:r>
          </w:p>
        </w:tc>
      </w:tr>
      <w:tr>
        <w:trPr>
          <w:trHeight w:val="226" w:hRule="atLeast"/>
        </w:trPr>
        <w:tc>
          <w:tcPr>
            <w:tcW w:w="2061" w:type="dxa"/>
            <w:tcBorders>
              <w:bottom w:val="double" w:sz="6" w:space="0" w:color="000000"/>
            </w:tcBorders>
          </w:tcPr>
          <w:p>
            <w:pPr>
              <w:pStyle w:val="TableParagraph"/>
              <w:spacing w:line="207" w:lineRule="exact"/>
              <w:ind w:left="99"/>
              <w:jc w:val="center"/>
              <w:rPr>
                <w:rFonts w:ascii="Arial MT"/>
                <w:sz w:val="20"/>
              </w:rPr>
            </w:pPr>
            <w:r>
              <w:rPr>
                <w:rFonts w:ascii="Arial MT"/>
                <w:spacing w:val="-10"/>
                <w:sz w:val="20"/>
              </w:rPr>
              <w:t>C</w:t>
            </w:r>
          </w:p>
        </w:tc>
        <w:tc>
          <w:tcPr>
            <w:tcW w:w="1402" w:type="dxa"/>
            <w:tcBorders>
              <w:bottom w:val="double" w:sz="6" w:space="0" w:color="000000"/>
            </w:tcBorders>
          </w:tcPr>
          <w:p>
            <w:pPr>
              <w:pStyle w:val="TableParagraph"/>
              <w:spacing w:line="207" w:lineRule="exact"/>
              <w:ind w:left="296"/>
              <w:rPr>
                <w:rFonts w:ascii="Arial MT"/>
                <w:sz w:val="20"/>
              </w:rPr>
            </w:pPr>
            <w:r>
              <w:rPr>
                <w:rFonts w:ascii="Arial MT"/>
                <w:spacing w:val="-2"/>
                <w:sz w:val="20"/>
              </w:rPr>
              <w:t>-0.001021</w:t>
            </w:r>
          </w:p>
        </w:tc>
        <w:tc>
          <w:tcPr>
            <w:tcW w:w="1224" w:type="dxa"/>
            <w:tcBorders>
              <w:bottom w:val="double" w:sz="6" w:space="0" w:color="000000"/>
            </w:tcBorders>
          </w:tcPr>
          <w:p>
            <w:pPr>
              <w:pStyle w:val="TableParagraph"/>
              <w:spacing w:line="207" w:lineRule="exact"/>
              <w:ind w:right="176"/>
              <w:jc w:val="right"/>
              <w:rPr>
                <w:rFonts w:ascii="Arial MT"/>
                <w:sz w:val="20"/>
              </w:rPr>
            </w:pPr>
            <w:r>
              <w:rPr>
                <w:rFonts w:ascii="Arial MT"/>
                <w:spacing w:val="-2"/>
                <w:sz w:val="20"/>
              </w:rPr>
              <w:t>0.061899</w:t>
            </w:r>
          </w:p>
        </w:tc>
        <w:tc>
          <w:tcPr>
            <w:tcW w:w="1140" w:type="dxa"/>
            <w:tcBorders>
              <w:bottom w:val="double" w:sz="6" w:space="0" w:color="000000"/>
            </w:tcBorders>
          </w:tcPr>
          <w:p>
            <w:pPr>
              <w:pStyle w:val="TableParagraph"/>
              <w:spacing w:line="207" w:lineRule="exact"/>
              <w:ind w:right="63"/>
              <w:jc w:val="right"/>
              <w:rPr>
                <w:rFonts w:ascii="Arial MT"/>
                <w:sz w:val="20"/>
              </w:rPr>
            </w:pPr>
            <w:r>
              <w:rPr>
                <w:rFonts w:ascii="Arial MT"/>
                <w:spacing w:val="-2"/>
                <w:sz w:val="20"/>
              </w:rPr>
              <w:t>-0.016502</w:t>
            </w:r>
          </w:p>
        </w:tc>
        <w:tc>
          <w:tcPr>
            <w:tcW w:w="998" w:type="dxa"/>
            <w:tcBorders>
              <w:bottom w:val="double" w:sz="6" w:space="0" w:color="000000"/>
            </w:tcBorders>
          </w:tcPr>
          <w:p>
            <w:pPr>
              <w:pStyle w:val="TableParagraph"/>
              <w:spacing w:line="207" w:lineRule="exact"/>
              <w:ind w:right="36"/>
              <w:jc w:val="right"/>
              <w:rPr>
                <w:rFonts w:ascii="Arial MT"/>
                <w:sz w:val="20"/>
              </w:rPr>
            </w:pPr>
            <w:r>
              <w:rPr>
                <w:rFonts w:ascii="Arial MT"/>
                <w:spacing w:val="-2"/>
                <w:sz w:val="20"/>
              </w:rPr>
              <w:t>0.9869</w:t>
            </w:r>
          </w:p>
        </w:tc>
      </w:tr>
      <w:tr>
        <w:trPr>
          <w:trHeight w:val="273" w:hRule="atLeast"/>
        </w:trPr>
        <w:tc>
          <w:tcPr>
            <w:tcW w:w="2061" w:type="dxa"/>
            <w:tcBorders>
              <w:top w:val="double" w:sz="6" w:space="0" w:color="000000"/>
            </w:tcBorders>
          </w:tcPr>
          <w:p>
            <w:pPr>
              <w:pStyle w:val="TableParagraph"/>
              <w:spacing w:line="214" w:lineRule="exact" w:before="39"/>
              <w:ind w:left="43"/>
              <w:rPr>
                <w:rFonts w:ascii="Arial MT"/>
                <w:sz w:val="20"/>
              </w:rPr>
            </w:pPr>
            <w:r>
              <w:rPr>
                <w:rFonts w:ascii="Arial MT"/>
                <w:spacing w:val="-2"/>
                <w:sz w:val="20"/>
              </w:rPr>
              <w:t>R-squared</w:t>
            </w:r>
          </w:p>
        </w:tc>
        <w:tc>
          <w:tcPr>
            <w:tcW w:w="1402" w:type="dxa"/>
            <w:tcBorders>
              <w:top w:val="double" w:sz="6" w:space="0" w:color="000000"/>
            </w:tcBorders>
          </w:tcPr>
          <w:p>
            <w:pPr>
              <w:pStyle w:val="TableParagraph"/>
              <w:spacing w:line="214" w:lineRule="exact" w:before="39"/>
              <w:ind w:right="206"/>
              <w:jc w:val="right"/>
              <w:rPr>
                <w:rFonts w:ascii="Arial MT"/>
                <w:sz w:val="20"/>
              </w:rPr>
            </w:pPr>
            <w:r>
              <w:rPr>
                <w:rFonts w:ascii="Arial MT"/>
                <w:spacing w:val="-2"/>
                <w:sz w:val="20"/>
              </w:rPr>
              <w:t>0.436700</w:t>
            </w:r>
          </w:p>
        </w:tc>
        <w:tc>
          <w:tcPr>
            <w:tcW w:w="2364" w:type="dxa"/>
            <w:gridSpan w:val="2"/>
            <w:tcBorders>
              <w:top w:val="double" w:sz="6" w:space="0" w:color="000000"/>
            </w:tcBorders>
          </w:tcPr>
          <w:p>
            <w:pPr>
              <w:pStyle w:val="TableParagraph"/>
              <w:spacing w:line="214" w:lineRule="exact" w:before="39"/>
              <w:ind w:left="75"/>
              <w:rPr>
                <w:rFonts w:ascii="Arial MT"/>
                <w:sz w:val="20"/>
              </w:rPr>
            </w:pPr>
            <w:r>
              <w:rPr>
                <w:rFonts w:ascii="Arial MT"/>
                <w:sz w:val="20"/>
              </w:rPr>
              <w:t>Mean</w:t>
            </w:r>
            <w:r>
              <w:rPr>
                <w:rFonts w:ascii="Arial MT"/>
                <w:spacing w:val="-10"/>
                <w:sz w:val="20"/>
              </w:rPr>
              <w:t> </w:t>
            </w:r>
            <w:r>
              <w:rPr>
                <w:rFonts w:ascii="Arial MT"/>
                <w:sz w:val="20"/>
              </w:rPr>
              <w:t>dependent</w:t>
            </w:r>
            <w:r>
              <w:rPr>
                <w:rFonts w:ascii="Arial MT"/>
                <w:spacing w:val="-9"/>
                <w:sz w:val="20"/>
              </w:rPr>
              <w:t> </w:t>
            </w:r>
            <w:r>
              <w:rPr>
                <w:rFonts w:ascii="Arial MT"/>
                <w:spacing w:val="-5"/>
                <w:sz w:val="20"/>
              </w:rPr>
              <w:t>var</w:t>
            </w:r>
          </w:p>
        </w:tc>
        <w:tc>
          <w:tcPr>
            <w:tcW w:w="998" w:type="dxa"/>
            <w:tcBorders>
              <w:top w:val="double" w:sz="6" w:space="0" w:color="000000"/>
            </w:tcBorders>
          </w:tcPr>
          <w:p>
            <w:pPr>
              <w:pStyle w:val="TableParagraph"/>
              <w:spacing w:line="214" w:lineRule="exact" w:before="39"/>
              <w:ind w:right="36"/>
              <w:jc w:val="right"/>
              <w:rPr>
                <w:rFonts w:ascii="Arial MT"/>
                <w:sz w:val="20"/>
              </w:rPr>
            </w:pPr>
            <w:r>
              <w:rPr>
                <w:rFonts w:ascii="Arial MT"/>
                <w:spacing w:val="-2"/>
                <w:sz w:val="20"/>
              </w:rPr>
              <w:t>-0.008713</w:t>
            </w:r>
          </w:p>
        </w:tc>
      </w:tr>
      <w:tr>
        <w:trPr>
          <w:trHeight w:val="229" w:hRule="atLeast"/>
        </w:trPr>
        <w:tc>
          <w:tcPr>
            <w:tcW w:w="2061" w:type="dxa"/>
          </w:tcPr>
          <w:p>
            <w:pPr>
              <w:pStyle w:val="TableParagraph"/>
              <w:spacing w:line="209" w:lineRule="exact"/>
              <w:ind w:left="43"/>
              <w:rPr>
                <w:rFonts w:ascii="Arial MT"/>
                <w:sz w:val="20"/>
              </w:rPr>
            </w:pPr>
            <w:r>
              <w:rPr>
                <w:rFonts w:ascii="Arial MT"/>
                <w:sz w:val="20"/>
              </w:rPr>
              <w:t>Adjusted</w:t>
            </w:r>
            <w:r>
              <w:rPr>
                <w:rFonts w:ascii="Arial MT"/>
                <w:spacing w:val="-13"/>
                <w:sz w:val="20"/>
              </w:rPr>
              <w:t> </w:t>
            </w:r>
            <w:r>
              <w:rPr>
                <w:rFonts w:ascii="Arial MT"/>
                <w:sz w:val="20"/>
              </w:rPr>
              <w:t>R-</w:t>
            </w:r>
            <w:r>
              <w:rPr>
                <w:rFonts w:ascii="Arial MT"/>
                <w:spacing w:val="-2"/>
                <w:sz w:val="20"/>
              </w:rPr>
              <w:t>squared</w:t>
            </w:r>
          </w:p>
        </w:tc>
        <w:tc>
          <w:tcPr>
            <w:tcW w:w="1402" w:type="dxa"/>
          </w:tcPr>
          <w:p>
            <w:pPr>
              <w:pStyle w:val="TableParagraph"/>
              <w:spacing w:line="209" w:lineRule="exact"/>
              <w:ind w:right="206"/>
              <w:jc w:val="right"/>
              <w:rPr>
                <w:rFonts w:ascii="Arial MT"/>
                <w:sz w:val="20"/>
              </w:rPr>
            </w:pPr>
            <w:r>
              <w:rPr>
                <w:rFonts w:ascii="Arial MT"/>
                <w:spacing w:val="-2"/>
                <w:sz w:val="20"/>
              </w:rPr>
              <w:t>0.422257</w:t>
            </w:r>
          </w:p>
        </w:tc>
        <w:tc>
          <w:tcPr>
            <w:tcW w:w="2364" w:type="dxa"/>
            <w:gridSpan w:val="2"/>
          </w:tcPr>
          <w:p>
            <w:pPr>
              <w:pStyle w:val="TableParagraph"/>
              <w:spacing w:line="209" w:lineRule="exact"/>
              <w:ind w:left="75"/>
              <w:rPr>
                <w:rFonts w:ascii="Arial MT"/>
                <w:sz w:val="20"/>
              </w:rPr>
            </w:pPr>
            <w:r>
              <w:rPr>
                <w:rFonts w:ascii="Arial MT"/>
                <w:sz w:val="20"/>
              </w:rPr>
              <w:t>S.D.</w:t>
            </w:r>
            <w:r>
              <w:rPr>
                <w:rFonts w:ascii="Arial MT"/>
                <w:spacing w:val="-8"/>
                <w:sz w:val="20"/>
              </w:rPr>
              <w:t> </w:t>
            </w:r>
            <w:r>
              <w:rPr>
                <w:rFonts w:ascii="Arial MT"/>
                <w:sz w:val="20"/>
              </w:rPr>
              <w:t>dependent</w:t>
            </w:r>
            <w:r>
              <w:rPr>
                <w:rFonts w:ascii="Arial MT"/>
                <w:spacing w:val="-6"/>
                <w:sz w:val="20"/>
              </w:rPr>
              <w:t> </w:t>
            </w:r>
            <w:r>
              <w:rPr>
                <w:rFonts w:ascii="Arial MT"/>
                <w:spacing w:val="-5"/>
                <w:sz w:val="20"/>
              </w:rPr>
              <w:t>var</w:t>
            </w:r>
          </w:p>
        </w:tc>
        <w:tc>
          <w:tcPr>
            <w:tcW w:w="998" w:type="dxa"/>
          </w:tcPr>
          <w:p>
            <w:pPr>
              <w:pStyle w:val="TableParagraph"/>
              <w:spacing w:line="209" w:lineRule="exact"/>
              <w:ind w:right="36"/>
              <w:jc w:val="right"/>
              <w:rPr>
                <w:rFonts w:ascii="Arial MT"/>
                <w:sz w:val="20"/>
              </w:rPr>
            </w:pPr>
            <w:r>
              <w:rPr>
                <w:rFonts w:ascii="Arial MT"/>
                <w:spacing w:val="-2"/>
                <w:sz w:val="20"/>
              </w:rPr>
              <w:t>0.521313</w:t>
            </w:r>
          </w:p>
        </w:tc>
      </w:tr>
      <w:tr>
        <w:trPr>
          <w:trHeight w:val="229" w:hRule="atLeast"/>
        </w:trPr>
        <w:tc>
          <w:tcPr>
            <w:tcW w:w="2061" w:type="dxa"/>
          </w:tcPr>
          <w:p>
            <w:pPr>
              <w:pStyle w:val="TableParagraph"/>
              <w:spacing w:line="209" w:lineRule="exact"/>
              <w:ind w:left="43"/>
              <w:rPr>
                <w:rFonts w:ascii="Arial MT"/>
                <w:sz w:val="20"/>
              </w:rPr>
            </w:pPr>
            <w:r>
              <w:rPr>
                <w:rFonts w:ascii="Arial MT"/>
                <w:sz w:val="20"/>
              </w:rPr>
              <w:t>S.E.</w:t>
            </w:r>
            <w:r>
              <w:rPr>
                <w:rFonts w:ascii="Arial MT"/>
                <w:spacing w:val="-3"/>
                <w:sz w:val="20"/>
              </w:rPr>
              <w:t> </w:t>
            </w:r>
            <w:r>
              <w:rPr>
                <w:rFonts w:ascii="Arial MT"/>
                <w:sz w:val="20"/>
              </w:rPr>
              <w:t>of</w:t>
            </w:r>
            <w:r>
              <w:rPr>
                <w:rFonts w:ascii="Arial MT"/>
                <w:spacing w:val="-3"/>
                <w:sz w:val="20"/>
              </w:rPr>
              <w:t> </w:t>
            </w:r>
            <w:r>
              <w:rPr>
                <w:rFonts w:ascii="Arial MT"/>
                <w:spacing w:val="-2"/>
                <w:sz w:val="20"/>
              </w:rPr>
              <w:t>regression</w:t>
            </w:r>
          </w:p>
        </w:tc>
        <w:tc>
          <w:tcPr>
            <w:tcW w:w="1402" w:type="dxa"/>
          </w:tcPr>
          <w:p>
            <w:pPr>
              <w:pStyle w:val="TableParagraph"/>
              <w:spacing w:line="209" w:lineRule="exact"/>
              <w:ind w:right="206"/>
              <w:jc w:val="right"/>
              <w:rPr>
                <w:rFonts w:ascii="Arial MT"/>
                <w:sz w:val="20"/>
              </w:rPr>
            </w:pPr>
            <w:r>
              <w:rPr>
                <w:rFonts w:ascii="Arial MT"/>
                <w:spacing w:val="-2"/>
                <w:sz w:val="20"/>
              </w:rPr>
              <w:t>0.396247</w:t>
            </w:r>
          </w:p>
        </w:tc>
        <w:tc>
          <w:tcPr>
            <w:tcW w:w="2364" w:type="dxa"/>
            <w:gridSpan w:val="2"/>
          </w:tcPr>
          <w:p>
            <w:pPr>
              <w:pStyle w:val="TableParagraph"/>
              <w:spacing w:line="209" w:lineRule="exact"/>
              <w:ind w:left="75"/>
              <w:rPr>
                <w:rFonts w:ascii="Arial MT"/>
                <w:sz w:val="20"/>
              </w:rPr>
            </w:pPr>
            <w:r>
              <w:rPr>
                <w:rFonts w:ascii="Arial MT"/>
                <w:sz w:val="20"/>
              </w:rPr>
              <w:t>Akaike</w:t>
            </w:r>
            <w:r>
              <w:rPr>
                <w:rFonts w:ascii="Arial MT"/>
                <w:spacing w:val="-6"/>
                <w:sz w:val="20"/>
              </w:rPr>
              <w:t> </w:t>
            </w:r>
            <w:r>
              <w:rPr>
                <w:rFonts w:ascii="Arial MT"/>
                <w:sz w:val="20"/>
              </w:rPr>
              <w:t>info</w:t>
            </w:r>
            <w:r>
              <w:rPr>
                <w:rFonts w:ascii="Arial MT"/>
                <w:spacing w:val="-5"/>
                <w:sz w:val="20"/>
              </w:rPr>
              <w:t> </w:t>
            </w:r>
            <w:r>
              <w:rPr>
                <w:rFonts w:ascii="Arial MT"/>
                <w:spacing w:val="-2"/>
                <w:sz w:val="20"/>
              </w:rPr>
              <w:t>criterion</w:t>
            </w:r>
          </w:p>
        </w:tc>
        <w:tc>
          <w:tcPr>
            <w:tcW w:w="998" w:type="dxa"/>
          </w:tcPr>
          <w:p>
            <w:pPr>
              <w:pStyle w:val="TableParagraph"/>
              <w:spacing w:line="209" w:lineRule="exact"/>
              <w:ind w:right="36"/>
              <w:jc w:val="right"/>
              <w:rPr>
                <w:rFonts w:ascii="Arial MT"/>
                <w:sz w:val="20"/>
              </w:rPr>
            </w:pPr>
            <w:r>
              <w:rPr>
                <w:rFonts w:ascii="Arial MT"/>
                <w:spacing w:val="-2"/>
                <w:sz w:val="20"/>
              </w:rPr>
              <w:t>1.033991</w:t>
            </w:r>
          </w:p>
        </w:tc>
      </w:tr>
      <w:tr>
        <w:trPr>
          <w:trHeight w:val="230" w:hRule="atLeast"/>
        </w:trPr>
        <w:tc>
          <w:tcPr>
            <w:tcW w:w="2061" w:type="dxa"/>
          </w:tcPr>
          <w:p>
            <w:pPr>
              <w:pStyle w:val="TableParagraph"/>
              <w:spacing w:line="210" w:lineRule="exact"/>
              <w:ind w:left="43"/>
              <w:rPr>
                <w:rFonts w:ascii="Arial MT"/>
                <w:sz w:val="20"/>
              </w:rPr>
            </w:pPr>
            <w:r>
              <w:rPr>
                <w:rFonts w:ascii="Arial MT"/>
                <w:sz w:val="20"/>
              </w:rPr>
              <w:t>Sum</w:t>
            </w:r>
            <w:r>
              <w:rPr>
                <w:rFonts w:ascii="Arial MT"/>
                <w:spacing w:val="-6"/>
                <w:sz w:val="20"/>
              </w:rPr>
              <w:t> </w:t>
            </w:r>
            <w:r>
              <w:rPr>
                <w:rFonts w:ascii="Arial MT"/>
                <w:sz w:val="20"/>
              </w:rPr>
              <w:t>squared</w:t>
            </w:r>
            <w:r>
              <w:rPr>
                <w:rFonts w:ascii="Arial MT"/>
                <w:spacing w:val="-9"/>
                <w:sz w:val="20"/>
              </w:rPr>
              <w:t> </w:t>
            </w:r>
            <w:r>
              <w:rPr>
                <w:rFonts w:ascii="Arial MT"/>
                <w:spacing w:val="-4"/>
                <w:sz w:val="20"/>
              </w:rPr>
              <w:t>resid</w:t>
            </w:r>
          </w:p>
        </w:tc>
        <w:tc>
          <w:tcPr>
            <w:tcW w:w="1402" w:type="dxa"/>
          </w:tcPr>
          <w:p>
            <w:pPr>
              <w:pStyle w:val="TableParagraph"/>
              <w:spacing w:line="210" w:lineRule="exact"/>
              <w:ind w:right="206"/>
              <w:jc w:val="right"/>
              <w:rPr>
                <w:rFonts w:ascii="Arial MT"/>
                <w:sz w:val="20"/>
              </w:rPr>
            </w:pPr>
            <w:r>
              <w:rPr>
                <w:rFonts w:ascii="Arial MT"/>
                <w:spacing w:val="-2"/>
                <w:sz w:val="20"/>
              </w:rPr>
              <w:t>6.123448</w:t>
            </w:r>
          </w:p>
        </w:tc>
        <w:tc>
          <w:tcPr>
            <w:tcW w:w="2364" w:type="dxa"/>
            <w:gridSpan w:val="2"/>
          </w:tcPr>
          <w:p>
            <w:pPr>
              <w:pStyle w:val="TableParagraph"/>
              <w:spacing w:line="210" w:lineRule="exact"/>
              <w:ind w:left="75"/>
              <w:rPr>
                <w:rFonts w:ascii="Arial MT"/>
                <w:sz w:val="20"/>
              </w:rPr>
            </w:pPr>
            <w:r>
              <w:rPr>
                <w:rFonts w:ascii="Arial MT"/>
                <w:sz w:val="20"/>
              </w:rPr>
              <w:t>Schwarz</w:t>
            </w:r>
            <w:r>
              <w:rPr>
                <w:rFonts w:ascii="Arial MT"/>
                <w:spacing w:val="-9"/>
                <w:sz w:val="20"/>
              </w:rPr>
              <w:t> </w:t>
            </w:r>
            <w:r>
              <w:rPr>
                <w:rFonts w:ascii="Arial MT"/>
                <w:spacing w:val="-2"/>
                <w:sz w:val="20"/>
              </w:rPr>
              <w:t>criterion</w:t>
            </w:r>
          </w:p>
        </w:tc>
        <w:tc>
          <w:tcPr>
            <w:tcW w:w="998" w:type="dxa"/>
          </w:tcPr>
          <w:p>
            <w:pPr>
              <w:pStyle w:val="TableParagraph"/>
              <w:spacing w:line="210" w:lineRule="exact"/>
              <w:ind w:right="36"/>
              <w:jc w:val="right"/>
              <w:rPr>
                <w:rFonts w:ascii="Arial MT"/>
                <w:sz w:val="20"/>
              </w:rPr>
            </w:pPr>
            <w:r>
              <w:rPr>
                <w:rFonts w:ascii="Arial MT"/>
                <w:spacing w:val="-2"/>
                <w:sz w:val="20"/>
              </w:rPr>
              <w:t>1.117580</w:t>
            </w:r>
          </w:p>
        </w:tc>
      </w:tr>
      <w:tr>
        <w:trPr>
          <w:trHeight w:val="230" w:hRule="atLeast"/>
        </w:trPr>
        <w:tc>
          <w:tcPr>
            <w:tcW w:w="2061" w:type="dxa"/>
          </w:tcPr>
          <w:p>
            <w:pPr>
              <w:pStyle w:val="TableParagraph"/>
              <w:spacing w:line="210" w:lineRule="exact"/>
              <w:ind w:left="43"/>
              <w:rPr>
                <w:rFonts w:ascii="Arial MT"/>
                <w:sz w:val="20"/>
              </w:rPr>
            </w:pPr>
            <w:r>
              <w:rPr>
                <w:rFonts w:ascii="Arial MT"/>
                <w:sz w:val="20"/>
              </w:rPr>
              <w:t>Log</w:t>
            </w:r>
            <w:r>
              <w:rPr>
                <w:rFonts w:ascii="Arial MT"/>
                <w:spacing w:val="-5"/>
                <w:sz w:val="20"/>
              </w:rPr>
              <w:t> </w:t>
            </w:r>
            <w:r>
              <w:rPr>
                <w:rFonts w:ascii="Arial MT"/>
                <w:spacing w:val="-2"/>
                <w:sz w:val="20"/>
              </w:rPr>
              <w:t>likelihood</w:t>
            </w:r>
          </w:p>
        </w:tc>
        <w:tc>
          <w:tcPr>
            <w:tcW w:w="1402" w:type="dxa"/>
          </w:tcPr>
          <w:p>
            <w:pPr>
              <w:pStyle w:val="TableParagraph"/>
              <w:spacing w:line="210" w:lineRule="exact"/>
              <w:ind w:left="296"/>
              <w:rPr>
                <w:rFonts w:ascii="Arial MT"/>
                <w:sz w:val="20"/>
              </w:rPr>
            </w:pPr>
            <w:r>
              <w:rPr>
                <w:rFonts w:ascii="Arial MT"/>
                <w:spacing w:val="-2"/>
                <w:sz w:val="20"/>
              </w:rPr>
              <w:t>-19.19682</w:t>
            </w:r>
          </w:p>
        </w:tc>
        <w:tc>
          <w:tcPr>
            <w:tcW w:w="1224" w:type="dxa"/>
          </w:tcPr>
          <w:p>
            <w:pPr>
              <w:pStyle w:val="TableParagraph"/>
              <w:spacing w:line="210" w:lineRule="exact"/>
              <w:ind w:left="75"/>
              <w:rPr>
                <w:rFonts w:ascii="Arial MT"/>
                <w:sz w:val="20"/>
              </w:rPr>
            </w:pPr>
            <w:r>
              <w:rPr>
                <w:rFonts w:ascii="Arial MT"/>
                <w:spacing w:val="-2"/>
                <w:sz w:val="20"/>
              </w:rPr>
              <w:t>F-statistic</w:t>
            </w:r>
          </w:p>
        </w:tc>
        <w:tc>
          <w:tcPr>
            <w:tcW w:w="1140" w:type="dxa"/>
          </w:tcPr>
          <w:p>
            <w:pPr>
              <w:pStyle w:val="TableParagraph"/>
              <w:rPr>
                <w:sz w:val="16"/>
              </w:rPr>
            </w:pPr>
          </w:p>
        </w:tc>
        <w:tc>
          <w:tcPr>
            <w:tcW w:w="998" w:type="dxa"/>
          </w:tcPr>
          <w:p>
            <w:pPr>
              <w:pStyle w:val="TableParagraph"/>
              <w:spacing w:line="210" w:lineRule="exact"/>
              <w:ind w:right="37"/>
              <w:jc w:val="right"/>
              <w:rPr>
                <w:rFonts w:ascii="Arial MT"/>
                <w:sz w:val="20"/>
              </w:rPr>
            </w:pPr>
            <w:r>
              <w:rPr>
                <w:rFonts w:ascii="Arial MT"/>
                <w:spacing w:val="-2"/>
                <w:sz w:val="20"/>
              </w:rPr>
              <w:t>30.23488</w:t>
            </w:r>
          </w:p>
        </w:tc>
      </w:tr>
      <w:tr>
        <w:trPr>
          <w:trHeight w:val="229" w:hRule="atLeast"/>
        </w:trPr>
        <w:tc>
          <w:tcPr>
            <w:tcW w:w="2061" w:type="dxa"/>
            <w:tcBorders>
              <w:bottom w:val="double" w:sz="6" w:space="0" w:color="000000"/>
            </w:tcBorders>
          </w:tcPr>
          <w:p>
            <w:pPr>
              <w:pStyle w:val="TableParagraph"/>
              <w:spacing w:line="209" w:lineRule="exact"/>
              <w:ind w:left="43"/>
              <w:rPr>
                <w:rFonts w:ascii="Arial MT"/>
                <w:sz w:val="20"/>
              </w:rPr>
            </w:pPr>
            <w:r>
              <w:rPr>
                <w:rFonts w:ascii="Arial MT"/>
                <w:sz w:val="20"/>
              </w:rPr>
              <w:t>Durbin-Watson</w:t>
            </w:r>
            <w:r>
              <w:rPr>
                <w:rFonts w:ascii="Arial MT"/>
                <w:spacing w:val="-14"/>
                <w:sz w:val="20"/>
              </w:rPr>
              <w:t> </w:t>
            </w:r>
            <w:r>
              <w:rPr>
                <w:rFonts w:ascii="Arial MT"/>
                <w:spacing w:val="-4"/>
                <w:sz w:val="20"/>
              </w:rPr>
              <w:t>stat</w:t>
            </w:r>
          </w:p>
        </w:tc>
        <w:tc>
          <w:tcPr>
            <w:tcW w:w="1402" w:type="dxa"/>
            <w:tcBorders>
              <w:bottom w:val="double" w:sz="6" w:space="0" w:color="000000"/>
            </w:tcBorders>
          </w:tcPr>
          <w:p>
            <w:pPr>
              <w:pStyle w:val="TableParagraph"/>
              <w:spacing w:line="209" w:lineRule="exact"/>
              <w:ind w:right="206"/>
              <w:jc w:val="right"/>
              <w:rPr>
                <w:rFonts w:ascii="Arial MT"/>
                <w:sz w:val="20"/>
              </w:rPr>
            </w:pPr>
            <w:r>
              <w:rPr>
                <w:rFonts w:ascii="Arial MT"/>
                <w:spacing w:val="-2"/>
                <w:sz w:val="20"/>
              </w:rPr>
              <w:t>1.972605</w:t>
            </w:r>
          </w:p>
        </w:tc>
        <w:tc>
          <w:tcPr>
            <w:tcW w:w="2364" w:type="dxa"/>
            <w:gridSpan w:val="2"/>
            <w:tcBorders>
              <w:bottom w:val="double" w:sz="6" w:space="0" w:color="000000"/>
            </w:tcBorders>
          </w:tcPr>
          <w:p>
            <w:pPr>
              <w:pStyle w:val="TableParagraph"/>
              <w:spacing w:line="209" w:lineRule="exact"/>
              <w:ind w:left="75"/>
              <w:rPr>
                <w:rFonts w:ascii="Arial MT"/>
                <w:sz w:val="20"/>
              </w:rPr>
            </w:pPr>
            <w:r>
              <w:rPr>
                <w:rFonts w:ascii="Arial MT"/>
                <w:spacing w:val="-2"/>
                <w:sz w:val="20"/>
              </w:rPr>
              <w:t>Prob(F-statistic)</w:t>
            </w:r>
          </w:p>
        </w:tc>
        <w:tc>
          <w:tcPr>
            <w:tcW w:w="998" w:type="dxa"/>
            <w:tcBorders>
              <w:bottom w:val="double" w:sz="6" w:space="0" w:color="000000"/>
            </w:tcBorders>
          </w:tcPr>
          <w:p>
            <w:pPr>
              <w:pStyle w:val="TableParagraph"/>
              <w:spacing w:line="209" w:lineRule="exact"/>
              <w:ind w:right="36"/>
              <w:jc w:val="right"/>
              <w:rPr>
                <w:rFonts w:ascii="Arial MT"/>
                <w:sz w:val="20"/>
              </w:rPr>
            </w:pPr>
            <w:r>
              <w:rPr>
                <w:rFonts w:ascii="Arial MT"/>
                <w:spacing w:val="-2"/>
                <w:sz w:val="20"/>
              </w:rPr>
              <w:t>0.000003</w:t>
            </w:r>
          </w:p>
        </w:tc>
      </w:tr>
    </w:tbl>
    <w:p>
      <w:pPr>
        <w:spacing w:after="0" w:line="209" w:lineRule="exact"/>
        <w:jc w:val="right"/>
        <w:rPr>
          <w:rFonts w:ascii="Arial MT"/>
          <w:sz w:val="20"/>
        </w:rPr>
        <w:sectPr>
          <w:pgSz w:w="11910" w:h="16840"/>
          <w:pgMar w:header="0" w:footer="979" w:top="1400" w:bottom="1240" w:left="280" w:right="0"/>
        </w:sectPr>
      </w:pPr>
    </w:p>
    <w:p>
      <w:pPr>
        <w:pStyle w:val="BodyText"/>
        <w:spacing w:before="5"/>
        <w:rPr>
          <w:sz w:val="2"/>
        </w:rPr>
      </w:pPr>
    </w:p>
    <w:tbl>
      <w:tblPr>
        <w:tblW w:w="0" w:type="auto"/>
        <w:jc w:val="left"/>
        <w:tblInd w:w="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74"/>
        <w:gridCol w:w="1252"/>
        <w:gridCol w:w="1475"/>
        <w:gridCol w:w="1402"/>
        <w:gridCol w:w="1497"/>
        <w:gridCol w:w="1336"/>
      </w:tblGrid>
      <w:tr>
        <w:trPr>
          <w:trHeight w:val="455" w:hRule="atLeast"/>
        </w:trPr>
        <w:tc>
          <w:tcPr>
            <w:tcW w:w="8436" w:type="dxa"/>
            <w:gridSpan w:val="6"/>
          </w:tcPr>
          <w:p>
            <w:pPr>
              <w:pStyle w:val="TableParagraph"/>
              <w:spacing w:line="223" w:lineRule="exact"/>
              <w:ind w:left="28"/>
              <w:rPr>
                <w:rFonts w:ascii="Arial MT"/>
                <w:sz w:val="20"/>
              </w:rPr>
            </w:pPr>
            <w:r>
              <w:rPr>
                <w:rFonts w:ascii="Arial MT"/>
                <w:sz w:val="20"/>
              </w:rPr>
              <w:t>COINTEGRATION</w:t>
            </w:r>
            <w:r>
              <w:rPr>
                <w:rFonts w:ascii="Arial MT"/>
                <w:spacing w:val="-9"/>
                <w:sz w:val="20"/>
              </w:rPr>
              <w:t> </w:t>
            </w:r>
            <w:r>
              <w:rPr>
                <w:rFonts w:ascii="Arial MT"/>
                <w:sz w:val="20"/>
              </w:rPr>
              <w:t>TEST</w:t>
            </w:r>
            <w:r>
              <w:rPr>
                <w:rFonts w:ascii="Arial MT"/>
                <w:spacing w:val="-6"/>
                <w:sz w:val="20"/>
              </w:rPr>
              <w:t> </w:t>
            </w:r>
            <w:r>
              <w:rPr>
                <w:rFonts w:ascii="Arial MT"/>
                <w:sz w:val="20"/>
              </w:rPr>
              <w:t>FOR</w:t>
            </w:r>
            <w:r>
              <w:rPr>
                <w:rFonts w:ascii="Arial MT"/>
                <w:spacing w:val="-9"/>
                <w:sz w:val="20"/>
              </w:rPr>
              <w:t> </w:t>
            </w:r>
            <w:r>
              <w:rPr>
                <w:rFonts w:ascii="Arial MT"/>
                <w:sz w:val="20"/>
              </w:rPr>
              <w:t>MODEL</w:t>
            </w:r>
            <w:r>
              <w:rPr>
                <w:rFonts w:ascii="Arial MT"/>
                <w:spacing w:val="-9"/>
                <w:sz w:val="20"/>
              </w:rPr>
              <w:t> </w:t>
            </w:r>
            <w:r>
              <w:rPr>
                <w:rFonts w:ascii="Arial MT"/>
                <w:spacing w:val="-5"/>
                <w:sz w:val="20"/>
              </w:rPr>
              <w:t>2A</w:t>
            </w:r>
          </w:p>
        </w:tc>
      </w:tr>
      <w:tr>
        <w:trPr>
          <w:trHeight w:val="1609" w:hRule="atLeast"/>
        </w:trPr>
        <w:tc>
          <w:tcPr>
            <w:tcW w:w="1474" w:type="dxa"/>
          </w:tcPr>
          <w:p>
            <w:pPr>
              <w:pStyle w:val="TableParagraph"/>
              <w:spacing w:before="226"/>
              <w:ind w:left="127" w:right="225" w:firstLine="1"/>
              <w:jc w:val="center"/>
              <w:rPr>
                <w:rFonts w:ascii="Arial MT"/>
                <w:sz w:val="20"/>
              </w:rPr>
            </w:pPr>
            <w:r>
              <w:rPr>
                <w:rFonts w:ascii="Arial MT"/>
                <w:spacing w:val="-4"/>
                <w:sz w:val="20"/>
              </w:rPr>
              <w:t>Test </w:t>
            </w:r>
            <w:r>
              <w:rPr>
                <w:rFonts w:ascii="Arial MT"/>
                <w:spacing w:val="-2"/>
                <w:sz w:val="20"/>
              </w:rPr>
              <w:t>assumption: Linear deterministic</w:t>
            </w:r>
          </w:p>
          <w:p>
            <w:pPr>
              <w:pStyle w:val="TableParagraph"/>
              <w:spacing w:line="228" w:lineRule="exact"/>
              <w:ind w:left="37" w:right="130"/>
              <w:jc w:val="center"/>
              <w:rPr>
                <w:rFonts w:ascii="Arial MT"/>
                <w:sz w:val="20"/>
              </w:rPr>
            </w:pPr>
            <w:r>
              <w:rPr>
                <w:rFonts w:ascii="Arial MT"/>
                <w:sz w:val="20"/>
              </w:rPr>
              <w:t>trend</w:t>
            </w:r>
            <w:r>
              <w:rPr>
                <w:rFonts w:ascii="Arial MT"/>
                <w:spacing w:val="-14"/>
                <w:sz w:val="20"/>
              </w:rPr>
              <w:t> </w:t>
            </w:r>
            <w:r>
              <w:rPr>
                <w:rFonts w:ascii="Arial MT"/>
                <w:sz w:val="20"/>
              </w:rPr>
              <w:t>in</w:t>
            </w:r>
            <w:r>
              <w:rPr>
                <w:rFonts w:ascii="Arial MT"/>
                <w:spacing w:val="-14"/>
                <w:sz w:val="20"/>
              </w:rPr>
              <w:t> </w:t>
            </w:r>
            <w:r>
              <w:rPr>
                <w:rFonts w:ascii="Arial MT"/>
                <w:sz w:val="20"/>
              </w:rPr>
              <w:t>the </w:t>
            </w:r>
            <w:r>
              <w:rPr>
                <w:rFonts w:ascii="Arial MT"/>
                <w:spacing w:val="-4"/>
                <w:sz w:val="20"/>
              </w:rPr>
              <w:t>data</w:t>
            </w:r>
          </w:p>
        </w:tc>
        <w:tc>
          <w:tcPr>
            <w:tcW w:w="1252" w:type="dxa"/>
          </w:tcPr>
          <w:p>
            <w:pPr>
              <w:pStyle w:val="TableParagraph"/>
              <w:rPr>
                <w:sz w:val="18"/>
              </w:rPr>
            </w:pPr>
          </w:p>
        </w:tc>
        <w:tc>
          <w:tcPr>
            <w:tcW w:w="1475" w:type="dxa"/>
          </w:tcPr>
          <w:p>
            <w:pPr>
              <w:pStyle w:val="TableParagraph"/>
              <w:rPr>
                <w:sz w:val="18"/>
              </w:rPr>
            </w:pPr>
          </w:p>
        </w:tc>
        <w:tc>
          <w:tcPr>
            <w:tcW w:w="1402" w:type="dxa"/>
          </w:tcPr>
          <w:p>
            <w:pPr>
              <w:pStyle w:val="TableParagraph"/>
              <w:rPr>
                <w:sz w:val="18"/>
              </w:rPr>
            </w:pPr>
          </w:p>
        </w:tc>
        <w:tc>
          <w:tcPr>
            <w:tcW w:w="1497" w:type="dxa"/>
          </w:tcPr>
          <w:p>
            <w:pPr>
              <w:pStyle w:val="TableParagraph"/>
              <w:rPr>
                <w:sz w:val="18"/>
              </w:rPr>
            </w:pPr>
          </w:p>
        </w:tc>
        <w:tc>
          <w:tcPr>
            <w:tcW w:w="1336" w:type="dxa"/>
          </w:tcPr>
          <w:p>
            <w:pPr>
              <w:pStyle w:val="TableParagraph"/>
              <w:rPr>
                <w:sz w:val="18"/>
              </w:rPr>
            </w:pPr>
          </w:p>
        </w:tc>
      </w:tr>
      <w:tr>
        <w:trPr>
          <w:trHeight w:val="230" w:hRule="atLeast"/>
        </w:trPr>
        <w:tc>
          <w:tcPr>
            <w:tcW w:w="8436" w:type="dxa"/>
            <w:gridSpan w:val="6"/>
          </w:tcPr>
          <w:p>
            <w:pPr>
              <w:pStyle w:val="TableParagraph"/>
              <w:spacing w:line="210" w:lineRule="exact"/>
              <w:ind w:left="28"/>
              <w:rPr>
                <w:rFonts w:ascii="Arial MT"/>
                <w:sz w:val="20"/>
              </w:rPr>
            </w:pPr>
            <w:r>
              <w:rPr>
                <w:rFonts w:ascii="Arial MT"/>
                <w:sz w:val="20"/>
              </w:rPr>
              <w:t>Series:</w:t>
            </w:r>
            <w:r>
              <w:rPr>
                <w:rFonts w:ascii="Arial MT"/>
                <w:spacing w:val="-7"/>
                <w:sz w:val="20"/>
              </w:rPr>
              <w:t> </w:t>
            </w:r>
            <w:r>
              <w:rPr>
                <w:rFonts w:ascii="Arial MT"/>
                <w:sz w:val="20"/>
              </w:rPr>
              <w:t>GDP</w:t>
            </w:r>
            <w:r>
              <w:rPr>
                <w:rFonts w:ascii="Arial MT"/>
                <w:spacing w:val="-5"/>
                <w:sz w:val="20"/>
              </w:rPr>
              <w:t> </w:t>
            </w:r>
            <w:r>
              <w:rPr>
                <w:rFonts w:ascii="Arial MT"/>
                <w:sz w:val="20"/>
              </w:rPr>
              <w:t>EXTDEBT</w:t>
            </w:r>
            <w:r>
              <w:rPr>
                <w:rFonts w:ascii="Arial MT"/>
                <w:spacing w:val="-4"/>
                <w:sz w:val="20"/>
              </w:rPr>
              <w:t> </w:t>
            </w:r>
            <w:r>
              <w:rPr>
                <w:rFonts w:ascii="Arial MT"/>
                <w:sz w:val="20"/>
              </w:rPr>
              <w:t>DFI</w:t>
            </w:r>
            <w:r>
              <w:rPr>
                <w:rFonts w:ascii="Arial MT"/>
                <w:spacing w:val="-6"/>
                <w:sz w:val="20"/>
              </w:rPr>
              <w:t> </w:t>
            </w:r>
            <w:r>
              <w:rPr>
                <w:rFonts w:ascii="Arial MT"/>
                <w:sz w:val="20"/>
              </w:rPr>
              <w:t>CAB</w:t>
            </w:r>
            <w:r>
              <w:rPr>
                <w:rFonts w:ascii="Arial MT"/>
                <w:spacing w:val="-7"/>
                <w:sz w:val="20"/>
              </w:rPr>
              <w:t> </w:t>
            </w:r>
            <w:r>
              <w:rPr>
                <w:rFonts w:ascii="Arial MT"/>
                <w:spacing w:val="-5"/>
                <w:sz w:val="20"/>
              </w:rPr>
              <w:t>RES</w:t>
            </w:r>
          </w:p>
        </w:tc>
      </w:tr>
      <w:tr>
        <w:trPr>
          <w:trHeight w:val="226" w:hRule="atLeast"/>
        </w:trPr>
        <w:tc>
          <w:tcPr>
            <w:tcW w:w="8436" w:type="dxa"/>
            <w:gridSpan w:val="6"/>
            <w:tcBorders>
              <w:bottom w:val="double" w:sz="6" w:space="0" w:color="000000"/>
            </w:tcBorders>
          </w:tcPr>
          <w:p>
            <w:pPr>
              <w:pStyle w:val="TableParagraph"/>
              <w:spacing w:line="207" w:lineRule="exact"/>
              <w:ind w:left="28"/>
              <w:rPr>
                <w:rFonts w:ascii="Arial MT"/>
                <w:sz w:val="20"/>
              </w:rPr>
            </w:pPr>
            <w:r>
              <w:rPr>
                <w:rFonts w:ascii="Arial MT"/>
                <w:sz w:val="20"/>
              </w:rPr>
              <w:t>Lags</w:t>
            </w:r>
            <w:r>
              <w:rPr>
                <w:rFonts w:ascii="Arial MT"/>
                <w:spacing w:val="-5"/>
                <w:sz w:val="20"/>
              </w:rPr>
              <w:t> </w:t>
            </w:r>
            <w:r>
              <w:rPr>
                <w:rFonts w:ascii="Arial MT"/>
                <w:sz w:val="20"/>
              </w:rPr>
              <w:t>interval:</w:t>
            </w:r>
            <w:r>
              <w:rPr>
                <w:rFonts w:ascii="Arial MT"/>
                <w:spacing w:val="-6"/>
                <w:sz w:val="20"/>
              </w:rPr>
              <w:t> </w:t>
            </w:r>
            <w:r>
              <w:rPr>
                <w:rFonts w:ascii="Arial MT"/>
                <w:sz w:val="20"/>
              </w:rPr>
              <w:t>1</w:t>
            </w:r>
            <w:r>
              <w:rPr>
                <w:rFonts w:ascii="Arial MT"/>
                <w:spacing w:val="-6"/>
                <w:sz w:val="20"/>
              </w:rPr>
              <w:t> </w:t>
            </w:r>
            <w:r>
              <w:rPr>
                <w:rFonts w:ascii="Arial MT"/>
                <w:sz w:val="20"/>
              </w:rPr>
              <w:t>to</w:t>
            </w:r>
            <w:r>
              <w:rPr>
                <w:rFonts w:ascii="Arial MT"/>
                <w:spacing w:val="-6"/>
                <w:sz w:val="20"/>
              </w:rPr>
              <w:t> </w:t>
            </w:r>
            <w:r>
              <w:rPr>
                <w:rFonts w:ascii="Arial MT"/>
                <w:spacing w:val="-10"/>
                <w:sz w:val="20"/>
              </w:rPr>
              <w:t>1</w:t>
            </w:r>
          </w:p>
        </w:tc>
      </w:tr>
      <w:tr>
        <w:trPr>
          <w:trHeight w:val="273" w:hRule="atLeast"/>
        </w:trPr>
        <w:tc>
          <w:tcPr>
            <w:tcW w:w="1474" w:type="dxa"/>
            <w:tcBorders>
              <w:top w:val="double" w:sz="6" w:space="0" w:color="000000"/>
            </w:tcBorders>
          </w:tcPr>
          <w:p>
            <w:pPr>
              <w:pStyle w:val="TableParagraph"/>
              <w:rPr>
                <w:sz w:val="18"/>
              </w:rPr>
            </w:pPr>
          </w:p>
        </w:tc>
        <w:tc>
          <w:tcPr>
            <w:tcW w:w="1252" w:type="dxa"/>
            <w:tcBorders>
              <w:top w:val="double" w:sz="6" w:space="0" w:color="000000"/>
            </w:tcBorders>
          </w:tcPr>
          <w:p>
            <w:pPr>
              <w:pStyle w:val="TableParagraph"/>
              <w:spacing w:line="214" w:lineRule="exact" w:before="39"/>
              <w:ind w:left="22" w:right="53"/>
              <w:jc w:val="center"/>
              <w:rPr>
                <w:rFonts w:ascii="Arial MT"/>
                <w:sz w:val="20"/>
              </w:rPr>
            </w:pPr>
            <w:r>
              <w:rPr>
                <w:rFonts w:ascii="Arial MT"/>
                <w:spacing w:val="-2"/>
                <w:sz w:val="20"/>
              </w:rPr>
              <w:t>Likelihood</w:t>
            </w:r>
          </w:p>
        </w:tc>
        <w:tc>
          <w:tcPr>
            <w:tcW w:w="1475" w:type="dxa"/>
            <w:tcBorders>
              <w:top w:val="double" w:sz="6" w:space="0" w:color="000000"/>
            </w:tcBorders>
          </w:tcPr>
          <w:p>
            <w:pPr>
              <w:pStyle w:val="TableParagraph"/>
              <w:spacing w:line="214" w:lineRule="exact" w:before="39"/>
              <w:ind w:left="118" w:right="54"/>
              <w:jc w:val="center"/>
              <w:rPr>
                <w:rFonts w:ascii="Arial MT"/>
                <w:sz w:val="20"/>
              </w:rPr>
            </w:pPr>
            <w:r>
              <w:rPr>
                <w:rFonts w:ascii="Arial MT"/>
                <w:sz w:val="20"/>
              </w:rPr>
              <w:t>5</w:t>
            </w:r>
            <w:r>
              <w:rPr>
                <w:rFonts w:ascii="Arial MT"/>
                <w:spacing w:val="-3"/>
                <w:sz w:val="20"/>
              </w:rPr>
              <w:t> </w:t>
            </w:r>
            <w:r>
              <w:rPr>
                <w:rFonts w:ascii="Arial MT"/>
                <w:spacing w:val="-2"/>
                <w:sz w:val="20"/>
              </w:rPr>
              <w:t>Percent</w:t>
            </w:r>
          </w:p>
        </w:tc>
        <w:tc>
          <w:tcPr>
            <w:tcW w:w="1402" w:type="dxa"/>
            <w:tcBorders>
              <w:top w:val="double" w:sz="6" w:space="0" w:color="000000"/>
            </w:tcBorders>
          </w:tcPr>
          <w:p>
            <w:pPr>
              <w:pStyle w:val="TableParagraph"/>
              <w:spacing w:line="214" w:lineRule="exact" w:before="39"/>
              <w:ind w:left="64" w:right="55"/>
              <w:jc w:val="center"/>
              <w:rPr>
                <w:rFonts w:ascii="Arial MT"/>
                <w:sz w:val="20"/>
              </w:rPr>
            </w:pPr>
            <w:r>
              <w:rPr>
                <w:rFonts w:ascii="Arial MT"/>
                <w:sz w:val="20"/>
              </w:rPr>
              <w:t>1</w:t>
            </w:r>
            <w:r>
              <w:rPr>
                <w:rFonts w:ascii="Arial MT"/>
                <w:spacing w:val="-3"/>
                <w:sz w:val="20"/>
              </w:rPr>
              <w:t> </w:t>
            </w:r>
            <w:r>
              <w:rPr>
                <w:rFonts w:ascii="Arial MT"/>
                <w:spacing w:val="-2"/>
                <w:sz w:val="20"/>
              </w:rPr>
              <w:t>Percent</w:t>
            </w:r>
          </w:p>
        </w:tc>
        <w:tc>
          <w:tcPr>
            <w:tcW w:w="1497" w:type="dxa"/>
            <w:tcBorders>
              <w:top w:val="double" w:sz="6" w:space="0" w:color="000000"/>
            </w:tcBorders>
          </w:tcPr>
          <w:p>
            <w:pPr>
              <w:pStyle w:val="TableParagraph"/>
              <w:spacing w:line="214" w:lineRule="exact" w:before="39"/>
              <w:ind w:left="107"/>
              <w:rPr>
                <w:rFonts w:ascii="Arial MT"/>
                <w:sz w:val="20"/>
              </w:rPr>
            </w:pPr>
            <w:r>
              <w:rPr>
                <w:rFonts w:ascii="Arial MT"/>
                <w:spacing w:val="-2"/>
                <w:sz w:val="20"/>
              </w:rPr>
              <w:t>Hypothesized</w:t>
            </w:r>
          </w:p>
        </w:tc>
        <w:tc>
          <w:tcPr>
            <w:tcW w:w="1336" w:type="dxa"/>
            <w:tcBorders>
              <w:top w:val="double" w:sz="6" w:space="0" w:color="000000"/>
            </w:tcBorders>
          </w:tcPr>
          <w:p>
            <w:pPr>
              <w:pStyle w:val="TableParagraph"/>
              <w:rPr>
                <w:sz w:val="18"/>
              </w:rPr>
            </w:pPr>
          </w:p>
        </w:tc>
      </w:tr>
      <w:tr>
        <w:trPr>
          <w:trHeight w:val="226" w:hRule="atLeast"/>
        </w:trPr>
        <w:tc>
          <w:tcPr>
            <w:tcW w:w="1474" w:type="dxa"/>
            <w:tcBorders>
              <w:bottom w:val="double" w:sz="6" w:space="0" w:color="000000"/>
            </w:tcBorders>
          </w:tcPr>
          <w:p>
            <w:pPr>
              <w:pStyle w:val="TableParagraph"/>
              <w:spacing w:line="207" w:lineRule="exact"/>
              <w:ind w:left="37" w:right="132"/>
              <w:jc w:val="center"/>
              <w:rPr>
                <w:rFonts w:ascii="Arial MT"/>
                <w:sz w:val="20"/>
              </w:rPr>
            </w:pPr>
            <w:r>
              <w:rPr>
                <w:rFonts w:ascii="Arial MT"/>
                <w:spacing w:val="-2"/>
                <w:sz w:val="20"/>
              </w:rPr>
              <w:t>Eigenvalue</w:t>
            </w:r>
          </w:p>
        </w:tc>
        <w:tc>
          <w:tcPr>
            <w:tcW w:w="1252" w:type="dxa"/>
            <w:tcBorders>
              <w:bottom w:val="double" w:sz="6" w:space="0" w:color="000000"/>
            </w:tcBorders>
          </w:tcPr>
          <w:p>
            <w:pPr>
              <w:pStyle w:val="TableParagraph"/>
              <w:spacing w:line="207" w:lineRule="exact"/>
              <w:ind w:left="22" w:right="52"/>
              <w:jc w:val="center"/>
              <w:rPr>
                <w:rFonts w:ascii="Arial MT"/>
                <w:sz w:val="20"/>
              </w:rPr>
            </w:pPr>
            <w:r>
              <w:rPr>
                <w:rFonts w:ascii="Arial MT"/>
                <w:spacing w:val="-2"/>
                <w:sz w:val="20"/>
              </w:rPr>
              <w:t>Ratio</w:t>
            </w:r>
          </w:p>
        </w:tc>
        <w:tc>
          <w:tcPr>
            <w:tcW w:w="1475" w:type="dxa"/>
            <w:tcBorders>
              <w:bottom w:val="double" w:sz="6" w:space="0" w:color="000000"/>
            </w:tcBorders>
          </w:tcPr>
          <w:p>
            <w:pPr>
              <w:pStyle w:val="TableParagraph"/>
              <w:spacing w:line="207" w:lineRule="exact"/>
              <w:ind w:left="118" w:right="55"/>
              <w:jc w:val="center"/>
              <w:rPr>
                <w:rFonts w:ascii="Arial MT"/>
                <w:sz w:val="20"/>
              </w:rPr>
            </w:pPr>
            <w:r>
              <w:rPr>
                <w:rFonts w:ascii="Arial MT"/>
                <w:sz w:val="20"/>
              </w:rPr>
              <w:t>Critical</w:t>
            </w:r>
            <w:r>
              <w:rPr>
                <w:rFonts w:ascii="Arial MT"/>
                <w:spacing w:val="-12"/>
                <w:sz w:val="20"/>
              </w:rPr>
              <w:t> </w:t>
            </w:r>
            <w:r>
              <w:rPr>
                <w:rFonts w:ascii="Arial MT"/>
                <w:spacing w:val="-2"/>
                <w:sz w:val="20"/>
              </w:rPr>
              <w:t>Value</w:t>
            </w:r>
          </w:p>
        </w:tc>
        <w:tc>
          <w:tcPr>
            <w:tcW w:w="1402" w:type="dxa"/>
            <w:tcBorders>
              <w:bottom w:val="double" w:sz="6" w:space="0" w:color="000000"/>
            </w:tcBorders>
          </w:tcPr>
          <w:p>
            <w:pPr>
              <w:pStyle w:val="TableParagraph"/>
              <w:spacing w:line="207" w:lineRule="exact"/>
              <w:ind w:left="64" w:right="56"/>
              <w:jc w:val="center"/>
              <w:rPr>
                <w:rFonts w:ascii="Arial MT"/>
                <w:sz w:val="20"/>
              </w:rPr>
            </w:pPr>
            <w:r>
              <w:rPr>
                <w:rFonts w:ascii="Arial MT"/>
                <w:sz w:val="20"/>
              </w:rPr>
              <w:t>Critical</w:t>
            </w:r>
            <w:r>
              <w:rPr>
                <w:rFonts w:ascii="Arial MT"/>
                <w:spacing w:val="-12"/>
                <w:sz w:val="20"/>
              </w:rPr>
              <w:t> </w:t>
            </w:r>
            <w:r>
              <w:rPr>
                <w:rFonts w:ascii="Arial MT"/>
                <w:spacing w:val="-2"/>
                <w:sz w:val="20"/>
              </w:rPr>
              <w:t>Value</w:t>
            </w:r>
          </w:p>
        </w:tc>
        <w:tc>
          <w:tcPr>
            <w:tcW w:w="1497" w:type="dxa"/>
            <w:tcBorders>
              <w:bottom w:val="double" w:sz="6" w:space="0" w:color="000000"/>
            </w:tcBorders>
          </w:tcPr>
          <w:p>
            <w:pPr>
              <w:pStyle w:val="TableParagraph"/>
              <w:spacing w:line="207" w:lineRule="exact"/>
              <w:ind w:left="163"/>
              <w:rPr>
                <w:rFonts w:ascii="Arial MT"/>
                <w:sz w:val="20"/>
              </w:rPr>
            </w:pPr>
            <w:r>
              <w:rPr>
                <w:rFonts w:ascii="Arial MT"/>
                <w:sz w:val="20"/>
              </w:rPr>
              <w:t>No.</w:t>
            </w:r>
            <w:r>
              <w:rPr>
                <w:rFonts w:ascii="Arial MT"/>
                <w:spacing w:val="-4"/>
                <w:sz w:val="20"/>
              </w:rPr>
              <w:t> </w:t>
            </w:r>
            <w:r>
              <w:rPr>
                <w:rFonts w:ascii="Arial MT"/>
                <w:sz w:val="20"/>
              </w:rPr>
              <w:t>of</w:t>
            </w:r>
            <w:r>
              <w:rPr>
                <w:rFonts w:ascii="Arial MT"/>
                <w:spacing w:val="-2"/>
                <w:sz w:val="20"/>
              </w:rPr>
              <w:t> CE(s)</w:t>
            </w:r>
          </w:p>
        </w:tc>
        <w:tc>
          <w:tcPr>
            <w:tcW w:w="1336" w:type="dxa"/>
            <w:tcBorders>
              <w:bottom w:val="double" w:sz="6" w:space="0" w:color="000000"/>
            </w:tcBorders>
          </w:tcPr>
          <w:p>
            <w:pPr>
              <w:pStyle w:val="TableParagraph"/>
              <w:rPr>
                <w:sz w:val="16"/>
              </w:rPr>
            </w:pPr>
          </w:p>
        </w:tc>
      </w:tr>
      <w:tr>
        <w:trPr>
          <w:trHeight w:val="273" w:hRule="atLeast"/>
        </w:trPr>
        <w:tc>
          <w:tcPr>
            <w:tcW w:w="1474" w:type="dxa"/>
            <w:tcBorders>
              <w:top w:val="double" w:sz="6" w:space="0" w:color="000000"/>
            </w:tcBorders>
          </w:tcPr>
          <w:p>
            <w:pPr>
              <w:pStyle w:val="TableParagraph"/>
              <w:spacing w:line="214" w:lineRule="exact" w:before="39"/>
              <w:ind w:left="87" w:right="130"/>
              <w:jc w:val="center"/>
              <w:rPr>
                <w:rFonts w:ascii="Arial MT"/>
                <w:sz w:val="20"/>
              </w:rPr>
            </w:pPr>
            <w:r>
              <w:rPr>
                <w:rFonts w:ascii="Arial MT"/>
                <w:spacing w:val="-2"/>
                <w:sz w:val="20"/>
              </w:rPr>
              <w:t>0.474747</w:t>
            </w:r>
          </w:p>
        </w:tc>
        <w:tc>
          <w:tcPr>
            <w:tcW w:w="1252" w:type="dxa"/>
            <w:tcBorders>
              <w:top w:val="double" w:sz="6" w:space="0" w:color="000000"/>
            </w:tcBorders>
          </w:tcPr>
          <w:p>
            <w:pPr>
              <w:pStyle w:val="TableParagraph"/>
              <w:spacing w:line="214" w:lineRule="exact" w:before="39"/>
              <w:ind w:left="53" w:right="31"/>
              <w:jc w:val="center"/>
              <w:rPr>
                <w:rFonts w:ascii="Arial MT"/>
                <w:sz w:val="20"/>
              </w:rPr>
            </w:pPr>
            <w:r>
              <w:rPr>
                <w:rFonts w:ascii="Arial MT"/>
                <w:spacing w:val="-2"/>
                <w:sz w:val="20"/>
              </w:rPr>
              <w:t>70.40447</w:t>
            </w:r>
          </w:p>
        </w:tc>
        <w:tc>
          <w:tcPr>
            <w:tcW w:w="1475" w:type="dxa"/>
            <w:tcBorders>
              <w:top w:val="double" w:sz="6" w:space="0" w:color="000000"/>
            </w:tcBorders>
          </w:tcPr>
          <w:p>
            <w:pPr>
              <w:pStyle w:val="TableParagraph"/>
              <w:spacing w:line="214" w:lineRule="exact" w:before="39"/>
              <w:ind w:left="118" w:right="2"/>
              <w:jc w:val="center"/>
              <w:rPr>
                <w:rFonts w:ascii="Arial MT"/>
                <w:sz w:val="20"/>
              </w:rPr>
            </w:pPr>
            <w:r>
              <w:rPr>
                <w:rFonts w:ascii="Arial MT"/>
                <w:spacing w:val="-2"/>
                <w:sz w:val="20"/>
              </w:rPr>
              <w:t>68.52</w:t>
            </w:r>
          </w:p>
        </w:tc>
        <w:tc>
          <w:tcPr>
            <w:tcW w:w="1402" w:type="dxa"/>
            <w:tcBorders>
              <w:top w:val="double" w:sz="6" w:space="0" w:color="000000"/>
            </w:tcBorders>
          </w:tcPr>
          <w:p>
            <w:pPr>
              <w:pStyle w:val="TableParagraph"/>
              <w:spacing w:line="214" w:lineRule="exact" w:before="39"/>
              <w:ind w:left="64" w:right="3"/>
              <w:jc w:val="center"/>
              <w:rPr>
                <w:rFonts w:ascii="Arial MT"/>
                <w:sz w:val="20"/>
              </w:rPr>
            </w:pPr>
            <w:r>
              <w:rPr>
                <w:rFonts w:ascii="Arial MT"/>
                <w:spacing w:val="-2"/>
                <w:sz w:val="20"/>
              </w:rPr>
              <w:t>76.07</w:t>
            </w:r>
          </w:p>
        </w:tc>
        <w:tc>
          <w:tcPr>
            <w:tcW w:w="1497" w:type="dxa"/>
            <w:tcBorders>
              <w:top w:val="double" w:sz="6" w:space="0" w:color="000000"/>
            </w:tcBorders>
          </w:tcPr>
          <w:p>
            <w:pPr>
              <w:pStyle w:val="TableParagraph"/>
              <w:spacing w:line="214" w:lineRule="exact" w:before="39"/>
              <w:ind w:left="369"/>
              <w:rPr>
                <w:rFonts w:ascii="Arial MT"/>
                <w:sz w:val="20"/>
              </w:rPr>
            </w:pPr>
            <w:r>
              <w:rPr>
                <w:rFonts w:ascii="Arial MT"/>
                <w:sz w:val="20"/>
              </w:rPr>
              <w:t>None</w:t>
            </w:r>
            <w:r>
              <w:rPr>
                <w:rFonts w:ascii="Arial MT"/>
                <w:spacing w:val="-6"/>
                <w:sz w:val="20"/>
              </w:rPr>
              <w:t> </w:t>
            </w:r>
            <w:r>
              <w:rPr>
                <w:rFonts w:ascii="Arial MT"/>
                <w:spacing w:val="-10"/>
                <w:sz w:val="20"/>
              </w:rPr>
              <w:t>*</w:t>
            </w:r>
          </w:p>
        </w:tc>
        <w:tc>
          <w:tcPr>
            <w:tcW w:w="1336" w:type="dxa"/>
            <w:tcBorders>
              <w:top w:val="double" w:sz="6" w:space="0" w:color="000000"/>
            </w:tcBorders>
          </w:tcPr>
          <w:p>
            <w:pPr>
              <w:pStyle w:val="TableParagraph"/>
              <w:rPr>
                <w:sz w:val="18"/>
              </w:rPr>
            </w:pPr>
          </w:p>
        </w:tc>
      </w:tr>
      <w:tr>
        <w:trPr>
          <w:trHeight w:val="230" w:hRule="atLeast"/>
        </w:trPr>
        <w:tc>
          <w:tcPr>
            <w:tcW w:w="1474" w:type="dxa"/>
          </w:tcPr>
          <w:p>
            <w:pPr>
              <w:pStyle w:val="TableParagraph"/>
              <w:spacing w:line="211" w:lineRule="exact"/>
              <w:ind w:left="87" w:right="130"/>
              <w:jc w:val="center"/>
              <w:rPr>
                <w:rFonts w:ascii="Arial MT"/>
                <w:sz w:val="20"/>
              </w:rPr>
            </w:pPr>
            <w:r>
              <w:rPr>
                <w:rFonts w:ascii="Arial MT"/>
                <w:spacing w:val="-2"/>
                <w:sz w:val="20"/>
              </w:rPr>
              <w:t>0.441328</w:t>
            </w:r>
          </w:p>
        </w:tc>
        <w:tc>
          <w:tcPr>
            <w:tcW w:w="1252" w:type="dxa"/>
          </w:tcPr>
          <w:p>
            <w:pPr>
              <w:pStyle w:val="TableParagraph"/>
              <w:spacing w:line="211" w:lineRule="exact"/>
              <w:ind w:left="53" w:right="31"/>
              <w:jc w:val="center"/>
              <w:rPr>
                <w:rFonts w:ascii="Arial MT"/>
                <w:sz w:val="20"/>
              </w:rPr>
            </w:pPr>
            <w:r>
              <w:rPr>
                <w:rFonts w:ascii="Arial MT"/>
                <w:spacing w:val="-2"/>
                <w:sz w:val="20"/>
              </w:rPr>
              <w:t>44.64948</w:t>
            </w:r>
          </w:p>
        </w:tc>
        <w:tc>
          <w:tcPr>
            <w:tcW w:w="1475" w:type="dxa"/>
          </w:tcPr>
          <w:p>
            <w:pPr>
              <w:pStyle w:val="TableParagraph"/>
              <w:spacing w:line="211" w:lineRule="exact"/>
              <w:ind w:left="118" w:right="2"/>
              <w:jc w:val="center"/>
              <w:rPr>
                <w:rFonts w:ascii="Arial MT"/>
                <w:sz w:val="20"/>
              </w:rPr>
            </w:pPr>
            <w:r>
              <w:rPr>
                <w:rFonts w:ascii="Arial MT"/>
                <w:spacing w:val="-2"/>
                <w:sz w:val="20"/>
              </w:rPr>
              <w:t>47.21</w:t>
            </w:r>
          </w:p>
        </w:tc>
        <w:tc>
          <w:tcPr>
            <w:tcW w:w="1402" w:type="dxa"/>
          </w:tcPr>
          <w:p>
            <w:pPr>
              <w:pStyle w:val="TableParagraph"/>
              <w:spacing w:line="211" w:lineRule="exact"/>
              <w:ind w:left="64" w:right="3"/>
              <w:jc w:val="center"/>
              <w:rPr>
                <w:rFonts w:ascii="Arial MT"/>
                <w:sz w:val="20"/>
              </w:rPr>
            </w:pPr>
            <w:r>
              <w:rPr>
                <w:rFonts w:ascii="Arial MT"/>
                <w:spacing w:val="-2"/>
                <w:sz w:val="20"/>
              </w:rPr>
              <w:t>54.46</w:t>
            </w:r>
          </w:p>
        </w:tc>
        <w:tc>
          <w:tcPr>
            <w:tcW w:w="1497" w:type="dxa"/>
          </w:tcPr>
          <w:p>
            <w:pPr>
              <w:pStyle w:val="TableParagraph"/>
              <w:spacing w:line="211" w:lineRule="exact"/>
              <w:ind w:left="203"/>
              <w:rPr>
                <w:rFonts w:ascii="Arial MT"/>
                <w:sz w:val="20"/>
              </w:rPr>
            </w:pPr>
            <w:r>
              <w:rPr>
                <w:rFonts w:ascii="Arial MT"/>
                <w:sz w:val="20"/>
              </w:rPr>
              <w:t>At</w:t>
            </w:r>
            <w:r>
              <w:rPr>
                <w:rFonts w:ascii="Arial MT"/>
                <w:spacing w:val="-4"/>
                <w:sz w:val="20"/>
              </w:rPr>
              <w:t> </w:t>
            </w:r>
            <w:r>
              <w:rPr>
                <w:rFonts w:ascii="Arial MT"/>
                <w:sz w:val="20"/>
              </w:rPr>
              <w:t>most</w:t>
            </w:r>
            <w:r>
              <w:rPr>
                <w:rFonts w:ascii="Arial MT"/>
                <w:spacing w:val="-3"/>
                <w:sz w:val="20"/>
              </w:rPr>
              <w:t> </w:t>
            </w:r>
            <w:r>
              <w:rPr>
                <w:rFonts w:ascii="Arial MT"/>
                <w:spacing w:val="-10"/>
                <w:sz w:val="20"/>
              </w:rPr>
              <w:t>1</w:t>
            </w:r>
          </w:p>
        </w:tc>
        <w:tc>
          <w:tcPr>
            <w:tcW w:w="1336" w:type="dxa"/>
          </w:tcPr>
          <w:p>
            <w:pPr>
              <w:pStyle w:val="TableParagraph"/>
              <w:rPr>
                <w:sz w:val="16"/>
              </w:rPr>
            </w:pPr>
          </w:p>
        </w:tc>
      </w:tr>
      <w:tr>
        <w:trPr>
          <w:trHeight w:val="230" w:hRule="atLeast"/>
        </w:trPr>
        <w:tc>
          <w:tcPr>
            <w:tcW w:w="1474" w:type="dxa"/>
          </w:tcPr>
          <w:p>
            <w:pPr>
              <w:pStyle w:val="TableParagraph"/>
              <w:spacing w:line="211" w:lineRule="exact"/>
              <w:ind w:left="87" w:right="130"/>
              <w:jc w:val="center"/>
              <w:rPr>
                <w:rFonts w:ascii="Arial MT"/>
                <w:sz w:val="20"/>
              </w:rPr>
            </w:pPr>
            <w:r>
              <w:rPr>
                <w:rFonts w:ascii="Arial MT"/>
                <w:spacing w:val="-2"/>
                <w:sz w:val="20"/>
              </w:rPr>
              <w:t>0.283674</w:t>
            </w:r>
          </w:p>
        </w:tc>
        <w:tc>
          <w:tcPr>
            <w:tcW w:w="1252" w:type="dxa"/>
          </w:tcPr>
          <w:p>
            <w:pPr>
              <w:pStyle w:val="TableParagraph"/>
              <w:spacing w:line="211" w:lineRule="exact"/>
              <w:ind w:left="53" w:right="31"/>
              <w:jc w:val="center"/>
              <w:rPr>
                <w:rFonts w:ascii="Arial MT"/>
                <w:sz w:val="20"/>
              </w:rPr>
            </w:pPr>
            <w:r>
              <w:rPr>
                <w:rFonts w:ascii="Arial MT"/>
                <w:spacing w:val="-2"/>
                <w:sz w:val="20"/>
              </w:rPr>
              <w:t>21.36175</w:t>
            </w:r>
          </w:p>
        </w:tc>
        <w:tc>
          <w:tcPr>
            <w:tcW w:w="1475" w:type="dxa"/>
          </w:tcPr>
          <w:p>
            <w:pPr>
              <w:pStyle w:val="TableParagraph"/>
              <w:spacing w:line="211" w:lineRule="exact"/>
              <w:ind w:left="118" w:right="2"/>
              <w:jc w:val="center"/>
              <w:rPr>
                <w:rFonts w:ascii="Arial MT"/>
                <w:sz w:val="20"/>
              </w:rPr>
            </w:pPr>
            <w:r>
              <w:rPr>
                <w:rFonts w:ascii="Arial MT"/>
                <w:spacing w:val="-2"/>
                <w:sz w:val="20"/>
              </w:rPr>
              <w:t>29.68</w:t>
            </w:r>
          </w:p>
        </w:tc>
        <w:tc>
          <w:tcPr>
            <w:tcW w:w="1402" w:type="dxa"/>
          </w:tcPr>
          <w:p>
            <w:pPr>
              <w:pStyle w:val="TableParagraph"/>
              <w:spacing w:line="211" w:lineRule="exact"/>
              <w:ind w:left="64" w:right="3"/>
              <w:jc w:val="center"/>
              <w:rPr>
                <w:rFonts w:ascii="Arial MT"/>
                <w:sz w:val="20"/>
              </w:rPr>
            </w:pPr>
            <w:r>
              <w:rPr>
                <w:rFonts w:ascii="Arial MT"/>
                <w:spacing w:val="-2"/>
                <w:sz w:val="20"/>
              </w:rPr>
              <w:t>35.65</w:t>
            </w:r>
          </w:p>
        </w:tc>
        <w:tc>
          <w:tcPr>
            <w:tcW w:w="1497" w:type="dxa"/>
          </w:tcPr>
          <w:p>
            <w:pPr>
              <w:pStyle w:val="TableParagraph"/>
              <w:spacing w:line="211" w:lineRule="exact"/>
              <w:ind w:left="203"/>
              <w:rPr>
                <w:rFonts w:ascii="Arial MT"/>
                <w:sz w:val="20"/>
              </w:rPr>
            </w:pPr>
            <w:r>
              <w:rPr>
                <w:rFonts w:ascii="Arial MT"/>
                <w:sz w:val="20"/>
              </w:rPr>
              <w:t>At</w:t>
            </w:r>
            <w:r>
              <w:rPr>
                <w:rFonts w:ascii="Arial MT"/>
                <w:spacing w:val="-4"/>
                <w:sz w:val="20"/>
              </w:rPr>
              <w:t> </w:t>
            </w:r>
            <w:r>
              <w:rPr>
                <w:rFonts w:ascii="Arial MT"/>
                <w:sz w:val="20"/>
              </w:rPr>
              <w:t>most</w:t>
            </w:r>
            <w:r>
              <w:rPr>
                <w:rFonts w:ascii="Arial MT"/>
                <w:spacing w:val="-3"/>
                <w:sz w:val="20"/>
              </w:rPr>
              <w:t> </w:t>
            </w:r>
            <w:r>
              <w:rPr>
                <w:rFonts w:ascii="Arial MT"/>
                <w:spacing w:val="-10"/>
                <w:sz w:val="20"/>
              </w:rPr>
              <w:t>2</w:t>
            </w:r>
          </w:p>
        </w:tc>
        <w:tc>
          <w:tcPr>
            <w:tcW w:w="1336" w:type="dxa"/>
          </w:tcPr>
          <w:p>
            <w:pPr>
              <w:pStyle w:val="TableParagraph"/>
              <w:rPr>
                <w:sz w:val="16"/>
              </w:rPr>
            </w:pPr>
          </w:p>
        </w:tc>
      </w:tr>
      <w:tr>
        <w:trPr>
          <w:trHeight w:val="230" w:hRule="atLeast"/>
        </w:trPr>
        <w:tc>
          <w:tcPr>
            <w:tcW w:w="1474" w:type="dxa"/>
          </w:tcPr>
          <w:p>
            <w:pPr>
              <w:pStyle w:val="TableParagraph"/>
              <w:spacing w:line="210" w:lineRule="exact"/>
              <w:ind w:left="87" w:right="130"/>
              <w:jc w:val="center"/>
              <w:rPr>
                <w:rFonts w:ascii="Arial MT"/>
                <w:sz w:val="20"/>
              </w:rPr>
            </w:pPr>
            <w:r>
              <w:rPr>
                <w:rFonts w:ascii="Arial MT"/>
                <w:spacing w:val="-2"/>
                <w:sz w:val="20"/>
              </w:rPr>
              <w:t>0.170620</w:t>
            </w:r>
          </w:p>
        </w:tc>
        <w:tc>
          <w:tcPr>
            <w:tcW w:w="1252" w:type="dxa"/>
          </w:tcPr>
          <w:p>
            <w:pPr>
              <w:pStyle w:val="TableParagraph"/>
              <w:spacing w:line="210" w:lineRule="exact"/>
              <w:ind w:left="53" w:right="31"/>
              <w:jc w:val="center"/>
              <w:rPr>
                <w:rFonts w:ascii="Arial MT"/>
                <w:sz w:val="20"/>
              </w:rPr>
            </w:pPr>
            <w:r>
              <w:rPr>
                <w:rFonts w:ascii="Arial MT"/>
                <w:spacing w:val="-2"/>
                <w:sz w:val="20"/>
              </w:rPr>
              <w:t>8.016926</w:t>
            </w:r>
          </w:p>
        </w:tc>
        <w:tc>
          <w:tcPr>
            <w:tcW w:w="1475" w:type="dxa"/>
          </w:tcPr>
          <w:p>
            <w:pPr>
              <w:pStyle w:val="TableParagraph"/>
              <w:spacing w:line="210" w:lineRule="exact"/>
              <w:ind w:left="118" w:right="2"/>
              <w:jc w:val="center"/>
              <w:rPr>
                <w:rFonts w:ascii="Arial MT"/>
                <w:sz w:val="20"/>
              </w:rPr>
            </w:pPr>
            <w:r>
              <w:rPr>
                <w:rFonts w:ascii="Arial MT"/>
                <w:spacing w:val="-2"/>
                <w:sz w:val="20"/>
              </w:rPr>
              <w:t>15.41</w:t>
            </w:r>
          </w:p>
        </w:tc>
        <w:tc>
          <w:tcPr>
            <w:tcW w:w="1402" w:type="dxa"/>
          </w:tcPr>
          <w:p>
            <w:pPr>
              <w:pStyle w:val="TableParagraph"/>
              <w:spacing w:line="210" w:lineRule="exact"/>
              <w:ind w:left="64" w:right="3"/>
              <w:jc w:val="center"/>
              <w:rPr>
                <w:rFonts w:ascii="Arial MT"/>
                <w:sz w:val="20"/>
              </w:rPr>
            </w:pPr>
            <w:r>
              <w:rPr>
                <w:rFonts w:ascii="Arial MT"/>
                <w:spacing w:val="-2"/>
                <w:sz w:val="20"/>
              </w:rPr>
              <w:t>20.04</w:t>
            </w:r>
          </w:p>
        </w:tc>
        <w:tc>
          <w:tcPr>
            <w:tcW w:w="1497" w:type="dxa"/>
          </w:tcPr>
          <w:p>
            <w:pPr>
              <w:pStyle w:val="TableParagraph"/>
              <w:spacing w:line="210" w:lineRule="exact"/>
              <w:ind w:left="203"/>
              <w:rPr>
                <w:rFonts w:ascii="Arial MT"/>
                <w:sz w:val="20"/>
              </w:rPr>
            </w:pPr>
            <w:r>
              <w:rPr>
                <w:rFonts w:ascii="Arial MT"/>
                <w:sz w:val="20"/>
              </w:rPr>
              <w:t>At</w:t>
            </w:r>
            <w:r>
              <w:rPr>
                <w:rFonts w:ascii="Arial MT"/>
                <w:spacing w:val="-4"/>
                <w:sz w:val="20"/>
              </w:rPr>
              <w:t> </w:t>
            </w:r>
            <w:r>
              <w:rPr>
                <w:rFonts w:ascii="Arial MT"/>
                <w:sz w:val="20"/>
              </w:rPr>
              <w:t>most</w:t>
            </w:r>
            <w:r>
              <w:rPr>
                <w:rFonts w:ascii="Arial MT"/>
                <w:spacing w:val="-3"/>
                <w:sz w:val="20"/>
              </w:rPr>
              <w:t> </w:t>
            </w:r>
            <w:r>
              <w:rPr>
                <w:rFonts w:ascii="Arial MT"/>
                <w:spacing w:val="-10"/>
                <w:sz w:val="20"/>
              </w:rPr>
              <w:t>3</w:t>
            </w:r>
          </w:p>
        </w:tc>
        <w:tc>
          <w:tcPr>
            <w:tcW w:w="1336" w:type="dxa"/>
          </w:tcPr>
          <w:p>
            <w:pPr>
              <w:pStyle w:val="TableParagraph"/>
              <w:rPr>
                <w:sz w:val="16"/>
              </w:rPr>
            </w:pPr>
          </w:p>
        </w:tc>
      </w:tr>
      <w:tr>
        <w:trPr>
          <w:trHeight w:val="226" w:hRule="atLeast"/>
        </w:trPr>
        <w:tc>
          <w:tcPr>
            <w:tcW w:w="1474" w:type="dxa"/>
            <w:tcBorders>
              <w:bottom w:val="double" w:sz="6" w:space="0" w:color="000000"/>
            </w:tcBorders>
          </w:tcPr>
          <w:p>
            <w:pPr>
              <w:pStyle w:val="TableParagraph"/>
              <w:spacing w:line="207" w:lineRule="exact"/>
              <w:ind w:left="87" w:right="130"/>
              <w:jc w:val="center"/>
              <w:rPr>
                <w:rFonts w:ascii="Arial MT"/>
                <w:sz w:val="20"/>
              </w:rPr>
            </w:pPr>
            <w:r>
              <w:rPr>
                <w:rFonts w:ascii="Arial MT"/>
                <w:spacing w:val="-2"/>
                <w:sz w:val="20"/>
              </w:rPr>
              <w:t>0.013257</w:t>
            </w:r>
          </w:p>
        </w:tc>
        <w:tc>
          <w:tcPr>
            <w:tcW w:w="1252" w:type="dxa"/>
            <w:tcBorders>
              <w:bottom w:val="double" w:sz="6" w:space="0" w:color="000000"/>
            </w:tcBorders>
          </w:tcPr>
          <w:p>
            <w:pPr>
              <w:pStyle w:val="TableParagraph"/>
              <w:spacing w:line="207" w:lineRule="exact"/>
              <w:ind w:left="53" w:right="31"/>
              <w:jc w:val="center"/>
              <w:rPr>
                <w:rFonts w:ascii="Arial MT"/>
                <w:sz w:val="20"/>
              </w:rPr>
            </w:pPr>
            <w:r>
              <w:rPr>
                <w:rFonts w:ascii="Arial MT"/>
                <w:spacing w:val="-2"/>
                <w:sz w:val="20"/>
              </w:rPr>
              <w:t>0.533835</w:t>
            </w:r>
          </w:p>
        </w:tc>
        <w:tc>
          <w:tcPr>
            <w:tcW w:w="1475" w:type="dxa"/>
            <w:tcBorders>
              <w:bottom w:val="double" w:sz="6" w:space="0" w:color="000000"/>
            </w:tcBorders>
          </w:tcPr>
          <w:p>
            <w:pPr>
              <w:pStyle w:val="TableParagraph"/>
              <w:spacing w:line="207" w:lineRule="exact"/>
              <w:ind w:left="174"/>
              <w:jc w:val="center"/>
              <w:rPr>
                <w:rFonts w:ascii="Arial MT"/>
                <w:sz w:val="20"/>
              </w:rPr>
            </w:pPr>
            <w:r>
              <w:rPr>
                <w:rFonts w:ascii="Arial MT"/>
                <w:spacing w:val="-4"/>
                <w:sz w:val="20"/>
              </w:rPr>
              <w:t>3.76</w:t>
            </w:r>
          </w:p>
        </w:tc>
        <w:tc>
          <w:tcPr>
            <w:tcW w:w="1402" w:type="dxa"/>
            <w:tcBorders>
              <w:bottom w:val="double" w:sz="6" w:space="0" w:color="000000"/>
            </w:tcBorders>
          </w:tcPr>
          <w:p>
            <w:pPr>
              <w:pStyle w:val="TableParagraph"/>
              <w:spacing w:line="207" w:lineRule="exact"/>
              <w:ind w:left="119"/>
              <w:jc w:val="center"/>
              <w:rPr>
                <w:rFonts w:ascii="Arial MT"/>
                <w:sz w:val="20"/>
              </w:rPr>
            </w:pPr>
            <w:r>
              <w:rPr>
                <w:rFonts w:ascii="Arial MT"/>
                <w:spacing w:val="-4"/>
                <w:sz w:val="20"/>
              </w:rPr>
              <w:t>6.65</w:t>
            </w:r>
          </w:p>
        </w:tc>
        <w:tc>
          <w:tcPr>
            <w:tcW w:w="1497" w:type="dxa"/>
            <w:tcBorders>
              <w:bottom w:val="double" w:sz="6" w:space="0" w:color="000000"/>
            </w:tcBorders>
          </w:tcPr>
          <w:p>
            <w:pPr>
              <w:pStyle w:val="TableParagraph"/>
              <w:spacing w:line="207" w:lineRule="exact"/>
              <w:ind w:left="203"/>
              <w:rPr>
                <w:rFonts w:ascii="Arial MT"/>
                <w:sz w:val="20"/>
              </w:rPr>
            </w:pPr>
            <w:r>
              <w:rPr>
                <w:rFonts w:ascii="Arial MT"/>
                <w:sz w:val="20"/>
              </w:rPr>
              <w:t>At</w:t>
            </w:r>
            <w:r>
              <w:rPr>
                <w:rFonts w:ascii="Arial MT"/>
                <w:spacing w:val="-4"/>
                <w:sz w:val="20"/>
              </w:rPr>
              <w:t> </w:t>
            </w:r>
            <w:r>
              <w:rPr>
                <w:rFonts w:ascii="Arial MT"/>
                <w:sz w:val="20"/>
              </w:rPr>
              <w:t>most</w:t>
            </w:r>
            <w:r>
              <w:rPr>
                <w:rFonts w:ascii="Arial MT"/>
                <w:spacing w:val="-3"/>
                <w:sz w:val="20"/>
              </w:rPr>
              <w:t> </w:t>
            </w:r>
            <w:r>
              <w:rPr>
                <w:rFonts w:ascii="Arial MT"/>
                <w:spacing w:val="-10"/>
                <w:sz w:val="20"/>
              </w:rPr>
              <w:t>4</w:t>
            </w:r>
          </w:p>
        </w:tc>
        <w:tc>
          <w:tcPr>
            <w:tcW w:w="1336" w:type="dxa"/>
            <w:tcBorders>
              <w:bottom w:val="double" w:sz="6" w:space="0" w:color="000000"/>
            </w:tcBorders>
          </w:tcPr>
          <w:p>
            <w:pPr>
              <w:pStyle w:val="TableParagraph"/>
              <w:rPr>
                <w:sz w:val="16"/>
              </w:rPr>
            </w:pPr>
          </w:p>
        </w:tc>
      </w:tr>
      <w:tr>
        <w:trPr>
          <w:trHeight w:val="1422" w:hRule="atLeast"/>
        </w:trPr>
        <w:tc>
          <w:tcPr>
            <w:tcW w:w="1474" w:type="dxa"/>
            <w:tcBorders>
              <w:top w:val="double" w:sz="6" w:space="0" w:color="000000"/>
            </w:tcBorders>
          </w:tcPr>
          <w:p>
            <w:pPr>
              <w:pStyle w:val="TableParagraph"/>
              <w:spacing w:before="39"/>
              <w:ind w:left="33" w:right="129" w:firstLine="52"/>
              <w:jc w:val="center"/>
              <w:rPr>
                <w:rFonts w:ascii="Arial MT"/>
                <w:sz w:val="20"/>
              </w:rPr>
            </w:pPr>
            <w:r>
              <w:rPr>
                <w:rFonts w:ascii="Arial MT"/>
                <w:sz w:val="20"/>
              </w:rPr>
              <w:t>*(**) denotes rejection</w:t>
            </w:r>
            <w:r>
              <w:rPr>
                <w:rFonts w:ascii="Arial MT"/>
                <w:spacing w:val="-14"/>
                <w:sz w:val="20"/>
              </w:rPr>
              <w:t> </w:t>
            </w:r>
            <w:r>
              <w:rPr>
                <w:rFonts w:ascii="Arial MT"/>
                <w:sz w:val="20"/>
              </w:rPr>
              <w:t>of</w:t>
            </w:r>
            <w:r>
              <w:rPr>
                <w:rFonts w:ascii="Arial MT"/>
                <w:spacing w:val="-14"/>
                <w:sz w:val="20"/>
              </w:rPr>
              <w:t> </w:t>
            </w:r>
            <w:r>
              <w:rPr>
                <w:rFonts w:ascii="Arial MT"/>
                <w:sz w:val="20"/>
              </w:rPr>
              <w:t>the hypothesis at </w:t>
            </w:r>
            <w:r>
              <w:rPr>
                <w:rFonts w:ascii="Arial MT"/>
                <w:spacing w:val="-2"/>
                <w:sz w:val="20"/>
              </w:rPr>
              <w:t>5%(1%)</w:t>
            </w:r>
          </w:p>
          <w:p>
            <w:pPr>
              <w:pStyle w:val="TableParagraph"/>
              <w:spacing w:line="230" w:lineRule="exact"/>
              <w:ind w:left="37" w:right="135"/>
              <w:jc w:val="center"/>
              <w:rPr>
                <w:rFonts w:ascii="Arial MT"/>
                <w:sz w:val="20"/>
              </w:rPr>
            </w:pPr>
            <w:r>
              <w:rPr>
                <w:rFonts w:ascii="Arial MT"/>
                <w:spacing w:val="-2"/>
                <w:sz w:val="20"/>
              </w:rPr>
              <w:t>significance level</w:t>
            </w:r>
          </w:p>
        </w:tc>
        <w:tc>
          <w:tcPr>
            <w:tcW w:w="1252" w:type="dxa"/>
            <w:tcBorders>
              <w:top w:val="double" w:sz="6" w:space="0" w:color="000000"/>
            </w:tcBorders>
          </w:tcPr>
          <w:p>
            <w:pPr>
              <w:pStyle w:val="TableParagraph"/>
              <w:rPr>
                <w:sz w:val="18"/>
              </w:rPr>
            </w:pPr>
          </w:p>
        </w:tc>
        <w:tc>
          <w:tcPr>
            <w:tcW w:w="1475" w:type="dxa"/>
            <w:tcBorders>
              <w:top w:val="double" w:sz="6" w:space="0" w:color="000000"/>
            </w:tcBorders>
          </w:tcPr>
          <w:p>
            <w:pPr>
              <w:pStyle w:val="TableParagraph"/>
              <w:rPr>
                <w:sz w:val="18"/>
              </w:rPr>
            </w:pPr>
          </w:p>
        </w:tc>
        <w:tc>
          <w:tcPr>
            <w:tcW w:w="1402" w:type="dxa"/>
            <w:tcBorders>
              <w:top w:val="double" w:sz="6" w:space="0" w:color="000000"/>
            </w:tcBorders>
          </w:tcPr>
          <w:p>
            <w:pPr>
              <w:pStyle w:val="TableParagraph"/>
              <w:rPr>
                <w:sz w:val="18"/>
              </w:rPr>
            </w:pPr>
          </w:p>
        </w:tc>
        <w:tc>
          <w:tcPr>
            <w:tcW w:w="1497" w:type="dxa"/>
            <w:tcBorders>
              <w:top w:val="double" w:sz="6" w:space="0" w:color="000000"/>
            </w:tcBorders>
          </w:tcPr>
          <w:p>
            <w:pPr>
              <w:pStyle w:val="TableParagraph"/>
              <w:rPr>
                <w:sz w:val="18"/>
              </w:rPr>
            </w:pPr>
          </w:p>
        </w:tc>
        <w:tc>
          <w:tcPr>
            <w:tcW w:w="1336" w:type="dxa"/>
            <w:tcBorders>
              <w:top w:val="double" w:sz="6" w:space="0" w:color="000000"/>
            </w:tcBorders>
          </w:tcPr>
          <w:p>
            <w:pPr>
              <w:pStyle w:val="TableParagraph"/>
              <w:rPr>
                <w:sz w:val="18"/>
              </w:rPr>
            </w:pPr>
          </w:p>
        </w:tc>
      </w:tr>
      <w:tr>
        <w:trPr>
          <w:trHeight w:val="1724" w:hRule="atLeast"/>
        </w:trPr>
        <w:tc>
          <w:tcPr>
            <w:tcW w:w="1474" w:type="dxa"/>
          </w:tcPr>
          <w:p>
            <w:pPr>
              <w:pStyle w:val="TableParagraph"/>
              <w:ind w:left="77" w:right="168" w:firstLine="266"/>
              <w:rPr>
                <w:rFonts w:ascii="Arial MT"/>
                <w:sz w:val="20"/>
              </w:rPr>
            </w:pPr>
            <w:r>
              <w:rPr>
                <w:rFonts w:ascii="Arial MT"/>
                <w:sz w:val="20"/>
              </w:rPr>
              <w:t>L.R. test indicates 1 </w:t>
            </w:r>
            <w:r>
              <w:rPr>
                <w:rFonts w:ascii="Arial MT"/>
                <w:spacing w:val="-2"/>
                <w:sz w:val="20"/>
              </w:rPr>
              <w:t>cointegrating </w:t>
            </w:r>
            <w:r>
              <w:rPr>
                <w:rFonts w:ascii="Arial MT"/>
                <w:sz w:val="20"/>
              </w:rPr>
              <w:t>equation(s)</w:t>
            </w:r>
            <w:r>
              <w:rPr>
                <w:rFonts w:ascii="Arial MT"/>
                <w:spacing w:val="-14"/>
                <w:sz w:val="20"/>
              </w:rPr>
              <w:t> </w:t>
            </w:r>
            <w:r>
              <w:rPr>
                <w:rFonts w:ascii="Arial MT"/>
                <w:sz w:val="20"/>
              </w:rPr>
              <w:t>at</w:t>
            </w:r>
          </w:p>
          <w:p>
            <w:pPr>
              <w:pStyle w:val="TableParagraph"/>
              <w:spacing w:line="229" w:lineRule="exact"/>
              <w:ind w:left="37" w:right="130"/>
              <w:jc w:val="center"/>
              <w:rPr>
                <w:rFonts w:ascii="Arial MT"/>
                <w:sz w:val="20"/>
              </w:rPr>
            </w:pPr>
            <w:r>
              <w:rPr>
                <w:rFonts w:ascii="Arial MT"/>
                <w:spacing w:val="-5"/>
                <w:sz w:val="20"/>
              </w:rPr>
              <w:t>5%</w:t>
            </w:r>
          </w:p>
          <w:p>
            <w:pPr>
              <w:pStyle w:val="TableParagraph"/>
              <w:ind w:left="37" w:right="135"/>
              <w:jc w:val="center"/>
              <w:rPr>
                <w:rFonts w:ascii="Arial MT"/>
                <w:sz w:val="20"/>
              </w:rPr>
            </w:pPr>
            <w:r>
              <w:rPr>
                <w:rFonts w:ascii="Arial MT"/>
                <w:spacing w:val="-2"/>
                <w:sz w:val="20"/>
              </w:rPr>
              <w:t>significance level</w:t>
            </w:r>
          </w:p>
        </w:tc>
        <w:tc>
          <w:tcPr>
            <w:tcW w:w="1252" w:type="dxa"/>
          </w:tcPr>
          <w:p>
            <w:pPr>
              <w:pStyle w:val="TableParagraph"/>
              <w:rPr>
                <w:sz w:val="18"/>
              </w:rPr>
            </w:pPr>
          </w:p>
        </w:tc>
        <w:tc>
          <w:tcPr>
            <w:tcW w:w="1475" w:type="dxa"/>
          </w:tcPr>
          <w:p>
            <w:pPr>
              <w:pStyle w:val="TableParagraph"/>
              <w:rPr>
                <w:sz w:val="18"/>
              </w:rPr>
            </w:pPr>
          </w:p>
        </w:tc>
        <w:tc>
          <w:tcPr>
            <w:tcW w:w="1402" w:type="dxa"/>
          </w:tcPr>
          <w:p>
            <w:pPr>
              <w:pStyle w:val="TableParagraph"/>
              <w:rPr>
                <w:sz w:val="18"/>
              </w:rPr>
            </w:pPr>
          </w:p>
        </w:tc>
        <w:tc>
          <w:tcPr>
            <w:tcW w:w="1497" w:type="dxa"/>
          </w:tcPr>
          <w:p>
            <w:pPr>
              <w:pStyle w:val="TableParagraph"/>
              <w:rPr>
                <w:sz w:val="18"/>
              </w:rPr>
            </w:pPr>
          </w:p>
        </w:tc>
        <w:tc>
          <w:tcPr>
            <w:tcW w:w="1336" w:type="dxa"/>
          </w:tcPr>
          <w:p>
            <w:pPr>
              <w:pStyle w:val="TableParagraph"/>
              <w:rPr>
                <w:sz w:val="18"/>
              </w:rPr>
            </w:pPr>
          </w:p>
        </w:tc>
      </w:tr>
      <w:tr>
        <w:trPr>
          <w:trHeight w:val="340" w:hRule="atLeast"/>
        </w:trPr>
        <w:tc>
          <w:tcPr>
            <w:tcW w:w="8436" w:type="dxa"/>
            <w:gridSpan w:val="6"/>
            <w:tcBorders>
              <w:bottom w:val="double" w:sz="6" w:space="0" w:color="000000"/>
            </w:tcBorders>
          </w:tcPr>
          <w:p>
            <w:pPr>
              <w:pStyle w:val="TableParagraph"/>
              <w:spacing w:line="210" w:lineRule="exact" w:before="111"/>
              <w:ind w:left="84"/>
              <w:rPr>
                <w:rFonts w:ascii="Arial MT"/>
                <w:sz w:val="20"/>
              </w:rPr>
            </w:pPr>
            <w:r>
              <w:rPr>
                <w:rFonts w:ascii="Arial MT"/>
                <w:spacing w:val="-2"/>
                <w:sz w:val="20"/>
              </w:rPr>
              <w:t>Unnormalized</w:t>
            </w:r>
            <w:r>
              <w:rPr>
                <w:rFonts w:ascii="Arial MT"/>
                <w:spacing w:val="7"/>
                <w:sz w:val="20"/>
              </w:rPr>
              <w:t> </w:t>
            </w:r>
            <w:r>
              <w:rPr>
                <w:rFonts w:ascii="Arial MT"/>
                <w:spacing w:val="-2"/>
                <w:sz w:val="20"/>
              </w:rPr>
              <w:t>Cointegrating</w:t>
            </w:r>
            <w:r>
              <w:rPr>
                <w:rFonts w:ascii="Arial MT"/>
                <w:spacing w:val="7"/>
                <w:sz w:val="20"/>
              </w:rPr>
              <w:t> </w:t>
            </w:r>
            <w:r>
              <w:rPr>
                <w:rFonts w:ascii="Arial MT"/>
                <w:spacing w:val="-2"/>
                <w:sz w:val="20"/>
              </w:rPr>
              <w:t>Coefficients:</w:t>
            </w:r>
          </w:p>
        </w:tc>
      </w:tr>
      <w:tr>
        <w:trPr>
          <w:trHeight w:val="275" w:hRule="atLeast"/>
        </w:trPr>
        <w:tc>
          <w:tcPr>
            <w:tcW w:w="1474" w:type="dxa"/>
            <w:tcBorders>
              <w:top w:val="double" w:sz="6" w:space="0" w:color="000000"/>
            </w:tcBorders>
          </w:tcPr>
          <w:p>
            <w:pPr>
              <w:pStyle w:val="TableParagraph"/>
              <w:spacing w:line="214" w:lineRule="exact" w:before="42"/>
              <w:ind w:left="37" w:right="134"/>
              <w:jc w:val="center"/>
              <w:rPr>
                <w:rFonts w:ascii="Arial MT"/>
                <w:sz w:val="20"/>
              </w:rPr>
            </w:pPr>
            <w:r>
              <w:rPr>
                <w:rFonts w:ascii="Arial MT"/>
                <w:spacing w:val="-5"/>
                <w:sz w:val="20"/>
              </w:rPr>
              <w:t>GDP</w:t>
            </w:r>
          </w:p>
        </w:tc>
        <w:tc>
          <w:tcPr>
            <w:tcW w:w="1252" w:type="dxa"/>
            <w:tcBorders>
              <w:top w:val="double" w:sz="6" w:space="0" w:color="000000"/>
            </w:tcBorders>
          </w:tcPr>
          <w:p>
            <w:pPr>
              <w:pStyle w:val="TableParagraph"/>
              <w:spacing w:line="214" w:lineRule="exact" w:before="42"/>
              <w:ind w:left="22" w:right="53"/>
              <w:jc w:val="center"/>
              <w:rPr>
                <w:rFonts w:ascii="Arial MT"/>
                <w:sz w:val="20"/>
              </w:rPr>
            </w:pPr>
            <w:r>
              <w:rPr>
                <w:rFonts w:ascii="Arial MT"/>
                <w:spacing w:val="-2"/>
                <w:sz w:val="20"/>
              </w:rPr>
              <w:t>EXTDEBT</w:t>
            </w:r>
          </w:p>
        </w:tc>
        <w:tc>
          <w:tcPr>
            <w:tcW w:w="1475" w:type="dxa"/>
            <w:tcBorders>
              <w:top w:val="double" w:sz="6" w:space="0" w:color="000000"/>
            </w:tcBorders>
          </w:tcPr>
          <w:p>
            <w:pPr>
              <w:pStyle w:val="TableParagraph"/>
              <w:spacing w:line="214" w:lineRule="exact" w:before="42"/>
              <w:ind w:left="118" w:right="55"/>
              <w:jc w:val="center"/>
              <w:rPr>
                <w:rFonts w:ascii="Arial MT"/>
                <w:sz w:val="20"/>
              </w:rPr>
            </w:pPr>
            <w:r>
              <w:rPr>
                <w:rFonts w:ascii="Arial MT"/>
                <w:spacing w:val="-5"/>
                <w:sz w:val="20"/>
              </w:rPr>
              <w:t>DFI</w:t>
            </w:r>
          </w:p>
        </w:tc>
        <w:tc>
          <w:tcPr>
            <w:tcW w:w="1402" w:type="dxa"/>
            <w:tcBorders>
              <w:top w:val="double" w:sz="6" w:space="0" w:color="000000"/>
            </w:tcBorders>
          </w:tcPr>
          <w:p>
            <w:pPr>
              <w:pStyle w:val="TableParagraph"/>
              <w:spacing w:line="214" w:lineRule="exact" w:before="42"/>
              <w:ind w:left="64" w:right="54"/>
              <w:jc w:val="center"/>
              <w:rPr>
                <w:rFonts w:ascii="Arial MT"/>
                <w:sz w:val="20"/>
              </w:rPr>
            </w:pPr>
            <w:r>
              <w:rPr>
                <w:rFonts w:ascii="Arial MT"/>
                <w:spacing w:val="-5"/>
                <w:sz w:val="20"/>
              </w:rPr>
              <w:t>CAB</w:t>
            </w:r>
          </w:p>
        </w:tc>
        <w:tc>
          <w:tcPr>
            <w:tcW w:w="1497" w:type="dxa"/>
            <w:tcBorders>
              <w:top w:val="double" w:sz="6" w:space="0" w:color="000000"/>
            </w:tcBorders>
          </w:tcPr>
          <w:p>
            <w:pPr>
              <w:pStyle w:val="TableParagraph"/>
              <w:spacing w:line="214" w:lineRule="exact" w:before="42"/>
              <w:ind w:right="68"/>
              <w:jc w:val="center"/>
              <w:rPr>
                <w:rFonts w:ascii="Arial MT"/>
                <w:sz w:val="20"/>
              </w:rPr>
            </w:pPr>
            <w:r>
              <w:rPr>
                <w:rFonts w:ascii="Arial MT"/>
                <w:spacing w:val="-5"/>
                <w:sz w:val="20"/>
              </w:rPr>
              <w:t>RES</w:t>
            </w:r>
          </w:p>
        </w:tc>
        <w:tc>
          <w:tcPr>
            <w:tcW w:w="1336" w:type="dxa"/>
            <w:tcBorders>
              <w:top w:val="double" w:sz="6" w:space="0" w:color="000000"/>
            </w:tcBorders>
          </w:tcPr>
          <w:p>
            <w:pPr>
              <w:pStyle w:val="TableParagraph"/>
              <w:rPr>
                <w:sz w:val="18"/>
              </w:rPr>
            </w:pPr>
          </w:p>
        </w:tc>
      </w:tr>
      <w:tr>
        <w:trPr>
          <w:trHeight w:val="229" w:hRule="atLeast"/>
        </w:trPr>
        <w:tc>
          <w:tcPr>
            <w:tcW w:w="1474" w:type="dxa"/>
          </w:tcPr>
          <w:p>
            <w:pPr>
              <w:pStyle w:val="TableParagraph"/>
              <w:spacing w:line="209" w:lineRule="exact"/>
              <w:ind w:left="37" w:right="135"/>
              <w:jc w:val="center"/>
              <w:rPr>
                <w:rFonts w:ascii="Arial MT"/>
                <w:sz w:val="20"/>
              </w:rPr>
            </w:pPr>
            <w:r>
              <w:rPr>
                <w:rFonts w:ascii="Arial MT"/>
                <w:spacing w:val="-2"/>
                <w:sz w:val="20"/>
              </w:rPr>
              <w:t>-0.472886</w:t>
            </w:r>
          </w:p>
        </w:tc>
        <w:tc>
          <w:tcPr>
            <w:tcW w:w="1252" w:type="dxa"/>
          </w:tcPr>
          <w:p>
            <w:pPr>
              <w:pStyle w:val="TableParagraph"/>
              <w:spacing w:line="209" w:lineRule="exact"/>
              <w:ind w:left="22" w:right="52"/>
              <w:jc w:val="center"/>
              <w:rPr>
                <w:rFonts w:ascii="Arial MT"/>
                <w:sz w:val="20"/>
              </w:rPr>
            </w:pPr>
            <w:r>
              <w:rPr>
                <w:rFonts w:ascii="Arial MT"/>
                <w:spacing w:val="-2"/>
                <w:sz w:val="20"/>
              </w:rPr>
              <w:t>-0.018627</w:t>
            </w:r>
          </w:p>
        </w:tc>
        <w:tc>
          <w:tcPr>
            <w:tcW w:w="1475" w:type="dxa"/>
          </w:tcPr>
          <w:p>
            <w:pPr>
              <w:pStyle w:val="TableParagraph"/>
              <w:spacing w:line="209" w:lineRule="exact"/>
              <w:ind w:left="118"/>
              <w:jc w:val="center"/>
              <w:rPr>
                <w:rFonts w:ascii="Arial MT"/>
                <w:sz w:val="20"/>
              </w:rPr>
            </w:pPr>
            <w:r>
              <w:rPr>
                <w:rFonts w:ascii="Arial MT"/>
                <w:spacing w:val="-2"/>
                <w:sz w:val="20"/>
              </w:rPr>
              <w:t>0.376883</w:t>
            </w:r>
          </w:p>
        </w:tc>
        <w:tc>
          <w:tcPr>
            <w:tcW w:w="1402" w:type="dxa"/>
          </w:tcPr>
          <w:p>
            <w:pPr>
              <w:pStyle w:val="TableParagraph"/>
              <w:spacing w:line="209" w:lineRule="exact"/>
              <w:ind w:left="64" w:right="55"/>
              <w:jc w:val="center"/>
              <w:rPr>
                <w:rFonts w:ascii="Arial MT"/>
                <w:sz w:val="20"/>
              </w:rPr>
            </w:pPr>
            <w:r>
              <w:rPr>
                <w:rFonts w:ascii="Arial MT"/>
                <w:spacing w:val="-2"/>
                <w:sz w:val="20"/>
              </w:rPr>
              <w:t>-0.082748</w:t>
            </w:r>
          </w:p>
        </w:tc>
        <w:tc>
          <w:tcPr>
            <w:tcW w:w="1497" w:type="dxa"/>
          </w:tcPr>
          <w:p>
            <w:pPr>
              <w:pStyle w:val="TableParagraph"/>
              <w:spacing w:line="209" w:lineRule="exact"/>
              <w:ind w:left="323"/>
              <w:rPr>
                <w:rFonts w:ascii="Arial MT"/>
                <w:sz w:val="20"/>
              </w:rPr>
            </w:pPr>
            <w:r>
              <w:rPr>
                <w:rFonts w:ascii="Arial MT"/>
                <w:spacing w:val="-2"/>
                <w:sz w:val="20"/>
              </w:rPr>
              <w:t>0.281538</w:t>
            </w:r>
          </w:p>
        </w:tc>
        <w:tc>
          <w:tcPr>
            <w:tcW w:w="1336" w:type="dxa"/>
          </w:tcPr>
          <w:p>
            <w:pPr>
              <w:pStyle w:val="TableParagraph"/>
              <w:rPr>
                <w:sz w:val="16"/>
              </w:rPr>
            </w:pPr>
          </w:p>
        </w:tc>
      </w:tr>
      <w:tr>
        <w:trPr>
          <w:trHeight w:val="229" w:hRule="atLeast"/>
        </w:trPr>
        <w:tc>
          <w:tcPr>
            <w:tcW w:w="1474" w:type="dxa"/>
          </w:tcPr>
          <w:p>
            <w:pPr>
              <w:pStyle w:val="TableParagraph"/>
              <w:spacing w:line="209" w:lineRule="exact"/>
              <w:ind w:left="87" w:right="130"/>
              <w:jc w:val="center"/>
              <w:rPr>
                <w:rFonts w:ascii="Arial MT"/>
                <w:sz w:val="20"/>
              </w:rPr>
            </w:pPr>
            <w:r>
              <w:rPr>
                <w:rFonts w:ascii="Arial MT"/>
                <w:spacing w:val="-2"/>
                <w:sz w:val="20"/>
              </w:rPr>
              <w:t>0.396133</w:t>
            </w:r>
          </w:p>
        </w:tc>
        <w:tc>
          <w:tcPr>
            <w:tcW w:w="1252" w:type="dxa"/>
          </w:tcPr>
          <w:p>
            <w:pPr>
              <w:pStyle w:val="TableParagraph"/>
              <w:spacing w:line="209" w:lineRule="exact"/>
              <w:ind w:left="22" w:right="52"/>
              <w:jc w:val="center"/>
              <w:rPr>
                <w:rFonts w:ascii="Arial MT"/>
                <w:sz w:val="20"/>
              </w:rPr>
            </w:pPr>
            <w:r>
              <w:rPr>
                <w:rFonts w:ascii="Arial MT"/>
                <w:spacing w:val="-2"/>
                <w:sz w:val="20"/>
              </w:rPr>
              <w:t>-0.011821</w:t>
            </w:r>
          </w:p>
        </w:tc>
        <w:tc>
          <w:tcPr>
            <w:tcW w:w="1475" w:type="dxa"/>
          </w:tcPr>
          <w:p>
            <w:pPr>
              <w:pStyle w:val="TableParagraph"/>
              <w:spacing w:line="209" w:lineRule="exact"/>
              <w:ind w:left="118" w:right="55"/>
              <w:jc w:val="center"/>
              <w:rPr>
                <w:rFonts w:ascii="Arial MT"/>
                <w:sz w:val="20"/>
              </w:rPr>
            </w:pPr>
            <w:r>
              <w:rPr>
                <w:rFonts w:ascii="Arial MT"/>
                <w:spacing w:val="-2"/>
                <w:sz w:val="20"/>
              </w:rPr>
              <w:t>-0.200812</w:t>
            </w:r>
          </w:p>
        </w:tc>
        <w:tc>
          <w:tcPr>
            <w:tcW w:w="1402" w:type="dxa"/>
          </w:tcPr>
          <w:p>
            <w:pPr>
              <w:pStyle w:val="TableParagraph"/>
              <w:spacing w:line="209" w:lineRule="exact"/>
              <w:ind w:left="64" w:right="55"/>
              <w:jc w:val="center"/>
              <w:rPr>
                <w:rFonts w:ascii="Arial MT"/>
                <w:sz w:val="20"/>
              </w:rPr>
            </w:pPr>
            <w:r>
              <w:rPr>
                <w:rFonts w:ascii="Arial MT"/>
                <w:spacing w:val="-2"/>
                <w:sz w:val="20"/>
              </w:rPr>
              <w:t>-0.216378</w:t>
            </w:r>
          </w:p>
        </w:tc>
        <w:tc>
          <w:tcPr>
            <w:tcW w:w="1497" w:type="dxa"/>
          </w:tcPr>
          <w:p>
            <w:pPr>
              <w:pStyle w:val="TableParagraph"/>
              <w:spacing w:line="209" w:lineRule="exact"/>
              <w:ind w:left="323"/>
              <w:rPr>
                <w:rFonts w:ascii="Arial MT"/>
                <w:sz w:val="20"/>
              </w:rPr>
            </w:pPr>
            <w:r>
              <w:rPr>
                <w:rFonts w:ascii="Arial MT"/>
                <w:spacing w:val="-2"/>
                <w:sz w:val="20"/>
              </w:rPr>
              <w:t>0.043299</w:t>
            </w:r>
          </w:p>
        </w:tc>
        <w:tc>
          <w:tcPr>
            <w:tcW w:w="1336" w:type="dxa"/>
          </w:tcPr>
          <w:p>
            <w:pPr>
              <w:pStyle w:val="TableParagraph"/>
              <w:rPr>
                <w:sz w:val="16"/>
              </w:rPr>
            </w:pPr>
          </w:p>
        </w:tc>
      </w:tr>
      <w:tr>
        <w:trPr>
          <w:trHeight w:val="230" w:hRule="atLeast"/>
        </w:trPr>
        <w:tc>
          <w:tcPr>
            <w:tcW w:w="1474" w:type="dxa"/>
          </w:tcPr>
          <w:p>
            <w:pPr>
              <w:pStyle w:val="TableParagraph"/>
              <w:spacing w:line="210" w:lineRule="exact"/>
              <w:ind w:left="87" w:right="130"/>
              <w:jc w:val="center"/>
              <w:rPr>
                <w:rFonts w:ascii="Arial MT"/>
                <w:sz w:val="20"/>
              </w:rPr>
            </w:pPr>
            <w:r>
              <w:rPr>
                <w:rFonts w:ascii="Arial MT"/>
                <w:spacing w:val="-2"/>
                <w:sz w:val="20"/>
              </w:rPr>
              <w:t>0.222169</w:t>
            </w:r>
          </w:p>
        </w:tc>
        <w:tc>
          <w:tcPr>
            <w:tcW w:w="1252" w:type="dxa"/>
          </w:tcPr>
          <w:p>
            <w:pPr>
              <w:pStyle w:val="TableParagraph"/>
              <w:spacing w:line="210" w:lineRule="exact"/>
              <w:ind w:left="22" w:right="52"/>
              <w:jc w:val="center"/>
              <w:rPr>
                <w:rFonts w:ascii="Arial MT"/>
                <w:sz w:val="20"/>
              </w:rPr>
            </w:pPr>
            <w:r>
              <w:rPr>
                <w:rFonts w:ascii="Arial MT"/>
                <w:spacing w:val="-2"/>
                <w:sz w:val="20"/>
              </w:rPr>
              <w:t>-0.078857</w:t>
            </w:r>
          </w:p>
        </w:tc>
        <w:tc>
          <w:tcPr>
            <w:tcW w:w="1475" w:type="dxa"/>
          </w:tcPr>
          <w:p>
            <w:pPr>
              <w:pStyle w:val="TableParagraph"/>
              <w:spacing w:line="210" w:lineRule="exact"/>
              <w:ind w:left="118" w:right="55"/>
              <w:jc w:val="center"/>
              <w:rPr>
                <w:rFonts w:ascii="Arial MT"/>
                <w:sz w:val="20"/>
              </w:rPr>
            </w:pPr>
            <w:r>
              <w:rPr>
                <w:rFonts w:ascii="Arial MT"/>
                <w:spacing w:val="-2"/>
                <w:sz w:val="20"/>
              </w:rPr>
              <w:t>-0.193458</w:t>
            </w:r>
          </w:p>
        </w:tc>
        <w:tc>
          <w:tcPr>
            <w:tcW w:w="1402" w:type="dxa"/>
          </w:tcPr>
          <w:p>
            <w:pPr>
              <w:pStyle w:val="TableParagraph"/>
              <w:spacing w:line="210" w:lineRule="exact"/>
              <w:ind w:left="64"/>
              <w:jc w:val="center"/>
              <w:rPr>
                <w:rFonts w:ascii="Arial MT"/>
                <w:sz w:val="20"/>
              </w:rPr>
            </w:pPr>
            <w:r>
              <w:rPr>
                <w:rFonts w:ascii="Arial MT"/>
                <w:spacing w:val="-2"/>
                <w:sz w:val="20"/>
              </w:rPr>
              <w:t>0.030398</w:t>
            </w:r>
          </w:p>
        </w:tc>
        <w:tc>
          <w:tcPr>
            <w:tcW w:w="1497" w:type="dxa"/>
          </w:tcPr>
          <w:p>
            <w:pPr>
              <w:pStyle w:val="TableParagraph"/>
              <w:spacing w:line="210" w:lineRule="exact"/>
              <w:ind w:left="263"/>
              <w:rPr>
                <w:rFonts w:ascii="Arial MT"/>
                <w:sz w:val="20"/>
              </w:rPr>
            </w:pPr>
            <w:r>
              <w:rPr>
                <w:rFonts w:ascii="Arial MT"/>
                <w:spacing w:val="-2"/>
                <w:sz w:val="20"/>
              </w:rPr>
              <w:t>-0.002299</w:t>
            </w:r>
          </w:p>
        </w:tc>
        <w:tc>
          <w:tcPr>
            <w:tcW w:w="1336" w:type="dxa"/>
          </w:tcPr>
          <w:p>
            <w:pPr>
              <w:pStyle w:val="TableParagraph"/>
              <w:rPr>
                <w:sz w:val="16"/>
              </w:rPr>
            </w:pPr>
          </w:p>
        </w:tc>
      </w:tr>
      <w:tr>
        <w:trPr>
          <w:trHeight w:val="230" w:hRule="atLeast"/>
        </w:trPr>
        <w:tc>
          <w:tcPr>
            <w:tcW w:w="1474" w:type="dxa"/>
          </w:tcPr>
          <w:p>
            <w:pPr>
              <w:pStyle w:val="TableParagraph"/>
              <w:spacing w:line="210" w:lineRule="exact"/>
              <w:ind w:left="87" w:right="130"/>
              <w:jc w:val="center"/>
              <w:rPr>
                <w:rFonts w:ascii="Arial MT"/>
                <w:sz w:val="20"/>
              </w:rPr>
            </w:pPr>
            <w:r>
              <w:rPr>
                <w:rFonts w:ascii="Arial MT"/>
                <w:spacing w:val="-2"/>
                <w:sz w:val="20"/>
              </w:rPr>
              <w:t>0.175721</w:t>
            </w:r>
          </w:p>
        </w:tc>
        <w:tc>
          <w:tcPr>
            <w:tcW w:w="1252" w:type="dxa"/>
          </w:tcPr>
          <w:p>
            <w:pPr>
              <w:pStyle w:val="TableParagraph"/>
              <w:spacing w:line="210" w:lineRule="exact"/>
              <w:ind w:left="53" w:right="31"/>
              <w:jc w:val="center"/>
              <w:rPr>
                <w:rFonts w:ascii="Arial MT"/>
                <w:sz w:val="20"/>
              </w:rPr>
            </w:pPr>
            <w:r>
              <w:rPr>
                <w:rFonts w:ascii="Arial MT"/>
                <w:spacing w:val="-2"/>
                <w:sz w:val="20"/>
              </w:rPr>
              <w:t>0.040636</w:t>
            </w:r>
          </w:p>
        </w:tc>
        <w:tc>
          <w:tcPr>
            <w:tcW w:w="1475" w:type="dxa"/>
          </w:tcPr>
          <w:p>
            <w:pPr>
              <w:pStyle w:val="TableParagraph"/>
              <w:spacing w:line="210" w:lineRule="exact"/>
              <w:ind w:left="118" w:right="55"/>
              <w:jc w:val="center"/>
              <w:rPr>
                <w:rFonts w:ascii="Arial MT"/>
                <w:sz w:val="20"/>
              </w:rPr>
            </w:pPr>
            <w:r>
              <w:rPr>
                <w:rFonts w:ascii="Arial MT"/>
                <w:spacing w:val="-2"/>
                <w:sz w:val="20"/>
              </w:rPr>
              <w:t>-0.316255</w:t>
            </w:r>
          </w:p>
        </w:tc>
        <w:tc>
          <w:tcPr>
            <w:tcW w:w="1402" w:type="dxa"/>
          </w:tcPr>
          <w:p>
            <w:pPr>
              <w:pStyle w:val="TableParagraph"/>
              <w:spacing w:line="210" w:lineRule="exact"/>
              <w:ind w:left="64"/>
              <w:jc w:val="center"/>
              <w:rPr>
                <w:rFonts w:ascii="Arial MT"/>
                <w:sz w:val="20"/>
              </w:rPr>
            </w:pPr>
            <w:r>
              <w:rPr>
                <w:rFonts w:ascii="Arial MT"/>
                <w:spacing w:val="-2"/>
                <w:sz w:val="20"/>
              </w:rPr>
              <w:t>0.035997</w:t>
            </w:r>
          </w:p>
        </w:tc>
        <w:tc>
          <w:tcPr>
            <w:tcW w:w="1497" w:type="dxa"/>
          </w:tcPr>
          <w:p>
            <w:pPr>
              <w:pStyle w:val="TableParagraph"/>
              <w:spacing w:line="210" w:lineRule="exact"/>
              <w:ind w:left="323"/>
              <w:rPr>
                <w:rFonts w:ascii="Arial MT"/>
                <w:sz w:val="20"/>
              </w:rPr>
            </w:pPr>
            <w:r>
              <w:rPr>
                <w:rFonts w:ascii="Arial MT"/>
                <w:spacing w:val="-2"/>
                <w:sz w:val="20"/>
              </w:rPr>
              <w:t>0.004613</w:t>
            </w:r>
          </w:p>
        </w:tc>
        <w:tc>
          <w:tcPr>
            <w:tcW w:w="1336" w:type="dxa"/>
          </w:tcPr>
          <w:p>
            <w:pPr>
              <w:pStyle w:val="TableParagraph"/>
              <w:rPr>
                <w:sz w:val="16"/>
              </w:rPr>
            </w:pPr>
          </w:p>
        </w:tc>
      </w:tr>
      <w:tr>
        <w:trPr>
          <w:trHeight w:val="226" w:hRule="atLeast"/>
        </w:trPr>
        <w:tc>
          <w:tcPr>
            <w:tcW w:w="1474" w:type="dxa"/>
            <w:tcBorders>
              <w:bottom w:val="double" w:sz="6" w:space="0" w:color="000000"/>
            </w:tcBorders>
          </w:tcPr>
          <w:p>
            <w:pPr>
              <w:pStyle w:val="TableParagraph"/>
              <w:spacing w:line="207" w:lineRule="exact"/>
              <w:ind w:left="37" w:right="135"/>
              <w:jc w:val="center"/>
              <w:rPr>
                <w:rFonts w:ascii="Arial MT"/>
                <w:sz w:val="20"/>
              </w:rPr>
            </w:pPr>
            <w:r>
              <w:rPr>
                <w:rFonts w:ascii="Arial MT"/>
                <w:spacing w:val="-2"/>
                <w:sz w:val="20"/>
              </w:rPr>
              <w:t>-0.134482</w:t>
            </w:r>
          </w:p>
        </w:tc>
        <w:tc>
          <w:tcPr>
            <w:tcW w:w="1252" w:type="dxa"/>
            <w:tcBorders>
              <w:bottom w:val="double" w:sz="6" w:space="0" w:color="000000"/>
            </w:tcBorders>
          </w:tcPr>
          <w:p>
            <w:pPr>
              <w:pStyle w:val="TableParagraph"/>
              <w:spacing w:line="207" w:lineRule="exact"/>
              <w:ind w:left="22" w:right="52"/>
              <w:jc w:val="center"/>
              <w:rPr>
                <w:rFonts w:ascii="Arial MT"/>
                <w:sz w:val="20"/>
              </w:rPr>
            </w:pPr>
            <w:r>
              <w:rPr>
                <w:rFonts w:ascii="Arial MT"/>
                <w:spacing w:val="-2"/>
                <w:sz w:val="20"/>
              </w:rPr>
              <w:t>-0.015090</w:t>
            </w:r>
          </w:p>
        </w:tc>
        <w:tc>
          <w:tcPr>
            <w:tcW w:w="1475" w:type="dxa"/>
            <w:tcBorders>
              <w:bottom w:val="double" w:sz="6" w:space="0" w:color="000000"/>
            </w:tcBorders>
          </w:tcPr>
          <w:p>
            <w:pPr>
              <w:pStyle w:val="TableParagraph"/>
              <w:spacing w:line="207" w:lineRule="exact"/>
              <w:ind w:left="118"/>
              <w:jc w:val="center"/>
              <w:rPr>
                <w:rFonts w:ascii="Arial MT"/>
                <w:sz w:val="20"/>
              </w:rPr>
            </w:pPr>
            <w:r>
              <w:rPr>
                <w:rFonts w:ascii="Arial MT"/>
                <w:spacing w:val="-2"/>
                <w:sz w:val="20"/>
              </w:rPr>
              <w:t>0.334638</w:t>
            </w:r>
          </w:p>
        </w:tc>
        <w:tc>
          <w:tcPr>
            <w:tcW w:w="1402" w:type="dxa"/>
            <w:tcBorders>
              <w:bottom w:val="double" w:sz="6" w:space="0" w:color="000000"/>
            </w:tcBorders>
          </w:tcPr>
          <w:p>
            <w:pPr>
              <w:pStyle w:val="TableParagraph"/>
              <w:spacing w:line="207" w:lineRule="exact"/>
              <w:ind w:left="64"/>
              <w:jc w:val="center"/>
              <w:rPr>
                <w:rFonts w:ascii="Arial MT"/>
                <w:sz w:val="20"/>
              </w:rPr>
            </w:pPr>
            <w:r>
              <w:rPr>
                <w:rFonts w:ascii="Arial MT"/>
                <w:spacing w:val="-2"/>
                <w:sz w:val="20"/>
              </w:rPr>
              <w:t>0.005619</w:t>
            </w:r>
          </w:p>
        </w:tc>
        <w:tc>
          <w:tcPr>
            <w:tcW w:w="1497" w:type="dxa"/>
            <w:tcBorders>
              <w:bottom w:val="double" w:sz="6" w:space="0" w:color="000000"/>
            </w:tcBorders>
          </w:tcPr>
          <w:p>
            <w:pPr>
              <w:pStyle w:val="TableParagraph"/>
              <w:spacing w:line="207" w:lineRule="exact"/>
              <w:ind w:left="263"/>
              <w:rPr>
                <w:rFonts w:ascii="Arial MT"/>
                <w:sz w:val="20"/>
              </w:rPr>
            </w:pPr>
            <w:r>
              <w:rPr>
                <w:rFonts w:ascii="Arial MT"/>
                <w:spacing w:val="-2"/>
                <w:sz w:val="20"/>
              </w:rPr>
              <w:t>-0.051778</w:t>
            </w:r>
          </w:p>
        </w:tc>
        <w:tc>
          <w:tcPr>
            <w:tcW w:w="1336" w:type="dxa"/>
            <w:tcBorders>
              <w:bottom w:val="double" w:sz="6" w:space="0" w:color="000000"/>
            </w:tcBorders>
          </w:tcPr>
          <w:p>
            <w:pPr>
              <w:pStyle w:val="TableParagraph"/>
              <w:rPr>
                <w:sz w:val="16"/>
              </w:rPr>
            </w:pPr>
          </w:p>
        </w:tc>
      </w:tr>
      <w:tr>
        <w:trPr>
          <w:trHeight w:val="1419" w:hRule="atLeast"/>
        </w:trPr>
        <w:tc>
          <w:tcPr>
            <w:tcW w:w="1474" w:type="dxa"/>
            <w:tcBorders>
              <w:top w:val="double" w:sz="6" w:space="0" w:color="000000"/>
              <w:bottom w:val="double" w:sz="6" w:space="0" w:color="000000"/>
            </w:tcBorders>
          </w:tcPr>
          <w:p>
            <w:pPr>
              <w:pStyle w:val="TableParagraph"/>
              <w:spacing w:before="39"/>
              <w:rPr>
                <w:sz w:val="20"/>
              </w:rPr>
            </w:pPr>
          </w:p>
          <w:p>
            <w:pPr>
              <w:pStyle w:val="TableParagraph"/>
              <w:spacing w:before="1"/>
              <w:ind w:left="55" w:right="152" w:firstLine="58"/>
              <w:jc w:val="center"/>
              <w:rPr>
                <w:rFonts w:ascii="Arial MT"/>
                <w:sz w:val="20"/>
              </w:rPr>
            </w:pPr>
            <w:r>
              <w:rPr>
                <w:rFonts w:ascii="Arial MT"/>
                <w:spacing w:val="-2"/>
                <w:sz w:val="20"/>
              </w:rPr>
              <w:t>Normalized Cointegrating Coefficients:</w:t>
            </w:r>
            <w:r>
              <w:rPr>
                <w:rFonts w:ascii="Arial MT"/>
                <w:spacing w:val="10"/>
                <w:sz w:val="20"/>
              </w:rPr>
              <w:t> </w:t>
            </w:r>
            <w:r>
              <w:rPr>
                <w:rFonts w:ascii="Arial MT"/>
                <w:spacing w:val="-10"/>
                <w:sz w:val="20"/>
              </w:rPr>
              <w:t>1</w:t>
            </w:r>
          </w:p>
          <w:p>
            <w:pPr>
              <w:pStyle w:val="TableParagraph"/>
              <w:spacing w:line="230" w:lineRule="exact"/>
              <w:ind w:left="37" w:right="133"/>
              <w:jc w:val="center"/>
              <w:rPr>
                <w:rFonts w:ascii="Arial MT"/>
                <w:sz w:val="20"/>
              </w:rPr>
            </w:pPr>
            <w:r>
              <w:rPr>
                <w:rFonts w:ascii="Arial MT"/>
                <w:spacing w:val="-2"/>
                <w:sz w:val="20"/>
              </w:rPr>
              <w:t>Cointegrating Equation(s)</w:t>
            </w:r>
          </w:p>
        </w:tc>
        <w:tc>
          <w:tcPr>
            <w:tcW w:w="1252" w:type="dxa"/>
            <w:tcBorders>
              <w:top w:val="double" w:sz="6" w:space="0" w:color="000000"/>
              <w:bottom w:val="double" w:sz="6" w:space="0" w:color="000000"/>
            </w:tcBorders>
          </w:tcPr>
          <w:p>
            <w:pPr>
              <w:pStyle w:val="TableParagraph"/>
              <w:rPr>
                <w:sz w:val="18"/>
              </w:rPr>
            </w:pPr>
          </w:p>
        </w:tc>
        <w:tc>
          <w:tcPr>
            <w:tcW w:w="1475" w:type="dxa"/>
            <w:tcBorders>
              <w:top w:val="double" w:sz="6" w:space="0" w:color="000000"/>
              <w:bottom w:val="double" w:sz="6" w:space="0" w:color="000000"/>
            </w:tcBorders>
          </w:tcPr>
          <w:p>
            <w:pPr>
              <w:pStyle w:val="TableParagraph"/>
              <w:rPr>
                <w:sz w:val="18"/>
              </w:rPr>
            </w:pPr>
          </w:p>
        </w:tc>
        <w:tc>
          <w:tcPr>
            <w:tcW w:w="1402" w:type="dxa"/>
            <w:tcBorders>
              <w:top w:val="double" w:sz="6" w:space="0" w:color="000000"/>
              <w:bottom w:val="double" w:sz="6" w:space="0" w:color="000000"/>
            </w:tcBorders>
          </w:tcPr>
          <w:p>
            <w:pPr>
              <w:pStyle w:val="TableParagraph"/>
              <w:rPr>
                <w:sz w:val="18"/>
              </w:rPr>
            </w:pPr>
          </w:p>
        </w:tc>
        <w:tc>
          <w:tcPr>
            <w:tcW w:w="1497" w:type="dxa"/>
            <w:tcBorders>
              <w:top w:val="double" w:sz="6" w:space="0" w:color="000000"/>
              <w:bottom w:val="double" w:sz="6" w:space="0" w:color="000000"/>
            </w:tcBorders>
          </w:tcPr>
          <w:p>
            <w:pPr>
              <w:pStyle w:val="TableParagraph"/>
              <w:rPr>
                <w:sz w:val="18"/>
              </w:rPr>
            </w:pPr>
          </w:p>
        </w:tc>
        <w:tc>
          <w:tcPr>
            <w:tcW w:w="1336" w:type="dxa"/>
            <w:tcBorders>
              <w:top w:val="double" w:sz="6" w:space="0" w:color="000000"/>
              <w:bottom w:val="double" w:sz="6" w:space="0" w:color="000000"/>
            </w:tcBorders>
          </w:tcPr>
          <w:p>
            <w:pPr>
              <w:pStyle w:val="TableParagraph"/>
              <w:rPr>
                <w:sz w:val="18"/>
              </w:rPr>
            </w:pPr>
          </w:p>
        </w:tc>
      </w:tr>
      <w:tr>
        <w:trPr>
          <w:trHeight w:val="272" w:hRule="atLeast"/>
        </w:trPr>
        <w:tc>
          <w:tcPr>
            <w:tcW w:w="1474" w:type="dxa"/>
            <w:tcBorders>
              <w:top w:val="double" w:sz="6" w:space="0" w:color="000000"/>
            </w:tcBorders>
          </w:tcPr>
          <w:p>
            <w:pPr>
              <w:pStyle w:val="TableParagraph"/>
              <w:spacing w:line="214" w:lineRule="exact" w:before="39"/>
              <w:ind w:left="37" w:right="134"/>
              <w:jc w:val="center"/>
              <w:rPr>
                <w:rFonts w:ascii="Arial MT"/>
                <w:sz w:val="20"/>
              </w:rPr>
            </w:pPr>
            <w:r>
              <w:rPr>
                <w:rFonts w:ascii="Arial MT"/>
                <w:spacing w:val="-5"/>
                <w:sz w:val="20"/>
              </w:rPr>
              <w:t>GDP</w:t>
            </w:r>
          </w:p>
        </w:tc>
        <w:tc>
          <w:tcPr>
            <w:tcW w:w="1252" w:type="dxa"/>
            <w:tcBorders>
              <w:top w:val="double" w:sz="6" w:space="0" w:color="000000"/>
            </w:tcBorders>
          </w:tcPr>
          <w:p>
            <w:pPr>
              <w:pStyle w:val="TableParagraph"/>
              <w:spacing w:line="214" w:lineRule="exact" w:before="39"/>
              <w:ind w:left="22" w:right="53"/>
              <w:jc w:val="center"/>
              <w:rPr>
                <w:rFonts w:ascii="Arial MT"/>
                <w:sz w:val="20"/>
              </w:rPr>
            </w:pPr>
            <w:r>
              <w:rPr>
                <w:rFonts w:ascii="Arial MT"/>
                <w:spacing w:val="-2"/>
                <w:sz w:val="20"/>
              </w:rPr>
              <w:t>EXTDEBT</w:t>
            </w:r>
          </w:p>
        </w:tc>
        <w:tc>
          <w:tcPr>
            <w:tcW w:w="1475" w:type="dxa"/>
            <w:tcBorders>
              <w:top w:val="double" w:sz="6" w:space="0" w:color="000000"/>
            </w:tcBorders>
          </w:tcPr>
          <w:p>
            <w:pPr>
              <w:pStyle w:val="TableParagraph"/>
              <w:spacing w:line="214" w:lineRule="exact" w:before="39"/>
              <w:ind w:left="118" w:right="55"/>
              <w:jc w:val="center"/>
              <w:rPr>
                <w:rFonts w:ascii="Arial MT"/>
                <w:sz w:val="20"/>
              </w:rPr>
            </w:pPr>
            <w:r>
              <w:rPr>
                <w:rFonts w:ascii="Arial MT"/>
                <w:spacing w:val="-5"/>
                <w:sz w:val="20"/>
              </w:rPr>
              <w:t>DFI</w:t>
            </w:r>
          </w:p>
        </w:tc>
        <w:tc>
          <w:tcPr>
            <w:tcW w:w="1402" w:type="dxa"/>
            <w:tcBorders>
              <w:top w:val="double" w:sz="6" w:space="0" w:color="000000"/>
            </w:tcBorders>
          </w:tcPr>
          <w:p>
            <w:pPr>
              <w:pStyle w:val="TableParagraph"/>
              <w:spacing w:line="214" w:lineRule="exact" w:before="39"/>
              <w:ind w:left="64" w:right="54"/>
              <w:jc w:val="center"/>
              <w:rPr>
                <w:rFonts w:ascii="Arial MT"/>
                <w:sz w:val="20"/>
              </w:rPr>
            </w:pPr>
            <w:r>
              <w:rPr>
                <w:rFonts w:ascii="Arial MT"/>
                <w:spacing w:val="-5"/>
                <w:sz w:val="20"/>
              </w:rPr>
              <w:t>CAB</w:t>
            </w:r>
          </w:p>
        </w:tc>
        <w:tc>
          <w:tcPr>
            <w:tcW w:w="1497" w:type="dxa"/>
            <w:tcBorders>
              <w:top w:val="double" w:sz="6" w:space="0" w:color="000000"/>
            </w:tcBorders>
          </w:tcPr>
          <w:p>
            <w:pPr>
              <w:pStyle w:val="TableParagraph"/>
              <w:spacing w:line="214" w:lineRule="exact" w:before="39"/>
              <w:ind w:right="68"/>
              <w:jc w:val="center"/>
              <w:rPr>
                <w:rFonts w:ascii="Arial MT"/>
                <w:sz w:val="20"/>
              </w:rPr>
            </w:pPr>
            <w:r>
              <w:rPr>
                <w:rFonts w:ascii="Arial MT"/>
                <w:spacing w:val="-5"/>
                <w:sz w:val="20"/>
              </w:rPr>
              <w:t>RES</w:t>
            </w:r>
          </w:p>
        </w:tc>
        <w:tc>
          <w:tcPr>
            <w:tcW w:w="1336" w:type="dxa"/>
            <w:tcBorders>
              <w:top w:val="double" w:sz="6" w:space="0" w:color="000000"/>
            </w:tcBorders>
          </w:tcPr>
          <w:p>
            <w:pPr>
              <w:pStyle w:val="TableParagraph"/>
              <w:spacing w:line="214" w:lineRule="exact" w:before="39"/>
              <w:ind w:right="78"/>
              <w:jc w:val="center"/>
              <w:rPr>
                <w:rFonts w:ascii="Arial MT"/>
                <w:sz w:val="20"/>
              </w:rPr>
            </w:pPr>
            <w:r>
              <w:rPr>
                <w:rFonts w:ascii="Arial MT"/>
                <w:spacing w:val="-10"/>
                <w:sz w:val="20"/>
              </w:rPr>
              <w:t>C</w:t>
            </w:r>
          </w:p>
        </w:tc>
      </w:tr>
      <w:tr>
        <w:trPr>
          <w:trHeight w:val="230" w:hRule="atLeast"/>
        </w:trPr>
        <w:tc>
          <w:tcPr>
            <w:tcW w:w="1474" w:type="dxa"/>
          </w:tcPr>
          <w:p>
            <w:pPr>
              <w:pStyle w:val="TableParagraph"/>
              <w:spacing w:line="210" w:lineRule="exact"/>
              <w:ind w:left="87" w:right="130"/>
              <w:jc w:val="center"/>
              <w:rPr>
                <w:rFonts w:ascii="Arial MT"/>
                <w:sz w:val="20"/>
              </w:rPr>
            </w:pPr>
            <w:r>
              <w:rPr>
                <w:rFonts w:ascii="Arial MT"/>
                <w:spacing w:val="-2"/>
                <w:sz w:val="20"/>
              </w:rPr>
              <w:t>1.000000</w:t>
            </w:r>
          </w:p>
        </w:tc>
        <w:tc>
          <w:tcPr>
            <w:tcW w:w="1252" w:type="dxa"/>
          </w:tcPr>
          <w:p>
            <w:pPr>
              <w:pStyle w:val="TableParagraph"/>
              <w:spacing w:line="210" w:lineRule="exact"/>
              <w:ind w:left="53" w:right="31"/>
              <w:jc w:val="center"/>
              <w:rPr>
                <w:rFonts w:ascii="Arial MT"/>
                <w:sz w:val="20"/>
              </w:rPr>
            </w:pPr>
            <w:r>
              <w:rPr>
                <w:rFonts w:ascii="Arial MT"/>
                <w:spacing w:val="-2"/>
                <w:sz w:val="20"/>
              </w:rPr>
              <w:t>0.039389</w:t>
            </w:r>
          </w:p>
        </w:tc>
        <w:tc>
          <w:tcPr>
            <w:tcW w:w="1475" w:type="dxa"/>
          </w:tcPr>
          <w:p>
            <w:pPr>
              <w:pStyle w:val="TableParagraph"/>
              <w:spacing w:line="210" w:lineRule="exact"/>
              <w:ind w:left="118" w:right="55"/>
              <w:jc w:val="center"/>
              <w:rPr>
                <w:rFonts w:ascii="Arial MT"/>
                <w:sz w:val="20"/>
              </w:rPr>
            </w:pPr>
            <w:r>
              <w:rPr>
                <w:rFonts w:ascii="Arial MT"/>
                <w:spacing w:val="-2"/>
                <w:sz w:val="20"/>
              </w:rPr>
              <w:t>-0.796985</w:t>
            </w:r>
          </w:p>
        </w:tc>
        <w:tc>
          <w:tcPr>
            <w:tcW w:w="1402" w:type="dxa"/>
          </w:tcPr>
          <w:p>
            <w:pPr>
              <w:pStyle w:val="TableParagraph"/>
              <w:spacing w:line="210" w:lineRule="exact"/>
              <w:ind w:left="64"/>
              <w:jc w:val="center"/>
              <w:rPr>
                <w:rFonts w:ascii="Arial MT"/>
                <w:sz w:val="20"/>
              </w:rPr>
            </w:pPr>
            <w:r>
              <w:rPr>
                <w:rFonts w:ascii="Arial MT"/>
                <w:spacing w:val="-2"/>
                <w:sz w:val="20"/>
              </w:rPr>
              <w:t>0.174985</w:t>
            </w:r>
          </w:p>
        </w:tc>
        <w:tc>
          <w:tcPr>
            <w:tcW w:w="1497" w:type="dxa"/>
          </w:tcPr>
          <w:p>
            <w:pPr>
              <w:pStyle w:val="TableParagraph"/>
              <w:spacing w:line="210" w:lineRule="exact"/>
              <w:ind w:left="263"/>
              <w:rPr>
                <w:rFonts w:ascii="Arial MT"/>
                <w:sz w:val="20"/>
              </w:rPr>
            </w:pPr>
            <w:r>
              <w:rPr>
                <w:rFonts w:ascii="Arial MT"/>
                <w:spacing w:val="-2"/>
                <w:sz w:val="20"/>
              </w:rPr>
              <w:t>-0.595361</w:t>
            </w:r>
          </w:p>
        </w:tc>
        <w:tc>
          <w:tcPr>
            <w:tcW w:w="1336" w:type="dxa"/>
          </w:tcPr>
          <w:p>
            <w:pPr>
              <w:pStyle w:val="TableParagraph"/>
              <w:spacing w:line="210" w:lineRule="exact"/>
              <w:ind w:right="79"/>
              <w:jc w:val="center"/>
              <w:rPr>
                <w:rFonts w:ascii="Arial MT"/>
                <w:sz w:val="20"/>
              </w:rPr>
            </w:pPr>
            <w:r>
              <w:rPr>
                <w:rFonts w:ascii="Arial MT"/>
                <w:spacing w:val="-2"/>
                <w:sz w:val="20"/>
              </w:rPr>
              <w:t>-1.406198</w:t>
            </w:r>
          </w:p>
        </w:tc>
      </w:tr>
      <w:tr>
        <w:trPr>
          <w:trHeight w:val="345" w:hRule="atLeast"/>
        </w:trPr>
        <w:tc>
          <w:tcPr>
            <w:tcW w:w="1474" w:type="dxa"/>
          </w:tcPr>
          <w:p>
            <w:pPr>
              <w:pStyle w:val="TableParagraph"/>
              <w:rPr>
                <w:sz w:val="18"/>
              </w:rPr>
            </w:pPr>
          </w:p>
        </w:tc>
        <w:tc>
          <w:tcPr>
            <w:tcW w:w="1252" w:type="dxa"/>
          </w:tcPr>
          <w:p>
            <w:pPr>
              <w:pStyle w:val="TableParagraph"/>
              <w:spacing w:line="227" w:lineRule="exact"/>
              <w:ind w:left="49" w:right="31"/>
              <w:jc w:val="center"/>
              <w:rPr>
                <w:rFonts w:ascii="Arial MT"/>
                <w:sz w:val="20"/>
              </w:rPr>
            </w:pPr>
            <w:r>
              <w:rPr>
                <w:rFonts w:ascii="Arial MT"/>
                <w:spacing w:val="-2"/>
                <w:sz w:val="20"/>
              </w:rPr>
              <w:t>(0.03457)</w:t>
            </w:r>
          </w:p>
        </w:tc>
        <w:tc>
          <w:tcPr>
            <w:tcW w:w="1475" w:type="dxa"/>
          </w:tcPr>
          <w:p>
            <w:pPr>
              <w:pStyle w:val="TableParagraph"/>
              <w:spacing w:line="227" w:lineRule="exact"/>
              <w:ind w:left="118" w:right="3"/>
              <w:jc w:val="center"/>
              <w:rPr>
                <w:rFonts w:ascii="Arial MT"/>
                <w:sz w:val="20"/>
              </w:rPr>
            </w:pPr>
            <w:r>
              <w:rPr>
                <w:rFonts w:ascii="Arial MT"/>
                <w:spacing w:val="-2"/>
                <w:sz w:val="20"/>
              </w:rPr>
              <w:t>(0.10911)</w:t>
            </w:r>
          </w:p>
        </w:tc>
        <w:tc>
          <w:tcPr>
            <w:tcW w:w="1402" w:type="dxa"/>
          </w:tcPr>
          <w:p>
            <w:pPr>
              <w:pStyle w:val="TableParagraph"/>
              <w:spacing w:line="227" w:lineRule="exact"/>
              <w:ind w:left="64" w:right="4"/>
              <w:jc w:val="center"/>
              <w:rPr>
                <w:rFonts w:ascii="Arial MT"/>
                <w:sz w:val="20"/>
              </w:rPr>
            </w:pPr>
            <w:r>
              <w:rPr>
                <w:rFonts w:ascii="Arial MT"/>
                <w:spacing w:val="-2"/>
                <w:sz w:val="20"/>
              </w:rPr>
              <w:t>(0.10106)</w:t>
            </w:r>
          </w:p>
        </w:tc>
        <w:tc>
          <w:tcPr>
            <w:tcW w:w="1497" w:type="dxa"/>
          </w:tcPr>
          <w:p>
            <w:pPr>
              <w:pStyle w:val="TableParagraph"/>
              <w:spacing w:line="227" w:lineRule="exact"/>
              <w:ind w:left="311"/>
              <w:rPr>
                <w:rFonts w:ascii="Arial MT"/>
                <w:sz w:val="20"/>
              </w:rPr>
            </w:pPr>
            <w:r>
              <w:rPr>
                <w:rFonts w:ascii="Arial MT"/>
                <w:spacing w:val="-2"/>
                <w:sz w:val="20"/>
              </w:rPr>
              <w:t>(0.12391)</w:t>
            </w:r>
          </w:p>
        </w:tc>
        <w:tc>
          <w:tcPr>
            <w:tcW w:w="1336" w:type="dxa"/>
          </w:tcPr>
          <w:p>
            <w:pPr>
              <w:pStyle w:val="TableParagraph"/>
              <w:rPr>
                <w:sz w:val="18"/>
              </w:rPr>
            </w:pPr>
          </w:p>
        </w:tc>
      </w:tr>
      <w:tr>
        <w:trPr>
          <w:trHeight w:val="341" w:hRule="atLeast"/>
        </w:trPr>
        <w:tc>
          <w:tcPr>
            <w:tcW w:w="1474" w:type="dxa"/>
            <w:tcBorders>
              <w:bottom w:val="double" w:sz="6" w:space="0" w:color="000000"/>
            </w:tcBorders>
          </w:tcPr>
          <w:p>
            <w:pPr>
              <w:pStyle w:val="TableParagraph"/>
              <w:spacing w:line="210" w:lineRule="exact" w:before="112"/>
              <w:ind w:left="87" w:right="130"/>
              <w:jc w:val="center"/>
              <w:rPr>
                <w:rFonts w:ascii="Arial MT"/>
                <w:sz w:val="20"/>
              </w:rPr>
            </w:pPr>
            <w:r>
              <w:rPr>
                <w:rFonts w:ascii="Arial MT"/>
                <w:sz w:val="20"/>
              </w:rPr>
              <w:t>Log</w:t>
            </w:r>
            <w:r>
              <w:rPr>
                <w:rFonts w:ascii="Arial MT"/>
                <w:spacing w:val="-5"/>
                <w:sz w:val="20"/>
              </w:rPr>
              <w:t> </w:t>
            </w:r>
            <w:r>
              <w:rPr>
                <w:rFonts w:ascii="Arial MT"/>
                <w:spacing w:val="-2"/>
                <w:sz w:val="20"/>
              </w:rPr>
              <w:t>likelihood</w:t>
            </w:r>
          </w:p>
        </w:tc>
        <w:tc>
          <w:tcPr>
            <w:tcW w:w="1252" w:type="dxa"/>
            <w:tcBorders>
              <w:bottom w:val="double" w:sz="6" w:space="0" w:color="000000"/>
            </w:tcBorders>
          </w:tcPr>
          <w:p>
            <w:pPr>
              <w:pStyle w:val="TableParagraph"/>
              <w:spacing w:line="210" w:lineRule="exact" w:before="112"/>
              <w:ind w:left="22" w:right="52"/>
              <w:jc w:val="center"/>
              <w:rPr>
                <w:rFonts w:ascii="Arial MT"/>
                <w:sz w:val="20"/>
              </w:rPr>
            </w:pPr>
            <w:r>
              <w:rPr>
                <w:rFonts w:ascii="Arial MT"/>
                <w:spacing w:val="-2"/>
                <w:sz w:val="20"/>
              </w:rPr>
              <w:t>-210.7416</w:t>
            </w:r>
          </w:p>
        </w:tc>
        <w:tc>
          <w:tcPr>
            <w:tcW w:w="1475" w:type="dxa"/>
            <w:tcBorders>
              <w:bottom w:val="double" w:sz="6" w:space="0" w:color="000000"/>
            </w:tcBorders>
          </w:tcPr>
          <w:p>
            <w:pPr>
              <w:pStyle w:val="TableParagraph"/>
              <w:rPr>
                <w:sz w:val="18"/>
              </w:rPr>
            </w:pPr>
          </w:p>
        </w:tc>
        <w:tc>
          <w:tcPr>
            <w:tcW w:w="1402" w:type="dxa"/>
            <w:tcBorders>
              <w:bottom w:val="double" w:sz="6" w:space="0" w:color="000000"/>
            </w:tcBorders>
          </w:tcPr>
          <w:p>
            <w:pPr>
              <w:pStyle w:val="TableParagraph"/>
              <w:rPr>
                <w:sz w:val="18"/>
              </w:rPr>
            </w:pPr>
          </w:p>
        </w:tc>
        <w:tc>
          <w:tcPr>
            <w:tcW w:w="1497" w:type="dxa"/>
            <w:tcBorders>
              <w:bottom w:val="double" w:sz="6" w:space="0" w:color="000000"/>
            </w:tcBorders>
          </w:tcPr>
          <w:p>
            <w:pPr>
              <w:pStyle w:val="TableParagraph"/>
              <w:rPr>
                <w:sz w:val="18"/>
              </w:rPr>
            </w:pPr>
          </w:p>
        </w:tc>
        <w:tc>
          <w:tcPr>
            <w:tcW w:w="1336" w:type="dxa"/>
            <w:tcBorders>
              <w:bottom w:val="double" w:sz="6" w:space="0" w:color="000000"/>
            </w:tcBorders>
          </w:tcPr>
          <w:p>
            <w:pPr>
              <w:pStyle w:val="TableParagraph"/>
              <w:rPr>
                <w:sz w:val="18"/>
              </w:rPr>
            </w:pPr>
          </w:p>
        </w:tc>
      </w:tr>
      <w:tr>
        <w:trPr>
          <w:trHeight w:val="1418" w:hRule="atLeast"/>
        </w:trPr>
        <w:tc>
          <w:tcPr>
            <w:tcW w:w="1474" w:type="dxa"/>
            <w:tcBorders>
              <w:top w:val="double" w:sz="6" w:space="0" w:color="000000"/>
              <w:bottom w:val="double" w:sz="6" w:space="0" w:color="000000"/>
            </w:tcBorders>
          </w:tcPr>
          <w:p>
            <w:pPr>
              <w:pStyle w:val="TableParagraph"/>
              <w:spacing w:before="39"/>
              <w:rPr>
                <w:sz w:val="20"/>
              </w:rPr>
            </w:pPr>
          </w:p>
          <w:p>
            <w:pPr>
              <w:pStyle w:val="TableParagraph"/>
              <w:spacing w:before="1"/>
              <w:ind w:left="55" w:right="152" w:firstLine="58"/>
              <w:jc w:val="center"/>
              <w:rPr>
                <w:rFonts w:ascii="Arial MT"/>
                <w:sz w:val="20"/>
              </w:rPr>
            </w:pPr>
            <w:r>
              <w:rPr>
                <w:rFonts w:ascii="Arial MT"/>
                <w:spacing w:val="-2"/>
                <w:sz w:val="20"/>
              </w:rPr>
              <w:t>Normalized Cointegrating Coefficients:</w:t>
            </w:r>
            <w:r>
              <w:rPr>
                <w:rFonts w:ascii="Arial MT"/>
                <w:spacing w:val="10"/>
                <w:sz w:val="20"/>
              </w:rPr>
              <w:t> </w:t>
            </w:r>
            <w:r>
              <w:rPr>
                <w:rFonts w:ascii="Arial MT"/>
                <w:spacing w:val="-10"/>
                <w:sz w:val="20"/>
              </w:rPr>
              <w:t>2</w:t>
            </w:r>
          </w:p>
          <w:p>
            <w:pPr>
              <w:pStyle w:val="TableParagraph"/>
              <w:spacing w:line="230" w:lineRule="exact"/>
              <w:ind w:left="37" w:right="133"/>
              <w:jc w:val="center"/>
              <w:rPr>
                <w:rFonts w:ascii="Arial MT"/>
                <w:sz w:val="20"/>
              </w:rPr>
            </w:pPr>
            <w:r>
              <w:rPr>
                <w:rFonts w:ascii="Arial MT"/>
                <w:spacing w:val="-2"/>
                <w:sz w:val="20"/>
              </w:rPr>
              <w:t>Cointegrating Equation(s)</w:t>
            </w:r>
          </w:p>
        </w:tc>
        <w:tc>
          <w:tcPr>
            <w:tcW w:w="1252" w:type="dxa"/>
            <w:tcBorders>
              <w:top w:val="double" w:sz="6" w:space="0" w:color="000000"/>
              <w:bottom w:val="double" w:sz="6" w:space="0" w:color="000000"/>
            </w:tcBorders>
          </w:tcPr>
          <w:p>
            <w:pPr>
              <w:pStyle w:val="TableParagraph"/>
              <w:rPr>
                <w:sz w:val="18"/>
              </w:rPr>
            </w:pPr>
          </w:p>
        </w:tc>
        <w:tc>
          <w:tcPr>
            <w:tcW w:w="1475" w:type="dxa"/>
            <w:tcBorders>
              <w:top w:val="double" w:sz="6" w:space="0" w:color="000000"/>
              <w:bottom w:val="double" w:sz="6" w:space="0" w:color="000000"/>
            </w:tcBorders>
          </w:tcPr>
          <w:p>
            <w:pPr>
              <w:pStyle w:val="TableParagraph"/>
              <w:rPr>
                <w:sz w:val="18"/>
              </w:rPr>
            </w:pPr>
          </w:p>
        </w:tc>
        <w:tc>
          <w:tcPr>
            <w:tcW w:w="1402" w:type="dxa"/>
            <w:tcBorders>
              <w:top w:val="double" w:sz="6" w:space="0" w:color="000000"/>
              <w:bottom w:val="double" w:sz="6" w:space="0" w:color="000000"/>
            </w:tcBorders>
          </w:tcPr>
          <w:p>
            <w:pPr>
              <w:pStyle w:val="TableParagraph"/>
              <w:rPr>
                <w:sz w:val="18"/>
              </w:rPr>
            </w:pPr>
          </w:p>
        </w:tc>
        <w:tc>
          <w:tcPr>
            <w:tcW w:w="1497" w:type="dxa"/>
            <w:tcBorders>
              <w:top w:val="double" w:sz="6" w:space="0" w:color="000000"/>
              <w:bottom w:val="double" w:sz="6" w:space="0" w:color="000000"/>
            </w:tcBorders>
          </w:tcPr>
          <w:p>
            <w:pPr>
              <w:pStyle w:val="TableParagraph"/>
              <w:rPr>
                <w:sz w:val="18"/>
              </w:rPr>
            </w:pPr>
          </w:p>
        </w:tc>
        <w:tc>
          <w:tcPr>
            <w:tcW w:w="1336" w:type="dxa"/>
            <w:tcBorders>
              <w:top w:val="double" w:sz="6" w:space="0" w:color="000000"/>
              <w:bottom w:val="double" w:sz="6" w:space="0" w:color="000000"/>
            </w:tcBorders>
          </w:tcPr>
          <w:p>
            <w:pPr>
              <w:pStyle w:val="TableParagraph"/>
              <w:rPr>
                <w:sz w:val="18"/>
              </w:rPr>
            </w:pPr>
          </w:p>
        </w:tc>
      </w:tr>
      <w:tr>
        <w:trPr>
          <w:trHeight w:val="272" w:hRule="atLeast"/>
        </w:trPr>
        <w:tc>
          <w:tcPr>
            <w:tcW w:w="1474" w:type="dxa"/>
            <w:tcBorders>
              <w:top w:val="double" w:sz="6" w:space="0" w:color="000000"/>
            </w:tcBorders>
          </w:tcPr>
          <w:p>
            <w:pPr>
              <w:pStyle w:val="TableParagraph"/>
              <w:spacing w:line="214" w:lineRule="exact" w:before="38"/>
              <w:ind w:left="37" w:right="134"/>
              <w:jc w:val="center"/>
              <w:rPr>
                <w:rFonts w:ascii="Arial MT"/>
                <w:sz w:val="20"/>
              </w:rPr>
            </w:pPr>
            <w:r>
              <w:rPr>
                <w:rFonts w:ascii="Arial MT"/>
                <w:spacing w:val="-5"/>
                <w:sz w:val="20"/>
              </w:rPr>
              <w:t>GDP</w:t>
            </w:r>
          </w:p>
        </w:tc>
        <w:tc>
          <w:tcPr>
            <w:tcW w:w="1252" w:type="dxa"/>
            <w:tcBorders>
              <w:top w:val="double" w:sz="6" w:space="0" w:color="000000"/>
            </w:tcBorders>
          </w:tcPr>
          <w:p>
            <w:pPr>
              <w:pStyle w:val="TableParagraph"/>
              <w:spacing w:line="214" w:lineRule="exact" w:before="38"/>
              <w:ind w:left="22" w:right="53"/>
              <w:jc w:val="center"/>
              <w:rPr>
                <w:rFonts w:ascii="Arial MT"/>
                <w:sz w:val="20"/>
              </w:rPr>
            </w:pPr>
            <w:r>
              <w:rPr>
                <w:rFonts w:ascii="Arial MT"/>
                <w:spacing w:val="-2"/>
                <w:sz w:val="20"/>
              </w:rPr>
              <w:t>EXTDEBT</w:t>
            </w:r>
          </w:p>
        </w:tc>
        <w:tc>
          <w:tcPr>
            <w:tcW w:w="1475" w:type="dxa"/>
            <w:tcBorders>
              <w:top w:val="double" w:sz="6" w:space="0" w:color="000000"/>
            </w:tcBorders>
          </w:tcPr>
          <w:p>
            <w:pPr>
              <w:pStyle w:val="TableParagraph"/>
              <w:spacing w:line="214" w:lineRule="exact" w:before="38"/>
              <w:ind w:left="118" w:right="55"/>
              <w:jc w:val="center"/>
              <w:rPr>
                <w:rFonts w:ascii="Arial MT"/>
                <w:sz w:val="20"/>
              </w:rPr>
            </w:pPr>
            <w:r>
              <w:rPr>
                <w:rFonts w:ascii="Arial MT"/>
                <w:spacing w:val="-5"/>
                <w:sz w:val="20"/>
              </w:rPr>
              <w:t>DFI</w:t>
            </w:r>
          </w:p>
        </w:tc>
        <w:tc>
          <w:tcPr>
            <w:tcW w:w="1402" w:type="dxa"/>
            <w:tcBorders>
              <w:top w:val="double" w:sz="6" w:space="0" w:color="000000"/>
            </w:tcBorders>
          </w:tcPr>
          <w:p>
            <w:pPr>
              <w:pStyle w:val="TableParagraph"/>
              <w:spacing w:line="214" w:lineRule="exact" w:before="38"/>
              <w:ind w:left="64" w:right="54"/>
              <w:jc w:val="center"/>
              <w:rPr>
                <w:rFonts w:ascii="Arial MT"/>
                <w:sz w:val="20"/>
              </w:rPr>
            </w:pPr>
            <w:r>
              <w:rPr>
                <w:rFonts w:ascii="Arial MT"/>
                <w:spacing w:val="-5"/>
                <w:sz w:val="20"/>
              </w:rPr>
              <w:t>CAB</w:t>
            </w:r>
          </w:p>
        </w:tc>
        <w:tc>
          <w:tcPr>
            <w:tcW w:w="1497" w:type="dxa"/>
            <w:tcBorders>
              <w:top w:val="double" w:sz="6" w:space="0" w:color="000000"/>
            </w:tcBorders>
          </w:tcPr>
          <w:p>
            <w:pPr>
              <w:pStyle w:val="TableParagraph"/>
              <w:spacing w:line="214" w:lineRule="exact" w:before="38"/>
              <w:ind w:right="68"/>
              <w:jc w:val="center"/>
              <w:rPr>
                <w:rFonts w:ascii="Arial MT"/>
                <w:sz w:val="20"/>
              </w:rPr>
            </w:pPr>
            <w:r>
              <w:rPr>
                <w:rFonts w:ascii="Arial MT"/>
                <w:spacing w:val="-5"/>
                <w:sz w:val="20"/>
              </w:rPr>
              <w:t>RES</w:t>
            </w:r>
          </w:p>
        </w:tc>
        <w:tc>
          <w:tcPr>
            <w:tcW w:w="1336" w:type="dxa"/>
            <w:tcBorders>
              <w:top w:val="double" w:sz="6" w:space="0" w:color="000000"/>
            </w:tcBorders>
          </w:tcPr>
          <w:p>
            <w:pPr>
              <w:pStyle w:val="TableParagraph"/>
              <w:spacing w:line="214" w:lineRule="exact" w:before="38"/>
              <w:ind w:right="78"/>
              <w:jc w:val="center"/>
              <w:rPr>
                <w:rFonts w:ascii="Arial MT"/>
                <w:sz w:val="20"/>
              </w:rPr>
            </w:pPr>
            <w:r>
              <w:rPr>
                <w:rFonts w:ascii="Arial MT"/>
                <w:spacing w:val="-10"/>
                <w:sz w:val="20"/>
              </w:rPr>
              <w:t>C</w:t>
            </w:r>
          </w:p>
        </w:tc>
      </w:tr>
      <w:tr>
        <w:trPr>
          <w:trHeight w:val="226" w:hRule="atLeast"/>
        </w:trPr>
        <w:tc>
          <w:tcPr>
            <w:tcW w:w="1474" w:type="dxa"/>
          </w:tcPr>
          <w:p>
            <w:pPr>
              <w:pStyle w:val="TableParagraph"/>
              <w:spacing w:line="206" w:lineRule="exact"/>
              <w:ind w:left="87" w:right="130"/>
              <w:jc w:val="center"/>
              <w:rPr>
                <w:rFonts w:ascii="Arial MT"/>
                <w:sz w:val="20"/>
              </w:rPr>
            </w:pPr>
            <w:r>
              <w:rPr>
                <w:rFonts w:ascii="Arial MT"/>
                <w:spacing w:val="-2"/>
                <w:sz w:val="20"/>
              </w:rPr>
              <w:t>1.000000</w:t>
            </w:r>
          </w:p>
        </w:tc>
        <w:tc>
          <w:tcPr>
            <w:tcW w:w="1252" w:type="dxa"/>
          </w:tcPr>
          <w:p>
            <w:pPr>
              <w:pStyle w:val="TableParagraph"/>
              <w:spacing w:line="206" w:lineRule="exact"/>
              <w:ind w:left="53" w:right="31"/>
              <w:jc w:val="center"/>
              <w:rPr>
                <w:rFonts w:ascii="Arial MT"/>
                <w:sz w:val="20"/>
              </w:rPr>
            </w:pPr>
            <w:r>
              <w:rPr>
                <w:rFonts w:ascii="Arial MT"/>
                <w:spacing w:val="-2"/>
                <w:sz w:val="20"/>
              </w:rPr>
              <w:t>0.000000</w:t>
            </w:r>
          </w:p>
        </w:tc>
        <w:tc>
          <w:tcPr>
            <w:tcW w:w="1475" w:type="dxa"/>
          </w:tcPr>
          <w:p>
            <w:pPr>
              <w:pStyle w:val="TableParagraph"/>
              <w:spacing w:line="206" w:lineRule="exact"/>
              <w:ind w:left="118" w:right="55"/>
              <w:jc w:val="center"/>
              <w:rPr>
                <w:rFonts w:ascii="Arial MT"/>
                <w:sz w:val="20"/>
              </w:rPr>
            </w:pPr>
            <w:r>
              <w:rPr>
                <w:rFonts w:ascii="Arial MT"/>
                <w:spacing w:val="-2"/>
                <w:sz w:val="20"/>
              </w:rPr>
              <w:t>-0.631954</w:t>
            </w:r>
          </w:p>
        </w:tc>
        <w:tc>
          <w:tcPr>
            <w:tcW w:w="1402" w:type="dxa"/>
          </w:tcPr>
          <w:p>
            <w:pPr>
              <w:pStyle w:val="TableParagraph"/>
              <w:spacing w:line="206" w:lineRule="exact"/>
              <w:ind w:left="64" w:right="55"/>
              <w:jc w:val="center"/>
              <w:rPr>
                <w:rFonts w:ascii="Arial MT"/>
                <w:sz w:val="20"/>
              </w:rPr>
            </w:pPr>
            <w:r>
              <w:rPr>
                <w:rFonts w:ascii="Arial MT"/>
                <w:spacing w:val="-2"/>
                <w:sz w:val="20"/>
              </w:rPr>
              <w:t>-0.235358</w:t>
            </w:r>
          </w:p>
        </w:tc>
        <w:tc>
          <w:tcPr>
            <w:tcW w:w="1497" w:type="dxa"/>
          </w:tcPr>
          <w:p>
            <w:pPr>
              <w:pStyle w:val="TableParagraph"/>
              <w:spacing w:line="206" w:lineRule="exact"/>
              <w:ind w:left="263"/>
              <w:rPr>
                <w:rFonts w:ascii="Arial MT"/>
                <w:sz w:val="20"/>
              </w:rPr>
            </w:pPr>
            <w:r>
              <w:rPr>
                <w:rFonts w:ascii="Arial MT"/>
                <w:spacing w:val="-2"/>
                <w:sz w:val="20"/>
              </w:rPr>
              <w:t>-0.194431</w:t>
            </w:r>
          </w:p>
        </w:tc>
        <w:tc>
          <w:tcPr>
            <w:tcW w:w="1336" w:type="dxa"/>
          </w:tcPr>
          <w:p>
            <w:pPr>
              <w:pStyle w:val="TableParagraph"/>
              <w:spacing w:line="206" w:lineRule="exact"/>
              <w:ind w:right="79"/>
              <w:jc w:val="center"/>
              <w:rPr>
                <w:rFonts w:ascii="Arial MT"/>
                <w:sz w:val="20"/>
              </w:rPr>
            </w:pPr>
            <w:r>
              <w:rPr>
                <w:rFonts w:ascii="Arial MT"/>
                <w:spacing w:val="-2"/>
                <w:sz w:val="20"/>
              </w:rPr>
              <w:t>-2.415921</w:t>
            </w:r>
          </w:p>
        </w:tc>
      </w:tr>
    </w:tbl>
    <w:p>
      <w:pPr>
        <w:spacing w:after="0" w:line="206" w:lineRule="exact"/>
        <w:jc w:val="center"/>
        <w:rPr>
          <w:rFonts w:ascii="Arial MT"/>
          <w:sz w:val="20"/>
        </w:rPr>
        <w:sectPr>
          <w:pgSz w:w="11910" w:h="16840"/>
          <w:pgMar w:header="0" w:footer="979" w:top="1400" w:bottom="1240" w:left="280" w:right="0"/>
        </w:sectPr>
      </w:pPr>
    </w:p>
    <w:tbl>
      <w:tblPr>
        <w:tblW w:w="0" w:type="auto"/>
        <w:jc w:val="left"/>
        <w:tblInd w:w="8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81"/>
        <w:gridCol w:w="1322"/>
        <w:gridCol w:w="1408"/>
        <w:gridCol w:w="1411"/>
        <w:gridCol w:w="1411"/>
        <w:gridCol w:w="1413"/>
      </w:tblGrid>
      <w:tr>
        <w:trPr>
          <w:trHeight w:val="226" w:hRule="atLeast"/>
        </w:trPr>
        <w:tc>
          <w:tcPr>
            <w:tcW w:w="1481" w:type="dxa"/>
          </w:tcPr>
          <w:p>
            <w:pPr>
              <w:pStyle w:val="TableParagraph"/>
              <w:rPr>
                <w:sz w:val="16"/>
              </w:rPr>
            </w:pPr>
          </w:p>
        </w:tc>
        <w:tc>
          <w:tcPr>
            <w:tcW w:w="1322" w:type="dxa"/>
          </w:tcPr>
          <w:p>
            <w:pPr>
              <w:pStyle w:val="TableParagraph"/>
              <w:rPr>
                <w:sz w:val="16"/>
              </w:rPr>
            </w:pPr>
          </w:p>
        </w:tc>
        <w:tc>
          <w:tcPr>
            <w:tcW w:w="1408" w:type="dxa"/>
          </w:tcPr>
          <w:p>
            <w:pPr>
              <w:pStyle w:val="TableParagraph"/>
              <w:spacing w:line="207" w:lineRule="exact"/>
              <w:ind w:left="48" w:right="6"/>
              <w:jc w:val="center"/>
              <w:rPr>
                <w:rFonts w:ascii="Arial MT"/>
                <w:sz w:val="20"/>
              </w:rPr>
            </w:pPr>
            <w:r>
              <w:rPr>
                <w:rFonts w:ascii="Arial MT"/>
                <w:spacing w:val="-2"/>
                <w:sz w:val="20"/>
              </w:rPr>
              <w:t>(0.12710)</w:t>
            </w:r>
          </w:p>
        </w:tc>
        <w:tc>
          <w:tcPr>
            <w:tcW w:w="1411" w:type="dxa"/>
          </w:tcPr>
          <w:p>
            <w:pPr>
              <w:pStyle w:val="TableParagraph"/>
              <w:spacing w:line="207" w:lineRule="exact"/>
              <w:ind w:left="51" w:right="6"/>
              <w:jc w:val="center"/>
              <w:rPr>
                <w:rFonts w:ascii="Arial MT"/>
                <w:sz w:val="20"/>
              </w:rPr>
            </w:pPr>
            <w:r>
              <w:rPr>
                <w:rFonts w:ascii="Arial MT"/>
                <w:spacing w:val="-2"/>
                <w:sz w:val="20"/>
              </w:rPr>
              <w:t>(0.29026)</w:t>
            </w:r>
          </w:p>
        </w:tc>
        <w:tc>
          <w:tcPr>
            <w:tcW w:w="1411" w:type="dxa"/>
          </w:tcPr>
          <w:p>
            <w:pPr>
              <w:pStyle w:val="TableParagraph"/>
              <w:spacing w:line="207" w:lineRule="exact"/>
              <w:ind w:left="49" w:right="7"/>
              <w:jc w:val="center"/>
              <w:rPr>
                <w:rFonts w:ascii="Arial MT"/>
                <w:sz w:val="20"/>
              </w:rPr>
            </w:pPr>
            <w:r>
              <w:rPr>
                <w:rFonts w:ascii="Arial MT"/>
                <w:spacing w:val="-2"/>
                <w:sz w:val="20"/>
              </w:rPr>
              <w:t>(0.27206)</w:t>
            </w:r>
          </w:p>
        </w:tc>
        <w:tc>
          <w:tcPr>
            <w:tcW w:w="1413" w:type="dxa"/>
          </w:tcPr>
          <w:p>
            <w:pPr>
              <w:pStyle w:val="TableParagraph"/>
              <w:rPr>
                <w:sz w:val="16"/>
              </w:rPr>
            </w:pPr>
          </w:p>
        </w:tc>
      </w:tr>
      <w:tr>
        <w:trPr>
          <w:trHeight w:val="229" w:hRule="atLeast"/>
        </w:trPr>
        <w:tc>
          <w:tcPr>
            <w:tcW w:w="1481" w:type="dxa"/>
          </w:tcPr>
          <w:p>
            <w:pPr>
              <w:pStyle w:val="TableParagraph"/>
              <w:spacing w:line="209" w:lineRule="exact"/>
              <w:ind w:left="305"/>
              <w:rPr>
                <w:rFonts w:ascii="Arial MT"/>
                <w:sz w:val="20"/>
              </w:rPr>
            </w:pPr>
            <w:r>
              <w:rPr>
                <w:rFonts w:ascii="Arial MT"/>
                <w:spacing w:val="-2"/>
                <w:sz w:val="20"/>
              </w:rPr>
              <w:t>0.000000</w:t>
            </w:r>
          </w:p>
        </w:tc>
        <w:tc>
          <w:tcPr>
            <w:tcW w:w="1322" w:type="dxa"/>
          </w:tcPr>
          <w:p>
            <w:pPr>
              <w:pStyle w:val="TableParagraph"/>
              <w:spacing w:line="209" w:lineRule="exact"/>
              <w:ind w:left="221"/>
              <w:rPr>
                <w:rFonts w:ascii="Arial MT"/>
                <w:sz w:val="20"/>
              </w:rPr>
            </w:pPr>
            <w:r>
              <w:rPr>
                <w:rFonts w:ascii="Arial MT"/>
                <w:spacing w:val="-2"/>
                <w:sz w:val="20"/>
              </w:rPr>
              <w:t>1.000000</w:t>
            </w:r>
          </w:p>
        </w:tc>
        <w:tc>
          <w:tcPr>
            <w:tcW w:w="1408" w:type="dxa"/>
          </w:tcPr>
          <w:p>
            <w:pPr>
              <w:pStyle w:val="TableParagraph"/>
              <w:spacing w:line="209" w:lineRule="exact"/>
              <w:ind w:left="46" w:right="52"/>
              <w:jc w:val="center"/>
              <w:rPr>
                <w:rFonts w:ascii="Arial MT"/>
                <w:sz w:val="20"/>
              </w:rPr>
            </w:pPr>
            <w:r>
              <w:rPr>
                <w:rFonts w:ascii="Arial MT"/>
                <w:spacing w:val="-2"/>
                <w:sz w:val="20"/>
              </w:rPr>
              <w:t>-4.189744</w:t>
            </w:r>
          </w:p>
        </w:tc>
        <w:tc>
          <w:tcPr>
            <w:tcW w:w="1411" w:type="dxa"/>
          </w:tcPr>
          <w:p>
            <w:pPr>
              <w:pStyle w:val="TableParagraph"/>
              <w:spacing w:line="209" w:lineRule="exact"/>
              <w:ind w:left="55" w:right="6"/>
              <w:jc w:val="center"/>
              <w:rPr>
                <w:rFonts w:ascii="Arial MT"/>
                <w:sz w:val="20"/>
              </w:rPr>
            </w:pPr>
            <w:r>
              <w:rPr>
                <w:rFonts w:ascii="Arial MT"/>
                <w:spacing w:val="-2"/>
                <w:sz w:val="20"/>
              </w:rPr>
              <w:t>10.41764</w:t>
            </w:r>
          </w:p>
        </w:tc>
        <w:tc>
          <w:tcPr>
            <w:tcW w:w="1411" w:type="dxa"/>
          </w:tcPr>
          <w:p>
            <w:pPr>
              <w:pStyle w:val="TableParagraph"/>
              <w:spacing w:line="209" w:lineRule="exact"/>
              <w:ind w:left="49" w:right="55"/>
              <w:jc w:val="center"/>
              <w:rPr>
                <w:rFonts w:ascii="Arial MT"/>
                <w:sz w:val="20"/>
              </w:rPr>
            </w:pPr>
            <w:r>
              <w:rPr>
                <w:rFonts w:ascii="Arial MT"/>
                <w:spacing w:val="-2"/>
                <w:sz w:val="20"/>
              </w:rPr>
              <w:t>-10.17865</w:t>
            </w:r>
          </w:p>
        </w:tc>
        <w:tc>
          <w:tcPr>
            <w:tcW w:w="1413" w:type="dxa"/>
          </w:tcPr>
          <w:p>
            <w:pPr>
              <w:pStyle w:val="TableParagraph"/>
              <w:spacing w:line="209" w:lineRule="exact"/>
              <w:ind w:left="52" w:right="8"/>
              <w:jc w:val="center"/>
              <w:rPr>
                <w:rFonts w:ascii="Arial MT"/>
                <w:sz w:val="20"/>
              </w:rPr>
            </w:pPr>
            <w:r>
              <w:rPr>
                <w:rFonts w:ascii="Arial MT"/>
                <w:spacing w:val="-2"/>
                <w:sz w:val="20"/>
              </w:rPr>
              <w:t>25.63447</w:t>
            </w:r>
          </w:p>
        </w:tc>
      </w:tr>
      <w:tr>
        <w:trPr>
          <w:trHeight w:val="344" w:hRule="atLeast"/>
        </w:trPr>
        <w:tc>
          <w:tcPr>
            <w:tcW w:w="1481" w:type="dxa"/>
          </w:tcPr>
          <w:p>
            <w:pPr>
              <w:pStyle w:val="TableParagraph"/>
              <w:rPr>
                <w:sz w:val="18"/>
              </w:rPr>
            </w:pPr>
          </w:p>
        </w:tc>
        <w:tc>
          <w:tcPr>
            <w:tcW w:w="1322" w:type="dxa"/>
          </w:tcPr>
          <w:p>
            <w:pPr>
              <w:pStyle w:val="TableParagraph"/>
              <w:rPr>
                <w:sz w:val="18"/>
              </w:rPr>
            </w:pPr>
          </w:p>
        </w:tc>
        <w:tc>
          <w:tcPr>
            <w:tcW w:w="1408" w:type="dxa"/>
          </w:tcPr>
          <w:p>
            <w:pPr>
              <w:pStyle w:val="TableParagraph"/>
              <w:spacing w:line="225" w:lineRule="exact"/>
              <w:ind w:left="48" w:right="6"/>
              <w:jc w:val="center"/>
              <w:rPr>
                <w:rFonts w:ascii="Arial MT"/>
                <w:sz w:val="20"/>
              </w:rPr>
            </w:pPr>
            <w:r>
              <w:rPr>
                <w:rFonts w:ascii="Arial MT"/>
                <w:spacing w:val="-2"/>
                <w:sz w:val="20"/>
              </w:rPr>
              <w:t>(3.52478)</w:t>
            </w:r>
          </w:p>
        </w:tc>
        <w:tc>
          <w:tcPr>
            <w:tcW w:w="1411" w:type="dxa"/>
          </w:tcPr>
          <w:p>
            <w:pPr>
              <w:pStyle w:val="TableParagraph"/>
              <w:spacing w:line="225" w:lineRule="exact"/>
              <w:ind w:left="51" w:right="6"/>
              <w:jc w:val="center"/>
              <w:rPr>
                <w:rFonts w:ascii="Arial MT"/>
                <w:sz w:val="20"/>
              </w:rPr>
            </w:pPr>
            <w:r>
              <w:rPr>
                <w:rFonts w:ascii="Arial MT"/>
                <w:spacing w:val="-2"/>
                <w:sz w:val="20"/>
              </w:rPr>
              <w:t>(8.04961)</w:t>
            </w:r>
          </w:p>
        </w:tc>
        <w:tc>
          <w:tcPr>
            <w:tcW w:w="1411" w:type="dxa"/>
          </w:tcPr>
          <w:p>
            <w:pPr>
              <w:pStyle w:val="TableParagraph"/>
              <w:spacing w:line="225" w:lineRule="exact"/>
              <w:ind w:left="49" w:right="7"/>
              <w:jc w:val="center"/>
              <w:rPr>
                <w:rFonts w:ascii="Arial MT"/>
                <w:sz w:val="20"/>
              </w:rPr>
            </w:pPr>
            <w:r>
              <w:rPr>
                <w:rFonts w:ascii="Arial MT"/>
                <w:spacing w:val="-2"/>
                <w:sz w:val="20"/>
              </w:rPr>
              <w:t>(7.54497)</w:t>
            </w:r>
          </w:p>
        </w:tc>
        <w:tc>
          <w:tcPr>
            <w:tcW w:w="1413" w:type="dxa"/>
          </w:tcPr>
          <w:p>
            <w:pPr>
              <w:pStyle w:val="TableParagraph"/>
              <w:rPr>
                <w:sz w:val="18"/>
              </w:rPr>
            </w:pPr>
          </w:p>
        </w:tc>
      </w:tr>
      <w:tr>
        <w:trPr>
          <w:trHeight w:val="502" w:hRule="atLeast"/>
        </w:trPr>
        <w:tc>
          <w:tcPr>
            <w:tcW w:w="1481" w:type="dxa"/>
          </w:tcPr>
          <w:p>
            <w:pPr>
              <w:pStyle w:val="TableParagraph"/>
              <w:tabs>
                <w:tab w:pos="1634" w:val="left" w:leader="none"/>
              </w:tabs>
              <w:spacing w:before="112"/>
              <w:ind w:right="-173"/>
              <w:jc w:val="right"/>
              <w:rPr>
                <w:rFonts w:ascii="Arial MT"/>
                <w:sz w:val="20"/>
              </w:rPr>
            </w:pPr>
            <w:r>
              <w:rPr>
                <w:rFonts w:ascii="Arial MT"/>
                <w:spacing w:val="43"/>
                <w:sz w:val="20"/>
                <w:u w:val="double"/>
              </w:rPr>
              <w:t> </w:t>
            </w:r>
            <w:r>
              <w:rPr>
                <w:rFonts w:ascii="Arial MT"/>
                <w:sz w:val="20"/>
                <w:u w:val="double"/>
              </w:rPr>
              <w:t>Log</w:t>
            </w:r>
            <w:r>
              <w:rPr>
                <w:rFonts w:ascii="Arial MT"/>
                <w:spacing w:val="-1"/>
                <w:sz w:val="20"/>
                <w:u w:val="double"/>
              </w:rPr>
              <w:t> </w:t>
            </w:r>
            <w:r>
              <w:rPr>
                <w:rFonts w:ascii="Arial MT"/>
                <w:spacing w:val="-2"/>
                <w:sz w:val="20"/>
                <w:u w:val="double"/>
              </w:rPr>
              <w:t>likelihood</w:t>
            </w:r>
            <w:r>
              <w:rPr>
                <w:rFonts w:ascii="Arial MT"/>
                <w:sz w:val="20"/>
                <w:u w:val="double"/>
              </w:rPr>
              <w:tab/>
            </w:r>
          </w:p>
        </w:tc>
        <w:tc>
          <w:tcPr>
            <w:tcW w:w="1322" w:type="dxa"/>
          </w:tcPr>
          <w:p>
            <w:pPr>
              <w:pStyle w:val="TableParagraph"/>
              <w:tabs>
                <w:tab w:pos="6961" w:val="left" w:leader="none"/>
              </w:tabs>
              <w:spacing w:before="112"/>
              <w:ind w:left="161" w:right="-5645"/>
              <w:rPr>
                <w:rFonts w:ascii="Arial MT"/>
                <w:sz w:val="20"/>
              </w:rPr>
            </w:pPr>
            <w:r>
              <w:rPr>
                <w:rFonts w:ascii="Arial MT"/>
                <w:spacing w:val="-2"/>
                <w:sz w:val="20"/>
                <w:u w:val="double"/>
              </w:rPr>
              <w:t>-199.0978</w:t>
            </w:r>
            <w:r>
              <w:rPr>
                <w:rFonts w:ascii="Arial MT"/>
                <w:sz w:val="20"/>
                <w:u w:val="double"/>
              </w:rPr>
              <w:tab/>
            </w:r>
          </w:p>
        </w:tc>
        <w:tc>
          <w:tcPr>
            <w:tcW w:w="1408" w:type="dxa"/>
          </w:tcPr>
          <w:p>
            <w:pPr>
              <w:pStyle w:val="TableParagraph"/>
              <w:rPr>
                <w:sz w:val="18"/>
              </w:rPr>
            </w:pPr>
          </w:p>
        </w:tc>
        <w:tc>
          <w:tcPr>
            <w:tcW w:w="1411" w:type="dxa"/>
          </w:tcPr>
          <w:p>
            <w:pPr>
              <w:pStyle w:val="TableParagraph"/>
              <w:rPr>
                <w:sz w:val="18"/>
              </w:rPr>
            </w:pPr>
          </w:p>
        </w:tc>
        <w:tc>
          <w:tcPr>
            <w:tcW w:w="1411" w:type="dxa"/>
          </w:tcPr>
          <w:p>
            <w:pPr>
              <w:pStyle w:val="TableParagraph"/>
              <w:rPr>
                <w:sz w:val="18"/>
              </w:rPr>
            </w:pPr>
          </w:p>
        </w:tc>
        <w:tc>
          <w:tcPr>
            <w:tcW w:w="1413" w:type="dxa"/>
          </w:tcPr>
          <w:p>
            <w:pPr>
              <w:pStyle w:val="TableParagraph"/>
              <w:rPr>
                <w:sz w:val="18"/>
              </w:rPr>
            </w:pPr>
          </w:p>
        </w:tc>
      </w:tr>
      <w:tr>
        <w:trPr>
          <w:trHeight w:val="1332" w:hRule="atLeast"/>
        </w:trPr>
        <w:tc>
          <w:tcPr>
            <w:tcW w:w="8446" w:type="dxa"/>
            <w:gridSpan w:val="6"/>
            <w:tcBorders>
              <w:bottom w:val="single" w:sz="6" w:space="0" w:color="000000"/>
            </w:tcBorders>
          </w:tcPr>
          <w:p>
            <w:pPr>
              <w:pStyle w:val="TableParagraph"/>
              <w:spacing w:before="154"/>
              <w:ind w:left="62" w:right="7116" w:firstLine="58"/>
              <w:jc w:val="center"/>
              <w:rPr>
                <w:rFonts w:ascii="Arial MT"/>
                <w:sz w:val="20"/>
              </w:rPr>
            </w:pPr>
            <w:r>
              <w:rPr>
                <w:rFonts w:ascii="Arial MT"/>
                <w:spacing w:val="-2"/>
                <w:sz w:val="20"/>
              </w:rPr>
              <w:t>Normalized Cointegrating </w:t>
            </w:r>
            <w:r>
              <w:rPr>
                <w:rFonts w:ascii="Arial MT"/>
                <w:sz w:val="20"/>
              </w:rPr>
              <w:t>Coefficients:</w:t>
            </w:r>
            <w:r>
              <w:rPr>
                <w:rFonts w:ascii="Arial MT"/>
                <w:spacing w:val="-14"/>
                <w:sz w:val="20"/>
              </w:rPr>
              <w:t> </w:t>
            </w:r>
            <w:r>
              <w:rPr>
                <w:rFonts w:ascii="Arial MT"/>
                <w:sz w:val="20"/>
              </w:rPr>
              <w:t>3 </w:t>
            </w:r>
            <w:r>
              <w:rPr>
                <w:rFonts w:ascii="Arial MT"/>
                <w:spacing w:val="-2"/>
                <w:sz w:val="20"/>
              </w:rPr>
              <w:t>Cointegrating</w:t>
            </w:r>
          </w:p>
          <w:p>
            <w:pPr>
              <w:pStyle w:val="TableParagraph"/>
              <w:tabs>
                <w:tab w:pos="8439" w:val="left" w:leader="none"/>
              </w:tabs>
              <w:spacing w:line="229" w:lineRule="exact"/>
              <w:ind w:left="3"/>
              <w:jc w:val="center"/>
              <w:rPr>
                <w:rFonts w:ascii="Arial MT"/>
                <w:sz w:val="20"/>
              </w:rPr>
            </w:pPr>
            <w:r>
              <w:rPr>
                <w:rFonts w:ascii="Arial MT"/>
                <w:spacing w:val="32"/>
                <w:sz w:val="20"/>
                <w:u w:val="single"/>
              </w:rPr>
              <w:t>  </w:t>
            </w:r>
            <w:r>
              <w:rPr>
                <w:rFonts w:ascii="Arial MT"/>
                <w:spacing w:val="-2"/>
                <w:sz w:val="20"/>
                <w:u w:val="single"/>
              </w:rPr>
              <w:t>Equation(s)</w:t>
            </w:r>
            <w:r>
              <w:rPr>
                <w:rFonts w:ascii="Arial MT"/>
                <w:sz w:val="20"/>
                <w:u w:val="single"/>
              </w:rPr>
              <w:tab/>
            </w:r>
          </w:p>
        </w:tc>
      </w:tr>
      <w:tr>
        <w:trPr>
          <w:trHeight w:val="276" w:hRule="atLeast"/>
        </w:trPr>
        <w:tc>
          <w:tcPr>
            <w:tcW w:w="1481" w:type="dxa"/>
            <w:tcBorders>
              <w:top w:val="single" w:sz="6" w:space="0" w:color="000000"/>
            </w:tcBorders>
          </w:tcPr>
          <w:p>
            <w:pPr>
              <w:pStyle w:val="TableParagraph"/>
              <w:spacing w:line="214" w:lineRule="exact" w:before="42"/>
              <w:ind w:left="478"/>
              <w:rPr>
                <w:rFonts w:ascii="Arial MT"/>
                <w:sz w:val="20"/>
              </w:rPr>
            </w:pPr>
            <w:r>
              <w:rPr>
                <w:rFonts w:ascii="Arial MT"/>
                <w:spacing w:val="-5"/>
                <w:sz w:val="20"/>
              </w:rPr>
              <w:t>GDP</w:t>
            </w:r>
          </w:p>
        </w:tc>
        <w:tc>
          <w:tcPr>
            <w:tcW w:w="1322" w:type="dxa"/>
            <w:tcBorders>
              <w:top w:val="single" w:sz="6" w:space="0" w:color="000000"/>
            </w:tcBorders>
          </w:tcPr>
          <w:p>
            <w:pPr>
              <w:pStyle w:val="TableParagraph"/>
              <w:spacing w:line="214" w:lineRule="exact" w:before="42"/>
              <w:ind w:left="148"/>
              <w:rPr>
                <w:rFonts w:ascii="Arial MT"/>
                <w:sz w:val="20"/>
              </w:rPr>
            </w:pPr>
            <w:r>
              <w:rPr>
                <w:rFonts w:ascii="Arial MT"/>
                <w:spacing w:val="-2"/>
                <w:sz w:val="20"/>
              </w:rPr>
              <w:t>EXTDEBT</w:t>
            </w:r>
          </w:p>
        </w:tc>
        <w:tc>
          <w:tcPr>
            <w:tcW w:w="1408" w:type="dxa"/>
            <w:tcBorders>
              <w:top w:val="single" w:sz="6" w:space="0" w:color="000000"/>
            </w:tcBorders>
          </w:tcPr>
          <w:p>
            <w:pPr>
              <w:pStyle w:val="TableParagraph"/>
              <w:spacing w:line="214" w:lineRule="exact" w:before="42"/>
              <w:ind w:left="46" w:right="52"/>
              <w:jc w:val="center"/>
              <w:rPr>
                <w:rFonts w:ascii="Arial MT"/>
                <w:sz w:val="20"/>
              </w:rPr>
            </w:pPr>
            <w:r>
              <w:rPr>
                <w:rFonts w:ascii="Arial MT"/>
                <w:spacing w:val="-5"/>
                <w:sz w:val="20"/>
              </w:rPr>
              <w:t>DFI</w:t>
            </w:r>
          </w:p>
        </w:tc>
        <w:tc>
          <w:tcPr>
            <w:tcW w:w="1411" w:type="dxa"/>
            <w:tcBorders>
              <w:top w:val="single" w:sz="6" w:space="0" w:color="000000"/>
            </w:tcBorders>
          </w:tcPr>
          <w:p>
            <w:pPr>
              <w:pStyle w:val="TableParagraph"/>
              <w:spacing w:line="214" w:lineRule="exact" w:before="42"/>
              <w:ind w:left="49" w:right="51"/>
              <w:jc w:val="center"/>
              <w:rPr>
                <w:rFonts w:ascii="Arial MT"/>
                <w:sz w:val="20"/>
              </w:rPr>
            </w:pPr>
            <w:r>
              <w:rPr>
                <w:rFonts w:ascii="Arial MT"/>
                <w:spacing w:val="-5"/>
                <w:sz w:val="20"/>
              </w:rPr>
              <w:t>CAB</w:t>
            </w:r>
          </w:p>
        </w:tc>
        <w:tc>
          <w:tcPr>
            <w:tcW w:w="1411" w:type="dxa"/>
            <w:tcBorders>
              <w:top w:val="single" w:sz="6" w:space="0" w:color="000000"/>
            </w:tcBorders>
          </w:tcPr>
          <w:p>
            <w:pPr>
              <w:pStyle w:val="TableParagraph"/>
              <w:spacing w:line="214" w:lineRule="exact" w:before="42"/>
              <w:ind w:left="49" w:right="55"/>
              <w:jc w:val="center"/>
              <w:rPr>
                <w:rFonts w:ascii="Arial MT"/>
                <w:sz w:val="20"/>
              </w:rPr>
            </w:pPr>
            <w:r>
              <w:rPr>
                <w:rFonts w:ascii="Arial MT"/>
                <w:spacing w:val="-5"/>
                <w:sz w:val="20"/>
              </w:rPr>
              <w:t>RES</w:t>
            </w:r>
          </w:p>
        </w:tc>
        <w:tc>
          <w:tcPr>
            <w:tcW w:w="1413" w:type="dxa"/>
            <w:tcBorders>
              <w:top w:val="single" w:sz="6" w:space="0" w:color="000000"/>
            </w:tcBorders>
          </w:tcPr>
          <w:p>
            <w:pPr>
              <w:pStyle w:val="TableParagraph"/>
              <w:spacing w:line="214" w:lineRule="exact" w:before="42"/>
              <w:ind w:left="44" w:right="51"/>
              <w:jc w:val="center"/>
              <w:rPr>
                <w:rFonts w:ascii="Arial MT"/>
                <w:sz w:val="20"/>
              </w:rPr>
            </w:pPr>
            <w:r>
              <w:rPr>
                <w:rFonts w:ascii="Arial MT"/>
                <w:spacing w:val="-10"/>
                <w:sz w:val="20"/>
              </w:rPr>
              <w:t>C</w:t>
            </w:r>
          </w:p>
        </w:tc>
      </w:tr>
      <w:tr>
        <w:trPr>
          <w:trHeight w:val="229" w:hRule="atLeast"/>
        </w:trPr>
        <w:tc>
          <w:tcPr>
            <w:tcW w:w="1481" w:type="dxa"/>
          </w:tcPr>
          <w:p>
            <w:pPr>
              <w:pStyle w:val="TableParagraph"/>
              <w:spacing w:line="209" w:lineRule="exact"/>
              <w:ind w:left="305"/>
              <w:rPr>
                <w:rFonts w:ascii="Arial MT"/>
                <w:sz w:val="20"/>
              </w:rPr>
            </w:pPr>
            <w:r>
              <w:rPr>
                <w:rFonts w:ascii="Arial MT"/>
                <w:spacing w:val="-2"/>
                <w:sz w:val="20"/>
              </w:rPr>
              <w:t>1.000000</w:t>
            </w:r>
          </w:p>
        </w:tc>
        <w:tc>
          <w:tcPr>
            <w:tcW w:w="1322" w:type="dxa"/>
          </w:tcPr>
          <w:p>
            <w:pPr>
              <w:pStyle w:val="TableParagraph"/>
              <w:spacing w:line="209" w:lineRule="exact"/>
              <w:ind w:left="221"/>
              <w:rPr>
                <w:rFonts w:ascii="Arial MT"/>
                <w:sz w:val="20"/>
              </w:rPr>
            </w:pPr>
            <w:r>
              <w:rPr>
                <w:rFonts w:ascii="Arial MT"/>
                <w:spacing w:val="-2"/>
                <w:sz w:val="20"/>
              </w:rPr>
              <w:t>0.000000</w:t>
            </w:r>
          </w:p>
        </w:tc>
        <w:tc>
          <w:tcPr>
            <w:tcW w:w="1408" w:type="dxa"/>
          </w:tcPr>
          <w:p>
            <w:pPr>
              <w:pStyle w:val="TableParagraph"/>
              <w:spacing w:line="209" w:lineRule="exact"/>
              <w:ind w:left="52" w:right="6"/>
              <w:jc w:val="center"/>
              <w:rPr>
                <w:rFonts w:ascii="Arial MT"/>
                <w:sz w:val="20"/>
              </w:rPr>
            </w:pPr>
            <w:r>
              <w:rPr>
                <w:rFonts w:ascii="Arial MT"/>
                <w:spacing w:val="-2"/>
                <w:sz w:val="20"/>
              </w:rPr>
              <w:t>0.000000</w:t>
            </w:r>
          </w:p>
        </w:tc>
        <w:tc>
          <w:tcPr>
            <w:tcW w:w="1411" w:type="dxa"/>
          </w:tcPr>
          <w:p>
            <w:pPr>
              <w:pStyle w:val="TableParagraph"/>
              <w:spacing w:line="209" w:lineRule="exact"/>
              <w:ind w:left="49" w:right="52"/>
              <w:jc w:val="center"/>
              <w:rPr>
                <w:rFonts w:ascii="Arial MT"/>
                <w:sz w:val="20"/>
              </w:rPr>
            </w:pPr>
            <w:r>
              <w:rPr>
                <w:rFonts w:ascii="Arial MT"/>
                <w:spacing w:val="-2"/>
                <w:sz w:val="20"/>
              </w:rPr>
              <w:t>-1.725541</w:t>
            </w:r>
          </w:p>
        </w:tc>
        <w:tc>
          <w:tcPr>
            <w:tcW w:w="1411" w:type="dxa"/>
          </w:tcPr>
          <w:p>
            <w:pPr>
              <w:pStyle w:val="TableParagraph"/>
              <w:spacing w:line="209" w:lineRule="exact"/>
              <w:ind w:left="52" w:right="6"/>
              <w:jc w:val="center"/>
              <w:rPr>
                <w:rFonts w:ascii="Arial MT"/>
                <w:sz w:val="20"/>
              </w:rPr>
            </w:pPr>
            <w:r>
              <w:rPr>
                <w:rFonts w:ascii="Arial MT"/>
                <w:spacing w:val="-2"/>
                <w:sz w:val="20"/>
              </w:rPr>
              <w:t>1.061015</w:t>
            </w:r>
          </w:p>
        </w:tc>
        <w:tc>
          <w:tcPr>
            <w:tcW w:w="1413" w:type="dxa"/>
          </w:tcPr>
          <w:p>
            <w:pPr>
              <w:pStyle w:val="TableParagraph"/>
              <w:spacing w:line="209" w:lineRule="exact"/>
              <w:ind w:left="44" w:right="52"/>
              <w:jc w:val="center"/>
              <w:rPr>
                <w:rFonts w:ascii="Arial MT"/>
                <w:sz w:val="20"/>
              </w:rPr>
            </w:pPr>
            <w:r>
              <w:rPr>
                <w:rFonts w:ascii="Arial MT"/>
                <w:spacing w:val="-2"/>
                <w:sz w:val="20"/>
              </w:rPr>
              <w:t>-5.862785</w:t>
            </w:r>
          </w:p>
        </w:tc>
      </w:tr>
      <w:tr>
        <w:trPr>
          <w:trHeight w:val="229" w:hRule="atLeast"/>
        </w:trPr>
        <w:tc>
          <w:tcPr>
            <w:tcW w:w="1481" w:type="dxa"/>
          </w:tcPr>
          <w:p>
            <w:pPr>
              <w:pStyle w:val="TableParagraph"/>
              <w:rPr>
                <w:sz w:val="16"/>
              </w:rPr>
            </w:pPr>
          </w:p>
        </w:tc>
        <w:tc>
          <w:tcPr>
            <w:tcW w:w="1322" w:type="dxa"/>
          </w:tcPr>
          <w:p>
            <w:pPr>
              <w:pStyle w:val="TableParagraph"/>
              <w:rPr>
                <w:sz w:val="16"/>
              </w:rPr>
            </w:pPr>
          </w:p>
        </w:tc>
        <w:tc>
          <w:tcPr>
            <w:tcW w:w="1408" w:type="dxa"/>
          </w:tcPr>
          <w:p>
            <w:pPr>
              <w:pStyle w:val="TableParagraph"/>
              <w:rPr>
                <w:sz w:val="16"/>
              </w:rPr>
            </w:pPr>
          </w:p>
        </w:tc>
        <w:tc>
          <w:tcPr>
            <w:tcW w:w="1411" w:type="dxa"/>
          </w:tcPr>
          <w:p>
            <w:pPr>
              <w:pStyle w:val="TableParagraph"/>
              <w:spacing w:line="209" w:lineRule="exact"/>
              <w:ind w:left="51" w:right="6"/>
              <w:jc w:val="center"/>
              <w:rPr>
                <w:rFonts w:ascii="Arial MT"/>
                <w:sz w:val="20"/>
              </w:rPr>
            </w:pPr>
            <w:r>
              <w:rPr>
                <w:rFonts w:ascii="Arial MT"/>
                <w:spacing w:val="-2"/>
                <w:sz w:val="20"/>
              </w:rPr>
              <w:t>(0.95693)</w:t>
            </w:r>
          </w:p>
        </w:tc>
        <w:tc>
          <w:tcPr>
            <w:tcW w:w="1411" w:type="dxa"/>
          </w:tcPr>
          <w:p>
            <w:pPr>
              <w:pStyle w:val="TableParagraph"/>
              <w:spacing w:line="209" w:lineRule="exact"/>
              <w:ind w:left="49" w:right="7"/>
              <w:jc w:val="center"/>
              <w:rPr>
                <w:rFonts w:ascii="Arial MT"/>
                <w:sz w:val="20"/>
              </w:rPr>
            </w:pPr>
            <w:r>
              <w:rPr>
                <w:rFonts w:ascii="Arial MT"/>
                <w:spacing w:val="-2"/>
                <w:sz w:val="20"/>
              </w:rPr>
              <w:t>(1.06814)</w:t>
            </w:r>
          </w:p>
        </w:tc>
        <w:tc>
          <w:tcPr>
            <w:tcW w:w="1413" w:type="dxa"/>
          </w:tcPr>
          <w:p>
            <w:pPr>
              <w:pStyle w:val="TableParagraph"/>
              <w:rPr>
                <w:sz w:val="16"/>
              </w:rPr>
            </w:pPr>
          </w:p>
        </w:tc>
      </w:tr>
      <w:tr>
        <w:trPr>
          <w:trHeight w:val="230" w:hRule="atLeast"/>
        </w:trPr>
        <w:tc>
          <w:tcPr>
            <w:tcW w:w="1481" w:type="dxa"/>
          </w:tcPr>
          <w:p>
            <w:pPr>
              <w:pStyle w:val="TableParagraph"/>
              <w:spacing w:line="211" w:lineRule="exact"/>
              <w:ind w:left="305"/>
              <w:rPr>
                <w:rFonts w:ascii="Arial MT"/>
                <w:sz w:val="20"/>
              </w:rPr>
            </w:pPr>
            <w:r>
              <w:rPr>
                <w:rFonts w:ascii="Arial MT"/>
                <w:spacing w:val="-2"/>
                <w:sz w:val="20"/>
              </w:rPr>
              <w:t>0.000000</w:t>
            </w:r>
          </w:p>
        </w:tc>
        <w:tc>
          <w:tcPr>
            <w:tcW w:w="1322" w:type="dxa"/>
          </w:tcPr>
          <w:p>
            <w:pPr>
              <w:pStyle w:val="TableParagraph"/>
              <w:spacing w:line="211" w:lineRule="exact"/>
              <w:ind w:left="221"/>
              <w:rPr>
                <w:rFonts w:ascii="Arial MT"/>
                <w:sz w:val="20"/>
              </w:rPr>
            </w:pPr>
            <w:r>
              <w:rPr>
                <w:rFonts w:ascii="Arial MT"/>
                <w:spacing w:val="-2"/>
                <w:sz w:val="20"/>
              </w:rPr>
              <w:t>1.000000</w:t>
            </w:r>
          </w:p>
        </w:tc>
        <w:tc>
          <w:tcPr>
            <w:tcW w:w="1408" w:type="dxa"/>
          </w:tcPr>
          <w:p>
            <w:pPr>
              <w:pStyle w:val="TableParagraph"/>
              <w:spacing w:line="211" w:lineRule="exact"/>
              <w:ind w:left="52" w:right="6"/>
              <w:jc w:val="center"/>
              <w:rPr>
                <w:rFonts w:ascii="Arial MT"/>
                <w:sz w:val="20"/>
              </w:rPr>
            </w:pPr>
            <w:r>
              <w:rPr>
                <w:rFonts w:ascii="Arial MT"/>
                <w:spacing w:val="-2"/>
                <w:sz w:val="20"/>
              </w:rPr>
              <w:t>0.000000</w:t>
            </w:r>
          </w:p>
        </w:tc>
        <w:tc>
          <w:tcPr>
            <w:tcW w:w="1411" w:type="dxa"/>
          </w:tcPr>
          <w:p>
            <w:pPr>
              <w:pStyle w:val="TableParagraph"/>
              <w:spacing w:line="211" w:lineRule="exact"/>
              <w:ind w:left="55" w:right="6"/>
              <w:jc w:val="center"/>
              <w:rPr>
                <w:rFonts w:ascii="Arial MT"/>
                <w:sz w:val="20"/>
              </w:rPr>
            </w:pPr>
            <w:r>
              <w:rPr>
                <w:rFonts w:ascii="Arial MT"/>
                <w:spacing w:val="-2"/>
                <w:sz w:val="20"/>
              </w:rPr>
              <w:t>0.537991</w:t>
            </w:r>
          </w:p>
        </w:tc>
        <w:tc>
          <w:tcPr>
            <w:tcW w:w="1411" w:type="dxa"/>
          </w:tcPr>
          <w:p>
            <w:pPr>
              <w:pStyle w:val="TableParagraph"/>
              <w:spacing w:line="211" w:lineRule="exact"/>
              <w:ind w:left="49" w:right="55"/>
              <w:jc w:val="center"/>
              <w:rPr>
                <w:rFonts w:ascii="Arial MT"/>
                <w:sz w:val="20"/>
              </w:rPr>
            </w:pPr>
            <w:r>
              <w:rPr>
                <w:rFonts w:ascii="Arial MT"/>
                <w:spacing w:val="-2"/>
                <w:sz w:val="20"/>
              </w:rPr>
              <w:t>-1.855275</w:t>
            </w:r>
          </w:p>
        </w:tc>
        <w:tc>
          <w:tcPr>
            <w:tcW w:w="1413" w:type="dxa"/>
          </w:tcPr>
          <w:p>
            <w:pPr>
              <w:pStyle w:val="TableParagraph"/>
              <w:spacing w:line="211" w:lineRule="exact"/>
              <w:ind w:left="52" w:right="8"/>
              <w:jc w:val="center"/>
              <w:rPr>
                <w:rFonts w:ascii="Arial MT"/>
                <w:sz w:val="20"/>
              </w:rPr>
            </w:pPr>
            <w:r>
              <w:rPr>
                <w:rFonts w:ascii="Arial MT"/>
                <w:spacing w:val="-2"/>
                <w:sz w:val="20"/>
              </w:rPr>
              <w:t>2.782375</w:t>
            </w:r>
          </w:p>
        </w:tc>
      </w:tr>
      <w:tr>
        <w:trPr>
          <w:trHeight w:val="230" w:hRule="atLeast"/>
        </w:trPr>
        <w:tc>
          <w:tcPr>
            <w:tcW w:w="1481" w:type="dxa"/>
          </w:tcPr>
          <w:p>
            <w:pPr>
              <w:pStyle w:val="TableParagraph"/>
              <w:rPr>
                <w:sz w:val="16"/>
              </w:rPr>
            </w:pPr>
          </w:p>
        </w:tc>
        <w:tc>
          <w:tcPr>
            <w:tcW w:w="1322" w:type="dxa"/>
          </w:tcPr>
          <w:p>
            <w:pPr>
              <w:pStyle w:val="TableParagraph"/>
              <w:rPr>
                <w:sz w:val="16"/>
              </w:rPr>
            </w:pPr>
          </w:p>
        </w:tc>
        <w:tc>
          <w:tcPr>
            <w:tcW w:w="1408" w:type="dxa"/>
          </w:tcPr>
          <w:p>
            <w:pPr>
              <w:pStyle w:val="TableParagraph"/>
              <w:rPr>
                <w:sz w:val="16"/>
              </w:rPr>
            </w:pPr>
          </w:p>
        </w:tc>
        <w:tc>
          <w:tcPr>
            <w:tcW w:w="1411" w:type="dxa"/>
          </w:tcPr>
          <w:p>
            <w:pPr>
              <w:pStyle w:val="TableParagraph"/>
              <w:spacing w:line="211" w:lineRule="exact"/>
              <w:ind w:left="51" w:right="6"/>
              <w:jc w:val="center"/>
              <w:rPr>
                <w:rFonts w:ascii="Arial MT"/>
                <w:sz w:val="20"/>
              </w:rPr>
            </w:pPr>
            <w:r>
              <w:rPr>
                <w:rFonts w:ascii="Arial MT"/>
                <w:spacing w:val="-2"/>
                <w:sz w:val="20"/>
              </w:rPr>
              <w:t>(2.11231)</w:t>
            </w:r>
          </w:p>
        </w:tc>
        <w:tc>
          <w:tcPr>
            <w:tcW w:w="1411" w:type="dxa"/>
          </w:tcPr>
          <w:p>
            <w:pPr>
              <w:pStyle w:val="TableParagraph"/>
              <w:spacing w:line="211" w:lineRule="exact"/>
              <w:ind w:left="49" w:right="7"/>
              <w:jc w:val="center"/>
              <w:rPr>
                <w:rFonts w:ascii="Arial MT"/>
                <w:sz w:val="20"/>
              </w:rPr>
            </w:pPr>
            <w:r>
              <w:rPr>
                <w:rFonts w:ascii="Arial MT"/>
                <w:spacing w:val="-2"/>
                <w:sz w:val="20"/>
              </w:rPr>
              <w:t>(2.35780)</w:t>
            </w:r>
          </w:p>
        </w:tc>
        <w:tc>
          <w:tcPr>
            <w:tcW w:w="1413" w:type="dxa"/>
          </w:tcPr>
          <w:p>
            <w:pPr>
              <w:pStyle w:val="TableParagraph"/>
              <w:rPr>
                <w:sz w:val="16"/>
              </w:rPr>
            </w:pPr>
          </w:p>
        </w:tc>
      </w:tr>
      <w:tr>
        <w:trPr>
          <w:trHeight w:val="230" w:hRule="atLeast"/>
        </w:trPr>
        <w:tc>
          <w:tcPr>
            <w:tcW w:w="1481" w:type="dxa"/>
          </w:tcPr>
          <w:p>
            <w:pPr>
              <w:pStyle w:val="TableParagraph"/>
              <w:spacing w:line="210" w:lineRule="exact"/>
              <w:ind w:left="305"/>
              <w:rPr>
                <w:rFonts w:ascii="Arial MT"/>
                <w:sz w:val="20"/>
              </w:rPr>
            </w:pPr>
            <w:r>
              <w:rPr>
                <w:rFonts w:ascii="Arial MT"/>
                <w:spacing w:val="-2"/>
                <w:sz w:val="20"/>
              </w:rPr>
              <w:t>0.000000</w:t>
            </w:r>
          </w:p>
        </w:tc>
        <w:tc>
          <w:tcPr>
            <w:tcW w:w="1322" w:type="dxa"/>
          </w:tcPr>
          <w:p>
            <w:pPr>
              <w:pStyle w:val="TableParagraph"/>
              <w:spacing w:line="210" w:lineRule="exact"/>
              <w:ind w:left="221"/>
              <w:rPr>
                <w:rFonts w:ascii="Arial MT"/>
                <w:sz w:val="20"/>
              </w:rPr>
            </w:pPr>
            <w:r>
              <w:rPr>
                <w:rFonts w:ascii="Arial MT"/>
                <w:spacing w:val="-2"/>
                <w:sz w:val="20"/>
              </w:rPr>
              <w:t>0.000000</w:t>
            </w:r>
          </w:p>
        </w:tc>
        <w:tc>
          <w:tcPr>
            <w:tcW w:w="1408" w:type="dxa"/>
          </w:tcPr>
          <w:p>
            <w:pPr>
              <w:pStyle w:val="TableParagraph"/>
              <w:spacing w:line="210" w:lineRule="exact"/>
              <w:ind w:left="52" w:right="6"/>
              <w:jc w:val="center"/>
              <w:rPr>
                <w:rFonts w:ascii="Arial MT"/>
                <w:sz w:val="20"/>
              </w:rPr>
            </w:pPr>
            <w:r>
              <w:rPr>
                <w:rFonts w:ascii="Arial MT"/>
                <w:spacing w:val="-2"/>
                <w:sz w:val="20"/>
              </w:rPr>
              <w:t>1.000000</w:t>
            </w:r>
          </w:p>
        </w:tc>
        <w:tc>
          <w:tcPr>
            <w:tcW w:w="1411" w:type="dxa"/>
          </w:tcPr>
          <w:p>
            <w:pPr>
              <w:pStyle w:val="TableParagraph"/>
              <w:spacing w:line="210" w:lineRule="exact"/>
              <w:ind w:left="49" w:right="52"/>
              <w:jc w:val="center"/>
              <w:rPr>
                <w:rFonts w:ascii="Arial MT"/>
                <w:sz w:val="20"/>
              </w:rPr>
            </w:pPr>
            <w:r>
              <w:rPr>
                <w:rFonts w:ascii="Arial MT"/>
                <w:spacing w:val="-2"/>
                <w:sz w:val="20"/>
              </w:rPr>
              <w:t>-2.358055</w:t>
            </w:r>
          </w:p>
        </w:tc>
        <w:tc>
          <w:tcPr>
            <w:tcW w:w="1411" w:type="dxa"/>
          </w:tcPr>
          <w:p>
            <w:pPr>
              <w:pStyle w:val="TableParagraph"/>
              <w:spacing w:line="210" w:lineRule="exact"/>
              <w:ind w:left="52" w:right="6"/>
              <w:jc w:val="center"/>
              <w:rPr>
                <w:rFonts w:ascii="Arial MT"/>
                <w:sz w:val="20"/>
              </w:rPr>
            </w:pPr>
            <w:r>
              <w:rPr>
                <w:rFonts w:ascii="Arial MT"/>
                <w:spacing w:val="-2"/>
                <w:sz w:val="20"/>
              </w:rPr>
              <w:t>1.986608</w:t>
            </w:r>
          </w:p>
        </w:tc>
        <w:tc>
          <w:tcPr>
            <w:tcW w:w="1413" w:type="dxa"/>
          </w:tcPr>
          <w:p>
            <w:pPr>
              <w:pStyle w:val="TableParagraph"/>
              <w:spacing w:line="210" w:lineRule="exact"/>
              <w:ind w:left="44" w:right="52"/>
              <w:jc w:val="center"/>
              <w:rPr>
                <w:rFonts w:ascii="Arial MT"/>
                <w:sz w:val="20"/>
              </w:rPr>
            </w:pPr>
            <w:r>
              <w:rPr>
                <w:rFonts w:ascii="Arial MT"/>
                <w:spacing w:val="-2"/>
                <w:sz w:val="20"/>
              </w:rPr>
              <w:t>-5.454294</w:t>
            </w:r>
          </w:p>
        </w:tc>
      </w:tr>
      <w:tr>
        <w:trPr>
          <w:trHeight w:val="344" w:hRule="atLeast"/>
        </w:trPr>
        <w:tc>
          <w:tcPr>
            <w:tcW w:w="1481" w:type="dxa"/>
          </w:tcPr>
          <w:p>
            <w:pPr>
              <w:pStyle w:val="TableParagraph"/>
              <w:rPr>
                <w:sz w:val="18"/>
              </w:rPr>
            </w:pPr>
          </w:p>
        </w:tc>
        <w:tc>
          <w:tcPr>
            <w:tcW w:w="1322" w:type="dxa"/>
          </w:tcPr>
          <w:p>
            <w:pPr>
              <w:pStyle w:val="TableParagraph"/>
              <w:rPr>
                <w:sz w:val="18"/>
              </w:rPr>
            </w:pPr>
          </w:p>
        </w:tc>
        <w:tc>
          <w:tcPr>
            <w:tcW w:w="1408" w:type="dxa"/>
          </w:tcPr>
          <w:p>
            <w:pPr>
              <w:pStyle w:val="TableParagraph"/>
              <w:rPr>
                <w:sz w:val="18"/>
              </w:rPr>
            </w:pPr>
          </w:p>
        </w:tc>
        <w:tc>
          <w:tcPr>
            <w:tcW w:w="1411" w:type="dxa"/>
          </w:tcPr>
          <w:p>
            <w:pPr>
              <w:pStyle w:val="TableParagraph"/>
              <w:spacing w:line="227" w:lineRule="exact"/>
              <w:ind w:left="51" w:right="6"/>
              <w:jc w:val="center"/>
              <w:rPr>
                <w:rFonts w:ascii="Arial MT"/>
                <w:sz w:val="20"/>
              </w:rPr>
            </w:pPr>
            <w:r>
              <w:rPr>
                <w:rFonts w:ascii="Arial MT"/>
                <w:spacing w:val="-2"/>
                <w:sz w:val="20"/>
              </w:rPr>
              <w:t>(1.34304)</w:t>
            </w:r>
          </w:p>
        </w:tc>
        <w:tc>
          <w:tcPr>
            <w:tcW w:w="1411" w:type="dxa"/>
          </w:tcPr>
          <w:p>
            <w:pPr>
              <w:pStyle w:val="TableParagraph"/>
              <w:spacing w:line="227" w:lineRule="exact"/>
              <w:ind w:left="49" w:right="7"/>
              <w:jc w:val="center"/>
              <w:rPr>
                <w:rFonts w:ascii="Arial MT"/>
                <w:sz w:val="20"/>
              </w:rPr>
            </w:pPr>
            <w:r>
              <w:rPr>
                <w:rFonts w:ascii="Arial MT"/>
                <w:spacing w:val="-2"/>
                <w:sz w:val="20"/>
              </w:rPr>
              <w:t>(1.49913)</w:t>
            </w:r>
          </w:p>
        </w:tc>
        <w:tc>
          <w:tcPr>
            <w:tcW w:w="1413" w:type="dxa"/>
          </w:tcPr>
          <w:p>
            <w:pPr>
              <w:pStyle w:val="TableParagraph"/>
              <w:rPr>
                <w:sz w:val="18"/>
              </w:rPr>
            </w:pPr>
          </w:p>
        </w:tc>
      </w:tr>
      <w:tr>
        <w:trPr>
          <w:trHeight w:val="501" w:hRule="atLeast"/>
        </w:trPr>
        <w:tc>
          <w:tcPr>
            <w:tcW w:w="1481" w:type="dxa"/>
          </w:tcPr>
          <w:p>
            <w:pPr>
              <w:pStyle w:val="TableParagraph"/>
              <w:tabs>
                <w:tab w:pos="1634" w:val="left" w:leader="none"/>
              </w:tabs>
              <w:spacing w:before="110"/>
              <w:ind w:right="-173"/>
              <w:jc w:val="right"/>
              <w:rPr>
                <w:rFonts w:ascii="Arial MT"/>
                <w:sz w:val="20"/>
              </w:rPr>
            </w:pPr>
            <w:r>
              <w:rPr>
                <w:rFonts w:ascii="Arial MT"/>
                <w:spacing w:val="43"/>
                <w:sz w:val="20"/>
                <w:u w:val="double"/>
              </w:rPr>
              <w:t> </w:t>
            </w:r>
            <w:r>
              <w:rPr>
                <w:rFonts w:ascii="Arial MT"/>
                <w:sz w:val="20"/>
                <w:u w:val="double"/>
              </w:rPr>
              <w:t>Log</w:t>
            </w:r>
            <w:r>
              <w:rPr>
                <w:rFonts w:ascii="Arial MT"/>
                <w:spacing w:val="-1"/>
                <w:sz w:val="20"/>
                <w:u w:val="double"/>
              </w:rPr>
              <w:t> </w:t>
            </w:r>
            <w:r>
              <w:rPr>
                <w:rFonts w:ascii="Arial MT"/>
                <w:spacing w:val="-2"/>
                <w:sz w:val="20"/>
                <w:u w:val="double"/>
              </w:rPr>
              <w:t>likelihood</w:t>
            </w:r>
            <w:r>
              <w:rPr>
                <w:rFonts w:ascii="Arial MT"/>
                <w:sz w:val="20"/>
                <w:u w:val="double"/>
              </w:rPr>
              <w:tab/>
            </w:r>
          </w:p>
        </w:tc>
        <w:tc>
          <w:tcPr>
            <w:tcW w:w="1322" w:type="dxa"/>
          </w:tcPr>
          <w:p>
            <w:pPr>
              <w:pStyle w:val="TableParagraph"/>
              <w:tabs>
                <w:tab w:pos="6961" w:val="left" w:leader="none"/>
              </w:tabs>
              <w:spacing w:before="110"/>
              <w:ind w:left="161" w:right="-5645"/>
              <w:rPr>
                <w:rFonts w:ascii="Arial MT"/>
                <w:sz w:val="20"/>
              </w:rPr>
            </w:pPr>
            <w:r>
              <w:rPr>
                <w:rFonts w:ascii="Arial MT"/>
                <w:spacing w:val="-2"/>
                <w:sz w:val="20"/>
                <w:u w:val="double"/>
              </w:rPr>
              <w:t>-192.4254</w:t>
            </w:r>
            <w:r>
              <w:rPr>
                <w:rFonts w:ascii="Arial MT"/>
                <w:sz w:val="20"/>
                <w:u w:val="double"/>
              </w:rPr>
              <w:tab/>
            </w:r>
          </w:p>
        </w:tc>
        <w:tc>
          <w:tcPr>
            <w:tcW w:w="1408" w:type="dxa"/>
          </w:tcPr>
          <w:p>
            <w:pPr>
              <w:pStyle w:val="TableParagraph"/>
              <w:rPr>
                <w:sz w:val="18"/>
              </w:rPr>
            </w:pPr>
          </w:p>
        </w:tc>
        <w:tc>
          <w:tcPr>
            <w:tcW w:w="1411" w:type="dxa"/>
          </w:tcPr>
          <w:p>
            <w:pPr>
              <w:pStyle w:val="TableParagraph"/>
              <w:rPr>
                <w:sz w:val="18"/>
              </w:rPr>
            </w:pPr>
          </w:p>
        </w:tc>
        <w:tc>
          <w:tcPr>
            <w:tcW w:w="1411" w:type="dxa"/>
          </w:tcPr>
          <w:p>
            <w:pPr>
              <w:pStyle w:val="TableParagraph"/>
              <w:rPr>
                <w:sz w:val="18"/>
              </w:rPr>
            </w:pPr>
          </w:p>
        </w:tc>
        <w:tc>
          <w:tcPr>
            <w:tcW w:w="1413" w:type="dxa"/>
          </w:tcPr>
          <w:p>
            <w:pPr>
              <w:pStyle w:val="TableParagraph"/>
              <w:rPr>
                <w:sz w:val="18"/>
              </w:rPr>
            </w:pPr>
          </w:p>
        </w:tc>
      </w:tr>
      <w:tr>
        <w:trPr>
          <w:trHeight w:val="1305" w:hRule="atLeast"/>
        </w:trPr>
        <w:tc>
          <w:tcPr>
            <w:tcW w:w="1481" w:type="dxa"/>
            <w:tcBorders>
              <w:bottom w:val="double" w:sz="6" w:space="0" w:color="000000"/>
            </w:tcBorders>
          </w:tcPr>
          <w:p>
            <w:pPr>
              <w:pStyle w:val="TableParagraph"/>
              <w:spacing w:line="230" w:lineRule="atLeast" w:before="135"/>
              <w:ind w:left="62" w:right="151" w:firstLine="58"/>
              <w:jc w:val="center"/>
              <w:rPr>
                <w:rFonts w:ascii="Arial MT"/>
                <w:sz w:val="20"/>
              </w:rPr>
            </w:pPr>
            <w:r>
              <w:rPr>
                <w:rFonts w:ascii="Arial MT"/>
                <w:spacing w:val="-2"/>
                <w:sz w:val="20"/>
              </w:rPr>
              <w:t>Normalized Cointegrating </w:t>
            </w:r>
            <w:r>
              <w:rPr>
                <w:rFonts w:ascii="Arial MT"/>
                <w:sz w:val="20"/>
              </w:rPr>
              <w:t>Coefficients:</w:t>
            </w:r>
            <w:r>
              <w:rPr>
                <w:rFonts w:ascii="Arial MT"/>
                <w:spacing w:val="-14"/>
                <w:sz w:val="20"/>
              </w:rPr>
              <w:t> </w:t>
            </w:r>
            <w:r>
              <w:rPr>
                <w:rFonts w:ascii="Arial MT"/>
                <w:sz w:val="20"/>
              </w:rPr>
              <w:t>4 </w:t>
            </w:r>
            <w:r>
              <w:rPr>
                <w:rFonts w:ascii="Arial MT"/>
                <w:spacing w:val="-2"/>
                <w:sz w:val="20"/>
              </w:rPr>
              <w:t>Cointegrating Equation(s)</w:t>
            </w:r>
          </w:p>
        </w:tc>
        <w:tc>
          <w:tcPr>
            <w:tcW w:w="1322" w:type="dxa"/>
            <w:tcBorders>
              <w:bottom w:val="double" w:sz="6" w:space="0" w:color="000000"/>
            </w:tcBorders>
          </w:tcPr>
          <w:p>
            <w:pPr>
              <w:pStyle w:val="TableParagraph"/>
              <w:rPr>
                <w:sz w:val="18"/>
              </w:rPr>
            </w:pPr>
          </w:p>
        </w:tc>
        <w:tc>
          <w:tcPr>
            <w:tcW w:w="1408" w:type="dxa"/>
            <w:tcBorders>
              <w:bottom w:val="double" w:sz="6" w:space="0" w:color="000000"/>
            </w:tcBorders>
          </w:tcPr>
          <w:p>
            <w:pPr>
              <w:pStyle w:val="TableParagraph"/>
              <w:rPr>
                <w:sz w:val="18"/>
              </w:rPr>
            </w:pPr>
          </w:p>
        </w:tc>
        <w:tc>
          <w:tcPr>
            <w:tcW w:w="1411" w:type="dxa"/>
            <w:tcBorders>
              <w:bottom w:val="double" w:sz="6" w:space="0" w:color="000000"/>
            </w:tcBorders>
          </w:tcPr>
          <w:p>
            <w:pPr>
              <w:pStyle w:val="TableParagraph"/>
              <w:rPr>
                <w:sz w:val="18"/>
              </w:rPr>
            </w:pPr>
          </w:p>
        </w:tc>
        <w:tc>
          <w:tcPr>
            <w:tcW w:w="1411" w:type="dxa"/>
            <w:tcBorders>
              <w:bottom w:val="double" w:sz="6" w:space="0" w:color="000000"/>
            </w:tcBorders>
          </w:tcPr>
          <w:p>
            <w:pPr>
              <w:pStyle w:val="TableParagraph"/>
              <w:rPr>
                <w:sz w:val="18"/>
              </w:rPr>
            </w:pPr>
          </w:p>
        </w:tc>
        <w:tc>
          <w:tcPr>
            <w:tcW w:w="1413" w:type="dxa"/>
            <w:tcBorders>
              <w:bottom w:val="double" w:sz="6" w:space="0" w:color="000000"/>
            </w:tcBorders>
          </w:tcPr>
          <w:p>
            <w:pPr>
              <w:pStyle w:val="TableParagraph"/>
              <w:rPr>
                <w:sz w:val="18"/>
              </w:rPr>
            </w:pPr>
          </w:p>
        </w:tc>
      </w:tr>
      <w:tr>
        <w:trPr>
          <w:trHeight w:val="273" w:hRule="atLeast"/>
        </w:trPr>
        <w:tc>
          <w:tcPr>
            <w:tcW w:w="1481" w:type="dxa"/>
            <w:tcBorders>
              <w:top w:val="double" w:sz="6" w:space="0" w:color="000000"/>
            </w:tcBorders>
          </w:tcPr>
          <w:p>
            <w:pPr>
              <w:pStyle w:val="TableParagraph"/>
              <w:spacing w:line="214" w:lineRule="exact" w:before="39"/>
              <w:ind w:left="478"/>
              <w:rPr>
                <w:rFonts w:ascii="Arial MT"/>
                <w:sz w:val="20"/>
              </w:rPr>
            </w:pPr>
            <w:r>
              <w:rPr>
                <w:rFonts w:ascii="Arial MT"/>
                <w:spacing w:val="-5"/>
                <w:sz w:val="20"/>
              </w:rPr>
              <w:t>GDP</w:t>
            </w:r>
          </w:p>
        </w:tc>
        <w:tc>
          <w:tcPr>
            <w:tcW w:w="1322" w:type="dxa"/>
            <w:tcBorders>
              <w:top w:val="double" w:sz="6" w:space="0" w:color="000000"/>
            </w:tcBorders>
          </w:tcPr>
          <w:p>
            <w:pPr>
              <w:pStyle w:val="TableParagraph"/>
              <w:spacing w:line="214" w:lineRule="exact" w:before="39"/>
              <w:ind w:left="148"/>
              <w:rPr>
                <w:rFonts w:ascii="Arial MT"/>
                <w:sz w:val="20"/>
              </w:rPr>
            </w:pPr>
            <w:r>
              <w:rPr>
                <w:rFonts w:ascii="Arial MT"/>
                <w:spacing w:val="-2"/>
                <w:sz w:val="20"/>
              </w:rPr>
              <w:t>EXTDEBT</w:t>
            </w:r>
          </w:p>
        </w:tc>
        <w:tc>
          <w:tcPr>
            <w:tcW w:w="1408" w:type="dxa"/>
            <w:tcBorders>
              <w:top w:val="double" w:sz="6" w:space="0" w:color="000000"/>
            </w:tcBorders>
          </w:tcPr>
          <w:p>
            <w:pPr>
              <w:pStyle w:val="TableParagraph"/>
              <w:spacing w:line="214" w:lineRule="exact" w:before="39"/>
              <w:ind w:left="46" w:right="52"/>
              <w:jc w:val="center"/>
              <w:rPr>
                <w:rFonts w:ascii="Arial MT"/>
                <w:sz w:val="20"/>
              </w:rPr>
            </w:pPr>
            <w:r>
              <w:rPr>
                <w:rFonts w:ascii="Arial MT"/>
                <w:spacing w:val="-5"/>
                <w:sz w:val="20"/>
              </w:rPr>
              <w:t>DFI</w:t>
            </w:r>
          </w:p>
        </w:tc>
        <w:tc>
          <w:tcPr>
            <w:tcW w:w="1411" w:type="dxa"/>
            <w:tcBorders>
              <w:top w:val="double" w:sz="6" w:space="0" w:color="000000"/>
            </w:tcBorders>
          </w:tcPr>
          <w:p>
            <w:pPr>
              <w:pStyle w:val="TableParagraph"/>
              <w:spacing w:line="214" w:lineRule="exact" w:before="39"/>
              <w:ind w:left="49" w:right="51"/>
              <w:jc w:val="center"/>
              <w:rPr>
                <w:rFonts w:ascii="Arial MT"/>
                <w:sz w:val="20"/>
              </w:rPr>
            </w:pPr>
            <w:r>
              <w:rPr>
                <w:rFonts w:ascii="Arial MT"/>
                <w:spacing w:val="-5"/>
                <w:sz w:val="20"/>
              </w:rPr>
              <w:t>CAB</w:t>
            </w:r>
          </w:p>
        </w:tc>
        <w:tc>
          <w:tcPr>
            <w:tcW w:w="1411" w:type="dxa"/>
            <w:tcBorders>
              <w:top w:val="double" w:sz="6" w:space="0" w:color="000000"/>
            </w:tcBorders>
          </w:tcPr>
          <w:p>
            <w:pPr>
              <w:pStyle w:val="TableParagraph"/>
              <w:spacing w:line="214" w:lineRule="exact" w:before="39"/>
              <w:ind w:left="49" w:right="55"/>
              <w:jc w:val="center"/>
              <w:rPr>
                <w:rFonts w:ascii="Arial MT"/>
                <w:sz w:val="20"/>
              </w:rPr>
            </w:pPr>
            <w:r>
              <w:rPr>
                <w:rFonts w:ascii="Arial MT"/>
                <w:spacing w:val="-5"/>
                <w:sz w:val="20"/>
              </w:rPr>
              <w:t>RES</w:t>
            </w:r>
          </w:p>
        </w:tc>
        <w:tc>
          <w:tcPr>
            <w:tcW w:w="1413" w:type="dxa"/>
            <w:tcBorders>
              <w:top w:val="double" w:sz="6" w:space="0" w:color="000000"/>
            </w:tcBorders>
          </w:tcPr>
          <w:p>
            <w:pPr>
              <w:pStyle w:val="TableParagraph"/>
              <w:spacing w:line="214" w:lineRule="exact" w:before="39"/>
              <w:ind w:left="44" w:right="51"/>
              <w:jc w:val="center"/>
              <w:rPr>
                <w:rFonts w:ascii="Arial MT"/>
                <w:sz w:val="20"/>
              </w:rPr>
            </w:pPr>
            <w:r>
              <w:rPr>
                <w:rFonts w:ascii="Arial MT"/>
                <w:spacing w:val="-10"/>
                <w:sz w:val="20"/>
              </w:rPr>
              <w:t>C</w:t>
            </w:r>
          </w:p>
        </w:tc>
      </w:tr>
      <w:tr>
        <w:trPr>
          <w:trHeight w:val="230" w:hRule="atLeast"/>
        </w:trPr>
        <w:tc>
          <w:tcPr>
            <w:tcW w:w="1481" w:type="dxa"/>
          </w:tcPr>
          <w:p>
            <w:pPr>
              <w:pStyle w:val="TableParagraph"/>
              <w:spacing w:line="210" w:lineRule="exact"/>
              <w:ind w:left="305"/>
              <w:rPr>
                <w:rFonts w:ascii="Arial MT"/>
                <w:sz w:val="20"/>
              </w:rPr>
            </w:pPr>
            <w:r>
              <w:rPr>
                <w:rFonts w:ascii="Arial MT"/>
                <w:spacing w:val="-2"/>
                <w:sz w:val="20"/>
              </w:rPr>
              <w:t>1.000000</w:t>
            </w:r>
          </w:p>
        </w:tc>
        <w:tc>
          <w:tcPr>
            <w:tcW w:w="1322" w:type="dxa"/>
          </w:tcPr>
          <w:p>
            <w:pPr>
              <w:pStyle w:val="TableParagraph"/>
              <w:spacing w:line="210" w:lineRule="exact"/>
              <w:ind w:left="221"/>
              <w:rPr>
                <w:rFonts w:ascii="Arial MT"/>
                <w:sz w:val="20"/>
              </w:rPr>
            </w:pPr>
            <w:r>
              <w:rPr>
                <w:rFonts w:ascii="Arial MT"/>
                <w:spacing w:val="-2"/>
                <w:sz w:val="20"/>
              </w:rPr>
              <w:t>0.000000</w:t>
            </w:r>
          </w:p>
        </w:tc>
        <w:tc>
          <w:tcPr>
            <w:tcW w:w="1408" w:type="dxa"/>
          </w:tcPr>
          <w:p>
            <w:pPr>
              <w:pStyle w:val="TableParagraph"/>
              <w:spacing w:line="210" w:lineRule="exact"/>
              <w:ind w:left="52" w:right="6"/>
              <w:jc w:val="center"/>
              <w:rPr>
                <w:rFonts w:ascii="Arial MT"/>
                <w:sz w:val="20"/>
              </w:rPr>
            </w:pPr>
            <w:r>
              <w:rPr>
                <w:rFonts w:ascii="Arial MT"/>
                <w:spacing w:val="-2"/>
                <w:sz w:val="20"/>
              </w:rPr>
              <w:t>0.000000</w:t>
            </w:r>
          </w:p>
        </w:tc>
        <w:tc>
          <w:tcPr>
            <w:tcW w:w="1411" w:type="dxa"/>
          </w:tcPr>
          <w:p>
            <w:pPr>
              <w:pStyle w:val="TableParagraph"/>
              <w:spacing w:line="210" w:lineRule="exact"/>
              <w:ind w:left="55" w:right="6"/>
              <w:jc w:val="center"/>
              <w:rPr>
                <w:rFonts w:ascii="Arial MT"/>
                <w:sz w:val="20"/>
              </w:rPr>
            </w:pPr>
            <w:r>
              <w:rPr>
                <w:rFonts w:ascii="Arial MT"/>
                <w:spacing w:val="-2"/>
                <w:sz w:val="20"/>
              </w:rPr>
              <w:t>0.000000</w:t>
            </w:r>
          </w:p>
        </w:tc>
        <w:tc>
          <w:tcPr>
            <w:tcW w:w="1411" w:type="dxa"/>
          </w:tcPr>
          <w:p>
            <w:pPr>
              <w:pStyle w:val="TableParagraph"/>
              <w:spacing w:line="210" w:lineRule="exact"/>
              <w:ind w:left="49" w:right="55"/>
              <w:jc w:val="center"/>
              <w:rPr>
                <w:rFonts w:ascii="Arial MT"/>
                <w:sz w:val="20"/>
              </w:rPr>
            </w:pPr>
            <w:r>
              <w:rPr>
                <w:rFonts w:ascii="Arial MT"/>
                <w:spacing w:val="-2"/>
                <w:sz w:val="20"/>
              </w:rPr>
              <w:t>-1.040892</w:t>
            </w:r>
          </w:p>
        </w:tc>
        <w:tc>
          <w:tcPr>
            <w:tcW w:w="1413" w:type="dxa"/>
          </w:tcPr>
          <w:p>
            <w:pPr>
              <w:pStyle w:val="TableParagraph"/>
              <w:spacing w:line="210" w:lineRule="exact"/>
              <w:ind w:left="44" w:right="52"/>
              <w:jc w:val="center"/>
              <w:rPr>
                <w:rFonts w:ascii="Arial MT"/>
                <w:sz w:val="20"/>
              </w:rPr>
            </w:pPr>
            <w:r>
              <w:rPr>
                <w:rFonts w:ascii="Arial MT"/>
                <w:spacing w:val="-2"/>
                <w:sz w:val="20"/>
              </w:rPr>
              <w:t>-3.262174</w:t>
            </w:r>
          </w:p>
        </w:tc>
      </w:tr>
      <w:tr>
        <w:trPr>
          <w:trHeight w:val="229" w:hRule="atLeast"/>
        </w:trPr>
        <w:tc>
          <w:tcPr>
            <w:tcW w:w="1481" w:type="dxa"/>
          </w:tcPr>
          <w:p>
            <w:pPr>
              <w:pStyle w:val="TableParagraph"/>
              <w:rPr>
                <w:sz w:val="16"/>
              </w:rPr>
            </w:pPr>
          </w:p>
        </w:tc>
        <w:tc>
          <w:tcPr>
            <w:tcW w:w="1322" w:type="dxa"/>
          </w:tcPr>
          <w:p>
            <w:pPr>
              <w:pStyle w:val="TableParagraph"/>
              <w:rPr>
                <w:sz w:val="16"/>
              </w:rPr>
            </w:pPr>
          </w:p>
        </w:tc>
        <w:tc>
          <w:tcPr>
            <w:tcW w:w="1408" w:type="dxa"/>
          </w:tcPr>
          <w:p>
            <w:pPr>
              <w:pStyle w:val="TableParagraph"/>
              <w:rPr>
                <w:sz w:val="16"/>
              </w:rPr>
            </w:pPr>
          </w:p>
        </w:tc>
        <w:tc>
          <w:tcPr>
            <w:tcW w:w="1411" w:type="dxa"/>
          </w:tcPr>
          <w:p>
            <w:pPr>
              <w:pStyle w:val="TableParagraph"/>
              <w:rPr>
                <w:sz w:val="16"/>
              </w:rPr>
            </w:pPr>
          </w:p>
        </w:tc>
        <w:tc>
          <w:tcPr>
            <w:tcW w:w="1411" w:type="dxa"/>
          </w:tcPr>
          <w:p>
            <w:pPr>
              <w:pStyle w:val="TableParagraph"/>
              <w:spacing w:line="209" w:lineRule="exact"/>
              <w:ind w:left="49" w:right="7"/>
              <w:jc w:val="center"/>
              <w:rPr>
                <w:rFonts w:ascii="Arial MT"/>
                <w:sz w:val="20"/>
              </w:rPr>
            </w:pPr>
            <w:r>
              <w:rPr>
                <w:rFonts w:ascii="Arial MT"/>
                <w:spacing w:val="-2"/>
                <w:sz w:val="20"/>
              </w:rPr>
              <w:t>(0.14680)</w:t>
            </w:r>
          </w:p>
        </w:tc>
        <w:tc>
          <w:tcPr>
            <w:tcW w:w="1413" w:type="dxa"/>
          </w:tcPr>
          <w:p>
            <w:pPr>
              <w:pStyle w:val="TableParagraph"/>
              <w:rPr>
                <w:sz w:val="16"/>
              </w:rPr>
            </w:pPr>
          </w:p>
        </w:tc>
      </w:tr>
      <w:tr>
        <w:trPr>
          <w:trHeight w:val="229" w:hRule="atLeast"/>
        </w:trPr>
        <w:tc>
          <w:tcPr>
            <w:tcW w:w="1481" w:type="dxa"/>
          </w:tcPr>
          <w:p>
            <w:pPr>
              <w:pStyle w:val="TableParagraph"/>
              <w:spacing w:line="209" w:lineRule="exact"/>
              <w:ind w:left="305"/>
              <w:rPr>
                <w:rFonts w:ascii="Arial MT"/>
                <w:sz w:val="20"/>
              </w:rPr>
            </w:pPr>
            <w:r>
              <w:rPr>
                <w:rFonts w:ascii="Arial MT"/>
                <w:spacing w:val="-2"/>
                <w:sz w:val="20"/>
              </w:rPr>
              <w:t>0.000000</w:t>
            </w:r>
          </w:p>
        </w:tc>
        <w:tc>
          <w:tcPr>
            <w:tcW w:w="1322" w:type="dxa"/>
          </w:tcPr>
          <w:p>
            <w:pPr>
              <w:pStyle w:val="TableParagraph"/>
              <w:spacing w:line="209" w:lineRule="exact"/>
              <w:ind w:left="221"/>
              <w:rPr>
                <w:rFonts w:ascii="Arial MT"/>
                <w:sz w:val="20"/>
              </w:rPr>
            </w:pPr>
            <w:r>
              <w:rPr>
                <w:rFonts w:ascii="Arial MT"/>
                <w:spacing w:val="-2"/>
                <w:sz w:val="20"/>
              </w:rPr>
              <w:t>1.000000</w:t>
            </w:r>
          </w:p>
        </w:tc>
        <w:tc>
          <w:tcPr>
            <w:tcW w:w="1408" w:type="dxa"/>
          </w:tcPr>
          <w:p>
            <w:pPr>
              <w:pStyle w:val="TableParagraph"/>
              <w:spacing w:line="209" w:lineRule="exact"/>
              <w:ind w:left="52" w:right="6"/>
              <w:jc w:val="center"/>
              <w:rPr>
                <w:rFonts w:ascii="Arial MT"/>
                <w:sz w:val="20"/>
              </w:rPr>
            </w:pPr>
            <w:r>
              <w:rPr>
                <w:rFonts w:ascii="Arial MT"/>
                <w:spacing w:val="-2"/>
                <w:sz w:val="20"/>
              </w:rPr>
              <w:t>0.000000</w:t>
            </w:r>
          </w:p>
        </w:tc>
        <w:tc>
          <w:tcPr>
            <w:tcW w:w="1411" w:type="dxa"/>
          </w:tcPr>
          <w:p>
            <w:pPr>
              <w:pStyle w:val="TableParagraph"/>
              <w:spacing w:line="209" w:lineRule="exact"/>
              <w:ind w:left="55" w:right="6"/>
              <w:jc w:val="center"/>
              <w:rPr>
                <w:rFonts w:ascii="Arial MT"/>
                <w:sz w:val="20"/>
              </w:rPr>
            </w:pPr>
            <w:r>
              <w:rPr>
                <w:rFonts w:ascii="Arial MT"/>
                <w:spacing w:val="-2"/>
                <w:sz w:val="20"/>
              </w:rPr>
              <w:t>0.000000</w:t>
            </w:r>
          </w:p>
        </w:tc>
        <w:tc>
          <w:tcPr>
            <w:tcW w:w="1411" w:type="dxa"/>
          </w:tcPr>
          <w:p>
            <w:pPr>
              <w:pStyle w:val="TableParagraph"/>
              <w:spacing w:line="209" w:lineRule="exact"/>
              <w:ind w:left="49" w:right="55"/>
              <w:jc w:val="center"/>
              <w:rPr>
                <w:rFonts w:ascii="Arial MT"/>
                <w:sz w:val="20"/>
              </w:rPr>
            </w:pPr>
            <w:r>
              <w:rPr>
                <w:rFonts w:ascii="Arial MT"/>
                <w:spacing w:val="-2"/>
                <w:sz w:val="20"/>
              </w:rPr>
              <w:t>-1.199940</w:t>
            </w:r>
          </w:p>
        </w:tc>
        <w:tc>
          <w:tcPr>
            <w:tcW w:w="1413" w:type="dxa"/>
          </w:tcPr>
          <w:p>
            <w:pPr>
              <w:pStyle w:val="TableParagraph"/>
              <w:spacing w:line="209" w:lineRule="exact"/>
              <w:ind w:left="52" w:right="8"/>
              <w:jc w:val="center"/>
              <w:rPr>
                <w:rFonts w:ascii="Arial MT"/>
                <w:sz w:val="20"/>
              </w:rPr>
            </w:pPr>
            <w:r>
              <w:rPr>
                <w:rFonts w:ascii="Arial MT"/>
                <w:spacing w:val="-2"/>
                <w:sz w:val="20"/>
              </w:rPr>
              <w:t>1.971554</w:t>
            </w:r>
          </w:p>
        </w:tc>
      </w:tr>
      <w:tr>
        <w:trPr>
          <w:trHeight w:val="230" w:hRule="atLeast"/>
        </w:trPr>
        <w:tc>
          <w:tcPr>
            <w:tcW w:w="1481" w:type="dxa"/>
          </w:tcPr>
          <w:p>
            <w:pPr>
              <w:pStyle w:val="TableParagraph"/>
              <w:rPr>
                <w:sz w:val="16"/>
              </w:rPr>
            </w:pPr>
          </w:p>
        </w:tc>
        <w:tc>
          <w:tcPr>
            <w:tcW w:w="1322" w:type="dxa"/>
          </w:tcPr>
          <w:p>
            <w:pPr>
              <w:pStyle w:val="TableParagraph"/>
              <w:rPr>
                <w:sz w:val="16"/>
              </w:rPr>
            </w:pPr>
          </w:p>
        </w:tc>
        <w:tc>
          <w:tcPr>
            <w:tcW w:w="1408" w:type="dxa"/>
          </w:tcPr>
          <w:p>
            <w:pPr>
              <w:pStyle w:val="TableParagraph"/>
              <w:rPr>
                <w:sz w:val="16"/>
              </w:rPr>
            </w:pPr>
          </w:p>
        </w:tc>
        <w:tc>
          <w:tcPr>
            <w:tcW w:w="1411" w:type="dxa"/>
          </w:tcPr>
          <w:p>
            <w:pPr>
              <w:pStyle w:val="TableParagraph"/>
              <w:rPr>
                <w:sz w:val="16"/>
              </w:rPr>
            </w:pPr>
          </w:p>
        </w:tc>
        <w:tc>
          <w:tcPr>
            <w:tcW w:w="1411" w:type="dxa"/>
          </w:tcPr>
          <w:p>
            <w:pPr>
              <w:pStyle w:val="TableParagraph"/>
              <w:spacing w:line="211" w:lineRule="exact"/>
              <w:ind w:left="49" w:right="7"/>
              <w:jc w:val="center"/>
              <w:rPr>
                <w:rFonts w:ascii="Arial MT"/>
                <w:sz w:val="20"/>
              </w:rPr>
            </w:pPr>
            <w:r>
              <w:rPr>
                <w:rFonts w:ascii="Arial MT"/>
                <w:spacing w:val="-2"/>
                <w:sz w:val="20"/>
              </w:rPr>
              <w:t>(0.27121)</w:t>
            </w:r>
          </w:p>
        </w:tc>
        <w:tc>
          <w:tcPr>
            <w:tcW w:w="1413" w:type="dxa"/>
          </w:tcPr>
          <w:p>
            <w:pPr>
              <w:pStyle w:val="TableParagraph"/>
              <w:rPr>
                <w:sz w:val="16"/>
              </w:rPr>
            </w:pPr>
          </w:p>
        </w:tc>
      </w:tr>
      <w:tr>
        <w:trPr>
          <w:trHeight w:val="230" w:hRule="atLeast"/>
        </w:trPr>
        <w:tc>
          <w:tcPr>
            <w:tcW w:w="1481" w:type="dxa"/>
          </w:tcPr>
          <w:p>
            <w:pPr>
              <w:pStyle w:val="TableParagraph"/>
              <w:spacing w:line="210" w:lineRule="exact"/>
              <w:ind w:left="305"/>
              <w:rPr>
                <w:rFonts w:ascii="Arial MT"/>
                <w:sz w:val="20"/>
              </w:rPr>
            </w:pPr>
            <w:r>
              <w:rPr>
                <w:rFonts w:ascii="Arial MT"/>
                <w:spacing w:val="-2"/>
                <w:sz w:val="20"/>
              </w:rPr>
              <w:t>0.000000</w:t>
            </w:r>
          </w:p>
        </w:tc>
        <w:tc>
          <w:tcPr>
            <w:tcW w:w="1322" w:type="dxa"/>
          </w:tcPr>
          <w:p>
            <w:pPr>
              <w:pStyle w:val="TableParagraph"/>
              <w:spacing w:line="210" w:lineRule="exact"/>
              <w:ind w:left="221"/>
              <w:rPr>
                <w:rFonts w:ascii="Arial MT"/>
                <w:sz w:val="20"/>
              </w:rPr>
            </w:pPr>
            <w:r>
              <w:rPr>
                <w:rFonts w:ascii="Arial MT"/>
                <w:spacing w:val="-2"/>
                <w:sz w:val="20"/>
              </w:rPr>
              <w:t>0.000000</w:t>
            </w:r>
          </w:p>
        </w:tc>
        <w:tc>
          <w:tcPr>
            <w:tcW w:w="1408" w:type="dxa"/>
          </w:tcPr>
          <w:p>
            <w:pPr>
              <w:pStyle w:val="TableParagraph"/>
              <w:spacing w:line="210" w:lineRule="exact"/>
              <w:ind w:left="52" w:right="6"/>
              <w:jc w:val="center"/>
              <w:rPr>
                <w:rFonts w:ascii="Arial MT"/>
                <w:sz w:val="20"/>
              </w:rPr>
            </w:pPr>
            <w:r>
              <w:rPr>
                <w:rFonts w:ascii="Arial MT"/>
                <w:spacing w:val="-2"/>
                <w:sz w:val="20"/>
              </w:rPr>
              <w:t>1.000000</w:t>
            </w:r>
          </w:p>
        </w:tc>
        <w:tc>
          <w:tcPr>
            <w:tcW w:w="1411" w:type="dxa"/>
          </w:tcPr>
          <w:p>
            <w:pPr>
              <w:pStyle w:val="TableParagraph"/>
              <w:spacing w:line="210" w:lineRule="exact"/>
              <w:ind w:left="55" w:right="6"/>
              <w:jc w:val="center"/>
              <w:rPr>
                <w:rFonts w:ascii="Arial MT"/>
                <w:sz w:val="20"/>
              </w:rPr>
            </w:pPr>
            <w:r>
              <w:rPr>
                <w:rFonts w:ascii="Arial MT"/>
                <w:spacing w:val="-2"/>
                <w:sz w:val="20"/>
              </w:rPr>
              <w:t>0.000000</w:t>
            </w:r>
          </w:p>
        </w:tc>
        <w:tc>
          <w:tcPr>
            <w:tcW w:w="1411" w:type="dxa"/>
          </w:tcPr>
          <w:p>
            <w:pPr>
              <w:pStyle w:val="TableParagraph"/>
              <w:spacing w:line="210" w:lineRule="exact"/>
              <w:ind w:left="49" w:right="55"/>
              <w:jc w:val="center"/>
              <w:rPr>
                <w:rFonts w:ascii="Arial MT"/>
                <w:sz w:val="20"/>
              </w:rPr>
            </w:pPr>
            <w:r>
              <w:rPr>
                <w:rFonts w:ascii="Arial MT"/>
                <w:spacing w:val="-2"/>
                <w:sz w:val="20"/>
              </w:rPr>
              <w:t>-0.885773</w:t>
            </w:r>
          </w:p>
        </w:tc>
        <w:tc>
          <w:tcPr>
            <w:tcW w:w="1413" w:type="dxa"/>
          </w:tcPr>
          <w:p>
            <w:pPr>
              <w:pStyle w:val="TableParagraph"/>
              <w:spacing w:line="210" w:lineRule="exact"/>
              <w:ind w:left="44" w:right="52"/>
              <w:jc w:val="center"/>
              <w:rPr>
                <w:rFonts w:ascii="Arial MT"/>
                <w:sz w:val="20"/>
              </w:rPr>
            </w:pPr>
            <w:r>
              <w:rPr>
                <w:rFonts w:ascii="Arial MT"/>
                <w:spacing w:val="-2"/>
                <w:sz w:val="20"/>
              </w:rPr>
              <w:t>-1.900403</w:t>
            </w:r>
          </w:p>
        </w:tc>
      </w:tr>
      <w:tr>
        <w:trPr>
          <w:trHeight w:val="230" w:hRule="atLeast"/>
        </w:trPr>
        <w:tc>
          <w:tcPr>
            <w:tcW w:w="1481" w:type="dxa"/>
          </w:tcPr>
          <w:p>
            <w:pPr>
              <w:pStyle w:val="TableParagraph"/>
              <w:rPr>
                <w:sz w:val="16"/>
              </w:rPr>
            </w:pPr>
          </w:p>
        </w:tc>
        <w:tc>
          <w:tcPr>
            <w:tcW w:w="1322" w:type="dxa"/>
          </w:tcPr>
          <w:p>
            <w:pPr>
              <w:pStyle w:val="TableParagraph"/>
              <w:rPr>
                <w:sz w:val="16"/>
              </w:rPr>
            </w:pPr>
          </w:p>
        </w:tc>
        <w:tc>
          <w:tcPr>
            <w:tcW w:w="1408" w:type="dxa"/>
          </w:tcPr>
          <w:p>
            <w:pPr>
              <w:pStyle w:val="TableParagraph"/>
              <w:rPr>
                <w:sz w:val="16"/>
              </w:rPr>
            </w:pPr>
          </w:p>
        </w:tc>
        <w:tc>
          <w:tcPr>
            <w:tcW w:w="1411" w:type="dxa"/>
          </w:tcPr>
          <w:p>
            <w:pPr>
              <w:pStyle w:val="TableParagraph"/>
              <w:rPr>
                <w:sz w:val="16"/>
              </w:rPr>
            </w:pPr>
          </w:p>
        </w:tc>
        <w:tc>
          <w:tcPr>
            <w:tcW w:w="1411" w:type="dxa"/>
          </w:tcPr>
          <w:p>
            <w:pPr>
              <w:pStyle w:val="TableParagraph"/>
              <w:spacing w:line="210" w:lineRule="exact"/>
              <w:ind w:left="49" w:right="7"/>
              <w:jc w:val="center"/>
              <w:rPr>
                <w:rFonts w:ascii="Arial MT"/>
                <w:sz w:val="20"/>
              </w:rPr>
            </w:pPr>
            <w:r>
              <w:rPr>
                <w:rFonts w:ascii="Arial MT"/>
                <w:spacing w:val="-2"/>
                <w:sz w:val="20"/>
              </w:rPr>
              <w:t>(0.19190)</w:t>
            </w:r>
          </w:p>
        </w:tc>
        <w:tc>
          <w:tcPr>
            <w:tcW w:w="1413" w:type="dxa"/>
          </w:tcPr>
          <w:p>
            <w:pPr>
              <w:pStyle w:val="TableParagraph"/>
              <w:rPr>
                <w:sz w:val="16"/>
              </w:rPr>
            </w:pPr>
          </w:p>
        </w:tc>
      </w:tr>
      <w:tr>
        <w:trPr>
          <w:trHeight w:val="230" w:hRule="atLeast"/>
        </w:trPr>
        <w:tc>
          <w:tcPr>
            <w:tcW w:w="1481" w:type="dxa"/>
          </w:tcPr>
          <w:p>
            <w:pPr>
              <w:pStyle w:val="TableParagraph"/>
              <w:spacing w:line="210" w:lineRule="exact"/>
              <w:ind w:left="305"/>
              <w:rPr>
                <w:rFonts w:ascii="Arial MT"/>
                <w:sz w:val="20"/>
              </w:rPr>
            </w:pPr>
            <w:r>
              <w:rPr>
                <w:rFonts w:ascii="Arial MT"/>
                <w:spacing w:val="-2"/>
                <w:sz w:val="20"/>
              </w:rPr>
              <w:t>0.000000</w:t>
            </w:r>
          </w:p>
        </w:tc>
        <w:tc>
          <w:tcPr>
            <w:tcW w:w="1322" w:type="dxa"/>
          </w:tcPr>
          <w:p>
            <w:pPr>
              <w:pStyle w:val="TableParagraph"/>
              <w:spacing w:line="210" w:lineRule="exact"/>
              <w:ind w:left="221"/>
              <w:rPr>
                <w:rFonts w:ascii="Arial MT"/>
                <w:sz w:val="20"/>
              </w:rPr>
            </w:pPr>
            <w:r>
              <w:rPr>
                <w:rFonts w:ascii="Arial MT"/>
                <w:spacing w:val="-2"/>
                <w:sz w:val="20"/>
              </w:rPr>
              <w:t>0.000000</w:t>
            </w:r>
          </w:p>
        </w:tc>
        <w:tc>
          <w:tcPr>
            <w:tcW w:w="1408" w:type="dxa"/>
          </w:tcPr>
          <w:p>
            <w:pPr>
              <w:pStyle w:val="TableParagraph"/>
              <w:spacing w:line="210" w:lineRule="exact"/>
              <w:ind w:left="52" w:right="6"/>
              <w:jc w:val="center"/>
              <w:rPr>
                <w:rFonts w:ascii="Arial MT"/>
                <w:sz w:val="20"/>
              </w:rPr>
            </w:pPr>
            <w:r>
              <w:rPr>
                <w:rFonts w:ascii="Arial MT"/>
                <w:spacing w:val="-2"/>
                <w:sz w:val="20"/>
              </w:rPr>
              <w:t>0.000000</w:t>
            </w:r>
          </w:p>
        </w:tc>
        <w:tc>
          <w:tcPr>
            <w:tcW w:w="1411" w:type="dxa"/>
          </w:tcPr>
          <w:p>
            <w:pPr>
              <w:pStyle w:val="TableParagraph"/>
              <w:spacing w:line="210" w:lineRule="exact"/>
              <w:ind w:left="55" w:right="6"/>
              <w:jc w:val="center"/>
              <w:rPr>
                <w:rFonts w:ascii="Arial MT"/>
                <w:sz w:val="20"/>
              </w:rPr>
            </w:pPr>
            <w:r>
              <w:rPr>
                <w:rFonts w:ascii="Arial MT"/>
                <w:spacing w:val="-2"/>
                <w:sz w:val="20"/>
              </w:rPr>
              <w:t>1.000000</w:t>
            </w:r>
          </w:p>
        </w:tc>
        <w:tc>
          <w:tcPr>
            <w:tcW w:w="1411" w:type="dxa"/>
          </w:tcPr>
          <w:p>
            <w:pPr>
              <w:pStyle w:val="TableParagraph"/>
              <w:spacing w:line="210" w:lineRule="exact"/>
              <w:ind w:left="49" w:right="55"/>
              <w:jc w:val="center"/>
              <w:rPr>
                <w:rFonts w:ascii="Arial MT"/>
                <w:sz w:val="20"/>
              </w:rPr>
            </w:pPr>
            <w:r>
              <w:rPr>
                <w:rFonts w:ascii="Arial MT"/>
                <w:spacing w:val="-2"/>
                <w:sz w:val="20"/>
              </w:rPr>
              <w:t>-1.218115</w:t>
            </w:r>
          </w:p>
        </w:tc>
        <w:tc>
          <w:tcPr>
            <w:tcW w:w="1413" w:type="dxa"/>
          </w:tcPr>
          <w:p>
            <w:pPr>
              <w:pStyle w:val="TableParagraph"/>
              <w:spacing w:line="210" w:lineRule="exact"/>
              <w:ind w:left="52" w:right="8"/>
              <w:jc w:val="center"/>
              <w:rPr>
                <w:rFonts w:ascii="Arial MT"/>
                <w:sz w:val="20"/>
              </w:rPr>
            </w:pPr>
            <w:r>
              <w:rPr>
                <w:rFonts w:ascii="Arial MT"/>
                <w:spacing w:val="-2"/>
                <w:sz w:val="20"/>
              </w:rPr>
              <w:t>1.507128</w:t>
            </w:r>
          </w:p>
        </w:tc>
      </w:tr>
      <w:tr>
        <w:trPr>
          <w:trHeight w:val="344" w:hRule="atLeast"/>
        </w:trPr>
        <w:tc>
          <w:tcPr>
            <w:tcW w:w="1481" w:type="dxa"/>
          </w:tcPr>
          <w:p>
            <w:pPr>
              <w:pStyle w:val="TableParagraph"/>
              <w:rPr>
                <w:sz w:val="18"/>
              </w:rPr>
            </w:pPr>
          </w:p>
        </w:tc>
        <w:tc>
          <w:tcPr>
            <w:tcW w:w="1322" w:type="dxa"/>
          </w:tcPr>
          <w:p>
            <w:pPr>
              <w:pStyle w:val="TableParagraph"/>
              <w:rPr>
                <w:sz w:val="18"/>
              </w:rPr>
            </w:pPr>
          </w:p>
        </w:tc>
        <w:tc>
          <w:tcPr>
            <w:tcW w:w="1408" w:type="dxa"/>
          </w:tcPr>
          <w:p>
            <w:pPr>
              <w:pStyle w:val="TableParagraph"/>
              <w:rPr>
                <w:sz w:val="18"/>
              </w:rPr>
            </w:pPr>
          </w:p>
        </w:tc>
        <w:tc>
          <w:tcPr>
            <w:tcW w:w="1411" w:type="dxa"/>
          </w:tcPr>
          <w:p>
            <w:pPr>
              <w:pStyle w:val="TableParagraph"/>
              <w:rPr>
                <w:sz w:val="18"/>
              </w:rPr>
            </w:pPr>
          </w:p>
        </w:tc>
        <w:tc>
          <w:tcPr>
            <w:tcW w:w="1411" w:type="dxa"/>
          </w:tcPr>
          <w:p>
            <w:pPr>
              <w:pStyle w:val="TableParagraph"/>
              <w:spacing w:line="227" w:lineRule="exact"/>
              <w:ind w:left="49" w:right="7"/>
              <w:jc w:val="center"/>
              <w:rPr>
                <w:rFonts w:ascii="Arial MT"/>
                <w:sz w:val="20"/>
              </w:rPr>
            </w:pPr>
            <w:r>
              <w:rPr>
                <w:rFonts w:ascii="Arial MT"/>
                <w:spacing w:val="-2"/>
                <w:sz w:val="20"/>
              </w:rPr>
              <w:t>(0.11249)</w:t>
            </w:r>
          </w:p>
        </w:tc>
        <w:tc>
          <w:tcPr>
            <w:tcW w:w="1413" w:type="dxa"/>
          </w:tcPr>
          <w:p>
            <w:pPr>
              <w:pStyle w:val="TableParagraph"/>
              <w:rPr>
                <w:sz w:val="18"/>
              </w:rPr>
            </w:pPr>
          </w:p>
        </w:tc>
      </w:tr>
      <w:tr>
        <w:trPr>
          <w:trHeight w:val="383" w:hRule="atLeast"/>
        </w:trPr>
        <w:tc>
          <w:tcPr>
            <w:tcW w:w="1481" w:type="dxa"/>
            <w:tcBorders>
              <w:bottom w:val="single" w:sz="6" w:space="0" w:color="000000"/>
            </w:tcBorders>
          </w:tcPr>
          <w:p>
            <w:pPr>
              <w:pStyle w:val="TableParagraph"/>
              <w:spacing w:before="110"/>
              <w:ind w:left="110"/>
              <w:rPr>
                <w:rFonts w:ascii="Arial MT"/>
                <w:sz w:val="20"/>
              </w:rPr>
            </w:pPr>
            <w:r>
              <w:rPr>
                <w:rFonts w:ascii="Arial MT"/>
                <w:sz w:val="20"/>
              </w:rPr>
              <w:t>Log</w:t>
            </w:r>
            <w:r>
              <w:rPr>
                <w:rFonts w:ascii="Arial MT"/>
                <w:spacing w:val="-5"/>
                <w:sz w:val="20"/>
              </w:rPr>
              <w:t> </w:t>
            </w:r>
            <w:r>
              <w:rPr>
                <w:rFonts w:ascii="Arial MT"/>
                <w:spacing w:val="-2"/>
                <w:sz w:val="20"/>
              </w:rPr>
              <w:t>likelihood</w:t>
            </w:r>
          </w:p>
        </w:tc>
        <w:tc>
          <w:tcPr>
            <w:tcW w:w="1322" w:type="dxa"/>
            <w:tcBorders>
              <w:bottom w:val="double" w:sz="6" w:space="0" w:color="000000"/>
            </w:tcBorders>
          </w:tcPr>
          <w:p>
            <w:pPr>
              <w:pStyle w:val="TableParagraph"/>
              <w:spacing w:before="110"/>
              <w:ind w:left="161"/>
              <w:rPr>
                <w:rFonts w:ascii="Arial MT"/>
                <w:sz w:val="20"/>
              </w:rPr>
            </w:pPr>
            <w:r>
              <w:rPr>
                <w:rFonts w:ascii="Arial MT"/>
                <w:spacing w:val="-2"/>
                <w:sz w:val="20"/>
              </w:rPr>
              <w:t>-188.6838</w:t>
            </w:r>
          </w:p>
        </w:tc>
        <w:tc>
          <w:tcPr>
            <w:tcW w:w="1408" w:type="dxa"/>
            <w:tcBorders>
              <w:bottom w:val="double" w:sz="6" w:space="0" w:color="000000"/>
            </w:tcBorders>
          </w:tcPr>
          <w:p>
            <w:pPr>
              <w:pStyle w:val="TableParagraph"/>
              <w:rPr>
                <w:sz w:val="18"/>
              </w:rPr>
            </w:pPr>
          </w:p>
        </w:tc>
        <w:tc>
          <w:tcPr>
            <w:tcW w:w="1411" w:type="dxa"/>
            <w:tcBorders>
              <w:bottom w:val="double" w:sz="6" w:space="0" w:color="000000"/>
            </w:tcBorders>
          </w:tcPr>
          <w:p>
            <w:pPr>
              <w:pStyle w:val="TableParagraph"/>
              <w:rPr>
                <w:sz w:val="18"/>
              </w:rPr>
            </w:pPr>
          </w:p>
        </w:tc>
        <w:tc>
          <w:tcPr>
            <w:tcW w:w="1411" w:type="dxa"/>
            <w:tcBorders>
              <w:bottom w:val="double" w:sz="6" w:space="0" w:color="000000"/>
            </w:tcBorders>
          </w:tcPr>
          <w:p>
            <w:pPr>
              <w:pStyle w:val="TableParagraph"/>
              <w:rPr>
                <w:sz w:val="18"/>
              </w:rPr>
            </w:pPr>
          </w:p>
        </w:tc>
        <w:tc>
          <w:tcPr>
            <w:tcW w:w="1413" w:type="dxa"/>
            <w:tcBorders>
              <w:bottom w:val="double" w:sz="6" w:space="0" w:color="000000"/>
            </w:tcBorders>
          </w:tcPr>
          <w:p>
            <w:pPr>
              <w:pStyle w:val="TableParagraph"/>
              <w:rPr>
                <w:sz w:val="18"/>
              </w:rPr>
            </w:pPr>
          </w:p>
        </w:tc>
      </w:tr>
    </w:tbl>
    <w:p>
      <w:pPr>
        <w:pStyle w:val="BodyText"/>
        <w:rPr>
          <w:sz w:val="20"/>
        </w:rPr>
      </w:pPr>
    </w:p>
    <w:p>
      <w:pPr>
        <w:pStyle w:val="BodyText"/>
        <w:rPr>
          <w:sz w:val="20"/>
        </w:rPr>
      </w:pPr>
    </w:p>
    <w:p>
      <w:pPr>
        <w:pStyle w:val="BodyText"/>
        <w:spacing w:before="83"/>
        <w:rPr>
          <w:sz w:val="20"/>
        </w:rPr>
      </w:pPr>
    </w:p>
    <w:p>
      <w:pPr>
        <w:spacing w:before="0" w:after="7"/>
        <w:ind w:left="771" w:right="0" w:firstLine="0"/>
        <w:jc w:val="left"/>
        <w:rPr>
          <w:sz w:val="20"/>
        </w:rPr>
      </w:pPr>
      <w:r>
        <w:rPr>
          <w:sz w:val="20"/>
        </w:rPr>
        <w:t>OVERPARAMETIZED</w:t>
      </w:r>
      <w:r>
        <w:rPr>
          <w:spacing w:val="-7"/>
          <w:sz w:val="20"/>
        </w:rPr>
        <w:t> </w:t>
      </w:r>
      <w:r>
        <w:rPr>
          <w:sz w:val="20"/>
        </w:rPr>
        <w:t>ECM</w:t>
      </w:r>
      <w:r>
        <w:rPr>
          <w:spacing w:val="-5"/>
          <w:sz w:val="20"/>
        </w:rPr>
        <w:t> </w:t>
      </w:r>
      <w:r>
        <w:rPr>
          <w:sz w:val="20"/>
        </w:rPr>
        <w:t>(</w:t>
      </w:r>
      <w:r>
        <w:rPr>
          <w:spacing w:val="-4"/>
          <w:sz w:val="20"/>
        </w:rPr>
        <w:t> </w:t>
      </w:r>
      <w:r>
        <w:rPr>
          <w:sz w:val="20"/>
        </w:rPr>
        <w:t>ECM1)</w:t>
      </w:r>
      <w:r>
        <w:rPr>
          <w:spacing w:val="-7"/>
          <w:sz w:val="20"/>
        </w:rPr>
        <w:t> </w:t>
      </w:r>
      <w:r>
        <w:rPr>
          <w:sz w:val="20"/>
        </w:rPr>
        <w:t>FOR</w:t>
      </w:r>
      <w:r>
        <w:rPr>
          <w:spacing w:val="-8"/>
          <w:sz w:val="20"/>
        </w:rPr>
        <w:t> </w:t>
      </w:r>
      <w:r>
        <w:rPr>
          <w:sz w:val="20"/>
        </w:rPr>
        <w:t>MODEL</w:t>
      </w:r>
      <w:r>
        <w:rPr>
          <w:spacing w:val="-8"/>
          <w:sz w:val="20"/>
        </w:rPr>
        <w:t> </w:t>
      </w:r>
      <w:r>
        <w:rPr>
          <w:spacing w:val="-5"/>
          <w:sz w:val="20"/>
        </w:rPr>
        <w:t>2A</w:t>
      </w:r>
    </w:p>
    <w:tbl>
      <w:tblPr>
        <w:tblW w:w="0" w:type="auto"/>
        <w:jc w:val="left"/>
        <w:tblInd w:w="8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70"/>
        <w:gridCol w:w="1312"/>
        <w:gridCol w:w="1289"/>
        <w:gridCol w:w="1172"/>
        <w:gridCol w:w="965"/>
      </w:tblGrid>
      <w:tr>
        <w:trPr>
          <w:trHeight w:val="226" w:hRule="atLeast"/>
        </w:trPr>
        <w:tc>
          <w:tcPr>
            <w:tcW w:w="6808" w:type="dxa"/>
            <w:gridSpan w:val="5"/>
          </w:tcPr>
          <w:p>
            <w:pPr>
              <w:pStyle w:val="TableParagraph"/>
              <w:spacing w:line="206" w:lineRule="exact"/>
              <w:ind w:left="28"/>
              <w:rPr>
                <w:rFonts w:ascii="Arial MT"/>
                <w:sz w:val="20"/>
              </w:rPr>
            </w:pPr>
            <w:r>
              <w:rPr>
                <w:rFonts w:ascii="Arial MT"/>
                <w:sz w:val="20"/>
              </w:rPr>
              <w:t>Dependent</w:t>
            </w:r>
            <w:r>
              <w:rPr>
                <w:rFonts w:ascii="Arial MT"/>
                <w:spacing w:val="-12"/>
                <w:sz w:val="20"/>
              </w:rPr>
              <w:t> </w:t>
            </w:r>
            <w:r>
              <w:rPr>
                <w:rFonts w:ascii="Arial MT"/>
                <w:sz w:val="20"/>
              </w:rPr>
              <w:t>Variable:</w:t>
            </w:r>
            <w:r>
              <w:rPr>
                <w:rFonts w:ascii="Arial MT"/>
                <w:spacing w:val="-13"/>
                <w:sz w:val="20"/>
              </w:rPr>
              <w:t> </w:t>
            </w:r>
            <w:r>
              <w:rPr>
                <w:rFonts w:ascii="Arial MT"/>
                <w:spacing w:val="-2"/>
                <w:sz w:val="20"/>
              </w:rPr>
              <w:t>D(GDP,2)</w:t>
            </w:r>
          </w:p>
        </w:tc>
      </w:tr>
      <w:tr>
        <w:trPr>
          <w:trHeight w:val="230" w:hRule="atLeast"/>
        </w:trPr>
        <w:tc>
          <w:tcPr>
            <w:tcW w:w="6808" w:type="dxa"/>
            <w:gridSpan w:val="5"/>
          </w:tcPr>
          <w:p>
            <w:pPr>
              <w:pStyle w:val="TableParagraph"/>
              <w:spacing w:line="210" w:lineRule="exact"/>
              <w:ind w:left="28"/>
              <w:rPr>
                <w:rFonts w:ascii="Arial MT"/>
                <w:sz w:val="20"/>
              </w:rPr>
            </w:pPr>
            <w:r>
              <w:rPr>
                <w:rFonts w:ascii="Arial MT"/>
                <w:sz w:val="20"/>
              </w:rPr>
              <w:t>Method:</w:t>
            </w:r>
            <w:r>
              <w:rPr>
                <w:rFonts w:ascii="Arial MT"/>
                <w:spacing w:val="-9"/>
                <w:sz w:val="20"/>
              </w:rPr>
              <w:t> </w:t>
            </w:r>
            <w:r>
              <w:rPr>
                <w:rFonts w:ascii="Arial MT"/>
                <w:sz w:val="20"/>
              </w:rPr>
              <w:t>Least</w:t>
            </w:r>
            <w:r>
              <w:rPr>
                <w:rFonts w:ascii="Arial MT"/>
                <w:spacing w:val="-8"/>
                <w:sz w:val="20"/>
              </w:rPr>
              <w:t> </w:t>
            </w:r>
            <w:r>
              <w:rPr>
                <w:rFonts w:ascii="Arial MT"/>
                <w:spacing w:val="-2"/>
                <w:sz w:val="20"/>
              </w:rPr>
              <w:t>Squares</w:t>
            </w:r>
          </w:p>
        </w:tc>
      </w:tr>
      <w:tr>
        <w:trPr>
          <w:trHeight w:val="229" w:hRule="atLeast"/>
        </w:trPr>
        <w:tc>
          <w:tcPr>
            <w:tcW w:w="6808" w:type="dxa"/>
            <w:gridSpan w:val="5"/>
          </w:tcPr>
          <w:p>
            <w:pPr>
              <w:pStyle w:val="TableParagraph"/>
              <w:spacing w:line="209" w:lineRule="exact"/>
              <w:ind w:left="28"/>
              <w:rPr>
                <w:rFonts w:ascii="Arial MT"/>
                <w:sz w:val="20"/>
              </w:rPr>
            </w:pPr>
            <w:r>
              <w:rPr>
                <w:rFonts w:ascii="Arial MT"/>
                <w:sz w:val="20"/>
              </w:rPr>
              <w:t>Date:</w:t>
            </w:r>
            <w:r>
              <w:rPr>
                <w:rFonts w:ascii="Arial MT"/>
                <w:spacing w:val="-3"/>
                <w:sz w:val="20"/>
              </w:rPr>
              <w:t> </w:t>
            </w:r>
            <w:r>
              <w:rPr>
                <w:rFonts w:ascii="Arial MT"/>
                <w:sz w:val="20"/>
              </w:rPr>
              <w:t>02/22/14</w:t>
            </w:r>
            <w:r>
              <w:rPr>
                <w:rFonts w:ascii="Arial MT"/>
                <w:spacing w:val="71"/>
                <w:w w:val="150"/>
                <w:sz w:val="20"/>
              </w:rPr>
              <w:t> </w:t>
            </w:r>
            <w:r>
              <w:rPr>
                <w:rFonts w:ascii="Arial MT"/>
                <w:sz w:val="20"/>
              </w:rPr>
              <w:t>Time:</w:t>
            </w:r>
            <w:r>
              <w:rPr>
                <w:rFonts w:ascii="Arial MT"/>
                <w:spacing w:val="-4"/>
                <w:sz w:val="20"/>
              </w:rPr>
              <w:t> 10:18</w:t>
            </w:r>
          </w:p>
        </w:tc>
      </w:tr>
      <w:tr>
        <w:trPr>
          <w:trHeight w:val="229" w:hRule="atLeast"/>
        </w:trPr>
        <w:tc>
          <w:tcPr>
            <w:tcW w:w="6808" w:type="dxa"/>
            <w:gridSpan w:val="5"/>
          </w:tcPr>
          <w:p>
            <w:pPr>
              <w:pStyle w:val="TableParagraph"/>
              <w:spacing w:line="209" w:lineRule="exact"/>
              <w:ind w:left="28"/>
              <w:rPr>
                <w:rFonts w:ascii="Arial MT"/>
                <w:sz w:val="20"/>
              </w:rPr>
            </w:pPr>
            <w:r>
              <w:rPr>
                <w:rFonts w:ascii="Arial MT"/>
                <w:sz w:val="20"/>
              </w:rPr>
              <w:t>Sample(adjusted):</w:t>
            </w:r>
            <w:r>
              <w:rPr>
                <w:rFonts w:ascii="Arial MT"/>
                <w:spacing w:val="-14"/>
                <w:sz w:val="20"/>
              </w:rPr>
              <w:t> </w:t>
            </w:r>
            <w:r>
              <w:rPr>
                <w:rFonts w:ascii="Arial MT"/>
                <w:sz w:val="20"/>
              </w:rPr>
              <w:t>1973</w:t>
            </w:r>
            <w:r>
              <w:rPr>
                <w:rFonts w:ascii="Arial MT"/>
                <w:spacing w:val="-14"/>
                <w:sz w:val="20"/>
              </w:rPr>
              <w:t> </w:t>
            </w:r>
            <w:r>
              <w:rPr>
                <w:rFonts w:ascii="Arial MT"/>
                <w:spacing w:val="-4"/>
                <w:sz w:val="20"/>
              </w:rPr>
              <w:t>2011</w:t>
            </w:r>
          </w:p>
        </w:tc>
      </w:tr>
      <w:tr>
        <w:trPr>
          <w:trHeight w:val="226" w:hRule="atLeast"/>
        </w:trPr>
        <w:tc>
          <w:tcPr>
            <w:tcW w:w="6808" w:type="dxa"/>
            <w:gridSpan w:val="5"/>
            <w:tcBorders>
              <w:bottom w:val="double" w:sz="6" w:space="0" w:color="000000"/>
            </w:tcBorders>
          </w:tcPr>
          <w:p>
            <w:pPr>
              <w:pStyle w:val="TableParagraph"/>
              <w:spacing w:line="207" w:lineRule="exact"/>
              <w:ind w:left="28"/>
              <w:rPr>
                <w:rFonts w:ascii="Arial MT"/>
                <w:sz w:val="20"/>
              </w:rPr>
            </w:pPr>
            <w:r>
              <w:rPr>
                <w:rFonts w:ascii="Arial MT"/>
                <w:sz w:val="20"/>
              </w:rPr>
              <w:t>Included</w:t>
            </w:r>
            <w:r>
              <w:rPr>
                <w:rFonts w:ascii="Arial MT"/>
                <w:spacing w:val="-9"/>
                <w:sz w:val="20"/>
              </w:rPr>
              <w:t> </w:t>
            </w:r>
            <w:r>
              <w:rPr>
                <w:rFonts w:ascii="Arial MT"/>
                <w:sz w:val="20"/>
              </w:rPr>
              <w:t>observations:</w:t>
            </w:r>
            <w:r>
              <w:rPr>
                <w:rFonts w:ascii="Arial MT"/>
                <w:spacing w:val="-9"/>
                <w:sz w:val="20"/>
              </w:rPr>
              <w:t> </w:t>
            </w:r>
            <w:r>
              <w:rPr>
                <w:rFonts w:ascii="Arial MT"/>
                <w:sz w:val="20"/>
              </w:rPr>
              <w:t>39</w:t>
            </w:r>
            <w:r>
              <w:rPr>
                <w:rFonts w:ascii="Arial MT"/>
                <w:spacing w:val="-9"/>
                <w:sz w:val="20"/>
              </w:rPr>
              <w:t> </w:t>
            </w:r>
            <w:r>
              <w:rPr>
                <w:rFonts w:ascii="Arial MT"/>
                <w:sz w:val="20"/>
              </w:rPr>
              <w:t>after</w:t>
            </w:r>
            <w:r>
              <w:rPr>
                <w:rFonts w:ascii="Arial MT"/>
                <w:spacing w:val="-10"/>
                <w:sz w:val="20"/>
              </w:rPr>
              <w:t> </w:t>
            </w:r>
            <w:r>
              <w:rPr>
                <w:rFonts w:ascii="Arial MT"/>
                <w:sz w:val="20"/>
              </w:rPr>
              <w:t>adjusting</w:t>
            </w:r>
            <w:r>
              <w:rPr>
                <w:rFonts w:ascii="Arial MT"/>
                <w:spacing w:val="-8"/>
                <w:sz w:val="20"/>
              </w:rPr>
              <w:t> </w:t>
            </w:r>
            <w:r>
              <w:rPr>
                <w:rFonts w:ascii="Arial MT"/>
                <w:spacing w:val="-2"/>
                <w:sz w:val="20"/>
              </w:rPr>
              <w:t>endpoints</w:t>
            </w:r>
          </w:p>
        </w:tc>
      </w:tr>
      <w:tr>
        <w:trPr>
          <w:trHeight w:val="269" w:hRule="atLeast"/>
        </w:trPr>
        <w:tc>
          <w:tcPr>
            <w:tcW w:w="2070" w:type="dxa"/>
            <w:tcBorders>
              <w:top w:val="double" w:sz="6" w:space="0" w:color="000000"/>
              <w:bottom w:val="double" w:sz="6" w:space="0" w:color="000000"/>
            </w:tcBorders>
          </w:tcPr>
          <w:p>
            <w:pPr>
              <w:pStyle w:val="TableParagraph"/>
              <w:spacing w:line="210" w:lineRule="exact" w:before="39"/>
              <w:ind w:left="698"/>
              <w:rPr>
                <w:rFonts w:ascii="Arial MT"/>
                <w:sz w:val="20"/>
              </w:rPr>
            </w:pPr>
            <w:r>
              <w:rPr>
                <w:rFonts w:ascii="Arial MT"/>
                <w:spacing w:val="-2"/>
                <w:sz w:val="20"/>
              </w:rPr>
              <w:t>Variable</w:t>
            </w:r>
          </w:p>
        </w:tc>
        <w:tc>
          <w:tcPr>
            <w:tcW w:w="1312" w:type="dxa"/>
            <w:tcBorders>
              <w:top w:val="double" w:sz="6" w:space="0" w:color="000000"/>
              <w:bottom w:val="double" w:sz="6" w:space="0" w:color="000000"/>
            </w:tcBorders>
          </w:tcPr>
          <w:p>
            <w:pPr>
              <w:pStyle w:val="TableParagraph"/>
              <w:spacing w:line="210" w:lineRule="exact" w:before="39"/>
              <w:ind w:left="195" w:right="110"/>
              <w:jc w:val="center"/>
              <w:rPr>
                <w:rFonts w:ascii="Arial MT"/>
                <w:sz w:val="20"/>
              </w:rPr>
            </w:pPr>
            <w:r>
              <w:rPr>
                <w:rFonts w:ascii="Arial MT"/>
                <w:spacing w:val="-2"/>
                <w:sz w:val="20"/>
              </w:rPr>
              <w:t>Coefficient</w:t>
            </w:r>
          </w:p>
        </w:tc>
        <w:tc>
          <w:tcPr>
            <w:tcW w:w="1289" w:type="dxa"/>
            <w:tcBorders>
              <w:top w:val="double" w:sz="6" w:space="0" w:color="000000"/>
              <w:bottom w:val="double" w:sz="6" w:space="0" w:color="000000"/>
            </w:tcBorders>
          </w:tcPr>
          <w:p>
            <w:pPr>
              <w:pStyle w:val="TableParagraph"/>
              <w:spacing w:line="210" w:lineRule="exact" w:before="39"/>
              <w:ind w:left="101" w:right="23"/>
              <w:jc w:val="center"/>
              <w:rPr>
                <w:rFonts w:ascii="Arial MT"/>
                <w:sz w:val="20"/>
              </w:rPr>
            </w:pPr>
            <w:r>
              <w:rPr>
                <w:rFonts w:ascii="Arial MT"/>
                <w:sz w:val="20"/>
              </w:rPr>
              <w:t>Std.</w:t>
            </w:r>
            <w:r>
              <w:rPr>
                <w:rFonts w:ascii="Arial MT"/>
                <w:spacing w:val="-4"/>
                <w:sz w:val="20"/>
              </w:rPr>
              <w:t> </w:t>
            </w:r>
            <w:r>
              <w:rPr>
                <w:rFonts w:ascii="Arial MT"/>
                <w:spacing w:val="-2"/>
                <w:sz w:val="20"/>
              </w:rPr>
              <w:t>Error</w:t>
            </w:r>
          </w:p>
        </w:tc>
        <w:tc>
          <w:tcPr>
            <w:tcW w:w="1172" w:type="dxa"/>
            <w:tcBorders>
              <w:top w:val="double" w:sz="6" w:space="0" w:color="000000"/>
              <w:bottom w:val="double" w:sz="6" w:space="0" w:color="000000"/>
            </w:tcBorders>
          </w:tcPr>
          <w:p>
            <w:pPr>
              <w:pStyle w:val="TableParagraph"/>
              <w:spacing w:line="210" w:lineRule="exact" w:before="39"/>
              <w:ind w:left="156"/>
              <w:jc w:val="center"/>
              <w:rPr>
                <w:rFonts w:ascii="Arial MT"/>
                <w:sz w:val="20"/>
              </w:rPr>
            </w:pPr>
            <w:r>
              <w:rPr>
                <w:rFonts w:ascii="Arial MT"/>
                <w:spacing w:val="-2"/>
                <w:sz w:val="20"/>
              </w:rPr>
              <w:t>t-Statistic</w:t>
            </w:r>
          </w:p>
        </w:tc>
        <w:tc>
          <w:tcPr>
            <w:tcW w:w="965" w:type="dxa"/>
            <w:tcBorders>
              <w:top w:val="double" w:sz="6" w:space="0" w:color="000000"/>
              <w:bottom w:val="double" w:sz="6" w:space="0" w:color="000000"/>
            </w:tcBorders>
          </w:tcPr>
          <w:p>
            <w:pPr>
              <w:pStyle w:val="TableParagraph"/>
              <w:spacing w:line="210" w:lineRule="exact" w:before="39"/>
              <w:ind w:right="31"/>
              <w:jc w:val="right"/>
              <w:rPr>
                <w:rFonts w:ascii="Arial MT"/>
                <w:sz w:val="20"/>
              </w:rPr>
            </w:pPr>
            <w:r>
              <w:rPr>
                <w:rFonts w:ascii="Arial MT"/>
                <w:spacing w:val="-2"/>
                <w:sz w:val="20"/>
              </w:rPr>
              <w:t>Prob.</w:t>
            </w:r>
          </w:p>
        </w:tc>
      </w:tr>
      <w:tr>
        <w:trPr>
          <w:trHeight w:val="275" w:hRule="atLeast"/>
        </w:trPr>
        <w:tc>
          <w:tcPr>
            <w:tcW w:w="2070" w:type="dxa"/>
            <w:tcBorders>
              <w:top w:val="double" w:sz="6" w:space="0" w:color="000000"/>
            </w:tcBorders>
          </w:tcPr>
          <w:p>
            <w:pPr>
              <w:pStyle w:val="TableParagraph"/>
              <w:spacing w:line="214" w:lineRule="exact" w:before="42"/>
              <w:ind w:left="694"/>
              <w:rPr>
                <w:rFonts w:ascii="Arial MT"/>
                <w:sz w:val="20"/>
              </w:rPr>
            </w:pPr>
            <w:r>
              <w:rPr>
                <w:rFonts w:ascii="Arial MT"/>
                <w:spacing w:val="-2"/>
                <w:sz w:val="20"/>
              </w:rPr>
              <w:t>GDP(-</w:t>
            </w:r>
            <w:r>
              <w:rPr>
                <w:rFonts w:ascii="Arial MT"/>
                <w:spacing w:val="-5"/>
                <w:sz w:val="20"/>
              </w:rPr>
              <w:t>1)</w:t>
            </w:r>
          </w:p>
        </w:tc>
        <w:tc>
          <w:tcPr>
            <w:tcW w:w="1312" w:type="dxa"/>
            <w:tcBorders>
              <w:top w:val="double" w:sz="6" w:space="0" w:color="000000"/>
            </w:tcBorders>
          </w:tcPr>
          <w:p>
            <w:pPr>
              <w:pStyle w:val="TableParagraph"/>
              <w:spacing w:line="214" w:lineRule="exact" w:before="42"/>
              <w:ind w:left="195"/>
              <w:jc w:val="center"/>
              <w:rPr>
                <w:rFonts w:ascii="Arial MT"/>
                <w:sz w:val="20"/>
              </w:rPr>
            </w:pPr>
            <w:r>
              <w:rPr>
                <w:rFonts w:ascii="Arial MT"/>
                <w:spacing w:val="-2"/>
                <w:sz w:val="20"/>
              </w:rPr>
              <w:t>0.001263</w:t>
            </w:r>
          </w:p>
        </w:tc>
        <w:tc>
          <w:tcPr>
            <w:tcW w:w="1289" w:type="dxa"/>
            <w:tcBorders>
              <w:top w:val="double" w:sz="6" w:space="0" w:color="000000"/>
            </w:tcBorders>
          </w:tcPr>
          <w:p>
            <w:pPr>
              <w:pStyle w:val="TableParagraph"/>
              <w:spacing w:line="214" w:lineRule="exact" w:before="42"/>
              <w:ind w:left="101"/>
              <w:jc w:val="center"/>
              <w:rPr>
                <w:rFonts w:ascii="Arial MT"/>
                <w:sz w:val="20"/>
              </w:rPr>
            </w:pPr>
            <w:r>
              <w:rPr>
                <w:rFonts w:ascii="Arial MT"/>
                <w:spacing w:val="-2"/>
                <w:sz w:val="20"/>
              </w:rPr>
              <w:t>0.002219</w:t>
            </w:r>
          </w:p>
        </w:tc>
        <w:tc>
          <w:tcPr>
            <w:tcW w:w="1172" w:type="dxa"/>
            <w:tcBorders>
              <w:top w:val="double" w:sz="6" w:space="0" w:color="000000"/>
            </w:tcBorders>
          </w:tcPr>
          <w:p>
            <w:pPr>
              <w:pStyle w:val="TableParagraph"/>
              <w:spacing w:line="214" w:lineRule="exact" w:before="42"/>
              <w:ind w:left="156" w:right="10"/>
              <w:jc w:val="center"/>
              <w:rPr>
                <w:rFonts w:ascii="Arial MT"/>
                <w:sz w:val="20"/>
              </w:rPr>
            </w:pPr>
            <w:r>
              <w:rPr>
                <w:rFonts w:ascii="Arial MT"/>
                <w:spacing w:val="-2"/>
                <w:sz w:val="20"/>
              </w:rPr>
              <w:t>0.569088</w:t>
            </w:r>
          </w:p>
        </w:tc>
        <w:tc>
          <w:tcPr>
            <w:tcW w:w="965" w:type="dxa"/>
            <w:tcBorders>
              <w:top w:val="double" w:sz="6" w:space="0" w:color="000000"/>
            </w:tcBorders>
          </w:tcPr>
          <w:p>
            <w:pPr>
              <w:pStyle w:val="TableParagraph"/>
              <w:spacing w:line="214" w:lineRule="exact" w:before="42"/>
              <w:ind w:right="33"/>
              <w:jc w:val="right"/>
              <w:rPr>
                <w:rFonts w:ascii="Arial MT"/>
                <w:sz w:val="20"/>
              </w:rPr>
            </w:pPr>
            <w:r>
              <w:rPr>
                <w:rFonts w:ascii="Arial MT"/>
                <w:spacing w:val="-2"/>
                <w:sz w:val="20"/>
              </w:rPr>
              <w:t>0.5737</w:t>
            </w:r>
          </w:p>
        </w:tc>
      </w:tr>
      <w:tr>
        <w:trPr>
          <w:trHeight w:val="229" w:hRule="atLeast"/>
        </w:trPr>
        <w:tc>
          <w:tcPr>
            <w:tcW w:w="2070" w:type="dxa"/>
          </w:tcPr>
          <w:p>
            <w:pPr>
              <w:pStyle w:val="TableParagraph"/>
              <w:spacing w:line="209" w:lineRule="exact"/>
              <w:ind w:left="442"/>
              <w:rPr>
                <w:rFonts w:ascii="Arial MT"/>
                <w:sz w:val="20"/>
              </w:rPr>
            </w:pPr>
            <w:r>
              <w:rPr>
                <w:rFonts w:ascii="Arial MT"/>
                <w:spacing w:val="-2"/>
                <w:sz w:val="20"/>
              </w:rPr>
              <w:t>D(EXDEBT,2)</w:t>
            </w:r>
          </w:p>
        </w:tc>
        <w:tc>
          <w:tcPr>
            <w:tcW w:w="1312" w:type="dxa"/>
          </w:tcPr>
          <w:p>
            <w:pPr>
              <w:pStyle w:val="TableParagraph"/>
              <w:spacing w:line="209" w:lineRule="exact"/>
              <w:ind w:left="195"/>
              <w:jc w:val="center"/>
              <w:rPr>
                <w:rFonts w:ascii="Arial MT"/>
                <w:sz w:val="20"/>
              </w:rPr>
            </w:pPr>
            <w:r>
              <w:rPr>
                <w:rFonts w:ascii="Arial MT"/>
                <w:spacing w:val="-2"/>
                <w:sz w:val="20"/>
              </w:rPr>
              <w:t>0.033810</w:t>
            </w:r>
          </w:p>
        </w:tc>
        <w:tc>
          <w:tcPr>
            <w:tcW w:w="1289" w:type="dxa"/>
          </w:tcPr>
          <w:p>
            <w:pPr>
              <w:pStyle w:val="TableParagraph"/>
              <w:spacing w:line="209" w:lineRule="exact"/>
              <w:ind w:left="101"/>
              <w:jc w:val="center"/>
              <w:rPr>
                <w:rFonts w:ascii="Arial MT"/>
                <w:sz w:val="20"/>
              </w:rPr>
            </w:pPr>
            <w:r>
              <w:rPr>
                <w:rFonts w:ascii="Arial MT"/>
                <w:spacing w:val="-2"/>
                <w:sz w:val="20"/>
              </w:rPr>
              <w:t>0.009991</w:t>
            </w:r>
          </w:p>
        </w:tc>
        <w:tc>
          <w:tcPr>
            <w:tcW w:w="1172" w:type="dxa"/>
          </w:tcPr>
          <w:p>
            <w:pPr>
              <w:pStyle w:val="TableParagraph"/>
              <w:spacing w:line="209" w:lineRule="exact"/>
              <w:ind w:left="156" w:right="10"/>
              <w:jc w:val="center"/>
              <w:rPr>
                <w:rFonts w:ascii="Arial MT"/>
                <w:sz w:val="20"/>
              </w:rPr>
            </w:pPr>
            <w:r>
              <w:rPr>
                <w:rFonts w:ascii="Arial MT"/>
                <w:spacing w:val="-2"/>
                <w:sz w:val="20"/>
              </w:rPr>
              <w:t>3.384023</w:t>
            </w:r>
          </w:p>
        </w:tc>
        <w:tc>
          <w:tcPr>
            <w:tcW w:w="965" w:type="dxa"/>
          </w:tcPr>
          <w:p>
            <w:pPr>
              <w:pStyle w:val="TableParagraph"/>
              <w:spacing w:line="209" w:lineRule="exact"/>
              <w:ind w:right="33"/>
              <w:jc w:val="right"/>
              <w:rPr>
                <w:rFonts w:ascii="Arial MT"/>
                <w:sz w:val="20"/>
              </w:rPr>
            </w:pPr>
            <w:r>
              <w:rPr>
                <w:rFonts w:ascii="Arial MT"/>
                <w:spacing w:val="-2"/>
                <w:sz w:val="20"/>
              </w:rPr>
              <w:t>0.0021</w:t>
            </w:r>
          </w:p>
        </w:tc>
      </w:tr>
      <w:tr>
        <w:trPr>
          <w:trHeight w:val="229" w:hRule="atLeast"/>
        </w:trPr>
        <w:tc>
          <w:tcPr>
            <w:tcW w:w="2070" w:type="dxa"/>
          </w:tcPr>
          <w:p>
            <w:pPr>
              <w:pStyle w:val="TableParagraph"/>
              <w:spacing w:line="209" w:lineRule="exact"/>
              <w:ind w:left="288"/>
              <w:rPr>
                <w:rFonts w:ascii="Arial MT"/>
                <w:sz w:val="20"/>
              </w:rPr>
            </w:pPr>
            <w:r>
              <w:rPr>
                <w:rFonts w:ascii="Arial MT"/>
                <w:spacing w:val="-2"/>
                <w:sz w:val="20"/>
              </w:rPr>
              <w:t>D(EXDEBT(-1),2)</w:t>
            </w:r>
          </w:p>
        </w:tc>
        <w:tc>
          <w:tcPr>
            <w:tcW w:w="1312" w:type="dxa"/>
          </w:tcPr>
          <w:p>
            <w:pPr>
              <w:pStyle w:val="TableParagraph"/>
              <w:spacing w:line="209" w:lineRule="exact"/>
              <w:ind w:left="195"/>
              <w:jc w:val="center"/>
              <w:rPr>
                <w:rFonts w:ascii="Arial MT"/>
                <w:sz w:val="20"/>
              </w:rPr>
            </w:pPr>
            <w:r>
              <w:rPr>
                <w:rFonts w:ascii="Arial MT"/>
                <w:spacing w:val="-2"/>
                <w:sz w:val="20"/>
              </w:rPr>
              <w:t>0.006862</w:t>
            </w:r>
          </w:p>
        </w:tc>
        <w:tc>
          <w:tcPr>
            <w:tcW w:w="1289" w:type="dxa"/>
          </w:tcPr>
          <w:p>
            <w:pPr>
              <w:pStyle w:val="TableParagraph"/>
              <w:spacing w:line="209" w:lineRule="exact"/>
              <w:ind w:left="101"/>
              <w:jc w:val="center"/>
              <w:rPr>
                <w:rFonts w:ascii="Arial MT"/>
                <w:sz w:val="20"/>
              </w:rPr>
            </w:pPr>
            <w:r>
              <w:rPr>
                <w:rFonts w:ascii="Arial MT"/>
                <w:spacing w:val="-2"/>
                <w:sz w:val="20"/>
              </w:rPr>
              <w:t>0.009622</w:t>
            </w:r>
          </w:p>
        </w:tc>
        <w:tc>
          <w:tcPr>
            <w:tcW w:w="1172" w:type="dxa"/>
          </w:tcPr>
          <w:p>
            <w:pPr>
              <w:pStyle w:val="TableParagraph"/>
              <w:spacing w:line="209" w:lineRule="exact"/>
              <w:ind w:left="156" w:right="10"/>
              <w:jc w:val="center"/>
              <w:rPr>
                <w:rFonts w:ascii="Arial MT"/>
                <w:sz w:val="20"/>
              </w:rPr>
            </w:pPr>
            <w:r>
              <w:rPr>
                <w:rFonts w:ascii="Arial MT"/>
                <w:spacing w:val="-2"/>
                <w:sz w:val="20"/>
              </w:rPr>
              <w:t>0.713097</w:t>
            </w:r>
          </w:p>
        </w:tc>
        <w:tc>
          <w:tcPr>
            <w:tcW w:w="965" w:type="dxa"/>
          </w:tcPr>
          <w:p>
            <w:pPr>
              <w:pStyle w:val="TableParagraph"/>
              <w:spacing w:line="209" w:lineRule="exact"/>
              <w:ind w:right="33"/>
              <w:jc w:val="right"/>
              <w:rPr>
                <w:rFonts w:ascii="Arial MT"/>
                <w:sz w:val="20"/>
              </w:rPr>
            </w:pPr>
            <w:r>
              <w:rPr>
                <w:rFonts w:ascii="Arial MT"/>
                <w:spacing w:val="-2"/>
                <w:sz w:val="20"/>
              </w:rPr>
              <w:t>0.4815</w:t>
            </w:r>
          </w:p>
        </w:tc>
      </w:tr>
      <w:tr>
        <w:trPr>
          <w:trHeight w:val="230" w:hRule="atLeast"/>
        </w:trPr>
        <w:tc>
          <w:tcPr>
            <w:tcW w:w="2070" w:type="dxa"/>
          </w:tcPr>
          <w:p>
            <w:pPr>
              <w:pStyle w:val="TableParagraph"/>
              <w:spacing w:line="210" w:lineRule="exact"/>
              <w:ind w:left="682"/>
              <w:rPr>
                <w:rFonts w:ascii="Arial MT"/>
                <w:sz w:val="20"/>
              </w:rPr>
            </w:pPr>
            <w:r>
              <w:rPr>
                <w:rFonts w:ascii="Arial MT"/>
                <w:spacing w:val="-2"/>
                <w:sz w:val="20"/>
              </w:rPr>
              <w:t>D(DFI,2)</w:t>
            </w:r>
          </w:p>
        </w:tc>
        <w:tc>
          <w:tcPr>
            <w:tcW w:w="1312" w:type="dxa"/>
          </w:tcPr>
          <w:p>
            <w:pPr>
              <w:pStyle w:val="TableParagraph"/>
              <w:spacing w:line="210" w:lineRule="exact"/>
              <w:ind w:left="195"/>
              <w:jc w:val="center"/>
              <w:rPr>
                <w:rFonts w:ascii="Arial MT"/>
                <w:sz w:val="20"/>
              </w:rPr>
            </w:pPr>
            <w:r>
              <w:rPr>
                <w:rFonts w:ascii="Arial MT"/>
                <w:spacing w:val="-2"/>
                <w:sz w:val="20"/>
              </w:rPr>
              <w:t>0.121590</w:t>
            </w:r>
          </w:p>
        </w:tc>
        <w:tc>
          <w:tcPr>
            <w:tcW w:w="1289" w:type="dxa"/>
          </w:tcPr>
          <w:p>
            <w:pPr>
              <w:pStyle w:val="TableParagraph"/>
              <w:spacing w:line="210" w:lineRule="exact"/>
              <w:ind w:left="101"/>
              <w:jc w:val="center"/>
              <w:rPr>
                <w:rFonts w:ascii="Arial MT"/>
                <w:sz w:val="20"/>
              </w:rPr>
            </w:pPr>
            <w:r>
              <w:rPr>
                <w:rFonts w:ascii="Arial MT"/>
                <w:spacing w:val="-2"/>
                <w:sz w:val="20"/>
              </w:rPr>
              <w:t>0.068377</w:t>
            </w:r>
          </w:p>
        </w:tc>
        <w:tc>
          <w:tcPr>
            <w:tcW w:w="1172" w:type="dxa"/>
          </w:tcPr>
          <w:p>
            <w:pPr>
              <w:pStyle w:val="TableParagraph"/>
              <w:spacing w:line="210" w:lineRule="exact"/>
              <w:ind w:left="156" w:right="10"/>
              <w:jc w:val="center"/>
              <w:rPr>
                <w:rFonts w:ascii="Arial MT"/>
                <w:sz w:val="20"/>
              </w:rPr>
            </w:pPr>
            <w:r>
              <w:rPr>
                <w:rFonts w:ascii="Arial MT"/>
                <w:spacing w:val="-2"/>
                <w:sz w:val="20"/>
              </w:rPr>
              <w:t>1.778235</w:t>
            </w:r>
          </w:p>
        </w:tc>
        <w:tc>
          <w:tcPr>
            <w:tcW w:w="965" w:type="dxa"/>
          </w:tcPr>
          <w:p>
            <w:pPr>
              <w:pStyle w:val="TableParagraph"/>
              <w:spacing w:line="210" w:lineRule="exact"/>
              <w:ind w:right="33"/>
              <w:jc w:val="right"/>
              <w:rPr>
                <w:rFonts w:ascii="Arial MT"/>
                <w:sz w:val="20"/>
              </w:rPr>
            </w:pPr>
            <w:r>
              <w:rPr>
                <w:rFonts w:ascii="Arial MT"/>
                <w:spacing w:val="-2"/>
                <w:sz w:val="20"/>
              </w:rPr>
              <w:t>0.0859</w:t>
            </w:r>
          </w:p>
        </w:tc>
      </w:tr>
      <w:tr>
        <w:trPr>
          <w:trHeight w:val="230" w:hRule="atLeast"/>
        </w:trPr>
        <w:tc>
          <w:tcPr>
            <w:tcW w:w="2070" w:type="dxa"/>
          </w:tcPr>
          <w:p>
            <w:pPr>
              <w:pStyle w:val="TableParagraph"/>
              <w:spacing w:line="210" w:lineRule="exact"/>
              <w:ind w:left="526"/>
              <w:rPr>
                <w:rFonts w:ascii="Arial MT"/>
                <w:sz w:val="20"/>
              </w:rPr>
            </w:pPr>
            <w:r>
              <w:rPr>
                <w:rFonts w:ascii="Arial MT"/>
                <w:spacing w:val="-2"/>
                <w:sz w:val="20"/>
              </w:rPr>
              <w:t>D(DFI(-1),2)</w:t>
            </w:r>
          </w:p>
        </w:tc>
        <w:tc>
          <w:tcPr>
            <w:tcW w:w="1312" w:type="dxa"/>
          </w:tcPr>
          <w:p>
            <w:pPr>
              <w:pStyle w:val="TableParagraph"/>
              <w:spacing w:line="210" w:lineRule="exact"/>
              <w:ind w:left="195" w:right="64"/>
              <w:jc w:val="center"/>
              <w:rPr>
                <w:rFonts w:ascii="Arial MT"/>
                <w:sz w:val="20"/>
              </w:rPr>
            </w:pPr>
            <w:r>
              <w:rPr>
                <w:rFonts w:ascii="Arial MT"/>
                <w:spacing w:val="-2"/>
                <w:sz w:val="20"/>
              </w:rPr>
              <w:t>-0.049764</w:t>
            </w:r>
          </w:p>
        </w:tc>
        <w:tc>
          <w:tcPr>
            <w:tcW w:w="1289" w:type="dxa"/>
          </w:tcPr>
          <w:p>
            <w:pPr>
              <w:pStyle w:val="TableParagraph"/>
              <w:spacing w:line="210" w:lineRule="exact"/>
              <w:ind w:left="101"/>
              <w:jc w:val="center"/>
              <w:rPr>
                <w:rFonts w:ascii="Arial MT"/>
                <w:sz w:val="20"/>
              </w:rPr>
            </w:pPr>
            <w:r>
              <w:rPr>
                <w:rFonts w:ascii="Arial MT"/>
                <w:spacing w:val="-2"/>
                <w:sz w:val="20"/>
              </w:rPr>
              <w:t>0.072732</w:t>
            </w:r>
          </w:p>
        </w:tc>
        <w:tc>
          <w:tcPr>
            <w:tcW w:w="1172" w:type="dxa"/>
          </w:tcPr>
          <w:p>
            <w:pPr>
              <w:pStyle w:val="TableParagraph"/>
              <w:spacing w:line="210" w:lineRule="exact"/>
              <w:ind w:left="156" w:right="75"/>
              <w:jc w:val="center"/>
              <w:rPr>
                <w:rFonts w:ascii="Arial MT"/>
                <w:sz w:val="20"/>
              </w:rPr>
            </w:pPr>
            <w:r>
              <w:rPr>
                <w:rFonts w:ascii="Arial MT"/>
                <w:spacing w:val="-2"/>
                <w:sz w:val="20"/>
              </w:rPr>
              <w:t>-0.684206</w:t>
            </w:r>
          </w:p>
        </w:tc>
        <w:tc>
          <w:tcPr>
            <w:tcW w:w="965" w:type="dxa"/>
          </w:tcPr>
          <w:p>
            <w:pPr>
              <w:pStyle w:val="TableParagraph"/>
              <w:spacing w:line="210" w:lineRule="exact"/>
              <w:ind w:right="33"/>
              <w:jc w:val="right"/>
              <w:rPr>
                <w:rFonts w:ascii="Arial MT"/>
                <w:sz w:val="20"/>
              </w:rPr>
            </w:pPr>
            <w:r>
              <w:rPr>
                <w:rFonts w:ascii="Arial MT"/>
                <w:spacing w:val="-2"/>
                <w:sz w:val="20"/>
              </w:rPr>
              <w:t>0.4993</w:t>
            </w:r>
          </w:p>
        </w:tc>
      </w:tr>
      <w:tr>
        <w:trPr>
          <w:trHeight w:val="230" w:hRule="atLeast"/>
        </w:trPr>
        <w:tc>
          <w:tcPr>
            <w:tcW w:w="2070" w:type="dxa"/>
          </w:tcPr>
          <w:p>
            <w:pPr>
              <w:pStyle w:val="TableParagraph"/>
              <w:spacing w:line="210" w:lineRule="exact"/>
              <w:ind w:left="636"/>
              <w:rPr>
                <w:rFonts w:ascii="Arial MT"/>
                <w:sz w:val="20"/>
              </w:rPr>
            </w:pPr>
            <w:r>
              <w:rPr>
                <w:rFonts w:ascii="Arial MT"/>
                <w:spacing w:val="-2"/>
                <w:sz w:val="20"/>
              </w:rPr>
              <w:t>D(CAB,2)</w:t>
            </w:r>
          </w:p>
        </w:tc>
        <w:tc>
          <w:tcPr>
            <w:tcW w:w="1312" w:type="dxa"/>
          </w:tcPr>
          <w:p>
            <w:pPr>
              <w:pStyle w:val="TableParagraph"/>
              <w:spacing w:line="210" w:lineRule="exact"/>
              <w:ind w:left="195"/>
              <w:jc w:val="center"/>
              <w:rPr>
                <w:rFonts w:ascii="Arial MT"/>
                <w:sz w:val="20"/>
              </w:rPr>
            </w:pPr>
            <w:r>
              <w:rPr>
                <w:rFonts w:ascii="Arial MT"/>
                <w:spacing w:val="-2"/>
                <w:sz w:val="20"/>
              </w:rPr>
              <w:t>0.039083</w:t>
            </w:r>
          </w:p>
        </w:tc>
        <w:tc>
          <w:tcPr>
            <w:tcW w:w="1289" w:type="dxa"/>
          </w:tcPr>
          <w:p>
            <w:pPr>
              <w:pStyle w:val="TableParagraph"/>
              <w:spacing w:line="210" w:lineRule="exact"/>
              <w:ind w:left="101"/>
              <w:jc w:val="center"/>
              <w:rPr>
                <w:rFonts w:ascii="Arial MT"/>
                <w:sz w:val="20"/>
              </w:rPr>
            </w:pPr>
            <w:r>
              <w:rPr>
                <w:rFonts w:ascii="Arial MT"/>
                <w:spacing w:val="-2"/>
                <w:sz w:val="20"/>
              </w:rPr>
              <w:t>0.015798</w:t>
            </w:r>
          </w:p>
        </w:tc>
        <w:tc>
          <w:tcPr>
            <w:tcW w:w="1172" w:type="dxa"/>
          </w:tcPr>
          <w:p>
            <w:pPr>
              <w:pStyle w:val="TableParagraph"/>
              <w:spacing w:line="210" w:lineRule="exact"/>
              <w:ind w:left="156" w:right="10"/>
              <w:jc w:val="center"/>
              <w:rPr>
                <w:rFonts w:ascii="Arial MT"/>
                <w:sz w:val="20"/>
              </w:rPr>
            </w:pPr>
            <w:r>
              <w:rPr>
                <w:rFonts w:ascii="Arial MT"/>
                <w:spacing w:val="-2"/>
                <w:sz w:val="20"/>
              </w:rPr>
              <w:t>2.473946</w:t>
            </w:r>
          </w:p>
        </w:tc>
        <w:tc>
          <w:tcPr>
            <w:tcW w:w="965" w:type="dxa"/>
          </w:tcPr>
          <w:p>
            <w:pPr>
              <w:pStyle w:val="TableParagraph"/>
              <w:spacing w:line="210" w:lineRule="exact"/>
              <w:ind w:right="33"/>
              <w:jc w:val="right"/>
              <w:rPr>
                <w:rFonts w:ascii="Arial MT"/>
                <w:sz w:val="20"/>
              </w:rPr>
            </w:pPr>
            <w:r>
              <w:rPr>
                <w:rFonts w:ascii="Arial MT"/>
                <w:spacing w:val="-2"/>
                <w:sz w:val="20"/>
              </w:rPr>
              <w:t>0.0195</w:t>
            </w:r>
          </w:p>
        </w:tc>
      </w:tr>
      <w:tr>
        <w:trPr>
          <w:trHeight w:val="229" w:hRule="atLeast"/>
        </w:trPr>
        <w:tc>
          <w:tcPr>
            <w:tcW w:w="2070" w:type="dxa"/>
          </w:tcPr>
          <w:p>
            <w:pPr>
              <w:pStyle w:val="TableParagraph"/>
              <w:spacing w:line="209" w:lineRule="exact"/>
              <w:ind w:left="482"/>
              <w:rPr>
                <w:rFonts w:ascii="Arial MT"/>
                <w:sz w:val="20"/>
              </w:rPr>
            </w:pPr>
            <w:r>
              <w:rPr>
                <w:rFonts w:ascii="Arial MT"/>
                <w:spacing w:val="-2"/>
                <w:sz w:val="20"/>
              </w:rPr>
              <w:t>D(CAB(-1),2)</w:t>
            </w:r>
          </w:p>
        </w:tc>
        <w:tc>
          <w:tcPr>
            <w:tcW w:w="1312" w:type="dxa"/>
          </w:tcPr>
          <w:p>
            <w:pPr>
              <w:pStyle w:val="TableParagraph"/>
              <w:spacing w:line="209" w:lineRule="exact"/>
              <w:ind w:left="195" w:right="64"/>
              <w:jc w:val="center"/>
              <w:rPr>
                <w:rFonts w:ascii="Arial MT"/>
                <w:sz w:val="20"/>
              </w:rPr>
            </w:pPr>
            <w:r>
              <w:rPr>
                <w:rFonts w:ascii="Arial MT"/>
                <w:spacing w:val="-2"/>
                <w:sz w:val="20"/>
              </w:rPr>
              <w:t>-0.012220</w:t>
            </w:r>
          </w:p>
        </w:tc>
        <w:tc>
          <w:tcPr>
            <w:tcW w:w="1289" w:type="dxa"/>
          </w:tcPr>
          <w:p>
            <w:pPr>
              <w:pStyle w:val="TableParagraph"/>
              <w:spacing w:line="209" w:lineRule="exact"/>
              <w:ind w:left="101"/>
              <w:jc w:val="center"/>
              <w:rPr>
                <w:rFonts w:ascii="Arial MT"/>
                <w:sz w:val="20"/>
              </w:rPr>
            </w:pPr>
            <w:r>
              <w:rPr>
                <w:rFonts w:ascii="Arial MT"/>
                <w:spacing w:val="-2"/>
                <w:sz w:val="20"/>
              </w:rPr>
              <w:t>0.014623</w:t>
            </w:r>
          </w:p>
        </w:tc>
        <w:tc>
          <w:tcPr>
            <w:tcW w:w="1172" w:type="dxa"/>
          </w:tcPr>
          <w:p>
            <w:pPr>
              <w:pStyle w:val="TableParagraph"/>
              <w:spacing w:line="209" w:lineRule="exact"/>
              <w:ind w:left="156" w:right="75"/>
              <w:jc w:val="center"/>
              <w:rPr>
                <w:rFonts w:ascii="Arial MT"/>
                <w:sz w:val="20"/>
              </w:rPr>
            </w:pPr>
            <w:r>
              <w:rPr>
                <w:rFonts w:ascii="Arial MT"/>
                <w:spacing w:val="-2"/>
                <w:sz w:val="20"/>
              </w:rPr>
              <w:t>-0.835679</w:t>
            </w:r>
          </w:p>
        </w:tc>
        <w:tc>
          <w:tcPr>
            <w:tcW w:w="965" w:type="dxa"/>
          </w:tcPr>
          <w:p>
            <w:pPr>
              <w:pStyle w:val="TableParagraph"/>
              <w:spacing w:line="209" w:lineRule="exact"/>
              <w:ind w:right="33"/>
              <w:jc w:val="right"/>
              <w:rPr>
                <w:rFonts w:ascii="Arial MT"/>
                <w:sz w:val="20"/>
              </w:rPr>
            </w:pPr>
            <w:r>
              <w:rPr>
                <w:rFonts w:ascii="Arial MT"/>
                <w:spacing w:val="-2"/>
                <w:sz w:val="20"/>
              </w:rPr>
              <w:t>0.4102</w:t>
            </w:r>
          </w:p>
        </w:tc>
      </w:tr>
      <w:tr>
        <w:trPr>
          <w:trHeight w:val="229" w:hRule="atLeast"/>
        </w:trPr>
        <w:tc>
          <w:tcPr>
            <w:tcW w:w="2070" w:type="dxa"/>
          </w:tcPr>
          <w:p>
            <w:pPr>
              <w:pStyle w:val="TableParagraph"/>
              <w:spacing w:line="209" w:lineRule="exact"/>
              <w:ind w:left="636"/>
              <w:rPr>
                <w:rFonts w:ascii="Arial MT"/>
                <w:sz w:val="20"/>
              </w:rPr>
            </w:pPr>
            <w:r>
              <w:rPr>
                <w:rFonts w:ascii="Arial MT"/>
                <w:spacing w:val="-2"/>
                <w:sz w:val="20"/>
              </w:rPr>
              <w:t>D(RES,2)</w:t>
            </w:r>
          </w:p>
        </w:tc>
        <w:tc>
          <w:tcPr>
            <w:tcW w:w="1312" w:type="dxa"/>
          </w:tcPr>
          <w:p>
            <w:pPr>
              <w:pStyle w:val="TableParagraph"/>
              <w:spacing w:line="209" w:lineRule="exact"/>
              <w:ind w:left="195"/>
              <w:jc w:val="center"/>
              <w:rPr>
                <w:rFonts w:ascii="Arial MT"/>
                <w:sz w:val="20"/>
              </w:rPr>
            </w:pPr>
            <w:r>
              <w:rPr>
                <w:rFonts w:ascii="Arial MT"/>
                <w:spacing w:val="-2"/>
                <w:sz w:val="20"/>
              </w:rPr>
              <w:t>0.053470</w:t>
            </w:r>
          </w:p>
        </w:tc>
        <w:tc>
          <w:tcPr>
            <w:tcW w:w="1289" w:type="dxa"/>
          </w:tcPr>
          <w:p>
            <w:pPr>
              <w:pStyle w:val="TableParagraph"/>
              <w:spacing w:line="209" w:lineRule="exact"/>
              <w:ind w:left="101"/>
              <w:jc w:val="center"/>
              <w:rPr>
                <w:rFonts w:ascii="Arial MT"/>
                <w:sz w:val="20"/>
              </w:rPr>
            </w:pPr>
            <w:r>
              <w:rPr>
                <w:rFonts w:ascii="Arial MT"/>
                <w:spacing w:val="-2"/>
                <w:sz w:val="20"/>
              </w:rPr>
              <w:t>0.018522</w:t>
            </w:r>
          </w:p>
        </w:tc>
        <w:tc>
          <w:tcPr>
            <w:tcW w:w="1172" w:type="dxa"/>
          </w:tcPr>
          <w:p>
            <w:pPr>
              <w:pStyle w:val="TableParagraph"/>
              <w:spacing w:line="209" w:lineRule="exact"/>
              <w:ind w:left="156" w:right="10"/>
              <w:jc w:val="center"/>
              <w:rPr>
                <w:rFonts w:ascii="Arial MT"/>
                <w:sz w:val="20"/>
              </w:rPr>
            </w:pPr>
            <w:r>
              <w:rPr>
                <w:rFonts w:ascii="Arial MT"/>
                <w:spacing w:val="-2"/>
                <w:sz w:val="20"/>
              </w:rPr>
              <w:t>2.886919</w:t>
            </w:r>
          </w:p>
        </w:tc>
        <w:tc>
          <w:tcPr>
            <w:tcW w:w="965" w:type="dxa"/>
          </w:tcPr>
          <w:p>
            <w:pPr>
              <w:pStyle w:val="TableParagraph"/>
              <w:spacing w:line="209" w:lineRule="exact"/>
              <w:ind w:right="33"/>
              <w:jc w:val="right"/>
              <w:rPr>
                <w:rFonts w:ascii="Arial MT"/>
                <w:sz w:val="20"/>
              </w:rPr>
            </w:pPr>
            <w:r>
              <w:rPr>
                <w:rFonts w:ascii="Arial MT"/>
                <w:spacing w:val="-2"/>
                <w:sz w:val="20"/>
              </w:rPr>
              <w:t>0.0073</w:t>
            </w:r>
          </w:p>
        </w:tc>
      </w:tr>
      <w:tr>
        <w:trPr>
          <w:trHeight w:val="230" w:hRule="atLeast"/>
        </w:trPr>
        <w:tc>
          <w:tcPr>
            <w:tcW w:w="2070" w:type="dxa"/>
          </w:tcPr>
          <w:p>
            <w:pPr>
              <w:pStyle w:val="TableParagraph"/>
              <w:spacing w:line="210" w:lineRule="exact"/>
              <w:ind w:left="482"/>
              <w:rPr>
                <w:rFonts w:ascii="Arial MT"/>
                <w:sz w:val="20"/>
              </w:rPr>
            </w:pPr>
            <w:r>
              <w:rPr>
                <w:rFonts w:ascii="Arial MT"/>
                <w:spacing w:val="-2"/>
                <w:sz w:val="20"/>
              </w:rPr>
              <w:t>D(RES(-1),2)</w:t>
            </w:r>
          </w:p>
        </w:tc>
        <w:tc>
          <w:tcPr>
            <w:tcW w:w="1312" w:type="dxa"/>
          </w:tcPr>
          <w:p>
            <w:pPr>
              <w:pStyle w:val="TableParagraph"/>
              <w:spacing w:line="210" w:lineRule="exact"/>
              <w:ind w:left="195"/>
              <w:jc w:val="center"/>
              <w:rPr>
                <w:rFonts w:ascii="Arial MT"/>
                <w:sz w:val="20"/>
              </w:rPr>
            </w:pPr>
            <w:r>
              <w:rPr>
                <w:rFonts w:ascii="Arial MT"/>
                <w:spacing w:val="-2"/>
                <w:sz w:val="20"/>
              </w:rPr>
              <w:t>0.015641</w:t>
            </w:r>
          </w:p>
        </w:tc>
        <w:tc>
          <w:tcPr>
            <w:tcW w:w="1289" w:type="dxa"/>
          </w:tcPr>
          <w:p>
            <w:pPr>
              <w:pStyle w:val="TableParagraph"/>
              <w:spacing w:line="210" w:lineRule="exact"/>
              <w:ind w:left="101"/>
              <w:jc w:val="center"/>
              <w:rPr>
                <w:rFonts w:ascii="Arial MT"/>
                <w:sz w:val="20"/>
              </w:rPr>
            </w:pPr>
            <w:r>
              <w:rPr>
                <w:rFonts w:ascii="Arial MT"/>
                <w:spacing w:val="-2"/>
                <w:sz w:val="20"/>
              </w:rPr>
              <w:t>0.018576</w:t>
            </w:r>
          </w:p>
        </w:tc>
        <w:tc>
          <w:tcPr>
            <w:tcW w:w="1172" w:type="dxa"/>
          </w:tcPr>
          <w:p>
            <w:pPr>
              <w:pStyle w:val="TableParagraph"/>
              <w:spacing w:line="210" w:lineRule="exact"/>
              <w:ind w:left="156" w:right="10"/>
              <w:jc w:val="center"/>
              <w:rPr>
                <w:rFonts w:ascii="Arial MT"/>
                <w:sz w:val="20"/>
              </w:rPr>
            </w:pPr>
            <w:r>
              <w:rPr>
                <w:rFonts w:ascii="Arial MT"/>
                <w:spacing w:val="-2"/>
                <w:sz w:val="20"/>
              </w:rPr>
              <w:t>0.841989</w:t>
            </w:r>
          </w:p>
        </w:tc>
        <w:tc>
          <w:tcPr>
            <w:tcW w:w="965" w:type="dxa"/>
          </w:tcPr>
          <w:p>
            <w:pPr>
              <w:pStyle w:val="TableParagraph"/>
              <w:spacing w:line="210" w:lineRule="exact"/>
              <w:ind w:right="33"/>
              <w:jc w:val="right"/>
              <w:rPr>
                <w:rFonts w:ascii="Arial MT"/>
                <w:sz w:val="20"/>
              </w:rPr>
            </w:pPr>
            <w:r>
              <w:rPr>
                <w:rFonts w:ascii="Arial MT"/>
                <w:spacing w:val="-2"/>
                <w:sz w:val="20"/>
              </w:rPr>
              <w:t>0.4067</w:t>
            </w:r>
          </w:p>
        </w:tc>
      </w:tr>
      <w:tr>
        <w:trPr>
          <w:trHeight w:val="226" w:hRule="atLeast"/>
        </w:trPr>
        <w:tc>
          <w:tcPr>
            <w:tcW w:w="2070" w:type="dxa"/>
            <w:tcBorders>
              <w:bottom w:val="double" w:sz="6" w:space="0" w:color="000000"/>
            </w:tcBorders>
          </w:tcPr>
          <w:p>
            <w:pPr>
              <w:pStyle w:val="TableParagraph"/>
              <w:spacing w:line="207" w:lineRule="exact"/>
              <w:ind w:left="686"/>
              <w:rPr>
                <w:rFonts w:ascii="Arial MT"/>
                <w:sz w:val="20"/>
              </w:rPr>
            </w:pPr>
            <w:r>
              <w:rPr>
                <w:rFonts w:ascii="Arial MT"/>
                <w:spacing w:val="-2"/>
                <w:sz w:val="20"/>
              </w:rPr>
              <w:t>ECM(-</w:t>
            </w:r>
            <w:r>
              <w:rPr>
                <w:rFonts w:ascii="Arial MT"/>
                <w:spacing w:val="-5"/>
                <w:sz w:val="20"/>
              </w:rPr>
              <w:t>1)</w:t>
            </w:r>
          </w:p>
        </w:tc>
        <w:tc>
          <w:tcPr>
            <w:tcW w:w="1312" w:type="dxa"/>
            <w:tcBorders>
              <w:bottom w:val="double" w:sz="6" w:space="0" w:color="000000"/>
            </w:tcBorders>
          </w:tcPr>
          <w:p>
            <w:pPr>
              <w:pStyle w:val="TableParagraph"/>
              <w:spacing w:line="207" w:lineRule="exact"/>
              <w:ind w:left="195" w:right="64"/>
              <w:jc w:val="center"/>
              <w:rPr>
                <w:rFonts w:ascii="Arial MT"/>
                <w:sz w:val="20"/>
              </w:rPr>
            </w:pPr>
            <w:r>
              <w:rPr>
                <w:rFonts w:ascii="Arial MT"/>
                <w:spacing w:val="-2"/>
                <w:sz w:val="20"/>
              </w:rPr>
              <w:t>-0.356701</w:t>
            </w:r>
          </w:p>
        </w:tc>
        <w:tc>
          <w:tcPr>
            <w:tcW w:w="1289" w:type="dxa"/>
            <w:tcBorders>
              <w:bottom w:val="double" w:sz="6" w:space="0" w:color="000000"/>
            </w:tcBorders>
          </w:tcPr>
          <w:p>
            <w:pPr>
              <w:pStyle w:val="TableParagraph"/>
              <w:spacing w:line="207" w:lineRule="exact"/>
              <w:ind w:left="101"/>
              <w:jc w:val="center"/>
              <w:rPr>
                <w:rFonts w:ascii="Arial MT"/>
                <w:sz w:val="20"/>
              </w:rPr>
            </w:pPr>
            <w:r>
              <w:rPr>
                <w:rFonts w:ascii="Arial MT"/>
                <w:spacing w:val="-2"/>
                <w:sz w:val="20"/>
              </w:rPr>
              <w:t>0.119944</w:t>
            </w:r>
          </w:p>
        </w:tc>
        <w:tc>
          <w:tcPr>
            <w:tcW w:w="1172" w:type="dxa"/>
            <w:tcBorders>
              <w:bottom w:val="double" w:sz="6" w:space="0" w:color="000000"/>
            </w:tcBorders>
          </w:tcPr>
          <w:p>
            <w:pPr>
              <w:pStyle w:val="TableParagraph"/>
              <w:spacing w:line="207" w:lineRule="exact"/>
              <w:ind w:left="156" w:right="75"/>
              <w:jc w:val="center"/>
              <w:rPr>
                <w:rFonts w:ascii="Arial MT"/>
                <w:sz w:val="20"/>
              </w:rPr>
            </w:pPr>
            <w:r>
              <w:rPr>
                <w:rFonts w:ascii="Arial MT"/>
                <w:spacing w:val="-2"/>
                <w:sz w:val="20"/>
              </w:rPr>
              <w:t>-2.973910</w:t>
            </w:r>
          </w:p>
        </w:tc>
        <w:tc>
          <w:tcPr>
            <w:tcW w:w="965" w:type="dxa"/>
            <w:tcBorders>
              <w:bottom w:val="double" w:sz="6" w:space="0" w:color="000000"/>
            </w:tcBorders>
          </w:tcPr>
          <w:p>
            <w:pPr>
              <w:pStyle w:val="TableParagraph"/>
              <w:spacing w:line="207" w:lineRule="exact"/>
              <w:ind w:right="33"/>
              <w:jc w:val="right"/>
              <w:rPr>
                <w:rFonts w:ascii="Arial MT"/>
                <w:sz w:val="20"/>
              </w:rPr>
            </w:pPr>
            <w:r>
              <w:rPr>
                <w:rFonts w:ascii="Arial MT"/>
                <w:spacing w:val="-2"/>
                <w:sz w:val="20"/>
              </w:rPr>
              <w:t>0.0059</w:t>
            </w:r>
          </w:p>
        </w:tc>
      </w:tr>
      <w:tr>
        <w:trPr>
          <w:trHeight w:val="269" w:hRule="atLeast"/>
        </w:trPr>
        <w:tc>
          <w:tcPr>
            <w:tcW w:w="2070" w:type="dxa"/>
            <w:tcBorders>
              <w:top w:val="double" w:sz="6" w:space="0" w:color="000000"/>
            </w:tcBorders>
          </w:tcPr>
          <w:p>
            <w:pPr>
              <w:pStyle w:val="TableParagraph"/>
              <w:spacing w:line="210" w:lineRule="exact" w:before="39"/>
              <w:ind w:left="28"/>
              <w:rPr>
                <w:rFonts w:ascii="Arial MT"/>
                <w:sz w:val="20"/>
              </w:rPr>
            </w:pPr>
            <w:r>
              <w:rPr>
                <w:rFonts w:ascii="Arial MT"/>
                <w:spacing w:val="-2"/>
                <w:sz w:val="20"/>
              </w:rPr>
              <w:t>R-squared</w:t>
            </w:r>
          </w:p>
        </w:tc>
        <w:tc>
          <w:tcPr>
            <w:tcW w:w="1312" w:type="dxa"/>
            <w:tcBorders>
              <w:top w:val="double" w:sz="6" w:space="0" w:color="000000"/>
            </w:tcBorders>
          </w:tcPr>
          <w:p>
            <w:pPr>
              <w:pStyle w:val="TableParagraph"/>
              <w:spacing w:line="210" w:lineRule="exact" w:before="39"/>
              <w:ind w:left="195"/>
              <w:jc w:val="center"/>
              <w:rPr>
                <w:rFonts w:ascii="Arial MT"/>
                <w:sz w:val="20"/>
              </w:rPr>
            </w:pPr>
            <w:r>
              <w:rPr>
                <w:rFonts w:ascii="Arial MT"/>
                <w:spacing w:val="-2"/>
                <w:sz w:val="20"/>
              </w:rPr>
              <w:t>0.618897</w:t>
            </w:r>
          </w:p>
        </w:tc>
        <w:tc>
          <w:tcPr>
            <w:tcW w:w="2461" w:type="dxa"/>
            <w:gridSpan w:val="2"/>
            <w:tcBorders>
              <w:top w:val="double" w:sz="6" w:space="0" w:color="000000"/>
            </w:tcBorders>
          </w:tcPr>
          <w:p>
            <w:pPr>
              <w:pStyle w:val="TableParagraph"/>
              <w:spacing w:line="210" w:lineRule="exact" w:before="39"/>
              <w:ind w:left="142"/>
              <w:rPr>
                <w:rFonts w:ascii="Arial MT"/>
                <w:sz w:val="20"/>
              </w:rPr>
            </w:pPr>
            <w:r>
              <w:rPr>
                <w:rFonts w:ascii="Arial MT"/>
                <w:sz w:val="20"/>
              </w:rPr>
              <w:t>Mean</w:t>
            </w:r>
            <w:r>
              <w:rPr>
                <w:rFonts w:ascii="Arial MT"/>
                <w:spacing w:val="-10"/>
                <w:sz w:val="20"/>
              </w:rPr>
              <w:t> </w:t>
            </w:r>
            <w:r>
              <w:rPr>
                <w:rFonts w:ascii="Arial MT"/>
                <w:sz w:val="20"/>
              </w:rPr>
              <w:t>dependent</w:t>
            </w:r>
            <w:r>
              <w:rPr>
                <w:rFonts w:ascii="Arial MT"/>
                <w:spacing w:val="-9"/>
                <w:sz w:val="20"/>
              </w:rPr>
              <w:t> </w:t>
            </w:r>
            <w:r>
              <w:rPr>
                <w:rFonts w:ascii="Arial MT"/>
                <w:spacing w:val="-5"/>
                <w:sz w:val="20"/>
              </w:rPr>
              <w:t>var</w:t>
            </w:r>
          </w:p>
        </w:tc>
        <w:tc>
          <w:tcPr>
            <w:tcW w:w="965" w:type="dxa"/>
            <w:tcBorders>
              <w:top w:val="double" w:sz="6" w:space="0" w:color="000000"/>
            </w:tcBorders>
          </w:tcPr>
          <w:p>
            <w:pPr>
              <w:pStyle w:val="TableParagraph"/>
              <w:spacing w:line="210" w:lineRule="exact" w:before="39"/>
              <w:ind w:right="34"/>
              <w:jc w:val="right"/>
              <w:rPr>
                <w:rFonts w:ascii="Arial MT"/>
                <w:sz w:val="20"/>
              </w:rPr>
            </w:pPr>
            <w:r>
              <w:rPr>
                <w:rFonts w:ascii="Arial MT"/>
                <w:spacing w:val="-2"/>
                <w:sz w:val="20"/>
              </w:rPr>
              <w:t>0.000564</w:t>
            </w:r>
          </w:p>
        </w:tc>
      </w:tr>
    </w:tbl>
    <w:p>
      <w:pPr>
        <w:spacing w:after="0" w:line="210" w:lineRule="exact"/>
        <w:jc w:val="right"/>
        <w:rPr>
          <w:rFonts w:ascii="Arial MT"/>
          <w:sz w:val="20"/>
        </w:rPr>
        <w:sectPr>
          <w:type w:val="continuous"/>
          <w:pgSz w:w="11910" w:h="16840"/>
          <w:pgMar w:header="0" w:footer="979" w:top="1400" w:bottom="1240" w:left="280" w:right="0"/>
        </w:sectPr>
      </w:pPr>
    </w:p>
    <w:tbl>
      <w:tblPr>
        <w:tblW w:w="0" w:type="auto"/>
        <w:jc w:val="left"/>
        <w:tblInd w:w="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16"/>
        <w:gridCol w:w="1281"/>
        <w:gridCol w:w="2189"/>
        <w:gridCol w:w="1237"/>
      </w:tblGrid>
      <w:tr>
        <w:trPr>
          <w:trHeight w:val="226" w:hRule="atLeast"/>
        </w:trPr>
        <w:tc>
          <w:tcPr>
            <w:tcW w:w="2116" w:type="dxa"/>
          </w:tcPr>
          <w:p>
            <w:pPr>
              <w:pStyle w:val="TableParagraph"/>
              <w:spacing w:line="207" w:lineRule="exact"/>
              <w:ind w:left="43"/>
              <w:rPr>
                <w:rFonts w:ascii="Arial MT"/>
                <w:sz w:val="20"/>
              </w:rPr>
            </w:pPr>
            <w:r>
              <w:rPr>
                <w:rFonts w:ascii="Arial MT"/>
                <w:sz w:val="20"/>
              </w:rPr>
              <w:t>Adjusted</w:t>
            </w:r>
            <w:r>
              <w:rPr>
                <w:rFonts w:ascii="Arial MT"/>
                <w:spacing w:val="-13"/>
                <w:sz w:val="20"/>
              </w:rPr>
              <w:t> </w:t>
            </w:r>
            <w:r>
              <w:rPr>
                <w:rFonts w:ascii="Arial MT"/>
                <w:sz w:val="20"/>
              </w:rPr>
              <w:t>R-</w:t>
            </w:r>
            <w:r>
              <w:rPr>
                <w:rFonts w:ascii="Arial MT"/>
                <w:spacing w:val="-2"/>
                <w:sz w:val="20"/>
              </w:rPr>
              <w:t>squared</w:t>
            </w:r>
          </w:p>
        </w:tc>
        <w:tc>
          <w:tcPr>
            <w:tcW w:w="1281" w:type="dxa"/>
          </w:tcPr>
          <w:p>
            <w:pPr>
              <w:pStyle w:val="TableParagraph"/>
              <w:spacing w:line="207" w:lineRule="exact"/>
              <w:ind w:right="140"/>
              <w:jc w:val="right"/>
              <w:rPr>
                <w:rFonts w:ascii="Arial MT"/>
                <w:sz w:val="20"/>
              </w:rPr>
            </w:pPr>
            <w:r>
              <w:rPr>
                <w:rFonts w:ascii="Arial MT"/>
                <w:spacing w:val="-2"/>
                <w:sz w:val="20"/>
              </w:rPr>
              <w:t>0.500624</w:t>
            </w:r>
          </w:p>
        </w:tc>
        <w:tc>
          <w:tcPr>
            <w:tcW w:w="2189" w:type="dxa"/>
          </w:tcPr>
          <w:p>
            <w:pPr>
              <w:pStyle w:val="TableParagraph"/>
              <w:spacing w:line="207" w:lineRule="exact"/>
              <w:ind w:left="141"/>
              <w:rPr>
                <w:rFonts w:ascii="Arial MT"/>
                <w:sz w:val="20"/>
              </w:rPr>
            </w:pPr>
            <w:r>
              <w:rPr>
                <w:rFonts w:ascii="Arial MT"/>
                <w:sz w:val="20"/>
              </w:rPr>
              <w:t>S.D.</w:t>
            </w:r>
            <w:r>
              <w:rPr>
                <w:rFonts w:ascii="Arial MT"/>
                <w:spacing w:val="-8"/>
                <w:sz w:val="20"/>
              </w:rPr>
              <w:t> </w:t>
            </w:r>
            <w:r>
              <w:rPr>
                <w:rFonts w:ascii="Arial MT"/>
                <w:sz w:val="20"/>
              </w:rPr>
              <w:t>dependent</w:t>
            </w:r>
            <w:r>
              <w:rPr>
                <w:rFonts w:ascii="Arial MT"/>
                <w:spacing w:val="-6"/>
                <w:sz w:val="20"/>
              </w:rPr>
              <w:t> </w:t>
            </w:r>
            <w:r>
              <w:rPr>
                <w:rFonts w:ascii="Arial MT"/>
                <w:spacing w:val="-5"/>
                <w:sz w:val="20"/>
              </w:rPr>
              <w:t>var</w:t>
            </w:r>
          </w:p>
        </w:tc>
        <w:tc>
          <w:tcPr>
            <w:tcW w:w="1237" w:type="dxa"/>
          </w:tcPr>
          <w:p>
            <w:pPr>
              <w:pStyle w:val="TableParagraph"/>
              <w:spacing w:line="207" w:lineRule="exact"/>
              <w:ind w:right="34"/>
              <w:jc w:val="right"/>
              <w:rPr>
                <w:rFonts w:ascii="Arial MT"/>
                <w:sz w:val="20"/>
              </w:rPr>
            </w:pPr>
            <w:r>
              <w:rPr>
                <w:rFonts w:ascii="Arial MT"/>
                <w:spacing w:val="-2"/>
                <w:sz w:val="20"/>
              </w:rPr>
              <w:t>0.252172</w:t>
            </w:r>
          </w:p>
        </w:tc>
      </w:tr>
      <w:tr>
        <w:trPr>
          <w:trHeight w:val="229" w:hRule="atLeast"/>
        </w:trPr>
        <w:tc>
          <w:tcPr>
            <w:tcW w:w="2116" w:type="dxa"/>
          </w:tcPr>
          <w:p>
            <w:pPr>
              <w:pStyle w:val="TableParagraph"/>
              <w:spacing w:line="209" w:lineRule="exact"/>
              <w:ind w:left="43"/>
              <w:rPr>
                <w:rFonts w:ascii="Arial MT"/>
                <w:sz w:val="20"/>
              </w:rPr>
            </w:pPr>
            <w:r>
              <w:rPr>
                <w:rFonts w:ascii="Arial MT"/>
                <w:sz w:val="20"/>
              </w:rPr>
              <w:t>S.E.</w:t>
            </w:r>
            <w:r>
              <w:rPr>
                <w:rFonts w:ascii="Arial MT"/>
                <w:spacing w:val="-3"/>
                <w:sz w:val="20"/>
              </w:rPr>
              <w:t> </w:t>
            </w:r>
            <w:r>
              <w:rPr>
                <w:rFonts w:ascii="Arial MT"/>
                <w:sz w:val="20"/>
              </w:rPr>
              <w:t>of</w:t>
            </w:r>
            <w:r>
              <w:rPr>
                <w:rFonts w:ascii="Arial MT"/>
                <w:spacing w:val="-3"/>
                <w:sz w:val="20"/>
              </w:rPr>
              <w:t> </w:t>
            </w:r>
            <w:r>
              <w:rPr>
                <w:rFonts w:ascii="Arial MT"/>
                <w:spacing w:val="-2"/>
                <w:sz w:val="20"/>
              </w:rPr>
              <w:t>regression</w:t>
            </w:r>
          </w:p>
        </w:tc>
        <w:tc>
          <w:tcPr>
            <w:tcW w:w="1281" w:type="dxa"/>
          </w:tcPr>
          <w:p>
            <w:pPr>
              <w:pStyle w:val="TableParagraph"/>
              <w:spacing w:line="209" w:lineRule="exact"/>
              <w:ind w:right="140"/>
              <w:jc w:val="right"/>
              <w:rPr>
                <w:rFonts w:ascii="Arial MT"/>
                <w:sz w:val="20"/>
              </w:rPr>
            </w:pPr>
            <w:r>
              <w:rPr>
                <w:rFonts w:ascii="Arial MT"/>
                <w:spacing w:val="-2"/>
                <w:sz w:val="20"/>
              </w:rPr>
              <w:t>0.178202</w:t>
            </w:r>
          </w:p>
        </w:tc>
        <w:tc>
          <w:tcPr>
            <w:tcW w:w="2189" w:type="dxa"/>
          </w:tcPr>
          <w:p>
            <w:pPr>
              <w:pStyle w:val="TableParagraph"/>
              <w:spacing w:line="209" w:lineRule="exact"/>
              <w:ind w:left="141"/>
              <w:rPr>
                <w:rFonts w:ascii="Arial MT"/>
                <w:sz w:val="20"/>
              </w:rPr>
            </w:pPr>
            <w:r>
              <w:rPr>
                <w:rFonts w:ascii="Arial MT"/>
                <w:sz w:val="20"/>
              </w:rPr>
              <w:t>Akaike</w:t>
            </w:r>
            <w:r>
              <w:rPr>
                <w:rFonts w:ascii="Arial MT"/>
                <w:spacing w:val="-6"/>
                <w:sz w:val="20"/>
              </w:rPr>
              <w:t> </w:t>
            </w:r>
            <w:r>
              <w:rPr>
                <w:rFonts w:ascii="Arial MT"/>
                <w:sz w:val="20"/>
              </w:rPr>
              <w:t>info</w:t>
            </w:r>
            <w:r>
              <w:rPr>
                <w:rFonts w:ascii="Arial MT"/>
                <w:spacing w:val="-5"/>
                <w:sz w:val="20"/>
              </w:rPr>
              <w:t> </w:t>
            </w:r>
            <w:r>
              <w:rPr>
                <w:rFonts w:ascii="Arial MT"/>
                <w:spacing w:val="-2"/>
                <w:sz w:val="20"/>
              </w:rPr>
              <w:t>criterion</w:t>
            </w:r>
          </w:p>
        </w:tc>
        <w:tc>
          <w:tcPr>
            <w:tcW w:w="1237" w:type="dxa"/>
          </w:tcPr>
          <w:p>
            <w:pPr>
              <w:pStyle w:val="TableParagraph"/>
              <w:spacing w:line="209" w:lineRule="exact"/>
              <w:ind w:right="34"/>
              <w:jc w:val="right"/>
              <w:rPr>
                <w:rFonts w:ascii="Arial MT"/>
                <w:sz w:val="20"/>
              </w:rPr>
            </w:pPr>
            <w:r>
              <w:rPr>
                <w:rFonts w:ascii="Arial MT"/>
                <w:spacing w:val="-2"/>
                <w:sz w:val="20"/>
              </w:rPr>
              <w:t>-0.395248</w:t>
            </w:r>
          </w:p>
        </w:tc>
      </w:tr>
      <w:tr>
        <w:trPr>
          <w:trHeight w:val="233" w:hRule="atLeast"/>
        </w:trPr>
        <w:tc>
          <w:tcPr>
            <w:tcW w:w="2116" w:type="dxa"/>
          </w:tcPr>
          <w:p>
            <w:pPr>
              <w:pStyle w:val="TableParagraph"/>
              <w:spacing w:line="214" w:lineRule="exact"/>
              <w:ind w:left="43"/>
              <w:rPr>
                <w:rFonts w:ascii="Arial MT"/>
                <w:sz w:val="20"/>
              </w:rPr>
            </w:pPr>
            <w:r>
              <w:rPr>
                <w:rFonts w:ascii="Arial MT"/>
                <w:sz w:val="20"/>
              </w:rPr>
              <w:t>Sum</w:t>
            </w:r>
            <w:r>
              <w:rPr>
                <w:rFonts w:ascii="Arial MT"/>
                <w:spacing w:val="-6"/>
                <w:sz w:val="20"/>
              </w:rPr>
              <w:t> </w:t>
            </w:r>
            <w:r>
              <w:rPr>
                <w:rFonts w:ascii="Arial MT"/>
                <w:sz w:val="20"/>
              </w:rPr>
              <w:t>squared</w:t>
            </w:r>
            <w:r>
              <w:rPr>
                <w:rFonts w:ascii="Arial MT"/>
                <w:spacing w:val="-10"/>
                <w:sz w:val="20"/>
              </w:rPr>
              <w:t> </w:t>
            </w:r>
            <w:r>
              <w:rPr>
                <w:rFonts w:ascii="Arial MT"/>
                <w:spacing w:val="-4"/>
                <w:sz w:val="20"/>
              </w:rPr>
              <w:t>resid</w:t>
            </w:r>
          </w:p>
        </w:tc>
        <w:tc>
          <w:tcPr>
            <w:tcW w:w="1281" w:type="dxa"/>
          </w:tcPr>
          <w:p>
            <w:pPr>
              <w:pStyle w:val="TableParagraph"/>
              <w:spacing w:line="214" w:lineRule="exact"/>
              <w:ind w:right="140"/>
              <w:jc w:val="right"/>
              <w:rPr>
                <w:rFonts w:ascii="Arial MT"/>
                <w:sz w:val="20"/>
              </w:rPr>
            </w:pPr>
            <w:r>
              <w:rPr>
                <w:rFonts w:ascii="Arial MT"/>
                <w:spacing w:val="-2"/>
                <w:sz w:val="20"/>
              </w:rPr>
              <w:t>0.920918</w:t>
            </w:r>
          </w:p>
        </w:tc>
        <w:tc>
          <w:tcPr>
            <w:tcW w:w="2189" w:type="dxa"/>
          </w:tcPr>
          <w:p>
            <w:pPr>
              <w:pStyle w:val="TableParagraph"/>
              <w:spacing w:line="214" w:lineRule="exact"/>
              <w:ind w:left="141"/>
              <w:rPr>
                <w:rFonts w:ascii="Arial MT"/>
                <w:sz w:val="20"/>
              </w:rPr>
            </w:pPr>
            <w:r>
              <w:rPr>
                <w:rFonts w:ascii="Arial MT"/>
                <w:sz w:val="20"/>
              </w:rPr>
              <w:t>Schwarz</w:t>
            </w:r>
            <w:r>
              <w:rPr>
                <w:rFonts w:ascii="Arial MT"/>
                <w:spacing w:val="-9"/>
                <w:sz w:val="20"/>
              </w:rPr>
              <w:t> </w:t>
            </w:r>
            <w:r>
              <w:rPr>
                <w:rFonts w:ascii="Arial MT"/>
                <w:spacing w:val="-2"/>
                <w:sz w:val="20"/>
              </w:rPr>
              <w:t>criterion</w:t>
            </w:r>
          </w:p>
        </w:tc>
        <w:tc>
          <w:tcPr>
            <w:tcW w:w="1237" w:type="dxa"/>
          </w:tcPr>
          <w:p>
            <w:pPr>
              <w:pStyle w:val="TableParagraph"/>
              <w:spacing w:line="214" w:lineRule="exact"/>
              <w:ind w:right="34"/>
              <w:jc w:val="right"/>
              <w:rPr>
                <w:rFonts w:ascii="Arial MT"/>
                <w:sz w:val="20"/>
              </w:rPr>
            </w:pPr>
            <w:r>
              <w:rPr>
                <w:rFonts w:ascii="Arial MT"/>
                <w:spacing w:val="-2"/>
                <w:sz w:val="20"/>
              </w:rPr>
              <w:t>0.031306</w:t>
            </w:r>
          </w:p>
        </w:tc>
      </w:tr>
      <w:tr>
        <w:trPr>
          <w:trHeight w:val="243" w:hRule="atLeast"/>
        </w:trPr>
        <w:tc>
          <w:tcPr>
            <w:tcW w:w="2116" w:type="dxa"/>
            <w:tcBorders>
              <w:bottom w:val="double" w:sz="6" w:space="0" w:color="000000"/>
            </w:tcBorders>
          </w:tcPr>
          <w:p>
            <w:pPr>
              <w:pStyle w:val="TableParagraph"/>
              <w:spacing w:line="222" w:lineRule="exact" w:before="1"/>
              <w:ind w:left="43"/>
              <w:rPr>
                <w:rFonts w:ascii="Arial MT"/>
                <w:sz w:val="20"/>
              </w:rPr>
            </w:pPr>
            <w:r>
              <w:rPr>
                <w:rFonts w:ascii="Arial MT"/>
                <w:sz w:val="20"/>
              </w:rPr>
              <w:t>Log</w:t>
            </w:r>
            <w:r>
              <w:rPr>
                <w:rFonts w:ascii="Arial MT"/>
                <w:spacing w:val="-4"/>
                <w:sz w:val="20"/>
              </w:rPr>
              <w:t> </w:t>
            </w:r>
            <w:r>
              <w:rPr>
                <w:rFonts w:ascii="Arial MT"/>
                <w:spacing w:val="-2"/>
                <w:sz w:val="20"/>
              </w:rPr>
              <w:t>likelihood</w:t>
            </w:r>
          </w:p>
        </w:tc>
        <w:tc>
          <w:tcPr>
            <w:tcW w:w="1281" w:type="dxa"/>
            <w:tcBorders>
              <w:bottom w:val="double" w:sz="6" w:space="0" w:color="000000"/>
            </w:tcBorders>
          </w:tcPr>
          <w:p>
            <w:pPr>
              <w:pStyle w:val="TableParagraph"/>
              <w:spacing w:line="222" w:lineRule="exact" w:before="1"/>
              <w:ind w:right="140"/>
              <w:jc w:val="right"/>
              <w:rPr>
                <w:rFonts w:ascii="Arial MT"/>
                <w:sz w:val="20"/>
              </w:rPr>
            </w:pPr>
            <w:r>
              <w:rPr>
                <w:rFonts w:ascii="Arial MT"/>
                <w:spacing w:val="-2"/>
                <w:sz w:val="20"/>
              </w:rPr>
              <w:t>17.70734</w:t>
            </w:r>
          </w:p>
        </w:tc>
        <w:tc>
          <w:tcPr>
            <w:tcW w:w="2189" w:type="dxa"/>
            <w:tcBorders>
              <w:bottom w:val="double" w:sz="6" w:space="0" w:color="000000"/>
            </w:tcBorders>
          </w:tcPr>
          <w:p>
            <w:pPr>
              <w:pStyle w:val="TableParagraph"/>
              <w:spacing w:line="222" w:lineRule="exact" w:before="1"/>
              <w:ind w:left="141"/>
              <w:rPr>
                <w:rFonts w:ascii="Arial MT"/>
                <w:sz w:val="20"/>
              </w:rPr>
            </w:pPr>
            <w:r>
              <w:rPr>
                <w:rFonts w:ascii="Arial MT"/>
                <w:sz w:val="20"/>
              </w:rPr>
              <w:t>Durbin-Watson</w:t>
            </w:r>
            <w:r>
              <w:rPr>
                <w:rFonts w:ascii="Arial MT"/>
                <w:spacing w:val="-12"/>
                <w:sz w:val="20"/>
              </w:rPr>
              <w:t> </w:t>
            </w:r>
            <w:r>
              <w:rPr>
                <w:rFonts w:ascii="Arial MT"/>
                <w:spacing w:val="-4"/>
                <w:sz w:val="20"/>
              </w:rPr>
              <w:t>stat</w:t>
            </w:r>
          </w:p>
        </w:tc>
        <w:tc>
          <w:tcPr>
            <w:tcW w:w="1237" w:type="dxa"/>
            <w:tcBorders>
              <w:bottom w:val="double" w:sz="6" w:space="0" w:color="000000"/>
            </w:tcBorders>
          </w:tcPr>
          <w:p>
            <w:pPr>
              <w:pStyle w:val="TableParagraph"/>
              <w:spacing w:line="222" w:lineRule="exact" w:before="1"/>
              <w:ind w:right="34"/>
              <w:jc w:val="right"/>
              <w:rPr>
                <w:rFonts w:ascii="Arial MT"/>
                <w:sz w:val="20"/>
              </w:rPr>
            </w:pPr>
            <w:r>
              <w:rPr>
                <w:rFonts w:ascii="Arial MT"/>
                <w:spacing w:val="-2"/>
                <w:sz w:val="20"/>
              </w:rPr>
              <w:t>2.146693</w:t>
            </w:r>
          </w:p>
        </w:tc>
      </w:tr>
    </w:tbl>
    <w:p>
      <w:pPr>
        <w:pStyle w:val="BodyText"/>
        <w:rPr>
          <w:sz w:val="20"/>
        </w:rPr>
      </w:pPr>
    </w:p>
    <w:p>
      <w:pPr>
        <w:pStyle w:val="BodyText"/>
        <w:spacing w:before="28"/>
        <w:rPr>
          <w:sz w:val="20"/>
        </w:rPr>
      </w:pPr>
    </w:p>
    <w:p>
      <w:pPr>
        <w:spacing w:before="1"/>
        <w:ind w:left="2422" w:right="0" w:firstLine="0"/>
        <w:jc w:val="left"/>
        <w:rPr>
          <w:sz w:val="20"/>
        </w:rPr>
      </w:pPr>
      <w:r>
        <w:rPr>
          <w:sz w:val="20"/>
        </w:rPr>
        <w:t>PASSIMONIOUS</w:t>
      </w:r>
      <w:r>
        <w:rPr>
          <w:spacing w:val="-6"/>
          <w:sz w:val="20"/>
        </w:rPr>
        <w:t> </w:t>
      </w:r>
      <w:r>
        <w:rPr>
          <w:sz w:val="20"/>
        </w:rPr>
        <w:t>ECM</w:t>
      </w:r>
      <w:r>
        <w:rPr>
          <w:spacing w:val="-5"/>
          <w:sz w:val="20"/>
        </w:rPr>
        <w:t> </w:t>
      </w:r>
      <w:r>
        <w:rPr>
          <w:sz w:val="20"/>
        </w:rPr>
        <w:t>(</w:t>
      </w:r>
      <w:r>
        <w:rPr>
          <w:spacing w:val="-6"/>
          <w:sz w:val="20"/>
        </w:rPr>
        <w:t> </w:t>
      </w:r>
      <w:r>
        <w:rPr>
          <w:sz w:val="20"/>
        </w:rPr>
        <w:t>ECM2)</w:t>
      </w:r>
      <w:r>
        <w:rPr>
          <w:spacing w:val="-6"/>
          <w:sz w:val="20"/>
        </w:rPr>
        <w:t> </w:t>
      </w:r>
      <w:r>
        <w:rPr>
          <w:sz w:val="20"/>
        </w:rPr>
        <w:t>FOR</w:t>
      </w:r>
      <w:r>
        <w:rPr>
          <w:spacing w:val="-5"/>
          <w:sz w:val="20"/>
        </w:rPr>
        <w:t> </w:t>
      </w:r>
      <w:r>
        <w:rPr>
          <w:sz w:val="20"/>
        </w:rPr>
        <w:t>MODEL</w:t>
      </w:r>
      <w:r>
        <w:rPr>
          <w:spacing w:val="-7"/>
          <w:sz w:val="20"/>
        </w:rPr>
        <w:t> </w:t>
      </w:r>
      <w:r>
        <w:rPr>
          <w:spacing w:val="-5"/>
          <w:sz w:val="20"/>
        </w:rPr>
        <w:t>2A</w:t>
      </w:r>
    </w:p>
    <w:p>
      <w:pPr>
        <w:pStyle w:val="BodyText"/>
        <w:spacing w:before="11"/>
        <w:rPr>
          <w:sz w:val="19"/>
        </w:rPr>
      </w:pPr>
    </w:p>
    <w:tbl>
      <w:tblPr>
        <w:tblW w:w="0" w:type="auto"/>
        <w:jc w:val="left"/>
        <w:tblInd w:w="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61"/>
        <w:gridCol w:w="1336"/>
        <w:gridCol w:w="1289"/>
        <w:gridCol w:w="1139"/>
        <w:gridCol w:w="997"/>
      </w:tblGrid>
      <w:tr>
        <w:trPr>
          <w:trHeight w:val="226" w:hRule="atLeast"/>
        </w:trPr>
        <w:tc>
          <w:tcPr>
            <w:tcW w:w="6822" w:type="dxa"/>
            <w:gridSpan w:val="5"/>
          </w:tcPr>
          <w:p>
            <w:pPr>
              <w:pStyle w:val="TableParagraph"/>
              <w:spacing w:line="206" w:lineRule="exact"/>
              <w:ind w:left="144"/>
              <w:rPr>
                <w:rFonts w:ascii="Arial MT"/>
                <w:sz w:val="20"/>
              </w:rPr>
            </w:pPr>
            <w:r>
              <w:rPr>
                <w:rFonts w:ascii="Arial MT"/>
                <w:spacing w:val="-2"/>
                <w:sz w:val="20"/>
              </w:rPr>
              <w:t>Dependent</w:t>
            </w:r>
            <w:r>
              <w:rPr>
                <w:rFonts w:ascii="Arial MT"/>
                <w:spacing w:val="12"/>
                <w:sz w:val="20"/>
              </w:rPr>
              <w:t> </w:t>
            </w:r>
            <w:r>
              <w:rPr>
                <w:rFonts w:ascii="Arial MT"/>
                <w:spacing w:val="-2"/>
                <w:sz w:val="20"/>
              </w:rPr>
              <w:t>Variable:</w:t>
            </w:r>
            <w:r>
              <w:rPr>
                <w:rFonts w:ascii="Arial MT"/>
                <w:spacing w:val="10"/>
                <w:sz w:val="20"/>
              </w:rPr>
              <w:t> </w:t>
            </w:r>
            <w:r>
              <w:rPr>
                <w:rFonts w:ascii="Arial MT"/>
                <w:spacing w:val="-2"/>
                <w:sz w:val="20"/>
              </w:rPr>
              <w:t>D(EXDEBT(-1),2)</w:t>
            </w:r>
          </w:p>
        </w:tc>
      </w:tr>
      <w:tr>
        <w:trPr>
          <w:trHeight w:val="229" w:hRule="atLeast"/>
        </w:trPr>
        <w:tc>
          <w:tcPr>
            <w:tcW w:w="6822" w:type="dxa"/>
            <w:gridSpan w:val="5"/>
          </w:tcPr>
          <w:p>
            <w:pPr>
              <w:pStyle w:val="TableParagraph"/>
              <w:spacing w:line="209" w:lineRule="exact"/>
              <w:ind w:left="43"/>
              <w:rPr>
                <w:rFonts w:ascii="Arial MT"/>
                <w:sz w:val="20"/>
              </w:rPr>
            </w:pPr>
            <w:r>
              <w:rPr>
                <w:rFonts w:ascii="Arial MT"/>
                <w:sz w:val="20"/>
              </w:rPr>
              <w:t>Method:</w:t>
            </w:r>
            <w:r>
              <w:rPr>
                <w:rFonts w:ascii="Arial MT"/>
                <w:spacing w:val="-9"/>
                <w:sz w:val="20"/>
              </w:rPr>
              <w:t> </w:t>
            </w:r>
            <w:r>
              <w:rPr>
                <w:rFonts w:ascii="Arial MT"/>
                <w:sz w:val="20"/>
              </w:rPr>
              <w:t>Least</w:t>
            </w:r>
            <w:r>
              <w:rPr>
                <w:rFonts w:ascii="Arial MT"/>
                <w:spacing w:val="-8"/>
                <w:sz w:val="20"/>
              </w:rPr>
              <w:t> </w:t>
            </w:r>
            <w:r>
              <w:rPr>
                <w:rFonts w:ascii="Arial MT"/>
                <w:spacing w:val="-2"/>
                <w:sz w:val="20"/>
              </w:rPr>
              <w:t>Squares</w:t>
            </w:r>
          </w:p>
        </w:tc>
      </w:tr>
      <w:tr>
        <w:trPr>
          <w:trHeight w:val="234" w:hRule="atLeast"/>
        </w:trPr>
        <w:tc>
          <w:tcPr>
            <w:tcW w:w="6822" w:type="dxa"/>
            <w:gridSpan w:val="5"/>
          </w:tcPr>
          <w:p>
            <w:pPr>
              <w:pStyle w:val="TableParagraph"/>
              <w:spacing w:line="214" w:lineRule="exact"/>
              <w:ind w:left="43"/>
              <w:rPr>
                <w:rFonts w:ascii="Arial MT"/>
                <w:sz w:val="20"/>
              </w:rPr>
            </w:pPr>
            <w:r>
              <w:rPr>
                <w:rFonts w:ascii="Arial MT"/>
                <w:sz w:val="20"/>
              </w:rPr>
              <w:t>Date:</w:t>
            </w:r>
            <w:r>
              <w:rPr>
                <w:rFonts w:ascii="Arial MT"/>
                <w:spacing w:val="-3"/>
                <w:sz w:val="20"/>
              </w:rPr>
              <w:t> </w:t>
            </w:r>
            <w:r>
              <w:rPr>
                <w:rFonts w:ascii="Arial MT"/>
                <w:sz w:val="20"/>
              </w:rPr>
              <w:t>02/22/14</w:t>
            </w:r>
            <w:r>
              <w:rPr>
                <w:rFonts w:ascii="Arial MT"/>
                <w:spacing w:val="71"/>
                <w:w w:val="150"/>
                <w:sz w:val="20"/>
              </w:rPr>
              <w:t> </w:t>
            </w:r>
            <w:r>
              <w:rPr>
                <w:rFonts w:ascii="Arial MT"/>
                <w:sz w:val="20"/>
              </w:rPr>
              <w:t>Time:</w:t>
            </w:r>
            <w:r>
              <w:rPr>
                <w:rFonts w:ascii="Arial MT"/>
                <w:spacing w:val="-4"/>
                <w:sz w:val="20"/>
              </w:rPr>
              <w:t> 10:42</w:t>
            </w:r>
          </w:p>
        </w:tc>
      </w:tr>
      <w:tr>
        <w:trPr>
          <w:trHeight w:val="235" w:hRule="atLeast"/>
        </w:trPr>
        <w:tc>
          <w:tcPr>
            <w:tcW w:w="6822" w:type="dxa"/>
            <w:gridSpan w:val="5"/>
          </w:tcPr>
          <w:p>
            <w:pPr>
              <w:pStyle w:val="TableParagraph"/>
              <w:spacing w:line="214" w:lineRule="exact" w:before="1"/>
              <w:ind w:left="43"/>
              <w:rPr>
                <w:rFonts w:ascii="Arial MT"/>
                <w:sz w:val="20"/>
              </w:rPr>
            </w:pPr>
            <w:r>
              <w:rPr>
                <w:rFonts w:ascii="Arial MT"/>
                <w:sz w:val="20"/>
              </w:rPr>
              <w:t>Sample(adjusted):</w:t>
            </w:r>
            <w:r>
              <w:rPr>
                <w:rFonts w:ascii="Arial MT"/>
                <w:spacing w:val="-14"/>
                <w:sz w:val="20"/>
              </w:rPr>
              <w:t> </w:t>
            </w:r>
            <w:r>
              <w:rPr>
                <w:rFonts w:ascii="Arial MT"/>
                <w:sz w:val="20"/>
              </w:rPr>
              <w:t>1973</w:t>
            </w:r>
            <w:r>
              <w:rPr>
                <w:rFonts w:ascii="Arial MT"/>
                <w:spacing w:val="-14"/>
                <w:sz w:val="20"/>
              </w:rPr>
              <w:t> </w:t>
            </w:r>
            <w:r>
              <w:rPr>
                <w:rFonts w:ascii="Arial MT"/>
                <w:spacing w:val="-4"/>
                <w:sz w:val="20"/>
              </w:rPr>
              <w:t>2011</w:t>
            </w:r>
          </w:p>
        </w:tc>
      </w:tr>
      <w:tr>
        <w:trPr>
          <w:trHeight w:val="236" w:hRule="atLeast"/>
        </w:trPr>
        <w:tc>
          <w:tcPr>
            <w:tcW w:w="6822" w:type="dxa"/>
            <w:gridSpan w:val="5"/>
            <w:tcBorders>
              <w:bottom w:val="double" w:sz="6" w:space="0" w:color="000000"/>
            </w:tcBorders>
          </w:tcPr>
          <w:p>
            <w:pPr>
              <w:pStyle w:val="TableParagraph"/>
              <w:spacing w:line="216" w:lineRule="exact"/>
              <w:ind w:left="43"/>
              <w:rPr>
                <w:rFonts w:ascii="Arial MT"/>
                <w:sz w:val="20"/>
              </w:rPr>
            </w:pPr>
            <w:r>
              <w:rPr>
                <w:rFonts w:ascii="Arial MT"/>
                <w:sz w:val="20"/>
              </w:rPr>
              <w:t>Included</w:t>
            </w:r>
            <w:r>
              <w:rPr>
                <w:rFonts w:ascii="Arial MT"/>
                <w:spacing w:val="-9"/>
                <w:sz w:val="20"/>
              </w:rPr>
              <w:t> </w:t>
            </w:r>
            <w:r>
              <w:rPr>
                <w:rFonts w:ascii="Arial MT"/>
                <w:sz w:val="20"/>
              </w:rPr>
              <w:t>observations:</w:t>
            </w:r>
            <w:r>
              <w:rPr>
                <w:rFonts w:ascii="Arial MT"/>
                <w:spacing w:val="-9"/>
                <w:sz w:val="20"/>
              </w:rPr>
              <w:t> </w:t>
            </w:r>
            <w:r>
              <w:rPr>
                <w:rFonts w:ascii="Arial MT"/>
                <w:sz w:val="20"/>
              </w:rPr>
              <w:t>39</w:t>
            </w:r>
            <w:r>
              <w:rPr>
                <w:rFonts w:ascii="Arial MT"/>
                <w:spacing w:val="-9"/>
                <w:sz w:val="20"/>
              </w:rPr>
              <w:t> </w:t>
            </w:r>
            <w:r>
              <w:rPr>
                <w:rFonts w:ascii="Arial MT"/>
                <w:sz w:val="20"/>
              </w:rPr>
              <w:t>after</w:t>
            </w:r>
            <w:r>
              <w:rPr>
                <w:rFonts w:ascii="Arial MT"/>
                <w:spacing w:val="-10"/>
                <w:sz w:val="20"/>
              </w:rPr>
              <w:t> </w:t>
            </w:r>
            <w:r>
              <w:rPr>
                <w:rFonts w:ascii="Arial MT"/>
                <w:sz w:val="20"/>
              </w:rPr>
              <w:t>adjusting</w:t>
            </w:r>
            <w:r>
              <w:rPr>
                <w:rFonts w:ascii="Arial MT"/>
                <w:spacing w:val="-8"/>
                <w:sz w:val="20"/>
              </w:rPr>
              <w:t> </w:t>
            </w:r>
            <w:r>
              <w:rPr>
                <w:rFonts w:ascii="Arial MT"/>
                <w:spacing w:val="-2"/>
                <w:sz w:val="20"/>
              </w:rPr>
              <w:t>endpoints</w:t>
            </w:r>
          </w:p>
        </w:tc>
      </w:tr>
      <w:tr>
        <w:trPr>
          <w:trHeight w:val="269" w:hRule="atLeast"/>
        </w:trPr>
        <w:tc>
          <w:tcPr>
            <w:tcW w:w="2061" w:type="dxa"/>
            <w:tcBorders>
              <w:top w:val="double" w:sz="6" w:space="0" w:color="000000"/>
              <w:bottom w:val="double" w:sz="6" w:space="0" w:color="000000"/>
            </w:tcBorders>
          </w:tcPr>
          <w:p>
            <w:pPr>
              <w:pStyle w:val="TableParagraph"/>
              <w:spacing w:line="210" w:lineRule="exact" w:before="39"/>
              <w:ind w:left="713"/>
              <w:rPr>
                <w:rFonts w:ascii="Arial MT"/>
                <w:sz w:val="20"/>
              </w:rPr>
            </w:pPr>
            <w:r>
              <w:rPr>
                <w:rFonts w:ascii="Arial MT"/>
                <w:spacing w:val="-2"/>
                <w:sz w:val="20"/>
              </w:rPr>
              <w:t>Variable</w:t>
            </w:r>
          </w:p>
        </w:tc>
        <w:tc>
          <w:tcPr>
            <w:tcW w:w="1336" w:type="dxa"/>
            <w:tcBorders>
              <w:top w:val="double" w:sz="6" w:space="0" w:color="000000"/>
              <w:bottom w:val="double" w:sz="6" w:space="0" w:color="000000"/>
            </w:tcBorders>
          </w:tcPr>
          <w:p>
            <w:pPr>
              <w:pStyle w:val="TableParagraph"/>
              <w:spacing w:line="210" w:lineRule="exact" w:before="39"/>
              <w:ind w:left="107"/>
              <w:jc w:val="center"/>
              <w:rPr>
                <w:rFonts w:ascii="Arial MT"/>
                <w:sz w:val="20"/>
              </w:rPr>
            </w:pPr>
            <w:r>
              <w:rPr>
                <w:rFonts w:ascii="Arial MT"/>
                <w:spacing w:val="-2"/>
                <w:sz w:val="20"/>
              </w:rPr>
              <w:t>Coefficient</w:t>
            </w:r>
          </w:p>
        </w:tc>
        <w:tc>
          <w:tcPr>
            <w:tcW w:w="1289" w:type="dxa"/>
            <w:tcBorders>
              <w:top w:val="double" w:sz="6" w:space="0" w:color="000000"/>
              <w:bottom w:val="double" w:sz="6" w:space="0" w:color="000000"/>
            </w:tcBorders>
          </w:tcPr>
          <w:p>
            <w:pPr>
              <w:pStyle w:val="TableParagraph"/>
              <w:spacing w:line="210" w:lineRule="exact" w:before="39"/>
              <w:ind w:left="101" w:right="24"/>
              <w:jc w:val="center"/>
              <w:rPr>
                <w:rFonts w:ascii="Arial MT"/>
                <w:sz w:val="20"/>
              </w:rPr>
            </w:pPr>
            <w:r>
              <w:rPr>
                <w:rFonts w:ascii="Arial MT"/>
                <w:sz w:val="20"/>
              </w:rPr>
              <w:t>Std.</w:t>
            </w:r>
            <w:r>
              <w:rPr>
                <w:rFonts w:ascii="Arial MT"/>
                <w:spacing w:val="-4"/>
                <w:sz w:val="20"/>
              </w:rPr>
              <w:t> </w:t>
            </w:r>
            <w:r>
              <w:rPr>
                <w:rFonts w:ascii="Arial MT"/>
                <w:spacing w:val="-2"/>
                <w:sz w:val="20"/>
              </w:rPr>
              <w:t>Error</w:t>
            </w:r>
          </w:p>
        </w:tc>
        <w:tc>
          <w:tcPr>
            <w:tcW w:w="1139" w:type="dxa"/>
            <w:tcBorders>
              <w:top w:val="double" w:sz="6" w:space="0" w:color="000000"/>
              <w:bottom w:val="double" w:sz="6" w:space="0" w:color="000000"/>
            </w:tcBorders>
          </w:tcPr>
          <w:p>
            <w:pPr>
              <w:pStyle w:val="TableParagraph"/>
              <w:spacing w:line="210" w:lineRule="exact" w:before="39"/>
              <w:ind w:left="188"/>
              <w:jc w:val="center"/>
              <w:rPr>
                <w:rFonts w:ascii="Arial MT"/>
                <w:sz w:val="20"/>
              </w:rPr>
            </w:pPr>
            <w:r>
              <w:rPr>
                <w:rFonts w:ascii="Arial MT"/>
                <w:spacing w:val="-2"/>
                <w:sz w:val="20"/>
              </w:rPr>
              <w:t>t-Statistic</w:t>
            </w:r>
          </w:p>
        </w:tc>
        <w:tc>
          <w:tcPr>
            <w:tcW w:w="997" w:type="dxa"/>
            <w:tcBorders>
              <w:top w:val="double" w:sz="6" w:space="0" w:color="000000"/>
              <w:bottom w:val="double" w:sz="6" w:space="0" w:color="000000"/>
            </w:tcBorders>
          </w:tcPr>
          <w:p>
            <w:pPr>
              <w:pStyle w:val="TableParagraph"/>
              <w:spacing w:line="210" w:lineRule="exact" w:before="39"/>
              <w:ind w:right="31"/>
              <w:jc w:val="right"/>
              <w:rPr>
                <w:rFonts w:ascii="Arial MT"/>
                <w:sz w:val="20"/>
              </w:rPr>
            </w:pPr>
            <w:r>
              <w:rPr>
                <w:rFonts w:ascii="Arial MT"/>
                <w:spacing w:val="-2"/>
                <w:sz w:val="20"/>
              </w:rPr>
              <w:t>Prob.</w:t>
            </w:r>
          </w:p>
        </w:tc>
      </w:tr>
      <w:tr>
        <w:trPr>
          <w:trHeight w:val="273" w:hRule="atLeast"/>
        </w:trPr>
        <w:tc>
          <w:tcPr>
            <w:tcW w:w="2061" w:type="dxa"/>
            <w:tcBorders>
              <w:top w:val="double" w:sz="6" w:space="0" w:color="000000"/>
            </w:tcBorders>
          </w:tcPr>
          <w:p>
            <w:pPr>
              <w:pStyle w:val="TableParagraph"/>
              <w:spacing w:line="214" w:lineRule="exact" w:before="39"/>
              <w:ind w:left="540"/>
              <w:rPr>
                <w:rFonts w:ascii="Arial MT"/>
                <w:sz w:val="20"/>
              </w:rPr>
            </w:pPr>
            <w:r>
              <w:rPr>
                <w:rFonts w:ascii="Arial MT"/>
                <w:spacing w:val="-2"/>
                <w:sz w:val="20"/>
              </w:rPr>
              <w:t>D(DFI(-1),2)</w:t>
            </w:r>
          </w:p>
        </w:tc>
        <w:tc>
          <w:tcPr>
            <w:tcW w:w="1336" w:type="dxa"/>
            <w:tcBorders>
              <w:top w:val="double" w:sz="6" w:space="0" w:color="000000"/>
            </w:tcBorders>
          </w:tcPr>
          <w:p>
            <w:pPr>
              <w:pStyle w:val="TableParagraph"/>
              <w:spacing w:line="214" w:lineRule="exact" w:before="39"/>
              <w:ind w:left="154"/>
              <w:jc w:val="center"/>
              <w:rPr>
                <w:rFonts w:ascii="Arial MT"/>
                <w:sz w:val="20"/>
              </w:rPr>
            </w:pPr>
            <w:r>
              <w:rPr>
                <w:rFonts w:ascii="Arial MT"/>
                <w:spacing w:val="-2"/>
                <w:sz w:val="20"/>
              </w:rPr>
              <w:t>-0.479119</w:t>
            </w:r>
          </w:p>
        </w:tc>
        <w:tc>
          <w:tcPr>
            <w:tcW w:w="1289" w:type="dxa"/>
            <w:tcBorders>
              <w:top w:val="double" w:sz="6" w:space="0" w:color="000000"/>
            </w:tcBorders>
          </w:tcPr>
          <w:p>
            <w:pPr>
              <w:pStyle w:val="TableParagraph"/>
              <w:spacing w:line="214" w:lineRule="exact" w:before="39"/>
              <w:ind w:left="101" w:right="1"/>
              <w:jc w:val="center"/>
              <w:rPr>
                <w:rFonts w:ascii="Arial MT"/>
                <w:sz w:val="20"/>
              </w:rPr>
            </w:pPr>
            <w:r>
              <w:rPr>
                <w:rFonts w:ascii="Arial MT"/>
                <w:spacing w:val="-2"/>
                <w:sz w:val="20"/>
              </w:rPr>
              <w:t>1.205027</w:t>
            </w:r>
          </w:p>
        </w:tc>
        <w:tc>
          <w:tcPr>
            <w:tcW w:w="1139" w:type="dxa"/>
            <w:tcBorders>
              <w:top w:val="double" w:sz="6" w:space="0" w:color="000000"/>
            </w:tcBorders>
          </w:tcPr>
          <w:p>
            <w:pPr>
              <w:pStyle w:val="TableParagraph"/>
              <w:spacing w:line="214" w:lineRule="exact" w:before="39"/>
              <w:ind w:left="113"/>
              <w:jc w:val="center"/>
              <w:rPr>
                <w:rFonts w:ascii="Arial MT"/>
                <w:sz w:val="20"/>
              </w:rPr>
            </w:pPr>
            <w:r>
              <w:rPr>
                <w:rFonts w:ascii="Arial MT"/>
                <w:spacing w:val="-2"/>
                <w:sz w:val="20"/>
              </w:rPr>
              <w:t>-0.397600</w:t>
            </w:r>
          </w:p>
        </w:tc>
        <w:tc>
          <w:tcPr>
            <w:tcW w:w="997" w:type="dxa"/>
            <w:tcBorders>
              <w:top w:val="double" w:sz="6" w:space="0" w:color="000000"/>
            </w:tcBorders>
          </w:tcPr>
          <w:p>
            <w:pPr>
              <w:pStyle w:val="TableParagraph"/>
              <w:spacing w:line="214" w:lineRule="exact" w:before="39"/>
              <w:ind w:right="33"/>
              <w:jc w:val="right"/>
              <w:rPr>
                <w:rFonts w:ascii="Arial MT"/>
                <w:sz w:val="20"/>
              </w:rPr>
            </w:pPr>
            <w:r>
              <w:rPr>
                <w:rFonts w:ascii="Arial MT"/>
                <w:spacing w:val="-2"/>
                <w:sz w:val="20"/>
              </w:rPr>
              <w:t>0.6933</w:t>
            </w:r>
          </w:p>
        </w:tc>
      </w:tr>
      <w:tr>
        <w:trPr>
          <w:trHeight w:val="230" w:hRule="atLeast"/>
        </w:trPr>
        <w:tc>
          <w:tcPr>
            <w:tcW w:w="2061" w:type="dxa"/>
          </w:tcPr>
          <w:p>
            <w:pPr>
              <w:pStyle w:val="TableParagraph"/>
              <w:spacing w:line="211" w:lineRule="exact"/>
              <w:ind w:left="497"/>
              <w:rPr>
                <w:rFonts w:ascii="Arial MT"/>
                <w:sz w:val="20"/>
              </w:rPr>
            </w:pPr>
            <w:r>
              <w:rPr>
                <w:rFonts w:ascii="Arial MT"/>
                <w:spacing w:val="-2"/>
                <w:sz w:val="20"/>
              </w:rPr>
              <w:t>D(CAB(-1),2)</w:t>
            </w:r>
          </w:p>
        </w:tc>
        <w:tc>
          <w:tcPr>
            <w:tcW w:w="1336" w:type="dxa"/>
          </w:tcPr>
          <w:p>
            <w:pPr>
              <w:pStyle w:val="TableParagraph"/>
              <w:spacing w:line="211" w:lineRule="exact"/>
              <w:ind w:left="154"/>
              <w:jc w:val="center"/>
              <w:rPr>
                <w:rFonts w:ascii="Arial MT"/>
                <w:sz w:val="20"/>
              </w:rPr>
            </w:pPr>
            <w:r>
              <w:rPr>
                <w:rFonts w:ascii="Arial MT"/>
                <w:spacing w:val="-2"/>
                <w:sz w:val="20"/>
              </w:rPr>
              <w:t>-0.234175</w:t>
            </w:r>
          </w:p>
        </w:tc>
        <w:tc>
          <w:tcPr>
            <w:tcW w:w="1289" w:type="dxa"/>
          </w:tcPr>
          <w:p>
            <w:pPr>
              <w:pStyle w:val="TableParagraph"/>
              <w:spacing w:line="211" w:lineRule="exact"/>
              <w:ind w:left="101" w:right="1"/>
              <w:jc w:val="center"/>
              <w:rPr>
                <w:rFonts w:ascii="Arial MT"/>
                <w:sz w:val="20"/>
              </w:rPr>
            </w:pPr>
            <w:r>
              <w:rPr>
                <w:rFonts w:ascii="Arial MT"/>
                <w:spacing w:val="-2"/>
                <w:sz w:val="20"/>
              </w:rPr>
              <w:t>0.221241</w:t>
            </w:r>
          </w:p>
        </w:tc>
        <w:tc>
          <w:tcPr>
            <w:tcW w:w="1139" w:type="dxa"/>
          </w:tcPr>
          <w:p>
            <w:pPr>
              <w:pStyle w:val="TableParagraph"/>
              <w:spacing w:line="211" w:lineRule="exact"/>
              <w:ind w:left="113"/>
              <w:jc w:val="center"/>
              <w:rPr>
                <w:rFonts w:ascii="Arial MT"/>
                <w:sz w:val="20"/>
              </w:rPr>
            </w:pPr>
            <w:r>
              <w:rPr>
                <w:rFonts w:ascii="Arial MT"/>
                <w:spacing w:val="-2"/>
                <w:sz w:val="20"/>
              </w:rPr>
              <w:t>-1.058460</w:t>
            </w:r>
          </w:p>
        </w:tc>
        <w:tc>
          <w:tcPr>
            <w:tcW w:w="997" w:type="dxa"/>
          </w:tcPr>
          <w:p>
            <w:pPr>
              <w:pStyle w:val="TableParagraph"/>
              <w:spacing w:line="211" w:lineRule="exact"/>
              <w:ind w:right="33"/>
              <w:jc w:val="right"/>
              <w:rPr>
                <w:rFonts w:ascii="Arial MT"/>
                <w:sz w:val="20"/>
              </w:rPr>
            </w:pPr>
            <w:r>
              <w:rPr>
                <w:rFonts w:ascii="Arial MT"/>
                <w:spacing w:val="-2"/>
                <w:sz w:val="20"/>
              </w:rPr>
              <w:t>0.2971</w:t>
            </w:r>
          </w:p>
        </w:tc>
      </w:tr>
      <w:tr>
        <w:trPr>
          <w:trHeight w:val="234" w:hRule="atLeast"/>
        </w:trPr>
        <w:tc>
          <w:tcPr>
            <w:tcW w:w="2061" w:type="dxa"/>
          </w:tcPr>
          <w:p>
            <w:pPr>
              <w:pStyle w:val="TableParagraph"/>
              <w:spacing w:line="214" w:lineRule="exact"/>
              <w:ind w:left="497"/>
              <w:rPr>
                <w:rFonts w:ascii="Arial MT"/>
                <w:sz w:val="20"/>
              </w:rPr>
            </w:pPr>
            <w:r>
              <w:rPr>
                <w:rFonts w:ascii="Arial MT"/>
                <w:spacing w:val="-2"/>
                <w:sz w:val="20"/>
              </w:rPr>
              <w:t>D(RES(-1),2)</w:t>
            </w:r>
          </w:p>
        </w:tc>
        <w:tc>
          <w:tcPr>
            <w:tcW w:w="1336" w:type="dxa"/>
          </w:tcPr>
          <w:p>
            <w:pPr>
              <w:pStyle w:val="TableParagraph"/>
              <w:spacing w:line="214" w:lineRule="exact"/>
              <w:ind w:left="297" w:right="79"/>
              <w:jc w:val="center"/>
              <w:rPr>
                <w:rFonts w:ascii="Arial MT"/>
                <w:sz w:val="20"/>
              </w:rPr>
            </w:pPr>
            <w:r>
              <w:rPr>
                <w:rFonts w:ascii="Arial MT"/>
                <w:spacing w:val="-2"/>
                <w:sz w:val="20"/>
              </w:rPr>
              <w:t>0.438762</w:t>
            </w:r>
          </w:p>
        </w:tc>
        <w:tc>
          <w:tcPr>
            <w:tcW w:w="1289" w:type="dxa"/>
          </w:tcPr>
          <w:p>
            <w:pPr>
              <w:pStyle w:val="TableParagraph"/>
              <w:spacing w:line="214" w:lineRule="exact"/>
              <w:ind w:left="101" w:right="1"/>
              <w:jc w:val="center"/>
              <w:rPr>
                <w:rFonts w:ascii="Arial MT"/>
                <w:sz w:val="20"/>
              </w:rPr>
            </w:pPr>
            <w:r>
              <w:rPr>
                <w:rFonts w:ascii="Arial MT"/>
                <w:spacing w:val="-2"/>
                <w:sz w:val="20"/>
              </w:rPr>
              <w:t>0.285467</w:t>
            </w:r>
          </w:p>
        </w:tc>
        <w:tc>
          <w:tcPr>
            <w:tcW w:w="1139" w:type="dxa"/>
          </w:tcPr>
          <w:p>
            <w:pPr>
              <w:pStyle w:val="TableParagraph"/>
              <w:spacing w:line="214" w:lineRule="exact"/>
              <w:ind w:left="188" w:right="10"/>
              <w:jc w:val="center"/>
              <w:rPr>
                <w:rFonts w:ascii="Arial MT"/>
                <w:sz w:val="20"/>
              </w:rPr>
            </w:pPr>
            <w:r>
              <w:rPr>
                <w:rFonts w:ascii="Arial MT"/>
                <w:spacing w:val="-2"/>
                <w:sz w:val="20"/>
              </w:rPr>
              <w:t>1.536995</w:t>
            </w:r>
          </w:p>
        </w:tc>
        <w:tc>
          <w:tcPr>
            <w:tcW w:w="997" w:type="dxa"/>
          </w:tcPr>
          <w:p>
            <w:pPr>
              <w:pStyle w:val="TableParagraph"/>
              <w:spacing w:line="214" w:lineRule="exact"/>
              <w:ind w:right="33"/>
              <w:jc w:val="right"/>
              <w:rPr>
                <w:rFonts w:ascii="Arial MT"/>
                <w:sz w:val="20"/>
              </w:rPr>
            </w:pPr>
            <w:r>
              <w:rPr>
                <w:rFonts w:ascii="Arial MT"/>
                <w:spacing w:val="-2"/>
                <w:sz w:val="20"/>
              </w:rPr>
              <w:t>0.1333</w:t>
            </w:r>
          </w:p>
        </w:tc>
      </w:tr>
      <w:tr>
        <w:trPr>
          <w:trHeight w:val="230" w:hRule="atLeast"/>
        </w:trPr>
        <w:tc>
          <w:tcPr>
            <w:tcW w:w="2061" w:type="dxa"/>
            <w:tcBorders>
              <w:bottom w:val="double" w:sz="6" w:space="0" w:color="000000"/>
            </w:tcBorders>
          </w:tcPr>
          <w:p>
            <w:pPr>
              <w:pStyle w:val="TableParagraph"/>
              <w:spacing w:line="210" w:lineRule="exact"/>
              <w:ind w:left="701"/>
              <w:rPr>
                <w:rFonts w:ascii="Arial MT"/>
                <w:sz w:val="20"/>
              </w:rPr>
            </w:pPr>
            <w:r>
              <w:rPr>
                <w:rFonts w:ascii="Arial MT"/>
                <w:spacing w:val="-2"/>
                <w:sz w:val="20"/>
              </w:rPr>
              <w:t>ECM(-</w:t>
            </w:r>
            <w:r>
              <w:rPr>
                <w:rFonts w:ascii="Arial MT"/>
                <w:spacing w:val="-5"/>
                <w:sz w:val="20"/>
              </w:rPr>
              <w:t>1)</w:t>
            </w:r>
          </w:p>
        </w:tc>
        <w:tc>
          <w:tcPr>
            <w:tcW w:w="1336" w:type="dxa"/>
            <w:tcBorders>
              <w:bottom w:val="double" w:sz="6" w:space="0" w:color="000000"/>
            </w:tcBorders>
          </w:tcPr>
          <w:p>
            <w:pPr>
              <w:pStyle w:val="TableParagraph"/>
              <w:spacing w:line="210" w:lineRule="exact"/>
              <w:ind w:left="297" w:right="79"/>
              <w:jc w:val="center"/>
              <w:rPr>
                <w:rFonts w:ascii="Arial MT"/>
                <w:sz w:val="20"/>
              </w:rPr>
            </w:pPr>
            <w:r>
              <w:rPr>
                <w:rFonts w:ascii="Arial MT"/>
                <w:spacing w:val="-2"/>
                <w:sz w:val="20"/>
              </w:rPr>
              <w:t>0.307254</w:t>
            </w:r>
          </w:p>
        </w:tc>
        <w:tc>
          <w:tcPr>
            <w:tcW w:w="1289" w:type="dxa"/>
            <w:tcBorders>
              <w:bottom w:val="double" w:sz="6" w:space="0" w:color="000000"/>
            </w:tcBorders>
          </w:tcPr>
          <w:p>
            <w:pPr>
              <w:pStyle w:val="TableParagraph"/>
              <w:spacing w:line="210" w:lineRule="exact"/>
              <w:ind w:left="101" w:right="1"/>
              <w:jc w:val="center"/>
              <w:rPr>
                <w:rFonts w:ascii="Arial MT"/>
                <w:sz w:val="20"/>
              </w:rPr>
            </w:pPr>
            <w:r>
              <w:rPr>
                <w:rFonts w:ascii="Arial MT"/>
                <w:spacing w:val="-2"/>
                <w:sz w:val="20"/>
              </w:rPr>
              <w:t>1.764498</w:t>
            </w:r>
          </w:p>
        </w:tc>
        <w:tc>
          <w:tcPr>
            <w:tcW w:w="1139" w:type="dxa"/>
            <w:tcBorders>
              <w:bottom w:val="double" w:sz="6" w:space="0" w:color="000000"/>
            </w:tcBorders>
          </w:tcPr>
          <w:p>
            <w:pPr>
              <w:pStyle w:val="TableParagraph"/>
              <w:spacing w:line="210" w:lineRule="exact"/>
              <w:ind w:left="188" w:right="10"/>
              <w:jc w:val="center"/>
              <w:rPr>
                <w:rFonts w:ascii="Arial MT"/>
                <w:sz w:val="20"/>
              </w:rPr>
            </w:pPr>
            <w:r>
              <w:rPr>
                <w:rFonts w:ascii="Arial MT"/>
                <w:spacing w:val="-2"/>
                <w:sz w:val="20"/>
              </w:rPr>
              <w:t>0.174131</w:t>
            </w:r>
          </w:p>
        </w:tc>
        <w:tc>
          <w:tcPr>
            <w:tcW w:w="997" w:type="dxa"/>
            <w:tcBorders>
              <w:bottom w:val="double" w:sz="6" w:space="0" w:color="000000"/>
            </w:tcBorders>
          </w:tcPr>
          <w:p>
            <w:pPr>
              <w:pStyle w:val="TableParagraph"/>
              <w:spacing w:line="210" w:lineRule="exact"/>
              <w:ind w:right="33"/>
              <w:jc w:val="right"/>
              <w:rPr>
                <w:rFonts w:ascii="Arial MT"/>
                <w:sz w:val="20"/>
              </w:rPr>
            </w:pPr>
            <w:r>
              <w:rPr>
                <w:rFonts w:ascii="Arial MT"/>
                <w:spacing w:val="-2"/>
                <w:sz w:val="20"/>
              </w:rPr>
              <w:t>0.8628</w:t>
            </w:r>
          </w:p>
        </w:tc>
      </w:tr>
      <w:tr>
        <w:trPr>
          <w:trHeight w:val="273" w:hRule="atLeast"/>
        </w:trPr>
        <w:tc>
          <w:tcPr>
            <w:tcW w:w="2061" w:type="dxa"/>
            <w:tcBorders>
              <w:top w:val="double" w:sz="6" w:space="0" w:color="000000"/>
            </w:tcBorders>
          </w:tcPr>
          <w:p>
            <w:pPr>
              <w:pStyle w:val="TableParagraph"/>
              <w:spacing w:line="214" w:lineRule="exact" w:before="39"/>
              <w:ind w:left="43"/>
              <w:rPr>
                <w:rFonts w:ascii="Arial MT"/>
                <w:sz w:val="20"/>
              </w:rPr>
            </w:pPr>
            <w:r>
              <w:rPr>
                <w:rFonts w:ascii="Arial MT"/>
                <w:spacing w:val="-2"/>
                <w:sz w:val="20"/>
              </w:rPr>
              <w:t>R-squared</w:t>
            </w:r>
          </w:p>
        </w:tc>
        <w:tc>
          <w:tcPr>
            <w:tcW w:w="1336" w:type="dxa"/>
            <w:tcBorders>
              <w:top w:val="double" w:sz="6" w:space="0" w:color="000000"/>
            </w:tcBorders>
          </w:tcPr>
          <w:p>
            <w:pPr>
              <w:pStyle w:val="TableParagraph"/>
              <w:spacing w:line="214" w:lineRule="exact" w:before="39"/>
              <w:ind w:left="297" w:right="79"/>
              <w:jc w:val="center"/>
              <w:rPr>
                <w:rFonts w:ascii="Arial MT"/>
                <w:sz w:val="20"/>
              </w:rPr>
            </w:pPr>
            <w:r>
              <w:rPr>
                <w:rFonts w:ascii="Arial MT"/>
                <w:spacing w:val="-2"/>
                <w:sz w:val="20"/>
              </w:rPr>
              <w:t>0.073753</w:t>
            </w:r>
          </w:p>
        </w:tc>
        <w:tc>
          <w:tcPr>
            <w:tcW w:w="2428" w:type="dxa"/>
            <w:gridSpan w:val="2"/>
            <w:tcBorders>
              <w:top w:val="double" w:sz="6" w:space="0" w:color="000000"/>
            </w:tcBorders>
          </w:tcPr>
          <w:p>
            <w:pPr>
              <w:pStyle w:val="TableParagraph"/>
              <w:spacing w:line="214" w:lineRule="exact" w:before="39"/>
              <w:ind w:left="141"/>
              <w:rPr>
                <w:rFonts w:ascii="Arial MT"/>
                <w:sz w:val="20"/>
              </w:rPr>
            </w:pPr>
            <w:r>
              <w:rPr>
                <w:rFonts w:ascii="Arial MT"/>
                <w:sz w:val="20"/>
              </w:rPr>
              <w:t>Mean</w:t>
            </w:r>
            <w:r>
              <w:rPr>
                <w:rFonts w:ascii="Arial MT"/>
                <w:spacing w:val="-10"/>
                <w:sz w:val="20"/>
              </w:rPr>
              <w:t> </w:t>
            </w:r>
            <w:r>
              <w:rPr>
                <w:rFonts w:ascii="Arial MT"/>
                <w:sz w:val="20"/>
              </w:rPr>
              <w:t>dependent</w:t>
            </w:r>
            <w:r>
              <w:rPr>
                <w:rFonts w:ascii="Arial MT"/>
                <w:spacing w:val="-9"/>
                <w:sz w:val="20"/>
              </w:rPr>
              <w:t> </w:t>
            </w:r>
            <w:r>
              <w:rPr>
                <w:rFonts w:ascii="Arial MT"/>
                <w:spacing w:val="-5"/>
                <w:sz w:val="20"/>
              </w:rPr>
              <w:t>var</w:t>
            </w:r>
          </w:p>
        </w:tc>
        <w:tc>
          <w:tcPr>
            <w:tcW w:w="997" w:type="dxa"/>
            <w:tcBorders>
              <w:top w:val="double" w:sz="6" w:space="0" w:color="000000"/>
            </w:tcBorders>
          </w:tcPr>
          <w:p>
            <w:pPr>
              <w:pStyle w:val="TableParagraph"/>
              <w:spacing w:line="214" w:lineRule="exact" w:before="39"/>
              <w:ind w:right="33"/>
              <w:jc w:val="right"/>
              <w:rPr>
                <w:rFonts w:ascii="Arial MT"/>
                <w:sz w:val="20"/>
              </w:rPr>
            </w:pPr>
            <w:r>
              <w:rPr>
                <w:rFonts w:ascii="Arial MT"/>
                <w:spacing w:val="-2"/>
                <w:sz w:val="20"/>
              </w:rPr>
              <w:t>-0.037285</w:t>
            </w:r>
          </w:p>
        </w:tc>
      </w:tr>
      <w:tr>
        <w:trPr>
          <w:trHeight w:val="230" w:hRule="atLeast"/>
        </w:trPr>
        <w:tc>
          <w:tcPr>
            <w:tcW w:w="2061" w:type="dxa"/>
          </w:tcPr>
          <w:p>
            <w:pPr>
              <w:pStyle w:val="TableParagraph"/>
              <w:spacing w:line="210" w:lineRule="exact"/>
              <w:ind w:left="43"/>
              <w:rPr>
                <w:rFonts w:ascii="Arial MT"/>
                <w:sz w:val="20"/>
              </w:rPr>
            </w:pPr>
            <w:r>
              <w:rPr>
                <w:rFonts w:ascii="Arial MT"/>
                <w:sz w:val="20"/>
              </w:rPr>
              <w:t>Adjusted</w:t>
            </w:r>
            <w:r>
              <w:rPr>
                <w:rFonts w:ascii="Arial MT"/>
                <w:spacing w:val="-13"/>
                <w:sz w:val="20"/>
              </w:rPr>
              <w:t> </w:t>
            </w:r>
            <w:r>
              <w:rPr>
                <w:rFonts w:ascii="Arial MT"/>
                <w:sz w:val="20"/>
              </w:rPr>
              <w:t>R-</w:t>
            </w:r>
            <w:r>
              <w:rPr>
                <w:rFonts w:ascii="Arial MT"/>
                <w:spacing w:val="-2"/>
                <w:sz w:val="20"/>
              </w:rPr>
              <w:t>squared</w:t>
            </w:r>
          </w:p>
        </w:tc>
        <w:tc>
          <w:tcPr>
            <w:tcW w:w="1336" w:type="dxa"/>
          </w:tcPr>
          <w:p>
            <w:pPr>
              <w:pStyle w:val="TableParagraph"/>
              <w:spacing w:line="210" w:lineRule="exact"/>
              <w:ind w:left="154"/>
              <w:jc w:val="center"/>
              <w:rPr>
                <w:rFonts w:ascii="Arial MT"/>
                <w:sz w:val="20"/>
              </w:rPr>
            </w:pPr>
            <w:r>
              <w:rPr>
                <w:rFonts w:ascii="Arial MT"/>
                <w:spacing w:val="-2"/>
                <w:sz w:val="20"/>
              </w:rPr>
              <w:t>-0.005640</w:t>
            </w:r>
          </w:p>
        </w:tc>
        <w:tc>
          <w:tcPr>
            <w:tcW w:w="2428" w:type="dxa"/>
            <w:gridSpan w:val="2"/>
          </w:tcPr>
          <w:p>
            <w:pPr>
              <w:pStyle w:val="TableParagraph"/>
              <w:spacing w:line="210" w:lineRule="exact"/>
              <w:ind w:left="141"/>
              <w:rPr>
                <w:rFonts w:ascii="Arial MT"/>
                <w:sz w:val="20"/>
              </w:rPr>
            </w:pPr>
            <w:r>
              <w:rPr>
                <w:rFonts w:ascii="Arial MT"/>
                <w:sz w:val="20"/>
              </w:rPr>
              <w:t>S.D.</w:t>
            </w:r>
            <w:r>
              <w:rPr>
                <w:rFonts w:ascii="Arial MT"/>
                <w:spacing w:val="-8"/>
                <w:sz w:val="20"/>
              </w:rPr>
              <w:t> </w:t>
            </w:r>
            <w:r>
              <w:rPr>
                <w:rFonts w:ascii="Arial MT"/>
                <w:sz w:val="20"/>
              </w:rPr>
              <w:t>dependent</w:t>
            </w:r>
            <w:r>
              <w:rPr>
                <w:rFonts w:ascii="Arial MT"/>
                <w:spacing w:val="-6"/>
                <w:sz w:val="20"/>
              </w:rPr>
              <w:t> </w:t>
            </w:r>
            <w:r>
              <w:rPr>
                <w:rFonts w:ascii="Arial MT"/>
                <w:spacing w:val="-5"/>
                <w:sz w:val="20"/>
              </w:rPr>
              <w:t>var</w:t>
            </w:r>
          </w:p>
        </w:tc>
        <w:tc>
          <w:tcPr>
            <w:tcW w:w="997" w:type="dxa"/>
          </w:tcPr>
          <w:p>
            <w:pPr>
              <w:pStyle w:val="TableParagraph"/>
              <w:spacing w:line="210" w:lineRule="exact"/>
              <w:ind w:right="33"/>
              <w:jc w:val="right"/>
              <w:rPr>
                <w:rFonts w:ascii="Arial MT"/>
                <w:sz w:val="20"/>
              </w:rPr>
            </w:pPr>
            <w:r>
              <w:rPr>
                <w:rFonts w:ascii="Arial MT"/>
                <w:spacing w:val="-2"/>
                <w:sz w:val="20"/>
              </w:rPr>
              <w:t>3.792771</w:t>
            </w:r>
          </w:p>
        </w:tc>
      </w:tr>
      <w:tr>
        <w:trPr>
          <w:trHeight w:val="235" w:hRule="atLeast"/>
        </w:trPr>
        <w:tc>
          <w:tcPr>
            <w:tcW w:w="2061" w:type="dxa"/>
          </w:tcPr>
          <w:p>
            <w:pPr>
              <w:pStyle w:val="TableParagraph"/>
              <w:spacing w:line="215" w:lineRule="exact"/>
              <w:ind w:left="43"/>
              <w:rPr>
                <w:rFonts w:ascii="Arial MT"/>
                <w:sz w:val="20"/>
              </w:rPr>
            </w:pPr>
            <w:r>
              <w:rPr>
                <w:rFonts w:ascii="Arial MT"/>
                <w:sz w:val="20"/>
              </w:rPr>
              <w:t>S.E.</w:t>
            </w:r>
            <w:r>
              <w:rPr>
                <w:rFonts w:ascii="Arial MT"/>
                <w:spacing w:val="-3"/>
                <w:sz w:val="20"/>
              </w:rPr>
              <w:t> </w:t>
            </w:r>
            <w:r>
              <w:rPr>
                <w:rFonts w:ascii="Arial MT"/>
                <w:sz w:val="20"/>
              </w:rPr>
              <w:t>of</w:t>
            </w:r>
            <w:r>
              <w:rPr>
                <w:rFonts w:ascii="Arial MT"/>
                <w:spacing w:val="-3"/>
                <w:sz w:val="20"/>
              </w:rPr>
              <w:t> </w:t>
            </w:r>
            <w:r>
              <w:rPr>
                <w:rFonts w:ascii="Arial MT"/>
                <w:spacing w:val="-2"/>
                <w:sz w:val="20"/>
              </w:rPr>
              <w:t>regression</w:t>
            </w:r>
          </w:p>
        </w:tc>
        <w:tc>
          <w:tcPr>
            <w:tcW w:w="1336" w:type="dxa"/>
          </w:tcPr>
          <w:p>
            <w:pPr>
              <w:pStyle w:val="TableParagraph"/>
              <w:spacing w:line="215" w:lineRule="exact"/>
              <w:ind w:left="297" w:right="79"/>
              <w:jc w:val="center"/>
              <w:rPr>
                <w:rFonts w:ascii="Arial MT"/>
                <w:sz w:val="20"/>
              </w:rPr>
            </w:pPr>
            <w:r>
              <w:rPr>
                <w:rFonts w:ascii="Arial MT"/>
                <w:spacing w:val="-2"/>
                <w:sz w:val="20"/>
              </w:rPr>
              <w:t>3.803451</w:t>
            </w:r>
          </w:p>
        </w:tc>
        <w:tc>
          <w:tcPr>
            <w:tcW w:w="2428" w:type="dxa"/>
            <w:gridSpan w:val="2"/>
          </w:tcPr>
          <w:p>
            <w:pPr>
              <w:pStyle w:val="TableParagraph"/>
              <w:spacing w:line="215" w:lineRule="exact"/>
              <w:ind w:left="141"/>
              <w:rPr>
                <w:rFonts w:ascii="Arial MT"/>
                <w:sz w:val="20"/>
              </w:rPr>
            </w:pPr>
            <w:r>
              <w:rPr>
                <w:rFonts w:ascii="Arial MT"/>
                <w:sz w:val="20"/>
              </w:rPr>
              <w:t>Akaike</w:t>
            </w:r>
            <w:r>
              <w:rPr>
                <w:rFonts w:ascii="Arial MT"/>
                <w:spacing w:val="-6"/>
                <w:sz w:val="20"/>
              </w:rPr>
              <w:t> </w:t>
            </w:r>
            <w:r>
              <w:rPr>
                <w:rFonts w:ascii="Arial MT"/>
                <w:sz w:val="20"/>
              </w:rPr>
              <w:t>info</w:t>
            </w:r>
            <w:r>
              <w:rPr>
                <w:rFonts w:ascii="Arial MT"/>
                <w:spacing w:val="-5"/>
                <w:sz w:val="20"/>
              </w:rPr>
              <w:t> </w:t>
            </w:r>
            <w:r>
              <w:rPr>
                <w:rFonts w:ascii="Arial MT"/>
                <w:spacing w:val="-2"/>
                <w:sz w:val="20"/>
              </w:rPr>
              <w:t>criterion</w:t>
            </w:r>
          </w:p>
        </w:tc>
        <w:tc>
          <w:tcPr>
            <w:tcW w:w="997" w:type="dxa"/>
          </w:tcPr>
          <w:p>
            <w:pPr>
              <w:pStyle w:val="TableParagraph"/>
              <w:spacing w:line="215" w:lineRule="exact"/>
              <w:ind w:right="33"/>
              <w:jc w:val="right"/>
              <w:rPr>
                <w:rFonts w:ascii="Arial MT"/>
                <w:sz w:val="20"/>
              </w:rPr>
            </w:pPr>
            <w:r>
              <w:rPr>
                <w:rFonts w:ascii="Arial MT"/>
                <w:spacing w:val="-2"/>
                <w:sz w:val="20"/>
              </w:rPr>
              <w:t>5.606609</w:t>
            </w:r>
          </w:p>
        </w:tc>
      </w:tr>
      <w:tr>
        <w:trPr>
          <w:trHeight w:val="235" w:hRule="atLeast"/>
        </w:trPr>
        <w:tc>
          <w:tcPr>
            <w:tcW w:w="2061" w:type="dxa"/>
          </w:tcPr>
          <w:p>
            <w:pPr>
              <w:pStyle w:val="TableParagraph"/>
              <w:spacing w:line="214" w:lineRule="exact" w:before="1"/>
              <w:ind w:left="43"/>
              <w:rPr>
                <w:rFonts w:ascii="Arial MT"/>
                <w:sz w:val="20"/>
              </w:rPr>
            </w:pPr>
            <w:r>
              <w:rPr>
                <w:rFonts w:ascii="Arial MT"/>
                <w:sz w:val="20"/>
              </w:rPr>
              <w:t>Sum</w:t>
            </w:r>
            <w:r>
              <w:rPr>
                <w:rFonts w:ascii="Arial MT"/>
                <w:spacing w:val="-6"/>
                <w:sz w:val="20"/>
              </w:rPr>
              <w:t> </w:t>
            </w:r>
            <w:r>
              <w:rPr>
                <w:rFonts w:ascii="Arial MT"/>
                <w:sz w:val="20"/>
              </w:rPr>
              <w:t>squared</w:t>
            </w:r>
            <w:r>
              <w:rPr>
                <w:rFonts w:ascii="Arial MT"/>
                <w:spacing w:val="-10"/>
                <w:sz w:val="20"/>
              </w:rPr>
              <w:t> </w:t>
            </w:r>
            <w:r>
              <w:rPr>
                <w:rFonts w:ascii="Arial MT"/>
                <w:spacing w:val="-4"/>
                <w:sz w:val="20"/>
              </w:rPr>
              <w:t>resid</w:t>
            </w:r>
          </w:p>
        </w:tc>
        <w:tc>
          <w:tcPr>
            <w:tcW w:w="1336" w:type="dxa"/>
          </w:tcPr>
          <w:p>
            <w:pPr>
              <w:pStyle w:val="TableParagraph"/>
              <w:spacing w:line="214" w:lineRule="exact" w:before="1"/>
              <w:ind w:left="297" w:right="79"/>
              <w:jc w:val="center"/>
              <w:rPr>
                <w:rFonts w:ascii="Arial MT"/>
                <w:sz w:val="20"/>
              </w:rPr>
            </w:pPr>
            <w:r>
              <w:rPr>
                <w:rFonts w:ascii="Arial MT"/>
                <w:spacing w:val="-2"/>
                <w:sz w:val="20"/>
              </w:rPr>
              <w:t>506.3185</w:t>
            </w:r>
          </w:p>
        </w:tc>
        <w:tc>
          <w:tcPr>
            <w:tcW w:w="2428" w:type="dxa"/>
            <w:gridSpan w:val="2"/>
          </w:tcPr>
          <w:p>
            <w:pPr>
              <w:pStyle w:val="TableParagraph"/>
              <w:spacing w:line="214" w:lineRule="exact" w:before="1"/>
              <w:ind w:left="141"/>
              <w:rPr>
                <w:rFonts w:ascii="Arial MT"/>
                <w:sz w:val="20"/>
              </w:rPr>
            </w:pPr>
            <w:r>
              <w:rPr>
                <w:rFonts w:ascii="Arial MT"/>
                <w:sz w:val="20"/>
              </w:rPr>
              <w:t>Schwarz</w:t>
            </w:r>
            <w:r>
              <w:rPr>
                <w:rFonts w:ascii="Arial MT"/>
                <w:spacing w:val="-9"/>
                <w:sz w:val="20"/>
              </w:rPr>
              <w:t> </w:t>
            </w:r>
            <w:r>
              <w:rPr>
                <w:rFonts w:ascii="Arial MT"/>
                <w:spacing w:val="-2"/>
                <w:sz w:val="20"/>
              </w:rPr>
              <w:t>criterion</w:t>
            </w:r>
          </w:p>
        </w:tc>
        <w:tc>
          <w:tcPr>
            <w:tcW w:w="997" w:type="dxa"/>
          </w:tcPr>
          <w:p>
            <w:pPr>
              <w:pStyle w:val="TableParagraph"/>
              <w:spacing w:line="214" w:lineRule="exact" w:before="1"/>
              <w:ind w:right="33"/>
              <w:jc w:val="right"/>
              <w:rPr>
                <w:rFonts w:ascii="Arial MT"/>
                <w:sz w:val="20"/>
              </w:rPr>
            </w:pPr>
            <w:r>
              <w:rPr>
                <w:rFonts w:ascii="Arial MT"/>
                <w:spacing w:val="-2"/>
                <w:sz w:val="20"/>
              </w:rPr>
              <w:t>5.777231</w:t>
            </w:r>
          </w:p>
        </w:tc>
      </w:tr>
      <w:tr>
        <w:trPr>
          <w:trHeight w:val="236" w:hRule="atLeast"/>
        </w:trPr>
        <w:tc>
          <w:tcPr>
            <w:tcW w:w="2061" w:type="dxa"/>
            <w:tcBorders>
              <w:bottom w:val="double" w:sz="6" w:space="0" w:color="000000"/>
            </w:tcBorders>
          </w:tcPr>
          <w:p>
            <w:pPr>
              <w:pStyle w:val="TableParagraph"/>
              <w:spacing w:line="216" w:lineRule="exact"/>
              <w:ind w:left="43"/>
              <w:rPr>
                <w:rFonts w:ascii="Arial MT"/>
                <w:sz w:val="20"/>
              </w:rPr>
            </w:pPr>
            <w:r>
              <w:rPr>
                <w:rFonts w:ascii="Arial MT"/>
                <w:sz w:val="20"/>
              </w:rPr>
              <w:t>Log</w:t>
            </w:r>
            <w:r>
              <w:rPr>
                <w:rFonts w:ascii="Arial MT"/>
                <w:spacing w:val="-5"/>
                <w:sz w:val="20"/>
              </w:rPr>
              <w:t> </w:t>
            </w:r>
            <w:r>
              <w:rPr>
                <w:rFonts w:ascii="Arial MT"/>
                <w:spacing w:val="-2"/>
                <w:sz w:val="20"/>
              </w:rPr>
              <w:t>likelihood</w:t>
            </w:r>
          </w:p>
        </w:tc>
        <w:tc>
          <w:tcPr>
            <w:tcW w:w="1336" w:type="dxa"/>
            <w:tcBorders>
              <w:bottom w:val="double" w:sz="6" w:space="0" w:color="000000"/>
            </w:tcBorders>
          </w:tcPr>
          <w:p>
            <w:pPr>
              <w:pStyle w:val="TableParagraph"/>
              <w:spacing w:line="216" w:lineRule="exact"/>
              <w:ind w:left="154"/>
              <w:jc w:val="center"/>
              <w:rPr>
                <w:rFonts w:ascii="Arial MT"/>
                <w:sz w:val="20"/>
              </w:rPr>
            </w:pPr>
            <w:r>
              <w:rPr>
                <w:rFonts w:ascii="Arial MT"/>
                <w:spacing w:val="-2"/>
                <w:sz w:val="20"/>
              </w:rPr>
              <w:t>-105.3289</w:t>
            </w:r>
          </w:p>
        </w:tc>
        <w:tc>
          <w:tcPr>
            <w:tcW w:w="2428" w:type="dxa"/>
            <w:gridSpan w:val="2"/>
            <w:tcBorders>
              <w:bottom w:val="double" w:sz="6" w:space="0" w:color="000000"/>
            </w:tcBorders>
          </w:tcPr>
          <w:p>
            <w:pPr>
              <w:pStyle w:val="TableParagraph"/>
              <w:spacing w:line="216" w:lineRule="exact"/>
              <w:ind w:left="141"/>
              <w:rPr>
                <w:rFonts w:ascii="Arial MT"/>
                <w:sz w:val="20"/>
              </w:rPr>
            </w:pPr>
            <w:r>
              <w:rPr>
                <w:rFonts w:ascii="Arial MT"/>
                <w:sz w:val="20"/>
              </w:rPr>
              <w:t>Durbin-Watson</w:t>
            </w:r>
            <w:r>
              <w:rPr>
                <w:rFonts w:ascii="Arial MT"/>
                <w:spacing w:val="-12"/>
                <w:sz w:val="20"/>
              </w:rPr>
              <w:t> </w:t>
            </w:r>
            <w:r>
              <w:rPr>
                <w:rFonts w:ascii="Arial MT"/>
                <w:spacing w:val="-4"/>
                <w:sz w:val="20"/>
              </w:rPr>
              <w:t>stat</w:t>
            </w:r>
          </w:p>
        </w:tc>
        <w:tc>
          <w:tcPr>
            <w:tcW w:w="997" w:type="dxa"/>
            <w:tcBorders>
              <w:bottom w:val="double" w:sz="6" w:space="0" w:color="000000"/>
            </w:tcBorders>
          </w:tcPr>
          <w:p>
            <w:pPr>
              <w:pStyle w:val="TableParagraph"/>
              <w:spacing w:line="216" w:lineRule="exact"/>
              <w:ind w:right="33"/>
              <w:jc w:val="right"/>
              <w:rPr>
                <w:rFonts w:ascii="Arial MT"/>
                <w:sz w:val="20"/>
              </w:rPr>
            </w:pPr>
            <w:r>
              <w:rPr>
                <w:rFonts w:ascii="Arial MT"/>
                <w:spacing w:val="-2"/>
                <w:sz w:val="20"/>
              </w:rPr>
              <w:t>3.054369</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0"/>
        </w:rPr>
      </w:pPr>
    </w:p>
    <w:p>
      <w:pPr>
        <w:pStyle w:val="BodyText"/>
        <w:ind w:left="2725"/>
      </w:pPr>
      <w:r>
        <w:rPr/>
        <w:t>APPENDIX</w:t>
      </w:r>
      <w:r>
        <w:rPr>
          <w:spacing w:val="-9"/>
        </w:rPr>
        <w:t> </w:t>
      </w:r>
      <w:r>
        <w:rPr>
          <w:spacing w:val="-5"/>
        </w:rPr>
        <w:t>A5</w:t>
      </w:r>
    </w:p>
    <w:p>
      <w:pPr>
        <w:spacing w:before="1"/>
        <w:ind w:left="771" w:right="0" w:firstLine="0"/>
        <w:jc w:val="left"/>
        <w:rPr>
          <w:sz w:val="20"/>
        </w:rPr>
      </w:pPr>
      <w:r>
        <w:rPr>
          <w:sz w:val="20"/>
        </w:rPr>
        <w:t>RESULTS</w:t>
      </w:r>
      <w:r>
        <w:rPr>
          <w:spacing w:val="-8"/>
          <w:sz w:val="20"/>
        </w:rPr>
        <w:t> </w:t>
      </w:r>
      <w:r>
        <w:rPr>
          <w:sz w:val="20"/>
        </w:rPr>
        <w:t>OF</w:t>
      </w:r>
      <w:r>
        <w:rPr>
          <w:spacing w:val="-4"/>
          <w:sz w:val="20"/>
        </w:rPr>
        <w:t> </w:t>
      </w:r>
      <w:r>
        <w:rPr>
          <w:sz w:val="20"/>
        </w:rPr>
        <w:t>ANALYSES</w:t>
      </w:r>
      <w:r>
        <w:rPr>
          <w:spacing w:val="-7"/>
          <w:sz w:val="20"/>
        </w:rPr>
        <w:t> </w:t>
      </w:r>
      <w:r>
        <w:rPr>
          <w:sz w:val="20"/>
        </w:rPr>
        <w:t>FOR</w:t>
      </w:r>
      <w:r>
        <w:rPr>
          <w:spacing w:val="-7"/>
          <w:sz w:val="20"/>
        </w:rPr>
        <w:t> </w:t>
      </w:r>
      <w:r>
        <w:rPr>
          <w:sz w:val="20"/>
        </w:rPr>
        <w:t>MODEL</w:t>
      </w:r>
      <w:r>
        <w:rPr>
          <w:spacing w:val="-8"/>
          <w:sz w:val="20"/>
        </w:rPr>
        <w:t> </w:t>
      </w:r>
      <w:r>
        <w:rPr>
          <w:sz w:val="20"/>
        </w:rPr>
        <w:t>2B</w:t>
      </w:r>
      <w:r>
        <w:rPr>
          <w:spacing w:val="-2"/>
          <w:sz w:val="20"/>
        </w:rPr>
        <w:t> </w:t>
      </w:r>
      <w:r>
        <w:rPr>
          <w:sz w:val="20"/>
        </w:rPr>
        <w:t>(MORGAN</w:t>
      </w:r>
      <w:r>
        <w:rPr>
          <w:spacing w:val="-5"/>
          <w:sz w:val="20"/>
        </w:rPr>
        <w:t> </w:t>
      </w:r>
      <w:r>
        <w:rPr>
          <w:sz w:val="20"/>
        </w:rPr>
        <w:t>GUARANTY</w:t>
      </w:r>
      <w:r>
        <w:rPr>
          <w:spacing w:val="-7"/>
          <w:sz w:val="20"/>
        </w:rPr>
        <w:t> </w:t>
      </w:r>
      <w:r>
        <w:rPr>
          <w:sz w:val="20"/>
        </w:rPr>
        <w:t>TRUST</w:t>
      </w:r>
      <w:r>
        <w:rPr>
          <w:spacing w:val="-5"/>
          <w:sz w:val="20"/>
        </w:rPr>
        <w:t> </w:t>
      </w:r>
      <w:r>
        <w:rPr>
          <w:sz w:val="20"/>
        </w:rPr>
        <w:t>(1986)</w:t>
      </w:r>
      <w:r>
        <w:rPr>
          <w:spacing w:val="-8"/>
          <w:sz w:val="20"/>
        </w:rPr>
        <w:t> </w:t>
      </w:r>
      <w:r>
        <w:rPr>
          <w:spacing w:val="-2"/>
          <w:sz w:val="20"/>
        </w:rPr>
        <w:t>ESTIMATES</w:t>
      </w:r>
    </w:p>
    <w:p>
      <w:pPr>
        <w:pStyle w:val="BodyText"/>
        <w:rPr>
          <w:sz w:val="20"/>
        </w:rPr>
      </w:pPr>
    </w:p>
    <w:p>
      <w:pPr>
        <w:pStyle w:val="BodyText"/>
        <w:spacing w:before="1" w:after="1"/>
        <w:rPr>
          <w:sz w:val="20"/>
        </w:rPr>
      </w:pPr>
    </w:p>
    <w:tbl>
      <w:tblPr>
        <w:tblW w:w="0" w:type="auto"/>
        <w:jc w:val="left"/>
        <w:tblInd w:w="4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03"/>
        <w:gridCol w:w="1392"/>
        <w:gridCol w:w="1577"/>
        <w:gridCol w:w="935"/>
        <w:gridCol w:w="919"/>
      </w:tblGrid>
      <w:tr>
        <w:trPr>
          <w:trHeight w:val="455" w:hRule="atLeast"/>
        </w:trPr>
        <w:tc>
          <w:tcPr>
            <w:tcW w:w="2303" w:type="dxa"/>
          </w:tcPr>
          <w:p>
            <w:pPr>
              <w:pStyle w:val="TableParagraph"/>
              <w:spacing w:line="221" w:lineRule="exact"/>
              <w:ind w:left="652"/>
              <w:rPr>
                <w:sz w:val="20"/>
              </w:rPr>
            </w:pPr>
            <w:r>
              <w:rPr>
                <w:sz w:val="20"/>
              </w:rPr>
              <w:t>OLS</w:t>
            </w:r>
            <w:r>
              <w:rPr>
                <w:spacing w:val="-7"/>
                <w:sz w:val="20"/>
              </w:rPr>
              <w:t> </w:t>
            </w:r>
            <w:r>
              <w:rPr>
                <w:spacing w:val="-2"/>
                <w:sz w:val="20"/>
              </w:rPr>
              <w:t>RESULT</w:t>
            </w:r>
          </w:p>
          <w:p>
            <w:pPr>
              <w:pStyle w:val="TableParagraph"/>
              <w:spacing w:line="215" w:lineRule="exact"/>
              <w:ind w:left="50"/>
              <w:rPr>
                <w:sz w:val="20"/>
              </w:rPr>
            </w:pPr>
            <w:r>
              <w:rPr>
                <w:sz w:val="20"/>
              </w:rPr>
              <w:t>Dependent</w:t>
            </w:r>
            <w:r>
              <w:rPr>
                <w:spacing w:val="-8"/>
                <w:sz w:val="20"/>
              </w:rPr>
              <w:t> </w:t>
            </w:r>
            <w:r>
              <w:rPr>
                <w:sz w:val="20"/>
              </w:rPr>
              <w:t>Variable:</w:t>
            </w:r>
            <w:r>
              <w:rPr>
                <w:spacing w:val="-8"/>
                <w:sz w:val="20"/>
              </w:rPr>
              <w:t> </w:t>
            </w:r>
            <w:r>
              <w:rPr>
                <w:spacing w:val="-5"/>
                <w:sz w:val="20"/>
              </w:rPr>
              <w:t>GDP</w:t>
            </w:r>
          </w:p>
        </w:tc>
        <w:tc>
          <w:tcPr>
            <w:tcW w:w="1392" w:type="dxa"/>
          </w:tcPr>
          <w:p>
            <w:pPr>
              <w:pStyle w:val="TableParagraph"/>
              <w:rPr>
                <w:sz w:val="18"/>
              </w:rPr>
            </w:pPr>
          </w:p>
        </w:tc>
        <w:tc>
          <w:tcPr>
            <w:tcW w:w="1577" w:type="dxa"/>
          </w:tcPr>
          <w:p>
            <w:pPr>
              <w:pStyle w:val="TableParagraph"/>
              <w:rPr>
                <w:sz w:val="18"/>
              </w:rPr>
            </w:pPr>
          </w:p>
        </w:tc>
        <w:tc>
          <w:tcPr>
            <w:tcW w:w="935" w:type="dxa"/>
          </w:tcPr>
          <w:p>
            <w:pPr>
              <w:pStyle w:val="TableParagraph"/>
              <w:rPr>
                <w:sz w:val="18"/>
              </w:rPr>
            </w:pPr>
          </w:p>
        </w:tc>
        <w:tc>
          <w:tcPr>
            <w:tcW w:w="919" w:type="dxa"/>
          </w:tcPr>
          <w:p>
            <w:pPr>
              <w:pStyle w:val="TableParagraph"/>
              <w:rPr>
                <w:sz w:val="18"/>
              </w:rPr>
            </w:pPr>
          </w:p>
        </w:tc>
      </w:tr>
      <w:tr>
        <w:trPr>
          <w:trHeight w:val="230" w:hRule="atLeast"/>
        </w:trPr>
        <w:tc>
          <w:tcPr>
            <w:tcW w:w="2303" w:type="dxa"/>
          </w:tcPr>
          <w:p>
            <w:pPr>
              <w:pStyle w:val="TableParagraph"/>
              <w:spacing w:line="210" w:lineRule="exact"/>
              <w:ind w:left="350"/>
              <w:rPr>
                <w:sz w:val="20"/>
              </w:rPr>
            </w:pPr>
            <w:r>
              <w:rPr>
                <w:sz w:val="20"/>
              </w:rPr>
              <w:t>Method:</w:t>
            </w:r>
            <w:r>
              <w:rPr>
                <w:spacing w:val="-8"/>
                <w:sz w:val="20"/>
              </w:rPr>
              <w:t> </w:t>
            </w:r>
            <w:r>
              <w:rPr>
                <w:sz w:val="20"/>
              </w:rPr>
              <w:t>Least</w:t>
            </w:r>
            <w:r>
              <w:rPr>
                <w:spacing w:val="-7"/>
                <w:sz w:val="20"/>
              </w:rPr>
              <w:t> </w:t>
            </w:r>
            <w:r>
              <w:rPr>
                <w:spacing w:val="-2"/>
                <w:sz w:val="20"/>
              </w:rPr>
              <w:t>Squares</w:t>
            </w:r>
          </w:p>
        </w:tc>
        <w:tc>
          <w:tcPr>
            <w:tcW w:w="1392" w:type="dxa"/>
          </w:tcPr>
          <w:p>
            <w:pPr>
              <w:pStyle w:val="TableParagraph"/>
              <w:rPr>
                <w:sz w:val="16"/>
              </w:rPr>
            </w:pPr>
          </w:p>
        </w:tc>
        <w:tc>
          <w:tcPr>
            <w:tcW w:w="1577" w:type="dxa"/>
          </w:tcPr>
          <w:p>
            <w:pPr>
              <w:pStyle w:val="TableParagraph"/>
              <w:rPr>
                <w:sz w:val="16"/>
              </w:rPr>
            </w:pPr>
          </w:p>
        </w:tc>
        <w:tc>
          <w:tcPr>
            <w:tcW w:w="935" w:type="dxa"/>
          </w:tcPr>
          <w:p>
            <w:pPr>
              <w:pStyle w:val="TableParagraph"/>
              <w:rPr>
                <w:sz w:val="16"/>
              </w:rPr>
            </w:pPr>
          </w:p>
        </w:tc>
        <w:tc>
          <w:tcPr>
            <w:tcW w:w="919" w:type="dxa"/>
          </w:tcPr>
          <w:p>
            <w:pPr>
              <w:pStyle w:val="TableParagraph"/>
              <w:rPr>
                <w:sz w:val="16"/>
              </w:rPr>
            </w:pPr>
          </w:p>
        </w:tc>
      </w:tr>
      <w:tr>
        <w:trPr>
          <w:trHeight w:val="230" w:hRule="atLeast"/>
        </w:trPr>
        <w:tc>
          <w:tcPr>
            <w:tcW w:w="7126" w:type="dxa"/>
            <w:gridSpan w:val="5"/>
          </w:tcPr>
          <w:p>
            <w:pPr>
              <w:pStyle w:val="TableParagraph"/>
              <w:spacing w:line="210" w:lineRule="exact"/>
              <w:ind w:left="350"/>
              <w:rPr>
                <w:sz w:val="20"/>
              </w:rPr>
            </w:pPr>
            <w:r>
              <w:rPr>
                <w:sz w:val="20"/>
              </w:rPr>
              <w:t>Date:</w:t>
            </w:r>
            <w:r>
              <w:rPr>
                <w:spacing w:val="-5"/>
                <w:sz w:val="20"/>
              </w:rPr>
              <w:t> </w:t>
            </w:r>
            <w:r>
              <w:rPr>
                <w:sz w:val="20"/>
              </w:rPr>
              <w:t>02/17/14</w:t>
            </w:r>
            <w:r>
              <w:rPr>
                <w:spacing w:val="63"/>
                <w:w w:val="150"/>
                <w:sz w:val="20"/>
              </w:rPr>
              <w:t> </w:t>
            </w:r>
            <w:r>
              <w:rPr>
                <w:sz w:val="20"/>
              </w:rPr>
              <w:t>Time:</w:t>
            </w:r>
            <w:r>
              <w:rPr>
                <w:spacing w:val="-3"/>
                <w:sz w:val="20"/>
              </w:rPr>
              <w:t> </w:t>
            </w:r>
            <w:r>
              <w:rPr>
                <w:spacing w:val="-2"/>
                <w:sz w:val="20"/>
              </w:rPr>
              <w:t>16:22</w:t>
            </w:r>
          </w:p>
        </w:tc>
      </w:tr>
      <w:tr>
        <w:trPr>
          <w:trHeight w:val="230" w:hRule="atLeast"/>
        </w:trPr>
        <w:tc>
          <w:tcPr>
            <w:tcW w:w="2303" w:type="dxa"/>
          </w:tcPr>
          <w:p>
            <w:pPr>
              <w:pStyle w:val="TableParagraph"/>
              <w:spacing w:line="210" w:lineRule="exact"/>
              <w:ind w:left="350"/>
              <w:rPr>
                <w:sz w:val="20"/>
              </w:rPr>
            </w:pPr>
            <w:r>
              <w:rPr>
                <w:sz w:val="20"/>
              </w:rPr>
              <w:t>Sample:</w:t>
            </w:r>
            <w:r>
              <w:rPr>
                <w:spacing w:val="-5"/>
                <w:sz w:val="20"/>
              </w:rPr>
              <w:t> </w:t>
            </w:r>
            <w:r>
              <w:rPr>
                <w:sz w:val="20"/>
              </w:rPr>
              <w:t>1970</w:t>
            </w:r>
            <w:r>
              <w:rPr>
                <w:spacing w:val="-3"/>
                <w:sz w:val="20"/>
              </w:rPr>
              <w:t> </w:t>
            </w:r>
            <w:r>
              <w:rPr>
                <w:spacing w:val="-4"/>
                <w:sz w:val="20"/>
              </w:rPr>
              <w:t>2011</w:t>
            </w:r>
          </w:p>
        </w:tc>
        <w:tc>
          <w:tcPr>
            <w:tcW w:w="1392" w:type="dxa"/>
          </w:tcPr>
          <w:p>
            <w:pPr>
              <w:pStyle w:val="TableParagraph"/>
              <w:rPr>
                <w:sz w:val="16"/>
              </w:rPr>
            </w:pPr>
          </w:p>
        </w:tc>
        <w:tc>
          <w:tcPr>
            <w:tcW w:w="1577" w:type="dxa"/>
          </w:tcPr>
          <w:p>
            <w:pPr>
              <w:pStyle w:val="TableParagraph"/>
              <w:rPr>
                <w:sz w:val="16"/>
              </w:rPr>
            </w:pPr>
          </w:p>
        </w:tc>
        <w:tc>
          <w:tcPr>
            <w:tcW w:w="935" w:type="dxa"/>
          </w:tcPr>
          <w:p>
            <w:pPr>
              <w:pStyle w:val="TableParagraph"/>
              <w:rPr>
                <w:sz w:val="16"/>
              </w:rPr>
            </w:pPr>
          </w:p>
        </w:tc>
        <w:tc>
          <w:tcPr>
            <w:tcW w:w="919" w:type="dxa"/>
          </w:tcPr>
          <w:p>
            <w:pPr>
              <w:pStyle w:val="TableParagraph"/>
              <w:rPr>
                <w:sz w:val="16"/>
              </w:rPr>
            </w:pPr>
          </w:p>
        </w:tc>
      </w:tr>
      <w:tr>
        <w:trPr>
          <w:trHeight w:val="224" w:hRule="atLeast"/>
        </w:trPr>
        <w:tc>
          <w:tcPr>
            <w:tcW w:w="7126" w:type="dxa"/>
            <w:gridSpan w:val="5"/>
          </w:tcPr>
          <w:p>
            <w:pPr>
              <w:pStyle w:val="TableParagraph"/>
              <w:spacing w:line="205" w:lineRule="exact"/>
              <w:ind w:left="350"/>
              <w:rPr>
                <w:sz w:val="20"/>
              </w:rPr>
            </w:pPr>
            <w:r>
              <w:rPr>
                <w:sz w:val="20"/>
              </w:rPr>
              <w:t>Included</w:t>
            </w:r>
            <w:r>
              <w:rPr>
                <w:spacing w:val="-9"/>
                <w:sz w:val="20"/>
              </w:rPr>
              <w:t> </w:t>
            </w:r>
            <w:r>
              <w:rPr>
                <w:sz w:val="20"/>
              </w:rPr>
              <w:t>observations:</w:t>
            </w:r>
            <w:r>
              <w:rPr>
                <w:spacing w:val="-10"/>
                <w:sz w:val="20"/>
              </w:rPr>
              <w:t> </w:t>
            </w:r>
            <w:r>
              <w:rPr>
                <w:spacing w:val="-5"/>
                <w:sz w:val="20"/>
              </w:rPr>
              <w:t>42</w:t>
            </w:r>
          </w:p>
        </w:tc>
      </w:tr>
      <w:tr>
        <w:trPr>
          <w:trHeight w:val="269" w:hRule="atLeast"/>
        </w:trPr>
        <w:tc>
          <w:tcPr>
            <w:tcW w:w="2303" w:type="dxa"/>
            <w:tcBorders>
              <w:top w:val="double" w:sz="6" w:space="0" w:color="000000"/>
              <w:bottom w:val="double" w:sz="6" w:space="0" w:color="000000"/>
            </w:tcBorders>
          </w:tcPr>
          <w:p>
            <w:pPr>
              <w:pStyle w:val="TableParagraph"/>
              <w:spacing w:line="209" w:lineRule="exact" w:before="40"/>
              <w:ind w:left="1041"/>
              <w:rPr>
                <w:sz w:val="20"/>
              </w:rPr>
            </w:pPr>
            <w:r>
              <w:rPr>
                <w:spacing w:val="-2"/>
                <w:sz w:val="20"/>
              </w:rPr>
              <w:t>Variable</w:t>
            </w:r>
          </w:p>
        </w:tc>
        <w:tc>
          <w:tcPr>
            <w:tcW w:w="1392" w:type="dxa"/>
            <w:tcBorders>
              <w:top w:val="double" w:sz="6" w:space="0" w:color="000000"/>
              <w:bottom w:val="double" w:sz="6" w:space="0" w:color="000000"/>
            </w:tcBorders>
          </w:tcPr>
          <w:p>
            <w:pPr>
              <w:pStyle w:val="TableParagraph"/>
              <w:spacing w:line="209" w:lineRule="exact" w:before="40"/>
              <w:ind w:right="133"/>
              <w:jc w:val="right"/>
              <w:rPr>
                <w:sz w:val="20"/>
              </w:rPr>
            </w:pPr>
            <w:r>
              <w:rPr>
                <w:spacing w:val="-2"/>
                <w:sz w:val="20"/>
              </w:rPr>
              <w:t>Coefficient</w:t>
            </w:r>
          </w:p>
        </w:tc>
        <w:tc>
          <w:tcPr>
            <w:tcW w:w="1577" w:type="dxa"/>
            <w:tcBorders>
              <w:top w:val="double" w:sz="6" w:space="0" w:color="000000"/>
              <w:bottom w:val="double" w:sz="6" w:space="0" w:color="000000"/>
            </w:tcBorders>
          </w:tcPr>
          <w:p>
            <w:pPr>
              <w:pStyle w:val="TableParagraph"/>
              <w:spacing w:line="209" w:lineRule="exact" w:before="40"/>
              <w:ind w:left="332"/>
              <w:rPr>
                <w:sz w:val="20"/>
              </w:rPr>
            </w:pPr>
            <w:r>
              <w:rPr>
                <w:sz w:val="20"/>
              </w:rPr>
              <w:t>Std.</w:t>
            </w:r>
            <w:r>
              <w:rPr>
                <w:spacing w:val="-4"/>
                <w:sz w:val="20"/>
              </w:rPr>
              <w:t> </w:t>
            </w:r>
            <w:r>
              <w:rPr>
                <w:spacing w:val="-2"/>
                <w:sz w:val="20"/>
              </w:rPr>
              <w:t>Error</w:t>
            </w:r>
          </w:p>
        </w:tc>
        <w:tc>
          <w:tcPr>
            <w:tcW w:w="935" w:type="dxa"/>
            <w:tcBorders>
              <w:top w:val="double" w:sz="6" w:space="0" w:color="000000"/>
              <w:bottom w:val="double" w:sz="6" w:space="0" w:color="000000"/>
            </w:tcBorders>
          </w:tcPr>
          <w:p>
            <w:pPr>
              <w:pStyle w:val="TableParagraph"/>
              <w:spacing w:line="209" w:lineRule="exact" w:before="40"/>
              <w:ind w:right="104"/>
              <w:jc w:val="center"/>
              <w:rPr>
                <w:sz w:val="20"/>
              </w:rPr>
            </w:pPr>
            <w:r>
              <w:rPr>
                <w:spacing w:val="-4"/>
                <w:sz w:val="20"/>
              </w:rPr>
              <w:t>t-</w:t>
            </w:r>
            <w:r>
              <w:rPr>
                <w:spacing w:val="-2"/>
                <w:sz w:val="20"/>
              </w:rPr>
              <w:t>Statistic</w:t>
            </w:r>
          </w:p>
        </w:tc>
        <w:tc>
          <w:tcPr>
            <w:tcW w:w="919" w:type="dxa"/>
            <w:tcBorders>
              <w:top w:val="double" w:sz="6" w:space="0" w:color="000000"/>
              <w:bottom w:val="double" w:sz="6" w:space="0" w:color="000000"/>
            </w:tcBorders>
          </w:tcPr>
          <w:p>
            <w:pPr>
              <w:pStyle w:val="TableParagraph"/>
              <w:spacing w:line="209" w:lineRule="exact" w:before="40"/>
              <w:ind w:right="29"/>
              <w:jc w:val="right"/>
              <w:rPr>
                <w:sz w:val="20"/>
              </w:rPr>
            </w:pPr>
            <w:r>
              <w:rPr>
                <w:spacing w:val="-2"/>
                <w:sz w:val="20"/>
              </w:rPr>
              <w:t>Prob.</w:t>
            </w:r>
          </w:p>
        </w:tc>
      </w:tr>
      <w:tr>
        <w:trPr>
          <w:trHeight w:val="275" w:hRule="atLeast"/>
        </w:trPr>
        <w:tc>
          <w:tcPr>
            <w:tcW w:w="2303" w:type="dxa"/>
            <w:tcBorders>
              <w:top w:val="double" w:sz="6" w:space="0" w:color="000000"/>
            </w:tcBorders>
          </w:tcPr>
          <w:p>
            <w:pPr>
              <w:pStyle w:val="TableParagraph"/>
              <w:spacing w:line="215" w:lineRule="exact" w:before="40"/>
              <w:ind w:left="469"/>
              <w:jc w:val="center"/>
              <w:rPr>
                <w:sz w:val="20"/>
              </w:rPr>
            </w:pPr>
            <w:r>
              <w:rPr>
                <w:spacing w:val="-10"/>
                <w:sz w:val="20"/>
              </w:rPr>
              <w:t>C</w:t>
            </w:r>
          </w:p>
        </w:tc>
        <w:tc>
          <w:tcPr>
            <w:tcW w:w="1392" w:type="dxa"/>
            <w:tcBorders>
              <w:top w:val="double" w:sz="6" w:space="0" w:color="000000"/>
            </w:tcBorders>
          </w:tcPr>
          <w:p>
            <w:pPr>
              <w:pStyle w:val="TableParagraph"/>
              <w:spacing w:line="215" w:lineRule="exact" w:before="40"/>
              <w:ind w:right="129"/>
              <w:jc w:val="right"/>
              <w:rPr>
                <w:sz w:val="20"/>
              </w:rPr>
            </w:pPr>
            <w:r>
              <w:rPr>
                <w:spacing w:val="-2"/>
                <w:sz w:val="20"/>
              </w:rPr>
              <w:t>2.836515</w:t>
            </w:r>
          </w:p>
        </w:tc>
        <w:tc>
          <w:tcPr>
            <w:tcW w:w="1577" w:type="dxa"/>
            <w:tcBorders>
              <w:top w:val="double" w:sz="6" w:space="0" w:color="000000"/>
            </w:tcBorders>
          </w:tcPr>
          <w:p>
            <w:pPr>
              <w:pStyle w:val="TableParagraph"/>
              <w:spacing w:line="215" w:lineRule="exact" w:before="40"/>
              <w:ind w:left="371"/>
              <w:rPr>
                <w:sz w:val="20"/>
              </w:rPr>
            </w:pPr>
            <w:r>
              <w:rPr>
                <w:spacing w:val="-2"/>
                <w:sz w:val="20"/>
              </w:rPr>
              <w:t>0.347164</w:t>
            </w:r>
          </w:p>
        </w:tc>
        <w:tc>
          <w:tcPr>
            <w:tcW w:w="935" w:type="dxa"/>
            <w:tcBorders>
              <w:top w:val="double" w:sz="6" w:space="0" w:color="000000"/>
            </w:tcBorders>
          </w:tcPr>
          <w:p>
            <w:pPr>
              <w:pStyle w:val="TableParagraph"/>
              <w:spacing w:line="215" w:lineRule="exact" w:before="40"/>
              <w:ind w:left="17" w:right="104"/>
              <w:jc w:val="center"/>
              <w:rPr>
                <w:sz w:val="20"/>
              </w:rPr>
            </w:pPr>
            <w:r>
              <w:rPr>
                <w:spacing w:val="-2"/>
                <w:sz w:val="20"/>
              </w:rPr>
              <w:t>8.170538</w:t>
            </w:r>
          </w:p>
        </w:tc>
        <w:tc>
          <w:tcPr>
            <w:tcW w:w="919" w:type="dxa"/>
            <w:tcBorders>
              <w:top w:val="double" w:sz="6" w:space="0" w:color="000000"/>
            </w:tcBorders>
          </w:tcPr>
          <w:p>
            <w:pPr>
              <w:pStyle w:val="TableParagraph"/>
              <w:spacing w:line="215" w:lineRule="exact" w:before="40"/>
              <w:ind w:right="28"/>
              <w:jc w:val="right"/>
              <w:rPr>
                <w:sz w:val="20"/>
              </w:rPr>
            </w:pPr>
            <w:r>
              <w:rPr>
                <w:spacing w:val="-2"/>
                <w:sz w:val="20"/>
              </w:rPr>
              <w:t>0.0000</w:t>
            </w:r>
          </w:p>
        </w:tc>
      </w:tr>
      <w:tr>
        <w:trPr>
          <w:trHeight w:val="230" w:hRule="atLeast"/>
        </w:trPr>
        <w:tc>
          <w:tcPr>
            <w:tcW w:w="2303" w:type="dxa"/>
          </w:tcPr>
          <w:p>
            <w:pPr>
              <w:pStyle w:val="TableParagraph"/>
              <w:spacing w:line="210" w:lineRule="exact"/>
              <w:ind w:left="931"/>
              <w:rPr>
                <w:sz w:val="20"/>
              </w:rPr>
            </w:pPr>
            <w:r>
              <w:rPr>
                <w:spacing w:val="-2"/>
                <w:sz w:val="20"/>
              </w:rPr>
              <w:t>EXTDEBT</w:t>
            </w:r>
          </w:p>
        </w:tc>
        <w:tc>
          <w:tcPr>
            <w:tcW w:w="1392" w:type="dxa"/>
          </w:tcPr>
          <w:p>
            <w:pPr>
              <w:pStyle w:val="TableParagraph"/>
              <w:spacing w:line="210" w:lineRule="exact"/>
              <w:ind w:right="129"/>
              <w:jc w:val="right"/>
              <w:rPr>
                <w:sz w:val="20"/>
              </w:rPr>
            </w:pPr>
            <w:r>
              <w:rPr>
                <w:spacing w:val="-2"/>
                <w:sz w:val="20"/>
              </w:rPr>
              <w:t>0.059176</w:t>
            </w:r>
          </w:p>
        </w:tc>
        <w:tc>
          <w:tcPr>
            <w:tcW w:w="1577" w:type="dxa"/>
          </w:tcPr>
          <w:p>
            <w:pPr>
              <w:pStyle w:val="TableParagraph"/>
              <w:spacing w:line="210" w:lineRule="exact"/>
              <w:ind w:left="371"/>
              <w:rPr>
                <w:sz w:val="20"/>
              </w:rPr>
            </w:pPr>
            <w:r>
              <w:rPr>
                <w:spacing w:val="-2"/>
                <w:sz w:val="20"/>
              </w:rPr>
              <w:t>0.029798</w:t>
            </w:r>
          </w:p>
        </w:tc>
        <w:tc>
          <w:tcPr>
            <w:tcW w:w="935" w:type="dxa"/>
          </w:tcPr>
          <w:p>
            <w:pPr>
              <w:pStyle w:val="TableParagraph"/>
              <w:spacing w:line="210" w:lineRule="exact"/>
              <w:ind w:left="17" w:right="104"/>
              <w:jc w:val="center"/>
              <w:rPr>
                <w:sz w:val="20"/>
              </w:rPr>
            </w:pPr>
            <w:r>
              <w:rPr>
                <w:spacing w:val="-2"/>
                <w:sz w:val="20"/>
              </w:rPr>
              <w:t>1.985894</w:t>
            </w:r>
          </w:p>
        </w:tc>
        <w:tc>
          <w:tcPr>
            <w:tcW w:w="919" w:type="dxa"/>
          </w:tcPr>
          <w:p>
            <w:pPr>
              <w:pStyle w:val="TableParagraph"/>
              <w:spacing w:line="210" w:lineRule="exact"/>
              <w:ind w:right="28"/>
              <w:jc w:val="right"/>
              <w:rPr>
                <w:sz w:val="20"/>
              </w:rPr>
            </w:pPr>
            <w:r>
              <w:rPr>
                <w:spacing w:val="-2"/>
                <w:sz w:val="20"/>
              </w:rPr>
              <w:t>0.0547</w:t>
            </w:r>
          </w:p>
        </w:tc>
      </w:tr>
      <w:tr>
        <w:trPr>
          <w:trHeight w:val="230" w:hRule="atLeast"/>
        </w:trPr>
        <w:tc>
          <w:tcPr>
            <w:tcW w:w="2303" w:type="dxa"/>
          </w:tcPr>
          <w:p>
            <w:pPr>
              <w:pStyle w:val="TableParagraph"/>
              <w:spacing w:line="210" w:lineRule="exact"/>
              <w:ind w:left="1226"/>
              <w:rPr>
                <w:sz w:val="20"/>
              </w:rPr>
            </w:pPr>
            <w:r>
              <w:rPr>
                <w:spacing w:val="-5"/>
                <w:sz w:val="20"/>
              </w:rPr>
              <w:t>DFI</w:t>
            </w:r>
          </w:p>
        </w:tc>
        <w:tc>
          <w:tcPr>
            <w:tcW w:w="1392" w:type="dxa"/>
          </w:tcPr>
          <w:p>
            <w:pPr>
              <w:pStyle w:val="TableParagraph"/>
              <w:spacing w:line="210" w:lineRule="exact"/>
              <w:ind w:right="129"/>
              <w:jc w:val="right"/>
              <w:rPr>
                <w:sz w:val="20"/>
              </w:rPr>
            </w:pPr>
            <w:r>
              <w:rPr>
                <w:spacing w:val="-2"/>
                <w:sz w:val="20"/>
              </w:rPr>
              <w:t>0.611646</w:t>
            </w:r>
          </w:p>
        </w:tc>
        <w:tc>
          <w:tcPr>
            <w:tcW w:w="1577" w:type="dxa"/>
          </w:tcPr>
          <w:p>
            <w:pPr>
              <w:pStyle w:val="TableParagraph"/>
              <w:spacing w:line="210" w:lineRule="exact"/>
              <w:ind w:left="371"/>
              <w:rPr>
                <w:sz w:val="20"/>
              </w:rPr>
            </w:pPr>
            <w:r>
              <w:rPr>
                <w:spacing w:val="-2"/>
                <w:sz w:val="20"/>
              </w:rPr>
              <w:t>0.064928</w:t>
            </w:r>
          </w:p>
        </w:tc>
        <w:tc>
          <w:tcPr>
            <w:tcW w:w="935" w:type="dxa"/>
          </w:tcPr>
          <w:p>
            <w:pPr>
              <w:pStyle w:val="TableParagraph"/>
              <w:spacing w:line="210" w:lineRule="exact"/>
              <w:ind w:left="17" w:right="104"/>
              <w:jc w:val="center"/>
              <w:rPr>
                <w:sz w:val="20"/>
              </w:rPr>
            </w:pPr>
            <w:r>
              <w:rPr>
                <w:spacing w:val="-2"/>
                <w:sz w:val="20"/>
              </w:rPr>
              <w:t>9.420443</w:t>
            </w:r>
          </w:p>
        </w:tc>
        <w:tc>
          <w:tcPr>
            <w:tcW w:w="919" w:type="dxa"/>
          </w:tcPr>
          <w:p>
            <w:pPr>
              <w:pStyle w:val="TableParagraph"/>
              <w:spacing w:line="210" w:lineRule="exact"/>
              <w:ind w:right="28"/>
              <w:jc w:val="right"/>
              <w:rPr>
                <w:sz w:val="20"/>
              </w:rPr>
            </w:pPr>
            <w:r>
              <w:rPr>
                <w:spacing w:val="-2"/>
                <w:sz w:val="20"/>
              </w:rPr>
              <w:t>0.0000</w:t>
            </w:r>
          </w:p>
        </w:tc>
      </w:tr>
      <w:tr>
        <w:trPr>
          <w:trHeight w:val="229" w:hRule="atLeast"/>
        </w:trPr>
        <w:tc>
          <w:tcPr>
            <w:tcW w:w="2303" w:type="dxa"/>
          </w:tcPr>
          <w:p>
            <w:pPr>
              <w:pStyle w:val="TableParagraph"/>
              <w:spacing w:line="209" w:lineRule="exact"/>
              <w:ind w:left="1180"/>
              <w:rPr>
                <w:sz w:val="20"/>
              </w:rPr>
            </w:pPr>
            <w:r>
              <w:rPr>
                <w:spacing w:val="-5"/>
                <w:sz w:val="20"/>
              </w:rPr>
              <w:t>CAB</w:t>
            </w:r>
          </w:p>
        </w:tc>
        <w:tc>
          <w:tcPr>
            <w:tcW w:w="1392" w:type="dxa"/>
          </w:tcPr>
          <w:p>
            <w:pPr>
              <w:pStyle w:val="TableParagraph"/>
              <w:spacing w:line="209" w:lineRule="exact"/>
              <w:ind w:right="129"/>
              <w:jc w:val="right"/>
              <w:rPr>
                <w:sz w:val="20"/>
              </w:rPr>
            </w:pPr>
            <w:r>
              <w:rPr>
                <w:spacing w:val="-2"/>
                <w:sz w:val="20"/>
              </w:rPr>
              <w:t>0.149739</w:t>
            </w:r>
          </w:p>
        </w:tc>
        <w:tc>
          <w:tcPr>
            <w:tcW w:w="1577" w:type="dxa"/>
          </w:tcPr>
          <w:p>
            <w:pPr>
              <w:pStyle w:val="TableParagraph"/>
              <w:spacing w:line="209" w:lineRule="exact"/>
              <w:ind w:left="371"/>
              <w:rPr>
                <w:sz w:val="20"/>
              </w:rPr>
            </w:pPr>
            <w:r>
              <w:rPr>
                <w:spacing w:val="-2"/>
                <w:sz w:val="20"/>
              </w:rPr>
              <w:t>0.060295</w:t>
            </w:r>
          </w:p>
        </w:tc>
        <w:tc>
          <w:tcPr>
            <w:tcW w:w="935" w:type="dxa"/>
          </w:tcPr>
          <w:p>
            <w:pPr>
              <w:pStyle w:val="TableParagraph"/>
              <w:spacing w:line="209" w:lineRule="exact"/>
              <w:ind w:left="17" w:right="104"/>
              <w:jc w:val="center"/>
              <w:rPr>
                <w:sz w:val="20"/>
              </w:rPr>
            </w:pPr>
            <w:r>
              <w:rPr>
                <w:spacing w:val="-2"/>
                <w:sz w:val="20"/>
              </w:rPr>
              <w:t>2.483446</w:t>
            </w:r>
          </w:p>
        </w:tc>
        <w:tc>
          <w:tcPr>
            <w:tcW w:w="919" w:type="dxa"/>
          </w:tcPr>
          <w:p>
            <w:pPr>
              <w:pStyle w:val="TableParagraph"/>
              <w:spacing w:line="209" w:lineRule="exact"/>
              <w:ind w:right="28"/>
              <w:jc w:val="right"/>
              <w:rPr>
                <w:sz w:val="20"/>
              </w:rPr>
            </w:pPr>
            <w:r>
              <w:rPr>
                <w:spacing w:val="-2"/>
                <w:sz w:val="20"/>
              </w:rPr>
              <w:t>0.0178</w:t>
            </w:r>
          </w:p>
        </w:tc>
      </w:tr>
      <w:tr>
        <w:trPr>
          <w:trHeight w:val="229" w:hRule="atLeast"/>
        </w:trPr>
        <w:tc>
          <w:tcPr>
            <w:tcW w:w="2303" w:type="dxa"/>
          </w:tcPr>
          <w:p>
            <w:pPr>
              <w:pStyle w:val="TableParagraph"/>
              <w:spacing w:line="209" w:lineRule="exact"/>
              <w:ind w:left="1202"/>
              <w:rPr>
                <w:sz w:val="20"/>
              </w:rPr>
            </w:pPr>
            <w:r>
              <w:rPr>
                <w:spacing w:val="-5"/>
                <w:sz w:val="20"/>
              </w:rPr>
              <w:t>RES</w:t>
            </w:r>
          </w:p>
        </w:tc>
        <w:tc>
          <w:tcPr>
            <w:tcW w:w="1392" w:type="dxa"/>
          </w:tcPr>
          <w:p>
            <w:pPr>
              <w:pStyle w:val="TableParagraph"/>
              <w:spacing w:line="209" w:lineRule="exact"/>
              <w:ind w:right="129"/>
              <w:jc w:val="right"/>
              <w:rPr>
                <w:sz w:val="20"/>
              </w:rPr>
            </w:pPr>
            <w:r>
              <w:rPr>
                <w:spacing w:val="-2"/>
                <w:sz w:val="20"/>
              </w:rPr>
              <w:t>0.194025</w:t>
            </w:r>
          </w:p>
        </w:tc>
        <w:tc>
          <w:tcPr>
            <w:tcW w:w="1577" w:type="dxa"/>
          </w:tcPr>
          <w:p>
            <w:pPr>
              <w:pStyle w:val="TableParagraph"/>
              <w:spacing w:line="209" w:lineRule="exact"/>
              <w:ind w:left="371"/>
              <w:rPr>
                <w:sz w:val="20"/>
              </w:rPr>
            </w:pPr>
            <w:r>
              <w:rPr>
                <w:spacing w:val="-2"/>
                <w:sz w:val="20"/>
              </w:rPr>
              <w:t>0.070490</w:t>
            </w:r>
          </w:p>
        </w:tc>
        <w:tc>
          <w:tcPr>
            <w:tcW w:w="935" w:type="dxa"/>
          </w:tcPr>
          <w:p>
            <w:pPr>
              <w:pStyle w:val="TableParagraph"/>
              <w:spacing w:line="209" w:lineRule="exact"/>
              <w:ind w:left="17" w:right="104"/>
              <w:jc w:val="center"/>
              <w:rPr>
                <w:sz w:val="20"/>
              </w:rPr>
            </w:pPr>
            <w:r>
              <w:rPr>
                <w:spacing w:val="-2"/>
                <w:sz w:val="20"/>
              </w:rPr>
              <w:t>2.752518</w:t>
            </w:r>
          </w:p>
        </w:tc>
        <w:tc>
          <w:tcPr>
            <w:tcW w:w="919" w:type="dxa"/>
          </w:tcPr>
          <w:p>
            <w:pPr>
              <w:pStyle w:val="TableParagraph"/>
              <w:spacing w:line="209" w:lineRule="exact"/>
              <w:ind w:right="28"/>
              <w:jc w:val="right"/>
              <w:rPr>
                <w:sz w:val="20"/>
              </w:rPr>
            </w:pPr>
            <w:r>
              <w:rPr>
                <w:spacing w:val="-2"/>
                <w:sz w:val="20"/>
              </w:rPr>
              <w:t>0.0092</w:t>
            </w:r>
          </w:p>
        </w:tc>
      </w:tr>
      <w:tr>
        <w:trPr>
          <w:trHeight w:val="225" w:hRule="atLeast"/>
        </w:trPr>
        <w:tc>
          <w:tcPr>
            <w:tcW w:w="2303" w:type="dxa"/>
            <w:tcBorders>
              <w:bottom w:val="double" w:sz="6" w:space="0" w:color="000000"/>
            </w:tcBorders>
          </w:tcPr>
          <w:p>
            <w:pPr>
              <w:pStyle w:val="TableParagraph"/>
              <w:spacing w:line="205" w:lineRule="exact"/>
              <w:ind w:left="991"/>
              <w:rPr>
                <w:sz w:val="20"/>
              </w:rPr>
            </w:pPr>
            <w:r>
              <w:rPr>
                <w:spacing w:val="-2"/>
                <w:sz w:val="20"/>
              </w:rPr>
              <w:t>NEXTAS</w:t>
            </w:r>
          </w:p>
        </w:tc>
        <w:tc>
          <w:tcPr>
            <w:tcW w:w="1392" w:type="dxa"/>
            <w:tcBorders>
              <w:bottom w:val="double" w:sz="6" w:space="0" w:color="000000"/>
            </w:tcBorders>
          </w:tcPr>
          <w:p>
            <w:pPr>
              <w:pStyle w:val="TableParagraph"/>
              <w:spacing w:line="205" w:lineRule="exact"/>
              <w:ind w:right="129"/>
              <w:jc w:val="right"/>
              <w:rPr>
                <w:sz w:val="20"/>
              </w:rPr>
            </w:pPr>
            <w:r>
              <w:rPr>
                <w:spacing w:val="-2"/>
                <w:sz w:val="20"/>
              </w:rPr>
              <w:t>0.008570</w:t>
            </w:r>
          </w:p>
        </w:tc>
        <w:tc>
          <w:tcPr>
            <w:tcW w:w="1577" w:type="dxa"/>
            <w:tcBorders>
              <w:bottom w:val="double" w:sz="6" w:space="0" w:color="000000"/>
            </w:tcBorders>
          </w:tcPr>
          <w:p>
            <w:pPr>
              <w:pStyle w:val="TableParagraph"/>
              <w:spacing w:line="205" w:lineRule="exact"/>
              <w:ind w:left="371"/>
              <w:rPr>
                <w:sz w:val="20"/>
              </w:rPr>
            </w:pPr>
            <w:r>
              <w:rPr>
                <w:spacing w:val="-2"/>
                <w:sz w:val="20"/>
              </w:rPr>
              <w:t>0.069472</w:t>
            </w:r>
          </w:p>
        </w:tc>
        <w:tc>
          <w:tcPr>
            <w:tcW w:w="935" w:type="dxa"/>
            <w:tcBorders>
              <w:bottom w:val="double" w:sz="6" w:space="0" w:color="000000"/>
            </w:tcBorders>
          </w:tcPr>
          <w:p>
            <w:pPr>
              <w:pStyle w:val="TableParagraph"/>
              <w:spacing w:line="205" w:lineRule="exact"/>
              <w:ind w:left="17" w:right="104"/>
              <w:jc w:val="center"/>
              <w:rPr>
                <w:sz w:val="20"/>
              </w:rPr>
            </w:pPr>
            <w:r>
              <w:rPr>
                <w:spacing w:val="-2"/>
                <w:sz w:val="20"/>
              </w:rPr>
              <w:t>0.123354</w:t>
            </w:r>
          </w:p>
        </w:tc>
        <w:tc>
          <w:tcPr>
            <w:tcW w:w="919" w:type="dxa"/>
            <w:tcBorders>
              <w:bottom w:val="double" w:sz="6" w:space="0" w:color="000000"/>
            </w:tcBorders>
          </w:tcPr>
          <w:p>
            <w:pPr>
              <w:pStyle w:val="TableParagraph"/>
              <w:spacing w:line="205" w:lineRule="exact"/>
              <w:ind w:right="28"/>
              <w:jc w:val="right"/>
              <w:rPr>
                <w:sz w:val="20"/>
              </w:rPr>
            </w:pPr>
            <w:r>
              <w:rPr>
                <w:spacing w:val="-2"/>
                <w:sz w:val="20"/>
              </w:rPr>
              <w:t>0.9025</w:t>
            </w:r>
          </w:p>
        </w:tc>
      </w:tr>
      <w:tr>
        <w:trPr>
          <w:trHeight w:val="275" w:hRule="atLeast"/>
        </w:trPr>
        <w:tc>
          <w:tcPr>
            <w:tcW w:w="2303" w:type="dxa"/>
            <w:tcBorders>
              <w:top w:val="double" w:sz="6" w:space="0" w:color="000000"/>
            </w:tcBorders>
          </w:tcPr>
          <w:p>
            <w:pPr>
              <w:pStyle w:val="TableParagraph"/>
              <w:spacing w:line="215" w:lineRule="exact" w:before="40"/>
              <w:ind w:left="350"/>
              <w:rPr>
                <w:sz w:val="20"/>
              </w:rPr>
            </w:pPr>
            <w:r>
              <w:rPr>
                <w:spacing w:val="-2"/>
                <w:sz w:val="20"/>
              </w:rPr>
              <w:t>R-squared</w:t>
            </w:r>
          </w:p>
        </w:tc>
        <w:tc>
          <w:tcPr>
            <w:tcW w:w="1392" w:type="dxa"/>
            <w:tcBorders>
              <w:top w:val="double" w:sz="6" w:space="0" w:color="000000"/>
            </w:tcBorders>
          </w:tcPr>
          <w:p>
            <w:pPr>
              <w:pStyle w:val="TableParagraph"/>
              <w:spacing w:line="215" w:lineRule="exact" w:before="40"/>
              <w:ind w:right="129"/>
              <w:jc w:val="right"/>
              <w:rPr>
                <w:sz w:val="20"/>
              </w:rPr>
            </w:pPr>
            <w:r>
              <w:rPr>
                <w:spacing w:val="-2"/>
                <w:sz w:val="20"/>
              </w:rPr>
              <w:t>0.980406</w:t>
            </w:r>
          </w:p>
        </w:tc>
        <w:tc>
          <w:tcPr>
            <w:tcW w:w="2512" w:type="dxa"/>
            <w:gridSpan w:val="2"/>
            <w:tcBorders>
              <w:top w:val="double" w:sz="6" w:space="0" w:color="000000"/>
            </w:tcBorders>
          </w:tcPr>
          <w:p>
            <w:pPr>
              <w:pStyle w:val="TableParagraph"/>
              <w:spacing w:line="215" w:lineRule="exact" w:before="40"/>
              <w:ind w:left="131"/>
              <w:rPr>
                <w:sz w:val="20"/>
              </w:rPr>
            </w:pPr>
            <w:r>
              <w:rPr>
                <w:sz w:val="20"/>
              </w:rPr>
              <w:t>Mean</w:t>
            </w:r>
            <w:r>
              <w:rPr>
                <w:spacing w:val="-7"/>
                <w:sz w:val="20"/>
              </w:rPr>
              <w:t> </w:t>
            </w:r>
            <w:r>
              <w:rPr>
                <w:sz w:val="20"/>
              </w:rPr>
              <w:t>dependent</w:t>
            </w:r>
            <w:r>
              <w:rPr>
                <w:spacing w:val="-7"/>
                <w:sz w:val="20"/>
              </w:rPr>
              <w:t> </w:t>
            </w:r>
            <w:r>
              <w:rPr>
                <w:spacing w:val="-5"/>
                <w:sz w:val="20"/>
              </w:rPr>
              <w:t>var</w:t>
            </w:r>
          </w:p>
        </w:tc>
        <w:tc>
          <w:tcPr>
            <w:tcW w:w="919" w:type="dxa"/>
            <w:tcBorders>
              <w:top w:val="double" w:sz="6" w:space="0" w:color="000000"/>
            </w:tcBorders>
          </w:tcPr>
          <w:p>
            <w:pPr>
              <w:pStyle w:val="TableParagraph"/>
              <w:spacing w:line="215" w:lineRule="exact" w:before="40"/>
              <w:ind w:right="28"/>
              <w:jc w:val="right"/>
              <w:rPr>
                <w:sz w:val="20"/>
              </w:rPr>
            </w:pPr>
            <w:r>
              <w:rPr>
                <w:spacing w:val="-2"/>
                <w:sz w:val="20"/>
              </w:rPr>
              <w:t>12.99879</w:t>
            </w:r>
          </w:p>
        </w:tc>
      </w:tr>
      <w:tr>
        <w:trPr>
          <w:trHeight w:val="230" w:hRule="atLeast"/>
        </w:trPr>
        <w:tc>
          <w:tcPr>
            <w:tcW w:w="2303" w:type="dxa"/>
          </w:tcPr>
          <w:p>
            <w:pPr>
              <w:pStyle w:val="TableParagraph"/>
              <w:spacing w:line="210" w:lineRule="exact"/>
              <w:ind w:left="350"/>
              <w:rPr>
                <w:sz w:val="20"/>
              </w:rPr>
            </w:pPr>
            <w:r>
              <w:rPr>
                <w:sz w:val="20"/>
              </w:rPr>
              <w:t>Adjusted</w:t>
            </w:r>
            <w:r>
              <w:rPr>
                <w:spacing w:val="-10"/>
                <w:sz w:val="20"/>
              </w:rPr>
              <w:t> </w:t>
            </w:r>
            <w:r>
              <w:rPr>
                <w:sz w:val="20"/>
              </w:rPr>
              <w:t>R-</w:t>
            </w:r>
            <w:r>
              <w:rPr>
                <w:spacing w:val="-2"/>
                <w:sz w:val="20"/>
              </w:rPr>
              <w:t>squared</w:t>
            </w:r>
          </w:p>
        </w:tc>
        <w:tc>
          <w:tcPr>
            <w:tcW w:w="1392" w:type="dxa"/>
          </w:tcPr>
          <w:p>
            <w:pPr>
              <w:pStyle w:val="TableParagraph"/>
              <w:spacing w:line="210" w:lineRule="exact"/>
              <w:ind w:right="129"/>
              <w:jc w:val="right"/>
              <w:rPr>
                <w:sz w:val="20"/>
              </w:rPr>
            </w:pPr>
            <w:r>
              <w:rPr>
                <w:spacing w:val="-2"/>
                <w:sz w:val="20"/>
              </w:rPr>
              <w:t>0.977685</w:t>
            </w:r>
          </w:p>
        </w:tc>
        <w:tc>
          <w:tcPr>
            <w:tcW w:w="2512" w:type="dxa"/>
            <w:gridSpan w:val="2"/>
          </w:tcPr>
          <w:p>
            <w:pPr>
              <w:pStyle w:val="TableParagraph"/>
              <w:spacing w:line="210" w:lineRule="exact"/>
              <w:ind w:left="131"/>
              <w:rPr>
                <w:sz w:val="20"/>
              </w:rPr>
            </w:pPr>
            <w:r>
              <w:rPr>
                <w:sz w:val="20"/>
              </w:rPr>
              <w:t>S.D.</w:t>
            </w:r>
            <w:r>
              <w:rPr>
                <w:spacing w:val="-5"/>
                <w:sz w:val="20"/>
              </w:rPr>
              <w:t> </w:t>
            </w:r>
            <w:r>
              <w:rPr>
                <w:sz w:val="20"/>
              </w:rPr>
              <w:t>dependent</w:t>
            </w:r>
            <w:r>
              <w:rPr>
                <w:spacing w:val="-6"/>
                <w:sz w:val="20"/>
              </w:rPr>
              <w:t> </w:t>
            </w:r>
            <w:r>
              <w:rPr>
                <w:spacing w:val="-5"/>
                <w:sz w:val="20"/>
              </w:rPr>
              <w:t>var</w:t>
            </w:r>
          </w:p>
        </w:tc>
        <w:tc>
          <w:tcPr>
            <w:tcW w:w="919" w:type="dxa"/>
          </w:tcPr>
          <w:p>
            <w:pPr>
              <w:pStyle w:val="TableParagraph"/>
              <w:spacing w:line="210" w:lineRule="exact"/>
              <w:ind w:right="28"/>
              <w:jc w:val="right"/>
              <w:rPr>
                <w:sz w:val="20"/>
              </w:rPr>
            </w:pPr>
            <w:r>
              <w:rPr>
                <w:spacing w:val="-2"/>
                <w:sz w:val="20"/>
              </w:rPr>
              <w:t>2.778640</w:t>
            </w:r>
          </w:p>
        </w:tc>
      </w:tr>
      <w:tr>
        <w:trPr>
          <w:trHeight w:val="230" w:hRule="atLeast"/>
        </w:trPr>
        <w:tc>
          <w:tcPr>
            <w:tcW w:w="2303" w:type="dxa"/>
          </w:tcPr>
          <w:p>
            <w:pPr>
              <w:pStyle w:val="TableParagraph"/>
              <w:spacing w:line="210" w:lineRule="exact"/>
              <w:ind w:left="350"/>
              <w:rPr>
                <w:sz w:val="20"/>
              </w:rPr>
            </w:pPr>
            <w:r>
              <w:rPr>
                <w:sz w:val="20"/>
              </w:rPr>
              <w:t>S.E.</w:t>
            </w:r>
            <w:r>
              <w:rPr>
                <w:spacing w:val="-3"/>
                <w:sz w:val="20"/>
              </w:rPr>
              <w:t> </w:t>
            </w:r>
            <w:r>
              <w:rPr>
                <w:sz w:val="20"/>
              </w:rPr>
              <w:t>of</w:t>
            </w:r>
            <w:r>
              <w:rPr>
                <w:spacing w:val="-3"/>
                <w:sz w:val="20"/>
              </w:rPr>
              <w:t> </w:t>
            </w:r>
            <w:r>
              <w:rPr>
                <w:spacing w:val="-2"/>
                <w:sz w:val="20"/>
              </w:rPr>
              <w:t>regression</w:t>
            </w:r>
          </w:p>
        </w:tc>
        <w:tc>
          <w:tcPr>
            <w:tcW w:w="1392" w:type="dxa"/>
          </w:tcPr>
          <w:p>
            <w:pPr>
              <w:pStyle w:val="TableParagraph"/>
              <w:spacing w:line="210" w:lineRule="exact"/>
              <w:ind w:right="129"/>
              <w:jc w:val="right"/>
              <w:rPr>
                <w:sz w:val="20"/>
              </w:rPr>
            </w:pPr>
            <w:r>
              <w:rPr>
                <w:spacing w:val="-2"/>
                <w:sz w:val="20"/>
              </w:rPr>
              <w:t>0.415083</w:t>
            </w:r>
          </w:p>
        </w:tc>
        <w:tc>
          <w:tcPr>
            <w:tcW w:w="2512" w:type="dxa"/>
            <w:gridSpan w:val="2"/>
          </w:tcPr>
          <w:p>
            <w:pPr>
              <w:pStyle w:val="TableParagraph"/>
              <w:spacing w:line="210" w:lineRule="exact"/>
              <w:ind w:left="131"/>
              <w:rPr>
                <w:sz w:val="20"/>
              </w:rPr>
            </w:pPr>
            <w:r>
              <w:rPr>
                <w:sz w:val="20"/>
              </w:rPr>
              <w:t>Akaike</w:t>
            </w:r>
            <w:r>
              <w:rPr>
                <w:spacing w:val="-8"/>
                <w:sz w:val="20"/>
              </w:rPr>
              <w:t> </w:t>
            </w:r>
            <w:r>
              <w:rPr>
                <w:sz w:val="20"/>
              </w:rPr>
              <w:t>info</w:t>
            </w:r>
            <w:r>
              <w:rPr>
                <w:spacing w:val="-7"/>
                <w:sz w:val="20"/>
              </w:rPr>
              <w:t> </w:t>
            </w:r>
            <w:r>
              <w:rPr>
                <w:spacing w:val="-2"/>
                <w:sz w:val="20"/>
              </w:rPr>
              <w:t>criterion</w:t>
            </w:r>
          </w:p>
        </w:tc>
        <w:tc>
          <w:tcPr>
            <w:tcW w:w="919" w:type="dxa"/>
          </w:tcPr>
          <w:p>
            <w:pPr>
              <w:pStyle w:val="TableParagraph"/>
              <w:spacing w:line="210" w:lineRule="exact"/>
              <w:ind w:right="28"/>
              <w:jc w:val="right"/>
              <w:rPr>
                <w:sz w:val="20"/>
              </w:rPr>
            </w:pPr>
            <w:r>
              <w:rPr>
                <w:spacing w:val="-2"/>
                <w:sz w:val="20"/>
              </w:rPr>
              <w:t>1.210885</w:t>
            </w:r>
          </w:p>
        </w:tc>
      </w:tr>
      <w:tr>
        <w:trPr>
          <w:trHeight w:val="233" w:hRule="atLeast"/>
        </w:trPr>
        <w:tc>
          <w:tcPr>
            <w:tcW w:w="2303" w:type="dxa"/>
          </w:tcPr>
          <w:p>
            <w:pPr>
              <w:pStyle w:val="TableParagraph"/>
              <w:spacing w:line="214" w:lineRule="exact"/>
              <w:ind w:left="350"/>
              <w:rPr>
                <w:sz w:val="20"/>
              </w:rPr>
            </w:pPr>
            <w:r>
              <w:rPr>
                <w:sz w:val="20"/>
              </w:rPr>
              <w:t>Sum</w:t>
            </w:r>
            <w:r>
              <w:rPr>
                <w:spacing w:val="-8"/>
                <w:sz w:val="20"/>
              </w:rPr>
              <w:t> </w:t>
            </w:r>
            <w:r>
              <w:rPr>
                <w:sz w:val="20"/>
              </w:rPr>
              <w:t>squared</w:t>
            </w:r>
            <w:r>
              <w:rPr>
                <w:spacing w:val="-4"/>
                <w:sz w:val="20"/>
              </w:rPr>
              <w:t> </w:t>
            </w:r>
            <w:r>
              <w:rPr>
                <w:spacing w:val="-2"/>
                <w:sz w:val="20"/>
              </w:rPr>
              <w:t>resid</w:t>
            </w:r>
          </w:p>
        </w:tc>
        <w:tc>
          <w:tcPr>
            <w:tcW w:w="1392" w:type="dxa"/>
          </w:tcPr>
          <w:p>
            <w:pPr>
              <w:pStyle w:val="TableParagraph"/>
              <w:spacing w:line="214" w:lineRule="exact"/>
              <w:ind w:right="129"/>
              <w:jc w:val="right"/>
              <w:rPr>
                <w:sz w:val="20"/>
              </w:rPr>
            </w:pPr>
            <w:r>
              <w:rPr>
                <w:spacing w:val="-2"/>
                <w:sz w:val="20"/>
              </w:rPr>
              <w:t>6.202568</w:t>
            </w:r>
          </w:p>
        </w:tc>
        <w:tc>
          <w:tcPr>
            <w:tcW w:w="1577" w:type="dxa"/>
          </w:tcPr>
          <w:p>
            <w:pPr>
              <w:pStyle w:val="TableParagraph"/>
              <w:spacing w:line="214" w:lineRule="exact"/>
              <w:ind w:left="131"/>
              <w:rPr>
                <w:sz w:val="20"/>
              </w:rPr>
            </w:pPr>
            <w:r>
              <w:rPr>
                <w:sz w:val="20"/>
              </w:rPr>
              <w:t>Schwarz</w:t>
            </w:r>
            <w:r>
              <w:rPr>
                <w:spacing w:val="-8"/>
                <w:sz w:val="20"/>
              </w:rPr>
              <w:t> </w:t>
            </w:r>
            <w:r>
              <w:rPr>
                <w:spacing w:val="-2"/>
                <w:sz w:val="20"/>
              </w:rPr>
              <w:t>criterion</w:t>
            </w:r>
          </w:p>
        </w:tc>
        <w:tc>
          <w:tcPr>
            <w:tcW w:w="935" w:type="dxa"/>
          </w:tcPr>
          <w:p>
            <w:pPr>
              <w:pStyle w:val="TableParagraph"/>
              <w:rPr>
                <w:sz w:val="16"/>
              </w:rPr>
            </w:pPr>
          </w:p>
        </w:tc>
        <w:tc>
          <w:tcPr>
            <w:tcW w:w="919" w:type="dxa"/>
          </w:tcPr>
          <w:p>
            <w:pPr>
              <w:pStyle w:val="TableParagraph"/>
              <w:spacing w:line="214" w:lineRule="exact"/>
              <w:ind w:right="28"/>
              <w:jc w:val="right"/>
              <w:rPr>
                <w:sz w:val="20"/>
              </w:rPr>
            </w:pPr>
            <w:r>
              <w:rPr>
                <w:spacing w:val="-2"/>
                <w:sz w:val="20"/>
              </w:rPr>
              <w:t>1.459124</w:t>
            </w:r>
          </w:p>
        </w:tc>
      </w:tr>
      <w:tr>
        <w:trPr>
          <w:trHeight w:val="238" w:hRule="atLeast"/>
        </w:trPr>
        <w:tc>
          <w:tcPr>
            <w:tcW w:w="2303" w:type="dxa"/>
          </w:tcPr>
          <w:p>
            <w:pPr>
              <w:pStyle w:val="TableParagraph"/>
              <w:spacing w:line="219" w:lineRule="exact"/>
              <w:ind w:left="350"/>
              <w:rPr>
                <w:sz w:val="20"/>
              </w:rPr>
            </w:pPr>
            <w:r>
              <w:rPr>
                <w:sz w:val="20"/>
              </w:rPr>
              <w:t>Log</w:t>
            </w:r>
            <w:r>
              <w:rPr>
                <w:spacing w:val="-6"/>
                <w:sz w:val="20"/>
              </w:rPr>
              <w:t> </w:t>
            </w:r>
            <w:r>
              <w:rPr>
                <w:spacing w:val="-2"/>
                <w:sz w:val="20"/>
              </w:rPr>
              <w:t>likelihood</w:t>
            </w:r>
          </w:p>
        </w:tc>
        <w:tc>
          <w:tcPr>
            <w:tcW w:w="1392" w:type="dxa"/>
          </w:tcPr>
          <w:p>
            <w:pPr>
              <w:pStyle w:val="TableParagraph"/>
              <w:spacing w:line="219" w:lineRule="exact"/>
              <w:ind w:right="129"/>
              <w:jc w:val="right"/>
              <w:rPr>
                <w:sz w:val="20"/>
              </w:rPr>
            </w:pPr>
            <w:r>
              <w:rPr>
                <w:spacing w:val="-4"/>
                <w:sz w:val="20"/>
              </w:rPr>
              <w:t>-</w:t>
            </w:r>
            <w:r>
              <w:rPr>
                <w:spacing w:val="-2"/>
                <w:sz w:val="20"/>
              </w:rPr>
              <w:t>19.42859</w:t>
            </w:r>
          </w:p>
        </w:tc>
        <w:tc>
          <w:tcPr>
            <w:tcW w:w="1577" w:type="dxa"/>
          </w:tcPr>
          <w:p>
            <w:pPr>
              <w:pStyle w:val="TableParagraph"/>
              <w:spacing w:line="219" w:lineRule="exact"/>
              <w:ind w:left="131"/>
              <w:rPr>
                <w:sz w:val="20"/>
              </w:rPr>
            </w:pPr>
            <w:r>
              <w:rPr>
                <w:spacing w:val="-4"/>
                <w:sz w:val="20"/>
              </w:rPr>
              <w:t>F-</w:t>
            </w:r>
            <w:r>
              <w:rPr>
                <w:spacing w:val="-2"/>
                <w:sz w:val="20"/>
              </w:rPr>
              <w:t>statistic</w:t>
            </w:r>
          </w:p>
        </w:tc>
        <w:tc>
          <w:tcPr>
            <w:tcW w:w="935" w:type="dxa"/>
          </w:tcPr>
          <w:p>
            <w:pPr>
              <w:pStyle w:val="TableParagraph"/>
              <w:rPr>
                <w:sz w:val="16"/>
              </w:rPr>
            </w:pPr>
          </w:p>
        </w:tc>
        <w:tc>
          <w:tcPr>
            <w:tcW w:w="919" w:type="dxa"/>
          </w:tcPr>
          <w:p>
            <w:pPr>
              <w:pStyle w:val="TableParagraph"/>
              <w:spacing w:line="219" w:lineRule="exact"/>
              <w:ind w:right="28"/>
              <w:jc w:val="right"/>
              <w:rPr>
                <w:sz w:val="20"/>
              </w:rPr>
            </w:pPr>
            <w:r>
              <w:rPr>
                <w:spacing w:val="-2"/>
                <w:sz w:val="20"/>
              </w:rPr>
              <w:t>360.2594</w:t>
            </w:r>
          </w:p>
        </w:tc>
      </w:tr>
      <w:tr>
        <w:trPr>
          <w:trHeight w:val="306" w:hRule="atLeast"/>
        </w:trPr>
        <w:tc>
          <w:tcPr>
            <w:tcW w:w="2303" w:type="dxa"/>
            <w:tcBorders>
              <w:bottom w:val="double" w:sz="6" w:space="0" w:color="000000"/>
            </w:tcBorders>
          </w:tcPr>
          <w:p>
            <w:pPr>
              <w:pStyle w:val="TableParagraph"/>
              <w:ind w:left="350"/>
              <w:rPr>
                <w:sz w:val="20"/>
              </w:rPr>
            </w:pPr>
            <w:r>
              <w:rPr>
                <w:sz w:val="20"/>
              </w:rPr>
              <w:t>Durbin-Watson</w:t>
            </w:r>
            <w:r>
              <w:rPr>
                <w:spacing w:val="-12"/>
                <w:sz w:val="20"/>
              </w:rPr>
              <w:t> </w:t>
            </w:r>
            <w:r>
              <w:rPr>
                <w:spacing w:val="-4"/>
                <w:sz w:val="20"/>
              </w:rPr>
              <w:t>stat</w:t>
            </w:r>
          </w:p>
        </w:tc>
        <w:tc>
          <w:tcPr>
            <w:tcW w:w="1392" w:type="dxa"/>
          </w:tcPr>
          <w:p>
            <w:pPr>
              <w:pStyle w:val="TableParagraph"/>
              <w:ind w:right="129"/>
              <w:jc w:val="right"/>
              <w:rPr>
                <w:sz w:val="20"/>
              </w:rPr>
            </w:pPr>
            <w:r>
              <w:rPr>
                <w:spacing w:val="-2"/>
                <w:sz w:val="20"/>
              </w:rPr>
              <w:t>1.739756</w:t>
            </w:r>
          </w:p>
        </w:tc>
        <w:tc>
          <w:tcPr>
            <w:tcW w:w="1577" w:type="dxa"/>
            <w:tcBorders>
              <w:bottom w:val="double" w:sz="6" w:space="0" w:color="000000"/>
            </w:tcBorders>
          </w:tcPr>
          <w:p>
            <w:pPr>
              <w:pStyle w:val="TableParagraph"/>
              <w:ind w:left="131"/>
              <w:rPr>
                <w:sz w:val="20"/>
              </w:rPr>
            </w:pPr>
            <w:r>
              <w:rPr>
                <w:spacing w:val="-2"/>
                <w:sz w:val="20"/>
              </w:rPr>
              <w:t>Prob(F-statistic)</w:t>
            </w:r>
          </w:p>
        </w:tc>
        <w:tc>
          <w:tcPr>
            <w:tcW w:w="935" w:type="dxa"/>
            <w:tcBorders>
              <w:bottom w:val="single" w:sz="6" w:space="0" w:color="000000"/>
            </w:tcBorders>
          </w:tcPr>
          <w:p>
            <w:pPr>
              <w:pStyle w:val="TableParagraph"/>
              <w:rPr>
                <w:sz w:val="18"/>
              </w:rPr>
            </w:pPr>
          </w:p>
        </w:tc>
        <w:tc>
          <w:tcPr>
            <w:tcW w:w="919" w:type="dxa"/>
            <w:tcBorders>
              <w:bottom w:val="double" w:sz="6" w:space="0" w:color="000000"/>
            </w:tcBorders>
          </w:tcPr>
          <w:p>
            <w:pPr>
              <w:pStyle w:val="TableParagraph"/>
              <w:ind w:right="28"/>
              <w:jc w:val="right"/>
              <w:rPr>
                <w:sz w:val="20"/>
              </w:rPr>
            </w:pPr>
            <w:r>
              <w:rPr>
                <w:spacing w:val="-2"/>
                <w:sz w:val="20"/>
              </w:rPr>
              <w:t>0.000000</w:t>
            </w:r>
          </w:p>
        </w:tc>
      </w:tr>
    </w:tbl>
    <w:p>
      <w:pPr>
        <w:pStyle w:val="BodyText"/>
        <w:spacing w:before="12"/>
        <w:rPr>
          <w:sz w:val="20"/>
        </w:rPr>
      </w:pPr>
    </w:p>
    <w:p>
      <w:pPr>
        <w:spacing w:before="0" w:after="10"/>
        <w:ind w:left="711" w:right="0" w:firstLine="0"/>
        <w:jc w:val="left"/>
        <w:rPr>
          <w:sz w:val="20"/>
        </w:rPr>
      </w:pPr>
      <w:r>
        <w:rPr>
          <w:spacing w:val="-5"/>
          <w:sz w:val="20"/>
        </w:rPr>
        <w:t>ECM</w:t>
      </w:r>
    </w:p>
    <w:tbl>
      <w:tblPr>
        <w:tblW w:w="0" w:type="auto"/>
        <w:jc w:val="left"/>
        <w:tblInd w:w="7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81"/>
      </w:tblGrid>
      <w:tr>
        <w:trPr>
          <w:trHeight w:val="686" w:hRule="atLeast"/>
        </w:trPr>
        <w:tc>
          <w:tcPr>
            <w:tcW w:w="1181" w:type="dxa"/>
          </w:tcPr>
          <w:p>
            <w:pPr>
              <w:pStyle w:val="TableParagraph"/>
              <w:ind w:left="3"/>
              <w:jc w:val="center"/>
              <w:rPr>
                <w:sz w:val="20"/>
              </w:rPr>
            </w:pPr>
            <w:r>
              <w:rPr>
                <w:sz w:val="20"/>
              </w:rPr>
              <w:t>Last</w:t>
            </w:r>
            <w:r>
              <w:rPr>
                <w:spacing w:val="-13"/>
                <w:sz w:val="20"/>
              </w:rPr>
              <w:t> </w:t>
            </w:r>
            <w:r>
              <w:rPr>
                <w:sz w:val="20"/>
              </w:rPr>
              <w:t>updated: 02/17/14 -</w:t>
            </w:r>
          </w:p>
          <w:p>
            <w:pPr>
              <w:pStyle w:val="TableParagraph"/>
              <w:spacing w:line="215" w:lineRule="exact"/>
              <w:ind w:left="3" w:right="3"/>
              <w:jc w:val="center"/>
              <w:rPr>
                <w:sz w:val="20"/>
              </w:rPr>
            </w:pPr>
            <w:r>
              <w:rPr>
                <w:spacing w:val="-2"/>
                <w:sz w:val="20"/>
              </w:rPr>
              <w:t>16:27</w:t>
            </w:r>
          </w:p>
        </w:tc>
      </w:tr>
      <w:tr>
        <w:trPr>
          <w:trHeight w:val="225" w:hRule="atLeast"/>
        </w:trPr>
        <w:tc>
          <w:tcPr>
            <w:tcW w:w="1181" w:type="dxa"/>
          </w:tcPr>
          <w:p>
            <w:pPr>
              <w:pStyle w:val="TableParagraph"/>
              <w:spacing w:line="205" w:lineRule="exact"/>
              <w:ind w:left="192"/>
              <w:rPr>
                <w:sz w:val="20"/>
              </w:rPr>
            </w:pPr>
            <w:r>
              <w:rPr>
                <w:spacing w:val="-2"/>
                <w:sz w:val="20"/>
              </w:rPr>
              <w:t>Modified:</w:t>
            </w:r>
          </w:p>
        </w:tc>
      </w:tr>
    </w:tbl>
    <w:p>
      <w:pPr>
        <w:spacing w:after="0" w:line="205" w:lineRule="exact"/>
        <w:rPr>
          <w:sz w:val="20"/>
        </w:rPr>
        <w:sectPr>
          <w:type w:val="continuous"/>
          <w:pgSz w:w="11910" w:h="16840"/>
          <w:pgMar w:header="0" w:footer="979" w:top="1400" w:bottom="1240" w:left="280" w:right="0"/>
        </w:sectPr>
      </w:pPr>
    </w:p>
    <w:tbl>
      <w:tblPr>
        <w:tblW w:w="0" w:type="auto"/>
        <w:jc w:val="left"/>
        <w:tblInd w:w="8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11"/>
      </w:tblGrid>
      <w:tr>
        <w:trPr>
          <w:trHeight w:val="570" w:hRule="atLeast"/>
        </w:trPr>
        <w:tc>
          <w:tcPr>
            <w:tcW w:w="1111" w:type="dxa"/>
          </w:tcPr>
          <w:p>
            <w:pPr>
              <w:pStyle w:val="TableParagraph"/>
              <w:spacing w:line="221" w:lineRule="exact"/>
              <w:ind w:left="50"/>
              <w:rPr>
                <w:sz w:val="20"/>
              </w:rPr>
            </w:pPr>
            <w:r>
              <w:rPr>
                <w:sz w:val="20"/>
              </w:rPr>
              <w:t>1970</w:t>
            </w:r>
            <w:r>
              <w:rPr>
                <w:spacing w:val="-4"/>
                <w:sz w:val="20"/>
              </w:rPr>
              <w:t> </w:t>
            </w:r>
            <w:r>
              <w:rPr>
                <w:sz w:val="20"/>
              </w:rPr>
              <w:t>2011</w:t>
            </w:r>
            <w:r>
              <w:rPr>
                <w:spacing w:val="-1"/>
                <w:sz w:val="20"/>
              </w:rPr>
              <w:t> </w:t>
            </w:r>
            <w:r>
              <w:rPr>
                <w:spacing w:val="-5"/>
                <w:sz w:val="20"/>
              </w:rPr>
              <w:t>//</w:t>
            </w:r>
          </w:p>
          <w:p>
            <w:pPr>
              <w:pStyle w:val="TableParagraph"/>
              <w:spacing w:before="1"/>
              <w:ind w:left="146"/>
              <w:rPr>
                <w:sz w:val="20"/>
              </w:rPr>
            </w:pPr>
            <w:r>
              <w:rPr>
                <w:spacing w:val="-2"/>
                <w:sz w:val="20"/>
              </w:rPr>
              <w:t>makeresid</w:t>
            </w:r>
          </w:p>
        </w:tc>
      </w:tr>
      <w:tr>
        <w:trPr>
          <w:trHeight w:val="344" w:hRule="atLeast"/>
        </w:trPr>
        <w:tc>
          <w:tcPr>
            <w:tcW w:w="1111" w:type="dxa"/>
          </w:tcPr>
          <w:p>
            <w:pPr>
              <w:pStyle w:val="TableParagraph"/>
              <w:spacing w:line="215" w:lineRule="exact" w:before="109"/>
              <w:ind w:left="55"/>
              <w:jc w:val="center"/>
              <w:rPr>
                <w:sz w:val="20"/>
              </w:rPr>
            </w:pPr>
            <w:r>
              <w:rPr>
                <w:spacing w:val="-2"/>
                <w:sz w:val="20"/>
              </w:rPr>
              <w:t>0.001798</w:t>
            </w:r>
          </w:p>
        </w:tc>
      </w:tr>
      <w:tr>
        <w:trPr>
          <w:trHeight w:val="230" w:hRule="atLeast"/>
        </w:trPr>
        <w:tc>
          <w:tcPr>
            <w:tcW w:w="1111" w:type="dxa"/>
          </w:tcPr>
          <w:p>
            <w:pPr>
              <w:pStyle w:val="TableParagraph"/>
              <w:spacing w:line="210" w:lineRule="exact"/>
              <w:ind w:left="55" w:right="53"/>
              <w:jc w:val="center"/>
              <w:rPr>
                <w:sz w:val="20"/>
              </w:rPr>
            </w:pPr>
            <w:r>
              <w:rPr>
                <w:spacing w:val="-4"/>
                <w:sz w:val="20"/>
              </w:rPr>
              <w:t>-</w:t>
            </w:r>
            <w:r>
              <w:rPr>
                <w:spacing w:val="-2"/>
                <w:sz w:val="20"/>
              </w:rPr>
              <w:t>0.005001</w:t>
            </w:r>
          </w:p>
        </w:tc>
      </w:tr>
      <w:tr>
        <w:trPr>
          <w:trHeight w:val="230" w:hRule="atLeast"/>
        </w:trPr>
        <w:tc>
          <w:tcPr>
            <w:tcW w:w="1111" w:type="dxa"/>
          </w:tcPr>
          <w:p>
            <w:pPr>
              <w:pStyle w:val="TableParagraph"/>
              <w:spacing w:line="210" w:lineRule="exact"/>
              <w:ind w:left="55" w:right="53"/>
              <w:jc w:val="center"/>
              <w:rPr>
                <w:sz w:val="20"/>
              </w:rPr>
            </w:pPr>
            <w:r>
              <w:rPr>
                <w:spacing w:val="-4"/>
                <w:sz w:val="20"/>
              </w:rPr>
              <w:t>-</w:t>
            </w:r>
            <w:r>
              <w:rPr>
                <w:spacing w:val="-2"/>
                <w:sz w:val="20"/>
              </w:rPr>
              <w:t>0.410493</w:t>
            </w:r>
          </w:p>
        </w:tc>
      </w:tr>
      <w:tr>
        <w:trPr>
          <w:trHeight w:val="230" w:hRule="atLeast"/>
        </w:trPr>
        <w:tc>
          <w:tcPr>
            <w:tcW w:w="1111" w:type="dxa"/>
          </w:tcPr>
          <w:p>
            <w:pPr>
              <w:pStyle w:val="TableParagraph"/>
              <w:spacing w:line="210" w:lineRule="exact"/>
              <w:ind w:left="55"/>
              <w:jc w:val="center"/>
              <w:rPr>
                <w:sz w:val="20"/>
              </w:rPr>
            </w:pPr>
            <w:r>
              <w:rPr>
                <w:spacing w:val="-2"/>
                <w:sz w:val="20"/>
              </w:rPr>
              <w:t>0.116360</w:t>
            </w:r>
          </w:p>
        </w:tc>
      </w:tr>
      <w:tr>
        <w:trPr>
          <w:trHeight w:val="229" w:hRule="atLeast"/>
        </w:trPr>
        <w:tc>
          <w:tcPr>
            <w:tcW w:w="1111" w:type="dxa"/>
          </w:tcPr>
          <w:p>
            <w:pPr>
              <w:pStyle w:val="TableParagraph"/>
              <w:spacing w:line="209" w:lineRule="exact"/>
              <w:ind w:left="55" w:right="53"/>
              <w:jc w:val="center"/>
              <w:rPr>
                <w:sz w:val="20"/>
              </w:rPr>
            </w:pPr>
            <w:r>
              <w:rPr>
                <w:spacing w:val="-4"/>
                <w:sz w:val="20"/>
              </w:rPr>
              <w:t>-</w:t>
            </w:r>
            <w:r>
              <w:rPr>
                <w:spacing w:val="-2"/>
                <w:sz w:val="20"/>
              </w:rPr>
              <w:t>0.623827</w:t>
            </w:r>
          </w:p>
        </w:tc>
      </w:tr>
      <w:tr>
        <w:trPr>
          <w:trHeight w:val="229" w:hRule="atLeast"/>
        </w:trPr>
        <w:tc>
          <w:tcPr>
            <w:tcW w:w="1111" w:type="dxa"/>
          </w:tcPr>
          <w:p>
            <w:pPr>
              <w:pStyle w:val="TableParagraph"/>
              <w:spacing w:line="209" w:lineRule="exact"/>
              <w:ind w:left="55"/>
              <w:jc w:val="center"/>
              <w:rPr>
                <w:sz w:val="20"/>
              </w:rPr>
            </w:pPr>
            <w:r>
              <w:rPr>
                <w:spacing w:val="-2"/>
                <w:sz w:val="20"/>
              </w:rPr>
              <w:t>0.532815</w:t>
            </w:r>
          </w:p>
        </w:tc>
      </w:tr>
      <w:tr>
        <w:trPr>
          <w:trHeight w:val="230" w:hRule="atLeast"/>
        </w:trPr>
        <w:tc>
          <w:tcPr>
            <w:tcW w:w="1111" w:type="dxa"/>
          </w:tcPr>
          <w:p>
            <w:pPr>
              <w:pStyle w:val="TableParagraph"/>
              <w:spacing w:line="210" w:lineRule="exact"/>
              <w:ind w:left="55"/>
              <w:jc w:val="center"/>
              <w:rPr>
                <w:sz w:val="20"/>
              </w:rPr>
            </w:pPr>
            <w:r>
              <w:rPr>
                <w:spacing w:val="-2"/>
                <w:sz w:val="20"/>
              </w:rPr>
              <w:t>0.436430</w:t>
            </w:r>
          </w:p>
        </w:tc>
      </w:tr>
      <w:tr>
        <w:trPr>
          <w:trHeight w:val="230" w:hRule="atLeast"/>
        </w:trPr>
        <w:tc>
          <w:tcPr>
            <w:tcW w:w="1111" w:type="dxa"/>
          </w:tcPr>
          <w:p>
            <w:pPr>
              <w:pStyle w:val="TableParagraph"/>
              <w:spacing w:line="210" w:lineRule="exact"/>
              <w:ind w:left="55"/>
              <w:jc w:val="center"/>
              <w:rPr>
                <w:sz w:val="20"/>
              </w:rPr>
            </w:pPr>
            <w:r>
              <w:rPr>
                <w:spacing w:val="-2"/>
                <w:sz w:val="20"/>
              </w:rPr>
              <w:t>0.354594</w:t>
            </w:r>
          </w:p>
        </w:tc>
      </w:tr>
      <w:tr>
        <w:trPr>
          <w:trHeight w:val="230" w:hRule="atLeast"/>
        </w:trPr>
        <w:tc>
          <w:tcPr>
            <w:tcW w:w="1111" w:type="dxa"/>
          </w:tcPr>
          <w:p>
            <w:pPr>
              <w:pStyle w:val="TableParagraph"/>
              <w:spacing w:line="210" w:lineRule="exact"/>
              <w:ind w:left="55" w:right="53"/>
              <w:jc w:val="center"/>
              <w:rPr>
                <w:sz w:val="20"/>
              </w:rPr>
            </w:pPr>
            <w:r>
              <w:rPr>
                <w:spacing w:val="-4"/>
                <w:sz w:val="20"/>
              </w:rPr>
              <w:t>-</w:t>
            </w:r>
            <w:r>
              <w:rPr>
                <w:spacing w:val="-2"/>
                <w:sz w:val="20"/>
              </w:rPr>
              <w:t>0.271251</w:t>
            </w:r>
          </w:p>
        </w:tc>
      </w:tr>
      <w:tr>
        <w:trPr>
          <w:trHeight w:val="230" w:hRule="atLeast"/>
        </w:trPr>
        <w:tc>
          <w:tcPr>
            <w:tcW w:w="1111" w:type="dxa"/>
          </w:tcPr>
          <w:p>
            <w:pPr>
              <w:pStyle w:val="TableParagraph"/>
              <w:spacing w:line="210" w:lineRule="exact"/>
              <w:ind w:left="55" w:right="53"/>
              <w:jc w:val="center"/>
              <w:rPr>
                <w:sz w:val="20"/>
              </w:rPr>
            </w:pPr>
            <w:r>
              <w:rPr>
                <w:spacing w:val="-4"/>
                <w:sz w:val="20"/>
              </w:rPr>
              <w:t>-</w:t>
            </w:r>
            <w:r>
              <w:rPr>
                <w:spacing w:val="-2"/>
                <w:sz w:val="20"/>
              </w:rPr>
              <w:t>0.022187</w:t>
            </w:r>
          </w:p>
        </w:tc>
      </w:tr>
      <w:tr>
        <w:trPr>
          <w:trHeight w:val="229" w:hRule="atLeast"/>
        </w:trPr>
        <w:tc>
          <w:tcPr>
            <w:tcW w:w="1111" w:type="dxa"/>
          </w:tcPr>
          <w:p>
            <w:pPr>
              <w:pStyle w:val="TableParagraph"/>
              <w:spacing w:line="209" w:lineRule="exact"/>
              <w:ind w:left="55" w:right="53"/>
              <w:jc w:val="center"/>
              <w:rPr>
                <w:sz w:val="20"/>
              </w:rPr>
            </w:pPr>
            <w:r>
              <w:rPr>
                <w:spacing w:val="-4"/>
                <w:sz w:val="20"/>
              </w:rPr>
              <w:t>-</w:t>
            </w:r>
            <w:r>
              <w:rPr>
                <w:spacing w:val="-2"/>
                <w:sz w:val="20"/>
              </w:rPr>
              <w:t>0.103721</w:t>
            </w:r>
          </w:p>
        </w:tc>
      </w:tr>
      <w:tr>
        <w:trPr>
          <w:trHeight w:val="229" w:hRule="atLeast"/>
        </w:trPr>
        <w:tc>
          <w:tcPr>
            <w:tcW w:w="1111" w:type="dxa"/>
          </w:tcPr>
          <w:p>
            <w:pPr>
              <w:pStyle w:val="TableParagraph"/>
              <w:spacing w:line="209" w:lineRule="exact"/>
              <w:ind w:left="55" w:right="53"/>
              <w:jc w:val="center"/>
              <w:rPr>
                <w:sz w:val="20"/>
              </w:rPr>
            </w:pPr>
            <w:r>
              <w:rPr>
                <w:spacing w:val="-4"/>
                <w:sz w:val="20"/>
              </w:rPr>
              <w:t>-</w:t>
            </w:r>
            <w:r>
              <w:rPr>
                <w:spacing w:val="-2"/>
                <w:sz w:val="20"/>
              </w:rPr>
              <w:t>0.329114</w:t>
            </w:r>
          </w:p>
        </w:tc>
      </w:tr>
      <w:tr>
        <w:trPr>
          <w:trHeight w:val="230" w:hRule="atLeast"/>
        </w:trPr>
        <w:tc>
          <w:tcPr>
            <w:tcW w:w="1111" w:type="dxa"/>
          </w:tcPr>
          <w:p>
            <w:pPr>
              <w:pStyle w:val="TableParagraph"/>
              <w:spacing w:line="211" w:lineRule="exact"/>
              <w:ind w:left="55" w:right="53"/>
              <w:jc w:val="center"/>
              <w:rPr>
                <w:sz w:val="20"/>
              </w:rPr>
            </w:pPr>
            <w:r>
              <w:rPr>
                <w:spacing w:val="-4"/>
                <w:sz w:val="20"/>
              </w:rPr>
              <w:t>-</w:t>
            </w:r>
            <w:r>
              <w:rPr>
                <w:spacing w:val="-2"/>
                <w:sz w:val="20"/>
              </w:rPr>
              <w:t>0.550350</w:t>
            </w:r>
          </w:p>
        </w:tc>
      </w:tr>
      <w:tr>
        <w:trPr>
          <w:trHeight w:val="230" w:hRule="atLeast"/>
        </w:trPr>
        <w:tc>
          <w:tcPr>
            <w:tcW w:w="1111" w:type="dxa"/>
          </w:tcPr>
          <w:p>
            <w:pPr>
              <w:pStyle w:val="TableParagraph"/>
              <w:spacing w:line="211" w:lineRule="exact"/>
              <w:ind w:left="55" w:right="53"/>
              <w:jc w:val="center"/>
              <w:rPr>
                <w:sz w:val="20"/>
              </w:rPr>
            </w:pPr>
            <w:r>
              <w:rPr>
                <w:spacing w:val="-4"/>
                <w:sz w:val="20"/>
              </w:rPr>
              <w:t>-</w:t>
            </w:r>
            <w:r>
              <w:rPr>
                <w:spacing w:val="-2"/>
                <w:sz w:val="20"/>
              </w:rPr>
              <w:t>0.038345</w:t>
            </w:r>
          </w:p>
        </w:tc>
      </w:tr>
      <w:tr>
        <w:trPr>
          <w:trHeight w:val="230" w:hRule="atLeast"/>
        </w:trPr>
        <w:tc>
          <w:tcPr>
            <w:tcW w:w="1111" w:type="dxa"/>
          </w:tcPr>
          <w:p>
            <w:pPr>
              <w:pStyle w:val="TableParagraph"/>
              <w:spacing w:line="210" w:lineRule="exact"/>
              <w:ind w:left="55"/>
              <w:jc w:val="center"/>
              <w:rPr>
                <w:sz w:val="20"/>
              </w:rPr>
            </w:pPr>
            <w:r>
              <w:rPr>
                <w:spacing w:val="-2"/>
                <w:sz w:val="20"/>
              </w:rPr>
              <w:t>0.537781</w:t>
            </w:r>
          </w:p>
        </w:tc>
      </w:tr>
      <w:tr>
        <w:trPr>
          <w:trHeight w:val="230" w:hRule="atLeast"/>
        </w:trPr>
        <w:tc>
          <w:tcPr>
            <w:tcW w:w="1111" w:type="dxa"/>
          </w:tcPr>
          <w:p>
            <w:pPr>
              <w:pStyle w:val="TableParagraph"/>
              <w:spacing w:line="210" w:lineRule="exact"/>
              <w:ind w:left="55"/>
              <w:jc w:val="center"/>
              <w:rPr>
                <w:sz w:val="20"/>
              </w:rPr>
            </w:pPr>
            <w:r>
              <w:rPr>
                <w:spacing w:val="-2"/>
                <w:sz w:val="20"/>
              </w:rPr>
              <w:t>0.021352</w:t>
            </w:r>
          </w:p>
        </w:tc>
      </w:tr>
      <w:tr>
        <w:trPr>
          <w:trHeight w:val="229" w:hRule="atLeast"/>
        </w:trPr>
        <w:tc>
          <w:tcPr>
            <w:tcW w:w="1111" w:type="dxa"/>
          </w:tcPr>
          <w:p>
            <w:pPr>
              <w:pStyle w:val="TableParagraph"/>
              <w:spacing w:line="209" w:lineRule="exact"/>
              <w:ind w:left="55" w:right="53"/>
              <w:jc w:val="center"/>
              <w:rPr>
                <w:sz w:val="20"/>
              </w:rPr>
            </w:pPr>
            <w:r>
              <w:rPr>
                <w:spacing w:val="-4"/>
                <w:sz w:val="20"/>
              </w:rPr>
              <w:t>-</w:t>
            </w:r>
            <w:r>
              <w:rPr>
                <w:spacing w:val="-2"/>
                <w:sz w:val="20"/>
              </w:rPr>
              <w:t>0.346471</w:t>
            </w:r>
          </w:p>
        </w:tc>
      </w:tr>
      <w:tr>
        <w:trPr>
          <w:trHeight w:val="229" w:hRule="atLeast"/>
        </w:trPr>
        <w:tc>
          <w:tcPr>
            <w:tcW w:w="1111" w:type="dxa"/>
          </w:tcPr>
          <w:p>
            <w:pPr>
              <w:pStyle w:val="TableParagraph"/>
              <w:spacing w:line="209" w:lineRule="exact"/>
              <w:ind w:left="55"/>
              <w:jc w:val="center"/>
              <w:rPr>
                <w:sz w:val="20"/>
              </w:rPr>
            </w:pPr>
            <w:r>
              <w:rPr>
                <w:spacing w:val="-2"/>
                <w:sz w:val="20"/>
              </w:rPr>
              <w:t>0.177713</w:t>
            </w:r>
          </w:p>
        </w:tc>
      </w:tr>
      <w:tr>
        <w:trPr>
          <w:trHeight w:val="230" w:hRule="atLeast"/>
        </w:trPr>
        <w:tc>
          <w:tcPr>
            <w:tcW w:w="1111" w:type="dxa"/>
          </w:tcPr>
          <w:p>
            <w:pPr>
              <w:pStyle w:val="TableParagraph"/>
              <w:spacing w:line="210" w:lineRule="exact"/>
              <w:ind w:left="55"/>
              <w:jc w:val="center"/>
              <w:rPr>
                <w:sz w:val="20"/>
              </w:rPr>
            </w:pPr>
            <w:r>
              <w:rPr>
                <w:spacing w:val="-2"/>
                <w:sz w:val="20"/>
              </w:rPr>
              <w:t>0.175173</w:t>
            </w:r>
          </w:p>
        </w:tc>
      </w:tr>
      <w:tr>
        <w:trPr>
          <w:trHeight w:val="230" w:hRule="atLeast"/>
        </w:trPr>
        <w:tc>
          <w:tcPr>
            <w:tcW w:w="1111" w:type="dxa"/>
          </w:tcPr>
          <w:p>
            <w:pPr>
              <w:pStyle w:val="TableParagraph"/>
              <w:spacing w:line="210" w:lineRule="exact"/>
              <w:ind w:left="55" w:right="53"/>
              <w:jc w:val="center"/>
              <w:rPr>
                <w:sz w:val="20"/>
              </w:rPr>
            </w:pPr>
            <w:r>
              <w:rPr>
                <w:spacing w:val="-4"/>
                <w:sz w:val="20"/>
              </w:rPr>
              <w:t>-</w:t>
            </w:r>
            <w:r>
              <w:rPr>
                <w:spacing w:val="-2"/>
                <w:sz w:val="20"/>
              </w:rPr>
              <w:t>0.181776</w:t>
            </w:r>
          </w:p>
        </w:tc>
      </w:tr>
      <w:tr>
        <w:trPr>
          <w:trHeight w:val="230" w:hRule="atLeast"/>
        </w:trPr>
        <w:tc>
          <w:tcPr>
            <w:tcW w:w="1111" w:type="dxa"/>
          </w:tcPr>
          <w:p>
            <w:pPr>
              <w:pStyle w:val="TableParagraph"/>
              <w:spacing w:line="210" w:lineRule="exact"/>
              <w:ind w:left="55" w:right="53"/>
              <w:jc w:val="center"/>
              <w:rPr>
                <w:sz w:val="20"/>
              </w:rPr>
            </w:pPr>
            <w:r>
              <w:rPr>
                <w:spacing w:val="-4"/>
                <w:sz w:val="20"/>
              </w:rPr>
              <w:t>-</w:t>
            </w:r>
            <w:r>
              <w:rPr>
                <w:spacing w:val="-2"/>
                <w:sz w:val="20"/>
              </w:rPr>
              <w:t>0.272749</w:t>
            </w:r>
          </w:p>
        </w:tc>
      </w:tr>
      <w:tr>
        <w:trPr>
          <w:trHeight w:val="229" w:hRule="atLeast"/>
        </w:trPr>
        <w:tc>
          <w:tcPr>
            <w:tcW w:w="1111" w:type="dxa"/>
          </w:tcPr>
          <w:p>
            <w:pPr>
              <w:pStyle w:val="TableParagraph"/>
              <w:spacing w:line="209" w:lineRule="exact"/>
              <w:ind w:left="55"/>
              <w:jc w:val="center"/>
              <w:rPr>
                <w:sz w:val="20"/>
              </w:rPr>
            </w:pPr>
            <w:r>
              <w:rPr>
                <w:spacing w:val="-2"/>
                <w:sz w:val="20"/>
              </w:rPr>
              <w:t>0.179806</w:t>
            </w:r>
          </w:p>
        </w:tc>
      </w:tr>
      <w:tr>
        <w:trPr>
          <w:trHeight w:val="229" w:hRule="atLeast"/>
        </w:trPr>
        <w:tc>
          <w:tcPr>
            <w:tcW w:w="1111" w:type="dxa"/>
          </w:tcPr>
          <w:p>
            <w:pPr>
              <w:pStyle w:val="TableParagraph"/>
              <w:spacing w:line="209" w:lineRule="exact"/>
              <w:ind w:left="55" w:right="53"/>
              <w:jc w:val="center"/>
              <w:rPr>
                <w:sz w:val="20"/>
              </w:rPr>
            </w:pPr>
            <w:r>
              <w:rPr>
                <w:spacing w:val="-4"/>
                <w:sz w:val="20"/>
              </w:rPr>
              <w:t>-</w:t>
            </w:r>
            <w:r>
              <w:rPr>
                <w:spacing w:val="-2"/>
                <w:sz w:val="20"/>
              </w:rPr>
              <w:t>0.122077</w:t>
            </w:r>
          </w:p>
        </w:tc>
      </w:tr>
      <w:tr>
        <w:trPr>
          <w:trHeight w:val="230" w:hRule="atLeast"/>
        </w:trPr>
        <w:tc>
          <w:tcPr>
            <w:tcW w:w="1111" w:type="dxa"/>
          </w:tcPr>
          <w:p>
            <w:pPr>
              <w:pStyle w:val="TableParagraph"/>
              <w:spacing w:line="210" w:lineRule="exact"/>
              <w:ind w:left="55" w:right="53"/>
              <w:jc w:val="center"/>
              <w:rPr>
                <w:sz w:val="20"/>
              </w:rPr>
            </w:pPr>
            <w:r>
              <w:rPr>
                <w:spacing w:val="-4"/>
                <w:sz w:val="20"/>
              </w:rPr>
              <w:t>-</w:t>
            </w:r>
            <w:r>
              <w:rPr>
                <w:spacing w:val="-2"/>
                <w:sz w:val="20"/>
              </w:rPr>
              <w:t>0.548534</w:t>
            </w:r>
          </w:p>
        </w:tc>
      </w:tr>
      <w:tr>
        <w:trPr>
          <w:trHeight w:val="230" w:hRule="atLeast"/>
        </w:trPr>
        <w:tc>
          <w:tcPr>
            <w:tcW w:w="1111" w:type="dxa"/>
          </w:tcPr>
          <w:p>
            <w:pPr>
              <w:pStyle w:val="TableParagraph"/>
              <w:spacing w:line="210" w:lineRule="exact"/>
              <w:ind w:left="55" w:right="53"/>
              <w:jc w:val="center"/>
              <w:rPr>
                <w:sz w:val="20"/>
              </w:rPr>
            </w:pPr>
            <w:r>
              <w:rPr>
                <w:spacing w:val="-4"/>
                <w:sz w:val="20"/>
              </w:rPr>
              <w:t>-</w:t>
            </w:r>
            <w:r>
              <w:rPr>
                <w:spacing w:val="-2"/>
                <w:sz w:val="20"/>
              </w:rPr>
              <w:t>0.270966</w:t>
            </w:r>
          </w:p>
        </w:tc>
      </w:tr>
      <w:tr>
        <w:trPr>
          <w:trHeight w:val="230" w:hRule="atLeast"/>
        </w:trPr>
        <w:tc>
          <w:tcPr>
            <w:tcW w:w="1111" w:type="dxa"/>
          </w:tcPr>
          <w:p>
            <w:pPr>
              <w:pStyle w:val="TableParagraph"/>
              <w:spacing w:line="210" w:lineRule="exact"/>
              <w:ind w:left="55" w:right="53"/>
              <w:jc w:val="center"/>
              <w:rPr>
                <w:sz w:val="20"/>
              </w:rPr>
            </w:pPr>
            <w:r>
              <w:rPr>
                <w:spacing w:val="-4"/>
                <w:sz w:val="20"/>
              </w:rPr>
              <w:t>-</w:t>
            </w:r>
            <w:r>
              <w:rPr>
                <w:spacing w:val="-2"/>
                <w:sz w:val="20"/>
              </w:rPr>
              <w:t>0.000447</w:t>
            </w:r>
          </w:p>
        </w:tc>
      </w:tr>
      <w:tr>
        <w:trPr>
          <w:trHeight w:val="230" w:hRule="atLeast"/>
        </w:trPr>
        <w:tc>
          <w:tcPr>
            <w:tcW w:w="1111" w:type="dxa"/>
          </w:tcPr>
          <w:p>
            <w:pPr>
              <w:pStyle w:val="TableParagraph"/>
              <w:spacing w:line="210" w:lineRule="exact"/>
              <w:ind w:left="55" w:right="53"/>
              <w:jc w:val="center"/>
              <w:rPr>
                <w:sz w:val="20"/>
              </w:rPr>
            </w:pPr>
            <w:r>
              <w:rPr>
                <w:spacing w:val="-4"/>
                <w:sz w:val="20"/>
              </w:rPr>
              <w:t>-</w:t>
            </w:r>
            <w:r>
              <w:rPr>
                <w:spacing w:val="-2"/>
                <w:sz w:val="20"/>
              </w:rPr>
              <w:t>0.187914</w:t>
            </w:r>
          </w:p>
        </w:tc>
      </w:tr>
      <w:tr>
        <w:trPr>
          <w:trHeight w:val="229" w:hRule="atLeast"/>
        </w:trPr>
        <w:tc>
          <w:tcPr>
            <w:tcW w:w="1111" w:type="dxa"/>
          </w:tcPr>
          <w:p>
            <w:pPr>
              <w:pStyle w:val="TableParagraph"/>
              <w:spacing w:line="209" w:lineRule="exact"/>
              <w:ind w:left="55"/>
              <w:jc w:val="center"/>
              <w:rPr>
                <w:sz w:val="20"/>
              </w:rPr>
            </w:pPr>
            <w:r>
              <w:rPr>
                <w:spacing w:val="-2"/>
                <w:sz w:val="20"/>
              </w:rPr>
              <w:t>0.076240</w:t>
            </w:r>
          </w:p>
        </w:tc>
      </w:tr>
      <w:tr>
        <w:trPr>
          <w:trHeight w:val="229" w:hRule="atLeast"/>
        </w:trPr>
        <w:tc>
          <w:tcPr>
            <w:tcW w:w="1111" w:type="dxa"/>
          </w:tcPr>
          <w:p>
            <w:pPr>
              <w:pStyle w:val="TableParagraph"/>
              <w:spacing w:line="209" w:lineRule="exact"/>
              <w:ind w:left="55"/>
              <w:jc w:val="center"/>
              <w:rPr>
                <w:sz w:val="20"/>
              </w:rPr>
            </w:pPr>
            <w:r>
              <w:rPr>
                <w:spacing w:val="-2"/>
                <w:sz w:val="20"/>
              </w:rPr>
              <w:t>0.035796</w:t>
            </w:r>
          </w:p>
        </w:tc>
      </w:tr>
      <w:tr>
        <w:trPr>
          <w:trHeight w:val="230" w:hRule="atLeast"/>
        </w:trPr>
        <w:tc>
          <w:tcPr>
            <w:tcW w:w="1111" w:type="dxa"/>
          </w:tcPr>
          <w:p>
            <w:pPr>
              <w:pStyle w:val="TableParagraph"/>
              <w:spacing w:line="211" w:lineRule="exact"/>
              <w:ind w:left="55" w:right="53"/>
              <w:jc w:val="center"/>
              <w:rPr>
                <w:sz w:val="20"/>
              </w:rPr>
            </w:pPr>
            <w:r>
              <w:rPr>
                <w:spacing w:val="-4"/>
                <w:sz w:val="20"/>
              </w:rPr>
              <w:t>-</w:t>
            </w:r>
            <w:r>
              <w:rPr>
                <w:spacing w:val="-2"/>
                <w:sz w:val="20"/>
              </w:rPr>
              <w:t>0.340345</w:t>
            </w:r>
          </w:p>
        </w:tc>
      </w:tr>
      <w:tr>
        <w:trPr>
          <w:trHeight w:val="230" w:hRule="atLeast"/>
        </w:trPr>
        <w:tc>
          <w:tcPr>
            <w:tcW w:w="1111" w:type="dxa"/>
          </w:tcPr>
          <w:p>
            <w:pPr>
              <w:pStyle w:val="TableParagraph"/>
              <w:spacing w:line="210" w:lineRule="exact"/>
              <w:ind w:left="55" w:right="53"/>
              <w:jc w:val="center"/>
              <w:rPr>
                <w:sz w:val="20"/>
              </w:rPr>
            </w:pPr>
            <w:r>
              <w:rPr>
                <w:spacing w:val="-4"/>
                <w:sz w:val="20"/>
              </w:rPr>
              <w:t>-</w:t>
            </w:r>
            <w:r>
              <w:rPr>
                <w:spacing w:val="-2"/>
                <w:sz w:val="20"/>
              </w:rPr>
              <w:t>0.291853</w:t>
            </w:r>
          </w:p>
        </w:tc>
      </w:tr>
      <w:tr>
        <w:trPr>
          <w:trHeight w:val="230" w:hRule="atLeast"/>
        </w:trPr>
        <w:tc>
          <w:tcPr>
            <w:tcW w:w="1111" w:type="dxa"/>
          </w:tcPr>
          <w:p>
            <w:pPr>
              <w:pStyle w:val="TableParagraph"/>
              <w:spacing w:line="210" w:lineRule="exact"/>
              <w:ind w:left="55"/>
              <w:jc w:val="center"/>
              <w:rPr>
                <w:sz w:val="20"/>
              </w:rPr>
            </w:pPr>
            <w:r>
              <w:rPr>
                <w:spacing w:val="-2"/>
                <w:sz w:val="20"/>
              </w:rPr>
              <w:t>0.356747</w:t>
            </w:r>
          </w:p>
        </w:tc>
      </w:tr>
      <w:tr>
        <w:trPr>
          <w:trHeight w:val="230" w:hRule="atLeast"/>
        </w:trPr>
        <w:tc>
          <w:tcPr>
            <w:tcW w:w="1111" w:type="dxa"/>
          </w:tcPr>
          <w:p>
            <w:pPr>
              <w:pStyle w:val="TableParagraph"/>
              <w:spacing w:line="210" w:lineRule="exact"/>
              <w:ind w:left="55"/>
              <w:jc w:val="center"/>
              <w:rPr>
                <w:sz w:val="20"/>
              </w:rPr>
            </w:pPr>
            <w:r>
              <w:rPr>
                <w:spacing w:val="-2"/>
                <w:sz w:val="20"/>
              </w:rPr>
              <w:t>0.579989</w:t>
            </w:r>
          </w:p>
        </w:tc>
      </w:tr>
      <w:tr>
        <w:trPr>
          <w:trHeight w:val="229" w:hRule="atLeast"/>
        </w:trPr>
        <w:tc>
          <w:tcPr>
            <w:tcW w:w="1111" w:type="dxa"/>
          </w:tcPr>
          <w:p>
            <w:pPr>
              <w:pStyle w:val="TableParagraph"/>
              <w:spacing w:line="209" w:lineRule="exact"/>
              <w:ind w:left="55"/>
              <w:jc w:val="center"/>
              <w:rPr>
                <w:sz w:val="20"/>
              </w:rPr>
            </w:pPr>
            <w:r>
              <w:rPr>
                <w:spacing w:val="-2"/>
                <w:sz w:val="20"/>
              </w:rPr>
              <w:t>0.718902</w:t>
            </w:r>
          </w:p>
        </w:tc>
      </w:tr>
      <w:tr>
        <w:trPr>
          <w:trHeight w:val="229" w:hRule="atLeast"/>
        </w:trPr>
        <w:tc>
          <w:tcPr>
            <w:tcW w:w="1111" w:type="dxa"/>
          </w:tcPr>
          <w:p>
            <w:pPr>
              <w:pStyle w:val="TableParagraph"/>
              <w:spacing w:line="209" w:lineRule="exact"/>
              <w:ind w:left="55"/>
              <w:jc w:val="center"/>
              <w:rPr>
                <w:sz w:val="20"/>
              </w:rPr>
            </w:pPr>
            <w:r>
              <w:rPr>
                <w:spacing w:val="-2"/>
                <w:sz w:val="20"/>
              </w:rPr>
              <w:t>0.040470</w:t>
            </w:r>
          </w:p>
        </w:tc>
      </w:tr>
      <w:tr>
        <w:trPr>
          <w:trHeight w:val="230" w:hRule="atLeast"/>
        </w:trPr>
        <w:tc>
          <w:tcPr>
            <w:tcW w:w="1111" w:type="dxa"/>
          </w:tcPr>
          <w:p>
            <w:pPr>
              <w:pStyle w:val="TableParagraph"/>
              <w:spacing w:line="210" w:lineRule="exact"/>
              <w:ind w:left="55" w:right="53"/>
              <w:jc w:val="center"/>
              <w:rPr>
                <w:sz w:val="20"/>
              </w:rPr>
            </w:pPr>
            <w:r>
              <w:rPr>
                <w:spacing w:val="-4"/>
                <w:sz w:val="20"/>
              </w:rPr>
              <w:t>-</w:t>
            </w:r>
            <w:r>
              <w:rPr>
                <w:spacing w:val="-2"/>
                <w:sz w:val="20"/>
              </w:rPr>
              <w:t>0.030942</w:t>
            </w:r>
          </w:p>
        </w:tc>
      </w:tr>
      <w:tr>
        <w:trPr>
          <w:trHeight w:val="230" w:hRule="atLeast"/>
        </w:trPr>
        <w:tc>
          <w:tcPr>
            <w:tcW w:w="1111" w:type="dxa"/>
          </w:tcPr>
          <w:p>
            <w:pPr>
              <w:pStyle w:val="TableParagraph"/>
              <w:spacing w:line="210" w:lineRule="exact"/>
              <w:ind w:left="55"/>
              <w:jc w:val="center"/>
              <w:rPr>
                <w:sz w:val="20"/>
              </w:rPr>
            </w:pPr>
            <w:r>
              <w:rPr>
                <w:spacing w:val="-2"/>
                <w:sz w:val="20"/>
              </w:rPr>
              <w:t>0.097564</w:t>
            </w:r>
          </w:p>
        </w:tc>
      </w:tr>
      <w:tr>
        <w:trPr>
          <w:trHeight w:val="230" w:hRule="atLeast"/>
        </w:trPr>
        <w:tc>
          <w:tcPr>
            <w:tcW w:w="1111" w:type="dxa"/>
          </w:tcPr>
          <w:p>
            <w:pPr>
              <w:pStyle w:val="TableParagraph"/>
              <w:spacing w:line="210" w:lineRule="exact"/>
              <w:ind w:left="55"/>
              <w:jc w:val="center"/>
              <w:rPr>
                <w:sz w:val="20"/>
              </w:rPr>
            </w:pPr>
            <w:r>
              <w:rPr>
                <w:spacing w:val="-2"/>
                <w:sz w:val="20"/>
              </w:rPr>
              <w:t>0.623438</w:t>
            </w:r>
          </w:p>
        </w:tc>
      </w:tr>
      <w:tr>
        <w:trPr>
          <w:trHeight w:val="229" w:hRule="atLeast"/>
        </w:trPr>
        <w:tc>
          <w:tcPr>
            <w:tcW w:w="1111" w:type="dxa"/>
          </w:tcPr>
          <w:p>
            <w:pPr>
              <w:pStyle w:val="TableParagraph"/>
              <w:spacing w:line="209" w:lineRule="exact"/>
              <w:ind w:left="55"/>
              <w:jc w:val="center"/>
              <w:rPr>
                <w:sz w:val="20"/>
              </w:rPr>
            </w:pPr>
            <w:r>
              <w:rPr>
                <w:spacing w:val="-2"/>
                <w:sz w:val="20"/>
              </w:rPr>
              <w:t>0.245885</w:t>
            </w:r>
          </w:p>
        </w:tc>
      </w:tr>
      <w:tr>
        <w:trPr>
          <w:trHeight w:val="229" w:hRule="atLeast"/>
        </w:trPr>
        <w:tc>
          <w:tcPr>
            <w:tcW w:w="1111" w:type="dxa"/>
          </w:tcPr>
          <w:p>
            <w:pPr>
              <w:pStyle w:val="TableParagraph"/>
              <w:spacing w:line="209" w:lineRule="exact"/>
              <w:ind w:left="55"/>
              <w:jc w:val="center"/>
              <w:rPr>
                <w:sz w:val="20"/>
              </w:rPr>
            </w:pPr>
            <w:r>
              <w:rPr>
                <w:spacing w:val="-2"/>
                <w:sz w:val="20"/>
              </w:rPr>
              <w:t>0.927582</w:t>
            </w:r>
          </w:p>
        </w:tc>
      </w:tr>
      <w:tr>
        <w:trPr>
          <w:trHeight w:val="230" w:hRule="atLeast"/>
        </w:trPr>
        <w:tc>
          <w:tcPr>
            <w:tcW w:w="1111" w:type="dxa"/>
          </w:tcPr>
          <w:p>
            <w:pPr>
              <w:pStyle w:val="TableParagraph"/>
              <w:spacing w:line="210" w:lineRule="exact"/>
              <w:ind w:left="55" w:right="53"/>
              <w:jc w:val="center"/>
              <w:rPr>
                <w:sz w:val="20"/>
              </w:rPr>
            </w:pPr>
            <w:r>
              <w:rPr>
                <w:spacing w:val="-4"/>
                <w:sz w:val="20"/>
              </w:rPr>
              <w:t>-</w:t>
            </w:r>
            <w:r>
              <w:rPr>
                <w:spacing w:val="-2"/>
                <w:sz w:val="20"/>
              </w:rPr>
              <w:t>0.924806</w:t>
            </w:r>
          </w:p>
        </w:tc>
      </w:tr>
      <w:tr>
        <w:trPr>
          <w:trHeight w:val="225" w:hRule="atLeast"/>
        </w:trPr>
        <w:tc>
          <w:tcPr>
            <w:tcW w:w="1111" w:type="dxa"/>
          </w:tcPr>
          <w:p>
            <w:pPr>
              <w:pStyle w:val="TableParagraph"/>
              <w:spacing w:line="205" w:lineRule="exact"/>
              <w:ind w:left="55" w:right="53"/>
              <w:jc w:val="center"/>
              <w:rPr>
                <w:sz w:val="20"/>
              </w:rPr>
            </w:pPr>
            <w:r>
              <w:rPr>
                <w:spacing w:val="-4"/>
                <w:sz w:val="20"/>
              </w:rPr>
              <w:t>-</w:t>
            </w:r>
            <w:r>
              <w:rPr>
                <w:spacing w:val="-2"/>
                <w:sz w:val="20"/>
              </w:rPr>
              <w:t>0.363269</w:t>
            </w:r>
          </w:p>
        </w:tc>
      </w:tr>
    </w:tbl>
    <w:p>
      <w:pPr>
        <w:pStyle w:val="BodyText"/>
        <w:rPr>
          <w:sz w:val="20"/>
        </w:rPr>
      </w:pPr>
    </w:p>
    <w:p>
      <w:pPr>
        <w:pStyle w:val="BodyText"/>
        <w:spacing w:before="28"/>
        <w:rPr>
          <w:sz w:val="20"/>
        </w:rPr>
      </w:pPr>
    </w:p>
    <w:p>
      <w:pPr>
        <w:spacing w:before="0" w:after="5"/>
        <w:ind w:left="711" w:right="0" w:firstLine="0"/>
        <w:jc w:val="left"/>
        <w:rPr>
          <w:sz w:val="20"/>
        </w:rPr>
      </w:pPr>
      <w:r>
        <w:rPr>
          <w:sz w:val="20"/>
        </w:rPr>
        <w:t>CORRELATION</w:t>
      </w:r>
      <w:r>
        <w:rPr>
          <w:spacing w:val="-10"/>
          <w:sz w:val="20"/>
        </w:rPr>
        <w:t> </w:t>
      </w:r>
      <w:r>
        <w:rPr>
          <w:sz w:val="20"/>
        </w:rPr>
        <w:t>MATRIX</w:t>
      </w:r>
      <w:r>
        <w:rPr>
          <w:spacing w:val="-8"/>
          <w:sz w:val="20"/>
        </w:rPr>
        <w:t> </w:t>
      </w:r>
      <w:r>
        <w:rPr>
          <w:sz w:val="20"/>
        </w:rPr>
        <w:t>FOR</w:t>
      </w:r>
      <w:r>
        <w:rPr>
          <w:spacing w:val="-9"/>
          <w:sz w:val="20"/>
        </w:rPr>
        <w:t> </w:t>
      </w:r>
      <w:r>
        <w:rPr>
          <w:sz w:val="20"/>
        </w:rPr>
        <w:t>MODEL</w:t>
      </w:r>
      <w:r>
        <w:rPr>
          <w:spacing w:val="-9"/>
          <w:sz w:val="20"/>
        </w:rPr>
        <w:t> </w:t>
      </w:r>
      <w:r>
        <w:rPr>
          <w:spacing w:val="-5"/>
          <w:sz w:val="20"/>
        </w:rPr>
        <w:t>2B</w:t>
      </w:r>
    </w:p>
    <w:tbl>
      <w:tblPr>
        <w:tblW w:w="0" w:type="auto"/>
        <w:jc w:val="left"/>
        <w:tblInd w:w="9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05"/>
        <w:gridCol w:w="1299"/>
        <w:gridCol w:w="1303"/>
        <w:gridCol w:w="1303"/>
        <w:gridCol w:w="1298"/>
        <w:gridCol w:w="1123"/>
      </w:tblGrid>
      <w:tr>
        <w:trPr>
          <w:trHeight w:val="226" w:hRule="atLeast"/>
        </w:trPr>
        <w:tc>
          <w:tcPr>
            <w:tcW w:w="1105" w:type="dxa"/>
          </w:tcPr>
          <w:p>
            <w:pPr>
              <w:pStyle w:val="TableParagraph"/>
              <w:spacing w:line="206" w:lineRule="exact"/>
              <w:ind w:right="224"/>
              <w:jc w:val="center"/>
              <w:rPr>
                <w:rFonts w:ascii="Arial MT"/>
                <w:sz w:val="20"/>
              </w:rPr>
            </w:pPr>
            <w:r>
              <w:rPr>
                <w:rFonts w:ascii="Arial MT"/>
                <w:spacing w:val="-5"/>
                <w:sz w:val="20"/>
              </w:rPr>
              <w:t>GDP</w:t>
            </w:r>
          </w:p>
        </w:tc>
        <w:tc>
          <w:tcPr>
            <w:tcW w:w="1299" w:type="dxa"/>
          </w:tcPr>
          <w:p>
            <w:pPr>
              <w:pStyle w:val="TableParagraph"/>
              <w:spacing w:line="206" w:lineRule="exact"/>
              <w:ind w:right="55"/>
              <w:jc w:val="center"/>
              <w:rPr>
                <w:rFonts w:ascii="Arial MT"/>
                <w:sz w:val="20"/>
              </w:rPr>
            </w:pPr>
            <w:r>
              <w:rPr>
                <w:rFonts w:ascii="Arial MT"/>
                <w:spacing w:val="-2"/>
                <w:sz w:val="20"/>
              </w:rPr>
              <w:t>EXDEBT</w:t>
            </w:r>
          </w:p>
        </w:tc>
        <w:tc>
          <w:tcPr>
            <w:tcW w:w="1303" w:type="dxa"/>
          </w:tcPr>
          <w:p>
            <w:pPr>
              <w:pStyle w:val="TableParagraph"/>
              <w:spacing w:line="206" w:lineRule="exact"/>
              <w:ind w:left="60" w:right="111"/>
              <w:jc w:val="center"/>
              <w:rPr>
                <w:rFonts w:ascii="Arial MT"/>
                <w:sz w:val="20"/>
              </w:rPr>
            </w:pPr>
            <w:r>
              <w:rPr>
                <w:rFonts w:ascii="Arial MT"/>
                <w:spacing w:val="-5"/>
                <w:sz w:val="20"/>
              </w:rPr>
              <w:t>DFI</w:t>
            </w:r>
          </w:p>
        </w:tc>
        <w:tc>
          <w:tcPr>
            <w:tcW w:w="1303" w:type="dxa"/>
          </w:tcPr>
          <w:p>
            <w:pPr>
              <w:pStyle w:val="TableParagraph"/>
              <w:spacing w:line="206" w:lineRule="exact"/>
              <w:ind w:left="60" w:right="114"/>
              <w:jc w:val="center"/>
              <w:rPr>
                <w:rFonts w:ascii="Arial MT"/>
                <w:sz w:val="20"/>
              </w:rPr>
            </w:pPr>
            <w:r>
              <w:rPr>
                <w:rFonts w:ascii="Arial MT"/>
                <w:spacing w:val="-5"/>
                <w:sz w:val="20"/>
              </w:rPr>
              <w:t>CAB</w:t>
            </w:r>
          </w:p>
        </w:tc>
        <w:tc>
          <w:tcPr>
            <w:tcW w:w="1298" w:type="dxa"/>
          </w:tcPr>
          <w:p>
            <w:pPr>
              <w:pStyle w:val="TableParagraph"/>
              <w:spacing w:line="206" w:lineRule="exact"/>
              <w:ind w:right="53"/>
              <w:jc w:val="center"/>
              <w:rPr>
                <w:rFonts w:ascii="Arial MT"/>
                <w:sz w:val="20"/>
              </w:rPr>
            </w:pPr>
            <w:r>
              <w:rPr>
                <w:rFonts w:ascii="Arial MT"/>
                <w:spacing w:val="-5"/>
                <w:sz w:val="20"/>
              </w:rPr>
              <w:t>RES</w:t>
            </w:r>
          </w:p>
        </w:tc>
        <w:tc>
          <w:tcPr>
            <w:tcW w:w="1123" w:type="dxa"/>
          </w:tcPr>
          <w:p>
            <w:pPr>
              <w:pStyle w:val="TableParagraph"/>
              <w:spacing w:line="206" w:lineRule="exact"/>
              <w:ind w:right="93"/>
              <w:jc w:val="right"/>
              <w:rPr>
                <w:rFonts w:ascii="Arial MT"/>
                <w:sz w:val="20"/>
              </w:rPr>
            </w:pPr>
            <w:r>
              <w:rPr>
                <w:rFonts w:ascii="Arial MT"/>
                <w:spacing w:val="-2"/>
                <w:sz w:val="20"/>
              </w:rPr>
              <w:t>NEXTAS</w:t>
            </w:r>
          </w:p>
        </w:tc>
      </w:tr>
      <w:tr>
        <w:trPr>
          <w:trHeight w:val="230" w:hRule="atLeast"/>
        </w:trPr>
        <w:tc>
          <w:tcPr>
            <w:tcW w:w="1105" w:type="dxa"/>
          </w:tcPr>
          <w:p>
            <w:pPr>
              <w:pStyle w:val="TableParagraph"/>
              <w:spacing w:line="210" w:lineRule="exact"/>
              <w:ind w:right="170"/>
              <w:jc w:val="center"/>
              <w:rPr>
                <w:rFonts w:ascii="Arial MT"/>
                <w:sz w:val="20"/>
              </w:rPr>
            </w:pPr>
            <w:r>
              <w:rPr>
                <w:rFonts w:ascii="Arial MT"/>
                <w:spacing w:val="-2"/>
                <w:sz w:val="20"/>
              </w:rPr>
              <w:t>1.000000</w:t>
            </w:r>
          </w:p>
        </w:tc>
        <w:tc>
          <w:tcPr>
            <w:tcW w:w="1299" w:type="dxa"/>
          </w:tcPr>
          <w:p>
            <w:pPr>
              <w:pStyle w:val="TableParagraph"/>
              <w:spacing w:line="210" w:lineRule="exact"/>
              <w:ind w:left="54" w:right="55"/>
              <w:jc w:val="center"/>
              <w:rPr>
                <w:rFonts w:ascii="Arial MT"/>
                <w:sz w:val="20"/>
              </w:rPr>
            </w:pPr>
            <w:r>
              <w:rPr>
                <w:rFonts w:ascii="Arial MT"/>
                <w:spacing w:val="-2"/>
                <w:sz w:val="20"/>
              </w:rPr>
              <w:t>0.838584</w:t>
            </w:r>
          </w:p>
        </w:tc>
        <w:tc>
          <w:tcPr>
            <w:tcW w:w="1303" w:type="dxa"/>
          </w:tcPr>
          <w:p>
            <w:pPr>
              <w:pStyle w:val="TableParagraph"/>
              <w:spacing w:line="210" w:lineRule="exact"/>
              <w:ind w:left="60" w:right="60"/>
              <w:jc w:val="center"/>
              <w:rPr>
                <w:rFonts w:ascii="Arial MT"/>
                <w:sz w:val="20"/>
              </w:rPr>
            </w:pPr>
            <w:r>
              <w:rPr>
                <w:rFonts w:ascii="Arial MT"/>
                <w:spacing w:val="-2"/>
                <w:sz w:val="20"/>
              </w:rPr>
              <w:t>0.964968</w:t>
            </w:r>
          </w:p>
        </w:tc>
        <w:tc>
          <w:tcPr>
            <w:tcW w:w="1303" w:type="dxa"/>
          </w:tcPr>
          <w:p>
            <w:pPr>
              <w:pStyle w:val="TableParagraph"/>
              <w:spacing w:line="210" w:lineRule="exact"/>
              <w:ind w:left="60" w:right="60"/>
              <w:jc w:val="center"/>
              <w:rPr>
                <w:rFonts w:ascii="Arial MT"/>
                <w:sz w:val="20"/>
              </w:rPr>
            </w:pPr>
            <w:r>
              <w:rPr>
                <w:rFonts w:ascii="Arial MT"/>
                <w:spacing w:val="-2"/>
                <w:sz w:val="20"/>
              </w:rPr>
              <w:t>0.947727</w:t>
            </w:r>
          </w:p>
        </w:tc>
        <w:tc>
          <w:tcPr>
            <w:tcW w:w="1298" w:type="dxa"/>
          </w:tcPr>
          <w:p>
            <w:pPr>
              <w:pStyle w:val="TableParagraph"/>
              <w:spacing w:line="210" w:lineRule="exact"/>
              <w:ind w:left="52" w:right="53"/>
              <w:jc w:val="center"/>
              <w:rPr>
                <w:rFonts w:ascii="Arial MT"/>
                <w:sz w:val="20"/>
              </w:rPr>
            </w:pPr>
            <w:r>
              <w:rPr>
                <w:rFonts w:ascii="Arial MT"/>
                <w:spacing w:val="-2"/>
                <w:sz w:val="20"/>
              </w:rPr>
              <w:t>0.937394</w:t>
            </w:r>
          </w:p>
        </w:tc>
        <w:tc>
          <w:tcPr>
            <w:tcW w:w="1123" w:type="dxa"/>
          </w:tcPr>
          <w:p>
            <w:pPr>
              <w:pStyle w:val="TableParagraph"/>
              <w:spacing w:line="210" w:lineRule="exact"/>
              <w:ind w:right="51"/>
              <w:jc w:val="right"/>
              <w:rPr>
                <w:rFonts w:ascii="Arial MT"/>
                <w:sz w:val="20"/>
              </w:rPr>
            </w:pPr>
            <w:r>
              <w:rPr>
                <w:rFonts w:ascii="Arial MT"/>
                <w:spacing w:val="-2"/>
                <w:sz w:val="20"/>
              </w:rPr>
              <w:t>0.935417</w:t>
            </w:r>
          </w:p>
        </w:tc>
      </w:tr>
      <w:tr>
        <w:trPr>
          <w:trHeight w:val="230" w:hRule="atLeast"/>
        </w:trPr>
        <w:tc>
          <w:tcPr>
            <w:tcW w:w="1105" w:type="dxa"/>
          </w:tcPr>
          <w:p>
            <w:pPr>
              <w:pStyle w:val="TableParagraph"/>
              <w:spacing w:line="210" w:lineRule="exact"/>
              <w:ind w:right="170"/>
              <w:jc w:val="center"/>
              <w:rPr>
                <w:rFonts w:ascii="Arial MT"/>
                <w:sz w:val="20"/>
              </w:rPr>
            </w:pPr>
            <w:r>
              <w:rPr>
                <w:rFonts w:ascii="Arial MT"/>
                <w:spacing w:val="-2"/>
                <w:sz w:val="20"/>
              </w:rPr>
              <w:t>0.838584</w:t>
            </w:r>
          </w:p>
        </w:tc>
        <w:tc>
          <w:tcPr>
            <w:tcW w:w="1299" w:type="dxa"/>
          </w:tcPr>
          <w:p>
            <w:pPr>
              <w:pStyle w:val="TableParagraph"/>
              <w:spacing w:line="210" w:lineRule="exact"/>
              <w:ind w:left="54" w:right="55"/>
              <w:jc w:val="center"/>
              <w:rPr>
                <w:rFonts w:ascii="Arial MT"/>
                <w:sz w:val="20"/>
              </w:rPr>
            </w:pPr>
            <w:r>
              <w:rPr>
                <w:rFonts w:ascii="Arial MT"/>
                <w:spacing w:val="-2"/>
                <w:sz w:val="20"/>
              </w:rPr>
              <w:t>1.000000</w:t>
            </w:r>
          </w:p>
        </w:tc>
        <w:tc>
          <w:tcPr>
            <w:tcW w:w="1303" w:type="dxa"/>
          </w:tcPr>
          <w:p>
            <w:pPr>
              <w:pStyle w:val="TableParagraph"/>
              <w:spacing w:line="210" w:lineRule="exact"/>
              <w:ind w:left="60" w:right="60"/>
              <w:jc w:val="center"/>
              <w:rPr>
                <w:rFonts w:ascii="Arial MT"/>
                <w:sz w:val="20"/>
              </w:rPr>
            </w:pPr>
            <w:r>
              <w:rPr>
                <w:rFonts w:ascii="Arial MT"/>
                <w:spacing w:val="-2"/>
                <w:sz w:val="20"/>
              </w:rPr>
              <w:t>0.779747</w:t>
            </w:r>
          </w:p>
        </w:tc>
        <w:tc>
          <w:tcPr>
            <w:tcW w:w="1303" w:type="dxa"/>
          </w:tcPr>
          <w:p>
            <w:pPr>
              <w:pStyle w:val="TableParagraph"/>
              <w:spacing w:line="210" w:lineRule="exact"/>
              <w:ind w:left="60" w:right="60"/>
              <w:jc w:val="center"/>
              <w:rPr>
                <w:rFonts w:ascii="Arial MT"/>
                <w:sz w:val="20"/>
              </w:rPr>
            </w:pPr>
            <w:r>
              <w:rPr>
                <w:rFonts w:ascii="Arial MT"/>
                <w:spacing w:val="-2"/>
                <w:sz w:val="20"/>
              </w:rPr>
              <w:t>0.783694</w:t>
            </w:r>
          </w:p>
        </w:tc>
        <w:tc>
          <w:tcPr>
            <w:tcW w:w="1298" w:type="dxa"/>
          </w:tcPr>
          <w:p>
            <w:pPr>
              <w:pStyle w:val="TableParagraph"/>
              <w:spacing w:line="210" w:lineRule="exact"/>
              <w:ind w:left="52" w:right="53"/>
              <w:jc w:val="center"/>
              <w:rPr>
                <w:rFonts w:ascii="Arial MT"/>
                <w:sz w:val="20"/>
              </w:rPr>
            </w:pPr>
            <w:r>
              <w:rPr>
                <w:rFonts w:ascii="Arial MT"/>
                <w:spacing w:val="-2"/>
                <w:sz w:val="20"/>
              </w:rPr>
              <w:t>0.818715</w:t>
            </w:r>
          </w:p>
        </w:tc>
        <w:tc>
          <w:tcPr>
            <w:tcW w:w="1123" w:type="dxa"/>
          </w:tcPr>
          <w:p>
            <w:pPr>
              <w:pStyle w:val="TableParagraph"/>
              <w:spacing w:line="210" w:lineRule="exact"/>
              <w:ind w:right="51"/>
              <w:jc w:val="right"/>
              <w:rPr>
                <w:rFonts w:ascii="Arial MT"/>
                <w:sz w:val="20"/>
              </w:rPr>
            </w:pPr>
            <w:r>
              <w:rPr>
                <w:rFonts w:ascii="Arial MT"/>
                <w:spacing w:val="-2"/>
                <w:sz w:val="20"/>
              </w:rPr>
              <w:t>0.838219</w:t>
            </w:r>
          </w:p>
        </w:tc>
      </w:tr>
      <w:tr>
        <w:trPr>
          <w:trHeight w:val="230" w:hRule="atLeast"/>
        </w:trPr>
        <w:tc>
          <w:tcPr>
            <w:tcW w:w="1105" w:type="dxa"/>
          </w:tcPr>
          <w:p>
            <w:pPr>
              <w:pStyle w:val="TableParagraph"/>
              <w:spacing w:line="210" w:lineRule="exact"/>
              <w:ind w:right="170"/>
              <w:jc w:val="center"/>
              <w:rPr>
                <w:rFonts w:ascii="Arial MT"/>
                <w:sz w:val="20"/>
              </w:rPr>
            </w:pPr>
            <w:r>
              <w:rPr>
                <w:rFonts w:ascii="Arial MT"/>
                <w:spacing w:val="-2"/>
                <w:sz w:val="20"/>
              </w:rPr>
              <w:t>0.964968</w:t>
            </w:r>
          </w:p>
        </w:tc>
        <w:tc>
          <w:tcPr>
            <w:tcW w:w="1299" w:type="dxa"/>
          </w:tcPr>
          <w:p>
            <w:pPr>
              <w:pStyle w:val="TableParagraph"/>
              <w:spacing w:line="210" w:lineRule="exact"/>
              <w:ind w:left="54" w:right="55"/>
              <w:jc w:val="center"/>
              <w:rPr>
                <w:rFonts w:ascii="Arial MT"/>
                <w:sz w:val="20"/>
              </w:rPr>
            </w:pPr>
            <w:r>
              <w:rPr>
                <w:rFonts w:ascii="Arial MT"/>
                <w:spacing w:val="-2"/>
                <w:sz w:val="20"/>
              </w:rPr>
              <w:t>0.779747</w:t>
            </w:r>
          </w:p>
        </w:tc>
        <w:tc>
          <w:tcPr>
            <w:tcW w:w="1303" w:type="dxa"/>
          </w:tcPr>
          <w:p>
            <w:pPr>
              <w:pStyle w:val="TableParagraph"/>
              <w:spacing w:line="210" w:lineRule="exact"/>
              <w:ind w:left="60" w:right="60"/>
              <w:jc w:val="center"/>
              <w:rPr>
                <w:rFonts w:ascii="Arial MT"/>
                <w:sz w:val="20"/>
              </w:rPr>
            </w:pPr>
            <w:r>
              <w:rPr>
                <w:rFonts w:ascii="Arial MT"/>
                <w:spacing w:val="-2"/>
                <w:sz w:val="20"/>
              </w:rPr>
              <w:t>1.000000</w:t>
            </w:r>
          </w:p>
        </w:tc>
        <w:tc>
          <w:tcPr>
            <w:tcW w:w="1303" w:type="dxa"/>
          </w:tcPr>
          <w:p>
            <w:pPr>
              <w:pStyle w:val="TableParagraph"/>
              <w:spacing w:line="210" w:lineRule="exact"/>
              <w:ind w:left="60" w:right="60"/>
              <w:jc w:val="center"/>
              <w:rPr>
                <w:rFonts w:ascii="Arial MT"/>
                <w:sz w:val="20"/>
              </w:rPr>
            </w:pPr>
            <w:r>
              <w:rPr>
                <w:rFonts w:ascii="Arial MT"/>
                <w:spacing w:val="-2"/>
                <w:sz w:val="20"/>
              </w:rPr>
              <w:t>0.892047</w:t>
            </w:r>
          </w:p>
        </w:tc>
        <w:tc>
          <w:tcPr>
            <w:tcW w:w="1298" w:type="dxa"/>
          </w:tcPr>
          <w:p>
            <w:pPr>
              <w:pStyle w:val="TableParagraph"/>
              <w:spacing w:line="210" w:lineRule="exact"/>
              <w:ind w:left="52" w:right="53"/>
              <w:jc w:val="center"/>
              <w:rPr>
                <w:rFonts w:ascii="Arial MT"/>
                <w:sz w:val="20"/>
              </w:rPr>
            </w:pPr>
            <w:r>
              <w:rPr>
                <w:rFonts w:ascii="Arial MT"/>
                <w:spacing w:val="-2"/>
                <w:sz w:val="20"/>
              </w:rPr>
              <w:t>0.862185</w:t>
            </w:r>
          </w:p>
        </w:tc>
        <w:tc>
          <w:tcPr>
            <w:tcW w:w="1123" w:type="dxa"/>
          </w:tcPr>
          <w:p>
            <w:pPr>
              <w:pStyle w:val="TableParagraph"/>
              <w:spacing w:line="210" w:lineRule="exact"/>
              <w:ind w:right="51"/>
              <w:jc w:val="right"/>
              <w:rPr>
                <w:rFonts w:ascii="Arial MT"/>
                <w:sz w:val="20"/>
              </w:rPr>
            </w:pPr>
            <w:r>
              <w:rPr>
                <w:rFonts w:ascii="Arial MT"/>
                <w:spacing w:val="-2"/>
                <w:sz w:val="20"/>
              </w:rPr>
              <w:t>0.880397</w:t>
            </w:r>
          </w:p>
        </w:tc>
      </w:tr>
      <w:tr>
        <w:trPr>
          <w:trHeight w:val="230" w:hRule="atLeast"/>
        </w:trPr>
        <w:tc>
          <w:tcPr>
            <w:tcW w:w="1105" w:type="dxa"/>
          </w:tcPr>
          <w:p>
            <w:pPr>
              <w:pStyle w:val="TableParagraph"/>
              <w:spacing w:line="210" w:lineRule="exact"/>
              <w:ind w:right="170"/>
              <w:jc w:val="center"/>
              <w:rPr>
                <w:rFonts w:ascii="Arial MT"/>
                <w:sz w:val="20"/>
              </w:rPr>
            </w:pPr>
            <w:r>
              <w:rPr>
                <w:rFonts w:ascii="Arial MT"/>
                <w:spacing w:val="-2"/>
                <w:sz w:val="20"/>
              </w:rPr>
              <w:t>0.947727</w:t>
            </w:r>
          </w:p>
        </w:tc>
        <w:tc>
          <w:tcPr>
            <w:tcW w:w="1299" w:type="dxa"/>
          </w:tcPr>
          <w:p>
            <w:pPr>
              <w:pStyle w:val="TableParagraph"/>
              <w:spacing w:line="210" w:lineRule="exact"/>
              <w:ind w:left="54" w:right="55"/>
              <w:jc w:val="center"/>
              <w:rPr>
                <w:rFonts w:ascii="Arial MT"/>
                <w:sz w:val="20"/>
              </w:rPr>
            </w:pPr>
            <w:r>
              <w:rPr>
                <w:rFonts w:ascii="Arial MT"/>
                <w:spacing w:val="-2"/>
                <w:sz w:val="20"/>
              </w:rPr>
              <w:t>0.783694</w:t>
            </w:r>
          </w:p>
        </w:tc>
        <w:tc>
          <w:tcPr>
            <w:tcW w:w="1303" w:type="dxa"/>
          </w:tcPr>
          <w:p>
            <w:pPr>
              <w:pStyle w:val="TableParagraph"/>
              <w:spacing w:line="210" w:lineRule="exact"/>
              <w:ind w:left="60" w:right="60"/>
              <w:jc w:val="center"/>
              <w:rPr>
                <w:rFonts w:ascii="Arial MT"/>
                <w:sz w:val="20"/>
              </w:rPr>
            </w:pPr>
            <w:r>
              <w:rPr>
                <w:rFonts w:ascii="Arial MT"/>
                <w:spacing w:val="-2"/>
                <w:sz w:val="20"/>
              </w:rPr>
              <w:t>0.892047</w:t>
            </w:r>
          </w:p>
        </w:tc>
        <w:tc>
          <w:tcPr>
            <w:tcW w:w="1303" w:type="dxa"/>
          </w:tcPr>
          <w:p>
            <w:pPr>
              <w:pStyle w:val="TableParagraph"/>
              <w:spacing w:line="210" w:lineRule="exact"/>
              <w:ind w:left="60" w:right="60"/>
              <w:jc w:val="center"/>
              <w:rPr>
                <w:rFonts w:ascii="Arial MT"/>
                <w:sz w:val="20"/>
              </w:rPr>
            </w:pPr>
            <w:r>
              <w:rPr>
                <w:rFonts w:ascii="Arial MT"/>
                <w:spacing w:val="-2"/>
                <w:sz w:val="20"/>
              </w:rPr>
              <w:t>1.000000</w:t>
            </w:r>
          </w:p>
        </w:tc>
        <w:tc>
          <w:tcPr>
            <w:tcW w:w="1298" w:type="dxa"/>
          </w:tcPr>
          <w:p>
            <w:pPr>
              <w:pStyle w:val="TableParagraph"/>
              <w:spacing w:line="210" w:lineRule="exact"/>
              <w:ind w:left="52" w:right="53"/>
              <w:jc w:val="center"/>
              <w:rPr>
                <w:rFonts w:ascii="Arial MT"/>
                <w:sz w:val="20"/>
              </w:rPr>
            </w:pPr>
            <w:r>
              <w:rPr>
                <w:rFonts w:ascii="Arial MT"/>
                <w:spacing w:val="-2"/>
                <w:sz w:val="20"/>
              </w:rPr>
              <w:t>0.936287</w:t>
            </w:r>
          </w:p>
        </w:tc>
        <w:tc>
          <w:tcPr>
            <w:tcW w:w="1123" w:type="dxa"/>
          </w:tcPr>
          <w:p>
            <w:pPr>
              <w:pStyle w:val="TableParagraph"/>
              <w:spacing w:line="210" w:lineRule="exact"/>
              <w:ind w:right="51"/>
              <w:jc w:val="right"/>
              <w:rPr>
                <w:rFonts w:ascii="Arial MT"/>
                <w:sz w:val="20"/>
              </w:rPr>
            </w:pPr>
            <w:r>
              <w:rPr>
                <w:rFonts w:ascii="Arial MT"/>
                <w:spacing w:val="-2"/>
                <w:sz w:val="20"/>
              </w:rPr>
              <w:t>0.930167</w:t>
            </w:r>
          </w:p>
        </w:tc>
      </w:tr>
      <w:tr>
        <w:trPr>
          <w:trHeight w:val="229" w:hRule="atLeast"/>
        </w:trPr>
        <w:tc>
          <w:tcPr>
            <w:tcW w:w="1105" w:type="dxa"/>
          </w:tcPr>
          <w:p>
            <w:pPr>
              <w:pStyle w:val="TableParagraph"/>
              <w:spacing w:line="209" w:lineRule="exact"/>
              <w:ind w:right="170"/>
              <w:jc w:val="center"/>
              <w:rPr>
                <w:rFonts w:ascii="Arial MT"/>
                <w:sz w:val="20"/>
              </w:rPr>
            </w:pPr>
            <w:r>
              <w:rPr>
                <w:rFonts w:ascii="Arial MT"/>
                <w:spacing w:val="-2"/>
                <w:sz w:val="20"/>
              </w:rPr>
              <w:t>0.937394</w:t>
            </w:r>
          </w:p>
        </w:tc>
        <w:tc>
          <w:tcPr>
            <w:tcW w:w="1299" w:type="dxa"/>
          </w:tcPr>
          <w:p>
            <w:pPr>
              <w:pStyle w:val="TableParagraph"/>
              <w:spacing w:line="209" w:lineRule="exact"/>
              <w:ind w:left="54" w:right="55"/>
              <w:jc w:val="center"/>
              <w:rPr>
                <w:rFonts w:ascii="Arial MT"/>
                <w:sz w:val="20"/>
              </w:rPr>
            </w:pPr>
            <w:r>
              <w:rPr>
                <w:rFonts w:ascii="Arial MT"/>
                <w:spacing w:val="-2"/>
                <w:sz w:val="20"/>
              </w:rPr>
              <w:t>0.818715</w:t>
            </w:r>
          </w:p>
        </w:tc>
        <w:tc>
          <w:tcPr>
            <w:tcW w:w="1303" w:type="dxa"/>
          </w:tcPr>
          <w:p>
            <w:pPr>
              <w:pStyle w:val="TableParagraph"/>
              <w:spacing w:line="209" w:lineRule="exact"/>
              <w:ind w:left="60" w:right="60"/>
              <w:jc w:val="center"/>
              <w:rPr>
                <w:rFonts w:ascii="Arial MT"/>
                <w:sz w:val="20"/>
              </w:rPr>
            </w:pPr>
            <w:r>
              <w:rPr>
                <w:rFonts w:ascii="Arial MT"/>
                <w:spacing w:val="-2"/>
                <w:sz w:val="20"/>
              </w:rPr>
              <w:t>0.862185</w:t>
            </w:r>
          </w:p>
        </w:tc>
        <w:tc>
          <w:tcPr>
            <w:tcW w:w="1303" w:type="dxa"/>
          </w:tcPr>
          <w:p>
            <w:pPr>
              <w:pStyle w:val="TableParagraph"/>
              <w:spacing w:line="209" w:lineRule="exact"/>
              <w:ind w:left="60" w:right="60"/>
              <w:jc w:val="center"/>
              <w:rPr>
                <w:rFonts w:ascii="Arial MT"/>
                <w:sz w:val="20"/>
              </w:rPr>
            </w:pPr>
            <w:r>
              <w:rPr>
                <w:rFonts w:ascii="Arial MT"/>
                <w:spacing w:val="-2"/>
                <w:sz w:val="20"/>
              </w:rPr>
              <w:t>0.936287</w:t>
            </w:r>
          </w:p>
        </w:tc>
        <w:tc>
          <w:tcPr>
            <w:tcW w:w="1298" w:type="dxa"/>
          </w:tcPr>
          <w:p>
            <w:pPr>
              <w:pStyle w:val="TableParagraph"/>
              <w:spacing w:line="209" w:lineRule="exact"/>
              <w:ind w:left="52" w:right="53"/>
              <w:jc w:val="center"/>
              <w:rPr>
                <w:rFonts w:ascii="Arial MT"/>
                <w:sz w:val="20"/>
              </w:rPr>
            </w:pPr>
            <w:r>
              <w:rPr>
                <w:rFonts w:ascii="Arial MT"/>
                <w:spacing w:val="-2"/>
                <w:sz w:val="20"/>
              </w:rPr>
              <w:t>1.000000</w:t>
            </w:r>
          </w:p>
        </w:tc>
        <w:tc>
          <w:tcPr>
            <w:tcW w:w="1123" w:type="dxa"/>
          </w:tcPr>
          <w:p>
            <w:pPr>
              <w:pStyle w:val="TableParagraph"/>
              <w:spacing w:line="209" w:lineRule="exact"/>
              <w:ind w:right="51"/>
              <w:jc w:val="right"/>
              <w:rPr>
                <w:rFonts w:ascii="Arial MT"/>
                <w:sz w:val="20"/>
              </w:rPr>
            </w:pPr>
            <w:r>
              <w:rPr>
                <w:rFonts w:ascii="Arial MT"/>
                <w:spacing w:val="-2"/>
                <w:sz w:val="20"/>
              </w:rPr>
              <w:t>0.944695</w:t>
            </w:r>
          </w:p>
        </w:tc>
      </w:tr>
      <w:tr>
        <w:trPr>
          <w:trHeight w:val="225" w:hRule="atLeast"/>
        </w:trPr>
        <w:tc>
          <w:tcPr>
            <w:tcW w:w="1105" w:type="dxa"/>
          </w:tcPr>
          <w:p>
            <w:pPr>
              <w:pStyle w:val="TableParagraph"/>
              <w:spacing w:line="205" w:lineRule="exact"/>
              <w:ind w:right="170"/>
              <w:jc w:val="center"/>
              <w:rPr>
                <w:rFonts w:ascii="Arial MT"/>
                <w:sz w:val="20"/>
              </w:rPr>
            </w:pPr>
            <w:r>
              <w:rPr>
                <w:rFonts w:ascii="Arial MT"/>
                <w:spacing w:val="-2"/>
                <w:sz w:val="20"/>
              </w:rPr>
              <w:t>0.935417</w:t>
            </w:r>
          </w:p>
        </w:tc>
        <w:tc>
          <w:tcPr>
            <w:tcW w:w="1299" w:type="dxa"/>
          </w:tcPr>
          <w:p>
            <w:pPr>
              <w:pStyle w:val="TableParagraph"/>
              <w:spacing w:line="205" w:lineRule="exact"/>
              <w:ind w:left="54" w:right="55"/>
              <w:jc w:val="center"/>
              <w:rPr>
                <w:rFonts w:ascii="Arial MT"/>
                <w:sz w:val="20"/>
              </w:rPr>
            </w:pPr>
            <w:r>
              <w:rPr>
                <w:rFonts w:ascii="Arial MT"/>
                <w:spacing w:val="-2"/>
                <w:sz w:val="20"/>
              </w:rPr>
              <w:t>0.838219</w:t>
            </w:r>
          </w:p>
        </w:tc>
        <w:tc>
          <w:tcPr>
            <w:tcW w:w="1303" w:type="dxa"/>
          </w:tcPr>
          <w:p>
            <w:pPr>
              <w:pStyle w:val="TableParagraph"/>
              <w:spacing w:line="205" w:lineRule="exact"/>
              <w:ind w:left="60" w:right="60"/>
              <w:jc w:val="center"/>
              <w:rPr>
                <w:rFonts w:ascii="Arial MT"/>
                <w:sz w:val="20"/>
              </w:rPr>
            </w:pPr>
            <w:r>
              <w:rPr>
                <w:rFonts w:ascii="Arial MT"/>
                <w:spacing w:val="-2"/>
                <w:sz w:val="20"/>
              </w:rPr>
              <w:t>0.880397</w:t>
            </w:r>
          </w:p>
        </w:tc>
        <w:tc>
          <w:tcPr>
            <w:tcW w:w="1303" w:type="dxa"/>
          </w:tcPr>
          <w:p>
            <w:pPr>
              <w:pStyle w:val="TableParagraph"/>
              <w:spacing w:line="205" w:lineRule="exact"/>
              <w:ind w:left="60" w:right="60"/>
              <w:jc w:val="center"/>
              <w:rPr>
                <w:rFonts w:ascii="Arial MT"/>
                <w:sz w:val="20"/>
              </w:rPr>
            </w:pPr>
            <w:r>
              <w:rPr>
                <w:rFonts w:ascii="Arial MT"/>
                <w:spacing w:val="-2"/>
                <w:sz w:val="20"/>
              </w:rPr>
              <w:t>0.930167</w:t>
            </w:r>
          </w:p>
        </w:tc>
        <w:tc>
          <w:tcPr>
            <w:tcW w:w="1298" w:type="dxa"/>
          </w:tcPr>
          <w:p>
            <w:pPr>
              <w:pStyle w:val="TableParagraph"/>
              <w:spacing w:line="205" w:lineRule="exact"/>
              <w:ind w:left="52" w:right="53"/>
              <w:jc w:val="center"/>
              <w:rPr>
                <w:rFonts w:ascii="Arial MT"/>
                <w:sz w:val="20"/>
              </w:rPr>
            </w:pPr>
            <w:r>
              <w:rPr>
                <w:rFonts w:ascii="Arial MT"/>
                <w:spacing w:val="-2"/>
                <w:sz w:val="20"/>
              </w:rPr>
              <w:t>0.944695</w:t>
            </w:r>
          </w:p>
        </w:tc>
        <w:tc>
          <w:tcPr>
            <w:tcW w:w="1123" w:type="dxa"/>
          </w:tcPr>
          <w:p>
            <w:pPr>
              <w:pStyle w:val="TableParagraph"/>
              <w:spacing w:line="205" w:lineRule="exact"/>
              <w:ind w:right="51"/>
              <w:jc w:val="right"/>
              <w:rPr>
                <w:rFonts w:ascii="Arial MT"/>
                <w:sz w:val="20"/>
              </w:rPr>
            </w:pPr>
            <w:r>
              <w:rPr>
                <w:rFonts w:ascii="Arial MT"/>
                <w:spacing w:val="-2"/>
                <w:sz w:val="20"/>
              </w:rPr>
              <w:t>1.000000</w:t>
            </w:r>
          </w:p>
        </w:tc>
      </w:tr>
    </w:tbl>
    <w:p>
      <w:pPr>
        <w:spacing w:after="0" w:line="205" w:lineRule="exact"/>
        <w:jc w:val="right"/>
        <w:rPr>
          <w:rFonts w:ascii="Arial MT"/>
          <w:sz w:val="20"/>
        </w:rPr>
        <w:sectPr>
          <w:type w:val="continuous"/>
          <w:pgSz w:w="11910" w:h="16840"/>
          <w:pgMar w:header="0" w:footer="979" w:top="1420" w:bottom="1240" w:left="280" w:right="0"/>
        </w:sectPr>
      </w:pPr>
    </w:p>
    <w:p>
      <w:pPr>
        <w:spacing w:before="62"/>
        <w:ind w:left="711" w:right="7493" w:firstLine="0"/>
        <w:jc w:val="left"/>
        <w:rPr>
          <w:sz w:val="20"/>
        </w:rPr>
      </w:pPr>
      <w:r>
        <w:rPr>
          <w:sz w:val="20"/>
        </w:rPr>
        <w:t>UNIT</w:t>
      </w:r>
      <w:r>
        <w:rPr>
          <w:spacing w:val="-6"/>
          <w:sz w:val="20"/>
        </w:rPr>
        <w:t> </w:t>
      </w:r>
      <w:r>
        <w:rPr>
          <w:sz w:val="20"/>
        </w:rPr>
        <w:t>ROOT</w:t>
      </w:r>
      <w:r>
        <w:rPr>
          <w:spacing w:val="-7"/>
          <w:sz w:val="20"/>
        </w:rPr>
        <w:t> </w:t>
      </w:r>
      <w:r>
        <w:rPr>
          <w:sz w:val="20"/>
        </w:rPr>
        <w:t>TEST</w:t>
      </w:r>
      <w:r>
        <w:rPr>
          <w:spacing w:val="-6"/>
          <w:sz w:val="20"/>
        </w:rPr>
        <w:t> </w:t>
      </w:r>
      <w:r>
        <w:rPr>
          <w:sz w:val="20"/>
        </w:rPr>
        <w:t>FOR</w:t>
      </w:r>
      <w:r>
        <w:rPr>
          <w:spacing w:val="-9"/>
          <w:sz w:val="20"/>
        </w:rPr>
        <w:t> </w:t>
      </w:r>
      <w:r>
        <w:rPr>
          <w:sz w:val="20"/>
        </w:rPr>
        <w:t>MODEL</w:t>
      </w:r>
      <w:r>
        <w:rPr>
          <w:spacing w:val="-10"/>
          <w:sz w:val="20"/>
        </w:rPr>
        <w:t> </w:t>
      </w:r>
      <w:r>
        <w:rPr>
          <w:sz w:val="20"/>
        </w:rPr>
        <w:t>2B GDP @ LEVEL</w:t>
      </w:r>
    </w:p>
    <w:tbl>
      <w:tblPr>
        <w:tblW w:w="0" w:type="auto"/>
        <w:jc w:val="left"/>
        <w:tblInd w:w="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47"/>
        <w:gridCol w:w="1375"/>
        <w:gridCol w:w="1432"/>
        <w:gridCol w:w="904"/>
        <w:gridCol w:w="929"/>
      </w:tblGrid>
      <w:tr>
        <w:trPr>
          <w:trHeight w:val="225" w:hRule="atLeast"/>
        </w:trPr>
        <w:tc>
          <w:tcPr>
            <w:tcW w:w="1847" w:type="dxa"/>
          </w:tcPr>
          <w:p>
            <w:pPr>
              <w:pStyle w:val="TableParagraph"/>
              <w:spacing w:line="205" w:lineRule="exact"/>
              <w:ind w:left="36"/>
              <w:rPr>
                <w:sz w:val="20"/>
              </w:rPr>
            </w:pPr>
            <w:r>
              <w:rPr>
                <w:sz w:val="20"/>
              </w:rPr>
              <w:t>ADF</w:t>
            </w:r>
            <w:r>
              <w:rPr>
                <w:spacing w:val="-4"/>
                <w:sz w:val="20"/>
              </w:rPr>
              <w:t> </w:t>
            </w:r>
            <w:r>
              <w:rPr>
                <w:sz w:val="20"/>
              </w:rPr>
              <w:t>Test</w:t>
            </w:r>
            <w:r>
              <w:rPr>
                <w:spacing w:val="-3"/>
                <w:sz w:val="20"/>
              </w:rPr>
              <w:t> </w:t>
            </w:r>
            <w:r>
              <w:rPr>
                <w:spacing w:val="-2"/>
                <w:sz w:val="20"/>
              </w:rPr>
              <w:t>Statistic</w:t>
            </w:r>
          </w:p>
        </w:tc>
        <w:tc>
          <w:tcPr>
            <w:tcW w:w="1375" w:type="dxa"/>
          </w:tcPr>
          <w:p>
            <w:pPr>
              <w:pStyle w:val="TableParagraph"/>
              <w:spacing w:line="205" w:lineRule="exact"/>
              <w:ind w:left="219"/>
              <w:rPr>
                <w:sz w:val="20"/>
              </w:rPr>
            </w:pPr>
            <w:r>
              <w:rPr>
                <w:spacing w:val="-4"/>
                <w:sz w:val="20"/>
              </w:rPr>
              <w:t>-</w:t>
            </w:r>
            <w:r>
              <w:rPr>
                <w:spacing w:val="-2"/>
                <w:sz w:val="20"/>
              </w:rPr>
              <w:t>0.200491</w:t>
            </w:r>
          </w:p>
        </w:tc>
        <w:tc>
          <w:tcPr>
            <w:tcW w:w="2336" w:type="dxa"/>
            <w:gridSpan w:val="2"/>
          </w:tcPr>
          <w:p>
            <w:pPr>
              <w:pStyle w:val="TableParagraph"/>
              <w:spacing w:line="205" w:lineRule="exact"/>
              <w:ind w:left="131"/>
              <w:rPr>
                <w:sz w:val="20"/>
              </w:rPr>
            </w:pPr>
            <w:r>
              <w:rPr>
                <w:sz w:val="20"/>
              </w:rPr>
              <w:t>1%</w:t>
            </w:r>
            <w:r>
              <w:rPr>
                <w:spacing w:val="68"/>
                <w:w w:val="150"/>
                <w:sz w:val="20"/>
              </w:rPr>
              <w:t> </w:t>
            </w:r>
            <w:r>
              <w:rPr>
                <w:sz w:val="20"/>
              </w:rPr>
              <w:t>Critical</w:t>
            </w:r>
            <w:r>
              <w:rPr>
                <w:spacing w:val="-2"/>
                <w:sz w:val="20"/>
              </w:rPr>
              <w:t> Value*</w:t>
            </w:r>
          </w:p>
        </w:tc>
        <w:tc>
          <w:tcPr>
            <w:tcW w:w="929" w:type="dxa"/>
          </w:tcPr>
          <w:p>
            <w:pPr>
              <w:pStyle w:val="TableParagraph"/>
              <w:spacing w:line="205" w:lineRule="exact"/>
              <w:ind w:right="27"/>
              <w:jc w:val="right"/>
              <w:rPr>
                <w:sz w:val="20"/>
              </w:rPr>
            </w:pPr>
            <w:r>
              <w:rPr>
                <w:spacing w:val="-4"/>
                <w:sz w:val="20"/>
              </w:rPr>
              <w:t>-</w:t>
            </w:r>
            <w:r>
              <w:rPr>
                <w:spacing w:val="-2"/>
                <w:sz w:val="20"/>
              </w:rPr>
              <w:t>3.6019</w:t>
            </w:r>
          </w:p>
        </w:tc>
      </w:tr>
      <w:tr>
        <w:trPr>
          <w:trHeight w:val="230" w:hRule="atLeast"/>
        </w:trPr>
        <w:tc>
          <w:tcPr>
            <w:tcW w:w="1847" w:type="dxa"/>
          </w:tcPr>
          <w:p>
            <w:pPr>
              <w:pStyle w:val="TableParagraph"/>
              <w:rPr>
                <w:sz w:val="16"/>
              </w:rPr>
            </w:pPr>
          </w:p>
        </w:tc>
        <w:tc>
          <w:tcPr>
            <w:tcW w:w="1375" w:type="dxa"/>
          </w:tcPr>
          <w:p>
            <w:pPr>
              <w:pStyle w:val="TableParagraph"/>
              <w:rPr>
                <w:sz w:val="16"/>
              </w:rPr>
            </w:pPr>
          </w:p>
        </w:tc>
        <w:tc>
          <w:tcPr>
            <w:tcW w:w="2336" w:type="dxa"/>
            <w:gridSpan w:val="2"/>
          </w:tcPr>
          <w:p>
            <w:pPr>
              <w:pStyle w:val="TableParagraph"/>
              <w:spacing w:line="210" w:lineRule="exact"/>
              <w:ind w:left="131"/>
              <w:rPr>
                <w:sz w:val="20"/>
              </w:rPr>
            </w:pPr>
            <w:r>
              <w:rPr>
                <w:sz w:val="20"/>
              </w:rPr>
              <w:t>5%</w:t>
            </w:r>
            <w:r>
              <w:rPr>
                <w:spacing w:val="68"/>
                <w:w w:val="150"/>
                <w:sz w:val="20"/>
              </w:rPr>
              <w:t> </w:t>
            </w:r>
            <w:r>
              <w:rPr>
                <w:sz w:val="20"/>
              </w:rPr>
              <w:t>Critical</w:t>
            </w:r>
            <w:r>
              <w:rPr>
                <w:spacing w:val="-2"/>
                <w:sz w:val="20"/>
              </w:rPr>
              <w:t> </w:t>
            </w:r>
            <w:r>
              <w:rPr>
                <w:spacing w:val="-4"/>
                <w:sz w:val="20"/>
              </w:rPr>
              <w:t>Value</w:t>
            </w:r>
          </w:p>
        </w:tc>
        <w:tc>
          <w:tcPr>
            <w:tcW w:w="929" w:type="dxa"/>
          </w:tcPr>
          <w:p>
            <w:pPr>
              <w:pStyle w:val="TableParagraph"/>
              <w:spacing w:line="210" w:lineRule="exact"/>
              <w:ind w:right="27"/>
              <w:jc w:val="right"/>
              <w:rPr>
                <w:sz w:val="20"/>
              </w:rPr>
            </w:pPr>
            <w:r>
              <w:rPr>
                <w:spacing w:val="-4"/>
                <w:sz w:val="20"/>
              </w:rPr>
              <w:t>-</w:t>
            </w:r>
            <w:r>
              <w:rPr>
                <w:spacing w:val="-2"/>
                <w:sz w:val="20"/>
              </w:rPr>
              <w:t>2.9358</w:t>
            </w:r>
          </w:p>
        </w:tc>
      </w:tr>
      <w:tr>
        <w:trPr>
          <w:trHeight w:val="224" w:hRule="atLeast"/>
        </w:trPr>
        <w:tc>
          <w:tcPr>
            <w:tcW w:w="1847" w:type="dxa"/>
            <w:tcBorders>
              <w:bottom w:val="double" w:sz="6" w:space="0" w:color="000000"/>
            </w:tcBorders>
          </w:tcPr>
          <w:p>
            <w:pPr>
              <w:pStyle w:val="TableParagraph"/>
              <w:rPr>
                <w:sz w:val="16"/>
              </w:rPr>
            </w:pPr>
          </w:p>
        </w:tc>
        <w:tc>
          <w:tcPr>
            <w:tcW w:w="1375" w:type="dxa"/>
            <w:tcBorders>
              <w:bottom w:val="double" w:sz="6" w:space="0" w:color="000000"/>
            </w:tcBorders>
          </w:tcPr>
          <w:p>
            <w:pPr>
              <w:pStyle w:val="TableParagraph"/>
              <w:rPr>
                <w:sz w:val="16"/>
              </w:rPr>
            </w:pPr>
          </w:p>
        </w:tc>
        <w:tc>
          <w:tcPr>
            <w:tcW w:w="2336" w:type="dxa"/>
            <w:gridSpan w:val="2"/>
            <w:tcBorders>
              <w:bottom w:val="double" w:sz="6" w:space="0" w:color="000000"/>
            </w:tcBorders>
          </w:tcPr>
          <w:p>
            <w:pPr>
              <w:pStyle w:val="TableParagraph"/>
              <w:spacing w:line="205" w:lineRule="exact"/>
              <w:ind w:left="131"/>
              <w:rPr>
                <w:sz w:val="20"/>
              </w:rPr>
            </w:pPr>
            <w:r>
              <w:rPr>
                <w:sz w:val="20"/>
              </w:rPr>
              <w:t>10%</w:t>
            </w:r>
            <w:r>
              <w:rPr>
                <w:spacing w:val="-6"/>
                <w:sz w:val="20"/>
              </w:rPr>
              <w:t> </w:t>
            </w:r>
            <w:r>
              <w:rPr>
                <w:sz w:val="20"/>
              </w:rPr>
              <w:t>Critical</w:t>
            </w:r>
            <w:r>
              <w:rPr>
                <w:spacing w:val="-4"/>
                <w:sz w:val="20"/>
              </w:rPr>
              <w:t> </w:t>
            </w:r>
            <w:r>
              <w:rPr>
                <w:spacing w:val="-2"/>
                <w:sz w:val="20"/>
              </w:rPr>
              <w:t>Value</w:t>
            </w:r>
          </w:p>
        </w:tc>
        <w:tc>
          <w:tcPr>
            <w:tcW w:w="929" w:type="dxa"/>
            <w:tcBorders>
              <w:bottom w:val="double" w:sz="6" w:space="0" w:color="000000"/>
            </w:tcBorders>
          </w:tcPr>
          <w:p>
            <w:pPr>
              <w:pStyle w:val="TableParagraph"/>
              <w:spacing w:line="205" w:lineRule="exact"/>
              <w:ind w:right="27"/>
              <w:jc w:val="right"/>
              <w:rPr>
                <w:sz w:val="20"/>
              </w:rPr>
            </w:pPr>
            <w:r>
              <w:rPr>
                <w:spacing w:val="-4"/>
                <w:sz w:val="20"/>
              </w:rPr>
              <w:t>-</w:t>
            </w:r>
            <w:r>
              <w:rPr>
                <w:spacing w:val="-2"/>
                <w:sz w:val="20"/>
              </w:rPr>
              <w:t>2.6059</w:t>
            </w:r>
          </w:p>
        </w:tc>
      </w:tr>
      <w:tr>
        <w:trPr>
          <w:trHeight w:val="505" w:hRule="atLeast"/>
        </w:trPr>
        <w:tc>
          <w:tcPr>
            <w:tcW w:w="6487" w:type="dxa"/>
            <w:gridSpan w:val="5"/>
            <w:tcBorders>
              <w:top w:val="double" w:sz="6" w:space="0" w:color="000000"/>
            </w:tcBorders>
          </w:tcPr>
          <w:p>
            <w:pPr>
              <w:pStyle w:val="TableParagraph"/>
              <w:spacing w:before="40"/>
              <w:ind w:left="36"/>
              <w:rPr>
                <w:sz w:val="20"/>
              </w:rPr>
            </w:pPr>
            <w:r>
              <w:rPr>
                <w:sz w:val="20"/>
              </w:rPr>
              <w:t>*MacKinnon</w:t>
            </w:r>
            <w:r>
              <w:rPr>
                <w:spacing w:val="-6"/>
                <w:sz w:val="20"/>
              </w:rPr>
              <w:t> </w:t>
            </w:r>
            <w:r>
              <w:rPr>
                <w:sz w:val="20"/>
              </w:rPr>
              <w:t>critical</w:t>
            </w:r>
            <w:r>
              <w:rPr>
                <w:spacing w:val="-4"/>
                <w:sz w:val="20"/>
              </w:rPr>
              <w:t> </w:t>
            </w:r>
            <w:r>
              <w:rPr>
                <w:sz w:val="20"/>
              </w:rPr>
              <w:t>values</w:t>
            </w:r>
            <w:r>
              <w:rPr>
                <w:spacing w:val="-6"/>
                <w:sz w:val="20"/>
              </w:rPr>
              <w:t> </w:t>
            </w:r>
            <w:r>
              <w:rPr>
                <w:sz w:val="20"/>
              </w:rPr>
              <w:t>for</w:t>
            </w:r>
            <w:r>
              <w:rPr>
                <w:spacing w:val="-4"/>
                <w:sz w:val="20"/>
              </w:rPr>
              <w:t> </w:t>
            </w:r>
            <w:r>
              <w:rPr>
                <w:sz w:val="20"/>
              </w:rPr>
              <w:t>rejection</w:t>
            </w:r>
            <w:r>
              <w:rPr>
                <w:spacing w:val="-6"/>
                <w:sz w:val="20"/>
              </w:rPr>
              <w:t> </w:t>
            </w:r>
            <w:r>
              <w:rPr>
                <w:sz w:val="20"/>
              </w:rPr>
              <w:t>of</w:t>
            </w:r>
            <w:r>
              <w:rPr>
                <w:spacing w:val="-6"/>
                <w:sz w:val="20"/>
              </w:rPr>
              <w:t> </w:t>
            </w:r>
            <w:r>
              <w:rPr>
                <w:sz w:val="20"/>
              </w:rPr>
              <w:t>hypothesis</w:t>
            </w:r>
            <w:r>
              <w:rPr>
                <w:spacing w:val="-6"/>
                <w:sz w:val="20"/>
              </w:rPr>
              <w:t> </w:t>
            </w:r>
            <w:r>
              <w:rPr>
                <w:sz w:val="20"/>
              </w:rPr>
              <w:t>of</w:t>
            </w:r>
            <w:r>
              <w:rPr>
                <w:spacing w:val="-6"/>
                <w:sz w:val="20"/>
              </w:rPr>
              <w:t> </w:t>
            </w:r>
            <w:r>
              <w:rPr>
                <w:sz w:val="20"/>
              </w:rPr>
              <w:t>a</w:t>
            </w:r>
            <w:r>
              <w:rPr>
                <w:spacing w:val="-4"/>
                <w:sz w:val="20"/>
              </w:rPr>
              <w:t> </w:t>
            </w:r>
            <w:r>
              <w:rPr>
                <w:sz w:val="20"/>
              </w:rPr>
              <w:t>unit</w:t>
            </w:r>
            <w:r>
              <w:rPr>
                <w:spacing w:val="-6"/>
                <w:sz w:val="20"/>
              </w:rPr>
              <w:t> </w:t>
            </w:r>
            <w:r>
              <w:rPr>
                <w:spacing w:val="-2"/>
                <w:sz w:val="20"/>
              </w:rPr>
              <w:t>root.</w:t>
            </w:r>
          </w:p>
        </w:tc>
      </w:tr>
      <w:tr>
        <w:trPr>
          <w:trHeight w:val="460" w:hRule="atLeast"/>
        </w:trPr>
        <w:tc>
          <w:tcPr>
            <w:tcW w:w="6487" w:type="dxa"/>
            <w:gridSpan w:val="5"/>
          </w:tcPr>
          <w:p>
            <w:pPr>
              <w:pStyle w:val="TableParagraph"/>
              <w:spacing w:line="215" w:lineRule="exact" w:before="226"/>
              <w:ind w:left="36"/>
              <w:rPr>
                <w:sz w:val="20"/>
              </w:rPr>
            </w:pPr>
            <w:r>
              <w:rPr>
                <w:sz w:val="20"/>
              </w:rPr>
              <w:t>Augmented</w:t>
            </w:r>
            <w:r>
              <w:rPr>
                <w:spacing w:val="-8"/>
                <w:sz w:val="20"/>
              </w:rPr>
              <w:t> </w:t>
            </w:r>
            <w:r>
              <w:rPr>
                <w:sz w:val="20"/>
              </w:rPr>
              <w:t>Dickey-Fuller</w:t>
            </w:r>
            <w:r>
              <w:rPr>
                <w:spacing w:val="-8"/>
                <w:sz w:val="20"/>
              </w:rPr>
              <w:t> </w:t>
            </w:r>
            <w:r>
              <w:rPr>
                <w:sz w:val="20"/>
              </w:rPr>
              <w:t>Test</w:t>
            </w:r>
            <w:r>
              <w:rPr>
                <w:spacing w:val="-9"/>
                <w:sz w:val="20"/>
              </w:rPr>
              <w:t> </w:t>
            </w:r>
            <w:r>
              <w:rPr>
                <w:spacing w:val="-2"/>
                <w:sz w:val="20"/>
              </w:rPr>
              <w:t>Equation</w:t>
            </w:r>
          </w:p>
        </w:tc>
      </w:tr>
      <w:tr>
        <w:trPr>
          <w:trHeight w:val="229" w:hRule="atLeast"/>
        </w:trPr>
        <w:tc>
          <w:tcPr>
            <w:tcW w:w="6487" w:type="dxa"/>
            <w:gridSpan w:val="5"/>
          </w:tcPr>
          <w:p>
            <w:pPr>
              <w:pStyle w:val="TableParagraph"/>
              <w:spacing w:line="209" w:lineRule="exact"/>
              <w:ind w:left="36"/>
              <w:rPr>
                <w:sz w:val="20"/>
              </w:rPr>
            </w:pPr>
            <w:r>
              <w:rPr>
                <w:sz w:val="20"/>
              </w:rPr>
              <w:t>Dependent</w:t>
            </w:r>
            <w:r>
              <w:rPr>
                <w:spacing w:val="-8"/>
                <w:sz w:val="20"/>
              </w:rPr>
              <w:t> </w:t>
            </w:r>
            <w:r>
              <w:rPr>
                <w:sz w:val="20"/>
              </w:rPr>
              <w:t>Variable:</w:t>
            </w:r>
            <w:r>
              <w:rPr>
                <w:spacing w:val="-8"/>
                <w:sz w:val="20"/>
              </w:rPr>
              <w:t> </w:t>
            </w:r>
            <w:r>
              <w:rPr>
                <w:spacing w:val="-2"/>
                <w:sz w:val="20"/>
              </w:rPr>
              <w:t>D(GDP)</w:t>
            </w:r>
          </w:p>
        </w:tc>
      </w:tr>
      <w:tr>
        <w:trPr>
          <w:trHeight w:val="229" w:hRule="atLeast"/>
        </w:trPr>
        <w:tc>
          <w:tcPr>
            <w:tcW w:w="6487" w:type="dxa"/>
            <w:gridSpan w:val="5"/>
          </w:tcPr>
          <w:p>
            <w:pPr>
              <w:pStyle w:val="TableParagraph"/>
              <w:spacing w:line="209" w:lineRule="exact"/>
              <w:ind w:left="36"/>
              <w:rPr>
                <w:sz w:val="20"/>
              </w:rPr>
            </w:pPr>
            <w:r>
              <w:rPr>
                <w:sz w:val="20"/>
              </w:rPr>
              <w:t>Method:</w:t>
            </w:r>
            <w:r>
              <w:rPr>
                <w:spacing w:val="-8"/>
                <w:sz w:val="20"/>
              </w:rPr>
              <w:t> </w:t>
            </w:r>
            <w:r>
              <w:rPr>
                <w:sz w:val="20"/>
              </w:rPr>
              <w:t>Least</w:t>
            </w:r>
            <w:r>
              <w:rPr>
                <w:spacing w:val="-7"/>
                <w:sz w:val="20"/>
              </w:rPr>
              <w:t> </w:t>
            </w:r>
            <w:r>
              <w:rPr>
                <w:spacing w:val="-2"/>
                <w:sz w:val="20"/>
              </w:rPr>
              <w:t>Squares</w:t>
            </w:r>
          </w:p>
        </w:tc>
      </w:tr>
      <w:tr>
        <w:trPr>
          <w:trHeight w:val="230" w:hRule="atLeast"/>
        </w:trPr>
        <w:tc>
          <w:tcPr>
            <w:tcW w:w="6487" w:type="dxa"/>
            <w:gridSpan w:val="5"/>
          </w:tcPr>
          <w:p>
            <w:pPr>
              <w:pStyle w:val="TableParagraph"/>
              <w:spacing w:line="210" w:lineRule="exact"/>
              <w:ind w:left="36"/>
              <w:rPr>
                <w:sz w:val="20"/>
              </w:rPr>
            </w:pPr>
            <w:r>
              <w:rPr>
                <w:sz w:val="20"/>
              </w:rPr>
              <w:t>Date:</w:t>
            </w:r>
            <w:r>
              <w:rPr>
                <w:spacing w:val="-5"/>
                <w:sz w:val="20"/>
              </w:rPr>
              <w:t> </w:t>
            </w:r>
            <w:r>
              <w:rPr>
                <w:sz w:val="20"/>
              </w:rPr>
              <w:t>02/17/14</w:t>
            </w:r>
            <w:r>
              <w:rPr>
                <w:spacing w:val="63"/>
                <w:w w:val="150"/>
                <w:sz w:val="20"/>
              </w:rPr>
              <w:t> </w:t>
            </w:r>
            <w:r>
              <w:rPr>
                <w:sz w:val="20"/>
              </w:rPr>
              <w:t>Time:</w:t>
            </w:r>
            <w:r>
              <w:rPr>
                <w:spacing w:val="-3"/>
                <w:sz w:val="20"/>
              </w:rPr>
              <w:t> </w:t>
            </w:r>
            <w:r>
              <w:rPr>
                <w:spacing w:val="-2"/>
                <w:sz w:val="20"/>
              </w:rPr>
              <w:t>16:29</w:t>
            </w:r>
          </w:p>
        </w:tc>
      </w:tr>
      <w:tr>
        <w:trPr>
          <w:trHeight w:val="230" w:hRule="atLeast"/>
        </w:trPr>
        <w:tc>
          <w:tcPr>
            <w:tcW w:w="6487" w:type="dxa"/>
            <w:gridSpan w:val="5"/>
          </w:tcPr>
          <w:p>
            <w:pPr>
              <w:pStyle w:val="TableParagraph"/>
              <w:spacing w:line="210" w:lineRule="exact"/>
              <w:ind w:left="36"/>
              <w:rPr>
                <w:sz w:val="20"/>
              </w:rPr>
            </w:pPr>
            <w:r>
              <w:rPr>
                <w:sz w:val="20"/>
              </w:rPr>
              <w:t>Sample(adjusted):</w:t>
            </w:r>
            <w:r>
              <w:rPr>
                <w:spacing w:val="-9"/>
                <w:sz w:val="20"/>
              </w:rPr>
              <w:t> </w:t>
            </w:r>
            <w:r>
              <w:rPr>
                <w:sz w:val="20"/>
              </w:rPr>
              <w:t>1972</w:t>
            </w:r>
            <w:r>
              <w:rPr>
                <w:spacing w:val="-9"/>
                <w:sz w:val="20"/>
              </w:rPr>
              <w:t> </w:t>
            </w:r>
            <w:r>
              <w:rPr>
                <w:spacing w:val="-4"/>
                <w:sz w:val="20"/>
              </w:rPr>
              <w:t>2011</w:t>
            </w:r>
          </w:p>
        </w:tc>
      </w:tr>
      <w:tr>
        <w:trPr>
          <w:trHeight w:val="224" w:hRule="atLeast"/>
        </w:trPr>
        <w:tc>
          <w:tcPr>
            <w:tcW w:w="6487" w:type="dxa"/>
            <w:gridSpan w:val="5"/>
            <w:tcBorders>
              <w:bottom w:val="double" w:sz="6" w:space="0" w:color="000000"/>
            </w:tcBorders>
          </w:tcPr>
          <w:p>
            <w:pPr>
              <w:pStyle w:val="TableParagraph"/>
              <w:spacing w:line="205" w:lineRule="exact"/>
              <w:ind w:left="36"/>
              <w:rPr>
                <w:sz w:val="20"/>
              </w:rPr>
            </w:pPr>
            <w:r>
              <w:rPr>
                <w:sz w:val="20"/>
              </w:rPr>
              <w:t>Included</w:t>
            </w:r>
            <w:r>
              <w:rPr>
                <w:spacing w:val="-6"/>
                <w:sz w:val="20"/>
              </w:rPr>
              <w:t> </w:t>
            </w:r>
            <w:r>
              <w:rPr>
                <w:sz w:val="20"/>
              </w:rPr>
              <w:t>observations:</w:t>
            </w:r>
            <w:r>
              <w:rPr>
                <w:spacing w:val="-8"/>
                <w:sz w:val="20"/>
              </w:rPr>
              <w:t> </w:t>
            </w:r>
            <w:r>
              <w:rPr>
                <w:sz w:val="20"/>
              </w:rPr>
              <w:t>40</w:t>
            </w:r>
            <w:r>
              <w:rPr>
                <w:spacing w:val="-5"/>
                <w:sz w:val="20"/>
              </w:rPr>
              <w:t> </w:t>
            </w:r>
            <w:r>
              <w:rPr>
                <w:sz w:val="20"/>
              </w:rPr>
              <w:t>after</w:t>
            </w:r>
            <w:r>
              <w:rPr>
                <w:spacing w:val="-7"/>
                <w:sz w:val="20"/>
              </w:rPr>
              <w:t> </w:t>
            </w:r>
            <w:r>
              <w:rPr>
                <w:sz w:val="20"/>
              </w:rPr>
              <w:t>adjusting</w:t>
            </w:r>
            <w:r>
              <w:rPr>
                <w:spacing w:val="-7"/>
                <w:sz w:val="20"/>
              </w:rPr>
              <w:t> </w:t>
            </w:r>
            <w:r>
              <w:rPr>
                <w:spacing w:val="-2"/>
                <w:sz w:val="20"/>
              </w:rPr>
              <w:t>endpoints</w:t>
            </w:r>
          </w:p>
        </w:tc>
      </w:tr>
      <w:tr>
        <w:trPr>
          <w:trHeight w:val="269" w:hRule="atLeast"/>
        </w:trPr>
        <w:tc>
          <w:tcPr>
            <w:tcW w:w="1847" w:type="dxa"/>
            <w:tcBorders>
              <w:top w:val="double" w:sz="6" w:space="0" w:color="000000"/>
              <w:bottom w:val="double" w:sz="6" w:space="0" w:color="000000"/>
            </w:tcBorders>
          </w:tcPr>
          <w:p>
            <w:pPr>
              <w:pStyle w:val="TableParagraph"/>
              <w:spacing w:line="209" w:lineRule="exact" w:before="40"/>
              <w:ind w:left="677"/>
              <w:rPr>
                <w:sz w:val="20"/>
              </w:rPr>
            </w:pPr>
            <w:r>
              <w:rPr>
                <w:spacing w:val="-2"/>
                <w:sz w:val="20"/>
              </w:rPr>
              <w:t>Variable</w:t>
            </w:r>
          </w:p>
        </w:tc>
        <w:tc>
          <w:tcPr>
            <w:tcW w:w="1375" w:type="dxa"/>
            <w:tcBorders>
              <w:top w:val="double" w:sz="6" w:space="0" w:color="000000"/>
              <w:bottom w:val="double" w:sz="6" w:space="0" w:color="000000"/>
            </w:tcBorders>
          </w:tcPr>
          <w:p>
            <w:pPr>
              <w:pStyle w:val="TableParagraph"/>
              <w:spacing w:line="209" w:lineRule="exact" w:before="40"/>
              <w:ind w:right="131"/>
              <w:jc w:val="right"/>
              <w:rPr>
                <w:sz w:val="20"/>
              </w:rPr>
            </w:pPr>
            <w:r>
              <w:rPr>
                <w:spacing w:val="-2"/>
                <w:sz w:val="20"/>
              </w:rPr>
              <w:t>Coefficient</w:t>
            </w:r>
          </w:p>
        </w:tc>
        <w:tc>
          <w:tcPr>
            <w:tcW w:w="1432" w:type="dxa"/>
            <w:tcBorders>
              <w:top w:val="double" w:sz="6" w:space="0" w:color="000000"/>
              <w:bottom w:val="double" w:sz="6" w:space="0" w:color="000000"/>
            </w:tcBorders>
          </w:tcPr>
          <w:p>
            <w:pPr>
              <w:pStyle w:val="TableParagraph"/>
              <w:spacing w:line="209" w:lineRule="exact" w:before="40"/>
              <w:ind w:left="273"/>
              <w:rPr>
                <w:sz w:val="20"/>
              </w:rPr>
            </w:pPr>
            <w:r>
              <w:rPr>
                <w:sz w:val="20"/>
              </w:rPr>
              <w:t>Std.</w:t>
            </w:r>
            <w:r>
              <w:rPr>
                <w:spacing w:val="-4"/>
                <w:sz w:val="20"/>
              </w:rPr>
              <w:t> </w:t>
            </w:r>
            <w:r>
              <w:rPr>
                <w:spacing w:val="-2"/>
                <w:sz w:val="20"/>
              </w:rPr>
              <w:t>Error</w:t>
            </w:r>
          </w:p>
        </w:tc>
        <w:tc>
          <w:tcPr>
            <w:tcW w:w="904" w:type="dxa"/>
            <w:tcBorders>
              <w:top w:val="double" w:sz="6" w:space="0" w:color="000000"/>
              <w:bottom w:val="double" w:sz="6" w:space="0" w:color="000000"/>
            </w:tcBorders>
          </w:tcPr>
          <w:p>
            <w:pPr>
              <w:pStyle w:val="TableParagraph"/>
              <w:spacing w:line="209" w:lineRule="exact" w:before="40"/>
              <w:ind w:right="22"/>
              <w:jc w:val="center"/>
              <w:rPr>
                <w:sz w:val="20"/>
              </w:rPr>
            </w:pPr>
            <w:r>
              <w:rPr>
                <w:spacing w:val="-4"/>
                <w:sz w:val="20"/>
              </w:rPr>
              <w:t>t-</w:t>
            </w:r>
            <w:r>
              <w:rPr>
                <w:spacing w:val="-2"/>
                <w:sz w:val="20"/>
              </w:rPr>
              <w:t>Statistic</w:t>
            </w:r>
          </w:p>
        </w:tc>
        <w:tc>
          <w:tcPr>
            <w:tcW w:w="929" w:type="dxa"/>
            <w:tcBorders>
              <w:top w:val="double" w:sz="6" w:space="0" w:color="000000"/>
              <w:bottom w:val="double" w:sz="6" w:space="0" w:color="000000"/>
            </w:tcBorders>
          </w:tcPr>
          <w:p>
            <w:pPr>
              <w:pStyle w:val="TableParagraph"/>
              <w:spacing w:line="209" w:lineRule="exact" w:before="40"/>
              <w:ind w:right="28"/>
              <w:jc w:val="right"/>
              <w:rPr>
                <w:sz w:val="20"/>
              </w:rPr>
            </w:pPr>
            <w:r>
              <w:rPr>
                <w:spacing w:val="-2"/>
                <w:sz w:val="20"/>
              </w:rPr>
              <w:t>Prob.</w:t>
            </w:r>
          </w:p>
        </w:tc>
      </w:tr>
      <w:tr>
        <w:trPr>
          <w:trHeight w:val="275" w:hRule="atLeast"/>
        </w:trPr>
        <w:tc>
          <w:tcPr>
            <w:tcW w:w="1847" w:type="dxa"/>
            <w:tcBorders>
              <w:top w:val="double" w:sz="6" w:space="0" w:color="000000"/>
            </w:tcBorders>
          </w:tcPr>
          <w:p>
            <w:pPr>
              <w:pStyle w:val="TableParagraph"/>
              <w:spacing w:line="215" w:lineRule="exact" w:before="41"/>
              <w:ind w:left="672"/>
              <w:rPr>
                <w:sz w:val="20"/>
              </w:rPr>
            </w:pPr>
            <w:r>
              <w:rPr>
                <w:spacing w:val="-2"/>
                <w:sz w:val="20"/>
              </w:rPr>
              <w:t>GDP(-</w:t>
            </w:r>
            <w:r>
              <w:rPr>
                <w:spacing w:val="-5"/>
                <w:sz w:val="20"/>
              </w:rPr>
              <w:t>1)</w:t>
            </w:r>
          </w:p>
        </w:tc>
        <w:tc>
          <w:tcPr>
            <w:tcW w:w="1375" w:type="dxa"/>
            <w:tcBorders>
              <w:top w:val="double" w:sz="6" w:space="0" w:color="000000"/>
            </w:tcBorders>
          </w:tcPr>
          <w:p>
            <w:pPr>
              <w:pStyle w:val="TableParagraph"/>
              <w:spacing w:line="215" w:lineRule="exact" w:before="41"/>
              <w:ind w:right="128"/>
              <w:jc w:val="right"/>
              <w:rPr>
                <w:sz w:val="20"/>
              </w:rPr>
            </w:pPr>
            <w:r>
              <w:rPr>
                <w:spacing w:val="-4"/>
                <w:sz w:val="20"/>
              </w:rPr>
              <w:t>-</w:t>
            </w:r>
            <w:r>
              <w:rPr>
                <w:spacing w:val="-2"/>
                <w:sz w:val="20"/>
              </w:rPr>
              <w:t>0.002279</w:t>
            </w:r>
          </w:p>
        </w:tc>
        <w:tc>
          <w:tcPr>
            <w:tcW w:w="1432" w:type="dxa"/>
            <w:tcBorders>
              <w:top w:val="double" w:sz="6" w:space="0" w:color="000000"/>
            </w:tcBorders>
          </w:tcPr>
          <w:p>
            <w:pPr>
              <w:pStyle w:val="TableParagraph"/>
              <w:spacing w:line="215" w:lineRule="exact" w:before="41"/>
              <w:ind w:left="311"/>
              <w:rPr>
                <w:sz w:val="20"/>
              </w:rPr>
            </w:pPr>
            <w:r>
              <w:rPr>
                <w:spacing w:val="-2"/>
                <w:sz w:val="20"/>
              </w:rPr>
              <w:t>0.011366</w:t>
            </w:r>
          </w:p>
        </w:tc>
        <w:tc>
          <w:tcPr>
            <w:tcW w:w="904" w:type="dxa"/>
            <w:tcBorders>
              <w:top w:val="double" w:sz="6" w:space="0" w:color="000000"/>
            </w:tcBorders>
          </w:tcPr>
          <w:p>
            <w:pPr>
              <w:pStyle w:val="TableParagraph"/>
              <w:spacing w:line="215" w:lineRule="exact" w:before="41"/>
              <w:ind w:right="70"/>
              <w:jc w:val="center"/>
              <w:rPr>
                <w:sz w:val="20"/>
              </w:rPr>
            </w:pPr>
            <w:r>
              <w:rPr>
                <w:spacing w:val="-4"/>
                <w:sz w:val="20"/>
              </w:rPr>
              <w:t>-</w:t>
            </w:r>
            <w:r>
              <w:rPr>
                <w:spacing w:val="-2"/>
                <w:sz w:val="20"/>
              </w:rPr>
              <w:t>0.200491</w:t>
            </w:r>
          </w:p>
        </w:tc>
        <w:tc>
          <w:tcPr>
            <w:tcW w:w="929" w:type="dxa"/>
            <w:tcBorders>
              <w:top w:val="double" w:sz="6" w:space="0" w:color="000000"/>
            </w:tcBorders>
          </w:tcPr>
          <w:p>
            <w:pPr>
              <w:pStyle w:val="TableParagraph"/>
              <w:spacing w:line="215" w:lineRule="exact" w:before="41"/>
              <w:ind w:right="27"/>
              <w:jc w:val="right"/>
              <w:rPr>
                <w:sz w:val="20"/>
              </w:rPr>
            </w:pPr>
            <w:r>
              <w:rPr>
                <w:spacing w:val="-2"/>
                <w:sz w:val="20"/>
              </w:rPr>
              <w:t>0.8422</w:t>
            </w:r>
          </w:p>
        </w:tc>
      </w:tr>
      <w:tr>
        <w:trPr>
          <w:trHeight w:val="230" w:hRule="atLeast"/>
        </w:trPr>
        <w:tc>
          <w:tcPr>
            <w:tcW w:w="1847" w:type="dxa"/>
          </w:tcPr>
          <w:p>
            <w:pPr>
              <w:pStyle w:val="TableParagraph"/>
              <w:spacing w:line="210" w:lineRule="exact"/>
              <w:ind w:left="533"/>
              <w:rPr>
                <w:sz w:val="20"/>
              </w:rPr>
            </w:pPr>
            <w:r>
              <w:rPr>
                <w:spacing w:val="-2"/>
                <w:sz w:val="20"/>
              </w:rPr>
              <w:t>D(GDP(-</w:t>
            </w:r>
            <w:r>
              <w:rPr>
                <w:spacing w:val="-5"/>
                <w:sz w:val="20"/>
              </w:rPr>
              <w:t>1))</w:t>
            </w:r>
          </w:p>
        </w:tc>
        <w:tc>
          <w:tcPr>
            <w:tcW w:w="1375" w:type="dxa"/>
          </w:tcPr>
          <w:p>
            <w:pPr>
              <w:pStyle w:val="TableParagraph"/>
              <w:spacing w:line="210" w:lineRule="exact"/>
              <w:ind w:right="128"/>
              <w:jc w:val="right"/>
              <w:rPr>
                <w:sz w:val="20"/>
              </w:rPr>
            </w:pPr>
            <w:r>
              <w:rPr>
                <w:spacing w:val="-2"/>
                <w:sz w:val="20"/>
              </w:rPr>
              <w:t>0.079925</w:t>
            </w:r>
          </w:p>
        </w:tc>
        <w:tc>
          <w:tcPr>
            <w:tcW w:w="1432" w:type="dxa"/>
          </w:tcPr>
          <w:p>
            <w:pPr>
              <w:pStyle w:val="TableParagraph"/>
              <w:spacing w:line="210" w:lineRule="exact"/>
              <w:ind w:left="311"/>
              <w:rPr>
                <w:sz w:val="20"/>
              </w:rPr>
            </w:pPr>
            <w:r>
              <w:rPr>
                <w:spacing w:val="-2"/>
                <w:sz w:val="20"/>
              </w:rPr>
              <w:t>0.165028</w:t>
            </w:r>
          </w:p>
        </w:tc>
        <w:tc>
          <w:tcPr>
            <w:tcW w:w="904" w:type="dxa"/>
          </w:tcPr>
          <w:p>
            <w:pPr>
              <w:pStyle w:val="TableParagraph"/>
              <w:spacing w:line="210" w:lineRule="exact"/>
              <w:ind w:right="5"/>
              <w:jc w:val="center"/>
              <w:rPr>
                <w:sz w:val="20"/>
              </w:rPr>
            </w:pPr>
            <w:r>
              <w:rPr>
                <w:spacing w:val="-2"/>
                <w:sz w:val="20"/>
              </w:rPr>
              <w:t>0.484313</w:t>
            </w:r>
          </w:p>
        </w:tc>
        <w:tc>
          <w:tcPr>
            <w:tcW w:w="929" w:type="dxa"/>
          </w:tcPr>
          <w:p>
            <w:pPr>
              <w:pStyle w:val="TableParagraph"/>
              <w:spacing w:line="210" w:lineRule="exact"/>
              <w:ind w:right="27"/>
              <w:jc w:val="right"/>
              <w:rPr>
                <w:sz w:val="20"/>
              </w:rPr>
            </w:pPr>
            <w:r>
              <w:rPr>
                <w:spacing w:val="-2"/>
                <w:sz w:val="20"/>
              </w:rPr>
              <w:t>0.6310</w:t>
            </w:r>
          </w:p>
        </w:tc>
      </w:tr>
      <w:tr>
        <w:trPr>
          <w:trHeight w:val="224" w:hRule="atLeast"/>
        </w:trPr>
        <w:tc>
          <w:tcPr>
            <w:tcW w:w="1847" w:type="dxa"/>
            <w:tcBorders>
              <w:bottom w:val="double" w:sz="6" w:space="0" w:color="000000"/>
            </w:tcBorders>
          </w:tcPr>
          <w:p>
            <w:pPr>
              <w:pStyle w:val="TableParagraph"/>
              <w:spacing w:line="205" w:lineRule="exact"/>
              <w:ind w:left="197"/>
              <w:jc w:val="center"/>
              <w:rPr>
                <w:sz w:val="20"/>
              </w:rPr>
            </w:pPr>
            <w:r>
              <w:rPr>
                <w:spacing w:val="-10"/>
                <w:sz w:val="20"/>
              </w:rPr>
              <w:t>C</w:t>
            </w:r>
          </w:p>
        </w:tc>
        <w:tc>
          <w:tcPr>
            <w:tcW w:w="1375" w:type="dxa"/>
            <w:tcBorders>
              <w:bottom w:val="double" w:sz="6" w:space="0" w:color="000000"/>
            </w:tcBorders>
          </w:tcPr>
          <w:p>
            <w:pPr>
              <w:pStyle w:val="TableParagraph"/>
              <w:spacing w:line="205" w:lineRule="exact"/>
              <w:ind w:right="128"/>
              <w:jc w:val="right"/>
              <w:rPr>
                <w:sz w:val="20"/>
              </w:rPr>
            </w:pPr>
            <w:r>
              <w:rPr>
                <w:spacing w:val="-2"/>
                <w:sz w:val="20"/>
              </w:rPr>
              <w:t>0.228062</w:t>
            </w:r>
          </w:p>
        </w:tc>
        <w:tc>
          <w:tcPr>
            <w:tcW w:w="1432" w:type="dxa"/>
            <w:tcBorders>
              <w:bottom w:val="double" w:sz="6" w:space="0" w:color="000000"/>
            </w:tcBorders>
          </w:tcPr>
          <w:p>
            <w:pPr>
              <w:pStyle w:val="TableParagraph"/>
              <w:spacing w:line="205" w:lineRule="exact"/>
              <w:ind w:left="311"/>
              <w:rPr>
                <w:sz w:val="20"/>
              </w:rPr>
            </w:pPr>
            <w:r>
              <w:rPr>
                <w:spacing w:val="-2"/>
                <w:sz w:val="20"/>
              </w:rPr>
              <w:t>0.152734</w:t>
            </w:r>
          </w:p>
        </w:tc>
        <w:tc>
          <w:tcPr>
            <w:tcW w:w="904" w:type="dxa"/>
            <w:tcBorders>
              <w:bottom w:val="double" w:sz="6" w:space="0" w:color="000000"/>
            </w:tcBorders>
          </w:tcPr>
          <w:p>
            <w:pPr>
              <w:pStyle w:val="TableParagraph"/>
              <w:spacing w:line="205" w:lineRule="exact"/>
              <w:ind w:right="5"/>
              <w:jc w:val="center"/>
              <w:rPr>
                <w:sz w:val="20"/>
              </w:rPr>
            </w:pPr>
            <w:r>
              <w:rPr>
                <w:spacing w:val="-2"/>
                <w:sz w:val="20"/>
              </w:rPr>
              <w:t>1.493196</w:t>
            </w:r>
          </w:p>
        </w:tc>
        <w:tc>
          <w:tcPr>
            <w:tcW w:w="929" w:type="dxa"/>
            <w:tcBorders>
              <w:bottom w:val="double" w:sz="6" w:space="0" w:color="000000"/>
            </w:tcBorders>
          </w:tcPr>
          <w:p>
            <w:pPr>
              <w:pStyle w:val="TableParagraph"/>
              <w:spacing w:line="205" w:lineRule="exact"/>
              <w:ind w:right="27"/>
              <w:jc w:val="right"/>
              <w:rPr>
                <w:sz w:val="20"/>
              </w:rPr>
            </w:pPr>
            <w:r>
              <w:rPr>
                <w:spacing w:val="-2"/>
                <w:sz w:val="20"/>
              </w:rPr>
              <w:t>0.1439</w:t>
            </w:r>
          </w:p>
        </w:tc>
      </w:tr>
      <w:tr>
        <w:trPr>
          <w:trHeight w:val="275" w:hRule="atLeast"/>
        </w:trPr>
        <w:tc>
          <w:tcPr>
            <w:tcW w:w="1847" w:type="dxa"/>
            <w:tcBorders>
              <w:top w:val="double" w:sz="6" w:space="0" w:color="000000"/>
            </w:tcBorders>
          </w:tcPr>
          <w:p>
            <w:pPr>
              <w:pStyle w:val="TableParagraph"/>
              <w:spacing w:line="215" w:lineRule="exact" w:before="40"/>
              <w:ind w:left="36"/>
              <w:rPr>
                <w:sz w:val="20"/>
              </w:rPr>
            </w:pPr>
            <w:r>
              <w:rPr>
                <w:spacing w:val="-2"/>
                <w:sz w:val="20"/>
              </w:rPr>
              <w:t>R-squared</w:t>
            </w:r>
          </w:p>
        </w:tc>
        <w:tc>
          <w:tcPr>
            <w:tcW w:w="1375" w:type="dxa"/>
            <w:tcBorders>
              <w:top w:val="double" w:sz="6" w:space="0" w:color="000000"/>
            </w:tcBorders>
          </w:tcPr>
          <w:p>
            <w:pPr>
              <w:pStyle w:val="TableParagraph"/>
              <w:spacing w:line="215" w:lineRule="exact" w:before="40"/>
              <w:ind w:right="128"/>
              <w:jc w:val="right"/>
              <w:rPr>
                <w:sz w:val="20"/>
              </w:rPr>
            </w:pPr>
            <w:r>
              <w:rPr>
                <w:spacing w:val="-2"/>
                <w:sz w:val="20"/>
              </w:rPr>
              <w:t>0.007062</w:t>
            </w:r>
          </w:p>
        </w:tc>
        <w:tc>
          <w:tcPr>
            <w:tcW w:w="2336" w:type="dxa"/>
            <w:gridSpan w:val="2"/>
            <w:tcBorders>
              <w:top w:val="double" w:sz="6" w:space="0" w:color="000000"/>
            </w:tcBorders>
          </w:tcPr>
          <w:p>
            <w:pPr>
              <w:pStyle w:val="TableParagraph"/>
              <w:spacing w:line="215" w:lineRule="exact" w:before="40"/>
              <w:ind w:left="131"/>
              <w:rPr>
                <w:sz w:val="20"/>
              </w:rPr>
            </w:pPr>
            <w:r>
              <w:rPr>
                <w:sz w:val="20"/>
              </w:rPr>
              <w:t>Mean</w:t>
            </w:r>
            <w:r>
              <w:rPr>
                <w:spacing w:val="-7"/>
                <w:sz w:val="20"/>
              </w:rPr>
              <w:t> </w:t>
            </w:r>
            <w:r>
              <w:rPr>
                <w:sz w:val="20"/>
              </w:rPr>
              <w:t>dependent</w:t>
            </w:r>
            <w:r>
              <w:rPr>
                <w:spacing w:val="-7"/>
                <w:sz w:val="20"/>
              </w:rPr>
              <w:t> </w:t>
            </w:r>
            <w:r>
              <w:rPr>
                <w:spacing w:val="-5"/>
                <w:sz w:val="20"/>
              </w:rPr>
              <w:t>var</w:t>
            </w:r>
          </w:p>
        </w:tc>
        <w:tc>
          <w:tcPr>
            <w:tcW w:w="929" w:type="dxa"/>
            <w:tcBorders>
              <w:top w:val="double" w:sz="6" w:space="0" w:color="000000"/>
            </w:tcBorders>
          </w:tcPr>
          <w:p>
            <w:pPr>
              <w:pStyle w:val="TableParagraph"/>
              <w:spacing w:line="215" w:lineRule="exact" w:before="40"/>
              <w:ind w:right="27"/>
              <w:jc w:val="right"/>
              <w:rPr>
                <w:sz w:val="20"/>
              </w:rPr>
            </w:pPr>
            <w:r>
              <w:rPr>
                <w:spacing w:val="-2"/>
                <w:sz w:val="20"/>
              </w:rPr>
              <w:t>0.215963</w:t>
            </w:r>
          </w:p>
        </w:tc>
      </w:tr>
      <w:tr>
        <w:trPr>
          <w:trHeight w:val="230" w:hRule="atLeast"/>
        </w:trPr>
        <w:tc>
          <w:tcPr>
            <w:tcW w:w="1847" w:type="dxa"/>
          </w:tcPr>
          <w:p>
            <w:pPr>
              <w:pStyle w:val="TableParagraph"/>
              <w:spacing w:line="210" w:lineRule="exact"/>
              <w:ind w:left="36"/>
              <w:rPr>
                <w:sz w:val="20"/>
              </w:rPr>
            </w:pPr>
            <w:r>
              <w:rPr>
                <w:sz w:val="20"/>
              </w:rPr>
              <w:t>Adjusted</w:t>
            </w:r>
            <w:r>
              <w:rPr>
                <w:spacing w:val="-10"/>
                <w:sz w:val="20"/>
              </w:rPr>
              <w:t> </w:t>
            </w:r>
            <w:r>
              <w:rPr>
                <w:sz w:val="20"/>
              </w:rPr>
              <w:t>R-</w:t>
            </w:r>
            <w:r>
              <w:rPr>
                <w:spacing w:val="-2"/>
                <w:sz w:val="20"/>
              </w:rPr>
              <w:t>squared</w:t>
            </w:r>
          </w:p>
        </w:tc>
        <w:tc>
          <w:tcPr>
            <w:tcW w:w="1375" w:type="dxa"/>
          </w:tcPr>
          <w:p>
            <w:pPr>
              <w:pStyle w:val="TableParagraph"/>
              <w:spacing w:line="210" w:lineRule="exact"/>
              <w:ind w:right="128"/>
              <w:jc w:val="right"/>
              <w:rPr>
                <w:sz w:val="20"/>
              </w:rPr>
            </w:pPr>
            <w:r>
              <w:rPr>
                <w:spacing w:val="-4"/>
                <w:sz w:val="20"/>
              </w:rPr>
              <w:t>-</w:t>
            </w:r>
            <w:r>
              <w:rPr>
                <w:spacing w:val="-2"/>
                <w:sz w:val="20"/>
              </w:rPr>
              <w:t>0.046610</w:t>
            </w:r>
          </w:p>
        </w:tc>
        <w:tc>
          <w:tcPr>
            <w:tcW w:w="2336" w:type="dxa"/>
            <w:gridSpan w:val="2"/>
          </w:tcPr>
          <w:p>
            <w:pPr>
              <w:pStyle w:val="TableParagraph"/>
              <w:spacing w:line="210" w:lineRule="exact"/>
              <w:ind w:left="131"/>
              <w:rPr>
                <w:sz w:val="20"/>
              </w:rPr>
            </w:pPr>
            <w:r>
              <w:rPr>
                <w:sz w:val="20"/>
              </w:rPr>
              <w:t>S.D.</w:t>
            </w:r>
            <w:r>
              <w:rPr>
                <w:spacing w:val="-5"/>
                <w:sz w:val="20"/>
              </w:rPr>
              <w:t> </w:t>
            </w:r>
            <w:r>
              <w:rPr>
                <w:sz w:val="20"/>
              </w:rPr>
              <w:t>dependent</w:t>
            </w:r>
            <w:r>
              <w:rPr>
                <w:spacing w:val="-6"/>
                <w:sz w:val="20"/>
              </w:rPr>
              <w:t> </w:t>
            </w:r>
            <w:r>
              <w:rPr>
                <w:spacing w:val="-5"/>
                <w:sz w:val="20"/>
              </w:rPr>
              <w:t>var</w:t>
            </w:r>
          </w:p>
        </w:tc>
        <w:tc>
          <w:tcPr>
            <w:tcW w:w="929" w:type="dxa"/>
          </w:tcPr>
          <w:p>
            <w:pPr>
              <w:pStyle w:val="TableParagraph"/>
              <w:spacing w:line="210" w:lineRule="exact"/>
              <w:ind w:right="27"/>
              <w:jc w:val="right"/>
              <w:rPr>
                <w:sz w:val="20"/>
              </w:rPr>
            </w:pPr>
            <w:r>
              <w:rPr>
                <w:spacing w:val="-2"/>
                <w:sz w:val="20"/>
              </w:rPr>
              <w:t>0.184590</w:t>
            </w:r>
          </w:p>
        </w:tc>
      </w:tr>
      <w:tr>
        <w:trPr>
          <w:trHeight w:val="230" w:hRule="atLeast"/>
        </w:trPr>
        <w:tc>
          <w:tcPr>
            <w:tcW w:w="1847" w:type="dxa"/>
          </w:tcPr>
          <w:p>
            <w:pPr>
              <w:pStyle w:val="TableParagraph"/>
              <w:spacing w:line="210" w:lineRule="exact"/>
              <w:ind w:left="36"/>
              <w:rPr>
                <w:sz w:val="20"/>
              </w:rPr>
            </w:pPr>
            <w:r>
              <w:rPr>
                <w:sz w:val="20"/>
              </w:rPr>
              <w:t>S.E.</w:t>
            </w:r>
            <w:r>
              <w:rPr>
                <w:spacing w:val="-3"/>
                <w:sz w:val="20"/>
              </w:rPr>
              <w:t> </w:t>
            </w:r>
            <w:r>
              <w:rPr>
                <w:sz w:val="20"/>
              </w:rPr>
              <w:t>of</w:t>
            </w:r>
            <w:r>
              <w:rPr>
                <w:spacing w:val="-3"/>
                <w:sz w:val="20"/>
              </w:rPr>
              <w:t> </w:t>
            </w:r>
            <w:r>
              <w:rPr>
                <w:spacing w:val="-2"/>
                <w:sz w:val="20"/>
              </w:rPr>
              <w:t>regression</w:t>
            </w:r>
          </w:p>
        </w:tc>
        <w:tc>
          <w:tcPr>
            <w:tcW w:w="1375" w:type="dxa"/>
          </w:tcPr>
          <w:p>
            <w:pPr>
              <w:pStyle w:val="TableParagraph"/>
              <w:spacing w:line="210" w:lineRule="exact"/>
              <w:ind w:right="128"/>
              <w:jc w:val="right"/>
              <w:rPr>
                <w:sz w:val="20"/>
              </w:rPr>
            </w:pPr>
            <w:r>
              <w:rPr>
                <w:spacing w:val="-2"/>
                <w:sz w:val="20"/>
              </w:rPr>
              <w:t>0.188843</w:t>
            </w:r>
          </w:p>
        </w:tc>
        <w:tc>
          <w:tcPr>
            <w:tcW w:w="2336" w:type="dxa"/>
            <w:gridSpan w:val="2"/>
          </w:tcPr>
          <w:p>
            <w:pPr>
              <w:pStyle w:val="TableParagraph"/>
              <w:spacing w:line="210" w:lineRule="exact"/>
              <w:ind w:left="131"/>
              <w:rPr>
                <w:sz w:val="20"/>
              </w:rPr>
            </w:pPr>
            <w:r>
              <w:rPr>
                <w:sz w:val="20"/>
              </w:rPr>
              <w:t>Akaike</w:t>
            </w:r>
            <w:r>
              <w:rPr>
                <w:spacing w:val="-8"/>
                <w:sz w:val="20"/>
              </w:rPr>
              <w:t> </w:t>
            </w:r>
            <w:r>
              <w:rPr>
                <w:sz w:val="20"/>
              </w:rPr>
              <w:t>info</w:t>
            </w:r>
            <w:r>
              <w:rPr>
                <w:spacing w:val="-7"/>
                <w:sz w:val="20"/>
              </w:rPr>
              <w:t> </w:t>
            </w:r>
            <w:r>
              <w:rPr>
                <w:spacing w:val="-2"/>
                <w:sz w:val="20"/>
              </w:rPr>
              <w:t>criterion</w:t>
            </w:r>
          </w:p>
        </w:tc>
        <w:tc>
          <w:tcPr>
            <w:tcW w:w="929" w:type="dxa"/>
          </w:tcPr>
          <w:p>
            <w:pPr>
              <w:pStyle w:val="TableParagraph"/>
              <w:spacing w:line="210" w:lineRule="exact"/>
              <w:ind w:right="27"/>
              <w:jc w:val="right"/>
              <w:rPr>
                <w:sz w:val="20"/>
              </w:rPr>
            </w:pPr>
            <w:r>
              <w:rPr>
                <w:spacing w:val="-4"/>
                <w:sz w:val="20"/>
              </w:rPr>
              <w:t>-</w:t>
            </w:r>
            <w:r>
              <w:rPr>
                <w:spacing w:val="-2"/>
                <w:sz w:val="20"/>
              </w:rPr>
              <w:t>0.423767</w:t>
            </w:r>
          </w:p>
        </w:tc>
      </w:tr>
      <w:tr>
        <w:trPr>
          <w:trHeight w:val="230" w:hRule="atLeast"/>
        </w:trPr>
        <w:tc>
          <w:tcPr>
            <w:tcW w:w="1847" w:type="dxa"/>
          </w:tcPr>
          <w:p>
            <w:pPr>
              <w:pStyle w:val="TableParagraph"/>
              <w:spacing w:line="210" w:lineRule="exact"/>
              <w:ind w:left="36"/>
              <w:rPr>
                <w:sz w:val="20"/>
              </w:rPr>
            </w:pPr>
            <w:r>
              <w:rPr>
                <w:sz w:val="20"/>
              </w:rPr>
              <w:t>Sum</w:t>
            </w:r>
            <w:r>
              <w:rPr>
                <w:spacing w:val="-8"/>
                <w:sz w:val="20"/>
              </w:rPr>
              <w:t> </w:t>
            </w:r>
            <w:r>
              <w:rPr>
                <w:sz w:val="20"/>
              </w:rPr>
              <w:t>squared</w:t>
            </w:r>
            <w:r>
              <w:rPr>
                <w:spacing w:val="-4"/>
                <w:sz w:val="20"/>
              </w:rPr>
              <w:t> </w:t>
            </w:r>
            <w:r>
              <w:rPr>
                <w:spacing w:val="-2"/>
                <w:sz w:val="20"/>
              </w:rPr>
              <w:t>resid</w:t>
            </w:r>
          </w:p>
        </w:tc>
        <w:tc>
          <w:tcPr>
            <w:tcW w:w="1375" w:type="dxa"/>
          </w:tcPr>
          <w:p>
            <w:pPr>
              <w:pStyle w:val="TableParagraph"/>
              <w:spacing w:line="210" w:lineRule="exact"/>
              <w:ind w:right="128"/>
              <w:jc w:val="right"/>
              <w:rPr>
                <w:sz w:val="20"/>
              </w:rPr>
            </w:pPr>
            <w:r>
              <w:rPr>
                <w:spacing w:val="-2"/>
                <w:sz w:val="20"/>
              </w:rPr>
              <w:t>1.319476</w:t>
            </w:r>
          </w:p>
        </w:tc>
        <w:tc>
          <w:tcPr>
            <w:tcW w:w="2336" w:type="dxa"/>
            <w:gridSpan w:val="2"/>
          </w:tcPr>
          <w:p>
            <w:pPr>
              <w:pStyle w:val="TableParagraph"/>
              <w:spacing w:line="210" w:lineRule="exact"/>
              <w:ind w:left="131"/>
              <w:rPr>
                <w:sz w:val="20"/>
              </w:rPr>
            </w:pPr>
            <w:r>
              <w:rPr>
                <w:sz w:val="20"/>
              </w:rPr>
              <w:t>Schwarz</w:t>
            </w:r>
            <w:r>
              <w:rPr>
                <w:spacing w:val="-8"/>
                <w:sz w:val="20"/>
              </w:rPr>
              <w:t> </w:t>
            </w:r>
            <w:r>
              <w:rPr>
                <w:spacing w:val="-2"/>
                <w:sz w:val="20"/>
              </w:rPr>
              <w:t>criterion</w:t>
            </w:r>
          </w:p>
        </w:tc>
        <w:tc>
          <w:tcPr>
            <w:tcW w:w="929" w:type="dxa"/>
          </w:tcPr>
          <w:p>
            <w:pPr>
              <w:pStyle w:val="TableParagraph"/>
              <w:spacing w:line="210" w:lineRule="exact"/>
              <w:ind w:right="27"/>
              <w:jc w:val="right"/>
              <w:rPr>
                <w:sz w:val="20"/>
              </w:rPr>
            </w:pPr>
            <w:r>
              <w:rPr>
                <w:spacing w:val="-4"/>
                <w:sz w:val="20"/>
              </w:rPr>
              <w:t>-</w:t>
            </w:r>
            <w:r>
              <w:rPr>
                <w:spacing w:val="-2"/>
                <w:sz w:val="20"/>
              </w:rPr>
              <w:t>0.297101</w:t>
            </w:r>
          </w:p>
        </w:tc>
      </w:tr>
      <w:tr>
        <w:trPr>
          <w:trHeight w:val="229" w:hRule="atLeast"/>
        </w:trPr>
        <w:tc>
          <w:tcPr>
            <w:tcW w:w="1847" w:type="dxa"/>
          </w:tcPr>
          <w:p>
            <w:pPr>
              <w:pStyle w:val="TableParagraph"/>
              <w:spacing w:line="209" w:lineRule="exact"/>
              <w:ind w:left="36"/>
              <w:rPr>
                <w:sz w:val="20"/>
              </w:rPr>
            </w:pPr>
            <w:r>
              <w:rPr>
                <w:sz w:val="20"/>
              </w:rPr>
              <w:t>Log</w:t>
            </w:r>
            <w:r>
              <w:rPr>
                <w:spacing w:val="-6"/>
                <w:sz w:val="20"/>
              </w:rPr>
              <w:t> </w:t>
            </w:r>
            <w:r>
              <w:rPr>
                <w:spacing w:val="-2"/>
                <w:sz w:val="20"/>
              </w:rPr>
              <w:t>likelihood</w:t>
            </w:r>
          </w:p>
        </w:tc>
        <w:tc>
          <w:tcPr>
            <w:tcW w:w="1375" w:type="dxa"/>
          </w:tcPr>
          <w:p>
            <w:pPr>
              <w:pStyle w:val="TableParagraph"/>
              <w:spacing w:line="209" w:lineRule="exact"/>
              <w:ind w:right="128"/>
              <w:jc w:val="right"/>
              <w:rPr>
                <w:sz w:val="20"/>
              </w:rPr>
            </w:pPr>
            <w:r>
              <w:rPr>
                <w:spacing w:val="-2"/>
                <w:sz w:val="20"/>
              </w:rPr>
              <w:t>11.47535</w:t>
            </w:r>
          </w:p>
        </w:tc>
        <w:tc>
          <w:tcPr>
            <w:tcW w:w="1432" w:type="dxa"/>
          </w:tcPr>
          <w:p>
            <w:pPr>
              <w:pStyle w:val="TableParagraph"/>
              <w:spacing w:line="209" w:lineRule="exact"/>
              <w:ind w:left="131"/>
              <w:rPr>
                <w:sz w:val="20"/>
              </w:rPr>
            </w:pPr>
            <w:r>
              <w:rPr>
                <w:spacing w:val="-4"/>
                <w:sz w:val="20"/>
              </w:rPr>
              <w:t>F-</w:t>
            </w:r>
            <w:r>
              <w:rPr>
                <w:spacing w:val="-2"/>
                <w:sz w:val="20"/>
              </w:rPr>
              <w:t>statistic</w:t>
            </w:r>
          </w:p>
        </w:tc>
        <w:tc>
          <w:tcPr>
            <w:tcW w:w="904" w:type="dxa"/>
          </w:tcPr>
          <w:p>
            <w:pPr>
              <w:pStyle w:val="TableParagraph"/>
              <w:rPr>
                <w:sz w:val="16"/>
              </w:rPr>
            </w:pPr>
          </w:p>
        </w:tc>
        <w:tc>
          <w:tcPr>
            <w:tcW w:w="929" w:type="dxa"/>
          </w:tcPr>
          <w:p>
            <w:pPr>
              <w:pStyle w:val="TableParagraph"/>
              <w:spacing w:line="209" w:lineRule="exact"/>
              <w:ind w:right="27"/>
              <w:jc w:val="right"/>
              <w:rPr>
                <w:sz w:val="20"/>
              </w:rPr>
            </w:pPr>
            <w:r>
              <w:rPr>
                <w:spacing w:val="-2"/>
                <w:sz w:val="20"/>
              </w:rPr>
              <w:t>0.131574</w:t>
            </w:r>
          </w:p>
        </w:tc>
      </w:tr>
      <w:tr>
        <w:trPr>
          <w:trHeight w:val="266" w:hRule="atLeast"/>
        </w:trPr>
        <w:tc>
          <w:tcPr>
            <w:tcW w:w="1847" w:type="dxa"/>
            <w:tcBorders>
              <w:bottom w:val="double" w:sz="6" w:space="0" w:color="000000"/>
            </w:tcBorders>
          </w:tcPr>
          <w:p>
            <w:pPr>
              <w:pStyle w:val="TableParagraph"/>
              <w:spacing w:line="224" w:lineRule="exact"/>
              <w:ind w:left="36"/>
              <w:rPr>
                <w:sz w:val="20"/>
              </w:rPr>
            </w:pPr>
            <w:r>
              <w:rPr>
                <w:sz w:val="20"/>
              </w:rPr>
              <w:t>Durbin-Watson</w:t>
            </w:r>
            <w:r>
              <w:rPr>
                <w:spacing w:val="-12"/>
                <w:sz w:val="20"/>
              </w:rPr>
              <w:t> </w:t>
            </w:r>
            <w:r>
              <w:rPr>
                <w:spacing w:val="-4"/>
                <w:sz w:val="20"/>
              </w:rPr>
              <w:t>stat</w:t>
            </w:r>
          </w:p>
        </w:tc>
        <w:tc>
          <w:tcPr>
            <w:tcW w:w="1375" w:type="dxa"/>
          </w:tcPr>
          <w:p>
            <w:pPr>
              <w:pStyle w:val="TableParagraph"/>
              <w:spacing w:line="224" w:lineRule="exact"/>
              <w:ind w:right="128"/>
              <w:jc w:val="right"/>
              <w:rPr>
                <w:sz w:val="20"/>
              </w:rPr>
            </w:pPr>
            <w:r>
              <w:rPr>
                <w:spacing w:val="-2"/>
                <w:sz w:val="20"/>
              </w:rPr>
              <w:t>1.972218</w:t>
            </w:r>
          </w:p>
        </w:tc>
        <w:tc>
          <w:tcPr>
            <w:tcW w:w="1432" w:type="dxa"/>
            <w:tcBorders>
              <w:bottom w:val="double" w:sz="6" w:space="0" w:color="000000"/>
            </w:tcBorders>
          </w:tcPr>
          <w:p>
            <w:pPr>
              <w:pStyle w:val="TableParagraph"/>
              <w:spacing w:line="224" w:lineRule="exact"/>
              <w:ind w:left="131"/>
              <w:rPr>
                <w:sz w:val="20"/>
              </w:rPr>
            </w:pPr>
            <w:r>
              <w:rPr>
                <w:spacing w:val="-2"/>
                <w:sz w:val="20"/>
              </w:rPr>
              <w:t>Prob(F-statistic)</w:t>
            </w:r>
          </w:p>
        </w:tc>
        <w:tc>
          <w:tcPr>
            <w:tcW w:w="904" w:type="dxa"/>
            <w:tcBorders>
              <w:bottom w:val="double" w:sz="6" w:space="0" w:color="000000"/>
            </w:tcBorders>
          </w:tcPr>
          <w:p>
            <w:pPr>
              <w:pStyle w:val="TableParagraph"/>
              <w:rPr>
                <w:sz w:val="18"/>
              </w:rPr>
            </w:pPr>
          </w:p>
        </w:tc>
        <w:tc>
          <w:tcPr>
            <w:tcW w:w="929" w:type="dxa"/>
            <w:tcBorders>
              <w:bottom w:val="double" w:sz="6" w:space="0" w:color="000000"/>
            </w:tcBorders>
          </w:tcPr>
          <w:p>
            <w:pPr>
              <w:pStyle w:val="TableParagraph"/>
              <w:spacing w:line="224" w:lineRule="exact"/>
              <w:ind w:right="27"/>
              <w:jc w:val="right"/>
              <w:rPr>
                <w:sz w:val="20"/>
              </w:rPr>
            </w:pPr>
            <w:r>
              <w:rPr>
                <w:spacing w:val="-2"/>
                <w:sz w:val="20"/>
              </w:rPr>
              <w:t>0.877123</w:t>
            </w:r>
          </w:p>
        </w:tc>
      </w:tr>
    </w:tbl>
    <w:p>
      <w:pPr>
        <w:pStyle w:val="BodyText"/>
        <w:rPr>
          <w:sz w:val="20"/>
        </w:rPr>
      </w:pPr>
    </w:p>
    <w:p>
      <w:pPr>
        <w:pStyle w:val="BodyText"/>
        <w:spacing w:before="14"/>
        <w:rPr>
          <w:sz w:val="20"/>
        </w:rPr>
      </w:pPr>
    </w:p>
    <w:p>
      <w:pPr>
        <w:spacing w:before="0" w:after="3"/>
        <w:ind w:left="711" w:right="0" w:firstLine="0"/>
        <w:jc w:val="left"/>
        <w:rPr>
          <w:sz w:val="20"/>
        </w:rPr>
      </w:pPr>
      <w:r>
        <w:rPr>
          <w:sz w:val="20"/>
        </w:rPr>
        <w:t>GDP</w:t>
      </w:r>
      <w:r>
        <w:rPr>
          <w:spacing w:val="-2"/>
          <w:sz w:val="20"/>
        </w:rPr>
        <w:t> </w:t>
      </w:r>
      <w:r>
        <w:rPr>
          <w:sz w:val="20"/>
        </w:rPr>
        <w:t>@</w:t>
      </w:r>
      <w:r>
        <w:rPr>
          <w:spacing w:val="-4"/>
          <w:sz w:val="20"/>
        </w:rPr>
        <w:t> </w:t>
      </w:r>
      <w:r>
        <w:rPr>
          <w:sz w:val="20"/>
        </w:rPr>
        <w:t>1</w:t>
      </w:r>
      <w:r>
        <w:rPr>
          <w:sz w:val="20"/>
          <w:vertAlign w:val="superscript"/>
        </w:rPr>
        <w:t>ST</w:t>
      </w:r>
      <w:r>
        <w:rPr>
          <w:spacing w:val="-3"/>
          <w:sz w:val="20"/>
          <w:vertAlign w:val="baseline"/>
        </w:rPr>
        <w:t> </w:t>
      </w:r>
      <w:r>
        <w:rPr>
          <w:spacing w:val="-4"/>
          <w:sz w:val="20"/>
          <w:vertAlign w:val="baseline"/>
        </w:rPr>
        <w:t>DIFF</w:t>
      </w:r>
    </w:p>
    <w:tbl>
      <w:tblPr>
        <w:tblW w:w="0" w:type="auto"/>
        <w:jc w:val="left"/>
        <w:tblInd w:w="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47"/>
        <w:gridCol w:w="1375"/>
        <w:gridCol w:w="1432"/>
        <w:gridCol w:w="904"/>
        <w:gridCol w:w="929"/>
      </w:tblGrid>
      <w:tr>
        <w:trPr>
          <w:trHeight w:val="225" w:hRule="atLeast"/>
        </w:trPr>
        <w:tc>
          <w:tcPr>
            <w:tcW w:w="1847" w:type="dxa"/>
          </w:tcPr>
          <w:p>
            <w:pPr>
              <w:pStyle w:val="TableParagraph"/>
              <w:spacing w:line="205" w:lineRule="exact"/>
              <w:ind w:left="36"/>
              <w:rPr>
                <w:sz w:val="20"/>
              </w:rPr>
            </w:pPr>
            <w:r>
              <w:rPr>
                <w:sz w:val="20"/>
              </w:rPr>
              <w:t>ADF</w:t>
            </w:r>
            <w:r>
              <w:rPr>
                <w:spacing w:val="-4"/>
                <w:sz w:val="20"/>
              </w:rPr>
              <w:t> </w:t>
            </w:r>
            <w:r>
              <w:rPr>
                <w:sz w:val="20"/>
              </w:rPr>
              <w:t>Test</w:t>
            </w:r>
            <w:r>
              <w:rPr>
                <w:spacing w:val="-4"/>
                <w:sz w:val="20"/>
              </w:rPr>
              <w:t> </w:t>
            </w:r>
            <w:r>
              <w:rPr>
                <w:spacing w:val="-2"/>
                <w:sz w:val="20"/>
              </w:rPr>
              <w:t>Statistic</w:t>
            </w:r>
          </w:p>
        </w:tc>
        <w:tc>
          <w:tcPr>
            <w:tcW w:w="1375" w:type="dxa"/>
          </w:tcPr>
          <w:p>
            <w:pPr>
              <w:pStyle w:val="TableParagraph"/>
              <w:spacing w:line="205" w:lineRule="exact"/>
              <w:ind w:left="219"/>
              <w:rPr>
                <w:sz w:val="20"/>
              </w:rPr>
            </w:pPr>
            <w:r>
              <w:rPr>
                <w:spacing w:val="-10"/>
                <w:sz w:val="20"/>
              </w:rPr>
              <w:t>C</w:t>
            </w:r>
          </w:p>
        </w:tc>
        <w:tc>
          <w:tcPr>
            <w:tcW w:w="2336" w:type="dxa"/>
            <w:gridSpan w:val="2"/>
          </w:tcPr>
          <w:p>
            <w:pPr>
              <w:pStyle w:val="TableParagraph"/>
              <w:spacing w:line="205" w:lineRule="exact"/>
              <w:ind w:left="131"/>
              <w:rPr>
                <w:sz w:val="20"/>
              </w:rPr>
            </w:pPr>
            <w:r>
              <w:rPr>
                <w:sz w:val="20"/>
              </w:rPr>
              <w:t>1%</w:t>
            </w:r>
            <w:r>
              <w:rPr>
                <w:spacing w:val="68"/>
                <w:w w:val="150"/>
                <w:sz w:val="20"/>
              </w:rPr>
              <w:t> </w:t>
            </w:r>
            <w:r>
              <w:rPr>
                <w:sz w:val="20"/>
              </w:rPr>
              <w:t>Critical</w:t>
            </w:r>
            <w:r>
              <w:rPr>
                <w:spacing w:val="-2"/>
                <w:sz w:val="20"/>
              </w:rPr>
              <w:t> Value*</w:t>
            </w:r>
          </w:p>
        </w:tc>
        <w:tc>
          <w:tcPr>
            <w:tcW w:w="929" w:type="dxa"/>
          </w:tcPr>
          <w:p>
            <w:pPr>
              <w:pStyle w:val="TableParagraph"/>
              <w:spacing w:line="205" w:lineRule="exact"/>
              <w:ind w:right="27"/>
              <w:jc w:val="right"/>
              <w:rPr>
                <w:sz w:val="20"/>
              </w:rPr>
            </w:pPr>
            <w:r>
              <w:rPr>
                <w:spacing w:val="-4"/>
                <w:sz w:val="20"/>
              </w:rPr>
              <w:t>-</w:t>
            </w:r>
            <w:r>
              <w:rPr>
                <w:spacing w:val="-2"/>
                <w:sz w:val="20"/>
              </w:rPr>
              <w:t>3.6067</w:t>
            </w:r>
          </w:p>
        </w:tc>
      </w:tr>
      <w:tr>
        <w:trPr>
          <w:trHeight w:val="230" w:hRule="atLeast"/>
        </w:trPr>
        <w:tc>
          <w:tcPr>
            <w:tcW w:w="1847" w:type="dxa"/>
          </w:tcPr>
          <w:p>
            <w:pPr>
              <w:pStyle w:val="TableParagraph"/>
              <w:rPr>
                <w:sz w:val="16"/>
              </w:rPr>
            </w:pPr>
          </w:p>
        </w:tc>
        <w:tc>
          <w:tcPr>
            <w:tcW w:w="1375" w:type="dxa"/>
          </w:tcPr>
          <w:p>
            <w:pPr>
              <w:pStyle w:val="TableParagraph"/>
              <w:rPr>
                <w:sz w:val="16"/>
              </w:rPr>
            </w:pPr>
          </w:p>
        </w:tc>
        <w:tc>
          <w:tcPr>
            <w:tcW w:w="2336" w:type="dxa"/>
            <w:gridSpan w:val="2"/>
          </w:tcPr>
          <w:p>
            <w:pPr>
              <w:pStyle w:val="TableParagraph"/>
              <w:spacing w:line="210" w:lineRule="exact"/>
              <w:ind w:left="131"/>
              <w:rPr>
                <w:sz w:val="20"/>
              </w:rPr>
            </w:pPr>
            <w:r>
              <w:rPr>
                <w:sz w:val="20"/>
              </w:rPr>
              <w:t>5%</w:t>
            </w:r>
            <w:r>
              <w:rPr>
                <w:spacing w:val="68"/>
                <w:w w:val="150"/>
                <w:sz w:val="20"/>
              </w:rPr>
              <w:t> </w:t>
            </w:r>
            <w:r>
              <w:rPr>
                <w:sz w:val="20"/>
              </w:rPr>
              <w:t>Critical</w:t>
            </w:r>
            <w:r>
              <w:rPr>
                <w:spacing w:val="-2"/>
                <w:sz w:val="20"/>
              </w:rPr>
              <w:t> </w:t>
            </w:r>
            <w:r>
              <w:rPr>
                <w:spacing w:val="-4"/>
                <w:sz w:val="20"/>
              </w:rPr>
              <w:t>Value</w:t>
            </w:r>
          </w:p>
        </w:tc>
        <w:tc>
          <w:tcPr>
            <w:tcW w:w="929" w:type="dxa"/>
          </w:tcPr>
          <w:p>
            <w:pPr>
              <w:pStyle w:val="TableParagraph"/>
              <w:spacing w:line="210" w:lineRule="exact"/>
              <w:ind w:right="27"/>
              <w:jc w:val="right"/>
              <w:rPr>
                <w:sz w:val="20"/>
              </w:rPr>
            </w:pPr>
            <w:r>
              <w:rPr>
                <w:spacing w:val="-4"/>
                <w:sz w:val="20"/>
              </w:rPr>
              <w:t>-</w:t>
            </w:r>
            <w:r>
              <w:rPr>
                <w:spacing w:val="-2"/>
                <w:sz w:val="20"/>
              </w:rPr>
              <w:t>2.9378</w:t>
            </w:r>
          </w:p>
        </w:tc>
      </w:tr>
      <w:tr>
        <w:trPr>
          <w:trHeight w:val="224" w:hRule="atLeast"/>
        </w:trPr>
        <w:tc>
          <w:tcPr>
            <w:tcW w:w="1847" w:type="dxa"/>
            <w:tcBorders>
              <w:bottom w:val="double" w:sz="6" w:space="0" w:color="000000"/>
            </w:tcBorders>
          </w:tcPr>
          <w:p>
            <w:pPr>
              <w:pStyle w:val="TableParagraph"/>
              <w:rPr>
                <w:sz w:val="16"/>
              </w:rPr>
            </w:pPr>
          </w:p>
        </w:tc>
        <w:tc>
          <w:tcPr>
            <w:tcW w:w="1375" w:type="dxa"/>
            <w:tcBorders>
              <w:bottom w:val="double" w:sz="6" w:space="0" w:color="000000"/>
            </w:tcBorders>
          </w:tcPr>
          <w:p>
            <w:pPr>
              <w:pStyle w:val="TableParagraph"/>
              <w:rPr>
                <w:sz w:val="16"/>
              </w:rPr>
            </w:pPr>
          </w:p>
        </w:tc>
        <w:tc>
          <w:tcPr>
            <w:tcW w:w="2336" w:type="dxa"/>
            <w:gridSpan w:val="2"/>
            <w:tcBorders>
              <w:bottom w:val="double" w:sz="6" w:space="0" w:color="000000"/>
            </w:tcBorders>
          </w:tcPr>
          <w:p>
            <w:pPr>
              <w:pStyle w:val="TableParagraph"/>
              <w:spacing w:line="205" w:lineRule="exact"/>
              <w:ind w:left="131"/>
              <w:rPr>
                <w:sz w:val="20"/>
              </w:rPr>
            </w:pPr>
            <w:r>
              <w:rPr>
                <w:sz w:val="20"/>
              </w:rPr>
              <w:t>10%</w:t>
            </w:r>
            <w:r>
              <w:rPr>
                <w:spacing w:val="-6"/>
                <w:sz w:val="20"/>
              </w:rPr>
              <w:t> </w:t>
            </w:r>
            <w:r>
              <w:rPr>
                <w:sz w:val="20"/>
              </w:rPr>
              <w:t>Critical</w:t>
            </w:r>
            <w:r>
              <w:rPr>
                <w:spacing w:val="-4"/>
                <w:sz w:val="20"/>
              </w:rPr>
              <w:t> </w:t>
            </w:r>
            <w:r>
              <w:rPr>
                <w:spacing w:val="-2"/>
                <w:sz w:val="20"/>
              </w:rPr>
              <w:t>Value</w:t>
            </w:r>
          </w:p>
        </w:tc>
        <w:tc>
          <w:tcPr>
            <w:tcW w:w="929" w:type="dxa"/>
            <w:tcBorders>
              <w:bottom w:val="double" w:sz="6" w:space="0" w:color="000000"/>
            </w:tcBorders>
          </w:tcPr>
          <w:p>
            <w:pPr>
              <w:pStyle w:val="TableParagraph"/>
              <w:spacing w:line="205" w:lineRule="exact"/>
              <w:ind w:right="27"/>
              <w:jc w:val="right"/>
              <w:rPr>
                <w:sz w:val="20"/>
              </w:rPr>
            </w:pPr>
            <w:r>
              <w:rPr>
                <w:spacing w:val="-4"/>
                <w:sz w:val="20"/>
              </w:rPr>
              <w:t>-</w:t>
            </w:r>
            <w:r>
              <w:rPr>
                <w:spacing w:val="-2"/>
                <w:sz w:val="20"/>
              </w:rPr>
              <w:t>2.6069</w:t>
            </w:r>
          </w:p>
        </w:tc>
      </w:tr>
      <w:tr>
        <w:trPr>
          <w:trHeight w:val="505" w:hRule="atLeast"/>
        </w:trPr>
        <w:tc>
          <w:tcPr>
            <w:tcW w:w="6487" w:type="dxa"/>
            <w:gridSpan w:val="5"/>
            <w:tcBorders>
              <w:top w:val="double" w:sz="6" w:space="0" w:color="000000"/>
            </w:tcBorders>
          </w:tcPr>
          <w:p>
            <w:pPr>
              <w:pStyle w:val="TableParagraph"/>
              <w:spacing w:before="40"/>
              <w:ind w:left="36"/>
              <w:rPr>
                <w:sz w:val="20"/>
              </w:rPr>
            </w:pPr>
            <w:r>
              <w:rPr>
                <w:sz w:val="20"/>
              </w:rPr>
              <w:t>*MacKinnon</w:t>
            </w:r>
            <w:r>
              <w:rPr>
                <w:spacing w:val="-6"/>
                <w:sz w:val="20"/>
              </w:rPr>
              <w:t> </w:t>
            </w:r>
            <w:r>
              <w:rPr>
                <w:sz w:val="20"/>
              </w:rPr>
              <w:t>critical</w:t>
            </w:r>
            <w:r>
              <w:rPr>
                <w:spacing w:val="-4"/>
                <w:sz w:val="20"/>
              </w:rPr>
              <w:t> </w:t>
            </w:r>
            <w:r>
              <w:rPr>
                <w:sz w:val="20"/>
              </w:rPr>
              <w:t>values</w:t>
            </w:r>
            <w:r>
              <w:rPr>
                <w:spacing w:val="-6"/>
                <w:sz w:val="20"/>
              </w:rPr>
              <w:t> </w:t>
            </w:r>
            <w:r>
              <w:rPr>
                <w:sz w:val="20"/>
              </w:rPr>
              <w:t>for</w:t>
            </w:r>
            <w:r>
              <w:rPr>
                <w:spacing w:val="-4"/>
                <w:sz w:val="20"/>
              </w:rPr>
              <w:t> </w:t>
            </w:r>
            <w:r>
              <w:rPr>
                <w:sz w:val="20"/>
              </w:rPr>
              <w:t>rejection</w:t>
            </w:r>
            <w:r>
              <w:rPr>
                <w:spacing w:val="-6"/>
                <w:sz w:val="20"/>
              </w:rPr>
              <w:t> </w:t>
            </w:r>
            <w:r>
              <w:rPr>
                <w:sz w:val="20"/>
              </w:rPr>
              <w:t>of</w:t>
            </w:r>
            <w:r>
              <w:rPr>
                <w:spacing w:val="-6"/>
                <w:sz w:val="20"/>
              </w:rPr>
              <w:t> </w:t>
            </w:r>
            <w:r>
              <w:rPr>
                <w:sz w:val="20"/>
              </w:rPr>
              <w:t>hypothesis</w:t>
            </w:r>
            <w:r>
              <w:rPr>
                <w:spacing w:val="-6"/>
                <w:sz w:val="20"/>
              </w:rPr>
              <w:t> </w:t>
            </w:r>
            <w:r>
              <w:rPr>
                <w:sz w:val="20"/>
              </w:rPr>
              <w:t>of</w:t>
            </w:r>
            <w:r>
              <w:rPr>
                <w:spacing w:val="-6"/>
                <w:sz w:val="20"/>
              </w:rPr>
              <w:t> </w:t>
            </w:r>
            <w:r>
              <w:rPr>
                <w:sz w:val="20"/>
              </w:rPr>
              <w:t>a</w:t>
            </w:r>
            <w:r>
              <w:rPr>
                <w:spacing w:val="-4"/>
                <w:sz w:val="20"/>
              </w:rPr>
              <w:t> </w:t>
            </w:r>
            <w:r>
              <w:rPr>
                <w:sz w:val="20"/>
              </w:rPr>
              <w:t>unit</w:t>
            </w:r>
            <w:r>
              <w:rPr>
                <w:spacing w:val="-6"/>
                <w:sz w:val="20"/>
              </w:rPr>
              <w:t> </w:t>
            </w:r>
            <w:r>
              <w:rPr>
                <w:spacing w:val="-2"/>
                <w:sz w:val="20"/>
              </w:rPr>
              <w:t>root.</w:t>
            </w:r>
          </w:p>
        </w:tc>
      </w:tr>
      <w:tr>
        <w:trPr>
          <w:trHeight w:val="459" w:hRule="atLeast"/>
        </w:trPr>
        <w:tc>
          <w:tcPr>
            <w:tcW w:w="6487" w:type="dxa"/>
            <w:gridSpan w:val="5"/>
          </w:tcPr>
          <w:p>
            <w:pPr>
              <w:pStyle w:val="TableParagraph"/>
              <w:spacing w:line="214" w:lineRule="exact" w:before="226"/>
              <w:ind w:left="36"/>
              <w:rPr>
                <w:sz w:val="20"/>
              </w:rPr>
            </w:pPr>
            <w:r>
              <w:rPr>
                <w:sz w:val="20"/>
              </w:rPr>
              <w:t>Augmented</w:t>
            </w:r>
            <w:r>
              <w:rPr>
                <w:spacing w:val="-8"/>
                <w:sz w:val="20"/>
              </w:rPr>
              <w:t> </w:t>
            </w:r>
            <w:r>
              <w:rPr>
                <w:sz w:val="20"/>
              </w:rPr>
              <w:t>Dickey-Fuller</w:t>
            </w:r>
            <w:r>
              <w:rPr>
                <w:spacing w:val="-8"/>
                <w:sz w:val="20"/>
              </w:rPr>
              <w:t> </w:t>
            </w:r>
            <w:r>
              <w:rPr>
                <w:sz w:val="20"/>
              </w:rPr>
              <w:t>Test</w:t>
            </w:r>
            <w:r>
              <w:rPr>
                <w:spacing w:val="-9"/>
                <w:sz w:val="20"/>
              </w:rPr>
              <w:t> </w:t>
            </w:r>
            <w:r>
              <w:rPr>
                <w:spacing w:val="-2"/>
                <w:sz w:val="20"/>
              </w:rPr>
              <w:t>Equation</w:t>
            </w:r>
          </w:p>
        </w:tc>
      </w:tr>
      <w:tr>
        <w:trPr>
          <w:trHeight w:val="229" w:hRule="atLeast"/>
        </w:trPr>
        <w:tc>
          <w:tcPr>
            <w:tcW w:w="6487" w:type="dxa"/>
            <w:gridSpan w:val="5"/>
          </w:tcPr>
          <w:p>
            <w:pPr>
              <w:pStyle w:val="TableParagraph"/>
              <w:spacing w:line="209" w:lineRule="exact"/>
              <w:ind w:left="36"/>
              <w:rPr>
                <w:sz w:val="20"/>
              </w:rPr>
            </w:pPr>
            <w:r>
              <w:rPr>
                <w:sz w:val="20"/>
              </w:rPr>
              <w:t>Dependent</w:t>
            </w:r>
            <w:r>
              <w:rPr>
                <w:spacing w:val="-8"/>
                <w:sz w:val="20"/>
              </w:rPr>
              <w:t> </w:t>
            </w:r>
            <w:r>
              <w:rPr>
                <w:sz w:val="20"/>
              </w:rPr>
              <w:t>Variable:</w:t>
            </w:r>
            <w:r>
              <w:rPr>
                <w:spacing w:val="-7"/>
                <w:sz w:val="20"/>
              </w:rPr>
              <w:t> </w:t>
            </w:r>
            <w:r>
              <w:rPr>
                <w:spacing w:val="-2"/>
                <w:sz w:val="20"/>
              </w:rPr>
              <w:t>D(GDP,2)</w:t>
            </w:r>
          </w:p>
        </w:tc>
      </w:tr>
      <w:tr>
        <w:trPr>
          <w:trHeight w:val="230" w:hRule="atLeast"/>
        </w:trPr>
        <w:tc>
          <w:tcPr>
            <w:tcW w:w="6487" w:type="dxa"/>
            <w:gridSpan w:val="5"/>
          </w:tcPr>
          <w:p>
            <w:pPr>
              <w:pStyle w:val="TableParagraph"/>
              <w:spacing w:line="210" w:lineRule="exact"/>
              <w:ind w:left="36"/>
              <w:rPr>
                <w:sz w:val="20"/>
              </w:rPr>
            </w:pPr>
            <w:r>
              <w:rPr>
                <w:sz w:val="20"/>
              </w:rPr>
              <w:t>Method:</w:t>
            </w:r>
            <w:r>
              <w:rPr>
                <w:spacing w:val="-8"/>
                <w:sz w:val="20"/>
              </w:rPr>
              <w:t> </w:t>
            </w:r>
            <w:r>
              <w:rPr>
                <w:sz w:val="20"/>
              </w:rPr>
              <w:t>Least</w:t>
            </w:r>
            <w:r>
              <w:rPr>
                <w:spacing w:val="-7"/>
                <w:sz w:val="20"/>
              </w:rPr>
              <w:t> </w:t>
            </w:r>
            <w:r>
              <w:rPr>
                <w:spacing w:val="-2"/>
                <w:sz w:val="20"/>
              </w:rPr>
              <w:t>Squares</w:t>
            </w:r>
          </w:p>
        </w:tc>
      </w:tr>
      <w:tr>
        <w:trPr>
          <w:trHeight w:val="230" w:hRule="atLeast"/>
        </w:trPr>
        <w:tc>
          <w:tcPr>
            <w:tcW w:w="6487" w:type="dxa"/>
            <w:gridSpan w:val="5"/>
          </w:tcPr>
          <w:p>
            <w:pPr>
              <w:pStyle w:val="TableParagraph"/>
              <w:spacing w:line="210" w:lineRule="exact"/>
              <w:ind w:left="36"/>
              <w:rPr>
                <w:sz w:val="20"/>
              </w:rPr>
            </w:pPr>
            <w:r>
              <w:rPr>
                <w:sz w:val="20"/>
              </w:rPr>
              <w:t>Date:</w:t>
            </w:r>
            <w:r>
              <w:rPr>
                <w:spacing w:val="-5"/>
                <w:sz w:val="20"/>
              </w:rPr>
              <w:t> </w:t>
            </w:r>
            <w:r>
              <w:rPr>
                <w:sz w:val="20"/>
              </w:rPr>
              <w:t>02/17/14</w:t>
            </w:r>
            <w:r>
              <w:rPr>
                <w:spacing w:val="63"/>
                <w:w w:val="150"/>
                <w:sz w:val="20"/>
              </w:rPr>
              <w:t> </w:t>
            </w:r>
            <w:r>
              <w:rPr>
                <w:sz w:val="20"/>
              </w:rPr>
              <w:t>Time:</w:t>
            </w:r>
            <w:r>
              <w:rPr>
                <w:spacing w:val="-3"/>
                <w:sz w:val="20"/>
              </w:rPr>
              <w:t> </w:t>
            </w:r>
            <w:r>
              <w:rPr>
                <w:spacing w:val="-2"/>
                <w:sz w:val="20"/>
              </w:rPr>
              <w:t>16:46</w:t>
            </w:r>
          </w:p>
        </w:tc>
      </w:tr>
      <w:tr>
        <w:trPr>
          <w:trHeight w:val="230" w:hRule="atLeast"/>
        </w:trPr>
        <w:tc>
          <w:tcPr>
            <w:tcW w:w="6487" w:type="dxa"/>
            <w:gridSpan w:val="5"/>
          </w:tcPr>
          <w:p>
            <w:pPr>
              <w:pStyle w:val="TableParagraph"/>
              <w:spacing w:line="210" w:lineRule="exact"/>
              <w:ind w:left="36"/>
              <w:rPr>
                <w:sz w:val="20"/>
              </w:rPr>
            </w:pPr>
            <w:r>
              <w:rPr>
                <w:sz w:val="20"/>
              </w:rPr>
              <w:t>Sample(adjusted):</w:t>
            </w:r>
            <w:r>
              <w:rPr>
                <w:spacing w:val="-9"/>
                <w:sz w:val="20"/>
              </w:rPr>
              <w:t> </w:t>
            </w:r>
            <w:r>
              <w:rPr>
                <w:sz w:val="20"/>
              </w:rPr>
              <w:t>1973</w:t>
            </w:r>
            <w:r>
              <w:rPr>
                <w:spacing w:val="-9"/>
                <w:sz w:val="20"/>
              </w:rPr>
              <w:t> </w:t>
            </w:r>
            <w:r>
              <w:rPr>
                <w:spacing w:val="-4"/>
                <w:sz w:val="20"/>
              </w:rPr>
              <w:t>2011</w:t>
            </w:r>
          </w:p>
        </w:tc>
      </w:tr>
      <w:tr>
        <w:trPr>
          <w:trHeight w:val="224" w:hRule="atLeast"/>
        </w:trPr>
        <w:tc>
          <w:tcPr>
            <w:tcW w:w="6487" w:type="dxa"/>
            <w:gridSpan w:val="5"/>
            <w:tcBorders>
              <w:bottom w:val="double" w:sz="6" w:space="0" w:color="000000"/>
            </w:tcBorders>
          </w:tcPr>
          <w:p>
            <w:pPr>
              <w:pStyle w:val="TableParagraph"/>
              <w:spacing w:line="205" w:lineRule="exact"/>
              <w:ind w:left="36"/>
              <w:rPr>
                <w:sz w:val="20"/>
              </w:rPr>
            </w:pPr>
            <w:r>
              <w:rPr>
                <w:sz w:val="20"/>
              </w:rPr>
              <w:t>Included</w:t>
            </w:r>
            <w:r>
              <w:rPr>
                <w:spacing w:val="-6"/>
                <w:sz w:val="20"/>
              </w:rPr>
              <w:t> </w:t>
            </w:r>
            <w:r>
              <w:rPr>
                <w:sz w:val="20"/>
              </w:rPr>
              <w:t>observations:</w:t>
            </w:r>
            <w:r>
              <w:rPr>
                <w:spacing w:val="-8"/>
                <w:sz w:val="20"/>
              </w:rPr>
              <w:t> </w:t>
            </w:r>
            <w:r>
              <w:rPr>
                <w:sz w:val="20"/>
              </w:rPr>
              <w:t>39</w:t>
            </w:r>
            <w:r>
              <w:rPr>
                <w:spacing w:val="-5"/>
                <w:sz w:val="20"/>
              </w:rPr>
              <w:t> </w:t>
            </w:r>
            <w:r>
              <w:rPr>
                <w:sz w:val="20"/>
              </w:rPr>
              <w:t>after</w:t>
            </w:r>
            <w:r>
              <w:rPr>
                <w:spacing w:val="-7"/>
                <w:sz w:val="20"/>
              </w:rPr>
              <w:t> </w:t>
            </w:r>
            <w:r>
              <w:rPr>
                <w:sz w:val="20"/>
              </w:rPr>
              <w:t>adjusting</w:t>
            </w:r>
            <w:r>
              <w:rPr>
                <w:spacing w:val="-7"/>
                <w:sz w:val="20"/>
              </w:rPr>
              <w:t> </w:t>
            </w:r>
            <w:r>
              <w:rPr>
                <w:spacing w:val="-2"/>
                <w:sz w:val="20"/>
              </w:rPr>
              <w:t>endpoints</w:t>
            </w:r>
          </w:p>
        </w:tc>
      </w:tr>
      <w:tr>
        <w:trPr>
          <w:trHeight w:val="269" w:hRule="atLeast"/>
        </w:trPr>
        <w:tc>
          <w:tcPr>
            <w:tcW w:w="1847" w:type="dxa"/>
            <w:tcBorders>
              <w:top w:val="double" w:sz="6" w:space="0" w:color="000000"/>
              <w:bottom w:val="double" w:sz="6" w:space="0" w:color="000000"/>
            </w:tcBorders>
          </w:tcPr>
          <w:p>
            <w:pPr>
              <w:pStyle w:val="TableParagraph"/>
              <w:spacing w:line="209" w:lineRule="exact" w:before="40"/>
              <w:ind w:left="677"/>
              <w:rPr>
                <w:sz w:val="20"/>
              </w:rPr>
            </w:pPr>
            <w:r>
              <w:rPr>
                <w:spacing w:val="-2"/>
                <w:sz w:val="20"/>
              </w:rPr>
              <w:t>Variable</w:t>
            </w:r>
          </w:p>
        </w:tc>
        <w:tc>
          <w:tcPr>
            <w:tcW w:w="1375" w:type="dxa"/>
            <w:tcBorders>
              <w:top w:val="double" w:sz="6" w:space="0" w:color="000000"/>
              <w:bottom w:val="double" w:sz="6" w:space="0" w:color="000000"/>
            </w:tcBorders>
          </w:tcPr>
          <w:p>
            <w:pPr>
              <w:pStyle w:val="TableParagraph"/>
              <w:spacing w:line="209" w:lineRule="exact" w:before="40"/>
              <w:ind w:right="131"/>
              <w:jc w:val="right"/>
              <w:rPr>
                <w:sz w:val="20"/>
              </w:rPr>
            </w:pPr>
            <w:r>
              <w:rPr>
                <w:spacing w:val="-2"/>
                <w:sz w:val="20"/>
              </w:rPr>
              <w:t>Coefficient</w:t>
            </w:r>
          </w:p>
        </w:tc>
        <w:tc>
          <w:tcPr>
            <w:tcW w:w="1432" w:type="dxa"/>
            <w:tcBorders>
              <w:top w:val="double" w:sz="6" w:space="0" w:color="000000"/>
              <w:bottom w:val="double" w:sz="6" w:space="0" w:color="000000"/>
            </w:tcBorders>
          </w:tcPr>
          <w:p>
            <w:pPr>
              <w:pStyle w:val="TableParagraph"/>
              <w:spacing w:line="209" w:lineRule="exact" w:before="40"/>
              <w:ind w:left="273"/>
              <w:rPr>
                <w:sz w:val="20"/>
              </w:rPr>
            </w:pPr>
            <w:r>
              <w:rPr>
                <w:sz w:val="20"/>
              </w:rPr>
              <w:t>Std.</w:t>
            </w:r>
            <w:r>
              <w:rPr>
                <w:spacing w:val="-4"/>
                <w:sz w:val="20"/>
              </w:rPr>
              <w:t> </w:t>
            </w:r>
            <w:r>
              <w:rPr>
                <w:spacing w:val="-2"/>
                <w:sz w:val="20"/>
              </w:rPr>
              <w:t>Error</w:t>
            </w:r>
          </w:p>
        </w:tc>
        <w:tc>
          <w:tcPr>
            <w:tcW w:w="904" w:type="dxa"/>
            <w:tcBorders>
              <w:top w:val="double" w:sz="6" w:space="0" w:color="000000"/>
              <w:bottom w:val="double" w:sz="6" w:space="0" w:color="000000"/>
            </w:tcBorders>
          </w:tcPr>
          <w:p>
            <w:pPr>
              <w:pStyle w:val="TableParagraph"/>
              <w:spacing w:line="209" w:lineRule="exact" w:before="40"/>
              <w:ind w:right="22"/>
              <w:jc w:val="center"/>
              <w:rPr>
                <w:sz w:val="20"/>
              </w:rPr>
            </w:pPr>
            <w:r>
              <w:rPr>
                <w:spacing w:val="-4"/>
                <w:sz w:val="20"/>
              </w:rPr>
              <w:t>t-</w:t>
            </w:r>
            <w:r>
              <w:rPr>
                <w:spacing w:val="-2"/>
                <w:sz w:val="20"/>
              </w:rPr>
              <w:t>Statistic</w:t>
            </w:r>
          </w:p>
        </w:tc>
        <w:tc>
          <w:tcPr>
            <w:tcW w:w="929" w:type="dxa"/>
            <w:tcBorders>
              <w:top w:val="double" w:sz="6" w:space="0" w:color="000000"/>
              <w:bottom w:val="double" w:sz="6" w:space="0" w:color="000000"/>
            </w:tcBorders>
          </w:tcPr>
          <w:p>
            <w:pPr>
              <w:pStyle w:val="TableParagraph"/>
              <w:spacing w:line="209" w:lineRule="exact" w:before="40"/>
              <w:ind w:right="28"/>
              <w:jc w:val="right"/>
              <w:rPr>
                <w:sz w:val="20"/>
              </w:rPr>
            </w:pPr>
            <w:r>
              <w:rPr>
                <w:spacing w:val="-2"/>
                <w:sz w:val="20"/>
              </w:rPr>
              <w:t>Prob.</w:t>
            </w:r>
          </w:p>
        </w:tc>
      </w:tr>
      <w:tr>
        <w:trPr>
          <w:trHeight w:val="275" w:hRule="atLeast"/>
        </w:trPr>
        <w:tc>
          <w:tcPr>
            <w:tcW w:w="1847" w:type="dxa"/>
            <w:tcBorders>
              <w:top w:val="double" w:sz="6" w:space="0" w:color="000000"/>
            </w:tcBorders>
          </w:tcPr>
          <w:p>
            <w:pPr>
              <w:pStyle w:val="TableParagraph"/>
              <w:spacing w:line="215" w:lineRule="exact" w:before="40"/>
              <w:ind w:left="533"/>
              <w:rPr>
                <w:sz w:val="20"/>
              </w:rPr>
            </w:pPr>
            <w:r>
              <w:rPr>
                <w:spacing w:val="-2"/>
                <w:sz w:val="20"/>
              </w:rPr>
              <w:t>D(GDP(-</w:t>
            </w:r>
            <w:r>
              <w:rPr>
                <w:spacing w:val="-5"/>
                <w:sz w:val="20"/>
              </w:rPr>
              <w:t>1))</w:t>
            </w:r>
          </w:p>
        </w:tc>
        <w:tc>
          <w:tcPr>
            <w:tcW w:w="1375" w:type="dxa"/>
            <w:tcBorders>
              <w:top w:val="double" w:sz="6" w:space="0" w:color="000000"/>
            </w:tcBorders>
          </w:tcPr>
          <w:p>
            <w:pPr>
              <w:pStyle w:val="TableParagraph"/>
              <w:spacing w:line="215" w:lineRule="exact" w:before="40"/>
              <w:ind w:right="128"/>
              <w:jc w:val="right"/>
              <w:rPr>
                <w:sz w:val="20"/>
              </w:rPr>
            </w:pPr>
            <w:r>
              <w:rPr>
                <w:spacing w:val="-4"/>
                <w:sz w:val="20"/>
              </w:rPr>
              <w:t>-</w:t>
            </w:r>
            <w:r>
              <w:rPr>
                <w:spacing w:val="-2"/>
                <w:sz w:val="20"/>
              </w:rPr>
              <w:t>0.922684</w:t>
            </w:r>
          </w:p>
        </w:tc>
        <w:tc>
          <w:tcPr>
            <w:tcW w:w="1432" w:type="dxa"/>
            <w:tcBorders>
              <w:top w:val="double" w:sz="6" w:space="0" w:color="000000"/>
            </w:tcBorders>
          </w:tcPr>
          <w:p>
            <w:pPr>
              <w:pStyle w:val="TableParagraph"/>
              <w:spacing w:line="215" w:lineRule="exact" w:before="40"/>
              <w:ind w:left="311"/>
              <w:rPr>
                <w:sz w:val="20"/>
              </w:rPr>
            </w:pPr>
            <w:r>
              <w:rPr>
                <w:spacing w:val="-2"/>
                <w:sz w:val="20"/>
              </w:rPr>
              <w:t>0.225293</w:t>
            </w:r>
          </w:p>
        </w:tc>
        <w:tc>
          <w:tcPr>
            <w:tcW w:w="904" w:type="dxa"/>
            <w:tcBorders>
              <w:top w:val="double" w:sz="6" w:space="0" w:color="000000"/>
            </w:tcBorders>
          </w:tcPr>
          <w:p>
            <w:pPr>
              <w:pStyle w:val="TableParagraph"/>
              <w:spacing w:line="215" w:lineRule="exact" w:before="40"/>
              <w:ind w:right="70"/>
              <w:jc w:val="center"/>
              <w:rPr>
                <w:sz w:val="20"/>
              </w:rPr>
            </w:pPr>
            <w:r>
              <w:rPr>
                <w:spacing w:val="-4"/>
                <w:sz w:val="20"/>
              </w:rPr>
              <w:t>-</w:t>
            </w:r>
            <w:r>
              <w:rPr>
                <w:spacing w:val="-2"/>
                <w:sz w:val="20"/>
              </w:rPr>
              <w:t>4.095477</w:t>
            </w:r>
          </w:p>
        </w:tc>
        <w:tc>
          <w:tcPr>
            <w:tcW w:w="929" w:type="dxa"/>
            <w:tcBorders>
              <w:top w:val="double" w:sz="6" w:space="0" w:color="000000"/>
            </w:tcBorders>
          </w:tcPr>
          <w:p>
            <w:pPr>
              <w:pStyle w:val="TableParagraph"/>
              <w:spacing w:line="215" w:lineRule="exact" w:before="40"/>
              <w:ind w:right="27"/>
              <w:jc w:val="right"/>
              <w:rPr>
                <w:sz w:val="20"/>
              </w:rPr>
            </w:pPr>
            <w:r>
              <w:rPr>
                <w:spacing w:val="-2"/>
                <w:sz w:val="20"/>
              </w:rPr>
              <w:t>0.0002</w:t>
            </w:r>
          </w:p>
        </w:tc>
      </w:tr>
      <w:tr>
        <w:trPr>
          <w:trHeight w:val="230" w:hRule="atLeast"/>
        </w:trPr>
        <w:tc>
          <w:tcPr>
            <w:tcW w:w="1847" w:type="dxa"/>
          </w:tcPr>
          <w:p>
            <w:pPr>
              <w:pStyle w:val="TableParagraph"/>
              <w:spacing w:line="210" w:lineRule="exact"/>
              <w:ind w:left="458"/>
              <w:rPr>
                <w:sz w:val="20"/>
              </w:rPr>
            </w:pPr>
            <w:r>
              <w:rPr>
                <w:spacing w:val="-2"/>
                <w:sz w:val="20"/>
              </w:rPr>
              <w:t>D(GDP(-1),2)</w:t>
            </w:r>
          </w:p>
        </w:tc>
        <w:tc>
          <w:tcPr>
            <w:tcW w:w="1375" w:type="dxa"/>
          </w:tcPr>
          <w:p>
            <w:pPr>
              <w:pStyle w:val="TableParagraph"/>
              <w:spacing w:line="210" w:lineRule="exact"/>
              <w:ind w:right="128"/>
              <w:jc w:val="right"/>
              <w:rPr>
                <w:sz w:val="20"/>
              </w:rPr>
            </w:pPr>
            <w:r>
              <w:rPr>
                <w:spacing w:val="-2"/>
                <w:sz w:val="20"/>
              </w:rPr>
              <w:t>0.001833</w:t>
            </w:r>
          </w:p>
        </w:tc>
        <w:tc>
          <w:tcPr>
            <w:tcW w:w="1432" w:type="dxa"/>
          </w:tcPr>
          <w:p>
            <w:pPr>
              <w:pStyle w:val="TableParagraph"/>
              <w:spacing w:line="210" w:lineRule="exact"/>
              <w:ind w:left="311"/>
              <w:rPr>
                <w:sz w:val="20"/>
              </w:rPr>
            </w:pPr>
            <w:r>
              <w:rPr>
                <w:spacing w:val="-2"/>
                <w:sz w:val="20"/>
              </w:rPr>
              <w:t>0.167001</w:t>
            </w:r>
          </w:p>
        </w:tc>
        <w:tc>
          <w:tcPr>
            <w:tcW w:w="904" w:type="dxa"/>
          </w:tcPr>
          <w:p>
            <w:pPr>
              <w:pStyle w:val="TableParagraph"/>
              <w:spacing w:line="210" w:lineRule="exact"/>
              <w:ind w:right="5"/>
              <w:jc w:val="center"/>
              <w:rPr>
                <w:sz w:val="20"/>
              </w:rPr>
            </w:pPr>
            <w:r>
              <w:rPr>
                <w:spacing w:val="-2"/>
                <w:sz w:val="20"/>
              </w:rPr>
              <w:t>0.010976</w:t>
            </w:r>
          </w:p>
        </w:tc>
        <w:tc>
          <w:tcPr>
            <w:tcW w:w="929" w:type="dxa"/>
          </w:tcPr>
          <w:p>
            <w:pPr>
              <w:pStyle w:val="TableParagraph"/>
              <w:spacing w:line="210" w:lineRule="exact"/>
              <w:ind w:right="27"/>
              <w:jc w:val="right"/>
              <w:rPr>
                <w:sz w:val="20"/>
              </w:rPr>
            </w:pPr>
            <w:r>
              <w:rPr>
                <w:spacing w:val="-2"/>
                <w:sz w:val="20"/>
              </w:rPr>
              <w:t>0.9913</w:t>
            </w:r>
          </w:p>
        </w:tc>
      </w:tr>
      <w:tr>
        <w:trPr>
          <w:trHeight w:val="224" w:hRule="atLeast"/>
        </w:trPr>
        <w:tc>
          <w:tcPr>
            <w:tcW w:w="1847" w:type="dxa"/>
            <w:tcBorders>
              <w:bottom w:val="double" w:sz="6" w:space="0" w:color="000000"/>
            </w:tcBorders>
          </w:tcPr>
          <w:p>
            <w:pPr>
              <w:pStyle w:val="TableParagraph"/>
              <w:spacing w:line="205" w:lineRule="exact"/>
              <w:ind w:left="197"/>
              <w:jc w:val="center"/>
              <w:rPr>
                <w:sz w:val="20"/>
              </w:rPr>
            </w:pPr>
            <w:r>
              <w:rPr>
                <w:spacing w:val="-10"/>
                <w:sz w:val="20"/>
              </w:rPr>
              <w:t>C</w:t>
            </w:r>
          </w:p>
        </w:tc>
        <w:tc>
          <w:tcPr>
            <w:tcW w:w="1375" w:type="dxa"/>
            <w:tcBorders>
              <w:bottom w:val="double" w:sz="6" w:space="0" w:color="000000"/>
            </w:tcBorders>
          </w:tcPr>
          <w:p>
            <w:pPr>
              <w:pStyle w:val="TableParagraph"/>
              <w:spacing w:line="205" w:lineRule="exact"/>
              <w:ind w:right="128"/>
              <w:jc w:val="right"/>
              <w:rPr>
                <w:sz w:val="20"/>
              </w:rPr>
            </w:pPr>
            <w:r>
              <w:rPr>
                <w:spacing w:val="-2"/>
                <w:sz w:val="20"/>
              </w:rPr>
              <w:t>0.202579</w:t>
            </w:r>
          </w:p>
        </w:tc>
        <w:tc>
          <w:tcPr>
            <w:tcW w:w="1432" w:type="dxa"/>
            <w:tcBorders>
              <w:bottom w:val="double" w:sz="6" w:space="0" w:color="000000"/>
            </w:tcBorders>
          </w:tcPr>
          <w:p>
            <w:pPr>
              <w:pStyle w:val="TableParagraph"/>
              <w:spacing w:line="205" w:lineRule="exact"/>
              <w:ind w:left="311"/>
              <w:rPr>
                <w:sz w:val="20"/>
              </w:rPr>
            </w:pPr>
            <w:r>
              <w:rPr>
                <w:spacing w:val="-2"/>
                <w:sz w:val="20"/>
              </w:rPr>
              <w:t>0.057756</w:t>
            </w:r>
          </w:p>
        </w:tc>
        <w:tc>
          <w:tcPr>
            <w:tcW w:w="904" w:type="dxa"/>
            <w:tcBorders>
              <w:bottom w:val="double" w:sz="6" w:space="0" w:color="000000"/>
            </w:tcBorders>
          </w:tcPr>
          <w:p>
            <w:pPr>
              <w:pStyle w:val="TableParagraph"/>
              <w:spacing w:line="205" w:lineRule="exact"/>
              <w:ind w:right="5"/>
              <w:jc w:val="center"/>
              <w:rPr>
                <w:sz w:val="20"/>
              </w:rPr>
            </w:pPr>
            <w:r>
              <w:rPr>
                <w:spacing w:val="-2"/>
                <w:sz w:val="20"/>
              </w:rPr>
              <w:t>3.507505</w:t>
            </w:r>
          </w:p>
        </w:tc>
        <w:tc>
          <w:tcPr>
            <w:tcW w:w="929" w:type="dxa"/>
            <w:tcBorders>
              <w:bottom w:val="double" w:sz="6" w:space="0" w:color="000000"/>
            </w:tcBorders>
          </w:tcPr>
          <w:p>
            <w:pPr>
              <w:pStyle w:val="TableParagraph"/>
              <w:spacing w:line="205" w:lineRule="exact"/>
              <w:ind w:right="27"/>
              <w:jc w:val="right"/>
              <w:rPr>
                <w:sz w:val="20"/>
              </w:rPr>
            </w:pPr>
            <w:r>
              <w:rPr>
                <w:spacing w:val="-2"/>
                <w:sz w:val="20"/>
              </w:rPr>
              <w:t>0.0012</w:t>
            </w:r>
          </w:p>
        </w:tc>
      </w:tr>
      <w:tr>
        <w:trPr>
          <w:trHeight w:val="275" w:hRule="atLeast"/>
        </w:trPr>
        <w:tc>
          <w:tcPr>
            <w:tcW w:w="1847" w:type="dxa"/>
            <w:tcBorders>
              <w:top w:val="double" w:sz="6" w:space="0" w:color="000000"/>
            </w:tcBorders>
          </w:tcPr>
          <w:p>
            <w:pPr>
              <w:pStyle w:val="TableParagraph"/>
              <w:spacing w:line="215" w:lineRule="exact" w:before="40"/>
              <w:ind w:left="36"/>
              <w:rPr>
                <w:sz w:val="20"/>
              </w:rPr>
            </w:pPr>
            <w:r>
              <w:rPr>
                <w:spacing w:val="-2"/>
                <w:sz w:val="20"/>
              </w:rPr>
              <w:t>R-squared</w:t>
            </w:r>
          </w:p>
        </w:tc>
        <w:tc>
          <w:tcPr>
            <w:tcW w:w="1375" w:type="dxa"/>
            <w:tcBorders>
              <w:top w:val="double" w:sz="6" w:space="0" w:color="000000"/>
            </w:tcBorders>
          </w:tcPr>
          <w:p>
            <w:pPr>
              <w:pStyle w:val="TableParagraph"/>
              <w:spacing w:line="215" w:lineRule="exact" w:before="40"/>
              <w:ind w:right="128"/>
              <w:jc w:val="right"/>
              <w:rPr>
                <w:sz w:val="20"/>
              </w:rPr>
            </w:pPr>
            <w:r>
              <w:rPr>
                <w:spacing w:val="-2"/>
                <w:sz w:val="20"/>
              </w:rPr>
              <w:t>0.461602</w:t>
            </w:r>
          </w:p>
        </w:tc>
        <w:tc>
          <w:tcPr>
            <w:tcW w:w="2336" w:type="dxa"/>
            <w:gridSpan w:val="2"/>
            <w:tcBorders>
              <w:top w:val="double" w:sz="6" w:space="0" w:color="000000"/>
            </w:tcBorders>
          </w:tcPr>
          <w:p>
            <w:pPr>
              <w:pStyle w:val="TableParagraph"/>
              <w:spacing w:line="215" w:lineRule="exact" w:before="40"/>
              <w:ind w:left="131"/>
              <w:rPr>
                <w:sz w:val="20"/>
              </w:rPr>
            </w:pPr>
            <w:r>
              <w:rPr>
                <w:sz w:val="20"/>
              </w:rPr>
              <w:t>Mean</w:t>
            </w:r>
            <w:r>
              <w:rPr>
                <w:spacing w:val="-7"/>
                <w:sz w:val="20"/>
              </w:rPr>
              <w:t> </w:t>
            </w:r>
            <w:r>
              <w:rPr>
                <w:sz w:val="20"/>
              </w:rPr>
              <w:t>dependent</w:t>
            </w:r>
            <w:r>
              <w:rPr>
                <w:spacing w:val="-7"/>
                <w:sz w:val="20"/>
              </w:rPr>
              <w:t> </w:t>
            </w:r>
            <w:r>
              <w:rPr>
                <w:spacing w:val="-5"/>
                <w:sz w:val="20"/>
              </w:rPr>
              <w:t>var</w:t>
            </w:r>
          </w:p>
        </w:tc>
        <w:tc>
          <w:tcPr>
            <w:tcW w:w="929" w:type="dxa"/>
            <w:tcBorders>
              <w:top w:val="double" w:sz="6" w:space="0" w:color="000000"/>
            </w:tcBorders>
          </w:tcPr>
          <w:p>
            <w:pPr>
              <w:pStyle w:val="TableParagraph"/>
              <w:spacing w:line="215" w:lineRule="exact" w:before="40"/>
              <w:ind w:right="27"/>
              <w:jc w:val="right"/>
              <w:rPr>
                <w:sz w:val="20"/>
              </w:rPr>
            </w:pPr>
            <w:r>
              <w:rPr>
                <w:spacing w:val="-2"/>
                <w:sz w:val="20"/>
              </w:rPr>
              <w:t>0.000564</w:t>
            </w:r>
          </w:p>
        </w:tc>
      </w:tr>
      <w:tr>
        <w:trPr>
          <w:trHeight w:val="230" w:hRule="atLeast"/>
        </w:trPr>
        <w:tc>
          <w:tcPr>
            <w:tcW w:w="1847" w:type="dxa"/>
          </w:tcPr>
          <w:p>
            <w:pPr>
              <w:pStyle w:val="TableParagraph"/>
              <w:spacing w:line="211" w:lineRule="exact"/>
              <w:ind w:left="36"/>
              <w:rPr>
                <w:sz w:val="20"/>
              </w:rPr>
            </w:pPr>
            <w:r>
              <w:rPr>
                <w:sz w:val="20"/>
              </w:rPr>
              <w:t>Adjusted</w:t>
            </w:r>
            <w:r>
              <w:rPr>
                <w:spacing w:val="-10"/>
                <w:sz w:val="20"/>
              </w:rPr>
              <w:t> </w:t>
            </w:r>
            <w:r>
              <w:rPr>
                <w:sz w:val="20"/>
              </w:rPr>
              <w:t>R-</w:t>
            </w:r>
            <w:r>
              <w:rPr>
                <w:spacing w:val="-2"/>
                <w:sz w:val="20"/>
              </w:rPr>
              <w:t>squared</w:t>
            </w:r>
          </w:p>
        </w:tc>
        <w:tc>
          <w:tcPr>
            <w:tcW w:w="1375" w:type="dxa"/>
          </w:tcPr>
          <w:p>
            <w:pPr>
              <w:pStyle w:val="TableParagraph"/>
              <w:spacing w:line="211" w:lineRule="exact"/>
              <w:ind w:right="128"/>
              <w:jc w:val="right"/>
              <w:rPr>
                <w:sz w:val="20"/>
              </w:rPr>
            </w:pPr>
            <w:r>
              <w:rPr>
                <w:spacing w:val="-2"/>
                <w:sz w:val="20"/>
              </w:rPr>
              <w:t>0.431691</w:t>
            </w:r>
          </w:p>
        </w:tc>
        <w:tc>
          <w:tcPr>
            <w:tcW w:w="2336" w:type="dxa"/>
            <w:gridSpan w:val="2"/>
          </w:tcPr>
          <w:p>
            <w:pPr>
              <w:pStyle w:val="TableParagraph"/>
              <w:spacing w:line="211" w:lineRule="exact"/>
              <w:ind w:left="131"/>
              <w:rPr>
                <w:sz w:val="20"/>
              </w:rPr>
            </w:pPr>
            <w:r>
              <w:rPr>
                <w:sz w:val="20"/>
              </w:rPr>
              <w:t>S.D.</w:t>
            </w:r>
            <w:r>
              <w:rPr>
                <w:spacing w:val="-5"/>
                <w:sz w:val="20"/>
              </w:rPr>
              <w:t> </w:t>
            </w:r>
            <w:r>
              <w:rPr>
                <w:sz w:val="20"/>
              </w:rPr>
              <w:t>dependent</w:t>
            </w:r>
            <w:r>
              <w:rPr>
                <w:spacing w:val="-6"/>
                <w:sz w:val="20"/>
              </w:rPr>
              <w:t> </w:t>
            </w:r>
            <w:r>
              <w:rPr>
                <w:spacing w:val="-5"/>
                <w:sz w:val="20"/>
              </w:rPr>
              <w:t>var</w:t>
            </w:r>
          </w:p>
        </w:tc>
        <w:tc>
          <w:tcPr>
            <w:tcW w:w="929" w:type="dxa"/>
          </w:tcPr>
          <w:p>
            <w:pPr>
              <w:pStyle w:val="TableParagraph"/>
              <w:spacing w:line="211" w:lineRule="exact"/>
              <w:ind w:right="27"/>
              <w:jc w:val="right"/>
              <w:rPr>
                <w:sz w:val="20"/>
              </w:rPr>
            </w:pPr>
            <w:r>
              <w:rPr>
                <w:spacing w:val="-2"/>
                <w:sz w:val="20"/>
              </w:rPr>
              <w:t>0.252172</w:t>
            </w:r>
          </w:p>
        </w:tc>
      </w:tr>
      <w:tr>
        <w:trPr>
          <w:trHeight w:val="230" w:hRule="atLeast"/>
        </w:trPr>
        <w:tc>
          <w:tcPr>
            <w:tcW w:w="1847" w:type="dxa"/>
          </w:tcPr>
          <w:p>
            <w:pPr>
              <w:pStyle w:val="TableParagraph"/>
              <w:spacing w:line="210" w:lineRule="exact"/>
              <w:ind w:left="36"/>
              <w:rPr>
                <w:sz w:val="20"/>
              </w:rPr>
            </w:pPr>
            <w:r>
              <w:rPr>
                <w:sz w:val="20"/>
              </w:rPr>
              <w:t>S.E.</w:t>
            </w:r>
            <w:r>
              <w:rPr>
                <w:spacing w:val="-3"/>
                <w:sz w:val="20"/>
              </w:rPr>
              <w:t> </w:t>
            </w:r>
            <w:r>
              <w:rPr>
                <w:sz w:val="20"/>
              </w:rPr>
              <w:t>of</w:t>
            </w:r>
            <w:r>
              <w:rPr>
                <w:spacing w:val="-3"/>
                <w:sz w:val="20"/>
              </w:rPr>
              <w:t> </w:t>
            </w:r>
            <w:r>
              <w:rPr>
                <w:spacing w:val="-2"/>
                <w:sz w:val="20"/>
              </w:rPr>
              <w:t>regression</w:t>
            </w:r>
          </w:p>
        </w:tc>
        <w:tc>
          <w:tcPr>
            <w:tcW w:w="1375" w:type="dxa"/>
          </w:tcPr>
          <w:p>
            <w:pPr>
              <w:pStyle w:val="TableParagraph"/>
              <w:spacing w:line="210" w:lineRule="exact"/>
              <w:ind w:right="128"/>
              <w:jc w:val="right"/>
              <w:rPr>
                <w:sz w:val="20"/>
              </w:rPr>
            </w:pPr>
            <w:r>
              <w:rPr>
                <w:spacing w:val="-2"/>
                <w:sz w:val="20"/>
              </w:rPr>
              <w:t>0.190103</w:t>
            </w:r>
          </w:p>
        </w:tc>
        <w:tc>
          <w:tcPr>
            <w:tcW w:w="2336" w:type="dxa"/>
            <w:gridSpan w:val="2"/>
          </w:tcPr>
          <w:p>
            <w:pPr>
              <w:pStyle w:val="TableParagraph"/>
              <w:spacing w:line="210" w:lineRule="exact"/>
              <w:ind w:left="131"/>
              <w:rPr>
                <w:sz w:val="20"/>
              </w:rPr>
            </w:pPr>
            <w:r>
              <w:rPr>
                <w:sz w:val="20"/>
              </w:rPr>
              <w:t>Akaike</w:t>
            </w:r>
            <w:r>
              <w:rPr>
                <w:spacing w:val="-8"/>
                <w:sz w:val="20"/>
              </w:rPr>
              <w:t> </w:t>
            </w:r>
            <w:r>
              <w:rPr>
                <w:sz w:val="20"/>
              </w:rPr>
              <w:t>info</w:t>
            </w:r>
            <w:r>
              <w:rPr>
                <w:spacing w:val="-7"/>
                <w:sz w:val="20"/>
              </w:rPr>
              <w:t> </w:t>
            </w:r>
            <w:r>
              <w:rPr>
                <w:spacing w:val="-2"/>
                <w:sz w:val="20"/>
              </w:rPr>
              <w:t>criterion</w:t>
            </w:r>
          </w:p>
        </w:tc>
        <w:tc>
          <w:tcPr>
            <w:tcW w:w="929" w:type="dxa"/>
          </w:tcPr>
          <w:p>
            <w:pPr>
              <w:pStyle w:val="TableParagraph"/>
              <w:spacing w:line="210" w:lineRule="exact"/>
              <w:ind w:right="27"/>
              <w:jc w:val="right"/>
              <w:rPr>
                <w:sz w:val="20"/>
              </w:rPr>
            </w:pPr>
            <w:r>
              <w:rPr>
                <w:spacing w:val="-4"/>
                <w:sz w:val="20"/>
              </w:rPr>
              <w:t>-</w:t>
            </w:r>
            <w:r>
              <w:rPr>
                <w:spacing w:val="-2"/>
                <w:sz w:val="20"/>
              </w:rPr>
              <w:t>0.408694</w:t>
            </w:r>
          </w:p>
        </w:tc>
      </w:tr>
      <w:tr>
        <w:trPr>
          <w:trHeight w:val="229" w:hRule="atLeast"/>
        </w:trPr>
        <w:tc>
          <w:tcPr>
            <w:tcW w:w="1847" w:type="dxa"/>
          </w:tcPr>
          <w:p>
            <w:pPr>
              <w:pStyle w:val="TableParagraph"/>
              <w:spacing w:line="209" w:lineRule="exact"/>
              <w:ind w:left="36"/>
              <w:rPr>
                <w:sz w:val="20"/>
              </w:rPr>
            </w:pPr>
            <w:r>
              <w:rPr>
                <w:sz w:val="20"/>
              </w:rPr>
              <w:t>Sum</w:t>
            </w:r>
            <w:r>
              <w:rPr>
                <w:spacing w:val="-8"/>
                <w:sz w:val="20"/>
              </w:rPr>
              <w:t> </w:t>
            </w:r>
            <w:r>
              <w:rPr>
                <w:sz w:val="20"/>
              </w:rPr>
              <w:t>squared</w:t>
            </w:r>
            <w:r>
              <w:rPr>
                <w:spacing w:val="-4"/>
                <w:sz w:val="20"/>
              </w:rPr>
              <w:t> </w:t>
            </w:r>
            <w:r>
              <w:rPr>
                <w:spacing w:val="-2"/>
                <w:sz w:val="20"/>
              </w:rPr>
              <w:t>resid</w:t>
            </w:r>
          </w:p>
        </w:tc>
        <w:tc>
          <w:tcPr>
            <w:tcW w:w="1375" w:type="dxa"/>
          </w:tcPr>
          <w:p>
            <w:pPr>
              <w:pStyle w:val="TableParagraph"/>
              <w:spacing w:line="209" w:lineRule="exact"/>
              <w:ind w:right="128"/>
              <w:jc w:val="right"/>
              <w:rPr>
                <w:sz w:val="20"/>
              </w:rPr>
            </w:pPr>
            <w:r>
              <w:rPr>
                <w:spacing w:val="-2"/>
                <w:sz w:val="20"/>
              </w:rPr>
              <w:t>1.301014</w:t>
            </w:r>
          </w:p>
        </w:tc>
        <w:tc>
          <w:tcPr>
            <w:tcW w:w="2336" w:type="dxa"/>
            <w:gridSpan w:val="2"/>
          </w:tcPr>
          <w:p>
            <w:pPr>
              <w:pStyle w:val="TableParagraph"/>
              <w:spacing w:line="209" w:lineRule="exact"/>
              <w:ind w:left="131"/>
              <w:rPr>
                <w:sz w:val="20"/>
              </w:rPr>
            </w:pPr>
            <w:r>
              <w:rPr>
                <w:sz w:val="20"/>
              </w:rPr>
              <w:t>Schwarz</w:t>
            </w:r>
            <w:r>
              <w:rPr>
                <w:spacing w:val="-8"/>
                <w:sz w:val="20"/>
              </w:rPr>
              <w:t> </w:t>
            </w:r>
            <w:r>
              <w:rPr>
                <w:spacing w:val="-2"/>
                <w:sz w:val="20"/>
              </w:rPr>
              <w:t>criterion</w:t>
            </w:r>
          </w:p>
        </w:tc>
        <w:tc>
          <w:tcPr>
            <w:tcW w:w="929" w:type="dxa"/>
          </w:tcPr>
          <w:p>
            <w:pPr>
              <w:pStyle w:val="TableParagraph"/>
              <w:spacing w:line="209" w:lineRule="exact"/>
              <w:ind w:right="27"/>
              <w:jc w:val="right"/>
              <w:rPr>
                <w:sz w:val="20"/>
              </w:rPr>
            </w:pPr>
            <w:r>
              <w:rPr>
                <w:spacing w:val="-4"/>
                <w:sz w:val="20"/>
              </w:rPr>
              <w:t>-</w:t>
            </w:r>
            <w:r>
              <w:rPr>
                <w:spacing w:val="-2"/>
                <w:sz w:val="20"/>
              </w:rPr>
              <w:t>0.280728</w:t>
            </w:r>
          </w:p>
        </w:tc>
      </w:tr>
      <w:tr>
        <w:trPr>
          <w:trHeight w:val="229" w:hRule="atLeast"/>
        </w:trPr>
        <w:tc>
          <w:tcPr>
            <w:tcW w:w="1847" w:type="dxa"/>
          </w:tcPr>
          <w:p>
            <w:pPr>
              <w:pStyle w:val="TableParagraph"/>
              <w:spacing w:line="209" w:lineRule="exact"/>
              <w:ind w:left="36"/>
              <w:rPr>
                <w:sz w:val="20"/>
              </w:rPr>
            </w:pPr>
            <w:r>
              <w:rPr>
                <w:sz w:val="20"/>
              </w:rPr>
              <w:t>Log</w:t>
            </w:r>
            <w:r>
              <w:rPr>
                <w:spacing w:val="-6"/>
                <w:sz w:val="20"/>
              </w:rPr>
              <w:t> </w:t>
            </w:r>
            <w:r>
              <w:rPr>
                <w:spacing w:val="-2"/>
                <w:sz w:val="20"/>
              </w:rPr>
              <w:t>likelihood</w:t>
            </w:r>
          </w:p>
        </w:tc>
        <w:tc>
          <w:tcPr>
            <w:tcW w:w="1375" w:type="dxa"/>
          </w:tcPr>
          <w:p>
            <w:pPr>
              <w:pStyle w:val="TableParagraph"/>
              <w:spacing w:line="209" w:lineRule="exact"/>
              <w:ind w:right="128"/>
              <w:jc w:val="right"/>
              <w:rPr>
                <w:sz w:val="20"/>
              </w:rPr>
            </w:pPr>
            <w:r>
              <w:rPr>
                <w:spacing w:val="-2"/>
                <w:sz w:val="20"/>
              </w:rPr>
              <w:t>10.96954</w:t>
            </w:r>
          </w:p>
        </w:tc>
        <w:tc>
          <w:tcPr>
            <w:tcW w:w="1432" w:type="dxa"/>
          </w:tcPr>
          <w:p>
            <w:pPr>
              <w:pStyle w:val="TableParagraph"/>
              <w:spacing w:line="209" w:lineRule="exact"/>
              <w:ind w:left="131"/>
              <w:rPr>
                <w:sz w:val="20"/>
              </w:rPr>
            </w:pPr>
            <w:r>
              <w:rPr>
                <w:spacing w:val="-4"/>
                <w:sz w:val="20"/>
              </w:rPr>
              <w:t>F-</w:t>
            </w:r>
            <w:r>
              <w:rPr>
                <w:spacing w:val="-2"/>
                <w:sz w:val="20"/>
              </w:rPr>
              <w:t>statistic</w:t>
            </w:r>
          </w:p>
        </w:tc>
        <w:tc>
          <w:tcPr>
            <w:tcW w:w="904" w:type="dxa"/>
          </w:tcPr>
          <w:p>
            <w:pPr>
              <w:pStyle w:val="TableParagraph"/>
              <w:rPr>
                <w:sz w:val="16"/>
              </w:rPr>
            </w:pPr>
          </w:p>
        </w:tc>
        <w:tc>
          <w:tcPr>
            <w:tcW w:w="929" w:type="dxa"/>
          </w:tcPr>
          <w:p>
            <w:pPr>
              <w:pStyle w:val="TableParagraph"/>
              <w:spacing w:line="209" w:lineRule="exact"/>
              <w:ind w:right="27"/>
              <w:jc w:val="right"/>
              <w:rPr>
                <w:sz w:val="20"/>
              </w:rPr>
            </w:pPr>
            <w:r>
              <w:rPr>
                <w:spacing w:val="-2"/>
                <w:sz w:val="20"/>
              </w:rPr>
              <w:t>15.43252</w:t>
            </w:r>
          </w:p>
        </w:tc>
      </w:tr>
      <w:tr>
        <w:trPr>
          <w:trHeight w:val="267" w:hRule="atLeast"/>
        </w:trPr>
        <w:tc>
          <w:tcPr>
            <w:tcW w:w="1847" w:type="dxa"/>
            <w:tcBorders>
              <w:bottom w:val="double" w:sz="6" w:space="0" w:color="000000"/>
            </w:tcBorders>
          </w:tcPr>
          <w:p>
            <w:pPr>
              <w:pStyle w:val="TableParagraph"/>
              <w:spacing w:line="226" w:lineRule="exact"/>
              <w:ind w:left="36"/>
              <w:rPr>
                <w:sz w:val="20"/>
              </w:rPr>
            </w:pPr>
            <w:r>
              <w:rPr>
                <w:sz w:val="20"/>
              </w:rPr>
              <w:t>Durbin-Watson</w:t>
            </w:r>
            <w:r>
              <w:rPr>
                <w:spacing w:val="-12"/>
                <w:sz w:val="20"/>
              </w:rPr>
              <w:t> </w:t>
            </w:r>
            <w:r>
              <w:rPr>
                <w:spacing w:val="-4"/>
                <w:sz w:val="20"/>
              </w:rPr>
              <w:t>stat</w:t>
            </w:r>
          </w:p>
        </w:tc>
        <w:tc>
          <w:tcPr>
            <w:tcW w:w="1375" w:type="dxa"/>
          </w:tcPr>
          <w:p>
            <w:pPr>
              <w:pStyle w:val="TableParagraph"/>
              <w:spacing w:line="226" w:lineRule="exact"/>
              <w:ind w:right="128"/>
              <w:jc w:val="right"/>
              <w:rPr>
                <w:sz w:val="20"/>
              </w:rPr>
            </w:pPr>
            <w:r>
              <w:rPr>
                <w:spacing w:val="-2"/>
                <w:sz w:val="20"/>
              </w:rPr>
              <w:t>1.992171</w:t>
            </w:r>
          </w:p>
        </w:tc>
        <w:tc>
          <w:tcPr>
            <w:tcW w:w="1432" w:type="dxa"/>
            <w:tcBorders>
              <w:bottom w:val="double" w:sz="6" w:space="0" w:color="000000"/>
            </w:tcBorders>
          </w:tcPr>
          <w:p>
            <w:pPr>
              <w:pStyle w:val="TableParagraph"/>
              <w:spacing w:line="226" w:lineRule="exact"/>
              <w:ind w:left="131"/>
              <w:rPr>
                <w:sz w:val="20"/>
              </w:rPr>
            </w:pPr>
            <w:r>
              <w:rPr>
                <w:spacing w:val="-2"/>
                <w:sz w:val="20"/>
              </w:rPr>
              <w:t>Prob(F-statistic)</w:t>
            </w:r>
          </w:p>
        </w:tc>
        <w:tc>
          <w:tcPr>
            <w:tcW w:w="904" w:type="dxa"/>
            <w:tcBorders>
              <w:bottom w:val="double" w:sz="6" w:space="0" w:color="000000"/>
            </w:tcBorders>
          </w:tcPr>
          <w:p>
            <w:pPr>
              <w:pStyle w:val="TableParagraph"/>
              <w:rPr>
                <w:sz w:val="18"/>
              </w:rPr>
            </w:pPr>
          </w:p>
        </w:tc>
        <w:tc>
          <w:tcPr>
            <w:tcW w:w="929" w:type="dxa"/>
            <w:tcBorders>
              <w:bottom w:val="double" w:sz="6" w:space="0" w:color="000000"/>
            </w:tcBorders>
          </w:tcPr>
          <w:p>
            <w:pPr>
              <w:pStyle w:val="TableParagraph"/>
              <w:spacing w:line="226" w:lineRule="exact"/>
              <w:ind w:right="27"/>
              <w:jc w:val="right"/>
              <w:rPr>
                <w:sz w:val="20"/>
              </w:rPr>
            </w:pPr>
            <w:r>
              <w:rPr>
                <w:spacing w:val="-2"/>
                <w:sz w:val="20"/>
              </w:rPr>
              <w:t>0.000014</w:t>
            </w:r>
          </w:p>
        </w:tc>
      </w:tr>
    </w:tbl>
    <w:p>
      <w:pPr>
        <w:spacing w:after="0" w:line="226" w:lineRule="exact"/>
        <w:jc w:val="right"/>
        <w:rPr>
          <w:sz w:val="20"/>
        </w:rPr>
        <w:sectPr>
          <w:pgSz w:w="11910" w:h="16840"/>
          <w:pgMar w:header="0" w:footer="979" w:top="1360" w:bottom="1240" w:left="280" w:right="0"/>
        </w:sectPr>
      </w:pPr>
    </w:p>
    <w:p>
      <w:pPr>
        <w:spacing w:before="62" w:after="3"/>
        <w:ind w:left="711" w:right="0" w:firstLine="0"/>
        <w:jc w:val="left"/>
        <w:rPr>
          <w:sz w:val="20"/>
        </w:rPr>
      </w:pPr>
      <w:r>
        <w:rPr>
          <w:sz w:val="20"/>
        </w:rPr>
        <w:t>EXTDEBT</w:t>
      </w:r>
      <w:r>
        <w:rPr>
          <w:spacing w:val="-6"/>
          <w:sz w:val="20"/>
        </w:rPr>
        <w:t> </w:t>
      </w:r>
      <w:r>
        <w:rPr>
          <w:sz w:val="20"/>
        </w:rPr>
        <w:t>@</w:t>
      </w:r>
      <w:r>
        <w:rPr>
          <w:spacing w:val="-5"/>
          <w:sz w:val="20"/>
        </w:rPr>
        <w:t> </w:t>
      </w:r>
      <w:r>
        <w:rPr>
          <w:spacing w:val="-4"/>
          <w:sz w:val="20"/>
        </w:rPr>
        <w:t>LEVEL</w:t>
      </w:r>
    </w:p>
    <w:tbl>
      <w:tblPr>
        <w:tblW w:w="0" w:type="auto"/>
        <w:jc w:val="left"/>
        <w:tblInd w:w="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17"/>
        <w:gridCol w:w="1305"/>
        <w:gridCol w:w="1432"/>
        <w:gridCol w:w="936"/>
        <w:gridCol w:w="896"/>
      </w:tblGrid>
      <w:tr>
        <w:trPr>
          <w:trHeight w:val="224" w:hRule="atLeast"/>
        </w:trPr>
        <w:tc>
          <w:tcPr>
            <w:tcW w:w="1917" w:type="dxa"/>
          </w:tcPr>
          <w:p>
            <w:pPr>
              <w:pStyle w:val="TableParagraph"/>
              <w:spacing w:line="204" w:lineRule="exact"/>
              <w:ind w:left="36"/>
              <w:rPr>
                <w:sz w:val="20"/>
              </w:rPr>
            </w:pPr>
            <w:r>
              <w:rPr>
                <w:sz w:val="20"/>
              </w:rPr>
              <w:t>ADF</w:t>
            </w:r>
            <w:r>
              <w:rPr>
                <w:spacing w:val="-4"/>
                <w:sz w:val="20"/>
              </w:rPr>
              <w:t> </w:t>
            </w:r>
            <w:r>
              <w:rPr>
                <w:sz w:val="20"/>
              </w:rPr>
              <w:t>Test</w:t>
            </w:r>
            <w:r>
              <w:rPr>
                <w:spacing w:val="-3"/>
                <w:sz w:val="20"/>
              </w:rPr>
              <w:t> </w:t>
            </w:r>
            <w:r>
              <w:rPr>
                <w:spacing w:val="-2"/>
                <w:sz w:val="20"/>
              </w:rPr>
              <w:t>Statistic</w:t>
            </w:r>
          </w:p>
        </w:tc>
        <w:tc>
          <w:tcPr>
            <w:tcW w:w="1305" w:type="dxa"/>
          </w:tcPr>
          <w:p>
            <w:pPr>
              <w:pStyle w:val="TableParagraph"/>
              <w:spacing w:line="204" w:lineRule="exact"/>
              <w:ind w:left="149"/>
              <w:rPr>
                <w:sz w:val="20"/>
              </w:rPr>
            </w:pPr>
            <w:r>
              <w:rPr>
                <w:spacing w:val="-4"/>
                <w:sz w:val="20"/>
              </w:rPr>
              <w:t>-</w:t>
            </w:r>
            <w:r>
              <w:rPr>
                <w:spacing w:val="-2"/>
                <w:sz w:val="20"/>
              </w:rPr>
              <w:t>2.201592</w:t>
            </w:r>
          </w:p>
        </w:tc>
        <w:tc>
          <w:tcPr>
            <w:tcW w:w="2368" w:type="dxa"/>
            <w:gridSpan w:val="2"/>
          </w:tcPr>
          <w:p>
            <w:pPr>
              <w:pStyle w:val="TableParagraph"/>
              <w:spacing w:line="204" w:lineRule="exact"/>
              <w:ind w:left="131"/>
              <w:rPr>
                <w:sz w:val="20"/>
              </w:rPr>
            </w:pPr>
            <w:r>
              <w:rPr>
                <w:sz w:val="20"/>
              </w:rPr>
              <w:t>1%</w:t>
            </w:r>
            <w:r>
              <w:rPr>
                <w:spacing w:val="68"/>
                <w:w w:val="150"/>
                <w:sz w:val="20"/>
              </w:rPr>
              <w:t> </w:t>
            </w:r>
            <w:r>
              <w:rPr>
                <w:sz w:val="20"/>
              </w:rPr>
              <w:t>Critical</w:t>
            </w:r>
            <w:r>
              <w:rPr>
                <w:spacing w:val="-2"/>
                <w:sz w:val="20"/>
              </w:rPr>
              <w:t> Value*</w:t>
            </w:r>
          </w:p>
        </w:tc>
        <w:tc>
          <w:tcPr>
            <w:tcW w:w="896" w:type="dxa"/>
          </w:tcPr>
          <w:p>
            <w:pPr>
              <w:pStyle w:val="TableParagraph"/>
              <w:spacing w:line="204" w:lineRule="exact"/>
              <w:ind w:right="26"/>
              <w:jc w:val="right"/>
              <w:rPr>
                <w:sz w:val="20"/>
              </w:rPr>
            </w:pPr>
            <w:r>
              <w:rPr>
                <w:spacing w:val="-4"/>
                <w:sz w:val="20"/>
              </w:rPr>
              <w:t>-</w:t>
            </w:r>
            <w:r>
              <w:rPr>
                <w:spacing w:val="-2"/>
                <w:sz w:val="20"/>
              </w:rPr>
              <w:t>3.6019</w:t>
            </w:r>
          </w:p>
        </w:tc>
      </w:tr>
      <w:tr>
        <w:trPr>
          <w:trHeight w:val="229" w:hRule="atLeast"/>
        </w:trPr>
        <w:tc>
          <w:tcPr>
            <w:tcW w:w="1917" w:type="dxa"/>
          </w:tcPr>
          <w:p>
            <w:pPr>
              <w:pStyle w:val="TableParagraph"/>
              <w:rPr>
                <w:sz w:val="16"/>
              </w:rPr>
            </w:pPr>
          </w:p>
        </w:tc>
        <w:tc>
          <w:tcPr>
            <w:tcW w:w="1305" w:type="dxa"/>
          </w:tcPr>
          <w:p>
            <w:pPr>
              <w:pStyle w:val="TableParagraph"/>
              <w:rPr>
                <w:sz w:val="16"/>
              </w:rPr>
            </w:pPr>
          </w:p>
        </w:tc>
        <w:tc>
          <w:tcPr>
            <w:tcW w:w="2368" w:type="dxa"/>
            <w:gridSpan w:val="2"/>
          </w:tcPr>
          <w:p>
            <w:pPr>
              <w:pStyle w:val="TableParagraph"/>
              <w:spacing w:line="209" w:lineRule="exact"/>
              <w:ind w:left="131"/>
              <w:rPr>
                <w:sz w:val="20"/>
              </w:rPr>
            </w:pPr>
            <w:r>
              <w:rPr>
                <w:sz w:val="20"/>
              </w:rPr>
              <w:t>5%</w:t>
            </w:r>
            <w:r>
              <w:rPr>
                <w:spacing w:val="68"/>
                <w:w w:val="150"/>
                <w:sz w:val="20"/>
              </w:rPr>
              <w:t> </w:t>
            </w:r>
            <w:r>
              <w:rPr>
                <w:sz w:val="20"/>
              </w:rPr>
              <w:t>Critical</w:t>
            </w:r>
            <w:r>
              <w:rPr>
                <w:spacing w:val="-2"/>
                <w:sz w:val="20"/>
              </w:rPr>
              <w:t> </w:t>
            </w:r>
            <w:r>
              <w:rPr>
                <w:spacing w:val="-4"/>
                <w:sz w:val="20"/>
              </w:rPr>
              <w:t>Value</w:t>
            </w:r>
          </w:p>
        </w:tc>
        <w:tc>
          <w:tcPr>
            <w:tcW w:w="896" w:type="dxa"/>
          </w:tcPr>
          <w:p>
            <w:pPr>
              <w:pStyle w:val="TableParagraph"/>
              <w:spacing w:line="209" w:lineRule="exact"/>
              <w:ind w:right="26"/>
              <w:jc w:val="right"/>
              <w:rPr>
                <w:sz w:val="20"/>
              </w:rPr>
            </w:pPr>
            <w:r>
              <w:rPr>
                <w:spacing w:val="-4"/>
                <w:sz w:val="20"/>
              </w:rPr>
              <w:t>-</w:t>
            </w:r>
            <w:r>
              <w:rPr>
                <w:spacing w:val="-2"/>
                <w:sz w:val="20"/>
              </w:rPr>
              <w:t>2.9358</w:t>
            </w:r>
          </w:p>
        </w:tc>
      </w:tr>
      <w:tr>
        <w:trPr>
          <w:trHeight w:val="224" w:hRule="atLeast"/>
        </w:trPr>
        <w:tc>
          <w:tcPr>
            <w:tcW w:w="1917" w:type="dxa"/>
            <w:tcBorders>
              <w:bottom w:val="double" w:sz="6" w:space="0" w:color="000000"/>
            </w:tcBorders>
          </w:tcPr>
          <w:p>
            <w:pPr>
              <w:pStyle w:val="TableParagraph"/>
              <w:rPr>
                <w:sz w:val="16"/>
              </w:rPr>
            </w:pPr>
          </w:p>
        </w:tc>
        <w:tc>
          <w:tcPr>
            <w:tcW w:w="1305" w:type="dxa"/>
            <w:tcBorders>
              <w:bottom w:val="double" w:sz="6" w:space="0" w:color="000000"/>
            </w:tcBorders>
          </w:tcPr>
          <w:p>
            <w:pPr>
              <w:pStyle w:val="TableParagraph"/>
              <w:rPr>
                <w:sz w:val="16"/>
              </w:rPr>
            </w:pPr>
          </w:p>
        </w:tc>
        <w:tc>
          <w:tcPr>
            <w:tcW w:w="2368" w:type="dxa"/>
            <w:gridSpan w:val="2"/>
            <w:tcBorders>
              <w:bottom w:val="double" w:sz="6" w:space="0" w:color="000000"/>
            </w:tcBorders>
          </w:tcPr>
          <w:p>
            <w:pPr>
              <w:pStyle w:val="TableParagraph"/>
              <w:spacing w:line="205" w:lineRule="exact"/>
              <w:ind w:left="131"/>
              <w:rPr>
                <w:sz w:val="20"/>
              </w:rPr>
            </w:pPr>
            <w:r>
              <w:rPr>
                <w:sz w:val="20"/>
              </w:rPr>
              <w:t>10%</w:t>
            </w:r>
            <w:r>
              <w:rPr>
                <w:spacing w:val="-6"/>
                <w:sz w:val="20"/>
              </w:rPr>
              <w:t> </w:t>
            </w:r>
            <w:r>
              <w:rPr>
                <w:sz w:val="20"/>
              </w:rPr>
              <w:t>Critical</w:t>
            </w:r>
            <w:r>
              <w:rPr>
                <w:spacing w:val="-4"/>
                <w:sz w:val="20"/>
              </w:rPr>
              <w:t> </w:t>
            </w:r>
            <w:r>
              <w:rPr>
                <w:spacing w:val="-2"/>
                <w:sz w:val="20"/>
              </w:rPr>
              <w:t>Value</w:t>
            </w:r>
          </w:p>
        </w:tc>
        <w:tc>
          <w:tcPr>
            <w:tcW w:w="896" w:type="dxa"/>
            <w:tcBorders>
              <w:bottom w:val="double" w:sz="6" w:space="0" w:color="000000"/>
            </w:tcBorders>
          </w:tcPr>
          <w:p>
            <w:pPr>
              <w:pStyle w:val="TableParagraph"/>
              <w:spacing w:line="205" w:lineRule="exact"/>
              <w:ind w:right="26"/>
              <w:jc w:val="right"/>
              <w:rPr>
                <w:sz w:val="20"/>
              </w:rPr>
            </w:pPr>
            <w:r>
              <w:rPr>
                <w:spacing w:val="-4"/>
                <w:sz w:val="20"/>
              </w:rPr>
              <w:t>-</w:t>
            </w:r>
            <w:r>
              <w:rPr>
                <w:spacing w:val="-2"/>
                <w:sz w:val="20"/>
              </w:rPr>
              <w:t>2.6059</w:t>
            </w:r>
          </w:p>
        </w:tc>
      </w:tr>
      <w:tr>
        <w:trPr>
          <w:trHeight w:val="506" w:hRule="atLeast"/>
        </w:trPr>
        <w:tc>
          <w:tcPr>
            <w:tcW w:w="6486" w:type="dxa"/>
            <w:gridSpan w:val="5"/>
            <w:tcBorders>
              <w:top w:val="double" w:sz="6" w:space="0" w:color="000000"/>
            </w:tcBorders>
          </w:tcPr>
          <w:p>
            <w:pPr>
              <w:pStyle w:val="TableParagraph"/>
              <w:spacing w:before="42"/>
              <w:ind w:left="36"/>
              <w:rPr>
                <w:sz w:val="20"/>
              </w:rPr>
            </w:pPr>
            <w:r>
              <w:rPr>
                <w:sz w:val="20"/>
              </w:rPr>
              <w:t>*MacKinnon</w:t>
            </w:r>
            <w:r>
              <w:rPr>
                <w:spacing w:val="-6"/>
                <w:sz w:val="20"/>
              </w:rPr>
              <w:t> </w:t>
            </w:r>
            <w:r>
              <w:rPr>
                <w:sz w:val="20"/>
              </w:rPr>
              <w:t>critical</w:t>
            </w:r>
            <w:r>
              <w:rPr>
                <w:spacing w:val="-4"/>
                <w:sz w:val="20"/>
              </w:rPr>
              <w:t> </w:t>
            </w:r>
            <w:r>
              <w:rPr>
                <w:sz w:val="20"/>
              </w:rPr>
              <w:t>values</w:t>
            </w:r>
            <w:r>
              <w:rPr>
                <w:spacing w:val="-6"/>
                <w:sz w:val="20"/>
              </w:rPr>
              <w:t> </w:t>
            </w:r>
            <w:r>
              <w:rPr>
                <w:sz w:val="20"/>
              </w:rPr>
              <w:t>for</w:t>
            </w:r>
            <w:r>
              <w:rPr>
                <w:spacing w:val="-4"/>
                <w:sz w:val="20"/>
              </w:rPr>
              <w:t> </w:t>
            </w:r>
            <w:r>
              <w:rPr>
                <w:sz w:val="20"/>
              </w:rPr>
              <w:t>rejection</w:t>
            </w:r>
            <w:r>
              <w:rPr>
                <w:spacing w:val="-6"/>
                <w:sz w:val="20"/>
              </w:rPr>
              <w:t> </w:t>
            </w:r>
            <w:r>
              <w:rPr>
                <w:sz w:val="20"/>
              </w:rPr>
              <w:t>of</w:t>
            </w:r>
            <w:r>
              <w:rPr>
                <w:spacing w:val="-6"/>
                <w:sz w:val="20"/>
              </w:rPr>
              <w:t> </w:t>
            </w:r>
            <w:r>
              <w:rPr>
                <w:sz w:val="20"/>
              </w:rPr>
              <w:t>hypothesis</w:t>
            </w:r>
            <w:r>
              <w:rPr>
                <w:spacing w:val="-6"/>
                <w:sz w:val="20"/>
              </w:rPr>
              <w:t> </w:t>
            </w:r>
            <w:r>
              <w:rPr>
                <w:sz w:val="20"/>
              </w:rPr>
              <w:t>of</w:t>
            </w:r>
            <w:r>
              <w:rPr>
                <w:spacing w:val="-6"/>
                <w:sz w:val="20"/>
              </w:rPr>
              <w:t> </w:t>
            </w:r>
            <w:r>
              <w:rPr>
                <w:sz w:val="20"/>
              </w:rPr>
              <w:t>a</w:t>
            </w:r>
            <w:r>
              <w:rPr>
                <w:spacing w:val="-4"/>
                <w:sz w:val="20"/>
              </w:rPr>
              <w:t> </w:t>
            </w:r>
            <w:r>
              <w:rPr>
                <w:sz w:val="20"/>
              </w:rPr>
              <w:t>unit</w:t>
            </w:r>
            <w:r>
              <w:rPr>
                <w:spacing w:val="-6"/>
                <w:sz w:val="20"/>
              </w:rPr>
              <w:t> </w:t>
            </w:r>
            <w:r>
              <w:rPr>
                <w:spacing w:val="-2"/>
                <w:sz w:val="20"/>
              </w:rPr>
              <w:t>root.</w:t>
            </w:r>
          </w:p>
        </w:tc>
      </w:tr>
      <w:tr>
        <w:trPr>
          <w:trHeight w:val="459" w:hRule="atLeast"/>
        </w:trPr>
        <w:tc>
          <w:tcPr>
            <w:tcW w:w="6486" w:type="dxa"/>
            <w:gridSpan w:val="5"/>
          </w:tcPr>
          <w:p>
            <w:pPr>
              <w:pStyle w:val="TableParagraph"/>
              <w:spacing w:line="215" w:lineRule="exact" w:before="225"/>
              <w:ind w:left="36"/>
              <w:rPr>
                <w:sz w:val="20"/>
              </w:rPr>
            </w:pPr>
            <w:r>
              <w:rPr>
                <w:sz w:val="20"/>
              </w:rPr>
              <w:t>Augmented</w:t>
            </w:r>
            <w:r>
              <w:rPr>
                <w:spacing w:val="-8"/>
                <w:sz w:val="20"/>
              </w:rPr>
              <w:t> </w:t>
            </w:r>
            <w:r>
              <w:rPr>
                <w:sz w:val="20"/>
              </w:rPr>
              <w:t>Dickey-Fuller</w:t>
            </w:r>
            <w:r>
              <w:rPr>
                <w:spacing w:val="-8"/>
                <w:sz w:val="20"/>
              </w:rPr>
              <w:t> </w:t>
            </w:r>
            <w:r>
              <w:rPr>
                <w:sz w:val="20"/>
              </w:rPr>
              <w:t>Test</w:t>
            </w:r>
            <w:r>
              <w:rPr>
                <w:spacing w:val="-9"/>
                <w:sz w:val="20"/>
              </w:rPr>
              <w:t> </w:t>
            </w:r>
            <w:r>
              <w:rPr>
                <w:spacing w:val="-2"/>
                <w:sz w:val="20"/>
              </w:rPr>
              <w:t>Equation</w:t>
            </w:r>
          </w:p>
        </w:tc>
      </w:tr>
      <w:tr>
        <w:trPr>
          <w:trHeight w:val="230" w:hRule="atLeast"/>
        </w:trPr>
        <w:tc>
          <w:tcPr>
            <w:tcW w:w="6486" w:type="dxa"/>
            <w:gridSpan w:val="5"/>
          </w:tcPr>
          <w:p>
            <w:pPr>
              <w:pStyle w:val="TableParagraph"/>
              <w:spacing w:line="210" w:lineRule="exact"/>
              <w:ind w:left="36"/>
              <w:rPr>
                <w:sz w:val="20"/>
              </w:rPr>
            </w:pPr>
            <w:r>
              <w:rPr>
                <w:sz w:val="20"/>
              </w:rPr>
              <w:t>Dependent</w:t>
            </w:r>
            <w:r>
              <w:rPr>
                <w:spacing w:val="-8"/>
                <w:sz w:val="20"/>
              </w:rPr>
              <w:t> </w:t>
            </w:r>
            <w:r>
              <w:rPr>
                <w:sz w:val="20"/>
              </w:rPr>
              <w:t>Variable:</w:t>
            </w:r>
            <w:r>
              <w:rPr>
                <w:spacing w:val="-8"/>
                <w:sz w:val="20"/>
              </w:rPr>
              <w:t> </w:t>
            </w:r>
            <w:r>
              <w:rPr>
                <w:spacing w:val="-2"/>
                <w:sz w:val="20"/>
              </w:rPr>
              <w:t>D(EXTDEBT)</w:t>
            </w:r>
          </w:p>
        </w:tc>
      </w:tr>
      <w:tr>
        <w:trPr>
          <w:trHeight w:val="229" w:hRule="atLeast"/>
        </w:trPr>
        <w:tc>
          <w:tcPr>
            <w:tcW w:w="1917" w:type="dxa"/>
          </w:tcPr>
          <w:p>
            <w:pPr>
              <w:pStyle w:val="TableParagraph"/>
              <w:spacing w:line="209" w:lineRule="exact"/>
              <w:ind w:left="36"/>
              <w:rPr>
                <w:sz w:val="20"/>
              </w:rPr>
            </w:pPr>
            <w:r>
              <w:rPr>
                <w:sz w:val="20"/>
              </w:rPr>
              <w:t>Method:</w:t>
            </w:r>
            <w:r>
              <w:rPr>
                <w:spacing w:val="-8"/>
                <w:sz w:val="20"/>
              </w:rPr>
              <w:t> </w:t>
            </w:r>
            <w:r>
              <w:rPr>
                <w:sz w:val="20"/>
              </w:rPr>
              <w:t>Least</w:t>
            </w:r>
            <w:r>
              <w:rPr>
                <w:spacing w:val="-7"/>
                <w:sz w:val="20"/>
              </w:rPr>
              <w:t> </w:t>
            </w:r>
            <w:r>
              <w:rPr>
                <w:spacing w:val="-2"/>
                <w:sz w:val="20"/>
              </w:rPr>
              <w:t>Squares</w:t>
            </w:r>
          </w:p>
        </w:tc>
        <w:tc>
          <w:tcPr>
            <w:tcW w:w="1305" w:type="dxa"/>
          </w:tcPr>
          <w:p>
            <w:pPr>
              <w:pStyle w:val="TableParagraph"/>
              <w:rPr>
                <w:sz w:val="16"/>
              </w:rPr>
            </w:pPr>
          </w:p>
        </w:tc>
        <w:tc>
          <w:tcPr>
            <w:tcW w:w="1432" w:type="dxa"/>
          </w:tcPr>
          <w:p>
            <w:pPr>
              <w:pStyle w:val="TableParagraph"/>
              <w:rPr>
                <w:sz w:val="16"/>
              </w:rPr>
            </w:pPr>
          </w:p>
        </w:tc>
        <w:tc>
          <w:tcPr>
            <w:tcW w:w="936" w:type="dxa"/>
          </w:tcPr>
          <w:p>
            <w:pPr>
              <w:pStyle w:val="TableParagraph"/>
              <w:rPr>
                <w:sz w:val="16"/>
              </w:rPr>
            </w:pPr>
          </w:p>
        </w:tc>
        <w:tc>
          <w:tcPr>
            <w:tcW w:w="896" w:type="dxa"/>
          </w:tcPr>
          <w:p>
            <w:pPr>
              <w:pStyle w:val="TableParagraph"/>
              <w:rPr>
                <w:sz w:val="16"/>
              </w:rPr>
            </w:pPr>
          </w:p>
        </w:tc>
      </w:tr>
      <w:tr>
        <w:trPr>
          <w:trHeight w:val="229" w:hRule="atLeast"/>
        </w:trPr>
        <w:tc>
          <w:tcPr>
            <w:tcW w:w="6486" w:type="dxa"/>
            <w:gridSpan w:val="5"/>
          </w:tcPr>
          <w:p>
            <w:pPr>
              <w:pStyle w:val="TableParagraph"/>
              <w:spacing w:line="209" w:lineRule="exact"/>
              <w:ind w:left="36"/>
              <w:rPr>
                <w:sz w:val="20"/>
              </w:rPr>
            </w:pPr>
            <w:r>
              <w:rPr>
                <w:sz w:val="20"/>
              </w:rPr>
              <w:t>Date:</w:t>
            </w:r>
            <w:r>
              <w:rPr>
                <w:spacing w:val="-5"/>
                <w:sz w:val="20"/>
              </w:rPr>
              <w:t> </w:t>
            </w:r>
            <w:r>
              <w:rPr>
                <w:sz w:val="20"/>
              </w:rPr>
              <w:t>02/17/14</w:t>
            </w:r>
            <w:r>
              <w:rPr>
                <w:spacing w:val="63"/>
                <w:w w:val="150"/>
                <w:sz w:val="20"/>
              </w:rPr>
              <w:t> </w:t>
            </w:r>
            <w:r>
              <w:rPr>
                <w:sz w:val="20"/>
              </w:rPr>
              <w:t>Time:</w:t>
            </w:r>
            <w:r>
              <w:rPr>
                <w:spacing w:val="-3"/>
                <w:sz w:val="20"/>
              </w:rPr>
              <w:t> </w:t>
            </w:r>
            <w:r>
              <w:rPr>
                <w:spacing w:val="-2"/>
                <w:sz w:val="20"/>
              </w:rPr>
              <w:t>16:49</w:t>
            </w:r>
          </w:p>
        </w:tc>
      </w:tr>
      <w:tr>
        <w:trPr>
          <w:trHeight w:val="230" w:hRule="atLeast"/>
        </w:trPr>
        <w:tc>
          <w:tcPr>
            <w:tcW w:w="6486" w:type="dxa"/>
            <w:gridSpan w:val="5"/>
          </w:tcPr>
          <w:p>
            <w:pPr>
              <w:pStyle w:val="TableParagraph"/>
              <w:spacing w:line="210" w:lineRule="exact"/>
              <w:ind w:left="36"/>
              <w:rPr>
                <w:sz w:val="20"/>
              </w:rPr>
            </w:pPr>
            <w:r>
              <w:rPr>
                <w:sz w:val="20"/>
              </w:rPr>
              <w:t>Sample(adjusted):</w:t>
            </w:r>
            <w:r>
              <w:rPr>
                <w:spacing w:val="-9"/>
                <w:sz w:val="20"/>
              </w:rPr>
              <w:t> </w:t>
            </w:r>
            <w:r>
              <w:rPr>
                <w:sz w:val="20"/>
              </w:rPr>
              <w:t>1972</w:t>
            </w:r>
            <w:r>
              <w:rPr>
                <w:spacing w:val="-9"/>
                <w:sz w:val="20"/>
              </w:rPr>
              <w:t> </w:t>
            </w:r>
            <w:r>
              <w:rPr>
                <w:spacing w:val="-4"/>
                <w:sz w:val="20"/>
              </w:rPr>
              <w:t>2011</w:t>
            </w:r>
          </w:p>
        </w:tc>
      </w:tr>
      <w:tr>
        <w:trPr>
          <w:trHeight w:val="224" w:hRule="atLeast"/>
        </w:trPr>
        <w:tc>
          <w:tcPr>
            <w:tcW w:w="6486" w:type="dxa"/>
            <w:gridSpan w:val="5"/>
            <w:tcBorders>
              <w:bottom w:val="double" w:sz="6" w:space="0" w:color="000000"/>
            </w:tcBorders>
          </w:tcPr>
          <w:p>
            <w:pPr>
              <w:pStyle w:val="TableParagraph"/>
              <w:spacing w:line="205" w:lineRule="exact"/>
              <w:ind w:left="36"/>
              <w:rPr>
                <w:sz w:val="20"/>
              </w:rPr>
            </w:pPr>
            <w:r>
              <w:rPr>
                <w:sz w:val="20"/>
              </w:rPr>
              <w:t>Included</w:t>
            </w:r>
            <w:r>
              <w:rPr>
                <w:spacing w:val="-6"/>
                <w:sz w:val="20"/>
              </w:rPr>
              <w:t> </w:t>
            </w:r>
            <w:r>
              <w:rPr>
                <w:sz w:val="20"/>
              </w:rPr>
              <w:t>observations:</w:t>
            </w:r>
            <w:r>
              <w:rPr>
                <w:spacing w:val="-8"/>
                <w:sz w:val="20"/>
              </w:rPr>
              <w:t> </w:t>
            </w:r>
            <w:r>
              <w:rPr>
                <w:sz w:val="20"/>
              </w:rPr>
              <w:t>40</w:t>
            </w:r>
            <w:r>
              <w:rPr>
                <w:spacing w:val="-5"/>
                <w:sz w:val="20"/>
              </w:rPr>
              <w:t> </w:t>
            </w:r>
            <w:r>
              <w:rPr>
                <w:sz w:val="20"/>
              </w:rPr>
              <w:t>after</w:t>
            </w:r>
            <w:r>
              <w:rPr>
                <w:spacing w:val="-7"/>
                <w:sz w:val="20"/>
              </w:rPr>
              <w:t> </w:t>
            </w:r>
            <w:r>
              <w:rPr>
                <w:sz w:val="20"/>
              </w:rPr>
              <w:t>adjusting</w:t>
            </w:r>
            <w:r>
              <w:rPr>
                <w:spacing w:val="-7"/>
                <w:sz w:val="20"/>
              </w:rPr>
              <w:t> </w:t>
            </w:r>
            <w:r>
              <w:rPr>
                <w:spacing w:val="-2"/>
                <w:sz w:val="20"/>
              </w:rPr>
              <w:t>endpoints</w:t>
            </w:r>
          </w:p>
        </w:tc>
      </w:tr>
      <w:tr>
        <w:trPr>
          <w:trHeight w:val="269" w:hRule="atLeast"/>
        </w:trPr>
        <w:tc>
          <w:tcPr>
            <w:tcW w:w="1917" w:type="dxa"/>
            <w:tcBorders>
              <w:top w:val="double" w:sz="6" w:space="0" w:color="000000"/>
              <w:bottom w:val="double" w:sz="6" w:space="0" w:color="000000"/>
            </w:tcBorders>
          </w:tcPr>
          <w:p>
            <w:pPr>
              <w:pStyle w:val="TableParagraph"/>
              <w:spacing w:line="209" w:lineRule="exact" w:before="40"/>
              <w:ind w:left="677"/>
              <w:rPr>
                <w:sz w:val="20"/>
              </w:rPr>
            </w:pPr>
            <w:r>
              <w:rPr>
                <w:spacing w:val="-2"/>
                <w:sz w:val="20"/>
              </w:rPr>
              <w:t>Variable</w:t>
            </w:r>
          </w:p>
        </w:tc>
        <w:tc>
          <w:tcPr>
            <w:tcW w:w="1305" w:type="dxa"/>
            <w:tcBorders>
              <w:top w:val="double" w:sz="6" w:space="0" w:color="000000"/>
              <w:bottom w:val="double" w:sz="6" w:space="0" w:color="000000"/>
            </w:tcBorders>
          </w:tcPr>
          <w:p>
            <w:pPr>
              <w:pStyle w:val="TableParagraph"/>
              <w:spacing w:line="209" w:lineRule="exact" w:before="40"/>
              <w:ind w:right="131"/>
              <w:jc w:val="right"/>
              <w:rPr>
                <w:sz w:val="20"/>
              </w:rPr>
            </w:pPr>
            <w:r>
              <w:rPr>
                <w:spacing w:val="-2"/>
                <w:sz w:val="20"/>
              </w:rPr>
              <w:t>Coefficient</w:t>
            </w:r>
          </w:p>
        </w:tc>
        <w:tc>
          <w:tcPr>
            <w:tcW w:w="1432" w:type="dxa"/>
            <w:tcBorders>
              <w:top w:val="double" w:sz="6" w:space="0" w:color="000000"/>
              <w:bottom w:val="double" w:sz="6" w:space="0" w:color="000000"/>
            </w:tcBorders>
          </w:tcPr>
          <w:p>
            <w:pPr>
              <w:pStyle w:val="TableParagraph"/>
              <w:spacing w:line="209" w:lineRule="exact" w:before="40"/>
              <w:ind w:left="273"/>
              <w:rPr>
                <w:sz w:val="20"/>
              </w:rPr>
            </w:pPr>
            <w:r>
              <w:rPr>
                <w:sz w:val="20"/>
              </w:rPr>
              <w:t>Std.</w:t>
            </w:r>
            <w:r>
              <w:rPr>
                <w:spacing w:val="-4"/>
                <w:sz w:val="20"/>
              </w:rPr>
              <w:t> </w:t>
            </w:r>
            <w:r>
              <w:rPr>
                <w:spacing w:val="-2"/>
                <w:sz w:val="20"/>
              </w:rPr>
              <w:t>Error</w:t>
            </w:r>
          </w:p>
        </w:tc>
        <w:tc>
          <w:tcPr>
            <w:tcW w:w="936" w:type="dxa"/>
            <w:tcBorders>
              <w:top w:val="double" w:sz="6" w:space="0" w:color="000000"/>
              <w:bottom w:val="double" w:sz="6" w:space="0" w:color="000000"/>
            </w:tcBorders>
          </w:tcPr>
          <w:p>
            <w:pPr>
              <w:pStyle w:val="TableParagraph"/>
              <w:spacing w:line="209" w:lineRule="exact" w:before="40"/>
              <w:ind w:right="112"/>
              <w:jc w:val="right"/>
              <w:rPr>
                <w:sz w:val="20"/>
              </w:rPr>
            </w:pPr>
            <w:r>
              <w:rPr>
                <w:spacing w:val="-4"/>
                <w:sz w:val="20"/>
              </w:rPr>
              <w:t>t-</w:t>
            </w:r>
            <w:r>
              <w:rPr>
                <w:spacing w:val="-2"/>
                <w:sz w:val="20"/>
              </w:rPr>
              <w:t>Statistic</w:t>
            </w:r>
          </w:p>
        </w:tc>
        <w:tc>
          <w:tcPr>
            <w:tcW w:w="896" w:type="dxa"/>
            <w:tcBorders>
              <w:top w:val="double" w:sz="6" w:space="0" w:color="000000"/>
              <w:bottom w:val="double" w:sz="6" w:space="0" w:color="000000"/>
            </w:tcBorders>
          </w:tcPr>
          <w:p>
            <w:pPr>
              <w:pStyle w:val="TableParagraph"/>
              <w:spacing w:line="209" w:lineRule="exact" w:before="40"/>
              <w:ind w:right="27"/>
              <w:jc w:val="right"/>
              <w:rPr>
                <w:sz w:val="20"/>
              </w:rPr>
            </w:pPr>
            <w:r>
              <w:rPr>
                <w:spacing w:val="-2"/>
                <w:sz w:val="20"/>
              </w:rPr>
              <w:t>Prob.</w:t>
            </w:r>
          </w:p>
        </w:tc>
      </w:tr>
      <w:tr>
        <w:trPr>
          <w:trHeight w:val="276" w:hRule="atLeast"/>
        </w:trPr>
        <w:tc>
          <w:tcPr>
            <w:tcW w:w="1917" w:type="dxa"/>
            <w:tcBorders>
              <w:top w:val="double" w:sz="6" w:space="0" w:color="000000"/>
            </w:tcBorders>
          </w:tcPr>
          <w:p>
            <w:pPr>
              <w:pStyle w:val="TableParagraph"/>
              <w:spacing w:line="214" w:lineRule="exact" w:before="42"/>
              <w:ind w:left="415"/>
              <w:rPr>
                <w:sz w:val="20"/>
              </w:rPr>
            </w:pPr>
            <w:r>
              <w:rPr>
                <w:spacing w:val="-2"/>
                <w:sz w:val="20"/>
              </w:rPr>
              <w:t>EXTDEBT(-</w:t>
            </w:r>
            <w:r>
              <w:rPr>
                <w:spacing w:val="-5"/>
                <w:sz w:val="20"/>
              </w:rPr>
              <w:t>1)</w:t>
            </w:r>
          </w:p>
        </w:tc>
        <w:tc>
          <w:tcPr>
            <w:tcW w:w="1305" w:type="dxa"/>
            <w:tcBorders>
              <w:top w:val="double" w:sz="6" w:space="0" w:color="000000"/>
            </w:tcBorders>
          </w:tcPr>
          <w:p>
            <w:pPr>
              <w:pStyle w:val="TableParagraph"/>
              <w:spacing w:line="214" w:lineRule="exact" w:before="42"/>
              <w:ind w:right="128"/>
              <w:jc w:val="right"/>
              <w:rPr>
                <w:sz w:val="20"/>
              </w:rPr>
            </w:pPr>
            <w:r>
              <w:rPr>
                <w:spacing w:val="-4"/>
                <w:sz w:val="20"/>
              </w:rPr>
              <w:t>-</w:t>
            </w:r>
            <w:r>
              <w:rPr>
                <w:spacing w:val="-2"/>
                <w:sz w:val="20"/>
              </w:rPr>
              <w:t>0.188125</w:t>
            </w:r>
          </w:p>
        </w:tc>
        <w:tc>
          <w:tcPr>
            <w:tcW w:w="1432" w:type="dxa"/>
            <w:tcBorders>
              <w:top w:val="double" w:sz="6" w:space="0" w:color="000000"/>
            </w:tcBorders>
          </w:tcPr>
          <w:p>
            <w:pPr>
              <w:pStyle w:val="TableParagraph"/>
              <w:spacing w:line="214" w:lineRule="exact" w:before="42"/>
              <w:ind w:left="311"/>
              <w:rPr>
                <w:sz w:val="20"/>
              </w:rPr>
            </w:pPr>
            <w:r>
              <w:rPr>
                <w:spacing w:val="-2"/>
                <w:sz w:val="20"/>
              </w:rPr>
              <w:t>0.085450</w:t>
            </w:r>
          </w:p>
        </w:tc>
        <w:tc>
          <w:tcPr>
            <w:tcW w:w="936" w:type="dxa"/>
            <w:tcBorders>
              <w:top w:val="double" w:sz="6" w:space="0" w:color="000000"/>
            </w:tcBorders>
          </w:tcPr>
          <w:p>
            <w:pPr>
              <w:pStyle w:val="TableParagraph"/>
              <w:spacing w:line="214" w:lineRule="exact" w:before="42"/>
              <w:ind w:right="110"/>
              <w:jc w:val="right"/>
              <w:rPr>
                <w:sz w:val="20"/>
              </w:rPr>
            </w:pPr>
            <w:r>
              <w:rPr>
                <w:spacing w:val="-4"/>
                <w:sz w:val="20"/>
              </w:rPr>
              <w:t>-</w:t>
            </w:r>
            <w:r>
              <w:rPr>
                <w:spacing w:val="-2"/>
                <w:sz w:val="20"/>
              </w:rPr>
              <w:t>2.201592</w:t>
            </w:r>
          </w:p>
        </w:tc>
        <w:tc>
          <w:tcPr>
            <w:tcW w:w="896" w:type="dxa"/>
            <w:tcBorders>
              <w:top w:val="double" w:sz="6" w:space="0" w:color="000000"/>
            </w:tcBorders>
          </w:tcPr>
          <w:p>
            <w:pPr>
              <w:pStyle w:val="TableParagraph"/>
              <w:spacing w:line="214" w:lineRule="exact" w:before="42"/>
              <w:ind w:right="26"/>
              <w:jc w:val="right"/>
              <w:rPr>
                <w:sz w:val="20"/>
              </w:rPr>
            </w:pPr>
            <w:r>
              <w:rPr>
                <w:spacing w:val="-2"/>
                <w:sz w:val="20"/>
              </w:rPr>
              <w:t>0.0340</w:t>
            </w:r>
          </w:p>
        </w:tc>
      </w:tr>
      <w:tr>
        <w:trPr>
          <w:trHeight w:val="229" w:hRule="atLeast"/>
        </w:trPr>
        <w:tc>
          <w:tcPr>
            <w:tcW w:w="1917" w:type="dxa"/>
          </w:tcPr>
          <w:p>
            <w:pPr>
              <w:pStyle w:val="TableParagraph"/>
              <w:spacing w:line="209" w:lineRule="exact"/>
              <w:ind w:left="278"/>
              <w:rPr>
                <w:sz w:val="20"/>
              </w:rPr>
            </w:pPr>
            <w:r>
              <w:rPr>
                <w:spacing w:val="-2"/>
                <w:sz w:val="20"/>
              </w:rPr>
              <w:t>D(EXTDEBT(-</w:t>
            </w:r>
            <w:r>
              <w:rPr>
                <w:spacing w:val="-5"/>
                <w:sz w:val="20"/>
              </w:rPr>
              <w:t>1))</w:t>
            </w:r>
          </w:p>
        </w:tc>
        <w:tc>
          <w:tcPr>
            <w:tcW w:w="1305" w:type="dxa"/>
          </w:tcPr>
          <w:p>
            <w:pPr>
              <w:pStyle w:val="TableParagraph"/>
              <w:spacing w:line="209" w:lineRule="exact"/>
              <w:ind w:right="128"/>
              <w:jc w:val="right"/>
              <w:rPr>
                <w:sz w:val="20"/>
              </w:rPr>
            </w:pPr>
            <w:r>
              <w:rPr>
                <w:spacing w:val="-4"/>
                <w:sz w:val="20"/>
              </w:rPr>
              <w:t>-</w:t>
            </w:r>
            <w:r>
              <w:rPr>
                <w:spacing w:val="-2"/>
                <w:sz w:val="20"/>
              </w:rPr>
              <w:t>0.299084</w:t>
            </w:r>
          </w:p>
        </w:tc>
        <w:tc>
          <w:tcPr>
            <w:tcW w:w="1432" w:type="dxa"/>
          </w:tcPr>
          <w:p>
            <w:pPr>
              <w:pStyle w:val="TableParagraph"/>
              <w:spacing w:line="209" w:lineRule="exact"/>
              <w:ind w:left="311"/>
              <w:rPr>
                <w:sz w:val="20"/>
              </w:rPr>
            </w:pPr>
            <w:r>
              <w:rPr>
                <w:spacing w:val="-2"/>
                <w:sz w:val="20"/>
              </w:rPr>
              <w:t>0.146248</w:t>
            </w:r>
          </w:p>
        </w:tc>
        <w:tc>
          <w:tcPr>
            <w:tcW w:w="936" w:type="dxa"/>
          </w:tcPr>
          <w:p>
            <w:pPr>
              <w:pStyle w:val="TableParagraph"/>
              <w:spacing w:line="209" w:lineRule="exact"/>
              <w:ind w:right="110"/>
              <w:jc w:val="right"/>
              <w:rPr>
                <w:sz w:val="20"/>
              </w:rPr>
            </w:pPr>
            <w:r>
              <w:rPr>
                <w:spacing w:val="-4"/>
                <w:sz w:val="20"/>
              </w:rPr>
              <w:t>-</w:t>
            </w:r>
            <w:r>
              <w:rPr>
                <w:spacing w:val="-2"/>
                <w:sz w:val="20"/>
              </w:rPr>
              <w:t>2.045049</w:t>
            </w:r>
          </w:p>
        </w:tc>
        <w:tc>
          <w:tcPr>
            <w:tcW w:w="896" w:type="dxa"/>
          </w:tcPr>
          <w:p>
            <w:pPr>
              <w:pStyle w:val="TableParagraph"/>
              <w:spacing w:line="209" w:lineRule="exact"/>
              <w:ind w:right="26"/>
              <w:jc w:val="right"/>
              <w:rPr>
                <w:sz w:val="20"/>
              </w:rPr>
            </w:pPr>
            <w:r>
              <w:rPr>
                <w:spacing w:val="-2"/>
                <w:sz w:val="20"/>
              </w:rPr>
              <w:t>0.0480</w:t>
            </w:r>
          </w:p>
        </w:tc>
      </w:tr>
      <w:tr>
        <w:trPr>
          <w:trHeight w:val="224" w:hRule="atLeast"/>
        </w:trPr>
        <w:tc>
          <w:tcPr>
            <w:tcW w:w="1917" w:type="dxa"/>
            <w:tcBorders>
              <w:bottom w:val="double" w:sz="6" w:space="0" w:color="000000"/>
            </w:tcBorders>
          </w:tcPr>
          <w:p>
            <w:pPr>
              <w:pStyle w:val="TableParagraph"/>
              <w:spacing w:line="205" w:lineRule="exact"/>
              <w:ind w:left="127"/>
              <w:jc w:val="center"/>
              <w:rPr>
                <w:sz w:val="20"/>
              </w:rPr>
            </w:pPr>
            <w:r>
              <w:rPr>
                <w:spacing w:val="-10"/>
                <w:sz w:val="20"/>
              </w:rPr>
              <w:t>C</w:t>
            </w:r>
          </w:p>
        </w:tc>
        <w:tc>
          <w:tcPr>
            <w:tcW w:w="1305" w:type="dxa"/>
            <w:tcBorders>
              <w:bottom w:val="double" w:sz="6" w:space="0" w:color="000000"/>
            </w:tcBorders>
          </w:tcPr>
          <w:p>
            <w:pPr>
              <w:pStyle w:val="TableParagraph"/>
              <w:spacing w:line="205" w:lineRule="exact"/>
              <w:ind w:right="128"/>
              <w:jc w:val="right"/>
              <w:rPr>
                <w:sz w:val="20"/>
              </w:rPr>
            </w:pPr>
            <w:r>
              <w:rPr>
                <w:spacing w:val="-2"/>
                <w:sz w:val="20"/>
              </w:rPr>
              <w:t>2.103002</w:t>
            </w:r>
          </w:p>
        </w:tc>
        <w:tc>
          <w:tcPr>
            <w:tcW w:w="1432" w:type="dxa"/>
            <w:tcBorders>
              <w:bottom w:val="double" w:sz="6" w:space="0" w:color="000000"/>
            </w:tcBorders>
          </w:tcPr>
          <w:p>
            <w:pPr>
              <w:pStyle w:val="TableParagraph"/>
              <w:spacing w:line="205" w:lineRule="exact"/>
              <w:ind w:left="311"/>
              <w:rPr>
                <w:sz w:val="20"/>
              </w:rPr>
            </w:pPr>
            <w:r>
              <w:rPr>
                <w:spacing w:val="-2"/>
                <w:sz w:val="20"/>
              </w:rPr>
              <w:t>0.848483</w:t>
            </w:r>
          </w:p>
        </w:tc>
        <w:tc>
          <w:tcPr>
            <w:tcW w:w="936" w:type="dxa"/>
            <w:tcBorders>
              <w:bottom w:val="double" w:sz="6" w:space="0" w:color="000000"/>
            </w:tcBorders>
          </w:tcPr>
          <w:p>
            <w:pPr>
              <w:pStyle w:val="TableParagraph"/>
              <w:spacing w:line="205" w:lineRule="exact"/>
              <w:ind w:right="110"/>
              <w:jc w:val="right"/>
              <w:rPr>
                <w:sz w:val="20"/>
              </w:rPr>
            </w:pPr>
            <w:r>
              <w:rPr>
                <w:spacing w:val="-2"/>
                <w:sz w:val="20"/>
              </w:rPr>
              <w:t>2.478544</w:t>
            </w:r>
          </w:p>
        </w:tc>
        <w:tc>
          <w:tcPr>
            <w:tcW w:w="896" w:type="dxa"/>
            <w:tcBorders>
              <w:bottom w:val="double" w:sz="6" w:space="0" w:color="000000"/>
            </w:tcBorders>
          </w:tcPr>
          <w:p>
            <w:pPr>
              <w:pStyle w:val="TableParagraph"/>
              <w:spacing w:line="205" w:lineRule="exact"/>
              <w:ind w:right="26"/>
              <w:jc w:val="right"/>
              <w:rPr>
                <w:sz w:val="20"/>
              </w:rPr>
            </w:pPr>
            <w:r>
              <w:rPr>
                <w:spacing w:val="-2"/>
                <w:sz w:val="20"/>
              </w:rPr>
              <w:t>0.0179</w:t>
            </w:r>
          </w:p>
        </w:tc>
      </w:tr>
      <w:tr>
        <w:trPr>
          <w:trHeight w:val="276" w:hRule="atLeast"/>
        </w:trPr>
        <w:tc>
          <w:tcPr>
            <w:tcW w:w="1917" w:type="dxa"/>
            <w:tcBorders>
              <w:top w:val="double" w:sz="6" w:space="0" w:color="000000"/>
            </w:tcBorders>
          </w:tcPr>
          <w:p>
            <w:pPr>
              <w:pStyle w:val="TableParagraph"/>
              <w:spacing w:line="214" w:lineRule="exact" w:before="42"/>
              <w:ind w:left="36"/>
              <w:rPr>
                <w:sz w:val="20"/>
              </w:rPr>
            </w:pPr>
            <w:r>
              <w:rPr>
                <w:spacing w:val="-2"/>
                <w:sz w:val="20"/>
              </w:rPr>
              <w:t>R-squared</w:t>
            </w:r>
          </w:p>
        </w:tc>
        <w:tc>
          <w:tcPr>
            <w:tcW w:w="1305" w:type="dxa"/>
            <w:tcBorders>
              <w:top w:val="double" w:sz="6" w:space="0" w:color="000000"/>
            </w:tcBorders>
          </w:tcPr>
          <w:p>
            <w:pPr>
              <w:pStyle w:val="TableParagraph"/>
              <w:spacing w:line="214" w:lineRule="exact" w:before="42"/>
              <w:ind w:right="128"/>
              <w:jc w:val="right"/>
              <w:rPr>
                <w:sz w:val="20"/>
              </w:rPr>
            </w:pPr>
            <w:r>
              <w:rPr>
                <w:spacing w:val="-2"/>
                <w:sz w:val="20"/>
              </w:rPr>
              <w:t>0.228160</w:t>
            </w:r>
          </w:p>
        </w:tc>
        <w:tc>
          <w:tcPr>
            <w:tcW w:w="2368" w:type="dxa"/>
            <w:gridSpan w:val="2"/>
            <w:tcBorders>
              <w:top w:val="double" w:sz="6" w:space="0" w:color="000000"/>
            </w:tcBorders>
          </w:tcPr>
          <w:p>
            <w:pPr>
              <w:pStyle w:val="TableParagraph"/>
              <w:spacing w:line="214" w:lineRule="exact" w:before="42"/>
              <w:ind w:left="131"/>
              <w:rPr>
                <w:sz w:val="20"/>
              </w:rPr>
            </w:pPr>
            <w:r>
              <w:rPr>
                <w:sz w:val="20"/>
              </w:rPr>
              <w:t>Mean</w:t>
            </w:r>
            <w:r>
              <w:rPr>
                <w:spacing w:val="-7"/>
                <w:sz w:val="20"/>
              </w:rPr>
              <w:t> </w:t>
            </w:r>
            <w:r>
              <w:rPr>
                <w:sz w:val="20"/>
              </w:rPr>
              <w:t>dependent</w:t>
            </w:r>
            <w:r>
              <w:rPr>
                <w:spacing w:val="-7"/>
                <w:sz w:val="20"/>
              </w:rPr>
              <w:t> </w:t>
            </w:r>
            <w:r>
              <w:rPr>
                <w:spacing w:val="-5"/>
                <w:sz w:val="20"/>
              </w:rPr>
              <w:t>var</w:t>
            </w:r>
          </w:p>
        </w:tc>
        <w:tc>
          <w:tcPr>
            <w:tcW w:w="896" w:type="dxa"/>
            <w:tcBorders>
              <w:top w:val="double" w:sz="6" w:space="0" w:color="000000"/>
            </w:tcBorders>
          </w:tcPr>
          <w:p>
            <w:pPr>
              <w:pStyle w:val="TableParagraph"/>
              <w:spacing w:line="214" w:lineRule="exact" w:before="42"/>
              <w:ind w:right="26"/>
              <w:jc w:val="right"/>
              <w:rPr>
                <w:sz w:val="20"/>
              </w:rPr>
            </w:pPr>
            <w:r>
              <w:rPr>
                <w:spacing w:val="-2"/>
                <w:sz w:val="20"/>
              </w:rPr>
              <w:t>0.274691</w:t>
            </w:r>
          </w:p>
        </w:tc>
      </w:tr>
      <w:tr>
        <w:trPr>
          <w:trHeight w:val="229" w:hRule="atLeast"/>
        </w:trPr>
        <w:tc>
          <w:tcPr>
            <w:tcW w:w="1917" w:type="dxa"/>
          </w:tcPr>
          <w:p>
            <w:pPr>
              <w:pStyle w:val="TableParagraph"/>
              <w:spacing w:line="209" w:lineRule="exact"/>
              <w:ind w:left="36"/>
              <w:rPr>
                <w:sz w:val="20"/>
              </w:rPr>
            </w:pPr>
            <w:r>
              <w:rPr>
                <w:sz w:val="20"/>
              </w:rPr>
              <w:t>Adjusted</w:t>
            </w:r>
            <w:r>
              <w:rPr>
                <w:spacing w:val="-10"/>
                <w:sz w:val="20"/>
              </w:rPr>
              <w:t> </w:t>
            </w:r>
            <w:r>
              <w:rPr>
                <w:sz w:val="20"/>
              </w:rPr>
              <w:t>R-</w:t>
            </w:r>
            <w:r>
              <w:rPr>
                <w:spacing w:val="-2"/>
                <w:sz w:val="20"/>
              </w:rPr>
              <w:t>squared</w:t>
            </w:r>
          </w:p>
        </w:tc>
        <w:tc>
          <w:tcPr>
            <w:tcW w:w="1305" w:type="dxa"/>
          </w:tcPr>
          <w:p>
            <w:pPr>
              <w:pStyle w:val="TableParagraph"/>
              <w:spacing w:line="209" w:lineRule="exact"/>
              <w:ind w:right="128"/>
              <w:jc w:val="right"/>
              <w:rPr>
                <w:sz w:val="20"/>
              </w:rPr>
            </w:pPr>
            <w:r>
              <w:rPr>
                <w:spacing w:val="-2"/>
                <w:sz w:val="20"/>
              </w:rPr>
              <w:t>0.186439</w:t>
            </w:r>
          </w:p>
        </w:tc>
        <w:tc>
          <w:tcPr>
            <w:tcW w:w="2368" w:type="dxa"/>
            <w:gridSpan w:val="2"/>
          </w:tcPr>
          <w:p>
            <w:pPr>
              <w:pStyle w:val="TableParagraph"/>
              <w:spacing w:line="209" w:lineRule="exact"/>
              <w:ind w:left="131"/>
              <w:rPr>
                <w:sz w:val="20"/>
              </w:rPr>
            </w:pPr>
            <w:r>
              <w:rPr>
                <w:sz w:val="20"/>
              </w:rPr>
              <w:t>S.D.</w:t>
            </w:r>
            <w:r>
              <w:rPr>
                <w:spacing w:val="-5"/>
                <w:sz w:val="20"/>
              </w:rPr>
              <w:t> </w:t>
            </w:r>
            <w:r>
              <w:rPr>
                <w:sz w:val="20"/>
              </w:rPr>
              <w:t>dependent</w:t>
            </w:r>
            <w:r>
              <w:rPr>
                <w:spacing w:val="-6"/>
                <w:sz w:val="20"/>
              </w:rPr>
              <w:t> </w:t>
            </w:r>
            <w:r>
              <w:rPr>
                <w:spacing w:val="-5"/>
                <w:sz w:val="20"/>
              </w:rPr>
              <w:t>var</w:t>
            </w:r>
          </w:p>
        </w:tc>
        <w:tc>
          <w:tcPr>
            <w:tcW w:w="896" w:type="dxa"/>
          </w:tcPr>
          <w:p>
            <w:pPr>
              <w:pStyle w:val="TableParagraph"/>
              <w:spacing w:line="209" w:lineRule="exact"/>
              <w:ind w:right="26"/>
              <w:jc w:val="right"/>
              <w:rPr>
                <w:sz w:val="20"/>
              </w:rPr>
            </w:pPr>
            <w:r>
              <w:rPr>
                <w:spacing w:val="-2"/>
                <w:sz w:val="20"/>
              </w:rPr>
              <w:t>2.270709</w:t>
            </w:r>
          </w:p>
        </w:tc>
      </w:tr>
      <w:tr>
        <w:trPr>
          <w:trHeight w:val="230" w:hRule="atLeast"/>
        </w:trPr>
        <w:tc>
          <w:tcPr>
            <w:tcW w:w="1917" w:type="dxa"/>
          </w:tcPr>
          <w:p>
            <w:pPr>
              <w:pStyle w:val="TableParagraph"/>
              <w:spacing w:line="210" w:lineRule="exact"/>
              <w:ind w:left="36"/>
              <w:rPr>
                <w:sz w:val="20"/>
              </w:rPr>
            </w:pPr>
            <w:r>
              <w:rPr>
                <w:sz w:val="20"/>
              </w:rPr>
              <w:t>S.E.</w:t>
            </w:r>
            <w:r>
              <w:rPr>
                <w:spacing w:val="-2"/>
                <w:sz w:val="20"/>
              </w:rPr>
              <w:t> </w:t>
            </w:r>
            <w:r>
              <w:rPr>
                <w:sz w:val="20"/>
              </w:rPr>
              <w:t>of</w:t>
            </w:r>
            <w:r>
              <w:rPr>
                <w:spacing w:val="-2"/>
                <w:sz w:val="20"/>
              </w:rPr>
              <w:t> regression</w:t>
            </w:r>
          </w:p>
        </w:tc>
        <w:tc>
          <w:tcPr>
            <w:tcW w:w="1305" w:type="dxa"/>
          </w:tcPr>
          <w:p>
            <w:pPr>
              <w:pStyle w:val="TableParagraph"/>
              <w:spacing w:line="210" w:lineRule="exact"/>
              <w:ind w:right="128"/>
              <w:jc w:val="right"/>
              <w:rPr>
                <w:sz w:val="20"/>
              </w:rPr>
            </w:pPr>
            <w:r>
              <w:rPr>
                <w:spacing w:val="-2"/>
                <w:sz w:val="20"/>
              </w:rPr>
              <w:t>2.048126</w:t>
            </w:r>
          </w:p>
        </w:tc>
        <w:tc>
          <w:tcPr>
            <w:tcW w:w="2368" w:type="dxa"/>
            <w:gridSpan w:val="2"/>
          </w:tcPr>
          <w:p>
            <w:pPr>
              <w:pStyle w:val="TableParagraph"/>
              <w:spacing w:line="210" w:lineRule="exact"/>
              <w:ind w:left="131"/>
              <w:rPr>
                <w:sz w:val="20"/>
              </w:rPr>
            </w:pPr>
            <w:r>
              <w:rPr>
                <w:sz w:val="20"/>
              </w:rPr>
              <w:t>Akaike</w:t>
            </w:r>
            <w:r>
              <w:rPr>
                <w:spacing w:val="-8"/>
                <w:sz w:val="20"/>
              </w:rPr>
              <w:t> </w:t>
            </w:r>
            <w:r>
              <w:rPr>
                <w:sz w:val="20"/>
              </w:rPr>
              <w:t>info</w:t>
            </w:r>
            <w:r>
              <w:rPr>
                <w:spacing w:val="-7"/>
                <w:sz w:val="20"/>
              </w:rPr>
              <w:t> </w:t>
            </w:r>
            <w:r>
              <w:rPr>
                <w:spacing w:val="-2"/>
                <w:sz w:val="20"/>
              </w:rPr>
              <w:t>criterion</w:t>
            </w:r>
          </w:p>
        </w:tc>
        <w:tc>
          <w:tcPr>
            <w:tcW w:w="896" w:type="dxa"/>
          </w:tcPr>
          <w:p>
            <w:pPr>
              <w:pStyle w:val="TableParagraph"/>
              <w:spacing w:line="210" w:lineRule="exact"/>
              <w:ind w:right="26"/>
              <w:jc w:val="right"/>
              <w:rPr>
                <w:sz w:val="20"/>
              </w:rPr>
            </w:pPr>
            <w:r>
              <w:rPr>
                <w:spacing w:val="-2"/>
                <w:sz w:val="20"/>
              </w:rPr>
              <w:t>4.343766</w:t>
            </w:r>
          </w:p>
        </w:tc>
      </w:tr>
      <w:tr>
        <w:trPr>
          <w:trHeight w:val="230" w:hRule="atLeast"/>
        </w:trPr>
        <w:tc>
          <w:tcPr>
            <w:tcW w:w="1917" w:type="dxa"/>
          </w:tcPr>
          <w:p>
            <w:pPr>
              <w:pStyle w:val="TableParagraph"/>
              <w:spacing w:line="210" w:lineRule="exact"/>
              <w:ind w:left="36"/>
              <w:rPr>
                <w:sz w:val="20"/>
              </w:rPr>
            </w:pPr>
            <w:r>
              <w:rPr>
                <w:sz w:val="20"/>
              </w:rPr>
              <w:t>Sum</w:t>
            </w:r>
            <w:r>
              <w:rPr>
                <w:spacing w:val="-8"/>
                <w:sz w:val="20"/>
              </w:rPr>
              <w:t> </w:t>
            </w:r>
            <w:r>
              <w:rPr>
                <w:sz w:val="20"/>
              </w:rPr>
              <w:t>squared</w:t>
            </w:r>
            <w:r>
              <w:rPr>
                <w:spacing w:val="-4"/>
                <w:sz w:val="20"/>
              </w:rPr>
              <w:t> </w:t>
            </w:r>
            <w:r>
              <w:rPr>
                <w:spacing w:val="-2"/>
                <w:sz w:val="20"/>
              </w:rPr>
              <w:t>resid</w:t>
            </w:r>
          </w:p>
        </w:tc>
        <w:tc>
          <w:tcPr>
            <w:tcW w:w="1305" w:type="dxa"/>
          </w:tcPr>
          <w:p>
            <w:pPr>
              <w:pStyle w:val="TableParagraph"/>
              <w:spacing w:line="210" w:lineRule="exact"/>
              <w:ind w:right="128"/>
              <w:jc w:val="right"/>
              <w:rPr>
                <w:sz w:val="20"/>
              </w:rPr>
            </w:pPr>
            <w:r>
              <w:rPr>
                <w:spacing w:val="-2"/>
                <w:sz w:val="20"/>
              </w:rPr>
              <w:t>155.2083</w:t>
            </w:r>
          </w:p>
        </w:tc>
        <w:tc>
          <w:tcPr>
            <w:tcW w:w="2368" w:type="dxa"/>
            <w:gridSpan w:val="2"/>
          </w:tcPr>
          <w:p>
            <w:pPr>
              <w:pStyle w:val="TableParagraph"/>
              <w:spacing w:line="210" w:lineRule="exact"/>
              <w:ind w:left="131"/>
              <w:rPr>
                <w:sz w:val="20"/>
              </w:rPr>
            </w:pPr>
            <w:r>
              <w:rPr>
                <w:sz w:val="20"/>
              </w:rPr>
              <w:t>Schwarz</w:t>
            </w:r>
            <w:r>
              <w:rPr>
                <w:spacing w:val="-8"/>
                <w:sz w:val="20"/>
              </w:rPr>
              <w:t> </w:t>
            </w:r>
            <w:r>
              <w:rPr>
                <w:spacing w:val="-2"/>
                <w:sz w:val="20"/>
              </w:rPr>
              <w:t>criterion</w:t>
            </w:r>
          </w:p>
        </w:tc>
        <w:tc>
          <w:tcPr>
            <w:tcW w:w="896" w:type="dxa"/>
          </w:tcPr>
          <w:p>
            <w:pPr>
              <w:pStyle w:val="TableParagraph"/>
              <w:spacing w:line="210" w:lineRule="exact"/>
              <w:ind w:right="26"/>
              <w:jc w:val="right"/>
              <w:rPr>
                <w:sz w:val="20"/>
              </w:rPr>
            </w:pPr>
            <w:r>
              <w:rPr>
                <w:spacing w:val="-2"/>
                <w:sz w:val="20"/>
              </w:rPr>
              <w:t>4.470432</w:t>
            </w:r>
          </w:p>
        </w:tc>
      </w:tr>
      <w:tr>
        <w:trPr>
          <w:trHeight w:val="230" w:hRule="atLeast"/>
        </w:trPr>
        <w:tc>
          <w:tcPr>
            <w:tcW w:w="1917" w:type="dxa"/>
          </w:tcPr>
          <w:p>
            <w:pPr>
              <w:pStyle w:val="TableParagraph"/>
              <w:spacing w:line="210" w:lineRule="exact"/>
              <w:ind w:left="36"/>
              <w:rPr>
                <w:sz w:val="20"/>
              </w:rPr>
            </w:pPr>
            <w:r>
              <w:rPr>
                <w:sz w:val="20"/>
              </w:rPr>
              <w:t>Log</w:t>
            </w:r>
            <w:r>
              <w:rPr>
                <w:spacing w:val="-6"/>
                <w:sz w:val="20"/>
              </w:rPr>
              <w:t> </w:t>
            </w:r>
            <w:r>
              <w:rPr>
                <w:spacing w:val="-2"/>
                <w:sz w:val="20"/>
              </w:rPr>
              <w:t>likelihood</w:t>
            </w:r>
          </w:p>
        </w:tc>
        <w:tc>
          <w:tcPr>
            <w:tcW w:w="1305" w:type="dxa"/>
          </w:tcPr>
          <w:p>
            <w:pPr>
              <w:pStyle w:val="TableParagraph"/>
              <w:spacing w:line="210" w:lineRule="exact"/>
              <w:ind w:right="128"/>
              <w:jc w:val="right"/>
              <w:rPr>
                <w:sz w:val="20"/>
              </w:rPr>
            </w:pPr>
            <w:r>
              <w:rPr>
                <w:spacing w:val="-4"/>
                <w:sz w:val="20"/>
              </w:rPr>
              <w:t>-</w:t>
            </w:r>
            <w:r>
              <w:rPr>
                <w:spacing w:val="-2"/>
                <w:sz w:val="20"/>
              </w:rPr>
              <w:t>83.87531</w:t>
            </w:r>
          </w:p>
        </w:tc>
        <w:tc>
          <w:tcPr>
            <w:tcW w:w="1432" w:type="dxa"/>
          </w:tcPr>
          <w:p>
            <w:pPr>
              <w:pStyle w:val="TableParagraph"/>
              <w:spacing w:line="210" w:lineRule="exact"/>
              <w:ind w:left="131"/>
              <w:rPr>
                <w:sz w:val="20"/>
              </w:rPr>
            </w:pPr>
            <w:r>
              <w:rPr>
                <w:spacing w:val="-4"/>
                <w:sz w:val="20"/>
              </w:rPr>
              <w:t>F-</w:t>
            </w:r>
            <w:r>
              <w:rPr>
                <w:spacing w:val="-2"/>
                <w:sz w:val="20"/>
              </w:rPr>
              <w:t>statistic</w:t>
            </w:r>
          </w:p>
        </w:tc>
        <w:tc>
          <w:tcPr>
            <w:tcW w:w="936" w:type="dxa"/>
          </w:tcPr>
          <w:p>
            <w:pPr>
              <w:pStyle w:val="TableParagraph"/>
              <w:rPr>
                <w:sz w:val="16"/>
              </w:rPr>
            </w:pPr>
          </w:p>
        </w:tc>
        <w:tc>
          <w:tcPr>
            <w:tcW w:w="896" w:type="dxa"/>
          </w:tcPr>
          <w:p>
            <w:pPr>
              <w:pStyle w:val="TableParagraph"/>
              <w:spacing w:line="210" w:lineRule="exact"/>
              <w:ind w:right="26"/>
              <w:jc w:val="right"/>
              <w:rPr>
                <w:sz w:val="20"/>
              </w:rPr>
            </w:pPr>
            <w:r>
              <w:rPr>
                <w:spacing w:val="-2"/>
                <w:sz w:val="20"/>
              </w:rPr>
              <w:t>5.468688</w:t>
            </w:r>
          </w:p>
        </w:tc>
      </w:tr>
      <w:tr>
        <w:trPr>
          <w:trHeight w:val="265" w:hRule="atLeast"/>
        </w:trPr>
        <w:tc>
          <w:tcPr>
            <w:tcW w:w="1917" w:type="dxa"/>
            <w:tcBorders>
              <w:bottom w:val="double" w:sz="6" w:space="0" w:color="000000"/>
            </w:tcBorders>
          </w:tcPr>
          <w:p>
            <w:pPr>
              <w:pStyle w:val="TableParagraph"/>
              <w:spacing w:line="226" w:lineRule="exact"/>
              <w:ind w:left="36"/>
              <w:rPr>
                <w:sz w:val="20"/>
              </w:rPr>
            </w:pPr>
            <w:r>
              <w:rPr>
                <w:sz w:val="20"/>
              </w:rPr>
              <w:t>Durbin-Watson</w:t>
            </w:r>
            <w:r>
              <w:rPr>
                <w:spacing w:val="-12"/>
                <w:sz w:val="20"/>
              </w:rPr>
              <w:t> </w:t>
            </w:r>
            <w:r>
              <w:rPr>
                <w:spacing w:val="-4"/>
                <w:sz w:val="20"/>
              </w:rPr>
              <w:t>stat</w:t>
            </w:r>
          </w:p>
        </w:tc>
        <w:tc>
          <w:tcPr>
            <w:tcW w:w="1305" w:type="dxa"/>
          </w:tcPr>
          <w:p>
            <w:pPr>
              <w:pStyle w:val="TableParagraph"/>
              <w:spacing w:line="226" w:lineRule="exact"/>
              <w:ind w:right="128"/>
              <w:jc w:val="right"/>
              <w:rPr>
                <w:sz w:val="20"/>
              </w:rPr>
            </w:pPr>
            <w:r>
              <w:rPr>
                <w:spacing w:val="-2"/>
                <w:sz w:val="20"/>
              </w:rPr>
              <w:t>2.246333</w:t>
            </w:r>
          </w:p>
        </w:tc>
        <w:tc>
          <w:tcPr>
            <w:tcW w:w="1432" w:type="dxa"/>
            <w:tcBorders>
              <w:bottom w:val="double" w:sz="6" w:space="0" w:color="000000"/>
            </w:tcBorders>
          </w:tcPr>
          <w:p>
            <w:pPr>
              <w:pStyle w:val="TableParagraph"/>
              <w:spacing w:line="226" w:lineRule="exact"/>
              <w:ind w:left="131"/>
              <w:rPr>
                <w:sz w:val="20"/>
              </w:rPr>
            </w:pPr>
            <w:r>
              <w:rPr>
                <w:spacing w:val="-2"/>
                <w:sz w:val="20"/>
              </w:rPr>
              <w:t>Prob(F-statistic)</w:t>
            </w:r>
          </w:p>
        </w:tc>
        <w:tc>
          <w:tcPr>
            <w:tcW w:w="936" w:type="dxa"/>
            <w:tcBorders>
              <w:bottom w:val="single" w:sz="6" w:space="0" w:color="000000"/>
            </w:tcBorders>
          </w:tcPr>
          <w:p>
            <w:pPr>
              <w:pStyle w:val="TableParagraph"/>
              <w:rPr>
                <w:sz w:val="18"/>
              </w:rPr>
            </w:pPr>
          </w:p>
        </w:tc>
        <w:tc>
          <w:tcPr>
            <w:tcW w:w="896" w:type="dxa"/>
            <w:tcBorders>
              <w:bottom w:val="double" w:sz="6" w:space="0" w:color="000000"/>
            </w:tcBorders>
          </w:tcPr>
          <w:p>
            <w:pPr>
              <w:pStyle w:val="TableParagraph"/>
              <w:spacing w:line="226" w:lineRule="exact"/>
              <w:ind w:right="26"/>
              <w:jc w:val="right"/>
              <w:rPr>
                <w:sz w:val="20"/>
              </w:rPr>
            </w:pPr>
            <w:r>
              <w:rPr>
                <w:spacing w:val="-2"/>
                <w:sz w:val="20"/>
              </w:rPr>
              <w:t>0.008303</w:t>
            </w:r>
          </w:p>
        </w:tc>
      </w:tr>
    </w:tbl>
    <w:p>
      <w:pPr>
        <w:pStyle w:val="BodyText"/>
        <w:rPr>
          <w:sz w:val="20"/>
        </w:rPr>
      </w:pPr>
    </w:p>
    <w:p>
      <w:pPr>
        <w:pStyle w:val="BodyText"/>
        <w:rPr>
          <w:sz w:val="20"/>
        </w:rPr>
      </w:pPr>
    </w:p>
    <w:p>
      <w:pPr>
        <w:pStyle w:val="BodyText"/>
        <w:spacing w:before="14"/>
        <w:rPr>
          <w:sz w:val="20"/>
        </w:rPr>
      </w:pPr>
    </w:p>
    <w:p>
      <w:pPr>
        <w:spacing w:before="0" w:after="3"/>
        <w:ind w:left="711" w:right="0" w:firstLine="0"/>
        <w:jc w:val="left"/>
        <w:rPr>
          <w:sz w:val="20"/>
        </w:rPr>
      </w:pPr>
      <w:r>
        <w:rPr>
          <w:sz w:val="20"/>
        </w:rPr>
        <w:t>EXTDEBT</w:t>
      </w:r>
      <w:r>
        <w:rPr>
          <w:spacing w:val="-5"/>
          <w:sz w:val="20"/>
        </w:rPr>
        <w:t> </w:t>
      </w:r>
      <w:r>
        <w:rPr>
          <w:sz w:val="20"/>
        </w:rPr>
        <w:t>@</w:t>
      </w:r>
      <w:r>
        <w:rPr>
          <w:spacing w:val="-5"/>
          <w:sz w:val="20"/>
        </w:rPr>
        <w:t> </w:t>
      </w:r>
      <w:r>
        <w:rPr>
          <w:sz w:val="20"/>
        </w:rPr>
        <w:t>1</w:t>
      </w:r>
      <w:r>
        <w:rPr>
          <w:sz w:val="20"/>
          <w:vertAlign w:val="superscript"/>
        </w:rPr>
        <w:t>ST</w:t>
      </w:r>
      <w:r>
        <w:rPr>
          <w:spacing w:val="-4"/>
          <w:sz w:val="20"/>
          <w:vertAlign w:val="baseline"/>
        </w:rPr>
        <w:t> DIFF</w:t>
      </w:r>
    </w:p>
    <w:tbl>
      <w:tblPr>
        <w:tblW w:w="0" w:type="auto"/>
        <w:jc w:val="left"/>
        <w:tblInd w:w="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54"/>
        <w:gridCol w:w="1268"/>
        <w:gridCol w:w="1432"/>
        <w:gridCol w:w="904"/>
        <w:gridCol w:w="929"/>
      </w:tblGrid>
      <w:tr>
        <w:trPr>
          <w:trHeight w:val="225" w:hRule="atLeast"/>
        </w:trPr>
        <w:tc>
          <w:tcPr>
            <w:tcW w:w="1954" w:type="dxa"/>
          </w:tcPr>
          <w:p>
            <w:pPr>
              <w:pStyle w:val="TableParagraph"/>
              <w:spacing w:line="205" w:lineRule="exact"/>
              <w:ind w:left="36"/>
              <w:rPr>
                <w:sz w:val="20"/>
              </w:rPr>
            </w:pPr>
            <w:r>
              <w:rPr>
                <w:sz w:val="20"/>
              </w:rPr>
              <w:t>ADF</w:t>
            </w:r>
            <w:r>
              <w:rPr>
                <w:spacing w:val="-4"/>
                <w:sz w:val="20"/>
              </w:rPr>
              <w:t> </w:t>
            </w:r>
            <w:r>
              <w:rPr>
                <w:sz w:val="20"/>
              </w:rPr>
              <w:t>Test</w:t>
            </w:r>
            <w:r>
              <w:rPr>
                <w:spacing w:val="-4"/>
                <w:sz w:val="20"/>
              </w:rPr>
              <w:t> </w:t>
            </w:r>
            <w:r>
              <w:rPr>
                <w:spacing w:val="-2"/>
                <w:sz w:val="20"/>
              </w:rPr>
              <w:t>Statistic</w:t>
            </w:r>
          </w:p>
        </w:tc>
        <w:tc>
          <w:tcPr>
            <w:tcW w:w="1268" w:type="dxa"/>
          </w:tcPr>
          <w:p>
            <w:pPr>
              <w:pStyle w:val="TableParagraph"/>
              <w:spacing w:line="205" w:lineRule="exact"/>
              <w:ind w:left="112"/>
              <w:rPr>
                <w:sz w:val="20"/>
              </w:rPr>
            </w:pPr>
            <w:r>
              <w:rPr>
                <w:spacing w:val="-4"/>
                <w:sz w:val="20"/>
              </w:rPr>
              <w:t>-</w:t>
            </w:r>
            <w:r>
              <w:rPr>
                <w:spacing w:val="-2"/>
                <w:sz w:val="20"/>
              </w:rPr>
              <w:t>8.348753</w:t>
            </w:r>
          </w:p>
        </w:tc>
        <w:tc>
          <w:tcPr>
            <w:tcW w:w="2336" w:type="dxa"/>
            <w:gridSpan w:val="2"/>
          </w:tcPr>
          <w:p>
            <w:pPr>
              <w:pStyle w:val="TableParagraph"/>
              <w:spacing w:line="205" w:lineRule="exact"/>
              <w:ind w:left="131"/>
              <w:rPr>
                <w:sz w:val="20"/>
              </w:rPr>
            </w:pPr>
            <w:r>
              <w:rPr>
                <w:sz w:val="20"/>
              </w:rPr>
              <w:t>1%</w:t>
            </w:r>
            <w:r>
              <w:rPr>
                <w:spacing w:val="68"/>
                <w:w w:val="150"/>
                <w:sz w:val="20"/>
              </w:rPr>
              <w:t> </w:t>
            </w:r>
            <w:r>
              <w:rPr>
                <w:sz w:val="20"/>
              </w:rPr>
              <w:t>Critical</w:t>
            </w:r>
            <w:r>
              <w:rPr>
                <w:spacing w:val="-2"/>
                <w:sz w:val="20"/>
              </w:rPr>
              <w:t> Value*</w:t>
            </w:r>
          </w:p>
        </w:tc>
        <w:tc>
          <w:tcPr>
            <w:tcW w:w="929" w:type="dxa"/>
          </w:tcPr>
          <w:p>
            <w:pPr>
              <w:pStyle w:val="TableParagraph"/>
              <w:spacing w:line="205" w:lineRule="exact"/>
              <w:ind w:right="27"/>
              <w:jc w:val="right"/>
              <w:rPr>
                <w:sz w:val="20"/>
              </w:rPr>
            </w:pPr>
            <w:r>
              <w:rPr>
                <w:spacing w:val="-4"/>
                <w:sz w:val="20"/>
              </w:rPr>
              <w:t>-</w:t>
            </w:r>
            <w:r>
              <w:rPr>
                <w:spacing w:val="-2"/>
                <w:sz w:val="20"/>
              </w:rPr>
              <w:t>3.6067</w:t>
            </w:r>
          </w:p>
        </w:tc>
      </w:tr>
      <w:tr>
        <w:trPr>
          <w:trHeight w:val="230" w:hRule="atLeast"/>
        </w:trPr>
        <w:tc>
          <w:tcPr>
            <w:tcW w:w="1954" w:type="dxa"/>
          </w:tcPr>
          <w:p>
            <w:pPr>
              <w:pStyle w:val="TableParagraph"/>
              <w:rPr>
                <w:sz w:val="16"/>
              </w:rPr>
            </w:pPr>
          </w:p>
        </w:tc>
        <w:tc>
          <w:tcPr>
            <w:tcW w:w="1268" w:type="dxa"/>
          </w:tcPr>
          <w:p>
            <w:pPr>
              <w:pStyle w:val="TableParagraph"/>
              <w:rPr>
                <w:sz w:val="16"/>
              </w:rPr>
            </w:pPr>
          </w:p>
        </w:tc>
        <w:tc>
          <w:tcPr>
            <w:tcW w:w="2336" w:type="dxa"/>
            <w:gridSpan w:val="2"/>
          </w:tcPr>
          <w:p>
            <w:pPr>
              <w:pStyle w:val="TableParagraph"/>
              <w:spacing w:line="210" w:lineRule="exact"/>
              <w:ind w:left="131"/>
              <w:rPr>
                <w:sz w:val="20"/>
              </w:rPr>
            </w:pPr>
            <w:r>
              <w:rPr>
                <w:sz w:val="20"/>
              </w:rPr>
              <w:t>5%</w:t>
            </w:r>
            <w:r>
              <w:rPr>
                <w:spacing w:val="68"/>
                <w:w w:val="150"/>
                <w:sz w:val="20"/>
              </w:rPr>
              <w:t> </w:t>
            </w:r>
            <w:r>
              <w:rPr>
                <w:sz w:val="20"/>
              </w:rPr>
              <w:t>Critical</w:t>
            </w:r>
            <w:r>
              <w:rPr>
                <w:spacing w:val="-2"/>
                <w:sz w:val="20"/>
              </w:rPr>
              <w:t> </w:t>
            </w:r>
            <w:r>
              <w:rPr>
                <w:spacing w:val="-4"/>
                <w:sz w:val="20"/>
              </w:rPr>
              <w:t>Value</w:t>
            </w:r>
          </w:p>
        </w:tc>
        <w:tc>
          <w:tcPr>
            <w:tcW w:w="929" w:type="dxa"/>
          </w:tcPr>
          <w:p>
            <w:pPr>
              <w:pStyle w:val="TableParagraph"/>
              <w:spacing w:line="210" w:lineRule="exact"/>
              <w:ind w:right="27"/>
              <w:jc w:val="right"/>
              <w:rPr>
                <w:sz w:val="20"/>
              </w:rPr>
            </w:pPr>
            <w:r>
              <w:rPr>
                <w:spacing w:val="-4"/>
                <w:sz w:val="20"/>
              </w:rPr>
              <w:t>-</w:t>
            </w:r>
            <w:r>
              <w:rPr>
                <w:spacing w:val="-2"/>
                <w:sz w:val="20"/>
              </w:rPr>
              <w:t>2.9378</w:t>
            </w:r>
          </w:p>
        </w:tc>
      </w:tr>
      <w:tr>
        <w:trPr>
          <w:trHeight w:val="224" w:hRule="atLeast"/>
        </w:trPr>
        <w:tc>
          <w:tcPr>
            <w:tcW w:w="1954" w:type="dxa"/>
            <w:tcBorders>
              <w:bottom w:val="double" w:sz="6" w:space="0" w:color="000000"/>
            </w:tcBorders>
          </w:tcPr>
          <w:p>
            <w:pPr>
              <w:pStyle w:val="TableParagraph"/>
              <w:rPr>
                <w:sz w:val="16"/>
              </w:rPr>
            </w:pPr>
          </w:p>
        </w:tc>
        <w:tc>
          <w:tcPr>
            <w:tcW w:w="1268" w:type="dxa"/>
            <w:tcBorders>
              <w:bottom w:val="double" w:sz="6" w:space="0" w:color="000000"/>
            </w:tcBorders>
          </w:tcPr>
          <w:p>
            <w:pPr>
              <w:pStyle w:val="TableParagraph"/>
              <w:rPr>
                <w:sz w:val="16"/>
              </w:rPr>
            </w:pPr>
          </w:p>
        </w:tc>
        <w:tc>
          <w:tcPr>
            <w:tcW w:w="2336" w:type="dxa"/>
            <w:gridSpan w:val="2"/>
            <w:tcBorders>
              <w:bottom w:val="double" w:sz="6" w:space="0" w:color="000000"/>
            </w:tcBorders>
          </w:tcPr>
          <w:p>
            <w:pPr>
              <w:pStyle w:val="TableParagraph"/>
              <w:spacing w:line="205" w:lineRule="exact"/>
              <w:ind w:left="131"/>
              <w:rPr>
                <w:sz w:val="20"/>
              </w:rPr>
            </w:pPr>
            <w:r>
              <w:rPr>
                <w:sz w:val="20"/>
              </w:rPr>
              <w:t>10%</w:t>
            </w:r>
            <w:r>
              <w:rPr>
                <w:spacing w:val="-6"/>
                <w:sz w:val="20"/>
              </w:rPr>
              <w:t> </w:t>
            </w:r>
            <w:r>
              <w:rPr>
                <w:sz w:val="20"/>
              </w:rPr>
              <w:t>Critical</w:t>
            </w:r>
            <w:r>
              <w:rPr>
                <w:spacing w:val="-4"/>
                <w:sz w:val="20"/>
              </w:rPr>
              <w:t> </w:t>
            </w:r>
            <w:r>
              <w:rPr>
                <w:spacing w:val="-2"/>
                <w:sz w:val="20"/>
              </w:rPr>
              <w:t>Value</w:t>
            </w:r>
          </w:p>
        </w:tc>
        <w:tc>
          <w:tcPr>
            <w:tcW w:w="929" w:type="dxa"/>
            <w:tcBorders>
              <w:bottom w:val="double" w:sz="6" w:space="0" w:color="000000"/>
            </w:tcBorders>
          </w:tcPr>
          <w:p>
            <w:pPr>
              <w:pStyle w:val="TableParagraph"/>
              <w:spacing w:line="205" w:lineRule="exact"/>
              <w:ind w:right="27"/>
              <w:jc w:val="right"/>
              <w:rPr>
                <w:sz w:val="20"/>
              </w:rPr>
            </w:pPr>
            <w:r>
              <w:rPr>
                <w:spacing w:val="-4"/>
                <w:sz w:val="20"/>
              </w:rPr>
              <w:t>-</w:t>
            </w:r>
            <w:r>
              <w:rPr>
                <w:spacing w:val="-2"/>
                <w:sz w:val="20"/>
              </w:rPr>
              <w:t>2.6069</w:t>
            </w:r>
          </w:p>
        </w:tc>
      </w:tr>
      <w:tr>
        <w:trPr>
          <w:trHeight w:val="505" w:hRule="atLeast"/>
        </w:trPr>
        <w:tc>
          <w:tcPr>
            <w:tcW w:w="6487" w:type="dxa"/>
            <w:gridSpan w:val="5"/>
            <w:tcBorders>
              <w:top w:val="double" w:sz="6" w:space="0" w:color="000000"/>
            </w:tcBorders>
          </w:tcPr>
          <w:p>
            <w:pPr>
              <w:pStyle w:val="TableParagraph"/>
              <w:spacing w:before="40"/>
              <w:ind w:left="36"/>
              <w:rPr>
                <w:sz w:val="20"/>
              </w:rPr>
            </w:pPr>
            <w:r>
              <w:rPr>
                <w:sz w:val="20"/>
              </w:rPr>
              <w:t>*MacKinnon</w:t>
            </w:r>
            <w:r>
              <w:rPr>
                <w:spacing w:val="-6"/>
                <w:sz w:val="20"/>
              </w:rPr>
              <w:t> </w:t>
            </w:r>
            <w:r>
              <w:rPr>
                <w:sz w:val="20"/>
              </w:rPr>
              <w:t>critical</w:t>
            </w:r>
            <w:r>
              <w:rPr>
                <w:spacing w:val="-4"/>
                <w:sz w:val="20"/>
              </w:rPr>
              <w:t> </w:t>
            </w:r>
            <w:r>
              <w:rPr>
                <w:sz w:val="20"/>
              </w:rPr>
              <w:t>values</w:t>
            </w:r>
            <w:r>
              <w:rPr>
                <w:spacing w:val="-6"/>
                <w:sz w:val="20"/>
              </w:rPr>
              <w:t> </w:t>
            </w:r>
            <w:r>
              <w:rPr>
                <w:sz w:val="20"/>
              </w:rPr>
              <w:t>for</w:t>
            </w:r>
            <w:r>
              <w:rPr>
                <w:spacing w:val="-4"/>
                <w:sz w:val="20"/>
              </w:rPr>
              <w:t> </w:t>
            </w:r>
            <w:r>
              <w:rPr>
                <w:sz w:val="20"/>
              </w:rPr>
              <w:t>rejection</w:t>
            </w:r>
            <w:r>
              <w:rPr>
                <w:spacing w:val="-6"/>
                <w:sz w:val="20"/>
              </w:rPr>
              <w:t> </w:t>
            </w:r>
            <w:r>
              <w:rPr>
                <w:sz w:val="20"/>
              </w:rPr>
              <w:t>of</w:t>
            </w:r>
            <w:r>
              <w:rPr>
                <w:spacing w:val="-6"/>
                <w:sz w:val="20"/>
              </w:rPr>
              <w:t> </w:t>
            </w:r>
            <w:r>
              <w:rPr>
                <w:sz w:val="20"/>
              </w:rPr>
              <w:t>hypothesis</w:t>
            </w:r>
            <w:r>
              <w:rPr>
                <w:spacing w:val="-6"/>
                <w:sz w:val="20"/>
              </w:rPr>
              <w:t> </w:t>
            </w:r>
            <w:r>
              <w:rPr>
                <w:sz w:val="20"/>
              </w:rPr>
              <w:t>of</w:t>
            </w:r>
            <w:r>
              <w:rPr>
                <w:spacing w:val="-6"/>
                <w:sz w:val="20"/>
              </w:rPr>
              <w:t> </w:t>
            </w:r>
            <w:r>
              <w:rPr>
                <w:sz w:val="20"/>
              </w:rPr>
              <w:t>a</w:t>
            </w:r>
            <w:r>
              <w:rPr>
                <w:spacing w:val="-4"/>
                <w:sz w:val="20"/>
              </w:rPr>
              <w:t> </w:t>
            </w:r>
            <w:r>
              <w:rPr>
                <w:sz w:val="20"/>
              </w:rPr>
              <w:t>unit</w:t>
            </w:r>
            <w:r>
              <w:rPr>
                <w:spacing w:val="-6"/>
                <w:sz w:val="20"/>
              </w:rPr>
              <w:t> </w:t>
            </w:r>
            <w:r>
              <w:rPr>
                <w:spacing w:val="-2"/>
                <w:sz w:val="20"/>
              </w:rPr>
              <w:t>root.</w:t>
            </w:r>
          </w:p>
        </w:tc>
      </w:tr>
      <w:tr>
        <w:trPr>
          <w:trHeight w:val="459" w:hRule="atLeast"/>
        </w:trPr>
        <w:tc>
          <w:tcPr>
            <w:tcW w:w="6487" w:type="dxa"/>
            <w:gridSpan w:val="5"/>
          </w:tcPr>
          <w:p>
            <w:pPr>
              <w:pStyle w:val="TableParagraph"/>
              <w:spacing w:line="214" w:lineRule="exact" w:before="226"/>
              <w:ind w:left="36"/>
              <w:rPr>
                <w:sz w:val="20"/>
              </w:rPr>
            </w:pPr>
            <w:r>
              <w:rPr>
                <w:sz w:val="20"/>
              </w:rPr>
              <w:t>Augmented</w:t>
            </w:r>
            <w:r>
              <w:rPr>
                <w:spacing w:val="-8"/>
                <w:sz w:val="20"/>
              </w:rPr>
              <w:t> </w:t>
            </w:r>
            <w:r>
              <w:rPr>
                <w:sz w:val="20"/>
              </w:rPr>
              <w:t>Dickey-Fuller</w:t>
            </w:r>
            <w:r>
              <w:rPr>
                <w:spacing w:val="-8"/>
                <w:sz w:val="20"/>
              </w:rPr>
              <w:t> </w:t>
            </w:r>
            <w:r>
              <w:rPr>
                <w:sz w:val="20"/>
              </w:rPr>
              <w:t>Test</w:t>
            </w:r>
            <w:r>
              <w:rPr>
                <w:spacing w:val="-8"/>
                <w:sz w:val="20"/>
              </w:rPr>
              <w:t> </w:t>
            </w:r>
            <w:r>
              <w:rPr>
                <w:spacing w:val="-2"/>
                <w:sz w:val="20"/>
              </w:rPr>
              <w:t>Equation</w:t>
            </w:r>
          </w:p>
        </w:tc>
      </w:tr>
      <w:tr>
        <w:trPr>
          <w:trHeight w:val="229" w:hRule="atLeast"/>
        </w:trPr>
        <w:tc>
          <w:tcPr>
            <w:tcW w:w="6487" w:type="dxa"/>
            <w:gridSpan w:val="5"/>
          </w:tcPr>
          <w:p>
            <w:pPr>
              <w:pStyle w:val="TableParagraph"/>
              <w:spacing w:line="209" w:lineRule="exact"/>
              <w:ind w:left="36"/>
              <w:rPr>
                <w:sz w:val="20"/>
              </w:rPr>
            </w:pPr>
            <w:r>
              <w:rPr>
                <w:sz w:val="20"/>
              </w:rPr>
              <w:t>Dependent</w:t>
            </w:r>
            <w:r>
              <w:rPr>
                <w:spacing w:val="-8"/>
                <w:sz w:val="20"/>
              </w:rPr>
              <w:t> </w:t>
            </w:r>
            <w:r>
              <w:rPr>
                <w:sz w:val="20"/>
              </w:rPr>
              <w:t>Variable:</w:t>
            </w:r>
            <w:r>
              <w:rPr>
                <w:spacing w:val="-8"/>
                <w:sz w:val="20"/>
              </w:rPr>
              <w:t> </w:t>
            </w:r>
            <w:r>
              <w:rPr>
                <w:spacing w:val="-2"/>
                <w:sz w:val="20"/>
              </w:rPr>
              <w:t>D(EXTDEBT,2)</w:t>
            </w:r>
          </w:p>
        </w:tc>
      </w:tr>
      <w:tr>
        <w:trPr>
          <w:trHeight w:val="230" w:hRule="atLeast"/>
        </w:trPr>
        <w:tc>
          <w:tcPr>
            <w:tcW w:w="1954" w:type="dxa"/>
          </w:tcPr>
          <w:p>
            <w:pPr>
              <w:pStyle w:val="TableParagraph"/>
              <w:spacing w:line="210" w:lineRule="exact"/>
              <w:ind w:left="36"/>
              <w:rPr>
                <w:sz w:val="20"/>
              </w:rPr>
            </w:pPr>
            <w:r>
              <w:rPr>
                <w:sz w:val="20"/>
              </w:rPr>
              <w:t>Method:</w:t>
            </w:r>
            <w:r>
              <w:rPr>
                <w:spacing w:val="-8"/>
                <w:sz w:val="20"/>
              </w:rPr>
              <w:t> </w:t>
            </w:r>
            <w:r>
              <w:rPr>
                <w:sz w:val="20"/>
              </w:rPr>
              <w:t>Least</w:t>
            </w:r>
            <w:r>
              <w:rPr>
                <w:spacing w:val="-7"/>
                <w:sz w:val="20"/>
              </w:rPr>
              <w:t> </w:t>
            </w:r>
            <w:r>
              <w:rPr>
                <w:spacing w:val="-2"/>
                <w:sz w:val="20"/>
              </w:rPr>
              <w:t>Squares</w:t>
            </w:r>
          </w:p>
        </w:tc>
        <w:tc>
          <w:tcPr>
            <w:tcW w:w="1268" w:type="dxa"/>
          </w:tcPr>
          <w:p>
            <w:pPr>
              <w:pStyle w:val="TableParagraph"/>
              <w:rPr>
                <w:sz w:val="16"/>
              </w:rPr>
            </w:pPr>
          </w:p>
        </w:tc>
        <w:tc>
          <w:tcPr>
            <w:tcW w:w="1432" w:type="dxa"/>
          </w:tcPr>
          <w:p>
            <w:pPr>
              <w:pStyle w:val="TableParagraph"/>
              <w:rPr>
                <w:sz w:val="16"/>
              </w:rPr>
            </w:pPr>
          </w:p>
        </w:tc>
        <w:tc>
          <w:tcPr>
            <w:tcW w:w="904" w:type="dxa"/>
          </w:tcPr>
          <w:p>
            <w:pPr>
              <w:pStyle w:val="TableParagraph"/>
              <w:rPr>
                <w:sz w:val="16"/>
              </w:rPr>
            </w:pPr>
          </w:p>
        </w:tc>
        <w:tc>
          <w:tcPr>
            <w:tcW w:w="929" w:type="dxa"/>
          </w:tcPr>
          <w:p>
            <w:pPr>
              <w:pStyle w:val="TableParagraph"/>
              <w:rPr>
                <w:sz w:val="16"/>
              </w:rPr>
            </w:pPr>
          </w:p>
        </w:tc>
      </w:tr>
      <w:tr>
        <w:trPr>
          <w:trHeight w:val="230" w:hRule="atLeast"/>
        </w:trPr>
        <w:tc>
          <w:tcPr>
            <w:tcW w:w="6487" w:type="dxa"/>
            <w:gridSpan w:val="5"/>
          </w:tcPr>
          <w:p>
            <w:pPr>
              <w:pStyle w:val="TableParagraph"/>
              <w:spacing w:line="210" w:lineRule="exact"/>
              <w:ind w:left="36"/>
              <w:rPr>
                <w:sz w:val="20"/>
              </w:rPr>
            </w:pPr>
            <w:r>
              <w:rPr>
                <w:sz w:val="20"/>
              </w:rPr>
              <w:t>Date:</w:t>
            </w:r>
            <w:r>
              <w:rPr>
                <w:spacing w:val="-5"/>
                <w:sz w:val="20"/>
              </w:rPr>
              <w:t> </w:t>
            </w:r>
            <w:r>
              <w:rPr>
                <w:sz w:val="20"/>
              </w:rPr>
              <w:t>02/17/14</w:t>
            </w:r>
            <w:r>
              <w:rPr>
                <w:spacing w:val="63"/>
                <w:w w:val="150"/>
                <w:sz w:val="20"/>
              </w:rPr>
              <w:t> </w:t>
            </w:r>
            <w:r>
              <w:rPr>
                <w:sz w:val="20"/>
              </w:rPr>
              <w:t>Time:</w:t>
            </w:r>
            <w:r>
              <w:rPr>
                <w:spacing w:val="-3"/>
                <w:sz w:val="20"/>
              </w:rPr>
              <w:t> </w:t>
            </w:r>
            <w:r>
              <w:rPr>
                <w:spacing w:val="-2"/>
                <w:sz w:val="20"/>
              </w:rPr>
              <w:t>16:52</w:t>
            </w:r>
          </w:p>
        </w:tc>
      </w:tr>
      <w:tr>
        <w:trPr>
          <w:trHeight w:val="230" w:hRule="atLeast"/>
        </w:trPr>
        <w:tc>
          <w:tcPr>
            <w:tcW w:w="6487" w:type="dxa"/>
            <w:gridSpan w:val="5"/>
          </w:tcPr>
          <w:p>
            <w:pPr>
              <w:pStyle w:val="TableParagraph"/>
              <w:spacing w:line="210" w:lineRule="exact"/>
              <w:ind w:left="36"/>
              <w:rPr>
                <w:sz w:val="20"/>
              </w:rPr>
            </w:pPr>
            <w:r>
              <w:rPr>
                <w:sz w:val="20"/>
              </w:rPr>
              <w:t>Sample(adjusted):</w:t>
            </w:r>
            <w:r>
              <w:rPr>
                <w:spacing w:val="-9"/>
                <w:sz w:val="20"/>
              </w:rPr>
              <w:t> </w:t>
            </w:r>
            <w:r>
              <w:rPr>
                <w:sz w:val="20"/>
              </w:rPr>
              <w:t>1973</w:t>
            </w:r>
            <w:r>
              <w:rPr>
                <w:spacing w:val="-9"/>
                <w:sz w:val="20"/>
              </w:rPr>
              <w:t> </w:t>
            </w:r>
            <w:r>
              <w:rPr>
                <w:spacing w:val="-4"/>
                <w:sz w:val="20"/>
              </w:rPr>
              <w:t>2011</w:t>
            </w:r>
          </w:p>
        </w:tc>
      </w:tr>
      <w:tr>
        <w:trPr>
          <w:trHeight w:val="224" w:hRule="atLeast"/>
        </w:trPr>
        <w:tc>
          <w:tcPr>
            <w:tcW w:w="6487" w:type="dxa"/>
            <w:gridSpan w:val="5"/>
            <w:tcBorders>
              <w:bottom w:val="double" w:sz="6" w:space="0" w:color="000000"/>
            </w:tcBorders>
          </w:tcPr>
          <w:p>
            <w:pPr>
              <w:pStyle w:val="TableParagraph"/>
              <w:spacing w:line="205" w:lineRule="exact"/>
              <w:ind w:left="36"/>
              <w:rPr>
                <w:sz w:val="20"/>
              </w:rPr>
            </w:pPr>
            <w:r>
              <w:rPr>
                <w:sz w:val="20"/>
              </w:rPr>
              <w:t>Included</w:t>
            </w:r>
            <w:r>
              <w:rPr>
                <w:spacing w:val="-6"/>
                <w:sz w:val="20"/>
              </w:rPr>
              <w:t> </w:t>
            </w:r>
            <w:r>
              <w:rPr>
                <w:sz w:val="20"/>
              </w:rPr>
              <w:t>observations:</w:t>
            </w:r>
            <w:r>
              <w:rPr>
                <w:spacing w:val="-8"/>
                <w:sz w:val="20"/>
              </w:rPr>
              <w:t> </w:t>
            </w:r>
            <w:r>
              <w:rPr>
                <w:sz w:val="20"/>
              </w:rPr>
              <w:t>39</w:t>
            </w:r>
            <w:r>
              <w:rPr>
                <w:spacing w:val="-5"/>
                <w:sz w:val="20"/>
              </w:rPr>
              <w:t> </w:t>
            </w:r>
            <w:r>
              <w:rPr>
                <w:sz w:val="20"/>
              </w:rPr>
              <w:t>after</w:t>
            </w:r>
            <w:r>
              <w:rPr>
                <w:spacing w:val="-7"/>
                <w:sz w:val="20"/>
              </w:rPr>
              <w:t> </w:t>
            </w:r>
            <w:r>
              <w:rPr>
                <w:sz w:val="20"/>
              </w:rPr>
              <w:t>adjusting</w:t>
            </w:r>
            <w:r>
              <w:rPr>
                <w:spacing w:val="-7"/>
                <w:sz w:val="20"/>
              </w:rPr>
              <w:t> </w:t>
            </w:r>
            <w:r>
              <w:rPr>
                <w:spacing w:val="-2"/>
                <w:sz w:val="20"/>
              </w:rPr>
              <w:t>endpoints</w:t>
            </w:r>
          </w:p>
        </w:tc>
      </w:tr>
      <w:tr>
        <w:trPr>
          <w:trHeight w:val="269" w:hRule="atLeast"/>
        </w:trPr>
        <w:tc>
          <w:tcPr>
            <w:tcW w:w="1954" w:type="dxa"/>
            <w:tcBorders>
              <w:top w:val="double" w:sz="6" w:space="0" w:color="000000"/>
              <w:bottom w:val="double" w:sz="6" w:space="0" w:color="000000"/>
            </w:tcBorders>
          </w:tcPr>
          <w:p>
            <w:pPr>
              <w:pStyle w:val="TableParagraph"/>
              <w:spacing w:line="209" w:lineRule="exact" w:before="40"/>
              <w:ind w:left="677"/>
              <w:rPr>
                <w:sz w:val="20"/>
              </w:rPr>
            </w:pPr>
            <w:r>
              <w:rPr>
                <w:spacing w:val="-2"/>
                <w:sz w:val="20"/>
              </w:rPr>
              <w:t>Variable</w:t>
            </w:r>
          </w:p>
        </w:tc>
        <w:tc>
          <w:tcPr>
            <w:tcW w:w="1268" w:type="dxa"/>
            <w:tcBorders>
              <w:top w:val="double" w:sz="6" w:space="0" w:color="000000"/>
              <w:bottom w:val="double" w:sz="6" w:space="0" w:color="000000"/>
            </w:tcBorders>
          </w:tcPr>
          <w:p>
            <w:pPr>
              <w:pStyle w:val="TableParagraph"/>
              <w:spacing w:line="209" w:lineRule="exact" w:before="40"/>
              <w:ind w:right="131"/>
              <w:jc w:val="right"/>
              <w:rPr>
                <w:sz w:val="20"/>
              </w:rPr>
            </w:pPr>
            <w:r>
              <w:rPr>
                <w:spacing w:val="-2"/>
                <w:sz w:val="20"/>
              </w:rPr>
              <w:t>Coefficient</w:t>
            </w:r>
          </w:p>
        </w:tc>
        <w:tc>
          <w:tcPr>
            <w:tcW w:w="1432" w:type="dxa"/>
            <w:tcBorders>
              <w:top w:val="double" w:sz="6" w:space="0" w:color="000000"/>
              <w:bottom w:val="double" w:sz="6" w:space="0" w:color="000000"/>
            </w:tcBorders>
          </w:tcPr>
          <w:p>
            <w:pPr>
              <w:pStyle w:val="TableParagraph"/>
              <w:spacing w:line="209" w:lineRule="exact" w:before="40"/>
              <w:ind w:left="273"/>
              <w:rPr>
                <w:sz w:val="20"/>
              </w:rPr>
            </w:pPr>
            <w:r>
              <w:rPr>
                <w:sz w:val="20"/>
              </w:rPr>
              <w:t>Std.</w:t>
            </w:r>
            <w:r>
              <w:rPr>
                <w:spacing w:val="-4"/>
                <w:sz w:val="20"/>
              </w:rPr>
              <w:t> </w:t>
            </w:r>
            <w:r>
              <w:rPr>
                <w:spacing w:val="-2"/>
                <w:sz w:val="20"/>
              </w:rPr>
              <w:t>Error</w:t>
            </w:r>
          </w:p>
        </w:tc>
        <w:tc>
          <w:tcPr>
            <w:tcW w:w="904" w:type="dxa"/>
            <w:tcBorders>
              <w:top w:val="double" w:sz="6" w:space="0" w:color="000000"/>
              <w:bottom w:val="double" w:sz="6" w:space="0" w:color="000000"/>
            </w:tcBorders>
          </w:tcPr>
          <w:p>
            <w:pPr>
              <w:pStyle w:val="TableParagraph"/>
              <w:spacing w:line="209" w:lineRule="exact" w:before="40"/>
              <w:ind w:right="22"/>
              <w:jc w:val="center"/>
              <w:rPr>
                <w:sz w:val="20"/>
              </w:rPr>
            </w:pPr>
            <w:r>
              <w:rPr>
                <w:spacing w:val="-4"/>
                <w:sz w:val="20"/>
              </w:rPr>
              <w:t>t-</w:t>
            </w:r>
            <w:r>
              <w:rPr>
                <w:spacing w:val="-2"/>
                <w:sz w:val="20"/>
              </w:rPr>
              <w:t>Statistic</w:t>
            </w:r>
          </w:p>
        </w:tc>
        <w:tc>
          <w:tcPr>
            <w:tcW w:w="929" w:type="dxa"/>
            <w:tcBorders>
              <w:top w:val="double" w:sz="6" w:space="0" w:color="000000"/>
              <w:bottom w:val="double" w:sz="6" w:space="0" w:color="000000"/>
            </w:tcBorders>
          </w:tcPr>
          <w:p>
            <w:pPr>
              <w:pStyle w:val="TableParagraph"/>
              <w:spacing w:line="209" w:lineRule="exact" w:before="40"/>
              <w:ind w:right="28"/>
              <w:jc w:val="right"/>
              <w:rPr>
                <w:sz w:val="20"/>
              </w:rPr>
            </w:pPr>
            <w:r>
              <w:rPr>
                <w:spacing w:val="-2"/>
                <w:sz w:val="20"/>
              </w:rPr>
              <w:t>Prob.</w:t>
            </w:r>
          </w:p>
        </w:tc>
      </w:tr>
      <w:tr>
        <w:trPr>
          <w:trHeight w:val="275" w:hRule="atLeast"/>
        </w:trPr>
        <w:tc>
          <w:tcPr>
            <w:tcW w:w="1954" w:type="dxa"/>
            <w:tcBorders>
              <w:top w:val="double" w:sz="6" w:space="0" w:color="000000"/>
            </w:tcBorders>
          </w:tcPr>
          <w:p>
            <w:pPr>
              <w:pStyle w:val="TableParagraph"/>
              <w:spacing w:line="215" w:lineRule="exact" w:before="40"/>
              <w:ind w:left="278"/>
              <w:rPr>
                <w:sz w:val="20"/>
              </w:rPr>
            </w:pPr>
            <w:r>
              <w:rPr>
                <w:spacing w:val="-2"/>
                <w:sz w:val="20"/>
              </w:rPr>
              <w:t>D(EXTDEBT(-</w:t>
            </w:r>
            <w:r>
              <w:rPr>
                <w:spacing w:val="-5"/>
                <w:sz w:val="20"/>
              </w:rPr>
              <w:t>1))</w:t>
            </w:r>
          </w:p>
        </w:tc>
        <w:tc>
          <w:tcPr>
            <w:tcW w:w="1268" w:type="dxa"/>
            <w:tcBorders>
              <w:top w:val="double" w:sz="6" w:space="0" w:color="000000"/>
            </w:tcBorders>
          </w:tcPr>
          <w:p>
            <w:pPr>
              <w:pStyle w:val="TableParagraph"/>
              <w:spacing w:line="215" w:lineRule="exact" w:before="40"/>
              <w:ind w:right="128"/>
              <w:jc w:val="right"/>
              <w:rPr>
                <w:sz w:val="20"/>
              </w:rPr>
            </w:pPr>
            <w:r>
              <w:rPr>
                <w:spacing w:val="-4"/>
                <w:sz w:val="20"/>
              </w:rPr>
              <w:t>-</w:t>
            </w:r>
            <w:r>
              <w:rPr>
                <w:spacing w:val="-2"/>
                <w:sz w:val="20"/>
              </w:rPr>
              <w:t>1.969770</w:t>
            </w:r>
          </w:p>
        </w:tc>
        <w:tc>
          <w:tcPr>
            <w:tcW w:w="1432" w:type="dxa"/>
            <w:tcBorders>
              <w:top w:val="double" w:sz="6" w:space="0" w:color="000000"/>
            </w:tcBorders>
          </w:tcPr>
          <w:p>
            <w:pPr>
              <w:pStyle w:val="TableParagraph"/>
              <w:spacing w:line="215" w:lineRule="exact" w:before="40"/>
              <w:ind w:left="311"/>
              <w:rPr>
                <w:sz w:val="20"/>
              </w:rPr>
            </w:pPr>
            <w:r>
              <w:rPr>
                <w:spacing w:val="-2"/>
                <w:sz w:val="20"/>
              </w:rPr>
              <w:t>0.235936</w:t>
            </w:r>
          </w:p>
        </w:tc>
        <w:tc>
          <w:tcPr>
            <w:tcW w:w="904" w:type="dxa"/>
            <w:tcBorders>
              <w:top w:val="double" w:sz="6" w:space="0" w:color="000000"/>
            </w:tcBorders>
          </w:tcPr>
          <w:p>
            <w:pPr>
              <w:pStyle w:val="TableParagraph"/>
              <w:spacing w:line="215" w:lineRule="exact" w:before="40"/>
              <w:ind w:right="70"/>
              <w:jc w:val="center"/>
              <w:rPr>
                <w:sz w:val="20"/>
              </w:rPr>
            </w:pPr>
            <w:r>
              <w:rPr>
                <w:spacing w:val="-4"/>
                <w:sz w:val="20"/>
              </w:rPr>
              <w:t>-</w:t>
            </w:r>
            <w:r>
              <w:rPr>
                <w:spacing w:val="-2"/>
                <w:sz w:val="20"/>
              </w:rPr>
              <w:t>8.348753</w:t>
            </w:r>
          </w:p>
        </w:tc>
        <w:tc>
          <w:tcPr>
            <w:tcW w:w="929" w:type="dxa"/>
            <w:tcBorders>
              <w:top w:val="double" w:sz="6" w:space="0" w:color="000000"/>
            </w:tcBorders>
          </w:tcPr>
          <w:p>
            <w:pPr>
              <w:pStyle w:val="TableParagraph"/>
              <w:spacing w:line="215" w:lineRule="exact" w:before="40"/>
              <w:ind w:right="27"/>
              <w:jc w:val="right"/>
              <w:rPr>
                <w:sz w:val="20"/>
              </w:rPr>
            </w:pPr>
            <w:r>
              <w:rPr>
                <w:spacing w:val="-2"/>
                <w:sz w:val="20"/>
              </w:rPr>
              <w:t>0.0000</w:t>
            </w:r>
          </w:p>
        </w:tc>
      </w:tr>
      <w:tr>
        <w:trPr>
          <w:trHeight w:val="230" w:hRule="atLeast"/>
        </w:trPr>
        <w:tc>
          <w:tcPr>
            <w:tcW w:w="1954" w:type="dxa"/>
          </w:tcPr>
          <w:p>
            <w:pPr>
              <w:pStyle w:val="TableParagraph"/>
              <w:spacing w:line="210" w:lineRule="exact"/>
              <w:ind w:left="202"/>
              <w:rPr>
                <w:sz w:val="20"/>
              </w:rPr>
            </w:pPr>
            <w:r>
              <w:rPr>
                <w:spacing w:val="-2"/>
                <w:sz w:val="20"/>
              </w:rPr>
              <w:t>D(EXTDEBT(-</w:t>
            </w:r>
            <w:r>
              <w:rPr>
                <w:spacing w:val="-4"/>
                <w:sz w:val="20"/>
              </w:rPr>
              <w:t>1),2)</w:t>
            </w:r>
          </w:p>
        </w:tc>
        <w:tc>
          <w:tcPr>
            <w:tcW w:w="1268" w:type="dxa"/>
          </w:tcPr>
          <w:p>
            <w:pPr>
              <w:pStyle w:val="TableParagraph"/>
              <w:spacing w:line="210" w:lineRule="exact"/>
              <w:ind w:right="128"/>
              <w:jc w:val="right"/>
              <w:rPr>
                <w:sz w:val="20"/>
              </w:rPr>
            </w:pPr>
            <w:r>
              <w:rPr>
                <w:spacing w:val="-2"/>
                <w:sz w:val="20"/>
              </w:rPr>
              <w:t>0.437732</w:t>
            </w:r>
          </w:p>
        </w:tc>
        <w:tc>
          <w:tcPr>
            <w:tcW w:w="1432" w:type="dxa"/>
          </w:tcPr>
          <w:p>
            <w:pPr>
              <w:pStyle w:val="TableParagraph"/>
              <w:spacing w:line="210" w:lineRule="exact"/>
              <w:ind w:left="311"/>
              <w:rPr>
                <w:sz w:val="20"/>
              </w:rPr>
            </w:pPr>
            <w:r>
              <w:rPr>
                <w:spacing w:val="-2"/>
                <w:sz w:val="20"/>
              </w:rPr>
              <w:t>0.143023</w:t>
            </w:r>
          </w:p>
        </w:tc>
        <w:tc>
          <w:tcPr>
            <w:tcW w:w="904" w:type="dxa"/>
          </w:tcPr>
          <w:p>
            <w:pPr>
              <w:pStyle w:val="TableParagraph"/>
              <w:spacing w:line="210" w:lineRule="exact"/>
              <w:ind w:right="5"/>
              <w:jc w:val="center"/>
              <w:rPr>
                <w:sz w:val="20"/>
              </w:rPr>
            </w:pPr>
            <w:r>
              <w:rPr>
                <w:spacing w:val="-2"/>
                <w:sz w:val="20"/>
              </w:rPr>
              <w:t>3.060567</w:t>
            </w:r>
          </w:p>
        </w:tc>
        <w:tc>
          <w:tcPr>
            <w:tcW w:w="929" w:type="dxa"/>
          </w:tcPr>
          <w:p>
            <w:pPr>
              <w:pStyle w:val="TableParagraph"/>
              <w:spacing w:line="210" w:lineRule="exact"/>
              <w:ind w:right="27"/>
              <w:jc w:val="right"/>
              <w:rPr>
                <w:sz w:val="20"/>
              </w:rPr>
            </w:pPr>
            <w:r>
              <w:rPr>
                <w:spacing w:val="-2"/>
                <w:sz w:val="20"/>
              </w:rPr>
              <w:t>0.0042</w:t>
            </w:r>
          </w:p>
        </w:tc>
      </w:tr>
      <w:tr>
        <w:trPr>
          <w:trHeight w:val="224" w:hRule="atLeast"/>
        </w:trPr>
        <w:tc>
          <w:tcPr>
            <w:tcW w:w="1954" w:type="dxa"/>
            <w:tcBorders>
              <w:bottom w:val="double" w:sz="6" w:space="0" w:color="000000"/>
            </w:tcBorders>
          </w:tcPr>
          <w:p>
            <w:pPr>
              <w:pStyle w:val="TableParagraph"/>
              <w:spacing w:line="205" w:lineRule="exact"/>
              <w:ind w:left="90"/>
              <w:jc w:val="center"/>
              <w:rPr>
                <w:sz w:val="20"/>
              </w:rPr>
            </w:pPr>
            <w:r>
              <w:rPr>
                <w:spacing w:val="-10"/>
                <w:sz w:val="20"/>
              </w:rPr>
              <w:t>C</w:t>
            </w:r>
          </w:p>
        </w:tc>
        <w:tc>
          <w:tcPr>
            <w:tcW w:w="1268" w:type="dxa"/>
            <w:tcBorders>
              <w:bottom w:val="double" w:sz="6" w:space="0" w:color="000000"/>
            </w:tcBorders>
          </w:tcPr>
          <w:p>
            <w:pPr>
              <w:pStyle w:val="TableParagraph"/>
              <w:spacing w:line="205" w:lineRule="exact"/>
              <w:ind w:right="128"/>
              <w:jc w:val="right"/>
              <w:rPr>
                <w:sz w:val="20"/>
              </w:rPr>
            </w:pPr>
            <w:r>
              <w:rPr>
                <w:spacing w:val="-2"/>
                <w:sz w:val="20"/>
              </w:rPr>
              <w:t>0.470617</w:t>
            </w:r>
          </w:p>
        </w:tc>
        <w:tc>
          <w:tcPr>
            <w:tcW w:w="1432" w:type="dxa"/>
            <w:tcBorders>
              <w:bottom w:val="double" w:sz="6" w:space="0" w:color="000000"/>
            </w:tcBorders>
          </w:tcPr>
          <w:p>
            <w:pPr>
              <w:pStyle w:val="TableParagraph"/>
              <w:spacing w:line="205" w:lineRule="exact"/>
              <w:ind w:left="311"/>
              <w:rPr>
                <w:sz w:val="20"/>
              </w:rPr>
            </w:pPr>
            <w:r>
              <w:rPr>
                <w:spacing w:val="-2"/>
                <w:sz w:val="20"/>
              </w:rPr>
              <w:t>0.311519</w:t>
            </w:r>
          </w:p>
        </w:tc>
        <w:tc>
          <w:tcPr>
            <w:tcW w:w="904" w:type="dxa"/>
            <w:tcBorders>
              <w:bottom w:val="double" w:sz="6" w:space="0" w:color="000000"/>
            </w:tcBorders>
          </w:tcPr>
          <w:p>
            <w:pPr>
              <w:pStyle w:val="TableParagraph"/>
              <w:spacing w:line="205" w:lineRule="exact"/>
              <w:ind w:right="5"/>
              <w:jc w:val="center"/>
              <w:rPr>
                <w:sz w:val="20"/>
              </w:rPr>
            </w:pPr>
            <w:r>
              <w:rPr>
                <w:spacing w:val="-2"/>
                <w:sz w:val="20"/>
              </w:rPr>
              <w:t>1.510716</w:t>
            </w:r>
          </w:p>
        </w:tc>
        <w:tc>
          <w:tcPr>
            <w:tcW w:w="929" w:type="dxa"/>
            <w:tcBorders>
              <w:bottom w:val="double" w:sz="6" w:space="0" w:color="000000"/>
            </w:tcBorders>
          </w:tcPr>
          <w:p>
            <w:pPr>
              <w:pStyle w:val="TableParagraph"/>
              <w:spacing w:line="205" w:lineRule="exact"/>
              <w:ind w:right="27"/>
              <w:jc w:val="right"/>
              <w:rPr>
                <w:sz w:val="20"/>
              </w:rPr>
            </w:pPr>
            <w:r>
              <w:rPr>
                <w:spacing w:val="-2"/>
                <w:sz w:val="20"/>
              </w:rPr>
              <w:t>0.1396</w:t>
            </w:r>
          </w:p>
        </w:tc>
      </w:tr>
      <w:tr>
        <w:trPr>
          <w:trHeight w:val="275" w:hRule="atLeast"/>
        </w:trPr>
        <w:tc>
          <w:tcPr>
            <w:tcW w:w="1954" w:type="dxa"/>
            <w:tcBorders>
              <w:top w:val="double" w:sz="6" w:space="0" w:color="000000"/>
            </w:tcBorders>
          </w:tcPr>
          <w:p>
            <w:pPr>
              <w:pStyle w:val="TableParagraph"/>
              <w:spacing w:line="215" w:lineRule="exact" w:before="40"/>
              <w:ind w:left="36"/>
              <w:rPr>
                <w:sz w:val="20"/>
              </w:rPr>
            </w:pPr>
            <w:r>
              <w:rPr>
                <w:spacing w:val="-2"/>
                <w:sz w:val="20"/>
              </w:rPr>
              <w:t>R-squared</w:t>
            </w:r>
          </w:p>
        </w:tc>
        <w:tc>
          <w:tcPr>
            <w:tcW w:w="1268" w:type="dxa"/>
            <w:tcBorders>
              <w:top w:val="double" w:sz="6" w:space="0" w:color="000000"/>
            </w:tcBorders>
          </w:tcPr>
          <w:p>
            <w:pPr>
              <w:pStyle w:val="TableParagraph"/>
              <w:spacing w:line="215" w:lineRule="exact" w:before="40"/>
              <w:ind w:right="128"/>
              <w:jc w:val="right"/>
              <w:rPr>
                <w:sz w:val="20"/>
              </w:rPr>
            </w:pPr>
            <w:r>
              <w:rPr>
                <w:spacing w:val="-2"/>
                <w:sz w:val="20"/>
              </w:rPr>
              <w:t>0.760957</w:t>
            </w:r>
          </w:p>
        </w:tc>
        <w:tc>
          <w:tcPr>
            <w:tcW w:w="2336" w:type="dxa"/>
            <w:gridSpan w:val="2"/>
            <w:tcBorders>
              <w:top w:val="double" w:sz="6" w:space="0" w:color="000000"/>
            </w:tcBorders>
          </w:tcPr>
          <w:p>
            <w:pPr>
              <w:pStyle w:val="TableParagraph"/>
              <w:spacing w:line="215" w:lineRule="exact" w:before="40"/>
              <w:ind w:left="131"/>
              <w:rPr>
                <w:sz w:val="20"/>
              </w:rPr>
            </w:pPr>
            <w:r>
              <w:rPr>
                <w:sz w:val="20"/>
              </w:rPr>
              <w:t>Mean</w:t>
            </w:r>
            <w:r>
              <w:rPr>
                <w:spacing w:val="-7"/>
                <w:sz w:val="20"/>
              </w:rPr>
              <w:t> </w:t>
            </w:r>
            <w:r>
              <w:rPr>
                <w:sz w:val="20"/>
              </w:rPr>
              <w:t>dependent</w:t>
            </w:r>
            <w:r>
              <w:rPr>
                <w:spacing w:val="-7"/>
                <w:sz w:val="20"/>
              </w:rPr>
              <w:t> </w:t>
            </w:r>
            <w:r>
              <w:rPr>
                <w:spacing w:val="-5"/>
                <w:sz w:val="20"/>
              </w:rPr>
              <w:t>var</w:t>
            </w:r>
          </w:p>
        </w:tc>
        <w:tc>
          <w:tcPr>
            <w:tcW w:w="929" w:type="dxa"/>
            <w:tcBorders>
              <w:top w:val="double" w:sz="6" w:space="0" w:color="000000"/>
            </w:tcBorders>
          </w:tcPr>
          <w:p>
            <w:pPr>
              <w:pStyle w:val="TableParagraph"/>
              <w:spacing w:line="215" w:lineRule="exact" w:before="40"/>
              <w:ind w:right="27"/>
              <w:jc w:val="right"/>
              <w:rPr>
                <w:sz w:val="20"/>
              </w:rPr>
            </w:pPr>
            <w:r>
              <w:rPr>
                <w:spacing w:val="-4"/>
                <w:sz w:val="20"/>
              </w:rPr>
              <w:t>-</w:t>
            </w:r>
            <w:r>
              <w:rPr>
                <w:spacing w:val="-2"/>
                <w:sz w:val="20"/>
              </w:rPr>
              <w:t>0.063611</w:t>
            </w:r>
          </w:p>
        </w:tc>
      </w:tr>
      <w:tr>
        <w:trPr>
          <w:trHeight w:val="230" w:hRule="atLeast"/>
        </w:trPr>
        <w:tc>
          <w:tcPr>
            <w:tcW w:w="1954" w:type="dxa"/>
          </w:tcPr>
          <w:p>
            <w:pPr>
              <w:pStyle w:val="TableParagraph"/>
              <w:spacing w:line="211" w:lineRule="exact"/>
              <w:ind w:left="36"/>
              <w:rPr>
                <w:sz w:val="20"/>
              </w:rPr>
            </w:pPr>
            <w:r>
              <w:rPr>
                <w:sz w:val="20"/>
              </w:rPr>
              <w:t>Adjusted</w:t>
            </w:r>
            <w:r>
              <w:rPr>
                <w:spacing w:val="-10"/>
                <w:sz w:val="20"/>
              </w:rPr>
              <w:t> </w:t>
            </w:r>
            <w:r>
              <w:rPr>
                <w:sz w:val="20"/>
              </w:rPr>
              <w:t>R-</w:t>
            </w:r>
            <w:r>
              <w:rPr>
                <w:spacing w:val="-2"/>
                <w:sz w:val="20"/>
              </w:rPr>
              <w:t>squared</w:t>
            </w:r>
          </w:p>
        </w:tc>
        <w:tc>
          <w:tcPr>
            <w:tcW w:w="1268" w:type="dxa"/>
          </w:tcPr>
          <w:p>
            <w:pPr>
              <w:pStyle w:val="TableParagraph"/>
              <w:spacing w:line="211" w:lineRule="exact"/>
              <w:ind w:right="128"/>
              <w:jc w:val="right"/>
              <w:rPr>
                <w:sz w:val="20"/>
              </w:rPr>
            </w:pPr>
            <w:r>
              <w:rPr>
                <w:spacing w:val="-2"/>
                <w:sz w:val="20"/>
              </w:rPr>
              <w:t>0.747677</w:t>
            </w:r>
          </w:p>
        </w:tc>
        <w:tc>
          <w:tcPr>
            <w:tcW w:w="2336" w:type="dxa"/>
            <w:gridSpan w:val="2"/>
          </w:tcPr>
          <w:p>
            <w:pPr>
              <w:pStyle w:val="TableParagraph"/>
              <w:spacing w:line="211" w:lineRule="exact"/>
              <w:ind w:left="131"/>
              <w:rPr>
                <w:sz w:val="20"/>
              </w:rPr>
            </w:pPr>
            <w:r>
              <w:rPr>
                <w:sz w:val="20"/>
              </w:rPr>
              <w:t>S.D.</w:t>
            </w:r>
            <w:r>
              <w:rPr>
                <w:spacing w:val="-5"/>
                <w:sz w:val="20"/>
              </w:rPr>
              <w:t> </w:t>
            </w:r>
            <w:r>
              <w:rPr>
                <w:sz w:val="20"/>
              </w:rPr>
              <w:t>dependent</w:t>
            </w:r>
            <w:r>
              <w:rPr>
                <w:spacing w:val="-6"/>
                <w:sz w:val="20"/>
              </w:rPr>
              <w:t> </w:t>
            </w:r>
            <w:r>
              <w:rPr>
                <w:spacing w:val="-5"/>
                <w:sz w:val="20"/>
              </w:rPr>
              <w:t>var</w:t>
            </w:r>
          </w:p>
        </w:tc>
        <w:tc>
          <w:tcPr>
            <w:tcW w:w="929" w:type="dxa"/>
          </w:tcPr>
          <w:p>
            <w:pPr>
              <w:pStyle w:val="TableParagraph"/>
              <w:spacing w:line="211" w:lineRule="exact"/>
              <w:ind w:right="27"/>
              <w:jc w:val="right"/>
              <w:rPr>
                <w:sz w:val="20"/>
              </w:rPr>
            </w:pPr>
            <w:r>
              <w:rPr>
                <w:spacing w:val="-2"/>
                <w:sz w:val="20"/>
              </w:rPr>
              <w:t>3.783674</w:t>
            </w:r>
          </w:p>
        </w:tc>
      </w:tr>
      <w:tr>
        <w:trPr>
          <w:trHeight w:val="230" w:hRule="atLeast"/>
        </w:trPr>
        <w:tc>
          <w:tcPr>
            <w:tcW w:w="1954" w:type="dxa"/>
          </w:tcPr>
          <w:p>
            <w:pPr>
              <w:pStyle w:val="TableParagraph"/>
              <w:spacing w:line="210" w:lineRule="exact"/>
              <w:ind w:left="36"/>
              <w:rPr>
                <w:sz w:val="20"/>
              </w:rPr>
            </w:pPr>
            <w:r>
              <w:rPr>
                <w:sz w:val="20"/>
              </w:rPr>
              <w:t>S.E.</w:t>
            </w:r>
            <w:r>
              <w:rPr>
                <w:spacing w:val="-3"/>
                <w:sz w:val="20"/>
              </w:rPr>
              <w:t> </w:t>
            </w:r>
            <w:r>
              <w:rPr>
                <w:sz w:val="20"/>
              </w:rPr>
              <w:t>of</w:t>
            </w:r>
            <w:r>
              <w:rPr>
                <w:spacing w:val="-3"/>
                <w:sz w:val="20"/>
              </w:rPr>
              <w:t> </w:t>
            </w:r>
            <w:r>
              <w:rPr>
                <w:spacing w:val="-2"/>
                <w:sz w:val="20"/>
              </w:rPr>
              <w:t>regression</w:t>
            </w:r>
          </w:p>
        </w:tc>
        <w:tc>
          <w:tcPr>
            <w:tcW w:w="1268" w:type="dxa"/>
          </w:tcPr>
          <w:p>
            <w:pPr>
              <w:pStyle w:val="TableParagraph"/>
              <w:spacing w:line="210" w:lineRule="exact"/>
              <w:ind w:right="128"/>
              <w:jc w:val="right"/>
              <w:rPr>
                <w:sz w:val="20"/>
              </w:rPr>
            </w:pPr>
            <w:r>
              <w:rPr>
                <w:spacing w:val="-2"/>
                <w:sz w:val="20"/>
              </w:rPr>
              <w:t>1.900607</w:t>
            </w:r>
          </w:p>
        </w:tc>
        <w:tc>
          <w:tcPr>
            <w:tcW w:w="2336" w:type="dxa"/>
            <w:gridSpan w:val="2"/>
          </w:tcPr>
          <w:p>
            <w:pPr>
              <w:pStyle w:val="TableParagraph"/>
              <w:spacing w:line="210" w:lineRule="exact"/>
              <w:ind w:left="131"/>
              <w:rPr>
                <w:sz w:val="20"/>
              </w:rPr>
            </w:pPr>
            <w:r>
              <w:rPr>
                <w:sz w:val="20"/>
              </w:rPr>
              <w:t>Akaike</w:t>
            </w:r>
            <w:r>
              <w:rPr>
                <w:spacing w:val="-8"/>
                <w:sz w:val="20"/>
              </w:rPr>
              <w:t> </w:t>
            </w:r>
            <w:r>
              <w:rPr>
                <w:sz w:val="20"/>
              </w:rPr>
              <w:t>info</w:t>
            </w:r>
            <w:r>
              <w:rPr>
                <w:spacing w:val="-7"/>
                <w:sz w:val="20"/>
              </w:rPr>
              <w:t> </w:t>
            </w:r>
            <w:r>
              <w:rPr>
                <w:spacing w:val="-2"/>
                <w:sz w:val="20"/>
              </w:rPr>
              <w:t>criterion</w:t>
            </w:r>
          </w:p>
        </w:tc>
        <w:tc>
          <w:tcPr>
            <w:tcW w:w="929" w:type="dxa"/>
          </w:tcPr>
          <w:p>
            <w:pPr>
              <w:pStyle w:val="TableParagraph"/>
              <w:spacing w:line="210" w:lineRule="exact"/>
              <w:ind w:right="27"/>
              <w:jc w:val="right"/>
              <w:rPr>
                <w:sz w:val="20"/>
              </w:rPr>
            </w:pPr>
            <w:r>
              <w:rPr>
                <w:spacing w:val="-2"/>
                <w:sz w:val="20"/>
              </w:rPr>
              <w:t>4.196027</w:t>
            </w:r>
          </w:p>
        </w:tc>
      </w:tr>
      <w:tr>
        <w:trPr>
          <w:trHeight w:val="229" w:hRule="atLeast"/>
        </w:trPr>
        <w:tc>
          <w:tcPr>
            <w:tcW w:w="1954" w:type="dxa"/>
          </w:tcPr>
          <w:p>
            <w:pPr>
              <w:pStyle w:val="TableParagraph"/>
              <w:spacing w:line="209" w:lineRule="exact"/>
              <w:ind w:left="36"/>
              <w:rPr>
                <w:sz w:val="20"/>
              </w:rPr>
            </w:pPr>
            <w:r>
              <w:rPr>
                <w:sz w:val="20"/>
              </w:rPr>
              <w:t>Sum</w:t>
            </w:r>
            <w:r>
              <w:rPr>
                <w:spacing w:val="-8"/>
                <w:sz w:val="20"/>
              </w:rPr>
              <w:t> </w:t>
            </w:r>
            <w:r>
              <w:rPr>
                <w:sz w:val="20"/>
              </w:rPr>
              <w:t>squared</w:t>
            </w:r>
            <w:r>
              <w:rPr>
                <w:spacing w:val="-4"/>
                <w:sz w:val="20"/>
              </w:rPr>
              <w:t> </w:t>
            </w:r>
            <w:r>
              <w:rPr>
                <w:spacing w:val="-2"/>
                <w:sz w:val="20"/>
              </w:rPr>
              <w:t>resid</w:t>
            </w:r>
          </w:p>
        </w:tc>
        <w:tc>
          <w:tcPr>
            <w:tcW w:w="1268" w:type="dxa"/>
          </w:tcPr>
          <w:p>
            <w:pPr>
              <w:pStyle w:val="TableParagraph"/>
              <w:spacing w:line="209" w:lineRule="exact"/>
              <w:ind w:right="128"/>
              <w:jc w:val="right"/>
              <w:rPr>
                <w:sz w:val="20"/>
              </w:rPr>
            </w:pPr>
            <w:r>
              <w:rPr>
                <w:spacing w:val="-2"/>
                <w:sz w:val="20"/>
              </w:rPr>
              <w:t>130.0430</w:t>
            </w:r>
          </w:p>
        </w:tc>
        <w:tc>
          <w:tcPr>
            <w:tcW w:w="2336" w:type="dxa"/>
            <w:gridSpan w:val="2"/>
          </w:tcPr>
          <w:p>
            <w:pPr>
              <w:pStyle w:val="TableParagraph"/>
              <w:spacing w:line="209" w:lineRule="exact"/>
              <w:ind w:left="131"/>
              <w:rPr>
                <w:sz w:val="20"/>
              </w:rPr>
            </w:pPr>
            <w:r>
              <w:rPr>
                <w:sz w:val="20"/>
              </w:rPr>
              <w:t>Schwarz</w:t>
            </w:r>
            <w:r>
              <w:rPr>
                <w:spacing w:val="-8"/>
                <w:sz w:val="20"/>
              </w:rPr>
              <w:t> </w:t>
            </w:r>
            <w:r>
              <w:rPr>
                <w:spacing w:val="-2"/>
                <w:sz w:val="20"/>
              </w:rPr>
              <w:t>criterion</w:t>
            </w:r>
          </w:p>
        </w:tc>
        <w:tc>
          <w:tcPr>
            <w:tcW w:w="929" w:type="dxa"/>
          </w:tcPr>
          <w:p>
            <w:pPr>
              <w:pStyle w:val="TableParagraph"/>
              <w:spacing w:line="209" w:lineRule="exact"/>
              <w:ind w:right="27"/>
              <w:jc w:val="right"/>
              <w:rPr>
                <w:sz w:val="20"/>
              </w:rPr>
            </w:pPr>
            <w:r>
              <w:rPr>
                <w:spacing w:val="-2"/>
                <w:sz w:val="20"/>
              </w:rPr>
              <w:t>4.323993</w:t>
            </w:r>
          </w:p>
        </w:tc>
      </w:tr>
      <w:tr>
        <w:trPr>
          <w:trHeight w:val="229" w:hRule="atLeast"/>
        </w:trPr>
        <w:tc>
          <w:tcPr>
            <w:tcW w:w="1954" w:type="dxa"/>
          </w:tcPr>
          <w:p>
            <w:pPr>
              <w:pStyle w:val="TableParagraph"/>
              <w:spacing w:line="209" w:lineRule="exact"/>
              <w:ind w:left="36"/>
              <w:rPr>
                <w:sz w:val="20"/>
              </w:rPr>
            </w:pPr>
            <w:r>
              <w:rPr>
                <w:sz w:val="20"/>
              </w:rPr>
              <w:t>Log</w:t>
            </w:r>
            <w:r>
              <w:rPr>
                <w:spacing w:val="-6"/>
                <w:sz w:val="20"/>
              </w:rPr>
              <w:t> </w:t>
            </w:r>
            <w:r>
              <w:rPr>
                <w:spacing w:val="-2"/>
                <w:sz w:val="20"/>
              </w:rPr>
              <w:t>likelihood</w:t>
            </w:r>
          </w:p>
        </w:tc>
        <w:tc>
          <w:tcPr>
            <w:tcW w:w="1268" w:type="dxa"/>
          </w:tcPr>
          <w:p>
            <w:pPr>
              <w:pStyle w:val="TableParagraph"/>
              <w:spacing w:line="209" w:lineRule="exact"/>
              <w:ind w:right="128"/>
              <w:jc w:val="right"/>
              <w:rPr>
                <w:sz w:val="20"/>
              </w:rPr>
            </w:pPr>
            <w:r>
              <w:rPr>
                <w:spacing w:val="-4"/>
                <w:sz w:val="20"/>
              </w:rPr>
              <w:t>-</w:t>
            </w:r>
            <w:r>
              <w:rPr>
                <w:spacing w:val="-2"/>
                <w:sz w:val="20"/>
              </w:rPr>
              <w:t>78.82252</w:t>
            </w:r>
          </w:p>
        </w:tc>
        <w:tc>
          <w:tcPr>
            <w:tcW w:w="1432" w:type="dxa"/>
          </w:tcPr>
          <w:p>
            <w:pPr>
              <w:pStyle w:val="TableParagraph"/>
              <w:spacing w:line="209" w:lineRule="exact"/>
              <w:ind w:left="131"/>
              <w:rPr>
                <w:sz w:val="20"/>
              </w:rPr>
            </w:pPr>
            <w:r>
              <w:rPr>
                <w:spacing w:val="-4"/>
                <w:sz w:val="20"/>
              </w:rPr>
              <w:t>F-</w:t>
            </w:r>
            <w:r>
              <w:rPr>
                <w:spacing w:val="-2"/>
                <w:sz w:val="20"/>
              </w:rPr>
              <w:t>statistic</w:t>
            </w:r>
          </w:p>
        </w:tc>
        <w:tc>
          <w:tcPr>
            <w:tcW w:w="904" w:type="dxa"/>
          </w:tcPr>
          <w:p>
            <w:pPr>
              <w:pStyle w:val="TableParagraph"/>
              <w:rPr>
                <w:sz w:val="16"/>
              </w:rPr>
            </w:pPr>
          </w:p>
        </w:tc>
        <w:tc>
          <w:tcPr>
            <w:tcW w:w="929" w:type="dxa"/>
          </w:tcPr>
          <w:p>
            <w:pPr>
              <w:pStyle w:val="TableParagraph"/>
              <w:spacing w:line="209" w:lineRule="exact"/>
              <w:ind w:right="27"/>
              <w:jc w:val="right"/>
              <w:rPr>
                <w:sz w:val="20"/>
              </w:rPr>
            </w:pPr>
            <w:r>
              <w:rPr>
                <w:spacing w:val="-2"/>
                <w:sz w:val="20"/>
              </w:rPr>
              <w:t>57.30026</w:t>
            </w:r>
          </w:p>
        </w:tc>
      </w:tr>
      <w:tr>
        <w:trPr>
          <w:trHeight w:val="267" w:hRule="atLeast"/>
        </w:trPr>
        <w:tc>
          <w:tcPr>
            <w:tcW w:w="1954" w:type="dxa"/>
            <w:tcBorders>
              <w:bottom w:val="double" w:sz="6" w:space="0" w:color="000000"/>
            </w:tcBorders>
          </w:tcPr>
          <w:p>
            <w:pPr>
              <w:pStyle w:val="TableParagraph"/>
              <w:spacing w:line="226" w:lineRule="exact"/>
              <w:ind w:left="36"/>
              <w:rPr>
                <w:sz w:val="20"/>
              </w:rPr>
            </w:pPr>
            <w:r>
              <w:rPr>
                <w:sz w:val="20"/>
              </w:rPr>
              <w:t>Durbin-Watson</w:t>
            </w:r>
            <w:r>
              <w:rPr>
                <w:spacing w:val="-12"/>
                <w:sz w:val="20"/>
              </w:rPr>
              <w:t> </w:t>
            </w:r>
            <w:r>
              <w:rPr>
                <w:spacing w:val="-4"/>
                <w:sz w:val="20"/>
              </w:rPr>
              <w:t>stat</w:t>
            </w:r>
          </w:p>
        </w:tc>
        <w:tc>
          <w:tcPr>
            <w:tcW w:w="1268" w:type="dxa"/>
          </w:tcPr>
          <w:p>
            <w:pPr>
              <w:pStyle w:val="TableParagraph"/>
              <w:spacing w:line="226" w:lineRule="exact"/>
              <w:ind w:right="128"/>
              <w:jc w:val="right"/>
              <w:rPr>
                <w:sz w:val="20"/>
              </w:rPr>
            </w:pPr>
            <w:r>
              <w:rPr>
                <w:spacing w:val="-2"/>
                <w:sz w:val="20"/>
              </w:rPr>
              <w:t>2.172098</w:t>
            </w:r>
          </w:p>
        </w:tc>
        <w:tc>
          <w:tcPr>
            <w:tcW w:w="1432" w:type="dxa"/>
            <w:tcBorders>
              <w:bottom w:val="double" w:sz="6" w:space="0" w:color="000000"/>
            </w:tcBorders>
          </w:tcPr>
          <w:p>
            <w:pPr>
              <w:pStyle w:val="TableParagraph"/>
              <w:spacing w:line="226" w:lineRule="exact"/>
              <w:ind w:left="131"/>
              <w:rPr>
                <w:sz w:val="20"/>
              </w:rPr>
            </w:pPr>
            <w:r>
              <w:rPr>
                <w:spacing w:val="-2"/>
                <w:sz w:val="20"/>
              </w:rPr>
              <w:t>Prob(F-statistic)</w:t>
            </w:r>
          </w:p>
        </w:tc>
        <w:tc>
          <w:tcPr>
            <w:tcW w:w="904" w:type="dxa"/>
            <w:tcBorders>
              <w:bottom w:val="double" w:sz="6" w:space="0" w:color="000000"/>
            </w:tcBorders>
          </w:tcPr>
          <w:p>
            <w:pPr>
              <w:pStyle w:val="TableParagraph"/>
              <w:rPr>
                <w:sz w:val="18"/>
              </w:rPr>
            </w:pPr>
          </w:p>
        </w:tc>
        <w:tc>
          <w:tcPr>
            <w:tcW w:w="929" w:type="dxa"/>
            <w:tcBorders>
              <w:bottom w:val="double" w:sz="6" w:space="0" w:color="000000"/>
            </w:tcBorders>
          </w:tcPr>
          <w:p>
            <w:pPr>
              <w:pStyle w:val="TableParagraph"/>
              <w:spacing w:line="226" w:lineRule="exact"/>
              <w:ind w:right="27"/>
              <w:jc w:val="right"/>
              <w:rPr>
                <w:sz w:val="20"/>
              </w:rPr>
            </w:pPr>
            <w:r>
              <w:rPr>
                <w:spacing w:val="-2"/>
                <w:sz w:val="20"/>
              </w:rPr>
              <w:t>0.000000</w:t>
            </w:r>
          </w:p>
        </w:tc>
      </w:tr>
    </w:tbl>
    <w:p>
      <w:pPr>
        <w:spacing w:after="0" w:line="226" w:lineRule="exact"/>
        <w:jc w:val="right"/>
        <w:rPr>
          <w:sz w:val="20"/>
        </w:rPr>
        <w:sectPr>
          <w:pgSz w:w="11910" w:h="16840"/>
          <w:pgMar w:header="0" w:footer="979" w:top="1360" w:bottom="1240" w:left="280" w:right="0"/>
        </w:sectPr>
      </w:pPr>
    </w:p>
    <w:p>
      <w:pPr>
        <w:spacing w:before="62" w:after="3"/>
        <w:ind w:left="711" w:right="0" w:firstLine="0"/>
        <w:jc w:val="left"/>
        <w:rPr>
          <w:sz w:val="20"/>
        </w:rPr>
      </w:pPr>
      <w:r>
        <w:rPr>
          <w:sz w:val="20"/>
        </w:rPr>
        <w:t>DFI</w:t>
      </w:r>
      <w:r>
        <w:rPr>
          <w:spacing w:val="-3"/>
          <w:sz w:val="20"/>
        </w:rPr>
        <w:t> </w:t>
      </w:r>
      <w:r>
        <w:rPr>
          <w:sz w:val="20"/>
        </w:rPr>
        <w:t>@</w:t>
      </w:r>
      <w:r>
        <w:rPr>
          <w:spacing w:val="-2"/>
          <w:sz w:val="20"/>
        </w:rPr>
        <w:t> </w:t>
      </w:r>
      <w:r>
        <w:rPr>
          <w:spacing w:val="-4"/>
          <w:sz w:val="20"/>
        </w:rPr>
        <w:t>LEVEL</w:t>
      </w:r>
    </w:p>
    <w:tbl>
      <w:tblPr>
        <w:tblW w:w="0" w:type="auto"/>
        <w:jc w:val="left"/>
        <w:tblInd w:w="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73"/>
        <w:gridCol w:w="1350"/>
        <w:gridCol w:w="1433"/>
        <w:gridCol w:w="937"/>
        <w:gridCol w:w="897"/>
      </w:tblGrid>
      <w:tr>
        <w:trPr>
          <w:trHeight w:val="224" w:hRule="atLeast"/>
        </w:trPr>
        <w:tc>
          <w:tcPr>
            <w:tcW w:w="1873" w:type="dxa"/>
          </w:tcPr>
          <w:p>
            <w:pPr>
              <w:pStyle w:val="TableParagraph"/>
              <w:spacing w:line="204" w:lineRule="exact"/>
              <w:ind w:left="36"/>
              <w:rPr>
                <w:sz w:val="20"/>
              </w:rPr>
            </w:pPr>
            <w:r>
              <w:rPr>
                <w:sz w:val="20"/>
              </w:rPr>
              <w:t>ADF</w:t>
            </w:r>
            <w:r>
              <w:rPr>
                <w:spacing w:val="-4"/>
                <w:sz w:val="20"/>
              </w:rPr>
              <w:t> </w:t>
            </w:r>
            <w:r>
              <w:rPr>
                <w:sz w:val="20"/>
              </w:rPr>
              <w:t>Test</w:t>
            </w:r>
            <w:r>
              <w:rPr>
                <w:spacing w:val="-4"/>
                <w:sz w:val="20"/>
              </w:rPr>
              <w:t> </w:t>
            </w:r>
            <w:r>
              <w:rPr>
                <w:spacing w:val="-2"/>
                <w:sz w:val="20"/>
              </w:rPr>
              <w:t>Statistic</w:t>
            </w:r>
          </w:p>
        </w:tc>
        <w:tc>
          <w:tcPr>
            <w:tcW w:w="1350" w:type="dxa"/>
          </w:tcPr>
          <w:p>
            <w:pPr>
              <w:pStyle w:val="TableParagraph"/>
              <w:spacing w:line="204" w:lineRule="exact"/>
              <w:ind w:left="244"/>
              <w:rPr>
                <w:sz w:val="20"/>
              </w:rPr>
            </w:pPr>
            <w:r>
              <w:rPr>
                <w:spacing w:val="-2"/>
                <w:sz w:val="20"/>
              </w:rPr>
              <w:t>1.269495</w:t>
            </w:r>
          </w:p>
        </w:tc>
        <w:tc>
          <w:tcPr>
            <w:tcW w:w="2370" w:type="dxa"/>
            <w:gridSpan w:val="2"/>
          </w:tcPr>
          <w:p>
            <w:pPr>
              <w:pStyle w:val="TableParagraph"/>
              <w:spacing w:line="204" w:lineRule="exact"/>
              <w:ind w:left="130"/>
              <w:rPr>
                <w:sz w:val="20"/>
              </w:rPr>
            </w:pPr>
            <w:r>
              <w:rPr>
                <w:sz w:val="20"/>
              </w:rPr>
              <w:t>1%</w:t>
            </w:r>
            <w:r>
              <w:rPr>
                <w:spacing w:val="68"/>
                <w:w w:val="150"/>
                <w:sz w:val="20"/>
              </w:rPr>
              <w:t> </w:t>
            </w:r>
            <w:r>
              <w:rPr>
                <w:sz w:val="20"/>
              </w:rPr>
              <w:t>Critical</w:t>
            </w:r>
            <w:r>
              <w:rPr>
                <w:spacing w:val="-2"/>
                <w:sz w:val="20"/>
              </w:rPr>
              <w:t> Value*</w:t>
            </w:r>
          </w:p>
        </w:tc>
        <w:tc>
          <w:tcPr>
            <w:tcW w:w="897" w:type="dxa"/>
          </w:tcPr>
          <w:p>
            <w:pPr>
              <w:pStyle w:val="TableParagraph"/>
              <w:spacing w:line="204" w:lineRule="exact"/>
              <w:ind w:right="30"/>
              <w:jc w:val="right"/>
              <w:rPr>
                <w:sz w:val="20"/>
              </w:rPr>
            </w:pPr>
            <w:r>
              <w:rPr>
                <w:spacing w:val="-4"/>
                <w:sz w:val="20"/>
              </w:rPr>
              <w:t>-</w:t>
            </w:r>
            <w:r>
              <w:rPr>
                <w:spacing w:val="-2"/>
                <w:sz w:val="20"/>
              </w:rPr>
              <w:t>3.6019</w:t>
            </w:r>
          </w:p>
        </w:tc>
      </w:tr>
      <w:tr>
        <w:trPr>
          <w:trHeight w:val="229" w:hRule="atLeast"/>
        </w:trPr>
        <w:tc>
          <w:tcPr>
            <w:tcW w:w="1873" w:type="dxa"/>
          </w:tcPr>
          <w:p>
            <w:pPr>
              <w:pStyle w:val="TableParagraph"/>
              <w:rPr>
                <w:sz w:val="16"/>
              </w:rPr>
            </w:pPr>
          </w:p>
        </w:tc>
        <w:tc>
          <w:tcPr>
            <w:tcW w:w="1350" w:type="dxa"/>
          </w:tcPr>
          <w:p>
            <w:pPr>
              <w:pStyle w:val="TableParagraph"/>
              <w:rPr>
                <w:sz w:val="16"/>
              </w:rPr>
            </w:pPr>
          </w:p>
        </w:tc>
        <w:tc>
          <w:tcPr>
            <w:tcW w:w="2370" w:type="dxa"/>
            <w:gridSpan w:val="2"/>
          </w:tcPr>
          <w:p>
            <w:pPr>
              <w:pStyle w:val="TableParagraph"/>
              <w:spacing w:line="209" w:lineRule="exact"/>
              <w:ind w:left="130"/>
              <w:rPr>
                <w:sz w:val="20"/>
              </w:rPr>
            </w:pPr>
            <w:r>
              <w:rPr>
                <w:sz w:val="20"/>
              </w:rPr>
              <w:t>5%</w:t>
            </w:r>
            <w:r>
              <w:rPr>
                <w:spacing w:val="68"/>
                <w:w w:val="150"/>
                <w:sz w:val="20"/>
              </w:rPr>
              <w:t> </w:t>
            </w:r>
            <w:r>
              <w:rPr>
                <w:sz w:val="20"/>
              </w:rPr>
              <w:t>Critical</w:t>
            </w:r>
            <w:r>
              <w:rPr>
                <w:spacing w:val="-2"/>
                <w:sz w:val="20"/>
              </w:rPr>
              <w:t> </w:t>
            </w:r>
            <w:r>
              <w:rPr>
                <w:spacing w:val="-4"/>
                <w:sz w:val="20"/>
              </w:rPr>
              <w:t>Value</w:t>
            </w:r>
          </w:p>
        </w:tc>
        <w:tc>
          <w:tcPr>
            <w:tcW w:w="897" w:type="dxa"/>
          </w:tcPr>
          <w:p>
            <w:pPr>
              <w:pStyle w:val="TableParagraph"/>
              <w:spacing w:line="209" w:lineRule="exact"/>
              <w:ind w:right="30"/>
              <w:jc w:val="right"/>
              <w:rPr>
                <w:sz w:val="20"/>
              </w:rPr>
            </w:pPr>
            <w:r>
              <w:rPr>
                <w:spacing w:val="-4"/>
                <w:sz w:val="20"/>
              </w:rPr>
              <w:t>-</w:t>
            </w:r>
            <w:r>
              <w:rPr>
                <w:spacing w:val="-2"/>
                <w:sz w:val="20"/>
              </w:rPr>
              <w:t>2.9358</w:t>
            </w:r>
          </w:p>
        </w:tc>
      </w:tr>
      <w:tr>
        <w:trPr>
          <w:trHeight w:val="224" w:hRule="atLeast"/>
        </w:trPr>
        <w:tc>
          <w:tcPr>
            <w:tcW w:w="1873" w:type="dxa"/>
            <w:tcBorders>
              <w:bottom w:val="double" w:sz="6" w:space="0" w:color="000000"/>
            </w:tcBorders>
          </w:tcPr>
          <w:p>
            <w:pPr>
              <w:pStyle w:val="TableParagraph"/>
              <w:rPr>
                <w:sz w:val="16"/>
              </w:rPr>
            </w:pPr>
          </w:p>
        </w:tc>
        <w:tc>
          <w:tcPr>
            <w:tcW w:w="1350" w:type="dxa"/>
            <w:tcBorders>
              <w:bottom w:val="double" w:sz="6" w:space="0" w:color="000000"/>
            </w:tcBorders>
          </w:tcPr>
          <w:p>
            <w:pPr>
              <w:pStyle w:val="TableParagraph"/>
              <w:rPr>
                <w:sz w:val="16"/>
              </w:rPr>
            </w:pPr>
          </w:p>
        </w:tc>
        <w:tc>
          <w:tcPr>
            <w:tcW w:w="2370" w:type="dxa"/>
            <w:gridSpan w:val="2"/>
            <w:tcBorders>
              <w:bottom w:val="double" w:sz="6" w:space="0" w:color="000000"/>
            </w:tcBorders>
          </w:tcPr>
          <w:p>
            <w:pPr>
              <w:pStyle w:val="TableParagraph"/>
              <w:spacing w:line="205" w:lineRule="exact"/>
              <w:ind w:left="130"/>
              <w:rPr>
                <w:sz w:val="20"/>
              </w:rPr>
            </w:pPr>
            <w:r>
              <w:rPr>
                <w:sz w:val="20"/>
              </w:rPr>
              <w:t>10%</w:t>
            </w:r>
            <w:r>
              <w:rPr>
                <w:spacing w:val="-6"/>
                <w:sz w:val="20"/>
              </w:rPr>
              <w:t> </w:t>
            </w:r>
            <w:r>
              <w:rPr>
                <w:sz w:val="20"/>
              </w:rPr>
              <w:t>Critical</w:t>
            </w:r>
            <w:r>
              <w:rPr>
                <w:spacing w:val="-4"/>
                <w:sz w:val="20"/>
              </w:rPr>
              <w:t> </w:t>
            </w:r>
            <w:r>
              <w:rPr>
                <w:spacing w:val="-2"/>
                <w:sz w:val="20"/>
              </w:rPr>
              <w:t>Value</w:t>
            </w:r>
          </w:p>
        </w:tc>
        <w:tc>
          <w:tcPr>
            <w:tcW w:w="897" w:type="dxa"/>
            <w:tcBorders>
              <w:bottom w:val="double" w:sz="6" w:space="0" w:color="000000"/>
            </w:tcBorders>
          </w:tcPr>
          <w:p>
            <w:pPr>
              <w:pStyle w:val="TableParagraph"/>
              <w:spacing w:line="205" w:lineRule="exact"/>
              <w:ind w:right="30"/>
              <w:jc w:val="right"/>
              <w:rPr>
                <w:sz w:val="20"/>
              </w:rPr>
            </w:pPr>
            <w:r>
              <w:rPr>
                <w:spacing w:val="-4"/>
                <w:sz w:val="20"/>
              </w:rPr>
              <w:t>-</w:t>
            </w:r>
            <w:r>
              <w:rPr>
                <w:spacing w:val="-2"/>
                <w:sz w:val="20"/>
              </w:rPr>
              <w:t>2.6059</w:t>
            </w:r>
          </w:p>
        </w:tc>
      </w:tr>
      <w:tr>
        <w:trPr>
          <w:trHeight w:val="506" w:hRule="atLeast"/>
        </w:trPr>
        <w:tc>
          <w:tcPr>
            <w:tcW w:w="6490" w:type="dxa"/>
            <w:gridSpan w:val="5"/>
            <w:tcBorders>
              <w:top w:val="double" w:sz="6" w:space="0" w:color="000000"/>
            </w:tcBorders>
          </w:tcPr>
          <w:p>
            <w:pPr>
              <w:pStyle w:val="TableParagraph"/>
              <w:spacing w:before="42"/>
              <w:ind w:left="36"/>
              <w:rPr>
                <w:sz w:val="20"/>
              </w:rPr>
            </w:pPr>
            <w:r>
              <w:rPr>
                <w:sz w:val="20"/>
              </w:rPr>
              <w:t>*MacKinnon</w:t>
            </w:r>
            <w:r>
              <w:rPr>
                <w:spacing w:val="-6"/>
                <w:sz w:val="20"/>
              </w:rPr>
              <w:t> </w:t>
            </w:r>
            <w:r>
              <w:rPr>
                <w:sz w:val="20"/>
              </w:rPr>
              <w:t>critical</w:t>
            </w:r>
            <w:r>
              <w:rPr>
                <w:spacing w:val="-4"/>
                <w:sz w:val="20"/>
              </w:rPr>
              <w:t> </w:t>
            </w:r>
            <w:r>
              <w:rPr>
                <w:sz w:val="20"/>
              </w:rPr>
              <w:t>values</w:t>
            </w:r>
            <w:r>
              <w:rPr>
                <w:spacing w:val="-6"/>
                <w:sz w:val="20"/>
              </w:rPr>
              <w:t> </w:t>
            </w:r>
            <w:r>
              <w:rPr>
                <w:sz w:val="20"/>
              </w:rPr>
              <w:t>for</w:t>
            </w:r>
            <w:r>
              <w:rPr>
                <w:spacing w:val="-4"/>
                <w:sz w:val="20"/>
              </w:rPr>
              <w:t> </w:t>
            </w:r>
            <w:r>
              <w:rPr>
                <w:sz w:val="20"/>
              </w:rPr>
              <w:t>rejection</w:t>
            </w:r>
            <w:r>
              <w:rPr>
                <w:spacing w:val="-5"/>
                <w:sz w:val="20"/>
              </w:rPr>
              <w:t> </w:t>
            </w:r>
            <w:r>
              <w:rPr>
                <w:sz w:val="20"/>
              </w:rPr>
              <w:t>of</w:t>
            </w:r>
            <w:r>
              <w:rPr>
                <w:spacing w:val="-7"/>
                <w:sz w:val="20"/>
              </w:rPr>
              <w:t> </w:t>
            </w:r>
            <w:r>
              <w:rPr>
                <w:sz w:val="20"/>
              </w:rPr>
              <w:t>hypothesis</w:t>
            </w:r>
            <w:r>
              <w:rPr>
                <w:spacing w:val="-5"/>
                <w:sz w:val="20"/>
              </w:rPr>
              <w:t> </w:t>
            </w:r>
            <w:r>
              <w:rPr>
                <w:sz w:val="20"/>
              </w:rPr>
              <w:t>of</w:t>
            </w:r>
            <w:r>
              <w:rPr>
                <w:spacing w:val="-6"/>
                <w:sz w:val="20"/>
              </w:rPr>
              <w:t> </w:t>
            </w:r>
            <w:r>
              <w:rPr>
                <w:sz w:val="20"/>
              </w:rPr>
              <w:t>a</w:t>
            </w:r>
            <w:r>
              <w:rPr>
                <w:spacing w:val="-5"/>
                <w:sz w:val="20"/>
              </w:rPr>
              <w:t> </w:t>
            </w:r>
            <w:r>
              <w:rPr>
                <w:sz w:val="20"/>
              </w:rPr>
              <w:t>unit</w:t>
            </w:r>
            <w:r>
              <w:rPr>
                <w:spacing w:val="2"/>
                <w:sz w:val="20"/>
              </w:rPr>
              <w:t> </w:t>
            </w:r>
            <w:r>
              <w:rPr>
                <w:spacing w:val="-2"/>
                <w:sz w:val="20"/>
              </w:rPr>
              <w:t>root.</w:t>
            </w:r>
          </w:p>
        </w:tc>
      </w:tr>
      <w:tr>
        <w:trPr>
          <w:trHeight w:val="459" w:hRule="atLeast"/>
        </w:trPr>
        <w:tc>
          <w:tcPr>
            <w:tcW w:w="6490" w:type="dxa"/>
            <w:gridSpan w:val="5"/>
          </w:tcPr>
          <w:p>
            <w:pPr>
              <w:pStyle w:val="TableParagraph"/>
              <w:spacing w:line="215" w:lineRule="exact" w:before="225"/>
              <w:ind w:left="36"/>
              <w:rPr>
                <w:sz w:val="20"/>
              </w:rPr>
            </w:pPr>
            <w:r>
              <w:rPr>
                <w:sz w:val="20"/>
              </w:rPr>
              <w:t>Augmented</w:t>
            </w:r>
            <w:r>
              <w:rPr>
                <w:spacing w:val="-8"/>
                <w:sz w:val="20"/>
              </w:rPr>
              <w:t> </w:t>
            </w:r>
            <w:r>
              <w:rPr>
                <w:sz w:val="20"/>
              </w:rPr>
              <w:t>Dickey-Fuller</w:t>
            </w:r>
            <w:r>
              <w:rPr>
                <w:spacing w:val="-8"/>
                <w:sz w:val="20"/>
              </w:rPr>
              <w:t> </w:t>
            </w:r>
            <w:r>
              <w:rPr>
                <w:sz w:val="20"/>
              </w:rPr>
              <w:t>Test</w:t>
            </w:r>
            <w:r>
              <w:rPr>
                <w:spacing w:val="-9"/>
                <w:sz w:val="20"/>
              </w:rPr>
              <w:t> </w:t>
            </w:r>
            <w:r>
              <w:rPr>
                <w:spacing w:val="-2"/>
                <w:sz w:val="20"/>
              </w:rPr>
              <w:t>Equation</w:t>
            </w:r>
          </w:p>
        </w:tc>
      </w:tr>
      <w:tr>
        <w:trPr>
          <w:trHeight w:val="230" w:hRule="atLeast"/>
        </w:trPr>
        <w:tc>
          <w:tcPr>
            <w:tcW w:w="6490" w:type="dxa"/>
            <w:gridSpan w:val="5"/>
          </w:tcPr>
          <w:p>
            <w:pPr>
              <w:pStyle w:val="TableParagraph"/>
              <w:spacing w:line="210" w:lineRule="exact"/>
              <w:ind w:left="36"/>
              <w:rPr>
                <w:sz w:val="20"/>
              </w:rPr>
            </w:pPr>
            <w:r>
              <w:rPr>
                <w:sz w:val="20"/>
              </w:rPr>
              <w:t>Dependent</w:t>
            </w:r>
            <w:r>
              <w:rPr>
                <w:spacing w:val="-8"/>
                <w:sz w:val="20"/>
              </w:rPr>
              <w:t> </w:t>
            </w:r>
            <w:r>
              <w:rPr>
                <w:sz w:val="20"/>
              </w:rPr>
              <w:t>Variable:</w:t>
            </w:r>
            <w:r>
              <w:rPr>
                <w:spacing w:val="-8"/>
                <w:sz w:val="20"/>
              </w:rPr>
              <w:t> </w:t>
            </w:r>
            <w:r>
              <w:rPr>
                <w:spacing w:val="-2"/>
                <w:sz w:val="20"/>
              </w:rPr>
              <w:t>D(DFI)</w:t>
            </w:r>
          </w:p>
        </w:tc>
      </w:tr>
      <w:tr>
        <w:trPr>
          <w:trHeight w:val="229" w:hRule="atLeast"/>
        </w:trPr>
        <w:tc>
          <w:tcPr>
            <w:tcW w:w="1873" w:type="dxa"/>
          </w:tcPr>
          <w:p>
            <w:pPr>
              <w:pStyle w:val="TableParagraph"/>
              <w:spacing w:line="209" w:lineRule="exact"/>
              <w:ind w:left="36" w:right="-15"/>
              <w:rPr>
                <w:sz w:val="20"/>
              </w:rPr>
            </w:pPr>
            <w:r>
              <w:rPr>
                <w:sz w:val="20"/>
              </w:rPr>
              <w:t>Method:</w:t>
            </w:r>
            <w:r>
              <w:rPr>
                <w:spacing w:val="-8"/>
                <w:sz w:val="20"/>
              </w:rPr>
              <w:t> </w:t>
            </w:r>
            <w:r>
              <w:rPr>
                <w:sz w:val="20"/>
              </w:rPr>
              <w:t>Least</w:t>
            </w:r>
            <w:r>
              <w:rPr>
                <w:spacing w:val="-7"/>
                <w:sz w:val="20"/>
              </w:rPr>
              <w:t> </w:t>
            </w:r>
            <w:r>
              <w:rPr>
                <w:spacing w:val="-2"/>
                <w:sz w:val="20"/>
              </w:rPr>
              <w:t>Squares</w:t>
            </w:r>
          </w:p>
        </w:tc>
        <w:tc>
          <w:tcPr>
            <w:tcW w:w="1350" w:type="dxa"/>
          </w:tcPr>
          <w:p>
            <w:pPr>
              <w:pStyle w:val="TableParagraph"/>
              <w:rPr>
                <w:sz w:val="16"/>
              </w:rPr>
            </w:pPr>
          </w:p>
        </w:tc>
        <w:tc>
          <w:tcPr>
            <w:tcW w:w="1433" w:type="dxa"/>
          </w:tcPr>
          <w:p>
            <w:pPr>
              <w:pStyle w:val="TableParagraph"/>
              <w:rPr>
                <w:sz w:val="16"/>
              </w:rPr>
            </w:pPr>
          </w:p>
        </w:tc>
        <w:tc>
          <w:tcPr>
            <w:tcW w:w="937" w:type="dxa"/>
          </w:tcPr>
          <w:p>
            <w:pPr>
              <w:pStyle w:val="TableParagraph"/>
              <w:rPr>
                <w:sz w:val="16"/>
              </w:rPr>
            </w:pPr>
          </w:p>
        </w:tc>
        <w:tc>
          <w:tcPr>
            <w:tcW w:w="897" w:type="dxa"/>
          </w:tcPr>
          <w:p>
            <w:pPr>
              <w:pStyle w:val="TableParagraph"/>
              <w:rPr>
                <w:sz w:val="16"/>
              </w:rPr>
            </w:pPr>
          </w:p>
        </w:tc>
      </w:tr>
      <w:tr>
        <w:trPr>
          <w:trHeight w:val="229" w:hRule="atLeast"/>
        </w:trPr>
        <w:tc>
          <w:tcPr>
            <w:tcW w:w="6490" w:type="dxa"/>
            <w:gridSpan w:val="5"/>
          </w:tcPr>
          <w:p>
            <w:pPr>
              <w:pStyle w:val="TableParagraph"/>
              <w:spacing w:line="209" w:lineRule="exact"/>
              <w:ind w:left="36"/>
              <w:rPr>
                <w:sz w:val="20"/>
              </w:rPr>
            </w:pPr>
            <w:r>
              <w:rPr>
                <w:sz w:val="20"/>
              </w:rPr>
              <w:t>Date:</w:t>
            </w:r>
            <w:r>
              <w:rPr>
                <w:spacing w:val="-5"/>
                <w:sz w:val="20"/>
              </w:rPr>
              <w:t> </w:t>
            </w:r>
            <w:r>
              <w:rPr>
                <w:sz w:val="20"/>
              </w:rPr>
              <w:t>02/17/14</w:t>
            </w:r>
            <w:r>
              <w:rPr>
                <w:spacing w:val="63"/>
                <w:w w:val="150"/>
                <w:sz w:val="20"/>
              </w:rPr>
              <w:t> </w:t>
            </w:r>
            <w:r>
              <w:rPr>
                <w:sz w:val="20"/>
              </w:rPr>
              <w:t>Time:</w:t>
            </w:r>
            <w:r>
              <w:rPr>
                <w:spacing w:val="-3"/>
                <w:sz w:val="20"/>
              </w:rPr>
              <w:t> </w:t>
            </w:r>
            <w:r>
              <w:rPr>
                <w:spacing w:val="-2"/>
                <w:sz w:val="20"/>
              </w:rPr>
              <w:t>16:52</w:t>
            </w:r>
          </w:p>
        </w:tc>
      </w:tr>
      <w:tr>
        <w:trPr>
          <w:trHeight w:val="230" w:hRule="atLeast"/>
        </w:trPr>
        <w:tc>
          <w:tcPr>
            <w:tcW w:w="6490" w:type="dxa"/>
            <w:gridSpan w:val="5"/>
          </w:tcPr>
          <w:p>
            <w:pPr>
              <w:pStyle w:val="TableParagraph"/>
              <w:spacing w:line="210" w:lineRule="exact"/>
              <w:ind w:left="36"/>
              <w:rPr>
                <w:sz w:val="20"/>
              </w:rPr>
            </w:pPr>
            <w:r>
              <w:rPr>
                <w:sz w:val="20"/>
              </w:rPr>
              <w:t>Sample(adjusted):</w:t>
            </w:r>
            <w:r>
              <w:rPr>
                <w:spacing w:val="-9"/>
                <w:sz w:val="20"/>
              </w:rPr>
              <w:t> </w:t>
            </w:r>
            <w:r>
              <w:rPr>
                <w:sz w:val="20"/>
              </w:rPr>
              <w:t>1972</w:t>
            </w:r>
            <w:r>
              <w:rPr>
                <w:spacing w:val="-9"/>
                <w:sz w:val="20"/>
              </w:rPr>
              <w:t> </w:t>
            </w:r>
            <w:r>
              <w:rPr>
                <w:spacing w:val="-4"/>
                <w:sz w:val="20"/>
              </w:rPr>
              <w:t>2011</w:t>
            </w:r>
          </w:p>
        </w:tc>
      </w:tr>
      <w:tr>
        <w:trPr>
          <w:trHeight w:val="224" w:hRule="atLeast"/>
        </w:trPr>
        <w:tc>
          <w:tcPr>
            <w:tcW w:w="6490" w:type="dxa"/>
            <w:gridSpan w:val="5"/>
            <w:tcBorders>
              <w:bottom w:val="double" w:sz="6" w:space="0" w:color="000000"/>
            </w:tcBorders>
          </w:tcPr>
          <w:p>
            <w:pPr>
              <w:pStyle w:val="TableParagraph"/>
              <w:spacing w:line="205" w:lineRule="exact"/>
              <w:ind w:left="36"/>
              <w:rPr>
                <w:sz w:val="20"/>
              </w:rPr>
            </w:pPr>
            <w:r>
              <w:rPr>
                <w:sz w:val="20"/>
              </w:rPr>
              <w:t>Included</w:t>
            </w:r>
            <w:r>
              <w:rPr>
                <w:spacing w:val="-6"/>
                <w:sz w:val="20"/>
              </w:rPr>
              <w:t> </w:t>
            </w:r>
            <w:r>
              <w:rPr>
                <w:sz w:val="20"/>
              </w:rPr>
              <w:t>observations:</w:t>
            </w:r>
            <w:r>
              <w:rPr>
                <w:spacing w:val="-8"/>
                <w:sz w:val="20"/>
              </w:rPr>
              <w:t> </w:t>
            </w:r>
            <w:r>
              <w:rPr>
                <w:sz w:val="20"/>
              </w:rPr>
              <w:t>40</w:t>
            </w:r>
            <w:r>
              <w:rPr>
                <w:spacing w:val="-5"/>
                <w:sz w:val="20"/>
              </w:rPr>
              <w:t> </w:t>
            </w:r>
            <w:r>
              <w:rPr>
                <w:sz w:val="20"/>
              </w:rPr>
              <w:t>after</w:t>
            </w:r>
            <w:r>
              <w:rPr>
                <w:spacing w:val="-7"/>
                <w:sz w:val="20"/>
              </w:rPr>
              <w:t> </w:t>
            </w:r>
            <w:r>
              <w:rPr>
                <w:sz w:val="20"/>
              </w:rPr>
              <w:t>adjusting</w:t>
            </w:r>
            <w:r>
              <w:rPr>
                <w:spacing w:val="-7"/>
                <w:sz w:val="20"/>
              </w:rPr>
              <w:t> </w:t>
            </w:r>
            <w:r>
              <w:rPr>
                <w:spacing w:val="-2"/>
                <w:sz w:val="20"/>
              </w:rPr>
              <w:t>endpoints</w:t>
            </w:r>
          </w:p>
        </w:tc>
      </w:tr>
      <w:tr>
        <w:trPr>
          <w:trHeight w:val="269" w:hRule="atLeast"/>
        </w:trPr>
        <w:tc>
          <w:tcPr>
            <w:tcW w:w="1873" w:type="dxa"/>
            <w:tcBorders>
              <w:top w:val="double" w:sz="6" w:space="0" w:color="000000"/>
              <w:bottom w:val="double" w:sz="6" w:space="0" w:color="000000"/>
            </w:tcBorders>
          </w:tcPr>
          <w:p>
            <w:pPr>
              <w:pStyle w:val="TableParagraph"/>
              <w:spacing w:line="209" w:lineRule="exact" w:before="40"/>
              <w:ind w:left="677"/>
              <w:rPr>
                <w:sz w:val="20"/>
              </w:rPr>
            </w:pPr>
            <w:r>
              <w:rPr>
                <w:spacing w:val="-2"/>
                <w:sz w:val="20"/>
              </w:rPr>
              <w:t>Variable</w:t>
            </w:r>
          </w:p>
        </w:tc>
        <w:tc>
          <w:tcPr>
            <w:tcW w:w="1350" w:type="dxa"/>
            <w:tcBorders>
              <w:top w:val="double" w:sz="6" w:space="0" w:color="000000"/>
              <w:bottom w:val="double" w:sz="6" w:space="0" w:color="000000"/>
            </w:tcBorders>
          </w:tcPr>
          <w:p>
            <w:pPr>
              <w:pStyle w:val="TableParagraph"/>
              <w:spacing w:line="209" w:lineRule="exact" w:before="40"/>
              <w:ind w:right="132"/>
              <w:jc w:val="right"/>
              <w:rPr>
                <w:sz w:val="20"/>
              </w:rPr>
            </w:pPr>
            <w:r>
              <w:rPr>
                <w:spacing w:val="-2"/>
                <w:sz w:val="20"/>
              </w:rPr>
              <w:t>Coefficient</w:t>
            </w:r>
          </w:p>
        </w:tc>
        <w:tc>
          <w:tcPr>
            <w:tcW w:w="1433" w:type="dxa"/>
            <w:tcBorders>
              <w:top w:val="double" w:sz="6" w:space="0" w:color="000000"/>
              <w:bottom w:val="double" w:sz="6" w:space="0" w:color="000000"/>
            </w:tcBorders>
          </w:tcPr>
          <w:p>
            <w:pPr>
              <w:pStyle w:val="TableParagraph"/>
              <w:spacing w:line="209" w:lineRule="exact" w:before="40"/>
              <w:ind w:left="272"/>
              <w:rPr>
                <w:sz w:val="20"/>
              </w:rPr>
            </w:pPr>
            <w:r>
              <w:rPr>
                <w:sz w:val="20"/>
              </w:rPr>
              <w:t>Std.</w:t>
            </w:r>
            <w:r>
              <w:rPr>
                <w:spacing w:val="-3"/>
                <w:sz w:val="20"/>
              </w:rPr>
              <w:t> </w:t>
            </w:r>
            <w:r>
              <w:rPr>
                <w:spacing w:val="-2"/>
                <w:sz w:val="20"/>
              </w:rPr>
              <w:t>Error</w:t>
            </w:r>
          </w:p>
        </w:tc>
        <w:tc>
          <w:tcPr>
            <w:tcW w:w="937" w:type="dxa"/>
            <w:tcBorders>
              <w:top w:val="double" w:sz="6" w:space="0" w:color="000000"/>
              <w:bottom w:val="double" w:sz="6" w:space="0" w:color="000000"/>
            </w:tcBorders>
          </w:tcPr>
          <w:p>
            <w:pPr>
              <w:pStyle w:val="TableParagraph"/>
              <w:spacing w:line="209" w:lineRule="exact" w:before="40"/>
              <w:ind w:right="115"/>
              <w:jc w:val="right"/>
              <w:rPr>
                <w:sz w:val="20"/>
              </w:rPr>
            </w:pPr>
            <w:r>
              <w:rPr>
                <w:spacing w:val="-4"/>
                <w:sz w:val="20"/>
              </w:rPr>
              <w:t>t-</w:t>
            </w:r>
            <w:r>
              <w:rPr>
                <w:spacing w:val="-2"/>
                <w:sz w:val="20"/>
              </w:rPr>
              <w:t>Statistic</w:t>
            </w:r>
          </w:p>
        </w:tc>
        <w:tc>
          <w:tcPr>
            <w:tcW w:w="897" w:type="dxa"/>
            <w:tcBorders>
              <w:top w:val="double" w:sz="6" w:space="0" w:color="000000"/>
              <w:bottom w:val="double" w:sz="6" w:space="0" w:color="000000"/>
            </w:tcBorders>
          </w:tcPr>
          <w:p>
            <w:pPr>
              <w:pStyle w:val="TableParagraph"/>
              <w:spacing w:line="209" w:lineRule="exact" w:before="40"/>
              <w:ind w:right="31"/>
              <w:jc w:val="right"/>
              <w:rPr>
                <w:sz w:val="20"/>
              </w:rPr>
            </w:pPr>
            <w:r>
              <w:rPr>
                <w:spacing w:val="-2"/>
                <w:sz w:val="20"/>
              </w:rPr>
              <w:t>Prob.</w:t>
            </w:r>
          </w:p>
        </w:tc>
      </w:tr>
      <w:tr>
        <w:trPr>
          <w:trHeight w:val="276" w:hRule="atLeast"/>
        </w:trPr>
        <w:tc>
          <w:tcPr>
            <w:tcW w:w="1873" w:type="dxa"/>
            <w:tcBorders>
              <w:top w:val="double" w:sz="6" w:space="0" w:color="000000"/>
            </w:tcBorders>
          </w:tcPr>
          <w:p>
            <w:pPr>
              <w:pStyle w:val="TableParagraph"/>
              <w:spacing w:line="214" w:lineRule="exact" w:before="42"/>
              <w:ind w:left="710"/>
              <w:rPr>
                <w:sz w:val="20"/>
              </w:rPr>
            </w:pPr>
            <w:r>
              <w:rPr>
                <w:spacing w:val="-2"/>
                <w:sz w:val="20"/>
              </w:rPr>
              <w:t>DFI(-</w:t>
            </w:r>
            <w:r>
              <w:rPr>
                <w:spacing w:val="-5"/>
                <w:sz w:val="20"/>
              </w:rPr>
              <w:t>1)</w:t>
            </w:r>
          </w:p>
        </w:tc>
        <w:tc>
          <w:tcPr>
            <w:tcW w:w="1350" w:type="dxa"/>
            <w:tcBorders>
              <w:top w:val="double" w:sz="6" w:space="0" w:color="000000"/>
            </w:tcBorders>
          </w:tcPr>
          <w:p>
            <w:pPr>
              <w:pStyle w:val="TableParagraph"/>
              <w:spacing w:line="214" w:lineRule="exact" w:before="42"/>
              <w:ind w:right="129"/>
              <w:jc w:val="right"/>
              <w:rPr>
                <w:sz w:val="20"/>
              </w:rPr>
            </w:pPr>
            <w:r>
              <w:rPr>
                <w:spacing w:val="-2"/>
                <w:sz w:val="20"/>
              </w:rPr>
              <w:t>0.052234</w:t>
            </w:r>
          </w:p>
        </w:tc>
        <w:tc>
          <w:tcPr>
            <w:tcW w:w="1433" w:type="dxa"/>
            <w:tcBorders>
              <w:top w:val="double" w:sz="6" w:space="0" w:color="000000"/>
            </w:tcBorders>
          </w:tcPr>
          <w:p>
            <w:pPr>
              <w:pStyle w:val="TableParagraph"/>
              <w:spacing w:line="214" w:lineRule="exact" w:before="42"/>
              <w:ind w:left="310"/>
              <w:rPr>
                <w:sz w:val="20"/>
              </w:rPr>
            </w:pPr>
            <w:r>
              <w:rPr>
                <w:spacing w:val="-2"/>
                <w:sz w:val="20"/>
              </w:rPr>
              <w:t>0.041146</w:t>
            </w:r>
          </w:p>
        </w:tc>
        <w:tc>
          <w:tcPr>
            <w:tcW w:w="937" w:type="dxa"/>
            <w:tcBorders>
              <w:top w:val="double" w:sz="6" w:space="0" w:color="000000"/>
            </w:tcBorders>
          </w:tcPr>
          <w:p>
            <w:pPr>
              <w:pStyle w:val="TableParagraph"/>
              <w:spacing w:line="214" w:lineRule="exact" w:before="42"/>
              <w:ind w:right="113"/>
              <w:jc w:val="right"/>
              <w:rPr>
                <w:sz w:val="20"/>
              </w:rPr>
            </w:pPr>
            <w:r>
              <w:rPr>
                <w:spacing w:val="-2"/>
                <w:sz w:val="20"/>
              </w:rPr>
              <w:t>1.269495</w:t>
            </w:r>
          </w:p>
        </w:tc>
        <w:tc>
          <w:tcPr>
            <w:tcW w:w="897" w:type="dxa"/>
            <w:tcBorders>
              <w:top w:val="double" w:sz="6" w:space="0" w:color="000000"/>
            </w:tcBorders>
          </w:tcPr>
          <w:p>
            <w:pPr>
              <w:pStyle w:val="TableParagraph"/>
              <w:spacing w:line="214" w:lineRule="exact" w:before="42"/>
              <w:ind w:right="30"/>
              <w:jc w:val="right"/>
              <w:rPr>
                <w:sz w:val="20"/>
              </w:rPr>
            </w:pPr>
            <w:r>
              <w:rPr>
                <w:spacing w:val="-2"/>
                <w:sz w:val="20"/>
              </w:rPr>
              <w:t>0.2122</w:t>
            </w:r>
          </w:p>
        </w:tc>
      </w:tr>
      <w:tr>
        <w:trPr>
          <w:trHeight w:val="229" w:hRule="atLeast"/>
        </w:trPr>
        <w:tc>
          <w:tcPr>
            <w:tcW w:w="1873" w:type="dxa"/>
          </w:tcPr>
          <w:p>
            <w:pPr>
              <w:pStyle w:val="TableParagraph"/>
              <w:spacing w:line="209" w:lineRule="exact"/>
              <w:ind w:left="571"/>
              <w:rPr>
                <w:sz w:val="20"/>
              </w:rPr>
            </w:pPr>
            <w:r>
              <w:rPr>
                <w:spacing w:val="-2"/>
                <w:sz w:val="20"/>
              </w:rPr>
              <w:t>D(DFI(-</w:t>
            </w:r>
            <w:r>
              <w:rPr>
                <w:spacing w:val="-5"/>
                <w:sz w:val="20"/>
              </w:rPr>
              <w:t>1))</w:t>
            </w:r>
          </w:p>
        </w:tc>
        <w:tc>
          <w:tcPr>
            <w:tcW w:w="1350" w:type="dxa"/>
          </w:tcPr>
          <w:p>
            <w:pPr>
              <w:pStyle w:val="TableParagraph"/>
              <w:spacing w:line="209" w:lineRule="exact"/>
              <w:ind w:right="129"/>
              <w:jc w:val="right"/>
              <w:rPr>
                <w:sz w:val="20"/>
              </w:rPr>
            </w:pPr>
            <w:r>
              <w:rPr>
                <w:spacing w:val="-4"/>
                <w:sz w:val="20"/>
              </w:rPr>
              <w:t>-</w:t>
            </w:r>
            <w:r>
              <w:rPr>
                <w:spacing w:val="-2"/>
                <w:sz w:val="20"/>
              </w:rPr>
              <w:t>0.109556</w:t>
            </w:r>
          </w:p>
        </w:tc>
        <w:tc>
          <w:tcPr>
            <w:tcW w:w="1433" w:type="dxa"/>
          </w:tcPr>
          <w:p>
            <w:pPr>
              <w:pStyle w:val="TableParagraph"/>
              <w:spacing w:line="209" w:lineRule="exact"/>
              <w:ind w:left="310"/>
              <w:rPr>
                <w:sz w:val="20"/>
              </w:rPr>
            </w:pPr>
            <w:r>
              <w:rPr>
                <w:spacing w:val="-2"/>
                <w:sz w:val="20"/>
              </w:rPr>
              <w:t>0.177206</w:t>
            </w:r>
          </w:p>
        </w:tc>
        <w:tc>
          <w:tcPr>
            <w:tcW w:w="937" w:type="dxa"/>
          </w:tcPr>
          <w:p>
            <w:pPr>
              <w:pStyle w:val="TableParagraph"/>
              <w:spacing w:line="209" w:lineRule="exact"/>
              <w:ind w:right="113"/>
              <w:jc w:val="right"/>
              <w:rPr>
                <w:sz w:val="20"/>
              </w:rPr>
            </w:pPr>
            <w:r>
              <w:rPr>
                <w:spacing w:val="-4"/>
                <w:sz w:val="20"/>
              </w:rPr>
              <w:t>-</w:t>
            </w:r>
            <w:r>
              <w:rPr>
                <w:spacing w:val="-2"/>
                <w:sz w:val="20"/>
              </w:rPr>
              <w:t>0.618242</w:t>
            </w:r>
          </w:p>
        </w:tc>
        <w:tc>
          <w:tcPr>
            <w:tcW w:w="897" w:type="dxa"/>
          </w:tcPr>
          <w:p>
            <w:pPr>
              <w:pStyle w:val="TableParagraph"/>
              <w:spacing w:line="209" w:lineRule="exact"/>
              <w:ind w:right="30"/>
              <w:jc w:val="right"/>
              <w:rPr>
                <w:sz w:val="20"/>
              </w:rPr>
            </w:pPr>
            <w:r>
              <w:rPr>
                <w:spacing w:val="-2"/>
                <w:sz w:val="20"/>
              </w:rPr>
              <w:t>0.5402</w:t>
            </w:r>
          </w:p>
        </w:tc>
      </w:tr>
      <w:tr>
        <w:trPr>
          <w:trHeight w:val="224" w:hRule="atLeast"/>
        </w:trPr>
        <w:tc>
          <w:tcPr>
            <w:tcW w:w="1873" w:type="dxa"/>
            <w:tcBorders>
              <w:bottom w:val="double" w:sz="6" w:space="0" w:color="000000"/>
            </w:tcBorders>
          </w:tcPr>
          <w:p>
            <w:pPr>
              <w:pStyle w:val="TableParagraph"/>
              <w:spacing w:line="205" w:lineRule="exact"/>
              <w:ind w:left="171"/>
              <w:jc w:val="center"/>
              <w:rPr>
                <w:sz w:val="20"/>
              </w:rPr>
            </w:pPr>
            <w:r>
              <w:rPr>
                <w:spacing w:val="-10"/>
                <w:sz w:val="20"/>
              </w:rPr>
              <w:t>C</w:t>
            </w:r>
          </w:p>
        </w:tc>
        <w:tc>
          <w:tcPr>
            <w:tcW w:w="1350" w:type="dxa"/>
            <w:tcBorders>
              <w:bottom w:val="double" w:sz="6" w:space="0" w:color="000000"/>
            </w:tcBorders>
          </w:tcPr>
          <w:p>
            <w:pPr>
              <w:pStyle w:val="TableParagraph"/>
              <w:spacing w:line="205" w:lineRule="exact"/>
              <w:ind w:right="129"/>
              <w:jc w:val="right"/>
              <w:rPr>
                <w:sz w:val="20"/>
              </w:rPr>
            </w:pPr>
            <w:r>
              <w:rPr>
                <w:spacing w:val="-4"/>
                <w:sz w:val="20"/>
              </w:rPr>
              <w:t>-</w:t>
            </w:r>
            <w:r>
              <w:rPr>
                <w:spacing w:val="-2"/>
                <w:sz w:val="20"/>
              </w:rPr>
              <w:t>0.282496</w:t>
            </w:r>
          </w:p>
        </w:tc>
        <w:tc>
          <w:tcPr>
            <w:tcW w:w="1433" w:type="dxa"/>
            <w:tcBorders>
              <w:bottom w:val="double" w:sz="6" w:space="0" w:color="000000"/>
            </w:tcBorders>
          </w:tcPr>
          <w:p>
            <w:pPr>
              <w:pStyle w:val="TableParagraph"/>
              <w:spacing w:line="205" w:lineRule="exact"/>
              <w:ind w:left="310"/>
              <w:rPr>
                <w:sz w:val="20"/>
              </w:rPr>
            </w:pPr>
            <w:r>
              <w:rPr>
                <w:spacing w:val="-2"/>
                <w:sz w:val="20"/>
              </w:rPr>
              <w:t>0.411621</w:t>
            </w:r>
          </w:p>
        </w:tc>
        <w:tc>
          <w:tcPr>
            <w:tcW w:w="937" w:type="dxa"/>
            <w:tcBorders>
              <w:bottom w:val="double" w:sz="6" w:space="0" w:color="000000"/>
            </w:tcBorders>
          </w:tcPr>
          <w:p>
            <w:pPr>
              <w:pStyle w:val="TableParagraph"/>
              <w:spacing w:line="205" w:lineRule="exact"/>
              <w:ind w:right="113"/>
              <w:jc w:val="right"/>
              <w:rPr>
                <w:sz w:val="20"/>
              </w:rPr>
            </w:pPr>
            <w:r>
              <w:rPr>
                <w:spacing w:val="-4"/>
                <w:sz w:val="20"/>
              </w:rPr>
              <w:t>-</w:t>
            </w:r>
            <w:r>
              <w:rPr>
                <w:spacing w:val="-2"/>
                <w:sz w:val="20"/>
              </w:rPr>
              <w:t>0.686301</w:t>
            </w:r>
          </w:p>
        </w:tc>
        <w:tc>
          <w:tcPr>
            <w:tcW w:w="897" w:type="dxa"/>
            <w:tcBorders>
              <w:bottom w:val="double" w:sz="6" w:space="0" w:color="000000"/>
            </w:tcBorders>
          </w:tcPr>
          <w:p>
            <w:pPr>
              <w:pStyle w:val="TableParagraph"/>
              <w:spacing w:line="205" w:lineRule="exact"/>
              <w:ind w:right="30"/>
              <w:jc w:val="right"/>
              <w:rPr>
                <w:sz w:val="20"/>
              </w:rPr>
            </w:pPr>
            <w:r>
              <w:rPr>
                <w:spacing w:val="-2"/>
                <w:sz w:val="20"/>
              </w:rPr>
              <w:t>0.4968</w:t>
            </w:r>
          </w:p>
        </w:tc>
      </w:tr>
      <w:tr>
        <w:trPr>
          <w:trHeight w:val="276" w:hRule="atLeast"/>
        </w:trPr>
        <w:tc>
          <w:tcPr>
            <w:tcW w:w="1873" w:type="dxa"/>
            <w:tcBorders>
              <w:top w:val="double" w:sz="6" w:space="0" w:color="000000"/>
            </w:tcBorders>
          </w:tcPr>
          <w:p>
            <w:pPr>
              <w:pStyle w:val="TableParagraph"/>
              <w:spacing w:line="214" w:lineRule="exact" w:before="42"/>
              <w:ind w:left="36"/>
              <w:rPr>
                <w:sz w:val="20"/>
              </w:rPr>
            </w:pPr>
            <w:r>
              <w:rPr>
                <w:spacing w:val="-2"/>
                <w:sz w:val="20"/>
              </w:rPr>
              <w:t>R-squared</w:t>
            </w:r>
          </w:p>
        </w:tc>
        <w:tc>
          <w:tcPr>
            <w:tcW w:w="1350" w:type="dxa"/>
            <w:tcBorders>
              <w:top w:val="double" w:sz="6" w:space="0" w:color="000000"/>
            </w:tcBorders>
          </w:tcPr>
          <w:p>
            <w:pPr>
              <w:pStyle w:val="TableParagraph"/>
              <w:spacing w:line="214" w:lineRule="exact" w:before="42"/>
              <w:ind w:right="129"/>
              <w:jc w:val="right"/>
              <w:rPr>
                <w:sz w:val="20"/>
              </w:rPr>
            </w:pPr>
            <w:r>
              <w:rPr>
                <w:spacing w:val="-2"/>
                <w:sz w:val="20"/>
              </w:rPr>
              <w:t>0.041967</w:t>
            </w:r>
          </w:p>
        </w:tc>
        <w:tc>
          <w:tcPr>
            <w:tcW w:w="2370" w:type="dxa"/>
            <w:gridSpan w:val="2"/>
            <w:tcBorders>
              <w:top w:val="double" w:sz="6" w:space="0" w:color="000000"/>
            </w:tcBorders>
          </w:tcPr>
          <w:p>
            <w:pPr>
              <w:pStyle w:val="TableParagraph"/>
              <w:spacing w:line="214" w:lineRule="exact" w:before="42"/>
              <w:ind w:left="130"/>
              <w:rPr>
                <w:sz w:val="20"/>
              </w:rPr>
            </w:pPr>
            <w:r>
              <w:rPr>
                <w:sz w:val="20"/>
              </w:rPr>
              <w:t>Mean</w:t>
            </w:r>
            <w:r>
              <w:rPr>
                <w:spacing w:val="-7"/>
                <w:sz w:val="20"/>
              </w:rPr>
              <w:t> </w:t>
            </w:r>
            <w:r>
              <w:rPr>
                <w:sz w:val="20"/>
              </w:rPr>
              <w:t>dependent</w:t>
            </w:r>
            <w:r>
              <w:rPr>
                <w:spacing w:val="-7"/>
                <w:sz w:val="20"/>
              </w:rPr>
              <w:t> </w:t>
            </w:r>
            <w:r>
              <w:rPr>
                <w:spacing w:val="-5"/>
                <w:sz w:val="20"/>
              </w:rPr>
              <w:t>var</w:t>
            </w:r>
          </w:p>
        </w:tc>
        <w:tc>
          <w:tcPr>
            <w:tcW w:w="897" w:type="dxa"/>
            <w:tcBorders>
              <w:top w:val="double" w:sz="6" w:space="0" w:color="000000"/>
            </w:tcBorders>
          </w:tcPr>
          <w:p>
            <w:pPr>
              <w:pStyle w:val="TableParagraph"/>
              <w:spacing w:line="214" w:lineRule="exact" w:before="42"/>
              <w:ind w:right="30"/>
              <w:jc w:val="right"/>
              <w:rPr>
                <w:sz w:val="20"/>
              </w:rPr>
            </w:pPr>
            <w:r>
              <w:rPr>
                <w:spacing w:val="-2"/>
                <w:sz w:val="20"/>
              </w:rPr>
              <w:t>0.224591</w:t>
            </w:r>
          </w:p>
        </w:tc>
      </w:tr>
      <w:tr>
        <w:trPr>
          <w:trHeight w:val="229" w:hRule="atLeast"/>
        </w:trPr>
        <w:tc>
          <w:tcPr>
            <w:tcW w:w="1873" w:type="dxa"/>
          </w:tcPr>
          <w:p>
            <w:pPr>
              <w:pStyle w:val="TableParagraph"/>
              <w:spacing w:line="209" w:lineRule="exact"/>
              <w:ind w:left="36"/>
              <w:rPr>
                <w:sz w:val="20"/>
              </w:rPr>
            </w:pPr>
            <w:r>
              <w:rPr>
                <w:sz w:val="20"/>
              </w:rPr>
              <w:t>Adjusted</w:t>
            </w:r>
            <w:r>
              <w:rPr>
                <w:spacing w:val="-10"/>
                <w:sz w:val="20"/>
              </w:rPr>
              <w:t> </w:t>
            </w:r>
            <w:r>
              <w:rPr>
                <w:sz w:val="20"/>
              </w:rPr>
              <w:t>R-</w:t>
            </w:r>
            <w:r>
              <w:rPr>
                <w:spacing w:val="-2"/>
                <w:sz w:val="20"/>
              </w:rPr>
              <w:t>squared</w:t>
            </w:r>
          </w:p>
        </w:tc>
        <w:tc>
          <w:tcPr>
            <w:tcW w:w="1350" w:type="dxa"/>
          </w:tcPr>
          <w:p>
            <w:pPr>
              <w:pStyle w:val="TableParagraph"/>
              <w:spacing w:line="209" w:lineRule="exact"/>
              <w:ind w:right="129"/>
              <w:jc w:val="right"/>
              <w:rPr>
                <w:sz w:val="20"/>
              </w:rPr>
            </w:pPr>
            <w:r>
              <w:rPr>
                <w:spacing w:val="-4"/>
                <w:sz w:val="20"/>
              </w:rPr>
              <w:t>-</w:t>
            </w:r>
            <w:r>
              <w:rPr>
                <w:spacing w:val="-2"/>
                <w:sz w:val="20"/>
              </w:rPr>
              <w:t>0.009819</w:t>
            </w:r>
          </w:p>
        </w:tc>
        <w:tc>
          <w:tcPr>
            <w:tcW w:w="2370" w:type="dxa"/>
            <w:gridSpan w:val="2"/>
          </w:tcPr>
          <w:p>
            <w:pPr>
              <w:pStyle w:val="TableParagraph"/>
              <w:spacing w:line="209" w:lineRule="exact"/>
              <w:ind w:left="130"/>
              <w:rPr>
                <w:sz w:val="20"/>
              </w:rPr>
            </w:pPr>
            <w:r>
              <w:rPr>
                <w:sz w:val="20"/>
              </w:rPr>
              <w:t>S.D.</w:t>
            </w:r>
            <w:r>
              <w:rPr>
                <w:spacing w:val="-5"/>
                <w:sz w:val="20"/>
              </w:rPr>
              <w:t> </w:t>
            </w:r>
            <w:r>
              <w:rPr>
                <w:sz w:val="20"/>
              </w:rPr>
              <w:t>dependent</w:t>
            </w:r>
            <w:r>
              <w:rPr>
                <w:spacing w:val="-6"/>
                <w:sz w:val="20"/>
              </w:rPr>
              <w:t> </w:t>
            </w:r>
            <w:r>
              <w:rPr>
                <w:spacing w:val="-5"/>
                <w:sz w:val="20"/>
              </w:rPr>
              <w:t>var</w:t>
            </w:r>
          </w:p>
        </w:tc>
        <w:tc>
          <w:tcPr>
            <w:tcW w:w="897" w:type="dxa"/>
          </w:tcPr>
          <w:p>
            <w:pPr>
              <w:pStyle w:val="TableParagraph"/>
              <w:spacing w:line="209" w:lineRule="exact"/>
              <w:ind w:right="30"/>
              <w:jc w:val="right"/>
              <w:rPr>
                <w:sz w:val="20"/>
              </w:rPr>
            </w:pPr>
            <w:r>
              <w:rPr>
                <w:spacing w:val="-2"/>
                <w:sz w:val="20"/>
              </w:rPr>
              <w:t>0.500320</w:t>
            </w:r>
          </w:p>
        </w:tc>
      </w:tr>
      <w:tr>
        <w:trPr>
          <w:trHeight w:val="230" w:hRule="atLeast"/>
        </w:trPr>
        <w:tc>
          <w:tcPr>
            <w:tcW w:w="1873" w:type="dxa"/>
          </w:tcPr>
          <w:p>
            <w:pPr>
              <w:pStyle w:val="TableParagraph"/>
              <w:spacing w:line="210" w:lineRule="exact"/>
              <w:ind w:left="36"/>
              <w:rPr>
                <w:sz w:val="20"/>
              </w:rPr>
            </w:pPr>
            <w:r>
              <w:rPr>
                <w:sz w:val="20"/>
              </w:rPr>
              <w:t>S.E.</w:t>
            </w:r>
            <w:r>
              <w:rPr>
                <w:spacing w:val="-3"/>
                <w:sz w:val="20"/>
              </w:rPr>
              <w:t> </w:t>
            </w:r>
            <w:r>
              <w:rPr>
                <w:sz w:val="20"/>
              </w:rPr>
              <w:t>of</w:t>
            </w:r>
            <w:r>
              <w:rPr>
                <w:spacing w:val="-3"/>
                <w:sz w:val="20"/>
              </w:rPr>
              <w:t> </w:t>
            </w:r>
            <w:r>
              <w:rPr>
                <w:spacing w:val="-2"/>
                <w:sz w:val="20"/>
              </w:rPr>
              <w:t>regression</w:t>
            </w:r>
          </w:p>
        </w:tc>
        <w:tc>
          <w:tcPr>
            <w:tcW w:w="1350" w:type="dxa"/>
          </w:tcPr>
          <w:p>
            <w:pPr>
              <w:pStyle w:val="TableParagraph"/>
              <w:spacing w:line="210" w:lineRule="exact"/>
              <w:ind w:right="129"/>
              <w:jc w:val="right"/>
              <w:rPr>
                <w:sz w:val="20"/>
              </w:rPr>
            </w:pPr>
            <w:r>
              <w:rPr>
                <w:spacing w:val="-2"/>
                <w:sz w:val="20"/>
              </w:rPr>
              <w:t>0.502770</w:t>
            </w:r>
          </w:p>
        </w:tc>
        <w:tc>
          <w:tcPr>
            <w:tcW w:w="2370" w:type="dxa"/>
            <w:gridSpan w:val="2"/>
          </w:tcPr>
          <w:p>
            <w:pPr>
              <w:pStyle w:val="TableParagraph"/>
              <w:spacing w:line="210" w:lineRule="exact"/>
              <w:ind w:left="130"/>
              <w:rPr>
                <w:sz w:val="20"/>
              </w:rPr>
            </w:pPr>
            <w:r>
              <w:rPr>
                <w:sz w:val="20"/>
              </w:rPr>
              <w:t>Akaike</w:t>
            </w:r>
            <w:r>
              <w:rPr>
                <w:spacing w:val="-8"/>
                <w:sz w:val="20"/>
              </w:rPr>
              <w:t> </w:t>
            </w:r>
            <w:r>
              <w:rPr>
                <w:sz w:val="20"/>
              </w:rPr>
              <w:t>info</w:t>
            </w:r>
            <w:r>
              <w:rPr>
                <w:spacing w:val="-7"/>
                <w:sz w:val="20"/>
              </w:rPr>
              <w:t> </w:t>
            </w:r>
            <w:r>
              <w:rPr>
                <w:spacing w:val="-2"/>
                <w:sz w:val="20"/>
              </w:rPr>
              <w:t>criterion</w:t>
            </w:r>
          </w:p>
        </w:tc>
        <w:tc>
          <w:tcPr>
            <w:tcW w:w="897" w:type="dxa"/>
          </w:tcPr>
          <w:p>
            <w:pPr>
              <w:pStyle w:val="TableParagraph"/>
              <w:spacing w:line="210" w:lineRule="exact"/>
              <w:ind w:right="30"/>
              <w:jc w:val="right"/>
              <w:rPr>
                <w:sz w:val="20"/>
              </w:rPr>
            </w:pPr>
            <w:r>
              <w:rPr>
                <w:spacing w:val="-2"/>
                <w:sz w:val="20"/>
              </w:rPr>
              <w:t>1.534670</w:t>
            </w:r>
          </w:p>
        </w:tc>
      </w:tr>
      <w:tr>
        <w:trPr>
          <w:trHeight w:val="230" w:hRule="atLeast"/>
        </w:trPr>
        <w:tc>
          <w:tcPr>
            <w:tcW w:w="1873" w:type="dxa"/>
          </w:tcPr>
          <w:p>
            <w:pPr>
              <w:pStyle w:val="TableParagraph"/>
              <w:spacing w:line="210" w:lineRule="exact"/>
              <w:ind w:left="36"/>
              <w:rPr>
                <w:sz w:val="20"/>
              </w:rPr>
            </w:pPr>
            <w:r>
              <w:rPr>
                <w:sz w:val="20"/>
              </w:rPr>
              <w:t>Sum</w:t>
            </w:r>
            <w:r>
              <w:rPr>
                <w:spacing w:val="-8"/>
                <w:sz w:val="20"/>
              </w:rPr>
              <w:t> </w:t>
            </w:r>
            <w:r>
              <w:rPr>
                <w:sz w:val="20"/>
              </w:rPr>
              <w:t>squared</w:t>
            </w:r>
            <w:r>
              <w:rPr>
                <w:spacing w:val="-4"/>
                <w:sz w:val="20"/>
              </w:rPr>
              <w:t> </w:t>
            </w:r>
            <w:r>
              <w:rPr>
                <w:spacing w:val="-2"/>
                <w:sz w:val="20"/>
              </w:rPr>
              <w:t>resid</w:t>
            </w:r>
          </w:p>
        </w:tc>
        <w:tc>
          <w:tcPr>
            <w:tcW w:w="1350" w:type="dxa"/>
          </w:tcPr>
          <w:p>
            <w:pPr>
              <w:pStyle w:val="TableParagraph"/>
              <w:spacing w:line="210" w:lineRule="exact"/>
              <w:ind w:right="129"/>
              <w:jc w:val="right"/>
              <w:rPr>
                <w:sz w:val="20"/>
              </w:rPr>
            </w:pPr>
            <w:r>
              <w:rPr>
                <w:spacing w:val="-2"/>
                <w:sz w:val="20"/>
              </w:rPr>
              <w:t>9.352769</w:t>
            </w:r>
          </w:p>
        </w:tc>
        <w:tc>
          <w:tcPr>
            <w:tcW w:w="2370" w:type="dxa"/>
            <w:gridSpan w:val="2"/>
          </w:tcPr>
          <w:p>
            <w:pPr>
              <w:pStyle w:val="TableParagraph"/>
              <w:spacing w:line="210" w:lineRule="exact"/>
              <w:ind w:left="130"/>
              <w:rPr>
                <w:sz w:val="20"/>
              </w:rPr>
            </w:pPr>
            <w:r>
              <w:rPr>
                <w:sz w:val="20"/>
              </w:rPr>
              <w:t>Schwarz</w:t>
            </w:r>
            <w:r>
              <w:rPr>
                <w:spacing w:val="-8"/>
                <w:sz w:val="20"/>
              </w:rPr>
              <w:t> </w:t>
            </w:r>
            <w:r>
              <w:rPr>
                <w:spacing w:val="-2"/>
                <w:sz w:val="20"/>
              </w:rPr>
              <w:t>criterion</w:t>
            </w:r>
          </w:p>
        </w:tc>
        <w:tc>
          <w:tcPr>
            <w:tcW w:w="897" w:type="dxa"/>
          </w:tcPr>
          <w:p>
            <w:pPr>
              <w:pStyle w:val="TableParagraph"/>
              <w:spacing w:line="210" w:lineRule="exact"/>
              <w:ind w:right="30"/>
              <w:jc w:val="right"/>
              <w:rPr>
                <w:sz w:val="20"/>
              </w:rPr>
            </w:pPr>
            <w:r>
              <w:rPr>
                <w:spacing w:val="-2"/>
                <w:sz w:val="20"/>
              </w:rPr>
              <w:t>1.661336</w:t>
            </w:r>
          </w:p>
        </w:tc>
      </w:tr>
      <w:tr>
        <w:trPr>
          <w:trHeight w:val="230" w:hRule="atLeast"/>
        </w:trPr>
        <w:tc>
          <w:tcPr>
            <w:tcW w:w="1873" w:type="dxa"/>
          </w:tcPr>
          <w:p>
            <w:pPr>
              <w:pStyle w:val="TableParagraph"/>
              <w:spacing w:line="210" w:lineRule="exact"/>
              <w:ind w:left="36"/>
              <w:rPr>
                <w:sz w:val="20"/>
              </w:rPr>
            </w:pPr>
            <w:r>
              <w:rPr>
                <w:sz w:val="20"/>
              </w:rPr>
              <w:t>Log</w:t>
            </w:r>
            <w:r>
              <w:rPr>
                <w:spacing w:val="-6"/>
                <w:sz w:val="20"/>
              </w:rPr>
              <w:t> </w:t>
            </w:r>
            <w:r>
              <w:rPr>
                <w:spacing w:val="-2"/>
                <w:sz w:val="20"/>
              </w:rPr>
              <w:t>likelihood</w:t>
            </w:r>
          </w:p>
        </w:tc>
        <w:tc>
          <w:tcPr>
            <w:tcW w:w="1350" w:type="dxa"/>
          </w:tcPr>
          <w:p>
            <w:pPr>
              <w:pStyle w:val="TableParagraph"/>
              <w:spacing w:line="210" w:lineRule="exact"/>
              <w:ind w:right="129"/>
              <w:jc w:val="right"/>
              <w:rPr>
                <w:sz w:val="20"/>
              </w:rPr>
            </w:pPr>
            <w:r>
              <w:rPr>
                <w:spacing w:val="-4"/>
                <w:sz w:val="20"/>
              </w:rPr>
              <w:t>-</w:t>
            </w:r>
            <w:r>
              <w:rPr>
                <w:spacing w:val="-2"/>
                <w:sz w:val="20"/>
              </w:rPr>
              <w:t>27.69340</w:t>
            </w:r>
          </w:p>
        </w:tc>
        <w:tc>
          <w:tcPr>
            <w:tcW w:w="1433" w:type="dxa"/>
          </w:tcPr>
          <w:p>
            <w:pPr>
              <w:pStyle w:val="TableParagraph"/>
              <w:spacing w:line="210" w:lineRule="exact"/>
              <w:ind w:left="130"/>
              <w:rPr>
                <w:sz w:val="20"/>
              </w:rPr>
            </w:pPr>
            <w:r>
              <w:rPr>
                <w:spacing w:val="-4"/>
                <w:sz w:val="20"/>
              </w:rPr>
              <w:t>F-</w:t>
            </w:r>
            <w:r>
              <w:rPr>
                <w:spacing w:val="-2"/>
                <w:sz w:val="20"/>
              </w:rPr>
              <w:t>statistic</w:t>
            </w:r>
          </w:p>
        </w:tc>
        <w:tc>
          <w:tcPr>
            <w:tcW w:w="937" w:type="dxa"/>
          </w:tcPr>
          <w:p>
            <w:pPr>
              <w:pStyle w:val="TableParagraph"/>
              <w:rPr>
                <w:sz w:val="16"/>
              </w:rPr>
            </w:pPr>
          </w:p>
        </w:tc>
        <w:tc>
          <w:tcPr>
            <w:tcW w:w="897" w:type="dxa"/>
          </w:tcPr>
          <w:p>
            <w:pPr>
              <w:pStyle w:val="TableParagraph"/>
              <w:spacing w:line="210" w:lineRule="exact"/>
              <w:ind w:right="30"/>
              <w:jc w:val="right"/>
              <w:rPr>
                <w:sz w:val="20"/>
              </w:rPr>
            </w:pPr>
            <w:r>
              <w:rPr>
                <w:spacing w:val="-2"/>
                <w:sz w:val="20"/>
              </w:rPr>
              <w:t>0.810392</w:t>
            </w:r>
          </w:p>
        </w:tc>
      </w:tr>
      <w:tr>
        <w:trPr>
          <w:trHeight w:val="265" w:hRule="atLeast"/>
        </w:trPr>
        <w:tc>
          <w:tcPr>
            <w:tcW w:w="1873" w:type="dxa"/>
            <w:tcBorders>
              <w:bottom w:val="double" w:sz="6" w:space="0" w:color="000000"/>
            </w:tcBorders>
          </w:tcPr>
          <w:p>
            <w:pPr>
              <w:pStyle w:val="TableParagraph"/>
              <w:spacing w:line="226" w:lineRule="exact"/>
              <w:ind w:left="36"/>
              <w:rPr>
                <w:sz w:val="20"/>
              </w:rPr>
            </w:pPr>
            <w:r>
              <w:rPr>
                <w:sz w:val="20"/>
              </w:rPr>
              <w:t>Durbin-Watson</w:t>
            </w:r>
            <w:r>
              <w:rPr>
                <w:spacing w:val="-12"/>
                <w:sz w:val="20"/>
              </w:rPr>
              <w:t> </w:t>
            </w:r>
            <w:r>
              <w:rPr>
                <w:spacing w:val="-4"/>
                <w:sz w:val="20"/>
              </w:rPr>
              <w:t>stat</w:t>
            </w:r>
          </w:p>
        </w:tc>
        <w:tc>
          <w:tcPr>
            <w:tcW w:w="1350" w:type="dxa"/>
          </w:tcPr>
          <w:p>
            <w:pPr>
              <w:pStyle w:val="TableParagraph"/>
              <w:spacing w:line="226" w:lineRule="exact"/>
              <w:ind w:right="129"/>
              <w:jc w:val="right"/>
              <w:rPr>
                <w:sz w:val="20"/>
              </w:rPr>
            </w:pPr>
            <w:r>
              <w:rPr>
                <w:spacing w:val="-2"/>
                <w:sz w:val="20"/>
              </w:rPr>
              <w:t>2.001199</w:t>
            </w:r>
          </w:p>
        </w:tc>
        <w:tc>
          <w:tcPr>
            <w:tcW w:w="1433" w:type="dxa"/>
            <w:tcBorders>
              <w:bottom w:val="double" w:sz="6" w:space="0" w:color="000000"/>
            </w:tcBorders>
          </w:tcPr>
          <w:p>
            <w:pPr>
              <w:pStyle w:val="TableParagraph"/>
              <w:spacing w:line="226" w:lineRule="exact"/>
              <w:ind w:left="130"/>
              <w:rPr>
                <w:sz w:val="20"/>
              </w:rPr>
            </w:pPr>
            <w:r>
              <w:rPr>
                <w:spacing w:val="-2"/>
                <w:sz w:val="20"/>
              </w:rPr>
              <w:t>Prob(F-statistic)</w:t>
            </w:r>
          </w:p>
        </w:tc>
        <w:tc>
          <w:tcPr>
            <w:tcW w:w="937" w:type="dxa"/>
            <w:tcBorders>
              <w:bottom w:val="single" w:sz="6" w:space="0" w:color="000000"/>
            </w:tcBorders>
          </w:tcPr>
          <w:p>
            <w:pPr>
              <w:pStyle w:val="TableParagraph"/>
              <w:rPr>
                <w:sz w:val="18"/>
              </w:rPr>
            </w:pPr>
          </w:p>
        </w:tc>
        <w:tc>
          <w:tcPr>
            <w:tcW w:w="897" w:type="dxa"/>
            <w:tcBorders>
              <w:bottom w:val="double" w:sz="6" w:space="0" w:color="000000"/>
            </w:tcBorders>
          </w:tcPr>
          <w:p>
            <w:pPr>
              <w:pStyle w:val="TableParagraph"/>
              <w:spacing w:line="226" w:lineRule="exact"/>
              <w:ind w:right="30"/>
              <w:jc w:val="right"/>
              <w:rPr>
                <w:sz w:val="20"/>
              </w:rPr>
            </w:pPr>
            <w:r>
              <w:rPr>
                <w:spacing w:val="-2"/>
                <w:sz w:val="20"/>
              </w:rPr>
              <w:t>0.452420</w:t>
            </w:r>
          </w:p>
        </w:tc>
      </w:tr>
    </w:tbl>
    <w:p>
      <w:pPr>
        <w:pStyle w:val="BodyText"/>
        <w:rPr>
          <w:sz w:val="20"/>
        </w:rPr>
      </w:pPr>
    </w:p>
    <w:p>
      <w:pPr>
        <w:pStyle w:val="BodyText"/>
        <w:spacing w:before="16"/>
        <w:rPr>
          <w:sz w:val="20"/>
        </w:rPr>
      </w:pPr>
    </w:p>
    <w:p>
      <w:pPr>
        <w:spacing w:before="0"/>
        <w:ind w:left="711" w:right="0" w:firstLine="0"/>
        <w:jc w:val="left"/>
        <w:rPr>
          <w:sz w:val="20"/>
        </w:rPr>
      </w:pPr>
      <w:r>
        <w:rPr>
          <w:sz w:val="20"/>
        </w:rPr>
        <w:t>DFI</w:t>
      </w:r>
      <w:r>
        <w:rPr>
          <w:spacing w:val="-3"/>
          <w:sz w:val="20"/>
        </w:rPr>
        <w:t> </w:t>
      </w:r>
      <w:r>
        <w:rPr>
          <w:sz w:val="20"/>
        </w:rPr>
        <w:t>@</w:t>
      </w:r>
      <w:r>
        <w:rPr>
          <w:spacing w:val="-3"/>
          <w:sz w:val="20"/>
        </w:rPr>
        <w:t> </w:t>
      </w:r>
      <w:r>
        <w:rPr>
          <w:sz w:val="20"/>
        </w:rPr>
        <w:t>1</w:t>
      </w:r>
      <w:r>
        <w:rPr>
          <w:sz w:val="20"/>
          <w:vertAlign w:val="superscript"/>
        </w:rPr>
        <w:t>ST</w:t>
      </w:r>
      <w:r>
        <w:rPr>
          <w:spacing w:val="-2"/>
          <w:sz w:val="20"/>
          <w:vertAlign w:val="baseline"/>
        </w:rPr>
        <w:t> </w:t>
      </w:r>
      <w:r>
        <w:rPr>
          <w:spacing w:val="-4"/>
          <w:sz w:val="20"/>
          <w:vertAlign w:val="baseline"/>
        </w:rPr>
        <w:t>DIFF</w:t>
      </w:r>
    </w:p>
    <w:tbl>
      <w:tblPr>
        <w:tblW w:w="0" w:type="auto"/>
        <w:jc w:val="left"/>
        <w:tblInd w:w="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47"/>
        <w:gridCol w:w="1375"/>
        <w:gridCol w:w="1432"/>
        <w:gridCol w:w="904"/>
        <w:gridCol w:w="929"/>
      </w:tblGrid>
      <w:tr>
        <w:trPr>
          <w:trHeight w:val="225" w:hRule="atLeast"/>
        </w:trPr>
        <w:tc>
          <w:tcPr>
            <w:tcW w:w="1847" w:type="dxa"/>
          </w:tcPr>
          <w:p>
            <w:pPr>
              <w:pStyle w:val="TableParagraph"/>
              <w:spacing w:line="205" w:lineRule="exact"/>
              <w:ind w:left="36"/>
              <w:rPr>
                <w:sz w:val="20"/>
              </w:rPr>
            </w:pPr>
            <w:r>
              <w:rPr>
                <w:sz w:val="20"/>
              </w:rPr>
              <w:t>ADF</w:t>
            </w:r>
            <w:r>
              <w:rPr>
                <w:spacing w:val="-4"/>
                <w:sz w:val="20"/>
              </w:rPr>
              <w:t> </w:t>
            </w:r>
            <w:r>
              <w:rPr>
                <w:sz w:val="20"/>
              </w:rPr>
              <w:t>Test</w:t>
            </w:r>
            <w:r>
              <w:rPr>
                <w:spacing w:val="-4"/>
                <w:sz w:val="20"/>
              </w:rPr>
              <w:t> </w:t>
            </w:r>
            <w:r>
              <w:rPr>
                <w:spacing w:val="-2"/>
                <w:sz w:val="20"/>
              </w:rPr>
              <w:t>Statistic</w:t>
            </w:r>
          </w:p>
        </w:tc>
        <w:tc>
          <w:tcPr>
            <w:tcW w:w="1375" w:type="dxa"/>
          </w:tcPr>
          <w:p>
            <w:pPr>
              <w:pStyle w:val="TableParagraph"/>
              <w:spacing w:line="205" w:lineRule="exact"/>
              <w:ind w:left="219"/>
              <w:rPr>
                <w:sz w:val="20"/>
              </w:rPr>
            </w:pPr>
            <w:r>
              <w:rPr>
                <w:spacing w:val="-4"/>
                <w:sz w:val="20"/>
              </w:rPr>
              <w:t>-</w:t>
            </w:r>
            <w:r>
              <w:rPr>
                <w:spacing w:val="-2"/>
                <w:sz w:val="20"/>
              </w:rPr>
              <w:t>2.212433</w:t>
            </w:r>
          </w:p>
        </w:tc>
        <w:tc>
          <w:tcPr>
            <w:tcW w:w="2336" w:type="dxa"/>
            <w:gridSpan w:val="2"/>
          </w:tcPr>
          <w:p>
            <w:pPr>
              <w:pStyle w:val="TableParagraph"/>
              <w:spacing w:line="205" w:lineRule="exact"/>
              <w:ind w:left="131"/>
              <w:rPr>
                <w:sz w:val="20"/>
              </w:rPr>
            </w:pPr>
            <w:r>
              <w:rPr>
                <w:sz w:val="20"/>
              </w:rPr>
              <w:t>1%</w:t>
            </w:r>
            <w:r>
              <w:rPr>
                <w:spacing w:val="68"/>
                <w:w w:val="150"/>
                <w:sz w:val="20"/>
              </w:rPr>
              <w:t> </w:t>
            </w:r>
            <w:r>
              <w:rPr>
                <w:sz w:val="20"/>
              </w:rPr>
              <w:t>Critical</w:t>
            </w:r>
            <w:r>
              <w:rPr>
                <w:spacing w:val="-2"/>
                <w:sz w:val="20"/>
              </w:rPr>
              <w:t> Value*</w:t>
            </w:r>
          </w:p>
        </w:tc>
        <w:tc>
          <w:tcPr>
            <w:tcW w:w="929" w:type="dxa"/>
          </w:tcPr>
          <w:p>
            <w:pPr>
              <w:pStyle w:val="TableParagraph"/>
              <w:spacing w:line="205" w:lineRule="exact"/>
              <w:ind w:right="27"/>
              <w:jc w:val="right"/>
              <w:rPr>
                <w:sz w:val="20"/>
              </w:rPr>
            </w:pPr>
            <w:r>
              <w:rPr>
                <w:spacing w:val="-4"/>
                <w:sz w:val="20"/>
              </w:rPr>
              <w:t>-</w:t>
            </w:r>
            <w:r>
              <w:rPr>
                <w:spacing w:val="-2"/>
                <w:sz w:val="20"/>
              </w:rPr>
              <w:t>3.6067</w:t>
            </w:r>
          </w:p>
        </w:tc>
      </w:tr>
      <w:tr>
        <w:trPr>
          <w:trHeight w:val="230" w:hRule="atLeast"/>
        </w:trPr>
        <w:tc>
          <w:tcPr>
            <w:tcW w:w="1847" w:type="dxa"/>
          </w:tcPr>
          <w:p>
            <w:pPr>
              <w:pStyle w:val="TableParagraph"/>
              <w:rPr>
                <w:sz w:val="16"/>
              </w:rPr>
            </w:pPr>
          </w:p>
        </w:tc>
        <w:tc>
          <w:tcPr>
            <w:tcW w:w="1375" w:type="dxa"/>
          </w:tcPr>
          <w:p>
            <w:pPr>
              <w:pStyle w:val="TableParagraph"/>
              <w:rPr>
                <w:sz w:val="16"/>
              </w:rPr>
            </w:pPr>
          </w:p>
        </w:tc>
        <w:tc>
          <w:tcPr>
            <w:tcW w:w="2336" w:type="dxa"/>
            <w:gridSpan w:val="2"/>
          </w:tcPr>
          <w:p>
            <w:pPr>
              <w:pStyle w:val="TableParagraph"/>
              <w:spacing w:line="210" w:lineRule="exact"/>
              <w:ind w:left="131"/>
              <w:rPr>
                <w:sz w:val="20"/>
              </w:rPr>
            </w:pPr>
            <w:r>
              <w:rPr>
                <w:sz w:val="20"/>
              </w:rPr>
              <w:t>5%</w:t>
            </w:r>
            <w:r>
              <w:rPr>
                <w:spacing w:val="68"/>
                <w:w w:val="150"/>
                <w:sz w:val="20"/>
              </w:rPr>
              <w:t> </w:t>
            </w:r>
            <w:r>
              <w:rPr>
                <w:sz w:val="20"/>
              </w:rPr>
              <w:t>Critical</w:t>
            </w:r>
            <w:r>
              <w:rPr>
                <w:spacing w:val="-2"/>
                <w:sz w:val="20"/>
              </w:rPr>
              <w:t> </w:t>
            </w:r>
            <w:r>
              <w:rPr>
                <w:spacing w:val="-4"/>
                <w:sz w:val="20"/>
              </w:rPr>
              <w:t>Value</w:t>
            </w:r>
          </w:p>
        </w:tc>
        <w:tc>
          <w:tcPr>
            <w:tcW w:w="929" w:type="dxa"/>
          </w:tcPr>
          <w:p>
            <w:pPr>
              <w:pStyle w:val="TableParagraph"/>
              <w:spacing w:line="210" w:lineRule="exact"/>
              <w:ind w:right="27"/>
              <w:jc w:val="right"/>
              <w:rPr>
                <w:sz w:val="20"/>
              </w:rPr>
            </w:pPr>
            <w:r>
              <w:rPr>
                <w:spacing w:val="-4"/>
                <w:sz w:val="20"/>
              </w:rPr>
              <w:t>-</w:t>
            </w:r>
            <w:r>
              <w:rPr>
                <w:spacing w:val="-2"/>
                <w:sz w:val="20"/>
              </w:rPr>
              <w:t>2.9378</w:t>
            </w:r>
          </w:p>
        </w:tc>
      </w:tr>
      <w:tr>
        <w:trPr>
          <w:trHeight w:val="224" w:hRule="atLeast"/>
        </w:trPr>
        <w:tc>
          <w:tcPr>
            <w:tcW w:w="1847" w:type="dxa"/>
            <w:tcBorders>
              <w:bottom w:val="double" w:sz="6" w:space="0" w:color="000000"/>
            </w:tcBorders>
          </w:tcPr>
          <w:p>
            <w:pPr>
              <w:pStyle w:val="TableParagraph"/>
              <w:rPr>
                <w:sz w:val="16"/>
              </w:rPr>
            </w:pPr>
          </w:p>
        </w:tc>
        <w:tc>
          <w:tcPr>
            <w:tcW w:w="1375" w:type="dxa"/>
            <w:tcBorders>
              <w:bottom w:val="double" w:sz="6" w:space="0" w:color="000000"/>
            </w:tcBorders>
          </w:tcPr>
          <w:p>
            <w:pPr>
              <w:pStyle w:val="TableParagraph"/>
              <w:rPr>
                <w:sz w:val="16"/>
              </w:rPr>
            </w:pPr>
          </w:p>
        </w:tc>
        <w:tc>
          <w:tcPr>
            <w:tcW w:w="2336" w:type="dxa"/>
            <w:gridSpan w:val="2"/>
            <w:tcBorders>
              <w:bottom w:val="double" w:sz="6" w:space="0" w:color="000000"/>
            </w:tcBorders>
          </w:tcPr>
          <w:p>
            <w:pPr>
              <w:pStyle w:val="TableParagraph"/>
              <w:spacing w:line="205" w:lineRule="exact"/>
              <w:ind w:left="131"/>
              <w:rPr>
                <w:sz w:val="20"/>
              </w:rPr>
            </w:pPr>
            <w:r>
              <w:rPr>
                <w:sz w:val="20"/>
              </w:rPr>
              <w:t>10%</w:t>
            </w:r>
            <w:r>
              <w:rPr>
                <w:spacing w:val="-6"/>
                <w:sz w:val="20"/>
              </w:rPr>
              <w:t> </w:t>
            </w:r>
            <w:r>
              <w:rPr>
                <w:sz w:val="20"/>
              </w:rPr>
              <w:t>Critical</w:t>
            </w:r>
            <w:r>
              <w:rPr>
                <w:spacing w:val="-4"/>
                <w:sz w:val="20"/>
              </w:rPr>
              <w:t> </w:t>
            </w:r>
            <w:r>
              <w:rPr>
                <w:spacing w:val="-2"/>
                <w:sz w:val="20"/>
              </w:rPr>
              <w:t>Value</w:t>
            </w:r>
          </w:p>
        </w:tc>
        <w:tc>
          <w:tcPr>
            <w:tcW w:w="929" w:type="dxa"/>
            <w:tcBorders>
              <w:bottom w:val="double" w:sz="6" w:space="0" w:color="000000"/>
            </w:tcBorders>
          </w:tcPr>
          <w:p>
            <w:pPr>
              <w:pStyle w:val="TableParagraph"/>
              <w:spacing w:line="205" w:lineRule="exact"/>
              <w:ind w:right="27"/>
              <w:jc w:val="right"/>
              <w:rPr>
                <w:sz w:val="20"/>
              </w:rPr>
            </w:pPr>
            <w:r>
              <w:rPr>
                <w:spacing w:val="-4"/>
                <w:sz w:val="20"/>
              </w:rPr>
              <w:t>-</w:t>
            </w:r>
            <w:r>
              <w:rPr>
                <w:spacing w:val="-2"/>
                <w:sz w:val="20"/>
              </w:rPr>
              <w:t>2.6069</w:t>
            </w:r>
          </w:p>
        </w:tc>
      </w:tr>
      <w:tr>
        <w:trPr>
          <w:trHeight w:val="505" w:hRule="atLeast"/>
        </w:trPr>
        <w:tc>
          <w:tcPr>
            <w:tcW w:w="6487" w:type="dxa"/>
            <w:gridSpan w:val="5"/>
            <w:tcBorders>
              <w:top w:val="double" w:sz="6" w:space="0" w:color="000000"/>
            </w:tcBorders>
          </w:tcPr>
          <w:p>
            <w:pPr>
              <w:pStyle w:val="TableParagraph"/>
              <w:spacing w:before="40"/>
              <w:ind w:left="36"/>
              <w:rPr>
                <w:sz w:val="20"/>
              </w:rPr>
            </w:pPr>
            <w:r>
              <w:rPr>
                <w:sz w:val="20"/>
              </w:rPr>
              <w:t>*MacKinnon</w:t>
            </w:r>
            <w:r>
              <w:rPr>
                <w:spacing w:val="-6"/>
                <w:sz w:val="20"/>
              </w:rPr>
              <w:t> </w:t>
            </w:r>
            <w:r>
              <w:rPr>
                <w:sz w:val="20"/>
              </w:rPr>
              <w:t>critical</w:t>
            </w:r>
            <w:r>
              <w:rPr>
                <w:spacing w:val="-4"/>
                <w:sz w:val="20"/>
              </w:rPr>
              <w:t> </w:t>
            </w:r>
            <w:r>
              <w:rPr>
                <w:sz w:val="20"/>
              </w:rPr>
              <w:t>values</w:t>
            </w:r>
            <w:r>
              <w:rPr>
                <w:spacing w:val="-6"/>
                <w:sz w:val="20"/>
              </w:rPr>
              <w:t> </w:t>
            </w:r>
            <w:r>
              <w:rPr>
                <w:sz w:val="20"/>
              </w:rPr>
              <w:t>for</w:t>
            </w:r>
            <w:r>
              <w:rPr>
                <w:spacing w:val="-4"/>
                <w:sz w:val="20"/>
              </w:rPr>
              <w:t> </w:t>
            </w:r>
            <w:r>
              <w:rPr>
                <w:sz w:val="20"/>
              </w:rPr>
              <w:t>rejection</w:t>
            </w:r>
            <w:r>
              <w:rPr>
                <w:spacing w:val="-6"/>
                <w:sz w:val="20"/>
              </w:rPr>
              <w:t> </w:t>
            </w:r>
            <w:r>
              <w:rPr>
                <w:sz w:val="20"/>
              </w:rPr>
              <w:t>of</w:t>
            </w:r>
            <w:r>
              <w:rPr>
                <w:spacing w:val="-6"/>
                <w:sz w:val="20"/>
              </w:rPr>
              <w:t> </w:t>
            </w:r>
            <w:r>
              <w:rPr>
                <w:sz w:val="20"/>
              </w:rPr>
              <w:t>hypothesis</w:t>
            </w:r>
            <w:r>
              <w:rPr>
                <w:spacing w:val="-6"/>
                <w:sz w:val="20"/>
              </w:rPr>
              <w:t> </w:t>
            </w:r>
            <w:r>
              <w:rPr>
                <w:sz w:val="20"/>
              </w:rPr>
              <w:t>of</w:t>
            </w:r>
            <w:r>
              <w:rPr>
                <w:spacing w:val="-6"/>
                <w:sz w:val="20"/>
              </w:rPr>
              <w:t> </w:t>
            </w:r>
            <w:r>
              <w:rPr>
                <w:sz w:val="20"/>
              </w:rPr>
              <w:t>a</w:t>
            </w:r>
            <w:r>
              <w:rPr>
                <w:spacing w:val="-4"/>
                <w:sz w:val="20"/>
              </w:rPr>
              <w:t> </w:t>
            </w:r>
            <w:r>
              <w:rPr>
                <w:sz w:val="20"/>
              </w:rPr>
              <w:t>unit</w:t>
            </w:r>
            <w:r>
              <w:rPr>
                <w:spacing w:val="-6"/>
                <w:sz w:val="20"/>
              </w:rPr>
              <w:t> </w:t>
            </w:r>
            <w:r>
              <w:rPr>
                <w:spacing w:val="-2"/>
                <w:sz w:val="20"/>
              </w:rPr>
              <w:t>root.</w:t>
            </w:r>
          </w:p>
        </w:tc>
      </w:tr>
      <w:tr>
        <w:trPr>
          <w:trHeight w:val="460" w:hRule="atLeast"/>
        </w:trPr>
        <w:tc>
          <w:tcPr>
            <w:tcW w:w="6487" w:type="dxa"/>
            <w:gridSpan w:val="5"/>
          </w:tcPr>
          <w:p>
            <w:pPr>
              <w:pStyle w:val="TableParagraph"/>
              <w:spacing w:line="215" w:lineRule="exact" w:before="226"/>
              <w:ind w:left="36"/>
              <w:rPr>
                <w:sz w:val="20"/>
              </w:rPr>
            </w:pPr>
            <w:r>
              <w:rPr>
                <w:sz w:val="20"/>
              </w:rPr>
              <w:t>Augmented</w:t>
            </w:r>
            <w:r>
              <w:rPr>
                <w:spacing w:val="-8"/>
                <w:sz w:val="20"/>
              </w:rPr>
              <w:t> </w:t>
            </w:r>
            <w:r>
              <w:rPr>
                <w:sz w:val="20"/>
              </w:rPr>
              <w:t>Dickey-Fuller</w:t>
            </w:r>
            <w:r>
              <w:rPr>
                <w:spacing w:val="-8"/>
                <w:sz w:val="20"/>
              </w:rPr>
              <w:t> </w:t>
            </w:r>
            <w:r>
              <w:rPr>
                <w:sz w:val="20"/>
              </w:rPr>
              <w:t>Test</w:t>
            </w:r>
            <w:r>
              <w:rPr>
                <w:spacing w:val="-9"/>
                <w:sz w:val="20"/>
              </w:rPr>
              <w:t> </w:t>
            </w:r>
            <w:r>
              <w:rPr>
                <w:spacing w:val="-2"/>
                <w:sz w:val="20"/>
              </w:rPr>
              <w:t>Equation</w:t>
            </w:r>
          </w:p>
        </w:tc>
      </w:tr>
      <w:tr>
        <w:trPr>
          <w:trHeight w:val="229" w:hRule="atLeast"/>
        </w:trPr>
        <w:tc>
          <w:tcPr>
            <w:tcW w:w="6487" w:type="dxa"/>
            <w:gridSpan w:val="5"/>
          </w:tcPr>
          <w:p>
            <w:pPr>
              <w:pStyle w:val="TableParagraph"/>
              <w:spacing w:line="209" w:lineRule="exact"/>
              <w:ind w:left="36"/>
              <w:rPr>
                <w:sz w:val="20"/>
              </w:rPr>
            </w:pPr>
            <w:r>
              <w:rPr>
                <w:sz w:val="20"/>
              </w:rPr>
              <w:t>Dependent</w:t>
            </w:r>
            <w:r>
              <w:rPr>
                <w:spacing w:val="-8"/>
                <w:sz w:val="20"/>
              </w:rPr>
              <w:t> </w:t>
            </w:r>
            <w:r>
              <w:rPr>
                <w:sz w:val="20"/>
              </w:rPr>
              <w:t>Variable:</w:t>
            </w:r>
            <w:r>
              <w:rPr>
                <w:spacing w:val="-8"/>
                <w:sz w:val="20"/>
              </w:rPr>
              <w:t> </w:t>
            </w:r>
            <w:r>
              <w:rPr>
                <w:spacing w:val="-2"/>
                <w:sz w:val="20"/>
              </w:rPr>
              <w:t>D(DFI,2)</w:t>
            </w:r>
          </w:p>
        </w:tc>
      </w:tr>
      <w:tr>
        <w:trPr>
          <w:trHeight w:val="229" w:hRule="atLeast"/>
        </w:trPr>
        <w:tc>
          <w:tcPr>
            <w:tcW w:w="6487" w:type="dxa"/>
            <w:gridSpan w:val="5"/>
          </w:tcPr>
          <w:p>
            <w:pPr>
              <w:pStyle w:val="TableParagraph"/>
              <w:spacing w:line="209" w:lineRule="exact"/>
              <w:ind w:left="36"/>
              <w:rPr>
                <w:sz w:val="20"/>
              </w:rPr>
            </w:pPr>
            <w:r>
              <w:rPr>
                <w:sz w:val="20"/>
              </w:rPr>
              <w:t>Method:</w:t>
            </w:r>
            <w:r>
              <w:rPr>
                <w:spacing w:val="-8"/>
                <w:sz w:val="20"/>
              </w:rPr>
              <w:t> </w:t>
            </w:r>
            <w:r>
              <w:rPr>
                <w:sz w:val="20"/>
              </w:rPr>
              <w:t>Least</w:t>
            </w:r>
            <w:r>
              <w:rPr>
                <w:spacing w:val="-7"/>
                <w:sz w:val="20"/>
              </w:rPr>
              <w:t> </w:t>
            </w:r>
            <w:r>
              <w:rPr>
                <w:spacing w:val="-2"/>
                <w:sz w:val="20"/>
              </w:rPr>
              <w:t>Squares</w:t>
            </w:r>
          </w:p>
        </w:tc>
      </w:tr>
      <w:tr>
        <w:trPr>
          <w:trHeight w:val="230" w:hRule="atLeast"/>
        </w:trPr>
        <w:tc>
          <w:tcPr>
            <w:tcW w:w="6487" w:type="dxa"/>
            <w:gridSpan w:val="5"/>
          </w:tcPr>
          <w:p>
            <w:pPr>
              <w:pStyle w:val="TableParagraph"/>
              <w:spacing w:line="210" w:lineRule="exact"/>
              <w:ind w:left="36"/>
              <w:rPr>
                <w:sz w:val="20"/>
              </w:rPr>
            </w:pPr>
            <w:r>
              <w:rPr>
                <w:sz w:val="20"/>
              </w:rPr>
              <w:t>Date:</w:t>
            </w:r>
            <w:r>
              <w:rPr>
                <w:spacing w:val="-5"/>
                <w:sz w:val="20"/>
              </w:rPr>
              <w:t> </w:t>
            </w:r>
            <w:r>
              <w:rPr>
                <w:sz w:val="20"/>
              </w:rPr>
              <w:t>02/17/14</w:t>
            </w:r>
            <w:r>
              <w:rPr>
                <w:spacing w:val="63"/>
                <w:w w:val="150"/>
                <w:sz w:val="20"/>
              </w:rPr>
              <w:t> </w:t>
            </w:r>
            <w:r>
              <w:rPr>
                <w:sz w:val="20"/>
              </w:rPr>
              <w:t>Time:</w:t>
            </w:r>
            <w:r>
              <w:rPr>
                <w:spacing w:val="-3"/>
                <w:sz w:val="20"/>
              </w:rPr>
              <w:t> </w:t>
            </w:r>
            <w:r>
              <w:rPr>
                <w:spacing w:val="-2"/>
                <w:sz w:val="20"/>
              </w:rPr>
              <w:t>16:55</w:t>
            </w:r>
          </w:p>
        </w:tc>
      </w:tr>
      <w:tr>
        <w:trPr>
          <w:trHeight w:val="230" w:hRule="atLeast"/>
        </w:trPr>
        <w:tc>
          <w:tcPr>
            <w:tcW w:w="6487" w:type="dxa"/>
            <w:gridSpan w:val="5"/>
          </w:tcPr>
          <w:p>
            <w:pPr>
              <w:pStyle w:val="TableParagraph"/>
              <w:spacing w:line="210" w:lineRule="exact"/>
              <w:ind w:left="36"/>
              <w:rPr>
                <w:sz w:val="20"/>
              </w:rPr>
            </w:pPr>
            <w:r>
              <w:rPr>
                <w:sz w:val="20"/>
              </w:rPr>
              <w:t>Sample(adjusted):</w:t>
            </w:r>
            <w:r>
              <w:rPr>
                <w:spacing w:val="-9"/>
                <w:sz w:val="20"/>
              </w:rPr>
              <w:t> </w:t>
            </w:r>
            <w:r>
              <w:rPr>
                <w:sz w:val="20"/>
              </w:rPr>
              <w:t>1973</w:t>
            </w:r>
            <w:r>
              <w:rPr>
                <w:spacing w:val="-9"/>
                <w:sz w:val="20"/>
              </w:rPr>
              <w:t> </w:t>
            </w:r>
            <w:r>
              <w:rPr>
                <w:spacing w:val="-4"/>
                <w:sz w:val="20"/>
              </w:rPr>
              <w:t>2011</w:t>
            </w:r>
          </w:p>
        </w:tc>
      </w:tr>
      <w:tr>
        <w:trPr>
          <w:trHeight w:val="224" w:hRule="atLeast"/>
        </w:trPr>
        <w:tc>
          <w:tcPr>
            <w:tcW w:w="6487" w:type="dxa"/>
            <w:gridSpan w:val="5"/>
            <w:tcBorders>
              <w:bottom w:val="double" w:sz="6" w:space="0" w:color="000000"/>
            </w:tcBorders>
          </w:tcPr>
          <w:p>
            <w:pPr>
              <w:pStyle w:val="TableParagraph"/>
              <w:spacing w:line="205" w:lineRule="exact"/>
              <w:ind w:left="36"/>
              <w:rPr>
                <w:sz w:val="20"/>
              </w:rPr>
            </w:pPr>
            <w:r>
              <w:rPr>
                <w:sz w:val="20"/>
              </w:rPr>
              <w:t>Included</w:t>
            </w:r>
            <w:r>
              <w:rPr>
                <w:spacing w:val="-6"/>
                <w:sz w:val="20"/>
              </w:rPr>
              <w:t> </w:t>
            </w:r>
            <w:r>
              <w:rPr>
                <w:sz w:val="20"/>
              </w:rPr>
              <w:t>observations:</w:t>
            </w:r>
            <w:r>
              <w:rPr>
                <w:spacing w:val="-8"/>
                <w:sz w:val="20"/>
              </w:rPr>
              <w:t> </w:t>
            </w:r>
            <w:r>
              <w:rPr>
                <w:sz w:val="20"/>
              </w:rPr>
              <w:t>39</w:t>
            </w:r>
            <w:r>
              <w:rPr>
                <w:spacing w:val="-5"/>
                <w:sz w:val="20"/>
              </w:rPr>
              <w:t> </w:t>
            </w:r>
            <w:r>
              <w:rPr>
                <w:sz w:val="20"/>
              </w:rPr>
              <w:t>after</w:t>
            </w:r>
            <w:r>
              <w:rPr>
                <w:spacing w:val="-7"/>
                <w:sz w:val="20"/>
              </w:rPr>
              <w:t> </w:t>
            </w:r>
            <w:r>
              <w:rPr>
                <w:sz w:val="20"/>
              </w:rPr>
              <w:t>adjusting</w:t>
            </w:r>
            <w:r>
              <w:rPr>
                <w:spacing w:val="-7"/>
                <w:sz w:val="20"/>
              </w:rPr>
              <w:t> </w:t>
            </w:r>
            <w:r>
              <w:rPr>
                <w:spacing w:val="-2"/>
                <w:sz w:val="20"/>
              </w:rPr>
              <w:t>endpoints</w:t>
            </w:r>
          </w:p>
        </w:tc>
      </w:tr>
      <w:tr>
        <w:trPr>
          <w:trHeight w:val="269" w:hRule="atLeast"/>
        </w:trPr>
        <w:tc>
          <w:tcPr>
            <w:tcW w:w="1847" w:type="dxa"/>
            <w:tcBorders>
              <w:top w:val="double" w:sz="6" w:space="0" w:color="000000"/>
              <w:bottom w:val="double" w:sz="6" w:space="0" w:color="000000"/>
            </w:tcBorders>
          </w:tcPr>
          <w:p>
            <w:pPr>
              <w:pStyle w:val="TableParagraph"/>
              <w:spacing w:line="209" w:lineRule="exact" w:before="40"/>
              <w:ind w:left="677"/>
              <w:rPr>
                <w:sz w:val="20"/>
              </w:rPr>
            </w:pPr>
            <w:r>
              <w:rPr>
                <w:spacing w:val="-2"/>
                <w:sz w:val="20"/>
              </w:rPr>
              <w:t>Variable</w:t>
            </w:r>
          </w:p>
        </w:tc>
        <w:tc>
          <w:tcPr>
            <w:tcW w:w="1375" w:type="dxa"/>
            <w:tcBorders>
              <w:top w:val="double" w:sz="6" w:space="0" w:color="000000"/>
              <w:bottom w:val="double" w:sz="6" w:space="0" w:color="000000"/>
            </w:tcBorders>
          </w:tcPr>
          <w:p>
            <w:pPr>
              <w:pStyle w:val="TableParagraph"/>
              <w:spacing w:line="209" w:lineRule="exact" w:before="40"/>
              <w:ind w:right="131"/>
              <w:jc w:val="right"/>
              <w:rPr>
                <w:sz w:val="20"/>
              </w:rPr>
            </w:pPr>
            <w:r>
              <w:rPr>
                <w:spacing w:val="-2"/>
                <w:sz w:val="20"/>
              </w:rPr>
              <w:t>Coefficient</w:t>
            </w:r>
          </w:p>
        </w:tc>
        <w:tc>
          <w:tcPr>
            <w:tcW w:w="1432" w:type="dxa"/>
            <w:tcBorders>
              <w:top w:val="double" w:sz="6" w:space="0" w:color="000000"/>
              <w:bottom w:val="double" w:sz="6" w:space="0" w:color="000000"/>
            </w:tcBorders>
          </w:tcPr>
          <w:p>
            <w:pPr>
              <w:pStyle w:val="TableParagraph"/>
              <w:spacing w:line="209" w:lineRule="exact" w:before="40"/>
              <w:ind w:left="273"/>
              <w:rPr>
                <w:sz w:val="20"/>
              </w:rPr>
            </w:pPr>
            <w:r>
              <w:rPr>
                <w:sz w:val="20"/>
              </w:rPr>
              <w:t>Std.</w:t>
            </w:r>
            <w:r>
              <w:rPr>
                <w:spacing w:val="-4"/>
                <w:sz w:val="20"/>
              </w:rPr>
              <w:t> </w:t>
            </w:r>
            <w:r>
              <w:rPr>
                <w:spacing w:val="-2"/>
                <w:sz w:val="20"/>
              </w:rPr>
              <w:t>Error</w:t>
            </w:r>
          </w:p>
        </w:tc>
        <w:tc>
          <w:tcPr>
            <w:tcW w:w="904" w:type="dxa"/>
            <w:tcBorders>
              <w:top w:val="double" w:sz="6" w:space="0" w:color="000000"/>
              <w:bottom w:val="double" w:sz="6" w:space="0" w:color="000000"/>
            </w:tcBorders>
          </w:tcPr>
          <w:p>
            <w:pPr>
              <w:pStyle w:val="TableParagraph"/>
              <w:spacing w:line="209" w:lineRule="exact" w:before="40"/>
              <w:ind w:right="22"/>
              <w:jc w:val="center"/>
              <w:rPr>
                <w:sz w:val="20"/>
              </w:rPr>
            </w:pPr>
            <w:r>
              <w:rPr>
                <w:spacing w:val="-4"/>
                <w:sz w:val="20"/>
              </w:rPr>
              <w:t>t-</w:t>
            </w:r>
            <w:r>
              <w:rPr>
                <w:spacing w:val="-2"/>
                <w:sz w:val="20"/>
              </w:rPr>
              <w:t>Statistic</w:t>
            </w:r>
          </w:p>
        </w:tc>
        <w:tc>
          <w:tcPr>
            <w:tcW w:w="929" w:type="dxa"/>
            <w:tcBorders>
              <w:top w:val="double" w:sz="6" w:space="0" w:color="000000"/>
              <w:bottom w:val="double" w:sz="6" w:space="0" w:color="000000"/>
            </w:tcBorders>
          </w:tcPr>
          <w:p>
            <w:pPr>
              <w:pStyle w:val="TableParagraph"/>
              <w:spacing w:line="209" w:lineRule="exact" w:before="40"/>
              <w:ind w:right="28"/>
              <w:jc w:val="right"/>
              <w:rPr>
                <w:sz w:val="20"/>
              </w:rPr>
            </w:pPr>
            <w:r>
              <w:rPr>
                <w:spacing w:val="-2"/>
                <w:sz w:val="20"/>
              </w:rPr>
              <w:t>Prob.</w:t>
            </w:r>
          </w:p>
        </w:tc>
      </w:tr>
      <w:tr>
        <w:trPr>
          <w:trHeight w:val="275" w:hRule="atLeast"/>
        </w:trPr>
        <w:tc>
          <w:tcPr>
            <w:tcW w:w="1847" w:type="dxa"/>
            <w:tcBorders>
              <w:top w:val="double" w:sz="6" w:space="0" w:color="000000"/>
            </w:tcBorders>
          </w:tcPr>
          <w:p>
            <w:pPr>
              <w:pStyle w:val="TableParagraph"/>
              <w:spacing w:line="215" w:lineRule="exact" w:before="40"/>
              <w:ind w:left="571"/>
              <w:rPr>
                <w:sz w:val="20"/>
              </w:rPr>
            </w:pPr>
            <w:r>
              <w:rPr>
                <w:spacing w:val="-2"/>
                <w:sz w:val="20"/>
              </w:rPr>
              <w:t>D(DFI(-</w:t>
            </w:r>
            <w:r>
              <w:rPr>
                <w:spacing w:val="-5"/>
                <w:sz w:val="20"/>
              </w:rPr>
              <w:t>1))</w:t>
            </w:r>
          </w:p>
        </w:tc>
        <w:tc>
          <w:tcPr>
            <w:tcW w:w="1375" w:type="dxa"/>
            <w:tcBorders>
              <w:top w:val="double" w:sz="6" w:space="0" w:color="000000"/>
            </w:tcBorders>
          </w:tcPr>
          <w:p>
            <w:pPr>
              <w:pStyle w:val="TableParagraph"/>
              <w:spacing w:line="215" w:lineRule="exact" w:before="40"/>
              <w:ind w:right="128"/>
              <w:jc w:val="right"/>
              <w:rPr>
                <w:sz w:val="20"/>
              </w:rPr>
            </w:pPr>
            <w:r>
              <w:rPr>
                <w:spacing w:val="-4"/>
                <w:sz w:val="20"/>
              </w:rPr>
              <w:t>-</w:t>
            </w:r>
            <w:r>
              <w:rPr>
                <w:spacing w:val="-2"/>
                <w:sz w:val="20"/>
              </w:rPr>
              <w:t>0.943529</w:t>
            </w:r>
          </w:p>
        </w:tc>
        <w:tc>
          <w:tcPr>
            <w:tcW w:w="1432" w:type="dxa"/>
            <w:tcBorders>
              <w:top w:val="double" w:sz="6" w:space="0" w:color="000000"/>
            </w:tcBorders>
          </w:tcPr>
          <w:p>
            <w:pPr>
              <w:pStyle w:val="TableParagraph"/>
              <w:spacing w:line="215" w:lineRule="exact" w:before="40"/>
              <w:ind w:left="311"/>
              <w:rPr>
                <w:sz w:val="20"/>
              </w:rPr>
            </w:pPr>
            <w:r>
              <w:rPr>
                <w:spacing w:val="-2"/>
                <w:sz w:val="20"/>
              </w:rPr>
              <w:t>0.426467</w:t>
            </w:r>
          </w:p>
        </w:tc>
        <w:tc>
          <w:tcPr>
            <w:tcW w:w="904" w:type="dxa"/>
            <w:tcBorders>
              <w:top w:val="double" w:sz="6" w:space="0" w:color="000000"/>
            </w:tcBorders>
          </w:tcPr>
          <w:p>
            <w:pPr>
              <w:pStyle w:val="TableParagraph"/>
              <w:spacing w:line="215" w:lineRule="exact" w:before="40"/>
              <w:ind w:right="70"/>
              <w:jc w:val="center"/>
              <w:rPr>
                <w:sz w:val="20"/>
              </w:rPr>
            </w:pPr>
            <w:r>
              <w:rPr>
                <w:spacing w:val="-4"/>
                <w:sz w:val="20"/>
              </w:rPr>
              <w:t>-</w:t>
            </w:r>
            <w:r>
              <w:rPr>
                <w:spacing w:val="-2"/>
                <w:sz w:val="20"/>
              </w:rPr>
              <w:t>2.212433</w:t>
            </w:r>
          </w:p>
        </w:tc>
        <w:tc>
          <w:tcPr>
            <w:tcW w:w="929" w:type="dxa"/>
            <w:tcBorders>
              <w:top w:val="double" w:sz="6" w:space="0" w:color="000000"/>
            </w:tcBorders>
          </w:tcPr>
          <w:p>
            <w:pPr>
              <w:pStyle w:val="TableParagraph"/>
              <w:spacing w:line="215" w:lineRule="exact" w:before="40"/>
              <w:ind w:right="27"/>
              <w:jc w:val="right"/>
              <w:rPr>
                <w:sz w:val="20"/>
              </w:rPr>
            </w:pPr>
            <w:r>
              <w:rPr>
                <w:spacing w:val="-2"/>
                <w:sz w:val="20"/>
              </w:rPr>
              <w:t>0.0334</w:t>
            </w:r>
          </w:p>
        </w:tc>
      </w:tr>
      <w:tr>
        <w:trPr>
          <w:trHeight w:val="230" w:hRule="atLeast"/>
        </w:trPr>
        <w:tc>
          <w:tcPr>
            <w:tcW w:w="1847" w:type="dxa"/>
          </w:tcPr>
          <w:p>
            <w:pPr>
              <w:pStyle w:val="TableParagraph"/>
              <w:spacing w:line="210" w:lineRule="exact"/>
              <w:ind w:left="497"/>
              <w:rPr>
                <w:sz w:val="20"/>
              </w:rPr>
            </w:pPr>
            <w:r>
              <w:rPr>
                <w:spacing w:val="-2"/>
                <w:sz w:val="20"/>
              </w:rPr>
              <w:t>D(DFI(-1),2)</w:t>
            </w:r>
          </w:p>
        </w:tc>
        <w:tc>
          <w:tcPr>
            <w:tcW w:w="1375" w:type="dxa"/>
          </w:tcPr>
          <w:p>
            <w:pPr>
              <w:pStyle w:val="TableParagraph"/>
              <w:spacing w:line="210" w:lineRule="exact"/>
              <w:ind w:right="128"/>
              <w:jc w:val="right"/>
              <w:rPr>
                <w:sz w:val="20"/>
              </w:rPr>
            </w:pPr>
            <w:r>
              <w:rPr>
                <w:spacing w:val="-4"/>
                <w:sz w:val="20"/>
              </w:rPr>
              <w:t>-</w:t>
            </w:r>
            <w:r>
              <w:rPr>
                <w:spacing w:val="-2"/>
                <w:sz w:val="20"/>
              </w:rPr>
              <w:t>0.072115</w:t>
            </w:r>
          </w:p>
        </w:tc>
        <w:tc>
          <w:tcPr>
            <w:tcW w:w="1432" w:type="dxa"/>
          </w:tcPr>
          <w:p>
            <w:pPr>
              <w:pStyle w:val="TableParagraph"/>
              <w:spacing w:line="210" w:lineRule="exact"/>
              <w:ind w:left="311"/>
              <w:rPr>
                <w:sz w:val="20"/>
              </w:rPr>
            </w:pPr>
            <w:r>
              <w:rPr>
                <w:spacing w:val="-2"/>
                <w:sz w:val="20"/>
              </w:rPr>
              <w:t>0.395325</w:t>
            </w:r>
          </w:p>
        </w:tc>
        <w:tc>
          <w:tcPr>
            <w:tcW w:w="904" w:type="dxa"/>
          </w:tcPr>
          <w:p>
            <w:pPr>
              <w:pStyle w:val="TableParagraph"/>
              <w:spacing w:line="210" w:lineRule="exact"/>
              <w:ind w:right="70"/>
              <w:jc w:val="center"/>
              <w:rPr>
                <w:sz w:val="20"/>
              </w:rPr>
            </w:pPr>
            <w:r>
              <w:rPr>
                <w:spacing w:val="-4"/>
                <w:sz w:val="20"/>
              </w:rPr>
              <w:t>-</w:t>
            </w:r>
            <w:r>
              <w:rPr>
                <w:spacing w:val="-2"/>
                <w:sz w:val="20"/>
              </w:rPr>
              <w:t>0.182419</w:t>
            </w:r>
          </w:p>
        </w:tc>
        <w:tc>
          <w:tcPr>
            <w:tcW w:w="929" w:type="dxa"/>
          </w:tcPr>
          <w:p>
            <w:pPr>
              <w:pStyle w:val="TableParagraph"/>
              <w:spacing w:line="210" w:lineRule="exact"/>
              <w:ind w:right="27"/>
              <w:jc w:val="right"/>
              <w:rPr>
                <w:sz w:val="20"/>
              </w:rPr>
            </w:pPr>
            <w:r>
              <w:rPr>
                <w:spacing w:val="-2"/>
                <w:sz w:val="20"/>
              </w:rPr>
              <w:t>0.8563</w:t>
            </w:r>
          </w:p>
        </w:tc>
      </w:tr>
      <w:tr>
        <w:trPr>
          <w:trHeight w:val="224" w:hRule="atLeast"/>
        </w:trPr>
        <w:tc>
          <w:tcPr>
            <w:tcW w:w="1847" w:type="dxa"/>
            <w:tcBorders>
              <w:bottom w:val="double" w:sz="6" w:space="0" w:color="000000"/>
            </w:tcBorders>
          </w:tcPr>
          <w:p>
            <w:pPr>
              <w:pStyle w:val="TableParagraph"/>
              <w:spacing w:line="205" w:lineRule="exact"/>
              <w:ind w:left="197"/>
              <w:jc w:val="center"/>
              <w:rPr>
                <w:sz w:val="20"/>
              </w:rPr>
            </w:pPr>
            <w:r>
              <w:rPr>
                <w:spacing w:val="-10"/>
                <w:sz w:val="20"/>
              </w:rPr>
              <w:t>C</w:t>
            </w:r>
          </w:p>
        </w:tc>
        <w:tc>
          <w:tcPr>
            <w:tcW w:w="1375" w:type="dxa"/>
            <w:tcBorders>
              <w:bottom w:val="double" w:sz="6" w:space="0" w:color="000000"/>
            </w:tcBorders>
          </w:tcPr>
          <w:p>
            <w:pPr>
              <w:pStyle w:val="TableParagraph"/>
              <w:spacing w:line="205" w:lineRule="exact"/>
              <w:ind w:right="128"/>
              <w:jc w:val="right"/>
              <w:rPr>
                <w:sz w:val="20"/>
              </w:rPr>
            </w:pPr>
            <w:r>
              <w:rPr>
                <w:spacing w:val="-2"/>
                <w:sz w:val="20"/>
              </w:rPr>
              <w:t>0.218228</w:t>
            </w:r>
          </w:p>
        </w:tc>
        <w:tc>
          <w:tcPr>
            <w:tcW w:w="1432" w:type="dxa"/>
            <w:tcBorders>
              <w:bottom w:val="double" w:sz="6" w:space="0" w:color="000000"/>
            </w:tcBorders>
          </w:tcPr>
          <w:p>
            <w:pPr>
              <w:pStyle w:val="TableParagraph"/>
              <w:spacing w:line="205" w:lineRule="exact"/>
              <w:ind w:left="311"/>
              <w:rPr>
                <w:sz w:val="20"/>
              </w:rPr>
            </w:pPr>
            <w:r>
              <w:rPr>
                <w:spacing w:val="-2"/>
                <w:sz w:val="20"/>
              </w:rPr>
              <w:t>0.109989</w:t>
            </w:r>
          </w:p>
        </w:tc>
        <w:tc>
          <w:tcPr>
            <w:tcW w:w="904" w:type="dxa"/>
            <w:tcBorders>
              <w:bottom w:val="double" w:sz="6" w:space="0" w:color="000000"/>
            </w:tcBorders>
          </w:tcPr>
          <w:p>
            <w:pPr>
              <w:pStyle w:val="TableParagraph"/>
              <w:spacing w:line="205" w:lineRule="exact"/>
              <w:ind w:right="5"/>
              <w:jc w:val="center"/>
              <w:rPr>
                <w:sz w:val="20"/>
              </w:rPr>
            </w:pPr>
            <w:r>
              <w:rPr>
                <w:spacing w:val="-2"/>
                <w:sz w:val="20"/>
              </w:rPr>
              <w:t>1.984079</w:t>
            </w:r>
          </w:p>
        </w:tc>
        <w:tc>
          <w:tcPr>
            <w:tcW w:w="929" w:type="dxa"/>
            <w:tcBorders>
              <w:bottom w:val="double" w:sz="6" w:space="0" w:color="000000"/>
            </w:tcBorders>
          </w:tcPr>
          <w:p>
            <w:pPr>
              <w:pStyle w:val="TableParagraph"/>
              <w:spacing w:line="205" w:lineRule="exact"/>
              <w:ind w:right="27"/>
              <w:jc w:val="right"/>
              <w:rPr>
                <w:sz w:val="20"/>
              </w:rPr>
            </w:pPr>
            <w:r>
              <w:rPr>
                <w:spacing w:val="-2"/>
                <w:sz w:val="20"/>
              </w:rPr>
              <w:t>0.0549</w:t>
            </w:r>
          </w:p>
        </w:tc>
      </w:tr>
      <w:tr>
        <w:trPr>
          <w:trHeight w:val="275" w:hRule="atLeast"/>
        </w:trPr>
        <w:tc>
          <w:tcPr>
            <w:tcW w:w="1847" w:type="dxa"/>
            <w:tcBorders>
              <w:top w:val="double" w:sz="6" w:space="0" w:color="000000"/>
            </w:tcBorders>
          </w:tcPr>
          <w:p>
            <w:pPr>
              <w:pStyle w:val="TableParagraph"/>
              <w:spacing w:line="215" w:lineRule="exact" w:before="40"/>
              <w:ind w:left="36"/>
              <w:rPr>
                <w:sz w:val="20"/>
              </w:rPr>
            </w:pPr>
            <w:r>
              <w:rPr>
                <w:spacing w:val="-2"/>
                <w:sz w:val="20"/>
              </w:rPr>
              <w:t>R-squared</w:t>
            </w:r>
          </w:p>
        </w:tc>
        <w:tc>
          <w:tcPr>
            <w:tcW w:w="1375" w:type="dxa"/>
            <w:tcBorders>
              <w:top w:val="double" w:sz="6" w:space="0" w:color="000000"/>
            </w:tcBorders>
          </w:tcPr>
          <w:p>
            <w:pPr>
              <w:pStyle w:val="TableParagraph"/>
              <w:spacing w:line="215" w:lineRule="exact" w:before="40"/>
              <w:ind w:right="128"/>
              <w:jc w:val="right"/>
              <w:rPr>
                <w:sz w:val="20"/>
              </w:rPr>
            </w:pPr>
            <w:r>
              <w:rPr>
                <w:spacing w:val="-2"/>
                <w:sz w:val="20"/>
              </w:rPr>
              <w:t>0.507947</w:t>
            </w:r>
          </w:p>
        </w:tc>
        <w:tc>
          <w:tcPr>
            <w:tcW w:w="2336" w:type="dxa"/>
            <w:gridSpan w:val="2"/>
            <w:tcBorders>
              <w:top w:val="double" w:sz="6" w:space="0" w:color="000000"/>
            </w:tcBorders>
          </w:tcPr>
          <w:p>
            <w:pPr>
              <w:pStyle w:val="TableParagraph"/>
              <w:spacing w:line="215" w:lineRule="exact" w:before="40"/>
              <w:ind w:left="131"/>
              <w:rPr>
                <w:sz w:val="20"/>
              </w:rPr>
            </w:pPr>
            <w:r>
              <w:rPr>
                <w:sz w:val="20"/>
              </w:rPr>
              <w:t>Mean</w:t>
            </w:r>
            <w:r>
              <w:rPr>
                <w:spacing w:val="-7"/>
                <w:sz w:val="20"/>
              </w:rPr>
              <w:t> </w:t>
            </w:r>
            <w:r>
              <w:rPr>
                <w:sz w:val="20"/>
              </w:rPr>
              <w:t>dependent</w:t>
            </w:r>
            <w:r>
              <w:rPr>
                <w:spacing w:val="-7"/>
                <w:sz w:val="20"/>
              </w:rPr>
              <w:t> </w:t>
            </w:r>
            <w:r>
              <w:rPr>
                <w:spacing w:val="-5"/>
                <w:sz w:val="20"/>
              </w:rPr>
              <w:t>var</w:t>
            </w:r>
          </w:p>
        </w:tc>
        <w:tc>
          <w:tcPr>
            <w:tcW w:w="929" w:type="dxa"/>
            <w:tcBorders>
              <w:top w:val="double" w:sz="6" w:space="0" w:color="000000"/>
            </w:tcBorders>
          </w:tcPr>
          <w:p>
            <w:pPr>
              <w:pStyle w:val="TableParagraph"/>
              <w:spacing w:line="215" w:lineRule="exact" w:before="40"/>
              <w:ind w:right="27"/>
              <w:jc w:val="right"/>
              <w:rPr>
                <w:sz w:val="20"/>
              </w:rPr>
            </w:pPr>
            <w:r>
              <w:rPr>
                <w:spacing w:val="-4"/>
                <w:sz w:val="20"/>
              </w:rPr>
              <w:t>-</w:t>
            </w:r>
            <w:r>
              <w:rPr>
                <w:spacing w:val="-2"/>
                <w:sz w:val="20"/>
              </w:rPr>
              <w:t>0.000601</w:t>
            </w:r>
          </w:p>
        </w:tc>
      </w:tr>
      <w:tr>
        <w:trPr>
          <w:trHeight w:val="230" w:hRule="atLeast"/>
        </w:trPr>
        <w:tc>
          <w:tcPr>
            <w:tcW w:w="1847" w:type="dxa"/>
          </w:tcPr>
          <w:p>
            <w:pPr>
              <w:pStyle w:val="TableParagraph"/>
              <w:spacing w:line="211" w:lineRule="exact"/>
              <w:ind w:left="36"/>
              <w:rPr>
                <w:sz w:val="20"/>
              </w:rPr>
            </w:pPr>
            <w:r>
              <w:rPr>
                <w:sz w:val="20"/>
              </w:rPr>
              <w:t>Adjusted</w:t>
            </w:r>
            <w:r>
              <w:rPr>
                <w:spacing w:val="-10"/>
                <w:sz w:val="20"/>
              </w:rPr>
              <w:t> </w:t>
            </w:r>
            <w:r>
              <w:rPr>
                <w:sz w:val="20"/>
              </w:rPr>
              <w:t>R-</w:t>
            </w:r>
            <w:r>
              <w:rPr>
                <w:spacing w:val="-2"/>
                <w:sz w:val="20"/>
              </w:rPr>
              <w:t>squared</w:t>
            </w:r>
          </w:p>
        </w:tc>
        <w:tc>
          <w:tcPr>
            <w:tcW w:w="1375" w:type="dxa"/>
          </w:tcPr>
          <w:p>
            <w:pPr>
              <w:pStyle w:val="TableParagraph"/>
              <w:spacing w:line="211" w:lineRule="exact"/>
              <w:ind w:right="128"/>
              <w:jc w:val="right"/>
              <w:rPr>
                <w:sz w:val="20"/>
              </w:rPr>
            </w:pPr>
            <w:r>
              <w:rPr>
                <w:spacing w:val="-2"/>
                <w:sz w:val="20"/>
              </w:rPr>
              <w:t>0.480611</w:t>
            </w:r>
          </w:p>
        </w:tc>
        <w:tc>
          <w:tcPr>
            <w:tcW w:w="2336" w:type="dxa"/>
            <w:gridSpan w:val="2"/>
          </w:tcPr>
          <w:p>
            <w:pPr>
              <w:pStyle w:val="TableParagraph"/>
              <w:spacing w:line="211" w:lineRule="exact"/>
              <w:ind w:left="131"/>
              <w:rPr>
                <w:sz w:val="20"/>
              </w:rPr>
            </w:pPr>
            <w:r>
              <w:rPr>
                <w:sz w:val="20"/>
              </w:rPr>
              <w:t>S.D.</w:t>
            </w:r>
            <w:r>
              <w:rPr>
                <w:spacing w:val="-5"/>
                <w:sz w:val="20"/>
              </w:rPr>
              <w:t> </w:t>
            </w:r>
            <w:r>
              <w:rPr>
                <w:sz w:val="20"/>
              </w:rPr>
              <w:t>dependent</w:t>
            </w:r>
            <w:r>
              <w:rPr>
                <w:spacing w:val="-6"/>
                <w:sz w:val="20"/>
              </w:rPr>
              <w:t> </w:t>
            </w:r>
            <w:r>
              <w:rPr>
                <w:spacing w:val="-5"/>
                <w:sz w:val="20"/>
              </w:rPr>
              <w:t>var</w:t>
            </w:r>
          </w:p>
        </w:tc>
        <w:tc>
          <w:tcPr>
            <w:tcW w:w="929" w:type="dxa"/>
          </w:tcPr>
          <w:p>
            <w:pPr>
              <w:pStyle w:val="TableParagraph"/>
              <w:spacing w:line="211" w:lineRule="exact"/>
              <w:ind w:right="27"/>
              <w:jc w:val="right"/>
              <w:rPr>
                <w:sz w:val="20"/>
              </w:rPr>
            </w:pPr>
            <w:r>
              <w:rPr>
                <w:spacing w:val="-2"/>
                <w:sz w:val="20"/>
              </w:rPr>
              <w:t>0.722052</w:t>
            </w:r>
          </w:p>
        </w:tc>
      </w:tr>
      <w:tr>
        <w:trPr>
          <w:trHeight w:val="230" w:hRule="atLeast"/>
        </w:trPr>
        <w:tc>
          <w:tcPr>
            <w:tcW w:w="1847" w:type="dxa"/>
          </w:tcPr>
          <w:p>
            <w:pPr>
              <w:pStyle w:val="TableParagraph"/>
              <w:spacing w:line="211" w:lineRule="exact"/>
              <w:ind w:left="36"/>
              <w:rPr>
                <w:sz w:val="20"/>
              </w:rPr>
            </w:pPr>
            <w:r>
              <w:rPr>
                <w:sz w:val="20"/>
              </w:rPr>
              <w:t>S.E.</w:t>
            </w:r>
            <w:r>
              <w:rPr>
                <w:spacing w:val="-3"/>
                <w:sz w:val="20"/>
              </w:rPr>
              <w:t> </w:t>
            </w:r>
            <w:r>
              <w:rPr>
                <w:sz w:val="20"/>
              </w:rPr>
              <w:t>of</w:t>
            </w:r>
            <w:r>
              <w:rPr>
                <w:spacing w:val="-3"/>
                <w:sz w:val="20"/>
              </w:rPr>
              <w:t> </w:t>
            </w:r>
            <w:r>
              <w:rPr>
                <w:spacing w:val="-2"/>
                <w:sz w:val="20"/>
              </w:rPr>
              <w:t>regression</w:t>
            </w:r>
          </w:p>
        </w:tc>
        <w:tc>
          <w:tcPr>
            <w:tcW w:w="1375" w:type="dxa"/>
          </w:tcPr>
          <w:p>
            <w:pPr>
              <w:pStyle w:val="TableParagraph"/>
              <w:spacing w:line="211" w:lineRule="exact"/>
              <w:ind w:right="128"/>
              <w:jc w:val="right"/>
              <w:rPr>
                <w:sz w:val="20"/>
              </w:rPr>
            </w:pPr>
            <w:r>
              <w:rPr>
                <w:spacing w:val="-2"/>
                <w:sz w:val="20"/>
              </w:rPr>
              <w:t>0.520373</w:t>
            </w:r>
          </w:p>
        </w:tc>
        <w:tc>
          <w:tcPr>
            <w:tcW w:w="2336" w:type="dxa"/>
            <w:gridSpan w:val="2"/>
          </w:tcPr>
          <w:p>
            <w:pPr>
              <w:pStyle w:val="TableParagraph"/>
              <w:spacing w:line="211" w:lineRule="exact"/>
              <w:ind w:left="131"/>
              <w:rPr>
                <w:sz w:val="20"/>
              </w:rPr>
            </w:pPr>
            <w:r>
              <w:rPr>
                <w:sz w:val="20"/>
              </w:rPr>
              <w:t>Akaike</w:t>
            </w:r>
            <w:r>
              <w:rPr>
                <w:spacing w:val="-8"/>
                <w:sz w:val="20"/>
              </w:rPr>
              <w:t> </w:t>
            </w:r>
            <w:r>
              <w:rPr>
                <w:sz w:val="20"/>
              </w:rPr>
              <w:t>info</w:t>
            </w:r>
            <w:r>
              <w:rPr>
                <w:spacing w:val="-7"/>
                <w:sz w:val="20"/>
              </w:rPr>
              <w:t> </w:t>
            </w:r>
            <w:r>
              <w:rPr>
                <w:spacing w:val="-2"/>
                <w:sz w:val="20"/>
              </w:rPr>
              <w:t>criterion</w:t>
            </w:r>
          </w:p>
        </w:tc>
        <w:tc>
          <w:tcPr>
            <w:tcW w:w="929" w:type="dxa"/>
          </w:tcPr>
          <w:p>
            <w:pPr>
              <w:pStyle w:val="TableParagraph"/>
              <w:spacing w:line="211" w:lineRule="exact"/>
              <w:ind w:right="27"/>
              <w:jc w:val="right"/>
              <w:rPr>
                <w:sz w:val="20"/>
              </w:rPr>
            </w:pPr>
            <w:r>
              <w:rPr>
                <w:spacing w:val="-2"/>
                <w:sz w:val="20"/>
              </w:rPr>
              <w:t>1.605263</w:t>
            </w:r>
          </w:p>
        </w:tc>
      </w:tr>
      <w:tr>
        <w:trPr>
          <w:trHeight w:val="230" w:hRule="atLeast"/>
        </w:trPr>
        <w:tc>
          <w:tcPr>
            <w:tcW w:w="1847" w:type="dxa"/>
          </w:tcPr>
          <w:p>
            <w:pPr>
              <w:pStyle w:val="TableParagraph"/>
              <w:spacing w:line="210" w:lineRule="exact"/>
              <w:ind w:left="36"/>
              <w:rPr>
                <w:sz w:val="20"/>
              </w:rPr>
            </w:pPr>
            <w:r>
              <w:rPr>
                <w:sz w:val="20"/>
              </w:rPr>
              <w:t>Sum</w:t>
            </w:r>
            <w:r>
              <w:rPr>
                <w:spacing w:val="-8"/>
                <w:sz w:val="20"/>
              </w:rPr>
              <w:t> </w:t>
            </w:r>
            <w:r>
              <w:rPr>
                <w:sz w:val="20"/>
              </w:rPr>
              <w:t>squared</w:t>
            </w:r>
            <w:r>
              <w:rPr>
                <w:spacing w:val="-4"/>
                <w:sz w:val="20"/>
              </w:rPr>
              <w:t> </w:t>
            </w:r>
            <w:r>
              <w:rPr>
                <w:spacing w:val="-2"/>
                <w:sz w:val="20"/>
              </w:rPr>
              <w:t>resid</w:t>
            </w:r>
          </w:p>
        </w:tc>
        <w:tc>
          <w:tcPr>
            <w:tcW w:w="1375" w:type="dxa"/>
          </w:tcPr>
          <w:p>
            <w:pPr>
              <w:pStyle w:val="TableParagraph"/>
              <w:spacing w:line="210" w:lineRule="exact"/>
              <w:ind w:right="128"/>
              <w:jc w:val="right"/>
              <w:rPr>
                <w:sz w:val="20"/>
              </w:rPr>
            </w:pPr>
            <w:r>
              <w:rPr>
                <w:spacing w:val="-2"/>
                <w:sz w:val="20"/>
              </w:rPr>
              <w:t>9.748384</w:t>
            </w:r>
          </w:p>
        </w:tc>
        <w:tc>
          <w:tcPr>
            <w:tcW w:w="2336" w:type="dxa"/>
            <w:gridSpan w:val="2"/>
          </w:tcPr>
          <w:p>
            <w:pPr>
              <w:pStyle w:val="TableParagraph"/>
              <w:spacing w:line="210" w:lineRule="exact"/>
              <w:ind w:left="131"/>
              <w:rPr>
                <w:sz w:val="20"/>
              </w:rPr>
            </w:pPr>
            <w:r>
              <w:rPr>
                <w:sz w:val="20"/>
              </w:rPr>
              <w:t>Schwarz</w:t>
            </w:r>
            <w:r>
              <w:rPr>
                <w:spacing w:val="-8"/>
                <w:sz w:val="20"/>
              </w:rPr>
              <w:t> </w:t>
            </w:r>
            <w:r>
              <w:rPr>
                <w:spacing w:val="-2"/>
                <w:sz w:val="20"/>
              </w:rPr>
              <w:t>criterion</w:t>
            </w:r>
          </w:p>
        </w:tc>
        <w:tc>
          <w:tcPr>
            <w:tcW w:w="929" w:type="dxa"/>
          </w:tcPr>
          <w:p>
            <w:pPr>
              <w:pStyle w:val="TableParagraph"/>
              <w:spacing w:line="210" w:lineRule="exact"/>
              <w:ind w:right="27"/>
              <w:jc w:val="right"/>
              <w:rPr>
                <w:sz w:val="20"/>
              </w:rPr>
            </w:pPr>
            <w:r>
              <w:rPr>
                <w:spacing w:val="-2"/>
                <w:sz w:val="20"/>
              </w:rPr>
              <w:t>1.733229</w:t>
            </w:r>
          </w:p>
        </w:tc>
      </w:tr>
      <w:tr>
        <w:trPr>
          <w:trHeight w:val="229" w:hRule="atLeast"/>
        </w:trPr>
        <w:tc>
          <w:tcPr>
            <w:tcW w:w="1847" w:type="dxa"/>
          </w:tcPr>
          <w:p>
            <w:pPr>
              <w:pStyle w:val="TableParagraph"/>
              <w:spacing w:line="209" w:lineRule="exact"/>
              <w:ind w:left="36"/>
              <w:rPr>
                <w:sz w:val="20"/>
              </w:rPr>
            </w:pPr>
            <w:r>
              <w:rPr>
                <w:sz w:val="20"/>
              </w:rPr>
              <w:t>Log</w:t>
            </w:r>
            <w:r>
              <w:rPr>
                <w:spacing w:val="-6"/>
                <w:sz w:val="20"/>
              </w:rPr>
              <w:t> </w:t>
            </w:r>
            <w:r>
              <w:rPr>
                <w:spacing w:val="-2"/>
                <w:sz w:val="20"/>
              </w:rPr>
              <w:t>likelihood</w:t>
            </w:r>
          </w:p>
        </w:tc>
        <w:tc>
          <w:tcPr>
            <w:tcW w:w="1375" w:type="dxa"/>
          </w:tcPr>
          <w:p>
            <w:pPr>
              <w:pStyle w:val="TableParagraph"/>
              <w:spacing w:line="209" w:lineRule="exact"/>
              <w:ind w:right="128"/>
              <w:jc w:val="right"/>
              <w:rPr>
                <w:sz w:val="20"/>
              </w:rPr>
            </w:pPr>
            <w:r>
              <w:rPr>
                <w:spacing w:val="-4"/>
                <w:sz w:val="20"/>
              </w:rPr>
              <w:t>-</w:t>
            </w:r>
            <w:r>
              <w:rPr>
                <w:spacing w:val="-2"/>
                <w:sz w:val="20"/>
              </w:rPr>
              <w:t>28.30263</w:t>
            </w:r>
          </w:p>
        </w:tc>
        <w:tc>
          <w:tcPr>
            <w:tcW w:w="1432" w:type="dxa"/>
          </w:tcPr>
          <w:p>
            <w:pPr>
              <w:pStyle w:val="TableParagraph"/>
              <w:spacing w:line="209" w:lineRule="exact"/>
              <w:ind w:left="131"/>
              <w:rPr>
                <w:sz w:val="20"/>
              </w:rPr>
            </w:pPr>
            <w:r>
              <w:rPr>
                <w:spacing w:val="-4"/>
                <w:sz w:val="20"/>
              </w:rPr>
              <w:t>F-</w:t>
            </w:r>
            <w:r>
              <w:rPr>
                <w:spacing w:val="-2"/>
                <w:sz w:val="20"/>
              </w:rPr>
              <w:t>statistic</w:t>
            </w:r>
          </w:p>
        </w:tc>
        <w:tc>
          <w:tcPr>
            <w:tcW w:w="904" w:type="dxa"/>
          </w:tcPr>
          <w:p>
            <w:pPr>
              <w:pStyle w:val="TableParagraph"/>
              <w:rPr>
                <w:sz w:val="16"/>
              </w:rPr>
            </w:pPr>
          </w:p>
        </w:tc>
        <w:tc>
          <w:tcPr>
            <w:tcW w:w="929" w:type="dxa"/>
          </w:tcPr>
          <w:p>
            <w:pPr>
              <w:pStyle w:val="TableParagraph"/>
              <w:spacing w:line="209" w:lineRule="exact"/>
              <w:ind w:right="27"/>
              <w:jc w:val="right"/>
              <w:rPr>
                <w:sz w:val="20"/>
              </w:rPr>
            </w:pPr>
            <w:r>
              <w:rPr>
                <w:spacing w:val="-2"/>
                <w:sz w:val="20"/>
              </w:rPr>
              <w:t>18.58142</w:t>
            </w:r>
          </w:p>
        </w:tc>
      </w:tr>
      <w:tr>
        <w:trPr>
          <w:trHeight w:val="266" w:hRule="atLeast"/>
        </w:trPr>
        <w:tc>
          <w:tcPr>
            <w:tcW w:w="1847" w:type="dxa"/>
            <w:tcBorders>
              <w:bottom w:val="double" w:sz="6" w:space="0" w:color="000000"/>
            </w:tcBorders>
          </w:tcPr>
          <w:p>
            <w:pPr>
              <w:pStyle w:val="TableParagraph"/>
              <w:spacing w:line="224" w:lineRule="exact"/>
              <w:ind w:left="36"/>
              <w:rPr>
                <w:sz w:val="20"/>
              </w:rPr>
            </w:pPr>
            <w:r>
              <w:rPr>
                <w:sz w:val="20"/>
              </w:rPr>
              <w:t>Durbin-Watson</w:t>
            </w:r>
            <w:r>
              <w:rPr>
                <w:spacing w:val="-12"/>
                <w:sz w:val="20"/>
              </w:rPr>
              <w:t> </w:t>
            </w:r>
            <w:r>
              <w:rPr>
                <w:spacing w:val="-4"/>
                <w:sz w:val="20"/>
              </w:rPr>
              <w:t>stat</w:t>
            </w:r>
          </w:p>
        </w:tc>
        <w:tc>
          <w:tcPr>
            <w:tcW w:w="1375" w:type="dxa"/>
          </w:tcPr>
          <w:p>
            <w:pPr>
              <w:pStyle w:val="TableParagraph"/>
              <w:spacing w:line="224" w:lineRule="exact"/>
              <w:ind w:right="128"/>
              <w:jc w:val="right"/>
              <w:rPr>
                <w:sz w:val="20"/>
              </w:rPr>
            </w:pPr>
            <w:r>
              <w:rPr>
                <w:spacing w:val="-2"/>
                <w:sz w:val="20"/>
              </w:rPr>
              <w:t>1.997457</w:t>
            </w:r>
          </w:p>
        </w:tc>
        <w:tc>
          <w:tcPr>
            <w:tcW w:w="1432" w:type="dxa"/>
            <w:tcBorders>
              <w:bottom w:val="double" w:sz="6" w:space="0" w:color="000000"/>
            </w:tcBorders>
          </w:tcPr>
          <w:p>
            <w:pPr>
              <w:pStyle w:val="TableParagraph"/>
              <w:spacing w:line="224" w:lineRule="exact"/>
              <w:ind w:left="131"/>
              <w:rPr>
                <w:sz w:val="20"/>
              </w:rPr>
            </w:pPr>
            <w:r>
              <w:rPr>
                <w:spacing w:val="-2"/>
                <w:sz w:val="20"/>
              </w:rPr>
              <w:t>Prob(F-statistic)</w:t>
            </w:r>
          </w:p>
        </w:tc>
        <w:tc>
          <w:tcPr>
            <w:tcW w:w="904" w:type="dxa"/>
            <w:tcBorders>
              <w:bottom w:val="double" w:sz="6" w:space="0" w:color="000000"/>
            </w:tcBorders>
          </w:tcPr>
          <w:p>
            <w:pPr>
              <w:pStyle w:val="TableParagraph"/>
              <w:rPr>
                <w:sz w:val="18"/>
              </w:rPr>
            </w:pPr>
          </w:p>
        </w:tc>
        <w:tc>
          <w:tcPr>
            <w:tcW w:w="929" w:type="dxa"/>
            <w:tcBorders>
              <w:bottom w:val="double" w:sz="6" w:space="0" w:color="000000"/>
            </w:tcBorders>
          </w:tcPr>
          <w:p>
            <w:pPr>
              <w:pStyle w:val="TableParagraph"/>
              <w:spacing w:line="224" w:lineRule="exact"/>
              <w:ind w:right="27"/>
              <w:jc w:val="right"/>
              <w:rPr>
                <w:sz w:val="20"/>
              </w:rPr>
            </w:pPr>
            <w:r>
              <w:rPr>
                <w:spacing w:val="-2"/>
                <w:sz w:val="20"/>
              </w:rPr>
              <w:t>0.000003</w:t>
            </w:r>
          </w:p>
        </w:tc>
      </w:tr>
    </w:tbl>
    <w:p>
      <w:pPr>
        <w:spacing w:after="0" w:line="224" w:lineRule="exact"/>
        <w:jc w:val="right"/>
        <w:rPr>
          <w:sz w:val="20"/>
        </w:rPr>
        <w:sectPr>
          <w:pgSz w:w="11910" w:h="16840"/>
          <w:pgMar w:header="0" w:footer="979" w:top="1360" w:bottom="1240" w:left="280" w:right="0"/>
        </w:sectPr>
      </w:pPr>
    </w:p>
    <w:p>
      <w:pPr>
        <w:spacing w:before="82" w:after="3"/>
        <w:ind w:left="711" w:right="0" w:firstLine="0"/>
        <w:jc w:val="left"/>
        <w:rPr>
          <w:sz w:val="20"/>
        </w:rPr>
      </w:pPr>
      <w:r>
        <w:rPr>
          <w:sz w:val="20"/>
        </w:rPr>
        <w:t>DFI</w:t>
      </w:r>
      <w:r>
        <w:rPr>
          <w:spacing w:val="-2"/>
          <w:sz w:val="20"/>
        </w:rPr>
        <w:t> </w:t>
      </w:r>
      <w:r>
        <w:rPr>
          <w:sz w:val="20"/>
        </w:rPr>
        <w:t>@</w:t>
      </w:r>
      <w:r>
        <w:rPr>
          <w:spacing w:val="-3"/>
          <w:sz w:val="20"/>
        </w:rPr>
        <w:t> </w:t>
      </w:r>
      <w:r>
        <w:rPr>
          <w:sz w:val="20"/>
        </w:rPr>
        <w:t>2</w:t>
      </w:r>
      <w:r>
        <w:rPr>
          <w:sz w:val="20"/>
          <w:vertAlign w:val="superscript"/>
        </w:rPr>
        <w:t>ND</w:t>
      </w:r>
      <w:r>
        <w:rPr>
          <w:spacing w:val="-2"/>
          <w:sz w:val="20"/>
          <w:vertAlign w:val="baseline"/>
        </w:rPr>
        <w:t> </w:t>
      </w:r>
      <w:r>
        <w:rPr>
          <w:spacing w:val="-4"/>
          <w:sz w:val="20"/>
          <w:vertAlign w:val="baseline"/>
        </w:rPr>
        <w:t>DIFF</w:t>
      </w:r>
    </w:p>
    <w:tbl>
      <w:tblPr>
        <w:tblW w:w="0" w:type="auto"/>
        <w:jc w:val="left"/>
        <w:tblInd w:w="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47"/>
        <w:gridCol w:w="1375"/>
        <w:gridCol w:w="1432"/>
        <w:gridCol w:w="904"/>
        <w:gridCol w:w="929"/>
      </w:tblGrid>
      <w:tr>
        <w:trPr>
          <w:trHeight w:val="224" w:hRule="atLeast"/>
        </w:trPr>
        <w:tc>
          <w:tcPr>
            <w:tcW w:w="1847" w:type="dxa"/>
          </w:tcPr>
          <w:p>
            <w:pPr>
              <w:pStyle w:val="TableParagraph"/>
              <w:spacing w:line="204" w:lineRule="exact"/>
              <w:ind w:left="36"/>
              <w:rPr>
                <w:sz w:val="20"/>
              </w:rPr>
            </w:pPr>
            <w:r>
              <w:rPr>
                <w:sz w:val="20"/>
              </w:rPr>
              <w:t>ADF</w:t>
            </w:r>
            <w:r>
              <w:rPr>
                <w:spacing w:val="-4"/>
                <w:sz w:val="20"/>
              </w:rPr>
              <w:t> </w:t>
            </w:r>
            <w:r>
              <w:rPr>
                <w:sz w:val="20"/>
              </w:rPr>
              <w:t>Test</w:t>
            </w:r>
            <w:r>
              <w:rPr>
                <w:spacing w:val="-4"/>
                <w:sz w:val="20"/>
              </w:rPr>
              <w:t> </w:t>
            </w:r>
            <w:r>
              <w:rPr>
                <w:spacing w:val="-2"/>
                <w:sz w:val="20"/>
              </w:rPr>
              <w:t>Statistic</w:t>
            </w:r>
          </w:p>
        </w:tc>
        <w:tc>
          <w:tcPr>
            <w:tcW w:w="1375" w:type="dxa"/>
          </w:tcPr>
          <w:p>
            <w:pPr>
              <w:pStyle w:val="TableParagraph"/>
              <w:spacing w:line="204" w:lineRule="exact"/>
              <w:ind w:left="219"/>
              <w:rPr>
                <w:sz w:val="20"/>
              </w:rPr>
            </w:pPr>
            <w:r>
              <w:rPr>
                <w:spacing w:val="-4"/>
                <w:sz w:val="20"/>
              </w:rPr>
              <w:t>-</w:t>
            </w:r>
            <w:r>
              <w:rPr>
                <w:spacing w:val="-2"/>
                <w:sz w:val="20"/>
              </w:rPr>
              <w:t>5.608828</w:t>
            </w:r>
          </w:p>
        </w:tc>
        <w:tc>
          <w:tcPr>
            <w:tcW w:w="2336" w:type="dxa"/>
            <w:gridSpan w:val="2"/>
          </w:tcPr>
          <w:p>
            <w:pPr>
              <w:pStyle w:val="TableParagraph"/>
              <w:spacing w:line="204" w:lineRule="exact"/>
              <w:ind w:left="131"/>
              <w:rPr>
                <w:sz w:val="20"/>
              </w:rPr>
            </w:pPr>
            <w:r>
              <w:rPr>
                <w:sz w:val="20"/>
              </w:rPr>
              <w:t>1%</w:t>
            </w:r>
            <w:r>
              <w:rPr>
                <w:spacing w:val="68"/>
                <w:w w:val="150"/>
                <w:sz w:val="20"/>
              </w:rPr>
              <w:t> </w:t>
            </w:r>
            <w:r>
              <w:rPr>
                <w:sz w:val="20"/>
              </w:rPr>
              <w:t>Critical</w:t>
            </w:r>
            <w:r>
              <w:rPr>
                <w:spacing w:val="-2"/>
                <w:sz w:val="20"/>
              </w:rPr>
              <w:t> Value*</w:t>
            </w:r>
          </w:p>
        </w:tc>
        <w:tc>
          <w:tcPr>
            <w:tcW w:w="929" w:type="dxa"/>
          </w:tcPr>
          <w:p>
            <w:pPr>
              <w:pStyle w:val="TableParagraph"/>
              <w:spacing w:line="204" w:lineRule="exact"/>
              <w:ind w:right="27"/>
              <w:jc w:val="right"/>
              <w:rPr>
                <w:sz w:val="20"/>
              </w:rPr>
            </w:pPr>
            <w:r>
              <w:rPr>
                <w:spacing w:val="-4"/>
                <w:sz w:val="20"/>
              </w:rPr>
              <w:t>-</w:t>
            </w:r>
            <w:r>
              <w:rPr>
                <w:spacing w:val="-2"/>
                <w:sz w:val="20"/>
              </w:rPr>
              <w:t>3.6117</w:t>
            </w:r>
          </w:p>
        </w:tc>
      </w:tr>
      <w:tr>
        <w:trPr>
          <w:trHeight w:val="229" w:hRule="atLeast"/>
        </w:trPr>
        <w:tc>
          <w:tcPr>
            <w:tcW w:w="1847" w:type="dxa"/>
          </w:tcPr>
          <w:p>
            <w:pPr>
              <w:pStyle w:val="TableParagraph"/>
              <w:rPr>
                <w:sz w:val="16"/>
              </w:rPr>
            </w:pPr>
          </w:p>
        </w:tc>
        <w:tc>
          <w:tcPr>
            <w:tcW w:w="1375" w:type="dxa"/>
          </w:tcPr>
          <w:p>
            <w:pPr>
              <w:pStyle w:val="TableParagraph"/>
              <w:rPr>
                <w:sz w:val="16"/>
              </w:rPr>
            </w:pPr>
          </w:p>
        </w:tc>
        <w:tc>
          <w:tcPr>
            <w:tcW w:w="2336" w:type="dxa"/>
            <w:gridSpan w:val="2"/>
          </w:tcPr>
          <w:p>
            <w:pPr>
              <w:pStyle w:val="TableParagraph"/>
              <w:spacing w:line="209" w:lineRule="exact"/>
              <w:ind w:left="131"/>
              <w:rPr>
                <w:sz w:val="20"/>
              </w:rPr>
            </w:pPr>
            <w:r>
              <w:rPr>
                <w:sz w:val="20"/>
              </w:rPr>
              <w:t>5%</w:t>
            </w:r>
            <w:r>
              <w:rPr>
                <w:spacing w:val="68"/>
                <w:w w:val="150"/>
                <w:sz w:val="20"/>
              </w:rPr>
              <w:t> </w:t>
            </w:r>
            <w:r>
              <w:rPr>
                <w:sz w:val="20"/>
              </w:rPr>
              <w:t>Critical</w:t>
            </w:r>
            <w:r>
              <w:rPr>
                <w:spacing w:val="-2"/>
                <w:sz w:val="20"/>
              </w:rPr>
              <w:t> </w:t>
            </w:r>
            <w:r>
              <w:rPr>
                <w:spacing w:val="-4"/>
                <w:sz w:val="20"/>
              </w:rPr>
              <w:t>Value</w:t>
            </w:r>
          </w:p>
        </w:tc>
        <w:tc>
          <w:tcPr>
            <w:tcW w:w="929" w:type="dxa"/>
          </w:tcPr>
          <w:p>
            <w:pPr>
              <w:pStyle w:val="TableParagraph"/>
              <w:spacing w:line="209" w:lineRule="exact"/>
              <w:ind w:right="27"/>
              <w:jc w:val="right"/>
              <w:rPr>
                <w:sz w:val="20"/>
              </w:rPr>
            </w:pPr>
            <w:r>
              <w:rPr>
                <w:spacing w:val="-4"/>
                <w:sz w:val="20"/>
              </w:rPr>
              <w:t>-</w:t>
            </w:r>
            <w:r>
              <w:rPr>
                <w:spacing w:val="-2"/>
                <w:sz w:val="20"/>
              </w:rPr>
              <w:t>2.9399</w:t>
            </w:r>
          </w:p>
        </w:tc>
      </w:tr>
      <w:tr>
        <w:trPr>
          <w:trHeight w:val="224" w:hRule="atLeast"/>
        </w:trPr>
        <w:tc>
          <w:tcPr>
            <w:tcW w:w="1847" w:type="dxa"/>
            <w:tcBorders>
              <w:bottom w:val="double" w:sz="6" w:space="0" w:color="000000"/>
            </w:tcBorders>
          </w:tcPr>
          <w:p>
            <w:pPr>
              <w:pStyle w:val="TableParagraph"/>
              <w:rPr>
                <w:sz w:val="16"/>
              </w:rPr>
            </w:pPr>
          </w:p>
        </w:tc>
        <w:tc>
          <w:tcPr>
            <w:tcW w:w="1375" w:type="dxa"/>
            <w:tcBorders>
              <w:bottom w:val="double" w:sz="6" w:space="0" w:color="000000"/>
            </w:tcBorders>
          </w:tcPr>
          <w:p>
            <w:pPr>
              <w:pStyle w:val="TableParagraph"/>
              <w:rPr>
                <w:sz w:val="16"/>
              </w:rPr>
            </w:pPr>
          </w:p>
        </w:tc>
        <w:tc>
          <w:tcPr>
            <w:tcW w:w="2336" w:type="dxa"/>
            <w:gridSpan w:val="2"/>
            <w:tcBorders>
              <w:bottom w:val="double" w:sz="6" w:space="0" w:color="000000"/>
            </w:tcBorders>
          </w:tcPr>
          <w:p>
            <w:pPr>
              <w:pStyle w:val="TableParagraph"/>
              <w:spacing w:line="205" w:lineRule="exact"/>
              <w:ind w:left="131"/>
              <w:rPr>
                <w:sz w:val="20"/>
              </w:rPr>
            </w:pPr>
            <w:r>
              <w:rPr>
                <w:sz w:val="20"/>
              </w:rPr>
              <w:t>10%</w:t>
            </w:r>
            <w:r>
              <w:rPr>
                <w:spacing w:val="-6"/>
                <w:sz w:val="20"/>
              </w:rPr>
              <w:t> </w:t>
            </w:r>
            <w:r>
              <w:rPr>
                <w:sz w:val="20"/>
              </w:rPr>
              <w:t>Critical</w:t>
            </w:r>
            <w:r>
              <w:rPr>
                <w:spacing w:val="-4"/>
                <w:sz w:val="20"/>
              </w:rPr>
              <w:t> </w:t>
            </w:r>
            <w:r>
              <w:rPr>
                <w:spacing w:val="-2"/>
                <w:sz w:val="20"/>
              </w:rPr>
              <w:t>Value</w:t>
            </w:r>
          </w:p>
        </w:tc>
        <w:tc>
          <w:tcPr>
            <w:tcW w:w="929" w:type="dxa"/>
            <w:tcBorders>
              <w:bottom w:val="double" w:sz="6" w:space="0" w:color="000000"/>
            </w:tcBorders>
          </w:tcPr>
          <w:p>
            <w:pPr>
              <w:pStyle w:val="TableParagraph"/>
              <w:spacing w:line="205" w:lineRule="exact"/>
              <w:ind w:right="27"/>
              <w:jc w:val="right"/>
              <w:rPr>
                <w:sz w:val="20"/>
              </w:rPr>
            </w:pPr>
            <w:r>
              <w:rPr>
                <w:spacing w:val="-4"/>
                <w:sz w:val="20"/>
              </w:rPr>
              <w:t>-</w:t>
            </w:r>
            <w:r>
              <w:rPr>
                <w:spacing w:val="-2"/>
                <w:sz w:val="20"/>
              </w:rPr>
              <w:t>2.6080</w:t>
            </w:r>
          </w:p>
        </w:tc>
      </w:tr>
      <w:tr>
        <w:trPr>
          <w:trHeight w:val="506" w:hRule="atLeast"/>
        </w:trPr>
        <w:tc>
          <w:tcPr>
            <w:tcW w:w="6487" w:type="dxa"/>
            <w:gridSpan w:val="5"/>
            <w:tcBorders>
              <w:top w:val="double" w:sz="6" w:space="0" w:color="000000"/>
            </w:tcBorders>
          </w:tcPr>
          <w:p>
            <w:pPr>
              <w:pStyle w:val="TableParagraph"/>
              <w:spacing w:before="42"/>
              <w:ind w:left="36"/>
              <w:rPr>
                <w:sz w:val="20"/>
              </w:rPr>
            </w:pPr>
            <w:r>
              <w:rPr>
                <w:sz w:val="20"/>
              </w:rPr>
              <w:t>*MacKinnon</w:t>
            </w:r>
            <w:r>
              <w:rPr>
                <w:spacing w:val="-6"/>
                <w:sz w:val="20"/>
              </w:rPr>
              <w:t> </w:t>
            </w:r>
            <w:r>
              <w:rPr>
                <w:sz w:val="20"/>
              </w:rPr>
              <w:t>critical</w:t>
            </w:r>
            <w:r>
              <w:rPr>
                <w:spacing w:val="-4"/>
                <w:sz w:val="20"/>
              </w:rPr>
              <w:t> </w:t>
            </w:r>
            <w:r>
              <w:rPr>
                <w:sz w:val="20"/>
              </w:rPr>
              <w:t>values</w:t>
            </w:r>
            <w:r>
              <w:rPr>
                <w:spacing w:val="-6"/>
                <w:sz w:val="20"/>
              </w:rPr>
              <w:t> </w:t>
            </w:r>
            <w:r>
              <w:rPr>
                <w:sz w:val="20"/>
              </w:rPr>
              <w:t>for</w:t>
            </w:r>
            <w:r>
              <w:rPr>
                <w:spacing w:val="-4"/>
                <w:sz w:val="20"/>
              </w:rPr>
              <w:t> </w:t>
            </w:r>
            <w:r>
              <w:rPr>
                <w:sz w:val="20"/>
              </w:rPr>
              <w:t>rejection</w:t>
            </w:r>
            <w:r>
              <w:rPr>
                <w:spacing w:val="-5"/>
                <w:sz w:val="20"/>
              </w:rPr>
              <w:t> </w:t>
            </w:r>
            <w:r>
              <w:rPr>
                <w:sz w:val="20"/>
              </w:rPr>
              <w:t>of</w:t>
            </w:r>
            <w:r>
              <w:rPr>
                <w:spacing w:val="-7"/>
                <w:sz w:val="20"/>
              </w:rPr>
              <w:t> </w:t>
            </w:r>
            <w:r>
              <w:rPr>
                <w:sz w:val="20"/>
              </w:rPr>
              <w:t>hypothesis</w:t>
            </w:r>
            <w:r>
              <w:rPr>
                <w:spacing w:val="-5"/>
                <w:sz w:val="20"/>
              </w:rPr>
              <w:t> </w:t>
            </w:r>
            <w:r>
              <w:rPr>
                <w:sz w:val="20"/>
              </w:rPr>
              <w:t>of</w:t>
            </w:r>
            <w:r>
              <w:rPr>
                <w:spacing w:val="-6"/>
                <w:sz w:val="20"/>
              </w:rPr>
              <w:t> </w:t>
            </w:r>
            <w:r>
              <w:rPr>
                <w:sz w:val="20"/>
              </w:rPr>
              <w:t>a</w:t>
            </w:r>
            <w:r>
              <w:rPr>
                <w:spacing w:val="-5"/>
                <w:sz w:val="20"/>
              </w:rPr>
              <w:t> </w:t>
            </w:r>
            <w:r>
              <w:rPr>
                <w:sz w:val="20"/>
              </w:rPr>
              <w:t>unit</w:t>
            </w:r>
            <w:r>
              <w:rPr>
                <w:spacing w:val="2"/>
                <w:sz w:val="20"/>
              </w:rPr>
              <w:t> </w:t>
            </w:r>
            <w:r>
              <w:rPr>
                <w:spacing w:val="-2"/>
                <w:sz w:val="20"/>
              </w:rPr>
              <w:t>root.</w:t>
            </w:r>
          </w:p>
        </w:tc>
      </w:tr>
      <w:tr>
        <w:trPr>
          <w:trHeight w:val="459" w:hRule="atLeast"/>
        </w:trPr>
        <w:tc>
          <w:tcPr>
            <w:tcW w:w="6487" w:type="dxa"/>
            <w:gridSpan w:val="5"/>
          </w:tcPr>
          <w:p>
            <w:pPr>
              <w:pStyle w:val="TableParagraph"/>
              <w:spacing w:line="215" w:lineRule="exact" w:before="225"/>
              <w:ind w:left="36"/>
              <w:rPr>
                <w:sz w:val="20"/>
              </w:rPr>
            </w:pPr>
            <w:r>
              <w:rPr>
                <w:sz w:val="20"/>
              </w:rPr>
              <w:t>Augmented</w:t>
            </w:r>
            <w:r>
              <w:rPr>
                <w:spacing w:val="-8"/>
                <w:sz w:val="20"/>
              </w:rPr>
              <w:t> </w:t>
            </w:r>
            <w:r>
              <w:rPr>
                <w:sz w:val="20"/>
              </w:rPr>
              <w:t>Dickey-Fuller</w:t>
            </w:r>
            <w:r>
              <w:rPr>
                <w:spacing w:val="-8"/>
                <w:sz w:val="20"/>
              </w:rPr>
              <w:t> </w:t>
            </w:r>
            <w:r>
              <w:rPr>
                <w:sz w:val="20"/>
              </w:rPr>
              <w:t>Test</w:t>
            </w:r>
            <w:r>
              <w:rPr>
                <w:spacing w:val="-9"/>
                <w:sz w:val="20"/>
              </w:rPr>
              <w:t> </w:t>
            </w:r>
            <w:r>
              <w:rPr>
                <w:spacing w:val="-2"/>
                <w:sz w:val="20"/>
              </w:rPr>
              <w:t>Equation</w:t>
            </w:r>
          </w:p>
        </w:tc>
      </w:tr>
      <w:tr>
        <w:trPr>
          <w:trHeight w:val="230" w:hRule="atLeast"/>
        </w:trPr>
        <w:tc>
          <w:tcPr>
            <w:tcW w:w="6487" w:type="dxa"/>
            <w:gridSpan w:val="5"/>
          </w:tcPr>
          <w:p>
            <w:pPr>
              <w:pStyle w:val="TableParagraph"/>
              <w:spacing w:line="210" w:lineRule="exact"/>
              <w:ind w:left="36"/>
              <w:rPr>
                <w:sz w:val="20"/>
              </w:rPr>
            </w:pPr>
            <w:r>
              <w:rPr>
                <w:sz w:val="20"/>
              </w:rPr>
              <w:t>Dependent</w:t>
            </w:r>
            <w:r>
              <w:rPr>
                <w:spacing w:val="-8"/>
                <w:sz w:val="20"/>
              </w:rPr>
              <w:t> </w:t>
            </w:r>
            <w:r>
              <w:rPr>
                <w:sz w:val="20"/>
              </w:rPr>
              <w:t>Variable:</w:t>
            </w:r>
            <w:r>
              <w:rPr>
                <w:spacing w:val="-8"/>
                <w:sz w:val="20"/>
              </w:rPr>
              <w:t> </w:t>
            </w:r>
            <w:r>
              <w:rPr>
                <w:spacing w:val="-2"/>
                <w:sz w:val="20"/>
              </w:rPr>
              <w:t>D(DFI,3)</w:t>
            </w:r>
          </w:p>
        </w:tc>
      </w:tr>
      <w:tr>
        <w:trPr>
          <w:trHeight w:val="229" w:hRule="atLeast"/>
        </w:trPr>
        <w:tc>
          <w:tcPr>
            <w:tcW w:w="6487" w:type="dxa"/>
            <w:gridSpan w:val="5"/>
          </w:tcPr>
          <w:p>
            <w:pPr>
              <w:pStyle w:val="TableParagraph"/>
              <w:spacing w:line="209" w:lineRule="exact"/>
              <w:ind w:left="36"/>
              <w:rPr>
                <w:sz w:val="20"/>
              </w:rPr>
            </w:pPr>
            <w:r>
              <w:rPr>
                <w:sz w:val="20"/>
              </w:rPr>
              <w:t>Method:</w:t>
            </w:r>
            <w:r>
              <w:rPr>
                <w:spacing w:val="-8"/>
                <w:sz w:val="20"/>
              </w:rPr>
              <w:t> </w:t>
            </w:r>
            <w:r>
              <w:rPr>
                <w:sz w:val="20"/>
              </w:rPr>
              <w:t>Least</w:t>
            </w:r>
            <w:r>
              <w:rPr>
                <w:spacing w:val="-7"/>
                <w:sz w:val="20"/>
              </w:rPr>
              <w:t> </w:t>
            </w:r>
            <w:r>
              <w:rPr>
                <w:spacing w:val="-2"/>
                <w:sz w:val="20"/>
              </w:rPr>
              <w:t>Squares</w:t>
            </w:r>
          </w:p>
        </w:tc>
      </w:tr>
      <w:tr>
        <w:trPr>
          <w:trHeight w:val="229" w:hRule="atLeast"/>
        </w:trPr>
        <w:tc>
          <w:tcPr>
            <w:tcW w:w="6487" w:type="dxa"/>
            <w:gridSpan w:val="5"/>
          </w:tcPr>
          <w:p>
            <w:pPr>
              <w:pStyle w:val="TableParagraph"/>
              <w:spacing w:line="209" w:lineRule="exact"/>
              <w:ind w:left="36"/>
              <w:rPr>
                <w:sz w:val="20"/>
              </w:rPr>
            </w:pPr>
            <w:r>
              <w:rPr>
                <w:sz w:val="20"/>
              </w:rPr>
              <w:t>Date:</w:t>
            </w:r>
            <w:r>
              <w:rPr>
                <w:spacing w:val="-5"/>
                <w:sz w:val="20"/>
              </w:rPr>
              <w:t> </w:t>
            </w:r>
            <w:r>
              <w:rPr>
                <w:sz w:val="20"/>
              </w:rPr>
              <w:t>02/17/14</w:t>
            </w:r>
            <w:r>
              <w:rPr>
                <w:spacing w:val="63"/>
                <w:w w:val="150"/>
                <w:sz w:val="20"/>
              </w:rPr>
              <w:t> </w:t>
            </w:r>
            <w:r>
              <w:rPr>
                <w:sz w:val="20"/>
              </w:rPr>
              <w:t>Time:</w:t>
            </w:r>
            <w:r>
              <w:rPr>
                <w:spacing w:val="-3"/>
                <w:sz w:val="20"/>
              </w:rPr>
              <w:t> </w:t>
            </w:r>
            <w:r>
              <w:rPr>
                <w:spacing w:val="-2"/>
                <w:sz w:val="20"/>
              </w:rPr>
              <w:t>16:56</w:t>
            </w:r>
          </w:p>
        </w:tc>
      </w:tr>
      <w:tr>
        <w:trPr>
          <w:trHeight w:val="230" w:hRule="atLeast"/>
        </w:trPr>
        <w:tc>
          <w:tcPr>
            <w:tcW w:w="6487" w:type="dxa"/>
            <w:gridSpan w:val="5"/>
          </w:tcPr>
          <w:p>
            <w:pPr>
              <w:pStyle w:val="TableParagraph"/>
              <w:spacing w:line="210" w:lineRule="exact"/>
              <w:ind w:left="36"/>
              <w:rPr>
                <w:sz w:val="20"/>
              </w:rPr>
            </w:pPr>
            <w:r>
              <w:rPr>
                <w:sz w:val="20"/>
              </w:rPr>
              <w:t>Sample(adjusted):</w:t>
            </w:r>
            <w:r>
              <w:rPr>
                <w:spacing w:val="-9"/>
                <w:sz w:val="20"/>
              </w:rPr>
              <w:t> </w:t>
            </w:r>
            <w:r>
              <w:rPr>
                <w:sz w:val="20"/>
              </w:rPr>
              <w:t>1974</w:t>
            </w:r>
            <w:r>
              <w:rPr>
                <w:spacing w:val="-9"/>
                <w:sz w:val="20"/>
              </w:rPr>
              <w:t> </w:t>
            </w:r>
            <w:r>
              <w:rPr>
                <w:spacing w:val="-4"/>
                <w:sz w:val="20"/>
              </w:rPr>
              <w:t>2011</w:t>
            </w:r>
          </w:p>
        </w:tc>
      </w:tr>
      <w:tr>
        <w:trPr>
          <w:trHeight w:val="224" w:hRule="atLeast"/>
        </w:trPr>
        <w:tc>
          <w:tcPr>
            <w:tcW w:w="6487" w:type="dxa"/>
            <w:gridSpan w:val="5"/>
            <w:tcBorders>
              <w:bottom w:val="double" w:sz="6" w:space="0" w:color="000000"/>
            </w:tcBorders>
          </w:tcPr>
          <w:p>
            <w:pPr>
              <w:pStyle w:val="TableParagraph"/>
              <w:spacing w:line="205" w:lineRule="exact"/>
              <w:ind w:left="36"/>
              <w:rPr>
                <w:sz w:val="20"/>
              </w:rPr>
            </w:pPr>
            <w:r>
              <w:rPr>
                <w:sz w:val="20"/>
              </w:rPr>
              <w:t>Included</w:t>
            </w:r>
            <w:r>
              <w:rPr>
                <w:spacing w:val="-6"/>
                <w:sz w:val="20"/>
              </w:rPr>
              <w:t> </w:t>
            </w:r>
            <w:r>
              <w:rPr>
                <w:sz w:val="20"/>
              </w:rPr>
              <w:t>observations:</w:t>
            </w:r>
            <w:r>
              <w:rPr>
                <w:spacing w:val="-8"/>
                <w:sz w:val="20"/>
              </w:rPr>
              <w:t> </w:t>
            </w:r>
            <w:r>
              <w:rPr>
                <w:sz w:val="20"/>
              </w:rPr>
              <w:t>38</w:t>
            </w:r>
            <w:r>
              <w:rPr>
                <w:spacing w:val="-5"/>
                <w:sz w:val="20"/>
              </w:rPr>
              <w:t> </w:t>
            </w:r>
            <w:r>
              <w:rPr>
                <w:sz w:val="20"/>
              </w:rPr>
              <w:t>after</w:t>
            </w:r>
            <w:r>
              <w:rPr>
                <w:spacing w:val="-7"/>
                <w:sz w:val="20"/>
              </w:rPr>
              <w:t> </w:t>
            </w:r>
            <w:r>
              <w:rPr>
                <w:sz w:val="20"/>
              </w:rPr>
              <w:t>adjusting</w:t>
            </w:r>
            <w:r>
              <w:rPr>
                <w:spacing w:val="-7"/>
                <w:sz w:val="20"/>
              </w:rPr>
              <w:t> </w:t>
            </w:r>
            <w:r>
              <w:rPr>
                <w:spacing w:val="-2"/>
                <w:sz w:val="20"/>
              </w:rPr>
              <w:t>endpoints</w:t>
            </w:r>
          </w:p>
        </w:tc>
      </w:tr>
      <w:tr>
        <w:trPr>
          <w:trHeight w:val="269" w:hRule="atLeast"/>
        </w:trPr>
        <w:tc>
          <w:tcPr>
            <w:tcW w:w="1847" w:type="dxa"/>
            <w:tcBorders>
              <w:top w:val="double" w:sz="6" w:space="0" w:color="000000"/>
              <w:bottom w:val="double" w:sz="6" w:space="0" w:color="000000"/>
            </w:tcBorders>
          </w:tcPr>
          <w:p>
            <w:pPr>
              <w:pStyle w:val="TableParagraph"/>
              <w:spacing w:line="209" w:lineRule="exact" w:before="40"/>
              <w:ind w:left="677"/>
              <w:rPr>
                <w:sz w:val="20"/>
              </w:rPr>
            </w:pPr>
            <w:r>
              <w:rPr>
                <w:spacing w:val="-2"/>
                <w:sz w:val="20"/>
              </w:rPr>
              <w:t>Variable</w:t>
            </w:r>
          </w:p>
        </w:tc>
        <w:tc>
          <w:tcPr>
            <w:tcW w:w="1375" w:type="dxa"/>
            <w:tcBorders>
              <w:top w:val="double" w:sz="6" w:space="0" w:color="000000"/>
              <w:bottom w:val="double" w:sz="6" w:space="0" w:color="000000"/>
            </w:tcBorders>
          </w:tcPr>
          <w:p>
            <w:pPr>
              <w:pStyle w:val="TableParagraph"/>
              <w:spacing w:line="209" w:lineRule="exact" w:before="40"/>
              <w:ind w:right="131"/>
              <w:jc w:val="right"/>
              <w:rPr>
                <w:sz w:val="20"/>
              </w:rPr>
            </w:pPr>
            <w:r>
              <w:rPr>
                <w:spacing w:val="-2"/>
                <w:sz w:val="20"/>
              </w:rPr>
              <w:t>Coefficient</w:t>
            </w:r>
          </w:p>
        </w:tc>
        <w:tc>
          <w:tcPr>
            <w:tcW w:w="1432" w:type="dxa"/>
            <w:tcBorders>
              <w:top w:val="double" w:sz="6" w:space="0" w:color="000000"/>
              <w:bottom w:val="double" w:sz="6" w:space="0" w:color="000000"/>
            </w:tcBorders>
          </w:tcPr>
          <w:p>
            <w:pPr>
              <w:pStyle w:val="TableParagraph"/>
              <w:spacing w:line="209" w:lineRule="exact" w:before="40"/>
              <w:ind w:left="273"/>
              <w:rPr>
                <w:sz w:val="20"/>
              </w:rPr>
            </w:pPr>
            <w:r>
              <w:rPr>
                <w:sz w:val="20"/>
              </w:rPr>
              <w:t>Std.</w:t>
            </w:r>
            <w:r>
              <w:rPr>
                <w:spacing w:val="-3"/>
                <w:sz w:val="20"/>
              </w:rPr>
              <w:t> </w:t>
            </w:r>
            <w:r>
              <w:rPr>
                <w:spacing w:val="-2"/>
                <w:sz w:val="20"/>
              </w:rPr>
              <w:t>Error</w:t>
            </w:r>
          </w:p>
        </w:tc>
        <w:tc>
          <w:tcPr>
            <w:tcW w:w="904" w:type="dxa"/>
            <w:tcBorders>
              <w:top w:val="double" w:sz="6" w:space="0" w:color="000000"/>
              <w:bottom w:val="double" w:sz="6" w:space="0" w:color="000000"/>
            </w:tcBorders>
          </w:tcPr>
          <w:p>
            <w:pPr>
              <w:pStyle w:val="TableParagraph"/>
              <w:spacing w:line="209" w:lineRule="exact" w:before="40"/>
              <w:ind w:right="22"/>
              <w:jc w:val="center"/>
              <w:rPr>
                <w:sz w:val="20"/>
              </w:rPr>
            </w:pPr>
            <w:r>
              <w:rPr>
                <w:spacing w:val="-4"/>
                <w:sz w:val="20"/>
              </w:rPr>
              <w:t>t-</w:t>
            </w:r>
            <w:r>
              <w:rPr>
                <w:spacing w:val="-2"/>
                <w:sz w:val="20"/>
              </w:rPr>
              <w:t>Statistic</w:t>
            </w:r>
          </w:p>
        </w:tc>
        <w:tc>
          <w:tcPr>
            <w:tcW w:w="929" w:type="dxa"/>
            <w:tcBorders>
              <w:top w:val="double" w:sz="6" w:space="0" w:color="000000"/>
              <w:bottom w:val="double" w:sz="6" w:space="0" w:color="000000"/>
            </w:tcBorders>
          </w:tcPr>
          <w:p>
            <w:pPr>
              <w:pStyle w:val="TableParagraph"/>
              <w:spacing w:line="209" w:lineRule="exact" w:before="40"/>
              <w:ind w:right="28"/>
              <w:jc w:val="right"/>
              <w:rPr>
                <w:sz w:val="20"/>
              </w:rPr>
            </w:pPr>
            <w:r>
              <w:rPr>
                <w:spacing w:val="-2"/>
                <w:sz w:val="20"/>
              </w:rPr>
              <w:t>Prob.</w:t>
            </w:r>
          </w:p>
        </w:tc>
      </w:tr>
      <w:tr>
        <w:trPr>
          <w:trHeight w:val="276" w:hRule="atLeast"/>
        </w:trPr>
        <w:tc>
          <w:tcPr>
            <w:tcW w:w="1847" w:type="dxa"/>
            <w:tcBorders>
              <w:top w:val="double" w:sz="6" w:space="0" w:color="000000"/>
            </w:tcBorders>
          </w:tcPr>
          <w:p>
            <w:pPr>
              <w:pStyle w:val="TableParagraph"/>
              <w:spacing w:line="214" w:lineRule="exact" w:before="42"/>
              <w:ind w:left="497"/>
              <w:rPr>
                <w:sz w:val="20"/>
              </w:rPr>
            </w:pPr>
            <w:r>
              <w:rPr>
                <w:spacing w:val="-2"/>
                <w:sz w:val="20"/>
              </w:rPr>
              <w:t>D(DFI(-1),2)</w:t>
            </w:r>
          </w:p>
        </w:tc>
        <w:tc>
          <w:tcPr>
            <w:tcW w:w="1375" w:type="dxa"/>
            <w:tcBorders>
              <w:top w:val="double" w:sz="6" w:space="0" w:color="000000"/>
            </w:tcBorders>
          </w:tcPr>
          <w:p>
            <w:pPr>
              <w:pStyle w:val="TableParagraph"/>
              <w:spacing w:line="214" w:lineRule="exact" w:before="42"/>
              <w:ind w:right="128"/>
              <w:jc w:val="right"/>
              <w:rPr>
                <w:sz w:val="20"/>
              </w:rPr>
            </w:pPr>
            <w:r>
              <w:rPr>
                <w:spacing w:val="-4"/>
                <w:sz w:val="20"/>
              </w:rPr>
              <w:t>-</w:t>
            </w:r>
            <w:r>
              <w:rPr>
                <w:spacing w:val="-2"/>
                <w:sz w:val="20"/>
              </w:rPr>
              <w:t>2.299893</w:t>
            </w:r>
          </w:p>
        </w:tc>
        <w:tc>
          <w:tcPr>
            <w:tcW w:w="1432" w:type="dxa"/>
            <w:tcBorders>
              <w:top w:val="double" w:sz="6" w:space="0" w:color="000000"/>
            </w:tcBorders>
          </w:tcPr>
          <w:p>
            <w:pPr>
              <w:pStyle w:val="TableParagraph"/>
              <w:spacing w:line="214" w:lineRule="exact" w:before="42"/>
              <w:ind w:left="311"/>
              <w:rPr>
                <w:sz w:val="20"/>
              </w:rPr>
            </w:pPr>
            <w:r>
              <w:rPr>
                <w:spacing w:val="-2"/>
                <w:sz w:val="20"/>
              </w:rPr>
              <w:t>0.410049</w:t>
            </w:r>
          </w:p>
        </w:tc>
        <w:tc>
          <w:tcPr>
            <w:tcW w:w="904" w:type="dxa"/>
            <w:tcBorders>
              <w:top w:val="double" w:sz="6" w:space="0" w:color="000000"/>
            </w:tcBorders>
          </w:tcPr>
          <w:p>
            <w:pPr>
              <w:pStyle w:val="TableParagraph"/>
              <w:spacing w:line="214" w:lineRule="exact" w:before="42"/>
              <w:ind w:right="70"/>
              <w:jc w:val="center"/>
              <w:rPr>
                <w:sz w:val="20"/>
              </w:rPr>
            </w:pPr>
            <w:r>
              <w:rPr>
                <w:spacing w:val="-4"/>
                <w:sz w:val="20"/>
              </w:rPr>
              <w:t>-</w:t>
            </w:r>
            <w:r>
              <w:rPr>
                <w:spacing w:val="-2"/>
                <w:sz w:val="20"/>
              </w:rPr>
              <w:t>5.608828</w:t>
            </w:r>
          </w:p>
        </w:tc>
        <w:tc>
          <w:tcPr>
            <w:tcW w:w="929" w:type="dxa"/>
            <w:tcBorders>
              <w:top w:val="double" w:sz="6" w:space="0" w:color="000000"/>
            </w:tcBorders>
          </w:tcPr>
          <w:p>
            <w:pPr>
              <w:pStyle w:val="TableParagraph"/>
              <w:spacing w:line="214" w:lineRule="exact" w:before="42"/>
              <w:ind w:right="27"/>
              <w:jc w:val="right"/>
              <w:rPr>
                <w:sz w:val="20"/>
              </w:rPr>
            </w:pPr>
            <w:r>
              <w:rPr>
                <w:spacing w:val="-2"/>
                <w:sz w:val="20"/>
              </w:rPr>
              <w:t>0.0000</w:t>
            </w:r>
          </w:p>
        </w:tc>
      </w:tr>
      <w:tr>
        <w:trPr>
          <w:trHeight w:val="229" w:hRule="atLeast"/>
        </w:trPr>
        <w:tc>
          <w:tcPr>
            <w:tcW w:w="1847" w:type="dxa"/>
          </w:tcPr>
          <w:p>
            <w:pPr>
              <w:pStyle w:val="TableParagraph"/>
              <w:spacing w:line="209" w:lineRule="exact"/>
              <w:ind w:left="497"/>
              <w:rPr>
                <w:sz w:val="20"/>
              </w:rPr>
            </w:pPr>
            <w:r>
              <w:rPr>
                <w:spacing w:val="-2"/>
                <w:sz w:val="20"/>
              </w:rPr>
              <w:t>D(DFI(-1),3)</w:t>
            </w:r>
          </w:p>
        </w:tc>
        <w:tc>
          <w:tcPr>
            <w:tcW w:w="1375" w:type="dxa"/>
          </w:tcPr>
          <w:p>
            <w:pPr>
              <w:pStyle w:val="TableParagraph"/>
              <w:spacing w:line="209" w:lineRule="exact"/>
              <w:ind w:right="128"/>
              <w:jc w:val="right"/>
              <w:rPr>
                <w:sz w:val="20"/>
              </w:rPr>
            </w:pPr>
            <w:r>
              <w:rPr>
                <w:spacing w:val="-2"/>
                <w:sz w:val="20"/>
              </w:rPr>
              <w:t>0.369399</w:t>
            </w:r>
          </w:p>
        </w:tc>
        <w:tc>
          <w:tcPr>
            <w:tcW w:w="1432" w:type="dxa"/>
          </w:tcPr>
          <w:p>
            <w:pPr>
              <w:pStyle w:val="TableParagraph"/>
              <w:spacing w:line="209" w:lineRule="exact"/>
              <w:ind w:left="311"/>
              <w:rPr>
                <w:sz w:val="20"/>
              </w:rPr>
            </w:pPr>
            <w:r>
              <w:rPr>
                <w:spacing w:val="-2"/>
                <w:sz w:val="20"/>
              </w:rPr>
              <w:t>0.331103</w:t>
            </w:r>
          </w:p>
        </w:tc>
        <w:tc>
          <w:tcPr>
            <w:tcW w:w="904" w:type="dxa"/>
          </w:tcPr>
          <w:p>
            <w:pPr>
              <w:pStyle w:val="TableParagraph"/>
              <w:spacing w:line="209" w:lineRule="exact"/>
              <w:ind w:right="5"/>
              <w:jc w:val="center"/>
              <w:rPr>
                <w:sz w:val="20"/>
              </w:rPr>
            </w:pPr>
            <w:r>
              <w:rPr>
                <w:spacing w:val="-2"/>
                <w:sz w:val="20"/>
              </w:rPr>
              <w:t>1.115661</w:t>
            </w:r>
          </w:p>
        </w:tc>
        <w:tc>
          <w:tcPr>
            <w:tcW w:w="929" w:type="dxa"/>
          </w:tcPr>
          <w:p>
            <w:pPr>
              <w:pStyle w:val="TableParagraph"/>
              <w:spacing w:line="209" w:lineRule="exact"/>
              <w:ind w:right="27"/>
              <w:jc w:val="right"/>
              <w:rPr>
                <w:sz w:val="20"/>
              </w:rPr>
            </w:pPr>
            <w:r>
              <w:rPr>
                <w:spacing w:val="-2"/>
                <w:sz w:val="20"/>
              </w:rPr>
              <w:t>0.2722</w:t>
            </w:r>
          </w:p>
        </w:tc>
      </w:tr>
      <w:tr>
        <w:trPr>
          <w:trHeight w:val="224" w:hRule="atLeast"/>
        </w:trPr>
        <w:tc>
          <w:tcPr>
            <w:tcW w:w="1847" w:type="dxa"/>
            <w:tcBorders>
              <w:bottom w:val="double" w:sz="6" w:space="0" w:color="000000"/>
            </w:tcBorders>
          </w:tcPr>
          <w:p>
            <w:pPr>
              <w:pStyle w:val="TableParagraph"/>
              <w:spacing w:line="205" w:lineRule="exact"/>
              <w:ind w:left="197"/>
              <w:jc w:val="center"/>
              <w:rPr>
                <w:sz w:val="20"/>
              </w:rPr>
            </w:pPr>
            <w:r>
              <w:rPr>
                <w:spacing w:val="-10"/>
                <w:sz w:val="20"/>
              </w:rPr>
              <w:t>C</w:t>
            </w:r>
          </w:p>
        </w:tc>
        <w:tc>
          <w:tcPr>
            <w:tcW w:w="1375" w:type="dxa"/>
            <w:tcBorders>
              <w:bottom w:val="double" w:sz="6" w:space="0" w:color="000000"/>
            </w:tcBorders>
          </w:tcPr>
          <w:p>
            <w:pPr>
              <w:pStyle w:val="TableParagraph"/>
              <w:spacing w:line="205" w:lineRule="exact"/>
              <w:ind w:right="128"/>
              <w:jc w:val="right"/>
              <w:rPr>
                <w:sz w:val="20"/>
              </w:rPr>
            </w:pPr>
            <w:r>
              <w:rPr>
                <w:spacing w:val="-2"/>
                <w:sz w:val="20"/>
              </w:rPr>
              <w:t>0.069000</w:t>
            </w:r>
          </w:p>
        </w:tc>
        <w:tc>
          <w:tcPr>
            <w:tcW w:w="1432" w:type="dxa"/>
            <w:tcBorders>
              <w:bottom w:val="double" w:sz="6" w:space="0" w:color="000000"/>
            </w:tcBorders>
          </w:tcPr>
          <w:p>
            <w:pPr>
              <w:pStyle w:val="TableParagraph"/>
              <w:spacing w:line="205" w:lineRule="exact"/>
              <w:ind w:left="311"/>
              <w:rPr>
                <w:sz w:val="20"/>
              </w:rPr>
            </w:pPr>
            <w:r>
              <w:rPr>
                <w:spacing w:val="-2"/>
                <w:sz w:val="20"/>
              </w:rPr>
              <w:t>0.090345</w:t>
            </w:r>
          </w:p>
        </w:tc>
        <w:tc>
          <w:tcPr>
            <w:tcW w:w="904" w:type="dxa"/>
            <w:tcBorders>
              <w:bottom w:val="double" w:sz="6" w:space="0" w:color="000000"/>
            </w:tcBorders>
          </w:tcPr>
          <w:p>
            <w:pPr>
              <w:pStyle w:val="TableParagraph"/>
              <w:spacing w:line="205" w:lineRule="exact"/>
              <w:ind w:right="5"/>
              <w:jc w:val="center"/>
              <w:rPr>
                <w:sz w:val="20"/>
              </w:rPr>
            </w:pPr>
            <w:r>
              <w:rPr>
                <w:spacing w:val="-2"/>
                <w:sz w:val="20"/>
              </w:rPr>
              <w:t>0.763735</w:t>
            </w:r>
          </w:p>
        </w:tc>
        <w:tc>
          <w:tcPr>
            <w:tcW w:w="929" w:type="dxa"/>
            <w:tcBorders>
              <w:bottom w:val="double" w:sz="6" w:space="0" w:color="000000"/>
            </w:tcBorders>
          </w:tcPr>
          <w:p>
            <w:pPr>
              <w:pStyle w:val="TableParagraph"/>
              <w:spacing w:line="205" w:lineRule="exact"/>
              <w:ind w:right="27"/>
              <w:jc w:val="right"/>
              <w:rPr>
                <w:sz w:val="20"/>
              </w:rPr>
            </w:pPr>
            <w:r>
              <w:rPr>
                <w:spacing w:val="-2"/>
                <w:sz w:val="20"/>
              </w:rPr>
              <w:t>0.4501</w:t>
            </w:r>
          </w:p>
        </w:tc>
      </w:tr>
      <w:tr>
        <w:trPr>
          <w:trHeight w:val="276" w:hRule="atLeast"/>
        </w:trPr>
        <w:tc>
          <w:tcPr>
            <w:tcW w:w="1847" w:type="dxa"/>
            <w:tcBorders>
              <w:top w:val="double" w:sz="6" w:space="0" w:color="000000"/>
            </w:tcBorders>
          </w:tcPr>
          <w:p>
            <w:pPr>
              <w:pStyle w:val="TableParagraph"/>
              <w:spacing w:line="214" w:lineRule="exact" w:before="42"/>
              <w:ind w:left="36"/>
              <w:rPr>
                <w:sz w:val="20"/>
              </w:rPr>
            </w:pPr>
            <w:r>
              <w:rPr>
                <w:spacing w:val="-2"/>
                <w:sz w:val="20"/>
              </w:rPr>
              <w:t>R-squared</w:t>
            </w:r>
          </w:p>
        </w:tc>
        <w:tc>
          <w:tcPr>
            <w:tcW w:w="1375" w:type="dxa"/>
            <w:tcBorders>
              <w:top w:val="double" w:sz="6" w:space="0" w:color="000000"/>
            </w:tcBorders>
          </w:tcPr>
          <w:p>
            <w:pPr>
              <w:pStyle w:val="TableParagraph"/>
              <w:spacing w:line="214" w:lineRule="exact" w:before="42"/>
              <w:ind w:right="128"/>
              <w:jc w:val="right"/>
              <w:rPr>
                <w:sz w:val="20"/>
              </w:rPr>
            </w:pPr>
            <w:r>
              <w:rPr>
                <w:spacing w:val="-2"/>
                <w:sz w:val="20"/>
              </w:rPr>
              <w:t>0.791471</w:t>
            </w:r>
          </w:p>
        </w:tc>
        <w:tc>
          <w:tcPr>
            <w:tcW w:w="2336" w:type="dxa"/>
            <w:gridSpan w:val="2"/>
            <w:tcBorders>
              <w:top w:val="double" w:sz="6" w:space="0" w:color="000000"/>
            </w:tcBorders>
          </w:tcPr>
          <w:p>
            <w:pPr>
              <w:pStyle w:val="TableParagraph"/>
              <w:spacing w:line="214" w:lineRule="exact" w:before="42"/>
              <w:ind w:left="131"/>
              <w:rPr>
                <w:sz w:val="20"/>
              </w:rPr>
            </w:pPr>
            <w:r>
              <w:rPr>
                <w:sz w:val="20"/>
              </w:rPr>
              <w:t>Mean</w:t>
            </w:r>
            <w:r>
              <w:rPr>
                <w:spacing w:val="-7"/>
                <w:sz w:val="20"/>
              </w:rPr>
              <w:t> </w:t>
            </w:r>
            <w:r>
              <w:rPr>
                <w:sz w:val="20"/>
              </w:rPr>
              <w:t>dependent</w:t>
            </w:r>
            <w:r>
              <w:rPr>
                <w:spacing w:val="-7"/>
                <w:sz w:val="20"/>
              </w:rPr>
              <w:t> </w:t>
            </w:r>
            <w:r>
              <w:rPr>
                <w:spacing w:val="-5"/>
                <w:sz w:val="20"/>
              </w:rPr>
              <w:t>var</w:t>
            </w:r>
          </w:p>
        </w:tc>
        <w:tc>
          <w:tcPr>
            <w:tcW w:w="929" w:type="dxa"/>
            <w:tcBorders>
              <w:top w:val="double" w:sz="6" w:space="0" w:color="000000"/>
            </w:tcBorders>
          </w:tcPr>
          <w:p>
            <w:pPr>
              <w:pStyle w:val="TableParagraph"/>
              <w:spacing w:line="214" w:lineRule="exact" w:before="42"/>
              <w:ind w:right="27"/>
              <w:jc w:val="right"/>
              <w:rPr>
                <w:sz w:val="20"/>
              </w:rPr>
            </w:pPr>
            <w:r>
              <w:rPr>
                <w:spacing w:val="-4"/>
                <w:sz w:val="20"/>
              </w:rPr>
              <w:t>-</w:t>
            </w:r>
            <w:r>
              <w:rPr>
                <w:spacing w:val="-2"/>
                <w:sz w:val="20"/>
              </w:rPr>
              <w:t>0.074215</w:t>
            </w:r>
          </w:p>
        </w:tc>
      </w:tr>
      <w:tr>
        <w:trPr>
          <w:trHeight w:val="229" w:hRule="atLeast"/>
        </w:trPr>
        <w:tc>
          <w:tcPr>
            <w:tcW w:w="1847" w:type="dxa"/>
          </w:tcPr>
          <w:p>
            <w:pPr>
              <w:pStyle w:val="TableParagraph"/>
              <w:spacing w:line="209" w:lineRule="exact"/>
              <w:ind w:left="36"/>
              <w:rPr>
                <w:sz w:val="20"/>
              </w:rPr>
            </w:pPr>
            <w:r>
              <w:rPr>
                <w:sz w:val="20"/>
              </w:rPr>
              <w:t>Adjusted</w:t>
            </w:r>
            <w:r>
              <w:rPr>
                <w:spacing w:val="-10"/>
                <w:sz w:val="20"/>
              </w:rPr>
              <w:t> </w:t>
            </w:r>
            <w:r>
              <w:rPr>
                <w:sz w:val="20"/>
              </w:rPr>
              <w:t>R-</w:t>
            </w:r>
            <w:r>
              <w:rPr>
                <w:spacing w:val="-2"/>
                <w:sz w:val="20"/>
              </w:rPr>
              <w:t>squared</w:t>
            </w:r>
          </w:p>
        </w:tc>
        <w:tc>
          <w:tcPr>
            <w:tcW w:w="1375" w:type="dxa"/>
          </w:tcPr>
          <w:p>
            <w:pPr>
              <w:pStyle w:val="TableParagraph"/>
              <w:spacing w:line="209" w:lineRule="exact"/>
              <w:ind w:right="128"/>
              <w:jc w:val="right"/>
              <w:rPr>
                <w:sz w:val="20"/>
              </w:rPr>
            </w:pPr>
            <w:r>
              <w:rPr>
                <w:spacing w:val="-2"/>
                <w:sz w:val="20"/>
              </w:rPr>
              <w:t>0.779556</w:t>
            </w:r>
          </w:p>
        </w:tc>
        <w:tc>
          <w:tcPr>
            <w:tcW w:w="2336" w:type="dxa"/>
            <w:gridSpan w:val="2"/>
          </w:tcPr>
          <w:p>
            <w:pPr>
              <w:pStyle w:val="TableParagraph"/>
              <w:spacing w:line="209" w:lineRule="exact"/>
              <w:ind w:left="131"/>
              <w:rPr>
                <w:sz w:val="20"/>
              </w:rPr>
            </w:pPr>
            <w:r>
              <w:rPr>
                <w:sz w:val="20"/>
              </w:rPr>
              <w:t>S.D.</w:t>
            </w:r>
            <w:r>
              <w:rPr>
                <w:spacing w:val="-5"/>
                <w:sz w:val="20"/>
              </w:rPr>
              <w:t> </w:t>
            </w:r>
            <w:r>
              <w:rPr>
                <w:sz w:val="20"/>
              </w:rPr>
              <w:t>dependent</w:t>
            </w:r>
            <w:r>
              <w:rPr>
                <w:spacing w:val="-6"/>
                <w:sz w:val="20"/>
              </w:rPr>
              <w:t> </w:t>
            </w:r>
            <w:r>
              <w:rPr>
                <w:spacing w:val="-5"/>
                <w:sz w:val="20"/>
              </w:rPr>
              <w:t>var</w:t>
            </w:r>
          </w:p>
        </w:tc>
        <w:tc>
          <w:tcPr>
            <w:tcW w:w="929" w:type="dxa"/>
          </w:tcPr>
          <w:p>
            <w:pPr>
              <w:pStyle w:val="TableParagraph"/>
              <w:spacing w:line="209" w:lineRule="exact"/>
              <w:ind w:right="27"/>
              <w:jc w:val="right"/>
              <w:rPr>
                <w:sz w:val="20"/>
              </w:rPr>
            </w:pPr>
            <w:r>
              <w:rPr>
                <w:spacing w:val="-2"/>
                <w:sz w:val="20"/>
              </w:rPr>
              <w:t>1.174875</w:t>
            </w:r>
          </w:p>
        </w:tc>
      </w:tr>
      <w:tr>
        <w:trPr>
          <w:trHeight w:val="230" w:hRule="atLeast"/>
        </w:trPr>
        <w:tc>
          <w:tcPr>
            <w:tcW w:w="1847" w:type="dxa"/>
          </w:tcPr>
          <w:p>
            <w:pPr>
              <w:pStyle w:val="TableParagraph"/>
              <w:spacing w:line="210" w:lineRule="exact"/>
              <w:ind w:left="36"/>
              <w:rPr>
                <w:sz w:val="20"/>
              </w:rPr>
            </w:pPr>
            <w:r>
              <w:rPr>
                <w:sz w:val="20"/>
              </w:rPr>
              <w:t>S.E.</w:t>
            </w:r>
            <w:r>
              <w:rPr>
                <w:spacing w:val="-3"/>
                <w:sz w:val="20"/>
              </w:rPr>
              <w:t> </w:t>
            </w:r>
            <w:r>
              <w:rPr>
                <w:sz w:val="20"/>
              </w:rPr>
              <w:t>of</w:t>
            </w:r>
            <w:r>
              <w:rPr>
                <w:spacing w:val="-3"/>
                <w:sz w:val="20"/>
              </w:rPr>
              <w:t> </w:t>
            </w:r>
            <w:r>
              <w:rPr>
                <w:spacing w:val="-2"/>
                <w:sz w:val="20"/>
              </w:rPr>
              <w:t>regression</w:t>
            </w:r>
          </w:p>
        </w:tc>
        <w:tc>
          <w:tcPr>
            <w:tcW w:w="1375" w:type="dxa"/>
          </w:tcPr>
          <w:p>
            <w:pPr>
              <w:pStyle w:val="TableParagraph"/>
              <w:spacing w:line="210" w:lineRule="exact"/>
              <w:ind w:right="128"/>
              <w:jc w:val="right"/>
              <w:rPr>
                <w:sz w:val="20"/>
              </w:rPr>
            </w:pPr>
            <w:r>
              <w:rPr>
                <w:spacing w:val="-2"/>
                <w:sz w:val="20"/>
              </w:rPr>
              <w:t>0.551622</w:t>
            </w:r>
          </w:p>
        </w:tc>
        <w:tc>
          <w:tcPr>
            <w:tcW w:w="2336" w:type="dxa"/>
            <w:gridSpan w:val="2"/>
          </w:tcPr>
          <w:p>
            <w:pPr>
              <w:pStyle w:val="TableParagraph"/>
              <w:spacing w:line="210" w:lineRule="exact"/>
              <w:ind w:left="131"/>
              <w:rPr>
                <w:sz w:val="20"/>
              </w:rPr>
            </w:pPr>
            <w:r>
              <w:rPr>
                <w:sz w:val="20"/>
              </w:rPr>
              <w:t>Akaike</w:t>
            </w:r>
            <w:r>
              <w:rPr>
                <w:spacing w:val="-8"/>
                <w:sz w:val="20"/>
              </w:rPr>
              <w:t> </w:t>
            </w:r>
            <w:r>
              <w:rPr>
                <w:sz w:val="20"/>
              </w:rPr>
              <w:t>info</w:t>
            </w:r>
            <w:r>
              <w:rPr>
                <w:spacing w:val="-7"/>
                <w:sz w:val="20"/>
              </w:rPr>
              <w:t> </w:t>
            </w:r>
            <w:r>
              <w:rPr>
                <w:spacing w:val="-2"/>
                <w:sz w:val="20"/>
              </w:rPr>
              <w:t>criterion</w:t>
            </w:r>
          </w:p>
        </w:tc>
        <w:tc>
          <w:tcPr>
            <w:tcW w:w="929" w:type="dxa"/>
          </w:tcPr>
          <w:p>
            <w:pPr>
              <w:pStyle w:val="TableParagraph"/>
              <w:spacing w:line="210" w:lineRule="exact"/>
              <w:ind w:right="27"/>
              <w:jc w:val="right"/>
              <w:rPr>
                <w:sz w:val="20"/>
              </w:rPr>
            </w:pPr>
            <w:r>
              <w:rPr>
                <w:spacing w:val="-2"/>
                <w:sz w:val="20"/>
              </w:rPr>
              <w:t>1.723748</w:t>
            </w:r>
          </w:p>
        </w:tc>
      </w:tr>
      <w:tr>
        <w:trPr>
          <w:trHeight w:val="230" w:hRule="atLeast"/>
        </w:trPr>
        <w:tc>
          <w:tcPr>
            <w:tcW w:w="1847" w:type="dxa"/>
          </w:tcPr>
          <w:p>
            <w:pPr>
              <w:pStyle w:val="TableParagraph"/>
              <w:spacing w:line="210" w:lineRule="exact"/>
              <w:ind w:left="36"/>
              <w:rPr>
                <w:sz w:val="20"/>
              </w:rPr>
            </w:pPr>
            <w:r>
              <w:rPr>
                <w:sz w:val="20"/>
              </w:rPr>
              <w:t>Sum</w:t>
            </w:r>
            <w:r>
              <w:rPr>
                <w:spacing w:val="-8"/>
                <w:sz w:val="20"/>
              </w:rPr>
              <w:t> </w:t>
            </w:r>
            <w:r>
              <w:rPr>
                <w:sz w:val="20"/>
              </w:rPr>
              <w:t>squared</w:t>
            </w:r>
            <w:r>
              <w:rPr>
                <w:spacing w:val="-4"/>
                <w:sz w:val="20"/>
              </w:rPr>
              <w:t> </w:t>
            </w:r>
            <w:r>
              <w:rPr>
                <w:spacing w:val="-2"/>
                <w:sz w:val="20"/>
              </w:rPr>
              <w:t>resid</w:t>
            </w:r>
          </w:p>
        </w:tc>
        <w:tc>
          <w:tcPr>
            <w:tcW w:w="1375" w:type="dxa"/>
          </w:tcPr>
          <w:p>
            <w:pPr>
              <w:pStyle w:val="TableParagraph"/>
              <w:spacing w:line="210" w:lineRule="exact"/>
              <w:ind w:right="128"/>
              <w:jc w:val="right"/>
              <w:rPr>
                <w:sz w:val="20"/>
              </w:rPr>
            </w:pPr>
            <w:r>
              <w:rPr>
                <w:spacing w:val="-2"/>
                <w:sz w:val="20"/>
              </w:rPr>
              <w:t>10.65002</w:t>
            </w:r>
          </w:p>
        </w:tc>
        <w:tc>
          <w:tcPr>
            <w:tcW w:w="2336" w:type="dxa"/>
            <w:gridSpan w:val="2"/>
          </w:tcPr>
          <w:p>
            <w:pPr>
              <w:pStyle w:val="TableParagraph"/>
              <w:spacing w:line="210" w:lineRule="exact"/>
              <w:ind w:left="131"/>
              <w:rPr>
                <w:sz w:val="20"/>
              </w:rPr>
            </w:pPr>
            <w:r>
              <w:rPr>
                <w:sz w:val="20"/>
              </w:rPr>
              <w:t>Schwarz</w:t>
            </w:r>
            <w:r>
              <w:rPr>
                <w:spacing w:val="-8"/>
                <w:sz w:val="20"/>
              </w:rPr>
              <w:t> </w:t>
            </w:r>
            <w:r>
              <w:rPr>
                <w:spacing w:val="-2"/>
                <w:sz w:val="20"/>
              </w:rPr>
              <w:t>criterion</w:t>
            </w:r>
          </w:p>
        </w:tc>
        <w:tc>
          <w:tcPr>
            <w:tcW w:w="929" w:type="dxa"/>
          </w:tcPr>
          <w:p>
            <w:pPr>
              <w:pStyle w:val="TableParagraph"/>
              <w:spacing w:line="210" w:lineRule="exact"/>
              <w:ind w:right="27"/>
              <w:jc w:val="right"/>
              <w:rPr>
                <w:sz w:val="20"/>
              </w:rPr>
            </w:pPr>
            <w:r>
              <w:rPr>
                <w:spacing w:val="-2"/>
                <w:sz w:val="20"/>
              </w:rPr>
              <w:t>1.853031</w:t>
            </w:r>
          </w:p>
        </w:tc>
      </w:tr>
      <w:tr>
        <w:trPr>
          <w:trHeight w:val="230" w:hRule="atLeast"/>
        </w:trPr>
        <w:tc>
          <w:tcPr>
            <w:tcW w:w="1847" w:type="dxa"/>
          </w:tcPr>
          <w:p>
            <w:pPr>
              <w:pStyle w:val="TableParagraph"/>
              <w:spacing w:line="210" w:lineRule="exact"/>
              <w:ind w:left="36"/>
              <w:rPr>
                <w:sz w:val="20"/>
              </w:rPr>
            </w:pPr>
            <w:r>
              <w:rPr>
                <w:sz w:val="20"/>
              </w:rPr>
              <w:t>Log</w:t>
            </w:r>
            <w:r>
              <w:rPr>
                <w:spacing w:val="-6"/>
                <w:sz w:val="20"/>
              </w:rPr>
              <w:t> </w:t>
            </w:r>
            <w:r>
              <w:rPr>
                <w:spacing w:val="-2"/>
                <w:sz w:val="20"/>
              </w:rPr>
              <w:t>likelihood</w:t>
            </w:r>
          </w:p>
        </w:tc>
        <w:tc>
          <w:tcPr>
            <w:tcW w:w="1375" w:type="dxa"/>
          </w:tcPr>
          <w:p>
            <w:pPr>
              <w:pStyle w:val="TableParagraph"/>
              <w:spacing w:line="210" w:lineRule="exact"/>
              <w:ind w:right="128"/>
              <w:jc w:val="right"/>
              <w:rPr>
                <w:sz w:val="20"/>
              </w:rPr>
            </w:pPr>
            <w:r>
              <w:rPr>
                <w:spacing w:val="-4"/>
                <w:sz w:val="20"/>
              </w:rPr>
              <w:t>-</w:t>
            </w:r>
            <w:r>
              <w:rPr>
                <w:spacing w:val="-2"/>
                <w:sz w:val="20"/>
              </w:rPr>
              <w:t>29.75120</w:t>
            </w:r>
          </w:p>
        </w:tc>
        <w:tc>
          <w:tcPr>
            <w:tcW w:w="1432" w:type="dxa"/>
          </w:tcPr>
          <w:p>
            <w:pPr>
              <w:pStyle w:val="TableParagraph"/>
              <w:spacing w:line="210" w:lineRule="exact"/>
              <w:ind w:left="131"/>
              <w:rPr>
                <w:sz w:val="20"/>
              </w:rPr>
            </w:pPr>
            <w:r>
              <w:rPr>
                <w:spacing w:val="-4"/>
                <w:sz w:val="20"/>
              </w:rPr>
              <w:t>F-</w:t>
            </w:r>
            <w:r>
              <w:rPr>
                <w:spacing w:val="-2"/>
                <w:sz w:val="20"/>
              </w:rPr>
              <w:t>statistic</w:t>
            </w:r>
          </w:p>
        </w:tc>
        <w:tc>
          <w:tcPr>
            <w:tcW w:w="904" w:type="dxa"/>
          </w:tcPr>
          <w:p>
            <w:pPr>
              <w:pStyle w:val="TableParagraph"/>
              <w:rPr>
                <w:sz w:val="16"/>
              </w:rPr>
            </w:pPr>
          </w:p>
        </w:tc>
        <w:tc>
          <w:tcPr>
            <w:tcW w:w="929" w:type="dxa"/>
          </w:tcPr>
          <w:p>
            <w:pPr>
              <w:pStyle w:val="TableParagraph"/>
              <w:spacing w:line="210" w:lineRule="exact"/>
              <w:ind w:right="27"/>
              <w:jc w:val="right"/>
              <w:rPr>
                <w:sz w:val="20"/>
              </w:rPr>
            </w:pPr>
            <w:r>
              <w:rPr>
                <w:spacing w:val="-2"/>
                <w:sz w:val="20"/>
              </w:rPr>
              <w:t>66.42138</w:t>
            </w:r>
          </w:p>
        </w:tc>
      </w:tr>
      <w:tr>
        <w:trPr>
          <w:trHeight w:val="265" w:hRule="atLeast"/>
        </w:trPr>
        <w:tc>
          <w:tcPr>
            <w:tcW w:w="1847" w:type="dxa"/>
            <w:tcBorders>
              <w:bottom w:val="double" w:sz="6" w:space="0" w:color="000000"/>
            </w:tcBorders>
          </w:tcPr>
          <w:p>
            <w:pPr>
              <w:pStyle w:val="TableParagraph"/>
              <w:spacing w:line="226" w:lineRule="exact"/>
              <w:ind w:left="36"/>
              <w:rPr>
                <w:sz w:val="20"/>
              </w:rPr>
            </w:pPr>
            <w:r>
              <w:rPr>
                <w:sz w:val="20"/>
              </w:rPr>
              <w:t>Durbin-Watson</w:t>
            </w:r>
            <w:r>
              <w:rPr>
                <w:spacing w:val="-12"/>
                <w:sz w:val="20"/>
              </w:rPr>
              <w:t> </w:t>
            </w:r>
            <w:r>
              <w:rPr>
                <w:spacing w:val="-4"/>
                <w:sz w:val="20"/>
              </w:rPr>
              <w:t>stat</w:t>
            </w:r>
          </w:p>
        </w:tc>
        <w:tc>
          <w:tcPr>
            <w:tcW w:w="1375" w:type="dxa"/>
          </w:tcPr>
          <w:p>
            <w:pPr>
              <w:pStyle w:val="TableParagraph"/>
              <w:spacing w:line="226" w:lineRule="exact"/>
              <w:ind w:right="128"/>
              <w:jc w:val="right"/>
              <w:rPr>
                <w:sz w:val="20"/>
              </w:rPr>
            </w:pPr>
            <w:r>
              <w:rPr>
                <w:spacing w:val="-2"/>
                <w:sz w:val="20"/>
              </w:rPr>
              <w:t>2.013554</w:t>
            </w:r>
          </w:p>
        </w:tc>
        <w:tc>
          <w:tcPr>
            <w:tcW w:w="1432" w:type="dxa"/>
            <w:tcBorders>
              <w:bottom w:val="double" w:sz="6" w:space="0" w:color="000000"/>
            </w:tcBorders>
          </w:tcPr>
          <w:p>
            <w:pPr>
              <w:pStyle w:val="TableParagraph"/>
              <w:spacing w:line="226" w:lineRule="exact"/>
              <w:ind w:left="131"/>
              <w:rPr>
                <w:sz w:val="20"/>
              </w:rPr>
            </w:pPr>
            <w:r>
              <w:rPr>
                <w:spacing w:val="-2"/>
                <w:sz w:val="20"/>
              </w:rPr>
              <w:t>Prob(F-statistic)</w:t>
            </w:r>
          </w:p>
        </w:tc>
        <w:tc>
          <w:tcPr>
            <w:tcW w:w="904" w:type="dxa"/>
            <w:tcBorders>
              <w:bottom w:val="double" w:sz="6" w:space="0" w:color="000000"/>
            </w:tcBorders>
          </w:tcPr>
          <w:p>
            <w:pPr>
              <w:pStyle w:val="TableParagraph"/>
              <w:rPr>
                <w:sz w:val="18"/>
              </w:rPr>
            </w:pPr>
          </w:p>
        </w:tc>
        <w:tc>
          <w:tcPr>
            <w:tcW w:w="929" w:type="dxa"/>
            <w:tcBorders>
              <w:bottom w:val="double" w:sz="6" w:space="0" w:color="000000"/>
            </w:tcBorders>
          </w:tcPr>
          <w:p>
            <w:pPr>
              <w:pStyle w:val="TableParagraph"/>
              <w:spacing w:line="226" w:lineRule="exact"/>
              <w:ind w:right="27"/>
              <w:jc w:val="right"/>
              <w:rPr>
                <w:sz w:val="20"/>
              </w:rPr>
            </w:pPr>
            <w:r>
              <w:rPr>
                <w:spacing w:val="-2"/>
                <w:sz w:val="20"/>
              </w:rPr>
              <w:t>0.000000</w:t>
            </w:r>
          </w:p>
        </w:tc>
      </w:tr>
    </w:tbl>
    <w:p>
      <w:pPr>
        <w:pStyle w:val="BodyText"/>
        <w:spacing w:before="16"/>
        <w:rPr>
          <w:sz w:val="20"/>
        </w:rPr>
      </w:pPr>
    </w:p>
    <w:p>
      <w:pPr>
        <w:spacing w:before="0" w:after="2"/>
        <w:ind w:left="711" w:right="0" w:firstLine="0"/>
        <w:jc w:val="left"/>
        <w:rPr>
          <w:sz w:val="20"/>
        </w:rPr>
      </w:pPr>
      <w:r>
        <w:rPr>
          <w:sz w:val="20"/>
        </w:rPr>
        <w:t>CAB</w:t>
      </w:r>
      <w:r>
        <w:rPr>
          <w:spacing w:val="-3"/>
          <w:sz w:val="20"/>
        </w:rPr>
        <w:t> </w:t>
      </w:r>
      <w:r>
        <w:rPr>
          <w:sz w:val="20"/>
        </w:rPr>
        <w:t>@</w:t>
      </w:r>
      <w:r>
        <w:rPr>
          <w:spacing w:val="-3"/>
          <w:sz w:val="20"/>
        </w:rPr>
        <w:t> </w:t>
      </w:r>
      <w:r>
        <w:rPr>
          <w:spacing w:val="-2"/>
          <w:sz w:val="20"/>
        </w:rPr>
        <w:t>LEVEL</w:t>
      </w:r>
    </w:p>
    <w:tbl>
      <w:tblPr>
        <w:tblW w:w="0" w:type="auto"/>
        <w:jc w:val="left"/>
        <w:tblInd w:w="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47"/>
        <w:gridCol w:w="1375"/>
        <w:gridCol w:w="1432"/>
        <w:gridCol w:w="936"/>
        <w:gridCol w:w="896"/>
      </w:tblGrid>
      <w:tr>
        <w:trPr>
          <w:trHeight w:val="224" w:hRule="atLeast"/>
        </w:trPr>
        <w:tc>
          <w:tcPr>
            <w:tcW w:w="1847" w:type="dxa"/>
          </w:tcPr>
          <w:p>
            <w:pPr>
              <w:pStyle w:val="TableParagraph"/>
              <w:spacing w:line="204" w:lineRule="exact"/>
              <w:ind w:left="36"/>
              <w:rPr>
                <w:sz w:val="20"/>
              </w:rPr>
            </w:pPr>
            <w:r>
              <w:rPr>
                <w:sz w:val="20"/>
              </w:rPr>
              <w:t>ADF</w:t>
            </w:r>
            <w:r>
              <w:rPr>
                <w:spacing w:val="-4"/>
                <w:sz w:val="20"/>
              </w:rPr>
              <w:t> </w:t>
            </w:r>
            <w:r>
              <w:rPr>
                <w:sz w:val="20"/>
              </w:rPr>
              <w:t>Test</w:t>
            </w:r>
            <w:r>
              <w:rPr>
                <w:spacing w:val="-4"/>
                <w:sz w:val="20"/>
              </w:rPr>
              <w:t> </w:t>
            </w:r>
            <w:r>
              <w:rPr>
                <w:spacing w:val="-2"/>
                <w:sz w:val="20"/>
              </w:rPr>
              <w:t>Statistic</w:t>
            </w:r>
          </w:p>
        </w:tc>
        <w:tc>
          <w:tcPr>
            <w:tcW w:w="1375" w:type="dxa"/>
          </w:tcPr>
          <w:p>
            <w:pPr>
              <w:pStyle w:val="TableParagraph"/>
              <w:spacing w:line="204" w:lineRule="exact"/>
              <w:ind w:left="219"/>
              <w:rPr>
                <w:sz w:val="20"/>
              </w:rPr>
            </w:pPr>
            <w:r>
              <w:rPr>
                <w:spacing w:val="-4"/>
                <w:sz w:val="20"/>
              </w:rPr>
              <w:t>-</w:t>
            </w:r>
            <w:r>
              <w:rPr>
                <w:spacing w:val="-2"/>
                <w:sz w:val="20"/>
              </w:rPr>
              <w:t>1.087397</w:t>
            </w:r>
          </w:p>
        </w:tc>
        <w:tc>
          <w:tcPr>
            <w:tcW w:w="2368" w:type="dxa"/>
            <w:gridSpan w:val="2"/>
          </w:tcPr>
          <w:p>
            <w:pPr>
              <w:pStyle w:val="TableParagraph"/>
              <w:spacing w:line="204" w:lineRule="exact"/>
              <w:ind w:left="131"/>
              <w:rPr>
                <w:sz w:val="20"/>
              </w:rPr>
            </w:pPr>
            <w:r>
              <w:rPr>
                <w:sz w:val="20"/>
              </w:rPr>
              <w:t>1%</w:t>
            </w:r>
            <w:r>
              <w:rPr>
                <w:spacing w:val="68"/>
                <w:w w:val="150"/>
                <w:sz w:val="20"/>
              </w:rPr>
              <w:t> </w:t>
            </w:r>
            <w:r>
              <w:rPr>
                <w:sz w:val="20"/>
              </w:rPr>
              <w:t>Critical</w:t>
            </w:r>
            <w:r>
              <w:rPr>
                <w:spacing w:val="-2"/>
                <w:sz w:val="20"/>
              </w:rPr>
              <w:t> Value*</w:t>
            </w:r>
          </w:p>
        </w:tc>
        <w:tc>
          <w:tcPr>
            <w:tcW w:w="896" w:type="dxa"/>
          </w:tcPr>
          <w:p>
            <w:pPr>
              <w:pStyle w:val="TableParagraph"/>
              <w:spacing w:line="204" w:lineRule="exact"/>
              <w:ind w:right="26"/>
              <w:jc w:val="right"/>
              <w:rPr>
                <w:sz w:val="20"/>
              </w:rPr>
            </w:pPr>
            <w:r>
              <w:rPr>
                <w:spacing w:val="-4"/>
                <w:sz w:val="20"/>
              </w:rPr>
              <w:t>-</w:t>
            </w:r>
            <w:r>
              <w:rPr>
                <w:spacing w:val="-2"/>
                <w:sz w:val="20"/>
              </w:rPr>
              <w:t>3.6019</w:t>
            </w:r>
          </w:p>
        </w:tc>
      </w:tr>
      <w:tr>
        <w:trPr>
          <w:trHeight w:val="229" w:hRule="atLeast"/>
        </w:trPr>
        <w:tc>
          <w:tcPr>
            <w:tcW w:w="1847" w:type="dxa"/>
          </w:tcPr>
          <w:p>
            <w:pPr>
              <w:pStyle w:val="TableParagraph"/>
              <w:rPr>
                <w:sz w:val="16"/>
              </w:rPr>
            </w:pPr>
          </w:p>
        </w:tc>
        <w:tc>
          <w:tcPr>
            <w:tcW w:w="1375" w:type="dxa"/>
          </w:tcPr>
          <w:p>
            <w:pPr>
              <w:pStyle w:val="TableParagraph"/>
              <w:rPr>
                <w:sz w:val="16"/>
              </w:rPr>
            </w:pPr>
          </w:p>
        </w:tc>
        <w:tc>
          <w:tcPr>
            <w:tcW w:w="2368" w:type="dxa"/>
            <w:gridSpan w:val="2"/>
          </w:tcPr>
          <w:p>
            <w:pPr>
              <w:pStyle w:val="TableParagraph"/>
              <w:spacing w:line="209" w:lineRule="exact"/>
              <w:ind w:left="131"/>
              <w:rPr>
                <w:sz w:val="20"/>
              </w:rPr>
            </w:pPr>
            <w:r>
              <w:rPr>
                <w:sz w:val="20"/>
              </w:rPr>
              <w:t>5%</w:t>
            </w:r>
            <w:r>
              <w:rPr>
                <w:spacing w:val="68"/>
                <w:w w:val="150"/>
                <w:sz w:val="20"/>
              </w:rPr>
              <w:t> </w:t>
            </w:r>
            <w:r>
              <w:rPr>
                <w:sz w:val="20"/>
              </w:rPr>
              <w:t>Critical</w:t>
            </w:r>
            <w:r>
              <w:rPr>
                <w:spacing w:val="-2"/>
                <w:sz w:val="20"/>
              </w:rPr>
              <w:t> </w:t>
            </w:r>
            <w:r>
              <w:rPr>
                <w:spacing w:val="-4"/>
                <w:sz w:val="20"/>
              </w:rPr>
              <w:t>Value</w:t>
            </w:r>
          </w:p>
        </w:tc>
        <w:tc>
          <w:tcPr>
            <w:tcW w:w="896" w:type="dxa"/>
          </w:tcPr>
          <w:p>
            <w:pPr>
              <w:pStyle w:val="TableParagraph"/>
              <w:spacing w:line="209" w:lineRule="exact"/>
              <w:ind w:right="26"/>
              <w:jc w:val="right"/>
              <w:rPr>
                <w:sz w:val="20"/>
              </w:rPr>
            </w:pPr>
            <w:r>
              <w:rPr>
                <w:spacing w:val="-4"/>
                <w:sz w:val="20"/>
              </w:rPr>
              <w:t>-</w:t>
            </w:r>
            <w:r>
              <w:rPr>
                <w:spacing w:val="-2"/>
                <w:sz w:val="20"/>
              </w:rPr>
              <w:t>2.9358</w:t>
            </w:r>
          </w:p>
        </w:tc>
      </w:tr>
      <w:tr>
        <w:trPr>
          <w:trHeight w:val="224" w:hRule="atLeast"/>
        </w:trPr>
        <w:tc>
          <w:tcPr>
            <w:tcW w:w="1847" w:type="dxa"/>
            <w:tcBorders>
              <w:bottom w:val="double" w:sz="6" w:space="0" w:color="000000"/>
            </w:tcBorders>
          </w:tcPr>
          <w:p>
            <w:pPr>
              <w:pStyle w:val="TableParagraph"/>
              <w:rPr>
                <w:sz w:val="16"/>
              </w:rPr>
            </w:pPr>
          </w:p>
        </w:tc>
        <w:tc>
          <w:tcPr>
            <w:tcW w:w="1375" w:type="dxa"/>
            <w:tcBorders>
              <w:bottom w:val="double" w:sz="6" w:space="0" w:color="000000"/>
            </w:tcBorders>
          </w:tcPr>
          <w:p>
            <w:pPr>
              <w:pStyle w:val="TableParagraph"/>
              <w:rPr>
                <w:sz w:val="16"/>
              </w:rPr>
            </w:pPr>
          </w:p>
        </w:tc>
        <w:tc>
          <w:tcPr>
            <w:tcW w:w="2368" w:type="dxa"/>
            <w:gridSpan w:val="2"/>
            <w:tcBorders>
              <w:bottom w:val="double" w:sz="6" w:space="0" w:color="000000"/>
            </w:tcBorders>
          </w:tcPr>
          <w:p>
            <w:pPr>
              <w:pStyle w:val="TableParagraph"/>
              <w:spacing w:line="205" w:lineRule="exact"/>
              <w:ind w:left="131"/>
              <w:rPr>
                <w:sz w:val="20"/>
              </w:rPr>
            </w:pPr>
            <w:r>
              <w:rPr>
                <w:sz w:val="20"/>
              </w:rPr>
              <w:t>10%</w:t>
            </w:r>
            <w:r>
              <w:rPr>
                <w:spacing w:val="-6"/>
                <w:sz w:val="20"/>
              </w:rPr>
              <w:t> </w:t>
            </w:r>
            <w:r>
              <w:rPr>
                <w:sz w:val="20"/>
              </w:rPr>
              <w:t>Critical</w:t>
            </w:r>
            <w:r>
              <w:rPr>
                <w:spacing w:val="-4"/>
                <w:sz w:val="20"/>
              </w:rPr>
              <w:t> </w:t>
            </w:r>
            <w:r>
              <w:rPr>
                <w:spacing w:val="-2"/>
                <w:sz w:val="20"/>
              </w:rPr>
              <w:t>Value</w:t>
            </w:r>
          </w:p>
        </w:tc>
        <w:tc>
          <w:tcPr>
            <w:tcW w:w="896" w:type="dxa"/>
            <w:tcBorders>
              <w:bottom w:val="double" w:sz="6" w:space="0" w:color="000000"/>
            </w:tcBorders>
          </w:tcPr>
          <w:p>
            <w:pPr>
              <w:pStyle w:val="TableParagraph"/>
              <w:spacing w:line="205" w:lineRule="exact"/>
              <w:ind w:right="26"/>
              <w:jc w:val="right"/>
              <w:rPr>
                <w:sz w:val="20"/>
              </w:rPr>
            </w:pPr>
            <w:r>
              <w:rPr>
                <w:spacing w:val="-4"/>
                <w:sz w:val="20"/>
              </w:rPr>
              <w:t>-</w:t>
            </w:r>
            <w:r>
              <w:rPr>
                <w:spacing w:val="-2"/>
                <w:sz w:val="20"/>
              </w:rPr>
              <w:t>2.6059</w:t>
            </w:r>
          </w:p>
        </w:tc>
      </w:tr>
      <w:tr>
        <w:trPr>
          <w:trHeight w:val="505" w:hRule="atLeast"/>
        </w:trPr>
        <w:tc>
          <w:tcPr>
            <w:tcW w:w="6486" w:type="dxa"/>
            <w:gridSpan w:val="5"/>
            <w:tcBorders>
              <w:top w:val="double" w:sz="6" w:space="0" w:color="000000"/>
            </w:tcBorders>
          </w:tcPr>
          <w:p>
            <w:pPr>
              <w:pStyle w:val="TableParagraph"/>
              <w:spacing w:before="40"/>
              <w:ind w:left="36"/>
              <w:rPr>
                <w:sz w:val="20"/>
              </w:rPr>
            </w:pPr>
            <w:r>
              <w:rPr>
                <w:sz w:val="20"/>
              </w:rPr>
              <w:t>*MacKinnon</w:t>
            </w:r>
            <w:r>
              <w:rPr>
                <w:spacing w:val="-6"/>
                <w:sz w:val="20"/>
              </w:rPr>
              <w:t> </w:t>
            </w:r>
            <w:r>
              <w:rPr>
                <w:sz w:val="20"/>
              </w:rPr>
              <w:t>critical</w:t>
            </w:r>
            <w:r>
              <w:rPr>
                <w:spacing w:val="-4"/>
                <w:sz w:val="20"/>
              </w:rPr>
              <w:t> </w:t>
            </w:r>
            <w:r>
              <w:rPr>
                <w:sz w:val="20"/>
              </w:rPr>
              <w:t>values</w:t>
            </w:r>
            <w:r>
              <w:rPr>
                <w:spacing w:val="-6"/>
                <w:sz w:val="20"/>
              </w:rPr>
              <w:t> </w:t>
            </w:r>
            <w:r>
              <w:rPr>
                <w:sz w:val="20"/>
              </w:rPr>
              <w:t>for</w:t>
            </w:r>
            <w:r>
              <w:rPr>
                <w:spacing w:val="-4"/>
                <w:sz w:val="20"/>
              </w:rPr>
              <w:t> </w:t>
            </w:r>
            <w:r>
              <w:rPr>
                <w:sz w:val="20"/>
              </w:rPr>
              <w:t>rejection</w:t>
            </w:r>
            <w:r>
              <w:rPr>
                <w:spacing w:val="-6"/>
                <w:sz w:val="20"/>
              </w:rPr>
              <w:t> </w:t>
            </w:r>
            <w:r>
              <w:rPr>
                <w:sz w:val="20"/>
              </w:rPr>
              <w:t>of</w:t>
            </w:r>
            <w:r>
              <w:rPr>
                <w:spacing w:val="-6"/>
                <w:sz w:val="20"/>
              </w:rPr>
              <w:t> </w:t>
            </w:r>
            <w:r>
              <w:rPr>
                <w:sz w:val="20"/>
              </w:rPr>
              <w:t>hypothesis</w:t>
            </w:r>
            <w:r>
              <w:rPr>
                <w:spacing w:val="-6"/>
                <w:sz w:val="20"/>
              </w:rPr>
              <w:t> </w:t>
            </w:r>
            <w:r>
              <w:rPr>
                <w:sz w:val="20"/>
              </w:rPr>
              <w:t>of</w:t>
            </w:r>
            <w:r>
              <w:rPr>
                <w:spacing w:val="-6"/>
                <w:sz w:val="20"/>
              </w:rPr>
              <w:t> </w:t>
            </w:r>
            <w:r>
              <w:rPr>
                <w:sz w:val="20"/>
              </w:rPr>
              <w:t>a</w:t>
            </w:r>
            <w:r>
              <w:rPr>
                <w:spacing w:val="-4"/>
                <w:sz w:val="20"/>
              </w:rPr>
              <w:t> </w:t>
            </w:r>
            <w:r>
              <w:rPr>
                <w:sz w:val="20"/>
              </w:rPr>
              <w:t>unit</w:t>
            </w:r>
            <w:r>
              <w:rPr>
                <w:spacing w:val="-6"/>
                <w:sz w:val="20"/>
              </w:rPr>
              <w:t> </w:t>
            </w:r>
            <w:r>
              <w:rPr>
                <w:spacing w:val="-2"/>
                <w:sz w:val="20"/>
              </w:rPr>
              <w:t>root.</w:t>
            </w:r>
          </w:p>
        </w:tc>
      </w:tr>
      <w:tr>
        <w:trPr>
          <w:trHeight w:val="461" w:hRule="atLeast"/>
        </w:trPr>
        <w:tc>
          <w:tcPr>
            <w:tcW w:w="6486" w:type="dxa"/>
            <w:gridSpan w:val="5"/>
          </w:tcPr>
          <w:p>
            <w:pPr>
              <w:pStyle w:val="TableParagraph"/>
              <w:spacing w:line="215" w:lineRule="exact" w:before="226"/>
              <w:ind w:left="36"/>
              <w:rPr>
                <w:sz w:val="20"/>
              </w:rPr>
            </w:pPr>
            <w:r>
              <w:rPr>
                <w:sz w:val="20"/>
              </w:rPr>
              <w:t>Augmented</w:t>
            </w:r>
            <w:r>
              <w:rPr>
                <w:spacing w:val="-8"/>
                <w:sz w:val="20"/>
              </w:rPr>
              <w:t> </w:t>
            </w:r>
            <w:r>
              <w:rPr>
                <w:sz w:val="20"/>
              </w:rPr>
              <w:t>Dickey-Fuller</w:t>
            </w:r>
            <w:r>
              <w:rPr>
                <w:spacing w:val="-8"/>
                <w:sz w:val="20"/>
              </w:rPr>
              <w:t> </w:t>
            </w:r>
            <w:r>
              <w:rPr>
                <w:sz w:val="20"/>
              </w:rPr>
              <w:t>Test</w:t>
            </w:r>
            <w:r>
              <w:rPr>
                <w:spacing w:val="-9"/>
                <w:sz w:val="20"/>
              </w:rPr>
              <w:t> </w:t>
            </w:r>
            <w:r>
              <w:rPr>
                <w:spacing w:val="-2"/>
                <w:sz w:val="20"/>
              </w:rPr>
              <w:t>Equation</w:t>
            </w:r>
          </w:p>
        </w:tc>
      </w:tr>
      <w:tr>
        <w:trPr>
          <w:trHeight w:val="230" w:hRule="atLeast"/>
        </w:trPr>
        <w:tc>
          <w:tcPr>
            <w:tcW w:w="6486" w:type="dxa"/>
            <w:gridSpan w:val="5"/>
          </w:tcPr>
          <w:p>
            <w:pPr>
              <w:pStyle w:val="TableParagraph"/>
              <w:spacing w:line="210" w:lineRule="exact"/>
              <w:ind w:left="36"/>
              <w:rPr>
                <w:sz w:val="20"/>
              </w:rPr>
            </w:pPr>
            <w:r>
              <w:rPr>
                <w:sz w:val="20"/>
              </w:rPr>
              <w:t>Dependent</w:t>
            </w:r>
            <w:r>
              <w:rPr>
                <w:spacing w:val="-8"/>
                <w:sz w:val="20"/>
              </w:rPr>
              <w:t> </w:t>
            </w:r>
            <w:r>
              <w:rPr>
                <w:sz w:val="20"/>
              </w:rPr>
              <w:t>Variable:</w:t>
            </w:r>
            <w:r>
              <w:rPr>
                <w:spacing w:val="-8"/>
                <w:sz w:val="20"/>
              </w:rPr>
              <w:t> </w:t>
            </w:r>
            <w:r>
              <w:rPr>
                <w:spacing w:val="-2"/>
                <w:sz w:val="20"/>
              </w:rPr>
              <w:t>D(CAB)</w:t>
            </w:r>
          </w:p>
        </w:tc>
      </w:tr>
      <w:tr>
        <w:trPr>
          <w:trHeight w:val="229" w:hRule="atLeast"/>
        </w:trPr>
        <w:tc>
          <w:tcPr>
            <w:tcW w:w="6486" w:type="dxa"/>
            <w:gridSpan w:val="5"/>
          </w:tcPr>
          <w:p>
            <w:pPr>
              <w:pStyle w:val="TableParagraph"/>
              <w:spacing w:line="209" w:lineRule="exact"/>
              <w:ind w:left="36"/>
              <w:rPr>
                <w:sz w:val="20"/>
              </w:rPr>
            </w:pPr>
            <w:r>
              <w:rPr>
                <w:sz w:val="20"/>
              </w:rPr>
              <w:t>Method:</w:t>
            </w:r>
            <w:r>
              <w:rPr>
                <w:spacing w:val="-8"/>
                <w:sz w:val="20"/>
              </w:rPr>
              <w:t> </w:t>
            </w:r>
            <w:r>
              <w:rPr>
                <w:sz w:val="20"/>
              </w:rPr>
              <w:t>Least</w:t>
            </w:r>
            <w:r>
              <w:rPr>
                <w:spacing w:val="-7"/>
                <w:sz w:val="20"/>
              </w:rPr>
              <w:t> </w:t>
            </w:r>
            <w:r>
              <w:rPr>
                <w:spacing w:val="-2"/>
                <w:sz w:val="20"/>
              </w:rPr>
              <w:t>Squares</w:t>
            </w:r>
          </w:p>
        </w:tc>
      </w:tr>
      <w:tr>
        <w:trPr>
          <w:trHeight w:val="229" w:hRule="atLeast"/>
        </w:trPr>
        <w:tc>
          <w:tcPr>
            <w:tcW w:w="6486" w:type="dxa"/>
            <w:gridSpan w:val="5"/>
          </w:tcPr>
          <w:p>
            <w:pPr>
              <w:pStyle w:val="TableParagraph"/>
              <w:spacing w:line="209" w:lineRule="exact"/>
              <w:ind w:left="36"/>
              <w:rPr>
                <w:sz w:val="20"/>
              </w:rPr>
            </w:pPr>
            <w:r>
              <w:rPr>
                <w:sz w:val="20"/>
              </w:rPr>
              <w:t>Date:</w:t>
            </w:r>
            <w:r>
              <w:rPr>
                <w:spacing w:val="-5"/>
                <w:sz w:val="20"/>
              </w:rPr>
              <w:t> </w:t>
            </w:r>
            <w:r>
              <w:rPr>
                <w:sz w:val="20"/>
              </w:rPr>
              <w:t>02/17/14</w:t>
            </w:r>
            <w:r>
              <w:rPr>
                <w:spacing w:val="63"/>
                <w:w w:val="150"/>
                <w:sz w:val="20"/>
              </w:rPr>
              <w:t> </w:t>
            </w:r>
            <w:r>
              <w:rPr>
                <w:sz w:val="20"/>
              </w:rPr>
              <w:t>Time:</w:t>
            </w:r>
            <w:r>
              <w:rPr>
                <w:spacing w:val="-3"/>
                <w:sz w:val="20"/>
              </w:rPr>
              <w:t> </w:t>
            </w:r>
            <w:r>
              <w:rPr>
                <w:spacing w:val="-2"/>
                <w:sz w:val="20"/>
              </w:rPr>
              <w:t>17:10</w:t>
            </w:r>
          </w:p>
        </w:tc>
      </w:tr>
      <w:tr>
        <w:trPr>
          <w:trHeight w:val="230" w:hRule="atLeast"/>
        </w:trPr>
        <w:tc>
          <w:tcPr>
            <w:tcW w:w="6486" w:type="dxa"/>
            <w:gridSpan w:val="5"/>
          </w:tcPr>
          <w:p>
            <w:pPr>
              <w:pStyle w:val="TableParagraph"/>
              <w:spacing w:line="210" w:lineRule="exact"/>
              <w:ind w:left="36"/>
              <w:rPr>
                <w:sz w:val="20"/>
              </w:rPr>
            </w:pPr>
            <w:r>
              <w:rPr>
                <w:sz w:val="20"/>
              </w:rPr>
              <w:t>Sample(adjusted):</w:t>
            </w:r>
            <w:r>
              <w:rPr>
                <w:spacing w:val="-9"/>
                <w:sz w:val="20"/>
              </w:rPr>
              <w:t> </w:t>
            </w:r>
            <w:r>
              <w:rPr>
                <w:sz w:val="20"/>
              </w:rPr>
              <w:t>1972</w:t>
            </w:r>
            <w:r>
              <w:rPr>
                <w:spacing w:val="-9"/>
                <w:sz w:val="20"/>
              </w:rPr>
              <w:t> </w:t>
            </w:r>
            <w:r>
              <w:rPr>
                <w:spacing w:val="-4"/>
                <w:sz w:val="20"/>
              </w:rPr>
              <w:t>2011</w:t>
            </w:r>
          </w:p>
        </w:tc>
      </w:tr>
      <w:tr>
        <w:trPr>
          <w:trHeight w:val="224" w:hRule="atLeast"/>
        </w:trPr>
        <w:tc>
          <w:tcPr>
            <w:tcW w:w="6486" w:type="dxa"/>
            <w:gridSpan w:val="5"/>
            <w:tcBorders>
              <w:bottom w:val="double" w:sz="6" w:space="0" w:color="000000"/>
            </w:tcBorders>
          </w:tcPr>
          <w:p>
            <w:pPr>
              <w:pStyle w:val="TableParagraph"/>
              <w:spacing w:line="205" w:lineRule="exact"/>
              <w:ind w:left="36"/>
              <w:rPr>
                <w:sz w:val="20"/>
              </w:rPr>
            </w:pPr>
            <w:r>
              <w:rPr>
                <w:sz w:val="20"/>
              </w:rPr>
              <w:t>Included</w:t>
            </w:r>
            <w:r>
              <w:rPr>
                <w:spacing w:val="-6"/>
                <w:sz w:val="20"/>
              </w:rPr>
              <w:t> </w:t>
            </w:r>
            <w:r>
              <w:rPr>
                <w:sz w:val="20"/>
              </w:rPr>
              <w:t>observations:</w:t>
            </w:r>
            <w:r>
              <w:rPr>
                <w:spacing w:val="-8"/>
                <w:sz w:val="20"/>
              </w:rPr>
              <w:t> </w:t>
            </w:r>
            <w:r>
              <w:rPr>
                <w:sz w:val="20"/>
              </w:rPr>
              <w:t>40</w:t>
            </w:r>
            <w:r>
              <w:rPr>
                <w:spacing w:val="-5"/>
                <w:sz w:val="20"/>
              </w:rPr>
              <w:t> </w:t>
            </w:r>
            <w:r>
              <w:rPr>
                <w:sz w:val="20"/>
              </w:rPr>
              <w:t>after</w:t>
            </w:r>
            <w:r>
              <w:rPr>
                <w:spacing w:val="-7"/>
                <w:sz w:val="20"/>
              </w:rPr>
              <w:t> </w:t>
            </w:r>
            <w:r>
              <w:rPr>
                <w:sz w:val="20"/>
              </w:rPr>
              <w:t>adjusting</w:t>
            </w:r>
            <w:r>
              <w:rPr>
                <w:spacing w:val="-7"/>
                <w:sz w:val="20"/>
              </w:rPr>
              <w:t> </w:t>
            </w:r>
            <w:r>
              <w:rPr>
                <w:spacing w:val="-2"/>
                <w:sz w:val="20"/>
              </w:rPr>
              <w:t>endpoints</w:t>
            </w:r>
          </w:p>
        </w:tc>
      </w:tr>
      <w:tr>
        <w:trPr>
          <w:trHeight w:val="269" w:hRule="atLeast"/>
        </w:trPr>
        <w:tc>
          <w:tcPr>
            <w:tcW w:w="1847" w:type="dxa"/>
            <w:tcBorders>
              <w:top w:val="double" w:sz="6" w:space="0" w:color="000000"/>
              <w:bottom w:val="double" w:sz="6" w:space="0" w:color="000000"/>
            </w:tcBorders>
          </w:tcPr>
          <w:p>
            <w:pPr>
              <w:pStyle w:val="TableParagraph"/>
              <w:spacing w:line="209" w:lineRule="exact" w:before="40"/>
              <w:ind w:left="677"/>
              <w:rPr>
                <w:sz w:val="20"/>
              </w:rPr>
            </w:pPr>
            <w:r>
              <w:rPr>
                <w:spacing w:val="-2"/>
                <w:sz w:val="20"/>
              </w:rPr>
              <w:t>Variable</w:t>
            </w:r>
          </w:p>
        </w:tc>
        <w:tc>
          <w:tcPr>
            <w:tcW w:w="1375" w:type="dxa"/>
            <w:tcBorders>
              <w:top w:val="double" w:sz="6" w:space="0" w:color="000000"/>
              <w:bottom w:val="double" w:sz="6" w:space="0" w:color="000000"/>
            </w:tcBorders>
          </w:tcPr>
          <w:p>
            <w:pPr>
              <w:pStyle w:val="TableParagraph"/>
              <w:spacing w:line="209" w:lineRule="exact" w:before="40"/>
              <w:ind w:right="131"/>
              <w:jc w:val="right"/>
              <w:rPr>
                <w:sz w:val="20"/>
              </w:rPr>
            </w:pPr>
            <w:r>
              <w:rPr>
                <w:spacing w:val="-2"/>
                <w:sz w:val="20"/>
              </w:rPr>
              <w:t>Coefficient</w:t>
            </w:r>
          </w:p>
        </w:tc>
        <w:tc>
          <w:tcPr>
            <w:tcW w:w="1432" w:type="dxa"/>
            <w:tcBorders>
              <w:top w:val="double" w:sz="6" w:space="0" w:color="000000"/>
              <w:bottom w:val="double" w:sz="6" w:space="0" w:color="000000"/>
            </w:tcBorders>
          </w:tcPr>
          <w:p>
            <w:pPr>
              <w:pStyle w:val="TableParagraph"/>
              <w:spacing w:line="209" w:lineRule="exact" w:before="40"/>
              <w:ind w:left="273"/>
              <w:rPr>
                <w:sz w:val="20"/>
              </w:rPr>
            </w:pPr>
            <w:r>
              <w:rPr>
                <w:sz w:val="20"/>
              </w:rPr>
              <w:t>Std.</w:t>
            </w:r>
            <w:r>
              <w:rPr>
                <w:spacing w:val="-4"/>
                <w:sz w:val="20"/>
              </w:rPr>
              <w:t> </w:t>
            </w:r>
            <w:r>
              <w:rPr>
                <w:spacing w:val="-2"/>
                <w:sz w:val="20"/>
              </w:rPr>
              <w:t>Error</w:t>
            </w:r>
          </w:p>
        </w:tc>
        <w:tc>
          <w:tcPr>
            <w:tcW w:w="936" w:type="dxa"/>
            <w:tcBorders>
              <w:top w:val="double" w:sz="6" w:space="0" w:color="000000"/>
              <w:bottom w:val="double" w:sz="6" w:space="0" w:color="000000"/>
            </w:tcBorders>
          </w:tcPr>
          <w:p>
            <w:pPr>
              <w:pStyle w:val="TableParagraph"/>
              <w:spacing w:line="209" w:lineRule="exact" w:before="40"/>
              <w:ind w:right="112"/>
              <w:jc w:val="right"/>
              <w:rPr>
                <w:sz w:val="20"/>
              </w:rPr>
            </w:pPr>
            <w:r>
              <w:rPr>
                <w:spacing w:val="-4"/>
                <w:sz w:val="20"/>
              </w:rPr>
              <w:t>t-</w:t>
            </w:r>
            <w:r>
              <w:rPr>
                <w:spacing w:val="-2"/>
                <w:sz w:val="20"/>
              </w:rPr>
              <w:t>Statistic</w:t>
            </w:r>
          </w:p>
        </w:tc>
        <w:tc>
          <w:tcPr>
            <w:tcW w:w="896" w:type="dxa"/>
            <w:tcBorders>
              <w:top w:val="double" w:sz="6" w:space="0" w:color="000000"/>
              <w:bottom w:val="double" w:sz="6" w:space="0" w:color="000000"/>
            </w:tcBorders>
          </w:tcPr>
          <w:p>
            <w:pPr>
              <w:pStyle w:val="TableParagraph"/>
              <w:spacing w:line="209" w:lineRule="exact" w:before="40"/>
              <w:ind w:right="27"/>
              <w:jc w:val="right"/>
              <w:rPr>
                <w:sz w:val="20"/>
              </w:rPr>
            </w:pPr>
            <w:r>
              <w:rPr>
                <w:spacing w:val="-2"/>
                <w:sz w:val="20"/>
              </w:rPr>
              <w:t>Prob.</w:t>
            </w:r>
          </w:p>
        </w:tc>
      </w:tr>
      <w:tr>
        <w:trPr>
          <w:trHeight w:val="276" w:hRule="atLeast"/>
        </w:trPr>
        <w:tc>
          <w:tcPr>
            <w:tcW w:w="1847" w:type="dxa"/>
            <w:tcBorders>
              <w:top w:val="double" w:sz="6" w:space="0" w:color="000000"/>
            </w:tcBorders>
          </w:tcPr>
          <w:p>
            <w:pPr>
              <w:pStyle w:val="TableParagraph"/>
              <w:spacing w:line="214" w:lineRule="exact" w:before="42"/>
              <w:ind w:left="667"/>
              <w:rPr>
                <w:sz w:val="20"/>
              </w:rPr>
            </w:pPr>
            <w:r>
              <w:rPr>
                <w:spacing w:val="-2"/>
                <w:sz w:val="20"/>
              </w:rPr>
              <w:t>CAB(-</w:t>
            </w:r>
            <w:r>
              <w:rPr>
                <w:spacing w:val="-5"/>
                <w:sz w:val="20"/>
              </w:rPr>
              <w:t>1)</w:t>
            </w:r>
          </w:p>
        </w:tc>
        <w:tc>
          <w:tcPr>
            <w:tcW w:w="1375" w:type="dxa"/>
            <w:tcBorders>
              <w:top w:val="double" w:sz="6" w:space="0" w:color="000000"/>
            </w:tcBorders>
          </w:tcPr>
          <w:p>
            <w:pPr>
              <w:pStyle w:val="TableParagraph"/>
              <w:spacing w:line="214" w:lineRule="exact" w:before="42"/>
              <w:ind w:right="128"/>
              <w:jc w:val="right"/>
              <w:rPr>
                <w:sz w:val="20"/>
              </w:rPr>
            </w:pPr>
            <w:r>
              <w:rPr>
                <w:spacing w:val="-4"/>
                <w:sz w:val="20"/>
              </w:rPr>
              <w:t>-</w:t>
            </w:r>
            <w:r>
              <w:rPr>
                <w:spacing w:val="-2"/>
                <w:sz w:val="20"/>
              </w:rPr>
              <w:t>0.079124</w:t>
            </w:r>
          </w:p>
        </w:tc>
        <w:tc>
          <w:tcPr>
            <w:tcW w:w="1432" w:type="dxa"/>
            <w:tcBorders>
              <w:top w:val="double" w:sz="6" w:space="0" w:color="000000"/>
            </w:tcBorders>
          </w:tcPr>
          <w:p>
            <w:pPr>
              <w:pStyle w:val="TableParagraph"/>
              <w:spacing w:line="214" w:lineRule="exact" w:before="42"/>
              <w:ind w:left="311"/>
              <w:rPr>
                <w:sz w:val="20"/>
              </w:rPr>
            </w:pPr>
            <w:r>
              <w:rPr>
                <w:spacing w:val="-2"/>
                <w:sz w:val="20"/>
              </w:rPr>
              <w:t>0.072765</w:t>
            </w:r>
          </w:p>
        </w:tc>
        <w:tc>
          <w:tcPr>
            <w:tcW w:w="936" w:type="dxa"/>
            <w:tcBorders>
              <w:top w:val="double" w:sz="6" w:space="0" w:color="000000"/>
            </w:tcBorders>
          </w:tcPr>
          <w:p>
            <w:pPr>
              <w:pStyle w:val="TableParagraph"/>
              <w:spacing w:line="214" w:lineRule="exact" w:before="42"/>
              <w:ind w:right="110"/>
              <w:jc w:val="right"/>
              <w:rPr>
                <w:sz w:val="20"/>
              </w:rPr>
            </w:pPr>
            <w:r>
              <w:rPr>
                <w:spacing w:val="-4"/>
                <w:sz w:val="20"/>
              </w:rPr>
              <w:t>-</w:t>
            </w:r>
            <w:r>
              <w:rPr>
                <w:spacing w:val="-2"/>
                <w:sz w:val="20"/>
              </w:rPr>
              <w:t>1.087397</w:t>
            </w:r>
          </w:p>
        </w:tc>
        <w:tc>
          <w:tcPr>
            <w:tcW w:w="896" w:type="dxa"/>
            <w:tcBorders>
              <w:top w:val="double" w:sz="6" w:space="0" w:color="000000"/>
            </w:tcBorders>
          </w:tcPr>
          <w:p>
            <w:pPr>
              <w:pStyle w:val="TableParagraph"/>
              <w:spacing w:line="214" w:lineRule="exact" w:before="42"/>
              <w:ind w:right="26"/>
              <w:jc w:val="right"/>
              <w:rPr>
                <w:sz w:val="20"/>
              </w:rPr>
            </w:pPr>
            <w:r>
              <w:rPr>
                <w:spacing w:val="-2"/>
                <w:sz w:val="20"/>
              </w:rPr>
              <w:t>0.2839</w:t>
            </w:r>
          </w:p>
        </w:tc>
      </w:tr>
      <w:tr>
        <w:trPr>
          <w:trHeight w:val="229" w:hRule="atLeast"/>
        </w:trPr>
        <w:tc>
          <w:tcPr>
            <w:tcW w:w="1847" w:type="dxa"/>
          </w:tcPr>
          <w:p>
            <w:pPr>
              <w:pStyle w:val="TableParagraph"/>
              <w:spacing w:line="209" w:lineRule="exact"/>
              <w:ind w:left="528"/>
              <w:rPr>
                <w:sz w:val="20"/>
              </w:rPr>
            </w:pPr>
            <w:r>
              <w:rPr>
                <w:spacing w:val="-2"/>
                <w:sz w:val="20"/>
              </w:rPr>
              <w:t>D(CAB(-</w:t>
            </w:r>
            <w:r>
              <w:rPr>
                <w:spacing w:val="-5"/>
                <w:sz w:val="20"/>
              </w:rPr>
              <w:t>1))</w:t>
            </w:r>
          </w:p>
        </w:tc>
        <w:tc>
          <w:tcPr>
            <w:tcW w:w="1375" w:type="dxa"/>
          </w:tcPr>
          <w:p>
            <w:pPr>
              <w:pStyle w:val="TableParagraph"/>
              <w:spacing w:line="209" w:lineRule="exact"/>
              <w:ind w:right="128"/>
              <w:jc w:val="right"/>
              <w:rPr>
                <w:sz w:val="20"/>
              </w:rPr>
            </w:pPr>
            <w:r>
              <w:rPr>
                <w:spacing w:val="-4"/>
                <w:sz w:val="20"/>
              </w:rPr>
              <w:t>-</w:t>
            </w:r>
            <w:r>
              <w:rPr>
                <w:spacing w:val="-2"/>
                <w:sz w:val="20"/>
              </w:rPr>
              <w:t>0.414512</w:t>
            </w:r>
          </w:p>
        </w:tc>
        <w:tc>
          <w:tcPr>
            <w:tcW w:w="1432" w:type="dxa"/>
          </w:tcPr>
          <w:p>
            <w:pPr>
              <w:pStyle w:val="TableParagraph"/>
              <w:spacing w:line="209" w:lineRule="exact"/>
              <w:ind w:left="311"/>
              <w:rPr>
                <w:sz w:val="20"/>
              </w:rPr>
            </w:pPr>
            <w:r>
              <w:rPr>
                <w:spacing w:val="-2"/>
                <w:sz w:val="20"/>
              </w:rPr>
              <w:t>0.147267</w:t>
            </w:r>
          </w:p>
        </w:tc>
        <w:tc>
          <w:tcPr>
            <w:tcW w:w="936" w:type="dxa"/>
          </w:tcPr>
          <w:p>
            <w:pPr>
              <w:pStyle w:val="TableParagraph"/>
              <w:spacing w:line="209" w:lineRule="exact"/>
              <w:ind w:right="110"/>
              <w:jc w:val="right"/>
              <w:rPr>
                <w:sz w:val="20"/>
              </w:rPr>
            </w:pPr>
            <w:r>
              <w:rPr>
                <w:spacing w:val="-4"/>
                <w:sz w:val="20"/>
              </w:rPr>
              <w:t>-</w:t>
            </w:r>
            <w:r>
              <w:rPr>
                <w:spacing w:val="-2"/>
                <w:sz w:val="20"/>
              </w:rPr>
              <w:t>2.814699</w:t>
            </w:r>
          </w:p>
        </w:tc>
        <w:tc>
          <w:tcPr>
            <w:tcW w:w="896" w:type="dxa"/>
          </w:tcPr>
          <w:p>
            <w:pPr>
              <w:pStyle w:val="TableParagraph"/>
              <w:spacing w:line="209" w:lineRule="exact"/>
              <w:ind w:right="26"/>
              <w:jc w:val="right"/>
              <w:rPr>
                <w:sz w:val="20"/>
              </w:rPr>
            </w:pPr>
            <w:r>
              <w:rPr>
                <w:spacing w:val="-2"/>
                <w:sz w:val="20"/>
              </w:rPr>
              <w:t>0.0078</w:t>
            </w:r>
          </w:p>
        </w:tc>
      </w:tr>
      <w:tr>
        <w:trPr>
          <w:trHeight w:val="224" w:hRule="atLeast"/>
        </w:trPr>
        <w:tc>
          <w:tcPr>
            <w:tcW w:w="1847" w:type="dxa"/>
            <w:tcBorders>
              <w:bottom w:val="double" w:sz="6" w:space="0" w:color="000000"/>
            </w:tcBorders>
          </w:tcPr>
          <w:p>
            <w:pPr>
              <w:pStyle w:val="TableParagraph"/>
              <w:spacing w:line="205" w:lineRule="exact"/>
              <w:ind w:left="197"/>
              <w:jc w:val="center"/>
              <w:rPr>
                <w:sz w:val="20"/>
              </w:rPr>
            </w:pPr>
            <w:r>
              <w:rPr>
                <w:spacing w:val="-10"/>
                <w:sz w:val="20"/>
              </w:rPr>
              <w:t>C</w:t>
            </w:r>
          </w:p>
        </w:tc>
        <w:tc>
          <w:tcPr>
            <w:tcW w:w="1375" w:type="dxa"/>
            <w:tcBorders>
              <w:bottom w:val="double" w:sz="6" w:space="0" w:color="000000"/>
            </w:tcBorders>
          </w:tcPr>
          <w:p>
            <w:pPr>
              <w:pStyle w:val="TableParagraph"/>
              <w:spacing w:line="205" w:lineRule="exact"/>
              <w:ind w:right="128"/>
              <w:jc w:val="right"/>
              <w:rPr>
                <w:sz w:val="20"/>
              </w:rPr>
            </w:pPr>
            <w:r>
              <w:rPr>
                <w:spacing w:val="-2"/>
                <w:sz w:val="20"/>
              </w:rPr>
              <w:t>1.108816</w:t>
            </w:r>
          </w:p>
        </w:tc>
        <w:tc>
          <w:tcPr>
            <w:tcW w:w="1432" w:type="dxa"/>
            <w:tcBorders>
              <w:bottom w:val="double" w:sz="6" w:space="0" w:color="000000"/>
            </w:tcBorders>
          </w:tcPr>
          <w:p>
            <w:pPr>
              <w:pStyle w:val="TableParagraph"/>
              <w:spacing w:line="205" w:lineRule="exact"/>
              <w:ind w:left="311"/>
              <w:rPr>
                <w:sz w:val="20"/>
              </w:rPr>
            </w:pPr>
            <w:r>
              <w:rPr>
                <w:spacing w:val="-2"/>
                <w:sz w:val="20"/>
              </w:rPr>
              <w:t>0.753509</w:t>
            </w:r>
          </w:p>
        </w:tc>
        <w:tc>
          <w:tcPr>
            <w:tcW w:w="936" w:type="dxa"/>
            <w:tcBorders>
              <w:bottom w:val="double" w:sz="6" w:space="0" w:color="000000"/>
            </w:tcBorders>
          </w:tcPr>
          <w:p>
            <w:pPr>
              <w:pStyle w:val="TableParagraph"/>
              <w:spacing w:line="205" w:lineRule="exact"/>
              <w:ind w:right="110"/>
              <w:jc w:val="right"/>
              <w:rPr>
                <w:sz w:val="20"/>
              </w:rPr>
            </w:pPr>
            <w:r>
              <w:rPr>
                <w:spacing w:val="-2"/>
                <w:sz w:val="20"/>
              </w:rPr>
              <w:t>1.471536</w:t>
            </w:r>
          </w:p>
        </w:tc>
        <w:tc>
          <w:tcPr>
            <w:tcW w:w="896" w:type="dxa"/>
            <w:tcBorders>
              <w:bottom w:val="double" w:sz="6" w:space="0" w:color="000000"/>
            </w:tcBorders>
          </w:tcPr>
          <w:p>
            <w:pPr>
              <w:pStyle w:val="TableParagraph"/>
              <w:spacing w:line="205" w:lineRule="exact"/>
              <w:ind w:right="26"/>
              <w:jc w:val="right"/>
              <w:rPr>
                <w:sz w:val="20"/>
              </w:rPr>
            </w:pPr>
            <w:r>
              <w:rPr>
                <w:spacing w:val="-2"/>
                <w:sz w:val="20"/>
              </w:rPr>
              <w:t>0.1496</w:t>
            </w:r>
          </w:p>
        </w:tc>
      </w:tr>
      <w:tr>
        <w:trPr>
          <w:trHeight w:val="275" w:hRule="atLeast"/>
        </w:trPr>
        <w:tc>
          <w:tcPr>
            <w:tcW w:w="1847" w:type="dxa"/>
            <w:tcBorders>
              <w:top w:val="double" w:sz="6" w:space="0" w:color="000000"/>
            </w:tcBorders>
          </w:tcPr>
          <w:p>
            <w:pPr>
              <w:pStyle w:val="TableParagraph"/>
              <w:spacing w:line="215" w:lineRule="exact" w:before="40"/>
              <w:ind w:left="36"/>
              <w:rPr>
                <w:sz w:val="20"/>
              </w:rPr>
            </w:pPr>
            <w:r>
              <w:rPr>
                <w:spacing w:val="-2"/>
                <w:sz w:val="20"/>
              </w:rPr>
              <w:t>R-squared</w:t>
            </w:r>
          </w:p>
        </w:tc>
        <w:tc>
          <w:tcPr>
            <w:tcW w:w="1375" w:type="dxa"/>
            <w:tcBorders>
              <w:top w:val="double" w:sz="6" w:space="0" w:color="000000"/>
            </w:tcBorders>
          </w:tcPr>
          <w:p>
            <w:pPr>
              <w:pStyle w:val="TableParagraph"/>
              <w:spacing w:line="215" w:lineRule="exact" w:before="40"/>
              <w:ind w:right="128"/>
              <w:jc w:val="right"/>
              <w:rPr>
                <w:sz w:val="20"/>
              </w:rPr>
            </w:pPr>
            <w:r>
              <w:rPr>
                <w:spacing w:val="-2"/>
                <w:sz w:val="20"/>
              </w:rPr>
              <w:t>0.229456</w:t>
            </w:r>
          </w:p>
        </w:tc>
        <w:tc>
          <w:tcPr>
            <w:tcW w:w="2368" w:type="dxa"/>
            <w:gridSpan w:val="2"/>
            <w:tcBorders>
              <w:top w:val="double" w:sz="6" w:space="0" w:color="000000"/>
            </w:tcBorders>
          </w:tcPr>
          <w:p>
            <w:pPr>
              <w:pStyle w:val="TableParagraph"/>
              <w:spacing w:line="215" w:lineRule="exact" w:before="40"/>
              <w:ind w:left="131"/>
              <w:rPr>
                <w:sz w:val="20"/>
              </w:rPr>
            </w:pPr>
            <w:r>
              <w:rPr>
                <w:sz w:val="20"/>
              </w:rPr>
              <w:t>Mean</w:t>
            </w:r>
            <w:r>
              <w:rPr>
                <w:spacing w:val="-7"/>
                <w:sz w:val="20"/>
              </w:rPr>
              <w:t> </w:t>
            </w:r>
            <w:r>
              <w:rPr>
                <w:sz w:val="20"/>
              </w:rPr>
              <w:t>dependent</w:t>
            </w:r>
            <w:r>
              <w:rPr>
                <w:spacing w:val="-7"/>
                <w:sz w:val="20"/>
              </w:rPr>
              <w:t> </w:t>
            </w:r>
            <w:r>
              <w:rPr>
                <w:spacing w:val="-5"/>
                <w:sz w:val="20"/>
              </w:rPr>
              <w:t>var</w:t>
            </w:r>
          </w:p>
        </w:tc>
        <w:tc>
          <w:tcPr>
            <w:tcW w:w="896" w:type="dxa"/>
            <w:tcBorders>
              <w:top w:val="double" w:sz="6" w:space="0" w:color="000000"/>
            </w:tcBorders>
          </w:tcPr>
          <w:p>
            <w:pPr>
              <w:pStyle w:val="TableParagraph"/>
              <w:spacing w:line="215" w:lineRule="exact" w:before="40"/>
              <w:ind w:right="26"/>
              <w:jc w:val="right"/>
              <w:rPr>
                <w:sz w:val="20"/>
              </w:rPr>
            </w:pPr>
            <w:r>
              <w:rPr>
                <w:spacing w:val="-2"/>
                <w:sz w:val="20"/>
              </w:rPr>
              <w:t>0.216758</w:t>
            </w:r>
          </w:p>
        </w:tc>
      </w:tr>
      <w:tr>
        <w:trPr>
          <w:trHeight w:val="230" w:hRule="atLeast"/>
        </w:trPr>
        <w:tc>
          <w:tcPr>
            <w:tcW w:w="1847" w:type="dxa"/>
          </w:tcPr>
          <w:p>
            <w:pPr>
              <w:pStyle w:val="TableParagraph"/>
              <w:spacing w:line="210" w:lineRule="exact"/>
              <w:ind w:left="36"/>
              <w:rPr>
                <w:sz w:val="20"/>
              </w:rPr>
            </w:pPr>
            <w:r>
              <w:rPr>
                <w:sz w:val="20"/>
              </w:rPr>
              <w:t>Adjusted</w:t>
            </w:r>
            <w:r>
              <w:rPr>
                <w:spacing w:val="-10"/>
                <w:sz w:val="20"/>
              </w:rPr>
              <w:t> </w:t>
            </w:r>
            <w:r>
              <w:rPr>
                <w:sz w:val="20"/>
              </w:rPr>
              <w:t>R-</w:t>
            </w:r>
            <w:r>
              <w:rPr>
                <w:spacing w:val="-2"/>
                <w:sz w:val="20"/>
              </w:rPr>
              <w:t>squared</w:t>
            </w:r>
          </w:p>
        </w:tc>
        <w:tc>
          <w:tcPr>
            <w:tcW w:w="1375" w:type="dxa"/>
          </w:tcPr>
          <w:p>
            <w:pPr>
              <w:pStyle w:val="TableParagraph"/>
              <w:spacing w:line="210" w:lineRule="exact"/>
              <w:ind w:right="128"/>
              <w:jc w:val="right"/>
              <w:rPr>
                <w:sz w:val="20"/>
              </w:rPr>
            </w:pPr>
            <w:r>
              <w:rPr>
                <w:spacing w:val="-2"/>
                <w:sz w:val="20"/>
              </w:rPr>
              <w:t>0.187805</w:t>
            </w:r>
          </w:p>
        </w:tc>
        <w:tc>
          <w:tcPr>
            <w:tcW w:w="2368" w:type="dxa"/>
            <w:gridSpan w:val="2"/>
          </w:tcPr>
          <w:p>
            <w:pPr>
              <w:pStyle w:val="TableParagraph"/>
              <w:spacing w:line="210" w:lineRule="exact"/>
              <w:ind w:left="131"/>
              <w:rPr>
                <w:sz w:val="20"/>
              </w:rPr>
            </w:pPr>
            <w:r>
              <w:rPr>
                <w:sz w:val="20"/>
              </w:rPr>
              <w:t>S.D.</w:t>
            </w:r>
            <w:r>
              <w:rPr>
                <w:spacing w:val="-5"/>
                <w:sz w:val="20"/>
              </w:rPr>
              <w:t> </w:t>
            </w:r>
            <w:r>
              <w:rPr>
                <w:sz w:val="20"/>
              </w:rPr>
              <w:t>dependent</w:t>
            </w:r>
            <w:r>
              <w:rPr>
                <w:spacing w:val="-6"/>
                <w:sz w:val="20"/>
              </w:rPr>
              <w:t> </w:t>
            </w:r>
            <w:r>
              <w:rPr>
                <w:spacing w:val="-5"/>
                <w:sz w:val="20"/>
              </w:rPr>
              <w:t>var</w:t>
            </w:r>
          </w:p>
        </w:tc>
        <w:tc>
          <w:tcPr>
            <w:tcW w:w="896" w:type="dxa"/>
          </w:tcPr>
          <w:p>
            <w:pPr>
              <w:pStyle w:val="TableParagraph"/>
              <w:spacing w:line="210" w:lineRule="exact"/>
              <w:ind w:right="26"/>
              <w:jc w:val="right"/>
              <w:rPr>
                <w:sz w:val="20"/>
              </w:rPr>
            </w:pPr>
            <w:r>
              <w:rPr>
                <w:spacing w:val="-2"/>
                <w:sz w:val="20"/>
              </w:rPr>
              <w:t>1.736388</w:t>
            </w:r>
          </w:p>
        </w:tc>
      </w:tr>
      <w:tr>
        <w:trPr>
          <w:trHeight w:val="230" w:hRule="atLeast"/>
        </w:trPr>
        <w:tc>
          <w:tcPr>
            <w:tcW w:w="1847" w:type="dxa"/>
          </w:tcPr>
          <w:p>
            <w:pPr>
              <w:pStyle w:val="TableParagraph"/>
              <w:spacing w:line="211" w:lineRule="exact"/>
              <w:ind w:left="36"/>
              <w:rPr>
                <w:sz w:val="20"/>
              </w:rPr>
            </w:pPr>
            <w:r>
              <w:rPr>
                <w:sz w:val="20"/>
              </w:rPr>
              <w:t>S.E.</w:t>
            </w:r>
            <w:r>
              <w:rPr>
                <w:spacing w:val="-3"/>
                <w:sz w:val="20"/>
              </w:rPr>
              <w:t> </w:t>
            </w:r>
            <w:r>
              <w:rPr>
                <w:sz w:val="20"/>
              </w:rPr>
              <w:t>of</w:t>
            </w:r>
            <w:r>
              <w:rPr>
                <w:spacing w:val="-3"/>
                <w:sz w:val="20"/>
              </w:rPr>
              <w:t> </w:t>
            </w:r>
            <w:r>
              <w:rPr>
                <w:spacing w:val="-2"/>
                <w:sz w:val="20"/>
              </w:rPr>
              <w:t>regression</w:t>
            </w:r>
          </w:p>
        </w:tc>
        <w:tc>
          <w:tcPr>
            <w:tcW w:w="1375" w:type="dxa"/>
          </w:tcPr>
          <w:p>
            <w:pPr>
              <w:pStyle w:val="TableParagraph"/>
              <w:spacing w:line="211" w:lineRule="exact"/>
              <w:ind w:right="128"/>
              <w:jc w:val="right"/>
              <w:rPr>
                <w:sz w:val="20"/>
              </w:rPr>
            </w:pPr>
            <w:r>
              <w:rPr>
                <w:spacing w:val="-2"/>
                <w:sz w:val="20"/>
              </w:rPr>
              <w:t>1.564865</w:t>
            </w:r>
          </w:p>
        </w:tc>
        <w:tc>
          <w:tcPr>
            <w:tcW w:w="2368" w:type="dxa"/>
            <w:gridSpan w:val="2"/>
          </w:tcPr>
          <w:p>
            <w:pPr>
              <w:pStyle w:val="TableParagraph"/>
              <w:spacing w:line="211" w:lineRule="exact"/>
              <w:ind w:left="131"/>
              <w:rPr>
                <w:sz w:val="20"/>
              </w:rPr>
            </w:pPr>
            <w:r>
              <w:rPr>
                <w:sz w:val="20"/>
              </w:rPr>
              <w:t>Akaike</w:t>
            </w:r>
            <w:r>
              <w:rPr>
                <w:spacing w:val="-8"/>
                <w:sz w:val="20"/>
              </w:rPr>
              <w:t> </w:t>
            </w:r>
            <w:r>
              <w:rPr>
                <w:sz w:val="20"/>
              </w:rPr>
              <w:t>info</w:t>
            </w:r>
            <w:r>
              <w:rPr>
                <w:spacing w:val="-7"/>
                <w:sz w:val="20"/>
              </w:rPr>
              <w:t> </w:t>
            </w:r>
            <w:r>
              <w:rPr>
                <w:spacing w:val="-2"/>
                <w:sz w:val="20"/>
              </w:rPr>
              <w:t>criterion</w:t>
            </w:r>
          </w:p>
        </w:tc>
        <w:tc>
          <w:tcPr>
            <w:tcW w:w="896" w:type="dxa"/>
          </w:tcPr>
          <w:p>
            <w:pPr>
              <w:pStyle w:val="TableParagraph"/>
              <w:spacing w:line="211" w:lineRule="exact"/>
              <w:ind w:right="26"/>
              <w:jc w:val="right"/>
              <w:rPr>
                <w:sz w:val="20"/>
              </w:rPr>
            </w:pPr>
            <w:r>
              <w:rPr>
                <w:spacing w:val="-2"/>
                <w:sz w:val="20"/>
              </w:rPr>
              <w:t>3.805515</w:t>
            </w:r>
          </w:p>
        </w:tc>
      </w:tr>
      <w:tr>
        <w:trPr>
          <w:trHeight w:val="230" w:hRule="atLeast"/>
        </w:trPr>
        <w:tc>
          <w:tcPr>
            <w:tcW w:w="1847" w:type="dxa"/>
          </w:tcPr>
          <w:p>
            <w:pPr>
              <w:pStyle w:val="TableParagraph"/>
              <w:spacing w:line="211" w:lineRule="exact"/>
              <w:ind w:left="36"/>
              <w:rPr>
                <w:sz w:val="20"/>
              </w:rPr>
            </w:pPr>
            <w:r>
              <w:rPr>
                <w:sz w:val="20"/>
              </w:rPr>
              <w:t>Sum</w:t>
            </w:r>
            <w:r>
              <w:rPr>
                <w:spacing w:val="-8"/>
                <w:sz w:val="20"/>
              </w:rPr>
              <w:t> </w:t>
            </w:r>
            <w:r>
              <w:rPr>
                <w:sz w:val="20"/>
              </w:rPr>
              <w:t>squared</w:t>
            </w:r>
            <w:r>
              <w:rPr>
                <w:spacing w:val="-4"/>
                <w:sz w:val="20"/>
              </w:rPr>
              <w:t> </w:t>
            </w:r>
            <w:r>
              <w:rPr>
                <w:spacing w:val="-2"/>
                <w:sz w:val="20"/>
              </w:rPr>
              <w:t>resid</w:t>
            </w:r>
          </w:p>
        </w:tc>
        <w:tc>
          <w:tcPr>
            <w:tcW w:w="1375" w:type="dxa"/>
          </w:tcPr>
          <w:p>
            <w:pPr>
              <w:pStyle w:val="TableParagraph"/>
              <w:spacing w:line="211" w:lineRule="exact"/>
              <w:ind w:right="128"/>
              <w:jc w:val="right"/>
              <w:rPr>
                <w:sz w:val="20"/>
              </w:rPr>
            </w:pPr>
            <w:r>
              <w:rPr>
                <w:spacing w:val="-2"/>
                <w:sz w:val="20"/>
              </w:rPr>
              <w:t>90.60570</w:t>
            </w:r>
          </w:p>
        </w:tc>
        <w:tc>
          <w:tcPr>
            <w:tcW w:w="2368" w:type="dxa"/>
            <w:gridSpan w:val="2"/>
          </w:tcPr>
          <w:p>
            <w:pPr>
              <w:pStyle w:val="TableParagraph"/>
              <w:spacing w:line="211" w:lineRule="exact"/>
              <w:ind w:left="131"/>
              <w:rPr>
                <w:sz w:val="20"/>
              </w:rPr>
            </w:pPr>
            <w:r>
              <w:rPr>
                <w:sz w:val="20"/>
              </w:rPr>
              <w:t>Schwarz</w:t>
            </w:r>
            <w:r>
              <w:rPr>
                <w:spacing w:val="-8"/>
                <w:sz w:val="20"/>
              </w:rPr>
              <w:t> </w:t>
            </w:r>
            <w:r>
              <w:rPr>
                <w:spacing w:val="-2"/>
                <w:sz w:val="20"/>
              </w:rPr>
              <w:t>criterion</w:t>
            </w:r>
          </w:p>
        </w:tc>
        <w:tc>
          <w:tcPr>
            <w:tcW w:w="896" w:type="dxa"/>
          </w:tcPr>
          <w:p>
            <w:pPr>
              <w:pStyle w:val="TableParagraph"/>
              <w:spacing w:line="211" w:lineRule="exact"/>
              <w:ind w:right="26"/>
              <w:jc w:val="right"/>
              <w:rPr>
                <w:sz w:val="20"/>
              </w:rPr>
            </w:pPr>
            <w:r>
              <w:rPr>
                <w:spacing w:val="-2"/>
                <w:sz w:val="20"/>
              </w:rPr>
              <w:t>3.932181</w:t>
            </w:r>
          </w:p>
        </w:tc>
      </w:tr>
      <w:tr>
        <w:trPr>
          <w:trHeight w:val="230" w:hRule="atLeast"/>
        </w:trPr>
        <w:tc>
          <w:tcPr>
            <w:tcW w:w="1847" w:type="dxa"/>
          </w:tcPr>
          <w:p>
            <w:pPr>
              <w:pStyle w:val="TableParagraph"/>
              <w:spacing w:line="210" w:lineRule="exact"/>
              <w:ind w:left="36"/>
              <w:rPr>
                <w:sz w:val="20"/>
              </w:rPr>
            </w:pPr>
            <w:r>
              <w:rPr>
                <w:sz w:val="20"/>
              </w:rPr>
              <w:t>Log</w:t>
            </w:r>
            <w:r>
              <w:rPr>
                <w:spacing w:val="-6"/>
                <w:sz w:val="20"/>
              </w:rPr>
              <w:t> </w:t>
            </w:r>
            <w:r>
              <w:rPr>
                <w:spacing w:val="-2"/>
                <w:sz w:val="20"/>
              </w:rPr>
              <w:t>likelihood</w:t>
            </w:r>
          </w:p>
        </w:tc>
        <w:tc>
          <w:tcPr>
            <w:tcW w:w="1375" w:type="dxa"/>
          </w:tcPr>
          <w:p>
            <w:pPr>
              <w:pStyle w:val="TableParagraph"/>
              <w:spacing w:line="210" w:lineRule="exact"/>
              <w:ind w:right="128"/>
              <w:jc w:val="right"/>
              <w:rPr>
                <w:sz w:val="20"/>
              </w:rPr>
            </w:pPr>
            <w:r>
              <w:rPr>
                <w:spacing w:val="-4"/>
                <w:sz w:val="20"/>
              </w:rPr>
              <w:t>-</w:t>
            </w:r>
            <w:r>
              <w:rPr>
                <w:spacing w:val="-2"/>
                <w:sz w:val="20"/>
              </w:rPr>
              <w:t>73.11029</w:t>
            </w:r>
          </w:p>
        </w:tc>
        <w:tc>
          <w:tcPr>
            <w:tcW w:w="1432" w:type="dxa"/>
          </w:tcPr>
          <w:p>
            <w:pPr>
              <w:pStyle w:val="TableParagraph"/>
              <w:spacing w:line="210" w:lineRule="exact"/>
              <w:ind w:left="131"/>
              <w:rPr>
                <w:sz w:val="20"/>
              </w:rPr>
            </w:pPr>
            <w:r>
              <w:rPr>
                <w:spacing w:val="-4"/>
                <w:sz w:val="20"/>
              </w:rPr>
              <w:t>F-</w:t>
            </w:r>
            <w:r>
              <w:rPr>
                <w:spacing w:val="-2"/>
                <w:sz w:val="20"/>
              </w:rPr>
              <w:t>statistic</w:t>
            </w:r>
          </w:p>
        </w:tc>
        <w:tc>
          <w:tcPr>
            <w:tcW w:w="936" w:type="dxa"/>
          </w:tcPr>
          <w:p>
            <w:pPr>
              <w:pStyle w:val="TableParagraph"/>
              <w:rPr>
                <w:sz w:val="16"/>
              </w:rPr>
            </w:pPr>
          </w:p>
        </w:tc>
        <w:tc>
          <w:tcPr>
            <w:tcW w:w="896" w:type="dxa"/>
          </w:tcPr>
          <w:p>
            <w:pPr>
              <w:pStyle w:val="TableParagraph"/>
              <w:spacing w:line="210" w:lineRule="exact"/>
              <w:ind w:right="26"/>
              <w:jc w:val="right"/>
              <w:rPr>
                <w:sz w:val="20"/>
              </w:rPr>
            </w:pPr>
            <w:r>
              <w:rPr>
                <w:spacing w:val="-2"/>
                <w:sz w:val="20"/>
              </w:rPr>
              <w:t>5.509019</w:t>
            </w:r>
          </w:p>
        </w:tc>
      </w:tr>
      <w:tr>
        <w:trPr>
          <w:trHeight w:val="265" w:hRule="atLeast"/>
        </w:trPr>
        <w:tc>
          <w:tcPr>
            <w:tcW w:w="1847" w:type="dxa"/>
            <w:tcBorders>
              <w:bottom w:val="double" w:sz="6" w:space="0" w:color="000000"/>
            </w:tcBorders>
          </w:tcPr>
          <w:p>
            <w:pPr>
              <w:pStyle w:val="TableParagraph"/>
              <w:spacing w:line="226" w:lineRule="exact"/>
              <w:ind w:left="36"/>
              <w:rPr>
                <w:sz w:val="20"/>
              </w:rPr>
            </w:pPr>
            <w:r>
              <w:rPr>
                <w:sz w:val="20"/>
              </w:rPr>
              <w:t>Durbin-Watson</w:t>
            </w:r>
            <w:r>
              <w:rPr>
                <w:spacing w:val="-12"/>
                <w:sz w:val="20"/>
              </w:rPr>
              <w:t> </w:t>
            </w:r>
            <w:r>
              <w:rPr>
                <w:spacing w:val="-4"/>
                <w:sz w:val="20"/>
              </w:rPr>
              <w:t>stat</w:t>
            </w:r>
          </w:p>
        </w:tc>
        <w:tc>
          <w:tcPr>
            <w:tcW w:w="1375" w:type="dxa"/>
          </w:tcPr>
          <w:p>
            <w:pPr>
              <w:pStyle w:val="TableParagraph"/>
              <w:spacing w:line="226" w:lineRule="exact"/>
              <w:ind w:right="128"/>
              <w:jc w:val="right"/>
              <w:rPr>
                <w:sz w:val="20"/>
              </w:rPr>
            </w:pPr>
            <w:r>
              <w:rPr>
                <w:spacing w:val="-2"/>
                <w:sz w:val="20"/>
              </w:rPr>
              <w:t>2.263756</w:t>
            </w:r>
          </w:p>
        </w:tc>
        <w:tc>
          <w:tcPr>
            <w:tcW w:w="1432" w:type="dxa"/>
            <w:tcBorders>
              <w:bottom w:val="double" w:sz="6" w:space="0" w:color="000000"/>
            </w:tcBorders>
          </w:tcPr>
          <w:p>
            <w:pPr>
              <w:pStyle w:val="TableParagraph"/>
              <w:spacing w:line="226" w:lineRule="exact"/>
              <w:ind w:left="131"/>
              <w:rPr>
                <w:sz w:val="20"/>
              </w:rPr>
            </w:pPr>
            <w:r>
              <w:rPr>
                <w:spacing w:val="-2"/>
                <w:sz w:val="20"/>
              </w:rPr>
              <w:t>Prob(F-statistic)</w:t>
            </w:r>
          </w:p>
        </w:tc>
        <w:tc>
          <w:tcPr>
            <w:tcW w:w="936" w:type="dxa"/>
            <w:tcBorders>
              <w:bottom w:val="single" w:sz="6" w:space="0" w:color="000000"/>
            </w:tcBorders>
          </w:tcPr>
          <w:p>
            <w:pPr>
              <w:pStyle w:val="TableParagraph"/>
              <w:rPr>
                <w:sz w:val="18"/>
              </w:rPr>
            </w:pPr>
          </w:p>
        </w:tc>
        <w:tc>
          <w:tcPr>
            <w:tcW w:w="896" w:type="dxa"/>
            <w:tcBorders>
              <w:bottom w:val="double" w:sz="6" w:space="0" w:color="000000"/>
            </w:tcBorders>
          </w:tcPr>
          <w:p>
            <w:pPr>
              <w:pStyle w:val="TableParagraph"/>
              <w:spacing w:line="226" w:lineRule="exact"/>
              <w:ind w:right="26"/>
              <w:jc w:val="right"/>
              <w:rPr>
                <w:sz w:val="20"/>
              </w:rPr>
            </w:pPr>
            <w:r>
              <w:rPr>
                <w:spacing w:val="-2"/>
                <w:sz w:val="20"/>
              </w:rPr>
              <w:t>0.008049</w:t>
            </w:r>
          </w:p>
        </w:tc>
      </w:tr>
    </w:tbl>
    <w:p>
      <w:pPr>
        <w:spacing w:after="0" w:line="226" w:lineRule="exact"/>
        <w:jc w:val="right"/>
        <w:rPr>
          <w:sz w:val="20"/>
        </w:rPr>
        <w:sectPr>
          <w:pgSz w:w="11910" w:h="16840"/>
          <w:pgMar w:header="0" w:footer="979" w:top="1340" w:bottom="1240" w:left="280" w:right="0"/>
        </w:sectPr>
      </w:pPr>
    </w:p>
    <w:p>
      <w:pPr>
        <w:spacing w:before="82" w:after="3"/>
        <w:ind w:left="711" w:right="0" w:firstLine="0"/>
        <w:jc w:val="left"/>
        <w:rPr>
          <w:sz w:val="20"/>
        </w:rPr>
      </w:pPr>
      <w:r>
        <w:rPr>
          <w:sz w:val="20"/>
        </w:rPr>
        <w:t>CAB</w:t>
      </w:r>
      <w:r>
        <w:rPr>
          <w:spacing w:val="-3"/>
          <w:sz w:val="20"/>
        </w:rPr>
        <w:t> </w:t>
      </w:r>
      <w:r>
        <w:rPr>
          <w:sz w:val="20"/>
        </w:rPr>
        <w:t>@</w:t>
      </w:r>
      <w:r>
        <w:rPr>
          <w:spacing w:val="-4"/>
          <w:sz w:val="20"/>
        </w:rPr>
        <w:t> </w:t>
      </w:r>
      <w:r>
        <w:rPr>
          <w:sz w:val="20"/>
        </w:rPr>
        <w:t>1</w:t>
      </w:r>
      <w:r>
        <w:rPr>
          <w:sz w:val="20"/>
          <w:vertAlign w:val="superscript"/>
        </w:rPr>
        <w:t>ST</w:t>
      </w:r>
      <w:r>
        <w:rPr>
          <w:spacing w:val="-3"/>
          <w:sz w:val="20"/>
          <w:vertAlign w:val="baseline"/>
        </w:rPr>
        <w:t> </w:t>
      </w:r>
      <w:r>
        <w:rPr>
          <w:spacing w:val="-4"/>
          <w:sz w:val="20"/>
          <w:vertAlign w:val="baseline"/>
        </w:rPr>
        <w:t>DIFF</w:t>
      </w:r>
    </w:p>
    <w:tbl>
      <w:tblPr>
        <w:tblW w:w="0" w:type="auto"/>
        <w:jc w:val="left"/>
        <w:tblInd w:w="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47"/>
        <w:gridCol w:w="1375"/>
        <w:gridCol w:w="1432"/>
        <w:gridCol w:w="904"/>
        <w:gridCol w:w="929"/>
      </w:tblGrid>
      <w:tr>
        <w:trPr>
          <w:trHeight w:val="224" w:hRule="atLeast"/>
        </w:trPr>
        <w:tc>
          <w:tcPr>
            <w:tcW w:w="1847" w:type="dxa"/>
          </w:tcPr>
          <w:p>
            <w:pPr>
              <w:pStyle w:val="TableParagraph"/>
              <w:spacing w:line="204" w:lineRule="exact"/>
              <w:ind w:left="36"/>
              <w:rPr>
                <w:sz w:val="20"/>
              </w:rPr>
            </w:pPr>
            <w:r>
              <w:rPr>
                <w:sz w:val="20"/>
              </w:rPr>
              <w:t>ADF</w:t>
            </w:r>
            <w:r>
              <w:rPr>
                <w:spacing w:val="-4"/>
                <w:sz w:val="20"/>
              </w:rPr>
              <w:t> </w:t>
            </w:r>
            <w:r>
              <w:rPr>
                <w:sz w:val="20"/>
              </w:rPr>
              <w:t>Test</w:t>
            </w:r>
            <w:r>
              <w:rPr>
                <w:spacing w:val="-4"/>
                <w:sz w:val="20"/>
              </w:rPr>
              <w:t> </w:t>
            </w:r>
            <w:r>
              <w:rPr>
                <w:spacing w:val="-2"/>
                <w:sz w:val="20"/>
              </w:rPr>
              <w:t>Statistic</w:t>
            </w:r>
          </w:p>
        </w:tc>
        <w:tc>
          <w:tcPr>
            <w:tcW w:w="1375" w:type="dxa"/>
          </w:tcPr>
          <w:p>
            <w:pPr>
              <w:pStyle w:val="TableParagraph"/>
              <w:spacing w:line="204" w:lineRule="exact"/>
              <w:ind w:left="219"/>
              <w:rPr>
                <w:sz w:val="20"/>
              </w:rPr>
            </w:pPr>
            <w:r>
              <w:rPr>
                <w:spacing w:val="-4"/>
                <w:sz w:val="20"/>
              </w:rPr>
              <w:t>-</w:t>
            </w:r>
            <w:r>
              <w:rPr>
                <w:spacing w:val="-2"/>
                <w:sz w:val="20"/>
              </w:rPr>
              <w:t>7.239098</w:t>
            </w:r>
          </w:p>
        </w:tc>
        <w:tc>
          <w:tcPr>
            <w:tcW w:w="2336" w:type="dxa"/>
            <w:gridSpan w:val="2"/>
          </w:tcPr>
          <w:p>
            <w:pPr>
              <w:pStyle w:val="TableParagraph"/>
              <w:spacing w:line="204" w:lineRule="exact"/>
              <w:ind w:left="131"/>
              <w:rPr>
                <w:sz w:val="20"/>
              </w:rPr>
            </w:pPr>
            <w:r>
              <w:rPr>
                <w:sz w:val="20"/>
              </w:rPr>
              <w:t>1%</w:t>
            </w:r>
            <w:r>
              <w:rPr>
                <w:spacing w:val="68"/>
                <w:w w:val="150"/>
                <w:sz w:val="20"/>
              </w:rPr>
              <w:t> </w:t>
            </w:r>
            <w:r>
              <w:rPr>
                <w:sz w:val="20"/>
              </w:rPr>
              <w:t>Critical</w:t>
            </w:r>
            <w:r>
              <w:rPr>
                <w:spacing w:val="-2"/>
                <w:sz w:val="20"/>
              </w:rPr>
              <w:t> Value*</w:t>
            </w:r>
          </w:p>
        </w:tc>
        <w:tc>
          <w:tcPr>
            <w:tcW w:w="929" w:type="dxa"/>
          </w:tcPr>
          <w:p>
            <w:pPr>
              <w:pStyle w:val="TableParagraph"/>
              <w:spacing w:line="204" w:lineRule="exact"/>
              <w:ind w:right="27"/>
              <w:jc w:val="right"/>
              <w:rPr>
                <w:sz w:val="20"/>
              </w:rPr>
            </w:pPr>
            <w:r>
              <w:rPr>
                <w:spacing w:val="-4"/>
                <w:sz w:val="20"/>
              </w:rPr>
              <w:t>-</w:t>
            </w:r>
            <w:r>
              <w:rPr>
                <w:spacing w:val="-2"/>
                <w:sz w:val="20"/>
              </w:rPr>
              <w:t>3.6067</w:t>
            </w:r>
          </w:p>
        </w:tc>
      </w:tr>
      <w:tr>
        <w:trPr>
          <w:trHeight w:val="229" w:hRule="atLeast"/>
        </w:trPr>
        <w:tc>
          <w:tcPr>
            <w:tcW w:w="1847" w:type="dxa"/>
          </w:tcPr>
          <w:p>
            <w:pPr>
              <w:pStyle w:val="TableParagraph"/>
              <w:rPr>
                <w:sz w:val="16"/>
              </w:rPr>
            </w:pPr>
          </w:p>
        </w:tc>
        <w:tc>
          <w:tcPr>
            <w:tcW w:w="1375" w:type="dxa"/>
          </w:tcPr>
          <w:p>
            <w:pPr>
              <w:pStyle w:val="TableParagraph"/>
              <w:rPr>
                <w:sz w:val="16"/>
              </w:rPr>
            </w:pPr>
          </w:p>
        </w:tc>
        <w:tc>
          <w:tcPr>
            <w:tcW w:w="2336" w:type="dxa"/>
            <w:gridSpan w:val="2"/>
          </w:tcPr>
          <w:p>
            <w:pPr>
              <w:pStyle w:val="TableParagraph"/>
              <w:spacing w:line="209" w:lineRule="exact"/>
              <w:ind w:left="131"/>
              <w:rPr>
                <w:sz w:val="20"/>
              </w:rPr>
            </w:pPr>
            <w:r>
              <w:rPr>
                <w:sz w:val="20"/>
              </w:rPr>
              <w:t>5%</w:t>
            </w:r>
            <w:r>
              <w:rPr>
                <w:spacing w:val="68"/>
                <w:w w:val="150"/>
                <w:sz w:val="20"/>
              </w:rPr>
              <w:t> </w:t>
            </w:r>
            <w:r>
              <w:rPr>
                <w:sz w:val="20"/>
              </w:rPr>
              <w:t>Critical</w:t>
            </w:r>
            <w:r>
              <w:rPr>
                <w:spacing w:val="-2"/>
                <w:sz w:val="20"/>
              </w:rPr>
              <w:t> </w:t>
            </w:r>
            <w:r>
              <w:rPr>
                <w:spacing w:val="-4"/>
                <w:sz w:val="20"/>
              </w:rPr>
              <w:t>Value</w:t>
            </w:r>
          </w:p>
        </w:tc>
        <w:tc>
          <w:tcPr>
            <w:tcW w:w="929" w:type="dxa"/>
          </w:tcPr>
          <w:p>
            <w:pPr>
              <w:pStyle w:val="TableParagraph"/>
              <w:spacing w:line="209" w:lineRule="exact"/>
              <w:ind w:right="27"/>
              <w:jc w:val="right"/>
              <w:rPr>
                <w:sz w:val="20"/>
              </w:rPr>
            </w:pPr>
            <w:r>
              <w:rPr>
                <w:spacing w:val="-4"/>
                <w:sz w:val="20"/>
              </w:rPr>
              <w:t>-</w:t>
            </w:r>
            <w:r>
              <w:rPr>
                <w:spacing w:val="-2"/>
                <w:sz w:val="20"/>
              </w:rPr>
              <w:t>2.9378</w:t>
            </w:r>
          </w:p>
        </w:tc>
      </w:tr>
      <w:tr>
        <w:trPr>
          <w:trHeight w:val="224" w:hRule="atLeast"/>
        </w:trPr>
        <w:tc>
          <w:tcPr>
            <w:tcW w:w="1847" w:type="dxa"/>
            <w:tcBorders>
              <w:bottom w:val="double" w:sz="6" w:space="0" w:color="000000"/>
            </w:tcBorders>
          </w:tcPr>
          <w:p>
            <w:pPr>
              <w:pStyle w:val="TableParagraph"/>
              <w:rPr>
                <w:sz w:val="16"/>
              </w:rPr>
            </w:pPr>
          </w:p>
        </w:tc>
        <w:tc>
          <w:tcPr>
            <w:tcW w:w="1375" w:type="dxa"/>
            <w:tcBorders>
              <w:bottom w:val="double" w:sz="6" w:space="0" w:color="000000"/>
            </w:tcBorders>
          </w:tcPr>
          <w:p>
            <w:pPr>
              <w:pStyle w:val="TableParagraph"/>
              <w:rPr>
                <w:sz w:val="16"/>
              </w:rPr>
            </w:pPr>
          </w:p>
        </w:tc>
        <w:tc>
          <w:tcPr>
            <w:tcW w:w="2336" w:type="dxa"/>
            <w:gridSpan w:val="2"/>
            <w:tcBorders>
              <w:bottom w:val="double" w:sz="6" w:space="0" w:color="000000"/>
            </w:tcBorders>
          </w:tcPr>
          <w:p>
            <w:pPr>
              <w:pStyle w:val="TableParagraph"/>
              <w:spacing w:line="205" w:lineRule="exact"/>
              <w:ind w:left="131"/>
              <w:rPr>
                <w:sz w:val="20"/>
              </w:rPr>
            </w:pPr>
            <w:r>
              <w:rPr>
                <w:sz w:val="20"/>
              </w:rPr>
              <w:t>10%</w:t>
            </w:r>
            <w:r>
              <w:rPr>
                <w:spacing w:val="-6"/>
                <w:sz w:val="20"/>
              </w:rPr>
              <w:t> </w:t>
            </w:r>
            <w:r>
              <w:rPr>
                <w:sz w:val="20"/>
              </w:rPr>
              <w:t>Critical</w:t>
            </w:r>
            <w:r>
              <w:rPr>
                <w:spacing w:val="-4"/>
                <w:sz w:val="20"/>
              </w:rPr>
              <w:t> </w:t>
            </w:r>
            <w:r>
              <w:rPr>
                <w:spacing w:val="-2"/>
                <w:sz w:val="20"/>
              </w:rPr>
              <w:t>Value</w:t>
            </w:r>
          </w:p>
        </w:tc>
        <w:tc>
          <w:tcPr>
            <w:tcW w:w="929" w:type="dxa"/>
            <w:tcBorders>
              <w:bottom w:val="double" w:sz="6" w:space="0" w:color="000000"/>
            </w:tcBorders>
          </w:tcPr>
          <w:p>
            <w:pPr>
              <w:pStyle w:val="TableParagraph"/>
              <w:spacing w:line="205" w:lineRule="exact"/>
              <w:ind w:right="27"/>
              <w:jc w:val="right"/>
              <w:rPr>
                <w:sz w:val="20"/>
              </w:rPr>
            </w:pPr>
            <w:r>
              <w:rPr>
                <w:spacing w:val="-4"/>
                <w:sz w:val="20"/>
              </w:rPr>
              <w:t>-</w:t>
            </w:r>
            <w:r>
              <w:rPr>
                <w:spacing w:val="-2"/>
                <w:sz w:val="20"/>
              </w:rPr>
              <w:t>2.6069</w:t>
            </w:r>
          </w:p>
        </w:tc>
      </w:tr>
      <w:tr>
        <w:trPr>
          <w:trHeight w:val="506" w:hRule="atLeast"/>
        </w:trPr>
        <w:tc>
          <w:tcPr>
            <w:tcW w:w="6487" w:type="dxa"/>
            <w:gridSpan w:val="5"/>
            <w:tcBorders>
              <w:top w:val="double" w:sz="6" w:space="0" w:color="000000"/>
            </w:tcBorders>
          </w:tcPr>
          <w:p>
            <w:pPr>
              <w:pStyle w:val="TableParagraph"/>
              <w:spacing w:before="42"/>
              <w:ind w:left="36"/>
              <w:rPr>
                <w:sz w:val="20"/>
              </w:rPr>
            </w:pPr>
            <w:r>
              <w:rPr>
                <w:sz w:val="20"/>
              </w:rPr>
              <w:t>*MacKinnon</w:t>
            </w:r>
            <w:r>
              <w:rPr>
                <w:spacing w:val="-6"/>
                <w:sz w:val="20"/>
              </w:rPr>
              <w:t> </w:t>
            </w:r>
            <w:r>
              <w:rPr>
                <w:sz w:val="20"/>
              </w:rPr>
              <w:t>critical</w:t>
            </w:r>
            <w:r>
              <w:rPr>
                <w:spacing w:val="-4"/>
                <w:sz w:val="20"/>
              </w:rPr>
              <w:t> </w:t>
            </w:r>
            <w:r>
              <w:rPr>
                <w:sz w:val="20"/>
              </w:rPr>
              <w:t>values</w:t>
            </w:r>
            <w:r>
              <w:rPr>
                <w:spacing w:val="-6"/>
                <w:sz w:val="20"/>
              </w:rPr>
              <w:t> </w:t>
            </w:r>
            <w:r>
              <w:rPr>
                <w:sz w:val="20"/>
              </w:rPr>
              <w:t>for</w:t>
            </w:r>
            <w:r>
              <w:rPr>
                <w:spacing w:val="-4"/>
                <w:sz w:val="20"/>
              </w:rPr>
              <w:t> </w:t>
            </w:r>
            <w:r>
              <w:rPr>
                <w:sz w:val="20"/>
              </w:rPr>
              <w:t>rejection</w:t>
            </w:r>
            <w:r>
              <w:rPr>
                <w:spacing w:val="-6"/>
                <w:sz w:val="20"/>
              </w:rPr>
              <w:t> </w:t>
            </w:r>
            <w:r>
              <w:rPr>
                <w:sz w:val="20"/>
              </w:rPr>
              <w:t>of</w:t>
            </w:r>
            <w:r>
              <w:rPr>
                <w:spacing w:val="-6"/>
                <w:sz w:val="20"/>
              </w:rPr>
              <w:t> </w:t>
            </w:r>
            <w:r>
              <w:rPr>
                <w:sz w:val="20"/>
              </w:rPr>
              <w:t>hypothesis</w:t>
            </w:r>
            <w:r>
              <w:rPr>
                <w:spacing w:val="-5"/>
                <w:sz w:val="20"/>
              </w:rPr>
              <w:t> </w:t>
            </w:r>
            <w:r>
              <w:rPr>
                <w:sz w:val="20"/>
              </w:rPr>
              <w:t>of</w:t>
            </w:r>
            <w:r>
              <w:rPr>
                <w:spacing w:val="-6"/>
                <w:sz w:val="20"/>
              </w:rPr>
              <w:t> </w:t>
            </w:r>
            <w:r>
              <w:rPr>
                <w:sz w:val="20"/>
              </w:rPr>
              <w:t>a</w:t>
            </w:r>
            <w:r>
              <w:rPr>
                <w:spacing w:val="1"/>
                <w:sz w:val="20"/>
              </w:rPr>
              <w:t> </w:t>
            </w:r>
            <w:r>
              <w:rPr>
                <w:sz w:val="20"/>
              </w:rPr>
              <w:t>unit</w:t>
            </w:r>
            <w:r>
              <w:rPr>
                <w:spacing w:val="-5"/>
                <w:sz w:val="20"/>
              </w:rPr>
              <w:t> </w:t>
            </w:r>
            <w:r>
              <w:rPr>
                <w:spacing w:val="-2"/>
                <w:sz w:val="20"/>
              </w:rPr>
              <w:t>root.</w:t>
            </w:r>
          </w:p>
        </w:tc>
      </w:tr>
      <w:tr>
        <w:trPr>
          <w:trHeight w:val="459" w:hRule="atLeast"/>
        </w:trPr>
        <w:tc>
          <w:tcPr>
            <w:tcW w:w="6487" w:type="dxa"/>
            <w:gridSpan w:val="5"/>
          </w:tcPr>
          <w:p>
            <w:pPr>
              <w:pStyle w:val="TableParagraph"/>
              <w:spacing w:line="215" w:lineRule="exact" w:before="225"/>
              <w:ind w:left="36"/>
              <w:rPr>
                <w:sz w:val="20"/>
              </w:rPr>
            </w:pPr>
            <w:r>
              <w:rPr>
                <w:sz w:val="20"/>
              </w:rPr>
              <w:t>Augmented</w:t>
            </w:r>
            <w:r>
              <w:rPr>
                <w:spacing w:val="-8"/>
                <w:sz w:val="20"/>
              </w:rPr>
              <w:t> </w:t>
            </w:r>
            <w:r>
              <w:rPr>
                <w:sz w:val="20"/>
              </w:rPr>
              <w:t>Dickey-Fuller</w:t>
            </w:r>
            <w:r>
              <w:rPr>
                <w:spacing w:val="-8"/>
                <w:sz w:val="20"/>
              </w:rPr>
              <w:t> </w:t>
            </w:r>
            <w:r>
              <w:rPr>
                <w:sz w:val="20"/>
              </w:rPr>
              <w:t>Test</w:t>
            </w:r>
            <w:r>
              <w:rPr>
                <w:spacing w:val="-9"/>
                <w:sz w:val="20"/>
              </w:rPr>
              <w:t> </w:t>
            </w:r>
            <w:r>
              <w:rPr>
                <w:spacing w:val="-2"/>
                <w:sz w:val="20"/>
              </w:rPr>
              <w:t>Equation</w:t>
            </w:r>
          </w:p>
        </w:tc>
      </w:tr>
      <w:tr>
        <w:trPr>
          <w:trHeight w:val="230" w:hRule="atLeast"/>
        </w:trPr>
        <w:tc>
          <w:tcPr>
            <w:tcW w:w="6487" w:type="dxa"/>
            <w:gridSpan w:val="5"/>
          </w:tcPr>
          <w:p>
            <w:pPr>
              <w:pStyle w:val="TableParagraph"/>
              <w:spacing w:line="210" w:lineRule="exact"/>
              <w:ind w:left="36"/>
              <w:rPr>
                <w:sz w:val="20"/>
              </w:rPr>
            </w:pPr>
            <w:r>
              <w:rPr>
                <w:sz w:val="20"/>
              </w:rPr>
              <w:t>Dependent</w:t>
            </w:r>
            <w:r>
              <w:rPr>
                <w:spacing w:val="-8"/>
                <w:sz w:val="20"/>
              </w:rPr>
              <w:t> </w:t>
            </w:r>
            <w:r>
              <w:rPr>
                <w:sz w:val="20"/>
              </w:rPr>
              <w:t>Variable:</w:t>
            </w:r>
            <w:r>
              <w:rPr>
                <w:spacing w:val="-8"/>
                <w:sz w:val="20"/>
              </w:rPr>
              <w:t> </w:t>
            </w:r>
            <w:r>
              <w:rPr>
                <w:spacing w:val="-2"/>
                <w:sz w:val="20"/>
              </w:rPr>
              <w:t>D(CAB,2)</w:t>
            </w:r>
          </w:p>
        </w:tc>
      </w:tr>
      <w:tr>
        <w:trPr>
          <w:trHeight w:val="229" w:hRule="atLeast"/>
        </w:trPr>
        <w:tc>
          <w:tcPr>
            <w:tcW w:w="6487" w:type="dxa"/>
            <w:gridSpan w:val="5"/>
          </w:tcPr>
          <w:p>
            <w:pPr>
              <w:pStyle w:val="TableParagraph"/>
              <w:spacing w:line="209" w:lineRule="exact"/>
              <w:ind w:left="36"/>
              <w:rPr>
                <w:sz w:val="20"/>
              </w:rPr>
            </w:pPr>
            <w:r>
              <w:rPr>
                <w:sz w:val="20"/>
              </w:rPr>
              <w:t>Method:</w:t>
            </w:r>
            <w:r>
              <w:rPr>
                <w:spacing w:val="-8"/>
                <w:sz w:val="20"/>
              </w:rPr>
              <w:t> </w:t>
            </w:r>
            <w:r>
              <w:rPr>
                <w:sz w:val="20"/>
              </w:rPr>
              <w:t>Least</w:t>
            </w:r>
            <w:r>
              <w:rPr>
                <w:spacing w:val="-7"/>
                <w:sz w:val="20"/>
              </w:rPr>
              <w:t> </w:t>
            </w:r>
            <w:r>
              <w:rPr>
                <w:spacing w:val="-2"/>
                <w:sz w:val="20"/>
              </w:rPr>
              <w:t>Squares</w:t>
            </w:r>
          </w:p>
        </w:tc>
      </w:tr>
      <w:tr>
        <w:trPr>
          <w:trHeight w:val="229" w:hRule="atLeast"/>
        </w:trPr>
        <w:tc>
          <w:tcPr>
            <w:tcW w:w="6487" w:type="dxa"/>
            <w:gridSpan w:val="5"/>
          </w:tcPr>
          <w:p>
            <w:pPr>
              <w:pStyle w:val="TableParagraph"/>
              <w:spacing w:line="209" w:lineRule="exact"/>
              <w:ind w:left="36"/>
              <w:rPr>
                <w:sz w:val="20"/>
              </w:rPr>
            </w:pPr>
            <w:r>
              <w:rPr>
                <w:sz w:val="20"/>
              </w:rPr>
              <w:t>Date:</w:t>
            </w:r>
            <w:r>
              <w:rPr>
                <w:spacing w:val="-5"/>
                <w:sz w:val="20"/>
              </w:rPr>
              <w:t> </w:t>
            </w:r>
            <w:r>
              <w:rPr>
                <w:sz w:val="20"/>
              </w:rPr>
              <w:t>02/17/14</w:t>
            </w:r>
            <w:r>
              <w:rPr>
                <w:spacing w:val="63"/>
                <w:w w:val="150"/>
                <w:sz w:val="20"/>
              </w:rPr>
              <w:t> </w:t>
            </w:r>
            <w:r>
              <w:rPr>
                <w:sz w:val="20"/>
              </w:rPr>
              <w:t>Time:</w:t>
            </w:r>
            <w:r>
              <w:rPr>
                <w:spacing w:val="-3"/>
                <w:sz w:val="20"/>
              </w:rPr>
              <w:t> </w:t>
            </w:r>
            <w:r>
              <w:rPr>
                <w:spacing w:val="-2"/>
                <w:sz w:val="20"/>
              </w:rPr>
              <w:t>17:11</w:t>
            </w:r>
          </w:p>
        </w:tc>
      </w:tr>
      <w:tr>
        <w:trPr>
          <w:trHeight w:val="230" w:hRule="atLeast"/>
        </w:trPr>
        <w:tc>
          <w:tcPr>
            <w:tcW w:w="6487" w:type="dxa"/>
            <w:gridSpan w:val="5"/>
          </w:tcPr>
          <w:p>
            <w:pPr>
              <w:pStyle w:val="TableParagraph"/>
              <w:spacing w:line="210" w:lineRule="exact"/>
              <w:ind w:left="36"/>
              <w:rPr>
                <w:sz w:val="20"/>
              </w:rPr>
            </w:pPr>
            <w:r>
              <w:rPr>
                <w:sz w:val="20"/>
              </w:rPr>
              <w:t>Sample(adjusted):</w:t>
            </w:r>
            <w:r>
              <w:rPr>
                <w:spacing w:val="-9"/>
                <w:sz w:val="20"/>
              </w:rPr>
              <w:t> </w:t>
            </w:r>
            <w:r>
              <w:rPr>
                <w:sz w:val="20"/>
              </w:rPr>
              <w:t>1973</w:t>
            </w:r>
            <w:r>
              <w:rPr>
                <w:spacing w:val="-9"/>
                <w:sz w:val="20"/>
              </w:rPr>
              <w:t> </w:t>
            </w:r>
            <w:r>
              <w:rPr>
                <w:spacing w:val="-4"/>
                <w:sz w:val="20"/>
              </w:rPr>
              <w:t>2011</w:t>
            </w:r>
          </w:p>
        </w:tc>
      </w:tr>
      <w:tr>
        <w:trPr>
          <w:trHeight w:val="224" w:hRule="atLeast"/>
        </w:trPr>
        <w:tc>
          <w:tcPr>
            <w:tcW w:w="6487" w:type="dxa"/>
            <w:gridSpan w:val="5"/>
            <w:tcBorders>
              <w:bottom w:val="double" w:sz="6" w:space="0" w:color="000000"/>
            </w:tcBorders>
          </w:tcPr>
          <w:p>
            <w:pPr>
              <w:pStyle w:val="TableParagraph"/>
              <w:spacing w:line="205" w:lineRule="exact"/>
              <w:ind w:left="36"/>
              <w:rPr>
                <w:sz w:val="20"/>
              </w:rPr>
            </w:pPr>
            <w:r>
              <w:rPr>
                <w:sz w:val="20"/>
              </w:rPr>
              <w:t>Included</w:t>
            </w:r>
            <w:r>
              <w:rPr>
                <w:spacing w:val="-6"/>
                <w:sz w:val="20"/>
              </w:rPr>
              <w:t> </w:t>
            </w:r>
            <w:r>
              <w:rPr>
                <w:sz w:val="20"/>
              </w:rPr>
              <w:t>observations:</w:t>
            </w:r>
            <w:r>
              <w:rPr>
                <w:spacing w:val="-8"/>
                <w:sz w:val="20"/>
              </w:rPr>
              <w:t> </w:t>
            </w:r>
            <w:r>
              <w:rPr>
                <w:sz w:val="20"/>
              </w:rPr>
              <w:t>39</w:t>
            </w:r>
            <w:r>
              <w:rPr>
                <w:spacing w:val="-5"/>
                <w:sz w:val="20"/>
              </w:rPr>
              <w:t> </w:t>
            </w:r>
            <w:r>
              <w:rPr>
                <w:sz w:val="20"/>
              </w:rPr>
              <w:t>after</w:t>
            </w:r>
            <w:r>
              <w:rPr>
                <w:spacing w:val="-7"/>
                <w:sz w:val="20"/>
              </w:rPr>
              <w:t> </w:t>
            </w:r>
            <w:r>
              <w:rPr>
                <w:sz w:val="20"/>
              </w:rPr>
              <w:t>adjusting</w:t>
            </w:r>
            <w:r>
              <w:rPr>
                <w:spacing w:val="-7"/>
                <w:sz w:val="20"/>
              </w:rPr>
              <w:t> </w:t>
            </w:r>
            <w:r>
              <w:rPr>
                <w:spacing w:val="-2"/>
                <w:sz w:val="20"/>
              </w:rPr>
              <w:t>endpoints</w:t>
            </w:r>
          </w:p>
        </w:tc>
      </w:tr>
      <w:tr>
        <w:trPr>
          <w:trHeight w:val="269" w:hRule="atLeast"/>
        </w:trPr>
        <w:tc>
          <w:tcPr>
            <w:tcW w:w="1847" w:type="dxa"/>
            <w:tcBorders>
              <w:top w:val="double" w:sz="6" w:space="0" w:color="000000"/>
              <w:bottom w:val="double" w:sz="6" w:space="0" w:color="000000"/>
            </w:tcBorders>
          </w:tcPr>
          <w:p>
            <w:pPr>
              <w:pStyle w:val="TableParagraph"/>
              <w:spacing w:line="209" w:lineRule="exact" w:before="40"/>
              <w:ind w:left="677"/>
              <w:rPr>
                <w:sz w:val="20"/>
              </w:rPr>
            </w:pPr>
            <w:r>
              <w:rPr>
                <w:spacing w:val="-2"/>
                <w:sz w:val="20"/>
              </w:rPr>
              <w:t>Variable</w:t>
            </w:r>
          </w:p>
        </w:tc>
        <w:tc>
          <w:tcPr>
            <w:tcW w:w="1375" w:type="dxa"/>
            <w:tcBorders>
              <w:top w:val="double" w:sz="6" w:space="0" w:color="000000"/>
              <w:bottom w:val="double" w:sz="6" w:space="0" w:color="000000"/>
            </w:tcBorders>
          </w:tcPr>
          <w:p>
            <w:pPr>
              <w:pStyle w:val="TableParagraph"/>
              <w:spacing w:line="209" w:lineRule="exact" w:before="40"/>
              <w:ind w:right="131"/>
              <w:jc w:val="right"/>
              <w:rPr>
                <w:sz w:val="20"/>
              </w:rPr>
            </w:pPr>
            <w:r>
              <w:rPr>
                <w:spacing w:val="-2"/>
                <w:sz w:val="20"/>
              </w:rPr>
              <w:t>Coefficient</w:t>
            </w:r>
          </w:p>
        </w:tc>
        <w:tc>
          <w:tcPr>
            <w:tcW w:w="1432" w:type="dxa"/>
            <w:tcBorders>
              <w:top w:val="double" w:sz="6" w:space="0" w:color="000000"/>
              <w:bottom w:val="double" w:sz="6" w:space="0" w:color="000000"/>
            </w:tcBorders>
          </w:tcPr>
          <w:p>
            <w:pPr>
              <w:pStyle w:val="TableParagraph"/>
              <w:spacing w:line="209" w:lineRule="exact" w:before="40"/>
              <w:ind w:left="273"/>
              <w:rPr>
                <w:sz w:val="20"/>
              </w:rPr>
            </w:pPr>
            <w:r>
              <w:rPr>
                <w:sz w:val="20"/>
              </w:rPr>
              <w:t>Std.</w:t>
            </w:r>
            <w:r>
              <w:rPr>
                <w:spacing w:val="-4"/>
                <w:sz w:val="20"/>
              </w:rPr>
              <w:t> </w:t>
            </w:r>
            <w:r>
              <w:rPr>
                <w:spacing w:val="-2"/>
                <w:sz w:val="20"/>
              </w:rPr>
              <w:t>Error</w:t>
            </w:r>
          </w:p>
        </w:tc>
        <w:tc>
          <w:tcPr>
            <w:tcW w:w="904" w:type="dxa"/>
            <w:tcBorders>
              <w:top w:val="double" w:sz="6" w:space="0" w:color="000000"/>
              <w:bottom w:val="double" w:sz="6" w:space="0" w:color="000000"/>
            </w:tcBorders>
          </w:tcPr>
          <w:p>
            <w:pPr>
              <w:pStyle w:val="TableParagraph"/>
              <w:spacing w:line="209" w:lineRule="exact" w:before="40"/>
              <w:ind w:right="22"/>
              <w:jc w:val="center"/>
              <w:rPr>
                <w:sz w:val="20"/>
              </w:rPr>
            </w:pPr>
            <w:r>
              <w:rPr>
                <w:spacing w:val="-4"/>
                <w:sz w:val="20"/>
              </w:rPr>
              <w:t>t-</w:t>
            </w:r>
            <w:r>
              <w:rPr>
                <w:spacing w:val="-2"/>
                <w:sz w:val="20"/>
              </w:rPr>
              <w:t>Statistic</w:t>
            </w:r>
          </w:p>
        </w:tc>
        <w:tc>
          <w:tcPr>
            <w:tcW w:w="929" w:type="dxa"/>
            <w:tcBorders>
              <w:top w:val="double" w:sz="6" w:space="0" w:color="000000"/>
              <w:bottom w:val="double" w:sz="6" w:space="0" w:color="000000"/>
            </w:tcBorders>
          </w:tcPr>
          <w:p>
            <w:pPr>
              <w:pStyle w:val="TableParagraph"/>
              <w:spacing w:line="209" w:lineRule="exact" w:before="40"/>
              <w:ind w:right="28"/>
              <w:jc w:val="right"/>
              <w:rPr>
                <w:sz w:val="20"/>
              </w:rPr>
            </w:pPr>
            <w:r>
              <w:rPr>
                <w:spacing w:val="-2"/>
                <w:sz w:val="20"/>
              </w:rPr>
              <w:t>Prob.</w:t>
            </w:r>
          </w:p>
        </w:tc>
      </w:tr>
      <w:tr>
        <w:trPr>
          <w:trHeight w:val="276" w:hRule="atLeast"/>
        </w:trPr>
        <w:tc>
          <w:tcPr>
            <w:tcW w:w="1847" w:type="dxa"/>
            <w:tcBorders>
              <w:top w:val="double" w:sz="6" w:space="0" w:color="000000"/>
            </w:tcBorders>
          </w:tcPr>
          <w:p>
            <w:pPr>
              <w:pStyle w:val="TableParagraph"/>
              <w:spacing w:line="214" w:lineRule="exact" w:before="42"/>
              <w:ind w:left="528"/>
              <w:rPr>
                <w:sz w:val="20"/>
              </w:rPr>
            </w:pPr>
            <w:r>
              <w:rPr>
                <w:spacing w:val="-2"/>
                <w:sz w:val="20"/>
              </w:rPr>
              <w:t>D(CAB(-</w:t>
            </w:r>
            <w:r>
              <w:rPr>
                <w:spacing w:val="-5"/>
                <w:sz w:val="20"/>
              </w:rPr>
              <w:t>1))</w:t>
            </w:r>
          </w:p>
        </w:tc>
        <w:tc>
          <w:tcPr>
            <w:tcW w:w="1375" w:type="dxa"/>
            <w:tcBorders>
              <w:top w:val="double" w:sz="6" w:space="0" w:color="000000"/>
            </w:tcBorders>
          </w:tcPr>
          <w:p>
            <w:pPr>
              <w:pStyle w:val="TableParagraph"/>
              <w:spacing w:line="214" w:lineRule="exact" w:before="42"/>
              <w:ind w:right="128"/>
              <w:jc w:val="right"/>
              <w:rPr>
                <w:sz w:val="20"/>
              </w:rPr>
            </w:pPr>
            <w:r>
              <w:rPr>
                <w:spacing w:val="-4"/>
                <w:sz w:val="20"/>
              </w:rPr>
              <w:t>-</w:t>
            </w:r>
            <w:r>
              <w:rPr>
                <w:spacing w:val="-2"/>
                <w:sz w:val="20"/>
              </w:rPr>
              <w:t>1.937014</w:t>
            </w:r>
          </w:p>
        </w:tc>
        <w:tc>
          <w:tcPr>
            <w:tcW w:w="1432" w:type="dxa"/>
            <w:tcBorders>
              <w:top w:val="double" w:sz="6" w:space="0" w:color="000000"/>
            </w:tcBorders>
          </w:tcPr>
          <w:p>
            <w:pPr>
              <w:pStyle w:val="TableParagraph"/>
              <w:spacing w:line="214" w:lineRule="exact" w:before="42"/>
              <w:ind w:left="311"/>
              <w:rPr>
                <w:sz w:val="20"/>
              </w:rPr>
            </w:pPr>
            <w:r>
              <w:rPr>
                <w:spacing w:val="-2"/>
                <w:sz w:val="20"/>
              </w:rPr>
              <w:t>0.267577</w:t>
            </w:r>
          </w:p>
        </w:tc>
        <w:tc>
          <w:tcPr>
            <w:tcW w:w="904" w:type="dxa"/>
            <w:tcBorders>
              <w:top w:val="double" w:sz="6" w:space="0" w:color="000000"/>
            </w:tcBorders>
          </w:tcPr>
          <w:p>
            <w:pPr>
              <w:pStyle w:val="TableParagraph"/>
              <w:spacing w:line="214" w:lineRule="exact" w:before="42"/>
              <w:ind w:right="70"/>
              <w:jc w:val="center"/>
              <w:rPr>
                <w:sz w:val="20"/>
              </w:rPr>
            </w:pPr>
            <w:r>
              <w:rPr>
                <w:spacing w:val="-4"/>
                <w:sz w:val="20"/>
              </w:rPr>
              <w:t>-</w:t>
            </w:r>
            <w:r>
              <w:rPr>
                <w:spacing w:val="-2"/>
                <w:sz w:val="20"/>
              </w:rPr>
              <w:t>7.239098</w:t>
            </w:r>
          </w:p>
        </w:tc>
        <w:tc>
          <w:tcPr>
            <w:tcW w:w="929" w:type="dxa"/>
            <w:tcBorders>
              <w:top w:val="double" w:sz="6" w:space="0" w:color="000000"/>
            </w:tcBorders>
          </w:tcPr>
          <w:p>
            <w:pPr>
              <w:pStyle w:val="TableParagraph"/>
              <w:spacing w:line="214" w:lineRule="exact" w:before="42"/>
              <w:ind w:right="27"/>
              <w:jc w:val="right"/>
              <w:rPr>
                <w:sz w:val="20"/>
              </w:rPr>
            </w:pPr>
            <w:r>
              <w:rPr>
                <w:spacing w:val="-2"/>
                <w:sz w:val="20"/>
              </w:rPr>
              <w:t>0.0000</w:t>
            </w:r>
          </w:p>
        </w:tc>
      </w:tr>
      <w:tr>
        <w:trPr>
          <w:trHeight w:val="229" w:hRule="atLeast"/>
        </w:trPr>
        <w:tc>
          <w:tcPr>
            <w:tcW w:w="1847" w:type="dxa"/>
          </w:tcPr>
          <w:p>
            <w:pPr>
              <w:pStyle w:val="TableParagraph"/>
              <w:spacing w:line="209" w:lineRule="exact"/>
              <w:ind w:left="454"/>
              <w:rPr>
                <w:sz w:val="20"/>
              </w:rPr>
            </w:pPr>
            <w:r>
              <w:rPr>
                <w:spacing w:val="-2"/>
                <w:sz w:val="20"/>
              </w:rPr>
              <w:t>D(CAB(-1),2)</w:t>
            </w:r>
          </w:p>
        </w:tc>
        <w:tc>
          <w:tcPr>
            <w:tcW w:w="1375" w:type="dxa"/>
          </w:tcPr>
          <w:p>
            <w:pPr>
              <w:pStyle w:val="TableParagraph"/>
              <w:spacing w:line="209" w:lineRule="exact"/>
              <w:ind w:right="128"/>
              <w:jc w:val="right"/>
              <w:rPr>
                <w:sz w:val="20"/>
              </w:rPr>
            </w:pPr>
            <w:r>
              <w:rPr>
                <w:spacing w:val="-2"/>
                <w:sz w:val="20"/>
              </w:rPr>
              <w:t>0.328639</w:t>
            </w:r>
          </w:p>
        </w:tc>
        <w:tc>
          <w:tcPr>
            <w:tcW w:w="1432" w:type="dxa"/>
          </w:tcPr>
          <w:p>
            <w:pPr>
              <w:pStyle w:val="TableParagraph"/>
              <w:spacing w:line="209" w:lineRule="exact"/>
              <w:ind w:left="311"/>
              <w:rPr>
                <w:sz w:val="20"/>
              </w:rPr>
            </w:pPr>
            <w:r>
              <w:rPr>
                <w:spacing w:val="-2"/>
                <w:sz w:val="20"/>
              </w:rPr>
              <w:t>0.156341</w:t>
            </w:r>
          </w:p>
        </w:tc>
        <w:tc>
          <w:tcPr>
            <w:tcW w:w="904" w:type="dxa"/>
          </w:tcPr>
          <w:p>
            <w:pPr>
              <w:pStyle w:val="TableParagraph"/>
              <w:spacing w:line="209" w:lineRule="exact"/>
              <w:ind w:right="5"/>
              <w:jc w:val="center"/>
              <w:rPr>
                <w:sz w:val="20"/>
              </w:rPr>
            </w:pPr>
            <w:r>
              <w:rPr>
                <w:spacing w:val="-2"/>
                <w:sz w:val="20"/>
              </w:rPr>
              <w:t>2.102069</w:t>
            </w:r>
          </w:p>
        </w:tc>
        <w:tc>
          <w:tcPr>
            <w:tcW w:w="929" w:type="dxa"/>
          </w:tcPr>
          <w:p>
            <w:pPr>
              <w:pStyle w:val="TableParagraph"/>
              <w:spacing w:line="209" w:lineRule="exact"/>
              <w:ind w:right="27"/>
              <w:jc w:val="right"/>
              <w:rPr>
                <w:sz w:val="20"/>
              </w:rPr>
            </w:pPr>
            <w:r>
              <w:rPr>
                <w:spacing w:val="-2"/>
                <w:sz w:val="20"/>
              </w:rPr>
              <w:t>0.0426</w:t>
            </w:r>
          </w:p>
        </w:tc>
      </w:tr>
      <w:tr>
        <w:trPr>
          <w:trHeight w:val="224" w:hRule="atLeast"/>
        </w:trPr>
        <w:tc>
          <w:tcPr>
            <w:tcW w:w="1847" w:type="dxa"/>
            <w:tcBorders>
              <w:bottom w:val="double" w:sz="6" w:space="0" w:color="000000"/>
            </w:tcBorders>
          </w:tcPr>
          <w:p>
            <w:pPr>
              <w:pStyle w:val="TableParagraph"/>
              <w:spacing w:line="205" w:lineRule="exact"/>
              <w:ind w:left="197"/>
              <w:jc w:val="center"/>
              <w:rPr>
                <w:sz w:val="20"/>
              </w:rPr>
            </w:pPr>
            <w:r>
              <w:rPr>
                <w:spacing w:val="-10"/>
                <w:sz w:val="20"/>
              </w:rPr>
              <w:t>C</w:t>
            </w:r>
          </w:p>
        </w:tc>
        <w:tc>
          <w:tcPr>
            <w:tcW w:w="1375" w:type="dxa"/>
            <w:tcBorders>
              <w:bottom w:val="double" w:sz="6" w:space="0" w:color="000000"/>
            </w:tcBorders>
          </w:tcPr>
          <w:p>
            <w:pPr>
              <w:pStyle w:val="TableParagraph"/>
              <w:spacing w:line="205" w:lineRule="exact"/>
              <w:ind w:right="128"/>
              <w:jc w:val="right"/>
              <w:rPr>
                <w:sz w:val="20"/>
              </w:rPr>
            </w:pPr>
            <w:r>
              <w:rPr>
                <w:spacing w:val="-2"/>
                <w:sz w:val="20"/>
              </w:rPr>
              <w:t>0.444582</w:t>
            </w:r>
          </w:p>
        </w:tc>
        <w:tc>
          <w:tcPr>
            <w:tcW w:w="1432" w:type="dxa"/>
            <w:tcBorders>
              <w:bottom w:val="double" w:sz="6" w:space="0" w:color="000000"/>
            </w:tcBorders>
          </w:tcPr>
          <w:p>
            <w:pPr>
              <w:pStyle w:val="TableParagraph"/>
              <w:spacing w:line="205" w:lineRule="exact"/>
              <w:ind w:left="311"/>
              <w:rPr>
                <w:sz w:val="20"/>
              </w:rPr>
            </w:pPr>
            <w:r>
              <w:rPr>
                <w:spacing w:val="-2"/>
                <w:sz w:val="20"/>
              </w:rPr>
              <w:t>0.252137</w:t>
            </w:r>
          </w:p>
        </w:tc>
        <w:tc>
          <w:tcPr>
            <w:tcW w:w="904" w:type="dxa"/>
            <w:tcBorders>
              <w:bottom w:val="double" w:sz="6" w:space="0" w:color="000000"/>
            </w:tcBorders>
          </w:tcPr>
          <w:p>
            <w:pPr>
              <w:pStyle w:val="TableParagraph"/>
              <w:spacing w:line="205" w:lineRule="exact"/>
              <w:ind w:right="5"/>
              <w:jc w:val="center"/>
              <w:rPr>
                <w:sz w:val="20"/>
              </w:rPr>
            </w:pPr>
            <w:r>
              <w:rPr>
                <w:spacing w:val="-2"/>
                <w:sz w:val="20"/>
              </w:rPr>
              <w:t>1.763258</w:t>
            </w:r>
          </w:p>
        </w:tc>
        <w:tc>
          <w:tcPr>
            <w:tcW w:w="929" w:type="dxa"/>
            <w:tcBorders>
              <w:bottom w:val="double" w:sz="6" w:space="0" w:color="000000"/>
            </w:tcBorders>
          </w:tcPr>
          <w:p>
            <w:pPr>
              <w:pStyle w:val="TableParagraph"/>
              <w:spacing w:line="205" w:lineRule="exact"/>
              <w:ind w:right="27"/>
              <w:jc w:val="right"/>
              <w:rPr>
                <w:sz w:val="20"/>
              </w:rPr>
            </w:pPr>
            <w:r>
              <w:rPr>
                <w:spacing w:val="-2"/>
                <w:sz w:val="20"/>
              </w:rPr>
              <w:t>0.0863</w:t>
            </w:r>
          </w:p>
        </w:tc>
      </w:tr>
      <w:tr>
        <w:trPr>
          <w:trHeight w:val="276" w:hRule="atLeast"/>
        </w:trPr>
        <w:tc>
          <w:tcPr>
            <w:tcW w:w="1847" w:type="dxa"/>
            <w:tcBorders>
              <w:top w:val="double" w:sz="6" w:space="0" w:color="000000"/>
            </w:tcBorders>
          </w:tcPr>
          <w:p>
            <w:pPr>
              <w:pStyle w:val="TableParagraph"/>
              <w:spacing w:line="214" w:lineRule="exact" w:before="42"/>
              <w:ind w:left="36"/>
              <w:rPr>
                <w:sz w:val="20"/>
              </w:rPr>
            </w:pPr>
            <w:r>
              <w:rPr>
                <w:spacing w:val="-2"/>
                <w:sz w:val="20"/>
              </w:rPr>
              <w:t>R-squared</w:t>
            </w:r>
          </w:p>
        </w:tc>
        <w:tc>
          <w:tcPr>
            <w:tcW w:w="1375" w:type="dxa"/>
            <w:tcBorders>
              <w:top w:val="double" w:sz="6" w:space="0" w:color="000000"/>
            </w:tcBorders>
          </w:tcPr>
          <w:p>
            <w:pPr>
              <w:pStyle w:val="TableParagraph"/>
              <w:spacing w:line="214" w:lineRule="exact" w:before="42"/>
              <w:ind w:right="128"/>
              <w:jc w:val="right"/>
              <w:rPr>
                <w:sz w:val="20"/>
              </w:rPr>
            </w:pPr>
            <w:r>
              <w:rPr>
                <w:spacing w:val="-2"/>
                <w:sz w:val="20"/>
              </w:rPr>
              <w:t>0.757845</w:t>
            </w:r>
          </w:p>
        </w:tc>
        <w:tc>
          <w:tcPr>
            <w:tcW w:w="2336" w:type="dxa"/>
            <w:gridSpan w:val="2"/>
            <w:tcBorders>
              <w:top w:val="double" w:sz="6" w:space="0" w:color="000000"/>
            </w:tcBorders>
          </w:tcPr>
          <w:p>
            <w:pPr>
              <w:pStyle w:val="TableParagraph"/>
              <w:spacing w:line="214" w:lineRule="exact" w:before="42"/>
              <w:ind w:left="131"/>
              <w:rPr>
                <w:sz w:val="20"/>
              </w:rPr>
            </w:pPr>
            <w:r>
              <w:rPr>
                <w:sz w:val="20"/>
              </w:rPr>
              <w:t>Mean</w:t>
            </w:r>
            <w:r>
              <w:rPr>
                <w:spacing w:val="-7"/>
                <w:sz w:val="20"/>
              </w:rPr>
              <w:t> </w:t>
            </w:r>
            <w:r>
              <w:rPr>
                <w:sz w:val="20"/>
              </w:rPr>
              <w:t>dependent</w:t>
            </w:r>
            <w:r>
              <w:rPr>
                <w:spacing w:val="-7"/>
                <w:sz w:val="20"/>
              </w:rPr>
              <w:t> </w:t>
            </w:r>
            <w:r>
              <w:rPr>
                <w:spacing w:val="-5"/>
                <w:sz w:val="20"/>
              </w:rPr>
              <w:t>var</w:t>
            </w:r>
          </w:p>
        </w:tc>
        <w:tc>
          <w:tcPr>
            <w:tcW w:w="929" w:type="dxa"/>
            <w:tcBorders>
              <w:top w:val="double" w:sz="6" w:space="0" w:color="000000"/>
            </w:tcBorders>
          </w:tcPr>
          <w:p>
            <w:pPr>
              <w:pStyle w:val="TableParagraph"/>
              <w:spacing w:line="214" w:lineRule="exact" w:before="42"/>
              <w:ind w:right="27"/>
              <w:jc w:val="right"/>
              <w:rPr>
                <w:sz w:val="20"/>
              </w:rPr>
            </w:pPr>
            <w:r>
              <w:rPr>
                <w:spacing w:val="-4"/>
                <w:sz w:val="20"/>
              </w:rPr>
              <w:t>-</w:t>
            </w:r>
            <w:r>
              <w:rPr>
                <w:spacing w:val="-2"/>
                <w:sz w:val="20"/>
              </w:rPr>
              <w:t>0.018990</w:t>
            </w:r>
          </w:p>
        </w:tc>
      </w:tr>
      <w:tr>
        <w:trPr>
          <w:trHeight w:val="229" w:hRule="atLeast"/>
        </w:trPr>
        <w:tc>
          <w:tcPr>
            <w:tcW w:w="1847" w:type="dxa"/>
          </w:tcPr>
          <w:p>
            <w:pPr>
              <w:pStyle w:val="TableParagraph"/>
              <w:spacing w:line="209" w:lineRule="exact"/>
              <w:ind w:left="36"/>
              <w:rPr>
                <w:sz w:val="20"/>
              </w:rPr>
            </w:pPr>
            <w:r>
              <w:rPr>
                <w:sz w:val="20"/>
              </w:rPr>
              <w:t>Adjusted</w:t>
            </w:r>
            <w:r>
              <w:rPr>
                <w:spacing w:val="-10"/>
                <w:sz w:val="20"/>
              </w:rPr>
              <w:t> </w:t>
            </w:r>
            <w:r>
              <w:rPr>
                <w:sz w:val="20"/>
              </w:rPr>
              <w:t>R-</w:t>
            </w:r>
            <w:r>
              <w:rPr>
                <w:spacing w:val="-2"/>
                <w:sz w:val="20"/>
              </w:rPr>
              <w:t>squared</w:t>
            </w:r>
          </w:p>
        </w:tc>
        <w:tc>
          <w:tcPr>
            <w:tcW w:w="1375" w:type="dxa"/>
          </w:tcPr>
          <w:p>
            <w:pPr>
              <w:pStyle w:val="TableParagraph"/>
              <w:spacing w:line="209" w:lineRule="exact"/>
              <w:ind w:right="128"/>
              <w:jc w:val="right"/>
              <w:rPr>
                <w:sz w:val="20"/>
              </w:rPr>
            </w:pPr>
            <w:r>
              <w:rPr>
                <w:spacing w:val="-2"/>
                <w:sz w:val="20"/>
              </w:rPr>
              <w:t>0.744392</w:t>
            </w:r>
          </w:p>
        </w:tc>
        <w:tc>
          <w:tcPr>
            <w:tcW w:w="2336" w:type="dxa"/>
            <w:gridSpan w:val="2"/>
          </w:tcPr>
          <w:p>
            <w:pPr>
              <w:pStyle w:val="TableParagraph"/>
              <w:spacing w:line="209" w:lineRule="exact"/>
              <w:ind w:left="131"/>
              <w:rPr>
                <w:sz w:val="20"/>
              </w:rPr>
            </w:pPr>
            <w:r>
              <w:rPr>
                <w:sz w:val="20"/>
              </w:rPr>
              <w:t>S.D.</w:t>
            </w:r>
            <w:r>
              <w:rPr>
                <w:spacing w:val="-5"/>
                <w:sz w:val="20"/>
              </w:rPr>
              <w:t> </w:t>
            </w:r>
            <w:r>
              <w:rPr>
                <w:sz w:val="20"/>
              </w:rPr>
              <w:t>dependent</w:t>
            </w:r>
            <w:r>
              <w:rPr>
                <w:spacing w:val="-6"/>
                <w:sz w:val="20"/>
              </w:rPr>
              <w:t> </w:t>
            </w:r>
            <w:r>
              <w:rPr>
                <w:spacing w:val="-5"/>
                <w:sz w:val="20"/>
              </w:rPr>
              <w:t>var</w:t>
            </w:r>
          </w:p>
        </w:tc>
        <w:tc>
          <w:tcPr>
            <w:tcW w:w="929" w:type="dxa"/>
          </w:tcPr>
          <w:p>
            <w:pPr>
              <w:pStyle w:val="TableParagraph"/>
              <w:spacing w:line="209" w:lineRule="exact"/>
              <w:ind w:right="27"/>
              <w:jc w:val="right"/>
              <w:rPr>
                <w:sz w:val="20"/>
              </w:rPr>
            </w:pPr>
            <w:r>
              <w:rPr>
                <w:spacing w:val="-2"/>
                <w:sz w:val="20"/>
              </w:rPr>
              <w:t>3.000363</w:t>
            </w:r>
          </w:p>
        </w:tc>
      </w:tr>
      <w:tr>
        <w:trPr>
          <w:trHeight w:val="230" w:hRule="atLeast"/>
        </w:trPr>
        <w:tc>
          <w:tcPr>
            <w:tcW w:w="1847" w:type="dxa"/>
          </w:tcPr>
          <w:p>
            <w:pPr>
              <w:pStyle w:val="TableParagraph"/>
              <w:spacing w:line="210" w:lineRule="exact"/>
              <w:ind w:left="36"/>
              <w:rPr>
                <w:sz w:val="20"/>
              </w:rPr>
            </w:pPr>
            <w:r>
              <w:rPr>
                <w:sz w:val="20"/>
              </w:rPr>
              <w:t>S.E.</w:t>
            </w:r>
            <w:r>
              <w:rPr>
                <w:spacing w:val="-3"/>
                <w:sz w:val="20"/>
              </w:rPr>
              <w:t> </w:t>
            </w:r>
            <w:r>
              <w:rPr>
                <w:sz w:val="20"/>
              </w:rPr>
              <w:t>of</w:t>
            </w:r>
            <w:r>
              <w:rPr>
                <w:spacing w:val="-3"/>
                <w:sz w:val="20"/>
              </w:rPr>
              <w:t> </w:t>
            </w:r>
            <w:r>
              <w:rPr>
                <w:spacing w:val="-2"/>
                <w:sz w:val="20"/>
              </w:rPr>
              <w:t>regression</w:t>
            </w:r>
          </w:p>
        </w:tc>
        <w:tc>
          <w:tcPr>
            <w:tcW w:w="1375" w:type="dxa"/>
          </w:tcPr>
          <w:p>
            <w:pPr>
              <w:pStyle w:val="TableParagraph"/>
              <w:spacing w:line="210" w:lineRule="exact"/>
              <w:ind w:right="128"/>
              <w:jc w:val="right"/>
              <w:rPr>
                <w:sz w:val="20"/>
              </w:rPr>
            </w:pPr>
            <w:r>
              <w:rPr>
                <w:spacing w:val="-2"/>
                <w:sz w:val="20"/>
              </w:rPr>
              <w:t>1.516914</w:t>
            </w:r>
          </w:p>
        </w:tc>
        <w:tc>
          <w:tcPr>
            <w:tcW w:w="2336" w:type="dxa"/>
            <w:gridSpan w:val="2"/>
          </w:tcPr>
          <w:p>
            <w:pPr>
              <w:pStyle w:val="TableParagraph"/>
              <w:spacing w:line="210" w:lineRule="exact"/>
              <w:ind w:left="131"/>
              <w:rPr>
                <w:sz w:val="20"/>
              </w:rPr>
            </w:pPr>
            <w:r>
              <w:rPr>
                <w:sz w:val="20"/>
              </w:rPr>
              <w:t>Akaike</w:t>
            </w:r>
            <w:r>
              <w:rPr>
                <w:spacing w:val="-8"/>
                <w:sz w:val="20"/>
              </w:rPr>
              <w:t> </w:t>
            </w:r>
            <w:r>
              <w:rPr>
                <w:sz w:val="20"/>
              </w:rPr>
              <w:t>info</w:t>
            </w:r>
            <w:r>
              <w:rPr>
                <w:spacing w:val="-7"/>
                <w:sz w:val="20"/>
              </w:rPr>
              <w:t> </w:t>
            </w:r>
            <w:r>
              <w:rPr>
                <w:spacing w:val="-2"/>
                <w:sz w:val="20"/>
              </w:rPr>
              <w:t>criterion</w:t>
            </w:r>
          </w:p>
        </w:tc>
        <w:tc>
          <w:tcPr>
            <w:tcW w:w="929" w:type="dxa"/>
          </w:tcPr>
          <w:p>
            <w:pPr>
              <w:pStyle w:val="TableParagraph"/>
              <w:spacing w:line="210" w:lineRule="exact"/>
              <w:ind w:right="27"/>
              <w:jc w:val="right"/>
              <w:rPr>
                <w:sz w:val="20"/>
              </w:rPr>
            </w:pPr>
            <w:r>
              <w:rPr>
                <w:spacing w:val="-2"/>
                <w:sz w:val="20"/>
              </w:rPr>
              <w:t>3.745036</w:t>
            </w:r>
          </w:p>
        </w:tc>
      </w:tr>
      <w:tr>
        <w:trPr>
          <w:trHeight w:val="230" w:hRule="atLeast"/>
        </w:trPr>
        <w:tc>
          <w:tcPr>
            <w:tcW w:w="1847" w:type="dxa"/>
          </w:tcPr>
          <w:p>
            <w:pPr>
              <w:pStyle w:val="TableParagraph"/>
              <w:spacing w:line="210" w:lineRule="exact"/>
              <w:ind w:left="36"/>
              <w:rPr>
                <w:sz w:val="20"/>
              </w:rPr>
            </w:pPr>
            <w:r>
              <w:rPr>
                <w:sz w:val="20"/>
              </w:rPr>
              <w:t>Sum</w:t>
            </w:r>
            <w:r>
              <w:rPr>
                <w:spacing w:val="-8"/>
                <w:sz w:val="20"/>
              </w:rPr>
              <w:t> </w:t>
            </w:r>
            <w:r>
              <w:rPr>
                <w:sz w:val="20"/>
              </w:rPr>
              <w:t>squared</w:t>
            </w:r>
            <w:r>
              <w:rPr>
                <w:spacing w:val="-4"/>
                <w:sz w:val="20"/>
              </w:rPr>
              <w:t> </w:t>
            </w:r>
            <w:r>
              <w:rPr>
                <w:spacing w:val="-2"/>
                <w:sz w:val="20"/>
              </w:rPr>
              <w:t>resid</w:t>
            </w:r>
          </w:p>
        </w:tc>
        <w:tc>
          <w:tcPr>
            <w:tcW w:w="1375" w:type="dxa"/>
          </w:tcPr>
          <w:p>
            <w:pPr>
              <w:pStyle w:val="TableParagraph"/>
              <w:spacing w:line="210" w:lineRule="exact"/>
              <w:ind w:right="128"/>
              <w:jc w:val="right"/>
              <w:rPr>
                <w:sz w:val="20"/>
              </w:rPr>
            </w:pPr>
            <w:r>
              <w:rPr>
                <w:spacing w:val="-2"/>
                <w:sz w:val="20"/>
              </w:rPr>
              <w:t>82.83697</w:t>
            </w:r>
          </w:p>
        </w:tc>
        <w:tc>
          <w:tcPr>
            <w:tcW w:w="2336" w:type="dxa"/>
            <w:gridSpan w:val="2"/>
          </w:tcPr>
          <w:p>
            <w:pPr>
              <w:pStyle w:val="TableParagraph"/>
              <w:spacing w:line="210" w:lineRule="exact"/>
              <w:ind w:left="131"/>
              <w:rPr>
                <w:sz w:val="20"/>
              </w:rPr>
            </w:pPr>
            <w:r>
              <w:rPr>
                <w:sz w:val="20"/>
              </w:rPr>
              <w:t>Schwarz</w:t>
            </w:r>
            <w:r>
              <w:rPr>
                <w:spacing w:val="-8"/>
                <w:sz w:val="20"/>
              </w:rPr>
              <w:t> </w:t>
            </w:r>
            <w:r>
              <w:rPr>
                <w:spacing w:val="-2"/>
                <w:sz w:val="20"/>
              </w:rPr>
              <w:t>criterion</w:t>
            </w:r>
          </w:p>
        </w:tc>
        <w:tc>
          <w:tcPr>
            <w:tcW w:w="929" w:type="dxa"/>
          </w:tcPr>
          <w:p>
            <w:pPr>
              <w:pStyle w:val="TableParagraph"/>
              <w:spacing w:line="210" w:lineRule="exact"/>
              <w:ind w:right="27"/>
              <w:jc w:val="right"/>
              <w:rPr>
                <w:sz w:val="20"/>
              </w:rPr>
            </w:pPr>
            <w:r>
              <w:rPr>
                <w:spacing w:val="-2"/>
                <w:sz w:val="20"/>
              </w:rPr>
              <w:t>3.873002</w:t>
            </w:r>
          </w:p>
        </w:tc>
      </w:tr>
      <w:tr>
        <w:trPr>
          <w:trHeight w:val="230" w:hRule="atLeast"/>
        </w:trPr>
        <w:tc>
          <w:tcPr>
            <w:tcW w:w="1847" w:type="dxa"/>
          </w:tcPr>
          <w:p>
            <w:pPr>
              <w:pStyle w:val="TableParagraph"/>
              <w:spacing w:line="210" w:lineRule="exact"/>
              <w:ind w:left="36"/>
              <w:rPr>
                <w:sz w:val="20"/>
              </w:rPr>
            </w:pPr>
            <w:r>
              <w:rPr>
                <w:sz w:val="20"/>
              </w:rPr>
              <w:t>Log</w:t>
            </w:r>
            <w:r>
              <w:rPr>
                <w:spacing w:val="-6"/>
                <w:sz w:val="20"/>
              </w:rPr>
              <w:t> </w:t>
            </w:r>
            <w:r>
              <w:rPr>
                <w:spacing w:val="-2"/>
                <w:sz w:val="20"/>
              </w:rPr>
              <w:t>likelihood</w:t>
            </w:r>
          </w:p>
        </w:tc>
        <w:tc>
          <w:tcPr>
            <w:tcW w:w="1375" w:type="dxa"/>
          </w:tcPr>
          <w:p>
            <w:pPr>
              <w:pStyle w:val="TableParagraph"/>
              <w:spacing w:line="210" w:lineRule="exact"/>
              <w:ind w:right="128"/>
              <w:jc w:val="right"/>
              <w:rPr>
                <w:sz w:val="20"/>
              </w:rPr>
            </w:pPr>
            <w:r>
              <w:rPr>
                <w:spacing w:val="-4"/>
                <w:sz w:val="20"/>
              </w:rPr>
              <w:t>-</w:t>
            </w:r>
            <w:r>
              <w:rPr>
                <w:spacing w:val="-2"/>
                <w:sz w:val="20"/>
              </w:rPr>
              <w:t>70.02820</w:t>
            </w:r>
          </w:p>
        </w:tc>
        <w:tc>
          <w:tcPr>
            <w:tcW w:w="1432" w:type="dxa"/>
          </w:tcPr>
          <w:p>
            <w:pPr>
              <w:pStyle w:val="TableParagraph"/>
              <w:spacing w:line="210" w:lineRule="exact"/>
              <w:ind w:left="131"/>
              <w:rPr>
                <w:sz w:val="20"/>
              </w:rPr>
            </w:pPr>
            <w:r>
              <w:rPr>
                <w:spacing w:val="-4"/>
                <w:sz w:val="20"/>
              </w:rPr>
              <w:t>F-</w:t>
            </w:r>
            <w:r>
              <w:rPr>
                <w:spacing w:val="-2"/>
                <w:sz w:val="20"/>
              </w:rPr>
              <w:t>statistic</w:t>
            </w:r>
          </w:p>
        </w:tc>
        <w:tc>
          <w:tcPr>
            <w:tcW w:w="904" w:type="dxa"/>
          </w:tcPr>
          <w:p>
            <w:pPr>
              <w:pStyle w:val="TableParagraph"/>
              <w:rPr>
                <w:sz w:val="16"/>
              </w:rPr>
            </w:pPr>
          </w:p>
        </w:tc>
        <w:tc>
          <w:tcPr>
            <w:tcW w:w="929" w:type="dxa"/>
          </w:tcPr>
          <w:p>
            <w:pPr>
              <w:pStyle w:val="TableParagraph"/>
              <w:spacing w:line="210" w:lineRule="exact"/>
              <w:ind w:right="27"/>
              <w:jc w:val="right"/>
              <w:rPr>
                <w:sz w:val="20"/>
              </w:rPr>
            </w:pPr>
            <w:r>
              <w:rPr>
                <w:spacing w:val="-2"/>
                <w:sz w:val="20"/>
              </w:rPr>
              <w:t>56.33262</w:t>
            </w:r>
          </w:p>
        </w:tc>
      </w:tr>
      <w:tr>
        <w:trPr>
          <w:trHeight w:val="265" w:hRule="atLeast"/>
        </w:trPr>
        <w:tc>
          <w:tcPr>
            <w:tcW w:w="1847" w:type="dxa"/>
            <w:tcBorders>
              <w:bottom w:val="double" w:sz="6" w:space="0" w:color="000000"/>
            </w:tcBorders>
          </w:tcPr>
          <w:p>
            <w:pPr>
              <w:pStyle w:val="TableParagraph"/>
              <w:spacing w:line="226" w:lineRule="exact"/>
              <w:ind w:left="36"/>
              <w:rPr>
                <w:sz w:val="20"/>
              </w:rPr>
            </w:pPr>
            <w:r>
              <w:rPr>
                <w:sz w:val="20"/>
              </w:rPr>
              <w:t>Durbin-Watson</w:t>
            </w:r>
            <w:r>
              <w:rPr>
                <w:spacing w:val="-12"/>
                <w:sz w:val="20"/>
              </w:rPr>
              <w:t> </w:t>
            </w:r>
            <w:r>
              <w:rPr>
                <w:spacing w:val="-4"/>
                <w:sz w:val="20"/>
              </w:rPr>
              <w:t>stat</w:t>
            </w:r>
          </w:p>
        </w:tc>
        <w:tc>
          <w:tcPr>
            <w:tcW w:w="1375" w:type="dxa"/>
          </w:tcPr>
          <w:p>
            <w:pPr>
              <w:pStyle w:val="TableParagraph"/>
              <w:spacing w:line="226" w:lineRule="exact"/>
              <w:ind w:right="128"/>
              <w:jc w:val="right"/>
              <w:rPr>
                <w:sz w:val="20"/>
              </w:rPr>
            </w:pPr>
            <w:r>
              <w:rPr>
                <w:spacing w:val="-2"/>
                <w:sz w:val="20"/>
              </w:rPr>
              <w:t>2.035611</w:t>
            </w:r>
          </w:p>
        </w:tc>
        <w:tc>
          <w:tcPr>
            <w:tcW w:w="1432" w:type="dxa"/>
            <w:tcBorders>
              <w:bottom w:val="double" w:sz="6" w:space="0" w:color="000000"/>
            </w:tcBorders>
          </w:tcPr>
          <w:p>
            <w:pPr>
              <w:pStyle w:val="TableParagraph"/>
              <w:spacing w:line="226" w:lineRule="exact"/>
              <w:ind w:left="131"/>
              <w:rPr>
                <w:sz w:val="20"/>
              </w:rPr>
            </w:pPr>
            <w:r>
              <w:rPr>
                <w:spacing w:val="-2"/>
                <w:sz w:val="20"/>
              </w:rPr>
              <w:t>Prob(F-statistic)</w:t>
            </w:r>
          </w:p>
        </w:tc>
        <w:tc>
          <w:tcPr>
            <w:tcW w:w="904" w:type="dxa"/>
            <w:tcBorders>
              <w:bottom w:val="double" w:sz="6" w:space="0" w:color="000000"/>
            </w:tcBorders>
          </w:tcPr>
          <w:p>
            <w:pPr>
              <w:pStyle w:val="TableParagraph"/>
              <w:rPr>
                <w:sz w:val="18"/>
              </w:rPr>
            </w:pPr>
          </w:p>
        </w:tc>
        <w:tc>
          <w:tcPr>
            <w:tcW w:w="929" w:type="dxa"/>
            <w:tcBorders>
              <w:bottom w:val="double" w:sz="6" w:space="0" w:color="000000"/>
            </w:tcBorders>
          </w:tcPr>
          <w:p>
            <w:pPr>
              <w:pStyle w:val="TableParagraph"/>
              <w:spacing w:line="226" w:lineRule="exact"/>
              <w:ind w:right="27"/>
              <w:jc w:val="right"/>
              <w:rPr>
                <w:sz w:val="20"/>
              </w:rPr>
            </w:pPr>
            <w:r>
              <w:rPr>
                <w:spacing w:val="-2"/>
                <w:sz w:val="20"/>
              </w:rPr>
              <w:t>0.000000</w:t>
            </w:r>
          </w:p>
        </w:tc>
      </w:tr>
    </w:tbl>
    <w:p>
      <w:pPr>
        <w:pStyle w:val="BodyText"/>
        <w:rPr>
          <w:sz w:val="20"/>
        </w:rPr>
      </w:pPr>
    </w:p>
    <w:p>
      <w:pPr>
        <w:pStyle w:val="BodyText"/>
        <w:spacing w:before="16"/>
        <w:rPr>
          <w:sz w:val="20"/>
        </w:rPr>
      </w:pPr>
    </w:p>
    <w:p>
      <w:pPr>
        <w:spacing w:before="0"/>
        <w:ind w:left="711" w:right="0" w:firstLine="0"/>
        <w:jc w:val="left"/>
        <w:rPr>
          <w:sz w:val="20"/>
        </w:rPr>
      </w:pPr>
      <w:r>
        <w:rPr>
          <w:sz w:val="20"/>
        </w:rPr>
        <w:t>RES</w:t>
      </w:r>
      <w:r>
        <w:rPr>
          <w:spacing w:val="-5"/>
          <w:sz w:val="20"/>
        </w:rPr>
        <w:t> </w:t>
      </w:r>
      <w:r>
        <w:rPr>
          <w:sz w:val="20"/>
        </w:rPr>
        <w:t>@</w:t>
      </w:r>
      <w:r>
        <w:rPr>
          <w:spacing w:val="-2"/>
          <w:sz w:val="20"/>
        </w:rPr>
        <w:t> LEVEL</w:t>
      </w:r>
    </w:p>
    <w:tbl>
      <w:tblPr>
        <w:tblW w:w="0" w:type="auto"/>
        <w:jc w:val="left"/>
        <w:tblInd w:w="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47"/>
        <w:gridCol w:w="1375"/>
        <w:gridCol w:w="1432"/>
        <w:gridCol w:w="936"/>
        <w:gridCol w:w="896"/>
      </w:tblGrid>
      <w:tr>
        <w:trPr>
          <w:trHeight w:val="225" w:hRule="atLeast"/>
        </w:trPr>
        <w:tc>
          <w:tcPr>
            <w:tcW w:w="1847" w:type="dxa"/>
          </w:tcPr>
          <w:p>
            <w:pPr>
              <w:pStyle w:val="TableParagraph"/>
              <w:spacing w:line="205" w:lineRule="exact"/>
              <w:ind w:left="36"/>
              <w:rPr>
                <w:sz w:val="20"/>
              </w:rPr>
            </w:pPr>
            <w:r>
              <w:rPr>
                <w:sz w:val="20"/>
              </w:rPr>
              <w:t>ADF</w:t>
            </w:r>
            <w:r>
              <w:rPr>
                <w:spacing w:val="-4"/>
                <w:sz w:val="20"/>
              </w:rPr>
              <w:t> </w:t>
            </w:r>
            <w:r>
              <w:rPr>
                <w:sz w:val="20"/>
              </w:rPr>
              <w:t>Test</w:t>
            </w:r>
            <w:r>
              <w:rPr>
                <w:spacing w:val="-4"/>
                <w:sz w:val="20"/>
              </w:rPr>
              <w:t> </w:t>
            </w:r>
            <w:r>
              <w:rPr>
                <w:spacing w:val="-2"/>
                <w:sz w:val="20"/>
              </w:rPr>
              <w:t>Statistic</w:t>
            </w:r>
          </w:p>
        </w:tc>
        <w:tc>
          <w:tcPr>
            <w:tcW w:w="1375" w:type="dxa"/>
          </w:tcPr>
          <w:p>
            <w:pPr>
              <w:pStyle w:val="TableParagraph"/>
              <w:spacing w:line="205" w:lineRule="exact"/>
              <w:ind w:left="219"/>
              <w:rPr>
                <w:sz w:val="20"/>
              </w:rPr>
            </w:pPr>
            <w:r>
              <w:rPr>
                <w:spacing w:val="-4"/>
                <w:sz w:val="20"/>
              </w:rPr>
              <w:t>-</w:t>
            </w:r>
            <w:r>
              <w:rPr>
                <w:spacing w:val="-2"/>
                <w:sz w:val="20"/>
              </w:rPr>
              <w:t>1.637218</w:t>
            </w:r>
          </w:p>
        </w:tc>
        <w:tc>
          <w:tcPr>
            <w:tcW w:w="2368" w:type="dxa"/>
            <w:gridSpan w:val="2"/>
          </w:tcPr>
          <w:p>
            <w:pPr>
              <w:pStyle w:val="TableParagraph"/>
              <w:spacing w:line="205" w:lineRule="exact"/>
              <w:ind w:left="131"/>
              <w:rPr>
                <w:sz w:val="20"/>
              </w:rPr>
            </w:pPr>
            <w:r>
              <w:rPr>
                <w:sz w:val="20"/>
              </w:rPr>
              <w:t>1%</w:t>
            </w:r>
            <w:r>
              <w:rPr>
                <w:spacing w:val="68"/>
                <w:w w:val="150"/>
                <w:sz w:val="20"/>
              </w:rPr>
              <w:t> </w:t>
            </w:r>
            <w:r>
              <w:rPr>
                <w:sz w:val="20"/>
              </w:rPr>
              <w:t>Critical</w:t>
            </w:r>
            <w:r>
              <w:rPr>
                <w:spacing w:val="-2"/>
                <w:sz w:val="20"/>
              </w:rPr>
              <w:t> Value*</w:t>
            </w:r>
          </w:p>
        </w:tc>
        <w:tc>
          <w:tcPr>
            <w:tcW w:w="896" w:type="dxa"/>
          </w:tcPr>
          <w:p>
            <w:pPr>
              <w:pStyle w:val="TableParagraph"/>
              <w:spacing w:line="205" w:lineRule="exact"/>
              <w:ind w:right="26"/>
              <w:jc w:val="right"/>
              <w:rPr>
                <w:sz w:val="20"/>
              </w:rPr>
            </w:pPr>
            <w:r>
              <w:rPr>
                <w:spacing w:val="-4"/>
                <w:sz w:val="20"/>
              </w:rPr>
              <w:t>-</w:t>
            </w:r>
            <w:r>
              <w:rPr>
                <w:spacing w:val="-2"/>
                <w:sz w:val="20"/>
              </w:rPr>
              <w:t>3.6019</w:t>
            </w:r>
          </w:p>
        </w:tc>
      </w:tr>
      <w:tr>
        <w:trPr>
          <w:trHeight w:val="230" w:hRule="atLeast"/>
        </w:trPr>
        <w:tc>
          <w:tcPr>
            <w:tcW w:w="1847" w:type="dxa"/>
          </w:tcPr>
          <w:p>
            <w:pPr>
              <w:pStyle w:val="TableParagraph"/>
              <w:rPr>
                <w:sz w:val="16"/>
              </w:rPr>
            </w:pPr>
          </w:p>
        </w:tc>
        <w:tc>
          <w:tcPr>
            <w:tcW w:w="1375" w:type="dxa"/>
          </w:tcPr>
          <w:p>
            <w:pPr>
              <w:pStyle w:val="TableParagraph"/>
              <w:rPr>
                <w:sz w:val="16"/>
              </w:rPr>
            </w:pPr>
          </w:p>
        </w:tc>
        <w:tc>
          <w:tcPr>
            <w:tcW w:w="2368" w:type="dxa"/>
            <w:gridSpan w:val="2"/>
          </w:tcPr>
          <w:p>
            <w:pPr>
              <w:pStyle w:val="TableParagraph"/>
              <w:spacing w:line="210" w:lineRule="exact"/>
              <w:ind w:left="131"/>
              <w:rPr>
                <w:sz w:val="20"/>
              </w:rPr>
            </w:pPr>
            <w:r>
              <w:rPr>
                <w:sz w:val="20"/>
              </w:rPr>
              <w:t>5%</w:t>
            </w:r>
            <w:r>
              <w:rPr>
                <w:spacing w:val="68"/>
                <w:w w:val="150"/>
                <w:sz w:val="20"/>
              </w:rPr>
              <w:t> </w:t>
            </w:r>
            <w:r>
              <w:rPr>
                <w:sz w:val="20"/>
              </w:rPr>
              <w:t>Critical</w:t>
            </w:r>
            <w:r>
              <w:rPr>
                <w:spacing w:val="-2"/>
                <w:sz w:val="20"/>
              </w:rPr>
              <w:t> </w:t>
            </w:r>
            <w:r>
              <w:rPr>
                <w:spacing w:val="-4"/>
                <w:sz w:val="20"/>
              </w:rPr>
              <w:t>Value</w:t>
            </w:r>
          </w:p>
        </w:tc>
        <w:tc>
          <w:tcPr>
            <w:tcW w:w="896" w:type="dxa"/>
          </w:tcPr>
          <w:p>
            <w:pPr>
              <w:pStyle w:val="TableParagraph"/>
              <w:spacing w:line="210" w:lineRule="exact"/>
              <w:ind w:right="26"/>
              <w:jc w:val="right"/>
              <w:rPr>
                <w:sz w:val="20"/>
              </w:rPr>
            </w:pPr>
            <w:r>
              <w:rPr>
                <w:spacing w:val="-4"/>
                <w:sz w:val="20"/>
              </w:rPr>
              <w:t>-</w:t>
            </w:r>
            <w:r>
              <w:rPr>
                <w:spacing w:val="-2"/>
                <w:sz w:val="20"/>
              </w:rPr>
              <w:t>2.9358</w:t>
            </w:r>
          </w:p>
        </w:tc>
      </w:tr>
      <w:tr>
        <w:trPr>
          <w:trHeight w:val="224" w:hRule="atLeast"/>
        </w:trPr>
        <w:tc>
          <w:tcPr>
            <w:tcW w:w="1847" w:type="dxa"/>
            <w:tcBorders>
              <w:bottom w:val="double" w:sz="6" w:space="0" w:color="000000"/>
            </w:tcBorders>
          </w:tcPr>
          <w:p>
            <w:pPr>
              <w:pStyle w:val="TableParagraph"/>
              <w:rPr>
                <w:sz w:val="16"/>
              </w:rPr>
            </w:pPr>
          </w:p>
        </w:tc>
        <w:tc>
          <w:tcPr>
            <w:tcW w:w="1375" w:type="dxa"/>
            <w:tcBorders>
              <w:bottom w:val="double" w:sz="6" w:space="0" w:color="000000"/>
            </w:tcBorders>
          </w:tcPr>
          <w:p>
            <w:pPr>
              <w:pStyle w:val="TableParagraph"/>
              <w:rPr>
                <w:sz w:val="16"/>
              </w:rPr>
            </w:pPr>
          </w:p>
        </w:tc>
        <w:tc>
          <w:tcPr>
            <w:tcW w:w="2368" w:type="dxa"/>
            <w:gridSpan w:val="2"/>
            <w:tcBorders>
              <w:bottom w:val="double" w:sz="6" w:space="0" w:color="000000"/>
            </w:tcBorders>
          </w:tcPr>
          <w:p>
            <w:pPr>
              <w:pStyle w:val="TableParagraph"/>
              <w:spacing w:line="205" w:lineRule="exact"/>
              <w:ind w:left="131"/>
              <w:rPr>
                <w:sz w:val="20"/>
              </w:rPr>
            </w:pPr>
            <w:r>
              <w:rPr>
                <w:sz w:val="20"/>
              </w:rPr>
              <w:t>10%</w:t>
            </w:r>
            <w:r>
              <w:rPr>
                <w:spacing w:val="-6"/>
                <w:sz w:val="20"/>
              </w:rPr>
              <w:t> </w:t>
            </w:r>
            <w:r>
              <w:rPr>
                <w:sz w:val="20"/>
              </w:rPr>
              <w:t>Critical</w:t>
            </w:r>
            <w:r>
              <w:rPr>
                <w:spacing w:val="-4"/>
                <w:sz w:val="20"/>
              </w:rPr>
              <w:t> </w:t>
            </w:r>
            <w:r>
              <w:rPr>
                <w:spacing w:val="-2"/>
                <w:sz w:val="20"/>
              </w:rPr>
              <w:t>Value</w:t>
            </w:r>
          </w:p>
        </w:tc>
        <w:tc>
          <w:tcPr>
            <w:tcW w:w="896" w:type="dxa"/>
            <w:tcBorders>
              <w:bottom w:val="double" w:sz="6" w:space="0" w:color="000000"/>
            </w:tcBorders>
          </w:tcPr>
          <w:p>
            <w:pPr>
              <w:pStyle w:val="TableParagraph"/>
              <w:spacing w:line="205" w:lineRule="exact"/>
              <w:ind w:right="26"/>
              <w:jc w:val="right"/>
              <w:rPr>
                <w:sz w:val="20"/>
              </w:rPr>
            </w:pPr>
            <w:r>
              <w:rPr>
                <w:spacing w:val="-4"/>
                <w:sz w:val="20"/>
              </w:rPr>
              <w:t>-</w:t>
            </w:r>
            <w:r>
              <w:rPr>
                <w:spacing w:val="-2"/>
                <w:sz w:val="20"/>
              </w:rPr>
              <w:t>2.6059</w:t>
            </w:r>
          </w:p>
        </w:tc>
      </w:tr>
      <w:tr>
        <w:trPr>
          <w:trHeight w:val="505" w:hRule="atLeast"/>
        </w:trPr>
        <w:tc>
          <w:tcPr>
            <w:tcW w:w="6486" w:type="dxa"/>
            <w:gridSpan w:val="5"/>
            <w:tcBorders>
              <w:top w:val="double" w:sz="6" w:space="0" w:color="000000"/>
            </w:tcBorders>
          </w:tcPr>
          <w:p>
            <w:pPr>
              <w:pStyle w:val="TableParagraph"/>
              <w:spacing w:before="40"/>
              <w:ind w:left="36"/>
              <w:rPr>
                <w:sz w:val="20"/>
              </w:rPr>
            </w:pPr>
            <w:r>
              <w:rPr>
                <w:sz w:val="20"/>
              </w:rPr>
              <w:t>*MacKinnon</w:t>
            </w:r>
            <w:r>
              <w:rPr>
                <w:spacing w:val="-6"/>
                <w:sz w:val="20"/>
              </w:rPr>
              <w:t> </w:t>
            </w:r>
            <w:r>
              <w:rPr>
                <w:sz w:val="20"/>
              </w:rPr>
              <w:t>critical</w:t>
            </w:r>
            <w:r>
              <w:rPr>
                <w:spacing w:val="-4"/>
                <w:sz w:val="20"/>
              </w:rPr>
              <w:t> </w:t>
            </w:r>
            <w:r>
              <w:rPr>
                <w:sz w:val="20"/>
              </w:rPr>
              <w:t>values</w:t>
            </w:r>
            <w:r>
              <w:rPr>
                <w:spacing w:val="-6"/>
                <w:sz w:val="20"/>
              </w:rPr>
              <w:t> </w:t>
            </w:r>
            <w:r>
              <w:rPr>
                <w:sz w:val="20"/>
              </w:rPr>
              <w:t>for</w:t>
            </w:r>
            <w:r>
              <w:rPr>
                <w:spacing w:val="-4"/>
                <w:sz w:val="20"/>
              </w:rPr>
              <w:t> </w:t>
            </w:r>
            <w:r>
              <w:rPr>
                <w:sz w:val="20"/>
              </w:rPr>
              <w:t>rejection</w:t>
            </w:r>
            <w:r>
              <w:rPr>
                <w:spacing w:val="-5"/>
                <w:sz w:val="20"/>
              </w:rPr>
              <w:t> </w:t>
            </w:r>
            <w:r>
              <w:rPr>
                <w:sz w:val="20"/>
              </w:rPr>
              <w:t>of</w:t>
            </w:r>
            <w:r>
              <w:rPr>
                <w:spacing w:val="-7"/>
                <w:sz w:val="20"/>
              </w:rPr>
              <w:t> </w:t>
            </w:r>
            <w:r>
              <w:rPr>
                <w:sz w:val="20"/>
              </w:rPr>
              <w:t>hypothesis</w:t>
            </w:r>
            <w:r>
              <w:rPr>
                <w:spacing w:val="-5"/>
                <w:sz w:val="20"/>
              </w:rPr>
              <w:t> </w:t>
            </w:r>
            <w:r>
              <w:rPr>
                <w:sz w:val="20"/>
              </w:rPr>
              <w:t>of</w:t>
            </w:r>
            <w:r>
              <w:rPr>
                <w:spacing w:val="-6"/>
                <w:sz w:val="20"/>
              </w:rPr>
              <w:t> </w:t>
            </w:r>
            <w:r>
              <w:rPr>
                <w:sz w:val="20"/>
              </w:rPr>
              <w:t>a</w:t>
            </w:r>
            <w:r>
              <w:rPr>
                <w:spacing w:val="-5"/>
                <w:sz w:val="20"/>
              </w:rPr>
              <w:t> </w:t>
            </w:r>
            <w:r>
              <w:rPr>
                <w:sz w:val="20"/>
              </w:rPr>
              <w:t>unit</w:t>
            </w:r>
            <w:r>
              <w:rPr>
                <w:spacing w:val="2"/>
                <w:sz w:val="20"/>
              </w:rPr>
              <w:t> </w:t>
            </w:r>
            <w:r>
              <w:rPr>
                <w:spacing w:val="-2"/>
                <w:sz w:val="20"/>
              </w:rPr>
              <w:t>root.</w:t>
            </w:r>
          </w:p>
        </w:tc>
      </w:tr>
      <w:tr>
        <w:trPr>
          <w:trHeight w:val="460" w:hRule="atLeast"/>
        </w:trPr>
        <w:tc>
          <w:tcPr>
            <w:tcW w:w="6486" w:type="dxa"/>
            <w:gridSpan w:val="5"/>
          </w:tcPr>
          <w:p>
            <w:pPr>
              <w:pStyle w:val="TableParagraph"/>
              <w:spacing w:line="215" w:lineRule="exact" w:before="226"/>
              <w:ind w:left="36"/>
              <w:rPr>
                <w:sz w:val="20"/>
              </w:rPr>
            </w:pPr>
            <w:r>
              <w:rPr>
                <w:sz w:val="20"/>
              </w:rPr>
              <w:t>Augmented</w:t>
            </w:r>
            <w:r>
              <w:rPr>
                <w:spacing w:val="-8"/>
                <w:sz w:val="20"/>
              </w:rPr>
              <w:t> </w:t>
            </w:r>
            <w:r>
              <w:rPr>
                <w:sz w:val="20"/>
              </w:rPr>
              <w:t>Dickey-Fuller</w:t>
            </w:r>
            <w:r>
              <w:rPr>
                <w:spacing w:val="-8"/>
                <w:sz w:val="20"/>
              </w:rPr>
              <w:t> </w:t>
            </w:r>
            <w:r>
              <w:rPr>
                <w:sz w:val="20"/>
              </w:rPr>
              <w:t>Test</w:t>
            </w:r>
            <w:r>
              <w:rPr>
                <w:spacing w:val="-9"/>
                <w:sz w:val="20"/>
              </w:rPr>
              <w:t> </w:t>
            </w:r>
            <w:r>
              <w:rPr>
                <w:spacing w:val="-2"/>
                <w:sz w:val="20"/>
              </w:rPr>
              <w:t>Equation</w:t>
            </w:r>
          </w:p>
        </w:tc>
      </w:tr>
      <w:tr>
        <w:trPr>
          <w:trHeight w:val="229" w:hRule="atLeast"/>
        </w:trPr>
        <w:tc>
          <w:tcPr>
            <w:tcW w:w="6486" w:type="dxa"/>
            <w:gridSpan w:val="5"/>
          </w:tcPr>
          <w:p>
            <w:pPr>
              <w:pStyle w:val="TableParagraph"/>
              <w:spacing w:line="209" w:lineRule="exact"/>
              <w:ind w:left="36"/>
              <w:rPr>
                <w:sz w:val="20"/>
              </w:rPr>
            </w:pPr>
            <w:r>
              <w:rPr>
                <w:sz w:val="20"/>
              </w:rPr>
              <w:t>Dependent</w:t>
            </w:r>
            <w:r>
              <w:rPr>
                <w:spacing w:val="-8"/>
                <w:sz w:val="20"/>
              </w:rPr>
              <w:t> </w:t>
            </w:r>
            <w:r>
              <w:rPr>
                <w:sz w:val="20"/>
              </w:rPr>
              <w:t>Variable:</w:t>
            </w:r>
            <w:r>
              <w:rPr>
                <w:spacing w:val="-8"/>
                <w:sz w:val="20"/>
              </w:rPr>
              <w:t> </w:t>
            </w:r>
            <w:r>
              <w:rPr>
                <w:spacing w:val="-2"/>
                <w:sz w:val="20"/>
              </w:rPr>
              <w:t>D(RES)</w:t>
            </w:r>
          </w:p>
        </w:tc>
      </w:tr>
      <w:tr>
        <w:trPr>
          <w:trHeight w:val="229" w:hRule="atLeast"/>
        </w:trPr>
        <w:tc>
          <w:tcPr>
            <w:tcW w:w="6486" w:type="dxa"/>
            <w:gridSpan w:val="5"/>
          </w:tcPr>
          <w:p>
            <w:pPr>
              <w:pStyle w:val="TableParagraph"/>
              <w:spacing w:line="209" w:lineRule="exact"/>
              <w:ind w:left="36"/>
              <w:rPr>
                <w:sz w:val="20"/>
              </w:rPr>
            </w:pPr>
            <w:r>
              <w:rPr>
                <w:sz w:val="20"/>
              </w:rPr>
              <w:t>Method:</w:t>
            </w:r>
            <w:r>
              <w:rPr>
                <w:spacing w:val="-8"/>
                <w:sz w:val="20"/>
              </w:rPr>
              <w:t> </w:t>
            </w:r>
            <w:r>
              <w:rPr>
                <w:sz w:val="20"/>
              </w:rPr>
              <w:t>Least</w:t>
            </w:r>
            <w:r>
              <w:rPr>
                <w:spacing w:val="-7"/>
                <w:sz w:val="20"/>
              </w:rPr>
              <w:t> </w:t>
            </w:r>
            <w:r>
              <w:rPr>
                <w:spacing w:val="-2"/>
                <w:sz w:val="20"/>
              </w:rPr>
              <w:t>Squares</w:t>
            </w:r>
          </w:p>
        </w:tc>
      </w:tr>
      <w:tr>
        <w:trPr>
          <w:trHeight w:val="230" w:hRule="atLeast"/>
        </w:trPr>
        <w:tc>
          <w:tcPr>
            <w:tcW w:w="6486" w:type="dxa"/>
            <w:gridSpan w:val="5"/>
          </w:tcPr>
          <w:p>
            <w:pPr>
              <w:pStyle w:val="TableParagraph"/>
              <w:spacing w:line="210" w:lineRule="exact"/>
              <w:ind w:left="36"/>
              <w:rPr>
                <w:sz w:val="20"/>
              </w:rPr>
            </w:pPr>
            <w:r>
              <w:rPr>
                <w:sz w:val="20"/>
              </w:rPr>
              <w:t>Date:</w:t>
            </w:r>
            <w:r>
              <w:rPr>
                <w:spacing w:val="-5"/>
                <w:sz w:val="20"/>
              </w:rPr>
              <w:t> </w:t>
            </w:r>
            <w:r>
              <w:rPr>
                <w:sz w:val="20"/>
              </w:rPr>
              <w:t>02/17/14</w:t>
            </w:r>
            <w:r>
              <w:rPr>
                <w:spacing w:val="63"/>
                <w:w w:val="150"/>
                <w:sz w:val="20"/>
              </w:rPr>
              <w:t> </w:t>
            </w:r>
            <w:r>
              <w:rPr>
                <w:sz w:val="20"/>
              </w:rPr>
              <w:t>Time:</w:t>
            </w:r>
            <w:r>
              <w:rPr>
                <w:spacing w:val="-3"/>
                <w:sz w:val="20"/>
              </w:rPr>
              <w:t> </w:t>
            </w:r>
            <w:r>
              <w:rPr>
                <w:spacing w:val="-2"/>
                <w:sz w:val="20"/>
              </w:rPr>
              <w:t>17:12</w:t>
            </w:r>
          </w:p>
        </w:tc>
      </w:tr>
      <w:tr>
        <w:trPr>
          <w:trHeight w:val="230" w:hRule="atLeast"/>
        </w:trPr>
        <w:tc>
          <w:tcPr>
            <w:tcW w:w="6486" w:type="dxa"/>
            <w:gridSpan w:val="5"/>
          </w:tcPr>
          <w:p>
            <w:pPr>
              <w:pStyle w:val="TableParagraph"/>
              <w:spacing w:line="210" w:lineRule="exact"/>
              <w:ind w:left="36"/>
              <w:rPr>
                <w:sz w:val="20"/>
              </w:rPr>
            </w:pPr>
            <w:r>
              <w:rPr>
                <w:sz w:val="20"/>
              </w:rPr>
              <w:t>Sample(adjusted):</w:t>
            </w:r>
            <w:r>
              <w:rPr>
                <w:spacing w:val="-9"/>
                <w:sz w:val="20"/>
              </w:rPr>
              <w:t> </w:t>
            </w:r>
            <w:r>
              <w:rPr>
                <w:sz w:val="20"/>
              </w:rPr>
              <w:t>1972</w:t>
            </w:r>
            <w:r>
              <w:rPr>
                <w:spacing w:val="-9"/>
                <w:sz w:val="20"/>
              </w:rPr>
              <w:t> </w:t>
            </w:r>
            <w:r>
              <w:rPr>
                <w:spacing w:val="-4"/>
                <w:sz w:val="20"/>
              </w:rPr>
              <w:t>2011</w:t>
            </w:r>
          </w:p>
        </w:tc>
      </w:tr>
      <w:tr>
        <w:trPr>
          <w:trHeight w:val="224" w:hRule="atLeast"/>
        </w:trPr>
        <w:tc>
          <w:tcPr>
            <w:tcW w:w="6486" w:type="dxa"/>
            <w:gridSpan w:val="5"/>
            <w:tcBorders>
              <w:bottom w:val="double" w:sz="6" w:space="0" w:color="000000"/>
            </w:tcBorders>
          </w:tcPr>
          <w:p>
            <w:pPr>
              <w:pStyle w:val="TableParagraph"/>
              <w:spacing w:line="205" w:lineRule="exact"/>
              <w:ind w:left="36"/>
              <w:rPr>
                <w:sz w:val="20"/>
              </w:rPr>
            </w:pPr>
            <w:r>
              <w:rPr>
                <w:sz w:val="20"/>
              </w:rPr>
              <w:t>Included</w:t>
            </w:r>
            <w:r>
              <w:rPr>
                <w:spacing w:val="-6"/>
                <w:sz w:val="20"/>
              </w:rPr>
              <w:t> </w:t>
            </w:r>
            <w:r>
              <w:rPr>
                <w:sz w:val="20"/>
              </w:rPr>
              <w:t>observations:</w:t>
            </w:r>
            <w:r>
              <w:rPr>
                <w:spacing w:val="-8"/>
                <w:sz w:val="20"/>
              </w:rPr>
              <w:t> </w:t>
            </w:r>
            <w:r>
              <w:rPr>
                <w:sz w:val="20"/>
              </w:rPr>
              <w:t>40</w:t>
            </w:r>
            <w:r>
              <w:rPr>
                <w:spacing w:val="-5"/>
                <w:sz w:val="20"/>
              </w:rPr>
              <w:t> </w:t>
            </w:r>
            <w:r>
              <w:rPr>
                <w:sz w:val="20"/>
              </w:rPr>
              <w:t>after</w:t>
            </w:r>
            <w:r>
              <w:rPr>
                <w:spacing w:val="-7"/>
                <w:sz w:val="20"/>
              </w:rPr>
              <w:t> </w:t>
            </w:r>
            <w:r>
              <w:rPr>
                <w:sz w:val="20"/>
              </w:rPr>
              <w:t>adjusting</w:t>
            </w:r>
            <w:r>
              <w:rPr>
                <w:spacing w:val="-7"/>
                <w:sz w:val="20"/>
              </w:rPr>
              <w:t> </w:t>
            </w:r>
            <w:r>
              <w:rPr>
                <w:spacing w:val="-2"/>
                <w:sz w:val="20"/>
              </w:rPr>
              <w:t>endpoints</w:t>
            </w:r>
          </w:p>
        </w:tc>
      </w:tr>
      <w:tr>
        <w:trPr>
          <w:trHeight w:val="269" w:hRule="atLeast"/>
        </w:trPr>
        <w:tc>
          <w:tcPr>
            <w:tcW w:w="1847" w:type="dxa"/>
            <w:tcBorders>
              <w:top w:val="double" w:sz="6" w:space="0" w:color="000000"/>
              <w:bottom w:val="double" w:sz="6" w:space="0" w:color="000000"/>
            </w:tcBorders>
          </w:tcPr>
          <w:p>
            <w:pPr>
              <w:pStyle w:val="TableParagraph"/>
              <w:spacing w:line="209" w:lineRule="exact" w:before="40"/>
              <w:ind w:left="677"/>
              <w:rPr>
                <w:sz w:val="20"/>
              </w:rPr>
            </w:pPr>
            <w:r>
              <w:rPr>
                <w:spacing w:val="-2"/>
                <w:sz w:val="20"/>
              </w:rPr>
              <w:t>Variable</w:t>
            </w:r>
          </w:p>
        </w:tc>
        <w:tc>
          <w:tcPr>
            <w:tcW w:w="1375" w:type="dxa"/>
            <w:tcBorders>
              <w:top w:val="double" w:sz="6" w:space="0" w:color="000000"/>
              <w:bottom w:val="double" w:sz="6" w:space="0" w:color="000000"/>
            </w:tcBorders>
          </w:tcPr>
          <w:p>
            <w:pPr>
              <w:pStyle w:val="TableParagraph"/>
              <w:spacing w:line="209" w:lineRule="exact" w:before="40"/>
              <w:ind w:right="131"/>
              <w:jc w:val="right"/>
              <w:rPr>
                <w:sz w:val="20"/>
              </w:rPr>
            </w:pPr>
            <w:r>
              <w:rPr>
                <w:spacing w:val="-2"/>
                <w:sz w:val="20"/>
              </w:rPr>
              <w:t>Coefficient</w:t>
            </w:r>
          </w:p>
        </w:tc>
        <w:tc>
          <w:tcPr>
            <w:tcW w:w="1432" w:type="dxa"/>
            <w:tcBorders>
              <w:top w:val="double" w:sz="6" w:space="0" w:color="000000"/>
              <w:bottom w:val="double" w:sz="6" w:space="0" w:color="000000"/>
            </w:tcBorders>
          </w:tcPr>
          <w:p>
            <w:pPr>
              <w:pStyle w:val="TableParagraph"/>
              <w:spacing w:line="209" w:lineRule="exact" w:before="40"/>
              <w:ind w:left="273"/>
              <w:rPr>
                <w:sz w:val="20"/>
              </w:rPr>
            </w:pPr>
            <w:r>
              <w:rPr>
                <w:sz w:val="20"/>
              </w:rPr>
              <w:t>Std.</w:t>
            </w:r>
            <w:r>
              <w:rPr>
                <w:spacing w:val="-3"/>
                <w:sz w:val="20"/>
              </w:rPr>
              <w:t> </w:t>
            </w:r>
            <w:r>
              <w:rPr>
                <w:spacing w:val="-2"/>
                <w:sz w:val="20"/>
              </w:rPr>
              <w:t>Error</w:t>
            </w:r>
          </w:p>
        </w:tc>
        <w:tc>
          <w:tcPr>
            <w:tcW w:w="936" w:type="dxa"/>
            <w:tcBorders>
              <w:top w:val="double" w:sz="6" w:space="0" w:color="000000"/>
              <w:bottom w:val="double" w:sz="6" w:space="0" w:color="000000"/>
            </w:tcBorders>
          </w:tcPr>
          <w:p>
            <w:pPr>
              <w:pStyle w:val="TableParagraph"/>
              <w:spacing w:line="209" w:lineRule="exact" w:before="40"/>
              <w:ind w:right="112"/>
              <w:jc w:val="right"/>
              <w:rPr>
                <w:sz w:val="20"/>
              </w:rPr>
            </w:pPr>
            <w:r>
              <w:rPr>
                <w:spacing w:val="-4"/>
                <w:sz w:val="20"/>
              </w:rPr>
              <w:t>t-</w:t>
            </w:r>
            <w:r>
              <w:rPr>
                <w:spacing w:val="-2"/>
                <w:sz w:val="20"/>
              </w:rPr>
              <w:t>Statistic</w:t>
            </w:r>
          </w:p>
        </w:tc>
        <w:tc>
          <w:tcPr>
            <w:tcW w:w="896" w:type="dxa"/>
            <w:tcBorders>
              <w:top w:val="double" w:sz="6" w:space="0" w:color="000000"/>
              <w:bottom w:val="double" w:sz="6" w:space="0" w:color="000000"/>
            </w:tcBorders>
          </w:tcPr>
          <w:p>
            <w:pPr>
              <w:pStyle w:val="TableParagraph"/>
              <w:spacing w:line="209" w:lineRule="exact" w:before="40"/>
              <w:ind w:right="27"/>
              <w:jc w:val="right"/>
              <w:rPr>
                <w:sz w:val="20"/>
              </w:rPr>
            </w:pPr>
            <w:r>
              <w:rPr>
                <w:spacing w:val="-2"/>
                <w:sz w:val="20"/>
              </w:rPr>
              <w:t>Prob.</w:t>
            </w:r>
          </w:p>
        </w:tc>
      </w:tr>
      <w:tr>
        <w:trPr>
          <w:trHeight w:val="275" w:hRule="atLeast"/>
        </w:trPr>
        <w:tc>
          <w:tcPr>
            <w:tcW w:w="1847" w:type="dxa"/>
            <w:tcBorders>
              <w:top w:val="double" w:sz="6" w:space="0" w:color="000000"/>
            </w:tcBorders>
          </w:tcPr>
          <w:p>
            <w:pPr>
              <w:pStyle w:val="TableParagraph"/>
              <w:spacing w:line="215" w:lineRule="exact" w:before="40"/>
              <w:ind w:left="689"/>
              <w:rPr>
                <w:sz w:val="20"/>
              </w:rPr>
            </w:pPr>
            <w:r>
              <w:rPr>
                <w:spacing w:val="-2"/>
                <w:sz w:val="20"/>
              </w:rPr>
              <w:t>RES(-</w:t>
            </w:r>
            <w:r>
              <w:rPr>
                <w:spacing w:val="-5"/>
                <w:sz w:val="20"/>
              </w:rPr>
              <w:t>1)</w:t>
            </w:r>
          </w:p>
        </w:tc>
        <w:tc>
          <w:tcPr>
            <w:tcW w:w="1375" w:type="dxa"/>
            <w:tcBorders>
              <w:top w:val="double" w:sz="6" w:space="0" w:color="000000"/>
            </w:tcBorders>
          </w:tcPr>
          <w:p>
            <w:pPr>
              <w:pStyle w:val="TableParagraph"/>
              <w:spacing w:line="215" w:lineRule="exact" w:before="40"/>
              <w:ind w:right="128"/>
              <w:jc w:val="right"/>
              <w:rPr>
                <w:sz w:val="20"/>
              </w:rPr>
            </w:pPr>
            <w:r>
              <w:rPr>
                <w:spacing w:val="-4"/>
                <w:sz w:val="20"/>
              </w:rPr>
              <w:t>-</w:t>
            </w:r>
            <w:r>
              <w:rPr>
                <w:spacing w:val="-2"/>
                <w:sz w:val="20"/>
              </w:rPr>
              <w:t>0.113143</w:t>
            </w:r>
          </w:p>
        </w:tc>
        <w:tc>
          <w:tcPr>
            <w:tcW w:w="1432" w:type="dxa"/>
            <w:tcBorders>
              <w:top w:val="double" w:sz="6" w:space="0" w:color="000000"/>
            </w:tcBorders>
          </w:tcPr>
          <w:p>
            <w:pPr>
              <w:pStyle w:val="TableParagraph"/>
              <w:spacing w:line="215" w:lineRule="exact" w:before="40"/>
              <w:ind w:left="311"/>
              <w:rPr>
                <w:sz w:val="20"/>
              </w:rPr>
            </w:pPr>
            <w:r>
              <w:rPr>
                <w:spacing w:val="-2"/>
                <w:sz w:val="20"/>
              </w:rPr>
              <w:t>0.069107</w:t>
            </w:r>
          </w:p>
        </w:tc>
        <w:tc>
          <w:tcPr>
            <w:tcW w:w="936" w:type="dxa"/>
            <w:tcBorders>
              <w:top w:val="double" w:sz="6" w:space="0" w:color="000000"/>
            </w:tcBorders>
          </w:tcPr>
          <w:p>
            <w:pPr>
              <w:pStyle w:val="TableParagraph"/>
              <w:spacing w:line="215" w:lineRule="exact" w:before="40"/>
              <w:ind w:right="110"/>
              <w:jc w:val="right"/>
              <w:rPr>
                <w:sz w:val="20"/>
              </w:rPr>
            </w:pPr>
            <w:r>
              <w:rPr>
                <w:spacing w:val="-4"/>
                <w:sz w:val="20"/>
              </w:rPr>
              <w:t>-</w:t>
            </w:r>
            <w:r>
              <w:rPr>
                <w:spacing w:val="-2"/>
                <w:sz w:val="20"/>
              </w:rPr>
              <w:t>1.637218</w:t>
            </w:r>
          </w:p>
        </w:tc>
        <w:tc>
          <w:tcPr>
            <w:tcW w:w="896" w:type="dxa"/>
            <w:tcBorders>
              <w:top w:val="double" w:sz="6" w:space="0" w:color="000000"/>
            </w:tcBorders>
          </w:tcPr>
          <w:p>
            <w:pPr>
              <w:pStyle w:val="TableParagraph"/>
              <w:spacing w:line="215" w:lineRule="exact" w:before="40"/>
              <w:ind w:right="26"/>
              <w:jc w:val="right"/>
              <w:rPr>
                <w:sz w:val="20"/>
              </w:rPr>
            </w:pPr>
            <w:r>
              <w:rPr>
                <w:spacing w:val="-2"/>
                <w:sz w:val="20"/>
              </w:rPr>
              <w:t>0.1101</w:t>
            </w:r>
          </w:p>
        </w:tc>
      </w:tr>
      <w:tr>
        <w:trPr>
          <w:trHeight w:val="230" w:hRule="atLeast"/>
        </w:trPr>
        <w:tc>
          <w:tcPr>
            <w:tcW w:w="1847" w:type="dxa"/>
          </w:tcPr>
          <w:p>
            <w:pPr>
              <w:pStyle w:val="TableParagraph"/>
              <w:spacing w:line="210" w:lineRule="exact"/>
              <w:ind w:left="550"/>
              <w:rPr>
                <w:sz w:val="20"/>
              </w:rPr>
            </w:pPr>
            <w:r>
              <w:rPr>
                <w:spacing w:val="-2"/>
                <w:sz w:val="20"/>
              </w:rPr>
              <w:t>D(RES(-</w:t>
            </w:r>
            <w:r>
              <w:rPr>
                <w:spacing w:val="-5"/>
                <w:sz w:val="20"/>
              </w:rPr>
              <w:t>1))</w:t>
            </w:r>
          </w:p>
        </w:tc>
        <w:tc>
          <w:tcPr>
            <w:tcW w:w="1375" w:type="dxa"/>
          </w:tcPr>
          <w:p>
            <w:pPr>
              <w:pStyle w:val="TableParagraph"/>
              <w:spacing w:line="210" w:lineRule="exact"/>
              <w:ind w:right="128"/>
              <w:jc w:val="right"/>
              <w:rPr>
                <w:sz w:val="20"/>
              </w:rPr>
            </w:pPr>
            <w:r>
              <w:rPr>
                <w:spacing w:val="-4"/>
                <w:sz w:val="20"/>
              </w:rPr>
              <w:t>-</w:t>
            </w:r>
            <w:r>
              <w:rPr>
                <w:spacing w:val="-2"/>
                <w:sz w:val="20"/>
              </w:rPr>
              <w:t>0.431525</w:t>
            </w:r>
          </w:p>
        </w:tc>
        <w:tc>
          <w:tcPr>
            <w:tcW w:w="1432" w:type="dxa"/>
          </w:tcPr>
          <w:p>
            <w:pPr>
              <w:pStyle w:val="TableParagraph"/>
              <w:spacing w:line="210" w:lineRule="exact"/>
              <w:ind w:left="311"/>
              <w:rPr>
                <w:sz w:val="20"/>
              </w:rPr>
            </w:pPr>
            <w:r>
              <w:rPr>
                <w:spacing w:val="-2"/>
                <w:sz w:val="20"/>
              </w:rPr>
              <w:t>0.149034</w:t>
            </w:r>
          </w:p>
        </w:tc>
        <w:tc>
          <w:tcPr>
            <w:tcW w:w="936" w:type="dxa"/>
          </w:tcPr>
          <w:p>
            <w:pPr>
              <w:pStyle w:val="TableParagraph"/>
              <w:spacing w:line="210" w:lineRule="exact"/>
              <w:ind w:right="110"/>
              <w:jc w:val="right"/>
              <w:rPr>
                <w:sz w:val="20"/>
              </w:rPr>
            </w:pPr>
            <w:r>
              <w:rPr>
                <w:spacing w:val="-4"/>
                <w:sz w:val="20"/>
              </w:rPr>
              <w:t>-</w:t>
            </w:r>
            <w:r>
              <w:rPr>
                <w:spacing w:val="-2"/>
                <w:sz w:val="20"/>
              </w:rPr>
              <w:t>2.895468</w:t>
            </w:r>
          </w:p>
        </w:tc>
        <w:tc>
          <w:tcPr>
            <w:tcW w:w="896" w:type="dxa"/>
          </w:tcPr>
          <w:p>
            <w:pPr>
              <w:pStyle w:val="TableParagraph"/>
              <w:spacing w:line="210" w:lineRule="exact"/>
              <w:ind w:right="26"/>
              <w:jc w:val="right"/>
              <w:rPr>
                <w:sz w:val="20"/>
              </w:rPr>
            </w:pPr>
            <w:r>
              <w:rPr>
                <w:spacing w:val="-2"/>
                <w:sz w:val="20"/>
              </w:rPr>
              <w:t>0.0063</w:t>
            </w:r>
          </w:p>
        </w:tc>
      </w:tr>
      <w:tr>
        <w:trPr>
          <w:trHeight w:val="224" w:hRule="atLeast"/>
        </w:trPr>
        <w:tc>
          <w:tcPr>
            <w:tcW w:w="1847" w:type="dxa"/>
            <w:tcBorders>
              <w:bottom w:val="double" w:sz="6" w:space="0" w:color="000000"/>
            </w:tcBorders>
          </w:tcPr>
          <w:p>
            <w:pPr>
              <w:pStyle w:val="TableParagraph"/>
              <w:spacing w:line="205" w:lineRule="exact"/>
              <w:ind w:left="197"/>
              <w:jc w:val="center"/>
              <w:rPr>
                <w:sz w:val="20"/>
              </w:rPr>
            </w:pPr>
            <w:r>
              <w:rPr>
                <w:spacing w:val="-10"/>
                <w:sz w:val="20"/>
              </w:rPr>
              <w:t>C</w:t>
            </w:r>
          </w:p>
        </w:tc>
        <w:tc>
          <w:tcPr>
            <w:tcW w:w="1375" w:type="dxa"/>
            <w:tcBorders>
              <w:bottom w:val="double" w:sz="6" w:space="0" w:color="000000"/>
            </w:tcBorders>
          </w:tcPr>
          <w:p>
            <w:pPr>
              <w:pStyle w:val="TableParagraph"/>
              <w:spacing w:line="205" w:lineRule="exact"/>
              <w:ind w:right="128"/>
              <w:jc w:val="right"/>
              <w:rPr>
                <w:sz w:val="20"/>
              </w:rPr>
            </w:pPr>
            <w:r>
              <w:rPr>
                <w:spacing w:val="-2"/>
                <w:sz w:val="20"/>
              </w:rPr>
              <w:t>1.346775</w:t>
            </w:r>
          </w:p>
        </w:tc>
        <w:tc>
          <w:tcPr>
            <w:tcW w:w="1432" w:type="dxa"/>
            <w:tcBorders>
              <w:bottom w:val="double" w:sz="6" w:space="0" w:color="000000"/>
            </w:tcBorders>
          </w:tcPr>
          <w:p>
            <w:pPr>
              <w:pStyle w:val="TableParagraph"/>
              <w:spacing w:line="205" w:lineRule="exact"/>
              <w:ind w:left="311"/>
              <w:rPr>
                <w:sz w:val="20"/>
              </w:rPr>
            </w:pPr>
            <w:r>
              <w:rPr>
                <w:spacing w:val="-2"/>
                <w:sz w:val="20"/>
              </w:rPr>
              <w:t>0.674417</w:t>
            </w:r>
          </w:p>
        </w:tc>
        <w:tc>
          <w:tcPr>
            <w:tcW w:w="936" w:type="dxa"/>
            <w:tcBorders>
              <w:bottom w:val="double" w:sz="6" w:space="0" w:color="000000"/>
            </w:tcBorders>
          </w:tcPr>
          <w:p>
            <w:pPr>
              <w:pStyle w:val="TableParagraph"/>
              <w:spacing w:line="205" w:lineRule="exact"/>
              <w:ind w:right="110"/>
              <w:jc w:val="right"/>
              <w:rPr>
                <w:sz w:val="20"/>
              </w:rPr>
            </w:pPr>
            <w:r>
              <w:rPr>
                <w:spacing w:val="-2"/>
                <w:sz w:val="20"/>
              </w:rPr>
              <w:t>1.996946</w:t>
            </w:r>
          </w:p>
        </w:tc>
        <w:tc>
          <w:tcPr>
            <w:tcW w:w="896" w:type="dxa"/>
            <w:tcBorders>
              <w:bottom w:val="double" w:sz="6" w:space="0" w:color="000000"/>
            </w:tcBorders>
          </w:tcPr>
          <w:p>
            <w:pPr>
              <w:pStyle w:val="TableParagraph"/>
              <w:spacing w:line="205" w:lineRule="exact"/>
              <w:ind w:right="26"/>
              <w:jc w:val="right"/>
              <w:rPr>
                <w:sz w:val="20"/>
              </w:rPr>
            </w:pPr>
            <w:r>
              <w:rPr>
                <w:spacing w:val="-2"/>
                <w:sz w:val="20"/>
              </w:rPr>
              <w:t>0.0532</w:t>
            </w:r>
          </w:p>
        </w:tc>
      </w:tr>
      <w:tr>
        <w:trPr>
          <w:trHeight w:val="275" w:hRule="atLeast"/>
        </w:trPr>
        <w:tc>
          <w:tcPr>
            <w:tcW w:w="1847" w:type="dxa"/>
            <w:tcBorders>
              <w:top w:val="double" w:sz="6" w:space="0" w:color="000000"/>
            </w:tcBorders>
          </w:tcPr>
          <w:p>
            <w:pPr>
              <w:pStyle w:val="TableParagraph"/>
              <w:spacing w:line="215" w:lineRule="exact" w:before="40"/>
              <w:ind w:left="36"/>
              <w:rPr>
                <w:sz w:val="20"/>
              </w:rPr>
            </w:pPr>
            <w:r>
              <w:rPr>
                <w:spacing w:val="-2"/>
                <w:sz w:val="20"/>
              </w:rPr>
              <w:t>R-squared</w:t>
            </w:r>
          </w:p>
        </w:tc>
        <w:tc>
          <w:tcPr>
            <w:tcW w:w="1375" w:type="dxa"/>
            <w:tcBorders>
              <w:top w:val="double" w:sz="6" w:space="0" w:color="000000"/>
            </w:tcBorders>
          </w:tcPr>
          <w:p>
            <w:pPr>
              <w:pStyle w:val="TableParagraph"/>
              <w:spacing w:line="215" w:lineRule="exact" w:before="40"/>
              <w:ind w:right="128"/>
              <w:jc w:val="right"/>
              <w:rPr>
                <w:sz w:val="20"/>
              </w:rPr>
            </w:pPr>
            <w:r>
              <w:rPr>
                <w:spacing w:val="-2"/>
                <w:sz w:val="20"/>
              </w:rPr>
              <w:t>0.273960</w:t>
            </w:r>
          </w:p>
        </w:tc>
        <w:tc>
          <w:tcPr>
            <w:tcW w:w="2368" w:type="dxa"/>
            <w:gridSpan w:val="2"/>
            <w:tcBorders>
              <w:top w:val="double" w:sz="6" w:space="0" w:color="000000"/>
            </w:tcBorders>
          </w:tcPr>
          <w:p>
            <w:pPr>
              <w:pStyle w:val="TableParagraph"/>
              <w:spacing w:line="215" w:lineRule="exact" w:before="40"/>
              <w:ind w:left="131"/>
              <w:rPr>
                <w:sz w:val="20"/>
              </w:rPr>
            </w:pPr>
            <w:r>
              <w:rPr>
                <w:sz w:val="20"/>
              </w:rPr>
              <w:t>Mean</w:t>
            </w:r>
            <w:r>
              <w:rPr>
                <w:spacing w:val="-7"/>
                <w:sz w:val="20"/>
              </w:rPr>
              <w:t> </w:t>
            </w:r>
            <w:r>
              <w:rPr>
                <w:sz w:val="20"/>
              </w:rPr>
              <w:t>dependent</w:t>
            </w:r>
            <w:r>
              <w:rPr>
                <w:spacing w:val="-7"/>
                <w:sz w:val="20"/>
              </w:rPr>
              <w:t> </w:t>
            </w:r>
            <w:r>
              <w:rPr>
                <w:spacing w:val="-5"/>
                <w:sz w:val="20"/>
              </w:rPr>
              <w:t>var</w:t>
            </w:r>
          </w:p>
        </w:tc>
        <w:tc>
          <w:tcPr>
            <w:tcW w:w="896" w:type="dxa"/>
            <w:tcBorders>
              <w:top w:val="double" w:sz="6" w:space="0" w:color="000000"/>
            </w:tcBorders>
          </w:tcPr>
          <w:p>
            <w:pPr>
              <w:pStyle w:val="TableParagraph"/>
              <w:spacing w:line="215" w:lineRule="exact" w:before="40"/>
              <w:ind w:right="26"/>
              <w:jc w:val="right"/>
              <w:rPr>
                <w:sz w:val="20"/>
              </w:rPr>
            </w:pPr>
            <w:r>
              <w:rPr>
                <w:spacing w:val="-2"/>
                <w:sz w:val="20"/>
              </w:rPr>
              <w:t>0.190868</w:t>
            </w:r>
          </w:p>
        </w:tc>
      </w:tr>
      <w:tr>
        <w:trPr>
          <w:trHeight w:val="230" w:hRule="atLeast"/>
        </w:trPr>
        <w:tc>
          <w:tcPr>
            <w:tcW w:w="1847" w:type="dxa"/>
          </w:tcPr>
          <w:p>
            <w:pPr>
              <w:pStyle w:val="TableParagraph"/>
              <w:spacing w:line="211" w:lineRule="exact"/>
              <w:ind w:left="36"/>
              <w:rPr>
                <w:sz w:val="20"/>
              </w:rPr>
            </w:pPr>
            <w:r>
              <w:rPr>
                <w:sz w:val="20"/>
              </w:rPr>
              <w:t>Adjusted</w:t>
            </w:r>
            <w:r>
              <w:rPr>
                <w:spacing w:val="-10"/>
                <w:sz w:val="20"/>
              </w:rPr>
              <w:t> </w:t>
            </w:r>
            <w:r>
              <w:rPr>
                <w:sz w:val="20"/>
              </w:rPr>
              <w:t>R-</w:t>
            </w:r>
            <w:r>
              <w:rPr>
                <w:spacing w:val="-2"/>
                <w:sz w:val="20"/>
              </w:rPr>
              <w:t>squared</w:t>
            </w:r>
          </w:p>
        </w:tc>
        <w:tc>
          <w:tcPr>
            <w:tcW w:w="1375" w:type="dxa"/>
          </w:tcPr>
          <w:p>
            <w:pPr>
              <w:pStyle w:val="TableParagraph"/>
              <w:spacing w:line="211" w:lineRule="exact"/>
              <w:ind w:right="128"/>
              <w:jc w:val="right"/>
              <w:rPr>
                <w:sz w:val="20"/>
              </w:rPr>
            </w:pPr>
            <w:r>
              <w:rPr>
                <w:spacing w:val="-2"/>
                <w:sz w:val="20"/>
              </w:rPr>
              <w:t>0.234715</w:t>
            </w:r>
          </w:p>
        </w:tc>
        <w:tc>
          <w:tcPr>
            <w:tcW w:w="2368" w:type="dxa"/>
            <w:gridSpan w:val="2"/>
          </w:tcPr>
          <w:p>
            <w:pPr>
              <w:pStyle w:val="TableParagraph"/>
              <w:spacing w:line="211" w:lineRule="exact"/>
              <w:ind w:left="131"/>
              <w:rPr>
                <w:sz w:val="20"/>
              </w:rPr>
            </w:pPr>
            <w:r>
              <w:rPr>
                <w:sz w:val="20"/>
              </w:rPr>
              <w:t>S.D.</w:t>
            </w:r>
            <w:r>
              <w:rPr>
                <w:spacing w:val="-5"/>
                <w:sz w:val="20"/>
              </w:rPr>
              <w:t> </w:t>
            </w:r>
            <w:r>
              <w:rPr>
                <w:sz w:val="20"/>
              </w:rPr>
              <w:t>dependent</w:t>
            </w:r>
            <w:r>
              <w:rPr>
                <w:spacing w:val="-6"/>
                <w:sz w:val="20"/>
              </w:rPr>
              <w:t> </w:t>
            </w:r>
            <w:r>
              <w:rPr>
                <w:spacing w:val="-5"/>
                <w:sz w:val="20"/>
              </w:rPr>
              <w:t>var</w:t>
            </w:r>
          </w:p>
        </w:tc>
        <w:tc>
          <w:tcPr>
            <w:tcW w:w="896" w:type="dxa"/>
          </w:tcPr>
          <w:p>
            <w:pPr>
              <w:pStyle w:val="TableParagraph"/>
              <w:spacing w:line="211" w:lineRule="exact"/>
              <w:ind w:right="26"/>
              <w:jc w:val="right"/>
              <w:rPr>
                <w:sz w:val="20"/>
              </w:rPr>
            </w:pPr>
            <w:r>
              <w:rPr>
                <w:spacing w:val="-2"/>
                <w:sz w:val="20"/>
              </w:rPr>
              <w:t>1.547590</w:t>
            </w:r>
          </w:p>
        </w:tc>
      </w:tr>
      <w:tr>
        <w:trPr>
          <w:trHeight w:val="230" w:hRule="atLeast"/>
        </w:trPr>
        <w:tc>
          <w:tcPr>
            <w:tcW w:w="1847" w:type="dxa"/>
          </w:tcPr>
          <w:p>
            <w:pPr>
              <w:pStyle w:val="TableParagraph"/>
              <w:spacing w:line="211" w:lineRule="exact"/>
              <w:ind w:left="36"/>
              <w:rPr>
                <w:sz w:val="20"/>
              </w:rPr>
            </w:pPr>
            <w:r>
              <w:rPr>
                <w:sz w:val="20"/>
              </w:rPr>
              <w:t>S.E.</w:t>
            </w:r>
            <w:r>
              <w:rPr>
                <w:spacing w:val="-3"/>
                <w:sz w:val="20"/>
              </w:rPr>
              <w:t> </w:t>
            </w:r>
            <w:r>
              <w:rPr>
                <w:sz w:val="20"/>
              </w:rPr>
              <w:t>of</w:t>
            </w:r>
            <w:r>
              <w:rPr>
                <w:spacing w:val="-3"/>
                <w:sz w:val="20"/>
              </w:rPr>
              <w:t> </w:t>
            </w:r>
            <w:r>
              <w:rPr>
                <w:spacing w:val="-2"/>
                <w:sz w:val="20"/>
              </w:rPr>
              <w:t>regression</w:t>
            </w:r>
          </w:p>
        </w:tc>
        <w:tc>
          <w:tcPr>
            <w:tcW w:w="1375" w:type="dxa"/>
          </w:tcPr>
          <w:p>
            <w:pPr>
              <w:pStyle w:val="TableParagraph"/>
              <w:spacing w:line="211" w:lineRule="exact"/>
              <w:ind w:right="128"/>
              <w:jc w:val="right"/>
              <w:rPr>
                <w:sz w:val="20"/>
              </w:rPr>
            </w:pPr>
            <w:r>
              <w:rPr>
                <w:spacing w:val="-2"/>
                <w:sz w:val="20"/>
              </w:rPr>
              <w:t>1.353840</w:t>
            </w:r>
          </w:p>
        </w:tc>
        <w:tc>
          <w:tcPr>
            <w:tcW w:w="2368" w:type="dxa"/>
            <w:gridSpan w:val="2"/>
          </w:tcPr>
          <w:p>
            <w:pPr>
              <w:pStyle w:val="TableParagraph"/>
              <w:spacing w:line="211" w:lineRule="exact"/>
              <w:ind w:left="131"/>
              <w:rPr>
                <w:sz w:val="20"/>
              </w:rPr>
            </w:pPr>
            <w:r>
              <w:rPr>
                <w:sz w:val="20"/>
              </w:rPr>
              <w:t>Akaike</w:t>
            </w:r>
            <w:r>
              <w:rPr>
                <w:spacing w:val="-8"/>
                <w:sz w:val="20"/>
              </w:rPr>
              <w:t> </w:t>
            </w:r>
            <w:r>
              <w:rPr>
                <w:sz w:val="20"/>
              </w:rPr>
              <w:t>info</w:t>
            </w:r>
            <w:r>
              <w:rPr>
                <w:spacing w:val="-7"/>
                <w:sz w:val="20"/>
              </w:rPr>
              <w:t> </w:t>
            </w:r>
            <w:r>
              <w:rPr>
                <w:spacing w:val="-2"/>
                <w:sz w:val="20"/>
              </w:rPr>
              <w:t>criterion</w:t>
            </w:r>
          </w:p>
        </w:tc>
        <w:tc>
          <w:tcPr>
            <w:tcW w:w="896" w:type="dxa"/>
          </w:tcPr>
          <w:p>
            <w:pPr>
              <w:pStyle w:val="TableParagraph"/>
              <w:spacing w:line="211" w:lineRule="exact"/>
              <w:ind w:right="26"/>
              <w:jc w:val="right"/>
              <w:rPr>
                <w:sz w:val="20"/>
              </w:rPr>
            </w:pPr>
            <w:r>
              <w:rPr>
                <w:spacing w:val="-2"/>
                <w:sz w:val="20"/>
              </w:rPr>
              <w:t>3.515806</w:t>
            </w:r>
          </w:p>
        </w:tc>
      </w:tr>
      <w:tr>
        <w:trPr>
          <w:trHeight w:val="230" w:hRule="atLeast"/>
        </w:trPr>
        <w:tc>
          <w:tcPr>
            <w:tcW w:w="1847" w:type="dxa"/>
          </w:tcPr>
          <w:p>
            <w:pPr>
              <w:pStyle w:val="TableParagraph"/>
              <w:spacing w:line="210" w:lineRule="exact"/>
              <w:ind w:left="36"/>
              <w:rPr>
                <w:sz w:val="20"/>
              </w:rPr>
            </w:pPr>
            <w:r>
              <w:rPr>
                <w:sz w:val="20"/>
              </w:rPr>
              <w:t>Sum</w:t>
            </w:r>
            <w:r>
              <w:rPr>
                <w:spacing w:val="-8"/>
                <w:sz w:val="20"/>
              </w:rPr>
              <w:t> </w:t>
            </w:r>
            <w:r>
              <w:rPr>
                <w:sz w:val="20"/>
              </w:rPr>
              <w:t>squared</w:t>
            </w:r>
            <w:r>
              <w:rPr>
                <w:spacing w:val="-4"/>
                <w:sz w:val="20"/>
              </w:rPr>
              <w:t> </w:t>
            </w:r>
            <w:r>
              <w:rPr>
                <w:spacing w:val="-2"/>
                <w:sz w:val="20"/>
              </w:rPr>
              <w:t>resid</w:t>
            </w:r>
          </w:p>
        </w:tc>
        <w:tc>
          <w:tcPr>
            <w:tcW w:w="1375" w:type="dxa"/>
          </w:tcPr>
          <w:p>
            <w:pPr>
              <w:pStyle w:val="TableParagraph"/>
              <w:spacing w:line="210" w:lineRule="exact"/>
              <w:ind w:right="128"/>
              <w:jc w:val="right"/>
              <w:rPr>
                <w:sz w:val="20"/>
              </w:rPr>
            </w:pPr>
            <w:r>
              <w:rPr>
                <w:spacing w:val="-2"/>
                <w:sz w:val="20"/>
              </w:rPr>
              <w:t>67.81668</w:t>
            </w:r>
          </w:p>
        </w:tc>
        <w:tc>
          <w:tcPr>
            <w:tcW w:w="2368" w:type="dxa"/>
            <w:gridSpan w:val="2"/>
          </w:tcPr>
          <w:p>
            <w:pPr>
              <w:pStyle w:val="TableParagraph"/>
              <w:spacing w:line="210" w:lineRule="exact"/>
              <w:ind w:left="131"/>
              <w:rPr>
                <w:sz w:val="20"/>
              </w:rPr>
            </w:pPr>
            <w:r>
              <w:rPr>
                <w:sz w:val="20"/>
              </w:rPr>
              <w:t>Schwarz</w:t>
            </w:r>
            <w:r>
              <w:rPr>
                <w:spacing w:val="-8"/>
                <w:sz w:val="20"/>
              </w:rPr>
              <w:t> </w:t>
            </w:r>
            <w:r>
              <w:rPr>
                <w:spacing w:val="-2"/>
                <w:sz w:val="20"/>
              </w:rPr>
              <w:t>criterion</w:t>
            </w:r>
          </w:p>
        </w:tc>
        <w:tc>
          <w:tcPr>
            <w:tcW w:w="896" w:type="dxa"/>
          </w:tcPr>
          <w:p>
            <w:pPr>
              <w:pStyle w:val="TableParagraph"/>
              <w:spacing w:line="210" w:lineRule="exact"/>
              <w:ind w:right="26"/>
              <w:jc w:val="right"/>
              <w:rPr>
                <w:sz w:val="20"/>
              </w:rPr>
            </w:pPr>
            <w:r>
              <w:rPr>
                <w:spacing w:val="-2"/>
                <w:sz w:val="20"/>
              </w:rPr>
              <w:t>3.642472</w:t>
            </w:r>
          </w:p>
        </w:tc>
      </w:tr>
      <w:tr>
        <w:trPr>
          <w:trHeight w:val="229" w:hRule="atLeast"/>
        </w:trPr>
        <w:tc>
          <w:tcPr>
            <w:tcW w:w="1847" w:type="dxa"/>
          </w:tcPr>
          <w:p>
            <w:pPr>
              <w:pStyle w:val="TableParagraph"/>
              <w:spacing w:line="209" w:lineRule="exact"/>
              <w:ind w:left="36"/>
              <w:rPr>
                <w:sz w:val="20"/>
              </w:rPr>
            </w:pPr>
            <w:r>
              <w:rPr>
                <w:sz w:val="20"/>
              </w:rPr>
              <w:t>Log</w:t>
            </w:r>
            <w:r>
              <w:rPr>
                <w:spacing w:val="-6"/>
                <w:sz w:val="20"/>
              </w:rPr>
              <w:t> </w:t>
            </w:r>
            <w:r>
              <w:rPr>
                <w:spacing w:val="-2"/>
                <w:sz w:val="20"/>
              </w:rPr>
              <w:t>likelihood</w:t>
            </w:r>
          </w:p>
        </w:tc>
        <w:tc>
          <w:tcPr>
            <w:tcW w:w="1375" w:type="dxa"/>
          </w:tcPr>
          <w:p>
            <w:pPr>
              <w:pStyle w:val="TableParagraph"/>
              <w:spacing w:line="209" w:lineRule="exact"/>
              <w:ind w:right="128"/>
              <w:jc w:val="right"/>
              <w:rPr>
                <w:sz w:val="20"/>
              </w:rPr>
            </w:pPr>
            <w:r>
              <w:rPr>
                <w:spacing w:val="-4"/>
                <w:sz w:val="20"/>
              </w:rPr>
              <w:t>-</w:t>
            </w:r>
            <w:r>
              <w:rPr>
                <w:spacing w:val="-2"/>
                <w:sz w:val="20"/>
              </w:rPr>
              <w:t>67.31612</w:t>
            </w:r>
          </w:p>
        </w:tc>
        <w:tc>
          <w:tcPr>
            <w:tcW w:w="1432" w:type="dxa"/>
          </w:tcPr>
          <w:p>
            <w:pPr>
              <w:pStyle w:val="TableParagraph"/>
              <w:spacing w:line="209" w:lineRule="exact"/>
              <w:ind w:left="131"/>
              <w:rPr>
                <w:sz w:val="20"/>
              </w:rPr>
            </w:pPr>
            <w:r>
              <w:rPr>
                <w:spacing w:val="-4"/>
                <w:sz w:val="20"/>
              </w:rPr>
              <w:t>F-</w:t>
            </w:r>
            <w:r>
              <w:rPr>
                <w:spacing w:val="-2"/>
                <w:sz w:val="20"/>
              </w:rPr>
              <w:t>statistic</w:t>
            </w:r>
          </w:p>
        </w:tc>
        <w:tc>
          <w:tcPr>
            <w:tcW w:w="936" w:type="dxa"/>
          </w:tcPr>
          <w:p>
            <w:pPr>
              <w:pStyle w:val="TableParagraph"/>
              <w:rPr>
                <w:sz w:val="16"/>
              </w:rPr>
            </w:pPr>
          </w:p>
        </w:tc>
        <w:tc>
          <w:tcPr>
            <w:tcW w:w="896" w:type="dxa"/>
          </w:tcPr>
          <w:p>
            <w:pPr>
              <w:pStyle w:val="TableParagraph"/>
              <w:spacing w:line="209" w:lineRule="exact"/>
              <w:ind w:right="26"/>
              <w:jc w:val="right"/>
              <w:rPr>
                <w:sz w:val="20"/>
              </w:rPr>
            </w:pPr>
            <w:r>
              <w:rPr>
                <w:spacing w:val="-2"/>
                <w:sz w:val="20"/>
              </w:rPr>
              <w:t>6.980700</w:t>
            </w:r>
          </w:p>
        </w:tc>
      </w:tr>
      <w:tr>
        <w:trPr>
          <w:trHeight w:val="266" w:hRule="atLeast"/>
        </w:trPr>
        <w:tc>
          <w:tcPr>
            <w:tcW w:w="1847" w:type="dxa"/>
            <w:tcBorders>
              <w:bottom w:val="double" w:sz="6" w:space="0" w:color="000000"/>
            </w:tcBorders>
          </w:tcPr>
          <w:p>
            <w:pPr>
              <w:pStyle w:val="TableParagraph"/>
              <w:spacing w:line="224" w:lineRule="exact"/>
              <w:ind w:left="36"/>
              <w:rPr>
                <w:sz w:val="20"/>
              </w:rPr>
            </w:pPr>
            <w:r>
              <w:rPr>
                <w:sz w:val="20"/>
              </w:rPr>
              <w:t>Durbin-Watson</w:t>
            </w:r>
            <w:r>
              <w:rPr>
                <w:spacing w:val="-12"/>
                <w:sz w:val="20"/>
              </w:rPr>
              <w:t> </w:t>
            </w:r>
            <w:r>
              <w:rPr>
                <w:spacing w:val="-4"/>
                <w:sz w:val="20"/>
              </w:rPr>
              <w:t>stat</w:t>
            </w:r>
          </w:p>
        </w:tc>
        <w:tc>
          <w:tcPr>
            <w:tcW w:w="1375" w:type="dxa"/>
          </w:tcPr>
          <w:p>
            <w:pPr>
              <w:pStyle w:val="TableParagraph"/>
              <w:spacing w:line="224" w:lineRule="exact"/>
              <w:ind w:right="128"/>
              <w:jc w:val="right"/>
              <w:rPr>
                <w:sz w:val="20"/>
              </w:rPr>
            </w:pPr>
            <w:r>
              <w:rPr>
                <w:spacing w:val="-2"/>
                <w:sz w:val="20"/>
              </w:rPr>
              <w:t>2.046817</w:t>
            </w:r>
          </w:p>
        </w:tc>
        <w:tc>
          <w:tcPr>
            <w:tcW w:w="1432" w:type="dxa"/>
            <w:tcBorders>
              <w:bottom w:val="double" w:sz="6" w:space="0" w:color="000000"/>
            </w:tcBorders>
          </w:tcPr>
          <w:p>
            <w:pPr>
              <w:pStyle w:val="TableParagraph"/>
              <w:spacing w:line="224" w:lineRule="exact"/>
              <w:ind w:left="131"/>
              <w:rPr>
                <w:sz w:val="20"/>
              </w:rPr>
            </w:pPr>
            <w:r>
              <w:rPr>
                <w:spacing w:val="-2"/>
                <w:sz w:val="20"/>
              </w:rPr>
              <w:t>Prob(F-statistic)</w:t>
            </w:r>
          </w:p>
        </w:tc>
        <w:tc>
          <w:tcPr>
            <w:tcW w:w="936" w:type="dxa"/>
            <w:tcBorders>
              <w:bottom w:val="single" w:sz="6" w:space="0" w:color="000000"/>
            </w:tcBorders>
          </w:tcPr>
          <w:p>
            <w:pPr>
              <w:pStyle w:val="TableParagraph"/>
              <w:rPr>
                <w:sz w:val="18"/>
              </w:rPr>
            </w:pPr>
          </w:p>
        </w:tc>
        <w:tc>
          <w:tcPr>
            <w:tcW w:w="896" w:type="dxa"/>
            <w:tcBorders>
              <w:bottom w:val="double" w:sz="6" w:space="0" w:color="000000"/>
            </w:tcBorders>
          </w:tcPr>
          <w:p>
            <w:pPr>
              <w:pStyle w:val="TableParagraph"/>
              <w:spacing w:line="224" w:lineRule="exact"/>
              <w:ind w:right="26"/>
              <w:jc w:val="right"/>
              <w:rPr>
                <w:sz w:val="20"/>
              </w:rPr>
            </w:pPr>
            <w:r>
              <w:rPr>
                <w:spacing w:val="-2"/>
                <w:sz w:val="20"/>
              </w:rPr>
              <w:t>0.002678</w:t>
            </w:r>
          </w:p>
        </w:tc>
      </w:tr>
    </w:tbl>
    <w:p>
      <w:pPr>
        <w:spacing w:after="0" w:line="224" w:lineRule="exact"/>
        <w:jc w:val="right"/>
        <w:rPr>
          <w:sz w:val="20"/>
        </w:rPr>
        <w:sectPr>
          <w:pgSz w:w="11910" w:h="16840"/>
          <w:pgMar w:header="0" w:footer="979" w:top="1340" w:bottom="1240" w:left="280" w:right="0"/>
        </w:sectPr>
      </w:pPr>
    </w:p>
    <w:p>
      <w:pPr>
        <w:spacing w:before="82" w:after="3"/>
        <w:ind w:left="711" w:right="0" w:firstLine="0"/>
        <w:jc w:val="left"/>
        <w:rPr>
          <w:sz w:val="20"/>
        </w:rPr>
      </w:pPr>
      <w:r>
        <w:rPr>
          <w:sz w:val="20"/>
        </w:rPr>
        <w:t>RES</w:t>
      </w:r>
      <w:r>
        <w:rPr>
          <w:spacing w:val="-4"/>
          <w:sz w:val="20"/>
        </w:rPr>
        <w:t> </w:t>
      </w:r>
      <w:r>
        <w:rPr>
          <w:sz w:val="20"/>
        </w:rPr>
        <w:t>@</w:t>
      </w:r>
      <w:r>
        <w:rPr>
          <w:spacing w:val="-4"/>
          <w:sz w:val="20"/>
        </w:rPr>
        <w:t> </w:t>
      </w:r>
      <w:r>
        <w:rPr>
          <w:sz w:val="20"/>
        </w:rPr>
        <w:t>1</w:t>
      </w:r>
      <w:r>
        <w:rPr>
          <w:sz w:val="20"/>
          <w:vertAlign w:val="superscript"/>
        </w:rPr>
        <w:t>ST</w:t>
      </w:r>
      <w:r>
        <w:rPr>
          <w:spacing w:val="-3"/>
          <w:sz w:val="20"/>
          <w:vertAlign w:val="baseline"/>
        </w:rPr>
        <w:t> </w:t>
      </w:r>
      <w:r>
        <w:rPr>
          <w:spacing w:val="-4"/>
          <w:sz w:val="20"/>
          <w:vertAlign w:val="baseline"/>
        </w:rPr>
        <w:t>DIFF</w:t>
      </w:r>
    </w:p>
    <w:tbl>
      <w:tblPr>
        <w:tblW w:w="0" w:type="auto"/>
        <w:jc w:val="left"/>
        <w:tblInd w:w="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47"/>
        <w:gridCol w:w="1375"/>
        <w:gridCol w:w="1432"/>
        <w:gridCol w:w="904"/>
        <w:gridCol w:w="929"/>
      </w:tblGrid>
      <w:tr>
        <w:trPr>
          <w:trHeight w:val="224" w:hRule="atLeast"/>
        </w:trPr>
        <w:tc>
          <w:tcPr>
            <w:tcW w:w="1847" w:type="dxa"/>
          </w:tcPr>
          <w:p>
            <w:pPr>
              <w:pStyle w:val="TableParagraph"/>
              <w:spacing w:line="204" w:lineRule="exact"/>
              <w:ind w:left="36"/>
              <w:rPr>
                <w:sz w:val="20"/>
              </w:rPr>
            </w:pPr>
            <w:r>
              <w:rPr>
                <w:sz w:val="20"/>
              </w:rPr>
              <w:t>ADF</w:t>
            </w:r>
            <w:r>
              <w:rPr>
                <w:spacing w:val="-4"/>
                <w:sz w:val="20"/>
              </w:rPr>
              <w:t> </w:t>
            </w:r>
            <w:r>
              <w:rPr>
                <w:sz w:val="20"/>
              </w:rPr>
              <w:t>Test</w:t>
            </w:r>
            <w:r>
              <w:rPr>
                <w:spacing w:val="-4"/>
                <w:sz w:val="20"/>
              </w:rPr>
              <w:t> </w:t>
            </w:r>
            <w:r>
              <w:rPr>
                <w:spacing w:val="-2"/>
                <w:sz w:val="20"/>
              </w:rPr>
              <w:t>Statistic</w:t>
            </w:r>
          </w:p>
        </w:tc>
        <w:tc>
          <w:tcPr>
            <w:tcW w:w="1375" w:type="dxa"/>
          </w:tcPr>
          <w:p>
            <w:pPr>
              <w:pStyle w:val="TableParagraph"/>
              <w:spacing w:line="204" w:lineRule="exact"/>
              <w:ind w:left="219"/>
              <w:rPr>
                <w:sz w:val="20"/>
              </w:rPr>
            </w:pPr>
            <w:r>
              <w:rPr>
                <w:spacing w:val="-4"/>
                <w:sz w:val="20"/>
              </w:rPr>
              <w:t>-</w:t>
            </w:r>
            <w:r>
              <w:rPr>
                <w:spacing w:val="-2"/>
                <w:sz w:val="20"/>
              </w:rPr>
              <w:t>5.567190</w:t>
            </w:r>
          </w:p>
        </w:tc>
        <w:tc>
          <w:tcPr>
            <w:tcW w:w="2336" w:type="dxa"/>
            <w:gridSpan w:val="2"/>
          </w:tcPr>
          <w:p>
            <w:pPr>
              <w:pStyle w:val="TableParagraph"/>
              <w:spacing w:line="204" w:lineRule="exact"/>
              <w:ind w:left="131"/>
              <w:rPr>
                <w:sz w:val="20"/>
              </w:rPr>
            </w:pPr>
            <w:r>
              <w:rPr>
                <w:sz w:val="20"/>
              </w:rPr>
              <w:t>1%</w:t>
            </w:r>
            <w:r>
              <w:rPr>
                <w:spacing w:val="68"/>
                <w:w w:val="150"/>
                <w:sz w:val="20"/>
              </w:rPr>
              <w:t> </w:t>
            </w:r>
            <w:r>
              <w:rPr>
                <w:sz w:val="20"/>
              </w:rPr>
              <w:t>Critical</w:t>
            </w:r>
            <w:r>
              <w:rPr>
                <w:spacing w:val="-2"/>
                <w:sz w:val="20"/>
              </w:rPr>
              <w:t> Value*</w:t>
            </w:r>
          </w:p>
        </w:tc>
        <w:tc>
          <w:tcPr>
            <w:tcW w:w="929" w:type="dxa"/>
          </w:tcPr>
          <w:p>
            <w:pPr>
              <w:pStyle w:val="TableParagraph"/>
              <w:spacing w:line="204" w:lineRule="exact"/>
              <w:ind w:right="27"/>
              <w:jc w:val="right"/>
              <w:rPr>
                <w:sz w:val="20"/>
              </w:rPr>
            </w:pPr>
            <w:r>
              <w:rPr>
                <w:spacing w:val="-4"/>
                <w:sz w:val="20"/>
              </w:rPr>
              <w:t>-</w:t>
            </w:r>
            <w:r>
              <w:rPr>
                <w:spacing w:val="-2"/>
                <w:sz w:val="20"/>
              </w:rPr>
              <w:t>3.6067</w:t>
            </w:r>
          </w:p>
        </w:tc>
      </w:tr>
      <w:tr>
        <w:trPr>
          <w:trHeight w:val="229" w:hRule="atLeast"/>
        </w:trPr>
        <w:tc>
          <w:tcPr>
            <w:tcW w:w="1847" w:type="dxa"/>
          </w:tcPr>
          <w:p>
            <w:pPr>
              <w:pStyle w:val="TableParagraph"/>
              <w:rPr>
                <w:sz w:val="16"/>
              </w:rPr>
            </w:pPr>
          </w:p>
        </w:tc>
        <w:tc>
          <w:tcPr>
            <w:tcW w:w="1375" w:type="dxa"/>
          </w:tcPr>
          <w:p>
            <w:pPr>
              <w:pStyle w:val="TableParagraph"/>
              <w:rPr>
                <w:sz w:val="16"/>
              </w:rPr>
            </w:pPr>
          </w:p>
        </w:tc>
        <w:tc>
          <w:tcPr>
            <w:tcW w:w="2336" w:type="dxa"/>
            <w:gridSpan w:val="2"/>
          </w:tcPr>
          <w:p>
            <w:pPr>
              <w:pStyle w:val="TableParagraph"/>
              <w:spacing w:line="209" w:lineRule="exact"/>
              <w:ind w:left="131"/>
              <w:rPr>
                <w:sz w:val="20"/>
              </w:rPr>
            </w:pPr>
            <w:r>
              <w:rPr>
                <w:sz w:val="20"/>
              </w:rPr>
              <w:t>5%</w:t>
            </w:r>
            <w:r>
              <w:rPr>
                <w:spacing w:val="68"/>
                <w:w w:val="150"/>
                <w:sz w:val="20"/>
              </w:rPr>
              <w:t> </w:t>
            </w:r>
            <w:r>
              <w:rPr>
                <w:sz w:val="20"/>
              </w:rPr>
              <w:t>Critical</w:t>
            </w:r>
            <w:r>
              <w:rPr>
                <w:spacing w:val="-2"/>
                <w:sz w:val="20"/>
              </w:rPr>
              <w:t> </w:t>
            </w:r>
            <w:r>
              <w:rPr>
                <w:spacing w:val="-4"/>
                <w:sz w:val="20"/>
              </w:rPr>
              <w:t>Value</w:t>
            </w:r>
          </w:p>
        </w:tc>
        <w:tc>
          <w:tcPr>
            <w:tcW w:w="929" w:type="dxa"/>
          </w:tcPr>
          <w:p>
            <w:pPr>
              <w:pStyle w:val="TableParagraph"/>
              <w:spacing w:line="209" w:lineRule="exact"/>
              <w:ind w:right="27"/>
              <w:jc w:val="right"/>
              <w:rPr>
                <w:sz w:val="20"/>
              </w:rPr>
            </w:pPr>
            <w:r>
              <w:rPr>
                <w:spacing w:val="-4"/>
                <w:sz w:val="20"/>
              </w:rPr>
              <w:t>-</w:t>
            </w:r>
            <w:r>
              <w:rPr>
                <w:spacing w:val="-2"/>
                <w:sz w:val="20"/>
              </w:rPr>
              <w:t>2.9378</w:t>
            </w:r>
          </w:p>
        </w:tc>
      </w:tr>
      <w:tr>
        <w:trPr>
          <w:trHeight w:val="224" w:hRule="atLeast"/>
        </w:trPr>
        <w:tc>
          <w:tcPr>
            <w:tcW w:w="1847" w:type="dxa"/>
            <w:tcBorders>
              <w:bottom w:val="double" w:sz="6" w:space="0" w:color="000000"/>
            </w:tcBorders>
          </w:tcPr>
          <w:p>
            <w:pPr>
              <w:pStyle w:val="TableParagraph"/>
              <w:rPr>
                <w:sz w:val="16"/>
              </w:rPr>
            </w:pPr>
          </w:p>
        </w:tc>
        <w:tc>
          <w:tcPr>
            <w:tcW w:w="1375" w:type="dxa"/>
            <w:tcBorders>
              <w:bottom w:val="double" w:sz="6" w:space="0" w:color="000000"/>
            </w:tcBorders>
          </w:tcPr>
          <w:p>
            <w:pPr>
              <w:pStyle w:val="TableParagraph"/>
              <w:rPr>
                <w:sz w:val="16"/>
              </w:rPr>
            </w:pPr>
          </w:p>
        </w:tc>
        <w:tc>
          <w:tcPr>
            <w:tcW w:w="2336" w:type="dxa"/>
            <w:gridSpan w:val="2"/>
            <w:tcBorders>
              <w:bottom w:val="double" w:sz="6" w:space="0" w:color="000000"/>
            </w:tcBorders>
          </w:tcPr>
          <w:p>
            <w:pPr>
              <w:pStyle w:val="TableParagraph"/>
              <w:spacing w:line="205" w:lineRule="exact"/>
              <w:ind w:left="131"/>
              <w:rPr>
                <w:sz w:val="20"/>
              </w:rPr>
            </w:pPr>
            <w:r>
              <w:rPr>
                <w:sz w:val="20"/>
              </w:rPr>
              <w:t>10%</w:t>
            </w:r>
            <w:r>
              <w:rPr>
                <w:spacing w:val="-6"/>
                <w:sz w:val="20"/>
              </w:rPr>
              <w:t> </w:t>
            </w:r>
            <w:r>
              <w:rPr>
                <w:sz w:val="20"/>
              </w:rPr>
              <w:t>Critical</w:t>
            </w:r>
            <w:r>
              <w:rPr>
                <w:spacing w:val="-4"/>
                <w:sz w:val="20"/>
              </w:rPr>
              <w:t> </w:t>
            </w:r>
            <w:r>
              <w:rPr>
                <w:spacing w:val="-2"/>
                <w:sz w:val="20"/>
              </w:rPr>
              <w:t>Value</w:t>
            </w:r>
          </w:p>
        </w:tc>
        <w:tc>
          <w:tcPr>
            <w:tcW w:w="929" w:type="dxa"/>
            <w:tcBorders>
              <w:bottom w:val="double" w:sz="6" w:space="0" w:color="000000"/>
            </w:tcBorders>
          </w:tcPr>
          <w:p>
            <w:pPr>
              <w:pStyle w:val="TableParagraph"/>
              <w:spacing w:line="205" w:lineRule="exact"/>
              <w:ind w:right="27"/>
              <w:jc w:val="right"/>
              <w:rPr>
                <w:sz w:val="20"/>
              </w:rPr>
            </w:pPr>
            <w:r>
              <w:rPr>
                <w:spacing w:val="-4"/>
                <w:sz w:val="20"/>
              </w:rPr>
              <w:t>-</w:t>
            </w:r>
            <w:r>
              <w:rPr>
                <w:spacing w:val="-2"/>
                <w:sz w:val="20"/>
              </w:rPr>
              <w:t>2.6069</w:t>
            </w:r>
          </w:p>
        </w:tc>
      </w:tr>
      <w:tr>
        <w:trPr>
          <w:trHeight w:val="506" w:hRule="atLeast"/>
        </w:trPr>
        <w:tc>
          <w:tcPr>
            <w:tcW w:w="6487" w:type="dxa"/>
            <w:gridSpan w:val="5"/>
            <w:tcBorders>
              <w:top w:val="double" w:sz="6" w:space="0" w:color="000000"/>
            </w:tcBorders>
          </w:tcPr>
          <w:p>
            <w:pPr>
              <w:pStyle w:val="TableParagraph"/>
              <w:spacing w:before="42"/>
              <w:ind w:left="36"/>
              <w:rPr>
                <w:sz w:val="20"/>
              </w:rPr>
            </w:pPr>
            <w:r>
              <w:rPr>
                <w:sz w:val="20"/>
              </w:rPr>
              <w:t>*MacKinnon</w:t>
            </w:r>
            <w:r>
              <w:rPr>
                <w:spacing w:val="-6"/>
                <w:sz w:val="20"/>
              </w:rPr>
              <w:t> </w:t>
            </w:r>
            <w:r>
              <w:rPr>
                <w:sz w:val="20"/>
              </w:rPr>
              <w:t>critical</w:t>
            </w:r>
            <w:r>
              <w:rPr>
                <w:spacing w:val="-4"/>
                <w:sz w:val="20"/>
              </w:rPr>
              <w:t> </w:t>
            </w:r>
            <w:r>
              <w:rPr>
                <w:sz w:val="20"/>
              </w:rPr>
              <w:t>values</w:t>
            </w:r>
            <w:r>
              <w:rPr>
                <w:spacing w:val="-6"/>
                <w:sz w:val="20"/>
              </w:rPr>
              <w:t> </w:t>
            </w:r>
            <w:r>
              <w:rPr>
                <w:sz w:val="20"/>
              </w:rPr>
              <w:t>for</w:t>
            </w:r>
            <w:r>
              <w:rPr>
                <w:spacing w:val="-4"/>
                <w:sz w:val="20"/>
              </w:rPr>
              <w:t> </w:t>
            </w:r>
            <w:r>
              <w:rPr>
                <w:sz w:val="20"/>
              </w:rPr>
              <w:t>rejection</w:t>
            </w:r>
            <w:r>
              <w:rPr>
                <w:spacing w:val="-5"/>
                <w:sz w:val="20"/>
              </w:rPr>
              <w:t> </w:t>
            </w:r>
            <w:r>
              <w:rPr>
                <w:sz w:val="20"/>
              </w:rPr>
              <w:t>of</w:t>
            </w:r>
            <w:r>
              <w:rPr>
                <w:spacing w:val="-7"/>
                <w:sz w:val="20"/>
              </w:rPr>
              <w:t> </w:t>
            </w:r>
            <w:r>
              <w:rPr>
                <w:sz w:val="20"/>
              </w:rPr>
              <w:t>hypothesis</w:t>
            </w:r>
            <w:r>
              <w:rPr>
                <w:spacing w:val="-5"/>
                <w:sz w:val="20"/>
              </w:rPr>
              <w:t> </w:t>
            </w:r>
            <w:r>
              <w:rPr>
                <w:sz w:val="20"/>
              </w:rPr>
              <w:t>of</w:t>
            </w:r>
            <w:r>
              <w:rPr>
                <w:spacing w:val="-6"/>
                <w:sz w:val="20"/>
              </w:rPr>
              <w:t> </w:t>
            </w:r>
            <w:r>
              <w:rPr>
                <w:sz w:val="20"/>
              </w:rPr>
              <w:t>a</w:t>
            </w:r>
            <w:r>
              <w:rPr>
                <w:spacing w:val="-5"/>
                <w:sz w:val="20"/>
              </w:rPr>
              <w:t> </w:t>
            </w:r>
            <w:r>
              <w:rPr>
                <w:sz w:val="20"/>
              </w:rPr>
              <w:t>unit</w:t>
            </w:r>
            <w:r>
              <w:rPr>
                <w:spacing w:val="2"/>
                <w:sz w:val="20"/>
              </w:rPr>
              <w:t> </w:t>
            </w:r>
            <w:r>
              <w:rPr>
                <w:spacing w:val="-2"/>
                <w:sz w:val="20"/>
              </w:rPr>
              <w:t>root.</w:t>
            </w:r>
          </w:p>
        </w:tc>
      </w:tr>
      <w:tr>
        <w:trPr>
          <w:trHeight w:val="459" w:hRule="atLeast"/>
        </w:trPr>
        <w:tc>
          <w:tcPr>
            <w:tcW w:w="6487" w:type="dxa"/>
            <w:gridSpan w:val="5"/>
          </w:tcPr>
          <w:p>
            <w:pPr>
              <w:pStyle w:val="TableParagraph"/>
              <w:spacing w:line="215" w:lineRule="exact" w:before="225"/>
              <w:ind w:left="36"/>
              <w:rPr>
                <w:sz w:val="20"/>
              </w:rPr>
            </w:pPr>
            <w:r>
              <w:rPr>
                <w:sz w:val="20"/>
              </w:rPr>
              <w:t>Augmented</w:t>
            </w:r>
            <w:r>
              <w:rPr>
                <w:spacing w:val="-8"/>
                <w:sz w:val="20"/>
              </w:rPr>
              <w:t> </w:t>
            </w:r>
            <w:r>
              <w:rPr>
                <w:sz w:val="20"/>
              </w:rPr>
              <w:t>Dickey-Fuller</w:t>
            </w:r>
            <w:r>
              <w:rPr>
                <w:spacing w:val="-8"/>
                <w:sz w:val="20"/>
              </w:rPr>
              <w:t> </w:t>
            </w:r>
            <w:r>
              <w:rPr>
                <w:sz w:val="20"/>
              </w:rPr>
              <w:t>Test</w:t>
            </w:r>
            <w:r>
              <w:rPr>
                <w:spacing w:val="-9"/>
                <w:sz w:val="20"/>
              </w:rPr>
              <w:t> </w:t>
            </w:r>
            <w:r>
              <w:rPr>
                <w:spacing w:val="-2"/>
                <w:sz w:val="20"/>
              </w:rPr>
              <w:t>Equation</w:t>
            </w:r>
          </w:p>
        </w:tc>
      </w:tr>
      <w:tr>
        <w:trPr>
          <w:trHeight w:val="230" w:hRule="atLeast"/>
        </w:trPr>
        <w:tc>
          <w:tcPr>
            <w:tcW w:w="6487" w:type="dxa"/>
            <w:gridSpan w:val="5"/>
          </w:tcPr>
          <w:p>
            <w:pPr>
              <w:pStyle w:val="TableParagraph"/>
              <w:spacing w:line="210" w:lineRule="exact"/>
              <w:ind w:left="36"/>
              <w:rPr>
                <w:sz w:val="20"/>
              </w:rPr>
            </w:pPr>
            <w:r>
              <w:rPr>
                <w:sz w:val="20"/>
              </w:rPr>
              <w:t>Dependent</w:t>
            </w:r>
            <w:r>
              <w:rPr>
                <w:spacing w:val="-8"/>
                <w:sz w:val="20"/>
              </w:rPr>
              <w:t> </w:t>
            </w:r>
            <w:r>
              <w:rPr>
                <w:sz w:val="20"/>
              </w:rPr>
              <w:t>Variable:</w:t>
            </w:r>
            <w:r>
              <w:rPr>
                <w:spacing w:val="-8"/>
                <w:sz w:val="20"/>
              </w:rPr>
              <w:t> </w:t>
            </w:r>
            <w:r>
              <w:rPr>
                <w:spacing w:val="-2"/>
                <w:sz w:val="20"/>
              </w:rPr>
              <w:t>D(RES,2)</w:t>
            </w:r>
          </w:p>
        </w:tc>
      </w:tr>
      <w:tr>
        <w:trPr>
          <w:trHeight w:val="229" w:hRule="atLeast"/>
        </w:trPr>
        <w:tc>
          <w:tcPr>
            <w:tcW w:w="6487" w:type="dxa"/>
            <w:gridSpan w:val="5"/>
          </w:tcPr>
          <w:p>
            <w:pPr>
              <w:pStyle w:val="TableParagraph"/>
              <w:spacing w:line="209" w:lineRule="exact"/>
              <w:ind w:left="36"/>
              <w:rPr>
                <w:sz w:val="20"/>
              </w:rPr>
            </w:pPr>
            <w:r>
              <w:rPr>
                <w:sz w:val="20"/>
              </w:rPr>
              <w:t>Method:</w:t>
            </w:r>
            <w:r>
              <w:rPr>
                <w:spacing w:val="-8"/>
                <w:sz w:val="20"/>
              </w:rPr>
              <w:t> </w:t>
            </w:r>
            <w:r>
              <w:rPr>
                <w:sz w:val="20"/>
              </w:rPr>
              <w:t>Least</w:t>
            </w:r>
            <w:r>
              <w:rPr>
                <w:spacing w:val="-7"/>
                <w:sz w:val="20"/>
              </w:rPr>
              <w:t> </w:t>
            </w:r>
            <w:r>
              <w:rPr>
                <w:spacing w:val="-2"/>
                <w:sz w:val="20"/>
              </w:rPr>
              <w:t>Squares</w:t>
            </w:r>
          </w:p>
        </w:tc>
      </w:tr>
      <w:tr>
        <w:trPr>
          <w:trHeight w:val="229" w:hRule="atLeast"/>
        </w:trPr>
        <w:tc>
          <w:tcPr>
            <w:tcW w:w="6487" w:type="dxa"/>
            <w:gridSpan w:val="5"/>
          </w:tcPr>
          <w:p>
            <w:pPr>
              <w:pStyle w:val="TableParagraph"/>
              <w:spacing w:line="209" w:lineRule="exact"/>
              <w:ind w:left="36"/>
              <w:rPr>
                <w:sz w:val="20"/>
              </w:rPr>
            </w:pPr>
            <w:r>
              <w:rPr>
                <w:sz w:val="20"/>
              </w:rPr>
              <w:t>Date:</w:t>
            </w:r>
            <w:r>
              <w:rPr>
                <w:spacing w:val="-5"/>
                <w:sz w:val="20"/>
              </w:rPr>
              <w:t> </w:t>
            </w:r>
            <w:r>
              <w:rPr>
                <w:sz w:val="20"/>
              </w:rPr>
              <w:t>02/17/14</w:t>
            </w:r>
            <w:r>
              <w:rPr>
                <w:spacing w:val="63"/>
                <w:w w:val="150"/>
                <w:sz w:val="20"/>
              </w:rPr>
              <w:t> </w:t>
            </w:r>
            <w:r>
              <w:rPr>
                <w:sz w:val="20"/>
              </w:rPr>
              <w:t>Time:</w:t>
            </w:r>
            <w:r>
              <w:rPr>
                <w:spacing w:val="-3"/>
                <w:sz w:val="20"/>
              </w:rPr>
              <w:t> </w:t>
            </w:r>
            <w:r>
              <w:rPr>
                <w:spacing w:val="-2"/>
                <w:sz w:val="20"/>
              </w:rPr>
              <w:t>17:13</w:t>
            </w:r>
          </w:p>
        </w:tc>
      </w:tr>
      <w:tr>
        <w:trPr>
          <w:trHeight w:val="230" w:hRule="atLeast"/>
        </w:trPr>
        <w:tc>
          <w:tcPr>
            <w:tcW w:w="6487" w:type="dxa"/>
            <w:gridSpan w:val="5"/>
          </w:tcPr>
          <w:p>
            <w:pPr>
              <w:pStyle w:val="TableParagraph"/>
              <w:spacing w:line="210" w:lineRule="exact"/>
              <w:ind w:left="36"/>
              <w:rPr>
                <w:sz w:val="20"/>
              </w:rPr>
            </w:pPr>
            <w:r>
              <w:rPr>
                <w:sz w:val="20"/>
              </w:rPr>
              <w:t>Sample(adjusted):</w:t>
            </w:r>
            <w:r>
              <w:rPr>
                <w:spacing w:val="-9"/>
                <w:sz w:val="20"/>
              </w:rPr>
              <w:t> </w:t>
            </w:r>
            <w:r>
              <w:rPr>
                <w:sz w:val="20"/>
              </w:rPr>
              <w:t>1973</w:t>
            </w:r>
            <w:r>
              <w:rPr>
                <w:spacing w:val="-9"/>
                <w:sz w:val="20"/>
              </w:rPr>
              <w:t> </w:t>
            </w:r>
            <w:r>
              <w:rPr>
                <w:spacing w:val="-4"/>
                <w:sz w:val="20"/>
              </w:rPr>
              <w:t>2011</w:t>
            </w:r>
          </w:p>
        </w:tc>
      </w:tr>
      <w:tr>
        <w:trPr>
          <w:trHeight w:val="224" w:hRule="atLeast"/>
        </w:trPr>
        <w:tc>
          <w:tcPr>
            <w:tcW w:w="6487" w:type="dxa"/>
            <w:gridSpan w:val="5"/>
            <w:tcBorders>
              <w:bottom w:val="double" w:sz="6" w:space="0" w:color="000000"/>
            </w:tcBorders>
          </w:tcPr>
          <w:p>
            <w:pPr>
              <w:pStyle w:val="TableParagraph"/>
              <w:spacing w:line="205" w:lineRule="exact"/>
              <w:ind w:left="36"/>
              <w:rPr>
                <w:sz w:val="20"/>
              </w:rPr>
            </w:pPr>
            <w:r>
              <w:rPr>
                <w:sz w:val="20"/>
              </w:rPr>
              <w:t>Included</w:t>
            </w:r>
            <w:r>
              <w:rPr>
                <w:spacing w:val="-6"/>
                <w:sz w:val="20"/>
              </w:rPr>
              <w:t> </w:t>
            </w:r>
            <w:r>
              <w:rPr>
                <w:sz w:val="20"/>
              </w:rPr>
              <w:t>observations:</w:t>
            </w:r>
            <w:r>
              <w:rPr>
                <w:spacing w:val="-8"/>
                <w:sz w:val="20"/>
              </w:rPr>
              <w:t> </w:t>
            </w:r>
            <w:r>
              <w:rPr>
                <w:sz w:val="20"/>
              </w:rPr>
              <w:t>39</w:t>
            </w:r>
            <w:r>
              <w:rPr>
                <w:spacing w:val="-5"/>
                <w:sz w:val="20"/>
              </w:rPr>
              <w:t> </w:t>
            </w:r>
            <w:r>
              <w:rPr>
                <w:sz w:val="20"/>
              </w:rPr>
              <w:t>after</w:t>
            </w:r>
            <w:r>
              <w:rPr>
                <w:spacing w:val="-7"/>
                <w:sz w:val="20"/>
              </w:rPr>
              <w:t> </w:t>
            </w:r>
            <w:r>
              <w:rPr>
                <w:sz w:val="20"/>
              </w:rPr>
              <w:t>adjusting</w:t>
            </w:r>
            <w:r>
              <w:rPr>
                <w:spacing w:val="-7"/>
                <w:sz w:val="20"/>
              </w:rPr>
              <w:t> </w:t>
            </w:r>
            <w:r>
              <w:rPr>
                <w:spacing w:val="-2"/>
                <w:sz w:val="20"/>
              </w:rPr>
              <w:t>endpoints</w:t>
            </w:r>
          </w:p>
        </w:tc>
      </w:tr>
      <w:tr>
        <w:trPr>
          <w:trHeight w:val="269" w:hRule="atLeast"/>
        </w:trPr>
        <w:tc>
          <w:tcPr>
            <w:tcW w:w="1847" w:type="dxa"/>
            <w:tcBorders>
              <w:top w:val="double" w:sz="6" w:space="0" w:color="000000"/>
              <w:bottom w:val="double" w:sz="6" w:space="0" w:color="000000"/>
            </w:tcBorders>
          </w:tcPr>
          <w:p>
            <w:pPr>
              <w:pStyle w:val="TableParagraph"/>
              <w:spacing w:line="209" w:lineRule="exact" w:before="40"/>
              <w:ind w:left="677"/>
              <w:rPr>
                <w:sz w:val="20"/>
              </w:rPr>
            </w:pPr>
            <w:r>
              <w:rPr>
                <w:spacing w:val="-2"/>
                <w:sz w:val="20"/>
              </w:rPr>
              <w:t>Variable</w:t>
            </w:r>
          </w:p>
        </w:tc>
        <w:tc>
          <w:tcPr>
            <w:tcW w:w="1375" w:type="dxa"/>
            <w:tcBorders>
              <w:top w:val="double" w:sz="6" w:space="0" w:color="000000"/>
              <w:bottom w:val="double" w:sz="6" w:space="0" w:color="000000"/>
            </w:tcBorders>
          </w:tcPr>
          <w:p>
            <w:pPr>
              <w:pStyle w:val="TableParagraph"/>
              <w:spacing w:line="209" w:lineRule="exact" w:before="40"/>
              <w:ind w:right="131"/>
              <w:jc w:val="right"/>
              <w:rPr>
                <w:sz w:val="20"/>
              </w:rPr>
            </w:pPr>
            <w:r>
              <w:rPr>
                <w:spacing w:val="-2"/>
                <w:sz w:val="20"/>
              </w:rPr>
              <w:t>Coefficient</w:t>
            </w:r>
          </w:p>
        </w:tc>
        <w:tc>
          <w:tcPr>
            <w:tcW w:w="1432" w:type="dxa"/>
            <w:tcBorders>
              <w:top w:val="double" w:sz="6" w:space="0" w:color="000000"/>
              <w:bottom w:val="double" w:sz="6" w:space="0" w:color="000000"/>
            </w:tcBorders>
          </w:tcPr>
          <w:p>
            <w:pPr>
              <w:pStyle w:val="TableParagraph"/>
              <w:spacing w:line="209" w:lineRule="exact" w:before="40"/>
              <w:ind w:left="273"/>
              <w:rPr>
                <w:sz w:val="20"/>
              </w:rPr>
            </w:pPr>
            <w:r>
              <w:rPr>
                <w:sz w:val="20"/>
              </w:rPr>
              <w:t>Std.</w:t>
            </w:r>
            <w:r>
              <w:rPr>
                <w:spacing w:val="-3"/>
                <w:sz w:val="20"/>
              </w:rPr>
              <w:t> </w:t>
            </w:r>
            <w:r>
              <w:rPr>
                <w:spacing w:val="-2"/>
                <w:sz w:val="20"/>
              </w:rPr>
              <w:t>Error</w:t>
            </w:r>
          </w:p>
        </w:tc>
        <w:tc>
          <w:tcPr>
            <w:tcW w:w="904" w:type="dxa"/>
            <w:tcBorders>
              <w:top w:val="double" w:sz="6" w:space="0" w:color="000000"/>
              <w:bottom w:val="double" w:sz="6" w:space="0" w:color="000000"/>
            </w:tcBorders>
          </w:tcPr>
          <w:p>
            <w:pPr>
              <w:pStyle w:val="TableParagraph"/>
              <w:spacing w:line="209" w:lineRule="exact" w:before="40"/>
              <w:ind w:right="22"/>
              <w:jc w:val="center"/>
              <w:rPr>
                <w:sz w:val="20"/>
              </w:rPr>
            </w:pPr>
            <w:r>
              <w:rPr>
                <w:spacing w:val="-4"/>
                <w:sz w:val="20"/>
              </w:rPr>
              <w:t>t-</w:t>
            </w:r>
            <w:r>
              <w:rPr>
                <w:spacing w:val="-2"/>
                <w:sz w:val="20"/>
              </w:rPr>
              <w:t>Statistic</w:t>
            </w:r>
          </w:p>
        </w:tc>
        <w:tc>
          <w:tcPr>
            <w:tcW w:w="929" w:type="dxa"/>
            <w:tcBorders>
              <w:top w:val="double" w:sz="6" w:space="0" w:color="000000"/>
              <w:bottom w:val="double" w:sz="6" w:space="0" w:color="000000"/>
            </w:tcBorders>
          </w:tcPr>
          <w:p>
            <w:pPr>
              <w:pStyle w:val="TableParagraph"/>
              <w:spacing w:line="209" w:lineRule="exact" w:before="40"/>
              <w:ind w:right="28"/>
              <w:jc w:val="right"/>
              <w:rPr>
                <w:sz w:val="20"/>
              </w:rPr>
            </w:pPr>
            <w:r>
              <w:rPr>
                <w:spacing w:val="-2"/>
                <w:sz w:val="20"/>
              </w:rPr>
              <w:t>Prob.</w:t>
            </w:r>
          </w:p>
        </w:tc>
      </w:tr>
      <w:tr>
        <w:trPr>
          <w:trHeight w:val="276" w:hRule="atLeast"/>
        </w:trPr>
        <w:tc>
          <w:tcPr>
            <w:tcW w:w="1847" w:type="dxa"/>
            <w:tcBorders>
              <w:top w:val="double" w:sz="6" w:space="0" w:color="000000"/>
            </w:tcBorders>
          </w:tcPr>
          <w:p>
            <w:pPr>
              <w:pStyle w:val="TableParagraph"/>
              <w:spacing w:line="214" w:lineRule="exact" w:before="42"/>
              <w:ind w:left="550"/>
              <w:rPr>
                <w:sz w:val="20"/>
              </w:rPr>
            </w:pPr>
            <w:r>
              <w:rPr>
                <w:spacing w:val="-2"/>
                <w:sz w:val="20"/>
              </w:rPr>
              <w:t>D(RES(-</w:t>
            </w:r>
            <w:r>
              <w:rPr>
                <w:spacing w:val="-5"/>
                <w:sz w:val="20"/>
              </w:rPr>
              <w:t>1))</w:t>
            </w:r>
          </w:p>
        </w:tc>
        <w:tc>
          <w:tcPr>
            <w:tcW w:w="1375" w:type="dxa"/>
            <w:tcBorders>
              <w:top w:val="double" w:sz="6" w:space="0" w:color="000000"/>
            </w:tcBorders>
          </w:tcPr>
          <w:p>
            <w:pPr>
              <w:pStyle w:val="TableParagraph"/>
              <w:spacing w:line="214" w:lineRule="exact" w:before="42"/>
              <w:ind w:right="128"/>
              <w:jc w:val="right"/>
              <w:rPr>
                <w:sz w:val="20"/>
              </w:rPr>
            </w:pPr>
            <w:r>
              <w:rPr>
                <w:spacing w:val="-4"/>
                <w:sz w:val="20"/>
              </w:rPr>
              <w:t>-</w:t>
            </w:r>
            <w:r>
              <w:rPr>
                <w:spacing w:val="-2"/>
                <w:sz w:val="20"/>
              </w:rPr>
              <w:t>1.630233</w:t>
            </w:r>
          </w:p>
        </w:tc>
        <w:tc>
          <w:tcPr>
            <w:tcW w:w="1432" w:type="dxa"/>
            <w:tcBorders>
              <w:top w:val="double" w:sz="6" w:space="0" w:color="000000"/>
            </w:tcBorders>
          </w:tcPr>
          <w:p>
            <w:pPr>
              <w:pStyle w:val="TableParagraph"/>
              <w:spacing w:line="214" w:lineRule="exact" w:before="42"/>
              <w:ind w:left="311"/>
              <w:rPr>
                <w:sz w:val="20"/>
              </w:rPr>
            </w:pPr>
            <w:r>
              <w:rPr>
                <w:spacing w:val="-2"/>
                <w:sz w:val="20"/>
              </w:rPr>
              <w:t>0.292829</w:t>
            </w:r>
          </w:p>
        </w:tc>
        <w:tc>
          <w:tcPr>
            <w:tcW w:w="904" w:type="dxa"/>
            <w:tcBorders>
              <w:top w:val="double" w:sz="6" w:space="0" w:color="000000"/>
            </w:tcBorders>
          </w:tcPr>
          <w:p>
            <w:pPr>
              <w:pStyle w:val="TableParagraph"/>
              <w:spacing w:line="214" w:lineRule="exact" w:before="42"/>
              <w:ind w:right="70"/>
              <w:jc w:val="center"/>
              <w:rPr>
                <w:sz w:val="20"/>
              </w:rPr>
            </w:pPr>
            <w:r>
              <w:rPr>
                <w:spacing w:val="-4"/>
                <w:sz w:val="20"/>
              </w:rPr>
              <w:t>-</w:t>
            </w:r>
            <w:r>
              <w:rPr>
                <w:spacing w:val="-2"/>
                <w:sz w:val="20"/>
              </w:rPr>
              <w:t>5.567190</w:t>
            </w:r>
          </w:p>
        </w:tc>
        <w:tc>
          <w:tcPr>
            <w:tcW w:w="929" w:type="dxa"/>
            <w:tcBorders>
              <w:top w:val="double" w:sz="6" w:space="0" w:color="000000"/>
            </w:tcBorders>
          </w:tcPr>
          <w:p>
            <w:pPr>
              <w:pStyle w:val="TableParagraph"/>
              <w:spacing w:line="214" w:lineRule="exact" w:before="42"/>
              <w:ind w:right="27"/>
              <w:jc w:val="right"/>
              <w:rPr>
                <w:sz w:val="20"/>
              </w:rPr>
            </w:pPr>
            <w:r>
              <w:rPr>
                <w:spacing w:val="-2"/>
                <w:sz w:val="20"/>
              </w:rPr>
              <w:t>0.0000</w:t>
            </w:r>
          </w:p>
        </w:tc>
      </w:tr>
      <w:tr>
        <w:trPr>
          <w:trHeight w:val="229" w:hRule="atLeast"/>
        </w:trPr>
        <w:tc>
          <w:tcPr>
            <w:tcW w:w="1847" w:type="dxa"/>
          </w:tcPr>
          <w:p>
            <w:pPr>
              <w:pStyle w:val="TableParagraph"/>
              <w:spacing w:line="209" w:lineRule="exact"/>
              <w:ind w:left="475"/>
              <w:rPr>
                <w:sz w:val="20"/>
              </w:rPr>
            </w:pPr>
            <w:r>
              <w:rPr>
                <w:spacing w:val="-2"/>
                <w:sz w:val="20"/>
              </w:rPr>
              <w:t>D(RES(-1),2)</w:t>
            </w:r>
          </w:p>
        </w:tc>
        <w:tc>
          <w:tcPr>
            <w:tcW w:w="1375" w:type="dxa"/>
          </w:tcPr>
          <w:p>
            <w:pPr>
              <w:pStyle w:val="TableParagraph"/>
              <w:spacing w:line="209" w:lineRule="exact"/>
              <w:ind w:right="128"/>
              <w:jc w:val="right"/>
              <w:rPr>
                <w:sz w:val="20"/>
              </w:rPr>
            </w:pPr>
            <w:r>
              <w:rPr>
                <w:spacing w:val="-2"/>
                <w:sz w:val="20"/>
              </w:rPr>
              <w:t>0.096143</w:t>
            </w:r>
          </w:p>
        </w:tc>
        <w:tc>
          <w:tcPr>
            <w:tcW w:w="1432" w:type="dxa"/>
          </w:tcPr>
          <w:p>
            <w:pPr>
              <w:pStyle w:val="TableParagraph"/>
              <w:spacing w:line="209" w:lineRule="exact"/>
              <w:ind w:left="311"/>
              <w:rPr>
                <w:sz w:val="20"/>
              </w:rPr>
            </w:pPr>
            <w:r>
              <w:rPr>
                <w:spacing w:val="-2"/>
                <w:sz w:val="20"/>
              </w:rPr>
              <w:t>0.171856</w:t>
            </w:r>
          </w:p>
        </w:tc>
        <w:tc>
          <w:tcPr>
            <w:tcW w:w="904" w:type="dxa"/>
          </w:tcPr>
          <w:p>
            <w:pPr>
              <w:pStyle w:val="TableParagraph"/>
              <w:spacing w:line="209" w:lineRule="exact"/>
              <w:ind w:right="5"/>
              <w:jc w:val="center"/>
              <w:rPr>
                <w:sz w:val="20"/>
              </w:rPr>
            </w:pPr>
            <w:r>
              <w:rPr>
                <w:spacing w:val="-2"/>
                <w:sz w:val="20"/>
              </w:rPr>
              <w:t>0.559438</w:t>
            </w:r>
          </w:p>
        </w:tc>
        <w:tc>
          <w:tcPr>
            <w:tcW w:w="929" w:type="dxa"/>
          </w:tcPr>
          <w:p>
            <w:pPr>
              <w:pStyle w:val="TableParagraph"/>
              <w:spacing w:line="209" w:lineRule="exact"/>
              <w:ind w:right="27"/>
              <w:jc w:val="right"/>
              <w:rPr>
                <w:sz w:val="20"/>
              </w:rPr>
            </w:pPr>
            <w:r>
              <w:rPr>
                <w:spacing w:val="-2"/>
                <w:sz w:val="20"/>
              </w:rPr>
              <w:t>0.5793</w:t>
            </w:r>
          </w:p>
        </w:tc>
      </w:tr>
      <w:tr>
        <w:trPr>
          <w:trHeight w:val="224" w:hRule="atLeast"/>
        </w:trPr>
        <w:tc>
          <w:tcPr>
            <w:tcW w:w="1847" w:type="dxa"/>
            <w:tcBorders>
              <w:bottom w:val="double" w:sz="6" w:space="0" w:color="000000"/>
            </w:tcBorders>
          </w:tcPr>
          <w:p>
            <w:pPr>
              <w:pStyle w:val="TableParagraph"/>
              <w:spacing w:line="205" w:lineRule="exact"/>
              <w:ind w:left="197"/>
              <w:jc w:val="center"/>
              <w:rPr>
                <w:sz w:val="20"/>
              </w:rPr>
            </w:pPr>
            <w:r>
              <w:rPr>
                <w:spacing w:val="-10"/>
                <w:sz w:val="20"/>
              </w:rPr>
              <w:t>C</w:t>
            </w:r>
          </w:p>
        </w:tc>
        <w:tc>
          <w:tcPr>
            <w:tcW w:w="1375" w:type="dxa"/>
            <w:tcBorders>
              <w:bottom w:val="double" w:sz="6" w:space="0" w:color="000000"/>
            </w:tcBorders>
          </w:tcPr>
          <w:p>
            <w:pPr>
              <w:pStyle w:val="TableParagraph"/>
              <w:spacing w:line="205" w:lineRule="exact"/>
              <w:ind w:right="128"/>
              <w:jc w:val="right"/>
              <w:rPr>
                <w:sz w:val="20"/>
              </w:rPr>
            </w:pPr>
            <w:r>
              <w:rPr>
                <w:spacing w:val="-2"/>
                <w:sz w:val="20"/>
              </w:rPr>
              <w:t>0.336489</w:t>
            </w:r>
          </w:p>
        </w:tc>
        <w:tc>
          <w:tcPr>
            <w:tcW w:w="1432" w:type="dxa"/>
            <w:tcBorders>
              <w:bottom w:val="double" w:sz="6" w:space="0" w:color="000000"/>
            </w:tcBorders>
          </w:tcPr>
          <w:p>
            <w:pPr>
              <w:pStyle w:val="TableParagraph"/>
              <w:spacing w:line="205" w:lineRule="exact"/>
              <w:ind w:left="311"/>
              <w:rPr>
                <w:sz w:val="20"/>
              </w:rPr>
            </w:pPr>
            <w:r>
              <w:rPr>
                <w:spacing w:val="-2"/>
                <w:sz w:val="20"/>
              </w:rPr>
              <w:t>0.236253</w:t>
            </w:r>
          </w:p>
        </w:tc>
        <w:tc>
          <w:tcPr>
            <w:tcW w:w="904" w:type="dxa"/>
            <w:tcBorders>
              <w:bottom w:val="double" w:sz="6" w:space="0" w:color="000000"/>
            </w:tcBorders>
          </w:tcPr>
          <w:p>
            <w:pPr>
              <w:pStyle w:val="TableParagraph"/>
              <w:spacing w:line="205" w:lineRule="exact"/>
              <w:ind w:right="5"/>
              <w:jc w:val="center"/>
              <w:rPr>
                <w:sz w:val="20"/>
              </w:rPr>
            </w:pPr>
            <w:r>
              <w:rPr>
                <w:spacing w:val="-2"/>
                <w:sz w:val="20"/>
              </w:rPr>
              <w:t>1.424275</w:t>
            </w:r>
          </w:p>
        </w:tc>
        <w:tc>
          <w:tcPr>
            <w:tcW w:w="929" w:type="dxa"/>
            <w:tcBorders>
              <w:bottom w:val="double" w:sz="6" w:space="0" w:color="000000"/>
            </w:tcBorders>
          </w:tcPr>
          <w:p>
            <w:pPr>
              <w:pStyle w:val="TableParagraph"/>
              <w:spacing w:line="205" w:lineRule="exact"/>
              <w:ind w:right="27"/>
              <w:jc w:val="right"/>
              <w:rPr>
                <w:sz w:val="20"/>
              </w:rPr>
            </w:pPr>
            <w:r>
              <w:rPr>
                <w:spacing w:val="-2"/>
                <w:sz w:val="20"/>
              </w:rPr>
              <w:t>0.1630</w:t>
            </w:r>
          </w:p>
        </w:tc>
      </w:tr>
      <w:tr>
        <w:trPr>
          <w:trHeight w:val="276" w:hRule="atLeast"/>
        </w:trPr>
        <w:tc>
          <w:tcPr>
            <w:tcW w:w="1847" w:type="dxa"/>
            <w:tcBorders>
              <w:top w:val="double" w:sz="6" w:space="0" w:color="000000"/>
            </w:tcBorders>
          </w:tcPr>
          <w:p>
            <w:pPr>
              <w:pStyle w:val="TableParagraph"/>
              <w:spacing w:line="214" w:lineRule="exact" w:before="42"/>
              <w:ind w:left="36"/>
              <w:rPr>
                <w:sz w:val="20"/>
              </w:rPr>
            </w:pPr>
            <w:r>
              <w:rPr>
                <w:spacing w:val="-2"/>
                <w:sz w:val="20"/>
              </w:rPr>
              <w:t>R-squared</w:t>
            </w:r>
          </w:p>
        </w:tc>
        <w:tc>
          <w:tcPr>
            <w:tcW w:w="1375" w:type="dxa"/>
            <w:tcBorders>
              <w:top w:val="double" w:sz="6" w:space="0" w:color="000000"/>
            </w:tcBorders>
          </w:tcPr>
          <w:p>
            <w:pPr>
              <w:pStyle w:val="TableParagraph"/>
              <w:spacing w:line="214" w:lineRule="exact" w:before="42"/>
              <w:ind w:right="128"/>
              <w:jc w:val="right"/>
              <w:rPr>
                <w:sz w:val="20"/>
              </w:rPr>
            </w:pPr>
            <w:r>
              <w:rPr>
                <w:spacing w:val="-2"/>
                <w:sz w:val="20"/>
              </w:rPr>
              <w:t>0.723573</w:t>
            </w:r>
          </w:p>
        </w:tc>
        <w:tc>
          <w:tcPr>
            <w:tcW w:w="2336" w:type="dxa"/>
            <w:gridSpan w:val="2"/>
            <w:tcBorders>
              <w:top w:val="double" w:sz="6" w:space="0" w:color="000000"/>
            </w:tcBorders>
          </w:tcPr>
          <w:p>
            <w:pPr>
              <w:pStyle w:val="TableParagraph"/>
              <w:spacing w:line="214" w:lineRule="exact" w:before="42"/>
              <w:ind w:left="131"/>
              <w:rPr>
                <w:sz w:val="20"/>
              </w:rPr>
            </w:pPr>
            <w:r>
              <w:rPr>
                <w:sz w:val="20"/>
              </w:rPr>
              <w:t>Mean</w:t>
            </w:r>
            <w:r>
              <w:rPr>
                <w:spacing w:val="-7"/>
                <w:sz w:val="20"/>
              </w:rPr>
              <w:t> </w:t>
            </w:r>
            <w:r>
              <w:rPr>
                <w:sz w:val="20"/>
              </w:rPr>
              <w:t>dependent</w:t>
            </w:r>
            <w:r>
              <w:rPr>
                <w:spacing w:val="-7"/>
                <w:sz w:val="20"/>
              </w:rPr>
              <w:t> </w:t>
            </w:r>
            <w:r>
              <w:rPr>
                <w:spacing w:val="-5"/>
                <w:sz w:val="20"/>
              </w:rPr>
              <w:t>var</w:t>
            </w:r>
          </w:p>
        </w:tc>
        <w:tc>
          <w:tcPr>
            <w:tcW w:w="929" w:type="dxa"/>
            <w:tcBorders>
              <w:top w:val="double" w:sz="6" w:space="0" w:color="000000"/>
            </w:tcBorders>
          </w:tcPr>
          <w:p>
            <w:pPr>
              <w:pStyle w:val="TableParagraph"/>
              <w:spacing w:line="214" w:lineRule="exact" w:before="42"/>
              <w:ind w:right="27"/>
              <w:jc w:val="right"/>
              <w:rPr>
                <w:sz w:val="20"/>
              </w:rPr>
            </w:pPr>
            <w:r>
              <w:rPr>
                <w:spacing w:val="-4"/>
                <w:sz w:val="20"/>
              </w:rPr>
              <w:t>-</w:t>
            </w:r>
            <w:r>
              <w:rPr>
                <w:spacing w:val="-2"/>
                <w:sz w:val="20"/>
              </w:rPr>
              <w:t>0.089793</w:t>
            </w:r>
          </w:p>
        </w:tc>
      </w:tr>
      <w:tr>
        <w:trPr>
          <w:trHeight w:val="229" w:hRule="atLeast"/>
        </w:trPr>
        <w:tc>
          <w:tcPr>
            <w:tcW w:w="1847" w:type="dxa"/>
          </w:tcPr>
          <w:p>
            <w:pPr>
              <w:pStyle w:val="TableParagraph"/>
              <w:spacing w:line="209" w:lineRule="exact"/>
              <w:ind w:left="36"/>
              <w:rPr>
                <w:sz w:val="20"/>
              </w:rPr>
            </w:pPr>
            <w:r>
              <w:rPr>
                <w:sz w:val="20"/>
              </w:rPr>
              <w:t>Adjusted</w:t>
            </w:r>
            <w:r>
              <w:rPr>
                <w:spacing w:val="-10"/>
                <w:sz w:val="20"/>
              </w:rPr>
              <w:t> </w:t>
            </w:r>
            <w:r>
              <w:rPr>
                <w:sz w:val="20"/>
              </w:rPr>
              <w:t>R-</w:t>
            </w:r>
            <w:r>
              <w:rPr>
                <w:spacing w:val="-2"/>
                <w:sz w:val="20"/>
              </w:rPr>
              <w:t>squared</w:t>
            </w:r>
          </w:p>
        </w:tc>
        <w:tc>
          <w:tcPr>
            <w:tcW w:w="1375" w:type="dxa"/>
          </w:tcPr>
          <w:p>
            <w:pPr>
              <w:pStyle w:val="TableParagraph"/>
              <w:spacing w:line="209" w:lineRule="exact"/>
              <w:ind w:right="128"/>
              <w:jc w:val="right"/>
              <w:rPr>
                <w:sz w:val="20"/>
              </w:rPr>
            </w:pPr>
            <w:r>
              <w:rPr>
                <w:spacing w:val="-2"/>
                <w:sz w:val="20"/>
              </w:rPr>
              <w:t>0.708216</w:t>
            </w:r>
          </w:p>
        </w:tc>
        <w:tc>
          <w:tcPr>
            <w:tcW w:w="2336" w:type="dxa"/>
            <w:gridSpan w:val="2"/>
          </w:tcPr>
          <w:p>
            <w:pPr>
              <w:pStyle w:val="TableParagraph"/>
              <w:spacing w:line="209" w:lineRule="exact"/>
              <w:ind w:left="131"/>
              <w:rPr>
                <w:sz w:val="20"/>
              </w:rPr>
            </w:pPr>
            <w:r>
              <w:rPr>
                <w:sz w:val="20"/>
              </w:rPr>
              <w:t>S.D.</w:t>
            </w:r>
            <w:r>
              <w:rPr>
                <w:spacing w:val="-5"/>
                <w:sz w:val="20"/>
              </w:rPr>
              <w:t> </w:t>
            </w:r>
            <w:r>
              <w:rPr>
                <w:sz w:val="20"/>
              </w:rPr>
              <w:t>dependent</w:t>
            </w:r>
            <w:r>
              <w:rPr>
                <w:spacing w:val="-6"/>
                <w:sz w:val="20"/>
              </w:rPr>
              <w:t> </w:t>
            </w:r>
            <w:r>
              <w:rPr>
                <w:spacing w:val="-5"/>
                <w:sz w:val="20"/>
              </w:rPr>
              <w:t>var</w:t>
            </w:r>
          </w:p>
        </w:tc>
        <w:tc>
          <w:tcPr>
            <w:tcW w:w="929" w:type="dxa"/>
          </w:tcPr>
          <w:p>
            <w:pPr>
              <w:pStyle w:val="TableParagraph"/>
              <w:spacing w:line="209" w:lineRule="exact"/>
              <w:ind w:right="27"/>
              <w:jc w:val="right"/>
              <w:rPr>
                <w:sz w:val="20"/>
              </w:rPr>
            </w:pPr>
            <w:r>
              <w:rPr>
                <w:spacing w:val="-2"/>
                <w:sz w:val="20"/>
              </w:rPr>
              <w:t>2.619290</w:t>
            </w:r>
          </w:p>
        </w:tc>
      </w:tr>
      <w:tr>
        <w:trPr>
          <w:trHeight w:val="230" w:hRule="atLeast"/>
        </w:trPr>
        <w:tc>
          <w:tcPr>
            <w:tcW w:w="1847" w:type="dxa"/>
          </w:tcPr>
          <w:p>
            <w:pPr>
              <w:pStyle w:val="TableParagraph"/>
              <w:spacing w:line="210" w:lineRule="exact"/>
              <w:ind w:left="36"/>
              <w:rPr>
                <w:sz w:val="20"/>
              </w:rPr>
            </w:pPr>
            <w:r>
              <w:rPr>
                <w:sz w:val="20"/>
              </w:rPr>
              <w:t>S.E.</w:t>
            </w:r>
            <w:r>
              <w:rPr>
                <w:spacing w:val="-3"/>
                <w:sz w:val="20"/>
              </w:rPr>
              <w:t> </w:t>
            </w:r>
            <w:r>
              <w:rPr>
                <w:sz w:val="20"/>
              </w:rPr>
              <w:t>of</w:t>
            </w:r>
            <w:r>
              <w:rPr>
                <w:spacing w:val="-3"/>
                <w:sz w:val="20"/>
              </w:rPr>
              <w:t> </w:t>
            </w:r>
            <w:r>
              <w:rPr>
                <w:spacing w:val="-2"/>
                <w:sz w:val="20"/>
              </w:rPr>
              <w:t>regression</w:t>
            </w:r>
          </w:p>
        </w:tc>
        <w:tc>
          <w:tcPr>
            <w:tcW w:w="1375" w:type="dxa"/>
          </w:tcPr>
          <w:p>
            <w:pPr>
              <w:pStyle w:val="TableParagraph"/>
              <w:spacing w:line="210" w:lineRule="exact"/>
              <w:ind w:right="128"/>
              <w:jc w:val="right"/>
              <w:rPr>
                <w:sz w:val="20"/>
              </w:rPr>
            </w:pPr>
            <w:r>
              <w:rPr>
                <w:spacing w:val="-2"/>
                <w:sz w:val="20"/>
              </w:rPr>
              <w:t>1.414863</w:t>
            </w:r>
          </w:p>
        </w:tc>
        <w:tc>
          <w:tcPr>
            <w:tcW w:w="2336" w:type="dxa"/>
            <w:gridSpan w:val="2"/>
          </w:tcPr>
          <w:p>
            <w:pPr>
              <w:pStyle w:val="TableParagraph"/>
              <w:spacing w:line="210" w:lineRule="exact"/>
              <w:ind w:left="131"/>
              <w:rPr>
                <w:sz w:val="20"/>
              </w:rPr>
            </w:pPr>
            <w:r>
              <w:rPr>
                <w:sz w:val="20"/>
              </w:rPr>
              <w:t>Akaike</w:t>
            </w:r>
            <w:r>
              <w:rPr>
                <w:spacing w:val="-8"/>
                <w:sz w:val="20"/>
              </w:rPr>
              <w:t> </w:t>
            </w:r>
            <w:r>
              <w:rPr>
                <w:sz w:val="20"/>
              </w:rPr>
              <w:t>info</w:t>
            </w:r>
            <w:r>
              <w:rPr>
                <w:spacing w:val="-7"/>
                <w:sz w:val="20"/>
              </w:rPr>
              <w:t> </w:t>
            </w:r>
            <w:r>
              <w:rPr>
                <w:spacing w:val="-2"/>
                <w:sz w:val="20"/>
              </w:rPr>
              <w:t>criterion</w:t>
            </w:r>
          </w:p>
        </w:tc>
        <w:tc>
          <w:tcPr>
            <w:tcW w:w="929" w:type="dxa"/>
          </w:tcPr>
          <w:p>
            <w:pPr>
              <w:pStyle w:val="TableParagraph"/>
              <w:spacing w:line="210" w:lineRule="exact"/>
              <w:ind w:right="27"/>
              <w:jc w:val="right"/>
              <w:rPr>
                <w:sz w:val="20"/>
              </w:rPr>
            </w:pPr>
            <w:r>
              <w:rPr>
                <w:spacing w:val="-2"/>
                <w:sz w:val="20"/>
              </w:rPr>
              <w:t>3.605745</w:t>
            </w:r>
          </w:p>
        </w:tc>
      </w:tr>
      <w:tr>
        <w:trPr>
          <w:trHeight w:val="230" w:hRule="atLeast"/>
        </w:trPr>
        <w:tc>
          <w:tcPr>
            <w:tcW w:w="1847" w:type="dxa"/>
          </w:tcPr>
          <w:p>
            <w:pPr>
              <w:pStyle w:val="TableParagraph"/>
              <w:spacing w:line="210" w:lineRule="exact"/>
              <w:ind w:left="36"/>
              <w:rPr>
                <w:sz w:val="20"/>
              </w:rPr>
            </w:pPr>
            <w:r>
              <w:rPr>
                <w:sz w:val="20"/>
              </w:rPr>
              <w:t>Sum</w:t>
            </w:r>
            <w:r>
              <w:rPr>
                <w:spacing w:val="-8"/>
                <w:sz w:val="20"/>
              </w:rPr>
              <w:t> </w:t>
            </w:r>
            <w:r>
              <w:rPr>
                <w:sz w:val="20"/>
              </w:rPr>
              <w:t>squared</w:t>
            </w:r>
            <w:r>
              <w:rPr>
                <w:spacing w:val="-4"/>
                <w:sz w:val="20"/>
              </w:rPr>
              <w:t> </w:t>
            </w:r>
            <w:r>
              <w:rPr>
                <w:spacing w:val="-2"/>
                <w:sz w:val="20"/>
              </w:rPr>
              <w:t>resid</w:t>
            </w:r>
          </w:p>
        </w:tc>
        <w:tc>
          <w:tcPr>
            <w:tcW w:w="1375" w:type="dxa"/>
          </w:tcPr>
          <w:p>
            <w:pPr>
              <w:pStyle w:val="TableParagraph"/>
              <w:spacing w:line="210" w:lineRule="exact"/>
              <w:ind w:right="128"/>
              <w:jc w:val="right"/>
              <w:rPr>
                <w:sz w:val="20"/>
              </w:rPr>
            </w:pPr>
            <w:r>
              <w:rPr>
                <w:spacing w:val="-2"/>
                <w:sz w:val="20"/>
              </w:rPr>
              <w:t>72.06610</w:t>
            </w:r>
          </w:p>
        </w:tc>
        <w:tc>
          <w:tcPr>
            <w:tcW w:w="2336" w:type="dxa"/>
            <w:gridSpan w:val="2"/>
          </w:tcPr>
          <w:p>
            <w:pPr>
              <w:pStyle w:val="TableParagraph"/>
              <w:spacing w:line="210" w:lineRule="exact"/>
              <w:ind w:left="131"/>
              <w:rPr>
                <w:sz w:val="20"/>
              </w:rPr>
            </w:pPr>
            <w:r>
              <w:rPr>
                <w:sz w:val="20"/>
              </w:rPr>
              <w:t>Schwarz</w:t>
            </w:r>
            <w:r>
              <w:rPr>
                <w:spacing w:val="-8"/>
                <w:sz w:val="20"/>
              </w:rPr>
              <w:t> </w:t>
            </w:r>
            <w:r>
              <w:rPr>
                <w:spacing w:val="-2"/>
                <w:sz w:val="20"/>
              </w:rPr>
              <w:t>criterion</w:t>
            </w:r>
          </w:p>
        </w:tc>
        <w:tc>
          <w:tcPr>
            <w:tcW w:w="929" w:type="dxa"/>
          </w:tcPr>
          <w:p>
            <w:pPr>
              <w:pStyle w:val="TableParagraph"/>
              <w:spacing w:line="210" w:lineRule="exact"/>
              <w:ind w:right="27"/>
              <w:jc w:val="right"/>
              <w:rPr>
                <w:sz w:val="20"/>
              </w:rPr>
            </w:pPr>
            <w:r>
              <w:rPr>
                <w:spacing w:val="-2"/>
                <w:sz w:val="20"/>
              </w:rPr>
              <w:t>3.733712</w:t>
            </w:r>
          </w:p>
        </w:tc>
      </w:tr>
      <w:tr>
        <w:trPr>
          <w:trHeight w:val="230" w:hRule="atLeast"/>
        </w:trPr>
        <w:tc>
          <w:tcPr>
            <w:tcW w:w="1847" w:type="dxa"/>
          </w:tcPr>
          <w:p>
            <w:pPr>
              <w:pStyle w:val="TableParagraph"/>
              <w:spacing w:line="210" w:lineRule="exact"/>
              <w:ind w:left="36"/>
              <w:rPr>
                <w:sz w:val="20"/>
              </w:rPr>
            </w:pPr>
            <w:r>
              <w:rPr>
                <w:sz w:val="20"/>
              </w:rPr>
              <w:t>Log</w:t>
            </w:r>
            <w:r>
              <w:rPr>
                <w:spacing w:val="-6"/>
                <w:sz w:val="20"/>
              </w:rPr>
              <w:t> </w:t>
            </w:r>
            <w:r>
              <w:rPr>
                <w:spacing w:val="-2"/>
                <w:sz w:val="20"/>
              </w:rPr>
              <w:t>likelihood</w:t>
            </w:r>
          </w:p>
        </w:tc>
        <w:tc>
          <w:tcPr>
            <w:tcW w:w="1375" w:type="dxa"/>
          </w:tcPr>
          <w:p>
            <w:pPr>
              <w:pStyle w:val="TableParagraph"/>
              <w:spacing w:line="210" w:lineRule="exact"/>
              <w:ind w:right="128"/>
              <w:jc w:val="right"/>
              <w:rPr>
                <w:sz w:val="20"/>
              </w:rPr>
            </w:pPr>
            <w:r>
              <w:rPr>
                <w:spacing w:val="-4"/>
                <w:sz w:val="20"/>
              </w:rPr>
              <w:t>-</w:t>
            </w:r>
            <w:r>
              <w:rPr>
                <w:spacing w:val="-2"/>
                <w:sz w:val="20"/>
              </w:rPr>
              <w:t>67.31203</w:t>
            </w:r>
          </w:p>
        </w:tc>
        <w:tc>
          <w:tcPr>
            <w:tcW w:w="1432" w:type="dxa"/>
          </w:tcPr>
          <w:p>
            <w:pPr>
              <w:pStyle w:val="TableParagraph"/>
              <w:spacing w:line="210" w:lineRule="exact"/>
              <w:ind w:left="131"/>
              <w:rPr>
                <w:sz w:val="20"/>
              </w:rPr>
            </w:pPr>
            <w:r>
              <w:rPr>
                <w:spacing w:val="-4"/>
                <w:sz w:val="20"/>
              </w:rPr>
              <w:t>F-</w:t>
            </w:r>
            <w:r>
              <w:rPr>
                <w:spacing w:val="-2"/>
                <w:sz w:val="20"/>
              </w:rPr>
              <w:t>statistic</w:t>
            </w:r>
          </w:p>
        </w:tc>
        <w:tc>
          <w:tcPr>
            <w:tcW w:w="904" w:type="dxa"/>
          </w:tcPr>
          <w:p>
            <w:pPr>
              <w:pStyle w:val="TableParagraph"/>
              <w:rPr>
                <w:sz w:val="16"/>
              </w:rPr>
            </w:pPr>
          </w:p>
        </w:tc>
        <w:tc>
          <w:tcPr>
            <w:tcW w:w="929" w:type="dxa"/>
          </w:tcPr>
          <w:p>
            <w:pPr>
              <w:pStyle w:val="TableParagraph"/>
              <w:spacing w:line="210" w:lineRule="exact"/>
              <w:ind w:right="27"/>
              <w:jc w:val="right"/>
              <w:rPr>
                <w:sz w:val="20"/>
              </w:rPr>
            </w:pPr>
            <w:r>
              <w:rPr>
                <w:spacing w:val="-2"/>
                <w:sz w:val="20"/>
              </w:rPr>
              <w:t>47.11669</w:t>
            </w:r>
          </w:p>
        </w:tc>
      </w:tr>
      <w:tr>
        <w:trPr>
          <w:trHeight w:val="265" w:hRule="atLeast"/>
        </w:trPr>
        <w:tc>
          <w:tcPr>
            <w:tcW w:w="1847" w:type="dxa"/>
            <w:tcBorders>
              <w:bottom w:val="double" w:sz="6" w:space="0" w:color="000000"/>
            </w:tcBorders>
          </w:tcPr>
          <w:p>
            <w:pPr>
              <w:pStyle w:val="TableParagraph"/>
              <w:spacing w:line="226" w:lineRule="exact"/>
              <w:ind w:left="36"/>
              <w:rPr>
                <w:sz w:val="20"/>
              </w:rPr>
            </w:pPr>
            <w:r>
              <w:rPr>
                <w:sz w:val="20"/>
              </w:rPr>
              <w:t>Durbin-Watson</w:t>
            </w:r>
            <w:r>
              <w:rPr>
                <w:spacing w:val="-12"/>
                <w:sz w:val="20"/>
              </w:rPr>
              <w:t> </w:t>
            </w:r>
            <w:r>
              <w:rPr>
                <w:spacing w:val="-4"/>
                <w:sz w:val="20"/>
              </w:rPr>
              <w:t>stat</w:t>
            </w:r>
          </w:p>
        </w:tc>
        <w:tc>
          <w:tcPr>
            <w:tcW w:w="1375" w:type="dxa"/>
          </w:tcPr>
          <w:p>
            <w:pPr>
              <w:pStyle w:val="TableParagraph"/>
              <w:spacing w:line="226" w:lineRule="exact"/>
              <w:ind w:right="128"/>
              <w:jc w:val="right"/>
              <w:rPr>
                <w:sz w:val="20"/>
              </w:rPr>
            </w:pPr>
            <w:r>
              <w:rPr>
                <w:spacing w:val="-2"/>
                <w:sz w:val="20"/>
              </w:rPr>
              <w:t>1.959867</w:t>
            </w:r>
          </w:p>
        </w:tc>
        <w:tc>
          <w:tcPr>
            <w:tcW w:w="1432" w:type="dxa"/>
            <w:tcBorders>
              <w:bottom w:val="double" w:sz="6" w:space="0" w:color="000000"/>
            </w:tcBorders>
          </w:tcPr>
          <w:p>
            <w:pPr>
              <w:pStyle w:val="TableParagraph"/>
              <w:spacing w:line="226" w:lineRule="exact"/>
              <w:ind w:left="131"/>
              <w:rPr>
                <w:sz w:val="20"/>
              </w:rPr>
            </w:pPr>
            <w:r>
              <w:rPr>
                <w:spacing w:val="-2"/>
                <w:sz w:val="20"/>
              </w:rPr>
              <w:t>Prob(F-statistic)</w:t>
            </w:r>
          </w:p>
        </w:tc>
        <w:tc>
          <w:tcPr>
            <w:tcW w:w="904" w:type="dxa"/>
            <w:tcBorders>
              <w:bottom w:val="double" w:sz="6" w:space="0" w:color="000000"/>
            </w:tcBorders>
          </w:tcPr>
          <w:p>
            <w:pPr>
              <w:pStyle w:val="TableParagraph"/>
              <w:rPr>
                <w:sz w:val="18"/>
              </w:rPr>
            </w:pPr>
          </w:p>
        </w:tc>
        <w:tc>
          <w:tcPr>
            <w:tcW w:w="929" w:type="dxa"/>
            <w:tcBorders>
              <w:bottom w:val="double" w:sz="6" w:space="0" w:color="000000"/>
            </w:tcBorders>
          </w:tcPr>
          <w:p>
            <w:pPr>
              <w:pStyle w:val="TableParagraph"/>
              <w:spacing w:line="226" w:lineRule="exact"/>
              <w:ind w:right="27"/>
              <w:jc w:val="right"/>
              <w:rPr>
                <w:sz w:val="20"/>
              </w:rPr>
            </w:pPr>
            <w:r>
              <w:rPr>
                <w:spacing w:val="-2"/>
                <w:sz w:val="20"/>
              </w:rPr>
              <w:t>0.000000</w:t>
            </w:r>
          </w:p>
        </w:tc>
      </w:tr>
    </w:tbl>
    <w:p>
      <w:pPr>
        <w:pStyle w:val="BodyText"/>
        <w:rPr>
          <w:sz w:val="20"/>
        </w:rPr>
      </w:pPr>
    </w:p>
    <w:p>
      <w:pPr>
        <w:pStyle w:val="BodyText"/>
        <w:spacing w:before="16"/>
        <w:rPr>
          <w:sz w:val="20"/>
        </w:rPr>
      </w:pPr>
    </w:p>
    <w:p>
      <w:pPr>
        <w:spacing w:before="0"/>
        <w:ind w:left="711" w:right="0" w:firstLine="0"/>
        <w:jc w:val="left"/>
        <w:rPr>
          <w:sz w:val="20"/>
        </w:rPr>
      </w:pPr>
      <w:r>
        <w:rPr>
          <w:sz w:val="20"/>
        </w:rPr>
        <w:t>NEXTAS</w:t>
      </w:r>
      <w:r>
        <w:rPr>
          <w:spacing w:val="-7"/>
          <w:sz w:val="20"/>
        </w:rPr>
        <w:t> </w:t>
      </w:r>
      <w:r>
        <w:rPr>
          <w:sz w:val="20"/>
        </w:rPr>
        <w:t>@</w:t>
      </w:r>
      <w:r>
        <w:rPr>
          <w:spacing w:val="-4"/>
          <w:sz w:val="20"/>
        </w:rPr>
        <w:t> LEVEL</w:t>
      </w:r>
    </w:p>
    <w:tbl>
      <w:tblPr>
        <w:tblW w:w="0" w:type="auto"/>
        <w:jc w:val="left"/>
        <w:tblInd w:w="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85"/>
        <w:gridCol w:w="1338"/>
        <w:gridCol w:w="1433"/>
        <w:gridCol w:w="937"/>
        <w:gridCol w:w="897"/>
      </w:tblGrid>
      <w:tr>
        <w:trPr>
          <w:trHeight w:val="225" w:hRule="atLeast"/>
        </w:trPr>
        <w:tc>
          <w:tcPr>
            <w:tcW w:w="1885" w:type="dxa"/>
          </w:tcPr>
          <w:p>
            <w:pPr>
              <w:pStyle w:val="TableParagraph"/>
              <w:spacing w:line="205" w:lineRule="exact"/>
              <w:ind w:left="36"/>
              <w:rPr>
                <w:sz w:val="20"/>
              </w:rPr>
            </w:pPr>
            <w:r>
              <w:rPr>
                <w:sz w:val="20"/>
              </w:rPr>
              <w:t>ADF</w:t>
            </w:r>
            <w:r>
              <w:rPr>
                <w:spacing w:val="-4"/>
                <w:sz w:val="20"/>
              </w:rPr>
              <w:t> </w:t>
            </w:r>
            <w:r>
              <w:rPr>
                <w:sz w:val="20"/>
              </w:rPr>
              <w:t>Test</w:t>
            </w:r>
            <w:r>
              <w:rPr>
                <w:spacing w:val="-4"/>
                <w:sz w:val="20"/>
              </w:rPr>
              <w:t> </w:t>
            </w:r>
            <w:r>
              <w:rPr>
                <w:spacing w:val="-2"/>
                <w:sz w:val="20"/>
              </w:rPr>
              <w:t>Statistic</w:t>
            </w:r>
          </w:p>
        </w:tc>
        <w:tc>
          <w:tcPr>
            <w:tcW w:w="1338" w:type="dxa"/>
          </w:tcPr>
          <w:p>
            <w:pPr>
              <w:pStyle w:val="TableParagraph"/>
              <w:spacing w:line="205" w:lineRule="exact"/>
              <w:ind w:left="181"/>
              <w:rPr>
                <w:sz w:val="20"/>
              </w:rPr>
            </w:pPr>
            <w:r>
              <w:rPr>
                <w:spacing w:val="-4"/>
                <w:sz w:val="20"/>
              </w:rPr>
              <w:t>-</w:t>
            </w:r>
            <w:r>
              <w:rPr>
                <w:spacing w:val="-2"/>
                <w:sz w:val="20"/>
              </w:rPr>
              <w:t>1.390727</w:t>
            </w:r>
          </w:p>
        </w:tc>
        <w:tc>
          <w:tcPr>
            <w:tcW w:w="2370" w:type="dxa"/>
            <w:gridSpan w:val="2"/>
          </w:tcPr>
          <w:p>
            <w:pPr>
              <w:pStyle w:val="TableParagraph"/>
              <w:spacing w:line="205" w:lineRule="exact"/>
              <w:ind w:left="130"/>
              <w:rPr>
                <w:sz w:val="20"/>
              </w:rPr>
            </w:pPr>
            <w:r>
              <w:rPr>
                <w:sz w:val="20"/>
              </w:rPr>
              <w:t>1%</w:t>
            </w:r>
            <w:r>
              <w:rPr>
                <w:spacing w:val="68"/>
                <w:w w:val="150"/>
                <w:sz w:val="20"/>
              </w:rPr>
              <w:t> </w:t>
            </w:r>
            <w:r>
              <w:rPr>
                <w:sz w:val="20"/>
              </w:rPr>
              <w:t>Critical</w:t>
            </w:r>
            <w:r>
              <w:rPr>
                <w:spacing w:val="-2"/>
                <w:sz w:val="20"/>
              </w:rPr>
              <w:t> Value*</w:t>
            </w:r>
          </w:p>
        </w:tc>
        <w:tc>
          <w:tcPr>
            <w:tcW w:w="897" w:type="dxa"/>
          </w:tcPr>
          <w:p>
            <w:pPr>
              <w:pStyle w:val="TableParagraph"/>
              <w:spacing w:line="205" w:lineRule="exact"/>
              <w:ind w:right="30"/>
              <w:jc w:val="right"/>
              <w:rPr>
                <w:sz w:val="20"/>
              </w:rPr>
            </w:pPr>
            <w:r>
              <w:rPr>
                <w:spacing w:val="-4"/>
                <w:sz w:val="20"/>
              </w:rPr>
              <w:t>-</w:t>
            </w:r>
            <w:r>
              <w:rPr>
                <w:spacing w:val="-2"/>
                <w:sz w:val="20"/>
              </w:rPr>
              <w:t>3.6019</w:t>
            </w:r>
          </w:p>
        </w:tc>
      </w:tr>
      <w:tr>
        <w:trPr>
          <w:trHeight w:val="230" w:hRule="atLeast"/>
        </w:trPr>
        <w:tc>
          <w:tcPr>
            <w:tcW w:w="1885" w:type="dxa"/>
          </w:tcPr>
          <w:p>
            <w:pPr>
              <w:pStyle w:val="TableParagraph"/>
              <w:rPr>
                <w:sz w:val="16"/>
              </w:rPr>
            </w:pPr>
          </w:p>
        </w:tc>
        <w:tc>
          <w:tcPr>
            <w:tcW w:w="1338" w:type="dxa"/>
          </w:tcPr>
          <w:p>
            <w:pPr>
              <w:pStyle w:val="TableParagraph"/>
              <w:rPr>
                <w:sz w:val="16"/>
              </w:rPr>
            </w:pPr>
          </w:p>
        </w:tc>
        <w:tc>
          <w:tcPr>
            <w:tcW w:w="2370" w:type="dxa"/>
            <w:gridSpan w:val="2"/>
          </w:tcPr>
          <w:p>
            <w:pPr>
              <w:pStyle w:val="TableParagraph"/>
              <w:spacing w:line="210" w:lineRule="exact"/>
              <w:ind w:left="130"/>
              <w:rPr>
                <w:sz w:val="20"/>
              </w:rPr>
            </w:pPr>
            <w:r>
              <w:rPr>
                <w:sz w:val="20"/>
              </w:rPr>
              <w:t>5%</w:t>
            </w:r>
            <w:r>
              <w:rPr>
                <w:spacing w:val="68"/>
                <w:w w:val="150"/>
                <w:sz w:val="20"/>
              </w:rPr>
              <w:t> </w:t>
            </w:r>
            <w:r>
              <w:rPr>
                <w:sz w:val="20"/>
              </w:rPr>
              <w:t>Critical</w:t>
            </w:r>
            <w:r>
              <w:rPr>
                <w:spacing w:val="-2"/>
                <w:sz w:val="20"/>
              </w:rPr>
              <w:t> </w:t>
            </w:r>
            <w:r>
              <w:rPr>
                <w:spacing w:val="-4"/>
                <w:sz w:val="20"/>
              </w:rPr>
              <w:t>Value</w:t>
            </w:r>
          </w:p>
        </w:tc>
        <w:tc>
          <w:tcPr>
            <w:tcW w:w="897" w:type="dxa"/>
          </w:tcPr>
          <w:p>
            <w:pPr>
              <w:pStyle w:val="TableParagraph"/>
              <w:spacing w:line="210" w:lineRule="exact"/>
              <w:ind w:right="30"/>
              <w:jc w:val="right"/>
              <w:rPr>
                <w:sz w:val="20"/>
              </w:rPr>
            </w:pPr>
            <w:r>
              <w:rPr>
                <w:spacing w:val="-4"/>
                <w:sz w:val="20"/>
              </w:rPr>
              <w:t>-</w:t>
            </w:r>
            <w:r>
              <w:rPr>
                <w:spacing w:val="-2"/>
                <w:sz w:val="20"/>
              </w:rPr>
              <w:t>2.9358</w:t>
            </w:r>
          </w:p>
        </w:tc>
      </w:tr>
      <w:tr>
        <w:trPr>
          <w:trHeight w:val="224" w:hRule="atLeast"/>
        </w:trPr>
        <w:tc>
          <w:tcPr>
            <w:tcW w:w="1885" w:type="dxa"/>
            <w:tcBorders>
              <w:bottom w:val="double" w:sz="6" w:space="0" w:color="000000"/>
            </w:tcBorders>
          </w:tcPr>
          <w:p>
            <w:pPr>
              <w:pStyle w:val="TableParagraph"/>
              <w:rPr>
                <w:sz w:val="16"/>
              </w:rPr>
            </w:pPr>
          </w:p>
        </w:tc>
        <w:tc>
          <w:tcPr>
            <w:tcW w:w="1338" w:type="dxa"/>
            <w:tcBorders>
              <w:bottom w:val="double" w:sz="6" w:space="0" w:color="000000"/>
            </w:tcBorders>
          </w:tcPr>
          <w:p>
            <w:pPr>
              <w:pStyle w:val="TableParagraph"/>
              <w:rPr>
                <w:sz w:val="16"/>
              </w:rPr>
            </w:pPr>
          </w:p>
        </w:tc>
        <w:tc>
          <w:tcPr>
            <w:tcW w:w="2370" w:type="dxa"/>
            <w:gridSpan w:val="2"/>
            <w:tcBorders>
              <w:bottom w:val="double" w:sz="6" w:space="0" w:color="000000"/>
            </w:tcBorders>
          </w:tcPr>
          <w:p>
            <w:pPr>
              <w:pStyle w:val="TableParagraph"/>
              <w:spacing w:line="205" w:lineRule="exact"/>
              <w:ind w:left="130"/>
              <w:rPr>
                <w:sz w:val="20"/>
              </w:rPr>
            </w:pPr>
            <w:r>
              <w:rPr>
                <w:sz w:val="20"/>
              </w:rPr>
              <w:t>10%</w:t>
            </w:r>
            <w:r>
              <w:rPr>
                <w:spacing w:val="-6"/>
                <w:sz w:val="20"/>
              </w:rPr>
              <w:t> </w:t>
            </w:r>
            <w:r>
              <w:rPr>
                <w:sz w:val="20"/>
              </w:rPr>
              <w:t>Critical</w:t>
            </w:r>
            <w:r>
              <w:rPr>
                <w:spacing w:val="-4"/>
                <w:sz w:val="20"/>
              </w:rPr>
              <w:t> </w:t>
            </w:r>
            <w:r>
              <w:rPr>
                <w:spacing w:val="-2"/>
                <w:sz w:val="20"/>
              </w:rPr>
              <w:t>Value</w:t>
            </w:r>
          </w:p>
        </w:tc>
        <w:tc>
          <w:tcPr>
            <w:tcW w:w="897" w:type="dxa"/>
            <w:tcBorders>
              <w:bottom w:val="double" w:sz="6" w:space="0" w:color="000000"/>
            </w:tcBorders>
          </w:tcPr>
          <w:p>
            <w:pPr>
              <w:pStyle w:val="TableParagraph"/>
              <w:spacing w:line="205" w:lineRule="exact"/>
              <w:ind w:right="30"/>
              <w:jc w:val="right"/>
              <w:rPr>
                <w:sz w:val="20"/>
              </w:rPr>
            </w:pPr>
            <w:r>
              <w:rPr>
                <w:spacing w:val="-4"/>
                <w:sz w:val="20"/>
              </w:rPr>
              <w:t>-</w:t>
            </w:r>
            <w:r>
              <w:rPr>
                <w:spacing w:val="-2"/>
                <w:sz w:val="20"/>
              </w:rPr>
              <w:t>2.6059</w:t>
            </w:r>
          </w:p>
        </w:tc>
      </w:tr>
      <w:tr>
        <w:trPr>
          <w:trHeight w:val="505" w:hRule="atLeast"/>
        </w:trPr>
        <w:tc>
          <w:tcPr>
            <w:tcW w:w="6490" w:type="dxa"/>
            <w:gridSpan w:val="5"/>
            <w:tcBorders>
              <w:top w:val="double" w:sz="6" w:space="0" w:color="000000"/>
            </w:tcBorders>
          </w:tcPr>
          <w:p>
            <w:pPr>
              <w:pStyle w:val="TableParagraph"/>
              <w:spacing w:before="40"/>
              <w:ind w:left="36"/>
              <w:rPr>
                <w:sz w:val="20"/>
              </w:rPr>
            </w:pPr>
            <w:r>
              <w:rPr>
                <w:sz w:val="20"/>
              </w:rPr>
              <w:t>*MacKinnon</w:t>
            </w:r>
            <w:r>
              <w:rPr>
                <w:spacing w:val="-6"/>
                <w:sz w:val="20"/>
              </w:rPr>
              <w:t> </w:t>
            </w:r>
            <w:r>
              <w:rPr>
                <w:sz w:val="20"/>
              </w:rPr>
              <w:t>critical</w:t>
            </w:r>
            <w:r>
              <w:rPr>
                <w:spacing w:val="-4"/>
                <w:sz w:val="20"/>
              </w:rPr>
              <w:t> </w:t>
            </w:r>
            <w:r>
              <w:rPr>
                <w:sz w:val="20"/>
              </w:rPr>
              <w:t>values</w:t>
            </w:r>
            <w:r>
              <w:rPr>
                <w:spacing w:val="-6"/>
                <w:sz w:val="20"/>
              </w:rPr>
              <w:t> </w:t>
            </w:r>
            <w:r>
              <w:rPr>
                <w:sz w:val="20"/>
              </w:rPr>
              <w:t>for</w:t>
            </w:r>
            <w:r>
              <w:rPr>
                <w:spacing w:val="-4"/>
                <w:sz w:val="20"/>
              </w:rPr>
              <w:t> </w:t>
            </w:r>
            <w:r>
              <w:rPr>
                <w:sz w:val="20"/>
              </w:rPr>
              <w:t>rejection</w:t>
            </w:r>
            <w:r>
              <w:rPr>
                <w:spacing w:val="-6"/>
                <w:sz w:val="20"/>
              </w:rPr>
              <w:t> </w:t>
            </w:r>
            <w:r>
              <w:rPr>
                <w:sz w:val="20"/>
              </w:rPr>
              <w:t>of</w:t>
            </w:r>
            <w:r>
              <w:rPr>
                <w:spacing w:val="-6"/>
                <w:sz w:val="20"/>
              </w:rPr>
              <w:t> </w:t>
            </w:r>
            <w:r>
              <w:rPr>
                <w:sz w:val="20"/>
              </w:rPr>
              <w:t>hypothesis</w:t>
            </w:r>
            <w:r>
              <w:rPr>
                <w:spacing w:val="-6"/>
                <w:sz w:val="20"/>
              </w:rPr>
              <w:t> </w:t>
            </w:r>
            <w:r>
              <w:rPr>
                <w:sz w:val="20"/>
              </w:rPr>
              <w:t>of</w:t>
            </w:r>
            <w:r>
              <w:rPr>
                <w:spacing w:val="-6"/>
                <w:sz w:val="20"/>
              </w:rPr>
              <w:t> </w:t>
            </w:r>
            <w:r>
              <w:rPr>
                <w:sz w:val="20"/>
              </w:rPr>
              <w:t>a</w:t>
            </w:r>
            <w:r>
              <w:rPr>
                <w:spacing w:val="-4"/>
                <w:sz w:val="20"/>
              </w:rPr>
              <w:t> </w:t>
            </w:r>
            <w:r>
              <w:rPr>
                <w:sz w:val="20"/>
              </w:rPr>
              <w:t>unit</w:t>
            </w:r>
            <w:r>
              <w:rPr>
                <w:spacing w:val="-6"/>
                <w:sz w:val="20"/>
              </w:rPr>
              <w:t> </w:t>
            </w:r>
            <w:r>
              <w:rPr>
                <w:spacing w:val="-2"/>
                <w:sz w:val="20"/>
              </w:rPr>
              <w:t>root.</w:t>
            </w:r>
          </w:p>
        </w:tc>
      </w:tr>
      <w:tr>
        <w:trPr>
          <w:trHeight w:val="460" w:hRule="atLeast"/>
        </w:trPr>
        <w:tc>
          <w:tcPr>
            <w:tcW w:w="6490" w:type="dxa"/>
            <w:gridSpan w:val="5"/>
          </w:tcPr>
          <w:p>
            <w:pPr>
              <w:pStyle w:val="TableParagraph"/>
              <w:spacing w:line="215" w:lineRule="exact" w:before="226"/>
              <w:ind w:left="36"/>
              <w:rPr>
                <w:sz w:val="20"/>
              </w:rPr>
            </w:pPr>
            <w:r>
              <w:rPr>
                <w:sz w:val="20"/>
              </w:rPr>
              <w:t>Augmented</w:t>
            </w:r>
            <w:r>
              <w:rPr>
                <w:spacing w:val="-8"/>
                <w:sz w:val="20"/>
              </w:rPr>
              <w:t> </w:t>
            </w:r>
            <w:r>
              <w:rPr>
                <w:sz w:val="20"/>
              </w:rPr>
              <w:t>Dickey-Fuller</w:t>
            </w:r>
            <w:r>
              <w:rPr>
                <w:spacing w:val="-8"/>
                <w:sz w:val="20"/>
              </w:rPr>
              <w:t> </w:t>
            </w:r>
            <w:r>
              <w:rPr>
                <w:sz w:val="20"/>
              </w:rPr>
              <w:t>Test</w:t>
            </w:r>
            <w:r>
              <w:rPr>
                <w:spacing w:val="-9"/>
                <w:sz w:val="20"/>
              </w:rPr>
              <w:t> </w:t>
            </w:r>
            <w:r>
              <w:rPr>
                <w:spacing w:val="-2"/>
                <w:sz w:val="20"/>
              </w:rPr>
              <w:t>Equation</w:t>
            </w:r>
          </w:p>
        </w:tc>
      </w:tr>
      <w:tr>
        <w:trPr>
          <w:trHeight w:val="229" w:hRule="atLeast"/>
        </w:trPr>
        <w:tc>
          <w:tcPr>
            <w:tcW w:w="6490" w:type="dxa"/>
            <w:gridSpan w:val="5"/>
          </w:tcPr>
          <w:p>
            <w:pPr>
              <w:pStyle w:val="TableParagraph"/>
              <w:spacing w:line="209" w:lineRule="exact"/>
              <w:ind w:left="36"/>
              <w:rPr>
                <w:sz w:val="20"/>
              </w:rPr>
            </w:pPr>
            <w:r>
              <w:rPr>
                <w:sz w:val="20"/>
              </w:rPr>
              <w:t>Dependent</w:t>
            </w:r>
            <w:r>
              <w:rPr>
                <w:spacing w:val="-8"/>
                <w:sz w:val="20"/>
              </w:rPr>
              <w:t> </w:t>
            </w:r>
            <w:r>
              <w:rPr>
                <w:sz w:val="20"/>
              </w:rPr>
              <w:t>Variable:</w:t>
            </w:r>
            <w:r>
              <w:rPr>
                <w:spacing w:val="-8"/>
                <w:sz w:val="20"/>
              </w:rPr>
              <w:t> </w:t>
            </w:r>
            <w:r>
              <w:rPr>
                <w:spacing w:val="-2"/>
                <w:sz w:val="20"/>
              </w:rPr>
              <w:t>D(NEXTAS)</w:t>
            </w:r>
          </w:p>
        </w:tc>
      </w:tr>
      <w:tr>
        <w:trPr>
          <w:trHeight w:val="229" w:hRule="atLeast"/>
        </w:trPr>
        <w:tc>
          <w:tcPr>
            <w:tcW w:w="1885" w:type="dxa"/>
          </w:tcPr>
          <w:p>
            <w:pPr>
              <w:pStyle w:val="TableParagraph"/>
              <w:spacing w:line="209" w:lineRule="exact"/>
              <w:ind w:left="36"/>
              <w:rPr>
                <w:sz w:val="20"/>
              </w:rPr>
            </w:pPr>
            <w:r>
              <w:rPr>
                <w:sz w:val="20"/>
              </w:rPr>
              <w:t>Method:</w:t>
            </w:r>
            <w:r>
              <w:rPr>
                <w:spacing w:val="-8"/>
                <w:sz w:val="20"/>
              </w:rPr>
              <w:t> </w:t>
            </w:r>
            <w:r>
              <w:rPr>
                <w:sz w:val="20"/>
              </w:rPr>
              <w:t>Least</w:t>
            </w:r>
            <w:r>
              <w:rPr>
                <w:spacing w:val="-7"/>
                <w:sz w:val="20"/>
              </w:rPr>
              <w:t> </w:t>
            </w:r>
            <w:r>
              <w:rPr>
                <w:spacing w:val="-2"/>
                <w:sz w:val="20"/>
              </w:rPr>
              <w:t>Squares</w:t>
            </w:r>
          </w:p>
        </w:tc>
        <w:tc>
          <w:tcPr>
            <w:tcW w:w="1338" w:type="dxa"/>
          </w:tcPr>
          <w:p>
            <w:pPr>
              <w:pStyle w:val="TableParagraph"/>
              <w:rPr>
                <w:sz w:val="16"/>
              </w:rPr>
            </w:pPr>
          </w:p>
        </w:tc>
        <w:tc>
          <w:tcPr>
            <w:tcW w:w="1433" w:type="dxa"/>
          </w:tcPr>
          <w:p>
            <w:pPr>
              <w:pStyle w:val="TableParagraph"/>
              <w:rPr>
                <w:sz w:val="16"/>
              </w:rPr>
            </w:pPr>
          </w:p>
        </w:tc>
        <w:tc>
          <w:tcPr>
            <w:tcW w:w="937" w:type="dxa"/>
          </w:tcPr>
          <w:p>
            <w:pPr>
              <w:pStyle w:val="TableParagraph"/>
              <w:rPr>
                <w:sz w:val="16"/>
              </w:rPr>
            </w:pPr>
          </w:p>
        </w:tc>
        <w:tc>
          <w:tcPr>
            <w:tcW w:w="897" w:type="dxa"/>
          </w:tcPr>
          <w:p>
            <w:pPr>
              <w:pStyle w:val="TableParagraph"/>
              <w:rPr>
                <w:sz w:val="16"/>
              </w:rPr>
            </w:pPr>
          </w:p>
        </w:tc>
      </w:tr>
      <w:tr>
        <w:trPr>
          <w:trHeight w:val="230" w:hRule="atLeast"/>
        </w:trPr>
        <w:tc>
          <w:tcPr>
            <w:tcW w:w="6490" w:type="dxa"/>
            <w:gridSpan w:val="5"/>
          </w:tcPr>
          <w:p>
            <w:pPr>
              <w:pStyle w:val="TableParagraph"/>
              <w:spacing w:line="210" w:lineRule="exact"/>
              <w:ind w:left="36"/>
              <w:rPr>
                <w:sz w:val="20"/>
              </w:rPr>
            </w:pPr>
            <w:r>
              <w:rPr>
                <w:sz w:val="20"/>
              </w:rPr>
              <w:t>Date:</w:t>
            </w:r>
            <w:r>
              <w:rPr>
                <w:spacing w:val="-5"/>
                <w:sz w:val="20"/>
              </w:rPr>
              <w:t> </w:t>
            </w:r>
            <w:r>
              <w:rPr>
                <w:sz w:val="20"/>
              </w:rPr>
              <w:t>02/17/14</w:t>
            </w:r>
            <w:r>
              <w:rPr>
                <w:spacing w:val="63"/>
                <w:w w:val="150"/>
                <w:sz w:val="20"/>
              </w:rPr>
              <w:t> </w:t>
            </w:r>
            <w:r>
              <w:rPr>
                <w:sz w:val="20"/>
              </w:rPr>
              <w:t>Time:</w:t>
            </w:r>
            <w:r>
              <w:rPr>
                <w:spacing w:val="-3"/>
                <w:sz w:val="20"/>
              </w:rPr>
              <w:t> </w:t>
            </w:r>
            <w:r>
              <w:rPr>
                <w:spacing w:val="-2"/>
                <w:sz w:val="20"/>
              </w:rPr>
              <w:t>17:13</w:t>
            </w:r>
          </w:p>
        </w:tc>
      </w:tr>
      <w:tr>
        <w:trPr>
          <w:trHeight w:val="230" w:hRule="atLeast"/>
        </w:trPr>
        <w:tc>
          <w:tcPr>
            <w:tcW w:w="6490" w:type="dxa"/>
            <w:gridSpan w:val="5"/>
          </w:tcPr>
          <w:p>
            <w:pPr>
              <w:pStyle w:val="TableParagraph"/>
              <w:spacing w:line="210" w:lineRule="exact"/>
              <w:ind w:left="36"/>
              <w:rPr>
                <w:sz w:val="20"/>
              </w:rPr>
            </w:pPr>
            <w:r>
              <w:rPr>
                <w:sz w:val="20"/>
              </w:rPr>
              <w:t>Sample(adjusted):</w:t>
            </w:r>
            <w:r>
              <w:rPr>
                <w:spacing w:val="-9"/>
                <w:sz w:val="20"/>
              </w:rPr>
              <w:t> </w:t>
            </w:r>
            <w:r>
              <w:rPr>
                <w:sz w:val="20"/>
              </w:rPr>
              <w:t>1972</w:t>
            </w:r>
            <w:r>
              <w:rPr>
                <w:spacing w:val="-9"/>
                <w:sz w:val="20"/>
              </w:rPr>
              <w:t> </w:t>
            </w:r>
            <w:r>
              <w:rPr>
                <w:spacing w:val="-4"/>
                <w:sz w:val="20"/>
              </w:rPr>
              <w:t>2011</w:t>
            </w:r>
          </w:p>
        </w:tc>
      </w:tr>
      <w:tr>
        <w:trPr>
          <w:trHeight w:val="224" w:hRule="atLeast"/>
        </w:trPr>
        <w:tc>
          <w:tcPr>
            <w:tcW w:w="6490" w:type="dxa"/>
            <w:gridSpan w:val="5"/>
            <w:tcBorders>
              <w:bottom w:val="double" w:sz="6" w:space="0" w:color="000000"/>
            </w:tcBorders>
          </w:tcPr>
          <w:p>
            <w:pPr>
              <w:pStyle w:val="TableParagraph"/>
              <w:spacing w:line="205" w:lineRule="exact"/>
              <w:ind w:left="36"/>
              <w:rPr>
                <w:sz w:val="20"/>
              </w:rPr>
            </w:pPr>
            <w:r>
              <w:rPr>
                <w:sz w:val="20"/>
              </w:rPr>
              <w:t>Included</w:t>
            </w:r>
            <w:r>
              <w:rPr>
                <w:spacing w:val="-6"/>
                <w:sz w:val="20"/>
              </w:rPr>
              <w:t> </w:t>
            </w:r>
            <w:r>
              <w:rPr>
                <w:sz w:val="20"/>
              </w:rPr>
              <w:t>observations:</w:t>
            </w:r>
            <w:r>
              <w:rPr>
                <w:spacing w:val="-8"/>
                <w:sz w:val="20"/>
              </w:rPr>
              <w:t> </w:t>
            </w:r>
            <w:r>
              <w:rPr>
                <w:sz w:val="20"/>
              </w:rPr>
              <w:t>40</w:t>
            </w:r>
            <w:r>
              <w:rPr>
                <w:spacing w:val="-5"/>
                <w:sz w:val="20"/>
              </w:rPr>
              <w:t> </w:t>
            </w:r>
            <w:r>
              <w:rPr>
                <w:sz w:val="20"/>
              </w:rPr>
              <w:t>after</w:t>
            </w:r>
            <w:r>
              <w:rPr>
                <w:spacing w:val="-7"/>
                <w:sz w:val="20"/>
              </w:rPr>
              <w:t> </w:t>
            </w:r>
            <w:r>
              <w:rPr>
                <w:sz w:val="20"/>
              </w:rPr>
              <w:t>adjusting</w:t>
            </w:r>
            <w:r>
              <w:rPr>
                <w:spacing w:val="-7"/>
                <w:sz w:val="20"/>
              </w:rPr>
              <w:t> </w:t>
            </w:r>
            <w:r>
              <w:rPr>
                <w:spacing w:val="-2"/>
                <w:sz w:val="20"/>
              </w:rPr>
              <w:t>endpoints</w:t>
            </w:r>
          </w:p>
        </w:tc>
      </w:tr>
      <w:tr>
        <w:trPr>
          <w:trHeight w:val="269" w:hRule="atLeast"/>
        </w:trPr>
        <w:tc>
          <w:tcPr>
            <w:tcW w:w="1885" w:type="dxa"/>
            <w:tcBorders>
              <w:top w:val="double" w:sz="6" w:space="0" w:color="000000"/>
              <w:bottom w:val="double" w:sz="6" w:space="0" w:color="000000"/>
            </w:tcBorders>
          </w:tcPr>
          <w:p>
            <w:pPr>
              <w:pStyle w:val="TableParagraph"/>
              <w:spacing w:line="209" w:lineRule="exact" w:before="40"/>
              <w:ind w:left="677"/>
              <w:rPr>
                <w:sz w:val="20"/>
              </w:rPr>
            </w:pPr>
            <w:r>
              <w:rPr>
                <w:spacing w:val="-2"/>
                <w:sz w:val="20"/>
              </w:rPr>
              <w:t>Variable</w:t>
            </w:r>
          </w:p>
        </w:tc>
        <w:tc>
          <w:tcPr>
            <w:tcW w:w="1338" w:type="dxa"/>
            <w:tcBorders>
              <w:top w:val="double" w:sz="6" w:space="0" w:color="000000"/>
              <w:bottom w:val="double" w:sz="6" w:space="0" w:color="000000"/>
            </w:tcBorders>
          </w:tcPr>
          <w:p>
            <w:pPr>
              <w:pStyle w:val="TableParagraph"/>
              <w:spacing w:line="209" w:lineRule="exact" w:before="40"/>
              <w:ind w:right="132"/>
              <w:jc w:val="right"/>
              <w:rPr>
                <w:sz w:val="20"/>
              </w:rPr>
            </w:pPr>
            <w:r>
              <w:rPr>
                <w:spacing w:val="-2"/>
                <w:sz w:val="20"/>
              </w:rPr>
              <w:t>Coefficient</w:t>
            </w:r>
          </w:p>
        </w:tc>
        <w:tc>
          <w:tcPr>
            <w:tcW w:w="1433" w:type="dxa"/>
            <w:tcBorders>
              <w:top w:val="double" w:sz="6" w:space="0" w:color="000000"/>
              <w:bottom w:val="double" w:sz="6" w:space="0" w:color="000000"/>
            </w:tcBorders>
          </w:tcPr>
          <w:p>
            <w:pPr>
              <w:pStyle w:val="TableParagraph"/>
              <w:spacing w:line="209" w:lineRule="exact" w:before="40"/>
              <w:ind w:left="272"/>
              <w:rPr>
                <w:sz w:val="20"/>
              </w:rPr>
            </w:pPr>
            <w:r>
              <w:rPr>
                <w:sz w:val="20"/>
              </w:rPr>
              <w:t>Std.</w:t>
            </w:r>
            <w:r>
              <w:rPr>
                <w:spacing w:val="-4"/>
                <w:sz w:val="20"/>
              </w:rPr>
              <w:t> </w:t>
            </w:r>
            <w:r>
              <w:rPr>
                <w:spacing w:val="-2"/>
                <w:sz w:val="20"/>
              </w:rPr>
              <w:t>Error</w:t>
            </w:r>
          </w:p>
        </w:tc>
        <w:tc>
          <w:tcPr>
            <w:tcW w:w="937" w:type="dxa"/>
            <w:tcBorders>
              <w:top w:val="double" w:sz="6" w:space="0" w:color="000000"/>
              <w:bottom w:val="double" w:sz="6" w:space="0" w:color="000000"/>
            </w:tcBorders>
          </w:tcPr>
          <w:p>
            <w:pPr>
              <w:pStyle w:val="TableParagraph"/>
              <w:spacing w:line="209" w:lineRule="exact" w:before="40"/>
              <w:ind w:right="115"/>
              <w:jc w:val="right"/>
              <w:rPr>
                <w:sz w:val="20"/>
              </w:rPr>
            </w:pPr>
            <w:r>
              <w:rPr>
                <w:spacing w:val="-4"/>
                <w:sz w:val="20"/>
              </w:rPr>
              <w:t>t-</w:t>
            </w:r>
            <w:r>
              <w:rPr>
                <w:spacing w:val="-2"/>
                <w:sz w:val="20"/>
              </w:rPr>
              <w:t>Statistic</w:t>
            </w:r>
          </w:p>
        </w:tc>
        <w:tc>
          <w:tcPr>
            <w:tcW w:w="897" w:type="dxa"/>
            <w:tcBorders>
              <w:top w:val="double" w:sz="6" w:space="0" w:color="000000"/>
              <w:bottom w:val="double" w:sz="6" w:space="0" w:color="000000"/>
            </w:tcBorders>
          </w:tcPr>
          <w:p>
            <w:pPr>
              <w:pStyle w:val="TableParagraph"/>
              <w:spacing w:line="209" w:lineRule="exact" w:before="40"/>
              <w:ind w:right="31"/>
              <w:jc w:val="right"/>
              <w:rPr>
                <w:sz w:val="20"/>
              </w:rPr>
            </w:pPr>
            <w:r>
              <w:rPr>
                <w:spacing w:val="-2"/>
                <w:sz w:val="20"/>
              </w:rPr>
              <w:t>Prob.</w:t>
            </w:r>
          </w:p>
        </w:tc>
      </w:tr>
      <w:tr>
        <w:trPr>
          <w:trHeight w:val="275" w:hRule="atLeast"/>
        </w:trPr>
        <w:tc>
          <w:tcPr>
            <w:tcW w:w="1885" w:type="dxa"/>
            <w:tcBorders>
              <w:top w:val="double" w:sz="6" w:space="0" w:color="000000"/>
            </w:tcBorders>
          </w:tcPr>
          <w:p>
            <w:pPr>
              <w:pStyle w:val="TableParagraph"/>
              <w:spacing w:line="215" w:lineRule="exact" w:before="40"/>
              <w:ind w:left="478"/>
              <w:rPr>
                <w:sz w:val="20"/>
              </w:rPr>
            </w:pPr>
            <w:r>
              <w:rPr>
                <w:spacing w:val="-2"/>
                <w:sz w:val="20"/>
              </w:rPr>
              <w:t>NEXTAS(-</w:t>
            </w:r>
            <w:r>
              <w:rPr>
                <w:spacing w:val="-5"/>
                <w:sz w:val="20"/>
              </w:rPr>
              <w:t>1)</w:t>
            </w:r>
          </w:p>
        </w:tc>
        <w:tc>
          <w:tcPr>
            <w:tcW w:w="1338" w:type="dxa"/>
            <w:tcBorders>
              <w:top w:val="double" w:sz="6" w:space="0" w:color="000000"/>
            </w:tcBorders>
          </w:tcPr>
          <w:p>
            <w:pPr>
              <w:pStyle w:val="TableParagraph"/>
              <w:spacing w:line="215" w:lineRule="exact" w:before="40"/>
              <w:ind w:right="129"/>
              <w:jc w:val="right"/>
              <w:rPr>
                <w:sz w:val="20"/>
              </w:rPr>
            </w:pPr>
            <w:r>
              <w:rPr>
                <w:spacing w:val="-4"/>
                <w:sz w:val="20"/>
              </w:rPr>
              <w:t>-</w:t>
            </w:r>
            <w:r>
              <w:rPr>
                <w:spacing w:val="-2"/>
                <w:sz w:val="20"/>
              </w:rPr>
              <w:t>0.108096</w:t>
            </w:r>
          </w:p>
        </w:tc>
        <w:tc>
          <w:tcPr>
            <w:tcW w:w="1433" w:type="dxa"/>
            <w:tcBorders>
              <w:top w:val="double" w:sz="6" w:space="0" w:color="000000"/>
            </w:tcBorders>
          </w:tcPr>
          <w:p>
            <w:pPr>
              <w:pStyle w:val="TableParagraph"/>
              <w:spacing w:line="215" w:lineRule="exact" w:before="40"/>
              <w:ind w:left="310"/>
              <w:rPr>
                <w:sz w:val="20"/>
              </w:rPr>
            </w:pPr>
            <w:r>
              <w:rPr>
                <w:spacing w:val="-2"/>
                <w:sz w:val="20"/>
              </w:rPr>
              <w:t>0.077726</w:t>
            </w:r>
          </w:p>
        </w:tc>
        <w:tc>
          <w:tcPr>
            <w:tcW w:w="937" w:type="dxa"/>
            <w:tcBorders>
              <w:top w:val="double" w:sz="6" w:space="0" w:color="000000"/>
            </w:tcBorders>
          </w:tcPr>
          <w:p>
            <w:pPr>
              <w:pStyle w:val="TableParagraph"/>
              <w:spacing w:line="215" w:lineRule="exact" w:before="40"/>
              <w:ind w:right="113"/>
              <w:jc w:val="right"/>
              <w:rPr>
                <w:sz w:val="20"/>
              </w:rPr>
            </w:pPr>
            <w:r>
              <w:rPr>
                <w:spacing w:val="-4"/>
                <w:sz w:val="20"/>
              </w:rPr>
              <w:t>-</w:t>
            </w:r>
            <w:r>
              <w:rPr>
                <w:spacing w:val="-2"/>
                <w:sz w:val="20"/>
              </w:rPr>
              <w:t>1.390727</w:t>
            </w:r>
          </w:p>
        </w:tc>
        <w:tc>
          <w:tcPr>
            <w:tcW w:w="897" w:type="dxa"/>
            <w:tcBorders>
              <w:top w:val="double" w:sz="6" w:space="0" w:color="000000"/>
            </w:tcBorders>
          </w:tcPr>
          <w:p>
            <w:pPr>
              <w:pStyle w:val="TableParagraph"/>
              <w:spacing w:line="215" w:lineRule="exact" w:before="40"/>
              <w:ind w:right="30"/>
              <w:jc w:val="right"/>
              <w:rPr>
                <w:sz w:val="20"/>
              </w:rPr>
            </w:pPr>
            <w:r>
              <w:rPr>
                <w:spacing w:val="-2"/>
                <w:sz w:val="20"/>
              </w:rPr>
              <w:t>0.1726</w:t>
            </w:r>
          </w:p>
        </w:tc>
      </w:tr>
      <w:tr>
        <w:trPr>
          <w:trHeight w:val="230" w:hRule="atLeast"/>
        </w:trPr>
        <w:tc>
          <w:tcPr>
            <w:tcW w:w="1885" w:type="dxa"/>
          </w:tcPr>
          <w:p>
            <w:pPr>
              <w:pStyle w:val="TableParagraph"/>
              <w:spacing w:line="210" w:lineRule="exact"/>
              <w:ind w:left="338"/>
              <w:rPr>
                <w:sz w:val="20"/>
              </w:rPr>
            </w:pPr>
            <w:r>
              <w:rPr>
                <w:spacing w:val="-2"/>
                <w:sz w:val="20"/>
              </w:rPr>
              <w:t>D(NEXTAS(-</w:t>
            </w:r>
            <w:r>
              <w:rPr>
                <w:spacing w:val="-5"/>
                <w:sz w:val="20"/>
              </w:rPr>
              <w:t>1))</w:t>
            </w:r>
          </w:p>
        </w:tc>
        <w:tc>
          <w:tcPr>
            <w:tcW w:w="1338" w:type="dxa"/>
          </w:tcPr>
          <w:p>
            <w:pPr>
              <w:pStyle w:val="TableParagraph"/>
              <w:spacing w:line="210" w:lineRule="exact"/>
              <w:ind w:right="129"/>
              <w:jc w:val="right"/>
              <w:rPr>
                <w:sz w:val="20"/>
              </w:rPr>
            </w:pPr>
            <w:r>
              <w:rPr>
                <w:spacing w:val="-4"/>
                <w:sz w:val="20"/>
              </w:rPr>
              <w:t>-</w:t>
            </w:r>
            <w:r>
              <w:rPr>
                <w:spacing w:val="-2"/>
                <w:sz w:val="20"/>
              </w:rPr>
              <w:t>0.125988</w:t>
            </w:r>
          </w:p>
        </w:tc>
        <w:tc>
          <w:tcPr>
            <w:tcW w:w="1433" w:type="dxa"/>
          </w:tcPr>
          <w:p>
            <w:pPr>
              <w:pStyle w:val="TableParagraph"/>
              <w:spacing w:line="210" w:lineRule="exact"/>
              <w:ind w:left="310"/>
              <w:rPr>
                <w:sz w:val="20"/>
              </w:rPr>
            </w:pPr>
            <w:r>
              <w:rPr>
                <w:spacing w:val="-2"/>
                <w:sz w:val="20"/>
              </w:rPr>
              <w:t>0.161384</w:t>
            </w:r>
          </w:p>
        </w:tc>
        <w:tc>
          <w:tcPr>
            <w:tcW w:w="937" w:type="dxa"/>
          </w:tcPr>
          <w:p>
            <w:pPr>
              <w:pStyle w:val="TableParagraph"/>
              <w:spacing w:line="210" w:lineRule="exact"/>
              <w:ind w:right="113"/>
              <w:jc w:val="right"/>
              <w:rPr>
                <w:sz w:val="20"/>
              </w:rPr>
            </w:pPr>
            <w:r>
              <w:rPr>
                <w:spacing w:val="-4"/>
                <w:sz w:val="20"/>
              </w:rPr>
              <w:t>-</w:t>
            </w:r>
            <w:r>
              <w:rPr>
                <w:spacing w:val="-2"/>
                <w:sz w:val="20"/>
              </w:rPr>
              <w:t>0.780672</w:t>
            </w:r>
          </w:p>
        </w:tc>
        <w:tc>
          <w:tcPr>
            <w:tcW w:w="897" w:type="dxa"/>
          </w:tcPr>
          <w:p>
            <w:pPr>
              <w:pStyle w:val="TableParagraph"/>
              <w:spacing w:line="210" w:lineRule="exact"/>
              <w:ind w:right="30"/>
              <w:jc w:val="right"/>
              <w:rPr>
                <w:sz w:val="20"/>
              </w:rPr>
            </w:pPr>
            <w:r>
              <w:rPr>
                <w:spacing w:val="-2"/>
                <w:sz w:val="20"/>
              </w:rPr>
              <w:t>0.4400</w:t>
            </w:r>
          </w:p>
        </w:tc>
      </w:tr>
      <w:tr>
        <w:trPr>
          <w:trHeight w:val="224" w:hRule="atLeast"/>
        </w:trPr>
        <w:tc>
          <w:tcPr>
            <w:tcW w:w="1885" w:type="dxa"/>
            <w:tcBorders>
              <w:bottom w:val="double" w:sz="6" w:space="0" w:color="000000"/>
            </w:tcBorders>
          </w:tcPr>
          <w:p>
            <w:pPr>
              <w:pStyle w:val="TableParagraph"/>
              <w:spacing w:line="205" w:lineRule="exact"/>
              <w:ind w:left="160" w:right="1"/>
              <w:jc w:val="center"/>
              <w:rPr>
                <w:sz w:val="20"/>
              </w:rPr>
            </w:pPr>
            <w:r>
              <w:rPr>
                <w:spacing w:val="-10"/>
                <w:sz w:val="20"/>
              </w:rPr>
              <w:t>C</w:t>
            </w:r>
          </w:p>
        </w:tc>
        <w:tc>
          <w:tcPr>
            <w:tcW w:w="1338" w:type="dxa"/>
            <w:tcBorders>
              <w:bottom w:val="double" w:sz="6" w:space="0" w:color="000000"/>
            </w:tcBorders>
          </w:tcPr>
          <w:p>
            <w:pPr>
              <w:pStyle w:val="TableParagraph"/>
              <w:spacing w:line="205" w:lineRule="exact"/>
              <w:ind w:right="129"/>
              <w:jc w:val="right"/>
              <w:rPr>
                <w:sz w:val="20"/>
              </w:rPr>
            </w:pPr>
            <w:r>
              <w:rPr>
                <w:spacing w:val="-2"/>
                <w:sz w:val="20"/>
              </w:rPr>
              <w:t>1.251634</w:t>
            </w:r>
          </w:p>
        </w:tc>
        <w:tc>
          <w:tcPr>
            <w:tcW w:w="1433" w:type="dxa"/>
            <w:tcBorders>
              <w:bottom w:val="double" w:sz="6" w:space="0" w:color="000000"/>
            </w:tcBorders>
          </w:tcPr>
          <w:p>
            <w:pPr>
              <w:pStyle w:val="TableParagraph"/>
              <w:spacing w:line="205" w:lineRule="exact"/>
              <w:ind w:left="310"/>
              <w:rPr>
                <w:sz w:val="20"/>
              </w:rPr>
            </w:pPr>
            <w:r>
              <w:rPr>
                <w:spacing w:val="-2"/>
                <w:sz w:val="20"/>
              </w:rPr>
              <w:t>0.757931</w:t>
            </w:r>
          </w:p>
        </w:tc>
        <w:tc>
          <w:tcPr>
            <w:tcW w:w="937" w:type="dxa"/>
            <w:tcBorders>
              <w:bottom w:val="double" w:sz="6" w:space="0" w:color="000000"/>
            </w:tcBorders>
          </w:tcPr>
          <w:p>
            <w:pPr>
              <w:pStyle w:val="TableParagraph"/>
              <w:spacing w:line="205" w:lineRule="exact"/>
              <w:ind w:right="113"/>
              <w:jc w:val="right"/>
              <w:rPr>
                <w:sz w:val="20"/>
              </w:rPr>
            </w:pPr>
            <w:r>
              <w:rPr>
                <w:spacing w:val="-2"/>
                <w:sz w:val="20"/>
              </w:rPr>
              <w:t>1.651381</w:t>
            </w:r>
          </w:p>
        </w:tc>
        <w:tc>
          <w:tcPr>
            <w:tcW w:w="897" w:type="dxa"/>
            <w:tcBorders>
              <w:bottom w:val="double" w:sz="6" w:space="0" w:color="000000"/>
            </w:tcBorders>
          </w:tcPr>
          <w:p>
            <w:pPr>
              <w:pStyle w:val="TableParagraph"/>
              <w:spacing w:line="205" w:lineRule="exact"/>
              <w:ind w:right="30"/>
              <w:jc w:val="right"/>
              <w:rPr>
                <w:sz w:val="20"/>
              </w:rPr>
            </w:pPr>
            <w:r>
              <w:rPr>
                <w:spacing w:val="-2"/>
                <w:sz w:val="20"/>
              </w:rPr>
              <w:t>0.1071</w:t>
            </w:r>
          </w:p>
        </w:tc>
      </w:tr>
      <w:tr>
        <w:trPr>
          <w:trHeight w:val="275" w:hRule="atLeast"/>
        </w:trPr>
        <w:tc>
          <w:tcPr>
            <w:tcW w:w="1885" w:type="dxa"/>
            <w:tcBorders>
              <w:top w:val="double" w:sz="6" w:space="0" w:color="000000"/>
            </w:tcBorders>
          </w:tcPr>
          <w:p>
            <w:pPr>
              <w:pStyle w:val="TableParagraph"/>
              <w:spacing w:line="215" w:lineRule="exact" w:before="40"/>
              <w:ind w:left="36"/>
              <w:rPr>
                <w:sz w:val="20"/>
              </w:rPr>
            </w:pPr>
            <w:r>
              <w:rPr>
                <w:spacing w:val="-2"/>
                <w:sz w:val="20"/>
              </w:rPr>
              <w:t>R-squared</w:t>
            </w:r>
          </w:p>
        </w:tc>
        <w:tc>
          <w:tcPr>
            <w:tcW w:w="1338" w:type="dxa"/>
            <w:tcBorders>
              <w:top w:val="double" w:sz="6" w:space="0" w:color="000000"/>
            </w:tcBorders>
          </w:tcPr>
          <w:p>
            <w:pPr>
              <w:pStyle w:val="TableParagraph"/>
              <w:spacing w:line="215" w:lineRule="exact" w:before="40"/>
              <w:ind w:right="129"/>
              <w:jc w:val="right"/>
              <w:rPr>
                <w:sz w:val="20"/>
              </w:rPr>
            </w:pPr>
            <w:r>
              <w:rPr>
                <w:spacing w:val="-2"/>
                <w:sz w:val="20"/>
              </w:rPr>
              <w:t>0.079023</w:t>
            </w:r>
          </w:p>
        </w:tc>
        <w:tc>
          <w:tcPr>
            <w:tcW w:w="2370" w:type="dxa"/>
            <w:gridSpan w:val="2"/>
            <w:tcBorders>
              <w:top w:val="double" w:sz="6" w:space="0" w:color="000000"/>
            </w:tcBorders>
          </w:tcPr>
          <w:p>
            <w:pPr>
              <w:pStyle w:val="TableParagraph"/>
              <w:spacing w:line="215" w:lineRule="exact" w:before="40"/>
              <w:ind w:left="130"/>
              <w:rPr>
                <w:sz w:val="20"/>
              </w:rPr>
            </w:pPr>
            <w:r>
              <w:rPr>
                <w:sz w:val="20"/>
              </w:rPr>
              <w:t>Mean</w:t>
            </w:r>
            <w:r>
              <w:rPr>
                <w:spacing w:val="-7"/>
                <w:sz w:val="20"/>
              </w:rPr>
              <w:t> </w:t>
            </w:r>
            <w:r>
              <w:rPr>
                <w:sz w:val="20"/>
              </w:rPr>
              <w:t>dependent</w:t>
            </w:r>
            <w:r>
              <w:rPr>
                <w:spacing w:val="-7"/>
                <w:sz w:val="20"/>
              </w:rPr>
              <w:t> </w:t>
            </w:r>
            <w:r>
              <w:rPr>
                <w:spacing w:val="-5"/>
                <w:sz w:val="20"/>
              </w:rPr>
              <w:t>var</w:t>
            </w:r>
          </w:p>
        </w:tc>
        <w:tc>
          <w:tcPr>
            <w:tcW w:w="897" w:type="dxa"/>
            <w:tcBorders>
              <w:top w:val="double" w:sz="6" w:space="0" w:color="000000"/>
            </w:tcBorders>
          </w:tcPr>
          <w:p>
            <w:pPr>
              <w:pStyle w:val="TableParagraph"/>
              <w:spacing w:line="215" w:lineRule="exact" w:before="40"/>
              <w:ind w:right="30"/>
              <w:jc w:val="right"/>
              <w:rPr>
                <w:sz w:val="20"/>
              </w:rPr>
            </w:pPr>
            <w:r>
              <w:rPr>
                <w:spacing w:val="-2"/>
                <w:sz w:val="20"/>
              </w:rPr>
              <w:t>0.210503</w:t>
            </w:r>
          </w:p>
        </w:tc>
      </w:tr>
      <w:tr>
        <w:trPr>
          <w:trHeight w:val="230" w:hRule="atLeast"/>
        </w:trPr>
        <w:tc>
          <w:tcPr>
            <w:tcW w:w="1885" w:type="dxa"/>
          </w:tcPr>
          <w:p>
            <w:pPr>
              <w:pStyle w:val="TableParagraph"/>
              <w:spacing w:line="211" w:lineRule="exact"/>
              <w:ind w:left="36"/>
              <w:rPr>
                <w:sz w:val="20"/>
              </w:rPr>
            </w:pPr>
            <w:r>
              <w:rPr>
                <w:sz w:val="20"/>
              </w:rPr>
              <w:t>Adjusted</w:t>
            </w:r>
            <w:r>
              <w:rPr>
                <w:spacing w:val="-10"/>
                <w:sz w:val="20"/>
              </w:rPr>
              <w:t> </w:t>
            </w:r>
            <w:r>
              <w:rPr>
                <w:sz w:val="20"/>
              </w:rPr>
              <w:t>R-</w:t>
            </w:r>
            <w:r>
              <w:rPr>
                <w:spacing w:val="-2"/>
                <w:sz w:val="20"/>
              </w:rPr>
              <w:t>squared</w:t>
            </w:r>
          </w:p>
        </w:tc>
        <w:tc>
          <w:tcPr>
            <w:tcW w:w="1338" w:type="dxa"/>
          </w:tcPr>
          <w:p>
            <w:pPr>
              <w:pStyle w:val="TableParagraph"/>
              <w:spacing w:line="211" w:lineRule="exact"/>
              <w:ind w:right="129"/>
              <w:jc w:val="right"/>
              <w:rPr>
                <w:sz w:val="20"/>
              </w:rPr>
            </w:pPr>
            <w:r>
              <w:rPr>
                <w:spacing w:val="-2"/>
                <w:sz w:val="20"/>
              </w:rPr>
              <w:t>0.029240</w:t>
            </w:r>
          </w:p>
        </w:tc>
        <w:tc>
          <w:tcPr>
            <w:tcW w:w="2370" w:type="dxa"/>
            <w:gridSpan w:val="2"/>
          </w:tcPr>
          <w:p>
            <w:pPr>
              <w:pStyle w:val="TableParagraph"/>
              <w:spacing w:line="211" w:lineRule="exact"/>
              <w:ind w:left="130"/>
              <w:rPr>
                <w:sz w:val="20"/>
              </w:rPr>
            </w:pPr>
            <w:r>
              <w:rPr>
                <w:sz w:val="20"/>
              </w:rPr>
              <w:t>S.D.</w:t>
            </w:r>
            <w:r>
              <w:rPr>
                <w:spacing w:val="-5"/>
                <w:sz w:val="20"/>
              </w:rPr>
              <w:t> </w:t>
            </w:r>
            <w:r>
              <w:rPr>
                <w:sz w:val="20"/>
              </w:rPr>
              <w:t>dependent</w:t>
            </w:r>
            <w:r>
              <w:rPr>
                <w:spacing w:val="-6"/>
                <w:sz w:val="20"/>
              </w:rPr>
              <w:t> </w:t>
            </w:r>
            <w:r>
              <w:rPr>
                <w:spacing w:val="-5"/>
                <w:sz w:val="20"/>
              </w:rPr>
              <w:t>var</w:t>
            </w:r>
          </w:p>
        </w:tc>
        <w:tc>
          <w:tcPr>
            <w:tcW w:w="897" w:type="dxa"/>
          </w:tcPr>
          <w:p>
            <w:pPr>
              <w:pStyle w:val="TableParagraph"/>
              <w:spacing w:line="211" w:lineRule="exact"/>
              <w:ind w:right="30"/>
              <w:jc w:val="right"/>
              <w:rPr>
                <w:sz w:val="20"/>
              </w:rPr>
            </w:pPr>
            <w:r>
              <w:rPr>
                <w:spacing w:val="-2"/>
                <w:sz w:val="20"/>
              </w:rPr>
              <w:t>1.565989</w:t>
            </w:r>
          </w:p>
        </w:tc>
      </w:tr>
      <w:tr>
        <w:trPr>
          <w:trHeight w:val="230" w:hRule="atLeast"/>
        </w:trPr>
        <w:tc>
          <w:tcPr>
            <w:tcW w:w="1885" w:type="dxa"/>
          </w:tcPr>
          <w:p>
            <w:pPr>
              <w:pStyle w:val="TableParagraph"/>
              <w:spacing w:line="211" w:lineRule="exact"/>
              <w:ind w:left="36"/>
              <w:rPr>
                <w:sz w:val="20"/>
              </w:rPr>
            </w:pPr>
            <w:r>
              <w:rPr>
                <w:sz w:val="20"/>
              </w:rPr>
              <w:t>S.E.</w:t>
            </w:r>
            <w:r>
              <w:rPr>
                <w:spacing w:val="-3"/>
                <w:sz w:val="20"/>
              </w:rPr>
              <w:t> </w:t>
            </w:r>
            <w:r>
              <w:rPr>
                <w:sz w:val="20"/>
              </w:rPr>
              <w:t>of</w:t>
            </w:r>
            <w:r>
              <w:rPr>
                <w:spacing w:val="-3"/>
                <w:sz w:val="20"/>
              </w:rPr>
              <w:t> </w:t>
            </w:r>
            <w:r>
              <w:rPr>
                <w:spacing w:val="-2"/>
                <w:sz w:val="20"/>
              </w:rPr>
              <w:t>regression</w:t>
            </w:r>
          </w:p>
        </w:tc>
        <w:tc>
          <w:tcPr>
            <w:tcW w:w="1338" w:type="dxa"/>
          </w:tcPr>
          <w:p>
            <w:pPr>
              <w:pStyle w:val="TableParagraph"/>
              <w:spacing w:line="211" w:lineRule="exact"/>
              <w:ind w:right="129"/>
              <w:jc w:val="right"/>
              <w:rPr>
                <w:sz w:val="20"/>
              </w:rPr>
            </w:pPr>
            <w:r>
              <w:rPr>
                <w:spacing w:val="-2"/>
                <w:sz w:val="20"/>
              </w:rPr>
              <w:t>1.542925</w:t>
            </w:r>
          </w:p>
        </w:tc>
        <w:tc>
          <w:tcPr>
            <w:tcW w:w="2370" w:type="dxa"/>
            <w:gridSpan w:val="2"/>
          </w:tcPr>
          <w:p>
            <w:pPr>
              <w:pStyle w:val="TableParagraph"/>
              <w:spacing w:line="211" w:lineRule="exact"/>
              <w:ind w:left="130"/>
              <w:rPr>
                <w:sz w:val="20"/>
              </w:rPr>
            </w:pPr>
            <w:r>
              <w:rPr>
                <w:sz w:val="20"/>
              </w:rPr>
              <w:t>Akaike</w:t>
            </w:r>
            <w:r>
              <w:rPr>
                <w:spacing w:val="-8"/>
                <w:sz w:val="20"/>
              </w:rPr>
              <w:t> </w:t>
            </w:r>
            <w:r>
              <w:rPr>
                <w:sz w:val="20"/>
              </w:rPr>
              <w:t>info</w:t>
            </w:r>
            <w:r>
              <w:rPr>
                <w:spacing w:val="-7"/>
                <w:sz w:val="20"/>
              </w:rPr>
              <w:t> </w:t>
            </w:r>
            <w:r>
              <w:rPr>
                <w:spacing w:val="-2"/>
                <w:sz w:val="20"/>
              </w:rPr>
              <w:t>criterion</w:t>
            </w:r>
          </w:p>
        </w:tc>
        <w:tc>
          <w:tcPr>
            <w:tcW w:w="897" w:type="dxa"/>
          </w:tcPr>
          <w:p>
            <w:pPr>
              <w:pStyle w:val="TableParagraph"/>
              <w:spacing w:line="211" w:lineRule="exact"/>
              <w:ind w:right="30"/>
              <w:jc w:val="right"/>
              <w:rPr>
                <w:sz w:val="20"/>
              </w:rPr>
            </w:pPr>
            <w:r>
              <w:rPr>
                <w:spacing w:val="-2"/>
                <w:sz w:val="20"/>
              </w:rPr>
              <w:t>3.777275</w:t>
            </w:r>
          </w:p>
        </w:tc>
      </w:tr>
      <w:tr>
        <w:trPr>
          <w:trHeight w:val="230" w:hRule="atLeast"/>
        </w:trPr>
        <w:tc>
          <w:tcPr>
            <w:tcW w:w="1885" w:type="dxa"/>
          </w:tcPr>
          <w:p>
            <w:pPr>
              <w:pStyle w:val="TableParagraph"/>
              <w:spacing w:line="210" w:lineRule="exact"/>
              <w:ind w:left="36"/>
              <w:rPr>
                <w:sz w:val="20"/>
              </w:rPr>
            </w:pPr>
            <w:r>
              <w:rPr>
                <w:sz w:val="20"/>
              </w:rPr>
              <w:t>Sum</w:t>
            </w:r>
            <w:r>
              <w:rPr>
                <w:spacing w:val="-8"/>
                <w:sz w:val="20"/>
              </w:rPr>
              <w:t> </w:t>
            </w:r>
            <w:r>
              <w:rPr>
                <w:sz w:val="20"/>
              </w:rPr>
              <w:t>squared</w:t>
            </w:r>
            <w:r>
              <w:rPr>
                <w:spacing w:val="-4"/>
                <w:sz w:val="20"/>
              </w:rPr>
              <w:t> </w:t>
            </w:r>
            <w:r>
              <w:rPr>
                <w:spacing w:val="-2"/>
                <w:sz w:val="20"/>
              </w:rPr>
              <w:t>resid</w:t>
            </w:r>
          </w:p>
        </w:tc>
        <w:tc>
          <w:tcPr>
            <w:tcW w:w="1338" w:type="dxa"/>
          </w:tcPr>
          <w:p>
            <w:pPr>
              <w:pStyle w:val="TableParagraph"/>
              <w:spacing w:line="210" w:lineRule="exact"/>
              <w:ind w:right="129"/>
              <w:jc w:val="right"/>
              <w:rPr>
                <w:sz w:val="20"/>
              </w:rPr>
            </w:pPr>
            <w:r>
              <w:rPr>
                <w:spacing w:val="-2"/>
                <w:sz w:val="20"/>
              </w:rPr>
              <w:t>88.08281</w:t>
            </w:r>
          </w:p>
        </w:tc>
        <w:tc>
          <w:tcPr>
            <w:tcW w:w="2370" w:type="dxa"/>
            <w:gridSpan w:val="2"/>
          </w:tcPr>
          <w:p>
            <w:pPr>
              <w:pStyle w:val="TableParagraph"/>
              <w:spacing w:line="210" w:lineRule="exact"/>
              <w:ind w:left="130"/>
              <w:rPr>
                <w:sz w:val="20"/>
              </w:rPr>
            </w:pPr>
            <w:r>
              <w:rPr>
                <w:sz w:val="20"/>
              </w:rPr>
              <w:t>Schwarz</w:t>
            </w:r>
            <w:r>
              <w:rPr>
                <w:spacing w:val="-8"/>
                <w:sz w:val="20"/>
              </w:rPr>
              <w:t> </w:t>
            </w:r>
            <w:r>
              <w:rPr>
                <w:spacing w:val="-2"/>
                <w:sz w:val="20"/>
              </w:rPr>
              <w:t>criterion</w:t>
            </w:r>
          </w:p>
        </w:tc>
        <w:tc>
          <w:tcPr>
            <w:tcW w:w="897" w:type="dxa"/>
          </w:tcPr>
          <w:p>
            <w:pPr>
              <w:pStyle w:val="TableParagraph"/>
              <w:spacing w:line="210" w:lineRule="exact"/>
              <w:ind w:right="30"/>
              <w:jc w:val="right"/>
              <w:rPr>
                <w:sz w:val="20"/>
              </w:rPr>
            </w:pPr>
            <w:r>
              <w:rPr>
                <w:spacing w:val="-2"/>
                <w:sz w:val="20"/>
              </w:rPr>
              <w:t>3.903941</w:t>
            </w:r>
          </w:p>
        </w:tc>
      </w:tr>
      <w:tr>
        <w:trPr>
          <w:trHeight w:val="229" w:hRule="atLeast"/>
        </w:trPr>
        <w:tc>
          <w:tcPr>
            <w:tcW w:w="1885" w:type="dxa"/>
          </w:tcPr>
          <w:p>
            <w:pPr>
              <w:pStyle w:val="TableParagraph"/>
              <w:spacing w:line="209" w:lineRule="exact"/>
              <w:ind w:left="36"/>
              <w:rPr>
                <w:sz w:val="20"/>
              </w:rPr>
            </w:pPr>
            <w:r>
              <w:rPr>
                <w:sz w:val="20"/>
              </w:rPr>
              <w:t>Log</w:t>
            </w:r>
            <w:r>
              <w:rPr>
                <w:spacing w:val="-6"/>
                <w:sz w:val="20"/>
              </w:rPr>
              <w:t> </w:t>
            </w:r>
            <w:r>
              <w:rPr>
                <w:spacing w:val="-2"/>
                <w:sz w:val="20"/>
              </w:rPr>
              <w:t>likelihood</w:t>
            </w:r>
          </w:p>
        </w:tc>
        <w:tc>
          <w:tcPr>
            <w:tcW w:w="1338" w:type="dxa"/>
          </w:tcPr>
          <w:p>
            <w:pPr>
              <w:pStyle w:val="TableParagraph"/>
              <w:spacing w:line="209" w:lineRule="exact"/>
              <w:ind w:right="129"/>
              <w:jc w:val="right"/>
              <w:rPr>
                <w:sz w:val="20"/>
              </w:rPr>
            </w:pPr>
            <w:r>
              <w:rPr>
                <w:spacing w:val="-4"/>
                <w:sz w:val="20"/>
              </w:rPr>
              <w:t>-</w:t>
            </w:r>
            <w:r>
              <w:rPr>
                <w:spacing w:val="-2"/>
                <w:sz w:val="20"/>
              </w:rPr>
              <w:t>72.54550</w:t>
            </w:r>
          </w:p>
        </w:tc>
        <w:tc>
          <w:tcPr>
            <w:tcW w:w="1433" w:type="dxa"/>
          </w:tcPr>
          <w:p>
            <w:pPr>
              <w:pStyle w:val="TableParagraph"/>
              <w:spacing w:line="209" w:lineRule="exact"/>
              <w:ind w:left="130"/>
              <w:rPr>
                <w:sz w:val="20"/>
              </w:rPr>
            </w:pPr>
            <w:r>
              <w:rPr>
                <w:spacing w:val="-4"/>
                <w:sz w:val="20"/>
              </w:rPr>
              <w:t>F-</w:t>
            </w:r>
            <w:r>
              <w:rPr>
                <w:spacing w:val="-2"/>
                <w:sz w:val="20"/>
              </w:rPr>
              <w:t>statistic</w:t>
            </w:r>
          </w:p>
        </w:tc>
        <w:tc>
          <w:tcPr>
            <w:tcW w:w="937" w:type="dxa"/>
          </w:tcPr>
          <w:p>
            <w:pPr>
              <w:pStyle w:val="TableParagraph"/>
              <w:rPr>
                <w:sz w:val="16"/>
              </w:rPr>
            </w:pPr>
          </w:p>
        </w:tc>
        <w:tc>
          <w:tcPr>
            <w:tcW w:w="897" w:type="dxa"/>
          </w:tcPr>
          <w:p>
            <w:pPr>
              <w:pStyle w:val="TableParagraph"/>
              <w:spacing w:line="209" w:lineRule="exact"/>
              <w:ind w:right="30"/>
              <w:jc w:val="right"/>
              <w:rPr>
                <w:sz w:val="20"/>
              </w:rPr>
            </w:pPr>
            <w:r>
              <w:rPr>
                <w:spacing w:val="-2"/>
                <w:sz w:val="20"/>
              </w:rPr>
              <w:t>1.587353</w:t>
            </w:r>
          </w:p>
        </w:tc>
      </w:tr>
      <w:tr>
        <w:trPr>
          <w:trHeight w:val="266" w:hRule="atLeast"/>
        </w:trPr>
        <w:tc>
          <w:tcPr>
            <w:tcW w:w="1885" w:type="dxa"/>
            <w:tcBorders>
              <w:bottom w:val="double" w:sz="6" w:space="0" w:color="000000"/>
            </w:tcBorders>
          </w:tcPr>
          <w:p>
            <w:pPr>
              <w:pStyle w:val="TableParagraph"/>
              <w:spacing w:line="224" w:lineRule="exact"/>
              <w:ind w:left="36"/>
              <w:rPr>
                <w:sz w:val="20"/>
              </w:rPr>
            </w:pPr>
            <w:r>
              <w:rPr>
                <w:sz w:val="20"/>
              </w:rPr>
              <w:t>Durbin-Watson</w:t>
            </w:r>
            <w:r>
              <w:rPr>
                <w:spacing w:val="-12"/>
                <w:sz w:val="20"/>
              </w:rPr>
              <w:t> </w:t>
            </w:r>
            <w:r>
              <w:rPr>
                <w:spacing w:val="-4"/>
                <w:sz w:val="20"/>
              </w:rPr>
              <w:t>stat</w:t>
            </w:r>
          </w:p>
        </w:tc>
        <w:tc>
          <w:tcPr>
            <w:tcW w:w="1338" w:type="dxa"/>
          </w:tcPr>
          <w:p>
            <w:pPr>
              <w:pStyle w:val="TableParagraph"/>
              <w:spacing w:line="224" w:lineRule="exact"/>
              <w:ind w:right="129"/>
              <w:jc w:val="right"/>
              <w:rPr>
                <w:sz w:val="20"/>
              </w:rPr>
            </w:pPr>
            <w:r>
              <w:rPr>
                <w:spacing w:val="-2"/>
                <w:sz w:val="20"/>
              </w:rPr>
              <w:t>2.063527</w:t>
            </w:r>
          </w:p>
        </w:tc>
        <w:tc>
          <w:tcPr>
            <w:tcW w:w="1433" w:type="dxa"/>
            <w:tcBorders>
              <w:bottom w:val="double" w:sz="6" w:space="0" w:color="000000"/>
            </w:tcBorders>
          </w:tcPr>
          <w:p>
            <w:pPr>
              <w:pStyle w:val="TableParagraph"/>
              <w:spacing w:line="224" w:lineRule="exact"/>
              <w:ind w:left="130"/>
              <w:rPr>
                <w:sz w:val="20"/>
              </w:rPr>
            </w:pPr>
            <w:r>
              <w:rPr>
                <w:spacing w:val="-2"/>
                <w:sz w:val="20"/>
              </w:rPr>
              <w:t>Prob(F-statistic)</w:t>
            </w:r>
          </w:p>
        </w:tc>
        <w:tc>
          <w:tcPr>
            <w:tcW w:w="937" w:type="dxa"/>
            <w:tcBorders>
              <w:bottom w:val="single" w:sz="6" w:space="0" w:color="000000"/>
            </w:tcBorders>
          </w:tcPr>
          <w:p>
            <w:pPr>
              <w:pStyle w:val="TableParagraph"/>
              <w:rPr>
                <w:sz w:val="18"/>
              </w:rPr>
            </w:pPr>
          </w:p>
        </w:tc>
        <w:tc>
          <w:tcPr>
            <w:tcW w:w="897" w:type="dxa"/>
            <w:tcBorders>
              <w:bottom w:val="double" w:sz="6" w:space="0" w:color="000000"/>
            </w:tcBorders>
          </w:tcPr>
          <w:p>
            <w:pPr>
              <w:pStyle w:val="TableParagraph"/>
              <w:spacing w:line="224" w:lineRule="exact"/>
              <w:ind w:right="30"/>
              <w:jc w:val="right"/>
              <w:rPr>
                <w:sz w:val="20"/>
              </w:rPr>
            </w:pPr>
            <w:r>
              <w:rPr>
                <w:spacing w:val="-2"/>
                <w:sz w:val="20"/>
              </w:rPr>
              <w:t>0.218075</w:t>
            </w:r>
          </w:p>
        </w:tc>
      </w:tr>
    </w:tbl>
    <w:p>
      <w:pPr>
        <w:spacing w:after="0" w:line="224" w:lineRule="exact"/>
        <w:jc w:val="right"/>
        <w:rPr>
          <w:sz w:val="20"/>
        </w:rPr>
        <w:sectPr>
          <w:pgSz w:w="11910" w:h="16840"/>
          <w:pgMar w:header="0" w:footer="979" w:top="1340" w:bottom="1240" w:left="280" w:right="0"/>
        </w:sectPr>
      </w:pPr>
    </w:p>
    <w:p>
      <w:pPr>
        <w:spacing w:before="82" w:after="3"/>
        <w:ind w:left="711" w:right="0" w:firstLine="0"/>
        <w:jc w:val="left"/>
        <w:rPr>
          <w:sz w:val="20"/>
        </w:rPr>
      </w:pPr>
      <w:r>
        <w:rPr>
          <w:sz w:val="20"/>
        </w:rPr>
        <w:t>NEXTAS</w:t>
      </w:r>
      <w:r>
        <w:rPr>
          <w:spacing w:val="-6"/>
          <w:sz w:val="20"/>
        </w:rPr>
        <w:t> </w:t>
      </w:r>
      <w:r>
        <w:rPr>
          <w:sz w:val="20"/>
        </w:rPr>
        <w:t>@</w:t>
      </w:r>
      <w:r>
        <w:rPr>
          <w:spacing w:val="-5"/>
          <w:sz w:val="20"/>
        </w:rPr>
        <w:t> </w:t>
      </w:r>
      <w:r>
        <w:rPr>
          <w:sz w:val="20"/>
        </w:rPr>
        <w:t>1</w:t>
      </w:r>
      <w:r>
        <w:rPr>
          <w:sz w:val="20"/>
          <w:vertAlign w:val="superscript"/>
        </w:rPr>
        <w:t>ST</w:t>
      </w:r>
      <w:r>
        <w:rPr>
          <w:spacing w:val="-4"/>
          <w:sz w:val="20"/>
          <w:vertAlign w:val="baseline"/>
        </w:rPr>
        <w:t> DIFF</w:t>
      </w:r>
    </w:p>
    <w:tbl>
      <w:tblPr>
        <w:tblW w:w="0" w:type="auto"/>
        <w:jc w:val="left"/>
        <w:tblInd w:w="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23"/>
        <w:gridCol w:w="1299"/>
        <w:gridCol w:w="1432"/>
        <w:gridCol w:w="936"/>
        <w:gridCol w:w="896"/>
      </w:tblGrid>
      <w:tr>
        <w:trPr>
          <w:trHeight w:val="224" w:hRule="atLeast"/>
        </w:trPr>
        <w:tc>
          <w:tcPr>
            <w:tcW w:w="1923" w:type="dxa"/>
          </w:tcPr>
          <w:p>
            <w:pPr>
              <w:pStyle w:val="TableParagraph"/>
              <w:spacing w:line="204" w:lineRule="exact"/>
              <w:ind w:left="36"/>
              <w:rPr>
                <w:sz w:val="20"/>
              </w:rPr>
            </w:pPr>
            <w:r>
              <w:rPr>
                <w:sz w:val="20"/>
              </w:rPr>
              <w:t>ADF</w:t>
            </w:r>
            <w:r>
              <w:rPr>
                <w:spacing w:val="-4"/>
                <w:sz w:val="20"/>
              </w:rPr>
              <w:t> </w:t>
            </w:r>
            <w:r>
              <w:rPr>
                <w:sz w:val="20"/>
              </w:rPr>
              <w:t>Test</w:t>
            </w:r>
            <w:r>
              <w:rPr>
                <w:spacing w:val="-4"/>
                <w:sz w:val="20"/>
              </w:rPr>
              <w:t> </w:t>
            </w:r>
            <w:r>
              <w:rPr>
                <w:spacing w:val="-2"/>
                <w:sz w:val="20"/>
              </w:rPr>
              <w:t>Statistic</w:t>
            </w:r>
          </w:p>
        </w:tc>
        <w:tc>
          <w:tcPr>
            <w:tcW w:w="1299" w:type="dxa"/>
          </w:tcPr>
          <w:p>
            <w:pPr>
              <w:pStyle w:val="TableParagraph"/>
              <w:spacing w:line="204" w:lineRule="exact"/>
              <w:ind w:left="143"/>
              <w:rPr>
                <w:sz w:val="20"/>
              </w:rPr>
            </w:pPr>
            <w:r>
              <w:rPr>
                <w:spacing w:val="-4"/>
                <w:sz w:val="20"/>
              </w:rPr>
              <w:t>-</w:t>
            </w:r>
            <w:r>
              <w:rPr>
                <w:spacing w:val="-2"/>
                <w:sz w:val="20"/>
              </w:rPr>
              <w:t>8.031390</w:t>
            </w:r>
          </w:p>
        </w:tc>
        <w:tc>
          <w:tcPr>
            <w:tcW w:w="2368" w:type="dxa"/>
            <w:gridSpan w:val="2"/>
          </w:tcPr>
          <w:p>
            <w:pPr>
              <w:pStyle w:val="TableParagraph"/>
              <w:spacing w:line="204" w:lineRule="exact"/>
              <w:ind w:left="131"/>
              <w:rPr>
                <w:sz w:val="20"/>
              </w:rPr>
            </w:pPr>
            <w:r>
              <w:rPr>
                <w:sz w:val="20"/>
              </w:rPr>
              <w:t>1%</w:t>
            </w:r>
            <w:r>
              <w:rPr>
                <w:spacing w:val="68"/>
                <w:w w:val="150"/>
                <w:sz w:val="20"/>
              </w:rPr>
              <w:t> </w:t>
            </w:r>
            <w:r>
              <w:rPr>
                <w:sz w:val="20"/>
              </w:rPr>
              <w:t>Critical</w:t>
            </w:r>
            <w:r>
              <w:rPr>
                <w:spacing w:val="-2"/>
                <w:sz w:val="20"/>
              </w:rPr>
              <w:t> Value*</w:t>
            </w:r>
          </w:p>
        </w:tc>
        <w:tc>
          <w:tcPr>
            <w:tcW w:w="896" w:type="dxa"/>
          </w:tcPr>
          <w:p>
            <w:pPr>
              <w:pStyle w:val="TableParagraph"/>
              <w:spacing w:line="204" w:lineRule="exact"/>
              <w:ind w:right="26"/>
              <w:jc w:val="right"/>
              <w:rPr>
                <w:sz w:val="20"/>
              </w:rPr>
            </w:pPr>
            <w:r>
              <w:rPr>
                <w:spacing w:val="-4"/>
                <w:sz w:val="20"/>
              </w:rPr>
              <w:t>-</w:t>
            </w:r>
            <w:r>
              <w:rPr>
                <w:spacing w:val="-2"/>
                <w:sz w:val="20"/>
              </w:rPr>
              <w:t>3.6067</w:t>
            </w:r>
          </w:p>
        </w:tc>
      </w:tr>
      <w:tr>
        <w:trPr>
          <w:trHeight w:val="229" w:hRule="atLeast"/>
        </w:trPr>
        <w:tc>
          <w:tcPr>
            <w:tcW w:w="1923" w:type="dxa"/>
          </w:tcPr>
          <w:p>
            <w:pPr>
              <w:pStyle w:val="TableParagraph"/>
              <w:rPr>
                <w:sz w:val="16"/>
              </w:rPr>
            </w:pPr>
          </w:p>
        </w:tc>
        <w:tc>
          <w:tcPr>
            <w:tcW w:w="1299" w:type="dxa"/>
          </w:tcPr>
          <w:p>
            <w:pPr>
              <w:pStyle w:val="TableParagraph"/>
              <w:rPr>
                <w:sz w:val="16"/>
              </w:rPr>
            </w:pPr>
          </w:p>
        </w:tc>
        <w:tc>
          <w:tcPr>
            <w:tcW w:w="2368" w:type="dxa"/>
            <w:gridSpan w:val="2"/>
          </w:tcPr>
          <w:p>
            <w:pPr>
              <w:pStyle w:val="TableParagraph"/>
              <w:spacing w:line="209" w:lineRule="exact"/>
              <w:ind w:left="131"/>
              <w:rPr>
                <w:sz w:val="20"/>
              </w:rPr>
            </w:pPr>
            <w:r>
              <w:rPr>
                <w:sz w:val="20"/>
              </w:rPr>
              <w:t>5%</w:t>
            </w:r>
            <w:r>
              <w:rPr>
                <w:spacing w:val="68"/>
                <w:w w:val="150"/>
                <w:sz w:val="20"/>
              </w:rPr>
              <w:t> </w:t>
            </w:r>
            <w:r>
              <w:rPr>
                <w:sz w:val="20"/>
              </w:rPr>
              <w:t>Critical</w:t>
            </w:r>
            <w:r>
              <w:rPr>
                <w:spacing w:val="-2"/>
                <w:sz w:val="20"/>
              </w:rPr>
              <w:t> </w:t>
            </w:r>
            <w:r>
              <w:rPr>
                <w:spacing w:val="-4"/>
                <w:sz w:val="20"/>
              </w:rPr>
              <w:t>Value</w:t>
            </w:r>
          </w:p>
        </w:tc>
        <w:tc>
          <w:tcPr>
            <w:tcW w:w="896" w:type="dxa"/>
          </w:tcPr>
          <w:p>
            <w:pPr>
              <w:pStyle w:val="TableParagraph"/>
              <w:spacing w:line="209" w:lineRule="exact"/>
              <w:ind w:right="26"/>
              <w:jc w:val="right"/>
              <w:rPr>
                <w:sz w:val="20"/>
              </w:rPr>
            </w:pPr>
            <w:r>
              <w:rPr>
                <w:spacing w:val="-4"/>
                <w:sz w:val="20"/>
              </w:rPr>
              <w:t>-</w:t>
            </w:r>
            <w:r>
              <w:rPr>
                <w:spacing w:val="-2"/>
                <w:sz w:val="20"/>
              </w:rPr>
              <w:t>2.9378</w:t>
            </w:r>
          </w:p>
        </w:tc>
      </w:tr>
      <w:tr>
        <w:trPr>
          <w:trHeight w:val="224" w:hRule="atLeast"/>
        </w:trPr>
        <w:tc>
          <w:tcPr>
            <w:tcW w:w="1923" w:type="dxa"/>
            <w:tcBorders>
              <w:bottom w:val="double" w:sz="6" w:space="0" w:color="000000"/>
            </w:tcBorders>
          </w:tcPr>
          <w:p>
            <w:pPr>
              <w:pStyle w:val="TableParagraph"/>
              <w:rPr>
                <w:sz w:val="16"/>
              </w:rPr>
            </w:pPr>
          </w:p>
        </w:tc>
        <w:tc>
          <w:tcPr>
            <w:tcW w:w="1299" w:type="dxa"/>
            <w:tcBorders>
              <w:bottom w:val="double" w:sz="6" w:space="0" w:color="000000"/>
            </w:tcBorders>
          </w:tcPr>
          <w:p>
            <w:pPr>
              <w:pStyle w:val="TableParagraph"/>
              <w:rPr>
                <w:sz w:val="16"/>
              </w:rPr>
            </w:pPr>
          </w:p>
        </w:tc>
        <w:tc>
          <w:tcPr>
            <w:tcW w:w="2368" w:type="dxa"/>
            <w:gridSpan w:val="2"/>
            <w:tcBorders>
              <w:bottom w:val="double" w:sz="6" w:space="0" w:color="000000"/>
            </w:tcBorders>
          </w:tcPr>
          <w:p>
            <w:pPr>
              <w:pStyle w:val="TableParagraph"/>
              <w:spacing w:line="205" w:lineRule="exact"/>
              <w:ind w:left="131"/>
              <w:rPr>
                <w:sz w:val="20"/>
              </w:rPr>
            </w:pPr>
            <w:r>
              <w:rPr>
                <w:sz w:val="20"/>
              </w:rPr>
              <w:t>10%</w:t>
            </w:r>
            <w:r>
              <w:rPr>
                <w:spacing w:val="-6"/>
                <w:sz w:val="20"/>
              </w:rPr>
              <w:t> </w:t>
            </w:r>
            <w:r>
              <w:rPr>
                <w:sz w:val="20"/>
              </w:rPr>
              <w:t>Critical</w:t>
            </w:r>
            <w:r>
              <w:rPr>
                <w:spacing w:val="-4"/>
                <w:sz w:val="20"/>
              </w:rPr>
              <w:t> </w:t>
            </w:r>
            <w:r>
              <w:rPr>
                <w:spacing w:val="-2"/>
                <w:sz w:val="20"/>
              </w:rPr>
              <w:t>Value</w:t>
            </w:r>
          </w:p>
        </w:tc>
        <w:tc>
          <w:tcPr>
            <w:tcW w:w="896" w:type="dxa"/>
            <w:tcBorders>
              <w:bottom w:val="double" w:sz="6" w:space="0" w:color="000000"/>
            </w:tcBorders>
          </w:tcPr>
          <w:p>
            <w:pPr>
              <w:pStyle w:val="TableParagraph"/>
              <w:spacing w:line="205" w:lineRule="exact"/>
              <w:ind w:right="26"/>
              <w:jc w:val="right"/>
              <w:rPr>
                <w:sz w:val="20"/>
              </w:rPr>
            </w:pPr>
            <w:r>
              <w:rPr>
                <w:spacing w:val="-4"/>
                <w:sz w:val="20"/>
              </w:rPr>
              <w:t>-</w:t>
            </w:r>
            <w:r>
              <w:rPr>
                <w:spacing w:val="-2"/>
                <w:sz w:val="20"/>
              </w:rPr>
              <w:t>2.6069</w:t>
            </w:r>
          </w:p>
        </w:tc>
      </w:tr>
      <w:tr>
        <w:trPr>
          <w:trHeight w:val="506" w:hRule="atLeast"/>
        </w:trPr>
        <w:tc>
          <w:tcPr>
            <w:tcW w:w="6486" w:type="dxa"/>
            <w:gridSpan w:val="5"/>
            <w:tcBorders>
              <w:top w:val="double" w:sz="6" w:space="0" w:color="000000"/>
            </w:tcBorders>
          </w:tcPr>
          <w:p>
            <w:pPr>
              <w:pStyle w:val="TableParagraph"/>
              <w:spacing w:before="42"/>
              <w:ind w:left="36"/>
              <w:rPr>
                <w:sz w:val="20"/>
              </w:rPr>
            </w:pPr>
            <w:r>
              <w:rPr>
                <w:sz w:val="20"/>
              </w:rPr>
              <w:t>*MacKinnon</w:t>
            </w:r>
            <w:r>
              <w:rPr>
                <w:spacing w:val="-6"/>
                <w:sz w:val="20"/>
              </w:rPr>
              <w:t> </w:t>
            </w:r>
            <w:r>
              <w:rPr>
                <w:sz w:val="20"/>
              </w:rPr>
              <w:t>critical</w:t>
            </w:r>
            <w:r>
              <w:rPr>
                <w:spacing w:val="-4"/>
                <w:sz w:val="20"/>
              </w:rPr>
              <w:t> </w:t>
            </w:r>
            <w:r>
              <w:rPr>
                <w:sz w:val="20"/>
              </w:rPr>
              <w:t>values</w:t>
            </w:r>
            <w:r>
              <w:rPr>
                <w:spacing w:val="-6"/>
                <w:sz w:val="20"/>
              </w:rPr>
              <w:t> </w:t>
            </w:r>
            <w:r>
              <w:rPr>
                <w:sz w:val="20"/>
              </w:rPr>
              <w:t>for</w:t>
            </w:r>
            <w:r>
              <w:rPr>
                <w:spacing w:val="-4"/>
                <w:sz w:val="20"/>
              </w:rPr>
              <w:t> </w:t>
            </w:r>
            <w:r>
              <w:rPr>
                <w:sz w:val="20"/>
              </w:rPr>
              <w:t>rejection</w:t>
            </w:r>
            <w:r>
              <w:rPr>
                <w:spacing w:val="-6"/>
                <w:sz w:val="20"/>
              </w:rPr>
              <w:t> </w:t>
            </w:r>
            <w:r>
              <w:rPr>
                <w:sz w:val="20"/>
              </w:rPr>
              <w:t>of</w:t>
            </w:r>
            <w:r>
              <w:rPr>
                <w:spacing w:val="-6"/>
                <w:sz w:val="20"/>
              </w:rPr>
              <w:t> </w:t>
            </w:r>
            <w:r>
              <w:rPr>
                <w:sz w:val="20"/>
              </w:rPr>
              <w:t>hypothesis</w:t>
            </w:r>
            <w:r>
              <w:rPr>
                <w:spacing w:val="-5"/>
                <w:sz w:val="20"/>
              </w:rPr>
              <w:t> </w:t>
            </w:r>
            <w:r>
              <w:rPr>
                <w:sz w:val="20"/>
              </w:rPr>
              <w:t>of</w:t>
            </w:r>
            <w:r>
              <w:rPr>
                <w:spacing w:val="-6"/>
                <w:sz w:val="20"/>
              </w:rPr>
              <w:t> </w:t>
            </w:r>
            <w:r>
              <w:rPr>
                <w:sz w:val="20"/>
              </w:rPr>
              <w:t>a</w:t>
            </w:r>
            <w:r>
              <w:rPr>
                <w:spacing w:val="1"/>
                <w:sz w:val="20"/>
              </w:rPr>
              <w:t> </w:t>
            </w:r>
            <w:r>
              <w:rPr>
                <w:sz w:val="20"/>
              </w:rPr>
              <w:t>unit</w:t>
            </w:r>
            <w:r>
              <w:rPr>
                <w:spacing w:val="-5"/>
                <w:sz w:val="20"/>
              </w:rPr>
              <w:t> </w:t>
            </w:r>
            <w:r>
              <w:rPr>
                <w:spacing w:val="-2"/>
                <w:sz w:val="20"/>
              </w:rPr>
              <w:t>root.</w:t>
            </w:r>
          </w:p>
        </w:tc>
      </w:tr>
      <w:tr>
        <w:trPr>
          <w:trHeight w:val="459" w:hRule="atLeast"/>
        </w:trPr>
        <w:tc>
          <w:tcPr>
            <w:tcW w:w="6486" w:type="dxa"/>
            <w:gridSpan w:val="5"/>
          </w:tcPr>
          <w:p>
            <w:pPr>
              <w:pStyle w:val="TableParagraph"/>
              <w:spacing w:line="215" w:lineRule="exact" w:before="225"/>
              <w:ind w:left="36"/>
              <w:rPr>
                <w:sz w:val="20"/>
              </w:rPr>
            </w:pPr>
            <w:r>
              <w:rPr>
                <w:sz w:val="20"/>
              </w:rPr>
              <w:t>Augmented</w:t>
            </w:r>
            <w:r>
              <w:rPr>
                <w:spacing w:val="-8"/>
                <w:sz w:val="20"/>
              </w:rPr>
              <w:t> </w:t>
            </w:r>
            <w:r>
              <w:rPr>
                <w:sz w:val="20"/>
              </w:rPr>
              <w:t>Dickey-Fuller</w:t>
            </w:r>
            <w:r>
              <w:rPr>
                <w:spacing w:val="-8"/>
                <w:sz w:val="20"/>
              </w:rPr>
              <w:t> </w:t>
            </w:r>
            <w:r>
              <w:rPr>
                <w:sz w:val="20"/>
              </w:rPr>
              <w:t>Test</w:t>
            </w:r>
            <w:r>
              <w:rPr>
                <w:spacing w:val="-9"/>
                <w:sz w:val="20"/>
              </w:rPr>
              <w:t> </w:t>
            </w:r>
            <w:r>
              <w:rPr>
                <w:spacing w:val="-2"/>
                <w:sz w:val="20"/>
              </w:rPr>
              <w:t>Equation</w:t>
            </w:r>
          </w:p>
        </w:tc>
      </w:tr>
      <w:tr>
        <w:trPr>
          <w:trHeight w:val="230" w:hRule="atLeast"/>
        </w:trPr>
        <w:tc>
          <w:tcPr>
            <w:tcW w:w="6486" w:type="dxa"/>
            <w:gridSpan w:val="5"/>
          </w:tcPr>
          <w:p>
            <w:pPr>
              <w:pStyle w:val="TableParagraph"/>
              <w:spacing w:line="210" w:lineRule="exact"/>
              <w:ind w:left="36"/>
              <w:rPr>
                <w:sz w:val="20"/>
              </w:rPr>
            </w:pPr>
            <w:r>
              <w:rPr>
                <w:sz w:val="20"/>
              </w:rPr>
              <w:t>Dependent</w:t>
            </w:r>
            <w:r>
              <w:rPr>
                <w:spacing w:val="-8"/>
                <w:sz w:val="20"/>
              </w:rPr>
              <w:t> </w:t>
            </w:r>
            <w:r>
              <w:rPr>
                <w:sz w:val="20"/>
              </w:rPr>
              <w:t>Variable:</w:t>
            </w:r>
            <w:r>
              <w:rPr>
                <w:spacing w:val="-8"/>
                <w:sz w:val="20"/>
              </w:rPr>
              <w:t> </w:t>
            </w:r>
            <w:r>
              <w:rPr>
                <w:spacing w:val="-2"/>
                <w:sz w:val="20"/>
              </w:rPr>
              <w:t>D(NEXTAS,2)</w:t>
            </w:r>
          </w:p>
        </w:tc>
      </w:tr>
      <w:tr>
        <w:trPr>
          <w:trHeight w:val="229" w:hRule="atLeast"/>
        </w:trPr>
        <w:tc>
          <w:tcPr>
            <w:tcW w:w="1923" w:type="dxa"/>
          </w:tcPr>
          <w:p>
            <w:pPr>
              <w:pStyle w:val="TableParagraph"/>
              <w:spacing w:line="209" w:lineRule="exact"/>
              <w:ind w:left="36"/>
              <w:rPr>
                <w:sz w:val="20"/>
              </w:rPr>
            </w:pPr>
            <w:r>
              <w:rPr>
                <w:sz w:val="20"/>
              </w:rPr>
              <w:t>Method:</w:t>
            </w:r>
            <w:r>
              <w:rPr>
                <w:spacing w:val="-8"/>
                <w:sz w:val="20"/>
              </w:rPr>
              <w:t> </w:t>
            </w:r>
            <w:r>
              <w:rPr>
                <w:sz w:val="20"/>
              </w:rPr>
              <w:t>Least</w:t>
            </w:r>
            <w:r>
              <w:rPr>
                <w:spacing w:val="-7"/>
                <w:sz w:val="20"/>
              </w:rPr>
              <w:t> </w:t>
            </w:r>
            <w:r>
              <w:rPr>
                <w:spacing w:val="-2"/>
                <w:sz w:val="20"/>
              </w:rPr>
              <w:t>Squares</w:t>
            </w:r>
          </w:p>
        </w:tc>
        <w:tc>
          <w:tcPr>
            <w:tcW w:w="1299" w:type="dxa"/>
          </w:tcPr>
          <w:p>
            <w:pPr>
              <w:pStyle w:val="TableParagraph"/>
              <w:rPr>
                <w:sz w:val="16"/>
              </w:rPr>
            </w:pPr>
          </w:p>
        </w:tc>
        <w:tc>
          <w:tcPr>
            <w:tcW w:w="1432" w:type="dxa"/>
          </w:tcPr>
          <w:p>
            <w:pPr>
              <w:pStyle w:val="TableParagraph"/>
              <w:rPr>
                <w:sz w:val="16"/>
              </w:rPr>
            </w:pPr>
          </w:p>
        </w:tc>
        <w:tc>
          <w:tcPr>
            <w:tcW w:w="936" w:type="dxa"/>
          </w:tcPr>
          <w:p>
            <w:pPr>
              <w:pStyle w:val="TableParagraph"/>
              <w:rPr>
                <w:sz w:val="16"/>
              </w:rPr>
            </w:pPr>
          </w:p>
        </w:tc>
        <w:tc>
          <w:tcPr>
            <w:tcW w:w="896" w:type="dxa"/>
          </w:tcPr>
          <w:p>
            <w:pPr>
              <w:pStyle w:val="TableParagraph"/>
              <w:rPr>
                <w:sz w:val="16"/>
              </w:rPr>
            </w:pPr>
          </w:p>
        </w:tc>
      </w:tr>
      <w:tr>
        <w:trPr>
          <w:trHeight w:val="229" w:hRule="atLeast"/>
        </w:trPr>
        <w:tc>
          <w:tcPr>
            <w:tcW w:w="6486" w:type="dxa"/>
            <w:gridSpan w:val="5"/>
          </w:tcPr>
          <w:p>
            <w:pPr>
              <w:pStyle w:val="TableParagraph"/>
              <w:spacing w:line="209" w:lineRule="exact"/>
              <w:ind w:left="36"/>
              <w:rPr>
                <w:sz w:val="20"/>
              </w:rPr>
            </w:pPr>
            <w:r>
              <w:rPr>
                <w:sz w:val="20"/>
              </w:rPr>
              <w:t>Date:</w:t>
            </w:r>
            <w:r>
              <w:rPr>
                <w:spacing w:val="-5"/>
                <w:sz w:val="20"/>
              </w:rPr>
              <w:t> </w:t>
            </w:r>
            <w:r>
              <w:rPr>
                <w:sz w:val="20"/>
              </w:rPr>
              <w:t>02/17/14</w:t>
            </w:r>
            <w:r>
              <w:rPr>
                <w:spacing w:val="63"/>
                <w:w w:val="150"/>
                <w:sz w:val="20"/>
              </w:rPr>
              <w:t> </w:t>
            </w:r>
            <w:r>
              <w:rPr>
                <w:sz w:val="20"/>
              </w:rPr>
              <w:t>Time:</w:t>
            </w:r>
            <w:r>
              <w:rPr>
                <w:spacing w:val="-3"/>
                <w:sz w:val="20"/>
              </w:rPr>
              <w:t> </w:t>
            </w:r>
            <w:r>
              <w:rPr>
                <w:spacing w:val="-2"/>
                <w:sz w:val="20"/>
              </w:rPr>
              <w:t>17:14</w:t>
            </w:r>
          </w:p>
        </w:tc>
      </w:tr>
      <w:tr>
        <w:trPr>
          <w:trHeight w:val="230" w:hRule="atLeast"/>
        </w:trPr>
        <w:tc>
          <w:tcPr>
            <w:tcW w:w="6486" w:type="dxa"/>
            <w:gridSpan w:val="5"/>
          </w:tcPr>
          <w:p>
            <w:pPr>
              <w:pStyle w:val="TableParagraph"/>
              <w:spacing w:line="210" w:lineRule="exact"/>
              <w:ind w:left="36"/>
              <w:rPr>
                <w:sz w:val="20"/>
              </w:rPr>
            </w:pPr>
            <w:r>
              <w:rPr>
                <w:sz w:val="20"/>
              </w:rPr>
              <w:t>Sample(adjusted):</w:t>
            </w:r>
            <w:r>
              <w:rPr>
                <w:spacing w:val="-9"/>
                <w:sz w:val="20"/>
              </w:rPr>
              <w:t> </w:t>
            </w:r>
            <w:r>
              <w:rPr>
                <w:sz w:val="20"/>
              </w:rPr>
              <w:t>1973</w:t>
            </w:r>
            <w:r>
              <w:rPr>
                <w:spacing w:val="-9"/>
                <w:sz w:val="20"/>
              </w:rPr>
              <w:t> </w:t>
            </w:r>
            <w:r>
              <w:rPr>
                <w:spacing w:val="-4"/>
                <w:sz w:val="20"/>
              </w:rPr>
              <w:t>2011</w:t>
            </w:r>
          </w:p>
        </w:tc>
      </w:tr>
      <w:tr>
        <w:trPr>
          <w:trHeight w:val="224" w:hRule="atLeast"/>
        </w:trPr>
        <w:tc>
          <w:tcPr>
            <w:tcW w:w="6486" w:type="dxa"/>
            <w:gridSpan w:val="5"/>
            <w:tcBorders>
              <w:bottom w:val="double" w:sz="6" w:space="0" w:color="000000"/>
            </w:tcBorders>
          </w:tcPr>
          <w:p>
            <w:pPr>
              <w:pStyle w:val="TableParagraph"/>
              <w:spacing w:line="205" w:lineRule="exact"/>
              <w:ind w:left="36"/>
              <w:rPr>
                <w:sz w:val="20"/>
              </w:rPr>
            </w:pPr>
            <w:r>
              <w:rPr>
                <w:sz w:val="20"/>
              </w:rPr>
              <w:t>Included</w:t>
            </w:r>
            <w:r>
              <w:rPr>
                <w:spacing w:val="-6"/>
                <w:sz w:val="20"/>
              </w:rPr>
              <w:t> </w:t>
            </w:r>
            <w:r>
              <w:rPr>
                <w:sz w:val="20"/>
              </w:rPr>
              <w:t>observations:</w:t>
            </w:r>
            <w:r>
              <w:rPr>
                <w:spacing w:val="-8"/>
                <w:sz w:val="20"/>
              </w:rPr>
              <w:t> </w:t>
            </w:r>
            <w:r>
              <w:rPr>
                <w:sz w:val="20"/>
              </w:rPr>
              <w:t>39</w:t>
            </w:r>
            <w:r>
              <w:rPr>
                <w:spacing w:val="-5"/>
                <w:sz w:val="20"/>
              </w:rPr>
              <w:t> </w:t>
            </w:r>
            <w:r>
              <w:rPr>
                <w:sz w:val="20"/>
              </w:rPr>
              <w:t>after</w:t>
            </w:r>
            <w:r>
              <w:rPr>
                <w:spacing w:val="-7"/>
                <w:sz w:val="20"/>
              </w:rPr>
              <w:t> </w:t>
            </w:r>
            <w:r>
              <w:rPr>
                <w:sz w:val="20"/>
              </w:rPr>
              <w:t>adjusting</w:t>
            </w:r>
            <w:r>
              <w:rPr>
                <w:spacing w:val="-7"/>
                <w:sz w:val="20"/>
              </w:rPr>
              <w:t> </w:t>
            </w:r>
            <w:r>
              <w:rPr>
                <w:spacing w:val="-2"/>
                <w:sz w:val="20"/>
              </w:rPr>
              <w:t>endpoints</w:t>
            </w:r>
          </w:p>
        </w:tc>
      </w:tr>
      <w:tr>
        <w:trPr>
          <w:trHeight w:val="269" w:hRule="atLeast"/>
        </w:trPr>
        <w:tc>
          <w:tcPr>
            <w:tcW w:w="1923" w:type="dxa"/>
            <w:tcBorders>
              <w:top w:val="double" w:sz="6" w:space="0" w:color="000000"/>
              <w:bottom w:val="double" w:sz="6" w:space="0" w:color="000000"/>
            </w:tcBorders>
          </w:tcPr>
          <w:p>
            <w:pPr>
              <w:pStyle w:val="TableParagraph"/>
              <w:spacing w:line="209" w:lineRule="exact" w:before="40"/>
              <w:ind w:left="677"/>
              <w:rPr>
                <w:sz w:val="20"/>
              </w:rPr>
            </w:pPr>
            <w:r>
              <w:rPr>
                <w:spacing w:val="-2"/>
                <w:sz w:val="20"/>
              </w:rPr>
              <w:t>Variable</w:t>
            </w:r>
          </w:p>
        </w:tc>
        <w:tc>
          <w:tcPr>
            <w:tcW w:w="1299" w:type="dxa"/>
            <w:tcBorders>
              <w:top w:val="double" w:sz="6" w:space="0" w:color="000000"/>
              <w:bottom w:val="double" w:sz="6" w:space="0" w:color="000000"/>
            </w:tcBorders>
          </w:tcPr>
          <w:p>
            <w:pPr>
              <w:pStyle w:val="TableParagraph"/>
              <w:spacing w:line="209" w:lineRule="exact" w:before="40"/>
              <w:ind w:right="131"/>
              <w:jc w:val="right"/>
              <w:rPr>
                <w:sz w:val="20"/>
              </w:rPr>
            </w:pPr>
            <w:r>
              <w:rPr>
                <w:spacing w:val="-2"/>
                <w:sz w:val="20"/>
              </w:rPr>
              <w:t>Coefficient</w:t>
            </w:r>
          </w:p>
        </w:tc>
        <w:tc>
          <w:tcPr>
            <w:tcW w:w="1432" w:type="dxa"/>
            <w:tcBorders>
              <w:top w:val="double" w:sz="6" w:space="0" w:color="000000"/>
              <w:bottom w:val="double" w:sz="6" w:space="0" w:color="000000"/>
            </w:tcBorders>
          </w:tcPr>
          <w:p>
            <w:pPr>
              <w:pStyle w:val="TableParagraph"/>
              <w:spacing w:line="209" w:lineRule="exact" w:before="40"/>
              <w:ind w:left="273"/>
              <w:rPr>
                <w:sz w:val="20"/>
              </w:rPr>
            </w:pPr>
            <w:r>
              <w:rPr>
                <w:sz w:val="20"/>
              </w:rPr>
              <w:t>Std.</w:t>
            </w:r>
            <w:r>
              <w:rPr>
                <w:spacing w:val="-4"/>
                <w:sz w:val="20"/>
              </w:rPr>
              <w:t> </w:t>
            </w:r>
            <w:r>
              <w:rPr>
                <w:spacing w:val="-2"/>
                <w:sz w:val="20"/>
              </w:rPr>
              <w:t>Error</w:t>
            </w:r>
          </w:p>
        </w:tc>
        <w:tc>
          <w:tcPr>
            <w:tcW w:w="936" w:type="dxa"/>
            <w:tcBorders>
              <w:top w:val="double" w:sz="6" w:space="0" w:color="000000"/>
              <w:bottom w:val="double" w:sz="6" w:space="0" w:color="000000"/>
            </w:tcBorders>
          </w:tcPr>
          <w:p>
            <w:pPr>
              <w:pStyle w:val="TableParagraph"/>
              <w:spacing w:line="209" w:lineRule="exact" w:before="40"/>
              <w:ind w:right="112"/>
              <w:jc w:val="right"/>
              <w:rPr>
                <w:sz w:val="20"/>
              </w:rPr>
            </w:pPr>
            <w:r>
              <w:rPr>
                <w:spacing w:val="-4"/>
                <w:sz w:val="20"/>
              </w:rPr>
              <w:t>t-</w:t>
            </w:r>
            <w:r>
              <w:rPr>
                <w:spacing w:val="-2"/>
                <w:sz w:val="20"/>
              </w:rPr>
              <w:t>Statistic</w:t>
            </w:r>
          </w:p>
        </w:tc>
        <w:tc>
          <w:tcPr>
            <w:tcW w:w="896" w:type="dxa"/>
            <w:tcBorders>
              <w:top w:val="double" w:sz="6" w:space="0" w:color="000000"/>
              <w:bottom w:val="double" w:sz="6" w:space="0" w:color="000000"/>
            </w:tcBorders>
          </w:tcPr>
          <w:p>
            <w:pPr>
              <w:pStyle w:val="TableParagraph"/>
              <w:spacing w:line="209" w:lineRule="exact" w:before="40"/>
              <w:ind w:right="27"/>
              <w:jc w:val="right"/>
              <w:rPr>
                <w:sz w:val="20"/>
              </w:rPr>
            </w:pPr>
            <w:r>
              <w:rPr>
                <w:spacing w:val="-2"/>
                <w:sz w:val="20"/>
              </w:rPr>
              <w:t>Prob.</w:t>
            </w:r>
          </w:p>
        </w:tc>
      </w:tr>
      <w:tr>
        <w:trPr>
          <w:trHeight w:val="276" w:hRule="atLeast"/>
        </w:trPr>
        <w:tc>
          <w:tcPr>
            <w:tcW w:w="1923" w:type="dxa"/>
            <w:tcBorders>
              <w:top w:val="double" w:sz="6" w:space="0" w:color="000000"/>
            </w:tcBorders>
          </w:tcPr>
          <w:p>
            <w:pPr>
              <w:pStyle w:val="TableParagraph"/>
              <w:spacing w:line="214" w:lineRule="exact" w:before="42"/>
              <w:ind w:left="338"/>
              <w:rPr>
                <w:sz w:val="20"/>
              </w:rPr>
            </w:pPr>
            <w:r>
              <w:rPr>
                <w:spacing w:val="-2"/>
                <w:sz w:val="20"/>
              </w:rPr>
              <w:t>D(NEXTAS(-</w:t>
            </w:r>
            <w:r>
              <w:rPr>
                <w:spacing w:val="-5"/>
                <w:sz w:val="20"/>
              </w:rPr>
              <w:t>1))</w:t>
            </w:r>
          </w:p>
        </w:tc>
        <w:tc>
          <w:tcPr>
            <w:tcW w:w="1299" w:type="dxa"/>
            <w:tcBorders>
              <w:top w:val="double" w:sz="6" w:space="0" w:color="000000"/>
            </w:tcBorders>
          </w:tcPr>
          <w:p>
            <w:pPr>
              <w:pStyle w:val="TableParagraph"/>
              <w:spacing w:line="214" w:lineRule="exact" w:before="42"/>
              <w:ind w:right="128"/>
              <w:jc w:val="right"/>
              <w:rPr>
                <w:sz w:val="20"/>
              </w:rPr>
            </w:pPr>
            <w:r>
              <w:rPr>
                <w:spacing w:val="-4"/>
                <w:sz w:val="20"/>
              </w:rPr>
              <w:t>-</w:t>
            </w:r>
            <w:r>
              <w:rPr>
                <w:spacing w:val="-2"/>
                <w:sz w:val="20"/>
              </w:rPr>
              <w:t>1.761366</w:t>
            </w:r>
          </w:p>
        </w:tc>
        <w:tc>
          <w:tcPr>
            <w:tcW w:w="1432" w:type="dxa"/>
            <w:tcBorders>
              <w:top w:val="double" w:sz="6" w:space="0" w:color="000000"/>
            </w:tcBorders>
          </w:tcPr>
          <w:p>
            <w:pPr>
              <w:pStyle w:val="TableParagraph"/>
              <w:spacing w:line="214" w:lineRule="exact" w:before="42"/>
              <w:ind w:left="311"/>
              <w:rPr>
                <w:sz w:val="20"/>
              </w:rPr>
            </w:pPr>
            <w:r>
              <w:rPr>
                <w:spacing w:val="-2"/>
                <w:sz w:val="20"/>
              </w:rPr>
              <w:t>0.219310</w:t>
            </w:r>
          </w:p>
        </w:tc>
        <w:tc>
          <w:tcPr>
            <w:tcW w:w="936" w:type="dxa"/>
            <w:tcBorders>
              <w:top w:val="double" w:sz="6" w:space="0" w:color="000000"/>
            </w:tcBorders>
          </w:tcPr>
          <w:p>
            <w:pPr>
              <w:pStyle w:val="TableParagraph"/>
              <w:spacing w:line="214" w:lineRule="exact" w:before="42"/>
              <w:ind w:right="110"/>
              <w:jc w:val="right"/>
              <w:rPr>
                <w:sz w:val="20"/>
              </w:rPr>
            </w:pPr>
            <w:r>
              <w:rPr>
                <w:spacing w:val="-4"/>
                <w:sz w:val="20"/>
              </w:rPr>
              <w:t>-</w:t>
            </w:r>
            <w:r>
              <w:rPr>
                <w:spacing w:val="-2"/>
                <w:sz w:val="20"/>
              </w:rPr>
              <w:t>8.031390</w:t>
            </w:r>
          </w:p>
        </w:tc>
        <w:tc>
          <w:tcPr>
            <w:tcW w:w="896" w:type="dxa"/>
            <w:tcBorders>
              <w:top w:val="double" w:sz="6" w:space="0" w:color="000000"/>
            </w:tcBorders>
          </w:tcPr>
          <w:p>
            <w:pPr>
              <w:pStyle w:val="TableParagraph"/>
              <w:spacing w:line="214" w:lineRule="exact" w:before="42"/>
              <w:ind w:right="26"/>
              <w:jc w:val="right"/>
              <w:rPr>
                <w:sz w:val="20"/>
              </w:rPr>
            </w:pPr>
            <w:r>
              <w:rPr>
                <w:spacing w:val="-2"/>
                <w:sz w:val="20"/>
              </w:rPr>
              <w:t>0.0000</w:t>
            </w:r>
          </w:p>
        </w:tc>
      </w:tr>
      <w:tr>
        <w:trPr>
          <w:trHeight w:val="229" w:hRule="atLeast"/>
        </w:trPr>
        <w:tc>
          <w:tcPr>
            <w:tcW w:w="1923" w:type="dxa"/>
          </w:tcPr>
          <w:p>
            <w:pPr>
              <w:pStyle w:val="TableParagraph"/>
              <w:spacing w:line="209" w:lineRule="exact"/>
              <w:ind w:left="264"/>
              <w:rPr>
                <w:sz w:val="20"/>
              </w:rPr>
            </w:pPr>
            <w:r>
              <w:rPr>
                <w:spacing w:val="-2"/>
                <w:sz w:val="20"/>
              </w:rPr>
              <w:t>D(NEXTAS(-</w:t>
            </w:r>
            <w:r>
              <w:rPr>
                <w:spacing w:val="-4"/>
                <w:sz w:val="20"/>
              </w:rPr>
              <w:t>1),2)</w:t>
            </w:r>
          </w:p>
        </w:tc>
        <w:tc>
          <w:tcPr>
            <w:tcW w:w="1299" w:type="dxa"/>
          </w:tcPr>
          <w:p>
            <w:pPr>
              <w:pStyle w:val="TableParagraph"/>
              <w:spacing w:line="209" w:lineRule="exact"/>
              <w:ind w:right="128"/>
              <w:jc w:val="right"/>
              <w:rPr>
                <w:sz w:val="20"/>
              </w:rPr>
            </w:pPr>
            <w:r>
              <w:rPr>
                <w:spacing w:val="-2"/>
                <w:sz w:val="20"/>
              </w:rPr>
              <w:t>0.506762</w:t>
            </w:r>
          </w:p>
        </w:tc>
        <w:tc>
          <w:tcPr>
            <w:tcW w:w="1432" w:type="dxa"/>
          </w:tcPr>
          <w:p>
            <w:pPr>
              <w:pStyle w:val="TableParagraph"/>
              <w:spacing w:line="209" w:lineRule="exact"/>
              <w:ind w:left="311"/>
              <w:rPr>
                <w:sz w:val="20"/>
              </w:rPr>
            </w:pPr>
            <w:r>
              <w:rPr>
                <w:spacing w:val="-2"/>
                <w:sz w:val="20"/>
              </w:rPr>
              <w:t>0.142436</w:t>
            </w:r>
          </w:p>
        </w:tc>
        <w:tc>
          <w:tcPr>
            <w:tcW w:w="936" w:type="dxa"/>
          </w:tcPr>
          <w:p>
            <w:pPr>
              <w:pStyle w:val="TableParagraph"/>
              <w:spacing w:line="209" w:lineRule="exact"/>
              <w:ind w:right="110"/>
              <w:jc w:val="right"/>
              <w:rPr>
                <w:sz w:val="20"/>
              </w:rPr>
            </w:pPr>
            <w:r>
              <w:rPr>
                <w:spacing w:val="-2"/>
                <w:sz w:val="20"/>
              </w:rPr>
              <w:t>3.557809</w:t>
            </w:r>
          </w:p>
        </w:tc>
        <w:tc>
          <w:tcPr>
            <w:tcW w:w="896" w:type="dxa"/>
          </w:tcPr>
          <w:p>
            <w:pPr>
              <w:pStyle w:val="TableParagraph"/>
              <w:spacing w:line="209" w:lineRule="exact"/>
              <w:ind w:right="26"/>
              <w:jc w:val="right"/>
              <w:rPr>
                <w:sz w:val="20"/>
              </w:rPr>
            </w:pPr>
            <w:r>
              <w:rPr>
                <w:spacing w:val="-2"/>
                <w:sz w:val="20"/>
              </w:rPr>
              <w:t>0.0011</w:t>
            </w:r>
          </w:p>
        </w:tc>
      </w:tr>
      <w:tr>
        <w:trPr>
          <w:trHeight w:val="224" w:hRule="atLeast"/>
        </w:trPr>
        <w:tc>
          <w:tcPr>
            <w:tcW w:w="1923" w:type="dxa"/>
            <w:tcBorders>
              <w:bottom w:val="double" w:sz="6" w:space="0" w:color="000000"/>
            </w:tcBorders>
          </w:tcPr>
          <w:p>
            <w:pPr>
              <w:pStyle w:val="TableParagraph"/>
              <w:spacing w:line="205" w:lineRule="exact"/>
              <w:ind w:left="121"/>
              <w:jc w:val="center"/>
              <w:rPr>
                <w:sz w:val="20"/>
              </w:rPr>
            </w:pPr>
            <w:r>
              <w:rPr>
                <w:spacing w:val="-10"/>
                <w:sz w:val="20"/>
              </w:rPr>
              <w:t>C</w:t>
            </w:r>
          </w:p>
        </w:tc>
        <w:tc>
          <w:tcPr>
            <w:tcW w:w="1299" w:type="dxa"/>
            <w:tcBorders>
              <w:bottom w:val="double" w:sz="6" w:space="0" w:color="000000"/>
            </w:tcBorders>
          </w:tcPr>
          <w:p>
            <w:pPr>
              <w:pStyle w:val="TableParagraph"/>
              <w:spacing w:line="205" w:lineRule="exact"/>
              <w:ind w:right="128"/>
              <w:jc w:val="right"/>
              <w:rPr>
                <w:sz w:val="20"/>
              </w:rPr>
            </w:pPr>
            <w:r>
              <w:rPr>
                <w:spacing w:val="-2"/>
                <w:sz w:val="20"/>
              </w:rPr>
              <w:t>0.448453</w:t>
            </w:r>
          </w:p>
        </w:tc>
        <w:tc>
          <w:tcPr>
            <w:tcW w:w="1432" w:type="dxa"/>
            <w:tcBorders>
              <w:bottom w:val="double" w:sz="6" w:space="0" w:color="000000"/>
            </w:tcBorders>
          </w:tcPr>
          <w:p>
            <w:pPr>
              <w:pStyle w:val="TableParagraph"/>
              <w:spacing w:line="205" w:lineRule="exact"/>
              <w:ind w:left="311"/>
              <w:rPr>
                <w:sz w:val="20"/>
              </w:rPr>
            </w:pPr>
            <w:r>
              <w:rPr>
                <w:spacing w:val="-2"/>
                <w:sz w:val="20"/>
              </w:rPr>
              <w:t>0.225792</w:t>
            </w:r>
          </w:p>
        </w:tc>
        <w:tc>
          <w:tcPr>
            <w:tcW w:w="936" w:type="dxa"/>
            <w:tcBorders>
              <w:bottom w:val="double" w:sz="6" w:space="0" w:color="000000"/>
            </w:tcBorders>
          </w:tcPr>
          <w:p>
            <w:pPr>
              <w:pStyle w:val="TableParagraph"/>
              <w:spacing w:line="205" w:lineRule="exact"/>
              <w:ind w:right="110"/>
              <w:jc w:val="right"/>
              <w:rPr>
                <w:sz w:val="20"/>
              </w:rPr>
            </w:pPr>
            <w:r>
              <w:rPr>
                <w:spacing w:val="-2"/>
                <w:sz w:val="20"/>
              </w:rPr>
              <w:t>1.986136</w:t>
            </w:r>
          </w:p>
        </w:tc>
        <w:tc>
          <w:tcPr>
            <w:tcW w:w="896" w:type="dxa"/>
            <w:tcBorders>
              <w:bottom w:val="double" w:sz="6" w:space="0" w:color="000000"/>
            </w:tcBorders>
          </w:tcPr>
          <w:p>
            <w:pPr>
              <w:pStyle w:val="TableParagraph"/>
              <w:spacing w:line="205" w:lineRule="exact"/>
              <w:ind w:right="26"/>
              <w:jc w:val="right"/>
              <w:rPr>
                <w:sz w:val="20"/>
              </w:rPr>
            </w:pPr>
            <w:r>
              <w:rPr>
                <w:spacing w:val="-2"/>
                <w:sz w:val="20"/>
              </w:rPr>
              <w:t>0.0547</w:t>
            </w:r>
          </w:p>
        </w:tc>
      </w:tr>
      <w:tr>
        <w:trPr>
          <w:trHeight w:val="276" w:hRule="atLeast"/>
        </w:trPr>
        <w:tc>
          <w:tcPr>
            <w:tcW w:w="1923" w:type="dxa"/>
            <w:tcBorders>
              <w:top w:val="double" w:sz="6" w:space="0" w:color="000000"/>
            </w:tcBorders>
          </w:tcPr>
          <w:p>
            <w:pPr>
              <w:pStyle w:val="TableParagraph"/>
              <w:spacing w:line="214" w:lineRule="exact" w:before="42"/>
              <w:ind w:left="36"/>
              <w:rPr>
                <w:sz w:val="20"/>
              </w:rPr>
            </w:pPr>
            <w:r>
              <w:rPr>
                <w:spacing w:val="-2"/>
                <w:sz w:val="20"/>
              </w:rPr>
              <w:t>R-squared</w:t>
            </w:r>
          </w:p>
        </w:tc>
        <w:tc>
          <w:tcPr>
            <w:tcW w:w="1299" w:type="dxa"/>
            <w:tcBorders>
              <w:top w:val="double" w:sz="6" w:space="0" w:color="000000"/>
            </w:tcBorders>
          </w:tcPr>
          <w:p>
            <w:pPr>
              <w:pStyle w:val="TableParagraph"/>
              <w:spacing w:line="214" w:lineRule="exact" w:before="42"/>
              <w:ind w:right="128"/>
              <w:jc w:val="right"/>
              <w:rPr>
                <w:sz w:val="20"/>
              </w:rPr>
            </w:pPr>
            <w:r>
              <w:rPr>
                <w:spacing w:val="-2"/>
                <w:sz w:val="20"/>
              </w:rPr>
              <w:t>0.693138</w:t>
            </w:r>
          </w:p>
        </w:tc>
        <w:tc>
          <w:tcPr>
            <w:tcW w:w="2368" w:type="dxa"/>
            <w:gridSpan w:val="2"/>
            <w:tcBorders>
              <w:top w:val="double" w:sz="6" w:space="0" w:color="000000"/>
            </w:tcBorders>
          </w:tcPr>
          <w:p>
            <w:pPr>
              <w:pStyle w:val="TableParagraph"/>
              <w:spacing w:line="214" w:lineRule="exact" w:before="42"/>
              <w:ind w:left="131"/>
              <w:rPr>
                <w:sz w:val="20"/>
              </w:rPr>
            </w:pPr>
            <w:r>
              <w:rPr>
                <w:sz w:val="20"/>
              </w:rPr>
              <w:t>Mean</w:t>
            </w:r>
            <w:r>
              <w:rPr>
                <w:spacing w:val="-7"/>
                <w:sz w:val="20"/>
              </w:rPr>
              <w:t> </w:t>
            </w:r>
            <w:r>
              <w:rPr>
                <w:sz w:val="20"/>
              </w:rPr>
              <w:t>dependent</w:t>
            </w:r>
            <w:r>
              <w:rPr>
                <w:spacing w:val="-7"/>
                <w:sz w:val="20"/>
              </w:rPr>
              <w:t> </w:t>
            </w:r>
            <w:r>
              <w:rPr>
                <w:spacing w:val="-5"/>
                <w:sz w:val="20"/>
              </w:rPr>
              <w:t>var</w:t>
            </w:r>
          </w:p>
        </w:tc>
        <w:tc>
          <w:tcPr>
            <w:tcW w:w="896" w:type="dxa"/>
            <w:tcBorders>
              <w:top w:val="double" w:sz="6" w:space="0" w:color="000000"/>
            </w:tcBorders>
          </w:tcPr>
          <w:p>
            <w:pPr>
              <w:pStyle w:val="TableParagraph"/>
              <w:spacing w:line="214" w:lineRule="exact" w:before="42"/>
              <w:ind w:right="26"/>
              <w:jc w:val="right"/>
              <w:rPr>
                <w:sz w:val="20"/>
              </w:rPr>
            </w:pPr>
            <w:r>
              <w:rPr>
                <w:spacing w:val="-2"/>
                <w:sz w:val="20"/>
              </w:rPr>
              <w:t>0.019413</w:t>
            </w:r>
          </w:p>
        </w:tc>
      </w:tr>
      <w:tr>
        <w:trPr>
          <w:trHeight w:val="229" w:hRule="atLeast"/>
        </w:trPr>
        <w:tc>
          <w:tcPr>
            <w:tcW w:w="1923" w:type="dxa"/>
          </w:tcPr>
          <w:p>
            <w:pPr>
              <w:pStyle w:val="TableParagraph"/>
              <w:spacing w:line="209" w:lineRule="exact"/>
              <w:ind w:left="36"/>
              <w:rPr>
                <w:sz w:val="20"/>
              </w:rPr>
            </w:pPr>
            <w:r>
              <w:rPr>
                <w:sz w:val="20"/>
              </w:rPr>
              <w:t>Adjusted</w:t>
            </w:r>
            <w:r>
              <w:rPr>
                <w:spacing w:val="-10"/>
                <w:sz w:val="20"/>
              </w:rPr>
              <w:t> </w:t>
            </w:r>
            <w:r>
              <w:rPr>
                <w:sz w:val="20"/>
              </w:rPr>
              <w:t>R-</w:t>
            </w:r>
            <w:r>
              <w:rPr>
                <w:spacing w:val="-2"/>
                <w:sz w:val="20"/>
              </w:rPr>
              <w:t>squared</w:t>
            </w:r>
          </w:p>
        </w:tc>
        <w:tc>
          <w:tcPr>
            <w:tcW w:w="1299" w:type="dxa"/>
          </w:tcPr>
          <w:p>
            <w:pPr>
              <w:pStyle w:val="TableParagraph"/>
              <w:spacing w:line="209" w:lineRule="exact"/>
              <w:ind w:right="128"/>
              <w:jc w:val="right"/>
              <w:rPr>
                <w:sz w:val="20"/>
              </w:rPr>
            </w:pPr>
            <w:r>
              <w:rPr>
                <w:spacing w:val="-2"/>
                <w:sz w:val="20"/>
              </w:rPr>
              <w:t>0.676090</w:t>
            </w:r>
          </w:p>
        </w:tc>
        <w:tc>
          <w:tcPr>
            <w:tcW w:w="2368" w:type="dxa"/>
            <w:gridSpan w:val="2"/>
          </w:tcPr>
          <w:p>
            <w:pPr>
              <w:pStyle w:val="TableParagraph"/>
              <w:spacing w:line="209" w:lineRule="exact"/>
              <w:ind w:left="131"/>
              <w:rPr>
                <w:sz w:val="20"/>
              </w:rPr>
            </w:pPr>
            <w:r>
              <w:rPr>
                <w:sz w:val="20"/>
              </w:rPr>
              <w:t>S.D.</w:t>
            </w:r>
            <w:r>
              <w:rPr>
                <w:spacing w:val="-5"/>
                <w:sz w:val="20"/>
              </w:rPr>
              <w:t> </w:t>
            </w:r>
            <w:r>
              <w:rPr>
                <w:sz w:val="20"/>
              </w:rPr>
              <w:t>dependent</w:t>
            </w:r>
            <w:r>
              <w:rPr>
                <w:spacing w:val="-6"/>
                <w:sz w:val="20"/>
              </w:rPr>
              <w:t> </w:t>
            </w:r>
            <w:r>
              <w:rPr>
                <w:spacing w:val="-5"/>
                <w:sz w:val="20"/>
              </w:rPr>
              <w:t>var</w:t>
            </w:r>
          </w:p>
        </w:tc>
        <w:tc>
          <w:tcPr>
            <w:tcW w:w="896" w:type="dxa"/>
          </w:tcPr>
          <w:p>
            <w:pPr>
              <w:pStyle w:val="TableParagraph"/>
              <w:spacing w:line="209" w:lineRule="exact"/>
              <w:ind w:right="26"/>
              <w:jc w:val="right"/>
              <w:rPr>
                <w:sz w:val="20"/>
              </w:rPr>
            </w:pPr>
            <w:r>
              <w:rPr>
                <w:spacing w:val="-2"/>
                <w:sz w:val="20"/>
              </w:rPr>
              <w:t>2.400686</w:t>
            </w:r>
          </w:p>
        </w:tc>
      </w:tr>
      <w:tr>
        <w:trPr>
          <w:trHeight w:val="230" w:hRule="atLeast"/>
        </w:trPr>
        <w:tc>
          <w:tcPr>
            <w:tcW w:w="1923" w:type="dxa"/>
          </w:tcPr>
          <w:p>
            <w:pPr>
              <w:pStyle w:val="TableParagraph"/>
              <w:spacing w:line="210" w:lineRule="exact"/>
              <w:ind w:left="36"/>
              <w:rPr>
                <w:sz w:val="20"/>
              </w:rPr>
            </w:pPr>
            <w:r>
              <w:rPr>
                <w:sz w:val="20"/>
              </w:rPr>
              <w:t>S.E.</w:t>
            </w:r>
            <w:r>
              <w:rPr>
                <w:spacing w:val="-3"/>
                <w:sz w:val="20"/>
              </w:rPr>
              <w:t> </w:t>
            </w:r>
            <w:r>
              <w:rPr>
                <w:sz w:val="20"/>
              </w:rPr>
              <w:t>of</w:t>
            </w:r>
            <w:r>
              <w:rPr>
                <w:spacing w:val="-3"/>
                <w:sz w:val="20"/>
              </w:rPr>
              <w:t> </w:t>
            </w:r>
            <w:r>
              <w:rPr>
                <w:spacing w:val="-2"/>
                <w:sz w:val="20"/>
              </w:rPr>
              <w:t>regression</w:t>
            </w:r>
          </w:p>
        </w:tc>
        <w:tc>
          <w:tcPr>
            <w:tcW w:w="1299" w:type="dxa"/>
          </w:tcPr>
          <w:p>
            <w:pPr>
              <w:pStyle w:val="TableParagraph"/>
              <w:spacing w:line="210" w:lineRule="exact"/>
              <w:ind w:right="128"/>
              <w:jc w:val="right"/>
              <w:rPr>
                <w:sz w:val="20"/>
              </w:rPr>
            </w:pPr>
            <w:r>
              <w:rPr>
                <w:spacing w:val="-2"/>
                <w:sz w:val="20"/>
              </w:rPr>
              <w:t>1.366304</w:t>
            </w:r>
          </w:p>
        </w:tc>
        <w:tc>
          <w:tcPr>
            <w:tcW w:w="2368" w:type="dxa"/>
            <w:gridSpan w:val="2"/>
          </w:tcPr>
          <w:p>
            <w:pPr>
              <w:pStyle w:val="TableParagraph"/>
              <w:spacing w:line="210" w:lineRule="exact"/>
              <w:ind w:left="131"/>
              <w:rPr>
                <w:sz w:val="20"/>
              </w:rPr>
            </w:pPr>
            <w:r>
              <w:rPr>
                <w:sz w:val="20"/>
              </w:rPr>
              <w:t>Akaike</w:t>
            </w:r>
            <w:r>
              <w:rPr>
                <w:spacing w:val="-8"/>
                <w:sz w:val="20"/>
              </w:rPr>
              <w:t> </w:t>
            </w:r>
            <w:r>
              <w:rPr>
                <w:sz w:val="20"/>
              </w:rPr>
              <w:t>info</w:t>
            </w:r>
            <w:r>
              <w:rPr>
                <w:spacing w:val="-7"/>
                <w:sz w:val="20"/>
              </w:rPr>
              <w:t> </w:t>
            </w:r>
            <w:r>
              <w:rPr>
                <w:spacing w:val="-2"/>
                <w:sz w:val="20"/>
              </w:rPr>
              <w:t>criterion</w:t>
            </w:r>
          </w:p>
        </w:tc>
        <w:tc>
          <w:tcPr>
            <w:tcW w:w="896" w:type="dxa"/>
          </w:tcPr>
          <w:p>
            <w:pPr>
              <w:pStyle w:val="TableParagraph"/>
              <w:spacing w:line="210" w:lineRule="exact"/>
              <w:ind w:right="26"/>
              <w:jc w:val="right"/>
              <w:rPr>
                <w:sz w:val="20"/>
              </w:rPr>
            </w:pPr>
            <w:r>
              <w:rPr>
                <w:spacing w:val="-2"/>
                <w:sz w:val="20"/>
              </w:rPr>
              <w:t>3.535899</w:t>
            </w:r>
          </w:p>
        </w:tc>
      </w:tr>
      <w:tr>
        <w:trPr>
          <w:trHeight w:val="230" w:hRule="atLeast"/>
        </w:trPr>
        <w:tc>
          <w:tcPr>
            <w:tcW w:w="1923" w:type="dxa"/>
          </w:tcPr>
          <w:p>
            <w:pPr>
              <w:pStyle w:val="TableParagraph"/>
              <w:spacing w:line="210" w:lineRule="exact"/>
              <w:ind w:left="36"/>
              <w:rPr>
                <w:sz w:val="20"/>
              </w:rPr>
            </w:pPr>
            <w:r>
              <w:rPr>
                <w:sz w:val="20"/>
              </w:rPr>
              <w:t>Sum</w:t>
            </w:r>
            <w:r>
              <w:rPr>
                <w:spacing w:val="-8"/>
                <w:sz w:val="20"/>
              </w:rPr>
              <w:t> </w:t>
            </w:r>
            <w:r>
              <w:rPr>
                <w:sz w:val="20"/>
              </w:rPr>
              <w:t>squared</w:t>
            </w:r>
            <w:r>
              <w:rPr>
                <w:spacing w:val="-4"/>
                <w:sz w:val="20"/>
              </w:rPr>
              <w:t> </w:t>
            </w:r>
            <w:r>
              <w:rPr>
                <w:spacing w:val="-2"/>
                <w:sz w:val="20"/>
              </w:rPr>
              <w:t>resid</w:t>
            </w:r>
          </w:p>
        </w:tc>
        <w:tc>
          <w:tcPr>
            <w:tcW w:w="1299" w:type="dxa"/>
          </w:tcPr>
          <w:p>
            <w:pPr>
              <w:pStyle w:val="TableParagraph"/>
              <w:spacing w:line="210" w:lineRule="exact"/>
              <w:ind w:right="128"/>
              <w:jc w:val="right"/>
              <w:rPr>
                <w:sz w:val="20"/>
              </w:rPr>
            </w:pPr>
            <w:r>
              <w:rPr>
                <w:spacing w:val="-2"/>
                <w:sz w:val="20"/>
              </w:rPr>
              <w:t>67.20432</w:t>
            </w:r>
          </w:p>
        </w:tc>
        <w:tc>
          <w:tcPr>
            <w:tcW w:w="2368" w:type="dxa"/>
            <w:gridSpan w:val="2"/>
          </w:tcPr>
          <w:p>
            <w:pPr>
              <w:pStyle w:val="TableParagraph"/>
              <w:spacing w:line="210" w:lineRule="exact"/>
              <w:ind w:left="131"/>
              <w:rPr>
                <w:sz w:val="20"/>
              </w:rPr>
            </w:pPr>
            <w:r>
              <w:rPr>
                <w:sz w:val="20"/>
              </w:rPr>
              <w:t>Schwarz</w:t>
            </w:r>
            <w:r>
              <w:rPr>
                <w:spacing w:val="-8"/>
                <w:sz w:val="20"/>
              </w:rPr>
              <w:t> </w:t>
            </w:r>
            <w:r>
              <w:rPr>
                <w:spacing w:val="-2"/>
                <w:sz w:val="20"/>
              </w:rPr>
              <w:t>criterion</w:t>
            </w:r>
          </w:p>
        </w:tc>
        <w:tc>
          <w:tcPr>
            <w:tcW w:w="896" w:type="dxa"/>
          </w:tcPr>
          <w:p>
            <w:pPr>
              <w:pStyle w:val="TableParagraph"/>
              <w:spacing w:line="210" w:lineRule="exact"/>
              <w:ind w:right="26"/>
              <w:jc w:val="right"/>
              <w:rPr>
                <w:sz w:val="20"/>
              </w:rPr>
            </w:pPr>
            <w:r>
              <w:rPr>
                <w:spacing w:val="-2"/>
                <w:sz w:val="20"/>
              </w:rPr>
              <w:t>3.663865</w:t>
            </w:r>
          </w:p>
        </w:tc>
      </w:tr>
      <w:tr>
        <w:trPr>
          <w:trHeight w:val="230" w:hRule="atLeast"/>
        </w:trPr>
        <w:tc>
          <w:tcPr>
            <w:tcW w:w="1923" w:type="dxa"/>
          </w:tcPr>
          <w:p>
            <w:pPr>
              <w:pStyle w:val="TableParagraph"/>
              <w:spacing w:line="210" w:lineRule="exact"/>
              <w:ind w:left="36"/>
              <w:rPr>
                <w:sz w:val="20"/>
              </w:rPr>
            </w:pPr>
            <w:r>
              <w:rPr>
                <w:sz w:val="20"/>
              </w:rPr>
              <w:t>Log</w:t>
            </w:r>
            <w:r>
              <w:rPr>
                <w:spacing w:val="-6"/>
                <w:sz w:val="20"/>
              </w:rPr>
              <w:t> </w:t>
            </w:r>
            <w:r>
              <w:rPr>
                <w:spacing w:val="-2"/>
                <w:sz w:val="20"/>
              </w:rPr>
              <w:t>likelihood</w:t>
            </w:r>
          </w:p>
        </w:tc>
        <w:tc>
          <w:tcPr>
            <w:tcW w:w="1299" w:type="dxa"/>
          </w:tcPr>
          <w:p>
            <w:pPr>
              <w:pStyle w:val="TableParagraph"/>
              <w:spacing w:line="210" w:lineRule="exact"/>
              <w:ind w:right="128"/>
              <w:jc w:val="right"/>
              <w:rPr>
                <w:sz w:val="20"/>
              </w:rPr>
            </w:pPr>
            <w:r>
              <w:rPr>
                <w:spacing w:val="-4"/>
                <w:sz w:val="20"/>
              </w:rPr>
              <w:t>-</w:t>
            </w:r>
            <w:r>
              <w:rPr>
                <w:spacing w:val="-2"/>
                <w:sz w:val="20"/>
              </w:rPr>
              <w:t>65.95003</w:t>
            </w:r>
          </w:p>
        </w:tc>
        <w:tc>
          <w:tcPr>
            <w:tcW w:w="1432" w:type="dxa"/>
          </w:tcPr>
          <w:p>
            <w:pPr>
              <w:pStyle w:val="TableParagraph"/>
              <w:spacing w:line="210" w:lineRule="exact"/>
              <w:ind w:left="131"/>
              <w:rPr>
                <w:sz w:val="20"/>
              </w:rPr>
            </w:pPr>
            <w:r>
              <w:rPr>
                <w:spacing w:val="-4"/>
                <w:sz w:val="20"/>
              </w:rPr>
              <w:t>F-</w:t>
            </w:r>
            <w:r>
              <w:rPr>
                <w:spacing w:val="-2"/>
                <w:sz w:val="20"/>
              </w:rPr>
              <w:t>statistic</w:t>
            </w:r>
          </w:p>
        </w:tc>
        <w:tc>
          <w:tcPr>
            <w:tcW w:w="936" w:type="dxa"/>
          </w:tcPr>
          <w:p>
            <w:pPr>
              <w:pStyle w:val="TableParagraph"/>
              <w:rPr>
                <w:sz w:val="16"/>
              </w:rPr>
            </w:pPr>
          </w:p>
        </w:tc>
        <w:tc>
          <w:tcPr>
            <w:tcW w:w="896" w:type="dxa"/>
          </w:tcPr>
          <w:p>
            <w:pPr>
              <w:pStyle w:val="TableParagraph"/>
              <w:spacing w:line="210" w:lineRule="exact"/>
              <w:ind w:right="26"/>
              <w:jc w:val="right"/>
              <w:rPr>
                <w:sz w:val="20"/>
              </w:rPr>
            </w:pPr>
            <w:r>
              <w:rPr>
                <w:spacing w:val="-2"/>
                <w:sz w:val="20"/>
              </w:rPr>
              <w:t>40.65833</w:t>
            </w:r>
          </w:p>
        </w:tc>
      </w:tr>
      <w:tr>
        <w:trPr>
          <w:trHeight w:val="265" w:hRule="atLeast"/>
        </w:trPr>
        <w:tc>
          <w:tcPr>
            <w:tcW w:w="1923" w:type="dxa"/>
            <w:tcBorders>
              <w:bottom w:val="double" w:sz="6" w:space="0" w:color="000000"/>
            </w:tcBorders>
          </w:tcPr>
          <w:p>
            <w:pPr>
              <w:pStyle w:val="TableParagraph"/>
              <w:spacing w:line="226" w:lineRule="exact"/>
              <w:ind w:left="36"/>
              <w:rPr>
                <w:sz w:val="20"/>
              </w:rPr>
            </w:pPr>
            <w:r>
              <w:rPr>
                <w:sz w:val="20"/>
              </w:rPr>
              <w:t>Durbin-Watson</w:t>
            </w:r>
            <w:r>
              <w:rPr>
                <w:spacing w:val="-12"/>
                <w:sz w:val="20"/>
              </w:rPr>
              <w:t> </w:t>
            </w:r>
            <w:r>
              <w:rPr>
                <w:spacing w:val="-4"/>
                <w:sz w:val="20"/>
              </w:rPr>
              <w:t>stat</w:t>
            </w:r>
          </w:p>
        </w:tc>
        <w:tc>
          <w:tcPr>
            <w:tcW w:w="1299" w:type="dxa"/>
          </w:tcPr>
          <w:p>
            <w:pPr>
              <w:pStyle w:val="TableParagraph"/>
              <w:spacing w:line="226" w:lineRule="exact"/>
              <w:ind w:right="128"/>
              <w:jc w:val="right"/>
              <w:rPr>
                <w:sz w:val="20"/>
              </w:rPr>
            </w:pPr>
            <w:r>
              <w:rPr>
                <w:spacing w:val="-2"/>
                <w:sz w:val="20"/>
              </w:rPr>
              <w:t>2.092632</w:t>
            </w:r>
          </w:p>
        </w:tc>
        <w:tc>
          <w:tcPr>
            <w:tcW w:w="1432" w:type="dxa"/>
            <w:tcBorders>
              <w:bottom w:val="double" w:sz="6" w:space="0" w:color="000000"/>
            </w:tcBorders>
          </w:tcPr>
          <w:p>
            <w:pPr>
              <w:pStyle w:val="TableParagraph"/>
              <w:spacing w:line="226" w:lineRule="exact"/>
              <w:ind w:left="131"/>
              <w:rPr>
                <w:sz w:val="20"/>
              </w:rPr>
            </w:pPr>
            <w:r>
              <w:rPr>
                <w:spacing w:val="-2"/>
                <w:sz w:val="20"/>
              </w:rPr>
              <w:t>Prob(F-statistic)</w:t>
            </w:r>
          </w:p>
        </w:tc>
        <w:tc>
          <w:tcPr>
            <w:tcW w:w="936" w:type="dxa"/>
            <w:tcBorders>
              <w:bottom w:val="single" w:sz="6" w:space="0" w:color="000000"/>
            </w:tcBorders>
          </w:tcPr>
          <w:p>
            <w:pPr>
              <w:pStyle w:val="TableParagraph"/>
              <w:rPr>
                <w:sz w:val="18"/>
              </w:rPr>
            </w:pPr>
          </w:p>
        </w:tc>
        <w:tc>
          <w:tcPr>
            <w:tcW w:w="896" w:type="dxa"/>
            <w:tcBorders>
              <w:bottom w:val="double" w:sz="6" w:space="0" w:color="000000"/>
            </w:tcBorders>
          </w:tcPr>
          <w:p>
            <w:pPr>
              <w:pStyle w:val="TableParagraph"/>
              <w:spacing w:line="226" w:lineRule="exact"/>
              <w:ind w:right="26"/>
              <w:jc w:val="right"/>
              <w:rPr>
                <w:sz w:val="20"/>
              </w:rPr>
            </w:pPr>
            <w:r>
              <w:rPr>
                <w:spacing w:val="-2"/>
                <w:sz w:val="20"/>
              </w:rPr>
              <w:t>0.000000</w:t>
            </w:r>
          </w:p>
        </w:tc>
      </w:tr>
    </w:tbl>
    <w:p>
      <w:pPr>
        <w:spacing w:before="15" w:after="3"/>
        <w:ind w:left="711" w:right="0" w:firstLine="0"/>
        <w:jc w:val="left"/>
        <w:rPr>
          <w:sz w:val="20"/>
        </w:rPr>
      </w:pPr>
      <w:r>
        <w:rPr>
          <w:sz w:val="20"/>
        </w:rPr>
        <w:t>ECM</w:t>
      </w:r>
      <w:r>
        <w:rPr>
          <w:spacing w:val="-4"/>
          <w:sz w:val="20"/>
        </w:rPr>
        <w:t> </w:t>
      </w:r>
      <w:r>
        <w:rPr>
          <w:sz w:val="20"/>
        </w:rPr>
        <w:t>@</w:t>
      </w:r>
      <w:r>
        <w:rPr>
          <w:spacing w:val="-3"/>
          <w:sz w:val="20"/>
        </w:rPr>
        <w:t> </w:t>
      </w:r>
      <w:r>
        <w:rPr>
          <w:spacing w:val="-4"/>
          <w:sz w:val="20"/>
        </w:rPr>
        <w:t>LEVEL</w:t>
      </w:r>
    </w:p>
    <w:tbl>
      <w:tblPr>
        <w:tblW w:w="0" w:type="auto"/>
        <w:jc w:val="left"/>
        <w:tblInd w:w="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47"/>
        <w:gridCol w:w="1375"/>
        <w:gridCol w:w="1432"/>
        <w:gridCol w:w="904"/>
        <w:gridCol w:w="929"/>
      </w:tblGrid>
      <w:tr>
        <w:trPr>
          <w:trHeight w:val="225" w:hRule="atLeast"/>
        </w:trPr>
        <w:tc>
          <w:tcPr>
            <w:tcW w:w="1847" w:type="dxa"/>
          </w:tcPr>
          <w:p>
            <w:pPr>
              <w:pStyle w:val="TableParagraph"/>
              <w:spacing w:line="205" w:lineRule="exact"/>
              <w:ind w:left="36"/>
              <w:rPr>
                <w:sz w:val="20"/>
              </w:rPr>
            </w:pPr>
            <w:r>
              <w:rPr>
                <w:sz w:val="20"/>
              </w:rPr>
              <w:t>ADF</w:t>
            </w:r>
            <w:r>
              <w:rPr>
                <w:spacing w:val="-4"/>
                <w:sz w:val="20"/>
              </w:rPr>
              <w:t> </w:t>
            </w:r>
            <w:r>
              <w:rPr>
                <w:sz w:val="20"/>
              </w:rPr>
              <w:t>Test</w:t>
            </w:r>
            <w:r>
              <w:rPr>
                <w:spacing w:val="-4"/>
                <w:sz w:val="20"/>
              </w:rPr>
              <w:t> </w:t>
            </w:r>
            <w:r>
              <w:rPr>
                <w:spacing w:val="-2"/>
                <w:sz w:val="20"/>
              </w:rPr>
              <w:t>Statistic</w:t>
            </w:r>
          </w:p>
        </w:tc>
        <w:tc>
          <w:tcPr>
            <w:tcW w:w="1375" w:type="dxa"/>
          </w:tcPr>
          <w:p>
            <w:pPr>
              <w:pStyle w:val="TableParagraph"/>
              <w:spacing w:line="205" w:lineRule="exact"/>
              <w:ind w:left="219"/>
              <w:rPr>
                <w:sz w:val="20"/>
              </w:rPr>
            </w:pPr>
            <w:r>
              <w:rPr>
                <w:spacing w:val="-4"/>
                <w:sz w:val="20"/>
              </w:rPr>
              <w:t>-</w:t>
            </w:r>
            <w:r>
              <w:rPr>
                <w:spacing w:val="-2"/>
                <w:sz w:val="20"/>
              </w:rPr>
              <w:t>4.155898</w:t>
            </w:r>
          </w:p>
        </w:tc>
        <w:tc>
          <w:tcPr>
            <w:tcW w:w="2336" w:type="dxa"/>
            <w:gridSpan w:val="2"/>
          </w:tcPr>
          <w:p>
            <w:pPr>
              <w:pStyle w:val="TableParagraph"/>
              <w:spacing w:line="205" w:lineRule="exact"/>
              <w:ind w:left="131"/>
              <w:rPr>
                <w:sz w:val="20"/>
              </w:rPr>
            </w:pPr>
            <w:r>
              <w:rPr>
                <w:sz w:val="20"/>
              </w:rPr>
              <w:t>1%</w:t>
            </w:r>
            <w:r>
              <w:rPr>
                <w:spacing w:val="68"/>
                <w:w w:val="150"/>
                <w:sz w:val="20"/>
              </w:rPr>
              <w:t> </w:t>
            </w:r>
            <w:r>
              <w:rPr>
                <w:sz w:val="20"/>
              </w:rPr>
              <w:t>Critical</w:t>
            </w:r>
            <w:r>
              <w:rPr>
                <w:spacing w:val="-2"/>
                <w:sz w:val="20"/>
              </w:rPr>
              <w:t> Value*</w:t>
            </w:r>
          </w:p>
        </w:tc>
        <w:tc>
          <w:tcPr>
            <w:tcW w:w="929" w:type="dxa"/>
          </w:tcPr>
          <w:p>
            <w:pPr>
              <w:pStyle w:val="TableParagraph"/>
              <w:spacing w:line="205" w:lineRule="exact"/>
              <w:ind w:right="27"/>
              <w:jc w:val="right"/>
              <w:rPr>
                <w:sz w:val="20"/>
              </w:rPr>
            </w:pPr>
            <w:r>
              <w:rPr>
                <w:spacing w:val="-4"/>
                <w:sz w:val="20"/>
              </w:rPr>
              <w:t>-</w:t>
            </w:r>
            <w:r>
              <w:rPr>
                <w:spacing w:val="-2"/>
                <w:sz w:val="20"/>
              </w:rPr>
              <w:t>3.6019</w:t>
            </w:r>
          </w:p>
        </w:tc>
      </w:tr>
      <w:tr>
        <w:trPr>
          <w:trHeight w:val="229" w:hRule="atLeast"/>
        </w:trPr>
        <w:tc>
          <w:tcPr>
            <w:tcW w:w="1847" w:type="dxa"/>
          </w:tcPr>
          <w:p>
            <w:pPr>
              <w:pStyle w:val="TableParagraph"/>
              <w:rPr>
                <w:sz w:val="16"/>
              </w:rPr>
            </w:pPr>
          </w:p>
        </w:tc>
        <w:tc>
          <w:tcPr>
            <w:tcW w:w="1375" w:type="dxa"/>
          </w:tcPr>
          <w:p>
            <w:pPr>
              <w:pStyle w:val="TableParagraph"/>
              <w:rPr>
                <w:sz w:val="16"/>
              </w:rPr>
            </w:pPr>
          </w:p>
        </w:tc>
        <w:tc>
          <w:tcPr>
            <w:tcW w:w="2336" w:type="dxa"/>
            <w:gridSpan w:val="2"/>
          </w:tcPr>
          <w:p>
            <w:pPr>
              <w:pStyle w:val="TableParagraph"/>
              <w:spacing w:line="209" w:lineRule="exact"/>
              <w:ind w:left="131"/>
              <w:rPr>
                <w:sz w:val="20"/>
              </w:rPr>
            </w:pPr>
            <w:r>
              <w:rPr>
                <w:sz w:val="20"/>
              </w:rPr>
              <w:t>5%</w:t>
            </w:r>
            <w:r>
              <w:rPr>
                <w:spacing w:val="68"/>
                <w:w w:val="150"/>
                <w:sz w:val="20"/>
              </w:rPr>
              <w:t> </w:t>
            </w:r>
            <w:r>
              <w:rPr>
                <w:sz w:val="20"/>
              </w:rPr>
              <w:t>Critical</w:t>
            </w:r>
            <w:r>
              <w:rPr>
                <w:spacing w:val="-2"/>
                <w:sz w:val="20"/>
              </w:rPr>
              <w:t> </w:t>
            </w:r>
            <w:r>
              <w:rPr>
                <w:spacing w:val="-4"/>
                <w:sz w:val="20"/>
              </w:rPr>
              <w:t>Value</w:t>
            </w:r>
          </w:p>
        </w:tc>
        <w:tc>
          <w:tcPr>
            <w:tcW w:w="929" w:type="dxa"/>
          </w:tcPr>
          <w:p>
            <w:pPr>
              <w:pStyle w:val="TableParagraph"/>
              <w:spacing w:line="209" w:lineRule="exact"/>
              <w:ind w:right="27"/>
              <w:jc w:val="right"/>
              <w:rPr>
                <w:sz w:val="20"/>
              </w:rPr>
            </w:pPr>
            <w:r>
              <w:rPr>
                <w:spacing w:val="-4"/>
                <w:sz w:val="20"/>
              </w:rPr>
              <w:t>-</w:t>
            </w:r>
            <w:r>
              <w:rPr>
                <w:spacing w:val="-2"/>
                <w:sz w:val="20"/>
              </w:rPr>
              <w:t>2.9358</w:t>
            </w:r>
          </w:p>
        </w:tc>
      </w:tr>
      <w:tr>
        <w:trPr>
          <w:trHeight w:val="223" w:hRule="atLeast"/>
        </w:trPr>
        <w:tc>
          <w:tcPr>
            <w:tcW w:w="1847" w:type="dxa"/>
            <w:tcBorders>
              <w:bottom w:val="double" w:sz="6" w:space="0" w:color="000000"/>
            </w:tcBorders>
          </w:tcPr>
          <w:p>
            <w:pPr>
              <w:pStyle w:val="TableParagraph"/>
              <w:rPr>
                <w:sz w:val="14"/>
              </w:rPr>
            </w:pPr>
          </w:p>
        </w:tc>
        <w:tc>
          <w:tcPr>
            <w:tcW w:w="1375" w:type="dxa"/>
            <w:tcBorders>
              <w:bottom w:val="double" w:sz="6" w:space="0" w:color="000000"/>
            </w:tcBorders>
          </w:tcPr>
          <w:p>
            <w:pPr>
              <w:pStyle w:val="TableParagraph"/>
              <w:rPr>
                <w:sz w:val="14"/>
              </w:rPr>
            </w:pPr>
          </w:p>
        </w:tc>
        <w:tc>
          <w:tcPr>
            <w:tcW w:w="2336" w:type="dxa"/>
            <w:gridSpan w:val="2"/>
            <w:tcBorders>
              <w:bottom w:val="double" w:sz="6" w:space="0" w:color="000000"/>
            </w:tcBorders>
          </w:tcPr>
          <w:p>
            <w:pPr>
              <w:pStyle w:val="TableParagraph"/>
              <w:spacing w:line="204" w:lineRule="exact"/>
              <w:ind w:left="131"/>
              <w:rPr>
                <w:sz w:val="20"/>
              </w:rPr>
            </w:pPr>
            <w:r>
              <w:rPr>
                <w:sz w:val="20"/>
              </w:rPr>
              <w:t>10%</w:t>
            </w:r>
            <w:r>
              <w:rPr>
                <w:spacing w:val="-6"/>
                <w:sz w:val="20"/>
              </w:rPr>
              <w:t> </w:t>
            </w:r>
            <w:r>
              <w:rPr>
                <w:sz w:val="20"/>
              </w:rPr>
              <w:t>Critical</w:t>
            </w:r>
            <w:r>
              <w:rPr>
                <w:spacing w:val="-4"/>
                <w:sz w:val="20"/>
              </w:rPr>
              <w:t> </w:t>
            </w:r>
            <w:r>
              <w:rPr>
                <w:spacing w:val="-2"/>
                <w:sz w:val="20"/>
              </w:rPr>
              <w:t>Value</w:t>
            </w:r>
          </w:p>
        </w:tc>
        <w:tc>
          <w:tcPr>
            <w:tcW w:w="929" w:type="dxa"/>
            <w:tcBorders>
              <w:bottom w:val="double" w:sz="6" w:space="0" w:color="000000"/>
            </w:tcBorders>
          </w:tcPr>
          <w:p>
            <w:pPr>
              <w:pStyle w:val="TableParagraph"/>
              <w:spacing w:line="204" w:lineRule="exact"/>
              <w:ind w:right="27"/>
              <w:jc w:val="right"/>
              <w:rPr>
                <w:sz w:val="20"/>
              </w:rPr>
            </w:pPr>
            <w:r>
              <w:rPr>
                <w:spacing w:val="-4"/>
                <w:sz w:val="20"/>
              </w:rPr>
              <w:t>-</w:t>
            </w:r>
            <w:r>
              <w:rPr>
                <w:spacing w:val="-2"/>
                <w:sz w:val="20"/>
              </w:rPr>
              <w:t>2.6059</w:t>
            </w:r>
          </w:p>
        </w:tc>
      </w:tr>
      <w:tr>
        <w:trPr>
          <w:trHeight w:val="506" w:hRule="atLeast"/>
        </w:trPr>
        <w:tc>
          <w:tcPr>
            <w:tcW w:w="6487" w:type="dxa"/>
            <w:gridSpan w:val="5"/>
            <w:tcBorders>
              <w:top w:val="double" w:sz="6" w:space="0" w:color="000000"/>
            </w:tcBorders>
          </w:tcPr>
          <w:p>
            <w:pPr>
              <w:pStyle w:val="TableParagraph"/>
              <w:spacing w:before="42"/>
              <w:ind w:left="36"/>
              <w:rPr>
                <w:sz w:val="20"/>
              </w:rPr>
            </w:pPr>
            <w:r>
              <w:rPr>
                <w:sz w:val="20"/>
              </w:rPr>
              <w:t>*MacKinnon</w:t>
            </w:r>
            <w:r>
              <w:rPr>
                <w:spacing w:val="-6"/>
                <w:sz w:val="20"/>
              </w:rPr>
              <w:t> </w:t>
            </w:r>
            <w:r>
              <w:rPr>
                <w:sz w:val="20"/>
              </w:rPr>
              <w:t>critical</w:t>
            </w:r>
            <w:r>
              <w:rPr>
                <w:spacing w:val="-4"/>
                <w:sz w:val="20"/>
              </w:rPr>
              <w:t> </w:t>
            </w:r>
            <w:r>
              <w:rPr>
                <w:sz w:val="20"/>
              </w:rPr>
              <w:t>values</w:t>
            </w:r>
            <w:r>
              <w:rPr>
                <w:spacing w:val="-6"/>
                <w:sz w:val="20"/>
              </w:rPr>
              <w:t> </w:t>
            </w:r>
            <w:r>
              <w:rPr>
                <w:sz w:val="20"/>
              </w:rPr>
              <w:t>for</w:t>
            </w:r>
            <w:r>
              <w:rPr>
                <w:spacing w:val="-4"/>
                <w:sz w:val="20"/>
              </w:rPr>
              <w:t> </w:t>
            </w:r>
            <w:r>
              <w:rPr>
                <w:sz w:val="20"/>
              </w:rPr>
              <w:t>rejection</w:t>
            </w:r>
            <w:r>
              <w:rPr>
                <w:spacing w:val="-5"/>
                <w:sz w:val="20"/>
              </w:rPr>
              <w:t> </w:t>
            </w:r>
            <w:r>
              <w:rPr>
                <w:sz w:val="20"/>
              </w:rPr>
              <w:t>of</w:t>
            </w:r>
            <w:r>
              <w:rPr>
                <w:spacing w:val="-7"/>
                <w:sz w:val="20"/>
              </w:rPr>
              <w:t> </w:t>
            </w:r>
            <w:r>
              <w:rPr>
                <w:sz w:val="20"/>
              </w:rPr>
              <w:t>hypothesis</w:t>
            </w:r>
            <w:r>
              <w:rPr>
                <w:spacing w:val="-5"/>
                <w:sz w:val="20"/>
              </w:rPr>
              <w:t> </w:t>
            </w:r>
            <w:r>
              <w:rPr>
                <w:sz w:val="20"/>
              </w:rPr>
              <w:t>of</w:t>
            </w:r>
            <w:r>
              <w:rPr>
                <w:spacing w:val="-6"/>
                <w:sz w:val="20"/>
              </w:rPr>
              <w:t> </w:t>
            </w:r>
            <w:r>
              <w:rPr>
                <w:sz w:val="20"/>
              </w:rPr>
              <w:t>a</w:t>
            </w:r>
            <w:r>
              <w:rPr>
                <w:spacing w:val="-5"/>
                <w:sz w:val="20"/>
              </w:rPr>
              <w:t> </w:t>
            </w:r>
            <w:r>
              <w:rPr>
                <w:sz w:val="20"/>
              </w:rPr>
              <w:t>unit</w:t>
            </w:r>
            <w:r>
              <w:rPr>
                <w:spacing w:val="2"/>
                <w:sz w:val="20"/>
              </w:rPr>
              <w:t> </w:t>
            </w:r>
            <w:r>
              <w:rPr>
                <w:spacing w:val="-2"/>
                <w:sz w:val="20"/>
              </w:rPr>
              <w:t>root.</w:t>
            </w:r>
          </w:p>
        </w:tc>
      </w:tr>
      <w:tr>
        <w:trPr>
          <w:trHeight w:val="459" w:hRule="atLeast"/>
        </w:trPr>
        <w:tc>
          <w:tcPr>
            <w:tcW w:w="6487" w:type="dxa"/>
            <w:gridSpan w:val="5"/>
          </w:tcPr>
          <w:p>
            <w:pPr>
              <w:pStyle w:val="TableParagraph"/>
              <w:spacing w:line="215" w:lineRule="exact" w:before="225"/>
              <w:ind w:left="36"/>
              <w:rPr>
                <w:sz w:val="20"/>
              </w:rPr>
            </w:pPr>
            <w:r>
              <w:rPr>
                <w:sz w:val="20"/>
              </w:rPr>
              <w:t>Augmented</w:t>
            </w:r>
            <w:r>
              <w:rPr>
                <w:spacing w:val="-8"/>
                <w:sz w:val="20"/>
              </w:rPr>
              <w:t> </w:t>
            </w:r>
            <w:r>
              <w:rPr>
                <w:sz w:val="20"/>
              </w:rPr>
              <w:t>Dickey-Fuller</w:t>
            </w:r>
            <w:r>
              <w:rPr>
                <w:spacing w:val="-8"/>
                <w:sz w:val="20"/>
              </w:rPr>
              <w:t> </w:t>
            </w:r>
            <w:r>
              <w:rPr>
                <w:sz w:val="20"/>
              </w:rPr>
              <w:t>Test</w:t>
            </w:r>
            <w:r>
              <w:rPr>
                <w:spacing w:val="-9"/>
                <w:sz w:val="20"/>
              </w:rPr>
              <w:t> </w:t>
            </w:r>
            <w:r>
              <w:rPr>
                <w:spacing w:val="-2"/>
                <w:sz w:val="20"/>
              </w:rPr>
              <w:t>Equation</w:t>
            </w:r>
          </w:p>
        </w:tc>
      </w:tr>
      <w:tr>
        <w:trPr>
          <w:trHeight w:val="230" w:hRule="atLeast"/>
        </w:trPr>
        <w:tc>
          <w:tcPr>
            <w:tcW w:w="6487" w:type="dxa"/>
            <w:gridSpan w:val="5"/>
          </w:tcPr>
          <w:p>
            <w:pPr>
              <w:pStyle w:val="TableParagraph"/>
              <w:spacing w:line="210" w:lineRule="exact"/>
              <w:ind w:left="36"/>
              <w:rPr>
                <w:sz w:val="20"/>
              </w:rPr>
            </w:pPr>
            <w:r>
              <w:rPr>
                <w:sz w:val="20"/>
              </w:rPr>
              <w:t>Dependent</w:t>
            </w:r>
            <w:r>
              <w:rPr>
                <w:spacing w:val="-8"/>
                <w:sz w:val="20"/>
              </w:rPr>
              <w:t> </w:t>
            </w:r>
            <w:r>
              <w:rPr>
                <w:sz w:val="20"/>
              </w:rPr>
              <w:t>Variable:</w:t>
            </w:r>
            <w:r>
              <w:rPr>
                <w:spacing w:val="-8"/>
                <w:sz w:val="20"/>
              </w:rPr>
              <w:t> </w:t>
            </w:r>
            <w:r>
              <w:rPr>
                <w:spacing w:val="-2"/>
                <w:sz w:val="20"/>
              </w:rPr>
              <w:t>D(ECM)</w:t>
            </w:r>
          </w:p>
        </w:tc>
      </w:tr>
      <w:tr>
        <w:trPr>
          <w:trHeight w:val="230" w:hRule="atLeast"/>
        </w:trPr>
        <w:tc>
          <w:tcPr>
            <w:tcW w:w="6487" w:type="dxa"/>
            <w:gridSpan w:val="5"/>
          </w:tcPr>
          <w:p>
            <w:pPr>
              <w:pStyle w:val="TableParagraph"/>
              <w:spacing w:line="210" w:lineRule="exact"/>
              <w:ind w:left="36"/>
              <w:rPr>
                <w:sz w:val="20"/>
              </w:rPr>
            </w:pPr>
            <w:r>
              <w:rPr>
                <w:sz w:val="20"/>
              </w:rPr>
              <w:t>Method:</w:t>
            </w:r>
            <w:r>
              <w:rPr>
                <w:spacing w:val="-8"/>
                <w:sz w:val="20"/>
              </w:rPr>
              <w:t> </w:t>
            </w:r>
            <w:r>
              <w:rPr>
                <w:sz w:val="20"/>
              </w:rPr>
              <w:t>Least</w:t>
            </w:r>
            <w:r>
              <w:rPr>
                <w:spacing w:val="-7"/>
                <w:sz w:val="20"/>
              </w:rPr>
              <w:t> </w:t>
            </w:r>
            <w:r>
              <w:rPr>
                <w:spacing w:val="-2"/>
                <w:sz w:val="20"/>
              </w:rPr>
              <w:t>Squares</w:t>
            </w:r>
          </w:p>
        </w:tc>
      </w:tr>
      <w:tr>
        <w:trPr>
          <w:trHeight w:val="229" w:hRule="atLeast"/>
        </w:trPr>
        <w:tc>
          <w:tcPr>
            <w:tcW w:w="6487" w:type="dxa"/>
            <w:gridSpan w:val="5"/>
          </w:tcPr>
          <w:p>
            <w:pPr>
              <w:pStyle w:val="TableParagraph"/>
              <w:spacing w:line="209" w:lineRule="exact"/>
              <w:ind w:left="36"/>
              <w:rPr>
                <w:sz w:val="20"/>
              </w:rPr>
            </w:pPr>
            <w:r>
              <w:rPr>
                <w:sz w:val="20"/>
              </w:rPr>
              <w:t>Date:</w:t>
            </w:r>
            <w:r>
              <w:rPr>
                <w:spacing w:val="-5"/>
                <w:sz w:val="20"/>
              </w:rPr>
              <w:t> </w:t>
            </w:r>
            <w:r>
              <w:rPr>
                <w:sz w:val="20"/>
              </w:rPr>
              <w:t>02/17/14</w:t>
            </w:r>
            <w:r>
              <w:rPr>
                <w:spacing w:val="63"/>
                <w:w w:val="150"/>
                <w:sz w:val="20"/>
              </w:rPr>
              <w:t> </w:t>
            </w:r>
            <w:r>
              <w:rPr>
                <w:sz w:val="20"/>
              </w:rPr>
              <w:t>Time:</w:t>
            </w:r>
            <w:r>
              <w:rPr>
                <w:spacing w:val="-3"/>
                <w:sz w:val="20"/>
              </w:rPr>
              <w:t> </w:t>
            </w:r>
            <w:r>
              <w:rPr>
                <w:spacing w:val="-2"/>
                <w:sz w:val="20"/>
              </w:rPr>
              <w:t>17:15</w:t>
            </w:r>
          </w:p>
        </w:tc>
      </w:tr>
      <w:tr>
        <w:trPr>
          <w:trHeight w:val="229" w:hRule="atLeast"/>
        </w:trPr>
        <w:tc>
          <w:tcPr>
            <w:tcW w:w="6487" w:type="dxa"/>
            <w:gridSpan w:val="5"/>
          </w:tcPr>
          <w:p>
            <w:pPr>
              <w:pStyle w:val="TableParagraph"/>
              <w:spacing w:line="209" w:lineRule="exact"/>
              <w:ind w:left="36"/>
              <w:rPr>
                <w:sz w:val="20"/>
              </w:rPr>
            </w:pPr>
            <w:r>
              <w:rPr>
                <w:sz w:val="20"/>
              </w:rPr>
              <w:t>Sample(adjusted):</w:t>
            </w:r>
            <w:r>
              <w:rPr>
                <w:spacing w:val="-9"/>
                <w:sz w:val="20"/>
              </w:rPr>
              <w:t> </w:t>
            </w:r>
            <w:r>
              <w:rPr>
                <w:sz w:val="20"/>
              </w:rPr>
              <w:t>1972</w:t>
            </w:r>
            <w:r>
              <w:rPr>
                <w:spacing w:val="-9"/>
                <w:sz w:val="20"/>
              </w:rPr>
              <w:t> </w:t>
            </w:r>
            <w:r>
              <w:rPr>
                <w:spacing w:val="-4"/>
                <w:sz w:val="20"/>
              </w:rPr>
              <w:t>2011</w:t>
            </w:r>
          </w:p>
        </w:tc>
      </w:tr>
      <w:tr>
        <w:trPr>
          <w:trHeight w:val="224" w:hRule="atLeast"/>
        </w:trPr>
        <w:tc>
          <w:tcPr>
            <w:tcW w:w="6487" w:type="dxa"/>
            <w:gridSpan w:val="5"/>
            <w:tcBorders>
              <w:bottom w:val="double" w:sz="6" w:space="0" w:color="000000"/>
            </w:tcBorders>
          </w:tcPr>
          <w:p>
            <w:pPr>
              <w:pStyle w:val="TableParagraph"/>
              <w:spacing w:line="205" w:lineRule="exact"/>
              <w:ind w:left="36"/>
              <w:rPr>
                <w:sz w:val="20"/>
              </w:rPr>
            </w:pPr>
            <w:r>
              <w:rPr>
                <w:sz w:val="20"/>
              </w:rPr>
              <w:t>Included</w:t>
            </w:r>
            <w:r>
              <w:rPr>
                <w:spacing w:val="-6"/>
                <w:sz w:val="20"/>
              </w:rPr>
              <w:t> </w:t>
            </w:r>
            <w:r>
              <w:rPr>
                <w:sz w:val="20"/>
              </w:rPr>
              <w:t>observations:</w:t>
            </w:r>
            <w:r>
              <w:rPr>
                <w:spacing w:val="-8"/>
                <w:sz w:val="20"/>
              </w:rPr>
              <w:t> </w:t>
            </w:r>
            <w:r>
              <w:rPr>
                <w:sz w:val="20"/>
              </w:rPr>
              <w:t>40</w:t>
            </w:r>
            <w:r>
              <w:rPr>
                <w:spacing w:val="-5"/>
                <w:sz w:val="20"/>
              </w:rPr>
              <w:t> </w:t>
            </w:r>
            <w:r>
              <w:rPr>
                <w:sz w:val="20"/>
              </w:rPr>
              <w:t>after</w:t>
            </w:r>
            <w:r>
              <w:rPr>
                <w:spacing w:val="-7"/>
                <w:sz w:val="20"/>
              </w:rPr>
              <w:t> </w:t>
            </w:r>
            <w:r>
              <w:rPr>
                <w:sz w:val="20"/>
              </w:rPr>
              <w:t>adjusting</w:t>
            </w:r>
            <w:r>
              <w:rPr>
                <w:spacing w:val="-7"/>
                <w:sz w:val="20"/>
              </w:rPr>
              <w:t> </w:t>
            </w:r>
            <w:r>
              <w:rPr>
                <w:spacing w:val="-2"/>
                <w:sz w:val="20"/>
              </w:rPr>
              <w:t>endpoints</w:t>
            </w:r>
          </w:p>
        </w:tc>
      </w:tr>
      <w:tr>
        <w:trPr>
          <w:trHeight w:val="269" w:hRule="atLeast"/>
        </w:trPr>
        <w:tc>
          <w:tcPr>
            <w:tcW w:w="1847" w:type="dxa"/>
            <w:tcBorders>
              <w:top w:val="double" w:sz="6" w:space="0" w:color="000000"/>
              <w:bottom w:val="double" w:sz="6" w:space="0" w:color="000000"/>
            </w:tcBorders>
          </w:tcPr>
          <w:p>
            <w:pPr>
              <w:pStyle w:val="TableParagraph"/>
              <w:spacing w:line="209" w:lineRule="exact" w:before="40"/>
              <w:ind w:left="677"/>
              <w:rPr>
                <w:sz w:val="20"/>
              </w:rPr>
            </w:pPr>
            <w:r>
              <w:rPr>
                <w:spacing w:val="-2"/>
                <w:sz w:val="20"/>
              </w:rPr>
              <w:t>Variable</w:t>
            </w:r>
          </w:p>
        </w:tc>
        <w:tc>
          <w:tcPr>
            <w:tcW w:w="1375" w:type="dxa"/>
            <w:tcBorders>
              <w:top w:val="double" w:sz="6" w:space="0" w:color="000000"/>
              <w:bottom w:val="double" w:sz="6" w:space="0" w:color="000000"/>
            </w:tcBorders>
          </w:tcPr>
          <w:p>
            <w:pPr>
              <w:pStyle w:val="TableParagraph"/>
              <w:spacing w:line="209" w:lineRule="exact" w:before="40"/>
              <w:ind w:right="131"/>
              <w:jc w:val="right"/>
              <w:rPr>
                <w:sz w:val="20"/>
              </w:rPr>
            </w:pPr>
            <w:r>
              <w:rPr>
                <w:spacing w:val="-2"/>
                <w:sz w:val="20"/>
              </w:rPr>
              <w:t>Coefficient</w:t>
            </w:r>
          </w:p>
        </w:tc>
        <w:tc>
          <w:tcPr>
            <w:tcW w:w="1432" w:type="dxa"/>
            <w:tcBorders>
              <w:top w:val="double" w:sz="6" w:space="0" w:color="000000"/>
              <w:bottom w:val="double" w:sz="6" w:space="0" w:color="000000"/>
            </w:tcBorders>
          </w:tcPr>
          <w:p>
            <w:pPr>
              <w:pStyle w:val="TableParagraph"/>
              <w:spacing w:line="209" w:lineRule="exact" w:before="40"/>
              <w:ind w:left="273"/>
              <w:rPr>
                <w:sz w:val="20"/>
              </w:rPr>
            </w:pPr>
            <w:r>
              <w:rPr>
                <w:sz w:val="20"/>
              </w:rPr>
              <w:t>Std.</w:t>
            </w:r>
            <w:r>
              <w:rPr>
                <w:spacing w:val="-3"/>
                <w:sz w:val="20"/>
              </w:rPr>
              <w:t> </w:t>
            </w:r>
            <w:r>
              <w:rPr>
                <w:spacing w:val="-2"/>
                <w:sz w:val="20"/>
              </w:rPr>
              <w:t>Error</w:t>
            </w:r>
          </w:p>
        </w:tc>
        <w:tc>
          <w:tcPr>
            <w:tcW w:w="904" w:type="dxa"/>
            <w:tcBorders>
              <w:top w:val="double" w:sz="6" w:space="0" w:color="000000"/>
              <w:bottom w:val="double" w:sz="6" w:space="0" w:color="000000"/>
            </w:tcBorders>
          </w:tcPr>
          <w:p>
            <w:pPr>
              <w:pStyle w:val="TableParagraph"/>
              <w:spacing w:line="209" w:lineRule="exact" w:before="40"/>
              <w:ind w:right="22"/>
              <w:jc w:val="center"/>
              <w:rPr>
                <w:sz w:val="20"/>
              </w:rPr>
            </w:pPr>
            <w:r>
              <w:rPr>
                <w:spacing w:val="-4"/>
                <w:sz w:val="20"/>
              </w:rPr>
              <w:t>t-</w:t>
            </w:r>
            <w:r>
              <w:rPr>
                <w:spacing w:val="-2"/>
                <w:sz w:val="20"/>
              </w:rPr>
              <w:t>Statistic</w:t>
            </w:r>
          </w:p>
        </w:tc>
        <w:tc>
          <w:tcPr>
            <w:tcW w:w="929" w:type="dxa"/>
            <w:tcBorders>
              <w:top w:val="double" w:sz="6" w:space="0" w:color="000000"/>
              <w:bottom w:val="double" w:sz="6" w:space="0" w:color="000000"/>
            </w:tcBorders>
          </w:tcPr>
          <w:p>
            <w:pPr>
              <w:pStyle w:val="TableParagraph"/>
              <w:spacing w:line="209" w:lineRule="exact" w:before="40"/>
              <w:ind w:right="28"/>
              <w:jc w:val="right"/>
              <w:rPr>
                <w:sz w:val="20"/>
              </w:rPr>
            </w:pPr>
            <w:r>
              <w:rPr>
                <w:spacing w:val="-2"/>
                <w:sz w:val="20"/>
              </w:rPr>
              <w:t>Prob.</w:t>
            </w:r>
          </w:p>
        </w:tc>
      </w:tr>
      <w:tr>
        <w:trPr>
          <w:trHeight w:val="277" w:hRule="atLeast"/>
        </w:trPr>
        <w:tc>
          <w:tcPr>
            <w:tcW w:w="1847" w:type="dxa"/>
            <w:tcBorders>
              <w:top w:val="double" w:sz="6" w:space="0" w:color="000000"/>
            </w:tcBorders>
          </w:tcPr>
          <w:p>
            <w:pPr>
              <w:pStyle w:val="TableParagraph"/>
              <w:spacing w:line="215" w:lineRule="exact" w:before="42"/>
              <w:ind w:left="655"/>
              <w:rPr>
                <w:sz w:val="20"/>
              </w:rPr>
            </w:pPr>
            <w:r>
              <w:rPr>
                <w:spacing w:val="-2"/>
                <w:sz w:val="20"/>
              </w:rPr>
              <w:t>ECM(-</w:t>
            </w:r>
            <w:r>
              <w:rPr>
                <w:spacing w:val="-5"/>
                <w:sz w:val="20"/>
              </w:rPr>
              <w:t>1)</w:t>
            </w:r>
          </w:p>
        </w:tc>
        <w:tc>
          <w:tcPr>
            <w:tcW w:w="1375" w:type="dxa"/>
            <w:tcBorders>
              <w:top w:val="double" w:sz="6" w:space="0" w:color="000000"/>
            </w:tcBorders>
          </w:tcPr>
          <w:p>
            <w:pPr>
              <w:pStyle w:val="TableParagraph"/>
              <w:spacing w:line="215" w:lineRule="exact" w:before="42"/>
              <w:ind w:right="128"/>
              <w:jc w:val="right"/>
              <w:rPr>
                <w:sz w:val="20"/>
              </w:rPr>
            </w:pPr>
            <w:r>
              <w:rPr>
                <w:spacing w:val="-4"/>
                <w:sz w:val="20"/>
              </w:rPr>
              <w:t>-</w:t>
            </w:r>
            <w:r>
              <w:rPr>
                <w:spacing w:val="-2"/>
                <w:sz w:val="20"/>
              </w:rPr>
              <w:t>0.972906</w:t>
            </w:r>
          </w:p>
        </w:tc>
        <w:tc>
          <w:tcPr>
            <w:tcW w:w="1432" w:type="dxa"/>
            <w:tcBorders>
              <w:top w:val="double" w:sz="6" w:space="0" w:color="000000"/>
            </w:tcBorders>
          </w:tcPr>
          <w:p>
            <w:pPr>
              <w:pStyle w:val="TableParagraph"/>
              <w:spacing w:line="215" w:lineRule="exact" w:before="42"/>
              <w:ind w:left="311"/>
              <w:rPr>
                <w:sz w:val="20"/>
              </w:rPr>
            </w:pPr>
            <w:r>
              <w:rPr>
                <w:spacing w:val="-2"/>
                <w:sz w:val="20"/>
              </w:rPr>
              <w:t>0.234102</w:t>
            </w:r>
          </w:p>
        </w:tc>
        <w:tc>
          <w:tcPr>
            <w:tcW w:w="904" w:type="dxa"/>
            <w:tcBorders>
              <w:top w:val="double" w:sz="6" w:space="0" w:color="000000"/>
            </w:tcBorders>
          </w:tcPr>
          <w:p>
            <w:pPr>
              <w:pStyle w:val="TableParagraph"/>
              <w:spacing w:line="215" w:lineRule="exact" w:before="42"/>
              <w:ind w:right="70"/>
              <w:jc w:val="center"/>
              <w:rPr>
                <w:sz w:val="20"/>
              </w:rPr>
            </w:pPr>
            <w:r>
              <w:rPr>
                <w:spacing w:val="-4"/>
                <w:sz w:val="20"/>
              </w:rPr>
              <w:t>-</w:t>
            </w:r>
            <w:r>
              <w:rPr>
                <w:spacing w:val="-2"/>
                <w:sz w:val="20"/>
              </w:rPr>
              <w:t>4.155898</w:t>
            </w:r>
          </w:p>
        </w:tc>
        <w:tc>
          <w:tcPr>
            <w:tcW w:w="929" w:type="dxa"/>
            <w:tcBorders>
              <w:top w:val="double" w:sz="6" w:space="0" w:color="000000"/>
            </w:tcBorders>
          </w:tcPr>
          <w:p>
            <w:pPr>
              <w:pStyle w:val="TableParagraph"/>
              <w:spacing w:line="215" w:lineRule="exact" w:before="42"/>
              <w:ind w:right="27"/>
              <w:jc w:val="right"/>
              <w:rPr>
                <w:sz w:val="20"/>
              </w:rPr>
            </w:pPr>
            <w:r>
              <w:rPr>
                <w:spacing w:val="-2"/>
                <w:sz w:val="20"/>
              </w:rPr>
              <w:t>0.0002</w:t>
            </w:r>
          </w:p>
        </w:tc>
      </w:tr>
      <w:tr>
        <w:trPr>
          <w:trHeight w:val="229" w:hRule="atLeast"/>
        </w:trPr>
        <w:tc>
          <w:tcPr>
            <w:tcW w:w="1847" w:type="dxa"/>
          </w:tcPr>
          <w:p>
            <w:pPr>
              <w:pStyle w:val="TableParagraph"/>
              <w:spacing w:line="209" w:lineRule="exact"/>
              <w:ind w:left="516"/>
              <w:rPr>
                <w:sz w:val="20"/>
              </w:rPr>
            </w:pPr>
            <w:r>
              <w:rPr>
                <w:spacing w:val="-2"/>
                <w:sz w:val="20"/>
              </w:rPr>
              <w:t>D(ECM(-</w:t>
            </w:r>
            <w:r>
              <w:rPr>
                <w:spacing w:val="-5"/>
                <w:sz w:val="20"/>
              </w:rPr>
              <w:t>1))</w:t>
            </w:r>
          </w:p>
        </w:tc>
        <w:tc>
          <w:tcPr>
            <w:tcW w:w="1375" w:type="dxa"/>
          </w:tcPr>
          <w:p>
            <w:pPr>
              <w:pStyle w:val="TableParagraph"/>
              <w:spacing w:line="209" w:lineRule="exact"/>
              <w:ind w:right="128"/>
              <w:jc w:val="right"/>
              <w:rPr>
                <w:sz w:val="20"/>
              </w:rPr>
            </w:pPr>
            <w:r>
              <w:rPr>
                <w:spacing w:val="-2"/>
                <w:sz w:val="20"/>
              </w:rPr>
              <w:t>0.101642</w:t>
            </w:r>
          </w:p>
        </w:tc>
        <w:tc>
          <w:tcPr>
            <w:tcW w:w="1432" w:type="dxa"/>
          </w:tcPr>
          <w:p>
            <w:pPr>
              <w:pStyle w:val="TableParagraph"/>
              <w:spacing w:line="209" w:lineRule="exact"/>
              <w:ind w:left="311"/>
              <w:rPr>
                <w:sz w:val="20"/>
              </w:rPr>
            </w:pPr>
            <w:r>
              <w:rPr>
                <w:spacing w:val="-2"/>
                <w:sz w:val="20"/>
              </w:rPr>
              <w:t>0.178345</w:t>
            </w:r>
          </w:p>
        </w:tc>
        <w:tc>
          <w:tcPr>
            <w:tcW w:w="904" w:type="dxa"/>
          </w:tcPr>
          <w:p>
            <w:pPr>
              <w:pStyle w:val="TableParagraph"/>
              <w:spacing w:line="209" w:lineRule="exact"/>
              <w:ind w:right="5"/>
              <w:jc w:val="center"/>
              <w:rPr>
                <w:sz w:val="20"/>
              </w:rPr>
            </w:pPr>
            <w:r>
              <w:rPr>
                <w:spacing w:val="-2"/>
                <w:sz w:val="20"/>
              </w:rPr>
              <w:t>0.569918</w:t>
            </w:r>
          </w:p>
        </w:tc>
        <w:tc>
          <w:tcPr>
            <w:tcW w:w="929" w:type="dxa"/>
          </w:tcPr>
          <w:p>
            <w:pPr>
              <w:pStyle w:val="TableParagraph"/>
              <w:spacing w:line="209" w:lineRule="exact"/>
              <w:ind w:right="27"/>
              <w:jc w:val="right"/>
              <w:rPr>
                <w:sz w:val="20"/>
              </w:rPr>
            </w:pPr>
            <w:r>
              <w:rPr>
                <w:spacing w:val="-2"/>
                <w:sz w:val="20"/>
              </w:rPr>
              <w:t>0.5722</w:t>
            </w:r>
          </w:p>
        </w:tc>
      </w:tr>
      <w:tr>
        <w:trPr>
          <w:trHeight w:val="223" w:hRule="atLeast"/>
        </w:trPr>
        <w:tc>
          <w:tcPr>
            <w:tcW w:w="1847" w:type="dxa"/>
            <w:tcBorders>
              <w:bottom w:val="double" w:sz="6" w:space="0" w:color="000000"/>
            </w:tcBorders>
          </w:tcPr>
          <w:p>
            <w:pPr>
              <w:pStyle w:val="TableParagraph"/>
              <w:spacing w:line="204" w:lineRule="exact"/>
              <w:ind w:left="197"/>
              <w:jc w:val="center"/>
              <w:rPr>
                <w:sz w:val="20"/>
              </w:rPr>
            </w:pPr>
            <w:r>
              <w:rPr>
                <w:spacing w:val="-10"/>
                <w:sz w:val="20"/>
              </w:rPr>
              <w:t>C</w:t>
            </w:r>
          </w:p>
        </w:tc>
        <w:tc>
          <w:tcPr>
            <w:tcW w:w="1375" w:type="dxa"/>
            <w:tcBorders>
              <w:bottom w:val="double" w:sz="6" w:space="0" w:color="000000"/>
            </w:tcBorders>
          </w:tcPr>
          <w:p>
            <w:pPr>
              <w:pStyle w:val="TableParagraph"/>
              <w:spacing w:line="204" w:lineRule="exact"/>
              <w:ind w:right="128"/>
              <w:jc w:val="right"/>
              <w:rPr>
                <w:sz w:val="20"/>
              </w:rPr>
            </w:pPr>
            <w:r>
              <w:rPr>
                <w:spacing w:val="-2"/>
                <w:sz w:val="20"/>
              </w:rPr>
              <w:t>0.002190</w:t>
            </w:r>
          </w:p>
        </w:tc>
        <w:tc>
          <w:tcPr>
            <w:tcW w:w="1432" w:type="dxa"/>
            <w:tcBorders>
              <w:bottom w:val="double" w:sz="6" w:space="0" w:color="000000"/>
            </w:tcBorders>
          </w:tcPr>
          <w:p>
            <w:pPr>
              <w:pStyle w:val="TableParagraph"/>
              <w:spacing w:line="204" w:lineRule="exact"/>
              <w:ind w:left="311"/>
              <w:rPr>
                <w:sz w:val="20"/>
              </w:rPr>
            </w:pPr>
            <w:r>
              <w:rPr>
                <w:spacing w:val="-2"/>
                <w:sz w:val="20"/>
              </w:rPr>
              <w:t>0.064248</w:t>
            </w:r>
          </w:p>
        </w:tc>
        <w:tc>
          <w:tcPr>
            <w:tcW w:w="904" w:type="dxa"/>
            <w:tcBorders>
              <w:bottom w:val="double" w:sz="6" w:space="0" w:color="000000"/>
            </w:tcBorders>
          </w:tcPr>
          <w:p>
            <w:pPr>
              <w:pStyle w:val="TableParagraph"/>
              <w:spacing w:line="204" w:lineRule="exact"/>
              <w:ind w:right="5"/>
              <w:jc w:val="center"/>
              <w:rPr>
                <w:sz w:val="20"/>
              </w:rPr>
            </w:pPr>
            <w:r>
              <w:rPr>
                <w:spacing w:val="-2"/>
                <w:sz w:val="20"/>
              </w:rPr>
              <w:t>0.034083</w:t>
            </w:r>
          </w:p>
        </w:tc>
        <w:tc>
          <w:tcPr>
            <w:tcW w:w="929" w:type="dxa"/>
            <w:tcBorders>
              <w:bottom w:val="double" w:sz="6" w:space="0" w:color="000000"/>
            </w:tcBorders>
          </w:tcPr>
          <w:p>
            <w:pPr>
              <w:pStyle w:val="TableParagraph"/>
              <w:spacing w:line="204" w:lineRule="exact"/>
              <w:ind w:right="27"/>
              <w:jc w:val="right"/>
              <w:rPr>
                <w:sz w:val="20"/>
              </w:rPr>
            </w:pPr>
            <w:r>
              <w:rPr>
                <w:spacing w:val="-2"/>
                <w:sz w:val="20"/>
              </w:rPr>
              <w:t>0.9730</w:t>
            </w:r>
          </w:p>
        </w:tc>
      </w:tr>
      <w:tr>
        <w:trPr>
          <w:trHeight w:val="276" w:hRule="atLeast"/>
        </w:trPr>
        <w:tc>
          <w:tcPr>
            <w:tcW w:w="1847" w:type="dxa"/>
            <w:tcBorders>
              <w:top w:val="double" w:sz="6" w:space="0" w:color="000000"/>
            </w:tcBorders>
          </w:tcPr>
          <w:p>
            <w:pPr>
              <w:pStyle w:val="TableParagraph"/>
              <w:spacing w:line="214" w:lineRule="exact" w:before="42"/>
              <w:ind w:left="36"/>
              <w:rPr>
                <w:sz w:val="20"/>
              </w:rPr>
            </w:pPr>
            <w:r>
              <w:rPr>
                <w:spacing w:val="-2"/>
                <w:sz w:val="20"/>
              </w:rPr>
              <w:t>R-squared</w:t>
            </w:r>
          </w:p>
        </w:tc>
        <w:tc>
          <w:tcPr>
            <w:tcW w:w="1375" w:type="dxa"/>
            <w:tcBorders>
              <w:top w:val="double" w:sz="6" w:space="0" w:color="000000"/>
            </w:tcBorders>
          </w:tcPr>
          <w:p>
            <w:pPr>
              <w:pStyle w:val="TableParagraph"/>
              <w:spacing w:line="214" w:lineRule="exact" w:before="42"/>
              <w:ind w:right="128"/>
              <w:jc w:val="right"/>
              <w:rPr>
                <w:sz w:val="20"/>
              </w:rPr>
            </w:pPr>
            <w:r>
              <w:rPr>
                <w:spacing w:val="-2"/>
                <w:sz w:val="20"/>
              </w:rPr>
              <w:t>0.438357</w:t>
            </w:r>
          </w:p>
        </w:tc>
        <w:tc>
          <w:tcPr>
            <w:tcW w:w="2336" w:type="dxa"/>
            <w:gridSpan w:val="2"/>
            <w:tcBorders>
              <w:top w:val="double" w:sz="6" w:space="0" w:color="000000"/>
            </w:tcBorders>
          </w:tcPr>
          <w:p>
            <w:pPr>
              <w:pStyle w:val="TableParagraph"/>
              <w:spacing w:line="214" w:lineRule="exact" w:before="42"/>
              <w:ind w:left="131"/>
              <w:rPr>
                <w:sz w:val="20"/>
              </w:rPr>
            </w:pPr>
            <w:r>
              <w:rPr>
                <w:sz w:val="20"/>
              </w:rPr>
              <w:t>Mean</w:t>
            </w:r>
            <w:r>
              <w:rPr>
                <w:spacing w:val="-7"/>
                <w:sz w:val="20"/>
              </w:rPr>
              <w:t> </w:t>
            </w:r>
            <w:r>
              <w:rPr>
                <w:sz w:val="20"/>
              </w:rPr>
              <w:t>dependent</w:t>
            </w:r>
            <w:r>
              <w:rPr>
                <w:spacing w:val="-7"/>
                <w:sz w:val="20"/>
              </w:rPr>
              <w:t> </w:t>
            </w:r>
            <w:r>
              <w:rPr>
                <w:spacing w:val="-5"/>
                <w:sz w:val="20"/>
              </w:rPr>
              <w:t>var</w:t>
            </w:r>
          </w:p>
        </w:tc>
        <w:tc>
          <w:tcPr>
            <w:tcW w:w="929" w:type="dxa"/>
            <w:tcBorders>
              <w:top w:val="double" w:sz="6" w:space="0" w:color="000000"/>
            </w:tcBorders>
          </w:tcPr>
          <w:p>
            <w:pPr>
              <w:pStyle w:val="TableParagraph"/>
              <w:spacing w:line="214" w:lineRule="exact" w:before="42"/>
              <w:ind w:right="27"/>
              <w:jc w:val="right"/>
              <w:rPr>
                <w:sz w:val="20"/>
              </w:rPr>
            </w:pPr>
            <w:r>
              <w:rPr>
                <w:spacing w:val="-4"/>
                <w:sz w:val="20"/>
              </w:rPr>
              <w:t>-</w:t>
            </w:r>
            <w:r>
              <w:rPr>
                <w:spacing w:val="-2"/>
                <w:sz w:val="20"/>
              </w:rPr>
              <w:t>0.008957</w:t>
            </w:r>
          </w:p>
        </w:tc>
      </w:tr>
      <w:tr>
        <w:trPr>
          <w:trHeight w:val="229" w:hRule="atLeast"/>
        </w:trPr>
        <w:tc>
          <w:tcPr>
            <w:tcW w:w="1847" w:type="dxa"/>
          </w:tcPr>
          <w:p>
            <w:pPr>
              <w:pStyle w:val="TableParagraph"/>
              <w:spacing w:line="209" w:lineRule="exact"/>
              <w:ind w:left="36"/>
              <w:rPr>
                <w:sz w:val="20"/>
              </w:rPr>
            </w:pPr>
            <w:r>
              <w:rPr>
                <w:sz w:val="20"/>
              </w:rPr>
              <w:t>Adjusted</w:t>
            </w:r>
            <w:r>
              <w:rPr>
                <w:spacing w:val="-10"/>
                <w:sz w:val="20"/>
              </w:rPr>
              <w:t> </w:t>
            </w:r>
            <w:r>
              <w:rPr>
                <w:sz w:val="20"/>
              </w:rPr>
              <w:t>R-</w:t>
            </w:r>
            <w:r>
              <w:rPr>
                <w:spacing w:val="-2"/>
                <w:sz w:val="20"/>
              </w:rPr>
              <w:t>squared</w:t>
            </w:r>
          </w:p>
        </w:tc>
        <w:tc>
          <w:tcPr>
            <w:tcW w:w="1375" w:type="dxa"/>
          </w:tcPr>
          <w:p>
            <w:pPr>
              <w:pStyle w:val="TableParagraph"/>
              <w:spacing w:line="209" w:lineRule="exact"/>
              <w:ind w:right="128"/>
              <w:jc w:val="right"/>
              <w:rPr>
                <w:sz w:val="20"/>
              </w:rPr>
            </w:pPr>
            <w:r>
              <w:rPr>
                <w:spacing w:val="-2"/>
                <w:sz w:val="20"/>
              </w:rPr>
              <w:t>0.407998</w:t>
            </w:r>
          </w:p>
        </w:tc>
        <w:tc>
          <w:tcPr>
            <w:tcW w:w="2336" w:type="dxa"/>
            <w:gridSpan w:val="2"/>
          </w:tcPr>
          <w:p>
            <w:pPr>
              <w:pStyle w:val="TableParagraph"/>
              <w:spacing w:line="209" w:lineRule="exact"/>
              <w:ind w:left="131"/>
              <w:rPr>
                <w:sz w:val="20"/>
              </w:rPr>
            </w:pPr>
            <w:r>
              <w:rPr>
                <w:sz w:val="20"/>
              </w:rPr>
              <w:t>S.D.</w:t>
            </w:r>
            <w:r>
              <w:rPr>
                <w:spacing w:val="-5"/>
                <w:sz w:val="20"/>
              </w:rPr>
              <w:t> </w:t>
            </w:r>
            <w:r>
              <w:rPr>
                <w:sz w:val="20"/>
              </w:rPr>
              <w:t>dependent</w:t>
            </w:r>
            <w:r>
              <w:rPr>
                <w:spacing w:val="-6"/>
                <w:sz w:val="20"/>
              </w:rPr>
              <w:t> </w:t>
            </w:r>
            <w:r>
              <w:rPr>
                <w:spacing w:val="-5"/>
                <w:sz w:val="20"/>
              </w:rPr>
              <w:t>var</w:t>
            </w:r>
          </w:p>
        </w:tc>
        <w:tc>
          <w:tcPr>
            <w:tcW w:w="929" w:type="dxa"/>
          </w:tcPr>
          <w:p>
            <w:pPr>
              <w:pStyle w:val="TableParagraph"/>
              <w:spacing w:line="209" w:lineRule="exact"/>
              <w:ind w:right="27"/>
              <w:jc w:val="right"/>
              <w:rPr>
                <w:sz w:val="20"/>
              </w:rPr>
            </w:pPr>
            <w:r>
              <w:rPr>
                <w:spacing w:val="-2"/>
                <w:sz w:val="20"/>
              </w:rPr>
              <w:t>0.525935</w:t>
            </w:r>
          </w:p>
        </w:tc>
      </w:tr>
      <w:tr>
        <w:trPr>
          <w:trHeight w:val="230" w:hRule="atLeast"/>
        </w:trPr>
        <w:tc>
          <w:tcPr>
            <w:tcW w:w="1847" w:type="dxa"/>
          </w:tcPr>
          <w:p>
            <w:pPr>
              <w:pStyle w:val="TableParagraph"/>
              <w:spacing w:line="210" w:lineRule="exact"/>
              <w:ind w:left="36"/>
              <w:rPr>
                <w:sz w:val="20"/>
              </w:rPr>
            </w:pPr>
            <w:r>
              <w:rPr>
                <w:sz w:val="20"/>
              </w:rPr>
              <w:t>S.E.</w:t>
            </w:r>
            <w:r>
              <w:rPr>
                <w:spacing w:val="-3"/>
                <w:sz w:val="20"/>
              </w:rPr>
              <w:t> </w:t>
            </w:r>
            <w:r>
              <w:rPr>
                <w:sz w:val="20"/>
              </w:rPr>
              <w:t>of</w:t>
            </w:r>
            <w:r>
              <w:rPr>
                <w:spacing w:val="-3"/>
                <w:sz w:val="20"/>
              </w:rPr>
              <w:t> </w:t>
            </w:r>
            <w:r>
              <w:rPr>
                <w:spacing w:val="-2"/>
                <w:sz w:val="20"/>
              </w:rPr>
              <w:t>regression</w:t>
            </w:r>
          </w:p>
        </w:tc>
        <w:tc>
          <w:tcPr>
            <w:tcW w:w="1375" w:type="dxa"/>
          </w:tcPr>
          <w:p>
            <w:pPr>
              <w:pStyle w:val="TableParagraph"/>
              <w:spacing w:line="210" w:lineRule="exact"/>
              <w:ind w:right="128"/>
              <w:jc w:val="right"/>
              <w:rPr>
                <w:sz w:val="20"/>
              </w:rPr>
            </w:pPr>
            <w:r>
              <w:rPr>
                <w:spacing w:val="-2"/>
                <w:sz w:val="20"/>
              </w:rPr>
              <w:t>0.404663</w:t>
            </w:r>
          </w:p>
        </w:tc>
        <w:tc>
          <w:tcPr>
            <w:tcW w:w="2336" w:type="dxa"/>
            <w:gridSpan w:val="2"/>
          </w:tcPr>
          <w:p>
            <w:pPr>
              <w:pStyle w:val="TableParagraph"/>
              <w:spacing w:line="210" w:lineRule="exact"/>
              <w:ind w:left="131"/>
              <w:rPr>
                <w:sz w:val="20"/>
              </w:rPr>
            </w:pPr>
            <w:r>
              <w:rPr>
                <w:sz w:val="20"/>
              </w:rPr>
              <w:t>Akaike</w:t>
            </w:r>
            <w:r>
              <w:rPr>
                <w:spacing w:val="-8"/>
                <w:sz w:val="20"/>
              </w:rPr>
              <w:t> </w:t>
            </w:r>
            <w:r>
              <w:rPr>
                <w:sz w:val="20"/>
              </w:rPr>
              <w:t>info</w:t>
            </w:r>
            <w:r>
              <w:rPr>
                <w:spacing w:val="-7"/>
                <w:sz w:val="20"/>
              </w:rPr>
              <w:t> </w:t>
            </w:r>
            <w:r>
              <w:rPr>
                <w:spacing w:val="-2"/>
                <w:sz w:val="20"/>
              </w:rPr>
              <w:t>criterion</w:t>
            </w:r>
          </w:p>
        </w:tc>
        <w:tc>
          <w:tcPr>
            <w:tcW w:w="929" w:type="dxa"/>
          </w:tcPr>
          <w:p>
            <w:pPr>
              <w:pStyle w:val="TableParagraph"/>
              <w:spacing w:line="210" w:lineRule="exact"/>
              <w:ind w:right="27"/>
              <w:jc w:val="right"/>
              <w:rPr>
                <w:sz w:val="20"/>
              </w:rPr>
            </w:pPr>
            <w:r>
              <w:rPr>
                <w:spacing w:val="-2"/>
                <w:sz w:val="20"/>
              </w:rPr>
              <w:t>1.100515</w:t>
            </w:r>
          </w:p>
        </w:tc>
      </w:tr>
      <w:tr>
        <w:trPr>
          <w:trHeight w:val="230" w:hRule="atLeast"/>
        </w:trPr>
        <w:tc>
          <w:tcPr>
            <w:tcW w:w="1847" w:type="dxa"/>
          </w:tcPr>
          <w:p>
            <w:pPr>
              <w:pStyle w:val="TableParagraph"/>
              <w:spacing w:line="211" w:lineRule="exact"/>
              <w:ind w:left="36"/>
              <w:rPr>
                <w:sz w:val="20"/>
              </w:rPr>
            </w:pPr>
            <w:r>
              <w:rPr>
                <w:sz w:val="20"/>
              </w:rPr>
              <w:t>Sum</w:t>
            </w:r>
            <w:r>
              <w:rPr>
                <w:spacing w:val="-8"/>
                <w:sz w:val="20"/>
              </w:rPr>
              <w:t> </w:t>
            </w:r>
            <w:r>
              <w:rPr>
                <w:sz w:val="20"/>
              </w:rPr>
              <w:t>squared</w:t>
            </w:r>
            <w:r>
              <w:rPr>
                <w:spacing w:val="-4"/>
                <w:sz w:val="20"/>
              </w:rPr>
              <w:t> </w:t>
            </w:r>
            <w:r>
              <w:rPr>
                <w:spacing w:val="-2"/>
                <w:sz w:val="20"/>
              </w:rPr>
              <w:t>resid</w:t>
            </w:r>
          </w:p>
        </w:tc>
        <w:tc>
          <w:tcPr>
            <w:tcW w:w="1375" w:type="dxa"/>
          </w:tcPr>
          <w:p>
            <w:pPr>
              <w:pStyle w:val="TableParagraph"/>
              <w:spacing w:line="211" w:lineRule="exact"/>
              <w:ind w:right="128"/>
              <w:jc w:val="right"/>
              <w:rPr>
                <w:sz w:val="20"/>
              </w:rPr>
            </w:pPr>
            <w:r>
              <w:rPr>
                <w:spacing w:val="-2"/>
                <w:sz w:val="20"/>
              </w:rPr>
              <w:t>6.058832</w:t>
            </w:r>
          </w:p>
        </w:tc>
        <w:tc>
          <w:tcPr>
            <w:tcW w:w="2336" w:type="dxa"/>
            <w:gridSpan w:val="2"/>
          </w:tcPr>
          <w:p>
            <w:pPr>
              <w:pStyle w:val="TableParagraph"/>
              <w:spacing w:line="211" w:lineRule="exact"/>
              <w:ind w:left="131"/>
              <w:rPr>
                <w:sz w:val="20"/>
              </w:rPr>
            </w:pPr>
            <w:r>
              <w:rPr>
                <w:sz w:val="20"/>
              </w:rPr>
              <w:t>Schwarz</w:t>
            </w:r>
            <w:r>
              <w:rPr>
                <w:spacing w:val="-8"/>
                <w:sz w:val="20"/>
              </w:rPr>
              <w:t> </w:t>
            </w:r>
            <w:r>
              <w:rPr>
                <w:spacing w:val="-2"/>
                <w:sz w:val="20"/>
              </w:rPr>
              <w:t>criterion</w:t>
            </w:r>
          </w:p>
        </w:tc>
        <w:tc>
          <w:tcPr>
            <w:tcW w:w="929" w:type="dxa"/>
          </w:tcPr>
          <w:p>
            <w:pPr>
              <w:pStyle w:val="TableParagraph"/>
              <w:spacing w:line="211" w:lineRule="exact"/>
              <w:ind w:right="27"/>
              <w:jc w:val="right"/>
              <w:rPr>
                <w:sz w:val="20"/>
              </w:rPr>
            </w:pPr>
            <w:r>
              <w:rPr>
                <w:spacing w:val="-2"/>
                <w:sz w:val="20"/>
              </w:rPr>
              <w:t>1.227181</w:t>
            </w:r>
          </w:p>
        </w:tc>
      </w:tr>
      <w:tr>
        <w:trPr>
          <w:trHeight w:val="230" w:hRule="atLeast"/>
        </w:trPr>
        <w:tc>
          <w:tcPr>
            <w:tcW w:w="1847" w:type="dxa"/>
          </w:tcPr>
          <w:p>
            <w:pPr>
              <w:pStyle w:val="TableParagraph"/>
              <w:spacing w:line="211" w:lineRule="exact"/>
              <w:ind w:left="36"/>
              <w:rPr>
                <w:sz w:val="20"/>
              </w:rPr>
            </w:pPr>
            <w:r>
              <w:rPr>
                <w:sz w:val="20"/>
              </w:rPr>
              <w:t>Log</w:t>
            </w:r>
            <w:r>
              <w:rPr>
                <w:spacing w:val="-6"/>
                <w:sz w:val="20"/>
              </w:rPr>
              <w:t> </w:t>
            </w:r>
            <w:r>
              <w:rPr>
                <w:spacing w:val="-2"/>
                <w:sz w:val="20"/>
              </w:rPr>
              <w:t>likelihood</w:t>
            </w:r>
          </w:p>
        </w:tc>
        <w:tc>
          <w:tcPr>
            <w:tcW w:w="1375" w:type="dxa"/>
          </w:tcPr>
          <w:p>
            <w:pPr>
              <w:pStyle w:val="TableParagraph"/>
              <w:spacing w:line="211" w:lineRule="exact"/>
              <w:ind w:right="128"/>
              <w:jc w:val="right"/>
              <w:rPr>
                <w:sz w:val="20"/>
              </w:rPr>
            </w:pPr>
            <w:r>
              <w:rPr>
                <w:spacing w:val="-4"/>
                <w:sz w:val="20"/>
              </w:rPr>
              <w:t>-</w:t>
            </w:r>
            <w:r>
              <w:rPr>
                <w:spacing w:val="-2"/>
                <w:sz w:val="20"/>
              </w:rPr>
              <w:t>19.01029</w:t>
            </w:r>
          </w:p>
        </w:tc>
        <w:tc>
          <w:tcPr>
            <w:tcW w:w="1432" w:type="dxa"/>
          </w:tcPr>
          <w:p>
            <w:pPr>
              <w:pStyle w:val="TableParagraph"/>
              <w:spacing w:line="211" w:lineRule="exact"/>
              <w:ind w:left="131"/>
              <w:rPr>
                <w:sz w:val="20"/>
              </w:rPr>
            </w:pPr>
            <w:r>
              <w:rPr>
                <w:spacing w:val="-4"/>
                <w:sz w:val="20"/>
              </w:rPr>
              <w:t>F-</w:t>
            </w:r>
            <w:r>
              <w:rPr>
                <w:spacing w:val="-2"/>
                <w:sz w:val="20"/>
              </w:rPr>
              <w:t>statistic</w:t>
            </w:r>
          </w:p>
        </w:tc>
        <w:tc>
          <w:tcPr>
            <w:tcW w:w="904" w:type="dxa"/>
          </w:tcPr>
          <w:p>
            <w:pPr>
              <w:pStyle w:val="TableParagraph"/>
              <w:rPr>
                <w:sz w:val="16"/>
              </w:rPr>
            </w:pPr>
          </w:p>
        </w:tc>
        <w:tc>
          <w:tcPr>
            <w:tcW w:w="929" w:type="dxa"/>
          </w:tcPr>
          <w:p>
            <w:pPr>
              <w:pStyle w:val="TableParagraph"/>
              <w:spacing w:line="211" w:lineRule="exact"/>
              <w:ind w:right="27"/>
              <w:jc w:val="right"/>
              <w:rPr>
                <w:sz w:val="20"/>
              </w:rPr>
            </w:pPr>
            <w:r>
              <w:rPr>
                <w:spacing w:val="-2"/>
                <w:sz w:val="20"/>
              </w:rPr>
              <w:t>14.43909</w:t>
            </w:r>
          </w:p>
        </w:tc>
      </w:tr>
      <w:tr>
        <w:trPr>
          <w:trHeight w:val="265" w:hRule="atLeast"/>
        </w:trPr>
        <w:tc>
          <w:tcPr>
            <w:tcW w:w="1847" w:type="dxa"/>
            <w:tcBorders>
              <w:bottom w:val="double" w:sz="6" w:space="0" w:color="000000"/>
            </w:tcBorders>
          </w:tcPr>
          <w:p>
            <w:pPr>
              <w:pStyle w:val="TableParagraph"/>
              <w:spacing w:line="226" w:lineRule="exact"/>
              <w:ind w:left="36"/>
              <w:rPr>
                <w:sz w:val="20"/>
              </w:rPr>
            </w:pPr>
            <w:r>
              <w:rPr>
                <w:sz w:val="20"/>
              </w:rPr>
              <w:t>Durbin-Watson</w:t>
            </w:r>
            <w:r>
              <w:rPr>
                <w:spacing w:val="-12"/>
                <w:sz w:val="20"/>
              </w:rPr>
              <w:t> </w:t>
            </w:r>
            <w:r>
              <w:rPr>
                <w:spacing w:val="-4"/>
                <w:sz w:val="20"/>
              </w:rPr>
              <w:t>stat</w:t>
            </w:r>
          </w:p>
        </w:tc>
        <w:tc>
          <w:tcPr>
            <w:tcW w:w="1375" w:type="dxa"/>
          </w:tcPr>
          <w:p>
            <w:pPr>
              <w:pStyle w:val="TableParagraph"/>
              <w:spacing w:line="226" w:lineRule="exact"/>
              <w:ind w:right="128"/>
              <w:jc w:val="right"/>
              <w:rPr>
                <w:sz w:val="20"/>
              </w:rPr>
            </w:pPr>
            <w:r>
              <w:rPr>
                <w:spacing w:val="-2"/>
                <w:sz w:val="20"/>
              </w:rPr>
              <w:t>2.002558</w:t>
            </w:r>
          </w:p>
        </w:tc>
        <w:tc>
          <w:tcPr>
            <w:tcW w:w="1432" w:type="dxa"/>
            <w:tcBorders>
              <w:bottom w:val="double" w:sz="6" w:space="0" w:color="000000"/>
            </w:tcBorders>
          </w:tcPr>
          <w:p>
            <w:pPr>
              <w:pStyle w:val="TableParagraph"/>
              <w:spacing w:line="226" w:lineRule="exact"/>
              <w:ind w:left="131"/>
              <w:rPr>
                <w:sz w:val="20"/>
              </w:rPr>
            </w:pPr>
            <w:r>
              <w:rPr>
                <w:spacing w:val="-2"/>
                <w:sz w:val="20"/>
              </w:rPr>
              <w:t>Prob(F-statistic)</w:t>
            </w:r>
          </w:p>
        </w:tc>
        <w:tc>
          <w:tcPr>
            <w:tcW w:w="904" w:type="dxa"/>
            <w:tcBorders>
              <w:bottom w:val="double" w:sz="6" w:space="0" w:color="000000"/>
            </w:tcBorders>
          </w:tcPr>
          <w:p>
            <w:pPr>
              <w:pStyle w:val="TableParagraph"/>
              <w:rPr>
                <w:sz w:val="18"/>
              </w:rPr>
            </w:pPr>
          </w:p>
        </w:tc>
        <w:tc>
          <w:tcPr>
            <w:tcW w:w="929" w:type="dxa"/>
            <w:tcBorders>
              <w:bottom w:val="double" w:sz="6" w:space="0" w:color="000000"/>
            </w:tcBorders>
          </w:tcPr>
          <w:p>
            <w:pPr>
              <w:pStyle w:val="TableParagraph"/>
              <w:spacing w:line="226" w:lineRule="exact"/>
              <w:ind w:right="27"/>
              <w:jc w:val="right"/>
              <w:rPr>
                <w:sz w:val="20"/>
              </w:rPr>
            </w:pPr>
            <w:r>
              <w:rPr>
                <w:spacing w:val="-2"/>
                <w:sz w:val="20"/>
              </w:rPr>
              <w:t>0.000023</w:t>
            </w:r>
          </w:p>
        </w:tc>
      </w:tr>
    </w:tbl>
    <w:p>
      <w:pPr>
        <w:spacing w:after="0" w:line="226" w:lineRule="exact"/>
        <w:jc w:val="right"/>
        <w:rPr>
          <w:sz w:val="20"/>
        </w:rPr>
        <w:sectPr>
          <w:pgSz w:w="11910" w:h="16840"/>
          <w:pgMar w:header="0" w:footer="979" w:top="1340" w:bottom="1240" w:left="280" w:right="0"/>
        </w:sectPr>
      </w:pPr>
    </w:p>
    <w:p>
      <w:pPr>
        <w:spacing w:before="62" w:after="3"/>
        <w:ind w:left="711" w:right="0" w:firstLine="0"/>
        <w:jc w:val="left"/>
        <w:rPr>
          <w:sz w:val="20"/>
        </w:rPr>
      </w:pPr>
      <w:r>
        <w:rPr>
          <w:sz w:val="20"/>
        </w:rPr>
        <w:t>OVER</w:t>
      </w:r>
      <w:r>
        <w:rPr>
          <w:spacing w:val="-8"/>
          <w:sz w:val="20"/>
        </w:rPr>
        <w:t> </w:t>
      </w:r>
      <w:r>
        <w:rPr>
          <w:sz w:val="20"/>
        </w:rPr>
        <w:t>PARAMETIZED</w:t>
      </w:r>
      <w:r>
        <w:rPr>
          <w:spacing w:val="-6"/>
          <w:sz w:val="20"/>
        </w:rPr>
        <w:t> </w:t>
      </w:r>
      <w:r>
        <w:rPr>
          <w:sz w:val="20"/>
        </w:rPr>
        <w:t>ECM</w:t>
      </w:r>
      <w:r>
        <w:rPr>
          <w:spacing w:val="-4"/>
          <w:sz w:val="20"/>
        </w:rPr>
        <w:t> </w:t>
      </w:r>
      <w:r>
        <w:rPr>
          <w:sz w:val="20"/>
        </w:rPr>
        <w:t>FOR</w:t>
      </w:r>
      <w:r>
        <w:rPr>
          <w:spacing w:val="-7"/>
          <w:sz w:val="20"/>
        </w:rPr>
        <w:t> </w:t>
      </w:r>
      <w:r>
        <w:rPr>
          <w:sz w:val="20"/>
        </w:rPr>
        <w:t>MODEL</w:t>
      </w:r>
      <w:r>
        <w:rPr>
          <w:spacing w:val="-8"/>
          <w:sz w:val="20"/>
        </w:rPr>
        <w:t> </w:t>
      </w:r>
      <w:r>
        <w:rPr>
          <w:spacing w:val="-5"/>
          <w:sz w:val="20"/>
        </w:rPr>
        <w:t>2B</w:t>
      </w:r>
    </w:p>
    <w:tbl>
      <w:tblPr>
        <w:tblW w:w="0" w:type="auto"/>
        <w:jc w:val="left"/>
        <w:tblInd w:w="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17"/>
        <w:gridCol w:w="1206"/>
        <w:gridCol w:w="1251"/>
        <w:gridCol w:w="1087"/>
        <w:gridCol w:w="930"/>
      </w:tblGrid>
      <w:tr>
        <w:trPr>
          <w:trHeight w:val="224" w:hRule="atLeast"/>
        </w:trPr>
        <w:tc>
          <w:tcPr>
            <w:tcW w:w="6491" w:type="dxa"/>
            <w:gridSpan w:val="5"/>
          </w:tcPr>
          <w:p>
            <w:pPr>
              <w:pStyle w:val="TableParagraph"/>
              <w:spacing w:line="204" w:lineRule="exact"/>
              <w:ind w:left="36"/>
              <w:rPr>
                <w:sz w:val="20"/>
              </w:rPr>
            </w:pPr>
            <w:r>
              <w:rPr>
                <w:sz w:val="20"/>
              </w:rPr>
              <w:t>Dependent</w:t>
            </w:r>
            <w:r>
              <w:rPr>
                <w:spacing w:val="-8"/>
                <w:sz w:val="20"/>
              </w:rPr>
              <w:t> </w:t>
            </w:r>
            <w:r>
              <w:rPr>
                <w:sz w:val="20"/>
              </w:rPr>
              <w:t>Variable:</w:t>
            </w:r>
            <w:r>
              <w:rPr>
                <w:spacing w:val="-8"/>
                <w:sz w:val="20"/>
              </w:rPr>
              <w:t> </w:t>
            </w:r>
            <w:r>
              <w:rPr>
                <w:spacing w:val="-2"/>
                <w:sz w:val="20"/>
              </w:rPr>
              <w:t>D(GDP,2)</w:t>
            </w:r>
          </w:p>
        </w:tc>
      </w:tr>
      <w:tr>
        <w:trPr>
          <w:trHeight w:val="229" w:hRule="atLeast"/>
        </w:trPr>
        <w:tc>
          <w:tcPr>
            <w:tcW w:w="2017" w:type="dxa"/>
          </w:tcPr>
          <w:p>
            <w:pPr>
              <w:pStyle w:val="TableParagraph"/>
              <w:spacing w:line="209" w:lineRule="exact"/>
              <w:ind w:left="36"/>
              <w:rPr>
                <w:sz w:val="20"/>
              </w:rPr>
            </w:pPr>
            <w:r>
              <w:rPr>
                <w:sz w:val="20"/>
              </w:rPr>
              <w:t>Method:</w:t>
            </w:r>
            <w:r>
              <w:rPr>
                <w:spacing w:val="-8"/>
                <w:sz w:val="20"/>
              </w:rPr>
              <w:t> </w:t>
            </w:r>
            <w:r>
              <w:rPr>
                <w:sz w:val="20"/>
              </w:rPr>
              <w:t>Least</w:t>
            </w:r>
            <w:r>
              <w:rPr>
                <w:spacing w:val="-7"/>
                <w:sz w:val="20"/>
              </w:rPr>
              <w:t> </w:t>
            </w:r>
            <w:r>
              <w:rPr>
                <w:spacing w:val="-2"/>
                <w:sz w:val="20"/>
              </w:rPr>
              <w:t>Squares</w:t>
            </w:r>
          </w:p>
        </w:tc>
        <w:tc>
          <w:tcPr>
            <w:tcW w:w="1206" w:type="dxa"/>
          </w:tcPr>
          <w:p>
            <w:pPr>
              <w:pStyle w:val="TableParagraph"/>
              <w:rPr>
                <w:sz w:val="16"/>
              </w:rPr>
            </w:pPr>
          </w:p>
        </w:tc>
        <w:tc>
          <w:tcPr>
            <w:tcW w:w="1251" w:type="dxa"/>
          </w:tcPr>
          <w:p>
            <w:pPr>
              <w:pStyle w:val="TableParagraph"/>
              <w:rPr>
                <w:sz w:val="16"/>
              </w:rPr>
            </w:pPr>
          </w:p>
        </w:tc>
        <w:tc>
          <w:tcPr>
            <w:tcW w:w="1087" w:type="dxa"/>
          </w:tcPr>
          <w:p>
            <w:pPr>
              <w:pStyle w:val="TableParagraph"/>
              <w:rPr>
                <w:sz w:val="16"/>
              </w:rPr>
            </w:pPr>
          </w:p>
        </w:tc>
        <w:tc>
          <w:tcPr>
            <w:tcW w:w="930" w:type="dxa"/>
          </w:tcPr>
          <w:p>
            <w:pPr>
              <w:pStyle w:val="TableParagraph"/>
              <w:rPr>
                <w:sz w:val="16"/>
              </w:rPr>
            </w:pPr>
          </w:p>
        </w:tc>
      </w:tr>
      <w:tr>
        <w:trPr>
          <w:trHeight w:val="230" w:hRule="atLeast"/>
        </w:trPr>
        <w:tc>
          <w:tcPr>
            <w:tcW w:w="6491" w:type="dxa"/>
            <w:gridSpan w:val="5"/>
          </w:tcPr>
          <w:p>
            <w:pPr>
              <w:pStyle w:val="TableParagraph"/>
              <w:spacing w:line="210" w:lineRule="exact"/>
              <w:ind w:left="36"/>
              <w:rPr>
                <w:sz w:val="20"/>
              </w:rPr>
            </w:pPr>
            <w:r>
              <w:rPr>
                <w:sz w:val="20"/>
              </w:rPr>
              <w:t>Date:</w:t>
            </w:r>
            <w:r>
              <w:rPr>
                <w:spacing w:val="-5"/>
                <w:sz w:val="20"/>
              </w:rPr>
              <w:t> </w:t>
            </w:r>
            <w:r>
              <w:rPr>
                <w:sz w:val="20"/>
              </w:rPr>
              <w:t>02/17/14</w:t>
            </w:r>
            <w:r>
              <w:rPr>
                <w:spacing w:val="63"/>
                <w:w w:val="150"/>
                <w:sz w:val="20"/>
              </w:rPr>
              <w:t> </w:t>
            </w:r>
            <w:r>
              <w:rPr>
                <w:sz w:val="20"/>
              </w:rPr>
              <w:t>Time:</w:t>
            </w:r>
            <w:r>
              <w:rPr>
                <w:spacing w:val="-3"/>
                <w:sz w:val="20"/>
              </w:rPr>
              <w:t> </w:t>
            </w:r>
            <w:r>
              <w:rPr>
                <w:spacing w:val="-2"/>
                <w:sz w:val="20"/>
              </w:rPr>
              <w:t>22:00</w:t>
            </w:r>
          </w:p>
        </w:tc>
      </w:tr>
      <w:tr>
        <w:trPr>
          <w:trHeight w:val="230" w:hRule="atLeast"/>
        </w:trPr>
        <w:tc>
          <w:tcPr>
            <w:tcW w:w="6491" w:type="dxa"/>
            <w:gridSpan w:val="5"/>
          </w:tcPr>
          <w:p>
            <w:pPr>
              <w:pStyle w:val="TableParagraph"/>
              <w:spacing w:line="210" w:lineRule="exact"/>
              <w:ind w:left="36"/>
              <w:rPr>
                <w:sz w:val="20"/>
              </w:rPr>
            </w:pPr>
            <w:r>
              <w:rPr>
                <w:sz w:val="20"/>
              </w:rPr>
              <w:t>Sample(adjusted):</w:t>
            </w:r>
            <w:r>
              <w:rPr>
                <w:spacing w:val="-9"/>
                <w:sz w:val="20"/>
              </w:rPr>
              <w:t> </w:t>
            </w:r>
            <w:r>
              <w:rPr>
                <w:sz w:val="20"/>
              </w:rPr>
              <w:t>1973</w:t>
            </w:r>
            <w:r>
              <w:rPr>
                <w:spacing w:val="-9"/>
                <w:sz w:val="20"/>
              </w:rPr>
              <w:t> </w:t>
            </w:r>
            <w:r>
              <w:rPr>
                <w:spacing w:val="-4"/>
                <w:sz w:val="20"/>
              </w:rPr>
              <w:t>2011</w:t>
            </w:r>
          </w:p>
        </w:tc>
      </w:tr>
      <w:tr>
        <w:trPr>
          <w:trHeight w:val="224" w:hRule="atLeast"/>
        </w:trPr>
        <w:tc>
          <w:tcPr>
            <w:tcW w:w="6491" w:type="dxa"/>
            <w:gridSpan w:val="5"/>
            <w:tcBorders>
              <w:bottom w:val="double" w:sz="6" w:space="0" w:color="000000"/>
            </w:tcBorders>
          </w:tcPr>
          <w:p>
            <w:pPr>
              <w:pStyle w:val="TableParagraph"/>
              <w:spacing w:line="205" w:lineRule="exact"/>
              <w:ind w:left="36"/>
              <w:rPr>
                <w:sz w:val="20"/>
              </w:rPr>
            </w:pPr>
            <w:r>
              <w:rPr>
                <w:sz w:val="20"/>
              </w:rPr>
              <w:t>Included</w:t>
            </w:r>
            <w:r>
              <w:rPr>
                <w:spacing w:val="-6"/>
                <w:sz w:val="20"/>
              </w:rPr>
              <w:t> </w:t>
            </w:r>
            <w:r>
              <w:rPr>
                <w:sz w:val="20"/>
              </w:rPr>
              <w:t>observations:</w:t>
            </w:r>
            <w:r>
              <w:rPr>
                <w:spacing w:val="-8"/>
                <w:sz w:val="20"/>
              </w:rPr>
              <w:t> </w:t>
            </w:r>
            <w:r>
              <w:rPr>
                <w:sz w:val="20"/>
              </w:rPr>
              <w:t>39</w:t>
            </w:r>
            <w:r>
              <w:rPr>
                <w:spacing w:val="-5"/>
                <w:sz w:val="20"/>
              </w:rPr>
              <w:t> </w:t>
            </w:r>
            <w:r>
              <w:rPr>
                <w:sz w:val="20"/>
              </w:rPr>
              <w:t>after</w:t>
            </w:r>
            <w:r>
              <w:rPr>
                <w:spacing w:val="-7"/>
                <w:sz w:val="20"/>
              </w:rPr>
              <w:t> </w:t>
            </w:r>
            <w:r>
              <w:rPr>
                <w:sz w:val="20"/>
              </w:rPr>
              <w:t>adjusting</w:t>
            </w:r>
            <w:r>
              <w:rPr>
                <w:spacing w:val="-7"/>
                <w:sz w:val="20"/>
              </w:rPr>
              <w:t> </w:t>
            </w:r>
            <w:r>
              <w:rPr>
                <w:spacing w:val="-2"/>
                <w:sz w:val="20"/>
              </w:rPr>
              <w:t>endpoints</w:t>
            </w:r>
          </w:p>
        </w:tc>
      </w:tr>
      <w:tr>
        <w:trPr>
          <w:trHeight w:val="269" w:hRule="atLeast"/>
        </w:trPr>
        <w:tc>
          <w:tcPr>
            <w:tcW w:w="2017" w:type="dxa"/>
            <w:tcBorders>
              <w:top w:val="double" w:sz="6" w:space="0" w:color="000000"/>
              <w:bottom w:val="double" w:sz="6" w:space="0" w:color="000000"/>
            </w:tcBorders>
          </w:tcPr>
          <w:p>
            <w:pPr>
              <w:pStyle w:val="TableParagraph"/>
              <w:spacing w:line="209" w:lineRule="exact" w:before="40"/>
              <w:ind w:left="677"/>
              <w:rPr>
                <w:sz w:val="20"/>
              </w:rPr>
            </w:pPr>
            <w:r>
              <w:rPr>
                <w:spacing w:val="-2"/>
                <w:sz w:val="20"/>
              </w:rPr>
              <w:t>Variable</w:t>
            </w:r>
          </w:p>
        </w:tc>
        <w:tc>
          <w:tcPr>
            <w:tcW w:w="1206" w:type="dxa"/>
            <w:tcBorders>
              <w:top w:val="double" w:sz="6" w:space="0" w:color="000000"/>
              <w:bottom w:val="double" w:sz="6" w:space="0" w:color="000000"/>
            </w:tcBorders>
          </w:tcPr>
          <w:p>
            <w:pPr>
              <w:pStyle w:val="TableParagraph"/>
              <w:spacing w:line="209" w:lineRule="exact" w:before="40"/>
              <w:ind w:left="127" w:right="87"/>
              <w:jc w:val="center"/>
              <w:rPr>
                <w:sz w:val="20"/>
              </w:rPr>
            </w:pPr>
            <w:r>
              <w:rPr>
                <w:spacing w:val="-2"/>
                <w:sz w:val="20"/>
              </w:rPr>
              <w:t>Coefficient</w:t>
            </w:r>
          </w:p>
        </w:tc>
        <w:tc>
          <w:tcPr>
            <w:tcW w:w="1251" w:type="dxa"/>
            <w:tcBorders>
              <w:top w:val="double" w:sz="6" w:space="0" w:color="000000"/>
              <w:bottom w:val="double" w:sz="6" w:space="0" w:color="000000"/>
            </w:tcBorders>
          </w:tcPr>
          <w:p>
            <w:pPr>
              <w:pStyle w:val="TableParagraph"/>
              <w:spacing w:line="209" w:lineRule="exact" w:before="40"/>
              <w:ind w:left="174" w:right="91"/>
              <w:jc w:val="center"/>
              <w:rPr>
                <w:sz w:val="20"/>
              </w:rPr>
            </w:pPr>
            <w:r>
              <w:rPr>
                <w:sz w:val="20"/>
              </w:rPr>
              <w:t>Std.</w:t>
            </w:r>
            <w:r>
              <w:rPr>
                <w:spacing w:val="-4"/>
                <w:sz w:val="20"/>
              </w:rPr>
              <w:t> </w:t>
            </w:r>
            <w:r>
              <w:rPr>
                <w:spacing w:val="-2"/>
                <w:sz w:val="20"/>
              </w:rPr>
              <w:t>Error</w:t>
            </w:r>
          </w:p>
        </w:tc>
        <w:tc>
          <w:tcPr>
            <w:tcW w:w="1087" w:type="dxa"/>
            <w:tcBorders>
              <w:top w:val="double" w:sz="6" w:space="0" w:color="000000"/>
              <w:bottom w:val="double" w:sz="6" w:space="0" w:color="000000"/>
            </w:tcBorders>
          </w:tcPr>
          <w:p>
            <w:pPr>
              <w:pStyle w:val="TableParagraph"/>
              <w:spacing w:line="209" w:lineRule="exact" w:before="40"/>
              <w:ind w:left="169" w:right="17"/>
              <w:jc w:val="center"/>
              <w:rPr>
                <w:sz w:val="20"/>
              </w:rPr>
            </w:pPr>
            <w:r>
              <w:rPr>
                <w:spacing w:val="-4"/>
                <w:sz w:val="20"/>
              </w:rPr>
              <w:t>t-</w:t>
            </w:r>
            <w:r>
              <w:rPr>
                <w:spacing w:val="-2"/>
                <w:sz w:val="20"/>
              </w:rPr>
              <w:t>Statistic</w:t>
            </w:r>
          </w:p>
        </w:tc>
        <w:tc>
          <w:tcPr>
            <w:tcW w:w="930" w:type="dxa"/>
            <w:tcBorders>
              <w:top w:val="double" w:sz="6" w:space="0" w:color="000000"/>
              <w:bottom w:val="double" w:sz="6" w:space="0" w:color="000000"/>
            </w:tcBorders>
          </w:tcPr>
          <w:p>
            <w:pPr>
              <w:pStyle w:val="TableParagraph"/>
              <w:spacing w:line="209" w:lineRule="exact" w:before="40"/>
              <w:ind w:right="32"/>
              <w:jc w:val="right"/>
              <w:rPr>
                <w:sz w:val="20"/>
              </w:rPr>
            </w:pPr>
            <w:r>
              <w:rPr>
                <w:spacing w:val="-2"/>
                <w:sz w:val="20"/>
              </w:rPr>
              <w:t>Prob.</w:t>
            </w:r>
          </w:p>
        </w:tc>
      </w:tr>
      <w:tr>
        <w:trPr>
          <w:trHeight w:val="275" w:hRule="atLeast"/>
        </w:trPr>
        <w:tc>
          <w:tcPr>
            <w:tcW w:w="2017" w:type="dxa"/>
            <w:tcBorders>
              <w:top w:val="double" w:sz="6" w:space="0" w:color="000000"/>
            </w:tcBorders>
          </w:tcPr>
          <w:p>
            <w:pPr>
              <w:pStyle w:val="TableParagraph"/>
              <w:spacing w:line="215" w:lineRule="exact" w:before="40"/>
              <w:ind w:left="458"/>
              <w:rPr>
                <w:sz w:val="20"/>
              </w:rPr>
            </w:pPr>
            <w:r>
              <w:rPr>
                <w:spacing w:val="-2"/>
                <w:sz w:val="20"/>
              </w:rPr>
              <w:t>D(GDP(-1),2)</w:t>
            </w:r>
          </w:p>
        </w:tc>
        <w:tc>
          <w:tcPr>
            <w:tcW w:w="1206" w:type="dxa"/>
            <w:tcBorders>
              <w:top w:val="double" w:sz="6" w:space="0" w:color="000000"/>
            </w:tcBorders>
          </w:tcPr>
          <w:p>
            <w:pPr>
              <w:pStyle w:val="TableParagraph"/>
              <w:spacing w:line="215" w:lineRule="exact" w:before="40"/>
              <w:ind w:left="127"/>
              <w:jc w:val="center"/>
              <w:rPr>
                <w:sz w:val="20"/>
              </w:rPr>
            </w:pPr>
            <w:r>
              <w:rPr>
                <w:spacing w:val="-4"/>
                <w:sz w:val="20"/>
              </w:rPr>
              <w:t>-</w:t>
            </w:r>
            <w:r>
              <w:rPr>
                <w:spacing w:val="-2"/>
                <w:sz w:val="20"/>
              </w:rPr>
              <w:t>0.183644</w:t>
            </w:r>
          </w:p>
        </w:tc>
        <w:tc>
          <w:tcPr>
            <w:tcW w:w="1251" w:type="dxa"/>
            <w:tcBorders>
              <w:top w:val="double" w:sz="6" w:space="0" w:color="000000"/>
            </w:tcBorders>
          </w:tcPr>
          <w:p>
            <w:pPr>
              <w:pStyle w:val="TableParagraph"/>
              <w:spacing w:line="215" w:lineRule="exact" w:before="40"/>
              <w:ind w:left="174" w:right="53"/>
              <w:jc w:val="center"/>
              <w:rPr>
                <w:sz w:val="20"/>
              </w:rPr>
            </w:pPr>
            <w:r>
              <w:rPr>
                <w:spacing w:val="-2"/>
                <w:sz w:val="20"/>
              </w:rPr>
              <w:t>0.180833</w:t>
            </w:r>
          </w:p>
        </w:tc>
        <w:tc>
          <w:tcPr>
            <w:tcW w:w="1087" w:type="dxa"/>
            <w:tcBorders>
              <w:top w:val="double" w:sz="6" w:space="0" w:color="000000"/>
            </w:tcBorders>
          </w:tcPr>
          <w:p>
            <w:pPr>
              <w:pStyle w:val="TableParagraph"/>
              <w:spacing w:line="215" w:lineRule="exact" w:before="40"/>
              <w:ind w:left="169" w:right="65"/>
              <w:jc w:val="center"/>
              <w:rPr>
                <w:sz w:val="20"/>
              </w:rPr>
            </w:pPr>
            <w:r>
              <w:rPr>
                <w:spacing w:val="-4"/>
                <w:sz w:val="20"/>
              </w:rPr>
              <w:t>-</w:t>
            </w:r>
            <w:r>
              <w:rPr>
                <w:spacing w:val="-2"/>
                <w:sz w:val="20"/>
              </w:rPr>
              <w:t>1.015549</w:t>
            </w:r>
          </w:p>
        </w:tc>
        <w:tc>
          <w:tcPr>
            <w:tcW w:w="930" w:type="dxa"/>
            <w:tcBorders>
              <w:top w:val="double" w:sz="6" w:space="0" w:color="000000"/>
            </w:tcBorders>
          </w:tcPr>
          <w:p>
            <w:pPr>
              <w:pStyle w:val="TableParagraph"/>
              <w:spacing w:line="215" w:lineRule="exact" w:before="40"/>
              <w:ind w:right="31"/>
              <w:jc w:val="right"/>
              <w:rPr>
                <w:sz w:val="20"/>
              </w:rPr>
            </w:pPr>
            <w:r>
              <w:rPr>
                <w:spacing w:val="-2"/>
                <w:sz w:val="20"/>
              </w:rPr>
              <w:t>0.3185</w:t>
            </w:r>
          </w:p>
        </w:tc>
      </w:tr>
      <w:tr>
        <w:trPr>
          <w:trHeight w:val="230" w:hRule="atLeast"/>
        </w:trPr>
        <w:tc>
          <w:tcPr>
            <w:tcW w:w="2017" w:type="dxa"/>
          </w:tcPr>
          <w:p>
            <w:pPr>
              <w:pStyle w:val="TableParagraph"/>
              <w:spacing w:line="210" w:lineRule="exact"/>
              <w:ind w:left="353"/>
              <w:rPr>
                <w:sz w:val="20"/>
              </w:rPr>
            </w:pPr>
            <w:r>
              <w:rPr>
                <w:spacing w:val="-2"/>
                <w:sz w:val="20"/>
              </w:rPr>
              <w:t>D(EXTDEBT,2)</w:t>
            </w:r>
          </w:p>
        </w:tc>
        <w:tc>
          <w:tcPr>
            <w:tcW w:w="1206" w:type="dxa"/>
          </w:tcPr>
          <w:p>
            <w:pPr>
              <w:pStyle w:val="TableParagraph"/>
              <w:spacing w:line="210" w:lineRule="exact"/>
              <w:ind w:left="191"/>
              <w:jc w:val="center"/>
              <w:rPr>
                <w:sz w:val="20"/>
              </w:rPr>
            </w:pPr>
            <w:r>
              <w:rPr>
                <w:spacing w:val="-2"/>
                <w:sz w:val="20"/>
              </w:rPr>
              <w:t>0.013823</w:t>
            </w:r>
          </w:p>
        </w:tc>
        <w:tc>
          <w:tcPr>
            <w:tcW w:w="1251" w:type="dxa"/>
          </w:tcPr>
          <w:p>
            <w:pPr>
              <w:pStyle w:val="TableParagraph"/>
              <w:spacing w:line="210" w:lineRule="exact"/>
              <w:ind w:left="174" w:right="53"/>
              <w:jc w:val="center"/>
              <w:rPr>
                <w:sz w:val="20"/>
              </w:rPr>
            </w:pPr>
            <w:r>
              <w:rPr>
                <w:spacing w:val="-2"/>
                <w:sz w:val="20"/>
              </w:rPr>
              <w:t>0.012410</w:t>
            </w:r>
          </w:p>
        </w:tc>
        <w:tc>
          <w:tcPr>
            <w:tcW w:w="1087" w:type="dxa"/>
          </w:tcPr>
          <w:p>
            <w:pPr>
              <w:pStyle w:val="TableParagraph"/>
              <w:spacing w:line="210" w:lineRule="exact"/>
              <w:ind w:left="169"/>
              <w:jc w:val="center"/>
              <w:rPr>
                <w:sz w:val="20"/>
              </w:rPr>
            </w:pPr>
            <w:r>
              <w:rPr>
                <w:spacing w:val="-2"/>
                <w:sz w:val="20"/>
              </w:rPr>
              <w:t>1.113800</w:t>
            </w:r>
          </w:p>
        </w:tc>
        <w:tc>
          <w:tcPr>
            <w:tcW w:w="930" w:type="dxa"/>
          </w:tcPr>
          <w:p>
            <w:pPr>
              <w:pStyle w:val="TableParagraph"/>
              <w:spacing w:line="210" w:lineRule="exact"/>
              <w:ind w:right="31"/>
              <w:jc w:val="right"/>
              <w:rPr>
                <w:sz w:val="20"/>
              </w:rPr>
            </w:pPr>
            <w:r>
              <w:rPr>
                <w:spacing w:val="-2"/>
                <w:sz w:val="20"/>
              </w:rPr>
              <w:t>0.2748</w:t>
            </w:r>
          </w:p>
        </w:tc>
      </w:tr>
      <w:tr>
        <w:trPr>
          <w:trHeight w:val="230" w:hRule="atLeast"/>
        </w:trPr>
        <w:tc>
          <w:tcPr>
            <w:tcW w:w="2017" w:type="dxa"/>
          </w:tcPr>
          <w:p>
            <w:pPr>
              <w:pStyle w:val="TableParagraph"/>
              <w:spacing w:line="210" w:lineRule="exact"/>
              <w:ind w:left="202"/>
              <w:rPr>
                <w:sz w:val="20"/>
              </w:rPr>
            </w:pPr>
            <w:r>
              <w:rPr>
                <w:spacing w:val="-2"/>
                <w:sz w:val="20"/>
              </w:rPr>
              <w:t>D(EXTDEBT(-</w:t>
            </w:r>
            <w:r>
              <w:rPr>
                <w:spacing w:val="-4"/>
                <w:sz w:val="20"/>
              </w:rPr>
              <w:t>1),2)</w:t>
            </w:r>
          </w:p>
        </w:tc>
        <w:tc>
          <w:tcPr>
            <w:tcW w:w="1206" w:type="dxa"/>
          </w:tcPr>
          <w:p>
            <w:pPr>
              <w:pStyle w:val="TableParagraph"/>
              <w:spacing w:line="210" w:lineRule="exact"/>
              <w:ind w:left="127"/>
              <w:jc w:val="center"/>
              <w:rPr>
                <w:sz w:val="20"/>
              </w:rPr>
            </w:pPr>
            <w:r>
              <w:rPr>
                <w:spacing w:val="-4"/>
                <w:sz w:val="20"/>
              </w:rPr>
              <w:t>-</w:t>
            </w:r>
            <w:r>
              <w:rPr>
                <w:spacing w:val="-2"/>
                <w:sz w:val="20"/>
              </w:rPr>
              <w:t>0.003551</w:t>
            </w:r>
          </w:p>
        </w:tc>
        <w:tc>
          <w:tcPr>
            <w:tcW w:w="1251" w:type="dxa"/>
          </w:tcPr>
          <w:p>
            <w:pPr>
              <w:pStyle w:val="TableParagraph"/>
              <w:spacing w:line="210" w:lineRule="exact"/>
              <w:ind w:left="174" w:right="53"/>
              <w:jc w:val="center"/>
              <w:rPr>
                <w:sz w:val="20"/>
              </w:rPr>
            </w:pPr>
            <w:r>
              <w:rPr>
                <w:spacing w:val="-2"/>
                <w:sz w:val="20"/>
              </w:rPr>
              <w:t>0.013139</w:t>
            </w:r>
          </w:p>
        </w:tc>
        <w:tc>
          <w:tcPr>
            <w:tcW w:w="1087" w:type="dxa"/>
          </w:tcPr>
          <w:p>
            <w:pPr>
              <w:pStyle w:val="TableParagraph"/>
              <w:spacing w:line="210" w:lineRule="exact"/>
              <w:ind w:left="169" w:right="65"/>
              <w:jc w:val="center"/>
              <w:rPr>
                <w:sz w:val="20"/>
              </w:rPr>
            </w:pPr>
            <w:r>
              <w:rPr>
                <w:spacing w:val="-4"/>
                <w:sz w:val="20"/>
              </w:rPr>
              <w:t>-</w:t>
            </w:r>
            <w:r>
              <w:rPr>
                <w:spacing w:val="-2"/>
                <w:sz w:val="20"/>
              </w:rPr>
              <w:t>0.270236</w:t>
            </w:r>
          </w:p>
        </w:tc>
        <w:tc>
          <w:tcPr>
            <w:tcW w:w="930" w:type="dxa"/>
          </w:tcPr>
          <w:p>
            <w:pPr>
              <w:pStyle w:val="TableParagraph"/>
              <w:spacing w:line="210" w:lineRule="exact"/>
              <w:ind w:right="31"/>
              <w:jc w:val="right"/>
              <w:rPr>
                <w:sz w:val="20"/>
              </w:rPr>
            </w:pPr>
            <w:r>
              <w:rPr>
                <w:spacing w:val="-2"/>
                <w:sz w:val="20"/>
              </w:rPr>
              <w:t>0.7890</w:t>
            </w:r>
          </w:p>
        </w:tc>
      </w:tr>
      <w:tr>
        <w:trPr>
          <w:trHeight w:val="230" w:hRule="atLeast"/>
        </w:trPr>
        <w:tc>
          <w:tcPr>
            <w:tcW w:w="2017" w:type="dxa"/>
          </w:tcPr>
          <w:p>
            <w:pPr>
              <w:pStyle w:val="TableParagraph"/>
              <w:spacing w:line="210" w:lineRule="exact"/>
              <w:ind w:left="648"/>
              <w:rPr>
                <w:sz w:val="20"/>
              </w:rPr>
            </w:pPr>
            <w:r>
              <w:rPr>
                <w:spacing w:val="-2"/>
                <w:sz w:val="20"/>
              </w:rPr>
              <w:t>D(DFI,2)</w:t>
            </w:r>
          </w:p>
        </w:tc>
        <w:tc>
          <w:tcPr>
            <w:tcW w:w="1206" w:type="dxa"/>
          </w:tcPr>
          <w:p>
            <w:pPr>
              <w:pStyle w:val="TableParagraph"/>
              <w:spacing w:line="210" w:lineRule="exact"/>
              <w:ind w:left="191"/>
              <w:jc w:val="center"/>
              <w:rPr>
                <w:sz w:val="20"/>
              </w:rPr>
            </w:pPr>
            <w:r>
              <w:rPr>
                <w:spacing w:val="-2"/>
                <w:sz w:val="20"/>
              </w:rPr>
              <w:t>0.053507</w:t>
            </w:r>
          </w:p>
        </w:tc>
        <w:tc>
          <w:tcPr>
            <w:tcW w:w="1251" w:type="dxa"/>
          </w:tcPr>
          <w:p>
            <w:pPr>
              <w:pStyle w:val="TableParagraph"/>
              <w:spacing w:line="210" w:lineRule="exact"/>
              <w:ind w:left="174" w:right="53"/>
              <w:jc w:val="center"/>
              <w:rPr>
                <w:sz w:val="20"/>
              </w:rPr>
            </w:pPr>
            <w:r>
              <w:rPr>
                <w:spacing w:val="-2"/>
                <w:sz w:val="20"/>
              </w:rPr>
              <w:t>0.071463</w:t>
            </w:r>
          </w:p>
        </w:tc>
        <w:tc>
          <w:tcPr>
            <w:tcW w:w="1087" w:type="dxa"/>
          </w:tcPr>
          <w:p>
            <w:pPr>
              <w:pStyle w:val="TableParagraph"/>
              <w:spacing w:line="210" w:lineRule="exact"/>
              <w:ind w:left="169"/>
              <w:jc w:val="center"/>
              <w:rPr>
                <w:sz w:val="20"/>
              </w:rPr>
            </w:pPr>
            <w:r>
              <w:rPr>
                <w:spacing w:val="-2"/>
                <w:sz w:val="20"/>
              </w:rPr>
              <w:t>0.748741</w:t>
            </w:r>
          </w:p>
        </w:tc>
        <w:tc>
          <w:tcPr>
            <w:tcW w:w="930" w:type="dxa"/>
          </w:tcPr>
          <w:p>
            <w:pPr>
              <w:pStyle w:val="TableParagraph"/>
              <w:spacing w:line="210" w:lineRule="exact"/>
              <w:ind w:right="31"/>
              <w:jc w:val="right"/>
              <w:rPr>
                <w:sz w:val="20"/>
              </w:rPr>
            </w:pPr>
            <w:r>
              <w:rPr>
                <w:spacing w:val="-2"/>
                <w:sz w:val="20"/>
              </w:rPr>
              <w:t>0.4603</w:t>
            </w:r>
          </w:p>
        </w:tc>
      </w:tr>
      <w:tr>
        <w:trPr>
          <w:trHeight w:val="230" w:hRule="atLeast"/>
        </w:trPr>
        <w:tc>
          <w:tcPr>
            <w:tcW w:w="2017" w:type="dxa"/>
          </w:tcPr>
          <w:p>
            <w:pPr>
              <w:pStyle w:val="TableParagraph"/>
              <w:spacing w:line="210" w:lineRule="exact"/>
              <w:ind w:left="497"/>
              <w:rPr>
                <w:sz w:val="20"/>
              </w:rPr>
            </w:pPr>
            <w:r>
              <w:rPr>
                <w:spacing w:val="-2"/>
                <w:sz w:val="20"/>
              </w:rPr>
              <w:t>D(DFI(-1),2)</w:t>
            </w:r>
          </w:p>
        </w:tc>
        <w:tc>
          <w:tcPr>
            <w:tcW w:w="1206" w:type="dxa"/>
          </w:tcPr>
          <w:p>
            <w:pPr>
              <w:pStyle w:val="TableParagraph"/>
              <w:spacing w:line="210" w:lineRule="exact"/>
              <w:ind w:left="127"/>
              <w:jc w:val="center"/>
              <w:rPr>
                <w:sz w:val="20"/>
              </w:rPr>
            </w:pPr>
            <w:r>
              <w:rPr>
                <w:spacing w:val="-4"/>
                <w:sz w:val="20"/>
              </w:rPr>
              <w:t>-</w:t>
            </w:r>
            <w:r>
              <w:rPr>
                <w:spacing w:val="-2"/>
                <w:sz w:val="20"/>
              </w:rPr>
              <w:t>0.024731</w:t>
            </w:r>
          </w:p>
        </w:tc>
        <w:tc>
          <w:tcPr>
            <w:tcW w:w="1251" w:type="dxa"/>
          </w:tcPr>
          <w:p>
            <w:pPr>
              <w:pStyle w:val="TableParagraph"/>
              <w:spacing w:line="210" w:lineRule="exact"/>
              <w:ind w:left="174" w:right="53"/>
              <w:jc w:val="center"/>
              <w:rPr>
                <w:sz w:val="20"/>
              </w:rPr>
            </w:pPr>
            <w:r>
              <w:rPr>
                <w:spacing w:val="-2"/>
                <w:sz w:val="20"/>
              </w:rPr>
              <w:t>0.079179</w:t>
            </w:r>
          </w:p>
        </w:tc>
        <w:tc>
          <w:tcPr>
            <w:tcW w:w="1087" w:type="dxa"/>
          </w:tcPr>
          <w:p>
            <w:pPr>
              <w:pStyle w:val="TableParagraph"/>
              <w:spacing w:line="210" w:lineRule="exact"/>
              <w:ind w:left="169" w:right="65"/>
              <w:jc w:val="center"/>
              <w:rPr>
                <w:sz w:val="20"/>
              </w:rPr>
            </w:pPr>
            <w:r>
              <w:rPr>
                <w:spacing w:val="-4"/>
                <w:sz w:val="20"/>
              </w:rPr>
              <w:t>-</w:t>
            </w:r>
            <w:r>
              <w:rPr>
                <w:spacing w:val="-2"/>
                <w:sz w:val="20"/>
              </w:rPr>
              <w:t>0.312339</w:t>
            </w:r>
          </w:p>
        </w:tc>
        <w:tc>
          <w:tcPr>
            <w:tcW w:w="930" w:type="dxa"/>
          </w:tcPr>
          <w:p>
            <w:pPr>
              <w:pStyle w:val="TableParagraph"/>
              <w:spacing w:line="210" w:lineRule="exact"/>
              <w:ind w:right="31"/>
              <w:jc w:val="right"/>
              <w:rPr>
                <w:sz w:val="20"/>
              </w:rPr>
            </w:pPr>
            <w:r>
              <w:rPr>
                <w:spacing w:val="-2"/>
                <w:sz w:val="20"/>
              </w:rPr>
              <w:t>0.7571</w:t>
            </w:r>
          </w:p>
        </w:tc>
      </w:tr>
      <w:tr>
        <w:trPr>
          <w:trHeight w:val="229" w:hRule="atLeast"/>
        </w:trPr>
        <w:tc>
          <w:tcPr>
            <w:tcW w:w="2017" w:type="dxa"/>
          </w:tcPr>
          <w:p>
            <w:pPr>
              <w:pStyle w:val="TableParagraph"/>
              <w:spacing w:line="209" w:lineRule="exact"/>
              <w:ind w:left="602"/>
              <w:rPr>
                <w:sz w:val="20"/>
              </w:rPr>
            </w:pPr>
            <w:r>
              <w:rPr>
                <w:spacing w:val="-2"/>
                <w:sz w:val="20"/>
              </w:rPr>
              <w:t>D(CAB,2)</w:t>
            </w:r>
          </w:p>
        </w:tc>
        <w:tc>
          <w:tcPr>
            <w:tcW w:w="1206" w:type="dxa"/>
          </w:tcPr>
          <w:p>
            <w:pPr>
              <w:pStyle w:val="TableParagraph"/>
              <w:spacing w:line="209" w:lineRule="exact"/>
              <w:ind w:left="191"/>
              <w:jc w:val="center"/>
              <w:rPr>
                <w:sz w:val="20"/>
              </w:rPr>
            </w:pPr>
            <w:r>
              <w:rPr>
                <w:spacing w:val="-2"/>
                <w:sz w:val="20"/>
              </w:rPr>
              <w:t>0.010828</w:t>
            </w:r>
          </w:p>
        </w:tc>
        <w:tc>
          <w:tcPr>
            <w:tcW w:w="1251" w:type="dxa"/>
          </w:tcPr>
          <w:p>
            <w:pPr>
              <w:pStyle w:val="TableParagraph"/>
              <w:spacing w:line="209" w:lineRule="exact"/>
              <w:ind w:left="174" w:right="53"/>
              <w:jc w:val="center"/>
              <w:rPr>
                <w:sz w:val="20"/>
              </w:rPr>
            </w:pPr>
            <w:r>
              <w:rPr>
                <w:spacing w:val="-2"/>
                <w:sz w:val="20"/>
              </w:rPr>
              <w:t>0.016565</w:t>
            </w:r>
          </w:p>
        </w:tc>
        <w:tc>
          <w:tcPr>
            <w:tcW w:w="1087" w:type="dxa"/>
          </w:tcPr>
          <w:p>
            <w:pPr>
              <w:pStyle w:val="TableParagraph"/>
              <w:spacing w:line="209" w:lineRule="exact"/>
              <w:ind w:left="169"/>
              <w:jc w:val="center"/>
              <w:rPr>
                <w:sz w:val="20"/>
              </w:rPr>
            </w:pPr>
            <w:r>
              <w:rPr>
                <w:spacing w:val="-2"/>
                <w:sz w:val="20"/>
              </w:rPr>
              <w:t>0.653682</w:t>
            </w:r>
          </w:p>
        </w:tc>
        <w:tc>
          <w:tcPr>
            <w:tcW w:w="930" w:type="dxa"/>
          </w:tcPr>
          <w:p>
            <w:pPr>
              <w:pStyle w:val="TableParagraph"/>
              <w:spacing w:line="209" w:lineRule="exact"/>
              <w:ind w:right="31"/>
              <w:jc w:val="right"/>
              <w:rPr>
                <w:sz w:val="20"/>
              </w:rPr>
            </w:pPr>
            <w:r>
              <w:rPr>
                <w:spacing w:val="-2"/>
                <w:sz w:val="20"/>
              </w:rPr>
              <w:t>0.5186</w:t>
            </w:r>
          </w:p>
        </w:tc>
      </w:tr>
      <w:tr>
        <w:trPr>
          <w:trHeight w:val="229" w:hRule="atLeast"/>
        </w:trPr>
        <w:tc>
          <w:tcPr>
            <w:tcW w:w="2017" w:type="dxa"/>
          </w:tcPr>
          <w:p>
            <w:pPr>
              <w:pStyle w:val="TableParagraph"/>
              <w:spacing w:line="209" w:lineRule="exact"/>
              <w:ind w:left="454"/>
              <w:rPr>
                <w:sz w:val="20"/>
              </w:rPr>
            </w:pPr>
            <w:r>
              <w:rPr>
                <w:spacing w:val="-2"/>
                <w:sz w:val="20"/>
              </w:rPr>
              <w:t>D(CAB(-1),2)</w:t>
            </w:r>
          </w:p>
        </w:tc>
        <w:tc>
          <w:tcPr>
            <w:tcW w:w="1206" w:type="dxa"/>
          </w:tcPr>
          <w:p>
            <w:pPr>
              <w:pStyle w:val="TableParagraph"/>
              <w:spacing w:line="209" w:lineRule="exact"/>
              <w:ind w:left="127"/>
              <w:jc w:val="center"/>
              <w:rPr>
                <w:sz w:val="20"/>
              </w:rPr>
            </w:pPr>
            <w:r>
              <w:rPr>
                <w:spacing w:val="-4"/>
                <w:sz w:val="20"/>
              </w:rPr>
              <w:t>-</w:t>
            </w:r>
            <w:r>
              <w:rPr>
                <w:spacing w:val="-2"/>
                <w:sz w:val="20"/>
              </w:rPr>
              <w:t>0.025658</w:t>
            </w:r>
          </w:p>
        </w:tc>
        <w:tc>
          <w:tcPr>
            <w:tcW w:w="1251" w:type="dxa"/>
          </w:tcPr>
          <w:p>
            <w:pPr>
              <w:pStyle w:val="TableParagraph"/>
              <w:spacing w:line="209" w:lineRule="exact"/>
              <w:ind w:left="174" w:right="53"/>
              <w:jc w:val="center"/>
              <w:rPr>
                <w:sz w:val="20"/>
              </w:rPr>
            </w:pPr>
            <w:r>
              <w:rPr>
                <w:spacing w:val="-2"/>
                <w:sz w:val="20"/>
              </w:rPr>
              <w:t>0.019272</w:t>
            </w:r>
          </w:p>
        </w:tc>
        <w:tc>
          <w:tcPr>
            <w:tcW w:w="1087" w:type="dxa"/>
          </w:tcPr>
          <w:p>
            <w:pPr>
              <w:pStyle w:val="TableParagraph"/>
              <w:spacing w:line="209" w:lineRule="exact"/>
              <w:ind w:left="169" w:right="65"/>
              <w:jc w:val="center"/>
              <w:rPr>
                <w:sz w:val="20"/>
              </w:rPr>
            </w:pPr>
            <w:r>
              <w:rPr>
                <w:spacing w:val="-4"/>
                <w:sz w:val="20"/>
              </w:rPr>
              <w:t>-</w:t>
            </w:r>
            <w:r>
              <w:rPr>
                <w:spacing w:val="-2"/>
                <w:sz w:val="20"/>
              </w:rPr>
              <w:t>1.331372</w:t>
            </w:r>
          </w:p>
        </w:tc>
        <w:tc>
          <w:tcPr>
            <w:tcW w:w="930" w:type="dxa"/>
          </w:tcPr>
          <w:p>
            <w:pPr>
              <w:pStyle w:val="TableParagraph"/>
              <w:spacing w:line="209" w:lineRule="exact"/>
              <w:ind w:right="31"/>
              <w:jc w:val="right"/>
              <w:rPr>
                <w:sz w:val="20"/>
              </w:rPr>
            </w:pPr>
            <w:r>
              <w:rPr>
                <w:spacing w:val="-2"/>
                <w:sz w:val="20"/>
              </w:rPr>
              <w:t>0.1938</w:t>
            </w:r>
          </w:p>
        </w:tc>
      </w:tr>
      <w:tr>
        <w:trPr>
          <w:trHeight w:val="230" w:hRule="atLeast"/>
        </w:trPr>
        <w:tc>
          <w:tcPr>
            <w:tcW w:w="2017" w:type="dxa"/>
          </w:tcPr>
          <w:p>
            <w:pPr>
              <w:pStyle w:val="TableParagraph"/>
              <w:spacing w:line="211" w:lineRule="exact"/>
              <w:ind w:left="624"/>
              <w:rPr>
                <w:sz w:val="20"/>
              </w:rPr>
            </w:pPr>
            <w:r>
              <w:rPr>
                <w:spacing w:val="-2"/>
                <w:sz w:val="20"/>
              </w:rPr>
              <w:t>D(RES,2)</w:t>
            </w:r>
          </w:p>
        </w:tc>
        <w:tc>
          <w:tcPr>
            <w:tcW w:w="1206" w:type="dxa"/>
          </w:tcPr>
          <w:p>
            <w:pPr>
              <w:pStyle w:val="TableParagraph"/>
              <w:spacing w:line="211" w:lineRule="exact"/>
              <w:ind w:left="191"/>
              <w:jc w:val="center"/>
              <w:rPr>
                <w:sz w:val="20"/>
              </w:rPr>
            </w:pPr>
            <w:r>
              <w:rPr>
                <w:spacing w:val="-2"/>
                <w:sz w:val="20"/>
              </w:rPr>
              <w:t>0.008494</w:t>
            </w:r>
          </w:p>
        </w:tc>
        <w:tc>
          <w:tcPr>
            <w:tcW w:w="1251" w:type="dxa"/>
          </w:tcPr>
          <w:p>
            <w:pPr>
              <w:pStyle w:val="TableParagraph"/>
              <w:spacing w:line="211" w:lineRule="exact"/>
              <w:ind w:left="174" w:right="53"/>
              <w:jc w:val="center"/>
              <w:rPr>
                <w:sz w:val="20"/>
              </w:rPr>
            </w:pPr>
            <w:r>
              <w:rPr>
                <w:spacing w:val="-2"/>
                <w:sz w:val="20"/>
              </w:rPr>
              <w:t>0.025794</w:t>
            </w:r>
          </w:p>
        </w:tc>
        <w:tc>
          <w:tcPr>
            <w:tcW w:w="1087" w:type="dxa"/>
          </w:tcPr>
          <w:p>
            <w:pPr>
              <w:pStyle w:val="TableParagraph"/>
              <w:spacing w:line="211" w:lineRule="exact"/>
              <w:ind w:left="169"/>
              <w:jc w:val="center"/>
              <w:rPr>
                <w:sz w:val="20"/>
              </w:rPr>
            </w:pPr>
            <w:r>
              <w:rPr>
                <w:spacing w:val="-2"/>
                <w:sz w:val="20"/>
              </w:rPr>
              <w:t>0.329296</w:t>
            </w:r>
          </w:p>
        </w:tc>
        <w:tc>
          <w:tcPr>
            <w:tcW w:w="930" w:type="dxa"/>
          </w:tcPr>
          <w:p>
            <w:pPr>
              <w:pStyle w:val="TableParagraph"/>
              <w:spacing w:line="211" w:lineRule="exact"/>
              <w:ind w:right="31"/>
              <w:jc w:val="right"/>
              <w:rPr>
                <w:sz w:val="20"/>
              </w:rPr>
            </w:pPr>
            <w:r>
              <w:rPr>
                <w:spacing w:val="-2"/>
                <w:sz w:val="20"/>
              </w:rPr>
              <w:t>0.7444</w:t>
            </w:r>
          </w:p>
        </w:tc>
      </w:tr>
      <w:tr>
        <w:trPr>
          <w:trHeight w:val="230" w:hRule="atLeast"/>
        </w:trPr>
        <w:tc>
          <w:tcPr>
            <w:tcW w:w="2017" w:type="dxa"/>
          </w:tcPr>
          <w:p>
            <w:pPr>
              <w:pStyle w:val="TableParagraph"/>
              <w:spacing w:line="211" w:lineRule="exact"/>
              <w:ind w:left="475"/>
              <w:rPr>
                <w:sz w:val="20"/>
              </w:rPr>
            </w:pPr>
            <w:r>
              <w:rPr>
                <w:spacing w:val="-2"/>
                <w:sz w:val="20"/>
              </w:rPr>
              <w:t>D(RES(-1),2)</w:t>
            </w:r>
          </w:p>
        </w:tc>
        <w:tc>
          <w:tcPr>
            <w:tcW w:w="1206" w:type="dxa"/>
          </w:tcPr>
          <w:p>
            <w:pPr>
              <w:pStyle w:val="TableParagraph"/>
              <w:spacing w:line="211" w:lineRule="exact"/>
              <w:ind w:left="191"/>
              <w:jc w:val="center"/>
              <w:rPr>
                <w:sz w:val="20"/>
              </w:rPr>
            </w:pPr>
            <w:r>
              <w:rPr>
                <w:spacing w:val="-2"/>
                <w:sz w:val="20"/>
              </w:rPr>
              <w:t>0.001341</w:t>
            </w:r>
          </w:p>
        </w:tc>
        <w:tc>
          <w:tcPr>
            <w:tcW w:w="1251" w:type="dxa"/>
          </w:tcPr>
          <w:p>
            <w:pPr>
              <w:pStyle w:val="TableParagraph"/>
              <w:spacing w:line="211" w:lineRule="exact"/>
              <w:ind w:left="174" w:right="53"/>
              <w:jc w:val="center"/>
              <w:rPr>
                <w:sz w:val="20"/>
              </w:rPr>
            </w:pPr>
            <w:r>
              <w:rPr>
                <w:spacing w:val="-2"/>
                <w:sz w:val="20"/>
              </w:rPr>
              <w:t>0.028179</w:t>
            </w:r>
          </w:p>
        </w:tc>
        <w:tc>
          <w:tcPr>
            <w:tcW w:w="1087" w:type="dxa"/>
          </w:tcPr>
          <w:p>
            <w:pPr>
              <w:pStyle w:val="TableParagraph"/>
              <w:spacing w:line="211" w:lineRule="exact"/>
              <w:ind w:left="169"/>
              <w:jc w:val="center"/>
              <w:rPr>
                <w:sz w:val="20"/>
              </w:rPr>
            </w:pPr>
            <w:r>
              <w:rPr>
                <w:spacing w:val="-2"/>
                <w:sz w:val="20"/>
              </w:rPr>
              <w:t>0.047574</w:t>
            </w:r>
          </w:p>
        </w:tc>
        <w:tc>
          <w:tcPr>
            <w:tcW w:w="930" w:type="dxa"/>
          </w:tcPr>
          <w:p>
            <w:pPr>
              <w:pStyle w:val="TableParagraph"/>
              <w:spacing w:line="211" w:lineRule="exact"/>
              <w:ind w:right="31"/>
              <w:jc w:val="right"/>
              <w:rPr>
                <w:sz w:val="20"/>
              </w:rPr>
            </w:pPr>
            <w:r>
              <w:rPr>
                <w:spacing w:val="-2"/>
                <w:sz w:val="20"/>
              </w:rPr>
              <w:t>0.9624</w:t>
            </w:r>
          </w:p>
        </w:tc>
      </w:tr>
      <w:tr>
        <w:trPr>
          <w:trHeight w:val="230" w:hRule="atLeast"/>
        </w:trPr>
        <w:tc>
          <w:tcPr>
            <w:tcW w:w="2017" w:type="dxa"/>
          </w:tcPr>
          <w:p>
            <w:pPr>
              <w:pStyle w:val="TableParagraph"/>
              <w:spacing w:line="210" w:lineRule="exact"/>
              <w:ind w:left="413"/>
              <w:rPr>
                <w:sz w:val="20"/>
              </w:rPr>
            </w:pPr>
            <w:r>
              <w:rPr>
                <w:spacing w:val="-2"/>
                <w:sz w:val="20"/>
              </w:rPr>
              <w:t>D(NEXTAS,2)</w:t>
            </w:r>
          </w:p>
        </w:tc>
        <w:tc>
          <w:tcPr>
            <w:tcW w:w="1206" w:type="dxa"/>
          </w:tcPr>
          <w:p>
            <w:pPr>
              <w:pStyle w:val="TableParagraph"/>
              <w:spacing w:line="210" w:lineRule="exact"/>
              <w:ind w:left="191"/>
              <w:jc w:val="center"/>
              <w:rPr>
                <w:sz w:val="20"/>
              </w:rPr>
            </w:pPr>
            <w:r>
              <w:rPr>
                <w:spacing w:val="-2"/>
                <w:sz w:val="20"/>
              </w:rPr>
              <w:t>0.030648</w:t>
            </w:r>
          </w:p>
        </w:tc>
        <w:tc>
          <w:tcPr>
            <w:tcW w:w="1251" w:type="dxa"/>
          </w:tcPr>
          <w:p>
            <w:pPr>
              <w:pStyle w:val="TableParagraph"/>
              <w:spacing w:line="210" w:lineRule="exact"/>
              <w:ind w:left="174" w:right="53"/>
              <w:jc w:val="center"/>
              <w:rPr>
                <w:sz w:val="20"/>
              </w:rPr>
            </w:pPr>
            <w:r>
              <w:rPr>
                <w:spacing w:val="-2"/>
                <w:sz w:val="20"/>
              </w:rPr>
              <w:t>0.022491</w:t>
            </w:r>
          </w:p>
        </w:tc>
        <w:tc>
          <w:tcPr>
            <w:tcW w:w="1087" w:type="dxa"/>
          </w:tcPr>
          <w:p>
            <w:pPr>
              <w:pStyle w:val="TableParagraph"/>
              <w:spacing w:line="210" w:lineRule="exact"/>
              <w:ind w:left="169"/>
              <w:jc w:val="center"/>
              <w:rPr>
                <w:sz w:val="20"/>
              </w:rPr>
            </w:pPr>
            <w:r>
              <w:rPr>
                <w:spacing w:val="-2"/>
                <w:sz w:val="20"/>
              </w:rPr>
              <w:t>1.362635</w:t>
            </w:r>
          </w:p>
        </w:tc>
        <w:tc>
          <w:tcPr>
            <w:tcW w:w="930" w:type="dxa"/>
          </w:tcPr>
          <w:p>
            <w:pPr>
              <w:pStyle w:val="TableParagraph"/>
              <w:spacing w:line="210" w:lineRule="exact"/>
              <w:ind w:right="31"/>
              <w:jc w:val="right"/>
              <w:rPr>
                <w:sz w:val="20"/>
              </w:rPr>
            </w:pPr>
            <w:r>
              <w:rPr>
                <w:spacing w:val="-2"/>
                <w:sz w:val="20"/>
              </w:rPr>
              <w:t>0.1839</w:t>
            </w:r>
          </w:p>
        </w:tc>
      </w:tr>
      <w:tr>
        <w:trPr>
          <w:trHeight w:val="224" w:hRule="atLeast"/>
        </w:trPr>
        <w:tc>
          <w:tcPr>
            <w:tcW w:w="2017" w:type="dxa"/>
            <w:tcBorders>
              <w:bottom w:val="double" w:sz="6" w:space="0" w:color="000000"/>
            </w:tcBorders>
          </w:tcPr>
          <w:p>
            <w:pPr>
              <w:pStyle w:val="TableParagraph"/>
              <w:spacing w:line="205" w:lineRule="exact"/>
              <w:ind w:left="655"/>
              <w:rPr>
                <w:sz w:val="20"/>
              </w:rPr>
            </w:pPr>
            <w:r>
              <w:rPr>
                <w:spacing w:val="-2"/>
                <w:sz w:val="20"/>
              </w:rPr>
              <w:t>ECM(-</w:t>
            </w:r>
            <w:r>
              <w:rPr>
                <w:spacing w:val="-5"/>
                <w:sz w:val="20"/>
              </w:rPr>
              <w:t>1)</w:t>
            </w:r>
          </w:p>
        </w:tc>
        <w:tc>
          <w:tcPr>
            <w:tcW w:w="1206" w:type="dxa"/>
            <w:tcBorders>
              <w:bottom w:val="double" w:sz="6" w:space="0" w:color="000000"/>
            </w:tcBorders>
          </w:tcPr>
          <w:p>
            <w:pPr>
              <w:pStyle w:val="TableParagraph"/>
              <w:spacing w:line="205" w:lineRule="exact"/>
              <w:ind w:left="127"/>
              <w:jc w:val="center"/>
              <w:rPr>
                <w:sz w:val="20"/>
              </w:rPr>
            </w:pPr>
            <w:r>
              <w:rPr>
                <w:spacing w:val="-4"/>
                <w:sz w:val="20"/>
              </w:rPr>
              <w:t>-</w:t>
            </w:r>
            <w:r>
              <w:rPr>
                <w:spacing w:val="-2"/>
                <w:sz w:val="20"/>
              </w:rPr>
              <w:t>0.629236</w:t>
            </w:r>
          </w:p>
        </w:tc>
        <w:tc>
          <w:tcPr>
            <w:tcW w:w="1251" w:type="dxa"/>
            <w:tcBorders>
              <w:bottom w:val="double" w:sz="6" w:space="0" w:color="000000"/>
            </w:tcBorders>
          </w:tcPr>
          <w:p>
            <w:pPr>
              <w:pStyle w:val="TableParagraph"/>
              <w:spacing w:line="205" w:lineRule="exact"/>
              <w:ind w:left="174" w:right="53"/>
              <w:jc w:val="center"/>
              <w:rPr>
                <w:sz w:val="20"/>
              </w:rPr>
            </w:pPr>
            <w:r>
              <w:rPr>
                <w:spacing w:val="-2"/>
                <w:sz w:val="20"/>
              </w:rPr>
              <w:t>0.165242</w:t>
            </w:r>
          </w:p>
        </w:tc>
        <w:tc>
          <w:tcPr>
            <w:tcW w:w="1087" w:type="dxa"/>
            <w:tcBorders>
              <w:bottom w:val="double" w:sz="6" w:space="0" w:color="000000"/>
            </w:tcBorders>
          </w:tcPr>
          <w:p>
            <w:pPr>
              <w:pStyle w:val="TableParagraph"/>
              <w:spacing w:line="205" w:lineRule="exact"/>
              <w:ind w:left="169" w:right="65"/>
              <w:jc w:val="center"/>
              <w:rPr>
                <w:sz w:val="20"/>
              </w:rPr>
            </w:pPr>
            <w:r>
              <w:rPr>
                <w:spacing w:val="-4"/>
                <w:sz w:val="20"/>
              </w:rPr>
              <w:t>-</w:t>
            </w:r>
            <w:r>
              <w:rPr>
                <w:spacing w:val="-2"/>
                <w:sz w:val="20"/>
              </w:rPr>
              <w:t>4.173481</w:t>
            </w:r>
          </w:p>
        </w:tc>
        <w:tc>
          <w:tcPr>
            <w:tcW w:w="930" w:type="dxa"/>
            <w:tcBorders>
              <w:bottom w:val="double" w:sz="6" w:space="0" w:color="000000"/>
            </w:tcBorders>
          </w:tcPr>
          <w:p>
            <w:pPr>
              <w:pStyle w:val="TableParagraph"/>
              <w:spacing w:line="205" w:lineRule="exact"/>
              <w:ind w:right="31"/>
              <w:jc w:val="right"/>
              <w:rPr>
                <w:sz w:val="20"/>
              </w:rPr>
            </w:pPr>
            <w:r>
              <w:rPr>
                <w:spacing w:val="-2"/>
                <w:sz w:val="20"/>
              </w:rPr>
              <w:t>0.0006</w:t>
            </w:r>
          </w:p>
        </w:tc>
      </w:tr>
      <w:tr>
        <w:trPr>
          <w:trHeight w:val="275" w:hRule="atLeast"/>
        </w:trPr>
        <w:tc>
          <w:tcPr>
            <w:tcW w:w="2017" w:type="dxa"/>
            <w:tcBorders>
              <w:top w:val="double" w:sz="6" w:space="0" w:color="000000"/>
            </w:tcBorders>
          </w:tcPr>
          <w:p>
            <w:pPr>
              <w:pStyle w:val="TableParagraph"/>
              <w:spacing w:line="215" w:lineRule="exact" w:before="40"/>
              <w:ind w:left="36"/>
              <w:rPr>
                <w:sz w:val="20"/>
              </w:rPr>
            </w:pPr>
            <w:r>
              <w:rPr>
                <w:spacing w:val="-2"/>
                <w:sz w:val="20"/>
              </w:rPr>
              <w:t>R-squared</w:t>
            </w:r>
          </w:p>
        </w:tc>
        <w:tc>
          <w:tcPr>
            <w:tcW w:w="1206" w:type="dxa"/>
            <w:tcBorders>
              <w:top w:val="double" w:sz="6" w:space="0" w:color="000000"/>
            </w:tcBorders>
          </w:tcPr>
          <w:p>
            <w:pPr>
              <w:pStyle w:val="TableParagraph"/>
              <w:spacing w:line="215" w:lineRule="exact" w:before="40"/>
              <w:ind w:left="191"/>
              <w:jc w:val="center"/>
              <w:rPr>
                <w:sz w:val="20"/>
              </w:rPr>
            </w:pPr>
            <w:r>
              <w:rPr>
                <w:spacing w:val="-2"/>
                <w:sz w:val="20"/>
              </w:rPr>
              <w:t>0.560372</w:t>
            </w:r>
          </w:p>
        </w:tc>
        <w:tc>
          <w:tcPr>
            <w:tcW w:w="2338" w:type="dxa"/>
            <w:gridSpan w:val="2"/>
            <w:tcBorders>
              <w:top w:val="double" w:sz="6" w:space="0" w:color="000000"/>
            </w:tcBorders>
          </w:tcPr>
          <w:p>
            <w:pPr>
              <w:pStyle w:val="TableParagraph"/>
              <w:spacing w:line="215" w:lineRule="exact" w:before="40"/>
              <w:ind w:left="130"/>
              <w:rPr>
                <w:sz w:val="20"/>
              </w:rPr>
            </w:pPr>
            <w:r>
              <w:rPr>
                <w:sz w:val="20"/>
              </w:rPr>
              <w:t>Mean</w:t>
            </w:r>
            <w:r>
              <w:rPr>
                <w:spacing w:val="-7"/>
                <w:sz w:val="20"/>
              </w:rPr>
              <w:t> </w:t>
            </w:r>
            <w:r>
              <w:rPr>
                <w:sz w:val="20"/>
              </w:rPr>
              <w:t>dependent</w:t>
            </w:r>
            <w:r>
              <w:rPr>
                <w:spacing w:val="-7"/>
                <w:sz w:val="20"/>
              </w:rPr>
              <w:t> </w:t>
            </w:r>
            <w:r>
              <w:rPr>
                <w:spacing w:val="-5"/>
                <w:sz w:val="20"/>
              </w:rPr>
              <w:t>var</w:t>
            </w:r>
          </w:p>
        </w:tc>
        <w:tc>
          <w:tcPr>
            <w:tcW w:w="930" w:type="dxa"/>
            <w:tcBorders>
              <w:top w:val="double" w:sz="6" w:space="0" w:color="000000"/>
            </w:tcBorders>
          </w:tcPr>
          <w:p>
            <w:pPr>
              <w:pStyle w:val="TableParagraph"/>
              <w:spacing w:line="215" w:lineRule="exact" w:before="40"/>
              <w:ind w:right="31"/>
              <w:jc w:val="right"/>
              <w:rPr>
                <w:sz w:val="20"/>
              </w:rPr>
            </w:pPr>
            <w:r>
              <w:rPr>
                <w:spacing w:val="-2"/>
                <w:sz w:val="20"/>
              </w:rPr>
              <w:t>0.000564</w:t>
            </w:r>
          </w:p>
        </w:tc>
      </w:tr>
      <w:tr>
        <w:trPr>
          <w:trHeight w:val="230" w:hRule="atLeast"/>
        </w:trPr>
        <w:tc>
          <w:tcPr>
            <w:tcW w:w="2017" w:type="dxa"/>
          </w:tcPr>
          <w:p>
            <w:pPr>
              <w:pStyle w:val="TableParagraph"/>
              <w:spacing w:line="210" w:lineRule="exact"/>
              <w:ind w:left="36"/>
              <w:rPr>
                <w:sz w:val="20"/>
              </w:rPr>
            </w:pPr>
            <w:r>
              <w:rPr>
                <w:sz w:val="20"/>
              </w:rPr>
              <w:t>Adjusted</w:t>
            </w:r>
            <w:r>
              <w:rPr>
                <w:spacing w:val="-10"/>
                <w:sz w:val="20"/>
              </w:rPr>
              <w:t> </w:t>
            </w:r>
            <w:r>
              <w:rPr>
                <w:sz w:val="20"/>
              </w:rPr>
              <w:t>R-</w:t>
            </w:r>
            <w:r>
              <w:rPr>
                <w:spacing w:val="-2"/>
                <w:sz w:val="20"/>
              </w:rPr>
              <w:t>squared</w:t>
            </w:r>
          </w:p>
        </w:tc>
        <w:tc>
          <w:tcPr>
            <w:tcW w:w="1206" w:type="dxa"/>
          </w:tcPr>
          <w:p>
            <w:pPr>
              <w:pStyle w:val="TableParagraph"/>
              <w:spacing w:line="210" w:lineRule="exact"/>
              <w:ind w:left="191"/>
              <w:jc w:val="center"/>
              <w:rPr>
                <w:sz w:val="20"/>
              </w:rPr>
            </w:pPr>
            <w:r>
              <w:rPr>
                <w:spacing w:val="-2"/>
                <w:sz w:val="20"/>
              </w:rPr>
              <w:t>0.403362</w:t>
            </w:r>
          </w:p>
        </w:tc>
        <w:tc>
          <w:tcPr>
            <w:tcW w:w="2338" w:type="dxa"/>
            <w:gridSpan w:val="2"/>
          </w:tcPr>
          <w:p>
            <w:pPr>
              <w:pStyle w:val="TableParagraph"/>
              <w:spacing w:line="210" w:lineRule="exact"/>
              <w:ind w:left="130"/>
              <w:rPr>
                <w:sz w:val="20"/>
              </w:rPr>
            </w:pPr>
            <w:r>
              <w:rPr>
                <w:sz w:val="20"/>
              </w:rPr>
              <w:t>S.D.</w:t>
            </w:r>
            <w:r>
              <w:rPr>
                <w:spacing w:val="-5"/>
                <w:sz w:val="20"/>
              </w:rPr>
              <w:t> </w:t>
            </w:r>
            <w:r>
              <w:rPr>
                <w:sz w:val="20"/>
              </w:rPr>
              <w:t>dependent</w:t>
            </w:r>
            <w:r>
              <w:rPr>
                <w:spacing w:val="-6"/>
                <w:sz w:val="20"/>
              </w:rPr>
              <w:t> </w:t>
            </w:r>
            <w:r>
              <w:rPr>
                <w:spacing w:val="-5"/>
                <w:sz w:val="20"/>
              </w:rPr>
              <w:t>var</w:t>
            </w:r>
          </w:p>
        </w:tc>
        <w:tc>
          <w:tcPr>
            <w:tcW w:w="930" w:type="dxa"/>
          </w:tcPr>
          <w:p>
            <w:pPr>
              <w:pStyle w:val="TableParagraph"/>
              <w:spacing w:line="210" w:lineRule="exact"/>
              <w:ind w:right="31"/>
              <w:jc w:val="right"/>
              <w:rPr>
                <w:sz w:val="20"/>
              </w:rPr>
            </w:pPr>
            <w:r>
              <w:rPr>
                <w:spacing w:val="-2"/>
                <w:sz w:val="20"/>
              </w:rPr>
              <w:t>0.252172</w:t>
            </w:r>
          </w:p>
        </w:tc>
      </w:tr>
      <w:tr>
        <w:trPr>
          <w:trHeight w:val="229" w:hRule="atLeast"/>
        </w:trPr>
        <w:tc>
          <w:tcPr>
            <w:tcW w:w="2017" w:type="dxa"/>
          </w:tcPr>
          <w:p>
            <w:pPr>
              <w:pStyle w:val="TableParagraph"/>
              <w:spacing w:line="209" w:lineRule="exact"/>
              <w:ind w:left="36"/>
              <w:rPr>
                <w:sz w:val="20"/>
              </w:rPr>
            </w:pPr>
            <w:r>
              <w:rPr>
                <w:sz w:val="20"/>
              </w:rPr>
              <w:t>S.E.</w:t>
            </w:r>
            <w:r>
              <w:rPr>
                <w:spacing w:val="-3"/>
                <w:sz w:val="20"/>
              </w:rPr>
              <w:t> </w:t>
            </w:r>
            <w:r>
              <w:rPr>
                <w:sz w:val="20"/>
              </w:rPr>
              <w:t>of</w:t>
            </w:r>
            <w:r>
              <w:rPr>
                <w:spacing w:val="-3"/>
                <w:sz w:val="20"/>
              </w:rPr>
              <w:t> </w:t>
            </w:r>
            <w:r>
              <w:rPr>
                <w:spacing w:val="-2"/>
                <w:sz w:val="20"/>
              </w:rPr>
              <w:t>regression</w:t>
            </w:r>
          </w:p>
        </w:tc>
        <w:tc>
          <w:tcPr>
            <w:tcW w:w="1206" w:type="dxa"/>
          </w:tcPr>
          <w:p>
            <w:pPr>
              <w:pStyle w:val="TableParagraph"/>
              <w:spacing w:line="209" w:lineRule="exact"/>
              <w:ind w:left="191"/>
              <w:jc w:val="center"/>
              <w:rPr>
                <w:sz w:val="20"/>
              </w:rPr>
            </w:pPr>
            <w:r>
              <w:rPr>
                <w:spacing w:val="-2"/>
                <w:sz w:val="20"/>
              </w:rPr>
              <w:t>0.194784</w:t>
            </w:r>
          </w:p>
        </w:tc>
        <w:tc>
          <w:tcPr>
            <w:tcW w:w="2338" w:type="dxa"/>
            <w:gridSpan w:val="2"/>
          </w:tcPr>
          <w:p>
            <w:pPr>
              <w:pStyle w:val="TableParagraph"/>
              <w:spacing w:line="209" w:lineRule="exact"/>
              <w:ind w:left="130"/>
              <w:rPr>
                <w:sz w:val="20"/>
              </w:rPr>
            </w:pPr>
            <w:r>
              <w:rPr>
                <w:sz w:val="20"/>
              </w:rPr>
              <w:t>Akaike</w:t>
            </w:r>
            <w:r>
              <w:rPr>
                <w:spacing w:val="-8"/>
                <w:sz w:val="20"/>
              </w:rPr>
              <w:t> </w:t>
            </w:r>
            <w:r>
              <w:rPr>
                <w:sz w:val="20"/>
              </w:rPr>
              <w:t>info</w:t>
            </w:r>
            <w:r>
              <w:rPr>
                <w:spacing w:val="-7"/>
                <w:sz w:val="20"/>
              </w:rPr>
              <w:t> </w:t>
            </w:r>
            <w:r>
              <w:rPr>
                <w:spacing w:val="-2"/>
                <w:sz w:val="20"/>
              </w:rPr>
              <w:t>criterion</w:t>
            </w:r>
          </w:p>
        </w:tc>
        <w:tc>
          <w:tcPr>
            <w:tcW w:w="930" w:type="dxa"/>
          </w:tcPr>
          <w:p>
            <w:pPr>
              <w:pStyle w:val="TableParagraph"/>
              <w:spacing w:line="209" w:lineRule="exact"/>
              <w:ind w:right="31"/>
              <w:jc w:val="right"/>
              <w:rPr>
                <w:sz w:val="20"/>
              </w:rPr>
            </w:pPr>
            <w:r>
              <w:rPr>
                <w:spacing w:val="-4"/>
                <w:sz w:val="20"/>
              </w:rPr>
              <w:t>-</w:t>
            </w:r>
            <w:r>
              <w:rPr>
                <w:spacing w:val="-2"/>
                <w:sz w:val="20"/>
              </w:rPr>
              <w:t>0.201106</w:t>
            </w:r>
          </w:p>
        </w:tc>
      </w:tr>
      <w:tr>
        <w:trPr>
          <w:trHeight w:val="229" w:hRule="atLeast"/>
        </w:trPr>
        <w:tc>
          <w:tcPr>
            <w:tcW w:w="2017" w:type="dxa"/>
          </w:tcPr>
          <w:p>
            <w:pPr>
              <w:pStyle w:val="TableParagraph"/>
              <w:spacing w:line="209" w:lineRule="exact"/>
              <w:ind w:left="36"/>
              <w:rPr>
                <w:sz w:val="20"/>
              </w:rPr>
            </w:pPr>
            <w:r>
              <w:rPr>
                <w:sz w:val="20"/>
              </w:rPr>
              <w:t>Sum</w:t>
            </w:r>
            <w:r>
              <w:rPr>
                <w:spacing w:val="-8"/>
                <w:sz w:val="20"/>
              </w:rPr>
              <w:t> </w:t>
            </w:r>
            <w:r>
              <w:rPr>
                <w:sz w:val="20"/>
              </w:rPr>
              <w:t>squared</w:t>
            </w:r>
            <w:r>
              <w:rPr>
                <w:spacing w:val="-4"/>
                <w:sz w:val="20"/>
              </w:rPr>
              <w:t> </w:t>
            </w:r>
            <w:r>
              <w:rPr>
                <w:spacing w:val="-2"/>
                <w:sz w:val="20"/>
              </w:rPr>
              <w:t>resid</w:t>
            </w:r>
          </w:p>
        </w:tc>
        <w:tc>
          <w:tcPr>
            <w:tcW w:w="1206" w:type="dxa"/>
          </w:tcPr>
          <w:p>
            <w:pPr>
              <w:pStyle w:val="TableParagraph"/>
              <w:spacing w:line="209" w:lineRule="exact"/>
              <w:ind w:left="191"/>
              <w:jc w:val="center"/>
              <w:rPr>
                <w:sz w:val="20"/>
              </w:rPr>
            </w:pPr>
            <w:r>
              <w:rPr>
                <w:spacing w:val="-2"/>
                <w:sz w:val="20"/>
              </w:rPr>
              <w:t>1.062342</w:t>
            </w:r>
          </w:p>
        </w:tc>
        <w:tc>
          <w:tcPr>
            <w:tcW w:w="2338" w:type="dxa"/>
            <w:gridSpan w:val="2"/>
          </w:tcPr>
          <w:p>
            <w:pPr>
              <w:pStyle w:val="TableParagraph"/>
              <w:spacing w:line="209" w:lineRule="exact"/>
              <w:ind w:left="130"/>
              <w:rPr>
                <w:sz w:val="20"/>
              </w:rPr>
            </w:pPr>
            <w:r>
              <w:rPr>
                <w:sz w:val="20"/>
              </w:rPr>
              <w:t>Schwarz</w:t>
            </w:r>
            <w:r>
              <w:rPr>
                <w:spacing w:val="-8"/>
                <w:sz w:val="20"/>
              </w:rPr>
              <w:t> </w:t>
            </w:r>
            <w:r>
              <w:rPr>
                <w:spacing w:val="-2"/>
                <w:sz w:val="20"/>
              </w:rPr>
              <w:t>criterion</w:t>
            </w:r>
          </w:p>
        </w:tc>
        <w:tc>
          <w:tcPr>
            <w:tcW w:w="930" w:type="dxa"/>
          </w:tcPr>
          <w:p>
            <w:pPr>
              <w:pStyle w:val="TableParagraph"/>
              <w:spacing w:line="209" w:lineRule="exact"/>
              <w:ind w:right="31"/>
              <w:jc w:val="right"/>
              <w:rPr>
                <w:sz w:val="20"/>
              </w:rPr>
            </w:pPr>
            <w:r>
              <w:rPr>
                <w:spacing w:val="-2"/>
                <w:sz w:val="20"/>
              </w:rPr>
              <w:t>0.268103</w:t>
            </w:r>
          </w:p>
        </w:tc>
      </w:tr>
      <w:tr>
        <w:trPr>
          <w:trHeight w:val="267" w:hRule="atLeast"/>
        </w:trPr>
        <w:tc>
          <w:tcPr>
            <w:tcW w:w="2017" w:type="dxa"/>
            <w:tcBorders>
              <w:bottom w:val="double" w:sz="6" w:space="0" w:color="000000"/>
            </w:tcBorders>
          </w:tcPr>
          <w:p>
            <w:pPr>
              <w:pStyle w:val="TableParagraph"/>
              <w:spacing w:line="226" w:lineRule="exact"/>
              <w:ind w:left="36"/>
              <w:rPr>
                <w:sz w:val="20"/>
              </w:rPr>
            </w:pPr>
            <w:r>
              <w:rPr>
                <w:sz w:val="20"/>
              </w:rPr>
              <w:t>Log</w:t>
            </w:r>
            <w:r>
              <w:rPr>
                <w:spacing w:val="-6"/>
                <w:sz w:val="20"/>
              </w:rPr>
              <w:t> </w:t>
            </w:r>
            <w:r>
              <w:rPr>
                <w:spacing w:val="-2"/>
                <w:sz w:val="20"/>
              </w:rPr>
              <w:t>likelihood</w:t>
            </w:r>
          </w:p>
        </w:tc>
        <w:tc>
          <w:tcPr>
            <w:tcW w:w="1206" w:type="dxa"/>
            <w:tcBorders>
              <w:bottom w:val="single" w:sz="6" w:space="0" w:color="000000"/>
            </w:tcBorders>
          </w:tcPr>
          <w:p>
            <w:pPr>
              <w:pStyle w:val="TableParagraph"/>
              <w:spacing w:line="226" w:lineRule="exact"/>
              <w:ind w:left="191"/>
              <w:jc w:val="center"/>
              <w:rPr>
                <w:sz w:val="20"/>
              </w:rPr>
            </w:pPr>
            <w:r>
              <w:rPr>
                <w:spacing w:val="-2"/>
                <w:sz w:val="20"/>
              </w:rPr>
              <w:t>14.92157</w:t>
            </w:r>
          </w:p>
        </w:tc>
        <w:tc>
          <w:tcPr>
            <w:tcW w:w="2338" w:type="dxa"/>
            <w:gridSpan w:val="2"/>
            <w:tcBorders>
              <w:bottom w:val="double" w:sz="6" w:space="0" w:color="000000"/>
            </w:tcBorders>
          </w:tcPr>
          <w:p>
            <w:pPr>
              <w:pStyle w:val="TableParagraph"/>
              <w:spacing w:line="226" w:lineRule="exact"/>
              <w:ind w:left="130"/>
              <w:rPr>
                <w:sz w:val="20"/>
              </w:rPr>
            </w:pPr>
            <w:r>
              <w:rPr>
                <w:spacing w:val="-2"/>
                <w:sz w:val="20"/>
              </w:rPr>
              <w:t>Durbin-Watson</w:t>
            </w:r>
            <w:r>
              <w:rPr>
                <w:spacing w:val="12"/>
                <w:sz w:val="20"/>
              </w:rPr>
              <w:t> </w:t>
            </w:r>
            <w:r>
              <w:rPr>
                <w:spacing w:val="-4"/>
                <w:sz w:val="20"/>
              </w:rPr>
              <w:t>stat</w:t>
            </w:r>
          </w:p>
        </w:tc>
        <w:tc>
          <w:tcPr>
            <w:tcW w:w="930" w:type="dxa"/>
            <w:tcBorders>
              <w:bottom w:val="double" w:sz="6" w:space="0" w:color="000000"/>
            </w:tcBorders>
          </w:tcPr>
          <w:p>
            <w:pPr>
              <w:pStyle w:val="TableParagraph"/>
              <w:spacing w:line="226" w:lineRule="exact"/>
              <w:ind w:right="31"/>
              <w:jc w:val="right"/>
              <w:rPr>
                <w:sz w:val="20"/>
              </w:rPr>
            </w:pPr>
            <w:r>
              <w:rPr>
                <w:spacing w:val="-2"/>
                <w:sz w:val="20"/>
              </w:rPr>
              <w:t>2.069175</w:t>
            </w:r>
          </w:p>
        </w:tc>
      </w:tr>
    </w:tbl>
    <w:p>
      <w:pPr>
        <w:pStyle w:val="BodyText"/>
        <w:spacing w:before="13"/>
        <w:rPr>
          <w:sz w:val="20"/>
        </w:rPr>
      </w:pPr>
    </w:p>
    <w:p>
      <w:pPr>
        <w:spacing w:before="0" w:after="3"/>
        <w:ind w:left="711" w:right="0" w:firstLine="0"/>
        <w:jc w:val="left"/>
        <w:rPr>
          <w:sz w:val="20"/>
        </w:rPr>
      </w:pPr>
      <w:r>
        <w:rPr>
          <w:sz w:val="20"/>
        </w:rPr>
        <w:t>PASSIMONIOUS</w:t>
      </w:r>
      <w:r>
        <w:rPr>
          <w:spacing w:val="-9"/>
          <w:sz w:val="20"/>
        </w:rPr>
        <w:t> </w:t>
      </w:r>
      <w:r>
        <w:rPr>
          <w:sz w:val="20"/>
        </w:rPr>
        <w:t>ECM</w:t>
      </w:r>
      <w:r>
        <w:rPr>
          <w:spacing w:val="-4"/>
          <w:sz w:val="20"/>
        </w:rPr>
        <w:t> </w:t>
      </w:r>
      <w:r>
        <w:rPr>
          <w:sz w:val="20"/>
        </w:rPr>
        <w:t>FOR</w:t>
      </w:r>
      <w:r>
        <w:rPr>
          <w:spacing w:val="-7"/>
          <w:sz w:val="20"/>
        </w:rPr>
        <w:t> </w:t>
      </w:r>
      <w:r>
        <w:rPr>
          <w:sz w:val="20"/>
        </w:rPr>
        <w:t>MODEL</w:t>
      </w:r>
      <w:r>
        <w:rPr>
          <w:spacing w:val="-10"/>
          <w:sz w:val="20"/>
        </w:rPr>
        <w:t> </w:t>
      </w:r>
      <w:r>
        <w:rPr>
          <w:spacing w:val="-5"/>
          <w:sz w:val="20"/>
        </w:rPr>
        <w:t>2B</w:t>
      </w:r>
    </w:p>
    <w:tbl>
      <w:tblPr>
        <w:tblW w:w="0" w:type="auto"/>
        <w:jc w:val="left"/>
        <w:tblInd w:w="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42"/>
        <w:gridCol w:w="1281"/>
        <w:gridCol w:w="1251"/>
        <w:gridCol w:w="1087"/>
        <w:gridCol w:w="930"/>
      </w:tblGrid>
      <w:tr>
        <w:trPr>
          <w:trHeight w:val="225" w:hRule="atLeast"/>
        </w:trPr>
        <w:tc>
          <w:tcPr>
            <w:tcW w:w="6491" w:type="dxa"/>
            <w:gridSpan w:val="5"/>
          </w:tcPr>
          <w:p>
            <w:pPr>
              <w:pStyle w:val="TableParagraph"/>
              <w:spacing w:line="205" w:lineRule="exact"/>
              <w:ind w:left="36"/>
              <w:rPr>
                <w:sz w:val="20"/>
              </w:rPr>
            </w:pPr>
            <w:r>
              <w:rPr>
                <w:sz w:val="20"/>
              </w:rPr>
              <w:t>Dependent</w:t>
            </w:r>
            <w:r>
              <w:rPr>
                <w:spacing w:val="-8"/>
                <w:sz w:val="20"/>
              </w:rPr>
              <w:t> </w:t>
            </w:r>
            <w:r>
              <w:rPr>
                <w:sz w:val="20"/>
              </w:rPr>
              <w:t>Variable:</w:t>
            </w:r>
            <w:r>
              <w:rPr>
                <w:spacing w:val="-8"/>
                <w:sz w:val="20"/>
              </w:rPr>
              <w:t> </w:t>
            </w:r>
            <w:r>
              <w:rPr>
                <w:spacing w:val="-2"/>
                <w:sz w:val="20"/>
              </w:rPr>
              <w:t>D(GDP,2)</w:t>
            </w:r>
          </w:p>
        </w:tc>
      </w:tr>
      <w:tr>
        <w:trPr>
          <w:trHeight w:val="230" w:hRule="atLeast"/>
        </w:trPr>
        <w:tc>
          <w:tcPr>
            <w:tcW w:w="1942" w:type="dxa"/>
          </w:tcPr>
          <w:p>
            <w:pPr>
              <w:pStyle w:val="TableParagraph"/>
              <w:spacing w:line="210" w:lineRule="exact"/>
              <w:ind w:left="36"/>
              <w:rPr>
                <w:sz w:val="20"/>
              </w:rPr>
            </w:pPr>
            <w:r>
              <w:rPr>
                <w:sz w:val="20"/>
              </w:rPr>
              <w:t>Method:</w:t>
            </w:r>
            <w:r>
              <w:rPr>
                <w:spacing w:val="-8"/>
                <w:sz w:val="20"/>
              </w:rPr>
              <w:t> </w:t>
            </w:r>
            <w:r>
              <w:rPr>
                <w:sz w:val="20"/>
              </w:rPr>
              <w:t>Least</w:t>
            </w:r>
            <w:r>
              <w:rPr>
                <w:spacing w:val="-7"/>
                <w:sz w:val="20"/>
              </w:rPr>
              <w:t> </w:t>
            </w:r>
            <w:r>
              <w:rPr>
                <w:spacing w:val="-2"/>
                <w:sz w:val="20"/>
              </w:rPr>
              <w:t>Squares</w:t>
            </w:r>
          </w:p>
        </w:tc>
        <w:tc>
          <w:tcPr>
            <w:tcW w:w="1281" w:type="dxa"/>
          </w:tcPr>
          <w:p>
            <w:pPr>
              <w:pStyle w:val="TableParagraph"/>
              <w:rPr>
                <w:sz w:val="16"/>
              </w:rPr>
            </w:pPr>
          </w:p>
        </w:tc>
        <w:tc>
          <w:tcPr>
            <w:tcW w:w="1251" w:type="dxa"/>
          </w:tcPr>
          <w:p>
            <w:pPr>
              <w:pStyle w:val="TableParagraph"/>
              <w:rPr>
                <w:sz w:val="16"/>
              </w:rPr>
            </w:pPr>
          </w:p>
        </w:tc>
        <w:tc>
          <w:tcPr>
            <w:tcW w:w="1087" w:type="dxa"/>
          </w:tcPr>
          <w:p>
            <w:pPr>
              <w:pStyle w:val="TableParagraph"/>
              <w:rPr>
                <w:sz w:val="16"/>
              </w:rPr>
            </w:pPr>
          </w:p>
        </w:tc>
        <w:tc>
          <w:tcPr>
            <w:tcW w:w="930" w:type="dxa"/>
          </w:tcPr>
          <w:p>
            <w:pPr>
              <w:pStyle w:val="TableParagraph"/>
              <w:rPr>
                <w:sz w:val="16"/>
              </w:rPr>
            </w:pPr>
          </w:p>
        </w:tc>
      </w:tr>
      <w:tr>
        <w:trPr>
          <w:trHeight w:val="230" w:hRule="atLeast"/>
        </w:trPr>
        <w:tc>
          <w:tcPr>
            <w:tcW w:w="6491" w:type="dxa"/>
            <w:gridSpan w:val="5"/>
          </w:tcPr>
          <w:p>
            <w:pPr>
              <w:pStyle w:val="TableParagraph"/>
              <w:spacing w:line="210" w:lineRule="exact"/>
              <w:ind w:left="36"/>
              <w:rPr>
                <w:sz w:val="20"/>
              </w:rPr>
            </w:pPr>
            <w:r>
              <w:rPr>
                <w:sz w:val="20"/>
              </w:rPr>
              <w:t>Date:</w:t>
            </w:r>
            <w:r>
              <w:rPr>
                <w:spacing w:val="-4"/>
                <w:sz w:val="20"/>
              </w:rPr>
              <w:t> </w:t>
            </w:r>
            <w:r>
              <w:rPr>
                <w:sz w:val="20"/>
              </w:rPr>
              <w:t>02/17/14</w:t>
            </w:r>
            <w:r>
              <w:rPr>
                <w:spacing w:val="63"/>
                <w:w w:val="150"/>
                <w:sz w:val="20"/>
              </w:rPr>
              <w:t> </w:t>
            </w:r>
            <w:r>
              <w:rPr>
                <w:sz w:val="20"/>
              </w:rPr>
              <w:t>Time:</w:t>
            </w:r>
            <w:r>
              <w:rPr>
                <w:spacing w:val="-3"/>
                <w:sz w:val="20"/>
              </w:rPr>
              <w:t> </w:t>
            </w:r>
            <w:r>
              <w:rPr>
                <w:spacing w:val="-4"/>
                <w:sz w:val="20"/>
              </w:rPr>
              <w:t>22:07</w:t>
            </w:r>
          </w:p>
        </w:tc>
      </w:tr>
      <w:tr>
        <w:trPr>
          <w:trHeight w:val="229" w:hRule="atLeast"/>
        </w:trPr>
        <w:tc>
          <w:tcPr>
            <w:tcW w:w="6491" w:type="dxa"/>
            <w:gridSpan w:val="5"/>
          </w:tcPr>
          <w:p>
            <w:pPr>
              <w:pStyle w:val="TableParagraph"/>
              <w:spacing w:line="209" w:lineRule="exact"/>
              <w:ind w:left="36"/>
              <w:rPr>
                <w:sz w:val="20"/>
              </w:rPr>
            </w:pPr>
            <w:r>
              <w:rPr>
                <w:sz w:val="20"/>
              </w:rPr>
              <w:t>Sample(adjusted):</w:t>
            </w:r>
            <w:r>
              <w:rPr>
                <w:spacing w:val="-9"/>
                <w:sz w:val="20"/>
              </w:rPr>
              <w:t> </w:t>
            </w:r>
            <w:r>
              <w:rPr>
                <w:sz w:val="20"/>
              </w:rPr>
              <w:t>1973</w:t>
            </w:r>
            <w:r>
              <w:rPr>
                <w:spacing w:val="-9"/>
                <w:sz w:val="20"/>
              </w:rPr>
              <w:t> </w:t>
            </w:r>
            <w:r>
              <w:rPr>
                <w:spacing w:val="-4"/>
                <w:sz w:val="20"/>
              </w:rPr>
              <w:t>2011</w:t>
            </w:r>
          </w:p>
        </w:tc>
      </w:tr>
      <w:tr>
        <w:trPr>
          <w:trHeight w:val="223" w:hRule="atLeast"/>
        </w:trPr>
        <w:tc>
          <w:tcPr>
            <w:tcW w:w="6491" w:type="dxa"/>
            <w:gridSpan w:val="5"/>
            <w:tcBorders>
              <w:bottom w:val="double" w:sz="6" w:space="0" w:color="000000"/>
            </w:tcBorders>
          </w:tcPr>
          <w:p>
            <w:pPr>
              <w:pStyle w:val="TableParagraph"/>
              <w:spacing w:line="204" w:lineRule="exact"/>
              <w:ind w:left="36"/>
              <w:rPr>
                <w:sz w:val="20"/>
              </w:rPr>
            </w:pPr>
            <w:r>
              <w:rPr>
                <w:sz w:val="20"/>
              </w:rPr>
              <w:t>Included</w:t>
            </w:r>
            <w:r>
              <w:rPr>
                <w:spacing w:val="-6"/>
                <w:sz w:val="20"/>
              </w:rPr>
              <w:t> </w:t>
            </w:r>
            <w:r>
              <w:rPr>
                <w:sz w:val="20"/>
              </w:rPr>
              <w:t>observations:</w:t>
            </w:r>
            <w:r>
              <w:rPr>
                <w:spacing w:val="-8"/>
                <w:sz w:val="20"/>
              </w:rPr>
              <w:t> </w:t>
            </w:r>
            <w:r>
              <w:rPr>
                <w:sz w:val="20"/>
              </w:rPr>
              <w:t>39</w:t>
            </w:r>
            <w:r>
              <w:rPr>
                <w:spacing w:val="-5"/>
                <w:sz w:val="20"/>
              </w:rPr>
              <w:t> </w:t>
            </w:r>
            <w:r>
              <w:rPr>
                <w:sz w:val="20"/>
              </w:rPr>
              <w:t>after</w:t>
            </w:r>
            <w:r>
              <w:rPr>
                <w:spacing w:val="-7"/>
                <w:sz w:val="20"/>
              </w:rPr>
              <w:t> </w:t>
            </w:r>
            <w:r>
              <w:rPr>
                <w:sz w:val="20"/>
              </w:rPr>
              <w:t>adjusting</w:t>
            </w:r>
            <w:r>
              <w:rPr>
                <w:spacing w:val="-7"/>
                <w:sz w:val="20"/>
              </w:rPr>
              <w:t> </w:t>
            </w:r>
            <w:r>
              <w:rPr>
                <w:spacing w:val="-2"/>
                <w:sz w:val="20"/>
              </w:rPr>
              <w:t>endpoints</w:t>
            </w:r>
          </w:p>
        </w:tc>
      </w:tr>
      <w:tr>
        <w:trPr>
          <w:trHeight w:val="272" w:hRule="atLeast"/>
        </w:trPr>
        <w:tc>
          <w:tcPr>
            <w:tcW w:w="1942" w:type="dxa"/>
            <w:tcBorders>
              <w:top w:val="double" w:sz="6" w:space="0" w:color="000000"/>
              <w:bottom w:val="double" w:sz="6" w:space="0" w:color="000000"/>
            </w:tcBorders>
          </w:tcPr>
          <w:p>
            <w:pPr>
              <w:pStyle w:val="TableParagraph"/>
              <w:spacing w:line="209" w:lineRule="exact" w:before="43"/>
              <w:ind w:left="677"/>
              <w:rPr>
                <w:sz w:val="20"/>
              </w:rPr>
            </w:pPr>
            <w:r>
              <w:rPr>
                <w:spacing w:val="-2"/>
                <w:sz w:val="20"/>
              </w:rPr>
              <w:t>Variable</w:t>
            </w:r>
          </w:p>
        </w:tc>
        <w:tc>
          <w:tcPr>
            <w:tcW w:w="1281" w:type="dxa"/>
            <w:tcBorders>
              <w:top w:val="double" w:sz="6" w:space="0" w:color="000000"/>
              <w:bottom w:val="double" w:sz="6" w:space="0" w:color="000000"/>
            </w:tcBorders>
          </w:tcPr>
          <w:p>
            <w:pPr>
              <w:pStyle w:val="TableParagraph"/>
              <w:spacing w:line="209" w:lineRule="exact" w:before="43"/>
              <w:ind w:left="202" w:right="87"/>
              <w:jc w:val="center"/>
              <w:rPr>
                <w:sz w:val="20"/>
              </w:rPr>
            </w:pPr>
            <w:r>
              <w:rPr>
                <w:spacing w:val="-2"/>
                <w:sz w:val="20"/>
              </w:rPr>
              <w:t>Coefficient</w:t>
            </w:r>
          </w:p>
        </w:tc>
        <w:tc>
          <w:tcPr>
            <w:tcW w:w="1251" w:type="dxa"/>
            <w:tcBorders>
              <w:top w:val="double" w:sz="6" w:space="0" w:color="000000"/>
              <w:bottom w:val="double" w:sz="6" w:space="0" w:color="000000"/>
            </w:tcBorders>
          </w:tcPr>
          <w:p>
            <w:pPr>
              <w:pStyle w:val="TableParagraph"/>
              <w:spacing w:line="209" w:lineRule="exact" w:before="43"/>
              <w:ind w:left="174" w:right="91"/>
              <w:jc w:val="center"/>
              <w:rPr>
                <w:sz w:val="20"/>
              </w:rPr>
            </w:pPr>
            <w:r>
              <w:rPr>
                <w:sz w:val="20"/>
              </w:rPr>
              <w:t>Std.</w:t>
            </w:r>
            <w:r>
              <w:rPr>
                <w:spacing w:val="-4"/>
                <w:sz w:val="20"/>
              </w:rPr>
              <w:t> </w:t>
            </w:r>
            <w:r>
              <w:rPr>
                <w:spacing w:val="-2"/>
                <w:sz w:val="20"/>
              </w:rPr>
              <w:t>Error</w:t>
            </w:r>
          </w:p>
        </w:tc>
        <w:tc>
          <w:tcPr>
            <w:tcW w:w="1087" w:type="dxa"/>
            <w:tcBorders>
              <w:top w:val="double" w:sz="6" w:space="0" w:color="000000"/>
              <w:bottom w:val="double" w:sz="6" w:space="0" w:color="000000"/>
            </w:tcBorders>
          </w:tcPr>
          <w:p>
            <w:pPr>
              <w:pStyle w:val="TableParagraph"/>
              <w:spacing w:line="209" w:lineRule="exact" w:before="43"/>
              <w:ind w:left="169" w:right="17"/>
              <w:jc w:val="center"/>
              <w:rPr>
                <w:sz w:val="20"/>
              </w:rPr>
            </w:pPr>
            <w:r>
              <w:rPr>
                <w:spacing w:val="-4"/>
                <w:sz w:val="20"/>
              </w:rPr>
              <w:t>t-</w:t>
            </w:r>
            <w:r>
              <w:rPr>
                <w:spacing w:val="-2"/>
                <w:sz w:val="20"/>
              </w:rPr>
              <w:t>Statistic</w:t>
            </w:r>
          </w:p>
        </w:tc>
        <w:tc>
          <w:tcPr>
            <w:tcW w:w="930" w:type="dxa"/>
            <w:tcBorders>
              <w:top w:val="double" w:sz="6" w:space="0" w:color="000000"/>
              <w:bottom w:val="double" w:sz="6" w:space="0" w:color="000000"/>
            </w:tcBorders>
          </w:tcPr>
          <w:p>
            <w:pPr>
              <w:pStyle w:val="TableParagraph"/>
              <w:spacing w:line="209" w:lineRule="exact" w:before="43"/>
              <w:ind w:right="32"/>
              <w:jc w:val="right"/>
              <w:rPr>
                <w:sz w:val="20"/>
              </w:rPr>
            </w:pPr>
            <w:r>
              <w:rPr>
                <w:spacing w:val="-2"/>
                <w:sz w:val="20"/>
              </w:rPr>
              <w:t>Prob.</w:t>
            </w:r>
          </w:p>
        </w:tc>
      </w:tr>
      <w:tr>
        <w:trPr>
          <w:trHeight w:val="275" w:hRule="atLeast"/>
        </w:trPr>
        <w:tc>
          <w:tcPr>
            <w:tcW w:w="1942" w:type="dxa"/>
            <w:tcBorders>
              <w:top w:val="double" w:sz="6" w:space="0" w:color="000000"/>
            </w:tcBorders>
          </w:tcPr>
          <w:p>
            <w:pPr>
              <w:pStyle w:val="TableParagraph"/>
              <w:spacing w:line="215" w:lineRule="exact" w:before="40"/>
              <w:ind w:left="353"/>
              <w:rPr>
                <w:sz w:val="20"/>
              </w:rPr>
            </w:pPr>
            <w:r>
              <w:rPr>
                <w:spacing w:val="-2"/>
                <w:sz w:val="20"/>
              </w:rPr>
              <w:t>D(EXTDEBT,2)</w:t>
            </w:r>
          </w:p>
        </w:tc>
        <w:tc>
          <w:tcPr>
            <w:tcW w:w="1281" w:type="dxa"/>
            <w:tcBorders>
              <w:top w:val="double" w:sz="6" w:space="0" w:color="000000"/>
            </w:tcBorders>
          </w:tcPr>
          <w:p>
            <w:pPr>
              <w:pStyle w:val="TableParagraph"/>
              <w:spacing w:line="215" w:lineRule="exact" w:before="40"/>
              <w:ind w:left="266"/>
              <w:jc w:val="center"/>
              <w:rPr>
                <w:sz w:val="20"/>
              </w:rPr>
            </w:pPr>
            <w:r>
              <w:rPr>
                <w:spacing w:val="-2"/>
                <w:sz w:val="20"/>
              </w:rPr>
              <w:t>0.020282</w:t>
            </w:r>
          </w:p>
        </w:tc>
        <w:tc>
          <w:tcPr>
            <w:tcW w:w="1251" w:type="dxa"/>
            <w:tcBorders>
              <w:top w:val="double" w:sz="6" w:space="0" w:color="000000"/>
            </w:tcBorders>
          </w:tcPr>
          <w:p>
            <w:pPr>
              <w:pStyle w:val="TableParagraph"/>
              <w:spacing w:line="215" w:lineRule="exact" w:before="40"/>
              <w:ind w:left="174" w:right="53"/>
              <w:jc w:val="center"/>
              <w:rPr>
                <w:sz w:val="20"/>
              </w:rPr>
            </w:pPr>
            <w:r>
              <w:rPr>
                <w:spacing w:val="-2"/>
                <w:sz w:val="20"/>
              </w:rPr>
              <w:t>0.008421</w:t>
            </w:r>
          </w:p>
        </w:tc>
        <w:tc>
          <w:tcPr>
            <w:tcW w:w="1087" w:type="dxa"/>
            <w:tcBorders>
              <w:top w:val="double" w:sz="6" w:space="0" w:color="000000"/>
            </w:tcBorders>
          </w:tcPr>
          <w:p>
            <w:pPr>
              <w:pStyle w:val="TableParagraph"/>
              <w:spacing w:line="215" w:lineRule="exact" w:before="40"/>
              <w:ind w:left="169"/>
              <w:jc w:val="center"/>
              <w:rPr>
                <w:sz w:val="20"/>
              </w:rPr>
            </w:pPr>
            <w:r>
              <w:rPr>
                <w:spacing w:val="-2"/>
                <w:sz w:val="20"/>
              </w:rPr>
              <w:t>2.408447</w:t>
            </w:r>
          </w:p>
        </w:tc>
        <w:tc>
          <w:tcPr>
            <w:tcW w:w="930" w:type="dxa"/>
            <w:tcBorders>
              <w:top w:val="double" w:sz="6" w:space="0" w:color="000000"/>
            </w:tcBorders>
          </w:tcPr>
          <w:p>
            <w:pPr>
              <w:pStyle w:val="TableParagraph"/>
              <w:spacing w:line="215" w:lineRule="exact" w:before="40"/>
              <w:ind w:right="31"/>
              <w:jc w:val="right"/>
              <w:rPr>
                <w:sz w:val="20"/>
              </w:rPr>
            </w:pPr>
            <w:r>
              <w:rPr>
                <w:spacing w:val="-2"/>
                <w:sz w:val="20"/>
              </w:rPr>
              <w:t>0.0216</w:t>
            </w:r>
          </w:p>
        </w:tc>
      </w:tr>
      <w:tr>
        <w:trPr>
          <w:trHeight w:val="230" w:hRule="atLeast"/>
        </w:trPr>
        <w:tc>
          <w:tcPr>
            <w:tcW w:w="1942" w:type="dxa"/>
          </w:tcPr>
          <w:p>
            <w:pPr>
              <w:pStyle w:val="TableParagraph"/>
              <w:spacing w:line="210" w:lineRule="exact"/>
              <w:ind w:left="648"/>
              <w:rPr>
                <w:sz w:val="20"/>
              </w:rPr>
            </w:pPr>
            <w:r>
              <w:rPr>
                <w:spacing w:val="-2"/>
                <w:sz w:val="20"/>
              </w:rPr>
              <w:t>D(DFI,2)</w:t>
            </w:r>
          </w:p>
        </w:tc>
        <w:tc>
          <w:tcPr>
            <w:tcW w:w="1281" w:type="dxa"/>
          </w:tcPr>
          <w:p>
            <w:pPr>
              <w:pStyle w:val="TableParagraph"/>
              <w:spacing w:line="210" w:lineRule="exact"/>
              <w:ind w:left="266"/>
              <w:jc w:val="center"/>
              <w:rPr>
                <w:sz w:val="20"/>
              </w:rPr>
            </w:pPr>
            <w:r>
              <w:rPr>
                <w:spacing w:val="-2"/>
                <w:sz w:val="20"/>
              </w:rPr>
              <w:t>0.056262</w:t>
            </w:r>
          </w:p>
        </w:tc>
        <w:tc>
          <w:tcPr>
            <w:tcW w:w="1251" w:type="dxa"/>
          </w:tcPr>
          <w:p>
            <w:pPr>
              <w:pStyle w:val="TableParagraph"/>
              <w:spacing w:line="210" w:lineRule="exact"/>
              <w:ind w:left="174" w:right="53"/>
              <w:jc w:val="center"/>
              <w:rPr>
                <w:sz w:val="20"/>
              </w:rPr>
            </w:pPr>
            <w:r>
              <w:rPr>
                <w:spacing w:val="-2"/>
                <w:sz w:val="20"/>
              </w:rPr>
              <w:t>0.047964</w:t>
            </w:r>
          </w:p>
        </w:tc>
        <w:tc>
          <w:tcPr>
            <w:tcW w:w="1087" w:type="dxa"/>
          </w:tcPr>
          <w:p>
            <w:pPr>
              <w:pStyle w:val="TableParagraph"/>
              <w:spacing w:line="210" w:lineRule="exact"/>
              <w:ind w:left="169"/>
              <w:jc w:val="center"/>
              <w:rPr>
                <w:sz w:val="20"/>
              </w:rPr>
            </w:pPr>
            <w:r>
              <w:rPr>
                <w:spacing w:val="-2"/>
                <w:sz w:val="20"/>
              </w:rPr>
              <w:t>1.173008</w:t>
            </w:r>
          </w:p>
        </w:tc>
        <w:tc>
          <w:tcPr>
            <w:tcW w:w="930" w:type="dxa"/>
          </w:tcPr>
          <w:p>
            <w:pPr>
              <w:pStyle w:val="TableParagraph"/>
              <w:spacing w:line="210" w:lineRule="exact"/>
              <w:ind w:right="31"/>
              <w:jc w:val="right"/>
              <w:rPr>
                <w:sz w:val="20"/>
              </w:rPr>
            </w:pPr>
            <w:r>
              <w:rPr>
                <w:spacing w:val="-2"/>
                <w:sz w:val="20"/>
              </w:rPr>
              <w:t>0.2489</w:t>
            </w:r>
          </w:p>
        </w:tc>
      </w:tr>
      <w:tr>
        <w:trPr>
          <w:trHeight w:val="229" w:hRule="atLeast"/>
        </w:trPr>
        <w:tc>
          <w:tcPr>
            <w:tcW w:w="1942" w:type="dxa"/>
          </w:tcPr>
          <w:p>
            <w:pPr>
              <w:pStyle w:val="TableParagraph"/>
              <w:spacing w:line="209" w:lineRule="exact"/>
              <w:ind w:left="454"/>
              <w:rPr>
                <w:sz w:val="20"/>
              </w:rPr>
            </w:pPr>
            <w:r>
              <w:rPr>
                <w:spacing w:val="-2"/>
                <w:sz w:val="20"/>
              </w:rPr>
              <w:t>D(CAB(-1),2)</w:t>
            </w:r>
          </w:p>
        </w:tc>
        <w:tc>
          <w:tcPr>
            <w:tcW w:w="1281" w:type="dxa"/>
          </w:tcPr>
          <w:p>
            <w:pPr>
              <w:pStyle w:val="TableParagraph"/>
              <w:spacing w:line="209" w:lineRule="exact"/>
              <w:ind w:left="202"/>
              <w:jc w:val="center"/>
              <w:rPr>
                <w:sz w:val="20"/>
              </w:rPr>
            </w:pPr>
            <w:r>
              <w:rPr>
                <w:spacing w:val="-4"/>
                <w:sz w:val="20"/>
              </w:rPr>
              <w:t>-</w:t>
            </w:r>
            <w:r>
              <w:rPr>
                <w:spacing w:val="-2"/>
                <w:sz w:val="20"/>
              </w:rPr>
              <w:t>0.029125</w:t>
            </w:r>
          </w:p>
        </w:tc>
        <w:tc>
          <w:tcPr>
            <w:tcW w:w="1251" w:type="dxa"/>
          </w:tcPr>
          <w:p>
            <w:pPr>
              <w:pStyle w:val="TableParagraph"/>
              <w:spacing w:line="209" w:lineRule="exact"/>
              <w:ind w:left="174" w:right="53"/>
              <w:jc w:val="center"/>
              <w:rPr>
                <w:sz w:val="20"/>
              </w:rPr>
            </w:pPr>
            <w:r>
              <w:rPr>
                <w:spacing w:val="-2"/>
                <w:sz w:val="20"/>
              </w:rPr>
              <w:t>0.010718</w:t>
            </w:r>
          </w:p>
        </w:tc>
        <w:tc>
          <w:tcPr>
            <w:tcW w:w="1087" w:type="dxa"/>
          </w:tcPr>
          <w:p>
            <w:pPr>
              <w:pStyle w:val="TableParagraph"/>
              <w:spacing w:line="209" w:lineRule="exact"/>
              <w:ind w:left="169" w:right="65"/>
              <w:jc w:val="center"/>
              <w:rPr>
                <w:sz w:val="20"/>
              </w:rPr>
            </w:pPr>
            <w:r>
              <w:rPr>
                <w:spacing w:val="-4"/>
                <w:sz w:val="20"/>
              </w:rPr>
              <w:t>-</w:t>
            </w:r>
            <w:r>
              <w:rPr>
                <w:spacing w:val="-2"/>
                <w:sz w:val="20"/>
              </w:rPr>
              <w:t>2.717354</w:t>
            </w:r>
          </w:p>
        </w:tc>
        <w:tc>
          <w:tcPr>
            <w:tcW w:w="930" w:type="dxa"/>
          </w:tcPr>
          <w:p>
            <w:pPr>
              <w:pStyle w:val="TableParagraph"/>
              <w:spacing w:line="209" w:lineRule="exact"/>
              <w:ind w:right="31"/>
              <w:jc w:val="right"/>
              <w:rPr>
                <w:sz w:val="20"/>
              </w:rPr>
            </w:pPr>
            <w:r>
              <w:rPr>
                <w:spacing w:val="-2"/>
                <w:sz w:val="20"/>
              </w:rPr>
              <w:t>0.0103</w:t>
            </w:r>
          </w:p>
        </w:tc>
      </w:tr>
      <w:tr>
        <w:trPr>
          <w:trHeight w:val="229" w:hRule="atLeast"/>
        </w:trPr>
        <w:tc>
          <w:tcPr>
            <w:tcW w:w="1942" w:type="dxa"/>
          </w:tcPr>
          <w:p>
            <w:pPr>
              <w:pStyle w:val="TableParagraph"/>
              <w:spacing w:line="209" w:lineRule="exact"/>
              <w:ind w:left="624"/>
              <w:rPr>
                <w:sz w:val="20"/>
              </w:rPr>
            </w:pPr>
            <w:r>
              <w:rPr>
                <w:spacing w:val="-2"/>
                <w:sz w:val="20"/>
              </w:rPr>
              <w:t>D(RES,2)</w:t>
            </w:r>
          </w:p>
        </w:tc>
        <w:tc>
          <w:tcPr>
            <w:tcW w:w="1281" w:type="dxa"/>
          </w:tcPr>
          <w:p>
            <w:pPr>
              <w:pStyle w:val="TableParagraph"/>
              <w:spacing w:line="209" w:lineRule="exact"/>
              <w:ind w:left="266"/>
              <w:jc w:val="center"/>
              <w:rPr>
                <w:sz w:val="20"/>
              </w:rPr>
            </w:pPr>
            <w:r>
              <w:rPr>
                <w:spacing w:val="-2"/>
                <w:sz w:val="20"/>
              </w:rPr>
              <w:t>0.021311</w:t>
            </w:r>
          </w:p>
        </w:tc>
        <w:tc>
          <w:tcPr>
            <w:tcW w:w="1251" w:type="dxa"/>
          </w:tcPr>
          <w:p>
            <w:pPr>
              <w:pStyle w:val="TableParagraph"/>
              <w:spacing w:line="209" w:lineRule="exact"/>
              <w:ind w:left="174" w:right="53"/>
              <w:jc w:val="center"/>
              <w:rPr>
                <w:sz w:val="20"/>
              </w:rPr>
            </w:pPr>
            <w:r>
              <w:rPr>
                <w:spacing w:val="-2"/>
                <w:sz w:val="20"/>
              </w:rPr>
              <w:t>0.015646</w:t>
            </w:r>
          </w:p>
        </w:tc>
        <w:tc>
          <w:tcPr>
            <w:tcW w:w="1087" w:type="dxa"/>
          </w:tcPr>
          <w:p>
            <w:pPr>
              <w:pStyle w:val="TableParagraph"/>
              <w:spacing w:line="209" w:lineRule="exact"/>
              <w:ind w:left="169"/>
              <w:jc w:val="center"/>
              <w:rPr>
                <w:sz w:val="20"/>
              </w:rPr>
            </w:pPr>
            <w:r>
              <w:rPr>
                <w:spacing w:val="-2"/>
                <w:sz w:val="20"/>
              </w:rPr>
              <w:t>1.362056</w:t>
            </w:r>
          </w:p>
        </w:tc>
        <w:tc>
          <w:tcPr>
            <w:tcW w:w="930" w:type="dxa"/>
          </w:tcPr>
          <w:p>
            <w:pPr>
              <w:pStyle w:val="TableParagraph"/>
              <w:spacing w:line="209" w:lineRule="exact"/>
              <w:ind w:right="31"/>
              <w:jc w:val="right"/>
              <w:rPr>
                <w:sz w:val="20"/>
              </w:rPr>
            </w:pPr>
            <w:r>
              <w:rPr>
                <w:spacing w:val="-2"/>
                <w:sz w:val="20"/>
              </w:rPr>
              <w:t>0.1821</w:t>
            </w:r>
          </w:p>
        </w:tc>
      </w:tr>
      <w:tr>
        <w:trPr>
          <w:trHeight w:val="224" w:hRule="atLeast"/>
        </w:trPr>
        <w:tc>
          <w:tcPr>
            <w:tcW w:w="1942" w:type="dxa"/>
            <w:tcBorders>
              <w:bottom w:val="double" w:sz="6" w:space="0" w:color="000000"/>
            </w:tcBorders>
          </w:tcPr>
          <w:p>
            <w:pPr>
              <w:pStyle w:val="TableParagraph"/>
              <w:spacing w:line="205" w:lineRule="exact"/>
              <w:ind w:left="655"/>
              <w:rPr>
                <w:sz w:val="20"/>
              </w:rPr>
            </w:pPr>
            <w:r>
              <w:rPr>
                <w:spacing w:val="-2"/>
                <w:sz w:val="20"/>
              </w:rPr>
              <w:t>ECM(-</w:t>
            </w:r>
            <w:r>
              <w:rPr>
                <w:spacing w:val="-5"/>
                <w:sz w:val="20"/>
              </w:rPr>
              <w:t>1)</w:t>
            </w:r>
          </w:p>
        </w:tc>
        <w:tc>
          <w:tcPr>
            <w:tcW w:w="1281" w:type="dxa"/>
            <w:tcBorders>
              <w:bottom w:val="double" w:sz="6" w:space="0" w:color="000000"/>
            </w:tcBorders>
          </w:tcPr>
          <w:p>
            <w:pPr>
              <w:pStyle w:val="TableParagraph"/>
              <w:spacing w:line="205" w:lineRule="exact"/>
              <w:ind w:left="202"/>
              <w:jc w:val="center"/>
              <w:rPr>
                <w:sz w:val="20"/>
              </w:rPr>
            </w:pPr>
            <w:r>
              <w:rPr>
                <w:spacing w:val="-4"/>
                <w:sz w:val="20"/>
              </w:rPr>
              <w:t>-</w:t>
            </w:r>
            <w:r>
              <w:rPr>
                <w:spacing w:val="-2"/>
                <w:sz w:val="20"/>
              </w:rPr>
              <w:t>0.633854</w:t>
            </w:r>
          </w:p>
        </w:tc>
        <w:tc>
          <w:tcPr>
            <w:tcW w:w="1251" w:type="dxa"/>
            <w:tcBorders>
              <w:bottom w:val="double" w:sz="6" w:space="0" w:color="000000"/>
            </w:tcBorders>
          </w:tcPr>
          <w:p>
            <w:pPr>
              <w:pStyle w:val="TableParagraph"/>
              <w:spacing w:line="205" w:lineRule="exact"/>
              <w:ind w:left="174" w:right="53"/>
              <w:jc w:val="center"/>
              <w:rPr>
                <w:sz w:val="20"/>
              </w:rPr>
            </w:pPr>
            <w:r>
              <w:rPr>
                <w:spacing w:val="-2"/>
                <w:sz w:val="20"/>
              </w:rPr>
              <w:t>0.170723</w:t>
            </w:r>
          </w:p>
        </w:tc>
        <w:tc>
          <w:tcPr>
            <w:tcW w:w="1087" w:type="dxa"/>
            <w:tcBorders>
              <w:bottom w:val="double" w:sz="6" w:space="0" w:color="000000"/>
            </w:tcBorders>
          </w:tcPr>
          <w:p>
            <w:pPr>
              <w:pStyle w:val="TableParagraph"/>
              <w:spacing w:line="205" w:lineRule="exact"/>
              <w:ind w:left="169" w:right="65"/>
              <w:jc w:val="center"/>
              <w:rPr>
                <w:sz w:val="20"/>
              </w:rPr>
            </w:pPr>
            <w:r>
              <w:rPr>
                <w:spacing w:val="-4"/>
                <w:sz w:val="20"/>
              </w:rPr>
              <w:t>-</w:t>
            </w:r>
            <w:r>
              <w:rPr>
                <w:spacing w:val="-2"/>
                <w:sz w:val="20"/>
              </w:rPr>
              <w:t>3.712769</w:t>
            </w:r>
          </w:p>
        </w:tc>
        <w:tc>
          <w:tcPr>
            <w:tcW w:w="930" w:type="dxa"/>
            <w:tcBorders>
              <w:bottom w:val="double" w:sz="6" w:space="0" w:color="000000"/>
            </w:tcBorders>
          </w:tcPr>
          <w:p>
            <w:pPr>
              <w:pStyle w:val="TableParagraph"/>
              <w:spacing w:line="205" w:lineRule="exact"/>
              <w:ind w:right="31"/>
              <w:jc w:val="right"/>
              <w:rPr>
                <w:sz w:val="20"/>
              </w:rPr>
            </w:pPr>
            <w:r>
              <w:rPr>
                <w:spacing w:val="-2"/>
                <w:sz w:val="20"/>
              </w:rPr>
              <w:t>0.0011</w:t>
            </w:r>
          </w:p>
        </w:tc>
      </w:tr>
      <w:tr>
        <w:trPr>
          <w:trHeight w:val="275" w:hRule="atLeast"/>
        </w:trPr>
        <w:tc>
          <w:tcPr>
            <w:tcW w:w="1942" w:type="dxa"/>
            <w:tcBorders>
              <w:top w:val="double" w:sz="6" w:space="0" w:color="000000"/>
            </w:tcBorders>
          </w:tcPr>
          <w:p>
            <w:pPr>
              <w:pStyle w:val="TableParagraph"/>
              <w:spacing w:line="215" w:lineRule="exact" w:before="40"/>
              <w:ind w:left="36"/>
              <w:rPr>
                <w:sz w:val="20"/>
              </w:rPr>
            </w:pPr>
            <w:r>
              <w:rPr>
                <w:spacing w:val="-2"/>
                <w:sz w:val="20"/>
              </w:rPr>
              <w:t>R-squared</w:t>
            </w:r>
          </w:p>
        </w:tc>
        <w:tc>
          <w:tcPr>
            <w:tcW w:w="1281" w:type="dxa"/>
            <w:tcBorders>
              <w:top w:val="double" w:sz="6" w:space="0" w:color="000000"/>
            </w:tcBorders>
          </w:tcPr>
          <w:p>
            <w:pPr>
              <w:pStyle w:val="TableParagraph"/>
              <w:spacing w:line="215" w:lineRule="exact" w:before="40"/>
              <w:ind w:left="266"/>
              <w:jc w:val="center"/>
              <w:rPr>
                <w:sz w:val="20"/>
              </w:rPr>
            </w:pPr>
            <w:r>
              <w:rPr>
                <w:spacing w:val="-2"/>
                <w:sz w:val="20"/>
              </w:rPr>
              <w:t>0.480657</w:t>
            </w:r>
          </w:p>
        </w:tc>
        <w:tc>
          <w:tcPr>
            <w:tcW w:w="2338" w:type="dxa"/>
            <w:gridSpan w:val="2"/>
            <w:tcBorders>
              <w:top w:val="double" w:sz="6" w:space="0" w:color="000000"/>
            </w:tcBorders>
          </w:tcPr>
          <w:p>
            <w:pPr>
              <w:pStyle w:val="TableParagraph"/>
              <w:spacing w:line="215" w:lineRule="exact" w:before="40"/>
              <w:ind w:left="130"/>
              <w:rPr>
                <w:sz w:val="20"/>
              </w:rPr>
            </w:pPr>
            <w:r>
              <w:rPr>
                <w:sz w:val="20"/>
              </w:rPr>
              <w:t>Mean</w:t>
            </w:r>
            <w:r>
              <w:rPr>
                <w:spacing w:val="-7"/>
                <w:sz w:val="20"/>
              </w:rPr>
              <w:t> </w:t>
            </w:r>
            <w:r>
              <w:rPr>
                <w:sz w:val="20"/>
              </w:rPr>
              <w:t>dependent</w:t>
            </w:r>
            <w:r>
              <w:rPr>
                <w:spacing w:val="-7"/>
                <w:sz w:val="20"/>
              </w:rPr>
              <w:t> </w:t>
            </w:r>
            <w:r>
              <w:rPr>
                <w:spacing w:val="-5"/>
                <w:sz w:val="20"/>
              </w:rPr>
              <w:t>var</w:t>
            </w:r>
          </w:p>
        </w:tc>
        <w:tc>
          <w:tcPr>
            <w:tcW w:w="930" w:type="dxa"/>
            <w:tcBorders>
              <w:top w:val="double" w:sz="6" w:space="0" w:color="000000"/>
            </w:tcBorders>
          </w:tcPr>
          <w:p>
            <w:pPr>
              <w:pStyle w:val="TableParagraph"/>
              <w:spacing w:line="215" w:lineRule="exact" w:before="40"/>
              <w:ind w:right="31"/>
              <w:jc w:val="right"/>
              <w:rPr>
                <w:sz w:val="20"/>
              </w:rPr>
            </w:pPr>
            <w:r>
              <w:rPr>
                <w:spacing w:val="-2"/>
                <w:sz w:val="20"/>
              </w:rPr>
              <w:t>0.000564</w:t>
            </w:r>
          </w:p>
        </w:tc>
      </w:tr>
      <w:tr>
        <w:trPr>
          <w:trHeight w:val="230" w:hRule="atLeast"/>
        </w:trPr>
        <w:tc>
          <w:tcPr>
            <w:tcW w:w="1942" w:type="dxa"/>
          </w:tcPr>
          <w:p>
            <w:pPr>
              <w:pStyle w:val="TableParagraph"/>
              <w:spacing w:line="210" w:lineRule="exact"/>
              <w:ind w:left="36"/>
              <w:rPr>
                <w:sz w:val="20"/>
              </w:rPr>
            </w:pPr>
            <w:r>
              <w:rPr>
                <w:sz w:val="20"/>
              </w:rPr>
              <w:t>Adjusted</w:t>
            </w:r>
            <w:r>
              <w:rPr>
                <w:spacing w:val="-10"/>
                <w:sz w:val="20"/>
              </w:rPr>
              <w:t> </w:t>
            </w:r>
            <w:r>
              <w:rPr>
                <w:sz w:val="20"/>
              </w:rPr>
              <w:t>R-</w:t>
            </w:r>
            <w:r>
              <w:rPr>
                <w:spacing w:val="-2"/>
                <w:sz w:val="20"/>
              </w:rPr>
              <w:t>squared</w:t>
            </w:r>
          </w:p>
        </w:tc>
        <w:tc>
          <w:tcPr>
            <w:tcW w:w="1281" w:type="dxa"/>
          </w:tcPr>
          <w:p>
            <w:pPr>
              <w:pStyle w:val="TableParagraph"/>
              <w:spacing w:line="210" w:lineRule="exact"/>
              <w:ind w:left="266"/>
              <w:jc w:val="center"/>
              <w:rPr>
                <w:sz w:val="20"/>
              </w:rPr>
            </w:pPr>
            <w:r>
              <w:rPr>
                <w:spacing w:val="-2"/>
                <w:sz w:val="20"/>
              </w:rPr>
              <w:t>0.419558</w:t>
            </w:r>
          </w:p>
        </w:tc>
        <w:tc>
          <w:tcPr>
            <w:tcW w:w="2338" w:type="dxa"/>
            <w:gridSpan w:val="2"/>
          </w:tcPr>
          <w:p>
            <w:pPr>
              <w:pStyle w:val="TableParagraph"/>
              <w:spacing w:line="210" w:lineRule="exact"/>
              <w:ind w:left="130"/>
              <w:rPr>
                <w:sz w:val="20"/>
              </w:rPr>
            </w:pPr>
            <w:r>
              <w:rPr>
                <w:sz w:val="20"/>
              </w:rPr>
              <w:t>S.D.</w:t>
            </w:r>
            <w:r>
              <w:rPr>
                <w:spacing w:val="-5"/>
                <w:sz w:val="20"/>
              </w:rPr>
              <w:t> </w:t>
            </w:r>
            <w:r>
              <w:rPr>
                <w:sz w:val="20"/>
              </w:rPr>
              <w:t>dependent</w:t>
            </w:r>
            <w:r>
              <w:rPr>
                <w:spacing w:val="-6"/>
                <w:sz w:val="20"/>
              </w:rPr>
              <w:t> </w:t>
            </w:r>
            <w:r>
              <w:rPr>
                <w:spacing w:val="-5"/>
                <w:sz w:val="20"/>
              </w:rPr>
              <w:t>var</w:t>
            </w:r>
          </w:p>
        </w:tc>
        <w:tc>
          <w:tcPr>
            <w:tcW w:w="930" w:type="dxa"/>
          </w:tcPr>
          <w:p>
            <w:pPr>
              <w:pStyle w:val="TableParagraph"/>
              <w:spacing w:line="210" w:lineRule="exact"/>
              <w:ind w:right="31"/>
              <w:jc w:val="right"/>
              <w:rPr>
                <w:sz w:val="20"/>
              </w:rPr>
            </w:pPr>
            <w:r>
              <w:rPr>
                <w:spacing w:val="-2"/>
                <w:sz w:val="20"/>
              </w:rPr>
              <w:t>0.252172</w:t>
            </w:r>
          </w:p>
        </w:tc>
      </w:tr>
      <w:tr>
        <w:trPr>
          <w:trHeight w:val="230" w:hRule="atLeast"/>
        </w:trPr>
        <w:tc>
          <w:tcPr>
            <w:tcW w:w="1942" w:type="dxa"/>
          </w:tcPr>
          <w:p>
            <w:pPr>
              <w:pStyle w:val="TableParagraph"/>
              <w:spacing w:line="210" w:lineRule="exact"/>
              <w:ind w:left="36"/>
              <w:rPr>
                <w:sz w:val="20"/>
              </w:rPr>
            </w:pPr>
            <w:r>
              <w:rPr>
                <w:sz w:val="20"/>
              </w:rPr>
              <w:t>S.E.</w:t>
            </w:r>
            <w:r>
              <w:rPr>
                <w:spacing w:val="-3"/>
                <w:sz w:val="20"/>
              </w:rPr>
              <w:t> </w:t>
            </w:r>
            <w:r>
              <w:rPr>
                <w:sz w:val="20"/>
              </w:rPr>
              <w:t>of</w:t>
            </w:r>
            <w:r>
              <w:rPr>
                <w:spacing w:val="-3"/>
                <w:sz w:val="20"/>
              </w:rPr>
              <w:t> </w:t>
            </w:r>
            <w:r>
              <w:rPr>
                <w:spacing w:val="-2"/>
                <w:sz w:val="20"/>
              </w:rPr>
              <w:t>regression</w:t>
            </w:r>
          </w:p>
        </w:tc>
        <w:tc>
          <w:tcPr>
            <w:tcW w:w="1281" w:type="dxa"/>
          </w:tcPr>
          <w:p>
            <w:pPr>
              <w:pStyle w:val="TableParagraph"/>
              <w:spacing w:line="210" w:lineRule="exact"/>
              <w:ind w:left="266"/>
              <w:jc w:val="center"/>
              <w:rPr>
                <w:sz w:val="20"/>
              </w:rPr>
            </w:pPr>
            <w:r>
              <w:rPr>
                <w:spacing w:val="-2"/>
                <w:sz w:val="20"/>
              </w:rPr>
              <w:t>0.192122</w:t>
            </w:r>
          </w:p>
        </w:tc>
        <w:tc>
          <w:tcPr>
            <w:tcW w:w="2338" w:type="dxa"/>
            <w:gridSpan w:val="2"/>
          </w:tcPr>
          <w:p>
            <w:pPr>
              <w:pStyle w:val="TableParagraph"/>
              <w:spacing w:line="210" w:lineRule="exact"/>
              <w:ind w:left="130"/>
              <w:rPr>
                <w:sz w:val="20"/>
              </w:rPr>
            </w:pPr>
            <w:r>
              <w:rPr>
                <w:sz w:val="20"/>
              </w:rPr>
              <w:t>Akaike</w:t>
            </w:r>
            <w:r>
              <w:rPr>
                <w:spacing w:val="-8"/>
                <w:sz w:val="20"/>
              </w:rPr>
              <w:t> </w:t>
            </w:r>
            <w:r>
              <w:rPr>
                <w:sz w:val="20"/>
              </w:rPr>
              <w:t>info</w:t>
            </w:r>
            <w:r>
              <w:rPr>
                <w:spacing w:val="-7"/>
                <w:sz w:val="20"/>
              </w:rPr>
              <w:t> </w:t>
            </w:r>
            <w:r>
              <w:rPr>
                <w:spacing w:val="-2"/>
                <w:sz w:val="20"/>
              </w:rPr>
              <w:t>criterion</w:t>
            </w:r>
          </w:p>
        </w:tc>
        <w:tc>
          <w:tcPr>
            <w:tcW w:w="930" w:type="dxa"/>
          </w:tcPr>
          <w:p>
            <w:pPr>
              <w:pStyle w:val="TableParagraph"/>
              <w:spacing w:line="210" w:lineRule="exact"/>
              <w:ind w:right="31"/>
              <w:jc w:val="right"/>
              <w:rPr>
                <w:sz w:val="20"/>
              </w:rPr>
            </w:pPr>
            <w:r>
              <w:rPr>
                <w:spacing w:val="-4"/>
                <w:sz w:val="20"/>
              </w:rPr>
              <w:t>-</w:t>
            </w:r>
            <w:r>
              <w:rPr>
                <w:spacing w:val="-2"/>
                <w:sz w:val="20"/>
              </w:rPr>
              <w:t>0.342164</w:t>
            </w:r>
          </w:p>
        </w:tc>
      </w:tr>
      <w:tr>
        <w:trPr>
          <w:trHeight w:val="230" w:hRule="atLeast"/>
        </w:trPr>
        <w:tc>
          <w:tcPr>
            <w:tcW w:w="1942" w:type="dxa"/>
          </w:tcPr>
          <w:p>
            <w:pPr>
              <w:pStyle w:val="TableParagraph"/>
              <w:spacing w:line="210" w:lineRule="exact"/>
              <w:ind w:left="36"/>
              <w:rPr>
                <w:sz w:val="20"/>
              </w:rPr>
            </w:pPr>
            <w:r>
              <w:rPr>
                <w:sz w:val="20"/>
              </w:rPr>
              <w:t>Sum</w:t>
            </w:r>
            <w:r>
              <w:rPr>
                <w:spacing w:val="-8"/>
                <w:sz w:val="20"/>
              </w:rPr>
              <w:t> </w:t>
            </w:r>
            <w:r>
              <w:rPr>
                <w:sz w:val="20"/>
              </w:rPr>
              <w:t>squared</w:t>
            </w:r>
            <w:r>
              <w:rPr>
                <w:spacing w:val="-4"/>
                <w:sz w:val="20"/>
              </w:rPr>
              <w:t> </w:t>
            </w:r>
            <w:r>
              <w:rPr>
                <w:spacing w:val="-2"/>
                <w:sz w:val="20"/>
              </w:rPr>
              <w:t>resid</w:t>
            </w:r>
          </w:p>
        </w:tc>
        <w:tc>
          <w:tcPr>
            <w:tcW w:w="1281" w:type="dxa"/>
          </w:tcPr>
          <w:p>
            <w:pPr>
              <w:pStyle w:val="TableParagraph"/>
              <w:spacing w:line="210" w:lineRule="exact"/>
              <w:ind w:left="266"/>
              <w:jc w:val="center"/>
              <w:rPr>
                <w:sz w:val="20"/>
              </w:rPr>
            </w:pPr>
            <w:r>
              <w:rPr>
                <w:spacing w:val="-2"/>
                <w:sz w:val="20"/>
              </w:rPr>
              <w:t>1.254969</w:t>
            </w:r>
          </w:p>
        </w:tc>
        <w:tc>
          <w:tcPr>
            <w:tcW w:w="2338" w:type="dxa"/>
            <w:gridSpan w:val="2"/>
          </w:tcPr>
          <w:p>
            <w:pPr>
              <w:pStyle w:val="TableParagraph"/>
              <w:spacing w:line="210" w:lineRule="exact"/>
              <w:ind w:left="130"/>
              <w:rPr>
                <w:sz w:val="20"/>
              </w:rPr>
            </w:pPr>
            <w:r>
              <w:rPr>
                <w:sz w:val="20"/>
              </w:rPr>
              <w:t>Schwarz</w:t>
            </w:r>
            <w:r>
              <w:rPr>
                <w:spacing w:val="-8"/>
                <w:sz w:val="20"/>
              </w:rPr>
              <w:t> </w:t>
            </w:r>
            <w:r>
              <w:rPr>
                <w:spacing w:val="-2"/>
                <w:sz w:val="20"/>
              </w:rPr>
              <w:t>criterion</w:t>
            </w:r>
          </w:p>
        </w:tc>
        <w:tc>
          <w:tcPr>
            <w:tcW w:w="930" w:type="dxa"/>
          </w:tcPr>
          <w:p>
            <w:pPr>
              <w:pStyle w:val="TableParagraph"/>
              <w:spacing w:line="210" w:lineRule="exact"/>
              <w:ind w:right="31"/>
              <w:jc w:val="right"/>
              <w:rPr>
                <w:sz w:val="20"/>
              </w:rPr>
            </w:pPr>
            <w:r>
              <w:rPr>
                <w:spacing w:val="-4"/>
                <w:sz w:val="20"/>
              </w:rPr>
              <w:t>-</w:t>
            </w:r>
            <w:r>
              <w:rPr>
                <w:spacing w:val="-2"/>
                <w:sz w:val="20"/>
              </w:rPr>
              <w:t>0.128887</w:t>
            </w:r>
          </w:p>
        </w:tc>
      </w:tr>
      <w:tr>
        <w:trPr>
          <w:trHeight w:val="265" w:hRule="atLeast"/>
        </w:trPr>
        <w:tc>
          <w:tcPr>
            <w:tcW w:w="1942" w:type="dxa"/>
            <w:tcBorders>
              <w:bottom w:val="double" w:sz="6" w:space="0" w:color="000000"/>
            </w:tcBorders>
          </w:tcPr>
          <w:p>
            <w:pPr>
              <w:pStyle w:val="TableParagraph"/>
              <w:spacing w:line="226" w:lineRule="exact"/>
              <w:ind w:left="36"/>
              <w:rPr>
                <w:sz w:val="20"/>
              </w:rPr>
            </w:pPr>
            <w:r>
              <w:rPr>
                <w:sz w:val="20"/>
              </w:rPr>
              <w:t>Log</w:t>
            </w:r>
            <w:r>
              <w:rPr>
                <w:spacing w:val="-6"/>
                <w:sz w:val="20"/>
              </w:rPr>
              <w:t> </w:t>
            </w:r>
            <w:r>
              <w:rPr>
                <w:spacing w:val="-2"/>
                <w:sz w:val="20"/>
              </w:rPr>
              <w:t>likelihood</w:t>
            </w:r>
          </w:p>
        </w:tc>
        <w:tc>
          <w:tcPr>
            <w:tcW w:w="1281" w:type="dxa"/>
          </w:tcPr>
          <w:p>
            <w:pPr>
              <w:pStyle w:val="TableParagraph"/>
              <w:spacing w:line="226" w:lineRule="exact"/>
              <w:ind w:left="266"/>
              <w:jc w:val="center"/>
              <w:rPr>
                <w:sz w:val="20"/>
              </w:rPr>
            </w:pPr>
            <w:r>
              <w:rPr>
                <w:spacing w:val="-2"/>
                <w:sz w:val="20"/>
              </w:rPr>
              <w:t>11.67219</w:t>
            </w:r>
          </w:p>
        </w:tc>
        <w:tc>
          <w:tcPr>
            <w:tcW w:w="2338" w:type="dxa"/>
            <w:gridSpan w:val="2"/>
            <w:tcBorders>
              <w:bottom w:val="double" w:sz="6" w:space="0" w:color="000000"/>
            </w:tcBorders>
          </w:tcPr>
          <w:p>
            <w:pPr>
              <w:pStyle w:val="TableParagraph"/>
              <w:spacing w:line="226" w:lineRule="exact"/>
              <w:ind w:left="130"/>
              <w:rPr>
                <w:sz w:val="20"/>
              </w:rPr>
            </w:pPr>
            <w:r>
              <w:rPr>
                <w:spacing w:val="-2"/>
                <w:sz w:val="20"/>
              </w:rPr>
              <w:t>Durbin-Watson</w:t>
            </w:r>
            <w:r>
              <w:rPr>
                <w:spacing w:val="12"/>
                <w:sz w:val="20"/>
              </w:rPr>
              <w:t> </w:t>
            </w:r>
            <w:r>
              <w:rPr>
                <w:spacing w:val="-4"/>
                <w:sz w:val="20"/>
              </w:rPr>
              <w:t>stat</w:t>
            </w:r>
          </w:p>
        </w:tc>
        <w:tc>
          <w:tcPr>
            <w:tcW w:w="930" w:type="dxa"/>
            <w:tcBorders>
              <w:bottom w:val="double" w:sz="6" w:space="0" w:color="000000"/>
            </w:tcBorders>
          </w:tcPr>
          <w:p>
            <w:pPr>
              <w:pStyle w:val="TableParagraph"/>
              <w:spacing w:line="226" w:lineRule="exact"/>
              <w:ind w:right="31"/>
              <w:jc w:val="right"/>
              <w:rPr>
                <w:sz w:val="20"/>
              </w:rPr>
            </w:pPr>
            <w:r>
              <w:rPr>
                <w:spacing w:val="-2"/>
                <w:sz w:val="20"/>
              </w:rPr>
              <w:t>2.402566</w:t>
            </w:r>
          </w:p>
        </w:tc>
      </w:tr>
    </w:tbl>
    <w:p>
      <w:pPr>
        <w:pStyle w:val="BodyText"/>
        <w:rPr>
          <w:sz w:val="20"/>
        </w:rPr>
      </w:pPr>
    </w:p>
    <w:p>
      <w:pPr>
        <w:pStyle w:val="BodyText"/>
        <w:spacing w:before="13"/>
        <w:rPr>
          <w:sz w:val="20"/>
        </w:rPr>
      </w:pPr>
    </w:p>
    <w:p>
      <w:pPr>
        <w:spacing w:before="0" w:after="8"/>
        <w:ind w:left="711" w:right="0" w:firstLine="0"/>
        <w:jc w:val="left"/>
        <w:rPr>
          <w:sz w:val="20"/>
        </w:rPr>
      </w:pPr>
      <w:r>
        <w:rPr>
          <w:sz w:val="20"/>
        </w:rPr>
        <w:t>JOHASEN</w:t>
      </w:r>
      <w:r>
        <w:rPr>
          <w:spacing w:val="-6"/>
          <w:sz w:val="20"/>
        </w:rPr>
        <w:t> </w:t>
      </w:r>
      <w:r>
        <w:rPr>
          <w:sz w:val="20"/>
        </w:rPr>
        <w:t>TEST</w:t>
      </w:r>
      <w:r>
        <w:rPr>
          <w:spacing w:val="-3"/>
          <w:sz w:val="20"/>
        </w:rPr>
        <w:t> </w:t>
      </w:r>
      <w:r>
        <w:rPr>
          <w:sz w:val="20"/>
        </w:rPr>
        <w:t>FOR</w:t>
      </w:r>
      <w:r>
        <w:rPr>
          <w:spacing w:val="-6"/>
          <w:sz w:val="20"/>
        </w:rPr>
        <w:t> </w:t>
      </w:r>
      <w:r>
        <w:rPr>
          <w:sz w:val="20"/>
        </w:rPr>
        <w:t>MODEL</w:t>
      </w:r>
      <w:r>
        <w:rPr>
          <w:spacing w:val="-7"/>
          <w:sz w:val="20"/>
        </w:rPr>
        <w:t> </w:t>
      </w:r>
      <w:r>
        <w:rPr>
          <w:spacing w:val="-5"/>
          <w:sz w:val="20"/>
        </w:rPr>
        <w:t>2B</w:t>
      </w:r>
    </w:p>
    <w:tbl>
      <w:tblPr>
        <w:tblW w:w="0" w:type="auto"/>
        <w:jc w:val="left"/>
        <w:tblInd w:w="7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35"/>
        <w:gridCol w:w="1290"/>
        <w:gridCol w:w="1472"/>
        <w:gridCol w:w="1419"/>
        <w:gridCol w:w="4229"/>
      </w:tblGrid>
      <w:tr>
        <w:trPr>
          <w:trHeight w:val="225" w:hRule="atLeast"/>
        </w:trPr>
        <w:tc>
          <w:tcPr>
            <w:tcW w:w="9845" w:type="dxa"/>
            <w:gridSpan w:val="5"/>
          </w:tcPr>
          <w:p>
            <w:pPr>
              <w:pStyle w:val="TableParagraph"/>
              <w:spacing w:line="205" w:lineRule="exact"/>
              <w:ind w:left="28"/>
              <w:rPr>
                <w:sz w:val="20"/>
              </w:rPr>
            </w:pPr>
            <w:r>
              <w:rPr>
                <w:sz w:val="20"/>
              </w:rPr>
              <w:t>Date:</w:t>
            </w:r>
            <w:r>
              <w:rPr>
                <w:spacing w:val="-4"/>
                <w:sz w:val="20"/>
              </w:rPr>
              <w:t> </w:t>
            </w:r>
            <w:r>
              <w:rPr>
                <w:sz w:val="20"/>
              </w:rPr>
              <w:t>02/17/14</w:t>
            </w:r>
            <w:r>
              <w:rPr>
                <w:spacing w:val="63"/>
                <w:w w:val="150"/>
                <w:sz w:val="20"/>
              </w:rPr>
              <w:t> </w:t>
            </w:r>
            <w:r>
              <w:rPr>
                <w:sz w:val="20"/>
              </w:rPr>
              <w:t>Time:</w:t>
            </w:r>
            <w:r>
              <w:rPr>
                <w:spacing w:val="-3"/>
                <w:sz w:val="20"/>
              </w:rPr>
              <w:t> </w:t>
            </w:r>
            <w:r>
              <w:rPr>
                <w:spacing w:val="-4"/>
                <w:sz w:val="20"/>
              </w:rPr>
              <w:t>17:55</w:t>
            </w:r>
          </w:p>
        </w:tc>
      </w:tr>
      <w:tr>
        <w:trPr>
          <w:trHeight w:val="230" w:hRule="atLeast"/>
        </w:trPr>
        <w:tc>
          <w:tcPr>
            <w:tcW w:w="9845" w:type="dxa"/>
            <w:gridSpan w:val="5"/>
          </w:tcPr>
          <w:p>
            <w:pPr>
              <w:pStyle w:val="TableParagraph"/>
              <w:spacing w:line="210" w:lineRule="exact"/>
              <w:ind w:left="28"/>
              <w:rPr>
                <w:sz w:val="20"/>
              </w:rPr>
            </w:pPr>
            <w:r>
              <w:rPr>
                <w:sz w:val="20"/>
              </w:rPr>
              <w:t>Sample:</w:t>
            </w:r>
            <w:r>
              <w:rPr>
                <w:spacing w:val="-5"/>
                <w:sz w:val="20"/>
              </w:rPr>
              <w:t> </w:t>
            </w:r>
            <w:r>
              <w:rPr>
                <w:sz w:val="20"/>
              </w:rPr>
              <w:t>1970</w:t>
            </w:r>
            <w:r>
              <w:rPr>
                <w:spacing w:val="-3"/>
                <w:sz w:val="20"/>
              </w:rPr>
              <w:t> </w:t>
            </w:r>
            <w:r>
              <w:rPr>
                <w:spacing w:val="-4"/>
                <w:sz w:val="20"/>
              </w:rPr>
              <w:t>2011</w:t>
            </w:r>
          </w:p>
        </w:tc>
      </w:tr>
      <w:tr>
        <w:trPr>
          <w:trHeight w:val="230" w:hRule="atLeast"/>
        </w:trPr>
        <w:tc>
          <w:tcPr>
            <w:tcW w:w="9845" w:type="dxa"/>
            <w:gridSpan w:val="5"/>
          </w:tcPr>
          <w:p>
            <w:pPr>
              <w:pStyle w:val="TableParagraph"/>
              <w:spacing w:line="210" w:lineRule="exact"/>
              <w:ind w:left="28"/>
              <w:rPr>
                <w:sz w:val="20"/>
              </w:rPr>
            </w:pPr>
            <w:r>
              <w:rPr>
                <w:sz w:val="20"/>
              </w:rPr>
              <w:t>Included</w:t>
            </w:r>
            <w:r>
              <w:rPr>
                <w:spacing w:val="-9"/>
                <w:sz w:val="20"/>
              </w:rPr>
              <w:t> </w:t>
            </w:r>
            <w:r>
              <w:rPr>
                <w:sz w:val="20"/>
              </w:rPr>
              <w:t>observations:</w:t>
            </w:r>
            <w:r>
              <w:rPr>
                <w:spacing w:val="-10"/>
                <w:sz w:val="20"/>
              </w:rPr>
              <w:t> </w:t>
            </w:r>
            <w:r>
              <w:rPr>
                <w:spacing w:val="-5"/>
                <w:sz w:val="20"/>
              </w:rPr>
              <w:t>40</w:t>
            </w:r>
          </w:p>
        </w:tc>
      </w:tr>
      <w:tr>
        <w:trPr>
          <w:trHeight w:val="1149" w:hRule="atLeast"/>
        </w:trPr>
        <w:tc>
          <w:tcPr>
            <w:tcW w:w="1435" w:type="dxa"/>
          </w:tcPr>
          <w:p>
            <w:pPr>
              <w:pStyle w:val="TableParagraph"/>
              <w:ind w:left="168" w:right="223" w:firstLine="1"/>
              <w:jc w:val="center"/>
              <w:rPr>
                <w:sz w:val="20"/>
              </w:rPr>
            </w:pPr>
            <w:r>
              <w:rPr>
                <w:spacing w:val="-4"/>
                <w:sz w:val="20"/>
              </w:rPr>
              <w:t>Test </w:t>
            </w:r>
            <w:r>
              <w:rPr>
                <w:spacing w:val="-2"/>
                <w:sz w:val="20"/>
              </w:rPr>
              <w:t>assumption: Linear deterministic</w:t>
            </w:r>
          </w:p>
          <w:p>
            <w:pPr>
              <w:pStyle w:val="TableParagraph"/>
              <w:spacing w:line="214" w:lineRule="exact"/>
              <w:ind w:right="60"/>
              <w:jc w:val="center"/>
              <w:rPr>
                <w:sz w:val="20"/>
              </w:rPr>
            </w:pPr>
            <w:r>
              <w:rPr>
                <w:sz w:val="20"/>
              </w:rPr>
              <w:t>trend</w:t>
            </w:r>
            <w:r>
              <w:rPr>
                <w:spacing w:val="-3"/>
                <w:sz w:val="20"/>
              </w:rPr>
              <w:t> </w:t>
            </w:r>
            <w:r>
              <w:rPr>
                <w:sz w:val="20"/>
              </w:rPr>
              <w:t>in</w:t>
            </w:r>
            <w:r>
              <w:rPr>
                <w:spacing w:val="-5"/>
                <w:sz w:val="20"/>
              </w:rPr>
              <w:t> </w:t>
            </w:r>
            <w:r>
              <w:rPr>
                <w:sz w:val="20"/>
              </w:rPr>
              <w:t>the</w:t>
            </w:r>
            <w:r>
              <w:rPr>
                <w:spacing w:val="-3"/>
                <w:sz w:val="20"/>
              </w:rPr>
              <w:t> </w:t>
            </w:r>
            <w:r>
              <w:rPr>
                <w:spacing w:val="-4"/>
                <w:sz w:val="20"/>
              </w:rPr>
              <w:t>data</w:t>
            </w:r>
          </w:p>
        </w:tc>
        <w:tc>
          <w:tcPr>
            <w:tcW w:w="1290" w:type="dxa"/>
          </w:tcPr>
          <w:p>
            <w:pPr>
              <w:pStyle w:val="TableParagraph"/>
              <w:rPr>
                <w:sz w:val="18"/>
              </w:rPr>
            </w:pPr>
          </w:p>
        </w:tc>
        <w:tc>
          <w:tcPr>
            <w:tcW w:w="1472" w:type="dxa"/>
          </w:tcPr>
          <w:p>
            <w:pPr>
              <w:pStyle w:val="TableParagraph"/>
              <w:rPr>
                <w:sz w:val="18"/>
              </w:rPr>
            </w:pPr>
          </w:p>
        </w:tc>
        <w:tc>
          <w:tcPr>
            <w:tcW w:w="1419" w:type="dxa"/>
          </w:tcPr>
          <w:p>
            <w:pPr>
              <w:pStyle w:val="TableParagraph"/>
              <w:rPr>
                <w:sz w:val="18"/>
              </w:rPr>
            </w:pPr>
          </w:p>
        </w:tc>
        <w:tc>
          <w:tcPr>
            <w:tcW w:w="4229" w:type="dxa"/>
          </w:tcPr>
          <w:p>
            <w:pPr>
              <w:pStyle w:val="TableParagraph"/>
              <w:rPr>
                <w:sz w:val="18"/>
              </w:rPr>
            </w:pPr>
          </w:p>
        </w:tc>
      </w:tr>
      <w:tr>
        <w:trPr>
          <w:trHeight w:val="230" w:hRule="atLeast"/>
        </w:trPr>
        <w:tc>
          <w:tcPr>
            <w:tcW w:w="9845" w:type="dxa"/>
            <w:gridSpan w:val="5"/>
          </w:tcPr>
          <w:p>
            <w:pPr>
              <w:pStyle w:val="TableParagraph"/>
              <w:spacing w:line="210" w:lineRule="exact"/>
              <w:ind w:left="28"/>
              <w:rPr>
                <w:sz w:val="20"/>
              </w:rPr>
            </w:pPr>
            <w:r>
              <w:rPr>
                <w:sz w:val="20"/>
              </w:rPr>
              <w:t>Series:</w:t>
            </w:r>
            <w:r>
              <w:rPr>
                <w:spacing w:val="-7"/>
                <w:sz w:val="20"/>
              </w:rPr>
              <w:t> </w:t>
            </w:r>
            <w:r>
              <w:rPr>
                <w:sz w:val="20"/>
              </w:rPr>
              <w:t>GDP</w:t>
            </w:r>
            <w:r>
              <w:rPr>
                <w:spacing w:val="-3"/>
                <w:sz w:val="20"/>
              </w:rPr>
              <w:t> </w:t>
            </w:r>
            <w:r>
              <w:rPr>
                <w:sz w:val="20"/>
              </w:rPr>
              <w:t>EXTDEBT</w:t>
            </w:r>
            <w:r>
              <w:rPr>
                <w:spacing w:val="-3"/>
                <w:sz w:val="20"/>
              </w:rPr>
              <w:t> </w:t>
            </w:r>
            <w:r>
              <w:rPr>
                <w:sz w:val="20"/>
              </w:rPr>
              <w:t>DFI</w:t>
            </w:r>
            <w:r>
              <w:rPr>
                <w:spacing w:val="-7"/>
                <w:sz w:val="20"/>
              </w:rPr>
              <w:t> </w:t>
            </w:r>
            <w:r>
              <w:rPr>
                <w:sz w:val="20"/>
              </w:rPr>
              <w:t>CAB</w:t>
            </w:r>
            <w:r>
              <w:rPr>
                <w:spacing w:val="-4"/>
                <w:sz w:val="20"/>
              </w:rPr>
              <w:t> </w:t>
            </w:r>
            <w:r>
              <w:rPr>
                <w:sz w:val="20"/>
              </w:rPr>
              <w:t>RES</w:t>
            </w:r>
            <w:r>
              <w:rPr>
                <w:spacing w:val="-6"/>
                <w:sz w:val="20"/>
              </w:rPr>
              <w:t> </w:t>
            </w:r>
            <w:r>
              <w:rPr>
                <w:spacing w:val="-2"/>
                <w:sz w:val="20"/>
              </w:rPr>
              <w:t>NEXTAS</w:t>
            </w:r>
          </w:p>
        </w:tc>
      </w:tr>
      <w:tr>
        <w:trPr>
          <w:trHeight w:val="224" w:hRule="atLeast"/>
        </w:trPr>
        <w:tc>
          <w:tcPr>
            <w:tcW w:w="9845" w:type="dxa"/>
            <w:gridSpan w:val="5"/>
            <w:tcBorders>
              <w:bottom w:val="double" w:sz="6" w:space="0" w:color="000000"/>
            </w:tcBorders>
          </w:tcPr>
          <w:p>
            <w:pPr>
              <w:pStyle w:val="TableParagraph"/>
              <w:spacing w:line="205" w:lineRule="exact"/>
              <w:ind w:left="28"/>
              <w:rPr>
                <w:sz w:val="20"/>
              </w:rPr>
            </w:pPr>
            <w:r>
              <w:rPr>
                <w:sz w:val="20"/>
              </w:rPr>
              <w:t>Lags</w:t>
            </w:r>
            <w:r>
              <w:rPr>
                <w:spacing w:val="-5"/>
                <w:sz w:val="20"/>
              </w:rPr>
              <w:t> </w:t>
            </w:r>
            <w:r>
              <w:rPr>
                <w:sz w:val="20"/>
              </w:rPr>
              <w:t>interval:</w:t>
            </w:r>
            <w:r>
              <w:rPr>
                <w:spacing w:val="-5"/>
                <w:sz w:val="20"/>
              </w:rPr>
              <w:t> </w:t>
            </w:r>
            <w:r>
              <w:rPr>
                <w:sz w:val="20"/>
              </w:rPr>
              <w:t>1</w:t>
            </w:r>
            <w:r>
              <w:rPr>
                <w:spacing w:val="-3"/>
                <w:sz w:val="20"/>
              </w:rPr>
              <w:t> </w:t>
            </w:r>
            <w:r>
              <w:rPr>
                <w:sz w:val="20"/>
              </w:rPr>
              <w:t>to</w:t>
            </w:r>
            <w:r>
              <w:rPr>
                <w:spacing w:val="-3"/>
                <w:sz w:val="20"/>
              </w:rPr>
              <w:t> </w:t>
            </w:r>
            <w:r>
              <w:rPr>
                <w:spacing w:val="-10"/>
                <w:sz w:val="20"/>
              </w:rPr>
              <w:t>1</w:t>
            </w:r>
          </w:p>
        </w:tc>
      </w:tr>
      <w:tr>
        <w:trPr>
          <w:trHeight w:val="275" w:hRule="atLeast"/>
        </w:trPr>
        <w:tc>
          <w:tcPr>
            <w:tcW w:w="1435" w:type="dxa"/>
            <w:tcBorders>
              <w:top w:val="double" w:sz="6" w:space="0" w:color="000000"/>
            </w:tcBorders>
          </w:tcPr>
          <w:p>
            <w:pPr>
              <w:pStyle w:val="TableParagraph"/>
              <w:rPr>
                <w:sz w:val="18"/>
              </w:rPr>
            </w:pPr>
          </w:p>
        </w:tc>
        <w:tc>
          <w:tcPr>
            <w:tcW w:w="1290" w:type="dxa"/>
            <w:tcBorders>
              <w:top w:val="double" w:sz="6" w:space="0" w:color="000000"/>
            </w:tcBorders>
          </w:tcPr>
          <w:p>
            <w:pPr>
              <w:pStyle w:val="TableParagraph"/>
              <w:spacing w:line="215" w:lineRule="exact" w:before="40"/>
              <w:ind w:left="60" w:right="56"/>
              <w:jc w:val="center"/>
              <w:rPr>
                <w:sz w:val="20"/>
              </w:rPr>
            </w:pPr>
            <w:r>
              <w:rPr>
                <w:spacing w:val="-2"/>
                <w:sz w:val="20"/>
              </w:rPr>
              <w:t>Likelihood</w:t>
            </w:r>
          </w:p>
        </w:tc>
        <w:tc>
          <w:tcPr>
            <w:tcW w:w="1472" w:type="dxa"/>
            <w:tcBorders>
              <w:top w:val="double" w:sz="6" w:space="0" w:color="000000"/>
            </w:tcBorders>
          </w:tcPr>
          <w:p>
            <w:pPr>
              <w:pStyle w:val="TableParagraph"/>
              <w:spacing w:line="215" w:lineRule="exact" w:before="40"/>
              <w:ind w:left="146" w:right="81"/>
              <w:jc w:val="center"/>
              <w:rPr>
                <w:sz w:val="20"/>
              </w:rPr>
            </w:pPr>
            <w:r>
              <w:rPr>
                <w:sz w:val="20"/>
              </w:rPr>
              <w:t>5 </w:t>
            </w:r>
            <w:r>
              <w:rPr>
                <w:spacing w:val="-2"/>
                <w:sz w:val="20"/>
              </w:rPr>
              <w:t>Percent</w:t>
            </w:r>
          </w:p>
        </w:tc>
        <w:tc>
          <w:tcPr>
            <w:tcW w:w="1419" w:type="dxa"/>
            <w:tcBorders>
              <w:top w:val="double" w:sz="6" w:space="0" w:color="000000"/>
            </w:tcBorders>
          </w:tcPr>
          <w:p>
            <w:pPr>
              <w:pStyle w:val="TableParagraph"/>
              <w:spacing w:line="215" w:lineRule="exact" w:before="40"/>
              <w:ind w:left="5" w:right="6"/>
              <w:jc w:val="center"/>
              <w:rPr>
                <w:sz w:val="20"/>
              </w:rPr>
            </w:pPr>
            <w:r>
              <w:rPr>
                <w:sz w:val="20"/>
              </w:rPr>
              <w:t>1 </w:t>
            </w:r>
            <w:r>
              <w:rPr>
                <w:spacing w:val="-2"/>
                <w:sz w:val="20"/>
              </w:rPr>
              <w:t>Percent</w:t>
            </w:r>
          </w:p>
        </w:tc>
        <w:tc>
          <w:tcPr>
            <w:tcW w:w="4229" w:type="dxa"/>
            <w:tcBorders>
              <w:top w:val="double" w:sz="6" w:space="0" w:color="000000"/>
            </w:tcBorders>
          </w:tcPr>
          <w:p>
            <w:pPr>
              <w:pStyle w:val="TableParagraph"/>
              <w:spacing w:line="215" w:lineRule="exact" w:before="40"/>
              <w:ind w:left="150"/>
              <w:rPr>
                <w:sz w:val="20"/>
              </w:rPr>
            </w:pPr>
            <w:r>
              <w:rPr>
                <w:spacing w:val="-2"/>
                <w:sz w:val="20"/>
              </w:rPr>
              <w:t>Hypothesized</w:t>
            </w:r>
          </w:p>
        </w:tc>
      </w:tr>
      <w:tr>
        <w:trPr>
          <w:trHeight w:val="224" w:hRule="atLeast"/>
        </w:trPr>
        <w:tc>
          <w:tcPr>
            <w:tcW w:w="1435" w:type="dxa"/>
            <w:tcBorders>
              <w:bottom w:val="double" w:sz="6" w:space="0" w:color="000000"/>
            </w:tcBorders>
          </w:tcPr>
          <w:p>
            <w:pPr>
              <w:pStyle w:val="TableParagraph"/>
              <w:spacing w:line="205" w:lineRule="exact"/>
              <w:ind w:right="298"/>
              <w:jc w:val="right"/>
              <w:rPr>
                <w:sz w:val="20"/>
              </w:rPr>
            </w:pPr>
            <w:r>
              <w:rPr>
                <w:spacing w:val="-2"/>
                <w:sz w:val="20"/>
              </w:rPr>
              <w:t>Eigenvalue</w:t>
            </w:r>
          </w:p>
        </w:tc>
        <w:tc>
          <w:tcPr>
            <w:tcW w:w="1290" w:type="dxa"/>
            <w:tcBorders>
              <w:bottom w:val="double" w:sz="6" w:space="0" w:color="000000"/>
            </w:tcBorders>
          </w:tcPr>
          <w:p>
            <w:pPr>
              <w:pStyle w:val="TableParagraph"/>
              <w:spacing w:line="205" w:lineRule="exact"/>
              <w:ind w:left="60" w:right="55"/>
              <w:jc w:val="center"/>
              <w:rPr>
                <w:sz w:val="20"/>
              </w:rPr>
            </w:pPr>
            <w:r>
              <w:rPr>
                <w:spacing w:val="-2"/>
                <w:sz w:val="20"/>
              </w:rPr>
              <w:t>Ratio</w:t>
            </w:r>
          </w:p>
        </w:tc>
        <w:tc>
          <w:tcPr>
            <w:tcW w:w="1472" w:type="dxa"/>
            <w:tcBorders>
              <w:bottom w:val="double" w:sz="6" w:space="0" w:color="000000"/>
            </w:tcBorders>
          </w:tcPr>
          <w:p>
            <w:pPr>
              <w:pStyle w:val="TableParagraph"/>
              <w:spacing w:line="205" w:lineRule="exact"/>
              <w:ind w:left="141" w:right="81"/>
              <w:jc w:val="center"/>
              <w:rPr>
                <w:sz w:val="20"/>
              </w:rPr>
            </w:pPr>
            <w:r>
              <w:rPr>
                <w:sz w:val="20"/>
              </w:rPr>
              <w:t>Critical</w:t>
            </w:r>
            <w:r>
              <w:rPr>
                <w:spacing w:val="-7"/>
                <w:sz w:val="20"/>
              </w:rPr>
              <w:t> </w:t>
            </w:r>
            <w:r>
              <w:rPr>
                <w:spacing w:val="-2"/>
                <w:sz w:val="20"/>
              </w:rPr>
              <w:t>Value</w:t>
            </w:r>
          </w:p>
        </w:tc>
        <w:tc>
          <w:tcPr>
            <w:tcW w:w="1419" w:type="dxa"/>
            <w:tcBorders>
              <w:bottom w:val="double" w:sz="6" w:space="0" w:color="000000"/>
            </w:tcBorders>
          </w:tcPr>
          <w:p>
            <w:pPr>
              <w:pStyle w:val="TableParagraph"/>
              <w:spacing w:line="205" w:lineRule="exact"/>
              <w:ind w:right="6"/>
              <w:jc w:val="center"/>
              <w:rPr>
                <w:sz w:val="20"/>
              </w:rPr>
            </w:pPr>
            <w:r>
              <w:rPr>
                <w:sz w:val="20"/>
              </w:rPr>
              <w:t>Critical</w:t>
            </w:r>
            <w:r>
              <w:rPr>
                <w:spacing w:val="-7"/>
                <w:sz w:val="20"/>
              </w:rPr>
              <w:t> </w:t>
            </w:r>
            <w:r>
              <w:rPr>
                <w:spacing w:val="-2"/>
                <w:sz w:val="20"/>
              </w:rPr>
              <w:t>Value</w:t>
            </w:r>
          </w:p>
        </w:tc>
        <w:tc>
          <w:tcPr>
            <w:tcW w:w="4229" w:type="dxa"/>
            <w:tcBorders>
              <w:bottom w:val="double" w:sz="6" w:space="0" w:color="000000"/>
            </w:tcBorders>
          </w:tcPr>
          <w:p>
            <w:pPr>
              <w:pStyle w:val="TableParagraph"/>
              <w:spacing w:line="205" w:lineRule="exact"/>
              <w:ind w:left="186"/>
              <w:rPr>
                <w:sz w:val="20"/>
              </w:rPr>
            </w:pPr>
            <w:r>
              <w:rPr>
                <w:sz w:val="20"/>
              </w:rPr>
              <w:t>No.</w:t>
            </w:r>
            <w:r>
              <w:rPr>
                <w:spacing w:val="-2"/>
                <w:sz w:val="20"/>
              </w:rPr>
              <w:t> </w:t>
            </w:r>
            <w:r>
              <w:rPr>
                <w:sz w:val="20"/>
              </w:rPr>
              <w:t>of</w:t>
            </w:r>
            <w:r>
              <w:rPr>
                <w:spacing w:val="-3"/>
                <w:sz w:val="20"/>
              </w:rPr>
              <w:t> </w:t>
            </w:r>
            <w:r>
              <w:rPr>
                <w:spacing w:val="-2"/>
                <w:sz w:val="20"/>
              </w:rPr>
              <w:t>CE(s)</w:t>
            </w:r>
          </w:p>
        </w:tc>
      </w:tr>
      <w:tr>
        <w:trPr>
          <w:trHeight w:val="270" w:hRule="atLeast"/>
        </w:trPr>
        <w:tc>
          <w:tcPr>
            <w:tcW w:w="1435" w:type="dxa"/>
            <w:tcBorders>
              <w:top w:val="double" w:sz="6" w:space="0" w:color="000000"/>
            </w:tcBorders>
          </w:tcPr>
          <w:p>
            <w:pPr>
              <w:pStyle w:val="TableParagraph"/>
              <w:spacing w:line="210" w:lineRule="exact" w:before="40"/>
              <w:ind w:right="345"/>
              <w:jc w:val="right"/>
              <w:rPr>
                <w:sz w:val="20"/>
              </w:rPr>
            </w:pPr>
            <w:r>
              <w:rPr>
                <w:spacing w:val="-2"/>
                <w:sz w:val="20"/>
              </w:rPr>
              <w:t>0.560985</w:t>
            </w:r>
          </w:p>
        </w:tc>
        <w:tc>
          <w:tcPr>
            <w:tcW w:w="1290" w:type="dxa"/>
            <w:tcBorders>
              <w:top w:val="double" w:sz="6" w:space="0" w:color="000000"/>
            </w:tcBorders>
          </w:tcPr>
          <w:p>
            <w:pPr>
              <w:pStyle w:val="TableParagraph"/>
              <w:spacing w:line="210" w:lineRule="exact" w:before="40"/>
              <w:ind w:left="60"/>
              <w:jc w:val="center"/>
              <w:rPr>
                <w:sz w:val="20"/>
              </w:rPr>
            </w:pPr>
            <w:r>
              <w:rPr>
                <w:spacing w:val="-2"/>
                <w:sz w:val="20"/>
              </w:rPr>
              <w:t>95.95913</w:t>
            </w:r>
          </w:p>
        </w:tc>
        <w:tc>
          <w:tcPr>
            <w:tcW w:w="1472" w:type="dxa"/>
            <w:tcBorders>
              <w:top w:val="double" w:sz="6" w:space="0" w:color="000000"/>
            </w:tcBorders>
          </w:tcPr>
          <w:p>
            <w:pPr>
              <w:pStyle w:val="TableParagraph"/>
              <w:spacing w:line="210" w:lineRule="exact" w:before="40"/>
              <w:ind w:left="114"/>
              <w:jc w:val="center"/>
              <w:rPr>
                <w:sz w:val="20"/>
              </w:rPr>
            </w:pPr>
            <w:r>
              <w:rPr>
                <w:spacing w:val="-2"/>
                <w:sz w:val="20"/>
              </w:rPr>
              <w:t>94.15</w:t>
            </w:r>
          </w:p>
        </w:tc>
        <w:tc>
          <w:tcPr>
            <w:tcW w:w="1419" w:type="dxa"/>
            <w:tcBorders>
              <w:top w:val="double" w:sz="6" w:space="0" w:color="000000"/>
            </w:tcBorders>
          </w:tcPr>
          <w:p>
            <w:pPr>
              <w:pStyle w:val="TableParagraph"/>
              <w:spacing w:line="210" w:lineRule="exact" w:before="40"/>
              <w:ind w:left="5" w:right="6"/>
              <w:jc w:val="center"/>
              <w:rPr>
                <w:sz w:val="20"/>
              </w:rPr>
            </w:pPr>
            <w:r>
              <w:rPr>
                <w:spacing w:val="-2"/>
                <w:sz w:val="20"/>
              </w:rPr>
              <w:t>103.18</w:t>
            </w:r>
          </w:p>
        </w:tc>
        <w:tc>
          <w:tcPr>
            <w:tcW w:w="4229" w:type="dxa"/>
            <w:tcBorders>
              <w:top w:val="double" w:sz="6" w:space="0" w:color="000000"/>
            </w:tcBorders>
          </w:tcPr>
          <w:p>
            <w:pPr>
              <w:pStyle w:val="TableParagraph"/>
              <w:spacing w:line="210" w:lineRule="exact" w:before="40"/>
              <w:ind w:left="327"/>
              <w:rPr>
                <w:sz w:val="20"/>
              </w:rPr>
            </w:pPr>
            <w:r>
              <w:rPr>
                <w:sz w:val="20"/>
              </w:rPr>
              <w:t>None</w:t>
            </w:r>
            <w:r>
              <w:rPr>
                <w:spacing w:val="-6"/>
                <w:sz w:val="20"/>
              </w:rPr>
              <w:t> </w:t>
            </w:r>
            <w:r>
              <w:rPr>
                <w:spacing w:val="-10"/>
                <w:sz w:val="20"/>
              </w:rPr>
              <w:t>*</w:t>
            </w:r>
          </w:p>
        </w:tc>
      </w:tr>
    </w:tbl>
    <w:p>
      <w:pPr>
        <w:spacing w:after="0" w:line="210" w:lineRule="exact"/>
        <w:rPr>
          <w:sz w:val="20"/>
        </w:rPr>
        <w:sectPr>
          <w:pgSz w:w="11910" w:h="16840"/>
          <w:pgMar w:header="0" w:footer="979" w:top="1360" w:bottom="1350" w:left="280" w:right="0"/>
        </w:sectPr>
      </w:pPr>
    </w:p>
    <w:tbl>
      <w:tblPr>
        <w:tblW w:w="0" w:type="auto"/>
        <w:jc w:val="left"/>
        <w:tblInd w:w="7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65"/>
        <w:gridCol w:w="1346"/>
        <w:gridCol w:w="1392"/>
        <w:gridCol w:w="1354"/>
        <w:gridCol w:w="1469"/>
        <w:gridCol w:w="1410"/>
        <w:gridCol w:w="1407"/>
      </w:tblGrid>
      <w:tr>
        <w:trPr>
          <w:trHeight w:val="225" w:hRule="atLeast"/>
        </w:trPr>
        <w:tc>
          <w:tcPr>
            <w:tcW w:w="1465" w:type="dxa"/>
          </w:tcPr>
          <w:p>
            <w:pPr>
              <w:pStyle w:val="TableParagraph"/>
              <w:spacing w:line="206" w:lineRule="exact"/>
              <w:ind w:left="52" w:right="88"/>
              <w:jc w:val="center"/>
              <w:rPr>
                <w:sz w:val="20"/>
              </w:rPr>
            </w:pPr>
            <w:r>
              <w:rPr>
                <w:spacing w:val="-2"/>
                <w:sz w:val="20"/>
              </w:rPr>
              <w:t>0.457967</w:t>
            </w:r>
          </w:p>
        </w:tc>
        <w:tc>
          <w:tcPr>
            <w:tcW w:w="1346" w:type="dxa"/>
          </w:tcPr>
          <w:p>
            <w:pPr>
              <w:pStyle w:val="TableParagraph"/>
              <w:spacing w:line="206" w:lineRule="exact"/>
              <w:ind w:right="324"/>
              <w:jc w:val="right"/>
              <w:rPr>
                <w:sz w:val="20"/>
              </w:rPr>
            </w:pPr>
            <w:r>
              <w:rPr>
                <w:spacing w:val="-2"/>
                <w:sz w:val="20"/>
              </w:rPr>
              <w:t>63.03029</w:t>
            </w:r>
          </w:p>
        </w:tc>
        <w:tc>
          <w:tcPr>
            <w:tcW w:w="1392" w:type="dxa"/>
          </w:tcPr>
          <w:p>
            <w:pPr>
              <w:pStyle w:val="TableParagraph"/>
              <w:spacing w:line="206" w:lineRule="exact"/>
              <w:ind w:left="482"/>
              <w:rPr>
                <w:sz w:val="20"/>
              </w:rPr>
            </w:pPr>
            <w:r>
              <w:rPr>
                <w:spacing w:val="-2"/>
                <w:sz w:val="20"/>
              </w:rPr>
              <w:t>68.52</w:t>
            </w:r>
          </w:p>
        </w:tc>
        <w:tc>
          <w:tcPr>
            <w:tcW w:w="1354" w:type="dxa"/>
          </w:tcPr>
          <w:p>
            <w:pPr>
              <w:pStyle w:val="TableParagraph"/>
              <w:spacing w:line="206" w:lineRule="exact"/>
              <w:ind w:left="149" w:right="50"/>
              <w:jc w:val="center"/>
              <w:rPr>
                <w:sz w:val="20"/>
              </w:rPr>
            </w:pPr>
            <w:r>
              <w:rPr>
                <w:spacing w:val="-2"/>
                <w:sz w:val="20"/>
              </w:rPr>
              <w:t>76.07</w:t>
            </w:r>
          </w:p>
        </w:tc>
        <w:tc>
          <w:tcPr>
            <w:tcW w:w="1469" w:type="dxa"/>
          </w:tcPr>
          <w:p>
            <w:pPr>
              <w:pStyle w:val="TableParagraph"/>
              <w:spacing w:line="206" w:lineRule="exact"/>
              <w:ind w:left="235"/>
              <w:rPr>
                <w:sz w:val="20"/>
              </w:rPr>
            </w:pPr>
            <w:r>
              <w:rPr>
                <w:sz w:val="20"/>
              </w:rPr>
              <w:t>At</w:t>
            </w:r>
            <w:r>
              <w:rPr>
                <w:spacing w:val="-4"/>
                <w:sz w:val="20"/>
              </w:rPr>
              <w:t> </w:t>
            </w:r>
            <w:r>
              <w:rPr>
                <w:sz w:val="20"/>
              </w:rPr>
              <w:t>most</w:t>
            </w:r>
            <w:r>
              <w:rPr>
                <w:spacing w:val="-6"/>
                <w:sz w:val="20"/>
              </w:rPr>
              <w:t> </w:t>
            </w:r>
            <w:r>
              <w:rPr>
                <w:spacing w:val="-10"/>
                <w:sz w:val="20"/>
              </w:rPr>
              <w:t>1</w:t>
            </w:r>
          </w:p>
        </w:tc>
        <w:tc>
          <w:tcPr>
            <w:tcW w:w="1410" w:type="dxa"/>
          </w:tcPr>
          <w:p>
            <w:pPr>
              <w:pStyle w:val="TableParagraph"/>
              <w:rPr>
                <w:sz w:val="16"/>
              </w:rPr>
            </w:pPr>
          </w:p>
        </w:tc>
        <w:tc>
          <w:tcPr>
            <w:tcW w:w="1407" w:type="dxa"/>
          </w:tcPr>
          <w:p>
            <w:pPr>
              <w:pStyle w:val="TableParagraph"/>
              <w:rPr>
                <w:sz w:val="16"/>
              </w:rPr>
            </w:pPr>
          </w:p>
        </w:tc>
      </w:tr>
      <w:tr>
        <w:trPr>
          <w:trHeight w:val="229" w:hRule="atLeast"/>
        </w:trPr>
        <w:tc>
          <w:tcPr>
            <w:tcW w:w="1465" w:type="dxa"/>
          </w:tcPr>
          <w:p>
            <w:pPr>
              <w:pStyle w:val="TableParagraph"/>
              <w:spacing w:line="209" w:lineRule="exact"/>
              <w:ind w:left="52" w:right="88"/>
              <w:jc w:val="center"/>
              <w:rPr>
                <w:sz w:val="20"/>
              </w:rPr>
            </w:pPr>
            <w:r>
              <w:rPr>
                <w:spacing w:val="-2"/>
                <w:sz w:val="20"/>
              </w:rPr>
              <w:t>0.354636</w:t>
            </w:r>
          </w:p>
        </w:tc>
        <w:tc>
          <w:tcPr>
            <w:tcW w:w="1346" w:type="dxa"/>
          </w:tcPr>
          <w:p>
            <w:pPr>
              <w:pStyle w:val="TableParagraph"/>
              <w:spacing w:line="209" w:lineRule="exact"/>
              <w:ind w:right="324"/>
              <w:jc w:val="right"/>
              <w:rPr>
                <w:sz w:val="20"/>
              </w:rPr>
            </w:pPr>
            <w:r>
              <w:rPr>
                <w:spacing w:val="-2"/>
                <w:sz w:val="20"/>
              </w:rPr>
              <w:t>38.53317</w:t>
            </w:r>
          </w:p>
        </w:tc>
        <w:tc>
          <w:tcPr>
            <w:tcW w:w="1392" w:type="dxa"/>
          </w:tcPr>
          <w:p>
            <w:pPr>
              <w:pStyle w:val="TableParagraph"/>
              <w:spacing w:line="209" w:lineRule="exact"/>
              <w:ind w:left="482"/>
              <w:rPr>
                <w:sz w:val="20"/>
              </w:rPr>
            </w:pPr>
            <w:r>
              <w:rPr>
                <w:spacing w:val="-2"/>
                <w:sz w:val="20"/>
              </w:rPr>
              <w:t>47.21</w:t>
            </w:r>
          </w:p>
        </w:tc>
        <w:tc>
          <w:tcPr>
            <w:tcW w:w="1354" w:type="dxa"/>
          </w:tcPr>
          <w:p>
            <w:pPr>
              <w:pStyle w:val="TableParagraph"/>
              <w:spacing w:line="209" w:lineRule="exact"/>
              <w:ind w:left="149" w:right="50"/>
              <w:jc w:val="center"/>
              <w:rPr>
                <w:sz w:val="20"/>
              </w:rPr>
            </w:pPr>
            <w:r>
              <w:rPr>
                <w:spacing w:val="-2"/>
                <w:sz w:val="20"/>
              </w:rPr>
              <w:t>54.46</w:t>
            </w:r>
          </w:p>
        </w:tc>
        <w:tc>
          <w:tcPr>
            <w:tcW w:w="1469" w:type="dxa"/>
          </w:tcPr>
          <w:p>
            <w:pPr>
              <w:pStyle w:val="TableParagraph"/>
              <w:spacing w:line="209" w:lineRule="exact"/>
              <w:ind w:left="235"/>
              <w:rPr>
                <w:sz w:val="20"/>
              </w:rPr>
            </w:pPr>
            <w:r>
              <w:rPr>
                <w:sz w:val="20"/>
              </w:rPr>
              <w:t>At</w:t>
            </w:r>
            <w:r>
              <w:rPr>
                <w:spacing w:val="-4"/>
                <w:sz w:val="20"/>
              </w:rPr>
              <w:t> </w:t>
            </w:r>
            <w:r>
              <w:rPr>
                <w:sz w:val="20"/>
              </w:rPr>
              <w:t>most</w:t>
            </w:r>
            <w:r>
              <w:rPr>
                <w:spacing w:val="-6"/>
                <w:sz w:val="20"/>
              </w:rPr>
              <w:t> </w:t>
            </w:r>
            <w:r>
              <w:rPr>
                <w:spacing w:val="-10"/>
                <w:sz w:val="20"/>
              </w:rPr>
              <w:t>2</w:t>
            </w:r>
          </w:p>
        </w:tc>
        <w:tc>
          <w:tcPr>
            <w:tcW w:w="1410" w:type="dxa"/>
          </w:tcPr>
          <w:p>
            <w:pPr>
              <w:pStyle w:val="TableParagraph"/>
              <w:rPr>
                <w:sz w:val="16"/>
              </w:rPr>
            </w:pPr>
          </w:p>
        </w:tc>
        <w:tc>
          <w:tcPr>
            <w:tcW w:w="1407" w:type="dxa"/>
          </w:tcPr>
          <w:p>
            <w:pPr>
              <w:pStyle w:val="TableParagraph"/>
              <w:rPr>
                <w:sz w:val="16"/>
              </w:rPr>
            </w:pPr>
          </w:p>
        </w:tc>
      </w:tr>
      <w:tr>
        <w:trPr>
          <w:trHeight w:val="229" w:hRule="atLeast"/>
        </w:trPr>
        <w:tc>
          <w:tcPr>
            <w:tcW w:w="1465" w:type="dxa"/>
          </w:tcPr>
          <w:p>
            <w:pPr>
              <w:pStyle w:val="TableParagraph"/>
              <w:spacing w:line="209" w:lineRule="exact"/>
              <w:ind w:left="52" w:right="88"/>
              <w:jc w:val="center"/>
              <w:rPr>
                <w:sz w:val="20"/>
              </w:rPr>
            </w:pPr>
            <w:r>
              <w:rPr>
                <w:spacing w:val="-2"/>
                <w:sz w:val="20"/>
              </w:rPr>
              <w:t>0.293191</w:t>
            </w:r>
          </w:p>
        </w:tc>
        <w:tc>
          <w:tcPr>
            <w:tcW w:w="1346" w:type="dxa"/>
          </w:tcPr>
          <w:p>
            <w:pPr>
              <w:pStyle w:val="TableParagraph"/>
              <w:spacing w:line="209" w:lineRule="exact"/>
              <w:ind w:right="324"/>
              <w:jc w:val="right"/>
              <w:rPr>
                <w:sz w:val="20"/>
              </w:rPr>
            </w:pPr>
            <w:r>
              <w:rPr>
                <w:spacing w:val="-2"/>
                <w:sz w:val="20"/>
              </w:rPr>
              <w:t>21.01556</w:t>
            </w:r>
          </w:p>
        </w:tc>
        <w:tc>
          <w:tcPr>
            <w:tcW w:w="1392" w:type="dxa"/>
          </w:tcPr>
          <w:p>
            <w:pPr>
              <w:pStyle w:val="TableParagraph"/>
              <w:spacing w:line="209" w:lineRule="exact"/>
              <w:ind w:left="482"/>
              <w:rPr>
                <w:sz w:val="20"/>
              </w:rPr>
            </w:pPr>
            <w:r>
              <w:rPr>
                <w:spacing w:val="-2"/>
                <w:sz w:val="20"/>
              </w:rPr>
              <w:t>29.68</w:t>
            </w:r>
          </w:p>
        </w:tc>
        <w:tc>
          <w:tcPr>
            <w:tcW w:w="1354" w:type="dxa"/>
          </w:tcPr>
          <w:p>
            <w:pPr>
              <w:pStyle w:val="TableParagraph"/>
              <w:spacing w:line="209" w:lineRule="exact"/>
              <w:ind w:left="149" w:right="50"/>
              <w:jc w:val="center"/>
              <w:rPr>
                <w:sz w:val="20"/>
              </w:rPr>
            </w:pPr>
            <w:r>
              <w:rPr>
                <w:spacing w:val="-2"/>
                <w:sz w:val="20"/>
              </w:rPr>
              <w:t>35.65</w:t>
            </w:r>
          </w:p>
        </w:tc>
        <w:tc>
          <w:tcPr>
            <w:tcW w:w="1469" w:type="dxa"/>
          </w:tcPr>
          <w:p>
            <w:pPr>
              <w:pStyle w:val="TableParagraph"/>
              <w:spacing w:line="209" w:lineRule="exact"/>
              <w:ind w:left="235"/>
              <w:rPr>
                <w:sz w:val="20"/>
              </w:rPr>
            </w:pPr>
            <w:r>
              <w:rPr>
                <w:sz w:val="20"/>
              </w:rPr>
              <w:t>At</w:t>
            </w:r>
            <w:r>
              <w:rPr>
                <w:spacing w:val="-4"/>
                <w:sz w:val="20"/>
              </w:rPr>
              <w:t> </w:t>
            </w:r>
            <w:r>
              <w:rPr>
                <w:sz w:val="20"/>
              </w:rPr>
              <w:t>most</w:t>
            </w:r>
            <w:r>
              <w:rPr>
                <w:spacing w:val="-6"/>
                <w:sz w:val="20"/>
              </w:rPr>
              <w:t> </w:t>
            </w:r>
            <w:r>
              <w:rPr>
                <w:spacing w:val="-10"/>
                <w:sz w:val="20"/>
              </w:rPr>
              <w:t>3</w:t>
            </w:r>
          </w:p>
        </w:tc>
        <w:tc>
          <w:tcPr>
            <w:tcW w:w="1410" w:type="dxa"/>
          </w:tcPr>
          <w:p>
            <w:pPr>
              <w:pStyle w:val="TableParagraph"/>
              <w:rPr>
                <w:sz w:val="16"/>
              </w:rPr>
            </w:pPr>
          </w:p>
        </w:tc>
        <w:tc>
          <w:tcPr>
            <w:tcW w:w="1407" w:type="dxa"/>
          </w:tcPr>
          <w:p>
            <w:pPr>
              <w:pStyle w:val="TableParagraph"/>
              <w:rPr>
                <w:sz w:val="16"/>
              </w:rPr>
            </w:pPr>
          </w:p>
        </w:tc>
      </w:tr>
      <w:tr>
        <w:trPr>
          <w:trHeight w:val="230" w:hRule="atLeast"/>
        </w:trPr>
        <w:tc>
          <w:tcPr>
            <w:tcW w:w="1465" w:type="dxa"/>
          </w:tcPr>
          <w:p>
            <w:pPr>
              <w:pStyle w:val="TableParagraph"/>
              <w:spacing w:line="210" w:lineRule="exact"/>
              <w:ind w:left="52" w:right="88"/>
              <w:jc w:val="center"/>
              <w:rPr>
                <w:sz w:val="20"/>
              </w:rPr>
            </w:pPr>
            <w:r>
              <w:rPr>
                <w:spacing w:val="-2"/>
                <w:sz w:val="20"/>
              </w:rPr>
              <w:t>0.153943</w:t>
            </w:r>
          </w:p>
        </w:tc>
        <w:tc>
          <w:tcPr>
            <w:tcW w:w="1346" w:type="dxa"/>
          </w:tcPr>
          <w:p>
            <w:pPr>
              <w:pStyle w:val="TableParagraph"/>
              <w:spacing w:line="210" w:lineRule="exact"/>
              <w:ind w:right="324"/>
              <w:jc w:val="right"/>
              <w:rPr>
                <w:sz w:val="20"/>
              </w:rPr>
            </w:pPr>
            <w:r>
              <w:rPr>
                <w:spacing w:val="-2"/>
                <w:sz w:val="20"/>
              </w:rPr>
              <w:t>7.135782</w:t>
            </w:r>
          </w:p>
        </w:tc>
        <w:tc>
          <w:tcPr>
            <w:tcW w:w="1392" w:type="dxa"/>
          </w:tcPr>
          <w:p>
            <w:pPr>
              <w:pStyle w:val="TableParagraph"/>
              <w:spacing w:line="210" w:lineRule="exact"/>
              <w:ind w:left="482"/>
              <w:rPr>
                <w:sz w:val="20"/>
              </w:rPr>
            </w:pPr>
            <w:r>
              <w:rPr>
                <w:spacing w:val="-2"/>
                <w:sz w:val="20"/>
              </w:rPr>
              <w:t>15.41</w:t>
            </w:r>
          </w:p>
        </w:tc>
        <w:tc>
          <w:tcPr>
            <w:tcW w:w="1354" w:type="dxa"/>
          </w:tcPr>
          <w:p>
            <w:pPr>
              <w:pStyle w:val="TableParagraph"/>
              <w:spacing w:line="210" w:lineRule="exact"/>
              <w:ind w:left="149" w:right="50"/>
              <w:jc w:val="center"/>
              <w:rPr>
                <w:sz w:val="20"/>
              </w:rPr>
            </w:pPr>
            <w:r>
              <w:rPr>
                <w:spacing w:val="-2"/>
                <w:sz w:val="20"/>
              </w:rPr>
              <w:t>20.04</w:t>
            </w:r>
          </w:p>
        </w:tc>
        <w:tc>
          <w:tcPr>
            <w:tcW w:w="1469" w:type="dxa"/>
          </w:tcPr>
          <w:p>
            <w:pPr>
              <w:pStyle w:val="TableParagraph"/>
              <w:spacing w:line="210" w:lineRule="exact"/>
              <w:ind w:left="235"/>
              <w:rPr>
                <w:sz w:val="20"/>
              </w:rPr>
            </w:pPr>
            <w:r>
              <w:rPr>
                <w:sz w:val="20"/>
              </w:rPr>
              <w:t>At</w:t>
            </w:r>
            <w:r>
              <w:rPr>
                <w:spacing w:val="-4"/>
                <w:sz w:val="20"/>
              </w:rPr>
              <w:t> </w:t>
            </w:r>
            <w:r>
              <w:rPr>
                <w:sz w:val="20"/>
              </w:rPr>
              <w:t>most</w:t>
            </w:r>
            <w:r>
              <w:rPr>
                <w:spacing w:val="-6"/>
                <w:sz w:val="20"/>
              </w:rPr>
              <w:t> </w:t>
            </w:r>
            <w:r>
              <w:rPr>
                <w:spacing w:val="-10"/>
                <w:sz w:val="20"/>
              </w:rPr>
              <w:t>4</w:t>
            </w:r>
          </w:p>
        </w:tc>
        <w:tc>
          <w:tcPr>
            <w:tcW w:w="1410" w:type="dxa"/>
          </w:tcPr>
          <w:p>
            <w:pPr>
              <w:pStyle w:val="TableParagraph"/>
              <w:rPr>
                <w:sz w:val="16"/>
              </w:rPr>
            </w:pPr>
          </w:p>
        </w:tc>
        <w:tc>
          <w:tcPr>
            <w:tcW w:w="1407" w:type="dxa"/>
          </w:tcPr>
          <w:p>
            <w:pPr>
              <w:pStyle w:val="TableParagraph"/>
              <w:rPr>
                <w:sz w:val="16"/>
              </w:rPr>
            </w:pPr>
          </w:p>
        </w:tc>
      </w:tr>
      <w:tr>
        <w:trPr>
          <w:trHeight w:val="224" w:hRule="atLeast"/>
        </w:trPr>
        <w:tc>
          <w:tcPr>
            <w:tcW w:w="1465" w:type="dxa"/>
            <w:tcBorders>
              <w:bottom w:val="double" w:sz="6" w:space="0" w:color="000000"/>
            </w:tcBorders>
          </w:tcPr>
          <w:p>
            <w:pPr>
              <w:pStyle w:val="TableParagraph"/>
              <w:spacing w:line="205" w:lineRule="exact"/>
              <w:ind w:left="52" w:right="88"/>
              <w:jc w:val="center"/>
              <w:rPr>
                <w:sz w:val="20"/>
              </w:rPr>
            </w:pPr>
            <w:r>
              <w:rPr>
                <w:spacing w:val="-2"/>
                <w:sz w:val="20"/>
              </w:rPr>
              <w:t>0.011163</w:t>
            </w:r>
          </w:p>
        </w:tc>
        <w:tc>
          <w:tcPr>
            <w:tcW w:w="1346" w:type="dxa"/>
            <w:tcBorders>
              <w:bottom w:val="double" w:sz="6" w:space="0" w:color="000000"/>
            </w:tcBorders>
          </w:tcPr>
          <w:p>
            <w:pPr>
              <w:pStyle w:val="TableParagraph"/>
              <w:spacing w:line="205" w:lineRule="exact"/>
              <w:ind w:right="324"/>
              <w:jc w:val="right"/>
              <w:rPr>
                <w:sz w:val="20"/>
              </w:rPr>
            </w:pPr>
            <w:r>
              <w:rPr>
                <w:spacing w:val="-2"/>
                <w:sz w:val="20"/>
              </w:rPr>
              <w:t>0.449044</w:t>
            </w:r>
          </w:p>
        </w:tc>
        <w:tc>
          <w:tcPr>
            <w:tcW w:w="1392" w:type="dxa"/>
            <w:tcBorders>
              <w:bottom w:val="double" w:sz="6" w:space="0" w:color="000000"/>
            </w:tcBorders>
          </w:tcPr>
          <w:p>
            <w:pPr>
              <w:pStyle w:val="TableParagraph"/>
              <w:spacing w:line="205" w:lineRule="exact"/>
              <w:ind w:left="99" w:right="26"/>
              <w:jc w:val="center"/>
              <w:rPr>
                <w:sz w:val="20"/>
              </w:rPr>
            </w:pPr>
            <w:r>
              <w:rPr>
                <w:spacing w:val="-4"/>
                <w:sz w:val="20"/>
              </w:rPr>
              <w:t>3.76</w:t>
            </w:r>
          </w:p>
        </w:tc>
        <w:tc>
          <w:tcPr>
            <w:tcW w:w="1354" w:type="dxa"/>
            <w:tcBorders>
              <w:bottom w:val="double" w:sz="6" w:space="0" w:color="000000"/>
            </w:tcBorders>
          </w:tcPr>
          <w:p>
            <w:pPr>
              <w:pStyle w:val="TableParagraph"/>
              <w:spacing w:line="205" w:lineRule="exact"/>
              <w:ind w:left="149"/>
              <w:jc w:val="center"/>
              <w:rPr>
                <w:sz w:val="20"/>
              </w:rPr>
            </w:pPr>
            <w:r>
              <w:rPr>
                <w:spacing w:val="-4"/>
                <w:sz w:val="20"/>
              </w:rPr>
              <w:t>6.65</w:t>
            </w:r>
          </w:p>
        </w:tc>
        <w:tc>
          <w:tcPr>
            <w:tcW w:w="1469" w:type="dxa"/>
            <w:tcBorders>
              <w:bottom w:val="double" w:sz="6" w:space="0" w:color="000000"/>
            </w:tcBorders>
          </w:tcPr>
          <w:p>
            <w:pPr>
              <w:pStyle w:val="TableParagraph"/>
              <w:spacing w:line="205" w:lineRule="exact"/>
              <w:ind w:left="235"/>
              <w:rPr>
                <w:sz w:val="20"/>
              </w:rPr>
            </w:pPr>
            <w:r>
              <w:rPr>
                <w:sz w:val="20"/>
              </w:rPr>
              <w:t>At</w:t>
            </w:r>
            <w:r>
              <w:rPr>
                <w:spacing w:val="-4"/>
                <w:sz w:val="20"/>
              </w:rPr>
              <w:t> </w:t>
            </w:r>
            <w:r>
              <w:rPr>
                <w:sz w:val="20"/>
              </w:rPr>
              <w:t>most</w:t>
            </w:r>
            <w:r>
              <w:rPr>
                <w:spacing w:val="-6"/>
                <w:sz w:val="20"/>
              </w:rPr>
              <w:t> </w:t>
            </w:r>
            <w:r>
              <w:rPr>
                <w:spacing w:val="-10"/>
                <w:sz w:val="20"/>
              </w:rPr>
              <w:t>5</w:t>
            </w:r>
          </w:p>
        </w:tc>
        <w:tc>
          <w:tcPr>
            <w:tcW w:w="1410" w:type="dxa"/>
            <w:tcBorders>
              <w:bottom w:val="double" w:sz="6" w:space="0" w:color="000000"/>
            </w:tcBorders>
          </w:tcPr>
          <w:p>
            <w:pPr>
              <w:pStyle w:val="TableParagraph"/>
              <w:rPr>
                <w:sz w:val="16"/>
              </w:rPr>
            </w:pPr>
          </w:p>
        </w:tc>
        <w:tc>
          <w:tcPr>
            <w:tcW w:w="1407" w:type="dxa"/>
            <w:tcBorders>
              <w:bottom w:val="double" w:sz="6" w:space="0" w:color="000000"/>
            </w:tcBorders>
          </w:tcPr>
          <w:p>
            <w:pPr>
              <w:pStyle w:val="TableParagraph"/>
              <w:rPr>
                <w:sz w:val="16"/>
              </w:rPr>
            </w:pPr>
          </w:p>
        </w:tc>
      </w:tr>
      <w:tr>
        <w:trPr>
          <w:trHeight w:val="1424" w:hRule="atLeast"/>
        </w:trPr>
        <w:tc>
          <w:tcPr>
            <w:tcW w:w="1465" w:type="dxa"/>
            <w:tcBorders>
              <w:top w:val="double" w:sz="6" w:space="0" w:color="000000"/>
            </w:tcBorders>
          </w:tcPr>
          <w:p>
            <w:pPr>
              <w:pStyle w:val="TableParagraph"/>
              <w:spacing w:before="40"/>
              <w:ind w:left="84" w:right="171" w:firstLine="55"/>
              <w:jc w:val="center"/>
              <w:rPr>
                <w:sz w:val="20"/>
              </w:rPr>
            </w:pPr>
            <w:r>
              <w:rPr>
                <w:sz w:val="20"/>
              </w:rPr>
              <w:t>*(**) denotes rejection</w:t>
            </w:r>
            <w:r>
              <w:rPr>
                <w:spacing w:val="-13"/>
                <w:sz w:val="20"/>
              </w:rPr>
              <w:t> </w:t>
            </w:r>
            <w:r>
              <w:rPr>
                <w:sz w:val="20"/>
              </w:rPr>
              <w:t>of</w:t>
            </w:r>
            <w:r>
              <w:rPr>
                <w:spacing w:val="-12"/>
                <w:sz w:val="20"/>
              </w:rPr>
              <w:t> </w:t>
            </w:r>
            <w:r>
              <w:rPr>
                <w:sz w:val="20"/>
              </w:rPr>
              <w:t>the hypothesis at </w:t>
            </w:r>
            <w:r>
              <w:rPr>
                <w:spacing w:val="-2"/>
                <w:sz w:val="20"/>
              </w:rPr>
              <w:t>5%(1%)</w:t>
            </w:r>
          </w:p>
          <w:p>
            <w:pPr>
              <w:pStyle w:val="TableParagraph"/>
              <w:spacing w:line="228" w:lineRule="exact"/>
              <w:ind w:left="206" w:right="292"/>
              <w:jc w:val="center"/>
              <w:rPr>
                <w:sz w:val="20"/>
              </w:rPr>
            </w:pPr>
            <w:r>
              <w:rPr>
                <w:spacing w:val="-2"/>
                <w:sz w:val="20"/>
              </w:rPr>
              <w:t>significance level</w:t>
            </w:r>
          </w:p>
        </w:tc>
        <w:tc>
          <w:tcPr>
            <w:tcW w:w="1346" w:type="dxa"/>
            <w:tcBorders>
              <w:top w:val="double" w:sz="6" w:space="0" w:color="000000"/>
            </w:tcBorders>
          </w:tcPr>
          <w:p>
            <w:pPr>
              <w:pStyle w:val="TableParagraph"/>
              <w:rPr>
                <w:sz w:val="18"/>
              </w:rPr>
            </w:pPr>
          </w:p>
        </w:tc>
        <w:tc>
          <w:tcPr>
            <w:tcW w:w="1392" w:type="dxa"/>
            <w:tcBorders>
              <w:top w:val="double" w:sz="6" w:space="0" w:color="000000"/>
            </w:tcBorders>
          </w:tcPr>
          <w:p>
            <w:pPr>
              <w:pStyle w:val="TableParagraph"/>
              <w:rPr>
                <w:sz w:val="18"/>
              </w:rPr>
            </w:pPr>
          </w:p>
        </w:tc>
        <w:tc>
          <w:tcPr>
            <w:tcW w:w="1354" w:type="dxa"/>
            <w:tcBorders>
              <w:top w:val="double" w:sz="6" w:space="0" w:color="000000"/>
            </w:tcBorders>
          </w:tcPr>
          <w:p>
            <w:pPr>
              <w:pStyle w:val="TableParagraph"/>
              <w:rPr>
                <w:sz w:val="18"/>
              </w:rPr>
            </w:pPr>
          </w:p>
        </w:tc>
        <w:tc>
          <w:tcPr>
            <w:tcW w:w="1469" w:type="dxa"/>
            <w:tcBorders>
              <w:top w:val="double" w:sz="6" w:space="0" w:color="000000"/>
            </w:tcBorders>
          </w:tcPr>
          <w:p>
            <w:pPr>
              <w:pStyle w:val="TableParagraph"/>
              <w:rPr>
                <w:sz w:val="18"/>
              </w:rPr>
            </w:pPr>
          </w:p>
        </w:tc>
        <w:tc>
          <w:tcPr>
            <w:tcW w:w="1410" w:type="dxa"/>
            <w:tcBorders>
              <w:top w:val="double" w:sz="6" w:space="0" w:color="000000"/>
            </w:tcBorders>
          </w:tcPr>
          <w:p>
            <w:pPr>
              <w:pStyle w:val="TableParagraph"/>
              <w:rPr>
                <w:sz w:val="18"/>
              </w:rPr>
            </w:pPr>
          </w:p>
        </w:tc>
        <w:tc>
          <w:tcPr>
            <w:tcW w:w="1407" w:type="dxa"/>
            <w:tcBorders>
              <w:top w:val="double" w:sz="6" w:space="0" w:color="000000"/>
            </w:tcBorders>
          </w:tcPr>
          <w:p>
            <w:pPr>
              <w:pStyle w:val="TableParagraph"/>
              <w:rPr>
                <w:sz w:val="18"/>
              </w:rPr>
            </w:pPr>
          </w:p>
        </w:tc>
      </w:tr>
      <w:tr>
        <w:trPr>
          <w:trHeight w:val="1495" w:hRule="atLeast"/>
        </w:trPr>
        <w:tc>
          <w:tcPr>
            <w:tcW w:w="1465" w:type="dxa"/>
          </w:tcPr>
          <w:p>
            <w:pPr>
              <w:pStyle w:val="TableParagraph"/>
              <w:ind w:left="48" w:right="127" w:firstLine="324"/>
              <w:rPr>
                <w:sz w:val="20"/>
              </w:rPr>
            </w:pPr>
            <w:r>
              <w:rPr>
                <w:sz w:val="20"/>
              </w:rPr>
              <w:t>L.R. test indicates 1 </w:t>
            </w:r>
            <w:r>
              <w:rPr>
                <w:spacing w:val="-2"/>
                <w:sz w:val="20"/>
              </w:rPr>
              <w:t>cointegrating </w:t>
            </w:r>
            <w:r>
              <w:rPr>
                <w:sz w:val="20"/>
              </w:rPr>
              <w:t>equation(s) at 5%</w:t>
            </w:r>
            <w:r>
              <w:rPr>
                <w:spacing w:val="-13"/>
                <w:sz w:val="20"/>
              </w:rPr>
              <w:t> </w:t>
            </w:r>
            <w:r>
              <w:rPr>
                <w:sz w:val="20"/>
              </w:rPr>
              <w:t>significance</w:t>
            </w:r>
          </w:p>
          <w:p>
            <w:pPr>
              <w:pStyle w:val="TableParagraph"/>
              <w:ind w:left="494"/>
              <w:rPr>
                <w:sz w:val="20"/>
              </w:rPr>
            </w:pPr>
            <w:r>
              <w:rPr>
                <w:spacing w:val="-2"/>
                <w:sz w:val="20"/>
              </w:rPr>
              <w:t>level</w:t>
            </w:r>
          </w:p>
        </w:tc>
        <w:tc>
          <w:tcPr>
            <w:tcW w:w="1346" w:type="dxa"/>
          </w:tcPr>
          <w:p>
            <w:pPr>
              <w:pStyle w:val="TableParagraph"/>
              <w:rPr>
                <w:sz w:val="18"/>
              </w:rPr>
            </w:pPr>
          </w:p>
        </w:tc>
        <w:tc>
          <w:tcPr>
            <w:tcW w:w="1392" w:type="dxa"/>
          </w:tcPr>
          <w:p>
            <w:pPr>
              <w:pStyle w:val="TableParagraph"/>
              <w:rPr>
                <w:sz w:val="18"/>
              </w:rPr>
            </w:pPr>
          </w:p>
        </w:tc>
        <w:tc>
          <w:tcPr>
            <w:tcW w:w="1354" w:type="dxa"/>
          </w:tcPr>
          <w:p>
            <w:pPr>
              <w:pStyle w:val="TableParagraph"/>
              <w:rPr>
                <w:sz w:val="18"/>
              </w:rPr>
            </w:pPr>
          </w:p>
        </w:tc>
        <w:tc>
          <w:tcPr>
            <w:tcW w:w="1469" w:type="dxa"/>
          </w:tcPr>
          <w:p>
            <w:pPr>
              <w:pStyle w:val="TableParagraph"/>
              <w:rPr>
                <w:sz w:val="18"/>
              </w:rPr>
            </w:pPr>
          </w:p>
        </w:tc>
        <w:tc>
          <w:tcPr>
            <w:tcW w:w="1410" w:type="dxa"/>
          </w:tcPr>
          <w:p>
            <w:pPr>
              <w:pStyle w:val="TableParagraph"/>
              <w:rPr>
                <w:sz w:val="18"/>
              </w:rPr>
            </w:pPr>
          </w:p>
        </w:tc>
        <w:tc>
          <w:tcPr>
            <w:tcW w:w="1407" w:type="dxa"/>
          </w:tcPr>
          <w:p>
            <w:pPr>
              <w:pStyle w:val="TableParagraph"/>
              <w:rPr>
                <w:sz w:val="18"/>
              </w:rPr>
            </w:pPr>
          </w:p>
        </w:tc>
      </w:tr>
      <w:tr>
        <w:trPr>
          <w:trHeight w:val="339" w:hRule="atLeast"/>
        </w:trPr>
        <w:tc>
          <w:tcPr>
            <w:tcW w:w="9843" w:type="dxa"/>
            <w:gridSpan w:val="7"/>
            <w:tcBorders>
              <w:bottom w:val="double" w:sz="6" w:space="0" w:color="000000"/>
            </w:tcBorders>
          </w:tcPr>
          <w:p>
            <w:pPr>
              <w:pStyle w:val="TableParagraph"/>
              <w:spacing w:line="209" w:lineRule="exact" w:before="111"/>
              <w:ind w:left="79"/>
              <w:rPr>
                <w:sz w:val="20"/>
              </w:rPr>
            </w:pPr>
            <w:r>
              <w:rPr>
                <w:sz w:val="20"/>
              </w:rPr>
              <w:t>Unnormalized</w:t>
            </w:r>
            <w:r>
              <w:rPr>
                <w:spacing w:val="-11"/>
                <w:sz w:val="20"/>
              </w:rPr>
              <w:t> </w:t>
            </w:r>
            <w:r>
              <w:rPr>
                <w:sz w:val="20"/>
              </w:rPr>
              <w:t>Cointegrating</w:t>
            </w:r>
            <w:r>
              <w:rPr>
                <w:spacing w:val="-10"/>
                <w:sz w:val="20"/>
              </w:rPr>
              <w:t> </w:t>
            </w:r>
            <w:r>
              <w:rPr>
                <w:spacing w:val="-2"/>
                <w:sz w:val="20"/>
              </w:rPr>
              <w:t>Coefficients:</w:t>
            </w:r>
          </w:p>
        </w:tc>
      </w:tr>
      <w:tr>
        <w:trPr>
          <w:trHeight w:val="275" w:hRule="atLeast"/>
        </w:trPr>
        <w:tc>
          <w:tcPr>
            <w:tcW w:w="1465" w:type="dxa"/>
            <w:tcBorders>
              <w:top w:val="double" w:sz="6" w:space="0" w:color="000000"/>
            </w:tcBorders>
          </w:tcPr>
          <w:p>
            <w:pPr>
              <w:pStyle w:val="TableParagraph"/>
              <w:spacing w:line="215" w:lineRule="exact" w:before="40"/>
              <w:ind w:right="88"/>
              <w:jc w:val="center"/>
              <w:rPr>
                <w:sz w:val="20"/>
              </w:rPr>
            </w:pPr>
            <w:r>
              <w:rPr>
                <w:spacing w:val="-5"/>
                <w:sz w:val="20"/>
              </w:rPr>
              <w:t>GDP</w:t>
            </w:r>
          </w:p>
        </w:tc>
        <w:tc>
          <w:tcPr>
            <w:tcW w:w="1346" w:type="dxa"/>
            <w:tcBorders>
              <w:top w:val="double" w:sz="6" w:space="0" w:color="000000"/>
            </w:tcBorders>
          </w:tcPr>
          <w:p>
            <w:pPr>
              <w:pStyle w:val="TableParagraph"/>
              <w:spacing w:line="215" w:lineRule="exact" w:before="40"/>
              <w:ind w:right="270"/>
              <w:jc w:val="right"/>
              <w:rPr>
                <w:sz w:val="20"/>
              </w:rPr>
            </w:pPr>
            <w:r>
              <w:rPr>
                <w:spacing w:val="-2"/>
                <w:sz w:val="20"/>
              </w:rPr>
              <w:t>EXTDEBT</w:t>
            </w:r>
          </w:p>
        </w:tc>
        <w:tc>
          <w:tcPr>
            <w:tcW w:w="1392" w:type="dxa"/>
            <w:tcBorders>
              <w:top w:val="double" w:sz="6" w:space="0" w:color="000000"/>
            </w:tcBorders>
          </w:tcPr>
          <w:p>
            <w:pPr>
              <w:pStyle w:val="TableParagraph"/>
              <w:spacing w:line="215" w:lineRule="exact" w:before="40"/>
              <w:ind w:left="73" w:right="99"/>
              <w:jc w:val="center"/>
              <w:rPr>
                <w:sz w:val="20"/>
              </w:rPr>
            </w:pPr>
            <w:r>
              <w:rPr>
                <w:spacing w:val="-5"/>
                <w:sz w:val="20"/>
              </w:rPr>
              <w:t>DFI</w:t>
            </w:r>
          </w:p>
        </w:tc>
        <w:tc>
          <w:tcPr>
            <w:tcW w:w="1354" w:type="dxa"/>
            <w:tcBorders>
              <w:top w:val="double" w:sz="6" w:space="0" w:color="000000"/>
            </w:tcBorders>
          </w:tcPr>
          <w:p>
            <w:pPr>
              <w:pStyle w:val="TableParagraph"/>
              <w:spacing w:line="215" w:lineRule="exact" w:before="40"/>
              <w:ind w:left="149" w:right="100"/>
              <w:jc w:val="center"/>
              <w:rPr>
                <w:sz w:val="20"/>
              </w:rPr>
            </w:pPr>
            <w:r>
              <w:rPr>
                <w:spacing w:val="-5"/>
                <w:sz w:val="20"/>
              </w:rPr>
              <w:t>CAB</w:t>
            </w:r>
          </w:p>
        </w:tc>
        <w:tc>
          <w:tcPr>
            <w:tcW w:w="1469" w:type="dxa"/>
            <w:tcBorders>
              <w:top w:val="double" w:sz="6" w:space="0" w:color="000000"/>
            </w:tcBorders>
          </w:tcPr>
          <w:p>
            <w:pPr>
              <w:pStyle w:val="TableParagraph"/>
              <w:spacing w:line="215" w:lineRule="exact" w:before="40"/>
              <w:ind w:left="48"/>
              <w:jc w:val="center"/>
              <w:rPr>
                <w:sz w:val="20"/>
              </w:rPr>
            </w:pPr>
            <w:r>
              <w:rPr>
                <w:spacing w:val="-5"/>
                <w:sz w:val="20"/>
              </w:rPr>
              <w:t>RES</w:t>
            </w:r>
          </w:p>
        </w:tc>
        <w:tc>
          <w:tcPr>
            <w:tcW w:w="1410" w:type="dxa"/>
            <w:tcBorders>
              <w:top w:val="double" w:sz="6" w:space="0" w:color="000000"/>
            </w:tcBorders>
          </w:tcPr>
          <w:p>
            <w:pPr>
              <w:pStyle w:val="TableParagraph"/>
              <w:spacing w:line="215" w:lineRule="exact" w:before="40"/>
              <w:ind w:left="49" w:right="55"/>
              <w:jc w:val="center"/>
              <w:rPr>
                <w:sz w:val="20"/>
              </w:rPr>
            </w:pPr>
            <w:r>
              <w:rPr>
                <w:spacing w:val="-2"/>
                <w:sz w:val="20"/>
              </w:rPr>
              <w:t>NEXTAS</w:t>
            </w:r>
          </w:p>
        </w:tc>
        <w:tc>
          <w:tcPr>
            <w:tcW w:w="1407" w:type="dxa"/>
            <w:tcBorders>
              <w:top w:val="double" w:sz="6" w:space="0" w:color="000000"/>
            </w:tcBorders>
          </w:tcPr>
          <w:p>
            <w:pPr>
              <w:pStyle w:val="TableParagraph"/>
              <w:rPr>
                <w:sz w:val="18"/>
              </w:rPr>
            </w:pPr>
          </w:p>
        </w:tc>
      </w:tr>
      <w:tr>
        <w:trPr>
          <w:trHeight w:val="230" w:hRule="atLeast"/>
        </w:trPr>
        <w:tc>
          <w:tcPr>
            <w:tcW w:w="1465" w:type="dxa"/>
          </w:tcPr>
          <w:p>
            <w:pPr>
              <w:pStyle w:val="TableParagraph"/>
              <w:spacing w:line="210" w:lineRule="exact"/>
              <w:ind w:left="4" w:right="88"/>
              <w:jc w:val="center"/>
              <w:rPr>
                <w:sz w:val="20"/>
              </w:rPr>
            </w:pPr>
            <w:r>
              <w:rPr>
                <w:spacing w:val="-4"/>
                <w:sz w:val="20"/>
              </w:rPr>
              <w:t>-</w:t>
            </w:r>
            <w:r>
              <w:rPr>
                <w:spacing w:val="-2"/>
                <w:sz w:val="20"/>
              </w:rPr>
              <w:t>0.493226</w:t>
            </w:r>
          </w:p>
        </w:tc>
        <w:tc>
          <w:tcPr>
            <w:tcW w:w="1346" w:type="dxa"/>
          </w:tcPr>
          <w:p>
            <w:pPr>
              <w:pStyle w:val="TableParagraph"/>
              <w:spacing w:line="210" w:lineRule="exact"/>
              <w:ind w:right="324"/>
              <w:jc w:val="right"/>
              <w:rPr>
                <w:sz w:val="20"/>
              </w:rPr>
            </w:pPr>
            <w:r>
              <w:rPr>
                <w:spacing w:val="-2"/>
                <w:sz w:val="20"/>
              </w:rPr>
              <w:t>0.004533</w:t>
            </w:r>
          </w:p>
        </w:tc>
        <w:tc>
          <w:tcPr>
            <w:tcW w:w="1392" w:type="dxa"/>
          </w:tcPr>
          <w:p>
            <w:pPr>
              <w:pStyle w:val="TableParagraph"/>
              <w:spacing w:line="210" w:lineRule="exact"/>
              <w:ind w:right="307"/>
              <w:jc w:val="right"/>
              <w:rPr>
                <w:sz w:val="20"/>
              </w:rPr>
            </w:pPr>
            <w:r>
              <w:rPr>
                <w:spacing w:val="-2"/>
                <w:sz w:val="20"/>
              </w:rPr>
              <w:t>0.276181</w:t>
            </w:r>
          </w:p>
        </w:tc>
        <w:tc>
          <w:tcPr>
            <w:tcW w:w="1354" w:type="dxa"/>
          </w:tcPr>
          <w:p>
            <w:pPr>
              <w:pStyle w:val="TableParagraph"/>
              <w:spacing w:line="210" w:lineRule="exact"/>
              <w:ind w:left="149" w:right="48"/>
              <w:jc w:val="center"/>
              <w:rPr>
                <w:sz w:val="20"/>
              </w:rPr>
            </w:pPr>
            <w:r>
              <w:rPr>
                <w:spacing w:val="-2"/>
                <w:sz w:val="20"/>
              </w:rPr>
              <w:t>0.085223</w:t>
            </w:r>
          </w:p>
        </w:tc>
        <w:tc>
          <w:tcPr>
            <w:tcW w:w="1469" w:type="dxa"/>
          </w:tcPr>
          <w:p>
            <w:pPr>
              <w:pStyle w:val="TableParagraph"/>
              <w:spacing w:line="210" w:lineRule="exact"/>
              <w:ind w:right="307"/>
              <w:jc w:val="right"/>
              <w:rPr>
                <w:sz w:val="20"/>
              </w:rPr>
            </w:pPr>
            <w:r>
              <w:rPr>
                <w:spacing w:val="-2"/>
                <w:sz w:val="20"/>
              </w:rPr>
              <w:t>0.012920</w:t>
            </w:r>
          </w:p>
        </w:tc>
        <w:tc>
          <w:tcPr>
            <w:tcW w:w="1410" w:type="dxa"/>
          </w:tcPr>
          <w:p>
            <w:pPr>
              <w:pStyle w:val="TableParagraph"/>
              <w:spacing w:line="210" w:lineRule="exact"/>
              <w:ind w:left="50" w:right="6"/>
              <w:jc w:val="center"/>
              <w:rPr>
                <w:sz w:val="20"/>
              </w:rPr>
            </w:pPr>
            <w:r>
              <w:rPr>
                <w:spacing w:val="-2"/>
                <w:sz w:val="20"/>
              </w:rPr>
              <w:t>0.131792</w:t>
            </w:r>
          </w:p>
        </w:tc>
        <w:tc>
          <w:tcPr>
            <w:tcW w:w="1407" w:type="dxa"/>
          </w:tcPr>
          <w:p>
            <w:pPr>
              <w:pStyle w:val="TableParagraph"/>
              <w:rPr>
                <w:sz w:val="16"/>
              </w:rPr>
            </w:pPr>
          </w:p>
        </w:tc>
      </w:tr>
      <w:tr>
        <w:trPr>
          <w:trHeight w:val="230" w:hRule="atLeast"/>
        </w:trPr>
        <w:tc>
          <w:tcPr>
            <w:tcW w:w="1465" w:type="dxa"/>
          </w:tcPr>
          <w:p>
            <w:pPr>
              <w:pStyle w:val="TableParagraph"/>
              <w:spacing w:line="210" w:lineRule="exact"/>
              <w:ind w:left="52" w:right="88"/>
              <w:jc w:val="center"/>
              <w:rPr>
                <w:sz w:val="20"/>
              </w:rPr>
            </w:pPr>
            <w:r>
              <w:rPr>
                <w:spacing w:val="-2"/>
                <w:sz w:val="20"/>
              </w:rPr>
              <w:t>0.158521</w:t>
            </w:r>
          </w:p>
        </w:tc>
        <w:tc>
          <w:tcPr>
            <w:tcW w:w="1346" w:type="dxa"/>
          </w:tcPr>
          <w:p>
            <w:pPr>
              <w:pStyle w:val="TableParagraph"/>
              <w:spacing w:line="210" w:lineRule="exact"/>
              <w:ind w:right="324"/>
              <w:jc w:val="right"/>
              <w:rPr>
                <w:sz w:val="20"/>
              </w:rPr>
            </w:pPr>
            <w:r>
              <w:rPr>
                <w:spacing w:val="-2"/>
                <w:sz w:val="20"/>
              </w:rPr>
              <w:t>0.030923</w:t>
            </w:r>
          </w:p>
        </w:tc>
        <w:tc>
          <w:tcPr>
            <w:tcW w:w="1392" w:type="dxa"/>
          </w:tcPr>
          <w:p>
            <w:pPr>
              <w:pStyle w:val="TableParagraph"/>
              <w:spacing w:line="210" w:lineRule="exact"/>
              <w:ind w:right="300"/>
              <w:jc w:val="right"/>
              <w:rPr>
                <w:sz w:val="20"/>
              </w:rPr>
            </w:pPr>
            <w:r>
              <w:rPr>
                <w:spacing w:val="-4"/>
                <w:sz w:val="20"/>
              </w:rPr>
              <w:t>-</w:t>
            </w:r>
            <w:r>
              <w:rPr>
                <w:spacing w:val="-2"/>
                <w:sz w:val="20"/>
              </w:rPr>
              <w:t>0.191331</w:t>
            </w:r>
          </w:p>
        </w:tc>
        <w:tc>
          <w:tcPr>
            <w:tcW w:w="1354" w:type="dxa"/>
          </w:tcPr>
          <w:p>
            <w:pPr>
              <w:pStyle w:val="TableParagraph"/>
              <w:spacing w:line="210" w:lineRule="exact"/>
              <w:ind w:left="149" w:right="48"/>
              <w:jc w:val="center"/>
              <w:rPr>
                <w:sz w:val="20"/>
              </w:rPr>
            </w:pPr>
            <w:r>
              <w:rPr>
                <w:spacing w:val="-2"/>
                <w:sz w:val="20"/>
              </w:rPr>
              <w:t>0.195330</w:t>
            </w:r>
          </w:p>
        </w:tc>
        <w:tc>
          <w:tcPr>
            <w:tcW w:w="1469" w:type="dxa"/>
          </w:tcPr>
          <w:p>
            <w:pPr>
              <w:pStyle w:val="TableParagraph"/>
              <w:spacing w:line="210" w:lineRule="exact"/>
              <w:ind w:right="300"/>
              <w:jc w:val="right"/>
              <w:rPr>
                <w:sz w:val="20"/>
              </w:rPr>
            </w:pPr>
            <w:r>
              <w:rPr>
                <w:spacing w:val="-4"/>
                <w:sz w:val="20"/>
              </w:rPr>
              <w:t>-</w:t>
            </w:r>
            <w:r>
              <w:rPr>
                <w:spacing w:val="-2"/>
                <w:sz w:val="20"/>
              </w:rPr>
              <w:t>0.223470</w:t>
            </w:r>
          </w:p>
        </w:tc>
        <w:tc>
          <w:tcPr>
            <w:tcW w:w="1410" w:type="dxa"/>
          </w:tcPr>
          <w:p>
            <w:pPr>
              <w:pStyle w:val="TableParagraph"/>
              <w:spacing w:line="210" w:lineRule="exact"/>
              <w:ind w:left="49" w:right="55"/>
              <w:jc w:val="center"/>
              <w:rPr>
                <w:sz w:val="20"/>
              </w:rPr>
            </w:pPr>
            <w:r>
              <w:rPr>
                <w:spacing w:val="-4"/>
                <w:sz w:val="20"/>
              </w:rPr>
              <w:t>-</w:t>
            </w:r>
            <w:r>
              <w:rPr>
                <w:spacing w:val="-2"/>
                <w:sz w:val="20"/>
              </w:rPr>
              <w:t>0.052036</w:t>
            </w:r>
          </w:p>
        </w:tc>
        <w:tc>
          <w:tcPr>
            <w:tcW w:w="1407" w:type="dxa"/>
          </w:tcPr>
          <w:p>
            <w:pPr>
              <w:pStyle w:val="TableParagraph"/>
              <w:rPr>
                <w:sz w:val="16"/>
              </w:rPr>
            </w:pPr>
          </w:p>
        </w:tc>
      </w:tr>
      <w:tr>
        <w:trPr>
          <w:trHeight w:val="230" w:hRule="atLeast"/>
        </w:trPr>
        <w:tc>
          <w:tcPr>
            <w:tcW w:w="1465" w:type="dxa"/>
          </w:tcPr>
          <w:p>
            <w:pPr>
              <w:pStyle w:val="TableParagraph"/>
              <w:spacing w:line="210" w:lineRule="exact"/>
              <w:ind w:left="52" w:right="88"/>
              <w:jc w:val="center"/>
              <w:rPr>
                <w:sz w:val="20"/>
              </w:rPr>
            </w:pPr>
            <w:r>
              <w:rPr>
                <w:spacing w:val="-2"/>
                <w:sz w:val="20"/>
              </w:rPr>
              <w:t>0.347913</w:t>
            </w:r>
          </w:p>
        </w:tc>
        <w:tc>
          <w:tcPr>
            <w:tcW w:w="1346" w:type="dxa"/>
          </w:tcPr>
          <w:p>
            <w:pPr>
              <w:pStyle w:val="TableParagraph"/>
              <w:spacing w:line="210" w:lineRule="exact"/>
              <w:ind w:right="324"/>
              <w:jc w:val="right"/>
              <w:rPr>
                <w:sz w:val="20"/>
              </w:rPr>
            </w:pPr>
            <w:r>
              <w:rPr>
                <w:spacing w:val="-2"/>
                <w:sz w:val="20"/>
              </w:rPr>
              <w:t>0.023776</w:t>
            </w:r>
          </w:p>
        </w:tc>
        <w:tc>
          <w:tcPr>
            <w:tcW w:w="1392" w:type="dxa"/>
          </w:tcPr>
          <w:p>
            <w:pPr>
              <w:pStyle w:val="TableParagraph"/>
              <w:spacing w:line="210" w:lineRule="exact"/>
              <w:ind w:right="300"/>
              <w:jc w:val="right"/>
              <w:rPr>
                <w:sz w:val="20"/>
              </w:rPr>
            </w:pPr>
            <w:r>
              <w:rPr>
                <w:spacing w:val="-4"/>
                <w:sz w:val="20"/>
              </w:rPr>
              <w:t>-</w:t>
            </w:r>
            <w:r>
              <w:rPr>
                <w:spacing w:val="-2"/>
                <w:sz w:val="20"/>
              </w:rPr>
              <w:t>0.297414</w:t>
            </w:r>
          </w:p>
        </w:tc>
        <w:tc>
          <w:tcPr>
            <w:tcW w:w="1354" w:type="dxa"/>
          </w:tcPr>
          <w:p>
            <w:pPr>
              <w:pStyle w:val="TableParagraph"/>
              <w:spacing w:line="210" w:lineRule="exact"/>
              <w:ind w:left="149" w:right="101"/>
              <w:jc w:val="center"/>
              <w:rPr>
                <w:sz w:val="20"/>
              </w:rPr>
            </w:pPr>
            <w:r>
              <w:rPr>
                <w:spacing w:val="-4"/>
                <w:sz w:val="20"/>
              </w:rPr>
              <w:t>-</w:t>
            </w:r>
            <w:r>
              <w:rPr>
                <w:spacing w:val="-2"/>
                <w:sz w:val="20"/>
              </w:rPr>
              <w:t>0.093424</w:t>
            </w:r>
          </w:p>
        </w:tc>
        <w:tc>
          <w:tcPr>
            <w:tcW w:w="1469" w:type="dxa"/>
          </w:tcPr>
          <w:p>
            <w:pPr>
              <w:pStyle w:val="TableParagraph"/>
              <w:spacing w:line="210" w:lineRule="exact"/>
              <w:ind w:right="300"/>
              <w:jc w:val="right"/>
              <w:rPr>
                <w:sz w:val="20"/>
              </w:rPr>
            </w:pPr>
            <w:r>
              <w:rPr>
                <w:spacing w:val="-4"/>
                <w:sz w:val="20"/>
              </w:rPr>
              <w:t>-</w:t>
            </w:r>
            <w:r>
              <w:rPr>
                <w:spacing w:val="-2"/>
                <w:sz w:val="20"/>
              </w:rPr>
              <w:t>0.190961</w:t>
            </w:r>
          </w:p>
        </w:tc>
        <w:tc>
          <w:tcPr>
            <w:tcW w:w="1410" w:type="dxa"/>
          </w:tcPr>
          <w:p>
            <w:pPr>
              <w:pStyle w:val="TableParagraph"/>
              <w:spacing w:line="210" w:lineRule="exact"/>
              <w:ind w:left="50" w:right="6"/>
              <w:jc w:val="center"/>
              <w:rPr>
                <w:sz w:val="20"/>
              </w:rPr>
            </w:pPr>
            <w:r>
              <w:rPr>
                <w:spacing w:val="-2"/>
                <w:sz w:val="20"/>
              </w:rPr>
              <w:t>0.163088</w:t>
            </w:r>
          </w:p>
        </w:tc>
        <w:tc>
          <w:tcPr>
            <w:tcW w:w="1407" w:type="dxa"/>
          </w:tcPr>
          <w:p>
            <w:pPr>
              <w:pStyle w:val="TableParagraph"/>
              <w:rPr>
                <w:sz w:val="16"/>
              </w:rPr>
            </w:pPr>
          </w:p>
        </w:tc>
      </w:tr>
      <w:tr>
        <w:trPr>
          <w:trHeight w:val="229" w:hRule="atLeast"/>
        </w:trPr>
        <w:tc>
          <w:tcPr>
            <w:tcW w:w="1465" w:type="dxa"/>
          </w:tcPr>
          <w:p>
            <w:pPr>
              <w:pStyle w:val="TableParagraph"/>
              <w:spacing w:line="209" w:lineRule="exact"/>
              <w:ind w:left="4" w:right="88"/>
              <w:jc w:val="center"/>
              <w:rPr>
                <w:sz w:val="20"/>
              </w:rPr>
            </w:pPr>
            <w:r>
              <w:rPr>
                <w:spacing w:val="-4"/>
                <w:sz w:val="20"/>
              </w:rPr>
              <w:t>-</w:t>
            </w:r>
            <w:r>
              <w:rPr>
                <w:spacing w:val="-2"/>
                <w:sz w:val="20"/>
              </w:rPr>
              <w:t>0.282191</w:t>
            </w:r>
          </w:p>
        </w:tc>
        <w:tc>
          <w:tcPr>
            <w:tcW w:w="1346" w:type="dxa"/>
          </w:tcPr>
          <w:p>
            <w:pPr>
              <w:pStyle w:val="TableParagraph"/>
              <w:spacing w:line="209" w:lineRule="exact"/>
              <w:ind w:right="324"/>
              <w:jc w:val="right"/>
              <w:rPr>
                <w:sz w:val="20"/>
              </w:rPr>
            </w:pPr>
            <w:r>
              <w:rPr>
                <w:spacing w:val="-2"/>
                <w:sz w:val="20"/>
              </w:rPr>
              <w:t>0.064978</w:t>
            </w:r>
          </w:p>
        </w:tc>
        <w:tc>
          <w:tcPr>
            <w:tcW w:w="1392" w:type="dxa"/>
          </w:tcPr>
          <w:p>
            <w:pPr>
              <w:pStyle w:val="TableParagraph"/>
              <w:spacing w:line="209" w:lineRule="exact"/>
              <w:ind w:right="307"/>
              <w:jc w:val="right"/>
              <w:rPr>
                <w:sz w:val="20"/>
              </w:rPr>
            </w:pPr>
            <w:r>
              <w:rPr>
                <w:spacing w:val="-2"/>
                <w:sz w:val="20"/>
              </w:rPr>
              <w:t>0.278384</w:t>
            </w:r>
          </w:p>
        </w:tc>
        <w:tc>
          <w:tcPr>
            <w:tcW w:w="1354" w:type="dxa"/>
          </w:tcPr>
          <w:p>
            <w:pPr>
              <w:pStyle w:val="TableParagraph"/>
              <w:spacing w:line="209" w:lineRule="exact"/>
              <w:ind w:left="149" w:right="101"/>
              <w:jc w:val="center"/>
              <w:rPr>
                <w:sz w:val="20"/>
              </w:rPr>
            </w:pPr>
            <w:r>
              <w:rPr>
                <w:spacing w:val="-4"/>
                <w:sz w:val="20"/>
              </w:rPr>
              <w:t>-</w:t>
            </w:r>
            <w:r>
              <w:rPr>
                <w:spacing w:val="-2"/>
                <w:sz w:val="20"/>
              </w:rPr>
              <w:t>0.047226</w:t>
            </w:r>
          </w:p>
        </w:tc>
        <w:tc>
          <w:tcPr>
            <w:tcW w:w="1469" w:type="dxa"/>
          </w:tcPr>
          <w:p>
            <w:pPr>
              <w:pStyle w:val="TableParagraph"/>
              <w:spacing w:line="209" w:lineRule="exact"/>
              <w:ind w:right="307"/>
              <w:jc w:val="right"/>
              <w:rPr>
                <w:sz w:val="20"/>
              </w:rPr>
            </w:pPr>
            <w:r>
              <w:rPr>
                <w:spacing w:val="-2"/>
                <w:sz w:val="20"/>
              </w:rPr>
              <w:t>0.082940</w:t>
            </w:r>
          </w:p>
        </w:tc>
        <w:tc>
          <w:tcPr>
            <w:tcW w:w="1410" w:type="dxa"/>
          </w:tcPr>
          <w:p>
            <w:pPr>
              <w:pStyle w:val="TableParagraph"/>
              <w:spacing w:line="209" w:lineRule="exact"/>
              <w:ind w:left="49" w:right="55"/>
              <w:jc w:val="center"/>
              <w:rPr>
                <w:sz w:val="20"/>
              </w:rPr>
            </w:pPr>
            <w:r>
              <w:rPr>
                <w:spacing w:val="-4"/>
                <w:sz w:val="20"/>
              </w:rPr>
              <w:t>-</w:t>
            </w:r>
            <w:r>
              <w:rPr>
                <w:spacing w:val="-2"/>
                <w:sz w:val="20"/>
              </w:rPr>
              <w:t>0.060698</w:t>
            </w:r>
          </w:p>
        </w:tc>
        <w:tc>
          <w:tcPr>
            <w:tcW w:w="1407" w:type="dxa"/>
          </w:tcPr>
          <w:p>
            <w:pPr>
              <w:pStyle w:val="TableParagraph"/>
              <w:rPr>
                <w:sz w:val="16"/>
              </w:rPr>
            </w:pPr>
          </w:p>
        </w:tc>
      </w:tr>
      <w:tr>
        <w:trPr>
          <w:trHeight w:val="229" w:hRule="atLeast"/>
        </w:trPr>
        <w:tc>
          <w:tcPr>
            <w:tcW w:w="1465" w:type="dxa"/>
          </w:tcPr>
          <w:p>
            <w:pPr>
              <w:pStyle w:val="TableParagraph"/>
              <w:spacing w:line="209" w:lineRule="exact"/>
              <w:ind w:left="52" w:right="88"/>
              <w:jc w:val="center"/>
              <w:rPr>
                <w:sz w:val="20"/>
              </w:rPr>
            </w:pPr>
            <w:r>
              <w:rPr>
                <w:spacing w:val="-2"/>
                <w:sz w:val="20"/>
              </w:rPr>
              <w:t>0.020714</w:t>
            </w:r>
          </w:p>
        </w:tc>
        <w:tc>
          <w:tcPr>
            <w:tcW w:w="1346" w:type="dxa"/>
          </w:tcPr>
          <w:p>
            <w:pPr>
              <w:pStyle w:val="TableParagraph"/>
              <w:spacing w:line="209" w:lineRule="exact"/>
              <w:ind w:right="317"/>
              <w:jc w:val="right"/>
              <w:rPr>
                <w:sz w:val="20"/>
              </w:rPr>
            </w:pPr>
            <w:r>
              <w:rPr>
                <w:spacing w:val="-4"/>
                <w:sz w:val="20"/>
              </w:rPr>
              <w:t>-</w:t>
            </w:r>
            <w:r>
              <w:rPr>
                <w:spacing w:val="-2"/>
                <w:sz w:val="20"/>
              </w:rPr>
              <w:t>0.051027</w:t>
            </w:r>
          </w:p>
        </w:tc>
        <w:tc>
          <w:tcPr>
            <w:tcW w:w="1392" w:type="dxa"/>
          </w:tcPr>
          <w:p>
            <w:pPr>
              <w:pStyle w:val="TableParagraph"/>
              <w:spacing w:line="209" w:lineRule="exact"/>
              <w:ind w:right="307"/>
              <w:jc w:val="right"/>
              <w:rPr>
                <w:sz w:val="20"/>
              </w:rPr>
            </w:pPr>
            <w:r>
              <w:rPr>
                <w:spacing w:val="-2"/>
                <w:sz w:val="20"/>
              </w:rPr>
              <w:t>0.046201</w:t>
            </w:r>
          </w:p>
        </w:tc>
        <w:tc>
          <w:tcPr>
            <w:tcW w:w="1354" w:type="dxa"/>
          </w:tcPr>
          <w:p>
            <w:pPr>
              <w:pStyle w:val="TableParagraph"/>
              <w:spacing w:line="209" w:lineRule="exact"/>
              <w:ind w:left="149" w:right="101"/>
              <w:jc w:val="center"/>
              <w:rPr>
                <w:sz w:val="20"/>
              </w:rPr>
            </w:pPr>
            <w:r>
              <w:rPr>
                <w:spacing w:val="-4"/>
                <w:sz w:val="20"/>
              </w:rPr>
              <w:t>-</w:t>
            </w:r>
            <w:r>
              <w:rPr>
                <w:spacing w:val="-2"/>
                <w:sz w:val="20"/>
              </w:rPr>
              <w:t>0.066637</w:t>
            </w:r>
          </w:p>
        </w:tc>
        <w:tc>
          <w:tcPr>
            <w:tcW w:w="1469" w:type="dxa"/>
          </w:tcPr>
          <w:p>
            <w:pPr>
              <w:pStyle w:val="TableParagraph"/>
              <w:spacing w:line="209" w:lineRule="exact"/>
              <w:ind w:right="300"/>
              <w:jc w:val="right"/>
              <w:rPr>
                <w:sz w:val="20"/>
              </w:rPr>
            </w:pPr>
            <w:r>
              <w:rPr>
                <w:spacing w:val="-4"/>
                <w:sz w:val="20"/>
              </w:rPr>
              <w:t>-</w:t>
            </w:r>
            <w:r>
              <w:rPr>
                <w:spacing w:val="-2"/>
                <w:sz w:val="20"/>
              </w:rPr>
              <w:t>0.030863</w:t>
            </w:r>
          </w:p>
        </w:tc>
        <w:tc>
          <w:tcPr>
            <w:tcW w:w="1410" w:type="dxa"/>
          </w:tcPr>
          <w:p>
            <w:pPr>
              <w:pStyle w:val="TableParagraph"/>
              <w:spacing w:line="209" w:lineRule="exact"/>
              <w:ind w:left="50" w:right="6"/>
              <w:jc w:val="center"/>
              <w:rPr>
                <w:sz w:val="20"/>
              </w:rPr>
            </w:pPr>
            <w:r>
              <w:rPr>
                <w:spacing w:val="-2"/>
                <w:sz w:val="20"/>
              </w:rPr>
              <w:t>0.069462</w:t>
            </w:r>
          </w:p>
        </w:tc>
        <w:tc>
          <w:tcPr>
            <w:tcW w:w="1407" w:type="dxa"/>
          </w:tcPr>
          <w:p>
            <w:pPr>
              <w:pStyle w:val="TableParagraph"/>
              <w:rPr>
                <w:sz w:val="16"/>
              </w:rPr>
            </w:pPr>
          </w:p>
        </w:tc>
      </w:tr>
      <w:tr>
        <w:trPr>
          <w:trHeight w:val="224" w:hRule="atLeast"/>
        </w:trPr>
        <w:tc>
          <w:tcPr>
            <w:tcW w:w="1465" w:type="dxa"/>
            <w:tcBorders>
              <w:bottom w:val="double" w:sz="6" w:space="0" w:color="000000"/>
            </w:tcBorders>
          </w:tcPr>
          <w:p>
            <w:pPr>
              <w:pStyle w:val="TableParagraph"/>
              <w:spacing w:line="205" w:lineRule="exact"/>
              <w:ind w:left="52" w:right="88"/>
              <w:jc w:val="center"/>
              <w:rPr>
                <w:sz w:val="20"/>
              </w:rPr>
            </w:pPr>
            <w:r>
              <w:rPr>
                <w:spacing w:val="-2"/>
                <w:sz w:val="20"/>
              </w:rPr>
              <w:t>0.171304</w:t>
            </w:r>
          </w:p>
        </w:tc>
        <w:tc>
          <w:tcPr>
            <w:tcW w:w="1346" w:type="dxa"/>
            <w:tcBorders>
              <w:bottom w:val="double" w:sz="6" w:space="0" w:color="000000"/>
            </w:tcBorders>
          </w:tcPr>
          <w:p>
            <w:pPr>
              <w:pStyle w:val="TableParagraph"/>
              <w:spacing w:line="205" w:lineRule="exact"/>
              <w:ind w:right="324"/>
              <w:jc w:val="right"/>
              <w:rPr>
                <w:sz w:val="20"/>
              </w:rPr>
            </w:pPr>
            <w:r>
              <w:rPr>
                <w:spacing w:val="-2"/>
                <w:sz w:val="20"/>
              </w:rPr>
              <w:t>0.036096</w:t>
            </w:r>
          </w:p>
        </w:tc>
        <w:tc>
          <w:tcPr>
            <w:tcW w:w="1392" w:type="dxa"/>
            <w:tcBorders>
              <w:bottom w:val="double" w:sz="6" w:space="0" w:color="000000"/>
            </w:tcBorders>
          </w:tcPr>
          <w:p>
            <w:pPr>
              <w:pStyle w:val="TableParagraph"/>
              <w:spacing w:line="205" w:lineRule="exact"/>
              <w:ind w:right="300"/>
              <w:jc w:val="right"/>
              <w:rPr>
                <w:sz w:val="20"/>
              </w:rPr>
            </w:pPr>
            <w:r>
              <w:rPr>
                <w:spacing w:val="-4"/>
                <w:sz w:val="20"/>
              </w:rPr>
              <w:t>-</w:t>
            </w:r>
            <w:r>
              <w:rPr>
                <w:spacing w:val="-2"/>
                <w:sz w:val="20"/>
              </w:rPr>
              <w:t>0.410913</w:t>
            </w:r>
          </w:p>
        </w:tc>
        <w:tc>
          <w:tcPr>
            <w:tcW w:w="1354" w:type="dxa"/>
            <w:tcBorders>
              <w:bottom w:val="double" w:sz="6" w:space="0" w:color="000000"/>
            </w:tcBorders>
          </w:tcPr>
          <w:p>
            <w:pPr>
              <w:pStyle w:val="TableParagraph"/>
              <w:spacing w:line="205" w:lineRule="exact"/>
              <w:ind w:left="149" w:right="48"/>
              <w:jc w:val="center"/>
              <w:rPr>
                <w:sz w:val="20"/>
              </w:rPr>
            </w:pPr>
            <w:r>
              <w:rPr>
                <w:spacing w:val="-2"/>
                <w:sz w:val="20"/>
              </w:rPr>
              <w:t>0.024757</w:t>
            </w:r>
          </w:p>
        </w:tc>
        <w:tc>
          <w:tcPr>
            <w:tcW w:w="1469" w:type="dxa"/>
            <w:tcBorders>
              <w:bottom w:val="double" w:sz="6" w:space="0" w:color="000000"/>
            </w:tcBorders>
          </w:tcPr>
          <w:p>
            <w:pPr>
              <w:pStyle w:val="TableParagraph"/>
              <w:spacing w:line="205" w:lineRule="exact"/>
              <w:ind w:right="307"/>
              <w:jc w:val="right"/>
              <w:rPr>
                <w:sz w:val="20"/>
              </w:rPr>
            </w:pPr>
            <w:r>
              <w:rPr>
                <w:spacing w:val="-2"/>
                <w:sz w:val="20"/>
              </w:rPr>
              <w:t>0.138371</w:t>
            </w:r>
          </w:p>
        </w:tc>
        <w:tc>
          <w:tcPr>
            <w:tcW w:w="1410" w:type="dxa"/>
            <w:tcBorders>
              <w:bottom w:val="double" w:sz="6" w:space="0" w:color="000000"/>
            </w:tcBorders>
          </w:tcPr>
          <w:p>
            <w:pPr>
              <w:pStyle w:val="TableParagraph"/>
              <w:spacing w:line="205" w:lineRule="exact"/>
              <w:ind w:left="49" w:right="55"/>
              <w:jc w:val="center"/>
              <w:rPr>
                <w:sz w:val="20"/>
              </w:rPr>
            </w:pPr>
            <w:r>
              <w:rPr>
                <w:spacing w:val="-4"/>
                <w:sz w:val="20"/>
              </w:rPr>
              <w:t>-</w:t>
            </w:r>
            <w:r>
              <w:rPr>
                <w:spacing w:val="-2"/>
                <w:sz w:val="20"/>
              </w:rPr>
              <w:t>0.107871</w:t>
            </w:r>
          </w:p>
        </w:tc>
        <w:tc>
          <w:tcPr>
            <w:tcW w:w="1407" w:type="dxa"/>
            <w:tcBorders>
              <w:bottom w:val="double" w:sz="6" w:space="0" w:color="000000"/>
            </w:tcBorders>
          </w:tcPr>
          <w:p>
            <w:pPr>
              <w:pStyle w:val="TableParagraph"/>
              <w:rPr>
                <w:sz w:val="16"/>
              </w:rPr>
            </w:pPr>
          </w:p>
        </w:tc>
      </w:tr>
      <w:tr>
        <w:trPr>
          <w:trHeight w:val="1421" w:hRule="atLeast"/>
        </w:trPr>
        <w:tc>
          <w:tcPr>
            <w:tcW w:w="1465" w:type="dxa"/>
            <w:tcBorders>
              <w:top w:val="double" w:sz="6" w:space="0" w:color="000000"/>
              <w:bottom w:val="double" w:sz="6" w:space="0" w:color="000000"/>
            </w:tcBorders>
          </w:tcPr>
          <w:p>
            <w:pPr>
              <w:pStyle w:val="TableParagraph"/>
              <w:spacing w:before="40"/>
              <w:rPr>
                <w:sz w:val="20"/>
              </w:rPr>
            </w:pPr>
          </w:p>
          <w:p>
            <w:pPr>
              <w:pStyle w:val="TableParagraph"/>
              <w:spacing w:before="1"/>
              <w:ind w:left="98" w:right="186" w:firstLine="144"/>
              <w:jc w:val="both"/>
              <w:rPr>
                <w:sz w:val="20"/>
              </w:rPr>
            </w:pPr>
            <w:r>
              <w:rPr>
                <w:spacing w:val="-2"/>
                <w:sz w:val="20"/>
              </w:rPr>
              <w:t>Normalized Cointegrating </w:t>
            </w:r>
            <w:r>
              <w:rPr>
                <w:sz w:val="20"/>
              </w:rPr>
              <w:t>Coefficients:</w:t>
            </w:r>
            <w:r>
              <w:rPr>
                <w:spacing w:val="-13"/>
                <w:sz w:val="20"/>
              </w:rPr>
              <w:t> </w:t>
            </w:r>
            <w:r>
              <w:rPr>
                <w:sz w:val="20"/>
              </w:rPr>
              <w:t>1 </w:t>
            </w:r>
            <w:r>
              <w:rPr>
                <w:spacing w:val="-2"/>
                <w:sz w:val="20"/>
              </w:rPr>
              <w:t>Cointegrating</w:t>
            </w:r>
          </w:p>
          <w:p>
            <w:pPr>
              <w:pStyle w:val="TableParagraph"/>
              <w:spacing w:line="209" w:lineRule="exact" w:before="2"/>
              <w:ind w:left="221"/>
              <w:rPr>
                <w:sz w:val="20"/>
              </w:rPr>
            </w:pPr>
            <w:r>
              <w:rPr>
                <w:spacing w:val="-2"/>
                <w:sz w:val="20"/>
              </w:rPr>
              <w:t>Equation(s)</w:t>
            </w:r>
          </w:p>
        </w:tc>
        <w:tc>
          <w:tcPr>
            <w:tcW w:w="1346" w:type="dxa"/>
            <w:tcBorders>
              <w:top w:val="double" w:sz="6" w:space="0" w:color="000000"/>
              <w:bottom w:val="double" w:sz="6" w:space="0" w:color="000000"/>
            </w:tcBorders>
          </w:tcPr>
          <w:p>
            <w:pPr>
              <w:pStyle w:val="TableParagraph"/>
              <w:rPr>
                <w:sz w:val="18"/>
              </w:rPr>
            </w:pPr>
          </w:p>
        </w:tc>
        <w:tc>
          <w:tcPr>
            <w:tcW w:w="1392" w:type="dxa"/>
            <w:tcBorders>
              <w:top w:val="double" w:sz="6" w:space="0" w:color="000000"/>
              <w:bottom w:val="double" w:sz="6" w:space="0" w:color="000000"/>
            </w:tcBorders>
          </w:tcPr>
          <w:p>
            <w:pPr>
              <w:pStyle w:val="TableParagraph"/>
              <w:rPr>
                <w:sz w:val="18"/>
              </w:rPr>
            </w:pPr>
          </w:p>
        </w:tc>
        <w:tc>
          <w:tcPr>
            <w:tcW w:w="1354" w:type="dxa"/>
            <w:tcBorders>
              <w:top w:val="double" w:sz="6" w:space="0" w:color="000000"/>
              <w:bottom w:val="double" w:sz="6" w:space="0" w:color="000000"/>
            </w:tcBorders>
          </w:tcPr>
          <w:p>
            <w:pPr>
              <w:pStyle w:val="TableParagraph"/>
              <w:rPr>
                <w:sz w:val="18"/>
              </w:rPr>
            </w:pPr>
          </w:p>
        </w:tc>
        <w:tc>
          <w:tcPr>
            <w:tcW w:w="1469" w:type="dxa"/>
            <w:tcBorders>
              <w:top w:val="double" w:sz="6" w:space="0" w:color="000000"/>
              <w:bottom w:val="double" w:sz="6" w:space="0" w:color="000000"/>
            </w:tcBorders>
          </w:tcPr>
          <w:p>
            <w:pPr>
              <w:pStyle w:val="TableParagraph"/>
              <w:rPr>
                <w:sz w:val="18"/>
              </w:rPr>
            </w:pPr>
          </w:p>
        </w:tc>
        <w:tc>
          <w:tcPr>
            <w:tcW w:w="1410" w:type="dxa"/>
            <w:tcBorders>
              <w:top w:val="double" w:sz="6" w:space="0" w:color="000000"/>
              <w:bottom w:val="double" w:sz="6" w:space="0" w:color="000000"/>
            </w:tcBorders>
          </w:tcPr>
          <w:p>
            <w:pPr>
              <w:pStyle w:val="TableParagraph"/>
              <w:rPr>
                <w:sz w:val="18"/>
              </w:rPr>
            </w:pPr>
          </w:p>
        </w:tc>
        <w:tc>
          <w:tcPr>
            <w:tcW w:w="1407" w:type="dxa"/>
            <w:tcBorders>
              <w:top w:val="double" w:sz="6" w:space="0" w:color="000000"/>
              <w:bottom w:val="double" w:sz="6" w:space="0" w:color="000000"/>
            </w:tcBorders>
          </w:tcPr>
          <w:p>
            <w:pPr>
              <w:pStyle w:val="TableParagraph"/>
              <w:rPr>
                <w:sz w:val="18"/>
              </w:rPr>
            </w:pPr>
          </w:p>
        </w:tc>
      </w:tr>
      <w:tr>
        <w:trPr>
          <w:trHeight w:val="275" w:hRule="atLeast"/>
        </w:trPr>
        <w:tc>
          <w:tcPr>
            <w:tcW w:w="1465" w:type="dxa"/>
            <w:tcBorders>
              <w:top w:val="double" w:sz="6" w:space="0" w:color="000000"/>
            </w:tcBorders>
          </w:tcPr>
          <w:p>
            <w:pPr>
              <w:pStyle w:val="TableParagraph"/>
              <w:spacing w:line="215" w:lineRule="exact" w:before="40"/>
              <w:ind w:right="88"/>
              <w:jc w:val="center"/>
              <w:rPr>
                <w:sz w:val="20"/>
              </w:rPr>
            </w:pPr>
            <w:r>
              <w:rPr>
                <w:spacing w:val="-5"/>
                <w:sz w:val="20"/>
              </w:rPr>
              <w:t>GDP</w:t>
            </w:r>
          </w:p>
        </w:tc>
        <w:tc>
          <w:tcPr>
            <w:tcW w:w="1346" w:type="dxa"/>
            <w:tcBorders>
              <w:top w:val="double" w:sz="6" w:space="0" w:color="000000"/>
            </w:tcBorders>
          </w:tcPr>
          <w:p>
            <w:pPr>
              <w:pStyle w:val="TableParagraph"/>
              <w:spacing w:line="215" w:lineRule="exact" w:before="40"/>
              <w:ind w:right="270"/>
              <w:jc w:val="right"/>
              <w:rPr>
                <w:sz w:val="20"/>
              </w:rPr>
            </w:pPr>
            <w:r>
              <w:rPr>
                <w:spacing w:val="-2"/>
                <w:sz w:val="20"/>
              </w:rPr>
              <w:t>EXTDEBT</w:t>
            </w:r>
          </w:p>
        </w:tc>
        <w:tc>
          <w:tcPr>
            <w:tcW w:w="1392" w:type="dxa"/>
            <w:tcBorders>
              <w:top w:val="double" w:sz="6" w:space="0" w:color="000000"/>
            </w:tcBorders>
          </w:tcPr>
          <w:p>
            <w:pPr>
              <w:pStyle w:val="TableParagraph"/>
              <w:spacing w:line="215" w:lineRule="exact" w:before="40"/>
              <w:ind w:left="73" w:right="99"/>
              <w:jc w:val="center"/>
              <w:rPr>
                <w:sz w:val="20"/>
              </w:rPr>
            </w:pPr>
            <w:r>
              <w:rPr>
                <w:spacing w:val="-5"/>
                <w:sz w:val="20"/>
              </w:rPr>
              <w:t>DFI</w:t>
            </w:r>
          </w:p>
        </w:tc>
        <w:tc>
          <w:tcPr>
            <w:tcW w:w="1354" w:type="dxa"/>
            <w:tcBorders>
              <w:top w:val="double" w:sz="6" w:space="0" w:color="000000"/>
            </w:tcBorders>
          </w:tcPr>
          <w:p>
            <w:pPr>
              <w:pStyle w:val="TableParagraph"/>
              <w:spacing w:line="215" w:lineRule="exact" w:before="40"/>
              <w:ind w:left="149" w:right="100"/>
              <w:jc w:val="center"/>
              <w:rPr>
                <w:sz w:val="20"/>
              </w:rPr>
            </w:pPr>
            <w:r>
              <w:rPr>
                <w:spacing w:val="-5"/>
                <w:sz w:val="20"/>
              </w:rPr>
              <w:t>CAB</w:t>
            </w:r>
          </w:p>
        </w:tc>
        <w:tc>
          <w:tcPr>
            <w:tcW w:w="1469" w:type="dxa"/>
            <w:tcBorders>
              <w:top w:val="double" w:sz="6" w:space="0" w:color="000000"/>
            </w:tcBorders>
          </w:tcPr>
          <w:p>
            <w:pPr>
              <w:pStyle w:val="TableParagraph"/>
              <w:spacing w:line="215" w:lineRule="exact" w:before="40"/>
              <w:ind w:left="48"/>
              <w:jc w:val="center"/>
              <w:rPr>
                <w:sz w:val="20"/>
              </w:rPr>
            </w:pPr>
            <w:r>
              <w:rPr>
                <w:spacing w:val="-5"/>
                <w:sz w:val="20"/>
              </w:rPr>
              <w:t>RES</w:t>
            </w:r>
          </w:p>
        </w:tc>
        <w:tc>
          <w:tcPr>
            <w:tcW w:w="1410" w:type="dxa"/>
            <w:tcBorders>
              <w:top w:val="double" w:sz="6" w:space="0" w:color="000000"/>
            </w:tcBorders>
          </w:tcPr>
          <w:p>
            <w:pPr>
              <w:pStyle w:val="TableParagraph"/>
              <w:spacing w:line="215" w:lineRule="exact" w:before="40"/>
              <w:ind w:left="49" w:right="55"/>
              <w:jc w:val="center"/>
              <w:rPr>
                <w:sz w:val="20"/>
              </w:rPr>
            </w:pPr>
            <w:r>
              <w:rPr>
                <w:spacing w:val="-2"/>
                <w:sz w:val="20"/>
              </w:rPr>
              <w:t>NEXTAS</w:t>
            </w:r>
          </w:p>
        </w:tc>
        <w:tc>
          <w:tcPr>
            <w:tcW w:w="1407" w:type="dxa"/>
            <w:tcBorders>
              <w:top w:val="double" w:sz="6" w:space="0" w:color="000000"/>
            </w:tcBorders>
          </w:tcPr>
          <w:p>
            <w:pPr>
              <w:pStyle w:val="TableParagraph"/>
              <w:spacing w:line="215" w:lineRule="exact" w:before="40"/>
              <w:ind w:left="51" w:right="56"/>
              <w:jc w:val="center"/>
              <w:rPr>
                <w:sz w:val="20"/>
              </w:rPr>
            </w:pPr>
            <w:r>
              <w:rPr>
                <w:spacing w:val="-10"/>
                <w:sz w:val="20"/>
              </w:rPr>
              <w:t>C</w:t>
            </w:r>
          </w:p>
        </w:tc>
      </w:tr>
      <w:tr>
        <w:trPr>
          <w:trHeight w:val="230" w:hRule="atLeast"/>
        </w:trPr>
        <w:tc>
          <w:tcPr>
            <w:tcW w:w="1465" w:type="dxa"/>
          </w:tcPr>
          <w:p>
            <w:pPr>
              <w:pStyle w:val="TableParagraph"/>
              <w:spacing w:line="210" w:lineRule="exact"/>
              <w:ind w:left="52" w:right="88"/>
              <w:jc w:val="center"/>
              <w:rPr>
                <w:sz w:val="20"/>
              </w:rPr>
            </w:pPr>
            <w:r>
              <w:rPr>
                <w:spacing w:val="-2"/>
                <w:sz w:val="20"/>
              </w:rPr>
              <w:t>1.000000</w:t>
            </w:r>
          </w:p>
        </w:tc>
        <w:tc>
          <w:tcPr>
            <w:tcW w:w="1346" w:type="dxa"/>
          </w:tcPr>
          <w:p>
            <w:pPr>
              <w:pStyle w:val="TableParagraph"/>
              <w:spacing w:line="210" w:lineRule="exact"/>
              <w:ind w:right="317"/>
              <w:jc w:val="right"/>
              <w:rPr>
                <w:sz w:val="20"/>
              </w:rPr>
            </w:pPr>
            <w:r>
              <w:rPr>
                <w:spacing w:val="-4"/>
                <w:sz w:val="20"/>
              </w:rPr>
              <w:t>-</w:t>
            </w:r>
            <w:r>
              <w:rPr>
                <w:spacing w:val="-2"/>
                <w:sz w:val="20"/>
              </w:rPr>
              <w:t>0.009190</w:t>
            </w:r>
          </w:p>
        </w:tc>
        <w:tc>
          <w:tcPr>
            <w:tcW w:w="1392" w:type="dxa"/>
          </w:tcPr>
          <w:p>
            <w:pPr>
              <w:pStyle w:val="TableParagraph"/>
              <w:spacing w:line="210" w:lineRule="exact"/>
              <w:ind w:right="300"/>
              <w:jc w:val="right"/>
              <w:rPr>
                <w:sz w:val="20"/>
              </w:rPr>
            </w:pPr>
            <w:r>
              <w:rPr>
                <w:spacing w:val="-4"/>
                <w:sz w:val="20"/>
              </w:rPr>
              <w:t>-</w:t>
            </w:r>
            <w:r>
              <w:rPr>
                <w:spacing w:val="-2"/>
                <w:sz w:val="20"/>
              </w:rPr>
              <w:t>0.559950</w:t>
            </w:r>
          </w:p>
        </w:tc>
        <w:tc>
          <w:tcPr>
            <w:tcW w:w="1354" w:type="dxa"/>
          </w:tcPr>
          <w:p>
            <w:pPr>
              <w:pStyle w:val="TableParagraph"/>
              <w:spacing w:line="210" w:lineRule="exact"/>
              <w:ind w:left="149" w:right="101"/>
              <w:jc w:val="center"/>
              <w:rPr>
                <w:sz w:val="20"/>
              </w:rPr>
            </w:pPr>
            <w:r>
              <w:rPr>
                <w:spacing w:val="-4"/>
                <w:sz w:val="20"/>
              </w:rPr>
              <w:t>-</w:t>
            </w:r>
            <w:r>
              <w:rPr>
                <w:spacing w:val="-2"/>
                <w:sz w:val="20"/>
              </w:rPr>
              <w:t>0.172788</w:t>
            </w:r>
          </w:p>
        </w:tc>
        <w:tc>
          <w:tcPr>
            <w:tcW w:w="1469" w:type="dxa"/>
          </w:tcPr>
          <w:p>
            <w:pPr>
              <w:pStyle w:val="TableParagraph"/>
              <w:spacing w:line="210" w:lineRule="exact"/>
              <w:ind w:right="300"/>
              <w:jc w:val="right"/>
              <w:rPr>
                <w:sz w:val="20"/>
              </w:rPr>
            </w:pPr>
            <w:r>
              <w:rPr>
                <w:spacing w:val="-4"/>
                <w:sz w:val="20"/>
              </w:rPr>
              <w:t>-</w:t>
            </w:r>
            <w:r>
              <w:rPr>
                <w:spacing w:val="-2"/>
                <w:sz w:val="20"/>
              </w:rPr>
              <w:t>0.026194</w:t>
            </w:r>
          </w:p>
        </w:tc>
        <w:tc>
          <w:tcPr>
            <w:tcW w:w="1410" w:type="dxa"/>
          </w:tcPr>
          <w:p>
            <w:pPr>
              <w:pStyle w:val="TableParagraph"/>
              <w:spacing w:line="210" w:lineRule="exact"/>
              <w:ind w:left="49" w:right="55"/>
              <w:jc w:val="center"/>
              <w:rPr>
                <w:sz w:val="20"/>
              </w:rPr>
            </w:pPr>
            <w:r>
              <w:rPr>
                <w:spacing w:val="-4"/>
                <w:sz w:val="20"/>
              </w:rPr>
              <w:t>-</w:t>
            </w:r>
            <w:r>
              <w:rPr>
                <w:spacing w:val="-2"/>
                <w:sz w:val="20"/>
              </w:rPr>
              <w:t>0.267205</w:t>
            </w:r>
          </w:p>
        </w:tc>
        <w:tc>
          <w:tcPr>
            <w:tcW w:w="1407" w:type="dxa"/>
          </w:tcPr>
          <w:p>
            <w:pPr>
              <w:pStyle w:val="TableParagraph"/>
              <w:spacing w:line="210" w:lineRule="exact"/>
              <w:ind w:left="51" w:right="55"/>
              <w:jc w:val="center"/>
              <w:rPr>
                <w:sz w:val="20"/>
              </w:rPr>
            </w:pPr>
            <w:r>
              <w:rPr>
                <w:spacing w:val="-4"/>
                <w:sz w:val="20"/>
              </w:rPr>
              <w:t>-</w:t>
            </w:r>
            <w:r>
              <w:rPr>
                <w:spacing w:val="-2"/>
                <w:sz w:val="20"/>
              </w:rPr>
              <w:t>2.762386</w:t>
            </w:r>
          </w:p>
        </w:tc>
      </w:tr>
      <w:tr>
        <w:trPr>
          <w:trHeight w:val="344" w:hRule="atLeast"/>
        </w:trPr>
        <w:tc>
          <w:tcPr>
            <w:tcW w:w="1465" w:type="dxa"/>
          </w:tcPr>
          <w:p>
            <w:pPr>
              <w:pStyle w:val="TableParagraph"/>
              <w:rPr>
                <w:sz w:val="18"/>
              </w:rPr>
            </w:pPr>
          </w:p>
        </w:tc>
        <w:tc>
          <w:tcPr>
            <w:tcW w:w="1346" w:type="dxa"/>
          </w:tcPr>
          <w:p>
            <w:pPr>
              <w:pStyle w:val="TableParagraph"/>
              <w:spacing w:line="226" w:lineRule="exact"/>
              <w:ind w:right="307"/>
              <w:jc w:val="right"/>
              <w:rPr>
                <w:sz w:val="20"/>
              </w:rPr>
            </w:pPr>
            <w:r>
              <w:rPr>
                <w:spacing w:val="-2"/>
                <w:sz w:val="20"/>
              </w:rPr>
              <w:t>(0.02789)</w:t>
            </w:r>
          </w:p>
        </w:tc>
        <w:tc>
          <w:tcPr>
            <w:tcW w:w="1392" w:type="dxa"/>
          </w:tcPr>
          <w:p>
            <w:pPr>
              <w:pStyle w:val="TableParagraph"/>
              <w:spacing w:line="226" w:lineRule="exact"/>
              <w:ind w:right="290"/>
              <w:jc w:val="right"/>
              <w:rPr>
                <w:sz w:val="20"/>
              </w:rPr>
            </w:pPr>
            <w:r>
              <w:rPr>
                <w:spacing w:val="-2"/>
                <w:sz w:val="20"/>
              </w:rPr>
              <w:t>(0.10539)</w:t>
            </w:r>
          </w:p>
        </w:tc>
        <w:tc>
          <w:tcPr>
            <w:tcW w:w="1354" w:type="dxa"/>
          </w:tcPr>
          <w:p>
            <w:pPr>
              <w:pStyle w:val="TableParagraph"/>
              <w:spacing w:line="226" w:lineRule="exact"/>
              <w:ind w:left="149" w:right="48"/>
              <w:jc w:val="center"/>
              <w:rPr>
                <w:sz w:val="20"/>
              </w:rPr>
            </w:pPr>
            <w:r>
              <w:rPr>
                <w:spacing w:val="-2"/>
                <w:sz w:val="20"/>
              </w:rPr>
              <w:t>(0.07333)</w:t>
            </w:r>
          </w:p>
        </w:tc>
        <w:tc>
          <w:tcPr>
            <w:tcW w:w="1469" w:type="dxa"/>
          </w:tcPr>
          <w:p>
            <w:pPr>
              <w:pStyle w:val="TableParagraph"/>
              <w:spacing w:line="226" w:lineRule="exact"/>
              <w:ind w:right="290"/>
              <w:jc w:val="right"/>
              <w:rPr>
                <w:sz w:val="20"/>
              </w:rPr>
            </w:pPr>
            <w:r>
              <w:rPr>
                <w:spacing w:val="-2"/>
                <w:sz w:val="20"/>
              </w:rPr>
              <w:t>(0.09328)</w:t>
            </w:r>
          </w:p>
        </w:tc>
        <w:tc>
          <w:tcPr>
            <w:tcW w:w="1410" w:type="dxa"/>
          </w:tcPr>
          <w:p>
            <w:pPr>
              <w:pStyle w:val="TableParagraph"/>
              <w:spacing w:line="226" w:lineRule="exact"/>
              <w:ind w:left="51" w:right="6"/>
              <w:jc w:val="center"/>
              <w:rPr>
                <w:sz w:val="20"/>
              </w:rPr>
            </w:pPr>
            <w:r>
              <w:rPr>
                <w:spacing w:val="-2"/>
                <w:sz w:val="20"/>
              </w:rPr>
              <w:t>(0.08679)</w:t>
            </w:r>
          </w:p>
        </w:tc>
        <w:tc>
          <w:tcPr>
            <w:tcW w:w="1407" w:type="dxa"/>
          </w:tcPr>
          <w:p>
            <w:pPr>
              <w:pStyle w:val="TableParagraph"/>
              <w:rPr>
                <w:sz w:val="18"/>
              </w:rPr>
            </w:pPr>
          </w:p>
        </w:tc>
      </w:tr>
      <w:tr>
        <w:trPr>
          <w:trHeight w:val="338" w:hRule="atLeast"/>
        </w:trPr>
        <w:tc>
          <w:tcPr>
            <w:tcW w:w="1465" w:type="dxa"/>
            <w:tcBorders>
              <w:bottom w:val="double" w:sz="6" w:space="0" w:color="000000"/>
            </w:tcBorders>
          </w:tcPr>
          <w:p>
            <w:pPr>
              <w:pStyle w:val="TableParagraph"/>
              <w:spacing w:line="209" w:lineRule="exact" w:before="109"/>
              <w:ind w:left="51" w:right="88"/>
              <w:jc w:val="center"/>
              <w:rPr>
                <w:sz w:val="20"/>
              </w:rPr>
            </w:pPr>
            <w:r>
              <w:rPr>
                <w:sz w:val="20"/>
              </w:rPr>
              <w:t>Log</w:t>
            </w:r>
            <w:r>
              <w:rPr>
                <w:spacing w:val="-6"/>
                <w:sz w:val="20"/>
              </w:rPr>
              <w:t> </w:t>
            </w:r>
            <w:r>
              <w:rPr>
                <w:spacing w:val="-2"/>
                <w:sz w:val="20"/>
              </w:rPr>
              <w:t>likelihood</w:t>
            </w:r>
          </w:p>
        </w:tc>
        <w:tc>
          <w:tcPr>
            <w:tcW w:w="1346" w:type="dxa"/>
            <w:tcBorders>
              <w:bottom w:val="double" w:sz="6" w:space="0" w:color="000000"/>
            </w:tcBorders>
          </w:tcPr>
          <w:p>
            <w:pPr>
              <w:pStyle w:val="TableParagraph"/>
              <w:spacing w:line="209" w:lineRule="exact" w:before="109"/>
              <w:ind w:right="317"/>
              <w:jc w:val="right"/>
              <w:rPr>
                <w:sz w:val="20"/>
              </w:rPr>
            </w:pPr>
            <w:r>
              <w:rPr>
                <w:spacing w:val="-4"/>
                <w:sz w:val="20"/>
              </w:rPr>
              <w:t>-</w:t>
            </w:r>
            <w:r>
              <w:rPr>
                <w:spacing w:val="-2"/>
                <w:sz w:val="20"/>
              </w:rPr>
              <w:t>252.2529</w:t>
            </w:r>
          </w:p>
        </w:tc>
        <w:tc>
          <w:tcPr>
            <w:tcW w:w="1392" w:type="dxa"/>
            <w:tcBorders>
              <w:bottom w:val="double" w:sz="6" w:space="0" w:color="000000"/>
            </w:tcBorders>
          </w:tcPr>
          <w:p>
            <w:pPr>
              <w:pStyle w:val="TableParagraph"/>
              <w:rPr>
                <w:sz w:val="18"/>
              </w:rPr>
            </w:pPr>
          </w:p>
        </w:tc>
        <w:tc>
          <w:tcPr>
            <w:tcW w:w="1354" w:type="dxa"/>
            <w:tcBorders>
              <w:bottom w:val="double" w:sz="6" w:space="0" w:color="000000"/>
            </w:tcBorders>
          </w:tcPr>
          <w:p>
            <w:pPr>
              <w:pStyle w:val="TableParagraph"/>
              <w:rPr>
                <w:sz w:val="18"/>
              </w:rPr>
            </w:pPr>
          </w:p>
        </w:tc>
        <w:tc>
          <w:tcPr>
            <w:tcW w:w="1469" w:type="dxa"/>
            <w:tcBorders>
              <w:bottom w:val="double" w:sz="6" w:space="0" w:color="000000"/>
            </w:tcBorders>
          </w:tcPr>
          <w:p>
            <w:pPr>
              <w:pStyle w:val="TableParagraph"/>
              <w:rPr>
                <w:sz w:val="18"/>
              </w:rPr>
            </w:pPr>
          </w:p>
        </w:tc>
        <w:tc>
          <w:tcPr>
            <w:tcW w:w="1410" w:type="dxa"/>
            <w:tcBorders>
              <w:bottom w:val="double" w:sz="6" w:space="0" w:color="000000"/>
            </w:tcBorders>
          </w:tcPr>
          <w:p>
            <w:pPr>
              <w:pStyle w:val="TableParagraph"/>
              <w:rPr>
                <w:sz w:val="18"/>
              </w:rPr>
            </w:pPr>
          </w:p>
        </w:tc>
        <w:tc>
          <w:tcPr>
            <w:tcW w:w="1407" w:type="dxa"/>
            <w:tcBorders>
              <w:bottom w:val="double" w:sz="6" w:space="0" w:color="000000"/>
            </w:tcBorders>
          </w:tcPr>
          <w:p>
            <w:pPr>
              <w:pStyle w:val="TableParagraph"/>
              <w:rPr>
                <w:sz w:val="18"/>
              </w:rPr>
            </w:pPr>
          </w:p>
        </w:tc>
      </w:tr>
      <w:tr>
        <w:trPr>
          <w:trHeight w:val="1421" w:hRule="atLeast"/>
        </w:trPr>
        <w:tc>
          <w:tcPr>
            <w:tcW w:w="1465" w:type="dxa"/>
            <w:tcBorders>
              <w:top w:val="double" w:sz="6" w:space="0" w:color="000000"/>
              <w:bottom w:val="double" w:sz="6" w:space="0" w:color="000000"/>
            </w:tcBorders>
          </w:tcPr>
          <w:p>
            <w:pPr>
              <w:pStyle w:val="TableParagraph"/>
              <w:spacing w:before="21"/>
              <w:rPr>
                <w:sz w:val="20"/>
              </w:rPr>
            </w:pPr>
          </w:p>
          <w:p>
            <w:pPr>
              <w:pStyle w:val="TableParagraph"/>
              <w:spacing w:line="230" w:lineRule="atLeast"/>
              <w:ind w:left="98" w:right="186" w:firstLine="51"/>
              <w:jc w:val="center"/>
              <w:rPr>
                <w:sz w:val="20"/>
              </w:rPr>
            </w:pPr>
            <w:r>
              <w:rPr>
                <w:spacing w:val="-2"/>
                <w:sz w:val="20"/>
              </w:rPr>
              <w:t>Normalized Cointegrating </w:t>
            </w:r>
            <w:r>
              <w:rPr>
                <w:sz w:val="20"/>
              </w:rPr>
              <w:t>Coefficients:</w:t>
            </w:r>
            <w:r>
              <w:rPr>
                <w:spacing w:val="-13"/>
                <w:sz w:val="20"/>
              </w:rPr>
              <w:t> </w:t>
            </w:r>
            <w:r>
              <w:rPr>
                <w:sz w:val="20"/>
              </w:rPr>
              <w:t>2 </w:t>
            </w:r>
            <w:r>
              <w:rPr>
                <w:spacing w:val="-2"/>
                <w:sz w:val="20"/>
              </w:rPr>
              <w:t>Cointegrating Equation(s)</w:t>
            </w:r>
          </w:p>
        </w:tc>
        <w:tc>
          <w:tcPr>
            <w:tcW w:w="1346" w:type="dxa"/>
            <w:tcBorders>
              <w:top w:val="double" w:sz="6" w:space="0" w:color="000000"/>
              <w:bottom w:val="double" w:sz="6" w:space="0" w:color="000000"/>
            </w:tcBorders>
          </w:tcPr>
          <w:p>
            <w:pPr>
              <w:pStyle w:val="TableParagraph"/>
              <w:rPr>
                <w:sz w:val="18"/>
              </w:rPr>
            </w:pPr>
          </w:p>
        </w:tc>
        <w:tc>
          <w:tcPr>
            <w:tcW w:w="1392" w:type="dxa"/>
            <w:tcBorders>
              <w:top w:val="double" w:sz="6" w:space="0" w:color="000000"/>
              <w:bottom w:val="double" w:sz="6" w:space="0" w:color="000000"/>
            </w:tcBorders>
          </w:tcPr>
          <w:p>
            <w:pPr>
              <w:pStyle w:val="TableParagraph"/>
              <w:rPr>
                <w:sz w:val="18"/>
              </w:rPr>
            </w:pPr>
          </w:p>
        </w:tc>
        <w:tc>
          <w:tcPr>
            <w:tcW w:w="1354" w:type="dxa"/>
            <w:tcBorders>
              <w:top w:val="double" w:sz="6" w:space="0" w:color="000000"/>
              <w:bottom w:val="double" w:sz="6" w:space="0" w:color="000000"/>
            </w:tcBorders>
          </w:tcPr>
          <w:p>
            <w:pPr>
              <w:pStyle w:val="TableParagraph"/>
              <w:rPr>
                <w:sz w:val="18"/>
              </w:rPr>
            </w:pPr>
          </w:p>
        </w:tc>
        <w:tc>
          <w:tcPr>
            <w:tcW w:w="1469" w:type="dxa"/>
            <w:tcBorders>
              <w:top w:val="double" w:sz="6" w:space="0" w:color="000000"/>
              <w:bottom w:val="double" w:sz="6" w:space="0" w:color="000000"/>
            </w:tcBorders>
          </w:tcPr>
          <w:p>
            <w:pPr>
              <w:pStyle w:val="TableParagraph"/>
              <w:rPr>
                <w:sz w:val="18"/>
              </w:rPr>
            </w:pPr>
          </w:p>
        </w:tc>
        <w:tc>
          <w:tcPr>
            <w:tcW w:w="1410" w:type="dxa"/>
            <w:tcBorders>
              <w:top w:val="double" w:sz="6" w:space="0" w:color="000000"/>
              <w:bottom w:val="double" w:sz="6" w:space="0" w:color="000000"/>
            </w:tcBorders>
          </w:tcPr>
          <w:p>
            <w:pPr>
              <w:pStyle w:val="TableParagraph"/>
              <w:rPr>
                <w:sz w:val="18"/>
              </w:rPr>
            </w:pPr>
          </w:p>
        </w:tc>
        <w:tc>
          <w:tcPr>
            <w:tcW w:w="1407" w:type="dxa"/>
            <w:tcBorders>
              <w:top w:val="double" w:sz="6" w:space="0" w:color="000000"/>
              <w:bottom w:val="double" w:sz="6" w:space="0" w:color="000000"/>
            </w:tcBorders>
          </w:tcPr>
          <w:p>
            <w:pPr>
              <w:pStyle w:val="TableParagraph"/>
              <w:rPr>
                <w:sz w:val="18"/>
              </w:rPr>
            </w:pPr>
          </w:p>
        </w:tc>
      </w:tr>
      <w:tr>
        <w:trPr>
          <w:trHeight w:val="275" w:hRule="atLeast"/>
        </w:trPr>
        <w:tc>
          <w:tcPr>
            <w:tcW w:w="1465" w:type="dxa"/>
            <w:tcBorders>
              <w:top w:val="double" w:sz="6" w:space="0" w:color="000000"/>
            </w:tcBorders>
          </w:tcPr>
          <w:p>
            <w:pPr>
              <w:pStyle w:val="TableParagraph"/>
              <w:spacing w:line="215" w:lineRule="exact" w:before="40"/>
              <w:ind w:right="88"/>
              <w:jc w:val="center"/>
              <w:rPr>
                <w:sz w:val="20"/>
              </w:rPr>
            </w:pPr>
            <w:r>
              <w:rPr>
                <w:spacing w:val="-5"/>
                <w:sz w:val="20"/>
              </w:rPr>
              <w:t>GDP</w:t>
            </w:r>
          </w:p>
        </w:tc>
        <w:tc>
          <w:tcPr>
            <w:tcW w:w="1346" w:type="dxa"/>
            <w:tcBorders>
              <w:top w:val="double" w:sz="6" w:space="0" w:color="000000"/>
            </w:tcBorders>
          </w:tcPr>
          <w:p>
            <w:pPr>
              <w:pStyle w:val="TableParagraph"/>
              <w:spacing w:line="215" w:lineRule="exact" w:before="40"/>
              <w:ind w:right="270"/>
              <w:jc w:val="right"/>
              <w:rPr>
                <w:sz w:val="20"/>
              </w:rPr>
            </w:pPr>
            <w:r>
              <w:rPr>
                <w:spacing w:val="-2"/>
                <w:sz w:val="20"/>
              </w:rPr>
              <w:t>EXTDEBT</w:t>
            </w:r>
          </w:p>
        </w:tc>
        <w:tc>
          <w:tcPr>
            <w:tcW w:w="1392" w:type="dxa"/>
            <w:tcBorders>
              <w:top w:val="double" w:sz="6" w:space="0" w:color="000000"/>
            </w:tcBorders>
          </w:tcPr>
          <w:p>
            <w:pPr>
              <w:pStyle w:val="TableParagraph"/>
              <w:spacing w:line="215" w:lineRule="exact" w:before="40"/>
              <w:ind w:left="73" w:right="99"/>
              <w:jc w:val="center"/>
              <w:rPr>
                <w:sz w:val="20"/>
              </w:rPr>
            </w:pPr>
            <w:r>
              <w:rPr>
                <w:spacing w:val="-5"/>
                <w:sz w:val="20"/>
              </w:rPr>
              <w:t>DFI</w:t>
            </w:r>
          </w:p>
        </w:tc>
        <w:tc>
          <w:tcPr>
            <w:tcW w:w="1354" w:type="dxa"/>
            <w:tcBorders>
              <w:top w:val="double" w:sz="6" w:space="0" w:color="000000"/>
            </w:tcBorders>
          </w:tcPr>
          <w:p>
            <w:pPr>
              <w:pStyle w:val="TableParagraph"/>
              <w:spacing w:line="215" w:lineRule="exact" w:before="40"/>
              <w:ind w:left="149" w:right="100"/>
              <w:jc w:val="center"/>
              <w:rPr>
                <w:sz w:val="20"/>
              </w:rPr>
            </w:pPr>
            <w:r>
              <w:rPr>
                <w:spacing w:val="-5"/>
                <w:sz w:val="20"/>
              </w:rPr>
              <w:t>CAB</w:t>
            </w:r>
          </w:p>
        </w:tc>
        <w:tc>
          <w:tcPr>
            <w:tcW w:w="1469" w:type="dxa"/>
            <w:tcBorders>
              <w:top w:val="double" w:sz="6" w:space="0" w:color="000000"/>
            </w:tcBorders>
          </w:tcPr>
          <w:p>
            <w:pPr>
              <w:pStyle w:val="TableParagraph"/>
              <w:spacing w:line="215" w:lineRule="exact" w:before="40"/>
              <w:ind w:left="48"/>
              <w:jc w:val="center"/>
              <w:rPr>
                <w:sz w:val="20"/>
              </w:rPr>
            </w:pPr>
            <w:r>
              <w:rPr>
                <w:spacing w:val="-5"/>
                <w:sz w:val="20"/>
              </w:rPr>
              <w:t>RES</w:t>
            </w:r>
          </w:p>
        </w:tc>
        <w:tc>
          <w:tcPr>
            <w:tcW w:w="1410" w:type="dxa"/>
            <w:tcBorders>
              <w:top w:val="double" w:sz="6" w:space="0" w:color="000000"/>
            </w:tcBorders>
          </w:tcPr>
          <w:p>
            <w:pPr>
              <w:pStyle w:val="TableParagraph"/>
              <w:spacing w:line="215" w:lineRule="exact" w:before="40"/>
              <w:ind w:left="49" w:right="55"/>
              <w:jc w:val="center"/>
              <w:rPr>
                <w:sz w:val="20"/>
              </w:rPr>
            </w:pPr>
            <w:r>
              <w:rPr>
                <w:spacing w:val="-2"/>
                <w:sz w:val="20"/>
              </w:rPr>
              <w:t>NEXTAS</w:t>
            </w:r>
          </w:p>
        </w:tc>
        <w:tc>
          <w:tcPr>
            <w:tcW w:w="1407" w:type="dxa"/>
            <w:tcBorders>
              <w:top w:val="double" w:sz="6" w:space="0" w:color="000000"/>
            </w:tcBorders>
          </w:tcPr>
          <w:p>
            <w:pPr>
              <w:pStyle w:val="TableParagraph"/>
              <w:spacing w:line="215" w:lineRule="exact" w:before="40"/>
              <w:ind w:left="51" w:right="56"/>
              <w:jc w:val="center"/>
              <w:rPr>
                <w:sz w:val="20"/>
              </w:rPr>
            </w:pPr>
            <w:r>
              <w:rPr>
                <w:spacing w:val="-10"/>
                <w:sz w:val="20"/>
              </w:rPr>
              <w:t>C</w:t>
            </w:r>
          </w:p>
        </w:tc>
      </w:tr>
      <w:tr>
        <w:trPr>
          <w:trHeight w:val="229" w:hRule="atLeast"/>
        </w:trPr>
        <w:tc>
          <w:tcPr>
            <w:tcW w:w="1465" w:type="dxa"/>
          </w:tcPr>
          <w:p>
            <w:pPr>
              <w:pStyle w:val="TableParagraph"/>
              <w:spacing w:line="209" w:lineRule="exact"/>
              <w:ind w:left="52" w:right="88"/>
              <w:jc w:val="center"/>
              <w:rPr>
                <w:sz w:val="20"/>
              </w:rPr>
            </w:pPr>
            <w:r>
              <w:rPr>
                <w:spacing w:val="-2"/>
                <w:sz w:val="20"/>
              </w:rPr>
              <w:t>1.000000</w:t>
            </w:r>
          </w:p>
        </w:tc>
        <w:tc>
          <w:tcPr>
            <w:tcW w:w="1346" w:type="dxa"/>
          </w:tcPr>
          <w:p>
            <w:pPr>
              <w:pStyle w:val="TableParagraph"/>
              <w:spacing w:line="209" w:lineRule="exact"/>
              <w:ind w:right="324"/>
              <w:jc w:val="right"/>
              <w:rPr>
                <w:sz w:val="20"/>
              </w:rPr>
            </w:pPr>
            <w:r>
              <w:rPr>
                <w:spacing w:val="-2"/>
                <w:sz w:val="20"/>
              </w:rPr>
              <w:t>0.000000</w:t>
            </w:r>
          </w:p>
        </w:tc>
        <w:tc>
          <w:tcPr>
            <w:tcW w:w="1392" w:type="dxa"/>
          </w:tcPr>
          <w:p>
            <w:pPr>
              <w:pStyle w:val="TableParagraph"/>
              <w:spacing w:line="209" w:lineRule="exact"/>
              <w:ind w:right="300"/>
              <w:jc w:val="right"/>
              <w:rPr>
                <w:sz w:val="20"/>
              </w:rPr>
            </w:pPr>
            <w:r>
              <w:rPr>
                <w:spacing w:val="-4"/>
                <w:sz w:val="20"/>
              </w:rPr>
              <w:t>-</w:t>
            </w:r>
            <w:r>
              <w:rPr>
                <w:spacing w:val="-2"/>
                <w:sz w:val="20"/>
              </w:rPr>
              <w:t>0.589059</w:t>
            </w:r>
          </w:p>
        </w:tc>
        <w:tc>
          <w:tcPr>
            <w:tcW w:w="1354" w:type="dxa"/>
          </w:tcPr>
          <w:p>
            <w:pPr>
              <w:pStyle w:val="TableParagraph"/>
              <w:spacing w:line="209" w:lineRule="exact"/>
              <w:ind w:left="149" w:right="101"/>
              <w:jc w:val="center"/>
              <w:rPr>
                <w:sz w:val="20"/>
              </w:rPr>
            </w:pPr>
            <w:r>
              <w:rPr>
                <w:spacing w:val="-4"/>
                <w:sz w:val="20"/>
              </w:rPr>
              <w:t>-</w:t>
            </w:r>
            <w:r>
              <w:rPr>
                <w:spacing w:val="-2"/>
                <w:sz w:val="20"/>
              </w:rPr>
              <w:t>0.109578</w:t>
            </w:r>
          </w:p>
        </w:tc>
        <w:tc>
          <w:tcPr>
            <w:tcW w:w="1469" w:type="dxa"/>
          </w:tcPr>
          <w:p>
            <w:pPr>
              <w:pStyle w:val="TableParagraph"/>
              <w:spacing w:line="209" w:lineRule="exact"/>
              <w:ind w:right="300"/>
              <w:jc w:val="right"/>
              <w:rPr>
                <w:sz w:val="20"/>
              </w:rPr>
            </w:pPr>
            <w:r>
              <w:rPr>
                <w:spacing w:val="-4"/>
                <w:sz w:val="20"/>
              </w:rPr>
              <w:t>-</w:t>
            </w:r>
            <w:r>
              <w:rPr>
                <w:spacing w:val="-2"/>
                <w:sz w:val="20"/>
              </w:rPr>
              <w:t>0.088439</w:t>
            </w:r>
          </w:p>
        </w:tc>
        <w:tc>
          <w:tcPr>
            <w:tcW w:w="1410" w:type="dxa"/>
          </w:tcPr>
          <w:p>
            <w:pPr>
              <w:pStyle w:val="TableParagraph"/>
              <w:spacing w:line="209" w:lineRule="exact"/>
              <w:ind w:left="49" w:right="55"/>
              <w:jc w:val="center"/>
              <w:rPr>
                <w:sz w:val="20"/>
              </w:rPr>
            </w:pPr>
            <w:r>
              <w:rPr>
                <w:spacing w:val="-4"/>
                <w:sz w:val="20"/>
              </w:rPr>
              <w:t>-</w:t>
            </w:r>
            <w:r>
              <w:rPr>
                <w:spacing w:val="-2"/>
                <w:sz w:val="20"/>
              </w:rPr>
              <w:t>0.269952</w:t>
            </w:r>
          </w:p>
        </w:tc>
        <w:tc>
          <w:tcPr>
            <w:tcW w:w="1407" w:type="dxa"/>
          </w:tcPr>
          <w:p>
            <w:pPr>
              <w:pStyle w:val="TableParagraph"/>
              <w:spacing w:line="209" w:lineRule="exact"/>
              <w:ind w:left="51" w:right="55"/>
              <w:jc w:val="center"/>
              <w:rPr>
                <w:sz w:val="20"/>
              </w:rPr>
            </w:pPr>
            <w:r>
              <w:rPr>
                <w:spacing w:val="-4"/>
                <w:sz w:val="20"/>
              </w:rPr>
              <w:t>-</w:t>
            </w:r>
            <w:r>
              <w:rPr>
                <w:spacing w:val="-2"/>
                <w:sz w:val="20"/>
              </w:rPr>
              <w:t>2.567998</w:t>
            </w:r>
          </w:p>
        </w:tc>
      </w:tr>
      <w:tr>
        <w:trPr>
          <w:trHeight w:val="229" w:hRule="atLeast"/>
        </w:trPr>
        <w:tc>
          <w:tcPr>
            <w:tcW w:w="1465" w:type="dxa"/>
          </w:tcPr>
          <w:p>
            <w:pPr>
              <w:pStyle w:val="TableParagraph"/>
              <w:rPr>
                <w:sz w:val="16"/>
              </w:rPr>
            </w:pPr>
          </w:p>
        </w:tc>
        <w:tc>
          <w:tcPr>
            <w:tcW w:w="1346" w:type="dxa"/>
          </w:tcPr>
          <w:p>
            <w:pPr>
              <w:pStyle w:val="TableParagraph"/>
              <w:rPr>
                <w:sz w:val="16"/>
              </w:rPr>
            </w:pPr>
          </w:p>
        </w:tc>
        <w:tc>
          <w:tcPr>
            <w:tcW w:w="1392" w:type="dxa"/>
          </w:tcPr>
          <w:p>
            <w:pPr>
              <w:pStyle w:val="TableParagraph"/>
              <w:spacing w:line="210" w:lineRule="exact"/>
              <w:ind w:right="290"/>
              <w:jc w:val="right"/>
              <w:rPr>
                <w:sz w:val="20"/>
              </w:rPr>
            </w:pPr>
            <w:r>
              <w:rPr>
                <w:spacing w:val="-2"/>
                <w:sz w:val="20"/>
              </w:rPr>
              <w:t>(0.10671)</w:t>
            </w:r>
          </w:p>
        </w:tc>
        <w:tc>
          <w:tcPr>
            <w:tcW w:w="1354" w:type="dxa"/>
          </w:tcPr>
          <w:p>
            <w:pPr>
              <w:pStyle w:val="TableParagraph"/>
              <w:spacing w:line="210" w:lineRule="exact"/>
              <w:ind w:left="149" w:right="48"/>
              <w:jc w:val="center"/>
              <w:rPr>
                <w:sz w:val="20"/>
              </w:rPr>
            </w:pPr>
            <w:r>
              <w:rPr>
                <w:spacing w:val="-2"/>
                <w:sz w:val="20"/>
              </w:rPr>
              <w:t>(0.18413)</w:t>
            </w:r>
          </w:p>
        </w:tc>
        <w:tc>
          <w:tcPr>
            <w:tcW w:w="1469" w:type="dxa"/>
          </w:tcPr>
          <w:p>
            <w:pPr>
              <w:pStyle w:val="TableParagraph"/>
              <w:spacing w:line="210" w:lineRule="exact"/>
              <w:ind w:right="290"/>
              <w:jc w:val="right"/>
              <w:rPr>
                <w:sz w:val="20"/>
              </w:rPr>
            </w:pPr>
            <w:r>
              <w:rPr>
                <w:spacing w:val="-2"/>
                <w:sz w:val="20"/>
              </w:rPr>
              <w:t>(0.20351)</w:t>
            </w:r>
          </w:p>
        </w:tc>
        <w:tc>
          <w:tcPr>
            <w:tcW w:w="1410" w:type="dxa"/>
          </w:tcPr>
          <w:p>
            <w:pPr>
              <w:pStyle w:val="TableParagraph"/>
              <w:spacing w:line="210" w:lineRule="exact"/>
              <w:ind w:left="51" w:right="6"/>
              <w:jc w:val="center"/>
              <w:rPr>
                <w:sz w:val="20"/>
              </w:rPr>
            </w:pPr>
            <w:r>
              <w:rPr>
                <w:spacing w:val="-2"/>
                <w:sz w:val="20"/>
              </w:rPr>
              <w:t>(0.08243)</w:t>
            </w:r>
          </w:p>
        </w:tc>
        <w:tc>
          <w:tcPr>
            <w:tcW w:w="1407" w:type="dxa"/>
          </w:tcPr>
          <w:p>
            <w:pPr>
              <w:pStyle w:val="TableParagraph"/>
              <w:rPr>
                <w:sz w:val="16"/>
              </w:rPr>
            </w:pPr>
          </w:p>
        </w:tc>
      </w:tr>
      <w:tr>
        <w:trPr>
          <w:trHeight w:val="230" w:hRule="atLeast"/>
        </w:trPr>
        <w:tc>
          <w:tcPr>
            <w:tcW w:w="1465" w:type="dxa"/>
          </w:tcPr>
          <w:p>
            <w:pPr>
              <w:pStyle w:val="TableParagraph"/>
              <w:spacing w:line="210" w:lineRule="exact"/>
              <w:ind w:left="52" w:right="88"/>
              <w:jc w:val="center"/>
              <w:rPr>
                <w:sz w:val="20"/>
              </w:rPr>
            </w:pPr>
            <w:r>
              <w:rPr>
                <w:spacing w:val="-2"/>
                <w:sz w:val="20"/>
              </w:rPr>
              <w:t>0.000000</w:t>
            </w:r>
          </w:p>
        </w:tc>
        <w:tc>
          <w:tcPr>
            <w:tcW w:w="1346" w:type="dxa"/>
          </w:tcPr>
          <w:p>
            <w:pPr>
              <w:pStyle w:val="TableParagraph"/>
              <w:spacing w:line="210" w:lineRule="exact"/>
              <w:ind w:right="324"/>
              <w:jc w:val="right"/>
              <w:rPr>
                <w:sz w:val="20"/>
              </w:rPr>
            </w:pPr>
            <w:r>
              <w:rPr>
                <w:spacing w:val="-2"/>
                <w:sz w:val="20"/>
              </w:rPr>
              <w:t>1.000000</w:t>
            </w:r>
          </w:p>
        </w:tc>
        <w:tc>
          <w:tcPr>
            <w:tcW w:w="1392" w:type="dxa"/>
          </w:tcPr>
          <w:p>
            <w:pPr>
              <w:pStyle w:val="TableParagraph"/>
              <w:spacing w:line="210" w:lineRule="exact"/>
              <w:ind w:right="300"/>
              <w:jc w:val="right"/>
              <w:rPr>
                <w:sz w:val="20"/>
              </w:rPr>
            </w:pPr>
            <w:r>
              <w:rPr>
                <w:spacing w:val="-4"/>
                <w:sz w:val="20"/>
              </w:rPr>
              <w:t>-</w:t>
            </w:r>
            <w:r>
              <w:rPr>
                <w:spacing w:val="-2"/>
                <w:sz w:val="20"/>
              </w:rPr>
              <w:t>3.167665</w:t>
            </w:r>
          </w:p>
        </w:tc>
        <w:tc>
          <w:tcPr>
            <w:tcW w:w="1354" w:type="dxa"/>
          </w:tcPr>
          <w:p>
            <w:pPr>
              <w:pStyle w:val="TableParagraph"/>
              <w:spacing w:line="210" w:lineRule="exact"/>
              <w:ind w:left="149" w:right="48"/>
              <w:jc w:val="center"/>
              <w:rPr>
                <w:sz w:val="20"/>
              </w:rPr>
            </w:pPr>
            <w:r>
              <w:rPr>
                <w:spacing w:val="-2"/>
                <w:sz w:val="20"/>
              </w:rPr>
              <w:t>6.878430</w:t>
            </w:r>
          </w:p>
        </w:tc>
        <w:tc>
          <w:tcPr>
            <w:tcW w:w="1469" w:type="dxa"/>
          </w:tcPr>
          <w:p>
            <w:pPr>
              <w:pStyle w:val="TableParagraph"/>
              <w:spacing w:line="210" w:lineRule="exact"/>
              <w:ind w:right="300"/>
              <w:jc w:val="right"/>
              <w:rPr>
                <w:sz w:val="20"/>
              </w:rPr>
            </w:pPr>
            <w:r>
              <w:rPr>
                <w:spacing w:val="-4"/>
                <w:sz w:val="20"/>
              </w:rPr>
              <w:t>-</w:t>
            </w:r>
            <w:r>
              <w:rPr>
                <w:spacing w:val="-2"/>
                <w:sz w:val="20"/>
              </w:rPr>
              <w:t>6.773344</w:t>
            </w:r>
          </w:p>
        </w:tc>
        <w:tc>
          <w:tcPr>
            <w:tcW w:w="1410" w:type="dxa"/>
          </w:tcPr>
          <w:p>
            <w:pPr>
              <w:pStyle w:val="TableParagraph"/>
              <w:spacing w:line="210" w:lineRule="exact"/>
              <w:ind w:left="49" w:right="55"/>
              <w:jc w:val="center"/>
              <w:rPr>
                <w:sz w:val="20"/>
              </w:rPr>
            </w:pPr>
            <w:r>
              <w:rPr>
                <w:spacing w:val="-4"/>
                <w:sz w:val="20"/>
              </w:rPr>
              <w:t>-</w:t>
            </w:r>
            <w:r>
              <w:rPr>
                <w:spacing w:val="-2"/>
                <w:sz w:val="20"/>
              </w:rPr>
              <w:t>0.298907</w:t>
            </w:r>
          </w:p>
        </w:tc>
        <w:tc>
          <w:tcPr>
            <w:tcW w:w="1407" w:type="dxa"/>
          </w:tcPr>
          <w:p>
            <w:pPr>
              <w:pStyle w:val="TableParagraph"/>
              <w:spacing w:line="210" w:lineRule="exact"/>
              <w:ind w:left="51" w:right="5"/>
              <w:jc w:val="center"/>
              <w:rPr>
                <w:sz w:val="20"/>
              </w:rPr>
            </w:pPr>
            <w:r>
              <w:rPr>
                <w:spacing w:val="-2"/>
                <w:sz w:val="20"/>
              </w:rPr>
              <w:t>21.15307</w:t>
            </w:r>
          </w:p>
        </w:tc>
      </w:tr>
      <w:tr>
        <w:trPr>
          <w:trHeight w:val="345" w:hRule="atLeast"/>
        </w:trPr>
        <w:tc>
          <w:tcPr>
            <w:tcW w:w="1465" w:type="dxa"/>
          </w:tcPr>
          <w:p>
            <w:pPr>
              <w:pStyle w:val="TableParagraph"/>
              <w:rPr>
                <w:sz w:val="18"/>
              </w:rPr>
            </w:pPr>
          </w:p>
        </w:tc>
        <w:tc>
          <w:tcPr>
            <w:tcW w:w="1346" w:type="dxa"/>
          </w:tcPr>
          <w:p>
            <w:pPr>
              <w:pStyle w:val="TableParagraph"/>
              <w:rPr>
                <w:sz w:val="18"/>
              </w:rPr>
            </w:pPr>
          </w:p>
        </w:tc>
        <w:tc>
          <w:tcPr>
            <w:tcW w:w="1392" w:type="dxa"/>
          </w:tcPr>
          <w:p>
            <w:pPr>
              <w:pStyle w:val="TableParagraph"/>
              <w:spacing w:line="226" w:lineRule="exact"/>
              <w:ind w:right="290"/>
              <w:jc w:val="right"/>
              <w:rPr>
                <w:sz w:val="20"/>
              </w:rPr>
            </w:pPr>
            <w:r>
              <w:rPr>
                <w:spacing w:val="-2"/>
                <w:sz w:val="20"/>
              </w:rPr>
              <w:t>(2.12909)</w:t>
            </w:r>
          </w:p>
        </w:tc>
        <w:tc>
          <w:tcPr>
            <w:tcW w:w="1354" w:type="dxa"/>
          </w:tcPr>
          <w:p>
            <w:pPr>
              <w:pStyle w:val="TableParagraph"/>
              <w:spacing w:line="226" w:lineRule="exact"/>
              <w:ind w:left="149" w:right="48"/>
              <w:jc w:val="center"/>
              <w:rPr>
                <w:sz w:val="20"/>
              </w:rPr>
            </w:pPr>
            <w:r>
              <w:rPr>
                <w:spacing w:val="-2"/>
                <w:sz w:val="20"/>
              </w:rPr>
              <w:t>(3.67392)</w:t>
            </w:r>
          </w:p>
        </w:tc>
        <w:tc>
          <w:tcPr>
            <w:tcW w:w="1469" w:type="dxa"/>
          </w:tcPr>
          <w:p>
            <w:pPr>
              <w:pStyle w:val="TableParagraph"/>
              <w:spacing w:line="226" w:lineRule="exact"/>
              <w:ind w:right="290"/>
              <w:jc w:val="right"/>
              <w:rPr>
                <w:sz w:val="20"/>
              </w:rPr>
            </w:pPr>
            <w:r>
              <w:rPr>
                <w:spacing w:val="-2"/>
                <w:sz w:val="20"/>
              </w:rPr>
              <w:t>(4.06058)</w:t>
            </w:r>
          </w:p>
        </w:tc>
        <w:tc>
          <w:tcPr>
            <w:tcW w:w="1410" w:type="dxa"/>
          </w:tcPr>
          <w:p>
            <w:pPr>
              <w:pStyle w:val="TableParagraph"/>
              <w:spacing w:line="226" w:lineRule="exact"/>
              <w:ind w:left="51" w:right="6"/>
              <w:jc w:val="center"/>
              <w:rPr>
                <w:sz w:val="20"/>
              </w:rPr>
            </w:pPr>
            <w:r>
              <w:rPr>
                <w:spacing w:val="-2"/>
                <w:sz w:val="20"/>
              </w:rPr>
              <w:t>(1.64463)</w:t>
            </w:r>
          </w:p>
        </w:tc>
        <w:tc>
          <w:tcPr>
            <w:tcW w:w="1407" w:type="dxa"/>
          </w:tcPr>
          <w:p>
            <w:pPr>
              <w:pStyle w:val="TableParagraph"/>
              <w:rPr>
                <w:sz w:val="18"/>
              </w:rPr>
            </w:pPr>
          </w:p>
        </w:tc>
      </w:tr>
      <w:tr>
        <w:trPr>
          <w:trHeight w:val="339" w:hRule="atLeast"/>
        </w:trPr>
        <w:tc>
          <w:tcPr>
            <w:tcW w:w="1465" w:type="dxa"/>
            <w:tcBorders>
              <w:bottom w:val="double" w:sz="6" w:space="0" w:color="000000"/>
            </w:tcBorders>
          </w:tcPr>
          <w:p>
            <w:pPr>
              <w:pStyle w:val="TableParagraph"/>
              <w:spacing w:line="209" w:lineRule="exact" w:before="111"/>
              <w:ind w:left="51" w:right="88"/>
              <w:jc w:val="center"/>
              <w:rPr>
                <w:sz w:val="20"/>
              </w:rPr>
            </w:pPr>
            <w:r>
              <w:rPr>
                <w:sz w:val="20"/>
              </w:rPr>
              <w:t>Log</w:t>
            </w:r>
            <w:r>
              <w:rPr>
                <w:spacing w:val="-6"/>
                <w:sz w:val="20"/>
              </w:rPr>
              <w:t> </w:t>
            </w:r>
            <w:r>
              <w:rPr>
                <w:spacing w:val="-2"/>
                <w:sz w:val="20"/>
              </w:rPr>
              <w:t>likelihood</w:t>
            </w:r>
          </w:p>
        </w:tc>
        <w:tc>
          <w:tcPr>
            <w:tcW w:w="1346" w:type="dxa"/>
            <w:tcBorders>
              <w:bottom w:val="double" w:sz="6" w:space="0" w:color="000000"/>
            </w:tcBorders>
          </w:tcPr>
          <w:p>
            <w:pPr>
              <w:pStyle w:val="TableParagraph"/>
              <w:spacing w:line="209" w:lineRule="exact" w:before="111"/>
              <w:ind w:right="317"/>
              <w:jc w:val="right"/>
              <w:rPr>
                <w:sz w:val="20"/>
              </w:rPr>
            </w:pPr>
            <w:r>
              <w:rPr>
                <w:spacing w:val="-4"/>
                <w:sz w:val="20"/>
              </w:rPr>
              <w:t>-</w:t>
            </w:r>
            <w:r>
              <w:rPr>
                <w:spacing w:val="-2"/>
                <w:sz w:val="20"/>
              </w:rPr>
              <w:t>240.0043</w:t>
            </w:r>
          </w:p>
        </w:tc>
        <w:tc>
          <w:tcPr>
            <w:tcW w:w="1392" w:type="dxa"/>
            <w:tcBorders>
              <w:bottom w:val="double" w:sz="6" w:space="0" w:color="000000"/>
            </w:tcBorders>
          </w:tcPr>
          <w:p>
            <w:pPr>
              <w:pStyle w:val="TableParagraph"/>
              <w:rPr>
                <w:sz w:val="18"/>
              </w:rPr>
            </w:pPr>
          </w:p>
        </w:tc>
        <w:tc>
          <w:tcPr>
            <w:tcW w:w="1354" w:type="dxa"/>
            <w:tcBorders>
              <w:bottom w:val="double" w:sz="6" w:space="0" w:color="000000"/>
            </w:tcBorders>
          </w:tcPr>
          <w:p>
            <w:pPr>
              <w:pStyle w:val="TableParagraph"/>
              <w:rPr>
                <w:sz w:val="18"/>
              </w:rPr>
            </w:pPr>
          </w:p>
        </w:tc>
        <w:tc>
          <w:tcPr>
            <w:tcW w:w="1469" w:type="dxa"/>
            <w:tcBorders>
              <w:bottom w:val="double" w:sz="6" w:space="0" w:color="000000"/>
            </w:tcBorders>
          </w:tcPr>
          <w:p>
            <w:pPr>
              <w:pStyle w:val="TableParagraph"/>
              <w:rPr>
                <w:sz w:val="18"/>
              </w:rPr>
            </w:pPr>
          </w:p>
        </w:tc>
        <w:tc>
          <w:tcPr>
            <w:tcW w:w="1410" w:type="dxa"/>
            <w:tcBorders>
              <w:bottom w:val="double" w:sz="6" w:space="0" w:color="000000"/>
            </w:tcBorders>
          </w:tcPr>
          <w:p>
            <w:pPr>
              <w:pStyle w:val="TableParagraph"/>
              <w:rPr>
                <w:sz w:val="18"/>
              </w:rPr>
            </w:pPr>
          </w:p>
        </w:tc>
        <w:tc>
          <w:tcPr>
            <w:tcW w:w="1407" w:type="dxa"/>
            <w:tcBorders>
              <w:bottom w:val="double" w:sz="6" w:space="0" w:color="000000"/>
            </w:tcBorders>
          </w:tcPr>
          <w:p>
            <w:pPr>
              <w:pStyle w:val="TableParagraph"/>
              <w:rPr>
                <w:sz w:val="18"/>
              </w:rPr>
            </w:pPr>
          </w:p>
        </w:tc>
      </w:tr>
      <w:tr>
        <w:trPr>
          <w:trHeight w:val="1418" w:hRule="atLeast"/>
        </w:trPr>
        <w:tc>
          <w:tcPr>
            <w:tcW w:w="1465" w:type="dxa"/>
            <w:tcBorders>
              <w:top w:val="double" w:sz="6" w:space="0" w:color="000000"/>
              <w:bottom w:val="double" w:sz="6" w:space="0" w:color="000000"/>
            </w:tcBorders>
          </w:tcPr>
          <w:p>
            <w:pPr>
              <w:pStyle w:val="TableParagraph"/>
              <w:spacing w:before="40"/>
              <w:rPr>
                <w:sz w:val="20"/>
              </w:rPr>
            </w:pPr>
          </w:p>
          <w:p>
            <w:pPr>
              <w:pStyle w:val="TableParagraph"/>
              <w:spacing w:before="1"/>
              <w:ind w:left="98" w:right="186" w:firstLine="144"/>
              <w:jc w:val="both"/>
              <w:rPr>
                <w:sz w:val="20"/>
              </w:rPr>
            </w:pPr>
            <w:r>
              <w:rPr>
                <w:spacing w:val="-2"/>
                <w:sz w:val="20"/>
              </w:rPr>
              <w:t>Normalized Cointegrating Coefficients:</w:t>
            </w:r>
            <w:r>
              <w:rPr>
                <w:spacing w:val="12"/>
                <w:sz w:val="20"/>
              </w:rPr>
              <w:t> </w:t>
            </w:r>
            <w:r>
              <w:rPr>
                <w:spacing w:val="-10"/>
                <w:sz w:val="20"/>
              </w:rPr>
              <w:t>3</w:t>
            </w:r>
          </w:p>
          <w:p>
            <w:pPr>
              <w:pStyle w:val="TableParagraph"/>
              <w:spacing w:line="230" w:lineRule="exact"/>
              <w:ind w:left="221" w:right="127" w:hanging="83"/>
              <w:rPr>
                <w:sz w:val="20"/>
              </w:rPr>
            </w:pPr>
            <w:r>
              <w:rPr>
                <w:spacing w:val="-2"/>
                <w:sz w:val="20"/>
              </w:rPr>
              <w:t>Cointegrating Equation(s)</w:t>
            </w:r>
          </w:p>
        </w:tc>
        <w:tc>
          <w:tcPr>
            <w:tcW w:w="1346" w:type="dxa"/>
            <w:tcBorders>
              <w:top w:val="double" w:sz="6" w:space="0" w:color="000000"/>
              <w:bottom w:val="double" w:sz="6" w:space="0" w:color="000000"/>
            </w:tcBorders>
          </w:tcPr>
          <w:p>
            <w:pPr>
              <w:pStyle w:val="TableParagraph"/>
              <w:rPr>
                <w:sz w:val="18"/>
              </w:rPr>
            </w:pPr>
          </w:p>
        </w:tc>
        <w:tc>
          <w:tcPr>
            <w:tcW w:w="1392" w:type="dxa"/>
            <w:tcBorders>
              <w:top w:val="double" w:sz="6" w:space="0" w:color="000000"/>
              <w:bottom w:val="double" w:sz="6" w:space="0" w:color="000000"/>
            </w:tcBorders>
          </w:tcPr>
          <w:p>
            <w:pPr>
              <w:pStyle w:val="TableParagraph"/>
              <w:rPr>
                <w:sz w:val="18"/>
              </w:rPr>
            </w:pPr>
          </w:p>
        </w:tc>
        <w:tc>
          <w:tcPr>
            <w:tcW w:w="1354" w:type="dxa"/>
            <w:tcBorders>
              <w:top w:val="double" w:sz="6" w:space="0" w:color="000000"/>
              <w:bottom w:val="double" w:sz="6" w:space="0" w:color="000000"/>
            </w:tcBorders>
          </w:tcPr>
          <w:p>
            <w:pPr>
              <w:pStyle w:val="TableParagraph"/>
              <w:rPr>
                <w:sz w:val="18"/>
              </w:rPr>
            </w:pPr>
          </w:p>
        </w:tc>
        <w:tc>
          <w:tcPr>
            <w:tcW w:w="1469" w:type="dxa"/>
            <w:tcBorders>
              <w:top w:val="double" w:sz="6" w:space="0" w:color="000000"/>
              <w:bottom w:val="double" w:sz="6" w:space="0" w:color="000000"/>
            </w:tcBorders>
          </w:tcPr>
          <w:p>
            <w:pPr>
              <w:pStyle w:val="TableParagraph"/>
              <w:rPr>
                <w:sz w:val="18"/>
              </w:rPr>
            </w:pPr>
          </w:p>
        </w:tc>
        <w:tc>
          <w:tcPr>
            <w:tcW w:w="1410" w:type="dxa"/>
            <w:tcBorders>
              <w:top w:val="double" w:sz="6" w:space="0" w:color="000000"/>
              <w:bottom w:val="double" w:sz="6" w:space="0" w:color="000000"/>
            </w:tcBorders>
          </w:tcPr>
          <w:p>
            <w:pPr>
              <w:pStyle w:val="TableParagraph"/>
              <w:rPr>
                <w:sz w:val="18"/>
              </w:rPr>
            </w:pPr>
          </w:p>
        </w:tc>
        <w:tc>
          <w:tcPr>
            <w:tcW w:w="1407" w:type="dxa"/>
            <w:tcBorders>
              <w:top w:val="double" w:sz="6" w:space="0" w:color="000000"/>
              <w:bottom w:val="double" w:sz="6" w:space="0" w:color="000000"/>
            </w:tcBorders>
          </w:tcPr>
          <w:p>
            <w:pPr>
              <w:pStyle w:val="TableParagraph"/>
              <w:rPr>
                <w:sz w:val="18"/>
              </w:rPr>
            </w:pPr>
          </w:p>
        </w:tc>
      </w:tr>
      <w:tr>
        <w:trPr>
          <w:trHeight w:val="273" w:hRule="atLeast"/>
        </w:trPr>
        <w:tc>
          <w:tcPr>
            <w:tcW w:w="1465" w:type="dxa"/>
            <w:tcBorders>
              <w:top w:val="double" w:sz="6" w:space="0" w:color="000000"/>
            </w:tcBorders>
          </w:tcPr>
          <w:p>
            <w:pPr>
              <w:pStyle w:val="TableParagraph"/>
              <w:spacing w:line="215" w:lineRule="exact" w:before="38"/>
              <w:ind w:right="88"/>
              <w:jc w:val="center"/>
              <w:rPr>
                <w:sz w:val="20"/>
              </w:rPr>
            </w:pPr>
            <w:r>
              <w:rPr>
                <w:spacing w:val="-5"/>
                <w:sz w:val="20"/>
              </w:rPr>
              <w:t>GDP</w:t>
            </w:r>
          </w:p>
        </w:tc>
        <w:tc>
          <w:tcPr>
            <w:tcW w:w="1346" w:type="dxa"/>
            <w:tcBorders>
              <w:top w:val="double" w:sz="6" w:space="0" w:color="000000"/>
            </w:tcBorders>
          </w:tcPr>
          <w:p>
            <w:pPr>
              <w:pStyle w:val="TableParagraph"/>
              <w:spacing w:line="215" w:lineRule="exact" w:before="38"/>
              <w:ind w:right="270"/>
              <w:jc w:val="right"/>
              <w:rPr>
                <w:sz w:val="20"/>
              </w:rPr>
            </w:pPr>
            <w:r>
              <w:rPr>
                <w:spacing w:val="-2"/>
                <w:sz w:val="20"/>
              </w:rPr>
              <w:t>EXTDEBT</w:t>
            </w:r>
          </w:p>
        </w:tc>
        <w:tc>
          <w:tcPr>
            <w:tcW w:w="1392" w:type="dxa"/>
            <w:tcBorders>
              <w:top w:val="double" w:sz="6" w:space="0" w:color="000000"/>
            </w:tcBorders>
          </w:tcPr>
          <w:p>
            <w:pPr>
              <w:pStyle w:val="TableParagraph"/>
              <w:spacing w:line="215" w:lineRule="exact" w:before="38"/>
              <w:ind w:left="73" w:right="99"/>
              <w:jc w:val="center"/>
              <w:rPr>
                <w:sz w:val="20"/>
              </w:rPr>
            </w:pPr>
            <w:r>
              <w:rPr>
                <w:spacing w:val="-5"/>
                <w:sz w:val="20"/>
              </w:rPr>
              <w:t>DFI</w:t>
            </w:r>
          </w:p>
        </w:tc>
        <w:tc>
          <w:tcPr>
            <w:tcW w:w="1354" w:type="dxa"/>
            <w:tcBorders>
              <w:top w:val="double" w:sz="6" w:space="0" w:color="000000"/>
            </w:tcBorders>
          </w:tcPr>
          <w:p>
            <w:pPr>
              <w:pStyle w:val="TableParagraph"/>
              <w:spacing w:line="215" w:lineRule="exact" w:before="38"/>
              <w:ind w:left="149" w:right="100"/>
              <w:jc w:val="center"/>
              <w:rPr>
                <w:sz w:val="20"/>
              </w:rPr>
            </w:pPr>
            <w:r>
              <w:rPr>
                <w:spacing w:val="-5"/>
                <w:sz w:val="20"/>
              </w:rPr>
              <w:t>CAB</w:t>
            </w:r>
          </w:p>
        </w:tc>
        <w:tc>
          <w:tcPr>
            <w:tcW w:w="1469" w:type="dxa"/>
            <w:tcBorders>
              <w:top w:val="double" w:sz="6" w:space="0" w:color="000000"/>
            </w:tcBorders>
          </w:tcPr>
          <w:p>
            <w:pPr>
              <w:pStyle w:val="TableParagraph"/>
              <w:spacing w:line="215" w:lineRule="exact" w:before="38"/>
              <w:ind w:left="48"/>
              <w:jc w:val="center"/>
              <w:rPr>
                <w:sz w:val="20"/>
              </w:rPr>
            </w:pPr>
            <w:r>
              <w:rPr>
                <w:spacing w:val="-5"/>
                <w:sz w:val="20"/>
              </w:rPr>
              <w:t>RES</w:t>
            </w:r>
          </w:p>
        </w:tc>
        <w:tc>
          <w:tcPr>
            <w:tcW w:w="1410" w:type="dxa"/>
            <w:tcBorders>
              <w:top w:val="double" w:sz="6" w:space="0" w:color="000000"/>
            </w:tcBorders>
          </w:tcPr>
          <w:p>
            <w:pPr>
              <w:pStyle w:val="TableParagraph"/>
              <w:spacing w:line="215" w:lineRule="exact" w:before="38"/>
              <w:ind w:left="49" w:right="55"/>
              <w:jc w:val="center"/>
              <w:rPr>
                <w:sz w:val="20"/>
              </w:rPr>
            </w:pPr>
            <w:r>
              <w:rPr>
                <w:spacing w:val="-2"/>
                <w:sz w:val="20"/>
              </w:rPr>
              <w:t>NEXTAS</w:t>
            </w:r>
          </w:p>
        </w:tc>
        <w:tc>
          <w:tcPr>
            <w:tcW w:w="1407" w:type="dxa"/>
            <w:tcBorders>
              <w:top w:val="double" w:sz="6" w:space="0" w:color="000000"/>
            </w:tcBorders>
          </w:tcPr>
          <w:p>
            <w:pPr>
              <w:pStyle w:val="TableParagraph"/>
              <w:spacing w:line="215" w:lineRule="exact" w:before="38"/>
              <w:ind w:left="51" w:right="56"/>
              <w:jc w:val="center"/>
              <w:rPr>
                <w:sz w:val="20"/>
              </w:rPr>
            </w:pPr>
            <w:r>
              <w:rPr>
                <w:spacing w:val="-10"/>
                <w:sz w:val="20"/>
              </w:rPr>
              <w:t>C</w:t>
            </w:r>
          </w:p>
        </w:tc>
      </w:tr>
      <w:tr>
        <w:trPr>
          <w:trHeight w:val="225" w:hRule="atLeast"/>
        </w:trPr>
        <w:tc>
          <w:tcPr>
            <w:tcW w:w="1465" w:type="dxa"/>
          </w:tcPr>
          <w:p>
            <w:pPr>
              <w:pStyle w:val="TableParagraph"/>
              <w:spacing w:line="205" w:lineRule="exact"/>
              <w:ind w:left="52" w:right="88"/>
              <w:jc w:val="center"/>
              <w:rPr>
                <w:sz w:val="20"/>
              </w:rPr>
            </w:pPr>
            <w:r>
              <w:rPr>
                <w:spacing w:val="-2"/>
                <w:sz w:val="20"/>
              </w:rPr>
              <w:t>1.000000</w:t>
            </w:r>
          </w:p>
        </w:tc>
        <w:tc>
          <w:tcPr>
            <w:tcW w:w="1346" w:type="dxa"/>
          </w:tcPr>
          <w:p>
            <w:pPr>
              <w:pStyle w:val="TableParagraph"/>
              <w:spacing w:line="205" w:lineRule="exact"/>
              <w:ind w:right="324"/>
              <w:jc w:val="right"/>
              <w:rPr>
                <w:sz w:val="20"/>
              </w:rPr>
            </w:pPr>
            <w:r>
              <w:rPr>
                <w:spacing w:val="-2"/>
                <w:sz w:val="20"/>
              </w:rPr>
              <w:t>0.000000</w:t>
            </w:r>
          </w:p>
        </w:tc>
        <w:tc>
          <w:tcPr>
            <w:tcW w:w="1392" w:type="dxa"/>
          </w:tcPr>
          <w:p>
            <w:pPr>
              <w:pStyle w:val="TableParagraph"/>
              <w:spacing w:line="205" w:lineRule="exact"/>
              <w:ind w:right="307"/>
              <w:jc w:val="right"/>
              <w:rPr>
                <w:sz w:val="20"/>
              </w:rPr>
            </w:pPr>
            <w:r>
              <w:rPr>
                <w:spacing w:val="-2"/>
                <w:sz w:val="20"/>
              </w:rPr>
              <w:t>0.000000</w:t>
            </w:r>
          </w:p>
        </w:tc>
        <w:tc>
          <w:tcPr>
            <w:tcW w:w="1354" w:type="dxa"/>
          </w:tcPr>
          <w:p>
            <w:pPr>
              <w:pStyle w:val="TableParagraph"/>
              <w:spacing w:line="205" w:lineRule="exact"/>
              <w:ind w:left="149" w:right="48"/>
              <w:jc w:val="center"/>
              <w:rPr>
                <w:sz w:val="20"/>
              </w:rPr>
            </w:pPr>
            <w:r>
              <w:rPr>
                <w:spacing w:val="-2"/>
                <w:sz w:val="20"/>
              </w:rPr>
              <w:t>7.403078</w:t>
            </w:r>
          </w:p>
        </w:tc>
        <w:tc>
          <w:tcPr>
            <w:tcW w:w="1469" w:type="dxa"/>
          </w:tcPr>
          <w:p>
            <w:pPr>
              <w:pStyle w:val="TableParagraph"/>
              <w:spacing w:line="205" w:lineRule="exact"/>
              <w:ind w:right="300"/>
              <w:jc w:val="right"/>
              <w:rPr>
                <w:sz w:val="20"/>
              </w:rPr>
            </w:pPr>
            <w:r>
              <w:rPr>
                <w:spacing w:val="-4"/>
                <w:sz w:val="20"/>
              </w:rPr>
              <w:t>-</w:t>
            </w:r>
            <w:r>
              <w:rPr>
                <w:spacing w:val="-2"/>
                <w:sz w:val="20"/>
              </w:rPr>
              <w:t>0.117632</w:t>
            </w:r>
          </w:p>
        </w:tc>
        <w:tc>
          <w:tcPr>
            <w:tcW w:w="1410" w:type="dxa"/>
          </w:tcPr>
          <w:p>
            <w:pPr>
              <w:pStyle w:val="TableParagraph"/>
              <w:spacing w:line="205" w:lineRule="exact"/>
              <w:ind w:left="49" w:right="55"/>
              <w:jc w:val="center"/>
              <w:rPr>
                <w:sz w:val="20"/>
              </w:rPr>
            </w:pPr>
            <w:r>
              <w:rPr>
                <w:spacing w:val="-4"/>
                <w:sz w:val="20"/>
              </w:rPr>
              <w:t>-</w:t>
            </w:r>
            <w:r>
              <w:rPr>
                <w:spacing w:val="-2"/>
                <w:sz w:val="20"/>
              </w:rPr>
              <w:t>9.336776</w:t>
            </w:r>
          </w:p>
        </w:tc>
        <w:tc>
          <w:tcPr>
            <w:tcW w:w="1407" w:type="dxa"/>
          </w:tcPr>
          <w:p>
            <w:pPr>
              <w:pStyle w:val="TableParagraph"/>
              <w:spacing w:line="205" w:lineRule="exact"/>
              <w:ind w:left="51" w:right="5"/>
              <w:jc w:val="center"/>
              <w:rPr>
                <w:sz w:val="20"/>
              </w:rPr>
            </w:pPr>
            <w:r>
              <w:rPr>
                <w:spacing w:val="-2"/>
                <w:sz w:val="20"/>
              </w:rPr>
              <w:t>2.062183</w:t>
            </w:r>
          </w:p>
        </w:tc>
      </w:tr>
    </w:tbl>
    <w:p>
      <w:pPr>
        <w:spacing w:after="0" w:line="205" w:lineRule="exact"/>
        <w:jc w:val="center"/>
        <w:rPr>
          <w:sz w:val="20"/>
        </w:rPr>
        <w:sectPr>
          <w:type w:val="continuous"/>
          <w:pgSz w:w="11910" w:h="16840"/>
          <w:pgMar w:header="0" w:footer="979" w:top="1420" w:bottom="1240" w:left="280" w:right="0"/>
        </w:sectPr>
      </w:pPr>
    </w:p>
    <w:p>
      <w:pPr>
        <w:pStyle w:val="BodyText"/>
        <w:spacing w:before="1"/>
        <w:rPr>
          <w:sz w:val="2"/>
        </w:rPr>
      </w:pPr>
    </w:p>
    <w:tbl>
      <w:tblPr>
        <w:tblW w:w="0" w:type="auto"/>
        <w:jc w:val="left"/>
        <w:tblInd w:w="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72"/>
        <w:gridCol w:w="1376"/>
        <w:gridCol w:w="1383"/>
        <w:gridCol w:w="1389"/>
        <w:gridCol w:w="1411"/>
        <w:gridCol w:w="1410"/>
        <w:gridCol w:w="1407"/>
      </w:tblGrid>
      <w:tr>
        <w:trPr>
          <w:trHeight w:val="225" w:hRule="atLeast"/>
        </w:trPr>
        <w:tc>
          <w:tcPr>
            <w:tcW w:w="1472" w:type="dxa"/>
          </w:tcPr>
          <w:p>
            <w:pPr>
              <w:pStyle w:val="TableParagraph"/>
              <w:rPr>
                <w:sz w:val="16"/>
              </w:rPr>
            </w:pPr>
          </w:p>
        </w:tc>
        <w:tc>
          <w:tcPr>
            <w:tcW w:w="1376" w:type="dxa"/>
          </w:tcPr>
          <w:p>
            <w:pPr>
              <w:pStyle w:val="TableParagraph"/>
              <w:rPr>
                <w:sz w:val="16"/>
              </w:rPr>
            </w:pPr>
          </w:p>
        </w:tc>
        <w:tc>
          <w:tcPr>
            <w:tcW w:w="1383" w:type="dxa"/>
          </w:tcPr>
          <w:p>
            <w:pPr>
              <w:pStyle w:val="TableParagraph"/>
              <w:rPr>
                <w:sz w:val="16"/>
              </w:rPr>
            </w:pPr>
          </w:p>
        </w:tc>
        <w:tc>
          <w:tcPr>
            <w:tcW w:w="1389" w:type="dxa"/>
          </w:tcPr>
          <w:p>
            <w:pPr>
              <w:pStyle w:val="TableParagraph"/>
              <w:spacing w:line="206" w:lineRule="exact"/>
              <w:ind w:left="49" w:right="25"/>
              <w:jc w:val="center"/>
              <w:rPr>
                <w:sz w:val="20"/>
              </w:rPr>
            </w:pPr>
            <w:r>
              <w:rPr>
                <w:spacing w:val="-2"/>
                <w:sz w:val="20"/>
              </w:rPr>
              <w:t>(49.1623)</w:t>
            </w:r>
          </w:p>
        </w:tc>
        <w:tc>
          <w:tcPr>
            <w:tcW w:w="1411" w:type="dxa"/>
          </w:tcPr>
          <w:p>
            <w:pPr>
              <w:pStyle w:val="TableParagraph"/>
              <w:spacing w:line="206" w:lineRule="exact"/>
              <w:ind w:left="54" w:right="6"/>
              <w:jc w:val="center"/>
              <w:rPr>
                <w:sz w:val="20"/>
              </w:rPr>
            </w:pPr>
            <w:r>
              <w:rPr>
                <w:spacing w:val="-2"/>
                <w:sz w:val="20"/>
              </w:rPr>
              <w:t>(6.84973)</w:t>
            </w:r>
          </w:p>
        </w:tc>
        <w:tc>
          <w:tcPr>
            <w:tcW w:w="1410" w:type="dxa"/>
          </w:tcPr>
          <w:p>
            <w:pPr>
              <w:pStyle w:val="TableParagraph"/>
              <w:spacing w:line="206" w:lineRule="exact"/>
              <w:ind w:left="55" w:right="6"/>
              <w:jc w:val="center"/>
              <w:rPr>
                <w:sz w:val="20"/>
              </w:rPr>
            </w:pPr>
            <w:r>
              <w:rPr>
                <w:spacing w:val="-2"/>
                <w:sz w:val="20"/>
              </w:rPr>
              <w:t>(53.8375)</w:t>
            </w:r>
          </w:p>
        </w:tc>
        <w:tc>
          <w:tcPr>
            <w:tcW w:w="1407" w:type="dxa"/>
          </w:tcPr>
          <w:p>
            <w:pPr>
              <w:pStyle w:val="TableParagraph"/>
              <w:rPr>
                <w:sz w:val="16"/>
              </w:rPr>
            </w:pPr>
          </w:p>
        </w:tc>
      </w:tr>
      <w:tr>
        <w:trPr>
          <w:trHeight w:val="229" w:hRule="atLeast"/>
        </w:trPr>
        <w:tc>
          <w:tcPr>
            <w:tcW w:w="1472" w:type="dxa"/>
          </w:tcPr>
          <w:p>
            <w:pPr>
              <w:pStyle w:val="TableParagraph"/>
              <w:spacing w:line="209" w:lineRule="exact"/>
              <w:ind w:left="346"/>
              <w:rPr>
                <w:sz w:val="20"/>
              </w:rPr>
            </w:pPr>
            <w:r>
              <w:rPr>
                <w:spacing w:val="-2"/>
                <w:sz w:val="20"/>
              </w:rPr>
              <w:t>0.000000</w:t>
            </w:r>
          </w:p>
        </w:tc>
        <w:tc>
          <w:tcPr>
            <w:tcW w:w="1376" w:type="dxa"/>
          </w:tcPr>
          <w:p>
            <w:pPr>
              <w:pStyle w:val="TableParagraph"/>
              <w:spacing w:line="209" w:lineRule="exact"/>
              <w:ind w:left="270"/>
              <w:rPr>
                <w:sz w:val="20"/>
              </w:rPr>
            </w:pPr>
            <w:r>
              <w:rPr>
                <w:spacing w:val="-2"/>
                <w:sz w:val="20"/>
              </w:rPr>
              <w:t>1.000000</w:t>
            </w:r>
          </w:p>
        </w:tc>
        <w:tc>
          <w:tcPr>
            <w:tcW w:w="1383" w:type="dxa"/>
          </w:tcPr>
          <w:p>
            <w:pPr>
              <w:pStyle w:val="TableParagraph"/>
              <w:spacing w:line="209" w:lineRule="exact"/>
              <w:ind w:right="23"/>
              <w:jc w:val="center"/>
              <w:rPr>
                <w:sz w:val="20"/>
              </w:rPr>
            </w:pPr>
            <w:r>
              <w:rPr>
                <w:spacing w:val="-2"/>
                <w:sz w:val="20"/>
              </w:rPr>
              <w:t>0.000000</w:t>
            </w:r>
          </w:p>
        </w:tc>
        <w:tc>
          <w:tcPr>
            <w:tcW w:w="1389" w:type="dxa"/>
          </w:tcPr>
          <w:p>
            <w:pPr>
              <w:pStyle w:val="TableParagraph"/>
              <w:spacing w:line="209" w:lineRule="exact"/>
              <w:ind w:left="49" w:right="25"/>
              <w:jc w:val="center"/>
              <w:rPr>
                <w:sz w:val="20"/>
              </w:rPr>
            </w:pPr>
            <w:r>
              <w:rPr>
                <w:spacing w:val="-2"/>
                <w:sz w:val="20"/>
              </w:rPr>
              <w:t>47.27772</w:t>
            </w:r>
          </w:p>
        </w:tc>
        <w:tc>
          <w:tcPr>
            <w:tcW w:w="1411" w:type="dxa"/>
          </w:tcPr>
          <w:p>
            <w:pPr>
              <w:pStyle w:val="TableParagraph"/>
              <w:spacing w:line="209" w:lineRule="exact"/>
              <w:ind w:left="49" w:right="52"/>
              <w:jc w:val="center"/>
              <w:rPr>
                <w:sz w:val="20"/>
              </w:rPr>
            </w:pPr>
            <w:r>
              <w:rPr>
                <w:spacing w:val="-4"/>
                <w:sz w:val="20"/>
              </w:rPr>
              <w:t>-</w:t>
            </w:r>
            <w:r>
              <w:rPr>
                <w:spacing w:val="-2"/>
                <w:sz w:val="20"/>
              </w:rPr>
              <w:t>6.930332</w:t>
            </w:r>
          </w:p>
        </w:tc>
        <w:tc>
          <w:tcPr>
            <w:tcW w:w="1410" w:type="dxa"/>
          </w:tcPr>
          <w:p>
            <w:pPr>
              <w:pStyle w:val="TableParagraph"/>
              <w:spacing w:line="209" w:lineRule="exact"/>
              <w:ind w:left="49" w:right="50"/>
              <w:jc w:val="center"/>
              <w:rPr>
                <w:sz w:val="20"/>
              </w:rPr>
            </w:pPr>
            <w:r>
              <w:rPr>
                <w:spacing w:val="-4"/>
                <w:sz w:val="20"/>
              </w:rPr>
              <w:t>-</w:t>
            </w:r>
            <w:r>
              <w:rPr>
                <w:spacing w:val="-2"/>
                <w:sz w:val="20"/>
              </w:rPr>
              <w:t>49.05575</w:t>
            </w:r>
          </w:p>
        </w:tc>
        <w:tc>
          <w:tcPr>
            <w:tcW w:w="1407" w:type="dxa"/>
          </w:tcPr>
          <w:p>
            <w:pPr>
              <w:pStyle w:val="TableParagraph"/>
              <w:spacing w:line="209" w:lineRule="exact"/>
              <w:ind w:left="56" w:right="5"/>
              <w:jc w:val="center"/>
              <w:rPr>
                <w:sz w:val="20"/>
              </w:rPr>
            </w:pPr>
            <w:r>
              <w:rPr>
                <w:spacing w:val="-2"/>
                <w:sz w:val="20"/>
              </w:rPr>
              <w:t>46.05186</w:t>
            </w:r>
          </w:p>
        </w:tc>
      </w:tr>
      <w:tr>
        <w:trPr>
          <w:trHeight w:val="229" w:hRule="atLeast"/>
        </w:trPr>
        <w:tc>
          <w:tcPr>
            <w:tcW w:w="1472" w:type="dxa"/>
          </w:tcPr>
          <w:p>
            <w:pPr>
              <w:pStyle w:val="TableParagraph"/>
              <w:rPr>
                <w:sz w:val="16"/>
              </w:rPr>
            </w:pPr>
          </w:p>
        </w:tc>
        <w:tc>
          <w:tcPr>
            <w:tcW w:w="1376" w:type="dxa"/>
          </w:tcPr>
          <w:p>
            <w:pPr>
              <w:pStyle w:val="TableParagraph"/>
              <w:rPr>
                <w:sz w:val="16"/>
              </w:rPr>
            </w:pPr>
          </w:p>
        </w:tc>
        <w:tc>
          <w:tcPr>
            <w:tcW w:w="1383" w:type="dxa"/>
          </w:tcPr>
          <w:p>
            <w:pPr>
              <w:pStyle w:val="TableParagraph"/>
              <w:rPr>
                <w:sz w:val="16"/>
              </w:rPr>
            </w:pPr>
          </w:p>
        </w:tc>
        <w:tc>
          <w:tcPr>
            <w:tcW w:w="1389" w:type="dxa"/>
          </w:tcPr>
          <w:p>
            <w:pPr>
              <w:pStyle w:val="TableParagraph"/>
              <w:spacing w:line="209" w:lineRule="exact"/>
              <w:ind w:left="49" w:right="25"/>
              <w:jc w:val="center"/>
              <w:rPr>
                <w:sz w:val="20"/>
              </w:rPr>
            </w:pPr>
            <w:r>
              <w:rPr>
                <w:spacing w:val="-2"/>
                <w:sz w:val="20"/>
              </w:rPr>
              <w:t>(276.657)</w:t>
            </w:r>
          </w:p>
        </w:tc>
        <w:tc>
          <w:tcPr>
            <w:tcW w:w="1411" w:type="dxa"/>
          </w:tcPr>
          <w:p>
            <w:pPr>
              <w:pStyle w:val="TableParagraph"/>
              <w:spacing w:line="209" w:lineRule="exact"/>
              <w:ind w:left="54" w:right="6"/>
              <w:jc w:val="center"/>
              <w:rPr>
                <w:sz w:val="20"/>
              </w:rPr>
            </w:pPr>
            <w:r>
              <w:rPr>
                <w:spacing w:val="-2"/>
                <w:sz w:val="20"/>
              </w:rPr>
              <w:t>(38.5464)</w:t>
            </w:r>
          </w:p>
        </w:tc>
        <w:tc>
          <w:tcPr>
            <w:tcW w:w="1410" w:type="dxa"/>
          </w:tcPr>
          <w:p>
            <w:pPr>
              <w:pStyle w:val="TableParagraph"/>
              <w:spacing w:line="209" w:lineRule="exact"/>
              <w:ind w:left="55" w:right="6"/>
              <w:jc w:val="center"/>
              <w:rPr>
                <w:sz w:val="20"/>
              </w:rPr>
            </w:pPr>
            <w:r>
              <w:rPr>
                <w:spacing w:val="-2"/>
                <w:sz w:val="20"/>
              </w:rPr>
              <w:t>(302.967)</w:t>
            </w:r>
          </w:p>
        </w:tc>
        <w:tc>
          <w:tcPr>
            <w:tcW w:w="1407" w:type="dxa"/>
          </w:tcPr>
          <w:p>
            <w:pPr>
              <w:pStyle w:val="TableParagraph"/>
              <w:rPr>
                <w:sz w:val="16"/>
              </w:rPr>
            </w:pPr>
          </w:p>
        </w:tc>
      </w:tr>
      <w:tr>
        <w:trPr>
          <w:trHeight w:val="230" w:hRule="atLeast"/>
        </w:trPr>
        <w:tc>
          <w:tcPr>
            <w:tcW w:w="1472" w:type="dxa"/>
          </w:tcPr>
          <w:p>
            <w:pPr>
              <w:pStyle w:val="TableParagraph"/>
              <w:spacing w:line="210" w:lineRule="exact"/>
              <w:ind w:left="346"/>
              <w:rPr>
                <w:sz w:val="20"/>
              </w:rPr>
            </w:pPr>
            <w:r>
              <w:rPr>
                <w:spacing w:val="-2"/>
                <w:sz w:val="20"/>
              </w:rPr>
              <w:t>0.000000</w:t>
            </w:r>
          </w:p>
        </w:tc>
        <w:tc>
          <w:tcPr>
            <w:tcW w:w="1376" w:type="dxa"/>
          </w:tcPr>
          <w:p>
            <w:pPr>
              <w:pStyle w:val="TableParagraph"/>
              <w:spacing w:line="210" w:lineRule="exact"/>
              <w:ind w:left="270"/>
              <w:rPr>
                <w:sz w:val="20"/>
              </w:rPr>
            </w:pPr>
            <w:r>
              <w:rPr>
                <w:spacing w:val="-2"/>
                <w:sz w:val="20"/>
              </w:rPr>
              <w:t>0.000000</w:t>
            </w:r>
          </w:p>
        </w:tc>
        <w:tc>
          <w:tcPr>
            <w:tcW w:w="1383" w:type="dxa"/>
          </w:tcPr>
          <w:p>
            <w:pPr>
              <w:pStyle w:val="TableParagraph"/>
              <w:spacing w:line="210" w:lineRule="exact"/>
              <w:ind w:right="23"/>
              <w:jc w:val="center"/>
              <w:rPr>
                <w:sz w:val="20"/>
              </w:rPr>
            </w:pPr>
            <w:r>
              <w:rPr>
                <w:spacing w:val="-2"/>
                <w:sz w:val="20"/>
              </w:rPr>
              <w:t>1.000000</w:t>
            </w:r>
          </w:p>
        </w:tc>
        <w:tc>
          <w:tcPr>
            <w:tcW w:w="1389" w:type="dxa"/>
          </w:tcPr>
          <w:p>
            <w:pPr>
              <w:pStyle w:val="TableParagraph"/>
              <w:spacing w:line="210" w:lineRule="exact"/>
              <w:ind w:left="49" w:right="25"/>
              <w:jc w:val="center"/>
              <w:rPr>
                <w:sz w:val="20"/>
              </w:rPr>
            </w:pPr>
            <w:r>
              <w:rPr>
                <w:spacing w:val="-2"/>
                <w:sz w:val="20"/>
              </w:rPr>
              <w:t>12.75365</w:t>
            </w:r>
          </w:p>
        </w:tc>
        <w:tc>
          <w:tcPr>
            <w:tcW w:w="1411" w:type="dxa"/>
          </w:tcPr>
          <w:p>
            <w:pPr>
              <w:pStyle w:val="TableParagraph"/>
              <w:spacing w:line="210" w:lineRule="exact"/>
              <w:ind w:left="49" w:right="52"/>
              <w:jc w:val="center"/>
              <w:rPr>
                <w:sz w:val="20"/>
              </w:rPr>
            </w:pPr>
            <w:r>
              <w:rPr>
                <w:spacing w:val="-4"/>
                <w:sz w:val="20"/>
              </w:rPr>
              <w:t>-</w:t>
            </w:r>
            <w:r>
              <w:rPr>
                <w:spacing w:val="-2"/>
                <w:sz w:val="20"/>
              </w:rPr>
              <w:t>0.049560</w:t>
            </w:r>
          </w:p>
        </w:tc>
        <w:tc>
          <w:tcPr>
            <w:tcW w:w="1410" w:type="dxa"/>
          </w:tcPr>
          <w:p>
            <w:pPr>
              <w:pStyle w:val="TableParagraph"/>
              <w:spacing w:line="210" w:lineRule="exact"/>
              <w:ind w:left="49" w:right="50"/>
              <w:jc w:val="center"/>
              <w:rPr>
                <w:sz w:val="20"/>
              </w:rPr>
            </w:pPr>
            <w:r>
              <w:rPr>
                <w:spacing w:val="-4"/>
                <w:sz w:val="20"/>
              </w:rPr>
              <w:t>-</w:t>
            </w:r>
            <w:r>
              <w:rPr>
                <w:spacing w:val="-2"/>
                <w:sz w:val="20"/>
              </w:rPr>
              <w:t>15.39204</w:t>
            </w:r>
          </w:p>
        </w:tc>
        <w:tc>
          <w:tcPr>
            <w:tcW w:w="1407" w:type="dxa"/>
          </w:tcPr>
          <w:p>
            <w:pPr>
              <w:pStyle w:val="TableParagraph"/>
              <w:spacing w:line="210" w:lineRule="exact"/>
              <w:ind w:left="56" w:right="5"/>
              <w:jc w:val="center"/>
              <w:rPr>
                <w:sz w:val="20"/>
              </w:rPr>
            </w:pPr>
            <w:r>
              <w:rPr>
                <w:spacing w:val="-2"/>
                <w:sz w:val="20"/>
              </w:rPr>
              <w:t>7.860299</w:t>
            </w:r>
          </w:p>
        </w:tc>
      </w:tr>
      <w:tr>
        <w:trPr>
          <w:trHeight w:val="345" w:hRule="atLeast"/>
        </w:trPr>
        <w:tc>
          <w:tcPr>
            <w:tcW w:w="1472" w:type="dxa"/>
          </w:tcPr>
          <w:p>
            <w:pPr>
              <w:pStyle w:val="TableParagraph"/>
              <w:rPr>
                <w:sz w:val="18"/>
              </w:rPr>
            </w:pPr>
          </w:p>
        </w:tc>
        <w:tc>
          <w:tcPr>
            <w:tcW w:w="1376" w:type="dxa"/>
          </w:tcPr>
          <w:p>
            <w:pPr>
              <w:pStyle w:val="TableParagraph"/>
              <w:rPr>
                <w:sz w:val="18"/>
              </w:rPr>
            </w:pPr>
          </w:p>
        </w:tc>
        <w:tc>
          <w:tcPr>
            <w:tcW w:w="1383" w:type="dxa"/>
          </w:tcPr>
          <w:p>
            <w:pPr>
              <w:pStyle w:val="TableParagraph"/>
              <w:rPr>
                <w:sz w:val="18"/>
              </w:rPr>
            </w:pPr>
          </w:p>
        </w:tc>
        <w:tc>
          <w:tcPr>
            <w:tcW w:w="1389" w:type="dxa"/>
          </w:tcPr>
          <w:p>
            <w:pPr>
              <w:pStyle w:val="TableParagraph"/>
              <w:spacing w:line="226" w:lineRule="exact"/>
              <w:ind w:left="49" w:right="25"/>
              <w:jc w:val="center"/>
              <w:rPr>
                <w:sz w:val="20"/>
              </w:rPr>
            </w:pPr>
            <w:r>
              <w:rPr>
                <w:spacing w:val="-2"/>
                <w:sz w:val="20"/>
              </w:rPr>
              <w:t>(82.6122)</w:t>
            </w:r>
          </w:p>
        </w:tc>
        <w:tc>
          <w:tcPr>
            <w:tcW w:w="1411" w:type="dxa"/>
          </w:tcPr>
          <w:p>
            <w:pPr>
              <w:pStyle w:val="TableParagraph"/>
              <w:spacing w:line="226" w:lineRule="exact"/>
              <w:ind w:left="54" w:right="6"/>
              <w:jc w:val="center"/>
              <w:rPr>
                <w:sz w:val="20"/>
              </w:rPr>
            </w:pPr>
            <w:r>
              <w:rPr>
                <w:spacing w:val="-2"/>
                <w:sz w:val="20"/>
              </w:rPr>
              <w:t>(11.5103)</w:t>
            </w:r>
          </w:p>
        </w:tc>
        <w:tc>
          <w:tcPr>
            <w:tcW w:w="1410" w:type="dxa"/>
          </w:tcPr>
          <w:p>
            <w:pPr>
              <w:pStyle w:val="TableParagraph"/>
              <w:spacing w:line="226" w:lineRule="exact"/>
              <w:ind w:left="55" w:right="6"/>
              <w:jc w:val="center"/>
              <w:rPr>
                <w:sz w:val="20"/>
              </w:rPr>
            </w:pPr>
            <w:r>
              <w:rPr>
                <w:spacing w:val="-2"/>
                <w:sz w:val="20"/>
              </w:rPr>
              <w:t>(90.4684)</w:t>
            </w:r>
          </w:p>
        </w:tc>
        <w:tc>
          <w:tcPr>
            <w:tcW w:w="1407" w:type="dxa"/>
          </w:tcPr>
          <w:p>
            <w:pPr>
              <w:pStyle w:val="TableParagraph"/>
              <w:rPr>
                <w:sz w:val="18"/>
              </w:rPr>
            </w:pPr>
          </w:p>
        </w:tc>
      </w:tr>
      <w:tr>
        <w:trPr>
          <w:trHeight w:val="502" w:hRule="atLeast"/>
        </w:trPr>
        <w:tc>
          <w:tcPr>
            <w:tcW w:w="1472" w:type="dxa"/>
          </w:tcPr>
          <w:p>
            <w:pPr>
              <w:pStyle w:val="TableParagraph"/>
              <w:tabs>
                <w:tab w:pos="1675" w:val="left" w:leader="none"/>
              </w:tabs>
              <w:spacing w:before="111"/>
              <w:ind w:right="-216"/>
              <w:jc w:val="right"/>
              <w:rPr>
                <w:sz w:val="20"/>
              </w:rPr>
            </w:pPr>
            <w:r>
              <w:rPr>
                <w:spacing w:val="68"/>
                <w:sz w:val="20"/>
                <w:u w:val="double"/>
              </w:rPr>
              <w:t> </w:t>
            </w:r>
            <w:r>
              <w:rPr>
                <w:sz w:val="20"/>
                <w:u w:val="double"/>
              </w:rPr>
              <w:t>Log</w:t>
            </w:r>
            <w:r>
              <w:rPr>
                <w:spacing w:val="-3"/>
                <w:sz w:val="20"/>
                <w:u w:val="double"/>
              </w:rPr>
              <w:t> </w:t>
            </w:r>
            <w:r>
              <w:rPr>
                <w:spacing w:val="-2"/>
                <w:sz w:val="20"/>
                <w:u w:val="double"/>
              </w:rPr>
              <w:t>likelihood</w:t>
            </w:r>
            <w:r>
              <w:rPr>
                <w:sz w:val="20"/>
                <w:u w:val="double"/>
              </w:rPr>
              <w:tab/>
            </w:r>
          </w:p>
        </w:tc>
        <w:tc>
          <w:tcPr>
            <w:tcW w:w="1376" w:type="dxa"/>
          </w:tcPr>
          <w:p>
            <w:pPr>
              <w:pStyle w:val="TableParagraph"/>
              <w:tabs>
                <w:tab w:pos="8168" w:val="left" w:leader="none"/>
              </w:tabs>
              <w:spacing w:before="111"/>
              <w:ind w:right="-7013"/>
              <w:jc w:val="right"/>
              <w:rPr>
                <w:sz w:val="20"/>
              </w:rPr>
            </w:pPr>
            <w:r>
              <w:rPr>
                <w:spacing w:val="-4"/>
                <w:sz w:val="20"/>
                <w:u w:val="double"/>
              </w:rPr>
              <w:t>-</w:t>
            </w:r>
            <w:r>
              <w:rPr>
                <w:spacing w:val="-2"/>
                <w:sz w:val="20"/>
                <w:u w:val="double"/>
              </w:rPr>
              <w:t>231.2455</w:t>
            </w:r>
            <w:r>
              <w:rPr>
                <w:sz w:val="20"/>
                <w:u w:val="double"/>
              </w:rPr>
              <w:tab/>
            </w:r>
          </w:p>
        </w:tc>
        <w:tc>
          <w:tcPr>
            <w:tcW w:w="1383" w:type="dxa"/>
          </w:tcPr>
          <w:p>
            <w:pPr>
              <w:pStyle w:val="TableParagraph"/>
              <w:rPr>
                <w:sz w:val="18"/>
              </w:rPr>
            </w:pPr>
          </w:p>
        </w:tc>
        <w:tc>
          <w:tcPr>
            <w:tcW w:w="1389" w:type="dxa"/>
          </w:tcPr>
          <w:p>
            <w:pPr>
              <w:pStyle w:val="TableParagraph"/>
              <w:rPr>
                <w:sz w:val="18"/>
              </w:rPr>
            </w:pPr>
          </w:p>
        </w:tc>
        <w:tc>
          <w:tcPr>
            <w:tcW w:w="1411" w:type="dxa"/>
          </w:tcPr>
          <w:p>
            <w:pPr>
              <w:pStyle w:val="TableParagraph"/>
              <w:rPr>
                <w:sz w:val="18"/>
              </w:rPr>
            </w:pPr>
          </w:p>
        </w:tc>
        <w:tc>
          <w:tcPr>
            <w:tcW w:w="1410" w:type="dxa"/>
          </w:tcPr>
          <w:p>
            <w:pPr>
              <w:pStyle w:val="TableParagraph"/>
              <w:rPr>
                <w:sz w:val="18"/>
              </w:rPr>
            </w:pPr>
          </w:p>
        </w:tc>
        <w:tc>
          <w:tcPr>
            <w:tcW w:w="1407" w:type="dxa"/>
          </w:tcPr>
          <w:p>
            <w:pPr>
              <w:pStyle w:val="TableParagraph"/>
              <w:rPr>
                <w:sz w:val="18"/>
              </w:rPr>
            </w:pPr>
          </w:p>
        </w:tc>
      </w:tr>
      <w:tr>
        <w:trPr>
          <w:trHeight w:val="1330" w:hRule="atLeast"/>
        </w:trPr>
        <w:tc>
          <w:tcPr>
            <w:tcW w:w="9848" w:type="dxa"/>
            <w:gridSpan w:val="7"/>
            <w:tcBorders>
              <w:bottom w:val="single" w:sz="6" w:space="0" w:color="000000"/>
            </w:tcBorders>
          </w:tcPr>
          <w:p>
            <w:pPr>
              <w:pStyle w:val="TableParagraph"/>
              <w:spacing w:before="153"/>
              <w:ind w:left="105" w:right="8561" w:firstLine="144"/>
              <w:jc w:val="both"/>
              <w:rPr>
                <w:sz w:val="20"/>
              </w:rPr>
            </w:pPr>
            <w:r>
              <w:rPr>
                <w:spacing w:val="-2"/>
                <w:sz w:val="20"/>
              </w:rPr>
              <w:t>Normalized Cointegrating </w:t>
            </w:r>
            <w:r>
              <w:rPr>
                <w:sz w:val="20"/>
              </w:rPr>
              <w:t>Coefficients:</w:t>
            </w:r>
            <w:r>
              <w:rPr>
                <w:spacing w:val="-13"/>
                <w:sz w:val="20"/>
              </w:rPr>
              <w:t> </w:t>
            </w:r>
            <w:r>
              <w:rPr>
                <w:sz w:val="20"/>
              </w:rPr>
              <w:t>4 </w:t>
            </w:r>
            <w:r>
              <w:rPr>
                <w:spacing w:val="-2"/>
                <w:sz w:val="20"/>
              </w:rPr>
              <w:t>Cointegrating</w:t>
            </w:r>
          </w:p>
          <w:p>
            <w:pPr>
              <w:pStyle w:val="TableParagraph"/>
              <w:tabs>
                <w:tab w:pos="9851" w:val="left" w:leader="none"/>
              </w:tabs>
              <w:spacing w:line="229" w:lineRule="exact"/>
              <w:ind w:left="7"/>
              <w:jc w:val="both"/>
              <w:rPr>
                <w:sz w:val="20"/>
              </w:rPr>
            </w:pPr>
            <w:r>
              <w:rPr>
                <w:w w:val="99"/>
                <w:sz w:val="20"/>
                <w:u w:val="single"/>
              </w:rPr>
              <w:t> </w:t>
            </w:r>
            <w:r>
              <w:rPr>
                <w:sz w:val="20"/>
                <w:u w:val="single"/>
              </w:rPr>
              <w:t>  </w:t>
            </w:r>
            <w:r>
              <w:rPr>
                <w:spacing w:val="21"/>
                <w:sz w:val="20"/>
                <w:u w:val="single"/>
              </w:rPr>
              <w:t> </w:t>
            </w:r>
            <w:r>
              <w:rPr>
                <w:w w:val="99"/>
                <w:sz w:val="20"/>
                <w:u w:val="single"/>
              </w:rPr>
              <w:t>E</w:t>
            </w:r>
            <w:r>
              <w:rPr>
                <w:spacing w:val="1"/>
                <w:w w:val="99"/>
                <w:sz w:val="20"/>
                <w:u w:val="single"/>
              </w:rPr>
              <w:t>q</w:t>
            </w:r>
            <w:r>
              <w:rPr>
                <w:spacing w:val="-2"/>
                <w:w w:val="99"/>
                <w:sz w:val="20"/>
                <w:u w:val="single"/>
              </w:rPr>
              <w:t>u</w:t>
            </w:r>
            <w:r>
              <w:rPr>
                <w:w w:val="99"/>
                <w:sz w:val="20"/>
                <w:u w:val="single"/>
              </w:rPr>
              <w:t>ati</w:t>
            </w:r>
            <w:r>
              <w:rPr>
                <w:spacing w:val="1"/>
                <w:w w:val="99"/>
                <w:sz w:val="20"/>
                <w:u w:val="single"/>
              </w:rPr>
              <w:t>o</w:t>
            </w:r>
            <w:r>
              <w:rPr>
                <w:spacing w:val="-2"/>
                <w:w w:val="99"/>
                <w:sz w:val="20"/>
                <w:u w:val="single"/>
              </w:rPr>
              <w:t>n</w:t>
            </w:r>
            <w:r>
              <w:rPr>
                <w:w w:val="99"/>
                <w:sz w:val="20"/>
                <w:u w:val="single"/>
              </w:rPr>
              <w:t>(</w:t>
            </w:r>
            <w:r>
              <w:rPr>
                <w:spacing w:val="-1"/>
                <w:w w:val="99"/>
                <w:sz w:val="20"/>
                <w:u w:val="single"/>
              </w:rPr>
              <w:t>s</w:t>
            </w:r>
            <w:r>
              <w:rPr>
                <w:w w:val="99"/>
                <w:sz w:val="20"/>
                <w:u w:val="single"/>
              </w:rPr>
              <w:t>)</w:t>
            </w:r>
            <w:r>
              <w:rPr>
                <w:sz w:val="20"/>
                <w:u w:val="single"/>
              </w:rPr>
              <w:tab/>
            </w:r>
          </w:p>
        </w:tc>
      </w:tr>
      <w:tr>
        <w:trPr>
          <w:trHeight w:val="275" w:hRule="atLeast"/>
        </w:trPr>
        <w:tc>
          <w:tcPr>
            <w:tcW w:w="1472" w:type="dxa"/>
            <w:tcBorders>
              <w:top w:val="single" w:sz="6" w:space="0" w:color="000000"/>
            </w:tcBorders>
          </w:tcPr>
          <w:p>
            <w:pPr>
              <w:pStyle w:val="TableParagraph"/>
              <w:spacing w:line="215" w:lineRule="exact" w:before="41"/>
              <w:ind w:right="81"/>
              <w:jc w:val="center"/>
              <w:rPr>
                <w:sz w:val="20"/>
              </w:rPr>
            </w:pPr>
            <w:r>
              <w:rPr>
                <w:spacing w:val="-5"/>
                <w:sz w:val="20"/>
              </w:rPr>
              <w:t>GDP</w:t>
            </w:r>
          </w:p>
        </w:tc>
        <w:tc>
          <w:tcPr>
            <w:tcW w:w="1376" w:type="dxa"/>
            <w:tcBorders>
              <w:top w:val="single" w:sz="6" w:space="0" w:color="000000"/>
            </w:tcBorders>
          </w:tcPr>
          <w:p>
            <w:pPr>
              <w:pStyle w:val="TableParagraph"/>
              <w:spacing w:line="215" w:lineRule="exact" w:before="41"/>
              <w:ind w:left="162"/>
              <w:rPr>
                <w:sz w:val="20"/>
              </w:rPr>
            </w:pPr>
            <w:r>
              <w:rPr>
                <w:spacing w:val="-2"/>
                <w:sz w:val="20"/>
              </w:rPr>
              <w:t>EXTDEBT</w:t>
            </w:r>
          </w:p>
        </w:tc>
        <w:tc>
          <w:tcPr>
            <w:tcW w:w="1383" w:type="dxa"/>
            <w:tcBorders>
              <w:top w:val="single" w:sz="6" w:space="0" w:color="000000"/>
            </w:tcBorders>
          </w:tcPr>
          <w:p>
            <w:pPr>
              <w:pStyle w:val="TableParagraph"/>
              <w:spacing w:line="215" w:lineRule="exact" w:before="41"/>
              <w:ind w:right="77"/>
              <w:jc w:val="center"/>
              <w:rPr>
                <w:sz w:val="20"/>
              </w:rPr>
            </w:pPr>
            <w:r>
              <w:rPr>
                <w:spacing w:val="-5"/>
                <w:sz w:val="20"/>
              </w:rPr>
              <w:t>DFI</w:t>
            </w:r>
          </w:p>
        </w:tc>
        <w:tc>
          <w:tcPr>
            <w:tcW w:w="1389" w:type="dxa"/>
            <w:tcBorders>
              <w:top w:val="single" w:sz="6" w:space="0" w:color="000000"/>
            </w:tcBorders>
          </w:tcPr>
          <w:p>
            <w:pPr>
              <w:pStyle w:val="TableParagraph"/>
              <w:spacing w:line="215" w:lineRule="exact" w:before="41"/>
              <w:ind w:left="24" w:right="49"/>
              <w:jc w:val="center"/>
              <w:rPr>
                <w:sz w:val="20"/>
              </w:rPr>
            </w:pPr>
            <w:r>
              <w:rPr>
                <w:spacing w:val="-5"/>
                <w:sz w:val="20"/>
              </w:rPr>
              <w:t>CAB</w:t>
            </w:r>
          </w:p>
        </w:tc>
        <w:tc>
          <w:tcPr>
            <w:tcW w:w="1411" w:type="dxa"/>
            <w:tcBorders>
              <w:top w:val="single" w:sz="6" w:space="0" w:color="000000"/>
            </w:tcBorders>
          </w:tcPr>
          <w:p>
            <w:pPr>
              <w:pStyle w:val="TableParagraph"/>
              <w:spacing w:line="215" w:lineRule="exact" w:before="41"/>
              <w:ind w:left="49" w:right="51"/>
              <w:jc w:val="center"/>
              <w:rPr>
                <w:sz w:val="20"/>
              </w:rPr>
            </w:pPr>
            <w:r>
              <w:rPr>
                <w:spacing w:val="-5"/>
                <w:sz w:val="20"/>
              </w:rPr>
              <w:t>RES</w:t>
            </w:r>
          </w:p>
        </w:tc>
        <w:tc>
          <w:tcPr>
            <w:tcW w:w="1410" w:type="dxa"/>
            <w:tcBorders>
              <w:top w:val="single" w:sz="6" w:space="0" w:color="000000"/>
            </w:tcBorders>
          </w:tcPr>
          <w:p>
            <w:pPr>
              <w:pStyle w:val="TableParagraph"/>
              <w:spacing w:line="215" w:lineRule="exact" w:before="41"/>
              <w:ind w:left="49" w:right="50"/>
              <w:jc w:val="center"/>
              <w:rPr>
                <w:sz w:val="20"/>
              </w:rPr>
            </w:pPr>
            <w:r>
              <w:rPr>
                <w:spacing w:val="-2"/>
                <w:sz w:val="20"/>
              </w:rPr>
              <w:t>NEXTAS</w:t>
            </w:r>
          </w:p>
        </w:tc>
        <w:tc>
          <w:tcPr>
            <w:tcW w:w="1407" w:type="dxa"/>
            <w:tcBorders>
              <w:top w:val="single" w:sz="6" w:space="0" w:color="000000"/>
            </w:tcBorders>
          </w:tcPr>
          <w:p>
            <w:pPr>
              <w:pStyle w:val="TableParagraph"/>
              <w:spacing w:line="215" w:lineRule="exact" w:before="41"/>
              <w:ind w:left="51" w:right="52"/>
              <w:jc w:val="center"/>
              <w:rPr>
                <w:sz w:val="20"/>
              </w:rPr>
            </w:pPr>
            <w:r>
              <w:rPr>
                <w:spacing w:val="-10"/>
                <w:sz w:val="20"/>
              </w:rPr>
              <w:t>C</w:t>
            </w:r>
          </w:p>
        </w:tc>
      </w:tr>
      <w:tr>
        <w:trPr>
          <w:trHeight w:val="230" w:hRule="atLeast"/>
        </w:trPr>
        <w:tc>
          <w:tcPr>
            <w:tcW w:w="1472" w:type="dxa"/>
          </w:tcPr>
          <w:p>
            <w:pPr>
              <w:pStyle w:val="TableParagraph"/>
              <w:spacing w:line="211" w:lineRule="exact"/>
              <w:ind w:left="346"/>
              <w:rPr>
                <w:sz w:val="20"/>
              </w:rPr>
            </w:pPr>
            <w:r>
              <w:rPr>
                <w:spacing w:val="-2"/>
                <w:sz w:val="20"/>
              </w:rPr>
              <w:t>1.000000</w:t>
            </w:r>
          </w:p>
        </w:tc>
        <w:tc>
          <w:tcPr>
            <w:tcW w:w="1376" w:type="dxa"/>
          </w:tcPr>
          <w:p>
            <w:pPr>
              <w:pStyle w:val="TableParagraph"/>
              <w:spacing w:line="211" w:lineRule="exact"/>
              <w:ind w:left="270"/>
              <w:rPr>
                <w:sz w:val="20"/>
              </w:rPr>
            </w:pPr>
            <w:r>
              <w:rPr>
                <w:spacing w:val="-2"/>
                <w:sz w:val="20"/>
              </w:rPr>
              <w:t>0.000000</w:t>
            </w:r>
          </w:p>
        </w:tc>
        <w:tc>
          <w:tcPr>
            <w:tcW w:w="1383" w:type="dxa"/>
          </w:tcPr>
          <w:p>
            <w:pPr>
              <w:pStyle w:val="TableParagraph"/>
              <w:spacing w:line="211" w:lineRule="exact"/>
              <w:ind w:right="23"/>
              <w:jc w:val="center"/>
              <w:rPr>
                <w:sz w:val="20"/>
              </w:rPr>
            </w:pPr>
            <w:r>
              <w:rPr>
                <w:spacing w:val="-2"/>
                <w:sz w:val="20"/>
              </w:rPr>
              <w:t>0.000000</w:t>
            </w:r>
          </w:p>
        </w:tc>
        <w:tc>
          <w:tcPr>
            <w:tcW w:w="1389" w:type="dxa"/>
          </w:tcPr>
          <w:p>
            <w:pPr>
              <w:pStyle w:val="TableParagraph"/>
              <w:spacing w:line="211" w:lineRule="exact"/>
              <w:ind w:left="49" w:right="25"/>
              <w:jc w:val="center"/>
              <w:rPr>
                <w:sz w:val="20"/>
              </w:rPr>
            </w:pPr>
            <w:r>
              <w:rPr>
                <w:spacing w:val="-2"/>
                <w:sz w:val="20"/>
              </w:rPr>
              <w:t>0.000000</w:t>
            </w:r>
          </w:p>
        </w:tc>
        <w:tc>
          <w:tcPr>
            <w:tcW w:w="1411" w:type="dxa"/>
          </w:tcPr>
          <w:p>
            <w:pPr>
              <w:pStyle w:val="TableParagraph"/>
              <w:spacing w:line="211" w:lineRule="exact"/>
              <w:ind w:left="53" w:right="6"/>
              <w:jc w:val="center"/>
              <w:rPr>
                <w:sz w:val="20"/>
              </w:rPr>
            </w:pPr>
            <w:r>
              <w:rPr>
                <w:spacing w:val="-2"/>
                <w:sz w:val="20"/>
              </w:rPr>
              <w:t>0.712865</w:t>
            </w:r>
          </w:p>
        </w:tc>
        <w:tc>
          <w:tcPr>
            <w:tcW w:w="1410" w:type="dxa"/>
          </w:tcPr>
          <w:p>
            <w:pPr>
              <w:pStyle w:val="TableParagraph"/>
              <w:spacing w:line="211" w:lineRule="exact"/>
              <w:ind w:left="49" w:right="50"/>
              <w:jc w:val="center"/>
              <w:rPr>
                <w:sz w:val="20"/>
              </w:rPr>
            </w:pPr>
            <w:r>
              <w:rPr>
                <w:spacing w:val="-4"/>
                <w:sz w:val="20"/>
              </w:rPr>
              <w:t>-</w:t>
            </w:r>
            <w:r>
              <w:rPr>
                <w:spacing w:val="-2"/>
                <w:sz w:val="20"/>
              </w:rPr>
              <w:t>1.616243</w:t>
            </w:r>
          </w:p>
        </w:tc>
        <w:tc>
          <w:tcPr>
            <w:tcW w:w="1407" w:type="dxa"/>
          </w:tcPr>
          <w:p>
            <w:pPr>
              <w:pStyle w:val="TableParagraph"/>
              <w:spacing w:line="211" w:lineRule="exact"/>
              <w:ind w:left="51" w:right="52"/>
              <w:jc w:val="center"/>
              <w:rPr>
                <w:sz w:val="20"/>
              </w:rPr>
            </w:pPr>
            <w:r>
              <w:rPr>
                <w:spacing w:val="-4"/>
                <w:sz w:val="20"/>
              </w:rPr>
              <w:t>-</w:t>
            </w:r>
            <w:r>
              <w:rPr>
                <w:spacing w:val="-2"/>
                <w:sz w:val="20"/>
              </w:rPr>
              <w:t>4.579740</w:t>
            </w:r>
          </w:p>
        </w:tc>
      </w:tr>
      <w:tr>
        <w:trPr>
          <w:trHeight w:val="230" w:hRule="atLeast"/>
        </w:trPr>
        <w:tc>
          <w:tcPr>
            <w:tcW w:w="1472" w:type="dxa"/>
          </w:tcPr>
          <w:p>
            <w:pPr>
              <w:pStyle w:val="TableParagraph"/>
              <w:rPr>
                <w:sz w:val="16"/>
              </w:rPr>
            </w:pPr>
          </w:p>
        </w:tc>
        <w:tc>
          <w:tcPr>
            <w:tcW w:w="1376" w:type="dxa"/>
          </w:tcPr>
          <w:p>
            <w:pPr>
              <w:pStyle w:val="TableParagraph"/>
              <w:rPr>
                <w:sz w:val="16"/>
              </w:rPr>
            </w:pPr>
          </w:p>
        </w:tc>
        <w:tc>
          <w:tcPr>
            <w:tcW w:w="1383" w:type="dxa"/>
          </w:tcPr>
          <w:p>
            <w:pPr>
              <w:pStyle w:val="TableParagraph"/>
              <w:rPr>
                <w:sz w:val="16"/>
              </w:rPr>
            </w:pPr>
          </w:p>
        </w:tc>
        <w:tc>
          <w:tcPr>
            <w:tcW w:w="1389" w:type="dxa"/>
          </w:tcPr>
          <w:p>
            <w:pPr>
              <w:pStyle w:val="TableParagraph"/>
              <w:rPr>
                <w:sz w:val="16"/>
              </w:rPr>
            </w:pPr>
          </w:p>
        </w:tc>
        <w:tc>
          <w:tcPr>
            <w:tcW w:w="1411" w:type="dxa"/>
          </w:tcPr>
          <w:p>
            <w:pPr>
              <w:pStyle w:val="TableParagraph"/>
              <w:spacing w:line="211" w:lineRule="exact"/>
              <w:ind w:left="54" w:right="6"/>
              <w:jc w:val="center"/>
              <w:rPr>
                <w:sz w:val="20"/>
              </w:rPr>
            </w:pPr>
            <w:r>
              <w:rPr>
                <w:spacing w:val="-2"/>
                <w:sz w:val="20"/>
              </w:rPr>
              <w:t>(0.88149)</w:t>
            </w:r>
          </w:p>
        </w:tc>
        <w:tc>
          <w:tcPr>
            <w:tcW w:w="1410" w:type="dxa"/>
          </w:tcPr>
          <w:p>
            <w:pPr>
              <w:pStyle w:val="TableParagraph"/>
              <w:spacing w:line="211" w:lineRule="exact"/>
              <w:ind w:left="55" w:right="6"/>
              <w:jc w:val="center"/>
              <w:rPr>
                <w:sz w:val="20"/>
              </w:rPr>
            </w:pPr>
            <w:r>
              <w:rPr>
                <w:spacing w:val="-2"/>
                <w:sz w:val="20"/>
              </w:rPr>
              <w:t>(0.89849)</w:t>
            </w:r>
          </w:p>
        </w:tc>
        <w:tc>
          <w:tcPr>
            <w:tcW w:w="1407" w:type="dxa"/>
          </w:tcPr>
          <w:p>
            <w:pPr>
              <w:pStyle w:val="TableParagraph"/>
              <w:rPr>
                <w:sz w:val="16"/>
              </w:rPr>
            </w:pPr>
          </w:p>
        </w:tc>
      </w:tr>
      <w:tr>
        <w:trPr>
          <w:trHeight w:val="230" w:hRule="atLeast"/>
        </w:trPr>
        <w:tc>
          <w:tcPr>
            <w:tcW w:w="1472" w:type="dxa"/>
          </w:tcPr>
          <w:p>
            <w:pPr>
              <w:pStyle w:val="TableParagraph"/>
              <w:spacing w:line="210" w:lineRule="exact"/>
              <w:ind w:left="346"/>
              <w:rPr>
                <w:sz w:val="20"/>
              </w:rPr>
            </w:pPr>
            <w:r>
              <w:rPr>
                <w:spacing w:val="-2"/>
                <w:sz w:val="20"/>
              </w:rPr>
              <w:t>0.000000</w:t>
            </w:r>
          </w:p>
        </w:tc>
        <w:tc>
          <w:tcPr>
            <w:tcW w:w="1376" w:type="dxa"/>
          </w:tcPr>
          <w:p>
            <w:pPr>
              <w:pStyle w:val="TableParagraph"/>
              <w:spacing w:line="210" w:lineRule="exact"/>
              <w:ind w:left="270"/>
              <w:rPr>
                <w:sz w:val="20"/>
              </w:rPr>
            </w:pPr>
            <w:r>
              <w:rPr>
                <w:spacing w:val="-2"/>
                <w:sz w:val="20"/>
              </w:rPr>
              <w:t>1.000000</w:t>
            </w:r>
          </w:p>
        </w:tc>
        <w:tc>
          <w:tcPr>
            <w:tcW w:w="1383" w:type="dxa"/>
          </w:tcPr>
          <w:p>
            <w:pPr>
              <w:pStyle w:val="TableParagraph"/>
              <w:spacing w:line="210" w:lineRule="exact"/>
              <w:ind w:right="23"/>
              <w:jc w:val="center"/>
              <w:rPr>
                <w:sz w:val="20"/>
              </w:rPr>
            </w:pPr>
            <w:r>
              <w:rPr>
                <w:spacing w:val="-2"/>
                <w:sz w:val="20"/>
              </w:rPr>
              <w:t>0.000000</w:t>
            </w:r>
          </w:p>
        </w:tc>
        <w:tc>
          <w:tcPr>
            <w:tcW w:w="1389" w:type="dxa"/>
          </w:tcPr>
          <w:p>
            <w:pPr>
              <w:pStyle w:val="TableParagraph"/>
              <w:spacing w:line="210" w:lineRule="exact"/>
              <w:ind w:left="49" w:right="25"/>
              <w:jc w:val="center"/>
              <w:rPr>
                <w:sz w:val="20"/>
              </w:rPr>
            </w:pPr>
            <w:r>
              <w:rPr>
                <w:spacing w:val="-2"/>
                <w:sz w:val="20"/>
              </w:rPr>
              <w:t>0.000000</w:t>
            </w:r>
          </w:p>
        </w:tc>
        <w:tc>
          <w:tcPr>
            <w:tcW w:w="1411" w:type="dxa"/>
          </w:tcPr>
          <w:p>
            <w:pPr>
              <w:pStyle w:val="TableParagraph"/>
              <w:spacing w:line="210" w:lineRule="exact"/>
              <w:ind w:left="49" w:right="52"/>
              <w:jc w:val="center"/>
              <w:rPr>
                <w:sz w:val="20"/>
              </w:rPr>
            </w:pPr>
            <w:r>
              <w:rPr>
                <w:spacing w:val="-4"/>
                <w:sz w:val="20"/>
              </w:rPr>
              <w:t>-</w:t>
            </w:r>
            <w:r>
              <w:rPr>
                <w:spacing w:val="-2"/>
                <w:sz w:val="20"/>
              </w:rPr>
              <w:t>1.626588</w:t>
            </w:r>
          </w:p>
        </w:tc>
        <w:tc>
          <w:tcPr>
            <w:tcW w:w="1410" w:type="dxa"/>
          </w:tcPr>
          <w:p>
            <w:pPr>
              <w:pStyle w:val="TableParagraph"/>
              <w:spacing w:line="210" w:lineRule="exact"/>
              <w:ind w:left="55" w:right="6"/>
              <w:jc w:val="center"/>
              <w:rPr>
                <w:sz w:val="20"/>
              </w:rPr>
            </w:pPr>
            <w:r>
              <w:rPr>
                <w:spacing w:val="-2"/>
                <w:sz w:val="20"/>
              </w:rPr>
              <w:t>0.249322</w:t>
            </w:r>
          </w:p>
        </w:tc>
        <w:tc>
          <w:tcPr>
            <w:tcW w:w="1407" w:type="dxa"/>
          </w:tcPr>
          <w:p>
            <w:pPr>
              <w:pStyle w:val="TableParagraph"/>
              <w:spacing w:line="210" w:lineRule="exact"/>
              <w:ind w:left="56" w:right="5"/>
              <w:jc w:val="center"/>
              <w:rPr>
                <w:sz w:val="20"/>
              </w:rPr>
            </w:pPr>
            <w:r>
              <w:rPr>
                <w:spacing w:val="-2"/>
                <w:sz w:val="20"/>
              </w:rPr>
              <w:t>3.635039</w:t>
            </w:r>
          </w:p>
        </w:tc>
      </w:tr>
      <w:tr>
        <w:trPr>
          <w:trHeight w:val="230" w:hRule="atLeast"/>
        </w:trPr>
        <w:tc>
          <w:tcPr>
            <w:tcW w:w="1472" w:type="dxa"/>
          </w:tcPr>
          <w:p>
            <w:pPr>
              <w:pStyle w:val="TableParagraph"/>
              <w:rPr>
                <w:sz w:val="16"/>
              </w:rPr>
            </w:pPr>
          </w:p>
        </w:tc>
        <w:tc>
          <w:tcPr>
            <w:tcW w:w="1376" w:type="dxa"/>
          </w:tcPr>
          <w:p>
            <w:pPr>
              <w:pStyle w:val="TableParagraph"/>
              <w:rPr>
                <w:sz w:val="16"/>
              </w:rPr>
            </w:pPr>
          </w:p>
        </w:tc>
        <w:tc>
          <w:tcPr>
            <w:tcW w:w="1383" w:type="dxa"/>
          </w:tcPr>
          <w:p>
            <w:pPr>
              <w:pStyle w:val="TableParagraph"/>
              <w:rPr>
                <w:sz w:val="16"/>
              </w:rPr>
            </w:pPr>
          </w:p>
        </w:tc>
        <w:tc>
          <w:tcPr>
            <w:tcW w:w="1389" w:type="dxa"/>
          </w:tcPr>
          <w:p>
            <w:pPr>
              <w:pStyle w:val="TableParagraph"/>
              <w:rPr>
                <w:sz w:val="16"/>
              </w:rPr>
            </w:pPr>
          </w:p>
        </w:tc>
        <w:tc>
          <w:tcPr>
            <w:tcW w:w="1411" w:type="dxa"/>
          </w:tcPr>
          <w:p>
            <w:pPr>
              <w:pStyle w:val="TableParagraph"/>
              <w:spacing w:line="210" w:lineRule="exact"/>
              <w:ind w:left="54" w:right="6"/>
              <w:jc w:val="center"/>
              <w:rPr>
                <w:sz w:val="20"/>
              </w:rPr>
            </w:pPr>
            <w:r>
              <w:rPr>
                <w:spacing w:val="-2"/>
                <w:sz w:val="20"/>
              </w:rPr>
              <w:t>(2.06292)</w:t>
            </w:r>
          </w:p>
        </w:tc>
        <w:tc>
          <w:tcPr>
            <w:tcW w:w="1410" w:type="dxa"/>
          </w:tcPr>
          <w:p>
            <w:pPr>
              <w:pStyle w:val="TableParagraph"/>
              <w:spacing w:line="210" w:lineRule="exact"/>
              <w:ind w:left="55" w:right="6"/>
              <w:jc w:val="center"/>
              <w:rPr>
                <w:sz w:val="20"/>
              </w:rPr>
            </w:pPr>
            <w:r>
              <w:rPr>
                <w:spacing w:val="-2"/>
                <w:sz w:val="20"/>
              </w:rPr>
              <w:t>(2.10270)</w:t>
            </w:r>
          </w:p>
        </w:tc>
        <w:tc>
          <w:tcPr>
            <w:tcW w:w="1407" w:type="dxa"/>
          </w:tcPr>
          <w:p>
            <w:pPr>
              <w:pStyle w:val="TableParagraph"/>
              <w:rPr>
                <w:sz w:val="16"/>
              </w:rPr>
            </w:pPr>
          </w:p>
        </w:tc>
      </w:tr>
      <w:tr>
        <w:trPr>
          <w:trHeight w:val="229" w:hRule="atLeast"/>
        </w:trPr>
        <w:tc>
          <w:tcPr>
            <w:tcW w:w="1472" w:type="dxa"/>
          </w:tcPr>
          <w:p>
            <w:pPr>
              <w:pStyle w:val="TableParagraph"/>
              <w:spacing w:line="209" w:lineRule="exact"/>
              <w:ind w:left="346"/>
              <w:rPr>
                <w:sz w:val="20"/>
              </w:rPr>
            </w:pPr>
            <w:r>
              <w:rPr>
                <w:spacing w:val="-2"/>
                <w:sz w:val="20"/>
              </w:rPr>
              <w:t>0.000000</w:t>
            </w:r>
          </w:p>
        </w:tc>
        <w:tc>
          <w:tcPr>
            <w:tcW w:w="1376" w:type="dxa"/>
          </w:tcPr>
          <w:p>
            <w:pPr>
              <w:pStyle w:val="TableParagraph"/>
              <w:spacing w:line="209" w:lineRule="exact"/>
              <w:ind w:left="270"/>
              <w:rPr>
                <w:sz w:val="20"/>
              </w:rPr>
            </w:pPr>
            <w:r>
              <w:rPr>
                <w:spacing w:val="-2"/>
                <w:sz w:val="20"/>
              </w:rPr>
              <w:t>0.000000</w:t>
            </w:r>
          </w:p>
        </w:tc>
        <w:tc>
          <w:tcPr>
            <w:tcW w:w="1383" w:type="dxa"/>
          </w:tcPr>
          <w:p>
            <w:pPr>
              <w:pStyle w:val="TableParagraph"/>
              <w:spacing w:line="209" w:lineRule="exact"/>
              <w:ind w:right="23"/>
              <w:jc w:val="center"/>
              <w:rPr>
                <w:sz w:val="20"/>
              </w:rPr>
            </w:pPr>
            <w:r>
              <w:rPr>
                <w:spacing w:val="-2"/>
                <w:sz w:val="20"/>
              </w:rPr>
              <w:t>1.000000</w:t>
            </w:r>
          </w:p>
        </w:tc>
        <w:tc>
          <w:tcPr>
            <w:tcW w:w="1389" w:type="dxa"/>
          </w:tcPr>
          <w:p>
            <w:pPr>
              <w:pStyle w:val="TableParagraph"/>
              <w:spacing w:line="209" w:lineRule="exact"/>
              <w:ind w:left="49" w:right="25"/>
              <w:jc w:val="center"/>
              <w:rPr>
                <w:sz w:val="20"/>
              </w:rPr>
            </w:pPr>
            <w:r>
              <w:rPr>
                <w:spacing w:val="-2"/>
                <w:sz w:val="20"/>
              </w:rPr>
              <w:t>0.000000</w:t>
            </w:r>
          </w:p>
        </w:tc>
        <w:tc>
          <w:tcPr>
            <w:tcW w:w="1411" w:type="dxa"/>
          </w:tcPr>
          <w:p>
            <w:pPr>
              <w:pStyle w:val="TableParagraph"/>
              <w:spacing w:line="209" w:lineRule="exact"/>
              <w:ind w:left="53" w:right="6"/>
              <w:jc w:val="center"/>
              <w:rPr>
                <w:sz w:val="20"/>
              </w:rPr>
            </w:pPr>
            <w:r>
              <w:rPr>
                <w:spacing w:val="-2"/>
                <w:sz w:val="20"/>
              </w:rPr>
              <w:t>1.381180</w:t>
            </w:r>
          </w:p>
        </w:tc>
        <w:tc>
          <w:tcPr>
            <w:tcW w:w="1410" w:type="dxa"/>
          </w:tcPr>
          <w:p>
            <w:pPr>
              <w:pStyle w:val="TableParagraph"/>
              <w:spacing w:line="209" w:lineRule="exact"/>
              <w:ind w:left="49" w:right="50"/>
              <w:jc w:val="center"/>
              <w:rPr>
                <w:sz w:val="20"/>
              </w:rPr>
            </w:pPr>
            <w:r>
              <w:rPr>
                <w:spacing w:val="-4"/>
                <w:sz w:val="20"/>
              </w:rPr>
              <w:t>-</w:t>
            </w:r>
            <w:r>
              <w:rPr>
                <w:spacing w:val="-2"/>
                <w:sz w:val="20"/>
              </w:rPr>
              <w:t>2.091496</w:t>
            </w:r>
          </w:p>
        </w:tc>
        <w:tc>
          <w:tcPr>
            <w:tcW w:w="1407" w:type="dxa"/>
          </w:tcPr>
          <w:p>
            <w:pPr>
              <w:pStyle w:val="TableParagraph"/>
              <w:spacing w:line="209" w:lineRule="exact"/>
              <w:ind w:left="51" w:right="52"/>
              <w:jc w:val="center"/>
              <w:rPr>
                <w:sz w:val="20"/>
              </w:rPr>
            </w:pPr>
            <w:r>
              <w:rPr>
                <w:spacing w:val="-4"/>
                <w:sz w:val="20"/>
              </w:rPr>
              <w:t>-</w:t>
            </w:r>
            <w:r>
              <w:rPr>
                <w:spacing w:val="-2"/>
                <w:sz w:val="20"/>
              </w:rPr>
              <w:t>3.582074</w:t>
            </w:r>
          </w:p>
        </w:tc>
      </w:tr>
      <w:tr>
        <w:trPr>
          <w:trHeight w:val="229" w:hRule="atLeast"/>
        </w:trPr>
        <w:tc>
          <w:tcPr>
            <w:tcW w:w="1472" w:type="dxa"/>
          </w:tcPr>
          <w:p>
            <w:pPr>
              <w:pStyle w:val="TableParagraph"/>
              <w:rPr>
                <w:sz w:val="16"/>
              </w:rPr>
            </w:pPr>
          </w:p>
        </w:tc>
        <w:tc>
          <w:tcPr>
            <w:tcW w:w="1376" w:type="dxa"/>
          </w:tcPr>
          <w:p>
            <w:pPr>
              <w:pStyle w:val="TableParagraph"/>
              <w:rPr>
                <w:sz w:val="16"/>
              </w:rPr>
            </w:pPr>
          </w:p>
        </w:tc>
        <w:tc>
          <w:tcPr>
            <w:tcW w:w="1383" w:type="dxa"/>
          </w:tcPr>
          <w:p>
            <w:pPr>
              <w:pStyle w:val="TableParagraph"/>
              <w:rPr>
                <w:sz w:val="16"/>
              </w:rPr>
            </w:pPr>
          </w:p>
        </w:tc>
        <w:tc>
          <w:tcPr>
            <w:tcW w:w="1389" w:type="dxa"/>
          </w:tcPr>
          <w:p>
            <w:pPr>
              <w:pStyle w:val="TableParagraph"/>
              <w:rPr>
                <w:sz w:val="16"/>
              </w:rPr>
            </w:pPr>
          </w:p>
        </w:tc>
        <w:tc>
          <w:tcPr>
            <w:tcW w:w="1411" w:type="dxa"/>
          </w:tcPr>
          <w:p>
            <w:pPr>
              <w:pStyle w:val="TableParagraph"/>
              <w:spacing w:line="209" w:lineRule="exact"/>
              <w:ind w:left="54" w:right="6"/>
              <w:jc w:val="center"/>
              <w:rPr>
                <w:sz w:val="20"/>
              </w:rPr>
            </w:pPr>
            <w:r>
              <w:rPr>
                <w:spacing w:val="-2"/>
                <w:sz w:val="20"/>
              </w:rPr>
              <w:t>(1.21991)</w:t>
            </w:r>
          </w:p>
        </w:tc>
        <w:tc>
          <w:tcPr>
            <w:tcW w:w="1410" w:type="dxa"/>
          </w:tcPr>
          <w:p>
            <w:pPr>
              <w:pStyle w:val="TableParagraph"/>
              <w:spacing w:line="209" w:lineRule="exact"/>
              <w:ind w:left="55" w:right="6"/>
              <w:jc w:val="center"/>
              <w:rPr>
                <w:sz w:val="20"/>
              </w:rPr>
            </w:pPr>
            <w:r>
              <w:rPr>
                <w:spacing w:val="-2"/>
                <w:sz w:val="20"/>
              </w:rPr>
              <w:t>(1.24344)</w:t>
            </w:r>
          </w:p>
        </w:tc>
        <w:tc>
          <w:tcPr>
            <w:tcW w:w="1407" w:type="dxa"/>
          </w:tcPr>
          <w:p>
            <w:pPr>
              <w:pStyle w:val="TableParagraph"/>
              <w:rPr>
                <w:sz w:val="16"/>
              </w:rPr>
            </w:pPr>
          </w:p>
        </w:tc>
      </w:tr>
      <w:tr>
        <w:trPr>
          <w:trHeight w:val="230" w:hRule="atLeast"/>
        </w:trPr>
        <w:tc>
          <w:tcPr>
            <w:tcW w:w="1472" w:type="dxa"/>
          </w:tcPr>
          <w:p>
            <w:pPr>
              <w:pStyle w:val="TableParagraph"/>
              <w:spacing w:line="210" w:lineRule="exact"/>
              <w:ind w:left="346"/>
              <w:rPr>
                <w:sz w:val="20"/>
              </w:rPr>
            </w:pPr>
            <w:r>
              <w:rPr>
                <w:spacing w:val="-2"/>
                <w:sz w:val="20"/>
              </w:rPr>
              <w:t>0.000000</w:t>
            </w:r>
          </w:p>
        </w:tc>
        <w:tc>
          <w:tcPr>
            <w:tcW w:w="1376" w:type="dxa"/>
          </w:tcPr>
          <w:p>
            <w:pPr>
              <w:pStyle w:val="TableParagraph"/>
              <w:spacing w:line="210" w:lineRule="exact"/>
              <w:ind w:left="270"/>
              <w:rPr>
                <w:sz w:val="20"/>
              </w:rPr>
            </w:pPr>
            <w:r>
              <w:rPr>
                <w:spacing w:val="-2"/>
                <w:sz w:val="20"/>
              </w:rPr>
              <w:t>0.000000</w:t>
            </w:r>
          </w:p>
        </w:tc>
        <w:tc>
          <w:tcPr>
            <w:tcW w:w="1383" w:type="dxa"/>
          </w:tcPr>
          <w:p>
            <w:pPr>
              <w:pStyle w:val="TableParagraph"/>
              <w:spacing w:line="210" w:lineRule="exact"/>
              <w:ind w:right="23"/>
              <w:jc w:val="center"/>
              <w:rPr>
                <w:sz w:val="20"/>
              </w:rPr>
            </w:pPr>
            <w:r>
              <w:rPr>
                <w:spacing w:val="-2"/>
                <w:sz w:val="20"/>
              </w:rPr>
              <w:t>0.000000</w:t>
            </w:r>
          </w:p>
        </w:tc>
        <w:tc>
          <w:tcPr>
            <w:tcW w:w="1389" w:type="dxa"/>
          </w:tcPr>
          <w:p>
            <w:pPr>
              <w:pStyle w:val="TableParagraph"/>
              <w:spacing w:line="210" w:lineRule="exact"/>
              <w:ind w:left="49" w:right="25"/>
              <w:jc w:val="center"/>
              <w:rPr>
                <w:sz w:val="20"/>
              </w:rPr>
            </w:pPr>
            <w:r>
              <w:rPr>
                <w:spacing w:val="-2"/>
                <w:sz w:val="20"/>
              </w:rPr>
              <w:t>1.000000</w:t>
            </w:r>
          </w:p>
        </w:tc>
        <w:tc>
          <w:tcPr>
            <w:tcW w:w="1411" w:type="dxa"/>
          </w:tcPr>
          <w:p>
            <w:pPr>
              <w:pStyle w:val="TableParagraph"/>
              <w:spacing w:line="210" w:lineRule="exact"/>
              <w:ind w:left="49" w:right="52"/>
              <w:jc w:val="center"/>
              <w:rPr>
                <w:sz w:val="20"/>
              </w:rPr>
            </w:pPr>
            <w:r>
              <w:rPr>
                <w:spacing w:val="-4"/>
                <w:sz w:val="20"/>
              </w:rPr>
              <w:t>-</w:t>
            </w:r>
            <w:r>
              <w:rPr>
                <w:spacing w:val="-2"/>
                <w:sz w:val="20"/>
              </w:rPr>
              <w:t>0.112183</w:t>
            </w:r>
          </w:p>
        </w:tc>
        <w:tc>
          <w:tcPr>
            <w:tcW w:w="1410" w:type="dxa"/>
          </w:tcPr>
          <w:p>
            <w:pPr>
              <w:pStyle w:val="TableParagraph"/>
              <w:spacing w:line="210" w:lineRule="exact"/>
              <w:ind w:left="49" w:right="50"/>
              <w:jc w:val="center"/>
              <w:rPr>
                <w:sz w:val="20"/>
              </w:rPr>
            </w:pPr>
            <w:r>
              <w:rPr>
                <w:spacing w:val="-4"/>
                <w:sz w:val="20"/>
              </w:rPr>
              <w:t>-</w:t>
            </w:r>
            <w:r>
              <w:rPr>
                <w:spacing w:val="-2"/>
                <w:sz w:val="20"/>
              </w:rPr>
              <w:t>1.042882</w:t>
            </w:r>
          </w:p>
        </w:tc>
        <w:tc>
          <w:tcPr>
            <w:tcW w:w="1407" w:type="dxa"/>
          </w:tcPr>
          <w:p>
            <w:pPr>
              <w:pStyle w:val="TableParagraph"/>
              <w:spacing w:line="210" w:lineRule="exact"/>
              <w:ind w:left="56" w:right="5"/>
              <w:jc w:val="center"/>
              <w:rPr>
                <w:sz w:val="20"/>
              </w:rPr>
            </w:pPr>
            <w:r>
              <w:rPr>
                <w:spacing w:val="-2"/>
                <w:sz w:val="20"/>
              </w:rPr>
              <w:t>0.897184</w:t>
            </w:r>
          </w:p>
        </w:tc>
      </w:tr>
      <w:tr>
        <w:trPr>
          <w:trHeight w:val="345" w:hRule="atLeast"/>
        </w:trPr>
        <w:tc>
          <w:tcPr>
            <w:tcW w:w="1472" w:type="dxa"/>
          </w:tcPr>
          <w:p>
            <w:pPr>
              <w:pStyle w:val="TableParagraph"/>
              <w:rPr>
                <w:sz w:val="18"/>
              </w:rPr>
            </w:pPr>
          </w:p>
        </w:tc>
        <w:tc>
          <w:tcPr>
            <w:tcW w:w="1376" w:type="dxa"/>
          </w:tcPr>
          <w:p>
            <w:pPr>
              <w:pStyle w:val="TableParagraph"/>
              <w:rPr>
                <w:sz w:val="18"/>
              </w:rPr>
            </w:pPr>
          </w:p>
        </w:tc>
        <w:tc>
          <w:tcPr>
            <w:tcW w:w="1383" w:type="dxa"/>
          </w:tcPr>
          <w:p>
            <w:pPr>
              <w:pStyle w:val="TableParagraph"/>
              <w:rPr>
                <w:sz w:val="18"/>
              </w:rPr>
            </w:pPr>
          </w:p>
        </w:tc>
        <w:tc>
          <w:tcPr>
            <w:tcW w:w="1389" w:type="dxa"/>
          </w:tcPr>
          <w:p>
            <w:pPr>
              <w:pStyle w:val="TableParagraph"/>
              <w:rPr>
                <w:sz w:val="18"/>
              </w:rPr>
            </w:pPr>
          </w:p>
        </w:tc>
        <w:tc>
          <w:tcPr>
            <w:tcW w:w="1411" w:type="dxa"/>
          </w:tcPr>
          <w:p>
            <w:pPr>
              <w:pStyle w:val="TableParagraph"/>
              <w:spacing w:line="226" w:lineRule="exact"/>
              <w:ind w:left="54" w:right="6"/>
              <w:jc w:val="center"/>
              <w:rPr>
                <w:sz w:val="20"/>
              </w:rPr>
            </w:pPr>
            <w:r>
              <w:rPr>
                <w:spacing w:val="-2"/>
                <w:sz w:val="20"/>
              </w:rPr>
              <w:t>(0.74536)</w:t>
            </w:r>
          </w:p>
        </w:tc>
        <w:tc>
          <w:tcPr>
            <w:tcW w:w="1410" w:type="dxa"/>
          </w:tcPr>
          <w:p>
            <w:pPr>
              <w:pStyle w:val="TableParagraph"/>
              <w:spacing w:line="226" w:lineRule="exact"/>
              <w:ind w:left="55" w:right="6"/>
              <w:jc w:val="center"/>
              <w:rPr>
                <w:sz w:val="20"/>
              </w:rPr>
            </w:pPr>
            <w:r>
              <w:rPr>
                <w:spacing w:val="-2"/>
                <w:sz w:val="20"/>
              </w:rPr>
              <w:t>(0.75973)</w:t>
            </w:r>
          </w:p>
        </w:tc>
        <w:tc>
          <w:tcPr>
            <w:tcW w:w="1407" w:type="dxa"/>
          </w:tcPr>
          <w:p>
            <w:pPr>
              <w:pStyle w:val="TableParagraph"/>
              <w:rPr>
                <w:sz w:val="18"/>
              </w:rPr>
            </w:pPr>
          </w:p>
        </w:tc>
      </w:tr>
      <w:tr>
        <w:trPr>
          <w:trHeight w:val="502" w:hRule="atLeast"/>
        </w:trPr>
        <w:tc>
          <w:tcPr>
            <w:tcW w:w="1472" w:type="dxa"/>
          </w:tcPr>
          <w:p>
            <w:pPr>
              <w:pStyle w:val="TableParagraph"/>
              <w:tabs>
                <w:tab w:pos="1675" w:val="left" w:leader="none"/>
              </w:tabs>
              <w:spacing w:before="111"/>
              <w:ind w:right="-216"/>
              <w:jc w:val="right"/>
              <w:rPr>
                <w:sz w:val="20"/>
              </w:rPr>
            </w:pPr>
            <w:r>
              <w:rPr>
                <w:spacing w:val="68"/>
                <w:sz w:val="20"/>
                <w:u w:val="double"/>
              </w:rPr>
              <w:t> </w:t>
            </w:r>
            <w:r>
              <w:rPr>
                <w:sz w:val="20"/>
                <w:u w:val="double"/>
              </w:rPr>
              <w:t>Log</w:t>
            </w:r>
            <w:r>
              <w:rPr>
                <w:spacing w:val="-3"/>
                <w:sz w:val="20"/>
                <w:u w:val="double"/>
              </w:rPr>
              <w:t> </w:t>
            </w:r>
            <w:r>
              <w:rPr>
                <w:spacing w:val="-2"/>
                <w:sz w:val="20"/>
                <w:u w:val="double"/>
              </w:rPr>
              <w:t>likelihood</w:t>
            </w:r>
            <w:r>
              <w:rPr>
                <w:sz w:val="20"/>
                <w:u w:val="double"/>
              </w:rPr>
              <w:tab/>
            </w:r>
          </w:p>
        </w:tc>
        <w:tc>
          <w:tcPr>
            <w:tcW w:w="1376" w:type="dxa"/>
          </w:tcPr>
          <w:p>
            <w:pPr>
              <w:pStyle w:val="TableParagraph"/>
              <w:tabs>
                <w:tab w:pos="8168" w:val="left" w:leader="none"/>
              </w:tabs>
              <w:spacing w:before="111"/>
              <w:ind w:right="-7013"/>
              <w:jc w:val="right"/>
              <w:rPr>
                <w:sz w:val="20"/>
              </w:rPr>
            </w:pPr>
            <w:r>
              <w:rPr>
                <w:spacing w:val="-4"/>
                <w:sz w:val="20"/>
                <w:u w:val="double"/>
              </w:rPr>
              <w:t>-</w:t>
            </w:r>
            <w:r>
              <w:rPr>
                <w:spacing w:val="-2"/>
                <w:sz w:val="20"/>
                <w:u w:val="double"/>
              </w:rPr>
              <w:t>224.3056</w:t>
            </w:r>
            <w:r>
              <w:rPr>
                <w:sz w:val="20"/>
                <w:u w:val="double"/>
              </w:rPr>
              <w:tab/>
            </w:r>
          </w:p>
        </w:tc>
        <w:tc>
          <w:tcPr>
            <w:tcW w:w="1383" w:type="dxa"/>
          </w:tcPr>
          <w:p>
            <w:pPr>
              <w:pStyle w:val="TableParagraph"/>
              <w:rPr>
                <w:sz w:val="18"/>
              </w:rPr>
            </w:pPr>
          </w:p>
        </w:tc>
        <w:tc>
          <w:tcPr>
            <w:tcW w:w="1389" w:type="dxa"/>
          </w:tcPr>
          <w:p>
            <w:pPr>
              <w:pStyle w:val="TableParagraph"/>
              <w:rPr>
                <w:sz w:val="18"/>
              </w:rPr>
            </w:pPr>
          </w:p>
        </w:tc>
        <w:tc>
          <w:tcPr>
            <w:tcW w:w="1411" w:type="dxa"/>
          </w:tcPr>
          <w:p>
            <w:pPr>
              <w:pStyle w:val="TableParagraph"/>
              <w:rPr>
                <w:sz w:val="18"/>
              </w:rPr>
            </w:pPr>
          </w:p>
        </w:tc>
        <w:tc>
          <w:tcPr>
            <w:tcW w:w="1410" w:type="dxa"/>
          </w:tcPr>
          <w:p>
            <w:pPr>
              <w:pStyle w:val="TableParagraph"/>
              <w:rPr>
                <w:sz w:val="18"/>
              </w:rPr>
            </w:pPr>
          </w:p>
        </w:tc>
        <w:tc>
          <w:tcPr>
            <w:tcW w:w="1407" w:type="dxa"/>
          </w:tcPr>
          <w:p>
            <w:pPr>
              <w:pStyle w:val="TableParagraph"/>
              <w:rPr>
                <w:sz w:val="18"/>
              </w:rPr>
            </w:pPr>
          </w:p>
        </w:tc>
      </w:tr>
      <w:tr>
        <w:trPr>
          <w:trHeight w:val="1301" w:hRule="atLeast"/>
        </w:trPr>
        <w:tc>
          <w:tcPr>
            <w:tcW w:w="1472" w:type="dxa"/>
            <w:tcBorders>
              <w:bottom w:val="double" w:sz="6" w:space="0" w:color="000000"/>
            </w:tcBorders>
          </w:tcPr>
          <w:p>
            <w:pPr>
              <w:pStyle w:val="TableParagraph"/>
              <w:spacing w:before="153"/>
              <w:ind w:left="105" w:right="185" w:firstLine="144"/>
              <w:jc w:val="both"/>
              <w:rPr>
                <w:sz w:val="20"/>
              </w:rPr>
            </w:pPr>
            <w:r>
              <w:rPr>
                <w:spacing w:val="-2"/>
                <w:sz w:val="20"/>
              </w:rPr>
              <w:t>Normalized Cointegrating </w:t>
            </w:r>
            <w:r>
              <w:rPr>
                <w:sz w:val="20"/>
              </w:rPr>
              <w:t>Coefficients:</w:t>
            </w:r>
            <w:r>
              <w:rPr>
                <w:spacing w:val="-13"/>
                <w:sz w:val="20"/>
              </w:rPr>
              <w:t> </w:t>
            </w:r>
            <w:r>
              <w:rPr>
                <w:sz w:val="20"/>
              </w:rPr>
              <w:t>5 </w:t>
            </w:r>
            <w:r>
              <w:rPr>
                <w:spacing w:val="-2"/>
                <w:sz w:val="20"/>
              </w:rPr>
              <w:t>Cointegrating</w:t>
            </w:r>
          </w:p>
          <w:p>
            <w:pPr>
              <w:pStyle w:val="TableParagraph"/>
              <w:spacing w:line="208" w:lineRule="exact"/>
              <w:ind w:left="228"/>
              <w:rPr>
                <w:sz w:val="20"/>
              </w:rPr>
            </w:pPr>
            <w:r>
              <w:rPr>
                <w:spacing w:val="-2"/>
                <w:sz w:val="20"/>
              </w:rPr>
              <w:t>Equation(s)</w:t>
            </w:r>
          </w:p>
        </w:tc>
        <w:tc>
          <w:tcPr>
            <w:tcW w:w="1376" w:type="dxa"/>
            <w:tcBorders>
              <w:bottom w:val="double" w:sz="6" w:space="0" w:color="000000"/>
            </w:tcBorders>
          </w:tcPr>
          <w:p>
            <w:pPr>
              <w:pStyle w:val="TableParagraph"/>
              <w:rPr>
                <w:sz w:val="18"/>
              </w:rPr>
            </w:pPr>
          </w:p>
        </w:tc>
        <w:tc>
          <w:tcPr>
            <w:tcW w:w="1383" w:type="dxa"/>
            <w:tcBorders>
              <w:bottom w:val="double" w:sz="6" w:space="0" w:color="000000"/>
            </w:tcBorders>
          </w:tcPr>
          <w:p>
            <w:pPr>
              <w:pStyle w:val="TableParagraph"/>
              <w:rPr>
                <w:sz w:val="18"/>
              </w:rPr>
            </w:pPr>
          </w:p>
        </w:tc>
        <w:tc>
          <w:tcPr>
            <w:tcW w:w="1389" w:type="dxa"/>
            <w:tcBorders>
              <w:bottom w:val="double" w:sz="6" w:space="0" w:color="000000"/>
            </w:tcBorders>
          </w:tcPr>
          <w:p>
            <w:pPr>
              <w:pStyle w:val="TableParagraph"/>
              <w:rPr>
                <w:sz w:val="18"/>
              </w:rPr>
            </w:pPr>
          </w:p>
        </w:tc>
        <w:tc>
          <w:tcPr>
            <w:tcW w:w="1411" w:type="dxa"/>
            <w:tcBorders>
              <w:bottom w:val="double" w:sz="6" w:space="0" w:color="000000"/>
            </w:tcBorders>
          </w:tcPr>
          <w:p>
            <w:pPr>
              <w:pStyle w:val="TableParagraph"/>
              <w:rPr>
                <w:sz w:val="18"/>
              </w:rPr>
            </w:pPr>
          </w:p>
        </w:tc>
        <w:tc>
          <w:tcPr>
            <w:tcW w:w="1410" w:type="dxa"/>
            <w:tcBorders>
              <w:bottom w:val="double" w:sz="6" w:space="0" w:color="000000"/>
            </w:tcBorders>
          </w:tcPr>
          <w:p>
            <w:pPr>
              <w:pStyle w:val="TableParagraph"/>
              <w:rPr>
                <w:sz w:val="18"/>
              </w:rPr>
            </w:pPr>
          </w:p>
        </w:tc>
        <w:tc>
          <w:tcPr>
            <w:tcW w:w="1407" w:type="dxa"/>
            <w:tcBorders>
              <w:bottom w:val="double" w:sz="6" w:space="0" w:color="000000"/>
            </w:tcBorders>
          </w:tcPr>
          <w:p>
            <w:pPr>
              <w:pStyle w:val="TableParagraph"/>
              <w:rPr>
                <w:sz w:val="18"/>
              </w:rPr>
            </w:pPr>
          </w:p>
        </w:tc>
      </w:tr>
      <w:tr>
        <w:trPr>
          <w:trHeight w:val="275" w:hRule="atLeast"/>
        </w:trPr>
        <w:tc>
          <w:tcPr>
            <w:tcW w:w="1472" w:type="dxa"/>
            <w:tcBorders>
              <w:top w:val="double" w:sz="6" w:space="0" w:color="000000"/>
            </w:tcBorders>
          </w:tcPr>
          <w:p>
            <w:pPr>
              <w:pStyle w:val="TableParagraph"/>
              <w:spacing w:line="215" w:lineRule="exact" w:before="40"/>
              <w:ind w:right="81"/>
              <w:jc w:val="center"/>
              <w:rPr>
                <w:sz w:val="20"/>
              </w:rPr>
            </w:pPr>
            <w:r>
              <w:rPr>
                <w:spacing w:val="-5"/>
                <w:sz w:val="20"/>
              </w:rPr>
              <w:t>GDP</w:t>
            </w:r>
          </w:p>
        </w:tc>
        <w:tc>
          <w:tcPr>
            <w:tcW w:w="1376" w:type="dxa"/>
            <w:tcBorders>
              <w:top w:val="double" w:sz="6" w:space="0" w:color="000000"/>
            </w:tcBorders>
          </w:tcPr>
          <w:p>
            <w:pPr>
              <w:pStyle w:val="TableParagraph"/>
              <w:spacing w:line="215" w:lineRule="exact" w:before="40"/>
              <w:ind w:left="162"/>
              <w:rPr>
                <w:sz w:val="20"/>
              </w:rPr>
            </w:pPr>
            <w:r>
              <w:rPr>
                <w:spacing w:val="-2"/>
                <w:sz w:val="20"/>
              </w:rPr>
              <w:t>EXTDEBT</w:t>
            </w:r>
          </w:p>
        </w:tc>
        <w:tc>
          <w:tcPr>
            <w:tcW w:w="1383" w:type="dxa"/>
            <w:tcBorders>
              <w:top w:val="double" w:sz="6" w:space="0" w:color="000000"/>
            </w:tcBorders>
          </w:tcPr>
          <w:p>
            <w:pPr>
              <w:pStyle w:val="TableParagraph"/>
              <w:spacing w:line="215" w:lineRule="exact" w:before="40"/>
              <w:ind w:right="77"/>
              <w:jc w:val="center"/>
              <w:rPr>
                <w:sz w:val="20"/>
              </w:rPr>
            </w:pPr>
            <w:r>
              <w:rPr>
                <w:spacing w:val="-5"/>
                <w:sz w:val="20"/>
              </w:rPr>
              <w:t>DFI</w:t>
            </w:r>
          </w:p>
        </w:tc>
        <w:tc>
          <w:tcPr>
            <w:tcW w:w="1389" w:type="dxa"/>
            <w:tcBorders>
              <w:top w:val="double" w:sz="6" w:space="0" w:color="000000"/>
            </w:tcBorders>
          </w:tcPr>
          <w:p>
            <w:pPr>
              <w:pStyle w:val="TableParagraph"/>
              <w:spacing w:line="215" w:lineRule="exact" w:before="40"/>
              <w:ind w:left="24" w:right="49"/>
              <w:jc w:val="center"/>
              <w:rPr>
                <w:sz w:val="20"/>
              </w:rPr>
            </w:pPr>
            <w:r>
              <w:rPr>
                <w:spacing w:val="-5"/>
                <w:sz w:val="20"/>
              </w:rPr>
              <w:t>CAB</w:t>
            </w:r>
          </w:p>
        </w:tc>
        <w:tc>
          <w:tcPr>
            <w:tcW w:w="1411" w:type="dxa"/>
            <w:tcBorders>
              <w:top w:val="double" w:sz="6" w:space="0" w:color="000000"/>
            </w:tcBorders>
          </w:tcPr>
          <w:p>
            <w:pPr>
              <w:pStyle w:val="TableParagraph"/>
              <w:spacing w:line="215" w:lineRule="exact" w:before="40"/>
              <w:ind w:left="49" w:right="51"/>
              <w:jc w:val="center"/>
              <w:rPr>
                <w:sz w:val="20"/>
              </w:rPr>
            </w:pPr>
            <w:r>
              <w:rPr>
                <w:spacing w:val="-5"/>
                <w:sz w:val="20"/>
              </w:rPr>
              <w:t>RES</w:t>
            </w:r>
          </w:p>
        </w:tc>
        <w:tc>
          <w:tcPr>
            <w:tcW w:w="1410" w:type="dxa"/>
            <w:tcBorders>
              <w:top w:val="double" w:sz="6" w:space="0" w:color="000000"/>
            </w:tcBorders>
          </w:tcPr>
          <w:p>
            <w:pPr>
              <w:pStyle w:val="TableParagraph"/>
              <w:spacing w:line="215" w:lineRule="exact" w:before="40"/>
              <w:ind w:left="49" w:right="50"/>
              <w:jc w:val="center"/>
              <w:rPr>
                <w:sz w:val="20"/>
              </w:rPr>
            </w:pPr>
            <w:r>
              <w:rPr>
                <w:spacing w:val="-2"/>
                <w:sz w:val="20"/>
              </w:rPr>
              <w:t>NEXTAS</w:t>
            </w:r>
          </w:p>
        </w:tc>
        <w:tc>
          <w:tcPr>
            <w:tcW w:w="1407" w:type="dxa"/>
            <w:tcBorders>
              <w:top w:val="double" w:sz="6" w:space="0" w:color="000000"/>
            </w:tcBorders>
          </w:tcPr>
          <w:p>
            <w:pPr>
              <w:pStyle w:val="TableParagraph"/>
              <w:spacing w:line="215" w:lineRule="exact" w:before="40"/>
              <w:ind w:left="51" w:right="52"/>
              <w:jc w:val="center"/>
              <w:rPr>
                <w:sz w:val="20"/>
              </w:rPr>
            </w:pPr>
            <w:r>
              <w:rPr>
                <w:spacing w:val="-10"/>
                <w:sz w:val="20"/>
              </w:rPr>
              <w:t>C</w:t>
            </w:r>
          </w:p>
        </w:tc>
      </w:tr>
      <w:tr>
        <w:trPr>
          <w:trHeight w:val="230" w:hRule="atLeast"/>
        </w:trPr>
        <w:tc>
          <w:tcPr>
            <w:tcW w:w="1472" w:type="dxa"/>
          </w:tcPr>
          <w:p>
            <w:pPr>
              <w:pStyle w:val="TableParagraph"/>
              <w:spacing w:line="210" w:lineRule="exact"/>
              <w:ind w:left="346"/>
              <w:rPr>
                <w:sz w:val="20"/>
              </w:rPr>
            </w:pPr>
            <w:r>
              <w:rPr>
                <w:spacing w:val="-2"/>
                <w:sz w:val="20"/>
              </w:rPr>
              <w:t>1.000000</w:t>
            </w:r>
          </w:p>
        </w:tc>
        <w:tc>
          <w:tcPr>
            <w:tcW w:w="1376" w:type="dxa"/>
          </w:tcPr>
          <w:p>
            <w:pPr>
              <w:pStyle w:val="TableParagraph"/>
              <w:spacing w:line="210" w:lineRule="exact"/>
              <w:ind w:left="270"/>
              <w:rPr>
                <w:sz w:val="20"/>
              </w:rPr>
            </w:pPr>
            <w:r>
              <w:rPr>
                <w:spacing w:val="-2"/>
                <w:sz w:val="20"/>
              </w:rPr>
              <w:t>0.000000</w:t>
            </w:r>
          </w:p>
        </w:tc>
        <w:tc>
          <w:tcPr>
            <w:tcW w:w="1383" w:type="dxa"/>
          </w:tcPr>
          <w:p>
            <w:pPr>
              <w:pStyle w:val="TableParagraph"/>
              <w:spacing w:line="210" w:lineRule="exact"/>
              <w:ind w:right="23"/>
              <w:jc w:val="center"/>
              <w:rPr>
                <w:sz w:val="20"/>
              </w:rPr>
            </w:pPr>
            <w:r>
              <w:rPr>
                <w:spacing w:val="-2"/>
                <w:sz w:val="20"/>
              </w:rPr>
              <w:t>0.000000</w:t>
            </w:r>
          </w:p>
        </w:tc>
        <w:tc>
          <w:tcPr>
            <w:tcW w:w="1389" w:type="dxa"/>
          </w:tcPr>
          <w:p>
            <w:pPr>
              <w:pStyle w:val="TableParagraph"/>
              <w:spacing w:line="210" w:lineRule="exact"/>
              <w:ind w:left="49" w:right="25"/>
              <w:jc w:val="center"/>
              <w:rPr>
                <w:sz w:val="20"/>
              </w:rPr>
            </w:pPr>
            <w:r>
              <w:rPr>
                <w:spacing w:val="-2"/>
                <w:sz w:val="20"/>
              </w:rPr>
              <w:t>0.000000</w:t>
            </w:r>
          </w:p>
        </w:tc>
        <w:tc>
          <w:tcPr>
            <w:tcW w:w="1411" w:type="dxa"/>
          </w:tcPr>
          <w:p>
            <w:pPr>
              <w:pStyle w:val="TableParagraph"/>
              <w:spacing w:line="210" w:lineRule="exact"/>
              <w:ind w:left="53" w:right="6"/>
              <w:jc w:val="center"/>
              <w:rPr>
                <w:sz w:val="20"/>
              </w:rPr>
            </w:pPr>
            <w:r>
              <w:rPr>
                <w:spacing w:val="-2"/>
                <w:sz w:val="20"/>
              </w:rPr>
              <w:t>0.000000</w:t>
            </w:r>
          </w:p>
        </w:tc>
        <w:tc>
          <w:tcPr>
            <w:tcW w:w="1410" w:type="dxa"/>
          </w:tcPr>
          <w:p>
            <w:pPr>
              <w:pStyle w:val="TableParagraph"/>
              <w:spacing w:line="210" w:lineRule="exact"/>
              <w:ind w:left="49" w:right="50"/>
              <w:jc w:val="center"/>
              <w:rPr>
                <w:sz w:val="20"/>
              </w:rPr>
            </w:pPr>
            <w:r>
              <w:rPr>
                <w:spacing w:val="-4"/>
                <w:sz w:val="20"/>
              </w:rPr>
              <w:t>-</w:t>
            </w:r>
            <w:r>
              <w:rPr>
                <w:spacing w:val="-2"/>
                <w:sz w:val="20"/>
              </w:rPr>
              <w:t>1.107052</w:t>
            </w:r>
          </w:p>
        </w:tc>
        <w:tc>
          <w:tcPr>
            <w:tcW w:w="1407" w:type="dxa"/>
          </w:tcPr>
          <w:p>
            <w:pPr>
              <w:pStyle w:val="TableParagraph"/>
              <w:spacing w:line="210" w:lineRule="exact"/>
              <w:ind w:left="51" w:right="52"/>
              <w:jc w:val="center"/>
              <w:rPr>
                <w:sz w:val="20"/>
              </w:rPr>
            </w:pPr>
            <w:r>
              <w:rPr>
                <w:spacing w:val="-4"/>
                <w:sz w:val="20"/>
              </w:rPr>
              <w:t>-</w:t>
            </w:r>
            <w:r>
              <w:rPr>
                <w:spacing w:val="-2"/>
                <w:sz w:val="20"/>
              </w:rPr>
              <w:t>2.664760</w:t>
            </w:r>
          </w:p>
        </w:tc>
      </w:tr>
      <w:tr>
        <w:trPr>
          <w:trHeight w:val="230" w:hRule="atLeast"/>
        </w:trPr>
        <w:tc>
          <w:tcPr>
            <w:tcW w:w="1472" w:type="dxa"/>
          </w:tcPr>
          <w:p>
            <w:pPr>
              <w:pStyle w:val="TableParagraph"/>
              <w:rPr>
                <w:sz w:val="16"/>
              </w:rPr>
            </w:pPr>
          </w:p>
        </w:tc>
        <w:tc>
          <w:tcPr>
            <w:tcW w:w="1376" w:type="dxa"/>
          </w:tcPr>
          <w:p>
            <w:pPr>
              <w:pStyle w:val="TableParagraph"/>
              <w:rPr>
                <w:sz w:val="16"/>
              </w:rPr>
            </w:pPr>
          </w:p>
        </w:tc>
        <w:tc>
          <w:tcPr>
            <w:tcW w:w="1383" w:type="dxa"/>
          </w:tcPr>
          <w:p>
            <w:pPr>
              <w:pStyle w:val="TableParagraph"/>
              <w:rPr>
                <w:sz w:val="16"/>
              </w:rPr>
            </w:pPr>
          </w:p>
        </w:tc>
        <w:tc>
          <w:tcPr>
            <w:tcW w:w="1389" w:type="dxa"/>
          </w:tcPr>
          <w:p>
            <w:pPr>
              <w:pStyle w:val="TableParagraph"/>
              <w:rPr>
                <w:sz w:val="16"/>
              </w:rPr>
            </w:pPr>
          </w:p>
        </w:tc>
        <w:tc>
          <w:tcPr>
            <w:tcW w:w="1411" w:type="dxa"/>
          </w:tcPr>
          <w:p>
            <w:pPr>
              <w:pStyle w:val="TableParagraph"/>
              <w:rPr>
                <w:sz w:val="16"/>
              </w:rPr>
            </w:pPr>
          </w:p>
        </w:tc>
        <w:tc>
          <w:tcPr>
            <w:tcW w:w="1410" w:type="dxa"/>
          </w:tcPr>
          <w:p>
            <w:pPr>
              <w:pStyle w:val="TableParagraph"/>
              <w:spacing w:line="210" w:lineRule="exact"/>
              <w:ind w:left="55" w:right="6"/>
              <w:jc w:val="center"/>
              <w:rPr>
                <w:sz w:val="20"/>
              </w:rPr>
            </w:pPr>
            <w:r>
              <w:rPr>
                <w:spacing w:val="-2"/>
                <w:sz w:val="20"/>
              </w:rPr>
              <w:t>(0.37970)</w:t>
            </w:r>
          </w:p>
        </w:tc>
        <w:tc>
          <w:tcPr>
            <w:tcW w:w="1407" w:type="dxa"/>
          </w:tcPr>
          <w:p>
            <w:pPr>
              <w:pStyle w:val="TableParagraph"/>
              <w:rPr>
                <w:sz w:val="16"/>
              </w:rPr>
            </w:pPr>
          </w:p>
        </w:tc>
      </w:tr>
      <w:tr>
        <w:trPr>
          <w:trHeight w:val="230" w:hRule="atLeast"/>
        </w:trPr>
        <w:tc>
          <w:tcPr>
            <w:tcW w:w="1472" w:type="dxa"/>
          </w:tcPr>
          <w:p>
            <w:pPr>
              <w:pStyle w:val="TableParagraph"/>
              <w:spacing w:line="210" w:lineRule="exact"/>
              <w:ind w:left="346"/>
              <w:rPr>
                <w:sz w:val="20"/>
              </w:rPr>
            </w:pPr>
            <w:r>
              <w:rPr>
                <w:spacing w:val="-2"/>
                <w:sz w:val="20"/>
              </w:rPr>
              <w:t>0.000000</w:t>
            </w:r>
          </w:p>
        </w:tc>
        <w:tc>
          <w:tcPr>
            <w:tcW w:w="1376" w:type="dxa"/>
          </w:tcPr>
          <w:p>
            <w:pPr>
              <w:pStyle w:val="TableParagraph"/>
              <w:spacing w:line="210" w:lineRule="exact"/>
              <w:ind w:left="270"/>
              <w:rPr>
                <w:sz w:val="20"/>
              </w:rPr>
            </w:pPr>
            <w:r>
              <w:rPr>
                <w:spacing w:val="-2"/>
                <w:sz w:val="20"/>
              </w:rPr>
              <w:t>1.000000</w:t>
            </w:r>
          </w:p>
        </w:tc>
        <w:tc>
          <w:tcPr>
            <w:tcW w:w="1383" w:type="dxa"/>
          </w:tcPr>
          <w:p>
            <w:pPr>
              <w:pStyle w:val="TableParagraph"/>
              <w:spacing w:line="210" w:lineRule="exact"/>
              <w:ind w:right="23"/>
              <w:jc w:val="center"/>
              <w:rPr>
                <w:sz w:val="20"/>
              </w:rPr>
            </w:pPr>
            <w:r>
              <w:rPr>
                <w:spacing w:val="-2"/>
                <w:sz w:val="20"/>
              </w:rPr>
              <w:t>0.000000</w:t>
            </w:r>
          </w:p>
        </w:tc>
        <w:tc>
          <w:tcPr>
            <w:tcW w:w="1389" w:type="dxa"/>
          </w:tcPr>
          <w:p>
            <w:pPr>
              <w:pStyle w:val="TableParagraph"/>
              <w:spacing w:line="210" w:lineRule="exact"/>
              <w:ind w:left="49" w:right="25"/>
              <w:jc w:val="center"/>
              <w:rPr>
                <w:sz w:val="20"/>
              </w:rPr>
            </w:pPr>
            <w:r>
              <w:rPr>
                <w:spacing w:val="-2"/>
                <w:sz w:val="20"/>
              </w:rPr>
              <w:t>0.000000</w:t>
            </w:r>
          </w:p>
        </w:tc>
        <w:tc>
          <w:tcPr>
            <w:tcW w:w="1411" w:type="dxa"/>
          </w:tcPr>
          <w:p>
            <w:pPr>
              <w:pStyle w:val="TableParagraph"/>
              <w:spacing w:line="210" w:lineRule="exact"/>
              <w:ind w:left="53" w:right="6"/>
              <w:jc w:val="center"/>
              <w:rPr>
                <w:sz w:val="20"/>
              </w:rPr>
            </w:pPr>
            <w:r>
              <w:rPr>
                <w:spacing w:val="-2"/>
                <w:sz w:val="20"/>
              </w:rPr>
              <w:t>0.000000</w:t>
            </w:r>
          </w:p>
        </w:tc>
        <w:tc>
          <w:tcPr>
            <w:tcW w:w="1410" w:type="dxa"/>
          </w:tcPr>
          <w:p>
            <w:pPr>
              <w:pStyle w:val="TableParagraph"/>
              <w:spacing w:line="210" w:lineRule="exact"/>
              <w:ind w:left="49" w:right="50"/>
              <w:jc w:val="center"/>
              <w:rPr>
                <w:sz w:val="20"/>
              </w:rPr>
            </w:pPr>
            <w:r>
              <w:rPr>
                <w:spacing w:val="-4"/>
                <w:sz w:val="20"/>
              </w:rPr>
              <w:t>-</w:t>
            </w:r>
            <w:r>
              <w:rPr>
                <w:spacing w:val="-2"/>
                <w:sz w:val="20"/>
              </w:rPr>
              <w:t>0.912528</w:t>
            </w:r>
          </w:p>
        </w:tc>
        <w:tc>
          <w:tcPr>
            <w:tcW w:w="1407" w:type="dxa"/>
          </w:tcPr>
          <w:p>
            <w:pPr>
              <w:pStyle w:val="TableParagraph"/>
              <w:spacing w:line="210" w:lineRule="exact"/>
              <w:ind w:left="51" w:right="52"/>
              <w:jc w:val="center"/>
              <w:rPr>
                <w:sz w:val="20"/>
              </w:rPr>
            </w:pPr>
            <w:r>
              <w:rPr>
                <w:spacing w:val="-4"/>
                <w:sz w:val="20"/>
              </w:rPr>
              <w:t>-</w:t>
            </w:r>
            <w:r>
              <w:rPr>
                <w:spacing w:val="-2"/>
                <w:sz w:val="20"/>
              </w:rPr>
              <w:t>0.734486</w:t>
            </w:r>
          </w:p>
        </w:tc>
      </w:tr>
      <w:tr>
        <w:trPr>
          <w:trHeight w:val="229" w:hRule="atLeast"/>
        </w:trPr>
        <w:tc>
          <w:tcPr>
            <w:tcW w:w="1472" w:type="dxa"/>
          </w:tcPr>
          <w:p>
            <w:pPr>
              <w:pStyle w:val="TableParagraph"/>
              <w:rPr>
                <w:sz w:val="16"/>
              </w:rPr>
            </w:pPr>
          </w:p>
        </w:tc>
        <w:tc>
          <w:tcPr>
            <w:tcW w:w="1376" w:type="dxa"/>
          </w:tcPr>
          <w:p>
            <w:pPr>
              <w:pStyle w:val="TableParagraph"/>
              <w:rPr>
                <w:sz w:val="16"/>
              </w:rPr>
            </w:pPr>
          </w:p>
        </w:tc>
        <w:tc>
          <w:tcPr>
            <w:tcW w:w="1383" w:type="dxa"/>
          </w:tcPr>
          <w:p>
            <w:pPr>
              <w:pStyle w:val="TableParagraph"/>
              <w:rPr>
                <w:sz w:val="16"/>
              </w:rPr>
            </w:pPr>
          </w:p>
        </w:tc>
        <w:tc>
          <w:tcPr>
            <w:tcW w:w="1389" w:type="dxa"/>
          </w:tcPr>
          <w:p>
            <w:pPr>
              <w:pStyle w:val="TableParagraph"/>
              <w:rPr>
                <w:sz w:val="16"/>
              </w:rPr>
            </w:pPr>
          </w:p>
        </w:tc>
        <w:tc>
          <w:tcPr>
            <w:tcW w:w="1411" w:type="dxa"/>
          </w:tcPr>
          <w:p>
            <w:pPr>
              <w:pStyle w:val="TableParagraph"/>
              <w:rPr>
                <w:sz w:val="16"/>
              </w:rPr>
            </w:pPr>
          </w:p>
        </w:tc>
        <w:tc>
          <w:tcPr>
            <w:tcW w:w="1410" w:type="dxa"/>
          </w:tcPr>
          <w:p>
            <w:pPr>
              <w:pStyle w:val="TableParagraph"/>
              <w:spacing w:line="209" w:lineRule="exact"/>
              <w:ind w:left="55" w:right="6"/>
              <w:jc w:val="center"/>
              <w:rPr>
                <w:sz w:val="20"/>
              </w:rPr>
            </w:pPr>
            <w:r>
              <w:rPr>
                <w:spacing w:val="-2"/>
                <w:sz w:val="20"/>
              </w:rPr>
              <w:t>(0.76614)</w:t>
            </w:r>
          </w:p>
        </w:tc>
        <w:tc>
          <w:tcPr>
            <w:tcW w:w="1407" w:type="dxa"/>
          </w:tcPr>
          <w:p>
            <w:pPr>
              <w:pStyle w:val="TableParagraph"/>
              <w:rPr>
                <w:sz w:val="16"/>
              </w:rPr>
            </w:pPr>
          </w:p>
        </w:tc>
      </w:tr>
      <w:tr>
        <w:trPr>
          <w:trHeight w:val="229" w:hRule="atLeast"/>
        </w:trPr>
        <w:tc>
          <w:tcPr>
            <w:tcW w:w="1472" w:type="dxa"/>
          </w:tcPr>
          <w:p>
            <w:pPr>
              <w:pStyle w:val="TableParagraph"/>
              <w:spacing w:line="209" w:lineRule="exact"/>
              <w:ind w:left="346"/>
              <w:rPr>
                <w:sz w:val="20"/>
              </w:rPr>
            </w:pPr>
            <w:r>
              <w:rPr>
                <w:spacing w:val="-2"/>
                <w:sz w:val="20"/>
              </w:rPr>
              <w:t>0.000000</w:t>
            </w:r>
          </w:p>
        </w:tc>
        <w:tc>
          <w:tcPr>
            <w:tcW w:w="1376" w:type="dxa"/>
          </w:tcPr>
          <w:p>
            <w:pPr>
              <w:pStyle w:val="TableParagraph"/>
              <w:spacing w:line="209" w:lineRule="exact"/>
              <w:ind w:left="270"/>
              <w:rPr>
                <w:sz w:val="20"/>
              </w:rPr>
            </w:pPr>
            <w:r>
              <w:rPr>
                <w:spacing w:val="-2"/>
                <w:sz w:val="20"/>
              </w:rPr>
              <w:t>0.000000</w:t>
            </w:r>
          </w:p>
        </w:tc>
        <w:tc>
          <w:tcPr>
            <w:tcW w:w="1383" w:type="dxa"/>
          </w:tcPr>
          <w:p>
            <w:pPr>
              <w:pStyle w:val="TableParagraph"/>
              <w:spacing w:line="209" w:lineRule="exact"/>
              <w:ind w:right="23"/>
              <w:jc w:val="center"/>
              <w:rPr>
                <w:sz w:val="20"/>
              </w:rPr>
            </w:pPr>
            <w:r>
              <w:rPr>
                <w:spacing w:val="-2"/>
                <w:sz w:val="20"/>
              </w:rPr>
              <w:t>1.000000</w:t>
            </w:r>
          </w:p>
        </w:tc>
        <w:tc>
          <w:tcPr>
            <w:tcW w:w="1389" w:type="dxa"/>
          </w:tcPr>
          <w:p>
            <w:pPr>
              <w:pStyle w:val="TableParagraph"/>
              <w:spacing w:line="209" w:lineRule="exact"/>
              <w:ind w:left="49" w:right="25"/>
              <w:jc w:val="center"/>
              <w:rPr>
                <w:sz w:val="20"/>
              </w:rPr>
            </w:pPr>
            <w:r>
              <w:rPr>
                <w:spacing w:val="-2"/>
                <w:sz w:val="20"/>
              </w:rPr>
              <w:t>0.000000</w:t>
            </w:r>
          </w:p>
        </w:tc>
        <w:tc>
          <w:tcPr>
            <w:tcW w:w="1411" w:type="dxa"/>
          </w:tcPr>
          <w:p>
            <w:pPr>
              <w:pStyle w:val="TableParagraph"/>
              <w:spacing w:line="209" w:lineRule="exact"/>
              <w:ind w:left="53" w:right="6"/>
              <w:jc w:val="center"/>
              <w:rPr>
                <w:sz w:val="20"/>
              </w:rPr>
            </w:pPr>
            <w:r>
              <w:rPr>
                <w:spacing w:val="-2"/>
                <w:sz w:val="20"/>
              </w:rPr>
              <w:t>0.000000</w:t>
            </w:r>
          </w:p>
        </w:tc>
        <w:tc>
          <w:tcPr>
            <w:tcW w:w="1410" w:type="dxa"/>
          </w:tcPr>
          <w:p>
            <w:pPr>
              <w:pStyle w:val="TableParagraph"/>
              <w:spacing w:line="209" w:lineRule="exact"/>
              <w:ind w:left="49" w:right="50"/>
              <w:jc w:val="center"/>
              <w:rPr>
                <w:sz w:val="20"/>
              </w:rPr>
            </w:pPr>
            <w:r>
              <w:rPr>
                <w:spacing w:val="-4"/>
                <w:sz w:val="20"/>
              </w:rPr>
              <w:t>-</w:t>
            </w:r>
            <w:r>
              <w:rPr>
                <w:spacing w:val="-2"/>
                <w:sz w:val="20"/>
              </w:rPr>
              <w:t>1.104937</w:t>
            </w:r>
          </w:p>
        </w:tc>
        <w:tc>
          <w:tcPr>
            <w:tcW w:w="1407" w:type="dxa"/>
          </w:tcPr>
          <w:p>
            <w:pPr>
              <w:pStyle w:val="TableParagraph"/>
              <w:spacing w:line="209" w:lineRule="exact"/>
              <w:ind w:left="56" w:right="5"/>
              <w:jc w:val="center"/>
              <w:rPr>
                <w:sz w:val="20"/>
              </w:rPr>
            </w:pPr>
            <w:r>
              <w:rPr>
                <w:spacing w:val="-2"/>
                <w:sz w:val="20"/>
              </w:rPr>
              <w:t>0.128209</w:t>
            </w:r>
          </w:p>
        </w:tc>
      </w:tr>
      <w:tr>
        <w:trPr>
          <w:trHeight w:val="230" w:hRule="atLeast"/>
        </w:trPr>
        <w:tc>
          <w:tcPr>
            <w:tcW w:w="1472" w:type="dxa"/>
          </w:tcPr>
          <w:p>
            <w:pPr>
              <w:pStyle w:val="TableParagraph"/>
              <w:rPr>
                <w:sz w:val="16"/>
              </w:rPr>
            </w:pPr>
          </w:p>
        </w:tc>
        <w:tc>
          <w:tcPr>
            <w:tcW w:w="1376" w:type="dxa"/>
          </w:tcPr>
          <w:p>
            <w:pPr>
              <w:pStyle w:val="TableParagraph"/>
              <w:rPr>
                <w:sz w:val="16"/>
              </w:rPr>
            </w:pPr>
          </w:p>
        </w:tc>
        <w:tc>
          <w:tcPr>
            <w:tcW w:w="1383" w:type="dxa"/>
          </w:tcPr>
          <w:p>
            <w:pPr>
              <w:pStyle w:val="TableParagraph"/>
              <w:rPr>
                <w:sz w:val="16"/>
              </w:rPr>
            </w:pPr>
          </w:p>
        </w:tc>
        <w:tc>
          <w:tcPr>
            <w:tcW w:w="1389" w:type="dxa"/>
          </w:tcPr>
          <w:p>
            <w:pPr>
              <w:pStyle w:val="TableParagraph"/>
              <w:rPr>
                <w:sz w:val="16"/>
              </w:rPr>
            </w:pPr>
          </w:p>
        </w:tc>
        <w:tc>
          <w:tcPr>
            <w:tcW w:w="1411" w:type="dxa"/>
          </w:tcPr>
          <w:p>
            <w:pPr>
              <w:pStyle w:val="TableParagraph"/>
              <w:rPr>
                <w:sz w:val="16"/>
              </w:rPr>
            </w:pPr>
          </w:p>
        </w:tc>
        <w:tc>
          <w:tcPr>
            <w:tcW w:w="1410" w:type="dxa"/>
          </w:tcPr>
          <w:p>
            <w:pPr>
              <w:pStyle w:val="TableParagraph"/>
              <w:spacing w:line="210" w:lineRule="exact"/>
              <w:ind w:left="55" w:right="6"/>
              <w:jc w:val="center"/>
              <w:rPr>
                <w:sz w:val="20"/>
              </w:rPr>
            </w:pPr>
            <w:r>
              <w:rPr>
                <w:spacing w:val="-2"/>
                <w:sz w:val="20"/>
              </w:rPr>
              <w:t>(0.65308)</w:t>
            </w:r>
          </w:p>
        </w:tc>
        <w:tc>
          <w:tcPr>
            <w:tcW w:w="1407" w:type="dxa"/>
          </w:tcPr>
          <w:p>
            <w:pPr>
              <w:pStyle w:val="TableParagraph"/>
              <w:rPr>
                <w:sz w:val="16"/>
              </w:rPr>
            </w:pPr>
          </w:p>
        </w:tc>
      </w:tr>
      <w:tr>
        <w:trPr>
          <w:trHeight w:val="230" w:hRule="atLeast"/>
        </w:trPr>
        <w:tc>
          <w:tcPr>
            <w:tcW w:w="1472" w:type="dxa"/>
          </w:tcPr>
          <w:p>
            <w:pPr>
              <w:pStyle w:val="TableParagraph"/>
              <w:spacing w:line="210" w:lineRule="exact"/>
              <w:ind w:left="346"/>
              <w:rPr>
                <w:sz w:val="20"/>
              </w:rPr>
            </w:pPr>
            <w:r>
              <w:rPr>
                <w:spacing w:val="-2"/>
                <w:sz w:val="20"/>
              </w:rPr>
              <w:t>0.000000</w:t>
            </w:r>
          </w:p>
        </w:tc>
        <w:tc>
          <w:tcPr>
            <w:tcW w:w="1376" w:type="dxa"/>
          </w:tcPr>
          <w:p>
            <w:pPr>
              <w:pStyle w:val="TableParagraph"/>
              <w:spacing w:line="210" w:lineRule="exact"/>
              <w:ind w:left="270"/>
              <w:rPr>
                <w:sz w:val="20"/>
              </w:rPr>
            </w:pPr>
            <w:r>
              <w:rPr>
                <w:spacing w:val="-2"/>
                <w:sz w:val="20"/>
              </w:rPr>
              <w:t>0.000000</w:t>
            </w:r>
          </w:p>
        </w:tc>
        <w:tc>
          <w:tcPr>
            <w:tcW w:w="1383" w:type="dxa"/>
          </w:tcPr>
          <w:p>
            <w:pPr>
              <w:pStyle w:val="TableParagraph"/>
              <w:spacing w:line="210" w:lineRule="exact"/>
              <w:ind w:right="23"/>
              <w:jc w:val="center"/>
              <w:rPr>
                <w:sz w:val="20"/>
              </w:rPr>
            </w:pPr>
            <w:r>
              <w:rPr>
                <w:spacing w:val="-2"/>
                <w:sz w:val="20"/>
              </w:rPr>
              <w:t>0.000000</w:t>
            </w:r>
          </w:p>
        </w:tc>
        <w:tc>
          <w:tcPr>
            <w:tcW w:w="1389" w:type="dxa"/>
          </w:tcPr>
          <w:p>
            <w:pPr>
              <w:pStyle w:val="TableParagraph"/>
              <w:spacing w:line="210" w:lineRule="exact"/>
              <w:ind w:left="49" w:right="25"/>
              <w:jc w:val="center"/>
              <w:rPr>
                <w:sz w:val="20"/>
              </w:rPr>
            </w:pPr>
            <w:r>
              <w:rPr>
                <w:spacing w:val="-2"/>
                <w:sz w:val="20"/>
              </w:rPr>
              <w:t>1.000000</w:t>
            </w:r>
          </w:p>
        </w:tc>
        <w:tc>
          <w:tcPr>
            <w:tcW w:w="1411" w:type="dxa"/>
          </w:tcPr>
          <w:p>
            <w:pPr>
              <w:pStyle w:val="TableParagraph"/>
              <w:spacing w:line="210" w:lineRule="exact"/>
              <w:ind w:left="53" w:right="6"/>
              <w:jc w:val="center"/>
              <w:rPr>
                <w:sz w:val="20"/>
              </w:rPr>
            </w:pPr>
            <w:r>
              <w:rPr>
                <w:spacing w:val="-2"/>
                <w:sz w:val="20"/>
              </w:rPr>
              <w:t>0.000000</w:t>
            </w:r>
          </w:p>
        </w:tc>
        <w:tc>
          <w:tcPr>
            <w:tcW w:w="1410" w:type="dxa"/>
          </w:tcPr>
          <w:p>
            <w:pPr>
              <w:pStyle w:val="TableParagraph"/>
              <w:spacing w:line="210" w:lineRule="exact"/>
              <w:ind w:left="49" w:right="50"/>
              <w:jc w:val="center"/>
              <w:rPr>
                <w:sz w:val="20"/>
              </w:rPr>
            </w:pPr>
            <w:r>
              <w:rPr>
                <w:spacing w:val="-4"/>
                <w:sz w:val="20"/>
              </w:rPr>
              <w:t>-</w:t>
            </w:r>
            <w:r>
              <w:rPr>
                <w:spacing w:val="-2"/>
                <w:sz w:val="20"/>
              </w:rPr>
              <w:t>1.123012</w:t>
            </w:r>
          </w:p>
        </w:tc>
        <w:tc>
          <w:tcPr>
            <w:tcW w:w="1407" w:type="dxa"/>
          </w:tcPr>
          <w:p>
            <w:pPr>
              <w:pStyle w:val="TableParagraph"/>
              <w:spacing w:line="210" w:lineRule="exact"/>
              <w:ind w:left="56" w:right="5"/>
              <w:jc w:val="center"/>
              <w:rPr>
                <w:sz w:val="20"/>
              </w:rPr>
            </w:pPr>
            <w:r>
              <w:rPr>
                <w:spacing w:val="-2"/>
                <w:sz w:val="20"/>
              </w:rPr>
              <w:t>0.595826</w:t>
            </w:r>
          </w:p>
        </w:tc>
      </w:tr>
      <w:tr>
        <w:trPr>
          <w:trHeight w:val="230" w:hRule="atLeast"/>
        </w:trPr>
        <w:tc>
          <w:tcPr>
            <w:tcW w:w="1472" w:type="dxa"/>
          </w:tcPr>
          <w:p>
            <w:pPr>
              <w:pStyle w:val="TableParagraph"/>
              <w:rPr>
                <w:sz w:val="16"/>
              </w:rPr>
            </w:pPr>
          </w:p>
        </w:tc>
        <w:tc>
          <w:tcPr>
            <w:tcW w:w="1376" w:type="dxa"/>
          </w:tcPr>
          <w:p>
            <w:pPr>
              <w:pStyle w:val="TableParagraph"/>
              <w:rPr>
                <w:sz w:val="16"/>
              </w:rPr>
            </w:pPr>
          </w:p>
        </w:tc>
        <w:tc>
          <w:tcPr>
            <w:tcW w:w="1383" w:type="dxa"/>
          </w:tcPr>
          <w:p>
            <w:pPr>
              <w:pStyle w:val="TableParagraph"/>
              <w:rPr>
                <w:sz w:val="16"/>
              </w:rPr>
            </w:pPr>
          </w:p>
        </w:tc>
        <w:tc>
          <w:tcPr>
            <w:tcW w:w="1389" w:type="dxa"/>
          </w:tcPr>
          <w:p>
            <w:pPr>
              <w:pStyle w:val="TableParagraph"/>
              <w:rPr>
                <w:sz w:val="16"/>
              </w:rPr>
            </w:pPr>
          </w:p>
        </w:tc>
        <w:tc>
          <w:tcPr>
            <w:tcW w:w="1411" w:type="dxa"/>
          </w:tcPr>
          <w:p>
            <w:pPr>
              <w:pStyle w:val="TableParagraph"/>
              <w:rPr>
                <w:sz w:val="16"/>
              </w:rPr>
            </w:pPr>
          </w:p>
        </w:tc>
        <w:tc>
          <w:tcPr>
            <w:tcW w:w="1410" w:type="dxa"/>
          </w:tcPr>
          <w:p>
            <w:pPr>
              <w:pStyle w:val="TableParagraph"/>
              <w:spacing w:line="210" w:lineRule="exact"/>
              <w:ind w:left="55" w:right="6"/>
              <w:jc w:val="center"/>
              <w:rPr>
                <w:sz w:val="20"/>
              </w:rPr>
            </w:pPr>
            <w:r>
              <w:rPr>
                <w:spacing w:val="-2"/>
                <w:sz w:val="20"/>
              </w:rPr>
              <w:t>(0.24427)</w:t>
            </w:r>
          </w:p>
        </w:tc>
        <w:tc>
          <w:tcPr>
            <w:tcW w:w="1407" w:type="dxa"/>
          </w:tcPr>
          <w:p>
            <w:pPr>
              <w:pStyle w:val="TableParagraph"/>
              <w:rPr>
                <w:sz w:val="16"/>
              </w:rPr>
            </w:pPr>
          </w:p>
        </w:tc>
      </w:tr>
      <w:tr>
        <w:trPr>
          <w:trHeight w:val="229" w:hRule="atLeast"/>
        </w:trPr>
        <w:tc>
          <w:tcPr>
            <w:tcW w:w="1472" w:type="dxa"/>
          </w:tcPr>
          <w:p>
            <w:pPr>
              <w:pStyle w:val="TableParagraph"/>
              <w:spacing w:line="209" w:lineRule="exact"/>
              <w:ind w:left="346"/>
              <w:rPr>
                <w:sz w:val="20"/>
              </w:rPr>
            </w:pPr>
            <w:r>
              <w:rPr>
                <w:spacing w:val="-2"/>
                <w:sz w:val="20"/>
              </w:rPr>
              <w:t>0.000000</w:t>
            </w:r>
          </w:p>
        </w:tc>
        <w:tc>
          <w:tcPr>
            <w:tcW w:w="1376" w:type="dxa"/>
          </w:tcPr>
          <w:p>
            <w:pPr>
              <w:pStyle w:val="TableParagraph"/>
              <w:spacing w:line="209" w:lineRule="exact"/>
              <w:ind w:left="270"/>
              <w:rPr>
                <w:sz w:val="20"/>
              </w:rPr>
            </w:pPr>
            <w:r>
              <w:rPr>
                <w:spacing w:val="-2"/>
                <w:sz w:val="20"/>
              </w:rPr>
              <w:t>0.000000</w:t>
            </w:r>
          </w:p>
        </w:tc>
        <w:tc>
          <w:tcPr>
            <w:tcW w:w="1383" w:type="dxa"/>
          </w:tcPr>
          <w:p>
            <w:pPr>
              <w:pStyle w:val="TableParagraph"/>
              <w:spacing w:line="209" w:lineRule="exact"/>
              <w:ind w:right="23"/>
              <w:jc w:val="center"/>
              <w:rPr>
                <w:sz w:val="20"/>
              </w:rPr>
            </w:pPr>
            <w:r>
              <w:rPr>
                <w:spacing w:val="-2"/>
                <w:sz w:val="20"/>
              </w:rPr>
              <w:t>0.000000</w:t>
            </w:r>
          </w:p>
        </w:tc>
        <w:tc>
          <w:tcPr>
            <w:tcW w:w="1389" w:type="dxa"/>
          </w:tcPr>
          <w:p>
            <w:pPr>
              <w:pStyle w:val="TableParagraph"/>
              <w:spacing w:line="209" w:lineRule="exact"/>
              <w:ind w:left="49" w:right="25"/>
              <w:jc w:val="center"/>
              <w:rPr>
                <w:sz w:val="20"/>
              </w:rPr>
            </w:pPr>
            <w:r>
              <w:rPr>
                <w:spacing w:val="-2"/>
                <w:sz w:val="20"/>
              </w:rPr>
              <w:t>0.000000</w:t>
            </w:r>
          </w:p>
        </w:tc>
        <w:tc>
          <w:tcPr>
            <w:tcW w:w="1411" w:type="dxa"/>
          </w:tcPr>
          <w:p>
            <w:pPr>
              <w:pStyle w:val="TableParagraph"/>
              <w:spacing w:line="209" w:lineRule="exact"/>
              <w:ind w:left="53" w:right="6"/>
              <w:jc w:val="center"/>
              <w:rPr>
                <w:sz w:val="20"/>
              </w:rPr>
            </w:pPr>
            <w:r>
              <w:rPr>
                <w:spacing w:val="-2"/>
                <w:sz w:val="20"/>
              </w:rPr>
              <w:t>1.000000</w:t>
            </w:r>
          </w:p>
        </w:tc>
        <w:tc>
          <w:tcPr>
            <w:tcW w:w="1410" w:type="dxa"/>
          </w:tcPr>
          <w:p>
            <w:pPr>
              <w:pStyle w:val="TableParagraph"/>
              <w:spacing w:line="209" w:lineRule="exact"/>
              <w:ind w:left="49" w:right="50"/>
              <w:jc w:val="center"/>
              <w:rPr>
                <w:sz w:val="20"/>
              </w:rPr>
            </w:pPr>
            <w:r>
              <w:rPr>
                <w:spacing w:val="-4"/>
                <w:sz w:val="20"/>
              </w:rPr>
              <w:t>-</w:t>
            </w:r>
            <w:r>
              <w:rPr>
                <w:spacing w:val="-2"/>
                <w:sz w:val="20"/>
              </w:rPr>
              <w:t>0.714287</w:t>
            </w:r>
          </w:p>
        </w:tc>
        <w:tc>
          <w:tcPr>
            <w:tcW w:w="1407" w:type="dxa"/>
          </w:tcPr>
          <w:p>
            <w:pPr>
              <w:pStyle w:val="TableParagraph"/>
              <w:spacing w:line="209" w:lineRule="exact"/>
              <w:ind w:left="51" w:right="52"/>
              <w:jc w:val="center"/>
              <w:rPr>
                <w:sz w:val="20"/>
              </w:rPr>
            </w:pPr>
            <w:r>
              <w:rPr>
                <w:spacing w:val="-4"/>
                <w:sz w:val="20"/>
              </w:rPr>
              <w:t>-</w:t>
            </w:r>
            <w:r>
              <w:rPr>
                <w:spacing w:val="-2"/>
                <w:sz w:val="20"/>
              </w:rPr>
              <w:t>2.686314</w:t>
            </w:r>
          </w:p>
        </w:tc>
      </w:tr>
      <w:tr>
        <w:trPr>
          <w:trHeight w:val="344" w:hRule="atLeast"/>
        </w:trPr>
        <w:tc>
          <w:tcPr>
            <w:tcW w:w="1472" w:type="dxa"/>
          </w:tcPr>
          <w:p>
            <w:pPr>
              <w:pStyle w:val="TableParagraph"/>
              <w:rPr>
                <w:sz w:val="18"/>
              </w:rPr>
            </w:pPr>
          </w:p>
        </w:tc>
        <w:tc>
          <w:tcPr>
            <w:tcW w:w="1376" w:type="dxa"/>
          </w:tcPr>
          <w:p>
            <w:pPr>
              <w:pStyle w:val="TableParagraph"/>
              <w:rPr>
                <w:sz w:val="18"/>
              </w:rPr>
            </w:pPr>
          </w:p>
        </w:tc>
        <w:tc>
          <w:tcPr>
            <w:tcW w:w="1383" w:type="dxa"/>
          </w:tcPr>
          <w:p>
            <w:pPr>
              <w:pStyle w:val="TableParagraph"/>
              <w:rPr>
                <w:sz w:val="18"/>
              </w:rPr>
            </w:pPr>
          </w:p>
        </w:tc>
        <w:tc>
          <w:tcPr>
            <w:tcW w:w="1389" w:type="dxa"/>
          </w:tcPr>
          <w:p>
            <w:pPr>
              <w:pStyle w:val="TableParagraph"/>
              <w:rPr>
                <w:sz w:val="18"/>
              </w:rPr>
            </w:pPr>
          </w:p>
        </w:tc>
        <w:tc>
          <w:tcPr>
            <w:tcW w:w="1411" w:type="dxa"/>
          </w:tcPr>
          <w:p>
            <w:pPr>
              <w:pStyle w:val="TableParagraph"/>
              <w:rPr>
                <w:sz w:val="18"/>
              </w:rPr>
            </w:pPr>
          </w:p>
        </w:tc>
        <w:tc>
          <w:tcPr>
            <w:tcW w:w="1410" w:type="dxa"/>
          </w:tcPr>
          <w:p>
            <w:pPr>
              <w:pStyle w:val="TableParagraph"/>
              <w:spacing w:line="224" w:lineRule="exact"/>
              <w:ind w:left="55" w:right="6"/>
              <w:jc w:val="center"/>
              <w:rPr>
                <w:sz w:val="20"/>
              </w:rPr>
            </w:pPr>
            <w:r>
              <w:rPr>
                <w:spacing w:val="-2"/>
                <w:sz w:val="20"/>
              </w:rPr>
              <w:t>(0.43155)</w:t>
            </w:r>
          </w:p>
        </w:tc>
        <w:tc>
          <w:tcPr>
            <w:tcW w:w="1407" w:type="dxa"/>
          </w:tcPr>
          <w:p>
            <w:pPr>
              <w:pStyle w:val="TableParagraph"/>
              <w:rPr>
                <w:sz w:val="18"/>
              </w:rPr>
            </w:pPr>
          </w:p>
        </w:tc>
      </w:tr>
      <w:tr>
        <w:trPr>
          <w:trHeight w:val="383" w:hRule="atLeast"/>
        </w:trPr>
        <w:tc>
          <w:tcPr>
            <w:tcW w:w="1472" w:type="dxa"/>
            <w:tcBorders>
              <w:bottom w:val="single" w:sz="6" w:space="0" w:color="000000"/>
            </w:tcBorders>
          </w:tcPr>
          <w:p>
            <w:pPr>
              <w:pStyle w:val="TableParagraph"/>
              <w:spacing w:before="111"/>
              <w:ind w:left="129"/>
              <w:rPr>
                <w:sz w:val="20"/>
              </w:rPr>
            </w:pPr>
            <w:r>
              <w:rPr>
                <w:sz w:val="20"/>
              </w:rPr>
              <w:t>Log</w:t>
            </w:r>
            <w:r>
              <w:rPr>
                <w:spacing w:val="-6"/>
                <w:sz w:val="20"/>
              </w:rPr>
              <w:t> </w:t>
            </w:r>
            <w:r>
              <w:rPr>
                <w:spacing w:val="-2"/>
                <w:sz w:val="20"/>
              </w:rPr>
              <w:t>likelihood</w:t>
            </w:r>
          </w:p>
        </w:tc>
        <w:tc>
          <w:tcPr>
            <w:tcW w:w="1376" w:type="dxa"/>
            <w:tcBorders>
              <w:bottom w:val="double" w:sz="6" w:space="0" w:color="000000"/>
            </w:tcBorders>
          </w:tcPr>
          <w:p>
            <w:pPr>
              <w:pStyle w:val="TableParagraph"/>
              <w:spacing w:before="111"/>
              <w:ind w:left="210"/>
              <w:rPr>
                <w:sz w:val="20"/>
              </w:rPr>
            </w:pPr>
            <w:r>
              <w:rPr>
                <w:spacing w:val="-4"/>
                <w:sz w:val="20"/>
              </w:rPr>
              <w:t>-</w:t>
            </w:r>
            <w:r>
              <w:rPr>
                <w:spacing w:val="-2"/>
                <w:sz w:val="20"/>
              </w:rPr>
              <w:t>220.9623</w:t>
            </w:r>
          </w:p>
        </w:tc>
        <w:tc>
          <w:tcPr>
            <w:tcW w:w="1383" w:type="dxa"/>
            <w:tcBorders>
              <w:bottom w:val="double" w:sz="6" w:space="0" w:color="000000"/>
            </w:tcBorders>
          </w:tcPr>
          <w:p>
            <w:pPr>
              <w:pStyle w:val="TableParagraph"/>
              <w:rPr>
                <w:sz w:val="18"/>
              </w:rPr>
            </w:pPr>
          </w:p>
        </w:tc>
        <w:tc>
          <w:tcPr>
            <w:tcW w:w="1389" w:type="dxa"/>
            <w:tcBorders>
              <w:bottom w:val="double" w:sz="6" w:space="0" w:color="000000"/>
            </w:tcBorders>
          </w:tcPr>
          <w:p>
            <w:pPr>
              <w:pStyle w:val="TableParagraph"/>
              <w:rPr>
                <w:sz w:val="18"/>
              </w:rPr>
            </w:pPr>
          </w:p>
        </w:tc>
        <w:tc>
          <w:tcPr>
            <w:tcW w:w="1411" w:type="dxa"/>
            <w:tcBorders>
              <w:bottom w:val="double" w:sz="6" w:space="0" w:color="000000"/>
            </w:tcBorders>
          </w:tcPr>
          <w:p>
            <w:pPr>
              <w:pStyle w:val="TableParagraph"/>
              <w:rPr>
                <w:sz w:val="18"/>
              </w:rPr>
            </w:pPr>
          </w:p>
        </w:tc>
        <w:tc>
          <w:tcPr>
            <w:tcW w:w="1410" w:type="dxa"/>
            <w:tcBorders>
              <w:bottom w:val="double" w:sz="6" w:space="0" w:color="000000"/>
            </w:tcBorders>
          </w:tcPr>
          <w:p>
            <w:pPr>
              <w:pStyle w:val="TableParagraph"/>
              <w:rPr>
                <w:sz w:val="18"/>
              </w:rPr>
            </w:pPr>
          </w:p>
        </w:tc>
        <w:tc>
          <w:tcPr>
            <w:tcW w:w="1407" w:type="dxa"/>
            <w:tcBorders>
              <w:bottom w:val="double" w:sz="6" w:space="0" w:color="000000"/>
            </w:tcBorders>
          </w:tcPr>
          <w:p>
            <w:pPr>
              <w:pStyle w:val="TableParagraph"/>
              <w:rPr>
                <w:sz w:val="18"/>
              </w:rPr>
            </w:pPr>
          </w:p>
        </w:tc>
      </w:tr>
    </w:tbl>
    <w:p>
      <w:pPr>
        <w:spacing w:after="0"/>
        <w:rPr>
          <w:sz w:val="18"/>
        </w:rPr>
        <w:sectPr>
          <w:pgSz w:w="11910" w:h="16840"/>
          <w:pgMar w:header="0" w:footer="979" w:top="1400" w:bottom="1240" w:left="280" w:right="0"/>
        </w:sectPr>
      </w:pPr>
    </w:p>
    <w:p>
      <w:pPr>
        <w:spacing w:before="62"/>
        <w:ind w:left="0" w:right="2070" w:firstLine="0"/>
        <w:jc w:val="center"/>
        <w:rPr>
          <w:b/>
          <w:sz w:val="20"/>
        </w:rPr>
      </w:pPr>
      <w:r>
        <w:rPr>
          <w:b/>
          <w:sz w:val="20"/>
        </w:rPr>
        <w:t>APPENDIX</w:t>
      </w:r>
      <w:r>
        <w:rPr>
          <w:b/>
          <w:spacing w:val="-13"/>
          <w:sz w:val="20"/>
        </w:rPr>
        <w:t> </w:t>
      </w:r>
      <w:r>
        <w:rPr>
          <w:b/>
          <w:spacing w:val="-5"/>
          <w:sz w:val="20"/>
        </w:rPr>
        <w:t>A6</w:t>
      </w:r>
    </w:p>
    <w:p>
      <w:pPr>
        <w:spacing w:before="229"/>
        <w:ind w:left="711" w:right="0" w:firstLine="0"/>
        <w:jc w:val="left"/>
        <w:rPr>
          <w:b/>
          <w:sz w:val="20"/>
        </w:rPr>
      </w:pPr>
      <w:r>
        <w:rPr>
          <w:b/>
          <w:sz w:val="20"/>
        </w:rPr>
        <w:t>RESULT</w:t>
      </w:r>
      <w:r>
        <w:rPr>
          <w:b/>
          <w:spacing w:val="-6"/>
          <w:sz w:val="20"/>
        </w:rPr>
        <w:t> </w:t>
      </w:r>
      <w:r>
        <w:rPr>
          <w:b/>
          <w:sz w:val="20"/>
        </w:rPr>
        <w:t>OF</w:t>
      </w:r>
      <w:r>
        <w:rPr>
          <w:b/>
          <w:spacing w:val="-5"/>
          <w:sz w:val="20"/>
        </w:rPr>
        <w:t> </w:t>
      </w:r>
      <w:r>
        <w:rPr>
          <w:b/>
          <w:sz w:val="20"/>
        </w:rPr>
        <w:t>ANALYSES</w:t>
      </w:r>
      <w:r>
        <w:rPr>
          <w:b/>
          <w:spacing w:val="-6"/>
          <w:sz w:val="20"/>
        </w:rPr>
        <w:t> </w:t>
      </w:r>
      <w:r>
        <w:rPr>
          <w:b/>
          <w:sz w:val="20"/>
        </w:rPr>
        <w:t>FOR</w:t>
      </w:r>
      <w:r>
        <w:rPr>
          <w:b/>
          <w:spacing w:val="-5"/>
          <w:sz w:val="20"/>
        </w:rPr>
        <w:t> </w:t>
      </w:r>
      <w:r>
        <w:rPr>
          <w:b/>
          <w:sz w:val="20"/>
        </w:rPr>
        <w:t>MODEL</w:t>
      </w:r>
      <w:r>
        <w:rPr>
          <w:b/>
          <w:spacing w:val="-6"/>
          <w:sz w:val="20"/>
        </w:rPr>
        <w:t> </w:t>
      </w:r>
      <w:r>
        <w:rPr>
          <w:b/>
          <w:sz w:val="20"/>
        </w:rPr>
        <w:t>3A</w:t>
      </w:r>
      <w:r>
        <w:rPr>
          <w:b/>
          <w:spacing w:val="-5"/>
          <w:sz w:val="20"/>
        </w:rPr>
        <w:t> </w:t>
      </w:r>
      <w:r>
        <w:rPr>
          <w:b/>
          <w:sz w:val="20"/>
        </w:rPr>
        <w:t>WORLD</w:t>
      </w:r>
      <w:r>
        <w:rPr>
          <w:b/>
          <w:spacing w:val="-5"/>
          <w:sz w:val="20"/>
        </w:rPr>
        <w:t> </w:t>
      </w:r>
      <w:r>
        <w:rPr>
          <w:b/>
          <w:sz w:val="20"/>
        </w:rPr>
        <w:t>BANK</w:t>
      </w:r>
      <w:r>
        <w:rPr>
          <w:b/>
          <w:spacing w:val="-4"/>
          <w:sz w:val="20"/>
        </w:rPr>
        <w:t> </w:t>
      </w:r>
      <w:r>
        <w:rPr>
          <w:b/>
          <w:sz w:val="20"/>
        </w:rPr>
        <w:t>&amp;</w:t>
      </w:r>
      <w:r>
        <w:rPr>
          <w:b/>
          <w:spacing w:val="-6"/>
          <w:sz w:val="20"/>
        </w:rPr>
        <w:t> </w:t>
      </w:r>
      <w:r>
        <w:rPr>
          <w:b/>
          <w:sz w:val="20"/>
        </w:rPr>
        <w:t>ERBE</w:t>
      </w:r>
      <w:r>
        <w:rPr>
          <w:b/>
          <w:spacing w:val="-5"/>
          <w:sz w:val="20"/>
        </w:rPr>
        <w:t> </w:t>
      </w:r>
      <w:r>
        <w:rPr>
          <w:b/>
          <w:sz w:val="20"/>
        </w:rPr>
        <w:t>1985</w:t>
      </w:r>
      <w:r>
        <w:rPr>
          <w:b/>
          <w:spacing w:val="-5"/>
          <w:sz w:val="20"/>
        </w:rPr>
        <w:t> </w:t>
      </w:r>
      <w:r>
        <w:rPr>
          <w:b/>
          <w:sz w:val="20"/>
        </w:rPr>
        <w:t>ESTIMATES</w:t>
      </w:r>
      <w:r>
        <w:rPr>
          <w:b/>
          <w:spacing w:val="-5"/>
          <w:sz w:val="20"/>
        </w:rPr>
        <w:t> </w:t>
      </w:r>
      <w:r>
        <w:rPr>
          <w:b/>
          <w:sz w:val="20"/>
        </w:rPr>
        <w:t>(PRE-SAP</w:t>
      </w:r>
      <w:r>
        <w:rPr>
          <w:b/>
          <w:spacing w:val="-3"/>
          <w:sz w:val="20"/>
        </w:rPr>
        <w:t> </w:t>
      </w:r>
      <w:r>
        <w:rPr>
          <w:b/>
          <w:spacing w:val="-4"/>
          <w:sz w:val="20"/>
        </w:rPr>
        <w:t>ERA)</w:t>
      </w:r>
    </w:p>
    <w:p>
      <w:pPr>
        <w:pStyle w:val="BodyText"/>
        <w:spacing w:before="2"/>
        <w:rPr>
          <w:b/>
          <w:sz w:val="20"/>
        </w:rPr>
      </w:pPr>
    </w:p>
    <w:tbl>
      <w:tblPr>
        <w:tblW w:w="0" w:type="auto"/>
        <w:jc w:val="left"/>
        <w:tblInd w:w="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10"/>
        <w:gridCol w:w="1313"/>
        <w:gridCol w:w="1433"/>
        <w:gridCol w:w="937"/>
        <w:gridCol w:w="897"/>
      </w:tblGrid>
      <w:tr>
        <w:trPr>
          <w:trHeight w:val="225" w:hRule="atLeast"/>
        </w:trPr>
        <w:tc>
          <w:tcPr>
            <w:tcW w:w="6490" w:type="dxa"/>
            <w:gridSpan w:val="5"/>
          </w:tcPr>
          <w:p>
            <w:pPr>
              <w:pStyle w:val="TableParagraph"/>
              <w:spacing w:line="205" w:lineRule="exact"/>
              <w:ind w:left="36"/>
              <w:rPr>
                <w:sz w:val="20"/>
              </w:rPr>
            </w:pPr>
            <w:r>
              <w:rPr>
                <w:sz w:val="20"/>
              </w:rPr>
              <w:t>Dependent</w:t>
            </w:r>
            <w:r>
              <w:rPr>
                <w:spacing w:val="-8"/>
                <w:sz w:val="20"/>
              </w:rPr>
              <w:t> </w:t>
            </w:r>
            <w:r>
              <w:rPr>
                <w:sz w:val="20"/>
              </w:rPr>
              <w:t>Variable:</w:t>
            </w:r>
            <w:r>
              <w:rPr>
                <w:spacing w:val="-8"/>
                <w:sz w:val="20"/>
              </w:rPr>
              <w:t> </w:t>
            </w:r>
            <w:r>
              <w:rPr>
                <w:spacing w:val="-5"/>
                <w:sz w:val="20"/>
              </w:rPr>
              <w:t>KFW</w:t>
            </w:r>
          </w:p>
        </w:tc>
      </w:tr>
      <w:tr>
        <w:trPr>
          <w:trHeight w:val="230" w:hRule="atLeast"/>
        </w:trPr>
        <w:tc>
          <w:tcPr>
            <w:tcW w:w="1910" w:type="dxa"/>
          </w:tcPr>
          <w:p>
            <w:pPr>
              <w:pStyle w:val="TableParagraph"/>
              <w:spacing w:line="210" w:lineRule="exact"/>
              <w:ind w:left="36"/>
              <w:rPr>
                <w:sz w:val="20"/>
              </w:rPr>
            </w:pPr>
            <w:r>
              <w:rPr>
                <w:sz w:val="20"/>
              </w:rPr>
              <w:t>Method:</w:t>
            </w:r>
            <w:r>
              <w:rPr>
                <w:spacing w:val="-8"/>
                <w:sz w:val="20"/>
              </w:rPr>
              <w:t> </w:t>
            </w:r>
            <w:r>
              <w:rPr>
                <w:sz w:val="20"/>
              </w:rPr>
              <w:t>Least</w:t>
            </w:r>
            <w:r>
              <w:rPr>
                <w:spacing w:val="-7"/>
                <w:sz w:val="20"/>
              </w:rPr>
              <w:t> </w:t>
            </w:r>
            <w:r>
              <w:rPr>
                <w:spacing w:val="-2"/>
                <w:sz w:val="20"/>
              </w:rPr>
              <w:t>Squares</w:t>
            </w:r>
          </w:p>
        </w:tc>
        <w:tc>
          <w:tcPr>
            <w:tcW w:w="1313" w:type="dxa"/>
          </w:tcPr>
          <w:p>
            <w:pPr>
              <w:pStyle w:val="TableParagraph"/>
              <w:rPr>
                <w:sz w:val="16"/>
              </w:rPr>
            </w:pPr>
          </w:p>
        </w:tc>
        <w:tc>
          <w:tcPr>
            <w:tcW w:w="1433" w:type="dxa"/>
          </w:tcPr>
          <w:p>
            <w:pPr>
              <w:pStyle w:val="TableParagraph"/>
              <w:rPr>
                <w:sz w:val="16"/>
              </w:rPr>
            </w:pPr>
          </w:p>
        </w:tc>
        <w:tc>
          <w:tcPr>
            <w:tcW w:w="937" w:type="dxa"/>
          </w:tcPr>
          <w:p>
            <w:pPr>
              <w:pStyle w:val="TableParagraph"/>
              <w:rPr>
                <w:sz w:val="16"/>
              </w:rPr>
            </w:pPr>
          </w:p>
        </w:tc>
        <w:tc>
          <w:tcPr>
            <w:tcW w:w="897" w:type="dxa"/>
          </w:tcPr>
          <w:p>
            <w:pPr>
              <w:pStyle w:val="TableParagraph"/>
              <w:rPr>
                <w:sz w:val="16"/>
              </w:rPr>
            </w:pPr>
          </w:p>
        </w:tc>
      </w:tr>
      <w:tr>
        <w:trPr>
          <w:trHeight w:val="230" w:hRule="atLeast"/>
        </w:trPr>
        <w:tc>
          <w:tcPr>
            <w:tcW w:w="6490" w:type="dxa"/>
            <w:gridSpan w:val="5"/>
          </w:tcPr>
          <w:p>
            <w:pPr>
              <w:pStyle w:val="TableParagraph"/>
              <w:spacing w:line="210" w:lineRule="exact"/>
              <w:ind w:left="36"/>
              <w:rPr>
                <w:sz w:val="20"/>
              </w:rPr>
            </w:pPr>
            <w:r>
              <w:rPr>
                <w:sz w:val="20"/>
              </w:rPr>
              <w:t>Date:</w:t>
            </w:r>
            <w:r>
              <w:rPr>
                <w:spacing w:val="-5"/>
                <w:sz w:val="20"/>
              </w:rPr>
              <w:t> </w:t>
            </w:r>
            <w:r>
              <w:rPr>
                <w:sz w:val="20"/>
              </w:rPr>
              <w:t>02/18/14</w:t>
            </w:r>
            <w:r>
              <w:rPr>
                <w:spacing w:val="63"/>
                <w:w w:val="150"/>
                <w:sz w:val="20"/>
              </w:rPr>
              <w:t> </w:t>
            </w:r>
            <w:r>
              <w:rPr>
                <w:sz w:val="20"/>
              </w:rPr>
              <w:t>Time:</w:t>
            </w:r>
            <w:r>
              <w:rPr>
                <w:spacing w:val="-3"/>
                <w:sz w:val="20"/>
              </w:rPr>
              <w:t> </w:t>
            </w:r>
            <w:r>
              <w:rPr>
                <w:spacing w:val="-2"/>
                <w:sz w:val="20"/>
              </w:rPr>
              <w:t>09:48</w:t>
            </w:r>
          </w:p>
        </w:tc>
      </w:tr>
      <w:tr>
        <w:trPr>
          <w:trHeight w:val="229" w:hRule="atLeast"/>
        </w:trPr>
        <w:tc>
          <w:tcPr>
            <w:tcW w:w="1910" w:type="dxa"/>
          </w:tcPr>
          <w:p>
            <w:pPr>
              <w:pStyle w:val="TableParagraph"/>
              <w:spacing w:line="209" w:lineRule="exact"/>
              <w:ind w:left="36"/>
              <w:rPr>
                <w:sz w:val="20"/>
              </w:rPr>
            </w:pPr>
            <w:r>
              <w:rPr>
                <w:sz w:val="20"/>
              </w:rPr>
              <w:t>Sample:</w:t>
            </w:r>
            <w:r>
              <w:rPr>
                <w:spacing w:val="-5"/>
                <w:sz w:val="20"/>
              </w:rPr>
              <w:t> </w:t>
            </w:r>
            <w:r>
              <w:rPr>
                <w:sz w:val="20"/>
              </w:rPr>
              <w:t>1970</w:t>
            </w:r>
            <w:r>
              <w:rPr>
                <w:spacing w:val="-1"/>
                <w:sz w:val="20"/>
              </w:rPr>
              <w:t> </w:t>
            </w:r>
            <w:r>
              <w:rPr>
                <w:spacing w:val="-4"/>
                <w:sz w:val="20"/>
              </w:rPr>
              <w:t>1985</w:t>
            </w:r>
          </w:p>
        </w:tc>
        <w:tc>
          <w:tcPr>
            <w:tcW w:w="1313" w:type="dxa"/>
          </w:tcPr>
          <w:p>
            <w:pPr>
              <w:pStyle w:val="TableParagraph"/>
              <w:rPr>
                <w:sz w:val="16"/>
              </w:rPr>
            </w:pPr>
          </w:p>
        </w:tc>
        <w:tc>
          <w:tcPr>
            <w:tcW w:w="1433" w:type="dxa"/>
          </w:tcPr>
          <w:p>
            <w:pPr>
              <w:pStyle w:val="TableParagraph"/>
              <w:rPr>
                <w:sz w:val="16"/>
              </w:rPr>
            </w:pPr>
          </w:p>
        </w:tc>
        <w:tc>
          <w:tcPr>
            <w:tcW w:w="937" w:type="dxa"/>
          </w:tcPr>
          <w:p>
            <w:pPr>
              <w:pStyle w:val="TableParagraph"/>
              <w:rPr>
                <w:sz w:val="16"/>
              </w:rPr>
            </w:pPr>
          </w:p>
        </w:tc>
        <w:tc>
          <w:tcPr>
            <w:tcW w:w="897" w:type="dxa"/>
          </w:tcPr>
          <w:p>
            <w:pPr>
              <w:pStyle w:val="TableParagraph"/>
              <w:rPr>
                <w:sz w:val="16"/>
              </w:rPr>
            </w:pPr>
          </w:p>
        </w:tc>
      </w:tr>
      <w:tr>
        <w:trPr>
          <w:trHeight w:val="223" w:hRule="atLeast"/>
        </w:trPr>
        <w:tc>
          <w:tcPr>
            <w:tcW w:w="6490" w:type="dxa"/>
            <w:gridSpan w:val="5"/>
            <w:tcBorders>
              <w:bottom w:val="double" w:sz="6" w:space="0" w:color="000000"/>
            </w:tcBorders>
          </w:tcPr>
          <w:p>
            <w:pPr>
              <w:pStyle w:val="TableParagraph"/>
              <w:spacing w:line="204" w:lineRule="exact"/>
              <w:ind w:left="36"/>
              <w:rPr>
                <w:sz w:val="20"/>
              </w:rPr>
            </w:pPr>
            <w:r>
              <w:rPr>
                <w:sz w:val="20"/>
              </w:rPr>
              <w:t>Included</w:t>
            </w:r>
            <w:r>
              <w:rPr>
                <w:spacing w:val="-9"/>
                <w:sz w:val="20"/>
              </w:rPr>
              <w:t> </w:t>
            </w:r>
            <w:r>
              <w:rPr>
                <w:sz w:val="20"/>
              </w:rPr>
              <w:t>observations:</w:t>
            </w:r>
            <w:r>
              <w:rPr>
                <w:spacing w:val="-10"/>
                <w:sz w:val="20"/>
              </w:rPr>
              <w:t> </w:t>
            </w:r>
            <w:r>
              <w:rPr>
                <w:spacing w:val="-5"/>
                <w:sz w:val="20"/>
              </w:rPr>
              <w:t>16</w:t>
            </w:r>
          </w:p>
        </w:tc>
      </w:tr>
      <w:tr>
        <w:trPr>
          <w:trHeight w:val="271" w:hRule="atLeast"/>
        </w:trPr>
        <w:tc>
          <w:tcPr>
            <w:tcW w:w="1910" w:type="dxa"/>
            <w:tcBorders>
              <w:top w:val="double" w:sz="6" w:space="0" w:color="000000"/>
              <w:bottom w:val="double" w:sz="6" w:space="0" w:color="000000"/>
            </w:tcBorders>
          </w:tcPr>
          <w:p>
            <w:pPr>
              <w:pStyle w:val="TableParagraph"/>
              <w:spacing w:line="209" w:lineRule="exact" w:before="42"/>
              <w:ind w:left="677"/>
              <w:rPr>
                <w:sz w:val="20"/>
              </w:rPr>
            </w:pPr>
            <w:r>
              <w:rPr>
                <w:spacing w:val="-2"/>
                <w:sz w:val="20"/>
              </w:rPr>
              <w:t>Variable</w:t>
            </w:r>
          </w:p>
        </w:tc>
        <w:tc>
          <w:tcPr>
            <w:tcW w:w="1313" w:type="dxa"/>
            <w:tcBorders>
              <w:top w:val="double" w:sz="6" w:space="0" w:color="000000"/>
              <w:bottom w:val="double" w:sz="6" w:space="0" w:color="000000"/>
            </w:tcBorders>
          </w:tcPr>
          <w:p>
            <w:pPr>
              <w:pStyle w:val="TableParagraph"/>
              <w:spacing w:line="209" w:lineRule="exact" w:before="42"/>
              <w:ind w:left="234" w:right="87"/>
              <w:jc w:val="center"/>
              <w:rPr>
                <w:sz w:val="20"/>
              </w:rPr>
            </w:pPr>
            <w:r>
              <w:rPr>
                <w:spacing w:val="-2"/>
                <w:sz w:val="20"/>
              </w:rPr>
              <w:t>Coefficient</w:t>
            </w:r>
          </w:p>
        </w:tc>
        <w:tc>
          <w:tcPr>
            <w:tcW w:w="1433" w:type="dxa"/>
            <w:tcBorders>
              <w:top w:val="double" w:sz="6" w:space="0" w:color="000000"/>
              <w:bottom w:val="double" w:sz="6" w:space="0" w:color="000000"/>
            </w:tcBorders>
          </w:tcPr>
          <w:p>
            <w:pPr>
              <w:pStyle w:val="TableParagraph"/>
              <w:spacing w:line="209" w:lineRule="exact" w:before="42"/>
              <w:ind w:left="272"/>
              <w:rPr>
                <w:sz w:val="20"/>
              </w:rPr>
            </w:pPr>
            <w:r>
              <w:rPr>
                <w:sz w:val="20"/>
              </w:rPr>
              <w:t>Std.</w:t>
            </w:r>
            <w:r>
              <w:rPr>
                <w:spacing w:val="-4"/>
                <w:sz w:val="20"/>
              </w:rPr>
              <w:t> </w:t>
            </w:r>
            <w:r>
              <w:rPr>
                <w:spacing w:val="-2"/>
                <w:sz w:val="20"/>
              </w:rPr>
              <w:t>Error</w:t>
            </w:r>
          </w:p>
        </w:tc>
        <w:tc>
          <w:tcPr>
            <w:tcW w:w="937" w:type="dxa"/>
            <w:tcBorders>
              <w:top w:val="double" w:sz="6" w:space="0" w:color="000000"/>
              <w:bottom w:val="double" w:sz="6" w:space="0" w:color="000000"/>
            </w:tcBorders>
          </w:tcPr>
          <w:p>
            <w:pPr>
              <w:pStyle w:val="TableParagraph"/>
              <w:spacing w:line="209" w:lineRule="exact" w:before="42"/>
              <w:ind w:right="115"/>
              <w:jc w:val="right"/>
              <w:rPr>
                <w:sz w:val="20"/>
              </w:rPr>
            </w:pPr>
            <w:r>
              <w:rPr>
                <w:spacing w:val="-4"/>
                <w:sz w:val="20"/>
              </w:rPr>
              <w:t>t-</w:t>
            </w:r>
            <w:r>
              <w:rPr>
                <w:spacing w:val="-2"/>
                <w:sz w:val="20"/>
              </w:rPr>
              <w:t>Statistic</w:t>
            </w:r>
          </w:p>
        </w:tc>
        <w:tc>
          <w:tcPr>
            <w:tcW w:w="897" w:type="dxa"/>
            <w:tcBorders>
              <w:top w:val="double" w:sz="6" w:space="0" w:color="000000"/>
              <w:bottom w:val="double" w:sz="6" w:space="0" w:color="000000"/>
            </w:tcBorders>
          </w:tcPr>
          <w:p>
            <w:pPr>
              <w:pStyle w:val="TableParagraph"/>
              <w:spacing w:line="209" w:lineRule="exact" w:before="42"/>
              <w:ind w:right="31"/>
              <w:jc w:val="right"/>
              <w:rPr>
                <w:sz w:val="20"/>
              </w:rPr>
            </w:pPr>
            <w:r>
              <w:rPr>
                <w:spacing w:val="-2"/>
                <w:sz w:val="20"/>
              </w:rPr>
              <w:t>Prob.</w:t>
            </w:r>
          </w:p>
        </w:tc>
      </w:tr>
      <w:tr>
        <w:trPr>
          <w:trHeight w:val="275" w:hRule="atLeast"/>
        </w:trPr>
        <w:tc>
          <w:tcPr>
            <w:tcW w:w="1910" w:type="dxa"/>
            <w:tcBorders>
              <w:top w:val="double" w:sz="6" w:space="0" w:color="000000"/>
            </w:tcBorders>
          </w:tcPr>
          <w:p>
            <w:pPr>
              <w:pStyle w:val="TableParagraph"/>
              <w:spacing w:line="215" w:lineRule="exact" w:before="40"/>
              <w:ind w:left="135" w:right="1"/>
              <w:jc w:val="center"/>
              <w:rPr>
                <w:sz w:val="20"/>
              </w:rPr>
            </w:pPr>
            <w:r>
              <w:rPr>
                <w:spacing w:val="-10"/>
                <w:sz w:val="20"/>
              </w:rPr>
              <w:t>C</w:t>
            </w:r>
          </w:p>
        </w:tc>
        <w:tc>
          <w:tcPr>
            <w:tcW w:w="1313" w:type="dxa"/>
            <w:tcBorders>
              <w:top w:val="double" w:sz="6" w:space="0" w:color="000000"/>
            </w:tcBorders>
          </w:tcPr>
          <w:p>
            <w:pPr>
              <w:pStyle w:val="TableParagraph"/>
              <w:spacing w:line="215" w:lineRule="exact" w:before="40"/>
              <w:ind w:left="298"/>
              <w:jc w:val="center"/>
              <w:rPr>
                <w:sz w:val="20"/>
              </w:rPr>
            </w:pPr>
            <w:r>
              <w:rPr>
                <w:spacing w:val="-2"/>
                <w:sz w:val="20"/>
              </w:rPr>
              <w:t>4.926130</w:t>
            </w:r>
          </w:p>
        </w:tc>
        <w:tc>
          <w:tcPr>
            <w:tcW w:w="1433" w:type="dxa"/>
            <w:tcBorders>
              <w:top w:val="double" w:sz="6" w:space="0" w:color="000000"/>
            </w:tcBorders>
          </w:tcPr>
          <w:p>
            <w:pPr>
              <w:pStyle w:val="TableParagraph"/>
              <w:spacing w:line="215" w:lineRule="exact" w:before="40"/>
              <w:ind w:left="310"/>
              <w:rPr>
                <w:sz w:val="20"/>
              </w:rPr>
            </w:pPr>
            <w:r>
              <w:rPr>
                <w:spacing w:val="-2"/>
                <w:sz w:val="20"/>
              </w:rPr>
              <w:t>2.888703</w:t>
            </w:r>
          </w:p>
        </w:tc>
        <w:tc>
          <w:tcPr>
            <w:tcW w:w="937" w:type="dxa"/>
            <w:tcBorders>
              <w:top w:val="double" w:sz="6" w:space="0" w:color="000000"/>
            </w:tcBorders>
          </w:tcPr>
          <w:p>
            <w:pPr>
              <w:pStyle w:val="TableParagraph"/>
              <w:spacing w:line="215" w:lineRule="exact" w:before="40"/>
              <w:ind w:right="113"/>
              <w:jc w:val="right"/>
              <w:rPr>
                <w:sz w:val="20"/>
              </w:rPr>
            </w:pPr>
            <w:r>
              <w:rPr>
                <w:spacing w:val="-2"/>
                <w:sz w:val="20"/>
              </w:rPr>
              <w:t>1.705309</w:t>
            </w:r>
          </w:p>
        </w:tc>
        <w:tc>
          <w:tcPr>
            <w:tcW w:w="897" w:type="dxa"/>
            <w:tcBorders>
              <w:top w:val="double" w:sz="6" w:space="0" w:color="000000"/>
            </w:tcBorders>
          </w:tcPr>
          <w:p>
            <w:pPr>
              <w:pStyle w:val="TableParagraph"/>
              <w:spacing w:line="215" w:lineRule="exact" w:before="40"/>
              <w:ind w:right="30"/>
              <w:jc w:val="right"/>
              <w:rPr>
                <w:sz w:val="20"/>
              </w:rPr>
            </w:pPr>
            <w:r>
              <w:rPr>
                <w:spacing w:val="-2"/>
                <w:sz w:val="20"/>
              </w:rPr>
              <w:t>0.1319</w:t>
            </w:r>
          </w:p>
        </w:tc>
      </w:tr>
      <w:tr>
        <w:trPr>
          <w:trHeight w:val="230" w:hRule="atLeast"/>
        </w:trPr>
        <w:tc>
          <w:tcPr>
            <w:tcW w:w="1910" w:type="dxa"/>
          </w:tcPr>
          <w:p>
            <w:pPr>
              <w:pStyle w:val="TableParagraph"/>
              <w:spacing w:line="210" w:lineRule="exact"/>
              <w:ind w:left="566"/>
              <w:rPr>
                <w:sz w:val="20"/>
              </w:rPr>
            </w:pPr>
            <w:r>
              <w:rPr>
                <w:spacing w:val="-2"/>
                <w:sz w:val="20"/>
              </w:rPr>
              <w:t>EXTDEBT</w:t>
            </w:r>
          </w:p>
        </w:tc>
        <w:tc>
          <w:tcPr>
            <w:tcW w:w="1313" w:type="dxa"/>
          </w:tcPr>
          <w:p>
            <w:pPr>
              <w:pStyle w:val="TableParagraph"/>
              <w:spacing w:line="210" w:lineRule="exact"/>
              <w:ind w:left="298"/>
              <w:jc w:val="center"/>
              <w:rPr>
                <w:sz w:val="20"/>
              </w:rPr>
            </w:pPr>
            <w:r>
              <w:rPr>
                <w:spacing w:val="-2"/>
                <w:sz w:val="20"/>
              </w:rPr>
              <w:t>0.117314</w:t>
            </w:r>
          </w:p>
        </w:tc>
        <w:tc>
          <w:tcPr>
            <w:tcW w:w="1433" w:type="dxa"/>
          </w:tcPr>
          <w:p>
            <w:pPr>
              <w:pStyle w:val="TableParagraph"/>
              <w:spacing w:line="210" w:lineRule="exact"/>
              <w:ind w:left="310"/>
              <w:rPr>
                <w:sz w:val="20"/>
              </w:rPr>
            </w:pPr>
            <w:r>
              <w:rPr>
                <w:spacing w:val="-2"/>
                <w:sz w:val="20"/>
              </w:rPr>
              <w:t>0.075269</w:t>
            </w:r>
          </w:p>
        </w:tc>
        <w:tc>
          <w:tcPr>
            <w:tcW w:w="937" w:type="dxa"/>
          </w:tcPr>
          <w:p>
            <w:pPr>
              <w:pStyle w:val="TableParagraph"/>
              <w:spacing w:line="210" w:lineRule="exact"/>
              <w:ind w:right="113"/>
              <w:jc w:val="right"/>
              <w:rPr>
                <w:sz w:val="20"/>
              </w:rPr>
            </w:pPr>
            <w:r>
              <w:rPr>
                <w:spacing w:val="-2"/>
                <w:sz w:val="20"/>
              </w:rPr>
              <w:t>1.558605</w:t>
            </w:r>
          </w:p>
        </w:tc>
        <w:tc>
          <w:tcPr>
            <w:tcW w:w="897" w:type="dxa"/>
          </w:tcPr>
          <w:p>
            <w:pPr>
              <w:pStyle w:val="TableParagraph"/>
              <w:spacing w:line="210" w:lineRule="exact"/>
              <w:ind w:right="30"/>
              <w:jc w:val="right"/>
              <w:rPr>
                <w:sz w:val="20"/>
              </w:rPr>
            </w:pPr>
            <w:r>
              <w:rPr>
                <w:spacing w:val="-2"/>
                <w:sz w:val="20"/>
              </w:rPr>
              <w:t>0.1631</w:t>
            </w:r>
          </w:p>
        </w:tc>
      </w:tr>
      <w:tr>
        <w:trPr>
          <w:trHeight w:val="229" w:hRule="atLeast"/>
        </w:trPr>
        <w:tc>
          <w:tcPr>
            <w:tcW w:w="1910" w:type="dxa"/>
          </w:tcPr>
          <w:p>
            <w:pPr>
              <w:pStyle w:val="TableParagraph"/>
              <w:spacing w:line="209" w:lineRule="exact"/>
              <w:ind w:left="135" w:right="4"/>
              <w:jc w:val="center"/>
              <w:rPr>
                <w:sz w:val="20"/>
              </w:rPr>
            </w:pPr>
            <w:r>
              <w:rPr>
                <w:spacing w:val="-5"/>
                <w:sz w:val="20"/>
              </w:rPr>
              <w:t>DOP</w:t>
            </w:r>
          </w:p>
        </w:tc>
        <w:tc>
          <w:tcPr>
            <w:tcW w:w="1313" w:type="dxa"/>
          </w:tcPr>
          <w:p>
            <w:pPr>
              <w:pStyle w:val="TableParagraph"/>
              <w:spacing w:line="209" w:lineRule="exact"/>
              <w:ind w:left="234"/>
              <w:jc w:val="center"/>
              <w:rPr>
                <w:sz w:val="20"/>
              </w:rPr>
            </w:pPr>
            <w:r>
              <w:rPr>
                <w:spacing w:val="-4"/>
                <w:sz w:val="20"/>
              </w:rPr>
              <w:t>-</w:t>
            </w:r>
            <w:r>
              <w:rPr>
                <w:spacing w:val="-2"/>
                <w:sz w:val="20"/>
              </w:rPr>
              <w:t>0.239300</w:t>
            </w:r>
          </w:p>
        </w:tc>
        <w:tc>
          <w:tcPr>
            <w:tcW w:w="1433" w:type="dxa"/>
          </w:tcPr>
          <w:p>
            <w:pPr>
              <w:pStyle w:val="TableParagraph"/>
              <w:spacing w:line="209" w:lineRule="exact"/>
              <w:ind w:left="310"/>
              <w:rPr>
                <w:sz w:val="20"/>
              </w:rPr>
            </w:pPr>
            <w:r>
              <w:rPr>
                <w:spacing w:val="-2"/>
                <w:sz w:val="20"/>
              </w:rPr>
              <w:t>1.020242</w:t>
            </w:r>
          </w:p>
        </w:tc>
        <w:tc>
          <w:tcPr>
            <w:tcW w:w="937" w:type="dxa"/>
          </w:tcPr>
          <w:p>
            <w:pPr>
              <w:pStyle w:val="TableParagraph"/>
              <w:spacing w:line="209" w:lineRule="exact"/>
              <w:ind w:right="113"/>
              <w:jc w:val="right"/>
              <w:rPr>
                <w:sz w:val="20"/>
              </w:rPr>
            </w:pPr>
            <w:r>
              <w:rPr>
                <w:spacing w:val="-4"/>
                <w:sz w:val="20"/>
              </w:rPr>
              <w:t>-</w:t>
            </w:r>
            <w:r>
              <w:rPr>
                <w:spacing w:val="-2"/>
                <w:sz w:val="20"/>
              </w:rPr>
              <w:t>0.234552</w:t>
            </w:r>
          </w:p>
        </w:tc>
        <w:tc>
          <w:tcPr>
            <w:tcW w:w="897" w:type="dxa"/>
          </w:tcPr>
          <w:p>
            <w:pPr>
              <w:pStyle w:val="TableParagraph"/>
              <w:spacing w:line="209" w:lineRule="exact"/>
              <w:ind w:right="30"/>
              <w:jc w:val="right"/>
              <w:rPr>
                <w:sz w:val="20"/>
              </w:rPr>
            </w:pPr>
            <w:r>
              <w:rPr>
                <w:spacing w:val="-2"/>
                <w:sz w:val="20"/>
              </w:rPr>
              <w:t>0.8213</w:t>
            </w:r>
          </w:p>
        </w:tc>
      </w:tr>
      <w:tr>
        <w:trPr>
          <w:trHeight w:val="229" w:hRule="atLeast"/>
        </w:trPr>
        <w:tc>
          <w:tcPr>
            <w:tcW w:w="1910" w:type="dxa"/>
          </w:tcPr>
          <w:p>
            <w:pPr>
              <w:pStyle w:val="TableParagraph"/>
              <w:spacing w:line="209" w:lineRule="exact"/>
              <w:ind w:left="135"/>
              <w:jc w:val="center"/>
              <w:rPr>
                <w:sz w:val="20"/>
              </w:rPr>
            </w:pPr>
            <w:r>
              <w:rPr>
                <w:spacing w:val="-5"/>
                <w:sz w:val="20"/>
              </w:rPr>
              <w:t>INF</w:t>
            </w:r>
          </w:p>
        </w:tc>
        <w:tc>
          <w:tcPr>
            <w:tcW w:w="1313" w:type="dxa"/>
          </w:tcPr>
          <w:p>
            <w:pPr>
              <w:pStyle w:val="TableParagraph"/>
              <w:spacing w:line="209" w:lineRule="exact"/>
              <w:ind w:left="234"/>
              <w:jc w:val="center"/>
              <w:rPr>
                <w:sz w:val="20"/>
              </w:rPr>
            </w:pPr>
            <w:r>
              <w:rPr>
                <w:spacing w:val="-4"/>
                <w:sz w:val="20"/>
              </w:rPr>
              <w:t>-</w:t>
            </w:r>
            <w:r>
              <w:rPr>
                <w:spacing w:val="-2"/>
                <w:sz w:val="20"/>
              </w:rPr>
              <w:t>0.151389</w:t>
            </w:r>
          </w:p>
        </w:tc>
        <w:tc>
          <w:tcPr>
            <w:tcW w:w="1433" w:type="dxa"/>
          </w:tcPr>
          <w:p>
            <w:pPr>
              <w:pStyle w:val="TableParagraph"/>
              <w:spacing w:line="209" w:lineRule="exact"/>
              <w:ind w:left="310"/>
              <w:rPr>
                <w:sz w:val="20"/>
              </w:rPr>
            </w:pPr>
            <w:r>
              <w:rPr>
                <w:spacing w:val="-2"/>
                <w:sz w:val="20"/>
              </w:rPr>
              <w:t>0.208423</w:t>
            </w:r>
          </w:p>
        </w:tc>
        <w:tc>
          <w:tcPr>
            <w:tcW w:w="937" w:type="dxa"/>
          </w:tcPr>
          <w:p>
            <w:pPr>
              <w:pStyle w:val="TableParagraph"/>
              <w:spacing w:line="209" w:lineRule="exact"/>
              <w:ind w:right="113"/>
              <w:jc w:val="right"/>
              <w:rPr>
                <w:sz w:val="20"/>
              </w:rPr>
            </w:pPr>
            <w:r>
              <w:rPr>
                <w:spacing w:val="-4"/>
                <w:sz w:val="20"/>
              </w:rPr>
              <w:t>-</w:t>
            </w:r>
            <w:r>
              <w:rPr>
                <w:spacing w:val="-2"/>
                <w:sz w:val="20"/>
              </w:rPr>
              <w:t>0.726356</w:t>
            </w:r>
          </w:p>
        </w:tc>
        <w:tc>
          <w:tcPr>
            <w:tcW w:w="897" w:type="dxa"/>
          </w:tcPr>
          <w:p>
            <w:pPr>
              <w:pStyle w:val="TableParagraph"/>
              <w:spacing w:line="209" w:lineRule="exact"/>
              <w:ind w:right="30"/>
              <w:jc w:val="right"/>
              <w:rPr>
                <w:sz w:val="20"/>
              </w:rPr>
            </w:pPr>
            <w:r>
              <w:rPr>
                <w:spacing w:val="-2"/>
                <w:sz w:val="20"/>
              </w:rPr>
              <w:t>0.4912</w:t>
            </w:r>
          </w:p>
        </w:tc>
      </w:tr>
      <w:tr>
        <w:trPr>
          <w:trHeight w:val="230" w:hRule="atLeast"/>
        </w:trPr>
        <w:tc>
          <w:tcPr>
            <w:tcW w:w="1910" w:type="dxa"/>
          </w:tcPr>
          <w:p>
            <w:pPr>
              <w:pStyle w:val="TableParagraph"/>
              <w:spacing w:line="211" w:lineRule="exact"/>
              <w:ind w:left="135" w:right="2"/>
              <w:jc w:val="center"/>
              <w:rPr>
                <w:sz w:val="20"/>
              </w:rPr>
            </w:pPr>
            <w:r>
              <w:rPr>
                <w:spacing w:val="-5"/>
                <w:sz w:val="20"/>
              </w:rPr>
              <w:t>GCF</w:t>
            </w:r>
          </w:p>
        </w:tc>
        <w:tc>
          <w:tcPr>
            <w:tcW w:w="1313" w:type="dxa"/>
          </w:tcPr>
          <w:p>
            <w:pPr>
              <w:pStyle w:val="TableParagraph"/>
              <w:spacing w:line="211" w:lineRule="exact"/>
              <w:ind w:left="298"/>
              <w:jc w:val="center"/>
              <w:rPr>
                <w:sz w:val="20"/>
              </w:rPr>
            </w:pPr>
            <w:r>
              <w:rPr>
                <w:spacing w:val="-2"/>
                <w:sz w:val="20"/>
              </w:rPr>
              <w:t>0.070704</w:t>
            </w:r>
          </w:p>
        </w:tc>
        <w:tc>
          <w:tcPr>
            <w:tcW w:w="1433" w:type="dxa"/>
          </w:tcPr>
          <w:p>
            <w:pPr>
              <w:pStyle w:val="TableParagraph"/>
              <w:spacing w:line="211" w:lineRule="exact"/>
              <w:ind w:left="310"/>
              <w:rPr>
                <w:sz w:val="20"/>
              </w:rPr>
            </w:pPr>
            <w:r>
              <w:rPr>
                <w:spacing w:val="-2"/>
                <w:sz w:val="20"/>
              </w:rPr>
              <w:t>0.139189</w:t>
            </w:r>
          </w:p>
        </w:tc>
        <w:tc>
          <w:tcPr>
            <w:tcW w:w="937" w:type="dxa"/>
          </w:tcPr>
          <w:p>
            <w:pPr>
              <w:pStyle w:val="TableParagraph"/>
              <w:spacing w:line="211" w:lineRule="exact"/>
              <w:ind w:right="113"/>
              <w:jc w:val="right"/>
              <w:rPr>
                <w:sz w:val="20"/>
              </w:rPr>
            </w:pPr>
            <w:r>
              <w:rPr>
                <w:spacing w:val="-2"/>
                <w:sz w:val="20"/>
              </w:rPr>
              <w:t>0.507973</w:t>
            </w:r>
          </w:p>
        </w:tc>
        <w:tc>
          <w:tcPr>
            <w:tcW w:w="897" w:type="dxa"/>
          </w:tcPr>
          <w:p>
            <w:pPr>
              <w:pStyle w:val="TableParagraph"/>
              <w:spacing w:line="211" w:lineRule="exact"/>
              <w:ind w:right="30"/>
              <w:jc w:val="right"/>
              <w:rPr>
                <w:sz w:val="20"/>
              </w:rPr>
            </w:pPr>
            <w:r>
              <w:rPr>
                <w:spacing w:val="-2"/>
                <w:sz w:val="20"/>
              </w:rPr>
              <w:t>0.6271</w:t>
            </w:r>
          </w:p>
        </w:tc>
      </w:tr>
      <w:tr>
        <w:trPr>
          <w:trHeight w:val="230" w:hRule="atLeast"/>
        </w:trPr>
        <w:tc>
          <w:tcPr>
            <w:tcW w:w="1910" w:type="dxa"/>
          </w:tcPr>
          <w:p>
            <w:pPr>
              <w:pStyle w:val="TableParagraph"/>
              <w:spacing w:line="211" w:lineRule="exact"/>
              <w:ind w:left="135" w:right="1"/>
              <w:jc w:val="center"/>
              <w:rPr>
                <w:sz w:val="20"/>
              </w:rPr>
            </w:pPr>
            <w:r>
              <w:rPr>
                <w:spacing w:val="-5"/>
                <w:sz w:val="20"/>
              </w:rPr>
              <w:t>DR</w:t>
            </w:r>
          </w:p>
        </w:tc>
        <w:tc>
          <w:tcPr>
            <w:tcW w:w="1313" w:type="dxa"/>
          </w:tcPr>
          <w:p>
            <w:pPr>
              <w:pStyle w:val="TableParagraph"/>
              <w:spacing w:line="211" w:lineRule="exact"/>
              <w:ind w:left="298"/>
              <w:jc w:val="center"/>
              <w:rPr>
                <w:sz w:val="20"/>
              </w:rPr>
            </w:pPr>
            <w:r>
              <w:rPr>
                <w:spacing w:val="-2"/>
                <w:sz w:val="20"/>
              </w:rPr>
              <w:t>0.793791</w:t>
            </w:r>
          </w:p>
        </w:tc>
        <w:tc>
          <w:tcPr>
            <w:tcW w:w="1433" w:type="dxa"/>
          </w:tcPr>
          <w:p>
            <w:pPr>
              <w:pStyle w:val="TableParagraph"/>
              <w:spacing w:line="211" w:lineRule="exact"/>
              <w:ind w:left="310"/>
              <w:rPr>
                <w:sz w:val="20"/>
              </w:rPr>
            </w:pPr>
            <w:r>
              <w:rPr>
                <w:spacing w:val="-2"/>
                <w:sz w:val="20"/>
              </w:rPr>
              <w:t>1.591293</w:t>
            </w:r>
          </w:p>
        </w:tc>
        <w:tc>
          <w:tcPr>
            <w:tcW w:w="937" w:type="dxa"/>
          </w:tcPr>
          <w:p>
            <w:pPr>
              <w:pStyle w:val="TableParagraph"/>
              <w:spacing w:line="211" w:lineRule="exact"/>
              <w:ind w:right="113"/>
              <w:jc w:val="right"/>
              <w:rPr>
                <w:sz w:val="20"/>
              </w:rPr>
            </w:pPr>
            <w:r>
              <w:rPr>
                <w:spacing w:val="-2"/>
                <w:sz w:val="20"/>
              </w:rPr>
              <w:t>0.498834</w:t>
            </w:r>
          </w:p>
        </w:tc>
        <w:tc>
          <w:tcPr>
            <w:tcW w:w="897" w:type="dxa"/>
          </w:tcPr>
          <w:p>
            <w:pPr>
              <w:pStyle w:val="TableParagraph"/>
              <w:spacing w:line="211" w:lineRule="exact"/>
              <w:ind w:right="30"/>
              <w:jc w:val="right"/>
              <w:rPr>
                <w:sz w:val="20"/>
              </w:rPr>
            </w:pPr>
            <w:r>
              <w:rPr>
                <w:spacing w:val="-2"/>
                <w:sz w:val="20"/>
              </w:rPr>
              <w:t>0.6332</w:t>
            </w:r>
          </w:p>
        </w:tc>
      </w:tr>
      <w:tr>
        <w:trPr>
          <w:trHeight w:val="230" w:hRule="atLeast"/>
        </w:trPr>
        <w:tc>
          <w:tcPr>
            <w:tcW w:w="1910" w:type="dxa"/>
          </w:tcPr>
          <w:p>
            <w:pPr>
              <w:pStyle w:val="TableParagraph"/>
              <w:spacing w:line="210" w:lineRule="exact"/>
              <w:ind w:left="660"/>
              <w:rPr>
                <w:sz w:val="20"/>
              </w:rPr>
            </w:pPr>
            <w:r>
              <w:rPr>
                <w:spacing w:val="-2"/>
                <w:sz w:val="20"/>
              </w:rPr>
              <w:t>PRIVCR</w:t>
            </w:r>
          </w:p>
        </w:tc>
        <w:tc>
          <w:tcPr>
            <w:tcW w:w="1313" w:type="dxa"/>
          </w:tcPr>
          <w:p>
            <w:pPr>
              <w:pStyle w:val="TableParagraph"/>
              <w:spacing w:line="210" w:lineRule="exact"/>
              <w:ind w:left="298"/>
              <w:jc w:val="center"/>
              <w:rPr>
                <w:sz w:val="20"/>
              </w:rPr>
            </w:pPr>
            <w:r>
              <w:rPr>
                <w:spacing w:val="-2"/>
                <w:sz w:val="20"/>
              </w:rPr>
              <w:t>0.096335</w:t>
            </w:r>
          </w:p>
        </w:tc>
        <w:tc>
          <w:tcPr>
            <w:tcW w:w="1433" w:type="dxa"/>
          </w:tcPr>
          <w:p>
            <w:pPr>
              <w:pStyle w:val="TableParagraph"/>
              <w:spacing w:line="210" w:lineRule="exact"/>
              <w:ind w:left="310"/>
              <w:rPr>
                <w:sz w:val="20"/>
              </w:rPr>
            </w:pPr>
            <w:r>
              <w:rPr>
                <w:spacing w:val="-2"/>
                <w:sz w:val="20"/>
              </w:rPr>
              <w:t>0.595008</w:t>
            </w:r>
          </w:p>
        </w:tc>
        <w:tc>
          <w:tcPr>
            <w:tcW w:w="937" w:type="dxa"/>
          </w:tcPr>
          <w:p>
            <w:pPr>
              <w:pStyle w:val="TableParagraph"/>
              <w:spacing w:line="210" w:lineRule="exact"/>
              <w:ind w:right="113"/>
              <w:jc w:val="right"/>
              <w:rPr>
                <w:sz w:val="20"/>
              </w:rPr>
            </w:pPr>
            <w:r>
              <w:rPr>
                <w:spacing w:val="-2"/>
                <w:sz w:val="20"/>
              </w:rPr>
              <w:t>0.161905</w:t>
            </w:r>
          </w:p>
        </w:tc>
        <w:tc>
          <w:tcPr>
            <w:tcW w:w="897" w:type="dxa"/>
          </w:tcPr>
          <w:p>
            <w:pPr>
              <w:pStyle w:val="TableParagraph"/>
              <w:spacing w:line="210" w:lineRule="exact"/>
              <w:ind w:right="30"/>
              <w:jc w:val="right"/>
              <w:rPr>
                <w:sz w:val="20"/>
              </w:rPr>
            </w:pPr>
            <w:r>
              <w:rPr>
                <w:spacing w:val="-2"/>
                <w:sz w:val="20"/>
              </w:rPr>
              <w:t>0.8760</w:t>
            </w:r>
          </w:p>
        </w:tc>
      </w:tr>
      <w:tr>
        <w:trPr>
          <w:trHeight w:val="230" w:hRule="atLeast"/>
        </w:trPr>
        <w:tc>
          <w:tcPr>
            <w:tcW w:w="1910" w:type="dxa"/>
          </w:tcPr>
          <w:p>
            <w:pPr>
              <w:pStyle w:val="TableParagraph"/>
              <w:spacing w:line="210" w:lineRule="exact"/>
              <w:ind w:left="638"/>
              <w:rPr>
                <w:sz w:val="20"/>
              </w:rPr>
            </w:pPr>
            <w:r>
              <w:rPr>
                <w:spacing w:val="-2"/>
                <w:sz w:val="20"/>
              </w:rPr>
              <w:t>INTDIFF</w:t>
            </w:r>
          </w:p>
        </w:tc>
        <w:tc>
          <w:tcPr>
            <w:tcW w:w="1313" w:type="dxa"/>
          </w:tcPr>
          <w:p>
            <w:pPr>
              <w:pStyle w:val="TableParagraph"/>
              <w:spacing w:line="210" w:lineRule="exact"/>
              <w:ind w:left="234"/>
              <w:jc w:val="center"/>
              <w:rPr>
                <w:sz w:val="20"/>
              </w:rPr>
            </w:pPr>
            <w:r>
              <w:rPr>
                <w:spacing w:val="-4"/>
                <w:sz w:val="20"/>
              </w:rPr>
              <w:t>-</w:t>
            </w:r>
            <w:r>
              <w:rPr>
                <w:spacing w:val="-2"/>
                <w:sz w:val="20"/>
              </w:rPr>
              <w:t>0.081020</w:t>
            </w:r>
          </w:p>
        </w:tc>
        <w:tc>
          <w:tcPr>
            <w:tcW w:w="1433" w:type="dxa"/>
          </w:tcPr>
          <w:p>
            <w:pPr>
              <w:pStyle w:val="TableParagraph"/>
              <w:spacing w:line="210" w:lineRule="exact"/>
              <w:ind w:left="310"/>
              <w:rPr>
                <w:sz w:val="20"/>
              </w:rPr>
            </w:pPr>
            <w:r>
              <w:rPr>
                <w:spacing w:val="-2"/>
                <w:sz w:val="20"/>
              </w:rPr>
              <w:t>0.117747</w:t>
            </w:r>
          </w:p>
        </w:tc>
        <w:tc>
          <w:tcPr>
            <w:tcW w:w="937" w:type="dxa"/>
          </w:tcPr>
          <w:p>
            <w:pPr>
              <w:pStyle w:val="TableParagraph"/>
              <w:spacing w:line="210" w:lineRule="exact"/>
              <w:ind w:right="113"/>
              <w:jc w:val="right"/>
              <w:rPr>
                <w:sz w:val="20"/>
              </w:rPr>
            </w:pPr>
            <w:r>
              <w:rPr>
                <w:spacing w:val="-4"/>
                <w:sz w:val="20"/>
              </w:rPr>
              <w:t>-</w:t>
            </w:r>
            <w:r>
              <w:rPr>
                <w:spacing w:val="-2"/>
                <w:sz w:val="20"/>
              </w:rPr>
              <w:t>0.688085</w:t>
            </w:r>
          </w:p>
        </w:tc>
        <w:tc>
          <w:tcPr>
            <w:tcW w:w="897" w:type="dxa"/>
          </w:tcPr>
          <w:p>
            <w:pPr>
              <w:pStyle w:val="TableParagraph"/>
              <w:spacing w:line="210" w:lineRule="exact"/>
              <w:ind w:right="30"/>
              <w:jc w:val="right"/>
              <w:rPr>
                <w:sz w:val="20"/>
              </w:rPr>
            </w:pPr>
            <w:r>
              <w:rPr>
                <w:spacing w:val="-2"/>
                <w:sz w:val="20"/>
              </w:rPr>
              <w:t>0.5135</w:t>
            </w:r>
          </w:p>
        </w:tc>
      </w:tr>
      <w:tr>
        <w:trPr>
          <w:trHeight w:val="224" w:hRule="atLeast"/>
        </w:trPr>
        <w:tc>
          <w:tcPr>
            <w:tcW w:w="1910" w:type="dxa"/>
            <w:tcBorders>
              <w:bottom w:val="double" w:sz="6" w:space="0" w:color="000000"/>
            </w:tcBorders>
          </w:tcPr>
          <w:p>
            <w:pPr>
              <w:pStyle w:val="TableParagraph"/>
              <w:spacing w:line="205" w:lineRule="exact"/>
              <w:ind w:left="749"/>
              <w:rPr>
                <w:sz w:val="20"/>
              </w:rPr>
            </w:pPr>
            <w:r>
              <w:rPr>
                <w:spacing w:val="-4"/>
                <w:sz w:val="20"/>
              </w:rPr>
              <w:t>GOCE</w:t>
            </w:r>
          </w:p>
        </w:tc>
        <w:tc>
          <w:tcPr>
            <w:tcW w:w="1313" w:type="dxa"/>
            <w:tcBorders>
              <w:bottom w:val="double" w:sz="6" w:space="0" w:color="000000"/>
            </w:tcBorders>
          </w:tcPr>
          <w:p>
            <w:pPr>
              <w:pStyle w:val="TableParagraph"/>
              <w:spacing w:line="205" w:lineRule="exact"/>
              <w:ind w:left="298"/>
              <w:jc w:val="center"/>
              <w:rPr>
                <w:sz w:val="20"/>
              </w:rPr>
            </w:pPr>
            <w:r>
              <w:rPr>
                <w:spacing w:val="-2"/>
                <w:sz w:val="20"/>
              </w:rPr>
              <w:t>0.047841</w:t>
            </w:r>
          </w:p>
        </w:tc>
        <w:tc>
          <w:tcPr>
            <w:tcW w:w="1433" w:type="dxa"/>
            <w:tcBorders>
              <w:bottom w:val="double" w:sz="6" w:space="0" w:color="000000"/>
            </w:tcBorders>
          </w:tcPr>
          <w:p>
            <w:pPr>
              <w:pStyle w:val="TableParagraph"/>
              <w:spacing w:line="205" w:lineRule="exact"/>
              <w:ind w:left="310"/>
              <w:rPr>
                <w:sz w:val="20"/>
              </w:rPr>
            </w:pPr>
            <w:r>
              <w:rPr>
                <w:spacing w:val="-2"/>
                <w:sz w:val="20"/>
              </w:rPr>
              <w:t>0.369145</w:t>
            </w:r>
          </w:p>
        </w:tc>
        <w:tc>
          <w:tcPr>
            <w:tcW w:w="937" w:type="dxa"/>
            <w:tcBorders>
              <w:bottom w:val="double" w:sz="6" w:space="0" w:color="000000"/>
            </w:tcBorders>
          </w:tcPr>
          <w:p>
            <w:pPr>
              <w:pStyle w:val="TableParagraph"/>
              <w:spacing w:line="205" w:lineRule="exact"/>
              <w:ind w:right="113"/>
              <w:jc w:val="right"/>
              <w:rPr>
                <w:sz w:val="20"/>
              </w:rPr>
            </w:pPr>
            <w:r>
              <w:rPr>
                <w:spacing w:val="-2"/>
                <w:sz w:val="20"/>
              </w:rPr>
              <w:t>0.129599</w:t>
            </w:r>
          </w:p>
        </w:tc>
        <w:tc>
          <w:tcPr>
            <w:tcW w:w="897" w:type="dxa"/>
            <w:tcBorders>
              <w:bottom w:val="double" w:sz="6" w:space="0" w:color="000000"/>
            </w:tcBorders>
          </w:tcPr>
          <w:p>
            <w:pPr>
              <w:pStyle w:val="TableParagraph"/>
              <w:spacing w:line="205" w:lineRule="exact"/>
              <w:ind w:right="30"/>
              <w:jc w:val="right"/>
              <w:rPr>
                <w:sz w:val="20"/>
              </w:rPr>
            </w:pPr>
            <w:r>
              <w:rPr>
                <w:spacing w:val="-2"/>
                <w:sz w:val="20"/>
              </w:rPr>
              <w:t>0.9005</w:t>
            </w:r>
          </w:p>
        </w:tc>
      </w:tr>
      <w:tr>
        <w:trPr>
          <w:trHeight w:val="275" w:hRule="atLeast"/>
        </w:trPr>
        <w:tc>
          <w:tcPr>
            <w:tcW w:w="1910" w:type="dxa"/>
            <w:tcBorders>
              <w:top w:val="double" w:sz="6" w:space="0" w:color="000000"/>
            </w:tcBorders>
          </w:tcPr>
          <w:p>
            <w:pPr>
              <w:pStyle w:val="TableParagraph"/>
              <w:spacing w:line="215" w:lineRule="exact" w:before="40"/>
              <w:ind w:left="36"/>
              <w:rPr>
                <w:sz w:val="20"/>
              </w:rPr>
            </w:pPr>
            <w:r>
              <w:rPr>
                <w:spacing w:val="-2"/>
                <w:sz w:val="20"/>
              </w:rPr>
              <w:t>R-squared</w:t>
            </w:r>
          </w:p>
        </w:tc>
        <w:tc>
          <w:tcPr>
            <w:tcW w:w="1313" w:type="dxa"/>
            <w:tcBorders>
              <w:top w:val="double" w:sz="6" w:space="0" w:color="000000"/>
            </w:tcBorders>
          </w:tcPr>
          <w:p>
            <w:pPr>
              <w:pStyle w:val="TableParagraph"/>
              <w:spacing w:line="215" w:lineRule="exact" w:before="40"/>
              <w:ind w:left="298"/>
              <w:jc w:val="center"/>
              <w:rPr>
                <w:sz w:val="20"/>
              </w:rPr>
            </w:pPr>
            <w:r>
              <w:rPr>
                <w:spacing w:val="-2"/>
                <w:sz w:val="20"/>
              </w:rPr>
              <w:t>0.942069</w:t>
            </w:r>
          </w:p>
        </w:tc>
        <w:tc>
          <w:tcPr>
            <w:tcW w:w="2370" w:type="dxa"/>
            <w:gridSpan w:val="2"/>
            <w:tcBorders>
              <w:top w:val="double" w:sz="6" w:space="0" w:color="000000"/>
            </w:tcBorders>
          </w:tcPr>
          <w:p>
            <w:pPr>
              <w:pStyle w:val="TableParagraph"/>
              <w:spacing w:line="215" w:lineRule="exact" w:before="40"/>
              <w:ind w:left="130"/>
              <w:rPr>
                <w:sz w:val="20"/>
              </w:rPr>
            </w:pPr>
            <w:r>
              <w:rPr>
                <w:sz w:val="20"/>
              </w:rPr>
              <w:t>Mean</w:t>
            </w:r>
            <w:r>
              <w:rPr>
                <w:spacing w:val="-7"/>
                <w:sz w:val="20"/>
              </w:rPr>
              <w:t> </w:t>
            </w:r>
            <w:r>
              <w:rPr>
                <w:sz w:val="20"/>
              </w:rPr>
              <w:t>dependent</w:t>
            </w:r>
            <w:r>
              <w:rPr>
                <w:spacing w:val="-7"/>
                <w:sz w:val="20"/>
              </w:rPr>
              <w:t> </w:t>
            </w:r>
            <w:r>
              <w:rPr>
                <w:spacing w:val="-5"/>
                <w:sz w:val="20"/>
              </w:rPr>
              <w:t>var</w:t>
            </w:r>
          </w:p>
        </w:tc>
        <w:tc>
          <w:tcPr>
            <w:tcW w:w="897" w:type="dxa"/>
            <w:tcBorders>
              <w:top w:val="double" w:sz="6" w:space="0" w:color="000000"/>
            </w:tcBorders>
          </w:tcPr>
          <w:p>
            <w:pPr>
              <w:pStyle w:val="TableParagraph"/>
              <w:spacing w:line="215" w:lineRule="exact" w:before="40"/>
              <w:ind w:right="30"/>
              <w:jc w:val="right"/>
              <w:rPr>
                <w:sz w:val="20"/>
              </w:rPr>
            </w:pPr>
            <w:r>
              <w:rPr>
                <w:spacing w:val="-2"/>
                <w:sz w:val="20"/>
              </w:rPr>
              <w:t>8.174269</w:t>
            </w:r>
          </w:p>
        </w:tc>
      </w:tr>
      <w:tr>
        <w:trPr>
          <w:trHeight w:val="229" w:hRule="atLeast"/>
        </w:trPr>
        <w:tc>
          <w:tcPr>
            <w:tcW w:w="1910" w:type="dxa"/>
          </w:tcPr>
          <w:p>
            <w:pPr>
              <w:pStyle w:val="TableParagraph"/>
              <w:spacing w:line="209" w:lineRule="exact"/>
              <w:ind w:left="36"/>
              <w:rPr>
                <w:sz w:val="20"/>
              </w:rPr>
            </w:pPr>
            <w:r>
              <w:rPr>
                <w:sz w:val="20"/>
              </w:rPr>
              <w:t>Adjusted</w:t>
            </w:r>
            <w:r>
              <w:rPr>
                <w:spacing w:val="-10"/>
                <w:sz w:val="20"/>
              </w:rPr>
              <w:t> </w:t>
            </w:r>
            <w:r>
              <w:rPr>
                <w:sz w:val="20"/>
              </w:rPr>
              <w:t>R-</w:t>
            </w:r>
            <w:r>
              <w:rPr>
                <w:spacing w:val="-2"/>
                <w:sz w:val="20"/>
              </w:rPr>
              <w:t>squared</w:t>
            </w:r>
          </w:p>
        </w:tc>
        <w:tc>
          <w:tcPr>
            <w:tcW w:w="1313" w:type="dxa"/>
          </w:tcPr>
          <w:p>
            <w:pPr>
              <w:pStyle w:val="TableParagraph"/>
              <w:spacing w:line="209" w:lineRule="exact"/>
              <w:ind w:left="298"/>
              <w:jc w:val="center"/>
              <w:rPr>
                <w:sz w:val="20"/>
              </w:rPr>
            </w:pPr>
            <w:r>
              <w:rPr>
                <w:spacing w:val="-2"/>
                <w:sz w:val="20"/>
              </w:rPr>
              <w:t>0.875862</w:t>
            </w:r>
          </w:p>
        </w:tc>
        <w:tc>
          <w:tcPr>
            <w:tcW w:w="2370" w:type="dxa"/>
            <w:gridSpan w:val="2"/>
          </w:tcPr>
          <w:p>
            <w:pPr>
              <w:pStyle w:val="TableParagraph"/>
              <w:spacing w:line="209" w:lineRule="exact"/>
              <w:ind w:left="130"/>
              <w:rPr>
                <w:sz w:val="20"/>
              </w:rPr>
            </w:pPr>
            <w:r>
              <w:rPr>
                <w:sz w:val="20"/>
              </w:rPr>
              <w:t>S.D.</w:t>
            </w:r>
            <w:r>
              <w:rPr>
                <w:spacing w:val="-5"/>
                <w:sz w:val="20"/>
              </w:rPr>
              <w:t> </w:t>
            </w:r>
            <w:r>
              <w:rPr>
                <w:sz w:val="20"/>
              </w:rPr>
              <w:t>dependent</w:t>
            </w:r>
            <w:r>
              <w:rPr>
                <w:spacing w:val="-6"/>
                <w:sz w:val="20"/>
              </w:rPr>
              <w:t> </w:t>
            </w:r>
            <w:r>
              <w:rPr>
                <w:spacing w:val="-5"/>
                <w:sz w:val="20"/>
              </w:rPr>
              <w:t>var</w:t>
            </w:r>
          </w:p>
        </w:tc>
        <w:tc>
          <w:tcPr>
            <w:tcW w:w="897" w:type="dxa"/>
          </w:tcPr>
          <w:p>
            <w:pPr>
              <w:pStyle w:val="TableParagraph"/>
              <w:spacing w:line="209" w:lineRule="exact"/>
              <w:ind w:right="30"/>
              <w:jc w:val="right"/>
              <w:rPr>
                <w:sz w:val="20"/>
              </w:rPr>
            </w:pPr>
            <w:r>
              <w:rPr>
                <w:spacing w:val="-2"/>
                <w:sz w:val="20"/>
              </w:rPr>
              <w:t>0.826556</w:t>
            </w:r>
          </w:p>
        </w:tc>
      </w:tr>
      <w:tr>
        <w:trPr>
          <w:trHeight w:val="229" w:hRule="atLeast"/>
        </w:trPr>
        <w:tc>
          <w:tcPr>
            <w:tcW w:w="1910" w:type="dxa"/>
          </w:tcPr>
          <w:p>
            <w:pPr>
              <w:pStyle w:val="TableParagraph"/>
              <w:spacing w:line="209" w:lineRule="exact"/>
              <w:ind w:left="36"/>
              <w:rPr>
                <w:sz w:val="20"/>
              </w:rPr>
            </w:pPr>
            <w:r>
              <w:rPr>
                <w:sz w:val="20"/>
              </w:rPr>
              <w:t>S.E.</w:t>
            </w:r>
            <w:r>
              <w:rPr>
                <w:spacing w:val="-3"/>
                <w:sz w:val="20"/>
              </w:rPr>
              <w:t> </w:t>
            </w:r>
            <w:r>
              <w:rPr>
                <w:sz w:val="20"/>
              </w:rPr>
              <w:t>of</w:t>
            </w:r>
            <w:r>
              <w:rPr>
                <w:spacing w:val="-3"/>
                <w:sz w:val="20"/>
              </w:rPr>
              <w:t> </w:t>
            </w:r>
            <w:r>
              <w:rPr>
                <w:spacing w:val="-2"/>
                <w:sz w:val="20"/>
              </w:rPr>
              <w:t>regression</w:t>
            </w:r>
          </w:p>
        </w:tc>
        <w:tc>
          <w:tcPr>
            <w:tcW w:w="1313" w:type="dxa"/>
          </w:tcPr>
          <w:p>
            <w:pPr>
              <w:pStyle w:val="TableParagraph"/>
              <w:spacing w:line="209" w:lineRule="exact"/>
              <w:ind w:left="298"/>
              <w:jc w:val="center"/>
              <w:rPr>
                <w:sz w:val="20"/>
              </w:rPr>
            </w:pPr>
            <w:r>
              <w:rPr>
                <w:spacing w:val="-2"/>
                <w:sz w:val="20"/>
              </w:rPr>
              <w:t>0.291223</w:t>
            </w:r>
          </w:p>
        </w:tc>
        <w:tc>
          <w:tcPr>
            <w:tcW w:w="2370" w:type="dxa"/>
            <w:gridSpan w:val="2"/>
          </w:tcPr>
          <w:p>
            <w:pPr>
              <w:pStyle w:val="TableParagraph"/>
              <w:spacing w:line="209" w:lineRule="exact"/>
              <w:ind w:left="130"/>
              <w:rPr>
                <w:sz w:val="20"/>
              </w:rPr>
            </w:pPr>
            <w:r>
              <w:rPr>
                <w:sz w:val="20"/>
              </w:rPr>
              <w:t>Akaike</w:t>
            </w:r>
            <w:r>
              <w:rPr>
                <w:spacing w:val="-8"/>
                <w:sz w:val="20"/>
              </w:rPr>
              <w:t> </w:t>
            </w:r>
            <w:r>
              <w:rPr>
                <w:sz w:val="20"/>
              </w:rPr>
              <w:t>info</w:t>
            </w:r>
            <w:r>
              <w:rPr>
                <w:spacing w:val="-7"/>
                <w:sz w:val="20"/>
              </w:rPr>
              <w:t> </w:t>
            </w:r>
            <w:r>
              <w:rPr>
                <w:spacing w:val="-2"/>
                <w:sz w:val="20"/>
              </w:rPr>
              <w:t>criterion</w:t>
            </w:r>
          </w:p>
        </w:tc>
        <w:tc>
          <w:tcPr>
            <w:tcW w:w="897" w:type="dxa"/>
          </w:tcPr>
          <w:p>
            <w:pPr>
              <w:pStyle w:val="TableParagraph"/>
              <w:spacing w:line="209" w:lineRule="exact"/>
              <w:ind w:right="30"/>
              <w:jc w:val="right"/>
              <w:rPr>
                <w:sz w:val="20"/>
              </w:rPr>
            </w:pPr>
            <w:r>
              <w:rPr>
                <w:spacing w:val="-2"/>
                <w:sz w:val="20"/>
              </w:rPr>
              <w:t>0.668864</w:t>
            </w:r>
          </w:p>
        </w:tc>
      </w:tr>
      <w:tr>
        <w:trPr>
          <w:trHeight w:val="230" w:hRule="atLeast"/>
        </w:trPr>
        <w:tc>
          <w:tcPr>
            <w:tcW w:w="1910" w:type="dxa"/>
          </w:tcPr>
          <w:p>
            <w:pPr>
              <w:pStyle w:val="TableParagraph"/>
              <w:spacing w:line="210" w:lineRule="exact"/>
              <w:ind w:left="36"/>
              <w:rPr>
                <w:sz w:val="20"/>
              </w:rPr>
            </w:pPr>
            <w:r>
              <w:rPr>
                <w:sz w:val="20"/>
              </w:rPr>
              <w:t>Sum</w:t>
            </w:r>
            <w:r>
              <w:rPr>
                <w:spacing w:val="-8"/>
                <w:sz w:val="20"/>
              </w:rPr>
              <w:t> </w:t>
            </w:r>
            <w:r>
              <w:rPr>
                <w:sz w:val="20"/>
              </w:rPr>
              <w:t>squared</w:t>
            </w:r>
            <w:r>
              <w:rPr>
                <w:spacing w:val="-4"/>
                <w:sz w:val="20"/>
              </w:rPr>
              <w:t> </w:t>
            </w:r>
            <w:r>
              <w:rPr>
                <w:spacing w:val="-2"/>
                <w:sz w:val="20"/>
              </w:rPr>
              <w:t>resid</w:t>
            </w:r>
          </w:p>
        </w:tc>
        <w:tc>
          <w:tcPr>
            <w:tcW w:w="1313" w:type="dxa"/>
          </w:tcPr>
          <w:p>
            <w:pPr>
              <w:pStyle w:val="TableParagraph"/>
              <w:spacing w:line="210" w:lineRule="exact"/>
              <w:ind w:left="298"/>
              <w:jc w:val="center"/>
              <w:rPr>
                <w:sz w:val="20"/>
              </w:rPr>
            </w:pPr>
            <w:r>
              <w:rPr>
                <w:spacing w:val="-2"/>
                <w:sz w:val="20"/>
              </w:rPr>
              <w:t>0.593674</w:t>
            </w:r>
          </w:p>
        </w:tc>
        <w:tc>
          <w:tcPr>
            <w:tcW w:w="2370" w:type="dxa"/>
            <w:gridSpan w:val="2"/>
          </w:tcPr>
          <w:p>
            <w:pPr>
              <w:pStyle w:val="TableParagraph"/>
              <w:spacing w:line="210" w:lineRule="exact"/>
              <w:ind w:left="130"/>
              <w:rPr>
                <w:sz w:val="20"/>
              </w:rPr>
            </w:pPr>
            <w:r>
              <w:rPr>
                <w:sz w:val="20"/>
              </w:rPr>
              <w:t>Schwarz</w:t>
            </w:r>
            <w:r>
              <w:rPr>
                <w:spacing w:val="-8"/>
                <w:sz w:val="20"/>
              </w:rPr>
              <w:t> </w:t>
            </w:r>
            <w:r>
              <w:rPr>
                <w:spacing w:val="-2"/>
                <w:sz w:val="20"/>
              </w:rPr>
              <w:t>criterion</w:t>
            </w:r>
          </w:p>
        </w:tc>
        <w:tc>
          <w:tcPr>
            <w:tcW w:w="897" w:type="dxa"/>
          </w:tcPr>
          <w:p>
            <w:pPr>
              <w:pStyle w:val="TableParagraph"/>
              <w:spacing w:line="210" w:lineRule="exact"/>
              <w:ind w:right="30"/>
              <w:jc w:val="right"/>
              <w:rPr>
                <w:sz w:val="20"/>
              </w:rPr>
            </w:pPr>
            <w:r>
              <w:rPr>
                <w:spacing w:val="-2"/>
                <w:sz w:val="20"/>
              </w:rPr>
              <w:t>1.103445</w:t>
            </w:r>
          </w:p>
        </w:tc>
      </w:tr>
      <w:tr>
        <w:trPr>
          <w:trHeight w:val="230" w:hRule="atLeast"/>
        </w:trPr>
        <w:tc>
          <w:tcPr>
            <w:tcW w:w="1910" w:type="dxa"/>
          </w:tcPr>
          <w:p>
            <w:pPr>
              <w:pStyle w:val="TableParagraph"/>
              <w:spacing w:line="210" w:lineRule="exact"/>
              <w:ind w:left="36"/>
              <w:rPr>
                <w:sz w:val="20"/>
              </w:rPr>
            </w:pPr>
            <w:r>
              <w:rPr>
                <w:sz w:val="20"/>
              </w:rPr>
              <w:t>Log</w:t>
            </w:r>
            <w:r>
              <w:rPr>
                <w:spacing w:val="-6"/>
                <w:sz w:val="20"/>
              </w:rPr>
              <w:t> </w:t>
            </w:r>
            <w:r>
              <w:rPr>
                <w:spacing w:val="-2"/>
                <w:sz w:val="20"/>
              </w:rPr>
              <w:t>likelihood</w:t>
            </w:r>
          </w:p>
        </w:tc>
        <w:tc>
          <w:tcPr>
            <w:tcW w:w="1313" w:type="dxa"/>
          </w:tcPr>
          <w:p>
            <w:pPr>
              <w:pStyle w:val="TableParagraph"/>
              <w:spacing w:line="210" w:lineRule="exact"/>
              <w:ind w:left="298"/>
              <w:jc w:val="center"/>
              <w:rPr>
                <w:sz w:val="20"/>
              </w:rPr>
            </w:pPr>
            <w:r>
              <w:rPr>
                <w:spacing w:val="-2"/>
                <w:sz w:val="20"/>
              </w:rPr>
              <w:t>3.649089</w:t>
            </w:r>
          </w:p>
        </w:tc>
        <w:tc>
          <w:tcPr>
            <w:tcW w:w="1433" w:type="dxa"/>
          </w:tcPr>
          <w:p>
            <w:pPr>
              <w:pStyle w:val="TableParagraph"/>
              <w:spacing w:line="210" w:lineRule="exact"/>
              <w:ind w:left="130"/>
              <w:rPr>
                <w:sz w:val="20"/>
              </w:rPr>
            </w:pPr>
            <w:r>
              <w:rPr>
                <w:spacing w:val="-4"/>
                <w:sz w:val="20"/>
              </w:rPr>
              <w:t>F-</w:t>
            </w:r>
            <w:r>
              <w:rPr>
                <w:spacing w:val="-2"/>
                <w:sz w:val="20"/>
              </w:rPr>
              <w:t>statistic</w:t>
            </w:r>
          </w:p>
        </w:tc>
        <w:tc>
          <w:tcPr>
            <w:tcW w:w="937" w:type="dxa"/>
          </w:tcPr>
          <w:p>
            <w:pPr>
              <w:pStyle w:val="TableParagraph"/>
              <w:rPr>
                <w:sz w:val="16"/>
              </w:rPr>
            </w:pPr>
          </w:p>
        </w:tc>
        <w:tc>
          <w:tcPr>
            <w:tcW w:w="897" w:type="dxa"/>
          </w:tcPr>
          <w:p>
            <w:pPr>
              <w:pStyle w:val="TableParagraph"/>
              <w:spacing w:line="210" w:lineRule="exact"/>
              <w:ind w:right="30"/>
              <w:jc w:val="right"/>
              <w:rPr>
                <w:sz w:val="20"/>
              </w:rPr>
            </w:pPr>
            <w:r>
              <w:rPr>
                <w:spacing w:val="-2"/>
                <w:sz w:val="20"/>
              </w:rPr>
              <w:t>14.22912</w:t>
            </w:r>
          </w:p>
        </w:tc>
      </w:tr>
      <w:tr>
        <w:trPr>
          <w:trHeight w:val="265" w:hRule="atLeast"/>
        </w:trPr>
        <w:tc>
          <w:tcPr>
            <w:tcW w:w="1910" w:type="dxa"/>
            <w:tcBorders>
              <w:bottom w:val="double" w:sz="6" w:space="0" w:color="000000"/>
            </w:tcBorders>
          </w:tcPr>
          <w:p>
            <w:pPr>
              <w:pStyle w:val="TableParagraph"/>
              <w:spacing w:line="226" w:lineRule="exact"/>
              <w:ind w:left="36"/>
              <w:rPr>
                <w:sz w:val="20"/>
              </w:rPr>
            </w:pPr>
            <w:r>
              <w:rPr>
                <w:sz w:val="20"/>
              </w:rPr>
              <w:t>Durbin-Watson</w:t>
            </w:r>
            <w:r>
              <w:rPr>
                <w:spacing w:val="-12"/>
                <w:sz w:val="20"/>
              </w:rPr>
              <w:t> </w:t>
            </w:r>
            <w:r>
              <w:rPr>
                <w:spacing w:val="-4"/>
                <w:sz w:val="20"/>
              </w:rPr>
              <w:t>stat</w:t>
            </w:r>
          </w:p>
        </w:tc>
        <w:tc>
          <w:tcPr>
            <w:tcW w:w="1313" w:type="dxa"/>
          </w:tcPr>
          <w:p>
            <w:pPr>
              <w:pStyle w:val="TableParagraph"/>
              <w:spacing w:line="226" w:lineRule="exact"/>
              <w:ind w:left="298"/>
              <w:jc w:val="center"/>
              <w:rPr>
                <w:sz w:val="20"/>
              </w:rPr>
            </w:pPr>
            <w:r>
              <w:rPr>
                <w:spacing w:val="-2"/>
                <w:sz w:val="20"/>
              </w:rPr>
              <w:t>1.948549</w:t>
            </w:r>
          </w:p>
        </w:tc>
        <w:tc>
          <w:tcPr>
            <w:tcW w:w="1433" w:type="dxa"/>
            <w:tcBorders>
              <w:bottom w:val="double" w:sz="6" w:space="0" w:color="000000"/>
            </w:tcBorders>
          </w:tcPr>
          <w:p>
            <w:pPr>
              <w:pStyle w:val="TableParagraph"/>
              <w:spacing w:line="226" w:lineRule="exact"/>
              <w:ind w:left="130"/>
              <w:rPr>
                <w:sz w:val="20"/>
              </w:rPr>
            </w:pPr>
            <w:r>
              <w:rPr>
                <w:spacing w:val="-2"/>
                <w:sz w:val="20"/>
              </w:rPr>
              <w:t>Prob(F-statistic)</w:t>
            </w:r>
          </w:p>
        </w:tc>
        <w:tc>
          <w:tcPr>
            <w:tcW w:w="937" w:type="dxa"/>
            <w:tcBorders>
              <w:bottom w:val="single" w:sz="6" w:space="0" w:color="000000"/>
            </w:tcBorders>
          </w:tcPr>
          <w:p>
            <w:pPr>
              <w:pStyle w:val="TableParagraph"/>
              <w:rPr>
                <w:sz w:val="18"/>
              </w:rPr>
            </w:pPr>
          </w:p>
        </w:tc>
        <w:tc>
          <w:tcPr>
            <w:tcW w:w="897" w:type="dxa"/>
            <w:tcBorders>
              <w:bottom w:val="double" w:sz="6" w:space="0" w:color="000000"/>
            </w:tcBorders>
          </w:tcPr>
          <w:p>
            <w:pPr>
              <w:pStyle w:val="TableParagraph"/>
              <w:spacing w:line="226" w:lineRule="exact"/>
              <w:ind w:right="30"/>
              <w:jc w:val="right"/>
              <w:rPr>
                <w:sz w:val="20"/>
              </w:rPr>
            </w:pPr>
            <w:r>
              <w:rPr>
                <w:spacing w:val="-2"/>
                <w:sz w:val="20"/>
              </w:rPr>
              <w:t>0.001093</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5"/>
        <w:rPr>
          <w:b/>
          <w:sz w:val="20"/>
        </w:rPr>
      </w:pPr>
    </w:p>
    <w:p>
      <w:pPr>
        <w:spacing w:before="0"/>
        <w:ind w:left="3616" w:right="0" w:firstLine="0"/>
        <w:jc w:val="left"/>
        <w:rPr>
          <w:b/>
          <w:sz w:val="20"/>
        </w:rPr>
      </w:pPr>
      <w:r>
        <w:rPr>
          <w:b/>
          <w:sz w:val="20"/>
        </w:rPr>
        <w:t>APPENDIX</w:t>
      </w:r>
      <w:r>
        <w:rPr>
          <w:b/>
          <w:spacing w:val="-13"/>
          <w:sz w:val="20"/>
        </w:rPr>
        <w:t> </w:t>
      </w:r>
      <w:r>
        <w:rPr>
          <w:b/>
          <w:spacing w:val="-5"/>
          <w:sz w:val="20"/>
        </w:rPr>
        <w:t>A7</w:t>
      </w:r>
    </w:p>
    <w:p>
      <w:pPr>
        <w:pStyle w:val="BodyText"/>
        <w:spacing w:before="1"/>
        <w:rPr>
          <w:b/>
          <w:sz w:val="20"/>
        </w:rPr>
      </w:pPr>
    </w:p>
    <w:p>
      <w:pPr>
        <w:spacing w:before="0"/>
        <w:ind w:left="711" w:right="0" w:firstLine="0"/>
        <w:jc w:val="left"/>
        <w:rPr>
          <w:b/>
          <w:sz w:val="20"/>
        </w:rPr>
      </w:pPr>
      <w:r>
        <w:rPr>
          <w:b/>
          <w:sz w:val="20"/>
        </w:rPr>
        <w:t>RESULT</w:t>
      </w:r>
      <w:r>
        <w:rPr>
          <w:b/>
          <w:spacing w:val="-7"/>
          <w:sz w:val="20"/>
        </w:rPr>
        <w:t> </w:t>
      </w:r>
      <w:r>
        <w:rPr>
          <w:b/>
          <w:sz w:val="20"/>
        </w:rPr>
        <w:t>OF</w:t>
      </w:r>
      <w:r>
        <w:rPr>
          <w:b/>
          <w:spacing w:val="-6"/>
          <w:sz w:val="20"/>
        </w:rPr>
        <w:t> </w:t>
      </w:r>
      <w:r>
        <w:rPr>
          <w:b/>
          <w:sz w:val="20"/>
        </w:rPr>
        <w:t>ANALYSES</w:t>
      </w:r>
      <w:r>
        <w:rPr>
          <w:b/>
          <w:spacing w:val="-7"/>
          <w:sz w:val="20"/>
        </w:rPr>
        <w:t> </w:t>
      </w:r>
      <w:r>
        <w:rPr>
          <w:b/>
          <w:sz w:val="20"/>
        </w:rPr>
        <w:t>FOR</w:t>
      </w:r>
      <w:r>
        <w:rPr>
          <w:b/>
          <w:spacing w:val="-5"/>
          <w:sz w:val="20"/>
        </w:rPr>
        <w:t> </w:t>
      </w:r>
      <w:r>
        <w:rPr>
          <w:b/>
          <w:sz w:val="20"/>
        </w:rPr>
        <w:t>MODEL</w:t>
      </w:r>
      <w:r>
        <w:rPr>
          <w:b/>
          <w:spacing w:val="-7"/>
          <w:sz w:val="20"/>
        </w:rPr>
        <w:t> </w:t>
      </w:r>
      <w:r>
        <w:rPr>
          <w:b/>
          <w:sz w:val="20"/>
        </w:rPr>
        <w:t>3B</w:t>
      </w:r>
      <w:r>
        <w:rPr>
          <w:b/>
          <w:spacing w:val="-7"/>
          <w:sz w:val="20"/>
        </w:rPr>
        <w:t> </w:t>
      </w:r>
      <w:r>
        <w:rPr>
          <w:b/>
          <w:sz w:val="20"/>
        </w:rPr>
        <w:t>MORGAN</w:t>
      </w:r>
      <w:r>
        <w:rPr>
          <w:b/>
          <w:spacing w:val="-6"/>
          <w:sz w:val="20"/>
        </w:rPr>
        <w:t> </w:t>
      </w:r>
      <w:r>
        <w:rPr>
          <w:b/>
          <w:sz w:val="20"/>
        </w:rPr>
        <w:t>GUARANTY</w:t>
      </w:r>
      <w:r>
        <w:rPr>
          <w:b/>
          <w:spacing w:val="-5"/>
          <w:sz w:val="20"/>
        </w:rPr>
        <w:t> </w:t>
      </w:r>
      <w:r>
        <w:rPr>
          <w:b/>
          <w:sz w:val="20"/>
        </w:rPr>
        <w:t>TRUST</w:t>
      </w:r>
      <w:r>
        <w:rPr>
          <w:b/>
          <w:spacing w:val="-7"/>
          <w:sz w:val="20"/>
        </w:rPr>
        <w:t> </w:t>
      </w:r>
      <w:r>
        <w:rPr>
          <w:b/>
          <w:sz w:val="20"/>
        </w:rPr>
        <w:t>1986</w:t>
      </w:r>
      <w:r>
        <w:rPr>
          <w:b/>
          <w:spacing w:val="-5"/>
          <w:sz w:val="20"/>
        </w:rPr>
        <w:t> </w:t>
      </w:r>
      <w:r>
        <w:rPr>
          <w:b/>
          <w:sz w:val="20"/>
        </w:rPr>
        <w:t>ESTIMATES</w:t>
      </w:r>
      <w:r>
        <w:rPr>
          <w:b/>
          <w:spacing w:val="-7"/>
          <w:sz w:val="20"/>
        </w:rPr>
        <w:t> </w:t>
      </w:r>
      <w:r>
        <w:rPr>
          <w:b/>
          <w:sz w:val="20"/>
        </w:rPr>
        <w:t>(PRE-SAP</w:t>
      </w:r>
      <w:r>
        <w:rPr>
          <w:b/>
          <w:spacing w:val="-5"/>
          <w:sz w:val="20"/>
        </w:rPr>
        <w:t> </w:t>
      </w:r>
      <w:r>
        <w:rPr>
          <w:b/>
          <w:spacing w:val="-4"/>
          <w:sz w:val="20"/>
        </w:rPr>
        <w:t>ERA)</w:t>
      </w:r>
    </w:p>
    <w:p>
      <w:pPr>
        <w:pStyle w:val="BodyText"/>
        <w:rPr>
          <w:b/>
          <w:sz w:val="20"/>
        </w:rPr>
      </w:pPr>
    </w:p>
    <w:p>
      <w:pPr>
        <w:pStyle w:val="BodyText"/>
        <w:spacing w:before="229"/>
        <w:rPr>
          <w:b/>
          <w:sz w:val="20"/>
        </w:rPr>
      </w:pPr>
    </w:p>
    <w:p>
      <w:pPr>
        <w:spacing w:before="0" w:after="10"/>
        <w:ind w:left="711" w:right="0" w:firstLine="0"/>
        <w:jc w:val="left"/>
        <w:rPr>
          <w:sz w:val="20"/>
        </w:rPr>
      </w:pPr>
      <w:r>
        <w:rPr>
          <w:sz w:val="20"/>
        </w:rPr>
        <w:t>3B</w:t>
      </w:r>
      <w:r>
        <w:rPr>
          <w:spacing w:val="-5"/>
          <w:sz w:val="20"/>
        </w:rPr>
        <w:t> </w:t>
      </w:r>
      <w:r>
        <w:rPr>
          <w:sz w:val="20"/>
        </w:rPr>
        <w:t>PRE</w:t>
      </w:r>
      <w:r>
        <w:rPr>
          <w:spacing w:val="-4"/>
          <w:sz w:val="20"/>
        </w:rPr>
        <w:t> </w:t>
      </w:r>
      <w:r>
        <w:rPr>
          <w:sz w:val="20"/>
        </w:rPr>
        <w:t>SAP</w:t>
      </w:r>
      <w:r>
        <w:rPr>
          <w:spacing w:val="-3"/>
          <w:sz w:val="20"/>
        </w:rPr>
        <w:t> </w:t>
      </w:r>
      <w:r>
        <w:rPr>
          <w:sz w:val="20"/>
        </w:rPr>
        <w:t>(OLS</w:t>
      </w:r>
      <w:r>
        <w:rPr>
          <w:spacing w:val="-5"/>
          <w:sz w:val="20"/>
        </w:rPr>
        <w:t> </w:t>
      </w:r>
      <w:r>
        <w:rPr>
          <w:spacing w:val="-2"/>
          <w:sz w:val="20"/>
        </w:rPr>
        <w:t>RESULT)</w:t>
      </w:r>
    </w:p>
    <w:tbl>
      <w:tblPr>
        <w:tblW w:w="0" w:type="auto"/>
        <w:jc w:val="left"/>
        <w:tblInd w:w="7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03"/>
        <w:gridCol w:w="1313"/>
        <w:gridCol w:w="1251"/>
        <w:gridCol w:w="1119"/>
        <w:gridCol w:w="897"/>
      </w:tblGrid>
      <w:tr>
        <w:trPr>
          <w:trHeight w:val="225" w:hRule="atLeast"/>
        </w:trPr>
        <w:tc>
          <w:tcPr>
            <w:tcW w:w="6483" w:type="dxa"/>
            <w:gridSpan w:val="5"/>
          </w:tcPr>
          <w:p>
            <w:pPr>
              <w:pStyle w:val="TableParagraph"/>
              <w:spacing w:line="205" w:lineRule="exact"/>
              <w:ind w:left="28"/>
              <w:rPr>
                <w:sz w:val="20"/>
              </w:rPr>
            </w:pPr>
            <w:r>
              <w:rPr>
                <w:sz w:val="20"/>
              </w:rPr>
              <w:t>Dependent</w:t>
            </w:r>
            <w:r>
              <w:rPr>
                <w:spacing w:val="-8"/>
                <w:sz w:val="20"/>
              </w:rPr>
              <w:t> </w:t>
            </w:r>
            <w:r>
              <w:rPr>
                <w:sz w:val="20"/>
              </w:rPr>
              <w:t>Variable:</w:t>
            </w:r>
            <w:r>
              <w:rPr>
                <w:spacing w:val="-8"/>
                <w:sz w:val="20"/>
              </w:rPr>
              <w:t> </w:t>
            </w:r>
            <w:r>
              <w:rPr>
                <w:spacing w:val="-5"/>
                <w:sz w:val="20"/>
              </w:rPr>
              <w:t>KFM</w:t>
            </w:r>
          </w:p>
        </w:tc>
      </w:tr>
      <w:tr>
        <w:trPr>
          <w:trHeight w:val="230" w:hRule="atLeast"/>
        </w:trPr>
        <w:tc>
          <w:tcPr>
            <w:tcW w:w="1903" w:type="dxa"/>
          </w:tcPr>
          <w:p>
            <w:pPr>
              <w:pStyle w:val="TableParagraph"/>
              <w:spacing w:line="210" w:lineRule="exact"/>
              <w:ind w:left="28"/>
              <w:rPr>
                <w:sz w:val="20"/>
              </w:rPr>
            </w:pPr>
            <w:r>
              <w:rPr>
                <w:sz w:val="20"/>
              </w:rPr>
              <w:t>Method:</w:t>
            </w:r>
            <w:r>
              <w:rPr>
                <w:spacing w:val="-8"/>
                <w:sz w:val="20"/>
              </w:rPr>
              <w:t> </w:t>
            </w:r>
            <w:r>
              <w:rPr>
                <w:sz w:val="20"/>
              </w:rPr>
              <w:t>Least</w:t>
            </w:r>
            <w:r>
              <w:rPr>
                <w:spacing w:val="-7"/>
                <w:sz w:val="20"/>
              </w:rPr>
              <w:t> </w:t>
            </w:r>
            <w:r>
              <w:rPr>
                <w:spacing w:val="-2"/>
                <w:sz w:val="20"/>
              </w:rPr>
              <w:t>Squares</w:t>
            </w:r>
          </w:p>
        </w:tc>
        <w:tc>
          <w:tcPr>
            <w:tcW w:w="1313" w:type="dxa"/>
          </w:tcPr>
          <w:p>
            <w:pPr>
              <w:pStyle w:val="TableParagraph"/>
              <w:rPr>
                <w:sz w:val="16"/>
              </w:rPr>
            </w:pPr>
          </w:p>
        </w:tc>
        <w:tc>
          <w:tcPr>
            <w:tcW w:w="1251" w:type="dxa"/>
          </w:tcPr>
          <w:p>
            <w:pPr>
              <w:pStyle w:val="TableParagraph"/>
              <w:rPr>
                <w:sz w:val="16"/>
              </w:rPr>
            </w:pPr>
          </w:p>
        </w:tc>
        <w:tc>
          <w:tcPr>
            <w:tcW w:w="1119" w:type="dxa"/>
          </w:tcPr>
          <w:p>
            <w:pPr>
              <w:pStyle w:val="TableParagraph"/>
              <w:rPr>
                <w:sz w:val="16"/>
              </w:rPr>
            </w:pPr>
          </w:p>
        </w:tc>
        <w:tc>
          <w:tcPr>
            <w:tcW w:w="897" w:type="dxa"/>
          </w:tcPr>
          <w:p>
            <w:pPr>
              <w:pStyle w:val="TableParagraph"/>
              <w:rPr>
                <w:sz w:val="16"/>
              </w:rPr>
            </w:pPr>
          </w:p>
        </w:tc>
      </w:tr>
      <w:tr>
        <w:trPr>
          <w:trHeight w:val="229" w:hRule="atLeast"/>
        </w:trPr>
        <w:tc>
          <w:tcPr>
            <w:tcW w:w="6483" w:type="dxa"/>
            <w:gridSpan w:val="5"/>
          </w:tcPr>
          <w:p>
            <w:pPr>
              <w:pStyle w:val="TableParagraph"/>
              <w:spacing w:line="209" w:lineRule="exact"/>
              <w:ind w:left="28"/>
              <w:rPr>
                <w:sz w:val="20"/>
              </w:rPr>
            </w:pPr>
            <w:r>
              <w:rPr>
                <w:sz w:val="20"/>
              </w:rPr>
              <w:t>Date:</w:t>
            </w:r>
            <w:r>
              <w:rPr>
                <w:spacing w:val="-5"/>
                <w:sz w:val="20"/>
              </w:rPr>
              <w:t> </w:t>
            </w:r>
            <w:r>
              <w:rPr>
                <w:sz w:val="20"/>
              </w:rPr>
              <w:t>02/18/14</w:t>
            </w:r>
            <w:r>
              <w:rPr>
                <w:spacing w:val="63"/>
                <w:w w:val="150"/>
                <w:sz w:val="20"/>
              </w:rPr>
              <w:t> </w:t>
            </w:r>
            <w:r>
              <w:rPr>
                <w:sz w:val="20"/>
              </w:rPr>
              <w:t>Time:</w:t>
            </w:r>
            <w:r>
              <w:rPr>
                <w:spacing w:val="-3"/>
                <w:sz w:val="20"/>
              </w:rPr>
              <w:t> </w:t>
            </w:r>
            <w:r>
              <w:rPr>
                <w:spacing w:val="-4"/>
                <w:sz w:val="20"/>
              </w:rPr>
              <w:t>14:02</w:t>
            </w:r>
          </w:p>
        </w:tc>
      </w:tr>
      <w:tr>
        <w:trPr>
          <w:trHeight w:val="229" w:hRule="atLeast"/>
        </w:trPr>
        <w:tc>
          <w:tcPr>
            <w:tcW w:w="1903" w:type="dxa"/>
          </w:tcPr>
          <w:p>
            <w:pPr>
              <w:pStyle w:val="TableParagraph"/>
              <w:spacing w:line="209" w:lineRule="exact"/>
              <w:ind w:left="28"/>
              <w:rPr>
                <w:sz w:val="20"/>
              </w:rPr>
            </w:pPr>
            <w:r>
              <w:rPr>
                <w:sz w:val="20"/>
              </w:rPr>
              <w:t>Sample:</w:t>
            </w:r>
            <w:r>
              <w:rPr>
                <w:spacing w:val="-5"/>
                <w:sz w:val="20"/>
              </w:rPr>
              <w:t> </w:t>
            </w:r>
            <w:r>
              <w:rPr>
                <w:sz w:val="20"/>
              </w:rPr>
              <w:t>1970</w:t>
            </w:r>
            <w:r>
              <w:rPr>
                <w:spacing w:val="-3"/>
                <w:sz w:val="20"/>
              </w:rPr>
              <w:t> </w:t>
            </w:r>
            <w:r>
              <w:rPr>
                <w:spacing w:val="-4"/>
                <w:sz w:val="20"/>
              </w:rPr>
              <w:t>1985</w:t>
            </w:r>
          </w:p>
        </w:tc>
        <w:tc>
          <w:tcPr>
            <w:tcW w:w="1313" w:type="dxa"/>
          </w:tcPr>
          <w:p>
            <w:pPr>
              <w:pStyle w:val="TableParagraph"/>
              <w:rPr>
                <w:sz w:val="16"/>
              </w:rPr>
            </w:pPr>
          </w:p>
        </w:tc>
        <w:tc>
          <w:tcPr>
            <w:tcW w:w="1251" w:type="dxa"/>
          </w:tcPr>
          <w:p>
            <w:pPr>
              <w:pStyle w:val="TableParagraph"/>
              <w:rPr>
                <w:sz w:val="16"/>
              </w:rPr>
            </w:pPr>
          </w:p>
        </w:tc>
        <w:tc>
          <w:tcPr>
            <w:tcW w:w="1119" w:type="dxa"/>
          </w:tcPr>
          <w:p>
            <w:pPr>
              <w:pStyle w:val="TableParagraph"/>
              <w:rPr>
                <w:sz w:val="16"/>
              </w:rPr>
            </w:pPr>
          </w:p>
        </w:tc>
        <w:tc>
          <w:tcPr>
            <w:tcW w:w="897" w:type="dxa"/>
          </w:tcPr>
          <w:p>
            <w:pPr>
              <w:pStyle w:val="TableParagraph"/>
              <w:rPr>
                <w:sz w:val="16"/>
              </w:rPr>
            </w:pPr>
          </w:p>
        </w:tc>
      </w:tr>
      <w:tr>
        <w:trPr>
          <w:trHeight w:val="230" w:hRule="atLeast"/>
        </w:trPr>
        <w:tc>
          <w:tcPr>
            <w:tcW w:w="6483" w:type="dxa"/>
            <w:gridSpan w:val="5"/>
          </w:tcPr>
          <w:p>
            <w:pPr>
              <w:pStyle w:val="TableParagraph"/>
              <w:spacing w:line="210" w:lineRule="exact"/>
              <w:ind w:left="28"/>
              <w:rPr>
                <w:sz w:val="20"/>
              </w:rPr>
            </w:pPr>
            <w:r>
              <w:rPr>
                <w:sz w:val="20"/>
              </w:rPr>
              <w:t>Included</w:t>
            </w:r>
            <w:r>
              <w:rPr>
                <w:spacing w:val="-9"/>
                <w:sz w:val="20"/>
              </w:rPr>
              <w:t> </w:t>
            </w:r>
            <w:r>
              <w:rPr>
                <w:sz w:val="20"/>
              </w:rPr>
              <w:t>observations:</w:t>
            </w:r>
            <w:r>
              <w:rPr>
                <w:spacing w:val="-10"/>
                <w:sz w:val="20"/>
              </w:rPr>
              <w:t> </w:t>
            </w:r>
            <w:r>
              <w:rPr>
                <w:spacing w:val="-5"/>
                <w:sz w:val="20"/>
              </w:rPr>
              <w:t>15</w:t>
            </w:r>
          </w:p>
        </w:tc>
      </w:tr>
      <w:tr>
        <w:trPr>
          <w:trHeight w:val="224" w:hRule="atLeast"/>
        </w:trPr>
        <w:tc>
          <w:tcPr>
            <w:tcW w:w="6483" w:type="dxa"/>
            <w:gridSpan w:val="5"/>
            <w:tcBorders>
              <w:bottom w:val="double" w:sz="6" w:space="0" w:color="000000"/>
            </w:tcBorders>
          </w:tcPr>
          <w:p>
            <w:pPr>
              <w:pStyle w:val="TableParagraph"/>
              <w:spacing w:line="205" w:lineRule="exact"/>
              <w:ind w:left="28"/>
              <w:rPr>
                <w:sz w:val="20"/>
              </w:rPr>
            </w:pPr>
            <w:r>
              <w:rPr>
                <w:sz w:val="20"/>
              </w:rPr>
              <w:t>Excluded</w:t>
            </w:r>
            <w:r>
              <w:rPr>
                <w:spacing w:val="-9"/>
                <w:sz w:val="20"/>
              </w:rPr>
              <w:t> </w:t>
            </w:r>
            <w:r>
              <w:rPr>
                <w:sz w:val="20"/>
              </w:rPr>
              <w:t>observations:</w:t>
            </w:r>
            <w:r>
              <w:rPr>
                <w:spacing w:val="-11"/>
                <w:sz w:val="20"/>
              </w:rPr>
              <w:t> </w:t>
            </w:r>
            <w:r>
              <w:rPr>
                <w:spacing w:val="-10"/>
                <w:sz w:val="20"/>
              </w:rPr>
              <w:t>1</w:t>
            </w:r>
          </w:p>
        </w:tc>
      </w:tr>
      <w:tr>
        <w:trPr>
          <w:trHeight w:val="269" w:hRule="atLeast"/>
        </w:trPr>
        <w:tc>
          <w:tcPr>
            <w:tcW w:w="1903" w:type="dxa"/>
            <w:tcBorders>
              <w:top w:val="double" w:sz="6" w:space="0" w:color="000000"/>
              <w:bottom w:val="double" w:sz="6" w:space="0" w:color="000000"/>
            </w:tcBorders>
          </w:tcPr>
          <w:p>
            <w:pPr>
              <w:pStyle w:val="TableParagraph"/>
              <w:spacing w:line="209" w:lineRule="exact" w:before="40"/>
              <w:ind w:left="670"/>
              <w:rPr>
                <w:sz w:val="20"/>
              </w:rPr>
            </w:pPr>
            <w:r>
              <w:rPr>
                <w:spacing w:val="-2"/>
                <w:sz w:val="20"/>
              </w:rPr>
              <w:t>Variable</w:t>
            </w:r>
          </w:p>
        </w:tc>
        <w:tc>
          <w:tcPr>
            <w:tcW w:w="1313" w:type="dxa"/>
            <w:tcBorders>
              <w:top w:val="double" w:sz="6" w:space="0" w:color="000000"/>
              <w:bottom w:val="double" w:sz="6" w:space="0" w:color="000000"/>
            </w:tcBorders>
          </w:tcPr>
          <w:p>
            <w:pPr>
              <w:pStyle w:val="TableParagraph"/>
              <w:spacing w:line="209" w:lineRule="exact" w:before="40"/>
              <w:ind w:left="234" w:right="88"/>
              <w:jc w:val="center"/>
              <w:rPr>
                <w:sz w:val="20"/>
              </w:rPr>
            </w:pPr>
            <w:r>
              <w:rPr>
                <w:spacing w:val="-2"/>
                <w:sz w:val="20"/>
              </w:rPr>
              <w:t>Coefficient</w:t>
            </w:r>
          </w:p>
        </w:tc>
        <w:tc>
          <w:tcPr>
            <w:tcW w:w="1251" w:type="dxa"/>
            <w:tcBorders>
              <w:top w:val="double" w:sz="6" w:space="0" w:color="000000"/>
              <w:bottom w:val="double" w:sz="6" w:space="0" w:color="000000"/>
            </w:tcBorders>
          </w:tcPr>
          <w:p>
            <w:pPr>
              <w:pStyle w:val="TableParagraph"/>
              <w:spacing w:line="209" w:lineRule="exact" w:before="40"/>
              <w:ind w:right="187"/>
              <w:jc w:val="right"/>
              <w:rPr>
                <w:sz w:val="20"/>
              </w:rPr>
            </w:pPr>
            <w:r>
              <w:rPr>
                <w:sz w:val="20"/>
              </w:rPr>
              <w:t>Std.</w:t>
            </w:r>
            <w:r>
              <w:rPr>
                <w:spacing w:val="-4"/>
                <w:sz w:val="20"/>
              </w:rPr>
              <w:t> </w:t>
            </w:r>
            <w:r>
              <w:rPr>
                <w:spacing w:val="-2"/>
                <w:sz w:val="20"/>
              </w:rPr>
              <w:t>Error</w:t>
            </w:r>
          </w:p>
        </w:tc>
        <w:tc>
          <w:tcPr>
            <w:tcW w:w="1119" w:type="dxa"/>
            <w:tcBorders>
              <w:top w:val="double" w:sz="6" w:space="0" w:color="000000"/>
              <w:bottom w:val="double" w:sz="6" w:space="0" w:color="000000"/>
            </w:tcBorders>
          </w:tcPr>
          <w:p>
            <w:pPr>
              <w:pStyle w:val="TableParagraph"/>
              <w:spacing w:line="209" w:lineRule="exact" w:before="40"/>
              <w:ind w:left="137" w:right="18"/>
              <w:jc w:val="center"/>
              <w:rPr>
                <w:sz w:val="20"/>
              </w:rPr>
            </w:pPr>
            <w:r>
              <w:rPr>
                <w:spacing w:val="-4"/>
                <w:sz w:val="20"/>
              </w:rPr>
              <w:t>t-</w:t>
            </w:r>
            <w:r>
              <w:rPr>
                <w:spacing w:val="-2"/>
                <w:sz w:val="20"/>
              </w:rPr>
              <w:t>Statistic</w:t>
            </w:r>
          </w:p>
        </w:tc>
        <w:tc>
          <w:tcPr>
            <w:tcW w:w="897" w:type="dxa"/>
            <w:tcBorders>
              <w:top w:val="double" w:sz="6" w:space="0" w:color="000000"/>
              <w:bottom w:val="double" w:sz="6" w:space="0" w:color="000000"/>
            </w:tcBorders>
          </w:tcPr>
          <w:p>
            <w:pPr>
              <w:pStyle w:val="TableParagraph"/>
              <w:spacing w:line="209" w:lineRule="exact" w:before="40"/>
              <w:ind w:right="32"/>
              <w:jc w:val="right"/>
              <w:rPr>
                <w:sz w:val="20"/>
              </w:rPr>
            </w:pPr>
            <w:r>
              <w:rPr>
                <w:spacing w:val="-2"/>
                <w:sz w:val="20"/>
              </w:rPr>
              <w:t>Prob.</w:t>
            </w:r>
          </w:p>
        </w:tc>
      </w:tr>
      <w:tr>
        <w:trPr>
          <w:trHeight w:val="276" w:hRule="atLeast"/>
        </w:trPr>
        <w:tc>
          <w:tcPr>
            <w:tcW w:w="1903" w:type="dxa"/>
            <w:tcBorders>
              <w:top w:val="double" w:sz="6" w:space="0" w:color="000000"/>
            </w:tcBorders>
          </w:tcPr>
          <w:p>
            <w:pPr>
              <w:pStyle w:val="TableParagraph"/>
              <w:spacing w:line="214" w:lineRule="exact" w:before="42"/>
              <w:ind w:left="128" w:right="2"/>
              <w:jc w:val="center"/>
              <w:rPr>
                <w:sz w:val="20"/>
              </w:rPr>
            </w:pPr>
            <w:r>
              <w:rPr>
                <w:spacing w:val="-10"/>
                <w:sz w:val="20"/>
              </w:rPr>
              <w:t>C</w:t>
            </w:r>
          </w:p>
        </w:tc>
        <w:tc>
          <w:tcPr>
            <w:tcW w:w="1313" w:type="dxa"/>
            <w:tcBorders>
              <w:top w:val="double" w:sz="6" w:space="0" w:color="000000"/>
            </w:tcBorders>
          </w:tcPr>
          <w:p>
            <w:pPr>
              <w:pStyle w:val="TableParagraph"/>
              <w:spacing w:line="214" w:lineRule="exact" w:before="42"/>
              <w:ind w:left="298"/>
              <w:jc w:val="center"/>
              <w:rPr>
                <w:sz w:val="20"/>
              </w:rPr>
            </w:pPr>
            <w:r>
              <w:rPr>
                <w:spacing w:val="-2"/>
                <w:sz w:val="20"/>
              </w:rPr>
              <w:t>3.259558</w:t>
            </w:r>
          </w:p>
        </w:tc>
        <w:tc>
          <w:tcPr>
            <w:tcW w:w="1251" w:type="dxa"/>
            <w:tcBorders>
              <w:top w:val="double" w:sz="6" w:space="0" w:color="000000"/>
            </w:tcBorders>
          </w:tcPr>
          <w:p>
            <w:pPr>
              <w:pStyle w:val="TableParagraph"/>
              <w:spacing w:line="214" w:lineRule="exact" w:before="42"/>
              <w:ind w:right="187"/>
              <w:jc w:val="right"/>
              <w:rPr>
                <w:sz w:val="20"/>
              </w:rPr>
            </w:pPr>
            <w:r>
              <w:rPr>
                <w:spacing w:val="-2"/>
                <w:sz w:val="20"/>
              </w:rPr>
              <w:t>8.027666</w:t>
            </w:r>
          </w:p>
        </w:tc>
        <w:tc>
          <w:tcPr>
            <w:tcW w:w="1119" w:type="dxa"/>
            <w:tcBorders>
              <w:top w:val="double" w:sz="6" w:space="0" w:color="000000"/>
            </w:tcBorders>
          </w:tcPr>
          <w:p>
            <w:pPr>
              <w:pStyle w:val="TableParagraph"/>
              <w:spacing w:line="214" w:lineRule="exact" w:before="42"/>
              <w:ind w:left="137" w:right="1"/>
              <w:jc w:val="center"/>
              <w:rPr>
                <w:sz w:val="20"/>
              </w:rPr>
            </w:pPr>
            <w:r>
              <w:rPr>
                <w:spacing w:val="-2"/>
                <w:sz w:val="20"/>
              </w:rPr>
              <w:t>0.406041</w:t>
            </w:r>
          </w:p>
        </w:tc>
        <w:tc>
          <w:tcPr>
            <w:tcW w:w="897" w:type="dxa"/>
            <w:tcBorders>
              <w:top w:val="double" w:sz="6" w:space="0" w:color="000000"/>
            </w:tcBorders>
          </w:tcPr>
          <w:p>
            <w:pPr>
              <w:pStyle w:val="TableParagraph"/>
              <w:spacing w:line="214" w:lineRule="exact" w:before="42"/>
              <w:ind w:right="30"/>
              <w:jc w:val="right"/>
              <w:rPr>
                <w:sz w:val="20"/>
              </w:rPr>
            </w:pPr>
            <w:r>
              <w:rPr>
                <w:spacing w:val="-2"/>
                <w:sz w:val="20"/>
              </w:rPr>
              <w:t>0.6988</w:t>
            </w:r>
          </w:p>
        </w:tc>
      </w:tr>
      <w:tr>
        <w:trPr>
          <w:trHeight w:val="229" w:hRule="atLeast"/>
        </w:trPr>
        <w:tc>
          <w:tcPr>
            <w:tcW w:w="1903" w:type="dxa"/>
          </w:tcPr>
          <w:p>
            <w:pPr>
              <w:pStyle w:val="TableParagraph"/>
              <w:spacing w:line="210" w:lineRule="exact"/>
              <w:ind w:left="559"/>
              <w:rPr>
                <w:sz w:val="20"/>
              </w:rPr>
            </w:pPr>
            <w:r>
              <w:rPr>
                <w:spacing w:val="-2"/>
                <w:sz w:val="20"/>
              </w:rPr>
              <w:t>EXTDEBT</w:t>
            </w:r>
          </w:p>
        </w:tc>
        <w:tc>
          <w:tcPr>
            <w:tcW w:w="1313" w:type="dxa"/>
          </w:tcPr>
          <w:p>
            <w:pPr>
              <w:pStyle w:val="TableParagraph"/>
              <w:spacing w:line="210" w:lineRule="exact"/>
              <w:ind w:left="298"/>
              <w:jc w:val="center"/>
              <w:rPr>
                <w:sz w:val="20"/>
              </w:rPr>
            </w:pPr>
            <w:r>
              <w:rPr>
                <w:spacing w:val="-2"/>
                <w:sz w:val="20"/>
              </w:rPr>
              <w:t>0.100719</w:t>
            </w:r>
          </w:p>
        </w:tc>
        <w:tc>
          <w:tcPr>
            <w:tcW w:w="1251" w:type="dxa"/>
          </w:tcPr>
          <w:p>
            <w:pPr>
              <w:pStyle w:val="TableParagraph"/>
              <w:spacing w:line="210" w:lineRule="exact"/>
              <w:ind w:right="187"/>
              <w:jc w:val="right"/>
              <w:rPr>
                <w:sz w:val="20"/>
              </w:rPr>
            </w:pPr>
            <w:r>
              <w:rPr>
                <w:spacing w:val="-2"/>
                <w:sz w:val="20"/>
              </w:rPr>
              <w:t>0.188291</w:t>
            </w:r>
          </w:p>
        </w:tc>
        <w:tc>
          <w:tcPr>
            <w:tcW w:w="1119" w:type="dxa"/>
          </w:tcPr>
          <w:p>
            <w:pPr>
              <w:pStyle w:val="TableParagraph"/>
              <w:spacing w:line="210" w:lineRule="exact"/>
              <w:ind w:left="137" w:right="1"/>
              <w:jc w:val="center"/>
              <w:rPr>
                <w:sz w:val="20"/>
              </w:rPr>
            </w:pPr>
            <w:r>
              <w:rPr>
                <w:spacing w:val="-2"/>
                <w:sz w:val="20"/>
              </w:rPr>
              <w:t>0.534909</w:t>
            </w:r>
          </w:p>
        </w:tc>
        <w:tc>
          <w:tcPr>
            <w:tcW w:w="897" w:type="dxa"/>
          </w:tcPr>
          <w:p>
            <w:pPr>
              <w:pStyle w:val="TableParagraph"/>
              <w:spacing w:line="210" w:lineRule="exact"/>
              <w:ind w:right="30"/>
              <w:jc w:val="right"/>
              <w:rPr>
                <w:sz w:val="20"/>
              </w:rPr>
            </w:pPr>
            <w:r>
              <w:rPr>
                <w:spacing w:val="-2"/>
                <w:sz w:val="20"/>
              </w:rPr>
              <w:t>0.6119</w:t>
            </w:r>
          </w:p>
        </w:tc>
      </w:tr>
      <w:tr>
        <w:trPr>
          <w:trHeight w:val="230" w:hRule="atLeast"/>
        </w:trPr>
        <w:tc>
          <w:tcPr>
            <w:tcW w:w="1903" w:type="dxa"/>
          </w:tcPr>
          <w:p>
            <w:pPr>
              <w:pStyle w:val="TableParagraph"/>
              <w:spacing w:line="210" w:lineRule="exact"/>
              <w:ind w:left="128" w:right="4"/>
              <w:jc w:val="center"/>
              <w:rPr>
                <w:sz w:val="20"/>
              </w:rPr>
            </w:pPr>
            <w:r>
              <w:rPr>
                <w:spacing w:val="-5"/>
                <w:sz w:val="20"/>
              </w:rPr>
              <w:t>DOP</w:t>
            </w:r>
          </w:p>
        </w:tc>
        <w:tc>
          <w:tcPr>
            <w:tcW w:w="1313" w:type="dxa"/>
          </w:tcPr>
          <w:p>
            <w:pPr>
              <w:pStyle w:val="TableParagraph"/>
              <w:spacing w:line="210" w:lineRule="exact"/>
              <w:ind w:left="234" w:right="1"/>
              <w:jc w:val="center"/>
              <w:rPr>
                <w:sz w:val="20"/>
              </w:rPr>
            </w:pPr>
            <w:r>
              <w:rPr>
                <w:spacing w:val="-4"/>
                <w:sz w:val="20"/>
              </w:rPr>
              <w:t>-</w:t>
            </w:r>
            <w:r>
              <w:rPr>
                <w:spacing w:val="-2"/>
                <w:sz w:val="20"/>
              </w:rPr>
              <w:t>1.439851</w:t>
            </w:r>
          </w:p>
        </w:tc>
        <w:tc>
          <w:tcPr>
            <w:tcW w:w="1251" w:type="dxa"/>
          </w:tcPr>
          <w:p>
            <w:pPr>
              <w:pStyle w:val="TableParagraph"/>
              <w:spacing w:line="210" w:lineRule="exact"/>
              <w:ind w:right="187"/>
              <w:jc w:val="right"/>
              <w:rPr>
                <w:sz w:val="20"/>
              </w:rPr>
            </w:pPr>
            <w:r>
              <w:rPr>
                <w:spacing w:val="-2"/>
                <w:sz w:val="20"/>
              </w:rPr>
              <w:t>2.633642</w:t>
            </w:r>
          </w:p>
        </w:tc>
        <w:tc>
          <w:tcPr>
            <w:tcW w:w="1119" w:type="dxa"/>
          </w:tcPr>
          <w:p>
            <w:pPr>
              <w:pStyle w:val="TableParagraph"/>
              <w:spacing w:line="210" w:lineRule="exact"/>
              <w:ind w:left="137" w:right="65"/>
              <w:jc w:val="center"/>
              <w:rPr>
                <w:sz w:val="20"/>
              </w:rPr>
            </w:pPr>
            <w:r>
              <w:rPr>
                <w:spacing w:val="-4"/>
                <w:sz w:val="20"/>
              </w:rPr>
              <w:t>-</w:t>
            </w:r>
            <w:r>
              <w:rPr>
                <w:spacing w:val="-2"/>
                <w:sz w:val="20"/>
              </w:rPr>
              <w:t>0.546715</w:t>
            </w:r>
          </w:p>
        </w:tc>
        <w:tc>
          <w:tcPr>
            <w:tcW w:w="897" w:type="dxa"/>
          </w:tcPr>
          <w:p>
            <w:pPr>
              <w:pStyle w:val="TableParagraph"/>
              <w:spacing w:line="210" w:lineRule="exact"/>
              <w:ind w:right="30"/>
              <w:jc w:val="right"/>
              <w:rPr>
                <w:sz w:val="20"/>
              </w:rPr>
            </w:pPr>
            <w:r>
              <w:rPr>
                <w:spacing w:val="-2"/>
                <w:sz w:val="20"/>
              </w:rPr>
              <w:t>0.6043</w:t>
            </w:r>
          </w:p>
        </w:tc>
      </w:tr>
      <w:tr>
        <w:trPr>
          <w:trHeight w:val="230" w:hRule="atLeast"/>
        </w:trPr>
        <w:tc>
          <w:tcPr>
            <w:tcW w:w="1903" w:type="dxa"/>
          </w:tcPr>
          <w:p>
            <w:pPr>
              <w:pStyle w:val="TableParagraph"/>
              <w:spacing w:line="210" w:lineRule="exact"/>
              <w:ind w:left="128"/>
              <w:jc w:val="center"/>
              <w:rPr>
                <w:sz w:val="20"/>
              </w:rPr>
            </w:pPr>
            <w:r>
              <w:rPr>
                <w:spacing w:val="-5"/>
                <w:sz w:val="20"/>
              </w:rPr>
              <w:t>INF</w:t>
            </w:r>
          </w:p>
        </w:tc>
        <w:tc>
          <w:tcPr>
            <w:tcW w:w="1313" w:type="dxa"/>
          </w:tcPr>
          <w:p>
            <w:pPr>
              <w:pStyle w:val="TableParagraph"/>
              <w:spacing w:line="210" w:lineRule="exact"/>
              <w:ind w:left="234" w:right="1"/>
              <w:jc w:val="center"/>
              <w:rPr>
                <w:sz w:val="20"/>
              </w:rPr>
            </w:pPr>
            <w:r>
              <w:rPr>
                <w:spacing w:val="-4"/>
                <w:sz w:val="20"/>
              </w:rPr>
              <w:t>-</w:t>
            </w:r>
            <w:r>
              <w:rPr>
                <w:spacing w:val="-2"/>
                <w:sz w:val="20"/>
              </w:rPr>
              <w:t>0.300385</w:t>
            </w:r>
          </w:p>
        </w:tc>
        <w:tc>
          <w:tcPr>
            <w:tcW w:w="1251" w:type="dxa"/>
          </w:tcPr>
          <w:p>
            <w:pPr>
              <w:pStyle w:val="TableParagraph"/>
              <w:spacing w:line="210" w:lineRule="exact"/>
              <w:ind w:right="187"/>
              <w:jc w:val="right"/>
              <w:rPr>
                <w:sz w:val="20"/>
              </w:rPr>
            </w:pPr>
            <w:r>
              <w:rPr>
                <w:spacing w:val="-2"/>
                <w:sz w:val="20"/>
              </w:rPr>
              <w:t>0.529018</w:t>
            </w:r>
          </w:p>
        </w:tc>
        <w:tc>
          <w:tcPr>
            <w:tcW w:w="1119" w:type="dxa"/>
          </w:tcPr>
          <w:p>
            <w:pPr>
              <w:pStyle w:val="TableParagraph"/>
              <w:spacing w:line="210" w:lineRule="exact"/>
              <w:ind w:left="137" w:right="65"/>
              <w:jc w:val="center"/>
              <w:rPr>
                <w:sz w:val="20"/>
              </w:rPr>
            </w:pPr>
            <w:r>
              <w:rPr>
                <w:spacing w:val="-4"/>
                <w:sz w:val="20"/>
              </w:rPr>
              <w:t>-</w:t>
            </w:r>
            <w:r>
              <w:rPr>
                <w:spacing w:val="-2"/>
                <w:sz w:val="20"/>
              </w:rPr>
              <w:t>0.567816</w:t>
            </w:r>
          </w:p>
        </w:tc>
        <w:tc>
          <w:tcPr>
            <w:tcW w:w="897" w:type="dxa"/>
          </w:tcPr>
          <w:p>
            <w:pPr>
              <w:pStyle w:val="TableParagraph"/>
              <w:spacing w:line="210" w:lineRule="exact"/>
              <w:ind w:right="30"/>
              <w:jc w:val="right"/>
              <w:rPr>
                <w:sz w:val="20"/>
              </w:rPr>
            </w:pPr>
            <w:r>
              <w:rPr>
                <w:spacing w:val="-2"/>
                <w:sz w:val="20"/>
              </w:rPr>
              <w:t>0.5908</w:t>
            </w:r>
          </w:p>
        </w:tc>
      </w:tr>
      <w:tr>
        <w:trPr>
          <w:trHeight w:val="230" w:hRule="atLeast"/>
        </w:trPr>
        <w:tc>
          <w:tcPr>
            <w:tcW w:w="1903" w:type="dxa"/>
          </w:tcPr>
          <w:p>
            <w:pPr>
              <w:pStyle w:val="TableParagraph"/>
              <w:spacing w:line="210" w:lineRule="exact"/>
              <w:ind w:left="128" w:right="2"/>
              <w:jc w:val="center"/>
              <w:rPr>
                <w:sz w:val="20"/>
              </w:rPr>
            </w:pPr>
            <w:r>
              <w:rPr>
                <w:spacing w:val="-5"/>
                <w:sz w:val="20"/>
              </w:rPr>
              <w:t>GCF</w:t>
            </w:r>
          </w:p>
        </w:tc>
        <w:tc>
          <w:tcPr>
            <w:tcW w:w="1313" w:type="dxa"/>
          </w:tcPr>
          <w:p>
            <w:pPr>
              <w:pStyle w:val="TableParagraph"/>
              <w:spacing w:line="210" w:lineRule="exact"/>
              <w:ind w:left="298"/>
              <w:jc w:val="center"/>
              <w:rPr>
                <w:sz w:val="20"/>
              </w:rPr>
            </w:pPr>
            <w:r>
              <w:rPr>
                <w:spacing w:val="-2"/>
                <w:sz w:val="20"/>
              </w:rPr>
              <w:t>0.158665</w:t>
            </w:r>
          </w:p>
        </w:tc>
        <w:tc>
          <w:tcPr>
            <w:tcW w:w="1251" w:type="dxa"/>
          </w:tcPr>
          <w:p>
            <w:pPr>
              <w:pStyle w:val="TableParagraph"/>
              <w:spacing w:line="210" w:lineRule="exact"/>
              <w:ind w:right="187"/>
              <w:jc w:val="right"/>
              <w:rPr>
                <w:sz w:val="20"/>
              </w:rPr>
            </w:pPr>
            <w:r>
              <w:rPr>
                <w:spacing w:val="-2"/>
                <w:sz w:val="20"/>
              </w:rPr>
              <w:t>0.347880</w:t>
            </w:r>
          </w:p>
        </w:tc>
        <w:tc>
          <w:tcPr>
            <w:tcW w:w="1119" w:type="dxa"/>
          </w:tcPr>
          <w:p>
            <w:pPr>
              <w:pStyle w:val="TableParagraph"/>
              <w:spacing w:line="210" w:lineRule="exact"/>
              <w:ind w:left="137" w:right="1"/>
              <w:jc w:val="center"/>
              <w:rPr>
                <w:sz w:val="20"/>
              </w:rPr>
            </w:pPr>
            <w:r>
              <w:rPr>
                <w:spacing w:val="-2"/>
                <w:sz w:val="20"/>
              </w:rPr>
              <w:t>0.456092</w:t>
            </w:r>
          </w:p>
        </w:tc>
        <w:tc>
          <w:tcPr>
            <w:tcW w:w="897" w:type="dxa"/>
          </w:tcPr>
          <w:p>
            <w:pPr>
              <w:pStyle w:val="TableParagraph"/>
              <w:spacing w:line="210" w:lineRule="exact"/>
              <w:ind w:right="30"/>
              <w:jc w:val="right"/>
              <w:rPr>
                <w:sz w:val="20"/>
              </w:rPr>
            </w:pPr>
            <w:r>
              <w:rPr>
                <w:spacing w:val="-2"/>
                <w:sz w:val="20"/>
              </w:rPr>
              <w:t>0.6644</w:t>
            </w:r>
          </w:p>
        </w:tc>
      </w:tr>
      <w:tr>
        <w:trPr>
          <w:trHeight w:val="230" w:hRule="atLeast"/>
        </w:trPr>
        <w:tc>
          <w:tcPr>
            <w:tcW w:w="1903" w:type="dxa"/>
          </w:tcPr>
          <w:p>
            <w:pPr>
              <w:pStyle w:val="TableParagraph"/>
              <w:spacing w:line="210" w:lineRule="exact"/>
              <w:ind w:left="128" w:right="1"/>
              <w:jc w:val="center"/>
              <w:rPr>
                <w:sz w:val="20"/>
              </w:rPr>
            </w:pPr>
            <w:r>
              <w:rPr>
                <w:spacing w:val="-5"/>
                <w:sz w:val="20"/>
              </w:rPr>
              <w:t>DR</w:t>
            </w:r>
          </w:p>
        </w:tc>
        <w:tc>
          <w:tcPr>
            <w:tcW w:w="1313" w:type="dxa"/>
          </w:tcPr>
          <w:p>
            <w:pPr>
              <w:pStyle w:val="TableParagraph"/>
              <w:spacing w:line="210" w:lineRule="exact"/>
              <w:ind w:left="298"/>
              <w:jc w:val="center"/>
              <w:rPr>
                <w:sz w:val="20"/>
              </w:rPr>
            </w:pPr>
            <w:r>
              <w:rPr>
                <w:spacing w:val="-2"/>
                <w:sz w:val="20"/>
              </w:rPr>
              <w:t>1.558871</w:t>
            </w:r>
          </w:p>
        </w:tc>
        <w:tc>
          <w:tcPr>
            <w:tcW w:w="1251" w:type="dxa"/>
          </w:tcPr>
          <w:p>
            <w:pPr>
              <w:pStyle w:val="TableParagraph"/>
              <w:spacing w:line="210" w:lineRule="exact"/>
              <w:ind w:right="187"/>
              <w:jc w:val="right"/>
              <w:rPr>
                <w:sz w:val="20"/>
              </w:rPr>
            </w:pPr>
            <w:r>
              <w:rPr>
                <w:spacing w:val="-2"/>
                <w:sz w:val="20"/>
              </w:rPr>
              <w:t>4.094313</w:t>
            </w:r>
          </w:p>
        </w:tc>
        <w:tc>
          <w:tcPr>
            <w:tcW w:w="1119" w:type="dxa"/>
          </w:tcPr>
          <w:p>
            <w:pPr>
              <w:pStyle w:val="TableParagraph"/>
              <w:spacing w:line="210" w:lineRule="exact"/>
              <w:ind w:left="137" w:right="1"/>
              <w:jc w:val="center"/>
              <w:rPr>
                <w:sz w:val="20"/>
              </w:rPr>
            </w:pPr>
            <w:r>
              <w:rPr>
                <w:spacing w:val="-2"/>
                <w:sz w:val="20"/>
              </w:rPr>
              <w:t>0.380741</w:t>
            </w:r>
          </w:p>
        </w:tc>
        <w:tc>
          <w:tcPr>
            <w:tcW w:w="897" w:type="dxa"/>
          </w:tcPr>
          <w:p>
            <w:pPr>
              <w:pStyle w:val="TableParagraph"/>
              <w:spacing w:line="210" w:lineRule="exact"/>
              <w:ind w:right="30"/>
              <w:jc w:val="right"/>
              <w:rPr>
                <w:sz w:val="20"/>
              </w:rPr>
            </w:pPr>
            <w:r>
              <w:rPr>
                <w:spacing w:val="-2"/>
                <w:sz w:val="20"/>
              </w:rPr>
              <w:t>0.7165</w:t>
            </w:r>
          </w:p>
        </w:tc>
      </w:tr>
      <w:tr>
        <w:trPr>
          <w:trHeight w:val="229" w:hRule="atLeast"/>
        </w:trPr>
        <w:tc>
          <w:tcPr>
            <w:tcW w:w="1903" w:type="dxa"/>
          </w:tcPr>
          <w:p>
            <w:pPr>
              <w:pStyle w:val="TableParagraph"/>
              <w:spacing w:line="209" w:lineRule="exact"/>
              <w:ind w:left="653"/>
              <w:rPr>
                <w:sz w:val="20"/>
              </w:rPr>
            </w:pPr>
            <w:r>
              <w:rPr>
                <w:spacing w:val="-2"/>
                <w:sz w:val="20"/>
              </w:rPr>
              <w:t>PRIVCR</w:t>
            </w:r>
          </w:p>
        </w:tc>
        <w:tc>
          <w:tcPr>
            <w:tcW w:w="1313" w:type="dxa"/>
          </w:tcPr>
          <w:p>
            <w:pPr>
              <w:pStyle w:val="TableParagraph"/>
              <w:spacing w:line="209" w:lineRule="exact"/>
              <w:ind w:left="234" w:right="1"/>
              <w:jc w:val="center"/>
              <w:rPr>
                <w:sz w:val="20"/>
              </w:rPr>
            </w:pPr>
            <w:r>
              <w:rPr>
                <w:spacing w:val="-4"/>
                <w:sz w:val="20"/>
              </w:rPr>
              <w:t>-</w:t>
            </w:r>
            <w:r>
              <w:rPr>
                <w:spacing w:val="-2"/>
                <w:sz w:val="20"/>
              </w:rPr>
              <w:t>0.453457</w:t>
            </w:r>
          </w:p>
        </w:tc>
        <w:tc>
          <w:tcPr>
            <w:tcW w:w="1251" w:type="dxa"/>
          </w:tcPr>
          <w:p>
            <w:pPr>
              <w:pStyle w:val="TableParagraph"/>
              <w:spacing w:line="209" w:lineRule="exact"/>
              <w:ind w:right="187"/>
              <w:jc w:val="right"/>
              <w:rPr>
                <w:sz w:val="20"/>
              </w:rPr>
            </w:pPr>
            <w:r>
              <w:rPr>
                <w:spacing w:val="-2"/>
                <w:sz w:val="20"/>
              </w:rPr>
              <w:t>1.492168</w:t>
            </w:r>
          </w:p>
        </w:tc>
        <w:tc>
          <w:tcPr>
            <w:tcW w:w="1119" w:type="dxa"/>
          </w:tcPr>
          <w:p>
            <w:pPr>
              <w:pStyle w:val="TableParagraph"/>
              <w:spacing w:line="209" w:lineRule="exact"/>
              <w:ind w:left="137" w:right="65"/>
              <w:jc w:val="center"/>
              <w:rPr>
                <w:sz w:val="20"/>
              </w:rPr>
            </w:pPr>
            <w:r>
              <w:rPr>
                <w:spacing w:val="-4"/>
                <w:sz w:val="20"/>
              </w:rPr>
              <w:t>-</w:t>
            </w:r>
            <w:r>
              <w:rPr>
                <w:spacing w:val="-2"/>
                <w:sz w:val="20"/>
              </w:rPr>
              <w:t>0.303892</w:t>
            </w:r>
          </w:p>
        </w:tc>
        <w:tc>
          <w:tcPr>
            <w:tcW w:w="897" w:type="dxa"/>
          </w:tcPr>
          <w:p>
            <w:pPr>
              <w:pStyle w:val="TableParagraph"/>
              <w:spacing w:line="209" w:lineRule="exact"/>
              <w:ind w:right="30"/>
              <w:jc w:val="right"/>
              <w:rPr>
                <w:sz w:val="20"/>
              </w:rPr>
            </w:pPr>
            <w:r>
              <w:rPr>
                <w:spacing w:val="-2"/>
                <w:sz w:val="20"/>
              </w:rPr>
              <w:t>0.7715</w:t>
            </w:r>
          </w:p>
        </w:tc>
      </w:tr>
      <w:tr>
        <w:trPr>
          <w:trHeight w:val="229" w:hRule="atLeast"/>
        </w:trPr>
        <w:tc>
          <w:tcPr>
            <w:tcW w:w="1903" w:type="dxa"/>
          </w:tcPr>
          <w:p>
            <w:pPr>
              <w:pStyle w:val="TableParagraph"/>
              <w:spacing w:line="209" w:lineRule="exact"/>
              <w:ind w:left="631"/>
              <w:rPr>
                <w:sz w:val="20"/>
              </w:rPr>
            </w:pPr>
            <w:r>
              <w:rPr>
                <w:spacing w:val="-2"/>
                <w:sz w:val="20"/>
              </w:rPr>
              <w:t>INTDIFF</w:t>
            </w:r>
          </w:p>
        </w:tc>
        <w:tc>
          <w:tcPr>
            <w:tcW w:w="1313" w:type="dxa"/>
          </w:tcPr>
          <w:p>
            <w:pPr>
              <w:pStyle w:val="TableParagraph"/>
              <w:spacing w:line="209" w:lineRule="exact"/>
              <w:ind w:left="234" w:right="1"/>
              <w:jc w:val="center"/>
              <w:rPr>
                <w:sz w:val="20"/>
              </w:rPr>
            </w:pPr>
            <w:r>
              <w:rPr>
                <w:spacing w:val="-4"/>
                <w:sz w:val="20"/>
              </w:rPr>
              <w:t>-</w:t>
            </w:r>
            <w:r>
              <w:rPr>
                <w:spacing w:val="-2"/>
                <w:sz w:val="20"/>
              </w:rPr>
              <w:t>0.165529</w:t>
            </w:r>
          </w:p>
        </w:tc>
        <w:tc>
          <w:tcPr>
            <w:tcW w:w="1251" w:type="dxa"/>
          </w:tcPr>
          <w:p>
            <w:pPr>
              <w:pStyle w:val="TableParagraph"/>
              <w:spacing w:line="209" w:lineRule="exact"/>
              <w:ind w:right="187"/>
              <w:jc w:val="right"/>
              <w:rPr>
                <w:sz w:val="20"/>
              </w:rPr>
            </w:pPr>
            <w:r>
              <w:rPr>
                <w:spacing w:val="-2"/>
                <w:sz w:val="20"/>
              </w:rPr>
              <w:t>0.317158</w:t>
            </w:r>
          </w:p>
        </w:tc>
        <w:tc>
          <w:tcPr>
            <w:tcW w:w="1119" w:type="dxa"/>
          </w:tcPr>
          <w:p>
            <w:pPr>
              <w:pStyle w:val="TableParagraph"/>
              <w:spacing w:line="209" w:lineRule="exact"/>
              <w:ind w:left="137" w:right="65"/>
              <w:jc w:val="center"/>
              <w:rPr>
                <w:sz w:val="20"/>
              </w:rPr>
            </w:pPr>
            <w:r>
              <w:rPr>
                <w:spacing w:val="-4"/>
                <w:sz w:val="20"/>
              </w:rPr>
              <w:t>-</w:t>
            </w:r>
            <w:r>
              <w:rPr>
                <w:spacing w:val="-2"/>
                <w:sz w:val="20"/>
              </w:rPr>
              <w:t>0.521915</w:t>
            </w:r>
          </w:p>
        </w:tc>
        <w:tc>
          <w:tcPr>
            <w:tcW w:w="897" w:type="dxa"/>
          </w:tcPr>
          <w:p>
            <w:pPr>
              <w:pStyle w:val="TableParagraph"/>
              <w:spacing w:line="209" w:lineRule="exact"/>
              <w:ind w:right="30"/>
              <w:jc w:val="right"/>
              <w:rPr>
                <w:sz w:val="20"/>
              </w:rPr>
            </w:pPr>
            <w:r>
              <w:rPr>
                <w:spacing w:val="-2"/>
                <w:sz w:val="20"/>
              </w:rPr>
              <w:t>0.6204</w:t>
            </w:r>
          </w:p>
        </w:tc>
      </w:tr>
      <w:tr>
        <w:trPr>
          <w:trHeight w:val="224" w:hRule="atLeast"/>
        </w:trPr>
        <w:tc>
          <w:tcPr>
            <w:tcW w:w="1903" w:type="dxa"/>
            <w:tcBorders>
              <w:bottom w:val="double" w:sz="6" w:space="0" w:color="000000"/>
            </w:tcBorders>
          </w:tcPr>
          <w:p>
            <w:pPr>
              <w:pStyle w:val="TableParagraph"/>
              <w:spacing w:line="205" w:lineRule="exact"/>
              <w:ind w:left="742"/>
              <w:rPr>
                <w:sz w:val="20"/>
              </w:rPr>
            </w:pPr>
            <w:r>
              <w:rPr>
                <w:spacing w:val="-4"/>
                <w:sz w:val="20"/>
              </w:rPr>
              <w:t>GOCE</w:t>
            </w:r>
          </w:p>
        </w:tc>
        <w:tc>
          <w:tcPr>
            <w:tcW w:w="1313" w:type="dxa"/>
            <w:tcBorders>
              <w:bottom w:val="double" w:sz="6" w:space="0" w:color="000000"/>
            </w:tcBorders>
          </w:tcPr>
          <w:p>
            <w:pPr>
              <w:pStyle w:val="TableParagraph"/>
              <w:spacing w:line="205" w:lineRule="exact"/>
              <w:ind w:left="298"/>
              <w:jc w:val="center"/>
              <w:rPr>
                <w:sz w:val="20"/>
              </w:rPr>
            </w:pPr>
            <w:r>
              <w:rPr>
                <w:spacing w:val="-2"/>
                <w:sz w:val="20"/>
              </w:rPr>
              <w:t>0.455421</w:t>
            </w:r>
          </w:p>
        </w:tc>
        <w:tc>
          <w:tcPr>
            <w:tcW w:w="1251" w:type="dxa"/>
            <w:tcBorders>
              <w:bottom w:val="double" w:sz="6" w:space="0" w:color="000000"/>
            </w:tcBorders>
          </w:tcPr>
          <w:p>
            <w:pPr>
              <w:pStyle w:val="TableParagraph"/>
              <w:spacing w:line="205" w:lineRule="exact"/>
              <w:ind w:right="187"/>
              <w:jc w:val="right"/>
              <w:rPr>
                <w:sz w:val="20"/>
              </w:rPr>
            </w:pPr>
            <w:r>
              <w:rPr>
                <w:spacing w:val="-2"/>
                <w:sz w:val="20"/>
              </w:rPr>
              <w:t>1.134090</w:t>
            </w:r>
          </w:p>
        </w:tc>
        <w:tc>
          <w:tcPr>
            <w:tcW w:w="1119" w:type="dxa"/>
            <w:tcBorders>
              <w:bottom w:val="double" w:sz="6" w:space="0" w:color="000000"/>
            </w:tcBorders>
          </w:tcPr>
          <w:p>
            <w:pPr>
              <w:pStyle w:val="TableParagraph"/>
              <w:spacing w:line="205" w:lineRule="exact"/>
              <w:ind w:left="137" w:right="1"/>
              <w:jc w:val="center"/>
              <w:rPr>
                <w:sz w:val="20"/>
              </w:rPr>
            </w:pPr>
            <w:r>
              <w:rPr>
                <w:spacing w:val="-2"/>
                <w:sz w:val="20"/>
              </w:rPr>
              <w:t>0.401574</w:t>
            </w:r>
          </w:p>
        </w:tc>
        <w:tc>
          <w:tcPr>
            <w:tcW w:w="897" w:type="dxa"/>
            <w:tcBorders>
              <w:bottom w:val="double" w:sz="6" w:space="0" w:color="000000"/>
            </w:tcBorders>
          </w:tcPr>
          <w:p>
            <w:pPr>
              <w:pStyle w:val="TableParagraph"/>
              <w:spacing w:line="205" w:lineRule="exact"/>
              <w:ind w:right="30"/>
              <w:jc w:val="right"/>
              <w:rPr>
                <w:sz w:val="20"/>
              </w:rPr>
            </w:pPr>
            <w:r>
              <w:rPr>
                <w:spacing w:val="-2"/>
                <w:sz w:val="20"/>
              </w:rPr>
              <w:t>0.7019</w:t>
            </w:r>
          </w:p>
        </w:tc>
      </w:tr>
      <w:tr>
        <w:trPr>
          <w:trHeight w:val="275" w:hRule="atLeast"/>
        </w:trPr>
        <w:tc>
          <w:tcPr>
            <w:tcW w:w="1903" w:type="dxa"/>
            <w:tcBorders>
              <w:top w:val="double" w:sz="6" w:space="0" w:color="000000"/>
            </w:tcBorders>
          </w:tcPr>
          <w:p>
            <w:pPr>
              <w:pStyle w:val="TableParagraph"/>
              <w:spacing w:line="215" w:lineRule="exact" w:before="40"/>
              <w:ind w:left="28"/>
              <w:rPr>
                <w:sz w:val="20"/>
              </w:rPr>
            </w:pPr>
            <w:r>
              <w:rPr>
                <w:spacing w:val="-2"/>
                <w:sz w:val="20"/>
              </w:rPr>
              <w:t>R-squared</w:t>
            </w:r>
          </w:p>
        </w:tc>
        <w:tc>
          <w:tcPr>
            <w:tcW w:w="1313" w:type="dxa"/>
            <w:tcBorders>
              <w:top w:val="double" w:sz="6" w:space="0" w:color="000000"/>
            </w:tcBorders>
          </w:tcPr>
          <w:p>
            <w:pPr>
              <w:pStyle w:val="TableParagraph"/>
              <w:spacing w:line="215" w:lineRule="exact" w:before="40"/>
              <w:ind w:left="298"/>
              <w:jc w:val="center"/>
              <w:rPr>
                <w:sz w:val="20"/>
              </w:rPr>
            </w:pPr>
            <w:r>
              <w:rPr>
                <w:spacing w:val="-2"/>
                <w:sz w:val="20"/>
              </w:rPr>
              <w:t>0.762678</w:t>
            </w:r>
          </w:p>
        </w:tc>
        <w:tc>
          <w:tcPr>
            <w:tcW w:w="2370" w:type="dxa"/>
            <w:gridSpan w:val="2"/>
            <w:tcBorders>
              <w:top w:val="double" w:sz="6" w:space="0" w:color="000000"/>
            </w:tcBorders>
          </w:tcPr>
          <w:p>
            <w:pPr>
              <w:pStyle w:val="TableParagraph"/>
              <w:spacing w:line="215" w:lineRule="exact" w:before="40"/>
              <w:ind w:left="130"/>
              <w:rPr>
                <w:sz w:val="20"/>
              </w:rPr>
            </w:pPr>
            <w:r>
              <w:rPr>
                <w:sz w:val="20"/>
              </w:rPr>
              <w:t>Mean</w:t>
            </w:r>
            <w:r>
              <w:rPr>
                <w:spacing w:val="-7"/>
                <w:sz w:val="20"/>
              </w:rPr>
              <w:t> </w:t>
            </w:r>
            <w:r>
              <w:rPr>
                <w:sz w:val="20"/>
              </w:rPr>
              <w:t>dependent</w:t>
            </w:r>
            <w:r>
              <w:rPr>
                <w:spacing w:val="-7"/>
                <w:sz w:val="20"/>
              </w:rPr>
              <w:t> </w:t>
            </w:r>
            <w:r>
              <w:rPr>
                <w:spacing w:val="-5"/>
                <w:sz w:val="20"/>
              </w:rPr>
              <w:t>var</w:t>
            </w:r>
          </w:p>
        </w:tc>
        <w:tc>
          <w:tcPr>
            <w:tcW w:w="897" w:type="dxa"/>
            <w:tcBorders>
              <w:top w:val="double" w:sz="6" w:space="0" w:color="000000"/>
            </w:tcBorders>
          </w:tcPr>
          <w:p>
            <w:pPr>
              <w:pStyle w:val="TableParagraph"/>
              <w:spacing w:line="215" w:lineRule="exact" w:before="40"/>
              <w:ind w:right="30"/>
              <w:jc w:val="right"/>
              <w:rPr>
                <w:sz w:val="20"/>
              </w:rPr>
            </w:pPr>
            <w:r>
              <w:rPr>
                <w:spacing w:val="-2"/>
                <w:sz w:val="20"/>
              </w:rPr>
              <w:t>7.870546</w:t>
            </w:r>
          </w:p>
        </w:tc>
      </w:tr>
      <w:tr>
        <w:trPr>
          <w:trHeight w:val="230" w:hRule="atLeast"/>
        </w:trPr>
        <w:tc>
          <w:tcPr>
            <w:tcW w:w="1903" w:type="dxa"/>
          </w:tcPr>
          <w:p>
            <w:pPr>
              <w:pStyle w:val="TableParagraph"/>
              <w:spacing w:line="210" w:lineRule="exact"/>
              <w:ind w:left="28"/>
              <w:rPr>
                <w:sz w:val="20"/>
              </w:rPr>
            </w:pPr>
            <w:r>
              <w:rPr>
                <w:sz w:val="20"/>
              </w:rPr>
              <w:t>Adjusted</w:t>
            </w:r>
            <w:r>
              <w:rPr>
                <w:spacing w:val="-10"/>
                <w:sz w:val="20"/>
              </w:rPr>
              <w:t> </w:t>
            </w:r>
            <w:r>
              <w:rPr>
                <w:sz w:val="20"/>
              </w:rPr>
              <w:t>R-</w:t>
            </w:r>
            <w:r>
              <w:rPr>
                <w:spacing w:val="-2"/>
                <w:sz w:val="20"/>
              </w:rPr>
              <w:t>squared</w:t>
            </w:r>
          </w:p>
        </w:tc>
        <w:tc>
          <w:tcPr>
            <w:tcW w:w="1313" w:type="dxa"/>
          </w:tcPr>
          <w:p>
            <w:pPr>
              <w:pStyle w:val="TableParagraph"/>
              <w:spacing w:line="210" w:lineRule="exact"/>
              <w:ind w:left="298"/>
              <w:jc w:val="center"/>
              <w:rPr>
                <w:sz w:val="20"/>
              </w:rPr>
            </w:pPr>
            <w:r>
              <w:rPr>
                <w:spacing w:val="-2"/>
                <w:sz w:val="20"/>
              </w:rPr>
              <w:t>0.446248</w:t>
            </w:r>
          </w:p>
        </w:tc>
        <w:tc>
          <w:tcPr>
            <w:tcW w:w="2370" w:type="dxa"/>
            <w:gridSpan w:val="2"/>
          </w:tcPr>
          <w:p>
            <w:pPr>
              <w:pStyle w:val="TableParagraph"/>
              <w:spacing w:line="210" w:lineRule="exact"/>
              <w:ind w:left="130"/>
              <w:rPr>
                <w:sz w:val="20"/>
              </w:rPr>
            </w:pPr>
            <w:r>
              <w:rPr>
                <w:sz w:val="20"/>
              </w:rPr>
              <w:t>S.D.</w:t>
            </w:r>
            <w:r>
              <w:rPr>
                <w:spacing w:val="-5"/>
                <w:sz w:val="20"/>
              </w:rPr>
              <w:t> </w:t>
            </w:r>
            <w:r>
              <w:rPr>
                <w:sz w:val="20"/>
              </w:rPr>
              <w:t>dependent</w:t>
            </w:r>
            <w:r>
              <w:rPr>
                <w:spacing w:val="-6"/>
                <w:sz w:val="20"/>
              </w:rPr>
              <w:t> </w:t>
            </w:r>
            <w:r>
              <w:rPr>
                <w:spacing w:val="-5"/>
                <w:sz w:val="20"/>
              </w:rPr>
              <w:t>var</w:t>
            </w:r>
          </w:p>
        </w:tc>
        <w:tc>
          <w:tcPr>
            <w:tcW w:w="897" w:type="dxa"/>
          </w:tcPr>
          <w:p>
            <w:pPr>
              <w:pStyle w:val="TableParagraph"/>
              <w:spacing w:line="210" w:lineRule="exact"/>
              <w:ind w:right="30"/>
              <w:jc w:val="right"/>
              <w:rPr>
                <w:sz w:val="20"/>
              </w:rPr>
            </w:pPr>
            <w:r>
              <w:rPr>
                <w:spacing w:val="-2"/>
                <w:sz w:val="20"/>
              </w:rPr>
              <w:t>0.975560</w:t>
            </w:r>
          </w:p>
        </w:tc>
      </w:tr>
      <w:tr>
        <w:trPr>
          <w:trHeight w:val="230" w:hRule="atLeast"/>
        </w:trPr>
        <w:tc>
          <w:tcPr>
            <w:tcW w:w="1903" w:type="dxa"/>
          </w:tcPr>
          <w:p>
            <w:pPr>
              <w:pStyle w:val="TableParagraph"/>
              <w:spacing w:line="210" w:lineRule="exact"/>
              <w:ind w:left="28"/>
              <w:rPr>
                <w:sz w:val="20"/>
              </w:rPr>
            </w:pPr>
            <w:r>
              <w:rPr>
                <w:sz w:val="20"/>
              </w:rPr>
              <w:t>S.E.</w:t>
            </w:r>
            <w:r>
              <w:rPr>
                <w:spacing w:val="-3"/>
                <w:sz w:val="20"/>
              </w:rPr>
              <w:t> </w:t>
            </w:r>
            <w:r>
              <w:rPr>
                <w:sz w:val="20"/>
              </w:rPr>
              <w:t>of</w:t>
            </w:r>
            <w:r>
              <w:rPr>
                <w:spacing w:val="-3"/>
                <w:sz w:val="20"/>
              </w:rPr>
              <w:t> </w:t>
            </w:r>
            <w:r>
              <w:rPr>
                <w:spacing w:val="-2"/>
                <w:sz w:val="20"/>
              </w:rPr>
              <w:t>regression</w:t>
            </w:r>
          </w:p>
        </w:tc>
        <w:tc>
          <w:tcPr>
            <w:tcW w:w="1313" w:type="dxa"/>
          </w:tcPr>
          <w:p>
            <w:pPr>
              <w:pStyle w:val="TableParagraph"/>
              <w:spacing w:line="210" w:lineRule="exact"/>
              <w:ind w:left="298"/>
              <w:jc w:val="center"/>
              <w:rPr>
                <w:sz w:val="20"/>
              </w:rPr>
            </w:pPr>
            <w:r>
              <w:rPr>
                <w:spacing w:val="-2"/>
                <w:sz w:val="20"/>
              </w:rPr>
              <w:t>0.725959</w:t>
            </w:r>
          </w:p>
        </w:tc>
        <w:tc>
          <w:tcPr>
            <w:tcW w:w="2370" w:type="dxa"/>
            <w:gridSpan w:val="2"/>
          </w:tcPr>
          <w:p>
            <w:pPr>
              <w:pStyle w:val="TableParagraph"/>
              <w:spacing w:line="210" w:lineRule="exact"/>
              <w:ind w:left="130"/>
              <w:rPr>
                <w:sz w:val="20"/>
              </w:rPr>
            </w:pPr>
            <w:r>
              <w:rPr>
                <w:sz w:val="20"/>
              </w:rPr>
              <w:t>Akaike</w:t>
            </w:r>
            <w:r>
              <w:rPr>
                <w:spacing w:val="-8"/>
                <w:sz w:val="20"/>
              </w:rPr>
              <w:t> </w:t>
            </w:r>
            <w:r>
              <w:rPr>
                <w:sz w:val="20"/>
              </w:rPr>
              <w:t>info</w:t>
            </w:r>
            <w:r>
              <w:rPr>
                <w:spacing w:val="-7"/>
                <w:sz w:val="20"/>
              </w:rPr>
              <w:t> </w:t>
            </w:r>
            <w:r>
              <w:rPr>
                <w:spacing w:val="-2"/>
                <w:sz w:val="20"/>
              </w:rPr>
              <w:t>criterion</w:t>
            </w:r>
          </w:p>
        </w:tc>
        <w:tc>
          <w:tcPr>
            <w:tcW w:w="897" w:type="dxa"/>
          </w:tcPr>
          <w:p>
            <w:pPr>
              <w:pStyle w:val="TableParagraph"/>
              <w:spacing w:line="210" w:lineRule="exact"/>
              <w:ind w:right="30"/>
              <w:jc w:val="right"/>
              <w:rPr>
                <w:sz w:val="20"/>
              </w:rPr>
            </w:pPr>
            <w:r>
              <w:rPr>
                <w:spacing w:val="-2"/>
                <w:sz w:val="20"/>
              </w:rPr>
              <w:t>2.481062</w:t>
            </w:r>
          </w:p>
        </w:tc>
      </w:tr>
      <w:tr>
        <w:trPr>
          <w:trHeight w:val="230" w:hRule="atLeast"/>
        </w:trPr>
        <w:tc>
          <w:tcPr>
            <w:tcW w:w="1903" w:type="dxa"/>
          </w:tcPr>
          <w:p>
            <w:pPr>
              <w:pStyle w:val="TableParagraph"/>
              <w:spacing w:line="210" w:lineRule="exact"/>
              <w:ind w:left="28"/>
              <w:rPr>
                <w:sz w:val="20"/>
              </w:rPr>
            </w:pPr>
            <w:r>
              <w:rPr>
                <w:sz w:val="20"/>
              </w:rPr>
              <w:t>Sum</w:t>
            </w:r>
            <w:r>
              <w:rPr>
                <w:spacing w:val="-8"/>
                <w:sz w:val="20"/>
              </w:rPr>
              <w:t> </w:t>
            </w:r>
            <w:r>
              <w:rPr>
                <w:sz w:val="20"/>
              </w:rPr>
              <w:t>squared</w:t>
            </w:r>
            <w:r>
              <w:rPr>
                <w:spacing w:val="-4"/>
                <w:sz w:val="20"/>
              </w:rPr>
              <w:t> </w:t>
            </w:r>
            <w:r>
              <w:rPr>
                <w:spacing w:val="-2"/>
                <w:sz w:val="20"/>
              </w:rPr>
              <w:t>resid</w:t>
            </w:r>
          </w:p>
        </w:tc>
        <w:tc>
          <w:tcPr>
            <w:tcW w:w="1313" w:type="dxa"/>
          </w:tcPr>
          <w:p>
            <w:pPr>
              <w:pStyle w:val="TableParagraph"/>
              <w:spacing w:line="210" w:lineRule="exact"/>
              <w:ind w:left="298"/>
              <w:jc w:val="center"/>
              <w:rPr>
                <w:sz w:val="20"/>
              </w:rPr>
            </w:pPr>
            <w:r>
              <w:rPr>
                <w:spacing w:val="-2"/>
                <w:sz w:val="20"/>
              </w:rPr>
              <w:t>3.162095</w:t>
            </w:r>
          </w:p>
        </w:tc>
        <w:tc>
          <w:tcPr>
            <w:tcW w:w="2370" w:type="dxa"/>
            <w:gridSpan w:val="2"/>
          </w:tcPr>
          <w:p>
            <w:pPr>
              <w:pStyle w:val="TableParagraph"/>
              <w:spacing w:line="210" w:lineRule="exact"/>
              <w:ind w:left="130"/>
              <w:rPr>
                <w:sz w:val="20"/>
              </w:rPr>
            </w:pPr>
            <w:r>
              <w:rPr>
                <w:sz w:val="20"/>
              </w:rPr>
              <w:t>Schwarz</w:t>
            </w:r>
            <w:r>
              <w:rPr>
                <w:spacing w:val="-8"/>
                <w:sz w:val="20"/>
              </w:rPr>
              <w:t> </w:t>
            </w:r>
            <w:r>
              <w:rPr>
                <w:spacing w:val="-2"/>
                <w:sz w:val="20"/>
              </w:rPr>
              <w:t>criterion</w:t>
            </w:r>
          </w:p>
        </w:tc>
        <w:tc>
          <w:tcPr>
            <w:tcW w:w="897" w:type="dxa"/>
          </w:tcPr>
          <w:p>
            <w:pPr>
              <w:pStyle w:val="TableParagraph"/>
              <w:spacing w:line="210" w:lineRule="exact"/>
              <w:ind w:right="30"/>
              <w:jc w:val="right"/>
              <w:rPr>
                <w:sz w:val="20"/>
              </w:rPr>
            </w:pPr>
            <w:r>
              <w:rPr>
                <w:spacing w:val="-2"/>
                <w:sz w:val="20"/>
              </w:rPr>
              <w:t>2.905892</w:t>
            </w:r>
          </w:p>
        </w:tc>
      </w:tr>
      <w:tr>
        <w:trPr>
          <w:trHeight w:val="225" w:hRule="atLeast"/>
        </w:trPr>
        <w:tc>
          <w:tcPr>
            <w:tcW w:w="1903" w:type="dxa"/>
          </w:tcPr>
          <w:p>
            <w:pPr>
              <w:pStyle w:val="TableParagraph"/>
              <w:spacing w:line="205" w:lineRule="exact"/>
              <w:ind w:left="28"/>
              <w:rPr>
                <w:sz w:val="20"/>
              </w:rPr>
            </w:pPr>
            <w:r>
              <w:rPr>
                <w:sz w:val="20"/>
              </w:rPr>
              <w:t>Log</w:t>
            </w:r>
            <w:r>
              <w:rPr>
                <w:spacing w:val="-5"/>
                <w:sz w:val="20"/>
              </w:rPr>
              <w:t> </w:t>
            </w:r>
            <w:r>
              <w:rPr>
                <w:spacing w:val="-2"/>
                <w:sz w:val="20"/>
              </w:rPr>
              <w:t>likelihood</w:t>
            </w:r>
          </w:p>
        </w:tc>
        <w:tc>
          <w:tcPr>
            <w:tcW w:w="1313" w:type="dxa"/>
          </w:tcPr>
          <w:p>
            <w:pPr>
              <w:pStyle w:val="TableParagraph"/>
              <w:spacing w:line="205" w:lineRule="exact"/>
              <w:ind w:left="234" w:right="1"/>
              <w:jc w:val="center"/>
              <w:rPr>
                <w:sz w:val="20"/>
              </w:rPr>
            </w:pPr>
            <w:r>
              <w:rPr>
                <w:spacing w:val="-4"/>
                <w:sz w:val="20"/>
              </w:rPr>
              <w:t>-</w:t>
            </w:r>
            <w:r>
              <w:rPr>
                <w:spacing w:val="-2"/>
                <w:sz w:val="20"/>
              </w:rPr>
              <w:t>9.607963</w:t>
            </w:r>
          </w:p>
        </w:tc>
        <w:tc>
          <w:tcPr>
            <w:tcW w:w="1251" w:type="dxa"/>
          </w:tcPr>
          <w:p>
            <w:pPr>
              <w:pStyle w:val="TableParagraph"/>
              <w:spacing w:line="205" w:lineRule="exact"/>
              <w:ind w:left="130"/>
              <w:rPr>
                <w:sz w:val="20"/>
              </w:rPr>
            </w:pPr>
            <w:r>
              <w:rPr>
                <w:spacing w:val="-4"/>
                <w:sz w:val="20"/>
              </w:rPr>
              <w:t>F-</w:t>
            </w:r>
            <w:r>
              <w:rPr>
                <w:spacing w:val="-2"/>
                <w:sz w:val="20"/>
              </w:rPr>
              <w:t>statistic</w:t>
            </w:r>
          </w:p>
        </w:tc>
        <w:tc>
          <w:tcPr>
            <w:tcW w:w="1119" w:type="dxa"/>
          </w:tcPr>
          <w:p>
            <w:pPr>
              <w:pStyle w:val="TableParagraph"/>
              <w:rPr>
                <w:sz w:val="16"/>
              </w:rPr>
            </w:pPr>
          </w:p>
        </w:tc>
        <w:tc>
          <w:tcPr>
            <w:tcW w:w="897" w:type="dxa"/>
          </w:tcPr>
          <w:p>
            <w:pPr>
              <w:pStyle w:val="TableParagraph"/>
              <w:spacing w:line="205" w:lineRule="exact"/>
              <w:ind w:right="30"/>
              <w:jc w:val="right"/>
              <w:rPr>
                <w:sz w:val="20"/>
              </w:rPr>
            </w:pPr>
            <w:r>
              <w:rPr>
                <w:spacing w:val="-2"/>
                <w:sz w:val="20"/>
              </w:rPr>
              <w:t>2.410257</w:t>
            </w:r>
          </w:p>
        </w:tc>
      </w:tr>
    </w:tbl>
    <w:p>
      <w:pPr>
        <w:spacing w:after="0" w:line="205" w:lineRule="exact"/>
        <w:jc w:val="right"/>
        <w:rPr>
          <w:sz w:val="20"/>
        </w:rPr>
        <w:sectPr>
          <w:pgSz w:w="11910" w:h="16840"/>
          <w:pgMar w:header="0" w:footer="979" w:top="1360" w:bottom="1240" w:left="280" w:right="0"/>
        </w:sectPr>
      </w:pPr>
    </w:p>
    <w:p>
      <w:pPr>
        <w:pStyle w:val="BodyText"/>
        <w:spacing w:before="1"/>
        <w:rPr>
          <w:sz w:val="2"/>
        </w:rPr>
      </w:pPr>
    </w:p>
    <w:tbl>
      <w:tblPr>
        <w:tblW w:w="0" w:type="auto"/>
        <w:jc w:val="left"/>
        <w:tblInd w:w="7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80"/>
        <w:gridCol w:w="1250"/>
        <w:gridCol w:w="1955"/>
        <w:gridCol w:w="1311"/>
      </w:tblGrid>
      <w:tr>
        <w:trPr>
          <w:trHeight w:val="261" w:hRule="atLeast"/>
        </w:trPr>
        <w:tc>
          <w:tcPr>
            <w:tcW w:w="1980" w:type="dxa"/>
            <w:tcBorders>
              <w:bottom w:val="double" w:sz="6" w:space="0" w:color="000000"/>
            </w:tcBorders>
          </w:tcPr>
          <w:p>
            <w:pPr>
              <w:pStyle w:val="TableParagraph"/>
              <w:spacing w:line="221" w:lineRule="exact"/>
              <w:ind w:left="43"/>
              <w:rPr>
                <w:sz w:val="20"/>
              </w:rPr>
            </w:pPr>
            <w:r>
              <w:rPr>
                <w:sz w:val="20"/>
              </w:rPr>
              <w:t>Durbin-Watson</w:t>
            </w:r>
            <w:r>
              <w:rPr>
                <w:spacing w:val="-12"/>
                <w:sz w:val="20"/>
              </w:rPr>
              <w:t> </w:t>
            </w:r>
            <w:r>
              <w:rPr>
                <w:spacing w:val="-4"/>
                <w:sz w:val="20"/>
              </w:rPr>
              <w:t>stat</w:t>
            </w:r>
          </w:p>
        </w:tc>
        <w:tc>
          <w:tcPr>
            <w:tcW w:w="1250" w:type="dxa"/>
          </w:tcPr>
          <w:p>
            <w:pPr>
              <w:pStyle w:val="TableParagraph"/>
              <w:spacing w:line="221" w:lineRule="exact"/>
              <w:ind w:left="367"/>
              <w:rPr>
                <w:sz w:val="20"/>
              </w:rPr>
            </w:pPr>
            <w:r>
              <w:rPr>
                <w:spacing w:val="-2"/>
                <w:sz w:val="20"/>
              </w:rPr>
              <w:t>2.058431</w:t>
            </w:r>
          </w:p>
        </w:tc>
        <w:tc>
          <w:tcPr>
            <w:tcW w:w="1955" w:type="dxa"/>
            <w:tcBorders>
              <w:bottom w:val="double" w:sz="6" w:space="0" w:color="000000"/>
            </w:tcBorders>
          </w:tcPr>
          <w:p>
            <w:pPr>
              <w:pStyle w:val="TableParagraph"/>
              <w:spacing w:line="221" w:lineRule="exact"/>
              <w:ind w:left="130"/>
              <w:rPr>
                <w:sz w:val="20"/>
              </w:rPr>
            </w:pPr>
            <w:r>
              <w:rPr>
                <w:spacing w:val="-2"/>
                <w:sz w:val="20"/>
              </w:rPr>
              <w:t>Prob(F-statistic)</w:t>
            </w:r>
          </w:p>
        </w:tc>
        <w:tc>
          <w:tcPr>
            <w:tcW w:w="1311" w:type="dxa"/>
          </w:tcPr>
          <w:p>
            <w:pPr>
              <w:pStyle w:val="TableParagraph"/>
              <w:spacing w:line="221" w:lineRule="exact"/>
              <w:ind w:left="528"/>
              <w:rPr>
                <w:sz w:val="20"/>
              </w:rPr>
            </w:pPr>
            <w:r>
              <w:rPr>
                <w:spacing w:val="-2"/>
                <w:sz w:val="20"/>
              </w:rPr>
              <w:t>0.149897</w:t>
            </w:r>
          </w:p>
        </w:tc>
      </w:tr>
    </w:tbl>
    <w:p>
      <w:pPr>
        <w:pStyle w:val="BodyText"/>
        <w:rPr>
          <w:sz w:val="20"/>
        </w:rPr>
      </w:pPr>
    </w:p>
    <w:p>
      <w:pPr>
        <w:pStyle w:val="BodyText"/>
        <w:spacing w:before="7"/>
        <w:rPr>
          <w:sz w:val="20"/>
        </w:rPr>
      </w:pPr>
    </w:p>
    <w:p>
      <w:pPr>
        <w:spacing w:before="0"/>
        <w:ind w:left="4115" w:right="0" w:firstLine="0"/>
        <w:jc w:val="left"/>
        <w:rPr>
          <w:b/>
          <w:sz w:val="20"/>
        </w:rPr>
      </w:pPr>
      <w:r>
        <w:rPr>
          <w:b/>
          <w:sz w:val="20"/>
        </w:rPr>
        <w:t>APPENDIX</w:t>
      </w:r>
      <w:r>
        <w:rPr>
          <w:b/>
          <w:spacing w:val="-13"/>
          <w:sz w:val="20"/>
        </w:rPr>
        <w:t> </w:t>
      </w:r>
      <w:r>
        <w:rPr>
          <w:b/>
          <w:spacing w:val="-5"/>
          <w:sz w:val="20"/>
        </w:rPr>
        <w:t>A8</w:t>
      </w:r>
    </w:p>
    <w:p>
      <w:pPr>
        <w:spacing w:before="229"/>
        <w:ind w:left="711" w:right="0" w:firstLine="0"/>
        <w:jc w:val="left"/>
        <w:rPr>
          <w:b/>
          <w:sz w:val="20"/>
        </w:rPr>
      </w:pPr>
      <w:r>
        <w:rPr>
          <w:b/>
          <w:sz w:val="20"/>
        </w:rPr>
        <w:t>RESULT</w:t>
      </w:r>
      <w:r>
        <w:rPr>
          <w:b/>
          <w:spacing w:val="-7"/>
          <w:sz w:val="20"/>
        </w:rPr>
        <w:t> </w:t>
      </w:r>
      <w:r>
        <w:rPr>
          <w:b/>
          <w:sz w:val="20"/>
        </w:rPr>
        <w:t>OF</w:t>
      </w:r>
      <w:r>
        <w:rPr>
          <w:b/>
          <w:spacing w:val="-6"/>
          <w:sz w:val="20"/>
        </w:rPr>
        <w:t> </w:t>
      </w:r>
      <w:r>
        <w:rPr>
          <w:b/>
          <w:sz w:val="20"/>
        </w:rPr>
        <w:t>ANALYSES</w:t>
      </w:r>
      <w:r>
        <w:rPr>
          <w:b/>
          <w:spacing w:val="-6"/>
          <w:sz w:val="20"/>
        </w:rPr>
        <w:t> </w:t>
      </w:r>
      <w:r>
        <w:rPr>
          <w:b/>
          <w:sz w:val="20"/>
        </w:rPr>
        <w:t>FOR</w:t>
      </w:r>
      <w:r>
        <w:rPr>
          <w:b/>
          <w:spacing w:val="-6"/>
          <w:sz w:val="20"/>
        </w:rPr>
        <w:t> </w:t>
      </w:r>
      <w:r>
        <w:rPr>
          <w:b/>
          <w:sz w:val="20"/>
        </w:rPr>
        <w:t>MODEL</w:t>
      </w:r>
      <w:r>
        <w:rPr>
          <w:b/>
          <w:spacing w:val="-6"/>
          <w:sz w:val="20"/>
        </w:rPr>
        <w:t> </w:t>
      </w:r>
      <w:r>
        <w:rPr>
          <w:b/>
          <w:sz w:val="20"/>
        </w:rPr>
        <w:t>4A</w:t>
      </w:r>
      <w:r>
        <w:rPr>
          <w:b/>
          <w:spacing w:val="-6"/>
          <w:sz w:val="20"/>
        </w:rPr>
        <w:t> </w:t>
      </w:r>
      <w:r>
        <w:rPr>
          <w:b/>
          <w:sz w:val="20"/>
        </w:rPr>
        <w:t>WORLD</w:t>
      </w:r>
      <w:r>
        <w:rPr>
          <w:b/>
          <w:spacing w:val="-5"/>
          <w:sz w:val="20"/>
        </w:rPr>
        <w:t> </w:t>
      </w:r>
      <w:r>
        <w:rPr>
          <w:b/>
          <w:sz w:val="20"/>
        </w:rPr>
        <w:t>BANK</w:t>
      </w:r>
      <w:r>
        <w:rPr>
          <w:b/>
          <w:spacing w:val="-5"/>
          <w:sz w:val="20"/>
        </w:rPr>
        <w:t> </w:t>
      </w:r>
      <w:r>
        <w:rPr>
          <w:b/>
          <w:sz w:val="20"/>
        </w:rPr>
        <w:t>&amp;</w:t>
      </w:r>
      <w:r>
        <w:rPr>
          <w:b/>
          <w:spacing w:val="-6"/>
          <w:sz w:val="20"/>
        </w:rPr>
        <w:t> </w:t>
      </w:r>
      <w:r>
        <w:rPr>
          <w:b/>
          <w:sz w:val="20"/>
        </w:rPr>
        <w:t>ERBE</w:t>
      </w:r>
      <w:r>
        <w:rPr>
          <w:b/>
          <w:spacing w:val="-7"/>
          <w:sz w:val="20"/>
        </w:rPr>
        <w:t> </w:t>
      </w:r>
      <w:r>
        <w:rPr>
          <w:b/>
          <w:sz w:val="20"/>
        </w:rPr>
        <w:t>1985</w:t>
      </w:r>
      <w:r>
        <w:rPr>
          <w:b/>
          <w:spacing w:val="-5"/>
          <w:sz w:val="20"/>
        </w:rPr>
        <w:t> </w:t>
      </w:r>
      <w:r>
        <w:rPr>
          <w:b/>
          <w:sz w:val="20"/>
        </w:rPr>
        <w:t>ESTIMATES (POST-SAP</w:t>
      </w:r>
      <w:r>
        <w:rPr>
          <w:b/>
          <w:spacing w:val="-3"/>
          <w:sz w:val="20"/>
        </w:rPr>
        <w:t> </w:t>
      </w:r>
      <w:r>
        <w:rPr>
          <w:b/>
          <w:spacing w:val="-4"/>
          <w:sz w:val="20"/>
        </w:rPr>
        <w:t>ERA)</w:t>
      </w:r>
    </w:p>
    <w:p>
      <w:pPr>
        <w:pStyle w:val="BodyText"/>
        <w:rPr>
          <w:b/>
          <w:sz w:val="20"/>
        </w:rPr>
      </w:pPr>
    </w:p>
    <w:p>
      <w:pPr>
        <w:spacing w:before="1" w:after="2"/>
        <w:ind w:left="711" w:right="0" w:firstLine="0"/>
        <w:jc w:val="left"/>
        <w:rPr>
          <w:sz w:val="20"/>
        </w:rPr>
      </w:pPr>
      <w:r>
        <w:rPr>
          <w:sz w:val="20"/>
        </w:rPr>
        <w:t>DETERMINANTS</w:t>
      </w:r>
      <w:r>
        <w:rPr>
          <w:spacing w:val="-8"/>
          <w:sz w:val="20"/>
        </w:rPr>
        <w:t> </w:t>
      </w:r>
      <w:r>
        <w:rPr>
          <w:sz w:val="20"/>
        </w:rPr>
        <w:t>OF</w:t>
      </w:r>
      <w:r>
        <w:rPr>
          <w:spacing w:val="-6"/>
          <w:sz w:val="20"/>
        </w:rPr>
        <w:t> </w:t>
      </w:r>
      <w:r>
        <w:rPr>
          <w:sz w:val="20"/>
        </w:rPr>
        <w:t>CAPITAL</w:t>
      </w:r>
      <w:r>
        <w:rPr>
          <w:spacing w:val="-9"/>
          <w:sz w:val="20"/>
        </w:rPr>
        <w:t> </w:t>
      </w:r>
      <w:r>
        <w:rPr>
          <w:sz w:val="20"/>
        </w:rPr>
        <w:t>FLIGHT</w:t>
      </w:r>
      <w:r>
        <w:rPr>
          <w:spacing w:val="-4"/>
          <w:sz w:val="20"/>
        </w:rPr>
        <w:t> </w:t>
      </w:r>
      <w:r>
        <w:rPr>
          <w:sz w:val="20"/>
        </w:rPr>
        <w:t>IN</w:t>
      </w:r>
      <w:r>
        <w:rPr>
          <w:spacing w:val="-6"/>
          <w:sz w:val="20"/>
        </w:rPr>
        <w:t> </w:t>
      </w:r>
      <w:r>
        <w:rPr>
          <w:sz w:val="20"/>
        </w:rPr>
        <w:t>THE</w:t>
      </w:r>
      <w:r>
        <w:rPr>
          <w:spacing w:val="-9"/>
          <w:sz w:val="20"/>
        </w:rPr>
        <w:t> </w:t>
      </w:r>
      <w:r>
        <w:rPr>
          <w:sz w:val="20"/>
        </w:rPr>
        <w:t>POST-SAP</w:t>
      </w:r>
      <w:r>
        <w:rPr>
          <w:spacing w:val="-4"/>
          <w:sz w:val="20"/>
        </w:rPr>
        <w:t> </w:t>
      </w:r>
      <w:r>
        <w:rPr>
          <w:spacing w:val="-5"/>
          <w:sz w:val="20"/>
        </w:rPr>
        <w:t>ERA</w:t>
      </w:r>
    </w:p>
    <w:tbl>
      <w:tblPr>
        <w:tblW w:w="0" w:type="auto"/>
        <w:jc w:val="left"/>
        <w:tblInd w:w="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10"/>
        <w:gridCol w:w="1313"/>
        <w:gridCol w:w="1433"/>
        <w:gridCol w:w="937"/>
        <w:gridCol w:w="897"/>
      </w:tblGrid>
      <w:tr>
        <w:trPr>
          <w:trHeight w:val="454" w:hRule="atLeast"/>
        </w:trPr>
        <w:tc>
          <w:tcPr>
            <w:tcW w:w="6490" w:type="dxa"/>
            <w:gridSpan w:val="5"/>
          </w:tcPr>
          <w:p>
            <w:pPr>
              <w:pStyle w:val="TableParagraph"/>
              <w:spacing w:line="221" w:lineRule="exact"/>
              <w:ind w:left="739"/>
              <w:rPr>
                <w:sz w:val="20"/>
              </w:rPr>
            </w:pPr>
            <w:r>
              <w:rPr>
                <w:sz w:val="20"/>
              </w:rPr>
              <w:t>OLS</w:t>
            </w:r>
            <w:r>
              <w:rPr>
                <w:spacing w:val="-7"/>
                <w:sz w:val="20"/>
              </w:rPr>
              <w:t> </w:t>
            </w:r>
            <w:r>
              <w:rPr>
                <w:sz w:val="20"/>
              </w:rPr>
              <w:t>RESULT</w:t>
            </w:r>
            <w:r>
              <w:rPr>
                <w:spacing w:val="-3"/>
                <w:sz w:val="20"/>
              </w:rPr>
              <w:t> </w:t>
            </w:r>
            <w:r>
              <w:rPr>
                <w:sz w:val="20"/>
              </w:rPr>
              <w:t>FOR</w:t>
            </w:r>
            <w:r>
              <w:rPr>
                <w:spacing w:val="-6"/>
                <w:sz w:val="20"/>
              </w:rPr>
              <w:t> </w:t>
            </w:r>
            <w:r>
              <w:rPr>
                <w:sz w:val="20"/>
              </w:rPr>
              <w:t>MODEL</w:t>
            </w:r>
            <w:r>
              <w:rPr>
                <w:spacing w:val="-8"/>
                <w:sz w:val="20"/>
              </w:rPr>
              <w:t> </w:t>
            </w:r>
            <w:r>
              <w:rPr>
                <w:spacing w:val="-5"/>
                <w:sz w:val="20"/>
              </w:rPr>
              <w:t>4A</w:t>
            </w:r>
          </w:p>
          <w:p>
            <w:pPr>
              <w:pStyle w:val="TableParagraph"/>
              <w:spacing w:line="214" w:lineRule="exact"/>
              <w:ind w:left="36"/>
              <w:rPr>
                <w:sz w:val="20"/>
              </w:rPr>
            </w:pPr>
            <w:r>
              <w:rPr>
                <w:sz w:val="20"/>
              </w:rPr>
              <w:t>Dependent</w:t>
            </w:r>
            <w:r>
              <w:rPr>
                <w:spacing w:val="-8"/>
                <w:sz w:val="20"/>
              </w:rPr>
              <w:t> </w:t>
            </w:r>
            <w:r>
              <w:rPr>
                <w:sz w:val="20"/>
              </w:rPr>
              <w:t>Variable:</w:t>
            </w:r>
            <w:r>
              <w:rPr>
                <w:spacing w:val="-8"/>
                <w:sz w:val="20"/>
              </w:rPr>
              <w:t> </w:t>
            </w:r>
            <w:r>
              <w:rPr>
                <w:spacing w:val="-5"/>
                <w:sz w:val="20"/>
              </w:rPr>
              <w:t>KFW</w:t>
            </w:r>
          </w:p>
        </w:tc>
      </w:tr>
      <w:tr>
        <w:trPr>
          <w:trHeight w:val="229" w:hRule="atLeast"/>
        </w:trPr>
        <w:tc>
          <w:tcPr>
            <w:tcW w:w="1910" w:type="dxa"/>
          </w:tcPr>
          <w:p>
            <w:pPr>
              <w:pStyle w:val="TableParagraph"/>
              <w:spacing w:line="209" w:lineRule="exact"/>
              <w:ind w:left="36"/>
              <w:rPr>
                <w:sz w:val="20"/>
              </w:rPr>
            </w:pPr>
            <w:r>
              <w:rPr>
                <w:sz w:val="20"/>
              </w:rPr>
              <w:t>Method:</w:t>
            </w:r>
            <w:r>
              <w:rPr>
                <w:spacing w:val="-8"/>
                <w:sz w:val="20"/>
              </w:rPr>
              <w:t> </w:t>
            </w:r>
            <w:r>
              <w:rPr>
                <w:sz w:val="20"/>
              </w:rPr>
              <w:t>Least</w:t>
            </w:r>
            <w:r>
              <w:rPr>
                <w:spacing w:val="-7"/>
                <w:sz w:val="20"/>
              </w:rPr>
              <w:t> </w:t>
            </w:r>
            <w:r>
              <w:rPr>
                <w:spacing w:val="-2"/>
                <w:sz w:val="20"/>
              </w:rPr>
              <w:t>Squares</w:t>
            </w:r>
          </w:p>
        </w:tc>
        <w:tc>
          <w:tcPr>
            <w:tcW w:w="1313" w:type="dxa"/>
          </w:tcPr>
          <w:p>
            <w:pPr>
              <w:pStyle w:val="TableParagraph"/>
              <w:rPr>
                <w:sz w:val="16"/>
              </w:rPr>
            </w:pPr>
          </w:p>
        </w:tc>
        <w:tc>
          <w:tcPr>
            <w:tcW w:w="1433" w:type="dxa"/>
          </w:tcPr>
          <w:p>
            <w:pPr>
              <w:pStyle w:val="TableParagraph"/>
              <w:rPr>
                <w:sz w:val="16"/>
              </w:rPr>
            </w:pPr>
          </w:p>
        </w:tc>
        <w:tc>
          <w:tcPr>
            <w:tcW w:w="937" w:type="dxa"/>
          </w:tcPr>
          <w:p>
            <w:pPr>
              <w:pStyle w:val="TableParagraph"/>
              <w:rPr>
                <w:sz w:val="16"/>
              </w:rPr>
            </w:pPr>
          </w:p>
        </w:tc>
        <w:tc>
          <w:tcPr>
            <w:tcW w:w="897" w:type="dxa"/>
          </w:tcPr>
          <w:p>
            <w:pPr>
              <w:pStyle w:val="TableParagraph"/>
              <w:rPr>
                <w:sz w:val="16"/>
              </w:rPr>
            </w:pPr>
          </w:p>
        </w:tc>
      </w:tr>
      <w:tr>
        <w:trPr>
          <w:trHeight w:val="230" w:hRule="atLeast"/>
        </w:trPr>
        <w:tc>
          <w:tcPr>
            <w:tcW w:w="6490" w:type="dxa"/>
            <w:gridSpan w:val="5"/>
          </w:tcPr>
          <w:p>
            <w:pPr>
              <w:pStyle w:val="TableParagraph"/>
              <w:spacing w:line="210" w:lineRule="exact"/>
              <w:ind w:left="36"/>
              <w:rPr>
                <w:sz w:val="20"/>
              </w:rPr>
            </w:pPr>
            <w:r>
              <w:rPr>
                <w:sz w:val="20"/>
              </w:rPr>
              <w:t>Date:</w:t>
            </w:r>
            <w:r>
              <w:rPr>
                <w:spacing w:val="-5"/>
                <w:sz w:val="20"/>
              </w:rPr>
              <w:t> </w:t>
            </w:r>
            <w:r>
              <w:rPr>
                <w:sz w:val="20"/>
              </w:rPr>
              <w:t>02/18/14</w:t>
            </w:r>
            <w:r>
              <w:rPr>
                <w:spacing w:val="63"/>
                <w:w w:val="150"/>
                <w:sz w:val="20"/>
              </w:rPr>
              <w:t> </w:t>
            </w:r>
            <w:r>
              <w:rPr>
                <w:sz w:val="20"/>
              </w:rPr>
              <w:t>Time:</w:t>
            </w:r>
            <w:r>
              <w:rPr>
                <w:spacing w:val="-3"/>
                <w:sz w:val="20"/>
              </w:rPr>
              <w:t> </w:t>
            </w:r>
            <w:r>
              <w:rPr>
                <w:spacing w:val="-2"/>
                <w:sz w:val="20"/>
              </w:rPr>
              <w:t>13:01</w:t>
            </w:r>
          </w:p>
        </w:tc>
      </w:tr>
      <w:tr>
        <w:trPr>
          <w:trHeight w:val="230" w:hRule="atLeast"/>
        </w:trPr>
        <w:tc>
          <w:tcPr>
            <w:tcW w:w="1910" w:type="dxa"/>
          </w:tcPr>
          <w:p>
            <w:pPr>
              <w:pStyle w:val="TableParagraph"/>
              <w:spacing w:line="210" w:lineRule="exact"/>
              <w:ind w:left="36"/>
              <w:rPr>
                <w:sz w:val="20"/>
              </w:rPr>
            </w:pPr>
            <w:r>
              <w:rPr>
                <w:sz w:val="20"/>
              </w:rPr>
              <w:t>Sample:</w:t>
            </w:r>
            <w:r>
              <w:rPr>
                <w:spacing w:val="-5"/>
                <w:sz w:val="20"/>
              </w:rPr>
              <w:t> </w:t>
            </w:r>
            <w:r>
              <w:rPr>
                <w:sz w:val="20"/>
              </w:rPr>
              <w:t>1987</w:t>
            </w:r>
            <w:r>
              <w:rPr>
                <w:spacing w:val="-3"/>
                <w:sz w:val="20"/>
              </w:rPr>
              <w:t> </w:t>
            </w:r>
            <w:r>
              <w:rPr>
                <w:spacing w:val="-4"/>
                <w:sz w:val="20"/>
              </w:rPr>
              <w:t>2011</w:t>
            </w:r>
          </w:p>
        </w:tc>
        <w:tc>
          <w:tcPr>
            <w:tcW w:w="1313" w:type="dxa"/>
          </w:tcPr>
          <w:p>
            <w:pPr>
              <w:pStyle w:val="TableParagraph"/>
              <w:rPr>
                <w:sz w:val="16"/>
              </w:rPr>
            </w:pPr>
          </w:p>
        </w:tc>
        <w:tc>
          <w:tcPr>
            <w:tcW w:w="1433" w:type="dxa"/>
          </w:tcPr>
          <w:p>
            <w:pPr>
              <w:pStyle w:val="TableParagraph"/>
              <w:rPr>
                <w:sz w:val="16"/>
              </w:rPr>
            </w:pPr>
          </w:p>
        </w:tc>
        <w:tc>
          <w:tcPr>
            <w:tcW w:w="937" w:type="dxa"/>
          </w:tcPr>
          <w:p>
            <w:pPr>
              <w:pStyle w:val="TableParagraph"/>
              <w:rPr>
                <w:sz w:val="16"/>
              </w:rPr>
            </w:pPr>
          </w:p>
        </w:tc>
        <w:tc>
          <w:tcPr>
            <w:tcW w:w="897" w:type="dxa"/>
          </w:tcPr>
          <w:p>
            <w:pPr>
              <w:pStyle w:val="TableParagraph"/>
              <w:rPr>
                <w:sz w:val="16"/>
              </w:rPr>
            </w:pPr>
          </w:p>
        </w:tc>
      </w:tr>
      <w:tr>
        <w:trPr>
          <w:trHeight w:val="224" w:hRule="atLeast"/>
        </w:trPr>
        <w:tc>
          <w:tcPr>
            <w:tcW w:w="6490" w:type="dxa"/>
            <w:gridSpan w:val="5"/>
            <w:tcBorders>
              <w:bottom w:val="double" w:sz="6" w:space="0" w:color="000000"/>
            </w:tcBorders>
          </w:tcPr>
          <w:p>
            <w:pPr>
              <w:pStyle w:val="TableParagraph"/>
              <w:spacing w:line="205" w:lineRule="exact"/>
              <w:ind w:left="36"/>
              <w:rPr>
                <w:sz w:val="20"/>
              </w:rPr>
            </w:pPr>
            <w:r>
              <w:rPr>
                <w:sz w:val="20"/>
              </w:rPr>
              <w:t>Included</w:t>
            </w:r>
            <w:r>
              <w:rPr>
                <w:spacing w:val="-9"/>
                <w:sz w:val="20"/>
              </w:rPr>
              <w:t> </w:t>
            </w:r>
            <w:r>
              <w:rPr>
                <w:sz w:val="20"/>
              </w:rPr>
              <w:t>observations:</w:t>
            </w:r>
            <w:r>
              <w:rPr>
                <w:spacing w:val="-10"/>
                <w:sz w:val="20"/>
              </w:rPr>
              <w:t> </w:t>
            </w:r>
            <w:r>
              <w:rPr>
                <w:spacing w:val="-5"/>
                <w:sz w:val="20"/>
              </w:rPr>
              <w:t>25</w:t>
            </w:r>
          </w:p>
        </w:tc>
      </w:tr>
      <w:tr>
        <w:trPr>
          <w:trHeight w:val="269" w:hRule="atLeast"/>
        </w:trPr>
        <w:tc>
          <w:tcPr>
            <w:tcW w:w="1910" w:type="dxa"/>
            <w:tcBorders>
              <w:top w:val="double" w:sz="6" w:space="0" w:color="000000"/>
              <w:bottom w:val="double" w:sz="6" w:space="0" w:color="000000"/>
            </w:tcBorders>
          </w:tcPr>
          <w:p>
            <w:pPr>
              <w:pStyle w:val="TableParagraph"/>
              <w:spacing w:line="209" w:lineRule="exact" w:before="40"/>
              <w:ind w:left="677"/>
              <w:rPr>
                <w:sz w:val="20"/>
              </w:rPr>
            </w:pPr>
            <w:r>
              <w:rPr>
                <w:spacing w:val="-2"/>
                <w:sz w:val="20"/>
              </w:rPr>
              <w:t>Variable</w:t>
            </w:r>
          </w:p>
        </w:tc>
        <w:tc>
          <w:tcPr>
            <w:tcW w:w="1313" w:type="dxa"/>
            <w:tcBorders>
              <w:top w:val="double" w:sz="6" w:space="0" w:color="000000"/>
              <w:bottom w:val="double" w:sz="6" w:space="0" w:color="000000"/>
            </w:tcBorders>
          </w:tcPr>
          <w:p>
            <w:pPr>
              <w:pStyle w:val="TableParagraph"/>
              <w:spacing w:line="209" w:lineRule="exact" w:before="40"/>
              <w:ind w:left="234" w:right="87"/>
              <w:jc w:val="center"/>
              <w:rPr>
                <w:sz w:val="20"/>
              </w:rPr>
            </w:pPr>
            <w:r>
              <w:rPr>
                <w:spacing w:val="-2"/>
                <w:sz w:val="20"/>
              </w:rPr>
              <w:t>Coefficient</w:t>
            </w:r>
          </w:p>
        </w:tc>
        <w:tc>
          <w:tcPr>
            <w:tcW w:w="1433" w:type="dxa"/>
            <w:tcBorders>
              <w:top w:val="double" w:sz="6" w:space="0" w:color="000000"/>
              <w:bottom w:val="double" w:sz="6" w:space="0" w:color="000000"/>
            </w:tcBorders>
          </w:tcPr>
          <w:p>
            <w:pPr>
              <w:pStyle w:val="TableParagraph"/>
              <w:spacing w:line="209" w:lineRule="exact" w:before="40"/>
              <w:ind w:left="272"/>
              <w:rPr>
                <w:sz w:val="20"/>
              </w:rPr>
            </w:pPr>
            <w:r>
              <w:rPr>
                <w:sz w:val="20"/>
              </w:rPr>
              <w:t>Std.</w:t>
            </w:r>
            <w:r>
              <w:rPr>
                <w:spacing w:val="-4"/>
                <w:sz w:val="20"/>
              </w:rPr>
              <w:t> </w:t>
            </w:r>
            <w:r>
              <w:rPr>
                <w:spacing w:val="-2"/>
                <w:sz w:val="20"/>
              </w:rPr>
              <w:t>Error</w:t>
            </w:r>
          </w:p>
        </w:tc>
        <w:tc>
          <w:tcPr>
            <w:tcW w:w="937" w:type="dxa"/>
            <w:tcBorders>
              <w:top w:val="double" w:sz="6" w:space="0" w:color="000000"/>
              <w:bottom w:val="double" w:sz="6" w:space="0" w:color="000000"/>
            </w:tcBorders>
          </w:tcPr>
          <w:p>
            <w:pPr>
              <w:pStyle w:val="TableParagraph"/>
              <w:spacing w:line="209" w:lineRule="exact" w:before="40"/>
              <w:ind w:right="115"/>
              <w:jc w:val="right"/>
              <w:rPr>
                <w:sz w:val="20"/>
              </w:rPr>
            </w:pPr>
            <w:r>
              <w:rPr>
                <w:spacing w:val="-4"/>
                <w:sz w:val="20"/>
              </w:rPr>
              <w:t>t-</w:t>
            </w:r>
            <w:r>
              <w:rPr>
                <w:spacing w:val="-2"/>
                <w:sz w:val="20"/>
              </w:rPr>
              <w:t>Statistic</w:t>
            </w:r>
          </w:p>
        </w:tc>
        <w:tc>
          <w:tcPr>
            <w:tcW w:w="897" w:type="dxa"/>
            <w:tcBorders>
              <w:top w:val="double" w:sz="6" w:space="0" w:color="000000"/>
              <w:bottom w:val="double" w:sz="6" w:space="0" w:color="000000"/>
            </w:tcBorders>
          </w:tcPr>
          <w:p>
            <w:pPr>
              <w:pStyle w:val="TableParagraph"/>
              <w:spacing w:line="209" w:lineRule="exact" w:before="40"/>
              <w:ind w:right="31"/>
              <w:jc w:val="right"/>
              <w:rPr>
                <w:sz w:val="20"/>
              </w:rPr>
            </w:pPr>
            <w:r>
              <w:rPr>
                <w:spacing w:val="-2"/>
                <w:sz w:val="20"/>
              </w:rPr>
              <w:t>Prob.</w:t>
            </w:r>
          </w:p>
        </w:tc>
      </w:tr>
      <w:tr>
        <w:trPr>
          <w:trHeight w:val="275" w:hRule="atLeast"/>
        </w:trPr>
        <w:tc>
          <w:tcPr>
            <w:tcW w:w="1910" w:type="dxa"/>
            <w:tcBorders>
              <w:top w:val="double" w:sz="6" w:space="0" w:color="000000"/>
            </w:tcBorders>
          </w:tcPr>
          <w:p>
            <w:pPr>
              <w:pStyle w:val="TableParagraph"/>
              <w:spacing w:line="215" w:lineRule="exact" w:before="41"/>
              <w:ind w:left="135" w:right="1"/>
              <w:jc w:val="center"/>
              <w:rPr>
                <w:sz w:val="20"/>
              </w:rPr>
            </w:pPr>
            <w:r>
              <w:rPr>
                <w:spacing w:val="-10"/>
                <w:sz w:val="20"/>
              </w:rPr>
              <w:t>C</w:t>
            </w:r>
          </w:p>
        </w:tc>
        <w:tc>
          <w:tcPr>
            <w:tcW w:w="1313" w:type="dxa"/>
            <w:tcBorders>
              <w:top w:val="double" w:sz="6" w:space="0" w:color="000000"/>
            </w:tcBorders>
          </w:tcPr>
          <w:p>
            <w:pPr>
              <w:pStyle w:val="TableParagraph"/>
              <w:spacing w:line="215" w:lineRule="exact" w:before="41"/>
              <w:ind w:left="298"/>
              <w:jc w:val="center"/>
              <w:rPr>
                <w:sz w:val="20"/>
              </w:rPr>
            </w:pPr>
            <w:r>
              <w:rPr>
                <w:spacing w:val="-2"/>
                <w:sz w:val="20"/>
              </w:rPr>
              <w:t>1.953374</w:t>
            </w:r>
          </w:p>
        </w:tc>
        <w:tc>
          <w:tcPr>
            <w:tcW w:w="1433" w:type="dxa"/>
            <w:tcBorders>
              <w:top w:val="double" w:sz="6" w:space="0" w:color="000000"/>
            </w:tcBorders>
          </w:tcPr>
          <w:p>
            <w:pPr>
              <w:pStyle w:val="TableParagraph"/>
              <w:spacing w:line="215" w:lineRule="exact" w:before="41"/>
              <w:ind w:left="310"/>
              <w:rPr>
                <w:sz w:val="20"/>
              </w:rPr>
            </w:pPr>
            <w:r>
              <w:rPr>
                <w:spacing w:val="-2"/>
                <w:sz w:val="20"/>
              </w:rPr>
              <w:t>6.274521</w:t>
            </w:r>
          </w:p>
        </w:tc>
        <w:tc>
          <w:tcPr>
            <w:tcW w:w="937" w:type="dxa"/>
            <w:tcBorders>
              <w:top w:val="double" w:sz="6" w:space="0" w:color="000000"/>
            </w:tcBorders>
          </w:tcPr>
          <w:p>
            <w:pPr>
              <w:pStyle w:val="TableParagraph"/>
              <w:spacing w:line="215" w:lineRule="exact" w:before="41"/>
              <w:ind w:right="113"/>
              <w:jc w:val="right"/>
              <w:rPr>
                <w:sz w:val="20"/>
              </w:rPr>
            </w:pPr>
            <w:r>
              <w:rPr>
                <w:spacing w:val="-2"/>
                <w:sz w:val="20"/>
              </w:rPr>
              <w:t>0.311318</w:t>
            </w:r>
          </w:p>
        </w:tc>
        <w:tc>
          <w:tcPr>
            <w:tcW w:w="897" w:type="dxa"/>
            <w:tcBorders>
              <w:top w:val="double" w:sz="6" w:space="0" w:color="000000"/>
            </w:tcBorders>
          </w:tcPr>
          <w:p>
            <w:pPr>
              <w:pStyle w:val="TableParagraph"/>
              <w:spacing w:line="215" w:lineRule="exact" w:before="41"/>
              <w:ind w:right="30"/>
              <w:jc w:val="right"/>
              <w:rPr>
                <w:sz w:val="20"/>
              </w:rPr>
            </w:pPr>
            <w:r>
              <w:rPr>
                <w:spacing w:val="-2"/>
                <w:sz w:val="20"/>
              </w:rPr>
              <w:t>0.7596</w:t>
            </w:r>
          </w:p>
        </w:tc>
      </w:tr>
      <w:tr>
        <w:trPr>
          <w:trHeight w:val="230" w:hRule="atLeast"/>
        </w:trPr>
        <w:tc>
          <w:tcPr>
            <w:tcW w:w="1910" w:type="dxa"/>
          </w:tcPr>
          <w:p>
            <w:pPr>
              <w:pStyle w:val="TableParagraph"/>
              <w:spacing w:line="210" w:lineRule="exact"/>
              <w:ind w:left="566"/>
              <w:rPr>
                <w:sz w:val="20"/>
              </w:rPr>
            </w:pPr>
            <w:r>
              <w:rPr>
                <w:spacing w:val="-2"/>
                <w:sz w:val="20"/>
              </w:rPr>
              <w:t>EXTDEBT</w:t>
            </w:r>
          </w:p>
        </w:tc>
        <w:tc>
          <w:tcPr>
            <w:tcW w:w="1313" w:type="dxa"/>
          </w:tcPr>
          <w:p>
            <w:pPr>
              <w:pStyle w:val="TableParagraph"/>
              <w:spacing w:line="210" w:lineRule="exact"/>
              <w:ind w:left="298"/>
              <w:jc w:val="center"/>
              <w:rPr>
                <w:sz w:val="20"/>
              </w:rPr>
            </w:pPr>
            <w:r>
              <w:rPr>
                <w:spacing w:val="-2"/>
                <w:sz w:val="20"/>
              </w:rPr>
              <w:t>0.436002</w:t>
            </w:r>
          </w:p>
        </w:tc>
        <w:tc>
          <w:tcPr>
            <w:tcW w:w="1433" w:type="dxa"/>
          </w:tcPr>
          <w:p>
            <w:pPr>
              <w:pStyle w:val="TableParagraph"/>
              <w:spacing w:line="210" w:lineRule="exact"/>
              <w:ind w:left="310"/>
              <w:rPr>
                <w:sz w:val="20"/>
              </w:rPr>
            </w:pPr>
            <w:r>
              <w:rPr>
                <w:spacing w:val="-2"/>
                <w:sz w:val="20"/>
              </w:rPr>
              <w:t>0.143713</w:t>
            </w:r>
          </w:p>
        </w:tc>
        <w:tc>
          <w:tcPr>
            <w:tcW w:w="937" w:type="dxa"/>
          </w:tcPr>
          <w:p>
            <w:pPr>
              <w:pStyle w:val="TableParagraph"/>
              <w:spacing w:line="210" w:lineRule="exact"/>
              <w:ind w:right="113"/>
              <w:jc w:val="right"/>
              <w:rPr>
                <w:sz w:val="20"/>
              </w:rPr>
            </w:pPr>
            <w:r>
              <w:rPr>
                <w:spacing w:val="-2"/>
                <w:sz w:val="20"/>
              </w:rPr>
              <w:t>3.033833</w:t>
            </w:r>
          </w:p>
        </w:tc>
        <w:tc>
          <w:tcPr>
            <w:tcW w:w="897" w:type="dxa"/>
          </w:tcPr>
          <w:p>
            <w:pPr>
              <w:pStyle w:val="TableParagraph"/>
              <w:spacing w:line="210" w:lineRule="exact"/>
              <w:ind w:right="30"/>
              <w:jc w:val="right"/>
              <w:rPr>
                <w:sz w:val="20"/>
              </w:rPr>
            </w:pPr>
            <w:r>
              <w:rPr>
                <w:spacing w:val="-2"/>
                <w:sz w:val="20"/>
              </w:rPr>
              <w:t>0.0079</w:t>
            </w:r>
          </w:p>
        </w:tc>
      </w:tr>
      <w:tr>
        <w:trPr>
          <w:trHeight w:val="230" w:hRule="atLeast"/>
        </w:trPr>
        <w:tc>
          <w:tcPr>
            <w:tcW w:w="1910" w:type="dxa"/>
          </w:tcPr>
          <w:p>
            <w:pPr>
              <w:pStyle w:val="TableParagraph"/>
              <w:spacing w:line="210" w:lineRule="exact"/>
              <w:ind w:left="135" w:right="4"/>
              <w:jc w:val="center"/>
              <w:rPr>
                <w:sz w:val="20"/>
              </w:rPr>
            </w:pPr>
            <w:r>
              <w:rPr>
                <w:spacing w:val="-5"/>
                <w:sz w:val="20"/>
              </w:rPr>
              <w:t>DOP</w:t>
            </w:r>
          </w:p>
        </w:tc>
        <w:tc>
          <w:tcPr>
            <w:tcW w:w="1313" w:type="dxa"/>
          </w:tcPr>
          <w:p>
            <w:pPr>
              <w:pStyle w:val="TableParagraph"/>
              <w:spacing w:line="210" w:lineRule="exact"/>
              <w:ind w:left="298"/>
              <w:jc w:val="center"/>
              <w:rPr>
                <w:sz w:val="20"/>
              </w:rPr>
            </w:pPr>
            <w:r>
              <w:rPr>
                <w:spacing w:val="-2"/>
                <w:sz w:val="20"/>
              </w:rPr>
              <w:t>0.607809</w:t>
            </w:r>
          </w:p>
        </w:tc>
        <w:tc>
          <w:tcPr>
            <w:tcW w:w="1433" w:type="dxa"/>
          </w:tcPr>
          <w:p>
            <w:pPr>
              <w:pStyle w:val="TableParagraph"/>
              <w:spacing w:line="210" w:lineRule="exact"/>
              <w:ind w:left="310"/>
              <w:rPr>
                <w:sz w:val="20"/>
              </w:rPr>
            </w:pPr>
            <w:r>
              <w:rPr>
                <w:spacing w:val="-2"/>
                <w:sz w:val="20"/>
              </w:rPr>
              <w:t>0.916903</w:t>
            </w:r>
          </w:p>
        </w:tc>
        <w:tc>
          <w:tcPr>
            <w:tcW w:w="937" w:type="dxa"/>
          </w:tcPr>
          <w:p>
            <w:pPr>
              <w:pStyle w:val="TableParagraph"/>
              <w:spacing w:line="210" w:lineRule="exact"/>
              <w:ind w:right="113"/>
              <w:jc w:val="right"/>
              <w:rPr>
                <w:sz w:val="20"/>
              </w:rPr>
            </w:pPr>
            <w:r>
              <w:rPr>
                <w:spacing w:val="-2"/>
                <w:sz w:val="20"/>
              </w:rPr>
              <w:t>0.662893</w:t>
            </w:r>
          </w:p>
        </w:tc>
        <w:tc>
          <w:tcPr>
            <w:tcW w:w="897" w:type="dxa"/>
          </w:tcPr>
          <w:p>
            <w:pPr>
              <w:pStyle w:val="TableParagraph"/>
              <w:spacing w:line="210" w:lineRule="exact"/>
              <w:ind w:right="30"/>
              <w:jc w:val="right"/>
              <w:rPr>
                <w:sz w:val="20"/>
              </w:rPr>
            </w:pPr>
            <w:r>
              <w:rPr>
                <w:spacing w:val="-2"/>
                <w:sz w:val="20"/>
              </w:rPr>
              <w:t>0.5168</w:t>
            </w:r>
          </w:p>
        </w:tc>
      </w:tr>
      <w:tr>
        <w:trPr>
          <w:trHeight w:val="230" w:hRule="atLeast"/>
        </w:trPr>
        <w:tc>
          <w:tcPr>
            <w:tcW w:w="1910" w:type="dxa"/>
          </w:tcPr>
          <w:p>
            <w:pPr>
              <w:pStyle w:val="TableParagraph"/>
              <w:spacing w:line="210" w:lineRule="exact"/>
              <w:ind w:left="135"/>
              <w:jc w:val="center"/>
              <w:rPr>
                <w:sz w:val="20"/>
              </w:rPr>
            </w:pPr>
            <w:r>
              <w:rPr>
                <w:spacing w:val="-5"/>
                <w:sz w:val="20"/>
              </w:rPr>
              <w:t>INF</w:t>
            </w:r>
          </w:p>
        </w:tc>
        <w:tc>
          <w:tcPr>
            <w:tcW w:w="1313" w:type="dxa"/>
          </w:tcPr>
          <w:p>
            <w:pPr>
              <w:pStyle w:val="TableParagraph"/>
              <w:spacing w:line="210" w:lineRule="exact"/>
              <w:ind w:left="234"/>
              <w:jc w:val="center"/>
              <w:rPr>
                <w:sz w:val="20"/>
              </w:rPr>
            </w:pPr>
            <w:r>
              <w:rPr>
                <w:spacing w:val="-4"/>
                <w:sz w:val="20"/>
              </w:rPr>
              <w:t>-</w:t>
            </w:r>
            <w:r>
              <w:rPr>
                <w:spacing w:val="-2"/>
                <w:sz w:val="20"/>
              </w:rPr>
              <w:t>0.225469</w:t>
            </w:r>
          </w:p>
        </w:tc>
        <w:tc>
          <w:tcPr>
            <w:tcW w:w="1433" w:type="dxa"/>
          </w:tcPr>
          <w:p>
            <w:pPr>
              <w:pStyle w:val="TableParagraph"/>
              <w:spacing w:line="210" w:lineRule="exact"/>
              <w:ind w:left="310"/>
              <w:rPr>
                <w:sz w:val="20"/>
              </w:rPr>
            </w:pPr>
            <w:r>
              <w:rPr>
                <w:spacing w:val="-2"/>
                <w:sz w:val="20"/>
              </w:rPr>
              <w:t>0.328107</w:t>
            </w:r>
          </w:p>
        </w:tc>
        <w:tc>
          <w:tcPr>
            <w:tcW w:w="937" w:type="dxa"/>
          </w:tcPr>
          <w:p>
            <w:pPr>
              <w:pStyle w:val="TableParagraph"/>
              <w:spacing w:line="210" w:lineRule="exact"/>
              <w:ind w:right="113"/>
              <w:jc w:val="right"/>
              <w:rPr>
                <w:sz w:val="20"/>
              </w:rPr>
            </w:pPr>
            <w:r>
              <w:rPr>
                <w:spacing w:val="-4"/>
                <w:sz w:val="20"/>
              </w:rPr>
              <w:t>-</w:t>
            </w:r>
            <w:r>
              <w:rPr>
                <w:spacing w:val="-2"/>
                <w:sz w:val="20"/>
              </w:rPr>
              <w:t>0.687183</w:t>
            </w:r>
          </w:p>
        </w:tc>
        <w:tc>
          <w:tcPr>
            <w:tcW w:w="897" w:type="dxa"/>
          </w:tcPr>
          <w:p>
            <w:pPr>
              <w:pStyle w:val="TableParagraph"/>
              <w:spacing w:line="210" w:lineRule="exact"/>
              <w:ind w:right="30"/>
              <w:jc w:val="right"/>
              <w:rPr>
                <w:sz w:val="20"/>
              </w:rPr>
            </w:pPr>
            <w:r>
              <w:rPr>
                <w:spacing w:val="-2"/>
                <w:sz w:val="20"/>
              </w:rPr>
              <w:t>0.5018</w:t>
            </w:r>
          </w:p>
        </w:tc>
      </w:tr>
      <w:tr>
        <w:trPr>
          <w:trHeight w:val="230" w:hRule="atLeast"/>
        </w:trPr>
        <w:tc>
          <w:tcPr>
            <w:tcW w:w="1910" w:type="dxa"/>
          </w:tcPr>
          <w:p>
            <w:pPr>
              <w:pStyle w:val="TableParagraph"/>
              <w:spacing w:line="210" w:lineRule="exact"/>
              <w:ind w:left="135" w:right="2"/>
              <w:jc w:val="center"/>
              <w:rPr>
                <w:sz w:val="20"/>
              </w:rPr>
            </w:pPr>
            <w:r>
              <w:rPr>
                <w:spacing w:val="-5"/>
                <w:sz w:val="20"/>
              </w:rPr>
              <w:t>GCF</w:t>
            </w:r>
          </w:p>
        </w:tc>
        <w:tc>
          <w:tcPr>
            <w:tcW w:w="1313" w:type="dxa"/>
          </w:tcPr>
          <w:p>
            <w:pPr>
              <w:pStyle w:val="TableParagraph"/>
              <w:spacing w:line="210" w:lineRule="exact"/>
              <w:ind w:left="234"/>
              <w:jc w:val="center"/>
              <w:rPr>
                <w:sz w:val="20"/>
              </w:rPr>
            </w:pPr>
            <w:r>
              <w:rPr>
                <w:spacing w:val="-4"/>
                <w:sz w:val="20"/>
              </w:rPr>
              <w:t>-</w:t>
            </w:r>
            <w:r>
              <w:rPr>
                <w:spacing w:val="-2"/>
                <w:sz w:val="20"/>
              </w:rPr>
              <w:t>0.073375</w:t>
            </w:r>
          </w:p>
        </w:tc>
        <w:tc>
          <w:tcPr>
            <w:tcW w:w="1433" w:type="dxa"/>
          </w:tcPr>
          <w:p>
            <w:pPr>
              <w:pStyle w:val="TableParagraph"/>
              <w:spacing w:line="210" w:lineRule="exact"/>
              <w:ind w:left="310"/>
              <w:rPr>
                <w:sz w:val="20"/>
              </w:rPr>
            </w:pPr>
            <w:r>
              <w:rPr>
                <w:spacing w:val="-2"/>
                <w:sz w:val="20"/>
              </w:rPr>
              <w:t>0.106493</w:t>
            </w:r>
          </w:p>
        </w:tc>
        <w:tc>
          <w:tcPr>
            <w:tcW w:w="937" w:type="dxa"/>
          </w:tcPr>
          <w:p>
            <w:pPr>
              <w:pStyle w:val="TableParagraph"/>
              <w:spacing w:line="210" w:lineRule="exact"/>
              <w:ind w:right="113"/>
              <w:jc w:val="right"/>
              <w:rPr>
                <w:sz w:val="20"/>
              </w:rPr>
            </w:pPr>
            <w:r>
              <w:rPr>
                <w:spacing w:val="-4"/>
                <w:sz w:val="20"/>
              </w:rPr>
              <w:t>-</w:t>
            </w:r>
            <w:r>
              <w:rPr>
                <w:spacing w:val="-2"/>
                <w:sz w:val="20"/>
              </w:rPr>
              <w:t>0.689006</w:t>
            </w:r>
          </w:p>
        </w:tc>
        <w:tc>
          <w:tcPr>
            <w:tcW w:w="897" w:type="dxa"/>
          </w:tcPr>
          <w:p>
            <w:pPr>
              <w:pStyle w:val="TableParagraph"/>
              <w:spacing w:line="210" w:lineRule="exact"/>
              <w:ind w:right="30"/>
              <w:jc w:val="right"/>
              <w:rPr>
                <w:sz w:val="20"/>
              </w:rPr>
            </w:pPr>
            <w:r>
              <w:rPr>
                <w:spacing w:val="-2"/>
                <w:sz w:val="20"/>
              </w:rPr>
              <w:t>0.5007</w:t>
            </w:r>
          </w:p>
        </w:tc>
      </w:tr>
      <w:tr>
        <w:trPr>
          <w:trHeight w:val="229" w:hRule="atLeast"/>
        </w:trPr>
        <w:tc>
          <w:tcPr>
            <w:tcW w:w="1910" w:type="dxa"/>
          </w:tcPr>
          <w:p>
            <w:pPr>
              <w:pStyle w:val="TableParagraph"/>
              <w:spacing w:line="209" w:lineRule="exact"/>
              <w:ind w:left="135" w:right="1"/>
              <w:jc w:val="center"/>
              <w:rPr>
                <w:sz w:val="20"/>
              </w:rPr>
            </w:pPr>
            <w:r>
              <w:rPr>
                <w:spacing w:val="-5"/>
                <w:sz w:val="20"/>
              </w:rPr>
              <w:t>DR</w:t>
            </w:r>
          </w:p>
        </w:tc>
        <w:tc>
          <w:tcPr>
            <w:tcW w:w="1313" w:type="dxa"/>
          </w:tcPr>
          <w:p>
            <w:pPr>
              <w:pStyle w:val="TableParagraph"/>
              <w:spacing w:line="209" w:lineRule="exact"/>
              <w:ind w:left="298"/>
              <w:jc w:val="center"/>
              <w:rPr>
                <w:sz w:val="20"/>
              </w:rPr>
            </w:pPr>
            <w:r>
              <w:rPr>
                <w:spacing w:val="-2"/>
                <w:sz w:val="20"/>
              </w:rPr>
              <w:t>0.133897</w:t>
            </w:r>
          </w:p>
        </w:tc>
        <w:tc>
          <w:tcPr>
            <w:tcW w:w="1433" w:type="dxa"/>
          </w:tcPr>
          <w:p>
            <w:pPr>
              <w:pStyle w:val="TableParagraph"/>
              <w:spacing w:line="209" w:lineRule="exact"/>
              <w:ind w:left="310"/>
              <w:rPr>
                <w:sz w:val="20"/>
              </w:rPr>
            </w:pPr>
            <w:r>
              <w:rPr>
                <w:spacing w:val="-2"/>
                <w:sz w:val="20"/>
              </w:rPr>
              <w:t>0.991103</w:t>
            </w:r>
          </w:p>
        </w:tc>
        <w:tc>
          <w:tcPr>
            <w:tcW w:w="937" w:type="dxa"/>
          </w:tcPr>
          <w:p>
            <w:pPr>
              <w:pStyle w:val="TableParagraph"/>
              <w:spacing w:line="209" w:lineRule="exact"/>
              <w:ind w:right="113"/>
              <w:jc w:val="right"/>
              <w:rPr>
                <w:sz w:val="20"/>
              </w:rPr>
            </w:pPr>
            <w:r>
              <w:rPr>
                <w:spacing w:val="-2"/>
                <w:sz w:val="20"/>
              </w:rPr>
              <w:t>0.135099</w:t>
            </w:r>
          </w:p>
        </w:tc>
        <w:tc>
          <w:tcPr>
            <w:tcW w:w="897" w:type="dxa"/>
          </w:tcPr>
          <w:p>
            <w:pPr>
              <w:pStyle w:val="TableParagraph"/>
              <w:spacing w:line="209" w:lineRule="exact"/>
              <w:ind w:right="30"/>
              <w:jc w:val="right"/>
              <w:rPr>
                <w:sz w:val="20"/>
              </w:rPr>
            </w:pPr>
            <w:r>
              <w:rPr>
                <w:spacing w:val="-2"/>
                <w:sz w:val="20"/>
              </w:rPr>
              <w:t>0.8942</w:t>
            </w:r>
          </w:p>
        </w:tc>
      </w:tr>
      <w:tr>
        <w:trPr>
          <w:trHeight w:val="229" w:hRule="atLeast"/>
        </w:trPr>
        <w:tc>
          <w:tcPr>
            <w:tcW w:w="1910" w:type="dxa"/>
          </w:tcPr>
          <w:p>
            <w:pPr>
              <w:pStyle w:val="TableParagraph"/>
              <w:spacing w:line="209" w:lineRule="exact"/>
              <w:ind w:left="660"/>
              <w:rPr>
                <w:sz w:val="20"/>
              </w:rPr>
            </w:pPr>
            <w:r>
              <w:rPr>
                <w:spacing w:val="-2"/>
                <w:sz w:val="20"/>
              </w:rPr>
              <w:t>PRIVCR</w:t>
            </w:r>
          </w:p>
        </w:tc>
        <w:tc>
          <w:tcPr>
            <w:tcW w:w="1313" w:type="dxa"/>
          </w:tcPr>
          <w:p>
            <w:pPr>
              <w:pStyle w:val="TableParagraph"/>
              <w:spacing w:line="209" w:lineRule="exact"/>
              <w:ind w:left="298"/>
              <w:jc w:val="center"/>
              <w:rPr>
                <w:sz w:val="20"/>
              </w:rPr>
            </w:pPr>
            <w:r>
              <w:rPr>
                <w:spacing w:val="-2"/>
                <w:sz w:val="20"/>
              </w:rPr>
              <w:t>1.171950</w:t>
            </w:r>
          </w:p>
        </w:tc>
        <w:tc>
          <w:tcPr>
            <w:tcW w:w="1433" w:type="dxa"/>
          </w:tcPr>
          <w:p>
            <w:pPr>
              <w:pStyle w:val="TableParagraph"/>
              <w:spacing w:line="209" w:lineRule="exact"/>
              <w:ind w:left="310"/>
              <w:rPr>
                <w:sz w:val="20"/>
              </w:rPr>
            </w:pPr>
            <w:r>
              <w:rPr>
                <w:spacing w:val="-2"/>
                <w:sz w:val="20"/>
              </w:rPr>
              <w:t>0.847550</w:t>
            </w:r>
          </w:p>
        </w:tc>
        <w:tc>
          <w:tcPr>
            <w:tcW w:w="937" w:type="dxa"/>
          </w:tcPr>
          <w:p>
            <w:pPr>
              <w:pStyle w:val="TableParagraph"/>
              <w:spacing w:line="209" w:lineRule="exact"/>
              <w:ind w:right="113"/>
              <w:jc w:val="right"/>
              <w:rPr>
                <w:sz w:val="20"/>
              </w:rPr>
            </w:pPr>
            <w:r>
              <w:rPr>
                <w:spacing w:val="-2"/>
                <w:sz w:val="20"/>
              </w:rPr>
              <w:t>1.382751</w:t>
            </w:r>
          </w:p>
        </w:tc>
        <w:tc>
          <w:tcPr>
            <w:tcW w:w="897" w:type="dxa"/>
          </w:tcPr>
          <w:p>
            <w:pPr>
              <w:pStyle w:val="TableParagraph"/>
              <w:spacing w:line="209" w:lineRule="exact"/>
              <w:ind w:right="30"/>
              <w:jc w:val="right"/>
              <w:rPr>
                <w:sz w:val="20"/>
              </w:rPr>
            </w:pPr>
            <w:r>
              <w:rPr>
                <w:spacing w:val="-2"/>
                <w:sz w:val="20"/>
              </w:rPr>
              <w:t>0.1857</w:t>
            </w:r>
          </w:p>
        </w:tc>
      </w:tr>
      <w:tr>
        <w:trPr>
          <w:trHeight w:val="230" w:hRule="atLeast"/>
        </w:trPr>
        <w:tc>
          <w:tcPr>
            <w:tcW w:w="1910" w:type="dxa"/>
          </w:tcPr>
          <w:p>
            <w:pPr>
              <w:pStyle w:val="TableParagraph"/>
              <w:spacing w:line="210" w:lineRule="exact"/>
              <w:ind w:left="638"/>
              <w:rPr>
                <w:sz w:val="20"/>
              </w:rPr>
            </w:pPr>
            <w:r>
              <w:rPr>
                <w:spacing w:val="-2"/>
                <w:sz w:val="20"/>
              </w:rPr>
              <w:t>INTDIFF</w:t>
            </w:r>
          </w:p>
        </w:tc>
        <w:tc>
          <w:tcPr>
            <w:tcW w:w="1313" w:type="dxa"/>
          </w:tcPr>
          <w:p>
            <w:pPr>
              <w:pStyle w:val="TableParagraph"/>
              <w:spacing w:line="210" w:lineRule="exact"/>
              <w:ind w:left="234"/>
              <w:jc w:val="center"/>
              <w:rPr>
                <w:sz w:val="20"/>
              </w:rPr>
            </w:pPr>
            <w:r>
              <w:rPr>
                <w:spacing w:val="-4"/>
                <w:sz w:val="20"/>
              </w:rPr>
              <w:t>-</w:t>
            </w:r>
            <w:r>
              <w:rPr>
                <w:spacing w:val="-2"/>
                <w:sz w:val="20"/>
              </w:rPr>
              <w:t>0.145371</w:t>
            </w:r>
          </w:p>
        </w:tc>
        <w:tc>
          <w:tcPr>
            <w:tcW w:w="1433" w:type="dxa"/>
          </w:tcPr>
          <w:p>
            <w:pPr>
              <w:pStyle w:val="TableParagraph"/>
              <w:spacing w:line="210" w:lineRule="exact"/>
              <w:ind w:left="310"/>
              <w:rPr>
                <w:sz w:val="20"/>
              </w:rPr>
            </w:pPr>
            <w:r>
              <w:rPr>
                <w:spacing w:val="-2"/>
                <w:sz w:val="20"/>
              </w:rPr>
              <w:t>0.541769</w:t>
            </w:r>
          </w:p>
        </w:tc>
        <w:tc>
          <w:tcPr>
            <w:tcW w:w="937" w:type="dxa"/>
          </w:tcPr>
          <w:p>
            <w:pPr>
              <w:pStyle w:val="TableParagraph"/>
              <w:spacing w:line="210" w:lineRule="exact"/>
              <w:ind w:right="113"/>
              <w:jc w:val="right"/>
              <w:rPr>
                <w:sz w:val="20"/>
              </w:rPr>
            </w:pPr>
            <w:r>
              <w:rPr>
                <w:spacing w:val="-4"/>
                <w:sz w:val="20"/>
              </w:rPr>
              <w:t>-</w:t>
            </w:r>
            <w:r>
              <w:rPr>
                <w:spacing w:val="-2"/>
                <w:sz w:val="20"/>
              </w:rPr>
              <w:t>0.268327</w:t>
            </w:r>
          </w:p>
        </w:tc>
        <w:tc>
          <w:tcPr>
            <w:tcW w:w="897" w:type="dxa"/>
          </w:tcPr>
          <w:p>
            <w:pPr>
              <w:pStyle w:val="TableParagraph"/>
              <w:spacing w:line="210" w:lineRule="exact"/>
              <w:ind w:right="30"/>
              <w:jc w:val="right"/>
              <w:rPr>
                <w:sz w:val="20"/>
              </w:rPr>
            </w:pPr>
            <w:r>
              <w:rPr>
                <w:spacing w:val="-2"/>
                <w:sz w:val="20"/>
              </w:rPr>
              <w:t>0.7919</w:t>
            </w:r>
          </w:p>
        </w:tc>
      </w:tr>
      <w:tr>
        <w:trPr>
          <w:trHeight w:val="224" w:hRule="atLeast"/>
        </w:trPr>
        <w:tc>
          <w:tcPr>
            <w:tcW w:w="1910" w:type="dxa"/>
            <w:tcBorders>
              <w:bottom w:val="double" w:sz="6" w:space="0" w:color="000000"/>
            </w:tcBorders>
          </w:tcPr>
          <w:p>
            <w:pPr>
              <w:pStyle w:val="TableParagraph"/>
              <w:spacing w:line="205" w:lineRule="exact"/>
              <w:ind w:left="749"/>
              <w:rPr>
                <w:sz w:val="20"/>
              </w:rPr>
            </w:pPr>
            <w:r>
              <w:rPr>
                <w:spacing w:val="-4"/>
                <w:sz w:val="20"/>
              </w:rPr>
              <w:t>GOCE</w:t>
            </w:r>
          </w:p>
        </w:tc>
        <w:tc>
          <w:tcPr>
            <w:tcW w:w="1313" w:type="dxa"/>
            <w:tcBorders>
              <w:bottom w:val="double" w:sz="6" w:space="0" w:color="000000"/>
            </w:tcBorders>
          </w:tcPr>
          <w:p>
            <w:pPr>
              <w:pStyle w:val="TableParagraph"/>
              <w:spacing w:line="205" w:lineRule="exact"/>
              <w:ind w:left="234"/>
              <w:jc w:val="center"/>
              <w:rPr>
                <w:sz w:val="20"/>
              </w:rPr>
            </w:pPr>
            <w:r>
              <w:rPr>
                <w:spacing w:val="-4"/>
                <w:sz w:val="20"/>
              </w:rPr>
              <w:t>-</w:t>
            </w:r>
            <w:r>
              <w:rPr>
                <w:spacing w:val="-2"/>
                <w:sz w:val="20"/>
              </w:rPr>
              <w:t>0.579585</w:t>
            </w:r>
          </w:p>
        </w:tc>
        <w:tc>
          <w:tcPr>
            <w:tcW w:w="1433" w:type="dxa"/>
            <w:tcBorders>
              <w:bottom w:val="double" w:sz="6" w:space="0" w:color="000000"/>
            </w:tcBorders>
          </w:tcPr>
          <w:p>
            <w:pPr>
              <w:pStyle w:val="TableParagraph"/>
              <w:spacing w:line="205" w:lineRule="exact"/>
              <w:ind w:left="310"/>
              <w:rPr>
                <w:sz w:val="20"/>
              </w:rPr>
            </w:pPr>
            <w:r>
              <w:rPr>
                <w:spacing w:val="-2"/>
                <w:sz w:val="20"/>
              </w:rPr>
              <w:t>0.827897</w:t>
            </w:r>
          </w:p>
        </w:tc>
        <w:tc>
          <w:tcPr>
            <w:tcW w:w="937" w:type="dxa"/>
            <w:tcBorders>
              <w:bottom w:val="double" w:sz="6" w:space="0" w:color="000000"/>
            </w:tcBorders>
          </w:tcPr>
          <w:p>
            <w:pPr>
              <w:pStyle w:val="TableParagraph"/>
              <w:spacing w:line="205" w:lineRule="exact"/>
              <w:ind w:right="113"/>
              <w:jc w:val="right"/>
              <w:rPr>
                <w:sz w:val="20"/>
              </w:rPr>
            </w:pPr>
            <w:r>
              <w:rPr>
                <w:spacing w:val="-4"/>
                <w:sz w:val="20"/>
              </w:rPr>
              <w:t>-</w:t>
            </w:r>
            <w:r>
              <w:rPr>
                <w:spacing w:val="-2"/>
                <w:sz w:val="20"/>
              </w:rPr>
              <w:t>0.700069</w:t>
            </w:r>
          </w:p>
        </w:tc>
        <w:tc>
          <w:tcPr>
            <w:tcW w:w="897" w:type="dxa"/>
            <w:tcBorders>
              <w:bottom w:val="double" w:sz="6" w:space="0" w:color="000000"/>
            </w:tcBorders>
          </w:tcPr>
          <w:p>
            <w:pPr>
              <w:pStyle w:val="TableParagraph"/>
              <w:spacing w:line="205" w:lineRule="exact"/>
              <w:ind w:right="30"/>
              <w:jc w:val="right"/>
              <w:rPr>
                <w:sz w:val="20"/>
              </w:rPr>
            </w:pPr>
            <w:r>
              <w:rPr>
                <w:spacing w:val="-2"/>
                <w:sz w:val="20"/>
              </w:rPr>
              <w:t>0.4939</w:t>
            </w:r>
          </w:p>
        </w:tc>
      </w:tr>
      <w:tr>
        <w:trPr>
          <w:trHeight w:val="275" w:hRule="atLeast"/>
        </w:trPr>
        <w:tc>
          <w:tcPr>
            <w:tcW w:w="1910" w:type="dxa"/>
            <w:tcBorders>
              <w:top w:val="double" w:sz="6" w:space="0" w:color="000000"/>
            </w:tcBorders>
          </w:tcPr>
          <w:p>
            <w:pPr>
              <w:pStyle w:val="TableParagraph"/>
              <w:spacing w:line="215" w:lineRule="exact" w:before="40"/>
              <w:ind w:left="36"/>
              <w:rPr>
                <w:sz w:val="20"/>
              </w:rPr>
            </w:pPr>
            <w:r>
              <w:rPr>
                <w:spacing w:val="-2"/>
                <w:sz w:val="20"/>
              </w:rPr>
              <w:t>R-squared</w:t>
            </w:r>
          </w:p>
        </w:tc>
        <w:tc>
          <w:tcPr>
            <w:tcW w:w="1313" w:type="dxa"/>
            <w:tcBorders>
              <w:top w:val="double" w:sz="6" w:space="0" w:color="000000"/>
            </w:tcBorders>
          </w:tcPr>
          <w:p>
            <w:pPr>
              <w:pStyle w:val="TableParagraph"/>
              <w:spacing w:line="215" w:lineRule="exact" w:before="40"/>
              <w:ind w:left="298"/>
              <w:jc w:val="center"/>
              <w:rPr>
                <w:sz w:val="20"/>
              </w:rPr>
            </w:pPr>
            <w:r>
              <w:rPr>
                <w:spacing w:val="-2"/>
                <w:sz w:val="20"/>
              </w:rPr>
              <w:t>0.851692</w:t>
            </w:r>
          </w:p>
        </w:tc>
        <w:tc>
          <w:tcPr>
            <w:tcW w:w="2370" w:type="dxa"/>
            <w:gridSpan w:val="2"/>
            <w:tcBorders>
              <w:top w:val="double" w:sz="6" w:space="0" w:color="000000"/>
            </w:tcBorders>
          </w:tcPr>
          <w:p>
            <w:pPr>
              <w:pStyle w:val="TableParagraph"/>
              <w:spacing w:line="215" w:lineRule="exact" w:before="40"/>
              <w:ind w:left="130"/>
              <w:rPr>
                <w:sz w:val="20"/>
              </w:rPr>
            </w:pPr>
            <w:r>
              <w:rPr>
                <w:sz w:val="20"/>
              </w:rPr>
              <w:t>Mean</w:t>
            </w:r>
            <w:r>
              <w:rPr>
                <w:spacing w:val="-7"/>
                <w:sz w:val="20"/>
              </w:rPr>
              <w:t> </w:t>
            </w:r>
            <w:r>
              <w:rPr>
                <w:sz w:val="20"/>
              </w:rPr>
              <w:t>dependent</w:t>
            </w:r>
            <w:r>
              <w:rPr>
                <w:spacing w:val="-7"/>
                <w:sz w:val="20"/>
              </w:rPr>
              <w:t> </w:t>
            </w:r>
            <w:r>
              <w:rPr>
                <w:spacing w:val="-5"/>
                <w:sz w:val="20"/>
              </w:rPr>
              <w:t>var</w:t>
            </w:r>
          </w:p>
        </w:tc>
        <w:tc>
          <w:tcPr>
            <w:tcW w:w="897" w:type="dxa"/>
            <w:tcBorders>
              <w:top w:val="double" w:sz="6" w:space="0" w:color="000000"/>
            </w:tcBorders>
          </w:tcPr>
          <w:p>
            <w:pPr>
              <w:pStyle w:val="TableParagraph"/>
              <w:spacing w:line="215" w:lineRule="exact" w:before="40"/>
              <w:ind w:right="30"/>
              <w:jc w:val="right"/>
              <w:rPr>
                <w:sz w:val="20"/>
              </w:rPr>
            </w:pPr>
            <w:r>
              <w:rPr>
                <w:spacing w:val="-2"/>
                <w:sz w:val="20"/>
              </w:rPr>
              <w:t>13.31938</w:t>
            </w:r>
          </w:p>
        </w:tc>
      </w:tr>
      <w:tr>
        <w:trPr>
          <w:trHeight w:val="230" w:hRule="atLeast"/>
        </w:trPr>
        <w:tc>
          <w:tcPr>
            <w:tcW w:w="1910" w:type="dxa"/>
          </w:tcPr>
          <w:p>
            <w:pPr>
              <w:pStyle w:val="TableParagraph"/>
              <w:spacing w:line="210" w:lineRule="exact"/>
              <w:ind w:left="36"/>
              <w:rPr>
                <w:sz w:val="20"/>
              </w:rPr>
            </w:pPr>
            <w:r>
              <w:rPr>
                <w:sz w:val="20"/>
              </w:rPr>
              <w:t>Adjusted</w:t>
            </w:r>
            <w:r>
              <w:rPr>
                <w:spacing w:val="-10"/>
                <w:sz w:val="20"/>
              </w:rPr>
              <w:t> </w:t>
            </w:r>
            <w:r>
              <w:rPr>
                <w:sz w:val="20"/>
              </w:rPr>
              <w:t>R-</w:t>
            </w:r>
            <w:r>
              <w:rPr>
                <w:spacing w:val="-2"/>
                <w:sz w:val="20"/>
              </w:rPr>
              <w:t>squared</w:t>
            </w:r>
          </w:p>
        </w:tc>
        <w:tc>
          <w:tcPr>
            <w:tcW w:w="1313" w:type="dxa"/>
          </w:tcPr>
          <w:p>
            <w:pPr>
              <w:pStyle w:val="TableParagraph"/>
              <w:spacing w:line="210" w:lineRule="exact"/>
              <w:ind w:left="298"/>
              <w:jc w:val="center"/>
              <w:rPr>
                <w:sz w:val="20"/>
              </w:rPr>
            </w:pPr>
            <w:r>
              <w:rPr>
                <w:spacing w:val="-2"/>
                <w:sz w:val="20"/>
              </w:rPr>
              <w:t>0.777538</w:t>
            </w:r>
          </w:p>
        </w:tc>
        <w:tc>
          <w:tcPr>
            <w:tcW w:w="2370" w:type="dxa"/>
            <w:gridSpan w:val="2"/>
          </w:tcPr>
          <w:p>
            <w:pPr>
              <w:pStyle w:val="TableParagraph"/>
              <w:spacing w:line="210" w:lineRule="exact"/>
              <w:ind w:left="130"/>
              <w:rPr>
                <w:sz w:val="20"/>
              </w:rPr>
            </w:pPr>
            <w:r>
              <w:rPr>
                <w:sz w:val="20"/>
              </w:rPr>
              <w:t>S.D.</w:t>
            </w:r>
            <w:r>
              <w:rPr>
                <w:spacing w:val="-5"/>
                <w:sz w:val="20"/>
              </w:rPr>
              <w:t> </w:t>
            </w:r>
            <w:r>
              <w:rPr>
                <w:sz w:val="20"/>
              </w:rPr>
              <w:t>dependent</w:t>
            </w:r>
            <w:r>
              <w:rPr>
                <w:spacing w:val="-6"/>
                <w:sz w:val="20"/>
              </w:rPr>
              <w:t> </w:t>
            </w:r>
            <w:r>
              <w:rPr>
                <w:spacing w:val="-5"/>
                <w:sz w:val="20"/>
              </w:rPr>
              <w:t>var</w:t>
            </w:r>
          </w:p>
        </w:tc>
        <w:tc>
          <w:tcPr>
            <w:tcW w:w="897" w:type="dxa"/>
          </w:tcPr>
          <w:p>
            <w:pPr>
              <w:pStyle w:val="TableParagraph"/>
              <w:spacing w:line="210" w:lineRule="exact"/>
              <w:ind w:right="30"/>
              <w:jc w:val="right"/>
              <w:rPr>
                <w:sz w:val="20"/>
              </w:rPr>
            </w:pPr>
            <w:r>
              <w:rPr>
                <w:spacing w:val="-2"/>
                <w:sz w:val="20"/>
              </w:rPr>
              <w:t>1.711771</w:t>
            </w:r>
          </w:p>
        </w:tc>
      </w:tr>
      <w:tr>
        <w:trPr>
          <w:trHeight w:val="230" w:hRule="atLeast"/>
        </w:trPr>
        <w:tc>
          <w:tcPr>
            <w:tcW w:w="1910" w:type="dxa"/>
          </w:tcPr>
          <w:p>
            <w:pPr>
              <w:pStyle w:val="TableParagraph"/>
              <w:spacing w:line="210" w:lineRule="exact"/>
              <w:ind w:left="36"/>
              <w:rPr>
                <w:sz w:val="20"/>
              </w:rPr>
            </w:pPr>
            <w:r>
              <w:rPr>
                <w:sz w:val="20"/>
              </w:rPr>
              <w:t>S.E.</w:t>
            </w:r>
            <w:r>
              <w:rPr>
                <w:spacing w:val="-3"/>
                <w:sz w:val="20"/>
              </w:rPr>
              <w:t> </w:t>
            </w:r>
            <w:r>
              <w:rPr>
                <w:sz w:val="20"/>
              </w:rPr>
              <w:t>of</w:t>
            </w:r>
            <w:r>
              <w:rPr>
                <w:spacing w:val="-3"/>
                <w:sz w:val="20"/>
              </w:rPr>
              <w:t> </w:t>
            </w:r>
            <w:r>
              <w:rPr>
                <w:spacing w:val="-2"/>
                <w:sz w:val="20"/>
              </w:rPr>
              <w:t>regression</w:t>
            </w:r>
          </w:p>
        </w:tc>
        <w:tc>
          <w:tcPr>
            <w:tcW w:w="1313" w:type="dxa"/>
          </w:tcPr>
          <w:p>
            <w:pPr>
              <w:pStyle w:val="TableParagraph"/>
              <w:spacing w:line="210" w:lineRule="exact"/>
              <w:ind w:left="298"/>
              <w:jc w:val="center"/>
              <w:rPr>
                <w:sz w:val="20"/>
              </w:rPr>
            </w:pPr>
            <w:r>
              <w:rPr>
                <w:spacing w:val="-2"/>
                <w:sz w:val="20"/>
              </w:rPr>
              <w:t>0.807372</w:t>
            </w:r>
          </w:p>
        </w:tc>
        <w:tc>
          <w:tcPr>
            <w:tcW w:w="2370" w:type="dxa"/>
            <w:gridSpan w:val="2"/>
          </w:tcPr>
          <w:p>
            <w:pPr>
              <w:pStyle w:val="TableParagraph"/>
              <w:spacing w:line="210" w:lineRule="exact"/>
              <w:ind w:left="130"/>
              <w:rPr>
                <w:sz w:val="20"/>
              </w:rPr>
            </w:pPr>
            <w:r>
              <w:rPr>
                <w:sz w:val="20"/>
              </w:rPr>
              <w:t>Akaike</w:t>
            </w:r>
            <w:r>
              <w:rPr>
                <w:spacing w:val="-8"/>
                <w:sz w:val="20"/>
              </w:rPr>
              <w:t> </w:t>
            </w:r>
            <w:r>
              <w:rPr>
                <w:sz w:val="20"/>
              </w:rPr>
              <w:t>info</w:t>
            </w:r>
            <w:r>
              <w:rPr>
                <w:spacing w:val="-7"/>
                <w:sz w:val="20"/>
              </w:rPr>
              <w:t> </w:t>
            </w:r>
            <w:r>
              <w:rPr>
                <w:spacing w:val="-2"/>
                <w:sz w:val="20"/>
              </w:rPr>
              <w:t>criterion</w:t>
            </w:r>
          </w:p>
        </w:tc>
        <w:tc>
          <w:tcPr>
            <w:tcW w:w="897" w:type="dxa"/>
          </w:tcPr>
          <w:p>
            <w:pPr>
              <w:pStyle w:val="TableParagraph"/>
              <w:spacing w:line="210" w:lineRule="exact"/>
              <w:ind w:right="30"/>
              <w:jc w:val="right"/>
              <w:rPr>
                <w:sz w:val="20"/>
              </w:rPr>
            </w:pPr>
            <w:r>
              <w:rPr>
                <w:spacing w:val="-2"/>
                <w:sz w:val="20"/>
              </w:rPr>
              <w:t>2.683648</w:t>
            </w:r>
          </w:p>
        </w:tc>
      </w:tr>
      <w:tr>
        <w:trPr>
          <w:trHeight w:val="230" w:hRule="atLeast"/>
        </w:trPr>
        <w:tc>
          <w:tcPr>
            <w:tcW w:w="1910" w:type="dxa"/>
          </w:tcPr>
          <w:p>
            <w:pPr>
              <w:pStyle w:val="TableParagraph"/>
              <w:spacing w:line="210" w:lineRule="exact"/>
              <w:ind w:left="36"/>
              <w:rPr>
                <w:sz w:val="20"/>
              </w:rPr>
            </w:pPr>
            <w:r>
              <w:rPr>
                <w:sz w:val="20"/>
              </w:rPr>
              <w:t>Sum</w:t>
            </w:r>
            <w:r>
              <w:rPr>
                <w:spacing w:val="-8"/>
                <w:sz w:val="20"/>
              </w:rPr>
              <w:t> </w:t>
            </w:r>
            <w:r>
              <w:rPr>
                <w:sz w:val="20"/>
              </w:rPr>
              <w:t>squared</w:t>
            </w:r>
            <w:r>
              <w:rPr>
                <w:spacing w:val="-4"/>
                <w:sz w:val="20"/>
              </w:rPr>
              <w:t> </w:t>
            </w:r>
            <w:r>
              <w:rPr>
                <w:spacing w:val="-2"/>
                <w:sz w:val="20"/>
              </w:rPr>
              <w:t>resid</w:t>
            </w:r>
          </w:p>
        </w:tc>
        <w:tc>
          <w:tcPr>
            <w:tcW w:w="1313" w:type="dxa"/>
          </w:tcPr>
          <w:p>
            <w:pPr>
              <w:pStyle w:val="TableParagraph"/>
              <w:spacing w:line="210" w:lineRule="exact"/>
              <w:ind w:left="298"/>
              <w:jc w:val="center"/>
              <w:rPr>
                <w:sz w:val="20"/>
              </w:rPr>
            </w:pPr>
            <w:r>
              <w:rPr>
                <w:spacing w:val="-2"/>
                <w:sz w:val="20"/>
              </w:rPr>
              <w:t>10.42958</w:t>
            </w:r>
          </w:p>
        </w:tc>
        <w:tc>
          <w:tcPr>
            <w:tcW w:w="2370" w:type="dxa"/>
            <w:gridSpan w:val="2"/>
          </w:tcPr>
          <w:p>
            <w:pPr>
              <w:pStyle w:val="TableParagraph"/>
              <w:spacing w:line="210" w:lineRule="exact"/>
              <w:ind w:left="130"/>
              <w:rPr>
                <w:sz w:val="20"/>
              </w:rPr>
            </w:pPr>
            <w:r>
              <w:rPr>
                <w:sz w:val="20"/>
              </w:rPr>
              <w:t>Schwarz</w:t>
            </w:r>
            <w:r>
              <w:rPr>
                <w:spacing w:val="-8"/>
                <w:sz w:val="20"/>
              </w:rPr>
              <w:t> </w:t>
            </w:r>
            <w:r>
              <w:rPr>
                <w:spacing w:val="-2"/>
                <w:sz w:val="20"/>
              </w:rPr>
              <w:t>criterion</w:t>
            </w:r>
          </w:p>
        </w:tc>
        <w:tc>
          <w:tcPr>
            <w:tcW w:w="897" w:type="dxa"/>
          </w:tcPr>
          <w:p>
            <w:pPr>
              <w:pStyle w:val="TableParagraph"/>
              <w:spacing w:line="210" w:lineRule="exact"/>
              <w:ind w:right="30"/>
              <w:jc w:val="right"/>
              <w:rPr>
                <w:sz w:val="20"/>
              </w:rPr>
            </w:pPr>
            <w:r>
              <w:rPr>
                <w:spacing w:val="-2"/>
                <w:sz w:val="20"/>
              </w:rPr>
              <w:t>3.122443</w:t>
            </w:r>
          </w:p>
        </w:tc>
      </w:tr>
      <w:tr>
        <w:trPr>
          <w:trHeight w:val="229" w:hRule="atLeast"/>
        </w:trPr>
        <w:tc>
          <w:tcPr>
            <w:tcW w:w="1910" w:type="dxa"/>
          </w:tcPr>
          <w:p>
            <w:pPr>
              <w:pStyle w:val="TableParagraph"/>
              <w:spacing w:line="209" w:lineRule="exact"/>
              <w:ind w:left="36"/>
              <w:rPr>
                <w:sz w:val="20"/>
              </w:rPr>
            </w:pPr>
            <w:r>
              <w:rPr>
                <w:sz w:val="20"/>
              </w:rPr>
              <w:t>Log</w:t>
            </w:r>
            <w:r>
              <w:rPr>
                <w:spacing w:val="-6"/>
                <w:sz w:val="20"/>
              </w:rPr>
              <w:t> </w:t>
            </w:r>
            <w:r>
              <w:rPr>
                <w:spacing w:val="-2"/>
                <w:sz w:val="20"/>
              </w:rPr>
              <w:t>likelihood</w:t>
            </w:r>
          </w:p>
        </w:tc>
        <w:tc>
          <w:tcPr>
            <w:tcW w:w="1313" w:type="dxa"/>
          </w:tcPr>
          <w:p>
            <w:pPr>
              <w:pStyle w:val="TableParagraph"/>
              <w:spacing w:line="209" w:lineRule="exact"/>
              <w:ind w:left="234"/>
              <w:jc w:val="center"/>
              <w:rPr>
                <w:sz w:val="20"/>
              </w:rPr>
            </w:pPr>
            <w:r>
              <w:rPr>
                <w:spacing w:val="-4"/>
                <w:sz w:val="20"/>
              </w:rPr>
              <w:t>-</w:t>
            </w:r>
            <w:r>
              <w:rPr>
                <w:spacing w:val="-2"/>
                <w:sz w:val="20"/>
              </w:rPr>
              <w:t>24.54559</w:t>
            </w:r>
          </w:p>
        </w:tc>
        <w:tc>
          <w:tcPr>
            <w:tcW w:w="1433" w:type="dxa"/>
          </w:tcPr>
          <w:p>
            <w:pPr>
              <w:pStyle w:val="TableParagraph"/>
              <w:spacing w:line="209" w:lineRule="exact"/>
              <w:ind w:left="130"/>
              <w:rPr>
                <w:sz w:val="20"/>
              </w:rPr>
            </w:pPr>
            <w:r>
              <w:rPr>
                <w:spacing w:val="-4"/>
                <w:sz w:val="20"/>
              </w:rPr>
              <w:t>F-</w:t>
            </w:r>
            <w:r>
              <w:rPr>
                <w:spacing w:val="-2"/>
                <w:sz w:val="20"/>
              </w:rPr>
              <w:t>statistic</w:t>
            </w:r>
          </w:p>
        </w:tc>
        <w:tc>
          <w:tcPr>
            <w:tcW w:w="937" w:type="dxa"/>
          </w:tcPr>
          <w:p>
            <w:pPr>
              <w:pStyle w:val="TableParagraph"/>
              <w:rPr>
                <w:sz w:val="16"/>
              </w:rPr>
            </w:pPr>
          </w:p>
        </w:tc>
        <w:tc>
          <w:tcPr>
            <w:tcW w:w="897" w:type="dxa"/>
          </w:tcPr>
          <w:p>
            <w:pPr>
              <w:pStyle w:val="TableParagraph"/>
              <w:spacing w:line="209" w:lineRule="exact"/>
              <w:ind w:right="30"/>
              <w:jc w:val="right"/>
              <w:rPr>
                <w:sz w:val="20"/>
              </w:rPr>
            </w:pPr>
            <w:r>
              <w:rPr>
                <w:spacing w:val="-2"/>
                <w:sz w:val="20"/>
              </w:rPr>
              <w:t>11.48545</w:t>
            </w:r>
          </w:p>
        </w:tc>
      </w:tr>
      <w:tr>
        <w:trPr>
          <w:trHeight w:val="266" w:hRule="atLeast"/>
        </w:trPr>
        <w:tc>
          <w:tcPr>
            <w:tcW w:w="1910" w:type="dxa"/>
            <w:tcBorders>
              <w:bottom w:val="double" w:sz="6" w:space="0" w:color="000000"/>
            </w:tcBorders>
          </w:tcPr>
          <w:p>
            <w:pPr>
              <w:pStyle w:val="TableParagraph"/>
              <w:spacing w:line="224" w:lineRule="exact"/>
              <w:ind w:left="36"/>
              <w:rPr>
                <w:sz w:val="20"/>
              </w:rPr>
            </w:pPr>
            <w:r>
              <w:rPr>
                <w:sz w:val="20"/>
              </w:rPr>
              <w:t>Durbin-Watson</w:t>
            </w:r>
            <w:r>
              <w:rPr>
                <w:spacing w:val="-12"/>
                <w:sz w:val="20"/>
              </w:rPr>
              <w:t> </w:t>
            </w:r>
            <w:r>
              <w:rPr>
                <w:spacing w:val="-4"/>
                <w:sz w:val="20"/>
              </w:rPr>
              <w:t>stat</w:t>
            </w:r>
          </w:p>
        </w:tc>
        <w:tc>
          <w:tcPr>
            <w:tcW w:w="1313" w:type="dxa"/>
          </w:tcPr>
          <w:p>
            <w:pPr>
              <w:pStyle w:val="TableParagraph"/>
              <w:spacing w:line="224" w:lineRule="exact"/>
              <w:ind w:left="298"/>
              <w:jc w:val="center"/>
              <w:rPr>
                <w:sz w:val="20"/>
              </w:rPr>
            </w:pPr>
            <w:r>
              <w:rPr>
                <w:spacing w:val="-2"/>
                <w:sz w:val="20"/>
              </w:rPr>
              <w:t>2.170467</w:t>
            </w:r>
          </w:p>
        </w:tc>
        <w:tc>
          <w:tcPr>
            <w:tcW w:w="1433" w:type="dxa"/>
            <w:tcBorders>
              <w:bottom w:val="double" w:sz="6" w:space="0" w:color="000000"/>
            </w:tcBorders>
          </w:tcPr>
          <w:p>
            <w:pPr>
              <w:pStyle w:val="TableParagraph"/>
              <w:spacing w:line="224" w:lineRule="exact"/>
              <w:ind w:left="130"/>
              <w:rPr>
                <w:sz w:val="20"/>
              </w:rPr>
            </w:pPr>
            <w:r>
              <w:rPr>
                <w:spacing w:val="-2"/>
                <w:sz w:val="20"/>
              </w:rPr>
              <w:t>Prob(F-statistic)</w:t>
            </w:r>
          </w:p>
        </w:tc>
        <w:tc>
          <w:tcPr>
            <w:tcW w:w="937" w:type="dxa"/>
            <w:tcBorders>
              <w:bottom w:val="single" w:sz="6" w:space="0" w:color="000000"/>
            </w:tcBorders>
          </w:tcPr>
          <w:p>
            <w:pPr>
              <w:pStyle w:val="TableParagraph"/>
              <w:rPr>
                <w:sz w:val="18"/>
              </w:rPr>
            </w:pPr>
          </w:p>
        </w:tc>
        <w:tc>
          <w:tcPr>
            <w:tcW w:w="897" w:type="dxa"/>
            <w:tcBorders>
              <w:bottom w:val="double" w:sz="6" w:space="0" w:color="000000"/>
            </w:tcBorders>
          </w:tcPr>
          <w:p>
            <w:pPr>
              <w:pStyle w:val="TableParagraph"/>
              <w:spacing w:line="224" w:lineRule="exact"/>
              <w:ind w:right="30"/>
              <w:jc w:val="right"/>
              <w:rPr>
                <w:sz w:val="20"/>
              </w:rPr>
            </w:pPr>
            <w:r>
              <w:rPr>
                <w:spacing w:val="-2"/>
                <w:sz w:val="20"/>
              </w:rPr>
              <w:t>0.000025</w:t>
            </w:r>
          </w:p>
        </w:tc>
      </w:tr>
    </w:tbl>
    <w:p>
      <w:pPr>
        <w:pStyle w:val="BodyText"/>
        <w:rPr>
          <w:sz w:val="20"/>
        </w:rPr>
      </w:pPr>
    </w:p>
    <w:p>
      <w:pPr>
        <w:pStyle w:val="BodyText"/>
        <w:spacing w:before="14"/>
        <w:rPr>
          <w:sz w:val="20"/>
        </w:rPr>
      </w:pPr>
    </w:p>
    <w:p>
      <w:pPr>
        <w:spacing w:before="0"/>
        <w:ind w:left="4065" w:right="0" w:firstLine="0"/>
        <w:jc w:val="left"/>
        <w:rPr>
          <w:b/>
          <w:sz w:val="20"/>
        </w:rPr>
      </w:pPr>
      <w:r>
        <w:rPr>
          <w:b/>
          <w:sz w:val="20"/>
        </w:rPr>
        <w:t>APPENDIX</w:t>
      </w:r>
      <w:r>
        <w:rPr>
          <w:b/>
          <w:spacing w:val="-13"/>
          <w:sz w:val="20"/>
        </w:rPr>
        <w:t> </w:t>
      </w:r>
      <w:r>
        <w:rPr>
          <w:b/>
          <w:spacing w:val="-5"/>
          <w:sz w:val="20"/>
        </w:rPr>
        <w:t>A9</w:t>
      </w:r>
    </w:p>
    <w:p>
      <w:pPr>
        <w:pStyle w:val="BodyText"/>
        <w:spacing w:before="1"/>
        <w:rPr>
          <w:b/>
          <w:sz w:val="20"/>
        </w:rPr>
      </w:pPr>
    </w:p>
    <w:p>
      <w:pPr>
        <w:spacing w:line="460" w:lineRule="atLeast" w:before="0"/>
        <w:ind w:left="711" w:right="1193" w:firstLine="0"/>
        <w:jc w:val="left"/>
        <w:rPr>
          <w:b/>
          <w:sz w:val="20"/>
        </w:rPr>
      </w:pPr>
      <w:r>
        <w:rPr>
          <w:b/>
          <w:sz w:val="20"/>
        </w:rPr>
        <w:t>RESULT</w:t>
      </w:r>
      <w:r>
        <w:rPr>
          <w:b/>
          <w:spacing w:val="-5"/>
          <w:sz w:val="20"/>
        </w:rPr>
        <w:t> </w:t>
      </w:r>
      <w:r>
        <w:rPr>
          <w:b/>
          <w:sz w:val="20"/>
        </w:rPr>
        <w:t>OF</w:t>
      </w:r>
      <w:r>
        <w:rPr>
          <w:b/>
          <w:spacing w:val="-4"/>
          <w:sz w:val="20"/>
        </w:rPr>
        <w:t> </w:t>
      </w:r>
      <w:r>
        <w:rPr>
          <w:b/>
          <w:sz w:val="20"/>
        </w:rPr>
        <w:t>ANALYSES</w:t>
      </w:r>
      <w:r>
        <w:rPr>
          <w:b/>
          <w:spacing w:val="-5"/>
          <w:sz w:val="20"/>
        </w:rPr>
        <w:t> </w:t>
      </w:r>
      <w:r>
        <w:rPr>
          <w:b/>
          <w:sz w:val="20"/>
        </w:rPr>
        <w:t>FOR</w:t>
      </w:r>
      <w:r>
        <w:rPr>
          <w:b/>
          <w:spacing w:val="-4"/>
          <w:sz w:val="20"/>
        </w:rPr>
        <w:t> </w:t>
      </w:r>
      <w:r>
        <w:rPr>
          <w:b/>
          <w:sz w:val="20"/>
        </w:rPr>
        <w:t>MODEL</w:t>
      </w:r>
      <w:r>
        <w:rPr>
          <w:b/>
          <w:spacing w:val="-2"/>
          <w:sz w:val="20"/>
        </w:rPr>
        <w:t> </w:t>
      </w:r>
      <w:r>
        <w:rPr>
          <w:b/>
          <w:sz w:val="20"/>
        </w:rPr>
        <w:t>4B</w:t>
      </w:r>
      <w:r>
        <w:rPr>
          <w:b/>
          <w:spacing w:val="-3"/>
          <w:sz w:val="20"/>
        </w:rPr>
        <w:t> </w:t>
      </w:r>
      <w:r>
        <w:rPr>
          <w:b/>
          <w:sz w:val="20"/>
        </w:rPr>
        <w:t>(MORGAN</w:t>
      </w:r>
      <w:r>
        <w:rPr>
          <w:b/>
          <w:spacing w:val="-4"/>
          <w:sz w:val="20"/>
        </w:rPr>
        <w:t> </w:t>
      </w:r>
      <w:r>
        <w:rPr>
          <w:b/>
          <w:sz w:val="20"/>
        </w:rPr>
        <w:t>GUARANTY</w:t>
      </w:r>
      <w:r>
        <w:rPr>
          <w:b/>
          <w:spacing w:val="-2"/>
          <w:sz w:val="20"/>
        </w:rPr>
        <w:t> </w:t>
      </w:r>
      <w:r>
        <w:rPr>
          <w:b/>
          <w:sz w:val="20"/>
        </w:rPr>
        <w:t>TRUST</w:t>
      </w:r>
      <w:r>
        <w:rPr>
          <w:b/>
          <w:spacing w:val="-5"/>
          <w:sz w:val="20"/>
        </w:rPr>
        <w:t> </w:t>
      </w:r>
      <w:r>
        <w:rPr>
          <w:b/>
          <w:sz w:val="20"/>
        </w:rPr>
        <w:t>1986</w:t>
      </w:r>
      <w:r>
        <w:rPr>
          <w:b/>
          <w:spacing w:val="-5"/>
          <w:sz w:val="20"/>
        </w:rPr>
        <w:t> </w:t>
      </w:r>
      <w:r>
        <w:rPr>
          <w:b/>
          <w:sz w:val="20"/>
        </w:rPr>
        <w:t>ESTIMATES) DETERMINANTS OF CAPITAL FLIGHT IN THE POST-SAP ERA</w:t>
      </w:r>
    </w:p>
    <w:p>
      <w:pPr>
        <w:spacing w:line="229" w:lineRule="exact" w:before="0" w:after="10"/>
        <w:ind w:left="711" w:right="0" w:firstLine="0"/>
        <w:jc w:val="left"/>
        <w:rPr>
          <w:sz w:val="20"/>
        </w:rPr>
      </w:pPr>
      <w:r>
        <w:rPr>
          <w:sz w:val="20"/>
        </w:rPr>
        <w:t>OLS</w:t>
      </w:r>
      <w:r>
        <w:rPr>
          <w:spacing w:val="-4"/>
          <w:sz w:val="20"/>
        </w:rPr>
        <w:t> </w:t>
      </w:r>
      <w:r>
        <w:rPr>
          <w:spacing w:val="-2"/>
          <w:sz w:val="20"/>
        </w:rPr>
        <w:t>RESULT</w:t>
      </w:r>
    </w:p>
    <w:tbl>
      <w:tblPr>
        <w:tblW w:w="0" w:type="auto"/>
        <w:jc w:val="left"/>
        <w:tblInd w:w="7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03"/>
        <w:gridCol w:w="1313"/>
        <w:gridCol w:w="1251"/>
        <w:gridCol w:w="1119"/>
        <w:gridCol w:w="897"/>
      </w:tblGrid>
      <w:tr>
        <w:trPr>
          <w:trHeight w:val="225" w:hRule="atLeast"/>
        </w:trPr>
        <w:tc>
          <w:tcPr>
            <w:tcW w:w="6483" w:type="dxa"/>
            <w:gridSpan w:val="5"/>
          </w:tcPr>
          <w:p>
            <w:pPr>
              <w:pStyle w:val="TableParagraph"/>
              <w:spacing w:line="205" w:lineRule="exact"/>
              <w:ind w:left="28"/>
              <w:rPr>
                <w:sz w:val="20"/>
              </w:rPr>
            </w:pPr>
            <w:r>
              <w:rPr>
                <w:sz w:val="20"/>
              </w:rPr>
              <w:t>Dependent</w:t>
            </w:r>
            <w:r>
              <w:rPr>
                <w:spacing w:val="-8"/>
                <w:sz w:val="20"/>
              </w:rPr>
              <w:t> </w:t>
            </w:r>
            <w:r>
              <w:rPr>
                <w:sz w:val="20"/>
              </w:rPr>
              <w:t>Variable:</w:t>
            </w:r>
            <w:r>
              <w:rPr>
                <w:spacing w:val="-8"/>
                <w:sz w:val="20"/>
              </w:rPr>
              <w:t> </w:t>
            </w:r>
            <w:r>
              <w:rPr>
                <w:spacing w:val="-5"/>
                <w:sz w:val="20"/>
              </w:rPr>
              <w:t>KFM</w:t>
            </w:r>
          </w:p>
        </w:tc>
      </w:tr>
      <w:tr>
        <w:trPr>
          <w:trHeight w:val="230" w:hRule="atLeast"/>
        </w:trPr>
        <w:tc>
          <w:tcPr>
            <w:tcW w:w="1903" w:type="dxa"/>
          </w:tcPr>
          <w:p>
            <w:pPr>
              <w:pStyle w:val="TableParagraph"/>
              <w:spacing w:line="210" w:lineRule="exact"/>
              <w:ind w:left="28"/>
              <w:rPr>
                <w:sz w:val="20"/>
              </w:rPr>
            </w:pPr>
            <w:r>
              <w:rPr>
                <w:sz w:val="20"/>
              </w:rPr>
              <w:t>Method:</w:t>
            </w:r>
            <w:r>
              <w:rPr>
                <w:spacing w:val="-8"/>
                <w:sz w:val="20"/>
              </w:rPr>
              <w:t> </w:t>
            </w:r>
            <w:r>
              <w:rPr>
                <w:sz w:val="20"/>
              </w:rPr>
              <w:t>Least</w:t>
            </w:r>
            <w:r>
              <w:rPr>
                <w:spacing w:val="-7"/>
                <w:sz w:val="20"/>
              </w:rPr>
              <w:t> </w:t>
            </w:r>
            <w:r>
              <w:rPr>
                <w:spacing w:val="-2"/>
                <w:sz w:val="20"/>
              </w:rPr>
              <w:t>Squares</w:t>
            </w:r>
          </w:p>
        </w:tc>
        <w:tc>
          <w:tcPr>
            <w:tcW w:w="1313" w:type="dxa"/>
          </w:tcPr>
          <w:p>
            <w:pPr>
              <w:pStyle w:val="TableParagraph"/>
              <w:rPr>
                <w:sz w:val="16"/>
              </w:rPr>
            </w:pPr>
          </w:p>
        </w:tc>
        <w:tc>
          <w:tcPr>
            <w:tcW w:w="1251" w:type="dxa"/>
          </w:tcPr>
          <w:p>
            <w:pPr>
              <w:pStyle w:val="TableParagraph"/>
              <w:rPr>
                <w:sz w:val="16"/>
              </w:rPr>
            </w:pPr>
          </w:p>
        </w:tc>
        <w:tc>
          <w:tcPr>
            <w:tcW w:w="1119" w:type="dxa"/>
          </w:tcPr>
          <w:p>
            <w:pPr>
              <w:pStyle w:val="TableParagraph"/>
              <w:rPr>
                <w:sz w:val="16"/>
              </w:rPr>
            </w:pPr>
          </w:p>
        </w:tc>
        <w:tc>
          <w:tcPr>
            <w:tcW w:w="897" w:type="dxa"/>
          </w:tcPr>
          <w:p>
            <w:pPr>
              <w:pStyle w:val="TableParagraph"/>
              <w:rPr>
                <w:sz w:val="16"/>
              </w:rPr>
            </w:pPr>
          </w:p>
        </w:tc>
      </w:tr>
      <w:tr>
        <w:trPr>
          <w:trHeight w:val="230" w:hRule="atLeast"/>
        </w:trPr>
        <w:tc>
          <w:tcPr>
            <w:tcW w:w="6483" w:type="dxa"/>
            <w:gridSpan w:val="5"/>
          </w:tcPr>
          <w:p>
            <w:pPr>
              <w:pStyle w:val="TableParagraph"/>
              <w:spacing w:line="210" w:lineRule="exact"/>
              <w:ind w:left="28"/>
              <w:rPr>
                <w:sz w:val="20"/>
              </w:rPr>
            </w:pPr>
            <w:r>
              <w:rPr>
                <w:sz w:val="20"/>
              </w:rPr>
              <w:t>Date:</w:t>
            </w:r>
            <w:r>
              <w:rPr>
                <w:spacing w:val="-5"/>
                <w:sz w:val="20"/>
              </w:rPr>
              <w:t> </w:t>
            </w:r>
            <w:r>
              <w:rPr>
                <w:sz w:val="20"/>
              </w:rPr>
              <w:t>02/18/14</w:t>
            </w:r>
            <w:r>
              <w:rPr>
                <w:spacing w:val="63"/>
                <w:w w:val="150"/>
                <w:sz w:val="20"/>
              </w:rPr>
              <w:t> </w:t>
            </w:r>
            <w:r>
              <w:rPr>
                <w:sz w:val="20"/>
              </w:rPr>
              <w:t>Time:</w:t>
            </w:r>
            <w:r>
              <w:rPr>
                <w:spacing w:val="-3"/>
                <w:sz w:val="20"/>
              </w:rPr>
              <w:t> </w:t>
            </w:r>
            <w:r>
              <w:rPr>
                <w:spacing w:val="-2"/>
                <w:sz w:val="20"/>
              </w:rPr>
              <w:t>14:05</w:t>
            </w:r>
          </w:p>
        </w:tc>
      </w:tr>
      <w:tr>
        <w:trPr>
          <w:trHeight w:val="229" w:hRule="atLeast"/>
        </w:trPr>
        <w:tc>
          <w:tcPr>
            <w:tcW w:w="1903" w:type="dxa"/>
          </w:tcPr>
          <w:p>
            <w:pPr>
              <w:pStyle w:val="TableParagraph"/>
              <w:spacing w:line="209" w:lineRule="exact"/>
              <w:ind w:left="28"/>
              <w:rPr>
                <w:sz w:val="20"/>
              </w:rPr>
            </w:pPr>
            <w:r>
              <w:rPr>
                <w:sz w:val="20"/>
              </w:rPr>
              <w:t>Sample:</w:t>
            </w:r>
            <w:r>
              <w:rPr>
                <w:spacing w:val="-5"/>
                <w:sz w:val="20"/>
              </w:rPr>
              <w:t> </w:t>
            </w:r>
            <w:r>
              <w:rPr>
                <w:sz w:val="20"/>
              </w:rPr>
              <w:t>1987</w:t>
            </w:r>
            <w:r>
              <w:rPr>
                <w:spacing w:val="-3"/>
                <w:sz w:val="20"/>
              </w:rPr>
              <w:t> </w:t>
            </w:r>
            <w:r>
              <w:rPr>
                <w:spacing w:val="-4"/>
                <w:sz w:val="20"/>
              </w:rPr>
              <w:t>2011</w:t>
            </w:r>
          </w:p>
        </w:tc>
        <w:tc>
          <w:tcPr>
            <w:tcW w:w="1313" w:type="dxa"/>
          </w:tcPr>
          <w:p>
            <w:pPr>
              <w:pStyle w:val="TableParagraph"/>
              <w:rPr>
                <w:sz w:val="16"/>
              </w:rPr>
            </w:pPr>
          </w:p>
        </w:tc>
        <w:tc>
          <w:tcPr>
            <w:tcW w:w="1251" w:type="dxa"/>
          </w:tcPr>
          <w:p>
            <w:pPr>
              <w:pStyle w:val="TableParagraph"/>
              <w:rPr>
                <w:sz w:val="16"/>
              </w:rPr>
            </w:pPr>
          </w:p>
        </w:tc>
        <w:tc>
          <w:tcPr>
            <w:tcW w:w="1119" w:type="dxa"/>
          </w:tcPr>
          <w:p>
            <w:pPr>
              <w:pStyle w:val="TableParagraph"/>
              <w:rPr>
                <w:sz w:val="16"/>
              </w:rPr>
            </w:pPr>
          </w:p>
        </w:tc>
        <w:tc>
          <w:tcPr>
            <w:tcW w:w="897" w:type="dxa"/>
          </w:tcPr>
          <w:p>
            <w:pPr>
              <w:pStyle w:val="TableParagraph"/>
              <w:rPr>
                <w:sz w:val="16"/>
              </w:rPr>
            </w:pPr>
          </w:p>
        </w:tc>
      </w:tr>
      <w:tr>
        <w:trPr>
          <w:trHeight w:val="223" w:hRule="atLeast"/>
        </w:trPr>
        <w:tc>
          <w:tcPr>
            <w:tcW w:w="6483" w:type="dxa"/>
            <w:gridSpan w:val="5"/>
            <w:tcBorders>
              <w:bottom w:val="double" w:sz="6" w:space="0" w:color="000000"/>
            </w:tcBorders>
          </w:tcPr>
          <w:p>
            <w:pPr>
              <w:pStyle w:val="TableParagraph"/>
              <w:spacing w:line="204" w:lineRule="exact"/>
              <w:ind w:left="28"/>
              <w:rPr>
                <w:sz w:val="20"/>
              </w:rPr>
            </w:pPr>
            <w:r>
              <w:rPr>
                <w:sz w:val="20"/>
              </w:rPr>
              <w:t>Included</w:t>
            </w:r>
            <w:r>
              <w:rPr>
                <w:spacing w:val="-9"/>
                <w:sz w:val="20"/>
              </w:rPr>
              <w:t> </w:t>
            </w:r>
            <w:r>
              <w:rPr>
                <w:sz w:val="20"/>
              </w:rPr>
              <w:t>observations:</w:t>
            </w:r>
            <w:r>
              <w:rPr>
                <w:spacing w:val="-10"/>
                <w:sz w:val="20"/>
              </w:rPr>
              <w:t> </w:t>
            </w:r>
            <w:r>
              <w:rPr>
                <w:spacing w:val="-5"/>
                <w:sz w:val="20"/>
              </w:rPr>
              <w:t>25</w:t>
            </w:r>
          </w:p>
        </w:tc>
      </w:tr>
      <w:tr>
        <w:trPr>
          <w:trHeight w:val="271" w:hRule="atLeast"/>
        </w:trPr>
        <w:tc>
          <w:tcPr>
            <w:tcW w:w="1903" w:type="dxa"/>
            <w:tcBorders>
              <w:top w:val="double" w:sz="6" w:space="0" w:color="000000"/>
              <w:bottom w:val="double" w:sz="6" w:space="0" w:color="000000"/>
            </w:tcBorders>
          </w:tcPr>
          <w:p>
            <w:pPr>
              <w:pStyle w:val="TableParagraph"/>
              <w:spacing w:line="209" w:lineRule="exact" w:before="42"/>
              <w:ind w:left="670"/>
              <w:rPr>
                <w:sz w:val="20"/>
              </w:rPr>
            </w:pPr>
            <w:r>
              <w:rPr>
                <w:spacing w:val="-2"/>
                <w:sz w:val="20"/>
              </w:rPr>
              <w:t>Variable</w:t>
            </w:r>
          </w:p>
        </w:tc>
        <w:tc>
          <w:tcPr>
            <w:tcW w:w="1313" w:type="dxa"/>
            <w:tcBorders>
              <w:top w:val="double" w:sz="6" w:space="0" w:color="000000"/>
              <w:bottom w:val="double" w:sz="6" w:space="0" w:color="000000"/>
            </w:tcBorders>
          </w:tcPr>
          <w:p>
            <w:pPr>
              <w:pStyle w:val="TableParagraph"/>
              <w:spacing w:line="209" w:lineRule="exact" w:before="42"/>
              <w:ind w:left="234" w:right="88"/>
              <w:jc w:val="center"/>
              <w:rPr>
                <w:sz w:val="20"/>
              </w:rPr>
            </w:pPr>
            <w:r>
              <w:rPr>
                <w:spacing w:val="-2"/>
                <w:sz w:val="20"/>
              </w:rPr>
              <w:t>Coefficient</w:t>
            </w:r>
          </w:p>
        </w:tc>
        <w:tc>
          <w:tcPr>
            <w:tcW w:w="1251" w:type="dxa"/>
            <w:tcBorders>
              <w:top w:val="double" w:sz="6" w:space="0" w:color="000000"/>
              <w:bottom w:val="double" w:sz="6" w:space="0" w:color="000000"/>
            </w:tcBorders>
          </w:tcPr>
          <w:p>
            <w:pPr>
              <w:pStyle w:val="TableParagraph"/>
              <w:spacing w:line="209" w:lineRule="exact" w:before="42"/>
              <w:ind w:left="174" w:right="92"/>
              <w:jc w:val="center"/>
              <w:rPr>
                <w:sz w:val="20"/>
              </w:rPr>
            </w:pPr>
            <w:r>
              <w:rPr>
                <w:sz w:val="20"/>
              </w:rPr>
              <w:t>Std.</w:t>
            </w:r>
            <w:r>
              <w:rPr>
                <w:spacing w:val="-4"/>
                <w:sz w:val="20"/>
              </w:rPr>
              <w:t> </w:t>
            </w:r>
            <w:r>
              <w:rPr>
                <w:spacing w:val="-2"/>
                <w:sz w:val="20"/>
              </w:rPr>
              <w:t>Error</w:t>
            </w:r>
          </w:p>
        </w:tc>
        <w:tc>
          <w:tcPr>
            <w:tcW w:w="1119" w:type="dxa"/>
            <w:tcBorders>
              <w:top w:val="double" w:sz="6" w:space="0" w:color="000000"/>
              <w:bottom w:val="double" w:sz="6" w:space="0" w:color="000000"/>
            </w:tcBorders>
          </w:tcPr>
          <w:p>
            <w:pPr>
              <w:pStyle w:val="TableParagraph"/>
              <w:spacing w:line="209" w:lineRule="exact" w:before="42"/>
              <w:ind w:left="137" w:right="18"/>
              <w:jc w:val="center"/>
              <w:rPr>
                <w:sz w:val="20"/>
              </w:rPr>
            </w:pPr>
            <w:r>
              <w:rPr>
                <w:spacing w:val="-4"/>
                <w:sz w:val="20"/>
              </w:rPr>
              <w:t>t-</w:t>
            </w:r>
            <w:r>
              <w:rPr>
                <w:spacing w:val="-2"/>
                <w:sz w:val="20"/>
              </w:rPr>
              <w:t>Statistic</w:t>
            </w:r>
          </w:p>
        </w:tc>
        <w:tc>
          <w:tcPr>
            <w:tcW w:w="897" w:type="dxa"/>
            <w:tcBorders>
              <w:top w:val="double" w:sz="6" w:space="0" w:color="000000"/>
              <w:bottom w:val="double" w:sz="6" w:space="0" w:color="000000"/>
            </w:tcBorders>
          </w:tcPr>
          <w:p>
            <w:pPr>
              <w:pStyle w:val="TableParagraph"/>
              <w:spacing w:line="209" w:lineRule="exact" w:before="42"/>
              <w:ind w:right="32"/>
              <w:jc w:val="right"/>
              <w:rPr>
                <w:sz w:val="20"/>
              </w:rPr>
            </w:pPr>
            <w:r>
              <w:rPr>
                <w:spacing w:val="-2"/>
                <w:sz w:val="20"/>
              </w:rPr>
              <w:t>Prob.</w:t>
            </w:r>
          </w:p>
        </w:tc>
      </w:tr>
      <w:tr>
        <w:trPr>
          <w:trHeight w:val="275" w:hRule="atLeast"/>
        </w:trPr>
        <w:tc>
          <w:tcPr>
            <w:tcW w:w="1903" w:type="dxa"/>
            <w:tcBorders>
              <w:top w:val="double" w:sz="6" w:space="0" w:color="000000"/>
            </w:tcBorders>
          </w:tcPr>
          <w:p>
            <w:pPr>
              <w:pStyle w:val="TableParagraph"/>
              <w:spacing w:line="215" w:lineRule="exact" w:before="41"/>
              <w:ind w:left="128" w:right="2"/>
              <w:jc w:val="center"/>
              <w:rPr>
                <w:sz w:val="20"/>
              </w:rPr>
            </w:pPr>
            <w:r>
              <w:rPr>
                <w:spacing w:val="-10"/>
                <w:sz w:val="20"/>
              </w:rPr>
              <w:t>C</w:t>
            </w:r>
          </w:p>
        </w:tc>
        <w:tc>
          <w:tcPr>
            <w:tcW w:w="1313" w:type="dxa"/>
            <w:tcBorders>
              <w:top w:val="double" w:sz="6" w:space="0" w:color="000000"/>
            </w:tcBorders>
          </w:tcPr>
          <w:p>
            <w:pPr>
              <w:pStyle w:val="TableParagraph"/>
              <w:spacing w:line="215" w:lineRule="exact" w:before="41"/>
              <w:ind w:left="298"/>
              <w:jc w:val="center"/>
              <w:rPr>
                <w:sz w:val="20"/>
              </w:rPr>
            </w:pPr>
            <w:r>
              <w:rPr>
                <w:spacing w:val="-2"/>
                <w:sz w:val="20"/>
              </w:rPr>
              <w:t>8.188526</w:t>
            </w:r>
          </w:p>
        </w:tc>
        <w:tc>
          <w:tcPr>
            <w:tcW w:w="1251" w:type="dxa"/>
            <w:tcBorders>
              <w:top w:val="double" w:sz="6" w:space="0" w:color="000000"/>
            </w:tcBorders>
          </w:tcPr>
          <w:p>
            <w:pPr>
              <w:pStyle w:val="TableParagraph"/>
              <w:spacing w:line="215" w:lineRule="exact" w:before="41"/>
              <w:ind w:left="174" w:right="53"/>
              <w:jc w:val="center"/>
              <w:rPr>
                <w:sz w:val="20"/>
              </w:rPr>
            </w:pPr>
            <w:r>
              <w:rPr>
                <w:spacing w:val="-2"/>
                <w:sz w:val="20"/>
              </w:rPr>
              <w:t>10.23610</w:t>
            </w:r>
          </w:p>
        </w:tc>
        <w:tc>
          <w:tcPr>
            <w:tcW w:w="1119" w:type="dxa"/>
            <w:tcBorders>
              <w:top w:val="double" w:sz="6" w:space="0" w:color="000000"/>
            </w:tcBorders>
          </w:tcPr>
          <w:p>
            <w:pPr>
              <w:pStyle w:val="TableParagraph"/>
              <w:spacing w:line="215" w:lineRule="exact" w:before="41"/>
              <w:ind w:left="137" w:right="1"/>
              <w:jc w:val="center"/>
              <w:rPr>
                <w:sz w:val="20"/>
              </w:rPr>
            </w:pPr>
            <w:r>
              <w:rPr>
                <w:spacing w:val="-2"/>
                <w:sz w:val="20"/>
              </w:rPr>
              <w:t>0.799965</w:t>
            </w:r>
          </w:p>
        </w:tc>
        <w:tc>
          <w:tcPr>
            <w:tcW w:w="897" w:type="dxa"/>
            <w:tcBorders>
              <w:top w:val="double" w:sz="6" w:space="0" w:color="000000"/>
            </w:tcBorders>
          </w:tcPr>
          <w:p>
            <w:pPr>
              <w:pStyle w:val="TableParagraph"/>
              <w:spacing w:line="215" w:lineRule="exact" w:before="41"/>
              <w:ind w:right="30"/>
              <w:jc w:val="right"/>
              <w:rPr>
                <w:sz w:val="20"/>
              </w:rPr>
            </w:pPr>
            <w:r>
              <w:rPr>
                <w:spacing w:val="-2"/>
                <w:sz w:val="20"/>
              </w:rPr>
              <w:t>0.4354</w:t>
            </w:r>
          </w:p>
        </w:tc>
      </w:tr>
      <w:tr>
        <w:trPr>
          <w:trHeight w:val="230" w:hRule="atLeast"/>
        </w:trPr>
        <w:tc>
          <w:tcPr>
            <w:tcW w:w="1903" w:type="dxa"/>
          </w:tcPr>
          <w:p>
            <w:pPr>
              <w:pStyle w:val="TableParagraph"/>
              <w:spacing w:line="210" w:lineRule="exact"/>
              <w:ind w:left="559"/>
              <w:rPr>
                <w:sz w:val="20"/>
              </w:rPr>
            </w:pPr>
            <w:r>
              <w:rPr>
                <w:spacing w:val="-2"/>
                <w:sz w:val="20"/>
              </w:rPr>
              <w:t>EXTDEBT</w:t>
            </w:r>
          </w:p>
        </w:tc>
        <w:tc>
          <w:tcPr>
            <w:tcW w:w="1313" w:type="dxa"/>
          </w:tcPr>
          <w:p>
            <w:pPr>
              <w:pStyle w:val="TableParagraph"/>
              <w:spacing w:line="210" w:lineRule="exact"/>
              <w:ind w:left="298"/>
              <w:jc w:val="center"/>
              <w:rPr>
                <w:sz w:val="20"/>
              </w:rPr>
            </w:pPr>
            <w:r>
              <w:rPr>
                <w:spacing w:val="-2"/>
                <w:sz w:val="20"/>
              </w:rPr>
              <w:t>0.345730</w:t>
            </w:r>
          </w:p>
        </w:tc>
        <w:tc>
          <w:tcPr>
            <w:tcW w:w="1251" w:type="dxa"/>
          </w:tcPr>
          <w:p>
            <w:pPr>
              <w:pStyle w:val="TableParagraph"/>
              <w:spacing w:line="210" w:lineRule="exact"/>
              <w:ind w:left="174" w:right="53"/>
              <w:jc w:val="center"/>
              <w:rPr>
                <w:sz w:val="20"/>
              </w:rPr>
            </w:pPr>
            <w:r>
              <w:rPr>
                <w:spacing w:val="-2"/>
                <w:sz w:val="20"/>
              </w:rPr>
              <w:t>0.234450</w:t>
            </w:r>
          </w:p>
        </w:tc>
        <w:tc>
          <w:tcPr>
            <w:tcW w:w="1119" w:type="dxa"/>
          </w:tcPr>
          <w:p>
            <w:pPr>
              <w:pStyle w:val="TableParagraph"/>
              <w:spacing w:line="210" w:lineRule="exact"/>
              <w:ind w:left="137" w:right="1"/>
              <w:jc w:val="center"/>
              <w:rPr>
                <w:sz w:val="20"/>
              </w:rPr>
            </w:pPr>
            <w:r>
              <w:rPr>
                <w:spacing w:val="-2"/>
                <w:sz w:val="20"/>
              </w:rPr>
              <w:t>1.474641</w:t>
            </w:r>
          </w:p>
        </w:tc>
        <w:tc>
          <w:tcPr>
            <w:tcW w:w="897" w:type="dxa"/>
          </w:tcPr>
          <w:p>
            <w:pPr>
              <w:pStyle w:val="TableParagraph"/>
              <w:spacing w:line="210" w:lineRule="exact"/>
              <w:ind w:right="30"/>
              <w:jc w:val="right"/>
              <w:rPr>
                <w:sz w:val="20"/>
              </w:rPr>
            </w:pPr>
            <w:r>
              <w:rPr>
                <w:spacing w:val="-2"/>
                <w:sz w:val="20"/>
              </w:rPr>
              <w:t>0.1597</w:t>
            </w:r>
          </w:p>
        </w:tc>
      </w:tr>
      <w:tr>
        <w:trPr>
          <w:trHeight w:val="229" w:hRule="atLeast"/>
        </w:trPr>
        <w:tc>
          <w:tcPr>
            <w:tcW w:w="1903" w:type="dxa"/>
          </w:tcPr>
          <w:p>
            <w:pPr>
              <w:pStyle w:val="TableParagraph"/>
              <w:spacing w:line="209" w:lineRule="exact"/>
              <w:ind w:left="128" w:right="4"/>
              <w:jc w:val="center"/>
              <w:rPr>
                <w:sz w:val="20"/>
              </w:rPr>
            </w:pPr>
            <w:r>
              <w:rPr>
                <w:spacing w:val="-5"/>
                <w:sz w:val="20"/>
              </w:rPr>
              <w:t>DOP</w:t>
            </w:r>
          </w:p>
        </w:tc>
        <w:tc>
          <w:tcPr>
            <w:tcW w:w="1313" w:type="dxa"/>
          </w:tcPr>
          <w:p>
            <w:pPr>
              <w:pStyle w:val="TableParagraph"/>
              <w:spacing w:line="209" w:lineRule="exact"/>
              <w:ind w:left="298"/>
              <w:jc w:val="center"/>
              <w:rPr>
                <w:sz w:val="20"/>
              </w:rPr>
            </w:pPr>
            <w:r>
              <w:rPr>
                <w:spacing w:val="-2"/>
                <w:sz w:val="20"/>
              </w:rPr>
              <w:t>0.594526</w:t>
            </w:r>
          </w:p>
        </w:tc>
        <w:tc>
          <w:tcPr>
            <w:tcW w:w="1251" w:type="dxa"/>
          </w:tcPr>
          <w:p>
            <w:pPr>
              <w:pStyle w:val="TableParagraph"/>
              <w:spacing w:line="209" w:lineRule="exact"/>
              <w:ind w:left="174" w:right="53"/>
              <w:jc w:val="center"/>
              <w:rPr>
                <w:sz w:val="20"/>
              </w:rPr>
            </w:pPr>
            <w:r>
              <w:rPr>
                <w:spacing w:val="-2"/>
                <w:sz w:val="20"/>
              </w:rPr>
              <w:t>1.495814</w:t>
            </w:r>
          </w:p>
        </w:tc>
        <w:tc>
          <w:tcPr>
            <w:tcW w:w="1119" w:type="dxa"/>
          </w:tcPr>
          <w:p>
            <w:pPr>
              <w:pStyle w:val="TableParagraph"/>
              <w:spacing w:line="209" w:lineRule="exact"/>
              <w:ind w:left="137" w:right="1"/>
              <w:jc w:val="center"/>
              <w:rPr>
                <w:sz w:val="20"/>
              </w:rPr>
            </w:pPr>
            <w:r>
              <w:rPr>
                <w:spacing w:val="-2"/>
                <w:sz w:val="20"/>
              </w:rPr>
              <w:t>0.397460</w:t>
            </w:r>
          </w:p>
        </w:tc>
        <w:tc>
          <w:tcPr>
            <w:tcW w:w="897" w:type="dxa"/>
          </w:tcPr>
          <w:p>
            <w:pPr>
              <w:pStyle w:val="TableParagraph"/>
              <w:spacing w:line="209" w:lineRule="exact"/>
              <w:ind w:right="30"/>
              <w:jc w:val="right"/>
              <w:rPr>
                <w:sz w:val="20"/>
              </w:rPr>
            </w:pPr>
            <w:r>
              <w:rPr>
                <w:spacing w:val="-2"/>
                <w:sz w:val="20"/>
              </w:rPr>
              <w:t>0.6963</w:t>
            </w:r>
          </w:p>
        </w:tc>
      </w:tr>
      <w:tr>
        <w:trPr>
          <w:trHeight w:val="229" w:hRule="atLeast"/>
        </w:trPr>
        <w:tc>
          <w:tcPr>
            <w:tcW w:w="1903" w:type="dxa"/>
          </w:tcPr>
          <w:p>
            <w:pPr>
              <w:pStyle w:val="TableParagraph"/>
              <w:spacing w:line="209" w:lineRule="exact"/>
              <w:ind w:left="128"/>
              <w:jc w:val="center"/>
              <w:rPr>
                <w:sz w:val="20"/>
              </w:rPr>
            </w:pPr>
            <w:r>
              <w:rPr>
                <w:spacing w:val="-5"/>
                <w:sz w:val="20"/>
              </w:rPr>
              <w:t>INF</w:t>
            </w:r>
          </w:p>
        </w:tc>
        <w:tc>
          <w:tcPr>
            <w:tcW w:w="1313" w:type="dxa"/>
          </w:tcPr>
          <w:p>
            <w:pPr>
              <w:pStyle w:val="TableParagraph"/>
              <w:spacing w:line="209" w:lineRule="exact"/>
              <w:ind w:left="234" w:right="1"/>
              <w:jc w:val="center"/>
              <w:rPr>
                <w:sz w:val="20"/>
              </w:rPr>
            </w:pPr>
            <w:r>
              <w:rPr>
                <w:spacing w:val="-4"/>
                <w:sz w:val="20"/>
              </w:rPr>
              <w:t>-</w:t>
            </w:r>
            <w:r>
              <w:rPr>
                <w:spacing w:val="-2"/>
                <w:sz w:val="20"/>
              </w:rPr>
              <w:t>0.146992</w:t>
            </w:r>
          </w:p>
        </w:tc>
        <w:tc>
          <w:tcPr>
            <w:tcW w:w="1251" w:type="dxa"/>
          </w:tcPr>
          <w:p>
            <w:pPr>
              <w:pStyle w:val="TableParagraph"/>
              <w:spacing w:line="209" w:lineRule="exact"/>
              <w:ind w:left="174" w:right="53"/>
              <w:jc w:val="center"/>
              <w:rPr>
                <w:sz w:val="20"/>
              </w:rPr>
            </w:pPr>
            <w:r>
              <w:rPr>
                <w:spacing w:val="-2"/>
                <w:sz w:val="20"/>
              </w:rPr>
              <w:t>0.535265</w:t>
            </w:r>
          </w:p>
        </w:tc>
        <w:tc>
          <w:tcPr>
            <w:tcW w:w="1119" w:type="dxa"/>
          </w:tcPr>
          <w:p>
            <w:pPr>
              <w:pStyle w:val="TableParagraph"/>
              <w:spacing w:line="209" w:lineRule="exact"/>
              <w:ind w:left="137" w:right="65"/>
              <w:jc w:val="center"/>
              <w:rPr>
                <w:sz w:val="20"/>
              </w:rPr>
            </w:pPr>
            <w:r>
              <w:rPr>
                <w:spacing w:val="-4"/>
                <w:sz w:val="20"/>
              </w:rPr>
              <w:t>-</w:t>
            </w:r>
            <w:r>
              <w:rPr>
                <w:spacing w:val="-2"/>
                <w:sz w:val="20"/>
              </w:rPr>
              <w:t>0.274614</w:t>
            </w:r>
          </w:p>
        </w:tc>
        <w:tc>
          <w:tcPr>
            <w:tcW w:w="897" w:type="dxa"/>
          </w:tcPr>
          <w:p>
            <w:pPr>
              <w:pStyle w:val="TableParagraph"/>
              <w:spacing w:line="209" w:lineRule="exact"/>
              <w:ind w:right="30"/>
              <w:jc w:val="right"/>
              <w:rPr>
                <w:sz w:val="20"/>
              </w:rPr>
            </w:pPr>
            <w:r>
              <w:rPr>
                <w:spacing w:val="-2"/>
                <w:sz w:val="20"/>
              </w:rPr>
              <w:t>0.7871</w:t>
            </w:r>
          </w:p>
        </w:tc>
      </w:tr>
      <w:tr>
        <w:trPr>
          <w:trHeight w:val="230" w:hRule="atLeast"/>
        </w:trPr>
        <w:tc>
          <w:tcPr>
            <w:tcW w:w="1903" w:type="dxa"/>
          </w:tcPr>
          <w:p>
            <w:pPr>
              <w:pStyle w:val="TableParagraph"/>
              <w:spacing w:line="210" w:lineRule="exact"/>
              <w:ind w:left="128" w:right="2"/>
              <w:jc w:val="center"/>
              <w:rPr>
                <w:sz w:val="20"/>
              </w:rPr>
            </w:pPr>
            <w:r>
              <w:rPr>
                <w:spacing w:val="-5"/>
                <w:sz w:val="20"/>
              </w:rPr>
              <w:t>GCF</w:t>
            </w:r>
          </w:p>
        </w:tc>
        <w:tc>
          <w:tcPr>
            <w:tcW w:w="1313" w:type="dxa"/>
          </w:tcPr>
          <w:p>
            <w:pPr>
              <w:pStyle w:val="TableParagraph"/>
              <w:spacing w:line="210" w:lineRule="exact"/>
              <w:ind w:left="298"/>
              <w:jc w:val="center"/>
              <w:rPr>
                <w:sz w:val="20"/>
              </w:rPr>
            </w:pPr>
            <w:r>
              <w:rPr>
                <w:spacing w:val="-2"/>
                <w:sz w:val="20"/>
              </w:rPr>
              <w:t>0.011961</w:t>
            </w:r>
          </w:p>
        </w:tc>
        <w:tc>
          <w:tcPr>
            <w:tcW w:w="1251" w:type="dxa"/>
          </w:tcPr>
          <w:p>
            <w:pPr>
              <w:pStyle w:val="TableParagraph"/>
              <w:spacing w:line="210" w:lineRule="exact"/>
              <w:ind w:left="174" w:right="53"/>
              <w:jc w:val="center"/>
              <w:rPr>
                <w:sz w:val="20"/>
              </w:rPr>
            </w:pPr>
            <w:r>
              <w:rPr>
                <w:spacing w:val="-2"/>
                <w:sz w:val="20"/>
              </w:rPr>
              <w:t>0.173731</w:t>
            </w:r>
          </w:p>
        </w:tc>
        <w:tc>
          <w:tcPr>
            <w:tcW w:w="1119" w:type="dxa"/>
          </w:tcPr>
          <w:p>
            <w:pPr>
              <w:pStyle w:val="TableParagraph"/>
              <w:spacing w:line="210" w:lineRule="exact"/>
              <w:ind w:left="137" w:right="1"/>
              <w:jc w:val="center"/>
              <w:rPr>
                <w:sz w:val="20"/>
              </w:rPr>
            </w:pPr>
            <w:r>
              <w:rPr>
                <w:spacing w:val="-2"/>
                <w:sz w:val="20"/>
              </w:rPr>
              <w:t>0.068846</w:t>
            </w:r>
          </w:p>
        </w:tc>
        <w:tc>
          <w:tcPr>
            <w:tcW w:w="897" w:type="dxa"/>
          </w:tcPr>
          <w:p>
            <w:pPr>
              <w:pStyle w:val="TableParagraph"/>
              <w:spacing w:line="210" w:lineRule="exact"/>
              <w:ind w:right="30"/>
              <w:jc w:val="right"/>
              <w:rPr>
                <w:sz w:val="20"/>
              </w:rPr>
            </w:pPr>
            <w:r>
              <w:rPr>
                <w:spacing w:val="-2"/>
                <w:sz w:val="20"/>
              </w:rPr>
              <w:t>0.9460</w:t>
            </w:r>
          </w:p>
        </w:tc>
      </w:tr>
      <w:tr>
        <w:trPr>
          <w:trHeight w:val="230" w:hRule="atLeast"/>
        </w:trPr>
        <w:tc>
          <w:tcPr>
            <w:tcW w:w="1903" w:type="dxa"/>
          </w:tcPr>
          <w:p>
            <w:pPr>
              <w:pStyle w:val="TableParagraph"/>
              <w:spacing w:line="210" w:lineRule="exact"/>
              <w:ind w:left="128" w:right="1"/>
              <w:jc w:val="center"/>
              <w:rPr>
                <w:sz w:val="20"/>
              </w:rPr>
            </w:pPr>
            <w:r>
              <w:rPr>
                <w:spacing w:val="-5"/>
                <w:sz w:val="20"/>
              </w:rPr>
              <w:t>DR</w:t>
            </w:r>
          </w:p>
        </w:tc>
        <w:tc>
          <w:tcPr>
            <w:tcW w:w="1313" w:type="dxa"/>
          </w:tcPr>
          <w:p>
            <w:pPr>
              <w:pStyle w:val="TableParagraph"/>
              <w:spacing w:line="210" w:lineRule="exact"/>
              <w:ind w:left="234" w:right="1"/>
              <w:jc w:val="center"/>
              <w:rPr>
                <w:sz w:val="20"/>
              </w:rPr>
            </w:pPr>
            <w:r>
              <w:rPr>
                <w:spacing w:val="-4"/>
                <w:sz w:val="20"/>
              </w:rPr>
              <w:t>-</w:t>
            </w:r>
            <w:r>
              <w:rPr>
                <w:spacing w:val="-2"/>
                <w:sz w:val="20"/>
              </w:rPr>
              <w:t>0.630047</w:t>
            </w:r>
          </w:p>
        </w:tc>
        <w:tc>
          <w:tcPr>
            <w:tcW w:w="1251" w:type="dxa"/>
          </w:tcPr>
          <w:p>
            <w:pPr>
              <w:pStyle w:val="TableParagraph"/>
              <w:spacing w:line="210" w:lineRule="exact"/>
              <w:ind w:left="174" w:right="53"/>
              <w:jc w:val="center"/>
              <w:rPr>
                <w:sz w:val="20"/>
              </w:rPr>
            </w:pPr>
            <w:r>
              <w:rPr>
                <w:spacing w:val="-2"/>
                <w:sz w:val="20"/>
              </w:rPr>
              <w:t>1.616861</w:t>
            </w:r>
          </w:p>
        </w:tc>
        <w:tc>
          <w:tcPr>
            <w:tcW w:w="1119" w:type="dxa"/>
          </w:tcPr>
          <w:p>
            <w:pPr>
              <w:pStyle w:val="TableParagraph"/>
              <w:spacing w:line="210" w:lineRule="exact"/>
              <w:ind w:left="137" w:right="65"/>
              <w:jc w:val="center"/>
              <w:rPr>
                <w:sz w:val="20"/>
              </w:rPr>
            </w:pPr>
            <w:r>
              <w:rPr>
                <w:spacing w:val="-4"/>
                <w:sz w:val="20"/>
              </w:rPr>
              <w:t>-</w:t>
            </w:r>
            <w:r>
              <w:rPr>
                <w:spacing w:val="-2"/>
                <w:sz w:val="20"/>
              </w:rPr>
              <w:t>0.389673</w:t>
            </w:r>
          </w:p>
        </w:tc>
        <w:tc>
          <w:tcPr>
            <w:tcW w:w="897" w:type="dxa"/>
          </w:tcPr>
          <w:p>
            <w:pPr>
              <w:pStyle w:val="TableParagraph"/>
              <w:spacing w:line="210" w:lineRule="exact"/>
              <w:ind w:right="30"/>
              <w:jc w:val="right"/>
              <w:rPr>
                <w:sz w:val="20"/>
              </w:rPr>
            </w:pPr>
            <w:r>
              <w:rPr>
                <w:spacing w:val="-2"/>
                <w:sz w:val="20"/>
              </w:rPr>
              <w:t>0.7019</w:t>
            </w:r>
          </w:p>
        </w:tc>
      </w:tr>
      <w:tr>
        <w:trPr>
          <w:trHeight w:val="230" w:hRule="atLeast"/>
        </w:trPr>
        <w:tc>
          <w:tcPr>
            <w:tcW w:w="1903" w:type="dxa"/>
          </w:tcPr>
          <w:p>
            <w:pPr>
              <w:pStyle w:val="TableParagraph"/>
              <w:spacing w:line="210" w:lineRule="exact"/>
              <w:ind w:left="653"/>
              <w:rPr>
                <w:sz w:val="20"/>
              </w:rPr>
            </w:pPr>
            <w:r>
              <w:rPr>
                <w:spacing w:val="-2"/>
                <w:sz w:val="20"/>
              </w:rPr>
              <w:t>PRIVCR</w:t>
            </w:r>
          </w:p>
        </w:tc>
        <w:tc>
          <w:tcPr>
            <w:tcW w:w="1313" w:type="dxa"/>
          </w:tcPr>
          <w:p>
            <w:pPr>
              <w:pStyle w:val="TableParagraph"/>
              <w:spacing w:line="210" w:lineRule="exact"/>
              <w:ind w:left="298"/>
              <w:jc w:val="center"/>
              <w:rPr>
                <w:sz w:val="20"/>
              </w:rPr>
            </w:pPr>
            <w:r>
              <w:rPr>
                <w:spacing w:val="-2"/>
                <w:sz w:val="20"/>
              </w:rPr>
              <w:t>0.933646</w:t>
            </w:r>
          </w:p>
        </w:tc>
        <w:tc>
          <w:tcPr>
            <w:tcW w:w="1251" w:type="dxa"/>
          </w:tcPr>
          <w:p>
            <w:pPr>
              <w:pStyle w:val="TableParagraph"/>
              <w:spacing w:line="210" w:lineRule="exact"/>
              <w:ind w:left="174" w:right="53"/>
              <w:jc w:val="center"/>
              <w:rPr>
                <w:sz w:val="20"/>
              </w:rPr>
            </w:pPr>
            <w:r>
              <w:rPr>
                <w:spacing w:val="-2"/>
                <w:sz w:val="20"/>
              </w:rPr>
              <w:t>1.382672</w:t>
            </w:r>
          </w:p>
        </w:tc>
        <w:tc>
          <w:tcPr>
            <w:tcW w:w="1119" w:type="dxa"/>
          </w:tcPr>
          <w:p>
            <w:pPr>
              <w:pStyle w:val="TableParagraph"/>
              <w:spacing w:line="210" w:lineRule="exact"/>
              <w:ind w:left="137" w:right="1"/>
              <w:jc w:val="center"/>
              <w:rPr>
                <w:sz w:val="20"/>
              </w:rPr>
            </w:pPr>
            <w:r>
              <w:rPr>
                <w:spacing w:val="-2"/>
                <w:sz w:val="20"/>
              </w:rPr>
              <w:t>0.675247</w:t>
            </w:r>
          </w:p>
        </w:tc>
        <w:tc>
          <w:tcPr>
            <w:tcW w:w="897" w:type="dxa"/>
          </w:tcPr>
          <w:p>
            <w:pPr>
              <w:pStyle w:val="TableParagraph"/>
              <w:spacing w:line="210" w:lineRule="exact"/>
              <w:ind w:right="30"/>
              <w:jc w:val="right"/>
              <w:rPr>
                <w:sz w:val="20"/>
              </w:rPr>
            </w:pPr>
            <w:r>
              <w:rPr>
                <w:spacing w:val="-2"/>
                <w:sz w:val="20"/>
              </w:rPr>
              <w:t>0.5092</w:t>
            </w:r>
          </w:p>
        </w:tc>
      </w:tr>
      <w:tr>
        <w:trPr>
          <w:trHeight w:val="229" w:hRule="atLeast"/>
        </w:trPr>
        <w:tc>
          <w:tcPr>
            <w:tcW w:w="1903" w:type="dxa"/>
          </w:tcPr>
          <w:p>
            <w:pPr>
              <w:pStyle w:val="TableParagraph"/>
              <w:spacing w:line="209" w:lineRule="exact"/>
              <w:ind w:left="631"/>
              <w:rPr>
                <w:sz w:val="20"/>
              </w:rPr>
            </w:pPr>
            <w:r>
              <w:rPr>
                <w:spacing w:val="-2"/>
                <w:sz w:val="20"/>
              </w:rPr>
              <w:t>INTDIFF</w:t>
            </w:r>
          </w:p>
        </w:tc>
        <w:tc>
          <w:tcPr>
            <w:tcW w:w="1313" w:type="dxa"/>
          </w:tcPr>
          <w:p>
            <w:pPr>
              <w:pStyle w:val="TableParagraph"/>
              <w:spacing w:line="209" w:lineRule="exact"/>
              <w:ind w:left="234" w:right="1"/>
              <w:jc w:val="center"/>
              <w:rPr>
                <w:sz w:val="20"/>
              </w:rPr>
            </w:pPr>
            <w:r>
              <w:rPr>
                <w:spacing w:val="-4"/>
                <w:sz w:val="20"/>
              </w:rPr>
              <w:t>-</w:t>
            </w:r>
            <w:r>
              <w:rPr>
                <w:spacing w:val="-2"/>
                <w:sz w:val="20"/>
              </w:rPr>
              <w:t>0.089968</w:t>
            </w:r>
          </w:p>
        </w:tc>
        <w:tc>
          <w:tcPr>
            <w:tcW w:w="1251" w:type="dxa"/>
          </w:tcPr>
          <w:p>
            <w:pPr>
              <w:pStyle w:val="TableParagraph"/>
              <w:spacing w:line="209" w:lineRule="exact"/>
              <w:ind w:left="174" w:right="53"/>
              <w:jc w:val="center"/>
              <w:rPr>
                <w:sz w:val="20"/>
              </w:rPr>
            </w:pPr>
            <w:r>
              <w:rPr>
                <w:spacing w:val="-2"/>
                <w:sz w:val="20"/>
              </w:rPr>
              <w:t>0.883828</w:t>
            </w:r>
          </w:p>
        </w:tc>
        <w:tc>
          <w:tcPr>
            <w:tcW w:w="1119" w:type="dxa"/>
          </w:tcPr>
          <w:p>
            <w:pPr>
              <w:pStyle w:val="TableParagraph"/>
              <w:spacing w:line="209" w:lineRule="exact"/>
              <w:ind w:left="137" w:right="65"/>
              <w:jc w:val="center"/>
              <w:rPr>
                <w:sz w:val="20"/>
              </w:rPr>
            </w:pPr>
            <w:r>
              <w:rPr>
                <w:spacing w:val="-4"/>
                <w:sz w:val="20"/>
              </w:rPr>
              <w:t>-</w:t>
            </w:r>
            <w:r>
              <w:rPr>
                <w:spacing w:val="-2"/>
                <w:sz w:val="20"/>
              </w:rPr>
              <w:t>0.101794</w:t>
            </w:r>
          </w:p>
        </w:tc>
        <w:tc>
          <w:tcPr>
            <w:tcW w:w="897" w:type="dxa"/>
          </w:tcPr>
          <w:p>
            <w:pPr>
              <w:pStyle w:val="TableParagraph"/>
              <w:spacing w:line="209" w:lineRule="exact"/>
              <w:ind w:right="30"/>
              <w:jc w:val="right"/>
              <w:rPr>
                <w:sz w:val="20"/>
              </w:rPr>
            </w:pPr>
            <w:r>
              <w:rPr>
                <w:spacing w:val="-2"/>
                <w:sz w:val="20"/>
              </w:rPr>
              <w:t>0.9202</w:t>
            </w:r>
          </w:p>
        </w:tc>
      </w:tr>
      <w:tr>
        <w:trPr>
          <w:trHeight w:val="223" w:hRule="atLeast"/>
        </w:trPr>
        <w:tc>
          <w:tcPr>
            <w:tcW w:w="1903" w:type="dxa"/>
            <w:tcBorders>
              <w:bottom w:val="double" w:sz="6" w:space="0" w:color="000000"/>
            </w:tcBorders>
          </w:tcPr>
          <w:p>
            <w:pPr>
              <w:pStyle w:val="TableParagraph"/>
              <w:spacing w:line="204" w:lineRule="exact"/>
              <w:ind w:left="742"/>
              <w:rPr>
                <w:sz w:val="20"/>
              </w:rPr>
            </w:pPr>
            <w:r>
              <w:rPr>
                <w:spacing w:val="-4"/>
                <w:sz w:val="20"/>
              </w:rPr>
              <w:t>GOCE</w:t>
            </w:r>
          </w:p>
        </w:tc>
        <w:tc>
          <w:tcPr>
            <w:tcW w:w="1313" w:type="dxa"/>
            <w:tcBorders>
              <w:bottom w:val="double" w:sz="6" w:space="0" w:color="000000"/>
            </w:tcBorders>
          </w:tcPr>
          <w:p>
            <w:pPr>
              <w:pStyle w:val="TableParagraph"/>
              <w:spacing w:line="204" w:lineRule="exact"/>
              <w:ind w:left="234" w:right="1"/>
              <w:jc w:val="center"/>
              <w:rPr>
                <w:sz w:val="20"/>
              </w:rPr>
            </w:pPr>
            <w:r>
              <w:rPr>
                <w:spacing w:val="-4"/>
                <w:sz w:val="20"/>
              </w:rPr>
              <w:t>-</w:t>
            </w:r>
            <w:r>
              <w:rPr>
                <w:spacing w:val="-2"/>
                <w:sz w:val="20"/>
              </w:rPr>
              <w:t>0.760191</w:t>
            </w:r>
          </w:p>
        </w:tc>
        <w:tc>
          <w:tcPr>
            <w:tcW w:w="1251" w:type="dxa"/>
            <w:tcBorders>
              <w:bottom w:val="double" w:sz="6" w:space="0" w:color="000000"/>
            </w:tcBorders>
          </w:tcPr>
          <w:p>
            <w:pPr>
              <w:pStyle w:val="TableParagraph"/>
              <w:spacing w:line="204" w:lineRule="exact"/>
              <w:ind w:left="174" w:right="53"/>
              <w:jc w:val="center"/>
              <w:rPr>
                <w:sz w:val="20"/>
              </w:rPr>
            </w:pPr>
            <w:r>
              <w:rPr>
                <w:spacing w:val="-2"/>
                <w:sz w:val="20"/>
              </w:rPr>
              <w:t>1.350612</w:t>
            </w:r>
          </w:p>
        </w:tc>
        <w:tc>
          <w:tcPr>
            <w:tcW w:w="1119" w:type="dxa"/>
            <w:tcBorders>
              <w:bottom w:val="double" w:sz="6" w:space="0" w:color="000000"/>
            </w:tcBorders>
          </w:tcPr>
          <w:p>
            <w:pPr>
              <w:pStyle w:val="TableParagraph"/>
              <w:spacing w:line="204" w:lineRule="exact"/>
              <w:ind w:left="137" w:right="65"/>
              <w:jc w:val="center"/>
              <w:rPr>
                <w:sz w:val="20"/>
              </w:rPr>
            </w:pPr>
            <w:r>
              <w:rPr>
                <w:spacing w:val="-4"/>
                <w:sz w:val="20"/>
              </w:rPr>
              <w:t>-</w:t>
            </w:r>
            <w:r>
              <w:rPr>
                <w:spacing w:val="-2"/>
                <w:sz w:val="20"/>
              </w:rPr>
              <w:t>0.562849</w:t>
            </w:r>
          </w:p>
        </w:tc>
        <w:tc>
          <w:tcPr>
            <w:tcW w:w="897" w:type="dxa"/>
            <w:tcBorders>
              <w:bottom w:val="double" w:sz="6" w:space="0" w:color="000000"/>
            </w:tcBorders>
          </w:tcPr>
          <w:p>
            <w:pPr>
              <w:pStyle w:val="TableParagraph"/>
              <w:spacing w:line="204" w:lineRule="exact"/>
              <w:ind w:right="30"/>
              <w:jc w:val="right"/>
              <w:rPr>
                <w:sz w:val="20"/>
              </w:rPr>
            </w:pPr>
            <w:r>
              <w:rPr>
                <w:spacing w:val="-2"/>
                <w:sz w:val="20"/>
              </w:rPr>
              <w:t>0.5813</w:t>
            </w:r>
          </w:p>
        </w:tc>
      </w:tr>
      <w:tr>
        <w:trPr>
          <w:trHeight w:val="277" w:hRule="atLeast"/>
        </w:trPr>
        <w:tc>
          <w:tcPr>
            <w:tcW w:w="1903" w:type="dxa"/>
            <w:tcBorders>
              <w:top w:val="double" w:sz="6" w:space="0" w:color="000000"/>
            </w:tcBorders>
          </w:tcPr>
          <w:p>
            <w:pPr>
              <w:pStyle w:val="TableParagraph"/>
              <w:spacing w:line="215" w:lineRule="exact" w:before="42"/>
              <w:ind w:left="28"/>
              <w:rPr>
                <w:sz w:val="20"/>
              </w:rPr>
            </w:pPr>
            <w:r>
              <w:rPr>
                <w:spacing w:val="-2"/>
                <w:sz w:val="20"/>
              </w:rPr>
              <w:t>R-squared</w:t>
            </w:r>
          </w:p>
        </w:tc>
        <w:tc>
          <w:tcPr>
            <w:tcW w:w="1313" w:type="dxa"/>
            <w:tcBorders>
              <w:top w:val="double" w:sz="6" w:space="0" w:color="000000"/>
            </w:tcBorders>
          </w:tcPr>
          <w:p>
            <w:pPr>
              <w:pStyle w:val="TableParagraph"/>
              <w:spacing w:line="215" w:lineRule="exact" w:before="42"/>
              <w:ind w:left="298"/>
              <w:jc w:val="center"/>
              <w:rPr>
                <w:sz w:val="20"/>
              </w:rPr>
            </w:pPr>
            <w:r>
              <w:rPr>
                <w:spacing w:val="-2"/>
                <w:sz w:val="20"/>
              </w:rPr>
              <w:t>0.626993</w:t>
            </w:r>
          </w:p>
        </w:tc>
        <w:tc>
          <w:tcPr>
            <w:tcW w:w="2370" w:type="dxa"/>
            <w:gridSpan w:val="2"/>
            <w:tcBorders>
              <w:top w:val="double" w:sz="6" w:space="0" w:color="000000"/>
            </w:tcBorders>
          </w:tcPr>
          <w:p>
            <w:pPr>
              <w:pStyle w:val="TableParagraph"/>
              <w:spacing w:line="215" w:lineRule="exact" w:before="42"/>
              <w:ind w:left="130"/>
              <w:rPr>
                <w:sz w:val="20"/>
              </w:rPr>
            </w:pPr>
            <w:r>
              <w:rPr>
                <w:sz w:val="20"/>
              </w:rPr>
              <w:t>Mean</w:t>
            </w:r>
            <w:r>
              <w:rPr>
                <w:spacing w:val="-7"/>
                <w:sz w:val="20"/>
              </w:rPr>
              <w:t> </w:t>
            </w:r>
            <w:r>
              <w:rPr>
                <w:sz w:val="20"/>
              </w:rPr>
              <w:t>dependent</w:t>
            </w:r>
            <w:r>
              <w:rPr>
                <w:spacing w:val="-7"/>
                <w:sz w:val="20"/>
              </w:rPr>
              <w:t> </w:t>
            </w:r>
            <w:r>
              <w:rPr>
                <w:spacing w:val="-5"/>
                <w:sz w:val="20"/>
              </w:rPr>
              <w:t>var</w:t>
            </w:r>
          </w:p>
        </w:tc>
        <w:tc>
          <w:tcPr>
            <w:tcW w:w="897" w:type="dxa"/>
            <w:tcBorders>
              <w:top w:val="double" w:sz="6" w:space="0" w:color="000000"/>
            </w:tcBorders>
          </w:tcPr>
          <w:p>
            <w:pPr>
              <w:pStyle w:val="TableParagraph"/>
              <w:spacing w:line="215" w:lineRule="exact" w:before="42"/>
              <w:ind w:right="30"/>
              <w:jc w:val="right"/>
              <w:rPr>
                <w:sz w:val="20"/>
              </w:rPr>
            </w:pPr>
            <w:r>
              <w:rPr>
                <w:spacing w:val="-2"/>
                <w:sz w:val="20"/>
              </w:rPr>
              <w:t>12.93480</w:t>
            </w:r>
          </w:p>
        </w:tc>
      </w:tr>
      <w:tr>
        <w:trPr>
          <w:trHeight w:val="229" w:hRule="atLeast"/>
        </w:trPr>
        <w:tc>
          <w:tcPr>
            <w:tcW w:w="1903" w:type="dxa"/>
          </w:tcPr>
          <w:p>
            <w:pPr>
              <w:pStyle w:val="TableParagraph"/>
              <w:spacing w:line="209" w:lineRule="exact"/>
              <w:ind w:left="28"/>
              <w:rPr>
                <w:sz w:val="20"/>
              </w:rPr>
            </w:pPr>
            <w:r>
              <w:rPr>
                <w:sz w:val="20"/>
              </w:rPr>
              <w:t>Adjusted</w:t>
            </w:r>
            <w:r>
              <w:rPr>
                <w:spacing w:val="-10"/>
                <w:sz w:val="20"/>
              </w:rPr>
              <w:t> </w:t>
            </w:r>
            <w:r>
              <w:rPr>
                <w:sz w:val="20"/>
              </w:rPr>
              <w:t>R-</w:t>
            </w:r>
            <w:r>
              <w:rPr>
                <w:spacing w:val="-2"/>
                <w:sz w:val="20"/>
              </w:rPr>
              <w:t>squared</w:t>
            </w:r>
          </w:p>
        </w:tc>
        <w:tc>
          <w:tcPr>
            <w:tcW w:w="1313" w:type="dxa"/>
          </w:tcPr>
          <w:p>
            <w:pPr>
              <w:pStyle w:val="TableParagraph"/>
              <w:spacing w:line="209" w:lineRule="exact"/>
              <w:ind w:left="298"/>
              <w:jc w:val="center"/>
              <w:rPr>
                <w:sz w:val="20"/>
              </w:rPr>
            </w:pPr>
            <w:r>
              <w:rPr>
                <w:spacing w:val="-2"/>
                <w:sz w:val="20"/>
              </w:rPr>
              <w:t>0.440490</w:t>
            </w:r>
          </w:p>
        </w:tc>
        <w:tc>
          <w:tcPr>
            <w:tcW w:w="2370" w:type="dxa"/>
            <w:gridSpan w:val="2"/>
          </w:tcPr>
          <w:p>
            <w:pPr>
              <w:pStyle w:val="TableParagraph"/>
              <w:spacing w:line="209" w:lineRule="exact"/>
              <w:ind w:left="130"/>
              <w:rPr>
                <w:sz w:val="20"/>
              </w:rPr>
            </w:pPr>
            <w:r>
              <w:rPr>
                <w:sz w:val="20"/>
              </w:rPr>
              <w:t>S.D.</w:t>
            </w:r>
            <w:r>
              <w:rPr>
                <w:spacing w:val="-5"/>
                <w:sz w:val="20"/>
              </w:rPr>
              <w:t> </w:t>
            </w:r>
            <w:r>
              <w:rPr>
                <w:sz w:val="20"/>
              </w:rPr>
              <w:t>dependent</w:t>
            </w:r>
            <w:r>
              <w:rPr>
                <w:spacing w:val="-6"/>
                <w:sz w:val="20"/>
              </w:rPr>
              <w:t> </w:t>
            </w:r>
            <w:r>
              <w:rPr>
                <w:spacing w:val="-5"/>
                <w:sz w:val="20"/>
              </w:rPr>
              <w:t>var</w:t>
            </w:r>
          </w:p>
        </w:tc>
        <w:tc>
          <w:tcPr>
            <w:tcW w:w="897" w:type="dxa"/>
          </w:tcPr>
          <w:p>
            <w:pPr>
              <w:pStyle w:val="TableParagraph"/>
              <w:spacing w:line="209" w:lineRule="exact"/>
              <w:ind w:right="30"/>
              <w:jc w:val="right"/>
              <w:rPr>
                <w:sz w:val="20"/>
              </w:rPr>
            </w:pPr>
            <w:r>
              <w:rPr>
                <w:spacing w:val="-2"/>
                <w:sz w:val="20"/>
              </w:rPr>
              <w:t>1.760855</w:t>
            </w:r>
          </w:p>
        </w:tc>
      </w:tr>
      <w:tr>
        <w:trPr>
          <w:trHeight w:val="229" w:hRule="atLeast"/>
        </w:trPr>
        <w:tc>
          <w:tcPr>
            <w:tcW w:w="1903" w:type="dxa"/>
          </w:tcPr>
          <w:p>
            <w:pPr>
              <w:pStyle w:val="TableParagraph"/>
              <w:spacing w:line="209" w:lineRule="exact"/>
              <w:ind w:left="28"/>
              <w:rPr>
                <w:sz w:val="20"/>
              </w:rPr>
            </w:pPr>
            <w:r>
              <w:rPr>
                <w:sz w:val="20"/>
              </w:rPr>
              <w:t>S.E.</w:t>
            </w:r>
            <w:r>
              <w:rPr>
                <w:spacing w:val="-3"/>
                <w:sz w:val="20"/>
              </w:rPr>
              <w:t> </w:t>
            </w:r>
            <w:r>
              <w:rPr>
                <w:sz w:val="20"/>
              </w:rPr>
              <w:t>of</w:t>
            </w:r>
            <w:r>
              <w:rPr>
                <w:spacing w:val="-3"/>
                <w:sz w:val="20"/>
              </w:rPr>
              <w:t> </w:t>
            </w:r>
            <w:r>
              <w:rPr>
                <w:spacing w:val="-2"/>
                <w:sz w:val="20"/>
              </w:rPr>
              <w:t>regression</w:t>
            </w:r>
          </w:p>
        </w:tc>
        <w:tc>
          <w:tcPr>
            <w:tcW w:w="1313" w:type="dxa"/>
          </w:tcPr>
          <w:p>
            <w:pPr>
              <w:pStyle w:val="TableParagraph"/>
              <w:spacing w:line="209" w:lineRule="exact"/>
              <w:ind w:left="298"/>
              <w:jc w:val="center"/>
              <w:rPr>
                <w:sz w:val="20"/>
              </w:rPr>
            </w:pPr>
            <w:r>
              <w:rPr>
                <w:spacing w:val="-2"/>
                <w:sz w:val="20"/>
              </w:rPr>
              <w:t>1.317127</w:t>
            </w:r>
          </w:p>
        </w:tc>
        <w:tc>
          <w:tcPr>
            <w:tcW w:w="2370" w:type="dxa"/>
            <w:gridSpan w:val="2"/>
          </w:tcPr>
          <w:p>
            <w:pPr>
              <w:pStyle w:val="TableParagraph"/>
              <w:spacing w:line="209" w:lineRule="exact"/>
              <w:ind w:left="130"/>
              <w:rPr>
                <w:sz w:val="20"/>
              </w:rPr>
            </w:pPr>
            <w:r>
              <w:rPr>
                <w:sz w:val="20"/>
              </w:rPr>
              <w:t>Akaike</w:t>
            </w:r>
            <w:r>
              <w:rPr>
                <w:spacing w:val="-8"/>
                <w:sz w:val="20"/>
              </w:rPr>
              <w:t> </w:t>
            </w:r>
            <w:r>
              <w:rPr>
                <w:sz w:val="20"/>
              </w:rPr>
              <w:t>info</w:t>
            </w:r>
            <w:r>
              <w:rPr>
                <w:spacing w:val="-7"/>
                <w:sz w:val="20"/>
              </w:rPr>
              <w:t> </w:t>
            </w:r>
            <w:r>
              <w:rPr>
                <w:spacing w:val="-2"/>
                <w:sz w:val="20"/>
              </w:rPr>
              <w:t>criterion</w:t>
            </w:r>
          </w:p>
        </w:tc>
        <w:tc>
          <w:tcPr>
            <w:tcW w:w="897" w:type="dxa"/>
          </w:tcPr>
          <w:p>
            <w:pPr>
              <w:pStyle w:val="TableParagraph"/>
              <w:spacing w:line="209" w:lineRule="exact"/>
              <w:ind w:right="30"/>
              <w:jc w:val="right"/>
              <w:rPr>
                <w:sz w:val="20"/>
              </w:rPr>
            </w:pPr>
            <w:r>
              <w:rPr>
                <w:spacing w:val="-2"/>
                <w:sz w:val="20"/>
              </w:rPr>
              <w:t>3.662495</w:t>
            </w:r>
          </w:p>
        </w:tc>
      </w:tr>
      <w:tr>
        <w:trPr>
          <w:trHeight w:val="225" w:hRule="atLeast"/>
        </w:trPr>
        <w:tc>
          <w:tcPr>
            <w:tcW w:w="1903" w:type="dxa"/>
          </w:tcPr>
          <w:p>
            <w:pPr>
              <w:pStyle w:val="TableParagraph"/>
              <w:spacing w:line="205" w:lineRule="exact"/>
              <w:ind w:left="28"/>
              <w:rPr>
                <w:sz w:val="20"/>
              </w:rPr>
            </w:pPr>
            <w:r>
              <w:rPr>
                <w:sz w:val="20"/>
              </w:rPr>
              <w:t>Sum</w:t>
            </w:r>
            <w:r>
              <w:rPr>
                <w:spacing w:val="-8"/>
                <w:sz w:val="20"/>
              </w:rPr>
              <w:t> </w:t>
            </w:r>
            <w:r>
              <w:rPr>
                <w:sz w:val="20"/>
              </w:rPr>
              <w:t>squared</w:t>
            </w:r>
            <w:r>
              <w:rPr>
                <w:spacing w:val="-4"/>
                <w:sz w:val="20"/>
              </w:rPr>
              <w:t> </w:t>
            </w:r>
            <w:r>
              <w:rPr>
                <w:spacing w:val="-2"/>
                <w:sz w:val="20"/>
              </w:rPr>
              <w:t>resid</w:t>
            </w:r>
          </w:p>
        </w:tc>
        <w:tc>
          <w:tcPr>
            <w:tcW w:w="1313" w:type="dxa"/>
          </w:tcPr>
          <w:p>
            <w:pPr>
              <w:pStyle w:val="TableParagraph"/>
              <w:spacing w:line="205" w:lineRule="exact"/>
              <w:ind w:left="298"/>
              <w:jc w:val="center"/>
              <w:rPr>
                <w:sz w:val="20"/>
              </w:rPr>
            </w:pPr>
            <w:r>
              <w:rPr>
                <w:spacing w:val="-2"/>
                <w:sz w:val="20"/>
              </w:rPr>
              <w:t>27.75716</w:t>
            </w:r>
          </w:p>
        </w:tc>
        <w:tc>
          <w:tcPr>
            <w:tcW w:w="2370" w:type="dxa"/>
            <w:gridSpan w:val="2"/>
          </w:tcPr>
          <w:p>
            <w:pPr>
              <w:pStyle w:val="TableParagraph"/>
              <w:spacing w:line="205" w:lineRule="exact"/>
              <w:ind w:left="130"/>
              <w:rPr>
                <w:sz w:val="20"/>
              </w:rPr>
            </w:pPr>
            <w:r>
              <w:rPr>
                <w:sz w:val="20"/>
              </w:rPr>
              <w:t>Schwarz</w:t>
            </w:r>
            <w:r>
              <w:rPr>
                <w:spacing w:val="-8"/>
                <w:sz w:val="20"/>
              </w:rPr>
              <w:t> </w:t>
            </w:r>
            <w:r>
              <w:rPr>
                <w:spacing w:val="-2"/>
                <w:sz w:val="20"/>
              </w:rPr>
              <w:t>criterion</w:t>
            </w:r>
          </w:p>
        </w:tc>
        <w:tc>
          <w:tcPr>
            <w:tcW w:w="897" w:type="dxa"/>
          </w:tcPr>
          <w:p>
            <w:pPr>
              <w:pStyle w:val="TableParagraph"/>
              <w:spacing w:line="205" w:lineRule="exact"/>
              <w:ind w:right="30"/>
              <w:jc w:val="right"/>
              <w:rPr>
                <w:sz w:val="20"/>
              </w:rPr>
            </w:pPr>
            <w:r>
              <w:rPr>
                <w:spacing w:val="-2"/>
                <w:sz w:val="20"/>
              </w:rPr>
              <w:t>4.101290</w:t>
            </w:r>
          </w:p>
        </w:tc>
      </w:tr>
    </w:tbl>
    <w:p>
      <w:pPr>
        <w:spacing w:after="0" w:line="205" w:lineRule="exact"/>
        <w:jc w:val="right"/>
        <w:rPr>
          <w:sz w:val="20"/>
        </w:rPr>
        <w:sectPr>
          <w:pgSz w:w="11910" w:h="16840"/>
          <w:pgMar w:header="0" w:footer="979" w:top="1400" w:bottom="1240" w:left="280" w:right="0"/>
        </w:sectPr>
      </w:pPr>
    </w:p>
    <w:p>
      <w:pPr>
        <w:pStyle w:val="BodyText"/>
        <w:spacing w:before="1"/>
        <w:rPr>
          <w:sz w:val="2"/>
        </w:rPr>
      </w:pPr>
    </w:p>
    <w:tbl>
      <w:tblPr>
        <w:tblW w:w="0" w:type="auto"/>
        <w:jc w:val="left"/>
        <w:tblInd w:w="7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48"/>
        <w:gridCol w:w="1283"/>
        <w:gridCol w:w="1956"/>
        <w:gridCol w:w="1312"/>
      </w:tblGrid>
      <w:tr>
        <w:trPr>
          <w:trHeight w:val="225" w:hRule="atLeast"/>
        </w:trPr>
        <w:tc>
          <w:tcPr>
            <w:tcW w:w="1948" w:type="dxa"/>
          </w:tcPr>
          <w:p>
            <w:pPr>
              <w:pStyle w:val="TableParagraph"/>
              <w:spacing w:line="206" w:lineRule="exact"/>
              <w:ind w:left="43"/>
              <w:rPr>
                <w:sz w:val="20"/>
              </w:rPr>
            </w:pPr>
            <w:r>
              <w:rPr>
                <w:sz w:val="20"/>
              </w:rPr>
              <w:t>Log</w:t>
            </w:r>
            <w:r>
              <w:rPr>
                <w:spacing w:val="-6"/>
                <w:sz w:val="20"/>
              </w:rPr>
              <w:t> </w:t>
            </w:r>
            <w:r>
              <w:rPr>
                <w:spacing w:val="-2"/>
                <w:sz w:val="20"/>
              </w:rPr>
              <w:t>likelihood</w:t>
            </w:r>
          </w:p>
        </w:tc>
        <w:tc>
          <w:tcPr>
            <w:tcW w:w="1283" w:type="dxa"/>
          </w:tcPr>
          <w:p>
            <w:pPr>
              <w:pStyle w:val="TableParagraph"/>
              <w:spacing w:line="206" w:lineRule="exact"/>
              <w:ind w:right="130"/>
              <w:jc w:val="right"/>
              <w:rPr>
                <w:sz w:val="20"/>
              </w:rPr>
            </w:pPr>
            <w:r>
              <w:rPr>
                <w:spacing w:val="-4"/>
                <w:sz w:val="20"/>
              </w:rPr>
              <w:t>-</w:t>
            </w:r>
            <w:r>
              <w:rPr>
                <w:spacing w:val="-2"/>
                <w:sz w:val="20"/>
              </w:rPr>
              <w:t>36.78119</w:t>
            </w:r>
          </w:p>
        </w:tc>
        <w:tc>
          <w:tcPr>
            <w:tcW w:w="1956" w:type="dxa"/>
          </w:tcPr>
          <w:p>
            <w:pPr>
              <w:pStyle w:val="TableParagraph"/>
              <w:spacing w:line="206" w:lineRule="exact"/>
              <w:ind w:left="129"/>
              <w:rPr>
                <w:sz w:val="20"/>
              </w:rPr>
            </w:pPr>
            <w:r>
              <w:rPr>
                <w:spacing w:val="-4"/>
                <w:sz w:val="20"/>
              </w:rPr>
              <w:t>F-</w:t>
            </w:r>
            <w:r>
              <w:rPr>
                <w:spacing w:val="-2"/>
                <w:sz w:val="20"/>
              </w:rPr>
              <w:t>statistic</w:t>
            </w:r>
          </w:p>
        </w:tc>
        <w:tc>
          <w:tcPr>
            <w:tcW w:w="1312" w:type="dxa"/>
          </w:tcPr>
          <w:p>
            <w:pPr>
              <w:pStyle w:val="TableParagraph"/>
              <w:spacing w:line="206" w:lineRule="exact"/>
              <w:ind w:right="32"/>
              <w:jc w:val="right"/>
              <w:rPr>
                <w:sz w:val="20"/>
              </w:rPr>
            </w:pPr>
            <w:r>
              <w:rPr>
                <w:spacing w:val="-2"/>
                <w:sz w:val="20"/>
              </w:rPr>
              <w:t>3.361834</w:t>
            </w:r>
          </w:p>
        </w:tc>
      </w:tr>
      <w:tr>
        <w:trPr>
          <w:trHeight w:val="265" w:hRule="atLeast"/>
        </w:trPr>
        <w:tc>
          <w:tcPr>
            <w:tcW w:w="1948" w:type="dxa"/>
            <w:tcBorders>
              <w:bottom w:val="double" w:sz="6" w:space="0" w:color="000000"/>
            </w:tcBorders>
          </w:tcPr>
          <w:p>
            <w:pPr>
              <w:pStyle w:val="TableParagraph"/>
              <w:spacing w:line="226" w:lineRule="exact"/>
              <w:ind w:left="43"/>
              <w:rPr>
                <w:sz w:val="20"/>
              </w:rPr>
            </w:pPr>
            <w:r>
              <w:rPr>
                <w:sz w:val="20"/>
              </w:rPr>
              <w:t>Durbin-Watson</w:t>
            </w:r>
            <w:r>
              <w:rPr>
                <w:spacing w:val="-12"/>
                <w:sz w:val="20"/>
              </w:rPr>
              <w:t> </w:t>
            </w:r>
            <w:r>
              <w:rPr>
                <w:spacing w:val="-4"/>
                <w:sz w:val="20"/>
              </w:rPr>
              <w:t>stat</w:t>
            </w:r>
          </w:p>
        </w:tc>
        <w:tc>
          <w:tcPr>
            <w:tcW w:w="1283" w:type="dxa"/>
          </w:tcPr>
          <w:p>
            <w:pPr>
              <w:pStyle w:val="TableParagraph"/>
              <w:spacing w:line="226" w:lineRule="exact"/>
              <w:ind w:right="130"/>
              <w:jc w:val="right"/>
              <w:rPr>
                <w:sz w:val="20"/>
              </w:rPr>
            </w:pPr>
            <w:r>
              <w:rPr>
                <w:spacing w:val="-2"/>
                <w:sz w:val="20"/>
              </w:rPr>
              <w:t>1.935708</w:t>
            </w:r>
          </w:p>
        </w:tc>
        <w:tc>
          <w:tcPr>
            <w:tcW w:w="1956" w:type="dxa"/>
            <w:tcBorders>
              <w:bottom w:val="double" w:sz="6" w:space="0" w:color="000000"/>
            </w:tcBorders>
          </w:tcPr>
          <w:p>
            <w:pPr>
              <w:pStyle w:val="TableParagraph"/>
              <w:spacing w:line="226" w:lineRule="exact"/>
              <w:ind w:left="129"/>
              <w:rPr>
                <w:sz w:val="20"/>
              </w:rPr>
            </w:pPr>
            <w:r>
              <w:rPr>
                <w:spacing w:val="-2"/>
                <w:sz w:val="20"/>
              </w:rPr>
              <w:t>Prob(F-statistic)</w:t>
            </w:r>
          </w:p>
        </w:tc>
        <w:tc>
          <w:tcPr>
            <w:tcW w:w="1312" w:type="dxa"/>
          </w:tcPr>
          <w:p>
            <w:pPr>
              <w:pStyle w:val="TableParagraph"/>
              <w:spacing w:line="226" w:lineRule="exact"/>
              <w:ind w:right="32"/>
              <w:jc w:val="right"/>
              <w:rPr>
                <w:sz w:val="20"/>
              </w:rPr>
            </w:pPr>
            <w:r>
              <w:rPr>
                <w:spacing w:val="-2"/>
                <w:sz w:val="20"/>
              </w:rPr>
              <w:t>0.018642</w:t>
            </w:r>
          </w:p>
        </w:tc>
      </w:tr>
    </w:tbl>
    <w:p>
      <w:pPr>
        <w:pStyle w:val="BodyText"/>
        <w:rPr>
          <w:sz w:val="20"/>
        </w:rPr>
      </w:pPr>
    </w:p>
    <w:p>
      <w:pPr>
        <w:pStyle w:val="BodyText"/>
        <w:spacing w:before="9"/>
        <w:rPr>
          <w:sz w:val="20"/>
        </w:rPr>
      </w:pPr>
    </w:p>
    <w:p>
      <w:pPr>
        <w:spacing w:before="0"/>
        <w:ind w:left="0" w:right="2070" w:firstLine="0"/>
        <w:jc w:val="center"/>
        <w:rPr>
          <w:b/>
          <w:sz w:val="20"/>
        </w:rPr>
      </w:pPr>
      <w:r>
        <w:rPr>
          <w:b/>
          <w:sz w:val="20"/>
        </w:rPr>
        <w:t>APPENDIX</w:t>
      </w:r>
      <w:r>
        <w:rPr>
          <w:b/>
          <w:spacing w:val="-13"/>
          <w:sz w:val="20"/>
        </w:rPr>
        <w:t> </w:t>
      </w:r>
      <w:r>
        <w:rPr>
          <w:b/>
          <w:spacing w:val="-5"/>
          <w:sz w:val="20"/>
        </w:rPr>
        <w:t>A10</w:t>
      </w:r>
    </w:p>
    <w:p>
      <w:pPr>
        <w:spacing w:before="228"/>
        <w:ind w:left="711" w:right="0" w:firstLine="0"/>
        <w:jc w:val="left"/>
        <w:rPr>
          <w:b/>
          <w:sz w:val="20"/>
        </w:rPr>
      </w:pPr>
      <w:r>
        <w:rPr>
          <w:b/>
          <w:sz w:val="20"/>
        </w:rPr>
        <w:t>RESULT</w:t>
      </w:r>
      <w:r>
        <w:rPr>
          <w:b/>
          <w:spacing w:val="-7"/>
          <w:sz w:val="20"/>
        </w:rPr>
        <w:t> </w:t>
      </w:r>
      <w:r>
        <w:rPr>
          <w:b/>
          <w:sz w:val="20"/>
        </w:rPr>
        <w:t>OF</w:t>
      </w:r>
      <w:r>
        <w:rPr>
          <w:b/>
          <w:spacing w:val="-5"/>
          <w:sz w:val="20"/>
        </w:rPr>
        <w:t> </w:t>
      </w:r>
      <w:r>
        <w:rPr>
          <w:b/>
          <w:sz w:val="20"/>
        </w:rPr>
        <w:t>ANALYSES</w:t>
      </w:r>
      <w:r>
        <w:rPr>
          <w:b/>
          <w:spacing w:val="-6"/>
          <w:sz w:val="20"/>
        </w:rPr>
        <w:t> </w:t>
      </w:r>
      <w:r>
        <w:rPr>
          <w:b/>
          <w:sz w:val="20"/>
        </w:rPr>
        <w:t>FOR</w:t>
      </w:r>
      <w:r>
        <w:rPr>
          <w:b/>
          <w:spacing w:val="-6"/>
          <w:sz w:val="20"/>
        </w:rPr>
        <w:t> </w:t>
      </w:r>
      <w:r>
        <w:rPr>
          <w:b/>
          <w:sz w:val="20"/>
        </w:rPr>
        <w:t>MODEL</w:t>
      </w:r>
      <w:r>
        <w:rPr>
          <w:b/>
          <w:spacing w:val="-3"/>
          <w:sz w:val="20"/>
        </w:rPr>
        <w:t> </w:t>
      </w:r>
      <w:r>
        <w:rPr>
          <w:b/>
          <w:sz w:val="20"/>
        </w:rPr>
        <w:t>5A</w:t>
      </w:r>
      <w:r>
        <w:rPr>
          <w:b/>
          <w:spacing w:val="-6"/>
          <w:sz w:val="20"/>
        </w:rPr>
        <w:t> </w:t>
      </w:r>
      <w:r>
        <w:rPr>
          <w:b/>
          <w:sz w:val="20"/>
        </w:rPr>
        <w:t>(WORLD</w:t>
      </w:r>
      <w:r>
        <w:rPr>
          <w:b/>
          <w:spacing w:val="-3"/>
          <w:sz w:val="20"/>
        </w:rPr>
        <w:t> </w:t>
      </w:r>
      <w:r>
        <w:rPr>
          <w:b/>
          <w:sz w:val="20"/>
        </w:rPr>
        <w:t>BANK</w:t>
      </w:r>
      <w:r>
        <w:rPr>
          <w:b/>
          <w:spacing w:val="-5"/>
          <w:sz w:val="20"/>
        </w:rPr>
        <w:t> </w:t>
      </w:r>
      <w:r>
        <w:rPr>
          <w:b/>
          <w:sz w:val="20"/>
        </w:rPr>
        <w:t>&amp;</w:t>
      </w:r>
      <w:r>
        <w:rPr>
          <w:b/>
          <w:spacing w:val="-6"/>
          <w:sz w:val="20"/>
        </w:rPr>
        <w:t> </w:t>
      </w:r>
      <w:r>
        <w:rPr>
          <w:b/>
          <w:sz w:val="20"/>
        </w:rPr>
        <w:t>ERBE</w:t>
      </w:r>
      <w:r>
        <w:rPr>
          <w:b/>
          <w:spacing w:val="-6"/>
          <w:sz w:val="20"/>
        </w:rPr>
        <w:t> </w:t>
      </w:r>
      <w:r>
        <w:rPr>
          <w:b/>
          <w:sz w:val="20"/>
        </w:rPr>
        <w:t>1985</w:t>
      </w:r>
      <w:r>
        <w:rPr>
          <w:b/>
          <w:spacing w:val="-5"/>
          <w:sz w:val="20"/>
        </w:rPr>
        <w:t> </w:t>
      </w:r>
      <w:r>
        <w:rPr>
          <w:b/>
          <w:sz w:val="20"/>
        </w:rPr>
        <w:t>ESTIMATES</w:t>
      </w:r>
      <w:r>
        <w:rPr>
          <w:b/>
          <w:spacing w:val="-2"/>
          <w:sz w:val="20"/>
        </w:rPr>
        <w:t> ESTIMATES)</w:t>
      </w:r>
    </w:p>
    <w:p>
      <w:pPr>
        <w:pStyle w:val="BodyText"/>
        <w:spacing w:before="1"/>
        <w:rPr>
          <w:b/>
          <w:sz w:val="20"/>
        </w:rPr>
      </w:pPr>
    </w:p>
    <w:p>
      <w:pPr>
        <w:spacing w:before="0"/>
        <w:ind w:left="711" w:right="0" w:firstLine="0"/>
        <w:jc w:val="left"/>
        <w:rPr>
          <w:sz w:val="20"/>
        </w:rPr>
      </w:pPr>
      <w:r>
        <w:rPr>
          <w:sz w:val="20"/>
        </w:rPr>
        <w:t>EFFECT</w:t>
      </w:r>
      <w:r>
        <w:rPr>
          <w:spacing w:val="-4"/>
          <w:sz w:val="20"/>
        </w:rPr>
        <w:t> </w:t>
      </w:r>
      <w:r>
        <w:rPr>
          <w:sz w:val="20"/>
        </w:rPr>
        <w:t>OF</w:t>
      </w:r>
      <w:r>
        <w:rPr>
          <w:spacing w:val="-7"/>
          <w:sz w:val="20"/>
        </w:rPr>
        <w:t> </w:t>
      </w:r>
      <w:r>
        <w:rPr>
          <w:sz w:val="20"/>
        </w:rPr>
        <w:t>CAPITAL</w:t>
      </w:r>
      <w:r>
        <w:rPr>
          <w:spacing w:val="-8"/>
          <w:sz w:val="20"/>
        </w:rPr>
        <w:t> </w:t>
      </w:r>
      <w:r>
        <w:rPr>
          <w:sz w:val="20"/>
        </w:rPr>
        <w:t>FLIGHT</w:t>
      </w:r>
      <w:r>
        <w:rPr>
          <w:spacing w:val="-4"/>
          <w:sz w:val="20"/>
        </w:rPr>
        <w:t> </w:t>
      </w:r>
      <w:r>
        <w:rPr>
          <w:sz w:val="20"/>
        </w:rPr>
        <w:t>ON</w:t>
      </w:r>
      <w:r>
        <w:rPr>
          <w:spacing w:val="-6"/>
          <w:sz w:val="20"/>
        </w:rPr>
        <w:t> </w:t>
      </w:r>
      <w:r>
        <w:rPr>
          <w:sz w:val="20"/>
        </w:rPr>
        <w:t>ECONOMIC</w:t>
      </w:r>
      <w:r>
        <w:rPr>
          <w:spacing w:val="-7"/>
          <w:sz w:val="20"/>
        </w:rPr>
        <w:t> </w:t>
      </w:r>
      <w:r>
        <w:rPr>
          <w:sz w:val="20"/>
        </w:rPr>
        <w:t>GROWTH</w:t>
      </w:r>
      <w:r>
        <w:rPr>
          <w:spacing w:val="-2"/>
          <w:sz w:val="20"/>
        </w:rPr>
        <w:t> </w:t>
      </w:r>
      <w:r>
        <w:rPr>
          <w:sz w:val="20"/>
        </w:rPr>
        <w:t>IN</w:t>
      </w:r>
      <w:r>
        <w:rPr>
          <w:spacing w:val="-8"/>
          <w:sz w:val="20"/>
        </w:rPr>
        <w:t> </w:t>
      </w:r>
      <w:r>
        <w:rPr>
          <w:sz w:val="20"/>
        </w:rPr>
        <w:t>THE</w:t>
      </w:r>
      <w:r>
        <w:rPr>
          <w:spacing w:val="-8"/>
          <w:sz w:val="20"/>
        </w:rPr>
        <w:t> </w:t>
      </w:r>
      <w:r>
        <w:rPr>
          <w:sz w:val="20"/>
        </w:rPr>
        <w:t>PRE-SAP</w:t>
      </w:r>
      <w:r>
        <w:rPr>
          <w:spacing w:val="-4"/>
          <w:sz w:val="20"/>
        </w:rPr>
        <w:t> </w:t>
      </w:r>
      <w:r>
        <w:rPr>
          <w:spacing w:val="-5"/>
          <w:sz w:val="20"/>
        </w:rPr>
        <w:t>ERA</w:t>
      </w:r>
    </w:p>
    <w:p>
      <w:pPr>
        <w:pStyle w:val="BodyText"/>
        <w:spacing w:after="1"/>
        <w:rPr>
          <w:sz w:val="20"/>
        </w:rPr>
      </w:pPr>
    </w:p>
    <w:tbl>
      <w:tblPr>
        <w:tblW w:w="0" w:type="auto"/>
        <w:jc w:val="left"/>
        <w:tblInd w:w="7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03"/>
        <w:gridCol w:w="1313"/>
        <w:gridCol w:w="1433"/>
        <w:gridCol w:w="905"/>
        <w:gridCol w:w="930"/>
      </w:tblGrid>
      <w:tr>
        <w:trPr>
          <w:trHeight w:val="225" w:hRule="atLeast"/>
        </w:trPr>
        <w:tc>
          <w:tcPr>
            <w:tcW w:w="6484" w:type="dxa"/>
            <w:gridSpan w:val="5"/>
          </w:tcPr>
          <w:p>
            <w:pPr>
              <w:pStyle w:val="TableParagraph"/>
              <w:spacing w:line="205" w:lineRule="exact"/>
              <w:ind w:left="28"/>
              <w:rPr>
                <w:sz w:val="20"/>
              </w:rPr>
            </w:pPr>
            <w:r>
              <w:rPr>
                <w:sz w:val="20"/>
              </w:rPr>
              <w:t>Dependent</w:t>
            </w:r>
            <w:r>
              <w:rPr>
                <w:spacing w:val="-8"/>
                <w:sz w:val="20"/>
              </w:rPr>
              <w:t> </w:t>
            </w:r>
            <w:r>
              <w:rPr>
                <w:sz w:val="20"/>
              </w:rPr>
              <w:t>Variable:</w:t>
            </w:r>
            <w:r>
              <w:rPr>
                <w:spacing w:val="-8"/>
                <w:sz w:val="20"/>
              </w:rPr>
              <w:t> </w:t>
            </w:r>
            <w:r>
              <w:rPr>
                <w:spacing w:val="-5"/>
                <w:sz w:val="20"/>
              </w:rPr>
              <w:t>GDP</w:t>
            </w:r>
          </w:p>
        </w:tc>
      </w:tr>
      <w:tr>
        <w:trPr>
          <w:trHeight w:val="230" w:hRule="atLeast"/>
        </w:trPr>
        <w:tc>
          <w:tcPr>
            <w:tcW w:w="1903" w:type="dxa"/>
          </w:tcPr>
          <w:p>
            <w:pPr>
              <w:pStyle w:val="TableParagraph"/>
              <w:spacing w:line="210" w:lineRule="exact"/>
              <w:ind w:left="28"/>
              <w:rPr>
                <w:sz w:val="20"/>
              </w:rPr>
            </w:pPr>
            <w:r>
              <w:rPr>
                <w:sz w:val="20"/>
              </w:rPr>
              <w:t>Method:</w:t>
            </w:r>
            <w:r>
              <w:rPr>
                <w:spacing w:val="-8"/>
                <w:sz w:val="20"/>
              </w:rPr>
              <w:t> </w:t>
            </w:r>
            <w:r>
              <w:rPr>
                <w:sz w:val="20"/>
              </w:rPr>
              <w:t>Least</w:t>
            </w:r>
            <w:r>
              <w:rPr>
                <w:spacing w:val="-7"/>
                <w:sz w:val="20"/>
              </w:rPr>
              <w:t> </w:t>
            </w:r>
            <w:r>
              <w:rPr>
                <w:spacing w:val="-2"/>
                <w:sz w:val="20"/>
              </w:rPr>
              <w:t>Squares</w:t>
            </w:r>
          </w:p>
        </w:tc>
        <w:tc>
          <w:tcPr>
            <w:tcW w:w="1313" w:type="dxa"/>
          </w:tcPr>
          <w:p>
            <w:pPr>
              <w:pStyle w:val="TableParagraph"/>
              <w:rPr>
                <w:sz w:val="16"/>
              </w:rPr>
            </w:pPr>
          </w:p>
        </w:tc>
        <w:tc>
          <w:tcPr>
            <w:tcW w:w="1433" w:type="dxa"/>
          </w:tcPr>
          <w:p>
            <w:pPr>
              <w:pStyle w:val="TableParagraph"/>
              <w:rPr>
                <w:sz w:val="16"/>
              </w:rPr>
            </w:pPr>
          </w:p>
        </w:tc>
        <w:tc>
          <w:tcPr>
            <w:tcW w:w="905" w:type="dxa"/>
          </w:tcPr>
          <w:p>
            <w:pPr>
              <w:pStyle w:val="TableParagraph"/>
              <w:rPr>
                <w:sz w:val="16"/>
              </w:rPr>
            </w:pPr>
          </w:p>
        </w:tc>
        <w:tc>
          <w:tcPr>
            <w:tcW w:w="930" w:type="dxa"/>
          </w:tcPr>
          <w:p>
            <w:pPr>
              <w:pStyle w:val="TableParagraph"/>
              <w:rPr>
                <w:sz w:val="16"/>
              </w:rPr>
            </w:pPr>
          </w:p>
        </w:tc>
      </w:tr>
      <w:tr>
        <w:trPr>
          <w:trHeight w:val="230" w:hRule="atLeast"/>
        </w:trPr>
        <w:tc>
          <w:tcPr>
            <w:tcW w:w="6484" w:type="dxa"/>
            <w:gridSpan w:val="5"/>
          </w:tcPr>
          <w:p>
            <w:pPr>
              <w:pStyle w:val="TableParagraph"/>
              <w:spacing w:line="210" w:lineRule="exact"/>
              <w:ind w:left="28"/>
              <w:rPr>
                <w:sz w:val="20"/>
              </w:rPr>
            </w:pPr>
            <w:r>
              <w:rPr>
                <w:sz w:val="20"/>
              </w:rPr>
              <w:t>Date:</w:t>
            </w:r>
            <w:r>
              <w:rPr>
                <w:spacing w:val="-5"/>
                <w:sz w:val="20"/>
              </w:rPr>
              <w:t> </w:t>
            </w:r>
            <w:r>
              <w:rPr>
                <w:sz w:val="20"/>
              </w:rPr>
              <w:t>02/17/14</w:t>
            </w:r>
            <w:r>
              <w:rPr>
                <w:spacing w:val="63"/>
                <w:w w:val="150"/>
                <w:sz w:val="20"/>
              </w:rPr>
              <w:t> </w:t>
            </w:r>
            <w:r>
              <w:rPr>
                <w:sz w:val="20"/>
              </w:rPr>
              <w:t>Time:</w:t>
            </w:r>
            <w:r>
              <w:rPr>
                <w:spacing w:val="-3"/>
                <w:sz w:val="20"/>
              </w:rPr>
              <w:t> </w:t>
            </w:r>
            <w:r>
              <w:rPr>
                <w:spacing w:val="-2"/>
                <w:sz w:val="20"/>
              </w:rPr>
              <w:t>18:31</w:t>
            </w:r>
          </w:p>
        </w:tc>
      </w:tr>
      <w:tr>
        <w:trPr>
          <w:trHeight w:val="230" w:hRule="atLeast"/>
        </w:trPr>
        <w:tc>
          <w:tcPr>
            <w:tcW w:w="1903" w:type="dxa"/>
          </w:tcPr>
          <w:p>
            <w:pPr>
              <w:pStyle w:val="TableParagraph"/>
              <w:spacing w:line="210" w:lineRule="exact"/>
              <w:ind w:left="28"/>
              <w:rPr>
                <w:sz w:val="20"/>
              </w:rPr>
            </w:pPr>
            <w:r>
              <w:rPr>
                <w:sz w:val="20"/>
              </w:rPr>
              <w:t>Sample:</w:t>
            </w:r>
            <w:r>
              <w:rPr>
                <w:spacing w:val="-5"/>
                <w:sz w:val="20"/>
              </w:rPr>
              <w:t> </w:t>
            </w:r>
            <w:r>
              <w:rPr>
                <w:sz w:val="20"/>
              </w:rPr>
              <w:t>1970</w:t>
            </w:r>
            <w:r>
              <w:rPr>
                <w:spacing w:val="-3"/>
                <w:sz w:val="20"/>
              </w:rPr>
              <w:t> </w:t>
            </w:r>
            <w:r>
              <w:rPr>
                <w:spacing w:val="-4"/>
                <w:sz w:val="20"/>
              </w:rPr>
              <w:t>1985</w:t>
            </w:r>
          </w:p>
        </w:tc>
        <w:tc>
          <w:tcPr>
            <w:tcW w:w="1313" w:type="dxa"/>
          </w:tcPr>
          <w:p>
            <w:pPr>
              <w:pStyle w:val="TableParagraph"/>
              <w:rPr>
                <w:sz w:val="16"/>
              </w:rPr>
            </w:pPr>
          </w:p>
        </w:tc>
        <w:tc>
          <w:tcPr>
            <w:tcW w:w="1433" w:type="dxa"/>
          </w:tcPr>
          <w:p>
            <w:pPr>
              <w:pStyle w:val="TableParagraph"/>
              <w:rPr>
                <w:sz w:val="16"/>
              </w:rPr>
            </w:pPr>
          </w:p>
        </w:tc>
        <w:tc>
          <w:tcPr>
            <w:tcW w:w="905" w:type="dxa"/>
          </w:tcPr>
          <w:p>
            <w:pPr>
              <w:pStyle w:val="TableParagraph"/>
              <w:rPr>
                <w:sz w:val="16"/>
              </w:rPr>
            </w:pPr>
          </w:p>
        </w:tc>
        <w:tc>
          <w:tcPr>
            <w:tcW w:w="930" w:type="dxa"/>
          </w:tcPr>
          <w:p>
            <w:pPr>
              <w:pStyle w:val="TableParagraph"/>
              <w:rPr>
                <w:sz w:val="16"/>
              </w:rPr>
            </w:pPr>
          </w:p>
        </w:tc>
      </w:tr>
      <w:tr>
        <w:trPr>
          <w:trHeight w:val="224" w:hRule="atLeast"/>
        </w:trPr>
        <w:tc>
          <w:tcPr>
            <w:tcW w:w="6484" w:type="dxa"/>
            <w:gridSpan w:val="5"/>
            <w:tcBorders>
              <w:bottom w:val="double" w:sz="6" w:space="0" w:color="000000"/>
            </w:tcBorders>
          </w:tcPr>
          <w:p>
            <w:pPr>
              <w:pStyle w:val="TableParagraph"/>
              <w:spacing w:line="205" w:lineRule="exact"/>
              <w:ind w:left="28"/>
              <w:rPr>
                <w:sz w:val="20"/>
              </w:rPr>
            </w:pPr>
            <w:r>
              <w:rPr>
                <w:sz w:val="20"/>
              </w:rPr>
              <w:t>Included</w:t>
            </w:r>
            <w:r>
              <w:rPr>
                <w:spacing w:val="-9"/>
                <w:sz w:val="20"/>
              </w:rPr>
              <w:t> </w:t>
            </w:r>
            <w:r>
              <w:rPr>
                <w:sz w:val="20"/>
              </w:rPr>
              <w:t>observations:</w:t>
            </w:r>
            <w:r>
              <w:rPr>
                <w:spacing w:val="-10"/>
                <w:sz w:val="20"/>
              </w:rPr>
              <w:t> </w:t>
            </w:r>
            <w:r>
              <w:rPr>
                <w:spacing w:val="-5"/>
                <w:sz w:val="20"/>
              </w:rPr>
              <w:t>16</w:t>
            </w:r>
          </w:p>
        </w:tc>
      </w:tr>
      <w:tr>
        <w:trPr>
          <w:trHeight w:val="270" w:hRule="atLeast"/>
        </w:trPr>
        <w:tc>
          <w:tcPr>
            <w:tcW w:w="1903" w:type="dxa"/>
            <w:tcBorders>
              <w:top w:val="double" w:sz="6" w:space="0" w:color="000000"/>
              <w:bottom w:val="double" w:sz="6" w:space="0" w:color="000000"/>
            </w:tcBorders>
          </w:tcPr>
          <w:p>
            <w:pPr>
              <w:pStyle w:val="TableParagraph"/>
              <w:spacing w:line="209" w:lineRule="exact" w:before="41"/>
              <w:ind w:left="670"/>
              <w:rPr>
                <w:sz w:val="20"/>
              </w:rPr>
            </w:pPr>
            <w:r>
              <w:rPr>
                <w:spacing w:val="-2"/>
                <w:sz w:val="20"/>
              </w:rPr>
              <w:t>Variable</w:t>
            </w:r>
          </w:p>
        </w:tc>
        <w:tc>
          <w:tcPr>
            <w:tcW w:w="1313" w:type="dxa"/>
            <w:tcBorders>
              <w:top w:val="double" w:sz="6" w:space="0" w:color="000000"/>
              <w:bottom w:val="double" w:sz="6" w:space="0" w:color="000000"/>
            </w:tcBorders>
          </w:tcPr>
          <w:p>
            <w:pPr>
              <w:pStyle w:val="TableParagraph"/>
              <w:spacing w:line="209" w:lineRule="exact" w:before="41"/>
              <w:ind w:left="234" w:right="88"/>
              <w:jc w:val="center"/>
              <w:rPr>
                <w:sz w:val="20"/>
              </w:rPr>
            </w:pPr>
            <w:r>
              <w:rPr>
                <w:spacing w:val="-2"/>
                <w:sz w:val="20"/>
              </w:rPr>
              <w:t>Coefficient</w:t>
            </w:r>
          </w:p>
        </w:tc>
        <w:tc>
          <w:tcPr>
            <w:tcW w:w="1433" w:type="dxa"/>
            <w:tcBorders>
              <w:top w:val="double" w:sz="6" w:space="0" w:color="000000"/>
              <w:bottom w:val="double" w:sz="6" w:space="0" w:color="000000"/>
            </w:tcBorders>
          </w:tcPr>
          <w:p>
            <w:pPr>
              <w:pStyle w:val="TableParagraph"/>
              <w:spacing w:line="209" w:lineRule="exact" w:before="41"/>
              <w:ind w:left="272"/>
              <w:rPr>
                <w:sz w:val="20"/>
              </w:rPr>
            </w:pPr>
            <w:r>
              <w:rPr>
                <w:sz w:val="20"/>
              </w:rPr>
              <w:t>Std.</w:t>
            </w:r>
            <w:r>
              <w:rPr>
                <w:spacing w:val="-4"/>
                <w:sz w:val="20"/>
              </w:rPr>
              <w:t> </w:t>
            </w:r>
            <w:r>
              <w:rPr>
                <w:spacing w:val="-2"/>
                <w:sz w:val="20"/>
              </w:rPr>
              <w:t>Error</w:t>
            </w:r>
          </w:p>
        </w:tc>
        <w:tc>
          <w:tcPr>
            <w:tcW w:w="905" w:type="dxa"/>
            <w:tcBorders>
              <w:top w:val="double" w:sz="6" w:space="0" w:color="000000"/>
              <w:bottom w:val="double" w:sz="6" w:space="0" w:color="000000"/>
            </w:tcBorders>
          </w:tcPr>
          <w:p>
            <w:pPr>
              <w:pStyle w:val="TableParagraph"/>
              <w:spacing w:line="209" w:lineRule="exact" w:before="41"/>
              <w:ind w:right="28"/>
              <w:jc w:val="center"/>
              <w:rPr>
                <w:sz w:val="20"/>
              </w:rPr>
            </w:pPr>
            <w:r>
              <w:rPr>
                <w:spacing w:val="-4"/>
                <w:sz w:val="20"/>
              </w:rPr>
              <w:t>t-</w:t>
            </w:r>
            <w:r>
              <w:rPr>
                <w:spacing w:val="-2"/>
                <w:sz w:val="20"/>
              </w:rPr>
              <w:t>Statistic</w:t>
            </w:r>
          </w:p>
        </w:tc>
        <w:tc>
          <w:tcPr>
            <w:tcW w:w="930" w:type="dxa"/>
            <w:tcBorders>
              <w:top w:val="double" w:sz="6" w:space="0" w:color="000000"/>
              <w:bottom w:val="double" w:sz="6" w:space="0" w:color="000000"/>
            </w:tcBorders>
          </w:tcPr>
          <w:p>
            <w:pPr>
              <w:pStyle w:val="TableParagraph"/>
              <w:spacing w:line="209" w:lineRule="exact" w:before="41"/>
              <w:ind w:right="33"/>
              <w:jc w:val="right"/>
              <w:rPr>
                <w:sz w:val="20"/>
              </w:rPr>
            </w:pPr>
            <w:r>
              <w:rPr>
                <w:spacing w:val="-2"/>
                <w:sz w:val="20"/>
              </w:rPr>
              <w:t>Prob.</w:t>
            </w:r>
          </w:p>
        </w:tc>
      </w:tr>
      <w:tr>
        <w:trPr>
          <w:trHeight w:val="275" w:hRule="atLeast"/>
        </w:trPr>
        <w:tc>
          <w:tcPr>
            <w:tcW w:w="1903" w:type="dxa"/>
            <w:tcBorders>
              <w:top w:val="double" w:sz="6" w:space="0" w:color="000000"/>
            </w:tcBorders>
          </w:tcPr>
          <w:p>
            <w:pPr>
              <w:pStyle w:val="TableParagraph"/>
              <w:spacing w:line="215" w:lineRule="exact" w:before="40"/>
              <w:ind w:left="128" w:right="2"/>
              <w:jc w:val="center"/>
              <w:rPr>
                <w:sz w:val="20"/>
              </w:rPr>
            </w:pPr>
            <w:r>
              <w:rPr>
                <w:spacing w:val="-10"/>
                <w:sz w:val="20"/>
              </w:rPr>
              <w:t>C</w:t>
            </w:r>
          </w:p>
        </w:tc>
        <w:tc>
          <w:tcPr>
            <w:tcW w:w="1313" w:type="dxa"/>
            <w:tcBorders>
              <w:top w:val="double" w:sz="6" w:space="0" w:color="000000"/>
            </w:tcBorders>
          </w:tcPr>
          <w:p>
            <w:pPr>
              <w:pStyle w:val="TableParagraph"/>
              <w:spacing w:line="215" w:lineRule="exact" w:before="40"/>
              <w:ind w:left="234" w:right="1"/>
              <w:jc w:val="center"/>
              <w:rPr>
                <w:sz w:val="20"/>
              </w:rPr>
            </w:pPr>
            <w:r>
              <w:rPr>
                <w:spacing w:val="-4"/>
                <w:sz w:val="20"/>
              </w:rPr>
              <w:t>-</w:t>
            </w:r>
            <w:r>
              <w:rPr>
                <w:spacing w:val="-2"/>
                <w:sz w:val="20"/>
              </w:rPr>
              <w:t>2.574726</w:t>
            </w:r>
          </w:p>
        </w:tc>
        <w:tc>
          <w:tcPr>
            <w:tcW w:w="1433" w:type="dxa"/>
            <w:tcBorders>
              <w:top w:val="double" w:sz="6" w:space="0" w:color="000000"/>
            </w:tcBorders>
          </w:tcPr>
          <w:p>
            <w:pPr>
              <w:pStyle w:val="TableParagraph"/>
              <w:spacing w:line="215" w:lineRule="exact" w:before="40"/>
              <w:ind w:left="310"/>
              <w:rPr>
                <w:sz w:val="20"/>
              </w:rPr>
            </w:pPr>
            <w:r>
              <w:rPr>
                <w:spacing w:val="-2"/>
                <w:sz w:val="20"/>
              </w:rPr>
              <w:t>1.233967</w:t>
            </w:r>
          </w:p>
        </w:tc>
        <w:tc>
          <w:tcPr>
            <w:tcW w:w="905" w:type="dxa"/>
            <w:tcBorders>
              <w:top w:val="double" w:sz="6" w:space="0" w:color="000000"/>
            </w:tcBorders>
          </w:tcPr>
          <w:p>
            <w:pPr>
              <w:pStyle w:val="TableParagraph"/>
              <w:spacing w:line="215" w:lineRule="exact" w:before="40"/>
              <w:ind w:right="75"/>
              <w:jc w:val="center"/>
              <w:rPr>
                <w:sz w:val="20"/>
              </w:rPr>
            </w:pPr>
            <w:r>
              <w:rPr>
                <w:spacing w:val="-4"/>
                <w:sz w:val="20"/>
              </w:rPr>
              <w:t>-</w:t>
            </w:r>
            <w:r>
              <w:rPr>
                <w:spacing w:val="-2"/>
                <w:sz w:val="20"/>
              </w:rPr>
              <w:t>2.086543</w:t>
            </w:r>
          </w:p>
        </w:tc>
        <w:tc>
          <w:tcPr>
            <w:tcW w:w="930" w:type="dxa"/>
            <w:tcBorders>
              <w:top w:val="double" w:sz="6" w:space="0" w:color="000000"/>
            </w:tcBorders>
          </w:tcPr>
          <w:p>
            <w:pPr>
              <w:pStyle w:val="TableParagraph"/>
              <w:spacing w:line="215" w:lineRule="exact" w:before="40"/>
              <w:ind w:right="31"/>
              <w:jc w:val="right"/>
              <w:rPr>
                <w:sz w:val="20"/>
              </w:rPr>
            </w:pPr>
            <w:r>
              <w:rPr>
                <w:spacing w:val="-2"/>
                <w:sz w:val="20"/>
              </w:rPr>
              <w:t>0.0610</w:t>
            </w:r>
          </w:p>
        </w:tc>
      </w:tr>
      <w:tr>
        <w:trPr>
          <w:trHeight w:val="230" w:hRule="atLeast"/>
        </w:trPr>
        <w:tc>
          <w:tcPr>
            <w:tcW w:w="1903" w:type="dxa"/>
          </w:tcPr>
          <w:p>
            <w:pPr>
              <w:pStyle w:val="TableParagraph"/>
              <w:spacing w:line="210" w:lineRule="exact"/>
              <w:ind w:left="559"/>
              <w:rPr>
                <w:sz w:val="20"/>
              </w:rPr>
            </w:pPr>
            <w:r>
              <w:rPr>
                <w:spacing w:val="-2"/>
                <w:sz w:val="20"/>
              </w:rPr>
              <w:t>EXTDEBT</w:t>
            </w:r>
          </w:p>
        </w:tc>
        <w:tc>
          <w:tcPr>
            <w:tcW w:w="1313" w:type="dxa"/>
          </w:tcPr>
          <w:p>
            <w:pPr>
              <w:pStyle w:val="TableParagraph"/>
              <w:spacing w:line="210" w:lineRule="exact"/>
              <w:ind w:left="234" w:right="1"/>
              <w:jc w:val="center"/>
              <w:rPr>
                <w:sz w:val="20"/>
              </w:rPr>
            </w:pPr>
            <w:r>
              <w:rPr>
                <w:spacing w:val="-4"/>
                <w:sz w:val="20"/>
              </w:rPr>
              <w:t>-</w:t>
            </w:r>
            <w:r>
              <w:rPr>
                <w:spacing w:val="-2"/>
                <w:sz w:val="20"/>
              </w:rPr>
              <w:t>0.093313</w:t>
            </w:r>
          </w:p>
        </w:tc>
        <w:tc>
          <w:tcPr>
            <w:tcW w:w="1433" w:type="dxa"/>
          </w:tcPr>
          <w:p>
            <w:pPr>
              <w:pStyle w:val="TableParagraph"/>
              <w:spacing w:line="210" w:lineRule="exact"/>
              <w:ind w:left="310"/>
              <w:rPr>
                <w:sz w:val="20"/>
              </w:rPr>
            </w:pPr>
            <w:r>
              <w:rPr>
                <w:spacing w:val="-2"/>
                <w:sz w:val="20"/>
              </w:rPr>
              <w:t>0.039827</w:t>
            </w:r>
          </w:p>
        </w:tc>
        <w:tc>
          <w:tcPr>
            <w:tcW w:w="905" w:type="dxa"/>
          </w:tcPr>
          <w:p>
            <w:pPr>
              <w:pStyle w:val="TableParagraph"/>
              <w:spacing w:line="210" w:lineRule="exact"/>
              <w:ind w:right="75"/>
              <w:jc w:val="center"/>
              <w:rPr>
                <w:sz w:val="20"/>
              </w:rPr>
            </w:pPr>
            <w:r>
              <w:rPr>
                <w:spacing w:val="-4"/>
                <w:sz w:val="20"/>
              </w:rPr>
              <w:t>-</w:t>
            </w:r>
            <w:r>
              <w:rPr>
                <w:spacing w:val="-2"/>
                <w:sz w:val="20"/>
              </w:rPr>
              <w:t>2.342966</w:t>
            </w:r>
          </w:p>
        </w:tc>
        <w:tc>
          <w:tcPr>
            <w:tcW w:w="930" w:type="dxa"/>
          </w:tcPr>
          <w:p>
            <w:pPr>
              <w:pStyle w:val="TableParagraph"/>
              <w:spacing w:line="210" w:lineRule="exact"/>
              <w:ind w:right="31"/>
              <w:jc w:val="right"/>
              <w:rPr>
                <w:sz w:val="20"/>
              </w:rPr>
            </w:pPr>
            <w:r>
              <w:rPr>
                <w:spacing w:val="-2"/>
                <w:sz w:val="20"/>
              </w:rPr>
              <w:t>0.0390</w:t>
            </w:r>
          </w:p>
        </w:tc>
      </w:tr>
      <w:tr>
        <w:trPr>
          <w:trHeight w:val="230" w:hRule="atLeast"/>
        </w:trPr>
        <w:tc>
          <w:tcPr>
            <w:tcW w:w="1903" w:type="dxa"/>
          </w:tcPr>
          <w:p>
            <w:pPr>
              <w:pStyle w:val="TableParagraph"/>
              <w:spacing w:line="210" w:lineRule="exact"/>
              <w:ind w:left="128" w:right="1"/>
              <w:jc w:val="center"/>
              <w:rPr>
                <w:sz w:val="20"/>
              </w:rPr>
            </w:pPr>
            <w:r>
              <w:rPr>
                <w:spacing w:val="-5"/>
                <w:sz w:val="20"/>
              </w:rPr>
              <w:t>DFI</w:t>
            </w:r>
          </w:p>
        </w:tc>
        <w:tc>
          <w:tcPr>
            <w:tcW w:w="1313" w:type="dxa"/>
          </w:tcPr>
          <w:p>
            <w:pPr>
              <w:pStyle w:val="TableParagraph"/>
              <w:spacing w:line="210" w:lineRule="exact"/>
              <w:ind w:left="298"/>
              <w:jc w:val="center"/>
              <w:rPr>
                <w:sz w:val="20"/>
              </w:rPr>
            </w:pPr>
            <w:r>
              <w:rPr>
                <w:spacing w:val="-2"/>
                <w:sz w:val="20"/>
              </w:rPr>
              <w:t>1.493692</w:t>
            </w:r>
          </w:p>
        </w:tc>
        <w:tc>
          <w:tcPr>
            <w:tcW w:w="1433" w:type="dxa"/>
          </w:tcPr>
          <w:p>
            <w:pPr>
              <w:pStyle w:val="TableParagraph"/>
              <w:spacing w:line="210" w:lineRule="exact"/>
              <w:ind w:left="310"/>
              <w:rPr>
                <w:sz w:val="20"/>
              </w:rPr>
            </w:pPr>
            <w:r>
              <w:rPr>
                <w:spacing w:val="-2"/>
                <w:sz w:val="20"/>
              </w:rPr>
              <w:t>0.174456</w:t>
            </w:r>
          </w:p>
        </w:tc>
        <w:tc>
          <w:tcPr>
            <w:tcW w:w="905" w:type="dxa"/>
          </w:tcPr>
          <w:p>
            <w:pPr>
              <w:pStyle w:val="TableParagraph"/>
              <w:spacing w:line="210" w:lineRule="exact"/>
              <w:ind w:right="11"/>
              <w:jc w:val="center"/>
              <w:rPr>
                <w:sz w:val="20"/>
              </w:rPr>
            </w:pPr>
            <w:r>
              <w:rPr>
                <w:spacing w:val="-2"/>
                <w:sz w:val="20"/>
              </w:rPr>
              <w:t>8.561991</w:t>
            </w:r>
          </w:p>
        </w:tc>
        <w:tc>
          <w:tcPr>
            <w:tcW w:w="930" w:type="dxa"/>
          </w:tcPr>
          <w:p>
            <w:pPr>
              <w:pStyle w:val="TableParagraph"/>
              <w:spacing w:line="210" w:lineRule="exact"/>
              <w:ind w:right="31"/>
              <w:jc w:val="right"/>
              <w:rPr>
                <w:sz w:val="20"/>
              </w:rPr>
            </w:pPr>
            <w:r>
              <w:rPr>
                <w:spacing w:val="-2"/>
                <w:sz w:val="20"/>
              </w:rPr>
              <w:t>0.0000</w:t>
            </w:r>
          </w:p>
        </w:tc>
      </w:tr>
      <w:tr>
        <w:trPr>
          <w:trHeight w:val="230" w:hRule="atLeast"/>
        </w:trPr>
        <w:tc>
          <w:tcPr>
            <w:tcW w:w="1903" w:type="dxa"/>
          </w:tcPr>
          <w:p>
            <w:pPr>
              <w:pStyle w:val="TableParagraph"/>
              <w:spacing w:line="210" w:lineRule="exact"/>
              <w:ind w:left="128" w:right="4"/>
              <w:jc w:val="center"/>
              <w:rPr>
                <w:sz w:val="20"/>
              </w:rPr>
            </w:pPr>
            <w:r>
              <w:rPr>
                <w:spacing w:val="-5"/>
                <w:sz w:val="20"/>
              </w:rPr>
              <w:t>CAB</w:t>
            </w:r>
          </w:p>
        </w:tc>
        <w:tc>
          <w:tcPr>
            <w:tcW w:w="1313" w:type="dxa"/>
          </w:tcPr>
          <w:p>
            <w:pPr>
              <w:pStyle w:val="TableParagraph"/>
              <w:spacing w:line="210" w:lineRule="exact"/>
              <w:ind w:left="234" w:right="1"/>
              <w:jc w:val="center"/>
              <w:rPr>
                <w:sz w:val="20"/>
              </w:rPr>
            </w:pPr>
            <w:r>
              <w:rPr>
                <w:spacing w:val="-4"/>
                <w:sz w:val="20"/>
              </w:rPr>
              <w:t>-</w:t>
            </w:r>
            <w:r>
              <w:rPr>
                <w:spacing w:val="-2"/>
                <w:sz w:val="20"/>
              </w:rPr>
              <w:t>0.012379</w:t>
            </w:r>
          </w:p>
        </w:tc>
        <w:tc>
          <w:tcPr>
            <w:tcW w:w="1433" w:type="dxa"/>
          </w:tcPr>
          <w:p>
            <w:pPr>
              <w:pStyle w:val="TableParagraph"/>
              <w:spacing w:line="210" w:lineRule="exact"/>
              <w:ind w:left="310"/>
              <w:rPr>
                <w:sz w:val="20"/>
              </w:rPr>
            </w:pPr>
            <w:r>
              <w:rPr>
                <w:spacing w:val="-2"/>
                <w:sz w:val="20"/>
              </w:rPr>
              <w:t>0.034106</w:t>
            </w:r>
          </w:p>
        </w:tc>
        <w:tc>
          <w:tcPr>
            <w:tcW w:w="905" w:type="dxa"/>
          </w:tcPr>
          <w:p>
            <w:pPr>
              <w:pStyle w:val="TableParagraph"/>
              <w:spacing w:line="210" w:lineRule="exact"/>
              <w:ind w:right="75"/>
              <w:jc w:val="center"/>
              <w:rPr>
                <w:sz w:val="20"/>
              </w:rPr>
            </w:pPr>
            <w:r>
              <w:rPr>
                <w:spacing w:val="-4"/>
                <w:sz w:val="20"/>
              </w:rPr>
              <w:t>-</w:t>
            </w:r>
            <w:r>
              <w:rPr>
                <w:spacing w:val="-2"/>
                <w:sz w:val="20"/>
              </w:rPr>
              <w:t>0.362955</w:t>
            </w:r>
          </w:p>
        </w:tc>
        <w:tc>
          <w:tcPr>
            <w:tcW w:w="930" w:type="dxa"/>
          </w:tcPr>
          <w:p>
            <w:pPr>
              <w:pStyle w:val="TableParagraph"/>
              <w:spacing w:line="210" w:lineRule="exact"/>
              <w:ind w:right="31"/>
              <w:jc w:val="right"/>
              <w:rPr>
                <w:sz w:val="20"/>
              </w:rPr>
            </w:pPr>
            <w:r>
              <w:rPr>
                <w:spacing w:val="-2"/>
                <w:sz w:val="20"/>
              </w:rPr>
              <w:t>0.7235</w:t>
            </w:r>
          </w:p>
        </w:tc>
      </w:tr>
      <w:tr>
        <w:trPr>
          <w:trHeight w:val="224" w:hRule="atLeast"/>
        </w:trPr>
        <w:tc>
          <w:tcPr>
            <w:tcW w:w="1903" w:type="dxa"/>
            <w:tcBorders>
              <w:bottom w:val="double" w:sz="6" w:space="0" w:color="000000"/>
            </w:tcBorders>
          </w:tcPr>
          <w:p>
            <w:pPr>
              <w:pStyle w:val="TableParagraph"/>
              <w:spacing w:line="205" w:lineRule="exact"/>
              <w:ind w:left="128" w:right="5"/>
              <w:jc w:val="center"/>
              <w:rPr>
                <w:sz w:val="20"/>
              </w:rPr>
            </w:pPr>
            <w:r>
              <w:rPr>
                <w:spacing w:val="-5"/>
                <w:sz w:val="20"/>
              </w:rPr>
              <w:t>RES</w:t>
            </w:r>
          </w:p>
        </w:tc>
        <w:tc>
          <w:tcPr>
            <w:tcW w:w="1313" w:type="dxa"/>
            <w:tcBorders>
              <w:bottom w:val="double" w:sz="6" w:space="0" w:color="000000"/>
            </w:tcBorders>
          </w:tcPr>
          <w:p>
            <w:pPr>
              <w:pStyle w:val="TableParagraph"/>
              <w:spacing w:line="205" w:lineRule="exact"/>
              <w:ind w:left="298"/>
              <w:jc w:val="center"/>
              <w:rPr>
                <w:sz w:val="20"/>
              </w:rPr>
            </w:pPr>
            <w:r>
              <w:rPr>
                <w:spacing w:val="-2"/>
                <w:sz w:val="20"/>
              </w:rPr>
              <w:t>0.227284</w:t>
            </w:r>
          </w:p>
        </w:tc>
        <w:tc>
          <w:tcPr>
            <w:tcW w:w="1433" w:type="dxa"/>
            <w:tcBorders>
              <w:bottom w:val="double" w:sz="6" w:space="0" w:color="000000"/>
            </w:tcBorders>
          </w:tcPr>
          <w:p>
            <w:pPr>
              <w:pStyle w:val="TableParagraph"/>
              <w:spacing w:line="205" w:lineRule="exact"/>
              <w:ind w:left="310"/>
              <w:rPr>
                <w:sz w:val="20"/>
              </w:rPr>
            </w:pPr>
            <w:r>
              <w:rPr>
                <w:spacing w:val="-2"/>
                <w:sz w:val="20"/>
              </w:rPr>
              <w:t>0.039203</w:t>
            </w:r>
          </w:p>
        </w:tc>
        <w:tc>
          <w:tcPr>
            <w:tcW w:w="905" w:type="dxa"/>
            <w:tcBorders>
              <w:bottom w:val="double" w:sz="6" w:space="0" w:color="000000"/>
            </w:tcBorders>
          </w:tcPr>
          <w:p>
            <w:pPr>
              <w:pStyle w:val="TableParagraph"/>
              <w:spacing w:line="205" w:lineRule="exact"/>
              <w:ind w:right="11"/>
              <w:jc w:val="center"/>
              <w:rPr>
                <w:sz w:val="20"/>
              </w:rPr>
            </w:pPr>
            <w:r>
              <w:rPr>
                <w:spacing w:val="-2"/>
                <w:sz w:val="20"/>
              </w:rPr>
              <w:t>5.797596</w:t>
            </w:r>
          </w:p>
        </w:tc>
        <w:tc>
          <w:tcPr>
            <w:tcW w:w="930" w:type="dxa"/>
            <w:tcBorders>
              <w:bottom w:val="double" w:sz="6" w:space="0" w:color="000000"/>
            </w:tcBorders>
          </w:tcPr>
          <w:p>
            <w:pPr>
              <w:pStyle w:val="TableParagraph"/>
              <w:spacing w:line="205" w:lineRule="exact"/>
              <w:ind w:right="31"/>
              <w:jc w:val="right"/>
              <w:rPr>
                <w:sz w:val="20"/>
              </w:rPr>
            </w:pPr>
            <w:r>
              <w:rPr>
                <w:spacing w:val="-2"/>
                <w:sz w:val="20"/>
              </w:rPr>
              <w:t>0.0001</w:t>
            </w:r>
          </w:p>
        </w:tc>
      </w:tr>
      <w:tr>
        <w:trPr>
          <w:trHeight w:val="275" w:hRule="atLeast"/>
        </w:trPr>
        <w:tc>
          <w:tcPr>
            <w:tcW w:w="1903" w:type="dxa"/>
            <w:tcBorders>
              <w:top w:val="double" w:sz="6" w:space="0" w:color="000000"/>
            </w:tcBorders>
          </w:tcPr>
          <w:p>
            <w:pPr>
              <w:pStyle w:val="TableParagraph"/>
              <w:spacing w:line="215" w:lineRule="exact" w:before="40"/>
              <w:ind w:left="28"/>
              <w:rPr>
                <w:sz w:val="20"/>
              </w:rPr>
            </w:pPr>
            <w:r>
              <w:rPr>
                <w:spacing w:val="-2"/>
                <w:sz w:val="20"/>
              </w:rPr>
              <w:t>R-squared</w:t>
            </w:r>
          </w:p>
        </w:tc>
        <w:tc>
          <w:tcPr>
            <w:tcW w:w="1313" w:type="dxa"/>
            <w:tcBorders>
              <w:top w:val="double" w:sz="6" w:space="0" w:color="000000"/>
            </w:tcBorders>
          </w:tcPr>
          <w:p>
            <w:pPr>
              <w:pStyle w:val="TableParagraph"/>
              <w:spacing w:line="215" w:lineRule="exact" w:before="40"/>
              <w:ind w:left="298"/>
              <w:jc w:val="center"/>
              <w:rPr>
                <w:sz w:val="20"/>
              </w:rPr>
            </w:pPr>
            <w:r>
              <w:rPr>
                <w:spacing w:val="-2"/>
                <w:sz w:val="20"/>
              </w:rPr>
              <w:t>0.975072</w:t>
            </w:r>
          </w:p>
        </w:tc>
        <w:tc>
          <w:tcPr>
            <w:tcW w:w="2338" w:type="dxa"/>
            <w:gridSpan w:val="2"/>
            <w:tcBorders>
              <w:top w:val="double" w:sz="6" w:space="0" w:color="000000"/>
            </w:tcBorders>
          </w:tcPr>
          <w:p>
            <w:pPr>
              <w:pStyle w:val="TableParagraph"/>
              <w:spacing w:line="215" w:lineRule="exact" w:before="40"/>
              <w:ind w:left="130"/>
              <w:rPr>
                <w:sz w:val="20"/>
              </w:rPr>
            </w:pPr>
            <w:r>
              <w:rPr>
                <w:sz w:val="20"/>
              </w:rPr>
              <w:t>Mean</w:t>
            </w:r>
            <w:r>
              <w:rPr>
                <w:spacing w:val="-7"/>
                <w:sz w:val="20"/>
              </w:rPr>
              <w:t> </w:t>
            </w:r>
            <w:r>
              <w:rPr>
                <w:sz w:val="20"/>
              </w:rPr>
              <w:t>dependent</w:t>
            </w:r>
            <w:r>
              <w:rPr>
                <w:spacing w:val="-7"/>
                <w:sz w:val="20"/>
              </w:rPr>
              <w:t> </w:t>
            </w:r>
            <w:r>
              <w:rPr>
                <w:spacing w:val="-5"/>
                <w:sz w:val="20"/>
              </w:rPr>
              <w:t>var</w:t>
            </w:r>
          </w:p>
        </w:tc>
        <w:tc>
          <w:tcPr>
            <w:tcW w:w="930" w:type="dxa"/>
            <w:tcBorders>
              <w:top w:val="double" w:sz="6" w:space="0" w:color="000000"/>
            </w:tcBorders>
          </w:tcPr>
          <w:p>
            <w:pPr>
              <w:pStyle w:val="TableParagraph"/>
              <w:spacing w:line="215" w:lineRule="exact" w:before="40"/>
              <w:ind w:right="31"/>
              <w:jc w:val="right"/>
              <w:rPr>
                <w:sz w:val="20"/>
              </w:rPr>
            </w:pPr>
            <w:r>
              <w:rPr>
                <w:spacing w:val="-2"/>
                <w:sz w:val="20"/>
              </w:rPr>
              <w:t>10.13532</w:t>
            </w:r>
          </w:p>
        </w:tc>
      </w:tr>
      <w:tr>
        <w:trPr>
          <w:trHeight w:val="229" w:hRule="atLeast"/>
        </w:trPr>
        <w:tc>
          <w:tcPr>
            <w:tcW w:w="1903" w:type="dxa"/>
          </w:tcPr>
          <w:p>
            <w:pPr>
              <w:pStyle w:val="TableParagraph"/>
              <w:spacing w:line="209" w:lineRule="exact"/>
              <w:ind w:left="28"/>
              <w:rPr>
                <w:sz w:val="20"/>
              </w:rPr>
            </w:pPr>
            <w:r>
              <w:rPr>
                <w:sz w:val="20"/>
              </w:rPr>
              <w:t>Adjusted</w:t>
            </w:r>
            <w:r>
              <w:rPr>
                <w:spacing w:val="-10"/>
                <w:sz w:val="20"/>
              </w:rPr>
              <w:t> </w:t>
            </w:r>
            <w:r>
              <w:rPr>
                <w:sz w:val="20"/>
              </w:rPr>
              <w:t>R-</w:t>
            </w:r>
            <w:r>
              <w:rPr>
                <w:spacing w:val="-2"/>
                <w:sz w:val="20"/>
              </w:rPr>
              <w:t>squared</w:t>
            </w:r>
          </w:p>
        </w:tc>
        <w:tc>
          <w:tcPr>
            <w:tcW w:w="1313" w:type="dxa"/>
          </w:tcPr>
          <w:p>
            <w:pPr>
              <w:pStyle w:val="TableParagraph"/>
              <w:spacing w:line="209" w:lineRule="exact"/>
              <w:ind w:left="298"/>
              <w:jc w:val="center"/>
              <w:rPr>
                <w:sz w:val="20"/>
              </w:rPr>
            </w:pPr>
            <w:r>
              <w:rPr>
                <w:spacing w:val="-2"/>
                <w:sz w:val="20"/>
              </w:rPr>
              <w:t>0.966007</w:t>
            </w:r>
          </w:p>
        </w:tc>
        <w:tc>
          <w:tcPr>
            <w:tcW w:w="2338" w:type="dxa"/>
            <w:gridSpan w:val="2"/>
          </w:tcPr>
          <w:p>
            <w:pPr>
              <w:pStyle w:val="TableParagraph"/>
              <w:spacing w:line="209" w:lineRule="exact"/>
              <w:ind w:left="130"/>
              <w:rPr>
                <w:sz w:val="20"/>
              </w:rPr>
            </w:pPr>
            <w:r>
              <w:rPr>
                <w:sz w:val="20"/>
              </w:rPr>
              <w:t>S.D.</w:t>
            </w:r>
            <w:r>
              <w:rPr>
                <w:spacing w:val="-5"/>
                <w:sz w:val="20"/>
              </w:rPr>
              <w:t> </w:t>
            </w:r>
            <w:r>
              <w:rPr>
                <w:sz w:val="20"/>
              </w:rPr>
              <w:t>dependent</w:t>
            </w:r>
            <w:r>
              <w:rPr>
                <w:spacing w:val="-6"/>
                <w:sz w:val="20"/>
              </w:rPr>
              <w:t> </w:t>
            </w:r>
            <w:r>
              <w:rPr>
                <w:spacing w:val="-5"/>
                <w:sz w:val="20"/>
              </w:rPr>
              <w:t>var</w:t>
            </w:r>
          </w:p>
        </w:tc>
        <w:tc>
          <w:tcPr>
            <w:tcW w:w="930" w:type="dxa"/>
          </w:tcPr>
          <w:p>
            <w:pPr>
              <w:pStyle w:val="TableParagraph"/>
              <w:spacing w:line="209" w:lineRule="exact"/>
              <w:ind w:right="31"/>
              <w:jc w:val="right"/>
              <w:rPr>
                <w:sz w:val="20"/>
              </w:rPr>
            </w:pPr>
            <w:r>
              <w:rPr>
                <w:spacing w:val="-2"/>
                <w:sz w:val="20"/>
              </w:rPr>
              <w:t>0.858322</w:t>
            </w:r>
          </w:p>
        </w:tc>
      </w:tr>
      <w:tr>
        <w:trPr>
          <w:trHeight w:val="229" w:hRule="atLeast"/>
        </w:trPr>
        <w:tc>
          <w:tcPr>
            <w:tcW w:w="1903" w:type="dxa"/>
          </w:tcPr>
          <w:p>
            <w:pPr>
              <w:pStyle w:val="TableParagraph"/>
              <w:spacing w:line="209" w:lineRule="exact"/>
              <w:ind w:left="28"/>
              <w:rPr>
                <w:sz w:val="20"/>
              </w:rPr>
            </w:pPr>
            <w:r>
              <w:rPr>
                <w:sz w:val="20"/>
              </w:rPr>
              <w:t>S.E.</w:t>
            </w:r>
            <w:r>
              <w:rPr>
                <w:spacing w:val="-3"/>
                <w:sz w:val="20"/>
              </w:rPr>
              <w:t> </w:t>
            </w:r>
            <w:r>
              <w:rPr>
                <w:sz w:val="20"/>
              </w:rPr>
              <w:t>of</w:t>
            </w:r>
            <w:r>
              <w:rPr>
                <w:spacing w:val="-3"/>
                <w:sz w:val="20"/>
              </w:rPr>
              <w:t> </w:t>
            </w:r>
            <w:r>
              <w:rPr>
                <w:spacing w:val="-2"/>
                <w:sz w:val="20"/>
              </w:rPr>
              <w:t>regression</w:t>
            </w:r>
          </w:p>
        </w:tc>
        <w:tc>
          <w:tcPr>
            <w:tcW w:w="1313" w:type="dxa"/>
          </w:tcPr>
          <w:p>
            <w:pPr>
              <w:pStyle w:val="TableParagraph"/>
              <w:spacing w:line="209" w:lineRule="exact"/>
              <w:ind w:left="298"/>
              <w:jc w:val="center"/>
              <w:rPr>
                <w:sz w:val="20"/>
              </w:rPr>
            </w:pPr>
            <w:r>
              <w:rPr>
                <w:spacing w:val="-2"/>
                <w:sz w:val="20"/>
              </w:rPr>
              <w:t>0.158250</w:t>
            </w:r>
          </w:p>
        </w:tc>
        <w:tc>
          <w:tcPr>
            <w:tcW w:w="2338" w:type="dxa"/>
            <w:gridSpan w:val="2"/>
          </w:tcPr>
          <w:p>
            <w:pPr>
              <w:pStyle w:val="TableParagraph"/>
              <w:spacing w:line="209" w:lineRule="exact"/>
              <w:ind w:left="130"/>
              <w:rPr>
                <w:sz w:val="20"/>
              </w:rPr>
            </w:pPr>
            <w:r>
              <w:rPr>
                <w:sz w:val="20"/>
              </w:rPr>
              <w:t>Akaike</w:t>
            </w:r>
            <w:r>
              <w:rPr>
                <w:spacing w:val="-8"/>
                <w:sz w:val="20"/>
              </w:rPr>
              <w:t> </w:t>
            </w:r>
            <w:r>
              <w:rPr>
                <w:sz w:val="20"/>
              </w:rPr>
              <w:t>info</w:t>
            </w:r>
            <w:r>
              <w:rPr>
                <w:spacing w:val="-7"/>
                <w:sz w:val="20"/>
              </w:rPr>
              <w:t> </w:t>
            </w:r>
            <w:r>
              <w:rPr>
                <w:spacing w:val="-2"/>
                <w:sz w:val="20"/>
              </w:rPr>
              <w:t>criterion</w:t>
            </w:r>
          </w:p>
        </w:tc>
        <w:tc>
          <w:tcPr>
            <w:tcW w:w="930" w:type="dxa"/>
          </w:tcPr>
          <w:p>
            <w:pPr>
              <w:pStyle w:val="TableParagraph"/>
              <w:spacing w:line="209" w:lineRule="exact"/>
              <w:ind w:right="31"/>
              <w:jc w:val="right"/>
              <w:rPr>
                <w:sz w:val="20"/>
              </w:rPr>
            </w:pPr>
            <w:r>
              <w:rPr>
                <w:spacing w:val="-4"/>
                <w:sz w:val="20"/>
              </w:rPr>
              <w:t>-</w:t>
            </w:r>
            <w:r>
              <w:rPr>
                <w:spacing w:val="-2"/>
                <w:sz w:val="20"/>
              </w:rPr>
              <w:t>0.598980</w:t>
            </w:r>
          </w:p>
        </w:tc>
      </w:tr>
      <w:tr>
        <w:trPr>
          <w:trHeight w:val="230" w:hRule="atLeast"/>
        </w:trPr>
        <w:tc>
          <w:tcPr>
            <w:tcW w:w="1903" w:type="dxa"/>
          </w:tcPr>
          <w:p>
            <w:pPr>
              <w:pStyle w:val="TableParagraph"/>
              <w:spacing w:line="210" w:lineRule="exact"/>
              <w:ind w:left="28"/>
              <w:rPr>
                <w:sz w:val="20"/>
              </w:rPr>
            </w:pPr>
            <w:r>
              <w:rPr>
                <w:sz w:val="20"/>
              </w:rPr>
              <w:t>Sum</w:t>
            </w:r>
            <w:r>
              <w:rPr>
                <w:spacing w:val="-8"/>
                <w:sz w:val="20"/>
              </w:rPr>
              <w:t> </w:t>
            </w:r>
            <w:r>
              <w:rPr>
                <w:sz w:val="20"/>
              </w:rPr>
              <w:t>squared</w:t>
            </w:r>
            <w:r>
              <w:rPr>
                <w:spacing w:val="-4"/>
                <w:sz w:val="20"/>
              </w:rPr>
              <w:t> </w:t>
            </w:r>
            <w:r>
              <w:rPr>
                <w:spacing w:val="-2"/>
                <w:sz w:val="20"/>
              </w:rPr>
              <w:t>resid</w:t>
            </w:r>
          </w:p>
        </w:tc>
        <w:tc>
          <w:tcPr>
            <w:tcW w:w="1313" w:type="dxa"/>
          </w:tcPr>
          <w:p>
            <w:pPr>
              <w:pStyle w:val="TableParagraph"/>
              <w:spacing w:line="210" w:lineRule="exact"/>
              <w:ind w:left="298"/>
              <w:jc w:val="center"/>
              <w:rPr>
                <w:sz w:val="20"/>
              </w:rPr>
            </w:pPr>
            <w:r>
              <w:rPr>
                <w:spacing w:val="-2"/>
                <w:sz w:val="20"/>
              </w:rPr>
              <w:t>0.275472</w:t>
            </w:r>
          </w:p>
        </w:tc>
        <w:tc>
          <w:tcPr>
            <w:tcW w:w="2338" w:type="dxa"/>
            <w:gridSpan w:val="2"/>
          </w:tcPr>
          <w:p>
            <w:pPr>
              <w:pStyle w:val="TableParagraph"/>
              <w:spacing w:line="210" w:lineRule="exact"/>
              <w:ind w:left="130"/>
              <w:rPr>
                <w:sz w:val="20"/>
              </w:rPr>
            </w:pPr>
            <w:r>
              <w:rPr>
                <w:sz w:val="20"/>
              </w:rPr>
              <w:t>Schwarz</w:t>
            </w:r>
            <w:r>
              <w:rPr>
                <w:spacing w:val="-8"/>
                <w:sz w:val="20"/>
              </w:rPr>
              <w:t> </w:t>
            </w:r>
            <w:r>
              <w:rPr>
                <w:spacing w:val="-2"/>
                <w:sz w:val="20"/>
              </w:rPr>
              <w:t>criterion</w:t>
            </w:r>
          </w:p>
        </w:tc>
        <w:tc>
          <w:tcPr>
            <w:tcW w:w="930" w:type="dxa"/>
          </w:tcPr>
          <w:p>
            <w:pPr>
              <w:pStyle w:val="TableParagraph"/>
              <w:spacing w:line="210" w:lineRule="exact"/>
              <w:ind w:right="31"/>
              <w:jc w:val="right"/>
              <w:rPr>
                <w:sz w:val="20"/>
              </w:rPr>
            </w:pPr>
            <w:r>
              <w:rPr>
                <w:spacing w:val="-4"/>
                <w:sz w:val="20"/>
              </w:rPr>
              <w:t>-</w:t>
            </w:r>
            <w:r>
              <w:rPr>
                <w:spacing w:val="-2"/>
                <w:sz w:val="20"/>
              </w:rPr>
              <w:t>0.357546</w:t>
            </w:r>
          </w:p>
        </w:tc>
      </w:tr>
      <w:tr>
        <w:trPr>
          <w:trHeight w:val="230" w:hRule="atLeast"/>
        </w:trPr>
        <w:tc>
          <w:tcPr>
            <w:tcW w:w="1903" w:type="dxa"/>
          </w:tcPr>
          <w:p>
            <w:pPr>
              <w:pStyle w:val="TableParagraph"/>
              <w:spacing w:line="210" w:lineRule="exact"/>
              <w:ind w:left="28"/>
              <w:rPr>
                <w:sz w:val="20"/>
              </w:rPr>
            </w:pPr>
            <w:r>
              <w:rPr>
                <w:sz w:val="20"/>
              </w:rPr>
              <w:t>Log</w:t>
            </w:r>
            <w:r>
              <w:rPr>
                <w:spacing w:val="-6"/>
                <w:sz w:val="20"/>
              </w:rPr>
              <w:t> </w:t>
            </w:r>
            <w:r>
              <w:rPr>
                <w:spacing w:val="-2"/>
                <w:sz w:val="20"/>
              </w:rPr>
              <w:t>likelihood</w:t>
            </w:r>
          </w:p>
        </w:tc>
        <w:tc>
          <w:tcPr>
            <w:tcW w:w="1313" w:type="dxa"/>
          </w:tcPr>
          <w:p>
            <w:pPr>
              <w:pStyle w:val="TableParagraph"/>
              <w:spacing w:line="210" w:lineRule="exact"/>
              <w:ind w:left="298"/>
              <w:jc w:val="center"/>
              <w:rPr>
                <w:sz w:val="20"/>
              </w:rPr>
            </w:pPr>
            <w:r>
              <w:rPr>
                <w:spacing w:val="-2"/>
                <w:sz w:val="20"/>
              </w:rPr>
              <w:t>9.791842</w:t>
            </w:r>
          </w:p>
        </w:tc>
        <w:tc>
          <w:tcPr>
            <w:tcW w:w="1433" w:type="dxa"/>
          </w:tcPr>
          <w:p>
            <w:pPr>
              <w:pStyle w:val="TableParagraph"/>
              <w:spacing w:line="210" w:lineRule="exact"/>
              <w:ind w:left="130"/>
              <w:rPr>
                <w:sz w:val="20"/>
              </w:rPr>
            </w:pPr>
            <w:r>
              <w:rPr>
                <w:spacing w:val="-4"/>
                <w:sz w:val="20"/>
              </w:rPr>
              <w:t>F-</w:t>
            </w:r>
            <w:r>
              <w:rPr>
                <w:spacing w:val="-2"/>
                <w:sz w:val="20"/>
              </w:rPr>
              <w:t>statistic</w:t>
            </w:r>
          </w:p>
        </w:tc>
        <w:tc>
          <w:tcPr>
            <w:tcW w:w="905" w:type="dxa"/>
          </w:tcPr>
          <w:p>
            <w:pPr>
              <w:pStyle w:val="TableParagraph"/>
              <w:rPr>
                <w:sz w:val="16"/>
              </w:rPr>
            </w:pPr>
          </w:p>
        </w:tc>
        <w:tc>
          <w:tcPr>
            <w:tcW w:w="930" w:type="dxa"/>
          </w:tcPr>
          <w:p>
            <w:pPr>
              <w:pStyle w:val="TableParagraph"/>
              <w:spacing w:line="210" w:lineRule="exact"/>
              <w:ind w:right="31"/>
              <w:jc w:val="right"/>
              <w:rPr>
                <w:sz w:val="20"/>
              </w:rPr>
            </w:pPr>
            <w:r>
              <w:rPr>
                <w:spacing w:val="-2"/>
                <w:sz w:val="20"/>
              </w:rPr>
              <w:t>107.5680</w:t>
            </w:r>
          </w:p>
        </w:tc>
      </w:tr>
      <w:tr>
        <w:trPr>
          <w:trHeight w:val="224" w:hRule="atLeast"/>
        </w:trPr>
        <w:tc>
          <w:tcPr>
            <w:tcW w:w="1903" w:type="dxa"/>
            <w:tcBorders>
              <w:bottom w:val="double" w:sz="6" w:space="0" w:color="000000"/>
            </w:tcBorders>
          </w:tcPr>
          <w:p>
            <w:pPr>
              <w:pStyle w:val="TableParagraph"/>
              <w:spacing w:line="205" w:lineRule="exact"/>
              <w:ind w:left="28"/>
              <w:rPr>
                <w:sz w:val="20"/>
              </w:rPr>
            </w:pPr>
            <w:r>
              <w:rPr>
                <w:sz w:val="20"/>
              </w:rPr>
              <w:t>Durbin-Watson</w:t>
            </w:r>
            <w:r>
              <w:rPr>
                <w:spacing w:val="-12"/>
                <w:sz w:val="20"/>
              </w:rPr>
              <w:t> </w:t>
            </w:r>
            <w:r>
              <w:rPr>
                <w:spacing w:val="-4"/>
                <w:sz w:val="20"/>
              </w:rPr>
              <w:t>stat</w:t>
            </w:r>
          </w:p>
        </w:tc>
        <w:tc>
          <w:tcPr>
            <w:tcW w:w="1313" w:type="dxa"/>
            <w:tcBorders>
              <w:bottom w:val="double" w:sz="6" w:space="0" w:color="000000"/>
            </w:tcBorders>
          </w:tcPr>
          <w:p>
            <w:pPr>
              <w:pStyle w:val="TableParagraph"/>
              <w:spacing w:line="205" w:lineRule="exact"/>
              <w:ind w:left="298"/>
              <w:jc w:val="center"/>
              <w:rPr>
                <w:sz w:val="20"/>
              </w:rPr>
            </w:pPr>
            <w:r>
              <w:rPr>
                <w:spacing w:val="-2"/>
                <w:sz w:val="20"/>
              </w:rPr>
              <w:t>1.125525</w:t>
            </w:r>
          </w:p>
        </w:tc>
        <w:tc>
          <w:tcPr>
            <w:tcW w:w="1433" w:type="dxa"/>
            <w:tcBorders>
              <w:bottom w:val="double" w:sz="6" w:space="0" w:color="000000"/>
            </w:tcBorders>
          </w:tcPr>
          <w:p>
            <w:pPr>
              <w:pStyle w:val="TableParagraph"/>
              <w:spacing w:line="205" w:lineRule="exact"/>
              <w:ind w:left="130"/>
              <w:rPr>
                <w:sz w:val="20"/>
              </w:rPr>
            </w:pPr>
            <w:r>
              <w:rPr>
                <w:spacing w:val="-2"/>
                <w:sz w:val="20"/>
              </w:rPr>
              <w:t>Prob(F-statistic)</w:t>
            </w:r>
          </w:p>
        </w:tc>
        <w:tc>
          <w:tcPr>
            <w:tcW w:w="905" w:type="dxa"/>
            <w:tcBorders>
              <w:bottom w:val="double" w:sz="6" w:space="0" w:color="000000"/>
            </w:tcBorders>
          </w:tcPr>
          <w:p>
            <w:pPr>
              <w:pStyle w:val="TableParagraph"/>
              <w:rPr>
                <w:sz w:val="16"/>
              </w:rPr>
            </w:pPr>
          </w:p>
        </w:tc>
        <w:tc>
          <w:tcPr>
            <w:tcW w:w="930" w:type="dxa"/>
            <w:tcBorders>
              <w:bottom w:val="double" w:sz="6" w:space="0" w:color="000000"/>
            </w:tcBorders>
          </w:tcPr>
          <w:p>
            <w:pPr>
              <w:pStyle w:val="TableParagraph"/>
              <w:spacing w:line="205" w:lineRule="exact"/>
              <w:ind w:right="31"/>
              <w:jc w:val="right"/>
              <w:rPr>
                <w:sz w:val="20"/>
              </w:rPr>
            </w:pPr>
            <w:r>
              <w:rPr>
                <w:spacing w:val="-2"/>
                <w:sz w:val="20"/>
              </w:rPr>
              <w:t>0.000000</w:t>
            </w:r>
          </w:p>
        </w:tc>
      </w:tr>
    </w:tbl>
    <w:p>
      <w:pPr>
        <w:pStyle w:val="BodyText"/>
        <w:rPr>
          <w:sz w:val="20"/>
        </w:rPr>
      </w:pPr>
    </w:p>
    <w:p>
      <w:pPr>
        <w:pStyle w:val="BodyText"/>
        <w:rPr>
          <w:sz w:val="20"/>
        </w:rPr>
      </w:pPr>
    </w:p>
    <w:p>
      <w:pPr>
        <w:pStyle w:val="BodyText"/>
        <w:rPr>
          <w:sz w:val="20"/>
        </w:rPr>
      </w:pPr>
    </w:p>
    <w:p>
      <w:pPr>
        <w:pStyle w:val="BodyText"/>
        <w:spacing w:before="89"/>
        <w:rPr>
          <w:sz w:val="20"/>
        </w:rPr>
      </w:pPr>
    </w:p>
    <w:p>
      <w:pPr>
        <w:spacing w:before="0" w:after="3"/>
        <w:ind w:left="711" w:right="0" w:firstLine="0"/>
        <w:jc w:val="left"/>
        <w:rPr>
          <w:sz w:val="20"/>
        </w:rPr>
      </w:pPr>
      <w:r>
        <w:rPr>
          <w:sz w:val="20"/>
        </w:rPr>
        <w:t>POST</w:t>
      </w:r>
      <w:r>
        <w:rPr>
          <w:spacing w:val="-4"/>
          <w:sz w:val="20"/>
        </w:rPr>
        <w:t> </w:t>
      </w:r>
      <w:r>
        <w:rPr>
          <w:sz w:val="20"/>
        </w:rPr>
        <w:t>SAP</w:t>
      </w:r>
      <w:r>
        <w:rPr>
          <w:spacing w:val="-3"/>
          <w:sz w:val="20"/>
        </w:rPr>
        <w:t> </w:t>
      </w:r>
      <w:r>
        <w:rPr>
          <w:spacing w:val="-2"/>
          <w:sz w:val="20"/>
        </w:rPr>
        <w:t>RESULT</w:t>
      </w:r>
    </w:p>
    <w:tbl>
      <w:tblPr>
        <w:tblW w:w="0" w:type="auto"/>
        <w:jc w:val="left"/>
        <w:tblInd w:w="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10"/>
        <w:gridCol w:w="1313"/>
        <w:gridCol w:w="1458"/>
        <w:gridCol w:w="912"/>
        <w:gridCol w:w="897"/>
      </w:tblGrid>
      <w:tr>
        <w:trPr>
          <w:trHeight w:val="225" w:hRule="atLeast"/>
        </w:trPr>
        <w:tc>
          <w:tcPr>
            <w:tcW w:w="6490" w:type="dxa"/>
            <w:gridSpan w:val="5"/>
          </w:tcPr>
          <w:p>
            <w:pPr>
              <w:pStyle w:val="TableParagraph"/>
              <w:spacing w:line="205" w:lineRule="exact"/>
              <w:ind w:left="36"/>
              <w:rPr>
                <w:sz w:val="20"/>
              </w:rPr>
            </w:pPr>
            <w:r>
              <w:rPr>
                <w:sz w:val="20"/>
              </w:rPr>
              <w:t>Dependent</w:t>
            </w:r>
            <w:r>
              <w:rPr>
                <w:spacing w:val="-7"/>
                <w:sz w:val="20"/>
              </w:rPr>
              <w:t> </w:t>
            </w:r>
            <w:r>
              <w:rPr>
                <w:sz w:val="20"/>
              </w:rPr>
              <w:t>Variable:</w:t>
            </w:r>
            <w:r>
              <w:rPr>
                <w:spacing w:val="-7"/>
                <w:sz w:val="20"/>
              </w:rPr>
              <w:t> </w:t>
            </w:r>
            <w:r>
              <w:rPr>
                <w:spacing w:val="-5"/>
                <w:sz w:val="20"/>
              </w:rPr>
              <w:t>GDP</w:t>
            </w:r>
          </w:p>
        </w:tc>
      </w:tr>
      <w:tr>
        <w:trPr>
          <w:trHeight w:val="230" w:hRule="atLeast"/>
        </w:trPr>
        <w:tc>
          <w:tcPr>
            <w:tcW w:w="1910" w:type="dxa"/>
          </w:tcPr>
          <w:p>
            <w:pPr>
              <w:pStyle w:val="TableParagraph"/>
              <w:spacing w:line="210" w:lineRule="exact"/>
              <w:ind w:left="36"/>
              <w:rPr>
                <w:sz w:val="20"/>
              </w:rPr>
            </w:pPr>
            <w:r>
              <w:rPr>
                <w:sz w:val="20"/>
              </w:rPr>
              <w:t>Method:</w:t>
            </w:r>
            <w:r>
              <w:rPr>
                <w:spacing w:val="-8"/>
                <w:sz w:val="20"/>
              </w:rPr>
              <w:t> </w:t>
            </w:r>
            <w:r>
              <w:rPr>
                <w:sz w:val="20"/>
              </w:rPr>
              <w:t>Least</w:t>
            </w:r>
            <w:r>
              <w:rPr>
                <w:spacing w:val="-7"/>
                <w:sz w:val="20"/>
              </w:rPr>
              <w:t> </w:t>
            </w:r>
            <w:r>
              <w:rPr>
                <w:spacing w:val="-2"/>
                <w:sz w:val="20"/>
              </w:rPr>
              <w:t>Squares</w:t>
            </w:r>
          </w:p>
        </w:tc>
        <w:tc>
          <w:tcPr>
            <w:tcW w:w="1313" w:type="dxa"/>
          </w:tcPr>
          <w:p>
            <w:pPr>
              <w:pStyle w:val="TableParagraph"/>
              <w:rPr>
                <w:sz w:val="16"/>
              </w:rPr>
            </w:pPr>
          </w:p>
        </w:tc>
        <w:tc>
          <w:tcPr>
            <w:tcW w:w="1458" w:type="dxa"/>
          </w:tcPr>
          <w:p>
            <w:pPr>
              <w:pStyle w:val="TableParagraph"/>
              <w:rPr>
                <w:sz w:val="16"/>
              </w:rPr>
            </w:pPr>
          </w:p>
        </w:tc>
        <w:tc>
          <w:tcPr>
            <w:tcW w:w="912" w:type="dxa"/>
          </w:tcPr>
          <w:p>
            <w:pPr>
              <w:pStyle w:val="TableParagraph"/>
              <w:rPr>
                <w:sz w:val="16"/>
              </w:rPr>
            </w:pPr>
          </w:p>
        </w:tc>
        <w:tc>
          <w:tcPr>
            <w:tcW w:w="897" w:type="dxa"/>
          </w:tcPr>
          <w:p>
            <w:pPr>
              <w:pStyle w:val="TableParagraph"/>
              <w:rPr>
                <w:sz w:val="16"/>
              </w:rPr>
            </w:pPr>
          </w:p>
        </w:tc>
      </w:tr>
      <w:tr>
        <w:trPr>
          <w:trHeight w:val="229" w:hRule="atLeast"/>
        </w:trPr>
        <w:tc>
          <w:tcPr>
            <w:tcW w:w="6490" w:type="dxa"/>
            <w:gridSpan w:val="5"/>
          </w:tcPr>
          <w:p>
            <w:pPr>
              <w:pStyle w:val="TableParagraph"/>
              <w:spacing w:line="209" w:lineRule="exact"/>
              <w:ind w:left="36"/>
              <w:rPr>
                <w:sz w:val="20"/>
              </w:rPr>
            </w:pPr>
            <w:r>
              <w:rPr>
                <w:sz w:val="20"/>
              </w:rPr>
              <w:t>Date:</w:t>
            </w:r>
            <w:r>
              <w:rPr>
                <w:spacing w:val="-5"/>
                <w:sz w:val="20"/>
              </w:rPr>
              <w:t> </w:t>
            </w:r>
            <w:r>
              <w:rPr>
                <w:sz w:val="20"/>
              </w:rPr>
              <w:t>02/17/14</w:t>
            </w:r>
            <w:r>
              <w:rPr>
                <w:spacing w:val="63"/>
                <w:w w:val="150"/>
                <w:sz w:val="20"/>
              </w:rPr>
              <w:t> </w:t>
            </w:r>
            <w:r>
              <w:rPr>
                <w:sz w:val="20"/>
              </w:rPr>
              <w:t>Time:</w:t>
            </w:r>
            <w:r>
              <w:rPr>
                <w:spacing w:val="-3"/>
                <w:sz w:val="20"/>
              </w:rPr>
              <w:t> </w:t>
            </w:r>
            <w:r>
              <w:rPr>
                <w:spacing w:val="-2"/>
                <w:sz w:val="20"/>
              </w:rPr>
              <w:t>18:34</w:t>
            </w:r>
          </w:p>
        </w:tc>
      </w:tr>
      <w:tr>
        <w:trPr>
          <w:trHeight w:val="229" w:hRule="atLeast"/>
        </w:trPr>
        <w:tc>
          <w:tcPr>
            <w:tcW w:w="1910" w:type="dxa"/>
          </w:tcPr>
          <w:p>
            <w:pPr>
              <w:pStyle w:val="TableParagraph"/>
              <w:spacing w:line="209" w:lineRule="exact"/>
              <w:ind w:left="36"/>
              <w:rPr>
                <w:sz w:val="20"/>
              </w:rPr>
            </w:pPr>
            <w:r>
              <w:rPr>
                <w:sz w:val="20"/>
              </w:rPr>
              <w:t>Sample:</w:t>
            </w:r>
            <w:r>
              <w:rPr>
                <w:spacing w:val="-5"/>
                <w:sz w:val="20"/>
              </w:rPr>
              <w:t> </w:t>
            </w:r>
            <w:r>
              <w:rPr>
                <w:sz w:val="20"/>
              </w:rPr>
              <w:t>1987</w:t>
            </w:r>
            <w:r>
              <w:rPr>
                <w:spacing w:val="-3"/>
                <w:sz w:val="20"/>
              </w:rPr>
              <w:t> </w:t>
            </w:r>
            <w:r>
              <w:rPr>
                <w:spacing w:val="-4"/>
                <w:sz w:val="20"/>
              </w:rPr>
              <w:t>2011</w:t>
            </w:r>
          </w:p>
        </w:tc>
        <w:tc>
          <w:tcPr>
            <w:tcW w:w="1313" w:type="dxa"/>
          </w:tcPr>
          <w:p>
            <w:pPr>
              <w:pStyle w:val="TableParagraph"/>
              <w:rPr>
                <w:sz w:val="16"/>
              </w:rPr>
            </w:pPr>
          </w:p>
        </w:tc>
        <w:tc>
          <w:tcPr>
            <w:tcW w:w="1458" w:type="dxa"/>
          </w:tcPr>
          <w:p>
            <w:pPr>
              <w:pStyle w:val="TableParagraph"/>
              <w:rPr>
                <w:sz w:val="16"/>
              </w:rPr>
            </w:pPr>
          </w:p>
        </w:tc>
        <w:tc>
          <w:tcPr>
            <w:tcW w:w="912" w:type="dxa"/>
          </w:tcPr>
          <w:p>
            <w:pPr>
              <w:pStyle w:val="TableParagraph"/>
              <w:rPr>
                <w:sz w:val="16"/>
              </w:rPr>
            </w:pPr>
          </w:p>
        </w:tc>
        <w:tc>
          <w:tcPr>
            <w:tcW w:w="897" w:type="dxa"/>
          </w:tcPr>
          <w:p>
            <w:pPr>
              <w:pStyle w:val="TableParagraph"/>
              <w:rPr>
                <w:sz w:val="16"/>
              </w:rPr>
            </w:pPr>
          </w:p>
        </w:tc>
      </w:tr>
      <w:tr>
        <w:trPr>
          <w:trHeight w:val="224" w:hRule="atLeast"/>
        </w:trPr>
        <w:tc>
          <w:tcPr>
            <w:tcW w:w="6490" w:type="dxa"/>
            <w:gridSpan w:val="5"/>
            <w:tcBorders>
              <w:bottom w:val="double" w:sz="6" w:space="0" w:color="000000"/>
            </w:tcBorders>
          </w:tcPr>
          <w:p>
            <w:pPr>
              <w:pStyle w:val="TableParagraph"/>
              <w:spacing w:line="205" w:lineRule="exact"/>
              <w:ind w:left="36"/>
              <w:rPr>
                <w:sz w:val="20"/>
              </w:rPr>
            </w:pPr>
            <w:r>
              <w:rPr>
                <w:sz w:val="20"/>
              </w:rPr>
              <w:t>Included</w:t>
            </w:r>
            <w:r>
              <w:rPr>
                <w:spacing w:val="-9"/>
                <w:sz w:val="20"/>
              </w:rPr>
              <w:t> </w:t>
            </w:r>
            <w:r>
              <w:rPr>
                <w:sz w:val="20"/>
              </w:rPr>
              <w:t>observations:</w:t>
            </w:r>
            <w:r>
              <w:rPr>
                <w:spacing w:val="-10"/>
                <w:sz w:val="20"/>
              </w:rPr>
              <w:t> </w:t>
            </w:r>
            <w:r>
              <w:rPr>
                <w:spacing w:val="-5"/>
                <w:sz w:val="20"/>
              </w:rPr>
              <w:t>25</w:t>
            </w:r>
          </w:p>
        </w:tc>
      </w:tr>
      <w:tr>
        <w:trPr>
          <w:trHeight w:val="269" w:hRule="atLeast"/>
        </w:trPr>
        <w:tc>
          <w:tcPr>
            <w:tcW w:w="1910" w:type="dxa"/>
            <w:tcBorders>
              <w:top w:val="double" w:sz="6" w:space="0" w:color="000000"/>
              <w:bottom w:val="double" w:sz="6" w:space="0" w:color="000000"/>
            </w:tcBorders>
          </w:tcPr>
          <w:p>
            <w:pPr>
              <w:pStyle w:val="TableParagraph"/>
              <w:spacing w:line="209" w:lineRule="exact" w:before="40"/>
              <w:ind w:left="677"/>
              <w:rPr>
                <w:sz w:val="20"/>
              </w:rPr>
            </w:pPr>
            <w:r>
              <w:rPr>
                <w:spacing w:val="-2"/>
                <w:sz w:val="20"/>
              </w:rPr>
              <w:t>Variable</w:t>
            </w:r>
          </w:p>
        </w:tc>
        <w:tc>
          <w:tcPr>
            <w:tcW w:w="1313" w:type="dxa"/>
            <w:tcBorders>
              <w:top w:val="double" w:sz="6" w:space="0" w:color="000000"/>
              <w:bottom w:val="double" w:sz="6" w:space="0" w:color="000000"/>
            </w:tcBorders>
          </w:tcPr>
          <w:p>
            <w:pPr>
              <w:pStyle w:val="TableParagraph"/>
              <w:spacing w:line="209" w:lineRule="exact" w:before="40"/>
              <w:ind w:left="234" w:right="87"/>
              <w:jc w:val="center"/>
              <w:rPr>
                <w:sz w:val="20"/>
              </w:rPr>
            </w:pPr>
            <w:r>
              <w:rPr>
                <w:spacing w:val="-2"/>
                <w:sz w:val="20"/>
              </w:rPr>
              <w:t>Coefficient</w:t>
            </w:r>
          </w:p>
        </w:tc>
        <w:tc>
          <w:tcPr>
            <w:tcW w:w="1458" w:type="dxa"/>
            <w:tcBorders>
              <w:top w:val="double" w:sz="6" w:space="0" w:color="000000"/>
              <w:bottom w:val="double" w:sz="6" w:space="0" w:color="000000"/>
            </w:tcBorders>
          </w:tcPr>
          <w:p>
            <w:pPr>
              <w:pStyle w:val="TableParagraph"/>
              <w:spacing w:line="209" w:lineRule="exact" w:before="40"/>
              <w:ind w:left="272"/>
              <w:rPr>
                <w:sz w:val="20"/>
              </w:rPr>
            </w:pPr>
            <w:r>
              <w:rPr>
                <w:sz w:val="20"/>
              </w:rPr>
              <w:t>Std.</w:t>
            </w:r>
            <w:r>
              <w:rPr>
                <w:spacing w:val="-4"/>
                <w:sz w:val="20"/>
              </w:rPr>
              <w:t> </w:t>
            </w:r>
            <w:r>
              <w:rPr>
                <w:spacing w:val="-2"/>
                <w:sz w:val="20"/>
              </w:rPr>
              <w:t>Error</w:t>
            </w:r>
          </w:p>
        </w:tc>
        <w:tc>
          <w:tcPr>
            <w:tcW w:w="912" w:type="dxa"/>
            <w:tcBorders>
              <w:top w:val="double" w:sz="6" w:space="0" w:color="000000"/>
              <w:bottom w:val="double" w:sz="6" w:space="0" w:color="000000"/>
            </w:tcBorders>
          </w:tcPr>
          <w:p>
            <w:pPr>
              <w:pStyle w:val="TableParagraph"/>
              <w:spacing w:line="209" w:lineRule="exact" w:before="40"/>
              <w:ind w:right="84"/>
              <w:jc w:val="center"/>
              <w:rPr>
                <w:sz w:val="20"/>
              </w:rPr>
            </w:pPr>
            <w:r>
              <w:rPr>
                <w:spacing w:val="-4"/>
                <w:sz w:val="20"/>
              </w:rPr>
              <w:t>t-</w:t>
            </w:r>
            <w:r>
              <w:rPr>
                <w:spacing w:val="-2"/>
                <w:sz w:val="20"/>
              </w:rPr>
              <w:t>Statistic</w:t>
            </w:r>
          </w:p>
        </w:tc>
        <w:tc>
          <w:tcPr>
            <w:tcW w:w="897" w:type="dxa"/>
            <w:tcBorders>
              <w:top w:val="double" w:sz="6" w:space="0" w:color="000000"/>
              <w:bottom w:val="double" w:sz="6" w:space="0" w:color="000000"/>
            </w:tcBorders>
          </w:tcPr>
          <w:p>
            <w:pPr>
              <w:pStyle w:val="TableParagraph"/>
              <w:spacing w:line="209" w:lineRule="exact" w:before="40"/>
              <w:ind w:right="31"/>
              <w:jc w:val="right"/>
              <w:rPr>
                <w:sz w:val="20"/>
              </w:rPr>
            </w:pPr>
            <w:r>
              <w:rPr>
                <w:spacing w:val="-2"/>
                <w:sz w:val="20"/>
              </w:rPr>
              <w:t>Prob.</w:t>
            </w:r>
          </w:p>
        </w:tc>
      </w:tr>
      <w:tr>
        <w:trPr>
          <w:trHeight w:val="277" w:hRule="atLeast"/>
        </w:trPr>
        <w:tc>
          <w:tcPr>
            <w:tcW w:w="1910" w:type="dxa"/>
            <w:tcBorders>
              <w:top w:val="double" w:sz="6" w:space="0" w:color="000000"/>
            </w:tcBorders>
          </w:tcPr>
          <w:p>
            <w:pPr>
              <w:pStyle w:val="TableParagraph"/>
              <w:spacing w:line="215" w:lineRule="exact" w:before="42"/>
              <w:ind w:left="135" w:right="1"/>
              <w:jc w:val="center"/>
              <w:rPr>
                <w:sz w:val="20"/>
              </w:rPr>
            </w:pPr>
            <w:r>
              <w:rPr>
                <w:spacing w:val="-10"/>
                <w:sz w:val="20"/>
              </w:rPr>
              <w:t>C</w:t>
            </w:r>
          </w:p>
        </w:tc>
        <w:tc>
          <w:tcPr>
            <w:tcW w:w="1313" w:type="dxa"/>
            <w:tcBorders>
              <w:top w:val="double" w:sz="6" w:space="0" w:color="000000"/>
            </w:tcBorders>
          </w:tcPr>
          <w:p>
            <w:pPr>
              <w:pStyle w:val="TableParagraph"/>
              <w:spacing w:line="215" w:lineRule="exact" w:before="42"/>
              <w:ind w:left="298"/>
              <w:jc w:val="center"/>
              <w:rPr>
                <w:sz w:val="20"/>
              </w:rPr>
            </w:pPr>
            <w:r>
              <w:rPr>
                <w:spacing w:val="-2"/>
                <w:sz w:val="20"/>
              </w:rPr>
              <w:t>3.649664</w:t>
            </w:r>
          </w:p>
        </w:tc>
        <w:tc>
          <w:tcPr>
            <w:tcW w:w="1458" w:type="dxa"/>
            <w:tcBorders>
              <w:top w:val="double" w:sz="6" w:space="0" w:color="000000"/>
            </w:tcBorders>
          </w:tcPr>
          <w:p>
            <w:pPr>
              <w:pStyle w:val="TableParagraph"/>
              <w:spacing w:line="215" w:lineRule="exact" w:before="42"/>
              <w:ind w:left="310"/>
              <w:rPr>
                <w:sz w:val="20"/>
              </w:rPr>
            </w:pPr>
            <w:r>
              <w:rPr>
                <w:spacing w:val="-2"/>
                <w:sz w:val="20"/>
              </w:rPr>
              <w:t>0.726748</w:t>
            </w:r>
          </w:p>
        </w:tc>
        <w:tc>
          <w:tcPr>
            <w:tcW w:w="912" w:type="dxa"/>
            <w:tcBorders>
              <w:top w:val="double" w:sz="6" w:space="0" w:color="000000"/>
            </w:tcBorders>
          </w:tcPr>
          <w:p>
            <w:pPr>
              <w:pStyle w:val="TableParagraph"/>
              <w:spacing w:line="215" w:lineRule="exact" w:before="42"/>
              <w:ind w:left="17" w:right="84"/>
              <w:jc w:val="center"/>
              <w:rPr>
                <w:sz w:val="20"/>
              </w:rPr>
            </w:pPr>
            <w:r>
              <w:rPr>
                <w:spacing w:val="-2"/>
                <w:sz w:val="20"/>
              </w:rPr>
              <w:t>5.021913</w:t>
            </w:r>
          </w:p>
        </w:tc>
        <w:tc>
          <w:tcPr>
            <w:tcW w:w="897" w:type="dxa"/>
            <w:tcBorders>
              <w:top w:val="double" w:sz="6" w:space="0" w:color="000000"/>
            </w:tcBorders>
          </w:tcPr>
          <w:p>
            <w:pPr>
              <w:pStyle w:val="TableParagraph"/>
              <w:spacing w:line="215" w:lineRule="exact" w:before="42"/>
              <w:ind w:right="30"/>
              <w:jc w:val="right"/>
              <w:rPr>
                <w:sz w:val="20"/>
              </w:rPr>
            </w:pPr>
            <w:r>
              <w:rPr>
                <w:spacing w:val="-2"/>
                <w:sz w:val="20"/>
              </w:rPr>
              <w:t>0.0001</w:t>
            </w:r>
          </w:p>
        </w:tc>
      </w:tr>
      <w:tr>
        <w:trPr>
          <w:trHeight w:val="229" w:hRule="atLeast"/>
        </w:trPr>
        <w:tc>
          <w:tcPr>
            <w:tcW w:w="1910" w:type="dxa"/>
          </w:tcPr>
          <w:p>
            <w:pPr>
              <w:pStyle w:val="TableParagraph"/>
              <w:spacing w:line="209" w:lineRule="exact"/>
              <w:ind w:left="566"/>
              <w:rPr>
                <w:sz w:val="20"/>
              </w:rPr>
            </w:pPr>
            <w:r>
              <w:rPr>
                <w:spacing w:val="-2"/>
                <w:sz w:val="20"/>
              </w:rPr>
              <w:t>EXTDEBT</w:t>
            </w:r>
          </w:p>
        </w:tc>
        <w:tc>
          <w:tcPr>
            <w:tcW w:w="1313" w:type="dxa"/>
          </w:tcPr>
          <w:p>
            <w:pPr>
              <w:pStyle w:val="TableParagraph"/>
              <w:spacing w:line="209" w:lineRule="exact"/>
              <w:ind w:left="298"/>
              <w:jc w:val="center"/>
              <w:rPr>
                <w:sz w:val="20"/>
              </w:rPr>
            </w:pPr>
            <w:r>
              <w:rPr>
                <w:spacing w:val="-2"/>
                <w:sz w:val="20"/>
              </w:rPr>
              <w:t>0.055595</w:t>
            </w:r>
          </w:p>
        </w:tc>
        <w:tc>
          <w:tcPr>
            <w:tcW w:w="1458" w:type="dxa"/>
          </w:tcPr>
          <w:p>
            <w:pPr>
              <w:pStyle w:val="TableParagraph"/>
              <w:spacing w:line="209" w:lineRule="exact"/>
              <w:ind w:left="310"/>
              <w:rPr>
                <w:sz w:val="20"/>
              </w:rPr>
            </w:pPr>
            <w:r>
              <w:rPr>
                <w:spacing w:val="-2"/>
                <w:sz w:val="20"/>
              </w:rPr>
              <w:t>0.052201</w:t>
            </w:r>
          </w:p>
        </w:tc>
        <w:tc>
          <w:tcPr>
            <w:tcW w:w="912" w:type="dxa"/>
          </w:tcPr>
          <w:p>
            <w:pPr>
              <w:pStyle w:val="TableParagraph"/>
              <w:spacing w:line="209" w:lineRule="exact"/>
              <w:ind w:left="17" w:right="84"/>
              <w:jc w:val="center"/>
              <w:rPr>
                <w:sz w:val="20"/>
              </w:rPr>
            </w:pPr>
            <w:r>
              <w:rPr>
                <w:spacing w:val="-2"/>
                <w:sz w:val="20"/>
              </w:rPr>
              <w:t>1.065012</w:t>
            </w:r>
          </w:p>
        </w:tc>
        <w:tc>
          <w:tcPr>
            <w:tcW w:w="897" w:type="dxa"/>
          </w:tcPr>
          <w:p>
            <w:pPr>
              <w:pStyle w:val="TableParagraph"/>
              <w:spacing w:line="209" w:lineRule="exact"/>
              <w:ind w:right="30"/>
              <w:jc w:val="right"/>
              <w:rPr>
                <w:sz w:val="20"/>
              </w:rPr>
            </w:pPr>
            <w:r>
              <w:rPr>
                <w:spacing w:val="-2"/>
                <w:sz w:val="20"/>
              </w:rPr>
              <w:t>0.2996</w:t>
            </w:r>
          </w:p>
        </w:tc>
      </w:tr>
      <w:tr>
        <w:trPr>
          <w:trHeight w:val="229" w:hRule="atLeast"/>
        </w:trPr>
        <w:tc>
          <w:tcPr>
            <w:tcW w:w="1910" w:type="dxa"/>
          </w:tcPr>
          <w:p>
            <w:pPr>
              <w:pStyle w:val="TableParagraph"/>
              <w:spacing w:line="209" w:lineRule="exact"/>
              <w:ind w:left="135"/>
              <w:jc w:val="center"/>
              <w:rPr>
                <w:sz w:val="20"/>
              </w:rPr>
            </w:pPr>
            <w:r>
              <w:rPr>
                <w:spacing w:val="-5"/>
                <w:sz w:val="20"/>
              </w:rPr>
              <w:t>DFI</w:t>
            </w:r>
          </w:p>
        </w:tc>
        <w:tc>
          <w:tcPr>
            <w:tcW w:w="1313" w:type="dxa"/>
          </w:tcPr>
          <w:p>
            <w:pPr>
              <w:pStyle w:val="TableParagraph"/>
              <w:spacing w:line="209" w:lineRule="exact"/>
              <w:ind w:left="298"/>
              <w:jc w:val="center"/>
              <w:rPr>
                <w:sz w:val="20"/>
              </w:rPr>
            </w:pPr>
            <w:r>
              <w:rPr>
                <w:spacing w:val="-2"/>
                <w:sz w:val="20"/>
              </w:rPr>
              <w:t>0.478791</w:t>
            </w:r>
          </w:p>
        </w:tc>
        <w:tc>
          <w:tcPr>
            <w:tcW w:w="1458" w:type="dxa"/>
          </w:tcPr>
          <w:p>
            <w:pPr>
              <w:pStyle w:val="TableParagraph"/>
              <w:spacing w:line="209" w:lineRule="exact"/>
              <w:ind w:left="310"/>
              <w:rPr>
                <w:sz w:val="20"/>
              </w:rPr>
            </w:pPr>
            <w:r>
              <w:rPr>
                <w:spacing w:val="-2"/>
                <w:sz w:val="20"/>
              </w:rPr>
              <w:t>0.071877</w:t>
            </w:r>
          </w:p>
        </w:tc>
        <w:tc>
          <w:tcPr>
            <w:tcW w:w="912" w:type="dxa"/>
          </w:tcPr>
          <w:p>
            <w:pPr>
              <w:pStyle w:val="TableParagraph"/>
              <w:spacing w:line="209" w:lineRule="exact"/>
              <w:ind w:left="17" w:right="84"/>
              <w:jc w:val="center"/>
              <w:rPr>
                <w:sz w:val="20"/>
              </w:rPr>
            </w:pPr>
            <w:r>
              <w:rPr>
                <w:spacing w:val="-2"/>
                <w:sz w:val="20"/>
              </w:rPr>
              <w:t>6.661275</w:t>
            </w:r>
          </w:p>
        </w:tc>
        <w:tc>
          <w:tcPr>
            <w:tcW w:w="897" w:type="dxa"/>
          </w:tcPr>
          <w:p>
            <w:pPr>
              <w:pStyle w:val="TableParagraph"/>
              <w:spacing w:line="209" w:lineRule="exact"/>
              <w:ind w:right="30"/>
              <w:jc w:val="right"/>
              <w:rPr>
                <w:sz w:val="20"/>
              </w:rPr>
            </w:pPr>
            <w:r>
              <w:rPr>
                <w:spacing w:val="-2"/>
                <w:sz w:val="20"/>
              </w:rPr>
              <w:t>0.0000</w:t>
            </w:r>
          </w:p>
        </w:tc>
      </w:tr>
      <w:tr>
        <w:trPr>
          <w:trHeight w:val="230" w:hRule="atLeast"/>
        </w:trPr>
        <w:tc>
          <w:tcPr>
            <w:tcW w:w="1910" w:type="dxa"/>
          </w:tcPr>
          <w:p>
            <w:pPr>
              <w:pStyle w:val="TableParagraph"/>
              <w:spacing w:line="210" w:lineRule="exact"/>
              <w:ind w:left="135" w:right="4"/>
              <w:jc w:val="center"/>
              <w:rPr>
                <w:sz w:val="20"/>
              </w:rPr>
            </w:pPr>
            <w:r>
              <w:rPr>
                <w:spacing w:val="-5"/>
                <w:sz w:val="20"/>
              </w:rPr>
              <w:t>CAB</w:t>
            </w:r>
          </w:p>
        </w:tc>
        <w:tc>
          <w:tcPr>
            <w:tcW w:w="1313" w:type="dxa"/>
          </w:tcPr>
          <w:p>
            <w:pPr>
              <w:pStyle w:val="TableParagraph"/>
              <w:spacing w:line="210" w:lineRule="exact"/>
              <w:ind w:left="298"/>
              <w:jc w:val="center"/>
              <w:rPr>
                <w:sz w:val="20"/>
              </w:rPr>
            </w:pPr>
            <w:r>
              <w:rPr>
                <w:spacing w:val="-2"/>
                <w:sz w:val="20"/>
              </w:rPr>
              <w:t>0.317518</w:t>
            </w:r>
          </w:p>
        </w:tc>
        <w:tc>
          <w:tcPr>
            <w:tcW w:w="1458" w:type="dxa"/>
          </w:tcPr>
          <w:p>
            <w:pPr>
              <w:pStyle w:val="TableParagraph"/>
              <w:spacing w:line="210" w:lineRule="exact"/>
              <w:ind w:left="310"/>
              <w:rPr>
                <w:sz w:val="20"/>
              </w:rPr>
            </w:pPr>
            <w:r>
              <w:rPr>
                <w:spacing w:val="-2"/>
                <w:sz w:val="20"/>
              </w:rPr>
              <w:t>0.076944</w:t>
            </w:r>
          </w:p>
        </w:tc>
        <w:tc>
          <w:tcPr>
            <w:tcW w:w="912" w:type="dxa"/>
          </w:tcPr>
          <w:p>
            <w:pPr>
              <w:pStyle w:val="TableParagraph"/>
              <w:spacing w:line="210" w:lineRule="exact"/>
              <w:ind w:left="17" w:right="84"/>
              <w:jc w:val="center"/>
              <w:rPr>
                <w:sz w:val="20"/>
              </w:rPr>
            </w:pPr>
            <w:r>
              <w:rPr>
                <w:spacing w:val="-2"/>
                <w:sz w:val="20"/>
              </w:rPr>
              <w:t>4.126601</w:t>
            </w:r>
          </w:p>
        </w:tc>
        <w:tc>
          <w:tcPr>
            <w:tcW w:w="897" w:type="dxa"/>
          </w:tcPr>
          <w:p>
            <w:pPr>
              <w:pStyle w:val="TableParagraph"/>
              <w:spacing w:line="210" w:lineRule="exact"/>
              <w:ind w:right="30"/>
              <w:jc w:val="right"/>
              <w:rPr>
                <w:sz w:val="20"/>
              </w:rPr>
            </w:pPr>
            <w:r>
              <w:rPr>
                <w:spacing w:val="-2"/>
                <w:sz w:val="20"/>
              </w:rPr>
              <w:t>0.0005</w:t>
            </w:r>
          </w:p>
        </w:tc>
      </w:tr>
      <w:tr>
        <w:trPr>
          <w:trHeight w:val="224" w:hRule="atLeast"/>
        </w:trPr>
        <w:tc>
          <w:tcPr>
            <w:tcW w:w="1910" w:type="dxa"/>
            <w:tcBorders>
              <w:bottom w:val="double" w:sz="6" w:space="0" w:color="000000"/>
            </w:tcBorders>
          </w:tcPr>
          <w:p>
            <w:pPr>
              <w:pStyle w:val="TableParagraph"/>
              <w:spacing w:line="205" w:lineRule="exact"/>
              <w:ind w:left="135" w:right="4"/>
              <w:jc w:val="center"/>
              <w:rPr>
                <w:sz w:val="20"/>
              </w:rPr>
            </w:pPr>
            <w:r>
              <w:rPr>
                <w:spacing w:val="-5"/>
                <w:sz w:val="20"/>
              </w:rPr>
              <w:t>RES</w:t>
            </w:r>
          </w:p>
        </w:tc>
        <w:tc>
          <w:tcPr>
            <w:tcW w:w="1313" w:type="dxa"/>
            <w:tcBorders>
              <w:bottom w:val="double" w:sz="6" w:space="0" w:color="000000"/>
            </w:tcBorders>
          </w:tcPr>
          <w:p>
            <w:pPr>
              <w:pStyle w:val="TableParagraph"/>
              <w:spacing w:line="205" w:lineRule="exact"/>
              <w:ind w:left="298"/>
              <w:jc w:val="center"/>
              <w:rPr>
                <w:sz w:val="20"/>
              </w:rPr>
            </w:pPr>
            <w:r>
              <w:rPr>
                <w:spacing w:val="-2"/>
                <w:sz w:val="20"/>
              </w:rPr>
              <w:t>0.095994</w:t>
            </w:r>
          </w:p>
        </w:tc>
        <w:tc>
          <w:tcPr>
            <w:tcW w:w="1458" w:type="dxa"/>
            <w:tcBorders>
              <w:bottom w:val="double" w:sz="6" w:space="0" w:color="000000"/>
            </w:tcBorders>
          </w:tcPr>
          <w:p>
            <w:pPr>
              <w:pStyle w:val="TableParagraph"/>
              <w:spacing w:line="205" w:lineRule="exact"/>
              <w:ind w:left="310"/>
              <w:rPr>
                <w:sz w:val="20"/>
              </w:rPr>
            </w:pPr>
            <w:r>
              <w:rPr>
                <w:spacing w:val="-2"/>
                <w:sz w:val="20"/>
              </w:rPr>
              <w:t>0.080604</w:t>
            </w:r>
          </w:p>
        </w:tc>
        <w:tc>
          <w:tcPr>
            <w:tcW w:w="912" w:type="dxa"/>
            <w:tcBorders>
              <w:bottom w:val="double" w:sz="6" w:space="0" w:color="000000"/>
            </w:tcBorders>
          </w:tcPr>
          <w:p>
            <w:pPr>
              <w:pStyle w:val="TableParagraph"/>
              <w:spacing w:line="205" w:lineRule="exact"/>
              <w:ind w:left="17" w:right="84"/>
              <w:jc w:val="center"/>
              <w:rPr>
                <w:sz w:val="20"/>
              </w:rPr>
            </w:pPr>
            <w:r>
              <w:rPr>
                <w:spacing w:val="-2"/>
                <w:sz w:val="20"/>
              </w:rPr>
              <w:t>1.190937</w:t>
            </w:r>
          </w:p>
        </w:tc>
        <w:tc>
          <w:tcPr>
            <w:tcW w:w="897" w:type="dxa"/>
            <w:tcBorders>
              <w:bottom w:val="double" w:sz="6" w:space="0" w:color="000000"/>
            </w:tcBorders>
          </w:tcPr>
          <w:p>
            <w:pPr>
              <w:pStyle w:val="TableParagraph"/>
              <w:spacing w:line="205" w:lineRule="exact"/>
              <w:ind w:right="30"/>
              <w:jc w:val="right"/>
              <w:rPr>
                <w:sz w:val="20"/>
              </w:rPr>
            </w:pPr>
            <w:r>
              <w:rPr>
                <w:spacing w:val="-2"/>
                <w:sz w:val="20"/>
              </w:rPr>
              <w:t>0.2476</w:t>
            </w:r>
          </w:p>
        </w:tc>
      </w:tr>
      <w:tr>
        <w:trPr>
          <w:trHeight w:val="275" w:hRule="atLeast"/>
        </w:trPr>
        <w:tc>
          <w:tcPr>
            <w:tcW w:w="1910" w:type="dxa"/>
            <w:tcBorders>
              <w:top w:val="double" w:sz="6" w:space="0" w:color="000000"/>
            </w:tcBorders>
          </w:tcPr>
          <w:p>
            <w:pPr>
              <w:pStyle w:val="TableParagraph"/>
              <w:spacing w:line="215" w:lineRule="exact" w:before="40"/>
              <w:ind w:left="36"/>
              <w:rPr>
                <w:sz w:val="20"/>
              </w:rPr>
            </w:pPr>
            <w:r>
              <w:rPr>
                <w:spacing w:val="-2"/>
                <w:sz w:val="20"/>
              </w:rPr>
              <w:t>R-squared</w:t>
            </w:r>
          </w:p>
        </w:tc>
        <w:tc>
          <w:tcPr>
            <w:tcW w:w="1313" w:type="dxa"/>
            <w:tcBorders>
              <w:top w:val="double" w:sz="6" w:space="0" w:color="000000"/>
            </w:tcBorders>
          </w:tcPr>
          <w:p>
            <w:pPr>
              <w:pStyle w:val="TableParagraph"/>
              <w:spacing w:line="215" w:lineRule="exact" w:before="40"/>
              <w:ind w:left="298"/>
              <w:jc w:val="center"/>
              <w:rPr>
                <w:sz w:val="20"/>
              </w:rPr>
            </w:pPr>
            <w:r>
              <w:rPr>
                <w:spacing w:val="-2"/>
                <w:sz w:val="20"/>
              </w:rPr>
              <w:t>0.959437</w:t>
            </w:r>
          </w:p>
        </w:tc>
        <w:tc>
          <w:tcPr>
            <w:tcW w:w="2370" w:type="dxa"/>
            <w:gridSpan w:val="2"/>
            <w:tcBorders>
              <w:top w:val="double" w:sz="6" w:space="0" w:color="000000"/>
            </w:tcBorders>
          </w:tcPr>
          <w:p>
            <w:pPr>
              <w:pStyle w:val="TableParagraph"/>
              <w:spacing w:line="215" w:lineRule="exact" w:before="40"/>
              <w:ind w:left="130"/>
              <w:rPr>
                <w:sz w:val="20"/>
              </w:rPr>
            </w:pPr>
            <w:r>
              <w:rPr>
                <w:sz w:val="20"/>
              </w:rPr>
              <w:t>Mean</w:t>
            </w:r>
            <w:r>
              <w:rPr>
                <w:spacing w:val="-7"/>
                <w:sz w:val="20"/>
              </w:rPr>
              <w:t> </w:t>
            </w:r>
            <w:r>
              <w:rPr>
                <w:sz w:val="20"/>
              </w:rPr>
              <w:t>dependent</w:t>
            </w:r>
            <w:r>
              <w:rPr>
                <w:spacing w:val="-7"/>
                <w:sz w:val="20"/>
              </w:rPr>
              <w:t> </w:t>
            </w:r>
            <w:r>
              <w:rPr>
                <w:spacing w:val="-5"/>
                <w:sz w:val="20"/>
              </w:rPr>
              <w:t>var</w:t>
            </w:r>
          </w:p>
        </w:tc>
        <w:tc>
          <w:tcPr>
            <w:tcW w:w="897" w:type="dxa"/>
            <w:tcBorders>
              <w:top w:val="double" w:sz="6" w:space="0" w:color="000000"/>
            </w:tcBorders>
          </w:tcPr>
          <w:p>
            <w:pPr>
              <w:pStyle w:val="TableParagraph"/>
              <w:spacing w:line="215" w:lineRule="exact" w:before="40"/>
              <w:ind w:right="30"/>
              <w:jc w:val="right"/>
              <w:rPr>
                <w:sz w:val="20"/>
              </w:rPr>
            </w:pPr>
            <w:r>
              <w:rPr>
                <w:spacing w:val="-2"/>
                <w:sz w:val="20"/>
              </w:rPr>
              <w:t>14.90560</w:t>
            </w:r>
          </w:p>
        </w:tc>
      </w:tr>
      <w:tr>
        <w:trPr>
          <w:trHeight w:val="230" w:hRule="atLeast"/>
        </w:trPr>
        <w:tc>
          <w:tcPr>
            <w:tcW w:w="1910" w:type="dxa"/>
          </w:tcPr>
          <w:p>
            <w:pPr>
              <w:pStyle w:val="TableParagraph"/>
              <w:spacing w:line="211" w:lineRule="exact"/>
              <w:ind w:left="36"/>
              <w:rPr>
                <w:sz w:val="20"/>
              </w:rPr>
            </w:pPr>
            <w:r>
              <w:rPr>
                <w:sz w:val="20"/>
              </w:rPr>
              <w:t>Adjusted</w:t>
            </w:r>
            <w:r>
              <w:rPr>
                <w:spacing w:val="-10"/>
                <w:sz w:val="20"/>
              </w:rPr>
              <w:t> </w:t>
            </w:r>
            <w:r>
              <w:rPr>
                <w:sz w:val="20"/>
              </w:rPr>
              <w:t>R-</w:t>
            </w:r>
            <w:r>
              <w:rPr>
                <w:spacing w:val="-2"/>
                <w:sz w:val="20"/>
              </w:rPr>
              <w:t>squared</w:t>
            </w:r>
          </w:p>
        </w:tc>
        <w:tc>
          <w:tcPr>
            <w:tcW w:w="1313" w:type="dxa"/>
          </w:tcPr>
          <w:p>
            <w:pPr>
              <w:pStyle w:val="TableParagraph"/>
              <w:spacing w:line="211" w:lineRule="exact"/>
              <w:ind w:left="298"/>
              <w:jc w:val="center"/>
              <w:rPr>
                <w:sz w:val="20"/>
              </w:rPr>
            </w:pPr>
            <w:r>
              <w:rPr>
                <w:spacing w:val="-2"/>
                <w:sz w:val="20"/>
              </w:rPr>
              <w:t>0.951324</w:t>
            </w:r>
          </w:p>
        </w:tc>
        <w:tc>
          <w:tcPr>
            <w:tcW w:w="2370" w:type="dxa"/>
            <w:gridSpan w:val="2"/>
          </w:tcPr>
          <w:p>
            <w:pPr>
              <w:pStyle w:val="TableParagraph"/>
              <w:spacing w:line="211" w:lineRule="exact"/>
              <w:ind w:left="130"/>
              <w:rPr>
                <w:sz w:val="20"/>
              </w:rPr>
            </w:pPr>
            <w:r>
              <w:rPr>
                <w:sz w:val="20"/>
              </w:rPr>
              <w:t>S.D.</w:t>
            </w:r>
            <w:r>
              <w:rPr>
                <w:spacing w:val="-5"/>
                <w:sz w:val="20"/>
              </w:rPr>
              <w:t> </w:t>
            </w:r>
            <w:r>
              <w:rPr>
                <w:sz w:val="20"/>
              </w:rPr>
              <w:t>dependent</w:t>
            </w:r>
            <w:r>
              <w:rPr>
                <w:spacing w:val="-6"/>
                <w:sz w:val="20"/>
              </w:rPr>
              <w:t> </w:t>
            </w:r>
            <w:r>
              <w:rPr>
                <w:spacing w:val="-5"/>
                <w:sz w:val="20"/>
              </w:rPr>
              <w:t>var</w:t>
            </w:r>
          </w:p>
        </w:tc>
        <w:tc>
          <w:tcPr>
            <w:tcW w:w="897" w:type="dxa"/>
          </w:tcPr>
          <w:p>
            <w:pPr>
              <w:pStyle w:val="TableParagraph"/>
              <w:spacing w:line="211" w:lineRule="exact"/>
              <w:ind w:right="30"/>
              <w:jc w:val="right"/>
              <w:rPr>
                <w:sz w:val="20"/>
              </w:rPr>
            </w:pPr>
            <w:r>
              <w:rPr>
                <w:spacing w:val="-2"/>
                <w:sz w:val="20"/>
              </w:rPr>
              <w:t>1.825435</w:t>
            </w:r>
          </w:p>
        </w:tc>
      </w:tr>
      <w:tr>
        <w:trPr>
          <w:trHeight w:val="230" w:hRule="atLeast"/>
        </w:trPr>
        <w:tc>
          <w:tcPr>
            <w:tcW w:w="1910" w:type="dxa"/>
          </w:tcPr>
          <w:p>
            <w:pPr>
              <w:pStyle w:val="TableParagraph"/>
              <w:spacing w:line="210" w:lineRule="exact"/>
              <w:ind w:left="36"/>
              <w:rPr>
                <w:sz w:val="20"/>
              </w:rPr>
            </w:pPr>
            <w:r>
              <w:rPr>
                <w:sz w:val="20"/>
              </w:rPr>
              <w:t>S.E.</w:t>
            </w:r>
            <w:r>
              <w:rPr>
                <w:spacing w:val="-3"/>
                <w:sz w:val="20"/>
              </w:rPr>
              <w:t> </w:t>
            </w:r>
            <w:r>
              <w:rPr>
                <w:sz w:val="20"/>
              </w:rPr>
              <w:t>of</w:t>
            </w:r>
            <w:r>
              <w:rPr>
                <w:spacing w:val="-3"/>
                <w:sz w:val="20"/>
              </w:rPr>
              <w:t> </w:t>
            </w:r>
            <w:r>
              <w:rPr>
                <w:spacing w:val="-2"/>
                <w:sz w:val="20"/>
              </w:rPr>
              <w:t>regression</w:t>
            </w:r>
          </w:p>
        </w:tc>
        <w:tc>
          <w:tcPr>
            <w:tcW w:w="1313" w:type="dxa"/>
          </w:tcPr>
          <w:p>
            <w:pPr>
              <w:pStyle w:val="TableParagraph"/>
              <w:spacing w:line="210" w:lineRule="exact"/>
              <w:ind w:left="298"/>
              <w:jc w:val="center"/>
              <w:rPr>
                <w:sz w:val="20"/>
              </w:rPr>
            </w:pPr>
            <w:r>
              <w:rPr>
                <w:spacing w:val="-2"/>
                <w:sz w:val="20"/>
              </w:rPr>
              <w:t>0.402739</w:t>
            </w:r>
          </w:p>
        </w:tc>
        <w:tc>
          <w:tcPr>
            <w:tcW w:w="2370" w:type="dxa"/>
            <w:gridSpan w:val="2"/>
          </w:tcPr>
          <w:p>
            <w:pPr>
              <w:pStyle w:val="TableParagraph"/>
              <w:spacing w:line="210" w:lineRule="exact"/>
              <w:ind w:left="130"/>
              <w:rPr>
                <w:sz w:val="20"/>
              </w:rPr>
            </w:pPr>
            <w:r>
              <w:rPr>
                <w:sz w:val="20"/>
              </w:rPr>
              <w:t>Akaike</w:t>
            </w:r>
            <w:r>
              <w:rPr>
                <w:spacing w:val="-8"/>
                <w:sz w:val="20"/>
              </w:rPr>
              <w:t> </w:t>
            </w:r>
            <w:r>
              <w:rPr>
                <w:sz w:val="20"/>
              </w:rPr>
              <w:t>info</w:t>
            </w:r>
            <w:r>
              <w:rPr>
                <w:spacing w:val="-7"/>
                <w:sz w:val="20"/>
              </w:rPr>
              <w:t> </w:t>
            </w:r>
            <w:r>
              <w:rPr>
                <w:spacing w:val="-2"/>
                <w:sz w:val="20"/>
              </w:rPr>
              <w:t>criterion</w:t>
            </w:r>
          </w:p>
        </w:tc>
        <w:tc>
          <w:tcPr>
            <w:tcW w:w="897" w:type="dxa"/>
          </w:tcPr>
          <w:p>
            <w:pPr>
              <w:pStyle w:val="TableParagraph"/>
              <w:spacing w:line="210" w:lineRule="exact"/>
              <w:ind w:right="30"/>
              <w:jc w:val="right"/>
              <w:rPr>
                <w:sz w:val="20"/>
              </w:rPr>
            </w:pPr>
            <w:r>
              <w:rPr>
                <w:spacing w:val="-2"/>
                <w:sz w:val="20"/>
              </w:rPr>
              <w:t>1.195801</w:t>
            </w:r>
          </w:p>
        </w:tc>
      </w:tr>
      <w:tr>
        <w:trPr>
          <w:trHeight w:val="230" w:hRule="atLeast"/>
        </w:trPr>
        <w:tc>
          <w:tcPr>
            <w:tcW w:w="1910" w:type="dxa"/>
          </w:tcPr>
          <w:p>
            <w:pPr>
              <w:pStyle w:val="TableParagraph"/>
              <w:spacing w:line="210" w:lineRule="exact"/>
              <w:ind w:left="36"/>
              <w:rPr>
                <w:sz w:val="20"/>
              </w:rPr>
            </w:pPr>
            <w:r>
              <w:rPr>
                <w:sz w:val="20"/>
              </w:rPr>
              <w:t>Sum</w:t>
            </w:r>
            <w:r>
              <w:rPr>
                <w:spacing w:val="-8"/>
                <w:sz w:val="20"/>
              </w:rPr>
              <w:t> </w:t>
            </w:r>
            <w:r>
              <w:rPr>
                <w:sz w:val="20"/>
              </w:rPr>
              <w:t>squared</w:t>
            </w:r>
            <w:r>
              <w:rPr>
                <w:spacing w:val="-4"/>
                <w:sz w:val="20"/>
              </w:rPr>
              <w:t> </w:t>
            </w:r>
            <w:r>
              <w:rPr>
                <w:spacing w:val="-2"/>
                <w:sz w:val="20"/>
              </w:rPr>
              <w:t>resid</w:t>
            </w:r>
          </w:p>
        </w:tc>
        <w:tc>
          <w:tcPr>
            <w:tcW w:w="1313" w:type="dxa"/>
          </w:tcPr>
          <w:p>
            <w:pPr>
              <w:pStyle w:val="TableParagraph"/>
              <w:spacing w:line="210" w:lineRule="exact"/>
              <w:ind w:left="298"/>
              <w:jc w:val="center"/>
              <w:rPr>
                <w:sz w:val="20"/>
              </w:rPr>
            </w:pPr>
            <w:r>
              <w:rPr>
                <w:spacing w:val="-2"/>
                <w:sz w:val="20"/>
              </w:rPr>
              <w:t>3.243975</w:t>
            </w:r>
          </w:p>
        </w:tc>
        <w:tc>
          <w:tcPr>
            <w:tcW w:w="2370" w:type="dxa"/>
            <w:gridSpan w:val="2"/>
          </w:tcPr>
          <w:p>
            <w:pPr>
              <w:pStyle w:val="TableParagraph"/>
              <w:spacing w:line="210" w:lineRule="exact"/>
              <w:ind w:left="130"/>
              <w:rPr>
                <w:sz w:val="20"/>
              </w:rPr>
            </w:pPr>
            <w:r>
              <w:rPr>
                <w:sz w:val="20"/>
              </w:rPr>
              <w:t>Schwarz</w:t>
            </w:r>
            <w:r>
              <w:rPr>
                <w:spacing w:val="-8"/>
                <w:sz w:val="20"/>
              </w:rPr>
              <w:t> </w:t>
            </w:r>
            <w:r>
              <w:rPr>
                <w:spacing w:val="-2"/>
                <w:sz w:val="20"/>
              </w:rPr>
              <w:t>criterion</w:t>
            </w:r>
          </w:p>
        </w:tc>
        <w:tc>
          <w:tcPr>
            <w:tcW w:w="897" w:type="dxa"/>
          </w:tcPr>
          <w:p>
            <w:pPr>
              <w:pStyle w:val="TableParagraph"/>
              <w:spacing w:line="210" w:lineRule="exact"/>
              <w:ind w:right="30"/>
              <w:jc w:val="right"/>
              <w:rPr>
                <w:sz w:val="20"/>
              </w:rPr>
            </w:pPr>
            <w:r>
              <w:rPr>
                <w:spacing w:val="-2"/>
                <w:sz w:val="20"/>
              </w:rPr>
              <w:t>1.439576</w:t>
            </w:r>
          </w:p>
        </w:tc>
      </w:tr>
      <w:tr>
        <w:trPr>
          <w:trHeight w:val="229" w:hRule="atLeast"/>
        </w:trPr>
        <w:tc>
          <w:tcPr>
            <w:tcW w:w="1910" w:type="dxa"/>
          </w:tcPr>
          <w:p>
            <w:pPr>
              <w:pStyle w:val="TableParagraph"/>
              <w:spacing w:line="209" w:lineRule="exact"/>
              <w:ind w:left="36"/>
              <w:rPr>
                <w:sz w:val="20"/>
              </w:rPr>
            </w:pPr>
            <w:r>
              <w:rPr>
                <w:sz w:val="20"/>
              </w:rPr>
              <w:t>Log</w:t>
            </w:r>
            <w:r>
              <w:rPr>
                <w:spacing w:val="-6"/>
                <w:sz w:val="20"/>
              </w:rPr>
              <w:t> </w:t>
            </w:r>
            <w:r>
              <w:rPr>
                <w:spacing w:val="-2"/>
                <w:sz w:val="20"/>
              </w:rPr>
              <w:t>likelihood</w:t>
            </w:r>
          </w:p>
        </w:tc>
        <w:tc>
          <w:tcPr>
            <w:tcW w:w="1313" w:type="dxa"/>
          </w:tcPr>
          <w:p>
            <w:pPr>
              <w:pStyle w:val="TableParagraph"/>
              <w:spacing w:line="209" w:lineRule="exact"/>
              <w:ind w:left="234"/>
              <w:jc w:val="center"/>
              <w:rPr>
                <w:sz w:val="20"/>
              </w:rPr>
            </w:pPr>
            <w:r>
              <w:rPr>
                <w:spacing w:val="-4"/>
                <w:sz w:val="20"/>
              </w:rPr>
              <w:t>-</w:t>
            </w:r>
            <w:r>
              <w:rPr>
                <w:spacing w:val="-2"/>
                <w:sz w:val="20"/>
              </w:rPr>
              <w:t>9.947507</w:t>
            </w:r>
          </w:p>
        </w:tc>
        <w:tc>
          <w:tcPr>
            <w:tcW w:w="1458" w:type="dxa"/>
          </w:tcPr>
          <w:p>
            <w:pPr>
              <w:pStyle w:val="TableParagraph"/>
              <w:spacing w:line="209" w:lineRule="exact"/>
              <w:ind w:left="130"/>
              <w:rPr>
                <w:sz w:val="20"/>
              </w:rPr>
            </w:pPr>
            <w:r>
              <w:rPr>
                <w:spacing w:val="-4"/>
                <w:sz w:val="20"/>
              </w:rPr>
              <w:t>F-</w:t>
            </w:r>
            <w:r>
              <w:rPr>
                <w:spacing w:val="-2"/>
                <w:sz w:val="20"/>
              </w:rPr>
              <w:t>statistic</w:t>
            </w:r>
          </w:p>
        </w:tc>
        <w:tc>
          <w:tcPr>
            <w:tcW w:w="912" w:type="dxa"/>
          </w:tcPr>
          <w:p>
            <w:pPr>
              <w:pStyle w:val="TableParagraph"/>
              <w:rPr>
                <w:sz w:val="16"/>
              </w:rPr>
            </w:pPr>
          </w:p>
        </w:tc>
        <w:tc>
          <w:tcPr>
            <w:tcW w:w="897" w:type="dxa"/>
          </w:tcPr>
          <w:p>
            <w:pPr>
              <w:pStyle w:val="TableParagraph"/>
              <w:spacing w:line="209" w:lineRule="exact"/>
              <w:ind w:right="30"/>
              <w:jc w:val="right"/>
              <w:rPr>
                <w:sz w:val="20"/>
              </w:rPr>
            </w:pPr>
            <w:r>
              <w:rPr>
                <w:spacing w:val="-2"/>
                <w:sz w:val="20"/>
              </w:rPr>
              <w:t>118.2641</w:t>
            </w:r>
          </w:p>
        </w:tc>
      </w:tr>
      <w:tr>
        <w:trPr>
          <w:trHeight w:val="266" w:hRule="atLeast"/>
        </w:trPr>
        <w:tc>
          <w:tcPr>
            <w:tcW w:w="1910" w:type="dxa"/>
            <w:tcBorders>
              <w:bottom w:val="double" w:sz="6" w:space="0" w:color="000000"/>
            </w:tcBorders>
          </w:tcPr>
          <w:p>
            <w:pPr>
              <w:pStyle w:val="TableParagraph"/>
              <w:spacing w:line="224" w:lineRule="exact"/>
              <w:ind w:left="36"/>
              <w:rPr>
                <w:sz w:val="20"/>
              </w:rPr>
            </w:pPr>
            <w:r>
              <w:rPr>
                <w:sz w:val="20"/>
              </w:rPr>
              <w:t>Durbin-Watson</w:t>
            </w:r>
            <w:r>
              <w:rPr>
                <w:spacing w:val="-12"/>
                <w:sz w:val="20"/>
              </w:rPr>
              <w:t> </w:t>
            </w:r>
            <w:r>
              <w:rPr>
                <w:spacing w:val="-4"/>
                <w:sz w:val="20"/>
              </w:rPr>
              <w:t>stat</w:t>
            </w:r>
          </w:p>
        </w:tc>
        <w:tc>
          <w:tcPr>
            <w:tcW w:w="1313" w:type="dxa"/>
          </w:tcPr>
          <w:p>
            <w:pPr>
              <w:pStyle w:val="TableParagraph"/>
              <w:spacing w:line="224" w:lineRule="exact"/>
              <w:ind w:left="298"/>
              <w:jc w:val="center"/>
              <w:rPr>
                <w:sz w:val="20"/>
              </w:rPr>
            </w:pPr>
            <w:r>
              <w:rPr>
                <w:spacing w:val="-2"/>
                <w:sz w:val="20"/>
              </w:rPr>
              <w:t>1.330589</w:t>
            </w:r>
          </w:p>
        </w:tc>
        <w:tc>
          <w:tcPr>
            <w:tcW w:w="1458" w:type="dxa"/>
            <w:tcBorders>
              <w:bottom w:val="double" w:sz="6" w:space="0" w:color="000000"/>
            </w:tcBorders>
          </w:tcPr>
          <w:p>
            <w:pPr>
              <w:pStyle w:val="TableParagraph"/>
              <w:spacing w:line="224" w:lineRule="exact"/>
              <w:ind w:left="130"/>
              <w:rPr>
                <w:sz w:val="20"/>
              </w:rPr>
            </w:pPr>
            <w:r>
              <w:rPr>
                <w:spacing w:val="-2"/>
                <w:sz w:val="20"/>
              </w:rPr>
              <w:t>Prob(F-statistic)</w:t>
            </w:r>
          </w:p>
        </w:tc>
        <w:tc>
          <w:tcPr>
            <w:tcW w:w="912" w:type="dxa"/>
            <w:tcBorders>
              <w:bottom w:val="single" w:sz="6" w:space="0" w:color="000000"/>
            </w:tcBorders>
          </w:tcPr>
          <w:p>
            <w:pPr>
              <w:pStyle w:val="TableParagraph"/>
              <w:rPr>
                <w:sz w:val="18"/>
              </w:rPr>
            </w:pPr>
          </w:p>
        </w:tc>
        <w:tc>
          <w:tcPr>
            <w:tcW w:w="897" w:type="dxa"/>
            <w:tcBorders>
              <w:bottom w:val="double" w:sz="6" w:space="0" w:color="000000"/>
            </w:tcBorders>
          </w:tcPr>
          <w:p>
            <w:pPr>
              <w:pStyle w:val="TableParagraph"/>
              <w:spacing w:line="224" w:lineRule="exact"/>
              <w:ind w:right="30"/>
              <w:jc w:val="right"/>
              <w:rPr>
                <w:sz w:val="20"/>
              </w:rPr>
            </w:pPr>
            <w:r>
              <w:rPr>
                <w:spacing w:val="-2"/>
                <w:sz w:val="20"/>
              </w:rPr>
              <w:t>0.000000</w:t>
            </w:r>
          </w:p>
        </w:tc>
      </w:tr>
    </w:tbl>
    <w:p>
      <w:pPr>
        <w:spacing w:after="0" w:line="224" w:lineRule="exact"/>
        <w:jc w:val="right"/>
        <w:rPr>
          <w:sz w:val="20"/>
        </w:rPr>
        <w:sectPr>
          <w:pgSz w:w="11910" w:h="16840"/>
          <w:pgMar w:header="0" w:footer="979" w:top="1400" w:bottom="1240" w:left="280" w:right="0"/>
        </w:sectPr>
      </w:pPr>
    </w:p>
    <w:p>
      <w:pPr>
        <w:spacing w:before="62"/>
        <w:ind w:left="3061" w:right="0" w:firstLine="0"/>
        <w:jc w:val="left"/>
        <w:rPr>
          <w:b/>
          <w:sz w:val="20"/>
        </w:rPr>
      </w:pPr>
      <w:r>
        <w:rPr>
          <w:b/>
          <w:sz w:val="20"/>
        </w:rPr>
        <w:t>APPENDIX</w:t>
      </w:r>
      <w:r>
        <w:rPr>
          <w:b/>
          <w:spacing w:val="-11"/>
          <w:sz w:val="20"/>
        </w:rPr>
        <w:t> </w:t>
      </w:r>
      <w:r>
        <w:rPr>
          <w:b/>
          <w:spacing w:val="-5"/>
          <w:sz w:val="20"/>
        </w:rPr>
        <w:t>A11</w:t>
      </w:r>
    </w:p>
    <w:p>
      <w:pPr>
        <w:spacing w:before="229"/>
        <w:ind w:left="711" w:right="0" w:firstLine="0"/>
        <w:jc w:val="left"/>
        <w:rPr>
          <w:b/>
          <w:sz w:val="20"/>
        </w:rPr>
      </w:pPr>
      <w:r>
        <w:rPr>
          <w:b/>
          <w:sz w:val="20"/>
        </w:rPr>
        <w:t>RESULT</w:t>
      </w:r>
      <w:r>
        <w:rPr>
          <w:b/>
          <w:spacing w:val="-8"/>
          <w:sz w:val="20"/>
        </w:rPr>
        <w:t> </w:t>
      </w:r>
      <w:r>
        <w:rPr>
          <w:b/>
          <w:sz w:val="20"/>
        </w:rPr>
        <w:t>OF</w:t>
      </w:r>
      <w:r>
        <w:rPr>
          <w:b/>
          <w:spacing w:val="-6"/>
          <w:sz w:val="20"/>
        </w:rPr>
        <w:t> </w:t>
      </w:r>
      <w:r>
        <w:rPr>
          <w:b/>
          <w:sz w:val="20"/>
        </w:rPr>
        <w:t>ANALYSES</w:t>
      </w:r>
      <w:r>
        <w:rPr>
          <w:b/>
          <w:spacing w:val="-8"/>
          <w:sz w:val="20"/>
        </w:rPr>
        <w:t> </w:t>
      </w:r>
      <w:r>
        <w:rPr>
          <w:b/>
          <w:sz w:val="20"/>
        </w:rPr>
        <w:t>FOR</w:t>
      </w:r>
      <w:r>
        <w:rPr>
          <w:b/>
          <w:spacing w:val="-6"/>
          <w:sz w:val="20"/>
        </w:rPr>
        <w:t> </w:t>
      </w:r>
      <w:r>
        <w:rPr>
          <w:b/>
          <w:sz w:val="20"/>
        </w:rPr>
        <w:t>MODEL</w:t>
      </w:r>
      <w:r>
        <w:rPr>
          <w:b/>
          <w:spacing w:val="-7"/>
          <w:sz w:val="20"/>
        </w:rPr>
        <w:t> </w:t>
      </w:r>
      <w:r>
        <w:rPr>
          <w:b/>
          <w:sz w:val="20"/>
        </w:rPr>
        <w:t>5B</w:t>
      </w:r>
      <w:r>
        <w:rPr>
          <w:b/>
          <w:spacing w:val="-6"/>
          <w:sz w:val="20"/>
        </w:rPr>
        <w:t> </w:t>
      </w:r>
      <w:r>
        <w:rPr>
          <w:b/>
          <w:sz w:val="20"/>
        </w:rPr>
        <w:t>((MORGAN</w:t>
      </w:r>
      <w:r>
        <w:rPr>
          <w:b/>
          <w:spacing w:val="-7"/>
          <w:sz w:val="20"/>
        </w:rPr>
        <w:t> </w:t>
      </w:r>
      <w:r>
        <w:rPr>
          <w:b/>
          <w:sz w:val="20"/>
        </w:rPr>
        <w:t>GUARANTY</w:t>
      </w:r>
      <w:r>
        <w:rPr>
          <w:b/>
          <w:spacing w:val="-6"/>
          <w:sz w:val="20"/>
        </w:rPr>
        <w:t> </w:t>
      </w:r>
      <w:r>
        <w:rPr>
          <w:b/>
          <w:sz w:val="20"/>
        </w:rPr>
        <w:t>TRUST</w:t>
      </w:r>
      <w:r>
        <w:rPr>
          <w:b/>
          <w:spacing w:val="-7"/>
          <w:sz w:val="20"/>
        </w:rPr>
        <w:t> </w:t>
      </w:r>
      <w:r>
        <w:rPr>
          <w:b/>
          <w:sz w:val="20"/>
        </w:rPr>
        <w:t>1986</w:t>
      </w:r>
      <w:r>
        <w:rPr>
          <w:b/>
          <w:spacing w:val="-6"/>
          <w:sz w:val="20"/>
        </w:rPr>
        <w:t> </w:t>
      </w:r>
      <w:r>
        <w:rPr>
          <w:b/>
          <w:sz w:val="20"/>
        </w:rPr>
        <w:t>ESTIMATES</w:t>
      </w:r>
      <w:r>
        <w:rPr>
          <w:b/>
          <w:spacing w:val="-4"/>
          <w:sz w:val="20"/>
        </w:rPr>
        <w:t> </w:t>
      </w:r>
      <w:r>
        <w:rPr>
          <w:b/>
          <w:sz w:val="20"/>
        </w:rPr>
        <w:t>(PRE-SAP</w:t>
      </w:r>
      <w:r>
        <w:rPr>
          <w:b/>
          <w:spacing w:val="-4"/>
          <w:sz w:val="20"/>
        </w:rPr>
        <w:t> ERA)</w:t>
      </w:r>
    </w:p>
    <w:p>
      <w:pPr>
        <w:pStyle w:val="BodyText"/>
        <w:rPr>
          <w:b/>
          <w:sz w:val="20"/>
        </w:rPr>
      </w:pPr>
    </w:p>
    <w:p>
      <w:pPr>
        <w:spacing w:line="480" w:lineRule="auto" w:before="0"/>
        <w:ind w:left="771" w:right="5671" w:hanging="60"/>
        <w:jc w:val="left"/>
        <w:rPr>
          <w:sz w:val="20"/>
        </w:rPr>
      </w:pPr>
      <w:r>
        <w:rPr/>
        <mc:AlternateContent>
          <mc:Choice Requires="wps">
            <w:drawing>
              <wp:anchor distT="0" distB="0" distL="0" distR="0" allowOverlap="1" layoutInCell="1" locked="0" behindDoc="0" simplePos="0" relativeHeight="15761920">
                <wp:simplePos x="0" y="0"/>
                <wp:positionH relativeFrom="page">
                  <wp:posOffset>662940</wp:posOffset>
                </wp:positionH>
                <wp:positionV relativeFrom="paragraph">
                  <wp:posOffset>440657</wp:posOffset>
                </wp:positionV>
                <wp:extent cx="4196715" cy="2834004"/>
                <wp:effectExtent l="0" t="0" r="0" b="0"/>
                <wp:wrapNone/>
                <wp:docPr id="312" name="Textbox 312"/>
                <wp:cNvGraphicFramePr>
                  <a:graphicFrameLocks/>
                </wp:cNvGraphicFramePr>
                <a:graphic>
                  <a:graphicData uri="http://schemas.microsoft.com/office/word/2010/wordprocessingShape">
                    <wps:wsp>
                      <wps:cNvPr id="312" name="Textbox 312"/>
                      <wps:cNvSpPr txBox="1"/>
                      <wps:spPr>
                        <a:xfrm>
                          <a:off x="0" y="0"/>
                          <a:ext cx="4196715" cy="2834004"/>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11"/>
                              <w:gridCol w:w="1314"/>
                              <w:gridCol w:w="1433"/>
                              <w:gridCol w:w="903"/>
                              <w:gridCol w:w="928"/>
                            </w:tblGrid>
                            <w:tr>
                              <w:trPr>
                                <w:trHeight w:val="224" w:hRule="atLeast"/>
                              </w:trPr>
                              <w:tc>
                                <w:tcPr>
                                  <w:tcW w:w="6489" w:type="dxa"/>
                                  <w:gridSpan w:val="5"/>
                                </w:tcPr>
                                <w:p>
                                  <w:pPr>
                                    <w:pStyle w:val="TableParagraph"/>
                                    <w:spacing w:line="204" w:lineRule="exact"/>
                                    <w:ind w:left="35"/>
                                    <w:rPr>
                                      <w:sz w:val="20"/>
                                    </w:rPr>
                                  </w:pPr>
                                  <w:r>
                                    <w:rPr>
                                      <w:sz w:val="20"/>
                                    </w:rPr>
                                    <w:t>Dependent</w:t>
                                  </w:r>
                                  <w:r>
                                    <w:rPr>
                                      <w:spacing w:val="-8"/>
                                      <w:sz w:val="20"/>
                                    </w:rPr>
                                    <w:t> </w:t>
                                  </w:r>
                                  <w:r>
                                    <w:rPr>
                                      <w:sz w:val="20"/>
                                    </w:rPr>
                                    <w:t>Variable:</w:t>
                                  </w:r>
                                  <w:r>
                                    <w:rPr>
                                      <w:spacing w:val="-8"/>
                                      <w:sz w:val="20"/>
                                    </w:rPr>
                                    <w:t> </w:t>
                                  </w:r>
                                  <w:r>
                                    <w:rPr>
                                      <w:spacing w:val="-5"/>
                                      <w:sz w:val="20"/>
                                    </w:rPr>
                                    <w:t>GDP</w:t>
                                  </w:r>
                                </w:p>
                              </w:tc>
                            </w:tr>
                            <w:tr>
                              <w:trPr>
                                <w:trHeight w:val="229" w:hRule="atLeast"/>
                              </w:trPr>
                              <w:tc>
                                <w:tcPr>
                                  <w:tcW w:w="1911" w:type="dxa"/>
                                </w:tcPr>
                                <w:p>
                                  <w:pPr>
                                    <w:pStyle w:val="TableParagraph"/>
                                    <w:spacing w:line="209" w:lineRule="exact"/>
                                    <w:ind w:left="35"/>
                                    <w:rPr>
                                      <w:sz w:val="20"/>
                                    </w:rPr>
                                  </w:pPr>
                                  <w:r>
                                    <w:rPr>
                                      <w:sz w:val="20"/>
                                    </w:rPr>
                                    <w:t>Method:</w:t>
                                  </w:r>
                                  <w:r>
                                    <w:rPr>
                                      <w:spacing w:val="-8"/>
                                      <w:sz w:val="20"/>
                                    </w:rPr>
                                    <w:t> </w:t>
                                  </w:r>
                                  <w:r>
                                    <w:rPr>
                                      <w:sz w:val="20"/>
                                    </w:rPr>
                                    <w:t>Least</w:t>
                                  </w:r>
                                  <w:r>
                                    <w:rPr>
                                      <w:spacing w:val="-7"/>
                                      <w:sz w:val="20"/>
                                    </w:rPr>
                                    <w:t> </w:t>
                                  </w:r>
                                  <w:r>
                                    <w:rPr>
                                      <w:spacing w:val="-2"/>
                                      <w:sz w:val="20"/>
                                    </w:rPr>
                                    <w:t>Squares</w:t>
                                  </w:r>
                                </w:p>
                              </w:tc>
                              <w:tc>
                                <w:tcPr>
                                  <w:tcW w:w="1314" w:type="dxa"/>
                                </w:tcPr>
                                <w:p>
                                  <w:pPr>
                                    <w:pStyle w:val="TableParagraph"/>
                                    <w:rPr>
                                      <w:sz w:val="16"/>
                                    </w:rPr>
                                  </w:pPr>
                                </w:p>
                              </w:tc>
                              <w:tc>
                                <w:tcPr>
                                  <w:tcW w:w="1433" w:type="dxa"/>
                                </w:tcPr>
                                <w:p>
                                  <w:pPr>
                                    <w:pStyle w:val="TableParagraph"/>
                                    <w:rPr>
                                      <w:sz w:val="16"/>
                                    </w:rPr>
                                  </w:pPr>
                                </w:p>
                              </w:tc>
                              <w:tc>
                                <w:tcPr>
                                  <w:tcW w:w="903" w:type="dxa"/>
                                </w:tcPr>
                                <w:p>
                                  <w:pPr>
                                    <w:pStyle w:val="TableParagraph"/>
                                    <w:rPr>
                                      <w:sz w:val="16"/>
                                    </w:rPr>
                                  </w:pPr>
                                </w:p>
                              </w:tc>
                              <w:tc>
                                <w:tcPr>
                                  <w:tcW w:w="928" w:type="dxa"/>
                                </w:tcPr>
                                <w:p>
                                  <w:pPr>
                                    <w:pStyle w:val="TableParagraph"/>
                                    <w:rPr>
                                      <w:sz w:val="16"/>
                                    </w:rPr>
                                  </w:pPr>
                                </w:p>
                              </w:tc>
                            </w:tr>
                            <w:tr>
                              <w:trPr>
                                <w:trHeight w:val="230" w:hRule="atLeast"/>
                              </w:trPr>
                              <w:tc>
                                <w:tcPr>
                                  <w:tcW w:w="6489" w:type="dxa"/>
                                  <w:gridSpan w:val="5"/>
                                </w:tcPr>
                                <w:p>
                                  <w:pPr>
                                    <w:pStyle w:val="TableParagraph"/>
                                    <w:spacing w:line="210" w:lineRule="exact"/>
                                    <w:ind w:left="35"/>
                                    <w:rPr>
                                      <w:sz w:val="20"/>
                                    </w:rPr>
                                  </w:pPr>
                                  <w:r>
                                    <w:rPr>
                                      <w:sz w:val="20"/>
                                    </w:rPr>
                                    <w:t>Date:</w:t>
                                  </w:r>
                                  <w:r>
                                    <w:rPr>
                                      <w:spacing w:val="-5"/>
                                      <w:sz w:val="20"/>
                                    </w:rPr>
                                    <w:t> </w:t>
                                  </w:r>
                                  <w:r>
                                    <w:rPr>
                                      <w:sz w:val="20"/>
                                    </w:rPr>
                                    <w:t>02/17/14</w:t>
                                  </w:r>
                                  <w:r>
                                    <w:rPr>
                                      <w:spacing w:val="63"/>
                                      <w:w w:val="150"/>
                                      <w:sz w:val="20"/>
                                    </w:rPr>
                                    <w:t> </w:t>
                                  </w:r>
                                  <w:r>
                                    <w:rPr>
                                      <w:sz w:val="20"/>
                                    </w:rPr>
                                    <w:t>Time:</w:t>
                                  </w:r>
                                  <w:r>
                                    <w:rPr>
                                      <w:spacing w:val="-3"/>
                                      <w:sz w:val="20"/>
                                    </w:rPr>
                                    <w:t> </w:t>
                                  </w:r>
                                  <w:r>
                                    <w:rPr>
                                      <w:spacing w:val="-2"/>
                                      <w:sz w:val="20"/>
                                    </w:rPr>
                                    <w:t>18:00</w:t>
                                  </w:r>
                                </w:p>
                              </w:tc>
                            </w:tr>
                            <w:tr>
                              <w:trPr>
                                <w:trHeight w:val="230" w:hRule="atLeast"/>
                              </w:trPr>
                              <w:tc>
                                <w:tcPr>
                                  <w:tcW w:w="1911" w:type="dxa"/>
                                </w:tcPr>
                                <w:p>
                                  <w:pPr>
                                    <w:pStyle w:val="TableParagraph"/>
                                    <w:spacing w:line="210" w:lineRule="exact"/>
                                    <w:ind w:left="35"/>
                                    <w:rPr>
                                      <w:sz w:val="20"/>
                                    </w:rPr>
                                  </w:pPr>
                                  <w:r>
                                    <w:rPr>
                                      <w:sz w:val="20"/>
                                    </w:rPr>
                                    <w:t>Sample:</w:t>
                                  </w:r>
                                  <w:r>
                                    <w:rPr>
                                      <w:spacing w:val="-5"/>
                                      <w:sz w:val="20"/>
                                    </w:rPr>
                                    <w:t> </w:t>
                                  </w:r>
                                  <w:r>
                                    <w:rPr>
                                      <w:sz w:val="20"/>
                                    </w:rPr>
                                    <w:t>1970</w:t>
                                  </w:r>
                                  <w:r>
                                    <w:rPr>
                                      <w:spacing w:val="-3"/>
                                      <w:sz w:val="20"/>
                                    </w:rPr>
                                    <w:t> </w:t>
                                  </w:r>
                                  <w:r>
                                    <w:rPr>
                                      <w:spacing w:val="-4"/>
                                      <w:sz w:val="20"/>
                                    </w:rPr>
                                    <w:t>1985</w:t>
                                  </w:r>
                                </w:p>
                              </w:tc>
                              <w:tc>
                                <w:tcPr>
                                  <w:tcW w:w="1314" w:type="dxa"/>
                                </w:tcPr>
                                <w:p>
                                  <w:pPr>
                                    <w:pStyle w:val="TableParagraph"/>
                                    <w:rPr>
                                      <w:sz w:val="16"/>
                                    </w:rPr>
                                  </w:pPr>
                                </w:p>
                              </w:tc>
                              <w:tc>
                                <w:tcPr>
                                  <w:tcW w:w="1433" w:type="dxa"/>
                                </w:tcPr>
                                <w:p>
                                  <w:pPr>
                                    <w:pStyle w:val="TableParagraph"/>
                                    <w:rPr>
                                      <w:sz w:val="16"/>
                                    </w:rPr>
                                  </w:pPr>
                                </w:p>
                              </w:tc>
                              <w:tc>
                                <w:tcPr>
                                  <w:tcW w:w="903" w:type="dxa"/>
                                </w:tcPr>
                                <w:p>
                                  <w:pPr>
                                    <w:pStyle w:val="TableParagraph"/>
                                    <w:rPr>
                                      <w:sz w:val="16"/>
                                    </w:rPr>
                                  </w:pPr>
                                </w:p>
                              </w:tc>
                              <w:tc>
                                <w:tcPr>
                                  <w:tcW w:w="928" w:type="dxa"/>
                                </w:tcPr>
                                <w:p>
                                  <w:pPr>
                                    <w:pStyle w:val="TableParagraph"/>
                                    <w:rPr>
                                      <w:sz w:val="16"/>
                                    </w:rPr>
                                  </w:pPr>
                                </w:p>
                              </w:tc>
                            </w:tr>
                            <w:tr>
                              <w:trPr>
                                <w:trHeight w:val="224" w:hRule="atLeast"/>
                              </w:trPr>
                              <w:tc>
                                <w:tcPr>
                                  <w:tcW w:w="6489" w:type="dxa"/>
                                  <w:gridSpan w:val="5"/>
                                  <w:tcBorders>
                                    <w:bottom w:val="double" w:sz="6" w:space="0" w:color="000000"/>
                                  </w:tcBorders>
                                </w:tcPr>
                                <w:p>
                                  <w:pPr>
                                    <w:pStyle w:val="TableParagraph"/>
                                    <w:spacing w:line="205" w:lineRule="exact"/>
                                    <w:ind w:left="35"/>
                                    <w:rPr>
                                      <w:sz w:val="20"/>
                                    </w:rPr>
                                  </w:pPr>
                                  <w:r>
                                    <w:rPr>
                                      <w:sz w:val="20"/>
                                    </w:rPr>
                                    <w:t>Included</w:t>
                                  </w:r>
                                  <w:r>
                                    <w:rPr>
                                      <w:spacing w:val="-9"/>
                                      <w:sz w:val="20"/>
                                    </w:rPr>
                                    <w:t> </w:t>
                                  </w:r>
                                  <w:r>
                                    <w:rPr>
                                      <w:sz w:val="20"/>
                                    </w:rPr>
                                    <w:t>observations:</w:t>
                                  </w:r>
                                  <w:r>
                                    <w:rPr>
                                      <w:spacing w:val="-10"/>
                                      <w:sz w:val="20"/>
                                    </w:rPr>
                                    <w:t> </w:t>
                                  </w:r>
                                  <w:r>
                                    <w:rPr>
                                      <w:spacing w:val="-5"/>
                                      <w:sz w:val="20"/>
                                    </w:rPr>
                                    <w:t>16</w:t>
                                  </w:r>
                                </w:p>
                              </w:tc>
                            </w:tr>
                            <w:tr>
                              <w:trPr>
                                <w:trHeight w:val="269" w:hRule="atLeast"/>
                              </w:trPr>
                              <w:tc>
                                <w:tcPr>
                                  <w:tcW w:w="1911" w:type="dxa"/>
                                  <w:tcBorders>
                                    <w:top w:val="double" w:sz="6" w:space="0" w:color="000000"/>
                                    <w:bottom w:val="double" w:sz="6" w:space="0" w:color="000000"/>
                                  </w:tcBorders>
                                </w:tcPr>
                                <w:p>
                                  <w:pPr>
                                    <w:pStyle w:val="TableParagraph"/>
                                    <w:spacing w:line="209" w:lineRule="exact" w:before="40"/>
                                    <w:ind w:left="677"/>
                                    <w:rPr>
                                      <w:sz w:val="20"/>
                                    </w:rPr>
                                  </w:pPr>
                                  <w:r>
                                    <w:rPr>
                                      <w:spacing w:val="-2"/>
                                      <w:sz w:val="20"/>
                                    </w:rPr>
                                    <w:t>Variable</w:t>
                                  </w:r>
                                </w:p>
                              </w:tc>
                              <w:tc>
                                <w:tcPr>
                                  <w:tcW w:w="1314" w:type="dxa"/>
                                  <w:tcBorders>
                                    <w:top w:val="double" w:sz="6" w:space="0" w:color="000000"/>
                                    <w:bottom w:val="double" w:sz="6" w:space="0" w:color="000000"/>
                                  </w:tcBorders>
                                </w:tcPr>
                                <w:p>
                                  <w:pPr>
                                    <w:pStyle w:val="TableParagraph"/>
                                    <w:spacing w:line="209" w:lineRule="exact" w:before="40"/>
                                    <w:ind w:left="235" w:right="86"/>
                                    <w:jc w:val="center"/>
                                    <w:rPr>
                                      <w:sz w:val="20"/>
                                    </w:rPr>
                                  </w:pPr>
                                  <w:r>
                                    <w:rPr>
                                      <w:spacing w:val="-2"/>
                                      <w:sz w:val="20"/>
                                    </w:rPr>
                                    <w:t>Coefficient</w:t>
                                  </w:r>
                                </w:p>
                              </w:tc>
                              <w:tc>
                                <w:tcPr>
                                  <w:tcW w:w="1433" w:type="dxa"/>
                                  <w:tcBorders>
                                    <w:top w:val="double" w:sz="6" w:space="0" w:color="000000"/>
                                    <w:bottom w:val="double" w:sz="6" w:space="0" w:color="000000"/>
                                  </w:tcBorders>
                                </w:tcPr>
                                <w:p>
                                  <w:pPr>
                                    <w:pStyle w:val="TableParagraph"/>
                                    <w:spacing w:line="209" w:lineRule="exact" w:before="40"/>
                                    <w:ind w:left="272"/>
                                    <w:rPr>
                                      <w:sz w:val="20"/>
                                    </w:rPr>
                                  </w:pPr>
                                  <w:r>
                                    <w:rPr>
                                      <w:sz w:val="20"/>
                                    </w:rPr>
                                    <w:t>Std.</w:t>
                                  </w:r>
                                  <w:r>
                                    <w:rPr>
                                      <w:spacing w:val="-4"/>
                                      <w:sz w:val="20"/>
                                    </w:rPr>
                                    <w:t> </w:t>
                                  </w:r>
                                  <w:r>
                                    <w:rPr>
                                      <w:spacing w:val="-2"/>
                                      <w:sz w:val="20"/>
                                    </w:rPr>
                                    <w:t>Error</w:t>
                                  </w:r>
                                </w:p>
                              </w:tc>
                              <w:tc>
                                <w:tcPr>
                                  <w:tcW w:w="903" w:type="dxa"/>
                                  <w:tcBorders>
                                    <w:top w:val="double" w:sz="6" w:space="0" w:color="000000"/>
                                    <w:bottom w:val="double" w:sz="6" w:space="0" w:color="000000"/>
                                  </w:tcBorders>
                                </w:tcPr>
                                <w:p>
                                  <w:pPr>
                                    <w:pStyle w:val="TableParagraph"/>
                                    <w:spacing w:line="209" w:lineRule="exact" w:before="40"/>
                                    <w:ind w:right="24"/>
                                    <w:jc w:val="center"/>
                                    <w:rPr>
                                      <w:sz w:val="20"/>
                                    </w:rPr>
                                  </w:pPr>
                                  <w:r>
                                    <w:rPr>
                                      <w:spacing w:val="-4"/>
                                      <w:sz w:val="20"/>
                                    </w:rPr>
                                    <w:t>t-</w:t>
                                  </w:r>
                                  <w:r>
                                    <w:rPr>
                                      <w:spacing w:val="-2"/>
                                      <w:sz w:val="20"/>
                                    </w:rPr>
                                    <w:t>Statistic</w:t>
                                  </w:r>
                                </w:p>
                              </w:tc>
                              <w:tc>
                                <w:tcPr>
                                  <w:tcW w:w="928" w:type="dxa"/>
                                  <w:tcBorders>
                                    <w:top w:val="double" w:sz="6" w:space="0" w:color="000000"/>
                                    <w:bottom w:val="double" w:sz="6" w:space="0" w:color="000000"/>
                                  </w:tcBorders>
                                </w:tcPr>
                                <w:p>
                                  <w:pPr>
                                    <w:pStyle w:val="TableParagraph"/>
                                    <w:spacing w:line="209" w:lineRule="exact" w:before="40"/>
                                    <w:ind w:right="30"/>
                                    <w:jc w:val="right"/>
                                    <w:rPr>
                                      <w:sz w:val="20"/>
                                    </w:rPr>
                                  </w:pPr>
                                  <w:r>
                                    <w:rPr>
                                      <w:spacing w:val="-2"/>
                                      <w:sz w:val="20"/>
                                    </w:rPr>
                                    <w:t>Prob.</w:t>
                                  </w:r>
                                </w:p>
                              </w:tc>
                            </w:tr>
                            <w:tr>
                              <w:trPr>
                                <w:trHeight w:val="275" w:hRule="atLeast"/>
                              </w:trPr>
                              <w:tc>
                                <w:tcPr>
                                  <w:tcW w:w="1911" w:type="dxa"/>
                                  <w:tcBorders>
                                    <w:top w:val="double" w:sz="6" w:space="0" w:color="000000"/>
                                  </w:tcBorders>
                                </w:tcPr>
                                <w:p>
                                  <w:pPr>
                                    <w:pStyle w:val="TableParagraph"/>
                                    <w:spacing w:line="215" w:lineRule="exact" w:before="40"/>
                                    <w:ind w:left="134" w:right="1"/>
                                    <w:jc w:val="center"/>
                                    <w:rPr>
                                      <w:sz w:val="20"/>
                                    </w:rPr>
                                  </w:pPr>
                                  <w:r>
                                    <w:rPr>
                                      <w:spacing w:val="-10"/>
                                      <w:sz w:val="20"/>
                                    </w:rPr>
                                    <w:t>C</w:t>
                                  </w:r>
                                </w:p>
                              </w:tc>
                              <w:tc>
                                <w:tcPr>
                                  <w:tcW w:w="1314" w:type="dxa"/>
                                  <w:tcBorders>
                                    <w:top w:val="double" w:sz="6" w:space="0" w:color="000000"/>
                                  </w:tcBorders>
                                </w:tcPr>
                                <w:p>
                                  <w:pPr>
                                    <w:pStyle w:val="TableParagraph"/>
                                    <w:spacing w:line="215" w:lineRule="exact" w:before="40"/>
                                    <w:ind w:left="235"/>
                                    <w:jc w:val="center"/>
                                    <w:rPr>
                                      <w:sz w:val="20"/>
                                    </w:rPr>
                                  </w:pPr>
                                  <w:r>
                                    <w:rPr>
                                      <w:spacing w:val="-4"/>
                                      <w:sz w:val="20"/>
                                    </w:rPr>
                                    <w:t>-</w:t>
                                  </w:r>
                                  <w:r>
                                    <w:rPr>
                                      <w:spacing w:val="-2"/>
                                      <w:sz w:val="20"/>
                                    </w:rPr>
                                    <w:t>2.467560</w:t>
                                  </w:r>
                                </w:p>
                              </w:tc>
                              <w:tc>
                                <w:tcPr>
                                  <w:tcW w:w="1433" w:type="dxa"/>
                                  <w:tcBorders>
                                    <w:top w:val="double" w:sz="6" w:space="0" w:color="000000"/>
                                  </w:tcBorders>
                                </w:tcPr>
                                <w:p>
                                  <w:pPr>
                                    <w:pStyle w:val="TableParagraph"/>
                                    <w:spacing w:line="215" w:lineRule="exact" w:before="40"/>
                                    <w:ind w:left="311"/>
                                    <w:rPr>
                                      <w:sz w:val="20"/>
                                    </w:rPr>
                                  </w:pPr>
                                  <w:r>
                                    <w:rPr>
                                      <w:spacing w:val="-2"/>
                                      <w:sz w:val="20"/>
                                    </w:rPr>
                                    <w:t>1.243782</w:t>
                                  </w:r>
                                </w:p>
                              </w:tc>
                              <w:tc>
                                <w:tcPr>
                                  <w:tcW w:w="903" w:type="dxa"/>
                                  <w:tcBorders>
                                    <w:top w:val="double" w:sz="6" w:space="0" w:color="000000"/>
                                  </w:tcBorders>
                                </w:tcPr>
                                <w:p>
                                  <w:pPr>
                                    <w:pStyle w:val="TableParagraph"/>
                                    <w:spacing w:line="215" w:lineRule="exact" w:before="40"/>
                                    <w:ind w:right="72"/>
                                    <w:jc w:val="center"/>
                                    <w:rPr>
                                      <w:sz w:val="20"/>
                                    </w:rPr>
                                  </w:pPr>
                                  <w:r>
                                    <w:rPr>
                                      <w:spacing w:val="-4"/>
                                      <w:sz w:val="20"/>
                                    </w:rPr>
                                    <w:t>-</w:t>
                                  </w:r>
                                  <w:r>
                                    <w:rPr>
                                      <w:spacing w:val="-2"/>
                                      <w:sz w:val="20"/>
                                    </w:rPr>
                                    <w:t>1.983916</w:t>
                                  </w:r>
                                </w:p>
                              </w:tc>
                              <w:tc>
                                <w:tcPr>
                                  <w:tcW w:w="928" w:type="dxa"/>
                                  <w:tcBorders>
                                    <w:top w:val="double" w:sz="6" w:space="0" w:color="000000"/>
                                  </w:tcBorders>
                                </w:tcPr>
                                <w:p>
                                  <w:pPr>
                                    <w:pStyle w:val="TableParagraph"/>
                                    <w:spacing w:line="215" w:lineRule="exact" w:before="40"/>
                                    <w:ind w:right="29"/>
                                    <w:jc w:val="right"/>
                                    <w:rPr>
                                      <w:sz w:val="20"/>
                                    </w:rPr>
                                  </w:pPr>
                                  <w:r>
                                    <w:rPr>
                                      <w:spacing w:val="-2"/>
                                      <w:sz w:val="20"/>
                                    </w:rPr>
                                    <w:t>0.0754</w:t>
                                  </w:r>
                                </w:p>
                              </w:tc>
                            </w:tr>
                            <w:tr>
                              <w:trPr>
                                <w:trHeight w:val="230" w:hRule="atLeast"/>
                              </w:trPr>
                              <w:tc>
                                <w:tcPr>
                                  <w:tcW w:w="1911" w:type="dxa"/>
                                </w:tcPr>
                                <w:p>
                                  <w:pPr>
                                    <w:pStyle w:val="TableParagraph"/>
                                    <w:spacing w:line="211" w:lineRule="exact"/>
                                    <w:ind w:left="566"/>
                                    <w:rPr>
                                      <w:sz w:val="20"/>
                                    </w:rPr>
                                  </w:pPr>
                                  <w:r>
                                    <w:rPr>
                                      <w:spacing w:val="-2"/>
                                      <w:sz w:val="20"/>
                                    </w:rPr>
                                    <w:t>EXTDEBT</w:t>
                                  </w:r>
                                </w:p>
                              </w:tc>
                              <w:tc>
                                <w:tcPr>
                                  <w:tcW w:w="1314" w:type="dxa"/>
                                </w:tcPr>
                                <w:p>
                                  <w:pPr>
                                    <w:pStyle w:val="TableParagraph"/>
                                    <w:spacing w:line="211" w:lineRule="exact"/>
                                    <w:ind w:left="235"/>
                                    <w:jc w:val="center"/>
                                    <w:rPr>
                                      <w:sz w:val="20"/>
                                    </w:rPr>
                                  </w:pPr>
                                  <w:r>
                                    <w:rPr>
                                      <w:spacing w:val="-4"/>
                                      <w:sz w:val="20"/>
                                    </w:rPr>
                                    <w:t>-</w:t>
                                  </w:r>
                                  <w:r>
                                    <w:rPr>
                                      <w:spacing w:val="-2"/>
                                      <w:sz w:val="20"/>
                                    </w:rPr>
                                    <w:t>0.087317</w:t>
                                  </w:r>
                                </w:p>
                              </w:tc>
                              <w:tc>
                                <w:tcPr>
                                  <w:tcW w:w="1433" w:type="dxa"/>
                                </w:tcPr>
                                <w:p>
                                  <w:pPr>
                                    <w:pStyle w:val="TableParagraph"/>
                                    <w:spacing w:line="211" w:lineRule="exact"/>
                                    <w:ind w:left="311"/>
                                    <w:rPr>
                                      <w:sz w:val="20"/>
                                    </w:rPr>
                                  </w:pPr>
                                  <w:r>
                                    <w:rPr>
                                      <w:spacing w:val="-2"/>
                                      <w:sz w:val="20"/>
                                    </w:rPr>
                                    <w:t>0.040469</w:t>
                                  </w:r>
                                </w:p>
                              </w:tc>
                              <w:tc>
                                <w:tcPr>
                                  <w:tcW w:w="903" w:type="dxa"/>
                                </w:tcPr>
                                <w:p>
                                  <w:pPr>
                                    <w:pStyle w:val="TableParagraph"/>
                                    <w:spacing w:line="211" w:lineRule="exact"/>
                                    <w:ind w:right="72"/>
                                    <w:jc w:val="center"/>
                                    <w:rPr>
                                      <w:sz w:val="20"/>
                                    </w:rPr>
                                  </w:pPr>
                                  <w:r>
                                    <w:rPr>
                                      <w:spacing w:val="-4"/>
                                      <w:sz w:val="20"/>
                                    </w:rPr>
                                    <w:t>-</w:t>
                                  </w:r>
                                  <w:r>
                                    <w:rPr>
                                      <w:spacing w:val="-2"/>
                                      <w:sz w:val="20"/>
                                    </w:rPr>
                                    <w:t>2.157627</w:t>
                                  </w:r>
                                </w:p>
                              </w:tc>
                              <w:tc>
                                <w:tcPr>
                                  <w:tcW w:w="928" w:type="dxa"/>
                                </w:tcPr>
                                <w:p>
                                  <w:pPr>
                                    <w:pStyle w:val="TableParagraph"/>
                                    <w:spacing w:line="211" w:lineRule="exact"/>
                                    <w:ind w:right="29"/>
                                    <w:jc w:val="right"/>
                                    <w:rPr>
                                      <w:sz w:val="20"/>
                                    </w:rPr>
                                  </w:pPr>
                                  <w:r>
                                    <w:rPr>
                                      <w:spacing w:val="-2"/>
                                      <w:sz w:val="20"/>
                                    </w:rPr>
                                    <w:t>0.0563</w:t>
                                  </w:r>
                                </w:p>
                              </w:tc>
                            </w:tr>
                            <w:tr>
                              <w:trPr>
                                <w:trHeight w:val="230" w:hRule="atLeast"/>
                              </w:trPr>
                              <w:tc>
                                <w:tcPr>
                                  <w:tcW w:w="1911" w:type="dxa"/>
                                </w:tcPr>
                                <w:p>
                                  <w:pPr>
                                    <w:pStyle w:val="TableParagraph"/>
                                    <w:spacing w:line="211" w:lineRule="exact"/>
                                    <w:ind w:left="134"/>
                                    <w:jc w:val="center"/>
                                    <w:rPr>
                                      <w:sz w:val="20"/>
                                    </w:rPr>
                                  </w:pPr>
                                  <w:r>
                                    <w:rPr>
                                      <w:spacing w:val="-5"/>
                                      <w:sz w:val="20"/>
                                    </w:rPr>
                                    <w:t>DFI</w:t>
                                  </w:r>
                                </w:p>
                              </w:tc>
                              <w:tc>
                                <w:tcPr>
                                  <w:tcW w:w="1314" w:type="dxa"/>
                                </w:tcPr>
                                <w:p>
                                  <w:pPr>
                                    <w:pStyle w:val="TableParagraph"/>
                                    <w:spacing w:line="211" w:lineRule="exact"/>
                                    <w:ind w:left="300"/>
                                    <w:jc w:val="center"/>
                                    <w:rPr>
                                      <w:sz w:val="20"/>
                                    </w:rPr>
                                  </w:pPr>
                                  <w:r>
                                    <w:rPr>
                                      <w:spacing w:val="-2"/>
                                      <w:sz w:val="20"/>
                                    </w:rPr>
                                    <w:t>1.479476</w:t>
                                  </w:r>
                                </w:p>
                              </w:tc>
                              <w:tc>
                                <w:tcPr>
                                  <w:tcW w:w="1433" w:type="dxa"/>
                                </w:tcPr>
                                <w:p>
                                  <w:pPr>
                                    <w:pStyle w:val="TableParagraph"/>
                                    <w:spacing w:line="211" w:lineRule="exact"/>
                                    <w:ind w:left="311"/>
                                    <w:rPr>
                                      <w:sz w:val="20"/>
                                    </w:rPr>
                                  </w:pPr>
                                  <w:r>
                                    <w:rPr>
                                      <w:spacing w:val="-2"/>
                                      <w:sz w:val="20"/>
                                    </w:rPr>
                                    <w:t>0.175759</w:t>
                                  </w:r>
                                </w:p>
                              </w:tc>
                              <w:tc>
                                <w:tcPr>
                                  <w:tcW w:w="903" w:type="dxa"/>
                                </w:tcPr>
                                <w:p>
                                  <w:pPr>
                                    <w:pStyle w:val="TableParagraph"/>
                                    <w:spacing w:line="211" w:lineRule="exact"/>
                                    <w:ind w:right="7"/>
                                    <w:jc w:val="center"/>
                                    <w:rPr>
                                      <w:sz w:val="20"/>
                                    </w:rPr>
                                  </w:pPr>
                                  <w:r>
                                    <w:rPr>
                                      <w:spacing w:val="-2"/>
                                      <w:sz w:val="20"/>
                                    </w:rPr>
                                    <w:t>8.417658</w:t>
                                  </w:r>
                                </w:p>
                              </w:tc>
                              <w:tc>
                                <w:tcPr>
                                  <w:tcW w:w="928" w:type="dxa"/>
                                </w:tcPr>
                                <w:p>
                                  <w:pPr>
                                    <w:pStyle w:val="TableParagraph"/>
                                    <w:spacing w:line="211" w:lineRule="exact"/>
                                    <w:ind w:right="29"/>
                                    <w:jc w:val="right"/>
                                    <w:rPr>
                                      <w:sz w:val="20"/>
                                    </w:rPr>
                                  </w:pPr>
                                  <w:r>
                                    <w:rPr>
                                      <w:spacing w:val="-2"/>
                                      <w:sz w:val="20"/>
                                    </w:rPr>
                                    <w:t>0.0000</w:t>
                                  </w:r>
                                </w:p>
                              </w:tc>
                            </w:tr>
                            <w:tr>
                              <w:trPr>
                                <w:trHeight w:val="230" w:hRule="atLeast"/>
                              </w:trPr>
                              <w:tc>
                                <w:tcPr>
                                  <w:tcW w:w="1911" w:type="dxa"/>
                                </w:tcPr>
                                <w:p>
                                  <w:pPr>
                                    <w:pStyle w:val="TableParagraph"/>
                                    <w:spacing w:line="210" w:lineRule="exact"/>
                                    <w:ind w:left="134" w:right="4"/>
                                    <w:jc w:val="center"/>
                                    <w:rPr>
                                      <w:sz w:val="20"/>
                                    </w:rPr>
                                  </w:pPr>
                                  <w:r>
                                    <w:rPr>
                                      <w:spacing w:val="-5"/>
                                      <w:sz w:val="20"/>
                                    </w:rPr>
                                    <w:t>CAB</w:t>
                                  </w:r>
                                </w:p>
                              </w:tc>
                              <w:tc>
                                <w:tcPr>
                                  <w:tcW w:w="1314" w:type="dxa"/>
                                </w:tcPr>
                                <w:p>
                                  <w:pPr>
                                    <w:pStyle w:val="TableParagraph"/>
                                    <w:spacing w:line="210" w:lineRule="exact"/>
                                    <w:ind w:left="235"/>
                                    <w:jc w:val="center"/>
                                    <w:rPr>
                                      <w:sz w:val="20"/>
                                    </w:rPr>
                                  </w:pPr>
                                  <w:r>
                                    <w:rPr>
                                      <w:spacing w:val="-4"/>
                                      <w:sz w:val="20"/>
                                    </w:rPr>
                                    <w:t>-</w:t>
                                  </w:r>
                                  <w:r>
                                    <w:rPr>
                                      <w:spacing w:val="-2"/>
                                      <w:sz w:val="20"/>
                                    </w:rPr>
                                    <w:t>0.001759</w:t>
                                  </w:r>
                                </w:p>
                              </w:tc>
                              <w:tc>
                                <w:tcPr>
                                  <w:tcW w:w="1433" w:type="dxa"/>
                                </w:tcPr>
                                <w:p>
                                  <w:pPr>
                                    <w:pStyle w:val="TableParagraph"/>
                                    <w:spacing w:line="210" w:lineRule="exact"/>
                                    <w:ind w:left="311"/>
                                    <w:rPr>
                                      <w:sz w:val="20"/>
                                    </w:rPr>
                                  </w:pPr>
                                  <w:r>
                                    <w:rPr>
                                      <w:spacing w:val="-2"/>
                                      <w:sz w:val="20"/>
                                    </w:rPr>
                                    <w:t>0.035992</w:t>
                                  </w:r>
                                </w:p>
                              </w:tc>
                              <w:tc>
                                <w:tcPr>
                                  <w:tcW w:w="903" w:type="dxa"/>
                                </w:tcPr>
                                <w:p>
                                  <w:pPr>
                                    <w:pStyle w:val="TableParagraph"/>
                                    <w:spacing w:line="210" w:lineRule="exact"/>
                                    <w:ind w:right="72"/>
                                    <w:jc w:val="center"/>
                                    <w:rPr>
                                      <w:sz w:val="20"/>
                                    </w:rPr>
                                  </w:pPr>
                                  <w:r>
                                    <w:rPr>
                                      <w:spacing w:val="-4"/>
                                      <w:sz w:val="20"/>
                                    </w:rPr>
                                    <w:t>-</w:t>
                                  </w:r>
                                  <w:r>
                                    <w:rPr>
                                      <w:spacing w:val="-2"/>
                                      <w:sz w:val="20"/>
                                    </w:rPr>
                                    <w:t>0.048881</w:t>
                                  </w:r>
                                </w:p>
                              </w:tc>
                              <w:tc>
                                <w:tcPr>
                                  <w:tcW w:w="928" w:type="dxa"/>
                                </w:tcPr>
                                <w:p>
                                  <w:pPr>
                                    <w:pStyle w:val="TableParagraph"/>
                                    <w:spacing w:line="210" w:lineRule="exact"/>
                                    <w:ind w:right="29"/>
                                    <w:jc w:val="right"/>
                                    <w:rPr>
                                      <w:sz w:val="20"/>
                                    </w:rPr>
                                  </w:pPr>
                                  <w:r>
                                    <w:rPr>
                                      <w:spacing w:val="-2"/>
                                      <w:sz w:val="20"/>
                                    </w:rPr>
                                    <w:t>0.9620</w:t>
                                  </w:r>
                                </w:p>
                              </w:tc>
                            </w:tr>
                            <w:tr>
                              <w:trPr>
                                <w:trHeight w:val="230" w:hRule="atLeast"/>
                              </w:trPr>
                              <w:tc>
                                <w:tcPr>
                                  <w:tcW w:w="1911" w:type="dxa"/>
                                </w:tcPr>
                                <w:p>
                                  <w:pPr>
                                    <w:pStyle w:val="TableParagraph"/>
                                    <w:spacing w:line="210" w:lineRule="exact"/>
                                    <w:ind w:left="134" w:right="4"/>
                                    <w:jc w:val="center"/>
                                    <w:rPr>
                                      <w:sz w:val="20"/>
                                    </w:rPr>
                                  </w:pPr>
                                  <w:r>
                                    <w:rPr>
                                      <w:spacing w:val="-5"/>
                                      <w:sz w:val="20"/>
                                    </w:rPr>
                                    <w:t>RES</w:t>
                                  </w:r>
                                </w:p>
                              </w:tc>
                              <w:tc>
                                <w:tcPr>
                                  <w:tcW w:w="1314" w:type="dxa"/>
                                </w:tcPr>
                                <w:p>
                                  <w:pPr>
                                    <w:pStyle w:val="TableParagraph"/>
                                    <w:spacing w:line="210" w:lineRule="exact"/>
                                    <w:ind w:left="300"/>
                                    <w:jc w:val="center"/>
                                    <w:rPr>
                                      <w:sz w:val="20"/>
                                    </w:rPr>
                                  </w:pPr>
                                  <w:r>
                                    <w:rPr>
                                      <w:spacing w:val="-2"/>
                                      <w:sz w:val="20"/>
                                    </w:rPr>
                                    <w:t>0.256220</w:t>
                                  </w:r>
                                </w:p>
                              </w:tc>
                              <w:tc>
                                <w:tcPr>
                                  <w:tcW w:w="1433" w:type="dxa"/>
                                </w:tcPr>
                                <w:p>
                                  <w:pPr>
                                    <w:pStyle w:val="TableParagraph"/>
                                    <w:spacing w:line="210" w:lineRule="exact"/>
                                    <w:ind w:left="311"/>
                                    <w:rPr>
                                      <w:sz w:val="20"/>
                                    </w:rPr>
                                  </w:pPr>
                                  <w:r>
                                    <w:rPr>
                                      <w:spacing w:val="-2"/>
                                      <w:sz w:val="20"/>
                                    </w:rPr>
                                    <w:t>0.049631</w:t>
                                  </w:r>
                                </w:p>
                              </w:tc>
                              <w:tc>
                                <w:tcPr>
                                  <w:tcW w:w="903" w:type="dxa"/>
                                </w:tcPr>
                                <w:p>
                                  <w:pPr>
                                    <w:pStyle w:val="TableParagraph"/>
                                    <w:spacing w:line="210" w:lineRule="exact"/>
                                    <w:ind w:right="7"/>
                                    <w:jc w:val="center"/>
                                    <w:rPr>
                                      <w:sz w:val="20"/>
                                    </w:rPr>
                                  </w:pPr>
                                  <w:r>
                                    <w:rPr>
                                      <w:spacing w:val="-2"/>
                                      <w:sz w:val="20"/>
                                    </w:rPr>
                                    <w:t>5.162468</w:t>
                                  </w:r>
                                </w:p>
                              </w:tc>
                              <w:tc>
                                <w:tcPr>
                                  <w:tcW w:w="928" w:type="dxa"/>
                                </w:tcPr>
                                <w:p>
                                  <w:pPr>
                                    <w:pStyle w:val="TableParagraph"/>
                                    <w:spacing w:line="210" w:lineRule="exact"/>
                                    <w:ind w:right="29"/>
                                    <w:jc w:val="right"/>
                                    <w:rPr>
                                      <w:sz w:val="20"/>
                                    </w:rPr>
                                  </w:pPr>
                                  <w:r>
                                    <w:rPr>
                                      <w:spacing w:val="-2"/>
                                      <w:sz w:val="20"/>
                                    </w:rPr>
                                    <w:t>0.0004</w:t>
                                  </w:r>
                                </w:p>
                              </w:tc>
                            </w:tr>
                            <w:tr>
                              <w:trPr>
                                <w:trHeight w:val="224" w:hRule="atLeast"/>
                              </w:trPr>
                              <w:tc>
                                <w:tcPr>
                                  <w:tcW w:w="1911" w:type="dxa"/>
                                  <w:tcBorders>
                                    <w:bottom w:val="double" w:sz="6" w:space="0" w:color="000000"/>
                                  </w:tcBorders>
                                </w:tcPr>
                                <w:p>
                                  <w:pPr>
                                    <w:pStyle w:val="TableParagraph"/>
                                    <w:spacing w:line="205" w:lineRule="exact"/>
                                    <w:ind w:left="626"/>
                                    <w:rPr>
                                      <w:sz w:val="20"/>
                                    </w:rPr>
                                  </w:pPr>
                                  <w:r>
                                    <w:rPr>
                                      <w:spacing w:val="-2"/>
                                      <w:sz w:val="20"/>
                                    </w:rPr>
                                    <w:t>NEXTAS</w:t>
                                  </w:r>
                                </w:p>
                              </w:tc>
                              <w:tc>
                                <w:tcPr>
                                  <w:tcW w:w="1314" w:type="dxa"/>
                                  <w:tcBorders>
                                    <w:bottom w:val="double" w:sz="6" w:space="0" w:color="000000"/>
                                  </w:tcBorders>
                                </w:tcPr>
                                <w:p>
                                  <w:pPr>
                                    <w:pStyle w:val="TableParagraph"/>
                                    <w:spacing w:line="205" w:lineRule="exact"/>
                                    <w:ind w:left="235"/>
                                    <w:jc w:val="center"/>
                                    <w:rPr>
                                      <w:sz w:val="20"/>
                                    </w:rPr>
                                  </w:pPr>
                                  <w:r>
                                    <w:rPr>
                                      <w:spacing w:val="-4"/>
                                      <w:sz w:val="20"/>
                                    </w:rPr>
                                    <w:t>-</w:t>
                                  </w:r>
                                  <w:r>
                                    <w:rPr>
                                      <w:spacing w:val="-2"/>
                                      <w:sz w:val="20"/>
                                    </w:rPr>
                                    <w:t>0.044703</w:t>
                                  </w:r>
                                </w:p>
                              </w:tc>
                              <w:tc>
                                <w:tcPr>
                                  <w:tcW w:w="1433" w:type="dxa"/>
                                  <w:tcBorders>
                                    <w:bottom w:val="double" w:sz="6" w:space="0" w:color="000000"/>
                                  </w:tcBorders>
                                </w:tcPr>
                                <w:p>
                                  <w:pPr>
                                    <w:pStyle w:val="TableParagraph"/>
                                    <w:spacing w:line="205" w:lineRule="exact"/>
                                    <w:ind w:left="311"/>
                                    <w:rPr>
                                      <w:sz w:val="20"/>
                                    </w:rPr>
                                  </w:pPr>
                                  <w:r>
                                    <w:rPr>
                                      <w:spacing w:val="-2"/>
                                      <w:sz w:val="20"/>
                                    </w:rPr>
                                    <w:t>0.046719</w:t>
                                  </w:r>
                                </w:p>
                              </w:tc>
                              <w:tc>
                                <w:tcPr>
                                  <w:tcW w:w="903" w:type="dxa"/>
                                  <w:tcBorders>
                                    <w:bottom w:val="double" w:sz="6" w:space="0" w:color="000000"/>
                                  </w:tcBorders>
                                </w:tcPr>
                                <w:p>
                                  <w:pPr>
                                    <w:pStyle w:val="TableParagraph"/>
                                    <w:spacing w:line="205" w:lineRule="exact"/>
                                    <w:ind w:right="72"/>
                                    <w:jc w:val="center"/>
                                    <w:rPr>
                                      <w:sz w:val="20"/>
                                    </w:rPr>
                                  </w:pPr>
                                  <w:r>
                                    <w:rPr>
                                      <w:spacing w:val="-4"/>
                                      <w:sz w:val="20"/>
                                    </w:rPr>
                                    <w:t>-</w:t>
                                  </w:r>
                                  <w:r>
                                    <w:rPr>
                                      <w:spacing w:val="-2"/>
                                      <w:sz w:val="20"/>
                                    </w:rPr>
                                    <w:t>0.956860</w:t>
                                  </w:r>
                                </w:p>
                              </w:tc>
                              <w:tc>
                                <w:tcPr>
                                  <w:tcW w:w="928" w:type="dxa"/>
                                  <w:tcBorders>
                                    <w:bottom w:val="double" w:sz="6" w:space="0" w:color="000000"/>
                                  </w:tcBorders>
                                </w:tcPr>
                                <w:p>
                                  <w:pPr>
                                    <w:pStyle w:val="TableParagraph"/>
                                    <w:spacing w:line="205" w:lineRule="exact"/>
                                    <w:ind w:right="29"/>
                                    <w:jc w:val="right"/>
                                    <w:rPr>
                                      <w:sz w:val="20"/>
                                    </w:rPr>
                                  </w:pPr>
                                  <w:r>
                                    <w:rPr>
                                      <w:spacing w:val="-2"/>
                                      <w:sz w:val="20"/>
                                    </w:rPr>
                                    <w:t>0.3612</w:t>
                                  </w:r>
                                </w:p>
                              </w:tc>
                            </w:tr>
                            <w:tr>
                              <w:trPr>
                                <w:trHeight w:val="275" w:hRule="atLeast"/>
                              </w:trPr>
                              <w:tc>
                                <w:tcPr>
                                  <w:tcW w:w="1911" w:type="dxa"/>
                                  <w:tcBorders>
                                    <w:top w:val="double" w:sz="6" w:space="0" w:color="000000"/>
                                  </w:tcBorders>
                                </w:tcPr>
                                <w:p>
                                  <w:pPr>
                                    <w:pStyle w:val="TableParagraph"/>
                                    <w:spacing w:line="215" w:lineRule="exact" w:before="40"/>
                                    <w:ind w:left="35"/>
                                    <w:rPr>
                                      <w:sz w:val="20"/>
                                    </w:rPr>
                                  </w:pPr>
                                  <w:r>
                                    <w:rPr>
                                      <w:spacing w:val="-2"/>
                                      <w:sz w:val="20"/>
                                    </w:rPr>
                                    <w:t>R-squared</w:t>
                                  </w:r>
                                </w:p>
                              </w:tc>
                              <w:tc>
                                <w:tcPr>
                                  <w:tcW w:w="1314" w:type="dxa"/>
                                  <w:tcBorders>
                                    <w:top w:val="double" w:sz="6" w:space="0" w:color="000000"/>
                                  </w:tcBorders>
                                </w:tcPr>
                                <w:p>
                                  <w:pPr>
                                    <w:pStyle w:val="TableParagraph"/>
                                    <w:spacing w:line="215" w:lineRule="exact" w:before="40"/>
                                    <w:ind w:left="300"/>
                                    <w:jc w:val="center"/>
                                    <w:rPr>
                                      <w:sz w:val="20"/>
                                    </w:rPr>
                                  </w:pPr>
                                  <w:r>
                                    <w:rPr>
                                      <w:spacing w:val="-2"/>
                                      <w:sz w:val="20"/>
                                    </w:rPr>
                                    <w:t>0.977163</w:t>
                                  </w:r>
                                </w:p>
                              </w:tc>
                              <w:tc>
                                <w:tcPr>
                                  <w:tcW w:w="2336" w:type="dxa"/>
                                  <w:gridSpan w:val="2"/>
                                  <w:tcBorders>
                                    <w:top w:val="double" w:sz="6" w:space="0" w:color="000000"/>
                                  </w:tcBorders>
                                </w:tcPr>
                                <w:p>
                                  <w:pPr>
                                    <w:pStyle w:val="TableParagraph"/>
                                    <w:spacing w:line="215" w:lineRule="exact" w:before="40"/>
                                    <w:ind w:left="131"/>
                                    <w:rPr>
                                      <w:sz w:val="20"/>
                                    </w:rPr>
                                  </w:pPr>
                                  <w:r>
                                    <w:rPr>
                                      <w:sz w:val="20"/>
                                    </w:rPr>
                                    <w:t>Mean</w:t>
                                  </w:r>
                                  <w:r>
                                    <w:rPr>
                                      <w:spacing w:val="-7"/>
                                      <w:sz w:val="20"/>
                                    </w:rPr>
                                    <w:t> </w:t>
                                  </w:r>
                                  <w:r>
                                    <w:rPr>
                                      <w:sz w:val="20"/>
                                    </w:rPr>
                                    <w:t>dependent</w:t>
                                  </w:r>
                                  <w:r>
                                    <w:rPr>
                                      <w:spacing w:val="-7"/>
                                      <w:sz w:val="20"/>
                                    </w:rPr>
                                    <w:t> </w:t>
                                  </w:r>
                                  <w:r>
                                    <w:rPr>
                                      <w:spacing w:val="-5"/>
                                      <w:sz w:val="20"/>
                                    </w:rPr>
                                    <w:t>var</w:t>
                                  </w:r>
                                </w:p>
                              </w:tc>
                              <w:tc>
                                <w:tcPr>
                                  <w:tcW w:w="928" w:type="dxa"/>
                                  <w:tcBorders>
                                    <w:top w:val="double" w:sz="6" w:space="0" w:color="000000"/>
                                  </w:tcBorders>
                                </w:tcPr>
                                <w:p>
                                  <w:pPr>
                                    <w:pStyle w:val="TableParagraph"/>
                                    <w:spacing w:line="215" w:lineRule="exact" w:before="40"/>
                                    <w:ind w:right="29"/>
                                    <w:jc w:val="right"/>
                                    <w:rPr>
                                      <w:sz w:val="20"/>
                                    </w:rPr>
                                  </w:pPr>
                                  <w:r>
                                    <w:rPr>
                                      <w:spacing w:val="-2"/>
                                      <w:sz w:val="20"/>
                                    </w:rPr>
                                    <w:t>10.13532</w:t>
                                  </w:r>
                                </w:p>
                              </w:tc>
                            </w:tr>
                            <w:tr>
                              <w:trPr>
                                <w:trHeight w:val="229" w:hRule="atLeast"/>
                              </w:trPr>
                              <w:tc>
                                <w:tcPr>
                                  <w:tcW w:w="1911" w:type="dxa"/>
                                </w:tcPr>
                                <w:p>
                                  <w:pPr>
                                    <w:pStyle w:val="TableParagraph"/>
                                    <w:spacing w:line="209" w:lineRule="exact"/>
                                    <w:ind w:left="35"/>
                                    <w:rPr>
                                      <w:sz w:val="20"/>
                                    </w:rPr>
                                  </w:pPr>
                                  <w:r>
                                    <w:rPr>
                                      <w:sz w:val="20"/>
                                    </w:rPr>
                                    <w:t>Adjusted</w:t>
                                  </w:r>
                                  <w:r>
                                    <w:rPr>
                                      <w:spacing w:val="-10"/>
                                      <w:sz w:val="20"/>
                                    </w:rPr>
                                    <w:t> </w:t>
                                  </w:r>
                                  <w:r>
                                    <w:rPr>
                                      <w:sz w:val="20"/>
                                    </w:rPr>
                                    <w:t>R-</w:t>
                                  </w:r>
                                  <w:r>
                                    <w:rPr>
                                      <w:spacing w:val="-2"/>
                                      <w:sz w:val="20"/>
                                    </w:rPr>
                                    <w:t>squared</w:t>
                                  </w:r>
                                </w:p>
                              </w:tc>
                              <w:tc>
                                <w:tcPr>
                                  <w:tcW w:w="1314" w:type="dxa"/>
                                </w:tcPr>
                                <w:p>
                                  <w:pPr>
                                    <w:pStyle w:val="TableParagraph"/>
                                    <w:spacing w:line="209" w:lineRule="exact"/>
                                    <w:ind w:left="300"/>
                                    <w:jc w:val="center"/>
                                    <w:rPr>
                                      <w:sz w:val="20"/>
                                    </w:rPr>
                                  </w:pPr>
                                  <w:r>
                                    <w:rPr>
                                      <w:spacing w:val="-2"/>
                                      <w:sz w:val="20"/>
                                    </w:rPr>
                                    <w:t>0.965744</w:t>
                                  </w:r>
                                </w:p>
                              </w:tc>
                              <w:tc>
                                <w:tcPr>
                                  <w:tcW w:w="2336" w:type="dxa"/>
                                  <w:gridSpan w:val="2"/>
                                </w:tcPr>
                                <w:p>
                                  <w:pPr>
                                    <w:pStyle w:val="TableParagraph"/>
                                    <w:spacing w:line="209" w:lineRule="exact"/>
                                    <w:ind w:left="131"/>
                                    <w:rPr>
                                      <w:sz w:val="20"/>
                                    </w:rPr>
                                  </w:pPr>
                                  <w:r>
                                    <w:rPr>
                                      <w:sz w:val="20"/>
                                    </w:rPr>
                                    <w:t>S.D.</w:t>
                                  </w:r>
                                  <w:r>
                                    <w:rPr>
                                      <w:spacing w:val="-5"/>
                                      <w:sz w:val="20"/>
                                    </w:rPr>
                                    <w:t> </w:t>
                                  </w:r>
                                  <w:r>
                                    <w:rPr>
                                      <w:sz w:val="20"/>
                                    </w:rPr>
                                    <w:t>dependent</w:t>
                                  </w:r>
                                  <w:r>
                                    <w:rPr>
                                      <w:spacing w:val="-6"/>
                                      <w:sz w:val="20"/>
                                    </w:rPr>
                                    <w:t> </w:t>
                                  </w:r>
                                  <w:r>
                                    <w:rPr>
                                      <w:spacing w:val="-5"/>
                                      <w:sz w:val="20"/>
                                    </w:rPr>
                                    <w:t>var</w:t>
                                  </w:r>
                                </w:p>
                              </w:tc>
                              <w:tc>
                                <w:tcPr>
                                  <w:tcW w:w="928" w:type="dxa"/>
                                </w:tcPr>
                                <w:p>
                                  <w:pPr>
                                    <w:pStyle w:val="TableParagraph"/>
                                    <w:spacing w:line="209" w:lineRule="exact"/>
                                    <w:ind w:right="29"/>
                                    <w:jc w:val="right"/>
                                    <w:rPr>
                                      <w:sz w:val="20"/>
                                    </w:rPr>
                                  </w:pPr>
                                  <w:r>
                                    <w:rPr>
                                      <w:spacing w:val="-2"/>
                                      <w:sz w:val="20"/>
                                    </w:rPr>
                                    <w:t>0.858322</w:t>
                                  </w:r>
                                </w:p>
                              </w:tc>
                            </w:tr>
                            <w:tr>
                              <w:trPr>
                                <w:trHeight w:val="229" w:hRule="atLeast"/>
                              </w:trPr>
                              <w:tc>
                                <w:tcPr>
                                  <w:tcW w:w="1911" w:type="dxa"/>
                                </w:tcPr>
                                <w:p>
                                  <w:pPr>
                                    <w:pStyle w:val="TableParagraph"/>
                                    <w:spacing w:line="209" w:lineRule="exact"/>
                                    <w:ind w:left="35"/>
                                    <w:rPr>
                                      <w:sz w:val="20"/>
                                    </w:rPr>
                                  </w:pPr>
                                  <w:r>
                                    <w:rPr>
                                      <w:sz w:val="20"/>
                                    </w:rPr>
                                    <w:t>S.E.</w:t>
                                  </w:r>
                                  <w:r>
                                    <w:rPr>
                                      <w:spacing w:val="-3"/>
                                      <w:sz w:val="20"/>
                                    </w:rPr>
                                    <w:t> </w:t>
                                  </w:r>
                                  <w:r>
                                    <w:rPr>
                                      <w:sz w:val="20"/>
                                    </w:rPr>
                                    <w:t>of</w:t>
                                  </w:r>
                                  <w:r>
                                    <w:rPr>
                                      <w:spacing w:val="-3"/>
                                      <w:sz w:val="20"/>
                                    </w:rPr>
                                    <w:t> </w:t>
                                  </w:r>
                                  <w:r>
                                    <w:rPr>
                                      <w:spacing w:val="-2"/>
                                      <w:sz w:val="20"/>
                                    </w:rPr>
                                    <w:t>regression</w:t>
                                  </w:r>
                                </w:p>
                              </w:tc>
                              <w:tc>
                                <w:tcPr>
                                  <w:tcW w:w="1314" w:type="dxa"/>
                                </w:tcPr>
                                <w:p>
                                  <w:pPr>
                                    <w:pStyle w:val="TableParagraph"/>
                                    <w:spacing w:line="209" w:lineRule="exact"/>
                                    <w:ind w:left="300"/>
                                    <w:jc w:val="center"/>
                                    <w:rPr>
                                      <w:sz w:val="20"/>
                                    </w:rPr>
                                  </w:pPr>
                                  <w:r>
                                    <w:rPr>
                                      <w:spacing w:val="-2"/>
                                      <w:sz w:val="20"/>
                                    </w:rPr>
                                    <w:t>0.158860</w:t>
                                  </w:r>
                                </w:p>
                              </w:tc>
                              <w:tc>
                                <w:tcPr>
                                  <w:tcW w:w="2336" w:type="dxa"/>
                                  <w:gridSpan w:val="2"/>
                                </w:tcPr>
                                <w:p>
                                  <w:pPr>
                                    <w:pStyle w:val="TableParagraph"/>
                                    <w:spacing w:line="209" w:lineRule="exact"/>
                                    <w:ind w:left="131"/>
                                    <w:rPr>
                                      <w:sz w:val="20"/>
                                    </w:rPr>
                                  </w:pPr>
                                  <w:r>
                                    <w:rPr>
                                      <w:sz w:val="20"/>
                                    </w:rPr>
                                    <w:t>Akaike</w:t>
                                  </w:r>
                                  <w:r>
                                    <w:rPr>
                                      <w:spacing w:val="-8"/>
                                      <w:sz w:val="20"/>
                                    </w:rPr>
                                    <w:t> </w:t>
                                  </w:r>
                                  <w:r>
                                    <w:rPr>
                                      <w:sz w:val="20"/>
                                    </w:rPr>
                                    <w:t>info</w:t>
                                  </w:r>
                                  <w:r>
                                    <w:rPr>
                                      <w:spacing w:val="-7"/>
                                      <w:sz w:val="20"/>
                                    </w:rPr>
                                    <w:t> </w:t>
                                  </w:r>
                                  <w:r>
                                    <w:rPr>
                                      <w:spacing w:val="-2"/>
                                      <w:sz w:val="20"/>
                                    </w:rPr>
                                    <w:t>criterion</w:t>
                                  </w:r>
                                </w:p>
                              </w:tc>
                              <w:tc>
                                <w:tcPr>
                                  <w:tcW w:w="928" w:type="dxa"/>
                                </w:tcPr>
                                <w:p>
                                  <w:pPr>
                                    <w:pStyle w:val="TableParagraph"/>
                                    <w:spacing w:line="209" w:lineRule="exact"/>
                                    <w:ind w:right="29"/>
                                    <w:jc w:val="right"/>
                                    <w:rPr>
                                      <w:sz w:val="20"/>
                                    </w:rPr>
                                  </w:pPr>
                                  <w:r>
                                    <w:rPr>
                                      <w:spacing w:val="-4"/>
                                      <w:sz w:val="20"/>
                                    </w:rPr>
                                    <w:t>-</w:t>
                                  </w:r>
                                  <w:r>
                                    <w:rPr>
                                      <w:spacing w:val="-2"/>
                                      <w:sz w:val="20"/>
                                    </w:rPr>
                                    <w:t>0.561586</w:t>
                                  </w:r>
                                </w:p>
                              </w:tc>
                            </w:tr>
                            <w:tr>
                              <w:trPr>
                                <w:trHeight w:val="230" w:hRule="atLeast"/>
                              </w:trPr>
                              <w:tc>
                                <w:tcPr>
                                  <w:tcW w:w="1911" w:type="dxa"/>
                                </w:tcPr>
                                <w:p>
                                  <w:pPr>
                                    <w:pStyle w:val="TableParagraph"/>
                                    <w:spacing w:line="210" w:lineRule="exact"/>
                                    <w:ind w:left="35"/>
                                    <w:rPr>
                                      <w:sz w:val="20"/>
                                    </w:rPr>
                                  </w:pPr>
                                  <w:r>
                                    <w:rPr>
                                      <w:sz w:val="20"/>
                                    </w:rPr>
                                    <w:t>Sum</w:t>
                                  </w:r>
                                  <w:r>
                                    <w:rPr>
                                      <w:spacing w:val="-8"/>
                                      <w:sz w:val="20"/>
                                    </w:rPr>
                                    <w:t> </w:t>
                                  </w:r>
                                  <w:r>
                                    <w:rPr>
                                      <w:sz w:val="20"/>
                                    </w:rPr>
                                    <w:t>squared</w:t>
                                  </w:r>
                                  <w:r>
                                    <w:rPr>
                                      <w:spacing w:val="-4"/>
                                      <w:sz w:val="20"/>
                                    </w:rPr>
                                    <w:t> </w:t>
                                  </w:r>
                                  <w:r>
                                    <w:rPr>
                                      <w:spacing w:val="-2"/>
                                      <w:sz w:val="20"/>
                                    </w:rPr>
                                    <w:t>resid</w:t>
                                  </w:r>
                                </w:p>
                              </w:tc>
                              <w:tc>
                                <w:tcPr>
                                  <w:tcW w:w="1314" w:type="dxa"/>
                                </w:tcPr>
                                <w:p>
                                  <w:pPr>
                                    <w:pStyle w:val="TableParagraph"/>
                                    <w:spacing w:line="210" w:lineRule="exact"/>
                                    <w:ind w:left="300"/>
                                    <w:jc w:val="center"/>
                                    <w:rPr>
                                      <w:sz w:val="20"/>
                                    </w:rPr>
                                  </w:pPr>
                                  <w:r>
                                    <w:rPr>
                                      <w:spacing w:val="-2"/>
                                      <w:sz w:val="20"/>
                                    </w:rPr>
                                    <w:t>0.252366</w:t>
                                  </w:r>
                                </w:p>
                              </w:tc>
                              <w:tc>
                                <w:tcPr>
                                  <w:tcW w:w="2336" w:type="dxa"/>
                                  <w:gridSpan w:val="2"/>
                                </w:tcPr>
                                <w:p>
                                  <w:pPr>
                                    <w:pStyle w:val="TableParagraph"/>
                                    <w:spacing w:line="210" w:lineRule="exact"/>
                                    <w:ind w:left="131"/>
                                    <w:rPr>
                                      <w:sz w:val="20"/>
                                    </w:rPr>
                                  </w:pPr>
                                  <w:r>
                                    <w:rPr>
                                      <w:sz w:val="20"/>
                                    </w:rPr>
                                    <w:t>Schwarz</w:t>
                                  </w:r>
                                  <w:r>
                                    <w:rPr>
                                      <w:spacing w:val="-8"/>
                                      <w:sz w:val="20"/>
                                    </w:rPr>
                                    <w:t> </w:t>
                                  </w:r>
                                  <w:r>
                                    <w:rPr>
                                      <w:spacing w:val="-2"/>
                                      <w:sz w:val="20"/>
                                    </w:rPr>
                                    <w:t>criterion</w:t>
                                  </w:r>
                                </w:p>
                              </w:tc>
                              <w:tc>
                                <w:tcPr>
                                  <w:tcW w:w="928" w:type="dxa"/>
                                </w:tcPr>
                                <w:p>
                                  <w:pPr>
                                    <w:pStyle w:val="TableParagraph"/>
                                    <w:spacing w:line="210" w:lineRule="exact"/>
                                    <w:ind w:right="29"/>
                                    <w:jc w:val="right"/>
                                    <w:rPr>
                                      <w:sz w:val="20"/>
                                    </w:rPr>
                                  </w:pPr>
                                  <w:r>
                                    <w:rPr>
                                      <w:spacing w:val="-4"/>
                                      <w:sz w:val="20"/>
                                    </w:rPr>
                                    <w:t>-</w:t>
                                  </w:r>
                                  <w:r>
                                    <w:rPr>
                                      <w:spacing w:val="-2"/>
                                      <w:sz w:val="20"/>
                                    </w:rPr>
                                    <w:t>0.271866</w:t>
                                  </w:r>
                                </w:p>
                              </w:tc>
                            </w:tr>
                            <w:tr>
                              <w:trPr>
                                <w:trHeight w:val="230" w:hRule="atLeast"/>
                              </w:trPr>
                              <w:tc>
                                <w:tcPr>
                                  <w:tcW w:w="1911" w:type="dxa"/>
                                </w:tcPr>
                                <w:p>
                                  <w:pPr>
                                    <w:pStyle w:val="TableParagraph"/>
                                    <w:spacing w:line="210" w:lineRule="exact"/>
                                    <w:ind w:left="35"/>
                                    <w:rPr>
                                      <w:sz w:val="20"/>
                                    </w:rPr>
                                  </w:pPr>
                                  <w:r>
                                    <w:rPr>
                                      <w:sz w:val="20"/>
                                    </w:rPr>
                                    <w:t>Log</w:t>
                                  </w:r>
                                  <w:r>
                                    <w:rPr>
                                      <w:spacing w:val="-6"/>
                                      <w:sz w:val="20"/>
                                    </w:rPr>
                                    <w:t> </w:t>
                                  </w:r>
                                  <w:r>
                                    <w:rPr>
                                      <w:spacing w:val="-2"/>
                                      <w:sz w:val="20"/>
                                    </w:rPr>
                                    <w:t>likelihood</w:t>
                                  </w:r>
                                </w:p>
                              </w:tc>
                              <w:tc>
                                <w:tcPr>
                                  <w:tcW w:w="1314" w:type="dxa"/>
                                </w:tcPr>
                                <w:p>
                                  <w:pPr>
                                    <w:pStyle w:val="TableParagraph"/>
                                    <w:spacing w:line="210" w:lineRule="exact"/>
                                    <w:ind w:left="300"/>
                                    <w:jc w:val="center"/>
                                    <w:rPr>
                                      <w:sz w:val="20"/>
                                    </w:rPr>
                                  </w:pPr>
                                  <w:r>
                                    <w:rPr>
                                      <w:spacing w:val="-2"/>
                                      <w:sz w:val="20"/>
                                    </w:rPr>
                                    <w:t>10.49269</w:t>
                                  </w:r>
                                </w:p>
                              </w:tc>
                              <w:tc>
                                <w:tcPr>
                                  <w:tcW w:w="1433" w:type="dxa"/>
                                </w:tcPr>
                                <w:p>
                                  <w:pPr>
                                    <w:pStyle w:val="TableParagraph"/>
                                    <w:spacing w:line="210" w:lineRule="exact"/>
                                    <w:ind w:left="131"/>
                                    <w:rPr>
                                      <w:sz w:val="20"/>
                                    </w:rPr>
                                  </w:pPr>
                                  <w:r>
                                    <w:rPr>
                                      <w:spacing w:val="-4"/>
                                      <w:sz w:val="20"/>
                                    </w:rPr>
                                    <w:t>F-</w:t>
                                  </w:r>
                                  <w:r>
                                    <w:rPr>
                                      <w:spacing w:val="-2"/>
                                      <w:sz w:val="20"/>
                                    </w:rPr>
                                    <w:t>statistic</w:t>
                                  </w:r>
                                </w:p>
                              </w:tc>
                              <w:tc>
                                <w:tcPr>
                                  <w:tcW w:w="903" w:type="dxa"/>
                                </w:tcPr>
                                <w:p>
                                  <w:pPr>
                                    <w:pStyle w:val="TableParagraph"/>
                                    <w:rPr>
                                      <w:sz w:val="16"/>
                                    </w:rPr>
                                  </w:pPr>
                                </w:p>
                              </w:tc>
                              <w:tc>
                                <w:tcPr>
                                  <w:tcW w:w="928" w:type="dxa"/>
                                </w:tcPr>
                                <w:p>
                                  <w:pPr>
                                    <w:pStyle w:val="TableParagraph"/>
                                    <w:spacing w:line="210" w:lineRule="exact"/>
                                    <w:ind w:right="29"/>
                                    <w:jc w:val="right"/>
                                    <w:rPr>
                                      <w:sz w:val="20"/>
                                    </w:rPr>
                                  </w:pPr>
                                  <w:r>
                                    <w:rPr>
                                      <w:spacing w:val="-2"/>
                                      <w:sz w:val="20"/>
                                    </w:rPr>
                                    <w:t>85.57711</w:t>
                                  </w:r>
                                </w:p>
                              </w:tc>
                            </w:tr>
                            <w:tr>
                              <w:trPr>
                                <w:trHeight w:val="265" w:hRule="atLeast"/>
                              </w:trPr>
                              <w:tc>
                                <w:tcPr>
                                  <w:tcW w:w="1911" w:type="dxa"/>
                                  <w:tcBorders>
                                    <w:bottom w:val="double" w:sz="6" w:space="0" w:color="000000"/>
                                  </w:tcBorders>
                                </w:tcPr>
                                <w:p>
                                  <w:pPr>
                                    <w:pStyle w:val="TableParagraph"/>
                                    <w:spacing w:line="226" w:lineRule="exact"/>
                                    <w:ind w:left="35"/>
                                    <w:rPr>
                                      <w:sz w:val="20"/>
                                    </w:rPr>
                                  </w:pPr>
                                  <w:r>
                                    <w:rPr>
                                      <w:sz w:val="20"/>
                                    </w:rPr>
                                    <w:t>Durbin-Watson</w:t>
                                  </w:r>
                                  <w:r>
                                    <w:rPr>
                                      <w:spacing w:val="-12"/>
                                      <w:sz w:val="20"/>
                                    </w:rPr>
                                    <w:t> </w:t>
                                  </w:r>
                                  <w:r>
                                    <w:rPr>
                                      <w:spacing w:val="-4"/>
                                      <w:sz w:val="20"/>
                                    </w:rPr>
                                    <w:t>stat</w:t>
                                  </w:r>
                                </w:p>
                              </w:tc>
                              <w:tc>
                                <w:tcPr>
                                  <w:tcW w:w="1314" w:type="dxa"/>
                                </w:tcPr>
                                <w:p>
                                  <w:pPr>
                                    <w:pStyle w:val="TableParagraph"/>
                                    <w:spacing w:line="226" w:lineRule="exact"/>
                                    <w:ind w:left="300"/>
                                    <w:jc w:val="center"/>
                                    <w:rPr>
                                      <w:sz w:val="20"/>
                                    </w:rPr>
                                  </w:pPr>
                                  <w:r>
                                    <w:rPr>
                                      <w:spacing w:val="-2"/>
                                      <w:sz w:val="20"/>
                                    </w:rPr>
                                    <w:t>1.211928</w:t>
                                  </w:r>
                                </w:p>
                              </w:tc>
                              <w:tc>
                                <w:tcPr>
                                  <w:tcW w:w="1433" w:type="dxa"/>
                                  <w:tcBorders>
                                    <w:bottom w:val="double" w:sz="6" w:space="0" w:color="000000"/>
                                  </w:tcBorders>
                                </w:tcPr>
                                <w:p>
                                  <w:pPr>
                                    <w:pStyle w:val="TableParagraph"/>
                                    <w:spacing w:line="226" w:lineRule="exact"/>
                                    <w:ind w:left="131"/>
                                    <w:rPr>
                                      <w:sz w:val="20"/>
                                    </w:rPr>
                                  </w:pPr>
                                  <w:r>
                                    <w:rPr>
                                      <w:spacing w:val="-2"/>
                                      <w:sz w:val="20"/>
                                    </w:rPr>
                                    <w:t>Prob(F-statistic)</w:t>
                                  </w:r>
                                </w:p>
                              </w:tc>
                              <w:tc>
                                <w:tcPr>
                                  <w:tcW w:w="903" w:type="dxa"/>
                                  <w:tcBorders>
                                    <w:bottom w:val="double" w:sz="6" w:space="0" w:color="000000"/>
                                  </w:tcBorders>
                                </w:tcPr>
                                <w:p>
                                  <w:pPr>
                                    <w:pStyle w:val="TableParagraph"/>
                                    <w:rPr>
                                      <w:sz w:val="18"/>
                                    </w:rPr>
                                  </w:pPr>
                                </w:p>
                              </w:tc>
                              <w:tc>
                                <w:tcPr>
                                  <w:tcW w:w="928" w:type="dxa"/>
                                  <w:tcBorders>
                                    <w:bottom w:val="double" w:sz="6" w:space="0" w:color="000000"/>
                                  </w:tcBorders>
                                </w:tcPr>
                                <w:p>
                                  <w:pPr>
                                    <w:pStyle w:val="TableParagraph"/>
                                    <w:spacing w:line="226" w:lineRule="exact"/>
                                    <w:ind w:right="29"/>
                                    <w:jc w:val="right"/>
                                    <w:rPr>
                                      <w:sz w:val="20"/>
                                    </w:rPr>
                                  </w:pPr>
                                  <w:r>
                                    <w:rPr>
                                      <w:spacing w:val="-2"/>
                                      <w:sz w:val="20"/>
                                    </w:rPr>
                                    <w:t>0.000000</w:t>
                                  </w:r>
                                </w:p>
                              </w:tc>
                            </w:tr>
                          </w:tbl>
                          <w:p>
                            <w:pPr>
                              <w:pStyle w:val="BodyText"/>
                            </w:pPr>
                          </w:p>
                        </w:txbxContent>
                      </wps:txbx>
                      <wps:bodyPr wrap="square" lIns="0" tIns="0" rIns="0" bIns="0" rtlCol="0">
                        <a:noAutofit/>
                      </wps:bodyPr>
                    </wps:wsp>
                  </a:graphicData>
                </a:graphic>
              </wp:anchor>
            </w:drawing>
          </mc:Choice>
          <mc:Fallback>
            <w:pict>
              <v:shape style="position:absolute;margin-left:52.200001pt;margin-top:34.697441pt;width:330.45pt;height:223.15pt;mso-position-horizontal-relative:page;mso-position-vertical-relative:paragraph;z-index:15761920" type="#_x0000_t202" id="docshape293"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11"/>
                        <w:gridCol w:w="1314"/>
                        <w:gridCol w:w="1433"/>
                        <w:gridCol w:w="903"/>
                        <w:gridCol w:w="928"/>
                      </w:tblGrid>
                      <w:tr>
                        <w:trPr>
                          <w:trHeight w:val="224" w:hRule="atLeast"/>
                        </w:trPr>
                        <w:tc>
                          <w:tcPr>
                            <w:tcW w:w="6489" w:type="dxa"/>
                            <w:gridSpan w:val="5"/>
                          </w:tcPr>
                          <w:p>
                            <w:pPr>
                              <w:pStyle w:val="TableParagraph"/>
                              <w:spacing w:line="204" w:lineRule="exact"/>
                              <w:ind w:left="35"/>
                              <w:rPr>
                                <w:sz w:val="20"/>
                              </w:rPr>
                            </w:pPr>
                            <w:r>
                              <w:rPr>
                                <w:sz w:val="20"/>
                              </w:rPr>
                              <w:t>Dependent</w:t>
                            </w:r>
                            <w:r>
                              <w:rPr>
                                <w:spacing w:val="-8"/>
                                <w:sz w:val="20"/>
                              </w:rPr>
                              <w:t> </w:t>
                            </w:r>
                            <w:r>
                              <w:rPr>
                                <w:sz w:val="20"/>
                              </w:rPr>
                              <w:t>Variable:</w:t>
                            </w:r>
                            <w:r>
                              <w:rPr>
                                <w:spacing w:val="-8"/>
                                <w:sz w:val="20"/>
                              </w:rPr>
                              <w:t> </w:t>
                            </w:r>
                            <w:r>
                              <w:rPr>
                                <w:spacing w:val="-5"/>
                                <w:sz w:val="20"/>
                              </w:rPr>
                              <w:t>GDP</w:t>
                            </w:r>
                          </w:p>
                        </w:tc>
                      </w:tr>
                      <w:tr>
                        <w:trPr>
                          <w:trHeight w:val="229" w:hRule="atLeast"/>
                        </w:trPr>
                        <w:tc>
                          <w:tcPr>
                            <w:tcW w:w="1911" w:type="dxa"/>
                          </w:tcPr>
                          <w:p>
                            <w:pPr>
                              <w:pStyle w:val="TableParagraph"/>
                              <w:spacing w:line="209" w:lineRule="exact"/>
                              <w:ind w:left="35"/>
                              <w:rPr>
                                <w:sz w:val="20"/>
                              </w:rPr>
                            </w:pPr>
                            <w:r>
                              <w:rPr>
                                <w:sz w:val="20"/>
                              </w:rPr>
                              <w:t>Method:</w:t>
                            </w:r>
                            <w:r>
                              <w:rPr>
                                <w:spacing w:val="-8"/>
                                <w:sz w:val="20"/>
                              </w:rPr>
                              <w:t> </w:t>
                            </w:r>
                            <w:r>
                              <w:rPr>
                                <w:sz w:val="20"/>
                              </w:rPr>
                              <w:t>Least</w:t>
                            </w:r>
                            <w:r>
                              <w:rPr>
                                <w:spacing w:val="-7"/>
                                <w:sz w:val="20"/>
                              </w:rPr>
                              <w:t> </w:t>
                            </w:r>
                            <w:r>
                              <w:rPr>
                                <w:spacing w:val="-2"/>
                                <w:sz w:val="20"/>
                              </w:rPr>
                              <w:t>Squares</w:t>
                            </w:r>
                          </w:p>
                        </w:tc>
                        <w:tc>
                          <w:tcPr>
                            <w:tcW w:w="1314" w:type="dxa"/>
                          </w:tcPr>
                          <w:p>
                            <w:pPr>
                              <w:pStyle w:val="TableParagraph"/>
                              <w:rPr>
                                <w:sz w:val="16"/>
                              </w:rPr>
                            </w:pPr>
                          </w:p>
                        </w:tc>
                        <w:tc>
                          <w:tcPr>
                            <w:tcW w:w="1433" w:type="dxa"/>
                          </w:tcPr>
                          <w:p>
                            <w:pPr>
                              <w:pStyle w:val="TableParagraph"/>
                              <w:rPr>
                                <w:sz w:val="16"/>
                              </w:rPr>
                            </w:pPr>
                          </w:p>
                        </w:tc>
                        <w:tc>
                          <w:tcPr>
                            <w:tcW w:w="903" w:type="dxa"/>
                          </w:tcPr>
                          <w:p>
                            <w:pPr>
                              <w:pStyle w:val="TableParagraph"/>
                              <w:rPr>
                                <w:sz w:val="16"/>
                              </w:rPr>
                            </w:pPr>
                          </w:p>
                        </w:tc>
                        <w:tc>
                          <w:tcPr>
                            <w:tcW w:w="928" w:type="dxa"/>
                          </w:tcPr>
                          <w:p>
                            <w:pPr>
                              <w:pStyle w:val="TableParagraph"/>
                              <w:rPr>
                                <w:sz w:val="16"/>
                              </w:rPr>
                            </w:pPr>
                          </w:p>
                        </w:tc>
                      </w:tr>
                      <w:tr>
                        <w:trPr>
                          <w:trHeight w:val="230" w:hRule="atLeast"/>
                        </w:trPr>
                        <w:tc>
                          <w:tcPr>
                            <w:tcW w:w="6489" w:type="dxa"/>
                            <w:gridSpan w:val="5"/>
                          </w:tcPr>
                          <w:p>
                            <w:pPr>
                              <w:pStyle w:val="TableParagraph"/>
                              <w:spacing w:line="210" w:lineRule="exact"/>
                              <w:ind w:left="35"/>
                              <w:rPr>
                                <w:sz w:val="20"/>
                              </w:rPr>
                            </w:pPr>
                            <w:r>
                              <w:rPr>
                                <w:sz w:val="20"/>
                              </w:rPr>
                              <w:t>Date:</w:t>
                            </w:r>
                            <w:r>
                              <w:rPr>
                                <w:spacing w:val="-5"/>
                                <w:sz w:val="20"/>
                              </w:rPr>
                              <w:t> </w:t>
                            </w:r>
                            <w:r>
                              <w:rPr>
                                <w:sz w:val="20"/>
                              </w:rPr>
                              <w:t>02/17/14</w:t>
                            </w:r>
                            <w:r>
                              <w:rPr>
                                <w:spacing w:val="63"/>
                                <w:w w:val="150"/>
                                <w:sz w:val="20"/>
                              </w:rPr>
                              <w:t> </w:t>
                            </w:r>
                            <w:r>
                              <w:rPr>
                                <w:sz w:val="20"/>
                              </w:rPr>
                              <w:t>Time:</w:t>
                            </w:r>
                            <w:r>
                              <w:rPr>
                                <w:spacing w:val="-3"/>
                                <w:sz w:val="20"/>
                              </w:rPr>
                              <w:t> </w:t>
                            </w:r>
                            <w:r>
                              <w:rPr>
                                <w:spacing w:val="-2"/>
                                <w:sz w:val="20"/>
                              </w:rPr>
                              <w:t>18:00</w:t>
                            </w:r>
                          </w:p>
                        </w:tc>
                      </w:tr>
                      <w:tr>
                        <w:trPr>
                          <w:trHeight w:val="230" w:hRule="atLeast"/>
                        </w:trPr>
                        <w:tc>
                          <w:tcPr>
                            <w:tcW w:w="1911" w:type="dxa"/>
                          </w:tcPr>
                          <w:p>
                            <w:pPr>
                              <w:pStyle w:val="TableParagraph"/>
                              <w:spacing w:line="210" w:lineRule="exact"/>
                              <w:ind w:left="35"/>
                              <w:rPr>
                                <w:sz w:val="20"/>
                              </w:rPr>
                            </w:pPr>
                            <w:r>
                              <w:rPr>
                                <w:sz w:val="20"/>
                              </w:rPr>
                              <w:t>Sample:</w:t>
                            </w:r>
                            <w:r>
                              <w:rPr>
                                <w:spacing w:val="-5"/>
                                <w:sz w:val="20"/>
                              </w:rPr>
                              <w:t> </w:t>
                            </w:r>
                            <w:r>
                              <w:rPr>
                                <w:sz w:val="20"/>
                              </w:rPr>
                              <w:t>1970</w:t>
                            </w:r>
                            <w:r>
                              <w:rPr>
                                <w:spacing w:val="-3"/>
                                <w:sz w:val="20"/>
                              </w:rPr>
                              <w:t> </w:t>
                            </w:r>
                            <w:r>
                              <w:rPr>
                                <w:spacing w:val="-4"/>
                                <w:sz w:val="20"/>
                              </w:rPr>
                              <w:t>1985</w:t>
                            </w:r>
                          </w:p>
                        </w:tc>
                        <w:tc>
                          <w:tcPr>
                            <w:tcW w:w="1314" w:type="dxa"/>
                          </w:tcPr>
                          <w:p>
                            <w:pPr>
                              <w:pStyle w:val="TableParagraph"/>
                              <w:rPr>
                                <w:sz w:val="16"/>
                              </w:rPr>
                            </w:pPr>
                          </w:p>
                        </w:tc>
                        <w:tc>
                          <w:tcPr>
                            <w:tcW w:w="1433" w:type="dxa"/>
                          </w:tcPr>
                          <w:p>
                            <w:pPr>
                              <w:pStyle w:val="TableParagraph"/>
                              <w:rPr>
                                <w:sz w:val="16"/>
                              </w:rPr>
                            </w:pPr>
                          </w:p>
                        </w:tc>
                        <w:tc>
                          <w:tcPr>
                            <w:tcW w:w="903" w:type="dxa"/>
                          </w:tcPr>
                          <w:p>
                            <w:pPr>
                              <w:pStyle w:val="TableParagraph"/>
                              <w:rPr>
                                <w:sz w:val="16"/>
                              </w:rPr>
                            </w:pPr>
                          </w:p>
                        </w:tc>
                        <w:tc>
                          <w:tcPr>
                            <w:tcW w:w="928" w:type="dxa"/>
                          </w:tcPr>
                          <w:p>
                            <w:pPr>
                              <w:pStyle w:val="TableParagraph"/>
                              <w:rPr>
                                <w:sz w:val="16"/>
                              </w:rPr>
                            </w:pPr>
                          </w:p>
                        </w:tc>
                      </w:tr>
                      <w:tr>
                        <w:trPr>
                          <w:trHeight w:val="224" w:hRule="atLeast"/>
                        </w:trPr>
                        <w:tc>
                          <w:tcPr>
                            <w:tcW w:w="6489" w:type="dxa"/>
                            <w:gridSpan w:val="5"/>
                            <w:tcBorders>
                              <w:bottom w:val="double" w:sz="6" w:space="0" w:color="000000"/>
                            </w:tcBorders>
                          </w:tcPr>
                          <w:p>
                            <w:pPr>
                              <w:pStyle w:val="TableParagraph"/>
                              <w:spacing w:line="205" w:lineRule="exact"/>
                              <w:ind w:left="35"/>
                              <w:rPr>
                                <w:sz w:val="20"/>
                              </w:rPr>
                            </w:pPr>
                            <w:r>
                              <w:rPr>
                                <w:sz w:val="20"/>
                              </w:rPr>
                              <w:t>Included</w:t>
                            </w:r>
                            <w:r>
                              <w:rPr>
                                <w:spacing w:val="-9"/>
                                <w:sz w:val="20"/>
                              </w:rPr>
                              <w:t> </w:t>
                            </w:r>
                            <w:r>
                              <w:rPr>
                                <w:sz w:val="20"/>
                              </w:rPr>
                              <w:t>observations:</w:t>
                            </w:r>
                            <w:r>
                              <w:rPr>
                                <w:spacing w:val="-10"/>
                                <w:sz w:val="20"/>
                              </w:rPr>
                              <w:t> </w:t>
                            </w:r>
                            <w:r>
                              <w:rPr>
                                <w:spacing w:val="-5"/>
                                <w:sz w:val="20"/>
                              </w:rPr>
                              <w:t>16</w:t>
                            </w:r>
                          </w:p>
                        </w:tc>
                      </w:tr>
                      <w:tr>
                        <w:trPr>
                          <w:trHeight w:val="269" w:hRule="atLeast"/>
                        </w:trPr>
                        <w:tc>
                          <w:tcPr>
                            <w:tcW w:w="1911" w:type="dxa"/>
                            <w:tcBorders>
                              <w:top w:val="double" w:sz="6" w:space="0" w:color="000000"/>
                              <w:bottom w:val="double" w:sz="6" w:space="0" w:color="000000"/>
                            </w:tcBorders>
                          </w:tcPr>
                          <w:p>
                            <w:pPr>
                              <w:pStyle w:val="TableParagraph"/>
                              <w:spacing w:line="209" w:lineRule="exact" w:before="40"/>
                              <w:ind w:left="677"/>
                              <w:rPr>
                                <w:sz w:val="20"/>
                              </w:rPr>
                            </w:pPr>
                            <w:r>
                              <w:rPr>
                                <w:spacing w:val="-2"/>
                                <w:sz w:val="20"/>
                              </w:rPr>
                              <w:t>Variable</w:t>
                            </w:r>
                          </w:p>
                        </w:tc>
                        <w:tc>
                          <w:tcPr>
                            <w:tcW w:w="1314" w:type="dxa"/>
                            <w:tcBorders>
                              <w:top w:val="double" w:sz="6" w:space="0" w:color="000000"/>
                              <w:bottom w:val="double" w:sz="6" w:space="0" w:color="000000"/>
                            </w:tcBorders>
                          </w:tcPr>
                          <w:p>
                            <w:pPr>
                              <w:pStyle w:val="TableParagraph"/>
                              <w:spacing w:line="209" w:lineRule="exact" w:before="40"/>
                              <w:ind w:left="235" w:right="86"/>
                              <w:jc w:val="center"/>
                              <w:rPr>
                                <w:sz w:val="20"/>
                              </w:rPr>
                            </w:pPr>
                            <w:r>
                              <w:rPr>
                                <w:spacing w:val="-2"/>
                                <w:sz w:val="20"/>
                              </w:rPr>
                              <w:t>Coefficient</w:t>
                            </w:r>
                          </w:p>
                        </w:tc>
                        <w:tc>
                          <w:tcPr>
                            <w:tcW w:w="1433" w:type="dxa"/>
                            <w:tcBorders>
                              <w:top w:val="double" w:sz="6" w:space="0" w:color="000000"/>
                              <w:bottom w:val="double" w:sz="6" w:space="0" w:color="000000"/>
                            </w:tcBorders>
                          </w:tcPr>
                          <w:p>
                            <w:pPr>
                              <w:pStyle w:val="TableParagraph"/>
                              <w:spacing w:line="209" w:lineRule="exact" w:before="40"/>
                              <w:ind w:left="272"/>
                              <w:rPr>
                                <w:sz w:val="20"/>
                              </w:rPr>
                            </w:pPr>
                            <w:r>
                              <w:rPr>
                                <w:sz w:val="20"/>
                              </w:rPr>
                              <w:t>Std.</w:t>
                            </w:r>
                            <w:r>
                              <w:rPr>
                                <w:spacing w:val="-4"/>
                                <w:sz w:val="20"/>
                              </w:rPr>
                              <w:t> </w:t>
                            </w:r>
                            <w:r>
                              <w:rPr>
                                <w:spacing w:val="-2"/>
                                <w:sz w:val="20"/>
                              </w:rPr>
                              <w:t>Error</w:t>
                            </w:r>
                          </w:p>
                        </w:tc>
                        <w:tc>
                          <w:tcPr>
                            <w:tcW w:w="903" w:type="dxa"/>
                            <w:tcBorders>
                              <w:top w:val="double" w:sz="6" w:space="0" w:color="000000"/>
                              <w:bottom w:val="double" w:sz="6" w:space="0" w:color="000000"/>
                            </w:tcBorders>
                          </w:tcPr>
                          <w:p>
                            <w:pPr>
                              <w:pStyle w:val="TableParagraph"/>
                              <w:spacing w:line="209" w:lineRule="exact" w:before="40"/>
                              <w:ind w:right="24"/>
                              <w:jc w:val="center"/>
                              <w:rPr>
                                <w:sz w:val="20"/>
                              </w:rPr>
                            </w:pPr>
                            <w:r>
                              <w:rPr>
                                <w:spacing w:val="-4"/>
                                <w:sz w:val="20"/>
                              </w:rPr>
                              <w:t>t-</w:t>
                            </w:r>
                            <w:r>
                              <w:rPr>
                                <w:spacing w:val="-2"/>
                                <w:sz w:val="20"/>
                              </w:rPr>
                              <w:t>Statistic</w:t>
                            </w:r>
                          </w:p>
                        </w:tc>
                        <w:tc>
                          <w:tcPr>
                            <w:tcW w:w="928" w:type="dxa"/>
                            <w:tcBorders>
                              <w:top w:val="double" w:sz="6" w:space="0" w:color="000000"/>
                              <w:bottom w:val="double" w:sz="6" w:space="0" w:color="000000"/>
                            </w:tcBorders>
                          </w:tcPr>
                          <w:p>
                            <w:pPr>
                              <w:pStyle w:val="TableParagraph"/>
                              <w:spacing w:line="209" w:lineRule="exact" w:before="40"/>
                              <w:ind w:right="30"/>
                              <w:jc w:val="right"/>
                              <w:rPr>
                                <w:sz w:val="20"/>
                              </w:rPr>
                            </w:pPr>
                            <w:r>
                              <w:rPr>
                                <w:spacing w:val="-2"/>
                                <w:sz w:val="20"/>
                              </w:rPr>
                              <w:t>Prob.</w:t>
                            </w:r>
                          </w:p>
                        </w:tc>
                      </w:tr>
                      <w:tr>
                        <w:trPr>
                          <w:trHeight w:val="275" w:hRule="atLeast"/>
                        </w:trPr>
                        <w:tc>
                          <w:tcPr>
                            <w:tcW w:w="1911" w:type="dxa"/>
                            <w:tcBorders>
                              <w:top w:val="double" w:sz="6" w:space="0" w:color="000000"/>
                            </w:tcBorders>
                          </w:tcPr>
                          <w:p>
                            <w:pPr>
                              <w:pStyle w:val="TableParagraph"/>
                              <w:spacing w:line="215" w:lineRule="exact" w:before="40"/>
                              <w:ind w:left="134" w:right="1"/>
                              <w:jc w:val="center"/>
                              <w:rPr>
                                <w:sz w:val="20"/>
                              </w:rPr>
                            </w:pPr>
                            <w:r>
                              <w:rPr>
                                <w:spacing w:val="-10"/>
                                <w:sz w:val="20"/>
                              </w:rPr>
                              <w:t>C</w:t>
                            </w:r>
                          </w:p>
                        </w:tc>
                        <w:tc>
                          <w:tcPr>
                            <w:tcW w:w="1314" w:type="dxa"/>
                            <w:tcBorders>
                              <w:top w:val="double" w:sz="6" w:space="0" w:color="000000"/>
                            </w:tcBorders>
                          </w:tcPr>
                          <w:p>
                            <w:pPr>
                              <w:pStyle w:val="TableParagraph"/>
                              <w:spacing w:line="215" w:lineRule="exact" w:before="40"/>
                              <w:ind w:left="235"/>
                              <w:jc w:val="center"/>
                              <w:rPr>
                                <w:sz w:val="20"/>
                              </w:rPr>
                            </w:pPr>
                            <w:r>
                              <w:rPr>
                                <w:spacing w:val="-4"/>
                                <w:sz w:val="20"/>
                              </w:rPr>
                              <w:t>-</w:t>
                            </w:r>
                            <w:r>
                              <w:rPr>
                                <w:spacing w:val="-2"/>
                                <w:sz w:val="20"/>
                              </w:rPr>
                              <w:t>2.467560</w:t>
                            </w:r>
                          </w:p>
                        </w:tc>
                        <w:tc>
                          <w:tcPr>
                            <w:tcW w:w="1433" w:type="dxa"/>
                            <w:tcBorders>
                              <w:top w:val="double" w:sz="6" w:space="0" w:color="000000"/>
                            </w:tcBorders>
                          </w:tcPr>
                          <w:p>
                            <w:pPr>
                              <w:pStyle w:val="TableParagraph"/>
                              <w:spacing w:line="215" w:lineRule="exact" w:before="40"/>
                              <w:ind w:left="311"/>
                              <w:rPr>
                                <w:sz w:val="20"/>
                              </w:rPr>
                            </w:pPr>
                            <w:r>
                              <w:rPr>
                                <w:spacing w:val="-2"/>
                                <w:sz w:val="20"/>
                              </w:rPr>
                              <w:t>1.243782</w:t>
                            </w:r>
                          </w:p>
                        </w:tc>
                        <w:tc>
                          <w:tcPr>
                            <w:tcW w:w="903" w:type="dxa"/>
                            <w:tcBorders>
                              <w:top w:val="double" w:sz="6" w:space="0" w:color="000000"/>
                            </w:tcBorders>
                          </w:tcPr>
                          <w:p>
                            <w:pPr>
                              <w:pStyle w:val="TableParagraph"/>
                              <w:spacing w:line="215" w:lineRule="exact" w:before="40"/>
                              <w:ind w:right="72"/>
                              <w:jc w:val="center"/>
                              <w:rPr>
                                <w:sz w:val="20"/>
                              </w:rPr>
                            </w:pPr>
                            <w:r>
                              <w:rPr>
                                <w:spacing w:val="-4"/>
                                <w:sz w:val="20"/>
                              </w:rPr>
                              <w:t>-</w:t>
                            </w:r>
                            <w:r>
                              <w:rPr>
                                <w:spacing w:val="-2"/>
                                <w:sz w:val="20"/>
                              </w:rPr>
                              <w:t>1.983916</w:t>
                            </w:r>
                          </w:p>
                        </w:tc>
                        <w:tc>
                          <w:tcPr>
                            <w:tcW w:w="928" w:type="dxa"/>
                            <w:tcBorders>
                              <w:top w:val="double" w:sz="6" w:space="0" w:color="000000"/>
                            </w:tcBorders>
                          </w:tcPr>
                          <w:p>
                            <w:pPr>
                              <w:pStyle w:val="TableParagraph"/>
                              <w:spacing w:line="215" w:lineRule="exact" w:before="40"/>
                              <w:ind w:right="29"/>
                              <w:jc w:val="right"/>
                              <w:rPr>
                                <w:sz w:val="20"/>
                              </w:rPr>
                            </w:pPr>
                            <w:r>
                              <w:rPr>
                                <w:spacing w:val="-2"/>
                                <w:sz w:val="20"/>
                              </w:rPr>
                              <w:t>0.0754</w:t>
                            </w:r>
                          </w:p>
                        </w:tc>
                      </w:tr>
                      <w:tr>
                        <w:trPr>
                          <w:trHeight w:val="230" w:hRule="atLeast"/>
                        </w:trPr>
                        <w:tc>
                          <w:tcPr>
                            <w:tcW w:w="1911" w:type="dxa"/>
                          </w:tcPr>
                          <w:p>
                            <w:pPr>
                              <w:pStyle w:val="TableParagraph"/>
                              <w:spacing w:line="211" w:lineRule="exact"/>
                              <w:ind w:left="566"/>
                              <w:rPr>
                                <w:sz w:val="20"/>
                              </w:rPr>
                            </w:pPr>
                            <w:r>
                              <w:rPr>
                                <w:spacing w:val="-2"/>
                                <w:sz w:val="20"/>
                              </w:rPr>
                              <w:t>EXTDEBT</w:t>
                            </w:r>
                          </w:p>
                        </w:tc>
                        <w:tc>
                          <w:tcPr>
                            <w:tcW w:w="1314" w:type="dxa"/>
                          </w:tcPr>
                          <w:p>
                            <w:pPr>
                              <w:pStyle w:val="TableParagraph"/>
                              <w:spacing w:line="211" w:lineRule="exact"/>
                              <w:ind w:left="235"/>
                              <w:jc w:val="center"/>
                              <w:rPr>
                                <w:sz w:val="20"/>
                              </w:rPr>
                            </w:pPr>
                            <w:r>
                              <w:rPr>
                                <w:spacing w:val="-4"/>
                                <w:sz w:val="20"/>
                              </w:rPr>
                              <w:t>-</w:t>
                            </w:r>
                            <w:r>
                              <w:rPr>
                                <w:spacing w:val="-2"/>
                                <w:sz w:val="20"/>
                              </w:rPr>
                              <w:t>0.087317</w:t>
                            </w:r>
                          </w:p>
                        </w:tc>
                        <w:tc>
                          <w:tcPr>
                            <w:tcW w:w="1433" w:type="dxa"/>
                          </w:tcPr>
                          <w:p>
                            <w:pPr>
                              <w:pStyle w:val="TableParagraph"/>
                              <w:spacing w:line="211" w:lineRule="exact"/>
                              <w:ind w:left="311"/>
                              <w:rPr>
                                <w:sz w:val="20"/>
                              </w:rPr>
                            </w:pPr>
                            <w:r>
                              <w:rPr>
                                <w:spacing w:val="-2"/>
                                <w:sz w:val="20"/>
                              </w:rPr>
                              <w:t>0.040469</w:t>
                            </w:r>
                          </w:p>
                        </w:tc>
                        <w:tc>
                          <w:tcPr>
                            <w:tcW w:w="903" w:type="dxa"/>
                          </w:tcPr>
                          <w:p>
                            <w:pPr>
                              <w:pStyle w:val="TableParagraph"/>
                              <w:spacing w:line="211" w:lineRule="exact"/>
                              <w:ind w:right="72"/>
                              <w:jc w:val="center"/>
                              <w:rPr>
                                <w:sz w:val="20"/>
                              </w:rPr>
                            </w:pPr>
                            <w:r>
                              <w:rPr>
                                <w:spacing w:val="-4"/>
                                <w:sz w:val="20"/>
                              </w:rPr>
                              <w:t>-</w:t>
                            </w:r>
                            <w:r>
                              <w:rPr>
                                <w:spacing w:val="-2"/>
                                <w:sz w:val="20"/>
                              </w:rPr>
                              <w:t>2.157627</w:t>
                            </w:r>
                          </w:p>
                        </w:tc>
                        <w:tc>
                          <w:tcPr>
                            <w:tcW w:w="928" w:type="dxa"/>
                          </w:tcPr>
                          <w:p>
                            <w:pPr>
                              <w:pStyle w:val="TableParagraph"/>
                              <w:spacing w:line="211" w:lineRule="exact"/>
                              <w:ind w:right="29"/>
                              <w:jc w:val="right"/>
                              <w:rPr>
                                <w:sz w:val="20"/>
                              </w:rPr>
                            </w:pPr>
                            <w:r>
                              <w:rPr>
                                <w:spacing w:val="-2"/>
                                <w:sz w:val="20"/>
                              </w:rPr>
                              <w:t>0.0563</w:t>
                            </w:r>
                          </w:p>
                        </w:tc>
                      </w:tr>
                      <w:tr>
                        <w:trPr>
                          <w:trHeight w:val="230" w:hRule="atLeast"/>
                        </w:trPr>
                        <w:tc>
                          <w:tcPr>
                            <w:tcW w:w="1911" w:type="dxa"/>
                          </w:tcPr>
                          <w:p>
                            <w:pPr>
                              <w:pStyle w:val="TableParagraph"/>
                              <w:spacing w:line="211" w:lineRule="exact"/>
                              <w:ind w:left="134"/>
                              <w:jc w:val="center"/>
                              <w:rPr>
                                <w:sz w:val="20"/>
                              </w:rPr>
                            </w:pPr>
                            <w:r>
                              <w:rPr>
                                <w:spacing w:val="-5"/>
                                <w:sz w:val="20"/>
                              </w:rPr>
                              <w:t>DFI</w:t>
                            </w:r>
                          </w:p>
                        </w:tc>
                        <w:tc>
                          <w:tcPr>
                            <w:tcW w:w="1314" w:type="dxa"/>
                          </w:tcPr>
                          <w:p>
                            <w:pPr>
                              <w:pStyle w:val="TableParagraph"/>
                              <w:spacing w:line="211" w:lineRule="exact"/>
                              <w:ind w:left="300"/>
                              <w:jc w:val="center"/>
                              <w:rPr>
                                <w:sz w:val="20"/>
                              </w:rPr>
                            </w:pPr>
                            <w:r>
                              <w:rPr>
                                <w:spacing w:val="-2"/>
                                <w:sz w:val="20"/>
                              </w:rPr>
                              <w:t>1.479476</w:t>
                            </w:r>
                          </w:p>
                        </w:tc>
                        <w:tc>
                          <w:tcPr>
                            <w:tcW w:w="1433" w:type="dxa"/>
                          </w:tcPr>
                          <w:p>
                            <w:pPr>
                              <w:pStyle w:val="TableParagraph"/>
                              <w:spacing w:line="211" w:lineRule="exact"/>
                              <w:ind w:left="311"/>
                              <w:rPr>
                                <w:sz w:val="20"/>
                              </w:rPr>
                            </w:pPr>
                            <w:r>
                              <w:rPr>
                                <w:spacing w:val="-2"/>
                                <w:sz w:val="20"/>
                              </w:rPr>
                              <w:t>0.175759</w:t>
                            </w:r>
                          </w:p>
                        </w:tc>
                        <w:tc>
                          <w:tcPr>
                            <w:tcW w:w="903" w:type="dxa"/>
                          </w:tcPr>
                          <w:p>
                            <w:pPr>
                              <w:pStyle w:val="TableParagraph"/>
                              <w:spacing w:line="211" w:lineRule="exact"/>
                              <w:ind w:right="7"/>
                              <w:jc w:val="center"/>
                              <w:rPr>
                                <w:sz w:val="20"/>
                              </w:rPr>
                            </w:pPr>
                            <w:r>
                              <w:rPr>
                                <w:spacing w:val="-2"/>
                                <w:sz w:val="20"/>
                              </w:rPr>
                              <w:t>8.417658</w:t>
                            </w:r>
                          </w:p>
                        </w:tc>
                        <w:tc>
                          <w:tcPr>
                            <w:tcW w:w="928" w:type="dxa"/>
                          </w:tcPr>
                          <w:p>
                            <w:pPr>
                              <w:pStyle w:val="TableParagraph"/>
                              <w:spacing w:line="211" w:lineRule="exact"/>
                              <w:ind w:right="29"/>
                              <w:jc w:val="right"/>
                              <w:rPr>
                                <w:sz w:val="20"/>
                              </w:rPr>
                            </w:pPr>
                            <w:r>
                              <w:rPr>
                                <w:spacing w:val="-2"/>
                                <w:sz w:val="20"/>
                              </w:rPr>
                              <w:t>0.0000</w:t>
                            </w:r>
                          </w:p>
                        </w:tc>
                      </w:tr>
                      <w:tr>
                        <w:trPr>
                          <w:trHeight w:val="230" w:hRule="atLeast"/>
                        </w:trPr>
                        <w:tc>
                          <w:tcPr>
                            <w:tcW w:w="1911" w:type="dxa"/>
                          </w:tcPr>
                          <w:p>
                            <w:pPr>
                              <w:pStyle w:val="TableParagraph"/>
                              <w:spacing w:line="210" w:lineRule="exact"/>
                              <w:ind w:left="134" w:right="4"/>
                              <w:jc w:val="center"/>
                              <w:rPr>
                                <w:sz w:val="20"/>
                              </w:rPr>
                            </w:pPr>
                            <w:r>
                              <w:rPr>
                                <w:spacing w:val="-5"/>
                                <w:sz w:val="20"/>
                              </w:rPr>
                              <w:t>CAB</w:t>
                            </w:r>
                          </w:p>
                        </w:tc>
                        <w:tc>
                          <w:tcPr>
                            <w:tcW w:w="1314" w:type="dxa"/>
                          </w:tcPr>
                          <w:p>
                            <w:pPr>
                              <w:pStyle w:val="TableParagraph"/>
                              <w:spacing w:line="210" w:lineRule="exact"/>
                              <w:ind w:left="235"/>
                              <w:jc w:val="center"/>
                              <w:rPr>
                                <w:sz w:val="20"/>
                              </w:rPr>
                            </w:pPr>
                            <w:r>
                              <w:rPr>
                                <w:spacing w:val="-4"/>
                                <w:sz w:val="20"/>
                              </w:rPr>
                              <w:t>-</w:t>
                            </w:r>
                            <w:r>
                              <w:rPr>
                                <w:spacing w:val="-2"/>
                                <w:sz w:val="20"/>
                              </w:rPr>
                              <w:t>0.001759</w:t>
                            </w:r>
                          </w:p>
                        </w:tc>
                        <w:tc>
                          <w:tcPr>
                            <w:tcW w:w="1433" w:type="dxa"/>
                          </w:tcPr>
                          <w:p>
                            <w:pPr>
                              <w:pStyle w:val="TableParagraph"/>
                              <w:spacing w:line="210" w:lineRule="exact"/>
                              <w:ind w:left="311"/>
                              <w:rPr>
                                <w:sz w:val="20"/>
                              </w:rPr>
                            </w:pPr>
                            <w:r>
                              <w:rPr>
                                <w:spacing w:val="-2"/>
                                <w:sz w:val="20"/>
                              </w:rPr>
                              <w:t>0.035992</w:t>
                            </w:r>
                          </w:p>
                        </w:tc>
                        <w:tc>
                          <w:tcPr>
                            <w:tcW w:w="903" w:type="dxa"/>
                          </w:tcPr>
                          <w:p>
                            <w:pPr>
                              <w:pStyle w:val="TableParagraph"/>
                              <w:spacing w:line="210" w:lineRule="exact"/>
                              <w:ind w:right="72"/>
                              <w:jc w:val="center"/>
                              <w:rPr>
                                <w:sz w:val="20"/>
                              </w:rPr>
                            </w:pPr>
                            <w:r>
                              <w:rPr>
                                <w:spacing w:val="-4"/>
                                <w:sz w:val="20"/>
                              </w:rPr>
                              <w:t>-</w:t>
                            </w:r>
                            <w:r>
                              <w:rPr>
                                <w:spacing w:val="-2"/>
                                <w:sz w:val="20"/>
                              </w:rPr>
                              <w:t>0.048881</w:t>
                            </w:r>
                          </w:p>
                        </w:tc>
                        <w:tc>
                          <w:tcPr>
                            <w:tcW w:w="928" w:type="dxa"/>
                          </w:tcPr>
                          <w:p>
                            <w:pPr>
                              <w:pStyle w:val="TableParagraph"/>
                              <w:spacing w:line="210" w:lineRule="exact"/>
                              <w:ind w:right="29"/>
                              <w:jc w:val="right"/>
                              <w:rPr>
                                <w:sz w:val="20"/>
                              </w:rPr>
                            </w:pPr>
                            <w:r>
                              <w:rPr>
                                <w:spacing w:val="-2"/>
                                <w:sz w:val="20"/>
                              </w:rPr>
                              <w:t>0.9620</w:t>
                            </w:r>
                          </w:p>
                        </w:tc>
                      </w:tr>
                      <w:tr>
                        <w:trPr>
                          <w:trHeight w:val="230" w:hRule="atLeast"/>
                        </w:trPr>
                        <w:tc>
                          <w:tcPr>
                            <w:tcW w:w="1911" w:type="dxa"/>
                          </w:tcPr>
                          <w:p>
                            <w:pPr>
                              <w:pStyle w:val="TableParagraph"/>
                              <w:spacing w:line="210" w:lineRule="exact"/>
                              <w:ind w:left="134" w:right="4"/>
                              <w:jc w:val="center"/>
                              <w:rPr>
                                <w:sz w:val="20"/>
                              </w:rPr>
                            </w:pPr>
                            <w:r>
                              <w:rPr>
                                <w:spacing w:val="-5"/>
                                <w:sz w:val="20"/>
                              </w:rPr>
                              <w:t>RES</w:t>
                            </w:r>
                          </w:p>
                        </w:tc>
                        <w:tc>
                          <w:tcPr>
                            <w:tcW w:w="1314" w:type="dxa"/>
                          </w:tcPr>
                          <w:p>
                            <w:pPr>
                              <w:pStyle w:val="TableParagraph"/>
                              <w:spacing w:line="210" w:lineRule="exact"/>
                              <w:ind w:left="300"/>
                              <w:jc w:val="center"/>
                              <w:rPr>
                                <w:sz w:val="20"/>
                              </w:rPr>
                            </w:pPr>
                            <w:r>
                              <w:rPr>
                                <w:spacing w:val="-2"/>
                                <w:sz w:val="20"/>
                              </w:rPr>
                              <w:t>0.256220</w:t>
                            </w:r>
                          </w:p>
                        </w:tc>
                        <w:tc>
                          <w:tcPr>
                            <w:tcW w:w="1433" w:type="dxa"/>
                          </w:tcPr>
                          <w:p>
                            <w:pPr>
                              <w:pStyle w:val="TableParagraph"/>
                              <w:spacing w:line="210" w:lineRule="exact"/>
                              <w:ind w:left="311"/>
                              <w:rPr>
                                <w:sz w:val="20"/>
                              </w:rPr>
                            </w:pPr>
                            <w:r>
                              <w:rPr>
                                <w:spacing w:val="-2"/>
                                <w:sz w:val="20"/>
                              </w:rPr>
                              <w:t>0.049631</w:t>
                            </w:r>
                          </w:p>
                        </w:tc>
                        <w:tc>
                          <w:tcPr>
                            <w:tcW w:w="903" w:type="dxa"/>
                          </w:tcPr>
                          <w:p>
                            <w:pPr>
                              <w:pStyle w:val="TableParagraph"/>
                              <w:spacing w:line="210" w:lineRule="exact"/>
                              <w:ind w:right="7"/>
                              <w:jc w:val="center"/>
                              <w:rPr>
                                <w:sz w:val="20"/>
                              </w:rPr>
                            </w:pPr>
                            <w:r>
                              <w:rPr>
                                <w:spacing w:val="-2"/>
                                <w:sz w:val="20"/>
                              </w:rPr>
                              <w:t>5.162468</w:t>
                            </w:r>
                          </w:p>
                        </w:tc>
                        <w:tc>
                          <w:tcPr>
                            <w:tcW w:w="928" w:type="dxa"/>
                          </w:tcPr>
                          <w:p>
                            <w:pPr>
                              <w:pStyle w:val="TableParagraph"/>
                              <w:spacing w:line="210" w:lineRule="exact"/>
                              <w:ind w:right="29"/>
                              <w:jc w:val="right"/>
                              <w:rPr>
                                <w:sz w:val="20"/>
                              </w:rPr>
                            </w:pPr>
                            <w:r>
                              <w:rPr>
                                <w:spacing w:val="-2"/>
                                <w:sz w:val="20"/>
                              </w:rPr>
                              <w:t>0.0004</w:t>
                            </w:r>
                          </w:p>
                        </w:tc>
                      </w:tr>
                      <w:tr>
                        <w:trPr>
                          <w:trHeight w:val="224" w:hRule="atLeast"/>
                        </w:trPr>
                        <w:tc>
                          <w:tcPr>
                            <w:tcW w:w="1911" w:type="dxa"/>
                            <w:tcBorders>
                              <w:bottom w:val="double" w:sz="6" w:space="0" w:color="000000"/>
                            </w:tcBorders>
                          </w:tcPr>
                          <w:p>
                            <w:pPr>
                              <w:pStyle w:val="TableParagraph"/>
                              <w:spacing w:line="205" w:lineRule="exact"/>
                              <w:ind w:left="626"/>
                              <w:rPr>
                                <w:sz w:val="20"/>
                              </w:rPr>
                            </w:pPr>
                            <w:r>
                              <w:rPr>
                                <w:spacing w:val="-2"/>
                                <w:sz w:val="20"/>
                              </w:rPr>
                              <w:t>NEXTAS</w:t>
                            </w:r>
                          </w:p>
                        </w:tc>
                        <w:tc>
                          <w:tcPr>
                            <w:tcW w:w="1314" w:type="dxa"/>
                            <w:tcBorders>
                              <w:bottom w:val="double" w:sz="6" w:space="0" w:color="000000"/>
                            </w:tcBorders>
                          </w:tcPr>
                          <w:p>
                            <w:pPr>
                              <w:pStyle w:val="TableParagraph"/>
                              <w:spacing w:line="205" w:lineRule="exact"/>
                              <w:ind w:left="235"/>
                              <w:jc w:val="center"/>
                              <w:rPr>
                                <w:sz w:val="20"/>
                              </w:rPr>
                            </w:pPr>
                            <w:r>
                              <w:rPr>
                                <w:spacing w:val="-4"/>
                                <w:sz w:val="20"/>
                              </w:rPr>
                              <w:t>-</w:t>
                            </w:r>
                            <w:r>
                              <w:rPr>
                                <w:spacing w:val="-2"/>
                                <w:sz w:val="20"/>
                              </w:rPr>
                              <w:t>0.044703</w:t>
                            </w:r>
                          </w:p>
                        </w:tc>
                        <w:tc>
                          <w:tcPr>
                            <w:tcW w:w="1433" w:type="dxa"/>
                            <w:tcBorders>
                              <w:bottom w:val="double" w:sz="6" w:space="0" w:color="000000"/>
                            </w:tcBorders>
                          </w:tcPr>
                          <w:p>
                            <w:pPr>
                              <w:pStyle w:val="TableParagraph"/>
                              <w:spacing w:line="205" w:lineRule="exact"/>
                              <w:ind w:left="311"/>
                              <w:rPr>
                                <w:sz w:val="20"/>
                              </w:rPr>
                            </w:pPr>
                            <w:r>
                              <w:rPr>
                                <w:spacing w:val="-2"/>
                                <w:sz w:val="20"/>
                              </w:rPr>
                              <w:t>0.046719</w:t>
                            </w:r>
                          </w:p>
                        </w:tc>
                        <w:tc>
                          <w:tcPr>
                            <w:tcW w:w="903" w:type="dxa"/>
                            <w:tcBorders>
                              <w:bottom w:val="double" w:sz="6" w:space="0" w:color="000000"/>
                            </w:tcBorders>
                          </w:tcPr>
                          <w:p>
                            <w:pPr>
                              <w:pStyle w:val="TableParagraph"/>
                              <w:spacing w:line="205" w:lineRule="exact"/>
                              <w:ind w:right="72"/>
                              <w:jc w:val="center"/>
                              <w:rPr>
                                <w:sz w:val="20"/>
                              </w:rPr>
                            </w:pPr>
                            <w:r>
                              <w:rPr>
                                <w:spacing w:val="-4"/>
                                <w:sz w:val="20"/>
                              </w:rPr>
                              <w:t>-</w:t>
                            </w:r>
                            <w:r>
                              <w:rPr>
                                <w:spacing w:val="-2"/>
                                <w:sz w:val="20"/>
                              </w:rPr>
                              <w:t>0.956860</w:t>
                            </w:r>
                          </w:p>
                        </w:tc>
                        <w:tc>
                          <w:tcPr>
                            <w:tcW w:w="928" w:type="dxa"/>
                            <w:tcBorders>
                              <w:bottom w:val="double" w:sz="6" w:space="0" w:color="000000"/>
                            </w:tcBorders>
                          </w:tcPr>
                          <w:p>
                            <w:pPr>
                              <w:pStyle w:val="TableParagraph"/>
                              <w:spacing w:line="205" w:lineRule="exact"/>
                              <w:ind w:right="29"/>
                              <w:jc w:val="right"/>
                              <w:rPr>
                                <w:sz w:val="20"/>
                              </w:rPr>
                            </w:pPr>
                            <w:r>
                              <w:rPr>
                                <w:spacing w:val="-2"/>
                                <w:sz w:val="20"/>
                              </w:rPr>
                              <w:t>0.3612</w:t>
                            </w:r>
                          </w:p>
                        </w:tc>
                      </w:tr>
                      <w:tr>
                        <w:trPr>
                          <w:trHeight w:val="275" w:hRule="atLeast"/>
                        </w:trPr>
                        <w:tc>
                          <w:tcPr>
                            <w:tcW w:w="1911" w:type="dxa"/>
                            <w:tcBorders>
                              <w:top w:val="double" w:sz="6" w:space="0" w:color="000000"/>
                            </w:tcBorders>
                          </w:tcPr>
                          <w:p>
                            <w:pPr>
                              <w:pStyle w:val="TableParagraph"/>
                              <w:spacing w:line="215" w:lineRule="exact" w:before="40"/>
                              <w:ind w:left="35"/>
                              <w:rPr>
                                <w:sz w:val="20"/>
                              </w:rPr>
                            </w:pPr>
                            <w:r>
                              <w:rPr>
                                <w:spacing w:val="-2"/>
                                <w:sz w:val="20"/>
                              </w:rPr>
                              <w:t>R-squared</w:t>
                            </w:r>
                          </w:p>
                        </w:tc>
                        <w:tc>
                          <w:tcPr>
                            <w:tcW w:w="1314" w:type="dxa"/>
                            <w:tcBorders>
                              <w:top w:val="double" w:sz="6" w:space="0" w:color="000000"/>
                            </w:tcBorders>
                          </w:tcPr>
                          <w:p>
                            <w:pPr>
                              <w:pStyle w:val="TableParagraph"/>
                              <w:spacing w:line="215" w:lineRule="exact" w:before="40"/>
                              <w:ind w:left="300"/>
                              <w:jc w:val="center"/>
                              <w:rPr>
                                <w:sz w:val="20"/>
                              </w:rPr>
                            </w:pPr>
                            <w:r>
                              <w:rPr>
                                <w:spacing w:val="-2"/>
                                <w:sz w:val="20"/>
                              </w:rPr>
                              <w:t>0.977163</w:t>
                            </w:r>
                          </w:p>
                        </w:tc>
                        <w:tc>
                          <w:tcPr>
                            <w:tcW w:w="2336" w:type="dxa"/>
                            <w:gridSpan w:val="2"/>
                            <w:tcBorders>
                              <w:top w:val="double" w:sz="6" w:space="0" w:color="000000"/>
                            </w:tcBorders>
                          </w:tcPr>
                          <w:p>
                            <w:pPr>
                              <w:pStyle w:val="TableParagraph"/>
                              <w:spacing w:line="215" w:lineRule="exact" w:before="40"/>
                              <w:ind w:left="131"/>
                              <w:rPr>
                                <w:sz w:val="20"/>
                              </w:rPr>
                            </w:pPr>
                            <w:r>
                              <w:rPr>
                                <w:sz w:val="20"/>
                              </w:rPr>
                              <w:t>Mean</w:t>
                            </w:r>
                            <w:r>
                              <w:rPr>
                                <w:spacing w:val="-7"/>
                                <w:sz w:val="20"/>
                              </w:rPr>
                              <w:t> </w:t>
                            </w:r>
                            <w:r>
                              <w:rPr>
                                <w:sz w:val="20"/>
                              </w:rPr>
                              <w:t>dependent</w:t>
                            </w:r>
                            <w:r>
                              <w:rPr>
                                <w:spacing w:val="-7"/>
                                <w:sz w:val="20"/>
                              </w:rPr>
                              <w:t> </w:t>
                            </w:r>
                            <w:r>
                              <w:rPr>
                                <w:spacing w:val="-5"/>
                                <w:sz w:val="20"/>
                              </w:rPr>
                              <w:t>var</w:t>
                            </w:r>
                          </w:p>
                        </w:tc>
                        <w:tc>
                          <w:tcPr>
                            <w:tcW w:w="928" w:type="dxa"/>
                            <w:tcBorders>
                              <w:top w:val="double" w:sz="6" w:space="0" w:color="000000"/>
                            </w:tcBorders>
                          </w:tcPr>
                          <w:p>
                            <w:pPr>
                              <w:pStyle w:val="TableParagraph"/>
                              <w:spacing w:line="215" w:lineRule="exact" w:before="40"/>
                              <w:ind w:right="29"/>
                              <w:jc w:val="right"/>
                              <w:rPr>
                                <w:sz w:val="20"/>
                              </w:rPr>
                            </w:pPr>
                            <w:r>
                              <w:rPr>
                                <w:spacing w:val="-2"/>
                                <w:sz w:val="20"/>
                              </w:rPr>
                              <w:t>10.13532</w:t>
                            </w:r>
                          </w:p>
                        </w:tc>
                      </w:tr>
                      <w:tr>
                        <w:trPr>
                          <w:trHeight w:val="229" w:hRule="atLeast"/>
                        </w:trPr>
                        <w:tc>
                          <w:tcPr>
                            <w:tcW w:w="1911" w:type="dxa"/>
                          </w:tcPr>
                          <w:p>
                            <w:pPr>
                              <w:pStyle w:val="TableParagraph"/>
                              <w:spacing w:line="209" w:lineRule="exact"/>
                              <w:ind w:left="35"/>
                              <w:rPr>
                                <w:sz w:val="20"/>
                              </w:rPr>
                            </w:pPr>
                            <w:r>
                              <w:rPr>
                                <w:sz w:val="20"/>
                              </w:rPr>
                              <w:t>Adjusted</w:t>
                            </w:r>
                            <w:r>
                              <w:rPr>
                                <w:spacing w:val="-10"/>
                                <w:sz w:val="20"/>
                              </w:rPr>
                              <w:t> </w:t>
                            </w:r>
                            <w:r>
                              <w:rPr>
                                <w:sz w:val="20"/>
                              </w:rPr>
                              <w:t>R-</w:t>
                            </w:r>
                            <w:r>
                              <w:rPr>
                                <w:spacing w:val="-2"/>
                                <w:sz w:val="20"/>
                              </w:rPr>
                              <w:t>squared</w:t>
                            </w:r>
                          </w:p>
                        </w:tc>
                        <w:tc>
                          <w:tcPr>
                            <w:tcW w:w="1314" w:type="dxa"/>
                          </w:tcPr>
                          <w:p>
                            <w:pPr>
                              <w:pStyle w:val="TableParagraph"/>
                              <w:spacing w:line="209" w:lineRule="exact"/>
                              <w:ind w:left="300"/>
                              <w:jc w:val="center"/>
                              <w:rPr>
                                <w:sz w:val="20"/>
                              </w:rPr>
                            </w:pPr>
                            <w:r>
                              <w:rPr>
                                <w:spacing w:val="-2"/>
                                <w:sz w:val="20"/>
                              </w:rPr>
                              <w:t>0.965744</w:t>
                            </w:r>
                          </w:p>
                        </w:tc>
                        <w:tc>
                          <w:tcPr>
                            <w:tcW w:w="2336" w:type="dxa"/>
                            <w:gridSpan w:val="2"/>
                          </w:tcPr>
                          <w:p>
                            <w:pPr>
                              <w:pStyle w:val="TableParagraph"/>
                              <w:spacing w:line="209" w:lineRule="exact"/>
                              <w:ind w:left="131"/>
                              <w:rPr>
                                <w:sz w:val="20"/>
                              </w:rPr>
                            </w:pPr>
                            <w:r>
                              <w:rPr>
                                <w:sz w:val="20"/>
                              </w:rPr>
                              <w:t>S.D.</w:t>
                            </w:r>
                            <w:r>
                              <w:rPr>
                                <w:spacing w:val="-5"/>
                                <w:sz w:val="20"/>
                              </w:rPr>
                              <w:t> </w:t>
                            </w:r>
                            <w:r>
                              <w:rPr>
                                <w:sz w:val="20"/>
                              </w:rPr>
                              <w:t>dependent</w:t>
                            </w:r>
                            <w:r>
                              <w:rPr>
                                <w:spacing w:val="-6"/>
                                <w:sz w:val="20"/>
                              </w:rPr>
                              <w:t> </w:t>
                            </w:r>
                            <w:r>
                              <w:rPr>
                                <w:spacing w:val="-5"/>
                                <w:sz w:val="20"/>
                              </w:rPr>
                              <w:t>var</w:t>
                            </w:r>
                          </w:p>
                        </w:tc>
                        <w:tc>
                          <w:tcPr>
                            <w:tcW w:w="928" w:type="dxa"/>
                          </w:tcPr>
                          <w:p>
                            <w:pPr>
                              <w:pStyle w:val="TableParagraph"/>
                              <w:spacing w:line="209" w:lineRule="exact"/>
                              <w:ind w:right="29"/>
                              <w:jc w:val="right"/>
                              <w:rPr>
                                <w:sz w:val="20"/>
                              </w:rPr>
                            </w:pPr>
                            <w:r>
                              <w:rPr>
                                <w:spacing w:val="-2"/>
                                <w:sz w:val="20"/>
                              </w:rPr>
                              <w:t>0.858322</w:t>
                            </w:r>
                          </w:p>
                        </w:tc>
                      </w:tr>
                      <w:tr>
                        <w:trPr>
                          <w:trHeight w:val="229" w:hRule="atLeast"/>
                        </w:trPr>
                        <w:tc>
                          <w:tcPr>
                            <w:tcW w:w="1911" w:type="dxa"/>
                          </w:tcPr>
                          <w:p>
                            <w:pPr>
                              <w:pStyle w:val="TableParagraph"/>
                              <w:spacing w:line="209" w:lineRule="exact"/>
                              <w:ind w:left="35"/>
                              <w:rPr>
                                <w:sz w:val="20"/>
                              </w:rPr>
                            </w:pPr>
                            <w:r>
                              <w:rPr>
                                <w:sz w:val="20"/>
                              </w:rPr>
                              <w:t>S.E.</w:t>
                            </w:r>
                            <w:r>
                              <w:rPr>
                                <w:spacing w:val="-3"/>
                                <w:sz w:val="20"/>
                              </w:rPr>
                              <w:t> </w:t>
                            </w:r>
                            <w:r>
                              <w:rPr>
                                <w:sz w:val="20"/>
                              </w:rPr>
                              <w:t>of</w:t>
                            </w:r>
                            <w:r>
                              <w:rPr>
                                <w:spacing w:val="-3"/>
                                <w:sz w:val="20"/>
                              </w:rPr>
                              <w:t> </w:t>
                            </w:r>
                            <w:r>
                              <w:rPr>
                                <w:spacing w:val="-2"/>
                                <w:sz w:val="20"/>
                              </w:rPr>
                              <w:t>regression</w:t>
                            </w:r>
                          </w:p>
                        </w:tc>
                        <w:tc>
                          <w:tcPr>
                            <w:tcW w:w="1314" w:type="dxa"/>
                          </w:tcPr>
                          <w:p>
                            <w:pPr>
                              <w:pStyle w:val="TableParagraph"/>
                              <w:spacing w:line="209" w:lineRule="exact"/>
                              <w:ind w:left="300"/>
                              <w:jc w:val="center"/>
                              <w:rPr>
                                <w:sz w:val="20"/>
                              </w:rPr>
                            </w:pPr>
                            <w:r>
                              <w:rPr>
                                <w:spacing w:val="-2"/>
                                <w:sz w:val="20"/>
                              </w:rPr>
                              <w:t>0.158860</w:t>
                            </w:r>
                          </w:p>
                        </w:tc>
                        <w:tc>
                          <w:tcPr>
                            <w:tcW w:w="2336" w:type="dxa"/>
                            <w:gridSpan w:val="2"/>
                          </w:tcPr>
                          <w:p>
                            <w:pPr>
                              <w:pStyle w:val="TableParagraph"/>
                              <w:spacing w:line="209" w:lineRule="exact"/>
                              <w:ind w:left="131"/>
                              <w:rPr>
                                <w:sz w:val="20"/>
                              </w:rPr>
                            </w:pPr>
                            <w:r>
                              <w:rPr>
                                <w:sz w:val="20"/>
                              </w:rPr>
                              <w:t>Akaike</w:t>
                            </w:r>
                            <w:r>
                              <w:rPr>
                                <w:spacing w:val="-8"/>
                                <w:sz w:val="20"/>
                              </w:rPr>
                              <w:t> </w:t>
                            </w:r>
                            <w:r>
                              <w:rPr>
                                <w:sz w:val="20"/>
                              </w:rPr>
                              <w:t>info</w:t>
                            </w:r>
                            <w:r>
                              <w:rPr>
                                <w:spacing w:val="-7"/>
                                <w:sz w:val="20"/>
                              </w:rPr>
                              <w:t> </w:t>
                            </w:r>
                            <w:r>
                              <w:rPr>
                                <w:spacing w:val="-2"/>
                                <w:sz w:val="20"/>
                              </w:rPr>
                              <w:t>criterion</w:t>
                            </w:r>
                          </w:p>
                        </w:tc>
                        <w:tc>
                          <w:tcPr>
                            <w:tcW w:w="928" w:type="dxa"/>
                          </w:tcPr>
                          <w:p>
                            <w:pPr>
                              <w:pStyle w:val="TableParagraph"/>
                              <w:spacing w:line="209" w:lineRule="exact"/>
                              <w:ind w:right="29"/>
                              <w:jc w:val="right"/>
                              <w:rPr>
                                <w:sz w:val="20"/>
                              </w:rPr>
                            </w:pPr>
                            <w:r>
                              <w:rPr>
                                <w:spacing w:val="-4"/>
                                <w:sz w:val="20"/>
                              </w:rPr>
                              <w:t>-</w:t>
                            </w:r>
                            <w:r>
                              <w:rPr>
                                <w:spacing w:val="-2"/>
                                <w:sz w:val="20"/>
                              </w:rPr>
                              <w:t>0.561586</w:t>
                            </w:r>
                          </w:p>
                        </w:tc>
                      </w:tr>
                      <w:tr>
                        <w:trPr>
                          <w:trHeight w:val="230" w:hRule="atLeast"/>
                        </w:trPr>
                        <w:tc>
                          <w:tcPr>
                            <w:tcW w:w="1911" w:type="dxa"/>
                          </w:tcPr>
                          <w:p>
                            <w:pPr>
                              <w:pStyle w:val="TableParagraph"/>
                              <w:spacing w:line="210" w:lineRule="exact"/>
                              <w:ind w:left="35"/>
                              <w:rPr>
                                <w:sz w:val="20"/>
                              </w:rPr>
                            </w:pPr>
                            <w:r>
                              <w:rPr>
                                <w:sz w:val="20"/>
                              </w:rPr>
                              <w:t>Sum</w:t>
                            </w:r>
                            <w:r>
                              <w:rPr>
                                <w:spacing w:val="-8"/>
                                <w:sz w:val="20"/>
                              </w:rPr>
                              <w:t> </w:t>
                            </w:r>
                            <w:r>
                              <w:rPr>
                                <w:sz w:val="20"/>
                              </w:rPr>
                              <w:t>squared</w:t>
                            </w:r>
                            <w:r>
                              <w:rPr>
                                <w:spacing w:val="-4"/>
                                <w:sz w:val="20"/>
                              </w:rPr>
                              <w:t> </w:t>
                            </w:r>
                            <w:r>
                              <w:rPr>
                                <w:spacing w:val="-2"/>
                                <w:sz w:val="20"/>
                              </w:rPr>
                              <w:t>resid</w:t>
                            </w:r>
                          </w:p>
                        </w:tc>
                        <w:tc>
                          <w:tcPr>
                            <w:tcW w:w="1314" w:type="dxa"/>
                          </w:tcPr>
                          <w:p>
                            <w:pPr>
                              <w:pStyle w:val="TableParagraph"/>
                              <w:spacing w:line="210" w:lineRule="exact"/>
                              <w:ind w:left="300"/>
                              <w:jc w:val="center"/>
                              <w:rPr>
                                <w:sz w:val="20"/>
                              </w:rPr>
                            </w:pPr>
                            <w:r>
                              <w:rPr>
                                <w:spacing w:val="-2"/>
                                <w:sz w:val="20"/>
                              </w:rPr>
                              <w:t>0.252366</w:t>
                            </w:r>
                          </w:p>
                        </w:tc>
                        <w:tc>
                          <w:tcPr>
                            <w:tcW w:w="2336" w:type="dxa"/>
                            <w:gridSpan w:val="2"/>
                          </w:tcPr>
                          <w:p>
                            <w:pPr>
                              <w:pStyle w:val="TableParagraph"/>
                              <w:spacing w:line="210" w:lineRule="exact"/>
                              <w:ind w:left="131"/>
                              <w:rPr>
                                <w:sz w:val="20"/>
                              </w:rPr>
                            </w:pPr>
                            <w:r>
                              <w:rPr>
                                <w:sz w:val="20"/>
                              </w:rPr>
                              <w:t>Schwarz</w:t>
                            </w:r>
                            <w:r>
                              <w:rPr>
                                <w:spacing w:val="-8"/>
                                <w:sz w:val="20"/>
                              </w:rPr>
                              <w:t> </w:t>
                            </w:r>
                            <w:r>
                              <w:rPr>
                                <w:spacing w:val="-2"/>
                                <w:sz w:val="20"/>
                              </w:rPr>
                              <w:t>criterion</w:t>
                            </w:r>
                          </w:p>
                        </w:tc>
                        <w:tc>
                          <w:tcPr>
                            <w:tcW w:w="928" w:type="dxa"/>
                          </w:tcPr>
                          <w:p>
                            <w:pPr>
                              <w:pStyle w:val="TableParagraph"/>
                              <w:spacing w:line="210" w:lineRule="exact"/>
                              <w:ind w:right="29"/>
                              <w:jc w:val="right"/>
                              <w:rPr>
                                <w:sz w:val="20"/>
                              </w:rPr>
                            </w:pPr>
                            <w:r>
                              <w:rPr>
                                <w:spacing w:val="-4"/>
                                <w:sz w:val="20"/>
                              </w:rPr>
                              <w:t>-</w:t>
                            </w:r>
                            <w:r>
                              <w:rPr>
                                <w:spacing w:val="-2"/>
                                <w:sz w:val="20"/>
                              </w:rPr>
                              <w:t>0.271866</w:t>
                            </w:r>
                          </w:p>
                        </w:tc>
                      </w:tr>
                      <w:tr>
                        <w:trPr>
                          <w:trHeight w:val="230" w:hRule="atLeast"/>
                        </w:trPr>
                        <w:tc>
                          <w:tcPr>
                            <w:tcW w:w="1911" w:type="dxa"/>
                          </w:tcPr>
                          <w:p>
                            <w:pPr>
                              <w:pStyle w:val="TableParagraph"/>
                              <w:spacing w:line="210" w:lineRule="exact"/>
                              <w:ind w:left="35"/>
                              <w:rPr>
                                <w:sz w:val="20"/>
                              </w:rPr>
                            </w:pPr>
                            <w:r>
                              <w:rPr>
                                <w:sz w:val="20"/>
                              </w:rPr>
                              <w:t>Log</w:t>
                            </w:r>
                            <w:r>
                              <w:rPr>
                                <w:spacing w:val="-6"/>
                                <w:sz w:val="20"/>
                              </w:rPr>
                              <w:t> </w:t>
                            </w:r>
                            <w:r>
                              <w:rPr>
                                <w:spacing w:val="-2"/>
                                <w:sz w:val="20"/>
                              </w:rPr>
                              <w:t>likelihood</w:t>
                            </w:r>
                          </w:p>
                        </w:tc>
                        <w:tc>
                          <w:tcPr>
                            <w:tcW w:w="1314" w:type="dxa"/>
                          </w:tcPr>
                          <w:p>
                            <w:pPr>
                              <w:pStyle w:val="TableParagraph"/>
                              <w:spacing w:line="210" w:lineRule="exact"/>
                              <w:ind w:left="300"/>
                              <w:jc w:val="center"/>
                              <w:rPr>
                                <w:sz w:val="20"/>
                              </w:rPr>
                            </w:pPr>
                            <w:r>
                              <w:rPr>
                                <w:spacing w:val="-2"/>
                                <w:sz w:val="20"/>
                              </w:rPr>
                              <w:t>10.49269</w:t>
                            </w:r>
                          </w:p>
                        </w:tc>
                        <w:tc>
                          <w:tcPr>
                            <w:tcW w:w="1433" w:type="dxa"/>
                          </w:tcPr>
                          <w:p>
                            <w:pPr>
                              <w:pStyle w:val="TableParagraph"/>
                              <w:spacing w:line="210" w:lineRule="exact"/>
                              <w:ind w:left="131"/>
                              <w:rPr>
                                <w:sz w:val="20"/>
                              </w:rPr>
                            </w:pPr>
                            <w:r>
                              <w:rPr>
                                <w:spacing w:val="-4"/>
                                <w:sz w:val="20"/>
                              </w:rPr>
                              <w:t>F-</w:t>
                            </w:r>
                            <w:r>
                              <w:rPr>
                                <w:spacing w:val="-2"/>
                                <w:sz w:val="20"/>
                              </w:rPr>
                              <w:t>statistic</w:t>
                            </w:r>
                          </w:p>
                        </w:tc>
                        <w:tc>
                          <w:tcPr>
                            <w:tcW w:w="903" w:type="dxa"/>
                          </w:tcPr>
                          <w:p>
                            <w:pPr>
                              <w:pStyle w:val="TableParagraph"/>
                              <w:rPr>
                                <w:sz w:val="16"/>
                              </w:rPr>
                            </w:pPr>
                          </w:p>
                        </w:tc>
                        <w:tc>
                          <w:tcPr>
                            <w:tcW w:w="928" w:type="dxa"/>
                          </w:tcPr>
                          <w:p>
                            <w:pPr>
                              <w:pStyle w:val="TableParagraph"/>
                              <w:spacing w:line="210" w:lineRule="exact"/>
                              <w:ind w:right="29"/>
                              <w:jc w:val="right"/>
                              <w:rPr>
                                <w:sz w:val="20"/>
                              </w:rPr>
                            </w:pPr>
                            <w:r>
                              <w:rPr>
                                <w:spacing w:val="-2"/>
                                <w:sz w:val="20"/>
                              </w:rPr>
                              <w:t>85.57711</w:t>
                            </w:r>
                          </w:p>
                        </w:tc>
                      </w:tr>
                      <w:tr>
                        <w:trPr>
                          <w:trHeight w:val="265" w:hRule="atLeast"/>
                        </w:trPr>
                        <w:tc>
                          <w:tcPr>
                            <w:tcW w:w="1911" w:type="dxa"/>
                            <w:tcBorders>
                              <w:bottom w:val="double" w:sz="6" w:space="0" w:color="000000"/>
                            </w:tcBorders>
                          </w:tcPr>
                          <w:p>
                            <w:pPr>
                              <w:pStyle w:val="TableParagraph"/>
                              <w:spacing w:line="226" w:lineRule="exact"/>
                              <w:ind w:left="35"/>
                              <w:rPr>
                                <w:sz w:val="20"/>
                              </w:rPr>
                            </w:pPr>
                            <w:r>
                              <w:rPr>
                                <w:sz w:val="20"/>
                              </w:rPr>
                              <w:t>Durbin-Watson</w:t>
                            </w:r>
                            <w:r>
                              <w:rPr>
                                <w:spacing w:val="-12"/>
                                <w:sz w:val="20"/>
                              </w:rPr>
                              <w:t> </w:t>
                            </w:r>
                            <w:r>
                              <w:rPr>
                                <w:spacing w:val="-4"/>
                                <w:sz w:val="20"/>
                              </w:rPr>
                              <w:t>stat</w:t>
                            </w:r>
                          </w:p>
                        </w:tc>
                        <w:tc>
                          <w:tcPr>
                            <w:tcW w:w="1314" w:type="dxa"/>
                          </w:tcPr>
                          <w:p>
                            <w:pPr>
                              <w:pStyle w:val="TableParagraph"/>
                              <w:spacing w:line="226" w:lineRule="exact"/>
                              <w:ind w:left="300"/>
                              <w:jc w:val="center"/>
                              <w:rPr>
                                <w:sz w:val="20"/>
                              </w:rPr>
                            </w:pPr>
                            <w:r>
                              <w:rPr>
                                <w:spacing w:val="-2"/>
                                <w:sz w:val="20"/>
                              </w:rPr>
                              <w:t>1.211928</w:t>
                            </w:r>
                          </w:p>
                        </w:tc>
                        <w:tc>
                          <w:tcPr>
                            <w:tcW w:w="1433" w:type="dxa"/>
                            <w:tcBorders>
                              <w:bottom w:val="double" w:sz="6" w:space="0" w:color="000000"/>
                            </w:tcBorders>
                          </w:tcPr>
                          <w:p>
                            <w:pPr>
                              <w:pStyle w:val="TableParagraph"/>
                              <w:spacing w:line="226" w:lineRule="exact"/>
                              <w:ind w:left="131"/>
                              <w:rPr>
                                <w:sz w:val="20"/>
                              </w:rPr>
                            </w:pPr>
                            <w:r>
                              <w:rPr>
                                <w:spacing w:val="-2"/>
                                <w:sz w:val="20"/>
                              </w:rPr>
                              <w:t>Prob(F-statistic)</w:t>
                            </w:r>
                          </w:p>
                        </w:tc>
                        <w:tc>
                          <w:tcPr>
                            <w:tcW w:w="903" w:type="dxa"/>
                            <w:tcBorders>
                              <w:bottom w:val="double" w:sz="6" w:space="0" w:color="000000"/>
                            </w:tcBorders>
                          </w:tcPr>
                          <w:p>
                            <w:pPr>
                              <w:pStyle w:val="TableParagraph"/>
                              <w:rPr>
                                <w:sz w:val="18"/>
                              </w:rPr>
                            </w:pPr>
                          </w:p>
                        </w:tc>
                        <w:tc>
                          <w:tcPr>
                            <w:tcW w:w="928" w:type="dxa"/>
                            <w:tcBorders>
                              <w:bottom w:val="double" w:sz="6" w:space="0" w:color="000000"/>
                            </w:tcBorders>
                          </w:tcPr>
                          <w:p>
                            <w:pPr>
                              <w:pStyle w:val="TableParagraph"/>
                              <w:spacing w:line="226" w:lineRule="exact"/>
                              <w:ind w:right="29"/>
                              <w:jc w:val="right"/>
                              <w:rPr>
                                <w:sz w:val="20"/>
                              </w:rPr>
                            </w:pPr>
                            <w:r>
                              <w:rPr>
                                <w:spacing w:val="-2"/>
                                <w:sz w:val="20"/>
                              </w:rPr>
                              <w:t>0.000000</w:t>
                            </w:r>
                          </w:p>
                        </w:tc>
                      </w:tr>
                    </w:tbl>
                    <w:p>
                      <w:pPr>
                        <w:pStyle w:val="BodyText"/>
                      </w:pPr>
                    </w:p>
                  </w:txbxContent>
                </v:textbox>
                <w10:wrap type="none"/>
              </v:shape>
            </w:pict>
          </mc:Fallback>
        </mc:AlternateContent>
      </w:r>
      <w:r>
        <w:rPr>
          <w:sz w:val="20"/>
        </w:rPr>
        <w:t>EFFECT</w:t>
      </w:r>
      <w:r>
        <w:rPr>
          <w:spacing w:val="-3"/>
          <w:sz w:val="20"/>
        </w:rPr>
        <w:t> </w:t>
      </w:r>
      <w:r>
        <w:rPr>
          <w:sz w:val="20"/>
        </w:rPr>
        <w:t>OF</w:t>
      </w:r>
      <w:r>
        <w:rPr>
          <w:spacing w:val="-7"/>
          <w:sz w:val="20"/>
        </w:rPr>
        <w:t> </w:t>
      </w:r>
      <w:r>
        <w:rPr>
          <w:sz w:val="20"/>
        </w:rPr>
        <w:t>CAPITAL</w:t>
      </w:r>
      <w:r>
        <w:rPr>
          <w:spacing w:val="-8"/>
          <w:sz w:val="20"/>
        </w:rPr>
        <w:t> </w:t>
      </w:r>
      <w:r>
        <w:rPr>
          <w:sz w:val="20"/>
        </w:rPr>
        <w:t>FLIGHT</w:t>
      </w:r>
      <w:r>
        <w:rPr>
          <w:spacing w:val="-3"/>
          <w:sz w:val="20"/>
        </w:rPr>
        <w:t> </w:t>
      </w:r>
      <w:r>
        <w:rPr>
          <w:sz w:val="20"/>
        </w:rPr>
        <w:t>ON</w:t>
      </w:r>
      <w:r>
        <w:rPr>
          <w:spacing w:val="-6"/>
          <w:sz w:val="20"/>
        </w:rPr>
        <w:t> </w:t>
      </w:r>
      <w:r>
        <w:rPr>
          <w:sz w:val="20"/>
        </w:rPr>
        <w:t>ECONOMIC</w:t>
      </w:r>
      <w:r>
        <w:rPr>
          <w:spacing w:val="-7"/>
          <w:sz w:val="20"/>
        </w:rPr>
        <w:t> </w:t>
      </w:r>
      <w:r>
        <w:rPr>
          <w:sz w:val="20"/>
        </w:rPr>
        <w:t>GROWTH PRE SAP (OLS)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1"/>
        <w:rPr>
          <w:sz w:val="20"/>
        </w:rPr>
      </w:pPr>
    </w:p>
    <w:p>
      <w:pPr>
        <w:spacing w:before="0"/>
        <w:ind w:left="0" w:right="1950" w:firstLine="0"/>
        <w:jc w:val="center"/>
        <w:rPr>
          <w:b/>
          <w:sz w:val="20"/>
        </w:rPr>
      </w:pPr>
      <w:r>
        <w:rPr>
          <w:b/>
          <w:sz w:val="20"/>
        </w:rPr>
        <w:t>APPENDIX</w:t>
      </w:r>
      <w:r>
        <w:rPr>
          <w:b/>
          <w:spacing w:val="-13"/>
          <w:sz w:val="20"/>
        </w:rPr>
        <w:t> </w:t>
      </w:r>
      <w:r>
        <w:rPr>
          <w:b/>
          <w:spacing w:val="-5"/>
          <w:sz w:val="20"/>
        </w:rPr>
        <w:t>A12</w:t>
      </w:r>
    </w:p>
    <w:p>
      <w:pPr>
        <w:pStyle w:val="BodyText"/>
        <w:spacing w:before="1"/>
        <w:rPr>
          <w:b/>
          <w:sz w:val="20"/>
        </w:rPr>
      </w:pPr>
    </w:p>
    <w:p>
      <w:pPr>
        <w:spacing w:before="0"/>
        <w:ind w:left="0" w:right="1910" w:firstLine="0"/>
        <w:jc w:val="center"/>
        <w:rPr>
          <w:b/>
          <w:sz w:val="20"/>
        </w:rPr>
      </w:pPr>
      <w:r>
        <w:rPr>
          <w:b/>
          <w:sz w:val="20"/>
        </w:rPr>
        <w:t>RESULT</w:t>
      </w:r>
      <w:r>
        <w:rPr>
          <w:b/>
          <w:spacing w:val="-6"/>
          <w:sz w:val="20"/>
        </w:rPr>
        <w:t> </w:t>
      </w:r>
      <w:r>
        <w:rPr>
          <w:b/>
          <w:sz w:val="20"/>
        </w:rPr>
        <w:t>OF</w:t>
      </w:r>
      <w:r>
        <w:rPr>
          <w:b/>
          <w:spacing w:val="-5"/>
          <w:sz w:val="20"/>
        </w:rPr>
        <w:t> </w:t>
      </w:r>
      <w:r>
        <w:rPr>
          <w:b/>
          <w:sz w:val="20"/>
        </w:rPr>
        <w:t>ANALYSES</w:t>
      </w:r>
      <w:r>
        <w:rPr>
          <w:b/>
          <w:spacing w:val="-5"/>
          <w:sz w:val="20"/>
        </w:rPr>
        <w:t> </w:t>
      </w:r>
      <w:r>
        <w:rPr>
          <w:b/>
          <w:sz w:val="20"/>
        </w:rPr>
        <w:t>FOR</w:t>
      </w:r>
      <w:r>
        <w:rPr>
          <w:b/>
          <w:spacing w:val="-5"/>
          <w:sz w:val="20"/>
        </w:rPr>
        <w:t> </w:t>
      </w:r>
      <w:r>
        <w:rPr>
          <w:b/>
          <w:sz w:val="20"/>
        </w:rPr>
        <w:t>MODEL</w:t>
      </w:r>
      <w:r>
        <w:rPr>
          <w:b/>
          <w:spacing w:val="-6"/>
          <w:sz w:val="20"/>
        </w:rPr>
        <w:t> </w:t>
      </w:r>
      <w:r>
        <w:rPr>
          <w:b/>
          <w:sz w:val="20"/>
        </w:rPr>
        <w:t>6A</w:t>
      </w:r>
      <w:r>
        <w:rPr>
          <w:b/>
          <w:spacing w:val="-5"/>
          <w:sz w:val="20"/>
        </w:rPr>
        <w:t> </w:t>
      </w:r>
      <w:r>
        <w:rPr>
          <w:b/>
          <w:sz w:val="20"/>
        </w:rPr>
        <w:t>(WORLD</w:t>
      </w:r>
      <w:r>
        <w:rPr>
          <w:b/>
          <w:spacing w:val="-2"/>
          <w:sz w:val="20"/>
        </w:rPr>
        <w:t> </w:t>
      </w:r>
      <w:r>
        <w:rPr>
          <w:b/>
          <w:sz w:val="20"/>
        </w:rPr>
        <w:t>BANK</w:t>
      </w:r>
      <w:r>
        <w:rPr>
          <w:b/>
          <w:spacing w:val="-4"/>
          <w:sz w:val="20"/>
        </w:rPr>
        <w:t> </w:t>
      </w:r>
      <w:r>
        <w:rPr>
          <w:b/>
          <w:sz w:val="20"/>
        </w:rPr>
        <w:t>&amp;</w:t>
      </w:r>
      <w:r>
        <w:rPr>
          <w:b/>
          <w:spacing w:val="-6"/>
          <w:sz w:val="20"/>
        </w:rPr>
        <w:t> </w:t>
      </w:r>
      <w:r>
        <w:rPr>
          <w:b/>
          <w:sz w:val="20"/>
        </w:rPr>
        <w:t>ERBE</w:t>
      </w:r>
      <w:r>
        <w:rPr>
          <w:b/>
          <w:spacing w:val="-6"/>
          <w:sz w:val="20"/>
        </w:rPr>
        <w:t> </w:t>
      </w:r>
      <w:r>
        <w:rPr>
          <w:b/>
          <w:sz w:val="20"/>
        </w:rPr>
        <w:t>1985</w:t>
      </w:r>
      <w:r>
        <w:rPr>
          <w:b/>
          <w:spacing w:val="-3"/>
          <w:sz w:val="20"/>
        </w:rPr>
        <w:t> </w:t>
      </w:r>
      <w:r>
        <w:rPr>
          <w:b/>
          <w:sz w:val="20"/>
        </w:rPr>
        <w:t>ES</w:t>
      </w:r>
      <w:r>
        <w:rPr>
          <w:b/>
          <w:spacing w:val="-6"/>
          <w:sz w:val="20"/>
        </w:rPr>
        <w:t> </w:t>
      </w:r>
      <w:r>
        <w:rPr>
          <w:b/>
          <w:spacing w:val="-2"/>
          <w:sz w:val="20"/>
        </w:rPr>
        <w:t>ESTIMATES)</w:t>
      </w:r>
    </w:p>
    <w:p>
      <w:pPr>
        <w:spacing w:line="460" w:lineRule="atLeast" w:before="1"/>
        <w:ind w:left="771" w:right="3485" w:firstLine="0"/>
        <w:jc w:val="left"/>
        <w:rPr>
          <w:sz w:val="20"/>
        </w:rPr>
      </w:pPr>
      <w:r>
        <w:rPr>
          <w:sz w:val="20"/>
        </w:rPr>
        <w:t>EFFECT</w:t>
      </w:r>
      <w:r>
        <w:rPr>
          <w:spacing w:val="-2"/>
          <w:sz w:val="20"/>
        </w:rPr>
        <w:t> </w:t>
      </w:r>
      <w:r>
        <w:rPr>
          <w:sz w:val="20"/>
        </w:rPr>
        <w:t>OF</w:t>
      </w:r>
      <w:r>
        <w:rPr>
          <w:spacing w:val="-4"/>
          <w:sz w:val="20"/>
        </w:rPr>
        <w:t> </w:t>
      </w:r>
      <w:r>
        <w:rPr>
          <w:sz w:val="20"/>
        </w:rPr>
        <w:t>CAPITAL</w:t>
      </w:r>
      <w:r>
        <w:rPr>
          <w:spacing w:val="-6"/>
          <w:sz w:val="20"/>
        </w:rPr>
        <w:t> </w:t>
      </w:r>
      <w:r>
        <w:rPr>
          <w:sz w:val="20"/>
        </w:rPr>
        <w:t>FLIGHT</w:t>
      </w:r>
      <w:r>
        <w:rPr>
          <w:spacing w:val="-2"/>
          <w:sz w:val="20"/>
        </w:rPr>
        <w:t> </w:t>
      </w:r>
      <w:r>
        <w:rPr>
          <w:sz w:val="20"/>
        </w:rPr>
        <w:t>ON</w:t>
      </w:r>
      <w:r>
        <w:rPr>
          <w:spacing w:val="-4"/>
          <w:sz w:val="20"/>
        </w:rPr>
        <w:t> </w:t>
      </w:r>
      <w:r>
        <w:rPr>
          <w:sz w:val="20"/>
        </w:rPr>
        <w:t>ECONOMIC</w:t>
      </w:r>
      <w:r>
        <w:rPr>
          <w:spacing w:val="-5"/>
          <w:sz w:val="20"/>
        </w:rPr>
        <w:t> </w:t>
      </w:r>
      <w:r>
        <w:rPr>
          <w:sz w:val="20"/>
        </w:rPr>
        <w:t>GROWTH</w:t>
      </w:r>
      <w:r>
        <w:rPr>
          <w:spacing w:val="-1"/>
          <w:sz w:val="20"/>
        </w:rPr>
        <w:t> </w:t>
      </w:r>
      <w:r>
        <w:rPr>
          <w:sz w:val="20"/>
        </w:rPr>
        <w:t>IN</w:t>
      </w:r>
      <w:r>
        <w:rPr>
          <w:spacing w:val="-6"/>
          <w:sz w:val="20"/>
        </w:rPr>
        <w:t> </w:t>
      </w:r>
      <w:r>
        <w:rPr>
          <w:sz w:val="20"/>
        </w:rPr>
        <w:t>THE</w:t>
      </w:r>
      <w:r>
        <w:rPr>
          <w:spacing w:val="-6"/>
          <w:sz w:val="20"/>
        </w:rPr>
        <w:t> </w:t>
      </w:r>
      <w:r>
        <w:rPr>
          <w:sz w:val="20"/>
        </w:rPr>
        <w:t>POST-SAP</w:t>
      </w:r>
      <w:r>
        <w:rPr>
          <w:spacing w:val="-3"/>
          <w:sz w:val="20"/>
        </w:rPr>
        <w:t> </w:t>
      </w:r>
      <w:r>
        <w:rPr>
          <w:sz w:val="20"/>
        </w:rPr>
        <w:t>ERA OLS RESULT</w:t>
      </w:r>
    </w:p>
    <w:p>
      <w:pPr>
        <w:spacing w:line="229" w:lineRule="exact" w:before="0" w:after="3"/>
        <w:ind w:left="771" w:right="0" w:firstLine="0"/>
        <w:jc w:val="left"/>
        <w:rPr>
          <w:sz w:val="20"/>
        </w:rPr>
      </w:pPr>
      <w:r>
        <w:rPr>
          <w:sz w:val="20"/>
        </w:rPr>
        <w:t>POST</w:t>
      </w:r>
      <w:r>
        <w:rPr>
          <w:spacing w:val="-4"/>
          <w:sz w:val="20"/>
        </w:rPr>
        <w:t> </w:t>
      </w:r>
      <w:r>
        <w:rPr>
          <w:sz w:val="20"/>
        </w:rPr>
        <w:t>SAP</w:t>
      </w:r>
      <w:r>
        <w:rPr>
          <w:spacing w:val="-3"/>
          <w:sz w:val="20"/>
        </w:rPr>
        <w:t> </w:t>
      </w:r>
      <w:r>
        <w:rPr>
          <w:spacing w:val="-2"/>
          <w:sz w:val="20"/>
        </w:rPr>
        <w:t>RESULT</w:t>
      </w:r>
    </w:p>
    <w:tbl>
      <w:tblPr>
        <w:tblW w:w="0" w:type="auto"/>
        <w:jc w:val="left"/>
        <w:tblInd w:w="8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11"/>
        <w:gridCol w:w="1314"/>
        <w:gridCol w:w="1458"/>
        <w:gridCol w:w="910"/>
        <w:gridCol w:w="895"/>
      </w:tblGrid>
      <w:tr>
        <w:trPr>
          <w:trHeight w:val="225" w:hRule="atLeast"/>
        </w:trPr>
        <w:tc>
          <w:tcPr>
            <w:tcW w:w="6488" w:type="dxa"/>
            <w:gridSpan w:val="5"/>
          </w:tcPr>
          <w:p>
            <w:pPr>
              <w:pStyle w:val="TableParagraph"/>
              <w:spacing w:line="205" w:lineRule="exact"/>
              <w:ind w:left="35"/>
              <w:rPr>
                <w:sz w:val="20"/>
              </w:rPr>
            </w:pPr>
            <w:r>
              <w:rPr>
                <w:sz w:val="20"/>
              </w:rPr>
              <w:t>Dependent</w:t>
            </w:r>
            <w:r>
              <w:rPr>
                <w:spacing w:val="-8"/>
                <w:sz w:val="20"/>
              </w:rPr>
              <w:t> </w:t>
            </w:r>
            <w:r>
              <w:rPr>
                <w:sz w:val="20"/>
              </w:rPr>
              <w:t>Variable:</w:t>
            </w:r>
            <w:r>
              <w:rPr>
                <w:spacing w:val="-8"/>
                <w:sz w:val="20"/>
              </w:rPr>
              <w:t> </w:t>
            </w:r>
            <w:r>
              <w:rPr>
                <w:spacing w:val="-5"/>
                <w:sz w:val="20"/>
              </w:rPr>
              <w:t>GDP</w:t>
            </w:r>
          </w:p>
        </w:tc>
      </w:tr>
      <w:tr>
        <w:trPr>
          <w:trHeight w:val="229" w:hRule="atLeast"/>
        </w:trPr>
        <w:tc>
          <w:tcPr>
            <w:tcW w:w="1911" w:type="dxa"/>
          </w:tcPr>
          <w:p>
            <w:pPr>
              <w:pStyle w:val="TableParagraph"/>
              <w:spacing w:line="209" w:lineRule="exact"/>
              <w:ind w:left="35"/>
              <w:rPr>
                <w:sz w:val="20"/>
              </w:rPr>
            </w:pPr>
            <w:r>
              <w:rPr>
                <w:sz w:val="20"/>
              </w:rPr>
              <w:t>Method:</w:t>
            </w:r>
            <w:r>
              <w:rPr>
                <w:spacing w:val="-8"/>
                <w:sz w:val="20"/>
              </w:rPr>
              <w:t> </w:t>
            </w:r>
            <w:r>
              <w:rPr>
                <w:sz w:val="20"/>
              </w:rPr>
              <w:t>Least</w:t>
            </w:r>
            <w:r>
              <w:rPr>
                <w:spacing w:val="-7"/>
                <w:sz w:val="20"/>
              </w:rPr>
              <w:t> </w:t>
            </w:r>
            <w:r>
              <w:rPr>
                <w:spacing w:val="-2"/>
                <w:sz w:val="20"/>
              </w:rPr>
              <w:t>Squares</w:t>
            </w:r>
          </w:p>
        </w:tc>
        <w:tc>
          <w:tcPr>
            <w:tcW w:w="1314" w:type="dxa"/>
          </w:tcPr>
          <w:p>
            <w:pPr>
              <w:pStyle w:val="TableParagraph"/>
              <w:rPr>
                <w:sz w:val="16"/>
              </w:rPr>
            </w:pPr>
          </w:p>
        </w:tc>
        <w:tc>
          <w:tcPr>
            <w:tcW w:w="1458" w:type="dxa"/>
          </w:tcPr>
          <w:p>
            <w:pPr>
              <w:pStyle w:val="TableParagraph"/>
              <w:rPr>
                <w:sz w:val="16"/>
              </w:rPr>
            </w:pPr>
          </w:p>
        </w:tc>
        <w:tc>
          <w:tcPr>
            <w:tcW w:w="910" w:type="dxa"/>
          </w:tcPr>
          <w:p>
            <w:pPr>
              <w:pStyle w:val="TableParagraph"/>
              <w:rPr>
                <w:sz w:val="16"/>
              </w:rPr>
            </w:pPr>
          </w:p>
        </w:tc>
        <w:tc>
          <w:tcPr>
            <w:tcW w:w="895" w:type="dxa"/>
          </w:tcPr>
          <w:p>
            <w:pPr>
              <w:pStyle w:val="TableParagraph"/>
              <w:rPr>
                <w:sz w:val="16"/>
              </w:rPr>
            </w:pPr>
          </w:p>
        </w:tc>
      </w:tr>
      <w:tr>
        <w:trPr>
          <w:trHeight w:val="229" w:hRule="atLeast"/>
        </w:trPr>
        <w:tc>
          <w:tcPr>
            <w:tcW w:w="6488" w:type="dxa"/>
            <w:gridSpan w:val="5"/>
          </w:tcPr>
          <w:p>
            <w:pPr>
              <w:pStyle w:val="TableParagraph"/>
              <w:spacing w:line="209" w:lineRule="exact"/>
              <w:ind w:left="35"/>
              <w:rPr>
                <w:sz w:val="20"/>
              </w:rPr>
            </w:pPr>
            <w:r>
              <w:rPr>
                <w:sz w:val="20"/>
              </w:rPr>
              <w:t>Date:</w:t>
            </w:r>
            <w:r>
              <w:rPr>
                <w:spacing w:val="-5"/>
                <w:sz w:val="20"/>
              </w:rPr>
              <w:t> </w:t>
            </w:r>
            <w:r>
              <w:rPr>
                <w:sz w:val="20"/>
              </w:rPr>
              <w:t>02/17/14</w:t>
            </w:r>
            <w:r>
              <w:rPr>
                <w:spacing w:val="63"/>
                <w:w w:val="150"/>
                <w:sz w:val="20"/>
              </w:rPr>
              <w:t> </w:t>
            </w:r>
            <w:r>
              <w:rPr>
                <w:sz w:val="20"/>
              </w:rPr>
              <w:t>Time:</w:t>
            </w:r>
            <w:r>
              <w:rPr>
                <w:spacing w:val="-3"/>
                <w:sz w:val="20"/>
              </w:rPr>
              <w:t> </w:t>
            </w:r>
            <w:r>
              <w:rPr>
                <w:spacing w:val="-2"/>
                <w:sz w:val="20"/>
              </w:rPr>
              <w:t>18:34</w:t>
            </w:r>
          </w:p>
        </w:tc>
      </w:tr>
      <w:tr>
        <w:trPr>
          <w:trHeight w:val="230" w:hRule="atLeast"/>
        </w:trPr>
        <w:tc>
          <w:tcPr>
            <w:tcW w:w="1911" w:type="dxa"/>
          </w:tcPr>
          <w:p>
            <w:pPr>
              <w:pStyle w:val="TableParagraph"/>
              <w:spacing w:line="210" w:lineRule="exact"/>
              <w:ind w:left="35"/>
              <w:rPr>
                <w:sz w:val="20"/>
              </w:rPr>
            </w:pPr>
            <w:r>
              <w:rPr>
                <w:sz w:val="20"/>
              </w:rPr>
              <w:t>Sample:</w:t>
            </w:r>
            <w:r>
              <w:rPr>
                <w:spacing w:val="-5"/>
                <w:sz w:val="20"/>
              </w:rPr>
              <w:t> </w:t>
            </w:r>
            <w:r>
              <w:rPr>
                <w:sz w:val="20"/>
              </w:rPr>
              <w:t>1987</w:t>
            </w:r>
            <w:r>
              <w:rPr>
                <w:spacing w:val="-3"/>
                <w:sz w:val="20"/>
              </w:rPr>
              <w:t> </w:t>
            </w:r>
            <w:r>
              <w:rPr>
                <w:spacing w:val="-4"/>
                <w:sz w:val="20"/>
              </w:rPr>
              <w:t>2011</w:t>
            </w:r>
          </w:p>
        </w:tc>
        <w:tc>
          <w:tcPr>
            <w:tcW w:w="1314" w:type="dxa"/>
          </w:tcPr>
          <w:p>
            <w:pPr>
              <w:pStyle w:val="TableParagraph"/>
              <w:rPr>
                <w:sz w:val="16"/>
              </w:rPr>
            </w:pPr>
          </w:p>
        </w:tc>
        <w:tc>
          <w:tcPr>
            <w:tcW w:w="1458" w:type="dxa"/>
          </w:tcPr>
          <w:p>
            <w:pPr>
              <w:pStyle w:val="TableParagraph"/>
              <w:rPr>
                <w:sz w:val="16"/>
              </w:rPr>
            </w:pPr>
          </w:p>
        </w:tc>
        <w:tc>
          <w:tcPr>
            <w:tcW w:w="910" w:type="dxa"/>
          </w:tcPr>
          <w:p>
            <w:pPr>
              <w:pStyle w:val="TableParagraph"/>
              <w:rPr>
                <w:sz w:val="16"/>
              </w:rPr>
            </w:pPr>
          </w:p>
        </w:tc>
        <w:tc>
          <w:tcPr>
            <w:tcW w:w="895" w:type="dxa"/>
          </w:tcPr>
          <w:p>
            <w:pPr>
              <w:pStyle w:val="TableParagraph"/>
              <w:rPr>
                <w:sz w:val="16"/>
              </w:rPr>
            </w:pPr>
          </w:p>
        </w:tc>
      </w:tr>
      <w:tr>
        <w:trPr>
          <w:trHeight w:val="224" w:hRule="atLeast"/>
        </w:trPr>
        <w:tc>
          <w:tcPr>
            <w:tcW w:w="6488" w:type="dxa"/>
            <w:gridSpan w:val="5"/>
            <w:tcBorders>
              <w:bottom w:val="double" w:sz="6" w:space="0" w:color="000000"/>
            </w:tcBorders>
          </w:tcPr>
          <w:p>
            <w:pPr>
              <w:pStyle w:val="TableParagraph"/>
              <w:spacing w:line="205" w:lineRule="exact"/>
              <w:ind w:left="35"/>
              <w:rPr>
                <w:sz w:val="20"/>
              </w:rPr>
            </w:pPr>
            <w:r>
              <w:rPr>
                <w:sz w:val="20"/>
              </w:rPr>
              <w:t>Included</w:t>
            </w:r>
            <w:r>
              <w:rPr>
                <w:spacing w:val="-9"/>
                <w:sz w:val="20"/>
              </w:rPr>
              <w:t> </w:t>
            </w:r>
            <w:r>
              <w:rPr>
                <w:sz w:val="20"/>
              </w:rPr>
              <w:t>observations:</w:t>
            </w:r>
            <w:r>
              <w:rPr>
                <w:spacing w:val="-10"/>
                <w:sz w:val="20"/>
              </w:rPr>
              <w:t> </w:t>
            </w:r>
            <w:r>
              <w:rPr>
                <w:spacing w:val="-5"/>
                <w:sz w:val="20"/>
              </w:rPr>
              <w:t>25</w:t>
            </w:r>
          </w:p>
        </w:tc>
      </w:tr>
      <w:tr>
        <w:trPr>
          <w:trHeight w:val="269" w:hRule="atLeast"/>
        </w:trPr>
        <w:tc>
          <w:tcPr>
            <w:tcW w:w="1911" w:type="dxa"/>
            <w:tcBorders>
              <w:top w:val="double" w:sz="6" w:space="0" w:color="000000"/>
              <w:bottom w:val="double" w:sz="6" w:space="0" w:color="000000"/>
            </w:tcBorders>
          </w:tcPr>
          <w:p>
            <w:pPr>
              <w:pStyle w:val="TableParagraph"/>
              <w:spacing w:line="209" w:lineRule="exact" w:before="40"/>
              <w:ind w:left="677"/>
              <w:rPr>
                <w:sz w:val="20"/>
              </w:rPr>
            </w:pPr>
            <w:r>
              <w:rPr>
                <w:spacing w:val="-2"/>
                <w:sz w:val="20"/>
              </w:rPr>
              <w:t>Variable</w:t>
            </w:r>
          </w:p>
        </w:tc>
        <w:tc>
          <w:tcPr>
            <w:tcW w:w="1314" w:type="dxa"/>
            <w:tcBorders>
              <w:top w:val="double" w:sz="6" w:space="0" w:color="000000"/>
              <w:bottom w:val="double" w:sz="6" w:space="0" w:color="000000"/>
            </w:tcBorders>
          </w:tcPr>
          <w:p>
            <w:pPr>
              <w:pStyle w:val="TableParagraph"/>
              <w:spacing w:line="209" w:lineRule="exact" w:before="40"/>
              <w:ind w:left="235" w:right="86"/>
              <w:jc w:val="center"/>
              <w:rPr>
                <w:sz w:val="20"/>
              </w:rPr>
            </w:pPr>
            <w:r>
              <w:rPr>
                <w:spacing w:val="-2"/>
                <w:sz w:val="20"/>
              </w:rPr>
              <w:t>Coefficient</w:t>
            </w:r>
          </w:p>
        </w:tc>
        <w:tc>
          <w:tcPr>
            <w:tcW w:w="1458" w:type="dxa"/>
            <w:tcBorders>
              <w:top w:val="double" w:sz="6" w:space="0" w:color="000000"/>
              <w:bottom w:val="double" w:sz="6" w:space="0" w:color="000000"/>
            </w:tcBorders>
          </w:tcPr>
          <w:p>
            <w:pPr>
              <w:pStyle w:val="TableParagraph"/>
              <w:spacing w:line="209" w:lineRule="exact" w:before="40"/>
              <w:ind w:left="272"/>
              <w:rPr>
                <w:sz w:val="20"/>
              </w:rPr>
            </w:pPr>
            <w:r>
              <w:rPr>
                <w:sz w:val="20"/>
              </w:rPr>
              <w:t>Std.</w:t>
            </w:r>
            <w:r>
              <w:rPr>
                <w:spacing w:val="-4"/>
                <w:sz w:val="20"/>
              </w:rPr>
              <w:t> </w:t>
            </w:r>
            <w:r>
              <w:rPr>
                <w:spacing w:val="-2"/>
                <w:sz w:val="20"/>
              </w:rPr>
              <w:t>Error</w:t>
            </w:r>
          </w:p>
        </w:tc>
        <w:tc>
          <w:tcPr>
            <w:tcW w:w="910" w:type="dxa"/>
            <w:tcBorders>
              <w:top w:val="double" w:sz="6" w:space="0" w:color="000000"/>
              <w:bottom w:val="double" w:sz="6" w:space="0" w:color="000000"/>
            </w:tcBorders>
          </w:tcPr>
          <w:p>
            <w:pPr>
              <w:pStyle w:val="TableParagraph"/>
              <w:spacing w:line="209" w:lineRule="exact" w:before="40"/>
              <w:ind w:right="81"/>
              <w:jc w:val="center"/>
              <w:rPr>
                <w:sz w:val="20"/>
              </w:rPr>
            </w:pPr>
            <w:r>
              <w:rPr>
                <w:spacing w:val="-4"/>
                <w:sz w:val="20"/>
              </w:rPr>
              <w:t>t-</w:t>
            </w:r>
            <w:r>
              <w:rPr>
                <w:spacing w:val="-2"/>
                <w:sz w:val="20"/>
              </w:rPr>
              <w:t>Statistic</w:t>
            </w:r>
          </w:p>
        </w:tc>
        <w:tc>
          <w:tcPr>
            <w:tcW w:w="895" w:type="dxa"/>
            <w:tcBorders>
              <w:top w:val="double" w:sz="6" w:space="0" w:color="000000"/>
              <w:bottom w:val="double" w:sz="6" w:space="0" w:color="000000"/>
            </w:tcBorders>
          </w:tcPr>
          <w:p>
            <w:pPr>
              <w:pStyle w:val="TableParagraph"/>
              <w:spacing w:line="209" w:lineRule="exact" w:before="40"/>
              <w:ind w:right="29"/>
              <w:jc w:val="right"/>
              <w:rPr>
                <w:sz w:val="20"/>
              </w:rPr>
            </w:pPr>
            <w:r>
              <w:rPr>
                <w:spacing w:val="-2"/>
                <w:sz w:val="20"/>
              </w:rPr>
              <w:t>Prob.</w:t>
            </w:r>
          </w:p>
        </w:tc>
      </w:tr>
      <w:tr>
        <w:trPr>
          <w:trHeight w:val="276" w:hRule="atLeast"/>
        </w:trPr>
        <w:tc>
          <w:tcPr>
            <w:tcW w:w="1911" w:type="dxa"/>
            <w:tcBorders>
              <w:top w:val="double" w:sz="6" w:space="0" w:color="000000"/>
            </w:tcBorders>
          </w:tcPr>
          <w:p>
            <w:pPr>
              <w:pStyle w:val="TableParagraph"/>
              <w:spacing w:line="214" w:lineRule="exact" w:before="42"/>
              <w:ind w:left="134" w:right="1"/>
              <w:jc w:val="center"/>
              <w:rPr>
                <w:sz w:val="20"/>
              </w:rPr>
            </w:pPr>
            <w:r>
              <w:rPr>
                <w:spacing w:val="-10"/>
                <w:sz w:val="20"/>
              </w:rPr>
              <w:t>C</w:t>
            </w:r>
          </w:p>
        </w:tc>
        <w:tc>
          <w:tcPr>
            <w:tcW w:w="1314" w:type="dxa"/>
            <w:tcBorders>
              <w:top w:val="double" w:sz="6" w:space="0" w:color="000000"/>
            </w:tcBorders>
          </w:tcPr>
          <w:p>
            <w:pPr>
              <w:pStyle w:val="TableParagraph"/>
              <w:spacing w:line="214" w:lineRule="exact" w:before="42"/>
              <w:ind w:left="300"/>
              <w:jc w:val="center"/>
              <w:rPr>
                <w:sz w:val="20"/>
              </w:rPr>
            </w:pPr>
            <w:r>
              <w:rPr>
                <w:spacing w:val="-2"/>
                <w:sz w:val="20"/>
              </w:rPr>
              <w:t>3.649664</w:t>
            </w:r>
          </w:p>
        </w:tc>
        <w:tc>
          <w:tcPr>
            <w:tcW w:w="1458" w:type="dxa"/>
            <w:tcBorders>
              <w:top w:val="double" w:sz="6" w:space="0" w:color="000000"/>
            </w:tcBorders>
          </w:tcPr>
          <w:p>
            <w:pPr>
              <w:pStyle w:val="TableParagraph"/>
              <w:spacing w:line="214" w:lineRule="exact" w:before="42"/>
              <w:ind w:left="311"/>
              <w:rPr>
                <w:sz w:val="20"/>
              </w:rPr>
            </w:pPr>
            <w:r>
              <w:rPr>
                <w:spacing w:val="-2"/>
                <w:sz w:val="20"/>
              </w:rPr>
              <w:t>0.726748</w:t>
            </w:r>
          </w:p>
        </w:tc>
        <w:tc>
          <w:tcPr>
            <w:tcW w:w="910" w:type="dxa"/>
            <w:tcBorders>
              <w:top w:val="double" w:sz="6" w:space="0" w:color="000000"/>
            </w:tcBorders>
          </w:tcPr>
          <w:p>
            <w:pPr>
              <w:pStyle w:val="TableParagraph"/>
              <w:spacing w:line="214" w:lineRule="exact" w:before="42"/>
              <w:ind w:left="17" w:right="81"/>
              <w:jc w:val="center"/>
              <w:rPr>
                <w:sz w:val="20"/>
              </w:rPr>
            </w:pPr>
            <w:r>
              <w:rPr>
                <w:spacing w:val="-2"/>
                <w:sz w:val="20"/>
              </w:rPr>
              <w:t>5.021913</w:t>
            </w:r>
          </w:p>
        </w:tc>
        <w:tc>
          <w:tcPr>
            <w:tcW w:w="895" w:type="dxa"/>
            <w:tcBorders>
              <w:top w:val="double" w:sz="6" w:space="0" w:color="000000"/>
            </w:tcBorders>
          </w:tcPr>
          <w:p>
            <w:pPr>
              <w:pStyle w:val="TableParagraph"/>
              <w:spacing w:line="214" w:lineRule="exact" w:before="42"/>
              <w:ind w:right="28"/>
              <w:jc w:val="right"/>
              <w:rPr>
                <w:sz w:val="20"/>
              </w:rPr>
            </w:pPr>
            <w:r>
              <w:rPr>
                <w:spacing w:val="-2"/>
                <w:sz w:val="20"/>
              </w:rPr>
              <w:t>0.0001</w:t>
            </w:r>
          </w:p>
        </w:tc>
      </w:tr>
      <w:tr>
        <w:trPr>
          <w:trHeight w:val="229" w:hRule="atLeast"/>
        </w:trPr>
        <w:tc>
          <w:tcPr>
            <w:tcW w:w="1911" w:type="dxa"/>
          </w:tcPr>
          <w:p>
            <w:pPr>
              <w:pStyle w:val="TableParagraph"/>
              <w:spacing w:line="210" w:lineRule="exact"/>
              <w:ind w:left="566"/>
              <w:rPr>
                <w:sz w:val="20"/>
              </w:rPr>
            </w:pPr>
            <w:r>
              <w:rPr>
                <w:spacing w:val="-2"/>
                <w:sz w:val="20"/>
              </w:rPr>
              <w:t>EXTDEBT</w:t>
            </w:r>
          </w:p>
        </w:tc>
        <w:tc>
          <w:tcPr>
            <w:tcW w:w="1314" w:type="dxa"/>
          </w:tcPr>
          <w:p>
            <w:pPr>
              <w:pStyle w:val="TableParagraph"/>
              <w:spacing w:line="210" w:lineRule="exact"/>
              <w:ind w:left="300"/>
              <w:jc w:val="center"/>
              <w:rPr>
                <w:sz w:val="20"/>
              </w:rPr>
            </w:pPr>
            <w:r>
              <w:rPr>
                <w:spacing w:val="-2"/>
                <w:sz w:val="20"/>
              </w:rPr>
              <w:t>0.055595</w:t>
            </w:r>
          </w:p>
        </w:tc>
        <w:tc>
          <w:tcPr>
            <w:tcW w:w="1458" w:type="dxa"/>
          </w:tcPr>
          <w:p>
            <w:pPr>
              <w:pStyle w:val="TableParagraph"/>
              <w:spacing w:line="210" w:lineRule="exact"/>
              <w:ind w:left="311"/>
              <w:rPr>
                <w:sz w:val="20"/>
              </w:rPr>
            </w:pPr>
            <w:r>
              <w:rPr>
                <w:spacing w:val="-2"/>
                <w:sz w:val="20"/>
              </w:rPr>
              <w:t>0.052201</w:t>
            </w:r>
          </w:p>
        </w:tc>
        <w:tc>
          <w:tcPr>
            <w:tcW w:w="910" w:type="dxa"/>
          </w:tcPr>
          <w:p>
            <w:pPr>
              <w:pStyle w:val="TableParagraph"/>
              <w:spacing w:line="210" w:lineRule="exact"/>
              <w:ind w:left="17" w:right="81"/>
              <w:jc w:val="center"/>
              <w:rPr>
                <w:sz w:val="20"/>
              </w:rPr>
            </w:pPr>
            <w:r>
              <w:rPr>
                <w:spacing w:val="-2"/>
                <w:sz w:val="20"/>
              </w:rPr>
              <w:t>1.065012</w:t>
            </w:r>
          </w:p>
        </w:tc>
        <w:tc>
          <w:tcPr>
            <w:tcW w:w="895" w:type="dxa"/>
          </w:tcPr>
          <w:p>
            <w:pPr>
              <w:pStyle w:val="TableParagraph"/>
              <w:spacing w:line="210" w:lineRule="exact"/>
              <w:ind w:right="28"/>
              <w:jc w:val="right"/>
              <w:rPr>
                <w:sz w:val="20"/>
              </w:rPr>
            </w:pPr>
            <w:r>
              <w:rPr>
                <w:spacing w:val="-2"/>
                <w:sz w:val="20"/>
              </w:rPr>
              <w:t>0.2996</w:t>
            </w:r>
          </w:p>
        </w:tc>
      </w:tr>
      <w:tr>
        <w:trPr>
          <w:trHeight w:val="230" w:hRule="atLeast"/>
        </w:trPr>
        <w:tc>
          <w:tcPr>
            <w:tcW w:w="1911" w:type="dxa"/>
          </w:tcPr>
          <w:p>
            <w:pPr>
              <w:pStyle w:val="TableParagraph"/>
              <w:spacing w:line="210" w:lineRule="exact"/>
              <w:ind w:left="134"/>
              <w:jc w:val="center"/>
              <w:rPr>
                <w:sz w:val="20"/>
              </w:rPr>
            </w:pPr>
            <w:r>
              <w:rPr>
                <w:spacing w:val="-5"/>
                <w:sz w:val="20"/>
              </w:rPr>
              <w:t>DFI</w:t>
            </w:r>
          </w:p>
        </w:tc>
        <w:tc>
          <w:tcPr>
            <w:tcW w:w="1314" w:type="dxa"/>
          </w:tcPr>
          <w:p>
            <w:pPr>
              <w:pStyle w:val="TableParagraph"/>
              <w:spacing w:line="210" w:lineRule="exact"/>
              <w:ind w:left="300"/>
              <w:jc w:val="center"/>
              <w:rPr>
                <w:sz w:val="20"/>
              </w:rPr>
            </w:pPr>
            <w:r>
              <w:rPr>
                <w:spacing w:val="-2"/>
                <w:sz w:val="20"/>
              </w:rPr>
              <w:t>0.478791</w:t>
            </w:r>
          </w:p>
        </w:tc>
        <w:tc>
          <w:tcPr>
            <w:tcW w:w="1458" w:type="dxa"/>
          </w:tcPr>
          <w:p>
            <w:pPr>
              <w:pStyle w:val="TableParagraph"/>
              <w:spacing w:line="210" w:lineRule="exact"/>
              <w:ind w:left="311"/>
              <w:rPr>
                <w:sz w:val="20"/>
              </w:rPr>
            </w:pPr>
            <w:r>
              <w:rPr>
                <w:spacing w:val="-2"/>
                <w:sz w:val="20"/>
              </w:rPr>
              <w:t>0.071877</w:t>
            </w:r>
          </w:p>
        </w:tc>
        <w:tc>
          <w:tcPr>
            <w:tcW w:w="910" w:type="dxa"/>
          </w:tcPr>
          <w:p>
            <w:pPr>
              <w:pStyle w:val="TableParagraph"/>
              <w:spacing w:line="210" w:lineRule="exact"/>
              <w:ind w:left="17" w:right="81"/>
              <w:jc w:val="center"/>
              <w:rPr>
                <w:sz w:val="20"/>
              </w:rPr>
            </w:pPr>
            <w:r>
              <w:rPr>
                <w:spacing w:val="-2"/>
                <w:sz w:val="20"/>
              </w:rPr>
              <w:t>6.661275</w:t>
            </w:r>
          </w:p>
        </w:tc>
        <w:tc>
          <w:tcPr>
            <w:tcW w:w="895" w:type="dxa"/>
          </w:tcPr>
          <w:p>
            <w:pPr>
              <w:pStyle w:val="TableParagraph"/>
              <w:spacing w:line="210" w:lineRule="exact"/>
              <w:ind w:right="28"/>
              <w:jc w:val="right"/>
              <w:rPr>
                <w:sz w:val="20"/>
              </w:rPr>
            </w:pPr>
            <w:r>
              <w:rPr>
                <w:spacing w:val="-2"/>
                <w:sz w:val="20"/>
              </w:rPr>
              <w:t>0.0000</w:t>
            </w:r>
          </w:p>
        </w:tc>
      </w:tr>
      <w:tr>
        <w:trPr>
          <w:trHeight w:val="230" w:hRule="atLeast"/>
        </w:trPr>
        <w:tc>
          <w:tcPr>
            <w:tcW w:w="1911" w:type="dxa"/>
          </w:tcPr>
          <w:p>
            <w:pPr>
              <w:pStyle w:val="TableParagraph"/>
              <w:spacing w:line="210" w:lineRule="exact"/>
              <w:ind w:left="134" w:right="4"/>
              <w:jc w:val="center"/>
              <w:rPr>
                <w:sz w:val="20"/>
              </w:rPr>
            </w:pPr>
            <w:r>
              <w:rPr>
                <w:spacing w:val="-5"/>
                <w:sz w:val="20"/>
              </w:rPr>
              <w:t>CAB</w:t>
            </w:r>
          </w:p>
        </w:tc>
        <w:tc>
          <w:tcPr>
            <w:tcW w:w="1314" w:type="dxa"/>
          </w:tcPr>
          <w:p>
            <w:pPr>
              <w:pStyle w:val="TableParagraph"/>
              <w:spacing w:line="210" w:lineRule="exact"/>
              <w:ind w:left="300"/>
              <w:jc w:val="center"/>
              <w:rPr>
                <w:sz w:val="20"/>
              </w:rPr>
            </w:pPr>
            <w:r>
              <w:rPr>
                <w:spacing w:val="-2"/>
                <w:sz w:val="20"/>
              </w:rPr>
              <w:t>0.317518</w:t>
            </w:r>
          </w:p>
        </w:tc>
        <w:tc>
          <w:tcPr>
            <w:tcW w:w="1458" w:type="dxa"/>
          </w:tcPr>
          <w:p>
            <w:pPr>
              <w:pStyle w:val="TableParagraph"/>
              <w:spacing w:line="210" w:lineRule="exact"/>
              <w:ind w:left="311"/>
              <w:rPr>
                <w:sz w:val="20"/>
              </w:rPr>
            </w:pPr>
            <w:r>
              <w:rPr>
                <w:spacing w:val="-2"/>
                <w:sz w:val="20"/>
              </w:rPr>
              <w:t>0.076944</w:t>
            </w:r>
          </w:p>
        </w:tc>
        <w:tc>
          <w:tcPr>
            <w:tcW w:w="910" w:type="dxa"/>
          </w:tcPr>
          <w:p>
            <w:pPr>
              <w:pStyle w:val="TableParagraph"/>
              <w:spacing w:line="210" w:lineRule="exact"/>
              <w:ind w:left="17" w:right="81"/>
              <w:jc w:val="center"/>
              <w:rPr>
                <w:sz w:val="20"/>
              </w:rPr>
            </w:pPr>
            <w:r>
              <w:rPr>
                <w:spacing w:val="-2"/>
                <w:sz w:val="20"/>
              </w:rPr>
              <w:t>4.126601</w:t>
            </w:r>
          </w:p>
        </w:tc>
        <w:tc>
          <w:tcPr>
            <w:tcW w:w="895" w:type="dxa"/>
          </w:tcPr>
          <w:p>
            <w:pPr>
              <w:pStyle w:val="TableParagraph"/>
              <w:spacing w:line="210" w:lineRule="exact"/>
              <w:ind w:right="28"/>
              <w:jc w:val="right"/>
              <w:rPr>
                <w:sz w:val="20"/>
              </w:rPr>
            </w:pPr>
            <w:r>
              <w:rPr>
                <w:spacing w:val="-2"/>
                <w:sz w:val="20"/>
              </w:rPr>
              <w:t>0.0005</w:t>
            </w:r>
          </w:p>
        </w:tc>
      </w:tr>
      <w:tr>
        <w:trPr>
          <w:trHeight w:val="224" w:hRule="atLeast"/>
        </w:trPr>
        <w:tc>
          <w:tcPr>
            <w:tcW w:w="1911" w:type="dxa"/>
            <w:tcBorders>
              <w:bottom w:val="double" w:sz="6" w:space="0" w:color="000000"/>
            </w:tcBorders>
          </w:tcPr>
          <w:p>
            <w:pPr>
              <w:pStyle w:val="TableParagraph"/>
              <w:spacing w:line="205" w:lineRule="exact"/>
              <w:ind w:left="134" w:right="4"/>
              <w:jc w:val="center"/>
              <w:rPr>
                <w:sz w:val="20"/>
              </w:rPr>
            </w:pPr>
            <w:r>
              <w:rPr>
                <w:spacing w:val="-5"/>
                <w:sz w:val="20"/>
              </w:rPr>
              <w:t>RES</w:t>
            </w:r>
          </w:p>
        </w:tc>
        <w:tc>
          <w:tcPr>
            <w:tcW w:w="1314" w:type="dxa"/>
            <w:tcBorders>
              <w:bottom w:val="double" w:sz="6" w:space="0" w:color="000000"/>
            </w:tcBorders>
          </w:tcPr>
          <w:p>
            <w:pPr>
              <w:pStyle w:val="TableParagraph"/>
              <w:spacing w:line="205" w:lineRule="exact"/>
              <w:ind w:left="300"/>
              <w:jc w:val="center"/>
              <w:rPr>
                <w:sz w:val="20"/>
              </w:rPr>
            </w:pPr>
            <w:r>
              <w:rPr>
                <w:spacing w:val="-2"/>
                <w:sz w:val="20"/>
              </w:rPr>
              <w:t>0.095994</w:t>
            </w:r>
          </w:p>
        </w:tc>
        <w:tc>
          <w:tcPr>
            <w:tcW w:w="1458" w:type="dxa"/>
            <w:tcBorders>
              <w:bottom w:val="double" w:sz="6" w:space="0" w:color="000000"/>
            </w:tcBorders>
          </w:tcPr>
          <w:p>
            <w:pPr>
              <w:pStyle w:val="TableParagraph"/>
              <w:spacing w:line="205" w:lineRule="exact"/>
              <w:ind w:left="311"/>
              <w:rPr>
                <w:sz w:val="20"/>
              </w:rPr>
            </w:pPr>
            <w:r>
              <w:rPr>
                <w:spacing w:val="-2"/>
                <w:sz w:val="20"/>
              </w:rPr>
              <w:t>0.080604</w:t>
            </w:r>
          </w:p>
        </w:tc>
        <w:tc>
          <w:tcPr>
            <w:tcW w:w="910" w:type="dxa"/>
            <w:tcBorders>
              <w:bottom w:val="double" w:sz="6" w:space="0" w:color="000000"/>
            </w:tcBorders>
          </w:tcPr>
          <w:p>
            <w:pPr>
              <w:pStyle w:val="TableParagraph"/>
              <w:spacing w:line="205" w:lineRule="exact"/>
              <w:ind w:left="17" w:right="81"/>
              <w:jc w:val="center"/>
              <w:rPr>
                <w:sz w:val="20"/>
              </w:rPr>
            </w:pPr>
            <w:r>
              <w:rPr>
                <w:spacing w:val="-2"/>
                <w:sz w:val="20"/>
              </w:rPr>
              <w:t>1.190937</w:t>
            </w:r>
          </w:p>
        </w:tc>
        <w:tc>
          <w:tcPr>
            <w:tcW w:w="895" w:type="dxa"/>
            <w:tcBorders>
              <w:bottom w:val="double" w:sz="6" w:space="0" w:color="000000"/>
            </w:tcBorders>
          </w:tcPr>
          <w:p>
            <w:pPr>
              <w:pStyle w:val="TableParagraph"/>
              <w:spacing w:line="205" w:lineRule="exact"/>
              <w:ind w:right="28"/>
              <w:jc w:val="right"/>
              <w:rPr>
                <w:sz w:val="20"/>
              </w:rPr>
            </w:pPr>
            <w:r>
              <w:rPr>
                <w:spacing w:val="-2"/>
                <w:sz w:val="20"/>
              </w:rPr>
              <w:t>0.2476</w:t>
            </w:r>
          </w:p>
        </w:tc>
      </w:tr>
      <w:tr>
        <w:trPr>
          <w:trHeight w:val="275" w:hRule="atLeast"/>
        </w:trPr>
        <w:tc>
          <w:tcPr>
            <w:tcW w:w="1911" w:type="dxa"/>
            <w:tcBorders>
              <w:top w:val="double" w:sz="6" w:space="0" w:color="000000"/>
            </w:tcBorders>
          </w:tcPr>
          <w:p>
            <w:pPr>
              <w:pStyle w:val="TableParagraph"/>
              <w:spacing w:line="215" w:lineRule="exact" w:before="40"/>
              <w:ind w:left="35"/>
              <w:rPr>
                <w:sz w:val="20"/>
              </w:rPr>
            </w:pPr>
            <w:r>
              <w:rPr>
                <w:spacing w:val="-2"/>
                <w:sz w:val="20"/>
              </w:rPr>
              <w:t>R-squared</w:t>
            </w:r>
          </w:p>
        </w:tc>
        <w:tc>
          <w:tcPr>
            <w:tcW w:w="1314" w:type="dxa"/>
            <w:tcBorders>
              <w:top w:val="double" w:sz="6" w:space="0" w:color="000000"/>
            </w:tcBorders>
          </w:tcPr>
          <w:p>
            <w:pPr>
              <w:pStyle w:val="TableParagraph"/>
              <w:spacing w:line="215" w:lineRule="exact" w:before="40"/>
              <w:ind w:left="300"/>
              <w:jc w:val="center"/>
              <w:rPr>
                <w:sz w:val="20"/>
              </w:rPr>
            </w:pPr>
            <w:r>
              <w:rPr>
                <w:spacing w:val="-2"/>
                <w:sz w:val="20"/>
              </w:rPr>
              <w:t>0.959437</w:t>
            </w:r>
          </w:p>
        </w:tc>
        <w:tc>
          <w:tcPr>
            <w:tcW w:w="2368" w:type="dxa"/>
            <w:gridSpan w:val="2"/>
            <w:tcBorders>
              <w:top w:val="double" w:sz="6" w:space="0" w:color="000000"/>
            </w:tcBorders>
          </w:tcPr>
          <w:p>
            <w:pPr>
              <w:pStyle w:val="TableParagraph"/>
              <w:spacing w:line="215" w:lineRule="exact" w:before="40"/>
              <w:ind w:left="131"/>
              <w:rPr>
                <w:sz w:val="20"/>
              </w:rPr>
            </w:pPr>
            <w:r>
              <w:rPr>
                <w:sz w:val="20"/>
              </w:rPr>
              <w:t>Mean</w:t>
            </w:r>
            <w:r>
              <w:rPr>
                <w:spacing w:val="-7"/>
                <w:sz w:val="20"/>
              </w:rPr>
              <w:t> </w:t>
            </w:r>
            <w:r>
              <w:rPr>
                <w:sz w:val="20"/>
              </w:rPr>
              <w:t>dependent</w:t>
            </w:r>
            <w:r>
              <w:rPr>
                <w:spacing w:val="-7"/>
                <w:sz w:val="20"/>
              </w:rPr>
              <w:t> </w:t>
            </w:r>
            <w:r>
              <w:rPr>
                <w:spacing w:val="-5"/>
                <w:sz w:val="20"/>
              </w:rPr>
              <w:t>var</w:t>
            </w:r>
          </w:p>
        </w:tc>
        <w:tc>
          <w:tcPr>
            <w:tcW w:w="895" w:type="dxa"/>
            <w:tcBorders>
              <w:top w:val="double" w:sz="6" w:space="0" w:color="000000"/>
            </w:tcBorders>
          </w:tcPr>
          <w:p>
            <w:pPr>
              <w:pStyle w:val="TableParagraph"/>
              <w:spacing w:line="215" w:lineRule="exact" w:before="40"/>
              <w:ind w:right="28"/>
              <w:jc w:val="right"/>
              <w:rPr>
                <w:sz w:val="20"/>
              </w:rPr>
            </w:pPr>
            <w:r>
              <w:rPr>
                <w:spacing w:val="-2"/>
                <w:sz w:val="20"/>
              </w:rPr>
              <w:t>14.90560</w:t>
            </w:r>
          </w:p>
        </w:tc>
      </w:tr>
      <w:tr>
        <w:trPr>
          <w:trHeight w:val="230" w:hRule="atLeast"/>
        </w:trPr>
        <w:tc>
          <w:tcPr>
            <w:tcW w:w="1911" w:type="dxa"/>
          </w:tcPr>
          <w:p>
            <w:pPr>
              <w:pStyle w:val="TableParagraph"/>
              <w:spacing w:line="210" w:lineRule="exact"/>
              <w:ind w:left="35"/>
              <w:rPr>
                <w:sz w:val="20"/>
              </w:rPr>
            </w:pPr>
            <w:r>
              <w:rPr>
                <w:sz w:val="20"/>
              </w:rPr>
              <w:t>Adjusted</w:t>
            </w:r>
            <w:r>
              <w:rPr>
                <w:spacing w:val="-10"/>
                <w:sz w:val="20"/>
              </w:rPr>
              <w:t> </w:t>
            </w:r>
            <w:r>
              <w:rPr>
                <w:sz w:val="20"/>
              </w:rPr>
              <w:t>R-</w:t>
            </w:r>
            <w:r>
              <w:rPr>
                <w:spacing w:val="-2"/>
                <w:sz w:val="20"/>
              </w:rPr>
              <w:t>squared</w:t>
            </w:r>
          </w:p>
        </w:tc>
        <w:tc>
          <w:tcPr>
            <w:tcW w:w="1314" w:type="dxa"/>
          </w:tcPr>
          <w:p>
            <w:pPr>
              <w:pStyle w:val="TableParagraph"/>
              <w:spacing w:line="210" w:lineRule="exact"/>
              <w:ind w:left="300"/>
              <w:jc w:val="center"/>
              <w:rPr>
                <w:sz w:val="20"/>
              </w:rPr>
            </w:pPr>
            <w:r>
              <w:rPr>
                <w:spacing w:val="-2"/>
                <w:sz w:val="20"/>
              </w:rPr>
              <w:t>0.951324</w:t>
            </w:r>
          </w:p>
        </w:tc>
        <w:tc>
          <w:tcPr>
            <w:tcW w:w="2368" w:type="dxa"/>
            <w:gridSpan w:val="2"/>
          </w:tcPr>
          <w:p>
            <w:pPr>
              <w:pStyle w:val="TableParagraph"/>
              <w:spacing w:line="210" w:lineRule="exact"/>
              <w:ind w:left="131"/>
              <w:rPr>
                <w:sz w:val="20"/>
              </w:rPr>
            </w:pPr>
            <w:r>
              <w:rPr>
                <w:sz w:val="20"/>
              </w:rPr>
              <w:t>S.D.</w:t>
            </w:r>
            <w:r>
              <w:rPr>
                <w:spacing w:val="-5"/>
                <w:sz w:val="20"/>
              </w:rPr>
              <w:t> </w:t>
            </w:r>
            <w:r>
              <w:rPr>
                <w:sz w:val="20"/>
              </w:rPr>
              <w:t>dependent</w:t>
            </w:r>
            <w:r>
              <w:rPr>
                <w:spacing w:val="-6"/>
                <w:sz w:val="20"/>
              </w:rPr>
              <w:t> </w:t>
            </w:r>
            <w:r>
              <w:rPr>
                <w:spacing w:val="-5"/>
                <w:sz w:val="20"/>
              </w:rPr>
              <w:t>var</w:t>
            </w:r>
          </w:p>
        </w:tc>
        <w:tc>
          <w:tcPr>
            <w:tcW w:w="895" w:type="dxa"/>
          </w:tcPr>
          <w:p>
            <w:pPr>
              <w:pStyle w:val="TableParagraph"/>
              <w:spacing w:line="210" w:lineRule="exact"/>
              <w:ind w:right="28"/>
              <w:jc w:val="right"/>
              <w:rPr>
                <w:sz w:val="20"/>
              </w:rPr>
            </w:pPr>
            <w:r>
              <w:rPr>
                <w:spacing w:val="-2"/>
                <w:sz w:val="20"/>
              </w:rPr>
              <w:t>1.825435</w:t>
            </w:r>
          </w:p>
        </w:tc>
      </w:tr>
      <w:tr>
        <w:trPr>
          <w:trHeight w:val="230" w:hRule="atLeast"/>
        </w:trPr>
        <w:tc>
          <w:tcPr>
            <w:tcW w:w="1911" w:type="dxa"/>
          </w:tcPr>
          <w:p>
            <w:pPr>
              <w:pStyle w:val="TableParagraph"/>
              <w:spacing w:line="210" w:lineRule="exact"/>
              <w:ind w:left="35"/>
              <w:rPr>
                <w:sz w:val="20"/>
              </w:rPr>
            </w:pPr>
            <w:r>
              <w:rPr>
                <w:sz w:val="20"/>
              </w:rPr>
              <w:t>S.E.</w:t>
            </w:r>
            <w:r>
              <w:rPr>
                <w:spacing w:val="-3"/>
                <w:sz w:val="20"/>
              </w:rPr>
              <w:t> </w:t>
            </w:r>
            <w:r>
              <w:rPr>
                <w:sz w:val="20"/>
              </w:rPr>
              <w:t>of</w:t>
            </w:r>
            <w:r>
              <w:rPr>
                <w:spacing w:val="-3"/>
                <w:sz w:val="20"/>
              </w:rPr>
              <w:t> </w:t>
            </w:r>
            <w:r>
              <w:rPr>
                <w:spacing w:val="-2"/>
                <w:sz w:val="20"/>
              </w:rPr>
              <w:t>regression</w:t>
            </w:r>
          </w:p>
        </w:tc>
        <w:tc>
          <w:tcPr>
            <w:tcW w:w="1314" w:type="dxa"/>
          </w:tcPr>
          <w:p>
            <w:pPr>
              <w:pStyle w:val="TableParagraph"/>
              <w:spacing w:line="210" w:lineRule="exact"/>
              <w:ind w:left="300"/>
              <w:jc w:val="center"/>
              <w:rPr>
                <w:sz w:val="20"/>
              </w:rPr>
            </w:pPr>
            <w:r>
              <w:rPr>
                <w:spacing w:val="-2"/>
                <w:sz w:val="20"/>
              </w:rPr>
              <w:t>0.402739</w:t>
            </w:r>
          </w:p>
        </w:tc>
        <w:tc>
          <w:tcPr>
            <w:tcW w:w="2368" w:type="dxa"/>
            <w:gridSpan w:val="2"/>
          </w:tcPr>
          <w:p>
            <w:pPr>
              <w:pStyle w:val="TableParagraph"/>
              <w:spacing w:line="210" w:lineRule="exact"/>
              <w:ind w:left="131"/>
              <w:rPr>
                <w:sz w:val="20"/>
              </w:rPr>
            </w:pPr>
            <w:r>
              <w:rPr>
                <w:sz w:val="20"/>
              </w:rPr>
              <w:t>Akaike</w:t>
            </w:r>
            <w:r>
              <w:rPr>
                <w:spacing w:val="-8"/>
                <w:sz w:val="20"/>
              </w:rPr>
              <w:t> </w:t>
            </w:r>
            <w:r>
              <w:rPr>
                <w:sz w:val="20"/>
              </w:rPr>
              <w:t>info</w:t>
            </w:r>
            <w:r>
              <w:rPr>
                <w:spacing w:val="-7"/>
                <w:sz w:val="20"/>
              </w:rPr>
              <w:t> </w:t>
            </w:r>
            <w:r>
              <w:rPr>
                <w:spacing w:val="-2"/>
                <w:sz w:val="20"/>
              </w:rPr>
              <w:t>criterion</w:t>
            </w:r>
          </w:p>
        </w:tc>
        <w:tc>
          <w:tcPr>
            <w:tcW w:w="895" w:type="dxa"/>
          </w:tcPr>
          <w:p>
            <w:pPr>
              <w:pStyle w:val="TableParagraph"/>
              <w:spacing w:line="210" w:lineRule="exact"/>
              <w:ind w:right="28"/>
              <w:jc w:val="right"/>
              <w:rPr>
                <w:sz w:val="20"/>
              </w:rPr>
            </w:pPr>
            <w:r>
              <w:rPr>
                <w:spacing w:val="-2"/>
                <w:sz w:val="20"/>
              </w:rPr>
              <w:t>1.195801</w:t>
            </w:r>
          </w:p>
        </w:tc>
      </w:tr>
      <w:tr>
        <w:trPr>
          <w:trHeight w:val="229" w:hRule="atLeast"/>
        </w:trPr>
        <w:tc>
          <w:tcPr>
            <w:tcW w:w="1911" w:type="dxa"/>
          </w:tcPr>
          <w:p>
            <w:pPr>
              <w:pStyle w:val="TableParagraph"/>
              <w:spacing w:line="209" w:lineRule="exact"/>
              <w:ind w:left="35"/>
              <w:rPr>
                <w:sz w:val="20"/>
              </w:rPr>
            </w:pPr>
            <w:r>
              <w:rPr>
                <w:sz w:val="20"/>
              </w:rPr>
              <w:t>Sum</w:t>
            </w:r>
            <w:r>
              <w:rPr>
                <w:spacing w:val="-8"/>
                <w:sz w:val="20"/>
              </w:rPr>
              <w:t> </w:t>
            </w:r>
            <w:r>
              <w:rPr>
                <w:sz w:val="20"/>
              </w:rPr>
              <w:t>squared</w:t>
            </w:r>
            <w:r>
              <w:rPr>
                <w:spacing w:val="-4"/>
                <w:sz w:val="20"/>
              </w:rPr>
              <w:t> </w:t>
            </w:r>
            <w:r>
              <w:rPr>
                <w:spacing w:val="-2"/>
                <w:sz w:val="20"/>
              </w:rPr>
              <w:t>resid</w:t>
            </w:r>
          </w:p>
        </w:tc>
        <w:tc>
          <w:tcPr>
            <w:tcW w:w="1314" w:type="dxa"/>
          </w:tcPr>
          <w:p>
            <w:pPr>
              <w:pStyle w:val="TableParagraph"/>
              <w:spacing w:line="209" w:lineRule="exact"/>
              <w:ind w:left="300"/>
              <w:jc w:val="center"/>
              <w:rPr>
                <w:sz w:val="20"/>
              </w:rPr>
            </w:pPr>
            <w:r>
              <w:rPr>
                <w:spacing w:val="-2"/>
                <w:sz w:val="20"/>
              </w:rPr>
              <w:t>3.243975</w:t>
            </w:r>
          </w:p>
        </w:tc>
        <w:tc>
          <w:tcPr>
            <w:tcW w:w="2368" w:type="dxa"/>
            <w:gridSpan w:val="2"/>
          </w:tcPr>
          <w:p>
            <w:pPr>
              <w:pStyle w:val="TableParagraph"/>
              <w:spacing w:line="209" w:lineRule="exact"/>
              <w:ind w:left="131"/>
              <w:rPr>
                <w:sz w:val="20"/>
              </w:rPr>
            </w:pPr>
            <w:r>
              <w:rPr>
                <w:sz w:val="20"/>
              </w:rPr>
              <w:t>Schwarz</w:t>
            </w:r>
            <w:r>
              <w:rPr>
                <w:spacing w:val="-8"/>
                <w:sz w:val="20"/>
              </w:rPr>
              <w:t> </w:t>
            </w:r>
            <w:r>
              <w:rPr>
                <w:spacing w:val="-2"/>
                <w:sz w:val="20"/>
              </w:rPr>
              <w:t>criterion</w:t>
            </w:r>
          </w:p>
        </w:tc>
        <w:tc>
          <w:tcPr>
            <w:tcW w:w="895" w:type="dxa"/>
          </w:tcPr>
          <w:p>
            <w:pPr>
              <w:pStyle w:val="TableParagraph"/>
              <w:spacing w:line="209" w:lineRule="exact"/>
              <w:ind w:right="28"/>
              <w:jc w:val="right"/>
              <w:rPr>
                <w:sz w:val="20"/>
              </w:rPr>
            </w:pPr>
            <w:r>
              <w:rPr>
                <w:spacing w:val="-2"/>
                <w:sz w:val="20"/>
              </w:rPr>
              <w:t>1.439576</w:t>
            </w:r>
          </w:p>
        </w:tc>
      </w:tr>
      <w:tr>
        <w:trPr>
          <w:trHeight w:val="229" w:hRule="atLeast"/>
        </w:trPr>
        <w:tc>
          <w:tcPr>
            <w:tcW w:w="1911" w:type="dxa"/>
          </w:tcPr>
          <w:p>
            <w:pPr>
              <w:pStyle w:val="TableParagraph"/>
              <w:spacing w:line="209" w:lineRule="exact"/>
              <w:ind w:left="35"/>
              <w:rPr>
                <w:sz w:val="20"/>
              </w:rPr>
            </w:pPr>
            <w:r>
              <w:rPr>
                <w:sz w:val="20"/>
              </w:rPr>
              <w:t>Log</w:t>
            </w:r>
            <w:r>
              <w:rPr>
                <w:spacing w:val="-6"/>
                <w:sz w:val="20"/>
              </w:rPr>
              <w:t> </w:t>
            </w:r>
            <w:r>
              <w:rPr>
                <w:spacing w:val="-2"/>
                <w:sz w:val="20"/>
              </w:rPr>
              <w:t>likelihood</w:t>
            </w:r>
          </w:p>
        </w:tc>
        <w:tc>
          <w:tcPr>
            <w:tcW w:w="1314" w:type="dxa"/>
          </w:tcPr>
          <w:p>
            <w:pPr>
              <w:pStyle w:val="TableParagraph"/>
              <w:spacing w:line="209" w:lineRule="exact"/>
              <w:ind w:left="235"/>
              <w:jc w:val="center"/>
              <w:rPr>
                <w:sz w:val="20"/>
              </w:rPr>
            </w:pPr>
            <w:r>
              <w:rPr>
                <w:spacing w:val="-4"/>
                <w:sz w:val="20"/>
              </w:rPr>
              <w:t>-</w:t>
            </w:r>
            <w:r>
              <w:rPr>
                <w:spacing w:val="-2"/>
                <w:sz w:val="20"/>
              </w:rPr>
              <w:t>9.947507</w:t>
            </w:r>
          </w:p>
        </w:tc>
        <w:tc>
          <w:tcPr>
            <w:tcW w:w="1458" w:type="dxa"/>
          </w:tcPr>
          <w:p>
            <w:pPr>
              <w:pStyle w:val="TableParagraph"/>
              <w:spacing w:line="209" w:lineRule="exact"/>
              <w:ind w:left="131"/>
              <w:rPr>
                <w:sz w:val="20"/>
              </w:rPr>
            </w:pPr>
            <w:r>
              <w:rPr>
                <w:spacing w:val="-4"/>
                <w:sz w:val="20"/>
              </w:rPr>
              <w:t>F-</w:t>
            </w:r>
            <w:r>
              <w:rPr>
                <w:spacing w:val="-2"/>
                <w:sz w:val="20"/>
              </w:rPr>
              <w:t>statistic</w:t>
            </w:r>
          </w:p>
        </w:tc>
        <w:tc>
          <w:tcPr>
            <w:tcW w:w="910" w:type="dxa"/>
          </w:tcPr>
          <w:p>
            <w:pPr>
              <w:pStyle w:val="TableParagraph"/>
              <w:rPr>
                <w:sz w:val="16"/>
              </w:rPr>
            </w:pPr>
          </w:p>
        </w:tc>
        <w:tc>
          <w:tcPr>
            <w:tcW w:w="895" w:type="dxa"/>
          </w:tcPr>
          <w:p>
            <w:pPr>
              <w:pStyle w:val="TableParagraph"/>
              <w:spacing w:line="209" w:lineRule="exact"/>
              <w:ind w:right="28"/>
              <w:jc w:val="right"/>
              <w:rPr>
                <w:sz w:val="20"/>
              </w:rPr>
            </w:pPr>
            <w:r>
              <w:rPr>
                <w:spacing w:val="-2"/>
                <w:sz w:val="20"/>
              </w:rPr>
              <w:t>118.2641</w:t>
            </w:r>
          </w:p>
        </w:tc>
      </w:tr>
      <w:tr>
        <w:trPr>
          <w:trHeight w:val="267" w:hRule="atLeast"/>
        </w:trPr>
        <w:tc>
          <w:tcPr>
            <w:tcW w:w="1911" w:type="dxa"/>
            <w:tcBorders>
              <w:bottom w:val="double" w:sz="6" w:space="0" w:color="000000"/>
            </w:tcBorders>
          </w:tcPr>
          <w:p>
            <w:pPr>
              <w:pStyle w:val="TableParagraph"/>
              <w:spacing w:line="226" w:lineRule="exact"/>
              <w:ind w:left="35"/>
              <w:rPr>
                <w:sz w:val="20"/>
              </w:rPr>
            </w:pPr>
            <w:r>
              <w:rPr>
                <w:sz w:val="20"/>
              </w:rPr>
              <w:t>Durbin-Watson</w:t>
            </w:r>
            <w:r>
              <w:rPr>
                <w:spacing w:val="-12"/>
                <w:sz w:val="20"/>
              </w:rPr>
              <w:t> </w:t>
            </w:r>
            <w:r>
              <w:rPr>
                <w:spacing w:val="-4"/>
                <w:sz w:val="20"/>
              </w:rPr>
              <w:t>stat</w:t>
            </w:r>
          </w:p>
        </w:tc>
        <w:tc>
          <w:tcPr>
            <w:tcW w:w="1314" w:type="dxa"/>
          </w:tcPr>
          <w:p>
            <w:pPr>
              <w:pStyle w:val="TableParagraph"/>
              <w:spacing w:line="226" w:lineRule="exact"/>
              <w:ind w:left="300"/>
              <w:jc w:val="center"/>
              <w:rPr>
                <w:sz w:val="20"/>
              </w:rPr>
            </w:pPr>
            <w:r>
              <w:rPr>
                <w:spacing w:val="-2"/>
                <w:sz w:val="20"/>
              </w:rPr>
              <w:t>1.330589</w:t>
            </w:r>
          </w:p>
        </w:tc>
        <w:tc>
          <w:tcPr>
            <w:tcW w:w="1458" w:type="dxa"/>
            <w:tcBorders>
              <w:bottom w:val="double" w:sz="6" w:space="0" w:color="000000"/>
            </w:tcBorders>
          </w:tcPr>
          <w:p>
            <w:pPr>
              <w:pStyle w:val="TableParagraph"/>
              <w:spacing w:line="226" w:lineRule="exact"/>
              <w:ind w:left="131"/>
              <w:rPr>
                <w:sz w:val="20"/>
              </w:rPr>
            </w:pPr>
            <w:r>
              <w:rPr>
                <w:spacing w:val="-2"/>
                <w:sz w:val="20"/>
              </w:rPr>
              <w:t>Prob(F-statistic)</w:t>
            </w:r>
          </w:p>
        </w:tc>
        <w:tc>
          <w:tcPr>
            <w:tcW w:w="910" w:type="dxa"/>
            <w:tcBorders>
              <w:bottom w:val="single" w:sz="6" w:space="0" w:color="000000"/>
            </w:tcBorders>
          </w:tcPr>
          <w:p>
            <w:pPr>
              <w:pStyle w:val="TableParagraph"/>
              <w:rPr>
                <w:sz w:val="18"/>
              </w:rPr>
            </w:pPr>
          </w:p>
        </w:tc>
        <w:tc>
          <w:tcPr>
            <w:tcW w:w="895" w:type="dxa"/>
            <w:tcBorders>
              <w:bottom w:val="double" w:sz="6" w:space="0" w:color="000000"/>
            </w:tcBorders>
          </w:tcPr>
          <w:p>
            <w:pPr>
              <w:pStyle w:val="TableParagraph"/>
              <w:spacing w:line="226" w:lineRule="exact"/>
              <w:ind w:right="28"/>
              <w:jc w:val="right"/>
              <w:rPr>
                <w:sz w:val="20"/>
              </w:rPr>
            </w:pPr>
            <w:r>
              <w:rPr>
                <w:spacing w:val="-2"/>
                <w:sz w:val="20"/>
              </w:rPr>
              <w:t>0.000000</w:t>
            </w:r>
          </w:p>
        </w:tc>
      </w:tr>
    </w:tbl>
    <w:p>
      <w:pPr>
        <w:pStyle w:val="BodyText"/>
        <w:spacing w:before="11"/>
        <w:rPr>
          <w:sz w:val="20"/>
        </w:rPr>
      </w:pPr>
    </w:p>
    <w:p>
      <w:pPr>
        <w:spacing w:before="1"/>
        <w:ind w:left="771" w:right="0" w:firstLine="0"/>
        <w:jc w:val="left"/>
        <w:rPr>
          <w:sz w:val="20"/>
        </w:rPr>
      </w:pPr>
      <w:r>
        <w:rPr>
          <w:sz w:val="20"/>
        </w:rPr>
        <w:t>ECM</w:t>
      </w:r>
      <w:r>
        <w:rPr>
          <w:spacing w:val="-5"/>
          <w:sz w:val="20"/>
        </w:rPr>
        <w:t> </w:t>
      </w:r>
      <w:r>
        <w:rPr>
          <w:sz w:val="20"/>
        </w:rPr>
        <w:t>RESULT</w:t>
      </w:r>
      <w:r>
        <w:rPr>
          <w:spacing w:val="-3"/>
          <w:sz w:val="20"/>
        </w:rPr>
        <w:t> </w:t>
      </w:r>
      <w:r>
        <w:rPr>
          <w:sz w:val="20"/>
        </w:rPr>
        <w:t>FOR</w:t>
      </w:r>
      <w:r>
        <w:rPr>
          <w:spacing w:val="-7"/>
          <w:sz w:val="20"/>
        </w:rPr>
        <w:t> </w:t>
      </w:r>
      <w:r>
        <w:rPr>
          <w:sz w:val="20"/>
        </w:rPr>
        <w:t>MODEL</w:t>
      </w:r>
      <w:r>
        <w:rPr>
          <w:spacing w:val="-5"/>
          <w:sz w:val="20"/>
        </w:rPr>
        <w:t> 6A</w:t>
      </w:r>
    </w:p>
    <w:p>
      <w:pPr>
        <w:spacing w:before="0"/>
        <w:ind w:left="925" w:right="0" w:firstLine="0"/>
        <w:jc w:val="left"/>
        <w:rPr>
          <w:sz w:val="20"/>
        </w:rPr>
      </w:pPr>
      <w:r>
        <w:rPr>
          <w:sz w:val="20"/>
        </w:rPr>
        <w:t>Last</w:t>
      </w:r>
      <w:r>
        <w:rPr>
          <w:spacing w:val="-4"/>
          <w:sz w:val="20"/>
        </w:rPr>
        <w:t> </w:t>
      </w:r>
      <w:r>
        <w:rPr>
          <w:spacing w:val="-2"/>
          <w:sz w:val="20"/>
        </w:rPr>
        <w:t>updated:</w:t>
      </w:r>
    </w:p>
    <w:p>
      <w:pPr>
        <w:spacing w:after="0"/>
        <w:jc w:val="left"/>
        <w:rPr>
          <w:sz w:val="20"/>
        </w:rPr>
        <w:sectPr>
          <w:pgSz w:w="11910" w:h="16840"/>
          <w:pgMar w:header="0" w:footer="979" w:top="1360" w:bottom="1240" w:left="280" w:right="0"/>
        </w:sectPr>
      </w:pPr>
    </w:p>
    <w:tbl>
      <w:tblPr>
        <w:tblW w:w="0" w:type="auto"/>
        <w:jc w:val="left"/>
        <w:tblInd w:w="9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11"/>
      </w:tblGrid>
      <w:tr>
        <w:trPr>
          <w:trHeight w:val="455" w:hRule="atLeast"/>
        </w:trPr>
        <w:tc>
          <w:tcPr>
            <w:tcW w:w="1111" w:type="dxa"/>
          </w:tcPr>
          <w:p>
            <w:pPr>
              <w:pStyle w:val="TableParagraph"/>
              <w:spacing w:line="221" w:lineRule="exact"/>
              <w:ind w:left="55" w:right="50"/>
              <w:jc w:val="center"/>
              <w:rPr>
                <w:sz w:val="20"/>
              </w:rPr>
            </w:pPr>
            <w:r>
              <w:rPr>
                <w:sz w:val="20"/>
              </w:rPr>
              <w:t>02/17/14</w:t>
            </w:r>
            <w:r>
              <w:rPr>
                <w:spacing w:val="-5"/>
                <w:sz w:val="20"/>
              </w:rPr>
              <w:t> </w:t>
            </w:r>
            <w:r>
              <w:rPr>
                <w:spacing w:val="-10"/>
                <w:sz w:val="20"/>
              </w:rPr>
              <w:t>-</w:t>
            </w:r>
          </w:p>
          <w:p>
            <w:pPr>
              <w:pStyle w:val="TableParagraph"/>
              <w:spacing w:line="214" w:lineRule="exact" w:before="1"/>
              <w:ind w:left="55" w:right="53"/>
              <w:jc w:val="center"/>
              <w:rPr>
                <w:sz w:val="20"/>
              </w:rPr>
            </w:pPr>
            <w:r>
              <w:rPr>
                <w:spacing w:val="-2"/>
                <w:sz w:val="20"/>
              </w:rPr>
              <w:t>18:07</w:t>
            </w:r>
          </w:p>
        </w:tc>
      </w:tr>
      <w:tr>
        <w:trPr>
          <w:trHeight w:val="805" w:hRule="atLeast"/>
        </w:trPr>
        <w:tc>
          <w:tcPr>
            <w:tcW w:w="1111" w:type="dxa"/>
          </w:tcPr>
          <w:p>
            <w:pPr>
              <w:pStyle w:val="TableParagraph"/>
              <w:ind w:left="50" w:right="44" w:firstLine="108"/>
              <w:rPr>
                <w:sz w:val="20"/>
              </w:rPr>
            </w:pPr>
            <w:r>
              <w:rPr>
                <w:spacing w:val="-2"/>
                <w:sz w:val="20"/>
              </w:rPr>
              <w:t>Modified: </w:t>
            </w:r>
            <w:r>
              <w:rPr>
                <w:sz w:val="20"/>
              </w:rPr>
              <w:t>1987</w:t>
            </w:r>
            <w:r>
              <w:rPr>
                <w:spacing w:val="-4"/>
                <w:sz w:val="20"/>
              </w:rPr>
              <w:t> </w:t>
            </w:r>
            <w:r>
              <w:rPr>
                <w:sz w:val="20"/>
              </w:rPr>
              <w:t>2011</w:t>
            </w:r>
            <w:r>
              <w:rPr>
                <w:spacing w:val="-1"/>
                <w:sz w:val="20"/>
              </w:rPr>
              <w:t> </w:t>
            </w:r>
            <w:r>
              <w:rPr>
                <w:spacing w:val="-5"/>
                <w:sz w:val="20"/>
              </w:rPr>
              <w:t>//</w:t>
            </w:r>
          </w:p>
          <w:p>
            <w:pPr>
              <w:pStyle w:val="TableParagraph"/>
              <w:ind w:left="145"/>
              <w:rPr>
                <w:sz w:val="20"/>
              </w:rPr>
            </w:pPr>
            <w:r>
              <w:rPr>
                <w:spacing w:val="-2"/>
                <w:sz w:val="20"/>
              </w:rPr>
              <w:t>makeresid</w:t>
            </w:r>
          </w:p>
        </w:tc>
      </w:tr>
      <w:tr>
        <w:trPr>
          <w:trHeight w:val="345" w:hRule="atLeast"/>
        </w:trPr>
        <w:tc>
          <w:tcPr>
            <w:tcW w:w="1111" w:type="dxa"/>
          </w:tcPr>
          <w:p>
            <w:pPr>
              <w:pStyle w:val="TableParagraph"/>
              <w:spacing w:line="215" w:lineRule="exact" w:before="111"/>
              <w:ind w:left="55" w:right="1"/>
              <w:jc w:val="center"/>
              <w:rPr>
                <w:sz w:val="20"/>
              </w:rPr>
            </w:pPr>
            <w:r>
              <w:rPr>
                <w:spacing w:val="-2"/>
                <w:sz w:val="20"/>
              </w:rPr>
              <w:t>0.389977</w:t>
            </w:r>
          </w:p>
        </w:tc>
      </w:tr>
      <w:tr>
        <w:trPr>
          <w:trHeight w:val="229" w:hRule="atLeast"/>
        </w:trPr>
        <w:tc>
          <w:tcPr>
            <w:tcW w:w="1111" w:type="dxa"/>
          </w:tcPr>
          <w:p>
            <w:pPr>
              <w:pStyle w:val="TableParagraph"/>
              <w:spacing w:line="209" w:lineRule="exact"/>
              <w:ind w:left="55" w:right="1"/>
              <w:jc w:val="center"/>
              <w:rPr>
                <w:sz w:val="20"/>
              </w:rPr>
            </w:pPr>
            <w:r>
              <w:rPr>
                <w:spacing w:val="-2"/>
                <w:sz w:val="20"/>
              </w:rPr>
              <w:t>0.148484</w:t>
            </w:r>
          </w:p>
        </w:tc>
      </w:tr>
      <w:tr>
        <w:trPr>
          <w:trHeight w:val="229" w:hRule="atLeast"/>
        </w:trPr>
        <w:tc>
          <w:tcPr>
            <w:tcW w:w="1111" w:type="dxa"/>
          </w:tcPr>
          <w:p>
            <w:pPr>
              <w:pStyle w:val="TableParagraph"/>
              <w:spacing w:line="209" w:lineRule="exact"/>
              <w:ind w:left="55" w:right="54"/>
              <w:jc w:val="center"/>
              <w:rPr>
                <w:sz w:val="20"/>
              </w:rPr>
            </w:pPr>
            <w:r>
              <w:rPr>
                <w:spacing w:val="-4"/>
                <w:sz w:val="20"/>
              </w:rPr>
              <w:t>-</w:t>
            </w:r>
            <w:r>
              <w:rPr>
                <w:spacing w:val="-2"/>
                <w:sz w:val="20"/>
              </w:rPr>
              <w:t>0.318847</w:t>
            </w:r>
          </w:p>
        </w:tc>
      </w:tr>
      <w:tr>
        <w:trPr>
          <w:trHeight w:val="230" w:hRule="atLeast"/>
        </w:trPr>
        <w:tc>
          <w:tcPr>
            <w:tcW w:w="1111" w:type="dxa"/>
          </w:tcPr>
          <w:p>
            <w:pPr>
              <w:pStyle w:val="TableParagraph"/>
              <w:spacing w:line="210" w:lineRule="exact"/>
              <w:ind w:left="55" w:right="54"/>
              <w:jc w:val="center"/>
              <w:rPr>
                <w:sz w:val="20"/>
              </w:rPr>
            </w:pPr>
            <w:r>
              <w:rPr>
                <w:spacing w:val="-4"/>
                <w:sz w:val="20"/>
              </w:rPr>
              <w:t>-</w:t>
            </w:r>
            <w:r>
              <w:rPr>
                <w:spacing w:val="-2"/>
                <w:sz w:val="20"/>
              </w:rPr>
              <w:t>0.581594</w:t>
            </w:r>
          </w:p>
        </w:tc>
      </w:tr>
      <w:tr>
        <w:trPr>
          <w:trHeight w:val="230" w:hRule="atLeast"/>
        </w:trPr>
        <w:tc>
          <w:tcPr>
            <w:tcW w:w="1111" w:type="dxa"/>
          </w:tcPr>
          <w:p>
            <w:pPr>
              <w:pStyle w:val="TableParagraph"/>
              <w:spacing w:line="210" w:lineRule="exact"/>
              <w:ind w:left="55" w:right="54"/>
              <w:jc w:val="center"/>
              <w:rPr>
                <w:sz w:val="20"/>
              </w:rPr>
            </w:pPr>
            <w:r>
              <w:rPr>
                <w:spacing w:val="-4"/>
                <w:sz w:val="20"/>
              </w:rPr>
              <w:t>-</w:t>
            </w:r>
            <w:r>
              <w:rPr>
                <w:spacing w:val="-2"/>
                <w:sz w:val="20"/>
              </w:rPr>
              <w:t>0.010696</w:t>
            </w:r>
          </w:p>
        </w:tc>
      </w:tr>
      <w:tr>
        <w:trPr>
          <w:trHeight w:val="230" w:hRule="atLeast"/>
        </w:trPr>
        <w:tc>
          <w:tcPr>
            <w:tcW w:w="1111" w:type="dxa"/>
          </w:tcPr>
          <w:p>
            <w:pPr>
              <w:pStyle w:val="TableParagraph"/>
              <w:spacing w:line="210" w:lineRule="exact"/>
              <w:ind w:left="55" w:right="54"/>
              <w:jc w:val="center"/>
              <w:rPr>
                <w:sz w:val="20"/>
              </w:rPr>
            </w:pPr>
            <w:r>
              <w:rPr>
                <w:spacing w:val="-4"/>
                <w:sz w:val="20"/>
              </w:rPr>
              <w:t>-</w:t>
            </w:r>
            <w:r>
              <w:rPr>
                <w:spacing w:val="-2"/>
                <w:sz w:val="20"/>
              </w:rPr>
              <w:t>0.215419</w:t>
            </w:r>
          </w:p>
        </w:tc>
      </w:tr>
      <w:tr>
        <w:trPr>
          <w:trHeight w:val="230" w:hRule="atLeast"/>
        </w:trPr>
        <w:tc>
          <w:tcPr>
            <w:tcW w:w="1111" w:type="dxa"/>
          </w:tcPr>
          <w:p>
            <w:pPr>
              <w:pStyle w:val="TableParagraph"/>
              <w:spacing w:line="210" w:lineRule="exact"/>
              <w:ind w:left="55" w:right="54"/>
              <w:jc w:val="center"/>
              <w:rPr>
                <w:sz w:val="20"/>
              </w:rPr>
            </w:pPr>
            <w:r>
              <w:rPr>
                <w:spacing w:val="-4"/>
                <w:sz w:val="20"/>
              </w:rPr>
              <w:t>-</w:t>
            </w:r>
            <w:r>
              <w:rPr>
                <w:spacing w:val="-2"/>
                <w:sz w:val="20"/>
              </w:rPr>
              <w:t>0.340886</w:t>
            </w:r>
          </w:p>
        </w:tc>
      </w:tr>
      <w:tr>
        <w:trPr>
          <w:trHeight w:val="229" w:hRule="atLeast"/>
        </w:trPr>
        <w:tc>
          <w:tcPr>
            <w:tcW w:w="1111" w:type="dxa"/>
          </w:tcPr>
          <w:p>
            <w:pPr>
              <w:pStyle w:val="TableParagraph"/>
              <w:spacing w:line="209" w:lineRule="exact"/>
              <w:ind w:left="55" w:right="54"/>
              <w:jc w:val="center"/>
              <w:rPr>
                <w:sz w:val="20"/>
              </w:rPr>
            </w:pPr>
            <w:r>
              <w:rPr>
                <w:spacing w:val="-4"/>
                <w:sz w:val="20"/>
              </w:rPr>
              <w:t>-</w:t>
            </w:r>
            <w:r>
              <w:rPr>
                <w:spacing w:val="-2"/>
                <w:sz w:val="20"/>
              </w:rPr>
              <w:t>0.184664</w:t>
            </w:r>
          </w:p>
        </w:tc>
      </w:tr>
      <w:tr>
        <w:trPr>
          <w:trHeight w:val="229" w:hRule="atLeast"/>
        </w:trPr>
        <w:tc>
          <w:tcPr>
            <w:tcW w:w="1111" w:type="dxa"/>
          </w:tcPr>
          <w:p>
            <w:pPr>
              <w:pStyle w:val="TableParagraph"/>
              <w:spacing w:line="209" w:lineRule="exact"/>
              <w:ind w:left="55" w:right="54"/>
              <w:jc w:val="center"/>
              <w:rPr>
                <w:sz w:val="20"/>
              </w:rPr>
            </w:pPr>
            <w:r>
              <w:rPr>
                <w:spacing w:val="-4"/>
                <w:sz w:val="20"/>
              </w:rPr>
              <w:t>-</w:t>
            </w:r>
            <w:r>
              <w:rPr>
                <w:spacing w:val="-2"/>
                <w:sz w:val="20"/>
              </w:rPr>
              <w:t>0.232138</w:t>
            </w:r>
          </w:p>
        </w:tc>
      </w:tr>
      <w:tr>
        <w:trPr>
          <w:trHeight w:val="230" w:hRule="atLeast"/>
        </w:trPr>
        <w:tc>
          <w:tcPr>
            <w:tcW w:w="1111" w:type="dxa"/>
          </w:tcPr>
          <w:p>
            <w:pPr>
              <w:pStyle w:val="TableParagraph"/>
              <w:spacing w:line="211" w:lineRule="exact"/>
              <w:ind w:left="55" w:right="54"/>
              <w:jc w:val="center"/>
              <w:rPr>
                <w:sz w:val="20"/>
              </w:rPr>
            </w:pPr>
            <w:r>
              <w:rPr>
                <w:spacing w:val="-4"/>
                <w:sz w:val="20"/>
              </w:rPr>
              <w:t>-</w:t>
            </w:r>
            <w:r>
              <w:rPr>
                <w:spacing w:val="-2"/>
                <w:sz w:val="20"/>
              </w:rPr>
              <w:t>0.309176</w:t>
            </w:r>
          </w:p>
        </w:tc>
      </w:tr>
      <w:tr>
        <w:trPr>
          <w:trHeight w:val="230" w:hRule="atLeast"/>
        </w:trPr>
        <w:tc>
          <w:tcPr>
            <w:tcW w:w="1111" w:type="dxa"/>
          </w:tcPr>
          <w:p>
            <w:pPr>
              <w:pStyle w:val="TableParagraph"/>
              <w:spacing w:line="211" w:lineRule="exact"/>
              <w:ind w:left="55" w:right="1"/>
              <w:jc w:val="center"/>
              <w:rPr>
                <w:sz w:val="20"/>
              </w:rPr>
            </w:pPr>
            <w:r>
              <w:rPr>
                <w:spacing w:val="-2"/>
                <w:sz w:val="20"/>
              </w:rPr>
              <w:t>0.206162</w:t>
            </w:r>
          </w:p>
        </w:tc>
      </w:tr>
      <w:tr>
        <w:trPr>
          <w:trHeight w:val="230" w:hRule="atLeast"/>
        </w:trPr>
        <w:tc>
          <w:tcPr>
            <w:tcW w:w="1111" w:type="dxa"/>
          </w:tcPr>
          <w:p>
            <w:pPr>
              <w:pStyle w:val="TableParagraph"/>
              <w:spacing w:line="210" w:lineRule="exact"/>
              <w:ind w:left="55" w:right="54"/>
              <w:jc w:val="center"/>
              <w:rPr>
                <w:sz w:val="20"/>
              </w:rPr>
            </w:pPr>
            <w:r>
              <w:rPr>
                <w:spacing w:val="-4"/>
                <w:sz w:val="20"/>
              </w:rPr>
              <w:t>-</w:t>
            </w:r>
            <w:r>
              <w:rPr>
                <w:spacing w:val="-2"/>
                <w:sz w:val="20"/>
              </w:rPr>
              <w:t>0.044583</w:t>
            </w:r>
          </w:p>
        </w:tc>
      </w:tr>
      <w:tr>
        <w:trPr>
          <w:trHeight w:val="230" w:hRule="atLeast"/>
        </w:trPr>
        <w:tc>
          <w:tcPr>
            <w:tcW w:w="1111" w:type="dxa"/>
          </w:tcPr>
          <w:p>
            <w:pPr>
              <w:pStyle w:val="TableParagraph"/>
              <w:spacing w:line="210" w:lineRule="exact"/>
              <w:ind w:left="55" w:right="1"/>
              <w:jc w:val="center"/>
              <w:rPr>
                <w:sz w:val="20"/>
              </w:rPr>
            </w:pPr>
            <w:r>
              <w:rPr>
                <w:spacing w:val="-2"/>
                <w:sz w:val="20"/>
              </w:rPr>
              <w:t>0.056552</w:t>
            </w:r>
          </w:p>
        </w:tc>
      </w:tr>
      <w:tr>
        <w:trPr>
          <w:trHeight w:val="229" w:hRule="atLeast"/>
        </w:trPr>
        <w:tc>
          <w:tcPr>
            <w:tcW w:w="1111" w:type="dxa"/>
          </w:tcPr>
          <w:p>
            <w:pPr>
              <w:pStyle w:val="TableParagraph"/>
              <w:spacing w:line="209" w:lineRule="exact"/>
              <w:ind w:left="55" w:right="54"/>
              <w:jc w:val="center"/>
              <w:rPr>
                <w:sz w:val="20"/>
              </w:rPr>
            </w:pPr>
            <w:r>
              <w:rPr>
                <w:spacing w:val="-4"/>
                <w:sz w:val="20"/>
              </w:rPr>
              <w:t>-</w:t>
            </w:r>
            <w:r>
              <w:rPr>
                <w:spacing w:val="-2"/>
                <w:sz w:val="20"/>
              </w:rPr>
              <w:t>0.357526</w:t>
            </w:r>
          </w:p>
        </w:tc>
      </w:tr>
      <w:tr>
        <w:trPr>
          <w:trHeight w:val="229" w:hRule="atLeast"/>
        </w:trPr>
        <w:tc>
          <w:tcPr>
            <w:tcW w:w="1111" w:type="dxa"/>
          </w:tcPr>
          <w:p>
            <w:pPr>
              <w:pStyle w:val="TableParagraph"/>
              <w:spacing w:line="209" w:lineRule="exact"/>
              <w:ind w:left="55" w:right="1"/>
              <w:jc w:val="center"/>
              <w:rPr>
                <w:sz w:val="20"/>
              </w:rPr>
            </w:pPr>
            <w:r>
              <w:rPr>
                <w:spacing w:val="-2"/>
                <w:sz w:val="20"/>
              </w:rPr>
              <w:t>0.328735</w:t>
            </w:r>
          </w:p>
        </w:tc>
      </w:tr>
      <w:tr>
        <w:trPr>
          <w:trHeight w:val="230" w:hRule="atLeast"/>
        </w:trPr>
        <w:tc>
          <w:tcPr>
            <w:tcW w:w="1111" w:type="dxa"/>
          </w:tcPr>
          <w:p>
            <w:pPr>
              <w:pStyle w:val="TableParagraph"/>
              <w:spacing w:line="210" w:lineRule="exact"/>
              <w:ind w:left="55" w:right="1"/>
              <w:jc w:val="center"/>
              <w:rPr>
                <w:sz w:val="20"/>
              </w:rPr>
            </w:pPr>
            <w:r>
              <w:rPr>
                <w:spacing w:val="-2"/>
                <w:sz w:val="20"/>
              </w:rPr>
              <w:t>0.826012</w:t>
            </w:r>
          </w:p>
        </w:tc>
      </w:tr>
      <w:tr>
        <w:trPr>
          <w:trHeight w:val="230" w:hRule="atLeast"/>
        </w:trPr>
        <w:tc>
          <w:tcPr>
            <w:tcW w:w="1111" w:type="dxa"/>
          </w:tcPr>
          <w:p>
            <w:pPr>
              <w:pStyle w:val="TableParagraph"/>
              <w:spacing w:line="210" w:lineRule="exact"/>
              <w:ind w:left="55" w:right="1"/>
              <w:jc w:val="center"/>
              <w:rPr>
                <w:sz w:val="20"/>
              </w:rPr>
            </w:pPr>
            <w:r>
              <w:rPr>
                <w:spacing w:val="-2"/>
                <w:sz w:val="20"/>
              </w:rPr>
              <w:t>0.513905</w:t>
            </w:r>
          </w:p>
        </w:tc>
      </w:tr>
      <w:tr>
        <w:trPr>
          <w:trHeight w:val="230" w:hRule="atLeast"/>
        </w:trPr>
        <w:tc>
          <w:tcPr>
            <w:tcW w:w="1111" w:type="dxa"/>
          </w:tcPr>
          <w:p>
            <w:pPr>
              <w:pStyle w:val="TableParagraph"/>
              <w:spacing w:line="210" w:lineRule="exact"/>
              <w:ind w:left="55" w:right="54"/>
              <w:jc w:val="center"/>
              <w:rPr>
                <w:sz w:val="20"/>
              </w:rPr>
            </w:pPr>
            <w:r>
              <w:rPr>
                <w:spacing w:val="-4"/>
                <w:sz w:val="20"/>
              </w:rPr>
              <w:t>-</w:t>
            </w:r>
            <w:r>
              <w:rPr>
                <w:spacing w:val="-2"/>
                <w:sz w:val="20"/>
              </w:rPr>
              <w:t>0.072306</w:t>
            </w:r>
          </w:p>
        </w:tc>
      </w:tr>
      <w:tr>
        <w:trPr>
          <w:trHeight w:val="229" w:hRule="atLeast"/>
        </w:trPr>
        <w:tc>
          <w:tcPr>
            <w:tcW w:w="1111" w:type="dxa"/>
          </w:tcPr>
          <w:p>
            <w:pPr>
              <w:pStyle w:val="TableParagraph"/>
              <w:spacing w:line="209" w:lineRule="exact"/>
              <w:ind w:left="55" w:right="54"/>
              <w:jc w:val="center"/>
              <w:rPr>
                <w:sz w:val="20"/>
              </w:rPr>
            </w:pPr>
            <w:r>
              <w:rPr>
                <w:spacing w:val="-4"/>
                <w:sz w:val="20"/>
              </w:rPr>
              <w:t>-</w:t>
            </w:r>
            <w:r>
              <w:rPr>
                <w:spacing w:val="-2"/>
                <w:sz w:val="20"/>
              </w:rPr>
              <w:t>0.185634</w:t>
            </w:r>
          </w:p>
        </w:tc>
      </w:tr>
      <w:tr>
        <w:trPr>
          <w:trHeight w:val="229" w:hRule="atLeast"/>
        </w:trPr>
        <w:tc>
          <w:tcPr>
            <w:tcW w:w="1111" w:type="dxa"/>
          </w:tcPr>
          <w:p>
            <w:pPr>
              <w:pStyle w:val="TableParagraph"/>
              <w:spacing w:line="209" w:lineRule="exact"/>
              <w:ind w:left="55" w:right="54"/>
              <w:jc w:val="center"/>
              <w:rPr>
                <w:sz w:val="20"/>
              </w:rPr>
            </w:pPr>
            <w:r>
              <w:rPr>
                <w:spacing w:val="-4"/>
                <w:sz w:val="20"/>
              </w:rPr>
              <w:t>-</w:t>
            </w:r>
            <w:r>
              <w:rPr>
                <w:spacing w:val="-2"/>
                <w:sz w:val="20"/>
              </w:rPr>
              <w:t>0.038665</w:t>
            </w:r>
          </w:p>
        </w:tc>
      </w:tr>
      <w:tr>
        <w:trPr>
          <w:trHeight w:val="230" w:hRule="atLeast"/>
        </w:trPr>
        <w:tc>
          <w:tcPr>
            <w:tcW w:w="1111" w:type="dxa"/>
          </w:tcPr>
          <w:p>
            <w:pPr>
              <w:pStyle w:val="TableParagraph"/>
              <w:spacing w:line="210" w:lineRule="exact"/>
              <w:ind w:left="55" w:right="1"/>
              <w:jc w:val="center"/>
              <w:rPr>
                <w:sz w:val="20"/>
              </w:rPr>
            </w:pPr>
            <w:r>
              <w:rPr>
                <w:spacing w:val="-2"/>
                <w:sz w:val="20"/>
              </w:rPr>
              <w:t>0.338466</w:t>
            </w:r>
          </w:p>
        </w:tc>
      </w:tr>
      <w:tr>
        <w:trPr>
          <w:trHeight w:val="230" w:hRule="atLeast"/>
        </w:trPr>
        <w:tc>
          <w:tcPr>
            <w:tcW w:w="1111" w:type="dxa"/>
          </w:tcPr>
          <w:p>
            <w:pPr>
              <w:pStyle w:val="TableParagraph"/>
              <w:spacing w:line="210" w:lineRule="exact"/>
              <w:ind w:left="55" w:right="1"/>
              <w:jc w:val="center"/>
              <w:rPr>
                <w:sz w:val="20"/>
              </w:rPr>
            </w:pPr>
            <w:r>
              <w:rPr>
                <w:spacing w:val="-2"/>
                <w:sz w:val="20"/>
              </w:rPr>
              <w:t>0.271469</w:t>
            </w:r>
          </w:p>
        </w:tc>
      </w:tr>
      <w:tr>
        <w:trPr>
          <w:trHeight w:val="230" w:hRule="atLeast"/>
        </w:trPr>
        <w:tc>
          <w:tcPr>
            <w:tcW w:w="1111" w:type="dxa"/>
          </w:tcPr>
          <w:p>
            <w:pPr>
              <w:pStyle w:val="TableParagraph"/>
              <w:spacing w:line="210" w:lineRule="exact"/>
              <w:ind w:left="55" w:right="1"/>
              <w:jc w:val="center"/>
              <w:rPr>
                <w:sz w:val="20"/>
              </w:rPr>
            </w:pPr>
            <w:r>
              <w:rPr>
                <w:spacing w:val="-2"/>
                <w:sz w:val="20"/>
              </w:rPr>
              <w:t>0.555067</w:t>
            </w:r>
          </w:p>
        </w:tc>
      </w:tr>
      <w:tr>
        <w:trPr>
          <w:trHeight w:val="230" w:hRule="atLeast"/>
        </w:trPr>
        <w:tc>
          <w:tcPr>
            <w:tcW w:w="1111" w:type="dxa"/>
          </w:tcPr>
          <w:p>
            <w:pPr>
              <w:pStyle w:val="TableParagraph"/>
              <w:spacing w:line="210" w:lineRule="exact"/>
              <w:ind w:left="55" w:right="54"/>
              <w:jc w:val="center"/>
              <w:rPr>
                <w:sz w:val="20"/>
              </w:rPr>
            </w:pPr>
            <w:r>
              <w:rPr>
                <w:spacing w:val="-4"/>
                <w:sz w:val="20"/>
              </w:rPr>
              <w:t>-</w:t>
            </w:r>
            <w:r>
              <w:rPr>
                <w:spacing w:val="-2"/>
                <w:sz w:val="20"/>
              </w:rPr>
              <w:t>0.545537</w:t>
            </w:r>
          </w:p>
        </w:tc>
      </w:tr>
      <w:tr>
        <w:trPr>
          <w:trHeight w:val="225" w:hRule="atLeast"/>
        </w:trPr>
        <w:tc>
          <w:tcPr>
            <w:tcW w:w="1111" w:type="dxa"/>
          </w:tcPr>
          <w:p>
            <w:pPr>
              <w:pStyle w:val="TableParagraph"/>
              <w:spacing w:line="205" w:lineRule="exact"/>
              <w:ind w:left="55" w:right="54"/>
              <w:jc w:val="center"/>
              <w:rPr>
                <w:sz w:val="20"/>
              </w:rPr>
            </w:pPr>
            <w:r>
              <w:rPr>
                <w:spacing w:val="-4"/>
                <w:sz w:val="20"/>
              </w:rPr>
              <w:t>-</w:t>
            </w:r>
            <w:r>
              <w:rPr>
                <w:spacing w:val="-2"/>
                <w:sz w:val="20"/>
              </w:rPr>
              <w:t>0.197154</w:t>
            </w:r>
          </w:p>
        </w:tc>
      </w:tr>
    </w:tbl>
    <w:p>
      <w:pPr>
        <w:pStyle w:val="BodyText"/>
        <w:spacing w:before="19"/>
        <w:rPr>
          <w:sz w:val="20"/>
        </w:rPr>
      </w:pPr>
    </w:p>
    <w:p>
      <w:pPr>
        <w:spacing w:before="1" w:after="3"/>
        <w:ind w:left="771" w:right="8904" w:firstLine="0"/>
        <w:jc w:val="left"/>
        <w:rPr>
          <w:sz w:val="20"/>
        </w:rPr>
      </w:pPr>
      <w:r>
        <w:rPr>
          <w:sz w:val="20"/>
        </w:rPr>
        <w:t>UNIT</w:t>
      </w:r>
      <w:r>
        <w:rPr>
          <w:spacing w:val="-13"/>
          <w:sz w:val="20"/>
        </w:rPr>
        <w:t> </w:t>
      </w:r>
      <w:r>
        <w:rPr>
          <w:sz w:val="20"/>
        </w:rPr>
        <w:t>ROOT</w:t>
      </w:r>
      <w:r>
        <w:rPr>
          <w:spacing w:val="-12"/>
          <w:sz w:val="20"/>
        </w:rPr>
        <w:t> </w:t>
      </w:r>
      <w:r>
        <w:rPr>
          <w:sz w:val="20"/>
        </w:rPr>
        <w:t>TEST GDP @ LEVEL</w:t>
      </w:r>
    </w:p>
    <w:tbl>
      <w:tblPr>
        <w:tblW w:w="0" w:type="auto"/>
        <w:jc w:val="left"/>
        <w:tblInd w:w="8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49"/>
        <w:gridCol w:w="1377"/>
        <w:gridCol w:w="1433"/>
        <w:gridCol w:w="903"/>
        <w:gridCol w:w="928"/>
      </w:tblGrid>
      <w:tr>
        <w:trPr>
          <w:trHeight w:val="225" w:hRule="atLeast"/>
        </w:trPr>
        <w:tc>
          <w:tcPr>
            <w:tcW w:w="1849" w:type="dxa"/>
          </w:tcPr>
          <w:p>
            <w:pPr>
              <w:pStyle w:val="TableParagraph"/>
              <w:spacing w:line="205" w:lineRule="exact"/>
              <w:ind w:left="35"/>
              <w:rPr>
                <w:sz w:val="20"/>
              </w:rPr>
            </w:pPr>
            <w:r>
              <w:rPr>
                <w:sz w:val="20"/>
              </w:rPr>
              <w:t>ADF</w:t>
            </w:r>
            <w:r>
              <w:rPr>
                <w:spacing w:val="-4"/>
                <w:sz w:val="20"/>
              </w:rPr>
              <w:t> </w:t>
            </w:r>
            <w:r>
              <w:rPr>
                <w:sz w:val="20"/>
              </w:rPr>
              <w:t>Test</w:t>
            </w:r>
            <w:r>
              <w:rPr>
                <w:spacing w:val="-3"/>
                <w:sz w:val="20"/>
              </w:rPr>
              <w:t> </w:t>
            </w:r>
            <w:r>
              <w:rPr>
                <w:spacing w:val="-2"/>
                <w:sz w:val="20"/>
              </w:rPr>
              <w:t>Statistic</w:t>
            </w:r>
          </w:p>
        </w:tc>
        <w:tc>
          <w:tcPr>
            <w:tcW w:w="1377" w:type="dxa"/>
          </w:tcPr>
          <w:p>
            <w:pPr>
              <w:pStyle w:val="TableParagraph"/>
              <w:spacing w:line="205" w:lineRule="exact"/>
              <w:ind w:left="220"/>
              <w:rPr>
                <w:sz w:val="20"/>
              </w:rPr>
            </w:pPr>
            <w:r>
              <w:rPr>
                <w:spacing w:val="-4"/>
                <w:sz w:val="20"/>
              </w:rPr>
              <w:t>-</w:t>
            </w:r>
            <w:r>
              <w:rPr>
                <w:spacing w:val="-2"/>
                <w:sz w:val="20"/>
              </w:rPr>
              <w:t>1.984437</w:t>
            </w:r>
          </w:p>
        </w:tc>
        <w:tc>
          <w:tcPr>
            <w:tcW w:w="2336" w:type="dxa"/>
            <w:gridSpan w:val="2"/>
          </w:tcPr>
          <w:p>
            <w:pPr>
              <w:pStyle w:val="TableParagraph"/>
              <w:spacing w:line="205" w:lineRule="exact"/>
              <w:ind w:left="130"/>
              <w:rPr>
                <w:sz w:val="20"/>
              </w:rPr>
            </w:pPr>
            <w:r>
              <w:rPr>
                <w:sz w:val="20"/>
              </w:rPr>
              <w:t>1%</w:t>
            </w:r>
            <w:r>
              <w:rPr>
                <w:spacing w:val="68"/>
                <w:w w:val="150"/>
                <w:sz w:val="20"/>
              </w:rPr>
              <w:t> </w:t>
            </w:r>
            <w:r>
              <w:rPr>
                <w:sz w:val="20"/>
              </w:rPr>
              <w:t>Critical</w:t>
            </w:r>
            <w:r>
              <w:rPr>
                <w:spacing w:val="-2"/>
                <w:sz w:val="20"/>
              </w:rPr>
              <w:t> Value*</w:t>
            </w:r>
          </w:p>
        </w:tc>
        <w:tc>
          <w:tcPr>
            <w:tcW w:w="928" w:type="dxa"/>
          </w:tcPr>
          <w:p>
            <w:pPr>
              <w:pStyle w:val="TableParagraph"/>
              <w:spacing w:line="205" w:lineRule="exact"/>
              <w:ind w:right="30"/>
              <w:jc w:val="right"/>
              <w:rPr>
                <w:sz w:val="20"/>
              </w:rPr>
            </w:pPr>
            <w:r>
              <w:rPr>
                <w:spacing w:val="-4"/>
                <w:sz w:val="20"/>
              </w:rPr>
              <w:t>-</w:t>
            </w:r>
            <w:r>
              <w:rPr>
                <w:spacing w:val="-2"/>
                <w:sz w:val="20"/>
              </w:rPr>
              <w:t>3.7497</w:t>
            </w:r>
          </w:p>
        </w:tc>
      </w:tr>
      <w:tr>
        <w:trPr>
          <w:trHeight w:val="230" w:hRule="atLeast"/>
        </w:trPr>
        <w:tc>
          <w:tcPr>
            <w:tcW w:w="1849" w:type="dxa"/>
          </w:tcPr>
          <w:p>
            <w:pPr>
              <w:pStyle w:val="TableParagraph"/>
              <w:rPr>
                <w:sz w:val="16"/>
              </w:rPr>
            </w:pPr>
          </w:p>
        </w:tc>
        <w:tc>
          <w:tcPr>
            <w:tcW w:w="1377" w:type="dxa"/>
          </w:tcPr>
          <w:p>
            <w:pPr>
              <w:pStyle w:val="TableParagraph"/>
              <w:rPr>
                <w:sz w:val="16"/>
              </w:rPr>
            </w:pPr>
          </w:p>
        </w:tc>
        <w:tc>
          <w:tcPr>
            <w:tcW w:w="2336" w:type="dxa"/>
            <w:gridSpan w:val="2"/>
          </w:tcPr>
          <w:p>
            <w:pPr>
              <w:pStyle w:val="TableParagraph"/>
              <w:spacing w:line="210" w:lineRule="exact"/>
              <w:ind w:left="130"/>
              <w:rPr>
                <w:sz w:val="20"/>
              </w:rPr>
            </w:pPr>
            <w:r>
              <w:rPr>
                <w:sz w:val="20"/>
              </w:rPr>
              <w:t>5%</w:t>
            </w:r>
            <w:r>
              <w:rPr>
                <w:spacing w:val="68"/>
                <w:w w:val="150"/>
                <w:sz w:val="20"/>
              </w:rPr>
              <w:t> </w:t>
            </w:r>
            <w:r>
              <w:rPr>
                <w:sz w:val="20"/>
              </w:rPr>
              <w:t>Critical</w:t>
            </w:r>
            <w:r>
              <w:rPr>
                <w:spacing w:val="-2"/>
                <w:sz w:val="20"/>
              </w:rPr>
              <w:t> </w:t>
            </w:r>
            <w:r>
              <w:rPr>
                <w:spacing w:val="-4"/>
                <w:sz w:val="20"/>
              </w:rPr>
              <w:t>Value</w:t>
            </w:r>
          </w:p>
        </w:tc>
        <w:tc>
          <w:tcPr>
            <w:tcW w:w="928" w:type="dxa"/>
          </w:tcPr>
          <w:p>
            <w:pPr>
              <w:pStyle w:val="TableParagraph"/>
              <w:spacing w:line="210" w:lineRule="exact"/>
              <w:ind w:right="30"/>
              <w:jc w:val="right"/>
              <w:rPr>
                <w:sz w:val="20"/>
              </w:rPr>
            </w:pPr>
            <w:r>
              <w:rPr>
                <w:spacing w:val="-4"/>
                <w:sz w:val="20"/>
              </w:rPr>
              <w:t>-</w:t>
            </w:r>
            <w:r>
              <w:rPr>
                <w:spacing w:val="-2"/>
                <w:sz w:val="20"/>
              </w:rPr>
              <w:t>2.9969</w:t>
            </w:r>
          </w:p>
        </w:tc>
      </w:tr>
      <w:tr>
        <w:trPr>
          <w:trHeight w:val="224" w:hRule="atLeast"/>
        </w:trPr>
        <w:tc>
          <w:tcPr>
            <w:tcW w:w="1849" w:type="dxa"/>
            <w:tcBorders>
              <w:bottom w:val="double" w:sz="6" w:space="0" w:color="000000"/>
            </w:tcBorders>
          </w:tcPr>
          <w:p>
            <w:pPr>
              <w:pStyle w:val="TableParagraph"/>
              <w:rPr>
                <w:sz w:val="16"/>
              </w:rPr>
            </w:pPr>
          </w:p>
        </w:tc>
        <w:tc>
          <w:tcPr>
            <w:tcW w:w="1377" w:type="dxa"/>
            <w:tcBorders>
              <w:bottom w:val="double" w:sz="6" w:space="0" w:color="000000"/>
            </w:tcBorders>
          </w:tcPr>
          <w:p>
            <w:pPr>
              <w:pStyle w:val="TableParagraph"/>
              <w:rPr>
                <w:sz w:val="16"/>
              </w:rPr>
            </w:pPr>
          </w:p>
        </w:tc>
        <w:tc>
          <w:tcPr>
            <w:tcW w:w="2336" w:type="dxa"/>
            <w:gridSpan w:val="2"/>
            <w:tcBorders>
              <w:bottom w:val="double" w:sz="6" w:space="0" w:color="000000"/>
            </w:tcBorders>
          </w:tcPr>
          <w:p>
            <w:pPr>
              <w:pStyle w:val="TableParagraph"/>
              <w:spacing w:line="205" w:lineRule="exact"/>
              <w:ind w:left="130"/>
              <w:rPr>
                <w:sz w:val="20"/>
              </w:rPr>
            </w:pPr>
            <w:r>
              <w:rPr>
                <w:sz w:val="20"/>
              </w:rPr>
              <w:t>10%</w:t>
            </w:r>
            <w:r>
              <w:rPr>
                <w:spacing w:val="-6"/>
                <w:sz w:val="20"/>
              </w:rPr>
              <w:t> </w:t>
            </w:r>
            <w:r>
              <w:rPr>
                <w:sz w:val="20"/>
              </w:rPr>
              <w:t>Critical</w:t>
            </w:r>
            <w:r>
              <w:rPr>
                <w:spacing w:val="-4"/>
                <w:sz w:val="20"/>
              </w:rPr>
              <w:t> </w:t>
            </w:r>
            <w:r>
              <w:rPr>
                <w:spacing w:val="-2"/>
                <w:sz w:val="20"/>
              </w:rPr>
              <w:t>Value</w:t>
            </w:r>
          </w:p>
        </w:tc>
        <w:tc>
          <w:tcPr>
            <w:tcW w:w="928" w:type="dxa"/>
            <w:tcBorders>
              <w:bottom w:val="double" w:sz="6" w:space="0" w:color="000000"/>
            </w:tcBorders>
          </w:tcPr>
          <w:p>
            <w:pPr>
              <w:pStyle w:val="TableParagraph"/>
              <w:spacing w:line="205" w:lineRule="exact"/>
              <w:ind w:right="30"/>
              <w:jc w:val="right"/>
              <w:rPr>
                <w:sz w:val="20"/>
              </w:rPr>
            </w:pPr>
            <w:r>
              <w:rPr>
                <w:spacing w:val="-4"/>
                <w:sz w:val="20"/>
              </w:rPr>
              <w:t>-</w:t>
            </w:r>
            <w:r>
              <w:rPr>
                <w:spacing w:val="-2"/>
                <w:sz w:val="20"/>
              </w:rPr>
              <w:t>2.6381</w:t>
            </w:r>
          </w:p>
        </w:tc>
      </w:tr>
      <w:tr>
        <w:trPr>
          <w:trHeight w:val="504" w:hRule="atLeast"/>
        </w:trPr>
        <w:tc>
          <w:tcPr>
            <w:tcW w:w="6490" w:type="dxa"/>
            <w:gridSpan w:val="5"/>
            <w:tcBorders>
              <w:top w:val="double" w:sz="6" w:space="0" w:color="000000"/>
            </w:tcBorders>
          </w:tcPr>
          <w:p>
            <w:pPr>
              <w:pStyle w:val="TableParagraph"/>
              <w:spacing w:before="40"/>
              <w:ind w:left="35"/>
              <w:rPr>
                <w:sz w:val="20"/>
              </w:rPr>
            </w:pPr>
            <w:r>
              <w:rPr>
                <w:sz w:val="20"/>
              </w:rPr>
              <w:t>*MacKinnon</w:t>
            </w:r>
            <w:r>
              <w:rPr>
                <w:spacing w:val="-6"/>
                <w:sz w:val="20"/>
              </w:rPr>
              <w:t> </w:t>
            </w:r>
            <w:r>
              <w:rPr>
                <w:sz w:val="20"/>
              </w:rPr>
              <w:t>critical</w:t>
            </w:r>
            <w:r>
              <w:rPr>
                <w:spacing w:val="-4"/>
                <w:sz w:val="20"/>
              </w:rPr>
              <w:t> </w:t>
            </w:r>
            <w:r>
              <w:rPr>
                <w:sz w:val="20"/>
              </w:rPr>
              <w:t>values</w:t>
            </w:r>
            <w:r>
              <w:rPr>
                <w:spacing w:val="-6"/>
                <w:sz w:val="20"/>
              </w:rPr>
              <w:t> </w:t>
            </w:r>
            <w:r>
              <w:rPr>
                <w:sz w:val="20"/>
              </w:rPr>
              <w:t>for</w:t>
            </w:r>
            <w:r>
              <w:rPr>
                <w:spacing w:val="-4"/>
                <w:sz w:val="20"/>
              </w:rPr>
              <w:t> </w:t>
            </w:r>
            <w:r>
              <w:rPr>
                <w:sz w:val="20"/>
              </w:rPr>
              <w:t>rejection</w:t>
            </w:r>
            <w:r>
              <w:rPr>
                <w:spacing w:val="-6"/>
                <w:sz w:val="20"/>
              </w:rPr>
              <w:t> </w:t>
            </w:r>
            <w:r>
              <w:rPr>
                <w:sz w:val="20"/>
              </w:rPr>
              <w:t>of</w:t>
            </w:r>
            <w:r>
              <w:rPr>
                <w:spacing w:val="-6"/>
                <w:sz w:val="20"/>
              </w:rPr>
              <w:t> </w:t>
            </w:r>
            <w:r>
              <w:rPr>
                <w:sz w:val="20"/>
              </w:rPr>
              <w:t>hypothesis</w:t>
            </w:r>
            <w:r>
              <w:rPr>
                <w:spacing w:val="-6"/>
                <w:sz w:val="20"/>
              </w:rPr>
              <w:t> </w:t>
            </w:r>
            <w:r>
              <w:rPr>
                <w:sz w:val="20"/>
              </w:rPr>
              <w:t>of</w:t>
            </w:r>
            <w:r>
              <w:rPr>
                <w:spacing w:val="-6"/>
                <w:sz w:val="20"/>
              </w:rPr>
              <w:t> </w:t>
            </w:r>
            <w:r>
              <w:rPr>
                <w:sz w:val="20"/>
              </w:rPr>
              <w:t>a</w:t>
            </w:r>
            <w:r>
              <w:rPr>
                <w:spacing w:val="-4"/>
                <w:sz w:val="20"/>
              </w:rPr>
              <w:t> </w:t>
            </w:r>
            <w:r>
              <w:rPr>
                <w:sz w:val="20"/>
              </w:rPr>
              <w:t>unit</w:t>
            </w:r>
            <w:r>
              <w:rPr>
                <w:spacing w:val="-6"/>
                <w:sz w:val="20"/>
              </w:rPr>
              <w:t> </w:t>
            </w:r>
            <w:r>
              <w:rPr>
                <w:spacing w:val="-2"/>
                <w:sz w:val="20"/>
              </w:rPr>
              <w:t>root.</w:t>
            </w:r>
          </w:p>
        </w:tc>
      </w:tr>
      <w:tr>
        <w:trPr>
          <w:trHeight w:val="459" w:hRule="atLeast"/>
        </w:trPr>
        <w:tc>
          <w:tcPr>
            <w:tcW w:w="6490" w:type="dxa"/>
            <w:gridSpan w:val="5"/>
          </w:tcPr>
          <w:p>
            <w:pPr>
              <w:pStyle w:val="TableParagraph"/>
              <w:spacing w:line="215" w:lineRule="exact" w:before="225"/>
              <w:ind w:left="35"/>
              <w:rPr>
                <w:sz w:val="20"/>
              </w:rPr>
            </w:pPr>
            <w:r>
              <w:rPr>
                <w:sz w:val="20"/>
              </w:rPr>
              <w:t>Augmented</w:t>
            </w:r>
            <w:r>
              <w:rPr>
                <w:spacing w:val="-8"/>
                <w:sz w:val="20"/>
              </w:rPr>
              <w:t> </w:t>
            </w:r>
            <w:r>
              <w:rPr>
                <w:sz w:val="20"/>
              </w:rPr>
              <w:t>Dickey-Fuller</w:t>
            </w:r>
            <w:r>
              <w:rPr>
                <w:spacing w:val="-8"/>
                <w:sz w:val="20"/>
              </w:rPr>
              <w:t> </w:t>
            </w:r>
            <w:r>
              <w:rPr>
                <w:sz w:val="20"/>
              </w:rPr>
              <w:t>Test</w:t>
            </w:r>
            <w:r>
              <w:rPr>
                <w:spacing w:val="-9"/>
                <w:sz w:val="20"/>
              </w:rPr>
              <w:t> </w:t>
            </w:r>
            <w:r>
              <w:rPr>
                <w:spacing w:val="-2"/>
                <w:sz w:val="20"/>
              </w:rPr>
              <w:t>Equation</w:t>
            </w:r>
          </w:p>
        </w:tc>
      </w:tr>
      <w:tr>
        <w:trPr>
          <w:trHeight w:val="230" w:hRule="atLeast"/>
        </w:trPr>
        <w:tc>
          <w:tcPr>
            <w:tcW w:w="6490" w:type="dxa"/>
            <w:gridSpan w:val="5"/>
          </w:tcPr>
          <w:p>
            <w:pPr>
              <w:pStyle w:val="TableParagraph"/>
              <w:spacing w:line="210" w:lineRule="exact"/>
              <w:ind w:left="35"/>
              <w:rPr>
                <w:sz w:val="20"/>
              </w:rPr>
            </w:pPr>
            <w:r>
              <w:rPr>
                <w:sz w:val="20"/>
              </w:rPr>
              <w:t>Dependent</w:t>
            </w:r>
            <w:r>
              <w:rPr>
                <w:spacing w:val="-8"/>
                <w:sz w:val="20"/>
              </w:rPr>
              <w:t> </w:t>
            </w:r>
            <w:r>
              <w:rPr>
                <w:sz w:val="20"/>
              </w:rPr>
              <w:t>Variable:</w:t>
            </w:r>
            <w:r>
              <w:rPr>
                <w:spacing w:val="-8"/>
                <w:sz w:val="20"/>
              </w:rPr>
              <w:t> </w:t>
            </w:r>
            <w:r>
              <w:rPr>
                <w:spacing w:val="-2"/>
                <w:sz w:val="20"/>
              </w:rPr>
              <w:t>D(GDP)</w:t>
            </w:r>
          </w:p>
        </w:tc>
      </w:tr>
      <w:tr>
        <w:trPr>
          <w:trHeight w:val="230" w:hRule="atLeast"/>
        </w:trPr>
        <w:tc>
          <w:tcPr>
            <w:tcW w:w="6490" w:type="dxa"/>
            <w:gridSpan w:val="5"/>
          </w:tcPr>
          <w:p>
            <w:pPr>
              <w:pStyle w:val="TableParagraph"/>
              <w:spacing w:line="210" w:lineRule="exact"/>
              <w:ind w:left="35"/>
              <w:rPr>
                <w:sz w:val="20"/>
              </w:rPr>
            </w:pPr>
            <w:r>
              <w:rPr>
                <w:sz w:val="20"/>
              </w:rPr>
              <w:t>Method:</w:t>
            </w:r>
            <w:r>
              <w:rPr>
                <w:spacing w:val="-8"/>
                <w:sz w:val="20"/>
              </w:rPr>
              <w:t> </w:t>
            </w:r>
            <w:r>
              <w:rPr>
                <w:sz w:val="20"/>
              </w:rPr>
              <w:t>Least</w:t>
            </w:r>
            <w:r>
              <w:rPr>
                <w:spacing w:val="-7"/>
                <w:sz w:val="20"/>
              </w:rPr>
              <w:t> </w:t>
            </w:r>
            <w:r>
              <w:rPr>
                <w:spacing w:val="-2"/>
                <w:sz w:val="20"/>
              </w:rPr>
              <w:t>Squares</w:t>
            </w:r>
          </w:p>
        </w:tc>
      </w:tr>
      <w:tr>
        <w:trPr>
          <w:trHeight w:val="230" w:hRule="atLeast"/>
        </w:trPr>
        <w:tc>
          <w:tcPr>
            <w:tcW w:w="6490" w:type="dxa"/>
            <w:gridSpan w:val="5"/>
          </w:tcPr>
          <w:p>
            <w:pPr>
              <w:pStyle w:val="TableParagraph"/>
              <w:spacing w:line="210" w:lineRule="exact"/>
              <w:ind w:left="35"/>
              <w:rPr>
                <w:sz w:val="20"/>
              </w:rPr>
            </w:pPr>
            <w:r>
              <w:rPr>
                <w:sz w:val="20"/>
              </w:rPr>
              <w:t>Date:</w:t>
            </w:r>
            <w:r>
              <w:rPr>
                <w:spacing w:val="-5"/>
                <w:sz w:val="20"/>
              </w:rPr>
              <w:t> </w:t>
            </w:r>
            <w:r>
              <w:rPr>
                <w:sz w:val="20"/>
              </w:rPr>
              <w:t>02/17/14</w:t>
            </w:r>
            <w:r>
              <w:rPr>
                <w:spacing w:val="63"/>
                <w:w w:val="150"/>
                <w:sz w:val="20"/>
              </w:rPr>
              <w:t> </w:t>
            </w:r>
            <w:r>
              <w:rPr>
                <w:sz w:val="20"/>
              </w:rPr>
              <w:t>Time:</w:t>
            </w:r>
            <w:r>
              <w:rPr>
                <w:spacing w:val="-3"/>
                <w:sz w:val="20"/>
              </w:rPr>
              <w:t> </w:t>
            </w:r>
            <w:r>
              <w:rPr>
                <w:spacing w:val="-2"/>
                <w:sz w:val="20"/>
              </w:rPr>
              <w:t>18:05</w:t>
            </w:r>
          </w:p>
        </w:tc>
      </w:tr>
      <w:tr>
        <w:trPr>
          <w:trHeight w:val="229" w:hRule="atLeast"/>
        </w:trPr>
        <w:tc>
          <w:tcPr>
            <w:tcW w:w="6490" w:type="dxa"/>
            <w:gridSpan w:val="5"/>
          </w:tcPr>
          <w:p>
            <w:pPr>
              <w:pStyle w:val="TableParagraph"/>
              <w:spacing w:line="209" w:lineRule="exact"/>
              <w:ind w:left="35"/>
              <w:rPr>
                <w:sz w:val="20"/>
              </w:rPr>
            </w:pPr>
            <w:r>
              <w:rPr>
                <w:sz w:val="20"/>
              </w:rPr>
              <w:t>Sample(adjusted):</w:t>
            </w:r>
            <w:r>
              <w:rPr>
                <w:spacing w:val="-9"/>
                <w:sz w:val="20"/>
              </w:rPr>
              <w:t> </w:t>
            </w:r>
            <w:r>
              <w:rPr>
                <w:sz w:val="20"/>
              </w:rPr>
              <w:t>1989</w:t>
            </w:r>
            <w:r>
              <w:rPr>
                <w:spacing w:val="-9"/>
                <w:sz w:val="20"/>
              </w:rPr>
              <w:t> </w:t>
            </w:r>
            <w:r>
              <w:rPr>
                <w:spacing w:val="-4"/>
                <w:sz w:val="20"/>
              </w:rPr>
              <w:t>2011</w:t>
            </w:r>
          </w:p>
        </w:tc>
      </w:tr>
      <w:tr>
        <w:trPr>
          <w:trHeight w:val="223" w:hRule="atLeast"/>
        </w:trPr>
        <w:tc>
          <w:tcPr>
            <w:tcW w:w="6490" w:type="dxa"/>
            <w:gridSpan w:val="5"/>
            <w:tcBorders>
              <w:bottom w:val="double" w:sz="6" w:space="0" w:color="000000"/>
            </w:tcBorders>
          </w:tcPr>
          <w:p>
            <w:pPr>
              <w:pStyle w:val="TableParagraph"/>
              <w:spacing w:line="204" w:lineRule="exact"/>
              <w:ind w:left="35"/>
              <w:rPr>
                <w:sz w:val="20"/>
              </w:rPr>
            </w:pPr>
            <w:r>
              <w:rPr>
                <w:sz w:val="20"/>
              </w:rPr>
              <w:t>Included</w:t>
            </w:r>
            <w:r>
              <w:rPr>
                <w:spacing w:val="-6"/>
                <w:sz w:val="20"/>
              </w:rPr>
              <w:t> </w:t>
            </w:r>
            <w:r>
              <w:rPr>
                <w:sz w:val="20"/>
              </w:rPr>
              <w:t>observations:</w:t>
            </w:r>
            <w:r>
              <w:rPr>
                <w:spacing w:val="-8"/>
                <w:sz w:val="20"/>
              </w:rPr>
              <w:t> </w:t>
            </w:r>
            <w:r>
              <w:rPr>
                <w:sz w:val="20"/>
              </w:rPr>
              <w:t>23</w:t>
            </w:r>
            <w:r>
              <w:rPr>
                <w:spacing w:val="-5"/>
                <w:sz w:val="20"/>
              </w:rPr>
              <w:t> </w:t>
            </w:r>
            <w:r>
              <w:rPr>
                <w:sz w:val="20"/>
              </w:rPr>
              <w:t>after</w:t>
            </w:r>
            <w:r>
              <w:rPr>
                <w:spacing w:val="-7"/>
                <w:sz w:val="20"/>
              </w:rPr>
              <w:t> </w:t>
            </w:r>
            <w:r>
              <w:rPr>
                <w:sz w:val="20"/>
              </w:rPr>
              <w:t>adjusting</w:t>
            </w:r>
            <w:r>
              <w:rPr>
                <w:spacing w:val="-7"/>
                <w:sz w:val="20"/>
              </w:rPr>
              <w:t> </w:t>
            </w:r>
            <w:r>
              <w:rPr>
                <w:spacing w:val="-2"/>
                <w:sz w:val="20"/>
              </w:rPr>
              <w:t>endpoints</w:t>
            </w:r>
          </w:p>
        </w:tc>
      </w:tr>
      <w:tr>
        <w:trPr>
          <w:trHeight w:val="272" w:hRule="atLeast"/>
        </w:trPr>
        <w:tc>
          <w:tcPr>
            <w:tcW w:w="1849" w:type="dxa"/>
            <w:tcBorders>
              <w:top w:val="double" w:sz="6" w:space="0" w:color="000000"/>
              <w:bottom w:val="double" w:sz="6" w:space="0" w:color="000000"/>
            </w:tcBorders>
          </w:tcPr>
          <w:p>
            <w:pPr>
              <w:pStyle w:val="TableParagraph"/>
              <w:spacing w:line="209" w:lineRule="exact" w:before="43"/>
              <w:ind w:left="677"/>
              <w:rPr>
                <w:sz w:val="20"/>
              </w:rPr>
            </w:pPr>
            <w:r>
              <w:rPr>
                <w:spacing w:val="-2"/>
                <w:sz w:val="20"/>
              </w:rPr>
              <w:t>Variable</w:t>
            </w:r>
          </w:p>
        </w:tc>
        <w:tc>
          <w:tcPr>
            <w:tcW w:w="1377" w:type="dxa"/>
            <w:tcBorders>
              <w:top w:val="double" w:sz="6" w:space="0" w:color="000000"/>
              <w:bottom w:val="double" w:sz="6" w:space="0" w:color="000000"/>
            </w:tcBorders>
          </w:tcPr>
          <w:p>
            <w:pPr>
              <w:pStyle w:val="TableParagraph"/>
              <w:spacing w:line="209" w:lineRule="exact" w:before="43"/>
              <w:ind w:right="134"/>
              <w:jc w:val="right"/>
              <w:rPr>
                <w:sz w:val="20"/>
              </w:rPr>
            </w:pPr>
            <w:r>
              <w:rPr>
                <w:spacing w:val="-2"/>
                <w:sz w:val="20"/>
              </w:rPr>
              <w:t>Coefficient</w:t>
            </w:r>
          </w:p>
        </w:tc>
        <w:tc>
          <w:tcPr>
            <w:tcW w:w="1433" w:type="dxa"/>
            <w:tcBorders>
              <w:top w:val="double" w:sz="6" w:space="0" w:color="000000"/>
              <w:bottom w:val="double" w:sz="6" w:space="0" w:color="000000"/>
            </w:tcBorders>
          </w:tcPr>
          <w:p>
            <w:pPr>
              <w:pStyle w:val="TableParagraph"/>
              <w:spacing w:line="209" w:lineRule="exact" w:before="43"/>
              <w:ind w:left="271"/>
              <w:rPr>
                <w:sz w:val="20"/>
              </w:rPr>
            </w:pPr>
            <w:r>
              <w:rPr>
                <w:sz w:val="20"/>
              </w:rPr>
              <w:t>Std.</w:t>
            </w:r>
            <w:r>
              <w:rPr>
                <w:spacing w:val="-4"/>
                <w:sz w:val="20"/>
              </w:rPr>
              <w:t> </w:t>
            </w:r>
            <w:r>
              <w:rPr>
                <w:spacing w:val="-2"/>
                <w:sz w:val="20"/>
              </w:rPr>
              <w:t>Error</w:t>
            </w:r>
          </w:p>
        </w:tc>
        <w:tc>
          <w:tcPr>
            <w:tcW w:w="903" w:type="dxa"/>
            <w:tcBorders>
              <w:top w:val="double" w:sz="6" w:space="0" w:color="000000"/>
              <w:bottom w:val="double" w:sz="6" w:space="0" w:color="000000"/>
            </w:tcBorders>
          </w:tcPr>
          <w:p>
            <w:pPr>
              <w:pStyle w:val="TableParagraph"/>
              <w:spacing w:line="209" w:lineRule="exact" w:before="43"/>
              <w:ind w:right="26"/>
              <w:jc w:val="center"/>
              <w:rPr>
                <w:sz w:val="20"/>
              </w:rPr>
            </w:pPr>
            <w:r>
              <w:rPr>
                <w:spacing w:val="-4"/>
                <w:sz w:val="20"/>
              </w:rPr>
              <w:t>t-</w:t>
            </w:r>
            <w:r>
              <w:rPr>
                <w:spacing w:val="-2"/>
                <w:sz w:val="20"/>
              </w:rPr>
              <w:t>Statistic</w:t>
            </w:r>
          </w:p>
        </w:tc>
        <w:tc>
          <w:tcPr>
            <w:tcW w:w="928" w:type="dxa"/>
            <w:tcBorders>
              <w:top w:val="double" w:sz="6" w:space="0" w:color="000000"/>
              <w:bottom w:val="double" w:sz="6" w:space="0" w:color="000000"/>
            </w:tcBorders>
          </w:tcPr>
          <w:p>
            <w:pPr>
              <w:pStyle w:val="TableParagraph"/>
              <w:spacing w:line="209" w:lineRule="exact" w:before="43"/>
              <w:ind w:right="31"/>
              <w:jc w:val="right"/>
              <w:rPr>
                <w:sz w:val="20"/>
              </w:rPr>
            </w:pPr>
            <w:r>
              <w:rPr>
                <w:spacing w:val="-2"/>
                <w:sz w:val="20"/>
              </w:rPr>
              <w:t>Prob.</w:t>
            </w:r>
          </w:p>
        </w:tc>
      </w:tr>
      <w:tr>
        <w:trPr>
          <w:trHeight w:val="275" w:hRule="atLeast"/>
        </w:trPr>
        <w:tc>
          <w:tcPr>
            <w:tcW w:w="1849" w:type="dxa"/>
            <w:tcBorders>
              <w:top w:val="double" w:sz="6" w:space="0" w:color="000000"/>
            </w:tcBorders>
          </w:tcPr>
          <w:p>
            <w:pPr>
              <w:pStyle w:val="TableParagraph"/>
              <w:spacing w:line="215" w:lineRule="exact" w:before="40"/>
              <w:ind w:left="672"/>
              <w:rPr>
                <w:sz w:val="20"/>
              </w:rPr>
            </w:pPr>
            <w:r>
              <w:rPr>
                <w:spacing w:val="-2"/>
                <w:sz w:val="20"/>
              </w:rPr>
              <w:t>GDP(-</w:t>
            </w:r>
            <w:r>
              <w:rPr>
                <w:spacing w:val="-5"/>
                <w:sz w:val="20"/>
              </w:rPr>
              <w:t>1)</w:t>
            </w:r>
          </w:p>
        </w:tc>
        <w:tc>
          <w:tcPr>
            <w:tcW w:w="1377" w:type="dxa"/>
            <w:tcBorders>
              <w:top w:val="double" w:sz="6" w:space="0" w:color="000000"/>
            </w:tcBorders>
          </w:tcPr>
          <w:p>
            <w:pPr>
              <w:pStyle w:val="TableParagraph"/>
              <w:spacing w:line="215" w:lineRule="exact" w:before="40"/>
              <w:ind w:right="130"/>
              <w:jc w:val="right"/>
              <w:rPr>
                <w:sz w:val="20"/>
              </w:rPr>
            </w:pPr>
            <w:r>
              <w:rPr>
                <w:spacing w:val="-4"/>
                <w:sz w:val="20"/>
              </w:rPr>
              <w:t>-</w:t>
            </w:r>
            <w:r>
              <w:rPr>
                <w:spacing w:val="-2"/>
                <w:sz w:val="20"/>
              </w:rPr>
              <w:t>0.045246</w:t>
            </w:r>
          </w:p>
        </w:tc>
        <w:tc>
          <w:tcPr>
            <w:tcW w:w="1433" w:type="dxa"/>
            <w:tcBorders>
              <w:top w:val="double" w:sz="6" w:space="0" w:color="000000"/>
            </w:tcBorders>
          </w:tcPr>
          <w:p>
            <w:pPr>
              <w:pStyle w:val="TableParagraph"/>
              <w:spacing w:line="215" w:lineRule="exact" w:before="40"/>
              <w:ind w:left="310"/>
              <w:rPr>
                <w:sz w:val="20"/>
              </w:rPr>
            </w:pPr>
            <w:r>
              <w:rPr>
                <w:spacing w:val="-2"/>
                <w:sz w:val="20"/>
              </w:rPr>
              <w:t>0.022800</w:t>
            </w:r>
          </w:p>
        </w:tc>
        <w:tc>
          <w:tcPr>
            <w:tcW w:w="903" w:type="dxa"/>
            <w:tcBorders>
              <w:top w:val="double" w:sz="6" w:space="0" w:color="000000"/>
            </w:tcBorders>
          </w:tcPr>
          <w:p>
            <w:pPr>
              <w:pStyle w:val="TableParagraph"/>
              <w:spacing w:line="215" w:lineRule="exact" w:before="40"/>
              <w:ind w:right="74"/>
              <w:jc w:val="center"/>
              <w:rPr>
                <w:sz w:val="20"/>
              </w:rPr>
            </w:pPr>
            <w:r>
              <w:rPr>
                <w:spacing w:val="-4"/>
                <w:sz w:val="20"/>
              </w:rPr>
              <w:t>-</w:t>
            </w:r>
            <w:r>
              <w:rPr>
                <w:spacing w:val="-2"/>
                <w:sz w:val="20"/>
              </w:rPr>
              <w:t>1.984437</w:t>
            </w:r>
          </w:p>
        </w:tc>
        <w:tc>
          <w:tcPr>
            <w:tcW w:w="928" w:type="dxa"/>
            <w:tcBorders>
              <w:top w:val="double" w:sz="6" w:space="0" w:color="000000"/>
            </w:tcBorders>
          </w:tcPr>
          <w:p>
            <w:pPr>
              <w:pStyle w:val="TableParagraph"/>
              <w:spacing w:line="215" w:lineRule="exact" w:before="40"/>
              <w:ind w:right="30"/>
              <w:jc w:val="right"/>
              <w:rPr>
                <w:sz w:val="20"/>
              </w:rPr>
            </w:pPr>
            <w:r>
              <w:rPr>
                <w:spacing w:val="-2"/>
                <w:sz w:val="20"/>
              </w:rPr>
              <w:t>0.0611</w:t>
            </w:r>
          </w:p>
        </w:tc>
      </w:tr>
      <w:tr>
        <w:trPr>
          <w:trHeight w:val="230" w:hRule="atLeast"/>
        </w:trPr>
        <w:tc>
          <w:tcPr>
            <w:tcW w:w="1849" w:type="dxa"/>
          </w:tcPr>
          <w:p>
            <w:pPr>
              <w:pStyle w:val="TableParagraph"/>
              <w:spacing w:line="210" w:lineRule="exact"/>
              <w:ind w:left="533"/>
              <w:rPr>
                <w:sz w:val="20"/>
              </w:rPr>
            </w:pPr>
            <w:r>
              <w:rPr>
                <w:spacing w:val="-2"/>
                <w:sz w:val="20"/>
              </w:rPr>
              <w:t>D(GDP(-</w:t>
            </w:r>
            <w:r>
              <w:rPr>
                <w:spacing w:val="-5"/>
                <w:sz w:val="20"/>
              </w:rPr>
              <w:t>1))</w:t>
            </w:r>
          </w:p>
        </w:tc>
        <w:tc>
          <w:tcPr>
            <w:tcW w:w="1377" w:type="dxa"/>
          </w:tcPr>
          <w:p>
            <w:pPr>
              <w:pStyle w:val="TableParagraph"/>
              <w:spacing w:line="210" w:lineRule="exact"/>
              <w:ind w:right="130"/>
              <w:jc w:val="right"/>
              <w:rPr>
                <w:sz w:val="20"/>
              </w:rPr>
            </w:pPr>
            <w:r>
              <w:rPr>
                <w:spacing w:val="-4"/>
                <w:sz w:val="20"/>
              </w:rPr>
              <w:t>-</w:t>
            </w:r>
            <w:r>
              <w:rPr>
                <w:spacing w:val="-2"/>
                <w:sz w:val="20"/>
              </w:rPr>
              <w:t>0.060470</w:t>
            </w:r>
          </w:p>
        </w:tc>
        <w:tc>
          <w:tcPr>
            <w:tcW w:w="1433" w:type="dxa"/>
          </w:tcPr>
          <w:p>
            <w:pPr>
              <w:pStyle w:val="TableParagraph"/>
              <w:spacing w:line="210" w:lineRule="exact"/>
              <w:ind w:left="310"/>
              <w:rPr>
                <w:sz w:val="20"/>
              </w:rPr>
            </w:pPr>
            <w:r>
              <w:rPr>
                <w:spacing w:val="-2"/>
                <w:sz w:val="20"/>
              </w:rPr>
              <w:t>0.214688</w:t>
            </w:r>
          </w:p>
        </w:tc>
        <w:tc>
          <w:tcPr>
            <w:tcW w:w="903" w:type="dxa"/>
          </w:tcPr>
          <w:p>
            <w:pPr>
              <w:pStyle w:val="TableParagraph"/>
              <w:spacing w:line="210" w:lineRule="exact"/>
              <w:ind w:right="74"/>
              <w:jc w:val="center"/>
              <w:rPr>
                <w:sz w:val="20"/>
              </w:rPr>
            </w:pPr>
            <w:r>
              <w:rPr>
                <w:spacing w:val="-4"/>
                <w:sz w:val="20"/>
              </w:rPr>
              <w:t>-</w:t>
            </w:r>
            <w:r>
              <w:rPr>
                <w:spacing w:val="-2"/>
                <w:sz w:val="20"/>
              </w:rPr>
              <w:t>0.281664</w:t>
            </w:r>
          </w:p>
        </w:tc>
        <w:tc>
          <w:tcPr>
            <w:tcW w:w="928" w:type="dxa"/>
          </w:tcPr>
          <w:p>
            <w:pPr>
              <w:pStyle w:val="TableParagraph"/>
              <w:spacing w:line="210" w:lineRule="exact"/>
              <w:ind w:right="30"/>
              <w:jc w:val="right"/>
              <w:rPr>
                <w:sz w:val="20"/>
              </w:rPr>
            </w:pPr>
            <w:r>
              <w:rPr>
                <w:spacing w:val="-2"/>
                <w:sz w:val="20"/>
              </w:rPr>
              <w:t>0.7811</w:t>
            </w:r>
          </w:p>
        </w:tc>
      </w:tr>
      <w:tr>
        <w:trPr>
          <w:trHeight w:val="224" w:hRule="atLeast"/>
        </w:trPr>
        <w:tc>
          <w:tcPr>
            <w:tcW w:w="1849" w:type="dxa"/>
            <w:tcBorders>
              <w:bottom w:val="double" w:sz="6" w:space="0" w:color="000000"/>
            </w:tcBorders>
          </w:tcPr>
          <w:p>
            <w:pPr>
              <w:pStyle w:val="TableParagraph"/>
              <w:spacing w:line="205" w:lineRule="exact"/>
              <w:ind w:left="195"/>
              <w:jc w:val="center"/>
              <w:rPr>
                <w:sz w:val="20"/>
              </w:rPr>
            </w:pPr>
            <w:r>
              <w:rPr>
                <w:spacing w:val="-10"/>
                <w:sz w:val="20"/>
              </w:rPr>
              <w:t>C</w:t>
            </w:r>
          </w:p>
        </w:tc>
        <w:tc>
          <w:tcPr>
            <w:tcW w:w="1377" w:type="dxa"/>
            <w:tcBorders>
              <w:bottom w:val="double" w:sz="6" w:space="0" w:color="000000"/>
            </w:tcBorders>
          </w:tcPr>
          <w:p>
            <w:pPr>
              <w:pStyle w:val="TableParagraph"/>
              <w:spacing w:line="205" w:lineRule="exact"/>
              <w:ind w:right="130"/>
              <w:jc w:val="right"/>
              <w:rPr>
                <w:sz w:val="20"/>
              </w:rPr>
            </w:pPr>
            <w:r>
              <w:rPr>
                <w:spacing w:val="-2"/>
                <w:sz w:val="20"/>
              </w:rPr>
              <w:t>0.934594</w:t>
            </w:r>
          </w:p>
        </w:tc>
        <w:tc>
          <w:tcPr>
            <w:tcW w:w="1433" w:type="dxa"/>
            <w:tcBorders>
              <w:bottom w:val="double" w:sz="6" w:space="0" w:color="000000"/>
            </w:tcBorders>
          </w:tcPr>
          <w:p>
            <w:pPr>
              <w:pStyle w:val="TableParagraph"/>
              <w:spacing w:line="205" w:lineRule="exact"/>
              <w:ind w:left="310"/>
              <w:rPr>
                <w:sz w:val="20"/>
              </w:rPr>
            </w:pPr>
            <w:r>
              <w:rPr>
                <w:spacing w:val="-2"/>
                <w:sz w:val="20"/>
              </w:rPr>
              <w:t>0.360462</w:t>
            </w:r>
          </w:p>
        </w:tc>
        <w:tc>
          <w:tcPr>
            <w:tcW w:w="903" w:type="dxa"/>
            <w:tcBorders>
              <w:bottom w:val="double" w:sz="6" w:space="0" w:color="000000"/>
            </w:tcBorders>
          </w:tcPr>
          <w:p>
            <w:pPr>
              <w:pStyle w:val="TableParagraph"/>
              <w:spacing w:line="205" w:lineRule="exact"/>
              <w:ind w:right="9"/>
              <w:jc w:val="center"/>
              <w:rPr>
                <w:sz w:val="20"/>
              </w:rPr>
            </w:pPr>
            <w:r>
              <w:rPr>
                <w:spacing w:val="-2"/>
                <w:sz w:val="20"/>
              </w:rPr>
              <w:t>2.592766</w:t>
            </w:r>
          </w:p>
        </w:tc>
        <w:tc>
          <w:tcPr>
            <w:tcW w:w="928" w:type="dxa"/>
            <w:tcBorders>
              <w:bottom w:val="double" w:sz="6" w:space="0" w:color="000000"/>
            </w:tcBorders>
          </w:tcPr>
          <w:p>
            <w:pPr>
              <w:pStyle w:val="TableParagraph"/>
              <w:spacing w:line="205" w:lineRule="exact"/>
              <w:ind w:right="30"/>
              <w:jc w:val="right"/>
              <w:rPr>
                <w:sz w:val="20"/>
              </w:rPr>
            </w:pPr>
            <w:r>
              <w:rPr>
                <w:spacing w:val="-2"/>
                <w:sz w:val="20"/>
              </w:rPr>
              <w:t>0.0174</w:t>
            </w:r>
          </w:p>
        </w:tc>
      </w:tr>
      <w:tr>
        <w:trPr>
          <w:trHeight w:val="275" w:hRule="atLeast"/>
        </w:trPr>
        <w:tc>
          <w:tcPr>
            <w:tcW w:w="1849" w:type="dxa"/>
            <w:tcBorders>
              <w:top w:val="double" w:sz="6" w:space="0" w:color="000000"/>
            </w:tcBorders>
          </w:tcPr>
          <w:p>
            <w:pPr>
              <w:pStyle w:val="TableParagraph"/>
              <w:spacing w:line="215" w:lineRule="exact" w:before="40"/>
              <w:ind w:left="35"/>
              <w:rPr>
                <w:sz w:val="20"/>
              </w:rPr>
            </w:pPr>
            <w:r>
              <w:rPr>
                <w:spacing w:val="-2"/>
                <w:sz w:val="20"/>
              </w:rPr>
              <w:t>R-squared</w:t>
            </w:r>
          </w:p>
        </w:tc>
        <w:tc>
          <w:tcPr>
            <w:tcW w:w="1377" w:type="dxa"/>
            <w:tcBorders>
              <w:top w:val="double" w:sz="6" w:space="0" w:color="000000"/>
            </w:tcBorders>
          </w:tcPr>
          <w:p>
            <w:pPr>
              <w:pStyle w:val="TableParagraph"/>
              <w:spacing w:line="215" w:lineRule="exact" w:before="40"/>
              <w:ind w:right="130"/>
              <w:jc w:val="right"/>
              <w:rPr>
                <w:sz w:val="20"/>
              </w:rPr>
            </w:pPr>
            <w:r>
              <w:rPr>
                <w:spacing w:val="-2"/>
                <w:sz w:val="20"/>
              </w:rPr>
              <w:t>0.166671</w:t>
            </w:r>
          </w:p>
        </w:tc>
        <w:tc>
          <w:tcPr>
            <w:tcW w:w="2336" w:type="dxa"/>
            <w:gridSpan w:val="2"/>
            <w:tcBorders>
              <w:top w:val="double" w:sz="6" w:space="0" w:color="000000"/>
            </w:tcBorders>
          </w:tcPr>
          <w:p>
            <w:pPr>
              <w:pStyle w:val="TableParagraph"/>
              <w:spacing w:line="215" w:lineRule="exact" w:before="40"/>
              <w:ind w:left="130"/>
              <w:rPr>
                <w:sz w:val="20"/>
              </w:rPr>
            </w:pPr>
            <w:r>
              <w:rPr>
                <w:sz w:val="20"/>
              </w:rPr>
              <w:t>Mean</w:t>
            </w:r>
            <w:r>
              <w:rPr>
                <w:spacing w:val="-7"/>
                <w:sz w:val="20"/>
              </w:rPr>
              <w:t> </w:t>
            </w:r>
            <w:r>
              <w:rPr>
                <w:sz w:val="20"/>
              </w:rPr>
              <w:t>dependent</w:t>
            </w:r>
            <w:r>
              <w:rPr>
                <w:spacing w:val="-7"/>
                <w:sz w:val="20"/>
              </w:rPr>
              <w:t> </w:t>
            </w:r>
            <w:r>
              <w:rPr>
                <w:spacing w:val="-5"/>
                <w:sz w:val="20"/>
              </w:rPr>
              <w:t>var</w:t>
            </w:r>
          </w:p>
        </w:tc>
        <w:tc>
          <w:tcPr>
            <w:tcW w:w="928" w:type="dxa"/>
            <w:tcBorders>
              <w:top w:val="double" w:sz="6" w:space="0" w:color="000000"/>
            </w:tcBorders>
          </w:tcPr>
          <w:p>
            <w:pPr>
              <w:pStyle w:val="TableParagraph"/>
              <w:spacing w:line="215" w:lineRule="exact" w:before="40"/>
              <w:ind w:right="30"/>
              <w:jc w:val="right"/>
              <w:rPr>
                <w:sz w:val="20"/>
              </w:rPr>
            </w:pPr>
            <w:r>
              <w:rPr>
                <w:spacing w:val="-2"/>
                <w:sz w:val="20"/>
              </w:rPr>
              <w:t>0.243399</w:t>
            </w:r>
          </w:p>
        </w:tc>
      </w:tr>
      <w:tr>
        <w:trPr>
          <w:trHeight w:val="229" w:hRule="atLeast"/>
        </w:trPr>
        <w:tc>
          <w:tcPr>
            <w:tcW w:w="1849" w:type="dxa"/>
          </w:tcPr>
          <w:p>
            <w:pPr>
              <w:pStyle w:val="TableParagraph"/>
              <w:spacing w:line="209" w:lineRule="exact"/>
              <w:ind w:left="35"/>
              <w:rPr>
                <w:sz w:val="20"/>
              </w:rPr>
            </w:pPr>
            <w:r>
              <w:rPr>
                <w:sz w:val="20"/>
              </w:rPr>
              <w:t>Adjusted</w:t>
            </w:r>
            <w:r>
              <w:rPr>
                <w:spacing w:val="-10"/>
                <w:sz w:val="20"/>
              </w:rPr>
              <w:t> </w:t>
            </w:r>
            <w:r>
              <w:rPr>
                <w:sz w:val="20"/>
              </w:rPr>
              <w:t>R-</w:t>
            </w:r>
            <w:r>
              <w:rPr>
                <w:spacing w:val="-2"/>
                <w:sz w:val="20"/>
              </w:rPr>
              <w:t>squared</w:t>
            </w:r>
          </w:p>
        </w:tc>
        <w:tc>
          <w:tcPr>
            <w:tcW w:w="1377" w:type="dxa"/>
          </w:tcPr>
          <w:p>
            <w:pPr>
              <w:pStyle w:val="TableParagraph"/>
              <w:spacing w:line="209" w:lineRule="exact"/>
              <w:ind w:right="130"/>
              <w:jc w:val="right"/>
              <w:rPr>
                <w:sz w:val="20"/>
              </w:rPr>
            </w:pPr>
            <w:r>
              <w:rPr>
                <w:spacing w:val="-2"/>
                <w:sz w:val="20"/>
              </w:rPr>
              <w:t>0.083339</w:t>
            </w:r>
          </w:p>
        </w:tc>
        <w:tc>
          <w:tcPr>
            <w:tcW w:w="2336" w:type="dxa"/>
            <w:gridSpan w:val="2"/>
          </w:tcPr>
          <w:p>
            <w:pPr>
              <w:pStyle w:val="TableParagraph"/>
              <w:spacing w:line="209" w:lineRule="exact"/>
              <w:ind w:left="130"/>
              <w:rPr>
                <w:sz w:val="20"/>
              </w:rPr>
            </w:pPr>
            <w:r>
              <w:rPr>
                <w:sz w:val="20"/>
              </w:rPr>
              <w:t>S.D.</w:t>
            </w:r>
            <w:r>
              <w:rPr>
                <w:spacing w:val="-5"/>
                <w:sz w:val="20"/>
              </w:rPr>
              <w:t> </w:t>
            </w:r>
            <w:r>
              <w:rPr>
                <w:sz w:val="20"/>
              </w:rPr>
              <w:t>dependent</w:t>
            </w:r>
            <w:r>
              <w:rPr>
                <w:spacing w:val="-6"/>
                <w:sz w:val="20"/>
              </w:rPr>
              <w:t> </w:t>
            </w:r>
            <w:r>
              <w:rPr>
                <w:spacing w:val="-5"/>
                <w:sz w:val="20"/>
              </w:rPr>
              <w:t>var</w:t>
            </w:r>
          </w:p>
        </w:tc>
        <w:tc>
          <w:tcPr>
            <w:tcW w:w="928" w:type="dxa"/>
          </w:tcPr>
          <w:p>
            <w:pPr>
              <w:pStyle w:val="TableParagraph"/>
              <w:spacing w:line="209" w:lineRule="exact"/>
              <w:ind w:right="30"/>
              <w:jc w:val="right"/>
              <w:rPr>
                <w:sz w:val="20"/>
              </w:rPr>
            </w:pPr>
            <w:r>
              <w:rPr>
                <w:spacing w:val="-2"/>
                <w:sz w:val="20"/>
              </w:rPr>
              <w:t>0.181415</w:t>
            </w:r>
          </w:p>
        </w:tc>
      </w:tr>
      <w:tr>
        <w:trPr>
          <w:trHeight w:val="229" w:hRule="atLeast"/>
        </w:trPr>
        <w:tc>
          <w:tcPr>
            <w:tcW w:w="1849" w:type="dxa"/>
          </w:tcPr>
          <w:p>
            <w:pPr>
              <w:pStyle w:val="TableParagraph"/>
              <w:spacing w:line="209" w:lineRule="exact"/>
              <w:ind w:left="35"/>
              <w:rPr>
                <w:sz w:val="20"/>
              </w:rPr>
            </w:pPr>
            <w:r>
              <w:rPr>
                <w:sz w:val="20"/>
              </w:rPr>
              <w:t>S.E.</w:t>
            </w:r>
            <w:r>
              <w:rPr>
                <w:spacing w:val="-3"/>
                <w:sz w:val="20"/>
              </w:rPr>
              <w:t> </w:t>
            </w:r>
            <w:r>
              <w:rPr>
                <w:sz w:val="20"/>
              </w:rPr>
              <w:t>of</w:t>
            </w:r>
            <w:r>
              <w:rPr>
                <w:spacing w:val="-3"/>
                <w:sz w:val="20"/>
              </w:rPr>
              <w:t> </w:t>
            </w:r>
            <w:r>
              <w:rPr>
                <w:spacing w:val="-2"/>
                <w:sz w:val="20"/>
              </w:rPr>
              <w:t>regression</w:t>
            </w:r>
          </w:p>
        </w:tc>
        <w:tc>
          <w:tcPr>
            <w:tcW w:w="1377" w:type="dxa"/>
          </w:tcPr>
          <w:p>
            <w:pPr>
              <w:pStyle w:val="TableParagraph"/>
              <w:spacing w:line="209" w:lineRule="exact"/>
              <w:ind w:right="130"/>
              <w:jc w:val="right"/>
              <w:rPr>
                <w:sz w:val="20"/>
              </w:rPr>
            </w:pPr>
            <w:r>
              <w:rPr>
                <w:spacing w:val="-2"/>
                <w:sz w:val="20"/>
              </w:rPr>
              <w:t>0.173691</w:t>
            </w:r>
          </w:p>
        </w:tc>
        <w:tc>
          <w:tcPr>
            <w:tcW w:w="2336" w:type="dxa"/>
            <w:gridSpan w:val="2"/>
          </w:tcPr>
          <w:p>
            <w:pPr>
              <w:pStyle w:val="TableParagraph"/>
              <w:spacing w:line="209" w:lineRule="exact"/>
              <w:ind w:left="130"/>
              <w:rPr>
                <w:sz w:val="20"/>
              </w:rPr>
            </w:pPr>
            <w:r>
              <w:rPr>
                <w:sz w:val="20"/>
              </w:rPr>
              <w:t>Akaike</w:t>
            </w:r>
            <w:r>
              <w:rPr>
                <w:spacing w:val="-8"/>
                <w:sz w:val="20"/>
              </w:rPr>
              <w:t> </w:t>
            </w:r>
            <w:r>
              <w:rPr>
                <w:sz w:val="20"/>
              </w:rPr>
              <w:t>info</w:t>
            </w:r>
            <w:r>
              <w:rPr>
                <w:spacing w:val="-7"/>
                <w:sz w:val="20"/>
              </w:rPr>
              <w:t> </w:t>
            </w:r>
            <w:r>
              <w:rPr>
                <w:spacing w:val="-2"/>
                <w:sz w:val="20"/>
              </w:rPr>
              <w:t>criterion</w:t>
            </w:r>
          </w:p>
        </w:tc>
        <w:tc>
          <w:tcPr>
            <w:tcW w:w="928" w:type="dxa"/>
          </w:tcPr>
          <w:p>
            <w:pPr>
              <w:pStyle w:val="TableParagraph"/>
              <w:spacing w:line="209" w:lineRule="exact"/>
              <w:ind w:right="30"/>
              <w:jc w:val="right"/>
              <w:rPr>
                <w:sz w:val="20"/>
              </w:rPr>
            </w:pPr>
            <w:r>
              <w:rPr>
                <w:spacing w:val="-4"/>
                <w:sz w:val="20"/>
              </w:rPr>
              <w:t>-</w:t>
            </w:r>
            <w:r>
              <w:rPr>
                <w:spacing w:val="-2"/>
                <w:sz w:val="20"/>
              </w:rPr>
              <w:t>0.541972</w:t>
            </w:r>
          </w:p>
        </w:tc>
      </w:tr>
      <w:tr>
        <w:trPr>
          <w:trHeight w:val="230" w:hRule="atLeast"/>
        </w:trPr>
        <w:tc>
          <w:tcPr>
            <w:tcW w:w="1849" w:type="dxa"/>
          </w:tcPr>
          <w:p>
            <w:pPr>
              <w:pStyle w:val="TableParagraph"/>
              <w:spacing w:line="210" w:lineRule="exact"/>
              <w:ind w:left="35"/>
              <w:rPr>
                <w:sz w:val="20"/>
              </w:rPr>
            </w:pPr>
            <w:r>
              <w:rPr>
                <w:sz w:val="20"/>
              </w:rPr>
              <w:t>Sum</w:t>
            </w:r>
            <w:r>
              <w:rPr>
                <w:spacing w:val="-8"/>
                <w:sz w:val="20"/>
              </w:rPr>
              <w:t> </w:t>
            </w:r>
            <w:r>
              <w:rPr>
                <w:sz w:val="20"/>
              </w:rPr>
              <w:t>squared</w:t>
            </w:r>
            <w:r>
              <w:rPr>
                <w:spacing w:val="-4"/>
                <w:sz w:val="20"/>
              </w:rPr>
              <w:t> </w:t>
            </w:r>
            <w:r>
              <w:rPr>
                <w:spacing w:val="-2"/>
                <w:sz w:val="20"/>
              </w:rPr>
              <w:t>resid</w:t>
            </w:r>
          </w:p>
        </w:tc>
        <w:tc>
          <w:tcPr>
            <w:tcW w:w="1377" w:type="dxa"/>
          </w:tcPr>
          <w:p>
            <w:pPr>
              <w:pStyle w:val="TableParagraph"/>
              <w:spacing w:line="210" w:lineRule="exact"/>
              <w:ind w:right="130"/>
              <w:jc w:val="right"/>
              <w:rPr>
                <w:sz w:val="20"/>
              </w:rPr>
            </w:pPr>
            <w:r>
              <w:rPr>
                <w:spacing w:val="-2"/>
                <w:sz w:val="20"/>
              </w:rPr>
              <w:t>0.603370</w:t>
            </w:r>
          </w:p>
        </w:tc>
        <w:tc>
          <w:tcPr>
            <w:tcW w:w="2336" w:type="dxa"/>
            <w:gridSpan w:val="2"/>
          </w:tcPr>
          <w:p>
            <w:pPr>
              <w:pStyle w:val="TableParagraph"/>
              <w:spacing w:line="210" w:lineRule="exact"/>
              <w:ind w:left="130"/>
              <w:rPr>
                <w:sz w:val="20"/>
              </w:rPr>
            </w:pPr>
            <w:r>
              <w:rPr>
                <w:sz w:val="20"/>
              </w:rPr>
              <w:t>Schwarz</w:t>
            </w:r>
            <w:r>
              <w:rPr>
                <w:spacing w:val="-8"/>
                <w:sz w:val="20"/>
              </w:rPr>
              <w:t> </w:t>
            </w:r>
            <w:r>
              <w:rPr>
                <w:spacing w:val="-2"/>
                <w:sz w:val="20"/>
              </w:rPr>
              <w:t>criterion</w:t>
            </w:r>
          </w:p>
        </w:tc>
        <w:tc>
          <w:tcPr>
            <w:tcW w:w="928" w:type="dxa"/>
          </w:tcPr>
          <w:p>
            <w:pPr>
              <w:pStyle w:val="TableParagraph"/>
              <w:spacing w:line="210" w:lineRule="exact"/>
              <w:ind w:right="30"/>
              <w:jc w:val="right"/>
              <w:rPr>
                <w:sz w:val="20"/>
              </w:rPr>
            </w:pPr>
            <w:r>
              <w:rPr>
                <w:spacing w:val="-4"/>
                <w:sz w:val="20"/>
              </w:rPr>
              <w:t>-</w:t>
            </w:r>
            <w:r>
              <w:rPr>
                <w:spacing w:val="-2"/>
                <w:sz w:val="20"/>
              </w:rPr>
              <w:t>0.393864</w:t>
            </w:r>
          </w:p>
        </w:tc>
      </w:tr>
      <w:tr>
        <w:trPr>
          <w:trHeight w:val="230" w:hRule="atLeast"/>
        </w:trPr>
        <w:tc>
          <w:tcPr>
            <w:tcW w:w="1849" w:type="dxa"/>
          </w:tcPr>
          <w:p>
            <w:pPr>
              <w:pStyle w:val="TableParagraph"/>
              <w:spacing w:line="210" w:lineRule="exact"/>
              <w:ind w:left="35"/>
              <w:rPr>
                <w:sz w:val="20"/>
              </w:rPr>
            </w:pPr>
            <w:r>
              <w:rPr>
                <w:sz w:val="20"/>
              </w:rPr>
              <w:t>Log</w:t>
            </w:r>
            <w:r>
              <w:rPr>
                <w:spacing w:val="-6"/>
                <w:sz w:val="20"/>
              </w:rPr>
              <w:t> </w:t>
            </w:r>
            <w:r>
              <w:rPr>
                <w:spacing w:val="-2"/>
                <w:sz w:val="20"/>
              </w:rPr>
              <w:t>likelihood</w:t>
            </w:r>
          </w:p>
        </w:tc>
        <w:tc>
          <w:tcPr>
            <w:tcW w:w="1377" w:type="dxa"/>
          </w:tcPr>
          <w:p>
            <w:pPr>
              <w:pStyle w:val="TableParagraph"/>
              <w:spacing w:line="210" w:lineRule="exact"/>
              <w:ind w:right="130"/>
              <w:jc w:val="right"/>
              <w:rPr>
                <w:sz w:val="20"/>
              </w:rPr>
            </w:pPr>
            <w:r>
              <w:rPr>
                <w:spacing w:val="-2"/>
                <w:sz w:val="20"/>
              </w:rPr>
              <w:t>9.232674</w:t>
            </w:r>
          </w:p>
        </w:tc>
        <w:tc>
          <w:tcPr>
            <w:tcW w:w="1433" w:type="dxa"/>
          </w:tcPr>
          <w:p>
            <w:pPr>
              <w:pStyle w:val="TableParagraph"/>
              <w:spacing w:line="210" w:lineRule="exact"/>
              <w:ind w:left="130"/>
              <w:rPr>
                <w:sz w:val="20"/>
              </w:rPr>
            </w:pPr>
            <w:r>
              <w:rPr>
                <w:spacing w:val="-4"/>
                <w:sz w:val="20"/>
              </w:rPr>
              <w:t>F-</w:t>
            </w:r>
            <w:r>
              <w:rPr>
                <w:spacing w:val="-2"/>
                <w:sz w:val="20"/>
              </w:rPr>
              <w:t>statistic</w:t>
            </w:r>
          </w:p>
        </w:tc>
        <w:tc>
          <w:tcPr>
            <w:tcW w:w="903" w:type="dxa"/>
          </w:tcPr>
          <w:p>
            <w:pPr>
              <w:pStyle w:val="TableParagraph"/>
              <w:rPr>
                <w:sz w:val="16"/>
              </w:rPr>
            </w:pPr>
          </w:p>
        </w:tc>
        <w:tc>
          <w:tcPr>
            <w:tcW w:w="928" w:type="dxa"/>
          </w:tcPr>
          <w:p>
            <w:pPr>
              <w:pStyle w:val="TableParagraph"/>
              <w:spacing w:line="210" w:lineRule="exact"/>
              <w:ind w:right="30"/>
              <w:jc w:val="right"/>
              <w:rPr>
                <w:sz w:val="20"/>
              </w:rPr>
            </w:pPr>
            <w:r>
              <w:rPr>
                <w:spacing w:val="-2"/>
                <w:sz w:val="20"/>
              </w:rPr>
              <w:t>2.000069</w:t>
            </w:r>
          </w:p>
        </w:tc>
      </w:tr>
      <w:tr>
        <w:trPr>
          <w:trHeight w:val="265" w:hRule="atLeast"/>
        </w:trPr>
        <w:tc>
          <w:tcPr>
            <w:tcW w:w="1849" w:type="dxa"/>
            <w:tcBorders>
              <w:bottom w:val="double" w:sz="6" w:space="0" w:color="000000"/>
            </w:tcBorders>
          </w:tcPr>
          <w:p>
            <w:pPr>
              <w:pStyle w:val="TableParagraph"/>
              <w:spacing w:line="226" w:lineRule="exact"/>
              <w:ind w:left="35"/>
              <w:rPr>
                <w:sz w:val="20"/>
              </w:rPr>
            </w:pPr>
            <w:r>
              <w:rPr>
                <w:sz w:val="20"/>
              </w:rPr>
              <w:t>Durbin-Watson</w:t>
            </w:r>
            <w:r>
              <w:rPr>
                <w:spacing w:val="-12"/>
                <w:sz w:val="20"/>
              </w:rPr>
              <w:t> </w:t>
            </w:r>
            <w:r>
              <w:rPr>
                <w:spacing w:val="-4"/>
                <w:sz w:val="20"/>
              </w:rPr>
              <w:t>stat</w:t>
            </w:r>
          </w:p>
        </w:tc>
        <w:tc>
          <w:tcPr>
            <w:tcW w:w="1377" w:type="dxa"/>
          </w:tcPr>
          <w:p>
            <w:pPr>
              <w:pStyle w:val="TableParagraph"/>
              <w:spacing w:line="226" w:lineRule="exact"/>
              <w:ind w:right="130"/>
              <w:jc w:val="right"/>
              <w:rPr>
                <w:sz w:val="20"/>
              </w:rPr>
            </w:pPr>
            <w:r>
              <w:rPr>
                <w:spacing w:val="-2"/>
                <w:sz w:val="20"/>
              </w:rPr>
              <w:t>1.995825</w:t>
            </w:r>
          </w:p>
        </w:tc>
        <w:tc>
          <w:tcPr>
            <w:tcW w:w="1433" w:type="dxa"/>
            <w:tcBorders>
              <w:bottom w:val="double" w:sz="6" w:space="0" w:color="000000"/>
            </w:tcBorders>
          </w:tcPr>
          <w:p>
            <w:pPr>
              <w:pStyle w:val="TableParagraph"/>
              <w:spacing w:line="226" w:lineRule="exact"/>
              <w:ind w:left="130"/>
              <w:rPr>
                <w:sz w:val="20"/>
              </w:rPr>
            </w:pPr>
            <w:r>
              <w:rPr>
                <w:spacing w:val="-2"/>
                <w:sz w:val="20"/>
              </w:rPr>
              <w:t>Prob(F-statistic)</w:t>
            </w:r>
          </w:p>
        </w:tc>
        <w:tc>
          <w:tcPr>
            <w:tcW w:w="903" w:type="dxa"/>
            <w:tcBorders>
              <w:bottom w:val="double" w:sz="6" w:space="0" w:color="000000"/>
            </w:tcBorders>
          </w:tcPr>
          <w:p>
            <w:pPr>
              <w:pStyle w:val="TableParagraph"/>
              <w:rPr>
                <w:sz w:val="18"/>
              </w:rPr>
            </w:pPr>
          </w:p>
        </w:tc>
        <w:tc>
          <w:tcPr>
            <w:tcW w:w="928" w:type="dxa"/>
            <w:tcBorders>
              <w:bottom w:val="double" w:sz="6" w:space="0" w:color="000000"/>
            </w:tcBorders>
          </w:tcPr>
          <w:p>
            <w:pPr>
              <w:pStyle w:val="TableParagraph"/>
              <w:spacing w:line="226" w:lineRule="exact"/>
              <w:ind w:right="30"/>
              <w:jc w:val="right"/>
              <w:rPr>
                <w:sz w:val="20"/>
              </w:rPr>
            </w:pPr>
            <w:r>
              <w:rPr>
                <w:spacing w:val="-2"/>
                <w:sz w:val="20"/>
              </w:rPr>
              <w:t>0.161496</w:t>
            </w:r>
          </w:p>
        </w:tc>
      </w:tr>
    </w:tbl>
    <w:p>
      <w:pPr>
        <w:pStyle w:val="BodyText"/>
        <w:spacing w:before="14"/>
        <w:rPr>
          <w:sz w:val="20"/>
        </w:rPr>
      </w:pPr>
    </w:p>
    <w:p>
      <w:pPr>
        <w:spacing w:before="1" w:after="10"/>
        <w:ind w:left="771" w:right="0" w:firstLine="0"/>
        <w:jc w:val="left"/>
        <w:rPr>
          <w:sz w:val="20"/>
        </w:rPr>
      </w:pPr>
      <w:r>
        <w:rPr>
          <w:sz w:val="20"/>
        </w:rPr>
        <w:t>GDP</w:t>
      </w:r>
      <w:r>
        <w:rPr>
          <w:spacing w:val="-2"/>
          <w:sz w:val="20"/>
        </w:rPr>
        <w:t> </w:t>
      </w:r>
      <w:r>
        <w:rPr>
          <w:sz w:val="20"/>
        </w:rPr>
        <w:t>@</w:t>
      </w:r>
      <w:r>
        <w:rPr>
          <w:spacing w:val="-4"/>
          <w:sz w:val="20"/>
        </w:rPr>
        <w:t> </w:t>
      </w:r>
      <w:r>
        <w:rPr>
          <w:sz w:val="20"/>
        </w:rPr>
        <w:t>1</w:t>
      </w:r>
      <w:r>
        <w:rPr>
          <w:sz w:val="20"/>
          <w:vertAlign w:val="superscript"/>
        </w:rPr>
        <w:t>ST</w:t>
      </w:r>
      <w:r>
        <w:rPr>
          <w:spacing w:val="-3"/>
          <w:sz w:val="20"/>
          <w:vertAlign w:val="baseline"/>
        </w:rPr>
        <w:t> </w:t>
      </w:r>
      <w:r>
        <w:rPr>
          <w:spacing w:val="-4"/>
          <w:sz w:val="20"/>
          <w:vertAlign w:val="baseline"/>
        </w:rPr>
        <w:t>DIFF</w:t>
      </w:r>
    </w:p>
    <w:tbl>
      <w:tblPr>
        <w:tblW w:w="0" w:type="auto"/>
        <w:jc w:val="left"/>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09"/>
        <w:gridCol w:w="1325"/>
        <w:gridCol w:w="2298"/>
        <w:gridCol w:w="1088"/>
      </w:tblGrid>
      <w:tr>
        <w:trPr>
          <w:trHeight w:val="220" w:hRule="atLeast"/>
        </w:trPr>
        <w:tc>
          <w:tcPr>
            <w:tcW w:w="1809" w:type="dxa"/>
          </w:tcPr>
          <w:p>
            <w:pPr>
              <w:pStyle w:val="TableParagraph"/>
              <w:spacing w:line="201" w:lineRule="exact"/>
              <w:ind w:left="50"/>
              <w:rPr>
                <w:sz w:val="20"/>
              </w:rPr>
            </w:pPr>
            <w:r>
              <w:rPr>
                <w:sz w:val="20"/>
              </w:rPr>
              <w:t>ADF</w:t>
            </w:r>
            <w:r>
              <w:rPr>
                <w:spacing w:val="-4"/>
                <w:sz w:val="20"/>
              </w:rPr>
              <w:t> </w:t>
            </w:r>
            <w:r>
              <w:rPr>
                <w:sz w:val="20"/>
              </w:rPr>
              <w:t>Test</w:t>
            </w:r>
            <w:r>
              <w:rPr>
                <w:spacing w:val="-4"/>
                <w:sz w:val="20"/>
              </w:rPr>
              <w:t> </w:t>
            </w:r>
            <w:r>
              <w:rPr>
                <w:spacing w:val="-2"/>
                <w:sz w:val="20"/>
              </w:rPr>
              <w:t>Statistic</w:t>
            </w:r>
          </w:p>
        </w:tc>
        <w:tc>
          <w:tcPr>
            <w:tcW w:w="1325" w:type="dxa"/>
          </w:tcPr>
          <w:p>
            <w:pPr>
              <w:pStyle w:val="TableParagraph"/>
              <w:spacing w:line="201" w:lineRule="exact"/>
              <w:ind w:left="274"/>
              <w:rPr>
                <w:sz w:val="20"/>
              </w:rPr>
            </w:pPr>
            <w:r>
              <w:rPr>
                <w:spacing w:val="-4"/>
                <w:sz w:val="20"/>
              </w:rPr>
              <w:t>-</w:t>
            </w:r>
            <w:r>
              <w:rPr>
                <w:spacing w:val="-2"/>
                <w:sz w:val="20"/>
              </w:rPr>
              <w:t>3.361317</w:t>
            </w:r>
          </w:p>
        </w:tc>
        <w:tc>
          <w:tcPr>
            <w:tcW w:w="2298" w:type="dxa"/>
          </w:tcPr>
          <w:p>
            <w:pPr>
              <w:pStyle w:val="TableParagraph"/>
              <w:spacing w:line="201" w:lineRule="exact"/>
              <w:ind w:left="236"/>
              <w:rPr>
                <w:sz w:val="20"/>
              </w:rPr>
            </w:pPr>
            <w:r>
              <w:rPr>
                <w:sz w:val="20"/>
              </w:rPr>
              <w:t>1%</w:t>
            </w:r>
            <w:r>
              <w:rPr>
                <w:spacing w:val="68"/>
                <w:w w:val="150"/>
                <w:sz w:val="20"/>
              </w:rPr>
              <w:t> </w:t>
            </w:r>
            <w:r>
              <w:rPr>
                <w:sz w:val="20"/>
              </w:rPr>
              <w:t>Critical</w:t>
            </w:r>
            <w:r>
              <w:rPr>
                <w:spacing w:val="-2"/>
                <w:sz w:val="20"/>
              </w:rPr>
              <w:t> Value*</w:t>
            </w:r>
          </w:p>
        </w:tc>
        <w:tc>
          <w:tcPr>
            <w:tcW w:w="1088" w:type="dxa"/>
          </w:tcPr>
          <w:p>
            <w:pPr>
              <w:pStyle w:val="TableParagraph"/>
              <w:spacing w:line="201" w:lineRule="exact"/>
              <w:ind w:left="422"/>
              <w:rPr>
                <w:sz w:val="20"/>
              </w:rPr>
            </w:pPr>
            <w:r>
              <w:rPr>
                <w:spacing w:val="-4"/>
                <w:sz w:val="20"/>
              </w:rPr>
              <w:t>-</w:t>
            </w:r>
            <w:r>
              <w:rPr>
                <w:spacing w:val="-2"/>
                <w:sz w:val="20"/>
              </w:rPr>
              <w:t>3.7667</w:t>
            </w:r>
          </w:p>
        </w:tc>
      </w:tr>
    </w:tbl>
    <w:p>
      <w:pPr>
        <w:spacing w:after="0" w:line="201" w:lineRule="exact"/>
        <w:rPr>
          <w:sz w:val="20"/>
        </w:rPr>
        <w:sectPr>
          <w:footerReference w:type="default" r:id="rId66"/>
          <w:pgSz w:w="11910" w:h="16840"/>
          <w:pgMar w:header="0" w:footer="982" w:top="1420" w:bottom="1180" w:left="280" w:right="0"/>
        </w:sectPr>
      </w:pPr>
    </w:p>
    <w:p>
      <w:pPr>
        <w:pStyle w:val="BodyText"/>
        <w:spacing w:before="1"/>
        <w:rPr>
          <w:sz w:val="2"/>
        </w:rPr>
      </w:pPr>
    </w:p>
    <w:tbl>
      <w:tblPr>
        <w:tblW w:w="0" w:type="auto"/>
        <w:jc w:val="left"/>
        <w:tblInd w:w="8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11"/>
        <w:gridCol w:w="1314"/>
        <w:gridCol w:w="1433"/>
        <w:gridCol w:w="903"/>
        <w:gridCol w:w="928"/>
      </w:tblGrid>
      <w:tr>
        <w:trPr>
          <w:trHeight w:val="225" w:hRule="atLeast"/>
        </w:trPr>
        <w:tc>
          <w:tcPr>
            <w:tcW w:w="5561" w:type="dxa"/>
            <w:gridSpan w:val="4"/>
          </w:tcPr>
          <w:p>
            <w:pPr>
              <w:pStyle w:val="TableParagraph"/>
              <w:spacing w:line="206" w:lineRule="exact"/>
              <w:ind w:left="3356"/>
              <w:rPr>
                <w:sz w:val="20"/>
              </w:rPr>
            </w:pPr>
            <w:r>
              <w:rPr>
                <w:sz w:val="20"/>
              </w:rPr>
              <w:t>5%</w:t>
            </w:r>
            <w:r>
              <w:rPr>
                <w:spacing w:val="68"/>
                <w:w w:val="150"/>
                <w:sz w:val="20"/>
              </w:rPr>
              <w:t> </w:t>
            </w:r>
            <w:r>
              <w:rPr>
                <w:sz w:val="20"/>
              </w:rPr>
              <w:t>Critical</w:t>
            </w:r>
            <w:r>
              <w:rPr>
                <w:spacing w:val="-2"/>
                <w:sz w:val="20"/>
              </w:rPr>
              <w:t> </w:t>
            </w:r>
            <w:r>
              <w:rPr>
                <w:spacing w:val="-4"/>
                <w:sz w:val="20"/>
              </w:rPr>
              <w:t>Value</w:t>
            </w:r>
          </w:p>
        </w:tc>
        <w:tc>
          <w:tcPr>
            <w:tcW w:w="928" w:type="dxa"/>
          </w:tcPr>
          <w:p>
            <w:pPr>
              <w:pStyle w:val="TableParagraph"/>
              <w:spacing w:line="206" w:lineRule="exact"/>
              <w:ind w:right="29"/>
              <w:jc w:val="right"/>
              <w:rPr>
                <w:sz w:val="20"/>
              </w:rPr>
            </w:pPr>
            <w:r>
              <w:rPr>
                <w:spacing w:val="-4"/>
                <w:sz w:val="20"/>
              </w:rPr>
              <w:t>-</w:t>
            </w:r>
            <w:r>
              <w:rPr>
                <w:spacing w:val="-2"/>
                <w:sz w:val="20"/>
              </w:rPr>
              <w:t>3.0038</w:t>
            </w:r>
          </w:p>
        </w:tc>
      </w:tr>
      <w:tr>
        <w:trPr>
          <w:trHeight w:val="224" w:hRule="atLeast"/>
        </w:trPr>
        <w:tc>
          <w:tcPr>
            <w:tcW w:w="1911" w:type="dxa"/>
            <w:tcBorders>
              <w:bottom w:val="double" w:sz="6" w:space="0" w:color="000000"/>
            </w:tcBorders>
          </w:tcPr>
          <w:p>
            <w:pPr>
              <w:pStyle w:val="TableParagraph"/>
              <w:rPr>
                <w:sz w:val="16"/>
              </w:rPr>
            </w:pPr>
          </w:p>
        </w:tc>
        <w:tc>
          <w:tcPr>
            <w:tcW w:w="1314" w:type="dxa"/>
            <w:tcBorders>
              <w:bottom w:val="double" w:sz="6" w:space="0" w:color="000000"/>
            </w:tcBorders>
          </w:tcPr>
          <w:p>
            <w:pPr>
              <w:pStyle w:val="TableParagraph"/>
              <w:rPr>
                <w:sz w:val="16"/>
              </w:rPr>
            </w:pPr>
          </w:p>
        </w:tc>
        <w:tc>
          <w:tcPr>
            <w:tcW w:w="2336" w:type="dxa"/>
            <w:gridSpan w:val="2"/>
            <w:tcBorders>
              <w:bottom w:val="double" w:sz="6" w:space="0" w:color="000000"/>
            </w:tcBorders>
          </w:tcPr>
          <w:p>
            <w:pPr>
              <w:pStyle w:val="TableParagraph"/>
              <w:spacing w:line="205" w:lineRule="exact"/>
              <w:ind w:left="131"/>
              <w:rPr>
                <w:sz w:val="20"/>
              </w:rPr>
            </w:pPr>
            <w:r>
              <w:rPr>
                <w:sz w:val="20"/>
              </w:rPr>
              <w:t>10%</w:t>
            </w:r>
            <w:r>
              <w:rPr>
                <w:spacing w:val="-6"/>
                <w:sz w:val="20"/>
              </w:rPr>
              <w:t> </w:t>
            </w:r>
            <w:r>
              <w:rPr>
                <w:sz w:val="20"/>
              </w:rPr>
              <w:t>Critical</w:t>
            </w:r>
            <w:r>
              <w:rPr>
                <w:spacing w:val="-4"/>
                <w:sz w:val="20"/>
              </w:rPr>
              <w:t> </w:t>
            </w:r>
            <w:r>
              <w:rPr>
                <w:spacing w:val="-2"/>
                <w:sz w:val="20"/>
              </w:rPr>
              <w:t>Value</w:t>
            </w:r>
          </w:p>
        </w:tc>
        <w:tc>
          <w:tcPr>
            <w:tcW w:w="928" w:type="dxa"/>
            <w:tcBorders>
              <w:bottom w:val="double" w:sz="6" w:space="0" w:color="000000"/>
            </w:tcBorders>
          </w:tcPr>
          <w:p>
            <w:pPr>
              <w:pStyle w:val="TableParagraph"/>
              <w:spacing w:line="205" w:lineRule="exact"/>
              <w:ind w:right="29"/>
              <w:jc w:val="right"/>
              <w:rPr>
                <w:sz w:val="20"/>
              </w:rPr>
            </w:pPr>
            <w:r>
              <w:rPr>
                <w:spacing w:val="-4"/>
                <w:sz w:val="20"/>
              </w:rPr>
              <w:t>-</w:t>
            </w:r>
            <w:r>
              <w:rPr>
                <w:spacing w:val="-2"/>
                <w:sz w:val="20"/>
              </w:rPr>
              <w:t>2.6417</w:t>
            </w:r>
          </w:p>
        </w:tc>
      </w:tr>
      <w:tr>
        <w:trPr>
          <w:trHeight w:val="504" w:hRule="atLeast"/>
        </w:trPr>
        <w:tc>
          <w:tcPr>
            <w:tcW w:w="6489" w:type="dxa"/>
            <w:gridSpan w:val="5"/>
            <w:tcBorders>
              <w:top w:val="double" w:sz="6" w:space="0" w:color="000000"/>
            </w:tcBorders>
          </w:tcPr>
          <w:p>
            <w:pPr>
              <w:pStyle w:val="TableParagraph"/>
              <w:spacing w:before="40"/>
              <w:ind w:left="35"/>
              <w:rPr>
                <w:sz w:val="20"/>
              </w:rPr>
            </w:pPr>
            <w:r>
              <w:rPr>
                <w:sz w:val="20"/>
              </w:rPr>
              <w:t>*MacKinnon</w:t>
            </w:r>
            <w:r>
              <w:rPr>
                <w:spacing w:val="-6"/>
                <w:sz w:val="20"/>
              </w:rPr>
              <w:t> </w:t>
            </w:r>
            <w:r>
              <w:rPr>
                <w:sz w:val="20"/>
              </w:rPr>
              <w:t>critical</w:t>
            </w:r>
            <w:r>
              <w:rPr>
                <w:spacing w:val="-4"/>
                <w:sz w:val="20"/>
              </w:rPr>
              <w:t> </w:t>
            </w:r>
            <w:r>
              <w:rPr>
                <w:sz w:val="20"/>
              </w:rPr>
              <w:t>values</w:t>
            </w:r>
            <w:r>
              <w:rPr>
                <w:spacing w:val="-6"/>
                <w:sz w:val="20"/>
              </w:rPr>
              <w:t> </w:t>
            </w:r>
            <w:r>
              <w:rPr>
                <w:sz w:val="20"/>
              </w:rPr>
              <w:t>for</w:t>
            </w:r>
            <w:r>
              <w:rPr>
                <w:spacing w:val="-4"/>
                <w:sz w:val="20"/>
              </w:rPr>
              <w:t> </w:t>
            </w:r>
            <w:r>
              <w:rPr>
                <w:sz w:val="20"/>
              </w:rPr>
              <w:t>rejection</w:t>
            </w:r>
            <w:r>
              <w:rPr>
                <w:spacing w:val="-6"/>
                <w:sz w:val="20"/>
              </w:rPr>
              <w:t> </w:t>
            </w:r>
            <w:r>
              <w:rPr>
                <w:sz w:val="20"/>
              </w:rPr>
              <w:t>of</w:t>
            </w:r>
            <w:r>
              <w:rPr>
                <w:spacing w:val="-6"/>
                <w:sz w:val="20"/>
              </w:rPr>
              <w:t> </w:t>
            </w:r>
            <w:r>
              <w:rPr>
                <w:sz w:val="20"/>
              </w:rPr>
              <w:t>hypothesis</w:t>
            </w:r>
            <w:r>
              <w:rPr>
                <w:spacing w:val="-6"/>
                <w:sz w:val="20"/>
              </w:rPr>
              <w:t> </w:t>
            </w:r>
            <w:r>
              <w:rPr>
                <w:sz w:val="20"/>
              </w:rPr>
              <w:t>of</w:t>
            </w:r>
            <w:r>
              <w:rPr>
                <w:spacing w:val="-6"/>
                <w:sz w:val="20"/>
              </w:rPr>
              <w:t> </w:t>
            </w:r>
            <w:r>
              <w:rPr>
                <w:sz w:val="20"/>
              </w:rPr>
              <w:t>a</w:t>
            </w:r>
            <w:r>
              <w:rPr>
                <w:spacing w:val="-4"/>
                <w:sz w:val="20"/>
              </w:rPr>
              <w:t> </w:t>
            </w:r>
            <w:r>
              <w:rPr>
                <w:sz w:val="20"/>
              </w:rPr>
              <w:t>unit</w:t>
            </w:r>
            <w:r>
              <w:rPr>
                <w:spacing w:val="-6"/>
                <w:sz w:val="20"/>
              </w:rPr>
              <w:t> </w:t>
            </w:r>
            <w:r>
              <w:rPr>
                <w:spacing w:val="-2"/>
                <w:sz w:val="20"/>
              </w:rPr>
              <w:t>root.</w:t>
            </w:r>
          </w:p>
        </w:tc>
      </w:tr>
      <w:tr>
        <w:trPr>
          <w:trHeight w:val="459" w:hRule="atLeast"/>
        </w:trPr>
        <w:tc>
          <w:tcPr>
            <w:tcW w:w="6489" w:type="dxa"/>
            <w:gridSpan w:val="5"/>
          </w:tcPr>
          <w:p>
            <w:pPr>
              <w:pStyle w:val="TableParagraph"/>
              <w:spacing w:line="215" w:lineRule="exact" w:before="225"/>
              <w:ind w:left="35"/>
              <w:rPr>
                <w:sz w:val="20"/>
              </w:rPr>
            </w:pPr>
            <w:r>
              <w:rPr>
                <w:sz w:val="20"/>
              </w:rPr>
              <w:t>Augmented</w:t>
            </w:r>
            <w:r>
              <w:rPr>
                <w:spacing w:val="-8"/>
                <w:sz w:val="20"/>
              </w:rPr>
              <w:t> </w:t>
            </w:r>
            <w:r>
              <w:rPr>
                <w:sz w:val="20"/>
              </w:rPr>
              <w:t>Dickey-Fuller</w:t>
            </w:r>
            <w:r>
              <w:rPr>
                <w:spacing w:val="-8"/>
                <w:sz w:val="20"/>
              </w:rPr>
              <w:t> </w:t>
            </w:r>
            <w:r>
              <w:rPr>
                <w:sz w:val="20"/>
              </w:rPr>
              <w:t>Test</w:t>
            </w:r>
            <w:r>
              <w:rPr>
                <w:spacing w:val="-9"/>
                <w:sz w:val="20"/>
              </w:rPr>
              <w:t> </w:t>
            </w:r>
            <w:r>
              <w:rPr>
                <w:spacing w:val="-2"/>
                <w:sz w:val="20"/>
              </w:rPr>
              <w:t>Equation</w:t>
            </w:r>
          </w:p>
        </w:tc>
      </w:tr>
      <w:tr>
        <w:trPr>
          <w:trHeight w:val="230" w:hRule="atLeast"/>
        </w:trPr>
        <w:tc>
          <w:tcPr>
            <w:tcW w:w="6489" w:type="dxa"/>
            <w:gridSpan w:val="5"/>
          </w:tcPr>
          <w:p>
            <w:pPr>
              <w:pStyle w:val="TableParagraph"/>
              <w:spacing w:line="210" w:lineRule="exact"/>
              <w:ind w:left="35"/>
              <w:rPr>
                <w:sz w:val="20"/>
              </w:rPr>
            </w:pPr>
            <w:r>
              <w:rPr>
                <w:sz w:val="20"/>
              </w:rPr>
              <w:t>Dependent</w:t>
            </w:r>
            <w:r>
              <w:rPr>
                <w:spacing w:val="-8"/>
                <w:sz w:val="20"/>
              </w:rPr>
              <w:t> </w:t>
            </w:r>
            <w:r>
              <w:rPr>
                <w:sz w:val="20"/>
              </w:rPr>
              <w:t>Variable:</w:t>
            </w:r>
            <w:r>
              <w:rPr>
                <w:spacing w:val="-7"/>
                <w:sz w:val="20"/>
              </w:rPr>
              <w:t> </w:t>
            </w:r>
            <w:r>
              <w:rPr>
                <w:spacing w:val="-2"/>
                <w:sz w:val="20"/>
              </w:rPr>
              <w:t>D(GDP,2)</w:t>
            </w:r>
          </w:p>
        </w:tc>
      </w:tr>
      <w:tr>
        <w:trPr>
          <w:trHeight w:val="230" w:hRule="atLeast"/>
        </w:trPr>
        <w:tc>
          <w:tcPr>
            <w:tcW w:w="1911" w:type="dxa"/>
          </w:tcPr>
          <w:p>
            <w:pPr>
              <w:pStyle w:val="TableParagraph"/>
              <w:spacing w:line="210" w:lineRule="exact"/>
              <w:ind w:left="35"/>
              <w:rPr>
                <w:sz w:val="20"/>
              </w:rPr>
            </w:pPr>
            <w:r>
              <w:rPr>
                <w:sz w:val="20"/>
              </w:rPr>
              <w:t>Method:</w:t>
            </w:r>
            <w:r>
              <w:rPr>
                <w:spacing w:val="-8"/>
                <w:sz w:val="20"/>
              </w:rPr>
              <w:t> </w:t>
            </w:r>
            <w:r>
              <w:rPr>
                <w:sz w:val="20"/>
              </w:rPr>
              <w:t>Least</w:t>
            </w:r>
            <w:r>
              <w:rPr>
                <w:spacing w:val="-7"/>
                <w:sz w:val="20"/>
              </w:rPr>
              <w:t> </w:t>
            </w:r>
            <w:r>
              <w:rPr>
                <w:spacing w:val="-2"/>
                <w:sz w:val="20"/>
              </w:rPr>
              <w:t>Squares</w:t>
            </w:r>
          </w:p>
        </w:tc>
        <w:tc>
          <w:tcPr>
            <w:tcW w:w="1314" w:type="dxa"/>
          </w:tcPr>
          <w:p>
            <w:pPr>
              <w:pStyle w:val="TableParagraph"/>
              <w:rPr>
                <w:sz w:val="16"/>
              </w:rPr>
            </w:pPr>
          </w:p>
        </w:tc>
        <w:tc>
          <w:tcPr>
            <w:tcW w:w="1433" w:type="dxa"/>
          </w:tcPr>
          <w:p>
            <w:pPr>
              <w:pStyle w:val="TableParagraph"/>
              <w:rPr>
                <w:sz w:val="16"/>
              </w:rPr>
            </w:pPr>
          </w:p>
        </w:tc>
        <w:tc>
          <w:tcPr>
            <w:tcW w:w="903" w:type="dxa"/>
          </w:tcPr>
          <w:p>
            <w:pPr>
              <w:pStyle w:val="TableParagraph"/>
              <w:rPr>
                <w:sz w:val="16"/>
              </w:rPr>
            </w:pPr>
          </w:p>
        </w:tc>
        <w:tc>
          <w:tcPr>
            <w:tcW w:w="928" w:type="dxa"/>
          </w:tcPr>
          <w:p>
            <w:pPr>
              <w:pStyle w:val="TableParagraph"/>
              <w:rPr>
                <w:sz w:val="16"/>
              </w:rPr>
            </w:pPr>
          </w:p>
        </w:tc>
      </w:tr>
      <w:tr>
        <w:trPr>
          <w:trHeight w:val="230" w:hRule="atLeast"/>
        </w:trPr>
        <w:tc>
          <w:tcPr>
            <w:tcW w:w="6489" w:type="dxa"/>
            <w:gridSpan w:val="5"/>
          </w:tcPr>
          <w:p>
            <w:pPr>
              <w:pStyle w:val="TableParagraph"/>
              <w:spacing w:line="210" w:lineRule="exact"/>
              <w:ind w:left="35"/>
              <w:rPr>
                <w:sz w:val="20"/>
              </w:rPr>
            </w:pPr>
            <w:r>
              <w:rPr>
                <w:sz w:val="20"/>
              </w:rPr>
              <w:t>Date:</w:t>
            </w:r>
            <w:r>
              <w:rPr>
                <w:spacing w:val="-5"/>
                <w:sz w:val="20"/>
              </w:rPr>
              <w:t> </w:t>
            </w:r>
            <w:r>
              <w:rPr>
                <w:sz w:val="20"/>
              </w:rPr>
              <w:t>02/17/14</w:t>
            </w:r>
            <w:r>
              <w:rPr>
                <w:spacing w:val="63"/>
                <w:w w:val="150"/>
                <w:sz w:val="20"/>
              </w:rPr>
              <w:t> </w:t>
            </w:r>
            <w:r>
              <w:rPr>
                <w:sz w:val="20"/>
              </w:rPr>
              <w:t>Time:</w:t>
            </w:r>
            <w:r>
              <w:rPr>
                <w:spacing w:val="-3"/>
                <w:sz w:val="20"/>
              </w:rPr>
              <w:t> </w:t>
            </w:r>
            <w:r>
              <w:rPr>
                <w:spacing w:val="-2"/>
                <w:sz w:val="20"/>
              </w:rPr>
              <w:t>18:08</w:t>
            </w:r>
          </w:p>
        </w:tc>
      </w:tr>
      <w:tr>
        <w:trPr>
          <w:trHeight w:val="229" w:hRule="atLeast"/>
        </w:trPr>
        <w:tc>
          <w:tcPr>
            <w:tcW w:w="6489" w:type="dxa"/>
            <w:gridSpan w:val="5"/>
          </w:tcPr>
          <w:p>
            <w:pPr>
              <w:pStyle w:val="TableParagraph"/>
              <w:spacing w:line="209" w:lineRule="exact"/>
              <w:ind w:left="35"/>
              <w:rPr>
                <w:sz w:val="20"/>
              </w:rPr>
            </w:pPr>
            <w:r>
              <w:rPr>
                <w:sz w:val="20"/>
              </w:rPr>
              <w:t>Sample(adjusted):</w:t>
            </w:r>
            <w:r>
              <w:rPr>
                <w:spacing w:val="-9"/>
                <w:sz w:val="20"/>
              </w:rPr>
              <w:t> </w:t>
            </w:r>
            <w:r>
              <w:rPr>
                <w:sz w:val="20"/>
              </w:rPr>
              <w:t>1990</w:t>
            </w:r>
            <w:r>
              <w:rPr>
                <w:spacing w:val="-9"/>
                <w:sz w:val="20"/>
              </w:rPr>
              <w:t> </w:t>
            </w:r>
            <w:r>
              <w:rPr>
                <w:spacing w:val="-4"/>
                <w:sz w:val="20"/>
              </w:rPr>
              <w:t>2011</w:t>
            </w:r>
          </w:p>
        </w:tc>
      </w:tr>
      <w:tr>
        <w:trPr>
          <w:trHeight w:val="223" w:hRule="atLeast"/>
        </w:trPr>
        <w:tc>
          <w:tcPr>
            <w:tcW w:w="6489" w:type="dxa"/>
            <w:gridSpan w:val="5"/>
            <w:tcBorders>
              <w:bottom w:val="double" w:sz="6" w:space="0" w:color="000000"/>
            </w:tcBorders>
          </w:tcPr>
          <w:p>
            <w:pPr>
              <w:pStyle w:val="TableParagraph"/>
              <w:spacing w:line="204" w:lineRule="exact"/>
              <w:ind w:left="35"/>
              <w:rPr>
                <w:sz w:val="20"/>
              </w:rPr>
            </w:pPr>
            <w:r>
              <w:rPr>
                <w:sz w:val="20"/>
              </w:rPr>
              <w:t>Included</w:t>
            </w:r>
            <w:r>
              <w:rPr>
                <w:spacing w:val="-6"/>
                <w:sz w:val="20"/>
              </w:rPr>
              <w:t> </w:t>
            </w:r>
            <w:r>
              <w:rPr>
                <w:sz w:val="20"/>
              </w:rPr>
              <w:t>observations:</w:t>
            </w:r>
            <w:r>
              <w:rPr>
                <w:spacing w:val="-8"/>
                <w:sz w:val="20"/>
              </w:rPr>
              <w:t> </w:t>
            </w:r>
            <w:r>
              <w:rPr>
                <w:sz w:val="20"/>
              </w:rPr>
              <w:t>22</w:t>
            </w:r>
            <w:r>
              <w:rPr>
                <w:spacing w:val="-5"/>
                <w:sz w:val="20"/>
              </w:rPr>
              <w:t> </w:t>
            </w:r>
            <w:r>
              <w:rPr>
                <w:sz w:val="20"/>
              </w:rPr>
              <w:t>after</w:t>
            </w:r>
            <w:r>
              <w:rPr>
                <w:spacing w:val="-7"/>
                <w:sz w:val="20"/>
              </w:rPr>
              <w:t> </w:t>
            </w:r>
            <w:r>
              <w:rPr>
                <w:sz w:val="20"/>
              </w:rPr>
              <w:t>adjusting</w:t>
            </w:r>
            <w:r>
              <w:rPr>
                <w:spacing w:val="-7"/>
                <w:sz w:val="20"/>
              </w:rPr>
              <w:t> </w:t>
            </w:r>
            <w:r>
              <w:rPr>
                <w:spacing w:val="-2"/>
                <w:sz w:val="20"/>
              </w:rPr>
              <w:t>endpoints</w:t>
            </w:r>
          </w:p>
        </w:tc>
      </w:tr>
      <w:tr>
        <w:trPr>
          <w:trHeight w:val="271" w:hRule="atLeast"/>
        </w:trPr>
        <w:tc>
          <w:tcPr>
            <w:tcW w:w="1911" w:type="dxa"/>
            <w:tcBorders>
              <w:top w:val="double" w:sz="6" w:space="0" w:color="000000"/>
              <w:bottom w:val="double" w:sz="6" w:space="0" w:color="000000"/>
            </w:tcBorders>
          </w:tcPr>
          <w:p>
            <w:pPr>
              <w:pStyle w:val="TableParagraph"/>
              <w:spacing w:line="209" w:lineRule="exact" w:before="42"/>
              <w:ind w:left="677"/>
              <w:rPr>
                <w:sz w:val="20"/>
              </w:rPr>
            </w:pPr>
            <w:r>
              <w:rPr>
                <w:spacing w:val="-2"/>
                <w:sz w:val="20"/>
              </w:rPr>
              <w:t>Variable</w:t>
            </w:r>
          </w:p>
        </w:tc>
        <w:tc>
          <w:tcPr>
            <w:tcW w:w="1314" w:type="dxa"/>
            <w:tcBorders>
              <w:top w:val="double" w:sz="6" w:space="0" w:color="000000"/>
              <w:bottom w:val="double" w:sz="6" w:space="0" w:color="000000"/>
            </w:tcBorders>
          </w:tcPr>
          <w:p>
            <w:pPr>
              <w:pStyle w:val="TableParagraph"/>
              <w:spacing w:line="209" w:lineRule="exact" w:before="42"/>
              <w:ind w:left="235" w:right="86"/>
              <w:jc w:val="center"/>
              <w:rPr>
                <w:sz w:val="20"/>
              </w:rPr>
            </w:pPr>
            <w:r>
              <w:rPr>
                <w:spacing w:val="-2"/>
                <w:sz w:val="20"/>
              </w:rPr>
              <w:t>Coefficient</w:t>
            </w:r>
          </w:p>
        </w:tc>
        <w:tc>
          <w:tcPr>
            <w:tcW w:w="1433" w:type="dxa"/>
            <w:tcBorders>
              <w:top w:val="double" w:sz="6" w:space="0" w:color="000000"/>
              <w:bottom w:val="double" w:sz="6" w:space="0" w:color="000000"/>
            </w:tcBorders>
          </w:tcPr>
          <w:p>
            <w:pPr>
              <w:pStyle w:val="TableParagraph"/>
              <w:spacing w:line="209" w:lineRule="exact" w:before="42"/>
              <w:ind w:left="272"/>
              <w:rPr>
                <w:sz w:val="20"/>
              </w:rPr>
            </w:pPr>
            <w:r>
              <w:rPr>
                <w:sz w:val="20"/>
              </w:rPr>
              <w:t>Std.</w:t>
            </w:r>
            <w:r>
              <w:rPr>
                <w:spacing w:val="-4"/>
                <w:sz w:val="20"/>
              </w:rPr>
              <w:t> </w:t>
            </w:r>
            <w:r>
              <w:rPr>
                <w:spacing w:val="-2"/>
                <w:sz w:val="20"/>
              </w:rPr>
              <w:t>Error</w:t>
            </w:r>
          </w:p>
        </w:tc>
        <w:tc>
          <w:tcPr>
            <w:tcW w:w="903" w:type="dxa"/>
            <w:tcBorders>
              <w:top w:val="double" w:sz="6" w:space="0" w:color="000000"/>
              <w:bottom w:val="double" w:sz="6" w:space="0" w:color="000000"/>
            </w:tcBorders>
          </w:tcPr>
          <w:p>
            <w:pPr>
              <w:pStyle w:val="TableParagraph"/>
              <w:spacing w:line="209" w:lineRule="exact" w:before="42"/>
              <w:ind w:right="24"/>
              <w:jc w:val="center"/>
              <w:rPr>
                <w:sz w:val="20"/>
              </w:rPr>
            </w:pPr>
            <w:r>
              <w:rPr>
                <w:spacing w:val="-4"/>
                <w:sz w:val="20"/>
              </w:rPr>
              <w:t>t-</w:t>
            </w:r>
            <w:r>
              <w:rPr>
                <w:spacing w:val="-2"/>
                <w:sz w:val="20"/>
              </w:rPr>
              <w:t>Statistic</w:t>
            </w:r>
          </w:p>
        </w:tc>
        <w:tc>
          <w:tcPr>
            <w:tcW w:w="928" w:type="dxa"/>
            <w:tcBorders>
              <w:top w:val="double" w:sz="6" w:space="0" w:color="000000"/>
              <w:bottom w:val="double" w:sz="6" w:space="0" w:color="000000"/>
            </w:tcBorders>
          </w:tcPr>
          <w:p>
            <w:pPr>
              <w:pStyle w:val="TableParagraph"/>
              <w:spacing w:line="209" w:lineRule="exact" w:before="42"/>
              <w:ind w:right="30"/>
              <w:jc w:val="right"/>
              <w:rPr>
                <w:sz w:val="20"/>
              </w:rPr>
            </w:pPr>
            <w:r>
              <w:rPr>
                <w:spacing w:val="-2"/>
                <w:sz w:val="20"/>
              </w:rPr>
              <w:t>Prob.</w:t>
            </w:r>
          </w:p>
        </w:tc>
      </w:tr>
      <w:tr>
        <w:trPr>
          <w:trHeight w:val="275" w:hRule="atLeast"/>
        </w:trPr>
        <w:tc>
          <w:tcPr>
            <w:tcW w:w="1911" w:type="dxa"/>
            <w:tcBorders>
              <w:top w:val="double" w:sz="6" w:space="0" w:color="000000"/>
            </w:tcBorders>
          </w:tcPr>
          <w:p>
            <w:pPr>
              <w:pStyle w:val="TableParagraph"/>
              <w:spacing w:line="215" w:lineRule="exact" w:before="40"/>
              <w:ind w:left="533"/>
              <w:rPr>
                <w:sz w:val="20"/>
              </w:rPr>
            </w:pPr>
            <w:r>
              <w:rPr>
                <w:spacing w:val="-2"/>
                <w:sz w:val="20"/>
              </w:rPr>
              <w:t>D(GDP(-</w:t>
            </w:r>
            <w:r>
              <w:rPr>
                <w:spacing w:val="-5"/>
                <w:sz w:val="20"/>
              </w:rPr>
              <w:t>1))</w:t>
            </w:r>
          </w:p>
        </w:tc>
        <w:tc>
          <w:tcPr>
            <w:tcW w:w="1314" w:type="dxa"/>
            <w:tcBorders>
              <w:top w:val="double" w:sz="6" w:space="0" w:color="000000"/>
            </w:tcBorders>
          </w:tcPr>
          <w:p>
            <w:pPr>
              <w:pStyle w:val="TableParagraph"/>
              <w:spacing w:line="215" w:lineRule="exact" w:before="40"/>
              <w:ind w:left="235"/>
              <w:jc w:val="center"/>
              <w:rPr>
                <w:sz w:val="20"/>
              </w:rPr>
            </w:pPr>
            <w:r>
              <w:rPr>
                <w:spacing w:val="-4"/>
                <w:sz w:val="20"/>
              </w:rPr>
              <w:t>-</w:t>
            </w:r>
            <w:r>
              <w:rPr>
                <w:spacing w:val="-2"/>
                <w:sz w:val="20"/>
              </w:rPr>
              <w:t>1.037322</w:t>
            </w:r>
          </w:p>
        </w:tc>
        <w:tc>
          <w:tcPr>
            <w:tcW w:w="1433" w:type="dxa"/>
            <w:tcBorders>
              <w:top w:val="double" w:sz="6" w:space="0" w:color="000000"/>
            </w:tcBorders>
          </w:tcPr>
          <w:p>
            <w:pPr>
              <w:pStyle w:val="TableParagraph"/>
              <w:spacing w:line="215" w:lineRule="exact" w:before="40"/>
              <w:ind w:left="311"/>
              <w:rPr>
                <w:sz w:val="20"/>
              </w:rPr>
            </w:pPr>
            <w:r>
              <w:rPr>
                <w:spacing w:val="-2"/>
                <w:sz w:val="20"/>
              </w:rPr>
              <w:t>0.308606</w:t>
            </w:r>
          </w:p>
        </w:tc>
        <w:tc>
          <w:tcPr>
            <w:tcW w:w="903" w:type="dxa"/>
            <w:tcBorders>
              <w:top w:val="double" w:sz="6" w:space="0" w:color="000000"/>
            </w:tcBorders>
          </w:tcPr>
          <w:p>
            <w:pPr>
              <w:pStyle w:val="TableParagraph"/>
              <w:spacing w:line="215" w:lineRule="exact" w:before="40"/>
              <w:ind w:right="72"/>
              <w:jc w:val="center"/>
              <w:rPr>
                <w:sz w:val="20"/>
              </w:rPr>
            </w:pPr>
            <w:r>
              <w:rPr>
                <w:spacing w:val="-4"/>
                <w:sz w:val="20"/>
              </w:rPr>
              <w:t>-</w:t>
            </w:r>
            <w:r>
              <w:rPr>
                <w:spacing w:val="-2"/>
                <w:sz w:val="20"/>
              </w:rPr>
              <w:t>3.361317</w:t>
            </w:r>
          </w:p>
        </w:tc>
        <w:tc>
          <w:tcPr>
            <w:tcW w:w="928" w:type="dxa"/>
            <w:tcBorders>
              <w:top w:val="double" w:sz="6" w:space="0" w:color="000000"/>
            </w:tcBorders>
          </w:tcPr>
          <w:p>
            <w:pPr>
              <w:pStyle w:val="TableParagraph"/>
              <w:spacing w:line="215" w:lineRule="exact" w:before="40"/>
              <w:ind w:right="29"/>
              <w:jc w:val="right"/>
              <w:rPr>
                <w:sz w:val="20"/>
              </w:rPr>
            </w:pPr>
            <w:r>
              <w:rPr>
                <w:spacing w:val="-2"/>
                <w:sz w:val="20"/>
              </w:rPr>
              <w:t>0.0033</w:t>
            </w:r>
          </w:p>
        </w:tc>
      </w:tr>
      <w:tr>
        <w:trPr>
          <w:trHeight w:val="230" w:hRule="atLeast"/>
        </w:trPr>
        <w:tc>
          <w:tcPr>
            <w:tcW w:w="1911" w:type="dxa"/>
          </w:tcPr>
          <w:p>
            <w:pPr>
              <w:pStyle w:val="TableParagraph"/>
              <w:spacing w:line="210" w:lineRule="exact"/>
              <w:ind w:left="458"/>
              <w:rPr>
                <w:sz w:val="20"/>
              </w:rPr>
            </w:pPr>
            <w:r>
              <w:rPr>
                <w:spacing w:val="-2"/>
                <w:sz w:val="20"/>
              </w:rPr>
              <w:t>D(GDP(-1),2)</w:t>
            </w:r>
          </w:p>
        </w:tc>
        <w:tc>
          <w:tcPr>
            <w:tcW w:w="1314" w:type="dxa"/>
          </w:tcPr>
          <w:p>
            <w:pPr>
              <w:pStyle w:val="TableParagraph"/>
              <w:spacing w:line="210" w:lineRule="exact"/>
              <w:ind w:left="300"/>
              <w:jc w:val="center"/>
              <w:rPr>
                <w:sz w:val="20"/>
              </w:rPr>
            </w:pPr>
            <w:r>
              <w:rPr>
                <w:spacing w:val="-2"/>
                <w:sz w:val="20"/>
              </w:rPr>
              <w:t>0.086368</w:t>
            </w:r>
          </w:p>
        </w:tc>
        <w:tc>
          <w:tcPr>
            <w:tcW w:w="1433" w:type="dxa"/>
          </w:tcPr>
          <w:p>
            <w:pPr>
              <w:pStyle w:val="TableParagraph"/>
              <w:spacing w:line="210" w:lineRule="exact"/>
              <w:ind w:left="311"/>
              <w:rPr>
                <w:sz w:val="20"/>
              </w:rPr>
            </w:pPr>
            <w:r>
              <w:rPr>
                <w:spacing w:val="-2"/>
                <w:sz w:val="20"/>
              </w:rPr>
              <w:t>0.226025</w:t>
            </w:r>
          </w:p>
        </w:tc>
        <w:tc>
          <w:tcPr>
            <w:tcW w:w="903" w:type="dxa"/>
          </w:tcPr>
          <w:p>
            <w:pPr>
              <w:pStyle w:val="TableParagraph"/>
              <w:spacing w:line="210" w:lineRule="exact"/>
              <w:ind w:right="7"/>
              <w:jc w:val="center"/>
              <w:rPr>
                <w:sz w:val="20"/>
              </w:rPr>
            </w:pPr>
            <w:r>
              <w:rPr>
                <w:spacing w:val="-2"/>
                <w:sz w:val="20"/>
              </w:rPr>
              <w:t>0.382116</w:t>
            </w:r>
          </w:p>
        </w:tc>
        <w:tc>
          <w:tcPr>
            <w:tcW w:w="928" w:type="dxa"/>
          </w:tcPr>
          <w:p>
            <w:pPr>
              <w:pStyle w:val="TableParagraph"/>
              <w:spacing w:line="210" w:lineRule="exact"/>
              <w:ind w:right="29"/>
              <w:jc w:val="right"/>
              <w:rPr>
                <w:sz w:val="20"/>
              </w:rPr>
            </w:pPr>
            <w:r>
              <w:rPr>
                <w:spacing w:val="-2"/>
                <w:sz w:val="20"/>
              </w:rPr>
              <w:t>0.7066</w:t>
            </w:r>
          </w:p>
        </w:tc>
      </w:tr>
      <w:tr>
        <w:trPr>
          <w:trHeight w:val="224" w:hRule="atLeast"/>
        </w:trPr>
        <w:tc>
          <w:tcPr>
            <w:tcW w:w="1911" w:type="dxa"/>
            <w:tcBorders>
              <w:bottom w:val="double" w:sz="6" w:space="0" w:color="000000"/>
            </w:tcBorders>
          </w:tcPr>
          <w:p>
            <w:pPr>
              <w:pStyle w:val="TableParagraph"/>
              <w:spacing w:line="205" w:lineRule="exact"/>
              <w:ind w:left="134" w:right="1"/>
              <w:jc w:val="center"/>
              <w:rPr>
                <w:sz w:val="20"/>
              </w:rPr>
            </w:pPr>
            <w:r>
              <w:rPr>
                <w:spacing w:val="-10"/>
                <w:sz w:val="20"/>
              </w:rPr>
              <w:t>C</w:t>
            </w:r>
          </w:p>
        </w:tc>
        <w:tc>
          <w:tcPr>
            <w:tcW w:w="1314" w:type="dxa"/>
            <w:tcBorders>
              <w:bottom w:val="double" w:sz="6" w:space="0" w:color="000000"/>
            </w:tcBorders>
          </w:tcPr>
          <w:p>
            <w:pPr>
              <w:pStyle w:val="TableParagraph"/>
              <w:spacing w:line="205" w:lineRule="exact"/>
              <w:ind w:left="300"/>
              <w:jc w:val="center"/>
              <w:rPr>
                <w:sz w:val="20"/>
              </w:rPr>
            </w:pPr>
            <w:r>
              <w:rPr>
                <w:spacing w:val="-2"/>
                <w:sz w:val="20"/>
              </w:rPr>
              <w:t>0.243472</w:t>
            </w:r>
          </w:p>
        </w:tc>
        <w:tc>
          <w:tcPr>
            <w:tcW w:w="1433" w:type="dxa"/>
            <w:tcBorders>
              <w:bottom w:val="double" w:sz="6" w:space="0" w:color="000000"/>
            </w:tcBorders>
          </w:tcPr>
          <w:p>
            <w:pPr>
              <w:pStyle w:val="TableParagraph"/>
              <w:spacing w:line="205" w:lineRule="exact"/>
              <w:ind w:left="311"/>
              <w:rPr>
                <w:sz w:val="20"/>
              </w:rPr>
            </w:pPr>
            <w:r>
              <w:rPr>
                <w:spacing w:val="-2"/>
                <w:sz w:val="20"/>
              </w:rPr>
              <w:t>0.086753</w:t>
            </w:r>
          </w:p>
        </w:tc>
        <w:tc>
          <w:tcPr>
            <w:tcW w:w="903" w:type="dxa"/>
            <w:tcBorders>
              <w:bottom w:val="double" w:sz="6" w:space="0" w:color="000000"/>
            </w:tcBorders>
          </w:tcPr>
          <w:p>
            <w:pPr>
              <w:pStyle w:val="TableParagraph"/>
              <w:spacing w:line="205" w:lineRule="exact"/>
              <w:ind w:right="7"/>
              <w:jc w:val="center"/>
              <w:rPr>
                <w:sz w:val="20"/>
              </w:rPr>
            </w:pPr>
            <w:r>
              <w:rPr>
                <w:spacing w:val="-2"/>
                <w:sz w:val="20"/>
              </w:rPr>
              <w:t>2.806489</w:t>
            </w:r>
          </w:p>
        </w:tc>
        <w:tc>
          <w:tcPr>
            <w:tcW w:w="928" w:type="dxa"/>
            <w:tcBorders>
              <w:bottom w:val="double" w:sz="6" w:space="0" w:color="000000"/>
            </w:tcBorders>
          </w:tcPr>
          <w:p>
            <w:pPr>
              <w:pStyle w:val="TableParagraph"/>
              <w:spacing w:line="205" w:lineRule="exact"/>
              <w:ind w:right="29"/>
              <w:jc w:val="right"/>
              <w:rPr>
                <w:sz w:val="20"/>
              </w:rPr>
            </w:pPr>
            <w:r>
              <w:rPr>
                <w:spacing w:val="-2"/>
                <w:sz w:val="20"/>
              </w:rPr>
              <w:t>0.0113</w:t>
            </w:r>
          </w:p>
        </w:tc>
      </w:tr>
      <w:tr>
        <w:trPr>
          <w:trHeight w:val="275" w:hRule="atLeast"/>
        </w:trPr>
        <w:tc>
          <w:tcPr>
            <w:tcW w:w="1911" w:type="dxa"/>
            <w:tcBorders>
              <w:top w:val="double" w:sz="6" w:space="0" w:color="000000"/>
            </w:tcBorders>
          </w:tcPr>
          <w:p>
            <w:pPr>
              <w:pStyle w:val="TableParagraph"/>
              <w:spacing w:line="215" w:lineRule="exact" w:before="41"/>
              <w:ind w:left="35"/>
              <w:rPr>
                <w:sz w:val="20"/>
              </w:rPr>
            </w:pPr>
            <w:r>
              <w:rPr>
                <w:spacing w:val="-2"/>
                <w:sz w:val="20"/>
              </w:rPr>
              <w:t>R-squared</w:t>
            </w:r>
          </w:p>
        </w:tc>
        <w:tc>
          <w:tcPr>
            <w:tcW w:w="1314" w:type="dxa"/>
            <w:tcBorders>
              <w:top w:val="double" w:sz="6" w:space="0" w:color="000000"/>
            </w:tcBorders>
          </w:tcPr>
          <w:p>
            <w:pPr>
              <w:pStyle w:val="TableParagraph"/>
              <w:spacing w:line="215" w:lineRule="exact" w:before="41"/>
              <w:ind w:left="300"/>
              <w:jc w:val="center"/>
              <w:rPr>
                <w:sz w:val="20"/>
              </w:rPr>
            </w:pPr>
            <w:r>
              <w:rPr>
                <w:spacing w:val="-2"/>
                <w:sz w:val="20"/>
              </w:rPr>
              <w:t>0.489596</w:t>
            </w:r>
          </w:p>
        </w:tc>
        <w:tc>
          <w:tcPr>
            <w:tcW w:w="2336" w:type="dxa"/>
            <w:gridSpan w:val="2"/>
            <w:tcBorders>
              <w:top w:val="double" w:sz="6" w:space="0" w:color="000000"/>
            </w:tcBorders>
          </w:tcPr>
          <w:p>
            <w:pPr>
              <w:pStyle w:val="TableParagraph"/>
              <w:spacing w:line="215" w:lineRule="exact" w:before="41"/>
              <w:ind w:left="131"/>
              <w:rPr>
                <w:sz w:val="20"/>
              </w:rPr>
            </w:pPr>
            <w:r>
              <w:rPr>
                <w:sz w:val="20"/>
              </w:rPr>
              <w:t>Mean</w:t>
            </w:r>
            <w:r>
              <w:rPr>
                <w:spacing w:val="-7"/>
                <w:sz w:val="20"/>
              </w:rPr>
              <w:t> </w:t>
            </w:r>
            <w:r>
              <w:rPr>
                <w:sz w:val="20"/>
              </w:rPr>
              <w:t>dependent</w:t>
            </w:r>
            <w:r>
              <w:rPr>
                <w:spacing w:val="-7"/>
                <w:sz w:val="20"/>
              </w:rPr>
              <w:t> </w:t>
            </w:r>
            <w:r>
              <w:rPr>
                <w:spacing w:val="-5"/>
                <w:sz w:val="20"/>
              </w:rPr>
              <w:t>var</w:t>
            </w:r>
          </w:p>
        </w:tc>
        <w:tc>
          <w:tcPr>
            <w:tcW w:w="928" w:type="dxa"/>
            <w:tcBorders>
              <w:top w:val="double" w:sz="6" w:space="0" w:color="000000"/>
            </w:tcBorders>
          </w:tcPr>
          <w:p>
            <w:pPr>
              <w:pStyle w:val="TableParagraph"/>
              <w:spacing w:line="215" w:lineRule="exact" w:before="41"/>
              <w:ind w:right="29"/>
              <w:jc w:val="right"/>
              <w:rPr>
                <w:sz w:val="20"/>
              </w:rPr>
            </w:pPr>
            <w:r>
              <w:rPr>
                <w:spacing w:val="-4"/>
                <w:sz w:val="20"/>
              </w:rPr>
              <w:t>-</w:t>
            </w:r>
            <w:r>
              <w:rPr>
                <w:spacing w:val="-2"/>
                <w:sz w:val="20"/>
              </w:rPr>
              <w:t>0.015649</w:t>
            </w:r>
          </w:p>
        </w:tc>
      </w:tr>
      <w:tr>
        <w:trPr>
          <w:trHeight w:val="230" w:hRule="atLeast"/>
        </w:trPr>
        <w:tc>
          <w:tcPr>
            <w:tcW w:w="1911" w:type="dxa"/>
          </w:tcPr>
          <w:p>
            <w:pPr>
              <w:pStyle w:val="TableParagraph"/>
              <w:spacing w:line="210" w:lineRule="exact"/>
              <w:ind w:left="35"/>
              <w:rPr>
                <w:sz w:val="20"/>
              </w:rPr>
            </w:pPr>
            <w:r>
              <w:rPr>
                <w:sz w:val="20"/>
              </w:rPr>
              <w:t>Adjusted</w:t>
            </w:r>
            <w:r>
              <w:rPr>
                <w:spacing w:val="-10"/>
                <w:sz w:val="20"/>
              </w:rPr>
              <w:t> </w:t>
            </w:r>
            <w:r>
              <w:rPr>
                <w:sz w:val="20"/>
              </w:rPr>
              <w:t>R-</w:t>
            </w:r>
            <w:r>
              <w:rPr>
                <w:spacing w:val="-2"/>
                <w:sz w:val="20"/>
              </w:rPr>
              <w:t>squared</w:t>
            </w:r>
          </w:p>
        </w:tc>
        <w:tc>
          <w:tcPr>
            <w:tcW w:w="1314" w:type="dxa"/>
          </w:tcPr>
          <w:p>
            <w:pPr>
              <w:pStyle w:val="TableParagraph"/>
              <w:spacing w:line="210" w:lineRule="exact"/>
              <w:ind w:left="300"/>
              <w:jc w:val="center"/>
              <w:rPr>
                <w:sz w:val="20"/>
              </w:rPr>
            </w:pPr>
            <w:r>
              <w:rPr>
                <w:spacing w:val="-2"/>
                <w:sz w:val="20"/>
              </w:rPr>
              <w:t>0.435869</w:t>
            </w:r>
          </w:p>
        </w:tc>
        <w:tc>
          <w:tcPr>
            <w:tcW w:w="2336" w:type="dxa"/>
            <w:gridSpan w:val="2"/>
          </w:tcPr>
          <w:p>
            <w:pPr>
              <w:pStyle w:val="TableParagraph"/>
              <w:spacing w:line="210" w:lineRule="exact"/>
              <w:ind w:left="131"/>
              <w:rPr>
                <w:sz w:val="20"/>
              </w:rPr>
            </w:pPr>
            <w:r>
              <w:rPr>
                <w:sz w:val="20"/>
              </w:rPr>
              <w:t>S.D.</w:t>
            </w:r>
            <w:r>
              <w:rPr>
                <w:spacing w:val="-5"/>
                <w:sz w:val="20"/>
              </w:rPr>
              <w:t> </w:t>
            </w:r>
            <w:r>
              <w:rPr>
                <w:sz w:val="20"/>
              </w:rPr>
              <w:t>dependent</w:t>
            </w:r>
            <w:r>
              <w:rPr>
                <w:spacing w:val="-6"/>
                <w:sz w:val="20"/>
              </w:rPr>
              <w:t> </w:t>
            </w:r>
            <w:r>
              <w:rPr>
                <w:spacing w:val="-5"/>
                <w:sz w:val="20"/>
              </w:rPr>
              <w:t>var</w:t>
            </w:r>
          </w:p>
        </w:tc>
        <w:tc>
          <w:tcPr>
            <w:tcW w:w="928" w:type="dxa"/>
          </w:tcPr>
          <w:p>
            <w:pPr>
              <w:pStyle w:val="TableParagraph"/>
              <w:spacing w:line="210" w:lineRule="exact"/>
              <w:ind w:right="29"/>
              <w:jc w:val="right"/>
              <w:rPr>
                <w:sz w:val="20"/>
              </w:rPr>
            </w:pPr>
            <w:r>
              <w:rPr>
                <w:spacing w:val="-2"/>
                <w:sz w:val="20"/>
              </w:rPr>
              <w:t>0.251045</w:t>
            </w:r>
          </w:p>
        </w:tc>
      </w:tr>
      <w:tr>
        <w:trPr>
          <w:trHeight w:val="229" w:hRule="atLeast"/>
        </w:trPr>
        <w:tc>
          <w:tcPr>
            <w:tcW w:w="1911" w:type="dxa"/>
          </w:tcPr>
          <w:p>
            <w:pPr>
              <w:pStyle w:val="TableParagraph"/>
              <w:spacing w:line="209" w:lineRule="exact"/>
              <w:ind w:left="35"/>
              <w:rPr>
                <w:sz w:val="20"/>
              </w:rPr>
            </w:pPr>
            <w:r>
              <w:rPr>
                <w:sz w:val="20"/>
              </w:rPr>
              <w:t>S.E.</w:t>
            </w:r>
            <w:r>
              <w:rPr>
                <w:spacing w:val="-3"/>
                <w:sz w:val="20"/>
              </w:rPr>
              <w:t> </w:t>
            </w:r>
            <w:r>
              <w:rPr>
                <w:sz w:val="20"/>
              </w:rPr>
              <w:t>of</w:t>
            </w:r>
            <w:r>
              <w:rPr>
                <w:spacing w:val="-3"/>
                <w:sz w:val="20"/>
              </w:rPr>
              <w:t> </w:t>
            </w:r>
            <w:r>
              <w:rPr>
                <w:spacing w:val="-2"/>
                <w:sz w:val="20"/>
              </w:rPr>
              <w:t>regression</w:t>
            </w:r>
          </w:p>
        </w:tc>
        <w:tc>
          <w:tcPr>
            <w:tcW w:w="1314" w:type="dxa"/>
          </w:tcPr>
          <w:p>
            <w:pPr>
              <w:pStyle w:val="TableParagraph"/>
              <w:spacing w:line="209" w:lineRule="exact"/>
              <w:ind w:left="300"/>
              <w:jc w:val="center"/>
              <w:rPr>
                <w:sz w:val="20"/>
              </w:rPr>
            </w:pPr>
            <w:r>
              <w:rPr>
                <w:spacing w:val="-2"/>
                <w:sz w:val="20"/>
              </w:rPr>
              <w:t>0.188556</w:t>
            </w:r>
          </w:p>
        </w:tc>
        <w:tc>
          <w:tcPr>
            <w:tcW w:w="2336" w:type="dxa"/>
            <w:gridSpan w:val="2"/>
          </w:tcPr>
          <w:p>
            <w:pPr>
              <w:pStyle w:val="TableParagraph"/>
              <w:spacing w:line="209" w:lineRule="exact"/>
              <w:ind w:left="131"/>
              <w:rPr>
                <w:sz w:val="20"/>
              </w:rPr>
            </w:pPr>
            <w:r>
              <w:rPr>
                <w:sz w:val="20"/>
              </w:rPr>
              <w:t>Akaike</w:t>
            </w:r>
            <w:r>
              <w:rPr>
                <w:spacing w:val="-8"/>
                <w:sz w:val="20"/>
              </w:rPr>
              <w:t> </w:t>
            </w:r>
            <w:r>
              <w:rPr>
                <w:sz w:val="20"/>
              </w:rPr>
              <w:t>info</w:t>
            </w:r>
            <w:r>
              <w:rPr>
                <w:spacing w:val="-7"/>
                <w:sz w:val="20"/>
              </w:rPr>
              <w:t> </w:t>
            </w:r>
            <w:r>
              <w:rPr>
                <w:spacing w:val="-2"/>
                <w:sz w:val="20"/>
              </w:rPr>
              <w:t>criterion</w:t>
            </w:r>
          </w:p>
        </w:tc>
        <w:tc>
          <w:tcPr>
            <w:tcW w:w="928" w:type="dxa"/>
          </w:tcPr>
          <w:p>
            <w:pPr>
              <w:pStyle w:val="TableParagraph"/>
              <w:spacing w:line="209" w:lineRule="exact"/>
              <w:ind w:right="29"/>
              <w:jc w:val="right"/>
              <w:rPr>
                <w:sz w:val="20"/>
              </w:rPr>
            </w:pPr>
            <w:r>
              <w:rPr>
                <w:spacing w:val="-4"/>
                <w:sz w:val="20"/>
              </w:rPr>
              <w:t>-</w:t>
            </w:r>
            <w:r>
              <w:rPr>
                <w:spacing w:val="-2"/>
                <w:sz w:val="20"/>
              </w:rPr>
              <w:t>0.372716</w:t>
            </w:r>
          </w:p>
        </w:tc>
      </w:tr>
      <w:tr>
        <w:trPr>
          <w:trHeight w:val="229" w:hRule="atLeast"/>
        </w:trPr>
        <w:tc>
          <w:tcPr>
            <w:tcW w:w="1911" w:type="dxa"/>
          </w:tcPr>
          <w:p>
            <w:pPr>
              <w:pStyle w:val="TableParagraph"/>
              <w:spacing w:line="209" w:lineRule="exact"/>
              <w:ind w:left="35"/>
              <w:rPr>
                <w:sz w:val="20"/>
              </w:rPr>
            </w:pPr>
            <w:r>
              <w:rPr>
                <w:sz w:val="20"/>
              </w:rPr>
              <w:t>Sum</w:t>
            </w:r>
            <w:r>
              <w:rPr>
                <w:spacing w:val="-8"/>
                <w:sz w:val="20"/>
              </w:rPr>
              <w:t> </w:t>
            </w:r>
            <w:r>
              <w:rPr>
                <w:sz w:val="20"/>
              </w:rPr>
              <w:t>squared</w:t>
            </w:r>
            <w:r>
              <w:rPr>
                <w:spacing w:val="-4"/>
                <w:sz w:val="20"/>
              </w:rPr>
              <w:t> </w:t>
            </w:r>
            <w:r>
              <w:rPr>
                <w:spacing w:val="-2"/>
                <w:sz w:val="20"/>
              </w:rPr>
              <w:t>resid</w:t>
            </w:r>
          </w:p>
        </w:tc>
        <w:tc>
          <w:tcPr>
            <w:tcW w:w="1314" w:type="dxa"/>
          </w:tcPr>
          <w:p>
            <w:pPr>
              <w:pStyle w:val="TableParagraph"/>
              <w:spacing w:line="209" w:lineRule="exact"/>
              <w:ind w:left="300"/>
              <w:jc w:val="center"/>
              <w:rPr>
                <w:sz w:val="20"/>
              </w:rPr>
            </w:pPr>
            <w:r>
              <w:rPr>
                <w:spacing w:val="-2"/>
                <w:sz w:val="20"/>
              </w:rPr>
              <w:t>0.675516</w:t>
            </w:r>
          </w:p>
        </w:tc>
        <w:tc>
          <w:tcPr>
            <w:tcW w:w="2336" w:type="dxa"/>
            <w:gridSpan w:val="2"/>
          </w:tcPr>
          <w:p>
            <w:pPr>
              <w:pStyle w:val="TableParagraph"/>
              <w:spacing w:line="209" w:lineRule="exact"/>
              <w:ind w:left="131"/>
              <w:rPr>
                <w:sz w:val="20"/>
              </w:rPr>
            </w:pPr>
            <w:r>
              <w:rPr>
                <w:sz w:val="20"/>
              </w:rPr>
              <w:t>Schwarz</w:t>
            </w:r>
            <w:r>
              <w:rPr>
                <w:spacing w:val="-8"/>
                <w:sz w:val="20"/>
              </w:rPr>
              <w:t> </w:t>
            </w:r>
            <w:r>
              <w:rPr>
                <w:spacing w:val="-2"/>
                <w:sz w:val="20"/>
              </w:rPr>
              <w:t>criterion</w:t>
            </w:r>
          </w:p>
        </w:tc>
        <w:tc>
          <w:tcPr>
            <w:tcW w:w="928" w:type="dxa"/>
          </w:tcPr>
          <w:p>
            <w:pPr>
              <w:pStyle w:val="TableParagraph"/>
              <w:spacing w:line="209" w:lineRule="exact"/>
              <w:ind w:right="29"/>
              <w:jc w:val="right"/>
              <w:rPr>
                <w:sz w:val="20"/>
              </w:rPr>
            </w:pPr>
            <w:r>
              <w:rPr>
                <w:spacing w:val="-4"/>
                <w:sz w:val="20"/>
              </w:rPr>
              <w:t>-</w:t>
            </w:r>
            <w:r>
              <w:rPr>
                <w:spacing w:val="-2"/>
                <w:sz w:val="20"/>
              </w:rPr>
              <w:t>0.223937</w:t>
            </w:r>
          </w:p>
        </w:tc>
      </w:tr>
      <w:tr>
        <w:trPr>
          <w:trHeight w:val="230" w:hRule="atLeast"/>
        </w:trPr>
        <w:tc>
          <w:tcPr>
            <w:tcW w:w="1911" w:type="dxa"/>
          </w:tcPr>
          <w:p>
            <w:pPr>
              <w:pStyle w:val="TableParagraph"/>
              <w:spacing w:line="210" w:lineRule="exact"/>
              <w:ind w:left="35"/>
              <w:rPr>
                <w:sz w:val="20"/>
              </w:rPr>
            </w:pPr>
            <w:r>
              <w:rPr>
                <w:sz w:val="20"/>
              </w:rPr>
              <w:t>Log</w:t>
            </w:r>
            <w:r>
              <w:rPr>
                <w:spacing w:val="-6"/>
                <w:sz w:val="20"/>
              </w:rPr>
              <w:t> </w:t>
            </w:r>
            <w:r>
              <w:rPr>
                <w:spacing w:val="-2"/>
                <w:sz w:val="20"/>
              </w:rPr>
              <w:t>likelihood</w:t>
            </w:r>
          </w:p>
        </w:tc>
        <w:tc>
          <w:tcPr>
            <w:tcW w:w="1314" w:type="dxa"/>
          </w:tcPr>
          <w:p>
            <w:pPr>
              <w:pStyle w:val="TableParagraph"/>
              <w:spacing w:line="210" w:lineRule="exact"/>
              <w:ind w:left="300"/>
              <w:jc w:val="center"/>
              <w:rPr>
                <w:sz w:val="20"/>
              </w:rPr>
            </w:pPr>
            <w:r>
              <w:rPr>
                <w:spacing w:val="-2"/>
                <w:sz w:val="20"/>
              </w:rPr>
              <w:t>7.099876</w:t>
            </w:r>
          </w:p>
        </w:tc>
        <w:tc>
          <w:tcPr>
            <w:tcW w:w="1433" w:type="dxa"/>
          </w:tcPr>
          <w:p>
            <w:pPr>
              <w:pStyle w:val="TableParagraph"/>
              <w:spacing w:line="210" w:lineRule="exact"/>
              <w:ind w:left="131"/>
              <w:rPr>
                <w:sz w:val="20"/>
              </w:rPr>
            </w:pPr>
            <w:r>
              <w:rPr>
                <w:spacing w:val="-4"/>
                <w:sz w:val="20"/>
              </w:rPr>
              <w:t>F-</w:t>
            </w:r>
            <w:r>
              <w:rPr>
                <w:spacing w:val="-2"/>
                <w:sz w:val="20"/>
              </w:rPr>
              <w:t>statistic</w:t>
            </w:r>
          </w:p>
        </w:tc>
        <w:tc>
          <w:tcPr>
            <w:tcW w:w="903" w:type="dxa"/>
          </w:tcPr>
          <w:p>
            <w:pPr>
              <w:pStyle w:val="TableParagraph"/>
              <w:rPr>
                <w:sz w:val="16"/>
              </w:rPr>
            </w:pPr>
          </w:p>
        </w:tc>
        <w:tc>
          <w:tcPr>
            <w:tcW w:w="928" w:type="dxa"/>
          </w:tcPr>
          <w:p>
            <w:pPr>
              <w:pStyle w:val="TableParagraph"/>
              <w:spacing w:line="210" w:lineRule="exact"/>
              <w:ind w:right="29"/>
              <w:jc w:val="right"/>
              <w:rPr>
                <w:sz w:val="20"/>
              </w:rPr>
            </w:pPr>
            <w:r>
              <w:rPr>
                <w:spacing w:val="-2"/>
                <w:sz w:val="20"/>
              </w:rPr>
              <w:t>9.112698</w:t>
            </w:r>
          </w:p>
        </w:tc>
      </w:tr>
      <w:tr>
        <w:trPr>
          <w:trHeight w:val="265" w:hRule="atLeast"/>
        </w:trPr>
        <w:tc>
          <w:tcPr>
            <w:tcW w:w="1911" w:type="dxa"/>
            <w:tcBorders>
              <w:bottom w:val="double" w:sz="6" w:space="0" w:color="000000"/>
            </w:tcBorders>
          </w:tcPr>
          <w:p>
            <w:pPr>
              <w:pStyle w:val="TableParagraph"/>
              <w:spacing w:line="226" w:lineRule="exact"/>
              <w:ind w:left="35"/>
              <w:rPr>
                <w:sz w:val="20"/>
              </w:rPr>
            </w:pPr>
            <w:r>
              <w:rPr>
                <w:sz w:val="20"/>
              </w:rPr>
              <w:t>Durbin-Watson</w:t>
            </w:r>
            <w:r>
              <w:rPr>
                <w:spacing w:val="-12"/>
                <w:sz w:val="20"/>
              </w:rPr>
              <w:t> </w:t>
            </w:r>
            <w:r>
              <w:rPr>
                <w:spacing w:val="-4"/>
                <w:sz w:val="20"/>
              </w:rPr>
              <w:t>stat</w:t>
            </w:r>
          </w:p>
        </w:tc>
        <w:tc>
          <w:tcPr>
            <w:tcW w:w="1314" w:type="dxa"/>
          </w:tcPr>
          <w:p>
            <w:pPr>
              <w:pStyle w:val="TableParagraph"/>
              <w:spacing w:line="226" w:lineRule="exact"/>
              <w:ind w:left="300"/>
              <w:jc w:val="center"/>
              <w:rPr>
                <w:sz w:val="20"/>
              </w:rPr>
            </w:pPr>
            <w:r>
              <w:rPr>
                <w:spacing w:val="-2"/>
                <w:sz w:val="20"/>
              </w:rPr>
              <w:t>1.926951</w:t>
            </w:r>
          </w:p>
        </w:tc>
        <w:tc>
          <w:tcPr>
            <w:tcW w:w="1433" w:type="dxa"/>
            <w:tcBorders>
              <w:bottom w:val="double" w:sz="6" w:space="0" w:color="000000"/>
            </w:tcBorders>
          </w:tcPr>
          <w:p>
            <w:pPr>
              <w:pStyle w:val="TableParagraph"/>
              <w:spacing w:line="226" w:lineRule="exact"/>
              <w:ind w:left="131"/>
              <w:rPr>
                <w:sz w:val="20"/>
              </w:rPr>
            </w:pPr>
            <w:r>
              <w:rPr>
                <w:spacing w:val="-2"/>
                <w:sz w:val="20"/>
              </w:rPr>
              <w:t>Prob(F-statistic)</w:t>
            </w:r>
          </w:p>
        </w:tc>
        <w:tc>
          <w:tcPr>
            <w:tcW w:w="903" w:type="dxa"/>
            <w:tcBorders>
              <w:bottom w:val="double" w:sz="6" w:space="0" w:color="000000"/>
            </w:tcBorders>
          </w:tcPr>
          <w:p>
            <w:pPr>
              <w:pStyle w:val="TableParagraph"/>
              <w:rPr>
                <w:sz w:val="18"/>
              </w:rPr>
            </w:pPr>
          </w:p>
        </w:tc>
        <w:tc>
          <w:tcPr>
            <w:tcW w:w="928" w:type="dxa"/>
            <w:tcBorders>
              <w:bottom w:val="double" w:sz="6" w:space="0" w:color="000000"/>
            </w:tcBorders>
          </w:tcPr>
          <w:p>
            <w:pPr>
              <w:pStyle w:val="TableParagraph"/>
              <w:spacing w:line="226" w:lineRule="exact"/>
              <w:ind w:right="29"/>
              <w:jc w:val="right"/>
              <w:rPr>
                <w:sz w:val="20"/>
              </w:rPr>
            </w:pPr>
            <w:r>
              <w:rPr>
                <w:spacing w:val="-2"/>
                <w:sz w:val="20"/>
              </w:rPr>
              <w:t>0.001680</w:t>
            </w:r>
          </w:p>
        </w:tc>
      </w:tr>
    </w:tbl>
    <w:p>
      <w:pPr>
        <w:pStyle w:val="BodyText"/>
        <w:rPr>
          <w:sz w:val="20"/>
        </w:rPr>
      </w:pPr>
    </w:p>
    <w:p>
      <w:pPr>
        <w:pStyle w:val="BodyText"/>
        <w:rPr>
          <w:sz w:val="20"/>
        </w:rPr>
      </w:pPr>
    </w:p>
    <w:p>
      <w:pPr>
        <w:pStyle w:val="BodyText"/>
        <w:spacing w:before="16"/>
        <w:rPr>
          <w:sz w:val="20"/>
        </w:rPr>
      </w:pPr>
    </w:p>
    <w:p>
      <w:pPr>
        <w:spacing w:before="1" w:after="2"/>
        <w:ind w:left="771" w:right="0" w:firstLine="0"/>
        <w:jc w:val="left"/>
        <w:rPr>
          <w:sz w:val="20"/>
        </w:rPr>
      </w:pPr>
      <w:r>
        <w:rPr>
          <w:sz w:val="20"/>
        </w:rPr>
        <w:t>EXTDEBT</w:t>
      </w:r>
      <w:r>
        <w:rPr>
          <w:spacing w:val="-6"/>
          <w:sz w:val="20"/>
        </w:rPr>
        <w:t> </w:t>
      </w:r>
      <w:r>
        <w:rPr>
          <w:sz w:val="20"/>
        </w:rPr>
        <w:t>@</w:t>
      </w:r>
      <w:r>
        <w:rPr>
          <w:spacing w:val="-5"/>
          <w:sz w:val="20"/>
        </w:rPr>
        <w:t> </w:t>
      </w:r>
      <w:r>
        <w:rPr>
          <w:spacing w:val="-4"/>
          <w:sz w:val="20"/>
        </w:rPr>
        <w:t>LEVEL</w:t>
      </w:r>
    </w:p>
    <w:tbl>
      <w:tblPr>
        <w:tblW w:w="0" w:type="auto"/>
        <w:jc w:val="left"/>
        <w:tblInd w:w="8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19"/>
        <w:gridCol w:w="1307"/>
        <w:gridCol w:w="1433"/>
        <w:gridCol w:w="936"/>
        <w:gridCol w:w="896"/>
      </w:tblGrid>
      <w:tr>
        <w:trPr>
          <w:trHeight w:val="224" w:hRule="atLeast"/>
        </w:trPr>
        <w:tc>
          <w:tcPr>
            <w:tcW w:w="1919" w:type="dxa"/>
          </w:tcPr>
          <w:p>
            <w:pPr>
              <w:pStyle w:val="TableParagraph"/>
              <w:spacing w:line="204" w:lineRule="exact"/>
              <w:ind w:left="35"/>
              <w:rPr>
                <w:sz w:val="20"/>
              </w:rPr>
            </w:pPr>
            <w:r>
              <w:rPr>
                <w:sz w:val="20"/>
              </w:rPr>
              <w:t>ADF</w:t>
            </w:r>
            <w:r>
              <w:rPr>
                <w:spacing w:val="-4"/>
                <w:sz w:val="20"/>
              </w:rPr>
              <w:t> </w:t>
            </w:r>
            <w:r>
              <w:rPr>
                <w:sz w:val="20"/>
              </w:rPr>
              <w:t>Test</w:t>
            </w:r>
            <w:r>
              <w:rPr>
                <w:spacing w:val="-4"/>
                <w:sz w:val="20"/>
              </w:rPr>
              <w:t> </w:t>
            </w:r>
            <w:r>
              <w:rPr>
                <w:spacing w:val="-2"/>
                <w:sz w:val="20"/>
              </w:rPr>
              <w:t>Statistic</w:t>
            </w:r>
          </w:p>
        </w:tc>
        <w:tc>
          <w:tcPr>
            <w:tcW w:w="1307" w:type="dxa"/>
          </w:tcPr>
          <w:p>
            <w:pPr>
              <w:pStyle w:val="TableParagraph"/>
              <w:spacing w:line="204" w:lineRule="exact"/>
              <w:ind w:left="150"/>
              <w:rPr>
                <w:sz w:val="20"/>
              </w:rPr>
            </w:pPr>
            <w:r>
              <w:rPr>
                <w:spacing w:val="-4"/>
                <w:sz w:val="20"/>
              </w:rPr>
              <w:t>-</w:t>
            </w:r>
            <w:r>
              <w:rPr>
                <w:spacing w:val="-2"/>
                <w:sz w:val="20"/>
              </w:rPr>
              <w:t>3.716193</w:t>
            </w:r>
          </w:p>
        </w:tc>
        <w:tc>
          <w:tcPr>
            <w:tcW w:w="2369" w:type="dxa"/>
            <w:gridSpan w:val="2"/>
          </w:tcPr>
          <w:p>
            <w:pPr>
              <w:pStyle w:val="TableParagraph"/>
              <w:spacing w:line="204" w:lineRule="exact"/>
              <w:ind w:left="130"/>
              <w:rPr>
                <w:sz w:val="20"/>
              </w:rPr>
            </w:pPr>
            <w:r>
              <w:rPr>
                <w:sz w:val="20"/>
              </w:rPr>
              <w:t>1%</w:t>
            </w:r>
            <w:r>
              <w:rPr>
                <w:spacing w:val="68"/>
                <w:w w:val="150"/>
                <w:sz w:val="20"/>
              </w:rPr>
              <w:t> </w:t>
            </w:r>
            <w:r>
              <w:rPr>
                <w:sz w:val="20"/>
              </w:rPr>
              <w:t>Critical</w:t>
            </w:r>
            <w:r>
              <w:rPr>
                <w:spacing w:val="-2"/>
                <w:sz w:val="20"/>
              </w:rPr>
              <w:t> Value*</w:t>
            </w:r>
          </w:p>
        </w:tc>
        <w:tc>
          <w:tcPr>
            <w:tcW w:w="896" w:type="dxa"/>
          </w:tcPr>
          <w:p>
            <w:pPr>
              <w:pStyle w:val="TableParagraph"/>
              <w:spacing w:line="204" w:lineRule="exact"/>
              <w:ind w:right="31"/>
              <w:jc w:val="right"/>
              <w:rPr>
                <w:sz w:val="20"/>
              </w:rPr>
            </w:pPr>
            <w:r>
              <w:rPr>
                <w:spacing w:val="-4"/>
                <w:sz w:val="20"/>
              </w:rPr>
              <w:t>-</w:t>
            </w:r>
            <w:r>
              <w:rPr>
                <w:spacing w:val="-2"/>
                <w:sz w:val="20"/>
              </w:rPr>
              <w:t>3.7497</w:t>
            </w:r>
          </w:p>
        </w:tc>
      </w:tr>
      <w:tr>
        <w:trPr>
          <w:trHeight w:val="229" w:hRule="atLeast"/>
        </w:trPr>
        <w:tc>
          <w:tcPr>
            <w:tcW w:w="1919" w:type="dxa"/>
          </w:tcPr>
          <w:p>
            <w:pPr>
              <w:pStyle w:val="TableParagraph"/>
              <w:rPr>
                <w:sz w:val="16"/>
              </w:rPr>
            </w:pPr>
          </w:p>
        </w:tc>
        <w:tc>
          <w:tcPr>
            <w:tcW w:w="1307" w:type="dxa"/>
          </w:tcPr>
          <w:p>
            <w:pPr>
              <w:pStyle w:val="TableParagraph"/>
              <w:rPr>
                <w:sz w:val="16"/>
              </w:rPr>
            </w:pPr>
          </w:p>
        </w:tc>
        <w:tc>
          <w:tcPr>
            <w:tcW w:w="2369" w:type="dxa"/>
            <w:gridSpan w:val="2"/>
          </w:tcPr>
          <w:p>
            <w:pPr>
              <w:pStyle w:val="TableParagraph"/>
              <w:spacing w:line="209" w:lineRule="exact"/>
              <w:ind w:left="130"/>
              <w:rPr>
                <w:sz w:val="20"/>
              </w:rPr>
            </w:pPr>
            <w:r>
              <w:rPr>
                <w:sz w:val="20"/>
              </w:rPr>
              <w:t>5%</w:t>
            </w:r>
            <w:r>
              <w:rPr>
                <w:spacing w:val="68"/>
                <w:w w:val="150"/>
                <w:sz w:val="20"/>
              </w:rPr>
              <w:t> </w:t>
            </w:r>
            <w:r>
              <w:rPr>
                <w:sz w:val="20"/>
              </w:rPr>
              <w:t>Critical</w:t>
            </w:r>
            <w:r>
              <w:rPr>
                <w:spacing w:val="-2"/>
                <w:sz w:val="20"/>
              </w:rPr>
              <w:t> </w:t>
            </w:r>
            <w:r>
              <w:rPr>
                <w:spacing w:val="-4"/>
                <w:sz w:val="20"/>
              </w:rPr>
              <w:t>Value</w:t>
            </w:r>
          </w:p>
        </w:tc>
        <w:tc>
          <w:tcPr>
            <w:tcW w:w="896" w:type="dxa"/>
          </w:tcPr>
          <w:p>
            <w:pPr>
              <w:pStyle w:val="TableParagraph"/>
              <w:spacing w:line="209" w:lineRule="exact"/>
              <w:ind w:right="31"/>
              <w:jc w:val="right"/>
              <w:rPr>
                <w:sz w:val="20"/>
              </w:rPr>
            </w:pPr>
            <w:r>
              <w:rPr>
                <w:spacing w:val="-4"/>
                <w:sz w:val="20"/>
              </w:rPr>
              <w:t>-</w:t>
            </w:r>
            <w:r>
              <w:rPr>
                <w:spacing w:val="-2"/>
                <w:sz w:val="20"/>
              </w:rPr>
              <w:t>2.9969</w:t>
            </w:r>
          </w:p>
        </w:tc>
      </w:tr>
      <w:tr>
        <w:trPr>
          <w:trHeight w:val="224" w:hRule="atLeast"/>
        </w:trPr>
        <w:tc>
          <w:tcPr>
            <w:tcW w:w="1919" w:type="dxa"/>
            <w:tcBorders>
              <w:bottom w:val="double" w:sz="6" w:space="0" w:color="000000"/>
            </w:tcBorders>
          </w:tcPr>
          <w:p>
            <w:pPr>
              <w:pStyle w:val="TableParagraph"/>
              <w:rPr>
                <w:sz w:val="16"/>
              </w:rPr>
            </w:pPr>
          </w:p>
        </w:tc>
        <w:tc>
          <w:tcPr>
            <w:tcW w:w="1307" w:type="dxa"/>
            <w:tcBorders>
              <w:bottom w:val="double" w:sz="6" w:space="0" w:color="000000"/>
            </w:tcBorders>
          </w:tcPr>
          <w:p>
            <w:pPr>
              <w:pStyle w:val="TableParagraph"/>
              <w:rPr>
                <w:sz w:val="16"/>
              </w:rPr>
            </w:pPr>
          </w:p>
        </w:tc>
        <w:tc>
          <w:tcPr>
            <w:tcW w:w="2369" w:type="dxa"/>
            <w:gridSpan w:val="2"/>
            <w:tcBorders>
              <w:bottom w:val="double" w:sz="6" w:space="0" w:color="000000"/>
            </w:tcBorders>
          </w:tcPr>
          <w:p>
            <w:pPr>
              <w:pStyle w:val="TableParagraph"/>
              <w:spacing w:line="205" w:lineRule="exact"/>
              <w:ind w:left="130"/>
              <w:rPr>
                <w:sz w:val="20"/>
              </w:rPr>
            </w:pPr>
            <w:r>
              <w:rPr>
                <w:sz w:val="20"/>
              </w:rPr>
              <w:t>10%</w:t>
            </w:r>
            <w:r>
              <w:rPr>
                <w:spacing w:val="-6"/>
                <w:sz w:val="20"/>
              </w:rPr>
              <w:t> </w:t>
            </w:r>
            <w:r>
              <w:rPr>
                <w:sz w:val="20"/>
              </w:rPr>
              <w:t>Critical</w:t>
            </w:r>
            <w:r>
              <w:rPr>
                <w:spacing w:val="-4"/>
                <w:sz w:val="20"/>
              </w:rPr>
              <w:t> </w:t>
            </w:r>
            <w:r>
              <w:rPr>
                <w:spacing w:val="-2"/>
                <w:sz w:val="20"/>
              </w:rPr>
              <w:t>Value</w:t>
            </w:r>
          </w:p>
        </w:tc>
        <w:tc>
          <w:tcPr>
            <w:tcW w:w="896" w:type="dxa"/>
            <w:tcBorders>
              <w:bottom w:val="double" w:sz="6" w:space="0" w:color="000000"/>
            </w:tcBorders>
          </w:tcPr>
          <w:p>
            <w:pPr>
              <w:pStyle w:val="TableParagraph"/>
              <w:spacing w:line="205" w:lineRule="exact"/>
              <w:ind w:right="31"/>
              <w:jc w:val="right"/>
              <w:rPr>
                <w:sz w:val="20"/>
              </w:rPr>
            </w:pPr>
            <w:r>
              <w:rPr>
                <w:spacing w:val="-4"/>
                <w:sz w:val="20"/>
              </w:rPr>
              <w:t>-</w:t>
            </w:r>
            <w:r>
              <w:rPr>
                <w:spacing w:val="-2"/>
                <w:sz w:val="20"/>
              </w:rPr>
              <w:t>2.6381</w:t>
            </w:r>
          </w:p>
        </w:tc>
      </w:tr>
      <w:tr>
        <w:trPr>
          <w:trHeight w:val="505" w:hRule="atLeast"/>
        </w:trPr>
        <w:tc>
          <w:tcPr>
            <w:tcW w:w="6491" w:type="dxa"/>
            <w:gridSpan w:val="5"/>
            <w:tcBorders>
              <w:top w:val="double" w:sz="6" w:space="0" w:color="000000"/>
            </w:tcBorders>
          </w:tcPr>
          <w:p>
            <w:pPr>
              <w:pStyle w:val="TableParagraph"/>
              <w:spacing w:before="40"/>
              <w:ind w:left="35"/>
              <w:rPr>
                <w:sz w:val="20"/>
              </w:rPr>
            </w:pPr>
            <w:r>
              <w:rPr>
                <w:sz w:val="20"/>
              </w:rPr>
              <w:t>*MacKinnon</w:t>
            </w:r>
            <w:r>
              <w:rPr>
                <w:spacing w:val="-6"/>
                <w:sz w:val="20"/>
              </w:rPr>
              <w:t> </w:t>
            </w:r>
            <w:r>
              <w:rPr>
                <w:sz w:val="20"/>
              </w:rPr>
              <w:t>critical</w:t>
            </w:r>
            <w:r>
              <w:rPr>
                <w:spacing w:val="-4"/>
                <w:sz w:val="20"/>
              </w:rPr>
              <w:t> </w:t>
            </w:r>
            <w:r>
              <w:rPr>
                <w:sz w:val="20"/>
              </w:rPr>
              <w:t>values</w:t>
            </w:r>
            <w:r>
              <w:rPr>
                <w:spacing w:val="-6"/>
                <w:sz w:val="20"/>
              </w:rPr>
              <w:t> </w:t>
            </w:r>
            <w:r>
              <w:rPr>
                <w:sz w:val="20"/>
              </w:rPr>
              <w:t>for</w:t>
            </w:r>
            <w:r>
              <w:rPr>
                <w:spacing w:val="-4"/>
                <w:sz w:val="20"/>
              </w:rPr>
              <w:t> </w:t>
            </w:r>
            <w:r>
              <w:rPr>
                <w:sz w:val="20"/>
              </w:rPr>
              <w:t>rejection</w:t>
            </w:r>
            <w:r>
              <w:rPr>
                <w:spacing w:val="-6"/>
                <w:sz w:val="20"/>
              </w:rPr>
              <w:t> </w:t>
            </w:r>
            <w:r>
              <w:rPr>
                <w:sz w:val="20"/>
              </w:rPr>
              <w:t>of</w:t>
            </w:r>
            <w:r>
              <w:rPr>
                <w:spacing w:val="-6"/>
                <w:sz w:val="20"/>
              </w:rPr>
              <w:t> </w:t>
            </w:r>
            <w:r>
              <w:rPr>
                <w:sz w:val="20"/>
              </w:rPr>
              <w:t>hypothesis</w:t>
            </w:r>
            <w:r>
              <w:rPr>
                <w:spacing w:val="-6"/>
                <w:sz w:val="20"/>
              </w:rPr>
              <w:t> </w:t>
            </w:r>
            <w:r>
              <w:rPr>
                <w:sz w:val="20"/>
              </w:rPr>
              <w:t>of</w:t>
            </w:r>
            <w:r>
              <w:rPr>
                <w:spacing w:val="-6"/>
                <w:sz w:val="20"/>
              </w:rPr>
              <w:t> </w:t>
            </w:r>
            <w:r>
              <w:rPr>
                <w:sz w:val="20"/>
              </w:rPr>
              <w:t>a</w:t>
            </w:r>
            <w:r>
              <w:rPr>
                <w:spacing w:val="-4"/>
                <w:sz w:val="20"/>
              </w:rPr>
              <w:t> </w:t>
            </w:r>
            <w:r>
              <w:rPr>
                <w:sz w:val="20"/>
              </w:rPr>
              <w:t>unit</w:t>
            </w:r>
            <w:r>
              <w:rPr>
                <w:spacing w:val="-6"/>
                <w:sz w:val="20"/>
              </w:rPr>
              <w:t> </w:t>
            </w:r>
            <w:r>
              <w:rPr>
                <w:spacing w:val="-2"/>
                <w:sz w:val="20"/>
              </w:rPr>
              <w:t>root.</w:t>
            </w:r>
          </w:p>
        </w:tc>
      </w:tr>
      <w:tr>
        <w:trPr>
          <w:trHeight w:val="461" w:hRule="atLeast"/>
        </w:trPr>
        <w:tc>
          <w:tcPr>
            <w:tcW w:w="6491" w:type="dxa"/>
            <w:gridSpan w:val="5"/>
          </w:tcPr>
          <w:p>
            <w:pPr>
              <w:pStyle w:val="TableParagraph"/>
              <w:spacing w:line="215" w:lineRule="exact" w:before="226"/>
              <w:ind w:left="35"/>
              <w:rPr>
                <w:sz w:val="20"/>
              </w:rPr>
            </w:pPr>
            <w:r>
              <w:rPr>
                <w:sz w:val="20"/>
              </w:rPr>
              <w:t>Augmented</w:t>
            </w:r>
            <w:r>
              <w:rPr>
                <w:spacing w:val="-8"/>
                <w:sz w:val="20"/>
              </w:rPr>
              <w:t> </w:t>
            </w:r>
            <w:r>
              <w:rPr>
                <w:sz w:val="20"/>
              </w:rPr>
              <w:t>Dickey-Fuller</w:t>
            </w:r>
            <w:r>
              <w:rPr>
                <w:spacing w:val="-8"/>
                <w:sz w:val="20"/>
              </w:rPr>
              <w:t> </w:t>
            </w:r>
            <w:r>
              <w:rPr>
                <w:sz w:val="20"/>
              </w:rPr>
              <w:t>Test</w:t>
            </w:r>
            <w:r>
              <w:rPr>
                <w:spacing w:val="-9"/>
                <w:sz w:val="20"/>
              </w:rPr>
              <w:t> </w:t>
            </w:r>
            <w:r>
              <w:rPr>
                <w:spacing w:val="-2"/>
                <w:sz w:val="20"/>
              </w:rPr>
              <w:t>Equation</w:t>
            </w:r>
          </w:p>
        </w:tc>
      </w:tr>
      <w:tr>
        <w:trPr>
          <w:trHeight w:val="230" w:hRule="atLeast"/>
        </w:trPr>
        <w:tc>
          <w:tcPr>
            <w:tcW w:w="6491" w:type="dxa"/>
            <w:gridSpan w:val="5"/>
          </w:tcPr>
          <w:p>
            <w:pPr>
              <w:pStyle w:val="TableParagraph"/>
              <w:spacing w:line="210" w:lineRule="exact"/>
              <w:ind w:left="35"/>
              <w:rPr>
                <w:sz w:val="20"/>
              </w:rPr>
            </w:pPr>
            <w:r>
              <w:rPr>
                <w:sz w:val="20"/>
              </w:rPr>
              <w:t>Dependent</w:t>
            </w:r>
            <w:r>
              <w:rPr>
                <w:spacing w:val="-8"/>
                <w:sz w:val="20"/>
              </w:rPr>
              <w:t> </w:t>
            </w:r>
            <w:r>
              <w:rPr>
                <w:sz w:val="20"/>
              </w:rPr>
              <w:t>Variable:</w:t>
            </w:r>
            <w:r>
              <w:rPr>
                <w:spacing w:val="-7"/>
                <w:sz w:val="20"/>
              </w:rPr>
              <w:t> </w:t>
            </w:r>
            <w:r>
              <w:rPr>
                <w:spacing w:val="-2"/>
                <w:sz w:val="20"/>
              </w:rPr>
              <w:t>D(EXTDEBT)</w:t>
            </w:r>
          </w:p>
        </w:tc>
      </w:tr>
      <w:tr>
        <w:trPr>
          <w:trHeight w:val="229" w:hRule="atLeast"/>
        </w:trPr>
        <w:tc>
          <w:tcPr>
            <w:tcW w:w="1919" w:type="dxa"/>
          </w:tcPr>
          <w:p>
            <w:pPr>
              <w:pStyle w:val="TableParagraph"/>
              <w:spacing w:line="209" w:lineRule="exact"/>
              <w:ind w:left="35"/>
              <w:rPr>
                <w:sz w:val="20"/>
              </w:rPr>
            </w:pPr>
            <w:r>
              <w:rPr>
                <w:sz w:val="20"/>
              </w:rPr>
              <w:t>Method:</w:t>
            </w:r>
            <w:r>
              <w:rPr>
                <w:spacing w:val="-8"/>
                <w:sz w:val="20"/>
              </w:rPr>
              <w:t> </w:t>
            </w:r>
            <w:r>
              <w:rPr>
                <w:sz w:val="20"/>
              </w:rPr>
              <w:t>Least</w:t>
            </w:r>
            <w:r>
              <w:rPr>
                <w:spacing w:val="-7"/>
                <w:sz w:val="20"/>
              </w:rPr>
              <w:t> </w:t>
            </w:r>
            <w:r>
              <w:rPr>
                <w:spacing w:val="-2"/>
                <w:sz w:val="20"/>
              </w:rPr>
              <w:t>Squares</w:t>
            </w:r>
          </w:p>
        </w:tc>
        <w:tc>
          <w:tcPr>
            <w:tcW w:w="1307" w:type="dxa"/>
          </w:tcPr>
          <w:p>
            <w:pPr>
              <w:pStyle w:val="TableParagraph"/>
              <w:rPr>
                <w:sz w:val="16"/>
              </w:rPr>
            </w:pPr>
          </w:p>
        </w:tc>
        <w:tc>
          <w:tcPr>
            <w:tcW w:w="1433" w:type="dxa"/>
          </w:tcPr>
          <w:p>
            <w:pPr>
              <w:pStyle w:val="TableParagraph"/>
              <w:rPr>
                <w:sz w:val="16"/>
              </w:rPr>
            </w:pPr>
          </w:p>
        </w:tc>
        <w:tc>
          <w:tcPr>
            <w:tcW w:w="936" w:type="dxa"/>
          </w:tcPr>
          <w:p>
            <w:pPr>
              <w:pStyle w:val="TableParagraph"/>
              <w:rPr>
                <w:sz w:val="16"/>
              </w:rPr>
            </w:pPr>
          </w:p>
        </w:tc>
        <w:tc>
          <w:tcPr>
            <w:tcW w:w="896" w:type="dxa"/>
          </w:tcPr>
          <w:p>
            <w:pPr>
              <w:pStyle w:val="TableParagraph"/>
              <w:rPr>
                <w:sz w:val="16"/>
              </w:rPr>
            </w:pPr>
          </w:p>
        </w:tc>
      </w:tr>
      <w:tr>
        <w:trPr>
          <w:trHeight w:val="229" w:hRule="atLeast"/>
        </w:trPr>
        <w:tc>
          <w:tcPr>
            <w:tcW w:w="6491" w:type="dxa"/>
            <w:gridSpan w:val="5"/>
          </w:tcPr>
          <w:p>
            <w:pPr>
              <w:pStyle w:val="TableParagraph"/>
              <w:spacing w:line="209" w:lineRule="exact"/>
              <w:ind w:left="35"/>
              <w:rPr>
                <w:sz w:val="20"/>
              </w:rPr>
            </w:pPr>
            <w:r>
              <w:rPr>
                <w:sz w:val="20"/>
              </w:rPr>
              <w:t>Date:</w:t>
            </w:r>
            <w:r>
              <w:rPr>
                <w:spacing w:val="-5"/>
                <w:sz w:val="20"/>
              </w:rPr>
              <w:t> </w:t>
            </w:r>
            <w:r>
              <w:rPr>
                <w:sz w:val="20"/>
              </w:rPr>
              <w:t>02/17/14</w:t>
            </w:r>
            <w:r>
              <w:rPr>
                <w:spacing w:val="63"/>
                <w:w w:val="150"/>
                <w:sz w:val="20"/>
              </w:rPr>
              <w:t> </w:t>
            </w:r>
            <w:r>
              <w:rPr>
                <w:sz w:val="20"/>
              </w:rPr>
              <w:t>Time:</w:t>
            </w:r>
            <w:r>
              <w:rPr>
                <w:spacing w:val="-3"/>
                <w:sz w:val="20"/>
              </w:rPr>
              <w:t> </w:t>
            </w:r>
            <w:r>
              <w:rPr>
                <w:spacing w:val="-2"/>
                <w:sz w:val="20"/>
              </w:rPr>
              <w:t>18:09</w:t>
            </w:r>
          </w:p>
        </w:tc>
      </w:tr>
      <w:tr>
        <w:trPr>
          <w:trHeight w:val="230" w:hRule="atLeast"/>
        </w:trPr>
        <w:tc>
          <w:tcPr>
            <w:tcW w:w="6491" w:type="dxa"/>
            <w:gridSpan w:val="5"/>
          </w:tcPr>
          <w:p>
            <w:pPr>
              <w:pStyle w:val="TableParagraph"/>
              <w:spacing w:line="210" w:lineRule="exact"/>
              <w:ind w:left="35"/>
              <w:rPr>
                <w:sz w:val="20"/>
              </w:rPr>
            </w:pPr>
            <w:r>
              <w:rPr>
                <w:sz w:val="20"/>
              </w:rPr>
              <w:t>Sample(adjusted):</w:t>
            </w:r>
            <w:r>
              <w:rPr>
                <w:spacing w:val="-9"/>
                <w:sz w:val="20"/>
              </w:rPr>
              <w:t> </w:t>
            </w:r>
            <w:r>
              <w:rPr>
                <w:sz w:val="20"/>
              </w:rPr>
              <w:t>1989</w:t>
            </w:r>
            <w:r>
              <w:rPr>
                <w:spacing w:val="-9"/>
                <w:sz w:val="20"/>
              </w:rPr>
              <w:t> </w:t>
            </w:r>
            <w:r>
              <w:rPr>
                <w:spacing w:val="-4"/>
                <w:sz w:val="20"/>
              </w:rPr>
              <w:t>2011</w:t>
            </w:r>
          </w:p>
        </w:tc>
      </w:tr>
      <w:tr>
        <w:trPr>
          <w:trHeight w:val="224" w:hRule="atLeast"/>
        </w:trPr>
        <w:tc>
          <w:tcPr>
            <w:tcW w:w="6491" w:type="dxa"/>
            <w:gridSpan w:val="5"/>
            <w:tcBorders>
              <w:bottom w:val="double" w:sz="6" w:space="0" w:color="000000"/>
            </w:tcBorders>
          </w:tcPr>
          <w:p>
            <w:pPr>
              <w:pStyle w:val="TableParagraph"/>
              <w:spacing w:line="205" w:lineRule="exact"/>
              <w:ind w:left="35"/>
              <w:rPr>
                <w:sz w:val="20"/>
              </w:rPr>
            </w:pPr>
            <w:r>
              <w:rPr>
                <w:sz w:val="20"/>
              </w:rPr>
              <w:t>Included</w:t>
            </w:r>
            <w:r>
              <w:rPr>
                <w:spacing w:val="-6"/>
                <w:sz w:val="20"/>
              </w:rPr>
              <w:t> </w:t>
            </w:r>
            <w:r>
              <w:rPr>
                <w:sz w:val="20"/>
              </w:rPr>
              <w:t>observations:</w:t>
            </w:r>
            <w:r>
              <w:rPr>
                <w:spacing w:val="-8"/>
                <w:sz w:val="20"/>
              </w:rPr>
              <w:t> </w:t>
            </w:r>
            <w:r>
              <w:rPr>
                <w:sz w:val="20"/>
              </w:rPr>
              <w:t>23</w:t>
            </w:r>
            <w:r>
              <w:rPr>
                <w:spacing w:val="-5"/>
                <w:sz w:val="20"/>
              </w:rPr>
              <w:t> </w:t>
            </w:r>
            <w:r>
              <w:rPr>
                <w:sz w:val="20"/>
              </w:rPr>
              <w:t>after</w:t>
            </w:r>
            <w:r>
              <w:rPr>
                <w:spacing w:val="-7"/>
                <w:sz w:val="20"/>
              </w:rPr>
              <w:t> </w:t>
            </w:r>
            <w:r>
              <w:rPr>
                <w:sz w:val="20"/>
              </w:rPr>
              <w:t>adjusting</w:t>
            </w:r>
            <w:r>
              <w:rPr>
                <w:spacing w:val="-7"/>
                <w:sz w:val="20"/>
              </w:rPr>
              <w:t> </w:t>
            </w:r>
            <w:r>
              <w:rPr>
                <w:spacing w:val="-2"/>
                <w:sz w:val="20"/>
              </w:rPr>
              <w:t>endpoints</w:t>
            </w:r>
          </w:p>
        </w:tc>
      </w:tr>
      <w:tr>
        <w:trPr>
          <w:trHeight w:val="269" w:hRule="atLeast"/>
        </w:trPr>
        <w:tc>
          <w:tcPr>
            <w:tcW w:w="1919" w:type="dxa"/>
            <w:tcBorders>
              <w:top w:val="double" w:sz="6" w:space="0" w:color="000000"/>
              <w:bottom w:val="double" w:sz="6" w:space="0" w:color="000000"/>
            </w:tcBorders>
          </w:tcPr>
          <w:p>
            <w:pPr>
              <w:pStyle w:val="TableParagraph"/>
              <w:spacing w:line="209" w:lineRule="exact" w:before="40"/>
              <w:ind w:left="677"/>
              <w:rPr>
                <w:sz w:val="20"/>
              </w:rPr>
            </w:pPr>
            <w:r>
              <w:rPr>
                <w:spacing w:val="-2"/>
                <w:sz w:val="20"/>
              </w:rPr>
              <w:t>Variable</w:t>
            </w:r>
          </w:p>
        </w:tc>
        <w:tc>
          <w:tcPr>
            <w:tcW w:w="1307" w:type="dxa"/>
            <w:tcBorders>
              <w:top w:val="double" w:sz="6" w:space="0" w:color="000000"/>
              <w:bottom w:val="double" w:sz="6" w:space="0" w:color="000000"/>
            </w:tcBorders>
          </w:tcPr>
          <w:p>
            <w:pPr>
              <w:pStyle w:val="TableParagraph"/>
              <w:spacing w:line="209" w:lineRule="exact" w:before="40"/>
              <w:ind w:right="134"/>
              <w:jc w:val="right"/>
              <w:rPr>
                <w:sz w:val="20"/>
              </w:rPr>
            </w:pPr>
            <w:r>
              <w:rPr>
                <w:spacing w:val="-2"/>
                <w:sz w:val="20"/>
              </w:rPr>
              <w:t>Coefficient</w:t>
            </w:r>
          </w:p>
        </w:tc>
        <w:tc>
          <w:tcPr>
            <w:tcW w:w="1433" w:type="dxa"/>
            <w:tcBorders>
              <w:top w:val="double" w:sz="6" w:space="0" w:color="000000"/>
              <w:bottom w:val="double" w:sz="6" w:space="0" w:color="000000"/>
            </w:tcBorders>
          </w:tcPr>
          <w:p>
            <w:pPr>
              <w:pStyle w:val="TableParagraph"/>
              <w:spacing w:line="209" w:lineRule="exact" w:before="40"/>
              <w:ind w:left="271"/>
              <w:rPr>
                <w:sz w:val="20"/>
              </w:rPr>
            </w:pPr>
            <w:r>
              <w:rPr>
                <w:sz w:val="20"/>
              </w:rPr>
              <w:t>Std.</w:t>
            </w:r>
            <w:r>
              <w:rPr>
                <w:spacing w:val="-4"/>
                <w:sz w:val="20"/>
              </w:rPr>
              <w:t> </w:t>
            </w:r>
            <w:r>
              <w:rPr>
                <w:spacing w:val="-2"/>
                <w:sz w:val="20"/>
              </w:rPr>
              <w:t>Error</w:t>
            </w:r>
          </w:p>
        </w:tc>
        <w:tc>
          <w:tcPr>
            <w:tcW w:w="936" w:type="dxa"/>
            <w:tcBorders>
              <w:top w:val="double" w:sz="6" w:space="0" w:color="000000"/>
              <w:bottom w:val="double" w:sz="6" w:space="0" w:color="000000"/>
            </w:tcBorders>
          </w:tcPr>
          <w:p>
            <w:pPr>
              <w:pStyle w:val="TableParagraph"/>
              <w:spacing w:line="209" w:lineRule="exact" w:before="40"/>
              <w:ind w:left="55"/>
              <w:rPr>
                <w:sz w:val="20"/>
              </w:rPr>
            </w:pPr>
            <w:r>
              <w:rPr>
                <w:spacing w:val="-4"/>
                <w:sz w:val="20"/>
              </w:rPr>
              <w:t>t-</w:t>
            </w:r>
            <w:r>
              <w:rPr>
                <w:spacing w:val="-2"/>
                <w:sz w:val="20"/>
              </w:rPr>
              <w:t>Statistic</w:t>
            </w:r>
          </w:p>
        </w:tc>
        <w:tc>
          <w:tcPr>
            <w:tcW w:w="896" w:type="dxa"/>
            <w:tcBorders>
              <w:top w:val="double" w:sz="6" w:space="0" w:color="000000"/>
              <w:bottom w:val="double" w:sz="6" w:space="0" w:color="000000"/>
            </w:tcBorders>
          </w:tcPr>
          <w:p>
            <w:pPr>
              <w:pStyle w:val="TableParagraph"/>
              <w:spacing w:line="209" w:lineRule="exact" w:before="40"/>
              <w:ind w:right="32"/>
              <w:jc w:val="right"/>
              <w:rPr>
                <w:sz w:val="20"/>
              </w:rPr>
            </w:pPr>
            <w:r>
              <w:rPr>
                <w:spacing w:val="-2"/>
                <w:sz w:val="20"/>
              </w:rPr>
              <w:t>Prob.</w:t>
            </w:r>
          </w:p>
        </w:tc>
      </w:tr>
      <w:tr>
        <w:trPr>
          <w:trHeight w:val="276" w:hRule="atLeast"/>
        </w:trPr>
        <w:tc>
          <w:tcPr>
            <w:tcW w:w="1919" w:type="dxa"/>
            <w:tcBorders>
              <w:top w:val="double" w:sz="6" w:space="0" w:color="000000"/>
            </w:tcBorders>
          </w:tcPr>
          <w:p>
            <w:pPr>
              <w:pStyle w:val="TableParagraph"/>
              <w:spacing w:line="214" w:lineRule="exact" w:before="42"/>
              <w:ind w:left="415"/>
              <w:rPr>
                <w:sz w:val="20"/>
              </w:rPr>
            </w:pPr>
            <w:r>
              <w:rPr>
                <w:spacing w:val="-2"/>
                <w:sz w:val="20"/>
              </w:rPr>
              <w:t>EXTDEBT(-</w:t>
            </w:r>
            <w:r>
              <w:rPr>
                <w:spacing w:val="-5"/>
                <w:sz w:val="20"/>
              </w:rPr>
              <w:t>1)</w:t>
            </w:r>
          </w:p>
        </w:tc>
        <w:tc>
          <w:tcPr>
            <w:tcW w:w="1307" w:type="dxa"/>
            <w:tcBorders>
              <w:top w:val="double" w:sz="6" w:space="0" w:color="000000"/>
            </w:tcBorders>
          </w:tcPr>
          <w:p>
            <w:pPr>
              <w:pStyle w:val="TableParagraph"/>
              <w:spacing w:line="214" w:lineRule="exact" w:before="42"/>
              <w:ind w:right="130"/>
              <w:jc w:val="right"/>
              <w:rPr>
                <w:sz w:val="20"/>
              </w:rPr>
            </w:pPr>
            <w:r>
              <w:rPr>
                <w:spacing w:val="-4"/>
                <w:sz w:val="20"/>
              </w:rPr>
              <w:t>-</w:t>
            </w:r>
            <w:r>
              <w:rPr>
                <w:spacing w:val="-2"/>
                <w:sz w:val="20"/>
              </w:rPr>
              <w:t>1.034406</w:t>
            </w:r>
          </w:p>
        </w:tc>
        <w:tc>
          <w:tcPr>
            <w:tcW w:w="1433" w:type="dxa"/>
            <w:tcBorders>
              <w:top w:val="double" w:sz="6" w:space="0" w:color="000000"/>
            </w:tcBorders>
          </w:tcPr>
          <w:p>
            <w:pPr>
              <w:pStyle w:val="TableParagraph"/>
              <w:spacing w:line="214" w:lineRule="exact" w:before="42"/>
              <w:ind w:left="310"/>
              <w:rPr>
                <w:sz w:val="20"/>
              </w:rPr>
            </w:pPr>
            <w:r>
              <w:rPr>
                <w:spacing w:val="-2"/>
                <w:sz w:val="20"/>
              </w:rPr>
              <w:t>0.278351</w:t>
            </w:r>
          </w:p>
        </w:tc>
        <w:tc>
          <w:tcPr>
            <w:tcW w:w="936" w:type="dxa"/>
            <w:tcBorders>
              <w:top w:val="double" w:sz="6" w:space="0" w:color="000000"/>
            </w:tcBorders>
          </w:tcPr>
          <w:p>
            <w:pPr>
              <w:pStyle w:val="TableParagraph"/>
              <w:spacing w:line="214" w:lineRule="exact" w:before="42"/>
              <w:ind w:left="5"/>
              <w:rPr>
                <w:sz w:val="20"/>
              </w:rPr>
            </w:pPr>
            <w:r>
              <w:rPr>
                <w:spacing w:val="-4"/>
                <w:sz w:val="20"/>
              </w:rPr>
              <w:t>-</w:t>
            </w:r>
            <w:r>
              <w:rPr>
                <w:spacing w:val="-2"/>
                <w:sz w:val="20"/>
              </w:rPr>
              <w:t>3.716193</w:t>
            </w:r>
          </w:p>
        </w:tc>
        <w:tc>
          <w:tcPr>
            <w:tcW w:w="896" w:type="dxa"/>
            <w:tcBorders>
              <w:top w:val="double" w:sz="6" w:space="0" w:color="000000"/>
            </w:tcBorders>
          </w:tcPr>
          <w:p>
            <w:pPr>
              <w:pStyle w:val="TableParagraph"/>
              <w:spacing w:line="214" w:lineRule="exact" w:before="42"/>
              <w:ind w:right="31"/>
              <w:jc w:val="right"/>
              <w:rPr>
                <w:sz w:val="20"/>
              </w:rPr>
            </w:pPr>
            <w:r>
              <w:rPr>
                <w:spacing w:val="-2"/>
                <w:sz w:val="20"/>
              </w:rPr>
              <w:t>0.0014</w:t>
            </w:r>
          </w:p>
        </w:tc>
      </w:tr>
      <w:tr>
        <w:trPr>
          <w:trHeight w:val="229" w:hRule="atLeast"/>
        </w:trPr>
        <w:tc>
          <w:tcPr>
            <w:tcW w:w="1919" w:type="dxa"/>
          </w:tcPr>
          <w:p>
            <w:pPr>
              <w:pStyle w:val="TableParagraph"/>
              <w:spacing w:line="209" w:lineRule="exact"/>
              <w:ind w:left="278"/>
              <w:rPr>
                <w:sz w:val="20"/>
              </w:rPr>
            </w:pPr>
            <w:r>
              <w:rPr>
                <w:spacing w:val="-2"/>
                <w:sz w:val="20"/>
              </w:rPr>
              <w:t>D(EXTDEBT(-</w:t>
            </w:r>
            <w:r>
              <w:rPr>
                <w:spacing w:val="-5"/>
                <w:sz w:val="20"/>
              </w:rPr>
              <w:t>1))</w:t>
            </w:r>
          </w:p>
        </w:tc>
        <w:tc>
          <w:tcPr>
            <w:tcW w:w="1307" w:type="dxa"/>
          </w:tcPr>
          <w:p>
            <w:pPr>
              <w:pStyle w:val="TableParagraph"/>
              <w:spacing w:line="209" w:lineRule="exact"/>
              <w:ind w:right="130"/>
              <w:jc w:val="right"/>
              <w:rPr>
                <w:sz w:val="20"/>
              </w:rPr>
            </w:pPr>
            <w:r>
              <w:rPr>
                <w:spacing w:val="-2"/>
                <w:sz w:val="20"/>
              </w:rPr>
              <w:t>0.202889</w:t>
            </w:r>
          </w:p>
        </w:tc>
        <w:tc>
          <w:tcPr>
            <w:tcW w:w="1433" w:type="dxa"/>
          </w:tcPr>
          <w:p>
            <w:pPr>
              <w:pStyle w:val="TableParagraph"/>
              <w:spacing w:line="209" w:lineRule="exact"/>
              <w:ind w:left="310"/>
              <w:rPr>
                <w:sz w:val="20"/>
              </w:rPr>
            </w:pPr>
            <w:r>
              <w:rPr>
                <w:spacing w:val="-2"/>
                <w:sz w:val="20"/>
              </w:rPr>
              <w:t>0.214133</w:t>
            </w:r>
          </w:p>
        </w:tc>
        <w:tc>
          <w:tcPr>
            <w:tcW w:w="936" w:type="dxa"/>
          </w:tcPr>
          <w:p>
            <w:pPr>
              <w:pStyle w:val="TableParagraph"/>
              <w:spacing w:line="209" w:lineRule="exact"/>
              <w:ind w:left="70"/>
              <w:rPr>
                <w:sz w:val="20"/>
              </w:rPr>
            </w:pPr>
            <w:r>
              <w:rPr>
                <w:spacing w:val="-2"/>
                <w:sz w:val="20"/>
              </w:rPr>
              <w:t>0.947490</w:t>
            </w:r>
          </w:p>
        </w:tc>
        <w:tc>
          <w:tcPr>
            <w:tcW w:w="896" w:type="dxa"/>
          </w:tcPr>
          <w:p>
            <w:pPr>
              <w:pStyle w:val="TableParagraph"/>
              <w:spacing w:line="209" w:lineRule="exact"/>
              <w:ind w:right="31"/>
              <w:jc w:val="right"/>
              <w:rPr>
                <w:sz w:val="20"/>
              </w:rPr>
            </w:pPr>
            <w:r>
              <w:rPr>
                <w:spacing w:val="-2"/>
                <w:sz w:val="20"/>
              </w:rPr>
              <w:t>0.3547</w:t>
            </w:r>
          </w:p>
        </w:tc>
      </w:tr>
      <w:tr>
        <w:trPr>
          <w:trHeight w:val="224" w:hRule="atLeast"/>
        </w:trPr>
        <w:tc>
          <w:tcPr>
            <w:tcW w:w="1919" w:type="dxa"/>
            <w:tcBorders>
              <w:bottom w:val="double" w:sz="6" w:space="0" w:color="000000"/>
            </w:tcBorders>
          </w:tcPr>
          <w:p>
            <w:pPr>
              <w:pStyle w:val="TableParagraph"/>
              <w:spacing w:line="205" w:lineRule="exact"/>
              <w:ind w:left="125"/>
              <w:jc w:val="center"/>
              <w:rPr>
                <w:sz w:val="20"/>
              </w:rPr>
            </w:pPr>
            <w:r>
              <w:rPr>
                <w:spacing w:val="-10"/>
                <w:sz w:val="20"/>
              </w:rPr>
              <w:t>C</w:t>
            </w:r>
          </w:p>
        </w:tc>
        <w:tc>
          <w:tcPr>
            <w:tcW w:w="1307" w:type="dxa"/>
            <w:tcBorders>
              <w:bottom w:val="double" w:sz="6" w:space="0" w:color="000000"/>
            </w:tcBorders>
          </w:tcPr>
          <w:p>
            <w:pPr>
              <w:pStyle w:val="TableParagraph"/>
              <w:spacing w:line="205" w:lineRule="exact"/>
              <w:ind w:right="130"/>
              <w:jc w:val="right"/>
              <w:rPr>
                <w:sz w:val="20"/>
              </w:rPr>
            </w:pPr>
            <w:r>
              <w:rPr>
                <w:spacing w:val="-2"/>
                <w:sz w:val="20"/>
              </w:rPr>
              <w:t>12.49269</w:t>
            </w:r>
          </w:p>
        </w:tc>
        <w:tc>
          <w:tcPr>
            <w:tcW w:w="1433" w:type="dxa"/>
            <w:tcBorders>
              <w:bottom w:val="double" w:sz="6" w:space="0" w:color="000000"/>
            </w:tcBorders>
          </w:tcPr>
          <w:p>
            <w:pPr>
              <w:pStyle w:val="TableParagraph"/>
              <w:spacing w:line="205" w:lineRule="exact"/>
              <w:ind w:left="310"/>
              <w:rPr>
                <w:sz w:val="20"/>
              </w:rPr>
            </w:pPr>
            <w:r>
              <w:rPr>
                <w:spacing w:val="-2"/>
                <w:sz w:val="20"/>
              </w:rPr>
              <w:t>3.358977</w:t>
            </w:r>
          </w:p>
        </w:tc>
        <w:tc>
          <w:tcPr>
            <w:tcW w:w="936" w:type="dxa"/>
            <w:tcBorders>
              <w:bottom w:val="double" w:sz="6" w:space="0" w:color="000000"/>
            </w:tcBorders>
          </w:tcPr>
          <w:p>
            <w:pPr>
              <w:pStyle w:val="TableParagraph"/>
              <w:spacing w:line="205" w:lineRule="exact"/>
              <w:ind w:left="70"/>
              <w:rPr>
                <w:sz w:val="20"/>
              </w:rPr>
            </w:pPr>
            <w:r>
              <w:rPr>
                <w:spacing w:val="-2"/>
                <w:sz w:val="20"/>
              </w:rPr>
              <w:t>3.719195</w:t>
            </w:r>
          </w:p>
        </w:tc>
        <w:tc>
          <w:tcPr>
            <w:tcW w:w="896" w:type="dxa"/>
            <w:tcBorders>
              <w:bottom w:val="double" w:sz="6" w:space="0" w:color="000000"/>
            </w:tcBorders>
          </w:tcPr>
          <w:p>
            <w:pPr>
              <w:pStyle w:val="TableParagraph"/>
              <w:spacing w:line="205" w:lineRule="exact"/>
              <w:ind w:right="31"/>
              <w:jc w:val="right"/>
              <w:rPr>
                <w:sz w:val="20"/>
              </w:rPr>
            </w:pPr>
            <w:r>
              <w:rPr>
                <w:spacing w:val="-2"/>
                <w:sz w:val="20"/>
              </w:rPr>
              <w:t>0.0014</w:t>
            </w:r>
          </w:p>
        </w:tc>
      </w:tr>
      <w:tr>
        <w:trPr>
          <w:trHeight w:val="275" w:hRule="atLeast"/>
        </w:trPr>
        <w:tc>
          <w:tcPr>
            <w:tcW w:w="1919" w:type="dxa"/>
            <w:tcBorders>
              <w:top w:val="double" w:sz="6" w:space="0" w:color="000000"/>
            </w:tcBorders>
          </w:tcPr>
          <w:p>
            <w:pPr>
              <w:pStyle w:val="TableParagraph"/>
              <w:spacing w:line="215" w:lineRule="exact" w:before="40"/>
              <w:ind w:left="35"/>
              <w:rPr>
                <w:sz w:val="20"/>
              </w:rPr>
            </w:pPr>
            <w:r>
              <w:rPr>
                <w:spacing w:val="-2"/>
                <w:sz w:val="20"/>
              </w:rPr>
              <w:t>R-squared</w:t>
            </w:r>
          </w:p>
        </w:tc>
        <w:tc>
          <w:tcPr>
            <w:tcW w:w="1307" w:type="dxa"/>
            <w:tcBorders>
              <w:top w:val="double" w:sz="6" w:space="0" w:color="000000"/>
            </w:tcBorders>
          </w:tcPr>
          <w:p>
            <w:pPr>
              <w:pStyle w:val="TableParagraph"/>
              <w:spacing w:line="215" w:lineRule="exact" w:before="40"/>
              <w:ind w:right="130"/>
              <w:jc w:val="right"/>
              <w:rPr>
                <w:sz w:val="20"/>
              </w:rPr>
            </w:pPr>
            <w:r>
              <w:rPr>
                <w:spacing w:val="-2"/>
                <w:sz w:val="20"/>
              </w:rPr>
              <w:t>0.465630</w:t>
            </w:r>
          </w:p>
        </w:tc>
        <w:tc>
          <w:tcPr>
            <w:tcW w:w="2369" w:type="dxa"/>
            <w:gridSpan w:val="2"/>
            <w:tcBorders>
              <w:top w:val="double" w:sz="6" w:space="0" w:color="000000"/>
            </w:tcBorders>
          </w:tcPr>
          <w:p>
            <w:pPr>
              <w:pStyle w:val="TableParagraph"/>
              <w:spacing w:line="215" w:lineRule="exact" w:before="40"/>
              <w:ind w:left="130"/>
              <w:rPr>
                <w:sz w:val="20"/>
              </w:rPr>
            </w:pPr>
            <w:r>
              <w:rPr>
                <w:sz w:val="20"/>
              </w:rPr>
              <w:t>Mean</w:t>
            </w:r>
            <w:r>
              <w:rPr>
                <w:spacing w:val="-7"/>
                <w:sz w:val="20"/>
              </w:rPr>
              <w:t> </w:t>
            </w:r>
            <w:r>
              <w:rPr>
                <w:sz w:val="20"/>
              </w:rPr>
              <w:t>dependent</w:t>
            </w:r>
            <w:r>
              <w:rPr>
                <w:spacing w:val="-7"/>
                <w:sz w:val="20"/>
              </w:rPr>
              <w:t> </w:t>
            </w:r>
            <w:r>
              <w:rPr>
                <w:spacing w:val="-5"/>
                <w:sz w:val="20"/>
              </w:rPr>
              <w:t>var</w:t>
            </w:r>
          </w:p>
        </w:tc>
        <w:tc>
          <w:tcPr>
            <w:tcW w:w="896" w:type="dxa"/>
            <w:tcBorders>
              <w:top w:val="double" w:sz="6" w:space="0" w:color="000000"/>
            </w:tcBorders>
          </w:tcPr>
          <w:p>
            <w:pPr>
              <w:pStyle w:val="TableParagraph"/>
              <w:spacing w:line="215" w:lineRule="exact" w:before="40"/>
              <w:ind w:right="31"/>
              <w:jc w:val="right"/>
              <w:rPr>
                <w:sz w:val="20"/>
              </w:rPr>
            </w:pPr>
            <w:r>
              <w:rPr>
                <w:spacing w:val="-2"/>
                <w:sz w:val="20"/>
              </w:rPr>
              <w:t>0.079613</w:t>
            </w:r>
          </w:p>
        </w:tc>
      </w:tr>
      <w:tr>
        <w:trPr>
          <w:trHeight w:val="230" w:hRule="atLeast"/>
        </w:trPr>
        <w:tc>
          <w:tcPr>
            <w:tcW w:w="1919" w:type="dxa"/>
          </w:tcPr>
          <w:p>
            <w:pPr>
              <w:pStyle w:val="TableParagraph"/>
              <w:spacing w:line="210" w:lineRule="exact"/>
              <w:ind w:left="35"/>
              <w:rPr>
                <w:sz w:val="20"/>
              </w:rPr>
            </w:pPr>
            <w:r>
              <w:rPr>
                <w:sz w:val="20"/>
              </w:rPr>
              <w:t>Adjusted</w:t>
            </w:r>
            <w:r>
              <w:rPr>
                <w:spacing w:val="-10"/>
                <w:sz w:val="20"/>
              </w:rPr>
              <w:t> </w:t>
            </w:r>
            <w:r>
              <w:rPr>
                <w:sz w:val="20"/>
              </w:rPr>
              <w:t>R-</w:t>
            </w:r>
            <w:r>
              <w:rPr>
                <w:spacing w:val="-2"/>
                <w:sz w:val="20"/>
              </w:rPr>
              <w:t>squared</w:t>
            </w:r>
          </w:p>
        </w:tc>
        <w:tc>
          <w:tcPr>
            <w:tcW w:w="1307" w:type="dxa"/>
          </w:tcPr>
          <w:p>
            <w:pPr>
              <w:pStyle w:val="TableParagraph"/>
              <w:spacing w:line="210" w:lineRule="exact"/>
              <w:ind w:right="130"/>
              <w:jc w:val="right"/>
              <w:rPr>
                <w:sz w:val="20"/>
              </w:rPr>
            </w:pPr>
            <w:r>
              <w:rPr>
                <w:spacing w:val="-2"/>
                <w:sz w:val="20"/>
              </w:rPr>
              <w:t>0.412193</w:t>
            </w:r>
          </w:p>
        </w:tc>
        <w:tc>
          <w:tcPr>
            <w:tcW w:w="2369" w:type="dxa"/>
            <w:gridSpan w:val="2"/>
          </w:tcPr>
          <w:p>
            <w:pPr>
              <w:pStyle w:val="TableParagraph"/>
              <w:spacing w:line="210" w:lineRule="exact"/>
              <w:ind w:left="130"/>
              <w:rPr>
                <w:sz w:val="20"/>
              </w:rPr>
            </w:pPr>
            <w:r>
              <w:rPr>
                <w:sz w:val="20"/>
              </w:rPr>
              <w:t>S.D.</w:t>
            </w:r>
            <w:r>
              <w:rPr>
                <w:spacing w:val="-5"/>
                <w:sz w:val="20"/>
              </w:rPr>
              <w:t> </w:t>
            </w:r>
            <w:r>
              <w:rPr>
                <w:sz w:val="20"/>
              </w:rPr>
              <w:t>dependent</w:t>
            </w:r>
            <w:r>
              <w:rPr>
                <w:spacing w:val="-6"/>
                <w:sz w:val="20"/>
              </w:rPr>
              <w:t> </w:t>
            </w:r>
            <w:r>
              <w:rPr>
                <w:spacing w:val="-5"/>
                <w:sz w:val="20"/>
              </w:rPr>
              <w:t>var</w:t>
            </w:r>
          </w:p>
        </w:tc>
        <w:tc>
          <w:tcPr>
            <w:tcW w:w="896" w:type="dxa"/>
          </w:tcPr>
          <w:p>
            <w:pPr>
              <w:pStyle w:val="TableParagraph"/>
              <w:spacing w:line="210" w:lineRule="exact"/>
              <w:ind w:right="31"/>
              <w:jc w:val="right"/>
              <w:rPr>
                <w:sz w:val="20"/>
              </w:rPr>
            </w:pPr>
            <w:r>
              <w:rPr>
                <w:spacing w:val="-2"/>
                <w:sz w:val="20"/>
              </w:rPr>
              <w:t>2.322606</w:t>
            </w:r>
          </w:p>
        </w:tc>
      </w:tr>
      <w:tr>
        <w:trPr>
          <w:trHeight w:val="230" w:hRule="atLeast"/>
        </w:trPr>
        <w:tc>
          <w:tcPr>
            <w:tcW w:w="1919" w:type="dxa"/>
          </w:tcPr>
          <w:p>
            <w:pPr>
              <w:pStyle w:val="TableParagraph"/>
              <w:spacing w:line="211" w:lineRule="exact"/>
              <w:ind w:left="35"/>
              <w:rPr>
                <w:sz w:val="20"/>
              </w:rPr>
            </w:pPr>
            <w:r>
              <w:rPr>
                <w:sz w:val="20"/>
              </w:rPr>
              <w:t>S.E.</w:t>
            </w:r>
            <w:r>
              <w:rPr>
                <w:spacing w:val="-3"/>
                <w:sz w:val="20"/>
              </w:rPr>
              <w:t> </w:t>
            </w:r>
            <w:r>
              <w:rPr>
                <w:sz w:val="20"/>
              </w:rPr>
              <w:t>of</w:t>
            </w:r>
            <w:r>
              <w:rPr>
                <w:spacing w:val="-3"/>
                <w:sz w:val="20"/>
              </w:rPr>
              <w:t> </w:t>
            </w:r>
            <w:r>
              <w:rPr>
                <w:spacing w:val="-2"/>
                <w:sz w:val="20"/>
              </w:rPr>
              <w:t>regression</w:t>
            </w:r>
          </w:p>
        </w:tc>
        <w:tc>
          <w:tcPr>
            <w:tcW w:w="1307" w:type="dxa"/>
          </w:tcPr>
          <w:p>
            <w:pPr>
              <w:pStyle w:val="TableParagraph"/>
              <w:spacing w:line="211" w:lineRule="exact"/>
              <w:ind w:right="130"/>
              <w:jc w:val="right"/>
              <w:rPr>
                <w:sz w:val="20"/>
              </w:rPr>
            </w:pPr>
            <w:r>
              <w:rPr>
                <w:spacing w:val="-2"/>
                <w:sz w:val="20"/>
              </w:rPr>
              <w:t>1.780708</w:t>
            </w:r>
          </w:p>
        </w:tc>
        <w:tc>
          <w:tcPr>
            <w:tcW w:w="2369" w:type="dxa"/>
            <w:gridSpan w:val="2"/>
          </w:tcPr>
          <w:p>
            <w:pPr>
              <w:pStyle w:val="TableParagraph"/>
              <w:spacing w:line="211" w:lineRule="exact"/>
              <w:ind w:left="130"/>
              <w:rPr>
                <w:sz w:val="20"/>
              </w:rPr>
            </w:pPr>
            <w:r>
              <w:rPr>
                <w:sz w:val="20"/>
              </w:rPr>
              <w:t>Akaike</w:t>
            </w:r>
            <w:r>
              <w:rPr>
                <w:spacing w:val="-8"/>
                <w:sz w:val="20"/>
              </w:rPr>
              <w:t> </w:t>
            </w:r>
            <w:r>
              <w:rPr>
                <w:sz w:val="20"/>
              </w:rPr>
              <w:t>info</w:t>
            </w:r>
            <w:r>
              <w:rPr>
                <w:spacing w:val="-7"/>
                <w:sz w:val="20"/>
              </w:rPr>
              <w:t> </w:t>
            </w:r>
            <w:r>
              <w:rPr>
                <w:spacing w:val="-2"/>
                <w:sz w:val="20"/>
              </w:rPr>
              <w:t>criterion</w:t>
            </w:r>
          </w:p>
        </w:tc>
        <w:tc>
          <w:tcPr>
            <w:tcW w:w="896" w:type="dxa"/>
          </w:tcPr>
          <w:p>
            <w:pPr>
              <w:pStyle w:val="TableParagraph"/>
              <w:spacing w:line="211" w:lineRule="exact"/>
              <w:ind w:right="31"/>
              <w:jc w:val="right"/>
              <w:rPr>
                <w:sz w:val="20"/>
              </w:rPr>
            </w:pPr>
            <w:r>
              <w:rPr>
                <w:spacing w:val="-2"/>
                <w:sz w:val="20"/>
              </w:rPr>
              <w:t>4.113007</w:t>
            </w:r>
          </w:p>
        </w:tc>
      </w:tr>
      <w:tr>
        <w:trPr>
          <w:trHeight w:val="230" w:hRule="atLeast"/>
        </w:trPr>
        <w:tc>
          <w:tcPr>
            <w:tcW w:w="1919" w:type="dxa"/>
          </w:tcPr>
          <w:p>
            <w:pPr>
              <w:pStyle w:val="TableParagraph"/>
              <w:spacing w:line="211" w:lineRule="exact"/>
              <w:ind w:left="35"/>
              <w:rPr>
                <w:sz w:val="20"/>
              </w:rPr>
            </w:pPr>
            <w:r>
              <w:rPr>
                <w:sz w:val="20"/>
              </w:rPr>
              <w:t>Sum</w:t>
            </w:r>
            <w:r>
              <w:rPr>
                <w:spacing w:val="-8"/>
                <w:sz w:val="20"/>
              </w:rPr>
              <w:t> </w:t>
            </w:r>
            <w:r>
              <w:rPr>
                <w:sz w:val="20"/>
              </w:rPr>
              <w:t>squared</w:t>
            </w:r>
            <w:r>
              <w:rPr>
                <w:spacing w:val="-4"/>
                <w:sz w:val="20"/>
              </w:rPr>
              <w:t> </w:t>
            </w:r>
            <w:r>
              <w:rPr>
                <w:spacing w:val="-2"/>
                <w:sz w:val="20"/>
              </w:rPr>
              <w:t>resid</w:t>
            </w:r>
          </w:p>
        </w:tc>
        <w:tc>
          <w:tcPr>
            <w:tcW w:w="1307" w:type="dxa"/>
          </w:tcPr>
          <w:p>
            <w:pPr>
              <w:pStyle w:val="TableParagraph"/>
              <w:spacing w:line="211" w:lineRule="exact"/>
              <w:ind w:right="130"/>
              <w:jc w:val="right"/>
              <w:rPr>
                <w:sz w:val="20"/>
              </w:rPr>
            </w:pPr>
            <w:r>
              <w:rPr>
                <w:spacing w:val="-2"/>
                <w:sz w:val="20"/>
              </w:rPr>
              <w:t>63.41845</w:t>
            </w:r>
          </w:p>
        </w:tc>
        <w:tc>
          <w:tcPr>
            <w:tcW w:w="2369" w:type="dxa"/>
            <w:gridSpan w:val="2"/>
          </w:tcPr>
          <w:p>
            <w:pPr>
              <w:pStyle w:val="TableParagraph"/>
              <w:spacing w:line="211" w:lineRule="exact"/>
              <w:ind w:left="130"/>
              <w:rPr>
                <w:sz w:val="20"/>
              </w:rPr>
            </w:pPr>
            <w:r>
              <w:rPr>
                <w:sz w:val="20"/>
              </w:rPr>
              <w:t>Schwarz</w:t>
            </w:r>
            <w:r>
              <w:rPr>
                <w:spacing w:val="-8"/>
                <w:sz w:val="20"/>
              </w:rPr>
              <w:t> </w:t>
            </w:r>
            <w:r>
              <w:rPr>
                <w:spacing w:val="-2"/>
                <w:sz w:val="20"/>
              </w:rPr>
              <w:t>criterion</w:t>
            </w:r>
          </w:p>
        </w:tc>
        <w:tc>
          <w:tcPr>
            <w:tcW w:w="896" w:type="dxa"/>
          </w:tcPr>
          <w:p>
            <w:pPr>
              <w:pStyle w:val="TableParagraph"/>
              <w:spacing w:line="211" w:lineRule="exact"/>
              <w:ind w:right="31"/>
              <w:jc w:val="right"/>
              <w:rPr>
                <w:sz w:val="20"/>
              </w:rPr>
            </w:pPr>
            <w:r>
              <w:rPr>
                <w:spacing w:val="-2"/>
                <w:sz w:val="20"/>
              </w:rPr>
              <w:t>4.261115</w:t>
            </w:r>
          </w:p>
        </w:tc>
      </w:tr>
      <w:tr>
        <w:trPr>
          <w:trHeight w:val="230" w:hRule="atLeast"/>
        </w:trPr>
        <w:tc>
          <w:tcPr>
            <w:tcW w:w="1919" w:type="dxa"/>
          </w:tcPr>
          <w:p>
            <w:pPr>
              <w:pStyle w:val="TableParagraph"/>
              <w:spacing w:line="210" w:lineRule="exact"/>
              <w:ind w:left="35"/>
              <w:rPr>
                <w:sz w:val="20"/>
              </w:rPr>
            </w:pPr>
            <w:r>
              <w:rPr>
                <w:sz w:val="20"/>
              </w:rPr>
              <w:t>Log</w:t>
            </w:r>
            <w:r>
              <w:rPr>
                <w:spacing w:val="-6"/>
                <w:sz w:val="20"/>
              </w:rPr>
              <w:t> </w:t>
            </w:r>
            <w:r>
              <w:rPr>
                <w:spacing w:val="-2"/>
                <w:sz w:val="20"/>
              </w:rPr>
              <w:t>likelihood</w:t>
            </w:r>
          </w:p>
        </w:tc>
        <w:tc>
          <w:tcPr>
            <w:tcW w:w="1307" w:type="dxa"/>
          </w:tcPr>
          <w:p>
            <w:pPr>
              <w:pStyle w:val="TableParagraph"/>
              <w:spacing w:line="210" w:lineRule="exact"/>
              <w:ind w:right="130"/>
              <w:jc w:val="right"/>
              <w:rPr>
                <w:sz w:val="20"/>
              </w:rPr>
            </w:pPr>
            <w:r>
              <w:rPr>
                <w:spacing w:val="-4"/>
                <w:sz w:val="20"/>
              </w:rPr>
              <w:t>-</w:t>
            </w:r>
            <w:r>
              <w:rPr>
                <w:spacing w:val="-2"/>
                <w:sz w:val="20"/>
              </w:rPr>
              <w:t>44.29958</w:t>
            </w:r>
          </w:p>
        </w:tc>
        <w:tc>
          <w:tcPr>
            <w:tcW w:w="1433" w:type="dxa"/>
          </w:tcPr>
          <w:p>
            <w:pPr>
              <w:pStyle w:val="TableParagraph"/>
              <w:spacing w:line="210" w:lineRule="exact"/>
              <w:ind w:left="130"/>
              <w:rPr>
                <w:sz w:val="20"/>
              </w:rPr>
            </w:pPr>
            <w:r>
              <w:rPr>
                <w:spacing w:val="-4"/>
                <w:sz w:val="20"/>
              </w:rPr>
              <w:t>F-</w:t>
            </w:r>
            <w:r>
              <w:rPr>
                <w:spacing w:val="-2"/>
                <w:sz w:val="20"/>
              </w:rPr>
              <w:t>statistic</w:t>
            </w:r>
          </w:p>
        </w:tc>
        <w:tc>
          <w:tcPr>
            <w:tcW w:w="936" w:type="dxa"/>
          </w:tcPr>
          <w:p>
            <w:pPr>
              <w:pStyle w:val="TableParagraph"/>
              <w:rPr>
                <w:sz w:val="16"/>
              </w:rPr>
            </w:pPr>
          </w:p>
        </w:tc>
        <w:tc>
          <w:tcPr>
            <w:tcW w:w="896" w:type="dxa"/>
          </w:tcPr>
          <w:p>
            <w:pPr>
              <w:pStyle w:val="TableParagraph"/>
              <w:spacing w:line="210" w:lineRule="exact"/>
              <w:ind w:right="31"/>
              <w:jc w:val="right"/>
              <w:rPr>
                <w:sz w:val="20"/>
              </w:rPr>
            </w:pPr>
            <w:r>
              <w:rPr>
                <w:spacing w:val="-2"/>
                <w:sz w:val="20"/>
              </w:rPr>
              <w:t>8.713632</w:t>
            </w:r>
          </w:p>
        </w:tc>
      </w:tr>
      <w:tr>
        <w:trPr>
          <w:trHeight w:val="265" w:hRule="atLeast"/>
        </w:trPr>
        <w:tc>
          <w:tcPr>
            <w:tcW w:w="1919" w:type="dxa"/>
            <w:tcBorders>
              <w:bottom w:val="double" w:sz="6" w:space="0" w:color="000000"/>
            </w:tcBorders>
          </w:tcPr>
          <w:p>
            <w:pPr>
              <w:pStyle w:val="TableParagraph"/>
              <w:spacing w:line="226" w:lineRule="exact"/>
              <w:ind w:left="35"/>
              <w:rPr>
                <w:sz w:val="20"/>
              </w:rPr>
            </w:pPr>
            <w:r>
              <w:rPr>
                <w:sz w:val="20"/>
              </w:rPr>
              <w:t>Durbin-Watson</w:t>
            </w:r>
            <w:r>
              <w:rPr>
                <w:spacing w:val="-12"/>
                <w:sz w:val="20"/>
              </w:rPr>
              <w:t> </w:t>
            </w:r>
            <w:r>
              <w:rPr>
                <w:spacing w:val="-4"/>
                <w:sz w:val="20"/>
              </w:rPr>
              <w:t>stat</w:t>
            </w:r>
          </w:p>
        </w:tc>
        <w:tc>
          <w:tcPr>
            <w:tcW w:w="1307" w:type="dxa"/>
          </w:tcPr>
          <w:p>
            <w:pPr>
              <w:pStyle w:val="TableParagraph"/>
              <w:spacing w:line="226" w:lineRule="exact"/>
              <w:ind w:right="130"/>
              <w:jc w:val="right"/>
              <w:rPr>
                <w:sz w:val="20"/>
              </w:rPr>
            </w:pPr>
            <w:r>
              <w:rPr>
                <w:spacing w:val="-2"/>
                <w:sz w:val="20"/>
              </w:rPr>
              <w:t>1.873343</w:t>
            </w:r>
          </w:p>
        </w:tc>
        <w:tc>
          <w:tcPr>
            <w:tcW w:w="1433" w:type="dxa"/>
            <w:tcBorders>
              <w:bottom w:val="double" w:sz="6" w:space="0" w:color="000000"/>
            </w:tcBorders>
          </w:tcPr>
          <w:p>
            <w:pPr>
              <w:pStyle w:val="TableParagraph"/>
              <w:spacing w:line="226" w:lineRule="exact"/>
              <w:ind w:left="130"/>
              <w:rPr>
                <w:sz w:val="20"/>
              </w:rPr>
            </w:pPr>
            <w:r>
              <w:rPr>
                <w:spacing w:val="-2"/>
                <w:sz w:val="20"/>
              </w:rPr>
              <w:t>Prob(F-statistic)</w:t>
            </w:r>
          </w:p>
        </w:tc>
        <w:tc>
          <w:tcPr>
            <w:tcW w:w="936" w:type="dxa"/>
            <w:tcBorders>
              <w:bottom w:val="single" w:sz="6" w:space="0" w:color="000000"/>
            </w:tcBorders>
          </w:tcPr>
          <w:p>
            <w:pPr>
              <w:pStyle w:val="TableParagraph"/>
              <w:rPr>
                <w:sz w:val="18"/>
              </w:rPr>
            </w:pPr>
          </w:p>
        </w:tc>
        <w:tc>
          <w:tcPr>
            <w:tcW w:w="896" w:type="dxa"/>
            <w:tcBorders>
              <w:bottom w:val="double" w:sz="6" w:space="0" w:color="000000"/>
            </w:tcBorders>
          </w:tcPr>
          <w:p>
            <w:pPr>
              <w:pStyle w:val="TableParagraph"/>
              <w:spacing w:line="226" w:lineRule="exact"/>
              <w:ind w:right="31"/>
              <w:jc w:val="right"/>
              <w:rPr>
                <w:sz w:val="20"/>
              </w:rPr>
            </w:pPr>
            <w:r>
              <w:rPr>
                <w:spacing w:val="-2"/>
                <w:sz w:val="20"/>
              </w:rPr>
              <w:t>0.001899</w:t>
            </w:r>
          </w:p>
        </w:tc>
      </w:tr>
    </w:tbl>
    <w:p>
      <w:pPr>
        <w:pStyle w:val="BodyText"/>
        <w:spacing w:before="15"/>
        <w:rPr>
          <w:sz w:val="20"/>
        </w:rPr>
      </w:pPr>
    </w:p>
    <w:p>
      <w:pPr>
        <w:spacing w:before="0" w:after="8"/>
        <w:ind w:left="771" w:right="0" w:firstLine="0"/>
        <w:jc w:val="left"/>
        <w:rPr>
          <w:sz w:val="20"/>
        </w:rPr>
      </w:pPr>
      <w:r>
        <w:rPr>
          <w:sz w:val="20"/>
        </w:rPr>
        <w:t>DFI</w:t>
      </w:r>
      <w:r>
        <w:rPr>
          <w:spacing w:val="-3"/>
          <w:sz w:val="20"/>
        </w:rPr>
        <w:t> </w:t>
      </w:r>
      <w:r>
        <w:rPr>
          <w:sz w:val="20"/>
        </w:rPr>
        <w:t>@</w:t>
      </w:r>
      <w:r>
        <w:rPr>
          <w:spacing w:val="-2"/>
          <w:sz w:val="20"/>
        </w:rPr>
        <w:t> </w:t>
      </w:r>
      <w:r>
        <w:rPr>
          <w:spacing w:val="-4"/>
          <w:sz w:val="20"/>
        </w:rPr>
        <w:t>LEVEL</w:t>
      </w:r>
    </w:p>
    <w:tbl>
      <w:tblPr>
        <w:tblW w:w="0" w:type="auto"/>
        <w:jc w:val="left"/>
        <w:tblInd w:w="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13"/>
        <w:gridCol w:w="1292"/>
        <w:gridCol w:w="2307"/>
        <w:gridCol w:w="1070"/>
      </w:tblGrid>
      <w:tr>
        <w:trPr>
          <w:trHeight w:val="225" w:hRule="atLeast"/>
        </w:trPr>
        <w:tc>
          <w:tcPr>
            <w:tcW w:w="1813" w:type="dxa"/>
          </w:tcPr>
          <w:p>
            <w:pPr>
              <w:pStyle w:val="TableParagraph"/>
              <w:spacing w:line="205" w:lineRule="exact"/>
              <w:ind w:left="28"/>
              <w:rPr>
                <w:sz w:val="20"/>
              </w:rPr>
            </w:pPr>
            <w:r>
              <w:rPr>
                <w:sz w:val="20"/>
              </w:rPr>
              <w:t>ADF</w:t>
            </w:r>
            <w:r>
              <w:rPr>
                <w:spacing w:val="-4"/>
                <w:sz w:val="20"/>
              </w:rPr>
              <w:t> </w:t>
            </w:r>
            <w:r>
              <w:rPr>
                <w:sz w:val="20"/>
              </w:rPr>
              <w:t>Test</w:t>
            </w:r>
            <w:r>
              <w:rPr>
                <w:spacing w:val="-4"/>
                <w:sz w:val="20"/>
              </w:rPr>
              <w:t> </w:t>
            </w:r>
            <w:r>
              <w:rPr>
                <w:spacing w:val="-2"/>
                <w:sz w:val="20"/>
              </w:rPr>
              <w:t>Statistic</w:t>
            </w:r>
          </w:p>
        </w:tc>
        <w:tc>
          <w:tcPr>
            <w:tcW w:w="1292" w:type="dxa"/>
          </w:tcPr>
          <w:p>
            <w:pPr>
              <w:pStyle w:val="TableParagraph"/>
              <w:spacing w:line="205" w:lineRule="exact"/>
              <w:ind w:left="299"/>
              <w:rPr>
                <w:sz w:val="20"/>
              </w:rPr>
            </w:pPr>
            <w:r>
              <w:rPr>
                <w:spacing w:val="-2"/>
                <w:sz w:val="20"/>
              </w:rPr>
              <w:t>0.497843</w:t>
            </w:r>
          </w:p>
        </w:tc>
        <w:tc>
          <w:tcPr>
            <w:tcW w:w="2307" w:type="dxa"/>
          </w:tcPr>
          <w:p>
            <w:pPr>
              <w:pStyle w:val="TableParagraph"/>
              <w:spacing w:line="205" w:lineRule="exact"/>
              <w:ind w:left="243"/>
              <w:rPr>
                <w:sz w:val="20"/>
              </w:rPr>
            </w:pPr>
            <w:r>
              <w:rPr>
                <w:sz w:val="20"/>
              </w:rPr>
              <w:t>1%</w:t>
            </w:r>
            <w:r>
              <w:rPr>
                <w:spacing w:val="68"/>
                <w:w w:val="150"/>
                <w:sz w:val="20"/>
              </w:rPr>
              <w:t> </w:t>
            </w:r>
            <w:r>
              <w:rPr>
                <w:sz w:val="20"/>
              </w:rPr>
              <w:t>Critical</w:t>
            </w:r>
            <w:r>
              <w:rPr>
                <w:spacing w:val="-2"/>
                <w:sz w:val="20"/>
              </w:rPr>
              <w:t> Value*</w:t>
            </w:r>
          </w:p>
        </w:tc>
        <w:tc>
          <w:tcPr>
            <w:tcW w:w="1070" w:type="dxa"/>
          </w:tcPr>
          <w:p>
            <w:pPr>
              <w:pStyle w:val="TableParagraph"/>
              <w:spacing w:line="205" w:lineRule="exact"/>
              <w:ind w:right="29"/>
              <w:jc w:val="right"/>
              <w:rPr>
                <w:sz w:val="20"/>
              </w:rPr>
            </w:pPr>
            <w:r>
              <w:rPr>
                <w:spacing w:val="-4"/>
                <w:sz w:val="20"/>
              </w:rPr>
              <w:t>-</w:t>
            </w:r>
            <w:r>
              <w:rPr>
                <w:spacing w:val="-2"/>
                <w:sz w:val="20"/>
              </w:rPr>
              <w:t>3.7497</w:t>
            </w:r>
          </w:p>
        </w:tc>
      </w:tr>
      <w:tr>
        <w:trPr>
          <w:trHeight w:val="230" w:hRule="atLeast"/>
        </w:trPr>
        <w:tc>
          <w:tcPr>
            <w:tcW w:w="1813" w:type="dxa"/>
          </w:tcPr>
          <w:p>
            <w:pPr>
              <w:pStyle w:val="TableParagraph"/>
              <w:rPr>
                <w:sz w:val="16"/>
              </w:rPr>
            </w:pPr>
          </w:p>
        </w:tc>
        <w:tc>
          <w:tcPr>
            <w:tcW w:w="1292" w:type="dxa"/>
          </w:tcPr>
          <w:p>
            <w:pPr>
              <w:pStyle w:val="TableParagraph"/>
              <w:rPr>
                <w:sz w:val="16"/>
              </w:rPr>
            </w:pPr>
          </w:p>
        </w:tc>
        <w:tc>
          <w:tcPr>
            <w:tcW w:w="2307" w:type="dxa"/>
          </w:tcPr>
          <w:p>
            <w:pPr>
              <w:pStyle w:val="TableParagraph"/>
              <w:spacing w:line="210" w:lineRule="exact"/>
              <w:ind w:left="243"/>
              <w:rPr>
                <w:sz w:val="20"/>
              </w:rPr>
            </w:pPr>
            <w:r>
              <w:rPr>
                <w:sz w:val="20"/>
              </w:rPr>
              <w:t>5%</w:t>
            </w:r>
            <w:r>
              <w:rPr>
                <w:spacing w:val="68"/>
                <w:w w:val="150"/>
                <w:sz w:val="20"/>
              </w:rPr>
              <w:t> </w:t>
            </w:r>
            <w:r>
              <w:rPr>
                <w:sz w:val="20"/>
              </w:rPr>
              <w:t>Critical</w:t>
            </w:r>
            <w:r>
              <w:rPr>
                <w:spacing w:val="-2"/>
                <w:sz w:val="20"/>
              </w:rPr>
              <w:t> </w:t>
            </w:r>
            <w:r>
              <w:rPr>
                <w:spacing w:val="-4"/>
                <w:sz w:val="20"/>
              </w:rPr>
              <w:t>Value</w:t>
            </w:r>
          </w:p>
        </w:tc>
        <w:tc>
          <w:tcPr>
            <w:tcW w:w="1070" w:type="dxa"/>
          </w:tcPr>
          <w:p>
            <w:pPr>
              <w:pStyle w:val="TableParagraph"/>
              <w:spacing w:line="210" w:lineRule="exact"/>
              <w:ind w:right="29"/>
              <w:jc w:val="right"/>
              <w:rPr>
                <w:sz w:val="20"/>
              </w:rPr>
            </w:pPr>
            <w:r>
              <w:rPr>
                <w:spacing w:val="-4"/>
                <w:sz w:val="20"/>
              </w:rPr>
              <w:t>-</w:t>
            </w:r>
            <w:r>
              <w:rPr>
                <w:spacing w:val="-2"/>
                <w:sz w:val="20"/>
              </w:rPr>
              <w:t>2.9969</w:t>
            </w:r>
          </w:p>
        </w:tc>
      </w:tr>
      <w:tr>
        <w:trPr>
          <w:trHeight w:val="224" w:hRule="atLeast"/>
        </w:trPr>
        <w:tc>
          <w:tcPr>
            <w:tcW w:w="1813" w:type="dxa"/>
            <w:tcBorders>
              <w:bottom w:val="double" w:sz="6" w:space="0" w:color="000000"/>
            </w:tcBorders>
          </w:tcPr>
          <w:p>
            <w:pPr>
              <w:pStyle w:val="TableParagraph"/>
              <w:rPr>
                <w:sz w:val="16"/>
              </w:rPr>
            </w:pPr>
          </w:p>
        </w:tc>
        <w:tc>
          <w:tcPr>
            <w:tcW w:w="1292" w:type="dxa"/>
            <w:tcBorders>
              <w:bottom w:val="double" w:sz="6" w:space="0" w:color="000000"/>
            </w:tcBorders>
          </w:tcPr>
          <w:p>
            <w:pPr>
              <w:pStyle w:val="TableParagraph"/>
              <w:rPr>
                <w:sz w:val="16"/>
              </w:rPr>
            </w:pPr>
          </w:p>
        </w:tc>
        <w:tc>
          <w:tcPr>
            <w:tcW w:w="2307" w:type="dxa"/>
            <w:tcBorders>
              <w:bottom w:val="double" w:sz="6" w:space="0" w:color="000000"/>
            </w:tcBorders>
          </w:tcPr>
          <w:p>
            <w:pPr>
              <w:pStyle w:val="TableParagraph"/>
              <w:spacing w:line="205" w:lineRule="exact"/>
              <w:ind w:left="243"/>
              <w:rPr>
                <w:sz w:val="20"/>
              </w:rPr>
            </w:pPr>
            <w:r>
              <w:rPr>
                <w:sz w:val="20"/>
              </w:rPr>
              <w:t>10%</w:t>
            </w:r>
            <w:r>
              <w:rPr>
                <w:spacing w:val="-6"/>
                <w:sz w:val="20"/>
              </w:rPr>
              <w:t> </w:t>
            </w:r>
            <w:r>
              <w:rPr>
                <w:sz w:val="20"/>
              </w:rPr>
              <w:t>Critical</w:t>
            </w:r>
            <w:r>
              <w:rPr>
                <w:spacing w:val="-4"/>
                <w:sz w:val="20"/>
              </w:rPr>
              <w:t> </w:t>
            </w:r>
            <w:r>
              <w:rPr>
                <w:spacing w:val="-2"/>
                <w:sz w:val="20"/>
              </w:rPr>
              <w:t>Value</w:t>
            </w:r>
          </w:p>
        </w:tc>
        <w:tc>
          <w:tcPr>
            <w:tcW w:w="1070" w:type="dxa"/>
            <w:tcBorders>
              <w:bottom w:val="double" w:sz="6" w:space="0" w:color="000000"/>
            </w:tcBorders>
          </w:tcPr>
          <w:p>
            <w:pPr>
              <w:pStyle w:val="TableParagraph"/>
              <w:spacing w:line="205" w:lineRule="exact"/>
              <w:ind w:right="29"/>
              <w:jc w:val="right"/>
              <w:rPr>
                <w:sz w:val="20"/>
              </w:rPr>
            </w:pPr>
            <w:r>
              <w:rPr>
                <w:spacing w:val="-4"/>
                <w:sz w:val="20"/>
              </w:rPr>
              <w:t>-</w:t>
            </w:r>
            <w:r>
              <w:rPr>
                <w:spacing w:val="-2"/>
                <w:sz w:val="20"/>
              </w:rPr>
              <w:t>2.6381</w:t>
            </w:r>
          </w:p>
        </w:tc>
      </w:tr>
      <w:tr>
        <w:trPr>
          <w:trHeight w:val="505" w:hRule="atLeast"/>
        </w:trPr>
        <w:tc>
          <w:tcPr>
            <w:tcW w:w="6482" w:type="dxa"/>
            <w:gridSpan w:val="4"/>
            <w:tcBorders>
              <w:top w:val="double" w:sz="6" w:space="0" w:color="000000"/>
            </w:tcBorders>
          </w:tcPr>
          <w:p>
            <w:pPr>
              <w:pStyle w:val="TableParagraph"/>
              <w:spacing w:before="40"/>
              <w:ind w:left="28"/>
              <w:rPr>
                <w:sz w:val="20"/>
              </w:rPr>
            </w:pPr>
            <w:r>
              <w:rPr>
                <w:sz w:val="20"/>
              </w:rPr>
              <w:t>*MacKinnon</w:t>
            </w:r>
            <w:r>
              <w:rPr>
                <w:spacing w:val="-6"/>
                <w:sz w:val="20"/>
              </w:rPr>
              <w:t> </w:t>
            </w:r>
            <w:r>
              <w:rPr>
                <w:sz w:val="20"/>
              </w:rPr>
              <w:t>critical</w:t>
            </w:r>
            <w:r>
              <w:rPr>
                <w:spacing w:val="-4"/>
                <w:sz w:val="20"/>
              </w:rPr>
              <w:t> </w:t>
            </w:r>
            <w:r>
              <w:rPr>
                <w:sz w:val="20"/>
              </w:rPr>
              <w:t>values</w:t>
            </w:r>
            <w:r>
              <w:rPr>
                <w:spacing w:val="-6"/>
                <w:sz w:val="20"/>
              </w:rPr>
              <w:t> </w:t>
            </w:r>
            <w:r>
              <w:rPr>
                <w:sz w:val="20"/>
              </w:rPr>
              <w:t>for</w:t>
            </w:r>
            <w:r>
              <w:rPr>
                <w:spacing w:val="-4"/>
                <w:sz w:val="20"/>
              </w:rPr>
              <w:t> </w:t>
            </w:r>
            <w:r>
              <w:rPr>
                <w:sz w:val="20"/>
              </w:rPr>
              <w:t>rejection</w:t>
            </w:r>
            <w:r>
              <w:rPr>
                <w:spacing w:val="-6"/>
                <w:sz w:val="20"/>
              </w:rPr>
              <w:t> </w:t>
            </w:r>
            <w:r>
              <w:rPr>
                <w:sz w:val="20"/>
              </w:rPr>
              <w:t>of</w:t>
            </w:r>
            <w:r>
              <w:rPr>
                <w:spacing w:val="-6"/>
                <w:sz w:val="20"/>
              </w:rPr>
              <w:t> </w:t>
            </w:r>
            <w:r>
              <w:rPr>
                <w:sz w:val="20"/>
              </w:rPr>
              <w:t>hypothesis</w:t>
            </w:r>
            <w:r>
              <w:rPr>
                <w:spacing w:val="-6"/>
                <w:sz w:val="20"/>
              </w:rPr>
              <w:t> </w:t>
            </w:r>
            <w:r>
              <w:rPr>
                <w:sz w:val="20"/>
              </w:rPr>
              <w:t>of</w:t>
            </w:r>
            <w:r>
              <w:rPr>
                <w:spacing w:val="-6"/>
                <w:sz w:val="20"/>
              </w:rPr>
              <w:t> </w:t>
            </w:r>
            <w:r>
              <w:rPr>
                <w:sz w:val="20"/>
              </w:rPr>
              <w:t>a</w:t>
            </w:r>
            <w:r>
              <w:rPr>
                <w:spacing w:val="-4"/>
                <w:sz w:val="20"/>
              </w:rPr>
              <w:t> </w:t>
            </w:r>
            <w:r>
              <w:rPr>
                <w:sz w:val="20"/>
              </w:rPr>
              <w:t>unit</w:t>
            </w:r>
            <w:r>
              <w:rPr>
                <w:spacing w:val="-6"/>
                <w:sz w:val="20"/>
              </w:rPr>
              <w:t> </w:t>
            </w:r>
            <w:r>
              <w:rPr>
                <w:spacing w:val="-2"/>
                <w:sz w:val="20"/>
              </w:rPr>
              <w:t>root.</w:t>
            </w:r>
          </w:p>
        </w:tc>
      </w:tr>
      <w:tr>
        <w:trPr>
          <w:trHeight w:val="460" w:hRule="atLeast"/>
        </w:trPr>
        <w:tc>
          <w:tcPr>
            <w:tcW w:w="6482" w:type="dxa"/>
            <w:gridSpan w:val="4"/>
          </w:tcPr>
          <w:p>
            <w:pPr>
              <w:pStyle w:val="TableParagraph"/>
              <w:spacing w:line="215" w:lineRule="exact" w:before="226"/>
              <w:ind w:left="28"/>
              <w:rPr>
                <w:sz w:val="20"/>
              </w:rPr>
            </w:pPr>
            <w:r>
              <w:rPr>
                <w:sz w:val="20"/>
              </w:rPr>
              <w:t>Augmented</w:t>
            </w:r>
            <w:r>
              <w:rPr>
                <w:spacing w:val="-8"/>
                <w:sz w:val="20"/>
              </w:rPr>
              <w:t> </w:t>
            </w:r>
            <w:r>
              <w:rPr>
                <w:sz w:val="20"/>
              </w:rPr>
              <w:t>Dickey-Fuller</w:t>
            </w:r>
            <w:r>
              <w:rPr>
                <w:spacing w:val="-8"/>
                <w:sz w:val="20"/>
              </w:rPr>
              <w:t> </w:t>
            </w:r>
            <w:r>
              <w:rPr>
                <w:sz w:val="20"/>
              </w:rPr>
              <w:t>Test</w:t>
            </w:r>
            <w:r>
              <w:rPr>
                <w:spacing w:val="-9"/>
                <w:sz w:val="20"/>
              </w:rPr>
              <w:t> </w:t>
            </w:r>
            <w:r>
              <w:rPr>
                <w:spacing w:val="-2"/>
                <w:sz w:val="20"/>
              </w:rPr>
              <w:t>Equation</w:t>
            </w:r>
          </w:p>
        </w:tc>
      </w:tr>
      <w:tr>
        <w:trPr>
          <w:trHeight w:val="225" w:hRule="atLeast"/>
        </w:trPr>
        <w:tc>
          <w:tcPr>
            <w:tcW w:w="6482" w:type="dxa"/>
            <w:gridSpan w:val="4"/>
          </w:tcPr>
          <w:p>
            <w:pPr>
              <w:pStyle w:val="TableParagraph"/>
              <w:spacing w:line="205" w:lineRule="exact"/>
              <w:ind w:left="28"/>
              <w:rPr>
                <w:sz w:val="20"/>
              </w:rPr>
            </w:pPr>
            <w:r>
              <w:rPr>
                <w:sz w:val="20"/>
              </w:rPr>
              <w:t>Dependent</w:t>
            </w:r>
            <w:r>
              <w:rPr>
                <w:spacing w:val="-8"/>
                <w:sz w:val="20"/>
              </w:rPr>
              <w:t> </w:t>
            </w:r>
            <w:r>
              <w:rPr>
                <w:sz w:val="20"/>
              </w:rPr>
              <w:t>Variable:</w:t>
            </w:r>
            <w:r>
              <w:rPr>
                <w:spacing w:val="-7"/>
                <w:sz w:val="20"/>
              </w:rPr>
              <w:t> </w:t>
            </w:r>
            <w:r>
              <w:rPr>
                <w:spacing w:val="-2"/>
                <w:sz w:val="20"/>
              </w:rPr>
              <w:t>D(DFI)</w:t>
            </w:r>
          </w:p>
        </w:tc>
      </w:tr>
    </w:tbl>
    <w:p>
      <w:pPr>
        <w:spacing w:after="0" w:line="205" w:lineRule="exact"/>
        <w:rPr>
          <w:sz w:val="20"/>
        </w:rPr>
        <w:sectPr>
          <w:pgSz w:w="11910" w:h="16840"/>
          <w:pgMar w:header="0" w:footer="982" w:top="1400" w:bottom="1240" w:left="280" w:right="0"/>
        </w:sectPr>
      </w:pPr>
    </w:p>
    <w:p>
      <w:pPr>
        <w:pStyle w:val="BodyText"/>
        <w:spacing w:before="1"/>
        <w:rPr>
          <w:sz w:val="2"/>
        </w:rPr>
      </w:pPr>
    </w:p>
    <w:tbl>
      <w:tblPr>
        <w:tblW w:w="0" w:type="auto"/>
        <w:jc w:val="left"/>
        <w:tblInd w:w="8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11"/>
        <w:gridCol w:w="1314"/>
        <w:gridCol w:w="1433"/>
        <w:gridCol w:w="936"/>
        <w:gridCol w:w="896"/>
      </w:tblGrid>
      <w:tr>
        <w:trPr>
          <w:trHeight w:val="225" w:hRule="atLeast"/>
        </w:trPr>
        <w:tc>
          <w:tcPr>
            <w:tcW w:w="1911" w:type="dxa"/>
          </w:tcPr>
          <w:p>
            <w:pPr>
              <w:pStyle w:val="TableParagraph"/>
              <w:spacing w:line="206" w:lineRule="exact"/>
              <w:ind w:left="35"/>
              <w:rPr>
                <w:sz w:val="20"/>
              </w:rPr>
            </w:pPr>
            <w:r>
              <w:rPr>
                <w:sz w:val="20"/>
              </w:rPr>
              <w:t>Method:</w:t>
            </w:r>
            <w:r>
              <w:rPr>
                <w:spacing w:val="-8"/>
                <w:sz w:val="20"/>
              </w:rPr>
              <w:t> </w:t>
            </w:r>
            <w:r>
              <w:rPr>
                <w:sz w:val="20"/>
              </w:rPr>
              <w:t>Least</w:t>
            </w:r>
            <w:r>
              <w:rPr>
                <w:spacing w:val="-7"/>
                <w:sz w:val="20"/>
              </w:rPr>
              <w:t> </w:t>
            </w:r>
            <w:r>
              <w:rPr>
                <w:spacing w:val="-2"/>
                <w:sz w:val="20"/>
              </w:rPr>
              <w:t>Squares</w:t>
            </w:r>
          </w:p>
        </w:tc>
        <w:tc>
          <w:tcPr>
            <w:tcW w:w="1314" w:type="dxa"/>
          </w:tcPr>
          <w:p>
            <w:pPr>
              <w:pStyle w:val="TableParagraph"/>
              <w:rPr>
                <w:sz w:val="16"/>
              </w:rPr>
            </w:pPr>
          </w:p>
        </w:tc>
        <w:tc>
          <w:tcPr>
            <w:tcW w:w="1433" w:type="dxa"/>
          </w:tcPr>
          <w:p>
            <w:pPr>
              <w:pStyle w:val="TableParagraph"/>
              <w:rPr>
                <w:sz w:val="16"/>
              </w:rPr>
            </w:pPr>
          </w:p>
        </w:tc>
        <w:tc>
          <w:tcPr>
            <w:tcW w:w="936" w:type="dxa"/>
          </w:tcPr>
          <w:p>
            <w:pPr>
              <w:pStyle w:val="TableParagraph"/>
              <w:rPr>
                <w:sz w:val="16"/>
              </w:rPr>
            </w:pPr>
          </w:p>
        </w:tc>
        <w:tc>
          <w:tcPr>
            <w:tcW w:w="896" w:type="dxa"/>
          </w:tcPr>
          <w:p>
            <w:pPr>
              <w:pStyle w:val="TableParagraph"/>
              <w:rPr>
                <w:sz w:val="16"/>
              </w:rPr>
            </w:pPr>
          </w:p>
        </w:tc>
      </w:tr>
      <w:tr>
        <w:trPr>
          <w:trHeight w:val="229" w:hRule="atLeast"/>
        </w:trPr>
        <w:tc>
          <w:tcPr>
            <w:tcW w:w="6490" w:type="dxa"/>
            <w:gridSpan w:val="5"/>
          </w:tcPr>
          <w:p>
            <w:pPr>
              <w:pStyle w:val="TableParagraph"/>
              <w:spacing w:line="209" w:lineRule="exact"/>
              <w:ind w:left="35"/>
              <w:rPr>
                <w:sz w:val="20"/>
              </w:rPr>
            </w:pPr>
            <w:r>
              <w:rPr>
                <w:sz w:val="20"/>
              </w:rPr>
              <w:t>Date:</w:t>
            </w:r>
            <w:r>
              <w:rPr>
                <w:spacing w:val="-5"/>
                <w:sz w:val="20"/>
              </w:rPr>
              <w:t> </w:t>
            </w:r>
            <w:r>
              <w:rPr>
                <w:sz w:val="20"/>
              </w:rPr>
              <w:t>02/17/14</w:t>
            </w:r>
            <w:r>
              <w:rPr>
                <w:spacing w:val="63"/>
                <w:w w:val="150"/>
                <w:sz w:val="20"/>
              </w:rPr>
              <w:t> </w:t>
            </w:r>
            <w:r>
              <w:rPr>
                <w:sz w:val="20"/>
              </w:rPr>
              <w:t>Time:</w:t>
            </w:r>
            <w:r>
              <w:rPr>
                <w:spacing w:val="-3"/>
                <w:sz w:val="20"/>
              </w:rPr>
              <w:t> </w:t>
            </w:r>
            <w:r>
              <w:rPr>
                <w:spacing w:val="-2"/>
                <w:sz w:val="20"/>
              </w:rPr>
              <w:t>18:10</w:t>
            </w:r>
          </w:p>
        </w:tc>
      </w:tr>
      <w:tr>
        <w:trPr>
          <w:trHeight w:val="229" w:hRule="atLeast"/>
        </w:trPr>
        <w:tc>
          <w:tcPr>
            <w:tcW w:w="6490" w:type="dxa"/>
            <w:gridSpan w:val="5"/>
          </w:tcPr>
          <w:p>
            <w:pPr>
              <w:pStyle w:val="TableParagraph"/>
              <w:spacing w:line="209" w:lineRule="exact"/>
              <w:ind w:left="35"/>
              <w:rPr>
                <w:sz w:val="20"/>
              </w:rPr>
            </w:pPr>
            <w:r>
              <w:rPr>
                <w:sz w:val="20"/>
              </w:rPr>
              <w:t>Sample(adjusted):</w:t>
            </w:r>
            <w:r>
              <w:rPr>
                <w:spacing w:val="-9"/>
                <w:sz w:val="20"/>
              </w:rPr>
              <w:t> </w:t>
            </w:r>
            <w:r>
              <w:rPr>
                <w:sz w:val="20"/>
              </w:rPr>
              <w:t>1989</w:t>
            </w:r>
            <w:r>
              <w:rPr>
                <w:spacing w:val="-9"/>
                <w:sz w:val="20"/>
              </w:rPr>
              <w:t> </w:t>
            </w:r>
            <w:r>
              <w:rPr>
                <w:spacing w:val="-4"/>
                <w:sz w:val="20"/>
              </w:rPr>
              <w:t>2011</w:t>
            </w:r>
          </w:p>
        </w:tc>
      </w:tr>
      <w:tr>
        <w:trPr>
          <w:trHeight w:val="224" w:hRule="atLeast"/>
        </w:trPr>
        <w:tc>
          <w:tcPr>
            <w:tcW w:w="6490" w:type="dxa"/>
            <w:gridSpan w:val="5"/>
            <w:tcBorders>
              <w:bottom w:val="double" w:sz="6" w:space="0" w:color="000000"/>
            </w:tcBorders>
          </w:tcPr>
          <w:p>
            <w:pPr>
              <w:pStyle w:val="TableParagraph"/>
              <w:spacing w:line="205" w:lineRule="exact"/>
              <w:ind w:left="35"/>
              <w:rPr>
                <w:sz w:val="20"/>
              </w:rPr>
            </w:pPr>
            <w:r>
              <w:rPr>
                <w:sz w:val="20"/>
              </w:rPr>
              <w:t>Included</w:t>
            </w:r>
            <w:r>
              <w:rPr>
                <w:spacing w:val="-6"/>
                <w:sz w:val="20"/>
              </w:rPr>
              <w:t> </w:t>
            </w:r>
            <w:r>
              <w:rPr>
                <w:sz w:val="20"/>
              </w:rPr>
              <w:t>observations:</w:t>
            </w:r>
            <w:r>
              <w:rPr>
                <w:spacing w:val="-8"/>
                <w:sz w:val="20"/>
              </w:rPr>
              <w:t> </w:t>
            </w:r>
            <w:r>
              <w:rPr>
                <w:sz w:val="20"/>
              </w:rPr>
              <w:t>23</w:t>
            </w:r>
            <w:r>
              <w:rPr>
                <w:spacing w:val="-5"/>
                <w:sz w:val="20"/>
              </w:rPr>
              <w:t> </w:t>
            </w:r>
            <w:r>
              <w:rPr>
                <w:sz w:val="20"/>
              </w:rPr>
              <w:t>after</w:t>
            </w:r>
            <w:r>
              <w:rPr>
                <w:spacing w:val="-7"/>
                <w:sz w:val="20"/>
              </w:rPr>
              <w:t> </w:t>
            </w:r>
            <w:r>
              <w:rPr>
                <w:sz w:val="20"/>
              </w:rPr>
              <w:t>adjusting</w:t>
            </w:r>
            <w:r>
              <w:rPr>
                <w:spacing w:val="-7"/>
                <w:sz w:val="20"/>
              </w:rPr>
              <w:t> </w:t>
            </w:r>
            <w:r>
              <w:rPr>
                <w:spacing w:val="-2"/>
                <w:sz w:val="20"/>
              </w:rPr>
              <w:t>endpoints</w:t>
            </w:r>
          </w:p>
        </w:tc>
      </w:tr>
      <w:tr>
        <w:trPr>
          <w:trHeight w:val="271" w:hRule="atLeast"/>
        </w:trPr>
        <w:tc>
          <w:tcPr>
            <w:tcW w:w="1911" w:type="dxa"/>
            <w:tcBorders>
              <w:top w:val="double" w:sz="6" w:space="0" w:color="000000"/>
              <w:bottom w:val="double" w:sz="6" w:space="0" w:color="000000"/>
            </w:tcBorders>
          </w:tcPr>
          <w:p>
            <w:pPr>
              <w:pStyle w:val="TableParagraph"/>
              <w:spacing w:line="209" w:lineRule="exact" w:before="42"/>
              <w:ind w:left="677"/>
              <w:rPr>
                <w:sz w:val="20"/>
              </w:rPr>
            </w:pPr>
            <w:r>
              <w:rPr>
                <w:spacing w:val="-2"/>
                <w:sz w:val="20"/>
              </w:rPr>
              <w:t>Variable</w:t>
            </w:r>
          </w:p>
        </w:tc>
        <w:tc>
          <w:tcPr>
            <w:tcW w:w="1314" w:type="dxa"/>
            <w:tcBorders>
              <w:top w:val="double" w:sz="6" w:space="0" w:color="000000"/>
              <w:bottom w:val="double" w:sz="6" w:space="0" w:color="000000"/>
            </w:tcBorders>
          </w:tcPr>
          <w:p>
            <w:pPr>
              <w:pStyle w:val="TableParagraph"/>
              <w:spacing w:line="209" w:lineRule="exact" w:before="42"/>
              <w:ind w:left="235" w:right="86"/>
              <w:jc w:val="center"/>
              <w:rPr>
                <w:sz w:val="20"/>
              </w:rPr>
            </w:pPr>
            <w:r>
              <w:rPr>
                <w:spacing w:val="-2"/>
                <w:sz w:val="20"/>
              </w:rPr>
              <w:t>Coefficient</w:t>
            </w:r>
          </w:p>
        </w:tc>
        <w:tc>
          <w:tcPr>
            <w:tcW w:w="1433" w:type="dxa"/>
            <w:tcBorders>
              <w:top w:val="double" w:sz="6" w:space="0" w:color="000000"/>
              <w:bottom w:val="double" w:sz="6" w:space="0" w:color="000000"/>
            </w:tcBorders>
          </w:tcPr>
          <w:p>
            <w:pPr>
              <w:pStyle w:val="TableParagraph"/>
              <w:spacing w:line="209" w:lineRule="exact" w:before="42"/>
              <w:ind w:left="272"/>
              <w:rPr>
                <w:sz w:val="20"/>
              </w:rPr>
            </w:pPr>
            <w:r>
              <w:rPr>
                <w:sz w:val="20"/>
              </w:rPr>
              <w:t>Std.</w:t>
            </w:r>
            <w:r>
              <w:rPr>
                <w:spacing w:val="-4"/>
                <w:sz w:val="20"/>
              </w:rPr>
              <w:t> </w:t>
            </w:r>
            <w:r>
              <w:rPr>
                <w:spacing w:val="-2"/>
                <w:sz w:val="20"/>
              </w:rPr>
              <w:t>Error</w:t>
            </w:r>
          </w:p>
        </w:tc>
        <w:tc>
          <w:tcPr>
            <w:tcW w:w="936" w:type="dxa"/>
            <w:tcBorders>
              <w:top w:val="double" w:sz="6" w:space="0" w:color="000000"/>
              <w:bottom w:val="double" w:sz="6" w:space="0" w:color="000000"/>
            </w:tcBorders>
          </w:tcPr>
          <w:p>
            <w:pPr>
              <w:pStyle w:val="TableParagraph"/>
              <w:spacing w:line="209" w:lineRule="exact" w:before="42"/>
              <w:ind w:left="56"/>
              <w:rPr>
                <w:sz w:val="20"/>
              </w:rPr>
            </w:pPr>
            <w:r>
              <w:rPr>
                <w:spacing w:val="-4"/>
                <w:sz w:val="20"/>
              </w:rPr>
              <w:t>t-</w:t>
            </w:r>
            <w:r>
              <w:rPr>
                <w:spacing w:val="-2"/>
                <w:sz w:val="20"/>
              </w:rPr>
              <w:t>Statistic</w:t>
            </w:r>
          </w:p>
        </w:tc>
        <w:tc>
          <w:tcPr>
            <w:tcW w:w="896" w:type="dxa"/>
            <w:tcBorders>
              <w:top w:val="double" w:sz="6" w:space="0" w:color="000000"/>
              <w:bottom w:val="double" w:sz="6" w:space="0" w:color="000000"/>
            </w:tcBorders>
          </w:tcPr>
          <w:p>
            <w:pPr>
              <w:pStyle w:val="TableParagraph"/>
              <w:spacing w:line="209" w:lineRule="exact" w:before="42"/>
              <w:ind w:right="31"/>
              <w:jc w:val="right"/>
              <w:rPr>
                <w:sz w:val="20"/>
              </w:rPr>
            </w:pPr>
            <w:r>
              <w:rPr>
                <w:spacing w:val="-2"/>
                <w:sz w:val="20"/>
              </w:rPr>
              <w:t>Prob.</w:t>
            </w:r>
          </w:p>
        </w:tc>
      </w:tr>
      <w:tr>
        <w:trPr>
          <w:trHeight w:val="275" w:hRule="atLeast"/>
        </w:trPr>
        <w:tc>
          <w:tcPr>
            <w:tcW w:w="1911" w:type="dxa"/>
            <w:tcBorders>
              <w:top w:val="double" w:sz="6" w:space="0" w:color="000000"/>
            </w:tcBorders>
          </w:tcPr>
          <w:p>
            <w:pPr>
              <w:pStyle w:val="TableParagraph"/>
              <w:spacing w:line="215" w:lineRule="exact" w:before="40"/>
              <w:ind w:left="710"/>
              <w:rPr>
                <w:sz w:val="20"/>
              </w:rPr>
            </w:pPr>
            <w:r>
              <w:rPr>
                <w:spacing w:val="-2"/>
                <w:sz w:val="20"/>
              </w:rPr>
              <w:t>DFI(-</w:t>
            </w:r>
            <w:r>
              <w:rPr>
                <w:spacing w:val="-5"/>
                <w:sz w:val="20"/>
              </w:rPr>
              <w:t>1)</w:t>
            </w:r>
          </w:p>
        </w:tc>
        <w:tc>
          <w:tcPr>
            <w:tcW w:w="1314" w:type="dxa"/>
            <w:tcBorders>
              <w:top w:val="double" w:sz="6" w:space="0" w:color="000000"/>
            </w:tcBorders>
          </w:tcPr>
          <w:p>
            <w:pPr>
              <w:pStyle w:val="TableParagraph"/>
              <w:spacing w:line="215" w:lineRule="exact" w:before="40"/>
              <w:ind w:left="300"/>
              <w:jc w:val="center"/>
              <w:rPr>
                <w:sz w:val="20"/>
              </w:rPr>
            </w:pPr>
            <w:r>
              <w:rPr>
                <w:spacing w:val="-2"/>
                <w:sz w:val="20"/>
              </w:rPr>
              <w:t>0.055835</w:t>
            </w:r>
          </w:p>
        </w:tc>
        <w:tc>
          <w:tcPr>
            <w:tcW w:w="1433" w:type="dxa"/>
            <w:tcBorders>
              <w:top w:val="double" w:sz="6" w:space="0" w:color="000000"/>
            </w:tcBorders>
          </w:tcPr>
          <w:p>
            <w:pPr>
              <w:pStyle w:val="TableParagraph"/>
              <w:spacing w:line="215" w:lineRule="exact" w:before="40"/>
              <w:ind w:left="311"/>
              <w:rPr>
                <w:sz w:val="20"/>
              </w:rPr>
            </w:pPr>
            <w:r>
              <w:rPr>
                <w:spacing w:val="-2"/>
                <w:sz w:val="20"/>
              </w:rPr>
              <w:t>0.112154</w:t>
            </w:r>
          </w:p>
        </w:tc>
        <w:tc>
          <w:tcPr>
            <w:tcW w:w="936" w:type="dxa"/>
            <w:tcBorders>
              <w:top w:val="double" w:sz="6" w:space="0" w:color="000000"/>
            </w:tcBorders>
          </w:tcPr>
          <w:p>
            <w:pPr>
              <w:pStyle w:val="TableParagraph"/>
              <w:spacing w:line="215" w:lineRule="exact" w:before="40"/>
              <w:ind w:left="70"/>
              <w:rPr>
                <w:sz w:val="20"/>
              </w:rPr>
            </w:pPr>
            <w:r>
              <w:rPr>
                <w:spacing w:val="-2"/>
                <w:sz w:val="20"/>
              </w:rPr>
              <w:t>0.497843</w:t>
            </w:r>
          </w:p>
        </w:tc>
        <w:tc>
          <w:tcPr>
            <w:tcW w:w="896" w:type="dxa"/>
            <w:tcBorders>
              <w:top w:val="double" w:sz="6" w:space="0" w:color="000000"/>
            </w:tcBorders>
          </w:tcPr>
          <w:p>
            <w:pPr>
              <w:pStyle w:val="TableParagraph"/>
              <w:spacing w:line="215" w:lineRule="exact" w:before="40"/>
              <w:ind w:right="30"/>
              <w:jc w:val="right"/>
              <w:rPr>
                <w:sz w:val="20"/>
              </w:rPr>
            </w:pPr>
            <w:r>
              <w:rPr>
                <w:spacing w:val="-2"/>
                <w:sz w:val="20"/>
              </w:rPr>
              <w:t>0.6240</w:t>
            </w:r>
          </w:p>
        </w:tc>
      </w:tr>
      <w:tr>
        <w:trPr>
          <w:trHeight w:val="229" w:hRule="atLeast"/>
        </w:trPr>
        <w:tc>
          <w:tcPr>
            <w:tcW w:w="1911" w:type="dxa"/>
          </w:tcPr>
          <w:p>
            <w:pPr>
              <w:pStyle w:val="TableParagraph"/>
              <w:spacing w:line="209" w:lineRule="exact"/>
              <w:ind w:left="571"/>
              <w:rPr>
                <w:sz w:val="20"/>
              </w:rPr>
            </w:pPr>
            <w:r>
              <w:rPr>
                <w:spacing w:val="-2"/>
                <w:sz w:val="20"/>
              </w:rPr>
              <w:t>D(DFI(-</w:t>
            </w:r>
            <w:r>
              <w:rPr>
                <w:spacing w:val="-5"/>
                <w:sz w:val="20"/>
              </w:rPr>
              <w:t>1))</w:t>
            </w:r>
          </w:p>
        </w:tc>
        <w:tc>
          <w:tcPr>
            <w:tcW w:w="1314" w:type="dxa"/>
          </w:tcPr>
          <w:p>
            <w:pPr>
              <w:pStyle w:val="TableParagraph"/>
              <w:spacing w:line="209" w:lineRule="exact"/>
              <w:ind w:left="235"/>
              <w:jc w:val="center"/>
              <w:rPr>
                <w:sz w:val="20"/>
              </w:rPr>
            </w:pPr>
            <w:r>
              <w:rPr>
                <w:spacing w:val="-4"/>
                <w:sz w:val="20"/>
              </w:rPr>
              <w:t>-</w:t>
            </w:r>
            <w:r>
              <w:rPr>
                <w:spacing w:val="-2"/>
                <w:sz w:val="20"/>
              </w:rPr>
              <w:t>0.110513</w:t>
            </w:r>
          </w:p>
        </w:tc>
        <w:tc>
          <w:tcPr>
            <w:tcW w:w="1433" w:type="dxa"/>
          </w:tcPr>
          <w:p>
            <w:pPr>
              <w:pStyle w:val="TableParagraph"/>
              <w:spacing w:line="209" w:lineRule="exact"/>
              <w:ind w:left="311"/>
              <w:rPr>
                <w:sz w:val="20"/>
              </w:rPr>
            </w:pPr>
            <w:r>
              <w:rPr>
                <w:spacing w:val="-2"/>
                <w:sz w:val="20"/>
              </w:rPr>
              <w:t>0.264506</w:t>
            </w:r>
          </w:p>
        </w:tc>
        <w:tc>
          <w:tcPr>
            <w:tcW w:w="936" w:type="dxa"/>
          </w:tcPr>
          <w:p>
            <w:pPr>
              <w:pStyle w:val="TableParagraph"/>
              <w:spacing w:line="209" w:lineRule="exact"/>
              <w:ind w:left="6"/>
              <w:rPr>
                <w:sz w:val="20"/>
              </w:rPr>
            </w:pPr>
            <w:r>
              <w:rPr>
                <w:spacing w:val="-4"/>
                <w:sz w:val="20"/>
              </w:rPr>
              <w:t>-</w:t>
            </w:r>
            <w:r>
              <w:rPr>
                <w:spacing w:val="-2"/>
                <w:sz w:val="20"/>
              </w:rPr>
              <w:t>0.417809</w:t>
            </w:r>
          </w:p>
        </w:tc>
        <w:tc>
          <w:tcPr>
            <w:tcW w:w="896" w:type="dxa"/>
          </w:tcPr>
          <w:p>
            <w:pPr>
              <w:pStyle w:val="TableParagraph"/>
              <w:spacing w:line="209" w:lineRule="exact"/>
              <w:ind w:right="30"/>
              <w:jc w:val="right"/>
              <w:rPr>
                <w:sz w:val="20"/>
              </w:rPr>
            </w:pPr>
            <w:r>
              <w:rPr>
                <w:spacing w:val="-2"/>
                <w:sz w:val="20"/>
              </w:rPr>
              <w:t>0.6805</w:t>
            </w:r>
          </w:p>
        </w:tc>
      </w:tr>
      <w:tr>
        <w:trPr>
          <w:trHeight w:val="223" w:hRule="atLeast"/>
        </w:trPr>
        <w:tc>
          <w:tcPr>
            <w:tcW w:w="1911" w:type="dxa"/>
            <w:tcBorders>
              <w:bottom w:val="double" w:sz="6" w:space="0" w:color="000000"/>
            </w:tcBorders>
          </w:tcPr>
          <w:p>
            <w:pPr>
              <w:pStyle w:val="TableParagraph"/>
              <w:spacing w:line="204" w:lineRule="exact"/>
              <w:ind w:left="134" w:right="1"/>
              <w:jc w:val="center"/>
              <w:rPr>
                <w:sz w:val="20"/>
              </w:rPr>
            </w:pPr>
            <w:r>
              <w:rPr>
                <w:spacing w:val="-10"/>
                <w:sz w:val="20"/>
              </w:rPr>
              <w:t>C</w:t>
            </w:r>
          </w:p>
        </w:tc>
        <w:tc>
          <w:tcPr>
            <w:tcW w:w="1314" w:type="dxa"/>
            <w:tcBorders>
              <w:bottom w:val="double" w:sz="6" w:space="0" w:color="000000"/>
            </w:tcBorders>
          </w:tcPr>
          <w:p>
            <w:pPr>
              <w:pStyle w:val="TableParagraph"/>
              <w:spacing w:line="204" w:lineRule="exact"/>
              <w:ind w:left="235"/>
              <w:jc w:val="center"/>
              <w:rPr>
                <w:sz w:val="20"/>
              </w:rPr>
            </w:pPr>
            <w:r>
              <w:rPr>
                <w:spacing w:val="-4"/>
                <w:sz w:val="20"/>
              </w:rPr>
              <w:t>-</w:t>
            </w:r>
            <w:r>
              <w:rPr>
                <w:spacing w:val="-2"/>
                <w:sz w:val="20"/>
              </w:rPr>
              <w:t>0.322892</w:t>
            </w:r>
          </w:p>
        </w:tc>
        <w:tc>
          <w:tcPr>
            <w:tcW w:w="1433" w:type="dxa"/>
            <w:tcBorders>
              <w:bottom w:val="double" w:sz="6" w:space="0" w:color="000000"/>
            </w:tcBorders>
          </w:tcPr>
          <w:p>
            <w:pPr>
              <w:pStyle w:val="TableParagraph"/>
              <w:spacing w:line="204" w:lineRule="exact"/>
              <w:ind w:left="311"/>
              <w:rPr>
                <w:sz w:val="20"/>
              </w:rPr>
            </w:pPr>
            <w:r>
              <w:rPr>
                <w:spacing w:val="-2"/>
                <w:sz w:val="20"/>
              </w:rPr>
              <w:t>1.278217</w:t>
            </w:r>
          </w:p>
        </w:tc>
        <w:tc>
          <w:tcPr>
            <w:tcW w:w="936" w:type="dxa"/>
            <w:tcBorders>
              <w:bottom w:val="double" w:sz="6" w:space="0" w:color="000000"/>
            </w:tcBorders>
          </w:tcPr>
          <w:p>
            <w:pPr>
              <w:pStyle w:val="TableParagraph"/>
              <w:spacing w:line="204" w:lineRule="exact"/>
              <w:ind w:left="6"/>
              <w:rPr>
                <w:sz w:val="20"/>
              </w:rPr>
            </w:pPr>
            <w:r>
              <w:rPr>
                <w:spacing w:val="-4"/>
                <w:sz w:val="20"/>
              </w:rPr>
              <w:t>-</w:t>
            </w:r>
            <w:r>
              <w:rPr>
                <w:spacing w:val="-2"/>
                <w:sz w:val="20"/>
              </w:rPr>
              <w:t>0.252611</w:t>
            </w:r>
          </w:p>
        </w:tc>
        <w:tc>
          <w:tcPr>
            <w:tcW w:w="896" w:type="dxa"/>
            <w:tcBorders>
              <w:bottom w:val="double" w:sz="6" w:space="0" w:color="000000"/>
            </w:tcBorders>
          </w:tcPr>
          <w:p>
            <w:pPr>
              <w:pStyle w:val="TableParagraph"/>
              <w:spacing w:line="204" w:lineRule="exact"/>
              <w:ind w:right="30"/>
              <w:jc w:val="right"/>
              <w:rPr>
                <w:sz w:val="20"/>
              </w:rPr>
            </w:pPr>
            <w:r>
              <w:rPr>
                <w:spacing w:val="-2"/>
                <w:sz w:val="20"/>
              </w:rPr>
              <w:t>0.8031</w:t>
            </w:r>
          </w:p>
        </w:tc>
      </w:tr>
      <w:tr>
        <w:trPr>
          <w:trHeight w:val="277" w:hRule="atLeast"/>
        </w:trPr>
        <w:tc>
          <w:tcPr>
            <w:tcW w:w="1911" w:type="dxa"/>
            <w:tcBorders>
              <w:top w:val="double" w:sz="6" w:space="0" w:color="000000"/>
            </w:tcBorders>
          </w:tcPr>
          <w:p>
            <w:pPr>
              <w:pStyle w:val="TableParagraph"/>
              <w:spacing w:line="215" w:lineRule="exact" w:before="42"/>
              <w:ind w:left="35"/>
              <w:rPr>
                <w:sz w:val="20"/>
              </w:rPr>
            </w:pPr>
            <w:r>
              <w:rPr>
                <w:spacing w:val="-2"/>
                <w:sz w:val="20"/>
              </w:rPr>
              <w:t>R-squared</w:t>
            </w:r>
          </w:p>
        </w:tc>
        <w:tc>
          <w:tcPr>
            <w:tcW w:w="1314" w:type="dxa"/>
            <w:tcBorders>
              <w:top w:val="double" w:sz="6" w:space="0" w:color="000000"/>
            </w:tcBorders>
          </w:tcPr>
          <w:p>
            <w:pPr>
              <w:pStyle w:val="TableParagraph"/>
              <w:spacing w:line="215" w:lineRule="exact" w:before="42"/>
              <w:ind w:left="300"/>
              <w:jc w:val="center"/>
              <w:rPr>
                <w:sz w:val="20"/>
              </w:rPr>
            </w:pPr>
            <w:r>
              <w:rPr>
                <w:spacing w:val="-2"/>
                <w:sz w:val="20"/>
              </w:rPr>
              <w:t>0.013737</w:t>
            </w:r>
          </w:p>
        </w:tc>
        <w:tc>
          <w:tcPr>
            <w:tcW w:w="2369" w:type="dxa"/>
            <w:gridSpan w:val="2"/>
            <w:tcBorders>
              <w:top w:val="double" w:sz="6" w:space="0" w:color="000000"/>
            </w:tcBorders>
          </w:tcPr>
          <w:p>
            <w:pPr>
              <w:pStyle w:val="TableParagraph"/>
              <w:spacing w:line="215" w:lineRule="exact" w:before="42"/>
              <w:ind w:left="131"/>
              <w:rPr>
                <w:sz w:val="20"/>
              </w:rPr>
            </w:pPr>
            <w:r>
              <w:rPr>
                <w:sz w:val="20"/>
              </w:rPr>
              <w:t>Mean</w:t>
            </w:r>
            <w:r>
              <w:rPr>
                <w:spacing w:val="-7"/>
                <w:sz w:val="20"/>
              </w:rPr>
              <w:t> </w:t>
            </w:r>
            <w:r>
              <w:rPr>
                <w:sz w:val="20"/>
              </w:rPr>
              <w:t>dependent</w:t>
            </w:r>
            <w:r>
              <w:rPr>
                <w:spacing w:val="-7"/>
                <w:sz w:val="20"/>
              </w:rPr>
              <w:t> </w:t>
            </w:r>
            <w:r>
              <w:rPr>
                <w:spacing w:val="-5"/>
                <w:sz w:val="20"/>
              </w:rPr>
              <w:t>var</w:t>
            </w:r>
          </w:p>
        </w:tc>
        <w:tc>
          <w:tcPr>
            <w:tcW w:w="896" w:type="dxa"/>
            <w:tcBorders>
              <w:top w:val="double" w:sz="6" w:space="0" w:color="000000"/>
            </w:tcBorders>
          </w:tcPr>
          <w:p>
            <w:pPr>
              <w:pStyle w:val="TableParagraph"/>
              <w:spacing w:line="215" w:lineRule="exact" w:before="42"/>
              <w:ind w:right="30"/>
              <w:jc w:val="right"/>
              <w:rPr>
                <w:sz w:val="20"/>
              </w:rPr>
            </w:pPr>
            <w:r>
              <w:rPr>
                <w:spacing w:val="-2"/>
                <w:sz w:val="20"/>
              </w:rPr>
              <w:t>0.297179</w:t>
            </w:r>
          </w:p>
        </w:tc>
      </w:tr>
      <w:tr>
        <w:trPr>
          <w:trHeight w:val="229" w:hRule="atLeast"/>
        </w:trPr>
        <w:tc>
          <w:tcPr>
            <w:tcW w:w="1911" w:type="dxa"/>
          </w:tcPr>
          <w:p>
            <w:pPr>
              <w:pStyle w:val="TableParagraph"/>
              <w:spacing w:line="209" w:lineRule="exact"/>
              <w:ind w:left="35"/>
              <w:rPr>
                <w:sz w:val="20"/>
              </w:rPr>
            </w:pPr>
            <w:r>
              <w:rPr>
                <w:sz w:val="20"/>
              </w:rPr>
              <w:t>Adjusted</w:t>
            </w:r>
            <w:r>
              <w:rPr>
                <w:spacing w:val="-10"/>
                <w:sz w:val="20"/>
              </w:rPr>
              <w:t> </w:t>
            </w:r>
            <w:r>
              <w:rPr>
                <w:sz w:val="20"/>
              </w:rPr>
              <w:t>R-</w:t>
            </w:r>
            <w:r>
              <w:rPr>
                <w:spacing w:val="-2"/>
                <w:sz w:val="20"/>
              </w:rPr>
              <w:t>squared</w:t>
            </w:r>
          </w:p>
        </w:tc>
        <w:tc>
          <w:tcPr>
            <w:tcW w:w="1314" w:type="dxa"/>
          </w:tcPr>
          <w:p>
            <w:pPr>
              <w:pStyle w:val="TableParagraph"/>
              <w:spacing w:line="209" w:lineRule="exact"/>
              <w:ind w:left="235"/>
              <w:jc w:val="center"/>
              <w:rPr>
                <w:sz w:val="20"/>
              </w:rPr>
            </w:pPr>
            <w:r>
              <w:rPr>
                <w:spacing w:val="-4"/>
                <w:sz w:val="20"/>
              </w:rPr>
              <w:t>-</w:t>
            </w:r>
            <w:r>
              <w:rPr>
                <w:spacing w:val="-2"/>
                <w:sz w:val="20"/>
              </w:rPr>
              <w:t>0.084889</w:t>
            </w:r>
          </w:p>
        </w:tc>
        <w:tc>
          <w:tcPr>
            <w:tcW w:w="2369" w:type="dxa"/>
            <w:gridSpan w:val="2"/>
          </w:tcPr>
          <w:p>
            <w:pPr>
              <w:pStyle w:val="TableParagraph"/>
              <w:spacing w:line="209" w:lineRule="exact"/>
              <w:ind w:left="131"/>
              <w:rPr>
                <w:sz w:val="20"/>
              </w:rPr>
            </w:pPr>
            <w:r>
              <w:rPr>
                <w:sz w:val="20"/>
              </w:rPr>
              <w:t>S.D.</w:t>
            </w:r>
            <w:r>
              <w:rPr>
                <w:spacing w:val="-5"/>
                <w:sz w:val="20"/>
              </w:rPr>
              <w:t> </w:t>
            </w:r>
            <w:r>
              <w:rPr>
                <w:sz w:val="20"/>
              </w:rPr>
              <w:t>dependent</w:t>
            </w:r>
            <w:r>
              <w:rPr>
                <w:spacing w:val="-6"/>
                <w:sz w:val="20"/>
              </w:rPr>
              <w:t> </w:t>
            </w:r>
            <w:r>
              <w:rPr>
                <w:spacing w:val="-5"/>
                <w:sz w:val="20"/>
              </w:rPr>
              <w:t>var</w:t>
            </w:r>
          </w:p>
        </w:tc>
        <w:tc>
          <w:tcPr>
            <w:tcW w:w="896" w:type="dxa"/>
          </w:tcPr>
          <w:p>
            <w:pPr>
              <w:pStyle w:val="TableParagraph"/>
              <w:spacing w:line="209" w:lineRule="exact"/>
              <w:ind w:right="30"/>
              <w:jc w:val="right"/>
              <w:rPr>
                <w:sz w:val="20"/>
              </w:rPr>
            </w:pPr>
            <w:r>
              <w:rPr>
                <w:spacing w:val="-2"/>
                <w:sz w:val="20"/>
              </w:rPr>
              <w:t>0.651271</w:t>
            </w:r>
          </w:p>
        </w:tc>
      </w:tr>
      <w:tr>
        <w:trPr>
          <w:trHeight w:val="229" w:hRule="atLeast"/>
        </w:trPr>
        <w:tc>
          <w:tcPr>
            <w:tcW w:w="1911" w:type="dxa"/>
          </w:tcPr>
          <w:p>
            <w:pPr>
              <w:pStyle w:val="TableParagraph"/>
              <w:spacing w:line="209" w:lineRule="exact"/>
              <w:ind w:left="35"/>
              <w:rPr>
                <w:sz w:val="20"/>
              </w:rPr>
            </w:pPr>
            <w:r>
              <w:rPr>
                <w:sz w:val="20"/>
              </w:rPr>
              <w:t>S.E.</w:t>
            </w:r>
            <w:r>
              <w:rPr>
                <w:spacing w:val="-3"/>
                <w:sz w:val="20"/>
              </w:rPr>
              <w:t> </w:t>
            </w:r>
            <w:r>
              <w:rPr>
                <w:sz w:val="20"/>
              </w:rPr>
              <w:t>of</w:t>
            </w:r>
            <w:r>
              <w:rPr>
                <w:spacing w:val="-3"/>
                <w:sz w:val="20"/>
              </w:rPr>
              <w:t> </w:t>
            </w:r>
            <w:r>
              <w:rPr>
                <w:spacing w:val="-2"/>
                <w:sz w:val="20"/>
              </w:rPr>
              <w:t>regression</w:t>
            </w:r>
          </w:p>
        </w:tc>
        <w:tc>
          <w:tcPr>
            <w:tcW w:w="1314" w:type="dxa"/>
          </w:tcPr>
          <w:p>
            <w:pPr>
              <w:pStyle w:val="TableParagraph"/>
              <w:spacing w:line="209" w:lineRule="exact"/>
              <w:ind w:left="300"/>
              <w:jc w:val="center"/>
              <w:rPr>
                <w:sz w:val="20"/>
              </w:rPr>
            </w:pPr>
            <w:r>
              <w:rPr>
                <w:spacing w:val="-2"/>
                <w:sz w:val="20"/>
              </w:rPr>
              <w:t>0.678351</w:t>
            </w:r>
          </w:p>
        </w:tc>
        <w:tc>
          <w:tcPr>
            <w:tcW w:w="2369" w:type="dxa"/>
            <w:gridSpan w:val="2"/>
          </w:tcPr>
          <w:p>
            <w:pPr>
              <w:pStyle w:val="TableParagraph"/>
              <w:spacing w:line="209" w:lineRule="exact"/>
              <w:ind w:left="131"/>
              <w:rPr>
                <w:sz w:val="20"/>
              </w:rPr>
            </w:pPr>
            <w:r>
              <w:rPr>
                <w:sz w:val="20"/>
              </w:rPr>
              <w:t>Akaike</w:t>
            </w:r>
            <w:r>
              <w:rPr>
                <w:spacing w:val="-8"/>
                <w:sz w:val="20"/>
              </w:rPr>
              <w:t> </w:t>
            </w:r>
            <w:r>
              <w:rPr>
                <w:sz w:val="20"/>
              </w:rPr>
              <w:t>info</w:t>
            </w:r>
            <w:r>
              <w:rPr>
                <w:spacing w:val="-7"/>
                <w:sz w:val="20"/>
              </w:rPr>
              <w:t> </w:t>
            </w:r>
            <w:r>
              <w:rPr>
                <w:spacing w:val="-2"/>
                <w:sz w:val="20"/>
              </w:rPr>
              <w:t>criterion</w:t>
            </w:r>
          </w:p>
        </w:tc>
        <w:tc>
          <w:tcPr>
            <w:tcW w:w="896" w:type="dxa"/>
          </w:tcPr>
          <w:p>
            <w:pPr>
              <w:pStyle w:val="TableParagraph"/>
              <w:spacing w:line="209" w:lineRule="exact"/>
              <w:ind w:right="30"/>
              <w:jc w:val="right"/>
              <w:rPr>
                <w:sz w:val="20"/>
              </w:rPr>
            </w:pPr>
            <w:r>
              <w:rPr>
                <w:spacing w:val="-2"/>
                <w:sz w:val="20"/>
              </w:rPr>
              <w:t>2.182804</w:t>
            </w:r>
          </w:p>
        </w:tc>
      </w:tr>
      <w:tr>
        <w:trPr>
          <w:trHeight w:val="230" w:hRule="atLeast"/>
        </w:trPr>
        <w:tc>
          <w:tcPr>
            <w:tcW w:w="1911" w:type="dxa"/>
          </w:tcPr>
          <w:p>
            <w:pPr>
              <w:pStyle w:val="TableParagraph"/>
              <w:spacing w:line="210" w:lineRule="exact"/>
              <w:ind w:left="35"/>
              <w:rPr>
                <w:sz w:val="20"/>
              </w:rPr>
            </w:pPr>
            <w:r>
              <w:rPr>
                <w:sz w:val="20"/>
              </w:rPr>
              <w:t>Sum</w:t>
            </w:r>
            <w:r>
              <w:rPr>
                <w:spacing w:val="-8"/>
                <w:sz w:val="20"/>
              </w:rPr>
              <w:t> </w:t>
            </w:r>
            <w:r>
              <w:rPr>
                <w:sz w:val="20"/>
              </w:rPr>
              <w:t>squared</w:t>
            </w:r>
            <w:r>
              <w:rPr>
                <w:spacing w:val="-4"/>
                <w:sz w:val="20"/>
              </w:rPr>
              <w:t> </w:t>
            </w:r>
            <w:r>
              <w:rPr>
                <w:spacing w:val="-2"/>
                <w:sz w:val="20"/>
              </w:rPr>
              <w:t>resid</w:t>
            </w:r>
          </w:p>
        </w:tc>
        <w:tc>
          <w:tcPr>
            <w:tcW w:w="1314" w:type="dxa"/>
          </w:tcPr>
          <w:p>
            <w:pPr>
              <w:pStyle w:val="TableParagraph"/>
              <w:spacing w:line="210" w:lineRule="exact"/>
              <w:ind w:left="300"/>
              <w:jc w:val="center"/>
              <w:rPr>
                <w:sz w:val="20"/>
              </w:rPr>
            </w:pPr>
            <w:r>
              <w:rPr>
                <w:spacing w:val="-2"/>
                <w:sz w:val="20"/>
              </w:rPr>
              <w:t>9.203202</w:t>
            </w:r>
          </w:p>
        </w:tc>
        <w:tc>
          <w:tcPr>
            <w:tcW w:w="2369" w:type="dxa"/>
            <w:gridSpan w:val="2"/>
          </w:tcPr>
          <w:p>
            <w:pPr>
              <w:pStyle w:val="TableParagraph"/>
              <w:spacing w:line="210" w:lineRule="exact"/>
              <w:ind w:left="131"/>
              <w:rPr>
                <w:sz w:val="20"/>
              </w:rPr>
            </w:pPr>
            <w:r>
              <w:rPr>
                <w:sz w:val="20"/>
              </w:rPr>
              <w:t>Schwarz</w:t>
            </w:r>
            <w:r>
              <w:rPr>
                <w:spacing w:val="-8"/>
                <w:sz w:val="20"/>
              </w:rPr>
              <w:t> </w:t>
            </w:r>
            <w:r>
              <w:rPr>
                <w:spacing w:val="-2"/>
                <w:sz w:val="20"/>
              </w:rPr>
              <w:t>criterion</w:t>
            </w:r>
          </w:p>
        </w:tc>
        <w:tc>
          <w:tcPr>
            <w:tcW w:w="896" w:type="dxa"/>
          </w:tcPr>
          <w:p>
            <w:pPr>
              <w:pStyle w:val="TableParagraph"/>
              <w:spacing w:line="210" w:lineRule="exact"/>
              <w:ind w:right="30"/>
              <w:jc w:val="right"/>
              <w:rPr>
                <w:sz w:val="20"/>
              </w:rPr>
            </w:pPr>
            <w:r>
              <w:rPr>
                <w:spacing w:val="-2"/>
                <w:sz w:val="20"/>
              </w:rPr>
              <w:t>2.330912</w:t>
            </w:r>
          </w:p>
        </w:tc>
      </w:tr>
      <w:tr>
        <w:trPr>
          <w:trHeight w:val="230" w:hRule="atLeast"/>
        </w:trPr>
        <w:tc>
          <w:tcPr>
            <w:tcW w:w="1911" w:type="dxa"/>
          </w:tcPr>
          <w:p>
            <w:pPr>
              <w:pStyle w:val="TableParagraph"/>
              <w:spacing w:line="210" w:lineRule="exact"/>
              <w:ind w:left="35"/>
              <w:rPr>
                <w:sz w:val="20"/>
              </w:rPr>
            </w:pPr>
            <w:r>
              <w:rPr>
                <w:sz w:val="20"/>
              </w:rPr>
              <w:t>Log</w:t>
            </w:r>
            <w:r>
              <w:rPr>
                <w:spacing w:val="-6"/>
                <w:sz w:val="20"/>
              </w:rPr>
              <w:t> </w:t>
            </w:r>
            <w:r>
              <w:rPr>
                <w:spacing w:val="-2"/>
                <w:sz w:val="20"/>
              </w:rPr>
              <w:t>likelihood</w:t>
            </w:r>
          </w:p>
        </w:tc>
        <w:tc>
          <w:tcPr>
            <w:tcW w:w="1314" w:type="dxa"/>
          </w:tcPr>
          <w:p>
            <w:pPr>
              <w:pStyle w:val="TableParagraph"/>
              <w:spacing w:line="210" w:lineRule="exact"/>
              <w:ind w:left="235"/>
              <w:jc w:val="center"/>
              <w:rPr>
                <w:sz w:val="20"/>
              </w:rPr>
            </w:pPr>
            <w:r>
              <w:rPr>
                <w:spacing w:val="-4"/>
                <w:sz w:val="20"/>
              </w:rPr>
              <w:t>-</w:t>
            </w:r>
            <w:r>
              <w:rPr>
                <w:spacing w:val="-2"/>
                <w:sz w:val="20"/>
              </w:rPr>
              <w:t>22.10224</w:t>
            </w:r>
          </w:p>
        </w:tc>
        <w:tc>
          <w:tcPr>
            <w:tcW w:w="1433" w:type="dxa"/>
          </w:tcPr>
          <w:p>
            <w:pPr>
              <w:pStyle w:val="TableParagraph"/>
              <w:spacing w:line="210" w:lineRule="exact"/>
              <w:ind w:left="131"/>
              <w:rPr>
                <w:sz w:val="20"/>
              </w:rPr>
            </w:pPr>
            <w:r>
              <w:rPr>
                <w:spacing w:val="-4"/>
                <w:sz w:val="20"/>
              </w:rPr>
              <w:t>F-</w:t>
            </w:r>
            <w:r>
              <w:rPr>
                <w:spacing w:val="-2"/>
                <w:sz w:val="20"/>
              </w:rPr>
              <w:t>statistic</w:t>
            </w:r>
          </w:p>
        </w:tc>
        <w:tc>
          <w:tcPr>
            <w:tcW w:w="936" w:type="dxa"/>
          </w:tcPr>
          <w:p>
            <w:pPr>
              <w:pStyle w:val="TableParagraph"/>
              <w:rPr>
                <w:sz w:val="16"/>
              </w:rPr>
            </w:pPr>
          </w:p>
        </w:tc>
        <w:tc>
          <w:tcPr>
            <w:tcW w:w="896" w:type="dxa"/>
          </w:tcPr>
          <w:p>
            <w:pPr>
              <w:pStyle w:val="TableParagraph"/>
              <w:spacing w:line="210" w:lineRule="exact"/>
              <w:ind w:right="30"/>
              <w:jc w:val="right"/>
              <w:rPr>
                <w:sz w:val="20"/>
              </w:rPr>
            </w:pPr>
            <w:r>
              <w:rPr>
                <w:spacing w:val="-2"/>
                <w:sz w:val="20"/>
              </w:rPr>
              <w:t>0.139284</w:t>
            </w:r>
          </w:p>
        </w:tc>
      </w:tr>
      <w:tr>
        <w:trPr>
          <w:trHeight w:val="265" w:hRule="atLeast"/>
        </w:trPr>
        <w:tc>
          <w:tcPr>
            <w:tcW w:w="1911" w:type="dxa"/>
            <w:tcBorders>
              <w:bottom w:val="double" w:sz="6" w:space="0" w:color="000000"/>
            </w:tcBorders>
          </w:tcPr>
          <w:p>
            <w:pPr>
              <w:pStyle w:val="TableParagraph"/>
              <w:spacing w:line="226" w:lineRule="exact"/>
              <w:ind w:left="35"/>
              <w:rPr>
                <w:sz w:val="20"/>
              </w:rPr>
            </w:pPr>
            <w:r>
              <w:rPr>
                <w:sz w:val="20"/>
              </w:rPr>
              <w:t>Durbin-Watson</w:t>
            </w:r>
            <w:r>
              <w:rPr>
                <w:spacing w:val="-12"/>
                <w:sz w:val="20"/>
              </w:rPr>
              <w:t> </w:t>
            </w:r>
            <w:r>
              <w:rPr>
                <w:spacing w:val="-4"/>
                <w:sz w:val="20"/>
              </w:rPr>
              <w:t>stat</w:t>
            </w:r>
          </w:p>
        </w:tc>
        <w:tc>
          <w:tcPr>
            <w:tcW w:w="1314" w:type="dxa"/>
          </w:tcPr>
          <w:p>
            <w:pPr>
              <w:pStyle w:val="TableParagraph"/>
              <w:spacing w:line="226" w:lineRule="exact"/>
              <w:ind w:left="300"/>
              <w:jc w:val="center"/>
              <w:rPr>
                <w:sz w:val="20"/>
              </w:rPr>
            </w:pPr>
            <w:r>
              <w:rPr>
                <w:spacing w:val="-2"/>
                <w:sz w:val="20"/>
              </w:rPr>
              <w:t>1.994125</w:t>
            </w:r>
          </w:p>
        </w:tc>
        <w:tc>
          <w:tcPr>
            <w:tcW w:w="1433" w:type="dxa"/>
            <w:tcBorders>
              <w:bottom w:val="double" w:sz="6" w:space="0" w:color="000000"/>
            </w:tcBorders>
          </w:tcPr>
          <w:p>
            <w:pPr>
              <w:pStyle w:val="TableParagraph"/>
              <w:spacing w:line="226" w:lineRule="exact"/>
              <w:ind w:left="131"/>
              <w:rPr>
                <w:sz w:val="20"/>
              </w:rPr>
            </w:pPr>
            <w:r>
              <w:rPr>
                <w:spacing w:val="-2"/>
                <w:sz w:val="20"/>
              </w:rPr>
              <w:t>Prob(F-statistic)</w:t>
            </w:r>
          </w:p>
        </w:tc>
        <w:tc>
          <w:tcPr>
            <w:tcW w:w="936" w:type="dxa"/>
            <w:tcBorders>
              <w:bottom w:val="single" w:sz="6" w:space="0" w:color="000000"/>
            </w:tcBorders>
          </w:tcPr>
          <w:p>
            <w:pPr>
              <w:pStyle w:val="TableParagraph"/>
              <w:rPr>
                <w:sz w:val="18"/>
              </w:rPr>
            </w:pPr>
          </w:p>
        </w:tc>
        <w:tc>
          <w:tcPr>
            <w:tcW w:w="896" w:type="dxa"/>
            <w:tcBorders>
              <w:bottom w:val="double" w:sz="6" w:space="0" w:color="000000"/>
            </w:tcBorders>
          </w:tcPr>
          <w:p>
            <w:pPr>
              <w:pStyle w:val="TableParagraph"/>
              <w:spacing w:line="226" w:lineRule="exact"/>
              <w:ind w:right="30"/>
              <w:jc w:val="right"/>
              <w:rPr>
                <w:sz w:val="20"/>
              </w:rPr>
            </w:pPr>
            <w:r>
              <w:rPr>
                <w:spacing w:val="-2"/>
                <w:sz w:val="20"/>
              </w:rPr>
              <w:t>0.870818</w:t>
            </w:r>
          </w:p>
        </w:tc>
      </w:tr>
    </w:tbl>
    <w:p>
      <w:pPr>
        <w:pStyle w:val="BodyText"/>
        <w:rPr>
          <w:sz w:val="20"/>
        </w:rPr>
      </w:pPr>
    </w:p>
    <w:p>
      <w:pPr>
        <w:pStyle w:val="BodyText"/>
        <w:spacing w:before="14"/>
        <w:rPr>
          <w:sz w:val="20"/>
        </w:rPr>
      </w:pPr>
    </w:p>
    <w:p>
      <w:pPr>
        <w:spacing w:before="0" w:after="3"/>
        <w:ind w:left="771" w:right="0" w:firstLine="0"/>
        <w:jc w:val="left"/>
        <w:rPr>
          <w:sz w:val="20"/>
        </w:rPr>
      </w:pPr>
      <w:r>
        <w:rPr>
          <w:sz w:val="20"/>
        </w:rPr>
        <w:t>DFI</w:t>
      </w:r>
      <w:r>
        <w:rPr>
          <w:spacing w:val="-3"/>
          <w:sz w:val="20"/>
        </w:rPr>
        <w:t> </w:t>
      </w:r>
      <w:r>
        <w:rPr>
          <w:sz w:val="20"/>
        </w:rPr>
        <w:t>@</w:t>
      </w:r>
      <w:r>
        <w:rPr>
          <w:spacing w:val="-3"/>
          <w:sz w:val="20"/>
        </w:rPr>
        <w:t> </w:t>
      </w:r>
      <w:r>
        <w:rPr>
          <w:sz w:val="20"/>
        </w:rPr>
        <w:t>1</w:t>
      </w:r>
      <w:r>
        <w:rPr>
          <w:sz w:val="20"/>
          <w:vertAlign w:val="superscript"/>
        </w:rPr>
        <w:t>ST</w:t>
      </w:r>
      <w:r>
        <w:rPr>
          <w:spacing w:val="-2"/>
          <w:sz w:val="20"/>
          <w:vertAlign w:val="baseline"/>
        </w:rPr>
        <w:t> </w:t>
      </w:r>
      <w:r>
        <w:rPr>
          <w:spacing w:val="-4"/>
          <w:sz w:val="20"/>
          <w:vertAlign w:val="baseline"/>
        </w:rPr>
        <w:t>DIFF</w:t>
      </w:r>
    </w:p>
    <w:tbl>
      <w:tblPr>
        <w:tblW w:w="0" w:type="auto"/>
        <w:jc w:val="left"/>
        <w:tblInd w:w="8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49"/>
        <w:gridCol w:w="1377"/>
        <w:gridCol w:w="1433"/>
        <w:gridCol w:w="936"/>
        <w:gridCol w:w="896"/>
      </w:tblGrid>
      <w:tr>
        <w:trPr>
          <w:trHeight w:val="224" w:hRule="atLeast"/>
        </w:trPr>
        <w:tc>
          <w:tcPr>
            <w:tcW w:w="1849" w:type="dxa"/>
          </w:tcPr>
          <w:p>
            <w:pPr>
              <w:pStyle w:val="TableParagraph"/>
              <w:spacing w:line="204" w:lineRule="exact"/>
              <w:ind w:left="35"/>
              <w:rPr>
                <w:sz w:val="20"/>
              </w:rPr>
            </w:pPr>
            <w:r>
              <w:rPr>
                <w:sz w:val="20"/>
              </w:rPr>
              <w:t>ADF</w:t>
            </w:r>
            <w:r>
              <w:rPr>
                <w:spacing w:val="-4"/>
                <w:sz w:val="20"/>
              </w:rPr>
              <w:t> </w:t>
            </w:r>
            <w:r>
              <w:rPr>
                <w:sz w:val="20"/>
              </w:rPr>
              <w:t>Test</w:t>
            </w:r>
            <w:r>
              <w:rPr>
                <w:spacing w:val="-4"/>
                <w:sz w:val="20"/>
              </w:rPr>
              <w:t> </w:t>
            </w:r>
            <w:r>
              <w:rPr>
                <w:spacing w:val="-2"/>
                <w:sz w:val="20"/>
              </w:rPr>
              <w:t>Statistic</w:t>
            </w:r>
          </w:p>
        </w:tc>
        <w:tc>
          <w:tcPr>
            <w:tcW w:w="1377" w:type="dxa"/>
          </w:tcPr>
          <w:p>
            <w:pPr>
              <w:pStyle w:val="TableParagraph"/>
              <w:spacing w:line="204" w:lineRule="exact"/>
              <w:ind w:left="220"/>
              <w:rPr>
                <w:sz w:val="20"/>
              </w:rPr>
            </w:pPr>
            <w:r>
              <w:rPr>
                <w:spacing w:val="-4"/>
                <w:sz w:val="20"/>
              </w:rPr>
              <w:t>-</w:t>
            </w:r>
            <w:r>
              <w:rPr>
                <w:spacing w:val="-2"/>
                <w:sz w:val="20"/>
              </w:rPr>
              <w:t>1.686565</w:t>
            </w:r>
          </w:p>
        </w:tc>
        <w:tc>
          <w:tcPr>
            <w:tcW w:w="2369" w:type="dxa"/>
            <w:gridSpan w:val="2"/>
          </w:tcPr>
          <w:p>
            <w:pPr>
              <w:pStyle w:val="TableParagraph"/>
              <w:spacing w:line="204" w:lineRule="exact"/>
              <w:ind w:left="130"/>
              <w:rPr>
                <w:sz w:val="20"/>
              </w:rPr>
            </w:pPr>
            <w:r>
              <w:rPr>
                <w:sz w:val="20"/>
              </w:rPr>
              <w:t>1%</w:t>
            </w:r>
            <w:r>
              <w:rPr>
                <w:spacing w:val="68"/>
                <w:w w:val="150"/>
                <w:sz w:val="20"/>
              </w:rPr>
              <w:t> </w:t>
            </w:r>
            <w:r>
              <w:rPr>
                <w:sz w:val="20"/>
              </w:rPr>
              <w:t>Critical</w:t>
            </w:r>
            <w:r>
              <w:rPr>
                <w:spacing w:val="-2"/>
                <w:sz w:val="20"/>
              </w:rPr>
              <w:t> Value*</w:t>
            </w:r>
          </w:p>
        </w:tc>
        <w:tc>
          <w:tcPr>
            <w:tcW w:w="896" w:type="dxa"/>
          </w:tcPr>
          <w:p>
            <w:pPr>
              <w:pStyle w:val="TableParagraph"/>
              <w:spacing w:line="204" w:lineRule="exact"/>
              <w:ind w:right="31"/>
              <w:jc w:val="right"/>
              <w:rPr>
                <w:sz w:val="20"/>
              </w:rPr>
            </w:pPr>
            <w:r>
              <w:rPr>
                <w:spacing w:val="-4"/>
                <w:sz w:val="20"/>
              </w:rPr>
              <w:t>-</w:t>
            </w:r>
            <w:r>
              <w:rPr>
                <w:spacing w:val="-2"/>
                <w:sz w:val="20"/>
              </w:rPr>
              <w:t>3.7667</w:t>
            </w:r>
          </w:p>
        </w:tc>
      </w:tr>
      <w:tr>
        <w:trPr>
          <w:trHeight w:val="229" w:hRule="atLeast"/>
        </w:trPr>
        <w:tc>
          <w:tcPr>
            <w:tcW w:w="1849" w:type="dxa"/>
          </w:tcPr>
          <w:p>
            <w:pPr>
              <w:pStyle w:val="TableParagraph"/>
              <w:rPr>
                <w:sz w:val="16"/>
              </w:rPr>
            </w:pPr>
          </w:p>
        </w:tc>
        <w:tc>
          <w:tcPr>
            <w:tcW w:w="1377" w:type="dxa"/>
          </w:tcPr>
          <w:p>
            <w:pPr>
              <w:pStyle w:val="TableParagraph"/>
              <w:rPr>
                <w:sz w:val="16"/>
              </w:rPr>
            </w:pPr>
          </w:p>
        </w:tc>
        <w:tc>
          <w:tcPr>
            <w:tcW w:w="2369" w:type="dxa"/>
            <w:gridSpan w:val="2"/>
          </w:tcPr>
          <w:p>
            <w:pPr>
              <w:pStyle w:val="TableParagraph"/>
              <w:spacing w:line="209" w:lineRule="exact"/>
              <w:ind w:left="130"/>
              <w:rPr>
                <w:sz w:val="20"/>
              </w:rPr>
            </w:pPr>
            <w:r>
              <w:rPr>
                <w:sz w:val="20"/>
              </w:rPr>
              <w:t>5%</w:t>
            </w:r>
            <w:r>
              <w:rPr>
                <w:spacing w:val="68"/>
                <w:w w:val="150"/>
                <w:sz w:val="20"/>
              </w:rPr>
              <w:t> </w:t>
            </w:r>
            <w:r>
              <w:rPr>
                <w:sz w:val="20"/>
              </w:rPr>
              <w:t>Critical</w:t>
            </w:r>
            <w:r>
              <w:rPr>
                <w:spacing w:val="-2"/>
                <w:sz w:val="20"/>
              </w:rPr>
              <w:t> </w:t>
            </w:r>
            <w:r>
              <w:rPr>
                <w:spacing w:val="-4"/>
                <w:sz w:val="20"/>
              </w:rPr>
              <w:t>Value</w:t>
            </w:r>
          </w:p>
        </w:tc>
        <w:tc>
          <w:tcPr>
            <w:tcW w:w="896" w:type="dxa"/>
          </w:tcPr>
          <w:p>
            <w:pPr>
              <w:pStyle w:val="TableParagraph"/>
              <w:spacing w:line="209" w:lineRule="exact"/>
              <w:ind w:right="31"/>
              <w:jc w:val="right"/>
              <w:rPr>
                <w:sz w:val="20"/>
              </w:rPr>
            </w:pPr>
            <w:r>
              <w:rPr>
                <w:spacing w:val="-4"/>
                <w:sz w:val="20"/>
              </w:rPr>
              <w:t>-</w:t>
            </w:r>
            <w:r>
              <w:rPr>
                <w:spacing w:val="-2"/>
                <w:sz w:val="20"/>
              </w:rPr>
              <w:t>3.0038</w:t>
            </w:r>
          </w:p>
        </w:tc>
      </w:tr>
      <w:tr>
        <w:trPr>
          <w:trHeight w:val="224" w:hRule="atLeast"/>
        </w:trPr>
        <w:tc>
          <w:tcPr>
            <w:tcW w:w="1849" w:type="dxa"/>
            <w:tcBorders>
              <w:bottom w:val="double" w:sz="6" w:space="0" w:color="000000"/>
            </w:tcBorders>
          </w:tcPr>
          <w:p>
            <w:pPr>
              <w:pStyle w:val="TableParagraph"/>
              <w:rPr>
                <w:sz w:val="16"/>
              </w:rPr>
            </w:pPr>
          </w:p>
        </w:tc>
        <w:tc>
          <w:tcPr>
            <w:tcW w:w="1377" w:type="dxa"/>
            <w:tcBorders>
              <w:bottom w:val="double" w:sz="6" w:space="0" w:color="000000"/>
            </w:tcBorders>
          </w:tcPr>
          <w:p>
            <w:pPr>
              <w:pStyle w:val="TableParagraph"/>
              <w:rPr>
                <w:sz w:val="16"/>
              </w:rPr>
            </w:pPr>
          </w:p>
        </w:tc>
        <w:tc>
          <w:tcPr>
            <w:tcW w:w="2369" w:type="dxa"/>
            <w:gridSpan w:val="2"/>
            <w:tcBorders>
              <w:bottom w:val="double" w:sz="6" w:space="0" w:color="000000"/>
            </w:tcBorders>
          </w:tcPr>
          <w:p>
            <w:pPr>
              <w:pStyle w:val="TableParagraph"/>
              <w:spacing w:line="205" w:lineRule="exact"/>
              <w:ind w:left="130"/>
              <w:rPr>
                <w:sz w:val="20"/>
              </w:rPr>
            </w:pPr>
            <w:r>
              <w:rPr>
                <w:sz w:val="20"/>
              </w:rPr>
              <w:t>10%</w:t>
            </w:r>
            <w:r>
              <w:rPr>
                <w:spacing w:val="-6"/>
                <w:sz w:val="20"/>
              </w:rPr>
              <w:t> </w:t>
            </w:r>
            <w:r>
              <w:rPr>
                <w:sz w:val="20"/>
              </w:rPr>
              <w:t>Critical</w:t>
            </w:r>
            <w:r>
              <w:rPr>
                <w:spacing w:val="-4"/>
                <w:sz w:val="20"/>
              </w:rPr>
              <w:t> </w:t>
            </w:r>
            <w:r>
              <w:rPr>
                <w:spacing w:val="-2"/>
                <w:sz w:val="20"/>
              </w:rPr>
              <w:t>Value</w:t>
            </w:r>
          </w:p>
        </w:tc>
        <w:tc>
          <w:tcPr>
            <w:tcW w:w="896" w:type="dxa"/>
            <w:tcBorders>
              <w:bottom w:val="double" w:sz="6" w:space="0" w:color="000000"/>
            </w:tcBorders>
          </w:tcPr>
          <w:p>
            <w:pPr>
              <w:pStyle w:val="TableParagraph"/>
              <w:spacing w:line="205" w:lineRule="exact"/>
              <w:ind w:right="31"/>
              <w:jc w:val="right"/>
              <w:rPr>
                <w:sz w:val="20"/>
              </w:rPr>
            </w:pPr>
            <w:r>
              <w:rPr>
                <w:spacing w:val="-4"/>
                <w:sz w:val="20"/>
              </w:rPr>
              <w:t>-</w:t>
            </w:r>
            <w:r>
              <w:rPr>
                <w:spacing w:val="-2"/>
                <w:sz w:val="20"/>
              </w:rPr>
              <w:t>2.6417</w:t>
            </w:r>
          </w:p>
        </w:tc>
      </w:tr>
      <w:tr>
        <w:trPr>
          <w:trHeight w:val="505" w:hRule="atLeast"/>
        </w:trPr>
        <w:tc>
          <w:tcPr>
            <w:tcW w:w="6491" w:type="dxa"/>
            <w:gridSpan w:val="5"/>
            <w:tcBorders>
              <w:top w:val="double" w:sz="6" w:space="0" w:color="000000"/>
            </w:tcBorders>
          </w:tcPr>
          <w:p>
            <w:pPr>
              <w:pStyle w:val="TableParagraph"/>
              <w:spacing w:before="40"/>
              <w:ind w:left="35"/>
              <w:rPr>
                <w:sz w:val="20"/>
              </w:rPr>
            </w:pPr>
            <w:r>
              <w:rPr>
                <w:sz w:val="20"/>
              </w:rPr>
              <w:t>*MacKinnon</w:t>
            </w:r>
            <w:r>
              <w:rPr>
                <w:spacing w:val="-6"/>
                <w:sz w:val="20"/>
              </w:rPr>
              <w:t> </w:t>
            </w:r>
            <w:r>
              <w:rPr>
                <w:sz w:val="20"/>
              </w:rPr>
              <w:t>critical</w:t>
            </w:r>
            <w:r>
              <w:rPr>
                <w:spacing w:val="-4"/>
                <w:sz w:val="20"/>
              </w:rPr>
              <w:t> </w:t>
            </w:r>
            <w:r>
              <w:rPr>
                <w:sz w:val="20"/>
              </w:rPr>
              <w:t>values</w:t>
            </w:r>
            <w:r>
              <w:rPr>
                <w:spacing w:val="-6"/>
                <w:sz w:val="20"/>
              </w:rPr>
              <w:t> </w:t>
            </w:r>
            <w:r>
              <w:rPr>
                <w:sz w:val="20"/>
              </w:rPr>
              <w:t>for</w:t>
            </w:r>
            <w:r>
              <w:rPr>
                <w:spacing w:val="-4"/>
                <w:sz w:val="20"/>
              </w:rPr>
              <w:t> </w:t>
            </w:r>
            <w:r>
              <w:rPr>
                <w:sz w:val="20"/>
              </w:rPr>
              <w:t>rejection</w:t>
            </w:r>
            <w:r>
              <w:rPr>
                <w:spacing w:val="-6"/>
                <w:sz w:val="20"/>
              </w:rPr>
              <w:t> </w:t>
            </w:r>
            <w:r>
              <w:rPr>
                <w:sz w:val="20"/>
              </w:rPr>
              <w:t>of</w:t>
            </w:r>
            <w:r>
              <w:rPr>
                <w:spacing w:val="-6"/>
                <w:sz w:val="20"/>
              </w:rPr>
              <w:t> </w:t>
            </w:r>
            <w:r>
              <w:rPr>
                <w:sz w:val="20"/>
              </w:rPr>
              <w:t>hypothesis</w:t>
            </w:r>
            <w:r>
              <w:rPr>
                <w:spacing w:val="-6"/>
                <w:sz w:val="20"/>
              </w:rPr>
              <w:t> </w:t>
            </w:r>
            <w:r>
              <w:rPr>
                <w:sz w:val="20"/>
              </w:rPr>
              <w:t>of</w:t>
            </w:r>
            <w:r>
              <w:rPr>
                <w:spacing w:val="-6"/>
                <w:sz w:val="20"/>
              </w:rPr>
              <w:t> </w:t>
            </w:r>
            <w:r>
              <w:rPr>
                <w:sz w:val="20"/>
              </w:rPr>
              <w:t>a</w:t>
            </w:r>
            <w:r>
              <w:rPr>
                <w:spacing w:val="-4"/>
                <w:sz w:val="20"/>
              </w:rPr>
              <w:t> </w:t>
            </w:r>
            <w:r>
              <w:rPr>
                <w:sz w:val="20"/>
              </w:rPr>
              <w:t>unit</w:t>
            </w:r>
            <w:r>
              <w:rPr>
                <w:spacing w:val="-6"/>
                <w:sz w:val="20"/>
              </w:rPr>
              <w:t> </w:t>
            </w:r>
            <w:r>
              <w:rPr>
                <w:spacing w:val="-2"/>
                <w:sz w:val="20"/>
              </w:rPr>
              <w:t>root.</w:t>
            </w:r>
          </w:p>
        </w:tc>
      </w:tr>
      <w:tr>
        <w:trPr>
          <w:trHeight w:val="460" w:hRule="atLeast"/>
        </w:trPr>
        <w:tc>
          <w:tcPr>
            <w:tcW w:w="6491" w:type="dxa"/>
            <w:gridSpan w:val="5"/>
          </w:tcPr>
          <w:p>
            <w:pPr>
              <w:pStyle w:val="TableParagraph"/>
              <w:spacing w:line="215" w:lineRule="exact" w:before="226"/>
              <w:ind w:left="35"/>
              <w:rPr>
                <w:sz w:val="20"/>
              </w:rPr>
            </w:pPr>
            <w:r>
              <w:rPr>
                <w:sz w:val="20"/>
              </w:rPr>
              <w:t>Augmented</w:t>
            </w:r>
            <w:r>
              <w:rPr>
                <w:spacing w:val="-8"/>
                <w:sz w:val="20"/>
              </w:rPr>
              <w:t> </w:t>
            </w:r>
            <w:r>
              <w:rPr>
                <w:sz w:val="20"/>
              </w:rPr>
              <w:t>Dickey-Fuller</w:t>
            </w:r>
            <w:r>
              <w:rPr>
                <w:spacing w:val="-8"/>
                <w:sz w:val="20"/>
              </w:rPr>
              <w:t> </w:t>
            </w:r>
            <w:r>
              <w:rPr>
                <w:sz w:val="20"/>
              </w:rPr>
              <w:t>Test</w:t>
            </w:r>
            <w:r>
              <w:rPr>
                <w:spacing w:val="-9"/>
                <w:sz w:val="20"/>
              </w:rPr>
              <w:t> </w:t>
            </w:r>
            <w:r>
              <w:rPr>
                <w:spacing w:val="-2"/>
                <w:sz w:val="20"/>
              </w:rPr>
              <w:t>Equation</w:t>
            </w:r>
          </w:p>
        </w:tc>
      </w:tr>
      <w:tr>
        <w:trPr>
          <w:trHeight w:val="230" w:hRule="atLeast"/>
        </w:trPr>
        <w:tc>
          <w:tcPr>
            <w:tcW w:w="6491" w:type="dxa"/>
            <w:gridSpan w:val="5"/>
          </w:tcPr>
          <w:p>
            <w:pPr>
              <w:pStyle w:val="TableParagraph"/>
              <w:spacing w:line="210" w:lineRule="exact"/>
              <w:ind w:left="35"/>
              <w:rPr>
                <w:sz w:val="20"/>
              </w:rPr>
            </w:pPr>
            <w:r>
              <w:rPr>
                <w:sz w:val="20"/>
              </w:rPr>
              <w:t>Dependent</w:t>
            </w:r>
            <w:r>
              <w:rPr>
                <w:spacing w:val="-8"/>
                <w:sz w:val="20"/>
              </w:rPr>
              <w:t> </w:t>
            </w:r>
            <w:r>
              <w:rPr>
                <w:sz w:val="20"/>
              </w:rPr>
              <w:t>Variable:</w:t>
            </w:r>
            <w:r>
              <w:rPr>
                <w:spacing w:val="-7"/>
                <w:sz w:val="20"/>
              </w:rPr>
              <w:t> </w:t>
            </w:r>
            <w:r>
              <w:rPr>
                <w:spacing w:val="-2"/>
                <w:sz w:val="20"/>
              </w:rPr>
              <w:t>D(DFI,2)</w:t>
            </w:r>
          </w:p>
        </w:tc>
      </w:tr>
      <w:tr>
        <w:trPr>
          <w:trHeight w:val="229" w:hRule="atLeast"/>
        </w:trPr>
        <w:tc>
          <w:tcPr>
            <w:tcW w:w="6491" w:type="dxa"/>
            <w:gridSpan w:val="5"/>
          </w:tcPr>
          <w:p>
            <w:pPr>
              <w:pStyle w:val="TableParagraph"/>
              <w:spacing w:line="209" w:lineRule="exact"/>
              <w:ind w:left="35"/>
              <w:rPr>
                <w:sz w:val="20"/>
              </w:rPr>
            </w:pPr>
            <w:r>
              <w:rPr>
                <w:sz w:val="20"/>
              </w:rPr>
              <w:t>Method:</w:t>
            </w:r>
            <w:r>
              <w:rPr>
                <w:spacing w:val="-8"/>
                <w:sz w:val="20"/>
              </w:rPr>
              <w:t> </w:t>
            </w:r>
            <w:r>
              <w:rPr>
                <w:sz w:val="20"/>
              </w:rPr>
              <w:t>Least</w:t>
            </w:r>
            <w:r>
              <w:rPr>
                <w:spacing w:val="-7"/>
                <w:sz w:val="20"/>
              </w:rPr>
              <w:t> </w:t>
            </w:r>
            <w:r>
              <w:rPr>
                <w:spacing w:val="-2"/>
                <w:sz w:val="20"/>
              </w:rPr>
              <w:t>Squares</w:t>
            </w:r>
          </w:p>
        </w:tc>
      </w:tr>
      <w:tr>
        <w:trPr>
          <w:trHeight w:val="229" w:hRule="atLeast"/>
        </w:trPr>
        <w:tc>
          <w:tcPr>
            <w:tcW w:w="6491" w:type="dxa"/>
            <w:gridSpan w:val="5"/>
          </w:tcPr>
          <w:p>
            <w:pPr>
              <w:pStyle w:val="TableParagraph"/>
              <w:spacing w:line="209" w:lineRule="exact"/>
              <w:ind w:left="35"/>
              <w:rPr>
                <w:sz w:val="20"/>
              </w:rPr>
            </w:pPr>
            <w:r>
              <w:rPr>
                <w:sz w:val="20"/>
              </w:rPr>
              <w:t>Date:</w:t>
            </w:r>
            <w:r>
              <w:rPr>
                <w:spacing w:val="-5"/>
                <w:sz w:val="20"/>
              </w:rPr>
              <w:t> </w:t>
            </w:r>
            <w:r>
              <w:rPr>
                <w:sz w:val="20"/>
              </w:rPr>
              <w:t>02/17/14</w:t>
            </w:r>
            <w:r>
              <w:rPr>
                <w:spacing w:val="63"/>
                <w:w w:val="150"/>
                <w:sz w:val="20"/>
              </w:rPr>
              <w:t> </w:t>
            </w:r>
            <w:r>
              <w:rPr>
                <w:sz w:val="20"/>
              </w:rPr>
              <w:t>Time:</w:t>
            </w:r>
            <w:r>
              <w:rPr>
                <w:spacing w:val="-3"/>
                <w:sz w:val="20"/>
              </w:rPr>
              <w:t> </w:t>
            </w:r>
            <w:r>
              <w:rPr>
                <w:spacing w:val="-2"/>
                <w:sz w:val="20"/>
              </w:rPr>
              <w:t>18:10</w:t>
            </w:r>
          </w:p>
        </w:tc>
      </w:tr>
      <w:tr>
        <w:trPr>
          <w:trHeight w:val="230" w:hRule="atLeast"/>
        </w:trPr>
        <w:tc>
          <w:tcPr>
            <w:tcW w:w="6491" w:type="dxa"/>
            <w:gridSpan w:val="5"/>
          </w:tcPr>
          <w:p>
            <w:pPr>
              <w:pStyle w:val="TableParagraph"/>
              <w:spacing w:line="210" w:lineRule="exact"/>
              <w:ind w:left="35"/>
              <w:rPr>
                <w:sz w:val="20"/>
              </w:rPr>
            </w:pPr>
            <w:r>
              <w:rPr>
                <w:sz w:val="20"/>
              </w:rPr>
              <w:t>Sample(adjusted):</w:t>
            </w:r>
            <w:r>
              <w:rPr>
                <w:spacing w:val="-9"/>
                <w:sz w:val="20"/>
              </w:rPr>
              <w:t> </w:t>
            </w:r>
            <w:r>
              <w:rPr>
                <w:sz w:val="20"/>
              </w:rPr>
              <w:t>1990</w:t>
            </w:r>
            <w:r>
              <w:rPr>
                <w:spacing w:val="-9"/>
                <w:sz w:val="20"/>
              </w:rPr>
              <w:t> </w:t>
            </w:r>
            <w:r>
              <w:rPr>
                <w:spacing w:val="-4"/>
                <w:sz w:val="20"/>
              </w:rPr>
              <w:t>2011</w:t>
            </w:r>
          </w:p>
        </w:tc>
      </w:tr>
      <w:tr>
        <w:trPr>
          <w:trHeight w:val="224" w:hRule="atLeast"/>
        </w:trPr>
        <w:tc>
          <w:tcPr>
            <w:tcW w:w="6491" w:type="dxa"/>
            <w:gridSpan w:val="5"/>
            <w:tcBorders>
              <w:bottom w:val="double" w:sz="6" w:space="0" w:color="000000"/>
            </w:tcBorders>
          </w:tcPr>
          <w:p>
            <w:pPr>
              <w:pStyle w:val="TableParagraph"/>
              <w:spacing w:line="205" w:lineRule="exact"/>
              <w:ind w:left="35"/>
              <w:rPr>
                <w:sz w:val="20"/>
              </w:rPr>
            </w:pPr>
            <w:r>
              <w:rPr>
                <w:sz w:val="20"/>
              </w:rPr>
              <w:t>Included</w:t>
            </w:r>
            <w:r>
              <w:rPr>
                <w:spacing w:val="-6"/>
                <w:sz w:val="20"/>
              </w:rPr>
              <w:t> </w:t>
            </w:r>
            <w:r>
              <w:rPr>
                <w:sz w:val="20"/>
              </w:rPr>
              <w:t>observations:</w:t>
            </w:r>
            <w:r>
              <w:rPr>
                <w:spacing w:val="-8"/>
                <w:sz w:val="20"/>
              </w:rPr>
              <w:t> </w:t>
            </w:r>
            <w:r>
              <w:rPr>
                <w:sz w:val="20"/>
              </w:rPr>
              <w:t>22</w:t>
            </w:r>
            <w:r>
              <w:rPr>
                <w:spacing w:val="-5"/>
                <w:sz w:val="20"/>
              </w:rPr>
              <w:t> </w:t>
            </w:r>
            <w:r>
              <w:rPr>
                <w:sz w:val="20"/>
              </w:rPr>
              <w:t>after</w:t>
            </w:r>
            <w:r>
              <w:rPr>
                <w:spacing w:val="-7"/>
                <w:sz w:val="20"/>
              </w:rPr>
              <w:t> </w:t>
            </w:r>
            <w:r>
              <w:rPr>
                <w:sz w:val="20"/>
              </w:rPr>
              <w:t>adjusting</w:t>
            </w:r>
            <w:r>
              <w:rPr>
                <w:spacing w:val="-7"/>
                <w:sz w:val="20"/>
              </w:rPr>
              <w:t> </w:t>
            </w:r>
            <w:r>
              <w:rPr>
                <w:spacing w:val="-2"/>
                <w:sz w:val="20"/>
              </w:rPr>
              <w:t>endpoints</w:t>
            </w:r>
          </w:p>
        </w:tc>
      </w:tr>
      <w:tr>
        <w:trPr>
          <w:trHeight w:val="269" w:hRule="atLeast"/>
        </w:trPr>
        <w:tc>
          <w:tcPr>
            <w:tcW w:w="1849" w:type="dxa"/>
            <w:tcBorders>
              <w:top w:val="double" w:sz="6" w:space="0" w:color="000000"/>
              <w:bottom w:val="double" w:sz="6" w:space="0" w:color="000000"/>
            </w:tcBorders>
          </w:tcPr>
          <w:p>
            <w:pPr>
              <w:pStyle w:val="TableParagraph"/>
              <w:spacing w:line="209" w:lineRule="exact" w:before="40"/>
              <w:ind w:left="677"/>
              <w:rPr>
                <w:sz w:val="20"/>
              </w:rPr>
            </w:pPr>
            <w:r>
              <w:rPr>
                <w:spacing w:val="-2"/>
                <w:sz w:val="20"/>
              </w:rPr>
              <w:t>Variable</w:t>
            </w:r>
          </w:p>
        </w:tc>
        <w:tc>
          <w:tcPr>
            <w:tcW w:w="1377" w:type="dxa"/>
            <w:tcBorders>
              <w:top w:val="double" w:sz="6" w:space="0" w:color="000000"/>
              <w:bottom w:val="double" w:sz="6" w:space="0" w:color="000000"/>
            </w:tcBorders>
          </w:tcPr>
          <w:p>
            <w:pPr>
              <w:pStyle w:val="TableParagraph"/>
              <w:spacing w:line="209" w:lineRule="exact" w:before="40"/>
              <w:ind w:right="134"/>
              <w:jc w:val="right"/>
              <w:rPr>
                <w:sz w:val="20"/>
              </w:rPr>
            </w:pPr>
            <w:r>
              <w:rPr>
                <w:spacing w:val="-2"/>
                <w:sz w:val="20"/>
              </w:rPr>
              <w:t>Coefficient</w:t>
            </w:r>
          </w:p>
        </w:tc>
        <w:tc>
          <w:tcPr>
            <w:tcW w:w="1433" w:type="dxa"/>
            <w:tcBorders>
              <w:top w:val="double" w:sz="6" w:space="0" w:color="000000"/>
              <w:bottom w:val="double" w:sz="6" w:space="0" w:color="000000"/>
            </w:tcBorders>
          </w:tcPr>
          <w:p>
            <w:pPr>
              <w:pStyle w:val="TableParagraph"/>
              <w:spacing w:line="209" w:lineRule="exact" w:before="40"/>
              <w:ind w:left="271"/>
              <w:rPr>
                <w:sz w:val="20"/>
              </w:rPr>
            </w:pPr>
            <w:r>
              <w:rPr>
                <w:sz w:val="20"/>
              </w:rPr>
              <w:t>Std.</w:t>
            </w:r>
            <w:r>
              <w:rPr>
                <w:spacing w:val="-4"/>
                <w:sz w:val="20"/>
              </w:rPr>
              <w:t> </w:t>
            </w:r>
            <w:r>
              <w:rPr>
                <w:spacing w:val="-2"/>
                <w:sz w:val="20"/>
              </w:rPr>
              <w:t>Error</w:t>
            </w:r>
          </w:p>
        </w:tc>
        <w:tc>
          <w:tcPr>
            <w:tcW w:w="936" w:type="dxa"/>
            <w:tcBorders>
              <w:top w:val="double" w:sz="6" w:space="0" w:color="000000"/>
              <w:bottom w:val="double" w:sz="6" w:space="0" w:color="000000"/>
            </w:tcBorders>
          </w:tcPr>
          <w:p>
            <w:pPr>
              <w:pStyle w:val="TableParagraph"/>
              <w:spacing w:line="209" w:lineRule="exact" w:before="40"/>
              <w:ind w:left="55"/>
              <w:rPr>
                <w:sz w:val="20"/>
              </w:rPr>
            </w:pPr>
            <w:r>
              <w:rPr>
                <w:spacing w:val="-4"/>
                <w:sz w:val="20"/>
              </w:rPr>
              <w:t>t-</w:t>
            </w:r>
            <w:r>
              <w:rPr>
                <w:spacing w:val="-2"/>
                <w:sz w:val="20"/>
              </w:rPr>
              <w:t>Statistic</w:t>
            </w:r>
          </w:p>
        </w:tc>
        <w:tc>
          <w:tcPr>
            <w:tcW w:w="896" w:type="dxa"/>
            <w:tcBorders>
              <w:top w:val="double" w:sz="6" w:space="0" w:color="000000"/>
              <w:bottom w:val="double" w:sz="6" w:space="0" w:color="000000"/>
            </w:tcBorders>
          </w:tcPr>
          <w:p>
            <w:pPr>
              <w:pStyle w:val="TableParagraph"/>
              <w:spacing w:line="209" w:lineRule="exact" w:before="40"/>
              <w:ind w:right="32"/>
              <w:jc w:val="right"/>
              <w:rPr>
                <w:sz w:val="20"/>
              </w:rPr>
            </w:pPr>
            <w:r>
              <w:rPr>
                <w:spacing w:val="-2"/>
                <w:sz w:val="20"/>
              </w:rPr>
              <w:t>Prob.</w:t>
            </w:r>
          </w:p>
        </w:tc>
      </w:tr>
      <w:tr>
        <w:trPr>
          <w:trHeight w:val="275" w:hRule="atLeast"/>
        </w:trPr>
        <w:tc>
          <w:tcPr>
            <w:tcW w:w="1849" w:type="dxa"/>
            <w:tcBorders>
              <w:top w:val="double" w:sz="6" w:space="0" w:color="000000"/>
            </w:tcBorders>
          </w:tcPr>
          <w:p>
            <w:pPr>
              <w:pStyle w:val="TableParagraph"/>
              <w:spacing w:line="215" w:lineRule="exact" w:before="40"/>
              <w:ind w:left="571"/>
              <w:rPr>
                <w:sz w:val="20"/>
              </w:rPr>
            </w:pPr>
            <w:r>
              <w:rPr>
                <w:spacing w:val="-2"/>
                <w:sz w:val="20"/>
              </w:rPr>
              <w:t>D(DFI(-</w:t>
            </w:r>
            <w:r>
              <w:rPr>
                <w:spacing w:val="-5"/>
                <w:sz w:val="20"/>
              </w:rPr>
              <w:t>1))</w:t>
            </w:r>
          </w:p>
        </w:tc>
        <w:tc>
          <w:tcPr>
            <w:tcW w:w="1377" w:type="dxa"/>
            <w:tcBorders>
              <w:top w:val="double" w:sz="6" w:space="0" w:color="000000"/>
            </w:tcBorders>
          </w:tcPr>
          <w:p>
            <w:pPr>
              <w:pStyle w:val="TableParagraph"/>
              <w:spacing w:line="215" w:lineRule="exact" w:before="40"/>
              <w:ind w:right="130"/>
              <w:jc w:val="right"/>
              <w:rPr>
                <w:sz w:val="20"/>
              </w:rPr>
            </w:pPr>
            <w:r>
              <w:rPr>
                <w:spacing w:val="-4"/>
                <w:sz w:val="20"/>
              </w:rPr>
              <w:t>-</w:t>
            </w:r>
            <w:r>
              <w:rPr>
                <w:spacing w:val="-2"/>
                <w:sz w:val="20"/>
              </w:rPr>
              <w:t>1.011284</w:t>
            </w:r>
          </w:p>
        </w:tc>
        <w:tc>
          <w:tcPr>
            <w:tcW w:w="1433" w:type="dxa"/>
            <w:tcBorders>
              <w:top w:val="double" w:sz="6" w:space="0" w:color="000000"/>
            </w:tcBorders>
          </w:tcPr>
          <w:p>
            <w:pPr>
              <w:pStyle w:val="TableParagraph"/>
              <w:spacing w:line="215" w:lineRule="exact" w:before="40"/>
              <w:ind w:left="310"/>
              <w:rPr>
                <w:sz w:val="20"/>
              </w:rPr>
            </w:pPr>
            <w:r>
              <w:rPr>
                <w:spacing w:val="-2"/>
                <w:sz w:val="20"/>
              </w:rPr>
              <w:t>0.599611</w:t>
            </w:r>
          </w:p>
        </w:tc>
        <w:tc>
          <w:tcPr>
            <w:tcW w:w="936" w:type="dxa"/>
            <w:tcBorders>
              <w:top w:val="double" w:sz="6" w:space="0" w:color="000000"/>
            </w:tcBorders>
          </w:tcPr>
          <w:p>
            <w:pPr>
              <w:pStyle w:val="TableParagraph"/>
              <w:spacing w:line="215" w:lineRule="exact" w:before="40"/>
              <w:ind w:left="5"/>
              <w:rPr>
                <w:sz w:val="20"/>
              </w:rPr>
            </w:pPr>
            <w:r>
              <w:rPr>
                <w:spacing w:val="-4"/>
                <w:sz w:val="20"/>
              </w:rPr>
              <w:t>-</w:t>
            </w:r>
            <w:r>
              <w:rPr>
                <w:spacing w:val="-2"/>
                <w:sz w:val="20"/>
              </w:rPr>
              <w:t>1.686565</w:t>
            </w:r>
          </w:p>
        </w:tc>
        <w:tc>
          <w:tcPr>
            <w:tcW w:w="896" w:type="dxa"/>
            <w:tcBorders>
              <w:top w:val="double" w:sz="6" w:space="0" w:color="000000"/>
            </w:tcBorders>
          </w:tcPr>
          <w:p>
            <w:pPr>
              <w:pStyle w:val="TableParagraph"/>
              <w:spacing w:line="215" w:lineRule="exact" w:before="40"/>
              <w:ind w:right="31"/>
              <w:jc w:val="right"/>
              <w:rPr>
                <w:sz w:val="20"/>
              </w:rPr>
            </w:pPr>
            <w:r>
              <w:rPr>
                <w:spacing w:val="-2"/>
                <w:sz w:val="20"/>
              </w:rPr>
              <w:t>0.1080</w:t>
            </w:r>
          </w:p>
        </w:tc>
      </w:tr>
      <w:tr>
        <w:trPr>
          <w:trHeight w:val="230" w:hRule="atLeast"/>
        </w:trPr>
        <w:tc>
          <w:tcPr>
            <w:tcW w:w="1849" w:type="dxa"/>
          </w:tcPr>
          <w:p>
            <w:pPr>
              <w:pStyle w:val="TableParagraph"/>
              <w:spacing w:line="210" w:lineRule="exact"/>
              <w:ind w:left="497"/>
              <w:rPr>
                <w:sz w:val="20"/>
              </w:rPr>
            </w:pPr>
            <w:r>
              <w:rPr>
                <w:spacing w:val="-2"/>
                <w:sz w:val="20"/>
              </w:rPr>
              <w:t>D(DFI(-1),2)</w:t>
            </w:r>
          </w:p>
        </w:tc>
        <w:tc>
          <w:tcPr>
            <w:tcW w:w="1377" w:type="dxa"/>
          </w:tcPr>
          <w:p>
            <w:pPr>
              <w:pStyle w:val="TableParagraph"/>
              <w:spacing w:line="210" w:lineRule="exact"/>
              <w:ind w:right="130"/>
              <w:jc w:val="right"/>
              <w:rPr>
                <w:sz w:val="20"/>
              </w:rPr>
            </w:pPr>
            <w:r>
              <w:rPr>
                <w:spacing w:val="-4"/>
                <w:sz w:val="20"/>
              </w:rPr>
              <w:t>-</w:t>
            </w:r>
            <w:r>
              <w:rPr>
                <w:spacing w:val="-2"/>
                <w:sz w:val="20"/>
              </w:rPr>
              <w:t>0.034399</w:t>
            </w:r>
          </w:p>
        </w:tc>
        <w:tc>
          <w:tcPr>
            <w:tcW w:w="1433" w:type="dxa"/>
          </w:tcPr>
          <w:p>
            <w:pPr>
              <w:pStyle w:val="TableParagraph"/>
              <w:spacing w:line="210" w:lineRule="exact"/>
              <w:ind w:left="310"/>
              <w:rPr>
                <w:sz w:val="20"/>
              </w:rPr>
            </w:pPr>
            <w:r>
              <w:rPr>
                <w:spacing w:val="-2"/>
                <w:sz w:val="20"/>
              </w:rPr>
              <w:t>0.558218</w:t>
            </w:r>
          </w:p>
        </w:tc>
        <w:tc>
          <w:tcPr>
            <w:tcW w:w="936" w:type="dxa"/>
          </w:tcPr>
          <w:p>
            <w:pPr>
              <w:pStyle w:val="TableParagraph"/>
              <w:spacing w:line="210" w:lineRule="exact"/>
              <w:ind w:left="5"/>
              <w:rPr>
                <w:sz w:val="20"/>
              </w:rPr>
            </w:pPr>
            <w:r>
              <w:rPr>
                <w:spacing w:val="-4"/>
                <w:sz w:val="20"/>
              </w:rPr>
              <w:t>-</w:t>
            </w:r>
            <w:r>
              <w:rPr>
                <w:spacing w:val="-2"/>
                <w:sz w:val="20"/>
              </w:rPr>
              <w:t>0.061622</w:t>
            </w:r>
          </w:p>
        </w:tc>
        <w:tc>
          <w:tcPr>
            <w:tcW w:w="896" w:type="dxa"/>
          </w:tcPr>
          <w:p>
            <w:pPr>
              <w:pStyle w:val="TableParagraph"/>
              <w:spacing w:line="210" w:lineRule="exact"/>
              <w:ind w:right="31"/>
              <w:jc w:val="right"/>
              <w:rPr>
                <w:sz w:val="20"/>
              </w:rPr>
            </w:pPr>
            <w:r>
              <w:rPr>
                <w:spacing w:val="-2"/>
                <w:sz w:val="20"/>
              </w:rPr>
              <w:t>0.9515</w:t>
            </w:r>
          </w:p>
        </w:tc>
      </w:tr>
      <w:tr>
        <w:trPr>
          <w:trHeight w:val="224" w:hRule="atLeast"/>
        </w:trPr>
        <w:tc>
          <w:tcPr>
            <w:tcW w:w="1849" w:type="dxa"/>
            <w:tcBorders>
              <w:bottom w:val="double" w:sz="6" w:space="0" w:color="000000"/>
            </w:tcBorders>
          </w:tcPr>
          <w:p>
            <w:pPr>
              <w:pStyle w:val="TableParagraph"/>
              <w:spacing w:line="205" w:lineRule="exact"/>
              <w:ind w:left="195"/>
              <w:jc w:val="center"/>
              <w:rPr>
                <w:sz w:val="20"/>
              </w:rPr>
            </w:pPr>
            <w:r>
              <w:rPr>
                <w:spacing w:val="-10"/>
                <w:sz w:val="20"/>
              </w:rPr>
              <w:t>C</w:t>
            </w:r>
          </w:p>
        </w:tc>
        <w:tc>
          <w:tcPr>
            <w:tcW w:w="1377" w:type="dxa"/>
            <w:tcBorders>
              <w:bottom w:val="double" w:sz="6" w:space="0" w:color="000000"/>
            </w:tcBorders>
          </w:tcPr>
          <w:p>
            <w:pPr>
              <w:pStyle w:val="TableParagraph"/>
              <w:spacing w:line="205" w:lineRule="exact"/>
              <w:ind w:right="130"/>
              <w:jc w:val="right"/>
              <w:rPr>
                <w:sz w:val="20"/>
              </w:rPr>
            </w:pPr>
            <w:r>
              <w:rPr>
                <w:spacing w:val="-2"/>
                <w:sz w:val="20"/>
              </w:rPr>
              <w:t>0.320446</w:t>
            </w:r>
          </w:p>
        </w:tc>
        <w:tc>
          <w:tcPr>
            <w:tcW w:w="1433" w:type="dxa"/>
            <w:tcBorders>
              <w:bottom w:val="double" w:sz="6" w:space="0" w:color="000000"/>
            </w:tcBorders>
          </w:tcPr>
          <w:p>
            <w:pPr>
              <w:pStyle w:val="TableParagraph"/>
              <w:spacing w:line="205" w:lineRule="exact"/>
              <w:ind w:left="310"/>
              <w:rPr>
                <w:sz w:val="20"/>
              </w:rPr>
            </w:pPr>
            <w:r>
              <w:rPr>
                <w:spacing w:val="-2"/>
                <w:sz w:val="20"/>
              </w:rPr>
              <w:t>0.189252</w:t>
            </w:r>
          </w:p>
        </w:tc>
        <w:tc>
          <w:tcPr>
            <w:tcW w:w="936" w:type="dxa"/>
            <w:tcBorders>
              <w:bottom w:val="double" w:sz="6" w:space="0" w:color="000000"/>
            </w:tcBorders>
          </w:tcPr>
          <w:p>
            <w:pPr>
              <w:pStyle w:val="TableParagraph"/>
              <w:spacing w:line="205" w:lineRule="exact"/>
              <w:ind w:left="70"/>
              <w:rPr>
                <w:sz w:val="20"/>
              </w:rPr>
            </w:pPr>
            <w:r>
              <w:rPr>
                <w:spacing w:val="-2"/>
                <w:sz w:val="20"/>
              </w:rPr>
              <w:t>1.693221</w:t>
            </w:r>
          </w:p>
        </w:tc>
        <w:tc>
          <w:tcPr>
            <w:tcW w:w="896" w:type="dxa"/>
            <w:tcBorders>
              <w:bottom w:val="double" w:sz="6" w:space="0" w:color="000000"/>
            </w:tcBorders>
          </w:tcPr>
          <w:p>
            <w:pPr>
              <w:pStyle w:val="TableParagraph"/>
              <w:spacing w:line="205" w:lineRule="exact"/>
              <w:ind w:right="31"/>
              <w:jc w:val="right"/>
              <w:rPr>
                <w:sz w:val="20"/>
              </w:rPr>
            </w:pPr>
            <w:r>
              <w:rPr>
                <w:spacing w:val="-2"/>
                <w:sz w:val="20"/>
              </w:rPr>
              <w:t>0.1067</w:t>
            </w:r>
          </w:p>
        </w:tc>
      </w:tr>
      <w:tr>
        <w:trPr>
          <w:trHeight w:val="275" w:hRule="atLeast"/>
        </w:trPr>
        <w:tc>
          <w:tcPr>
            <w:tcW w:w="1849" w:type="dxa"/>
            <w:tcBorders>
              <w:top w:val="double" w:sz="6" w:space="0" w:color="000000"/>
            </w:tcBorders>
          </w:tcPr>
          <w:p>
            <w:pPr>
              <w:pStyle w:val="TableParagraph"/>
              <w:spacing w:line="215" w:lineRule="exact" w:before="40"/>
              <w:ind w:left="35"/>
              <w:rPr>
                <w:sz w:val="20"/>
              </w:rPr>
            </w:pPr>
            <w:r>
              <w:rPr>
                <w:spacing w:val="-2"/>
                <w:sz w:val="20"/>
              </w:rPr>
              <w:t>R-squared</w:t>
            </w:r>
          </w:p>
        </w:tc>
        <w:tc>
          <w:tcPr>
            <w:tcW w:w="1377" w:type="dxa"/>
            <w:tcBorders>
              <w:top w:val="double" w:sz="6" w:space="0" w:color="000000"/>
            </w:tcBorders>
          </w:tcPr>
          <w:p>
            <w:pPr>
              <w:pStyle w:val="TableParagraph"/>
              <w:spacing w:line="215" w:lineRule="exact" w:before="40"/>
              <w:ind w:right="130"/>
              <w:jc w:val="right"/>
              <w:rPr>
                <w:sz w:val="20"/>
              </w:rPr>
            </w:pPr>
            <w:r>
              <w:rPr>
                <w:spacing w:val="-2"/>
                <w:sz w:val="20"/>
              </w:rPr>
              <w:t>0.525400</w:t>
            </w:r>
          </w:p>
        </w:tc>
        <w:tc>
          <w:tcPr>
            <w:tcW w:w="2369" w:type="dxa"/>
            <w:gridSpan w:val="2"/>
            <w:tcBorders>
              <w:top w:val="double" w:sz="6" w:space="0" w:color="000000"/>
            </w:tcBorders>
          </w:tcPr>
          <w:p>
            <w:pPr>
              <w:pStyle w:val="TableParagraph"/>
              <w:spacing w:line="215" w:lineRule="exact" w:before="40"/>
              <w:ind w:left="130"/>
              <w:rPr>
                <w:sz w:val="20"/>
              </w:rPr>
            </w:pPr>
            <w:r>
              <w:rPr>
                <w:sz w:val="20"/>
              </w:rPr>
              <w:t>Mean</w:t>
            </w:r>
            <w:r>
              <w:rPr>
                <w:spacing w:val="-7"/>
                <w:sz w:val="20"/>
              </w:rPr>
              <w:t> </w:t>
            </w:r>
            <w:r>
              <w:rPr>
                <w:sz w:val="20"/>
              </w:rPr>
              <w:t>dependent</w:t>
            </w:r>
            <w:r>
              <w:rPr>
                <w:spacing w:val="-7"/>
                <w:sz w:val="20"/>
              </w:rPr>
              <w:t> </w:t>
            </w:r>
            <w:r>
              <w:rPr>
                <w:spacing w:val="-5"/>
                <w:sz w:val="20"/>
              </w:rPr>
              <w:t>var</w:t>
            </w:r>
          </w:p>
        </w:tc>
        <w:tc>
          <w:tcPr>
            <w:tcW w:w="896" w:type="dxa"/>
            <w:tcBorders>
              <w:top w:val="double" w:sz="6" w:space="0" w:color="000000"/>
            </w:tcBorders>
          </w:tcPr>
          <w:p>
            <w:pPr>
              <w:pStyle w:val="TableParagraph"/>
              <w:spacing w:line="215" w:lineRule="exact" w:before="40"/>
              <w:ind w:right="31"/>
              <w:jc w:val="right"/>
              <w:rPr>
                <w:sz w:val="20"/>
              </w:rPr>
            </w:pPr>
            <w:r>
              <w:rPr>
                <w:spacing w:val="-2"/>
                <w:sz w:val="20"/>
              </w:rPr>
              <w:t>0.008551</w:t>
            </w:r>
          </w:p>
        </w:tc>
      </w:tr>
      <w:tr>
        <w:trPr>
          <w:trHeight w:val="230" w:hRule="atLeast"/>
        </w:trPr>
        <w:tc>
          <w:tcPr>
            <w:tcW w:w="1849" w:type="dxa"/>
          </w:tcPr>
          <w:p>
            <w:pPr>
              <w:pStyle w:val="TableParagraph"/>
              <w:spacing w:line="210" w:lineRule="exact"/>
              <w:ind w:left="35"/>
              <w:rPr>
                <w:sz w:val="20"/>
              </w:rPr>
            </w:pPr>
            <w:r>
              <w:rPr>
                <w:sz w:val="20"/>
              </w:rPr>
              <w:t>Adjusted</w:t>
            </w:r>
            <w:r>
              <w:rPr>
                <w:spacing w:val="-10"/>
                <w:sz w:val="20"/>
              </w:rPr>
              <w:t> </w:t>
            </w:r>
            <w:r>
              <w:rPr>
                <w:sz w:val="20"/>
              </w:rPr>
              <w:t>R-</w:t>
            </w:r>
            <w:r>
              <w:rPr>
                <w:spacing w:val="-2"/>
                <w:sz w:val="20"/>
              </w:rPr>
              <w:t>squared</w:t>
            </w:r>
          </w:p>
        </w:tc>
        <w:tc>
          <w:tcPr>
            <w:tcW w:w="1377" w:type="dxa"/>
          </w:tcPr>
          <w:p>
            <w:pPr>
              <w:pStyle w:val="TableParagraph"/>
              <w:spacing w:line="210" w:lineRule="exact"/>
              <w:ind w:right="130"/>
              <w:jc w:val="right"/>
              <w:rPr>
                <w:sz w:val="20"/>
              </w:rPr>
            </w:pPr>
            <w:r>
              <w:rPr>
                <w:spacing w:val="-2"/>
                <w:sz w:val="20"/>
              </w:rPr>
              <w:t>0.475442</w:t>
            </w:r>
          </w:p>
        </w:tc>
        <w:tc>
          <w:tcPr>
            <w:tcW w:w="2369" w:type="dxa"/>
            <w:gridSpan w:val="2"/>
          </w:tcPr>
          <w:p>
            <w:pPr>
              <w:pStyle w:val="TableParagraph"/>
              <w:spacing w:line="210" w:lineRule="exact"/>
              <w:ind w:left="130"/>
              <w:rPr>
                <w:sz w:val="20"/>
              </w:rPr>
            </w:pPr>
            <w:r>
              <w:rPr>
                <w:sz w:val="20"/>
              </w:rPr>
              <w:t>S.D.</w:t>
            </w:r>
            <w:r>
              <w:rPr>
                <w:spacing w:val="-5"/>
                <w:sz w:val="20"/>
              </w:rPr>
              <w:t> </w:t>
            </w:r>
            <w:r>
              <w:rPr>
                <w:sz w:val="20"/>
              </w:rPr>
              <w:t>dependent</w:t>
            </w:r>
            <w:r>
              <w:rPr>
                <w:spacing w:val="-6"/>
                <w:sz w:val="20"/>
              </w:rPr>
              <w:t> </w:t>
            </w:r>
            <w:r>
              <w:rPr>
                <w:spacing w:val="-5"/>
                <w:sz w:val="20"/>
              </w:rPr>
              <w:t>var</w:t>
            </w:r>
          </w:p>
        </w:tc>
        <w:tc>
          <w:tcPr>
            <w:tcW w:w="896" w:type="dxa"/>
          </w:tcPr>
          <w:p>
            <w:pPr>
              <w:pStyle w:val="TableParagraph"/>
              <w:spacing w:line="210" w:lineRule="exact"/>
              <w:ind w:right="31"/>
              <w:jc w:val="right"/>
              <w:rPr>
                <w:sz w:val="20"/>
              </w:rPr>
            </w:pPr>
            <w:r>
              <w:rPr>
                <w:spacing w:val="-2"/>
                <w:sz w:val="20"/>
              </w:rPr>
              <w:t>0.960343</w:t>
            </w:r>
          </w:p>
        </w:tc>
      </w:tr>
      <w:tr>
        <w:trPr>
          <w:trHeight w:val="230" w:hRule="atLeast"/>
        </w:trPr>
        <w:tc>
          <w:tcPr>
            <w:tcW w:w="1849" w:type="dxa"/>
          </w:tcPr>
          <w:p>
            <w:pPr>
              <w:pStyle w:val="TableParagraph"/>
              <w:spacing w:line="210" w:lineRule="exact"/>
              <w:ind w:left="35"/>
              <w:rPr>
                <w:sz w:val="20"/>
              </w:rPr>
            </w:pPr>
            <w:r>
              <w:rPr>
                <w:sz w:val="20"/>
              </w:rPr>
              <w:t>S.E.</w:t>
            </w:r>
            <w:r>
              <w:rPr>
                <w:spacing w:val="-3"/>
                <w:sz w:val="20"/>
              </w:rPr>
              <w:t> </w:t>
            </w:r>
            <w:r>
              <w:rPr>
                <w:sz w:val="20"/>
              </w:rPr>
              <w:t>of</w:t>
            </w:r>
            <w:r>
              <w:rPr>
                <w:spacing w:val="-3"/>
                <w:sz w:val="20"/>
              </w:rPr>
              <w:t> </w:t>
            </w:r>
            <w:r>
              <w:rPr>
                <w:spacing w:val="-2"/>
                <w:sz w:val="20"/>
              </w:rPr>
              <w:t>regression</w:t>
            </w:r>
          </w:p>
        </w:tc>
        <w:tc>
          <w:tcPr>
            <w:tcW w:w="1377" w:type="dxa"/>
          </w:tcPr>
          <w:p>
            <w:pPr>
              <w:pStyle w:val="TableParagraph"/>
              <w:spacing w:line="210" w:lineRule="exact"/>
              <w:ind w:right="130"/>
              <w:jc w:val="right"/>
              <w:rPr>
                <w:sz w:val="20"/>
              </w:rPr>
            </w:pPr>
            <w:r>
              <w:rPr>
                <w:spacing w:val="-2"/>
                <w:sz w:val="20"/>
              </w:rPr>
              <w:t>0.695542</w:t>
            </w:r>
          </w:p>
        </w:tc>
        <w:tc>
          <w:tcPr>
            <w:tcW w:w="2369" w:type="dxa"/>
            <w:gridSpan w:val="2"/>
          </w:tcPr>
          <w:p>
            <w:pPr>
              <w:pStyle w:val="TableParagraph"/>
              <w:spacing w:line="210" w:lineRule="exact"/>
              <w:ind w:left="130"/>
              <w:rPr>
                <w:sz w:val="20"/>
              </w:rPr>
            </w:pPr>
            <w:r>
              <w:rPr>
                <w:sz w:val="20"/>
              </w:rPr>
              <w:t>Akaike</w:t>
            </w:r>
            <w:r>
              <w:rPr>
                <w:spacing w:val="-8"/>
                <w:sz w:val="20"/>
              </w:rPr>
              <w:t> </w:t>
            </w:r>
            <w:r>
              <w:rPr>
                <w:sz w:val="20"/>
              </w:rPr>
              <w:t>info</w:t>
            </w:r>
            <w:r>
              <w:rPr>
                <w:spacing w:val="-7"/>
                <w:sz w:val="20"/>
              </w:rPr>
              <w:t> </w:t>
            </w:r>
            <w:r>
              <w:rPr>
                <w:spacing w:val="-2"/>
                <w:sz w:val="20"/>
              </w:rPr>
              <w:t>criterion</w:t>
            </w:r>
          </w:p>
        </w:tc>
        <w:tc>
          <w:tcPr>
            <w:tcW w:w="896" w:type="dxa"/>
          </w:tcPr>
          <w:p>
            <w:pPr>
              <w:pStyle w:val="TableParagraph"/>
              <w:spacing w:line="210" w:lineRule="exact"/>
              <w:ind w:right="31"/>
              <w:jc w:val="right"/>
              <w:rPr>
                <w:sz w:val="20"/>
              </w:rPr>
            </w:pPr>
            <w:r>
              <w:rPr>
                <w:spacing w:val="-2"/>
                <w:sz w:val="20"/>
              </w:rPr>
              <w:t>2.237872</w:t>
            </w:r>
          </w:p>
        </w:tc>
      </w:tr>
      <w:tr>
        <w:trPr>
          <w:trHeight w:val="230" w:hRule="atLeast"/>
        </w:trPr>
        <w:tc>
          <w:tcPr>
            <w:tcW w:w="1849" w:type="dxa"/>
          </w:tcPr>
          <w:p>
            <w:pPr>
              <w:pStyle w:val="TableParagraph"/>
              <w:spacing w:line="210" w:lineRule="exact"/>
              <w:ind w:left="35"/>
              <w:rPr>
                <w:sz w:val="20"/>
              </w:rPr>
            </w:pPr>
            <w:r>
              <w:rPr>
                <w:sz w:val="20"/>
              </w:rPr>
              <w:t>Sum</w:t>
            </w:r>
            <w:r>
              <w:rPr>
                <w:spacing w:val="-8"/>
                <w:sz w:val="20"/>
              </w:rPr>
              <w:t> </w:t>
            </w:r>
            <w:r>
              <w:rPr>
                <w:sz w:val="20"/>
              </w:rPr>
              <w:t>squared</w:t>
            </w:r>
            <w:r>
              <w:rPr>
                <w:spacing w:val="-4"/>
                <w:sz w:val="20"/>
              </w:rPr>
              <w:t> </w:t>
            </w:r>
            <w:r>
              <w:rPr>
                <w:spacing w:val="-2"/>
                <w:sz w:val="20"/>
              </w:rPr>
              <w:t>resid</w:t>
            </w:r>
          </w:p>
        </w:tc>
        <w:tc>
          <w:tcPr>
            <w:tcW w:w="1377" w:type="dxa"/>
          </w:tcPr>
          <w:p>
            <w:pPr>
              <w:pStyle w:val="TableParagraph"/>
              <w:spacing w:line="210" w:lineRule="exact"/>
              <w:ind w:right="130"/>
              <w:jc w:val="right"/>
              <w:rPr>
                <w:sz w:val="20"/>
              </w:rPr>
            </w:pPr>
            <w:r>
              <w:rPr>
                <w:spacing w:val="-2"/>
                <w:sz w:val="20"/>
              </w:rPr>
              <w:t>9.191783</w:t>
            </w:r>
          </w:p>
        </w:tc>
        <w:tc>
          <w:tcPr>
            <w:tcW w:w="2369" w:type="dxa"/>
            <w:gridSpan w:val="2"/>
          </w:tcPr>
          <w:p>
            <w:pPr>
              <w:pStyle w:val="TableParagraph"/>
              <w:spacing w:line="210" w:lineRule="exact"/>
              <w:ind w:left="130"/>
              <w:rPr>
                <w:sz w:val="20"/>
              </w:rPr>
            </w:pPr>
            <w:r>
              <w:rPr>
                <w:sz w:val="20"/>
              </w:rPr>
              <w:t>Schwarz</w:t>
            </w:r>
            <w:r>
              <w:rPr>
                <w:spacing w:val="-8"/>
                <w:sz w:val="20"/>
              </w:rPr>
              <w:t> </w:t>
            </w:r>
            <w:r>
              <w:rPr>
                <w:spacing w:val="-2"/>
                <w:sz w:val="20"/>
              </w:rPr>
              <w:t>criterion</w:t>
            </w:r>
          </w:p>
        </w:tc>
        <w:tc>
          <w:tcPr>
            <w:tcW w:w="896" w:type="dxa"/>
          </w:tcPr>
          <w:p>
            <w:pPr>
              <w:pStyle w:val="TableParagraph"/>
              <w:spacing w:line="210" w:lineRule="exact"/>
              <w:ind w:right="31"/>
              <w:jc w:val="right"/>
              <w:rPr>
                <w:sz w:val="20"/>
              </w:rPr>
            </w:pPr>
            <w:r>
              <w:rPr>
                <w:spacing w:val="-2"/>
                <w:sz w:val="20"/>
              </w:rPr>
              <w:t>2.386650</w:t>
            </w:r>
          </w:p>
        </w:tc>
      </w:tr>
      <w:tr>
        <w:trPr>
          <w:trHeight w:val="230" w:hRule="atLeast"/>
        </w:trPr>
        <w:tc>
          <w:tcPr>
            <w:tcW w:w="1849" w:type="dxa"/>
          </w:tcPr>
          <w:p>
            <w:pPr>
              <w:pStyle w:val="TableParagraph"/>
              <w:spacing w:line="210" w:lineRule="exact"/>
              <w:ind w:left="35"/>
              <w:rPr>
                <w:sz w:val="20"/>
              </w:rPr>
            </w:pPr>
            <w:r>
              <w:rPr>
                <w:sz w:val="20"/>
              </w:rPr>
              <w:t>Log</w:t>
            </w:r>
            <w:r>
              <w:rPr>
                <w:spacing w:val="-6"/>
                <w:sz w:val="20"/>
              </w:rPr>
              <w:t> </w:t>
            </w:r>
            <w:r>
              <w:rPr>
                <w:spacing w:val="-2"/>
                <w:sz w:val="20"/>
              </w:rPr>
              <w:t>likelihood</w:t>
            </w:r>
          </w:p>
        </w:tc>
        <w:tc>
          <w:tcPr>
            <w:tcW w:w="1377" w:type="dxa"/>
          </w:tcPr>
          <w:p>
            <w:pPr>
              <w:pStyle w:val="TableParagraph"/>
              <w:spacing w:line="210" w:lineRule="exact"/>
              <w:ind w:right="130"/>
              <w:jc w:val="right"/>
              <w:rPr>
                <w:sz w:val="20"/>
              </w:rPr>
            </w:pPr>
            <w:r>
              <w:rPr>
                <w:spacing w:val="-4"/>
                <w:sz w:val="20"/>
              </w:rPr>
              <w:t>-</w:t>
            </w:r>
            <w:r>
              <w:rPr>
                <w:spacing w:val="-2"/>
                <w:sz w:val="20"/>
              </w:rPr>
              <w:t>21.61659</w:t>
            </w:r>
          </w:p>
        </w:tc>
        <w:tc>
          <w:tcPr>
            <w:tcW w:w="1433" w:type="dxa"/>
          </w:tcPr>
          <w:p>
            <w:pPr>
              <w:pStyle w:val="TableParagraph"/>
              <w:spacing w:line="210" w:lineRule="exact"/>
              <w:ind w:left="130"/>
              <w:rPr>
                <w:sz w:val="20"/>
              </w:rPr>
            </w:pPr>
            <w:r>
              <w:rPr>
                <w:spacing w:val="-4"/>
                <w:sz w:val="20"/>
              </w:rPr>
              <w:t>F-</w:t>
            </w:r>
            <w:r>
              <w:rPr>
                <w:spacing w:val="-2"/>
                <w:sz w:val="20"/>
              </w:rPr>
              <w:t>statistic</w:t>
            </w:r>
          </w:p>
        </w:tc>
        <w:tc>
          <w:tcPr>
            <w:tcW w:w="936" w:type="dxa"/>
          </w:tcPr>
          <w:p>
            <w:pPr>
              <w:pStyle w:val="TableParagraph"/>
              <w:rPr>
                <w:sz w:val="16"/>
              </w:rPr>
            </w:pPr>
          </w:p>
        </w:tc>
        <w:tc>
          <w:tcPr>
            <w:tcW w:w="896" w:type="dxa"/>
          </w:tcPr>
          <w:p>
            <w:pPr>
              <w:pStyle w:val="TableParagraph"/>
              <w:spacing w:line="210" w:lineRule="exact"/>
              <w:ind w:right="31"/>
              <w:jc w:val="right"/>
              <w:rPr>
                <w:sz w:val="20"/>
              </w:rPr>
            </w:pPr>
            <w:r>
              <w:rPr>
                <w:spacing w:val="-2"/>
                <w:sz w:val="20"/>
              </w:rPr>
              <w:t>10.51686</w:t>
            </w:r>
          </w:p>
        </w:tc>
      </w:tr>
      <w:tr>
        <w:trPr>
          <w:trHeight w:val="265" w:hRule="atLeast"/>
        </w:trPr>
        <w:tc>
          <w:tcPr>
            <w:tcW w:w="1849" w:type="dxa"/>
            <w:tcBorders>
              <w:bottom w:val="double" w:sz="6" w:space="0" w:color="000000"/>
            </w:tcBorders>
          </w:tcPr>
          <w:p>
            <w:pPr>
              <w:pStyle w:val="TableParagraph"/>
              <w:spacing w:line="226" w:lineRule="exact"/>
              <w:ind w:left="35"/>
              <w:rPr>
                <w:sz w:val="20"/>
              </w:rPr>
            </w:pPr>
            <w:r>
              <w:rPr>
                <w:sz w:val="20"/>
              </w:rPr>
              <w:t>Durbin-Watson</w:t>
            </w:r>
            <w:r>
              <w:rPr>
                <w:spacing w:val="-12"/>
                <w:sz w:val="20"/>
              </w:rPr>
              <w:t> </w:t>
            </w:r>
            <w:r>
              <w:rPr>
                <w:spacing w:val="-4"/>
                <w:sz w:val="20"/>
              </w:rPr>
              <w:t>stat</w:t>
            </w:r>
          </w:p>
        </w:tc>
        <w:tc>
          <w:tcPr>
            <w:tcW w:w="1377" w:type="dxa"/>
          </w:tcPr>
          <w:p>
            <w:pPr>
              <w:pStyle w:val="TableParagraph"/>
              <w:spacing w:line="226" w:lineRule="exact"/>
              <w:ind w:right="130"/>
              <w:jc w:val="right"/>
              <w:rPr>
                <w:sz w:val="20"/>
              </w:rPr>
            </w:pPr>
            <w:r>
              <w:rPr>
                <w:spacing w:val="-2"/>
                <w:sz w:val="20"/>
              </w:rPr>
              <w:t>2.012523</w:t>
            </w:r>
          </w:p>
        </w:tc>
        <w:tc>
          <w:tcPr>
            <w:tcW w:w="1433" w:type="dxa"/>
            <w:tcBorders>
              <w:bottom w:val="double" w:sz="6" w:space="0" w:color="000000"/>
            </w:tcBorders>
          </w:tcPr>
          <w:p>
            <w:pPr>
              <w:pStyle w:val="TableParagraph"/>
              <w:spacing w:line="226" w:lineRule="exact"/>
              <w:ind w:left="130"/>
              <w:rPr>
                <w:sz w:val="20"/>
              </w:rPr>
            </w:pPr>
            <w:r>
              <w:rPr>
                <w:spacing w:val="-2"/>
                <w:sz w:val="20"/>
              </w:rPr>
              <w:t>Prob(F-statistic)</w:t>
            </w:r>
          </w:p>
        </w:tc>
        <w:tc>
          <w:tcPr>
            <w:tcW w:w="936" w:type="dxa"/>
            <w:tcBorders>
              <w:bottom w:val="single" w:sz="6" w:space="0" w:color="000000"/>
            </w:tcBorders>
          </w:tcPr>
          <w:p>
            <w:pPr>
              <w:pStyle w:val="TableParagraph"/>
              <w:rPr>
                <w:sz w:val="18"/>
              </w:rPr>
            </w:pPr>
          </w:p>
        </w:tc>
        <w:tc>
          <w:tcPr>
            <w:tcW w:w="896" w:type="dxa"/>
            <w:tcBorders>
              <w:bottom w:val="double" w:sz="6" w:space="0" w:color="000000"/>
            </w:tcBorders>
          </w:tcPr>
          <w:p>
            <w:pPr>
              <w:pStyle w:val="TableParagraph"/>
              <w:spacing w:line="226" w:lineRule="exact"/>
              <w:ind w:right="31"/>
              <w:jc w:val="right"/>
              <w:rPr>
                <w:sz w:val="20"/>
              </w:rPr>
            </w:pPr>
            <w:r>
              <w:rPr>
                <w:spacing w:val="-2"/>
                <w:sz w:val="20"/>
              </w:rPr>
              <w:t>0.000842</w:t>
            </w:r>
          </w:p>
        </w:tc>
      </w:tr>
    </w:tbl>
    <w:p>
      <w:pPr>
        <w:pStyle w:val="BodyText"/>
        <w:spacing w:before="15"/>
        <w:rPr>
          <w:sz w:val="20"/>
        </w:rPr>
      </w:pPr>
    </w:p>
    <w:p>
      <w:pPr>
        <w:spacing w:before="1" w:after="7"/>
        <w:ind w:left="771" w:right="0" w:firstLine="0"/>
        <w:jc w:val="left"/>
        <w:rPr>
          <w:sz w:val="20"/>
        </w:rPr>
      </w:pPr>
      <w:r>
        <w:rPr>
          <w:sz w:val="20"/>
        </w:rPr>
        <w:t>DFI</w:t>
      </w:r>
      <w:r>
        <w:rPr>
          <w:spacing w:val="-2"/>
          <w:sz w:val="20"/>
        </w:rPr>
        <w:t> </w:t>
      </w:r>
      <w:r>
        <w:rPr>
          <w:sz w:val="20"/>
        </w:rPr>
        <w:t>@</w:t>
      </w:r>
      <w:r>
        <w:rPr>
          <w:spacing w:val="-3"/>
          <w:sz w:val="20"/>
        </w:rPr>
        <w:t> </w:t>
      </w:r>
      <w:r>
        <w:rPr>
          <w:sz w:val="20"/>
        </w:rPr>
        <w:t>2</w:t>
      </w:r>
      <w:r>
        <w:rPr>
          <w:sz w:val="20"/>
          <w:vertAlign w:val="superscript"/>
        </w:rPr>
        <w:t>ND</w:t>
      </w:r>
      <w:r>
        <w:rPr>
          <w:spacing w:val="-2"/>
          <w:sz w:val="20"/>
          <w:vertAlign w:val="baseline"/>
        </w:rPr>
        <w:t> </w:t>
      </w:r>
      <w:r>
        <w:rPr>
          <w:spacing w:val="-4"/>
          <w:sz w:val="20"/>
          <w:vertAlign w:val="baseline"/>
        </w:rPr>
        <w:t>DIFF</w:t>
      </w:r>
    </w:p>
    <w:tbl>
      <w:tblPr>
        <w:tblW w:w="0" w:type="auto"/>
        <w:jc w:val="left"/>
        <w:tblInd w:w="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01"/>
        <w:gridCol w:w="1417"/>
        <w:gridCol w:w="1251"/>
        <w:gridCol w:w="1185"/>
        <w:gridCol w:w="829"/>
      </w:tblGrid>
      <w:tr>
        <w:trPr>
          <w:trHeight w:val="225" w:hRule="atLeast"/>
        </w:trPr>
        <w:tc>
          <w:tcPr>
            <w:tcW w:w="1801" w:type="dxa"/>
          </w:tcPr>
          <w:p>
            <w:pPr>
              <w:pStyle w:val="TableParagraph"/>
              <w:spacing w:line="205" w:lineRule="exact"/>
              <w:ind w:right="285"/>
              <w:jc w:val="right"/>
              <w:rPr>
                <w:sz w:val="20"/>
              </w:rPr>
            </w:pPr>
            <w:r>
              <w:rPr>
                <w:sz w:val="20"/>
              </w:rPr>
              <w:t>ADF</w:t>
            </w:r>
            <w:r>
              <w:rPr>
                <w:spacing w:val="-4"/>
                <w:sz w:val="20"/>
              </w:rPr>
              <w:t> </w:t>
            </w:r>
            <w:r>
              <w:rPr>
                <w:sz w:val="20"/>
              </w:rPr>
              <w:t>Test</w:t>
            </w:r>
            <w:r>
              <w:rPr>
                <w:spacing w:val="-4"/>
                <w:sz w:val="20"/>
              </w:rPr>
              <w:t> </w:t>
            </w:r>
            <w:r>
              <w:rPr>
                <w:spacing w:val="-2"/>
                <w:sz w:val="20"/>
              </w:rPr>
              <w:t>Statistic</w:t>
            </w:r>
          </w:p>
        </w:tc>
        <w:tc>
          <w:tcPr>
            <w:tcW w:w="1417" w:type="dxa"/>
          </w:tcPr>
          <w:p>
            <w:pPr>
              <w:pStyle w:val="TableParagraph"/>
              <w:spacing w:line="205" w:lineRule="exact"/>
              <w:ind w:left="260"/>
              <w:rPr>
                <w:sz w:val="20"/>
              </w:rPr>
            </w:pPr>
            <w:r>
              <w:rPr>
                <w:spacing w:val="-4"/>
                <w:sz w:val="20"/>
              </w:rPr>
              <w:t>-</w:t>
            </w:r>
            <w:r>
              <w:rPr>
                <w:spacing w:val="-2"/>
                <w:sz w:val="20"/>
              </w:rPr>
              <w:t>4.009544</w:t>
            </w:r>
          </w:p>
        </w:tc>
        <w:tc>
          <w:tcPr>
            <w:tcW w:w="2436" w:type="dxa"/>
            <w:gridSpan w:val="2"/>
          </w:tcPr>
          <w:p>
            <w:pPr>
              <w:pStyle w:val="TableParagraph"/>
              <w:spacing w:line="205" w:lineRule="exact"/>
              <w:ind w:left="130"/>
              <w:rPr>
                <w:sz w:val="20"/>
              </w:rPr>
            </w:pPr>
            <w:r>
              <w:rPr>
                <w:sz w:val="20"/>
              </w:rPr>
              <w:t>1%</w:t>
            </w:r>
            <w:r>
              <w:rPr>
                <w:spacing w:val="68"/>
                <w:w w:val="150"/>
                <w:sz w:val="20"/>
              </w:rPr>
              <w:t> </w:t>
            </w:r>
            <w:r>
              <w:rPr>
                <w:sz w:val="20"/>
              </w:rPr>
              <w:t>Critical</w:t>
            </w:r>
            <w:r>
              <w:rPr>
                <w:spacing w:val="-2"/>
                <w:sz w:val="20"/>
              </w:rPr>
              <w:t> Value*</w:t>
            </w:r>
          </w:p>
        </w:tc>
        <w:tc>
          <w:tcPr>
            <w:tcW w:w="829" w:type="dxa"/>
          </w:tcPr>
          <w:p>
            <w:pPr>
              <w:pStyle w:val="TableParagraph"/>
              <w:spacing w:line="205" w:lineRule="exact"/>
              <w:ind w:right="30"/>
              <w:jc w:val="right"/>
              <w:rPr>
                <w:sz w:val="20"/>
              </w:rPr>
            </w:pPr>
            <w:r>
              <w:rPr>
                <w:spacing w:val="-4"/>
                <w:sz w:val="20"/>
              </w:rPr>
              <w:t>-</w:t>
            </w:r>
            <w:r>
              <w:rPr>
                <w:spacing w:val="-2"/>
                <w:sz w:val="20"/>
              </w:rPr>
              <w:t>3.7856</w:t>
            </w:r>
          </w:p>
        </w:tc>
      </w:tr>
      <w:tr>
        <w:trPr>
          <w:trHeight w:val="230" w:hRule="atLeast"/>
        </w:trPr>
        <w:tc>
          <w:tcPr>
            <w:tcW w:w="1801" w:type="dxa"/>
          </w:tcPr>
          <w:p>
            <w:pPr>
              <w:pStyle w:val="TableParagraph"/>
              <w:rPr>
                <w:sz w:val="16"/>
              </w:rPr>
            </w:pPr>
          </w:p>
        </w:tc>
        <w:tc>
          <w:tcPr>
            <w:tcW w:w="1417" w:type="dxa"/>
          </w:tcPr>
          <w:p>
            <w:pPr>
              <w:pStyle w:val="TableParagraph"/>
              <w:rPr>
                <w:sz w:val="16"/>
              </w:rPr>
            </w:pPr>
          </w:p>
        </w:tc>
        <w:tc>
          <w:tcPr>
            <w:tcW w:w="2436" w:type="dxa"/>
            <w:gridSpan w:val="2"/>
          </w:tcPr>
          <w:p>
            <w:pPr>
              <w:pStyle w:val="TableParagraph"/>
              <w:spacing w:line="210" w:lineRule="exact"/>
              <w:ind w:left="130"/>
              <w:rPr>
                <w:sz w:val="20"/>
              </w:rPr>
            </w:pPr>
            <w:r>
              <w:rPr>
                <w:sz w:val="20"/>
              </w:rPr>
              <w:t>5%</w:t>
            </w:r>
            <w:r>
              <w:rPr>
                <w:spacing w:val="68"/>
                <w:w w:val="150"/>
                <w:sz w:val="20"/>
              </w:rPr>
              <w:t> </w:t>
            </w:r>
            <w:r>
              <w:rPr>
                <w:sz w:val="20"/>
              </w:rPr>
              <w:t>Critical</w:t>
            </w:r>
            <w:r>
              <w:rPr>
                <w:spacing w:val="-2"/>
                <w:sz w:val="20"/>
              </w:rPr>
              <w:t> </w:t>
            </w:r>
            <w:r>
              <w:rPr>
                <w:spacing w:val="-4"/>
                <w:sz w:val="20"/>
              </w:rPr>
              <w:t>Value</w:t>
            </w:r>
          </w:p>
        </w:tc>
        <w:tc>
          <w:tcPr>
            <w:tcW w:w="829" w:type="dxa"/>
          </w:tcPr>
          <w:p>
            <w:pPr>
              <w:pStyle w:val="TableParagraph"/>
              <w:spacing w:line="210" w:lineRule="exact"/>
              <w:ind w:right="30"/>
              <w:jc w:val="right"/>
              <w:rPr>
                <w:sz w:val="20"/>
              </w:rPr>
            </w:pPr>
            <w:r>
              <w:rPr>
                <w:spacing w:val="-4"/>
                <w:sz w:val="20"/>
              </w:rPr>
              <w:t>-</w:t>
            </w:r>
            <w:r>
              <w:rPr>
                <w:spacing w:val="-2"/>
                <w:sz w:val="20"/>
              </w:rPr>
              <w:t>3.0114</w:t>
            </w:r>
          </w:p>
        </w:tc>
      </w:tr>
      <w:tr>
        <w:trPr>
          <w:trHeight w:val="225" w:hRule="atLeast"/>
        </w:trPr>
        <w:tc>
          <w:tcPr>
            <w:tcW w:w="1801" w:type="dxa"/>
            <w:tcBorders>
              <w:bottom w:val="double" w:sz="6" w:space="0" w:color="000000"/>
            </w:tcBorders>
          </w:tcPr>
          <w:p>
            <w:pPr>
              <w:pStyle w:val="TableParagraph"/>
              <w:rPr>
                <w:sz w:val="16"/>
              </w:rPr>
            </w:pPr>
          </w:p>
        </w:tc>
        <w:tc>
          <w:tcPr>
            <w:tcW w:w="1417" w:type="dxa"/>
            <w:tcBorders>
              <w:bottom w:val="double" w:sz="6" w:space="0" w:color="000000"/>
            </w:tcBorders>
          </w:tcPr>
          <w:p>
            <w:pPr>
              <w:pStyle w:val="TableParagraph"/>
              <w:rPr>
                <w:sz w:val="16"/>
              </w:rPr>
            </w:pPr>
          </w:p>
        </w:tc>
        <w:tc>
          <w:tcPr>
            <w:tcW w:w="2436" w:type="dxa"/>
            <w:gridSpan w:val="2"/>
            <w:tcBorders>
              <w:bottom w:val="double" w:sz="6" w:space="0" w:color="000000"/>
            </w:tcBorders>
          </w:tcPr>
          <w:p>
            <w:pPr>
              <w:pStyle w:val="TableParagraph"/>
              <w:spacing w:line="205" w:lineRule="exact"/>
              <w:ind w:left="130"/>
              <w:rPr>
                <w:sz w:val="20"/>
              </w:rPr>
            </w:pPr>
            <w:r>
              <w:rPr>
                <w:sz w:val="20"/>
              </w:rPr>
              <w:t>10%</w:t>
            </w:r>
            <w:r>
              <w:rPr>
                <w:spacing w:val="-6"/>
                <w:sz w:val="20"/>
              </w:rPr>
              <w:t> </w:t>
            </w:r>
            <w:r>
              <w:rPr>
                <w:sz w:val="20"/>
              </w:rPr>
              <w:t>Critical</w:t>
            </w:r>
            <w:r>
              <w:rPr>
                <w:spacing w:val="-4"/>
                <w:sz w:val="20"/>
              </w:rPr>
              <w:t> </w:t>
            </w:r>
            <w:r>
              <w:rPr>
                <w:spacing w:val="-2"/>
                <w:sz w:val="20"/>
              </w:rPr>
              <w:t>Value</w:t>
            </w:r>
          </w:p>
        </w:tc>
        <w:tc>
          <w:tcPr>
            <w:tcW w:w="829" w:type="dxa"/>
            <w:tcBorders>
              <w:bottom w:val="double" w:sz="6" w:space="0" w:color="000000"/>
            </w:tcBorders>
          </w:tcPr>
          <w:p>
            <w:pPr>
              <w:pStyle w:val="TableParagraph"/>
              <w:spacing w:line="205" w:lineRule="exact"/>
              <w:ind w:right="30"/>
              <w:jc w:val="right"/>
              <w:rPr>
                <w:sz w:val="20"/>
              </w:rPr>
            </w:pPr>
            <w:r>
              <w:rPr>
                <w:spacing w:val="-4"/>
                <w:sz w:val="20"/>
              </w:rPr>
              <w:t>-</w:t>
            </w:r>
            <w:r>
              <w:rPr>
                <w:spacing w:val="-2"/>
                <w:sz w:val="20"/>
              </w:rPr>
              <w:t>2.6457</w:t>
            </w:r>
          </w:p>
        </w:tc>
      </w:tr>
      <w:tr>
        <w:trPr>
          <w:trHeight w:val="505" w:hRule="atLeast"/>
        </w:trPr>
        <w:tc>
          <w:tcPr>
            <w:tcW w:w="6483" w:type="dxa"/>
            <w:gridSpan w:val="5"/>
            <w:tcBorders>
              <w:top w:val="double" w:sz="6" w:space="0" w:color="000000"/>
            </w:tcBorders>
          </w:tcPr>
          <w:p>
            <w:pPr>
              <w:pStyle w:val="TableParagraph"/>
              <w:spacing w:before="40"/>
              <w:ind w:left="28"/>
              <w:rPr>
                <w:sz w:val="20"/>
              </w:rPr>
            </w:pPr>
            <w:r>
              <w:rPr>
                <w:sz w:val="20"/>
              </w:rPr>
              <w:t>*MacKinnon</w:t>
            </w:r>
            <w:r>
              <w:rPr>
                <w:spacing w:val="-6"/>
                <w:sz w:val="20"/>
              </w:rPr>
              <w:t> </w:t>
            </w:r>
            <w:r>
              <w:rPr>
                <w:sz w:val="20"/>
              </w:rPr>
              <w:t>critical</w:t>
            </w:r>
            <w:r>
              <w:rPr>
                <w:spacing w:val="-4"/>
                <w:sz w:val="20"/>
              </w:rPr>
              <w:t> </w:t>
            </w:r>
            <w:r>
              <w:rPr>
                <w:sz w:val="20"/>
              </w:rPr>
              <w:t>values</w:t>
            </w:r>
            <w:r>
              <w:rPr>
                <w:spacing w:val="-6"/>
                <w:sz w:val="20"/>
              </w:rPr>
              <w:t> </w:t>
            </w:r>
            <w:r>
              <w:rPr>
                <w:sz w:val="20"/>
              </w:rPr>
              <w:t>for</w:t>
            </w:r>
            <w:r>
              <w:rPr>
                <w:spacing w:val="-4"/>
                <w:sz w:val="20"/>
              </w:rPr>
              <w:t> </w:t>
            </w:r>
            <w:r>
              <w:rPr>
                <w:sz w:val="20"/>
              </w:rPr>
              <w:t>rejection</w:t>
            </w:r>
            <w:r>
              <w:rPr>
                <w:spacing w:val="-6"/>
                <w:sz w:val="20"/>
              </w:rPr>
              <w:t> </w:t>
            </w:r>
            <w:r>
              <w:rPr>
                <w:sz w:val="20"/>
              </w:rPr>
              <w:t>of</w:t>
            </w:r>
            <w:r>
              <w:rPr>
                <w:spacing w:val="-6"/>
                <w:sz w:val="20"/>
              </w:rPr>
              <w:t> </w:t>
            </w:r>
            <w:r>
              <w:rPr>
                <w:sz w:val="20"/>
              </w:rPr>
              <w:t>hypothesis</w:t>
            </w:r>
            <w:r>
              <w:rPr>
                <w:spacing w:val="-6"/>
                <w:sz w:val="20"/>
              </w:rPr>
              <w:t> </w:t>
            </w:r>
            <w:r>
              <w:rPr>
                <w:sz w:val="20"/>
              </w:rPr>
              <w:t>of</w:t>
            </w:r>
            <w:r>
              <w:rPr>
                <w:spacing w:val="-6"/>
                <w:sz w:val="20"/>
              </w:rPr>
              <w:t> </w:t>
            </w:r>
            <w:r>
              <w:rPr>
                <w:sz w:val="20"/>
              </w:rPr>
              <w:t>a</w:t>
            </w:r>
            <w:r>
              <w:rPr>
                <w:spacing w:val="-4"/>
                <w:sz w:val="20"/>
              </w:rPr>
              <w:t> </w:t>
            </w:r>
            <w:r>
              <w:rPr>
                <w:sz w:val="20"/>
              </w:rPr>
              <w:t>unit</w:t>
            </w:r>
            <w:r>
              <w:rPr>
                <w:spacing w:val="-6"/>
                <w:sz w:val="20"/>
              </w:rPr>
              <w:t> </w:t>
            </w:r>
            <w:r>
              <w:rPr>
                <w:spacing w:val="-2"/>
                <w:sz w:val="20"/>
              </w:rPr>
              <w:t>root.</w:t>
            </w:r>
          </w:p>
        </w:tc>
      </w:tr>
      <w:tr>
        <w:trPr>
          <w:trHeight w:val="460" w:hRule="atLeast"/>
        </w:trPr>
        <w:tc>
          <w:tcPr>
            <w:tcW w:w="6483" w:type="dxa"/>
            <w:gridSpan w:val="5"/>
          </w:tcPr>
          <w:p>
            <w:pPr>
              <w:pStyle w:val="TableParagraph"/>
              <w:spacing w:line="215" w:lineRule="exact" w:before="226"/>
              <w:ind w:left="28"/>
              <w:rPr>
                <w:sz w:val="20"/>
              </w:rPr>
            </w:pPr>
            <w:r>
              <w:rPr>
                <w:sz w:val="20"/>
              </w:rPr>
              <w:t>Augmented</w:t>
            </w:r>
            <w:r>
              <w:rPr>
                <w:spacing w:val="-8"/>
                <w:sz w:val="20"/>
              </w:rPr>
              <w:t> </w:t>
            </w:r>
            <w:r>
              <w:rPr>
                <w:sz w:val="20"/>
              </w:rPr>
              <w:t>Dickey-Fuller</w:t>
            </w:r>
            <w:r>
              <w:rPr>
                <w:spacing w:val="-8"/>
                <w:sz w:val="20"/>
              </w:rPr>
              <w:t> </w:t>
            </w:r>
            <w:r>
              <w:rPr>
                <w:sz w:val="20"/>
              </w:rPr>
              <w:t>Test</w:t>
            </w:r>
            <w:r>
              <w:rPr>
                <w:spacing w:val="-9"/>
                <w:sz w:val="20"/>
              </w:rPr>
              <w:t> </w:t>
            </w:r>
            <w:r>
              <w:rPr>
                <w:spacing w:val="-2"/>
                <w:sz w:val="20"/>
              </w:rPr>
              <w:t>Equation</w:t>
            </w:r>
          </w:p>
        </w:tc>
      </w:tr>
      <w:tr>
        <w:trPr>
          <w:trHeight w:val="229" w:hRule="atLeast"/>
        </w:trPr>
        <w:tc>
          <w:tcPr>
            <w:tcW w:w="6483" w:type="dxa"/>
            <w:gridSpan w:val="5"/>
          </w:tcPr>
          <w:p>
            <w:pPr>
              <w:pStyle w:val="TableParagraph"/>
              <w:spacing w:line="209" w:lineRule="exact"/>
              <w:ind w:left="28"/>
              <w:rPr>
                <w:sz w:val="20"/>
              </w:rPr>
            </w:pPr>
            <w:r>
              <w:rPr>
                <w:sz w:val="20"/>
              </w:rPr>
              <w:t>Dependent</w:t>
            </w:r>
            <w:r>
              <w:rPr>
                <w:spacing w:val="-8"/>
                <w:sz w:val="20"/>
              </w:rPr>
              <w:t> </w:t>
            </w:r>
            <w:r>
              <w:rPr>
                <w:sz w:val="20"/>
              </w:rPr>
              <w:t>Variable:</w:t>
            </w:r>
            <w:r>
              <w:rPr>
                <w:spacing w:val="-7"/>
                <w:sz w:val="20"/>
              </w:rPr>
              <w:t> </w:t>
            </w:r>
            <w:r>
              <w:rPr>
                <w:spacing w:val="-2"/>
                <w:sz w:val="20"/>
              </w:rPr>
              <w:t>D(DFI,3)</w:t>
            </w:r>
          </w:p>
        </w:tc>
      </w:tr>
      <w:tr>
        <w:trPr>
          <w:trHeight w:val="229" w:hRule="atLeast"/>
        </w:trPr>
        <w:tc>
          <w:tcPr>
            <w:tcW w:w="6483" w:type="dxa"/>
            <w:gridSpan w:val="5"/>
          </w:tcPr>
          <w:p>
            <w:pPr>
              <w:pStyle w:val="TableParagraph"/>
              <w:spacing w:line="209" w:lineRule="exact"/>
              <w:ind w:left="28"/>
              <w:rPr>
                <w:sz w:val="20"/>
              </w:rPr>
            </w:pPr>
            <w:r>
              <w:rPr>
                <w:sz w:val="20"/>
              </w:rPr>
              <w:t>Method:</w:t>
            </w:r>
            <w:r>
              <w:rPr>
                <w:spacing w:val="-8"/>
                <w:sz w:val="20"/>
              </w:rPr>
              <w:t> </w:t>
            </w:r>
            <w:r>
              <w:rPr>
                <w:sz w:val="20"/>
              </w:rPr>
              <w:t>Least</w:t>
            </w:r>
            <w:r>
              <w:rPr>
                <w:spacing w:val="-7"/>
                <w:sz w:val="20"/>
              </w:rPr>
              <w:t> </w:t>
            </w:r>
            <w:r>
              <w:rPr>
                <w:spacing w:val="-2"/>
                <w:sz w:val="20"/>
              </w:rPr>
              <w:t>Squares</w:t>
            </w:r>
          </w:p>
        </w:tc>
      </w:tr>
      <w:tr>
        <w:trPr>
          <w:trHeight w:val="230" w:hRule="atLeast"/>
        </w:trPr>
        <w:tc>
          <w:tcPr>
            <w:tcW w:w="6483" w:type="dxa"/>
            <w:gridSpan w:val="5"/>
          </w:tcPr>
          <w:p>
            <w:pPr>
              <w:pStyle w:val="TableParagraph"/>
              <w:spacing w:line="210" w:lineRule="exact"/>
              <w:ind w:left="28"/>
              <w:rPr>
                <w:sz w:val="20"/>
              </w:rPr>
            </w:pPr>
            <w:r>
              <w:rPr>
                <w:sz w:val="20"/>
              </w:rPr>
              <w:t>Date:</w:t>
            </w:r>
            <w:r>
              <w:rPr>
                <w:spacing w:val="-5"/>
                <w:sz w:val="20"/>
              </w:rPr>
              <w:t> </w:t>
            </w:r>
            <w:r>
              <w:rPr>
                <w:sz w:val="20"/>
              </w:rPr>
              <w:t>02/17/14</w:t>
            </w:r>
            <w:r>
              <w:rPr>
                <w:spacing w:val="63"/>
                <w:w w:val="150"/>
                <w:sz w:val="20"/>
              </w:rPr>
              <w:t> </w:t>
            </w:r>
            <w:r>
              <w:rPr>
                <w:sz w:val="20"/>
              </w:rPr>
              <w:t>Time:</w:t>
            </w:r>
            <w:r>
              <w:rPr>
                <w:spacing w:val="-3"/>
                <w:sz w:val="20"/>
              </w:rPr>
              <w:t> </w:t>
            </w:r>
            <w:r>
              <w:rPr>
                <w:spacing w:val="-2"/>
                <w:sz w:val="20"/>
              </w:rPr>
              <w:t>18:11</w:t>
            </w:r>
          </w:p>
        </w:tc>
      </w:tr>
      <w:tr>
        <w:trPr>
          <w:trHeight w:val="230" w:hRule="atLeast"/>
        </w:trPr>
        <w:tc>
          <w:tcPr>
            <w:tcW w:w="6483" w:type="dxa"/>
            <w:gridSpan w:val="5"/>
          </w:tcPr>
          <w:p>
            <w:pPr>
              <w:pStyle w:val="TableParagraph"/>
              <w:spacing w:line="210" w:lineRule="exact"/>
              <w:ind w:left="28"/>
              <w:rPr>
                <w:sz w:val="20"/>
              </w:rPr>
            </w:pPr>
            <w:r>
              <w:rPr>
                <w:sz w:val="20"/>
              </w:rPr>
              <w:t>Sample(adjusted):</w:t>
            </w:r>
            <w:r>
              <w:rPr>
                <w:spacing w:val="-9"/>
                <w:sz w:val="20"/>
              </w:rPr>
              <w:t> </w:t>
            </w:r>
            <w:r>
              <w:rPr>
                <w:sz w:val="20"/>
              </w:rPr>
              <w:t>1991</w:t>
            </w:r>
            <w:r>
              <w:rPr>
                <w:spacing w:val="-9"/>
                <w:sz w:val="20"/>
              </w:rPr>
              <w:t> </w:t>
            </w:r>
            <w:r>
              <w:rPr>
                <w:spacing w:val="-4"/>
                <w:sz w:val="20"/>
              </w:rPr>
              <w:t>2011</w:t>
            </w:r>
          </w:p>
        </w:tc>
      </w:tr>
      <w:tr>
        <w:trPr>
          <w:trHeight w:val="224" w:hRule="atLeast"/>
        </w:trPr>
        <w:tc>
          <w:tcPr>
            <w:tcW w:w="6483" w:type="dxa"/>
            <w:gridSpan w:val="5"/>
            <w:tcBorders>
              <w:bottom w:val="double" w:sz="6" w:space="0" w:color="000000"/>
            </w:tcBorders>
          </w:tcPr>
          <w:p>
            <w:pPr>
              <w:pStyle w:val="TableParagraph"/>
              <w:spacing w:line="205" w:lineRule="exact"/>
              <w:ind w:left="28"/>
              <w:rPr>
                <w:sz w:val="20"/>
              </w:rPr>
            </w:pPr>
            <w:r>
              <w:rPr>
                <w:sz w:val="20"/>
              </w:rPr>
              <w:t>Included</w:t>
            </w:r>
            <w:r>
              <w:rPr>
                <w:spacing w:val="-6"/>
                <w:sz w:val="20"/>
              </w:rPr>
              <w:t> </w:t>
            </w:r>
            <w:r>
              <w:rPr>
                <w:sz w:val="20"/>
              </w:rPr>
              <w:t>observations:</w:t>
            </w:r>
            <w:r>
              <w:rPr>
                <w:spacing w:val="-8"/>
                <w:sz w:val="20"/>
              </w:rPr>
              <w:t> </w:t>
            </w:r>
            <w:r>
              <w:rPr>
                <w:sz w:val="20"/>
              </w:rPr>
              <w:t>21</w:t>
            </w:r>
            <w:r>
              <w:rPr>
                <w:spacing w:val="-5"/>
                <w:sz w:val="20"/>
              </w:rPr>
              <w:t> </w:t>
            </w:r>
            <w:r>
              <w:rPr>
                <w:sz w:val="20"/>
              </w:rPr>
              <w:t>after</w:t>
            </w:r>
            <w:r>
              <w:rPr>
                <w:spacing w:val="-7"/>
                <w:sz w:val="20"/>
              </w:rPr>
              <w:t> </w:t>
            </w:r>
            <w:r>
              <w:rPr>
                <w:sz w:val="20"/>
              </w:rPr>
              <w:t>adjusting</w:t>
            </w:r>
            <w:r>
              <w:rPr>
                <w:spacing w:val="-7"/>
                <w:sz w:val="20"/>
              </w:rPr>
              <w:t> </w:t>
            </w:r>
            <w:r>
              <w:rPr>
                <w:spacing w:val="-2"/>
                <w:sz w:val="20"/>
              </w:rPr>
              <w:t>endpoints</w:t>
            </w:r>
          </w:p>
        </w:tc>
      </w:tr>
      <w:tr>
        <w:trPr>
          <w:trHeight w:val="269" w:hRule="atLeast"/>
        </w:trPr>
        <w:tc>
          <w:tcPr>
            <w:tcW w:w="1801" w:type="dxa"/>
            <w:tcBorders>
              <w:top w:val="double" w:sz="6" w:space="0" w:color="000000"/>
              <w:bottom w:val="double" w:sz="6" w:space="0" w:color="000000"/>
            </w:tcBorders>
          </w:tcPr>
          <w:p>
            <w:pPr>
              <w:pStyle w:val="TableParagraph"/>
              <w:spacing w:line="209" w:lineRule="exact" w:before="40"/>
              <w:ind w:left="670"/>
              <w:rPr>
                <w:sz w:val="20"/>
              </w:rPr>
            </w:pPr>
            <w:r>
              <w:rPr>
                <w:spacing w:val="-2"/>
                <w:sz w:val="20"/>
              </w:rPr>
              <w:t>Variable</w:t>
            </w:r>
          </w:p>
        </w:tc>
        <w:tc>
          <w:tcPr>
            <w:tcW w:w="1417" w:type="dxa"/>
            <w:tcBorders>
              <w:top w:val="double" w:sz="6" w:space="0" w:color="000000"/>
              <w:bottom w:val="double" w:sz="6" w:space="0" w:color="000000"/>
            </w:tcBorders>
          </w:tcPr>
          <w:p>
            <w:pPr>
              <w:pStyle w:val="TableParagraph"/>
              <w:spacing w:line="209" w:lineRule="exact" w:before="40"/>
              <w:ind w:right="132"/>
              <w:jc w:val="right"/>
              <w:rPr>
                <w:sz w:val="20"/>
              </w:rPr>
            </w:pPr>
            <w:r>
              <w:rPr>
                <w:spacing w:val="-2"/>
                <w:sz w:val="20"/>
              </w:rPr>
              <w:t>Coefficient</w:t>
            </w:r>
          </w:p>
        </w:tc>
        <w:tc>
          <w:tcPr>
            <w:tcW w:w="1251" w:type="dxa"/>
            <w:tcBorders>
              <w:top w:val="double" w:sz="6" w:space="0" w:color="000000"/>
              <w:bottom w:val="double" w:sz="6" w:space="0" w:color="000000"/>
            </w:tcBorders>
          </w:tcPr>
          <w:p>
            <w:pPr>
              <w:pStyle w:val="TableParagraph"/>
              <w:spacing w:line="209" w:lineRule="exact" w:before="40"/>
              <w:ind w:left="174" w:right="91"/>
              <w:jc w:val="center"/>
              <w:rPr>
                <w:sz w:val="20"/>
              </w:rPr>
            </w:pPr>
            <w:r>
              <w:rPr>
                <w:sz w:val="20"/>
              </w:rPr>
              <w:t>Std.</w:t>
            </w:r>
            <w:r>
              <w:rPr>
                <w:spacing w:val="-4"/>
                <w:sz w:val="20"/>
              </w:rPr>
              <w:t> </w:t>
            </w:r>
            <w:r>
              <w:rPr>
                <w:spacing w:val="-2"/>
                <w:sz w:val="20"/>
              </w:rPr>
              <w:t>Error</w:t>
            </w:r>
          </w:p>
        </w:tc>
        <w:tc>
          <w:tcPr>
            <w:tcW w:w="1185" w:type="dxa"/>
            <w:tcBorders>
              <w:top w:val="double" w:sz="6" w:space="0" w:color="000000"/>
              <w:bottom w:val="double" w:sz="6" w:space="0" w:color="000000"/>
            </w:tcBorders>
          </w:tcPr>
          <w:p>
            <w:pPr>
              <w:pStyle w:val="TableParagraph"/>
              <w:spacing w:line="209" w:lineRule="exact" w:before="40"/>
              <w:ind w:left="71" w:right="17"/>
              <w:jc w:val="center"/>
              <w:rPr>
                <w:sz w:val="20"/>
              </w:rPr>
            </w:pPr>
            <w:r>
              <w:rPr>
                <w:spacing w:val="-4"/>
                <w:sz w:val="20"/>
              </w:rPr>
              <w:t>t-</w:t>
            </w:r>
            <w:r>
              <w:rPr>
                <w:spacing w:val="-2"/>
                <w:sz w:val="20"/>
              </w:rPr>
              <w:t>Statistic</w:t>
            </w:r>
          </w:p>
        </w:tc>
        <w:tc>
          <w:tcPr>
            <w:tcW w:w="829" w:type="dxa"/>
            <w:tcBorders>
              <w:top w:val="double" w:sz="6" w:space="0" w:color="000000"/>
              <w:bottom w:val="double" w:sz="6" w:space="0" w:color="000000"/>
            </w:tcBorders>
          </w:tcPr>
          <w:p>
            <w:pPr>
              <w:pStyle w:val="TableParagraph"/>
              <w:spacing w:line="209" w:lineRule="exact" w:before="40"/>
              <w:ind w:right="32"/>
              <w:jc w:val="right"/>
              <w:rPr>
                <w:sz w:val="20"/>
              </w:rPr>
            </w:pPr>
            <w:r>
              <w:rPr>
                <w:spacing w:val="-2"/>
                <w:sz w:val="20"/>
              </w:rPr>
              <w:t>Prob.</w:t>
            </w:r>
          </w:p>
        </w:tc>
      </w:tr>
      <w:tr>
        <w:trPr>
          <w:trHeight w:val="275" w:hRule="atLeast"/>
        </w:trPr>
        <w:tc>
          <w:tcPr>
            <w:tcW w:w="1801" w:type="dxa"/>
            <w:tcBorders>
              <w:top w:val="double" w:sz="6" w:space="0" w:color="000000"/>
            </w:tcBorders>
          </w:tcPr>
          <w:p>
            <w:pPr>
              <w:pStyle w:val="TableParagraph"/>
              <w:spacing w:line="215" w:lineRule="exact" w:before="40"/>
              <w:ind w:right="259"/>
              <w:jc w:val="right"/>
              <w:rPr>
                <w:sz w:val="20"/>
              </w:rPr>
            </w:pPr>
            <w:r>
              <w:rPr>
                <w:spacing w:val="-2"/>
                <w:sz w:val="20"/>
              </w:rPr>
              <w:t>D(DFI(-1),2)</w:t>
            </w:r>
          </w:p>
        </w:tc>
        <w:tc>
          <w:tcPr>
            <w:tcW w:w="1417" w:type="dxa"/>
            <w:tcBorders>
              <w:top w:val="double" w:sz="6" w:space="0" w:color="000000"/>
            </w:tcBorders>
          </w:tcPr>
          <w:p>
            <w:pPr>
              <w:pStyle w:val="TableParagraph"/>
              <w:spacing w:line="215" w:lineRule="exact" w:before="40"/>
              <w:ind w:right="129"/>
              <w:jc w:val="right"/>
              <w:rPr>
                <w:sz w:val="20"/>
              </w:rPr>
            </w:pPr>
            <w:r>
              <w:rPr>
                <w:spacing w:val="-4"/>
                <w:sz w:val="20"/>
              </w:rPr>
              <w:t>-</w:t>
            </w:r>
            <w:r>
              <w:rPr>
                <w:spacing w:val="-2"/>
                <w:sz w:val="20"/>
              </w:rPr>
              <w:t>2.356691</w:t>
            </w:r>
          </w:p>
        </w:tc>
        <w:tc>
          <w:tcPr>
            <w:tcW w:w="1251" w:type="dxa"/>
            <w:tcBorders>
              <w:top w:val="double" w:sz="6" w:space="0" w:color="000000"/>
            </w:tcBorders>
          </w:tcPr>
          <w:p>
            <w:pPr>
              <w:pStyle w:val="TableParagraph"/>
              <w:spacing w:line="215" w:lineRule="exact" w:before="40"/>
              <w:ind w:left="174" w:right="52"/>
              <w:jc w:val="center"/>
              <w:rPr>
                <w:sz w:val="20"/>
              </w:rPr>
            </w:pPr>
            <w:r>
              <w:rPr>
                <w:spacing w:val="-2"/>
                <w:sz w:val="20"/>
              </w:rPr>
              <w:t>0.587770</w:t>
            </w:r>
          </w:p>
        </w:tc>
        <w:tc>
          <w:tcPr>
            <w:tcW w:w="1185" w:type="dxa"/>
            <w:tcBorders>
              <w:top w:val="double" w:sz="6" w:space="0" w:color="000000"/>
            </w:tcBorders>
          </w:tcPr>
          <w:p>
            <w:pPr>
              <w:pStyle w:val="TableParagraph"/>
              <w:spacing w:line="215" w:lineRule="exact" w:before="40"/>
              <w:ind w:left="71" w:right="65"/>
              <w:jc w:val="center"/>
              <w:rPr>
                <w:sz w:val="20"/>
              </w:rPr>
            </w:pPr>
            <w:r>
              <w:rPr>
                <w:spacing w:val="-4"/>
                <w:sz w:val="20"/>
              </w:rPr>
              <w:t>-</w:t>
            </w:r>
            <w:r>
              <w:rPr>
                <w:spacing w:val="-2"/>
                <w:sz w:val="20"/>
              </w:rPr>
              <w:t>4.009544</w:t>
            </w:r>
          </w:p>
        </w:tc>
        <w:tc>
          <w:tcPr>
            <w:tcW w:w="829" w:type="dxa"/>
            <w:tcBorders>
              <w:top w:val="double" w:sz="6" w:space="0" w:color="000000"/>
            </w:tcBorders>
          </w:tcPr>
          <w:p>
            <w:pPr>
              <w:pStyle w:val="TableParagraph"/>
              <w:spacing w:line="215" w:lineRule="exact" w:before="40"/>
              <w:ind w:right="30"/>
              <w:jc w:val="right"/>
              <w:rPr>
                <w:sz w:val="20"/>
              </w:rPr>
            </w:pPr>
            <w:r>
              <w:rPr>
                <w:spacing w:val="-2"/>
                <w:sz w:val="20"/>
              </w:rPr>
              <w:t>0.0008</w:t>
            </w:r>
          </w:p>
        </w:tc>
      </w:tr>
      <w:tr>
        <w:trPr>
          <w:trHeight w:val="225" w:hRule="atLeast"/>
        </w:trPr>
        <w:tc>
          <w:tcPr>
            <w:tcW w:w="1801" w:type="dxa"/>
          </w:tcPr>
          <w:p>
            <w:pPr>
              <w:pStyle w:val="TableParagraph"/>
              <w:spacing w:line="205" w:lineRule="exact"/>
              <w:ind w:right="259"/>
              <w:jc w:val="right"/>
              <w:rPr>
                <w:sz w:val="20"/>
              </w:rPr>
            </w:pPr>
            <w:r>
              <w:rPr>
                <w:spacing w:val="-2"/>
                <w:sz w:val="20"/>
              </w:rPr>
              <w:t>D(DFI(-1),3)</w:t>
            </w:r>
          </w:p>
        </w:tc>
        <w:tc>
          <w:tcPr>
            <w:tcW w:w="1417" w:type="dxa"/>
          </w:tcPr>
          <w:p>
            <w:pPr>
              <w:pStyle w:val="TableParagraph"/>
              <w:spacing w:line="205" w:lineRule="exact"/>
              <w:ind w:right="129"/>
              <w:jc w:val="right"/>
              <w:rPr>
                <w:sz w:val="20"/>
              </w:rPr>
            </w:pPr>
            <w:r>
              <w:rPr>
                <w:spacing w:val="-2"/>
                <w:sz w:val="20"/>
              </w:rPr>
              <w:t>0.395890</w:t>
            </w:r>
          </w:p>
        </w:tc>
        <w:tc>
          <w:tcPr>
            <w:tcW w:w="1251" w:type="dxa"/>
          </w:tcPr>
          <w:p>
            <w:pPr>
              <w:pStyle w:val="TableParagraph"/>
              <w:spacing w:line="205" w:lineRule="exact"/>
              <w:ind w:left="174" w:right="52"/>
              <w:jc w:val="center"/>
              <w:rPr>
                <w:sz w:val="20"/>
              </w:rPr>
            </w:pPr>
            <w:r>
              <w:rPr>
                <w:spacing w:val="-2"/>
                <w:sz w:val="20"/>
              </w:rPr>
              <w:t>0.483222</w:t>
            </w:r>
          </w:p>
        </w:tc>
        <w:tc>
          <w:tcPr>
            <w:tcW w:w="1185" w:type="dxa"/>
          </w:tcPr>
          <w:p>
            <w:pPr>
              <w:pStyle w:val="TableParagraph"/>
              <w:spacing w:line="205" w:lineRule="exact"/>
              <w:ind w:left="71"/>
              <w:jc w:val="center"/>
              <w:rPr>
                <w:sz w:val="20"/>
              </w:rPr>
            </w:pPr>
            <w:r>
              <w:rPr>
                <w:spacing w:val="-2"/>
                <w:sz w:val="20"/>
              </w:rPr>
              <w:t>0.819273</w:t>
            </w:r>
          </w:p>
        </w:tc>
        <w:tc>
          <w:tcPr>
            <w:tcW w:w="829" w:type="dxa"/>
          </w:tcPr>
          <w:p>
            <w:pPr>
              <w:pStyle w:val="TableParagraph"/>
              <w:spacing w:line="205" w:lineRule="exact"/>
              <w:ind w:right="30"/>
              <w:jc w:val="right"/>
              <w:rPr>
                <w:sz w:val="20"/>
              </w:rPr>
            </w:pPr>
            <w:r>
              <w:rPr>
                <w:spacing w:val="-2"/>
                <w:sz w:val="20"/>
              </w:rPr>
              <w:t>0.4233</w:t>
            </w:r>
          </w:p>
        </w:tc>
      </w:tr>
    </w:tbl>
    <w:p>
      <w:pPr>
        <w:spacing w:after="0" w:line="205" w:lineRule="exact"/>
        <w:jc w:val="right"/>
        <w:rPr>
          <w:sz w:val="20"/>
        </w:rPr>
        <w:sectPr>
          <w:pgSz w:w="11910" w:h="16840"/>
          <w:pgMar w:header="0" w:footer="982" w:top="1400" w:bottom="1240" w:left="280" w:right="0"/>
        </w:sectPr>
      </w:pPr>
    </w:p>
    <w:p>
      <w:pPr>
        <w:pStyle w:val="BodyText"/>
        <w:spacing w:before="1"/>
        <w:rPr>
          <w:sz w:val="2"/>
        </w:rPr>
      </w:pPr>
    </w:p>
    <w:tbl>
      <w:tblPr>
        <w:tblW w:w="0" w:type="auto"/>
        <w:jc w:val="left"/>
        <w:tblInd w:w="8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53"/>
        <w:gridCol w:w="1272"/>
        <w:gridCol w:w="1524"/>
        <w:gridCol w:w="811"/>
        <w:gridCol w:w="927"/>
      </w:tblGrid>
      <w:tr>
        <w:trPr>
          <w:trHeight w:val="220" w:hRule="atLeast"/>
        </w:trPr>
        <w:tc>
          <w:tcPr>
            <w:tcW w:w="1953" w:type="dxa"/>
            <w:tcBorders>
              <w:bottom w:val="double" w:sz="6" w:space="0" w:color="000000"/>
            </w:tcBorders>
          </w:tcPr>
          <w:p>
            <w:pPr>
              <w:pStyle w:val="TableParagraph"/>
              <w:spacing w:line="200" w:lineRule="exact"/>
              <w:ind w:left="91"/>
              <w:jc w:val="center"/>
              <w:rPr>
                <w:sz w:val="20"/>
              </w:rPr>
            </w:pPr>
            <w:r>
              <w:rPr>
                <w:spacing w:val="-10"/>
                <w:sz w:val="20"/>
              </w:rPr>
              <w:t>C</w:t>
            </w:r>
          </w:p>
        </w:tc>
        <w:tc>
          <w:tcPr>
            <w:tcW w:w="1272" w:type="dxa"/>
            <w:tcBorders>
              <w:bottom w:val="double" w:sz="6" w:space="0" w:color="000000"/>
            </w:tcBorders>
          </w:tcPr>
          <w:p>
            <w:pPr>
              <w:pStyle w:val="TableParagraph"/>
              <w:spacing w:line="200" w:lineRule="exact"/>
              <w:ind w:right="129"/>
              <w:jc w:val="right"/>
              <w:rPr>
                <w:sz w:val="20"/>
              </w:rPr>
            </w:pPr>
            <w:r>
              <w:rPr>
                <w:spacing w:val="-2"/>
                <w:sz w:val="20"/>
              </w:rPr>
              <w:t>0.148838</w:t>
            </w:r>
          </w:p>
        </w:tc>
        <w:tc>
          <w:tcPr>
            <w:tcW w:w="1524" w:type="dxa"/>
            <w:tcBorders>
              <w:bottom w:val="double" w:sz="6" w:space="0" w:color="000000"/>
            </w:tcBorders>
          </w:tcPr>
          <w:p>
            <w:pPr>
              <w:pStyle w:val="TableParagraph"/>
              <w:spacing w:line="200" w:lineRule="exact"/>
              <w:ind w:left="311"/>
              <w:rPr>
                <w:sz w:val="20"/>
              </w:rPr>
            </w:pPr>
            <w:r>
              <w:rPr>
                <w:spacing w:val="-2"/>
                <w:sz w:val="20"/>
              </w:rPr>
              <w:t>0.167100</w:t>
            </w:r>
          </w:p>
        </w:tc>
        <w:tc>
          <w:tcPr>
            <w:tcW w:w="811" w:type="dxa"/>
            <w:tcBorders>
              <w:bottom w:val="double" w:sz="6" w:space="0" w:color="000000"/>
            </w:tcBorders>
          </w:tcPr>
          <w:p>
            <w:pPr>
              <w:pStyle w:val="TableParagraph"/>
              <w:spacing w:line="200" w:lineRule="exact"/>
              <w:ind w:left="-21"/>
              <w:rPr>
                <w:sz w:val="20"/>
              </w:rPr>
            </w:pPr>
            <w:r>
              <w:rPr>
                <w:spacing w:val="-2"/>
                <w:sz w:val="20"/>
              </w:rPr>
              <w:t>0.890713</w:t>
            </w:r>
          </w:p>
        </w:tc>
        <w:tc>
          <w:tcPr>
            <w:tcW w:w="927" w:type="dxa"/>
            <w:tcBorders>
              <w:bottom w:val="double" w:sz="6" w:space="0" w:color="000000"/>
            </w:tcBorders>
          </w:tcPr>
          <w:p>
            <w:pPr>
              <w:pStyle w:val="TableParagraph"/>
              <w:spacing w:line="200" w:lineRule="exact"/>
              <w:ind w:right="27"/>
              <w:jc w:val="right"/>
              <w:rPr>
                <w:sz w:val="20"/>
              </w:rPr>
            </w:pPr>
            <w:r>
              <w:rPr>
                <w:spacing w:val="-2"/>
                <w:sz w:val="20"/>
              </w:rPr>
              <w:t>0.3848</w:t>
            </w:r>
          </w:p>
        </w:tc>
      </w:tr>
      <w:tr>
        <w:trPr>
          <w:trHeight w:val="275" w:hRule="atLeast"/>
        </w:trPr>
        <w:tc>
          <w:tcPr>
            <w:tcW w:w="1953" w:type="dxa"/>
            <w:tcBorders>
              <w:top w:val="double" w:sz="6" w:space="0" w:color="000000"/>
            </w:tcBorders>
          </w:tcPr>
          <w:p>
            <w:pPr>
              <w:pStyle w:val="TableParagraph"/>
              <w:spacing w:line="215" w:lineRule="exact" w:before="40"/>
              <w:ind w:left="35"/>
              <w:rPr>
                <w:sz w:val="20"/>
              </w:rPr>
            </w:pPr>
            <w:r>
              <w:rPr>
                <w:spacing w:val="-2"/>
                <w:sz w:val="20"/>
              </w:rPr>
              <w:t>R-squared</w:t>
            </w:r>
          </w:p>
        </w:tc>
        <w:tc>
          <w:tcPr>
            <w:tcW w:w="1272" w:type="dxa"/>
            <w:tcBorders>
              <w:top w:val="double" w:sz="6" w:space="0" w:color="000000"/>
            </w:tcBorders>
          </w:tcPr>
          <w:p>
            <w:pPr>
              <w:pStyle w:val="TableParagraph"/>
              <w:spacing w:line="215" w:lineRule="exact" w:before="40"/>
              <w:ind w:right="129"/>
              <w:jc w:val="right"/>
              <w:rPr>
                <w:sz w:val="20"/>
              </w:rPr>
            </w:pPr>
            <w:r>
              <w:rPr>
                <w:spacing w:val="-2"/>
                <w:sz w:val="20"/>
              </w:rPr>
              <w:t>0.795673</w:t>
            </w:r>
          </w:p>
        </w:tc>
        <w:tc>
          <w:tcPr>
            <w:tcW w:w="2335" w:type="dxa"/>
            <w:gridSpan w:val="2"/>
            <w:tcBorders>
              <w:top w:val="double" w:sz="6" w:space="0" w:color="000000"/>
            </w:tcBorders>
          </w:tcPr>
          <w:p>
            <w:pPr>
              <w:pStyle w:val="TableParagraph"/>
              <w:spacing w:line="215" w:lineRule="exact" w:before="40"/>
              <w:ind w:left="131"/>
              <w:rPr>
                <w:sz w:val="20"/>
              </w:rPr>
            </w:pPr>
            <w:r>
              <w:rPr>
                <w:sz w:val="20"/>
              </w:rPr>
              <w:t>Mean</w:t>
            </w:r>
            <w:r>
              <w:rPr>
                <w:spacing w:val="-7"/>
                <w:sz w:val="20"/>
              </w:rPr>
              <w:t> </w:t>
            </w:r>
            <w:r>
              <w:rPr>
                <w:sz w:val="20"/>
              </w:rPr>
              <w:t>dependent</w:t>
            </w:r>
            <w:r>
              <w:rPr>
                <w:spacing w:val="-7"/>
                <w:sz w:val="20"/>
              </w:rPr>
              <w:t> </w:t>
            </w:r>
            <w:r>
              <w:rPr>
                <w:spacing w:val="-5"/>
                <w:sz w:val="20"/>
              </w:rPr>
              <w:t>var</w:t>
            </w:r>
          </w:p>
        </w:tc>
        <w:tc>
          <w:tcPr>
            <w:tcW w:w="927" w:type="dxa"/>
            <w:tcBorders>
              <w:top w:val="double" w:sz="6" w:space="0" w:color="000000"/>
            </w:tcBorders>
          </w:tcPr>
          <w:p>
            <w:pPr>
              <w:pStyle w:val="TableParagraph"/>
              <w:spacing w:line="215" w:lineRule="exact" w:before="40"/>
              <w:ind w:right="27"/>
              <w:jc w:val="right"/>
              <w:rPr>
                <w:sz w:val="20"/>
              </w:rPr>
            </w:pPr>
            <w:r>
              <w:rPr>
                <w:spacing w:val="-4"/>
                <w:sz w:val="20"/>
              </w:rPr>
              <w:t>-</w:t>
            </w:r>
            <w:r>
              <w:rPr>
                <w:spacing w:val="-2"/>
                <w:sz w:val="20"/>
              </w:rPr>
              <w:t>0.136793</w:t>
            </w:r>
          </w:p>
        </w:tc>
      </w:tr>
      <w:tr>
        <w:trPr>
          <w:trHeight w:val="230" w:hRule="atLeast"/>
        </w:trPr>
        <w:tc>
          <w:tcPr>
            <w:tcW w:w="1953" w:type="dxa"/>
          </w:tcPr>
          <w:p>
            <w:pPr>
              <w:pStyle w:val="TableParagraph"/>
              <w:spacing w:line="210" w:lineRule="exact"/>
              <w:ind w:left="35"/>
              <w:rPr>
                <w:sz w:val="20"/>
              </w:rPr>
            </w:pPr>
            <w:r>
              <w:rPr>
                <w:sz w:val="20"/>
              </w:rPr>
              <w:t>Adjusted</w:t>
            </w:r>
            <w:r>
              <w:rPr>
                <w:spacing w:val="-10"/>
                <w:sz w:val="20"/>
              </w:rPr>
              <w:t> </w:t>
            </w:r>
            <w:r>
              <w:rPr>
                <w:sz w:val="20"/>
              </w:rPr>
              <w:t>R-</w:t>
            </w:r>
            <w:r>
              <w:rPr>
                <w:spacing w:val="-2"/>
                <w:sz w:val="20"/>
              </w:rPr>
              <w:t>squared</w:t>
            </w:r>
          </w:p>
        </w:tc>
        <w:tc>
          <w:tcPr>
            <w:tcW w:w="1272" w:type="dxa"/>
          </w:tcPr>
          <w:p>
            <w:pPr>
              <w:pStyle w:val="TableParagraph"/>
              <w:spacing w:line="210" w:lineRule="exact"/>
              <w:ind w:right="129"/>
              <w:jc w:val="right"/>
              <w:rPr>
                <w:sz w:val="20"/>
              </w:rPr>
            </w:pPr>
            <w:r>
              <w:rPr>
                <w:spacing w:val="-2"/>
                <w:sz w:val="20"/>
              </w:rPr>
              <w:t>0.772970</w:t>
            </w:r>
          </w:p>
        </w:tc>
        <w:tc>
          <w:tcPr>
            <w:tcW w:w="2335" w:type="dxa"/>
            <w:gridSpan w:val="2"/>
          </w:tcPr>
          <w:p>
            <w:pPr>
              <w:pStyle w:val="TableParagraph"/>
              <w:spacing w:line="210" w:lineRule="exact"/>
              <w:ind w:left="131"/>
              <w:rPr>
                <w:sz w:val="20"/>
              </w:rPr>
            </w:pPr>
            <w:r>
              <w:rPr>
                <w:sz w:val="20"/>
              </w:rPr>
              <w:t>S.D.</w:t>
            </w:r>
            <w:r>
              <w:rPr>
                <w:spacing w:val="-5"/>
                <w:sz w:val="20"/>
              </w:rPr>
              <w:t> </w:t>
            </w:r>
            <w:r>
              <w:rPr>
                <w:sz w:val="20"/>
              </w:rPr>
              <w:t>dependent</w:t>
            </w:r>
            <w:r>
              <w:rPr>
                <w:spacing w:val="-6"/>
                <w:sz w:val="20"/>
              </w:rPr>
              <w:t> </w:t>
            </w:r>
            <w:r>
              <w:rPr>
                <w:spacing w:val="-5"/>
                <w:sz w:val="20"/>
              </w:rPr>
              <w:t>var</w:t>
            </w:r>
          </w:p>
        </w:tc>
        <w:tc>
          <w:tcPr>
            <w:tcW w:w="927" w:type="dxa"/>
          </w:tcPr>
          <w:p>
            <w:pPr>
              <w:pStyle w:val="TableParagraph"/>
              <w:spacing w:line="210" w:lineRule="exact"/>
              <w:ind w:right="27"/>
              <w:jc w:val="right"/>
              <w:rPr>
                <w:sz w:val="20"/>
              </w:rPr>
            </w:pPr>
            <w:r>
              <w:rPr>
                <w:spacing w:val="-2"/>
                <w:sz w:val="20"/>
              </w:rPr>
              <w:t>1.572659</w:t>
            </w:r>
          </w:p>
        </w:tc>
      </w:tr>
      <w:tr>
        <w:trPr>
          <w:trHeight w:val="230" w:hRule="atLeast"/>
        </w:trPr>
        <w:tc>
          <w:tcPr>
            <w:tcW w:w="1953" w:type="dxa"/>
          </w:tcPr>
          <w:p>
            <w:pPr>
              <w:pStyle w:val="TableParagraph"/>
              <w:spacing w:line="210" w:lineRule="exact"/>
              <w:ind w:left="35"/>
              <w:rPr>
                <w:sz w:val="20"/>
              </w:rPr>
            </w:pPr>
            <w:r>
              <w:rPr>
                <w:sz w:val="20"/>
              </w:rPr>
              <w:t>S.E.</w:t>
            </w:r>
            <w:r>
              <w:rPr>
                <w:spacing w:val="-3"/>
                <w:sz w:val="20"/>
              </w:rPr>
              <w:t> </w:t>
            </w:r>
            <w:r>
              <w:rPr>
                <w:sz w:val="20"/>
              </w:rPr>
              <w:t>of</w:t>
            </w:r>
            <w:r>
              <w:rPr>
                <w:spacing w:val="-3"/>
                <w:sz w:val="20"/>
              </w:rPr>
              <w:t> </w:t>
            </w:r>
            <w:r>
              <w:rPr>
                <w:spacing w:val="-2"/>
                <w:sz w:val="20"/>
              </w:rPr>
              <w:t>regression</w:t>
            </w:r>
          </w:p>
        </w:tc>
        <w:tc>
          <w:tcPr>
            <w:tcW w:w="1272" w:type="dxa"/>
          </w:tcPr>
          <w:p>
            <w:pPr>
              <w:pStyle w:val="TableParagraph"/>
              <w:spacing w:line="210" w:lineRule="exact"/>
              <w:ind w:right="129"/>
              <w:jc w:val="right"/>
              <w:rPr>
                <w:sz w:val="20"/>
              </w:rPr>
            </w:pPr>
            <w:r>
              <w:rPr>
                <w:spacing w:val="-2"/>
                <w:sz w:val="20"/>
              </w:rPr>
              <w:t>0.749335</w:t>
            </w:r>
          </w:p>
        </w:tc>
        <w:tc>
          <w:tcPr>
            <w:tcW w:w="2335" w:type="dxa"/>
            <w:gridSpan w:val="2"/>
          </w:tcPr>
          <w:p>
            <w:pPr>
              <w:pStyle w:val="TableParagraph"/>
              <w:spacing w:line="210" w:lineRule="exact"/>
              <w:ind w:left="131"/>
              <w:rPr>
                <w:sz w:val="20"/>
              </w:rPr>
            </w:pPr>
            <w:r>
              <w:rPr>
                <w:sz w:val="20"/>
              </w:rPr>
              <w:t>Akaike</w:t>
            </w:r>
            <w:r>
              <w:rPr>
                <w:spacing w:val="-8"/>
                <w:sz w:val="20"/>
              </w:rPr>
              <w:t> </w:t>
            </w:r>
            <w:r>
              <w:rPr>
                <w:sz w:val="20"/>
              </w:rPr>
              <w:t>info</w:t>
            </w:r>
            <w:r>
              <w:rPr>
                <w:spacing w:val="-7"/>
                <w:sz w:val="20"/>
              </w:rPr>
              <w:t> </w:t>
            </w:r>
            <w:r>
              <w:rPr>
                <w:spacing w:val="-2"/>
                <w:sz w:val="20"/>
              </w:rPr>
              <w:t>criterion</w:t>
            </w:r>
          </w:p>
        </w:tc>
        <w:tc>
          <w:tcPr>
            <w:tcW w:w="927" w:type="dxa"/>
          </w:tcPr>
          <w:p>
            <w:pPr>
              <w:pStyle w:val="TableParagraph"/>
              <w:spacing w:line="210" w:lineRule="exact"/>
              <w:ind w:right="27"/>
              <w:jc w:val="right"/>
              <w:rPr>
                <w:sz w:val="20"/>
              </w:rPr>
            </w:pPr>
            <w:r>
              <w:rPr>
                <w:spacing w:val="-2"/>
                <w:sz w:val="20"/>
              </w:rPr>
              <w:t>2.392302</w:t>
            </w:r>
          </w:p>
        </w:tc>
      </w:tr>
      <w:tr>
        <w:trPr>
          <w:trHeight w:val="229" w:hRule="atLeast"/>
        </w:trPr>
        <w:tc>
          <w:tcPr>
            <w:tcW w:w="1953" w:type="dxa"/>
          </w:tcPr>
          <w:p>
            <w:pPr>
              <w:pStyle w:val="TableParagraph"/>
              <w:spacing w:line="209" w:lineRule="exact"/>
              <w:ind w:left="35"/>
              <w:rPr>
                <w:sz w:val="20"/>
              </w:rPr>
            </w:pPr>
            <w:r>
              <w:rPr>
                <w:sz w:val="20"/>
              </w:rPr>
              <w:t>Sum</w:t>
            </w:r>
            <w:r>
              <w:rPr>
                <w:spacing w:val="-8"/>
                <w:sz w:val="20"/>
              </w:rPr>
              <w:t> </w:t>
            </w:r>
            <w:r>
              <w:rPr>
                <w:sz w:val="20"/>
              </w:rPr>
              <w:t>squared</w:t>
            </w:r>
            <w:r>
              <w:rPr>
                <w:spacing w:val="-4"/>
                <w:sz w:val="20"/>
              </w:rPr>
              <w:t> </w:t>
            </w:r>
            <w:r>
              <w:rPr>
                <w:spacing w:val="-2"/>
                <w:sz w:val="20"/>
              </w:rPr>
              <w:t>resid</w:t>
            </w:r>
          </w:p>
        </w:tc>
        <w:tc>
          <w:tcPr>
            <w:tcW w:w="1272" w:type="dxa"/>
          </w:tcPr>
          <w:p>
            <w:pPr>
              <w:pStyle w:val="TableParagraph"/>
              <w:spacing w:line="209" w:lineRule="exact"/>
              <w:ind w:right="129"/>
              <w:jc w:val="right"/>
              <w:rPr>
                <w:sz w:val="20"/>
              </w:rPr>
            </w:pPr>
            <w:r>
              <w:rPr>
                <w:spacing w:val="-2"/>
                <w:sz w:val="20"/>
              </w:rPr>
              <w:t>10.10705</w:t>
            </w:r>
          </w:p>
        </w:tc>
        <w:tc>
          <w:tcPr>
            <w:tcW w:w="1524" w:type="dxa"/>
          </w:tcPr>
          <w:p>
            <w:pPr>
              <w:pStyle w:val="TableParagraph"/>
              <w:spacing w:line="209" w:lineRule="exact"/>
              <w:ind w:left="131" w:right="-29"/>
              <w:rPr>
                <w:sz w:val="20"/>
              </w:rPr>
            </w:pPr>
            <w:r>
              <w:rPr>
                <w:sz w:val="20"/>
              </w:rPr>
              <w:t>Schwarz</w:t>
            </w:r>
            <w:r>
              <w:rPr>
                <w:spacing w:val="-8"/>
                <w:sz w:val="20"/>
              </w:rPr>
              <w:t> </w:t>
            </w:r>
            <w:r>
              <w:rPr>
                <w:spacing w:val="-2"/>
                <w:sz w:val="20"/>
              </w:rPr>
              <w:t>criterion</w:t>
            </w:r>
          </w:p>
        </w:tc>
        <w:tc>
          <w:tcPr>
            <w:tcW w:w="811" w:type="dxa"/>
          </w:tcPr>
          <w:p>
            <w:pPr>
              <w:pStyle w:val="TableParagraph"/>
              <w:rPr>
                <w:sz w:val="16"/>
              </w:rPr>
            </w:pPr>
          </w:p>
        </w:tc>
        <w:tc>
          <w:tcPr>
            <w:tcW w:w="927" w:type="dxa"/>
          </w:tcPr>
          <w:p>
            <w:pPr>
              <w:pStyle w:val="TableParagraph"/>
              <w:spacing w:line="209" w:lineRule="exact"/>
              <w:ind w:right="27"/>
              <w:jc w:val="right"/>
              <w:rPr>
                <w:sz w:val="20"/>
              </w:rPr>
            </w:pPr>
            <w:r>
              <w:rPr>
                <w:spacing w:val="-2"/>
                <w:sz w:val="20"/>
              </w:rPr>
              <w:t>2.541519</w:t>
            </w:r>
          </w:p>
        </w:tc>
      </w:tr>
      <w:tr>
        <w:trPr>
          <w:trHeight w:val="229" w:hRule="atLeast"/>
        </w:trPr>
        <w:tc>
          <w:tcPr>
            <w:tcW w:w="1953" w:type="dxa"/>
          </w:tcPr>
          <w:p>
            <w:pPr>
              <w:pStyle w:val="TableParagraph"/>
              <w:spacing w:line="209" w:lineRule="exact"/>
              <w:ind w:left="35"/>
              <w:rPr>
                <w:sz w:val="20"/>
              </w:rPr>
            </w:pPr>
            <w:r>
              <w:rPr>
                <w:sz w:val="20"/>
              </w:rPr>
              <w:t>Log</w:t>
            </w:r>
            <w:r>
              <w:rPr>
                <w:spacing w:val="-6"/>
                <w:sz w:val="20"/>
              </w:rPr>
              <w:t> </w:t>
            </w:r>
            <w:r>
              <w:rPr>
                <w:spacing w:val="-2"/>
                <w:sz w:val="20"/>
              </w:rPr>
              <w:t>likelihood</w:t>
            </w:r>
          </w:p>
        </w:tc>
        <w:tc>
          <w:tcPr>
            <w:tcW w:w="1272" w:type="dxa"/>
          </w:tcPr>
          <w:p>
            <w:pPr>
              <w:pStyle w:val="TableParagraph"/>
              <w:spacing w:line="209" w:lineRule="exact"/>
              <w:ind w:right="129"/>
              <w:jc w:val="right"/>
              <w:rPr>
                <w:sz w:val="20"/>
              </w:rPr>
            </w:pPr>
            <w:r>
              <w:rPr>
                <w:spacing w:val="-4"/>
                <w:sz w:val="20"/>
              </w:rPr>
              <w:t>-</w:t>
            </w:r>
            <w:r>
              <w:rPr>
                <w:spacing w:val="-2"/>
                <w:sz w:val="20"/>
              </w:rPr>
              <w:t>22.11917</w:t>
            </w:r>
          </w:p>
        </w:tc>
        <w:tc>
          <w:tcPr>
            <w:tcW w:w="1524" w:type="dxa"/>
          </w:tcPr>
          <w:p>
            <w:pPr>
              <w:pStyle w:val="TableParagraph"/>
              <w:spacing w:line="209" w:lineRule="exact"/>
              <w:ind w:left="131"/>
              <w:rPr>
                <w:sz w:val="20"/>
              </w:rPr>
            </w:pPr>
            <w:r>
              <w:rPr>
                <w:spacing w:val="-4"/>
                <w:sz w:val="20"/>
              </w:rPr>
              <w:t>F-</w:t>
            </w:r>
            <w:r>
              <w:rPr>
                <w:spacing w:val="-2"/>
                <w:sz w:val="20"/>
              </w:rPr>
              <w:t>statistic</w:t>
            </w:r>
          </w:p>
        </w:tc>
        <w:tc>
          <w:tcPr>
            <w:tcW w:w="811" w:type="dxa"/>
          </w:tcPr>
          <w:p>
            <w:pPr>
              <w:pStyle w:val="TableParagraph"/>
              <w:rPr>
                <w:sz w:val="16"/>
              </w:rPr>
            </w:pPr>
          </w:p>
        </w:tc>
        <w:tc>
          <w:tcPr>
            <w:tcW w:w="927" w:type="dxa"/>
          </w:tcPr>
          <w:p>
            <w:pPr>
              <w:pStyle w:val="TableParagraph"/>
              <w:spacing w:line="209" w:lineRule="exact"/>
              <w:ind w:right="27"/>
              <w:jc w:val="right"/>
              <w:rPr>
                <w:sz w:val="20"/>
              </w:rPr>
            </w:pPr>
            <w:r>
              <w:rPr>
                <w:spacing w:val="-2"/>
                <w:sz w:val="20"/>
              </w:rPr>
              <w:t>35.04707</w:t>
            </w:r>
          </w:p>
        </w:tc>
      </w:tr>
      <w:tr>
        <w:trPr>
          <w:trHeight w:val="267" w:hRule="atLeast"/>
        </w:trPr>
        <w:tc>
          <w:tcPr>
            <w:tcW w:w="1953" w:type="dxa"/>
            <w:tcBorders>
              <w:bottom w:val="double" w:sz="6" w:space="0" w:color="000000"/>
            </w:tcBorders>
          </w:tcPr>
          <w:p>
            <w:pPr>
              <w:pStyle w:val="TableParagraph"/>
              <w:spacing w:line="226" w:lineRule="exact"/>
              <w:ind w:left="35"/>
              <w:rPr>
                <w:sz w:val="20"/>
              </w:rPr>
            </w:pPr>
            <w:r>
              <w:rPr>
                <w:sz w:val="20"/>
              </w:rPr>
              <w:t>Durbin-Watson</w:t>
            </w:r>
            <w:r>
              <w:rPr>
                <w:spacing w:val="-12"/>
                <w:sz w:val="20"/>
              </w:rPr>
              <w:t> </w:t>
            </w:r>
            <w:r>
              <w:rPr>
                <w:spacing w:val="-4"/>
                <w:sz w:val="20"/>
              </w:rPr>
              <w:t>stat</w:t>
            </w:r>
          </w:p>
        </w:tc>
        <w:tc>
          <w:tcPr>
            <w:tcW w:w="1272" w:type="dxa"/>
          </w:tcPr>
          <w:p>
            <w:pPr>
              <w:pStyle w:val="TableParagraph"/>
              <w:spacing w:line="226" w:lineRule="exact"/>
              <w:ind w:right="129"/>
              <w:jc w:val="right"/>
              <w:rPr>
                <w:sz w:val="20"/>
              </w:rPr>
            </w:pPr>
            <w:r>
              <w:rPr>
                <w:spacing w:val="-2"/>
                <w:sz w:val="20"/>
              </w:rPr>
              <w:t>2.005796</w:t>
            </w:r>
          </w:p>
        </w:tc>
        <w:tc>
          <w:tcPr>
            <w:tcW w:w="1524" w:type="dxa"/>
            <w:tcBorders>
              <w:bottom w:val="double" w:sz="6" w:space="0" w:color="000000"/>
            </w:tcBorders>
          </w:tcPr>
          <w:p>
            <w:pPr>
              <w:pStyle w:val="TableParagraph"/>
              <w:spacing w:line="226" w:lineRule="exact"/>
              <w:ind w:left="131"/>
              <w:rPr>
                <w:sz w:val="20"/>
              </w:rPr>
            </w:pPr>
            <w:r>
              <w:rPr>
                <w:spacing w:val="-2"/>
                <w:sz w:val="20"/>
              </w:rPr>
              <w:t>Prob(F-statistic)</w:t>
            </w:r>
          </w:p>
        </w:tc>
        <w:tc>
          <w:tcPr>
            <w:tcW w:w="811" w:type="dxa"/>
            <w:tcBorders>
              <w:bottom w:val="double" w:sz="6" w:space="0" w:color="000000"/>
            </w:tcBorders>
          </w:tcPr>
          <w:p>
            <w:pPr>
              <w:pStyle w:val="TableParagraph"/>
              <w:rPr>
                <w:sz w:val="18"/>
              </w:rPr>
            </w:pPr>
          </w:p>
        </w:tc>
        <w:tc>
          <w:tcPr>
            <w:tcW w:w="927" w:type="dxa"/>
            <w:tcBorders>
              <w:bottom w:val="double" w:sz="6" w:space="0" w:color="000000"/>
            </w:tcBorders>
          </w:tcPr>
          <w:p>
            <w:pPr>
              <w:pStyle w:val="TableParagraph"/>
              <w:spacing w:line="226" w:lineRule="exact"/>
              <w:ind w:right="27"/>
              <w:jc w:val="right"/>
              <w:rPr>
                <w:sz w:val="20"/>
              </w:rPr>
            </w:pPr>
            <w:r>
              <w:rPr>
                <w:spacing w:val="-2"/>
                <w:sz w:val="20"/>
              </w:rPr>
              <w:t>0.000001</w:t>
            </w:r>
          </w:p>
        </w:tc>
      </w:tr>
    </w:tbl>
    <w:p>
      <w:pPr>
        <w:pStyle w:val="BodyText"/>
        <w:rPr>
          <w:sz w:val="20"/>
        </w:rPr>
      </w:pPr>
    </w:p>
    <w:p>
      <w:pPr>
        <w:pStyle w:val="BodyText"/>
        <w:spacing w:before="7"/>
        <w:rPr>
          <w:sz w:val="20"/>
        </w:rPr>
      </w:pPr>
    </w:p>
    <w:p>
      <w:pPr>
        <w:spacing w:before="0" w:after="3"/>
        <w:ind w:left="771" w:right="0" w:firstLine="0"/>
        <w:jc w:val="left"/>
        <w:rPr>
          <w:sz w:val="20"/>
        </w:rPr>
      </w:pPr>
      <w:r>
        <w:rPr>
          <w:sz w:val="20"/>
        </w:rPr>
        <w:t>CAB</w:t>
      </w:r>
      <w:r>
        <w:rPr>
          <w:spacing w:val="-3"/>
          <w:sz w:val="20"/>
        </w:rPr>
        <w:t> </w:t>
      </w:r>
      <w:r>
        <w:rPr>
          <w:sz w:val="20"/>
        </w:rPr>
        <w:t>@</w:t>
      </w:r>
      <w:r>
        <w:rPr>
          <w:spacing w:val="-3"/>
          <w:sz w:val="20"/>
        </w:rPr>
        <w:t> </w:t>
      </w:r>
      <w:r>
        <w:rPr>
          <w:spacing w:val="-2"/>
          <w:sz w:val="20"/>
        </w:rPr>
        <w:t>LEVEL</w:t>
      </w:r>
    </w:p>
    <w:tbl>
      <w:tblPr>
        <w:tblW w:w="0" w:type="auto"/>
        <w:jc w:val="left"/>
        <w:tblInd w:w="8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49"/>
        <w:gridCol w:w="1377"/>
        <w:gridCol w:w="1433"/>
        <w:gridCol w:w="936"/>
        <w:gridCol w:w="896"/>
      </w:tblGrid>
      <w:tr>
        <w:trPr>
          <w:trHeight w:val="225" w:hRule="atLeast"/>
        </w:trPr>
        <w:tc>
          <w:tcPr>
            <w:tcW w:w="1849" w:type="dxa"/>
          </w:tcPr>
          <w:p>
            <w:pPr>
              <w:pStyle w:val="TableParagraph"/>
              <w:spacing w:line="205" w:lineRule="exact"/>
              <w:ind w:left="35"/>
              <w:rPr>
                <w:sz w:val="20"/>
              </w:rPr>
            </w:pPr>
            <w:r>
              <w:rPr>
                <w:sz w:val="20"/>
              </w:rPr>
              <w:t>ADF</w:t>
            </w:r>
            <w:r>
              <w:rPr>
                <w:spacing w:val="-4"/>
                <w:sz w:val="20"/>
              </w:rPr>
              <w:t> </w:t>
            </w:r>
            <w:r>
              <w:rPr>
                <w:sz w:val="20"/>
              </w:rPr>
              <w:t>Test</w:t>
            </w:r>
            <w:r>
              <w:rPr>
                <w:spacing w:val="-4"/>
                <w:sz w:val="20"/>
              </w:rPr>
              <w:t> </w:t>
            </w:r>
            <w:r>
              <w:rPr>
                <w:spacing w:val="-2"/>
                <w:sz w:val="20"/>
              </w:rPr>
              <w:t>Statistic</w:t>
            </w:r>
          </w:p>
        </w:tc>
        <w:tc>
          <w:tcPr>
            <w:tcW w:w="1377" w:type="dxa"/>
          </w:tcPr>
          <w:p>
            <w:pPr>
              <w:pStyle w:val="TableParagraph"/>
              <w:spacing w:line="205" w:lineRule="exact"/>
              <w:ind w:left="220"/>
              <w:rPr>
                <w:sz w:val="20"/>
              </w:rPr>
            </w:pPr>
            <w:r>
              <w:rPr>
                <w:spacing w:val="-4"/>
                <w:sz w:val="20"/>
              </w:rPr>
              <w:t>-</w:t>
            </w:r>
            <w:r>
              <w:rPr>
                <w:spacing w:val="-2"/>
                <w:sz w:val="20"/>
              </w:rPr>
              <w:t>2.733113</w:t>
            </w:r>
          </w:p>
        </w:tc>
        <w:tc>
          <w:tcPr>
            <w:tcW w:w="2369" w:type="dxa"/>
            <w:gridSpan w:val="2"/>
          </w:tcPr>
          <w:p>
            <w:pPr>
              <w:pStyle w:val="TableParagraph"/>
              <w:spacing w:line="205" w:lineRule="exact"/>
              <w:ind w:left="130"/>
              <w:rPr>
                <w:sz w:val="20"/>
              </w:rPr>
            </w:pPr>
            <w:r>
              <w:rPr>
                <w:sz w:val="20"/>
              </w:rPr>
              <w:t>1%</w:t>
            </w:r>
            <w:r>
              <w:rPr>
                <w:spacing w:val="68"/>
                <w:w w:val="150"/>
                <w:sz w:val="20"/>
              </w:rPr>
              <w:t> </w:t>
            </w:r>
            <w:r>
              <w:rPr>
                <w:sz w:val="20"/>
              </w:rPr>
              <w:t>Critical</w:t>
            </w:r>
            <w:r>
              <w:rPr>
                <w:spacing w:val="-2"/>
                <w:sz w:val="20"/>
              </w:rPr>
              <w:t> Value*</w:t>
            </w:r>
          </w:p>
        </w:tc>
        <w:tc>
          <w:tcPr>
            <w:tcW w:w="896" w:type="dxa"/>
          </w:tcPr>
          <w:p>
            <w:pPr>
              <w:pStyle w:val="TableParagraph"/>
              <w:spacing w:line="205" w:lineRule="exact"/>
              <w:ind w:right="31"/>
              <w:jc w:val="right"/>
              <w:rPr>
                <w:sz w:val="20"/>
              </w:rPr>
            </w:pPr>
            <w:r>
              <w:rPr>
                <w:spacing w:val="-4"/>
                <w:sz w:val="20"/>
              </w:rPr>
              <w:t>-</w:t>
            </w:r>
            <w:r>
              <w:rPr>
                <w:spacing w:val="-2"/>
                <w:sz w:val="20"/>
              </w:rPr>
              <w:t>3.7497</w:t>
            </w:r>
          </w:p>
        </w:tc>
      </w:tr>
      <w:tr>
        <w:trPr>
          <w:trHeight w:val="230" w:hRule="atLeast"/>
        </w:trPr>
        <w:tc>
          <w:tcPr>
            <w:tcW w:w="1849" w:type="dxa"/>
          </w:tcPr>
          <w:p>
            <w:pPr>
              <w:pStyle w:val="TableParagraph"/>
              <w:rPr>
                <w:sz w:val="16"/>
              </w:rPr>
            </w:pPr>
          </w:p>
        </w:tc>
        <w:tc>
          <w:tcPr>
            <w:tcW w:w="1377" w:type="dxa"/>
          </w:tcPr>
          <w:p>
            <w:pPr>
              <w:pStyle w:val="TableParagraph"/>
              <w:rPr>
                <w:sz w:val="16"/>
              </w:rPr>
            </w:pPr>
          </w:p>
        </w:tc>
        <w:tc>
          <w:tcPr>
            <w:tcW w:w="2369" w:type="dxa"/>
            <w:gridSpan w:val="2"/>
          </w:tcPr>
          <w:p>
            <w:pPr>
              <w:pStyle w:val="TableParagraph"/>
              <w:spacing w:line="210" w:lineRule="exact"/>
              <w:ind w:left="130"/>
              <w:rPr>
                <w:sz w:val="20"/>
              </w:rPr>
            </w:pPr>
            <w:r>
              <w:rPr>
                <w:sz w:val="20"/>
              </w:rPr>
              <w:t>5%</w:t>
            </w:r>
            <w:r>
              <w:rPr>
                <w:spacing w:val="68"/>
                <w:w w:val="150"/>
                <w:sz w:val="20"/>
              </w:rPr>
              <w:t> </w:t>
            </w:r>
            <w:r>
              <w:rPr>
                <w:sz w:val="20"/>
              </w:rPr>
              <w:t>Critical</w:t>
            </w:r>
            <w:r>
              <w:rPr>
                <w:spacing w:val="-2"/>
                <w:sz w:val="20"/>
              </w:rPr>
              <w:t> </w:t>
            </w:r>
            <w:r>
              <w:rPr>
                <w:spacing w:val="-4"/>
                <w:sz w:val="20"/>
              </w:rPr>
              <w:t>Value</w:t>
            </w:r>
          </w:p>
        </w:tc>
        <w:tc>
          <w:tcPr>
            <w:tcW w:w="896" w:type="dxa"/>
          </w:tcPr>
          <w:p>
            <w:pPr>
              <w:pStyle w:val="TableParagraph"/>
              <w:spacing w:line="210" w:lineRule="exact"/>
              <w:ind w:right="31"/>
              <w:jc w:val="right"/>
              <w:rPr>
                <w:sz w:val="20"/>
              </w:rPr>
            </w:pPr>
            <w:r>
              <w:rPr>
                <w:spacing w:val="-4"/>
                <w:sz w:val="20"/>
              </w:rPr>
              <w:t>-</w:t>
            </w:r>
            <w:r>
              <w:rPr>
                <w:spacing w:val="-2"/>
                <w:sz w:val="20"/>
              </w:rPr>
              <w:t>2.9969</w:t>
            </w:r>
          </w:p>
        </w:tc>
      </w:tr>
      <w:tr>
        <w:trPr>
          <w:trHeight w:val="224" w:hRule="atLeast"/>
        </w:trPr>
        <w:tc>
          <w:tcPr>
            <w:tcW w:w="1849" w:type="dxa"/>
            <w:tcBorders>
              <w:bottom w:val="double" w:sz="6" w:space="0" w:color="000000"/>
            </w:tcBorders>
          </w:tcPr>
          <w:p>
            <w:pPr>
              <w:pStyle w:val="TableParagraph"/>
              <w:rPr>
                <w:sz w:val="16"/>
              </w:rPr>
            </w:pPr>
          </w:p>
        </w:tc>
        <w:tc>
          <w:tcPr>
            <w:tcW w:w="1377" w:type="dxa"/>
            <w:tcBorders>
              <w:bottom w:val="double" w:sz="6" w:space="0" w:color="000000"/>
            </w:tcBorders>
          </w:tcPr>
          <w:p>
            <w:pPr>
              <w:pStyle w:val="TableParagraph"/>
              <w:rPr>
                <w:sz w:val="16"/>
              </w:rPr>
            </w:pPr>
          </w:p>
        </w:tc>
        <w:tc>
          <w:tcPr>
            <w:tcW w:w="2369" w:type="dxa"/>
            <w:gridSpan w:val="2"/>
            <w:tcBorders>
              <w:bottom w:val="double" w:sz="6" w:space="0" w:color="000000"/>
            </w:tcBorders>
          </w:tcPr>
          <w:p>
            <w:pPr>
              <w:pStyle w:val="TableParagraph"/>
              <w:spacing w:line="205" w:lineRule="exact"/>
              <w:ind w:left="130"/>
              <w:rPr>
                <w:sz w:val="20"/>
              </w:rPr>
            </w:pPr>
            <w:r>
              <w:rPr>
                <w:sz w:val="20"/>
              </w:rPr>
              <w:t>10%</w:t>
            </w:r>
            <w:r>
              <w:rPr>
                <w:spacing w:val="-6"/>
                <w:sz w:val="20"/>
              </w:rPr>
              <w:t> </w:t>
            </w:r>
            <w:r>
              <w:rPr>
                <w:sz w:val="20"/>
              </w:rPr>
              <w:t>Critical</w:t>
            </w:r>
            <w:r>
              <w:rPr>
                <w:spacing w:val="-4"/>
                <w:sz w:val="20"/>
              </w:rPr>
              <w:t> </w:t>
            </w:r>
            <w:r>
              <w:rPr>
                <w:spacing w:val="-2"/>
                <w:sz w:val="20"/>
              </w:rPr>
              <w:t>Value</w:t>
            </w:r>
          </w:p>
        </w:tc>
        <w:tc>
          <w:tcPr>
            <w:tcW w:w="896" w:type="dxa"/>
            <w:tcBorders>
              <w:bottom w:val="double" w:sz="6" w:space="0" w:color="000000"/>
            </w:tcBorders>
          </w:tcPr>
          <w:p>
            <w:pPr>
              <w:pStyle w:val="TableParagraph"/>
              <w:spacing w:line="205" w:lineRule="exact"/>
              <w:ind w:right="31"/>
              <w:jc w:val="right"/>
              <w:rPr>
                <w:sz w:val="20"/>
              </w:rPr>
            </w:pPr>
            <w:r>
              <w:rPr>
                <w:spacing w:val="-4"/>
                <w:sz w:val="20"/>
              </w:rPr>
              <w:t>-</w:t>
            </w:r>
            <w:r>
              <w:rPr>
                <w:spacing w:val="-2"/>
                <w:sz w:val="20"/>
              </w:rPr>
              <w:t>2.6381</w:t>
            </w:r>
          </w:p>
        </w:tc>
      </w:tr>
      <w:tr>
        <w:trPr>
          <w:trHeight w:val="504" w:hRule="atLeast"/>
        </w:trPr>
        <w:tc>
          <w:tcPr>
            <w:tcW w:w="6491" w:type="dxa"/>
            <w:gridSpan w:val="5"/>
            <w:tcBorders>
              <w:top w:val="double" w:sz="6" w:space="0" w:color="000000"/>
            </w:tcBorders>
          </w:tcPr>
          <w:p>
            <w:pPr>
              <w:pStyle w:val="TableParagraph"/>
              <w:spacing w:before="40"/>
              <w:ind w:left="35"/>
              <w:rPr>
                <w:sz w:val="20"/>
              </w:rPr>
            </w:pPr>
            <w:r>
              <w:rPr>
                <w:sz w:val="20"/>
              </w:rPr>
              <w:t>*MacKinnon</w:t>
            </w:r>
            <w:r>
              <w:rPr>
                <w:spacing w:val="-6"/>
                <w:sz w:val="20"/>
              </w:rPr>
              <w:t> </w:t>
            </w:r>
            <w:r>
              <w:rPr>
                <w:sz w:val="20"/>
              </w:rPr>
              <w:t>critical</w:t>
            </w:r>
            <w:r>
              <w:rPr>
                <w:spacing w:val="-4"/>
                <w:sz w:val="20"/>
              </w:rPr>
              <w:t> </w:t>
            </w:r>
            <w:r>
              <w:rPr>
                <w:sz w:val="20"/>
              </w:rPr>
              <w:t>values</w:t>
            </w:r>
            <w:r>
              <w:rPr>
                <w:spacing w:val="-6"/>
                <w:sz w:val="20"/>
              </w:rPr>
              <w:t> </w:t>
            </w:r>
            <w:r>
              <w:rPr>
                <w:sz w:val="20"/>
              </w:rPr>
              <w:t>for</w:t>
            </w:r>
            <w:r>
              <w:rPr>
                <w:spacing w:val="-4"/>
                <w:sz w:val="20"/>
              </w:rPr>
              <w:t> </w:t>
            </w:r>
            <w:r>
              <w:rPr>
                <w:sz w:val="20"/>
              </w:rPr>
              <w:t>rejection</w:t>
            </w:r>
            <w:r>
              <w:rPr>
                <w:spacing w:val="-6"/>
                <w:sz w:val="20"/>
              </w:rPr>
              <w:t> </w:t>
            </w:r>
            <w:r>
              <w:rPr>
                <w:sz w:val="20"/>
              </w:rPr>
              <w:t>of</w:t>
            </w:r>
            <w:r>
              <w:rPr>
                <w:spacing w:val="-6"/>
                <w:sz w:val="20"/>
              </w:rPr>
              <w:t> </w:t>
            </w:r>
            <w:r>
              <w:rPr>
                <w:sz w:val="20"/>
              </w:rPr>
              <w:t>hypothesis</w:t>
            </w:r>
            <w:r>
              <w:rPr>
                <w:spacing w:val="-6"/>
                <w:sz w:val="20"/>
              </w:rPr>
              <w:t> </w:t>
            </w:r>
            <w:r>
              <w:rPr>
                <w:sz w:val="20"/>
              </w:rPr>
              <w:t>of</w:t>
            </w:r>
            <w:r>
              <w:rPr>
                <w:spacing w:val="-6"/>
                <w:sz w:val="20"/>
              </w:rPr>
              <w:t> </w:t>
            </w:r>
            <w:r>
              <w:rPr>
                <w:sz w:val="20"/>
              </w:rPr>
              <w:t>a</w:t>
            </w:r>
            <w:r>
              <w:rPr>
                <w:spacing w:val="-4"/>
                <w:sz w:val="20"/>
              </w:rPr>
              <w:t> </w:t>
            </w:r>
            <w:r>
              <w:rPr>
                <w:sz w:val="20"/>
              </w:rPr>
              <w:t>unit</w:t>
            </w:r>
            <w:r>
              <w:rPr>
                <w:spacing w:val="-6"/>
                <w:sz w:val="20"/>
              </w:rPr>
              <w:t> </w:t>
            </w:r>
            <w:r>
              <w:rPr>
                <w:spacing w:val="-2"/>
                <w:sz w:val="20"/>
              </w:rPr>
              <w:t>root.</w:t>
            </w:r>
          </w:p>
        </w:tc>
      </w:tr>
      <w:tr>
        <w:trPr>
          <w:trHeight w:val="459" w:hRule="atLeast"/>
        </w:trPr>
        <w:tc>
          <w:tcPr>
            <w:tcW w:w="6491" w:type="dxa"/>
            <w:gridSpan w:val="5"/>
          </w:tcPr>
          <w:p>
            <w:pPr>
              <w:pStyle w:val="TableParagraph"/>
              <w:spacing w:line="215" w:lineRule="exact" w:before="225"/>
              <w:ind w:left="35"/>
              <w:rPr>
                <w:sz w:val="20"/>
              </w:rPr>
            </w:pPr>
            <w:r>
              <w:rPr>
                <w:sz w:val="20"/>
              </w:rPr>
              <w:t>Augmented</w:t>
            </w:r>
            <w:r>
              <w:rPr>
                <w:spacing w:val="-8"/>
                <w:sz w:val="20"/>
              </w:rPr>
              <w:t> </w:t>
            </w:r>
            <w:r>
              <w:rPr>
                <w:sz w:val="20"/>
              </w:rPr>
              <w:t>Dickey-Fuller</w:t>
            </w:r>
            <w:r>
              <w:rPr>
                <w:spacing w:val="-8"/>
                <w:sz w:val="20"/>
              </w:rPr>
              <w:t> </w:t>
            </w:r>
            <w:r>
              <w:rPr>
                <w:sz w:val="20"/>
              </w:rPr>
              <w:t>Test</w:t>
            </w:r>
            <w:r>
              <w:rPr>
                <w:spacing w:val="-9"/>
                <w:sz w:val="20"/>
              </w:rPr>
              <w:t> </w:t>
            </w:r>
            <w:r>
              <w:rPr>
                <w:spacing w:val="-2"/>
                <w:sz w:val="20"/>
              </w:rPr>
              <w:t>Equation</w:t>
            </w:r>
          </w:p>
        </w:tc>
      </w:tr>
      <w:tr>
        <w:trPr>
          <w:trHeight w:val="230" w:hRule="atLeast"/>
        </w:trPr>
        <w:tc>
          <w:tcPr>
            <w:tcW w:w="6491" w:type="dxa"/>
            <w:gridSpan w:val="5"/>
          </w:tcPr>
          <w:p>
            <w:pPr>
              <w:pStyle w:val="TableParagraph"/>
              <w:spacing w:line="210" w:lineRule="exact"/>
              <w:ind w:left="35"/>
              <w:rPr>
                <w:sz w:val="20"/>
              </w:rPr>
            </w:pPr>
            <w:r>
              <w:rPr>
                <w:sz w:val="20"/>
              </w:rPr>
              <w:t>Dependent</w:t>
            </w:r>
            <w:r>
              <w:rPr>
                <w:spacing w:val="-8"/>
                <w:sz w:val="20"/>
              </w:rPr>
              <w:t> </w:t>
            </w:r>
            <w:r>
              <w:rPr>
                <w:sz w:val="20"/>
              </w:rPr>
              <w:t>Variable:</w:t>
            </w:r>
            <w:r>
              <w:rPr>
                <w:spacing w:val="-7"/>
                <w:sz w:val="20"/>
              </w:rPr>
              <w:t> </w:t>
            </w:r>
            <w:r>
              <w:rPr>
                <w:spacing w:val="-2"/>
                <w:sz w:val="20"/>
              </w:rPr>
              <w:t>D(CAB)</w:t>
            </w:r>
          </w:p>
        </w:tc>
      </w:tr>
      <w:tr>
        <w:trPr>
          <w:trHeight w:val="230" w:hRule="atLeast"/>
        </w:trPr>
        <w:tc>
          <w:tcPr>
            <w:tcW w:w="6491" w:type="dxa"/>
            <w:gridSpan w:val="5"/>
          </w:tcPr>
          <w:p>
            <w:pPr>
              <w:pStyle w:val="TableParagraph"/>
              <w:spacing w:line="210" w:lineRule="exact"/>
              <w:ind w:left="35"/>
              <w:rPr>
                <w:sz w:val="20"/>
              </w:rPr>
            </w:pPr>
            <w:r>
              <w:rPr>
                <w:sz w:val="20"/>
              </w:rPr>
              <w:t>Method:</w:t>
            </w:r>
            <w:r>
              <w:rPr>
                <w:spacing w:val="-8"/>
                <w:sz w:val="20"/>
              </w:rPr>
              <w:t> </w:t>
            </w:r>
            <w:r>
              <w:rPr>
                <w:sz w:val="20"/>
              </w:rPr>
              <w:t>Least</w:t>
            </w:r>
            <w:r>
              <w:rPr>
                <w:spacing w:val="-7"/>
                <w:sz w:val="20"/>
              </w:rPr>
              <w:t> </w:t>
            </w:r>
            <w:r>
              <w:rPr>
                <w:spacing w:val="-2"/>
                <w:sz w:val="20"/>
              </w:rPr>
              <w:t>Squares</w:t>
            </w:r>
          </w:p>
        </w:tc>
      </w:tr>
      <w:tr>
        <w:trPr>
          <w:trHeight w:val="230" w:hRule="atLeast"/>
        </w:trPr>
        <w:tc>
          <w:tcPr>
            <w:tcW w:w="6491" w:type="dxa"/>
            <w:gridSpan w:val="5"/>
          </w:tcPr>
          <w:p>
            <w:pPr>
              <w:pStyle w:val="TableParagraph"/>
              <w:spacing w:line="210" w:lineRule="exact"/>
              <w:ind w:left="35"/>
              <w:rPr>
                <w:sz w:val="20"/>
              </w:rPr>
            </w:pPr>
            <w:r>
              <w:rPr>
                <w:sz w:val="20"/>
              </w:rPr>
              <w:t>Date:</w:t>
            </w:r>
            <w:r>
              <w:rPr>
                <w:spacing w:val="-5"/>
                <w:sz w:val="20"/>
              </w:rPr>
              <w:t> </w:t>
            </w:r>
            <w:r>
              <w:rPr>
                <w:sz w:val="20"/>
              </w:rPr>
              <w:t>02/17/14</w:t>
            </w:r>
            <w:r>
              <w:rPr>
                <w:spacing w:val="63"/>
                <w:w w:val="150"/>
                <w:sz w:val="20"/>
              </w:rPr>
              <w:t> </w:t>
            </w:r>
            <w:r>
              <w:rPr>
                <w:sz w:val="20"/>
              </w:rPr>
              <w:t>Time:</w:t>
            </w:r>
            <w:r>
              <w:rPr>
                <w:spacing w:val="-3"/>
                <w:sz w:val="20"/>
              </w:rPr>
              <w:t> </w:t>
            </w:r>
            <w:r>
              <w:rPr>
                <w:spacing w:val="-2"/>
                <w:sz w:val="20"/>
              </w:rPr>
              <w:t>18:12</w:t>
            </w:r>
          </w:p>
        </w:tc>
      </w:tr>
      <w:tr>
        <w:trPr>
          <w:trHeight w:val="229" w:hRule="atLeast"/>
        </w:trPr>
        <w:tc>
          <w:tcPr>
            <w:tcW w:w="6491" w:type="dxa"/>
            <w:gridSpan w:val="5"/>
          </w:tcPr>
          <w:p>
            <w:pPr>
              <w:pStyle w:val="TableParagraph"/>
              <w:spacing w:line="209" w:lineRule="exact"/>
              <w:ind w:left="35"/>
              <w:rPr>
                <w:sz w:val="20"/>
              </w:rPr>
            </w:pPr>
            <w:r>
              <w:rPr>
                <w:sz w:val="20"/>
              </w:rPr>
              <w:t>Sample(adjusted):</w:t>
            </w:r>
            <w:r>
              <w:rPr>
                <w:spacing w:val="-9"/>
                <w:sz w:val="20"/>
              </w:rPr>
              <w:t> </w:t>
            </w:r>
            <w:r>
              <w:rPr>
                <w:sz w:val="20"/>
              </w:rPr>
              <w:t>1989</w:t>
            </w:r>
            <w:r>
              <w:rPr>
                <w:spacing w:val="-9"/>
                <w:sz w:val="20"/>
              </w:rPr>
              <w:t> </w:t>
            </w:r>
            <w:r>
              <w:rPr>
                <w:spacing w:val="-4"/>
                <w:sz w:val="20"/>
              </w:rPr>
              <w:t>2011</w:t>
            </w:r>
          </w:p>
        </w:tc>
      </w:tr>
      <w:tr>
        <w:trPr>
          <w:trHeight w:val="223" w:hRule="atLeast"/>
        </w:trPr>
        <w:tc>
          <w:tcPr>
            <w:tcW w:w="6491" w:type="dxa"/>
            <w:gridSpan w:val="5"/>
            <w:tcBorders>
              <w:bottom w:val="double" w:sz="6" w:space="0" w:color="000000"/>
            </w:tcBorders>
          </w:tcPr>
          <w:p>
            <w:pPr>
              <w:pStyle w:val="TableParagraph"/>
              <w:spacing w:line="204" w:lineRule="exact"/>
              <w:ind w:left="35"/>
              <w:rPr>
                <w:sz w:val="20"/>
              </w:rPr>
            </w:pPr>
            <w:r>
              <w:rPr>
                <w:sz w:val="20"/>
              </w:rPr>
              <w:t>Included</w:t>
            </w:r>
            <w:r>
              <w:rPr>
                <w:spacing w:val="-6"/>
                <w:sz w:val="20"/>
              </w:rPr>
              <w:t> </w:t>
            </w:r>
            <w:r>
              <w:rPr>
                <w:sz w:val="20"/>
              </w:rPr>
              <w:t>observations:</w:t>
            </w:r>
            <w:r>
              <w:rPr>
                <w:spacing w:val="-8"/>
                <w:sz w:val="20"/>
              </w:rPr>
              <w:t> </w:t>
            </w:r>
            <w:r>
              <w:rPr>
                <w:sz w:val="20"/>
              </w:rPr>
              <w:t>23</w:t>
            </w:r>
            <w:r>
              <w:rPr>
                <w:spacing w:val="-5"/>
                <w:sz w:val="20"/>
              </w:rPr>
              <w:t> </w:t>
            </w:r>
            <w:r>
              <w:rPr>
                <w:sz w:val="20"/>
              </w:rPr>
              <w:t>after</w:t>
            </w:r>
            <w:r>
              <w:rPr>
                <w:spacing w:val="-7"/>
                <w:sz w:val="20"/>
              </w:rPr>
              <w:t> </w:t>
            </w:r>
            <w:r>
              <w:rPr>
                <w:sz w:val="20"/>
              </w:rPr>
              <w:t>adjusting</w:t>
            </w:r>
            <w:r>
              <w:rPr>
                <w:spacing w:val="-7"/>
                <w:sz w:val="20"/>
              </w:rPr>
              <w:t> </w:t>
            </w:r>
            <w:r>
              <w:rPr>
                <w:spacing w:val="-2"/>
                <w:sz w:val="20"/>
              </w:rPr>
              <w:t>endpoints</w:t>
            </w:r>
          </w:p>
        </w:tc>
      </w:tr>
      <w:tr>
        <w:trPr>
          <w:trHeight w:val="271" w:hRule="atLeast"/>
        </w:trPr>
        <w:tc>
          <w:tcPr>
            <w:tcW w:w="1849" w:type="dxa"/>
            <w:tcBorders>
              <w:top w:val="double" w:sz="6" w:space="0" w:color="000000"/>
              <w:bottom w:val="double" w:sz="6" w:space="0" w:color="000000"/>
            </w:tcBorders>
          </w:tcPr>
          <w:p>
            <w:pPr>
              <w:pStyle w:val="TableParagraph"/>
              <w:spacing w:line="209" w:lineRule="exact" w:before="42"/>
              <w:ind w:left="677"/>
              <w:rPr>
                <w:sz w:val="20"/>
              </w:rPr>
            </w:pPr>
            <w:r>
              <w:rPr>
                <w:spacing w:val="-2"/>
                <w:sz w:val="20"/>
              </w:rPr>
              <w:t>Variable</w:t>
            </w:r>
          </w:p>
        </w:tc>
        <w:tc>
          <w:tcPr>
            <w:tcW w:w="1377" w:type="dxa"/>
            <w:tcBorders>
              <w:top w:val="double" w:sz="6" w:space="0" w:color="000000"/>
              <w:bottom w:val="double" w:sz="6" w:space="0" w:color="000000"/>
            </w:tcBorders>
          </w:tcPr>
          <w:p>
            <w:pPr>
              <w:pStyle w:val="TableParagraph"/>
              <w:spacing w:line="209" w:lineRule="exact" w:before="42"/>
              <w:ind w:right="134"/>
              <w:jc w:val="right"/>
              <w:rPr>
                <w:sz w:val="20"/>
              </w:rPr>
            </w:pPr>
            <w:r>
              <w:rPr>
                <w:spacing w:val="-2"/>
                <w:sz w:val="20"/>
              </w:rPr>
              <w:t>Coefficient</w:t>
            </w:r>
          </w:p>
        </w:tc>
        <w:tc>
          <w:tcPr>
            <w:tcW w:w="1433" w:type="dxa"/>
            <w:tcBorders>
              <w:top w:val="double" w:sz="6" w:space="0" w:color="000000"/>
              <w:bottom w:val="double" w:sz="6" w:space="0" w:color="000000"/>
            </w:tcBorders>
          </w:tcPr>
          <w:p>
            <w:pPr>
              <w:pStyle w:val="TableParagraph"/>
              <w:spacing w:line="209" w:lineRule="exact" w:before="42"/>
              <w:ind w:left="271"/>
              <w:rPr>
                <w:sz w:val="20"/>
              </w:rPr>
            </w:pPr>
            <w:r>
              <w:rPr>
                <w:sz w:val="20"/>
              </w:rPr>
              <w:t>Std.</w:t>
            </w:r>
            <w:r>
              <w:rPr>
                <w:spacing w:val="-4"/>
                <w:sz w:val="20"/>
              </w:rPr>
              <w:t> </w:t>
            </w:r>
            <w:r>
              <w:rPr>
                <w:spacing w:val="-2"/>
                <w:sz w:val="20"/>
              </w:rPr>
              <w:t>Error</w:t>
            </w:r>
          </w:p>
        </w:tc>
        <w:tc>
          <w:tcPr>
            <w:tcW w:w="936" w:type="dxa"/>
            <w:tcBorders>
              <w:top w:val="double" w:sz="6" w:space="0" w:color="000000"/>
              <w:bottom w:val="double" w:sz="6" w:space="0" w:color="000000"/>
            </w:tcBorders>
          </w:tcPr>
          <w:p>
            <w:pPr>
              <w:pStyle w:val="TableParagraph"/>
              <w:spacing w:line="209" w:lineRule="exact" w:before="42"/>
              <w:ind w:left="55"/>
              <w:rPr>
                <w:sz w:val="20"/>
              </w:rPr>
            </w:pPr>
            <w:r>
              <w:rPr>
                <w:spacing w:val="-4"/>
                <w:sz w:val="20"/>
              </w:rPr>
              <w:t>t-</w:t>
            </w:r>
            <w:r>
              <w:rPr>
                <w:spacing w:val="-2"/>
                <w:sz w:val="20"/>
              </w:rPr>
              <w:t>Statistic</w:t>
            </w:r>
          </w:p>
        </w:tc>
        <w:tc>
          <w:tcPr>
            <w:tcW w:w="896" w:type="dxa"/>
            <w:tcBorders>
              <w:top w:val="double" w:sz="6" w:space="0" w:color="000000"/>
              <w:bottom w:val="double" w:sz="6" w:space="0" w:color="000000"/>
            </w:tcBorders>
          </w:tcPr>
          <w:p>
            <w:pPr>
              <w:pStyle w:val="TableParagraph"/>
              <w:spacing w:line="209" w:lineRule="exact" w:before="42"/>
              <w:ind w:right="32"/>
              <w:jc w:val="right"/>
              <w:rPr>
                <w:sz w:val="20"/>
              </w:rPr>
            </w:pPr>
            <w:r>
              <w:rPr>
                <w:spacing w:val="-2"/>
                <w:sz w:val="20"/>
              </w:rPr>
              <w:t>Prob.</w:t>
            </w:r>
          </w:p>
        </w:tc>
      </w:tr>
      <w:tr>
        <w:trPr>
          <w:trHeight w:val="275" w:hRule="atLeast"/>
        </w:trPr>
        <w:tc>
          <w:tcPr>
            <w:tcW w:w="1849" w:type="dxa"/>
            <w:tcBorders>
              <w:top w:val="double" w:sz="6" w:space="0" w:color="000000"/>
            </w:tcBorders>
          </w:tcPr>
          <w:p>
            <w:pPr>
              <w:pStyle w:val="TableParagraph"/>
              <w:spacing w:line="215" w:lineRule="exact" w:before="40"/>
              <w:ind w:left="667"/>
              <w:rPr>
                <w:sz w:val="20"/>
              </w:rPr>
            </w:pPr>
            <w:r>
              <w:rPr>
                <w:spacing w:val="-2"/>
                <w:sz w:val="20"/>
              </w:rPr>
              <w:t>CAB(-</w:t>
            </w:r>
            <w:r>
              <w:rPr>
                <w:spacing w:val="-5"/>
                <w:sz w:val="20"/>
              </w:rPr>
              <w:t>1)</w:t>
            </w:r>
          </w:p>
        </w:tc>
        <w:tc>
          <w:tcPr>
            <w:tcW w:w="1377" w:type="dxa"/>
            <w:tcBorders>
              <w:top w:val="double" w:sz="6" w:space="0" w:color="000000"/>
            </w:tcBorders>
          </w:tcPr>
          <w:p>
            <w:pPr>
              <w:pStyle w:val="TableParagraph"/>
              <w:spacing w:line="215" w:lineRule="exact" w:before="40"/>
              <w:ind w:right="130"/>
              <w:jc w:val="right"/>
              <w:rPr>
                <w:sz w:val="20"/>
              </w:rPr>
            </w:pPr>
            <w:r>
              <w:rPr>
                <w:spacing w:val="-4"/>
                <w:sz w:val="20"/>
              </w:rPr>
              <w:t>-</w:t>
            </w:r>
            <w:r>
              <w:rPr>
                <w:spacing w:val="-2"/>
                <w:sz w:val="20"/>
              </w:rPr>
              <w:t>0.265258</w:t>
            </w:r>
          </w:p>
        </w:tc>
        <w:tc>
          <w:tcPr>
            <w:tcW w:w="1433" w:type="dxa"/>
            <w:tcBorders>
              <w:top w:val="double" w:sz="6" w:space="0" w:color="000000"/>
            </w:tcBorders>
          </w:tcPr>
          <w:p>
            <w:pPr>
              <w:pStyle w:val="TableParagraph"/>
              <w:spacing w:line="215" w:lineRule="exact" w:before="40"/>
              <w:ind w:left="310"/>
              <w:rPr>
                <w:sz w:val="20"/>
              </w:rPr>
            </w:pPr>
            <w:r>
              <w:rPr>
                <w:spacing w:val="-2"/>
                <w:sz w:val="20"/>
              </w:rPr>
              <w:t>0.097053</w:t>
            </w:r>
          </w:p>
        </w:tc>
        <w:tc>
          <w:tcPr>
            <w:tcW w:w="936" w:type="dxa"/>
            <w:tcBorders>
              <w:top w:val="double" w:sz="6" w:space="0" w:color="000000"/>
            </w:tcBorders>
          </w:tcPr>
          <w:p>
            <w:pPr>
              <w:pStyle w:val="TableParagraph"/>
              <w:spacing w:line="215" w:lineRule="exact" w:before="40"/>
              <w:ind w:left="5"/>
              <w:rPr>
                <w:sz w:val="20"/>
              </w:rPr>
            </w:pPr>
            <w:r>
              <w:rPr>
                <w:spacing w:val="-4"/>
                <w:sz w:val="20"/>
              </w:rPr>
              <w:t>-</w:t>
            </w:r>
            <w:r>
              <w:rPr>
                <w:spacing w:val="-2"/>
                <w:sz w:val="20"/>
              </w:rPr>
              <w:t>2.733113</w:t>
            </w:r>
          </w:p>
        </w:tc>
        <w:tc>
          <w:tcPr>
            <w:tcW w:w="896" w:type="dxa"/>
            <w:tcBorders>
              <w:top w:val="double" w:sz="6" w:space="0" w:color="000000"/>
            </w:tcBorders>
          </w:tcPr>
          <w:p>
            <w:pPr>
              <w:pStyle w:val="TableParagraph"/>
              <w:spacing w:line="215" w:lineRule="exact" w:before="40"/>
              <w:ind w:right="31"/>
              <w:jc w:val="right"/>
              <w:rPr>
                <w:sz w:val="20"/>
              </w:rPr>
            </w:pPr>
            <w:r>
              <w:rPr>
                <w:spacing w:val="-2"/>
                <w:sz w:val="20"/>
              </w:rPr>
              <w:t>0.0128</w:t>
            </w:r>
          </w:p>
        </w:tc>
      </w:tr>
      <w:tr>
        <w:trPr>
          <w:trHeight w:val="230" w:hRule="atLeast"/>
        </w:trPr>
        <w:tc>
          <w:tcPr>
            <w:tcW w:w="1849" w:type="dxa"/>
          </w:tcPr>
          <w:p>
            <w:pPr>
              <w:pStyle w:val="TableParagraph"/>
              <w:spacing w:line="210" w:lineRule="exact"/>
              <w:ind w:left="528"/>
              <w:rPr>
                <w:sz w:val="20"/>
              </w:rPr>
            </w:pPr>
            <w:r>
              <w:rPr>
                <w:spacing w:val="-2"/>
                <w:sz w:val="20"/>
              </w:rPr>
              <w:t>D(CAB(-</w:t>
            </w:r>
            <w:r>
              <w:rPr>
                <w:spacing w:val="-5"/>
                <w:sz w:val="20"/>
              </w:rPr>
              <w:t>1))</w:t>
            </w:r>
          </w:p>
        </w:tc>
        <w:tc>
          <w:tcPr>
            <w:tcW w:w="1377" w:type="dxa"/>
          </w:tcPr>
          <w:p>
            <w:pPr>
              <w:pStyle w:val="TableParagraph"/>
              <w:spacing w:line="210" w:lineRule="exact"/>
              <w:ind w:right="130"/>
              <w:jc w:val="right"/>
              <w:rPr>
                <w:sz w:val="20"/>
              </w:rPr>
            </w:pPr>
            <w:r>
              <w:rPr>
                <w:spacing w:val="-4"/>
                <w:sz w:val="20"/>
              </w:rPr>
              <w:t>-</w:t>
            </w:r>
            <w:r>
              <w:rPr>
                <w:spacing w:val="-2"/>
                <w:sz w:val="20"/>
              </w:rPr>
              <w:t>0.211178</w:t>
            </w:r>
          </w:p>
        </w:tc>
        <w:tc>
          <w:tcPr>
            <w:tcW w:w="1433" w:type="dxa"/>
          </w:tcPr>
          <w:p>
            <w:pPr>
              <w:pStyle w:val="TableParagraph"/>
              <w:spacing w:line="210" w:lineRule="exact"/>
              <w:ind w:left="310"/>
              <w:rPr>
                <w:sz w:val="20"/>
              </w:rPr>
            </w:pPr>
            <w:r>
              <w:rPr>
                <w:spacing w:val="-2"/>
                <w:sz w:val="20"/>
              </w:rPr>
              <w:t>0.187128</w:t>
            </w:r>
          </w:p>
        </w:tc>
        <w:tc>
          <w:tcPr>
            <w:tcW w:w="936" w:type="dxa"/>
          </w:tcPr>
          <w:p>
            <w:pPr>
              <w:pStyle w:val="TableParagraph"/>
              <w:spacing w:line="210" w:lineRule="exact"/>
              <w:ind w:left="5"/>
              <w:rPr>
                <w:sz w:val="20"/>
              </w:rPr>
            </w:pPr>
            <w:r>
              <w:rPr>
                <w:spacing w:val="-4"/>
                <w:sz w:val="20"/>
              </w:rPr>
              <w:t>-</w:t>
            </w:r>
            <w:r>
              <w:rPr>
                <w:spacing w:val="-2"/>
                <w:sz w:val="20"/>
              </w:rPr>
              <w:t>1.128521</w:t>
            </w:r>
          </w:p>
        </w:tc>
        <w:tc>
          <w:tcPr>
            <w:tcW w:w="896" w:type="dxa"/>
          </w:tcPr>
          <w:p>
            <w:pPr>
              <w:pStyle w:val="TableParagraph"/>
              <w:spacing w:line="210" w:lineRule="exact"/>
              <w:ind w:right="31"/>
              <w:jc w:val="right"/>
              <w:rPr>
                <w:sz w:val="20"/>
              </w:rPr>
            </w:pPr>
            <w:r>
              <w:rPr>
                <w:spacing w:val="-2"/>
                <w:sz w:val="20"/>
              </w:rPr>
              <w:t>0.2725</w:t>
            </w:r>
          </w:p>
        </w:tc>
      </w:tr>
      <w:tr>
        <w:trPr>
          <w:trHeight w:val="224" w:hRule="atLeast"/>
        </w:trPr>
        <w:tc>
          <w:tcPr>
            <w:tcW w:w="1849" w:type="dxa"/>
            <w:tcBorders>
              <w:bottom w:val="double" w:sz="6" w:space="0" w:color="000000"/>
            </w:tcBorders>
          </w:tcPr>
          <w:p>
            <w:pPr>
              <w:pStyle w:val="TableParagraph"/>
              <w:spacing w:line="205" w:lineRule="exact"/>
              <w:ind w:left="195"/>
              <w:jc w:val="center"/>
              <w:rPr>
                <w:sz w:val="20"/>
              </w:rPr>
            </w:pPr>
            <w:r>
              <w:rPr>
                <w:spacing w:val="-10"/>
                <w:sz w:val="20"/>
              </w:rPr>
              <w:t>C</w:t>
            </w:r>
          </w:p>
        </w:tc>
        <w:tc>
          <w:tcPr>
            <w:tcW w:w="1377" w:type="dxa"/>
            <w:tcBorders>
              <w:bottom w:val="double" w:sz="6" w:space="0" w:color="000000"/>
            </w:tcBorders>
          </w:tcPr>
          <w:p>
            <w:pPr>
              <w:pStyle w:val="TableParagraph"/>
              <w:spacing w:line="205" w:lineRule="exact"/>
              <w:ind w:right="130"/>
              <w:jc w:val="right"/>
              <w:rPr>
                <w:sz w:val="20"/>
              </w:rPr>
            </w:pPr>
            <w:r>
              <w:rPr>
                <w:spacing w:val="-2"/>
                <w:sz w:val="20"/>
              </w:rPr>
              <w:t>3.670895</w:t>
            </w:r>
          </w:p>
        </w:tc>
        <w:tc>
          <w:tcPr>
            <w:tcW w:w="1433" w:type="dxa"/>
            <w:tcBorders>
              <w:bottom w:val="double" w:sz="6" w:space="0" w:color="000000"/>
            </w:tcBorders>
          </w:tcPr>
          <w:p>
            <w:pPr>
              <w:pStyle w:val="TableParagraph"/>
              <w:spacing w:line="205" w:lineRule="exact"/>
              <w:ind w:left="310"/>
              <w:rPr>
                <w:sz w:val="20"/>
              </w:rPr>
            </w:pPr>
            <w:r>
              <w:rPr>
                <w:spacing w:val="-2"/>
                <w:sz w:val="20"/>
              </w:rPr>
              <w:t>1.223176</w:t>
            </w:r>
          </w:p>
        </w:tc>
        <w:tc>
          <w:tcPr>
            <w:tcW w:w="936" w:type="dxa"/>
            <w:tcBorders>
              <w:bottom w:val="double" w:sz="6" w:space="0" w:color="000000"/>
            </w:tcBorders>
          </w:tcPr>
          <w:p>
            <w:pPr>
              <w:pStyle w:val="TableParagraph"/>
              <w:spacing w:line="205" w:lineRule="exact"/>
              <w:ind w:left="70"/>
              <w:rPr>
                <w:sz w:val="20"/>
              </w:rPr>
            </w:pPr>
            <w:r>
              <w:rPr>
                <w:spacing w:val="-2"/>
                <w:sz w:val="20"/>
              </w:rPr>
              <w:t>3.001117</w:t>
            </w:r>
          </w:p>
        </w:tc>
        <w:tc>
          <w:tcPr>
            <w:tcW w:w="896" w:type="dxa"/>
            <w:tcBorders>
              <w:bottom w:val="double" w:sz="6" w:space="0" w:color="000000"/>
            </w:tcBorders>
          </w:tcPr>
          <w:p>
            <w:pPr>
              <w:pStyle w:val="TableParagraph"/>
              <w:spacing w:line="205" w:lineRule="exact"/>
              <w:ind w:right="31"/>
              <w:jc w:val="right"/>
              <w:rPr>
                <w:sz w:val="20"/>
              </w:rPr>
            </w:pPr>
            <w:r>
              <w:rPr>
                <w:spacing w:val="-2"/>
                <w:sz w:val="20"/>
              </w:rPr>
              <w:t>0.0071</w:t>
            </w:r>
          </w:p>
        </w:tc>
      </w:tr>
      <w:tr>
        <w:trPr>
          <w:trHeight w:val="275" w:hRule="atLeast"/>
        </w:trPr>
        <w:tc>
          <w:tcPr>
            <w:tcW w:w="1849" w:type="dxa"/>
            <w:tcBorders>
              <w:top w:val="double" w:sz="6" w:space="0" w:color="000000"/>
            </w:tcBorders>
          </w:tcPr>
          <w:p>
            <w:pPr>
              <w:pStyle w:val="TableParagraph"/>
              <w:spacing w:line="215" w:lineRule="exact" w:before="40"/>
              <w:ind w:left="35"/>
              <w:rPr>
                <w:sz w:val="20"/>
              </w:rPr>
            </w:pPr>
            <w:r>
              <w:rPr>
                <w:spacing w:val="-2"/>
                <w:sz w:val="20"/>
              </w:rPr>
              <w:t>R-squared</w:t>
            </w:r>
          </w:p>
        </w:tc>
        <w:tc>
          <w:tcPr>
            <w:tcW w:w="1377" w:type="dxa"/>
            <w:tcBorders>
              <w:top w:val="double" w:sz="6" w:space="0" w:color="000000"/>
            </w:tcBorders>
          </w:tcPr>
          <w:p>
            <w:pPr>
              <w:pStyle w:val="TableParagraph"/>
              <w:spacing w:line="215" w:lineRule="exact" w:before="40"/>
              <w:ind w:right="130"/>
              <w:jc w:val="right"/>
              <w:rPr>
                <w:sz w:val="20"/>
              </w:rPr>
            </w:pPr>
            <w:r>
              <w:rPr>
                <w:spacing w:val="-2"/>
                <w:sz w:val="20"/>
              </w:rPr>
              <w:t>0.297901</w:t>
            </w:r>
          </w:p>
        </w:tc>
        <w:tc>
          <w:tcPr>
            <w:tcW w:w="2369" w:type="dxa"/>
            <w:gridSpan w:val="2"/>
            <w:tcBorders>
              <w:top w:val="double" w:sz="6" w:space="0" w:color="000000"/>
            </w:tcBorders>
          </w:tcPr>
          <w:p>
            <w:pPr>
              <w:pStyle w:val="TableParagraph"/>
              <w:spacing w:line="215" w:lineRule="exact" w:before="40"/>
              <w:ind w:left="130"/>
              <w:rPr>
                <w:sz w:val="20"/>
              </w:rPr>
            </w:pPr>
            <w:r>
              <w:rPr>
                <w:sz w:val="20"/>
              </w:rPr>
              <w:t>Mean</w:t>
            </w:r>
            <w:r>
              <w:rPr>
                <w:spacing w:val="-7"/>
                <w:sz w:val="20"/>
              </w:rPr>
              <w:t> </w:t>
            </w:r>
            <w:r>
              <w:rPr>
                <w:sz w:val="20"/>
              </w:rPr>
              <w:t>dependent</w:t>
            </w:r>
            <w:r>
              <w:rPr>
                <w:spacing w:val="-7"/>
                <w:sz w:val="20"/>
              </w:rPr>
              <w:t> </w:t>
            </w:r>
            <w:r>
              <w:rPr>
                <w:spacing w:val="-5"/>
                <w:sz w:val="20"/>
              </w:rPr>
              <w:t>var</w:t>
            </w:r>
          </w:p>
        </w:tc>
        <w:tc>
          <w:tcPr>
            <w:tcW w:w="896" w:type="dxa"/>
            <w:tcBorders>
              <w:top w:val="double" w:sz="6" w:space="0" w:color="000000"/>
            </w:tcBorders>
          </w:tcPr>
          <w:p>
            <w:pPr>
              <w:pStyle w:val="TableParagraph"/>
              <w:spacing w:line="215" w:lineRule="exact" w:before="40"/>
              <w:ind w:right="31"/>
              <w:jc w:val="right"/>
              <w:rPr>
                <w:sz w:val="20"/>
              </w:rPr>
            </w:pPr>
            <w:r>
              <w:rPr>
                <w:spacing w:val="-2"/>
                <w:sz w:val="20"/>
              </w:rPr>
              <w:t>0.314475</w:t>
            </w:r>
          </w:p>
        </w:tc>
      </w:tr>
      <w:tr>
        <w:trPr>
          <w:trHeight w:val="229" w:hRule="atLeast"/>
        </w:trPr>
        <w:tc>
          <w:tcPr>
            <w:tcW w:w="1849" w:type="dxa"/>
          </w:tcPr>
          <w:p>
            <w:pPr>
              <w:pStyle w:val="TableParagraph"/>
              <w:spacing w:line="209" w:lineRule="exact"/>
              <w:ind w:left="35"/>
              <w:rPr>
                <w:sz w:val="20"/>
              </w:rPr>
            </w:pPr>
            <w:r>
              <w:rPr>
                <w:sz w:val="20"/>
              </w:rPr>
              <w:t>Adjusted</w:t>
            </w:r>
            <w:r>
              <w:rPr>
                <w:spacing w:val="-10"/>
                <w:sz w:val="20"/>
              </w:rPr>
              <w:t> </w:t>
            </w:r>
            <w:r>
              <w:rPr>
                <w:sz w:val="20"/>
              </w:rPr>
              <w:t>R-</w:t>
            </w:r>
            <w:r>
              <w:rPr>
                <w:spacing w:val="-2"/>
                <w:sz w:val="20"/>
              </w:rPr>
              <w:t>squared</w:t>
            </w:r>
          </w:p>
        </w:tc>
        <w:tc>
          <w:tcPr>
            <w:tcW w:w="1377" w:type="dxa"/>
          </w:tcPr>
          <w:p>
            <w:pPr>
              <w:pStyle w:val="TableParagraph"/>
              <w:spacing w:line="209" w:lineRule="exact"/>
              <w:ind w:right="130"/>
              <w:jc w:val="right"/>
              <w:rPr>
                <w:sz w:val="20"/>
              </w:rPr>
            </w:pPr>
            <w:r>
              <w:rPr>
                <w:spacing w:val="-2"/>
                <w:sz w:val="20"/>
              </w:rPr>
              <w:t>0.227691</w:t>
            </w:r>
          </w:p>
        </w:tc>
        <w:tc>
          <w:tcPr>
            <w:tcW w:w="2369" w:type="dxa"/>
            <w:gridSpan w:val="2"/>
          </w:tcPr>
          <w:p>
            <w:pPr>
              <w:pStyle w:val="TableParagraph"/>
              <w:spacing w:line="209" w:lineRule="exact"/>
              <w:ind w:left="130"/>
              <w:rPr>
                <w:sz w:val="20"/>
              </w:rPr>
            </w:pPr>
            <w:r>
              <w:rPr>
                <w:sz w:val="20"/>
              </w:rPr>
              <w:t>S.D.</w:t>
            </w:r>
            <w:r>
              <w:rPr>
                <w:spacing w:val="-5"/>
                <w:sz w:val="20"/>
              </w:rPr>
              <w:t> </w:t>
            </w:r>
            <w:r>
              <w:rPr>
                <w:sz w:val="20"/>
              </w:rPr>
              <w:t>dependent</w:t>
            </w:r>
            <w:r>
              <w:rPr>
                <w:spacing w:val="-6"/>
                <w:sz w:val="20"/>
              </w:rPr>
              <w:t> </w:t>
            </w:r>
            <w:r>
              <w:rPr>
                <w:spacing w:val="-5"/>
                <w:sz w:val="20"/>
              </w:rPr>
              <w:t>var</w:t>
            </w:r>
          </w:p>
        </w:tc>
        <w:tc>
          <w:tcPr>
            <w:tcW w:w="896" w:type="dxa"/>
          </w:tcPr>
          <w:p>
            <w:pPr>
              <w:pStyle w:val="TableParagraph"/>
              <w:spacing w:line="209" w:lineRule="exact"/>
              <w:ind w:right="31"/>
              <w:jc w:val="right"/>
              <w:rPr>
                <w:sz w:val="20"/>
              </w:rPr>
            </w:pPr>
            <w:r>
              <w:rPr>
                <w:spacing w:val="-2"/>
                <w:sz w:val="20"/>
              </w:rPr>
              <w:t>1.184592</w:t>
            </w:r>
          </w:p>
        </w:tc>
      </w:tr>
      <w:tr>
        <w:trPr>
          <w:trHeight w:val="229" w:hRule="atLeast"/>
        </w:trPr>
        <w:tc>
          <w:tcPr>
            <w:tcW w:w="1849" w:type="dxa"/>
          </w:tcPr>
          <w:p>
            <w:pPr>
              <w:pStyle w:val="TableParagraph"/>
              <w:spacing w:line="209" w:lineRule="exact"/>
              <w:ind w:left="35"/>
              <w:rPr>
                <w:sz w:val="20"/>
              </w:rPr>
            </w:pPr>
            <w:r>
              <w:rPr>
                <w:sz w:val="20"/>
              </w:rPr>
              <w:t>S.E.</w:t>
            </w:r>
            <w:r>
              <w:rPr>
                <w:spacing w:val="-3"/>
                <w:sz w:val="20"/>
              </w:rPr>
              <w:t> </w:t>
            </w:r>
            <w:r>
              <w:rPr>
                <w:sz w:val="20"/>
              </w:rPr>
              <w:t>of</w:t>
            </w:r>
            <w:r>
              <w:rPr>
                <w:spacing w:val="-3"/>
                <w:sz w:val="20"/>
              </w:rPr>
              <w:t> </w:t>
            </w:r>
            <w:r>
              <w:rPr>
                <w:spacing w:val="-2"/>
                <w:sz w:val="20"/>
              </w:rPr>
              <w:t>regression</w:t>
            </w:r>
          </w:p>
        </w:tc>
        <w:tc>
          <w:tcPr>
            <w:tcW w:w="1377" w:type="dxa"/>
          </w:tcPr>
          <w:p>
            <w:pPr>
              <w:pStyle w:val="TableParagraph"/>
              <w:spacing w:line="209" w:lineRule="exact"/>
              <w:ind w:right="130"/>
              <w:jc w:val="right"/>
              <w:rPr>
                <w:sz w:val="20"/>
              </w:rPr>
            </w:pPr>
            <w:r>
              <w:rPr>
                <w:spacing w:val="-2"/>
                <w:sz w:val="20"/>
              </w:rPr>
              <w:t>1.041032</w:t>
            </w:r>
          </w:p>
        </w:tc>
        <w:tc>
          <w:tcPr>
            <w:tcW w:w="2369" w:type="dxa"/>
            <w:gridSpan w:val="2"/>
          </w:tcPr>
          <w:p>
            <w:pPr>
              <w:pStyle w:val="TableParagraph"/>
              <w:spacing w:line="209" w:lineRule="exact"/>
              <w:ind w:left="130"/>
              <w:rPr>
                <w:sz w:val="20"/>
              </w:rPr>
            </w:pPr>
            <w:r>
              <w:rPr>
                <w:sz w:val="20"/>
              </w:rPr>
              <w:t>Akaike</w:t>
            </w:r>
            <w:r>
              <w:rPr>
                <w:spacing w:val="-8"/>
                <w:sz w:val="20"/>
              </w:rPr>
              <w:t> </w:t>
            </w:r>
            <w:r>
              <w:rPr>
                <w:sz w:val="20"/>
              </w:rPr>
              <w:t>info</w:t>
            </w:r>
            <w:r>
              <w:rPr>
                <w:spacing w:val="-7"/>
                <w:sz w:val="20"/>
              </w:rPr>
              <w:t> </w:t>
            </w:r>
            <w:r>
              <w:rPr>
                <w:spacing w:val="-2"/>
                <w:sz w:val="20"/>
              </w:rPr>
              <w:t>criterion</w:t>
            </w:r>
          </w:p>
        </w:tc>
        <w:tc>
          <w:tcPr>
            <w:tcW w:w="896" w:type="dxa"/>
          </w:tcPr>
          <w:p>
            <w:pPr>
              <w:pStyle w:val="TableParagraph"/>
              <w:spacing w:line="209" w:lineRule="exact"/>
              <w:ind w:right="31"/>
              <w:jc w:val="right"/>
              <w:rPr>
                <w:sz w:val="20"/>
              </w:rPr>
            </w:pPr>
            <w:r>
              <w:rPr>
                <w:spacing w:val="-2"/>
                <w:sz w:val="20"/>
              </w:rPr>
              <w:t>3.039411</w:t>
            </w:r>
          </w:p>
        </w:tc>
      </w:tr>
      <w:tr>
        <w:trPr>
          <w:trHeight w:val="230" w:hRule="atLeast"/>
        </w:trPr>
        <w:tc>
          <w:tcPr>
            <w:tcW w:w="1849" w:type="dxa"/>
          </w:tcPr>
          <w:p>
            <w:pPr>
              <w:pStyle w:val="TableParagraph"/>
              <w:spacing w:line="211" w:lineRule="exact"/>
              <w:ind w:left="35"/>
              <w:rPr>
                <w:sz w:val="20"/>
              </w:rPr>
            </w:pPr>
            <w:r>
              <w:rPr>
                <w:sz w:val="20"/>
              </w:rPr>
              <w:t>Sum</w:t>
            </w:r>
            <w:r>
              <w:rPr>
                <w:spacing w:val="-8"/>
                <w:sz w:val="20"/>
              </w:rPr>
              <w:t> </w:t>
            </w:r>
            <w:r>
              <w:rPr>
                <w:sz w:val="20"/>
              </w:rPr>
              <w:t>squared</w:t>
            </w:r>
            <w:r>
              <w:rPr>
                <w:spacing w:val="-4"/>
                <w:sz w:val="20"/>
              </w:rPr>
              <w:t> </w:t>
            </w:r>
            <w:r>
              <w:rPr>
                <w:spacing w:val="-2"/>
                <w:sz w:val="20"/>
              </w:rPr>
              <w:t>resid</w:t>
            </w:r>
          </w:p>
        </w:tc>
        <w:tc>
          <w:tcPr>
            <w:tcW w:w="1377" w:type="dxa"/>
          </w:tcPr>
          <w:p>
            <w:pPr>
              <w:pStyle w:val="TableParagraph"/>
              <w:spacing w:line="211" w:lineRule="exact"/>
              <w:ind w:right="130"/>
              <w:jc w:val="right"/>
              <w:rPr>
                <w:sz w:val="20"/>
              </w:rPr>
            </w:pPr>
            <w:r>
              <w:rPr>
                <w:spacing w:val="-2"/>
                <w:sz w:val="20"/>
              </w:rPr>
              <w:t>21.67497</w:t>
            </w:r>
          </w:p>
        </w:tc>
        <w:tc>
          <w:tcPr>
            <w:tcW w:w="2369" w:type="dxa"/>
            <w:gridSpan w:val="2"/>
          </w:tcPr>
          <w:p>
            <w:pPr>
              <w:pStyle w:val="TableParagraph"/>
              <w:spacing w:line="211" w:lineRule="exact"/>
              <w:ind w:left="130"/>
              <w:rPr>
                <w:sz w:val="20"/>
              </w:rPr>
            </w:pPr>
            <w:r>
              <w:rPr>
                <w:sz w:val="20"/>
              </w:rPr>
              <w:t>Schwarz</w:t>
            </w:r>
            <w:r>
              <w:rPr>
                <w:spacing w:val="-8"/>
                <w:sz w:val="20"/>
              </w:rPr>
              <w:t> </w:t>
            </w:r>
            <w:r>
              <w:rPr>
                <w:spacing w:val="-2"/>
                <w:sz w:val="20"/>
              </w:rPr>
              <w:t>criterion</w:t>
            </w:r>
          </w:p>
        </w:tc>
        <w:tc>
          <w:tcPr>
            <w:tcW w:w="896" w:type="dxa"/>
          </w:tcPr>
          <w:p>
            <w:pPr>
              <w:pStyle w:val="TableParagraph"/>
              <w:spacing w:line="211" w:lineRule="exact"/>
              <w:ind w:right="31"/>
              <w:jc w:val="right"/>
              <w:rPr>
                <w:sz w:val="20"/>
              </w:rPr>
            </w:pPr>
            <w:r>
              <w:rPr>
                <w:spacing w:val="-2"/>
                <w:sz w:val="20"/>
              </w:rPr>
              <w:t>3.187519</w:t>
            </w:r>
          </w:p>
        </w:tc>
      </w:tr>
      <w:tr>
        <w:trPr>
          <w:trHeight w:val="230" w:hRule="atLeast"/>
        </w:trPr>
        <w:tc>
          <w:tcPr>
            <w:tcW w:w="1849" w:type="dxa"/>
          </w:tcPr>
          <w:p>
            <w:pPr>
              <w:pStyle w:val="TableParagraph"/>
              <w:spacing w:line="210" w:lineRule="exact"/>
              <w:ind w:left="35"/>
              <w:rPr>
                <w:sz w:val="20"/>
              </w:rPr>
            </w:pPr>
            <w:r>
              <w:rPr>
                <w:sz w:val="20"/>
              </w:rPr>
              <w:t>Log</w:t>
            </w:r>
            <w:r>
              <w:rPr>
                <w:spacing w:val="-6"/>
                <w:sz w:val="20"/>
              </w:rPr>
              <w:t> </w:t>
            </w:r>
            <w:r>
              <w:rPr>
                <w:spacing w:val="-2"/>
                <w:sz w:val="20"/>
              </w:rPr>
              <w:t>likelihood</w:t>
            </w:r>
          </w:p>
        </w:tc>
        <w:tc>
          <w:tcPr>
            <w:tcW w:w="1377" w:type="dxa"/>
          </w:tcPr>
          <w:p>
            <w:pPr>
              <w:pStyle w:val="TableParagraph"/>
              <w:spacing w:line="210" w:lineRule="exact"/>
              <w:ind w:right="130"/>
              <w:jc w:val="right"/>
              <w:rPr>
                <w:sz w:val="20"/>
              </w:rPr>
            </w:pPr>
            <w:r>
              <w:rPr>
                <w:spacing w:val="-4"/>
                <w:sz w:val="20"/>
              </w:rPr>
              <w:t>-</w:t>
            </w:r>
            <w:r>
              <w:rPr>
                <w:spacing w:val="-2"/>
                <w:sz w:val="20"/>
              </w:rPr>
              <w:t>31.95322</w:t>
            </w:r>
          </w:p>
        </w:tc>
        <w:tc>
          <w:tcPr>
            <w:tcW w:w="1433" w:type="dxa"/>
          </w:tcPr>
          <w:p>
            <w:pPr>
              <w:pStyle w:val="TableParagraph"/>
              <w:spacing w:line="210" w:lineRule="exact"/>
              <w:ind w:left="130"/>
              <w:rPr>
                <w:sz w:val="20"/>
              </w:rPr>
            </w:pPr>
            <w:r>
              <w:rPr>
                <w:spacing w:val="-4"/>
                <w:sz w:val="20"/>
              </w:rPr>
              <w:t>F-</w:t>
            </w:r>
            <w:r>
              <w:rPr>
                <w:spacing w:val="-2"/>
                <w:sz w:val="20"/>
              </w:rPr>
              <w:t>statistic</w:t>
            </w:r>
          </w:p>
        </w:tc>
        <w:tc>
          <w:tcPr>
            <w:tcW w:w="936" w:type="dxa"/>
          </w:tcPr>
          <w:p>
            <w:pPr>
              <w:pStyle w:val="TableParagraph"/>
              <w:rPr>
                <w:sz w:val="16"/>
              </w:rPr>
            </w:pPr>
          </w:p>
        </w:tc>
        <w:tc>
          <w:tcPr>
            <w:tcW w:w="896" w:type="dxa"/>
          </w:tcPr>
          <w:p>
            <w:pPr>
              <w:pStyle w:val="TableParagraph"/>
              <w:spacing w:line="210" w:lineRule="exact"/>
              <w:ind w:right="31"/>
              <w:jc w:val="right"/>
              <w:rPr>
                <w:sz w:val="20"/>
              </w:rPr>
            </w:pPr>
            <w:r>
              <w:rPr>
                <w:spacing w:val="-2"/>
                <w:sz w:val="20"/>
              </w:rPr>
              <w:t>4.243008</w:t>
            </w:r>
          </w:p>
        </w:tc>
      </w:tr>
      <w:tr>
        <w:trPr>
          <w:trHeight w:val="265" w:hRule="atLeast"/>
        </w:trPr>
        <w:tc>
          <w:tcPr>
            <w:tcW w:w="1849" w:type="dxa"/>
            <w:tcBorders>
              <w:bottom w:val="double" w:sz="6" w:space="0" w:color="000000"/>
            </w:tcBorders>
          </w:tcPr>
          <w:p>
            <w:pPr>
              <w:pStyle w:val="TableParagraph"/>
              <w:spacing w:line="226" w:lineRule="exact"/>
              <w:ind w:left="35"/>
              <w:rPr>
                <w:sz w:val="20"/>
              </w:rPr>
            </w:pPr>
            <w:r>
              <w:rPr>
                <w:sz w:val="20"/>
              </w:rPr>
              <w:t>Durbin-Watson</w:t>
            </w:r>
            <w:r>
              <w:rPr>
                <w:spacing w:val="-12"/>
                <w:sz w:val="20"/>
              </w:rPr>
              <w:t> </w:t>
            </w:r>
            <w:r>
              <w:rPr>
                <w:spacing w:val="-4"/>
                <w:sz w:val="20"/>
              </w:rPr>
              <w:t>stat</w:t>
            </w:r>
          </w:p>
        </w:tc>
        <w:tc>
          <w:tcPr>
            <w:tcW w:w="1377" w:type="dxa"/>
          </w:tcPr>
          <w:p>
            <w:pPr>
              <w:pStyle w:val="TableParagraph"/>
              <w:spacing w:line="226" w:lineRule="exact"/>
              <w:ind w:right="130"/>
              <w:jc w:val="right"/>
              <w:rPr>
                <w:sz w:val="20"/>
              </w:rPr>
            </w:pPr>
            <w:r>
              <w:rPr>
                <w:spacing w:val="-2"/>
                <w:sz w:val="20"/>
              </w:rPr>
              <w:t>1.962974</w:t>
            </w:r>
          </w:p>
        </w:tc>
        <w:tc>
          <w:tcPr>
            <w:tcW w:w="1433" w:type="dxa"/>
            <w:tcBorders>
              <w:bottom w:val="double" w:sz="6" w:space="0" w:color="000000"/>
            </w:tcBorders>
          </w:tcPr>
          <w:p>
            <w:pPr>
              <w:pStyle w:val="TableParagraph"/>
              <w:spacing w:line="226" w:lineRule="exact"/>
              <w:ind w:left="130"/>
              <w:rPr>
                <w:sz w:val="20"/>
              </w:rPr>
            </w:pPr>
            <w:r>
              <w:rPr>
                <w:spacing w:val="-2"/>
                <w:sz w:val="20"/>
              </w:rPr>
              <w:t>Prob(F-statistic)</w:t>
            </w:r>
          </w:p>
        </w:tc>
        <w:tc>
          <w:tcPr>
            <w:tcW w:w="936" w:type="dxa"/>
            <w:tcBorders>
              <w:bottom w:val="single" w:sz="6" w:space="0" w:color="000000"/>
            </w:tcBorders>
          </w:tcPr>
          <w:p>
            <w:pPr>
              <w:pStyle w:val="TableParagraph"/>
              <w:rPr>
                <w:sz w:val="18"/>
              </w:rPr>
            </w:pPr>
          </w:p>
        </w:tc>
        <w:tc>
          <w:tcPr>
            <w:tcW w:w="896" w:type="dxa"/>
            <w:tcBorders>
              <w:bottom w:val="double" w:sz="6" w:space="0" w:color="000000"/>
            </w:tcBorders>
          </w:tcPr>
          <w:p>
            <w:pPr>
              <w:pStyle w:val="TableParagraph"/>
              <w:spacing w:line="226" w:lineRule="exact"/>
              <w:ind w:right="31"/>
              <w:jc w:val="right"/>
              <w:rPr>
                <w:sz w:val="20"/>
              </w:rPr>
            </w:pPr>
            <w:r>
              <w:rPr>
                <w:spacing w:val="-2"/>
                <w:sz w:val="20"/>
              </w:rPr>
              <w:t>0.029106</w:t>
            </w:r>
          </w:p>
        </w:tc>
      </w:tr>
    </w:tbl>
    <w:p>
      <w:pPr>
        <w:pStyle w:val="BodyText"/>
        <w:spacing w:before="16"/>
        <w:rPr>
          <w:sz w:val="20"/>
        </w:rPr>
      </w:pPr>
    </w:p>
    <w:p>
      <w:pPr>
        <w:spacing w:before="0" w:after="3"/>
        <w:ind w:left="771" w:right="0" w:firstLine="0"/>
        <w:jc w:val="left"/>
        <w:rPr>
          <w:sz w:val="20"/>
        </w:rPr>
      </w:pPr>
      <w:r>
        <w:rPr>
          <w:sz w:val="20"/>
        </w:rPr>
        <w:t>CAB</w:t>
      </w:r>
      <w:r>
        <w:rPr>
          <w:spacing w:val="-3"/>
          <w:sz w:val="20"/>
        </w:rPr>
        <w:t> </w:t>
      </w:r>
      <w:r>
        <w:rPr>
          <w:sz w:val="20"/>
        </w:rPr>
        <w:t>@</w:t>
      </w:r>
      <w:r>
        <w:rPr>
          <w:spacing w:val="-4"/>
          <w:sz w:val="20"/>
        </w:rPr>
        <w:t> </w:t>
      </w:r>
      <w:r>
        <w:rPr>
          <w:sz w:val="20"/>
        </w:rPr>
        <w:t>1</w:t>
      </w:r>
      <w:r>
        <w:rPr>
          <w:sz w:val="20"/>
          <w:vertAlign w:val="superscript"/>
        </w:rPr>
        <w:t>ST</w:t>
      </w:r>
      <w:r>
        <w:rPr>
          <w:spacing w:val="-3"/>
          <w:sz w:val="20"/>
          <w:vertAlign w:val="baseline"/>
        </w:rPr>
        <w:t> </w:t>
      </w:r>
      <w:r>
        <w:rPr>
          <w:spacing w:val="-4"/>
          <w:sz w:val="20"/>
          <w:vertAlign w:val="baseline"/>
        </w:rPr>
        <w:t>DIFF</w:t>
      </w:r>
    </w:p>
    <w:tbl>
      <w:tblPr>
        <w:tblW w:w="0" w:type="auto"/>
        <w:jc w:val="left"/>
        <w:tblInd w:w="8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49"/>
        <w:gridCol w:w="1377"/>
        <w:gridCol w:w="1433"/>
        <w:gridCol w:w="903"/>
        <w:gridCol w:w="928"/>
      </w:tblGrid>
      <w:tr>
        <w:trPr>
          <w:trHeight w:val="225" w:hRule="atLeast"/>
        </w:trPr>
        <w:tc>
          <w:tcPr>
            <w:tcW w:w="1849" w:type="dxa"/>
          </w:tcPr>
          <w:p>
            <w:pPr>
              <w:pStyle w:val="TableParagraph"/>
              <w:spacing w:line="205" w:lineRule="exact"/>
              <w:ind w:left="35"/>
              <w:rPr>
                <w:sz w:val="20"/>
              </w:rPr>
            </w:pPr>
            <w:r>
              <w:rPr>
                <w:sz w:val="20"/>
              </w:rPr>
              <w:t>ADF</w:t>
            </w:r>
            <w:r>
              <w:rPr>
                <w:spacing w:val="-4"/>
                <w:sz w:val="20"/>
              </w:rPr>
              <w:t> </w:t>
            </w:r>
            <w:r>
              <w:rPr>
                <w:sz w:val="20"/>
              </w:rPr>
              <w:t>Test</w:t>
            </w:r>
            <w:r>
              <w:rPr>
                <w:spacing w:val="-4"/>
                <w:sz w:val="20"/>
              </w:rPr>
              <w:t> </w:t>
            </w:r>
            <w:r>
              <w:rPr>
                <w:spacing w:val="-2"/>
                <w:sz w:val="20"/>
              </w:rPr>
              <w:t>Statistic</w:t>
            </w:r>
          </w:p>
        </w:tc>
        <w:tc>
          <w:tcPr>
            <w:tcW w:w="1377" w:type="dxa"/>
          </w:tcPr>
          <w:p>
            <w:pPr>
              <w:pStyle w:val="TableParagraph"/>
              <w:spacing w:line="205" w:lineRule="exact"/>
              <w:ind w:left="220"/>
              <w:rPr>
                <w:sz w:val="20"/>
              </w:rPr>
            </w:pPr>
            <w:r>
              <w:rPr>
                <w:spacing w:val="-4"/>
                <w:sz w:val="20"/>
              </w:rPr>
              <w:t>-</w:t>
            </w:r>
            <w:r>
              <w:rPr>
                <w:spacing w:val="-2"/>
                <w:sz w:val="20"/>
              </w:rPr>
              <w:t>4.025890</w:t>
            </w:r>
          </w:p>
        </w:tc>
        <w:tc>
          <w:tcPr>
            <w:tcW w:w="2336" w:type="dxa"/>
            <w:gridSpan w:val="2"/>
          </w:tcPr>
          <w:p>
            <w:pPr>
              <w:pStyle w:val="TableParagraph"/>
              <w:spacing w:line="205" w:lineRule="exact"/>
              <w:ind w:left="130"/>
              <w:rPr>
                <w:sz w:val="20"/>
              </w:rPr>
            </w:pPr>
            <w:r>
              <w:rPr>
                <w:sz w:val="20"/>
              </w:rPr>
              <w:t>1%</w:t>
            </w:r>
            <w:r>
              <w:rPr>
                <w:spacing w:val="68"/>
                <w:w w:val="150"/>
                <w:sz w:val="20"/>
              </w:rPr>
              <w:t> </w:t>
            </w:r>
            <w:r>
              <w:rPr>
                <w:sz w:val="20"/>
              </w:rPr>
              <w:t>Critical</w:t>
            </w:r>
            <w:r>
              <w:rPr>
                <w:spacing w:val="-2"/>
                <w:sz w:val="20"/>
              </w:rPr>
              <w:t> Value*</w:t>
            </w:r>
          </w:p>
        </w:tc>
        <w:tc>
          <w:tcPr>
            <w:tcW w:w="928" w:type="dxa"/>
          </w:tcPr>
          <w:p>
            <w:pPr>
              <w:pStyle w:val="TableParagraph"/>
              <w:spacing w:line="205" w:lineRule="exact"/>
              <w:ind w:right="30"/>
              <w:jc w:val="right"/>
              <w:rPr>
                <w:sz w:val="20"/>
              </w:rPr>
            </w:pPr>
            <w:r>
              <w:rPr>
                <w:spacing w:val="-4"/>
                <w:sz w:val="20"/>
              </w:rPr>
              <w:t>-</w:t>
            </w:r>
            <w:r>
              <w:rPr>
                <w:spacing w:val="-2"/>
                <w:sz w:val="20"/>
              </w:rPr>
              <w:t>3.7667</w:t>
            </w:r>
          </w:p>
        </w:tc>
      </w:tr>
      <w:tr>
        <w:trPr>
          <w:trHeight w:val="229" w:hRule="atLeast"/>
        </w:trPr>
        <w:tc>
          <w:tcPr>
            <w:tcW w:w="1849" w:type="dxa"/>
          </w:tcPr>
          <w:p>
            <w:pPr>
              <w:pStyle w:val="TableParagraph"/>
              <w:rPr>
                <w:sz w:val="16"/>
              </w:rPr>
            </w:pPr>
          </w:p>
        </w:tc>
        <w:tc>
          <w:tcPr>
            <w:tcW w:w="1377" w:type="dxa"/>
          </w:tcPr>
          <w:p>
            <w:pPr>
              <w:pStyle w:val="TableParagraph"/>
              <w:rPr>
                <w:sz w:val="16"/>
              </w:rPr>
            </w:pPr>
          </w:p>
        </w:tc>
        <w:tc>
          <w:tcPr>
            <w:tcW w:w="2336" w:type="dxa"/>
            <w:gridSpan w:val="2"/>
          </w:tcPr>
          <w:p>
            <w:pPr>
              <w:pStyle w:val="TableParagraph"/>
              <w:spacing w:line="209" w:lineRule="exact"/>
              <w:ind w:left="130"/>
              <w:rPr>
                <w:sz w:val="20"/>
              </w:rPr>
            </w:pPr>
            <w:r>
              <w:rPr>
                <w:sz w:val="20"/>
              </w:rPr>
              <w:t>5%</w:t>
            </w:r>
            <w:r>
              <w:rPr>
                <w:spacing w:val="68"/>
                <w:w w:val="150"/>
                <w:sz w:val="20"/>
              </w:rPr>
              <w:t> </w:t>
            </w:r>
            <w:r>
              <w:rPr>
                <w:sz w:val="20"/>
              </w:rPr>
              <w:t>Critical</w:t>
            </w:r>
            <w:r>
              <w:rPr>
                <w:spacing w:val="-2"/>
                <w:sz w:val="20"/>
              </w:rPr>
              <w:t> </w:t>
            </w:r>
            <w:r>
              <w:rPr>
                <w:spacing w:val="-4"/>
                <w:sz w:val="20"/>
              </w:rPr>
              <w:t>Value</w:t>
            </w:r>
          </w:p>
        </w:tc>
        <w:tc>
          <w:tcPr>
            <w:tcW w:w="928" w:type="dxa"/>
          </w:tcPr>
          <w:p>
            <w:pPr>
              <w:pStyle w:val="TableParagraph"/>
              <w:spacing w:line="209" w:lineRule="exact"/>
              <w:ind w:right="30"/>
              <w:jc w:val="right"/>
              <w:rPr>
                <w:sz w:val="20"/>
              </w:rPr>
            </w:pPr>
            <w:r>
              <w:rPr>
                <w:spacing w:val="-4"/>
                <w:sz w:val="20"/>
              </w:rPr>
              <w:t>-</w:t>
            </w:r>
            <w:r>
              <w:rPr>
                <w:spacing w:val="-2"/>
                <w:sz w:val="20"/>
              </w:rPr>
              <w:t>3.0038</w:t>
            </w:r>
          </w:p>
        </w:tc>
      </w:tr>
      <w:tr>
        <w:trPr>
          <w:trHeight w:val="223" w:hRule="atLeast"/>
        </w:trPr>
        <w:tc>
          <w:tcPr>
            <w:tcW w:w="1849" w:type="dxa"/>
            <w:tcBorders>
              <w:bottom w:val="double" w:sz="6" w:space="0" w:color="000000"/>
            </w:tcBorders>
          </w:tcPr>
          <w:p>
            <w:pPr>
              <w:pStyle w:val="TableParagraph"/>
              <w:rPr>
                <w:sz w:val="14"/>
              </w:rPr>
            </w:pPr>
          </w:p>
        </w:tc>
        <w:tc>
          <w:tcPr>
            <w:tcW w:w="1377" w:type="dxa"/>
            <w:tcBorders>
              <w:bottom w:val="double" w:sz="6" w:space="0" w:color="000000"/>
            </w:tcBorders>
          </w:tcPr>
          <w:p>
            <w:pPr>
              <w:pStyle w:val="TableParagraph"/>
              <w:rPr>
                <w:sz w:val="14"/>
              </w:rPr>
            </w:pPr>
          </w:p>
        </w:tc>
        <w:tc>
          <w:tcPr>
            <w:tcW w:w="2336" w:type="dxa"/>
            <w:gridSpan w:val="2"/>
            <w:tcBorders>
              <w:bottom w:val="double" w:sz="6" w:space="0" w:color="000000"/>
            </w:tcBorders>
          </w:tcPr>
          <w:p>
            <w:pPr>
              <w:pStyle w:val="TableParagraph"/>
              <w:spacing w:line="204" w:lineRule="exact"/>
              <w:ind w:left="130"/>
              <w:rPr>
                <w:sz w:val="20"/>
              </w:rPr>
            </w:pPr>
            <w:r>
              <w:rPr>
                <w:sz w:val="20"/>
              </w:rPr>
              <w:t>10%</w:t>
            </w:r>
            <w:r>
              <w:rPr>
                <w:spacing w:val="-6"/>
                <w:sz w:val="20"/>
              </w:rPr>
              <w:t> </w:t>
            </w:r>
            <w:r>
              <w:rPr>
                <w:sz w:val="20"/>
              </w:rPr>
              <w:t>Critical</w:t>
            </w:r>
            <w:r>
              <w:rPr>
                <w:spacing w:val="-4"/>
                <w:sz w:val="20"/>
              </w:rPr>
              <w:t> </w:t>
            </w:r>
            <w:r>
              <w:rPr>
                <w:spacing w:val="-2"/>
                <w:sz w:val="20"/>
              </w:rPr>
              <w:t>Value</w:t>
            </w:r>
          </w:p>
        </w:tc>
        <w:tc>
          <w:tcPr>
            <w:tcW w:w="928" w:type="dxa"/>
            <w:tcBorders>
              <w:bottom w:val="double" w:sz="6" w:space="0" w:color="000000"/>
            </w:tcBorders>
          </w:tcPr>
          <w:p>
            <w:pPr>
              <w:pStyle w:val="TableParagraph"/>
              <w:spacing w:line="204" w:lineRule="exact"/>
              <w:ind w:right="30"/>
              <w:jc w:val="right"/>
              <w:rPr>
                <w:sz w:val="20"/>
              </w:rPr>
            </w:pPr>
            <w:r>
              <w:rPr>
                <w:spacing w:val="-4"/>
                <w:sz w:val="20"/>
              </w:rPr>
              <w:t>-</w:t>
            </w:r>
            <w:r>
              <w:rPr>
                <w:spacing w:val="-2"/>
                <w:sz w:val="20"/>
              </w:rPr>
              <w:t>2.6417</w:t>
            </w:r>
          </w:p>
        </w:tc>
      </w:tr>
      <w:tr>
        <w:trPr>
          <w:trHeight w:val="506" w:hRule="atLeast"/>
        </w:trPr>
        <w:tc>
          <w:tcPr>
            <w:tcW w:w="6490" w:type="dxa"/>
            <w:gridSpan w:val="5"/>
            <w:tcBorders>
              <w:top w:val="double" w:sz="6" w:space="0" w:color="000000"/>
            </w:tcBorders>
          </w:tcPr>
          <w:p>
            <w:pPr>
              <w:pStyle w:val="TableParagraph"/>
              <w:spacing w:before="42"/>
              <w:ind w:left="35"/>
              <w:rPr>
                <w:sz w:val="20"/>
              </w:rPr>
            </w:pPr>
            <w:r>
              <w:rPr>
                <w:sz w:val="20"/>
              </w:rPr>
              <w:t>*MacKinnon</w:t>
            </w:r>
            <w:r>
              <w:rPr>
                <w:spacing w:val="-6"/>
                <w:sz w:val="20"/>
              </w:rPr>
              <w:t> </w:t>
            </w:r>
            <w:r>
              <w:rPr>
                <w:sz w:val="20"/>
              </w:rPr>
              <w:t>critical</w:t>
            </w:r>
            <w:r>
              <w:rPr>
                <w:spacing w:val="-4"/>
                <w:sz w:val="20"/>
              </w:rPr>
              <w:t> </w:t>
            </w:r>
            <w:r>
              <w:rPr>
                <w:sz w:val="20"/>
              </w:rPr>
              <w:t>values</w:t>
            </w:r>
            <w:r>
              <w:rPr>
                <w:spacing w:val="-6"/>
                <w:sz w:val="20"/>
              </w:rPr>
              <w:t> </w:t>
            </w:r>
            <w:r>
              <w:rPr>
                <w:sz w:val="20"/>
              </w:rPr>
              <w:t>for</w:t>
            </w:r>
            <w:r>
              <w:rPr>
                <w:spacing w:val="-4"/>
                <w:sz w:val="20"/>
              </w:rPr>
              <w:t> </w:t>
            </w:r>
            <w:r>
              <w:rPr>
                <w:sz w:val="20"/>
              </w:rPr>
              <w:t>rejection</w:t>
            </w:r>
            <w:r>
              <w:rPr>
                <w:spacing w:val="-6"/>
                <w:sz w:val="20"/>
              </w:rPr>
              <w:t> </w:t>
            </w:r>
            <w:r>
              <w:rPr>
                <w:sz w:val="20"/>
              </w:rPr>
              <w:t>of</w:t>
            </w:r>
            <w:r>
              <w:rPr>
                <w:spacing w:val="-6"/>
                <w:sz w:val="20"/>
              </w:rPr>
              <w:t> </w:t>
            </w:r>
            <w:r>
              <w:rPr>
                <w:sz w:val="20"/>
              </w:rPr>
              <w:t>hypothesis</w:t>
            </w:r>
            <w:r>
              <w:rPr>
                <w:spacing w:val="-6"/>
                <w:sz w:val="20"/>
              </w:rPr>
              <w:t> </w:t>
            </w:r>
            <w:r>
              <w:rPr>
                <w:sz w:val="20"/>
              </w:rPr>
              <w:t>of</w:t>
            </w:r>
            <w:r>
              <w:rPr>
                <w:spacing w:val="-6"/>
                <w:sz w:val="20"/>
              </w:rPr>
              <w:t> </w:t>
            </w:r>
            <w:r>
              <w:rPr>
                <w:sz w:val="20"/>
              </w:rPr>
              <w:t>a</w:t>
            </w:r>
            <w:r>
              <w:rPr>
                <w:spacing w:val="-4"/>
                <w:sz w:val="20"/>
              </w:rPr>
              <w:t> </w:t>
            </w:r>
            <w:r>
              <w:rPr>
                <w:sz w:val="20"/>
              </w:rPr>
              <w:t>unit</w:t>
            </w:r>
            <w:r>
              <w:rPr>
                <w:spacing w:val="-6"/>
                <w:sz w:val="20"/>
              </w:rPr>
              <w:t> </w:t>
            </w:r>
            <w:r>
              <w:rPr>
                <w:spacing w:val="-2"/>
                <w:sz w:val="20"/>
              </w:rPr>
              <w:t>root.</w:t>
            </w:r>
          </w:p>
        </w:tc>
      </w:tr>
      <w:tr>
        <w:trPr>
          <w:trHeight w:val="459" w:hRule="atLeast"/>
        </w:trPr>
        <w:tc>
          <w:tcPr>
            <w:tcW w:w="6490" w:type="dxa"/>
            <w:gridSpan w:val="5"/>
          </w:tcPr>
          <w:p>
            <w:pPr>
              <w:pStyle w:val="TableParagraph"/>
              <w:spacing w:line="215" w:lineRule="exact" w:before="225"/>
              <w:ind w:left="35"/>
              <w:rPr>
                <w:sz w:val="20"/>
              </w:rPr>
            </w:pPr>
            <w:r>
              <w:rPr>
                <w:sz w:val="20"/>
              </w:rPr>
              <w:t>Augmented</w:t>
            </w:r>
            <w:r>
              <w:rPr>
                <w:spacing w:val="-8"/>
                <w:sz w:val="20"/>
              </w:rPr>
              <w:t> </w:t>
            </w:r>
            <w:r>
              <w:rPr>
                <w:sz w:val="20"/>
              </w:rPr>
              <w:t>Dickey-Fuller</w:t>
            </w:r>
            <w:r>
              <w:rPr>
                <w:spacing w:val="-8"/>
                <w:sz w:val="20"/>
              </w:rPr>
              <w:t> </w:t>
            </w:r>
            <w:r>
              <w:rPr>
                <w:sz w:val="20"/>
              </w:rPr>
              <w:t>Test</w:t>
            </w:r>
            <w:r>
              <w:rPr>
                <w:spacing w:val="-9"/>
                <w:sz w:val="20"/>
              </w:rPr>
              <w:t> </w:t>
            </w:r>
            <w:r>
              <w:rPr>
                <w:spacing w:val="-2"/>
                <w:sz w:val="20"/>
              </w:rPr>
              <w:t>Equation</w:t>
            </w:r>
          </w:p>
        </w:tc>
      </w:tr>
      <w:tr>
        <w:trPr>
          <w:trHeight w:val="230" w:hRule="atLeast"/>
        </w:trPr>
        <w:tc>
          <w:tcPr>
            <w:tcW w:w="6490" w:type="dxa"/>
            <w:gridSpan w:val="5"/>
          </w:tcPr>
          <w:p>
            <w:pPr>
              <w:pStyle w:val="TableParagraph"/>
              <w:spacing w:line="210" w:lineRule="exact"/>
              <w:ind w:left="35"/>
              <w:rPr>
                <w:sz w:val="20"/>
              </w:rPr>
            </w:pPr>
            <w:r>
              <w:rPr>
                <w:sz w:val="20"/>
              </w:rPr>
              <w:t>Dependent</w:t>
            </w:r>
            <w:r>
              <w:rPr>
                <w:spacing w:val="-8"/>
                <w:sz w:val="20"/>
              </w:rPr>
              <w:t> </w:t>
            </w:r>
            <w:r>
              <w:rPr>
                <w:sz w:val="20"/>
              </w:rPr>
              <w:t>Variable:</w:t>
            </w:r>
            <w:r>
              <w:rPr>
                <w:spacing w:val="-7"/>
                <w:sz w:val="20"/>
              </w:rPr>
              <w:t> </w:t>
            </w:r>
            <w:r>
              <w:rPr>
                <w:spacing w:val="-2"/>
                <w:sz w:val="20"/>
              </w:rPr>
              <w:t>D(CAB,2)</w:t>
            </w:r>
          </w:p>
        </w:tc>
      </w:tr>
      <w:tr>
        <w:trPr>
          <w:trHeight w:val="230" w:hRule="atLeast"/>
        </w:trPr>
        <w:tc>
          <w:tcPr>
            <w:tcW w:w="6490" w:type="dxa"/>
            <w:gridSpan w:val="5"/>
          </w:tcPr>
          <w:p>
            <w:pPr>
              <w:pStyle w:val="TableParagraph"/>
              <w:spacing w:line="210" w:lineRule="exact"/>
              <w:ind w:left="35"/>
              <w:rPr>
                <w:sz w:val="20"/>
              </w:rPr>
            </w:pPr>
            <w:r>
              <w:rPr>
                <w:sz w:val="20"/>
              </w:rPr>
              <w:t>Method:</w:t>
            </w:r>
            <w:r>
              <w:rPr>
                <w:spacing w:val="-8"/>
                <w:sz w:val="20"/>
              </w:rPr>
              <w:t> </w:t>
            </w:r>
            <w:r>
              <w:rPr>
                <w:sz w:val="20"/>
              </w:rPr>
              <w:t>Least</w:t>
            </w:r>
            <w:r>
              <w:rPr>
                <w:spacing w:val="-7"/>
                <w:sz w:val="20"/>
              </w:rPr>
              <w:t> </w:t>
            </w:r>
            <w:r>
              <w:rPr>
                <w:spacing w:val="-2"/>
                <w:sz w:val="20"/>
              </w:rPr>
              <w:t>Squares</w:t>
            </w:r>
          </w:p>
        </w:tc>
      </w:tr>
      <w:tr>
        <w:trPr>
          <w:trHeight w:val="229" w:hRule="atLeast"/>
        </w:trPr>
        <w:tc>
          <w:tcPr>
            <w:tcW w:w="6490" w:type="dxa"/>
            <w:gridSpan w:val="5"/>
          </w:tcPr>
          <w:p>
            <w:pPr>
              <w:pStyle w:val="TableParagraph"/>
              <w:spacing w:line="209" w:lineRule="exact"/>
              <w:ind w:left="35"/>
              <w:rPr>
                <w:sz w:val="20"/>
              </w:rPr>
            </w:pPr>
            <w:r>
              <w:rPr>
                <w:sz w:val="20"/>
              </w:rPr>
              <w:t>Date:</w:t>
            </w:r>
            <w:r>
              <w:rPr>
                <w:spacing w:val="-5"/>
                <w:sz w:val="20"/>
              </w:rPr>
              <w:t> </w:t>
            </w:r>
            <w:r>
              <w:rPr>
                <w:sz w:val="20"/>
              </w:rPr>
              <w:t>02/17/14</w:t>
            </w:r>
            <w:r>
              <w:rPr>
                <w:spacing w:val="63"/>
                <w:w w:val="150"/>
                <w:sz w:val="20"/>
              </w:rPr>
              <w:t> </w:t>
            </w:r>
            <w:r>
              <w:rPr>
                <w:sz w:val="20"/>
              </w:rPr>
              <w:t>Time:</w:t>
            </w:r>
            <w:r>
              <w:rPr>
                <w:spacing w:val="-3"/>
                <w:sz w:val="20"/>
              </w:rPr>
              <w:t> </w:t>
            </w:r>
            <w:r>
              <w:rPr>
                <w:spacing w:val="-2"/>
                <w:sz w:val="20"/>
              </w:rPr>
              <w:t>18:12</w:t>
            </w:r>
          </w:p>
        </w:tc>
      </w:tr>
      <w:tr>
        <w:trPr>
          <w:trHeight w:val="229" w:hRule="atLeast"/>
        </w:trPr>
        <w:tc>
          <w:tcPr>
            <w:tcW w:w="6490" w:type="dxa"/>
            <w:gridSpan w:val="5"/>
          </w:tcPr>
          <w:p>
            <w:pPr>
              <w:pStyle w:val="TableParagraph"/>
              <w:spacing w:line="210" w:lineRule="exact"/>
              <w:ind w:left="35"/>
              <w:rPr>
                <w:sz w:val="20"/>
              </w:rPr>
            </w:pPr>
            <w:r>
              <w:rPr>
                <w:sz w:val="20"/>
              </w:rPr>
              <w:t>Sample(adjusted):</w:t>
            </w:r>
            <w:r>
              <w:rPr>
                <w:spacing w:val="-9"/>
                <w:sz w:val="20"/>
              </w:rPr>
              <w:t> </w:t>
            </w:r>
            <w:r>
              <w:rPr>
                <w:sz w:val="20"/>
              </w:rPr>
              <w:t>1990</w:t>
            </w:r>
            <w:r>
              <w:rPr>
                <w:spacing w:val="-9"/>
                <w:sz w:val="20"/>
              </w:rPr>
              <w:t> </w:t>
            </w:r>
            <w:r>
              <w:rPr>
                <w:spacing w:val="-4"/>
                <w:sz w:val="20"/>
              </w:rPr>
              <w:t>2011</w:t>
            </w:r>
          </w:p>
        </w:tc>
      </w:tr>
      <w:tr>
        <w:trPr>
          <w:trHeight w:val="224" w:hRule="atLeast"/>
        </w:trPr>
        <w:tc>
          <w:tcPr>
            <w:tcW w:w="6490" w:type="dxa"/>
            <w:gridSpan w:val="5"/>
            <w:tcBorders>
              <w:bottom w:val="double" w:sz="6" w:space="0" w:color="000000"/>
            </w:tcBorders>
          </w:tcPr>
          <w:p>
            <w:pPr>
              <w:pStyle w:val="TableParagraph"/>
              <w:spacing w:line="205" w:lineRule="exact"/>
              <w:ind w:left="35"/>
              <w:rPr>
                <w:sz w:val="20"/>
              </w:rPr>
            </w:pPr>
            <w:r>
              <w:rPr>
                <w:sz w:val="20"/>
              </w:rPr>
              <w:t>Included</w:t>
            </w:r>
            <w:r>
              <w:rPr>
                <w:spacing w:val="-6"/>
                <w:sz w:val="20"/>
              </w:rPr>
              <w:t> </w:t>
            </w:r>
            <w:r>
              <w:rPr>
                <w:sz w:val="20"/>
              </w:rPr>
              <w:t>observations:</w:t>
            </w:r>
            <w:r>
              <w:rPr>
                <w:spacing w:val="-8"/>
                <w:sz w:val="20"/>
              </w:rPr>
              <w:t> </w:t>
            </w:r>
            <w:r>
              <w:rPr>
                <w:sz w:val="20"/>
              </w:rPr>
              <w:t>22</w:t>
            </w:r>
            <w:r>
              <w:rPr>
                <w:spacing w:val="-5"/>
                <w:sz w:val="20"/>
              </w:rPr>
              <w:t> </w:t>
            </w:r>
            <w:r>
              <w:rPr>
                <w:sz w:val="20"/>
              </w:rPr>
              <w:t>after</w:t>
            </w:r>
            <w:r>
              <w:rPr>
                <w:spacing w:val="-7"/>
                <w:sz w:val="20"/>
              </w:rPr>
              <w:t> </w:t>
            </w:r>
            <w:r>
              <w:rPr>
                <w:sz w:val="20"/>
              </w:rPr>
              <w:t>adjusting</w:t>
            </w:r>
            <w:r>
              <w:rPr>
                <w:spacing w:val="-7"/>
                <w:sz w:val="20"/>
              </w:rPr>
              <w:t> </w:t>
            </w:r>
            <w:r>
              <w:rPr>
                <w:spacing w:val="-2"/>
                <w:sz w:val="20"/>
              </w:rPr>
              <w:t>endpoints</w:t>
            </w:r>
          </w:p>
        </w:tc>
      </w:tr>
      <w:tr>
        <w:trPr>
          <w:trHeight w:val="271" w:hRule="atLeast"/>
        </w:trPr>
        <w:tc>
          <w:tcPr>
            <w:tcW w:w="1849" w:type="dxa"/>
            <w:tcBorders>
              <w:top w:val="double" w:sz="6" w:space="0" w:color="000000"/>
              <w:bottom w:val="double" w:sz="6" w:space="0" w:color="000000"/>
            </w:tcBorders>
          </w:tcPr>
          <w:p>
            <w:pPr>
              <w:pStyle w:val="TableParagraph"/>
              <w:spacing w:line="209" w:lineRule="exact" w:before="42"/>
              <w:ind w:left="677"/>
              <w:rPr>
                <w:sz w:val="20"/>
              </w:rPr>
            </w:pPr>
            <w:r>
              <w:rPr>
                <w:spacing w:val="-2"/>
                <w:sz w:val="20"/>
              </w:rPr>
              <w:t>Variable</w:t>
            </w:r>
          </w:p>
        </w:tc>
        <w:tc>
          <w:tcPr>
            <w:tcW w:w="1377" w:type="dxa"/>
            <w:tcBorders>
              <w:top w:val="double" w:sz="6" w:space="0" w:color="000000"/>
              <w:bottom w:val="double" w:sz="6" w:space="0" w:color="000000"/>
            </w:tcBorders>
          </w:tcPr>
          <w:p>
            <w:pPr>
              <w:pStyle w:val="TableParagraph"/>
              <w:spacing w:line="209" w:lineRule="exact" w:before="42"/>
              <w:ind w:right="134"/>
              <w:jc w:val="right"/>
              <w:rPr>
                <w:sz w:val="20"/>
              </w:rPr>
            </w:pPr>
            <w:r>
              <w:rPr>
                <w:spacing w:val="-2"/>
                <w:sz w:val="20"/>
              </w:rPr>
              <w:t>Coefficient</w:t>
            </w:r>
          </w:p>
        </w:tc>
        <w:tc>
          <w:tcPr>
            <w:tcW w:w="1433" w:type="dxa"/>
            <w:tcBorders>
              <w:top w:val="double" w:sz="6" w:space="0" w:color="000000"/>
              <w:bottom w:val="double" w:sz="6" w:space="0" w:color="000000"/>
            </w:tcBorders>
          </w:tcPr>
          <w:p>
            <w:pPr>
              <w:pStyle w:val="TableParagraph"/>
              <w:spacing w:line="209" w:lineRule="exact" w:before="42"/>
              <w:ind w:left="271"/>
              <w:rPr>
                <w:sz w:val="20"/>
              </w:rPr>
            </w:pPr>
            <w:r>
              <w:rPr>
                <w:sz w:val="20"/>
              </w:rPr>
              <w:t>Std.</w:t>
            </w:r>
            <w:r>
              <w:rPr>
                <w:spacing w:val="-4"/>
                <w:sz w:val="20"/>
              </w:rPr>
              <w:t> </w:t>
            </w:r>
            <w:r>
              <w:rPr>
                <w:spacing w:val="-2"/>
                <w:sz w:val="20"/>
              </w:rPr>
              <w:t>Error</w:t>
            </w:r>
          </w:p>
        </w:tc>
        <w:tc>
          <w:tcPr>
            <w:tcW w:w="903" w:type="dxa"/>
            <w:tcBorders>
              <w:top w:val="double" w:sz="6" w:space="0" w:color="000000"/>
              <w:bottom w:val="double" w:sz="6" w:space="0" w:color="000000"/>
            </w:tcBorders>
          </w:tcPr>
          <w:p>
            <w:pPr>
              <w:pStyle w:val="TableParagraph"/>
              <w:spacing w:line="209" w:lineRule="exact" w:before="42"/>
              <w:ind w:right="26"/>
              <w:jc w:val="center"/>
              <w:rPr>
                <w:sz w:val="20"/>
              </w:rPr>
            </w:pPr>
            <w:r>
              <w:rPr>
                <w:spacing w:val="-4"/>
                <w:sz w:val="20"/>
              </w:rPr>
              <w:t>t-</w:t>
            </w:r>
            <w:r>
              <w:rPr>
                <w:spacing w:val="-2"/>
                <w:sz w:val="20"/>
              </w:rPr>
              <w:t>Statistic</w:t>
            </w:r>
          </w:p>
        </w:tc>
        <w:tc>
          <w:tcPr>
            <w:tcW w:w="928" w:type="dxa"/>
            <w:tcBorders>
              <w:top w:val="double" w:sz="6" w:space="0" w:color="000000"/>
              <w:bottom w:val="double" w:sz="6" w:space="0" w:color="000000"/>
            </w:tcBorders>
          </w:tcPr>
          <w:p>
            <w:pPr>
              <w:pStyle w:val="TableParagraph"/>
              <w:spacing w:line="209" w:lineRule="exact" w:before="42"/>
              <w:ind w:right="31"/>
              <w:jc w:val="right"/>
              <w:rPr>
                <w:sz w:val="20"/>
              </w:rPr>
            </w:pPr>
            <w:r>
              <w:rPr>
                <w:spacing w:val="-2"/>
                <w:sz w:val="20"/>
              </w:rPr>
              <w:t>Prob.</w:t>
            </w:r>
          </w:p>
        </w:tc>
      </w:tr>
      <w:tr>
        <w:trPr>
          <w:trHeight w:val="275" w:hRule="atLeast"/>
        </w:trPr>
        <w:tc>
          <w:tcPr>
            <w:tcW w:w="1849" w:type="dxa"/>
            <w:tcBorders>
              <w:top w:val="double" w:sz="6" w:space="0" w:color="000000"/>
            </w:tcBorders>
          </w:tcPr>
          <w:p>
            <w:pPr>
              <w:pStyle w:val="TableParagraph"/>
              <w:spacing w:line="215" w:lineRule="exact" w:before="40"/>
              <w:ind w:left="528"/>
              <w:rPr>
                <w:sz w:val="20"/>
              </w:rPr>
            </w:pPr>
            <w:r>
              <w:rPr>
                <w:spacing w:val="-2"/>
                <w:sz w:val="20"/>
              </w:rPr>
              <w:t>D(CAB(-</w:t>
            </w:r>
            <w:r>
              <w:rPr>
                <w:spacing w:val="-5"/>
                <w:sz w:val="20"/>
              </w:rPr>
              <w:t>1))</w:t>
            </w:r>
          </w:p>
        </w:tc>
        <w:tc>
          <w:tcPr>
            <w:tcW w:w="1377" w:type="dxa"/>
            <w:tcBorders>
              <w:top w:val="double" w:sz="6" w:space="0" w:color="000000"/>
            </w:tcBorders>
          </w:tcPr>
          <w:p>
            <w:pPr>
              <w:pStyle w:val="TableParagraph"/>
              <w:spacing w:line="215" w:lineRule="exact" w:before="40"/>
              <w:ind w:right="130"/>
              <w:jc w:val="right"/>
              <w:rPr>
                <w:sz w:val="20"/>
              </w:rPr>
            </w:pPr>
            <w:r>
              <w:rPr>
                <w:spacing w:val="-4"/>
                <w:sz w:val="20"/>
              </w:rPr>
              <w:t>-</w:t>
            </w:r>
            <w:r>
              <w:rPr>
                <w:spacing w:val="-2"/>
                <w:sz w:val="20"/>
              </w:rPr>
              <w:t>1.304017</w:t>
            </w:r>
          </w:p>
        </w:tc>
        <w:tc>
          <w:tcPr>
            <w:tcW w:w="1433" w:type="dxa"/>
            <w:tcBorders>
              <w:top w:val="double" w:sz="6" w:space="0" w:color="000000"/>
            </w:tcBorders>
          </w:tcPr>
          <w:p>
            <w:pPr>
              <w:pStyle w:val="TableParagraph"/>
              <w:spacing w:line="215" w:lineRule="exact" w:before="40"/>
              <w:ind w:left="310"/>
              <w:rPr>
                <w:sz w:val="20"/>
              </w:rPr>
            </w:pPr>
            <w:r>
              <w:rPr>
                <w:spacing w:val="-2"/>
                <w:sz w:val="20"/>
              </w:rPr>
              <w:t>0.323908</w:t>
            </w:r>
          </w:p>
        </w:tc>
        <w:tc>
          <w:tcPr>
            <w:tcW w:w="903" w:type="dxa"/>
            <w:tcBorders>
              <w:top w:val="double" w:sz="6" w:space="0" w:color="000000"/>
            </w:tcBorders>
          </w:tcPr>
          <w:p>
            <w:pPr>
              <w:pStyle w:val="TableParagraph"/>
              <w:spacing w:line="215" w:lineRule="exact" w:before="40"/>
              <w:ind w:right="74"/>
              <w:jc w:val="center"/>
              <w:rPr>
                <w:sz w:val="20"/>
              </w:rPr>
            </w:pPr>
            <w:r>
              <w:rPr>
                <w:spacing w:val="-4"/>
                <w:sz w:val="20"/>
              </w:rPr>
              <w:t>-</w:t>
            </w:r>
            <w:r>
              <w:rPr>
                <w:spacing w:val="-2"/>
                <w:sz w:val="20"/>
              </w:rPr>
              <w:t>4.025890</w:t>
            </w:r>
          </w:p>
        </w:tc>
        <w:tc>
          <w:tcPr>
            <w:tcW w:w="928" w:type="dxa"/>
            <w:tcBorders>
              <w:top w:val="double" w:sz="6" w:space="0" w:color="000000"/>
            </w:tcBorders>
          </w:tcPr>
          <w:p>
            <w:pPr>
              <w:pStyle w:val="TableParagraph"/>
              <w:spacing w:line="215" w:lineRule="exact" w:before="40"/>
              <w:ind w:right="30"/>
              <w:jc w:val="right"/>
              <w:rPr>
                <w:sz w:val="20"/>
              </w:rPr>
            </w:pPr>
            <w:r>
              <w:rPr>
                <w:spacing w:val="-2"/>
                <w:sz w:val="20"/>
              </w:rPr>
              <w:t>0.0007</w:t>
            </w:r>
          </w:p>
        </w:tc>
      </w:tr>
      <w:tr>
        <w:trPr>
          <w:trHeight w:val="229" w:hRule="atLeast"/>
        </w:trPr>
        <w:tc>
          <w:tcPr>
            <w:tcW w:w="1849" w:type="dxa"/>
          </w:tcPr>
          <w:p>
            <w:pPr>
              <w:pStyle w:val="TableParagraph"/>
              <w:spacing w:line="209" w:lineRule="exact"/>
              <w:ind w:left="454"/>
              <w:rPr>
                <w:sz w:val="20"/>
              </w:rPr>
            </w:pPr>
            <w:r>
              <w:rPr>
                <w:spacing w:val="-2"/>
                <w:sz w:val="20"/>
              </w:rPr>
              <w:t>D(CAB(-1),2)</w:t>
            </w:r>
          </w:p>
        </w:tc>
        <w:tc>
          <w:tcPr>
            <w:tcW w:w="1377" w:type="dxa"/>
          </w:tcPr>
          <w:p>
            <w:pPr>
              <w:pStyle w:val="TableParagraph"/>
              <w:spacing w:line="209" w:lineRule="exact"/>
              <w:ind w:right="130"/>
              <w:jc w:val="right"/>
              <w:rPr>
                <w:sz w:val="20"/>
              </w:rPr>
            </w:pPr>
            <w:r>
              <w:rPr>
                <w:spacing w:val="-2"/>
                <w:sz w:val="20"/>
              </w:rPr>
              <w:t>0.044646</w:t>
            </w:r>
          </w:p>
        </w:tc>
        <w:tc>
          <w:tcPr>
            <w:tcW w:w="1433" w:type="dxa"/>
          </w:tcPr>
          <w:p>
            <w:pPr>
              <w:pStyle w:val="TableParagraph"/>
              <w:spacing w:line="209" w:lineRule="exact"/>
              <w:ind w:left="310"/>
              <w:rPr>
                <w:sz w:val="20"/>
              </w:rPr>
            </w:pPr>
            <w:r>
              <w:rPr>
                <w:spacing w:val="-2"/>
                <w:sz w:val="20"/>
              </w:rPr>
              <w:t>0.208136</w:t>
            </w:r>
          </w:p>
        </w:tc>
        <w:tc>
          <w:tcPr>
            <w:tcW w:w="903" w:type="dxa"/>
          </w:tcPr>
          <w:p>
            <w:pPr>
              <w:pStyle w:val="TableParagraph"/>
              <w:spacing w:line="209" w:lineRule="exact"/>
              <w:ind w:right="9"/>
              <w:jc w:val="center"/>
              <w:rPr>
                <w:sz w:val="20"/>
              </w:rPr>
            </w:pPr>
            <w:r>
              <w:rPr>
                <w:spacing w:val="-2"/>
                <w:sz w:val="20"/>
              </w:rPr>
              <w:t>0.214502</w:t>
            </w:r>
          </w:p>
        </w:tc>
        <w:tc>
          <w:tcPr>
            <w:tcW w:w="928" w:type="dxa"/>
          </w:tcPr>
          <w:p>
            <w:pPr>
              <w:pStyle w:val="TableParagraph"/>
              <w:spacing w:line="209" w:lineRule="exact"/>
              <w:ind w:right="30"/>
              <w:jc w:val="right"/>
              <w:rPr>
                <w:sz w:val="20"/>
              </w:rPr>
            </w:pPr>
            <w:r>
              <w:rPr>
                <w:spacing w:val="-2"/>
                <w:sz w:val="20"/>
              </w:rPr>
              <w:t>0.8324</w:t>
            </w:r>
          </w:p>
        </w:tc>
      </w:tr>
      <w:tr>
        <w:trPr>
          <w:trHeight w:val="223" w:hRule="atLeast"/>
        </w:trPr>
        <w:tc>
          <w:tcPr>
            <w:tcW w:w="1849" w:type="dxa"/>
            <w:tcBorders>
              <w:bottom w:val="double" w:sz="6" w:space="0" w:color="000000"/>
            </w:tcBorders>
          </w:tcPr>
          <w:p>
            <w:pPr>
              <w:pStyle w:val="TableParagraph"/>
              <w:spacing w:line="204" w:lineRule="exact"/>
              <w:ind w:left="195"/>
              <w:jc w:val="center"/>
              <w:rPr>
                <w:sz w:val="20"/>
              </w:rPr>
            </w:pPr>
            <w:r>
              <w:rPr>
                <w:spacing w:val="-10"/>
                <w:sz w:val="20"/>
              </w:rPr>
              <w:t>C</w:t>
            </w:r>
          </w:p>
        </w:tc>
        <w:tc>
          <w:tcPr>
            <w:tcW w:w="1377" w:type="dxa"/>
            <w:tcBorders>
              <w:bottom w:val="double" w:sz="6" w:space="0" w:color="000000"/>
            </w:tcBorders>
          </w:tcPr>
          <w:p>
            <w:pPr>
              <w:pStyle w:val="TableParagraph"/>
              <w:spacing w:line="204" w:lineRule="exact"/>
              <w:ind w:right="130"/>
              <w:jc w:val="right"/>
              <w:rPr>
                <w:sz w:val="20"/>
              </w:rPr>
            </w:pPr>
            <w:r>
              <w:rPr>
                <w:spacing w:val="-2"/>
                <w:sz w:val="20"/>
              </w:rPr>
              <w:t>0.327452</w:t>
            </w:r>
          </w:p>
        </w:tc>
        <w:tc>
          <w:tcPr>
            <w:tcW w:w="1433" w:type="dxa"/>
            <w:tcBorders>
              <w:bottom w:val="double" w:sz="6" w:space="0" w:color="000000"/>
            </w:tcBorders>
          </w:tcPr>
          <w:p>
            <w:pPr>
              <w:pStyle w:val="TableParagraph"/>
              <w:spacing w:line="204" w:lineRule="exact"/>
              <w:ind w:left="310"/>
              <w:rPr>
                <w:sz w:val="20"/>
              </w:rPr>
            </w:pPr>
            <w:r>
              <w:rPr>
                <w:spacing w:val="-2"/>
                <w:sz w:val="20"/>
              </w:rPr>
              <w:t>0.270204</w:t>
            </w:r>
          </w:p>
        </w:tc>
        <w:tc>
          <w:tcPr>
            <w:tcW w:w="903" w:type="dxa"/>
            <w:tcBorders>
              <w:bottom w:val="double" w:sz="6" w:space="0" w:color="000000"/>
            </w:tcBorders>
          </w:tcPr>
          <w:p>
            <w:pPr>
              <w:pStyle w:val="TableParagraph"/>
              <w:spacing w:line="204" w:lineRule="exact"/>
              <w:ind w:right="9"/>
              <w:jc w:val="center"/>
              <w:rPr>
                <w:sz w:val="20"/>
              </w:rPr>
            </w:pPr>
            <w:r>
              <w:rPr>
                <w:spacing w:val="-2"/>
                <w:sz w:val="20"/>
              </w:rPr>
              <w:t>1.211873</w:t>
            </w:r>
          </w:p>
        </w:tc>
        <w:tc>
          <w:tcPr>
            <w:tcW w:w="928" w:type="dxa"/>
            <w:tcBorders>
              <w:bottom w:val="double" w:sz="6" w:space="0" w:color="000000"/>
            </w:tcBorders>
          </w:tcPr>
          <w:p>
            <w:pPr>
              <w:pStyle w:val="TableParagraph"/>
              <w:spacing w:line="204" w:lineRule="exact"/>
              <w:ind w:right="30"/>
              <w:jc w:val="right"/>
              <w:rPr>
                <w:sz w:val="20"/>
              </w:rPr>
            </w:pPr>
            <w:r>
              <w:rPr>
                <w:spacing w:val="-2"/>
                <w:sz w:val="20"/>
              </w:rPr>
              <w:t>0.2404</w:t>
            </w:r>
          </w:p>
        </w:tc>
      </w:tr>
      <w:tr>
        <w:trPr>
          <w:trHeight w:val="276" w:hRule="atLeast"/>
        </w:trPr>
        <w:tc>
          <w:tcPr>
            <w:tcW w:w="1849" w:type="dxa"/>
            <w:tcBorders>
              <w:top w:val="double" w:sz="6" w:space="0" w:color="000000"/>
            </w:tcBorders>
          </w:tcPr>
          <w:p>
            <w:pPr>
              <w:pStyle w:val="TableParagraph"/>
              <w:spacing w:line="214" w:lineRule="exact" w:before="42"/>
              <w:ind w:left="35"/>
              <w:rPr>
                <w:sz w:val="20"/>
              </w:rPr>
            </w:pPr>
            <w:r>
              <w:rPr>
                <w:spacing w:val="-2"/>
                <w:sz w:val="20"/>
              </w:rPr>
              <w:t>R-squared</w:t>
            </w:r>
          </w:p>
        </w:tc>
        <w:tc>
          <w:tcPr>
            <w:tcW w:w="1377" w:type="dxa"/>
            <w:tcBorders>
              <w:top w:val="double" w:sz="6" w:space="0" w:color="000000"/>
            </w:tcBorders>
          </w:tcPr>
          <w:p>
            <w:pPr>
              <w:pStyle w:val="TableParagraph"/>
              <w:spacing w:line="214" w:lineRule="exact" w:before="42"/>
              <w:ind w:right="130"/>
              <w:jc w:val="right"/>
              <w:rPr>
                <w:sz w:val="20"/>
              </w:rPr>
            </w:pPr>
            <w:r>
              <w:rPr>
                <w:spacing w:val="-2"/>
                <w:sz w:val="20"/>
              </w:rPr>
              <w:t>0.661053</w:t>
            </w:r>
          </w:p>
        </w:tc>
        <w:tc>
          <w:tcPr>
            <w:tcW w:w="2336" w:type="dxa"/>
            <w:gridSpan w:val="2"/>
            <w:tcBorders>
              <w:top w:val="double" w:sz="6" w:space="0" w:color="000000"/>
            </w:tcBorders>
          </w:tcPr>
          <w:p>
            <w:pPr>
              <w:pStyle w:val="TableParagraph"/>
              <w:spacing w:line="214" w:lineRule="exact" w:before="42"/>
              <w:ind w:left="130"/>
              <w:rPr>
                <w:sz w:val="20"/>
              </w:rPr>
            </w:pPr>
            <w:r>
              <w:rPr>
                <w:sz w:val="20"/>
              </w:rPr>
              <w:t>Mean</w:t>
            </w:r>
            <w:r>
              <w:rPr>
                <w:spacing w:val="-7"/>
                <w:sz w:val="20"/>
              </w:rPr>
              <w:t> </w:t>
            </w:r>
            <w:r>
              <w:rPr>
                <w:sz w:val="20"/>
              </w:rPr>
              <w:t>dependent</w:t>
            </w:r>
            <w:r>
              <w:rPr>
                <w:spacing w:val="-7"/>
                <w:sz w:val="20"/>
              </w:rPr>
              <w:t> </w:t>
            </w:r>
            <w:r>
              <w:rPr>
                <w:spacing w:val="-5"/>
                <w:sz w:val="20"/>
              </w:rPr>
              <w:t>var</w:t>
            </w:r>
          </w:p>
        </w:tc>
        <w:tc>
          <w:tcPr>
            <w:tcW w:w="928" w:type="dxa"/>
            <w:tcBorders>
              <w:top w:val="double" w:sz="6" w:space="0" w:color="000000"/>
            </w:tcBorders>
          </w:tcPr>
          <w:p>
            <w:pPr>
              <w:pStyle w:val="TableParagraph"/>
              <w:spacing w:line="214" w:lineRule="exact" w:before="42"/>
              <w:ind w:right="30"/>
              <w:jc w:val="right"/>
              <w:rPr>
                <w:sz w:val="20"/>
              </w:rPr>
            </w:pPr>
            <w:r>
              <w:rPr>
                <w:spacing w:val="-4"/>
                <w:sz w:val="20"/>
              </w:rPr>
              <w:t>-</w:t>
            </w:r>
            <w:r>
              <w:rPr>
                <w:spacing w:val="-2"/>
                <w:sz w:val="20"/>
              </w:rPr>
              <w:t>0.127410</w:t>
            </w:r>
          </w:p>
        </w:tc>
      </w:tr>
      <w:tr>
        <w:trPr>
          <w:trHeight w:val="229" w:hRule="atLeast"/>
        </w:trPr>
        <w:tc>
          <w:tcPr>
            <w:tcW w:w="1849" w:type="dxa"/>
          </w:tcPr>
          <w:p>
            <w:pPr>
              <w:pStyle w:val="TableParagraph"/>
              <w:spacing w:line="209" w:lineRule="exact"/>
              <w:ind w:left="35"/>
              <w:rPr>
                <w:sz w:val="20"/>
              </w:rPr>
            </w:pPr>
            <w:r>
              <w:rPr>
                <w:sz w:val="20"/>
              </w:rPr>
              <w:t>Adjusted</w:t>
            </w:r>
            <w:r>
              <w:rPr>
                <w:spacing w:val="-10"/>
                <w:sz w:val="20"/>
              </w:rPr>
              <w:t> </w:t>
            </w:r>
            <w:r>
              <w:rPr>
                <w:sz w:val="20"/>
              </w:rPr>
              <w:t>R-</w:t>
            </w:r>
            <w:r>
              <w:rPr>
                <w:spacing w:val="-2"/>
                <w:sz w:val="20"/>
              </w:rPr>
              <w:t>squared</w:t>
            </w:r>
          </w:p>
        </w:tc>
        <w:tc>
          <w:tcPr>
            <w:tcW w:w="1377" w:type="dxa"/>
          </w:tcPr>
          <w:p>
            <w:pPr>
              <w:pStyle w:val="TableParagraph"/>
              <w:spacing w:line="209" w:lineRule="exact"/>
              <w:ind w:right="130"/>
              <w:jc w:val="right"/>
              <w:rPr>
                <w:sz w:val="20"/>
              </w:rPr>
            </w:pPr>
            <w:r>
              <w:rPr>
                <w:spacing w:val="-2"/>
                <w:sz w:val="20"/>
              </w:rPr>
              <w:t>0.625375</w:t>
            </w:r>
          </w:p>
        </w:tc>
        <w:tc>
          <w:tcPr>
            <w:tcW w:w="2336" w:type="dxa"/>
            <w:gridSpan w:val="2"/>
          </w:tcPr>
          <w:p>
            <w:pPr>
              <w:pStyle w:val="TableParagraph"/>
              <w:spacing w:line="209" w:lineRule="exact"/>
              <w:ind w:left="130"/>
              <w:rPr>
                <w:sz w:val="20"/>
              </w:rPr>
            </w:pPr>
            <w:r>
              <w:rPr>
                <w:sz w:val="20"/>
              </w:rPr>
              <w:t>S.D.</w:t>
            </w:r>
            <w:r>
              <w:rPr>
                <w:spacing w:val="-5"/>
                <w:sz w:val="20"/>
              </w:rPr>
              <w:t> </w:t>
            </w:r>
            <w:r>
              <w:rPr>
                <w:sz w:val="20"/>
              </w:rPr>
              <w:t>dependent</w:t>
            </w:r>
            <w:r>
              <w:rPr>
                <w:spacing w:val="-6"/>
                <w:sz w:val="20"/>
              </w:rPr>
              <w:t> </w:t>
            </w:r>
            <w:r>
              <w:rPr>
                <w:spacing w:val="-5"/>
                <w:sz w:val="20"/>
              </w:rPr>
              <w:t>var</w:t>
            </w:r>
          </w:p>
        </w:tc>
        <w:tc>
          <w:tcPr>
            <w:tcW w:w="928" w:type="dxa"/>
          </w:tcPr>
          <w:p>
            <w:pPr>
              <w:pStyle w:val="TableParagraph"/>
              <w:spacing w:line="209" w:lineRule="exact"/>
              <w:ind w:right="30"/>
              <w:jc w:val="right"/>
              <w:rPr>
                <w:sz w:val="20"/>
              </w:rPr>
            </w:pPr>
            <w:r>
              <w:rPr>
                <w:spacing w:val="-2"/>
                <w:sz w:val="20"/>
              </w:rPr>
              <w:t>1.849533</w:t>
            </w:r>
          </w:p>
        </w:tc>
      </w:tr>
      <w:tr>
        <w:trPr>
          <w:trHeight w:val="230" w:hRule="atLeast"/>
        </w:trPr>
        <w:tc>
          <w:tcPr>
            <w:tcW w:w="1849" w:type="dxa"/>
          </w:tcPr>
          <w:p>
            <w:pPr>
              <w:pStyle w:val="TableParagraph"/>
              <w:spacing w:line="210" w:lineRule="exact"/>
              <w:ind w:left="35"/>
              <w:rPr>
                <w:sz w:val="20"/>
              </w:rPr>
            </w:pPr>
            <w:r>
              <w:rPr>
                <w:sz w:val="20"/>
              </w:rPr>
              <w:t>S.E.</w:t>
            </w:r>
            <w:r>
              <w:rPr>
                <w:spacing w:val="-3"/>
                <w:sz w:val="20"/>
              </w:rPr>
              <w:t> </w:t>
            </w:r>
            <w:r>
              <w:rPr>
                <w:sz w:val="20"/>
              </w:rPr>
              <w:t>of</w:t>
            </w:r>
            <w:r>
              <w:rPr>
                <w:spacing w:val="-3"/>
                <w:sz w:val="20"/>
              </w:rPr>
              <w:t> </w:t>
            </w:r>
            <w:r>
              <w:rPr>
                <w:spacing w:val="-2"/>
                <w:sz w:val="20"/>
              </w:rPr>
              <w:t>regression</w:t>
            </w:r>
          </w:p>
        </w:tc>
        <w:tc>
          <w:tcPr>
            <w:tcW w:w="1377" w:type="dxa"/>
          </w:tcPr>
          <w:p>
            <w:pPr>
              <w:pStyle w:val="TableParagraph"/>
              <w:spacing w:line="210" w:lineRule="exact"/>
              <w:ind w:right="130"/>
              <w:jc w:val="right"/>
              <w:rPr>
                <w:sz w:val="20"/>
              </w:rPr>
            </w:pPr>
            <w:r>
              <w:rPr>
                <w:spacing w:val="-2"/>
                <w:sz w:val="20"/>
              </w:rPr>
              <w:t>1.132037</w:t>
            </w:r>
          </w:p>
        </w:tc>
        <w:tc>
          <w:tcPr>
            <w:tcW w:w="2336" w:type="dxa"/>
            <w:gridSpan w:val="2"/>
          </w:tcPr>
          <w:p>
            <w:pPr>
              <w:pStyle w:val="TableParagraph"/>
              <w:spacing w:line="210" w:lineRule="exact"/>
              <w:ind w:left="130"/>
              <w:rPr>
                <w:sz w:val="20"/>
              </w:rPr>
            </w:pPr>
            <w:r>
              <w:rPr>
                <w:sz w:val="20"/>
              </w:rPr>
              <w:t>Akaike</w:t>
            </w:r>
            <w:r>
              <w:rPr>
                <w:spacing w:val="-8"/>
                <w:sz w:val="20"/>
              </w:rPr>
              <w:t> </w:t>
            </w:r>
            <w:r>
              <w:rPr>
                <w:sz w:val="20"/>
              </w:rPr>
              <w:t>info</w:t>
            </w:r>
            <w:r>
              <w:rPr>
                <w:spacing w:val="-7"/>
                <w:sz w:val="20"/>
              </w:rPr>
              <w:t> </w:t>
            </w:r>
            <w:r>
              <w:rPr>
                <w:spacing w:val="-2"/>
                <w:sz w:val="20"/>
              </w:rPr>
              <w:t>criterion</w:t>
            </w:r>
          </w:p>
        </w:tc>
        <w:tc>
          <w:tcPr>
            <w:tcW w:w="928" w:type="dxa"/>
          </w:tcPr>
          <w:p>
            <w:pPr>
              <w:pStyle w:val="TableParagraph"/>
              <w:spacing w:line="210" w:lineRule="exact"/>
              <w:ind w:right="30"/>
              <w:jc w:val="right"/>
              <w:rPr>
                <w:sz w:val="20"/>
              </w:rPr>
            </w:pPr>
            <w:r>
              <w:rPr>
                <w:spacing w:val="-2"/>
                <w:sz w:val="20"/>
              </w:rPr>
              <w:t>3.212038</w:t>
            </w:r>
          </w:p>
        </w:tc>
      </w:tr>
      <w:tr>
        <w:trPr>
          <w:trHeight w:val="230" w:hRule="atLeast"/>
        </w:trPr>
        <w:tc>
          <w:tcPr>
            <w:tcW w:w="1849" w:type="dxa"/>
          </w:tcPr>
          <w:p>
            <w:pPr>
              <w:pStyle w:val="TableParagraph"/>
              <w:spacing w:line="210" w:lineRule="exact"/>
              <w:ind w:left="35"/>
              <w:rPr>
                <w:sz w:val="20"/>
              </w:rPr>
            </w:pPr>
            <w:r>
              <w:rPr>
                <w:sz w:val="20"/>
              </w:rPr>
              <w:t>Sum</w:t>
            </w:r>
            <w:r>
              <w:rPr>
                <w:spacing w:val="-8"/>
                <w:sz w:val="20"/>
              </w:rPr>
              <w:t> </w:t>
            </w:r>
            <w:r>
              <w:rPr>
                <w:sz w:val="20"/>
              </w:rPr>
              <w:t>squared</w:t>
            </w:r>
            <w:r>
              <w:rPr>
                <w:spacing w:val="-4"/>
                <w:sz w:val="20"/>
              </w:rPr>
              <w:t> </w:t>
            </w:r>
            <w:r>
              <w:rPr>
                <w:spacing w:val="-2"/>
                <w:sz w:val="20"/>
              </w:rPr>
              <w:t>resid</w:t>
            </w:r>
          </w:p>
        </w:tc>
        <w:tc>
          <w:tcPr>
            <w:tcW w:w="1377" w:type="dxa"/>
          </w:tcPr>
          <w:p>
            <w:pPr>
              <w:pStyle w:val="TableParagraph"/>
              <w:spacing w:line="210" w:lineRule="exact"/>
              <w:ind w:right="130"/>
              <w:jc w:val="right"/>
              <w:rPr>
                <w:sz w:val="20"/>
              </w:rPr>
            </w:pPr>
            <w:r>
              <w:rPr>
                <w:spacing w:val="-2"/>
                <w:sz w:val="20"/>
              </w:rPr>
              <w:t>24.34865</w:t>
            </w:r>
          </w:p>
        </w:tc>
        <w:tc>
          <w:tcPr>
            <w:tcW w:w="2336" w:type="dxa"/>
            <w:gridSpan w:val="2"/>
          </w:tcPr>
          <w:p>
            <w:pPr>
              <w:pStyle w:val="TableParagraph"/>
              <w:spacing w:line="210" w:lineRule="exact"/>
              <w:ind w:left="130"/>
              <w:rPr>
                <w:sz w:val="20"/>
              </w:rPr>
            </w:pPr>
            <w:r>
              <w:rPr>
                <w:sz w:val="20"/>
              </w:rPr>
              <w:t>Schwarz</w:t>
            </w:r>
            <w:r>
              <w:rPr>
                <w:spacing w:val="-8"/>
                <w:sz w:val="20"/>
              </w:rPr>
              <w:t> </w:t>
            </w:r>
            <w:r>
              <w:rPr>
                <w:spacing w:val="-2"/>
                <w:sz w:val="20"/>
              </w:rPr>
              <w:t>criterion</w:t>
            </w:r>
          </w:p>
        </w:tc>
        <w:tc>
          <w:tcPr>
            <w:tcW w:w="928" w:type="dxa"/>
          </w:tcPr>
          <w:p>
            <w:pPr>
              <w:pStyle w:val="TableParagraph"/>
              <w:spacing w:line="210" w:lineRule="exact"/>
              <w:ind w:right="30"/>
              <w:jc w:val="right"/>
              <w:rPr>
                <w:sz w:val="20"/>
              </w:rPr>
            </w:pPr>
            <w:r>
              <w:rPr>
                <w:spacing w:val="-2"/>
                <w:sz w:val="20"/>
              </w:rPr>
              <w:t>3.360817</w:t>
            </w:r>
          </w:p>
        </w:tc>
      </w:tr>
      <w:tr>
        <w:trPr>
          <w:trHeight w:val="230" w:hRule="atLeast"/>
        </w:trPr>
        <w:tc>
          <w:tcPr>
            <w:tcW w:w="1849" w:type="dxa"/>
          </w:tcPr>
          <w:p>
            <w:pPr>
              <w:pStyle w:val="TableParagraph"/>
              <w:spacing w:line="210" w:lineRule="exact"/>
              <w:ind w:left="35"/>
              <w:rPr>
                <w:sz w:val="20"/>
              </w:rPr>
            </w:pPr>
            <w:r>
              <w:rPr>
                <w:sz w:val="20"/>
              </w:rPr>
              <w:t>Log</w:t>
            </w:r>
            <w:r>
              <w:rPr>
                <w:spacing w:val="-6"/>
                <w:sz w:val="20"/>
              </w:rPr>
              <w:t> </w:t>
            </w:r>
            <w:r>
              <w:rPr>
                <w:spacing w:val="-2"/>
                <w:sz w:val="20"/>
              </w:rPr>
              <w:t>likelihood</w:t>
            </w:r>
          </w:p>
        </w:tc>
        <w:tc>
          <w:tcPr>
            <w:tcW w:w="1377" w:type="dxa"/>
          </w:tcPr>
          <w:p>
            <w:pPr>
              <w:pStyle w:val="TableParagraph"/>
              <w:spacing w:line="210" w:lineRule="exact"/>
              <w:ind w:right="130"/>
              <w:jc w:val="right"/>
              <w:rPr>
                <w:sz w:val="20"/>
              </w:rPr>
            </w:pPr>
            <w:r>
              <w:rPr>
                <w:spacing w:val="-4"/>
                <w:sz w:val="20"/>
              </w:rPr>
              <w:t>-</w:t>
            </w:r>
            <w:r>
              <w:rPr>
                <w:spacing w:val="-2"/>
                <w:sz w:val="20"/>
              </w:rPr>
              <w:t>32.33242</w:t>
            </w:r>
          </w:p>
        </w:tc>
        <w:tc>
          <w:tcPr>
            <w:tcW w:w="1433" w:type="dxa"/>
          </w:tcPr>
          <w:p>
            <w:pPr>
              <w:pStyle w:val="TableParagraph"/>
              <w:spacing w:line="210" w:lineRule="exact"/>
              <w:ind w:left="130"/>
              <w:rPr>
                <w:sz w:val="20"/>
              </w:rPr>
            </w:pPr>
            <w:r>
              <w:rPr>
                <w:spacing w:val="-4"/>
                <w:sz w:val="20"/>
              </w:rPr>
              <w:t>F-</w:t>
            </w:r>
            <w:r>
              <w:rPr>
                <w:spacing w:val="-2"/>
                <w:sz w:val="20"/>
              </w:rPr>
              <w:t>statistic</w:t>
            </w:r>
          </w:p>
        </w:tc>
        <w:tc>
          <w:tcPr>
            <w:tcW w:w="903" w:type="dxa"/>
          </w:tcPr>
          <w:p>
            <w:pPr>
              <w:pStyle w:val="TableParagraph"/>
              <w:rPr>
                <w:sz w:val="16"/>
              </w:rPr>
            </w:pPr>
          </w:p>
        </w:tc>
        <w:tc>
          <w:tcPr>
            <w:tcW w:w="928" w:type="dxa"/>
          </w:tcPr>
          <w:p>
            <w:pPr>
              <w:pStyle w:val="TableParagraph"/>
              <w:spacing w:line="210" w:lineRule="exact"/>
              <w:ind w:right="30"/>
              <w:jc w:val="right"/>
              <w:rPr>
                <w:sz w:val="20"/>
              </w:rPr>
            </w:pPr>
            <w:r>
              <w:rPr>
                <w:spacing w:val="-2"/>
                <w:sz w:val="20"/>
              </w:rPr>
              <w:t>18.52799</w:t>
            </w:r>
          </w:p>
        </w:tc>
      </w:tr>
      <w:tr>
        <w:trPr>
          <w:trHeight w:val="265" w:hRule="atLeast"/>
        </w:trPr>
        <w:tc>
          <w:tcPr>
            <w:tcW w:w="1849" w:type="dxa"/>
            <w:tcBorders>
              <w:bottom w:val="double" w:sz="6" w:space="0" w:color="000000"/>
            </w:tcBorders>
          </w:tcPr>
          <w:p>
            <w:pPr>
              <w:pStyle w:val="TableParagraph"/>
              <w:spacing w:line="226" w:lineRule="exact"/>
              <w:ind w:left="35"/>
              <w:rPr>
                <w:sz w:val="20"/>
              </w:rPr>
            </w:pPr>
            <w:r>
              <w:rPr>
                <w:sz w:val="20"/>
              </w:rPr>
              <w:t>Durbin-Watson</w:t>
            </w:r>
            <w:r>
              <w:rPr>
                <w:spacing w:val="-12"/>
                <w:sz w:val="20"/>
              </w:rPr>
              <w:t> </w:t>
            </w:r>
            <w:r>
              <w:rPr>
                <w:spacing w:val="-4"/>
                <w:sz w:val="20"/>
              </w:rPr>
              <w:t>stat</w:t>
            </w:r>
          </w:p>
        </w:tc>
        <w:tc>
          <w:tcPr>
            <w:tcW w:w="1377" w:type="dxa"/>
          </w:tcPr>
          <w:p>
            <w:pPr>
              <w:pStyle w:val="TableParagraph"/>
              <w:spacing w:line="226" w:lineRule="exact"/>
              <w:ind w:right="130"/>
              <w:jc w:val="right"/>
              <w:rPr>
                <w:sz w:val="20"/>
              </w:rPr>
            </w:pPr>
            <w:r>
              <w:rPr>
                <w:spacing w:val="-2"/>
                <w:sz w:val="20"/>
              </w:rPr>
              <w:t>2.199372</w:t>
            </w:r>
          </w:p>
        </w:tc>
        <w:tc>
          <w:tcPr>
            <w:tcW w:w="1433" w:type="dxa"/>
            <w:tcBorders>
              <w:bottom w:val="double" w:sz="6" w:space="0" w:color="000000"/>
            </w:tcBorders>
          </w:tcPr>
          <w:p>
            <w:pPr>
              <w:pStyle w:val="TableParagraph"/>
              <w:spacing w:line="226" w:lineRule="exact"/>
              <w:ind w:left="130"/>
              <w:rPr>
                <w:sz w:val="20"/>
              </w:rPr>
            </w:pPr>
            <w:r>
              <w:rPr>
                <w:spacing w:val="-2"/>
                <w:sz w:val="20"/>
              </w:rPr>
              <w:t>Prob(F-statistic)</w:t>
            </w:r>
          </w:p>
        </w:tc>
        <w:tc>
          <w:tcPr>
            <w:tcW w:w="903" w:type="dxa"/>
            <w:tcBorders>
              <w:bottom w:val="double" w:sz="6" w:space="0" w:color="000000"/>
            </w:tcBorders>
          </w:tcPr>
          <w:p>
            <w:pPr>
              <w:pStyle w:val="TableParagraph"/>
              <w:rPr>
                <w:sz w:val="18"/>
              </w:rPr>
            </w:pPr>
          </w:p>
        </w:tc>
        <w:tc>
          <w:tcPr>
            <w:tcW w:w="928" w:type="dxa"/>
            <w:tcBorders>
              <w:bottom w:val="double" w:sz="6" w:space="0" w:color="000000"/>
            </w:tcBorders>
          </w:tcPr>
          <w:p>
            <w:pPr>
              <w:pStyle w:val="TableParagraph"/>
              <w:spacing w:line="226" w:lineRule="exact"/>
              <w:ind w:right="30"/>
              <w:jc w:val="right"/>
              <w:rPr>
                <w:sz w:val="20"/>
              </w:rPr>
            </w:pPr>
            <w:r>
              <w:rPr>
                <w:spacing w:val="-2"/>
                <w:sz w:val="20"/>
              </w:rPr>
              <w:t>0.000034</w:t>
            </w:r>
          </w:p>
        </w:tc>
      </w:tr>
    </w:tbl>
    <w:p>
      <w:pPr>
        <w:spacing w:after="0" w:line="226" w:lineRule="exact"/>
        <w:jc w:val="right"/>
        <w:rPr>
          <w:sz w:val="20"/>
        </w:rPr>
        <w:sectPr>
          <w:pgSz w:w="11910" w:h="16840"/>
          <w:pgMar w:header="0" w:footer="982" w:top="1400" w:bottom="1240" w:left="280" w:right="0"/>
        </w:sectPr>
      </w:pPr>
    </w:p>
    <w:p>
      <w:pPr>
        <w:spacing w:before="73"/>
        <w:ind w:left="771" w:right="0" w:firstLine="0"/>
        <w:jc w:val="left"/>
        <w:rPr>
          <w:sz w:val="20"/>
        </w:rPr>
      </w:pPr>
      <w:r>
        <w:rPr>
          <w:sz w:val="20"/>
        </w:rPr>
        <w:t>RES</w:t>
      </w:r>
      <w:r>
        <w:rPr>
          <w:spacing w:val="-5"/>
          <w:sz w:val="20"/>
        </w:rPr>
        <w:t> </w:t>
      </w:r>
      <w:r>
        <w:rPr>
          <w:sz w:val="20"/>
        </w:rPr>
        <w:t>@</w:t>
      </w:r>
      <w:r>
        <w:rPr>
          <w:spacing w:val="-2"/>
          <w:sz w:val="20"/>
        </w:rPr>
        <w:t> LEVEL</w:t>
      </w:r>
    </w:p>
    <w:tbl>
      <w:tblPr>
        <w:tblW w:w="0" w:type="auto"/>
        <w:jc w:val="left"/>
        <w:tblInd w:w="8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49"/>
        <w:gridCol w:w="1377"/>
        <w:gridCol w:w="1433"/>
        <w:gridCol w:w="936"/>
        <w:gridCol w:w="896"/>
      </w:tblGrid>
      <w:tr>
        <w:trPr>
          <w:trHeight w:val="225" w:hRule="atLeast"/>
        </w:trPr>
        <w:tc>
          <w:tcPr>
            <w:tcW w:w="1849" w:type="dxa"/>
          </w:tcPr>
          <w:p>
            <w:pPr>
              <w:pStyle w:val="TableParagraph"/>
              <w:spacing w:line="205" w:lineRule="exact"/>
              <w:ind w:left="35"/>
              <w:rPr>
                <w:sz w:val="20"/>
              </w:rPr>
            </w:pPr>
            <w:r>
              <w:rPr>
                <w:sz w:val="20"/>
              </w:rPr>
              <w:t>ADF</w:t>
            </w:r>
            <w:r>
              <w:rPr>
                <w:spacing w:val="-4"/>
                <w:sz w:val="20"/>
              </w:rPr>
              <w:t> </w:t>
            </w:r>
            <w:r>
              <w:rPr>
                <w:sz w:val="20"/>
              </w:rPr>
              <w:t>Test</w:t>
            </w:r>
            <w:r>
              <w:rPr>
                <w:spacing w:val="-4"/>
                <w:sz w:val="20"/>
              </w:rPr>
              <w:t> </w:t>
            </w:r>
            <w:r>
              <w:rPr>
                <w:spacing w:val="-2"/>
                <w:sz w:val="20"/>
              </w:rPr>
              <w:t>Statistic</w:t>
            </w:r>
          </w:p>
        </w:tc>
        <w:tc>
          <w:tcPr>
            <w:tcW w:w="1377" w:type="dxa"/>
          </w:tcPr>
          <w:p>
            <w:pPr>
              <w:pStyle w:val="TableParagraph"/>
              <w:spacing w:line="205" w:lineRule="exact"/>
              <w:ind w:left="220"/>
              <w:rPr>
                <w:sz w:val="20"/>
              </w:rPr>
            </w:pPr>
            <w:r>
              <w:rPr>
                <w:spacing w:val="-4"/>
                <w:sz w:val="20"/>
              </w:rPr>
              <w:t>-</w:t>
            </w:r>
            <w:r>
              <w:rPr>
                <w:spacing w:val="-2"/>
                <w:sz w:val="20"/>
              </w:rPr>
              <w:t>2.509373</w:t>
            </w:r>
          </w:p>
        </w:tc>
        <w:tc>
          <w:tcPr>
            <w:tcW w:w="2369" w:type="dxa"/>
            <w:gridSpan w:val="2"/>
          </w:tcPr>
          <w:p>
            <w:pPr>
              <w:pStyle w:val="TableParagraph"/>
              <w:spacing w:line="205" w:lineRule="exact"/>
              <w:ind w:left="130"/>
              <w:rPr>
                <w:sz w:val="20"/>
              </w:rPr>
            </w:pPr>
            <w:r>
              <w:rPr>
                <w:sz w:val="20"/>
              </w:rPr>
              <w:t>1%</w:t>
            </w:r>
            <w:r>
              <w:rPr>
                <w:spacing w:val="68"/>
                <w:w w:val="150"/>
                <w:sz w:val="20"/>
              </w:rPr>
              <w:t> </w:t>
            </w:r>
            <w:r>
              <w:rPr>
                <w:sz w:val="20"/>
              </w:rPr>
              <w:t>Critical</w:t>
            </w:r>
            <w:r>
              <w:rPr>
                <w:spacing w:val="-2"/>
                <w:sz w:val="20"/>
              </w:rPr>
              <w:t> Value*</w:t>
            </w:r>
          </w:p>
        </w:tc>
        <w:tc>
          <w:tcPr>
            <w:tcW w:w="896" w:type="dxa"/>
          </w:tcPr>
          <w:p>
            <w:pPr>
              <w:pStyle w:val="TableParagraph"/>
              <w:spacing w:line="205" w:lineRule="exact"/>
              <w:ind w:right="31"/>
              <w:jc w:val="right"/>
              <w:rPr>
                <w:sz w:val="20"/>
              </w:rPr>
            </w:pPr>
            <w:r>
              <w:rPr>
                <w:spacing w:val="-4"/>
                <w:sz w:val="20"/>
              </w:rPr>
              <w:t>-</w:t>
            </w:r>
            <w:r>
              <w:rPr>
                <w:spacing w:val="-2"/>
                <w:sz w:val="20"/>
              </w:rPr>
              <w:t>3.7497</w:t>
            </w:r>
          </w:p>
        </w:tc>
      </w:tr>
      <w:tr>
        <w:trPr>
          <w:trHeight w:val="230" w:hRule="atLeast"/>
        </w:trPr>
        <w:tc>
          <w:tcPr>
            <w:tcW w:w="1849" w:type="dxa"/>
          </w:tcPr>
          <w:p>
            <w:pPr>
              <w:pStyle w:val="TableParagraph"/>
              <w:rPr>
                <w:sz w:val="16"/>
              </w:rPr>
            </w:pPr>
          </w:p>
        </w:tc>
        <w:tc>
          <w:tcPr>
            <w:tcW w:w="1377" w:type="dxa"/>
          </w:tcPr>
          <w:p>
            <w:pPr>
              <w:pStyle w:val="TableParagraph"/>
              <w:rPr>
                <w:sz w:val="16"/>
              </w:rPr>
            </w:pPr>
          </w:p>
        </w:tc>
        <w:tc>
          <w:tcPr>
            <w:tcW w:w="2369" w:type="dxa"/>
            <w:gridSpan w:val="2"/>
          </w:tcPr>
          <w:p>
            <w:pPr>
              <w:pStyle w:val="TableParagraph"/>
              <w:spacing w:line="210" w:lineRule="exact"/>
              <w:ind w:left="130"/>
              <w:rPr>
                <w:sz w:val="20"/>
              </w:rPr>
            </w:pPr>
            <w:r>
              <w:rPr>
                <w:sz w:val="20"/>
              </w:rPr>
              <w:t>5%</w:t>
            </w:r>
            <w:r>
              <w:rPr>
                <w:spacing w:val="68"/>
                <w:w w:val="150"/>
                <w:sz w:val="20"/>
              </w:rPr>
              <w:t> </w:t>
            </w:r>
            <w:r>
              <w:rPr>
                <w:sz w:val="20"/>
              </w:rPr>
              <w:t>Critical</w:t>
            </w:r>
            <w:r>
              <w:rPr>
                <w:spacing w:val="-2"/>
                <w:sz w:val="20"/>
              </w:rPr>
              <w:t> </w:t>
            </w:r>
            <w:r>
              <w:rPr>
                <w:spacing w:val="-4"/>
                <w:sz w:val="20"/>
              </w:rPr>
              <w:t>Value</w:t>
            </w:r>
          </w:p>
        </w:tc>
        <w:tc>
          <w:tcPr>
            <w:tcW w:w="896" w:type="dxa"/>
          </w:tcPr>
          <w:p>
            <w:pPr>
              <w:pStyle w:val="TableParagraph"/>
              <w:spacing w:line="210" w:lineRule="exact"/>
              <w:ind w:right="31"/>
              <w:jc w:val="right"/>
              <w:rPr>
                <w:sz w:val="20"/>
              </w:rPr>
            </w:pPr>
            <w:r>
              <w:rPr>
                <w:spacing w:val="-4"/>
                <w:sz w:val="20"/>
              </w:rPr>
              <w:t>-</w:t>
            </w:r>
            <w:r>
              <w:rPr>
                <w:spacing w:val="-2"/>
                <w:sz w:val="20"/>
              </w:rPr>
              <w:t>2.9969</w:t>
            </w:r>
          </w:p>
        </w:tc>
      </w:tr>
      <w:tr>
        <w:trPr>
          <w:trHeight w:val="224" w:hRule="atLeast"/>
        </w:trPr>
        <w:tc>
          <w:tcPr>
            <w:tcW w:w="1849" w:type="dxa"/>
            <w:tcBorders>
              <w:bottom w:val="double" w:sz="6" w:space="0" w:color="000000"/>
            </w:tcBorders>
          </w:tcPr>
          <w:p>
            <w:pPr>
              <w:pStyle w:val="TableParagraph"/>
              <w:rPr>
                <w:sz w:val="16"/>
              </w:rPr>
            </w:pPr>
          </w:p>
        </w:tc>
        <w:tc>
          <w:tcPr>
            <w:tcW w:w="1377" w:type="dxa"/>
            <w:tcBorders>
              <w:bottom w:val="double" w:sz="6" w:space="0" w:color="000000"/>
            </w:tcBorders>
          </w:tcPr>
          <w:p>
            <w:pPr>
              <w:pStyle w:val="TableParagraph"/>
              <w:rPr>
                <w:sz w:val="16"/>
              </w:rPr>
            </w:pPr>
          </w:p>
        </w:tc>
        <w:tc>
          <w:tcPr>
            <w:tcW w:w="2369" w:type="dxa"/>
            <w:gridSpan w:val="2"/>
            <w:tcBorders>
              <w:bottom w:val="double" w:sz="6" w:space="0" w:color="000000"/>
            </w:tcBorders>
          </w:tcPr>
          <w:p>
            <w:pPr>
              <w:pStyle w:val="TableParagraph"/>
              <w:spacing w:line="205" w:lineRule="exact"/>
              <w:ind w:left="130"/>
              <w:rPr>
                <w:sz w:val="20"/>
              </w:rPr>
            </w:pPr>
            <w:r>
              <w:rPr>
                <w:sz w:val="20"/>
              </w:rPr>
              <w:t>10%</w:t>
            </w:r>
            <w:r>
              <w:rPr>
                <w:spacing w:val="-6"/>
                <w:sz w:val="20"/>
              </w:rPr>
              <w:t> </w:t>
            </w:r>
            <w:r>
              <w:rPr>
                <w:sz w:val="20"/>
              </w:rPr>
              <w:t>Critical</w:t>
            </w:r>
            <w:r>
              <w:rPr>
                <w:spacing w:val="-4"/>
                <w:sz w:val="20"/>
              </w:rPr>
              <w:t> </w:t>
            </w:r>
            <w:r>
              <w:rPr>
                <w:spacing w:val="-2"/>
                <w:sz w:val="20"/>
              </w:rPr>
              <w:t>Value</w:t>
            </w:r>
          </w:p>
        </w:tc>
        <w:tc>
          <w:tcPr>
            <w:tcW w:w="896" w:type="dxa"/>
            <w:tcBorders>
              <w:bottom w:val="double" w:sz="6" w:space="0" w:color="000000"/>
            </w:tcBorders>
          </w:tcPr>
          <w:p>
            <w:pPr>
              <w:pStyle w:val="TableParagraph"/>
              <w:spacing w:line="205" w:lineRule="exact"/>
              <w:ind w:right="31"/>
              <w:jc w:val="right"/>
              <w:rPr>
                <w:sz w:val="20"/>
              </w:rPr>
            </w:pPr>
            <w:r>
              <w:rPr>
                <w:spacing w:val="-4"/>
                <w:sz w:val="20"/>
              </w:rPr>
              <w:t>-</w:t>
            </w:r>
            <w:r>
              <w:rPr>
                <w:spacing w:val="-2"/>
                <w:sz w:val="20"/>
              </w:rPr>
              <w:t>2.6381</w:t>
            </w:r>
          </w:p>
        </w:tc>
      </w:tr>
      <w:tr>
        <w:trPr>
          <w:trHeight w:val="505" w:hRule="atLeast"/>
        </w:trPr>
        <w:tc>
          <w:tcPr>
            <w:tcW w:w="6491" w:type="dxa"/>
            <w:gridSpan w:val="5"/>
            <w:tcBorders>
              <w:top w:val="double" w:sz="6" w:space="0" w:color="000000"/>
            </w:tcBorders>
          </w:tcPr>
          <w:p>
            <w:pPr>
              <w:pStyle w:val="TableParagraph"/>
              <w:spacing w:before="40"/>
              <w:ind w:left="35"/>
              <w:rPr>
                <w:sz w:val="20"/>
              </w:rPr>
            </w:pPr>
            <w:r>
              <w:rPr>
                <w:sz w:val="20"/>
              </w:rPr>
              <w:t>*MacKinnon</w:t>
            </w:r>
            <w:r>
              <w:rPr>
                <w:spacing w:val="-6"/>
                <w:sz w:val="20"/>
              </w:rPr>
              <w:t> </w:t>
            </w:r>
            <w:r>
              <w:rPr>
                <w:sz w:val="20"/>
              </w:rPr>
              <w:t>critical</w:t>
            </w:r>
            <w:r>
              <w:rPr>
                <w:spacing w:val="-4"/>
                <w:sz w:val="20"/>
              </w:rPr>
              <w:t> </w:t>
            </w:r>
            <w:r>
              <w:rPr>
                <w:sz w:val="20"/>
              </w:rPr>
              <w:t>values</w:t>
            </w:r>
            <w:r>
              <w:rPr>
                <w:spacing w:val="-6"/>
                <w:sz w:val="20"/>
              </w:rPr>
              <w:t> </w:t>
            </w:r>
            <w:r>
              <w:rPr>
                <w:sz w:val="20"/>
              </w:rPr>
              <w:t>for</w:t>
            </w:r>
            <w:r>
              <w:rPr>
                <w:spacing w:val="-4"/>
                <w:sz w:val="20"/>
              </w:rPr>
              <w:t> </w:t>
            </w:r>
            <w:r>
              <w:rPr>
                <w:sz w:val="20"/>
              </w:rPr>
              <w:t>rejection</w:t>
            </w:r>
            <w:r>
              <w:rPr>
                <w:spacing w:val="-6"/>
                <w:sz w:val="20"/>
              </w:rPr>
              <w:t> </w:t>
            </w:r>
            <w:r>
              <w:rPr>
                <w:sz w:val="20"/>
              </w:rPr>
              <w:t>of</w:t>
            </w:r>
            <w:r>
              <w:rPr>
                <w:spacing w:val="-6"/>
                <w:sz w:val="20"/>
              </w:rPr>
              <w:t> </w:t>
            </w:r>
            <w:r>
              <w:rPr>
                <w:sz w:val="20"/>
              </w:rPr>
              <w:t>hypothesis</w:t>
            </w:r>
            <w:r>
              <w:rPr>
                <w:spacing w:val="-6"/>
                <w:sz w:val="20"/>
              </w:rPr>
              <w:t> </w:t>
            </w:r>
            <w:r>
              <w:rPr>
                <w:sz w:val="20"/>
              </w:rPr>
              <w:t>of</w:t>
            </w:r>
            <w:r>
              <w:rPr>
                <w:spacing w:val="-6"/>
                <w:sz w:val="20"/>
              </w:rPr>
              <w:t> </w:t>
            </w:r>
            <w:r>
              <w:rPr>
                <w:sz w:val="20"/>
              </w:rPr>
              <w:t>a</w:t>
            </w:r>
            <w:r>
              <w:rPr>
                <w:spacing w:val="-4"/>
                <w:sz w:val="20"/>
              </w:rPr>
              <w:t> </w:t>
            </w:r>
            <w:r>
              <w:rPr>
                <w:sz w:val="20"/>
              </w:rPr>
              <w:t>unit</w:t>
            </w:r>
            <w:r>
              <w:rPr>
                <w:spacing w:val="-6"/>
                <w:sz w:val="20"/>
              </w:rPr>
              <w:t> </w:t>
            </w:r>
            <w:r>
              <w:rPr>
                <w:spacing w:val="-2"/>
                <w:sz w:val="20"/>
              </w:rPr>
              <w:t>root.</w:t>
            </w:r>
          </w:p>
        </w:tc>
      </w:tr>
      <w:tr>
        <w:trPr>
          <w:trHeight w:val="460" w:hRule="atLeast"/>
        </w:trPr>
        <w:tc>
          <w:tcPr>
            <w:tcW w:w="6491" w:type="dxa"/>
            <w:gridSpan w:val="5"/>
          </w:tcPr>
          <w:p>
            <w:pPr>
              <w:pStyle w:val="TableParagraph"/>
              <w:spacing w:line="215" w:lineRule="exact" w:before="226"/>
              <w:ind w:left="35"/>
              <w:rPr>
                <w:sz w:val="20"/>
              </w:rPr>
            </w:pPr>
            <w:r>
              <w:rPr>
                <w:sz w:val="20"/>
              </w:rPr>
              <w:t>Augmented</w:t>
            </w:r>
            <w:r>
              <w:rPr>
                <w:spacing w:val="-8"/>
                <w:sz w:val="20"/>
              </w:rPr>
              <w:t> </w:t>
            </w:r>
            <w:r>
              <w:rPr>
                <w:sz w:val="20"/>
              </w:rPr>
              <w:t>Dickey-Fuller</w:t>
            </w:r>
            <w:r>
              <w:rPr>
                <w:spacing w:val="-8"/>
                <w:sz w:val="20"/>
              </w:rPr>
              <w:t> </w:t>
            </w:r>
            <w:r>
              <w:rPr>
                <w:sz w:val="20"/>
              </w:rPr>
              <w:t>Test</w:t>
            </w:r>
            <w:r>
              <w:rPr>
                <w:spacing w:val="-9"/>
                <w:sz w:val="20"/>
              </w:rPr>
              <w:t> </w:t>
            </w:r>
            <w:r>
              <w:rPr>
                <w:spacing w:val="-2"/>
                <w:sz w:val="20"/>
              </w:rPr>
              <w:t>Equation</w:t>
            </w:r>
          </w:p>
        </w:tc>
      </w:tr>
      <w:tr>
        <w:trPr>
          <w:trHeight w:val="229" w:hRule="atLeast"/>
        </w:trPr>
        <w:tc>
          <w:tcPr>
            <w:tcW w:w="6491" w:type="dxa"/>
            <w:gridSpan w:val="5"/>
          </w:tcPr>
          <w:p>
            <w:pPr>
              <w:pStyle w:val="TableParagraph"/>
              <w:spacing w:line="209" w:lineRule="exact"/>
              <w:ind w:left="35"/>
              <w:rPr>
                <w:sz w:val="20"/>
              </w:rPr>
            </w:pPr>
            <w:r>
              <w:rPr>
                <w:sz w:val="20"/>
              </w:rPr>
              <w:t>Dependent</w:t>
            </w:r>
            <w:r>
              <w:rPr>
                <w:spacing w:val="-8"/>
                <w:sz w:val="20"/>
              </w:rPr>
              <w:t> </w:t>
            </w:r>
            <w:r>
              <w:rPr>
                <w:sz w:val="20"/>
              </w:rPr>
              <w:t>Variable:</w:t>
            </w:r>
            <w:r>
              <w:rPr>
                <w:spacing w:val="-7"/>
                <w:sz w:val="20"/>
              </w:rPr>
              <w:t> </w:t>
            </w:r>
            <w:r>
              <w:rPr>
                <w:spacing w:val="-2"/>
                <w:sz w:val="20"/>
              </w:rPr>
              <w:t>D(RES)</w:t>
            </w:r>
          </w:p>
        </w:tc>
      </w:tr>
      <w:tr>
        <w:trPr>
          <w:trHeight w:val="229" w:hRule="atLeast"/>
        </w:trPr>
        <w:tc>
          <w:tcPr>
            <w:tcW w:w="6491" w:type="dxa"/>
            <w:gridSpan w:val="5"/>
          </w:tcPr>
          <w:p>
            <w:pPr>
              <w:pStyle w:val="TableParagraph"/>
              <w:spacing w:line="209" w:lineRule="exact"/>
              <w:ind w:left="35"/>
              <w:rPr>
                <w:sz w:val="20"/>
              </w:rPr>
            </w:pPr>
            <w:r>
              <w:rPr>
                <w:sz w:val="20"/>
              </w:rPr>
              <w:t>Method:</w:t>
            </w:r>
            <w:r>
              <w:rPr>
                <w:spacing w:val="-8"/>
                <w:sz w:val="20"/>
              </w:rPr>
              <w:t> </w:t>
            </w:r>
            <w:r>
              <w:rPr>
                <w:sz w:val="20"/>
              </w:rPr>
              <w:t>Least</w:t>
            </w:r>
            <w:r>
              <w:rPr>
                <w:spacing w:val="-7"/>
                <w:sz w:val="20"/>
              </w:rPr>
              <w:t> </w:t>
            </w:r>
            <w:r>
              <w:rPr>
                <w:spacing w:val="-2"/>
                <w:sz w:val="20"/>
              </w:rPr>
              <w:t>Squares</w:t>
            </w:r>
          </w:p>
        </w:tc>
      </w:tr>
      <w:tr>
        <w:trPr>
          <w:trHeight w:val="230" w:hRule="atLeast"/>
        </w:trPr>
        <w:tc>
          <w:tcPr>
            <w:tcW w:w="6491" w:type="dxa"/>
            <w:gridSpan w:val="5"/>
          </w:tcPr>
          <w:p>
            <w:pPr>
              <w:pStyle w:val="TableParagraph"/>
              <w:spacing w:line="210" w:lineRule="exact"/>
              <w:ind w:left="35"/>
              <w:rPr>
                <w:sz w:val="20"/>
              </w:rPr>
            </w:pPr>
            <w:r>
              <w:rPr>
                <w:sz w:val="20"/>
              </w:rPr>
              <w:t>Date:</w:t>
            </w:r>
            <w:r>
              <w:rPr>
                <w:spacing w:val="-5"/>
                <w:sz w:val="20"/>
              </w:rPr>
              <w:t> </w:t>
            </w:r>
            <w:r>
              <w:rPr>
                <w:sz w:val="20"/>
              </w:rPr>
              <w:t>02/17/14</w:t>
            </w:r>
            <w:r>
              <w:rPr>
                <w:spacing w:val="63"/>
                <w:w w:val="150"/>
                <w:sz w:val="20"/>
              </w:rPr>
              <w:t> </w:t>
            </w:r>
            <w:r>
              <w:rPr>
                <w:sz w:val="20"/>
              </w:rPr>
              <w:t>Time:</w:t>
            </w:r>
            <w:r>
              <w:rPr>
                <w:spacing w:val="-3"/>
                <w:sz w:val="20"/>
              </w:rPr>
              <w:t> </w:t>
            </w:r>
            <w:r>
              <w:rPr>
                <w:spacing w:val="-2"/>
                <w:sz w:val="20"/>
              </w:rPr>
              <w:t>18:13</w:t>
            </w:r>
          </w:p>
        </w:tc>
      </w:tr>
      <w:tr>
        <w:trPr>
          <w:trHeight w:val="230" w:hRule="atLeast"/>
        </w:trPr>
        <w:tc>
          <w:tcPr>
            <w:tcW w:w="6491" w:type="dxa"/>
            <w:gridSpan w:val="5"/>
          </w:tcPr>
          <w:p>
            <w:pPr>
              <w:pStyle w:val="TableParagraph"/>
              <w:spacing w:line="210" w:lineRule="exact"/>
              <w:ind w:left="35"/>
              <w:rPr>
                <w:sz w:val="20"/>
              </w:rPr>
            </w:pPr>
            <w:r>
              <w:rPr>
                <w:sz w:val="20"/>
              </w:rPr>
              <w:t>Sample(adjusted):</w:t>
            </w:r>
            <w:r>
              <w:rPr>
                <w:spacing w:val="-9"/>
                <w:sz w:val="20"/>
              </w:rPr>
              <w:t> </w:t>
            </w:r>
            <w:r>
              <w:rPr>
                <w:sz w:val="20"/>
              </w:rPr>
              <w:t>1989</w:t>
            </w:r>
            <w:r>
              <w:rPr>
                <w:spacing w:val="-9"/>
                <w:sz w:val="20"/>
              </w:rPr>
              <w:t> </w:t>
            </w:r>
            <w:r>
              <w:rPr>
                <w:spacing w:val="-4"/>
                <w:sz w:val="20"/>
              </w:rPr>
              <w:t>2011</w:t>
            </w:r>
          </w:p>
        </w:tc>
      </w:tr>
      <w:tr>
        <w:trPr>
          <w:trHeight w:val="224" w:hRule="atLeast"/>
        </w:trPr>
        <w:tc>
          <w:tcPr>
            <w:tcW w:w="6491" w:type="dxa"/>
            <w:gridSpan w:val="5"/>
            <w:tcBorders>
              <w:bottom w:val="double" w:sz="6" w:space="0" w:color="000000"/>
            </w:tcBorders>
          </w:tcPr>
          <w:p>
            <w:pPr>
              <w:pStyle w:val="TableParagraph"/>
              <w:spacing w:line="205" w:lineRule="exact"/>
              <w:ind w:left="35"/>
              <w:rPr>
                <w:sz w:val="20"/>
              </w:rPr>
            </w:pPr>
            <w:r>
              <w:rPr>
                <w:sz w:val="20"/>
              </w:rPr>
              <w:t>Included</w:t>
            </w:r>
            <w:r>
              <w:rPr>
                <w:spacing w:val="-6"/>
                <w:sz w:val="20"/>
              </w:rPr>
              <w:t> </w:t>
            </w:r>
            <w:r>
              <w:rPr>
                <w:sz w:val="20"/>
              </w:rPr>
              <w:t>observations:</w:t>
            </w:r>
            <w:r>
              <w:rPr>
                <w:spacing w:val="-8"/>
                <w:sz w:val="20"/>
              </w:rPr>
              <w:t> </w:t>
            </w:r>
            <w:r>
              <w:rPr>
                <w:sz w:val="20"/>
              </w:rPr>
              <w:t>23</w:t>
            </w:r>
            <w:r>
              <w:rPr>
                <w:spacing w:val="-5"/>
                <w:sz w:val="20"/>
              </w:rPr>
              <w:t> </w:t>
            </w:r>
            <w:r>
              <w:rPr>
                <w:sz w:val="20"/>
              </w:rPr>
              <w:t>after</w:t>
            </w:r>
            <w:r>
              <w:rPr>
                <w:spacing w:val="-7"/>
                <w:sz w:val="20"/>
              </w:rPr>
              <w:t> </w:t>
            </w:r>
            <w:r>
              <w:rPr>
                <w:sz w:val="20"/>
              </w:rPr>
              <w:t>adjusting</w:t>
            </w:r>
            <w:r>
              <w:rPr>
                <w:spacing w:val="-7"/>
                <w:sz w:val="20"/>
              </w:rPr>
              <w:t> </w:t>
            </w:r>
            <w:r>
              <w:rPr>
                <w:spacing w:val="-2"/>
                <w:sz w:val="20"/>
              </w:rPr>
              <w:t>endpoints</w:t>
            </w:r>
          </w:p>
        </w:tc>
      </w:tr>
      <w:tr>
        <w:trPr>
          <w:trHeight w:val="269" w:hRule="atLeast"/>
        </w:trPr>
        <w:tc>
          <w:tcPr>
            <w:tcW w:w="1849" w:type="dxa"/>
            <w:tcBorders>
              <w:top w:val="double" w:sz="6" w:space="0" w:color="000000"/>
              <w:bottom w:val="double" w:sz="6" w:space="0" w:color="000000"/>
            </w:tcBorders>
          </w:tcPr>
          <w:p>
            <w:pPr>
              <w:pStyle w:val="TableParagraph"/>
              <w:spacing w:line="209" w:lineRule="exact" w:before="40"/>
              <w:ind w:left="677"/>
              <w:rPr>
                <w:sz w:val="20"/>
              </w:rPr>
            </w:pPr>
            <w:r>
              <w:rPr>
                <w:spacing w:val="-2"/>
                <w:sz w:val="20"/>
              </w:rPr>
              <w:t>Variable</w:t>
            </w:r>
          </w:p>
        </w:tc>
        <w:tc>
          <w:tcPr>
            <w:tcW w:w="1377" w:type="dxa"/>
            <w:tcBorders>
              <w:top w:val="double" w:sz="6" w:space="0" w:color="000000"/>
              <w:bottom w:val="double" w:sz="6" w:space="0" w:color="000000"/>
            </w:tcBorders>
          </w:tcPr>
          <w:p>
            <w:pPr>
              <w:pStyle w:val="TableParagraph"/>
              <w:spacing w:line="209" w:lineRule="exact" w:before="40"/>
              <w:ind w:right="134"/>
              <w:jc w:val="right"/>
              <w:rPr>
                <w:sz w:val="20"/>
              </w:rPr>
            </w:pPr>
            <w:r>
              <w:rPr>
                <w:spacing w:val="-2"/>
                <w:sz w:val="20"/>
              </w:rPr>
              <w:t>Coefficient</w:t>
            </w:r>
          </w:p>
        </w:tc>
        <w:tc>
          <w:tcPr>
            <w:tcW w:w="1433" w:type="dxa"/>
            <w:tcBorders>
              <w:top w:val="double" w:sz="6" w:space="0" w:color="000000"/>
              <w:bottom w:val="double" w:sz="6" w:space="0" w:color="000000"/>
            </w:tcBorders>
          </w:tcPr>
          <w:p>
            <w:pPr>
              <w:pStyle w:val="TableParagraph"/>
              <w:spacing w:line="209" w:lineRule="exact" w:before="40"/>
              <w:ind w:left="271"/>
              <w:rPr>
                <w:sz w:val="20"/>
              </w:rPr>
            </w:pPr>
            <w:r>
              <w:rPr>
                <w:sz w:val="20"/>
              </w:rPr>
              <w:t>Std.</w:t>
            </w:r>
            <w:r>
              <w:rPr>
                <w:spacing w:val="-4"/>
                <w:sz w:val="20"/>
              </w:rPr>
              <w:t> </w:t>
            </w:r>
            <w:r>
              <w:rPr>
                <w:spacing w:val="-2"/>
                <w:sz w:val="20"/>
              </w:rPr>
              <w:t>Error</w:t>
            </w:r>
          </w:p>
        </w:tc>
        <w:tc>
          <w:tcPr>
            <w:tcW w:w="936" w:type="dxa"/>
            <w:tcBorders>
              <w:top w:val="double" w:sz="6" w:space="0" w:color="000000"/>
              <w:bottom w:val="double" w:sz="6" w:space="0" w:color="000000"/>
            </w:tcBorders>
          </w:tcPr>
          <w:p>
            <w:pPr>
              <w:pStyle w:val="TableParagraph"/>
              <w:spacing w:line="209" w:lineRule="exact" w:before="40"/>
              <w:ind w:left="55"/>
              <w:rPr>
                <w:sz w:val="20"/>
              </w:rPr>
            </w:pPr>
            <w:r>
              <w:rPr>
                <w:spacing w:val="-4"/>
                <w:sz w:val="20"/>
              </w:rPr>
              <w:t>t-</w:t>
            </w:r>
            <w:r>
              <w:rPr>
                <w:spacing w:val="-2"/>
                <w:sz w:val="20"/>
              </w:rPr>
              <w:t>Statistic</w:t>
            </w:r>
          </w:p>
        </w:tc>
        <w:tc>
          <w:tcPr>
            <w:tcW w:w="896" w:type="dxa"/>
            <w:tcBorders>
              <w:top w:val="double" w:sz="6" w:space="0" w:color="000000"/>
              <w:bottom w:val="double" w:sz="6" w:space="0" w:color="000000"/>
            </w:tcBorders>
          </w:tcPr>
          <w:p>
            <w:pPr>
              <w:pStyle w:val="TableParagraph"/>
              <w:spacing w:line="209" w:lineRule="exact" w:before="40"/>
              <w:ind w:right="32"/>
              <w:jc w:val="right"/>
              <w:rPr>
                <w:sz w:val="20"/>
              </w:rPr>
            </w:pPr>
            <w:r>
              <w:rPr>
                <w:spacing w:val="-2"/>
                <w:sz w:val="20"/>
              </w:rPr>
              <w:t>Prob.</w:t>
            </w:r>
          </w:p>
        </w:tc>
      </w:tr>
      <w:tr>
        <w:trPr>
          <w:trHeight w:val="275" w:hRule="atLeast"/>
        </w:trPr>
        <w:tc>
          <w:tcPr>
            <w:tcW w:w="1849" w:type="dxa"/>
            <w:tcBorders>
              <w:top w:val="double" w:sz="6" w:space="0" w:color="000000"/>
            </w:tcBorders>
          </w:tcPr>
          <w:p>
            <w:pPr>
              <w:pStyle w:val="TableParagraph"/>
              <w:spacing w:line="215" w:lineRule="exact" w:before="41"/>
              <w:ind w:left="689"/>
              <w:rPr>
                <w:sz w:val="20"/>
              </w:rPr>
            </w:pPr>
            <w:r>
              <w:rPr>
                <w:spacing w:val="-2"/>
                <w:sz w:val="20"/>
              </w:rPr>
              <w:t>RES(-</w:t>
            </w:r>
            <w:r>
              <w:rPr>
                <w:spacing w:val="-5"/>
                <w:sz w:val="20"/>
              </w:rPr>
              <w:t>1)</w:t>
            </w:r>
          </w:p>
        </w:tc>
        <w:tc>
          <w:tcPr>
            <w:tcW w:w="1377" w:type="dxa"/>
            <w:tcBorders>
              <w:top w:val="double" w:sz="6" w:space="0" w:color="000000"/>
            </w:tcBorders>
          </w:tcPr>
          <w:p>
            <w:pPr>
              <w:pStyle w:val="TableParagraph"/>
              <w:spacing w:line="215" w:lineRule="exact" w:before="41"/>
              <w:ind w:right="130"/>
              <w:jc w:val="right"/>
              <w:rPr>
                <w:sz w:val="20"/>
              </w:rPr>
            </w:pPr>
            <w:r>
              <w:rPr>
                <w:spacing w:val="-4"/>
                <w:sz w:val="20"/>
              </w:rPr>
              <w:t>-</w:t>
            </w:r>
            <w:r>
              <w:rPr>
                <w:spacing w:val="-2"/>
                <w:sz w:val="20"/>
              </w:rPr>
              <w:t>0.364963</w:t>
            </w:r>
          </w:p>
        </w:tc>
        <w:tc>
          <w:tcPr>
            <w:tcW w:w="1433" w:type="dxa"/>
            <w:tcBorders>
              <w:top w:val="double" w:sz="6" w:space="0" w:color="000000"/>
            </w:tcBorders>
          </w:tcPr>
          <w:p>
            <w:pPr>
              <w:pStyle w:val="TableParagraph"/>
              <w:spacing w:line="215" w:lineRule="exact" w:before="41"/>
              <w:ind w:left="310"/>
              <w:rPr>
                <w:sz w:val="20"/>
              </w:rPr>
            </w:pPr>
            <w:r>
              <w:rPr>
                <w:spacing w:val="-2"/>
                <w:sz w:val="20"/>
              </w:rPr>
              <w:t>0.145440</w:t>
            </w:r>
          </w:p>
        </w:tc>
        <w:tc>
          <w:tcPr>
            <w:tcW w:w="936" w:type="dxa"/>
            <w:tcBorders>
              <w:top w:val="double" w:sz="6" w:space="0" w:color="000000"/>
            </w:tcBorders>
          </w:tcPr>
          <w:p>
            <w:pPr>
              <w:pStyle w:val="TableParagraph"/>
              <w:spacing w:line="215" w:lineRule="exact" w:before="41"/>
              <w:ind w:left="5"/>
              <w:rPr>
                <w:sz w:val="20"/>
              </w:rPr>
            </w:pPr>
            <w:r>
              <w:rPr>
                <w:spacing w:val="-4"/>
                <w:sz w:val="20"/>
              </w:rPr>
              <w:t>-</w:t>
            </w:r>
            <w:r>
              <w:rPr>
                <w:spacing w:val="-2"/>
                <w:sz w:val="20"/>
              </w:rPr>
              <w:t>2.509373</w:t>
            </w:r>
          </w:p>
        </w:tc>
        <w:tc>
          <w:tcPr>
            <w:tcW w:w="896" w:type="dxa"/>
            <w:tcBorders>
              <w:top w:val="double" w:sz="6" w:space="0" w:color="000000"/>
            </w:tcBorders>
          </w:tcPr>
          <w:p>
            <w:pPr>
              <w:pStyle w:val="TableParagraph"/>
              <w:spacing w:line="215" w:lineRule="exact" w:before="41"/>
              <w:ind w:right="31"/>
              <w:jc w:val="right"/>
              <w:rPr>
                <w:sz w:val="20"/>
              </w:rPr>
            </w:pPr>
            <w:r>
              <w:rPr>
                <w:spacing w:val="-2"/>
                <w:sz w:val="20"/>
              </w:rPr>
              <w:t>0.0208</w:t>
            </w:r>
          </w:p>
        </w:tc>
      </w:tr>
      <w:tr>
        <w:trPr>
          <w:trHeight w:val="230" w:hRule="atLeast"/>
        </w:trPr>
        <w:tc>
          <w:tcPr>
            <w:tcW w:w="1849" w:type="dxa"/>
          </w:tcPr>
          <w:p>
            <w:pPr>
              <w:pStyle w:val="TableParagraph"/>
              <w:spacing w:line="210" w:lineRule="exact"/>
              <w:ind w:left="550"/>
              <w:rPr>
                <w:sz w:val="20"/>
              </w:rPr>
            </w:pPr>
            <w:r>
              <w:rPr>
                <w:spacing w:val="-2"/>
                <w:sz w:val="20"/>
              </w:rPr>
              <w:t>D(RES(-</w:t>
            </w:r>
            <w:r>
              <w:rPr>
                <w:spacing w:val="-5"/>
                <w:sz w:val="20"/>
              </w:rPr>
              <w:t>1))</w:t>
            </w:r>
          </w:p>
        </w:tc>
        <w:tc>
          <w:tcPr>
            <w:tcW w:w="1377" w:type="dxa"/>
          </w:tcPr>
          <w:p>
            <w:pPr>
              <w:pStyle w:val="TableParagraph"/>
              <w:spacing w:line="210" w:lineRule="exact"/>
              <w:ind w:right="130"/>
              <w:jc w:val="right"/>
              <w:rPr>
                <w:sz w:val="20"/>
              </w:rPr>
            </w:pPr>
            <w:r>
              <w:rPr>
                <w:spacing w:val="-4"/>
                <w:sz w:val="20"/>
              </w:rPr>
              <w:t>-</w:t>
            </w:r>
            <w:r>
              <w:rPr>
                <w:spacing w:val="-2"/>
                <w:sz w:val="20"/>
              </w:rPr>
              <w:t>0.427733</w:t>
            </w:r>
          </w:p>
        </w:tc>
        <w:tc>
          <w:tcPr>
            <w:tcW w:w="1433" w:type="dxa"/>
          </w:tcPr>
          <w:p>
            <w:pPr>
              <w:pStyle w:val="TableParagraph"/>
              <w:spacing w:line="210" w:lineRule="exact"/>
              <w:ind w:left="310"/>
              <w:rPr>
                <w:sz w:val="20"/>
              </w:rPr>
            </w:pPr>
            <w:r>
              <w:rPr>
                <w:spacing w:val="-2"/>
                <w:sz w:val="20"/>
              </w:rPr>
              <w:t>0.186945</w:t>
            </w:r>
          </w:p>
        </w:tc>
        <w:tc>
          <w:tcPr>
            <w:tcW w:w="936" w:type="dxa"/>
          </w:tcPr>
          <w:p>
            <w:pPr>
              <w:pStyle w:val="TableParagraph"/>
              <w:spacing w:line="210" w:lineRule="exact"/>
              <w:ind w:left="5"/>
              <w:rPr>
                <w:sz w:val="20"/>
              </w:rPr>
            </w:pPr>
            <w:r>
              <w:rPr>
                <w:spacing w:val="-4"/>
                <w:sz w:val="20"/>
              </w:rPr>
              <w:t>-</w:t>
            </w:r>
            <w:r>
              <w:rPr>
                <w:spacing w:val="-2"/>
                <w:sz w:val="20"/>
              </w:rPr>
              <w:t>2.288013</w:t>
            </w:r>
          </w:p>
        </w:tc>
        <w:tc>
          <w:tcPr>
            <w:tcW w:w="896" w:type="dxa"/>
          </w:tcPr>
          <w:p>
            <w:pPr>
              <w:pStyle w:val="TableParagraph"/>
              <w:spacing w:line="210" w:lineRule="exact"/>
              <w:ind w:right="31"/>
              <w:jc w:val="right"/>
              <w:rPr>
                <w:sz w:val="20"/>
              </w:rPr>
            </w:pPr>
            <w:r>
              <w:rPr>
                <w:spacing w:val="-2"/>
                <w:sz w:val="20"/>
              </w:rPr>
              <w:t>0.0332</w:t>
            </w:r>
          </w:p>
        </w:tc>
      </w:tr>
      <w:tr>
        <w:trPr>
          <w:trHeight w:val="224" w:hRule="atLeast"/>
        </w:trPr>
        <w:tc>
          <w:tcPr>
            <w:tcW w:w="1849" w:type="dxa"/>
            <w:tcBorders>
              <w:bottom w:val="double" w:sz="6" w:space="0" w:color="000000"/>
            </w:tcBorders>
          </w:tcPr>
          <w:p>
            <w:pPr>
              <w:pStyle w:val="TableParagraph"/>
              <w:spacing w:line="205" w:lineRule="exact"/>
              <w:ind w:left="195"/>
              <w:jc w:val="center"/>
              <w:rPr>
                <w:sz w:val="20"/>
              </w:rPr>
            </w:pPr>
            <w:r>
              <w:rPr>
                <w:spacing w:val="-10"/>
                <w:sz w:val="20"/>
              </w:rPr>
              <w:t>C</w:t>
            </w:r>
          </w:p>
        </w:tc>
        <w:tc>
          <w:tcPr>
            <w:tcW w:w="1377" w:type="dxa"/>
            <w:tcBorders>
              <w:bottom w:val="double" w:sz="6" w:space="0" w:color="000000"/>
            </w:tcBorders>
          </w:tcPr>
          <w:p>
            <w:pPr>
              <w:pStyle w:val="TableParagraph"/>
              <w:spacing w:line="205" w:lineRule="exact"/>
              <w:ind w:right="130"/>
              <w:jc w:val="right"/>
              <w:rPr>
                <w:sz w:val="20"/>
              </w:rPr>
            </w:pPr>
            <w:r>
              <w:rPr>
                <w:spacing w:val="-2"/>
                <w:sz w:val="20"/>
              </w:rPr>
              <w:t>4.530893</w:t>
            </w:r>
          </w:p>
        </w:tc>
        <w:tc>
          <w:tcPr>
            <w:tcW w:w="1433" w:type="dxa"/>
            <w:tcBorders>
              <w:bottom w:val="double" w:sz="6" w:space="0" w:color="000000"/>
            </w:tcBorders>
          </w:tcPr>
          <w:p>
            <w:pPr>
              <w:pStyle w:val="TableParagraph"/>
              <w:spacing w:line="205" w:lineRule="exact"/>
              <w:ind w:left="310"/>
              <w:rPr>
                <w:sz w:val="20"/>
              </w:rPr>
            </w:pPr>
            <w:r>
              <w:rPr>
                <w:spacing w:val="-2"/>
                <w:sz w:val="20"/>
              </w:rPr>
              <w:t>1.699409</w:t>
            </w:r>
          </w:p>
        </w:tc>
        <w:tc>
          <w:tcPr>
            <w:tcW w:w="936" w:type="dxa"/>
            <w:tcBorders>
              <w:bottom w:val="double" w:sz="6" w:space="0" w:color="000000"/>
            </w:tcBorders>
          </w:tcPr>
          <w:p>
            <w:pPr>
              <w:pStyle w:val="TableParagraph"/>
              <w:spacing w:line="205" w:lineRule="exact"/>
              <w:ind w:left="70"/>
              <w:rPr>
                <w:sz w:val="20"/>
              </w:rPr>
            </w:pPr>
            <w:r>
              <w:rPr>
                <w:spacing w:val="-2"/>
                <w:sz w:val="20"/>
              </w:rPr>
              <w:t>2.666158</w:t>
            </w:r>
          </w:p>
        </w:tc>
        <w:tc>
          <w:tcPr>
            <w:tcW w:w="896" w:type="dxa"/>
            <w:tcBorders>
              <w:bottom w:val="double" w:sz="6" w:space="0" w:color="000000"/>
            </w:tcBorders>
          </w:tcPr>
          <w:p>
            <w:pPr>
              <w:pStyle w:val="TableParagraph"/>
              <w:spacing w:line="205" w:lineRule="exact"/>
              <w:ind w:right="31"/>
              <w:jc w:val="right"/>
              <w:rPr>
                <w:sz w:val="20"/>
              </w:rPr>
            </w:pPr>
            <w:r>
              <w:rPr>
                <w:spacing w:val="-2"/>
                <w:sz w:val="20"/>
              </w:rPr>
              <w:t>0.0148</w:t>
            </w:r>
          </w:p>
        </w:tc>
      </w:tr>
      <w:tr>
        <w:trPr>
          <w:trHeight w:val="275" w:hRule="atLeast"/>
        </w:trPr>
        <w:tc>
          <w:tcPr>
            <w:tcW w:w="1849" w:type="dxa"/>
            <w:tcBorders>
              <w:top w:val="double" w:sz="6" w:space="0" w:color="000000"/>
            </w:tcBorders>
          </w:tcPr>
          <w:p>
            <w:pPr>
              <w:pStyle w:val="TableParagraph"/>
              <w:spacing w:line="215" w:lineRule="exact" w:before="40"/>
              <w:ind w:left="35"/>
              <w:rPr>
                <w:sz w:val="20"/>
              </w:rPr>
            </w:pPr>
            <w:r>
              <w:rPr>
                <w:spacing w:val="-2"/>
                <w:sz w:val="20"/>
              </w:rPr>
              <w:t>R-squared</w:t>
            </w:r>
          </w:p>
        </w:tc>
        <w:tc>
          <w:tcPr>
            <w:tcW w:w="1377" w:type="dxa"/>
            <w:tcBorders>
              <w:top w:val="double" w:sz="6" w:space="0" w:color="000000"/>
            </w:tcBorders>
          </w:tcPr>
          <w:p>
            <w:pPr>
              <w:pStyle w:val="TableParagraph"/>
              <w:spacing w:line="215" w:lineRule="exact" w:before="40"/>
              <w:ind w:right="130"/>
              <w:jc w:val="right"/>
              <w:rPr>
                <w:sz w:val="20"/>
              </w:rPr>
            </w:pPr>
            <w:r>
              <w:rPr>
                <w:spacing w:val="-2"/>
                <w:sz w:val="20"/>
              </w:rPr>
              <w:t>0.444397</w:t>
            </w:r>
          </w:p>
        </w:tc>
        <w:tc>
          <w:tcPr>
            <w:tcW w:w="2369" w:type="dxa"/>
            <w:gridSpan w:val="2"/>
            <w:tcBorders>
              <w:top w:val="double" w:sz="6" w:space="0" w:color="000000"/>
            </w:tcBorders>
          </w:tcPr>
          <w:p>
            <w:pPr>
              <w:pStyle w:val="TableParagraph"/>
              <w:spacing w:line="215" w:lineRule="exact" w:before="40"/>
              <w:ind w:left="130"/>
              <w:rPr>
                <w:sz w:val="20"/>
              </w:rPr>
            </w:pPr>
            <w:r>
              <w:rPr>
                <w:sz w:val="20"/>
              </w:rPr>
              <w:t>Mean</w:t>
            </w:r>
            <w:r>
              <w:rPr>
                <w:spacing w:val="-7"/>
                <w:sz w:val="20"/>
              </w:rPr>
              <w:t> </w:t>
            </w:r>
            <w:r>
              <w:rPr>
                <w:sz w:val="20"/>
              </w:rPr>
              <w:t>dependent</w:t>
            </w:r>
            <w:r>
              <w:rPr>
                <w:spacing w:val="-7"/>
                <w:sz w:val="20"/>
              </w:rPr>
              <w:t> </w:t>
            </w:r>
            <w:r>
              <w:rPr>
                <w:spacing w:val="-5"/>
                <w:sz w:val="20"/>
              </w:rPr>
              <w:t>var</w:t>
            </w:r>
          </w:p>
        </w:tc>
        <w:tc>
          <w:tcPr>
            <w:tcW w:w="896" w:type="dxa"/>
            <w:tcBorders>
              <w:top w:val="double" w:sz="6" w:space="0" w:color="000000"/>
            </w:tcBorders>
          </w:tcPr>
          <w:p>
            <w:pPr>
              <w:pStyle w:val="TableParagraph"/>
              <w:spacing w:line="215" w:lineRule="exact" w:before="40"/>
              <w:ind w:right="31"/>
              <w:jc w:val="right"/>
              <w:rPr>
                <w:sz w:val="20"/>
              </w:rPr>
            </w:pPr>
            <w:r>
              <w:rPr>
                <w:spacing w:val="-2"/>
                <w:sz w:val="20"/>
              </w:rPr>
              <w:t>0.162310</w:t>
            </w:r>
          </w:p>
        </w:tc>
      </w:tr>
      <w:tr>
        <w:trPr>
          <w:trHeight w:val="230" w:hRule="atLeast"/>
        </w:trPr>
        <w:tc>
          <w:tcPr>
            <w:tcW w:w="1849" w:type="dxa"/>
          </w:tcPr>
          <w:p>
            <w:pPr>
              <w:pStyle w:val="TableParagraph"/>
              <w:spacing w:line="210" w:lineRule="exact"/>
              <w:ind w:left="35"/>
              <w:rPr>
                <w:sz w:val="20"/>
              </w:rPr>
            </w:pPr>
            <w:r>
              <w:rPr>
                <w:sz w:val="20"/>
              </w:rPr>
              <w:t>Adjusted</w:t>
            </w:r>
            <w:r>
              <w:rPr>
                <w:spacing w:val="-10"/>
                <w:sz w:val="20"/>
              </w:rPr>
              <w:t> </w:t>
            </w:r>
            <w:r>
              <w:rPr>
                <w:sz w:val="20"/>
              </w:rPr>
              <w:t>R-</w:t>
            </w:r>
            <w:r>
              <w:rPr>
                <w:spacing w:val="-2"/>
                <w:sz w:val="20"/>
              </w:rPr>
              <w:t>squared</w:t>
            </w:r>
          </w:p>
        </w:tc>
        <w:tc>
          <w:tcPr>
            <w:tcW w:w="1377" w:type="dxa"/>
          </w:tcPr>
          <w:p>
            <w:pPr>
              <w:pStyle w:val="TableParagraph"/>
              <w:spacing w:line="210" w:lineRule="exact"/>
              <w:ind w:right="130"/>
              <w:jc w:val="right"/>
              <w:rPr>
                <w:sz w:val="20"/>
              </w:rPr>
            </w:pPr>
            <w:r>
              <w:rPr>
                <w:spacing w:val="-2"/>
                <w:sz w:val="20"/>
              </w:rPr>
              <w:t>0.388837</w:t>
            </w:r>
          </w:p>
        </w:tc>
        <w:tc>
          <w:tcPr>
            <w:tcW w:w="2369" w:type="dxa"/>
            <w:gridSpan w:val="2"/>
          </w:tcPr>
          <w:p>
            <w:pPr>
              <w:pStyle w:val="TableParagraph"/>
              <w:spacing w:line="210" w:lineRule="exact"/>
              <w:ind w:left="130"/>
              <w:rPr>
                <w:sz w:val="20"/>
              </w:rPr>
            </w:pPr>
            <w:r>
              <w:rPr>
                <w:sz w:val="20"/>
              </w:rPr>
              <w:t>S.D.</w:t>
            </w:r>
            <w:r>
              <w:rPr>
                <w:spacing w:val="-5"/>
                <w:sz w:val="20"/>
              </w:rPr>
              <w:t> </w:t>
            </w:r>
            <w:r>
              <w:rPr>
                <w:sz w:val="20"/>
              </w:rPr>
              <w:t>dependent</w:t>
            </w:r>
            <w:r>
              <w:rPr>
                <w:spacing w:val="-6"/>
                <w:sz w:val="20"/>
              </w:rPr>
              <w:t> </w:t>
            </w:r>
            <w:r>
              <w:rPr>
                <w:spacing w:val="-5"/>
                <w:sz w:val="20"/>
              </w:rPr>
              <w:t>var</w:t>
            </w:r>
          </w:p>
        </w:tc>
        <w:tc>
          <w:tcPr>
            <w:tcW w:w="896" w:type="dxa"/>
          </w:tcPr>
          <w:p>
            <w:pPr>
              <w:pStyle w:val="TableParagraph"/>
              <w:spacing w:line="210" w:lineRule="exact"/>
              <w:ind w:right="31"/>
              <w:jc w:val="right"/>
              <w:rPr>
                <w:sz w:val="20"/>
              </w:rPr>
            </w:pPr>
            <w:r>
              <w:rPr>
                <w:spacing w:val="-2"/>
                <w:sz w:val="20"/>
              </w:rPr>
              <w:t>1.705912</w:t>
            </w:r>
          </w:p>
        </w:tc>
      </w:tr>
      <w:tr>
        <w:trPr>
          <w:trHeight w:val="230" w:hRule="atLeast"/>
        </w:trPr>
        <w:tc>
          <w:tcPr>
            <w:tcW w:w="1849" w:type="dxa"/>
          </w:tcPr>
          <w:p>
            <w:pPr>
              <w:pStyle w:val="TableParagraph"/>
              <w:spacing w:line="210" w:lineRule="exact"/>
              <w:ind w:left="35"/>
              <w:rPr>
                <w:sz w:val="20"/>
              </w:rPr>
            </w:pPr>
            <w:r>
              <w:rPr>
                <w:sz w:val="20"/>
              </w:rPr>
              <w:t>S.E.</w:t>
            </w:r>
            <w:r>
              <w:rPr>
                <w:spacing w:val="-3"/>
                <w:sz w:val="20"/>
              </w:rPr>
              <w:t> </w:t>
            </w:r>
            <w:r>
              <w:rPr>
                <w:sz w:val="20"/>
              </w:rPr>
              <w:t>of</w:t>
            </w:r>
            <w:r>
              <w:rPr>
                <w:spacing w:val="-3"/>
                <w:sz w:val="20"/>
              </w:rPr>
              <w:t> </w:t>
            </w:r>
            <w:r>
              <w:rPr>
                <w:spacing w:val="-2"/>
                <w:sz w:val="20"/>
              </w:rPr>
              <w:t>regression</w:t>
            </w:r>
          </w:p>
        </w:tc>
        <w:tc>
          <w:tcPr>
            <w:tcW w:w="1377" w:type="dxa"/>
          </w:tcPr>
          <w:p>
            <w:pPr>
              <w:pStyle w:val="TableParagraph"/>
              <w:spacing w:line="210" w:lineRule="exact"/>
              <w:ind w:right="130"/>
              <w:jc w:val="right"/>
              <w:rPr>
                <w:sz w:val="20"/>
              </w:rPr>
            </w:pPr>
            <w:r>
              <w:rPr>
                <w:spacing w:val="-2"/>
                <w:sz w:val="20"/>
              </w:rPr>
              <w:t>1.333630</w:t>
            </w:r>
          </w:p>
        </w:tc>
        <w:tc>
          <w:tcPr>
            <w:tcW w:w="2369" w:type="dxa"/>
            <w:gridSpan w:val="2"/>
          </w:tcPr>
          <w:p>
            <w:pPr>
              <w:pStyle w:val="TableParagraph"/>
              <w:spacing w:line="210" w:lineRule="exact"/>
              <w:ind w:left="130"/>
              <w:rPr>
                <w:sz w:val="20"/>
              </w:rPr>
            </w:pPr>
            <w:r>
              <w:rPr>
                <w:sz w:val="20"/>
              </w:rPr>
              <w:t>Akaike</w:t>
            </w:r>
            <w:r>
              <w:rPr>
                <w:spacing w:val="-8"/>
                <w:sz w:val="20"/>
              </w:rPr>
              <w:t> </w:t>
            </w:r>
            <w:r>
              <w:rPr>
                <w:sz w:val="20"/>
              </w:rPr>
              <w:t>info</w:t>
            </w:r>
            <w:r>
              <w:rPr>
                <w:spacing w:val="-7"/>
                <w:sz w:val="20"/>
              </w:rPr>
              <w:t> </w:t>
            </w:r>
            <w:r>
              <w:rPr>
                <w:spacing w:val="-2"/>
                <w:sz w:val="20"/>
              </w:rPr>
              <w:t>criterion</w:t>
            </w:r>
          </w:p>
        </w:tc>
        <w:tc>
          <w:tcPr>
            <w:tcW w:w="896" w:type="dxa"/>
          </w:tcPr>
          <w:p>
            <w:pPr>
              <w:pStyle w:val="TableParagraph"/>
              <w:spacing w:line="210" w:lineRule="exact"/>
              <w:ind w:right="31"/>
              <w:jc w:val="right"/>
              <w:rPr>
                <w:sz w:val="20"/>
              </w:rPr>
            </w:pPr>
            <w:r>
              <w:rPr>
                <w:spacing w:val="-2"/>
                <w:sz w:val="20"/>
              </w:rPr>
              <w:t>3.534793</w:t>
            </w:r>
          </w:p>
        </w:tc>
      </w:tr>
      <w:tr>
        <w:trPr>
          <w:trHeight w:val="230" w:hRule="atLeast"/>
        </w:trPr>
        <w:tc>
          <w:tcPr>
            <w:tcW w:w="1849" w:type="dxa"/>
          </w:tcPr>
          <w:p>
            <w:pPr>
              <w:pStyle w:val="TableParagraph"/>
              <w:spacing w:line="210" w:lineRule="exact"/>
              <w:ind w:left="35"/>
              <w:rPr>
                <w:sz w:val="20"/>
              </w:rPr>
            </w:pPr>
            <w:r>
              <w:rPr>
                <w:sz w:val="20"/>
              </w:rPr>
              <w:t>Sum</w:t>
            </w:r>
            <w:r>
              <w:rPr>
                <w:spacing w:val="-8"/>
                <w:sz w:val="20"/>
              </w:rPr>
              <w:t> </w:t>
            </w:r>
            <w:r>
              <w:rPr>
                <w:sz w:val="20"/>
              </w:rPr>
              <w:t>squared</w:t>
            </w:r>
            <w:r>
              <w:rPr>
                <w:spacing w:val="-4"/>
                <w:sz w:val="20"/>
              </w:rPr>
              <w:t> </w:t>
            </w:r>
            <w:r>
              <w:rPr>
                <w:spacing w:val="-2"/>
                <w:sz w:val="20"/>
              </w:rPr>
              <w:t>resid</w:t>
            </w:r>
          </w:p>
        </w:tc>
        <w:tc>
          <w:tcPr>
            <w:tcW w:w="1377" w:type="dxa"/>
          </w:tcPr>
          <w:p>
            <w:pPr>
              <w:pStyle w:val="TableParagraph"/>
              <w:spacing w:line="210" w:lineRule="exact"/>
              <w:ind w:right="130"/>
              <w:jc w:val="right"/>
              <w:rPr>
                <w:sz w:val="20"/>
              </w:rPr>
            </w:pPr>
            <w:r>
              <w:rPr>
                <w:spacing w:val="-2"/>
                <w:sz w:val="20"/>
              </w:rPr>
              <w:t>35.57136</w:t>
            </w:r>
          </w:p>
        </w:tc>
        <w:tc>
          <w:tcPr>
            <w:tcW w:w="2369" w:type="dxa"/>
            <w:gridSpan w:val="2"/>
          </w:tcPr>
          <w:p>
            <w:pPr>
              <w:pStyle w:val="TableParagraph"/>
              <w:spacing w:line="210" w:lineRule="exact"/>
              <w:ind w:left="130"/>
              <w:rPr>
                <w:sz w:val="20"/>
              </w:rPr>
            </w:pPr>
            <w:r>
              <w:rPr>
                <w:sz w:val="20"/>
              </w:rPr>
              <w:t>Schwarz</w:t>
            </w:r>
            <w:r>
              <w:rPr>
                <w:spacing w:val="-8"/>
                <w:sz w:val="20"/>
              </w:rPr>
              <w:t> </w:t>
            </w:r>
            <w:r>
              <w:rPr>
                <w:spacing w:val="-2"/>
                <w:sz w:val="20"/>
              </w:rPr>
              <w:t>criterion</w:t>
            </w:r>
          </w:p>
        </w:tc>
        <w:tc>
          <w:tcPr>
            <w:tcW w:w="896" w:type="dxa"/>
          </w:tcPr>
          <w:p>
            <w:pPr>
              <w:pStyle w:val="TableParagraph"/>
              <w:spacing w:line="210" w:lineRule="exact"/>
              <w:ind w:right="31"/>
              <w:jc w:val="right"/>
              <w:rPr>
                <w:sz w:val="20"/>
              </w:rPr>
            </w:pPr>
            <w:r>
              <w:rPr>
                <w:spacing w:val="-2"/>
                <w:sz w:val="20"/>
              </w:rPr>
              <w:t>3.682901</w:t>
            </w:r>
          </w:p>
        </w:tc>
      </w:tr>
      <w:tr>
        <w:trPr>
          <w:trHeight w:val="229" w:hRule="atLeast"/>
        </w:trPr>
        <w:tc>
          <w:tcPr>
            <w:tcW w:w="1849" w:type="dxa"/>
          </w:tcPr>
          <w:p>
            <w:pPr>
              <w:pStyle w:val="TableParagraph"/>
              <w:spacing w:line="209" w:lineRule="exact"/>
              <w:ind w:left="35"/>
              <w:rPr>
                <w:sz w:val="20"/>
              </w:rPr>
            </w:pPr>
            <w:r>
              <w:rPr>
                <w:sz w:val="20"/>
              </w:rPr>
              <w:t>Log</w:t>
            </w:r>
            <w:r>
              <w:rPr>
                <w:spacing w:val="-6"/>
                <w:sz w:val="20"/>
              </w:rPr>
              <w:t> </w:t>
            </w:r>
            <w:r>
              <w:rPr>
                <w:spacing w:val="-2"/>
                <w:sz w:val="20"/>
              </w:rPr>
              <w:t>likelihood</w:t>
            </w:r>
          </w:p>
        </w:tc>
        <w:tc>
          <w:tcPr>
            <w:tcW w:w="1377" w:type="dxa"/>
          </w:tcPr>
          <w:p>
            <w:pPr>
              <w:pStyle w:val="TableParagraph"/>
              <w:spacing w:line="209" w:lineRule="exact"/>
              <w:ind w:right="130"/>
              <w:jc w:val="right"/>
              <w:rPr>
                <w:sz w:val="20"/>
              </w:rPr>
            </w:pPr>
            <w:r>
              <w:rPr>
                <w:spacing w:val="-4"/>
                <w:sz w:val="20"/>
              </w:rPr>
              <w:t>-</w:t>
            </w:r>
            <w:r>
              <w:rPr>
                <w:spacing w:val="-2"/>
                <w:sz w:val="20"/>
              </w:rPr>
              <w:t>37.65012</w:t>
            </w:r>
          </w:p>
        </w:tc>
        <w:tc>
          <w:tcPr>
            <w:tcW w:w="1433" w:type="dxa"/>
          </w:tcPr>
          <w:p>
            <w:pPr>
              <w:pStyle w:val="TableParagraph"/>
              <w:spacing w:line="209" w:lineRule="exact"/>
              <w:ind w:left="130"/>
              <w:rPr>
                <w:sz w:val="20"/>
              </w:rPr>
            </w:pPr>
            <w:r>
              <w:rPr>
                <w:spacing w:val="-4"/>
                <w:sz w:val="20"/>
              </w:rPr>
              <w:t>F-</w:t>
            </w:r>
            <w:r>
              <w:rPr>
                <w:spacing w:val="-2"/>
                <w:sz w:val="20"/>
              </w:rPr>
              <w:t>statistic</w:t>
            </w:r>
          </w:p>
        </w:tc>
        <w:tc>
          <w:tcPr>
            <w:tcW w:w="936" w:type="dxa"/>
          </w:tcPr>
          <w:p>
            <w:pPr>
              <w:pStyle w:val="TableParagraph"/>
              <w:rPr>
                <w:sz w:val="16"/>
              </w:rPr>
            </w:pPr>
          </w:p>
        </w:tc>
        <w:tc>
          <w:tcPr>
            <w:tcW w:w="896" w:type="dxa"/>
          </w:tcPr>
          <w:p>
            <w:pPr>
              <w:pStyle w:val="TableParagraph"/>
              <w:spacing w:line="209" w:lineRule="exact"/>
              <w:ind w:right="31"/>
              <w:jc w:val="right"/>
              <w:rPr>
                <w:sz w:val="20"/>
              </w:rPr>
            </w:pPr>
            <w:r>
              <w:rPr>
                <w:spacing w:val="-2"/>
                <w:sz w:val="20"/>
              </w:rPr>
              <w:t>7.998462</w:t>
            </w:r>
          </w:p>
        </w:tc>
      </w:tr>
      <w:tr>
        <w:trPr>
          <w:trHeight w:val="266" w:hRule="atLeast"/>
        </w:trPr>
        <w:tc>
          <w:tcPr>
            <w:tcW w:w="1849" w:type="dxa"/>
            <w:tcBorders>
              <w:bottom w:val="double" w:sz="6" w:space="0" w:color="000000"/>
            </w:tcBorders>
          </w:tcPr>
          <w:p>
            <w:pPr>
              <w:pStyle w:val="TableParagraph"/>
              <w:spacing w:line="224" w:lineRule="exact"/>
              <w:ind w:left="35"/>
              <w:rPr>
                <w:sz w:val="20"/>
              </w:rPr>
            </w:pPr>
            <w:r>
              <w:rPr>
                <w:sz w:val="20"/>
              </w:rPr>
              <w:t>Durbin-Watson</w:t>
            </w:r>
            <w:r>
              <w:rPr>
                <w:spacing w:val="-12"/>
                <w:sz w:val="20"/>
              </w:rPr>
              <w:t> </w:t>
            </w:r>
            <w:r>
              <w:rPr>
                <w:spacing w:val="-4"/>
                <w:sz w:val="20"/>
              </w:rPr>
              <w:t>stat</w:t>
            </w:r>
          </w:p>
        </w:tc>
        <w:tc>
          <w:tcPr>
            <w:tcW w:w="1377" w:type="dxa"/>
          </w:tcPr>
          <w:p>
            <w:pPr>
              <w:pStyle w:val="TableParagraph"/>
              <w:spacing w:line="224" w:lineRule="exact"/>
              <w:ind w:right="130"/>
              <w:jc w:val="right"/>
              <w:rPr>
                <w:sz w:val="20"/>
              </w:rPr>
            </w:pPr>
            <w:r>
              <w:rPr>
                <w:spacing w:val="-2"/>
                <w:sz w:val="20"/>
              </w:rPr>
              <w:t>2.003970</w:t>
            </w:r>
          </w:p>
        </w:tc>
        <w:tc>
          <w:tcPr>
            <w:tcW w:w="1433" w:type="dxa"/>
            <w:tcBorders>
              <w:bottom w:val="double" w:sz="6" w:space="0" w:color="000000"/>
            </w:tcBorders>
          </w:tcPr>
          <w:p>
            <w:pPr>
              <w:pStyle w:val="TableParagraph"/>
              <w:spacing w:line="224" w:lineRule="exact"/>
              <w:ind w:left="130"/>
              <w:rPr>
                <w:sz w:val="20"/>
              </w:rPr>
            </w:pPr>
            <w:r>
              <w:rPr>
                <w:spacing w:val="-2"/>
                <w:sz w:val="20"/>
              </w:rPr>
              <w:t>Prob(F-statistic)</w:t>
            </w:r>
          </w:p>
        </w:tc>
        <w:tc>
          <w:tcPr>
            <w:tcW w:w="936" w:type="dxa"/>
            <w:tcBorders>
              <w:bottom w:val="single" w:sz="6" w:space="0" w:color="000000"/>
            </w:tcBorders>
          </w:tcPr>
          <w:p>
            <w:pPr>
              <w:pStyle w:val="TableParagraph"/>
              <w:rPr>
                <w:sz w:val="18"/>
              </w:rPr>
            </w:pPr>
          </w:p>
        </w:tc>
        <w:tc>
          <w:tcPr>
            <w:tcW w:w="896" w:type="dxa"/>
            <w:tcBorders>
              <w:bottom w:val="double" w:sz="6" w:space="0" w:color="000000"/>
            </w:tcBorders>
          </w:tcPr>
          <w:p>
            <w:pPr>
              <w:pStyle w:val="TableParagraph"/>
              <w:spacing w:line="224" w:lineRule="exact"/>
              <w:ind w:right="31"/>
              <w:jc w:val="right"/>
              <w:rPr>
                <w:sz w:val="20"/>
              </w:rPr>
            </w:pPr>
            <w:r>
              <w:rPr>
                <w:spacing w:val="-2"/>
                <w:sz w:val="20"/>
              </w:rPr>
              <w:t>0.002803</w:t>
            </w:r>
          </w:p>
        </w:tc>
      </w:tr>
    </w:tbl>
    <w:p>
      <w:pPr>
        <w:pStyle w:val="BodyText"/>
        <w:spacing w:before="16"/>
        <w:rPr>
          <w:sz w:val="20"/>
        </w:rPr>
      </w:pPr>
    </w:p>
    <w:p>
      <w:pPr>
        <w:spacing w:before="0"/>
        <w:ind w:left="771" w:right="0" w:firstLine="0"/>
        <w:jc w:val="left"/>
        <w:rPr>
          <w:sz w:val="20"/>
        </w:rPr>
      </w:pPr>
      <w:r>
        <w:rPr>
          <w:sz w:val="20"/>
        </w:rPr>
        <w:t>RES</w:t>
      </w:r>
      <w:r>
        <w:rPr>
          <w:spacing w:val="-4"/>
          <w:sz w:val="20"/>
        </w:rPr>
        <w:t> </w:t>
      </w:r>
      <w:r>
        <w:rPr>
          <w:sz w:val="20"/>
        </w:rPr>
        <w:t>@</w:t>
      </w:r>
      <w:r>
        <w:rPr>
          <w:spacing w:val="-4"/>
          <w:sz w:val="20"/>
        </w:rPr>
        <w:t> </w:t>
      </w:r>
      <w:r>
        <w:rPr>
          <w:sz w:val="20"/>
        </w:rPr>
        <w:t>1</w:t>
      </w:r>
      <w:r>
        <w:rPr>
          <w:sz w:val="20"/>
          <w:vertAlign w:val="superscript"/>
        </w:rPr>
        <w:t>ST</w:t>
      </w:r>
      <w:r>
        <w:rPr>
          <w:spacing w:val="-3"/>
          <w:sz w:val="20"/>
          <w:vertAlign w:val="baseline"/>
        </w:rPr>
        <w:t> </w:t>
      </w:r>
      <w:r>
        <w:rPr>
          <w:spacing w:val="-4"/>
          <w:sz w:val="20"/>
          <w:vertAlign w:val="baseline"/>
        </w:rPr>
        <w:t>DIFF</w:t>
      </w:r>
    </w:p>
    <w:tbl>
      <w:tblPr>
        <w:tblW w:w="0" w:type="auto"/>
        <w:jc w:val="left"/>
        <w:tblInd w:w="8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49"/>
        <w:gridCol w:w="1377"/>
        <w:gridCol w:w="1433"/>
        <w:gridCol w:w="903"/>
        <w:gridCol w:w="928"/>
      </w:tblGrid>
      <w:tr>
        <w:trPr>
          <w:trHeight w:val="225" w:hRule="atLeast"/>
        </w:trPr>
        <w:tc>
          <w:tcPr>
            <w:tcW w:w="1849" w:type="dxa"/>
          </w:tcPr>
          <w:p>
            <w:pPr>
              <w:pStyle w:val="TableParagraph"/>
              <w:spacing w:line="205" w:lineRule="exact"/>
              <w:ind w:left="35"/>
              <w:rPr>
                <w:sz w:val="20"/>
              </w:rPr>
            </w:pPr>
            <w:r>
              <w:rPr>
                <w:sz w:val="20"/>
              </w:rPr>
              <w:t>ADF</w:t>
            </w:r>
            <w:r>
              <w:rPr>
                <w:spacing w:val="-4"/>
                <w:sz w:val="20"/>
              </w:rPr>
              <w:t> </w:t>
            </w:r>
            <w:r>
              <w:rPr>
                <w:sz w:val="20"/>
              </w:rPr>
              <w:t>Test</w:t>
            </w:r>
            <w:r>
              <w:rPr>
                <w:spacing w:val="-4"/>
                <w:sz w:val="20"/>
              </w:rPr>
              <w:t> </w:t>
            </w:r>
            <w:r>
              <w:rPr>
                <w:spacing w:val="-2"/>
                <w:sz w:val="20"/>
              </w:rPr>
              <w:t>Statistic</w:t>
            </w:r>
          </w:p>
        </w:tc>
        <w:tc>
          <w:tcPr>
            <w:tcW w:w="1377" w:type="dxa"/>
          </w:tcPr>
          <w:p>
            <w:pPr>
              <w:pStyle w:val="TableParagraph"/>
              <w:spacing w:line="205" w:lineRule="exact"/>
              <w:ind w:left="220"/>
              <w:rPr>
                <w:sz w:val="20"/>
              </w:rPr>
            </w:pPr>
            <w:r>
              <w:rPr>
                <w:spacing w:val="-4"/>
                <w:sz w:val="20"/>
              </w:rPr>
              <w:t>-</w:t>
            </w:r>
            <w:r>
              <w:rPr>
                <w:spacing w:val="-2"/>
                <w:sz w:val="20"/>
              </w:rPr>
              <w:t>4.189475</w:t>
            </w:r>
          </w:p>
        </w:tc>
        <w:tc>
          <w:tcPr>
            <w:tcW w:w="2336" w:type="dxa"/>
            <w:gridSpan w:val="2"/>
          </w:tcPr>
          <w:p>
            <w:pPr>
              <w:pStyle w:val="TableParagraph"/>
              <w:spacing w:line="205" w:lineRule="exact"/>
              <w:ind w:left="130"/>
              <w:rPr>
                <w:sz w:val="20"/>
              </w:rPr>
            </w:pPr>
            <w:r>
              <w:rPr>
                <w:sz w:val="20"/>
              </w:rPr>
              <w:t>1%</w:t>
            </w:r>
            <w:r>
              <w:rPr>
                <w:spacing w:val="68"/>
                <w:w w:val="150"/>
                <w:sz w:val="20"/>
              </w:rPr>
              <w:t> </w:t>
            </w:r>
            <w:r>
              <w:rPr>
                <w:sz w:val="20"/>
              </w:rPr>
              <w:t>Critical</w:t>
            </w:r>
            <w:r>
              <w:rPr>
                <w:spacing w:val="-2"/>
                <w:sz w:val="20"/>
              </w:rPr>
              <w:t> Value*</w:t>
            </w:r>
          </w:p>
        </w:tc>
        <w:tc>
          <w:tcPr>
            <w:tcW w:w="928" w:type="dxa"/>
          </w:tcPr>
          <w:p>
            <w:pPr>
              <w:pStyle w:val="TableParagraph"/>
              <w:spacing w:line="205" w:lineRule="exact"/>
              <w:ind w:right="30"/>
              <w:jc w:val="right"/>
              <w:rPr>
                <w:sz w:val="20"/>
              </w:rPr>
            </w:pPr>
            <w:r>
              <w:rPr>
                <w:spacing w:val="-4"/>
                <w:sz w:val="20"/>
              </w:rPr>
              <w:t>-</w:t>
            </w:r>
            <w:r>
              <w:rPr>
                <w:spacing w:val="-2"/>
                <w:sz w:val="20"/>
              </w:rPr>
              <w:t>3.7667</w:t>
            </w:r>
          </w:p>
        </w:tc>
      </w:tr>
      <w:tr>
        <w:trPr>
          <w:trHeight w:val="230" w:hRule="atLeast"/>
        </w:trPr>
        <w:tc>
          <w:tcPr>
            <w:tcW w:w="1849" w:type="dxa"/>
          </w:tcPr>
          <w:p>
            <w:pPr>
              <w:pStyle w:val="TableParagraph"/>
              <w:rPr>
                <w:sz w:val="16"/>
              </w:rPr>
            </w:pPr>
          </w:p>
        </w:tc>
        <w:tc>
          <w:tcPr>
            <w:tcW w:w="1377" w:type="dxa"/>
          </w:tcPr>
          <w:p>
            <w:pPr>
              <w:pStyle w:val="TableParagraph"/>
              <w:rPr>
                <w:sz w:val="16"/>
              </w:rPr>
            </w:pPr>
          </w:p>
        </w:tc>
        <w:tc>
          <w:tcPr>
            <w:tcW w:w="2336" w:type="dxa"/>
            <w:gridSpan w:val="2"/>
          </w:tcPr>
          <w:p>
            <w:pPr>
              <w:pStyle w:val="TableParagraph"/>
              <w:spacing w:line="210" w:lineRule="exact"/>
              <w:ind w:left="130"/>
              <w:rPr>
                <w:sz w:val="20"/>
              </w:rPr>
            </w:pPr>
            <w:r>
              <w:rPr>
                <w:sz w:val="20"/>
              </w:rPr>
              <w:t>5%</w:t>
            </w:r>
            <w:r>
              <w:rPr>
                <w:spacing w:val="68"/>
                <w:w w:val="150"/>
                <w:sz w:val="20"/>
              </w:rPr>
              <w:t> </w:t>
            </w:r>
            <w:r>
              <w:rPr>
                <w:sz w:val="20"/>
              </w:rPr>
              <w:t>Critical</w:t>
            </w:r>
            <w:r>
              <w:rPr>
                <w:spacing w:val="-2"/>
                <w:sz w:val="20"/>
              </w:rPr>
              <w:t> </w:t>
            </w:r>
            <w:r>
              <w:rPr>
                <w:spacing w:val="-4"/>
                <w:sz w:val="20"/>
              </w:rPr>
              <w:t>Value</w:t>
            </w:r>
          </w:p>
        </w:tc>
        <w:tc>
          <w:tcPr>
            <w:tcW w:w="928" w:type="dxa"/>
          </w:tcPr>
          <w:p>
            <w:pPr>
              <w:pStyle w:val="TableParagraph"/>
              <w:spacing w:line="210" w:lineRule="exact"/>
              <w:ind w:right="30"/>
              <w:jc w:val="right"/>
              <w:rPr>
                <w:sz w:val="20"/>
              </w:rPr>
            </w:pPr>
            <w:r>
              <w:rPr>
                <w:spacing w:val="-4"/>
                <w:sz w:val="20"/>
              </w:rPr>
              <w:t>-</w:t>
            </w:r>
            <w:r>
              <w:rPr>
                <w:spacing w:val="-2"/>
                <w:sz w:val="20"/>
              </w:rPr>
              <w:t>3.0038</w:t>
            </w:r>
          </w:p>
        </w:tc>
      </w:tr>
      <w:tr>
        <w:trPr>
          <w:trHeight w:val="224" w:hRule="atLeast"/>
        </w:trPr>
        <w:tc>
          <w:tcPr>
            <w:tcW w:w="1849" w:type="dxa"/>
            <w:tcBorders>
              <w:bottom w:val="double" w:sz="6" w:space="0" w:color="000000"/>
            </w:tcBorders>
          </w:tcPr>
          <w:p>
            <w:pPr>
              <w:pStyle w:val="TableParagraph"/>
              <w:rPr>
                <w:sz w:val="16"/>
              </w:rPr>
            </w:pPr>
          </w:p>
        </w:tc>
        <w:tc>
          <w:tcPr>
            <w:tcW w:w="1377" w:type="dxa"/>
            <w:tcBorders>
              <w:bottom w:val="double" w:sz="6" w:space="0" w:color="000000"/>
            </w:tcBorders>
          </w:tcPr>
          <w:p>
            <w:pPr>
              <w:pStyle w:val="TableParagraph"/>
              <w:rPr>
                <w:sz w:val="16"/>
              </w:rPr>
            </w:pPr>
          </w:p>
        </w:tc>
        <w:tc>
          <w:tcPr>
            <w:tcW w:w="2336" w:type="dxa"/>
            <w:gridSpan w:val="2"/>
            <w:tcBorders>
              <w:bottom w:val="double" w:sz="6" w:space="0" w:color="000000"/>
            </w:tcBorders>
          </w:tcPr>
          <w:p>
            <w:pPr>
              <w:pStyle w:val="TableParagraph"/>
              <w:spacing w:line="205" w:lineRule="exact"/>
              <w:ind w:left="130"/>
              <w:rPr>
                <w:sz w:val="20"/>
              </w:rPr>
            </w:pPr>
            <w:r>
              <w:rPr>
                <w:sz w:val="20"/>
              </w:rPr>
              <w:t>10%</w:t>
            </w:r>
            <w:r>
              <w:rPr>
                <w:spacing w:val="-6"/>
                <w:sz w:val="20"/>
              </w:rPr>
              <w:t> </w:t>
            </w:r>
            <w:r>
              <w:rPr>
                <w:sz w:val="20"/>
              </w:rPr>
              <w:t>Critical</w:t>
            </w:r>
            <w:r>
              <w:rPr>
                <w:spacing w:val="-4"/>
                <w:sz w:val="20"/>
              </w:rPr>
              <w:t> </w:t>
            </w:r>
            <w:r>
              <w:rPr>
                <w:spacing w:val="-2"/>
                <w:sz w:val="20"/>
              </w:rPr>
              <w:t>Value</w:t>
            </w:r>
          </w:p>
        </w:tc>
        <w:tc>
          <w:tcPr>
            <w:tcW w:w="928" w:type="dxa"/>
            <w:tcBorders>
              <w:bottom w:val="double" w:sz="6" w:space="0" w:color="000000"/>
            </w:tcBorders>
          </w:tcPr>
          <w:p>
            <w:pPr>
              <w:pStyle w:val="TableParagraph"/>
              <w:spacing w:line="205" w:lineRule="exact"/>
              <w:ind w:right="30"/>
              <w:jc w:val="right"/>
              <w:rPr>
                <w:sz w:val="20"/>
              </w:rPr>
            </w:pPr>
            <w:r>
              <w:rPr>
                <w:spacing w:val="-4"/>
                <w:sz w:val="20"/>
              </w:rPr>
              <w:t>-</w:t>
            </w:r>
            <w:r>
              <w:rPr>
                <w:spacing w:val="-2"/>
                <w:sz w:val="20"/>
              </w:rPr>
              <w:t>2.6417</w:t>
            </w:r>
          </w:p>
        </w:tc>
      </w:tr>
      <w:tr>
        <w:trPr>
          <w:trHeight w:val="505" w:hRule="atLeast"/>
        </w:trPr>
        <w:tc>
          <w:tcPr>
            <w:tcW w:w="6490" w:type="dxa"/>
            <w:gridSpan w:val="5"/>
            <w:tcBorders>
              <w:top w:val="double" w:sz="6" w:space="0" w:color="000000"/>
            </w:tcBorders>
          </w:tcPr>
          <w:p>
            <w:pPr>
              <w:pStyle w:val="TableParagraph"/>
              <w:spacing w:before="40"/>
              <w:ind w:left="35"/>
              <w:rPr>
                <w:sz w:val="20"/>
              </w:rPr>
            </w:pPr>
            <w:r>
              <w:rPr>
                <w:sz w:val="20"/>
              </w:rPr>
              <w:t>*MacKinnon</w:t>
            </w:r>
            <w:r>
              <w:rPr>
                <w:spacing w:val="-6"/>
                <w:sz w:val="20"/>
              </w:rPr>
              <w:t> </w:t>
            </w:r>
            <w:r>
              <w:rPr>
                <w:sz w:val="20"/>
              </w:rPr>
              <w:t>critical</w:t>
            </w:r>
            <w:r>
              <w:rPr>
                <w:spacing w:val="-4"/>
                <w:sz w:val="20"/>
              </w:rPr>
              <w:t> </w:t>
            </w:r>
            <w:r>
              <w:rPr>
                <w:sz w:val="20"/>
              </w:rPr>
              <w:t>values</w:t>
            </w:r>
            <w:r>
              <w:rPr>
                <w:spacing w:val="-6"/>
                <w:sz w:val="20"/>
              </w:rPr>
              <w:t> </w:t>
            </w:r>
            <w:r>
              <w:rPr>
                <w:sz w:val="20"/>
              </w:rPr>
              <w:t>for</w:t>
            </w:r>
            <w:r>
              <w:rPr>
                <w:spacing w:val="-4"/>
                <w:sz w:val="20"/>
              </w:rPr>
              <w:t> </w:t>
            </w:r>
            <w:r>
              <w:rPr>
                <w:sz w:val="20"/>
              </w:rPr>
              <w:t>rejection</w:t>
            </w:r>
            <w:r>
              <w:rPr>
                <w:spacing w:val="-6"/>
                <w:sz w:val="20"/>
              </w:rPr>
              <w:t> </w:t>
            </w:r>
            <w:r>
              <w:rPr>
                <w:sz w:val="20"/>
              </w:rPr>
              <w:t>of</w:t>
            </w:r>
            <w:r>
              <w:rPr>
                <w:spacing w:val="-6"/>
                <w:sz w:val="20"/>
              </w:rPr>
              <w:t> </w:t>
            </w:r>
            <w:r>
              <w:rPr>
                <w:sz w:val="20"/>
              </w:rPr>
              <w:t>hypothesis</w:t>
            </w:r>
            <w:r>
              <w:rPr>
                <w:spacing w:val="-6"/>
                <w:sz w:val="20"/>
              </w:rPr>
              <w:t> </w:t>
            </w:r>
            <w:r>
              <w:rPr>
                <w:sz w:val="20"/>
              </w:rPr>
              <w:t>of</w:t>
            </w:r>
            <w:r>
              <w:rPr>
                <w:spacing w:val="-6"/>
                <w:sz w:val="20"/>
              </w:rPr>
              <w:t> </w:t>
            </w:r>
            <w:r>
              <w:rPr>
                <w:sz w:val="20"/>
              </w:rPr>
              <w:t>a</w:t>
            </w:r>
            <w:r>
              <w:rPr>
                <w:spacing w:val="-4"/>
                <w:sz w:val="20"/>
              </w:rPr>
              <w:t> </w:t>
            </w:r>
            <w:r>
              <w:rPr>
                <w:sz w:val="20"/>
              </w:rPr>
              <w:t>unit</w:t>
            </w:r>
            <w:r>
              <w:rPr>
                <w:spacing w:val="-6"/>
                <w:sz w:val="20"/>
              </w:rPr>
              <w:t> </w:t>
            </w:r>
            <w:r>
              <w:rPr>
                <w:spacing w:val="-2"/>
                <w:sz w:val="20"/>
              </w:rPr>
              <w:t>root.</w:t>
            </w:r>
          </w:p>
        </w:tc>
      </w:tr>
      <w:tr>
        <w:trPr>
          <w:trHeight w:val="460" w:hRule="atLeast"/>
        </w:trPr>
        <w:tc>
          <w:tcPr>
            <w:tcW w:w="6490" w:type="dxa"/>
            <w:gridSpan w:val="5"/>
          </w:tcPr>
          <w:p>
            <w:pPr>
              <w:pStyle w:val="TableParagraph"/>
              <w:spacing w:line="215" w:lineRule="exact" w:before="226"/>
              <w:ind w:left="35"/>
              <w:rPr>
                <w:sz w:val="20"/>
              </w:rPr>
            </w:pPr>
            <w:r>
              <w:rPr>
                <w:sz w:val="20"/>
              </w:rPr>
              <w:t>Augmented</w:t>
            </w:r>
            <w:r>
              <w:rPr>
                <w:spacing w:val="-8"/>
                <w:sz w:val="20"/>
              </w:rPr>
              <w:t> </w:t>
            </w:r>
            <w:r>
              <w:rPr>
                <w:sz w:val="20"/>
              </w:rPr>
              <w:t>Dickey-Fuller</w:t>
            </w:r>
            <w:r>
              <w:rPr>
                <w:spacing w:val="-8"/>
                <w:sz w:val="20"/>
              </w:rPr>
              <w:t> </w:t>
            </w:r>
            <w:r>
              <w:rPr>
                <w:sz w:val="20"/>
              </w:rPr>
              <w:t>Test</w:t>
            </w:r>
            <w:r>
              <w:rPr>
                <w:spacing w:val="-9"/>
                <w:sz w:val="20"/>
              </w:rPr>
              <w:t> </w:t>
            </w:r>
            <w:r>
              <w:rPr>
                <w:spacing w:val="-2"/>
                <w:sz w:val="20"/>
              </w:rPr>
              <w:t>Equation</w:t>
            </w:r>
          </w:p>
        </w:tc>
      </w:tr>
      <w:tr>
        <w:trPr>
          <w:trHeight w:val="229" w:hRule="atLeast"/>
        </w:trPr>
        <w:tc>
          <w:tcPr>
            <w:tcW w:w="6490" w:type="dxa"/>
            <w:gridSpan w:val="5"/>
          </w:tcPr>
          <w:p>
            <w:pPr>
              <w:pStyle w:val="TableParagraph"/>
              <w:spacing w:line="209" w:lineRule="exact"/>
              <w:ind w:left="35"/>
              <w:rPr>
                <w:sz w:val="20"/>
              </w:rPr>
            </w:pPr>
            <w:r>
              <w:rPr>
                <w:sz w:val="20"/>
              </w:rPr>
              <w:t>Dependent</w:t>
            </w:r>
            <w:r>
              <w:rPr>
                <w:spacing w:val="-8"/>
                <w:sz w:val="20"/>
              </w:rPr>
              <w:t> </w:t>
            </w:r>
            <w:r>
              <w:rPr>
                <w:sz w:val="20"/>
              </w:rPr>
              <w:t>Variable:</w:t>
            </w:r>
            <w:r>
              <w:rPr>
                <w:spacing w:val="-7"/>
                <w:sz w:val="20"/>
              </w:rPr>
              <w:t> </w:t>
            </w:r>
            <w:r>
              <w:rPr>
                <w:spacing w:val="-2"/>
                <w:sz w:val="20"/>
              </w:rPr>
              <w:t>D(RES,2)</w:t>
            </w:r>
          </w:p>
        </w:tc>
      </w:tr>
      <w:tr>
        <w:trPr>
          <w:trHeight w:val="229" w:hRule="atLeast"/>
        </w:trPr>
        <w:tc>
          <w:tcPr>
            <w:tcW w:w="6490" w:type="dxa"/>
            <w:gridSpan w:val="5"/>
          </w:tcPr>
          <w:p>
            <w:pPr>
              <w:pStyle w:val="TableParagraph"/>
              <w:spacing w:line="209" w:lineRule="exact"/>
              <w:ind w:left="35"/>
              <w:rPr>
                <w:sz w:val="20"/>
              </w:rPr>
            </w:pPr>
            <w:r>
              <w:rPr>
                <w:sz w:val="20"/>
              </w:rPr>
              <w:t>Method:</w:t>
            </w:r>
            <w:r>
              <w:rPr>
                <w:spacing w:val="-8"/>
                <w:sz w:val="20"/>
              </w:rPr>
              <w:t> </w:t>
            </w:r>
            <w:r>
              <w:rPr>
                <w:sz w:val="20"/>
              </w:rPr>
              <w:t>Least</w:t>
            </w:r>
            <w:r>
              <w:rPr>
                <w:spacing w:val="-7"/>
                <w:sz w:val="20"/>
              </w:rPr>
              <w:t> </w:t>
            </w:r>
            <w:r>
              <w:rPr>
                <w:spacing w:val="-2"/>
                <w:sz w:val="20"/>
              </w:rPr>
              <w:t>Squares</w:t>
            </w:r>
          </w:p>
        </w:tc>
      </w:tr>
      <w:tr>
        <w:trPr>
          <w:trHeight w:val="230" w:hRule="atLeast"/>
        </w:trPr>
        <w:tc>
          <w:tcPr>
            <w:tcW w:w="6490" w:type="dxa"/>
            <w:gridSpan w:val="5"/>
          </w:tcPr>
          <w:p>
            <w:pPr>
              <w:pStyle w:val="TableParagraph"/>
              <w:spacing w:line="210" w:lineRule="exact"/>
              <w:ind w:left="35"/>
              <w:rPr>
                <w:sz w:val="20"/>
              </w:rPr>
            </w:pPr>
            <w:r>
              <w:rPr>
                <w:sz w:val="20"/>
              </w:rPr>
              <w:t>Date:</w:t>
            </w:r>
            <w:r>
              <w:rPr>
                <w:spacing w:val="-5"/>
                <w:sz w:val="20"/>
              </w:rPr>
              <w:t> </w:t>
            </w:r>
            <w:r>
              <w:rPr>
                <w:sz w:val="20"/>
              </w:rPr>
              <w:t>02/17/14</w:t>
            </w:r>
            <w:r>
              <w:rPr>
                <w:spacing w:val="63"/>
                <w:w w:val="150"/>
                <w:sz w:val="20"/>
              </w:rPr>
              <w:t> </w:t>
            </w:r>
            <w:r>
              <w:rPr>
                <w:sz w:val="20"/>
              </w:rPr>
              <w:t>Time:</w:t>
            </w:r>
            <w:r>
              <w:rPr>
                <w:spacing w:val="-3"/>
                <w:sz w:val="20"/>
              </w:rPr>
              <w:t> </w:t>
            </w:r>
            <w:r>
              <w:rPr>
                <w:spacing w:val="-2"/>
                <w:sz w:val="20"/>
              </w:rPr>
              <w:t>18:14</w:t>
            </w:r>
          </w:p>
        </w:tc>
      </w:tr>
      <w:tr>
        <w:trPr>
          <w:trHeight w:val="230" w:hRule="atLeast"/>
        </w:trPr>
        <w:tc>
          <w:tcPr>
            <w:tcW w:w="6490" w:type="dxa"/>
            <w:gridSpan w:val="5"/>
          </w:tcPr>
          <w:p>
            <w:pPr>
              <w:pStyle w:val="TableParagraph"/>
              <w:spacing w:line="210" w:lineRule="exact"/>
              <w:ind w:left="35"/>
              <w:rPr>
                <w:sz w:val="20"/>
              </w:rPr>
            </w:pPr>
            <w:r>
              <w:rPr>
                <w:sz w:val="20"/>
              </w:rPr>
              <w:t>Sample(adjusted):</w:t>
            </w:r>
            <w:r>
              <w:rPr>
                <w:spacing w:val="-9"/>
                <w:sz w:val="20"/>
              </w:rPr>
              <w:t> </w:t>
            </w:r>
            <w:r>
              <w:rPr>
                <w:sz w:val="20"/>
              </w:rPr>
              <w:t>1990</w:t>
            </w:r>
            <w:r>
              <w:rPr>
                <w:spacing w:val="-9"/>
                <w:sz w:val="20"/>
              </w:rPr>
              <w:t> </w:t>
            </w:r>
            <w:r>
              <w:rPr>
                <w:spacing w:val="-4"/>
                <w:sz w:val="20"/>
              </w:rPr>
              <w:t>2011</w:t>
            </w:r>
          </w:p>
        </w:tc>
      </w:tr>
      <w:tr>
        <w:trPr>
          <w:trHeight w:val="224" w:hRule="atLeast"/>
        </w:trPr>
        <w:tc>
          <w:tcPr>
            <w:tcW w:w="6490" w:type="dxa"/>
            <w:gridSpan w:val="5"/>
            <w:tcBorders>
              <w:bottom w:val="double" w:sz="6" w:space="0" w:color="000000"/>
            </w:tcBorders>
          </w:tcPr>
          <w:p>
            <w:pPr>
              <w:pStyle w:val="TableParagraph"/>
              <w:spacing w:line="205" w:lineRule="exact"/>
              <w:ind w:left="35"/>
              <w:rPr>
                <w:sz w:val="20"/>
              </w:rPr>
            </w:pPr>
            <w:r>
              <w:rPr>
                <w:sz w:val="20"/>
              </w:rPr>
              <w:t>Included</w:t>
            </w:r>
            <w:r>
              <w:rPr>
                <w:spacing w:val="-6"/>
                <w:sz w:val="20"/>
              </w:rPr>
              <w:t> </w:t>
            </w:r>
            <w:r>
              <w:rPr>
                <w:sz w:val="20"/>
              </w:rPr>
              <w:t>observations:</w:t>
            </w:r>
            <w:r>
              <w:rPr>
                <w:spacing w:val="-8"/>
                <w:sz w:val="20"/>
              </w:rPr>
              <w:t> </w:t>
            </w:r>
            <w:r>
              <w:rPr>
                <w:sz w:val="20"/>
              </w:rPr>
              <w:t>22</w:t>
            </w:r>
            <w:r>
              <w:rPr>
                <w:spacing w:val="-5"/>
                <w:sz w:val="20"/>
              </w:rPr>
              <w:t> </w:t>
            </w:r>
            <w:r>
              <w:rPr>
                <w:sz w:val="20"/>
              </w:rPr>
              <w:t>after</w:t>
            </w:r>
            <w:r>
              <w:rPr>
                <w:spacing w:val="-7"/>
                <w:sz w:val="20"/>
              </w:rPr>
              <w:t> </w:t>
            </w:r>
            <w:r>
              <w:rPr>
                <w:sz w:val="20"/>
              </w:rPr>
              <w:t>adjusting</w:t>
            </w:r>
            <w:r>
              <w:rPr>
                <w:spacing w:val="-7"/>
                <w:sz w:val="20"/>
              </w:rPr>
              <w:t> </w:t>
            </w:r>
            <w:r>
              <w:rPr>
                <w:spacing w:val="-2"/>
                <w:sz w:val="20"/>
              </w:rPr>
              <w:t>endpoints</w:t>
            </w:r>
          </w:p>
        </w:tc>
      </w:tr>
      <w:tr>
        <w:trPr>
          <w:trHeight w:val="269" w:hRule="atLeast"/>
        </w:trPr>
        <w:tc>
          <w:tcPr>
            <w:tcW w:w="1849" w:type="dxa"/>
            <w:tcBorders>
              <w:top w:val="double" w:sz="6" w:space="0" w:color="000000"/>
              <w:bottom w:val="double" w:sz="6" w:space="0" w:color="000000"/>
            </w:tcBorders>
          </w:tcPr>
          <w:p>
            <w:pPr>
              <w:pStyle w:val="TableParagraph"/>
              <w:spacing w:line="209" w:lineRule="exact" w:before="40"/>
              <w:ind w:left="677"/>
              <w:rPr>
                <w:sz w:val="20"/>
              </w:rPr>
            </w:pPr>
            <w:r>
              <w:rPr>
                <w:spacing w:val="-2"/>
                <w:sz w:val="20"/>
              </w:rPr>
              <w:t>Variable</w:t>
            </w:r>
          </w:p>
        </w:tc>
        <w:tc>
          <w:tcPr>
            <w:tcW w:w="1377" w:type="dxa"/>
            <w:tcBorders>
              <w:top w:val="double" w:sz="6" w:space="0" w:color="000000"/>
              <w:bottom w:val="double" w:sz="6" w:space="0" w:color="000000"/>
            </w:tcBorders>
          </w:tcPr>
          <w:p>
            <w:pPr>
              <w:pStyle w:val="TableParagraph"/>
              <w:spacing w:line="209" w:lineRule="exact" w:before="40"/>
              <w:ind w:right="134"/>
              <w:jc w:val="right"/>
              <w:rPr>
                <w:sz w:val="20"/>
              </w:rPr>
            </w:pPr>
            <w:r>
              <w:rPr>
                <w:spacing w:val="-2"/>
                <w:sz w:val="20"/>
              </w:rPr>
              <w:t>Coefficient</w:t>
            </w:r>
          </w:p>
        </w:tc>
        <w:tc>
          <w:tcPr>
            <w:tcW w:w="1433" w:type="dxa"/>
            <w:tcBorders>
              <w:top w:val="double" w:sz="6" w:space="0" w:color="000000"/>
              <w:bottom w:val="double" w:sz="6" w:space="0" w:color="000000"/>
            </w:tcBorders>
          </w:tcPr>
          <w:p>
            <w:pPr>
              <w:pStyle w:val="TableParagraph"/>
              <w:spacing w:line="209" w:lineRule="exact" w:before="40"/>
              <w:ind w:left="271"/>
              <w:rPr>
                <w:sz w:val="20"/>
              </w:rPr>
            </w:pPr>
            <w:r>
              <w:rPr>
                <w:sz w:val="20"/>
              </w:rPr>
              <w:t>Std.</w:t>
            </w:r>
            <w:r>
              <w:rPr>
                <w:spacing w:val="-4"/>
                <w:sz w:val="20"/>
              </w:rPr>
              <w:t> </w:t>
            </w:r>
            <w:r>
              <w:rPr>
                <w:spacing w:val="-2"/>
                <w:sz w:val="20"/>
              </w:rPr>
              <w:t>Error</w:t>
            </w:r>
          </w:p>
        </w:tc>
        <w:tc>
          <w:tcPr>
            <w:tcW w:w="903" w:type="dxa"/>
            <w:tcBorders>
              <w:top w:val="double" w:sz="6" w:space="0" w:color="000000"/>
              <w:bottom w:val="double" w:sz="6" w:space="0" w:color="000000"/>
            </w:tcBorders>
          </w:tcPr>
          <w:p>
            <w:pPr>
              <w:pStyle w:val="TableParagraph"/>
              <w:spacing w:line="209" w:lineRule="exact" w:before="40"/>
              <w:ind w:right="26"/>
              <w:jc w:val="center"/>
              <w:rPr>
                <w:sz w:val="20"/>
              </w:rPr>
            </w:pPr>
            <w:r>
              <w:rPr>
                <w:spacing w:val="-4"/>
                <w:sz w:val="20"/>
              </w:rPr>
              <w:t>t-</w:t>
            </w:r>
            <w:r>
              <w:rPr>
                <w:spacing w:val="-2"/>
                <w:sz w:val="20"/>
              </w:rPr>
              <w:t>Statistic</w:t>
            </w:r>
          </w:p>
        </w:tc>
        <w:tc>
          <w:tcPr>
            <w:tcW w:w="928" w:type="dxa"/>
            <w:tcBorders>
              <w:top w:val="double" w:sz="6" w:space="0" w:color="000000"/>
              <w:bottom w:val="double" w:sz="6" w:space="0" w:color="000000"/>
            </w:tcBorders>
          </w:tcPr>
          <w:p>
            <w:pPr>
              <w:pStyle w:val="TableParagraph"/>
              <w:spacing w:line="209" w:lineRule="exact" w:before="40"/>
              <w:ind w:right="31"/>
              <w:jc w:val="right"/>
              <w:rPr>
                <w:sz w:val="20"/>
              </w:rPr>
            </w:pPr>
            <w:r>
              <w:rPr>
                <w:spacing w:val="-2"/>
                <w:sz w:val="20"/>
              </w:rPr>
              <w:t>Prob.</w:t>
            </w:r>
          </w:p>
        </w:tc>
      </w:tr>
      <w:tr>
        <w:trPr>
          <w:trHeight w:val="275" w:hRule="atLeast"/>
        </w:trPr>
        <w:tc>
          <w:tcPr>
            <w:tcW w:w="1849" w:type="dxa"/>
            <w:tcBorders>
              <w:top w:val="double" w:sz="6" w:space="0" w:color="000000"/>
            </w:tcBorders>
          </w:tcPr>
          <w:p>
            <w:pPr>
              <w:pStyle w:val="TableParagraph"/>
              <w:spacing w:line="215" w:lineRule="exact" w:before="40"/>
              <w:ind w:left="550"/>
              <w:rPr>
                <w:sz w:val="20"/>
              </w:rPr>
            </w:pPr>
            <w:r>
              <w:rPr>
                <w:spacing w:val="-2"/>
                <w:sz w:val="20"/>
              </w:rPr>
              <w:t>D(RES(-</w:t>
            </w:r>
            <w:r>
              <w:rPr>
                <w:spacing w:val="-5"/>
                <w:sz w:val="20"/>
              </w:rPr>
              <w:t>1))</w:t>
            </w:r>
          </w:p>
        </w:tc>
        <w:tc>
          <w:tcPr>
            <w:tcW w:w="1377" w:type="dxa"/>
            <w:tcBorders>
              <w:top w:val="double" w:sz="6" w:space="0" w:color="000000"/>
            </w:tcBorders>
          </w:tcPr>
          <w:p>
            <w:pPr>
              <w:pStyle w:val="TableParagraph"/>
              <w:spacing w:line="215" w:lineRule="exact" w:before="40"/>
              <w:ind w:right="130"/>
              <w:jc w:val="right"/>
              <w:rPr>
                <w:sz w:val="20"/>
              </w:rPr>
            </w:pPr>
            <w:r>
              <w:rPr>
                <w:spacing w:val="-4"/>
                <w:sz w:val="20"/>
              </w:rPr>
              <w:t>-</w:t>
            </w:r>
            <w:r>
              <w:rPr>
                <w:spacing w:val="-2"/>
                <w:sz w:val="20"/>
              </w:rPr>
              <w:t>1.696982</w:t>
            </w:r>
          </w:p>
        </w:tc>
        <w:tc>
          <w:tcPr>
            <w:tcW w:w="1433" w:type="dxa"/>
            <w:tcBorders>
              <w:top w:val="double" w:sz="6" w:space="0" w:color="000000"/>
            </w:tcBorders>
          </w:tcPr>
          <w:p>
            <w:pPr>
              <w:pStyle w:val="TableParagraph"/>
              <w:spacing w:line="215" w:lineRule="exact" w:before="40"/>
              <w:ind w:left="310"/>
              <w:rPr>
                <w:sz w:val="20"/>
              </w:rPr>
            </w:pPr>
            <w:r>
              <w:rPr>
                <w:spacing w:val="-2"/>
                <w:sz w:val="20"/>
              </w:rPr>
              <w:t>0.405059</w:t>
            </w:r>
          </w:p>
        </w:tc>
        <w:tc>
          <w:tcPr>
            <w:tcW w:w="903" w:type="dxa"/>
            <w:tcBorders>
              <w:top w:val="double" w:sz="6" w:space="0" w:color="000000"/>
            </w:tcBorders>
          </w:tcPr>
          <w:p>
            <w:pPr>
              <w:pStyle w:val="TableParagraph"/>
              <w:spacing w:line="215" w:lineRule="exact" w:before="40"/>
              <w:ind w:right="74"/>
              <w:jc w:val="center"/>
              <w:rPr>
                <w:sz w:val="20"/>
              </w:rPr>
            </w:pPr>
            <w:r>
              <w:rPr>
                <w:spacing w:val="-4"/>
                <w:sz w:val="20"/>
              </w:rPr>
              <w:t>-</w:t>
            </w:r>
            <w:r>
              <w:rPr>
                <w:spacing w:val="-2"/>
                <w:sz w:val="20"/>
              </w:rPr>
              <w:t>4.189475</w:t>
            </w:r>
          </w:p>
        </w:tc>
        <w:tc>
          <w:tcPr>
            <w:tcW w:w="928" w:type="dxa"/>
            <w:tcBorders>
              <w:top w:val="double" w:sz="6" w:space="0" w:color="000000"/>
            </w:tcBorders>
          </w:tcPr>
          <w:p>
            <w:pPr>
              <w:pStyle w:val="TableParagraph"/>
              <w:spacing w:line="215" w:lineRule="exact" w:before="40"/>
              <w:ind w:right="30"/>
              <w:jc w:val="right"/>
              <w:rPr>
                <w:sz w:val="20"/>
              </w:rPr>
            </w:pPr>
            <w:r>
              <w:rPr>
                <w:spacing w:val="-2"/>
                <w:sz w:val="20"/>
              </w:rPr>
              <w:t>0.0005</w:t>
            </w:r>
          </w:p>
        </w:tc>
      </w:tr>
      <w:tr>
        <w:trPr>
          <w:trHeight w:val="230" w:hRule="atLeast"/>
        </w:trPr>
        <w:tc>
          <w:tcPr>
            <w:tcW w:w="1849" w:type="dxa"/>
          </w:tcPr>
          <w:p>
            <w:pPr>
              <w:pStyle w:val="TableParagraph"/>
              <w:spacing w:line="210" w:lineRule="exact"/>
              <w:ind w:left="475"/>
              <w:rPr>
                <w:sz w:val="20"/>
              </w:rPr>
            </w:pPr>
            <w:r>
              <w:rPr>
                <w:spacing w:val="-2"/>
                <w:sz w:val="20"/>
              </w:rPr>
              <w:t>D(RES(-1),2)</w:t>
            </w:r>
          </w:p>
        </w:tc>
        <w:tc>
          <w:tcPr>
            <w:tcW w:w="1377" w:type="dxa"/>
          </w:tcPr>
          <w:p>
            <w:pPr>
              <w:pStyle w:val="TableParagraph"/>
              <w:spacing w:line="210" w:lineRule="exact"/>
              <w:ind w:right="130"/>
              <w:jc w:val="right"/>
              <w:rPr>
                <w:sz w:val="20"/>
              </w:rPr>
            </w:pPr>
            <w:r>
              <w:rPr>
                <w:spacing w:val="-2"/>
                <w:sz w:val="20"/>
              </w:rPr>
              <w:t>0.093821</w:t>
            </w:r>
          </w:p>
        </w:tc>
        <w:tc>
          <w:tcPr>
            <w:tcW w:w="1433" w:type="dxa"/>
          </w:tcPr>
          <w:p>
            <w:pPr>
              <w:pStyle w:val="TableParagraph"/>
              <w:spacing w:line="210" w:lineRule="exact"/>
              <w:ind w:left="310"/>
              <w:rPr>
                <w:sz w:val="20"/>
              </w:rPr>
            </w:pPr>
            <w:r>
              <w:rPr>
                <w:spacing w:val="-2"/>
                <w:sz w:val="20"/>
              </w:rPr>
              <w:t>0.236687</w:t>
            </w:r>
          </w:p>
        </w:tc>
        <w:tc>
          <w:tcPr>
            <w:tcW w:w="903" w:type="dxa"/>
          </w:tcPr>
          <w:p>
            <w:pPr>
              <w:pStyle w:val="TableParagraph"/>
              <w:spacing w:line="210" w:lineRule="exact"/>
              <w:ind w:right="9"/>
              <w:jc w:val="center"/>
              <w:rPr>
                <w:sz w:val="20"/>
              </w:rPr>
            </w:pPr>
            <w:r>
              <w:rPr>
                <w:spacing w:val="-2"/>
                <w:sz w:val="20"/>
              </w:rPr>
              <w:t>0.396393</w:t>
            </w:r>
          </w:p>
        </w:tc>
        <w:tc>
          <w:tcPr>
            <w:tcW w:w="928" w:type="dxa"/>
          </w:tcPr>
          <w:p>
            <w:pPr>
              <w:pStyle w:val="TableParagraph"/>
              <w:spacing w:line="210" w:lineRule="exact"/>
              <w:ind w:right="30"/>
              <w:jc w:val="right"/>
              <w:rPr>
                <w:sz w:val="20"/>
              </w:rPr>
            </w:pPr>
            <w:r>
              <w:rPr>
                <w:spacing w:val="-2"/>
                <w:sz w:val="20"/>
              </w:rPr>
              <w:t>0.6962</w:t>
            </w:r>
          </w:p>
        </w:tc>
      </w:tr>
      <w:tr>
        <w:trPr>
          <w:trHeight w:val="224" w:hRule="atLeast"/>
        </w:trPr>
        <w:tc>
          <w:tcPr>
            <w:tcW w:w="1849" w:type="dxa"/>
            <w:tcBorders>
              <w:bottom w:val="double" w:sz="6" w:space="0" w:color="000000"/>
            </w:tcBorders>
          </w:tcPr>
          <w:p>
            <w:pPr>
              <w:pStyle w:val="TableParagraph"/>
              <w:spacing w:line="205" w:lineRule="exact"/>
              <w:ind w:left="195"/>
              <w:jc w:val="center"/>
              <w:rPr>
                <w:sz w:val="20"/>
              </w:rPr>
            </w:pPr>
            <w:r>
              <w:rPr>
                <w:spacing w:val="-10"/>
                <w:sz w:val="20"/>
              </w:rPr>
              <w:t>C</w:t>
            </w:r>
          </w:p>
        </w:tc>
        <w:tc>
          <w:tcPr>
            <w:tcW w:w="1377" w:type="dxa"/>
            <w:tcBorders>
              <w:bottom w:val="double" w:sz="6" w:space="0" w:color="000000"/>
            </w:tcBorders>
          </w:tcPr>
          <w:p>
            <w:pPr>
              <w:pStyle w:val="TableParagraph"/>
              <w:spacing w:line="205" w:lineRule="exact"/>
              <w:ind w:right="130"/>
              <w:jc w:val="right"/>
              <w:rPr>
                <w:sz w:val="20"/>
              </w:rPr>
            </w:pPr>
            <w:r>
              <w:rPr>
                <w:spacing w:val="-2"/>
                <w:sz w:val="20"/>
              </w:rPr>
              <w:t>0.277565</w:t>
            </w:r>
          </w:p>
        </w:tc>
        <w:tc>
          <w:tcPr>
            <w:tcW w:w="1433" w:type="dxa"/>
            <w:tcBorders>
              <w:bottom w:val="double" w:sz="6" w:space="0" w:color="000000"/>
            </w:tcBorders>
          </w:tcPr>
          <w:p>
            <w:pPr>
              <w:pStyle w:val="TableParagraph"/>
              <w:spacing w:line="205" w:lineRule="exact"/>
              <w:ind w:left="310"/>
              <w:rPr>
                <w:sz w:val="20"/>
              </w:rPr>
            </w:pPr>
            <w:r>
              <w:rPr>
                <w:spacing w:val="-2"/>
                <w:sz w:val="20"/>
              </w:rPr>
              <w:t>0.337628</w:t>
            </w:r>
          </w:p>
        </w:tc>
        <w:tc>
          <w:tcPr>
            <w:tcW w:w="903" w:type="dxa"/>
            <w:tcBorders>
              <w:bottom w:val="double" w:sz="6" w:space="0" w:color="000000"/>
            </w:tcBorders>
          </w:tcPr>
          <w:p>
            <w:pPr>
              <w:pStyle w:val="TableParagraph"/>
              <w:spacing w:line="205" w:lineRule="exact"/>
              <w:ind w:right="9"/>
              <w:jc w:val="center"/>
              <w:rPr>
                <w:sz w:val="20"/>
              </w:rPr>
            </w:pPr>
            <w:r>
              <w:rPr>
                <w:spacing w:val="-2"/>
                <w:sz w:val="20"/>
              </w:rPr>
              <w:t>0.822102</w:t>
            </w:r>
          </w:p>
        </w:tc>
        <w:tc>
          <w:tcPr>
            <w:tcW w:w="928" w:type="dxa"/>
            <w:tcBorders>
              <w:bottom w:val="double" w:sz="6" w:space="0" w:color="000000"/>
            </w:tcBorders>
          </w:tcPr>
          <w:p>
            <w:pPr>
              <w:pStyle w:val="TableParagraph"/>
              <w:spacing w:line="205" w:lineRule="exact"/>
              <w:ind w:right="30"/>
              <w:jc w:val="right"/>
              <w:rPr>
                <w:sz w:val="20"/>
              </w:rPr>
            </w:pPr>
            <w:r>
              <w:rPr>
                <w:spacing w:val="-2"/>
                <w:sz w:val="20"/>
              </w:rPr>
              <w:t>0.4212</w:t>
            </w:r>
          </w:p>
        </w:tc>
      </w:tr>
      <w:tr>
        <w:trPr>
          <w:trHeight w:val="275" w:hRule="atLeast"/>
        </w:trPr>
        <w:tc>
          <w:tcPr>
            <w:tcW w:w="1849" w:type="dxa"/>
            <w:tcBorders>
              <w:top w:val="double" w:sz="6" w:space="0" w:color="000000"/>
            </w:tcBorders>
          </w:tcPr>
          <w:p>
            <w:pPr>
              <w:pStyle w:val="TableParagraph"/>
              <w:spacing w:line="215" w:lineRule="exact" w:before="40"/>
              <w:ind w:left="35"/>
              <w:rPr>
                <w:sz w:val="20"/>
              </w:rPr>
            </w:pPr>
            <w:r>
              <w:rPr>
                <w:spacing w:val="-2"/>
                <w:sz w:val="20"/>
              </w:rPr>
              <w:t>R-squared</w:t>
            </w:r>
          </w:p>
        </w:tc>
        <w:tc>
          <w:tcPr>
            <w:tcW w:w="1377" w:type="dxa"/>
            <w:tcBorders>
              <w:top w:val="double" w:sz="6" w:space="0" w:color="000000"/>
            </w:tcBorders>
          </w:tcPr>
          <w:p>
            <w:pPr>
              <w:pStyle w:val="TableParagraph"/>
              <w:spacing w:line="215" w:lineRule="exact" w:before="40"/>
              <w:ind w:right="130"/>
              <w:jc w:val="right"/>
              <w:rPr>
                <w:sz w:val="20"/>
              </w:rPr>
            </w:pPr>
            <w:r>
              <w:rPr>
                <w:spacing w:val="-2"/>
                <w:sz w:val="20"/>
              </w:rPr>
              <w:t>0.757837</w:t>
            </w:r>
          </w:p>
        </w:tc>
        <w:tc>
          <w:tcPr>
            <w:tcW w:w="2336" w:type="dxa"/>
            <w:gridSpan w:val="2"/>
            <w:tcBorders>
              <w:top w:val="double" w:sz="6" w:space="0" w:color="000000"/>
            </w:tcBorders>
          </w:tcPr>
          <w:p>
            <w:pPr>
              <w:pStyle w:val="TableParagraph"/>
              <w:spacing w:line="215" w:lineRule="exact" w:before="40"/>
              <w:ind w:left="130"/>
              <w:rPr>
                <w:sz w:val="20"/>
              </w:rPr>
            </w:pPr>
            <w:r>
              <w:rPr>
                <w:sz w:val="20"/>
              </w:rPr>
              <w:t>Mean</w:t>
            </w:r>
            <w:r>
              <w:rPr>
                <w:spacing w:val="-7"/>
                <w:sz w:val="20"/>
              </w:rPr>
              <w:t> </w:t>
            </w:r>
            <w:r>
              <w:rPr>
                <w:sz w:val="20"/>
              </w:rPr>
              <w:t>dependent</w:t>
            </w:r>
            <w:r>
              <w:rPr>
                <w:spacing w:val="-7"/>
                <w:sz w:val="20"/>
              </w:rPr>
              <w:t> </w:t>
            </w:r>
            <w:r>
              <w:rPr>
                <w:spacing w:val="-5"/>
                <w:sz w:val="20"/>
              </w:rPr>
              <w:t>var</w:t>
            </w:r>
          </w:p>
        </w:tc>
        <w:tc>
          <w:tcPr>
            <w:tcW w:w="928" w:type="dxa"/>
            <w:tcBorders>
              <w:top w:val="double" w:sz="6" w:space="0" w:color="000000"/>
            </w:tcBorders>
          </w:tcPr>
          <w:p>
            <w:pPr>
              <w:pStyle w:val="TableParagraph"/>
              <w:spacing w:line="215" w:lineRule="exact" w:before="40"/>
              <w:ind w:right="30"/>
              <w:jc w:val="right"/>
              <w:rPr>
                <w:sz w:val="20"/>
              </w:rPr>
            </w:pPr>
            <w:r>
              <w:rPr>
                <w:spacing w:val="-4"/>
                <w:sz w:val="20"/>
              </w:rPr>
              <w:t>-</w:t>
            </w:r>
            <w:r>
              <w:rPr>
                <w:spacing w:val="-2"/>
                <w:sz w:val="20"/>
              </w:rPr>
              <w:t>0.215744</w:t>
            </w:r>
          </w:p>
        </w:tc>
      </w:tr>
      <w:tr>
        <w:trPr>
          <w:trHeight w:val="230" w:hRule="atLeast"/>
        </w:trPr>
        <w:tc>
          <w:tcPr>
            <w:tcW w:w="1849" w:type="dxa"/>
          </w:tcPr>
          <w:p>
            <w:pPr>
              <w:pStyle w:val="TableParagraph"/>
              <w:spacing w:line="211" w:lineRule="exact"/>
              <w:ind w:left="35"/>
              <w:rPr>
                <w:sz w:val="20"/>
              </w:rPr>
            </w:pPr>
            <w:r>
              <w:rPr>
                <w:sz w:val="20"/>
              </w:rPr>
              <w:t>Adjusted</w:t>
            </w:r>
            <w:r>
              <w:rPr>
                <w:spacing w:val="-10"/>
                <w:sz w:val="20"/>
              </w:rPr>
              <w:t> </w:t>
            </w:r>
            <w:r>
              <w:rPr>
                <w:sz w:val="20"/>
              </w:rPr>
              <w:t>R-</w:t>
            </w:r>
            <w:r>
              <w:rPr>
                <w:spacing w:val="-2"/>
                <w:sz w:val="20"/>
              </w:rPr>
              <w:t>squared</w:t>
            </w:r>
          </w:p>
        </w:tc>
        <w:tc>
          <w:tcPr>
            <w:tcW w:w="1377" w:type="dxa"/>
          </w:tcPr>
          <w:p>
            <w:pPr>
              <w:pStyle w:val="TableParagraph"/>
              <w:spacing w:line="211" w:lineRule="exact"/>
              <w:ind w:right="130"/>
              <w:jc w:val="right"/>
              <w:rPr>
                <w:sz w:val="20"/>
              </w:rPr>
            </w:pPr>
            <w:r>
              <w:rPr>
                <w:spacing w:val="-2"/>
                <w:sz w:val="20"/>
              </w:rPr>
              <w:t>0.732346</w:t>
            </w:r>
          </w:p>
        </w:tc>
        <w:tc>
          <w:tcPr>
            <w:tcW w:w="2336" w:type="dxa"/>
            <w:gridSpan w:val="2"/>
          </w:tcPr>
          <w:p>
            <w:pPr>
              <w:pStyle w:val="TableParagraph"/>
              <w:spacing w:line="211" w:lineRule="exact"/>
              <w:ind w:left="130"/>
              <w:rPr>
                <w:sz w:val="20"/>
              </w:rPr>
            </w:pPr>
            <w:r>
              <w:rPr>
                <w:sz w:val="20"/>
              </w:rPr>
              <w:t>S.D.</w:t>
            </w:r>
            <w:r>
              <w:rPr>
                <w:spacing w:val="-5"/>
                <w:sz w:val="20"/>
              </w:rPr>
              <w:t> </w:t>
            </w:r>
            <w:r>
              <w:rPr>
                <w:sz w:val="20"/>
              </w:rPr>
              <w:t>dependent</w:t>
            </w:r>
            <w:r>
              <w:rPr>
                <w:spacing w:val="-6"/>
                <w:sz w:val="20"/>
              </w:rPr>
              <w:t> </w:t>
            </w:r>
            <w:r>
              <w:rPr>
                <w:spacing w:val="-5"/>
                <w:sz w:val="20"/>
              </w:rPr>
              <w:t>var</w:t>
            </w:r>
          </w:p>
        </w:tc>
        <w:tc>
          <w:tcPr>
            <w:tcW w:w="928" w:type="dxa"/>
          </w:tcPr>
          <w:p>
            <w:pPr>
              <w:pStyle w:val="TableParagraph"/>
              <w:spacing w:line="211" w:lineRule="exact"/>
              <w:ind w:right="30"/>
              <w:jc w:val="right"/>
              <w:rPr>
                <w:sz w:val="20"/>
              </w:rPr>
            </w:pPr>
            <w:r>
              <w:rPr>
                <w:spacing w:val="-2"/>
                <w:sz w:val="20"/>
              </w:rPr>
              <w:t>2.905546</w:t>
            </w:r>
          </w:p>
        </w:tc>
      </w:tr>
      <w:tr>
        <w:trPr>
          <w:trHeight w:val="230" w:hRule="atLeast"/>
        </w:trPr>
        <w:tc>
          <w:tcPr>
            <w:tcW w:w="1849" w:type="dxa"/>
          </w:tcPr>
          <w:p>
            <w:pPr>
              <w:pStyle w:val="TableParagraph"/>
              <w:spacing w:line="211" w:lineRule="exact"/>
              <w:ind w:left="35"/>
              <w:rPr>
                <w:sz w:val="20"/>
              </w:rPr>
            </w:pPr>
            <w:r>
              <w:rPr>
                <w:sz w:val="20"/>
              </w:rPr>
              <w:t>S.E.</w:t>
            </w:r>
            <w:r>
              <w:rPr>
                <w:spacing w:val="-3"/>
                <w:sz w:val="20"/>
              </w:rPr>
              <w:t> </w:t>
            </w:r>
            <w:r>
              <w:rPr>
                <w:sz w:val="20"/>
              </w:rPr>
              <w:t>of</w:t>
            </w:r>
            <w:r>
              <w:rPr>
                <w:spacing w:val="-3"/>
                <w:sz w:val="20"/>
              </w:rPr>
              <w:t> </w:t>
            </w:r>
            <w:r>
              <w:rPr>
                <w:spacing w:val="-2"/>
                <w:sz w:val="20"/>
              </w:rPr>
              <w:t>regression</w:t>
            </w:r>
          </w:p>
        </w:tc>
        <w:tc>
          <w:tcPr>
            <w:tcW w:w="1377" w:type="dxa"/>
          </w:tcPr>
          <w:p>
            <w:pPr>
              <w:pStyle w:val="TableParagraph"/>
              <w:spacing w:line="211" w:lineRule="exact"/>
              <w:ind w:right="130"/>
              <w:jc w:val="right"/>
              <w:rPr>
                <w:sz w:val="20"/>
              </w:rPr>
            </w:pPr>
            <w:r>
              <w:rPr>
                <w:spacing w:val="-2"/>
                <w:sz w:val="20"/>
              </w:rPr>
              <w:t>1.503192</w:t>
            </w:r>
          </w:p>
        </w:tc>
        <w:tc>
          <w:tcPr>
            <w:tcW w:w="2336" w:type="dxa"/>
            <w:gridSpan w:val="2"/>
          </w:tcPr>
          <w:p>
            <w:pPr>
              <w:pStyle w:val="TableParagraph"/>
              <w:spacing w:line="211" w:lineRule="exact"/>
              <w:ind w:left="130"/>
              <w:rPr>
                <w:sz w:val="20"/>
              </w:rPr>
            </w:pPr>
            <w:r>
              <w:rPr>
                <w:sz w:val="20"/>
              </w:rPr>
              <w:t>Akaike</w:t>
            </w:r>
            <w:r>
              <w:rPr>
                <w:spacing w:val="-8"/>
                <w:sz w:val="20"/>
              </w:rPr>
              <w:t> </w:t>
            </w:r>
            <w:r>
              <w:rPr>
                <w:sz w:val="20"/>
              </w:rPr>
              <w:t>info</w:t>
            </w:r>
            <w:r>
              <w:rPr>
                <w:spacing w:val="-7"/>
                <w:sz w:val="20"/>
              </w:rPr>
              <w:t> </w:t>
            </w:r>
            <w:r>
              <w:rPr>
                <w:spacing w:val="-2"/>
                <w:sz w:val="20"/>
              </w:rPr>
              <w:t>criterion</w:t>
            </w:r>
          </w:p>
        </w:tc>
        <w:tc>
          <w:tcPr>
            <w:tcW w:w="928" w:type="dxa"/>
          </w:tcPr>
          <w:p>
            <w:pPr>
              <w:pStyle w:val="TableParagraph"/>
              <w:spacing w:line="211" w:lineRule="exact"/>
              <w:ind w:right="30"/>
              <w:jc w:val="right"/>
              <w:rPr>
                <w:sz w:val="20"/>
              </w:rPr>
            </w:pPr>
            <w:r>
              <w:rPr>
                <w:spacing w:val="-2"/>
                <w:sz w:val="20"/>
              </w:rPr>
              <w:t>3.779183</w:t>
            </w:r>
          </w:p>
        </w:tc>
      </w:tr>
      <w:tr>
        <w:trPr>
          <w:trHeight w:val="230" w:hRule="atLeast"/>
        </w:trPr>
        <w:tc>
          <w:tcPr>
            <w:tcW w:w="1849" w:type="dxa"/>
          </w:tcPr>
          <w:p>
            <w:pPr>
              <w:pStyle w:val="TableParagraph"/>
              <w:spacing w:line="210" w:lineRule="exact"/>
              <w:ind w:left="35"/>
              <w:rPr>
                <w:sz w:val="20"/>
              </w:rPr>
            </w:pPr>
            <w:r>
              <w:rPr>
                <w:sz w:val="20"/>
              </w:rPr>
              <w:t>Sum</w:t>
            </w:r>
            <w:r>
              <w:rPr>
                <w:spacing w:val="-8"/>
                <w:sz w:val="20"/>
              </w:rPr>
              <w:t> </w:t>
            </w:r>
            <w:r>
              <w:rPr>
                <w:sz w:val="20"/>
              </w:rPr>
              <w:t>squared</w:t>
            </w:r>
            <w:r>
              <w:rPr>
                <w:spacing w:val="-4"/>
                <w:sz w:val="20"/>
              </w:rPr>
              <w:t> </w:t>
            </w:r>
            <w:r>
              <w:rPr>
                <w:spacing w:val="-2"/>
                <w:sz w:val="20"/>
              </w:rPr>
              <w:t>resid</w:t>
            </w:r>
          </w:p>
        </w:tc>
        <w:tc>
          <w:tcPr>
            <w:tcW w:w="1377" w:type="dxa"/>
          </w:tcPr>
          <w:p>
            <w:pPr>
              <w:pStyle w:val="TableParagraph"/>
              <w:spacing w:line="210" w:lineRule="exact"/>
              <w:ind w:right="130"/>
              <w:jc w:val="right"/>
              <w:rPr>
                <w:sz w:val="20"/>
              </w:rPr>
            </w:pPr>
            <w:r>
              <w:rPr>
                <w:spacing w:val="-2"/>
                <w:sz w:val="20"/>
              </w:rPr>
              <w:t>42.93214</w:t>
            </w:r>
          </w:p>
        </w:tc>
        <w:tc>
          <w:tcPr>
            <w:tcW w:w="2336" w:type="dxa"/>
            <w:gridSpan w:val="2"/>
          </w:tcPr>
          <w:p>
            <w:pPr>
              <w:pStyle w:val="TableParagraph"/>
              <w:spacing w:line="210" w:lineRule="exact"/>
              <w:ind w:left="130"/>
              <w:rPr>
                <w:sz w:val="20"/>
              </w:rPr>
            </w:pPr>
            <w:r>
              <w:rPr>
                <w:sz w:val="20"/>
              </w:rPr>
              <w:t>Schwarz</w:t>
            </w:r>
            <w:r>
              <w:rPr>
                <w:spacing w:val="-8"/>
                <w:sz w:val="20"/>
              </w:rPr>
              <w:t> </w:t>
            </w:r>
            <w:r>
              <w:rPr>
                <w:spacing w:val="-2"/>
                <w:sz w:val="20"/>
              </w:rPr>
              <w:t>criterion</w:t>
            </w:r>
          </w:p>
        </w:tc>
        <w:tc>
          <w:tcPr>
            <w:tcW w:w="928" w:type="dxa"/>
          </w:tcPr>
          <w:p>
            <w:pPr>
              <w:pStyle w:val="TableParagraph"/>
              <w:spacing w:line="210" w:lineRule="exact"/>
              <w:ind w:right="30"/>
              <w:jc w:val="right"/>
              <w:rPr>
                <w:sz w:val="20"/>
              </w:rPr>
            </w:pPr>
            <w:r>
              <w:rPr>
                <w:spacing w:val="-2"/>
                <w:sz w:val="20"/>
              </w:rPr>
              <w:t>3.927961</w:t>
            </w:r>
          </w:p>
        </w:tc>
      </w:tr>
      <w:tr>
        <w:trPr>
          <w:trHeight w:val="229" w:hRule="atLeast"/>
        </w:trPr>
        <w:tc>
          <w:tcPr>
            <w:tcW w:w="1849" w:type="dxa"/>
          </w:tcPr>
          <w:p>
            <w:pPr>
              <w:pStyle w:val="TableParagraph"/>
              <w:spacing w:line="209" w:lineRule="exact"/>
              <w:ind w:left="35"/>
              <w:rPr>
                <w:sz w:val="20"/>
              </w:rPr>
            </w:pPr>
            <w:r>
              <w:rPr>
                <w:sz w:val="20"/>
              </w:rPr>
              <w:t>Log</w:t>
            </w:r>
            <w:r>
              <w:rPr>
                <w:spacing w:val="-6"/>
                <w:sz w:val="20"/>
              </w:rPr>
              <w:t> </w:t>
            </w:r>
            <w:r>
              <w:rPr>
                <w:spacing w:val="-2"/>
                <w:sz w:val="20"/>
              </w:rPr>
              <w:t>likelihood</w:t>
            </w:r>
          </w:p>
        </w:tc>
        <w:tc>
          <w:tcPr>
            <w:tcW w:w="1377" w:type="dxa"/>
          </w:tcPr>
          <w:p>
            <w:pPr>
              <w:pStyle w:val="TableParagraph"/>
              <w:spacing w:line="209" w:lineRule="exact"/>
              <w:ind w:right="130"/>
              <w:jc w:val="right"/>
              <w:rPr>
                <w:sz w:val="20"/>
              </w:rPr>
            </w:pPr>
            <w:r>
              <w:rPr>
                <w:spacing w:val="-4"/>
                <w:sz w:val="20"/>
              </w:rPr>
              <w:t>-</w:t>
            </w:r>
            <w:r>
              <w:rPr>
                <w:spacing w:val="-2"/>
                <w:sz w:val="20"/>
              </w:rPr>
              <w:t>38.57101</w:t>
            </w:r>
          </w:p>
        </w:tc>
        <w:tc>
          <w:tcPr>
            <w:tcW w:w="1433" w:type="dxa"/>
          </w:tcPr>
          <w:p>
            <w:pPr>
              <w:pStyle w:val="TableParagraph"/>
              <w:spacing w:line="209" w:lineRule="exact"/>
              <w:ind w:left="130"/>
              <w:rPr>
                <w:sz w:val="20"/>
              </w:rPr>
            </w:pPr>
            <w:r>
              <w:rPr>
                <w:spacing w:val="-4"/>
                <w:sz w:val="20"/>
              </w:rPr>
              <w:t>F-</w:t>
            </w:r>
            <w:r>
              <w:rPr>
                <w:spacing w:val="-2"/>
                <w:sz w:val="20"/>
              </w:rPr>
              <w:t>statistic</w:t>
            </w:r>
          </w:p>
        </w:tc>
        <w:tc>
          <w:tcPr>
            <w:tcW w:w="903" w:type="dxa"/>
          </w:tcPr>
          <w:p>
            <w:pPr>
              <w:pStyle w:val="TableParagraph"/>
              <w:rPr>
                <w:sz w:val="16"/>
              </w:rPr>
            </w:pPr>
          </w:p>
        </w:tc>
        <w:tc>
          <w:tcPr>
            <w:tcW w:w="928" w:type="dxa"/>
          </w:tcPr>
          <w:p>
            <w:pPr>
              <w:pStyle w:val="TableParagraph"/>
              <w:spacing w:line="209" w:lineRule="exact"/>
              <w:ind w:right="30"/>
              <w:jc w:val="right"/>
              <w:rPr>
                <w:sz w:val="20"/>
              </w:rPr>
            </w:pPr>
            <w:r>
              <w:rPr>
                <w:spacing w:val="-2"/>
                <w:sz w:val="20"/>
              </w:rPr>
              <w:t>29.72979</w:t>
            </w:r>
          </w:p>
        </w:tc>
      </w:tr>
      <w:tr>
        <w:trPr>
          <w:trHeight w:val="266" w:hRule="atLeast"/>
        </w:trPr>
        <w:tc>
          <w:tcPr>
            <w:tcW w:w="1849" w:type="dxa"/>
            <w:tcBorders>
              <w:bottom w:val="double" w:sz="6" w:space="0" w:color="000000"/>
            </w:tcBorders>
          </w:tcPr>
          <w:p>
            <w:pPr>
              <w:pStyle w:val="TableParagraph"/>
              <w:spacing w:line="224" w:lineRule="exact"/>
              <w:ind w:left="35"/>
              <w:rPr>
                <w:sz w:val="20"/>
              </w:rPr>
            </w:pPr>
            <w:r>
              <w:rPr>
                <w:sz w:val="20"/>
              </w:rPr>
              <w:t>Durbin-Watson</w:t>
            </w:r>
            <w:r>
              <w:rPr>
                <w:spacing w:val="-12"/>
                <w:sz w:val="20"/>
              </w:rPr>
              <w:t> </w:t>
            </w:r>
            <w:r>
              <w:rPr>
                <w:spacing w:val="-4"/>
                <w:sz w:val="20"/>
              </w:rPr>
              <w:t>stat</w:t>
            </w:r>
          </w:p>
        </w:tc>
        <w:tc>
          <w:tcPr>
            <w:tcW w:w="1377" w:type="dxa"/>
          </w:tcPr>
          <w:p>
            <w:pPr>
              <w:pStyle w:val="TableParagraph"/>
              <w:spacing w:line="224" w:lineRule="exact"/>
              <w:ind w:right="130"/>
              <w:jc w:val="right"/>
              <w:rPr>
                <w:sz w:val="20"/>
              </w:rPr>
            </w:pPr>
            <w:r>
              <w:rPr>
                <w:spacing w:val="-2"/>
                <w:sz w:val="20"/>
              </w:rPr>
              <w:t>1.990288</w:t>
            </w:r>
          </w:p>
        </w:tc>
        <w:tc>
          <w:tcPr>
            <w:tcW w:w="1433" w:type="dxa"/>
            <w:tcBorders>
              <w:bottom w:val="double" w:sz="6" w:space="0" w:color="000000"/>
            </w:tcBorders>
          </w:tcPr>
          <w:p>
            <w:pPr>
              <w:pStyle w:val="TableParagraph"/>
              <w:spacing w:line="224" w:lineRule="exact"/>
              <w:ind w:left="130"/>
              <w:rPr>
                <w:sz w:val="20"/>
              </w:rPr>
            </w:pPr>
            <w:r>
              <w:rPr>
                <w:spacing w:val="-2"/>
                <w:sz w:val="20"/>
              </w:rPr>
              <w:t>Prob(F-statistic)</w:t>
            </w:r>
          </w:p>
        </w:tc>
        <w:tc>
          <w:tcPr>
            <w:tcW w:w="903" w:type="dxa"/>
            <w:tcBorders>
              <w:bottom w:val="double" w:sz="6" w:space="0" w:color="000000"/>
            </w:tcBorders>
          </w:tcPr>
          <w:p>
            <w:pPr>
              <w:pStyle w:val="TableParagraph"/>
              <w:rPr>
                <w:sz w:val="18"/>
              </w:rPr>
            </w:pPr>
          </w:p>
        </w:tc>
        <w:tc>
          <w:tcPr>
            <w:tcW w:w="928" w:type="dxa"/>
            <w:tcBorders>
              <w:bottom w:val="double" w:sz="6" w:space="0" w:color="000000"/>
            </w:tcBorders>
          </w:tcPr>
          <w:p>
            <w:pPr>
              <w:pStyle w:val="TableParagraph"/>
              <w:spacing w:line="224" w:lineRule="exact"/>
              <w:ind w:right="30"/>
              <w:jc w:val="right"/>
              <w:rPr>
                <w:sz w:val="20"/>
              </w:rPr>
            </w:pPr>
            <w:r>
              <w:rPr>
                <w:spacing w:val="-2"/>
                <w:sz w:val="20"/>
              </w:rPr>
              <w:t>0.000001</w:t>
            </w:r>
          </w:p>
        </w:tc>
      </w:tr>
    </w:tbl>
    <w:p>
      <w:pPr>
        <w:spacing w:after="0" w:line="224" w:lineRule="exact"/>
        <w:jc w:val="right"/>
        <w:rPr>
          <w:sz w:val="20"/>
        </w:rPr>
        <w:sectPr>
          <w:pgSz w:w="11910" w:h="16840"/>
          <w:pgMar w:header="0" w:footer="982" w:top="1580" w:bottom="1240" w:left="280" w:right="0"/>
        </w:sectPr>
      </w:pPr>
    </w:p>
    <w:p>
      <w:pPr>
        <w:spacing w:before="73"/>
        <w:ind w:left="3373" w:right="0" w:firstLine="0"/>
        <w:jc w:val="left"/>
        <w:rPr>
          <w:b/>
          <w:sz w:val="20"/>
        </w:rPr>
      </w:pPr>
      <w:r>
        <w:rPr>
          <w:b/>
          <w:sz w:val="20"/>
        </w:rPr>
        <w:t>APPENDIX</w:t>
      </w:r>
      <w:r>
        <w:rPr>
          <w:b/>
          <w:spacing w:val="-13"/>
          <w:sz w:val="20"/>
        </w:rPr>
        <w:t> </w:t>
      </w:r>
      <w:r>
        <w:rPr>
          <w:b/>
          <w:spacing w:val="-5"/>
          <w:sz w:val="20"/>
        </w:rPr>
        <w:t>A13</w:t>
      </w:r>
    </w:p>
    <w:p>
      <w:pPr>
        <w:spacing w:before="228"/>
        <w:ind w:left="771" w:right="0" w:firstLine="0"/>
        <w:jc w:val="left"/>
        <w:rPr>
          <w:b/>
          <w:sz w:val="20"/>
        </w:rPr>
      </w:pPr>
      <w:r>
        <w:rPr>
          <w:b/>
          <w:sz w:val="20"/>
        </w:rPr>
        <w:t>RESULT</w:t>
      </w:r>
      <w:r>
        <w:rPr>
          <w:b/>
          <w:spacing w:val="-7"/>
          <w:sz w:val="20"/>
        </w:rPr>
        <w:t> </w:t>
      </w:r>
      <w:r>
        <w:rPr>
          <w:b/>
          <w:sz w:val="20"/>
        </w:rPr>
        <w:t>OF</w:t>
      </w:r>
      <w:r>
        <w:rPr>
          <w:b/>
          <w:spacing w:val="-6"/>
          <w:sz w:val="20"/>
        </w:rPr>
        <w:t> </w:t>
      </w:r>
      <w:r>
        <w:rPr>
          <w:b/>
          <w:sz w:val="20"/>
        </w:rPr>
        <w:t>ANALYSES</w:t>
      </w:r>
      <w:r>
        <w:rPr>
          <w:b/>
          <w:spacing w:val="-7"/>
          <w:sz w:val="20"/>
        </w:rPr>
        <w:t> </w:t>
      </w:r>
      <w:r>
        <w:rPr>
          <w:b/>
          <w:sz w:val="20"/>
        </w:rPr>
        <w:t>FOR</w:t>
      </w:r>
      <w:r>
        <w:rPr>
          <w:b/>
          <w:spacing w:val="-6"/>
          <w:sz w:val="20"/>
        </w:rPr>
        <w:t> </w:t>
      </w:r>
      <w:r>
        <w:rPr>
          <w:b/>
          <w:sz w:val="20"/>
        </w:rPr>
        <w:t>MODEL</w:t>
      </w:r>
      <w:r>
        <w:rPr>
          <w:b/>
          <w:spacing w:val="-7"/>
          <w:sz w:val="20"/>
        </w:rPr>
        <w:t> </w:t>
      </w:r>
      <w:r>
        <w:rPr>
          <w:b/>
          <w:sz w:val="20"/>
        </w:rPr>
        <w:t>6B</w:t>
      </w:r>
      <w:r>
        <w:rPr>
          <w:b/>
          <w:spacing w:val="-5"/>
          <w:sz w:val="20"/>
        </w:rPr>
        <w:t> </w:t>
      </w:r>
      <w:r>
        <w:rPr>
          <w:b/>
          <w:sz w:val="20"/>
        </w:rPr>
        <w:t>(MORGAN</w:t>
      </w:r>
      <w:r>
        <w:rPr>
          <w:b/>
          <w:spacing w:val="-6"/>
          <w:sz w:val="20"/>
        </w:rPr>
        <w:t> </w:t>
      </w:r>
      <w:r>
        <w:rPr>
          <w:b/>
          <w:sz w:val="20"/>
        </w:rPr>
        <w:t>GUARANTY</w:t>
      </w:r>
      <w:r>
        <w:rPr>
          <w:b/>
          <w:spacing w:val="-4"/>
          <w:sz w:val="20"/>
        </w:rPr>
        <w:t> </w:t>
      </w:r>
      <w:r>
        <w:rPr>
          <w:b/>
          <w:sz w:val="20"/>
        </w:rPr>
        <w:t>TRUST</w:t>
      </w:r>
      <w:r>
        <w:rPr>
          <w:b/>
          <w:spacing w:val="-7"/>
          <w:sz w:val="20"/>
        </w:rPr>
        <w:t> </w:t>
      </w:r>
      <w:r>
        <w:rPr>
          <w:b/>
          <w:sz w:val="20"/>
        </w:rPr>
        <w:t>(1986</w:t>
      </w:r>
      <w:r>
        <w:rPr>
          <w:b/>
          <w:spacing w:val="-7"/>
          <w:sz w:val="20"/>
        </w:rPr>
        <w:t> </w:t>
      </w:r>
      <w:r>
        <w:rPr>
          <w:b/>
          <w:sz w:val="20"/>
        </w:rPr>
        <w:t>ES</w:t>
      </w:r>
      <w:r>
        <w:rPr>
          <w:b/>
          <w:spacing w:val="-6"/>
          <w:sz w:val="20"/>
        </w:rPr>
        <w:t> </w:t>
      </w:r>
      <w:r>
        <w:rPr>
          <w:b/>
          <w:spacing w:val="-2"/>
          <w:sz w:val="20"/>
        </w:rPr>
        <w:t>ESTIMATES)</w:t>
      </w:r>
    </w:p>
    <w:p>
      <w:pPr>
        <w:pStyle w:val="BodyText"/>
        <w:spacing w:before="1"/>
        <w:rPr>
          <w:b/>
          <w:sz w:val="20"/>
        </w:rPr>
      </w:pPr>
    </w:p>
    <w:p>
      <w:pPr>
        <w:spacing w:before="0"/>
        <w:ind w:left="771" w:right="0" w:firstLine="0"/>
        <w:jc w:val="left"/>
        <w:rPr>
          <w:sz w:val="20"/>
        </w:rPr>
      </w:pPr>
      <w:r>
        <w:rPr>
          <w:sz w:val="20"/>
        </w:rPr>
        <w:t>EFFECT</w:t>
      </w:r>
      <w:r>
        <w:rPr>
          <w:spacing w:val="-4"/>
          <w:sz w:val="20"/>
        </w:rPr>
        <w:t> </w:t>
      </w:r>
      <w:r>
        <w:rPr>
          <w:sz w:val="20"/>
        </w:rPr>
        <w:t>OF</w:t>
      </w:r>
      <w:r>
        <w:rPr>
          <w:spacing w:val="-7"/>
          <w:sz w:val="20"/>
        </w:rPr>
        <w:t> </w:t>
      </w:r>
      <w:r>
        <w:rPr>
          <w:sz w:val="20"/>
        </w:rPr>
        <w:t>CAPITAL</w:t>
      </w:r>
      <w:r>
        <w:rPr>
          <w:spacing w:val="-8"/>
          <w:sz w:val="20"/>
        </w:rPr>
        <w:t> </w:t>
      </w:r>
      <w:r>
        <w:rPr>
          <w:sz w:val="20"/>
        </w:rPr>
        <w:t>FLIGHT</w:t>
      </w:r>
      <w:r>
        <w:rPr>
          <w:spacing w:val="-4"/>
          <w:sz w:val="20"/>
        </w:rPr>
        <w:t> </w:t>
      </w:r>
      <w:r>
        <w:rPr>
          <w:sz w:val="20"/>
        </w:rPr>
        <w:t>ON</w:t>
      </w:r>
      <w:r>
        <w:rPr>
          <w:spacing w:val="-6"/>
          <w:sz w:val="20"/>
        </w:rPr>
        <w:t> </w:t>
      </w:r>
      <w:r>
        <w:rPr>
          <w:sz w:val="20"/>
        </w:rPr>
        <w:t>ECONOMIC</w:t>
      </w:r>
      <w:r>
        <w:rPr>
          <w:spacing w:val="-7"/>
          <w:sz w:val="20"/>
        </w:rPr>
        <w:t> </w:t>
      </w:r>
      <w:r>
        <w:rPr>
          <w:sz w:val="20"/>
        </w:rPr>
        <w:t>GROWTH</w:t>
      </w:r>
      <w:r>
        <w:rPr>
          <w:spacing w:val="-2"/>
          <w:sz w:val="20"/>
        </w:rPr>
        <w:t> </w:t>
      </w:r>
      <w:r>
        <w:rPr>
          <w:sz w:val="20"/>
        </w:rPr>
        <w:t>IN</w:t>
      </w:r>
      <w:r>
        <w:rPr>
          <w:spacing w:val="-8"/>
          <w:sz w:val="20"/>
        </w:rPr>
        <w:t> </w:t>
      </w:r>
      <w:r>
        <w:rPr>
          <w:sz w:val="20"/>
        </w:rPr>
        <w:t>THE</w:t>
      </w:r>
      <w:r>
        <w:rPr>
          <w:spacing w:val="-8"/>
          <w:sz w:val="20"/>
        </w:rPr>
        <w:t> </w:t>
      </w:r>
      <w:r>
        <w:rPr>
          <w:sz w:val="20"/>
        </w:rPr>
        <w:t>POST-SAP</w:t>
      </w:r>
      <w:r>
        <w:rPr>
          <w:spacing w:val="-4"/>
          <w:sz w:val="20"/>
        </w:rPr>
        <w:t> </w:t>
      </w:r>
      <w:r>
        <w:rPr>
          <w:spacing w:val="-5"/>
          <w:sz w:val="20"/>
        </w:rPr>
        <w:t>ERA</w:t>
      </w:r>
    </w:p>
    <w:p>
      <w:pPr>
        <w:pStyle w:val="BodyText"/>
        <w:rPr>
          <w:sz w:val="20"/>
        </w:rPr>
      </w:pPr>
    </w:p>
    <w:p>
      <w:pPr>
        <w:spacing w:before="0"/>
        <w:ind w:left="711" w:right="0" w:firstLine="0"/>
        <w:jc w:val="left"/>
        <w:rPr>
          <w:sz w:val="18"/>
        </w:rPr>
      </w:pPr>
      <w:r>
        <w:rPr/>
        <mc:AlternateContent>
          <mc:Choice Requires="wps">
            <w:drawing>
              <wp:anchor distT="0" distB="0" distL="0" distR="0" allowOverlap="1" layoutInCell="1" locked="0" behindDoc="0" simplePos="0" relativeHeight="15762432">
                <wp:simplePos x="0" y="0"/>
                <wp:positionH relativeFrom="page">
                  <wp:posOffset>606551</wp:posOffset>
                </wp:positionH>
                <wp:positionV relativeFrom="paragraph">
                  <wp:posOffset>131633</wp:posOffset>
                </wp:positionV>
                <wp:extent cx="4196715" cy="2571114"/>
                <wp:effectExtent l="0" t="0" r="0" b="0"/>
                <wp:wrapNone/>
                <wp:docPr id="314" name="Textbox 314"/>
                <wp:cNvGraphicFramePr>
                  <a:graphicFrameLocks/>
                </wp:cNvGraphicFramePr>
                <a:graphic>
                  <a:graphicData uri="http://schemas.microsoft.com/office/word/2010/wordprocessingShape">
                    <wps:wsp>
                      <wps:cNvPr id="314" name="Textbox 314"/>
                      <wps:cNvSpPr txBox="1"/>
                      <wps:spPr>
                        <a:xfrm>
                          <a:off x="0" y="0"/>
                          <a:ext cx="4196715" cy="2571114"/>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78"/>
                              <w:gridCol w:w="1335"/>
                              <w:gridCol w:w="1607"/>
                              <w:gridCol w:w="904"/>
                              <w:gridCol w:w="768"/>
                            </w:tblGrid>
                            <w:tr>
                              <w:trPr>
                                <w:trHeight w:val="202" w:hRule="atLeast"/>
                              </w:trPr>
                              <w:tc>
                                <w:tcPr>
                                  <w:tcW w:w="6492" w:type="dxa"/>
                                  <w:gridSpan w:val="5"/>
                                </w:tcPr>
                                <w:p>
                                  <w:pPr>
                                    <w:pStyle w:val="TableParagraph"/>
                                    <w:spacing w:line="183" w:lineRule="exact"/>
                                    <w:ind w:left="36"/>
                                    <w:rPr>
                                      <w:sz w:val="18"/>
                                    </w:rPr>
                                  </w:pPr>
                                  <w:r>
                                    <w:rPr>
                                      <w:sz w:val="18"/>
                                    </w:rPr>
                                    <w:t>Dependent</w:t>
                                  </w:r>
                                  <w:r>
                                    <w:rPr>
                                      <w:spacing w:val="-2"/>
                                      <w:sz w:val="18"/>
                                    </w:rPr>
                                    <w:t> </w:t>
                                  </w:r>
                                  <w:r>
                                    <w:rPr>
                                      <w:sz w:val="18"/>
                                    </w:rPr>
                                    <w:t>Variable:</w:t>
                                  </w:r>
                                  <w:r>
                                    <w:rPr>
                                      <w:spacing w:val="-2"/>
                                      <w:sz w:val="18"/>
                                    </w:rPr>
                                    <w:t> </w:t>
                                  </w:r>
                                  <w:r>
                                    <w:rPr>
                                      <w:spacing w:val="-5"/>
                                      <w:sz w:val="18"/>
                                    </w:rPr>
                                    <w:t>GDP</w:t>
                                  </w:r>
                                </w:p>
                              </w:tc>
                            </w:tr>
                            <w:tr>
                              <w:trPr>
                                <w:trHeight w:val="207" w:hRule="atLeast"/>
                              </w:trPr>
                              <w:tc>
                                <w:tcPr>
                                  <w:tcW w:w="1878" w:type="dxa"/>
                                </w:tcPr>
                                <w:p>
                                  <w:pPr>
                                    <w:pStyle w:val="TableParagraph"/>
                                    <w:spacing w:line="188" w:lineRule="exact"/>
                                    <w:ind w:left="36"/>
                                    <w:rPr>
                                      <w:sz w:val="18"/>
                                    </w:rPr>
                                  </w:pPr>
                                  <w:r>
                                    <w:rPr>
                                      <w:sz w:val="18"/>
                                    </w:rPr>
                                    <w:t>Method:</w:t>
                                  </w:r>
                                  <w:r>
                                    <w:rPr>
                                      <w:spacing w:val="-3"/>
                                      <w:sz w:val="18"/>
                                    </w:rPr>
                                    <w:t> </w:t>
                                  </w:r>
                                  <w:r>
                                    <w:rPr>
                                      <w:sz w:val="18"/>
                                    </w:rPr>
                                    <w:t>Least</w:t>
                                  </w:r>
                                  <w:r>
                                    <w:rPr>
                                      <w:spacing w:val="-2"/>
                                      <w:sz w:val="18"/>
                                    </w:rPr>
                                    <w:t> Squares</w:t>
                                  </w:r>
                                </w:p>
                              </w:tc>
                              <w:tc>
                                <w:tcPr>
                                  <w:tcW w:w="1335" w:type="dxa"/>
                                </w:tcPr>
                                <w:p>
                                  <w:pPr>
                                    <w:pStyle w:val="TableParagraph"/>
                                    <w:rPr>
                                      <w:sz w:val="14"/>
                                    </w:rPr>
                                  </w:pPr>
                                </w:p>
                              </w:tc>
                              <w:tc>
                                <w:tcPr>
                                  <w:tcW w:w="1607" w:type="dxa"/>
                                </w:tcPr>
                                <w:p>
                                  <w:pPr>
                                    <w:pStyle w:val="TableParagraph"/>
                                    <w:rPr>
                                      <w:sz w:val="14"/>
                                    </w:rPr>
                                  </w:pPr>
                                </w:p>
                              </w:tc>
                              <w:tc>
                                <w:tcPr>
                                  <w:tcW w:w="904" w:type="dxa"/>
                                </w:tcPr>
                                <w:p>
                                  <w:pPr>
                                    <w:pStyle w:val="TableParagraph"/>
                                    <w:rPr>
                                      <w:sz w:val="14"/>
                                    </w:rPr>
                                  </w:pPr>
                                </w:p>
                              </w:tc>
                              <w:tc>
                                <w:tcPr>
                                  <w:tcW w:w="768" w:type="dxa"/>
                                </w:tcPr>
                                <w:p>
                                  <w:pPr>
                                    <w:pStyle w:val="TableParagraph"/>
                                    <w:rPr>
                                      <w:sz w:val="14"/>
                                    </w:rPr>
                                  </w:pPr>
                                </w:p>
                              </w:tc>
                            </w:tr>
                            <w:tr>
                              <w:trPr>
                                <w:trHeight w:val="207" w:hRule="atLeast"/>
                              </w:trPr>
                              <w:tc>
                                <w:tcPr>
                                  <w:tcW w:w="6492" w:type="dxa"/>
                                  <w:gridSpan w:val="5"/>
                                </w:tcPr>
                                <w:p>
                                  <w:pPr>
                                    <w:pStyle w:val="TableParagraph"/>
                                    <w:spacing w:line="188" w:lineRule="exact"/>
                                    <w:ind w:left="36"/>
                                    <w:rPr>
                                      <w:sz w:val="18"/>
                                    </w:rPr>
                                  </w:pPr>
                                  <w:r>
                                    <w:rPr>
                                      <w:sz w:val="18"/>
                                    </w:rPr>
                                    <w:t>Date:</w:t>
                                  </w:r>
                                  <w:r>
                                    <w:rPr>
                                      <w:spacing w:val="-2"/>
                                      <w:sz w:val="18"/>
                                    </w:rPr>
                                    <w:t> </w:t>
                                  </w:r>
                                  <w:r>
                                    <w:rPr>
                                      <w:sz w:val="18"/>
                                    </w:rPr>
                                    <w:t>02/17/14</w:t>
                                  </w:r>
                                  <w:r>
                                    <w:rPr>
                                      <w:spacing w:val="63"/>
                                      <w:w w:val="150"/>
                                      <w:sz w:val="18"/>
                                    </w:rPr>
                                    <w:t> </w:t>
                                  </w:r>
                                  <w:r>
                                    <w:rPr>
                                      <w:sz w:val="18"/>
                                    </w:rPr>
                                    <w:t>Time:</w:t>
                                  </w:r>
                                  <w:r>
                                    <w:rPr>
                                      <w:spacing w:val="-1"/>
                                      <w:sz w:val="18"/>
                                    </w:rPr>
                                    <w:t> </w:t>
                                  </w:r>
                                  <w:r>
                                    <w:rPr>
                                      <w:spacing w:val="-4"/>
                                      <w:sz w:val="18"/>
                                    </w:rPr>
                                    <w:t>18:03</w:t>
                                  </w:r>
                                </w:p>
                              </w:tc>
                            </w:tr>
                            <w:tr>
                              <w:trPr>
                                <w:trHeight w:val="206" w:hRule="atLeast"/>
                              </w:trPr>
                              <w:tc>
                                <w:tcPr>
                                  <w:tcW w:w="1878" w:type="dxa"/>
                                </w:tcPr>
                                <w:p>
                                  <w:pPr>
                                    <w:pStyle w:val="TableParagraph"/>
                                    <w:spacing w:line="186" w:lineRule="exact"/>
                                    <w:ind w:left="36"/>
                                    <w:rPr>
                                      <w:sz w:val="18"/>
                                    </w:rPr>
                                  </w:pPr>
                                  <w:r>
                                    <w:rPr>
                                      <w:sz w:val="18"/>
                                    </w:rPr>
                                    <w:t>Sample:</w:t>
                                  </w:r>
                                  <w:r>
                                    <w:rPr>
                                      <w:spacing w:val="-3"/>
                                      <w:sz w:val="18"/>
                                    </w:rPr>
                                    <w:t> </w:t>
                                  </w:r>
                                  <w:r>
                                    <w:rPr>
                                      <w:sz w:val="18"/>
                                    </w:rPr>
                                    <w:t>1987 </w:t>
                                  </w:r>
                                  <w:r>
                                    <w:rPr>
                                      <w:spacing w:val="-4"/>
                                      <w:sz w:val="18"/>
                                    </w:rPr>
                                    <w:t>2011</w:t>
                                  </w:r>
                                </w:p>
                              </w:tc>
                              <w:tc>
                                <w:tcPr>
                                  <w:tcW w:w="1335" w:type="dxa"/>
                                </w:tcPr>
                                <w:p>
                                  <w:pPr>
                                    <w:pStyle w:val="TableParagraph"/>
                                    <w:rPr>
                                      <w:sz w:val="14"/>
                                    </w:rPr>
                                  </w:pPr>
                                </w:p>
                              </w:tc>
                              <w:tc>
                                <w:tcPr>
                                  <w:tcW w:w="1607" w:type="dxa"/>
                                </w:tcPr>
                                <w:p>
                                  <w:pPr>
                                    <w:pStyle w:val="TableParagraph"/>
                                    <w:rPr>
                                      <w:sz w:val="14"/>
                                    </w:rPr>
                                  </w:pPr>
                                </w:p>
                              </w:tc>
                              <w:tc>
                                <w:tcPr>
                                  <w:tcW w:w="904" w:type="dxa"/>
                                </w:tcPr>
                                <w:p>
                                  <w:pPr>
                                    <w:pStyle w:val="TableParagraph"/>
                                    <w:rPr>
                                      <w:sz w:val="14"/>
                                    </w:rPr>
                                  </w:pPr>
                                </w:p>
                              </w:tc>
                              <w:tc>
                                <w:tcPr>
                                  <w:tcW w:w="768" w:type="dxa"/>
                                </w:tcPr>
                                <w:p>
                                  <w:pPr>
                                    <w:pStyle w:val="TableParagraph"/>
                                    <w:rPr>
                                      <w:sz w:val="14"/>
                                    </w:rPr>
                                  </w:pPr>
                                </w:p>
                              </w:tc>
                            </w:tr>
                            <w:tr>
                              <w:trPr>
                                <w:trHeight w:val="201" w:hRule="atLeast"/>
                              </w:trPr>
                              <w:tc>
                                <w:tcPr>
                                  <w:tcW w:w="6492" w:type="dxa"/>
                                  <w:gridSpan w:val="5"/>
                                  <w:tcBorders>
                                    <w:bottom w:val="double" w:sz="6" w:space="0" w:color="000000"/>
                                  </w:tcBorders>
                                </w:tcPr>
                                <w:p>
                                  <w:pPr>
                                    <w:pStyle w:val="TableParagraph"/>
                                    <w:spacing w:line="181" w:lineRule="exact"/>
                                    <w:ind w:left="36"/>
                                    <w:rPr>
                                      <w:sz w:val="18"/>
                                    </w:rPr>
                                  </w:pPr>
                                  <w:r>
                                    <w:rPr>
                                      <w:sz w:val="18"/>
                                    </w:rPr>
                                    <w:t>Included</w:t>
                                  </w:r>
                                  <w:r>
                                    <w:rPr>
                                      <w:spacing w:val="-3"/>
                                      <w:sz w:val="18"/>
                                    </w:rPr>
                                    <w:t> </w:t>
                                  </w:r>
                                  <w:r>
                                    <w:rPr>
                                      <w:sz w:val="18"/>
                                    </w:rPr>
                                    <w:t>observations:</w:t>
                                  </w:r>
                                  <w:r>
                                    <w:rPr>
                                      <w:spacing w:val="-4"/>
                                      <w:sz w:val="18"/>
                                    </w:rPr>
                                    <w:t> </w:t>
                                  </w:r>
                                  <w:r>
                                    <w:rPr>
                                      <w:spacing w:val="-5"/>
                                      <w:sz w:val="18"/>
                                    </w:rPr>
                                    <w:t>25</w:t>
                                  </w:r>
                                </w:p>
                              </w:tc>
                            </w:tr>
                            <w:tr>
                              <w:trPr>
                                <w:trHeight w:val="247" w:hRule="atLeast"/>
                              </w:trPr>
                              <w:tc>
                                <w:tcPr>
                                  <w:tcW w:w="1878" w:type="dxa"/>
                                  <w:tcBorders>
                                    <w:top w:val="double" w:sz="6" w:space="0" w:color="000000"/>
                                    <w:bottom w:val="double" w:sz="6" w:space="0" w:color="000000"/>
                                  </w:tcBorders>
                                </w:tcPr>
                                <w:p>
                                  <w:pPr>
                                    <w:pStyle w:val="TableParagraph"/>
                                    <w:spacing w:line="186" w:lineRule="exact" w:before="42"/>
                                    <w:ind w:left="713"/>
                                    <w:rPr>
                                      <w:sz w:val="18"/>
                                    </w:rPr>
                                  </w:pPr>
                                  <w:r>
                                    <w:rPr>
                                      <w:spacing w:val="-2"/>
                                      <w:sz w:val="18"/>
                                    </w:rPr>
                                    <w:t>Variable</w:t>
                                  </w:r>
                                </w:p>
                              </w:tc>
                              <w:tc>
                                <w:tcPr>
                                  <w:tcW w:w="1335" w:type="dxa"/>
                                  <w:tcBorders>
                                    <w:top w:val="double" w:sz="6" w:space="0" w:color="000000"/>
                                    <w:bottom w:val="double" w:sz="6" w:space="0" w:color="000000"/>
                                  </w:tcBorders>
                                </w:tcPr>
                                <w:p>
                                  <w:pPr>
                                    <w:pStyle w:val="TableParagraph"/>
                                    <w:spacing w:line="186" w:lineRule="exact" w:before="42"/>
                                    <w:ind w:right="120"/>
                                    <w:jc w:val="right"/>
                                    <w:rPr>
                                      <w:sz w:val="18"/>
                                    </w:rPr>
                                  </w:pPr>
                                  <w:r>
                                    <w:rPr>
                                      <w:spacing w:val="-2"/>
                                      <w:sz w:val="18"/>
                                    </w:rPr>
                                    <w:t>Coefficient</w:t>
                                  </w:r>
                                </w:p>
                              </w:tc>
                              <w:tc>
                                <w:tcPr>
                                  <w:tcW w:w="1607" w:type="dxa"/>
                                  <w:tcBorders>
                                    <w:top w:val="double" w:sz="6" w:space="0" w:color="000000"/>
                                    <w:bottom w:val="double" w:sz="6" w:space="0" w:color="000000"/>
                                  </w:tcBorders>
                                </w:tcPr>
                                <w:p>
                                  <w:pPr>
                                    <w:pStyle w:val="TableParagraph"/>
                                    <w:spacing w:line="186" w:lineRule="exact" w:before="42"/>
                                    <w:ind w:left="361"/>
                                    <w:rPr>
                                      <w:sz w:val="18"/>
                                    </w:rPr>
                                  </w:pPr>
                                  <w:r>
                                    <w:rPr>
                                      <w:sz w:val="18"/>
                                    </w:rPr>
                                    <w:t>Std.</w:t>
                                  </w:r>
                                  <w:r>
                                    <w:rPr>
                                      <w:spacing w:val="-1"/>
                                      <w:sz w:val="18"/>
                                    </w:rPr>
                                    <w:t> </w:t>
                                  </w:r>
                                  <w:r>
                                    <w:rPr>
                                      <w:spacing w:val="-4"/>
                                      <w:sz w:val="18"/>
                                    </w:rPr>
                                    <w:t>Error</w:t>
                                  </w:r>
                                </w:p>
                              </w:tc>
                              <w:tc>
                                <w:tcPr>
                                  <w:tcW w:w="904" w:type="dxa"/>
                                  <w:tcBorders>
                                    <w:top w:val="double" w:sz="6" w:space="0" w:color="000000"/>
                                    <w:bottom w:val="double" w:sz="6" w:space="0" w:color="000000"/>
                                  </w:tcBorders>
                                </w:tcPr>
                                <w:p>
                                  <w:pPr>
                                    <w:pStyle w:val="TableParagraph"/>
                                    <w:spacing w:line="186" w:lineRule="exact" w:before="42"/>
                                    <w:ind w:left="19"/>
                                    <w:rPr>
                                      <w:sz w:val="18"/>
                                    </w:rPr>
                                  </w:pPr>
                                  <w:r>
                                    <w:rPr>
                                      <w:sz w:val="18"/>
                                    </w:rPr>
                                    <w:t>-</w:t>
                                  </w:r>
                                  <w:r>
                                    <w:rPr>
                                      <w:spacing w:val="-2"/>
                                      <w:sz w:val="18"/>
                                    </w:rPr>
                                    <w:t>Statistic</w:t>
                                  </w:r>
                                </w:p>
                              </w:tc>
                              <w:tc>
                                <w:tcPr>
                                  <w:tcW w:w="768" w:type="dxa"/>
                                  <w:tcBorders>
                                    <w:top w:val="double" w:sz="6" w:space="0" w:color="000000"/>
                                    <w:bottom w:val="double" w:sz="6" w:space="0" w:color="000000"/>
                                  </w:tcBorders>
                                </w:tcPr>
                                <w:p>
                                  <w:pPr>
                                    <w:pStyle w:val="TableParagraph"/>
                                    <w:spacing w:line="186" w:lineRule="exact" w:before="42"/>
                                    <w:ind w:right="33"/>
                                    <w:jc w:val="right"/>
                                    <w:rPr>
                                      <w:sz w:val="18"/>
                                    </w:rPr>
                                  </w:pPr>
                                  <w:r>
                                    <w:rPr>
                                      <w:spacing w:val="-2"/>
                                      <w:sz w:val="18"/>
                                    </w:rPr>
                                    <w:t>Prob.</w:t>
                                  </w:r>
                                </w:p>
                              </w:tc>
                            </w:tr>
                            <w:tr>
                              <w:trPr>
                                <w:trHeight w:val="251" w:hRule="atLeast"/>
                              </w:trPr>
                              <w:tc>
                                <w:tcPr>
                                  <w:tcW w:w="1878" w:type="dxa"/>
                                  <w:tcBorders>
                                    <w:top w:val="double" w:sz="6" w:space="0" w:color="000000"/>
                                  </w:tcBorders>
                                </w:tcPr>
                                <w:p>
                                  <w:pPr>
                                    <w:pStyle w:val="TableParagraph"/>
                                    <w:spacing w:line="192" w:lineRule="exact" w:before="40"/>
                                    <w:ind w:left="167"/>
                                    <w:jc w:val="center"/>
                                    <w:rPr>
                                      <w:sz w:val="18"/>
                                    </w:rPr>
                                  </w:pPr>
                                  <w:r>
                                    <w:rPr>
                                      <w:spacing w:val="-10"/>
                                      <w:sz w:val="18"/>
                                    </w:rPr>
                                    <w:t>C</w:t>
                                  </w:r>
                                </w:p>
                              </w:tc>
                              <w:tc>
                                <w:tcPr>
                                  <w:tcW w:w="1335" w:type="dxa"/>
                                  <w:tcBorders>
                                    <w:top w:val="double" w:sz="6" w:space="0" w:color="000000"/>
                                  </w:tcBorders>
                                </w:tcPr>
                                <w:p>
                                  <w:pPr>
                                    <w:pStyle w:val="TableParagraph"/>
                                    <w:spacing w:line="192" w:lineRule="exact" w:before="40"/>
                                    <w:ind w:right="118"/>
                                    <w:jc w:val="right"/>
                                    <w:rPr>
                                      <w:sz w:val="18"/>
                                    </w:rPr>
                                  </w:pPr>
                                  <w:r>
                                    <w:rPr>
                                      <w:spacing w:val="-2"/>
                                      <w:sz w:val="18"/>
                                    </w:rPr>
                                    <w:t>3.896223</w:t>
                                  </w:r>
                                </w:p>
                              </w:tc>
                              <w:tc>
                                <w:tcPr>
                                  <w:tcW w:w="1607" w:type="dxa"/>
                                  <w:tcBorders>
                                    <w:top w:val="double" w:sz="6" w:space="0" w:color="000000"/>
                                  </w:tcBorders>
                                </w:tcPr>
                                <w:p>
                                  <w:pPr>
                                    <w:pStyle w:val="TableParagraph"/>
                                    <w:spacing w:line="192" w:lineRule="exact" w:before="40"/>
                                    <w:ind w:left="397"/>
                                    <w:rPr>
                                      <w:sz w:val="18"/>
                                    </w:rPr>
                                  </w:pPr>
                                  <w:r>
                                    <w:rPr>
                                      <w:spacing w:val="-2"/>
                                      <w:sz w:val="18"/>
                                    </w:rPr>
                                    <w:t>0.761416</w:t>
                                  </w:r>
                                </w:p>
                              </w:tc>
                              <w:tc>
                                <w:tcPr>
                                  <w:tcW w:w="904" w:type="dxa"/>
                                  <w:tcBorders>
                                    <w:top w:val="double" w:sz="6" w:space="0" w:color="000000"/>
                                  </w:tcBorders>
                                </w:tcPr>
                                <w:p>
                                  <w:pPr>
                                    <w:pStyle w:val="TableParagraph"/>
                                    <w:spacing w:line="192" w:lineRule="exact" w:before="40"/>
                                    <w:ind w:left="-17"/>
                                    <w:rPr>
                                      <w:sz w:val="18"/>
                                    </w:rPr>
                                  </w:pPr>
                                  <w:r>
                                    <w:rPr>
                                      <w:spacing w:val="-2"/>
                                      <w:sz w:val="18"/>
                                    </w:rPr>
                                    <w:t>5.117079</w:t>
                                  </w:r>
                                </w:p>
                              </w:tc>
                              <w:tc>
                                <w:tcPr>
                                  <w:tcW w:w="768" w:type="dxa"/>
                                  <w:tcBorders>
                                    <w:top w:val="double" w:sz="6" w:space="0" w:color="000000"/>
                                  </w:tcBorders>
                                </w:tcPr>
                                <w:p>
                                  <w:pPr>
                                    <w:pStyle w:val="TableParagraph"/>
                                    <w:spacing w:line="192" w:lineRule="exact" w:before="40"/>
                                    <w:ind w:right="33"/>
                                    <w:jc w:val="right"/>
                                    <w:rPr>
                                      <w:sz w:val="18"/>
                                    </w:rPr>
                                  </w:pPr>
                                  <w:r>
                                    <w:rPr>
                                      <w:spacing w:val="-2"/>
                                      <w:sz w:val="18"/>
                                    </w:rPr>
                                    <w:t>0.0001</w:t>
                                  </w:r>
                                </w:p>
                              </w:tc>
                            </w:tr>
                            <w:tr>
                              <w:trPr>
                                <w:trHeight w:val="207" w:hRule="atLeast"/>
                              </w:trPr>
                              <w:tc>
                                <w:tcPr>
                                  <w:tcW w:w="1878" w:type="dxa"/>
                                </w:tcPr>
                                <w:p>
                                  <w:pPr>
                                    <w:pStyle w:val="TableParagraph"/>
                                    <w:spacing w:line="188" w:lineRule="exact"/>
                                    <w:ind w:left="612"/>
                                    <w:rPr>
                                      <w:sz w:val="18"/>
                                    </w:rPr>
                                  </w:pPr>
                                  <w:r>
                                    <w:rPr>
                                      <w:spacing w:val="-2"/>
                                      <w:sz w:val="18"/>
                                    </w:rPr>
                                    <w:t>EXTDEBT</w:t>
                                  </w:r>
                                </w:p>
                              </w:tc>
                              <w:tc>
                                <w:tcPr>
                                  <w:tcW w:w="1335" w:type="dxa"/>
                                </w:tcPr>
                                <w:p>
                                  <w:pPr>
                                    <w:pStyle w:val="TableParagraph"/>
                                    <w:spacing w:line="188" w:lineRule="exact"/>
                                    <w:ind w:right="118"/>
                                    <w:jc w:val="right"/>
                                    <w:rPr>
                                      <w:sz w:val="18"/>
                                    </w:rPr>
                                  </w:pPr>
                                  <w:r>
                                    <w:rPr>
                                      <w:spacing w:val="-2"/>
                                      <w:sz w:val="18"/>
                                    </w:rPr>
                                    <w:t>0.026396</w:t>
                                  </w:r>
                                </w:p>
                              </w:tc>
                              <w:tc>
                                <w:tcPr>
                                  <w:tcW w:w="1607" w:type="dxa"/>
                                </w:tcPr>
                                <w:p>
                                  <w:pPr>
                                    <w:pStyle w:val="TableParagraph"/>
                                    <w:spacing w:line="188" w:lineRule="exact"/>
                                    <w:ind w:left="397"/>
                                    <w:rPr>
                                      <w:sz w:val="18"/>
                                    </w:rPr>
                                  </w:pPr>
                                  <w:r>
                                    <w:rPr>
                                      <w:spacing w:val="-2"/>
                                      <w:sz w:val="18"/>
                                    </w:rPr>
                                    <w:t>0.058949</w:t>
                                  </w:r>
                                </w:p>
                              </w:tc>
                              <w:tc>
                                <w:tcPr>
                                  <w:tcW w:w="904" w:type="dxa"/>
                                </w:tcPr>
                                <w:p>
                                  <w:pPr>
                                    <w:pStyle w:val="TableParagraph"/>
                                    <w:spacing w:line="188" w:lineRule="exact"/>
                                    <w:ind w:left="-17"/>
                                    <w:rPr>
                                      <w:sz w:val="18"/>
                                    </w:rPr>
                                  </w:pPr>
                                  <w:r>
                                    <w:rPr>
                                      <w:spacing w:val="-2"/>
                                      <w:sz w:val="18"/>
                                    </w:rPr>
                                    <w:t>0.447786</w:t>
                                  </w:r>
                                </w:p>
                              </w:tc>
                              <w:tc>
                                <w:tcPr>
                                  <w:tcW w:w="768" w:type="dxa"/>
                                </w:tcPr>
                                <w:p>
                                  <w:pPr>
                                    <w:pStyle w:val="TableParagraph"/>
                                    <w:spacing w:line="188" w:lineRule="exact"/>
                                    <w:ind w:right="33"/>
                                    <w:jc w:val="right"/>
                                    <w:rPr>
                                      <w:sz w:val="18"/>
                                    </w:rPr>
                                  </w:pPr>
                                  <w:r>
                                    <w:rPr>
                                      <w:spacing w:val="-2"/>
                                      <w:sz w:val="18"/>
                                    </w:rPr>
                                    <w:t>0.6594</w:t>
                                  </w:r>
                                </w:p>
                              </w:tc>
                            </w:tr>
                            <w:tr>
                              <w:trPr>
                                <w:trHeight w:val="206" w:hRule="atLeast"/>
                              </w:trPr>
                              <w:tc>
                                <w:tcPr>
                                  <w:tcW w:w="1878" w:type="dxa"/>
                                </w:tcPr>
                                <w:p>
                                  <w:pPr>
                                    <w:pStyle w:val="TableParagraph"/>
                                    <w:spacing w:line="187" w:lineRule="exact"/>
                                    <w:ind w:left="167" w:right="3"/>
                                    <w:jc w:val="center"/>
                                    <w:rPr>
                                      <w:sz w:val="18"/>
                                    </w:rPr>
                                  </w:pPr>
                                  <w:r>
                                    <w:rPr>
                                      <w:spacing w:val="-5"/>
                                      <w:sz w:val="18"/>
                                    </w:rPr>
                                    <w:t>DFI</w:t>
                                  </w:r>
                                </w:p>
                              </w:tc>
                              <w:tc>
                                <w:tcPr>
                                  <w:tcW w:w="1335" w:type="dxa"/>
                                </w:tcPr>
                                <w:p>
                                  <w:pPr>
                                    <w:pStyle w:val="TableParagraph"/>
                                    <w:spacing w:line="187" w:lineRule="exact"/>
                                    <w:ind w:right="118"/>
                                    <w:jc w:val="right"/>
                                    <w:rPr>
                                      <w:sz w:val="18"/>
                                    </w:rPr>
                                  </w:pPr>
                                  <w:r>
                                    <w:rPr>
                                      <w:spacing w:val="-2"/>
                                      <w:sz w:val="18"/>
                                    </w:rPr>
                                    <w:t>0.456492</w:t>
                                  </w:r>
                                </w:p>
                              </w:tc>
                              <w:tc>
                                <w:tcPr>
                                  <w:tcW w:w="1607" w:type="dxa"/>
                                </w:tcPr>
                                <w:p>
                                  <w:pPr>
                                    <w:pStyle w:val="TableParagraph"/>
                                    <w:spacing w:line="187" w:lineRule="exact"/>
                                    <w:ind w:left="397"/>
                                    <w:rPr>
                                      <w:sz w:val="18"/>
                                    </w:rPr>
                                  </w:pPr>
                                  <w:r>
                                    <w:rPr>
                                      <w:spacing w:val="-2"/>
                                      <w:sz w:val="18"/>
                                    </w:rPr>
                                    <w:t>0.074723</w:t>
                                  </w:r>
                                </w:p>
                              </w:tc>
                              <w:tc>
                                <w:tcPr>
                                  <w:tcW w:w="904" w:type="dxa"/>
                                </w:tcPr>
                                <w:p>
                                  <w:pPr>
                                    <w:pStyle w:val="TableParagraph"/>
                                    <w:spacing w:line="187" w:lineRule="exact"/>
                                    <w:ind w:left="-17"/>
                                    <w:rPr>
                                      <w:sz w:val="18"/>
                                    </w:rPr>
                                  </w:pPr>
                                  <w:r>
                                    <w:rPr>
                                      <w:spacing w:val="-2"/>
                                      <w:sz w:val="18"/>
                                    </w:rPr>
                                    <w:t>6.109136</w:t>
                                  </w:r>
                                </w:p>
                              </w:tc>
                              <w:tc>
                                <w:tcPr>
                                  <w:tcW w:w="768" w:type="dxa"/>
                                </w:tcPr>
                                <w:p>
                                  <w:pPr>
                                    <w:pStyle w:val="TableParagraph"/>
                                    <w:spacing w:line="187" w:lineRule="exact"/>
                                    <w:ind w:right="33"/>
                                    <w:jc w:val="right"/>
                                    <w:rPr>
                                      <w:sz w:val="18"/>
                                    </w:rPr>
                                  </w:pPr>
                                  <w:r>
                                    <w:rPr>
                                      <w:spacing w:val="-2"/>
                                      <w:sz w:val="18"/>
                                    </w:rPr>
                                    <w:t>0.0000</w:t>
                                  </w:r>
                                </w:p>
                              </w:tc>
                            </w:tr>
                            <w:tr>
                              <w:trPr>
                                <w:trHeight w:val="206" w:hRule="atLeast"/>
                              </w:trPr>
                              <w:tc>
                                <w:tcPr>
                                  <w:tcW w:w="1878" w:type="dxa"/>
                                </w:tcPr>
                                <w:p>
                                  <w:pPr>
                                    <w:pStyle w:val="TableParagraph"/>
                                    <w:spacing w:line="186" w:lineRule="exact"/>
                                    <w:ind w:left="167" w:right="2"/>
                                    <w:jc w:val="center"/>
                                    <w:rPr>
                                      <w:sz w:val="18"/>
                                    </w:rPr>
                                  </w:pPr>
                                  <w:r>
                                    <w:rPr>
                                      <w:spacing w:val="-5"/>
                                      <w:sz w:val="18"/>
                                    </w:rPr>
                                    <w:t>CAB</w:t>
                                  </w:r>
                                </w:p>
                              </w:tc>
                              <w:tc>
                                <w:tcPr>
                                  <w:tcW w:w="1335" w:type="dxa"/>
                                </w:tcPr>
                                <w:p>
                                  <w:pPr>
                                    <w:pStyle w:val="TableParagraph"/>
                                    <w:spacing w:line="186" w:lineRule="exact"/>
                                    <w:ind w:right="118"/>
                                    <w:jc w:val="right"/>
                                    <w:rPr>
                                      <w:sz w:val="18"/>
                                    </w:rPr>
                                  </w:pPr>
                                  <w:r>
                                    <w:rPr>
                                      <w:spacing w:val="-2"/>
                                      <w:sz w:val="18"/>
                                    </w:rPr>
                                    <w:t>0.290508</w:t>
                                  </w:r>
                                </w:p>
                              </w:tc>
                              <w:tc>
                                <w:tcPr>
                                  <w:tcW w:w="1607" w:type="dxa"/>
                                </w:tcPr>
                                <w:p>
                                  <w:pPr>
                                    <w:pStyle w:val="TableParagraph"/>
                                    <w:spacing w:line="186" w:lineRule="exact"/>
                                    <w:ind w:left="397"/>
                                    <w:rPr>
                                      <w:sz w:val="18"/>
                                    </w:rPr>
                                  </w:pPr>
                                  <w:r>
                                    <w:rPr>
                                      <w:spacing w:val="-2"/>
                                      <w:sz w:val="18"/>
                                    </w:rPr>
                                    <w:t>0.080882</w:t>
                                  </w:r>
                                </w:p>
                              </w:tc>
                              <w:tc>
                                <w:tcPr>
                                  <w:tcW w:w="904" w:type="dxa"/>
                                </w:tcPr>
                                <w:p>
                                  <w:pPr>
                                    <w:pStyle w:val="TableParagraph"/>
                                    <w:spacing w:line="186" w:lineRule="exact"/>
                                    <w:ind w:left="-17"/>
                                    <w:rPr>
                                      <w:sz w:val="18"/>
                                    </w:rPr>
                                  </w:pPr>
                                  <w:r>
                                    <w:rPr>
                                      <w:spacing w:val="-2"/>
                                      <w:sz w:val="18"/>
                                    </w:rPr>
                                    <w:t>3.591736</w:t>
                                  </w:r>
                                </w:p>
                              </w:tc>
                              <w:tc>
                                <w:tcPr>
                                  <w:tcW w:w="768" w:type="dxa"/>
                                </w:tcPr>
                                <w:p>
                                  <w:pPr>
                                    <w:pStyle w:val="TableParagraph"/>
                                    <w:spacing w:line="186" w:lineRule="exact"/>
                                    <w:ind w:right="33"/>
                                    <w:jc w:val="right"/>
                                    <w:rPr>
                                      <w:sz w:val="18"/>
                                    </w:rPr>
                                  </w:pPr>
                                  <w:r>
                                    <w:rPr>
                                      <w:spacing w:val="-2"/>
                                      <w:sz w:val="18"/>
                                    </w:rPr>
                                    <w:t>0.0019</w:t>
                                  </w:r>
                                </w:p>
                              </w:tc>
                            </w:tr>
                            <w:tr>
                              <w:trPr>
                                <w:trHeight w:val="207" w:hRule="atLeast"/>
                              </w:trPr>
                              <w:tc>
                                <w:tcPr>
                                  <w:tcW w:w="1878" w:type="dxa"/>
                                </w:tcPr>
                                <w:p>
                                  <w:pPr>
                                    <w:pStyle w:val="TableParagraph"/>
                                    <w:spacing w:line="188" w:lineRule="exact"/>
                                    <w:ind w:left="167" w:right="1"/>
                                    <w:jc w:val="center"/>
                                    <w:rPr>
                                      <w:sz w:val="18"/>
                                    </w:rPr>
                                  </w:pPr>
                                  <w:r>
                                    <w:rPr>
                                      <w:spacing w:val="-5"/>
                                      <w:sz w:val="18"/>
                                    </w:rPr>
                                    <w:t>RES</w:t>
                                  </w:r>
                                </w:p>
                              </w:tc>
                              <w:tc>
                                <w:tcPr>
                                  <w:tcW w:w="1335" w:type="dxa"/>
                                </w:tcPr>
                                <w:p>
                                  <w:pPr>
                                    <w:pStyle w:val="TableParagraph"/>
                                    <w:spacing w:line="188" w:lineRule="exact"/>
                                    <w:ind w:right="118"/>
                                    <w:jc w:val="right"/>
                                    <w:rPr>
                                      <w:sz w:val="18"/>
                                    </w:rPr>
                                  </w:pPr>
                                  <w:r>
                                    <w:rPr>
                                      <w:spacing w:val="-2"/>
                                      <w:sz w:val="18"/>
                                    </w:rPr>
                                    <w:t>0.061527</w:t>
                                  </w:r>
                                </w:p>
                              </w:tc>
                              <w:tc>
                                <w:tcPr>
                                  <w:tcW w:w="1607" w:type="dxa"/>
                                </w:tcPr>
                                <w:p>
                                  <w:pPr>
                                    <w:pStyle w:val="TableParagraph"/>
                                    <w:spacing w:line="188" w:lineRule="exact"/>
                                    <w:ind w:left="397"/>
                                    <w:rPr>
                                      <w:sz w:val="18"/>
                                    </w:rPr>
                                  </w:pPr>
                                  <w:r>
                                    <w:rPr>
                                      <w:spacing w:val="-2"/>
                                      <w:sz w:val="18"/>
                                    </w:rPr>
                                    <w:t>0.086757</w:t>
                                  </w:r>
                                </w:p>
                              </w:tc>
                              <w:tc>
                                <w:tcPr>
                                  <w:tcW w:w="904" w:type="dxa"/>
                                </w:tcPr>
                                <w:p>
                                  <w:pPr>
                                    <w:pStyle w:val="TableParagraph"/>
                                    <w:spacing w:line="188" w:lineRule="exact"/>
                                    <w:ind w:left="-17"/>
                                    <w:rPr>
                                      <w:sz w:val="18"/>
                                    </w:rPr>
                                  </w:pPr>
                                  <w:r>
                                    <w:rPr>
                                      <w:spacing w:val="-2"/>
                                      <w:sz w:val="18"/>
                                    </w:rPr>
                                    <w:t>0.709184</w:t>
                                  </w:r>
                                </w:p>
                              </w:tc>
                              <w:tc>
                                <w:tcPr>
                                  <w:tcW w:w="768" w:type="dxa"/>
                                </w:tcPr>
                                <w:p>
                                  <w:pPr>
                                    <w:pStyle w:val="TableParagraph"/>
                                    <w:spacing w:line="188" w:lineRule="exact"/>
                                    <w:ind w:right="33"/>
                                    <w:jc w:val="right"/>
                                    <w:rPr>
                                      <w:sz w:val="18"/>
                                    </w:rPr>
                                  </w:pPr>
                                  <w:r>
                                    <w:rPr>
                                      <w:spacing w:val="-2"/>
                                      <w:sz w:val="18"/>
                                    </w:rPr>
                                    <w:t>0.4868</w:t>
                                  </w:r>
                                </w:p>
                              </w:tc>
                            </w:tr>
                            <w:tr>
                              <w:trPr>
                                <w:trHeight w:val="202" w:hRule="atLeast"/>
                              </w:trPr>
                              <w:tc>
                                <w:tcPr>
                                  <w:tcW w:w="1878" w:type="dxa"/>
                                  <w:tcBorders>
                                    <w:bottom w:val="double" w:sz="6" w:space="0" w:color="000000"/>
                                  </w:tcBorders>
                                </w:tcPr>
                                <w:p>
                                  <w:pPr>
                                    <w:pStyle w:val="TableParagraph"/>
                                    <w:spacing w:line="183" w:lineRule="exact"/>
                                    <w:ind w:left="667"/>
                                    <w:rPr>
                                      <w:sz w:val="18"/>
                                    </w:rPr>
                                  </w:pPr>
                                  <w:r>
                                    <w:rPr>
                                      <w:spacing w:val="-2"/>
                                      <w:sz w:val="18"/>
                                    </w:rPr>
                                    <w:t>NEXTAS</w:t>
                                  </w:r>
                                </w:p>
                              </w:tc>
                              <w:tc>
                                <w:tcPr>
                                  <w:tcW w:w="1335" w:type="dxa"/>
                                  <w:tcBorders>
                                    <w:bottom w:val="double" w:sz="6" w:space="0" w:color="000000"/>
                                  </w:tcBorders>
                                </w:tcPr>
                                <w:p>
                                  <w:pPr>
                                    <w:pStyle w:val="TableParagraph"/>
                                    <w:spacing w:line="183" w:lineRule="exact"/>
                                    <w:ind w:right="118"/>
                                    <w:jc w:val="right"/>
                                    <w:rPr>
                                      <w:sz w:val="18"/>
                                    </w:rPr>
                                  </w:pPr>
                                  <w:r>
                                    <w:rPr>
                                      <w:spacing w:val="-2"/>
                                      <w:sz w:val="18"/>
                                    </w:rPr>
                                    <w:t>0.094702</w:t>
                                  </w:r>
                                </w:p>
                              </w:tc>
                              <w:tc>
                                <w:tcPr>
                                  <w:tcW w:w="1607" w:type="dxa"/>
                                  <w:tcBorders>
                                    <w:bottom w:val="double" w:sz="6" w:space="0" w:color="000000"/>
                                  </w:tcBorders>
                                </w:tcPr>
                                <w:p>
                                  <w:pPr>
                                    <w:pStyle w:val="TableParagraph"/>
                                    <w:spacing w:line="183" w:lineRule="exact"/>
                                    <w:ind w:left="397"/>
                                    <w:rPr>
                                      <w:sz w:val="18"/>
                                    </w:rPr>
                                  </w:pPr>
                                  <w:r>
                                    <w:rPr>
                                      <w:spacing w:val="-2"/>
                                      <w:sz w:val="18"/>
                                    </w:rPr>
                                    <w:t>0.089734</w:t>
                                  </w:r>
                                </w:p>
                              </w:tc>
                              <w:tc>
                                <w:tcPr>
                                  <w:tcW w:w="904" w:type="dxa"/>
                                  <w:tcBorders>
                                    <w:bottom w:val="double" w:sz="6" w:space="0" w:color="000000"/>
                                  </w:tcBorders>
                                </w:tcPr>
                                <w:p>
                                  <w:pPr>
                                    <w:pStyle w:val="TableParagraph"/>
                                    <w:spacing w:line="183" w:lineRule="exact"/>
                                    <w:ind w:left="-17"/>
                                    <w:rPr>
                                      <w:sz w:val="18"/>
                                    </w:rPr>
                                  </w:pPr>
                                  <w:r>
                                    <w:rPr>
                                      <w:spacing w:val="-2"/>
                                      <w:sz w:val="18"/>
                                    </w:rPr>
                                    <w:t>1.055371</w:t>
                                  </w:r>
                                </w:p>
                              </w:tc>
                              <w:tc>
                                <w:tcPr>
                                  <w:tcW w:w="768" w:type="dxa"/>
                                  <w:tcBorders>
                                    <w:bottom w:val="double" w:sz="6" w:space="0" w:color="000000"/>
                                  </w:tcBorders>
                                </w:tcPr>
                                <w:p>
                                  <w:pPr>
                                    <w:pStyle w:val="TableParagraph"/>
                                    <w:spacing w:line="183" w:lineRule="exact"/>
                                    <w:ind w:right="33"/>
                                    <w:jc w:val="right"/>
                                    <w:rPr>
                                      <w:sz w:val="18"/>
                                    </w:rPr>
                                  </w:pPr>
                                  <w:r>
                                    <w:rPr>
                                      <w:spacing w:val="-2"/>
                                      <w:sz w:val="18"/>
                                    </w:rPr>
                                    <w:t>0.3045</w:t>
                                  </w:r>
                                </w:p>
                              </w:tc>
                            </w:tr>
                            <w:tr>
                              <w:trPr>
                                <w:trHeight w:val="250" w:hRule="atLeast"/>
                              </w:trPr>
                              <w:tc>
                                <w:tcPr>
                                  <w:tcW w:w="1878" w:type="dxa"/>
                                  <w:tcBorders>
                                    <w:top w:val="double" w:sz="6" w:space="0" w:color="000000"/>
                                  </w:tcBorders>
                                </w:tcPr>
                                <w:p>
                                  <w:pPr>
                                    <w:pStyle w:val="TableParagraph"/>
                                    <w:spacing w:line="191" w:lineRule="exact" w:before="40"/>
                                    <w:ind w:left="36"/>
                                    <w:rPr>
                                      <w:sz w:val="18"/>
                                    </w:rPr>
                                  </w:pPr>
                                  <w:r>
                                    <w:rPr>
                                      <w:spacing w:val="-2"/>
                                      <w:sz w:val="18"/>
                                    </w:rPr>
                                    <w:t>R-squared</w:t>
                                  </w:r>
                                </w:p>
                              </w:tc>
                              <w:tc>
                                <w:tcPr>
                                  <w:tcW w:w="1335" w:type="dxa"/>
                                  <w:tcBorders>
                                    <w:top w:val="double" w:sz="6" w:space="0" w:color="000000"/>
                                  </w:tcBorders>
                                </w:tcPr>
                                <w:p>
                                  <w:pPr>
                                    <w:pStyle w:val="TableParagraph"/>
                                    <w:spacing w:line="191" w:lineRule="exact" w:before="40"/>
                                    <w:ind w:right="118"/>
                                    <w:jc w:val="right"/>
                                    <w:rPr>
                                      <w:sz w:val="18"/>
                                    </w:rPr>
                                  </w:pPr>
                                  <w:r>
                                    <w:rPr>
                                      <w:spacing w:val="-2"/>
                                      <w:sz w:val="18"/>
                                    </w:rPr>
                                    <w:t>0.961683</w:t>
                                  </w:r>
                                </w:p>
                              </w:tc>
                              <w:tc>
                                <w:tcPr>
                                  <w:tcW w:w="1607" w:type="dxa"/>
                                  <w:tcBorders>
                                    <w:top w:val="double" w:sz="6" w:space="0" w:color="000000"/>
                                  </w:tcBorders>
                                </w:tcPr>
                                <w:p>
                                  <w:pPr>
                                    <w:pStyle w:val="TableParagraph"/>
                                    <w:spacing w:line="191" w:lineRule="exact" w:before="40"/>
                                    <w:ind w:left="121"/>
                                    <w:rPr>
                                      <w:sz w:val="18"/>
                                    </w:rPr>
                                  </w:pPr>
                                  <w:r>
                                    <w:rPr>
                                      <w:sz w:val="18"/>
                                    </w:rPr>
                                    <w:t>Mean</w:t>
                                  </w:r>
                                  <w:r>
                                    <w:rPr>
                                      <w:spacing w:val="-5"/>
                                      <w:sz w:val="18"/>
                                    </w:rPr>
                                    <w:t> </w:t>
                                  </w:r>
                                  <w:r>
                                    <w:rPr>
                                      <w:sz w:val="18"/>
                                    </w:rPr>
                                    <w:t>dependent</w:t>
                                  </w:r>
                                  <w:r>
                                    <w:rPr>
                                      <w:spacing w:val="-1"/>
                                      <w:sz w:val="18"/>
                                    </w:rPr>
                                    <w:t> </w:t>
                                  </w:r>
                                  <w:r>
                                    <w:rPr>
                                      <w:spacing w:val="-5"/>
                                      <w:sz w:val="18"/>
                                    </w:rPr>
                                    <w:t>var</w:t>
                                  </w:r>
                                </w:p>
                              </w:tc>
                              <w:tc>
                                <w:tcPr>
                                  <w:tcW w:w="904" w:type="dxa"/>
                                  <w:tcBorders>
                                    <w:top w:val="double" w:sz="6" w:space="0" w:color="000000"/>
                                  </w:tcBorders>
                                </w:tcPr>
                                <w:p>
                                  <w:pPr>
                                    <w:pStyle w:val="TableParagraph"/>
                                    <w:rPr>
                                      <w:sz w:val="18"/>
                                    </w:rPr>
                                  </w:pPr>
                                </w:p>
                              </w:tc>
                              <w:tc>
                                <w:tcPr>
                                  <w:tcW w:w="768" w:type="dxa"/>
                                  <w:tcBorders>
                                    <w:top w:val="double" w:sz="6" w:space="0" w:color="000000"/>
                                  </w:tcBorders>
                                </w:tcPr>
                                <w:p>
                                  <w:pPr>
                                    <w:pStyle w:val="TableParagraph"/>
                                    <w:spacing w:line="191" w:lineRule="exact" w:before="40"/>
                                    <w:ind w:right="33"/>
                                    <w:jc w:val="right"/>
                                    <w:rPr>
                                      <w:sz w:val="18"/>
                                    </w:rPr>
                                  </w:pPr>
                                  <w:r>
                                    <w:rPr>
                                      <w:spacing w:val="-2"/>
                                      <w:sz w:val="18"/>
                                    </w:rPr>
                                    <w:t>14.90560</w:t>
                                  </w:r>
                                </w:p>
                              </w:tc>
                            </w:tr>
                            <w:tr>
                              <w:trPr>
                                <w:trHeight w:val="207" w:hRule="atLeast"/>
                              </w:trPr>
                              <w:tc>
                                <w:tcPr>
                                  <w:tcW w:w="1878" w:type="dxa"/>
                                </w:tcPr>
                                <w:p>
                                  <w:pPr>
                                    <w:pStyle w:val="TableParagraph"/>
                                    <w:spacing w:line="188" w:lineRule="exact"/>
                                    <w:ind w:left="36"/>
                                    <w:rPr>
                                      <w:sz w:val="18"/>
                                    </w:rPr>
                                  </w:pPr>
                                  <w:r>
                                    <w:rPr>
                                      <w:sz w:val="18"/>
                                    </w:rPr>
                                    <w:t>Adjusted</w:t>
                                  </w:r>
                                  <w:r>
                                    <w:rPr>
                                      <w:spacing w:val="-1"/>
                                      <w:sz w:val="18"/>
                                    </w:rPr>
                                    <w:t> </w:t>
                                  </w:r>
                                  <w:r>
                                    <w:rPr>
                                      <w:sz w:val="18"/>
                                    </w:rPr>
                                    <w:t>R-</w:t>
                                  </w:r>
                                  <w:r>
                                    <w:rPr>
                                      <w:spacing w:val="-2"/>
                                      <w:sz w:val="18"/>
                                    </w:rPr>
                                    <w:t>squared</w:t>
                                  </w:r>
                                </w:p>
                              </w:tc>
                              <w:tc>
                                <w:tcPr>
                                  <w:tcW w:w="1335" w:type="dxa"/>
                                </w:tcPr>
                                <w:p>
                                  <w:pPr>
                                    <w:pStyle w:val="TableParagraph"/>
                                    <w:spacing w:line="188" w:lineRule="exact"/>
                                    <w:ind w:right="118"/>
                                    <w:jc w:val="right"/>
                                    <w:rPr>
                                      <w:sz w:val="18"/>
                                    </w:rPr>
                                  </w:pPr>
                                  <w:r>
                                    <w:rPr>
                                      <w:spacing w:val="-2"/>
                                      <w:sz w:val="18"/>
                                    </w:rPr>
                                    <w:t>0.951599</w:t>
                                  </w:r>
                                </w:p>
                              </w:tc>
                              <w:tc>
                                <w:tcPr>
                                  <w:tcW w:w="1607" w:type="dxa"/>
                                </w:tcPr>
                                <w:p>
                                  <w:pPr>
                                    <w:pStyle w:val="TableParagraph"/>
                                    <w:spacing w:line="188" w:lineRule="exact"/>
                                    <w:ind w:left="121"/>
                                    <w:rPr>
                                      <w:sz w:val="18"/>
                                    </w:rPr>
                                  </w:pPr>
                                  <w:r>
                                    <w:rPr>
                                      <w:sz w:val="18"/>
                                    </w:rPr>
                                    <w:t>S.D.</w:t>
                                  </w:r>
                                  <w:r>
                                    <w:rPr>
                                      <w:spacing w:val="-5"/>
                                      <w:sz w:val="18"/>
                                    </w:rPr>
                                    <w:t> </w:t>
                                  </w:r>
                                  <w:r>
                                    <w:rPr>
                                      <w:sz w:val="18"/>
                                    </w:rPr>
                                    <w:t>dependent</w:t>
                                  </w:r>
                                  <w:r>
                                    <w:rPr>
                                      <w:spacing w:val="-3"/>
                                      <w:sz w:val="18"/>
                                    </w:rPr>
                                    <w:t> </w:t>
                                  </w:r>
                                  <w:r>
                                    <w:rPr>
                                      <w:spacing w:val="-5"/>
                                      <w:sz w:val="18"/>
                                    </w:rPr>
                                    <w:t>var</w:t>
                                  </w:r>
                                </w:p>
                              </w:tc>
                              <w:tc>
                                <w:tcPr>
                                  <w:tcW w:w="904" w:type="dxa"/>
                                </w:tcPr>
                                <w:p>
                                  <w:pPr>
                                    <w:pStyle w:val="TableParagraph"/>
                                    <w:rPr>
                                      <w:sz w:val="14"/>
                                    </w:rPr>
                                  </w:pPr>
                                </w:p>
                              </w:tc>
                              <w:tc>
                                <w:tcPr>
                                  <w:tcW w:w="768" w:type="dxa"/>
                                </w:tcPr>
                                <w:p>
                                  <w:pPr>
                                    <w:pStyle w:val="TableParagraph"/>
                                    <w:spacing w:line="188" w:lineRule="exact"/>
                                    <w:ind w:right="32"/>
                                    <w:jc w:val="right"/>
                                    <w:rPr>
                                      <w:sz w:val="18"/>
                                    </w:rPr>
                                  </w:pPr>
                                  <w:r>
                                    <w:rPr>
                                      <w:spacing w:val="-2"/>
                                      <w:sz w:val="18"/>
                                    </w:rPr>
                                    <w:t>1.825435</w:t>
                                  </w:r>
                                </w:p>
                              </w:tc>
                            </w:tr>
                            <w:tr>
                              <w:trPr>
                                <w:trHeight w:val="207" w:hRule="atLeast"/>
                              </w:trPr>
                              <w:tc>
                                <w:tcPr>
                                  <w:tcW w:w="1878" w:type="dxa"/>
                                </w:tcPr>
                                <w:p>
                                  <w:pPr>
                                    <w:pStyle w:val="TableParagraph"/>
                                    <w:spacing w:line="188" w:lineRule="exact"/>
                                    <w:ind w:left="36"/>
                                    <w:rPr>
                                      <w:sz w:val="18"/>
                                    </w:rPr>
                                  </w:pPr>
                                  <w:r>
                                    <w:rPr>
                                      <w:sz w:val="18"/>
                                    </w:rPr>
                                    <w:t>S.E.</w:t>
                                  </w:r>
                                  <w:r>
                                    <w:rPr>
                                      <w:spacing w:val="-3"/>
                                      <w:sz w:val="18"/>
                                    </w:rPr>
                                    <w:t> </w:t>
                                  </w:r>
                                  <w:r>
                                    <w:rPr>
                                      <w:sz w:val="18"/>
                                    </w:rPr>
                                    <w:t>of</w:t>
                                  </w:r>
                                  <w:r>
                                    <w:rPr>
                                      <w:spacing w:val="-1"/>
                                      <w:sz w:val="18"/>
                                    </w:rPr>
                                    <w:t> </w:t>
                                  </w:r>
                                  <w:r>
                                    <w:rPr>
                                      <w:spacing w:val="-2"/>
                                      <w:sz w:val="18"/>
                                    </w:rPr>
                                    <w:t>regression</w:t>
                                  </w:r>
                                </w:p>
                              </w:tc>
                              <w:tc>
                                <w:tcPr>
                                  <w:tcW w:w="1335" w:type="dxa"/>
                                </w:tcPr>
                                <w:p>
                                  <w:pPr>
                                    <w:pStyle w:val="TableParagraph"/>
                                    <w:spacing w:line="188" w:lineRule="exact"/>
                                    <w:ind w:right="118"/>
                                    <w:jc w:val="right"/>
                                    <w:rPr>
                                      <w:sz w:val="18"/>
                                    </w:rPr>
                                  </w:pPr>
                                  <w:r>
                                    <w:rPr>
                                      <w:spacing w:val="-2"/>
                                      <w:sz w:val="18"/>
                                    </w:rPr>
                                    <w:t>0.401598</w:t>
                                  </w:r>
                                </w:p>
                              </w:tc>
                              <w:tc>
                                <w:tcPr>
                                  <w:tcW w:w="1607" w:type="dxa"/>
                                </w:tcPr>
                                <w:p>
                                  <w:pPr>
                                    <w:pStyle w:val="TableParagraph"/>
                                    <w:spacing w:line="188" w:lineRule="exact"/>
                                    <w:ind w:left="121" w:right="-29"/>
                                    <w:rPr>
                                      <w:sz w:val="18"/>
                                    </w:rPr>
                                  </w:pPr>
                                  <w:r>
                                    <w:rPr>
                                      <w:sz w:val="18"/>
                                    </w:rPr>
                                    <w:t>Akaike</w:t>
                                  </w:r>
                                  <w:r>
                                    <w:rPr>
                                      <w:spacing w:val="-5"/>
                                      <w:sz w:val="18"/>
                                    </w:rPr>
                                    <w:t> </w:t>
                                  </w:r>
                                  <w:r>
                                    <w:rPr>
                                      <w:sz w:val="18"/>
                                    </w:rPr>
                                    <w:t>info</w:t>
                                  </w:r>
                                  <w:r>
                                    <w:rPr>
                                      <w:spacing w:val="-2"/>
                                      <w:sz w:val="18"/>
                                    </w:rPr>
                                    <w:t> criterion</w:t>
                                  </w:r>
                                </w:p>
                              </w:tc>
                              <w:tc>
                                <w:tcPr>
                                  <w:tcW w:w="904" w:type="dxa"/>
                                </w:tcPr>
                                <w:p>
                                  <w:pPr>
                                    <w:pStyle w:val="TableParagraph"/>
                                    <w:rPr>
                                      <w:sz w:val="14"/>
                                    </w:rPr>
                                  </w:pPr>
                                </w:p>
                              </w:tc>
                              <w:tc>
                                <w:tcPr>
                                  <w:tcW w:w="768" w:type="dxa"/>
                                </w:tcPr>
                                <w:p>
                                  <w:pPr>
                                    <w:pStyle w:val="TableParagraph"/>
                                    <w:spacing w:line="188" w:lineRule="exact"/>
                                    <w:ind w:right="32"/>
                                    <w:jc w:val="right"/>
                                    <w:rPr>
                                      <w:sz w:val="18"/>
                                    </w:rPr>
                                  </w:pPr>
                                  <w:r>
                                    <w:rPr>
                                      <w:spacing w:val="-2"/>
                                      <w:sz w:val="18"/>
                                    </w:rPr>
                                    <w:t>1.218833</w:t>
                                  </w:r>
                                </w:p>
                              </w:tc>
                            </w:tr>
                            <w:tr>
                              <w:trPr>
                                <w:trHeight w:val="206" w:hRule="atLeast"/>
                              </w:trPr>
                              <w:tc>
                                <w:tcPr>
                                  <w:tcW w:w="1878" w:type="dxa"/>
                                </w:tcPr>
                                <w:p>
                                  <w:pPr>
                                    <w:pStyle w:val="TableParagraph"/>
                                    <w:spacing w:line="186" w:lineRule="exact"/>
                                    <w:ind w:left="36"/>
                                    <w:rPr>
                                      <w:sz w:val="18"/>
                                    </w:rPr>
                                  </w:pPr>
                                  <w:r>
                                    <w:rPr>
                                      <w:sz w:val="18"/>
                                    </w:rPr>
                                    <w:t>Sum</w:t>
                                  </w:r>
                                  <w:r>
                                    <w:rPr>
                                      <w:spacing w:val="-3"/>
                                      <w:sz w:val="18"/>
                                    </w:rPr>
                                    <w:t> </w:t>
                                  </w:r>
                                  <w:r>
                                    <w:rPr>
                                      <w:sz w:val="18"/>
                                    </w:rPr>
                                    <w:t>squared</w:t>
                                  </w:r>
                                  <w:r>
                                    <w:rPr>
                                      <w:spacing w:val="1"/>
                                      <w:sz w:val="18"/>
                                    </w:rPr>
                                    <w:t> </w:t>
                                  </w:r>
                                  <w:r>
                                    <w:rPr>
                                      <w:spacing w:val="-2"/>
                                      <w:sz w:val="18"/>
                                    </w:rPr>
                                    <w:t>resid</w:t>
                                  </w:r>
                                </w:p>
                              </w:tc>
                              <w:tc>
                                <w:tcPr>
                                  <w:tcW w:w="1335" w:type="dxa"/>
                                </w:tcPr>
                                <w:p>
                                  <w:pPr>
                                    <w:pStyle w:val="TableParagraph"/>
                                    <w:spacing w:line="186" w:lineRule="exact"/>
                                    <w:ind w:right="118"/>
                                    <w:jc w:val="right"/>
                                    <w:rPr>
                                      <w:sz w:val="18"/>
                                    </w:rPr>
                                  </w:pPr>
                                  <w:r>
                                    <w:rPr>
                                      <w:spacing w:val="-2"/>
                                      <w:sz w:val="18"/>
                                    </w:rPr>
                                    <w:t>3.064339</w:t>
                                  </w:r>
                                </w:p>
                              </w:tc>
                              <w:tc>
                                <w:tcPr>
                                  <w:tcW w:w="1607" w:type="dxa"/>
                                </w:tcPr>
                                <w:p>
                                  <w:pPr>
                                    <w:pStyle w:val="TableParagraph"/>
                                    <w:spacing w:line="186" w:lineRule="exact"/>
                                    <w:ind w:left="121"/>
                                    <w:rPr>
                                      <w:sz w:val="18"/>
                                    </w:rPr>
                                  </w:pPr>
                                  <w:r>
                                    <w:rPr>
                                      <w:sz w:val="18"/>
                                    </w:rPr>
                                    <w:t>Schwarz</w:t>
                                  </w:r>
                                  <w:r>
                                    <w:rPr>
                                      <w:spacing w:val="-7"/>
                                      <w:sz w:val="18"/>
                                    </w:rPr>
                                    <w:t> </w:t>
                                  </w:r>
                                  <w:r>
                                    <w:rPr>
                                      <w:spacing w:val="-2"/>
                                      <w:sz w:val="18"/>
                                    </w:rPr>
                                    <w:t>criterion</w:t>
                                  </w:r>
                                </w:p>
                              </w:tc>
                              <w:tc>
                                <w:tcPr>
                                  <w:tcW w:w="904" w:type="dxa"/>
                                </w:tcPr>
                                <w:p>
                                  <w:pPr>
                                    <w:pStyle w:val="TableParagraph"/>
                                    <w:rPr>
                                      <w:sz w:val="14"/>
                                    </w:rPr>
                                  </w:pPr>
                                </w:p>
                              </w:tc>
                              <w:tc>
                                <w:tcPr>
                                  <w:tcW w:w="768" w:type="dxa"/>
                                </w:tcPr>
                                <w:p>
                                  <w:pPr>
                                    <w:pStyle w:val="TableParagraph"/>
                                    <w:spacing w:line="186" w:lineRule="exact"/>
                                    <w:ind w:right="32"/>
                                    <w:jc w:val="right"/>
                                    <w:rPr>
                                      <w:sz w:val="18"/>
                                    </w:rPr>
                                  </w:pPr>
                                  <w:r>
                                    <w:rPr>
                                      <w:spacing w:val="-2"/>
                                      <w:sz w:val="18"/>
                                    </w:rPr>
                                    <w:t>1.511363</w:t>
                                  </w:r>
                                </w:p>
                              </w:tc>
                            </w:tr>
                            <w:tr>
                              <w:trPr>
                                <w:trHeight w:val="206" w:hRule="atLeast"/>
                              </w:trPr>
                              <w:tc>
                                <w:tcPr>
                                  <w:tcW w:w="1878" w:type="dxa"/>
                                </w:tcPr>
                                <w:p>
                                  <w:pPr>
                                    <w:pStyle w:val="TableParagraph"/>
                                    <w:spacing w:line="186" w:lineRule="exact"/>
                                    <w:ind w:left="36"/>
                                    <w:rPr>
                                      <w:sz w:val="18"/>
                                    </w:rPr>
                                  </w:pPr>
                                  <w:r>
                                    <w:rPr>
                                      <w:sz w:val="18"/>
                                    </w:rPr>
                                    <w:t>Log</w:t>
                                  </w:r>
                                  <w:r>
                                    <w:rPr>
                                      <w:spacing w:val="-2"/>
                                      <w:sz w:val="18"/>
                                    </w:rPr>
                                    <w:t> likelihood</w:t>
                                  </w:r>
                                </w:p>
                              </w:tc>
                              <w:tc>
                                <w:tcPr>
                                  <w:tcW w:w="1335" w:type="dxa"/>
                                </w:tcPr>
                                <w:p>
                                  <w:pPr>
                                    <w:pStyle w:val="TableParagraph"/>
                                    <w:spacing w:line="186" w:lineRule="exact"/>
                                    <w:ind w:right="118"/>
                                    <w:jc w:val="right"/>
                                    <w:rPr>
                                      <w:sz w:val="18"/>
                                    </w:rPr>
                                  </w:pPr>
                                  <w:r>
                                    <w:rPr>
                                      <w:sz w:val="18"/>
                                    </w:rPr>
                                    <w:t>-</w:t>
                                  </w:r>
                                  <w:r>
                                    <w:rPr>
                                      <w:spacing w:val="-2"/>
                                      <w:sz w:val="18"/>
                                    </w:rPr>
                                    <w:t>9.235413</w:t>
                                  </w:r>
                                </w:p>
                              </w:tc>
                              <w:tc>
                                <w:tcPr>
                                  <w:tcW w:w="1607" w:type="dxa"/>
                                </w:tcPr>
                                <w:p>
                                  <w:pPr>
                                    <w:pStyle w:val="TableParagraph"/>
                                    <w:spacing w:line="186" w:lineRule="exact"/>
                                    <w:ind w:left="121"/>
                                    <w:rPr>
                                      <w:sz w:val="18"/>
                                    </w:rPr>
                                  </w:pPr>
                                  <w:r>
                                    <w:rPr>
                                      <w:sz w:val="18"/>
                                    </w:rPr>
                                    <w:t>F-</w:t>
                                  </w:r>
                                  <w:r>
                                    <w:rPr>
                                      <w:spacing w:val="-2"/>
                                      <w:sz w:val="18"/>
                                    </w:rPr>
                                    <w:t>statistic</w:t>
                                  </w:r>
                                </w:p>
                              </w:tc>
                              <w:tc>
                                <w:tcPr>
                                  <w:tcW w:w="904" w:type="dxa"/>
                                </w:tcPr>
                                <w:p>
                                  <w:pPr>
                                    <w:pStyle w:val="TableParagraph"/>
                                    <w:rPr>
                                      <w:sz w:val="14"/>
                                    </w:rPr>
                                  </w:pPr>
                                </w:p>
                              </w:tc>
                              <w:tc>
                                <w:tcPr>
                                  <w:tcW w:w="768" w:type="dxa"/>
                                </w:tcPr>
                                <w:p>
                                  <w:pPr>
                                    <w:pStyle w:val="TableParagraph"/>
                                    <w:spacing w:line="186" w:lineRule="exact"/>
                                    <w:ind w:right="33"/>
                                    <w:jc w:val="right"/>
                                    <w:rPr>
                                      <w:sz w:val="18"/>
                                    </w:rPr>
                                  </w:pPr>
                                  <w:r>
                                    <w:rPr>
                                      <w:spacing w:val="-2"/>
                                      <w:sz w:val="18"/>
                                    </w:rPr>
                                    <w:t>95.37242</w:t>
                                  </w:r>
                                </w:p>
                              </w:tc>
                            </w:tr>
                            <w:tr>
                              <w:trPr>
                                <w:trHeight w:val="244" w:hRule="atLeast"/>
                              </w:trPr>
                              <w:tc>
                                <w:tcPr>
                                  <w:tcW w:w="1878" w:type="dxa"/>
                                  <w:tcBorders>
                                    <w:bottom w:val="double" w:sz="6" w:space="0" w:color="000000"/>
                                  </w:tcBorders>
                                </w:tcPr>
                                <w:p>
                                  <w:pPr>
                                    <w:pStyle w:val="TableParagraph"/>
                                    <w:spacing w:line="203" w:lineRule="exact"/>
                                    <w:ind w:left="36"/>
                                    <w:rPr>
                                      <w:sz w:val="18"/>
                                    </w:rPr>
                                  </w:pPr>
                                  <w:r>
                                    <w:rPr>
                                      <w:sz w:val="18"/>
                                    </w:rPr>
                                    <w:t>Durbin-Watson</w:t>
                                  </w:r>
                                  <w:r>
                                    <w:rPr>
                                      <w:spacing w:val="-2"/>
                                      <w:sz w:val="18"/>
                                    </w:rPr>
                                    <w:t> </w:t>
                                  </w:r>
                                  <w:r>
                                    <w:rPr>
                                      <w:spacing w:val="-4"/>
                                      <w:sz w:val="18"/>
                                    </w:rPr>
                                    <w:t>stat</w:t>
                                  </w:r>
                                </w:p>
                              </w:tc>
                              <w:tc>
                                <w:tcPr>
                                  <w:tcW w:w="1335" w:type="dxa"/>
                                </w:tcPr>
                                <w:p>
                                  <w:pPr>
                                    <w:pStyle w:val="TableParagraph"/>
                                    <w:spacing w:line="203" w:lineRule="exact"/>
                                    <w:ind w:right="118"/>
                                    <w:jc w:val="right"/>
                                    <w:rPr>
                                      <w:sz w:val="18"/>
                                    </w:rPr>
                                  </w:pPr>
                                  <w:r>
                                    <w:rPr>
                                      <w:spacing w:val="-2"/>
                                      <w:sz w:val="18"/>
                                    </w:rPr>
                                    <w:t>1.313706</w:t>
                                  </w:r>
                                </w:p>
                              </w:tc>
                              <w:tc>
                                <w:tcPr>
                                  <w:tcW w:w="1607" w:type="dxa"/>
                                  <w:tcBorders>
                                    <w:bottom w:val="double" w:sz="6" w:space="0" w:color="000000"/>
                                  </w:tcBorders>
                                </w:tcPr>
                                <w:p>
                                  <w:pPr>
                                    <w:pStyle w:val="TableParagraph"/>
                                    <w:spacing w:line="203" w:lineRule="exact"/>
                                    <w:ind w:left="119"/>
                                    <w:rPr>
                                      <w:sz w:val="18"/>
                                    </w:rPr>
                                  </w:pPr>
                                  <w:r>
                                    <w:rPr>
                                      <w:spacing w:val="-2"/>
                                      <w:sz w:val="18"/>
                                    </w:rPr>
                                    <w:t>Prob(F-statistic)</w:t>
                                  </w:r>
                                </w:p>
                              </w:tc>
                              <w:tc>
                                <w:tcPr>
                                  <w:tcW w:w="904" w:type="dxa"/>
                                </w:tcPr>
                                <w:p>
                                  <w:pPr>
                                    <w:pStyle w:val="TableParagraph"/>
                                    <w:rPr>
                                      <w:sz w:val="16"/>
                                    </w:rPr>
                                  </w:pPr>
                                </w:p>
                              </w:tc>
                              <w:tc>
                                <w:tcPr>
                                  <w:tcW w:w="768" w:type="dxa"/>
                                  <w:tcBorders>
                                    <w:bottom w:val="double" w:sz="6" w:space="0" w:color="000000"/>
                                  </w:tcBorders>
                                </w:tcPr>
                                <w:p>
                                  <w:pPr>
                                    <w:pStyle w:val="TableParagraph"/>
                                    <w:spacing w:line="203" w:lineRule="exact"/>
                                    <w:ind w:right="32"/>
                                    <w:jc w:val="right"/>
                                    <w:rPr>
                                      <w:sz w:val="18"/>
                                    </w:rPr>
                                  </w:pPr>
                                  <w:r>
                                    <w:rPr>
                                      <w:spacing w:val="-2"/>
                                      <w:sz w:val="18"/>
                                    </w:rPr>
                                    <w:t>0.000000</w:t>
                                  </w:r>
                                </w:p>
                              </w:tc>
                            </w:tr>
                          </w:tbl>
                          <w:p>
                            <w:pPr>
                              <w:pStyle w:val="BodyText"/>
                            </w:pPr>
                          </w:p>
                        </w:txbxContent>
                      </wps:txbx>
                      <wps:bodyPr wrap="square" lIns="0" tIns="0" rIns="0" bIns="0" rtlCol="0">
                        <a:noAutofit/>
                      </wps:bodyPr>
                    </wps:wsp>
                  </a:graphicData>
                </a:graphic>
              </wp:anchor>
            </w:drawing>
          </mc:Choice>
          <mc:Fallback>
            <w:pict>
              <v:shape style="position:absolute;margin-left:47.759998pt;margin-top:10.364863pt;width:330.45pt;height:202.45pt;mso-position-horizontal-relative:page;mso-position-vertical-relative:paragraph;z-index:15762432" type="#_x0000_t202" id="docshape295"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78"/>
                        <w:gridCol w:w="1335"/>
                        <w:gridCol w:w="1607"/>
                        <w:gridCol w:w="904"/>
                        <w:gridCol w:w="768"/>
                      </w:tblGrid>
                      <w:tr>
                        <w:trPr>
                          <w:trHeight w:val="202" w:hRule="atLeast"/>
                        </w:trPr>
                        <w:tc>
                          <w:tcPr>
                            <w:tcW w:w="6492" w:type="dxa"/>
                            <w:gridSpan w:val="5"/>
                          </w:tcPr>
                          <w:p>
                            <w:pPr>
                              <w:pStyle w:val="TableParagraph"/>
                              <w:spacing w:line="183" w:lineRule="exact"/>
                              <w:ind w:left="36"/>
                              <w:rPr>
                                <w:sz w:val="18"/>
                              </w:rPr>
                            </w:pPr>
                            <w:r>
                              <w:rPr>
                                <w:sz w:val="18"/>
                              </w:rPr>
                              <w:t>Dependent</w:t>
                            </w:r>
                            <w:r>
                              <w:rPr>
                                <w:spacing w:val="-2"/>
                                <w:sz w:val="18"/>
                              </w:rPr>
                              <w:t> </w:t>
                            </w:r>
                            <w:r>
                              <w:rPr>
                                <w:sz w:val="18"/>
                              </w:rPr>
                              <w:t>Variable:</w:t>
                            </w:r>
                            <w:r>
                              <w:rPr>
                                <w:spacing w:val="-2"/>
                                <w:sz w:val="18"/>
                              </w:rPr>
                              <w:t> </w:t>
                            </w:r>
                            <w:r>
                              <w:rPr>
                                <w:spacing w:val="-5"/>
                                <w:sz w:val="18"/>
                              </w:rPr>
                              <w:t>GDP</w:t>
                            </w:r>
                          </w:p>
                        </w:tc>
                      </w:tr>
                      <w:tr>
                        <w:trPr>
                          <w:trHeight w:val="207" w:hRule="atLeast"/>
                        </w:trPr>
                        <w:tc>
                          <w:tcPr>
                            <w:tcW w:w="1878" w:type="dxa"/>
                          </w:tcPr>
                          <w:p>
                            <w:pPr>
                              <w:pStyle w:val="TableParagraph"/>
                              <w:spacing w:line="188" w:lineRule="exact"/>
                              <w:ind w:left="36"/>
                              <w:rPr>
                                <w:sz w:val="18"/>
                              </w:rPr>
                            </w:pPr>
                            <w:r>
                              <w:rPr>
                                <w:sz w:val="18"/>
                              </w:rPr>
                              <w:t>Method:</w:t>
                            </w:r>
                            <w:r>
                              <w:rPr>
                                <w:spacing w:val="-3"/>
                                <w:sz w:val="18"/>
                              </w:rPr>
                              <w:t> </w:t>
                            </w:r>
                            <w:r>
                              <w:rPr>
                                <w:sz w:val="18"/>
                              </w:rPr>
                              <w:t>Least</w:t>
                            </w:r>
                            <w:r>
                              <w:rPr>
                                <w:spacing w:val="-2"/>
                                <w:sz w:val="18"/>
                              </w:rPr>
                              <w:t> Squares</w:t>
                            </w:r>
                          </w:p>
                        </w:tc>
                        <w:tc>
                          <w:tcPr>
                            <w:tcW w:w="1335" w:type="dxa"/>
                          </w:tcPr>
                          <w:p>
                            <w:pPr>
                              <w:pStyle w:val="TableParagraph"/>
                              <w:rPr>
                                <w:sz w:val="14"/>
                              </w:rPr>
                            </w:pPr>
                          </w:p>
                        </w:tc>
                        <w:tc>
                          <w:tcPr>
                            <w:tcW w:w="1607" w:type="dxa"/>
                          </w:tcPr>
                          <w:p>
                            <w:pPr>
                              <w:pStyle w:val="TableParagraph"/>
                              <w:rPr>
                                <w:sz w:val="14"/>
                              </w:rPr>
                            </w:pPr>
                          </w:p>
                        </w:tc>
                        <w:tc>
                          <w:tcPr>
                            <w:tcW w:w="904" w:type="dxa"/>
                          </w:tcPr>
                          <w:p>
                            <w:pPr>
                              <w:pStyle w:val="TableParagraph"/>
                              <w:rPr>
                                <w:sz w:val="14"/>
                              </w:rPr>
                            </w:pPr>
                          </w:p>
                        </w:tc>
                        <w:tc>
                          <w:tcPr>
                            <w:tcW w:w="768" w:type="dxa"/>
                          </w:tcPr>
                          <w:p>
                            <w:pPr>
                              <w:pStyle w:val="TableParagraph"/>
                              <w:rPr>
                                <w:sz w:val="14"/>
                              </w:rPr>
                            </w:pPr>
                          </w:p>
                        </w:tc>
                      </w:tr>
                      <w:tr>
                        <w:trPr>
                          <w:trHeight w:val="207" w:hRule="atLeast"/>
                        </w:trPr>
                        <w:tc>
                          <w:tcPr>
                            <w:tcW w:w="6492" w:type="dxa"/>
                            <w:gridSpan w:val="5"/>
                          </w:tcPr>
                          <w:p>
                            <w:pPr>
                              <w:pStyle w:val="TableParagraph"/>
                              <w:spacing w:line="188" w:lineRule="exact"/>
                              <w:ind w:left="36"/>
                              <w:rPr>
                                <w:sz w:val="18"/>
                              </w:rPr>
                            </w:pPr>
                            <w:r>
                              <w:rPr>
                                <w:sz w:val="18"/>
                              </w:rPr>
                              <w:t>Date:</w:t>
                            </w:r>
                            <w:r>
                              <w:rPr>
                                <w:spacing w:val="-2"/>
                                <w:sz w:val="18"/>
                              </w:rPr>
                              <w:t> </w:t>
                            </w:r>
                            <w:r>
                              <w:rPr>
                                <w:sz w:val="18"/>
                              </w:rPr>
                              <w:t>02/17/14</w:t>
                            </w:r>
                            <w:r>
                              <w:rPr>
                                <w:spacing w:val="63"/>
                                <w:w w:val="150"/>
                                <w:sz w:val="18"/>
                              </w:rPr>
                              <w:t> </w:t>
                            </w:r>
                            <w:r>
                              <w:rPr>
                                <w:sz w:val="18"/>
                              </w:rPr>
                              <w:t>Time:</w:t>
                            </w:r>
                            <w:r>
                              <w:rPr>
                                <w:spacing w:val="-1"/>
                                <w:sz w:val="18"/>
                              </w:rPr>
                              <w:t> </w:t>
                            </w:r>
                            <w:r>
                              <w:rPr>
                                <w:spacing w:val="-4"/>
                                <w:sz w:val="18"/>
                              </w:rPr>
                              <w:t>18:03</w:t>
                            </w:r>
                          </w:p>
                        </w:tc>
                      </w:tr>
                      <w:tr>
                        <w:trPr>
                          <w:trHeight w:val="206" w:hRule="atLeast"/>
                        </w:trPr>
                        <w:tc>
                          <w:tcPr>
                            <w:tcW w:w="1878" w:type="dxa"/>
                          </w:tcPr>
                          <w:p>
                            <w:pPr>
                              <w:pStyle w:val="TableParagraph"/>
                              <w:spacing w:line="186" w:lineRule="exact"/>
                              <w:ind w:left="36"/>
                              <w:rPr>
                                <w:sz w:val="18"/>
                              </w:rPr>
                            </w:pPr>
                            <w:r>
                              <w:rPr>
                                <w:sz w:val="18"/>
                              </w:rPr>
                              <w:t>Sample:</w:t>
                            </w:r>
                            <w:r>
                              <w:rPr>
                                <w:spacing w:val="-3"/>
                                <w:sz w:val="18"/>
                              </w:rPr>
                              <w:t> </w:t>
                            </w:r>
                            <w:r>
                              <w:rPr>
                                <w:sz w:val="18"/>
                              </w:rPr>
                              <w:t>1987 </w:t>
                            </w:r>
                            <w:r>
                              <w:rPr>
                                <w:spacing w:val="-4"/>
                                <w:sz w:val="18"/>
                              </w:rPr>
                              <w:t>2011</w:t>
                            </w:r>
                          </w:p>
                        </w:tc>
                        <w:tc>
                          <w:tcPr>
                            <w:tcW w:w="1335" w:type="dxa"/>
                          </w:tcPr>
                          <w:p>
                            <w:pPr>
                              <w:pStyle w:val="TableParagraph"/>
                              <w:rPr>
                                <w:sz w:val="14"/>
                              </w:rPr>
                            </w:pPr>
                          </w:p>
                        </w:tc>
                        <w:tc>
                          <w:tcPr>
                            <w:tcW w:w="1607" w:type="dxa"/>
                          </w:tcPr>
                          <w:p>
                            <w:pPr>
                              <w:pStyle w:val="TableParagraph"/>
                              <w:rPr>
                                <w:sz w:val="14"/>
                              </w:rPr>
                            </w:pPr>
                          </w:p>
                        </w:tc>
                        <w:tc>
                          <w:tcPr>
                            <w:tcW w:w="904" w:type="dxa"/>
                          </w:tcPr>
                          <w:p>
                            <w:pPr>
                              <w:pStyle w:val="TableParagraph"/>
                              <w:rPr>
                                <w:sz w:val="14"/>
                              </w:rPr>
                            </w:pPr>
                          </w:p>
                        </w:tc>
                        <w:tc>
                          <w:tcPr>
                            <w:tcW w:w="768" w:type="dxa"/>
                          </w:tcPr>
                          <w:p>
                            <w:pPr>
                              <w:pStyle w:val="TableParagraph"/>
                              <w:rPr>
                                <w:sz w:val="14"/>
                              </w:rPr>
                            </w:pPr>
                          </w:p>
                        </w:tc>
                      </w:tr>
                      <w:tr>
                        <w:trPr>
                          <w:trHeight w:val="201" w:hRule="atLeast"/>
                        </w:trPr>
                        <w:tc>
                          <w:tcPr>
                            <w:tcW w:w="6492" w:type="dxa"/>
                            <w:gridSpan w:val="5"/>
                            <w:tcBorders>
                              <w:bottom w:val="double" w:sz="6" w:space="0" w:color="000000"/>
                            </w:tcBorders>
                          </w:tcPr>
                          <w:p>
                            <w:pPr>
                              <w:pStyle w:val="TableParagraph"/>
                              <w:spacing w:line="181" w:lineRule="exact"/>
                              <w:ind w:left="36"/>
                              <w:rPr>
                                <w:sz w:val="18"/>
                              </w:rPr>
                            </w:pPr>
                            <w:r>
                              <w:rPr>
                                <w:sz w:val="18"/>
                              </w:rPr>
                              <w:t>Included</w:t>
                            </w:r>
                            <w:r>
                              <w:rPr>
                                <w:spacing w:val="-3"/>
                                <w:sz w:val="18"/>
                              </w:rPr>
                              <w:t> </w:t>
                            </w:r>
                            <w:r>
                              <w:rPr>
                                <w:sz w:val="18"/>
                              </w:rPr>
                              <w:t>observations:</w:t>
                            </w:r>
                            <w:r>
                              <w:rPr>
                                <w:spacing w:val="-4"/>
                                <w:sz w:val="18"/>
                              </w:rPr>
                              <w:t> </w:t>
                            </w:r>
                            <w:r>
                              <w:rPr>
                                <w:spacing w:val="-5"/>
                                <w:sz w:val="18"/>
                              </w:rPr>
                              <w:t>25</w:t>
                            </w:r>
                          </w:p>
                        </w:tc>
                      </w:tr>
                      <w:tr>
                        <w:trPr>
                          <w:trHeight w:val="247" w:hRule="atLeast"/>
                        </w:trPr>
                        <w:tc>
                          <w:tcPr>
                            <w:tcW w:w="1878" w:type="dxa"/>
                            <w:tcBorders>
                              <w:top w:val="double" w:sz="6" w:space="0" w:color="000000"/>
                              <w:bottom w:val="double" w:sz="6" w:space="0" w:color="000000"/>
                            </w:tcBorders>
                          </w:tcPr>
                          <w:p>
                            <w:pPr>
                              <w:pStyle w:val="TableParagraph"/>
                              <w:spacing w:line="186" w:lineRule="exact" w:before="42"/>
                              <w:ind w:left="713"/>
                              <w:rPr>
                                <w:sz w:val="18"/>
                              </w:rPr>
                            </w:pPr>
                            <w:r>
                              <w:rPr>
                                <w:spacing w:val="-2"/>
                                <w:sz w:val="18"/>
                              </w:rPr>
                              <w:t>Variable</w:t>
                            </w:r>
                          </w:p>
                        </w:tc>
                        <w:tc>
                          <w:tcPr>
                            <w:tcW w:w="1335" w:type="dxa"/>
                            <w:tcBorders>
                              <w:top w:val="double" w:sz="6" w:space="0" w:color="000000"/>
                              <w:bottom w:val="double" w:sz="6" w:space="0" w:color="000000"/>
                            </w:tcBorders>
                          </w:tcPr>
                          <w:p>
                            <w:pPr>
                              <w:pStyle w:val="TableParagraph"/>
                              <w:spacing w:line="186" w:lineRule="exact" w:before="42"/>
                              <w:ind w:right="120"/>
                              <w:jc w:val="right"/>
                              <w:rPr>
                                <w:sz w:val="18"/>
                              </w:rPr>
                            </w:pPr>
                            <w:r>
                              <w:rPr>
                                <w:spacing w:val="-2"/>
                                <w:sz w:val="18"/>
                              </w:rPr>
                              <w:t>Coefficient</w:t>
                            </w:r>
                          </w:p>
                        </w:tc>
                        <w:tc>
                          <w:tcPr>
                            <w:tcW w:w="1607" w:type="dxa"/>
                            <w:tcBorders>
                              <w:top w:val="double" w:sz="6" w:space="0" w:color="000000"/>
                              <w:bottom w:val="double" w:sz="6" w:space="0" w:color="000000"/>
                            </w:tcBorders>
                          </w:tcPr>
                          <w:p>
                            <w:pPr>
                              <w:pStyle w:val="TableParagraph"/>
                              <w:spacing w:line="186" w:lineRule="exact" w:before="42"/>
                              <w:ind w:left="361"/>
                              <w:rPr>
                                <w:sz w:val="18"/>
                              </w:rPr>
                            </w:pPr>
                            <w:r>
                              <w:rPr>
                                <w:sz w:val="18"/>
                              </w:rPr>
                              <w:t>Std.</w:t>
                            </w:r>
                            <w:r>
                              <w:rPr>
                                <w:spacing w:val="-1"/>
                                <w:sz w:val="18"/>
                              </w:rPr>
                              <w:t> </w:t>
                            </w:r>
                            <w:r>
                              <w:rPr>
                                <w:spacing w:val="-4"/>
                                <w:sz w:val="18"/>
                              </w:rPr>
                              <w:t>Error</w:t>
                            </w:r>
                          </w:p>
                        </w:tc>
                        <w:tc>
                          <w:tcPr>
                            <w:tcW w:w="904" w:type="dxa"/>
                            <w:tcBorders>
                              <w:top w:val="double" w:sz="6" w:space="0" w:color="000000"/>
                              <w:bottom w:val="double" w:sz="6" w:space="0" w:color="000000"/>
                            </w:tcBorders>
                          </w:tcPr>
                          <w:p>
                            <w:pPr>
                              <w:pStyle w:val="TableParagraph"/>
                              <w:spacing w:line="186" w:lineRule="exact" w:before="42"/>
                              <w:ind w:left="19"/>
                              <w:rPr>
                                <w:sz w:val="18"/>
                              </w:rPr>
                            </w:pPr>
                            <w:r>
                              <w:rPr>
                                <w:sz w:val="18"/>
                              </w:rPr>
                              <w:t>-</w:t>
                            </w:r>
                            <w:r>
                              <w:rPr>
                                <w:spacing w:val="-2"/>
                                <w:sz w:val="18"/>
                              </w:rPr>
                              <w:t>Statistic</w:t>
                            </w:r>
                          </w:p>
                        </w:tc>
                        <w:tc>
                          <w:tcPr>
                            <w:tcW w:w="768" w:type="dxa"/>
                            <w:tcBorders>
                              <w:top w:val="double" w:sz="6" w:space="0" w:color="000000"/>
                              <w:bottom w:val="double" w:sz="6" w:space="0" w:color="000000"/>
                            </w:tcBorders>
                          </w:tcPr>
                          <w:p>
                            <w:pPr>
                              <w:pStyle w:val="TableParagraph"/>
                              <w:spacing w:line="186" w:lineRule="exact" w:before="42"/>
                              <w:ind w:right="33"/>
                              <w:jc w:val="right"/>
                              <w:rPr>
                                <w:sz w:val="18"/>
                              </w:rPr>
                            </w:pPr>
                            <w:r>
                              <w:rPr>
                                <w:spacing w:val="-2"/>
                                <w:sz w:val="18"/>
                              </w:rPr>
                              <w:t>Prob.</w:t>
                            </w:r>
                          </w:p>
                        </w:tc>
                      </w:tr>
                      <w:tr>
                        <w:trPr>
                          <w:trHeight w:val="251" w:hRule="atLeast"/>
                        </w:trPr>
                        <w:tc>
                          <w:tcPr>
                            <w:tcW w:w="1878" w:type="dxa"/>
                            <w:tcBorders>
                              <w:top w:val="double" w:sz="6" w:space="0" w:color="000000"/>
                            </w:tcBorders>
                          </w:tcPr>
                          <w:p>
                            <w:pPr>
                              <w:pStyle w:val="TableParagraph"/>
                              <w:spacing w:line="192" w:lineRule="exact" w:before="40"/>
                              <w:ind w:left="167"/>
                              <w:jc w:val="center"/>
                              <w:rPr>
                                <w:sz w:val="18"/>
                              </w:rPr>
                            </w:pPr>
                            <w:r>
                              <w:rPr>
                                <w:spacing w:val="-10"/>
                                <w:sz w:val="18"/>
                              </w:rPr>
                              <w:t>C</w:t>
                            </w:r>
                          </w:p>
                        </w:tc>
                        <w:tc>
                          <w:tcPr>
                            <w:tcW w:w="1335" w:type="dxa"/>
                            <w:tcBorders>
                              <w:top w:val="double" w:sz="6" w:space="0" w:color="000000"/>
                            </w:tcBorders>
                          </w:tcPr>
                          <w:p>
                            <w:pPr>
                              <w:pStyle w:val="TableParagraph"/>
                              <w:spacing w:line="192" w:lineRule="exact" w:before="40"/>
                              <w:ind w:right="118"/>
                              <w:jc w:val="right"/>
                              <w:rPr>
                                <w:sz w:val="18"/>
                              </w:rPr>
                            </w:pPr>
                            <w:r>
                              <w:rPr>
                                <w:spacing w:val="-2"/>
                                <w:sz w:val="18"/>
                              </w:rPr>
                              <w:t>3.896223</w:t>
                            </w:r>
                          </w:p>
                        </w:tc>
                        <w:tc>
                          <w:tcPr>
                            <w:tcW w:w="1607" w:type="dxa"/>
                            <w:tcBorders>
                              <w:top w:val="double" w:sz="6" w:space="0" w:color="000000"/>
                            </w:tcBorders>
                          </w:tcPr>
                          <w:p>
                            <w:pPr>
                              <w:pStyle w:val="TableParagraph"/>
                              <w:spacing w:line="192" w:lineRule="exact" w:before="40"/>
                              <w:ind w:left="397"/>
                              <w:rPr>
                                <w:sz w:val="18"/>
                              </w:rPr>
                            </w:pPr>
                            <w:r>
                              <w:rPr>
                                <w:spacing w:val="-2"/>
                                <w:sz w:val="18"/>
                              </w:rPr>
                              <w:t>0.761416</w:t>
                            </w:r>
                          </w:p>
                        </w:tc>
                        <w:tc>
                          <w:tcPr>
                            <w:tcW w:w="904" w:type="dxa"/>
                            <w:tcBorders>
                              <w:top w:val="double" w:sz="6" w:space="0" w:color="000000"/>
                            </w:tcBorders>
                          </w:tcPr>
                          <w:p>
                            <w:pPr>
                              <w:pStyle w:val="TableParagraph"/>
                              <w:spacing w:line="192" w:lineRule="exact" w:before="40"/>
                              <w:ind w:left="-17"/>
                              <w:rPr>
                                <w:sz w:val="18"/>
                              </w:rPr>
                            </w:pPr>
                            <w:r>
                              <w:rPr>
                                <w:spacing w:val="-2"/>
                                <w:sz w:val="18"/>
                              </w:rPr>
                              <w:t>5.117079</w:t>
                            </w:r>
                          </w:p>
                        </w:tc>
                        <w:tc>
                          <w:tcPr>
                            <w:tcW w:w="768" w:type="dxa"/>
                            <w:tcBorders>
                              <w:top w:val="double" w:sz="6" w:space="0" w:color="000000"/>
                            </w:tcBorders>
                          </w:tcPr>
                          <w:p>
                            <w:pPr>
                              <w:pStyle w:val="TableParagraph"/>
                              <w:spacing w:line="192" w:lineRule="exact" w:before="40"/>
                              <w:ind w:right="33"/>
                              <w:jc w:val="right"/>
                              <w:rPr>
                                <w:sz w:val="18"/>
                              </w:rPr>
                            </w:pPr>
                            <w:r>
                              <w:rPr>
                                <w:spacing w:val="-2"/>
                                <w:sz w:val="18"/>
                              </w:rPr>
                              <w:t>0.0001</w:t>
                            </w:r>
                          </w:p>
                        </w:tc>
                      </w:tr>
                      <w:tr>
                        <w:trPr>
                          <w:trHeight w:val="207" w:hRule="atLeast"/>
                        </w:trPr>
                        <w:tc>
                          <w:tcPr>
                            <w:tcW w:w="1878" w:type="dxa"/>
                          </w:tcPr>
                          <w:p>
                            <w:pPr>
                              <w:pStyle w:val="TableParagraph"/>
                              <w:spacing w:line="188" w:lineRule="exact"/>
                              <w:ind w:left="612"/>
                              <w:rPr>
                                <w:sz w:val="18"/>
                              </w:rPr>
                            </w:pPr>
                            <w:r>
                              <w:rPr>
                                <w:spacing w:val="-2"/>
                                <w:sz w:val="18"/>
                              </w:rPr>
                              <w:t>EXTDEBT</w:t>
                            </w:r>
                          </w:p>
                        </w:tc>
                        <w:tc>
                          <w:tcPr>
                            <w:tcW w:w="1335" w:type="dxa"/>
                          </w:tcPr>
                          <w:p>
                            <w:pPr>
                              <w:pStyle w:val="TableParagraph"/>
                              <w:spacing w:line="188" w:lineRule="exact"/>
                              <w:ind w:right="118"/>
                              <w:jc w:val="right"/>
                              <w:rPr>
                                <w:sz w:val="18"/>
                              </w:rPr>
                            </w:pPr>
                            <w:r>
                              <w:rPr>
                                <w:spacing w:val="-2"/>
                                <w:sz w:val="18"/>
                              </w:rPr>
                              <w:t>0.026396</w:t>
                            </w:r>
                          </w:p>
                        </w:tc>
                        <w:tc>
                          <w:tcPr>
                            <w:tcW w:w="1607" w:type="dxa"/>
                          </w:tcPr>
                          <w:p>
                            <w:pPr>
                              <w:pStyle w:val="TableParagraph"/>
                              <w:spacing w:line="188" w:lineRule="exact"/>
                              <w:ind w:left="397"/>
                              <w:rPr>
                                <w:sz w:val="18"/>
                              </w:rPr>
                            </w:pPr>
                            <w:r>
                              <w:rPr>
                                <w:spacing w:val="-2"/>
                                <w:sz w:val="18"/>
                              </w:rPr>
                              <w:t>0.058949</w:t>
                            </w:r>
                          </w:p>
                        </w:tc>
                        <w:tc>
                          <w:tcPr>
                            <w:tcW w:w="904" w:type="dxa"/>
                          </w:tcPr>
                          <w:p>
                            <w:pPr>
                              <w:pStyle w:val="TableParagraph"/>
                              <w:spacing w:line="188" w:lineRule="exact"/>
                              <w:ind w:left="-17"/>
                              <w:rPr>
                                <w:sz w:val="18"/>
                              </w:rPr>
                            </w:pPr>
                            <w:r>
                              <w:rPr>
                                <w:spacing w:val="-2"/>
                                <w:sz w:val="18"/>
                              </w:rPr>
                              <w:t>0.447786</w:t>
                            </w:r>
                          </w:p>
                        </w:tc>
                        <w:tc>
                          <w:tcPr>
                            <w:tcW w:w="768" w:type="dxa"/>
                          </w:tcPr>
                          <w:p>
                            <w:pPr>
                              <w:pStyle w:val="TableParagraph"/>
                              <w:spacing w:line="188" w:lineRule="exact"/>
                              <w:ind w:right="33"/>
                              <w:jc w:val="right"/>
                              <w:rPr>
                                <w:sz w:val="18"/>
                              </w:rPr>
                            </w:pPr>
                            <w:r>
                              <w:rPr>
                                <w:spacing w:val="-2"/>
                                <w:sz w:val="18"/>
                              </w:rPr>
                              <w:t>0.6594</w:t>
                            </w:r>
                          </w:p>
                        </w:tc>
                      </w:tr>
                      <w:tr>
                        <w:trPr>
                          <w:trHeight w:val="206" w:hRule="atLeast"/>
                        </w:trPr>
                        <w:tc>
                          <w:tcPr>
                            <w:tcW w:w="1878" w:type="dxa"/>
                          </w:tcPr>
                          <w:p>
                            <w:pPr>
                              <w:pStyle w:val="TableParagraph"/>
                              <w:spacing w:line="187" w:lineRule="exact"/>
                              <w:ind w:left="167" w:right="3"/>
                              <w:jc w:val="center"/>
                              <w:rPr>
                                <w:sz w:val="18"/>
                              </w:rPr>
                            </w:pPr>
                            <w:r>
                              <w:rPr>
                                <w:spacing w:val="-5"/>
                                <w:sz w:val="18"/>
                              </w:rPr>
                              <w:t>DFI</w:t>
                            </w:r>
                          </w:p>
                        </w:tc>
                        <w:tc>
                          <w:tcPr>
                            <w:tcW w:w="1335" w:type="dxa"/>
                          </w:tcPr>
                          <w:p>
                            <w:pPr>
                              <w:pStyle w:val="TableParagraph"/>
                              <w:spacing w:line="187" w:lineRule="exact"/>
                              <w:ind w:right="118"/>
                              <w:jc w:val="right"/>
                              <w:rPr>
                                <w:sz w:val="18"/>
                              </w:rPr>
                            </w:pPr>
                            <w:r>
                              <w:rPr>
                                <w:spacing w:val="-2"/>
                                <w:sz w:val="18"/>
                              </w:rPr>
                              <w:t>0.456492</w:t>
                            </w:r>
                          </w:p>
                        </w:tc>
                        <w:tc>
                          <w:tcPr>
                            <w:tcW w:w="1607" w:type="dxa"/>
                          </w:tcPr>
                          <w:p>
                            <w:pPr>
                              <w:pStyle w:val="TableParagraph"/>
                              <w:spacing w:line="187" w:lineRule="exact"/>
                              <w:ind w:left="397"/>
                              <w:rPr>
                                <w:sz w:val="18"/>
                              </w:rPr>
                            </w:pPr>
                            <w:r>
                              <w:rPr>
                                <w:spacing w:val="-2"/>
                                <w:sz w:val="18"/>
                              </w:rPr>
                              <w:t>0.074723</w:t>
                            </w:r>
                          </w:p>
                        </w:tc>
                        <w:tc>
                          <w:tcPr>
                            <w:tcW w:w="904" w:type="dxa"/>
                          </w:tcPr>
                          <w:p>
                            <w:pPr>
                              <w:pStyle w:val="TableParagraph"/>
                              <w:spacing w:line="187" w:lineRule="exact"/>
                              <w:ind w:left="-17"/>
                              <w:rPr>
                                <w:sz w:val="18"/>
                              </w:rPr>
                            </w:pPr>
                            <w:r>
                              <w:rPr>
                                <w:spacing w:val="-2"/>
                                <w:sz w:val="18"/>
                              </w:rPr>
                              <w:t>6.109136</w:t>
                            </w:r>
                          </w:p>
                        </w:tc>
                        <w:tc>
                          <w:tcPr>
                            <w:tcW w:w="768" w:type="dxa"/>
                          </w:tcPr>
                          <w:p>
                            <w:pPr>
                              <w:pStyle w:val="TableParagraph"/>
                              <w:spacing w:line="187" w:lineRule="exact"/>
                              <w:ind w:right="33"/>
                              <w:jc w:val="right"/>
                              <w:rPr>
                                <w:sz w:val="18"/>
                              </w:rPr>
                            </w:pPr>
                            <w:r>
                              <w:rPr>
                                <w:spacing w:val="-2"/>
                                <w:sz w:val="18"/>
                              </w:rPr>
                              <w:t>0.0000</w:t>
                            </w:r>
                          </w:p>
                        </w:tc>
                      </w:tr>
                      <w:tr>
                        <w:trPr>
                          <w:trHeight w:val="206" w:hRule="atLeast"/>
                        </w:trPr>
                        <w:tc>
                          <w:tcPr>
                            <w:tcW w:w="1878" w:type="dxa"/>
                          </w:tcPr>
                          <w:p>
                            <w:pPr>
                              <w:pStyle w:val="TableParagraph"/>
                              <w:spacing w:line="186" w:lineRule="exact"/>
                              <w:ind w:left="167" w:right="2"/>
                              <w:jc w:val="center"/>
                              <w:rPr>
                                <w:sz w:val="18"/>
                              </w:rPr>
                            </w:pPr>
                            <w:r>
                              <w:rPr>
                                <w:spacing w:val="-5"/>
                                <w:sz w:val="18"/>
                              </w:rPr>
                              <w:t>CAB</w:t>
                            </w:r>
                          </w:p>
                        </w:tc>
                        <w:tc>
                          <w:tcPr>
                            <w:tcW w:w="1335" w:type="dxa"/>
                          </w:tcPr>
                          <w:p>
                            <w:pPr>
                              <w:pStyle w:val="TableParagraph"/>
                              <w:spacing w:line="186" w:lineRule="exact"/>
                              <w:ind w:right="118"/>
                              <w:jc w:val="right"/>
                              <w:rPr>
                                <w:sz w:val="18"/>
                              </w:rPr>
                            </w:pPr>
                            <w:r>
                              <w:rPr>
                                <w:spacing w:val="-2"/>
                                <w:sz w:val="18"/>
                              </w:rPr>
                              <w:t>0.290508</w:t>
                            </w:r>
                          </w:p>
                        </w:tc>
                        <w:tc>
                          <w:tcPr>
                            <w:tcW w:w="1607" w:type="dxa"/>
                          </w:tcPr>
                          <w:p>
                            <w:pPr>
                              <w:pStyle w:val="TableParagraph"/>
                              <w:spacing w:line="186" w:lineRule="exact"/>
                              <w:ind w:left="397"/>
                              <w:rPr>
                                <w:sz w:val="18"/>
                              </w:rPr>
                            </w:pPr>
                            <w:r>
                              <w:rPr>
                                <w:spacing w:val="-2"/>
                                <w:sz w:val="18"/>
                              </w:rPr>
                              <w:t>0.080882</w:t>
                            </w:r>
                          </w:p>
                        </w:tc>
                        <w:tc>
                          <w:tcPr>
                            <w:tcW w:w="904" w:type="dxa"/>
                          </w:tcPr>
                          <w:p>
                            <w:pPr>
                              <w:pStyle w:val="TableParagraph"/>
                              <w:spacing w:line="186" w:lineRule="exact"/>
                              <w:ind w:left="-17"/>
                              <w:rPr>
                                <w:sz w:val="18"/>
                              </w:rPr>
                            </w:pPr>
                            <w:r>
                              <w:rPr>
                                <w:spacing w:val="-2"/>
                                <w:sz w:val="18"/>
                              </w:rPr>
                              <w:t>3.591736</w:t>
                            </w:r>
                          </w:p>
                        </w:tc>
                        <w:tc>
                          <w:tcPr>
                            <w:tcW w:w="768" w:type="dxa"/>
                          </w:tcPr>
                          <w:p>
                            <w:pPr>
                              <w:pStyle w:val="TableParagraph"/>
                              <w:spacing w:line="186" w:lineRule="exact"/>
                              <w:ind w:right="33"/>
                              <w:jc w:val="right"/>
                              <w:rPr>
                                <w:sz w:val="18"/>
                              </w:rPr>
                            </w:pPr>
                            <w:r>
                              <w:rPr>
                                <w:spacing w:val="-2"/>
                                <w:sz w:val="18"/>
                              </w:rPr>
                              <w:t>0.0019</w:t>
                            </w:r>
                          </w:p>
                        </w:tc>
                      </w:tr>
                      <w:tr>
                        <w:trPr>
                          <w:trHeight w:val="207" w:hRule="atLeast"/>
                        </w:trPr>
                        <w:tc>
                          <w:tcPr>
                            <w:tcW w:w="1878" w:type="dxa"/>
                          </w:tcPr>
                          <w:p>
                            <w:pPr>
                              <w:pStyle w:val="TableParagraph"/>
                              <w:spacing w:line="188" w:lineRule="exact"/>
                              <w:ind w:left="167" w:right="1"/>
                              <w:jc w:val="center"/>
                              <w:rPr>
                                <w:sz w:val="18"/>
                              </w:rPr>
                            </w:pPr>
                            <w:r>
                              <w:rPr>
                                <w:spacing w:val="-5"/>
                                <w:sz w:val="18"/>
                              </w:rPr>
                              <w:t>RES</w:t>
                            </w:r>
                          </w:p>
                        </w:tc>
                        <w:tc>
                          <w:tcPr>
                            <w:tcW w:w="1335" w:type="dxa"/>
                          </w:tcPr>
                          <w:p>
                            <w:pPr>
                              <w:pStyle w:val="TableParagraph"/>
                              <w:spacing w:line="188" w:lineRule="exact"/>
                              <w:ind w:right="118"/>
                              <w:jc w:val="right"/>
                              <w:rPr>
                                <w:sz w:val="18"/>
                              </w:rPr>
                            </w:pPr>
                            <w:r>
                              <w:rPr>
                                <w:spacing w:val="-2"/>
                                <w:sz w:val="18"/>
                              </w:rPr>
                              <w:t>0.061527</w:t>
                            </w:r>
                          </w:p>
                        </w:tc>
                        <w:tc>
                          <w:tcPr>
                            <w:tcW w:w="1607" w:type="dxa"/>
                          </w:tcPr>
                          <w:p>
                            <w:pPr>
                              <w:pStyle w:val="TableParagraph"/>
                              <w:spacing w:line="188" w:lineRule="exact"/>
                              <w:ind w:left="397"/>
                              <w:rPr>
                                <w:sz w:val="18"/>
                              </w:rPr>
                            </w:pPr>
                            <w:r>
                              <w:rPr>
                                <w:spacing w:val="-2"/>
                                <w:sz w:val="18"/>
                              </w:rPr>
                              <w:t>0.086757</w:t>
                            </w:r>
                          </w:p>
                        </w:tc>
                        <w:tc>
                          <w:tcPr>
                            <w:tcW w:w="904" w:type="dxa"/>
                          </w:tcPr>
                          <w:p>
                            <w:pPr>
                              <w:pStyle w:val="TableParagraph"/>
                              <w:spacing w:line="188" w:lineRule="exact"/>
                              <w:ind w:left="-17"/>
                              <w:rPr>
                                <w:sz w:val="18"/>
                              </w:rPr>
                            </w:pPr>
                            <w:r>
                              <w:rPr>
                                <w:spacing w:val="-2"/>
                                <w:sz w:val="18"/>
                              </w:rPr>
                              <w:t>0.709184</w:t>
                            </w:r>
                          </w:p>
                        </w:tc>
                        <w:tc>
                          <w:tcPr>
                            <w:tcW w:w="768" w:type="dxa"/>
                          </w:tcPr>
                          <w:p>
                            <w:pPr>
                              <w:pStyle w:val="TableParagraph"/>
                              <w:spacing w:line="188" w:lineRule="exact"/>
                              <w:ind w:right="33"/>
                              <w:jc w:val="right"/>
                              <w:rPr>
                                <w:sz w:val="18"/>
                              </w:rPr>
                            </w:pPr>
                            <w:r>
                              <w:rPr>
                                <w:spacing w:val="-2"/>
                                <w:sz w:val="18"/>
                              </w:rPr>
                              <w:t>0.4868</w:t>
                            </w:r>
                          </w:p>
                        </w:tc>
                      </w:tr>
                      <w:tr>
                        <w:trPr>
                          <w:trHeight w:val="202" w:hRule="atLeast"/>
                        </w:trPr>
                        <w:tc>
                          <w:tcPr>
                            <w:tcW w:w="1878" w:type="dxa"/>
                            <w:tcBorders>
                              <w:bottom w:val="double" w:sz="6" w:space="0" w:color="000000"/>
                            </w:tcBorders>
                          </w:tcPr>
                          <w:p>
                            <w:pPr>
                              <w:pStyle w:val="TableParagraph"/>
                              <w:spacing w:line="183" w:lineRule="exact"/>
                              <w:ind w:left="667"/>
                              <w:rPr>
                                <w:sz w:val="18"/>
                              </w:rPr>
                            </w:pPr>
                            <w:r>
                              <w:rPr>
                                <w:spacing w:val="-2"/>
                                <w:sz w:val="18"/>
                              </w:rPr>
                              <w:t>NEXTAS</w:t>
                            </w:r>
                          </w:p>
                        </w:tc>
                        <w:tc>
                          <w:tcPr>
                            <w:tcW w:w="1335" w:type="dxa"/>
                            <w:tcBorders>
                              <w:bottom w:val="double" w:sz="6" w:space="0" w:color="000000"/>
                            </w:tcBorders>
                          </w:tcPr>
                          <w:p>
                            <w:pPr>
                              <w:pStyle w:val="TableParagraph"/>
                              <w:spacing w:line="183" w:lineRule="exact"/>
                              <w:ind w:right="118"/>
                              <w:jc w:val="right"/>
                              <w:rPr>
                                <w:sz w:val="18"/>
                              </w:rPr>
                            </w:pPr>
                            <w:r>
                              <w:rPr>
                                <w:spacing w:val="-2"/>
                                <w:sz w:val="18"/>
                              </w:rPr>
                              <w:t>0.094702</w:t>
                            </w:r>
                          </w:p>
                        </w:tc>
                        <w:tc>
                          <w:tcPr>
                            <w:tcW w:w="1607" w:type="dxa"/>
                            <w:tcBorders>
                              <w:bottom w:val="double" w:sz="6" w:space="0" w:color="000000"/>
                            </w:tcBorders>
                          </w:tcPr>
                          <w:p>
                            <w:pPr>
                              <w:pStyle w:val="TableParagraph"/>
                              <w:spacing w:line="183" w:lineRule="exact"/>
                              <w:ind w:left="397"/>
                              <w:rPr>
                                <w:sz w:val="18"/>
                              </w:rPr>
                            </w:pPr>
                            <w:r>
                              <w:rPr>
                                <w:spacing w:val="-2"/>
                                <w:sz w:val="18"/>
                              </w:rPr>
                              <w:t>0.089734</w:t>
                            </w:r>
                          </w:p>
                        </w:tc>
                        <w:tc>
                          <w:tcPr>
                            <w:tcW w:w="904" w:type="dxa"/>
                            <w:tcBorders>
                              <w:bottom w:val="double" w:sz="6" w:space="0" w:color="000000"/>
                            </w:tcBorders>
                          </w:tcPr>
                          <w:p>
                            <w:pPr>
                              <w:pStyle w:val="TableParagraph"/>
                              <w:spacing w:line="183" w:lineRule="exact"/>
                              <w:ind w:left="-17"/>
                              <w:rPr>
                                <w:sz w:val="18"/>
                              </w:rPr>
                            </w:pPr>
                            <w:r>
                              <w:rPr>
                                <w:spacing w:val="-2"/>
                                <w:sz w:val="18"/>
                              </w:rPr>
                              <w:t>1.055371</w:t>
                            </w:r>
                          </w:p>
                        </w:tc>
                        <w:tc>
                          <w:tcPr>
                            <w:tcW w:w="768" w:type="dxa"/>
                            <w:tcBorders>
                              <w:bottom w:val="double" w:sz="6" w:space="0" w:color="000000"/>
                            </w:tcBorders>
                          </w:tcPr>
                          <w:p>
                            <w:pPr>
                              <w:pStyle w:val="TableParagraph"/>
                              <w:spacing w:line="183" w:lineRule="exact"/>
                              <w:ind w:right="33"/>
                              <w:jc w:val="right"/>
                              <w:rPr>
                                <w:sz w:val="18"/>
                              </w:rPr>
                            </w:pPr>
                            <w:r>
                              <w:rPr>
                                <w:spacing w:val="-2"/>
                                <w:sz w:val="18"/>
                              </w:rPr>
                              <w:t>0.3045</w:t>
                            </w:r>
                          </w:p>
                        </w:tc>
                      </w:tr>
                      <w:tr>
                        <w:trPr>
                          <w:trHeight w:val="250" w:hRule="atLeast"/>
                        </w:trPr>
                        <w:tc>
                          <w:tcPr>
                            <w:tcW w:w="1878" w:type="dxa"/>
                            <w:tcBorders>
                              <w:top w:val="double" w:sz="6" w:space="0" w:color="000000"/>
                            </w:tcBorders>
                          </w:tcPr>
                          <w:p>
                            <w:pPr>
                              <w:pStyle w:val="TableParagraph"/>
                              <w:spacing w:line="191" w:lineRule="exact" w:before="40"/>
                              <w:ind w:left="36"/>
                              <w:rPr>
                                <w:sz w:val="18"/>
                              </w:rPr>
                            </w:pPr>
                            <w:r>
                              <w:rPr>
                                <w:spacing w:val="-2"/>
                                <w:sz w:val="18"/>
                              </w:rPr>
                              <w:t>R-squared</w:t>
                            </w:r>
                          </w:p>
                        </w:tc>
                        <w:tc>
                          <w:tcPr>
                            <w:tcW w:w="1335" w:type="dxa"/>
                            <w:tcBorders>
                              <w:top w:val="double" w:sz="6" w:space="0" w:color="000000"/>
                            </w:tcBorders>
                          </w:tcPr>
                          <w:p>
                            <w:pPr>
                              <w:pStyle w:val="TableParagraph"/>
                              <w:spacing w:line="191" w:lineRule="exact" w:before="40"/>
                              <w:ind w:right="118"/>
                              <w:jc w:val="right"/>
                              <w:rPr>
                                <w:sz w:val="18"/>
                              </w:rPr>
                            </w:pPr>
                            <w:r>
                              <w:rPr>
                                <w:spacing w:val="-2"/>
                                <w:sz w:val="18"/>
                              </w:rPr>
                              <w:t>0.961683</w:t>
                            </w:r>
                          </w:p>
                        </w:tc>
                        <w:tc>
                          <w:tcPr>
                            <w:tcW w:w="1607" w:type="dxa"/>
                            <w:tcBorders>
                              <w:top w:val="double" w:sz="6" w:space="0" w:color="000000"/>
                            </w:tcBorders>
                          </w:tcPr>
                          <w:p>
                            <w:pPr>
                              <w:pStyle w:val="TableParagraph"/>
                              <w:spacing w:line="191" w:lineRule="exact" w:before="40"/>
                              <w:ind w:left="121"/>
                              <w:rPr>
                                <w:sz w:val="18"/>
                              </w:rPr>
                            </w:pPr>
                            <w:r>
                              <w:rPr>
                                <w:sz w:val="18"/>
                              </w:rPr>
                              <w:t>Mean</w:t>
                            </w:r>
                            <w:r>
                              <w:rPr>
                                <w:spacing w:val="-5"/>
                                <w:sz w:val="18"/>
                              </w:rPr>
                              <w:t> </w:t>
                            </w:r>
                            <w:r>
                              <w:rPr>
                                <w:sz w:val="18"/>
                              </w:rPr>
                              <w:t>dependent</w:t>
                            </w:r>
                            <w:r>
                              <w:rPr>
                                <w:spacing w:val="-1"/>
                                <w:sz w:val="18"/>
                              </w:rPr>
                              <w:t> </w:t>
                            </w:r>
                            <w:r>
                              <w:rPr>
                                <w:spacing w:val="-5"/>
                                <w:sz w:val="18"/>
                              </w:rPr>
                              <w:t>var</w:t>
                            </w:r>
                          </w:p>
                        </w:tc>
                        <w:tc>
                          <w:tcPr>
                            <w:tcW w:w="904" w:type="dxa"/>
                            <w:tcBorders>
                              <w:top w:val="double" w:sz="6" w:space="0" w:color="000000"/>
                            </w:tcBorders>
                          </w:tcPr>
                          <w:p>
                            <w:pPr>
                              <w:pStyle w:val="TableParagraph"/>
                              <w:rPr>
                                <w:sz w:val="18"/>
                              </w:rPr>
                            </w:pPr>
                          </w:p>
                        </w:tc>
                        <w:tc>
                          <w:tcPr>
                            <w:tcW w:w="768" w:type="dxa"/>
                            <w:tcBorders>
                              <w:top w:val="double" w:sz="6" w:space="0" w:color="000000"/>
                            </w:tcBorders>
                          </w:tcPr>
                          <w:p>
                            <w:pPr>
                              <w:pStyle w:val="TableParagraph"/>
                              <w:spacing w:line="191" w:lineRule="exact" w:before="40"/>
                              <w:ind w:right="33"/>
                              <w:jc w:val="right"/>
                              <w:rPr>
                                <w:sz w:val="18"/>
                              </w:rPr>
                            </w:pPr>
                            <w:r>
                              <w:rPr>
                                <w:spacing w:val="-2"/>
                                <w:sz w:val="18"/>
                              </w:rPr>
                              <w:t>14.90560</w:t>
                            </w:r>
                          </w:p>
                        </w:tc>
                      </w:tr>
                      <w:tr>
                        <w:trPr>
                          <w:trHeight w:val="207" w:hRule="atLeast"/>
                        </w:trPr>
                        <w:tc>
                          <w:tcPr>
                            <w:tcW w:w="1878" w:type="dxa"/>
                          </w:tcPr>
                          <w:p>
                            <w:pPr>
                              <w:pStyle w:val="TableParagraph"/>
                              <w:spacing w:line="188" w:lineRule="exact"/>
                              <w:ind w:left="36"/>
                              <w:rPr>
                                <w:sz w:val="18"/>
                              </w:rPr>
                            </w:pPr>
                            <w:r>
                              <w:rPr>
                                <w:sz w:val="18"/>
                              </w:rPr>
                              <w:t>Adjusted</w:t>
                            </w:r>
                            <w:r>
                              <w:rPr>
                                <w:spacing w:val="-1"/>
                                <w:sz w:val="18"/>
                              </w:rPr>
                              <w:t> </w:t>
                            </w:r>
                            <w:r>
                              <w:rPr>
                                <w:sz w:val="18"/>
                              </w:rPr>
                              <w:t>R-</w:t>
                            </w:r>
                            <w:r>
                              <w:rPr>
                                <w:spacing w:val="-2"/>
                                <w:sz w:val="18"/>
                              </w:rPr>
                              <w:t>squared</w:t>
                            </w:r>
                          </w:p>
                        </w:tc>
                        <w:tc>
                          <w:tcPr>
                            <w:tcW w:w="1335" w:type="dxa"/>
                          </w:tcPr>
                          <w:p>
                            <w:pPr>
                              <w:pStyle w:val="TableParagraph"/>
                              <w:spacing w:line="188" w:lineRule="exact"/>
                              <w:ind w:right="118"/>
                              <w:jc w:val="right"/>
                              <w:rPr>
                                <w:sz w:val="18"/>
                              </w:rPr>
                            </w:pPr>
                            <w:r>
                              <w:rPr>
                                <w:spacing w:val="-2"/>
                                <w:sz w:val="18"/>
                              </w:rPr>
                              <w:t>0.951599</w:t>
                            </w:r>
                          </w:p>
                        </w:tc>
                        <w:tc>
                          <w:tcPr>
                            <w:tcW w:w="1607" w:type="dxa"/>
                          </w:tcPr>
                          <w:p>
                            <w:pPr>
                              <w:pStyle w:val="TableParagraph"/>
                              <w:spacing w:line="188" w:lineRule="exact"/>
                              <w:ind w:left="121"/>
                              <w:rPr>
                                <w:sz w:val="18"/>
                              </w:rPr>
                            </w:pPr>
                            <w:r>
                              <w:rPr>
                                <w:sz w:val="18"/>
                              </w:rPr>
                              <w:t>S.D.</w:t>
                            </w:r>
                            <w:r>
                              <w:rPr>
                                <w:spacing w:val="-5"/>
                                <w:sz w:val="18"/>
                              </w:rPr>
                              <w:t> </w:t>
                            </w:r>
                            <w:r>
                              <w:rPr>
                                <w:sz w:val="18"/>
                              </w:rPr>
                              <w:t>dependent</w:t>
                            </w:r>
                            <w:r>
                              <w:rPr>
                                <w:spacing w:val="-3"/>
                                <w:sz w:val="18"/>
                              </w:rPr>
                              <w:t> </w:t>
                            </w:r>
                            <w:r>
                              <w:rPr>
                                <w:spacing w:val="-5"/>
                                <w:sz w:val="18"/>
                              </w:rPr>
                              <w:t>var</w:t>
                            </w:r>
                          </w:p>
                        </w:tc>
                        <w:tc>
                          <w:tcPr>
                            <w:tcW w:w="904" w:type="dxa"/>
                          </w:tcPr>
                          <w:p>
                            <w:pPr>
                              <w:pStyle w:val="TableParagraph"/>
                              <w:rPr>
                                <w:sz w:val="14"/>
                              </w:rPr>
                            </w:pPr>
                          </w:p>
                        </w:tc>
                        <w:tc>
                          <w:tcPr>
                            <w:tcW w:w="768" w:type="dxa"/>
                          </w:tcPr>
                          <w:p>
                            <w:pPr>
                              <w:pStyle w:val="TableParagraph"/>
                              <w:spacing w:line="188" w:lineRule="exact"/>
                              <w:ind w:right="32"/>
                              <w:jc w:val="right"/>
                              <w:rPr>
                                <w:sz w:val="18"/>
                              </w:rPr>
                            </w:pPr>
                            <w:r>
                              <w:rPr>
                                <w:spacing w:val="-2"/>
                                <w:sz w:val="18"/>
                              </w:rPr>
                              <w:t>1.825435</w:t>
                            </w:r>
                          </w:p>
                        </w:tc>
                      </w:tr>
                      <w:tr>
                        <w:trPr>
                          <w:trHeight w:val="207" w:hRule="atLeast"/>
                        </w:trPr>
                        <w:tc>
                          <w:tcPr>
                            <w:tcW w:w="1878" w:type="dxa"/>
                          </w:tcPr>
                          <w:p>
                            <w:pPr>
                              <w:pStyle w:val="TableParagraph"/>
                              <w:spacing w:line="188" w:lineRule="exact"/>
                              <w:ind w:left="36"/>
                              <w:rPr>
                                <w:sz w:val="18"/>
                              </w:rPr>
                            </w:pPr>
                            <w:r>
                              <w:rPr>
                                <w:sz w:val="18"/>
                              </w:rPr>
                              <w:t>S.E.</w:t>
                            </w:r>
                            <w:r>
                              <w:rPr>
                                <w:spacing w:val="-3"/>
                                <w:sz w:val="18"/>
                              </w:rPr>
                              <w:t> </w:t>
                            </w:r>
                            <w:r>
                              <w:rPr>
                                <w:sz w:val="18"/>
                              </w:rPr>
                              <w:t>of</w:t>
                            </w:r>
                            <w:r>
                              <w:rPr>
                                <w:spacing w:val="-1"/>
                                <w:sz w:val="18"/>
                              </w:rPr>
                              <w:t> </w:t>
                            </w:r>
                            <w:r>
                              <w:rPr>
                                <w:spacing w:val="-2"/>
                                <w:sz w:val="18"/>
                              </w:rPr>
                              <w:t>regression</w:t>
                            </w:r>
                          </w:p>
                        </w:tc>
                        <w:tc>
                          <w:tcPr>
                            <w:tcW w:w="1335" w:type="dxa"/>
                          </w:tcPr>
                          <w:p>
                            <w:pPr>
                              <w:pStyle w:val="TableParagraph"/>
                              <w:spacing w:line="188" w:lineRule="exact"/>
                              <w:ind w:right="118"/>
                              <w:jc w:val="right"/>
                              <w:rPr>
                                <w:sz w:val="18"/>
                              </w:rPr>
                            </w:pPr>
                            <w:r>
                              <w:rPr>
                                <w:spacing w:val="-2"/>
                                <w:sz w:val="18"/>
                              </w:rPr>
                              <w:t>0.401598</w:t>
                            </w:r>
                          </w:p>
                        </w:tc>
                        <w:tc>
                          <w:tcPr>
                            <w:tcW w:w="1607" w:type="dxa"/>
                          </w:tcPr>
                          <w:p>
                            <w:pPr>
                              <w:pStyle w:val="TableParagraph"/>
                              <w:spacing w:line="188" w:lineRule="exact"/>
                              <w:ind w:left="121" w:right="-29"/>
                              <w:rPr>
                                <w:sz w:val="18"/>
                              </w:rPr>
                            </w:pPr>
                            <w:r>
                              <w:rPr>
                                <w:sz w:val="18"/>
                              </w:rPr>
                              <w:t>Akaike</w:t>
                            </w:r>
                            <w:r>
                              <w:rPr>
                                <w:spacing w:val="-5"/>
                                <w:sz w:val="18"/>
                              </w:rPr>
                              <w:t> </w:t>
                            </w:r>
                            <w:r>
                              <w:rPr>
                                <w:sz w:val="18"/>
                              </w:rPr>
                              <w:t>info</w:t>
                            </w:r>
                            <w:r>
                              <w:rPr>
                                <w:spacing w:val="-2"/>
                                <w:sz w:val="18"/>
                              </w:rPr>
                              <w:t> criterion</w:t>
                            </w:r>
                          </w:p>
                        </w:tc>
                        <w:tc>
                          <w:tcPr>
                            <w:tcW w:w="904" w:type="dxa"/>
                          </w:tcPr>
                          <w:p>
                            <w:pPr>
                              <w:pStyle w:val="TableParagraph"/>
                              <w:rPr>
                                <w:sz w:val="14"/>
                              </w:rPr>
                            </w:pPr>
                          </w:p>
                        </w:tc>
                        <w:tc>
                          <w:tcPr>
                            <w:tcW w:w="768" w:type="dxa"/>
                          </w:tcPr>
                          <w:p>
                            <w:pPr>
                              <w:pStyle w:val="TableParagraph"/>
                              <w:spacing w:line="188" w:lineRule="exact"/>
                              <w:ind w:right="32"/>
                              <w:jc w:val="right"/>
                              <w:rPr>
                                <w:sz w:val="18"/>
                              </w:rPr>
                            </w:pPr>
                            <w:r>
                              <w:rPr>
                                <w:spacing w:val="-2"/>
                                <w:sz w:val="18"/>
                              </w:rPr>
                              <w:t>1.218833</w:t>
                            </w:r>
                          </w:p>
                        </w:tc>
                      </w:tr>
                      <w:tr>
                        <w:trPr>
                          <w:trHeight w:val="206" w:hRule="atLeast"/>
                        </w:trPr>
                        <w:tc>
                          <w:tcPr>
                            <w:tcW w:w="1878" w:type="dxa"/>
                          </w:tcPr>
                          <w:p>
                            <w:pPr>
                              <w:pStyle w:val="TableParagraph"/>
                              <w:spacing w:line="186" w:lineRule="exact"/>
                              <w:ind w:left="36"/>
                              <w:rPr>
                                <w:sz w:val="18"/>
                              </w:rPr>
                            </w:pPr>
                            <w:r>
                              <w:rPr>
                                <w:sz w:val="18"/>
                              </w:rPr>
                              <w:t>Sum</w:t>
                            </w:r>
                            <w:r>
                              <w:rPr>
                                <w:spacing w:val="-3"/>
                                <w:sz w:val="18"/>
                              </w:rPr>
                              <w:t> </w:t>
                            </w:r>
                            <w:r>
                              <w:rPr>
                                <w:sz w:val="18"/>
                              </w:rPr>
                              <w:t>squared</w:t>
                            </w:r>
                            <w:r>
                              <w:rPr>
                                <w:spacing w:val="1"/>
                                <w:sz w:val="18"/>
                              </w:rPr>
                              <w:t> </w:t>
                            </w:r>
                            <w:r>
                              <w:rPr>
                                <w:spacing w:val="-2"/>
                                <w:sz w:val="18"/>
                              </w:rPr>
                              <w:t>resid</w:t>
                            </w:r>
                          </w:p>
                        </w:tc>
                        <w:tc>
                          <w:tcPr>
                            <w:tcW w:w="1335" w:type="dxa"/>
                          </w:tcPr>
                          <w:p>
                            <w:pPr>
                              <w:pStyle w:val="TableParagraph"/>
                              <w:spacing w:line="186" w:lineRule="exact"/>
                              <w:ind w:right="118"/>
                              <w:jc w:val="right"/>
                              <w:rPr>
                                <w:sz w:val="18"/>
                              </w:rPr>
                            </w:pPr>
                            <w:r>
                              <w:rPr>
                                <w:spacing w:val="-2"/>
                                <w:sz w:val="18"/>
                              </w:rPr>
                              <w:t>3.064339</w:t>
                            </w:r>
                          </w:p>
                        </w:tc>
                        <w:tc>
                          <w:tcPr>
                            <w:tcW w:w="1607" w:type="dxa"/>
                          </w:tcPr>
                          <w:p>
                            <w:pPr>
                              <w:pStyle w:val="TableParagraph"/>
                              <w:spacing w:line="186" w:lineRule="exact"/>
                              <w:ind w:left="121"/>
                              <w:rPr>
                                <w:sz w:val="18"/>
                              </w:rPr>
                            </w:pPr>
                            <w:r>
                              <w:rPr>
                                <w:sz w:val="18"/>
                              </w:rPr>
                              <w:t>Schwarz</w:t>
                            </w:r>
                            <w:r>
                              <w:rPr>
                                <w:spacing w:val="-7"/>
                                <w:sz w:val="18"/>
                              </w:rPr>
                              <w:t> </w:t>
                            </w:r>
                            <w:r>
                              <w:rPr>
                                <w:spacing w:val="-2"/>
                                <w:sz w:val="18"/>
                              </w:rPr>
                              <w:t>criterion</w:t>
                            </w:r>
                          </w:p>
                        </w:tc>
                        <w:tc>
                          <w:tcPr>
                            <w:tcW w:w="904" w:type="dxa"/>
                          </w:tcPr>
                          <w:p>
                            <w:pPr>
                              <w:pStyle w:val="TableParagraph"/>
                              <w:rPr>
                                <w:sz w:val="14"/>
                              </w:rPr>
                            </w:pPr>
                          </w:p>
                        </w:tc>
                        <w:tc>
                          <w:tcPr>
                            <w:tcW w:w="768" w:type="dxa"/>
                          </w:tcPr>
                          <w:p>
                            <w:pPr>
                              <w:pStyle w:val="TableParagraph"/>
                              <w:spacing w:line="186" w:lineRule="exact"/>
                              <w:ind w:right="32"/>
                              <w:jc w:val="right"/>
                              <w:rPr>
                                <w:sz w:val="18"/>
                              </w:rPr>
                            </w:pPr>
                            <w:r>
                              <w:rPr>
                                <w:spacing w:val="-2"/>
                                <w:sz w:val="18"/>
                              </w:rPr>
                              <w:t>1.511363</w:t>
                            </w:r>
                          </w:p>
                        </w:tc>
                      </w:tr>
                      <w:tr>
                        <w:trPr>
                          <w:trHeight w:val="206" w:hRule="atLeast"/>
                        </w:trPr>
                        <w:tc>
                          <w:tcPr>
                            <w:tcW w:w="1878" w:type="dxa"/>
                          </w:tcPr>
                          <w:p>
                            <w:pPr>
                              <w:pStyle w:val="TableParagraph"/>
                              <w:spacing w:line="186" w:lineRule="exact"/>
                              <w:ind w:left="36"/>
                              <w:rPr>
                                <w:sz w:val="18"/>
                              </w:rPr>
                            </w:pPr>
                            <w:r>
                              <w:rPr>
                                <w:sz w:val="18"/>
                              </w:rPr>
                              <w:t>Log</w:t>
                            </w:r>
                            <w:r>
                              <w:rPr>
                                <w:spacing w:val="-2"/>
                                <w:sz w:val="18"/>
                              </w:rPr>
                              <w:t> likelihood</w:t>
                            </w:r>
                          </w:p>
                        </w:tc>
                        <w:tc>
                          <w:tcPr>
                            <w:tcW w:w="1335" w:type="dxa"/>
                          </w:tcPr>
                          <w:p>
                            <w:pPr>
                              <w:pStyle w:val="TableParagraph"/>
                              <w:spacing w:line="186" w:lineRule="exact"/>
                              <w:ind w:right="118"/>
                              <w:jc w:val="right"/>
                              <w:rPr>
                                <w:sz w:val="18"/>
                              </w:rPr>
                            </w:pPr>
                            <w:r>
                              <w:rPr>
                                <w:sz w:val="18"/>
                              </w:rPr>
                              <w:t>-</w:t>
                            </w:r>
                            <w:r>
                              <w:rPr>
                                <w:spacing w:val="-2"/>
                                <w:sz w:val="18"/>
                              </w:rPr>
                              <w:t>9.235413</w:t>
                            </w:r>
                          </w:p>
                        </w:tc>
                        <w:tc>
                          <w:tcPr>
                            <w:tcW w:w="1607" w:type="dxa"/>
                          </w:tcPr>
                          <w:p>
                            <w:pPr>
                              <w:pStyle w:val="TableParagraph"/>
                              <w:spacing w:line="186" w:lineRule="exact"/>
                              <w:ind w:left="121"/>
                              <w:rPr>
                                <w:sz w:val="18"/>
                              </w:rPr>
                            </w:pPr>
                            <w:r>
                              <w:rPr>
                                <w:sz w:val="18"/>
                              </w:rPr>
                              <w:t>F-</w:t>
                            </w:r>
                            <w:r>
                              <w:rPr>
                                <w:spacing w:val="-2"/>
                                <w:sz w:val="18"/>
                              </w:rPr>
                              <w:t>statistic</w:t>
                            </w:r>
                          </w:p>
                        </w:tc>
                        <w:tc>
                          <w:tcPr>
                            <w:tcW w:w="904" w:type="dxa"/>
                          </w:tcPr>
                          <w:p>
                            <w:pPr>
                              <w:pStyle w:val="TableParagraph"/>
                              <w:rPr>
                                <w:sz w:val="14"/>
                              </w:rPr>
                            </w:pPr>
                          </w:p>
                        </w:tc>
                        <w:tc>
                          <w:tcPr>
                            <w:tcW w:w="768" w:type="dxa"/>
                          </w:tcPr>
                          <w:p>
                            <w:pPr>
                              <w:pStyle w:val="TableParagraph"/>
                              <w:spacing w:line="186" w:lineRule="exact"/>
                              <w:ind w:right="33"/>
                              <w:jc w:val="right"/>
                              <w:rPr>
                                <w:sz w:val="18"/>
                              </w:rPr>
                            </w:pPr>
                            <w:r>
                              <w:rPr>
                                <w:spacing w:val="-2"/>
                                <w:sz w:val="18"/>
                              </w:rPr>
                              <w:t>95.37242</w:t>
                            </w:r>
                          </w:p>
                        </w:tc>
                      </w:tr>
                      <w:tr>
                        <w:trPr>
                          <w:trHeight w:val="244" w:hRule="atLeast"/>
                        </w:trPr>
                        <w:tc>
                          <w:tcPr>
                            <w:tcW w:w="1878" w:type="dxa"/>
                            <w:tcBorders>
                              <w:bottom w:val="double" w:sz="6" w:space="0" w:color="000000"/>
                            </w:tcBorders>
                          </w:tcPr>
                          <w:p>
                            <w:pPr>
                              <w:pStyle w:val="TableParagraph"/>
                              <w:spacing w:line="203" w:lineRule="exact"/>
                              <w:ind w:left="36"/>
                              <w:rPr>
                                <w:sz w:val="18"/>
                              </w:rPr>
                            </w:pPr>
                            <w:r>
                              <w:rPr>
                                <w:sz w:val="18"/>
                              </w:rPr>
                              <w:t>Durbin-Watson</w:t>
                            </w:r>
                            <w:r>
                              <w:rPr>
                                <w:spacing w:val="-2"/>
                                <w:sz w:val="18"/>
                              </w:rPr>
                              <w:t> </w:t>
                            </w:r>
                            <w:r>
                              <w:rPr>
                                <w:spacing w:val="-4"/>
                                <w:sz w:val="18"/>
                              </w:rPr>
                              <w:t>stat</w:t>
                            </w:r>
                          </w:p>
                        </w:tc>
                        <w:tc>
                          <w:tcPr>
                            <w:tcW w:w="1335" w:type="dxa"/>
                          </w:tcPr>
                          <w:p>
                            <w:pPr>
                              <w:pStyle w:val="TableParagraph"/>
                              <w:spacing w:line="203" w:lineRule="exact"/>
                              <w:ind w:right="118"/>
                              <w:jc w:val="right"/>
                              <w:rPr>
                                <w:sz w:val="18"/>
                              </w:rPr>
                            </w:pPr>
                            <w:r>
                              <w:rPr>
                                <w:spacing w:val="-2"/>
                                <w:sz w:val="18"/>
                              </w:rPr>
                              <w:t>1.313706</w:t>
                            </w:r>
                          </w:p>
                        </w:tc>
                        <w:tc>
                          <w:tcPr>
                            <w:tcW w:w="1607" w:type="dxa"/>
                            <w:tcBorders>
                              <w:bottom w:val="double" w:sz="6" w:space="0" w:color="000000"/>
                            </w:tcBorders>
                          </w:tcPr>
                          <w:p>
                            <w:pPr>
                              <w:pStyle w:val="TableParagraph"/>
                              <w:spacing w:line="203" w:lineRule="exact"/>
                              <w:ind w:left="119"/>
                              <w:rPr>
                                <w:sz w:val="18"/>
                              </w:rPr>
                            </w:pPr>
                            <w:r>
                              <w:rPr>
                                <w:spacing w:val="-2"/>
                                <w:sz w:val="18"/>
                              </w:rPr>
                              <w:t>Prob(F-statistic)</w:t>
                            </w:r>
                          </w:p>
                        </w:tc>
                        <w:tc>
                          <w:tcPr>
                            <w:tcW w:w="904" w:type="dxa"/>
                          </w:tcPr>
                          <w:p>
                            <w:pPr>
                              <w:pStyle w:val="TableParagraph"/>
                              <w:rPr>
                                <w:sz w:val="16"/>
                              </w:rPr>
                            </w:pPr>
                          </w:p>
                        </w:tc>
                        <w:tc>
                          <w:tcPr>
                            <w:tcW w:w="768" w:type="dxa"/>
                            <w:tcBorders>
                              <w:bottom w:val="double" w:sz="6" w:space="0" w:color="000000"/>
                            </w:tcBorders>
                          </w:tcPr>
                          <w:p>
                            <w:pPr>
                              <w:pStyle w:val="TableParagraph"/>
                              <w:spacing w:line="203" w:lineRule="exact"/>
                              <w:ind w:right="32"/>
                              <w:jc w:val="right"/>
                              <w:rPr>
                                <w:sz w:val="18"/>
                              </w:rPr>
                            </w:pPr>
                            <w:r>
                              <w:rPr>
                                <w:spacing w:val="-2"/>
                                <w:sz w:val="18"/>
                              </w:rPr>
                              <w:t>0.000000</w:t>
                            </w:r>
                          </w:p>
                        </w:tc>
                      </w:tr>
                    </w:tbl>
                    <w:p>
                      <w:pPr>
                        <w:pStyle w:val="BodyText"/>
                      </w:pPr>
                    </w:p>
                  </w:txbxContent>
                </v:textbox>
                <w10:wrap type="none"/>
              </v:shape>
            </w:pict>
          </mc:Fallback>
        </mc:AlternateContent>
      </w:r>
      <w:r>
        <w:rPr>
          <w:sz w:val="18"/>
        </w:rPr>
        <w:t>POST</w:t>
      </w:r>
      <w:r>
        <w:rPr>
          <w:spacing w:val="-3"/>
          <w:sz w:val="18"/>
        </w:rPr>
        <w:t> </w:t>
      </w:r>
      <w:r>
        <w:rPr>
          <w:sz w:val="18"/>
        </w:rPr>
        <w:t>SAP</w:t>
      </w:r>
      <w:r>
        <w:rPr>
          <w:spacing w:val="1"/>
          <w:sz w:val="18"/>
        </w:rPr>
        <w:t> </w:t>
      </w:r>
      <w:r>
        <w:rPr>
          <w:spacing w:val="-2"/>
          <w:sz w:val="18"/>
        </w:rPr>
        <w:t>(OLS)</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85"/>
        <w:rPr>
          <w:sz w:val="18"/>
        </w:rPr>
      </w:pPr>
    </w:p>
    <w:p>
      <w:pPr>
        <w:spacing w:before="0"/>
        <w:ind w:left="0" w:right="527" w:firstLine="0"/>
        <w:jc w:val="center"/>
        <w:rPr>
          <w:sz w:val="18"/>
        </w:rPr>
      </w:pPr>
      <w:r>
        <w:rPr>
          <w:spacing w:val="-10"/>
          <w:sz w:val="18"/>
        </w:rPr>
        <w:t>t</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47"/>
        <w:rPr>
          <w:sz w:val="18"/>
        </w:rPr>
      </w:pPr>
    </w:p>
    <w:p>
      <w:pPr>
        <w:spacing w:before="1" w:after="9"/>
        <w:ind w:left="711" w:right="0" w:firstLine="0"/>
        <w:jc w:val="left"/>
        <w:rPr>
          <w:sz w:val="18"/>
        </w:rPr>
      </w:pPr>
      <w:r>
        <w:rPr>
          <w:sz w:val="18"/>
        </w:rPr>
        <w:t>ECM</w:t>
      </w:r>
      <w:r>
        <w:rPr>
          <w:spacing w:val="1"/>
          <w:sz w:val="18"/>
        </w:rPr>
        <w:t> </w:t>
      </w:r>
      <w:r>
        <w:rPr>
          <w:sz w:val="18"/>
        </w:rPr>
        <w:t>FOR MODEL</w:t>
      </w:r>
      <w:r>
        <w:rPr>
          <w:spacing w:val="-2"/>
          <w:sz w:val="18"/>
        </w:rPr>
        <w:t> </w:t>
      </w:r>
      <w:r>
        <w:rPr>
          <w:spacing w:val="-5"/>
          <w:sz w:val="18"/>
        </w:rPr>
        <w:t>6B</w:t>
      </w:r>
    </w:p>
    <w:tbl>
      <w:tblPr>
        <w:tblW w:w="0" w:type="auto"/>
        <w:jc w:val="left"/>
        <w:tblInd w:w="7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01"/>
      </w:tblGrid>
      <w:tr>
        <w:trPr>
          <w:trHeight w:val="409" w:hRule="atLeast"/>
        </w:trPr>
        <w:tc>
          <w:tcPr>
            <w:tcW w:w="1301" w:type="dxa"/>
          </w:tcPr>
          <w:p>
            <w:pPr>
              <w:pStyle w:val="TableParagraph"/>
              <w:spacing w:line="199" w:lineRule="exact"/>
              <w:ind w:left="1" w:right="1"/>
              <w:jc w:val="center"/>
              <w:rPr>
                <w:sz w:val="18"/>
              </w:rPr>
            </w:pPr>
            <w:r>
              <w:rPr>
                <w:sz w:val="18"/>
              </w:rPr>
              <w:t>Last</w:t>
            </w:r>
            <w:r>
              <w:rPr>
                <w:spacing w:val="-3"/>
                <w:sz w:val="18"/>
              </w:rPr>
              <w:t> </w:t>
            </w:r>
            <w:r>
              <w:rPr>
                <w:spacing w:val="-2"/>
                <w:sz w:val="18"/>
              </w:rPr>
              <w:t>updated:</w:t>
            </w:r>
          </w:p>
          <w:p>
            <w:pPr>
              <w:pStyle w:val="TableParagraph"/>
              <w:spacing w:line="190" w:lineRule="exact"/>
              <w:ind w:left="1" w:right="1"/>
              <w:jc w:val="center"/>
              <w:rPr>
                <w:sz w:val="18"/>
              </w:rPr>
            </w:pPr>
            <w:r>
              <w:rPr>
                <w:sz w:val="18"/>
              </w:rPr>
              <w:t>02/17/14</w:t>
            </w:r>
            <w:r>
              <w:rPr>
                <w:spacing w:val="-2"/>
                <w:sz w:val="18"/>
              </w:rPr>
              <w:t> </w:t>
            </w:r>
            <w:r>
              <w:rPr>
                <w:sz w:val="18"/>
              </w:rPr>
              <w:t>-</w:t>
            </w:r>
            <w:r>
              <w:rPr>
                <w:spacing w:val="1"/>
                <w:sz w:val="18"/>
              </w:rPr>
              <w:t> </w:t>
            </w:r>
            <w:r>
              <w:rPr>
                <w:spacing w:val="-2"/>
                <w:sz w:val="18"/>
              </w:rPr>
              <w:t>18:07</w:t>
            </w:r>
          </w:p>
        </w:tc>
      </w:tr>
      <w:tr>
        <w:trPr>
          <w:trHeight w:val="725" w:hRule="atLeast"/>
        </w:trPr>
        <w:tc>
          <w:tcPr>
            <w:tcW w:w="1301" w:type="dxa"/>
          </w:tcPr>
          <w:p>
            <w:pPr>
              <w:pStyle w:val="TableParagraph"/>
              <w:spacing w:line="203" w:lineRule="exact"/>
              <w:ind w:right="1"/>
              <w:jc w:val="center"/>
              <w:rPr>
                <w:sz w:val="18"/>
              </w:rPr>
            </w:pPr>
            <w:r>
              <w:rPr>
                <w:sz w:val="18"/>
              </w:rPr>
              <w:t>Modified:</w:t>
            </w:r>
            <w:r>
              <w:rPr>
                <w:spacing w:val="-4"/>
                <w:sz w:val="18"/>
              </w:rPr>
              <w:t> 1987</w:t>
            </w:r>
          </w:p>
          <w:p>
            <w:pPr>
              <w:pStyle w:val="TableParagraph"/>
              <w:ind w:left="280" w:right="280" w:firstLine="2"/>
              <w:jc w:val="center"/>
              <w:rPr>
                <w:sz w:val="18"/>
              </w:rPr>
            </w:pPr>
            <w:r>
              <w:rPr>
                <w:sz w:val="18"/>
              </w:rPr>
              <w:t>2011 // </w:t>
            </w:r>
            <w:r>
              <w:rPr>
                <w:spacing w:val="-2"/>
                <w:sz w:val="18"/>
              </w:rPr>
              <w:t>makeresid</w:t>
            </w:r>
          </w:p>
        </w:tc>
      </w:tr>
      <w:tr>
        <w:trPr>
          <w:trHeight w:val="309" w:hRule="atLeast"/>
        </w:trPr>
        <w:tc>
          <w:tcPr>
            <w:tcW w:w="1301" w:type="dxa"/>
          </w:tcPr>
          <w:p>
            <w:pPr>
              <w:pStyle w:val="TableParagraph"/>
              <w:spacing w:line="191" w:lineRule="exact" w:before="99"/>
              <w:ind w:left="46" w:right="1"/>
              <w:jc w:val="center"/>
              <w:rPr>
                <w:sz w:val="18"/>
              </w:rPr>
            </w:pPr>
            <w:r>
              <w:rPr>
                <w:spacing w:val="-2"/>
                <w:sz w:val="18"/>
              </w:rPr>
              <w:t>0.389977</w:t>
            </w:r>
          </w:p>
        </w:tc>
      </w:tr>
      <w:tr>
        <w:trPr>
          <w:trHeight w:val="206" w:hRule="atLeast"/>
        </w:trPr>
        <w:tc>
          <w:tcPr>
            <w:tcW w:w="1301" w:type="dxa"/>
          </w:tcPr>
          <w:p>
            <w:pPr>
              <w:pStyle w:val="TableParagraph"/>
              <w:spacing w:line="186" w:lineRule="exact"/>
              <w:ind w:left="46" w:right="1"/>
              <w:jc w:val="center"/>
              <w:rPr>
                <w:sz w:val="18"/>
              </w:rPr>
            </w:pPr>
            <w:r>
              <w:rPr>
                <w:spacing w:val="-2"/>
                <w:sz w:val="18"/>
              </w:rPr>
              <w:t>0.148484</w:t>
            </w:r>
          </w:p>
        </w:tc>
      </w:tr>
      <w:tr>
        <w:trPr>
          <w:trHeight w:val="207" w:hRule="atLeast"/>
        </w:trPr>
        <w:tc>
          <w:tcPr>
            <w:tcW w:w="1301" w:type="dxa"/>
          </w:tcPr>
          <w:p>
            <w:pPr>
              <w:pStyle w:val="TableParagraph"/>
              <w:spacing w:line="188" w:lineRule="exact"/>
              <w:ind w:left="1" w:right="1"/>
              <w:jc w:val="center"/>
              <w:rPr>
                <w:sz w:val="18"/>
              </w:rPr>
            </w:pPr>
            <w:r>
              <w:rPr>
                <w:sz w:val="18"/>
              </w:rPr>
              <w:t>-</w:t>
            </w:r>
            <w:r>
              <w:rPr>
                <w:spacing w:val="-2"/>
                <w:sz w:val="18"/>
              </w:rPr>
              <w:t>0.318847</w:t>
            </w:r>
          </w:p>
        </w:tc>
      </w:tr>
      <w:tr>
        <w:trPr>
          <w:trHeight w:val="207" w:hRule="atLeast"/>
        </w:trPr>
        <w:tc>
          <w:tcPr>
            <w:tcW w:w="1301" w:type="dxa"/>
          </w:tcPr>
          <w:p>
            <w:pPr>
              <w:pStyle w:val="TableParagraph"/>
              <w:spacing w:line="188" w:lineRule="exact"/>
              <w:ind w:left="1" w:right="1"/>
              <w:jc w:val="center"/>
              <w:rPr>
                <w:sz w:val="18"/>
              </w:rPr>
            </w:pPr>
            <w:r>
              <w:rPr>
                <w:sz w:val="18"/>
              </w:rPr>
              <w:t>-</w:t>
            </w:r>
            <w:r>
              <w:rPr>
                <w:spacing w:val="-2"/>
                <w:sz w:val="18"/>
              </w:rPr>
              <w:t>0.581594</w:t>
            </w:r>
          </w:p>
        </w:tc>
      </w:tr>
      <w:tr>
        <w:trPr>
          <w:trHeight w:val="206" w:hRule="atLeast"/>
        </w:trPr>
        <w:tc>
          <w:tcPr>
            <w:tcW w:w="1301" w:type="dxa"/>
          </w:tcPr>
          <w:p>
            <w:pPr>
              <w:pStyle w:val="TableParagraph"/>
              <w:spacing w:line="186" w:lineRule="exact"/>
              <w:ind w:left="1" w:right="1"/>
              <w:jc w:val="center"/>
              <w:rPr>
                <w:sz w:val="18"/>
              </w:rPr>
            </w:pPr>
            <w:r>
              <w:rPr>
                <w:sz w:val="18"/>
              </w:rPr>
              <w:t>-</w:t>
            </w:r>
            <w:r>
              <w:rPr>
                <w:spacing w:val="-2"/>
                <w:sz w:val="18"/>
              </w:rPr>
              <w:t>0.010696</w:t>
            </w:r>
          </w:p>
        </w:tc>
      </w:tr>
      <w:tr>
        <w:trPr>
          <w:trHeight w:val="206" w:hRule="atLeast"/>
        </w:trPr>
        <w:tc>
          <w:tcPr>
            <w:tcW w:w="1301" w:type="dxa"/>
          </w:tcPr>
          <w:p>
            <w:pPr>
              <w:pStyle w:val="TableParagraph"/>
              <w:spacing w:line="186" w:lineRule="exact"/>
              <w:ind w:left="1" w:right="1"/>
              <w:jc w:val="center"/>
              <w:rPr>
                <w:sz w:val="18"/>
              </w:rPr>
            </w:pPr>
            <w:r>
              <w:rPr>
                <w:sz w:val="18"/>
              </w:rPr>
              <w:t>-</w:t>
            </w:r>
            <w:r>
              <w:rPr>
                <w:spacing w:val="-2"/>
                <w:sz w:val="18"/>
              </w:rPr>
              <w:t>0.215419</w:t>
            </w:r>
          </w:p>
        </w:tc>
      </w:tr>
      <w:tr>
        <w:trPr>
          <w:trHeight w:val="207" w:hRule="atLeast"/>
        </w:trPr>
        <w:tc>
          <w:tcPr>
            <w:tcW w:w="1301" w:type="dxa"/>
          </w:tcPr>
          <w:p>
            <w:pPr>
              <w:pStyle w:val="TableParagraph"/>
              <w:spacing w:line="188" w:lineRule="exact"/>
              <w:ind w:left="1" w:right="1"/>
              <w:jc w:val="center"/>
              <w:rPr>
                <w:sz w:val="18"/>
              </w:rPr>
            </w:pPr>
            <w:r>
              <w:rPr>
                <w:sz w:val="18"/>
              </w:rPr>
              <w:t>-</w:t>
            </w:r>
            <w:r>
              <w:rPr>
                <w:spacing w:val="-2"/>
                <w:sz w:val="18"/>
              </w:rPr>
              <w:t>0.340886</w:t>
            </w:r>
          </w:p>
        </w:tc>
      </w:tr>
      <w:tr>
        <w:trPr>
          <w:trHeight w:val="207" w:hRule="atLeast"/>
        </w:trPr>
        <w:tc>
          <w:tcPr>
            <w:tcW w:w="1301" w:type="dxa"/>
          </w:tcPr>
          <w:p>
            <w:pPr>
              <w:pStyle w:val="TableParagraph"/>
              <w:spacing w:line="188" w:lineRule="exact"/>
              <w:ind w:left="1" w:right="1"/>
              <w:jc w:val="center"/>
              <w:rPr>
                <w:sz w:val="18"/>
              </w:rPr>
            </w:pPr>
            <w:r>
              <w:rPr>
                <w:sz w:val="18"/>
              </w:rPr>
              <w:t>-</w:t>
            </w:r>
            <w:r>
              <w:rPr>
                <w:spacing w:val="-2"/>
                <w:sz w:val="18"/>
              </w:rPr>
              <w:t>0.184664</w:t>
            </w:r>
          </w:p>
        </w:tc>
      </w:tr>
      <w:tr>
        <w:trPr>
          <w:trHeight w:val="206" w:hRule="atLeast"/>
        </w:trPr>
        <w:tc>
          <w:tcPr>
            <w:tcW w:w="1301" w:type="dxa"/>
          </w:tcPr>
          <w:p>
            <w:pPr>
              <w:pStyle w:val="TableParagraph"/>
              <w:spacing w:line="186" w:lineRule="exact"/>
              <w:ind w:left="1" w:right="1"/>
              <w:jc w:val="center"/>
              <w:rPr>
                <w:sz w:val="18"/>
              </w:rPr>
            </w:pPr>
            <w:r>
              <w:rPr>
                <w:sz w:val="18"/>
              </w:rPr>
              <w:t>-</w:t>
            </w:r>
            <w:r>
              <w:rPr>
                <w:spacing w:val="-2"/>
                <w:sz w:val="18"/>
              </w:rPr>
              <w:t>0.232138</w:t>
            </w:r>
          </w:p>
        </w:tc>
      </w:tr>
      <w:tr>
        <w:trPr>
          <w:trHeight w:val="206" w:hRule="atLeast"/>
        </w:trPr>
        <w:tc>
          <w:tcPr>
            <w:tcW w:w="1301" w:type="dxa"/>
          </w:tcPr>
          <w:p>
            <w:pPr>
              <w:pStyle w:val="TableParagraph"/>
              <w:spacing w:line="186" w:lineRule="exact"/>
              <w:ind w:left="1" w:right="1"/>
              <w:jc w:val="center"/>
              <w:rPr>
                <w:sz w:val="18"/>
              </w:rPr>
            </w:pPr>
            <w:r>
              <w:rPr>
                <w:sz w:val="18"/>
              </w:rPr>
              <w:t>-</w:t>
            </w:r>
            <w:r>
              <w:rPr>
                <w:spacing w:val="-2"/>
                <w:sz w:val="18"/>
              </w:rPr>
              <w:t>0.309176</w:t>
            </w:r>
          </w:p>
        </w:tc>
      </w:tr>
      <w:tr>
        <w:trPr>
          <w:trHeight w:val="207" w:hRule="atLeast"/>
        </w:trPr>
        <w:tc>
          <w:tcPr>
            <w:tcW w:w="1301" w:type="dxa"/>
          </w:tcPr>
          <w:p>
            <w:pPr>
              <w:pStyle w:val="TableParagraph"/>
              <w:spacing w:line="188" w:lineRule="exact"/>
              <w:ind w:left="46" w:right="1"/>
              <w:jc w:val="center"/>
              <w:rPr>
                <w:sz w:val="18"/>
              </w:rPr>
            </w:pPr>
            <w:r>
              <w:rPr>
                <w:spacing w:val="-2"/>
                <w:sz w:val="18"/>
              </w:rPr>
              <w:t>0.206162</w:t>
            </w:r>
          </w:p>
        </w:tc>
      </w:tr>
      <w:tr>
        <w:trPr>
          <w:trHeight w:val="207" w:hRule="atLeast"/>
        </w:trPr>
        <w:tc>
          <w:tcPr>
            <w:tcW w:w="1301" w:type="dxa"/>
          </w:tcPr>
          <w:p>
            <w:pPr>
              <w:pStyle w:val="TableParagraph"/>
              <w:spacing w:line="188" w:lineRule="exact"/>
              <w:ind w:left="1" w:right="1"/>
              <w:jc w:val="center"/>
              <w:rPr>
                <w:sz w:val="18"/>
              </w:rPr>
            </w:pPr>
            <w:r>
              <w:rPr>
                <w:sz w:val="18"/>
              </w:rPr>
              <w:t>-</w:t>
            </w:r>
            <w:r>
              <w:rPr>
                <w:spacing w:val="-2"/>
                <w:sz w:val="18"/>
              </w:rPr>
              <w:t>0.044583</w:t>
            </w:r>
          </w:p>
        </w:tc>
      </w:tr>
      <w:tr>
        <w:trPr>
          <w:trHeight w:val="206" w:hRule="atLeast"/>
        </w:trPr>
        <w:tc>
          <w:tcPr>
            <w:tcW w:w="1301" w:type="dxa"/>
          </w:tcPr>
          <w:p>
            <w:pPr>
              <w:pStyle w:val="TableParagraph"/>
              <w:spacing w:line="186" w:lineRule="exact"/>
              <w:ind w:left="46" w:right="1"/>
              <w:jc w:val="center"/>
              <w:rPr>
                <w:sz w:val="18"/>
              </w:rPr>
            </w:pPr>
            <w:r>
              <w:rPr>
                <w:spacing w:val="-2"/>
                <w:sz w:val="18"/>
              </w:rPr>
              <w:t>0.056552</w:t>
            </w:r>
          </w:p>
        </w:tc>
      </w:tr>
      <w:tr>
        <w:trPr>
          <w:trHeight w:val="206" w:hRule="atLeast"/>
        </w:trPr>
        <w:tc>
          <w:tcPr>
            <w:tcW w:w="1301" w:type="dxa"/>
          </w:tcPr>
          <w:p>
            <w:pPr>
              <w:pStyle w:val="TableParagraph"/>
              <w:spacing w:line="186" w:lineRule="exact"/>
              <w:ind w:left="1" w:right="1"/>
              <w:jc w:val="center"/>
              <w:rPr>
                <w:sz w:val="18"/>
              </w:rPr>
            </w:pPr>
            <w:r>
              <w:rPr>
                <w:sz w:val="18"/>
              </w:rPr>
              <w:t>-</w:t>
            </w:r>
            <w:r>
              <w:rPr>
                <w:spacing w:val="-2"/>
                <w:sz w:val="18"/>
              </w:rPr>
              <w:t>0.357526</w:t>
            </w:r>
          </w:p>
        </w:tc>
      </w:tr>
      <w:tr>
        <w:trPr>
          <w:trHeight w:val="207" w:hRule="atLeast"/>
        </w:trPr>
        <w:tc>
          <w:tcPr>
            <w:tcW w:w="1301" w:type="dxa"/>
          </w:tcPr>
          <w:p>
            <w:pPr>
              <w:pStyle w:val="TableParagraph"/>
              <w:spacing w:line="188" w:lineRule="exact"/>
              <w:ind w:left="46" w:right="1"/>
              <w:jc w:val="center"/>
              <w:rPr>
                <w:sz w:val="18"/>
              </w:rPr>
            </w:pPr>
            <w:r>
              <w:rPr>
                <w:spacing w:val="-2"/>
                <w:sz w:val="18"/>
              </w:rPr>
              <w:t>0.328735</w:t>
            </w:r>
          </w:p>
        </w:tc>
      </w:tr>
      <w:tr>
        <w:trPr>
          <w:trHeight w:val="207" w:hRule="atLeast"/>
        </w:trPr>
        <w:tc>
          <w:tcPr>
            <w:tcW w:w="1301" w:type="dxa"/>
          </w:tcPr>
          <w:p>
            <w:pPr>
              <w:pStyle w:val="TableParagraph"/>
              <w:spacing w:line="188" w:lineRule="exact"/>
              <w:ind w:left="46" w:right="1"/>
              <w:jc w:val="center"/>
              <w:rPr>
                <w:sz w:val="18"/>
              </w:rPr>
            </w:pPr>
            <w:r>
              <w:rPr>
                <w:spacing w:val="-2"/>
                <w:sz w:val="18"/>
              </w:rPr>
              <w:t>0.826012</w:t>
            </w:r>
          </w:p>
        </w:tc>
      </w:tr>
      <w:tr>
        <w:trPr>
          <w:trHeight w:val="206" w:hRule="atLeast"/>
        </w:trPr>
        <w:tc>
          <w:tcPr>
            <w:tcW w:w="1301" w:type="dxa"/>
          </w:tcPr>
          <w:p>
            <w:pPr>
              <w:pStyle w:val="TableParagraph"/>
              <w:spacing w:line="187" w:lineRule="exact"/>
              <w:ind w:left="46" w:right="1"/>
              <w:jc w:val="center"/>
              <w:rPr>
                <w:sz w:val="18"/>
              </w:rPr>
            </w:pPr>
            <w:r>
              <w:rPr>
                <w:spacing w:val="-2"/>
                <w:sz w:val="18"/>
              </w:rPr>
              <w:t>0.513905</w:t>
            </w:r>
          </w:p>
        </w:tc>
      </w:tr>
      <w:tr>
        <w:trPr>
          <w:trHeight w:val="206" w:hRule="atLeast"/>
        </w:trPr>
        <w:tc>
          <w:tcPr>
            <w:tcW w:w="1301" w:type="dxa"/>
          </w:tcPr>
          <w:p>
            <w:pPr>
              <w:pStyle w:val="TableParagraph"/>
              <w:spacing w:line="186" w:lineRule="exact"/>
              <w:ind w:left="1" w:right="1"/>
              <w:jc w:val="center"/>
              <w:rPr>
                <w:sz w:val="18"/>
              </w:rPr>
            </w:pPr>
            <w:r>
              <w:rPr>
                <w:sz w:val="18"/>
              </w:rPr>
              <w:t>-</w:t>
            </w:r>
            <w:r>
              <w:rPr>
                <w:spacing w:val="-2"/>
                <w:sz w:val="18"/>
              </w:rPr>
              <w:t>0.072306</w:t>
            </w:r>
          </w:p>
        </w:tc>
      </w:tr>
      <w:tr>
        <w:trPr>
          <w:trHeight w:val="207" w:hRule="atLeast"/>
        </w:trPr>
        <w:tc>
          <w:tcPr>
            <w:tcW w:w="1301" w:type="dxa"/>
          </w:tcPr>
          <w:p>
            <w:pPr>
              <w:pStyle w:val="TableParagraph"/>
              <w:spacing w:line="188" w:lineRule="exact"/>
              <w:ind w:left="1" w:right="1"/>
              <w:jc w:val="center"/>
              <w:rPr>
                <w:sz w:val="18"/>
              </w:rPr>
            </w:pPr>
            <w:r>
              <w:rPr>
                <w:sz w:val="18"/>
              </w:rPr>
              <w:t>-</w:t>
            </w:r>
            <w:r>
              <w:rPr>
                <w:spacing w:val="-2"/>
                <w:sz w:val="18"/>
              </w:rPr>
              <w:t>0.185634</w:t>
            </w:r>
          </w:p>
        </w:tc>
      </w:tr>
      <w:tr>
        <w:trPr>
          <w:trHeight w:val="207" w:hRule="atLeast"/>
        </w:trPr>
        <w:tc>
          <w:tcPr>
            <w:tcW w:w="1301" w:type="dxa"/>
          </w:tcPr>
          <w:p>
            <w:pPr>
              <w:pStyle w:val="TableParagraph"/>
              <w:spacing w:line="188" w:lineRule="exact"/>
              <w:ind w:left="1" w:right="1"/>
              <w:jc w:val="center"/>
              <w:rPr>
                <w:sz w:val="18"/>
              </w:rPr>
            </w:pPr>
            <w:r>
              <w:rPr>
                <w:sz w:val="18"/>
              </w:rPr>
              <w:t>-</w:t>
            </w:r>
            <w:r>
              <w:rPr>
                <w:spacing w:val="-2"/>
                <w:sz w:val="18"/>
              </w:rPr>
              <w:t>0.038665</w:t>
            </w:r>
          </w:p>
        </w:tc>
      </w:tr>
      <w:tr>
        <w:trPr>
          <w:trHeight w:val="206" w:hRule="atLeast"/>
        </w:trPr>
        <w:tc>
          <w:tcPr>
            <w:tcW w:w="1301" w:type="dxa"/>
          </w:tcPr>
          <w:p>
            <w:pPr>
              <w:pStyle w:val="TableParagraph"/>
              <w:spacing w:line="186" w:lineRule="exact"/>
              <w:ind w:left="46" w:right="1"/>
              <w:jc w:val="center"/>
              <w:rPr>
                <w:sz w:val="18"/>
              </w:rPr>
            </w:pPr>
            <w:r>
              <w:rPr>
                <w:spacing w:val="-2"/>
                <w:sz w:val="18"/>
              </w:rPr>
              <w:t>0.338466</w:t>
            </w:r>
          </w:p>
        </w:tc>
      </w:tr>
      <w:tr>
        <w:trPr>
          <w:trHeight w:val="206" w:hRule="atLeast"/>
        </w:trPr>
        <w:tc>
          <w:tcPr>
            <w:tcW w:w="1301" w:type="dxa"/>
          </w:tcPr>
          <w:p>
            <w:pPr>
              <w:pStyle w:val="TableParagraph"/>
              <w:spacing w:line="186" w:lineRule="exact"/>
              <w:ind w:left="46" w:right="1"/>
              <w:jc w:val="center"/>
              <w:rPr>
                <w:sz w:val="18"/>
              </w:rPr>
            </w:pPr>
            <w:r>
              <w:rPr>
                <w:spacing w:val="-2"/>
                <w:sz w:val="18"/>
              </w:rPr>
              <w:t>0.271469</w:t>
            </w:r>
          </w:p>
        </w:tc>
      </w:tr>
      <w:tr>
        <w:trPr>
          <w:trHeight w:val="207" w:hRule="atLeast"/>
        </w:trPr>
        <w:tc>
          <w:tcPr>
            <w:tcW w:w="1301" w:type="dxa"/>
          </w:tcPr>
          <w:p>
            <w:pPr>
              <w:pStyle w:val="TableParagraph"/>
              <w:spacing w:line="188" w:lineRule="exact"/>
              <w:ind w:left="46" w:right="1"/>
              <w:jc w:val="center"/>
              <w:rPr>
                <w:sz w:val="18"/>
              </w:rPr>
            </w:pPr>
            <w:r>
              <w:rPr>
                <w:spacing w:val="-2"/>
                <w:sz w:val="18"/>
              </w:rPr>
              <w:t>0.555067</w:t>
            </w:r>
          </w:p>
        </w:tc>
      </w:tr>
      <w:tr>
        <w:trPr>
          <w:trHeight w:val="207" w:hRule="atLeast"/>
        </w:trPr>
        <w:tc>
          <w:tcPr>
            <w:tcW w:w="1301" w:type="dxa"/>
          </w:tcPr>
          <w:p>
            <w:pPr>
              <w:pStyle w:val="TableParagraph"/>
              <w:spacing w:line="188" w:lineRule="exact"/>
              <w:ind w:left="1" w:right="1"/>
              <w:jc w:val="center"/>
              <w:rPr>
                <w:sz w:val="18"/>
              </w:rPr>
            </w:pPr>
            <w:r>
              <w:rPr>
                <w:sz w:val="18"/>
              </w:rPr>
              <w:t>-</w:t>
            </w:r>
            <w:r>
              <w:rPr>
                <w:spacing w:val="-2"/>
                <w:sz w:val="18"/>
              </w:rPr>
              <w:t>0.545537</w:t>
            </w:r>
          </w:p>
        </w:tc>
      </w:tr>
      <w:tr>
        <w:trPr>
          <w:trHeight w:val="202" w:hRule="atLeast"/>
        </w:trPr>
        <w:tc>
          <w:tcPr>
            <w:tcW w:w="1301" w:type="dxa"/>
          </w:tcPr>
          <w:p>
            <w:pPr>
              <w:pStyle w:val="TableParagraph"/>
              <w:spacing w:line="183" w:lineRule="exact"/>
              <w:ind w:left="1" w:right="1"/>
              <w:jc w:val="center"/>
              <w:rPr>
                <w:sz w:val="18"/>
              </w:rPr>
            </w:pPr>
            <w:r>
              <w:rPr>
                <w:sz w:val="18"/>
              </w:rPr>
              <w:t>-</w:t>
            </w:r>
            <w:r>
              <w:rPr>
                <w:spacing w:val="-2"/>
                <w:sz w:val="18"/>
              </w:rPr>
              <w:t>0.197154</w:t>
            </w:r>
          </w:p>
        </w:tc>
      </w:tr>
    </w:tbl>
    <w:p>
      <w:pPr>
        <w:spacing w:after="0" w:line="183" w:lineRule="exact"/>
        <w:jc w:val="center"/>
        <w:rPr>
          <w:sz w:val="18"/>
        </w:rPr>
        <w:sectPr>
          <w:pgSz w:w="11910" w:h="16840"/>
          <w:pgMar w:header="0" w:footer="982" w:top="1580" w:bottom="1240" w:left="280" w:right="0"/>
        </w:sectPr>
      </w:pPr>
    </w:p>
    <w:p>
      <w:pPr>
        <w:spacing w:line="482" w:lineRule="auto" w:before="74"/>
        <w:ind w:left="711" w:right="7841" w:firstLine="0"/>
        <w:jc w:val="left"/>
        <w:rPr>
          <w:sz w:val="18"/>
        </w:rPr>
      </w:pPr>
      <w:r>
        <w:rPr/>
        <mc:AlternateContent>
          <mc:Choice Requires="wps">
            <w:drawing>
              <wp:anchor distT="0" distB="0" distL="0" distR="0" allowOverlap="1" layoutInCell="1" locked="0" behindDoc="0" simplePos="0" relativeHeight="15762944">
                <wp:simplePos x="0" y="0"/>
                <wp:positionH relativeFrom="page">
                  <wp:posOffset>606551</wp:posOffset>
                </wp:positionH>
                <wp:positionV relativeFrom="paragraph">
                  <wp:posOffset>442467</wp:posOffset>
                </wp:positionV>
                <wp:extent cx="4196715" cy="3151505"/>
                <wp:effectExtent l="0" t="0" r="0" b="0"/>
                <wp:wrapNone/>
                <wp:docPr id="315" name="Textbox 315"/>
                <wp:cNvGraphicFramePr>
                  <a:graphicFrameLocks/>
                </wp:cNvGraphicFramePr>
                <a:graphic>
                  <a:graphicData uri="http://schemas.microsoft.com/office/word/2010/wordprocessingShape">
                    <wps:wsp>
                      <wps:cNvPr id="315" name="Textbox 315"/>
                      <wps:cNvSpPr txBox="1"/>
                      <wps:spPr>
                        <a:xfrm>
                          <a:off x="0" y="0"/>
                          <a:ext cx="4196715" cy="315150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70"/>
                              <w:gridCol w:w="1443"/>
                              <w:gridCol w:w="1522"/>
                              <w:gridCol w:w="869"/>
                              <w:gridCol w:w="888"/>
                            </w:tblGrid>
                            <w:tr>
                              <w:trPr>
                                <w:trHeight w:val="202" w:hRule="atLeast"/>
                              </w:trPr>
                              <w:tc>
                                <w:tcPr>
                                  <w:tcW w:w="1770" w:type="dxa"/>
                                </w:tcPr>
                                <w:p>
                                  <w:pPr>
                                    <w:pStyle w:val="TableParagraph"/>
                                    <w:spacing w:line="183" w:lineRule="exact"/>
                                    <w:ind w:left="36"/>
                                    <w:rPr>
                                      <w:sz w:val="18"/>
                                    </w:rPr>
                                  </w:pPr>
                                  <w:r>
                                    <w:rPr>
                                      <w:sz w:val="18"/>
                                    </w:rPr>
                                    <w:t>ADF</w:t>
                                  </w:r>
                                  <w:r>
                                    <w:rPr>
                                      <w:spacing w:val="-1"/>
                                      <w:sz w:val="18"/>
                                    </w:rPr>
                                    <w:t> </w:t>
                                  </w:r>
                                  <w:r>
                                    <w:rPr>
                                      <w:sz w:val="18"/>
                                    </w:rPr>
                                    <w:t>Test</w:t>
                                  </w:r>
                                  <w:r>
                                    <w:rPr>
                                      <w:spacing w:val="-2"/>
                                      <w:sz w:val="18"/>
                                    </w:rPr>
                                    <w:t> Statistic</w:t>
                                  </w:r>
                                </w:p>
                              </w:tc>
                              <w:tc>
                                <w:tcPr>
                                  <w:tcW w:w="1443" w:type="dxa"/>
                                </w:tcPr>
                                <w:p>
                                  <w:pPr>
                                    <w:pStyle w:val="TableParagraph"/>
                                    <w:spacing w:line="183" w:lineRule="exact"/>
                                    <w:ind w:left="296"/>
                                    <w:rPr>
                                      <w:sz w:val="18"/>
                                    </w:rPr>
                                  </w:pPr>
                                  <w:r>
                                    <w:rPr>
                                      <w:sz w:val="18"/>
                                    </w:rPr>
                                    <w:t>-</w:t>
                                  </w:r>
                                  <w:r>
                                    <w:rPr>
                                      <w:spacing w:val="-2"/>
                                      <w:sz w:val="18"/>
                                    </w:rPr>
                                    <w:t>1.984437</w:t>
                                  </w:r>
                                </w:p>
                              </w:tc>
                              <w:tc>
                                <w:tcPr>
                                  <w:tcW w:w="2391" w:type="dxa"/>
                                  <w:gridSpan w:val="2"/>
                                </w:tcPr>
                                <w:p>
                                  <w:pPr>
                                    <w:pStyle w:val="TableParagraph"/>
                                    <w:spacing w:line="183" w:lineRule="exact"/>
                                    <w:ind w:left="121"/>
                                    <w:rPr>
                                      <w:sz w:val="18"/>
                                    </w:rPr>
                                  </w:pPr>
                                  <w:r>
                                    <w:rPr>
                                      <w:sz w:val="18"/>
                                    </w:rPr>
                                    <w:t>1%</w:t>
                                  </w:r>
                                  <w:r>
                                    <w:rPr>
                                      <w:spacing w:val="63"/>
                                      <w:w w:val="150"/>
                                      <w:sz w:val="18"/>
                                    </w:rPr>
                                    <w:t> </w:t>
                                  </w:r>
                                  <w:r>
                                    <w:rPr>
                                      <w:sz w:val="18"/>
                                    </w:rPr>
                                    <w:t>Critical</w:t>
                                  </w:r>
                                  <w:r>
                                    <w:rPr>
                                      <w:spacing w:val="-2"/>
                                      <w:sz w:val="18"/>
                                    </w:rPr>
                                    <w:t> Value*</w:t>
                                  </w:r>
                                </w:p>
                              </w:tc>
                              <w:tc>
                                <w:tcPr>
                                  <w:tcW w:w="888" w:type="dxa"/>
                                </w:tcPr>
                                <w:p>
                                  <w:pPr>
                                    <w:pStyle w:val="TableParagraph"/>
                                    <w:spacing w:line="183" w:lineRule="exact"/>
                                    <w:ind w:right="33"/>
                                    <w:jc w:val="right"/>
                                    <w:rPr>
                                      <w:sz w:val="18"/>
                                    </w:rPr>
                                  </w:pPr>
                                  <w:r>
                                    <w:rPr>
                                      <w:sz w:val="18"/>
                                    </w:rPr>
                                    <w:t>-</w:t>
                                  </w:r>
                                  <w:r>
                                    <w:rPr>
                                      <w:spacing w:val="-2"/>
                                      <w:sz w:val="18"/>
                                    </w:rPr>
                                    <w:t>3.7497</w:t>
                                  </w:r>
                                </w:p>
                              </w:tc>
                            </w:tr>
                            <w:tr>
                              <w:trPr>
                                <w:trHeight w:val="207" w:hRule="atLeast"/>
                              </w:trPr>
                              <w:tc>
                                <w:tcPr>
                                  <w:tcW w:w="1770" w:type="dxa"/>
                                </w:tcPr>
                                <w:p>
                                  <w:pPr>
                                    <w:pStyle w:val="TableParagraph"/>
                                    <w:rPr>
                                      <w:sz w:val="14"/>
                                    </w:rPr>
                                  </w:pPr>
                                </w:p>
                              </w:tc>
                              <w:tc>
                                <w:tcPr>
                                  <w:tcW w:w="1443" w:type="dxa"/>
                                </w:tcPr>
                                <w:p>
                                  <w:pPr>
                                    <w:pStyle w:val="TableParagraph"/>
                                    <w:rPr>
                                      <w:sz w:val="14"/>
                                    </w:rPr>
                                  </w:pPr>
                                </w:p>
                              </w:tc>
                              <w:tc>
                                <w:tcPr>
                                  <w:tcW w:w="1522" w:type="dxa"/>
                                </w:tcPr>
                                <w:p>
                                  <w:pPr>
                                    <w:pStyle w:val="TableParagraph"/>
                                    <w:spacing w:line="188" w:lineRule="exact"/>
                                    <w:ind w:left="121"/>
                                    <w:rPr>
                                      <w:sz w:val="18"/>
                                    </w:rPr>
                                  </w:pPr>
                                  <w:r>
                                    <w:rPr>
                                      <w:sz w:val="18"/>
                                    </w:rPr>
                                    <w:t>5%</w:t>
                                  </w:r>
                                  <w:r>
                                    <w:rPr>
                                      <w:spacing w:val="63"/>
                                      <w:w w:val="150"/>
                                      <w:sz w:val="18"/>
                                    </w:rPr>
                                    <w:t> </w:t>
                                  </w:r>
                                  <w:r>
                                    <w:rPr>
                                      <w:sz w:val="18"/>
                                    </w:rPr>
                                    <w:t>Critical</w:t>
                                  </w:r>
                                  <w:r>
                                    <w:rPr>
                                      <w:spacing w:val="-2"/>
                                      <w:sz w:val="18"/>
                                    </w:rPr>
                                    <w:t> Value</w:t>
                                  </w:r>
                                </w:p>
                              </w:tc>
                              <w:tc>
                                <w:tcPr>
                                  <w:tcW w:w="869" w:type="dxa"/>
                                </w:tcPr>
                                <w:p>
                                  <w:pPr>
                                    <w:pStyle w:val="TableParagraph"/>
                                    <w:rPr>
                                      <w:sz w:val="14"/>
                                    </w:rPr>
                                  </w:pPr>
                                </w:p>
                              </w:tc>
                              <w:tc>
                                <w:tcPr>
                                  <w:tcW w:w="888" w:type="dxa"/>
                                </w:tcPr>
                                <w:p>
                                  <w:pPr>
                                    <w:pStyle w:val="TableParagraph"/>
                                    <w:spacing w:line="188" w:lineRule="exact"/>
                                    <w:ind w:right="33"/>
                                    <w:jc w:val="right"/>
                                    <w:rPr>
                                      <w:sz w:val="18"/>
                                    </w:rPr>
                                  </w:pPr>
                                  <w:r>
                                    <w:rPr>
                                      <w:sz w:val="18"/>
                                    </w:rPr>
                                    <w:t>-</w:t>
                                  </w:r>
                                  <w:r>
                                    <w:rPr>
                                      <w:spacing w:val="-2"/>
                                      <w:sz w:val="18"/>
                                    </w:rPr>
                                    <w:t>2.9969</w:t>
                                  </w:r>
                                </w:p>
                              </w:tc>
                            </w:tr>
                            <w:tr>
                              <w:trPr>
                                <w:trHeight w:val="202" w:hRule="atLeast"/>
                              </w:trPr>
                              <w:tc>
                                <w:tcPr>
                                  <w:tcW w:w="1770" w:type="dxa"/>
                                  <w:tcBorders>
                                    <w:bottom w:val="double" w:sz="6" w:space="0" w:color="000000"/>
                                  </w:tcBorders>
                                </w:tcPr>
                                <w:p>
                                  <w:pPr>
                                    <w:pStyle w:val="TableParagraph"/>
                                    <w:rPr>
                                      <w:sz w:val="14"/>
                                    </w:rPr>
                                  </w:pPr>
                                </w:p>
                              </w:tc>
                              <w:tc>
                                <w:tcPr>
                                  <w:tcW w:w="1443" w:type="dxa"/>
                                  <w:tcBorders>
                                    <w:bottom w:val="double" w:sz="6" w:space="0" w:color="000000"/>
                                  </w:tcBorders>
                                </w:tcPr>
                                <w:p>
                                  <w:pPr>
                                    <w:pStyle w:val="TableParagraph"/>
                                    <w:rPr>
                                      <w:sz w:val="14"/>
                                    </w:rPr>
                                  </w:pPr>
                                </w:p>
                              </w:tc>
                              <w:tc>
                                <w:tcPr>
                                  <w:tcW w:w="1522" w:type="dxa"/>
                                  <w:tcBorders>
                                    <w:bottom w:val="double" w:sz="6" w:space="0" w:color="000000"/>
                                  </w:tcBorders>
                                </w:tcPr>
                                <w:p>
                                  <w:pPr>
                                    <w:pStyle w:val="TableParagraph"/>
                                    <w:spacing w:line="183" w:lineRule="exact"/>
                                    <w:ind w:left="121"/>
                                    <w:rPr>
                                      <w:sz w:val="18"/>
                                    </w:rPr>
                                  </w:pPr>
                                  <w:r>
                                    <w:rPr>
                                      <w:sz w:val="18"/>
                                    </w:rPr>
                                    <w:t>10%</w:t>
                                  </w:r>
                                  <w:r>
                                    <w:rPr>
                                      <w:spacing w:val="-5"/>
                                      <w:sz w:val="18"/>
                                    </w:rPr>
                                    <w:t> </w:t>
                                  </w:r>
                                  <w:r>
                                    <w:rPr>
                                      <w:sz w:val="18"/>
                                    </w:rPr>
                                    <w:t>Critical</w:t>
                                  </w:r>
                                  <w:r>
                                    <w:rPr>
                                      <w:spacing w:val="-3"/>
                                      <w:sz w:val="18"/>
                                    </w:rPr>
                                    <w:t> </w:t>
                                  </w:r>
                                  <w:r>
                                    <w:rPr>
                                      <w:spacing w:val="-2"/>
                                      <w:sz w:val="18"/>
                                    </w:rPr>
                                    <w:t>Value</w:t>
                                  </w:r>
                                </w:p>
                              </w:tc>
                              <w:tc>
                                <w:tcPr>
                                  <w:tcW w:w="869" w:type="dxa"/>
                                  <w:tcBorders>
                                    <w:bottom w:val="double" w:sz="6" w:space="0" w:color="000000"/>
                                  </w:tcBorders>
                                </w:tcPr>
                                <w:p>
                                  <w:pPr>
                                    <w:pStyle w:val="TableParagraph"/>
                                    <w:rPr>
                                      <w:sz w:val="14"/>
                                    </w:rPr>
                                  </w:pPr>
                                </w:p>
                              </w:tc>
                              <w:tc>
                                <w:tcPr>
                                  <w:tcW w:w="888" w:type="dxa"/>
                                  <w:tcBorders>
                                    <w:bottom w:val="double" w:sz="6" w:space="0" w:color="000000"/>
                                  </w:tcBorders>
                                </w:tcPr>
                                <w:p>
                                  <w:pPr>
                                    <w:pStyle w:val="TableParagraph"/>
                                    <w:spacing w:line="183" w:lineRule="exact"/>
                                    <w:ind w:right="33"/>
                                    <w:jc w:val="right"/>
                                    <w:rPr>
                                      <w:sz w:val="18"/>
                                    </w:rPr>
                                  </w:pPr>
                                  <w:r>
                                    <w:rPr>
                                      <w:sz w:val="18"/>
                                    </w:rPr>
                                    <w:t>-</w:t>
                                  </w:r>
                                  <w:r>
                                    <w:rPr>
                                      <w:spacing w:val="-2"/>
                                      <w:sz w:val="18"/>
                                    </w:rPr>
                                    <w:t>2.6381</w:t>
                                  </w:r>
                                </w:p>
                              </w:tc>
                            </w:tr>
                            <w:tr>
                              <w:trPr>
                                <w:trHeight w:val="457" w:hRule="atLeast"/>
                              </w:trPr>
                              <w:tc>
                                <w:tcPr>
                                  <w:tcW w:w="6492" w:type="dxa"/>
                                  <w:gridSpan w:val="5"/>
                                  <w:tcBorders>
                                    <w:top w:val="double" w:sz="6" w:space="0" w:color="000000"/>
                                  </w:tcBorders>
                                </w:tcPr>
                                <w:p>
                                  <w:pPr>
                                    <w:pStyle w:val="TableParagraph"/>
                                    <w:spacing w:before="40"/>
                                    <w:ind w:left="36"/>
                                    <w:rPr>
                                      <w:sz w:val="18"/>
                                    </w:rPr>
                                  </w:pPr>
                                  <w:r>
                                    <w:rPr>
                                      <w:sz w:val="18"/>
                                    </w:rPr>
                                    <w:t>*MacKinnon</w:t>
                                  </w:r>
                                  <w:r>
                                    <w:rPr>
                                      <w:spacing w:val="-1"/>
                                      <w:sz w:val="18"/>
                                    </w:rPr>
                                    <w:t> </w:t>
                                  </w:r>
                                  <w:r>
                                    <w:rPr>
                                      <w:sz w:val="18"/>
                                    </w:rPr>
                                    <w:t>critical</w:t>
                                  </w:r>
                                  <w:r>
                                    <w:rPr>
                                      <w:spacing w:val="-1"/>
                                      <w:sz w:val="18"/>
                                    </w:rPr>
                                    <w:t> </w:t>
                                  </w:r>
                                  <w:r>
                                    <w:rPr>
                                      <w:sz w:val="18"/>
                                    </w:rPr>
                                    <w:t>values</w:t>
                                  </w:r>
                                  <w:r>
                                    <w:rPr>
                                      <w:spacing w:val="-1"/>
                                      <w:sz w:val="18"/>
                                    </w:rPr>
                                    <w:t> </w:t>
                                  </w:r>
                                  <w:r>
                                    <w:rPr>
                                      <w:sz w:val="18"/>
                                    </w:rPr>
                                    <w:t>for</w:t>
                                  </w:r>
                                  <w:r>
                                    <w:rPr>
                                      <w:spacing w:val="-1"/>
                                      <w:sz w:val="18"/>
                                    </w:rPr>
                                    <w:t> </w:t>
                                  </w:r>
                                  <w:r>
                                    <w:rPr>
                                      <w:sz w:val="18"/>
                                    </w:rPr>
                                    <w:t>rejection</w:t>
                                  </w:r>
                                  <w:r>
                                    <w:rPr>
                                      <w:spacing w:val="-2"/>
                                      <w:sz w:val="18"/>
                                    </w:rPr>
                                    <w:t> </w:t>
                                  </w:r>
                                  <w:r>
                                    <w:rPr>
                                      <w:sz w:val="18"/>
                                    </w:rPr>
                                    <w:t>of</w:t>
                                  </w:r>
                                  <w:r>
                                    <w:rPr>
                                      <w:spacing w:val="-3"/>
                                      <w:sz w:val="18"/>
                                    </w:rPr>
                                    <w:t> </w:t>
                                  </w:r>
                                  <w:r>
                                    <w:rPr>
                                      <w:sz w:val="18"/>
                                    </w:rPr>
                                    <w:t>hypothesis</w:t>
                                  </w:r>
                                  <w:r>
                                    <w:rPr>
                                      <w:spacing w:val="-1"/>
                                      <w:sz w:val="18"/>
                                    </w:rPr>
                                    <w:t> </w:t>
                                  </w:r>
                                  <w:r>
                                    <w:rPr>
                                      <w:sz w:val="18"/>
                                    </w:rPr>
                                    <w:t>of</w:t>
                                  </w:r>
                                  <w:r>
                                    <w:rPr>
                                      <w:spacing w:val="-3"/>
                                      <w:sz w:val="18"/>
                                    </w:rPr>
                                    <w:t> </w:t>
                                  </w:r>
                                  <w:r>
                                    <w:rPr>
                                      <w:sz w:val="18"/>
                                    </w:rPr>
                                    <w:t>a</w:t>
                                  </w:r>
                                  <w:r>
                                    <w:rPr>
                                      <w:spacing w:val="-2"/>
                                      <w:sz w:val="18"/>
                                    </w:rPr>
                                    <w:t> </w:t>
                                  </w:r>
                                  <w:r>
                                    <w:rPr>
                                      <w:sz w:val="18"/>
                                    </w:rPr>
                                    <w:t>unit</w:t>
                                  </w:r>
                                  <w:r>
                                    <w:rPr>
                                      <w:spacing w:val="-2"/>
                                      <w:sz w:val="18"/>
                                    </w:rPr>
                                    <w:t> root.</w:t>
                                  </w:r>
                                </w:p>
                              </w:tc>
                            </w:tr>
                            <w:tr>
                              <w:trPr>
                                <w:trHeight w:val="414" w:hRule="atLeast"/>
                              </w:trPr>
                              <w:tc>
                                <w:tcPr>
                                  <w:tcW w:w="6492" w:type="dxa"/>
                                  <w:gridSpan w:val="5"/>
                                </w:tcPr>
                                <w:p>
                                  <w:pPr>
                                    <w:pStyle w:val="TableParagraph"/>
                                    <w:spacing w:line="191" w:lineRule="exact" w:before="203"/>
                                    <w:ind w:left="36"/>
                                    <w:rPr>
                                      <w:sz w:val="18"/>
                                    </w:rPr>
                                  </w:pPr>
                                  <w:r>
                                    <w:rPr>
                                      <w:sz w:val="18"/>
                                    </w:rPr>
                                    <w:t>Augmented</w:t>
                                  </w:r>
                                  <w:r>
                                    <w:rPr>
                                      <w:spacing w:val="-3"/>
                                      <w:sz w:val="18"/>
                                    </w:rPr>
                                    <w:t> </w:t>
                                  </w:r>
                                  <w:r>
                                    <w:rPr>
                                      <w:sz w:val="18"/>
                                    </w:rPr>
                                    <w:t>Dickey-Fuller</w:t>
                                  </w:r>
                                  <w:r>
                                    <w:rPr>
                                      <w:spacing w:val="-3"/>
                                      <w:sz w:val="18"/>
                                    </w:rPr>
                                    <w:t> </w:t>
                                  </w:r>
                                  <w:r>
                                    <w:rPr>
                                      <w:sz w:val="18"/>
                                    </w:rPr>
                                    <w:t>Test</w:t>
                                  </w:r>
                                  <w:r>
                                    <w:rPr>
                                      <w:spacing w:val="-3"/>
                                      <w:sz w:val="18"/>
                                    </w:rPr>
                                    <w:t> </w:t>
                                  </w:r>
                                  <w:r>
                                    <w:rPr>
                                      <w:spacing w:val="-2"/>
                                      <w:sz w:val="18"/>
                                    </w:rPr>
                                    <w:t>Equation</w:t>
                                  </w:r>
                                </w:p>
                              </w:tc>
                            </w:tr>
                            <w:tr>
                              <w:trPr>
                                <w:trHeight w:val="207" w:hRule="atLeast"/>
                              </w:trPr>
                              <w:tc>
                                <w:tcPr>
                                  <w:tcW w:w="6492" w:type="dxa"/>
                                  <w:gridSpan w:val="5"/>
                                </w:tcPr>
                                <w:p>
                                  <w:pPr>
                                    <w:pStyle w:val="TableParagraph"/>
                                    <w:spacing w:line="188" w:lineRule="exact"/>
                                    <w:ind w:left="36"/>
                                    <w:rPr>
                                      <w:sz w:val="18"/>
                                    </w:rPr>
                                  </w:pPr>
                                  <w:r>
                                    <w:rPr>
                                      <w:sz w:val="18"/>
                                    </w:rPr>
                                    <w:t>Dependent</w:t>
                                  </w:r>
                                  <w:r>
                                    <w:rPr>
                                      <w:spacing w:val="-2"/>
                                      <w:sz w:val="18"/>
                                    </w:rPr>
                                    <w:t> </w:t>
                                  </w:r>
                                  <w:r>
                                    <w:rPr>
                                      <w:sz w:val="18"/>
                                    </w:rPr>
                                    <w:t>Variable:</w:t>
                                  </w:r>
                                  <w:r>
                                    <w:rPr>
                                      <w:spacing w:val="-1"/>
                                      <w:sz w:val="18"/>
                                    </w:rPr>
                                    <w:t> </w:t>
                                  </w:r>
                                  <w:r>
                                    <w:rPr>
                                      <w:spacing w:val="-2"/>
                                      <w:sz w:val="18"/>
                                    </w:rPr>
                                    <w:t>D(GDP)</w:t>
                                  </w:r>
                                </w:p>
                              </w:tc>
                            </w:tr>
                            <w:tr>
                              <w:trPr>
                                <w:trHeight w:val="207" w:hRule="atLeast"/>
                              </w:trPr>
                              <w:tc>
                                <w:tcPr>
                                  <w:tcW w:w="1770" w:type="dxa"/>
                                </w:tcPr>
                                <w:p>
                                  <w:pPr>
                                    <w:pStyle w:val="TableParagraph"/>
                                    <w:spacing w:line="188" w:lineRule="exact"/>
                                    <w:ind w:left="36"/>
                                    <w:rPr>
                                      <w:sz w:val="18"/>
                                    </w:rPr>
                                  </w:pPr>
                                  <w:r>
                                    <w:rPr>
                                      <w:sz w:val="18"/>
                                    </w:rPr>
                                    <w:t>Method:</w:t>
                                  </w:r>
                                  <w:r>
                                    <w:rPr>
                                      <w:spacing w:val="-3"/>
                                      <w:sz w:val="18"/>
                                    </w:rPr>
                                    <w:t> </w:t>
                                  </w:r>
                                  <w:r>
                                    <w:rPr>
                                      <w:sz w:val="18"/>
                                    </w:rPr>
                                    <w:t>Least</w:t>
                                  </w:r>
                                  <w:r>
                                    <w:rPr>
                                      <w:spacing w:val="-2"/>
                                      <w:sz w:val="18"/>
                                    </w:rPr>
                                    <w:t> Squares</w:t>
                                  </w:r>
                                </w:p>
                              </w:tc>
                              <w:tc>
                                <w:tcPr>
                                  <w:tcW w:w="1443" w:type="dxa"/>
                                </w:tcPr>
                                <w:p>
                                  <w:pPr>
                                    <w:pStyle w:val="TableParagraph"/>
                                    <w:rPr>
                                      <w:sz w:val="14"/>
                                    </w:rPr>
                                  </w:pPr>
                                </w:p>
                              </w:tc>
                              <w:tc>
                                <w:tcPr>
                                  <w:tcW w:w="1522" w:type="dxa"/>
                                </w:tcPr>
                                <w:p>
                                  <w:pPr>
                                    <w:pStyle w:val="TableParagraph"/>
                                    <w:rPr>
                                      <w:sz w:val="14"/>
                                    </w:rPr>
                                  </w:pPr>
                                </w:p>
                              </w:tc>
                              <w:tc>
                                <w:tcPr>
                                  <w:tcW w:w="869" w:type="dxa"/>
                                </w:tcPr>
                                <w:p>
                                  <w:pPr>
                                    <w:pStyle w:val="TableParagraph"/>
                                    <w:rPr>
                                      <w:sz w:val="14"/>
                                    </w:rPr>
                                  </w:pPr>
                                </w:p>
                              </w:tc>
                              <w:tc>
                                <w:tcPr>
                                  <w:tcW w:w="888" w:type="dxa"/>
                                </w:tcPr>
                                <w:p>
                                  <w:pPr>
                                    <w:pStyle w:val="TableParagraph"/>
                                    <w:rPr>
                                      <w:sz w:val="14"/>
                                    </w:rPr>
                                  </w:pPr>
                                </w:p>
                              </w:tc>
                            </w:tr>
                            <w:tr>
                              <w:trPr>
                                <w:trHeight w:val="206" w:hRule="atLeast"/>
                              </w:trPr>
                              <w:tc>
                                <w:tcPr>
                                  <w:tcW w:w="6492" w:type="dxa"/>
                                  <w:gridSpan w:val="5"/>
                                </w:tcPr>
                                <w:p>
                                  <w:pPr>
                                    <w:pStyle w:val="TableParagraph"/>
                                    <w:spacing w:line="186" w:lineRule="exact"/>
                                    <w:ind w:left="36"/>
                                    <w:rPr>
                                      <w:sz w:val="18"/>
                                    </w:rPr>
                                  </w:pPr>
                                  <w:r>
                                    <w:rPr>
                                      <w:sz w:val="18"/>
                                    </w:rPr>
                                    <w:t>Date:</w:t>
                                  </w:r>
                                  <w:r>
                                    <w:rPr>
                                      <w:spacing w:val="-2"/>
                                      <w:sz w:val="18"/>
                                    </w:rPr>
                                    <w:t> </w:t>
                                  </w:r>
                                  <w:r>
                                    <w:rPr>
                                      <w:sz w:val="18"/>
                                    </w:rPr>
                                    <w:t>02/17/14</w:t>
                                  </w:r>
                                  <w:r>
                                    <w:rPr>
                                      <w:spacing w:val="63"/>
                                      <w:w w:val="150"/>
                                      <w:sz w:val="18"/>
                                    </w:rPr>
                                    <w:t> </w:t>
                                  </w:r>
                                  <w:r>
                                    <w:rPr>
                                      <w:sz w:val="18"/>
                                    </w:rPr>
                                    <w:t>Time:</w:t>
                                  </w:r>
                                  <w:r>
                                    <w:rPr>
                                      <w:spacing w:val="-1"/>
                                      <w:sz w:val="18"/>
                                    </w:rPr>
                                    <w:t> </w:t>
                                  </w:r>
                                  <w:r>
                                    <w:rPr>
                                      <w:spacing w:val="-4"/>
                                      <w:sz w:val="18"/>
                                    </w:rPr>
                                    <w:t>18:05</w:t>
                                  </w:r>
                                </w:p>
                              </w:tc>
                            </w:tr>
                            <w:tr>
                              <w:trPr>
                                <w:trHeight w:val="206" w:hRule="atLeast"/>
                              </w:trPr>
                              <w:tc>
                                <w:tcPr>
                                  <w:tcW w:w="6492" w:type="dxa"/>
                                  <w:gridSpan w:val="5"/>
                                </w:tcPr>
                                <w:p>
                                  <w:pPr>
                                    <w:pStyle w:val="TableParagraph"/>
                                    <w:spacing w:line="186" w:lineRule="exact"/>
                                    <w:ind w:left="36"/>
                                    <w:rPr>
                                      <w:sz w:val="18"/>
                                    </w:rPr>
                                  </w:pPr>
                                  <w:r>
                                    <w:rPr>
                                      <w:sz w:val="18"/>
                                    </w:rPr>
                                    <w:t>Sample(adjusted):</w:t>
                                  </w:r>
                                  <w:r>
                                    <w:rPr>
                                      <w:spacing w:val="-6"/>
                                      <w:sz w:val="18"/>
                                    </w:rPr>
                                    <w:t> </w:t>
                                  </w:r>
                                  <w:r>
                                    <w:rPr>
                                      <w:sz w:val="18"/>
                                    </w:rPr>
                                    <w:t>1989</w:t>
                                  </w:r>
                                  <w:r>
                                    <w:rPr>
                                      <w:spacing w:val="-2"/>
                                      <w:sz w:val="18"/>
                                    </w:rPr>
                                    <w:t> </w:t>
                                  </w:r>
                                  <w:r>
                                    <w:rPr>
                                      <w:spacing w:val="-4"/>
                                      <w:sz w:val="18"/>
                                    </w:rPr>
                                    <w:t>2011</w:t>
                                  </w:r>
                                </w:p>
                              </w:tc>
                            </w:tr>
                            <w:tr>
                              <w:trPr>
                                <w:trHeight w:val="203" w:hRule="atLeast"/>
                              </w:trPr>
                              <w:tc>
                                <w:tcPr>
                                  <w:tcW w:w="6492" w:type="dxa"/>
                                  <w:gridSpan w:val="5"/>
                                  <w:tcBorders>
                                    <w:bottom w:val="double" w:sz="6" w:space="0" w:color="000000"/>
                                  </w:tcBorders>
                                </w:tcPr>
                                <w:p>
                                  <w:pPr>
                                    <w:pStyle w:val="TableParagraph"/>
                                    <w:spacing w:line="184" w:lineRule="exact"/>
                                    <w:ind w:left="36"/>
                                    <w:rPr>
                                      <w:sz w:val="18"/>
                                    </w:rPr>
                                  </w:pPr>
                                  <w:r>
                                    <w:rPr>
                                      <w:sz w:val="18"/>
                                    </w:rPr>
                                    <w:t>Included</w:t>
                                  </w:r>
                                  <w:r>
                                    <w:rPr>
                                      <w:spacing w:val="-1"/>
                                      <w:sz w:val="18"/>
                                    </w:rPr>
                                    <w:t> </w:t>
                                  </w:r>
                                  <w:r>
                                    <w:rPr>
                                      <w:sz w:val="18"/>
                                    </w:rPr>
                                    <w:t>observations:</w:t>
                                  </w:r>
                                  <w:r>
                                    <w:rPr>
                                      <w:spacing w:val="-3"/>
                                      <w:sz w:val="18"/>
                                    </w:rPr>
                                    <w:t> </w:t>
                                  </w:r>
                                  <w:r>
                                    <w:rPr>
                                      <w:sz w:val="18"/>
                                    </w:rPr>
                                    <w:t>23</w:t>
                                  </w:r>
                                  <w:r>
                                    <w:rPr>
                                      <w:spacing w:val="-1"/>
                                      <w:sz w:val="18"/>
                                    </w:rPr>
                                    <w:t> </w:t>
                                  </w:r>
                                  <w:r>
                                    <w:rPr>
                                      <w:sz w:val="18"/>
                                    </w:rPr>
                                    <w:t>after</w:t>
                                  </w:r>
                                  <w:r>
                                    <w:rPr>
                                      <w:spacing w:val="-1"/>
                                      <w:sz w:val="18"/>
                                    </w:rPr>
                                    <w:t> </w:t>
                                  </w:r>
                                  <w:r>
                                    <w:rPr>
                                      <w:sz w:val="18"/>
                                    </w:rPr>
                                    <w:t>adjusting</w:t>
                                  </w:r>
                                  <w:r>
                                    <w:rPr>
                                      <w:spacing w:val="-2"/>
                                      <w:sz w:val="18"/>
                                    </w:rPr>
                                    <w:t> endpoints</w:t>
                                  </w:r>
                                </w:p>
                              </w:tc>
                            </w:tr>
                            <w:tr>
                              <w:trPr>
                                <w:trHeight w:val="246" w:hRule="atLeast"/>
                              </w:trPr>
                              <w:tc>
                                <w:tcPr>
                                  <w:tcW w:w="1770" w:type="dxa"/>
                                  <w:tcBorders>
                                    <w:top w:val="double" w:sz="6" w:space="0" w:color="000000"/>
                                    <w:bottom w:val="double" w:sz="6" w:space="0" w:color="000000"/>
                                  </w:tcBorders>
                                </w:tcPr>
                                <w:p>
                                  <w:pPr>
                                    <w:pStyle w:val="TableParagraph"/>
                                    <w:spacing w:line="186" w:lineRule="exact" w:before="40"/>
                                    <w:ind w:left="713"/>
                                    <w:rPr>
                                      <w:sz w:val="18"/>
                                    </w:rPr>
                                  </w:pPr>
                                  <w:r>
                                    <w:rPr>
                                      <w:spacing w:val="-2"/>
                                      <w:sz w:val="18"/>
                                    </w:rPr>
                                    <w:t>Variable</w:t>
                                  </w:r>
                                </w:p>
                              </w:tc>
                              <w:tc>
                                <w:tcPr>
                                  <w:tcW w:w="1443" w:type="dxa"/>
                                  <w:tcBorders>
                                    <w:top w:val="double" w:sz="6" w:space="0" w:color="000000"/>
                                    <w:bottom w:val="double" w:sz="6" w:space="0" w:color="000000"/>
                                  </w:tcBorders>
                                </w:tcPr>
                                <w:p>
                                  <w:pPr>
                                    <w:pStyle w:val="TableParagraph"/>
                                    <w:spacing w:line="186" w:lineRule="exact" w:before="40"/>
                                    <w:ind w:right="120"/>
                                    <w:jc w:val="right"/>
                                    <w:rPr>
                                      <w:sz w:val="18"/>
                                    </w:rPr>
                                  </w:pPr>
                                  <w:r>
                                    <w:rPr>
                                      <w:spacing w:val="-2"/>
                                      <w:sz w:val="18"/>
                                    </w:rPr>
                                    <w:t>Coefficient</w:t>
                                  </w:r>
                                </w:p>
                              </w:tc>
                              <w:tc>
                                <w:tcPr>
                                  <w:tcW w:w="1522" w:type="dxa"/>
                                  <w:tcBorders>
                                    <w:top w:val="double" w:sz="6" w:space="0" w:color="000000"/>
                                    <w:bottom w:val="double" w:sz="6" w:space="0" w:color="000000"/>
                                  </w:tcBorders>
                                </w:tcPr>
                                <w:p>
                                  <w:pPr>
                                    <w:pStyle w:val="TableParagraph"/>
                                    <w:spacing w:line="186" w:lineRule="exact" w:before="40"/>
                                    <w:ind w:left="361"/>
                                    <w:rPr>
                                      <w:sz w:val="18"/>
                                    </w:rPr>
                                  </w:pPr>
                                  <w:r>
                                    <w:rPr>
                                      <w:sz w:val="18"/>
                                    </w:rPr>
                                    <w:t>Std.</w:t>
                                  </w:r>
                                  <w:r>
                                    <w:rPr>
                                      <w:spacing w:val="-1"/>
                                      <w:sz w:val="18"/>
                                    </w:rPr>
                                    <w:t> </w:t>
                                  </w:r>
                                  <w:r>
                                    <w:rPr>
                                      <w:spacing w:val="-4"/>
                                      <w:sz w:val="18"/>
                                    </w:rPr>
                                    <w:t>Error</w:t>
                                  </w:r>
                                </w:p>
                              </w:tc>
                              <w:tc>
                                <w:tcPr>
                                  <w:tcW w:w="869" w:type="dxa"/>
                                  <w:tcBorders>
                                    <w:top w:val="double" w:sz="6" w:space="0" w:color="000000"/>
                                    <w:bottom w:val="double" w:sz="6" w:space="0" w:color="000000"/>
                                  </w:tcBorders>
                                </w:tcPr>
                                <w:p>
                                  <w:pPr>
                                    <w:pStyle w:val="TableParagraph"/>
                                    <w:spacing w:line="186" w:lineRule="exact" w:before="40"/>
                                    <w:ind w:right="121"/>
                                    <w:jc w:val="right"/>
                                    <w:rPr>
                                      <w:sz w:val="18"/>
                                    </w:rPr>
                                  </w:pPr>
                                  <w:r>
                                    <w:rPr>
                                      <w:sz w:val="18"/>
                                    </w:rPr>
                                    <w:t>t-</w:t>
                                  </w:r>
                                  <w:r>
                                    <w:rPr>
                                      <w:spacing w:val="-2"/>
                                      <w:sz w:val="18"/>
                                    </w:rPr>
                                    <w:t>Statistic</w:t>
                                  </w:r>
                                </w:p>
                              </w:tc>
                              <w:tc>
                                <w:tcPr>
                                  <w:tcW w:w="888" w:type="dxa"/>
                                  <w:tcBorders>
                                    <w:top w:val="double" w:sz="6" w:space="0" w:color="000000"/>
                                    <w:bottom w:val="double" w:sz="6" w:space="0" w:color="000000"/>
                                  </w:tcBorders>
                                </w:tcPr>
                                <w:p>
                                  <w:pPr>
                                    <w:pStyle w:val="TableParagraph"/>
                                    <w:spacing w:line="186" w:lineRule="exact" w:before="40"/>
                                    <w:ind w:right="33"/>
                                    <w:jc w:val="right"/>
                                    <w:rPr>
                                      <w:sz w:val="18"/>
                                    </w:rPr>
                                  </w:pPr>
                                  <w:r>
                                    <w:rPr>
                                      <w:spacing w:val="-2"/>
                                      <w:sz w:val="18"/>
                                    </w:rPr>
                                    <w:t>Prob.</w:t>
                                  </w:r>
                                </w:p>
                              </w:tc>
                            </w:tr>
                            <w:tr>
                              <w:trPr>
                                <w:trHeight w:val="252" w:hRule="atLeast"/>
                              </w:trPr>
                              <w:tc>
                                <w:tcPr>
                                  <w:tcW w:w="1770" w:type="dxa"/>
                                  <w:tcBorders>
                                    <w:top w:val="double" w:sz="6" w:space="0" w:color="000000"/>
                                  </w:tcBorders>
                                </w:tcPr>
                                <w:p>
                                  <w:pPr>
                                    <w:pStyle w:val="TableParagraph"/>
                                    <w:spacing w:line="191" w:lineRule="exact" w:before="42"/>
                                    <w:ind w:left="708"/>
                                    <w:rPr>
                                      <w:sz w:val="18"/>
                                    </w:rPr>
                                  </w:pPr>
                                  <w:r>
                                    <w:rPr>
                                      <w:spacing w:val="-2"/>
                                      <w:sz w:val="18"/>
                                    </w:rPr>
                                    <w:t>GDP(-</w:t>
                                  </w:r>
                                  <w:r>
                                    <w:rPr>
                                      <w:spacing w:val="-5"/>
                                      <w:sz w:val="18"/>
                                    </w:rPr>
                                    <w:t>1)</w:t>
                                  </w:r>
                                </w:p>
                              </w:tc>
                              <w:tc>
                                <w:tcPr>
                                  <w:tcW w:w="1443" w:type="dxa"/>
                                  <w:tcBorders>
                                    <w:top w:val="double" w:sz="6" w:space="0" w:color="000000"/>
                                  </w:tcBorders>
                                </w:tcPr>
                                <w:p>
                                  <w:pPr>
                                    <w:pStyle w:val="TableParagraph"/>
                                    <w:spacing w:line="191" w:lineRule="exact" w:before="42"/>
                                    <w:ind w:right="118"/>
                                    <w:jc w:val="right"/>
                                    <w:rPr>
                                      <w:sz w:val="18"/>
                                    </w:rPr>
                                  </w:pPr>
                                  <w:r>
                                    <w:rPr>
                                      <w:sz w:val="18"/>
                                    </w:rPr>
                                    <w:t>-</w:t>
                                  </w:r>
                                  <w:r>
                                    <w:rPr>
                                      <w:spacing w:val="-2"/>
                                      <w:sz w:val="18"/>
                                    </w:rPr>
                                    <w:t>0.045246</w:t>
                                  </w:r>
                                </w:p>
                              </w:tc>
                              <w:tc>
                                <w:tcPr>
                                  <w:tcW w:w="1522" w:type="dxa"/>
                                  <w:tcBorders>
                                    <w:top w:val="double" w:sz="6" w:space="0" w:color="000000"/>
                                  </w:tcBorders>
                                </w:tcPr>
                                <w:p>
                                  <w:pPr>
                                    <w:pStyle w:val="TableParagraph"/>
                                    <w:spacing w:line="191" w:lineRule="exact" w:before="42"/>
                                    <w:ind w:left="397"/>
                                    <w:rPr>
                                      <w:sz w:val="18"/>
                                    </w:rPr>
                                  </w:pPr>
                                  <w:r>
                                    <w:rPr>
                                      <w:spacing w:val="-2"/>
                                      <w:sz w:val="18"/>
                                    </w:rPr>
                                    <w:t>0.022800</w:t>
                                  </w:r>
                                </w:p>
                              </w:tc>
                              <w:tc>
                                <w:tcPr>
                                  <w:tcW w:w="869" w:type="dxa"/>
                                  <w:tcBorders>
                                    <w:top w:val="double" w:sz="6" w:space="0" w:color="000000"/>
                                  </w:tcBorders>
                                </w:tcPr>
                                <w:p>
                                  <w:pPr>
                                    <w:pStyle w:val="TableParagraph"/>
                                    <w:spacing w:line="191" w:lineRule="exact" w:before="42"/>
                                    <w:ind w:right="123"/>
                                    <w:jc w:val="right"/>
                                    <w:rPr>
                                      <w:sz w:val="18"/>
                                    </w:rPr>
                                  </w:pPr>
                                  <w:r>
                                    <w:rPr>
                                      <w:sz w:val="18"/>
                                    </w:rPr>
                                    <w:t>-</w:t>
                                  </w:r>
                                  <w:r>
                                    <w:rPr>
                                      <w:spacing w:val="-2"/>
                                      <w:sz w:val="18"/>
                                    </w:rPr>
                                    <w:t>1.984437</w:t>
                                  </w:r>
                                </w:p>
                              </w:tc>
                              <w:tc>
                                <w:tcPr>
                                  <w:tcW w:w="888" w:type="dxa"/>
                                  <w:tcBorders>
                                    <w:top w:val="double" w:sz="6" w:space="0" w:color="000000"/>
                                  </w:tcBorders>
                                </w:tcPr>
                                <w:p>
                                  <w:pPr>
                                    <w:pStyle w:val="TableParagraph"/>
                                    <w:spacing w:line="191" w:lineRule="exact" w:before="42"/>
                                    <w:ind w:right="33"/>
                                    <w:jc w:val="right"/>
                                    <w:rPr>
                                      <w:sz w:val="18"/>
                                    </w:rPr>
                                  </w:pPr>
                                  <w:r>
                                    <w:rPr>
                                      <w:spacing w:val="-2"/>
                                      <w:sz w:val="18"/>
                                    </w:rPr>
                                    <w:t>0.0611</w:t>
                                  </w:r>
                                </w:p>
                              </w:tc>
                            </w:tr>
                            <w:tr>
                              <w:trPr>
                                <w:trHeight w:val="206" w:hRule="atLeast"/>
                              </w:trPr>
                              <w:tc>
                                <w:tcPr>
                                  <w:tcW w:w="1770" w:type="dxa"/>
                                </w:tcPr>
                                <w:p>
                                  <w:pPr>
                                    <w:pStyle w:val="TableParagraph"/>
                                    <w:spacing w:line="186" w:lineRule="exact"/>
                                    <w:ind w:left="581"/>
                                    <w:rPr>
                                      <w:sz w:val="18"/>
                                    </w:rPr>
                                  </w:pPr>
                                  <w:r>
                                    <w:rPr>
                                      <w:spacing w:val="-2"/>
                                      <w:sz w:val="18"/>
                                    </w:rPr>
                                    <w:t>D(GDP(-</w:t>
                                  </w:r>
                                  <w:r>
                                    <w:rPr>
                                      <w:spacing w:val="-5"/>
                                      <w:sz w:val="18"/>
                                    </w:rPr>
                                    <w:t>1))</w:t>
                                  </w:r>
                                </w:p>
                              </w:tc>
                              <w:tc>
                                <w:tcPr>
                                  <w:tcW w:w="1443" w:type="dxa"/>
                                </w:tcPr>
                                <w:p>
                                  <w:pPr>
                                    <w:pStyle w:val="TableParagraph"/>
                                    <w:spacing w:line="186" w:lineRule="exact"/>
                                    <w:ind w:right="118"/>
                                    <w:jc w:val="right"/>
                                    <w:rPr>
                                      <w:sz w:val="18"/>
                                    </w:rPr>
                                  </w:pPr>
                                  <w:r>
                                    <w:rPr>
                                      <w:sz w:val="18"/>
                                    </w:rPr>
                                    <w:t>-</w:t>
                                  </w:r>
                                  <w:r>
                                    <w:rPr>
                                      <w:spacing w:val="-2"/>
                                      <w:sz w:val="18"/>
                                    </w:rPr>
                                    <w:t>0.060470</w:t>
                                  </w:r>
                                </w:p>
                              </w:tc>
                              <w:tc>
                                <w:tcPr>
                                  <w:tcW w:w="1522" w:type="dxa"/>
                                </w:tcPr>
                                <w:p>
                                  <w:pPr>
                                    <w:pStyle w:val="TableParagraph"/>
                                    <w:spacing w:line="186" w:lineRule="exact"/>
                                    <w:ind w:left="397"/>
                                    <w:rPr>
                                      <w:sz w:val="18"/>
                                    </w:rPr>
                                  </w:pPr>
                                  <w:r>
                                    <w:rPr>
                                      <w:spacing w:val="-2"/>
                                      <w:sz w:val="18"/>
                                    </w:rPr>
                                    <w:t>0.214688</w:t>
                                  </w:r>
                                </w:p>
                              </w:tc>
                              <w:tc>
                                <w:tcPr>
                                  <w:tcW w:w="869" w:type="dxa"/>
                                </w:tcPr>
                                <w:p>
                                  <w:pPr>
                                    <w:pStyle w:val="TableParagraph"/>
                                    <w:spacing w:line="186" w:lineRule="exact"/>
                                    <w:ind w:right="123"/>
                                    <w:jc w:val="right"/>
                                    <w:rPr>
                                      <w:sz w:val="18"/>
                                    </w:rPr>
                                  </w:pPr>
                                  <w:r>
                                    <w:rPr>
                                      <w:sz w:val="18"/>
                                    </w:rPr>
                                    <w:t>-</w:t>
                                  </w:r>
                                  <w:r>
                                    <w:rPr>
                                      <w:spacing w:val="-2"/>
                                      <w:sz w:val="18"/>
                                    </w:rPr>
                                    <w:t>0.281664</w:t>
                                  </w:r>
                                </w:p>
                              </w:tc>
                              <w:tc>
                                <w:tcPr>
                                  <w:tcW w:w="888" w:type="dxa"/>
                                </w:tcPr>
                                <w:p>
                                  <w:pPr>
                                    <w:pStyle w:val="TableParagraph"/>
                                    <w:spacing w:line="186" w:lineRule="exact"/>
                                    <w:ind w:right="33"/>
                                    <w:jc w:val="right"/>
                                    <w:rPr>
                                      <w:sz w:val="18"/>
                                    </w:rPr>
                                  </w:pPr>
                                  <w:r>
                                    <w:rPr>
                                      <w:spacing w:val="-2"/>
                                      <w:sz w:val="18"/>
                                    </w:rPr>
                                    <w:t>0.7811</w:t>
                                  </w:r>
                                </w:p>
                              </w:tc>
                            </w:tr>
                            <w:tr>
                              <w:trPr>
                                <w:trHeight w:val="201" w:hRule="atLeast"/>
                              </w:trPr>
                              <w:tc>
                                <w:tcPr>
                                  <w:tcW w:w="1770" w:type="dxa"/>
                                  <w:tcBorders>
                                    <w:bottom w:val="double" w:sz="6" w:space="0" w:color="000000"/>
                                  </w:tcBorders>
                                </w:tcPr>
                                <w:p>
                                  <w:pPr>
                                    <w:pStyle w:val="TableParagraph"/>
                                    <w:spacing w:line="181" w:lineRule="exact"/>
                                    <w:ind w:left="275"/>
                                    <w:jc w:val="center"/>
                                    <w:rPr>
                                      <w:sz w:val="18"/>
                                    </w:rPr>
                                  </w:pPr>
                                  <w:r>
                                    <w:rPr>
                                      <w:spacing w:val="-10"/>
                                      <w:sz w:val="18"/>
                                    </w:rPr>
                                    <w:t>C</w:t>
                                  </w:r>
                                </w:p>
                              </w:tc>
                              <w:tc>
                                <w:tcPr>
                                  <w:tcW w:w="1443" w:type="dxa"/>
                                  <w:tcBorders>
                                    <w:bottom w:val="double" w:sz="6" w:space="0" w:color="000000"/>
                                  </w:tcBorders>
                                </w:tcPr>
                                <w:p>
                                  <w:pPr>
                                    <w:pStyle w:val="TableParagraph"/>
                                    <w:spacing w:line="181" w:lineRule="exact"/>
                                    <w:ind w:right="118"/>
                                    <w:jc w:val="right"/>
                                    <w:rPr>
                                      <w:sz w:val="18"/>
                                    </w:rPr>
                                  </w:pPr>
                                  <w:r>
                                    <w:rPr>
                                      <w:spacing w:val="-2"/>
                                      <w:sz w:val="18"/>
                                    </w:rPr>
                                    <w:t>0.934594</w:t>
                                  </w:r>
                                </w:p>
                              </w:tc>
                              <w:tc>
                                <w:tcPr>
                                  <w:tcW w:w="1522" w:type="dxa"/>
                                  <w:tcBorders>
                                    <w:bottom w:val="double" w:sz="6" w:space="0" w:color="000000"/>
                                  </w:tcBorders>
                                </w:tcPr>
                                <w:p>
                                  <w:pPr>
                                    <w:pStyle w:val="TableParagraph"/>
                                    <w:spacing w:line="181" w:lineRule="exact"/>
                                    <w:ind w:left="397"/>
                                    <w:rPr>
                                      <w:sz w:val="18"/>
                                    </w:rPr>
                                  </w:pPr>
                                  <w:r>
                                    <w:rPr>
                                      <w:spacing w:val="-2"/>
                                      <w:sz w:val="18"/>
                                    </w:rPr>
                                    <w:t>0.360462</w:t>
                                  </w:r>
                                </w:p>
                              </w:tc>
                              <w:tc>
                                <w:tcPr>
                                  <w:tcW w:w="869" w:type="dxa"/>
                                  <w:tcBorders>
                                    <w:bottom w:val="double" w:sz="6" w:space="0" w:color="000000"/>
                                  </w:tcBorders>
                                </w:tcPr>
                                <w:p>
                                  <w:pPr>
                                    <w:pStyle w:val="TableParagraph"/>
                                    <w:spacing w:line="181" w:lineRule="exact"/>
                                    <w:ind w:right="123"/>
                                    <w:jc w:val="right"/>
                                    <w:rPr>
                                      <w:sz w:val="18"/>
                                    </w:rPr>
                                  </w:pPr>
                                  <w:r>
                                    <w:rPr>
                                      <w:spacing w:val="-2"/>
                                      <w:sz w:val="18"/>
                                    </w:rPr>
                                    <w:t>2.592766</w:t>
                                  </w:r>
                                </w:p>
                              </w:tc>
                              <w:tc>
                                <w:tcPr>
                                  <w:tcW w:w="888" w:type="dxa"/>
                                  <w:tcBorders>
                                    <w:bottom w:val="double" w:sz="6" w:space="0" w:color="000000"/>
                                  </w:tcBorders>
                                </w:tcPr>
                                <w:p>
                                  <w:pPr>
                                    <w:pStyle w:val="TableParagraph"/>
                                    <w:spacing w:line="181" w:lineRule="exact"/>
                                    <w:ind w:right="33"/>
                                    <w:jc w:val="right"/>
                                    <w:rPr>
                                      <w:sz w:val="18"/>
                                    </w:rPr>
                                  </w:pPr>
                                  <w:r>
                                    <w:rPr>
                                      <w:spacing w:val="-2"/>
                                      <w:sz w:val="18"/>
                                    </w:rPr>
                                    <w:t>0.0174</w:t>
                                  </w:r>
                                </w:p>
                              </w:tc>
                            </w:tr>
                            <w:tr>
                              <w:trPr>
                                <w:trHeight w:val="252" w:hRule="atLeast"/>
                              </w:trPr>
                              <w:tc>
                                <w:tcPr>
                                  <w:tcW w:w="1770" w:type="dxa"/>
                                  <w:tcBorders>
                                    <w:top w:val="double" w:sz="6" w:space="0" w:color="000000"/>
                                  </w:tcBorders>
                                </w:tcPr>
                                <w:p>
                                  <w:pPr>
                                    <w:pStyle w:val="TableParagraph"/>
                                    <w:spacing w:line="191" w:lineRule="exact" w:before="42"/>
                                    <w:ind w:left="36"/>
                                    <w:rPr>
                                      <w:sz w:val="18"/>
                                    </w:rPr>
                                  </w:pPr>
                                  <w:r>
                                    <w:rPr>
                                      <w:spacing w:val="-2"/>
                                      <w:sz w:val="18"/>
                                    </w:rPr>
                                    <w:t>R-squared</w:t>
                                  </w:r>
                                </w:p>
                              </w:tc>
                              <w:tc>
                                <w:tcPr>
                                  <w:tcW w:w="1443" w:type="dxa"/>
                                  <w:tcBorders>
                                    <w:top w:val="double" w:sz="6" w:space="0" w:color="000000"/>
                                  </w:tcBorders>
                                </w:tcPr>
                                <w:p>
                                  <w:pPr>
                                    <w:pStyle w:val="TableParagraph"/>
                                    <w:spacing w:line="191" w:lineRule="exact" w:before="42"/>
                                    <w:ind w:right="118"/>
                                    <w:jc w:val="right"/>
                                    <w:rPr>
                                      <w:sz w:val="18"/>
                                    </w:rPr>
                                  </w:pPr>
                                  <w:r>
                                    <w:rPr>
                                      <w:spacing w:val="-2"/>
                                      <w:sz w:val="18"/>
                                    </w:rPr>
                                    <w:t>0.166671</w:t>
                                  </w:r>
                                </w:p>
                              </w:tc>
                              <w:tc>
                                <w:tcPr>
                                  <w:tcW w:w="2391" w:type="dxa"/>
                                  <w:gridSpan w:val="2"/>
                                  <w:tcBorders>
                                    <w:top w:val="double" w:sz="6" w:space="0" w:color="000000"/>
                                  </w:tcBorders>
                                </w:tcPr>
                                <w:p>
                                  <w:pPr>
                                    <w:pStyle w:val="TableParagraph"/>
                                    <w:spacing w:line="191" w:lineRule="exact" w:before="42"/>
                                    <w:ind w:left="121"/>
                                    <w:rPr>
                                      <w:sz w:val="18"/>
                                    </w:rPr>
                                  </w:pPr>
                                  <w:r>
                                    <w:rPr>
                                      <w:sz w:val="18"/>
                                    </w:rPr>
                                    <w:t>Mean</w:t>
                                  </w:r>
                                  <w:r>
                                    <w:rPr>
                                      <w:spacing w:val="-5"/>
                                      <w:sz w:val="18"/>
                                    </w:rPr>
                                    <w:t> </w:t>
                                  </w:r>
                                  <w:r>
                                    <w:rPr>
                                      <w:sz w:val="18"/>
                                    </w:rPr>
                                    <w:t>dependent</w:t>
                                  </w:r>
                                  <w:r>
                                    <w:rPr>
                                      <w:spacing w:val="-1"/>
                                      <w:sz w:val="18"/>
                                    </w:rPr>
                                    <w:t> </w:t>
                                  </w:r>
                                  <w:r>
                                    <w:rPr>
                                      <w:spacing w:val="-5"/>
                                      <w:sz w:val="18"/>
                                    </w:rPr>
                                    <w:t>var</w:t>
                                  </w:r>
                                </w:p>
                              </w:tc>
                              <w:tc>
                                <w:tcPr>
                                  <w:tcW w:w="888" w:type="dxa"/>
                                  <w:tcBorders>
                                    <w:top w:val="double" w:sz="6" w:space="0" w:color="000000"/>
                                  </w:tcBorders>
                                </w:tcPr>
                                <w:p>
                                  <w:pPr>
                                    <w:pStyle w:val="TableParagraph"/>
                                    <w:spacing w:line="191" w:lineRule="exact" w:before="42"/>
                                    <w:ind w:right="32"/>
                                    <w:jc w:val="right"/>
                                    <w:rPr>
                                      <w:sz w:val="18"/>
                                    </w:rPr>
                                  </w:pPr>
                                  <w:r>
                                    <w:rPr>
                                      <w:spacing w:val="-2"/>
                                      <w:sz w:val="18"/>
                                    </w:rPr>
                                    <w:t>0.243399</w:t>
                                  </w:r>
                                </w:p>
                              </w:tc>
                            </w:tr>
                            <w:tr>
                              <w:trPr>
                                <w:trHeight w:val="206" w:hRule="atLeast"/>
                              </w:trPr>
                              <w:tc>
                                <w:tcPr>
                                  <w:tcW w:w="1770" w:type="dxa"/>
                                </w:tcPr>
                                <w:p>
                                  <w:pPr>
                                    <w:pStyle w:val="TableParagraph"/>
                                    <w:spacing w:line="186" w:lineRule="exact"/>
                                    <w:ind w:left="36"/>
                                    <w:rPr>
                                      <w:sz w:val="18"/>
                                    </w:rPr>
                                  </w:pPr>
                                  <w:r>
                                    <w:rPr>
                                      <w:sz w:val="18"/>
                                    </w:rPr>
                                    <w:t>Adjusted</w:t>
                                  </w:r>
                                  <w:r>
                                    <w:rPr>
                                      <w:spacing w:val="-1"/>
                                      <w:sz w:val="18"/>
                                    </w:rPr>
                                    <w:t> </w:t>
                                  </w:r>
                                  <w:r>
                                    <w:rPr>
                                      <w:sz w:val="18"/>
                                    </w:rPr>
                                    <w:t>R-</w:t>
                                  </w:r>
                                  <w:r>
                                    <w:rPr>
                                      <w:spacing w:val="-2"/>
                                      <w:sz w:val="18"/>
                                    </w:rPr>
                                    <w:t>squared</w:t>
                                  </w:r>
                                </w:p>
                              </w:tc>
                              <w:tc>
                                <w:tcPr>
                                  <w:tcW w:w="1443" w:type="dxa"/>
                                </w:tcPr>
                                <w:p>
                                  <w:pPr>
                                    <w:pStyle w:val="TableParagraph"/>
                                    <w:spacing w:line="186" w:lineRule="exact"/>
                                    <w:ind w:right="118"/>
                                    <w:jc w:val="right"/>
                                    <w:rPr>
                                      <w:sz w:val="18"/>
                                    </w:rPr>
                                  </w:pPr>
                                  <w:r>
                                    <w:rPr>
                                      <w:spacing w:val="-2"/>
                                      <w:sz w:val="18"/>
                                    </w:rPr>
                                    <w:t>0.083339</w:t>
                                  </w:r>
                                </w:p>
                              </w:tc>
                              <w:tc>
                                <w:tcPr>
                                  <w:tcW w:w="1522" w:type="dxa"/>
                                </w:tcPr>
                                <w:p>
                                  <w:pPr>
                                    <w:pStyle w:val="TableParagraph"/>
                                    <w:spacing w:line="186" w:lineRule="exact"/>
                                    <w:ind w:left="121"/>
                                    <w:rPr>
                                      <w:sz w:val="18"/>
                                    </w:rPr>
                                  </w:pPr>
                                  <w:r>
                                    <w:rPr>
                                      <w:sz w:val="18"/>
                                    </w:rPr>
                                    <w:t>S.D.</w:t>
                                  </w:r>
                                  <w:r>
                                    <w:rPr>
                                      <w:spacing w:val="-5"/>
                                      <w:sz w:val="18"/>
                                    </w:rPr>
                                    <w:t> </w:t>
                                  </w:r>
                                  <w:r>
                                    <w:rPr>
                                      <w:sz w:val="18"/>
                                    </w:rPr>
                                    <w:t>dependent</w:t>
                                  </w:r>
                                  <w:r>
                                    <w:rPr>
                                      <w:spacing w:val="-3"/>
                                      <w:sz w:val="18"/>
                                    </w:rPr>
                                    <w:t> </w:t>
                                  </w:r>
                                  <w:r>
                                    <w:rPr>
                                      <w:spacing w:val="-5"/>
                                      <w:sz w:val="18"/>
                                    </w:rPr>
                                    <w:t>var</w:t>
                                  </w:r>
                                </w:p>
                              </w:tc>
                              <w:tc>
                                <w:tcPr>
                                  <w:tcW w:w="869" w:type="dxa"/>
                                </w:tcPr>
                                <w:p>
                                  <w:pPr>
                                    <w:pStyle w:val="TableParagraph"/>
                                    <w:rPr>
                                      <w:sz w:val="14"/>
                                    </w:rPr>
                                  </w:pPr>
                                </w:p>
                              </w:tc>
                              <w:tc>
                                <w:tcPr>
                                  <w:tcW w:w="888" w:type="dxa"/>
                                </w:tcPr>
                                <w:p>
                                  <w:pPr>
                                    <w:pStyle w:val="TableParagraph"/>
                                    <w:spacing w:line="186" w:lineRule="exact"/>
                                    <w:ind w:right="32"/>
                                    <w:jc w:val="right"/>
                                    <w:rPr>
                                      <w:sz w:val="18"/>
                                    </w:rPr>
                                  </w:pPr>
                                  <w:r>
                                    <w:rPr>
                                      <w:spacing w:val="-2"/>
                                      <w:sz w:val="18"/>
                                    </w:rPr>
                                    <w:t>0.181415</w:t>
                                  </w:r>
                                </w:p>
                              </w:tc>
                            </w:tr>
                            <w:tr>
                              <w:trPr>
                                <w:trHeight w:val="206" w:hRule="atLeast"/>
                              </w:trPr>
                              <w:tc>
                                <w:tcPr>
                                  <w:tcW w:w="1770" w:type="dxa"/>
                                </w:tcPr>
                                <w:p>
                                  <w:pPr>
                                    <w:pStyle w:val="TableParagraph"/>
                                    <w:spacing w:line="186" w:lineRule="exact"/>
                                    <w:ind w:left="36"/>
                                    <w:rPr>
                                      <w:sz w:val="18"/>
                                    </w:rPr>
                                  </w:pPr>
                                  <w:r>
                                    <w:rPr>
                                      <w:sz w:val="18"/>
                                    </w:rPr>
                                    <w:t>S.E.</w:t>
                                  </w:r>
                                  <w:r>
                                    <w:rPr>
                                      <w:spacing w:val="-3"/>
                                      <w:sz w:val="18"/>
                                    </w:rPr>
                                    <w:t> </w:t>
                                  </w:r>
                                  <w:r>
                                    <w:rPr>
                                      <w:sz w:val="18"/>
                                    </w:rPr>
                                    <w:t>of</w:t>
                                  </w:r>
                                  <w:r>
                                    <w:rPr>
                                      <w:spacing w:val="-1"/>
                                      <w:sz w:val="18"/>
                                    </w:rPr>
                                    <w:t> </w:t>
                                  </w:r>
                                  <w:r>
                                    <w:rPr>
                                      <w:spacing w:val="-2"/>
                                      <w:sz w:val="18"/>
                                    </w:rPr>
                                    <w:t>regression</w:t>
                                  </w:r>
                                </w:p>
                              </w:tc>
                              <w:tc>
                                <w:tcPr>
                                  <w:tcW w:w="1443" w:type="dxa"/>
                                </w:tcPr>
                                <w:p>
                                  <w:pPr>
                                    <w:pStyle w:val="TableParagraph"/>
                                    <w:spacing w:line="186" w:lineRule="exact"/>
                                    <w:ind w:right="118"/>
                                    <w:jc w:val="right"/>
                                    <w:rPr>
                                      <w:sz w:val="18"/>
                                    </w:rPr>
                                  </w:pPr>
                                  <w:r>
                                    <w:rPr>
                                      <w:spacing w:val="-2"/>
                                      <w:sz w:val="18"/>
                                    </w:rPr>
                                    <w:t>0.173691</w:t>
                                  </w:r>
                                </w:p>
                              </w:tc>
                              <w:tc>
                                <w:tcPr>
                                  <w:tcW w:w="2391" w:type="dxa"/>
                                  <w:gridSpan w:val="2"/>
                                </w:tcPr>
                                <w:p>
                                  <w:pPr>
                                    <w:pStyle w:val="TableParagraph"/>
                                    <w:spacing w:line="186" w:lineRule="exact"/>
                                    <w:ind w:left="121"/>
                                    <w:rPr>
                                      <w:sz w:val="18"/>
                                    </w:rPr>
                                  </w:pPr>
                                  <w:r>
                                    <w:rPr>
                                      <w:sz w:val="18"/>
                                    </w:rPr>
                                    <w:t>Akaike</w:t>
                                  </w:r>
                                  <w:r>
                                    <w:rPr>
                                      <w:spacing w:val="-5"/>
                                      <w:sz w:val="18"/>
                                    </w:rPr>
                                    <w:t> </w:t>
                                  </w:r>
                                  <w:r>
                                    <w:rPr>
                                      <w:sz w:val="18"/>
                                    </w:rPr>
                                    <w:t>info</w:t>
                                  </w:r>
                                  <w:r>
                                    <w:rPr>
                                      <w:spacing w:val="-2"/>
                                      <w:sz w:val="18"/>
                                    </w:rPr>
                                    <w:t> criterion</w:t>
                                  </w:r>
                                </w:p>
                              </w:tc>
                              <w:tc>
                                <w:tcPr>
                                  <w:tcW w:w="888" w:type="dxa"/>
                                </w:tcPr>
                                <w:p>
                                  <w:pPr>
                                    <w:pStyle w:val="TableParagraph"/>
                                    <w:spacing w:line="186" w:lineRule="exact"/>
                                    <w:ind w:right="32"/>
                                    <w:jc w:val="right"/>
                                    <w:rPr>
                                      <w:sz w:val="18"/>
                                    </w:rPr>
                                  </w:pPr>
                                  <w:r>
                                    <w:rPr>
                                      <w:sz w:val="18"/>
                                    </w:rPr>
                                    <w:t>-</w:t>
                                  </w:r>
                                  <w:r>
                                    <w:rPr>
                                      <w:spacing w:val="-2"/>
                                      <w:sz w:val="18"/>
                                    </w:rPr>
                                    <w:t>0.541972</w:t>
                                  </w:r>
                                </w:p>
                              </w:tc>
                            </w:tr>
                            <w:tr>
                              <w:trPr>
                                <w:trHeight w:val="207" w:hRule="atLeast"/>
                              </w:trPr>
                              <w:tc>
                                <w:tcPr>
                                  <w:tcW w:w="1770" w:type="dxa"/>
                                </w:tcPr>
                                <w:p>
                                  <w:pPr>
                                    <w:pStyle w:val="TableParagraph"/>
                                    <w:spacing w:line="188" w:lineRule="exact"/>
                                    <w:ind w:left="36"/>
                                    <w:rPr>
                                      <w:sz w:val="18"/>
                                    </w:rPr>
                                  </w:pPr>
                                  <w:r>
                                    <w:rPr>
                                      <w:sz w:val="18"/>
                                    </w:rPr>
                                    <w:t>Sum</w:t>
                                  </w:r>
                                  <w:r>
                                    <w:rPr>
                                      <w:spacing w:val="-3"/>
                                      <w:sz w:val="18"/>
                                    </w:rPr>
                                    <w:t> </w:t>
                                  </w:r>
                                  <w:r>
                                    <w:rPr>
                                      <w:sz w:val="18"/>
                                    </w:rPr>
                                    <w:t>squared</w:t>
                                  </w:r>
                                  <w:r>
                                    <w:rPr>
                                      <w:spacing w:val="1"/>
                                      <w:sz w:val="18"/>
                                    </w:rPr>
                                    <w:t> </w:t>
                                  </w:r>
                                  <w:r>
                                    <w:rPr>
                                      <w:spacing w:val="-2"/>
                                      <w:sz w:val="18"/>
                                    </w:rPr>
                                    <w:t>resid</w:t>
                                  </w:r>
                                </w:p>
                              </w:tc>
                              <w:tc>
                                <w:tcPr>
                                  <w:tcW w:w="1443" w:type="dxa"/>
                                </w:tcPr>
                                <w:p>
                                  <w:pPr>
                                    <w:pStyle w:val="TableParagraph"/>
                                    <w:spacing w:line="188" w:lineRule="exact"/>
                                    <w:ind w:right="118"/>
                                    <w:jc w:val="right"/>
                                    <w:rPr>
                                      <w:sz w:val="18"/>
                                    </w:rPr>
                                  </w:pPr>
                                  <w:r>
                                    <w:rPr>
                                      <w:spacing w:val="-2"/>
                                      <w:sz w:val="18"/>
                                    </w:rPr>
                                    <w:t>0.603370</w:t>
                                  </w:r>
                                </w:p>
                              </w:tc>
                              <w:tc>
                                <w:tcPr>
                                  <w:tcW w:w="1522" w:type="dxa"/>
                                </w:tcPr>
                                <w:p>
                                  <w:pPr>
                                    <w:pStyle w:val="TableParagraph"/>
                                    <w:spacing w:line="188" w:lineRule="exact"/>
                                    <w:ind w:left="121"/>
                                    <w:rPr>
                                      <w:sz w:val="18"/>
                                    </w:rPr>
                                  </w:pPr>
                                  <w:r>
                                    <w:rPr>
                                      <w:sz w:val="18"/>
                                    </w:rPr>
                                    <w:t>Schwarz</w:t>
                                  </w:r>
                                  <w:r>
                                    <w:rPr>
                                      <w:spacing w:val="-7"/>
                                      <w:sz w:val="18"/>
                                    </w:rPr>
                                    <w:t> </w:t>
                                  </w:r>
                                  <w:r>
                                    <w:rPr>
                                      <w:spacing w:val="-2"/>
                                      <w:sz w:val="18"/>
                                    </w:rPr>
                                    <w:t>criterion</w:t>
                                  </w:r>
                                </w:p>
                              </w:tc>
                              <w:tc>
                                <w:tcPr>
                                  <w:tcW w:w="869" w:type="dxa"/>
                                </w:tcPr>
                                <w:p>
                                  <w:pPr>
                                    <w:pStyle w:val="TableParagraph"/>
                                    <w:rPr>
                                      <w:sz w:val="14"/>
                                    </w:rPr>
                                  </w:pPr>
                                </w:p>
                              </w:tc>
                              <w:tc>
                                <w:tcPr>
                                  <w:tcW w:w="888" w:type="dxa"/>
                                </w:tcPr>
                                <w:p>
                                  <w:pPr>
                                    <w:pStyle w:val="TableParagraph"/>
                                    <w:spacing w:line="188" w:lineRule="exact"/>
                                    <w:ind w:right="32"/>
                                    <w:jc w:val="right"/>
                                    <w:rPr>
                                      <w:sz w:val="18"/>
                                    </w:rPr>
                                  </w:pPr>
                                  <w:r>
                                    <w:rPr>
                                      <w:sz w:val="18"/>
                                    </w:rPr>
                                    <w:t>-</w:t>
                                  </w:r>
                                  <w:r>
                                    <w:rPr>
                                      <w:spacing w:val="-2"/>
                                      <w:sz w:val="18"/>
                                    </w:rPr>
                                    <w:t>0.393864</w:t>
                                  </w:r>
                                </w:p>
                              </w:tc>
                            </w:tr>
                            <w:tr>
                              <w:trPr>
                                <w:trHeight w:val="207" w:hRule="atLeast"/>
                              </w:trPr>
                              <w:tc>
                                <w:tcPr>
                                  <w:tcW w:w="1770" w:type="dxa"/>
                                </w:tcPr>
                                <w:p>
                                  <w:pPr>
                                    <w:pStyle w:val="TableParagraph"/>
                                    <w:spacing w:line="188" w:lineRule="exact"/>
                                    <w:ind w:left="36"/>
                                    <w:rPr>
                                      <w:sz w:val="18"/>
                                    </w:rPr>
                                  </w:pPr>
                                  <w:r>
                                    <w:rPr>
                                      <w:sz w:val="18"/>
                                    </w:rPr>
                                    <w:t>Log</w:t>
                                  </w:r>
                                  <w:r>
                                    <w:rPr>
                                      <w:spacing w:val="-2"/>
                                      <w:sz w:val="18"/>
                                    </w:rPr>
                                    <w:t> likelihood</w:t>
                                  </w:r>
                                </w:p>
                              </w:tc>
                              <w:tc>
                                <w:tcPr>
                                  <w:tcW w:w="1443" w:type="dxa"/>
                                </w:tcPr>
                                <w:p>
                                  <w:pPr>
                                    <w:pStyle w:val="TableParagraph"/>
                                    <w:spacing w:line="188" w:lineRule="exact"/>
                                    <w:ind w:right="118"/>
                                    <w:jc w:val="right"/>
                                    <w:rPr>
                                      <w:sz w:val="18"/>
                                    </w:rPr>
                                  </w:pPr>
                                  <w:r>
                                    <w:rPr>
                                      <w:spacing w:val="-2"/>
                                      <w:sz w:val="18"/>
                                    </w:rPr>
                                    <w:t>9.232674</w:t>
                                  </w:r>
                                </w:p>
                              </w:tc>
                              <w:tc>
                                <w:tcPr>
                                  <w:tcW w:w="1522" w:type="dxa"/>
                                </w:tcPr>
                                <w:p>
                                  <w:pPr>
                                    <w:pStyle w:val="TableParagraph"/>
                                    <w:spacing w:line="188" w:lineRule="exact"/>
                                    <w:ind w:left="121"/>
                                    <w:rPr>
                                      <w:sz w:val="18"/>
                                    </w:rPr>
                                  </w:pPr>
                                  <w:r>
                                    <w:rPr>
                                      <w:sz w:val="18"/>
                                    </w:rPr>
                                    <w:t>F-</w:t>
                                  </w:r>
                                  <w:r>
                                    <w:rPr>
                                      <w:spacing w:val="-2"/>
                                      <w:sz w:val="18"/>
                                    </w:rPr>
                                    <w:t>statistic</w:t>
                                  </w:r>
                                </w:p>
                              </w:tc>
                              <w:tc>
                                <w:tcPr>
                                  <w:tcW w:w="869" w:type="dxa"/>
                                </w:tcPr>
                                <w:p>
                                  <w:pPr>
                                    <w:pStyle w:val="TableParagraph"/>
                                    <w:rPr>
                                      <w:sz w:val="14"/>
                                    </w:rPr>
                                  </w:pPr>
                                </w:p>
                              </w:tc>
                              <w:tc>
                                <w:tcPr>
                                  <w:tcW w:w="888" w:type="dxa"/>
                                </w:tcPr>
                                <w:p>
                                  <w:pPr>
                                    <w:pStyle w:val="TableParagraph"/>
                                    <w:spacing w:line="188" w:lineRule="exact"/>
                                    <w:ind w:right="32"/>
                                    <w:jc w:val="right"/>
                                    <w:rPr>
                                      <w:sz w:val="18"/>
                                    </w:rPr>
                                  </w:pPr>
                                  <w:r>
                                    <w:rPr>
                                      <w:spacing w:val="-2"/>
                                      <w:sz w:val="18"/>
                                    </w:rPr>
                                    <w:t>2.000069</w:t>
                                  </w:r>
                                </w:p>
                              </w:tc>
                            </w:tr>
                            <w:tr>
                              <w:trPr>
                                <w:trHeight w:val="244" w:hRule="atLeast"/>
                              </w:trPr>
                              <w:tc>
                                <w:tcPr>
                                  <w:tcW w:w="1770" w:type="dxa"/>
                                  <w:tcBorders>
                                    <w:bottom w:val="double" w:sz="6" w:space="0" w:color="000000"/>
                                  </w:tcBorders>
                                </w:tcPr>
                                <w:p>
                                  <w:pPr>
                                    <w:pStyle w:val="TableParagraph"/>
                                    <w:spacing w:line="203" w:lineRule="exact"/>
                                    <w:ind w:left="36"/>
                                    <w:rPr>
                                      <w:sz w:val="18"/>
                                    </w:rPr>
                                  </w:pPr>
                                  <w:r>
                                    <w:rPr>
                                      <w:sz w:val="18"/>
                                    </w:rPr>
                                    <w:t>Durbin-Watson</w:t>
                                  </w:r>
                                  <w:r>
                                    <w:rPr>
                                      <w:spacing w:val="-2"/>
                                      <w:sz w:val="18"/>
                                    </w:rPr>
                                    <w:t> </w:t>
                                  </w:r>
                                  <w:r>
                                    <w:rPr>
                                      <w:spacing w:val="-4"/>
                                      <w:sz w:val="18"/>
                                    </w:rPr>
                                    <w:t>stat</w:t>
                                  </w:r>
                                </w:p>
                              </w:tc>
                              <w:tc>
                                <w:tcPr>
                                  <w:tcW w:w="1443" w:type="dxa"/>
                                </w:tcPr>
                                <w:p>
                                  <w:pPr>
                                    <w:pStyle w:val="TableParagraph"/>
                                    <w:spacing w:line="203" w:lineRule="exact"/>
                                    <w:ind w:right="118"/>
                                    <w:jc w:val="right"/>
                                    <w:rPr>
                                      <w:sz w:val="18"/>
                                    </w:rPr>
                                  </w:pPr>
                                  <w:r>
                                    <w:rPr>
                                      <w:spacing w:val="-2"/>
                                      <w:sz w:val="18"/>
                                    </w:rPr>
                                    <w:t>1.995825</w:t>
                                  </w:r>
                                </w:p>
                              </w:tc>
                              <w:tc>
                                <w:tcPr>
                                  <w:tcW w:w="1522" w:type="dxa"/>
                                  <w:tcBorders>
                                    <w:bottom w:val="double" w:sz="6" w:space="0" w:color="000000"/>
                                  </w:tcBorders>
                                </w:tcPr>
                                <w:p>
                                  <w:pPr>
                                    <w:pStyle w:val="TableParagraph"/>
                                    <w:spacing w:line="203" w:lineRule="exact"/>
                                    <w:ind w:left="119"/>
                                    <w:rPr>
                                      <w:sz w:val="18"/>
                                    </w:rPr>
                                  </w:pPr>
                                  <w:r>
                                    <w:rPr>
                                      <w:spacing w:val="-2"/>
                                      <w:sz w:val="18"/>
                                    </w:rPr>
                                    <w:t>Prob(F-statistic)</w:t>
                                  </w:r>
                                </w:p>
                              </w:tc>
                              <w:tc>
                                <w:tcPr>
                                  <w:tcW w:w="869" w:type="dxa"/>
                                  <w:tcBorders>
                                    <w:bottom w:val="single" w:sz="6" w:space="0" w:color="000000"/>
                                  </w:tcBorders>
                                </w:tcPr>
                                <w:p>
                                  <w:pPr>
                                    <w:pStyle w:val="TableParagraph"/>
                                    <w:rPr>
                                      <w:sz w:val="16"/>
                                    </w:rPr>
                                  </w:pPr>
                                </w:p>
                              </w:tc>
                              <w:tc>
                                <w:tcPr>
                                  <w:tcW w:w="888" w:type="dxa"/>
                                  <w:tcBorders>
                                    <w:bottom w:val="double" w:sz="6" w:space="0" w:color="000000"/>
                                  </w:tcBorders>
                                </w:tcPr>
                                <w:p>
                                  <w:pPr>
                                    <w:pStyle w:val="TableParagraph"/>
                                    <w:spacing w:line="203" w:lineRule="exact"/>
                                    <w:ind w:right="32"/>
                                    <w:jc w:val="right"/>
                                    <w:rPr>
                                      <w:sz w:val="18"/>
                                    </w:rPr>
                                  </w:pPr>
                                  <w:r>
                                    <w:rPr>
                                      <w:spacing w:val="-2"/>
                                      <w:sz w:val="18"/>
                                    </w:rPr>
                                    <w:t>0.161496</w:t>
                                  </w:r>
                                </w:p>
                              </w:tc>
                            </w:tr>
                          </w:tbl>
                          <w:p>
                            <w:pPr>
                              <w:pStyle w:val="BodyText"/>
                            </w:pPr>
                          </w:p>
                        </w:txbxContent>
                      </wps:txbx>
                      <wps:bodyPr wrap="square" lIns="0" tIns="0" rIns="0" bIns="0" rtlCol="0">
                        <a:noAutofit/>
                      </wps:bodyPr>
                    </wps:wsp>
                  </a:graphicData>
                </a:graphic>
              </wp:anchor>
            </w:drawing>
          </mc:Choice>
          <mc:Fallback>
            <w:pict>
              <v:shape style="position:absolute;margin-left:47.759998pt;margin-top:34.839981pt;width:330.45pt;height:248.15pt;mso-position-horizontal-relative:page;mso-position-vertical-relative:paragraph;z-index:15762944" type="#_x0000_t202" id="docshape296"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70"/>
                        <w:gridCol w:w="1443"/>
                        <w:gridCol w:w="1522"/>
                        <w:gridCol w:w="869"/>
                        <w:gridCol w:w="888"/>
                      </w:tblGrid>
                      <w:tr>
                        <w:trPr>
                          <w:trHeight w:val="202" w:hRule="atLeast"/>
                        </w:trPr>
                        <w:tc>
                          <w:tcPr>
                            <w:tcW w:w="1770" w:type="dxa"/>
                          </w:tcPr>
                          <w:p>
                            <w:pPr>
                              <w:pStyle w:val="TableParagraph"/>
                              <w:spacing w:line="183" w:lineRule="exact"/>
                              <w:ind w:left="36"/>
                              <w:rPr>
                                <w:sz w:val="18"/>
                              </w:rPr>
                            </w:pPr>
                            <w:r>
                              <w:rPr>
                                <w:sz w:val="18"/>
                              </w:rPr>
                              <w:t>ADF</w:t>
                            </w:r>
                            <w:r>
                              <w:rPr>
                                <w:spacing w:val="-1"/>
                                <w:sz w:val="18"/>
                              </w:rPr>
                              <w:t> </w:t>
                            </w:r>
                            <w:r>
                              <w:rPr>
                                <w:sz w:val="18"/>
                              </w:rPr>
                              <w:t>Test</w:t>
                            </w:r>
                            <w:r>
                              <w:rPr>
                                <w:spacing w:val="-2"/>
                                <w:sz w:val="18"/>
                              </w:rPr>
                              <w:t> Statistic</w:t>
                            </w:r>
                          </w:p>
                        </w:tc>
                        <w:tc>
                          <w:tcPr>
                            <w:tcW w:w="1443" w:type="dxa"/>
                          </w:tcPr>
                          <w:p>
                            <w:pPr>
                              <w:pStyle w:val="TableParagraph"/>
                              <w:spacing w:line="183" w:lineRule="exact"/>
                              <w:ind w:left="296"/>
                              <w:rPr>
                                <w:sz w:val="18"/>
                              </w:rPr>
                            </w:pPr>
                            <w:r>
                              <w:rPr>
                                <w:sz w:val="18"/>
                              </w:rPr>
                              <w:t>-</w:t>
                            </w:r>
                            <w:r>
                              <w:rPr>
                                <w:spacing w:val="-2"/>
                                <w:sz w:val="18"/>
                              </w:rPr>
                              <w:t>1.984437</w:t>
                            </w:r>
                          </w:p>
                        </w:tc>
                        <w:tc>
                          <w:tcPr>
                            <w:tcW w:w="2391" w:type="dxa"/>
                            <w:gridSpan w:val="2"/>
                          </w:tcPr>
                          <w:p>
                            <w:pPr>
                              <w:pStyle w:val="TableParagraph"/>
                              <w:spacing w:line="183" w:lineRule="exact"/>
                              <w:ind w:left="121"/>
                              <w:rPr>
                                <w:sz w:val="18"/>
                              </w:rPr>
                            </w:pPr>
                            <w:r>
                              <w:rPr>
                                <w:sz w:val="18"/>
                              </w:rPr>
                              <w:t>1%</w:t>
                            </w:r>
                            <w:r>
                              <w:rPr>
                                <w:spacing w:val="63"/>
                                <w:w w:val="150"/>
                                <w:sz w:val="18"/>
                              </w:rPr>
                              <w:t> </w:t>
                            </w:r>
                            <w:r>
                              <w:rPr>
                                <w:sz w:val="18"/>
                              </w:rPr>
                              <w:t>Critical</w:t>
                            </w:r>
                            <w:r>
                              <w:rPr>
                                <w:spacing w:val="-2"/>
                                <w:sz w:val="18"/>
                              </w:rPr>
                              <w:t> Value*</w:t>
                            </w:r>
                          </w:p>
                        </w:tc>
                        <w:tc>
                          <w:tcPr>
                            <w:tcW w:w="888" w:type="dxa"/>
                          </w:tcPr>
                          <w:p>
                            <w:pPr>
                              <w:pStyle w:val="TableParagraph"/>
                              <w:spacing w:line="183" w:lineRule="exact"/>
                              <w:ind w:right="33"/>
                              <w:jc w:val="right"/>
                              <w:rPr>
                                <w:sz w:val="18"/>
                              </w:rPr>
                            </w:pPr>
                            <w:r>
                              <w:rPr>
                                <w:sz w:val="18"/>
                              </w:rPr>
                              <w:t>-</w:t>
                            </w:r>
                            <w:r>
                              <w:rPr>
                                <w:spacing w:val="-2"/>
                                <w:sz w:val="18"/>
                              </w:rPr>
                              <w:t>3.7497</w:t>
                            </w:r>
                          </w:p>
                        </w:tc>
                      </w:tr>
                      <w:tr>
                        <w:trPr>
                          <w:trHeight w:val="207" w:hRule="atLeast"/>
                        </w:trPr>
                        <w:tc>
                          <w:tcPr>
                            <w:tcW w:w="1770" w:type="dxa"/>
                          </w:tcPr>
                          <w:p>
                            <w:pPr>
                              <w:pStyle w:val="TableParagraph"/>
                              <w:rPr>
                                <w:sz w:val="14"/>
                              </w:rPr>
                            </w:pPr>
                          </w:p>
                        </w:tc>
                        <w:tc>
                          <w:tcPr>
                            <w:tcW w:w="1443" w:type="dxa"/>
                          </w:tcPr>
                          <w:p>
                            <w:pPr>
                              <w:pStyle w:val="TableParagraph"/>
                              <w:rPr>
                                <w:sz w:val="14"/>
                              </w:rPr>
                            </w:pPr>
                          </w:p>
                        </w:tc>
                        <w:tc>
                          <w:tcPr>
                            <w:tcW w:w="1522" w:type="dxa"/>
                          </w:tcPr>
                          <w:p>
                            <w:pPr>
                              <w:pStyle w:val="TableParagraph"/>
                              <w:spacing w:line="188" w:lineRule="exact"/>
                              <w:ind w:left="121"/>
                              <w:rPr>
                                <w:sz w:val="18"/>
                              </w:rPr>
                            </w:pPr>
                            <w:r>
                              <w:rPr>
                                <w:sz w:val="18"/>
                              </w:rPr>
                              <w:t>5%</w:t>
                            </w:r>
                            <w:r>
                              <w:rPr>
                                <w:spacing w:val="63"/>
                                <w:w w:val="150"/>
                                <w:sz w:val="18"/>
                              </w:rPr>
                              <w:t> </w:t>
                            </w:r>
                            <w:r>
                              <w:rPr>
                                <w:sz w:val="18"/>
                              </w:rPr>
                              <w:t>Critical</w:t>
                            </w:r>
                            <w:r>
                              <w:rPr>
                                <w:spacing w:val="-2"/>
                                <w:sz w:val="18"/>
                              </w:rPr>
                              <w:t> Value</w:t>
                            </w:r>
                          </w:p>
                        </w:tc>
                        <w:tc>
                          <w:tcPr>
                            <w:tcW w:w="869" w:type="dxa"/>
                          </w:tcPr>
                          <w:p>
                            <w:pPr>
                              <w:pStyle w:val="TableParagraph"/>
                              <w:rPr>
                                <w:sz w:val="14"/>
                              </w:rPr>
                            </w:pPr>
                          </w:p>
                        </w:tc>
                        <w:tc>
                          <w:tcPr>
                            <w:tcW w:w="888" w:type="dxa"/>
                          </w:tcPr>
                          <w:p>
                            <w:pPr>
                              <w:pStyle w:val="TableParagraph"/>
                              <w:spacing w:line="188" w:lineRule="exact"/>
                              <w:ind w:right="33"/>
                              <w:jc w:val="right"/>
                              <w:rPr>
                                <w:sz w:val="18"/>
                              </w:rPr>
                            </w:pPr>
                            <w:r>
                              <w:rPr>
                                <w:sz w:val="18"/>
                              </w:rPr>
                              <w:t>-</w:t>
                            </w:r>
                            <w:r>
                              <w:rPr>
                                <w:spacing w:val="-2"/>
                                <w:sz w:val="18"/>
                              </w:rPr>
                              <w:t>2.9969</w:t>
                            </w:r>
                          </w:p>
                        </w:tc>
                      </w:tr>
                      <w:tr>
                        <w:trPr>
                          <w:trHeight w:val="202" w:hRule="atLeast"/>
                        </w:trPr>
                        <w:tc>
                          <w:tcPr>
                            <w:tcW w:w="1770" w:type="dxa"/>
                            <w:tcBorders>
                              <w:bottom w:val="double" w:sz="6" w:space="0" w:color="000000"/>
                            </w:tcBorders>
                          </w:tcPr>
                          <w:p>
                            <w:pPr>
                              <w:pStyle w:val="TableParagraph"/>
                              <w:rPr>
                                <w:sz w:val="14"/>
                              </w:rPr>
                            </w:pPr>
                          </w:p>
                        </w:tc>
                        <w:tc>
                          <w:tcPr>
                            <w:tcW w:w="1443" w:type="dxa"/>
                            <w:tcBorders>
                              <w:bottom w:val="double" w:sz="6" w:space="0" w:color="000000"/>
                            </w:tcBorders>
                          </w:tcPr>
                          <w:p>
                            <w:pPr>
                              <w:pStyle w:val="TableParagraph"/>
                              <w:rPr>
                                <w:sz w:val="14"/>
                              </w:rPr>
                            </w:pPr>
                          </w:p>
                        </w:tc>
                        <w:tc>
                          <w:tcPr>
                            <w:tcW w:w="1522" w:type="dxa"/>
                            <w:tcBorders>
                              <w:bottom w:val="double" w:sz="6" w:space="0" w:color="000000"/>
                            </w:tcBorders>
                          </w:tcPr>
                          <w:p>
                            <w:pPr>
                              <w:pStyle w:val="TableParagraph"/>
                              <w:spacing w:line="183" w:lineRule="exact"/>
                              <w:ind w:left="121"/>
                              <w:rPr>
                                <w:sz w:val="18"/>
                              </w:rPr>
                            </w:pPr>
                            <w:r>
                              <w:rPr>
                                <w:sz w:val="18"/>
                              </w:rPr>
                              <w:t>10%</w:t>
                            </w:r>
                            <w:r>
                              <w:rPr>
                                <w:spacing w:val="-5"/>
                                <w:sz w:val="18"/>
                              </w:rPr>
                              <w:t> </w:t>
                            </w:r>
                            <w:r>
                              <w:rPr>
                                <w:sz w:val="18"/>
                              </w:rPr>
                              <w:t>Critical</w:t>
                            </w:r>
                            <w:r>
                              <w:rPr>
                                <w:spacing w:val="-3"/>
                                <w:sz w:val="18"/>
                              </w:rPr>
                              <w:t> </w:t>
                            </w:r>
                            <w:r>
                              <w:rPr>
                                <w:spacing w:val="-2"/>
                                <w:sz w:val="18"/>
                              </w:rPr>
                              <w:t>Value</w:t>
                            </w:r>
                          </w:p>
                        </w:tc>
                        <w:tc>
                          <w:tcPr>
                            <w:tcW w:w="869" w:type="dxa"/>
                            <w:tcBorders>
                              <w:bottom w:val="double" w:sz="6" w:space="0" w:color="000000"/>
                            </w:tcBorders>
                          </w:tcPr>
                          <w:p>
                            <w:pPr>
                              <w:pStyle w:val="TableParagraph"/>
                              <w:rPr>
                                <w:sz w:val="14"/>
                              </w:rPr>
                            </w:pPr>
                          </w:p>
                        </w:tc>
                        <w:tc>
                          <w:tcPr>
                            <w:tcW w:w="888" w:type="dxa"/>
                            <w:tcBorders>
                              <w:bottom w:val="double" w:sz="6" w:space="0" w:color="000000"/>
                            </w:tcBorders>
                          </w:tcPr>
                          <w:p>
                            <w:pPr>
                              <w:pStyle w:val="TableParagraph"/>
                              <w:spacing w:line="183" w:lineRule="exact"/>
                              <w:ind w:right="33"/>
                              <w:jc w:val="right"/>
                              <w:rPr>
                                <w:sz w:val="18"/>
                              </w:rPr>
                            </w:pPr>
                            <w:r>
                              <w:rPr>
                                <w:sz w:val="18"/>
                              </w:rPr>
                              <w:t>-</w:t>
                            </w:r>
                            <w:r>
                              <w:rPr>
                                <w:spacing w:val="-2"/>
                                <w:sz w:val="18"/>
                              </w:rPr>
                              <w:t>2.6381</w:t>
                            </w:r>
                          </w:p>
                        </w:tc>
                      </w:tr>
                      <w:tr>
                        <w:trPr>
                          <w:trHeight w:val="457" w:hRule="atLeast"/>
                        </w:trPr>
                        <w:tc>
                          <w:tcPr>
                            <w:tcW w:w="6492" w:type="dxa"/>
                            <w:gridSpan w:val="5"/>
                            <w:tcBorders>
                              <w:top w:val="double" w:sz="6" w:space="0" w:color="000000"/>
                            </w:tcBorders>
                          </w:tcPr>
                          <w:p>
                            <w:pPr>
                              <w:pStyle w:val="TableParagraph"/>
                              <w:spacing w:before="40"/>
                              <w:ind w:left="36"/>
                              <w:rPr>
                                <w:sz w:val="18"/>
                              </w:rPr>
                            </w:pPr>
                            <w:r>
                              <w:rPr>
                                <w:sz w:val="18"/>
                              </w:rPr>
                              <w:t>*MacKinnon</w:t>
                            </w:r>
                            <w:r>
                              <w:rPr>
                                <w:spacing w:val="-1"/>
                                <w:sz w:val="18"/>
                              </w:rPr>
                              <w:t> </w:t>
                            </w:r>
                            <w:r>
                              <w:rPr>
                                <w:sz w:val="18"/>
                              </w:rPr>
                              <w:t>critical</w:t>
                            </w:r>
                            <w:r>
                              <w:rPr>
                                <w:spacing w:val="-1"/>
                                <w:sz w:val="18"/>
                              </w:rPr>
                              <w:t> </w:t>
                            </w:r>
                            <w:r>
                              <w:rPr>
                                <w:sz w:val="18"/>
                              </w:rPr>
                              <w:t>values</w:t>
                            </w:r>
                            <w:r>
                              <w:rPr>
                                <w:spacing w:val="-1"/>
                                <w:sz w:val="18"/>
                              </w:rPr>
                              <w:t> </w:t>
                            </w:r>
                            <w:r>
                              <w:rPr>
                                <w:sz w:val="18"/>
                              </w:rPr>
                              <w:t>for</w:t>
                            </w:r>
                            <w:r>
                              <w:rPr>
                                <w:spacing w:val="-1"/>
                                <w:sz w:val="18"/>
                              </w:rPr>
                              <w:t> </w:t>
                            </w:r>
                            <w:r>
                              <w:rPr>
                                <w:sz w:val="18"/>
                              </w:rPr>
                              <w:t>rejection</w:t>
                            </w:r>
                            <w:r>
                              <w:rPr>
                                <w:spacing w:val="-2"/>
                                <w:sz w:val="18"/>
                              </w:rPr>
                              <w:t> </w:t>
                            </w:r>
                            <w:r>
                              <w:rPr>
                                <w:sz w:val="18"/>
                              </w:rPr>
                              <w:t>of</w:t>
                            </w:r>
                            <w:r>
                              <w:rPr>
                                <w:spacing w:val="-3"/>
                                <w:sz w:val="18"/>
                              </w:rPr>
                              <w:t> </w:t>
                            </w:r>
                            <w:r>
                              <w:rPr>
                                <w:sz w:val="18"/>
                              </w:rPr>
                              <w:t>hypothesis</w:t>
                            </w:r>
                            <w:r>
                              <w:rPr>
                                <w:spacing w:val="-1"/>
                                <w:sz w:val="18"/>
                              </w:rPr>
                              <w:t> </w:t>
                            </w:r>
                            <w:r>
                              <w:rPr>
                                <w:sz w:val="18"/>
                              </w:rPr>
                              <w:t>of</w:t>
                            </w:r>
                            <w:r>
                              <w:rPr>
                                <w:spacing w:val="-3"/>
                                <w:sz w:val="18"/>
                              </w:rPr>
                              <w:t> </w:t>
                            </w:r>
                            <w:r>
                              <w:rPr>
                                <w:sz w:val="18"/>
                              </w:rPr>
                              <w:t>a</w:t>
                            </w:r>
                            <w:r>
                              <w:rPr>
                                <w:spacing w:val="-2"/>
                                <w:sz w:val="18"/>
                              </w:rPr>
                              <w:t> </w:t>
                            </w:r>
                            <w:r>
                              <w:rPr>
                                <w:sz w:val="18"/>
                              </w:rPr>
                              <w:t>unit</w:t>
                            </w:r>
                            <w:r>
                              <w:rPr>
                                <w:spacing w:val="-2"/>
                                <w:sz w:val="18"/>
                              </w:rPr>
                              <w:t> root.</w:t>
                            </w:r>
                          </w:p>
                        </w:tc>
                      </w:tr>
                      <w:tr>
                        <w:trPr>
                          <w:trHeight w:val="414" w:hRule="atLeast"/>
                        </w:trPr>
                        <w:tc>
                          <w:tcPr>
                            <w:tcW w:w="6492" w:type="dxa"/>
                            <w:gridSpan w:val="5"/>
                          </w:tcPr>
                          <w:p>
                            <w:pPr>
                              <w:pStyle w:val="TableParagraph"/>
                              <w:spacing w:line="191" w:lineRule="exact" w:before="203"/>
                              <w:ind w:left="36"/>
                              <w:rPr>
                                <w:sz w:val="18"/>
                              </w:rPr>
                            </w:pPr>
                            <w:r>
                              <w:rPr>
                                <w:sz w:val="18"/>
                              </w:rPr>
                              <w:t>Augmented</w:t>
                            </w:r>
                            <w:r>
                              <w:rPr>
                                <w:spacing w:val="-3"/>
                                <w:sz w:val="18"/>
                              </w:rPr>
                              <w:t> </w:t>
                            </w:r>
                            <w:r>
                              <w:rPr>
                                <w:sz w:val="18"/>
                              </w:rPr>
                              <w:t>Dickey-Fuller</w:t>
                            </w:r>
                            <w:r>
                              <w:rPr>
                                <w:spacing w:val="-3"/>
                                <w:sz w:val="18"/>
                              </w:rPr>
                              <w:t> </w:t>
                            </w:r>
                            <w:r>
                              <w:rPr>
                                <w:sz w:val="18"/>
                              </w:rPr>
                              <w:t>Test</w:t>
                            </w:r>
                            <w:r>
                              <w:rPr>
                                <w:spacing w:val="-3"/>
                                <w:sz w:val="18"/>
                              </w:rPr>
                              <w:t> </w:t>
                            </w:r>
                            <w:r>
                              <w:rPr>
                                <w:spacing w:val="-2"/>
                                <w:sz w:val="18"/>
                              </w:rPr>
                              <w:t>Equation</w:t>
                            </w:r>
                          </w:p>
                        </w:tc>
                      </w:tr>
                      <w:tr>
                        <w:trPr>
                          <w:trHeight w:val="207" w:hRule="atLeast"/>
                        </w:trPr>
                        <w:tc>
                          <w:tcPr>
                            <w:tcW w:w="6492" w:type="dxa"/>
                            <w:gridSpan w:val="5"/>
                          </w:tcPr>
                          <w:p>
                            <w:pPr>
                              <w:pStyle w:val="TableParagraph"/>
                              <w:spacing w:line="188" w:lineRule="exact"/>
                              <w:ind w:left="36"/>
                              <w:rPr>
                                <w:sz w:val="18"/>
                              </w:rPr>
                            </w:pPr>
                            <w:r>
                              <w:rPr>
                                <w:sz w:val="18"/>
                              </w:rPr>
                              <w:t>Dependent</w:t>
                            </w:r>
                            <w:r>
                              <w:rPr>
                                <w:spacing w:val="-2"/>
                                <w:sz w:val="18"/>
                              </w:rPr>
                              <w:t> </w:t>
                            </w:r>
                            <w:r>
                              <w:rPr>
                                <w:sz w:val="18"/>
                              </w:rPr>
                              <w:t>Variable:</w:t>
                            </w:r>
                            <w:r>
                              <w:rPr>
                                <w:spacing w:val="-1"/>
                                <w:sz w:val="18"/>
                              </w:rPr>
                              <w:t> </w:t>
                            </w:r>
                            <w:r>
                              <w:rPr>
                                <w:spacing w:val="-2"/>
                                <w:sz w:val="18"/>
                              </w:rPr>
                              <w:t>D(GDP)</w:t>
                            </w:r>
                          </w:p>
                        </w:tc>
                      </w:tr>
                      <w:tr>
                        <w:trPr>
                          <w:trHeight w:val="207" w:hRule="atLeast"/>
                        </w:trPr>
                        <w:tc>
                          <w:tcPr>
                            <w:tcW w:w="1770" w:type="dxa"/>
                          </w:tcPr>
                          <w:p>
                            <w:pPr>
                              <w:pStyle w:val="TableParagraph"/>
                              <w:spacing w:line="188" w:lineRule="exact"/>
                              <w:ind w:left="36"/>
                              <w:rPr>
                                <w:sz w:val="18"/>
                              </w:rPr>
                            </w:pPr>
                            <w:r>
                              <w:rPr>
                                <w:sz w:val="18"/>
                              </w:rPr>
                              <w:t>Method:</w:t>
                            </w:r>
                            <w:r>
                              <w:rPr>
                                <w:spacing w:val="-3"/>
                                <w:sz w:val="18"/>
                              </w:rPr>
                              <w:t> </w:t>
                            </w:r>
                            <w:r>
                              <w:rPr>
                                <w:sz w:val="18"/>
                              </w:rPr>
                              <w:t>Least</w:t>
                            </w:r>
                            <w:r>
                              <w:rPr>
                                <w:spacing w:val="-2"/>
                                <w:sz w:val="18"/>
                              </w:rPr>
                              <w:t> Squares</w:t>
                            </w:r>
                          </w:p>
                        </w:tc>
                        <w:tc>
                          <w:tcPr>
                            <w:tcW w:w="1443" w:type="dxa"/>
                          </w:tcPr>
                          <w:p>
                            <w:pPr>
                              <w:pStyle w:val="TableParagraph"/>
                              <w:rPr>
                                <w:sz w:val="14"/>
                              </w:rPr>
                            </w:pPr>
                          </w:p>
                        </w:tc>
                        <w:tc>
                          <w:tcPr>
                            <w:tcW w:w="1522" w:type="dxa"/>
                          </w:tcPr>
                          <w:p>
                            <w:pPr>
                              <w:pStyle w:val="TableParagraph"/>
                              <w:rPr>
                                <w:sz w:val="14"/>
                              </w:rPr>
                            </w:pPr>
                          </w:p>
                        </w:tc>
                        <w:tc>
                          <w:tcPr>
                            <w:tcW w:w="869" w:type="dxa"/>
                          </w:tcPr>
                          <w:p>
                            <w:pPr>
                              <w:pStyle w:val="TableParagraph"/>
                              <w:rPr>
                                <w:sz w:val="14"/>
                              </w:rPr>
                            </w:pPr>
                          </w:p>
                        </w:tc>
                        <w:tc>
                          <w:tcPr>
                            <w:tcW w:w="888" w:type="dxa"/>
                          </w:tcPr>
                          <w:p>
                            <w:pPr>
                              <w:pStyle w:val="TableParagraph"/>
                              <w:rPr>
                                <w:sz w:val="14"/>
                              </w:rPr>
                            </w:pPr>
                          </w:p>
                        </w:tc>
                      </w:tr>
                      <w:tr>
                        <w:trPr>
                          <w:trHeight w:val="206" w:hRule="atLeast"/>
                        </w:trPr>
                        <w:tc>
                          <w:tcPr>
                            <w:tcW w:w="6492" w:type="dxa"/>
                            <w:gridSpan w:val="5"/>
                          </w:tcPr>
                          <w:p>
                            <w:pPr>
                              <w:pStyle w:val="TableParagraph"/>
                              <w:spacing w:line="186" w:lineRule="exact"/>
                              <w:ind w:left="36"/>
                              <w:rPr>
                                <w:sz w:val="18"/>
                              </w:rPr>
                            </w:pPr>
                            <w:r>
                              <w:rPr>
                                <w:sz w:val="18"/>
                              </w:rPr>
                              <w:t>Date:</w:t>
                            </w:r>
                            <w:r>
                              <w:rPr>
                                <w:spacing w:val="-2"/>
                                <w:sz w:val="18"/>
                              </w:rPr>
                              <w:t> </w:t>
                            </w:r>
                            <w:r>
                              <w:rPr>
                                <w:sz w:val="18"/>
                              </w:rPr>
                              <w:t>02/17/14</w:t>
                            </w:r>
                            <w:r>
                              <w:rPr>
                                <w:spacing w:val="63"/>
                                <w:w w:val="150"/>
                                <w:sz w:val="18"/>
                              </w:rPr>
                              <w:t> </w:t>
                            </w:r>
                            <w:r>
                              <w:rPr>
                                <w:sz w:val="18"/>
                              </w:rPr>
                              <w:t>Time:</w:t>
                            </w:r>
                            <w:r>
                              <w:rPr>
                                <w:spacing w:val="-1"/>
                                <w:sz w:val="18"/>
                              </w:rPr>
                              <w:t> </w:t>
                            </w:r>
                            <w:r>
                              <w:rPr>
                                <w:spacing w:val="-4"/>
                                <w:sz w:val="18"/>
                              </w:rPr>
                              <w:t>18:05</w:t>
                            </w:r>
                          </w:p>
                        </w:tc>
                      </w:tr>
                      <w:tr>
                        <w:trPr>
                          <w:trHeight w:val="206" w:hRule="atLeast"/>
                        </w:trPr>
                        <w:tc>
                          <w:tcPr>
                            <w:tcW w:w="6492" w:type="dxa"/>
                            <w:gridSpan w:val="5"/>
                          </w:tcPr>
                          <w:p>
                            <w:pPr>
                              <w:pStyle w:val="TableParagraph"/>
                              <w:spacing w:line="186" w:lineRule="exact"/>
                              <w:ind w:left="36"/>
                              <w:rPr>
                                <w:sz w:val="18"/>
                              </w:rPr>
                            </w:pPr>
                            <w:r>
                              <w:rPr>
                                <w:sz w:val="18"/>
                              </w:rPr>
                              <w:t>Sample(adjusted):</w:t>
                            </w:r>
                            <w:r>
                              <w:rPr>
                                <w:spacing w:val="-6"/>
                                <w:sz w:val="18"/>
                              </w:rPr>
                              <w:t> </w:t>
                            </w:r>
                            <w:r>
                              <w:rPr>
                                <w:sz w:val="18"/>
                              </w:rPr>
                              <w:t>1989</w:t>
                            </w:r>
                            <w:r>
                              <w:rPr>
                                <w:spacing w:val="-2"/>
                                <w:sz w:val="18"/>
                              </w:rPr>
                              <w:t> </w:t>
                            </w:r>
                            <w:r>
                              <w:rPr>
                                <w:spacing w:val="-4"/>
                                <w:sz w:val="18"/>
                              </w:rPr>
                              <w:t>2011</w:t>
                            </w:r>
                          </w:p>
                        </w:tc>
                      </w:tr>
                      <w:tr>
                        <w:trPr>
                          <w:trHeight w:val="203" w:hRule="atLeast"/>
                        </w:trPr>
                        <w:tc>
                          <w:tcPr>
                            <w:tcW w:w="6492" w:type="dxa"/>
                            <w:gridSpan w:val="5"/>
                            <w:tcBorders>
                              <w:bottom w:val="double" w:sz="6" w:space="0" w:color="000000"/>
                            </w:tcBorders>
                          </w:tcPr>
                          <w:p>
                            <w:pPr>
                              <w:pStyle w:val="TableParagraph"/>
                              <w:spacing w:line="184" w:lineRule="exact"/>
                              <w:ind w:left="36"/>
                              <w:rPr>
                                <w:sz w:val="18"/>
                              </w:rPr>
                            </w:pPr>
                            <w:r>
                              <w:rPr>
                                <w:sz w:val="18"/>
                              </w:rPr>
                              <w:t>Included</w:t>
                            </w:r>
                            <w:r>
                              <w:rPr>
                                <w:spacing w:val="-1"/>
                                <w:sz w:val="18"/>
                              </w:rPr>
                              <w:t> </w:t>
                            </w:r>
                            <w:r>
                              <w:rPr>
                                <w:sz w:val="18"/>
                              </w:rPr>
                              <w:t>observations:</w:t>
                            </w:r>
                            <w:r>
                              <w:rPr>
                                <w:spacing w:val="-3"/>
                                <w:sz w:val="18"/>
                              </w:rPr>
                              <w:t> </w:t>
                            </w:r>
                            <w:r>
                              <w:rPr>
                                <w:sz w:val="18"/>
                              </w:rPr>
                              <w:t>23</w:t>
                            </w:r>
                            <w:r>
                              <w:rPr>
                                <w:spacing w:val="-1"/>
                                <w:sz w:val="18"/>
                              </w:rPr>
                              <w:t> </w:t>
                            </w:r>
                            <w:r>
                              <w:rPr>
                                <w:sz w:val="18"/>
                              </w:rPr>
                              <w:t>after</w:t>
                            </w:r>
                            <w:r>
                              <w:rPr>
                                <w:spacing w:val="-1"/>
                                <w:sz w:val="18"/>
                              </w:rPr>
                              <w:t> </w:t>
                            </w:r>
                            <w:r>
                              <w:rPr>
                                <w:sz w:val="18"/>
                              </w:rPr>
                              <w:t>adjusting</w:t>
                            </w:r>
                            <w:r>
                              <w:rPr>
                                <w:spacing w:val="-2"/>
                                <w:sz w:val="18"/>
                              </w:rPr>
                              <w:t> endpoints</w:t>
                            </w:r>
                          </w:p>
                        </w:tc>
                      </w:tr>
                      <w:tr>
                        <w:trPr>
                          <w:trHeight w:val="246" w:hRule="atLeast"/>
                        </w:trPr>
                        <w:tc>
                          <w:tcPr>
                            <w:tcW w:w="1770" w:type="dxa"/>
                            <w:tcBorders>
                              <w:top w:val="double" w:sz="6" w:space="0" w:color="000000"/>
                              <w:bottom w:val="double" w:sz="6" w:space="0" w:color="000000"/>
                            </w:tcBorders>
                          </w:tcPr>
                          <w:p>
                            <w:pPr>
                              <w:pStyle w:val="TableParagraph"/>
                              <w:spacing w:line="186" w:lineRule="exact" w:before="40"/>
                              <w:ind w:left="713"/>
                              <w:rPr>
                                <w:sz w:val="18"/>
                              </w:rPr>
                            </w:pPr>
                            <w:r>
                              <w:rPr>
                                <w:spacing w:val="-2"/>
                                <w:sz w:val="18"/>
                              </w:rPr>
                              <w:t>Variable</w:t>
                            </w:r>
                          </w:p>
                        </w:tc>
                        <w:tc>
                          <w:tcPr>
                            <w:tcW w:w="1443" w:type="dxa"/>
                            <w:tcBorders>
                              <w:top w:val="double" w:sz="6" w:space="0" w:color="000000"/>
                              <w:bottom w:val="double" w:sz="6" w:space="0" w:color="000000"/>
                            </w:tcBorders>
                          </w:tcPr>
                          <w:p>
                            <w:pPr>
                              <w:pStyle w:val="TableParagraph"/>
                              <w:spacing w:line="186" w:lineRule="exact" w:before="40"/>
                              <w:ind w:right="120"/>
                              <w:jc w:val="right"/>
                              <w:rPr>
                                <w:sz w:val="18"/>
                              </w:rPr>
                            </w:pPr>
                            <w:r>
                              <w:rPr>
                                <w:spacing w:val="-2"/>
                                <w:sz w:val="18"/>
                              </w:rPr>
                              <w:t>Coefficient</w:t>
                            </w:r>
                          </w:p>
                        </w:tc>
                        <w:tc>
                          <w:tcPr>
                            <w:tcW w:w="1522" w:type="dxa"/>
                            <w:tcBorders>
                              <w:top w:val="double" w:sz="6" w:space="0" w:color="000000"/>
                              <w:bottom w:val="double" w:sz="6" w:space="0" w:color="000000"/>
                            </w:tcBorders>
                          </w:tcPr>
                          <w:p>
                            <w:pPr>
                              <w:pStyle w:val="TableParagraph"/>
                              <w:spacing w:line="186" w:lineRule="exact" w:before="40"/>
                              <w:ind w:left="361"/>
                              <w:rPr>
                                <w:sz w:val="18"/>
                              </w:rPr>
                            </w:pPr>
                            <w:r>
                              <w:rPr>
                                <w:sz w:val="18"/>
                              </w:rPr>
                              <w:t>Std.</w:t>
                            </w:r>
                            <w:r>
                              <w:rPr>
                                <w:spacing w:val="-1"/>
                                <w:sz w:val="18"/>
                              </w:rPr>
                              <w:t> </w:t>
                            </w:r>
                            <w:r>
                              <w:rPr>
                                <w:spacing w:val="-4"/>
                                <w:sz w:val="18"/>
                              </w:rPr>
                              <w:t>Error</w:t>
                            </w:r>
                          </w:p>
                        </w:tc>
                        <w:tc>
                          <w:tcPr>
                            <w:tcW w:w="869" w:type="dxa"/>
                            <w:tcBorders>
                              <w:top w:val="double" w:sz="6" w:space="0" w:color="000000"/>
                              <w:bottom w:val="double" w:sz="6" w:space="0" w:color="000000"/>
                            </w:tcBorders>
                          </w:tcPr>
                          <w:p>
                            <w:pPr>
                              <w:pStyle w:val="TableParagraph"/>
                              <w:spacing w:line="186" w:lineRule="exact" w:before="40"/>
                              <w:ind w:right="121"/>
                              <w:jc w:val="right"/>
                              <w:rPr>
                                <w:sz w:val="18"/>
                              </w:rPr>
                            </w:pPr>
                            <w:r>
                              <w:rPr>
                                <w:sz w:val="18"/>
                              </w:rPr>
                              <w:t>t-</w:t>
                            </w:r>
                            <w:r>
                              <w:rPr>
                                <w:spacing w:val="-2"/>
                                <w:sz w:val="18"/>
                              </w:rPr>
                              <w:t>Statistic</w:t>
                            </w:r>
                          </w:p>
                        </w:tc>
                        <w:tc>
                          <w:tcPr>
                            <w:tcW w:w="888" w:type="dxa"/>
                            <w:tcBorders>
                              <w:top w:val="double" w:sz="6" w:space="0" w:color="000000"/>
                              <w:bottom w:val="double" w:sz="6" w:space="0" w:color="000000"/>
                            </w:tcBorders>
                          </w:tcPr>
                          <w:p>
                            <w:pPr>
                              <w:pStyle w:val="TableParagraph"/>
                              <w:spacing w:line="186" w:lineRule="exact" w:before="40"/>
                              <w:ind w:right="33"/>
                              <w:jc w:val="right"/>
                              <w:rPr>
                                <w:sz w:val="18"/>
                              </w:rPr>
                            </w:pPr>
                            <w:r>
                              <w:rPr>
                                <w:spacing w:val="-2"/>
                                <w:sz w:val="18"/>
                              </w:rPr>
                              <w:t>Prob.</w:t>
                            </w:r>
                          </w:p>
                        </w:tc>
                      </w:tr>
                      <w:tr>
                        <w:trPr>
                          <w:trHeight w:val="252" w:hRule="atLeast"/>
                        </w:trPr>
                        <w:tc>
                          <w:tcPr>
                            <w:tcW w:w="1770" w:type="dxa"/>
                            <w:tcBorders>
                              <w:top w:val="double" w:sz="6" w:space="0" w:color="000000"/>
                            </w:tcBorders>
                          </w:tcPr>
                          <w:p>
                            <w:pPr>
                              <w:pStyle w:val="TableParagraph"/>
                              <w:spacing w:line="191" w:lineRule="exact" w:before="42"/>
                              <w:ind w:left="708"/>
                              <w:rPr>
                                <w:sz w:val="18"/>
                              </w:rPr>
                            </w:pPr>
                            <w:r>
                              <w:rPr>
                                <w:spacing w:val="-2"/>
                                <w:sz w:val="18"/>
                              </w:rPr>
                              <w:t>GDP(-</w:t>
                            </w:r>
                            <w:r>
                              <w:rPr>
                                <w:spacing w:val="-5"/>
                                <w:sz w:val="18"/>
                              </w:rPr>
                              <w:t>1)</w:t>
                            </w:r>
                          </w:p>
                        </w:tc>
                        <w:tc>
                          <w:tcPr>
                            <w:tcW w:w="1443" w:type="dxa"/>
                            <w:tcBorders>
                              <w:top w:val="double" w:sz="6" w:space="0" w:color="000000"/>
                            </w:tcBorders>
                          </w:tcPr>
                          <w:p>
                            <w:pPr>
                              <w:pStyle w:val="TableParagraph"/>
                              <w:spacing w:line="191" w:lineRule="exact" w:before="42"/>
                              <w:ind w:right="118"/>
                              <w:jc w:val="right"/>
                              <w:rPr>
                                <w:sz w:val="18"/>
                              </w:rPr>
                            </w:pPr>
                            <w:r>
                              <w:rPr>
                                <w:sz w:val="18"/>
                              </w:rPr>
                              <w:t>-</w:t>
                            </w:r>
                            <w:r>
                              <w:rPr>
                                <w:spacing w:val="-2"/>
                                <w:sz w:val="18"/>
                              </w:rPr>
                              <w:t>0.045246</w:t>
                            </w:r>
                          </w:p>
                        </w:tc>
                        <w:tc>
                          <w:tcPr>
                            <w:tcW w:w="1522" w:type="dxa"/>
                            <w:tcBorders>
                              <w:top w:val="double" w:sz="6" w:space="0" w:color="000000"/>
                            </w:tcBorders>
                          </w:tcPr>
                          <w:p>
                            <w:pPr>
                              <w:pStyle w:val="TableParagraph"/>
                              <w:spacing w:line="191" w:lineRule="exact" w:before="42"/>
                              <w:ind w:left="397"/>
                              <w:rPr>
                                <w:sz w:val="18"/>
                              </w:rPr>
                            </w:pPr>
                            <w:r>
                              <w:rPr>
                                <w:spacing w:val="-2"/>
                                <w:sz w:val="18"/>
                              </w:rPr>
                              <w:t>0.022800</w:t>
                            </w:r>
                          </w:p>
                        </w:tc>
                        <w:tc>
                          <w:tcPr>
                            <w:tcW w:w="869" w:type="dxa"/>
                            <w:tcBorders>
                              <w:top w:val="double" w:sz="6" w:space="0" w:color="000000"/>
                            </w:tcBorders>
                          </w:tcPr>
                          <w:p>
                            <w:pPr>
                              <w:pStyle w:val="TableParagraph"/>
                              <w:spacing w:line="191" w:lineRule="exact" w:before="42"/>
                              <w:ind w:right="123"/>
                              <w:jc w:val="right"/>
                              <w:rPr>
                                <w:sz w:val="18"/>
                              </w:rPr>
                            </w:pPr>
                            <w:r>
                              <w:rPr>
                                <w:sz w:val="18"/>
                              </w:rPr>
                              <w:t>-</w:t>
                            </w:r>
                            <w:r>
                              <w:rPr>
                                <w:spacing w:val="-2"/>
                                <w:sz w:val="18"/>
                              </w:rPr>
                              <w:t>1.984437</w:t>
                            </w:r>
                          </w:p>
                        </w:tc>
                        <w:tc>
                          <w:tcPr>
                            <w:tcW w:w="888" w:type="dxa"/>
                            <w:tcBorders>
                              <w:top w:val="double" w:sz="6" w:space="0" w:color="000000"/>
                            </w:tcBorders>
                          </w:tcPr>
                          <w:p>
                            <w:pPr>
                              <w:pStyle w:val="TableParagraph"/>
                              <w:spacing w:line="191" w:lineRule="exact" w:before="42"/>
                              <w:ind w:right="33"/>
                              <w:jc w:val="right"/>
                              <w:rPr>
                                <w:sz w:val="18"/>
                              </w:rPr>
                            </w:pPr>
                            <w:r>
                              <w:rPr>
                                <w:spacing w:val="-2"/>
                                <w:sz w:val="18"/>
                              </w:rPr>
                              <w:t>0.0611</w:t>
                            </w:r>
                          </w:p>
                        </w:tc>
                      </w:tr>
                      <w:tr>
                        <w:trPr>
                          <w:trHeight w:val="206" w:hRule="atLeast"/>
                        </w:trPr>
                        <w:tc>
                          <w:tcPr>
                            <w:tcW w:w="1770" w:type="dxa"/>
                          </w:tcPr>
                          <w:p>
                            <w:pPr>
                              <w:pStyle w:val="TableParagraph"/>
                              <w:spacing w:line="186" w:lineRule="exact"/>
                              <w:ind w:left="581"/>
                              <w:rPr>
                                <w:sz w:val="18"/>
                              </w:rPr>
                            </w:pPr>
                            <w:r>
                              <w:rPr>
                                <w:spacing w:val="-2"/>
                                <w:sz w:val="18"/>
                              </w:rPr>
                              <w:t>D(GDP(-</w:t>
                            </w:r>
                            <w:r>
                              <w:rPr>
                                <w:spacing w:val="-5"/>
                                <w:sz w:val="18"/>
                              </w:rPr>
                              <w:t>1))</w:t>
                            </w:r>
                          </w:p>
                        </w:tc>
                        <w:tc>
                          <w:tcPr>
                            <w:tcW w:w="1443" w:type="dxa"/>
                          </w:tcPr>
                          <w:p>
                            <w:pPr>
                              <w:pStyle w:val="TableParagraph"/>
                              <w:spacing w:line="186" w:lineRule="exact"/>
                              <w:ind w:right="118"/>
                              <w:jc w:val="right"/>
                              <w:rPr>
                                <w:sz w:val="18"/>
                              </w:rPr>
                            </w:pPr>
                            <w:r>
                              <w:rPr>
                                <w:sz w:val="18"/>
                              </w:rPr>
                              <w:t>-</w:t>
                            </w:r>
                            <w:r>
                              <w:rPr>
                                <w:spacing w:val="-2"/>
                                <w:sz w:val="18"/>
                              </w:rPr>
                              <w:t>0.060470</w:t>
                            </w:r>
                          </w:p>
                        </w:tc>
                        <w:tc>
                          <w:tcPr>
                            <w:tcW w:w="1522" w:type="dxa"/>
                          </w:tcPr>
                          <w:p>
                            <w:pPr>
                              <w:pStyle w:val="TableParagraph"/>
                              <w:spacing w:line="186" w:lineRule="exact"/>
                              <w:ind w:left="397"/>
                              <w:rPr>
                                <w:sz w:val="18"/>
                              </w:rPr>
                            </w:pPr>
                            <w:r>
                              <w:rPr>
                                <w:spacing w:val="-2"/>
                                <w:sz w:val="18"/>
                              </w:rPr>
                              <w:t>0.214688</w:t>
                            </w:r>
                          </w:p>
                        </w:tc>
                        <w:tc>
                          <w:tcPr>
                            <w:tcW w:w="869" w:type="dxa"/>
                          </w:tcPr>
                          <w:p>
                            <w:pPr>
                              <w:pStyle w:val="TableParagraph"/>
                              <w:spacing w:line="186" w:lineRule="exact"/>
                              <w:ind w:right="123"/>
                              <w:jc w:val="right"/>
                              <w:rPr>
                                <w:sz w:val="18"/>
                              </w:rPr>
                            </w:pPr>
                            <w:r>
                              <w:rPr>
                                <w:sz w:val="18"/>
                              </w:rPr>
                              <w:t>-</w:t>
                            </w:r>
                            <w:r>
                              <w:rPr>
                                <w:spacing w:val="-2"/>
                                <w:sz w:val="18"/>
                              </w:rPr>
                              <w:t>0.281664</w:t>
                            </w:r>
                          </w:p>
                        </w:tc>
                        <w:tc>
                          <w:tcPr>
                            <w:tcW w:w="888" w:type="dxa"/>
                          </w:tcPr>
                          <w:p>
                            <w:pPr>
                              <w:pStyle w:val="TableParagraph"/>
                              <w:spacing w:line="186" w:lineRule="exact"/>
                              <w:ind w:right="33"/>
                              <w:jc w:val="right"/>
                              <w:rPr>
                                <w:sz w:val="18"/>
                              </w:rPr>
                            </w:pPr>
                            <w:r>
                              <w:rPr>
                                <w:spacing w:val="-2"/>
                                <w:sz w:val="18"/>
                              </w:rPr>
                              <w:t>0.7811</w:t>
                            </w:r>
                          </w:p>
                        </w:tc>
                      </w:tr>
                      <w:tr>
                        <w:trPr>
                          <w:trHeight w:val="201" w:hRule="atLeast"/>
                        </w:trPr>
                        <w:tc>
                          <w:tcPr>
                            <w:tcW w:w="1770" w:type="dxa"/>
                            <w:tcBorders>
                              <w:bottom w:val="double" w:sz="6" w:space="0" w:color="000000"/>
                            </w:tcBorders>
                          </w:tcPr>
                          <w:p>
                            <w:pPr>
                              <w:pStyle w:val="TableParagraph"/>
                              <w:spacing w:line="181" w:lineRule="exact"/>
                              <w:ind w:left="275"/>
                              <w:jc w:val="center"/>
                              <w:rPr>
                                <w:sz w:val="18"/>
                              </w:rPr>
                            </w:pPr>
                            <w:r>
                              <w:rPr>
                                <w:spacing w:val="-10"/>
                                <w:sz w:val="18"/>
                              </w:rPr>
                              <w:t>C</w:t>
                            </w:r>
                          </w:p>
                        </w:tc>
                        <w:tc>
                          <w:tcPr>
                            <w:tcW w:w="1443" w:type="dxa"/>
                            <w:tcBorders>
                              <w:bottom w:val="double" w:sz="6" w:space="0" w:color="000000"/>
                            </w:tcBorders>
                          </w:tcPr>
                          <w:p>
                            <w:pPr>
                              <w:pStyle w:val="TableParagraph"/>
                              <w:spacing w:line="181" w:lineRule="exact"/>
                              <w:ind w:right="118"/>
                              <w:jc w:val="right"/>
                              <w:rPr>
                                <w:sz w:val="18"/>
                              </w:rPr>
                            </w:pPr>
                            <w:r>
                              <w:rPr>
                                <w:spacing w:val="-2"/>
                                <w:sz w:val="18"/>
                              </w:rPr>
                              <w:t>0.934594</w:t>
                            </w:r>
                          </w:p>
                        </w:tc>
                        <w:tc>
                          <w:tcPr>
                            <w:tcW w:w="1522" w:type="dxa"/>
                            <w:tcBorders>
                              <w:bottom w:val="double" w:sz="6" w:space="0" w:color="000000"/>
                            </w:tcBorders>
                          </w:tcPr>
                          <w:p>
                            <w:pPr>
                              <w:pStyle w:val="TableParagraph"/>
                              <w:spacing w:line="181" w:lineRule="exact"/>
                              <w:ind w:left="397"/>
                              <w:rPr>
                                <w:sz w:val="18"/>
                              </w:rPr>
                            </w:pPr>
                            <w:r>
                              <w:rPr>
                                <w:spacing w:val="-2"/>
                                <w:sz w:val="18"/>
                              </w:rPr>
                              <w:t>0.360462</w:t>
                            </w:r>
                          </w:p>
                        </w:tc>
                        <w:tc>
                          <w:tcPr>
                            <w:tcW w:w="869" w:type="dxa"/>
                            <w:tcBorders>
                              <w:bottom w:val="double" w:sz="6" w:space="0" w:color="000000"/>
                            </w:tcBorders>
                          </w:tcPr>
                          <w:p>
                            <w:pPr>
                              <w:pStyle w:val="TableParagraph"/>
                              <w:spacing w:line="181" w:lineRule="exact"/>
                              <w:ind w:right="123"/>
                              <w:jc w:val="right"/>
                              <w:rPr>
                                <w:sz w:val="18"/>
                              </w:rPr>
                            </w:pPr>
                            <w:r>
                              <w:rPr>
                                <w:spacing w:val="-2"/>
                                <w:sz w:val="18"/>
                              </w:rPr>
                              <w:t>2.592766</w:t>
                            </w:r>
                          </w:p>
                        </w:tc>
                        <w:tc>
                          <w:tcPr>
                            <w:tcW w:w="888" w:type="dxa"/>
                            <w:tcBorders>
                              <w:bottom w:val="double" w:sz="6" w:space="0" w:color="000000"/>
                            </w:tcBorders>
                          </w:tcPr>
                          <w:p>
                            <w:pPr>
                              <w:pStyle w:val="TableParagraph"/>
                              <w:spacing w:line="181" w:lineRule="exact"/>
                              <w:ind w:right="33"/>
                              <w:jc w:val="right"/>
                              <w:rPr>
                                <w:sz w:val="18"/>
                              </w:rPr>
                            </w:pPr>
                            <w:r>
                              <w:rPr>
                                <w:spacing w:val="-2"/>
                                <w:sz w:val="18"/>
                              </w:rPr>
                              <w:t>0.0174</w:t>
                            </w:r>
                          </w:p>
                        </w:tc>
                      </w:tr>
                      <w:tr>
                        <w:trPr>
                          <w:trHeight w:val="252" w:hRule="atLeast"/>
                        </w:trPr>
                        <w:tc>
                          <w:tcPr>
                            <w:tcW w:w="1770" w:type="dxa"/>
                            <w:tcBorders>
                              <w:top w:val="double" w:sz="6" w:space="0" w:color="000000"/>
                            </w:tcBorders>
                          </w:tcPr>
                          <w:p>
                            <w:pPr>
                              <w:pStyle w:val="TableParagraph"/>
                              <w:spacing w:line="191" w:lineRule="exact" w:before="42"/>
                              <w:ind w:left="36"/>
                              <w:rPr>
                                <w:sz w:val="18"/>
                              </w:rPr>
                            </w:pPr>
                            <w:r>
                              <w:rPr>
                                <w:spacing w:val="-2"/>
                                <w:sz w:val="18"/>
                              </w:rPr>
                              <w:t>R-squared</w:t>
                            </w:r>
                          </w:p>
                        </w:tc>
                        <w:tc>
                          <w:tcPr>
                            <w:tcW w:w="1443" w:type="dxa"/>
                            <w:tcBorders>
                              <w:top w:val="double" w:sz="6" w:space="0" w:color="000000"/>
                            </w:tcBorders>
                          </w:tcPr>
                          <w:p>
                            <w:pPr>
                              <w:pStyle w:val="TableParagraph"/>
                              <w:spacing w:line="191" w:lineRule="exact" w:before="42"/>
                              <w:ind w:right="118"/>
                              <w:jc w:val="right"/>
                              <w:rPr>
                                <w:sz w:val="18"/>
                              </w:rPr>
                            </w:pPr>
                            <w:r>
                              <w:rPr>
                                <w:spacing w:val="-2"/>
                                <w:sz w:val="18"/>
                              </w:rPr>
                              <w:t>0.166671</w:t>
                            </w:r>
                          </w:p>
                        </w:tc>
                        <w:tc>
                          <w:tcPr>
                            <w:tcW w:w="2391" w:type="dxa"/>
                            <w:gridSpan w:val="2"/>
                            <w:tcBorders>
                              <w:top w:val="double" w:sz="6" w:space="0" w:color="000000"/>
                            </w:tcBorders>
                          </w:tcPr>
                          <w:p>
                            <w:pPr>
                              <w:pStyle w:val="TableParagraph"/>
                              <w:spacing w:line="191" w:lineRule="exact" w:before="42"/>
                              <w:ind w:left="121"/>
                              <w:rPr>
                                <w:sz w:val="18"/>
                              </w:rPr>
                            </w:pPr>
                            <w:r>
                              <w:rPr>
                                <w:sz w:val="18"/>
                              </w:rPr>
                              <w:t>Mean</w:t>
                            </w:r>
                            <w:r>
                              <w:rPr>
                                <w:spacing w:val="-5"/>
                                <w:sz w:val="18"/>
                              </w:rPr>
                              <w:t> </w:t>
                            </w:r>
                            <w:r>
                              <w:rPr>
                                <w:sz w:val="18"/>
                              </w:rPr>
                              <w:t>dependent</w:t>
                            </w:r>
                            <w:r>
                              <w:rPr>
                                <w:spacing w:val="-1"/>
                                <w:sz w:val="18"/>
                              </w:rPr>
                              <w:t> </w:t>
                            </w:r>
                            <w:r>
                              <w:rPr>
                                <w:spacing w:val="-5"/>
                                <w:sz w:val="18"/>
                              </w:rPr>
                              <w:t>var</w:t>
                            </w:r>
                          </w:p>
                        </w:tc>
                        <w:tc>
                          <w:tcPr>
                            <w:tcW w:w="888" w:type="dxa"/>
                            <w:tcBorders>
                              <w:top w:val="double" w:sz="6" w:space="0" w:color="000000"/>
                            </w:tcBorders>
                          </w:tcPr>
                          <w:p>
                            <w:pPr>
                              <w:pStyle w:val="TableParagraph"/>
                              <w:spacing w:line="191" w:lineRule="exact" w:before="42"/>
                              <w:ind w:right="32"/>
                              <w:jc w:val="right"/>
                              <w:rPr>
                                <w:sz w:val="18"/>
                              </w:rPr>
                            </w:pPr>
                            <w:r>
                              <w:rPr>
                                <w:spacing w:val="-2"/>
                                <w:sz w:val="18"/>
                              </w:rPr>
                              <w:t>0.243399</w:t>
                            </w:r>
                          </w:p>
                        </w:tc>
                      </w:tr>
                      <w:tr>
                        <w:trPr>
                          <w:trHeight w:val="206" w:hRule="atLeast"/>
                        </w:trPr>
                        <w:tc>
                          <w:tcPr>
                            <w:tcW w:w="1770" w:type="dxa"/>
                          </w:tcPr>
                          <w:p>
                            <w:pPr>
                              <w:pStyle w:val="TableParagraph"/>
                              <w:spacing w:line="186" w:lineRule="exact"/>
                              <w:ind w:left="36"/>
                              <w:rPr>
                                <w:sz w:val="18"/>
                              </w:rPr>
                            </w:pPr>
                            <w:r>
                              <w:rPr>
                                <w:sz w:val="18"/>
                              </w:rPr>
                              <w:t>Adjusted</w:t>
                            </w:r>
                            <w:r>
                              <w:rPr>
                                <w:spacing w:val="-1"/>
                                <w:sz w:val="18"/>
                              </w:rPr>
                              <w:t> </w:t>
                            </w:r>
                            <w:r>
                              <w:rPr>
                                <w:sz w:val="18"/>
                              </w:rPr>
                              <w:t>R-</w:t>
                            </w:r>
                            <w:r>
                              <w:rPr>
                                <w:spacing w:val="-2"/>
                                <w:sz w:val="18"/>
                              </w:rPr>
                              <w:t>squared</w:t>
                            </w:r>
                          </w:p>
                        </w:tc>
                        <w:tc>
                          <w:tcPr>
                            <w:tcW w:w="1443" w:type="dxa"/>
                          </w:tcPr>
                          <w:p>
                            <w:pPr>
                              <w:pStyle w:val="TableParagraph"/>
                              <w:spacing w:line="186" w:lineRule="exact"/>
                              <w:ind w:right="118"/>
                              <w:jc w:val="right"/>
                              <w:rPr>
                                <w:sz w:val="18"/>
                              </w:rPr>
                            </w:pPr>
                            <w:r>
                              <w:rPr>
                                <w:spacing w:val="-2"/>
                                <w:sz w:val="18"/>
                              </w:rPr>
                              <w:t>0.083339</w:t>
                            </w:r>
                          </w:p>
                        </w:tc>
                        <w:tc>
                          <w:tcPr>
                            <w:tcW w:w="1522" w:type="dxa"/>
                          </w:tcPr>
                          <w:p>
                            <w:pPr>
                              <w:pStyle w:val="TableParagraph"/>
                              <w:spacing w:line="186" w:lineRule="exact"/>
                              <w:ind w:left="121"/>
                              <w:rPr>
                                <w:sz w:val="18"/>
                              </w:rPr>
                            </w:pPr>
                            <w:r>
                              <w:rPr>
                                <w:sz w:val="18"/>
                              </w:rPr>
                              <w:t>S.D.</w:t>
                            </w:r>
                            <w:r>
                              <w:rPr>
                                <w:spacing w:val="-5"/>
                                <w:sz w:val="18"/>
                              </w:rPr>
                              <w:t> </w:t>
                            </w:r>
                            <w:r>
                              <w:rPr>
                                <w:sz w:val="18"/>
                              </w:rPr>
                              <w:t>dependent</w:t>
                            </w:r>
                            <w:r>
                              <w:rPr>
                                <w:spacing w:val="-3"/>
                                <w:sz w:val="18"/>
                              </w:rPr>
                              <w:t> </w:t>
                            </w:r>
                            <w:r>
                              <w:rPr>
                                <w:spacing w:val="-5"/>
                                <w:sz w:val="18"/>
                              </w:rPr>
                              <w:t>var</w:t>
                            </w:r>
                          </w:p>
                        </w:tc>
                        <w:tc>
                          <w:tcPr>
                            <w:tcW w:w="869" w:type="dxa"/>
                          </w:tcPr>
                          <w:p>
                            <w:pPr>
                              <w:pStyle w:val="TableParagraph"/>
                              <w:rPr>
                                <w:sz w:val="14"/>
                              </w:rPr>
                            </w:pPr>
                          </w:p>
                        </w:tc>
                        <w:tc>
                          <w:tcPr>
                            <w:tcW w:w="888" w:type="dxa"/>
                          </w:tcPr>
                          <w:p>
                            <w:pPr>
                              <w:pStyle w:val="TableParagraph"/>
                              <w:spacing w:line="186" w:lineRule="exact"/>
                              <w:ind w:right="32"/>
                              <w:jc w:val="right"/>
                              <w:rPr>
                                <w:sz w:val="18"/>
                              </w:rPr>
                            </w:pPr>
                            <w:r>
                              <w:rPr>
                                <w:spacing w:val="-2"/>
                                <w:sz w:val="18"/>
                              </w:rPr>
                              <w:t>0.181415</w:t>
                            </w:r>
                          </w:p>
                        </w:tc>
                      </w:tr>
                      <w:tr>
                        <w:trPr>
                          <w:trHeight w:val="206" w:hRule="atLeast"/>
                        </w:trPr>
                        <w:tc>
                          <w:tcPr>
                            <w:tcW w:w="1770" w:type="dxa"/>
                          </w:tcPr>
                          <w:p>
                            <w:pPr>
                              <w:pStyle w:val="TableParagraph"/>
                              <w:spacing w:line="186" w:lineRule="exact"/>
                              <w:ind w:left="36"/>
                              <w:rPr>
                                <w:sz w:val="18"/>
                              </w:rPr>
                            </w:pPr>
                            <w:r>
                              <w:rPr>
                                <w:sz w:val="18"/>
                              </w:rPr>
                              <w:t>S.E.</w:t>
                            </w:r>
                            <w:r>
                              <w:rPr>
                                <w:spacing w:val="-3"/>
                                <w:sz w:val="18"/>
                              </w:rPr>
                              <w:t> </w:t>
                            </w:r>
                            <w:r>
                              <w:rPr>
                                <w:sz w:val="18"/>
                              </w:rPr>
                              <w:t>of</w:t>
                            </w:r>
                            <w:r>
                              <w:rPr>
                                <w:spacing w:val="-1"/>
                                <w:sz w:val="18"/>
                              </w:rPr>
                              <w:t> </w:t>
                            </w:r>
                            <w:r>
                              <w:rPr>
                                <w:spacing w:val="-2"/>
                                <w:sz w:val="18"/>
                              </w:rPr>
                              <w:t>regression</w:t>
                            </w:r>
                          </w:p>
                        </w:tc>
                        <w:tc>
                          <w:tcPr>
                            <w:tcW w:w="1443" w:type="dxa"/>
                          </w:tcPr>
                          <w:p>
                            <w:pPr>
                              <w:pStyle w:val="TableParagraph"/>
                              <w:spacing w:line="186" w:lineRule="exact"/>
                              <w:ind w:right="118"/>
                              <w:jc w:val="right"/>
                              <w:rPr>
                                <w:sz w:val="18"/>
                              </w:rPr>
                            </w:pPr>
                            <w:r>
                              <w:rPr>
                                <w:spacing w:val="-2"/>
                                <w:sz w:val="18"/>
                              </w:rPr>
                              <w:t>0.173691</w:t>
                            </w:r>
                          </w:p>
                        </w:tc>
                        <w:tc>
                          <w:tcPr>
                            <w:tcW w:w="2391" w:type="dxa"/>
                            <w:gridSpan w:val="2"/>
                          </w:tcPr>
                          <w:p>
                            <w:pPr>
                              <w:pStyle w:val="TableParagraph"/>
                              <w:spacing w:line="186" w:lineRule="exact"/>
                              <w:ind w:left="121"/>
                              <w:rPr>
                                <w:sz w:val="18"/>
                              </w:rPr>
                            </w:pPr>
                            <w:r>
                              <w:rPr>
                                <w:sz w:val="18"/>
                              </w:rPr>
                              <w:t>Akaike</w:t>
                            </w:r>
                            <w:r>
                              <w:rPr>
                                <w:spacing w:val="-5"/>
                                <w:sz w:val="18"/>
                              </w:rPr>
                              <w:t> </w:t>
                            </w:r>
                            <w:r>
                              <w:rPr>
                                <w:sz w:val="18"/>
                              </w:rPr>
                              <w:t>info</w:t>
                            </w:r>
                            <w:r>
                              <w:rPr>
                                <w:spacing w:val="-2"/>
                                <w:sz w:val="18"/>
                              </w:rPr>
                              <w:t> criterion</w:t>
                            </w:r>
                          </w:p>
                        </w:tc>
                        <w:tc>
                          <w:tcPr>
                            <w:tcW w:w="888" w:type="dxa"/>
                          </w:tcPr>
                          <w:p>
                            <w:pPr>
                              <w:pStyle w:val="TableParagraph"/>
                              <w:spacing w:line="186" w:lineRule="exact"/>
                              <w:ind w:right="32"/>
                              <w:jc w:val="right"/>
                              <w:rPr>
                                <w:sz w:val="18"/>
                              </w:rPr>
                            </w:pPr>
                            <w:r>
                              <w:rPr>
                                <w:sz w:val="18"/>
                              </w:rPr>
                              <w:t>-</w:t>
                            </w:r>
                            <w:r>
                              <w:rPr>
                                <w:spacing w:val="-2"/>
                                <w:sz w:val="18"/>
                              </w:rPr>
                              <w:t>0.541972</w:t>
                            </w:r>
                          </w:p>
                        </w:tc>
                      </w:tr>
                      <w:tr>
                        <w:trPr>
                          <w:trHeight w:val="207" w:hRule="atLeast"/>
                        </w:trPr>
                        <w:tc>
                          <w:tcPr>
                            <w:tcW w:w="1770" w:type="dxa"/>
                          </w:tcPr>
                          <w:p>
                            <w:pPr>
                              <w:pStyle w:val="TableParagraph"/>
                              <w:spacing w:line="188" w:lineRule="exact"/>
                              <w:ind w:left="36"/>
                              <w:rPr>
                                <w:sz w:val="18"/>
                              </w:rPr>
                            </w:pPr>
                            <w:r>
                              <w:rPr>
                                <w:sz w:val="18"/>
                              </w:rPr>
                              <w:t>Sum</w:t>
                            </w:r>
                            <w:r>
                              <w:rPr>
                                <w:spacing w:val="-3"/>
                                <w:sz w:val="18"/>
                              </w:rPr>
                              <w:t> </w:t>
                            </w:r>
                            <w:r>
                              <w:rPr>
                                <w:sz w:val="18"/>
                              </w:rPr>
                              <w:t>squared</w:t>
                            </w:r>
                            <w:r>
                              <w:rPr>
                                <w:spacing w:val="1"/>
                                <w:sz w:val="18"/>
                              </w:rPr>
                              <w:t> </w:t>
                            </w:r>
                            <w:r>
                              <w:rPr>
                                <w:spacing w:val="-2"/>
                                <w:sz w:val="18"/>
                              </w:rPr>
                              <w:t>resid</w:t>
                            </w:r>
                          </w:p>
                        </w:tc>
                        <w:tc>
                          <w:tcPr>
                            <w:tcW w:w="1443" w:type="dxa"/>
                          </w:tcPr>
                          <w:p>
                            <w:pPr>
                              <w:pStyle w:val="TableParagraph"/>
                              <w:spacing w:line="188" w:lineRule="exact"/>
                              <w:ind w:right="118"/>
                              <w:jc w:val="right"/>
                              <w:rPr>
                                <w:sz w:val="18"/>
                              </w:rPr>
                            </w:pPr>
                            <w:r>
                              <w:rPr>
                                <w:spacing w:val="-2"/>
                                <w:sz w:val="18"/>
                              </w:rPr>
                              <w:t>0.603370</w:t>
                            </w:r>
                          </w:p>
                        </w:tc>
                        <w:tc>
                          <w:tcPr>
                            <w:tcW w:w="1522" w:type="dxa"/>
                          </w:tcPr>
                          <w:p>
                            <w:pPr>
                              <w:pStyle w:val="TableParagraph"/>
                              <w:spacing w:line="188" w:lineRule="exact"/>
                              <w:ind w:left="121"/>
                              <w:rPr>
                                <w:sz w:val="18"/>
                              </w:rPr>
                            </w:pPr>
                            <w:r>
                              <w:rPr>
                                <w:sz w:val="18"/>
                              </w:rPr>
                              <w:t>Schwarz</w:t>
                            </w:r>
                            <w:r>
                              <w:rPr>
                                <w:spacing w:val="-7"/>
                                <w:sz w:val="18"/>
                              </w:rPr>
                              <w:t> </w:t>
                            </w:r>
                            <w:r>
                              <w:rPr>
                                <w:spacing w:val="-2"/>
                                <w:sz w:val="18"/>
                              </w:rPr>
                              <w:t>criterion</w:t>
                            </w:r>
                          </w:p>
                        </w:tc>
                        <w:tc>
                          <w:tcPr>
                            <w:tcW w:w="869" w:type="dxa"/>
                          </w:tcPr>
                          <w:p>
                            <w:pPr>
                              <w:pStyle w:val="TableParagraph"/>
                              <w:rPr>
                                <w:sz w:val="14"/>
                              </w:rPr>
                            </w:pPr>
                          </w:p>
                        </w:tc>
                        <w:tc>
                          <w:tcPr>
                            <w:tcW w:w="888" w:type="dxa"/>
                          </w:tcPr>
                          <w:p>
                            <w:pPr>
                              <w:pStyle w:val="TableParagraph"/>
                              <w:spacing w:line="188" w:lineRule="exact"/>
                              <w:ind w:right="32"/>
                              <w:jc w:val="right"/>
                              <w:rPr>
                                <w:sz w:val="18"/>
                              </w:rPr>
                            </w:pPr>
                            <w:r>
                              <w:rPr>
                                <w:sz w:val="18"/>
                              </w:rPr>
                              <w:t>-</w:t>
                            </w:r>
                            <w:r>
                              <w:rPr>
                                <w:spacing w:val="-2"/>
                                <w:sz w:val="18"/>
                              </w:rPr>
                              <w:t>0.393864</w:t>
                            </w:r>
                          </w:p>
                        </w:tc>
                      </w:tr>
                      <w:tr>
                        <w:trPr>
                          <w:trHeight w:val="207" w:hRule="atLeast"/>
                        </w:trPr>
                        <w:tc>
                          <w:tcPr>
                            <w:tcW w:w="1770" w:type="dxa"/>
                          </w:tcPr>
                          <w:p>
                            <w:pPr>
                              <w:pStyle w:val="TableParagraph"/>
                              <w:spacing w:line="188" w:lineRule="exact"/>
                              <w:ind w:left="36"/>
                              <w:rPr>
                                <w:sz w:val="18"/>
                              </w:rPr>
                            </w:pPr>
                            <w:r>
                              <w:rPr>
                                <w:sz w:val="18"/>
                              </w:rPr>
                              <w:t>Log</w:t>
                            </w:r>
                            <w:r>
                              <w:rPr>
                                <w:spacing w:val="-2"/>
                                <w:sz w:val="18"/>
                              </w:rPr>
                              <w:t> likelihood</w:t>
                            </w:r>
                          </w:p>
                        </w:tc>
                        <w:tc>
                          <w:tcPr>
                            <w:tcW w:w="1443" w:type="dxa"/>
                          </w:tcPr>
                          <w:p>
                            <w:pPr>
                              <w:pStyle w:val="TableParagraph"/>
                              <w:spacing w:line="188" w:lineRule="exact"/>
                              <w:ind w:right="118"/>
                              <w:jc w:val="right"/>
                              <w:rPr>
                                <w:sz w:val="18"/>
                              </w:rPr>
                            </w:pPr>
                            <w:r>
                              <w:rPr>
                                <w:spacing w:val="-2"/>
                                <w:sz w:val="18"/>
                              </w:rPr>
                              <w:t>9.232674</w:t>
                            </w:r>
                          </w:p>
                        </w:tc>
                        <w:tc>
                          <w:tcPr>
                            <w:tcW w:w="1522" w:type="dxa"/>
                          </w:tcPr>
                          <w:p>
                            <w:pPr>
                              <w:pStyle w:val="TableParagraph"/>
                              <w:spacing w:line="188" w:lineRule="exact"/>
                              <w:ind w:left="121"/>
                              <w:rPr>
                                <w:sz w:val="18"/>
                              </w:rPr>
                            </w:pPr>
                            <w:r>
                              <w:rPr>
                                <w:sz w:val="18"/>
                              </w:rPr>
                              <w:t>F-</w:t>
                            </w:r>
                            <w:r>
                              <w:rPr>
                                <w:spacing w:val="-2"/>
                                <w:sz w:val="18"/>
                              </w:rPr>
                              <w:t>statistic</w:t>
                            </w:r>
                          </w:p>
                        </w:tc>
                        <w:tc>
                          <w:tcPr>
                            <w:tcW w:w="869" w:type="dxa"/>
                          </w:tcPr>
                          <w:p>
                            <w:pPr>
                              <w:pStyle w:val="TableParagraph"/>
                              <w:rPr>
                                <w:sz w:val="14"/>
                              </w:rPr>
                            </w:pPr>
                          </w:p>
                        </w:tc>
                        <w:tc>
                          <w:tcPr>
                            <w:tcW w:w="888" w:type="dxa"/>
                          </w:tcPr>
                          <w:p>
                            <w:pPr>
                              <w:pStyle w:val="TableParagraph"/>
                              <w:spacing w:line="188" w:lineRule="exact"/>
                              <w:ind w:right="32"/>
                              <w:jc w:val="right"/>
                              <w:rPr>
                                <w:sz w:val="18"/>
                              </w:rPr>
                            </w:pPr>
                            <w:r>
                              <w:rPr>
                                <w:spacing w:val="-2"/>
                                <w:sz w:val="18"/>
                              </w:rPr>
                              <w:t>2.000069</w:t>
                            </w:r>
                          </w:p>
                        </w:tc>
                      </w:tr>
                      <w:tr>
                        <w:trPr>
                          <w:trHeight w:val="244" w:hRule="atLeast"/>
                        </w:trPr>
                        <w:tc>
                          <w:tcPr>
                            <w:tcW w:w="1770" w:type="dxa"/>
                            <w:tcBorders>
                              <w:bottom w:val="double" w:sz="6" w:space="0" w:color="000000"/>
                            </w:tcBorders>
                          </w:tcPr>
                          <w:p>
                            <w:pPr>
                              <w:pStyle w:val="TableParagraph"/>
                              <w:spacing w:line="203" w:lineRule="exact"/>
                              <w:ind w:left="36"/>
                              <w:rPr>
                                <w:sz w:val="18"/>
                              </w:rPr>
                            </w:pPr>
                            <w:r>
                              <w:rPr>
                                <w:sz w:val="18"/>
                              </w:rPr>
                              <w:t>Durbin-Watson</w:t>
                            </w:r>
                            <w:r>
                              <w:rPr>
                                <w:spacing w:val="-2"/>
                                <w:sz w:val="18"/>
                              </w:rPr>
                              <w:t> </w:t>
                            </w:r>
                            <w:r>
                              <w:rPr>
                                <w:spacing w:val="-4"/>
                                <w:sz w:val="18"/>
                              </w:rPr>
                              <w:t>stat</w:t>
                            </w:r>
                          </w:p>
                        </w:tc>
                        <w:tc>
                          <w:tcPr>
                            <w:tcW w:w="1443" w:type="dxa"/>
                          </w:tcPr>
                          <w:p>
                            <w:pPr>
                              <w:pStyle w:val="TableParagraph"/>
                              <w:spacing w:line="203" w:lineRule="exact"/>
                              <w:ind w:right="118"/>
                              <w:jc w:val="right"/>
                              <w:rPr>
                                <w:sz w:val="18"/>
                              </w:rPr>
                            </w:pPr>
                            <w:r>
                              <w:rPr>
                                <w:spacing w:val="-2"/>
                                <w:sz w:val="18"/>
                              </w:rPr>
                              <w:t>1.995825</w:t>
                            </w:r>
                          </w:p>
                        </w:tc>
                        <w:tc>
                          <w:tcPr>
                            <w:tcW w:w="1522" w:type="dxa"/>
                            <w:tcBorders>
                              <w:bottom w:val="double" w:sz="6" w:space="0" w:color="000000"/>
                            </w:tcBorders>
                          </w:tcPr>
                          <w:p>
                            <w:pPr>
                              <w:pStyle w:val="TableParagraph"/>
                              <w:spacing w:line="203" w:lineRule="exact"/>
                              <w:ind w:left="119"/>
                              <w:rPr>
                                <w:sz w:val="18"/>
                              </w:rPr>
                            </w:pPr>
                            <w:r>
                              <w:rPr>
                                <w:spacing w:val="-2"/>
                                <w:sz w:val="18"/>
                              </w:rPr>
                              <w:t>Prob(F-statistic)</w:t>
                            </w:r>
                          </w:p>
                        </w:tc>
                        <w:tc>
                          <w:tcPr>
                            <w:tcW w:w="869" w:type="dxa"/>
                            <w:tcBorders>
                              <w:bottom w:val="single" w:sz="6" w:space="0" w:color="000000"/>
                            </w:tcBorders>
                          </w:tcPr>
                          <w:p>
                            <w:pPr>
                              <w:pStyle w:val="TableParagraph"/>
                              <w:rPr>
                                <w:sz w:val="16"/>
                              </w:rPr>
                            </w:pPr>
                          </w:p>
                        </w:tc>
                        <w:tc>
                          <w:tcPr>
                            <w:tcW w:w="888" w:type="dxa"/>
                            <w:tcBorders>
                              <w:bottom w:val="double" w:sz="6" w:space="0" w:color="000000"/>
                            </w:tcBorders>
                          </w:tcPr>
                          <w:p>
                            <w:pPr>
                              <w:pStyle w:val="TableParagraph"/>
                              <w:spacing w:line="203" w:lineRule="exact"/>
                              <w:ind w:right="32"/>
                              <w:jc w:val="right"/>
                              <w:rPr>
                                <w:sz w:val="18"/>
                              </w:rPr>
                            </w:pPr>
                            <w:r>
                              <w:rPr>
                                <w:spacing w:val="-2"/>
                                <w:sz w:val="18"/>
                              </w:rPr>
                              <w:t>0.161496</w:t>
                            </w:r>
                          </w:p>
                        </w:tc>
                      </w:tr>
                    </w:tbl>
                    <w:p>
                      <w:pPr>
                        <w:pStyle w:val="BodyText"/>
                      </w:pPr>
                    </w:p>
                  </w:txbxContent>
                </v:textbox>
                <w10:wrap type="none"/>
              </v:shape>
            </w:pict>
          </mc:Fallback>
        </mc:AlternateContent>
      </w:r>
      <w:r>
        <w:rPr>
          <w:sz w:val="18"/>
        </w:rPr>
        <w:t>UNIT</w:t>
      </w:r>
      <w:r>
        <w:rPr>
          <w:spacing w:val="-8"/>
          <w:sz w:val="18"/>
        </w:rPr>
        <w:t> </w:t>
      </w:r>
      <w:r>
        <w:rPr>
          <w:sz w:val="18"/>
        </w:rPr>
        <w:t>ROOT</w:t>
      </w:r>
      <w:r>
        <w:rPr>
          <w:spacing w:val="-7"/>
          <w:sz w:val="18"/>
        </w:rPr>
        <w:t> </w:t>
      </w:r>
      <w:r>
        <w:rPr>
          <w:sz w:val="18"/>
        </w:rPr>
        <w:t>TEST</w:t>
      </w:r>
      <w:r>
        <w:rPr>
          <w:spacing w:val="-8"/>
          <w:sz w:val="18"/>
        </w:rPr>
        <w:t> </w:t>
      </w:r>
      <w:r>
        <w:rPr>
          <w:sz w:val="18"/>
        </w:rPr>
        <w:t>FOR</w:t>
      </w:r>
      <w:r>
        <w:rPr>
          <w:spacing w:val="-7"/>
          <w:sz w:val="18"/>
        </w:rPr>
        <w:t> </w:t>
      </w:r>
      <w:r>
        <w:rPr>
          <w:sz w:val="18"/>
        </w:rPr>
        <w:t>MODEL</w:t>
      </w:r>
      <w:r>
        <w:rPr>
          <w:spacing w:val="-8"/>
          <w:sz w:val="18"/>
        </w:rPr>
        <w:t> </w:t>
      </w:r>
      <w:r>
        <w:rPr>
          <w:sz w:val="18"/>
        </w:rPr>
        <w:t>6B GDP @ LEVEL</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9"/>
        <w:rPr>
          <w:sz w:val="18"/>
        </w:rPr>
      </w:pPr>
    </w:p>
    <w:p>
      <w:pPr>
        <w:spacing w:before="0"/>
        <w:ind w:left="711" w:right="0" w:firstLine="0"/>
        <w:jc w:val="left"/>
        <w:rPr>
          <w:sz w:val="18"/>
        </w:rPr>
      </w:pPr>
      <w:r>
        <w:rPr>
          <w:sz w:val="18"/>
        </w:rPr>
        <w:t>GDP @ 1</w:t>
      </w:r>
      <w:r>
        <w:rPr>
          <w:sz w:val="18"/>
          <w:vertAlign w:val="superscript"/>
        </w:rPr>
        <w:t>ST</w:t>
      </w:r>
      <w:r>
        <w:rPr>
          <w:sz w:val="18"/>
          <w:vertAlign w:val="baseline"/>
        </w:rPr>
        <w:t> </w:t>
      </w:r>
      <w:r>
        <w:rPr>
          <w:spacing w:val="-4"/>
          <w:sz w:val="18"/>
          <w:vertAlign w:val="baseline"/>
        </w:rPr>
        <w:t>DIFF</w:t>
      </w:r>
    </w:p>
    <w:tbl>
      <w:tblPr>
        <w:tblW w:w="0" w:type="auto"/>
        <w:jc w:val="left"/>
        <w:tblInd w:w="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99"/>
        <w:gridCol w:w="1413"/>
        <w:gridCol w:w="1521"/>
        <w:gridCol w:w="868"/>
        <w:gridCol w:w="887"/>
      </w:tblGrid>
      <w:tr>
        <w:trPr>
          <w:trHeight w:val="202" w:hRule="atLeast"/>
        </w:trPr>
        <w:tc>
          <w:tcPr>
            <w:tcW w:w="1799" w:type="dxa"/>
          </w:tcPr>
          <w:p>
            <w:pPr>
              <w:pStyle w:val="TableParagraph"/>
              <w:spacing w:line="183" w:lineRule="exact"/>
              <w:ind w:left="36"/>
              <w:rPr>
                <w:sz w:val="18"/>
              </w:rPr>
            </w:pPr>
            <w:r>
              <w:rPr>
                <w:sz w:val="18"/>
              </w:rPr>
              <w:t>ADF</w:t>
            </w:r>
            <w:r>
              <w:rPr>
                <w:spacing w:val="-1"/>
                <w:sz w:val="18"/>
              </w:rPr>
              <w:t> </w:t>
            </w:r>
            <w:r>
              <w:rPr>
                <w:sz w:val="18"/>
              </w:rPr>
              <w:t>Test</w:t>
            </w:r>
            <w:r>
              <w:rPr>
                <w:spacing w:val="-2"/>
                <w:sz w:val="18"/>
              </w:rPr>
              <w:t> Statistic</w:t>
            </w:r>
          </w:p>
        </w:tc>
        <w:tc>
          <w:tcPr>
            <w:tcW w:w="1413" w:type="dxa"/>
          </w:tcPr>
          <w:p>
            <w:pPr>
              <w:pStyle w:val="TableParagraph"/>
              <w:spacing w:line="183" w:lineRule="exact"/>
              <w:ind w:left="267"/>
              <w:rPr>
                <w:sz w:val="18"/>
              </w:rPr>
            </w:pPr>
            <w:r>
              <w:rPr>
                <w:sz w:val="18"/>
              </w:rPr>
              <w:t>-</w:t>
            </w:r>
            <w:r>
              <w:rPr>
                <w:spacing w:val="-2"/>
                <w:sz w:val="18"/>
              </w:rPr>
              <w:t>3.361317</w:t>
            </w:r>
          </w:p>
        </w:tc>
        <w:tc>
          <w:tcPr>
            <w:tcW w:w="2389" w:type="dxa"/>
            <w:gridSpan w:val="2"/>
          </w:tcPr>
          <w:p>
            <w:pPr>
              <w:pStyle w:val="TableParagraph"/>
              <w:spacing w:line="183" w:lineRule="exact"/>
              <w:ind w:left="122"/>
              <w:rPr>
                <w:sz w:val="18"/>
              </w:rPr>
            </w:pPr>
            <w:r>
              <w:rPr>
                <w:sz w:val="18"/>
              </w:rPr>
              <w:t>1%</w:t>
            </w:r>
            <w:r>
              <w:rPr>
                <w:spacing w:val="63"/>
                <w:w w:val="150"/>
                <w:sz w:val="18"/>
              </w:rPr>
              <w:t> </w:t>
            </w:r>
            <w:r>
              <w:rPr>
                <w:sz w:val="18"/>
              </w:rPr>
              <w:t>Critical</w:t>
            </w:r>
            <w:r>
              <w:rPr>
                <w:spacing w:val="-2"/>
                <w:sz w:val="18"/>
              </w:rPr>
              <w:t> Value*</w:t>
            </w:r>
          </w:p>
        </w:tc>
        <w:tc>
          <w:tcPr>
            <w:tcW w:w="887" w:type="dxa"/>
          </w:tcPr>
          <w:p>
            <w:pPr>
              <w:pStyle w:val="TableParagraph"/>
              <w:spacing w:line="183" w:lineRule="exact"/>
              <w:ind w:right="29"/>
              <w:jc w:val="right"/>
              <w:rPr>
                <w:sz w:val="18"/>
              </w:rPr>
            </w:pPr>
            <w:r>
              <w:rPr>
                <w:sz w:val="18"/>
              </w:rPr>
              <w:t>-</w:t>
            </w:r>
            <w:r>
              <w:rPr>
                <w:spacing w:val="-2"/>
                <w:sz w:val="18"/>
              </w:rPr>
              <w:t>3.7667</w:t>
            </w:r>
          </w:p>
        </w:tc>
      </w:tr>
      <w:tr>
        <w:trPr>
          <w:trHeight w:val="207" w:hRule="atLeast"/>
        </w:trPr>
        <w:tc>
          <w:tcPr>
            <w:tcW w:w="1799" w:type="dxa"/>
          </w:tcPr>
          <w:p>
            <w:pPr>
              <w:pStyle w:val="TableParagraph"/>
              <w:rPr>
                <w:sz w:val="14"/>
              </w:rPr>
            </w:pPr>
          </w:p>
        </w:tc>
        <w:tc>
          <w:tcPr>
            <w:tcW w:w="1413" w:type="dxa"/>
          </w:tcPr>
          <w:p>
            <w:pPr>
              <w:pStyle w:val="TableParagraph"/>
              <w:rPr>
                <w:sz w:val="14"/>
              </w:rPr>
            </w:pPr>
          </w:p>
        </w:tc>
        <w:tc>
          <w:tcPr>
            <w:tcW w:w="1521" w:type="dxa"/>
          </w:tcPr>
          <w:p>
            <w:pPr>
              <w:pStyle w:val="TableParagraph"/>
              <w:spacing w:line="188" w:lineRule="exact"/>
              <w:ind w:left="122"/>
              <w:rPr>
                <w:sz w:val="18"/>
              </w:rPr>
            </w:pPr>
            <w:r>
              <w:rPr>
                <w:sz w:val="18"/>
              </w:rPr>
              <w:t>5%</w:t>
            </w:r>
            <w:r>
              <w:rPr>
                <w:spacing w:val="63"/>
                <w:w w:val="150"/>
                <w:sz w:val="18"/>
              </w:rPr>
              <w:t> </w:t>
            </w:r>
            <w:r>
              <w:rPr>
                <w:sz w:val="18"/>
              </w:rPr>
              <w:t>Critical</w:t>
            </w:r>
            <w:r>
              <w:rPr>
                <w:spacing w:val="-2"/>
                <w:sz w:val="18"/>
              </w:rPr>
              <w:t> Value</w:t>
            </w:r>
          </w:p>
        </w:tc>
        <w:tc>
          <w:tcPr>
            <w:tcW w:w="868" w:type="dxa"/>
          </w:tcPr>
          <w:p>
            <w:pPr>
              <w:pStyle w:val="TableParagraph"/>
              <w:rPr>
                <w:sz w:val="14"/>
              </w:rPr>
            </w:pPr>
          </w:p>
        </w:tc>
        <w:tc>
          <w:tcPr>
            <w:tcW w:w="887" w:type="dxa"/>
          </w:tcPr>
          <w:p>
            <w:pPr>
              <w:pStyle w:val="TableParagraph"/>
              <w:spacing w:line="188" w:lineRule="exact"/>
              <w:ind w:right="29"/>
              <w:jc w:val="right"/>
              <w:rPr>
                <w:sz w:val="18"/>
              </w:rPr>
            </w:pPr>
            <w:r>
              <w:rPr>
                <w:sz w:val="18"/>
              </w:rPr>
              <w:t>-</w:t>
            </w:r>
            <w:r>
              <w:rPr>
                <w:spacing w:val="-2"/>
                <w:sz w:val="18"/>
              </w:rPr>
              <w:t>3.0038</w:t>
            </w:r>
          </w:p>
        </w:tc>
      </w:tr>
      <w:tr>
        <w:trPr>
          <w:trHeight w:val="202" w:hRule="atLeast"/>
        </w:trPr>
        <w:tc>
          <w:tcPr>
            <w:tcW w:w="1799" w:type="dxa"/>
            <w:tcBorders>
              <w:bottom w:val="double" w:sz="6" w:space="0" w:color="000000"/>
            </w:tcBorders>
          </w:tcPr>
          <w:p>
            <w:pPr>
              <w:pStyle w:val="TableParagraph"/>
              <w:rPr>
                <w:sz w:val="14"/>
              </w:rPr>
            </w:pPr>
          </w:p>
        </w:tc>
        <w:tc>
          <w:tcPr>
            <w:tcW w:w="1413" w:type="dxa"/>
            <w:tcBorders>
              <w:bottom w:val="double" w:sz="6" w:space="0" w:color="000000"/>
            </w:tcBorders>
          </w:tcPr>
          <w:p>
            <w:pPr>
              <w:pStyle w:val="TableParagraph"/>
              <w:rPr>
                <w:sz w:val="14"/>
              </w:rPr>
            </w:pPr>
          </w:p>
        </w:tc>
        <w:tc>
          <w:tcPr>
            <w:tcW w:w="1521" w:type="dxa"/>
            <w:tcBorders>
              <w:bottom w:val="double" w:sz="6" w:space="0" w:color="000000"/>
            </w:tcBorders>
          </w:tcPr>
          <w:p>
            <w:pPr>
              <w:pStyle w:val="TableParagraph"/>
              <w:spacing w:line="183" w:lineRule="exact"/>
              <w:ind w:left="122"/>
              <w:rPr>
                <w:sz w:val="18"/>
              </w:rPr>
            </w:pPr>
            <w:r>
              <w:rPr>
                <w:sz w:val="18"/>
              </w:rPr>
              <w:t>10%</w:t>
            </w:r>
            <w:r>
              <w:rPr>
                <w:spacing w:val="-5"/>
                <w:sz w:val="18"/>
              </w:rPr>
              <w:t> </w:t>
            </w:r>
            <w:r>
              <w:rPr>
                <w:sz w:val="18"/>
              </w:rPr>
              <w:t>Critical</w:t>
            </w:r>
            <w:r>
              <w:rPr>
                <w:spacing w:val="-3"/>
                <w:sz w:val="18"/>
              </w:rPr>
              <w:t> </w:t>
            </w:r>
            <w:r>
              <w:rPr>
                <w:spacing w:val="-2"/>
                <w:sz w:val="18"/>
              </w:rPr>
              <w:t>Value</w:t>
            </w:r>
          </w:p>
        </w:tc>
        <w:tc>
          <w:tcPr>
            <w:tcW w:w="868" w:type="dxa"/>
            <w:tcBorders>
              <w:bottom w:val="double" w:sz="6" w:space="0" w:color="000000"/>
            </w:tcBorders>
          </w:tcPr>
          <w:p>
            <w:pPr>
              <w:pStyle w:val="TableParagraph"/>
              <w:rPr>
                <w:sz w:val="14"/>
              </w:rPr>
            </w:pPr>
          </w:p>
        </w:tc>
        <w:tc>
          <w:tcPr>
            <w:tcW w:w="887" w:type="dxa"/>
            <w:tcBorders>
              <w:bottom w:val="double" w:sz="6" w:space="0" w:color="000000"/>
            </w:tcBorders>
          </w:tcPr>
          <w:p>
            <w:pPr>
              <w:pStyle w:val="TableParagraph"/>
              <w:spacing w:line="183" w:lineRule="exact"/>
              <w:ind w:right="29"/>
              <w:jc w:val="right"/>
              <w:rPr>
                <w:sz w:val="18"/>
              </w:rPr>
            </w:pPr>
            <w:r>
              <w:rPr>
                <w:sz w:val="18"/>
              </w:rPr>
              <w:t>-</w:t>
            </w:r>
            <w:r>
              <w:rPr>
                <w:spacing w:val="-2"/>
                <w:sz w:val="18"/>
              </w:rPr>
              <w:t>2.6417</w:t>
            </w:r>
          </w:p>
        </w:tc>
      </w:tr>
      <w:tr>
        <w:trPr>
          <w:trHeight w:val="458" w:hRule="atLeast"/>
        </w:trPr>
        <w:tc>
          <w:tcPr>
            <w:tcW w:w="6488" w:type="dxa"/>
            <w:gridSpan w:val="5"/>
            <w:tcBorders>
              <w:top w:val="double" w:sz="6" w:space="0" w:color="000000"/>
            </w:tcBorders>
          </w:tcPr>
          <w:p>
            <w:pPr>
              <w:pStyle w:val="TableParagraph"/>
              <w:spacing w:before="40"/>
              <w:ind w:left="36"/>
              <w:rPr>
                <w:sz w:val="18"/>
              </w:rPr>
            </w:pPr>
            <w:r>
              <w:rPr>
                <w:sz w:val="18"/>
              </w:rPr>
              <w:t>*MacKinnon</w:t>
            </w:r>
            <w:r>
              <w:rPr>
                <w:spacing w:val="-1"/>
                <w:sz w:val="18"/>
              </w:rPr>
              <w:t> </w:t>
            </w:r>
            <w:r>
              <w:rPr>
                <w:sz w:val="18"/>
              </w:rPr>
              <w:t>critical</w:t>
            </w:r>
            <w:r>
              <w:rPr>
                <w:spacing w:val="-1"/>
                <w:sz w:val="18"/>
              </w:rPr>
              <w:t> </w:t>
            </w:r>
            <w:r>
              <w:rPr>
                <w:sz w:val="18"/>
              </w:rPr>
              <w:t>values</w:t>
            </w:r>
            <w:r>
              <w:rPr>
                <w:spacing w:val="-1"/>
                <w:sz w:val="18"/>
              </w:rPr>
              <w:t> </w:t>
            </w:r>
            <w:r>
              <w:rPr>
                <w:sz w:val="18"/>
              </w:rPr>
              <w:t>for</w:t>
            </w:r>
            <w:r>
              <w:rPr>
                <w:spacing w:val="-1"/>
                <w:sz w:val="18"/>
              </w:rPr>
              <w:t> </w:t>
            </w:r>
            <w:r>
              <w:rPr>
                <w:sz w:val="18"/>
              </w:rPr>
              <w:t>rejection</w:t>
            </w:r>
            <w:r>
              <w:rPr>
                <w:spacing w:val="-2"/>
                <w:sz w:val="18"/>
              </w:rPr>
              <w:t> </w:t>
            </w:r>
            <w:r>
              <w:rPr>
                <w:sz w:val="18"/>
              </w:rPr>
              <w:t>of</w:t>
            </w:r>
            <w:r>
              <w:rPr>
                <w:spacing w:val="-3"/>
                <w:sz w:val="18"/>
              </w:rPr>
              <w:t> </w:t>
            </w:r>
            <w:r>
              <w:rPr>
                <w:sz w:val="18"/>
              </w:rPr>
              <w:t>hypothesis</w:t>
            </w:r>
            <w:r>
              <w:rPr>
                <w:spacing w:val="-1"/>
                <w:sz w:val="18"/>
              </w:rPr>
              <w:t> </w:t>
            </w:r>
            <w:r>
              <w:rPr>
                <w:sz w:val="18"/>
              </w:rPr>
              <w:t>of</w:t>
            </w:r>
            <w:r>
              <w:rPr>
                <w:spacing w:val="-3"/>
                <w:sz w:val="18"/>
              </w:rPr>
              <w:t> </w:t>
            </w:r>
            <w:r>
              <w:rPr>
                <w:sz w:val="18"/>
              </w:rPr>
              <w:t>a</w:t>
            </w:r>
            <w:r>
              <w:rPr>
                <w:spacing w:val="-2"/>
                <w:sz w:val="18"/>
              </w:rPr>
              <w:t> </w:t>
            </w:r>
            <w:r>
              <w:rPr>
                <w:sz w:val="18"/>
              </w:rPr>
              <w:t>unit</w:t>
            </w:r>
            <w:r>
              <w:rPr>
                <w:spacing w:val="-2"/>
                <w:sz w:val="18"/>
              </w:rPr>
              <w:t> root.</w:t>
            </w:r>
          </w:p>
        </w:tc>
      </w:tr>
      <w:tr>
        <w:trPr>
          <w:trHeight w:val="414" w:hRule="atLeast"/>
        </w:trPr>
        <w:tc>
          <w:tcPr>
            <w:tcW w:w="6488" w:type="dxa"/>
            <w:gridSpan w:val="5"/>
          </w:tcPr>
          <w:p>
            <w:pPr>
              <w:pStyle w:val="TableParagraph"/>
              <w:spacing w:line="191" w:lineRule="exact" w:before="203"/>
              <w:ind w:left="36"/>
              <w:rPr>
                <w:sz w:val="18"/>
              </w:rPr>
            </w:pPr>
            <w:r>
              <w:rPr>
                <w:sz w:val="18"/>
              </w:rPr>
              <w:t>Augmented</w:t>
            </w:r>
            <w:r>
              <w:rPr>
                <w:spacing w:val="-3"/>
                <w:sz w:val="18"/>
              </w:rPr>
              <w:t> </w:t>
            </w:r>
            <w:r>
              <w:rPr>
                <w:sz w:val="18"/>
              </w:rPr>
              <w:t>Dickey-Fuller</w:t>
            </w:r>
            <w:r>
              <w:rPr>
                <w:spacing w:val="-3"/>
                <w:sz w:val="18"/>
              </w:rPr>
              <w:t> </w:t>
            </w:r>
            <w:r>
              <w:rPr>
                <w:sz w:val="18"/>
              </w:rPr>
              <w:t>Test</w:t>
            </w:r>
            <w:r>
              <w:rPr>
                <w:spacing w:val="-3"/>
                <w:sz w:val="18"/>
              </w:rPr>
              <w:t> </w:t>
            </w:r>
            <w:r>
              <w:rPr>
                <w:spacing w:val="-2"/>
                <w:sz w:val="18"/>
              </w:rPr>
              <w:t>Equation</w:t>
            </w:r>
          </w:p>
        </w:tc>
      </w:tr>
      <w:tr>
        <w:trPr>
          <w:trHeight w:val="206" w:hRule="atLeast"/>
        </w:trPr>
        <w:tc>
          <w:tcPr>
            <w:tcW w:w="6488" w:type="dxa"/>
            <w:gridSpan w:val="5"/>
          </w:tcPr>
          <w:p>
            <w:pPr>
              <w:pStyle w:val="TableParagraph"/>
              <w:spacing w:line="186" w:lineRule="exact"/>
              <w:ind w:left="36"/>
              <w:rPr>
                <w:sz w:val="18"/>
              </w:rPr>
            </w:pPr>
            <w:r>
              <w:rPr>
                <w:sz w:val="18"/>
              </w:rPr>
              <w:t>Dependent</w:t>
            </w:r>
            <w:r>
              <w:rPr>
                <w:spacing w:val="-1"/>
                <w:sz w:val="18"/>
              </w:rPr>
              <w:t> </w:t>
            </w:r>
            <w:r>
              <w:rPr>
                <w:sz w:val="18"/>
              </w:rPr>
              <w:t>Variable:</w:t>
            </w:r>
            <w:r>
              <w:rPr>
                <w:spacing w:val="-2"/>
                <w:sz w:val="18"/>
              </w:rPr>
              <w:t> D(GDP,2)</w:t>
            </w:r>
          </w:p>
        </w:tc>
      </w:tr>
      <w:tr>
        <w:trPr>
          <w:trHeight w:val="207" w:hRule="atLeast"/>
        </w:trPr>
        <w:tc>
          <w:tcPr>
            <w:tcW w:w="1799" w:type="dxa"/>
          </w:tcPr>
          <w:p>
            <w:pPr>
              <w:pStyle w:val="TableParagraph"/>
              <w:spacing w:line="188" w:lineRule="exact"/>
              <w:ind w:left="36"/>
              <w:rPr>
                <w:sz w:val="18"/>
              </w:rPr>
            </w:pPr>
            <w:r>
              <w:rPr>
                <w:sz w:val="18"/>
              </w:rPr>
              <w:t>Method:</w:t>
            </w:r>
            <w:r>
              <w:rPr>
                <w:spacing w:val="-3"/>
                <w:sz w:val="18"/>
              </w:rPr>
              <w:t> </w:t>
            </w:r>
            <w:r>
              <w:rPr>
                <w:sz w:val="18"/>
              </w:rPr>
              <w:t>Least</w:t>
            </w:r>
            <w:r>
              <w:rPr>
                <w:spacing w:val="-2"/>
                <w:sz w:val="18"/>
              </w:rPr>
              <w:t> Squares</w:t>
            </w:r>
          </w:p>
        </w:tc>
        <w:tc>
          <w:tcPr>
            <w:tcW w:w="1413" w:type="dxa"/>
          </w:tcPr>
          <w:p>
            <w:pPr>
              <w:pStyle w:val="TableParagraph"/>
              <w:rPr>
                <w:sz w:val="14"/>
              </w:rPr>
            </w:pPr>
          </w:p>
        </w:tc>
        <w:tc>
          <w:tcPr>
            <w:tcW w:w="1521" w:type="dxa"/>
          </w:tcPr>
          <w:p>
            <w:pPr>
              <w:pStyle w:val="TableParagraph"/>
              <w:rPr>
                <w:sz w:val="14"/>
              </w:rPr>
            </w:pPr>
          </w:p>
        </w:tc>
        <w:tc>
          <w:tcPr>
            <w:tcW w:w="868" w:type="dxa"/>
          </w:tcPr>
          <w:p>
            <w:pPr>
              <w:pStyle w:val="TableParagraph"/>
              <w:rPr>
                <w:sz w:val="14"/>
              </w:rPr>
            </w:pPr>
          </w:p>
        </w:tc>
        <w:tc>
          <w:tcPr>
            <w:tcW w:w="887" w:type="dxa"/>
          </w:tcPr>
          <w:p>
            <w:pPr>
              <w:pStyle w:val="TableParagraph"/>
              <w:rPr>
                <w:sz w:val="14"/>
              </w:rPr>
            </w:pPr>
          </w:p>
        </w:tc>
      </w:tr>
      <w:tr>
        <w:trPr>
          <w:trHeight w:val="207" w:hRule="atLeast"/>
        </w:trPr>
        <w:tc>
          <w:tcPr>
            <w:tcW w:w="6488" w:type="dxa"/>
            <w:gridSpan w:val="5"/>
          </w:tcPr>
          <w:p>
            <w:pPr>
              <w:pStyle w:val="TableParagraph"/>
              <w:spacing w:line="188" w:lineRule="exact"/>
              <w:ind w:left="36"/>
              <w:rPr>
                <w:sz w:val="18"/>
              </w:rPr>
            </w:pPr>
            <w:r>
              <w:rPr>
                <w:sz w:val="18"/>
              </w:rPr>
              <w:t>Date:</w:t>
            </w:r>
            <w:r>
              <w:rPr>
                <w:spacing w:val="-2"/>
                <w:sz w:val="18"/>
              </w:rPr>
              <w:t> </w:t>
            </w:r>
            <w:r>
              <w:rPr>
                <w:sz w:val="18"/>
              </w:rPr>
              <w:t>02/17/14</w:t>
            </w:r>
            <w:r>
              <w:rPr>
                <w:spacing w:val="63"/>
                <w:w w:val="150"/>
                <w:sz w:val="18"/>
              </w:rPr>
              <w:t> </w:t>
            </w:r>
            <w:r>
              <w:rPr>
                <w:sz w:val="18"/>
              </w:rPr>
              <w:t>Time:</w:t>
            </w:r>
            <w:r>
              <w:rPr>
                <w:spacing w:val="-1"/>
                <w:sz w:val="18"/>
              </w:rPr>
              <w:t> </w:t>
            </w:r>
            <w:r>
              <w:rPr>
                <w:spacing w:val="-4"/>
                <w:sz w:val="18"/>
              </w:rPr>
              <w:t>18:08</w:t>
            </w:r>
          </w:p>
        </w:tc>
      </w:tr>
      <w:tr>
        <w:trPr>
          <w:trHeight w:val="206" w:hRule="atLeast"/>
        </w:trPr>
        <w:tc>
          <w:tcPr>
            <w:tcW w:w="6488" w:type="dxa"/>
            <w:gridSpan w:val="5"/>
          </w:tcPr>
          <w:p>
            <w:pPr>
              <w:pStyle w:val="TableParagraph"/>
              <w:spacing w:line="186" w:lineRule="exact"/>
              <w:ind w:left="36"/>
              <w:rPr>
                <w:sz w:val="18"/>
              </w:rPr>
            </w:pPr>
            <w:r>
              <w:rPr>
                <w:sz w:val="18"/>
              </w:rPr>
              <w:t>Sample(adjusted):</w:t>
            </w:r>
            <w:r>
              <w:rPr>
                <w:spacing w:val="-6"/>
                <w:sz w:val="18"/>
              </w:rPr>
              <w:t> </w:t>
            </w:r>
            <w:r>
              <w:rPr>
                <w:sz w:val="18"/>
              </w:rPr>
              <w:t>1990</w:t>
            </w:r>
            <w:r>
              <w:rPr>
                <w:spacing w:val="-2"/>
                <w:sz w:val="18"/>
              </w:rPr>
              <w:t> </w:t>
            </w:r>
            <w:r>
              <w:rPr>
                <w:spacing w:val="-4"/>
                <w:sz w:val="18"/>
              </w:rPr>
              <w:t>2011</w:t>
            </w:r>
          </w:p>
        </w:tc>
      </w:tr>
      <w:tr>
        <w:trPr>
          <w:trHeight w:val="201" w:hRule="atLeast"/>
        </w:trPr>
        <w:tc>
          <w:tcPr>
            <w:tcW w:w="6488" w:type="dxa"/>
            <w:gridSpan w:val="5"/>
            <w:tcBorders>
              <w:bottom w:val="double" w:sz="6" w:space="0" w:color="000000"/>
            </w:tcBorders>
          </w:tcPr>
          <w:p>
            <w:pPr>
              <w:pStyle w:val="TableParagraph"/>
              <w:spacing w:line="181" w:lineRule="exact"/>
              <w:ind w:left="36"/>
              <w:rPr>
                <w:sz w:val="18"/>
              </w:rPr>
            </w:pPr>
            <w:r>
              <w:rPr>
                <w:sz w:val="18"/>
              </w:rPr>
              <w:t>Included</w:t>
            </w:r>
            <w:r>
              <w:rPr>
                <w:spacing w:val="-1"/>
                <w:sz w:val="18"/>
              </w:rPr>
              <w:t> </w:t>
            </w:r>
            <w:r>
              <w:rPr>
                <w:sz w:val="18"/>
              </w:rPr>
              <w:t>observations:</w:t>
            </w:r>
            <w:r>
              <w:rPr>
                <w:spacing w:val="-3"/>
                <w:sz w:val="18"/>
              </w:rPr>
              <w:t> </w:t>
            </w:r>
            <w:r>
              <w:rPr>
                <w:sz w:val="18"/>
              </w:rPr>
              <w:t>22</w:t>
            </w:r>
            <w:r>
              <w:rPr>
                <w:spacing w:val="-1"/>
                <w:sz w:val="18"/>
              </w:rPr>
              <w:t> </w:t>
            </w:r>
            <w:r>
              <w:rPr>
                <w:sz w:val="18"/>
              </w:rPr>
              <w:t>after</w:t>
            </w:r>
            <w:r>
              <w:rPr>
                <w:spacing w:val="-1"/>
                <w:sz w:val="18"/>
              </w:rPr>
              <w:t> </w:t>
            </w:r>
            <w:r>
              <w:rPr>
                <w:sz w:val="18"/>
              </w:rPr>
              <w:t>adjusting</w:t>
            </w:r>
            <w:r>
              <w:rPr>
                <w:spacing w:val="-2"/>
                <w:sz w:val="18"/>
              </w:rPr>
              <w:t> endpoints</w:t>
            </w:r>
          </w:p>
        </w:tc>
      </w:tr>
      <w:tr>
        <w:trPr>
          <w:trHeight w:val="247" w:hRule="atLeast"/>
        </w:trPr>
        <w:tc>
          <w:tcPr>
            <w:tcW w:w="1799" w:type="dxa"/>
            <w:tcBorders>
              <w:top w:val="double" w:sz="6" w:space="0" w:color="000000"/>
              <w:bottom w:val="double" w:sz="6" w:space="0" w:color="000000"/>
            </w:tcBorders>
          </w:tcPr>
          <w:p>
            <w:pPr>
              <w:pStyle w:val="TableParagraph"/>
              <w:spacing w:line="186" w:lineRule="exact" w:before="42"/>
              <w:ind w:left="713"/>
              <w:rPr>
                <w:sz w:val="18"/>
              </w:rPr>
            </w:pPr>
            <w:r>
              <w:rPr>
                <w:spacing w:val="-2"/>
                <w:sz w:val="18"/>
              </w:rPr>
              <w:t>Variable</w:t>
            </w:r>
          </w:p>
        </w:tc>
        <w:tc>
          <w:tcPr>
            <w:tcW w:w="1413" w:type="dxa"/>
            <w:tcBorders>
              <w:top w:val="double" w:sz="6" w:space="0" w:color="000000"/>
              <w:bottom w:val="double" w:sz="6" w:space="0" w:color="000000"/>
            </w:tcBorders>
          </w:tcPr>
          <w:p>
            <w:pPr>
              <w:pStyle w:val="TableParagraph"/>
              <w:spacing w:line="186" w:lineRule="exact" w:before="42"/>
              <w:ind w:right="119"/>
              <w:jc w:val="right"/>
              <w:rPr>
                <w:sz w:val="18"/>
              </w:rPr>
            </w:pPr>
            <w:r>
              <w:rPr>
                <w:spacing w:val="-2"/>
                <w:sz w:val="18"/>
              </w:rPr>
              <w:t>Coefficient</w:t>
            </w:r>
          </w:p>
        </w:tc>
        <w:tc>
          <w:tcPr>
            <w:tcW w:w="1521" w:type="dxa"/>
            <w:tcBorders>
              <w:top w:val="double" w:sz="6" w:space="0" w:color="000000"/>
              <w:bottom w:val="double" w:sz="6" w:space="0" w:color="000000"/>
            </w:tcBorders>
          </w:tcPr>
          <w:p>
            <w:pPr>
              <w:pStyle w:val="TableParagraph"/>
              <w:spacing w:line="186" w:lineRule="exact" w:before="42"/>
              <w:ind w:left="362"/>
              <w:rPr>
                <w:sz w:val="18"/>
              </w:rPr>
            </w:pPr>
            <w:r>
              <w:rPr>
                <w:sz w:val="18"/>
              </w:rPr>
              <w:t>Std.</w:t>
            </w:r>
            <w:r>
              <w:rPr>
                <w:spacing w:val="-1"/>
                <w:sz w:val="18"/>
              </w:rPr>
              <w:t> </w:t>
            </w:r>
            <w:r>
              <w:rPr>
                <w:spacing w:val="-4"/>
                <w:sz w:val="18"/>
              </w:rPr>
              <w:t>Error</w:t>
            </w:r>
          </w:p>
        </w:tc>
        <w:tc>
          <w:tcPr>
            <w:tcW w:w="868" w:type="dxa"/>
            <w:tcBorders>
              <w:top w:val="double" w:sz="6" w:space="0" w:color="000000"/>
              <w:bottom w:val="double" w:sz="6" w:space="0" w:color="000000"/>
            </w:tcBorders>
          </w:tcPr>
          <w:p>
            <w:pPr>
              <w:pStyle w:val="TableParagraph"/>
              <w:spacing w:line="186" w:lineRule="exact" w:before="42"/>
              <w:ind w:right="118"/>
              <w:jc w:val="right"/>
              <w:rPr>
                <w:sz w:val="18"/>
              </w:rPr>
            </w:pPr>
            <w:r>
              <w:rPr>
                <w:sz w:val="18"/>
              </w:rPr>
              <w:t>t-</w:t>
            </w:r>
            <w:r>
              <w:rPr>
                <w:spacing w:val="-2"/>
                <w:sz w:val="18"/>
              </w:rPr>
              <w:t>Statistic</w:t>
            </w:r>
          </w:p>
        </w:tc>
        <w:tc>
          <w:tcPr>
            <w:tcW w:w="887" w:type="dxa"/>
            <w:tcBorders>
              <w:top w:val="double" w:sz="6" w:space="0" w:color="000000"/>
              <w:bottom w:val="double" w:sz="6" w:space="0" w:color="000000"/>
            </w:tcBorders>
          </w:tcPr>
          <w:p>
            <w:pPr>
              <w:pStyle w:val="TableParagraph"/>
              <w:spacing w:line="186" w:lineRule="exact" w:before="42"/>
              <w:ind w:right="29"/>
              <w:jc w:val="right"/>
              <w:rPr>
                <w:sz w:val="18"/>
              </w:rPr>
            </w:pPr>
            <w:r>
              <w:rPr>
                <w:spacing w:val="-2"/>
                <w:sz w:val="18"/>
              </w:rPr>
              <w:t>Prob.</w:t>
            </w:r>
          </w:p>
        </w:tc>
      </w:tr>
      <w:tr>
        <w:trPr>
          <w:trHeight w:val="252" w:hRule="atLeast"/>
        </w:trPr>
        <w:tc>
          <w:tcPr>
            <w:tcW w:w="1799" w:type="dxa"/>
            <w:tcBorders>
              <w:top w:val="double" w:sz="6" w:space="0" w:color="000000"/>
            </w:tcBorders>
          </w:tcPr>
          <w:p>
            <w:pPr>
              <w:pStyle w:val="TableParagraph"/>
              <w:spacing w:line="191" w:lineRule="exact" w:before="42"/>
              <w:ind w:left="581"/>
              <w:rPr>
                <w:sz w:val="18"/>
              </w:rPr>
            </w:pPr>
            <w:r>
              <w:rPr>
                <w:spacing w:val="-2"/>
                <w:sz w:val="18"/>
              </w:rPr>
              <w:t>D(GDP(-</w:t>
            </w:r>
            <w:r>
              <w:rPr>
                <w:spacing w:val="-5"/>
                <w:sz w:val="18"/>
              </w:rPr>
              <w:t>1))</w:t>
            </w:r>
          </w:p>
        </w:tc>
        <w:tc>
          <w:tcPr>
            <w:tcW w:w="1413" w:type="dxa"/>
            <w:tcBorders>
              <w:top w:val="double" w:sz="6" w:space="0" w:color="000000"/>
            </w:tcBorders>
          </w:tcPr>
          <w:p>
            <w:pPr>
              <w:pStyle w:val="TableParagraph"/>
              <w:spacing w:line="191" w:lineRule="exact" w:before="42"/>
              <w:ind w:right="117"/>
              <w:jc w:val="right"/>
              <w:rPr>
                <w:sz w:val="18"/>
              </w:rPr>
            </w:pPr>
            <w:r>
              <w:rPr>
                <w:sz w:val="18"/>
              </w:rPr>
              <w:t>-</w:t>
            </w:r>
            <w:r>
              <w:rPr>
                <w:spacing w:val="-2"/>
                <w:sz w:val="18"/>
              </w:rPr>
              <w:t>1.037322</w:t>
            </w:r>
          </w:p>
        </w:tc>
        <w:tc>
          <w:tcPr>
            <w:tcW w:w="1521" w:type="dxa"/>
            <w:tcBorders>
              <w:top w:val="double" w:sz="6" w:space="0" w:color="000000"/>
            </w:tcBorders>
          </w:tcPr>
          <w:p>
            <w:pPr>
              <w:pStyle w:val="TableParagraph"/>
              <w:spacing w:line="191" w:lineRule="exact" w:before="42"/>
              <w:ind w:left="398"/>
              <w:rPr>
                <w:sz w:val="18"/>
              </w:rPr>
            </w:pPr>
            <w:r>
              <w:rPr>
                <w:spacing w:val="-2"/>
                <w:sz w:val="18"/>
              </w:rPr>
              <w:t>0.308606</w:t>
            </w:r>
          </w:p>
        </w:tc>
        <w:tc>
          <w:tcPr>
            <w:tcW w:w="868" w:type="dxa"/>
            <w:tcBorders>
              <w:top w:val="double" w:sz="6" w:space="0" w:color="000000"/>
            </w:tcBorders>
          </w:tcPr>
          <w:p>
            <w:pPr>
              <w:pStyle w:val="TableParagraph"/>
              <w:spacing w:line="191" w:lineRule="exact" w:before="42"/>
              <w:ind w:right="120"/>
              <w:jc w:val="right"/>
              <w:rPr>
                <w:sz w:val="18"/>
              </w:rPr>
            </w:pPr>
            <w:r>
              <w:rPr>
                <w:sz w:val="18"/>
              </w:rPr>
              <w:t>-</w:t>
            </w:r>
            <w:r>
              <w:rPr>
                <w:spacing w:val="-2"/>
                <w:sz w:val="18"/>
              </w:rPr>
              <w:t>3.361317</w:t>
            </w:r>
          </w:p>
        </w:tc>
        <w:tc>
          <w:tcPr>
            <w:tcW w:w="887" w:type="dxa"/>
            <w:tcBorders>
              <w:top w:val="double" w:sz="6" w:space="0" w:color="000000"/>
            </w:tcBorders>
          </w:tcPr>
          <w:p>
            <w:pPr>
              <w:pStyle w:val="TableParagraph"/>
              <w:spacing w:line="191" w:lineRule="exact" w:before="42"/>
              <w:ind w:right="29"/>
              <w:jc w:val="right"/>
              <w:rPr>
                <w:sz w:val="18"/>
              </w:rPr>
            </w:pPr>
            <w:r>
              <w:rPr>
                <w:spacing w:val="-2"/>
                <w:sz w:val="18"/>
              </w:rPr>
              <w:t>0.0033</w:t>
            </w:r>
          </w:p>
        </w:tc>
      </w:tr>
      <w:tr>
        <w:trPr>
          <w:trHeight w:val="206" w:hRule="atLeast"/>
        </w:trPr>
        <w:tc>
          <w:tcPr>
            <w:tcW w:w="1799" w:type="dxa"/>
          </w:tcPr>
          <w:p>
            <w:pPr>
              <w:pStyle w:val="TableParagraph"/>
              <w:spacing w:line="186" w:lineRule="exact"/>
              <w:ind w:left="514"/>
              <w:rPr>
                <w:sz w:val="18"/>
              </w:rPr>
            </w:pPr>
            <w:r>
              <w:rPr>
                <w:spacing w:val="-2"/>
                <w:sz w:val="18"/>
              </w:rPr>
              <w:t>D(GDP(-1),2)</w:t>
            </w:r>
          </w:p>
        </w:tc>
        <w:tc>
          <w:tcPr>
            <w:tcW w:w="1413" w:type="dxa"/>
          </w:tcPr>
          <w:p>
            <w:pPr>
              <w:pStyle w:val="TableParagraph"/>
              <w:spacing w:line="186" w:lineRule="exact"/>
              <w:ind w:right="117"/>
              <w:jc w:val="right"/>
              <w:rPr>
                <w:sz w:val="18"/>
              </w:rPr>
            </w:pPr>
            <w:r>
              <w:rPr>
                <w:spacing w:val="-2"/>
                <w:sz w:val="18"/>
              </w:rPr>
              <w:t>0.086368</w:t>
            </w:r>
          </w:p>
        </w:tc>
        <w:tc>
          <w:tcPr>
            <w:tcW w:w="1521" w:type="dxa"/>
          </w:tcPr>
          <w:p>
            <w:pPr>
              <w:pStyle w:val="TableParagraph"/>
              <w:spacing w:line="186" w:lineRule="exact"/>
              <w:ind w:left="398"/>
              <w:rPr>
                <w:sz w:val="18"/>
              </w:rPr>
            </w:pPr>
            <w:r>
              <w:rPr>
                <w:spacing w:val="-2"/>
                <w:sz w:val="18"/>
              </w:rPr>
              <w:t>0.226025</w:t>
            </w:r>
          </w:p>
        </w:tc>
        <w:tc>
          <w:tcPr>
            <w:tcW w:w="868" w:type="dxa"/>
          </w:tcPr>
          <w:p>
            <w:pPr>
              <w:pStyle w:val="TableParagraph"/>
              <w:spacing w:line="186" w:lineRule="exact"/>
              <w:ind w:right="120"/>
              <w:jc w:val="right"/>
              <w:rPr>
                <w:sz w:val="18"/>
              </w:rPr>
            </w:pPr>
            <w:r>
              <w:rPr>
                <w:spacing w:val="-2"/>
                <w:sz w:val="18"/>
              </w:rPr>
              <w:t>0.382116</w:t>
            </w:r>
          </w:p>
        </w:tc>
        <w:tc>
          <w:tcPr>
            <w:tcW w:w="887" w:type="dxa"/>
          </w:tcPr>
          <w:p>
            <w:pPr>
              <w:pStyle w:val="TableParagraph"/>
              <w:spacing w:line="186" w:lineRule="exact"/>
              <w:ind w:right="29"/>
              <w:jc w:val="right"/>
              <w:rPr>
                <w:sz w:val="18"/>
              </w:rPr>
            </w:pPr>
            <w:r>
              <w:rPr>
                <w:spacing w:val="-2"/>
                <w:sz w:val="18"/>
              </w:rPr>
              <w:t>0.7066</w:t>
            </w:r>
          </w:p>
        </w:tc>
      </w:tr>
      <w:tr>
        <w:trPr>
          <w:trHeight w:val="201" w:hRule="atLeast"/>
        </w:trPr>
        <w:tc>
          <w:tcPr>
            <w:tcW w:w="1799" w:type="dxa"/>
            <w:tcBorders>
              <w:bottom w:val="double" w:sz="6" w:space="0" w:color="000000"/>
            </w:tcBorders>
          </w:tcPr>
          <w:p>
            <w:pPr>
              <w:pStyle w:val="TableParagraph"/>
              <w:spacing w:line="181" w:lineRule="exact"/>
              <w:ind w:left="246"/>
              <w:jc w:val="center"/>
              <w:rPr>
                <w:sz w:val="18"/>
              </w:rPr>
            </w:pPr>
            <w:r>
              <w:rPr>
                <w:spacing w:val="-10"/>
                <w:sz w:val="18"/>
              </w:rPr>
              <w:t>C</w:t>
            </w:r>
          </w:p>
        </w:tc>
        <w:tc>
          <w:tcPr>
            <w:tcW w:w="1413" w:type="dxa"/>
            <w:tcBorders>
              <w:bottom w:val="double" w:sz="6" w:space="0" w:color="000000"/>
            </w:tcBorders>
          </w:tcPr>
          <w:p>
            <w:pPr>
              <w:pStyle w:val="TableParagraph"/>
              <w:spacing w:line="181" w:lineRule="exact"/>
              <w:ind w:right="117"/>
              <w:jc w:val="right"/>
              <w:rPr>
                <w:sz w:val="18"/>
              </w:rPr>
            </w:pPr>
            <w:r>
              <w:rPr>
                <w:spacing w:val="-2"/>
                <w:sz w:val="18"/>
              </w:rPr>
              <w:t>0.243472</w:t>
            </w:r>
          </w:p>
        </w:tc>
        <w:tc>
          <w:tcPr>
            <w:tcW w:w="1521" w:type="dxa"/>
            <w:tcBorders>
              <w:bottom w:val="double" w:sz="6" w:space="0" w:color="000000"/>
            </w:tcBorders>
          </w:tcPr>
          <w:p>
            <w:pPr>
              <w:pStyle w:val="TableParagraph"/>
              <w:spacing w:line="181" w:lineRule="exact"/>
              <w:ind w:left="398"/>
              <w:rPr>
                <w:sz w:val="18"/>
              </w:rPr>
            </w:pPr>
            <w:r>
              <w:rPr>
                <w:spacing w:val="-2"/>
                <w:sz w:val="18"/>
              </w:rPr>
              <w:t>0.086753</w:t>
            </w:r>
          </w:p>
        </w:tc>
        <w:tc>
          <w:tcPr>
            <w:tcW w:w="868" w:type="dxa"/>
            <w:tcBorders>
              <w:bottom w:val="double" w:sz="6" w:space="0" w:color="000000"/>
            </w:tcBorders>
          </w:tcPr>
          <w:p>
            <w:pPr>
              <w:pStyle w:val="TableParagraph"/>
              <w:spacing w:line="181" w:lineRule="exact"/>
              <w:ind w:right="120"/>
              <w:jc w:val="right"/>
              <w:rPr>
                <w:sz w:val="18"/>
              </w:rPr>
            </w:pPr>
            <w:r>
              <w:rPr>
                <w:spacing w:val="-2"/>
                <w:sz w:val="18"/>
              </w:rPr>
              <w:t>2.806489</w:t>
            </w:r>
          </w:p>
        </w:tc>
        <w:tc>
          <w:tcPr>
            <w:tcW w:w="887" w:type="dxa"/>
            <w:tcBorders>
              <w:bottom w:val="double" w:sz="6" w:space="0" w:color="000000"/>
            </w:tcBorders>
          </w:tcPr>
          <w:p>
            <w:pPr>
              <w:pStyle w:val="TableParagraph"/>
              <w:spacing w:line="181" w:lineRule="exact"/>
              <w:ind w:right="29"/>
              <w:jc w:val="right"/>
              <w:rPr>
                <w:sz w:val="18"/>
              </w:rPr>
            </w:pPr>
            <w:r>
              <w:rPr>
                <w:spacing w:val="-2"/>
                <w:sz w:val="18"/>
              </w:rPr>
              <w:t>0.0113</w:t>
            </w:r>
          </w:p>
        </w:tc>
      </w:tr>
      <w:tr>
        <w:trPr>
          <w:trHeight w:val="252" w:hRule="atLeast"/>
        </w:trPr>
        <w:tc>
          <w:tcPr>
            <w:tcW w:w="1799" w:type="dxa"/>
            <w:tcBorders>
              <w:top w:val="double" w:sz="6" w:space="0" w:color="000000"/>
            </w:tcBorders>
          </w:tcPr>
          <w:p>
            <w:pPr>
              <w:pStyle w:val="TableParagraph"/>
              <w:spacing w:line="191" w:lineRule="exact" w:before="42"/>
              <w:ind w:left="36"/>
              <w:rPr>
                <w:sz w:val="18"/>
              </w:rPr>
            </w:pPr>
            <w:r>
              <w:rPr>
                <w:spacing w:val="-2"/>
                <w:sz w:val="18"/>
              </w:rPr>
              <w:t>R-squared</w:t>
            </w:r>
          </w:p>
        </w:tc>
        <w:tc>
          <w:tcPr>
            <w:tcW w:w="1413" w:type="dxa"/>
            <w:tcBorders>
              <w:top w:val="double" w:sz="6" w:space="0" w:color="000000"/>
            </w:tcBorders>
          </w:tcPr>
          <w:p>
            <w:pPr>
              <w:pStyle w:val="TableParagraph"/>
              <w:spacing w:line="191" w:lineRule="exact" w:before="42"/>
              <w:ind w:right="117"/>
              <w:jc w:val="right"/>
              <w:rPr>
                <w:sz w:val="18"/>
              </w:rPr>
            </w:pPr>
            <w:r>
              <w:rPr>
                <w:spacing w:val="-2"/>
                <w:sz w:val="18"/>
              </w:rPr>
              <w:t>0.489596</w:t>
            </w:r>
          </w:p>
        </w:tc>
        <w:tc>
          <w:tcPr>
            <w:tcW w:w="2389" w:type="dxa"/>
            <w:gridSpan w:val="2"/>
            <w:tcBorders>
              <w:top w:val="double" w:sz="6" w:space="0" w:color="000000"/>
            </w:tcBorders>
          </w:tcPr>
          <w:p>
            <w:pPr>
              <w:pStyle w:val="TableParagraph"/>
              <w:spacing w:line="191" w:lineRule="exact" w:before="42"/>
              <w:ind w:left="122"/>
              <w:rPr>
                <w:sz w:val="18"/>
              </w:rPr>
            </w:pPr>
            <w:r>
              <w:rPr>
                <w:sz w:val="18"/>
              </w:rPr>
              <w:t>Mean</w:t>
            </w:r>
            <w:r>
              <w:rPr>
                <w:spacing w:val="-5"/>
                <w:sz w:val="18"/>
              </w:rPr>
              <w:t> </w:t>
            </w:r>
            <w:r>
              <w:rPr>
                <w:sz w:val="18"/>
              </w:rPr>
              <w:t>dependent</w:t>
            </w:r>
            <w:r>
              <w:rPr>
                <w:spacing w:val="-1"/>
                <w:sz w:val="18"/>
              </w:rPr>
              <w:t> </w:t>
            </w:r>
            <w:r>
              <w:rPr>
                <w:spacing w:val="-5"/>
                <w:sz w:val="18"/>
              </w:rPr>
              <w:t>var</w:t>
            </w:r>
          </w:p>
        </w:tc>
        <w:tc>
          <w:tcPr>
            <w:tcW w:w="887" w:type="dxa"/>
            <w:tcBorders>
              <w:top w:val="double" w:sz="6" w:space="0" w:color="000000"/>
            </w:tcBorders>
          </w:tcPr>
          <w:p>
            <w:pPr>
              <w:pStyle w:val="TableParagraph"/>
              <w:spacing w:line="191" w:lineRule="exact" w:before="42"/>
              <w:ind w:right="28"/>
              <w:jc w:val="right"/>
              <w:rPr>
                <w:sz w:val="18"/>
              </w:rPr>
            </w:pPr>
            <w:r>
              <w:rPr>
                <w:sz w:val="18"/>
              </w:rPr>
              <w:t>-</w:t>
            </w:r>
            <w:r>
              <w:rPr>
                <w:spacing w:val="-2"/>
                <w:sz w:val="18"/>
              </w:rPr>
              <w:t>0.015649</w:t>
            </w:r>
          </w:p>
        </w:tc>
      </w:tr>
      <w:tr>
        <w:trPr>
          <w:trHeight w:val="206" w:hRule="atLeast"/>
        </w:trPr>
        <w:tc>
          <w:tcPr>
            <w:tcW w:w="1799" w:type="dxa"/>
          </w:tcPr>
          <w:p>
            <w:pPr>
              <w:pStyle w:val="TableParagraph"/>
              <w:spacing w:line="186" w:lineRule="exact"/>
              <w:ind w:left="36"/>
              <w:rPr>
                <w:sz w:val="18"/>
              </w:rPr>
            </w:pPr>
            <w:r>
              <w:rPr>
                <w:sz w:val="18"/>
              </w:rPr>
              <w:t>Adjusted</w:t>
            </w:r>
            <w:r>
              <w:rPr>
                <w:spacing w:val="-1"/>
                <w:sz w:val="18"/>
              </w:rPr>
              <w:t> </w:t>
            </w:r>
            <w:r>
              <w:rPr>
                <w:sz w:val="18"/>
              </w:rPr>
              <w:t>R-</w:t>
            </w:r>
            <w:r>
              <w:rPr>
                <w:spacing w:val="-2"/>
                <w:sz w:val="18"/>
              </w:rPr>
              <w:t>squared</w:t>
            </w:r>
          </w:p>
        </w:tc>
        <w:tc>
          <w:tcPr>
            <w:tcW w:w="1413" w:type="dxa"/>
          </w:tcPr>
          <w:p>
            <w:pPr>
              <w:pStyle w:val="TableParagraph"/>
              <w:spacing w:line="186" w:lineRule="exact"/>
              <w:ind w:right="117"/>
              <w:jc w:val="right"/>
              <w:rPr>
                <w:sz w:val="18"/>
              </w:rPr>
            </w:pPr>
            <w:r>
              <w:rPr>
                <w:spacing w:val="-2"/>
                <w:sz w:val="18"/>
              </w:rPr>
              <w:t>0.435869</w:t>
            </w:r>
          </w:p>
        </w:tc>
        <w:tc>
          <w:tcPr>
            <w:tcW w:w="1521" w:type="dxa"/>
          </w:tcPr>
          <w:p>
            <w:pPr>
              <w:pStyle w:val="TableParagraph"/>
              <w:spacing w:line="186" w:lineRule="exact"/>
              <w:ind w:left="122"/>
              <w:rPr>
                <w:sz w:val="18"/>
              </w:rPr>
            </w:pPr>
            <w:r>
              <w:rPr>
                <w:sz w:val="18"/>
              </w:rPr>
              <w:t>S.D.</w:t>
            </w:r>
            <w:r>
              <w:rPr>
                <w:spacing w:val="-5"/>
                <w:sz w:val="18"/>
              </w:rPr>
              <w:t> </w:t>
            </w:r>
            <w:r>
              <w:rPr>
                <w:sz w:val="18"/>
              </w:rPr>
              <w:t>dependent</w:t>
            </w:r>
            <w:r>
              <w:rPr>
                <w:spacing w:val="-3"/>
                <w:sz w:val="18"/>
              </w:rPr>
              <w:t> </w:t>
            </w:r>
            <w:r>
              <w:rPr>
                <w:spacing w:val="-5"/>
                <w:sz w:val="18"/>
              </w:rPr>
              <w:t>var</w:t>
            </w:r>
          </w:p>
        </w:tc>
        <w:tc>
          <w:tcPr>
            <w:tcW w:w="868" w:type="dxa"/>
          </w:tcPr>
          <w:p>
            <w:pPr>
              <w:pStyle w:val="TableParagraph"/>
              <w:rPr>
                <w:sz w:val="14"/>
              </w:rPr>
            </w:pPr>
          </w:p>
        </w:tc>
        <w:tc>
          <w:tcPr>
            <w:tcW w:w="887" w:type="dxa"/>
          </w:tcPr>
          <w:p>
            <w:pPr>
              <w:pStyle w:val="TableParagraph"/>
              <w:spacing w:line="186" w:lineRule="exact"/>
              <w:ind w:right="28"/>
              <w:jc w:val="right"/>
              <w:rPr>
                <w:sz w:val="18"/>
              </w:rPr>
            </w:pPr>
            <w:r>
              <w:rPr>
                <w:spacing w:val="-2"/>
                <w:sz w:val="18"/>
              </w:rPr>
              <w:t>0.251045</w:t>
            </w:r>
          </w:p>
        </w:tc>
      </w:tr>
      <w:tr>
        <w:trPr>
          <w:trHeight w:val="206" w:hRule="atLeast"/>
        </w:trPr>
        <w:tc>
          <w:tcPr>
            <w:tcW w:w="1799" w:type="dxa"/>
          </w:tcPr>
          <w:p>
            <w:pPr>
              <w:pStyle w:val="TableParagraph"/>
              <w:spacing w:line="186" w:lineRule="exact"/>
              <w:ind w:left="36"/>
              <w:rPr>
                <w:sz w:val="18"/>
              </w:rPr>
            </w:pPr>
            <w:r>
              <w:rPr>
                <w:sz w:val="18"/>
              </w:rPr>
              <w:t>S.E.</w:t>
            </w:r>
            <w:r>
              <w:rPr>
                <w:spacing w:val="-3"/>
                <w:sz w:val="18"/>
              </w:rPr>
              <w:t> </w:t>
            </w:r>
            <w:r>
              <w:rPr>
                <w:sz w:val="18"/>
              </w:rPr>
              <w:t>of</w:t>
            </w:r>
            <w:r>
              <w:rPr>
                <w:spacing w:val="-1"/>
                <w:sz w:val="18"/>
              </w:rPr>
              <w:t> </w:t>
            </w:r>
            <w:r>
              <w:rPr>
                <w:spacing w:val="-2"/>
                <w:sz w:val="18"/>
              </w:rPr>
              <w:t>regression</w:t>
            </w:r>
          </w:p>
        </w:tc>
        <w:tc>
          <w:tcPr>
            <w:tcW w:w="1413" w:type="dxa"/>
          </w:tcPr>
          <w:p>
            <w:pPr>
              <w:pStyle w:val="TableParagraph"/>
              <w:spacing w:line="186" w:lineRule="exact"/>
              <w:ind w:right="117"/>
              <w:jc w:val="right"/>
              <w:rPr>
                <w:sz w:val="18"/>
              </w:rPr>
            </w:pPr>
            <w:r>
              <w:rPr>
                <w:spacing w:val="-2"/>
                <w:sz w:val="18"/>
              </w:rPr>
              <w:t>0.188556</w:t>
            </w:r>
          </w:p>
        </w:tc>
        <w:tc>
          <w:tcPr>
            <w:tcW w:w="2389" w:type="dxa"/>
            <w:gridSpan w:val="2"/>
          </w:tcPr>
          <w:p>
            <w:pPr>
              <w:pStyle w:val="TableParagraph"/>
              <w:spacing w:line="186" w:lineRule="exact"/>
              <w:ind w:left="122"/>
              <w:rPr>
                <w:sz w:val="18"/>
              </w:rPr>
            </w:pPr>
            <w:r>
              <w:rPr>
                <w:sz w:val="18"/>
              </w:rPr>
              <w:t>Akaike</w:t>
            </w:r>
            <w:r>
              <w:rPr>
                <w:spacing w:val="-5"/>
                <w:sz w:val="18"/>
              </w:rPr>
              <w:t> </w:t>
            </w:r>
            <w:r>
              <w:rPr>
                <w:sz w:val="18"/>
              </w:rPr>
              <w:t>info</w:t>
            </w:r>
            <w:r>
              <w:rPr>
                <w:spacing w:val="-2"/>
                <w:sz w:val="18"/>
              </w:rPr>
              <w:t> criterion</w:t>
            </w:r>
          </w:p>
        </w:tc>
        <w:tc>
          <w:tcPr>
            <w:tcW w:w="887" w:type="dxa"/>
          </w:tcPr>
          <w:p>
            <w:pPr>
              <w:pStyle w:val="TableParagraph"/>
              <w:spacing w:line="186" w:lineRule="exact"/>
              <w:ind w:right="28"/>
              <w:jc w:val="right"/>
              <w:rPr>
                <w:sz w:val="18"/>
              </w:rPr>
            </w:pPr>
            <w:r>
              <w:rPr>
                <w:sz w:val="18"/>
              </w:rPr>
              <w:t>-</w:t>
            </w:r>
            <w:r>
              <w:rPr>
                <w:spacing w:val="-2"/>
                <w:sz w:val="18"/>
              </w:rPr>
              <w:t>0.372716</w:t>
            </w:r>
          </w:p>
        </w:tc>
      </w:tr>
      <w:tr>
        <w:trPr>
          <w:trHeight w:val="207" w:hRule="atLeast"/>
        </w:trPr>
        <w:tc>
          <w:tcPr>
            <w:tcW w:w="1799" w:type="dxa"/>
          </w:tcPr>
          <w:p>
            <w:pPr>
              <w:pStyle w:val="TableParagraph"/>
              <w:spacing w:line="188" w:lineRule="exact"/>
              <w:ind w:left="36"/>
              <w:rPr>
                <w:sz w:val="18"/>
              </w:rPr>
            </w:pPr>
            <w:r>
              <w:rPr>
                <w:sz w:val="18"/>
              </w:rPr>
              <w:t>Sum</w:t>
            </w:r>
            <w:r>
              <w:rPr>
                <w:spacing w:val="-3"/>
                <w:sz w:val="18"/>
              </w:rPr>
              <w:t> </w:t>
            </w:r>
            <w:r>
              <w:rPr>
                <w:sz w:val="18"/>
              </w:rPr>
              <w:t>squared</w:t>
            </w:r>
            <w:r>
              <w:rPr>
                <w:spacing w:val="1"/>
                <w:sz w:val="18"/>
              </w:rPr>
              <w:t> </w:t>
            </w:r>
            <w:r>
              <w:rPr>
                <w:spacing w:val="-2"/>
                <w:sz w:val="18"/>
              </w:rPr>
              <w:t>resid</w:t>
            </w:r>
          </w:p>
        </w:tc>
        <w:tc>
          <w:tcPr>
            <w:tcW w:w="1413" w:type="dxa"/>
          </w:tcPr>
          <w:p>
            <w:pPr>
              <w:pStyle w:val="TableParagraph"/>
              <w:spacing w:line="188" w:lineRule="exact"/>
              <w:ind w:right="117"/>
              <w:jc w:val="right"/>
              <w:rPr>
                <w:sz w:val="18"/>
              </w:rPr>
            </w:pPr>
            <w:r>
              <w:rPr>
                <w:spacing w:val="-2"/>
                <w:sz w:val="18"/>
              </w:rPr>
              <w:t>0.675516</w:t>
            </w:r>
          </w:p>
        </w:tc>
        <w:tc>
          <w:tcPr>
            <w:tcW w:w="1521" w:type="dxa"/>
          </w:tcPr>
          <w:p>
            <w:pPr>
              <w:pStyle w:val="TableParagraph"/>
              <w:spacing w:line="188" w:lineRule="exact"/>
              <w:ind w:left="122"/>
              <w:rPr>
                <w:sz w:val="18"/>
              </w:rPr>
            </w:pPr>
            <w:r>
              <w:rPr>
                <w:sz w:val="18"/>
              </w:rPr>
              <w:t>Schwarz</w:t>
            </w:r>
            <w:r>
              <w:rPr>
                <w:spacing w:val="-7"/>
                <w:sz w:val="18"/>
              </w:rPr>
              <w:t> </w:t>
            </w:r>
            <w:r>
              <w:rPr>
                <w:spacing w:val="-2"/>
                <w:sz w:val="18"/>
              </w:rPr>
              <w:t>criterion</w:t>
            </w:r>
          </w:p>
        </w:tc>
        <w:tc>
          <w:tcPr>
            <w:tcW w:w="868" w:type="dxa"/>
          </w:tcPr>
          <w:p>
            <w:pPr>
              <w:pStyle w:val="TableParagraph"/>
              <w:rPr>
                <w:sz w:val="14"/>
              </w:rPr>
            </w:pPr>
          </w:p>
        </w:tc>
        <w:tc>
          <w:tcPr>
            <w:tcW w:w="887" w:type="dxa"/>
          </w:tcPr>
          <w:p>
            <w:pPr>
              <w:pStyle w:val="TableParagraph"/>
              <w:spacing w:line="188" w:lineRule="exact"/>
              <w:ind w:right="28"/>
              <w:jc w:val="right"/>
              <w:rPr>
                <w:sz w:val="18"/>
              </w:rPr>
            </w:pPr>
            <w:r>
              <w:rPr>
                <w:sz w:val="18"/>
              </w:rPr>
              <w:t>-</w:t>
            </w:r>
            <w:r>
              <w:rPr>
                <w:spacing w:val="-2"/>
                <w:sz w:val="18"/>
              </w:rPr>
              <w:t>0.223937</w:t>
            </w:r>
          </w:p>
        </w:tc>
      </w:tr>
      <w:tr>
        <w:trPr>
          <w:trHeight w:val="207" w:hRule="atLeast"/>
        </w:trPr>
        <w:tc>
          <w:tcPr>
            <w:tcW w:w="1799" w:type="dxa"/>
          </w:tcPr>
          <w:p>
            <w:pPr>
              <w:pStyle w:val="TableParagraph"/>
              <w:spacing w:line="188" w:lineRule="exact"/>
              <w:ind w:left="36"/>
              <w:rPr>
                <w:sz w:val="18"/>
              </w:rPr>
            </w:pPr>
            <w:r>
              <w:rPr>
                <w:sz w:val="18"/>
              </w:rPr>
              <w:t>Log</w:t>
            </w:r>
            <w:r>
              <w:rPr>
                <w:spacing w:val="-2"/>
                <w:sz w:val="18"/>
              </w:rPr>
              <w:t> likelihood</w:t>
            </w:r>
          </w:p>
        </w:tc>
        <w:tc>
          <w:tcPr>
            <w:tcW w:w="1413" w:type="dxa"/>
          </w:tcPr>
          <w:p>
            <w:pPr>
              <w:pStyle w:val="TableParagraph"/>
              <w:spacing w:line="188" w:lineRule="exact"/>
              <w:ind w:right="117"/>
              <w:jc w:val="right"/>
              <w:rPr>
                <w:sz w:val="18"/>
              </w:rPr>
            </w:pPr>
            <w:r>
              <w:rPr>
                <w:spacing w:val="-2"/>
                <w:sz w:val="18"/>
              </w:rPr>
              <w:t>7.099876</w:t>
            </w:r>
          </w:p>
        </w:tc>
        <w:tc>
          <w:tcPr>
            <w:tcW w:w="1521" w:type="dxa"/>
          </w:tcPr>
          <w:p>
            <w:pPr>
              <w:pStyle w:val="TableParagraph"/>
              <w:spacing w:line="188" w:lineRule="exact"/>
              <w:ind w:left="122"/>
              <w:rPr>
                <w:sz w:val="18"/>
              </w:rPr>
            </w:pPr>
            <w:r>
              <w:rPr>
                <w:sz w:val="18"/>
              </w:rPr>
              <w:t>F-</w:t>
            </w:r>
            <w:r>
              <w:rPr>
                <w:spacing w:val="-2"/>
                <w:sz w:val="18"/>
              </w:rPr>
              <w:t>statistic</w:t>
            </w:r>
          </w:p>
        </w:tc>
        <w:tc>
          <w:tcPr>
            <w:tcW w:w="868" w:type="dxa"/>
          </w:tcPr>
          <w:p>
            <w:pPr>
              <w:pStyle w:val="TableParagraph"/>
              <w:rPr>
                <w:sz w:val="14"/>
              </w:rPr>
            </w:pPr>
          </w:p>
        </w:tc>
        <w:tc>
          <w:tcPr>
            <w:tcW w:w="887" w:type="dxa"/>
          </w:tcPr>
          <w:p>
            <w:pPr>
              <w:pStyle w:val="TableParagraph"/>
              <w:spacing w:line="188" w:lineRule="exact"/>
              <w:ind w:right="28"/>
              <w:jc w:val="right"/>
              <w:rPr>
                <w:sz w:val="18"/>
              </w:rPr>
            </w:pPr>
            <w:r>
              <w:rPr>
                <w:spacing w:val="-2"/>
                <w:sz w:val="18"/>
              </w:rPr>
              <w:t>9.112698</w:t>
            </w:r>
          </w:p>
        </w:tc>
      </w:tr>
      <w:tr>
        <w:trPr>
          <w:trHeight w:val="244" w:hRule="atLeast"/>
        </w:trPr>
        <w:tc>
          <w:tcPr>
            <w:tcW w:w="1799" w:type="dxa"/>
            <w:tcBorders>
              <w:bottom w:val="double" w:sz="6" w:space="0" w:color="000000"/>
            </w:tcBorders>
          </w:tcPr>
          <w:p>
            <w:pPr>
              <w:pStyle w:val="TableParagraph"/>
              <w:spacing w:line="203" w:lineRule="exact"/>
              <w:ind w:left="36"/>
              <w:rPr>
                <w:sz w:val="18"/>
              </w:rPr>
            </w:pPr>
            <w:r>
              <w:rPr>
                <w:sz w:val="18"/>
              </w:rPr>
              <w:t>Durbin-Watson</w:t>
            </w:r>
            <w:r>
              <w:rPr>
                <w:spacing w:val="-2"/>
                <w:sz w:val="18"/>
              </w:rPr>
              <w:t> </w:t>
            </w:r>
            <w:r>
              <w:rPr>
                <w:spacing w:val="-4"/>
                <w:sz w:val="18"/>
              </w:rPr>
              <w:t>stat</w:t>
            </w:r>
          </w:p>
        </w:tc>
        <w:tc>
          <w:tcPr>
            <w:tcW w:w="1413" w:type="dxa"/>
          </w:tcPr>
          <w:p>
            <w:pPr>
              <w:pStyle w:val="TableParagraph"/>
              <w:spacing w:line="203" w:lineRule="exact"/>
              <w:ind w:right="117"/>
              <w:jc w:val="right"/>
              <w:rPr>
                <w:sz w:val="18"/>
              </w:rPr>
            </w:pPr>
            <w:r>
              <w:rPr>
                <w:spacing w:val="-2"/>
                <w:sz w:val="18"/>
              </w:rPr>
              <w:t>1.926951</w:t>
            </w:r>
          </w:p>
        </w:tc>
        <w:tc>
          <w:tcPr>
            <w:tcW w:w="1521" w:type="dxa"/>
            <w:tcBorders>
              <w:bottom w:val="double" w:sz="6" w:space="0" w:color="000000"/>
            </w:tcBorders>
          </w:tcPr>
          <w:p>
            <w:pPr>
              <w:pStyle w:val="TableParagraph"/>
              <w:spacing w:line="203" w:lineRule="exact"/>
              <w:ind w:left="120"/>
              <w:rPr>
                <w:sz w:val="18"/>
              </w:rPr>
            </w:pPr>
            <w:r>
              <w:rPr>
                <w:spacing w:val="-2"/>
                <w:sz w:val="18"/>
              </w:rPr>
              <w:t>Prob(F-statistic)</w:t>
            </w:r>
          </w:p>
        </w:tc>
        <w:tc>
          <w:tcPr>
            <w:tcW w:w="868" w:type="dxa"/>
            <w:tcBorders>
              <w:bottom w:val="single" w:sz="6" w:space="0" w:color="000000"/>
            </w:tcBorders>
          </w:tcPr>
          <w:p>
            <w:pPr>
              <w:pStyle w:val="TableParagraph"/>
              <w:rPr>
                <w:sz w:val="16"/>
              </w:rPr>
            </w:pPr>
          </w:p>
        </w:tc>
        <w:tc>
          <w:tcPr>
            <w:tcW w:w="887" w:type="dxa"/>
            <w:tcBorders>
              <w:bottom w:val="double" w:sz="6" w:space="0" w:color="000000"/>
            </w:tcBorders>
          </w:tcPr>
          <w:p>
            <w:pPr>
              <w:pStyle w:val="TableParagraph"/>
              <w:spacing w:line="203" w:lineRule="exact"/>
              <w:ind w:right="28"/>
              <w:jc w:val="right"/>
              <w:rPr>
                <w:sz w:val="18"/>
              </w:rPr>
            </w:pPr>
            <w:r>
              <w:rPr>
                <w:spacing w:val="-2"/>
                <w:sz w:val="18"/>
              </w:rPr>
              <w:t>0.001680</w:t>
            </w:r>
          </w:p>
        </w:tc>
      </w:tr>
    </w:tbl>
    <w:p>
      <w:pPr>
        <w:spacing w:after="0" w:line="203" w:lineRule="exact"/>
        <w:jc w:val="right"/>
        <w:rPr>
          <w:sz w:val="18"/>
        </w:rPr>
        <w:sectPr>
          <w:pgSz w:w="11910" w:h="16840"/>
          <w:pgMar w:header="0" w:footer="982" w:top="1760" w:bottom="1240" w:left="280" w:right="0"/>
        </w:sectPr>
      </w:pPr>
    </w:p>
    <w:p>
      <w:pPr>
        <w:pStyle w:val="BodyText"/>
        <w:spacing w:before="122"/>
        <w:rPr>
          <w:sz w:val="18"/>
        </w:rPr>
      </w:pPr>
    </w:p>
    <w:p>
      <w:pPr>
        <w:spacing w:before="1"/>
        <w:ind w:left="711" w:right="0" w:firstLine="0"/>
        <w:jc w:val="left"/>
        <w:rPr>
          <w:sz w:val="18"/>
        </w:rPr>
      </w:pPr>
      <w:r>
        <w:rPr>
          <w:sz w:val="18"/>
        </w:rPr>
        <w:t>EXTDEBT</w:t>
      </w:r>
      <w:r>
        <w:rPr>
          <w:spacing w:val="-2"/>
          <w:sz w:val="18"/>
        </w:rPr>
        <w:t> </w:t>
      </w:r>
      <w:r>
        <w:rPr>
          <w:sz w:val="18"/>
        </w:rPr>
        <w:t>@ </w:t>
      </w:r>
      <w:r>
        <w:rPr>
          <w:spacing w:val="-2"/>
          <w:sz w:val="18"/>
        </w:rPr>
        <w:t>LEVEL</w:t>
      </w:r>
    </w:p>
    <w:tbl>
      <w:tblPr>
        <w:tblW w:w="0" w:type="auto"/>
        <w:jc w:val="left"/>
        <w:tblInd w:w="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79"/>
        <w:gridCol w:w="1332"/>
        <w:gridCol w:w="1521"/>
        <w:gridCol w:w="898"/>
        <w:gridCol w:w="857"/>
      </w:tblGrid>
      <w:tr>
        <w:trPr>
          <w:trHeight w:val="202" w:hRule="atLeast"/>
        </w:trPr>
        <w:tc>
          <w:tcPr>
            <w:tcW w:w="1879" w:type="dxa"/>
          </w:tcPr>
          <w:p>
            <w:pPr>
              <w:pStyle w:val="TableParagraph"/>
              <w:spacing w:line="183" w:lineRule="exact"/>
              <w:ind w:left="36"/>
              <w:rPr>
                <w:sz w:val="18"/>
              </w:rPr>
            </w:pPr>
            <w:r>
              <w:rPr>
                <w:sz w:val="18"/>
              </w:rPr>
              <w:t>ADF</w:t>
            </w:r>
            <w:r>
              <w:rPr>
                <w:spacing w:val="-3"/>
                <w:sz w:val="18"/>
              </w:rPr>
              <w:t> </w:t>
            </w:r>
            <w:r>
              <w:rPr>
                <w:sz w:val="18"/>
              </w:rPr>
              <w:t>Test</w:t>
            </w:r>
            <w:r>
              <w:rPr>
                <w:spacing w:val="-1"/>
                <w:sz w:val="18"/>
              </w:rPr>
              <w:t> </w:t>
            </w:r>
            <w:r>
              <w:rPr>
                <w:spacing w:val="-2"/>
                <w:sz w:val="18"/>
              </w:rPr>
              <w:t>Statistic</w:t>
            </w:r>
          </w:p>
        </w:tc>
        <w:tc>
          <w:tcPr>
            <w:tcW w:w="1332" w:type="dxa"/>
          </w:tcPr>
          <w:p>
            <w:pPr>
              <w:pStyle w:val="TableParagraph"/>
              <w:spacing w:line="183" w:lineRule="exact"/>
              <w:ind w:left="187"/>
              <w:rPr>
                <w:sz w:val="18"/>
              </w:rPr>
            </w:pPr>
            <w:r>
              <w:rPr>
                <w:sz w:val="18"/>
              </w:rPr>
              <w:t>-</w:t>
            </w:r>
            <w:r>
              <w:rPr>
                <w:spacing w:val="-2"/>
                <w:sz w:val="18"/>
              </w:rPr>
              <w:t>3.716193</w:t>
            </w:r>
          </w:p>
        </w:tc>
        <w:tc>
          <w:tcPr>
            <w:tcW w:w="2419" w:type="dxa"/>
            <w:gridSpan w:val="2"/>
          </w:tcPr>
          <w:p>
            <w:pPr>
              <w:pStyle w:val="TableParagraph"/>
              <w:spacing w:line="183" w:lineRule="exact"/>
              <w:ind w:left="123"/>
              <w:rPr>
                <w:sz w:val="18"/>
              </w:rPr>
            </w:pPr>
            <w:r>
              <w:rPr>
                <w:sz w:val="18"/>
              </w:rPr>
              <w:t>1%</w:t>
            </w:r>
            <w:r>
              <w:rPr>
                <w:spacing w:val="63"/>
                <w:w w:val="150"/>
                <w:sz w:val="18"/>
              </w:rPr>
              <w:t> </w:t>
            </w:r>
            <w:r>
              <w:rPr>
                <w:sz w:val="18"/>
              </w:rPr>
              <w:t>Critical</w:t>
            </w:r>
            <w:r>
              <w:rPr>
                <w:spacing w:val="-2"/>
                <w:sz w:val="18"/>
              </w:rPr>
              <w:t> Value*</w:t>
            </w:r>
          </w:p>
        </w:tc>
        <w:tc>
          <w:tcPr>
            <w:tcW w:w="857" w:type="dxa"/>
          </w:tcPr>
          <w:p>
            <w:pPr>
              <w:pStyle w:val="TableParagraph"/>
              <w:spacing w:line="183" w:lineRule="exact"/>
              <w:ind w:left="-3" w:right="28"/>
              <w:jc w:val="right"/>
              <w:rPr>
                <w:sz w:val="18"/>
              </w:rPr>
            </w:pPr>
            <w:r>
              <w:rPr>
                <w:sz w:val="18"/>
              </w:rPr>
              <w:t>-</w:t>
            </w:r>
            <w:r>
              <w:rPr>
                <w:spacing w:val="-2"/>
                <w:sz w:val="18"/>
              </w:rPr>
              <w:t>3.7497</w:t>
            </w:r>
          </w:p>
        </w:tc>
      </w:tr>
      <w:tr>
        <w:trPr>
          <w:trHeight w:val="207" w:hRule="atLeast"/>
        </w:trPr>
        <w:tc>
          <w:tcPr>
            <w:tcW w:w="1879" w:type="dxa"/>
          </w:tcPr>
          <w:p>
            <w:pPr>
              <w:pStyle w:val="TableParagraph"/>
              <w:rPr>
                <w:sz w:val="14"/>
              </w:rPr>
            </w:pPr>
          </w:p>
        </w:tc>
        <w:tc>
          <w:tcPr>
            <w:tcW w:w="1332" w:type="dxa"/>
          </w:tcPr>
          <w:p>
            <w:pPr>
              <w:pStyle w:val="TableParagraph"/>
              <w:rPr>
                <w:sz w:val="14"/>
              </w:rPr>
            </w:pPr>
          </w:p>
        </w:tc>
        <w:tc>
          <w:tcPr>
            <w:tcW w:w="1521" w:type="dxa"/>
          </w:tcPr>
          <w:p>
            <w:pPr>
              <w:pStyle w:val="TableParagraph"/>
              <w:spacing w:line="188" w:lineRule="exact"/>
              <w:ind w:left="123"/>
              <w:rPr>
                <w:sz w:val="18"/>
              </w:rPr>
            </w:pPr>
            <w:r>
              <w:rPr>
                <w:sz w:val="18"/>
              </w:rPr>
              <w:t>5%</w:t>
            </w:r>
            <w:r>
              <w:rPr>
                <w:spacing w:val="63"/>
                <w:w w:val="150"/>
                <w:sz w:val="18"/>
              </w:rPr>
              <w:t> </w:t>
            </w:r>
            <w:r>
              <w:rPr>
                <w:sz w:val="18"/>
              </w:rPr>
              <w:t>Critical</w:t>
            </w:r>
            <w:r>
              <w:rPr>
                <w:spacing w:val="-2"/>
                <w:sz w:val="18"/>
              </w:rPr>
              <w:t> Value</w:t>
            </w:r>
          </w:p>
        </w:tc>
        <w:tc>
          <w:tcPr>
            <w:tcW w:w="898" w:type="dxa"/>
          </w:tcPr>
          <w:p>
            <w:pPr>
              <w:pStyle w:val="TableParagraph"/>
              <w:rPr>
                <w:sz w:val="14"/>
              </w:rPr>
            </w:pPr>
          </w:p>
        </w:tc>
        <w:tc>
          <w:tcPr>
            <w:tcW w:w="857" w:type="dxa"/>
          </w:tcPr>
          <w:p>
            <w:pPr>
              <w:pStyle w:val="TableParagraph"/>
              <w:spacing w:line="188" w:lineRule="exact"/>
              <w:ind w:left="-3" w:right="28"/>
              <w:jc w:val="right"/>
              <w:rPr>
                <w:sz w:val="18"/>
              </w:rPr>
            </w:pPr>
            <w:r>
              <w:rPr>
                <w:sz w:val="18"/>
              </w:rPr>
              <w:t>-</w:t>
            </w:r>
            <w:r>
              <w:rPr>
                <w:spacing w:val="-2"/>
                <w:sz w:val="18"/>
              </w:rPr>
              <w:t>2.9969</w:t>
            </w:r>
          </w:p>
        </w:tc>
      </w:tr>
      <w:tr>
        <w:trPr>
          <w:trHeight w:val="202" w:hRule="atLeast"/>
        </w:trPr>
        <w:tc>
          <w:tcPr>
            <w:tcW w:w="1879" w:type="dxa"/>
            <w:tcBorders>
              <w:bottom w:val="double" w:sz="6" w:space="0" w:color="000000"/>
            </w:tcBorders>
          </w:tcPr>
          <w:p>
            <w:pPr>
              <w:pStyle w:val="TableParagraph"/>
              <w:rPr>
                <w:sz w:val="14"/>
              </w:rPr>
            </w:pPr>
          </w:p>
        </w:tc>
        <w:tc>
          <w:tcPr>
            <w:tcW w:w="1332" w:type="dxa"/>
            <w:tcBorders>
              <w:bottom w:val="double" w:sz="6" w:space="0" w:color="000000"/>
            </w:tcBorders>
          </w:tcPr>
          <w:p>
            <w:pPr>
              <w:pStyle w:val="TableParagraph"/>
              <w:rPr>
                <w:sz w:val="14"/>
              </w:rPr>
            </w:pPr>
          </w:p>
        </w:tc>
        <w:tc>
          <w:tcPr>
            <w:tcW w:w="1521" w:type="dxa"/>
            <w:tcBorders>
              <w:bottom w:val="double" w:sz="6" w:space="0" w:color="000000"/>
            </w:tcBorders>
          </w:tcPr>
          <w:p>
            <w:pPr>
              <w:pStyle w:val="TableParagraph"/>
              <w:spacing w:line="183" w:lineRule="exact"/>
              <w:ind w:left="123"/>
              <w:rPr>
                <w:sz w:val="18"/>
              </w:rPr>
            </w:pPr>
            <w:r>
              <w:rPr>
                <w:sz w:val="18"/>
              </w:rPr>
              <w:t>10%</w:t>
            </w:r>
            <w:r>
              <w:rPr>
                <w:spacing w:val="-5"/>
                <w:sz w:val="18"/>
              </w:rPr>
              <w:t> </w:t>
            </w:r>
            <w:r>
              <w:rPr>
                <w:sz w:val="18"/>
              </w:rPr>
              <w:t>Critical</w:t>
            </w:r>
            <w:r>
              <w:rPr>
                <w:spacing w:val="-3"/>
                <w:sz w:val="18"/>
              </w:rPr>
              <w:t> </w:t>
            </w:r>
            <w:r>
              <w:rPr>
                <w:spacing w:val="-2"/>
                <w:sz w:val="18"/>
              </w:rPr>
              <w:t>Value</w:t>
            </w:r>
          </w:p>
        </w:tc>
        <w:tc>
          <w:tcPr>
            <w:tcW w:w="898" w:type="dxa"/>
            <w:tcBorders>
              <w:bottom w:val="double" w:sz="6" w:space="0" w:color="000000"/>
            </w:tcBorders>
          </w:tcPr>
          <w:p>
            <w:pPr>
              <w:pStyle w:val="TableParagraph"/>
              <w:rPr>
                <w:sz w:val="14"/>
              </w:rPr>
            </w:pPr>
          </w:p>
        </w:tc>
        <w:tc>
          <w:tcPr>
            <w:tcW w:w="857" w:type="dxa"/>
            <w:tcBorders>
              <w:bottom w:val="double" w:sz="6" w:space="0" w:color="000000"/>
            </w:tcBorders>
          </w:tcPr>
          <w:p>
            <w:pPr>
              <w:pStyle w:val="TableParagraph"/>
              <w:spacing w:line="183" w:lineRule="exact"/>
              <w:ind w:left="-3" w:right="28"/>
              <w:jc w:val="right"/>
              <w:rPr>
                <w:sz w:val="18"/>
              </w:rPr>
            </w:pPr>
            <w:r>
              <w:rPr>
                <w:sz w:val="18"/>
              </w:rPr>
              <w:t>-</w:t>
            </w:r>
            <w:r>
              <w:rPr>
                <w:spacing w:val="-2"/>
                <w:sz w:val="18"/>
              </w:rPr>
              <w:t>2.6381</w:t>
            </w:r>
          </w:p>
        </w:tc>
      </w:tr>
      <w:tr>
        <w:trPr>
          <w:trHeight w:val="457" w:hRule="atLeast"/>
        </w:trPr>
        <w:tc>
          <w:tcPr>
            <w:tcW w:w="6487" w:type="dxa"/>
            <w:gridSpan w:val="5"/>
            <w:tcBorders>
              <w:top w:val="double" w:sz="6" w:space="0" w:color="000000"/>
            </w:tcBorders>
          </w:tcPr>
          <w:p>
            <w:pPr>
              <w:pStyle w:val="TableParagraph"/>
              <w:spacing w:before="40"/>
              <w:ind w:left="36"/>
              <w:rPr>
                <w:sz w:val="18"/>
              </w:rPr>
            </w:pPr>
            <w:r>
              <w:rPr>
                <w:sz w:val="18"/>
              </w:rPr>
              <w:t>*MacKinnon</w:t>
            </w:r>
            <w:r>
              <w:rPr>
                <w:spacing w:val="-1"/>
                <w:sz w:val="18"/>
              </w:rPr>
              <w:t> </w:t>
            </w:r>
            <w:r>
              <w:rPr>
                <w:sz w:val="18"/>
              </w:rPr>
              <w:t>critical</w:t>
            </w:r>
            <w:r>
              <w:rPr>
                <w:spacing w:val="-1"/>
                <w:sz w:val="18"/>
              </w:rPr>
              <w:t> </w:t>
            </w:r>
            <w:r>
              <w:rPr>
                <w:sz w:val="18"/>
              </w:rPr>
              <w:t>values</w:t>
            </w:r>
            <w:r>
              <w:rPr>
                <w:spacing w:val="-1"/>
                <w:sz w:val="18"/>
              </w:rPr>
              <w:t> </w:t>
            </w:r>
            <w:r>
              <w:rPr>
                <w:sz w:val="18"/>
              </w:rPr>
              <w:t>for</w:t>
            </w:r>
            <w:r>
              <w:rPr>
                <w:spacing w:val="-1"/>
                <w:sz w:val="18"/>
              </w:rPr>
              <w:t> </w:t>
            </w:r>
            <w:r>
              <w:rPr>
                <w:sz w:val="18"/>
              </w:rPr>
              <w:t>rejection</w:t>
            </w:r>
            <w:r>
              <w:rPr>
                <w:spacing w:val="-2"/>
                <w:sz w:val="18"/>
              </w:rPr>
              <w:t> </w:t>
            </w:r>
            <w:r>
              <w:rPr>
                <w:sz w:val="18"/>
              </w:rPr>
              <w:t>of</w:t>
            </w:r>
            <w:r>
              <w:rPr>
                <w:spacing w:val="-3"/>
                <w:sz w:val="18"/>
              </w:rPr>
              <w:t> </w:t>
            </w:r>
            <w:r>
              <w:rPr>
                <w:sz w:val="18"/>
              </w:rPr>
              <w:t>hypothesis</w:t>
            </w:r>
            <w:r>
              <w:rPr>
                <w:spacing w:val="-1"/>
                <w:sz w:val="18"/>
              </w:rPr>
              <w:t> </w:t>
            </w:r>
            <w:r>
              <w:rPr>
                <w:sz w:val="18"/>
              </w:rPr>
              <w:t>of</w:t>
            </w:r>
            <w:r>
              <w:rPr>
                <w:spacing w:val="-3"/>
                <w:sz w:val="18"/>
              </w:rPr>
              <w:t> </w:t>
            </w:r>
            <w:r>
              <w:rPr>
                <w:sz w:val="18"/>
              </w:rPr>
              <w:t>a</w:t>
            </w:r>
            <w:r>
              <w:rPr>
                <w:spacing w:val="-2"/>
                <w:sz w:val="18"/>
              </w:rPr>
              <w:t> </w:t>
            </w:r>
            <w:r>
              <w:rPr>
                <w:sz w:val="18"/>
              </w:rPr>
              <w:t>unit</w:t>
            </w:r>
            <w:r>
              <w:rPr>
                <w:spacing w:val="-2"/>
                <w:sz w:val="18"/>
              </w:rPr>
              <w:t> root.</w:t>
            </w:r>
          </w:p>
        </w:tc>
      </w:tr>
      <w:tr>
        <w:trPr>
          <w:trHeight w:val="414" w:hRule="atLeast"/>
        </w:trPr>
        <w:tc>
          <w:tcPr>
            <w:tcW w:w="6487" w:type="dxa"/>
            <w:gridSpan w:val="5"/>
          </w:tcPr>
          <w:p>
            <w:pPr>
              <w:pStyle w:val="TableParagraph"/>
              <w:spacing w:line="191" w:lineRule="exact" w:before="203"/>
              <w:ind w:left="36"/>
              <w:rPr>
                <w:sz w:val="18"/>
              </w:rPr>
            </w:pPr>
            <w:r>
              <w:rPr>
                <w:sz w:val="18"/>
              </w:rPr>
              <w:t>Augmented</w:t>
            </w:r>
            <w:r>
              <w:rPr>
                <w:spacing w:val="-3"/>
                <w:sz w:val="18"/>
              </w:rPr>
              <w:t> </w:t>
            </w:r>
            <w:r>
              <w:rPr>
                <w:sz w:val="18"/>
              </w:rPr>
              <w:t>Dickey-Fuller</w:t>
            </w:r>
            <w:r>
              <w:rPr>
                <w:spacing w:val="-3"/>
                <w:sz w:val="18"/>
              </w:rPr>
              <w:t> </w:t>
            </w:r>
            <w:r>
              <w:rPr>
                <w:sz w:val="18"/>
              </w:rPr>
              <w:t>Test</w:t>
            </w:r>
            <w:r>
              <w:rPr>
                <w:spacing w:val="-3"/>
                <w:sz w:val="18"/>
              </w:rPr>
              <w:t> </w:t>
            </w:r>
            <w:r>
              <w:rPr>
                <w:spacing w:val="-2"/>
                <w:sz w:val="18"/>
              </w:rPr>
              <w:t>Equation</w:t>
            </w:r>
          </w:p>
        </w:tc>
      </w:tr>
      <w:tr>
        <w:trPr>
          <w:trHeight w:val="207" w:hRule="atLeast"/>
        </w:trPr>
        <w:tc>
          <w:tcPr>
            <w:tcW w:w="6487" w:type="dxa"/>
            <w:gridSpan w:val="5"/>
          </w:tcPr>
          <w:p>
            <w:pPr>
              <w:pStyle w:val="TableParagraph"/>
              <w:spacing w:line="188" w:lineRule="exact"/>
              <w:ind w:left="36"/>
              <w:rPr>
                <w:sz w:val="18"/>
              </w:rPr>
            </w:pPr>
            <w:r>
              <w:rPr>
                <w:sz w:val="18"/>
              </w:rPr>
              <w:t>Dependent</w:t>
            </w:r>
            <w:r>
              <w:rPr>
                <w:spacing w:val="-2"/>
                <w:sz w:val="18"/>
              </w:rPr>
              <w:t> </w:t>
            </w:r>
            <w:r>
              <w:rPr>
                <w:sz w:val="18"/>
              </w:rPr>
              <w:t>Variable:</w:t>
            </w:r>
            <w:r>
              <w:rPr>
                <w:spacing w:val="-2"/>
                <w:sz w:val="18"/>
              </w:rPr>
              <w:t> D(EXTDEBT)</w:t>
            </w:r>
          </w:p>
        </w:tc>
      </w:tr>
      <w:tr>
        <w:trPr>
          <w:trHeight w:val="207" w:hRule="atLeast"/>
        </w:trPr>
        <w:tc>
          <w:tcPr>
            <w:tcW w:w="1879" w:type="dxa"/>
          </w:tcPr>
          <w:p>
            <w:pPr>
              <w:pStyle w:val="TableParagraph"/>
              <w:spacing w:line="188" w:lineRule="exact"/>
              <w:ind w:left="36"/>
              <w:rPr>
                <w:sz w:val="18"/>
              </w:rPr>
            </w:pPr>
            <w:r>
              <w:rPr>
                <w:sz w:val="18"/>
              </w:rPr>
              <w:t>Method:</w:t>
            </w:r>
            <w:r>
              <w:rPr>
                <w:spacing w:val="-3"/>
                <w:sz w:val="18"/>
              </w:rPr>
              <w:t> </w:t>
            </w:r>
            <w:r>
              <w:rPr>
                <w:sz w:val="18"/>
              </w:rPr>
              <w:t>Least</w:t>
            </w:r>
            <w:r>
              <w:rPr>
                <w:spacing w:val="-2"/>
                <w:sz w:val="18"/>
              </w:rPr>
              <w:t> Squares</w:t>
            </w:r>
          </w:p>
        </w:tc>
        <w:tc>
          <w:tcPr>
            <w:tcW w:w="1332" w:type="dxa"/>
          </w:tcPr>
          <w:p>
            <w:pPr>
              <w:pStyle w:val="TableParagraph"/>
              <w:rPr>
                <w:sz w:val="14"/>
              </w:rPr>
            </w:pPr>
          </w:p>
        </w:tc>
        <w:tc>
          <w:tcPr>
            <w:tcW w:w="1521" w:type="dxa"/>
          </w:tcPr>
          <w:p>
            <w:pPr>
              <w:pStyle w:val="TableParagraph"/>
              <w:rPr>
                <w:sz w:val="14"/>
              </w:rPr>
            </w:pPr>
          </w:p>
        </w:tc>
        <w:tc>
          <w:tcPr>
            <w:tcW w:w="898" w:type="dxa"/>
          </w:tcPr>
          <w:p>
            <w:pPr>
              <w:pStyle w:val="TableParagraph"/>
              <w:rPr>
                <w:sz w:val="14"/>
              </w:rPr>
            </w:pPr>
          </w:p>
        </w:tc>
        <w:tc>
          <w:tcPr>
            <w:tcW w:w="857" w:type="dxa"/>
          </w:tcPr>
          <w:p>
            <w:pPr>
              <w:pStyle w:val="TableParagraph"/>
              <w:rPr>
                <w:sz w:val="14"/>
              </w:rPr>
            </w:pPr>
          </w:p>
        </w:tc>
      </w:tr>
      <w:tr>
        <w:trPr>
          <w:trHeight w:val="206" w:hRule="atLeast"/>
        </w:trPr>
        <w:tc>
          <w:tcPr>
            <w:tcW w:w="6487" w:type="dxa"/>
            <w:gridSpan w:val="5"/>
          </w:tcPr>
          <w:p>
            <w:pPr>
              <w:pStyle w:val="TableParagraph"/>
              <w:spacing w:line="186" w:lineRule="exact"/>
              <w:ind w:left="36"/>
              <w:rPr>
                <w:sz w:val="18"/>
              </w:rPr>
            </w:pPr>
            <w:r>
              <w:rPr>
                <w:sz w:val="18"/>
              </w:rPr>
              <w:t>Date:</w:t>
            </w:r>
            <w:r>
              <w:rPr>
                <w:spacing w:val="-2"/>
                <w:sz w:val="18"/>
              </w:rPr>
              <w:t> </w:t>
            </w:r>
            <w:r>
              <w:rPr>
                <w:sz w:val="18"/>
              </w:rPr>
              <w:t>02/17/14</w:t>
            </w:r>
            <w:r>
              <w:rPr>
                <w:spacing w:val="63"/>
                <w:w w:val="150"/>
                <w:sz w:val="18"/>
              </w:rPr>
              <w:t> </w:t>
            </w:r>
            <w:r>
              <w:rPr>
                <w:sz w:val="18"/>
              </w:rPr>
              <w:t>Time:</w:t>
            </w:r>
            <w:r>
              <w:rPr>
                <w:spacing w:val="-1"/>
                <w:sz w:val="18"/>
              </w:rPr>
              <w:t> </w:t>
            </w:r>
            <w:r>
              <w:rPr>
                <w:spacing w:val="-4"/>
                <w:sz w:val="18"/>
              </w:rPr>
              <w:t>18:09</w:t>
            </w:r>
          </w:p>
        </w:tc>
      </w:tr>
      <w:tr>
        <w:trPr>
          <w:trHeight w:val="206" w:hRule="atLeast"/>
        </w:trPr>
        <w:tc>
          <w:tcPr>
            <w:tcW w:w="6487" w:type="dxa"/>
            <w:gridSpan w:val="5"/>
          </w:tcPr>
          <w:p>
            <w:pPr>
              <w:pStyle w:val="TableParagraph"/>
              <w:spacing w:line="186" w:lineRule="exact"/>
              <w:ind w:left="36"/>
              <w:rPr>
                <w:sz w:val="18"/>
              </w:rPr>
            </w:pPr>
            <w:r>
              <w:rPr>
                <w:sz w:val="18"/>
              </w:rPr>
              <w:t>Sample(adjusted):</w:t>
            </w:r>
            <w:r>
              <w:rPr>
                <w:spacing w:val="-6"/>
                <w:sz w:val="18"/>
              </w:rPr>
              <w:t> </w:t>
            </w:r>
            <w:r>
              <w:rPr>
                <w:sz w:val="18"/>
              </w:rPr>
              <w:t>1989</w:t>
            </w:r>
            <w:r>
              <w:rPr>
                <w:spacing w:val="-2"/>
                <w:sz w:val="18"/>
              </w:rPr>
              <w:t> </w:t>
            </w:r>
            <w:r>
              <w:rPr>
                <w:spacing w:val="-4"/>
                <w:sz w:val="18"/>
              </w:rPr>
              <w:t>2011</w:t>
            </w:r>
          </w:p>
        </w:tc>
      </w:tr>
      <w:tr>
        <w:trPr>
          <w:trHeight w:val="203" w:hRule="atLeast"/>
        </w:trPr>
        <w:tc>
          <w:tcPr>
            <w:tcW w:w="6487" w:type="dxa"/>
            <w:gridSpan w:val="5"/>
            <w:tcBorders>
              <w:bottom w:val="double" w:sz="6" w:space="0" w:color="000000"/>
            </w:tcBorders>
          </w:tcPr>
          <w:p>
            <w:pPr>
              <w:pStyle w:val="TableParagraph"/>
              <w:spacing w:line="184" w:lineRule="exact"/>
              <w:ind w:left="36"/>
              <w:rPr>
                <w:sz w:val="18"/>
              </w:rPr>
            </w:pPr>
            <w:r>
              <w:rPr>
                <w:sz w:val="18"/>
              </w:rPr>
              <w:t>Included</w:t>
            </w:r>
            <w:r>
              <w:rPr>
                <w:spacing w:val="-1"/>
                <w:sz w:val="18"/>
              </w:rPr>
              <w:t> </w:t>
            </w:r>
            <w:r>
              <w:rPr>
                <w:sz w:val="18"/>
              </w:rPr>
              <w:t>observations:</w:t>
            </w:r>
            <w:r>
              <w:rPr>
                <w:spacing w:val="-3"/>
                <w:sz w:val="18"/>
              </w:rPr>
              <w:t> </w:t>
            </w:r>
            <w:r>
              <w:rPr>
                <w:sz w:val="18"/>
              </w:rPr>
              <w:t>23</w:t>
            </w:r>
            <w:r>
              <w:rPr>
                <w:spacing w:val="-1"/>
                <w:sz w:val="18"/>
              </w:rPr>
              <w:t> </w:t>
            </w:r>
            <w:r>
              <w:rPr>
                <w:sz w:val="18"/>
              </w:rPr>
              <w:t>after</w:t>
            </w:r>
            <w:r>
              <w:rPr>
                <w:spacing w:val="-1"/>
                <w:sz w:val="18"/>
              </w:rPr>
              <w:t> </w:t>
            </w:r>
            <w:r>
              <w:rPr>
                <w:sz w:val="18"/>
              </w:rPr>
              <w:t>adjusting</w:t>
            </w:r>
            <w:r>
              <w:rPr>
                <w:spacing w:val="-2"/>
                <w:sz w:val="18"/>
              </w:rPr>
              <w:t> endpoints</w:t>
            </w:r>
          </w:p>
        </w:tc>
      </w:tr>
      <w:tr>
        <w:trPr>
          <w:trHeight w:val="246" w:hRule="atLeast"/>
        </w:trPr>
        <w:tc>
          <w:tcPr>
            <w:tcW w:w="1879" w:type="dxa"/>
            <w:tcBorders>
              <w:top w:val="double" w:sz="6" w:space="0" w:color="000000"/>
              <w:bottom w:val="double" w:sz="6" w:space="0" w:color="000000"/>
            </w:tcBorders>
          </w:tcPr>
          <w:p>
            <w:pPr>
              <w:pStyle w:val="TableParagraph"/>
              <w:spacing w:line="186" w:lineRule="exact" w:before="40"/>
              <w:ind w:left="713"/>
              <w:rPr>
                <w:sz w:val="18"/>
              </w:rPr>
            </w:pPr>
            <w:r>
              <w:rPr>
                <w:spacing w:val="-2"/>
                <w:sz w:val="18"/>
              </w:rPr>
              <w:t>Variable</w:t>
            </w:r>
          </w:p>
        </w:tc>
        <w:tc>
          <w:tcPr>
            <w:tcW w:w="1332" w:type="dxa"/>
            <w:tcBorders>
              <w:top w:val="double" w:sz="6" w:space="0" w:color="000000"/>
              <w:bottom w:val="double" w:sz="6" w:space="0" w:color="000000"/>
            </w:tcBorders>
          </w:tcPr>
          <w:p>
            <w:pPr>
              <w:pStyle w:val="TableParagraph"/>
              <w:spacing w:line="186" w:lineRule="exact" w:before="40"/>
              <w:ind w:right="118"/>
              <w:jc w:val="right"/>
              <w:rPr>
                <w:sz w:val="18"/>
              </w:rPr>
            </w:pPr>
            <w:r>
              <w:rPr>
                <w:spacing w:val="-2"/>
                <w:sz w:val="18"/>
              </w:rPr>
              <w:t>Coefficient</w:t>
            </w:r>
          </w:p>
        </w:tc>
        <w:tc>
          <w:tcPr>
            <w:tcW w:w="1521" w:type="dxa"/>
            <w:tcBorders>
              <w:top w:val="double" w:sz="6" w:space="0" w:color="000000"/>
              <w:bottom w:val="double" w:sz="6" w:space="0" w:color="000000"/>
            </w:tcBorders>
          </w:tcPr>
          <w:p>
            <w:pPr>
              <w:pStyle w:val="TableParagraph"/>
              <w:spacing w:line="186" w:lineRule="exact" w:before="40"/>
              <w:ind w:left="363"/>
              <w:rPr>
                <w:sz w:val="18"/>
              </w:rPr>
            </w:pPr>
            <w:r>
              <w:rPr>
                <w:sz w:val="18"/>
              </w:rPr>
              <w:t>Std.</w:t>
            </w:r>
            <w:r>
              <w:rPr>
                <w:spacing w:val="-1"/>
                <w:sz w:val="18"/>
              </w:rPr>
              <w:t> </w:t>
            </w:r>
            <w:r>
              <w:rPr>
                <w:spacing w:val="-4"/>
                <w:sz w:val="18"/>
              </w:rPr>
              <w:t>Error</w:t>
            </w:r>
          </w:p>
        </w:tc>
        <w:tc>
          <w:tcPr>
            <w:tcW w:w="898" w:type="dxa"/>
            <w:tcBorders>
              <w:top w:val="double" w:sz="6" w:space="0" w:color="000000"/>
              <w:bottom w:val="double" w:sz="6" w:space="0" w:color="000000"/>
            </w:tcBorders>
          </w:tcPr>
          <w:p>
            <w:pPr>
              <w:pStyle w:val="TableParagraph"/>
              <w:spacing w:line="186" w:lineRule="exact" w:before="40"/>
              <w:ind w:right="147"/>
              <w:jc w:val="right"/>
              <w:rPr>
                <w:sz w:val="18"/>
              </w:rPr>
            </w:pPr>
            <w:r>
              <w:rPr>
                <w:sz w:val="18"/>
              </w:rPr>
              <w:t>t-</w:t>
            </w:r>
            <w:r>
              <w:rPr>
                <w:spacing w:val="-2"/>
                <w:sz w:val="18"/>
              </w:rPr>
              <w:t>Statistic</w:t>
            </w:r>
          </w:p>
        </w:tc>
        <w:tc>
          <w:tcPr>
            <w:tcW w:w="857" w:type="dxa"/>
            <w:tcBorders>
              <w:top w:val="double" w:sz="6" w:space="0" w:color="000000"/>
              <w:bottom w:val="double" w:sz="6" w:space="0" w:color="000000"/>
            </w:tcBorders>
          </w:tcPr>
          <w:p>
            <w:pPr>
              <w:pStyle w:val="TableParagraph"/>
              <w:spacing w:line="186" w:lineRule="exact" w:before="40"/>
              <w:ind w:left="-3" w:right="28"/>
              <w:jc w:val="right"/>
              <w:rPr>
                <w:sz w:val="18"/>
              </w:rPr>
            </w:pPr>
            <w:r>
              <w:rPr>
                <w:spacing w:val="-2"/>
                <w:sz w:val="18"/>
              </w:rPr>
              <w:t>Prob.</w:t>
            </w:r>
          </w:p>
        </w:tc>
      </w:tr>
      <w:tr>
        <w:trPr>
          <w:trHeight w:val="252" w:hRule="atLeast"/>
        </w:trPr>
        <w:tc>
          <w:tcPr>
            <w:tcW w:w="1879" w:type="dxa"/>
            <w:tcBorders>
              <w:top w:val="double" w:sz="6" w:space="0" w:color="000000"/>
            </w:tcBorders>
          </w:tcPr>
          <w:p>
            <w:pPr>
              <w:pStyle w:val="TableParagraph"/>
              <w:spacing w:line="191" w:lineRule="exact" w:before="42"/>
              <w:ind w:left="478"/>
              <w:rPr>
                <w:sz w:val="18"/>
              </w:rPr>
            </w:pPr>
            <w:r>
              <w:rPr>
                <w:spacing w:val="-2"/>
                <w:sz w:val="18"/>
              </w:rPr>
              <w:t>EXTDEBT(-</w:t>
            </w:r>
            <w:r>
              <w:rPr>
                <w:spacing w:val="-5"/>
                <w:sz w:val="18"/>
              </w:rPr>
              <w:t>1)</w:t>
            </w:r>
          </w:p>
        </w:tc>
        <w:tc>
          <w:tcPr>
            <w:tcW w:w="1332" w:type="dxa"/>
            <w:tcBorders>
              <w:top w:val="double" w:sz="6" w:space="0" w:color="000000"/>
            </w:tcBorders>
          </w:tcPr>
          <w:p>
            <w:pPr>
              <w:pStyle w:val="TableParagraph"/>
              <w:spacing w:line="191" w:lineRule="exact" w:before="42"/>
              <w:ind w:right="116"/>
              <w:jc w:val="right"/>
              <w:rPr>
                <w:sz w:val="18"/>
              </w:rPr>
            </w:pPr>
            <w:r>
              <w:rPr>
                <w:sz w:val="18"/>
              </w:rPr>
              <w:t>-</w:t>
            </w:r>
            <w:r>
              <w:rPr>
                <w:spacing w:val="-2"/>
                <w:sz w:val="18"/>
              </w:rPr>
              <w:t>1.034406</w:t>
            </w:r>
          </w:p>
        </w:tc>
        <w:tc>
          <w:tcPr>
            <w:tcW w:w="1521" w:type="dxa"/>
            <w:tcBorders>
              <w:top w:val="double" w:sz="6" w:space="0" w:color="000000"/>
            </w:tcBorders>
          </w:tcPr>
          <w:p>
            <w:pPr>
              <w:pStyle w:val="TableParagraph"/>
              <w:spacing w:line="191" w:lineRule="exact" w:before="42"/>
              <w:ind w:left="399"/>
              <w:rPr>
                <w:sz w:val="18"/>
              </w:rPr>
            </w:pPr>
            <w:r>
              <w:rPr>
                <w:spacing w:val="-2"/>
                <w:sz w:val="18"/>
              </w:rPr>
              <w:t>0.278351</w:t>
            </w:r>
          </w:p>
        </w:tc>
        <w:tc>
          <w:tcPr>
            <w:tcW w:w="898" w:type="dxa"/>
            <w:tcBorders>
              <w:top w:val="double" w:sz="6" w:space="0" w:color="000000"/>
            </w:tcBorders>
          </w:tcPr>
          <w:p>
            <w:pPr>
              <w:pStyle w:val="TableParagraph"/>
              <w:spacing w:line="191" w:lineRule="exact" w:before="42"/>
              <w:ind w:right="149"/>
              <w:jc w:val="right"/>
              <w:rPr>
                <w:sz w:val="18"/>
              </w:rPr>
            </w:pPr>
            <w:r>
              <w:rPr>
                <w:sz w:val="18"/>
              </w:rPr>
              <w:t>-</w:t>
            </w:r>
            <w:r>
              <w:rPr>
                <w:spacing w:val="-2"/>
                <w:sz w:val="18"/>
              </w:rPr>
              <w:t>3.716193</w:t>
            </w:r>
          </w:p>
        </w:tc>
        <w:tc>
          <w:tcPr>
            <w:tcW w:w="857" w:type="dxa"/>
            <w:tcBorders>
              <w:top w:val="double" w:sz="6" w:space="0" w:color="000000"/>
            </w:tcBorders>
          </w:tcPr>
          <w:p>
            <w:pPr>
              <w:pStyle w:val="TableParagraph"/>
              <w:spacing w:line="191" w:lineRule="exact" w:before="42"/>
              <w:ind w:left="-3" w:right="28"/>
              <w:jc w:val="right"/>
              <w:rPr>
                <w:sz w:val="18"/>
              </w:rPr>
            </w:pPr>
            <w:r>
              <w:rPr>
                <w:spacing w:val="-2"/>
                <w:sz w:val="18"/>
              </w:rPr>
              <w:t>0.0014</w:t>
            </w:r>
          </w:p>
        </w:tc>
      </w:tr>
      <w:tr>
        <w:trPr>
          <w:trHeight w:val="206" w:hRule="atLeast"/>
        </w:trPr>
        <w:tc>
          <w:tcPr>
            <w:tcW w:w="1879" w:type="dxa"/>
          </w:tcPr>
          <w:p>
            <w:pPr>
              <w:pStyle w:val="TableParagraph"/>
              <w:spacing w:line="186" w:lineRule="exact"/>
              <w:ind w:left="353"/>
              <w:rPr>
                <w:sz w:val="18"/>
              </w:rPr>
            </w:pPr>
            <w:r>
              <w:rPr>
                <w:spacing w:val="-2"/>
                <w:sz w:val="18"/>
              </w:rPr>
              <w:t>D(EXTDEBT(-</w:t>
            </w:r>
            <w:r>
              <w:rPr>
                <w:spacing w:val="-5"/>
                <w:sz w:val="18"/>
              </w:rPr>
              <w:t>1))</w:t>
            </w:r>
          </w:p>
        </w:tc>
        <w:tc>
          <w:tcPr>
            <w:tcW w:w="1332" w:type="dxa"/>
          </w:tcPr>
          <w:p>
            <w:pPr>
              <w:pStyle w:val="TableParagraph"/>
              <w:spacing w:line="186" w:lineRule="exact"/>
              <w:ind w:right="116"/>
              <w:jc w:val="right"/>
              <w:rPr>
                <w:sz w:val="18"/>
              </w:rPr>
            </w:pPr>
            <w:r>
              <w:rPr>
                <w:spacing w:val="-2"/>
                <w:sz w:val="18"/>
              </w:rPr>
              <w:t>0.202889</w:t>
            </w:r>
          </w:p>
        </w:tc>
        <w:tc>
          <w:tcPr>
            <w:tcW w:w="1521" w:type="dxa"/>
          </w:tcPr>
          <w:p>
            <w:pPr>
              <w:pStyle w:val="TableParagraph"/>
              <w:spacing w:line="186" w:lineRule="exact"/>
              <w:ind w:left="399"/>
              <w:rPr>
                <w:sz w:val="18"/>
              </w:rPr>
            </w:pPr>
            <w:r>
              <w:rPr>
                <w:spacing w:val="-2"/>
                <w:sz w:val="18"/>
              </w:rPr>
              <w:t>0.214133</w:t>
            </w:r>
          </w:p>
        </w:tc>
        <w:tc>
          <w:tcPr>
            <w:tcW w:w="898" w:type="dxa"/>
          </w:tcPr>
          <w:p>
            <w:pPr>
              <w:pStyle w:val="TableParagraph"/>
              <w:spacing w:line="186" w:lineRule="exact"/>
              <w:ind w:right="149"/>
              <w:jc w:val="right"/>
              <w:rPr>
                <w:sz w:val="18"/>
              </w:rPr>
            </w:pPr>
            <w:r>
              <w:rPr>
                <w:spacing w:val="-2"/>
                <w:sz w:val="18"/>
              </w:rPr>
              <w:t>0.947490</w:t>
            </w:r>
          </w:p>
        </w:tc>
        <w:tc>
          <w:tcPr>
            <w:tcW w:w="857" w:type="dxa"/>
          </w:tcPr>
          <w:p>
            <w:pPr>
              <w:pStyle w:val="TableParagraph"/>
              <w:spacing w:line="186" w:lineRule="exact"/>
              <w:ind w:left="-3" w:right="28"/>
              <w:jc w:val="right"/>
              <w:rPr>
                <w:sz w:val="18"/>
              </w:rPr>
            </w:pPr>
            <w:r>
              <w:rPr>
                <w:spacing w:val="-2"/>
                <w:sz w:val="18"/>
              </w:rPr>
              <w:t>0.3547</w:t>
            </w:r>
          </w:p>
        </w:tc>
      </w:tr>
      <w:tr>
        <w:trPr>
          <w:trHeight w:val="201" w:hRule="atLeast"/>
        </w:trPr>
        <w:tc>
          <w:tcPr>
            <w:tcW w:w="1879" w:type="dxa"/>
            <w:tcBorders>
              <w:bottom w:val="double" w:sz="6" w:space="0" w:color="000000"/>
            </w:tcBorders>
          </w:tcPr>
          <w:p>
            <w:pPr>
              <w:pStyle w:val="TableParagraph"/>
              <w:spacing w:line="181" w:lineRule="exact"/>
              <w:ind w:left="166"/>
              <w:jc w:val="center"/>
              <w:rPr>
                <w:sz w:val="18"/>
              </w:rPr>
            </w:pPr>
            <w:r>
              <w:rPr>
                <w:spacing w:val="-10"/>
                <w:sz w:val="18"/>
              </w:rPr>
              <w:t>C</w:t>
            </w:r>
          </w:p>
        </w:tc>
        <w:tc>
          <w:tcPr>
            <w:tcW w:w="1332" w:type="dxa"/>
            <w:tcBorders>
              <w:bottom w:val="double" w:sz="6" w:space="0" w:color="000000"/>
            </w:tcBorders>
          </w:tcPr>
          <w:p>
            <w:pPr>
              <w:pStyle w:val="TableParagraph"/>
              <w:spacing w:line="181" w:lineRule="exact"/>
              <w:ind w:right="116"/>
              <w:jc w:val="right"/>
              <w:rPr>
                <w:sz w:val="18"/>
              </w:rPr>
            </w:pPr>
            <w:r>
              <w:rPr>
                <w:spacing w:val="-2"/>
                <w:sz w:val="18"/>
              </w:rPr>
              <w:t>12.49269</w:t>
            </w:r>
          </w:p>
        </w:tc>
        <w:tc>
          <w:tcPr>
            <w:tcW w:w="1521" w:type="dxa"/>
            <w:tcBorders>
              <w:bottom w:val="double" w:sz="6" w:space="0" w:color="000000"/>
            </w:tcBorders>
          </w:tcPr>
          <w:p>
            <w:pPr>
              <w:pStyle w:val="TableParagraph"/>
              <w:spacing w:line="181" w:lineRule="exact"/>
              <w:ind w:left="399"/>
              <w:rPr>
                <w:sz w:val="18"/>
              </w:rPr>
            </w:pPr>
            <w:r>
              <w:rPr>
                <w:spacing w:val="-2"/>
                <w:sz w:val="18"/>
              </w:rPr>
              <w:t>3.358977</w:t>
            </w:r>
          </w:p>
        </w:tc>
        <w:tc>
          <w:tcPr>
            <w:tcW w:w="898" w:type="dxa"/>
            <w:tcBorders>
              <w:bottom w:val="double" w:sz="6" w:space="0" w:color="000000"/>
            </w:tcBorders>
          </w:tcPr>
          <w:p>
            <w:pPr>
              <w:pStyle w:val="TableParagraph"/>
              <w:spacing w:line="181" w:lineRule="exact"/>
              <w:ind w:right="149"/>
              <w:jc w:val="right"/>
              <w:rPr>
                <w:sz w:val="18"/>
              </w:rPr>
            </w:pPr>
            <w:r>
              <w:rPr>
                <w:spacing w:val="-2"/>
                <w:sz w:val="18"/>
              </w:rPr>
              <w:t>3.719195</w:t>
            </w:r>
          </w:p>
        </w:tc>
        <w:tc>
          <w:tcPr>
            <w:tcW w:w="857" w:type="dxa"/>
            <w:tcBorders>
              <w:bottom w:val="double" w:sz="6" w:space="0" w:color="000000"/>
            </w:tcBorders>
          </w:tcPr>
          <w:p>
            <w:pPr>
              <w:pStyle w:val="TableParagraph"/>
              <w:spacing w:line="181" w:lineRule="exact"/>
              <w:ind w:left="-3" w:right="28"/>
              <w:jc w:val="right"/>
              <w:rPr>
                <w:sz w:val="18"/>
              </w:rPr>
            </w:pPr>
            <w:r>
              <w:rPr>
                <w:spacing w:val="-2"/>
                <w:sz w:val="18"/>
              </w:rPr>
              <w:t>0.0014</w:t>
            </w:r>
          </w:p>
        </w:tc>
      </w:tr>
      <w:tr>
        <w:trPr>
          <w:trHeight w:val="252" w:hRule="atLeast"/>
        </w:trPr>
        <w:tc>
          <w:tcPr>
            <w:tcW w:w="1879" w:type="dxa"/>
            <w:tcBorders>
              <w:top w:val="double" w:sz="6" w:space="0" w:color="000000"/>
            </w:tcBorders>
          </w:tcPr>
          <w:p>
            <w:pPr>
              <w:pStyle w:val="TableParagraph"/>
              <w:spacing w:line="191" w:lineRule="exact" w:before="42"/>
              <w:ind w:left="36"/>
              <w:rPr>
                <w:sz w:val="18"/>
              </w:rPr>
            </w:pPr>
            <w:r>
              <w:rPr>
                <w:spacing w:val="-2"/>
                <w:sz w:val="18"/>
              </w:rPr>
              <w:t>R-squared</w:t>
            </w:r>
          </w:p>
        </w:tc>
        <w:tc>
          <w:tcPr>
            <w:tcW w:w="1332" w:type="dxa"/>
            <w:tcBorders>
              <w:top w:val="double" w:sz="6" w:space="0" w:color="000000"/>
            </w:tcBorders>
          </w:tcPr>
          <w:p>
            <w:pPr>
              <w:pStyle w:val="TableParagraph"/>
              <w:spacing w:line="191" w:lineRule="exact" w:before="42"/>
              <w:ind w:right="116"/>
              <w:jc w:val="right"/>
              <w:rPr>
                <w:sz w:val="18"/>
              </w:rPr>
            </w:pPr>
            <w:r>
              <w:rPr>
                <w:spacing w:val="-2"/>
                <w:sz w:val="18"/>
              </w:rPr>
              <w:t>0.465630</w:t>
            </w:r>
          </w:p>
        </w:tc>
        <w:tc>
          <w:tcPr>
            <w:tcW w:w="2419" w:type="dxa"/>
            <w:gridSpan w:val="2"/>
            <w:tcBorders>
              <w:top w:val="double" w:sz="6" w:space="0" w:color="000000"/>
            </w:tcBorders>
          </w:tcPr>
          <w:p>
            <w:pPr>
              <w:pStyle w:val="TableParagraph"/>
              <w:spacing w:line="191" w:lineRule="exact" w:before="42"/>
              <w:ind w:left="123"/>
              <w:rPr>
                <w:sz w:val="18"/>
              </w:rPr>
            </w:pPr>
            <w:r>
              <w:rPr>
                <w:sz w:val="18"/>
              </w:rPr>
              <w:t>Mean</w:t>
            </w:r>
            <w:r>
              <w:rPr>
                <w:spacing w:val="-5"/>
                <w:sz w:val="18"/>
              </w:rPr>
              <w:t> </w:t>
            </w:r>
            <w:r>
              <w:rPr>
                <w:sz w:val="18"/>
              </w:rPr>
              <w:t>dependent</w:t>
            </w:r>
            <w:r>
              <w:rPr>
                <w:spacing w:val="-1"/>
                <w:sz w:val="18"/>
              </w:rPr>
              <w:t> </w:t>
            </w:r>
            <w:r>
              <w:rPr>
                <w:spacing w:val="-5"/>
                <w:sz w:val="18"/>
              </w:rPr>
              <w:t>var</w:t>
            </w:r>
          </w:p>
        </w:tc>
        <w:tc>
          <w:tcPr>
            <w:tcW w:w="857" w:type="dxa"/>
            <w:tcBorders>
              <w:top w:val="double" w:sz="6" w:space="0" w:color="000000"/>
            </w:tcBorders>
          </w:tcPr>
          <w:p>
            <w:pPr>
              <w:pStyle w:val="TableParagraph"/>
              <w:spacing w:line="191" w:lineRule="exact" w:before="42"/>
              <w:ind w:left="-3" w:right="27"/>
              <w:jc w:val="right"/>
              <w:rPr>
                <w:sz w:val="18"/>
              </w:rPr>
            </w:pPr>
            <w:r>
              <w:rPr>
                <w:spacing w:val="-2"/>
                <w:sz w:val="18"/>
              </w:rPr>
              <w:t>0.079613</w:t>
            </w:r>
          </w:p>
        </w:tc>
      </w:tr>
      <w:tr>
        <w:trPr>
          <w:trHeight w:val="206" w:hRule="atLeast"/>
        </w:trPr>
        <w:tc>
          <w:tcPr>
            <w:tcW w:w="1879" w:type="dxa"/>
          </w:tcPr>
          <w:p>
            <w:pPr>
              <w:pStyle w:val="TableParagraph"/>
              <w:spacing w:line="186" w:lineRule="exact"/>
              <w:ind w:left="36"/>
              <w:rPr>
                <w:sz w:val="18"/>
              </w:rPr>
            </w:pPr>
            <w:r>
              <w:rPr>
                <w:sz w:val="18"/>
              </w:rPr>
              <w:t>Adjusted</w:t>
            </w:r>
            <w:r>
              <w:rPr>
                <w:spacing w:val="-1"/>
                <w:sz w:val="18"/>
              </w:rPr>
              <w:t> </w:t>
            </w:r>
            <w:r>
              <w:rPr>
                <w:sz w:val="18"/>
              </w:rPr>
              <w:t>R-</w:t>
            </w:r>
            <w:r>
              <w:rPr>
                <w:spacing w:val="-2"/>
                <w:sz w:val="18"/>
              </w:rPr>
              <w:t>squared</w:t>
            </w:r>
          </w:p>
        </w:tc>
        <w:tc>
          <w:tcPr>
            <w:tcW w:w="1332" w:type="dxa"/>
          </w:tcPr>
          <w:p>
            <w:pPr>
              <w:pStyle w:val="TableParagraph"/>
              <w:spacing w:line="186" w:lineRule="exact"/>
              <w:ind w:right="116"/>
              <w:jc w:val="right"/>
              <w:rPr>
                <w:sz w:val="18"/>
              </w:rPr>
            </w:pPr>
            <w:r>
              <w:rPr>
                <w:spacing w:val="-2"/>
                <w:sz w:val="18"/>
              </w:rPr>
              <w:t>0.412193</w:t>
            </w:r>
          </w:p>
        </w:tc>
        <w:tc>
          <w:tcPr>
            <w:tcW w:w="1521" w:type="dxa"/>
          </w:tcPr>
          <w:p>
            <w:pPr>
              <w:pStyle w:val="TableParagraph"/>
              <w:spacing w:line="186" w:lineRule="exact"/>
              <w:ind w:left="123"/>
              <w:rPr>
                <w:sz w:val="18"/>
              </w:rPr>
            </w:pPr>
            <w:r>
              <w:rPr>
                <w:sz w:val="18"/>
              </w:rPr>
              <w:t>S.D.</w:t>
            </w:r>
            <w:r>
              <w:rPr>
                <w:spacing w:val="-5"/>
                <w:sz w:val="18"/>
              </w:rPr>
              <w:t> </w:t>
            </w:r>
            <w:r>
              <w:rPr>
                <w:sz w:val="18"/>
              </w:rPr>
              <w:t>dependent</w:t>
            </w:r>
            <w:r>
              <w:rPr>
                <w:spacing w:val="-3"/>
                <w:sz w:val="18"/>
              </w:rPr>
              <w:t> </w:t>
            </w:r>
            <w:r>
              <w:rPr>
                <w:spacing w:val="-5"/>
                <w:sz w:val="18"/>
              </w:rPr>
              <w:t>var</w:t>
            </w:r>
          </w:p>
        </w:tc>
        <w:tc>
          <w:tcPr>
            <w:tcW w:w="898" w:type="dxa"/>
          </w:tcPr>
          <w:p>
            <w:pPr>
              <w:pStyle w:val="TableParagraph"/>
              <w:rPr>
                <w:sz w:val="14"/>
              </w:rPr>
            </w:pPr>
          </w:p>
        </w:tc>
        <w:tc>
          <w:tcPr>
            <w:tcW w:w="857" w:type="dxa"/>
          </w:tcPr>
          <w:p>
            <w:pPr>
              <w:pStyle w:val="TableParagraph"/>
              <w:spacing w:line="186" w:lineRule="exact"/>
              <w:ind w:left="-3" w:right="27"/>
              <w:jc w:val="right"/>
              <w:rPr>
                <w:sz w:val="18"/>
              </w:rPr>
            </w:pPr>
            <w:r>
              <w:rPr>
                <w:spacing w:val="-2"/>
                <w:sz w:val="18"/>
              </w:rPr>
              <w:t>2.322606</w:t>
            </w:r>
          </w:p>
        </w:tc>
      </w:tr>
      <w:tr>
        <w:trPr>
          <w:trHeight w:val="206" w:hRule="atLeast"/>
        </w:trPr>
        <w:tc>
          <w:tcPr>
            <w:tcW w:w="1879" w:type="dxa"/>
          </w:tcPr>
          <w:p>
            <w:pPr>
              <w:pStyle w:val="TableParagraph"/>
              <w:spacing w:line="186" w:lineRule="exact"/>
              <w:ind w:left="36"/>
              <w:rPr>
                <w:sz w:val="18"/>
              </w:rPr>
            </w:pPr>
            <w:r>
              <w:rPr>
                <w:sz w:val="18"/>
              </w:rPr>
              <w:t>S.E.</w:t>
            </w:r>
            <w:r>
              <w:rPr>
                <w:spacing w:val="-3"/>
                <w:sz w:val="18"/>
              </w:rPr>
              <w:t> </w:t>
            </w:r>
            <w:r>
              <w:rPr>
                <w:sz w:val="18"/>
              </w:rPr>
              <w:t>of</w:t>
            </w:r>
            <w:r>
              <w:rPr>
                <w:spacing w:val="-1"/>
                <w:sz w:val="18"/>
              </w:rPr>
              <w:t> </w:t>
            </w:r>
            <w:r>
              <w:rPr>
                <w:spacing w:val="-2"/>
                <w:sz w:val="18"/>
              </w:rPr>
              <w:t>regression</w:t>
            </w:r>
          </w:p>
        </w:tc>
        <w:tc>
          <w:tcPr>
            <w:tcW w:w="1332" w:type="dxa"/>
          </w:tcPr>
          <w:p>
            <w:pPr>
              <w:pStyle w:val="TableParagraph"/>
              <w:spacing w:line="186" w:lineRule="exact"/>
              <w:ind w:right="116"/>
              <w:jc w:val="right"/>
              <w:rPr>
                <w:sz w:val="18"/>
              </w:rPr>
            </w:pPr>
            <w:r>
              <w:rPr>
                <w:spacing w:val="-2"/>
                <w:sz w:val="18"/>
              </w:rPr>
              <w:t>1.780708</w:t>
            </w:r>
          </w:p>
        </w:tc>
        <w:tc>
          <w:tcPr>
            <w:tcW w:w="2419" w:type="dxa"/>
            <w:gridSpan w:val="2"/>
          </w:tcPr>
          <w:p>
            <w:pPr>
              <w:pStyle w:val="TableParagraph"/>
              <w:spacing w:line="186" w:lineRule="exact"/>
              <w:ind w:left="123"/>
              <w:rPr>
                <w:sz w:val="18"/>
              </w:rPr>
            </w:pPr>
            <w:r>
              <w:rPr>
                <w:sz w:val="18"/>
              </w:rPr>
              <w:t>Akaike</w:t>
            </w:r>
            <w:r>
              <w:rPr>
                <w:spacing w:val="-5"/>
                <w:sz w:val="18"/>
              </w:rPr>
              <w:t> </w:t>
            </w:r>
            <w:r>
              <w:rPr>
                <w:sz w:val="18"/>
              </w:rPr>
              <w:t>info</w:t>
            </w:r>
            <w:r>
              <w:rPr>
                <w:spacing w:val="-2"/>
                <w:sz w:val="18"/>
              </w:rPr>
              <w:t> criterion</w:t>
            </w:r>
          </w:p>
        </w:tc>
        <w:tc>
          <w:tcPr>
            <w:tcW w:w="857" w:type="dxa"/>
          </w:tcPr>
          <w:p>
            <w:pPr>
              <w:pStyle w:val="TableParagraph"/>
              <w:spacing w:line="186" w:lineRule="exact"/>
              <w:ind w:left="-3" w:right="27"/>
              <w:jc w:val="right"/>
              <w:rPr>
                <w:sz w:val="18"/>
              </w:rPr>
            </w:pPr>
            <w:r>
              <w:rPr>
                <w:spacing w:val="-2"/>
                <w:sz w:val="18"/>
              </w:rPr>
              <w:t>4.113007</w:t>
            </w:r>
          </w:p>
        </w:tc>
      </w:tr>
      <w:tr>
        <w:trPr>
          <w:trHeight w:val="207" w:hRule="atLeast"/>
        </w:trPr>
        <w:tc>
          <w:tcPr>
            <w:tcW w:w="1879" w:type="dxa"/>
          </w:tcPr>
          <w:p>
            <w:pPr>
              <w:pStyle w:val="TableParagraph"/>
              <w:spacing w:line="188" w:lineRule="exact"/>
              <w:ind w:left="36"/>
              <w:rPr>
                <w:sz w:val="18"/>
              </w:rPr>
            </w:pPr>
            <w:r>
              <w:rPr>
                <w:sz w:val="18"/>
              </w:rPr>
              <w:t>Sum</w:t>
            </w:r>
            <w:r>
              <w:rPr>
                <w:spacing w:val="-3"/>
                <w:sz w:val="18"/>
              </w:rPr>
              <w:t> </w:t>
            </w:r>
            <w:r>
              <w:rPr>
                <w:sz w:val="18"/>
              </w:rPr>
              <w:t>squared</w:t>
            </w:r>
            <w:r>
              <w:rPr>
                <w:spacing w:val="1"/>
                <w:sz w:val="18"/>
              </w:rPr>
              <w:t> </w:t>
            </w:r>
            <w:r>
              <w:rPr>
                <w:spacing w:val="-2"/>
                <w:sz w:val="18"/>
              </w:rPr>
              <w:t>resid</w:t>
            </w:r>
          </w:p>
        </w:tc>
        <w:tc>
          <w:tcPr>
            <w:tcW w:w="1332" w:type="dxa"/>
          </w:tcPr>
          <w:p>
            <w:pPr>
              <w:pStyle w:val="TableParagraph"/>
              <w:spacing w:line="188" w:lineRule="exact"/>
              <w:ind w:right="116"/>
              <w:jc w:val="right"/>
              <w:rPr>
                <w:sz w:val="18"/>
              </w:rPr>
            </w:pPr>
            <w:r>
              <w:rPr>
                <w:spacing w:val="-2"/>
                <w:sz w:val="18"/>
              </w:rPr>
              <w:t>63.41845</w:t>
            </w:r>
          </w:p>
        </w:tc>
        <w:tc>
          <w:tcPr>
            <w:tcW w:w="1521" w:type="dxa"/>
          </w:tcPr>
          <w:p>
            <w:pPr>
              <w:pStyle w:val="TableParagraph"/>
              <w:spacing w:line="188" w:lineRule="exact"/>
              <w:ind w:left="123"/>
              <w:rPr>
                <w:sz w:val="18"/>
              </w:rPr>
            </w:pPr>
            <w:r>
              <w:rPr>
                <w:sz w:val="18"/>
              </w:rPr>
              <w:t>Schwarz</w:t>
            </w:r>
            <w:r>
              <w:rPr>
                <w:spacing w:val="-7"/>
                <w:sz w:val="18"/>
              </w:rPr>
              <w:t> </w:t>
            </w:r>
            <w:r>
              <w:rPr>
                <w:spacing w:val="-2"/>
                <w:sz w:val="18"/>
              </w:rPr>
              <w:t>criterion</w:t>
            </w:r>
          </w:p>
        </w:tc>
        <w:tc>
          <w:tcPr>
            <w:tcW w:w="898" w:type="dxa"/>
          </w:tcPr>
          <w:p>
            <w:pPr>
              <w:pStyle w:val="TableParagraph"/>
              <w:rPr>
                <w:sz w:val="14"/>
              </w:rPr>
            </w:pPr>
          </w:p>
        </w:tc>
        <w:tc>
          <w:tcPr>
            <w:tcW w:w="857" w:type="dxa"/>
          </w:tcPr>
          <w:p>
            <w:pPr>
              <w:pStyle w:val="TableParagraph"/>
              <w:spacing w:line="188" w:lineRule="exact"/>
              <w:ind w:left="-3" w:right="27"/>
              <w:jc w:val="right"/>
              <w:rPr>
                <w:sz w:val="18"/>
              </w:rPr>
            </w:pPr>
            <w:r>
              <w:rPr>
                <w:spacing w:val="-2"/>
                <w:sz w:val="18"/>
              </w:rPr>
              <w:t>4.261115</w:t>
            </w:r>
          </w:p>
        </w:tc>
      </w:tr>
      <w:tr>
        <w:trPr>
          <w:trHeight w:val="207" w:hRule="atLeast"/>
        </w:trPr>
        <w:tc>
          <w:tcPr>
            <w:tcW w:w="1879" w:type="dxa"/>
          </w:tcPr>
          <w:p>
            <w:pPr>
              <w:pStyle w:val="TableParagraph"/>
              <w:spacing w:line="188" w:lineRule="exact"/>
              <w:ind w:left="36"/>
              <w:rPr>
                <w:sz w:val="18"/>
              </w:rPr>
            </w:pPr>
            <w:r>
              <w:rPr>
                <w:sz w:val="18"/>
              </w:rPr>
              <w:t>Log</w:t>
            </w:r>
            <w:r>
              <w:rPr>
                <w:spacing w:val="-2"/>
                <w:sz w:val="18"/>
              </w:rPr>
              <w:t> likelihood</w:t>
            </w:r>
          </w:p>
        </w:tc>
        <w:tc>
          <w:tcPr>
            <w:tcW w:w="1332" w:type="dxa"/>
          </w:tcPr>
          <w:p>
            <w:pPr>
              <w:pStyle w:val="TableParagraph"/>
              <w:spacing w:line="188" w:lineRule="exact"/>
              <w:ind w:right="116"/>
              <w:jc w:val="right"/>
              <w:rPr>
                <w:sz w:val="18"/>
              </w:rPr>
            </w:pPr>
            <w:r>
              <w:rPr>
                <w:sz w:val="18"/>
              </w:rPr>
              <w:t>-</w:t>
            </w:r>
            <w:r>
              <w:rPr>
                <w:spacing w:val="-2"/>
                <w:sz w:val="18"/>
              </w:rPr>
              <w:t>44.29958</w:t>
            </w:r>
          </w:p>
        </w:tc>
        <w:tc>
          <w:tcPr>
            <w:tcW w:w="1521" w:type="dxa"/>
          </w:tcPr>
          <w:p>
            <w:pPr>
              <w:pStyle w:val="TableParagraph"/>
              <w:spacing w:line="188" w:lineRule="exact"/>
              <w:ind w:left="123"/>
              <w:rPr>
                <w:sz w:val="18"/>
              </w:rPr>
            </w:pPr>
            <w:r>
              <w:rPr>
                <w:sz w:val="18"/>
              </w:rPr>
              <w:t>F-</w:t>
            </w:r>
            <w:r>
              <w:rPr>
                <w:spacing w:val="-2"/>
                <w:sz w:val="18"/>
              </w:rPr>
              <w:t>statistic</w:t>
            </w:r>
          </w:p>
        </w:tc>
        <w:tc>
          <w:tcPr>
            <w:tcW w:w="898" w:type="dxa"/>
          </w:tcPr>
          <w:p>
            <w:pPr>
              <w:pStyle w:val="TableParagraph"/>
              <w:rPr>
                <w:sz w:val="14"/>
              </w:rPr>
            </w:pPr>
          </w:p>
        </w:tc>
        <w:tc>
          <w:tcPr>
            <w:tcW w:w="857" w:type="dxa"/>
          </w:tcPr>
          <w:p>
            <w:pPr>
              <w:pStyle w:val="TableParagraph"/>
              <w:spacing w:line="188" w:lineRule="exact"/>
              <w:ind w:left="-3" w:right="27"/>
              <w:jc w:val="right"/>
              <w:rPr>
                <w:sz w:val="18"/>
              </w:rPr>
            </w:pPr>
            <w:r>
              <w:rPr>
                <w:spacing w:val="-2"/>
                <w:sz w:val="18"/>
              </w:rPr>
              <w:t>8.713632</w:t>
            </w:r>
          </w:p>
        </w:tc>
      </w:tr>
      <w:tr>
        <w:trPr>
          <w:trHeight w:val="244" w:hRule="atLeast"/>
        </w:trPr>
        <w:tc>
          <w:tcPr>
            <w:tcW w:w="1879" w:type="dxa"/>
            <w:tcBorders>
              <w:bottom w:val="double" w:sz="6" w:space="0" w:color="000000"/>
            </w:tcBorders>
          </w:tcPr>
          <w:p>
            <w:pPr>
              <w:pStyle w:val="TableParagraph"/>
              <w:spacing w:line="203" w:lineRule="exact"/>
              <w:ind w:left="36"/>
              <w:rPr>
                <w:sz w:val="18"/>
              </w:rPr>
            </w:pPr>
            <w:r>
              <w:rPr>
                <w:sz w:val="18"/>
              </w:rPr>
              <w:t>Durbin-Watson</w:t>
            </w:r>
            <w:r>
              <w:rPr>
                <w:spacing w:val="-2"/>
                <w:sz w:val="18"/>
              </w:rPr>
              <w:t> </w:t>
            </w:r>
            <w:r>
              <w:rPr>
                <w:spacing w:val="-4"/>
                <w:sz w:val="18"/>
              </w:rPr>
              <w:t>stat</w:t>
            </w:r>
          </w:p>
        </w:tc>
        <w:tc>
          <w:tcPr>
            <w:tcW w:w="1332" w:type="dxa"/>
          </w:tcPr>
          <w:p>
            <w:pPr>
              <w:pStyle w:val="TableParagraph"/>
              <w:spacing w:line="203" w:lineRule="exact"/>
              <w:ind w:right="116"/>
              <w:jc w:val="right"/>
              <w:rPr>
                <w:sz w:val="18"/>
              </w:rPr>
            </w:pPr>
            <w:r>
              <w:rPr>
                <w:spacing w:val="-2"/>
                <w:sz w:val="18"/>
              </w:rPr>
              <w:t>1.873343</w:t>
            </w:r>
          </w:p>
        </w:tc>
        <w:tc>
          <w:tcPr>
            <w:tcW w:w="1521" w:type="dxa"/>
            <w:tcBorders>
              <w:bottom w:val="double" w:sz="6" w:space="0" w:color="000000"/>
            </w:tcBorders>
          </w:tcPr>
          <w:p>
            <w:pPr>
              <w:pStyle w:val="TableParagraph"/>
              <w:spacing w:line="203" w:lineRule="exact"/>
              <w:ind w:left="121"/>
              <w:rPr>
                <w:sz w:val="18"/>
              </w:rPr>
            </w:pPr>
            <w:r>
              <w:rPr>
                <w:spacing w:val="-2"/>
                <w:sz w:val="18"/>
              </w:rPr>
              <w:t>Prob(F-statistic)</w:t>
            </w:r>
          </w:p>
        </w:tc>
        <w:tc>
          <w:tcPr>
            <w:tcW w:w="898" w:type="dxa"/>
          </w:tcPr>
          <w:p>
            <w:pPr>
              <w:pStyle w:val="TableParagraph"/>
              <w:rPr>
                <w:sz w:val="16"/>
              </w:rPr>
            </w:pPr>
          </w:p>
        </w:tc>
        <w:tc>
          <w:tcPr>
            <w:tcW w:w="857" w:type="dxa"/>
            <w:tcBorders>
              <w:bottom w:val="double" w:sz="6" w:space="0" w:color="000000"/>
            </w:tcBorders>
          </w:tcPr>
          <w:p>
            <w:pPr>
              <w:pStyle w:val="TableParagraph"/>
              <w:spacing w:line="203" w:lineRule="exact"/>
              <w:ind w:left="-3" w:right="27"/>
              <w:jc w:val="right"/>
              <w:rPr>
                <w:sz w:val="18"/>
              </w:rPr>
            </w:pPr>
            <w:r>
              <w:rPr>
                <w:spacing w:val="-2"/>
                <w:sz w:val="18"/>
              </w:rPr>
              <w:t>0.001899</w:t>
            </w:r>
          </w:p>
        </w:tc>
      </w:tr>
    </w:tbl>
    <w:p>
      <w:pPr>
        <w:pStyle w:val="BodyText"/>
        <w:spacing w:before="16"/>
        <w:rPr>
          <w:sz w:val="18"/>
        </w:rPr>
      </w:pPr>
    </w:p>
    <w:p>
      <w:pPr>
        <w:spacing w:before="0"/>
        <w:ind w:left="711" w:right="0" w:firstLine="0"/>
        <w:jc w:val="left"/>
        <w:rPr>
          <w:sz w:val="18"/>
        </w:rPr>
      </w:pPr>
      <w:r>
        <w:rPr>
          <w:sz w:val="18"/>
        </w:rPr>
        <w:t>DFI @ </w:t>
      </w:r>
      <w:r>
        <w:rPr>
          <w:spacing w:val="-2"/>
          <w:sz w:val="18"/>
        </w:rPr>
        <w:t>LEVEL</w:t>
      </w:r>
    </w:p>
    <w:tbl>
      <w:tblPr>
        <w:tblW w:w="0" w:type="auto"/>
        <w:jc w:val="left"/>
        <w:tblInd w:w="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92"/>
        <w:gridCol w:w="1419"/>
        <w:gridCol w:w="1521"/>
        <w:gridCol w:w="898"/>
        <w:gridCol w:w="857"/>
      </w:tblGrid>
      <w:tr>
        <w:trPr>
          <w:trHeight w:val="202" w:hRule="atLeast"/>
        </w:trPr>
        <w:tc>
          <w:tcPr>
            <w:tcW w:w="1792" w:type="dxa"/>
          </w:tcPr>
          <w:p>
            <w:pPr>
              <w:pStyle w:val="TableParagraph"/>
              <w:spacing w:line="183" w:lineRule="exact"/>
              <w:ind w:left="36"/>
              <w:rPr>
                <w:sz w:val="18"/>
              </w:rPr>
            </w:pPr>
            <w:r>
              <w:rPr>
                <w:sz w:val="18"/>
              </w:rPr>
              <w:t>ADF</w:t>
            </w:r>
            <w:r>
              <w:rPr>
                <w:spacing w:val="-1"/>
                <w:sz w:val="18"/>
              </w:rPr>
              <w:t> </w:t>
            </w:r>
            <w:r>
              <w:rPr>
                <w:sz w:val="18"/>
              </w:rPr>
              <w:t>Test</w:t>
            </w:r>
            <w:r>
              <w:rPr>
                <w:spacing w:val="-2"/>
                <w:sz w:val="18"/>
              </w:rPr>
              <w:t> Statistic</w:t>
            </w:r>
          </w:p>
        </w:tc>
        <w:tc>
          <w:tcPr>
            <w:tcW w:w="1419" w:type="dxa"/>
          </w:tcPr>
          <w:p>
            <w:pPr>
              <w:pStyle w:val="TableParagraph"/>
              <w:spacing w:line="183" w:lineRule="exact"/>
              <w:ind w:left="320"/>
              <w:rPr>
                <w:sz w:val="18"/>
              </w:rPr>
            </w:pPr>
            <w:r>
              <w:rPr>
                <w:spacing w:val="-2"/>
                <w:sz w:val="18"/>
              </w:rPr>
              <w:t>0.497843</w:t>
            </w:r>
          </w:p>
        </w:tc>
        <w:tc>
          <w:tcPr>
            <w:tcW w:w="2419" w:type="dxa"/>
            <w:gridSpan w:val="2"/>
          </w:tcPr>
          <w:p>
            <w:pPr>
              <w:pStyle w:val="TableParagraph"/>
              <w:spacing w:line="183" w:lineRule="exact"/>
              <w:ind w:left="123"/>
              <w:rPr>
                <w:sz w:val="18"/>
              </w:rPr>
            </w:pPr>
            <w:r>
              <w:rPr>
                <w:sz w:val="18"/>
              </w:rPr>
              <w:t>1%</w:t>
            </w:r>
            <w:r>
              <w:rPr>
                <w:spacing w:val="63"/>
                <w:w w:val="150"/>
                <w:sz w:val="18"/>
              </w:rPr>
              <w:t> </w:t>
            </w:r>
            <w:r>
              <w:rPr>
                <w:sz w:val="18"/>
              </w:rPr>
              <w:t>Critical</w:t>
            </w:r>
            <w:r>
              <w:rPr>
                <w:spacing w:val="-2"/>
                <w:sz w:val="18"/>
              </w:rPr>
              <w:t> Value*</w:t>
            </w:r>
          </w:p>
        </w:tc>
        <w:tc>
          <w:tcPr>
            <w:tcW w:w="857" w:type="dxa"/>
          </w:tcPr>
          <w:p>
            <w:pPr>
              <w:pStyle w:val="TableParagraph"/>
              <w:spacing w:line="183" w:lineRule="exact"/>
              <w:ind w:left="-3" w:right="28"/>
              <w:jc w:val="right"/>
              <w:rPr>
                <w:sz w:val="18"/>
              </w:rPr>
            </w:pPr>
            <w:r>
              <w:rPr>
                <w:sz w:val="18"/>
              </w:rPr>
              <w:t>-</w:t>
            </w:r>
            <w:r>
              <w:rPr>
                <w:spacing w:val="-2"/>
                <w:sz w:val="18"/>
              </w:rPr>
              <w:t>3.7497</w:t>
            </w:r>
          </w:p>
        </w:tc>
      </w:tr>
      <w:tr>
        <w:trPr>
          <w:trHeight w:val="207" w:hRule="atLeast"/>
        </w:trPr>
        <w:tc>
          <w:tcPr>
            <w:tcW w:w="1792" w:type="dxa"/>
          </w:tcPr>
          <w:p>
            <w:pPr>
              <w:pStyle w:val="TableParagraph"/>
              <w:rPr>
                <w:sz w:val="14"/>
              </w:rPr>
            </w:pPr>
          </w:p>
        </w:tc>
        <w:tc>
          <w:tcPr>
            <w:tcW w:w="1419" w:type="dxa"/>
          </w:tcPr>
          <w:p>
            <w:pPr>
              <w:pStyle w:val="TableParagraph"/>
              <w:rPr>
                <w:sz w:val="14"/>
              </w:rPr>
            </w:pPr>
          </w:p>
        </w:tc>
        <w:tc>
          <w:tcPr>
            <w:tcW w:w="1521" w:type="dxa"/>
          </w:tcPr>
          <w:p>
            <w:pPr>
              <w:pStyle w:val="TableParagraph"/>
              <w:spacing w:line="188" w:lineRule="exact"/>
              <w:ind w:left="123"/>
              <w:rPr>
                <w:sz w:val="18"/>
              </w:rPr>
            </w:pPr>
            <w:r>
              <w:rPr>
                <w:sz w:val="18"/>
              </w:rPr>
              <w:t>5%</w:t>
            </w:r>
            <w:r>
              <w:rPr>
                <w:spacing w:val="63"/>
                <w:w w:val="150"/>
                <w:sz w:val="18"/>
              </w:rPr>
              <w:t> </w:t>
            </w:r>
            <w:r>
              <w:rPr>
                <w:sz w:val="18"/>
              </w:rPr>
              <w:t>Critical</w:t>
            </w:r>
            <w:r>
              <w:rPr>
                <w:spacing w:val="-2"/>
                <w:sz w:val="18"/>
              </w:rPr>
              <w:t> Value</w:t>
            </w:r>
          </w:p>
        </w:tc>
        <w:tc>
          <w:tcPr>
            <w:tcW w:w="898" w:type="dxa"/>
          </w:tcPr>
          <w:p>
            <w:pPr>
              <w:pStyle w:val="TableParagraph"/>
              <w:rPr>
                <w:sz w:val="14"/>
              </w:rPr>
            </w:pPr>
          </w:p>
        </w:tc>
        <w:tc>
          <w:tcPr>
            <w:tcW w:w="857" w:type="dxa"/>
          </w:tcPr>
          <w:p>
            <w:pPr>
              <w:pStyle w:val="TableParagraph"/>
              <w:spacing w:line="188" w:lineRule="exact"/>
              <w:ind w:left="-3" w:right="28"/>
              <w:jc w:val="right"/>
              <w:rPr>
                <w:sz w:val="18"/>
              </w:rPr>
            </w:pPr>
            <w:r>
              <w:rPr>
                <w:sz w:val="18"/>
              </w:rPr>
              <w:t>-</w:t>
            </w:r>
            <w:r>
              <w:rPr>
                <w:spacing w:val="-2"/>
                <w:sz w:val="18"/>
              </w:rPr>
              <w:t>2.9969</w:t>
            </w:r>
          </w:p>
        </w:tc>
      </w:tr>
      <w:tr>
        <w:trPr>
          <w:trHeight w:val="202" w:hRule="atLeast"/>
        </w:trPr>
        <w:tc>
          <w:tcPr>
            <w:tcW w:w="1792" w:type="dxa"/>
            <w:tcBorders>
              <w:bottom w:val="double" w:sz="6" w:space="0" w:color="000000"/>
            </w:tcBorders>
          </w:tcPr>
          <w:p>
            <w:pPr>
              <w:pStyle w:val="TableParagraph"/>
              <w:rPr>
                <w:sz w:val="14"/>
              </w:rPr>
            </w:pPr>
          </w:p>
        </w:tc>
        <w:tc>
          <w:tcPr>
            <w:tcW w:w="1419" w:type="dxa"/>
            <w:tcBorders>
              <w:bottom w:val="double" w:sz="6" w:space="0" w:color="000000"/>
            </w:tcBorders>
          </w:tcPr>
          <w:p>
            <w:pPr>
              <w:pStyle w:val="TableParagraph"/>
              <w:rPr>
                <w:sz w:val="14"/>
              </w:rPr>
            </w:pPr>
          </w:p>
        </w:tc>
        <w:tc>
          <w:tcPr>
            <w:tcW w:w="1521" w:type="dxa"/>
            <w:tcBorders>
              <w:bottom w:val="double" w:sz="6" w:space="0" w:color="000000"/>
            </w:tcBorders>
          </w:tcPr>
          <w:p>
            <w:pPr>
              <w:pStyle w:val="TableParagraph"/>
              <w:spacing w:line="183" w:lineRule="exact"/>
              <w:ind w:left="123"/>
              <w:rPr>
                <w:sz w:val="18"/>
              </w:rPr>
            </w:pPr>
            <w:r>
              <w:rPr>
                <w:sz w:val="18"/>
              </w:rPr>
              <w:t>10%</w:t>
            </w:r>
            <w:r>
              <w:rPr>
                <w:spacing w:val="-5"/>
                <w:sz w:val="18"/>
              </w:rPr>
              <w:t> </w:t>
            </w:r>
            <w:r>
              <w:rPr>
                <w:sz w:val="18"/>
              </w:rPr>
              <w:t>Critical</w:t>
            </w:r>
            <w:r>
              <w:rPr>
                <w:spacing w:val="-3"/>
                <w:sz w:val="18"/>
              </w:rPr>
              <w:t> </w:t>
            </w:r>
            <w:r>
              <w:rPr>
                <w:spacing w:val="-2"/>
                <w:sz w:val="18"/>
              </w:rPr>
              <w:t>Value</w:t>
            </w:r>
          </w:p>
        </w:tc>
        <w:tc>
          <w:tcPr>
            <w:tcW w:w="898" w:type="dxa"/>
            <w:tcBorders>
              <w:bottom w:val="double" w:sz="6" w:space="0" w:color="000000"/>
            </w:tcBorders>
          </w:tcPr>
          <w:p>
            <w:pPr>
              <w:pStyle w:val="TableParagraph"/>
              <w:rPr>
                <w:sz w:val="14"/>
              </w:rPr>
            </w:pPr>
          </w:p>
        </w:tc>
        <w:tc>
          <w:tcPr>
            <w:tcW w:w="857" w:type="dxa"/>
            <w:tcBorders>
              <w:bottom w:val="double" w:sz="6" w:space="0" w:color="000000"/>
            </w:tcBorders>
          </w:tcPr>
          <w:p>
            <w:pPr>
              <w:pStyle w:val="TableParagraph"/>
              <w:spacing w:line="183" w:lineRule="exact"/>
              <w:ind w:left="-3" w:right="28"/>
              <w:jc w:val="right"/>
              <w:rPr>
                <w:sz w:val="18"/>
              </w:rPr>
            </w:pPr>
            <w:r>
              <w:rPr>
                <w:sz w:val="18"/>
              </w:rPr>
              <w:t>-</w:t>
            </w:r>
            <w:r>
              <w:rPr>
                <w:spacing w:val="-2"/>
                <w:sz w:val="18"/>
              </w:rPr>
              <w:t>2.6381</w:t>
            </w:r>
          </w:p>
        </w:tc>
      </w:tr>
      <w:tr>
        <w:trPr>
          <w:trHeight w:val="458" w:hRule="atLeast"/>
        </w:trPr>
        <w:tc>
          <w:tcPr>
            <w:tcW w:w="6487" w:type="dxa"/>
            <w:gridSpan w:val="5"/>
            <w:tcBorders>
              <w:top w:val="double" w:sz="6" w:space="0" w:color="000000"/>
            </w:tcBorders>
          </w:tcPr>
          <w:p>
            <w:pPr>
              <w:pStyle w:val="TableParagraph"/>
              <w:spacing w:before="40"/>
              <w:ind w:left="36"/>
              <w:rPr>
                <w:sz w:val="18"/>
              </w:rPr>
            </w:pPr>
            <w:r>
              <w:rPr>
                <w:sz w:val="18"/>
              </w:rPr>
              <w:t>*MacKinnon</w:t>
            </w:r>
            <w:r>
              <w:rPr>
                <w:spacing w:val="-1"/>
                <w:sz w:val="18"/>
              </w:rPr>
              <w:t> </w:t>
            </w:r>
            <w:r>
              <w:rPr>
                <w:sz w:val="18"/>
              </w:rPr>
              <w:t>critical</w:t>
            </w:r>
            <w:r>
              <w:rPr>
                <w:spacing w:val="-1"/>
                <w:sz w:val="18"/>
              </w:rPr>
              <w:t> </w:t>
            </w:r>
            <w:r>
              <w:rPr>
                <w:sz w:val="18"/>
              </w:rPr>
              <w:t>values</w:t>
            </w:r>
            <w:r>
              <w:rPr>
                <w:spacing w:val="-1"/>
                <w:sz w:val="18"/>
              </w:rPr>
              <w:t> </w:t>
            </w:r>
            <w:r>
              <w:rPr>
                <w:sz w:val="18"/>
              </w:rPr>
              <w:t>for</w:t>
            </w:r>
            <w:r>
              <w:rPr>
                <w:spacing w:val="-1"/>
                <w:sz w:val="18"/>
              </w:rPr>
              <w:t> </w:t>
            </w:r>
            <w:r>
              <w:rPr>
                <w:sz w:val="18"/>
              </w:rPr>
              <w:t>rejection</w:t>
            </w:r>
            <w:r>
              <w:rPr>
                <w:spacing w:val="-2"/>
                <w:sz w:val="18"/>
              </w:rPr>
              <w:t> </w:t>
            </w:r>
            <w:r>
              <w:rPr>
                <w:sz w:val="18"/>
              </w:rPr>
              <w:t>of</w:t>
            </w:r>
            <w:r>
              <w:rPr>
                <w:spacing w:val="-3"/>
                <w:sz w:val="18"/>
              </w:rPr>
              <w:t> </w:t>
            </w:r>
            <w:r>
              <w:rPr>
                <w:sz w:val="18"/>
              </w:rPr>
              <w:t>hypothesis</w:t>
            </w:r>
            <w:r>
              <w:rPr>
                <w:spacing w:val="-1"/>
                <w:sz w:val="18"/>
              </w:rPr>
              <w:t> </w:t>
            </w:r>
            <w:r>
              <w:rPr>
                <w:sz w:val="18"/>
              </w:rPr>
              <w:t>of</w:t>
            </w:r>
            <w:r>
              <w:rPr>
                <w:spacing w:val="-3"/>
                <w:sz w:val="18"/>
              </w:rPr>
              <w:t> </w:t>
            </w:r>
            <w:r>
              <w:rPr>
                <w:sz w:val="18"/>
              </w:rPr>
              <w:t>a</w:t>
            </w:r>
            <w:r>
              <w:rPr>
                <w:spacing w:val="-2"/>
                <w:sz w:val="18"/>
              </w:rPr>
              <w:t> </w:t>
            </w:r>
            <w:r>
              <w:rPr>
                <w:sz w:val="18"/>
              </w:rPr>
              <w:t>unit</w:t>
            </w:r>
            <w:r>
              <w:rPr>
                <w:spacing w:val="-2"/>
                <w:sz w:val="18"/>
              </w:rPr>
              <w:t> root.</w:t>
            </w:r>
          </w:p>
        </w:tc>
      </w:tr>
      <w:tr>
        <w:trPr>
          <w:trHeight w:val="414" w:hRule="atLeast"/>
        </w:trPr>
        <w:tc>
          <w:tcPr>
            <w:tcW w:w="6487" w:type="dxa"/>
            <w:gridSpan w:val="5"/>
          </w:tcPr>
          <w:p>
            <w:pPr>
              <w:pStyle w:val="TableParagraph"/>
              <w:spacing w:line="191" w:lineRule="exact" w:before="203"/>
              <w:ind w:left="36"/>
              <w:rPr>
                <w:sz w:val="18"/>
              </w:rPr>
            </w:pPr>
            <w:r>
              <w:rPr>
                <w:sz w:val="18"/>
              </w:rPr>
              <w:t>Augmented</w:t>
            </w:r>
            <w:r>
              <w:rPr>
                <w:spacing w:val="-3"/>
                <w:sz w:val="18"/>
              </w:rPr>
              <w:t> </w:t>
            </w:r>
            <w:r>
              <w:rPr>
                <w:sz w:val="18"/>
              </w:rPr>
              <w:t>Dickey-Fuller</w:t>
            </w:r>
            <w:r>
              <w:rPr>
                <w:spacing w:val="-3"/>
                <w:sz w:val="18"/>
              </w:rPr>
              <w:t> </w:t>
            </w:r>
            <w:r>
              <w:rPr>
                <w:sz w:val="18"/>
              </w:rPr>
              <w:t>Test</w:t>
            </w:r>
            <w:r>
              <w:rPr>
                <w:spacing w:val="-3"/>
                <w:sz w:val="18"/>
              </w:rPr>
              <w:t> </w:t>
            </w:r>
            <w:r>
              <w:rPr>
                <w:spacing w:val="-2"/>
                <w:sz w:val="18"/>
              </w:rPr>
              <w:t>Equation</w:t>
            </w:r>
          </w:p>
        </w:tc>
      </w:tr>
      <w:tr>
        <w:trPr>
          <w:trHeight w:val="206" w:hRule="atLeast"/>
        </w:trPr>
        <w:tc>
          <w:tcPr>
            <w:tcW w:w="6487" w:type="dxa"/>
            <w:gridSpan w:val="5"/>
          </w:tcPr>
          <w:p>
            <w:pPr>
              <w:pStyle w:val="TableParagraph"/>
              <w:spacing w:line="186" w:lineRule="exact"/>
              <w:ind w:left="36"/>
              <w:rPr>
                <w:sz w:val="18"/>
              </w:rPr>
            </w:pPr>
            <w:r>
              <w:rPr>
                <w:sz w:val="18"/>
              </w:rPr>
              <w:t>Dependent</w:t>
            </w:r>
            <w:r>
              <w:rPr>
                <w:spacing w:val="-1"/>
                <w:sz w:val="18"/>
              </w:rPr>
              <w:t> </w:t>
            </w:r>
            <w:r>
              <w:rPr>
                <w:sz w:val="18"/>
              </w:rPr>
              <w:t>Variable:</w:t>
            </w:r>
            <w:r>
              <w:rPr>
                <w:spacing w:val="-2"/>
                <w:sz w:val="18"/>
              </w:rPr>
              <w:t> D(DFI)</w:t>
            </w:r>
          </w:p>
        </w:tc>
      </w:tr>
      <w:tr>
        <w:trPr>
          <w:trHeight w:val="207" w:hRule="atLeast"/>
        </w:trPr>
        <w:tc>
          <w:tcPr>
            <w:tcW w:w="1792" w:type="dxa"/>
          </w:tcPr>
          <w:p>
            <w:pPr>
              <w:pStyle w:val="TableParagraph"/>
              <w:spacing w:line="188" w:lineRule="exact"/>
              <w:ind w:left="36"/>
              <w:rPr>
                <w:sz w:val="18"/>
              </w:rPr>
            </w:pPr>
            <w:r>
              <w:rPr>
                <w:sz w:val="18"/>
              </w:rPr>
              <w:t>Method:</w:t>
            </w:r>
            <w:r>
              <w:rPr>
                <w:spacing w:val="-3"/>
                <w:sz w:val="18"/>
              </w:rPr>
              <w:t> </w:t>
            </w:r>
            <w:r>
              <w:rPr>
                <w:sz w:val="18"/>
              </w:rPr>
              <w:t>Least</w:t>
            </w:r>
            <w:r>
              <w:rPr>
                <w:spacing w:val="-2"/>
                <w:sz w:val="18"/>
              </w:rPr>
              <w:t> Squares</w:t>
            </w:r>
          </w:p>
        </w:tc>
        <w:tc>
          <w:tcPr>
            <w:tcW w:w="1419" w:type="dxa"/>
          </w:tcPr>
          <w:p>
            <w:pPr>
              <w:pStyle w:val="TableParagraph"/>
              <w:rPr>
                <w:sz w:val="14"/>
              </w:rPr>
            </w:pPr>
          </w:p>
        </w:tc>
        <w:tc>
          <w:tcPr>
            <w:tcW w:w="1521" w:type="dxa"/>
          </w:tcPr>
          <w:p>
            <w:pPr>
              <w:pStyle w:val="TableParagraph"/>
              <w:rPr>
                <w:sz w:val="14"/>
              </w:rPr>
            </w:pPr>
          </w:p>
        </w:tc>
        <w:tc>
          <w:tcPr>
            <w:tcW w:w="898" w:type="dxa"/>
          </w:tcPr>
          <w:p>
            <w:pPr>
              <w:pStyle w:val="TableParagraph"/>
              <w:rPr>
                <w:sz w:val="14"/>
              </w:rPr>
            </w:pPr>
          </w:p>
        </w:tc>
        <w:tc>
          <w:tcPr>
            <w:tcW w:w="857" w:type="dxa"/>
          </w:tcPr>
          <w:p>
            <w:pPr>
              <w:pStyle w:val="TableParagraph"/>
              <w:rPr>
                <w:sz w:val="14"/>
              </w:rPr>
            </w:pPr>
          </w:p>
        </w:tc>
      </w:tr>
      <w:tr>
        <w:trPr>
          <w:trHeight w:val="207" w:hRule="atLeast"/>
        </w:trPr>
        <w:tc>
          <w:tcPr>
            <w:tcW w:w="6487" w:type="dxa"/>
            <w:gridSpan w:val="5"/>
          </w:tcPr>
          <w:p>
            <w:pPr>
              <w:pStyle w:val="TableParagraph"/>
              <w:spacing w:line="188" w:lineRule="exact"/>
              <w:ind w:left="36"/>
              <w:rPr>
                <w:sz w:val="18"/>
              </w:rPr>
            </w:pPr>
            <w:r>
              <w:rPr>
                <w:sz w:val="18"/>
              </w:rPr>
              <w:t>Date:</w:t>
            </w:r>
            <w:r>
              <w:rPr>
                <w:spacing w:val="-2"/>
                <w:sz w:val="18"/>
              </w:rPr>
              <w:t> </w:t>
            </w:r>
            <w:r>
              <w:rPr>
                <w:sz w:val="18"/>
              </w:rPr>
              <w:t>02/17/14</w:t>
            </w:r>
            <w:r>
              <w:rPr>
                <w:spacing w:val="63"/>
                <w:w w:val="150"/>
                <w:sz w:val="18"/>
              </w:rPr>
              <w:t> </w:t>
            </w:r>
            <w:r>
              <w:rPr>
                <w:sz w:val="18"/>
              </w:rPr>
              <w:t>Time:</w:t>
            </w:r>
            <w:r>
              <w:rPr>
                <w:spacing w:val="-1"/>
                <w:sz w:val="18"/>
              </w:rPr>
              <w:t> </w:t>
            </w:r>
            <w:r>
              <w:rPr>
                <w:spacing w:val="-4"/>
                <w:sz w:val="18"/>
              </w:rPr>
              <w:t>18:10</w:t>
            </w:r>
          </w:p>
        </w:tc>
      </w:tr>
      <w:tr>
        <w:trPr>
          <w:trHeight w:val="206" w:hRule="atLeast"/>
        </w:trPr>
        <w:tc>
          <w:tcPr>
            <w:tcW w:w="6487" w:type="dxa"/>
            <w:gridSpan w:val="5"/>
          </w:tcPr>
          <w:p>
            <w:pPr>
              <w:pStyle w:val="TableParagraph"/>
              <w:spacing w:line="186" w:lineRule="exact"/>
              <w:ind w:left="36"/>
              <w:rPr>
                <w:sz w:val="18"/>
              </w:rPr>
            </w:pPr>
            <w:r>
              <w:rPr>
                <w:sz w:val="18"/>
              </w:rPr>
              <w:t>Sample(adjusted):</w:t>
            </w:r>
            <w:r>
              <w:rPr>
                <w:spacing w:val="-6"/>
                <w:sz w:val="18"/>
              </w:rPr>
              <w:t> </w:t>
            </w:r>
            <w:r>
              <w:rPr>
                <w:sz w:val="18"/>
              </w:rPr>
              <w:t>1989</w:t>
            </w:r>
            <w:r>
              <w:rPr>
                <w:spacing w:val="-2"/>
                <w:sz w:val="18"/>
              </w:rPr>
              <w:t> </w:t>
            </w:r>
            <w:r>
              <w:rPr>
                <w:spacing w:val="-4"/>
                <w:sz w:val="18"/>
              </w:rPr>
              <w:t>2011</w:t>
            </w:r>
          </w:p>
        </w:tc>
      </w:tr>
      <w:tr>
        <w:trPr>
          <w:trHeight w:val="201" w:hRule="atLeast"/>
        </w:trPr>
        <w:tc>
          <w:tcPr>
            <w:tcW w:w="6487" w:type="dxa"/>
            <w:gridSpan w:val="5"/>
            <w:tcBorders>
              <w:bottom w:val="double" w:sz="6" w:space="0" w:color="000000"/>
            </w:tcBorders>
          </w:tcPr>
          <w:p>
            <w:pPr>
              <w:pStyle w:val="TableParagraph"/>
              <w:spacing w:line="181" w:lineRule="exact"/>
              <w:ind w:left="36"/>
              <w:rPr>
                <w:sz w:val="18"/>
              </w:rPr>
            </w:pPr>
            <w:r>
              <w:rPr>
                <w:sz w:val="18"/>
              </w:rPr>
              <w:t>Included</w:t>
            </w:r>
            <w:r>
              <w:rPr>
                <w:spacing w:val="-1"/>
                <w:sz w:val="18"/>
              </w:rPr>
              <w:t> </w:t>
            </w:r>
            <w:r>
              <w:rPr>
                <w:sz w:val="18"/>
              </w:rPr>
              <w:t>observations:</w:t>
            </w:r>
            <w:r>
              <w:rPr>
                <w:spacing w:val="-3"/>
                <w:sz w:val="18"/>
              </w:rPr>
              <w:t> </w:t>
            </w:r>
            <w:r>
              <w:rPr>
                <w:sz w:val="18"/>
              </w:rPr>
              <w:t>23</w:t>
            </w:r>
            <w:r>
              <w:rPr>
                <w:spacing w:val="-1"/>
                <w:sz w:val="18"/>
              </w:rPr>
              <w:t> </w:t>
            </w:r>
            <w:r>
              <w:rPr>
                <w:sz w:val="18"/>
              </w:rPr>
              <w:t>after</w:t>
            </w:r>
            <w:r>
              <w:rPr>
                <w:spacing w:val="-1"/>
                <w:sz w:val="18"/>
              </w:rPr>
              <w:t> </w:t>
            </w:r>
            <w:r>
              <w:rPr>
                <w:sz w:val="18"/>
              </w:rPr>
              <w:t>adjusting</w:t>
            </w:r>
            <w:r>
              <w:rPr>
                <w:spacing w:val="-2"/>
                <w:sz w:val="18"/>
              </w:rPr>
              <w:t> endpoints</w:t>
            </w:r>
          </w:p>
        </w:tc>
      </w:tr>
      <w:tr>
        <w:trPr>
          <w:trHeight w:val="247" w:hRule="atLeast"/>
        </w:trPr>
        <w:tc>
          <w:tcPr>
            <w:tcW w:w="1792" w:type="dxa"/>
            <w:tcBorders>
              <w:top w:val="double" w:sz="6" w:space="0" w:color="000000"/>
              <w:bottom w:val="double" w:sz="6" w:space="0" w:color="000000"/>
            </w:tcBorders>
          </w:tcPr>
          <w:p>
            <w:pPr>
              <w:pStyle w:val="TableParagraph"/>
              <w:spacing w:line="186" w:lineRule="exact" w:before="42"/>
              <w:ind w:left="713"/>
              <w:rPr>
                <w:sz w:val="18"/>
              </w:rPr>
            </w:pPr>
            <w:r>
              <w:rPr>
                <w:spacing w:val="-2"/>
                <w:sz w:val="18"/>
              </w:rPr>
              <w:t>Variable</w:t>
            </w:r>
          </w:p>
        </w:tc>
        <w:tc>
          <w:tcPr>
            <w:tcW w:w="1419" w:type="dxa"/>
            <w:tcBorders>
              <w:top w:val="double" w:sz="6" w:space="0" w:color="000000"/>
              <w:bottom w:val="double" w:sz="6" w:space="0" w:color="000000"/>
            </w:tcBorders>
          </w:tcPr>
          <w:p>
            <w:pPr>
              <w:pStyle w:val="TableParagraph"/>
              <w:spacing w:line="186" w:lineRule="exact" w:before="42"/>
              <w:ind w:right="118"/>
              <w:jc w:val="right"/>
              <w:rPr>
                <w:sz w:val="18"/>
              </w:rPr>
            </w:pPr>
            <w:r>
              <w:rPr>
                <w:spacing w:val="-2"/>
                <w:sz w:val="18"/>
              </w:rPr>
              <w:t>Coefficient</w:t>
            </w:r>
          </w:p>
        </w:tc>
        <w:tc>
          <w:tcPr>
            <w:tcW w:w="1521" w:type="dxa"/>
            <w:tcBorders>
              <w:top w:val="double" w:sz="6" w:space="0" w:color="000000"/>
              <w:bottom w:val="double" w:sz="6" w:space="0" w:color="000000"/>
            </w:tcBorders>
          </w:tcPr>
          <w:p>
            <w:pPr>
              <w:pStyle w:val="TableParagraph"/>
              <w:spacing w:line="186" w:lineRule="exact" w:before="42"/>
              <w:ind w:left="363"/>
              <w:rPr>
                <w:sz w:val="18"/>
              </w:rPr>
            </w:pPr>
            <w:r>
              <w:rPr>
                <w:sz w:val="18"/>
              </w:rPr>
              <w:t>Std.</w:t>
            </w:r>
            <w:r>
              <w:rPr>
                <w:spacing w:val="-1"/>
                <w:sz w:val="18"/>
              </w:rPr>
              <w:t> </w:t>
            </w:r>
            <w:r>
              <w:rPr>
                <w:spacing w:val="-4"/>
                <w:sz w:val="18"/>
              </w:rPr>
              <w:t>Error</w:t>
            </w:r>
          </w:p>
        </w:tc>
        <w:tc>
          <w:tcPr>
            <w:tcW w:w="898" w:type="dxa"/>
            <w:tcBorders>
              <w:top w:val="double" w:sz="6" w:space="0" w:color="000000"/>
              <w:bottom w:val="double" w:sz="6" w:space="0" w:color="000000"/>
            </w:tcBorders>
          </w:tcPr>
          <w:p>
            <w:pPr>
              <w:pStyle w:val="TableParagraph"/>
              <w:spacing w:line="186" w:lineRule="exact" w:before="42"/>
              <w:ind w:right="147"/>
              <w:jc w:val="right"/>
              <w:rPr>
                <w:sz w:val="18"/>
              </w:rPr>
            </w:pPr>
            <w:r>
              <w:rPr>
                <w:sz w:val="18"/>
              </w:rPr>
              <w:t>t-</w:t>
            </w:r>
            <w:r>
              <w:rPr>
                <w:spacing w:val="-2"/>
                <w:sz w:val="18"/>
              </w:rPr>
              <w:t>Statistic</w:t>
            </w:r>
          </w:p>
        </w:tc>
        <w:tc>
          <w:tcPr>
            <w:tcW w:w="857" w:type="dxa"/>
            <w:tcBorders>
              <w:top w:val="double" w:sz="6" w:space="0" w:color="000000"/>
              <w:bottom w:val="double" w:sz="6" w:space="0" w:color="000000"/>
            </w:tcBorders>
          </w:tcPr>
          <w:p>
            <w:pPr>
              <w:pStyle w:val="TableParagraph"/>
              <w:spacing w:line="186" w:lineRule="exact" w:before="42"/>
              <w:ind w:left="-3" w:right="28"/>
              <w:jc w:val="right"/>
              <w:rPr>
                <w:sz w:val="18"/>
              </w:rPr>
            </w:pPr>
            <w:r>
              <w:rPr>
                <w:spacing w:val="-2"/>
                <w:sz w:val="18"/>
              </w:rPr>
              <w:t>Prob.</w:t>
            </w:r>
          </w:p>
        </w:tc>
      </w:tr>
      <w:tr>
        <w:trPr>
          <w:trHeight w:val="252" w:hRule="atLeast"/>
        </w:trPr>
        <w:tc>
          <w:tcPr>
            <w:tcW w:w="1792" w:type="dxa"/>
            <w:tcBorders>
              <w:top w:val="double" w:sz="6" w:space="0" w:color="000000"/>
            </w:tcBorders>
          </w:tcPr>
          <w:p>
            <w:pPr>
              <w:pStyle w:val="TableParagraph"/>
              <w:spacing w:line="191" w:lineRule="exact" w:before="42"/>
              <w:ind w:left="742"/>
              <w:rPr>
                <w:sz w:val="18"/>
              </w:rPr>
            </w:pPr>
            <w:r>
              <w:rPr>
                <w:sz w:val="18"/>
              </w:rPr>
              <w:t>DFI(-</w:t>
            </w:r>
            <w:r>
              <w:rPr>
                <w:spacing w:val="-5"/>
                <w:sz w:val="18"/>
              </w:rPr>
              <w:t>1)</w:t>
            </w:r>
          </w:p>
        </w:tc>
        <w:tc>
          <w:tcPr>
            <w:tcW w:w="1419" w:type="dxa"/>
            <w:tcBorders>
              <w:top w:val="double" w:sz="6" w:space="0" w:color="000000"/>
            </w:tcBorders>
          </w:tcPr>
          <w:p>
            <w:pPr>
              <w:pStyle w:val="TableParagraph"/>
              <w:spacing w:line="191" w:lineRule="exact" w:before="42"/>
              <w:ind w:right="116"/>
              <w:jc w:val="right"/>
              <w:rPr>
                <w:sz w:val="18"/>
              </w:rPr>
            </w:pPr>
            <w:r>
              <w:rPr>
                <w:spacing w:val="-2"/>
                <w:sz w:val="18"/>
              </w:rPr>
              <w:t>0.055835</w:t>
            </w:r>
          </w:p>
        </w:tc>
        <w:tc>
          <w:tcPr>
            <w:tcW w:w="1521" w:type="dxa"/>
            <w:tcBorders>
              <w:top w:val="double" w:sz="6" w:space="0" w:color="000000"/>
            </w:tcBorders>
          </w:tcPr>
          <w:p>
            <w:pPr>
              <w:pStyle w:val="TableParagraph"/>
              <w:spacing w:line="191" w:lineRule="exact" w:before="42"/>
              <w:ind w:left="399"/>
              <w:rPr>
                <w:sz w:val="18"/>
              </w:rPr>
            </w:pPr>
            <w:r>
              <w:rPr>
                <w:spacing w:val="-2"/>
                <w:sz w:val="18"/>
              </w:rPr>
              <w:t>0.112154</w:t>
            </w:r>
          </w:p>
        </w:tc>
        <w:tc>
          <w:tcPr>
            <w:tcW w:w="898" w:type="dxa"/>
            <w:tcBorders>
              <w:top w:val="double" w:sz="6" w:space="0" w:color="000000"/>
            </w:tcBorders>
          </w:tcPr>
          <w:p>
            <w:pPr>
              <w:pStyle w:val="TableParagraph"/>
              <w:spacing w:line="191" w:lineRule="exact" w:before="42"/>
              <w:ind w:right="149"/>
              <w:jc w:val="right"/>
              <w:rPr>
                <w:sz w:val="18"/>
              </w:rPr>
            </w:pPr>
            <w:r>
              <w:rPr>
                <w:spacing w:val="-2"/>
                <w:sz w:val="18"/>
              </w:rPr>
              <w:t>0.497843</w:t>
            </w:r>
          </w:p>
        </w:tc>
        <w:tc>
          <w:tcPr>
            <w:tcW w:w="857" w:type="dxa"/>
            <w:tcBorders>
              <w:top w:val="double" w:sz="6" w:space="0" w:color="000000"/>
            </w:tcBorders>
          </w:tcPr>
          <w:p>
            <w:pPr>
              <w:pStyle w:val="TableParagraph"/>
              <w:spacing w:line="191" w:lineRule="exact" w:before="42"/>
              <w:ind w:left="-3" w:right="28"/>
              <w:jc w:val="right"/>
              <w:rPr>
                <w:sz w:val="18"/>
              </w:rPr>
            </w:pPr>
            <w:r>
              <w:rPr>
                <w:spacing w:val="-2"/>
                <w:sz w:val="18"/>
              </w:rPr>
              <w:t>0.6240</w:t>
            </w:r>
          </w:p>
        </w:tc>
      </w:tr>
      <w:tr>
        <w:trPr>
          <w:trHeight w:val="206" w:hRule="atLeast"/>
        </w:trPr>
        <w:tc>
          <w:tcPr>
            <w:tcW w:w="1792" w:type="dxa"/>
          </w:tcPr>
          <w:p>
            <w:pPr>
              <w:pStyle w:val="TableParagraph"/>
              <w:spacing w:line="186" w:lineRule="exact"/>
              <w:ind w:left="617"/>
              <w:rPr>
                <w:sz w:val="18"/>
              </w:rPr>
            </w:pPr>
            <w:r>
              <w:rPr>
                <w:spacing w:val="-2"/>
                <w:sz w:val="18"/>
              </w:rPr>
              <w:t>D(DFI(-</w:t>
            </w:r>
            <w:r>
              <w:rPr>
                <w:spacing w:val="-5"/>
                <w:sz w:val="18"/>
              </w:rPr>
              <w:t>1))</w:t>
            </w:r>
          </w:p>
        </w:tc>
        <w:tc>
          <w:tcPr>
            <w:tcW w:w="1419" w:type="dxa"/>
          </w:tcPr>
          <w:p>
            <w:pPr>
              <w:pStyle w:val="TableParagraph"/>
              <w:spacing w:line="186" w:lineRule="exact"/>
              <w:ind w:right="116"/>
              <w:jc w:val="right"/>
              <w:rPr>
                <w:sz w:val="18"/>
              </w:rPr>
            </w:pPr>
            <w:r>
              <w:rPr>
                <w:sz w:val="18"/>
              </w:rPr>
              <w:t>-</w:t>
            </w:r>
            <w:r>
              <w:rPr>
                <w:spacing w:val="-2"/>
                <w:sz w:val="18"/>
              </w:rPr>
              <w:t>0.110513</w:t>
            </w:r>
          </w:p>
        </w:tc>
        <w:tc>
          <w:tcPr>
            <w:tcW w:w="1521" w:type="dxa"/>
          </w:tcPr>
          <w:p>
            <w:pPr>
              <w:pStyle w:val="TableParagraph"/>
              <w:spacing w:line="186" w:lineRule="exact"/>
              <w:ind w:left="399"/>
              <w:rPr>
                <w:sz w:val="18"/>
              </w:rPr>
            </w:pPr>
            <w:r>
              <w:rPr>
                <w:spacing w:val="-2"/>
                <w:sz w:val="18"/>
              </w:rPr>
              <w:t>0.264506</w:t>
            </w:r>
          </w:p>
        </w:tc>
        <w:tc>
          <w:tcPr>
            <w:tcW w:w="898" w:type="dxa"/>
          </w:tcPr>
          <w:p>
            <w:pPr>
              <w:pStyle w:val="TableParagraph"/>
              <w:spacing w:line="186" w:lineRule="exact"/>
              <w:ind w:right="149"/>
              <w:jc w:val="right"/>
              <w:rPr>
                <w:sz w:val="18"/>
              </w:rPr>
            </w:pPr>
            <w:r>
              <w:rPr>
                <w:sz w:val="18"/>
              </w:rPr>
              <w:t>-</w:t>
            </w:r>
            <w:r>
              <w:rPr>
                <w:spacing w:val="-2"/>
                <w:sz w:val="18"/>
              </w:rPr>
              <w:t>0.417809</w:t>
            </w:r>
          </w:p>
        </w:tc>
        <w:tc>
          <w:tcPr>
            <w:tcW w:w="857" w:type="dxa"/>
          </w:tcPr>
          <w:p>
            <w:pPr>
              <w:pStyle w:val="TableParagraph"/>
              <w:spacing w:line="186" w:lineRule="exact"/>
              <w:ind w:left="-3" w:right="28"/>
              <w:jc w:val="right"/>
              <w:rPr>
                <w:sz w:val="18"/>
              </w:rPr>
            </w:pPr>
            <w:r>
              <w:rPr>
                <w:spacing w:val="-2"/>
                <w:sz w:val="18"/>
              </w:rPr>
              <w:t>0.6805</w:t>
            </w:r>
          </w:p>
        </w:tc>
      </w:tr>
      <w:tr>
        <w:trPr>
          <w:trHeight w:val="201" w:hRule="atLeast"/>
        </w:trPr>
        <w:tc>
          <w:tcPr>
            <w:tcW w:w="1792" w:type="dxa"/>
            <w:tcBorders>
              <w:bottom w:val="double" w:sz="6" w:space="0" w:color="000000"/>
            </w:tcBorders>
          </w:tcPr>
          <w:p>
            <w:pPr>
              <w:pStyle w:val="TableParagraph"/>
              <w:spacing w:line="181" w:lineRule="exact"/>
              <w:ind w:left="253"/>
              <w:jc w:val="center"/>
              <w:rPr>
                <w:sz w:val="18"/>
              </w:rPr>
            </w:pPr>
            <w:r>
              <w:rPr>
                <w:spacing w:val="-10"/>
                <w:sz w:val="18"/>
              </w:rPr>
              <w:t>C</w:t>
            </w:r>
          </w:p>
        </w:tc>
        <w:tc>
          <w:tcPr>
            <w:tcW w:w="1419" w:type="dxa"/>
            <w:tcBorders>
              <w:bottom w:val="double" w:sz="6" w:space="0" w:color="000000"/>
            </w:tcBorders>
          </w:tcPr>
          <w:p>
            <w:pPr>
              <w:pStyle w:val="TableParagraph"/>
              <w:spacing w:line="181" w:lineRule="exact"/>
              <w:ind w:right="116"/>
              <w:jc w:val="right"/>
              <w:rPr>
                <w:sz w:val="18"/>
              </w:rPr>
            </w:pPr>
            <w:r>
              <w:rPr>
                <w:sz w:val="18"/>
              </w:rPr>
              <w:t>-</w:t>
            </w:r>
            <w:r>
              <w:rPr>
                <w:spacing w:val="-2"/>
                <w:sz w:val="18"/>
              </w:rPr>
              <w:t>0.322892</w:t>
            </w:r>
          </w:p>
        </w:tc>
        <w:tc>
          <w:tcPr>
            <w:tcW w:w="1521" w:type="dxa"/>
            <w:tcBorders>
              <w:bottom w:val="double" w:sz="6" w:space="0" w:color="000000"/>
            </w:tcBorders>
          </w:tcPr>
          <w:p>
            <w:pPr>
              <w:pStyle w:val="TableParagraph"/>
              <w:spacing w:line="181" w:lineRule="exact"/>
              <w:ind w:left="399"/>
              <w:rPr>
                <w:sz w:val="18"/>
              </w:rPr>
            </w:pPr>
            <w:r>
              <w:rPr>
                <w:spacing w:val="-2"/>
                <w:sz w:val="18"/>
              </w:rPr>
              <w:t>1.278217</w:t>
            </w:r>
          </w:p>
        </w:tc>
        <w:tc>
          <w:tcPr>
            <w:tcW w:w="898" w:type="dxa"/>
            <w:tcBorders>
              <w:bottom w:val="double" w:sz="6" w:space="0" w:color="000000"/>
            </w:tcBorders>
          </w:tcPr>
          <w:p>
            <w:pPr>
              <w:pStyle w:val="TableParagraph"/>
              <w:spacing w:line="181" w:lineRule="exact"/>
              <w:ind w:right="149"/>
              <w:jc w:val="right"/>
              <w:rPr>
                <w:sz w:val="18"/>
              </w:rPr>
            </w:pPr>
            <w:r>
              <w:rPr>
                <w:sz w:val="18"/>
              </w:rPr>
              <w:t>-</w:t>
            </w:r>
            <w:r>
              <w:rPr>
                <w:spacing w:val="-2"/>
                <w:sz w:val="18"/>
              </w:rPr>
              <w:t>0.252611</w:t>
            </w:r>
          </w:p>
        </w:tc>
        <w:tc>
          <w:tcPr>
            <w:tcW w:w="857" w:type="dxa"/>
            <w:tcBorders>
              <w:bottom w:val="double" w:sz="6" w:space="0" w:color="000000"/>
            </w:tcBorders>
          </w:tcPr>
          <w:p>
            <w:pPr>
              <w:pStyle w:val="TableParagraph"/>
              <w:spacing w:line="181" w:lineRule="exact"/>
              <w:ind w:left="-3" w:right="28"/>
              <w:jc w:val="right"/>
              <w:rPr>
                <w:sz w:val="18"/>
              </w:rPr>
            </w:pPr>
            <w:r>
              <w:rPr>
                <w:spacing w:val="-2"/>
                <w:sz w:val="18"/>
              </w:rPr>
              <w:t>0.8031</w:t>
            </w:r>
          </w:p>
        </w:tc>
      </w:tr>
      <w:tr>
        <w:trPr>
          <w:trHeight w:val="252" w:hRule="atLeast"/>
        </w:trPr>
        <w:tc>
          <w:tcPr>
            <w:tcW w:w="1792" w:type="dxa"/>
            <w:tcBorders>
              <w:top w:val="double" w:sz="6" w:space="0" w:color="000000"/>
            </w:tcBorders>
          </w:tcPr>
          <w:p>
            <w:pPr>
              <w:pStyle w:val="TableParagraph"/>
              <w:spacing w:line="191" w:lineRule="exact" w:before="42"/>
              <w:ind w:left="36"/>
              <w:rPr>
                <w:sz w:val="18"/>
              </w:rPr>
            </w:pPr>
            <w:r>
              <w:rPr>
                <w:spacing w:val="-2"/>
                <w:sz w:val="18"/>
              </w:rPr>
              <w:t>R-squared</w:t>
            </w:r>
          </w:p>
        </w:tc>
        <w:tc>
          <w:tcPr>
            <w:tcW w:w="1419" w:type="dxa"/>
            <w:tcBorders>
              <w:top w:val="double" w:sz="6" w:space="0" w:color="000000"/>
            </w:tcBorders>
          </w:tcPr>
          <w:p>
            <w:pPr>
              <w:pStyle w:val="TableParagraph"/>
              <w:spacing w:line="191" w:lineRule="exact" w:before="42"/>
              <w:ind w:right="116"/>
              <w:jc w:val="right"/>
              <w:rPr>
                <w:sz w:val="18"/>
              </w:rPr>
            </w:pPr>
            <w:r>
              <w:rPr>
                <w:spacing w:val="-2"/>
                <w:sz w:val="18"/>
              </w:rPr>
              <w:t>0.013737</w:t>
            </w:r>
          </w:p>
        </w:tc>
        <w:tc>
          <w:tcPr>
            <w:tcW w:w="2419" w:type="dxa"/>
            <w:gridSpan w:val="2"/>
            <w:tcBorders>
              <w:top w:val="double" w:sz="6" w:space="0" w:color="000000"/>
            </w:tcBorders>
          </w:tcPr>
          <w:p>
            <w:pPr>
              <w:pStyle w:val="TableParagraph"/>
              <w:spacing w:line="191" w:lineRule="exact" w:before="42"/>
              <w:ind w:left="123"/>
              <w:rPr>
                <w:sz w:val="18"/>
              </w:rPr>
            </w:pPr>
            <w:r>
              <w:rPr>
                <w:sz w:val="18"/>
              </w:rPr>
              <w:t>Mean</w:t>
            </w:r>
            <w:r>
              <w:rPr>
                <w:spacing w:val="-5"/>
                <w:sz w:val="18"/>
              </w:rPr>
              <w:t> </w:t>
            </w:r>
            <w:r>
              <w:rPr>
                <w:sz w:val="18"/>
              </w:rPr>
              <w:t>dependent</w:t>
            </w:r>
            <w:r>
              <w:rPr>
                <w:spacing w:val="-1"/>
                <w:sz w:val="18"/>
              </w:rPr>
              <w:t> </w:t>
            </w:r>
            <w:r>
              <w:rPr>
                <w:spacing w:val="-5"/>
                <w:sz w:val="18"/>
              </w:rPr>
              <w:t>var</w:t>
            </w:r>
          </w:p>
        </w:tc>
        <w:tc>
          <w:tcPr>
            <w:tcW w:w="857" w:type="dxa"/>
            <w:tcBorders>
              <w:top w:val="double" w:sz="6" w:space="0" w:color="000000"/>
            </w:tcBorders>
          </w:tcPr>
          <w:p>
            <w:pPr>
              <w:pStyle w:val="TableParagraph"/>
              <w:spacing w:line="191" w:lineRule="exact" w:before="42"/>
              <w:ind w:left="-3" w:right="27"/>
              <w:jc w:val="right"/>
              <w:rPr>
                <w:sz w:val="18"/>
              </w:rPr>
            </w:pPr>
            <w:r>
              <w:rPr>
                <w:spacing w:val="-2"/>
                <w:sz w:val="18"/>
              </w:rPr>
              <w:t>0.297179</w:t>
            </w:r>
          </w:p>
        </w:tc>
      </w:tr>
      <w:tr>
        <w:trPr>
          <w:trHeight w:val="206" w:hRule="atLeast"/>
        </w:trPr>
        <w:tc>
          <w:tcPr>
            <w:tcW w:w="1792" w:type="dxa"/>
          </w:tcPr>
          <w:p>
            <w:pPr>
              <w:pStyle w:val="TableParagraph"/>
              <w:spacing w:line="186" w:lineRule="exact"/>
              <w:ind w:left="36"/>
              <w:rPr>
                <w:sz w:val="18"/>
              </w:rPr>
            </w:pPr>
            <w:r>
              <w:rPr>
                <w:sz w:val="18"/>
              </w:rPr>
              <w:t>Adjusted</w:t>
            </w:r>
            <w:r>
              <w:rPr>
                <w:spacing w:val="-1"/>
                <w:sz w:val="18"/>
              </w:rPr>
              <w:t> </w:t>
            </w:r>
            <w:r>
              <w:rPr>
                <w:sz w:val="18"/>
              </w:rPr>
              <w:t>R-</w:t>
            </w:r>
            <w:r>
              <w:rPr>
                <w:spacing w:val="-2"/>
                <w:sz w:val="18"/>
              </w:rPr>
              <w:t>squared</w:t>
            </w:r>
          </w:p>
        </w:tc>
        <w:tc>
          <w:tcPr>
            <w:tcW w:w="1419" w:type="dxa"/>
          </w:tcPr>
          <w:p>
            <w:pPr>
              <w:pStyle w:val="TableParagraph"/>
              <w:spacing w:line="186" w:lineRule="exact"/>
              <w:ind w:right="116"/>
              <w:jc w:val="right"/>
              <w:rPr>
                <w:sz w:val="18"/>
              </w:rPr>
            </w:pPr>
            <w:r>
              <w:rPr>
                <w:sz w:val="18"/>
              </w:rPr>
              <w:t>-</w:t>
            </w:r>
            <w:r>
              <w:rPr>
                <w:spacing w:val="-2"/>
                <w:sz w:val="18"/>
              </w:rPr>
              <w:t>0.084889</w:t>
            </w:r>
          </w:p>
        </w:tc>
        <w:tc>
          <w:tcPr>
            <w:tcW w:w="1521" w:type="dxa"/>
          </w:tcPr>
          <w:p>
            <w:pPr>
              <w:pStyle w:val="TableParagraph"/>
              <w:spacing w:line="186" w:lineRule="exact"/>
              <w:ind w:left="123"/>
              <w:rPr>
                <w:sz w:val="18"/>
              </w:rPr>
            </w:pPr>
            <w:r>
              <w:rPr>
                <w:sz w:val="18"/>
              </w:rPr>
              <w:t>S.D.</w:t>
            </w:r>
            <w:r>
              <w:rPr>
                <w:spacing w:val="-5"/>
                <w:sz w:val="18"/>
              </w:rPr>
              <w:t> </w:t>
            </w:r>
            <w:r>
              <w:rPr>
                <w:sz w:val="18"/>
              </w:rPr>
              <w:t>dependent</w:t>
            </w:r>
            <w:r>
              <w:rPr>
                <w:spacing w:val="-3"/>
                <w:sz w:val="18"/>
              </w:rPr>
              <w:t> </w:t>
            </w:r>
            <w:r>
              <w:rPr>
                <w:spacing w:val="-5"/>
                <w:sz w:val="18"/>
              </w:rPr>
              <w:t>var</w:t>
            </w:r>
          </w:p>
        </w:tc>
        <w:tc>
          <w:tcPr>
            <w:tcW w:w="898" w:type="dxa"/>
          </w:tcPr>
          <w:p>
            <w:pPr>
              <w:pStyle w:val="TableParagraph"/>
              <w:rPr>
                <w:sz w:val="14"/>
              </w:rPr>
            </w:pPr>
          </w:p>
        </w:tc>
        <w:tc>
          <w:tcPr>
            <w:tcW w:w="857" w:type="dxa"/>
          </w:tcPr>
          <w:p>
            <w:pPr>
              <w:pStyle w:val="TableParagraph"/>
              <w:spacing w:line="186" w:lineRule="exact"/>
              <w:ind w:left="-3" w:right="27"/>
              <w:jc w:val="right"/>
              <w:rPr>
                <w:sz w:val="18"/>
              </w:rPr>
            </w:pPr>
            <w:r>
              <w:rPr>
                <w:spacing w:val="-2"/>
                <w:sz w:val="18"/>
              </w:rPr>
              <w:t>0.651271</w:t>
            </w:r>
          </w:p>
        </w:tc>
      </w:tr>
      <w:tr>
        <w:trPr>
          <w:trHeight w:val="206" w:hRule="atLeast"/>
        </w:trPr>
        <w:tc>
          <w:tcPr>
            <w:tcW w:w="1792" w:type="dxa"/>
          </w:tcPr>
          <w:p>
            <w:pPr>
              <w:pStyle w:val="TableParagraph"/>
              <w:spacing w:line="186" w:lineRule="exact"/>
              <w:ind w:left="36"/>
              <w:rPr>
                <w:sz w:val="18"/>
              </w:rPr>
            </w:pPr>
            <w:r>
              <w:rPr>
                <w:sz w:val="18"/>
              </w:rPr>
              <w:t>S.E.</w:t>
            </w:r>
            <w:r>
              <w:rPr>
                <w:spacing w:val="-3"/>
                <w:sz w:val="18"/>
              </w:rPr>
              <w:t> </w:t>
            </w:r>
            <w:r>
              <w:rPr>
                <w:sz w:val="18"/>
              </w:rPr>
              <w:t>of</w:t>
            </w:r>
            <w:r>
              <w:rPr>
                <w:spacing w:val="-1"/>
                <w:sz w:val="18"/>
              </w:rPr>
              <w:t> </w:t>
            </w:r>
            <w:r>
              <w:rPr>
                <w:spacing w:val="-2"/>
                <w:sz w:val="18"/>
              </w:rPr>
              <w:t>regression</w:t>
            </w:r>
          </w:p>
        </w:tc>
        <w:tc>
          <w:tcPr>
            <w:tcW w:w="1419" w:type="dxa"/>
          </w:tcPr>
          <w:p>
            <w:pPr>
              <w:pStyle w:val="TableParagraph"/>
              <w:spacing w:line="186" w:lineRule="exact"/>
              <w:ind w:right="116"/>
              <w:jc w:val="right"/>
              <w:rPr>
                <w:sz w:val="18"/>
              </w:rPr>
            </w:pPr>
            <w:r>
              <w:rPr>
                <w:spacing w:val="-2"/>
                <w:sz w:val="18"/>
              </w:rPr>
              <w:t>0.678351</w:t>
            </w:r>
          </w:p>
        </w:tc>
        <w:tc>
          <w:tcPr>
            <w:tcW w:w="2419" w:type="dxa"/>
            <w:gridSpan w:val="2"/>
          </w:tcPr>
          <w:p>
            <w:pPr>
              <w:pStyle w:val="TableParagraph"/>
              <w:spacing w:line="186" w:lineRule="exact"/>
              <w:ind w:left="123"/>
              <w:rPr>
                <w:sz w:val="18"/>
              </w:rPr>
            </w:pPr>
            <w:r>
              <w:rPr>
                <w:sz w:val="18"/>
              </w:rPr>
              <w:t>Akaike</w:t>
            </w:r>
            <w:r>
              <w:rPr>
                <w:spacing w:val="-5"/>
                <w:sz w:val="18"/>
              </w:rPr>
              <w:t> </w:t>
            </w:r>
            <w:r>
              <w:rPr>
                <w:sz w:val="18"/>
              </w:rPr>
              <w:t>info</w:t>
            </w:r>
            <w:r>
              <w:rPr>
                <w:spacing w:val="-2"/>
                <w:sz w:val="18"/>
              </w:rPr>
              <w:t> criterion</w:t>
            </w:r>
          </w:p>
        </w:tc>
        <w:tc>
          <w:tcPr>
            <w:tcW w:w="857" w:type="dxa"/>
          </w:tcPr>
          <w:p>
            <w:pPr>
              <w:pStyle w:val="TableParagraph"/>
              <w:spacing w:line="186" w:lineRule="exact"/>
              <w:ind w:left="-3" w:right="27"/>
              <w:jc w:val="right"/>
              <w:rPr>
                <w:sz w:val="18"/>
              </w:rPr>
            </w:pPr>
            <w:r>
              <w:rPr>
                <w:spacing w:val="-2"/>
                <w:sz w:val="18"/>
              </w:rPr>
              <w:t>2.182804</w:t>
            </w:r>
          </w:p>
        </w:tc>
      </w:tr>
      <w:tr>
        <w:trPr>
          <w:trHeight w:val="207" w:hRule="atLeast"/>
        </w:trPr>
        <w:tc>
          <w:tcPr>
            <w:tcW w:w="1792" w:type="dxa"/>
          </w:tcPr>
          <w:p>
            <w:pPr>
              <w:pStyle w:val="TableParagraph"/>
              <w:spacing w:line="188" w:lineRule="exact"/>
              <w:ind w:left="36"/>
              <w:rPr>
                <w:sz w:val="18"/>
              </w:rPr>
            </w:pPr>
            <w:r>
              <w:rPr>
                <w:sz w:val="18"/>
              </w:rPr>
              <w:t>Sum</w:t>
            </w:r>
            <w:r>
              <w:rPr>
                <w:spacing w:val="-3"/>
                <w:sz w:val="18"/>
              </w:rPr>
              <w:t> </w:t>
            </w:r>
            <w:r>
              <w:rPr>
                <w:sz w:val="18"/>
              </w:rPr>
              <w:t>squared</w:t>
            </w:r>
            <w:r>
              <w:rPr>
                <w:spacing w:val="1"/>
                <w:sz w:val="18"/>
              </w:rPr>
              <w:t> </w:t>
            </w:r>
            <w:r>
              <w:rPr>
                <w:spacing w:val="-2"/>
                <w:sz w:val="18"/>
              </w:rPr>
              <w:t>resid</w:t>
            </w:r>
          </w:p>
        </w:tc>
        <w:tc>
          <w:tcPr>
            <w:tcW w:w="1419" w:type="dxa"/>
          </w:tcPr>
          <w:p>
            <w:pPr>
              <w:pStyle w:val="TableParagraph"/>
              <w:spacing w:line="188" w:lineRule="exact"/>
              <w:ind w:right="116"/>
              <w:jc w:val="right"/>
              <w:rPr>
                <w:sz w:val="18"/>
              </w:rPr>
            </w:pPr>
            <w:r>
              <w:rPr>
                <w:spacing w:val="-2"/>
                <w:sz w:val="18"/>
              </w:rPr>
              <w:t>9.203202</w:t>
            </w:r>
          </w:p>
        </w:tc>
        <w:tc>
          <w:tcPr>
            <w:tcW w:w="1521" w:type="dxa"/>
          </w:tcPr>
          <w:p>
            <w:pPr>
              <w:pStyle w:val="TableParagraph"/>
              <w:spacing w:line="188" w:lineRule="exact"/>
              <w:ind w:left="123"/>
              <w:rPr>
                <w:sz w:val="18"/>
              </w:rPr>
            </w:pPr>
            <w:r>
              <w:rPr>
                <w:sz w:val="18"/>
              </w:rPr>
              <w:t>Schwarz</w:t>
            </w:r>
            <w:r>
              <w:rPr>
                <w:spacing w:val="-7"/>
                <w:sz w:val="18"/>
              </w:rPr>
              <w:t> </w:t>
            </w:r>
            <w:r>
              <w:rPr>
                <w:spacing w:val="-2"/>
                <w:sz w:val="18"/>
              </w:rPr>
              <w:t>criterion</w:t>
            </w:r>
          </w:p>
        </w:tc>
        <w:tc>
          <w:tcPr>
            <w:tcW w:w="898" w:type="dxa"/>
          </w:tcPr>
          <w:p>
            <w:pPr>
              <w:pStyle w:val="TableParagraph"/>
              <w:rPr>
                <w:sz w:val="14"/>
              </w:rPr>
            </w:pPr>
          </w:p>
        </w:tc>
        <w:tc>
          <w:tcPr>
            <w:tcW w:w="857" w:type="dxa"/>
          </w:tcPr>
          <w:p>
            <w:pPr>
              <w:pStyle w:val="TableParagraph"/>
              <w:spacing w:line="188" w:lineRule="exact"/>
              <w:ind w:left="-3" w:right="27"/>
              <w:jc w:val="right"/>
              <w:rPr>
                <w:sz w:val="18"/>
              </w:rPr>
            </w:pPr>
            <w:r>
              <w:rPr>
                <w:spacing w:val="-2"/>
                <w:sz w:val="18"/>
              </w:rPr>
              <w:t>2.330912</w:t>
            </w:r>
          </w:p>
        </w:tc>
      </w:tr>
      <w:tr>
        <w:trPr>
          <w:trHeight w:val="207" w:hRule="atLeast"/>
        </w:trPr>
        <w:tc>
          <w:tcPr>
            <w:tcW w:w="1792" w:type="dxa"/>
          </w:tcPr>
          <w:p>
            <w:pPr>
              <w:pStyle w:val="TableParagraph"/>
              <w:spacing w:line="188" w:lineRule="exact"/>
              <w:ind w:left="36"/>
              <w:rPr>
                <w:sz w:val="18"/>
              </w:rPr>
            </w:pPr>
            <w:r>
              <w:rPr>
                <w:sz w:val="18"/>
              </w:rPr>
              <w:t>Log</w:t>
            </w:r>
            <w:r>
              <w:rPr>
                <w:spacing w:val="-2"/>
                <w:sz w:val="18"/>
              </w:rPr>
              <w:t> likelihood</w:t>
            </w:r>
          </w:p>
        </w:tc>
        <w:tc>
          <w:tcPr>
            <w:tcW w:w="1419" w:type="dxa"/>
          </w:tcPr>
          <w:p>
            <w:pPr>
              <w:pStyle w:val="TableParagraph"/>
              <w:spacing w:line="188" w:lineRule="exact"/>
              <w:ind w:right="116"/>
              <w:jc w:val="right"/>
              <w:rPr>
                <w:sz w:val="18"/>
              </w:rPr>
            </w:pPr>
            <w:r>
              <w:rPr>
                <w:sz w:val="18"/>
              </w:rPr>
              <w:t>-</w:t>
            </w:r>
            <w:r>
              <w:rPr>
                <w:spacing w:val="-2"/>
                <w:sz w:val="18"/>
              </w:rPr>
              <w:t>22.10224</w:t>
            </w:r>
          </w:p>
        </w:tc>
        <w:tc>
          <w:tcPr>
            <w:tcW w:w="1521" w:type="dxa"/>
          </w:tcPr>
          <w:p>
            <w:pPr>
              <w:pStyle w:val="TableParagraph"/>
              <w:spacing w:line="188" w:lineRule="exact"/>
              <w:ind w:left="123"/>
              <w:rPr>
                <w:sz w:val="18"/>
              </w:rPr>
            </w:pPr>
            <w:r>
              <w:rPr>
                <w:sz w:val="18"/>
              </w:rPr>
              <w:t>F-</w:t>
            </w:r>
            <w:r>
              <w:rPr>
                <w:spacing w:val="-2"/>
                <w:sz w:val="18"/>
              </w:rPr>
              <w:t>statistic</w:t>
            </w:r>
          </w:p>
        </w:tc>
        <w:tc>
          <w:tcPr>
            <w:tcW w:w="898" w:type="dxa"/>
          </w:tcPr>
          <w:p>
            <w:pPr>
              <w:pStyle w:val="TableParagraph"/>
              <w:rPr>
                <w:sz w:val="14"/>
              </w:rPr>
            </w:pPr>
          </w:p>
        </w:tc>
        <w:tc>
          <w:tcPr>
            <w:tcW w:w="857" w:type="dxa"/>
          </w:tcPr>
          <w:p>
            <w:pPr>
              <w:pStyle w:val="TableParagraph"/>
              <w:spacing w:line="188" w:lineRule="exact"/>
              <w:ind w:left="-3" w:right="27"/>
              <w:jc w:val="right"/>
              <w:rPr>
                <w:sz w:val="18"/>
              </w:rPr>
            </w:pPr>
            <w:r>
              <w:rPr>
                <w:spacing w:val="-2"/>
                <w:sz w:val="18"/>
              </w:rPr>
              <w:t>0.139284</w:t>
            </w:r>
          </w:p>
        </w:tc>
      </w:tr>
      <w:tr>
        <w:trPr>
          <w:trHeight w:val="244" w:hRule="atLeast"/>
        </w:trPr>
        <w:tc>
          <w:tcPr>
            <w:tcW w:w="1792" w:type="dxa"/>
            <w:tcBorders>
              <w:bottom w:val="double" w:sz="6" w:space="0" w:color="000000"/>
            </w:tcBorders>
          </w:tcPr>
          <w:p>
            <w:pPr>
              <w:pStyle w:val="TableParagraph"/>
              <w:spacing w:line="203" w:lineRule="exact"/>
              <w:ind w:left="36"/>
              <w:rPr>
                <w:sz w:val="18"/>
              </w:rPr>
            </w:pPr>
            <w:r>
              <w:rPr>
                <w:sz w:val="18"/>
              </w:rPr>
              <w:t>Durbin-Watson</w:t>
            </w:r>
            <w:r>
              <w:rPr>
                <w:spacing w:val="-2"/>
                <w:sz w:val="18"/>
              </w:rPr>
              <w:t> </w:t>
            </w:r>
            <w:r>
              <w:rPr>
                <w:spacing w:val="-4"/>
                <w:sz w:val="18"/>
              </w:rPr>
              <w:t>stat</w:t>
            </w:r>
          </w:p>
        </w:tc>
        <w:tc>
          <w:tcPr>
            <w:tcW w:w="1419" w:type="dxa"/>
          </w:tcPr>
          <w:p>
            <w:pPr>
              <w:pStyle w:val="TableParagraph"/>
              <w:spacing w:line="203" w:lineRule="exact"/>
              <w:ind w:right="116"/>
              <w:jc w:val="right"/>
              <w:rPr>
                <w:sz w:val="18"/>
              </w:rPr>
            </w:pPr>
            <w:r>
              <w:rPr>
                <w:spacing w:val="-2"/>
                <w:sz w:val="18"/>
              </w:rPr>
              <w:t>1.994125</w:t>
            </w:r>
          </w:p>
        </w:tc>
        <w:tc>
          <w:tcPr>
            <w:tcW w:w="1521" w:type="dxa"/>
            <w:tcBorders>
              <w:bottom w:val="double" w:sz="6" w:space="0" w:color="000000"/>
            </w:tcBorders>
          </w:tcPr>
          <w:p>
            <w:pPr>
              <w:pStyle w:val="TableParagraph"/>
              <w:spacing w:line="203" w:lineRule="exact"/>
              <w:ind w:left="121"/>
              <w:rPr>
                <w:sz w:val="18"/>
              </w:rPr>
            </w:pPr>
            <w:r>
              <w:rPr>
                <w:spacing w:val="-2"/>
                <w:sz w:val="18"/>
              </w:rPr>
              <w:t>Prob(F-statistic)</w:t>
            </w:r>
          </w:p>
        </w:tc>
        <w:tc>
          <w:tcPr>
            <w:tcW w:w="898" w:type="dxa"/>
          </w:tcPr>
          <w:p>
            <w:pPr>
              <w:pStyle w:val="TableParagraph"/>
              <w:rPr>
                <w:sz w:val="16"/>
              </w:rPr>
            </w:pPr>
          </w:p>
        </w:tc>
        <w:tc>
          <w:tcPr>
            <w:tcW w:w="857" w:type="dxa"/>
            <w:tcBorders>
              <w:bottom w:val="double" w:sz="6" w:space="0" w:color="000000"/>
            </w:tcBorders>
          </w:tcPr>
          <w:p>
            <w:pPr>
              <w:pStyle w:val="TableParagraph"/>
              <w:spacing w:line="203" w:lineRule="exact"/>
              <w:ind w:left="-3" w:right="27"/>
              <w:jc w:val="right"/>
              <w:rPr>
                <w:sz w:val="18"/>
              </w:rPr>
            </w:pPr>
            <w:r>
              <w:rPr>
                <w:spacing w:val="-2"/>
                <w:sz w:val="18"/>
              </w:rPr>
              <w:t>0.870818</w:t>
            </w:r>
          </w:p>
        </w:tc>
      </w:tr>
    </w:tbl>
    <w:p>
      <w:pPr>
        <w:spacing w:after="0" w:line="203" w:lineRule="exact"/>
        <w:jc w:val="right"/>
        <w:rPr>
          <w:sz w:val="18"/>
        </w:rPr>
        <w:sectPr>
          <w:pgSz w:w="11910" w:h="16840"/>
          <w:pgMar w:header="0" w:footer="982" w:top="1920" w:bottom="1240" w:left="280" w:right="0"/>
        </w:sectPr>
      </w:pPr>
    </w:p>
    <w:p>
      <w:pPr>
        <w:spacing w:before="74" w:after="3"/>
        <w:ind w:left="711" w:right="0" w:firstLine="0"/>
        <w:jc w:val="left"/>
        <w:rPr>
          <w:sz w:val="18"/>
        </w:rPr>
      </w:pPr>
      <w:r>
        <w:rPr>
          <w:sz w:val="18"/>
        </w:rPr>
        <w:t>DFI @ 1</w:t>
      </w:r>
      <w:r>
        <w:rPr>
          <w:sz w:val="18"/>
          <w:vertAlign w:val="superscript"/>
        </w:rPr>
        <w:t>ST</w:t>
      </w:r>
      <w:r>
        <w:rPr>
          <w:spacing w:val="1"/>
          <w:sz w:val="18"/>
          <w:vertAlign w:val="baseline"/>
        </w:rPr>
        <w:t> </w:t>
      </w:r>
      <w:r>
        <w:rPr>
          <w:spacing w:val="-4"/>
          <w:sz w:val="18"/>
          <w:vertAlign w:val="baseline"/>
        </w:rPr>
        <w:t>DIFF</w:t>
      </w:r>
    </w:p>
    <w:tbl>
      <w:tblPr>
        <w:tblW w:w="0" w:type="auto"/>
        <w:jc w:val="left"/>
        <w:tblInd w:w="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82"/>
        <w:gridCol w:w="1430"/>
        <w:gridCol w:w="1521"/>
        <w:gridCol w:w="898"/>
        <w:gridCol w:w="857"/>
      </w:tblGrid>
      <w:tr>
        <w:trPr>
          <w:trHeight w:val="202" w:hRule="atLeast"/>
        </w:trPr>
        <w:tc>
          <w:tcPr>
            <w:tcW w:w="1782" w:type="dxa"/>
          </w:tcPr>
          <w:p>
            <w:pPr>
              <w:pStyle w:val="TableParagraph"/>
              <w:spacing w:line="183" w:lineRule="exact"/>
              <w:ind w:left="36"/>
              <w:rPr>
                <w:sz w:val="18"/>
              </w:rPr>
            </w:pPr>
            <w:r>
              <w:rPr>
                <w:sz w:val="18"/>
              </w:rPr>
              <w:t>ADF</w:t>
            </w:r>
            <w:r>
              <w:rPr>
                <w:spacing w:val="-3"/>
                <w:sz w:val="18"/>
              </w:rPr>
              <w:t> </w:t>
            </w:r>
            <w:r>
              <w:rPr>
                <w:sz w:val="18"/>
              </w:rPr>
              <w:t>Test</w:t>
            </w:r>
            <w:r>
              <w:rPr>
                <w:spacing w:val="-1"/>
                <w:sz w:val="18"/>
              </w:rPr>
              <w:t> </w:t>
            </w:r>
            <w:r>
              <w:rPr>
                <w:spacing w:val="-2"/>
                <w:sz w:val="18"/>
              </w:rPr>
              <w:t>Statistic</w:t>
            </w:r>
          </w:p>
        </w:tc>
        <w:tc>
          <w:tcPr>
            <w:tcW w:w="1430" w:type="dxa"/>
          </w:tcPr>
          <w:p>
            <w:pPr>
              <w:pStyle w:val="TableParagraph"/>
              <w:spacing w:line="183" w:lineRule="exact"/>
              <w:ind w:left="284"/>
              <w:rPr>
                <w:sz w:val="18"/>
              </w:rPr>
            </w:pPr>
            <w:r>
              <w:rPr>
                <w:sz w:val="18"/>
              </w:rPr>
              <w:t>-</w:t>
            </w:r>
            <w:r>
              <w:rPr>
                <w:spacing w:val="-2"/>
                <w:sz w:val="18"/>
              </w:rPr>
              <w:t>1.686565</w:t>
            </w:r>
          </w:p>
        </w:tc>
        <w:tc>
          <w:tcPr>
            <w:tcW w:w="2419" w:type="dxa"/>
            <w:gridSpan w:val="2"/>
          </w:tcPr>
          <w:p>
            <w:pPr>
              <w:pStyle w:val="TableParagraph"/>
              <w:spacing w:line="183" w:lineRule="exact"/>
              <w:ind w:left="122"/>
              <w:rPr>
                <w:sz w:val="18"/>
              </w:rPr>
            </w:pPr>
            <w:r>
              <w:rPr>
                <w:sz w:val="18"/>
              </w:rPr>
              <w:t>1%</w:t>
            </w:r>
            <w:r>
              <w:rPr>
                <w:spacing w:val="63"/>
                <w:w w:val="150"/>
                <w:sz w:val="18"/>
              </w:rPr>
              <w:t> </w:t>
            </w:r>
            <w:r>
              <w:rPr>
                <w:sz w:val="18"/>
              </w:rPr>
              <w:t>Critical</w:t>
            </w:r>
            <w:r>
              <w:rPr>
                <w:spacing w:val="-2"/>
                <w:sz w:val="18"/>
              </w:rPr>
              <w:t> Value*</w:t>
            </w:r>
          </w:p>
        </w:tc>
        <w:tc>
          <w:tcPr>
            <w:tcW w:w="857" w:type="dxa"/>
          </w:tcPr>
          <w:p>
            <w:pPr>
              <w:pStyle w:val="TableParagraph"/>
              <w:spacing w:line="183" w:lineRule="exact"/>
              <w:ind w:left="-3" w:right="29"/>
              <w:jc w:val="right"/>
              <w:rPr>
                <w:sz w:val="18"/>
              </w:rPr>
            </w:pPr>
            <w:r>
              <w:rPr>
                <w:sz w:val="18"/>
              </w:rPr>
              <w:t>-</w:t>
            </w:r>
            <w:r>
              <w:rPr>
                <w:spacing w:val="-2"/>
                <w:sz w:val="18"/>
              </w:rPr>
              <w:t>3.7667</w:t>
            </w:r>
          </w:p>
        </w:tc>
      </w:tr>
      <w:tr>
        <w:trPr>
          <w:trHeight w:val="206" w:hRule="atLeast"/>
        </w:trPr>
        <w:tc>
          <w:tcPr>
            <w:tcW w:w="1782" w:type="dxa"/>
          </w:tcPr>
          <w:p>
            <w:pPr>
              <w:pStyle w:val="TableParagraph"/>
              <w:rPr>
                <w:sz w:val="14"/>
              </w:rPr>
            </w:pPr>
          </w:p>
        </w:tc>
        <w:tc>
          <w:tcPr>
            <w:tcW w:w="1430" w:type="dxa"/>
          </w:tcPr>
          <w:p>
            <w:pPr>
              <w:pStyle w:val="TableParagraph"/>
              <w:rPr>
                <w:sz w:val="14"/>
              </w:rPr>
            </w:pPr>
          </w:p>
        </w:tc>
        <w:tc>
          <w:tcPr>
            <w:tcW w:w="1521" w:type="dxa"/>
          </w:tcPr>
          <w:p>
            <w:pPr>
              <w:pStyle w:val="TableParagraph"/>
              <w:spacing w:line="186" w:lineRule="exact"/>
              <w:ind w:left="122"/>
              <w:rPr>
                <w:sz w:val="18"/>
              </w:rPr>
            </w:pPr>
            <w:r>
              <w:rPr>
                <w:sz w:val="18"/>
              </w:rPr>
              <w:t>5%</w:t>
            </w:r>
            <w:r>
              <w:rPr>
                <w:spacing w:val="63"/>
                <w:w w:val="150"/>
                <w:sz w:val="18"/>
              </w:rPr>
              <w:t> </w:t>
            </w:r>
            <w:r>
              <w:rPr>
                <w:sz w:val="18"/>
              </w:rPr>
              <w:t>Critical</w:t>
            </w:r>
            <w:r>
              <w:rPr>
                <w:spacing w:val="-2"/>
                <w:sz w:val="18"/>
              </w:rPr>
              <w:t> Value</w:t>
            </w:r>
          </w:p>
        </w:tc>
        <w:tc>
          <w:tcPr>
            <w:tcW w:w="898" w:type="dxa"/>
          </w:tcPr>
          <w:p>
            <w:pPr>
              <w:pStyle w:val="TableParagraph"/>
              <w:rPr>
                <w:sz w:val="14"/>
              </w:rPr>
            </w:pPr>
          </w:p>
        </w:tc>
        <w:tc>
          <w:tcPr>
            <w:tcW w:w="857" w:type="dxa"/>
          </w:tcPr>
          <w:p>
            <w:pPr>
              <w:pStyle w:val="TableParagraph"/>
              <w:spacing w:line="186" w:lineRule="exact"/>
              <w:ind w:left="-3" w:right="29"/>
              <w:jc w:val="right"/>
              <w:rPr>
                <w:sz w:val="18"/>
              </w:rPr>
            </w:pPr>
            <w:r>
              <w:rPr>
                <w:sz w:val="18"/>
              </w:rPr>
              <w:t>-</w:t>
            </w:r>
            <w:r>
              <w:rPr>
                <w:spacing w:val="-2"/>
                <w:sz w:val="18"/>
              </w:rPr>
              <w:t>3.0038</w:t>
            </w:r>
          </w:p>
        </w:tc>
      </w:tr>
      <w:tr>
        <w:trPr>
          <w:trHeight w:val="201" w:hRule="atLeast"/>
        </w:trPr>
        <w:tc>
          <w:tcPr>
            <w:tcW w:w="1782" w:type="dxa"/>
            <w:tcBorders>
              <w:bottom w:val="double" w:sz="6" w:space="0" w:color="000000"/>
            </w:tcBorders>
          </w:tcPr>
          <w:p>
            <w:pPr>
              <w:pStyle w:val="TableParagraph"/>
              <w:rPr>
                <w:sz w:val="14"/>
              </w:rPr>
            </w:pPr>
          </w:p>
        </w:tc>
        <w:tc>
          <w:tcPr>
            <w:tcW w:w="1430" w:type="dxa"/>
            <w:tcBorders>
              <w:bottom w:val="double" w:sz="6" w:space="0" w:color="000000"/>
            </w:tcBorders>
          </w:tcPr>
          <w:p>
            <w:pPr>
              <w:pStyle w:val="TableParagraph"/>
              <w:rPr>
                <w:sz w:val="14"/>
              </w:rPr>
            </w:pPr>
          </w:p>
        </w:tc>
        <w:tc>
          <w:tcPr>
            <w:tcW w:w="1521" w:type="dxa"/>
            <w:tcBorders>
              <w:bottom w:val="double" w:sz="6" w:space="0" w:color="000000"/>
            </w:tcBorders>
          </w:tcPr>
          <w:p>
            <w:pPr>
              <w:pStyle w:val="TableParagraph"/>
              <w:spacing w:line="181" w:lineRule="exact"/>
              <w:ind w:left="122"/>
              <w:rPr>
                <w:sz w:val="18"/>
              </w:rPr>
            </w:pPr>
            <w:r>
              <w:rPr>
                <w:sz w:val="18"/>
              </w:rPr>
              <w:t>10%</w:t>
            </w:r>
            <w:r>
              <w:rPr>
                <w:spacing w:val="-5"/>
                <w:sz w:val="18"/>
              </w:rPr>
              <w:t> </w:t>
            </w:r>
            <w:r>
              <w:rPr>
                <w:sz w:val="18"/>
              </w:rPr>
              <w:t>Critical</w:t>
            </w:r>
            <w:r>
              <w:rPr>
                <w:spacing w:val="-3"/>
                <w:sz w:val="18"/>
              </w:rPr>
              <w:t> </w:t>
            </w:r>
            <w:r>
              <w:rPr>
                <w:spacing w:val="-2"/>
                <w:sz w:val="18"/>
              </w:rPr>
              <w:t>Value</w:t>
            </w:r>
          </w:p>
        </w:tc>
        <w:tc>
          <w:tcPr>
            <w:tcW w:w="898" w:type="dxa"/>
            <w:tcBorders>
              <w:bottom w:val="double" w:sz="6" w:space="0" w:color="000000"/>
            </w:tcBorders>
          </w:tcPr>
          <w:p>
            <w:pPr>
              <w:pStyle w:val="TableParagraph"/>
              <w:rPr>
                <w:sz w:val="14"/>
              </w:rPr>
            </w:pPr>
          </w:p>
        </w:tc>
        <w:tc>
          <w:tcPr>
            <w:tcW w:w="857" w:type="dxa"/>
            <w:tcBorders>
              <w:bottom w:val="double" w:sz="6" w:space="0" w:color="000000"/>
            </w:tcBorders>
          </w:tcPr>
          <w:p>
            <w:pPr>
              <w:pStyle w:val="TableParagraph"/>
              <w:spacing w:line="181" w:lineRule="exact"/>
              <w:ind w:left="-3" w:right="29"/>
              <w:jc w:val="right"/>
              <w:rPr>
                <w:sz w:val="18"/>
              </w:rPr>
            </w:pPr>
            <w:r>
              <w:rPr>
                <w:sz w:val="18"/>
              </w:rPr>
              <w:t>-</w:t>
            </w:r>
            <w:r>
              <w:rPr>
                <w:spacing w:val="-2"/>
                <w:sz w:val="18"/>
              </w:rPr>
              <w:t>2.6417</w:t>
            </w:r>
          </w:p>
        </w:tc>
      </w:tr>
      <w:tr>
        <w:trPr>
          <w:trHeight w:val="460" w:hRule="atLeast"/>
        </w:trPr>
        <w:tc>
          <w:tcPr>
            <w:tcW w:w="6488" w:type="dxa"/>
            <w:gridSpan w:val="5"/>
            <w:tcBorders>
              <w:top w:val="double" w:sz="6" w:space="0" w:color="000000"/>
            </w:tcBorders>
          </w:tcPr>
          <w:p>
            <w:pPr>
              <w:pStyle w:val="TableParagraph"/>
              <w:spacing w:before="42"/>
              <w:ind w:left="36"/>
              <w:rPr>
                <w:sz w:val="18"/>
              </w:rPr>
            </w:pPr>
            <w:r>
              <w:rPr>
                <w:sz w:val="18"/>
              </w:rPr>
              <w:t>*MacKinnon</w:t>
            </w:r>
            <w:r>
              <w:rPr>
                <w:spacing w:val="-1"/>
                <w:sz w:val="18"/>
              </w:rPr>
              <w:t> </w:t>
            </w:r>
            <w:r>
              <w:rPr>
                <w:sz w:val="18"/>
              </w:rPr>
              <w:t>critical</w:t>
            </w:r>
            <w:r>
              <w:rPr>
                <w:spacing w:val="-1"/>
                <w:sz w:val="18"/>
              </w:rPr>
              <w:t> </w:t>
            </w:r>
            <w:r>
              <w:rPr>
                <w:sz w:val="18"/>
              </w:rPr>
              <w:t>values</w:t>
            </w:r>
            <w:r>
              <w:rPr>
                <w:spacing w:val="-1"/>
                <w:sz w:val="18"/>
              </w:rPr>
              <w:t> </w:t>
            </w:r>
            <w:r>
              <w:rPr>
                <w:sz w:val="18"/>
              </w:rPr>
              <w:t>for</w:t>
            </w:r>
            <w:r>
              <w:rPr>
                <w:spacing w:val="-1"/>
                <w:sz w:val="18"/>
              </w:rPr>
              <w:t> </w:t>
            </w:r>
            <w:r>
              <w:rPr>
                <w:sz w:val="18"/>
              </w:rPr>
              <w:t>rejection</w:t>
            </w:r>
            <w:r>
              <w:rPr>
                <w:spacing w:val="-2"/>
                <w:sz w:val="18"/>
              </w:rPr>
              <w:t> </w:t>
            </w:r>
            <w:r>
              <w:rPr>
                <w:sz w:val="18"/>
              </w:rPr>
              <w:t>of</w:t>
            </w:r>
            <w:r>
              <w:rPr>
                <w:spacing w:val="-3"/>
                <w:sz w:val="18"/>
              </w:rPr>
              <w:t> </w:t>
            </w:r>
            <w:r>
              <w:rPr>
                <w:sz w:val="18"/>
              </w:rPr>
              <w:t>hypothesis</w:t>
            </w:r>
            <w:r>
              <w:rPr>
                <w:spacing w:val="-1"/>
                <w:sz w:val="18"/>
              </w:rPr>
              <w:t> </w:t>
            </w:r>
            <w:r>
              <w:rPr>
                <w:sz w:val="18"/>
              </w:rPr>
              <w:t>of</w:t>
            </w:r>
            <w:r>
              <w:rPr>
                <w:spacing w:val="-3"/>
                <w:sz w:val="18"/>
              </w:rPr>
              <w:t> </w:t>
            </w:r>
            <w:r>
              <w:rPr>
                <w:sz w:val="18"/>
              </w:rPr>
              <w:t>a</w:t>
            </w:r>
            <w:r>
              <w:rPr>
                <w:spacing w:val="-2"/>
                <w:sz w:val="18"/>
              </w:rPr>
              <w:t> </w:t>
            </w:r>
            <w:r>
              <w:rPr>
                <w:sz w:val="18"/>
              </w:rPr>
              <w:t>unit</w:t>
            </w:r>
            <w:r>
              <w:rPr>
                <w:spacing w:val="-2"/>
                <w:sz w:val="18"/>
              </w:rPr>
              <w:t> root.</w:t>
            </w:r>
          </w:p>
        </w:tc>
      </w:tr>
      <w:tr>
        <w:trPr>
          <w:trHeight w:val="413" w:hRule="atLeast"/>
        </w:trPr>
        <w:tc>
          <w:tcPr>
            <w:tcW w:w="6488" w:type="dxa"/>
            <w:gridSpan w:val="5"/>
          </w:tcPr>
          <w:p>
            <w:pPr>
              <w:pStyle w:val="TableParagraph"/>
              <w:spacing w:line="191" w:lineRule="exact" w:before="203"/>
              <w:ind w:left="36"/>
              <w:rPr>
                <w:sz w:val="18"/>
              </w:rPr>
            </w:pPr>
            <w:r>
              <w:rPr>
                <w:sz w:val="18"/>
              </w:rPr>
              <w:t>Augmented</w:t>
            </w:r>
            <w:r>
              <w:rPr>
                <w:spacing w:val="-3"/>
                <w:sz w:val="18"/>
              </w:rPr>
              <w:t> </w:t>
            </w:r>
            <w:r>
              <w:rPr>
                <w:sz w:val="18"/>
              </w:rPr>
              <w:t>Dickey-Fuller</w:t>
            </w:r>
            <w:r>
              <w:rPr>
                <w:spacing w:val="-3"/>
                <w:sz w:val="18"/>
              </w:rPr>
              <w:t> </w:t>
            </w:r>
            <w:r>
              <w:rPr>
                <w:sz w:val="18"/>
              </w:rPr>
              <w:t>Test</w:t>
            </w:r>
            <w:r>
              <w:rPr>
                <w:spacing w:val="-3"/>
                <w:sz w:val="18"/>
              </w:rPr>
              <w:t> </w:t>
            </w:r>
            <w:r>
              <w:rPr>
                <w:spacing w:val="-2"/>
                <w:sz w:val="18"/>
              </w:rPr>
              <w:t>Equation</w:t>
            </w:r>
          </w:p>
        </w:tc>
      </w:tr>
      <w:tr>
        <w:trPr>
          <w:trHeight w:val="206" w:hRule="atLeast"/>
        </w:trPr>
        <w:tc>
          <w:tcPr>
            <w:tcW w:w="6488" w:type="dxa"/>
            <w:gridSpan w:val="5"/>
          </w:tcPr>
          <w:p>
            <w:pPr>
              <w:pStyle w:val="TableParagraph"/>
              <w:spacing w:line="186" w:lineRule="exact"/>
              <w:ind w:left="36"/>
              <w:rPr>
                <w:sz w:val="18"/>
              </w:rPr>
            </w:pPr>
            <w:r>
              <w:rPr>
                <w:sz w:val="18"/>
              </w:rPr>
              <w:t>Dependent</w:t>
            </w:r>
            <w:r>
              <w:rPr>
                <w:spacing w:val="-2"/>
                <w:sz w:val="18"/>
              </w:rPr>
              <w:t> </w:t>
            </w:r>
            <w:r>
              <w:rPr>
                <w:sz w:val="18"/>
              </w:rPr>
              <w:t>Variable:</w:t>
            </w:r>
            <w:r>
              <w:rPr>
                <w:spacing w:val="-2"/>
                <w:sz w:val="18"/>
              </w:rPr>
              <w:t> D(DFI,2)</w:t>
            </w:r>
          </w:p>
        </w:tc>
      </w:tr>
      <w:tr>
        <w:trPr>
          <w:trHeight w:val="206" w:hRule="atLeast"/>
        </w:trPr>
        <w:tc>
          <w:tcPr>
            <w:tcW w:w="1782" w:type="dxa"/>
          </w:tcPr>
          <w:p>
            <w:pPr>
              <w:pStyle w:val="TableParagraph"/>
              <w:spacing w:line="186" w:lineRule="exact"/>
              <w:ind w:left="36"/>
              <w:rPr>
                <w:sz w:val="18"/>
              </w:rPr>
            </w:pPr>
            <w:r>
              <w:rPr>
                <w:sz w:val="18"/>
              </w:rPr>
              <w:t>Method:</w:t>
            </w:r>
            <w:r>
              <w:rPr>
                <w:spacing w:val="-3"/>
                <w:sz w:val="18"/>
              </w:rPr>
              <w:t> </w:t>
            </w:r>
            <w:r>
              <w:rPr>
                <w:sz w:val="18"/>
              </w:rPr>
              <w:t>Least</w:t>
            </w:r>
            <w:r>
              <w:rPr>
                <w:spacing w:val="-2"/>
                <w:sz w:val="18"/>
              </w:rPr>
              <w:t> Squares</w:t>
            </w:r>
          </w:p>
        </w:tc>
        <w:tc>
          <w:tcPr>
            <w:tcW w:w="1430" w:type="dxa"/>
          </w:tcPr>
          <w:p>
            <w:pPr>
              <w:pStyle w:val="TableParagraph"/>
              <w:rPr>
                <w:sz w:val="14"/>
              </w:rPr>
            </w:pPr>
          </w:p>
        </w:tc>
        <w:tc>
          <w:tcPr>
            <w:tcW w:w="1521" w:type="dxa"/>
          </w:tcPr>
          <w:p>
            <w:pPr>
              <w:pStyle w:val="TableParagraph"/>
              <w:rPr>
                <w:sz w:val="14"/>
              </w:rPr>
            </w:pPr>
          </w:p>
        </w:tc>
        <w:tc>
          <w:tcPr>
            <w:tcW w:w="898" w:type="dxa"/>
          </w:tcPr>
          <w:p>
            <w:pPr>
              <w:pStyle w:val="TableParagraph"/>
              <w:rPr>
                <w:sz w:val="14"/>
              </w:rPr>
            </w:pPr>
          </w:p>
        </w:tc>
        <w:tc>
          <w:tcPr>
            <w:tcW w:w="857" w:type="dxa"/>
          </w:tcPr>
          <w:p>
            <w:pPr>
              <w:pStyle w:val="TableParagraph"/>
              <w:rPr>
                <w:sz w:val="14"/>
              </w:rPr>
            </w:pPr>
          </w:p>
        </w:tc>
      </w:tr>
      <w:tr>
        <w:trPr>
          <w:trHeight w:val="207" w:hRule="atLeast"/>
        </w:trPr>
        <w:tc>
          <w:tcPr>
            <w:tcW w:w="6488" w:type="dxa"/>
            <w:gridSpan w:val="5"/>
          </w:tcPr>
          <w:p>
            <w:pPr>
              <w:pStyle w:val="TableParagraph"/>
              <w:spacing w:line="188" w:lineRule="exact"/>
              <w:ind w:left="36"/>
              <w:rPr>
                <w:sz w:val="18"/>
              </w:rPr>
            </w:pPr>
            <w:r>
              <w:rPr>
                <w:sz w:val="18"/>
              </w:rPr>
              <w:t>Date:</w:t>
            </w:r>
            <w:r>
              <w:rPr>
                <w:spacing w:val="-2"/>
                <w:sz w:val="18"/>
              </w:rPr>
              <w:t> </w:t>
            </w:r>
            <w:r>
              <w:rPr>
                <w:sz w:val="18"/>
              </w:rPr>
              <w:t>02/17/14</w:t>
            </w:r>
            <w:r>
              <w:rPr>
                <w:spacing w:val="63"/>
                <w:w w:val="150"/>
                <w:sz w:val="18"/>
              </w:rPr>
              <w:t> </w:t>
            </w:r>
            <w:r>
              <w:rPr>
                <w:sz w:val="18"/>
              </w:rPr>
              <w:t>Time:</w:t>
            </w:r>
            <w:r>
              <w:rPr>
                <w:spacing w:val="-1"/>
                <w:sz w:val="18"/>
              </w:rPr>
              <w:t> </w:t>
            </w:r>
            <w:r>
              <w:rPr>
                <w:spacing w:val="-4"/>
                <w:sz w:val="18"/>
              </w:rPr>
              <w:t>18:10</w:t>
            </w:r>
          </w:p>
        </w:tc>
      </w:tr>
      <w:tr>
        <w:trPr>
          <w:trHeight w:val="207" w:hRule="atLeast"/>
        </w:trPr>
        <w:tc>
          <w:tcPr>
            <w:tcW w:w="6488" w:type="dxa"/>
            <w:gridSpan w:val="5"/>
          </w:tcPr>
          <w:p>
            <w:pPr>
              <w:pStyle w:val="TableParagraph"/>
              <w:spacing w:line="188" w:lineRule="exact"/>
              <w:ind w:left="36"/>
              <w:rPr>
                <w:sz w:val="18"/>
              </w:rPr>
            </w:pPr>
            <w:r>
              <w:rPr>
                <w:sz w:val="18"/>
              </w:rPr>
              <w:t>Sample(adjusted):</w:t>
            </w:r>
            <w:r>
              <w:rPr>
                <w:spacing w:val="-6"/>
                <w:sz w:val="18"/>
              </w:rPr>
              <w:t> </w:t>
            </w:r>
            <w:r>
              <w:rPr>
                <w:sz w:val="18"/>
              </w:rPr>
              <w:t>1990</w:t>
            </w:r>
            <w:r>
              <w:rPr>
                <w:spacing w:val="-2"/>
                <w:sz w:val="18"/>
              </w:rPr>
              <w:t> </w:t>
            </w:r>
            <w:r>
              <w:rPr>
                <w:spacing w:val="-4"/>
                <w:sz w:val="18"/>
              </w:rPr>
              <w:t>2011</w:t>
            </w:r>
          </w:p>
        </w:tc>
      </w:tr>
      <w:tr>
        <w:trPr>
          <w:trHeight w:val="201" w:hRule="atLeast"/>
        </w:trPr>
        <w:tc>
          <w:tcPr>
            <w:tcW w:w="6488" w:type="dxa"/>
            <w:gridSpan w:val="5"/>
            <w:tcBorders>
              <w:bottom w:val="double" w:sz="6" w:space="0" w:color="000000"/>
            </w:tcBorders>
          </w:tcPr>
          <w:p>
            <w:pPr>
              <w:pStyle w:val="TableParagraph"/>
              <w:spacing w:line="181" w:lineRule="exact"/>
              <w:ind w:left="36"/>
              <w:rPr>
                <w:sz w:val="18"/>
              </w:rPr>
            </w:pPr>
            <w:r>
              <w:rPr>
                <w:sz w:val="18"/>
              </w:rPr>
              <w:t>Included</w:t>
            </w:r>
            <w:r>
              <w:rPr>
                <w:spacing w:val="-1"/>
                <w:sz w:val="18"/>
              </w:rPr>
              <w:t> </w:t>
            </w:r>
            <w:r>
              <w:rPr>
                <w:sz w:val="18"/>
              </w:rPr>
              <w:t>observations:</w:t>
            </w:r>
            <w:r>
              <w:rPr>
                <w:spacing w:val="-3"/>
                <w:sz w:val="18"/>
              </w:rPr>
              <w:t> </w:t>
            </w:r>
            <w:r>
              <w:rPr>
                <w:sz w:val="18"/>
              </w:rPr>
              <w:t>22</w:t>
            </w:r>
            <w:r>
              <w:rPr>
                <w:spacing w:val="-1"/>
                <w:sz w:val="18"/>
              </w:rPr>
              <w:t> </w:t>
            </w:r>
            <w:r>
              <w:rPr>
                <w:sz w:val="18"/>
              </w:rPr>
              <w:t>after</w:t>
            </w:r>
            <w:r>
              <w:rPr>
                <w:spacing w:val="-1"/>
                <w:sz w:val="18"/>
              </w:rPr>
              <w:t> </w:t>
            </w:r>
            <w:r>
              <w:rPr>
                <w:sz w:val="18"/>
              </w:rPr>
              <w:t>adjusting</w:t>
            </w:r>
            <w:r>
              <w:rPr>
                <w:spacing w:val="-2"/>
                <w:sz w:val="18"/>
              </w:rPr>
              <w:t> endpoints</w:t>
            </w:r>
          </w:p>
        </w:tc>
      </w:tr>
      <w:tr>
        <w:trPr>
          <w:trHeight w:val="247" w:hRule="atLeast"/>
        </w:trPr>
        <w:tc>
          <w:tcPr>
            <w:tcW w:w="1782" w:type="dxa"/>
            <w:tcBorders>
              <w:top w:val="double" w:sz="6" w:space="0" w:color="000000"/>
              <w:bottom w:val="double" w:sz="6" w:space="0" w:color="000000"/>
            </w:tcBorders>
          </w:tcPr>
          <w:p>
            <w:pPr>
              <w:pStyle w:val="TableParagraph"/>
              <w:spacing w:line="188" w:lineRule="exact" w:before="40"/>
              <w:ind w:left="713"/>
              <w:rPr>
                <w:sz w:val="18"/>
              </w:rPr>
            </w:pPr>
            <w:r>
              <w:rPr>
                <w:spacing w:val="-2"/>
                <w:sz w:val="18"/>
              </w:rPr>
              <w:t>Variable</w:t>
            </w:r>
          </w:p>
        </w:tc>
        <w:tc>
          <w:tcPr>
            <w:tcW w:w="1430" w:type="dxa"/>
            <w:tcBorders>
              <w:top w:val="double" w:sz="6" w:space="0" w:color="000000"/>
              <w:bottom w:val="double" w:sz="6" w:space="0" w:color="000000"/>
            </w:tcBorders>
          </w:tcPr>
          <w:p>
            <w:pPr>
              <w:pStyle w:val="TableParagraph"/>
              <w:spacing w:line="188" w:lineRule="exact" w:before="40"/>
              <w:ind w:right="119"/>
              <w:jc w:val="right"/>
              <w:rPr>
                <w:sz w:val="18"/>
              </w:rPr>
            </w:pPr>
            <w:r>
              <w:rPr>
                <w:spacing w:val="-2"/>
                <w:sz w:val="18"/>
              </w:rPr>
              <w:t>Coefficient</w:t>
            </w:r>
          </w:p>
        </w:tc>
        <w:tc>
          <w:tcPr>
            <w:tcW w:w="1521" w:type="dxa"/>
            <w:tcBorders>
              <w:top w:val="double" w:sz="6" w:space="0" w:color="000000"/>
              <w:bottom w:val="double" w:sz="6" w:space="0" w:color="000000"/>
            </w:tcBorders>
          </w:tcPr>
          <w:p>
            <w:pPr>
              <w:pStyle w:val="TableParagraph"/>
              <w:spacing w:line="188" w:lineRule="exact" w:before="40"/>
              <w:ind w:left="362"/>
              <w:rPr>
                <w:sz w:val="18"/>
              </w:rPr>
            </w:pPr>
            <w:r>
              <w:rPr>
                <w:sz w:val="18"/>
              </w:rPr>
              <w:t>Std.</w:t>
            </w:r>
            <w:r>
              <w:rPr>
                <w:spacing w:val="-1"/>
                <w:sz w:val="18"/>
              </w:rPr>
              <w:t> </w:t>
            </w:r>
            <w:r>
              <w:rPr>
                <w:spacing w:val="-4"/>
                <w:sz w:val="18"/>
              </w:rPr>
              <w:t>Error</w:t>
            </w:r>
          </w:p>
        </w:tc>
        <w:tc>
          <w:tcPr>
            <w:tcW w:w="898" w:type="dxa"/>
            <w:tcBorders>
              <w:top w:val="double" w:sz="6" w:space="0" w:color="000000"/>
              <w:bottom w:val="double" w:sz="6" w:space="0" w:color="000000"/>
            </w:tcBorders>
          </w:tcPr>
          <w:p>
            <w:pPr>
              <w:pStyle w:val="TableParagraph"/>
              <w:spacing w:line="188" w:lineRule="exact" w:before="40"/>
              <w:ind w:right="148"/>
              <w:jc w:val="right"/>
              <w:rPr>
                <w:sz w:val="18"/>
              </w:rPr>
            </w:pPr>
            <w:r>
              <w:rPr>
                <w:sz w:val="18"/>
              </w:rPr>
              <w:t>t-</w:t>
            </w:r>
            <w:r>
              <w:rPr>
                <w:spacing w:val="-2"/>
                <w:sz w:val="18"/>
              </w:rPr>
              <w:t>Statistic</w:t>
            </w:r>
          </w:p>
        </w:tc>
        <w:tc>
          <w:tcPr>
            <w:tcW w:w="857" w:type="dxa"/>
            <w:tcBorders>
              <w:top w:val="double" w:sz="6" w:space="0" w:color="000000"/>
              <w:bottom w:val="double" w:sz="6" w:space="0" w:color="000000"/>
            </w:tcBorders>
          </w:tcPr>
          <w:p>
            <w:pPr>
              <w:pStyle w:val="TableParagraph"/>
              <w:spacing w:line="188" w:lineRule="exact" w:before="40"/>
              <w:ind w:left="-3" w:right="29"/>
              <w:jc w:val="right"/>
              <w:rPr>
                <w:sz w:val="18"/>
              </w:rPr>
            </w:pPr>
            <w:r>
              <w:rPr>
                <w:spacing w:val="-2"/>
                <w:sz w:val="18"/>
              </w:rPr>
              <w:t>Prob.</w:t>
            </w:r>
          </w:p>
        </w:tc>
      </w:tr>
      <w:tr>
        <w:trPr>
          <w:trHeight w:val="250" w:hRule="atLeast"/>
        </w:trPr>
        <w:tc>
          <w:tcPr>
            <w:tcW w:w="1782" w:type="dxa"/>
            <w:tcBorders>
              <w:top w:val="double" w:sz="6" w:space="0" w:color="000000"/>
            </w:tcBorders>
          </w:tcPr>
          <w:p>
            <w:pPr>
              <w:pStyle w:val="TableParagraph"/>
              <w:spacing w:line="191" w:lineRule="exact" w:before="40"/>
              <w:ind w:left="617"/>
              <w:rPr>
                <w:sz w:val="18"/>
              </w:rPr>
            </w:pPr>
            <w:r>
              <w:rPr>
                <w:spacing w:val="-2"/>
                <w:sz w:val="18"/>
              </w:rPr>
              <w:t>D(DFI(-</w:t>
            </w:r>
            <w:r>
              <w:rPr>
                <w:spacing w:val="-5"/>
                <w:sz w:val="18"/>
              </w:rPr>
              <w:t>1))</w:t>
            </w:r>
          </w:p>
        </w:tc>
        <w:tc>
          <w:tcPr>
            <w:tcW w:w="1430" w:type="dxa"/>
            <w:tcBorders>
              <w:top w:val="double" w:sz="6" w:space="0" w:color="000000"/>
            </w:tcBorders>
          </w:tcPr>
          <w:p>
            <w:pPr>
              <w:pStyle w:val="TableParagraph"/>
              <w:spacing w:line="191" w:lineRule="exact" w:before="40"/>
              <w:ind w:right="117"/>
              <w:jc w:val="right"/>
              <w:rPr>
                <w:sz w:val="18"/>
              </w:rPr>
            </w:pPr>
            <w:r>
              <w:rPr>
                <w:sz w:val="18"/>
              </w:rPr>
              <w:t>-</w:t>
            </w:r>
            <w:r>
              <w:rPr>
                <w:spacing w:val="-2"/>
                <w:sz w:val="18"/>
              </w:rPr>
              <w:t>1.011284</w:t>
            </w:r>
          </w:p>
        </w:tc>
        <w:tc>
          <w:tcPr>
            <w:tcW w:w="1521" w:type="dxa"/>
            <w:tcBorders>
              <w:top w:val="double" w:sz="6" w:space="0" w:color="000000"/>
            </w:tcBorders>
          </w:tcPr>
          <w:p>
            <w:pPr>
              <w:pStyle w:val="TableParagraph"/>
              <w:spacing w:line="191" w:lineRule="exact" w:before="40"/>
              <w:ind w:left="398"/>
              <w:rPr>
                <w:sz w:val="18"/>
              </w:rPr>
            </w:pPr>
            <w:r>
              <w:rPr>
                <w:spacing w:val="-2"/>
                <w:sz w:val="18"/>
              </w:rPr>
              <w:t>0.599611</w:t>
            </w:r>
          </w:p>
        </w:tc>
        <w:tc>
          <w:tcPr>
            <w:tcW w:w="898" w:type="dxa"/>
            <w:tcBorders>
              <w:top w:val="double" w:sz="6" w:space="0" w:color="000000"/>
            </w:tcBorders>
          </w:tcPr>
          <w:p>
            <w:pPr>
              <w:pStyle w:val="TableParagraph"/>
              <w:spacing w:line="191" w:lineRule="exact" w:before="40"/>
              <w:ind w:right="150"/>
              <w:jc w:val="right"/>
              <w:rPr>
                <w:sz w:val="18"/>
              </w:rPr>
            </w:pPr>
            <w:r>
              <w:rPr>
                <w:sz w:val="18"/>
              </w:rPr>
              <w:t>-</w:t>
            </w:r>
            <w:r>
              <w:rPr>
                <w:spacing w:val="-2"/>
                <w:sz w:val="18"/>
              </w:rPr>
              <w:t>1.686565</w:t>
            </w:r>
          </w:p>
        </w:tc>
        <w:tc>
          <w:tcPr>
            <w:tcW w:w="857" w:type="dxa"/>
            <w:tcBorders>
              <w:top w:val="double" w:sz="6" w:space="0" w:color="000000"/>
            </w:tcBorders>
          </w:tcPr>
          <w:p>
            <w:pPr>
              <w:pStyle w:val="TableParagraph"/>
              <w:spacing w:line="191" w:lineRule="exact" w:before="40"/>
              <w:ind w:left="-3" w:right="29"/>
              <w:jc w:val="right"/>
              <w:rPr>
                <w:sz w:val="18"/>
              </w:rPr>
            </w:pPr>
            <w:r>
              <w:rPr>
                <w:spacing w:val="-2"/>
                <w:sz w:val="18"/>
              </w:rPr>
              <w:t>0.1080</w:t>
            </w:r>
          </w:p>
        </w:tc>
      </w:tr>
      <w:tr>
        <w:trPr>
          <w:trHeight w:val="207" w:hRule="atLeast"/>
        </w:trPr>
        <w:tc>
          <w:tcPr>
            <w:tcW w:w="1782" w:type="dxa"/>
          </w:tcPr>
          <w:p>
            <w:pPr>
              <w:pStyle w:val="TableParagraph"/>
              <w:spacing w:line="188" w:lineRule="exact"/>
              <w:ind w:left="550"/>
              <w:rPr>
                <w:sz w:val="18"/>
              </w:rPr>
            </w:pPr>
            <w:r>
              <w:rPr>
                <w:spacing w:val="-2"/>
                <w:sz w:val="18"/>
              </w:rPr>
              <w:t>D(DFI(-1),2)</w:t>
            </w:r>
          </w:p>
        </w:tc>
        <w:tc>
          <w:tcPr>
            <w:tcW w:w="1430" w:type="dxa"/>
          </w:tcPr>
          <w:p>
            <w:pPr>
              <w:pStyle w:val="TableParagraph"/>
              <w:spacing w:line="188" w:lineRule="exact"/>
              <w:ind w:right="117"/>
              <w:jc w:val="right"/>
              <w:rPr>
                <w:sz w:val="18"/>
              </w:rPr>
            </w:pPr>
            <w:r>
              <w:rPr>
                <w:sz w:val="18"/>
              </w:rPr>
              <w:t>-</w:t>
            </w:r>
            <w:r>
              <w:rPr>
                <w:spacing w:val="-2"/>
                <w:sz w:val="18"/>
              </w:rPr>
              <w:t>0.034399</w:t>
            </w:r>
          </w:p>
        </w:tc>
        <w:tc>
          <w:tcPr>
            <w:tcW w:w="1521" w:type="dxa"/>
          </w:tcPr>
          <w:p>
            <w:pPr>
              <w:pStyle w:val="TableParagraph"/>
              <w:spacing w:line="188" w:lineRule="exact"/>
              <w:ind w:left="398"/>
              <w:rPr>
                <w:sz w:val="18"/>
              </w:rPr>
            </w:pPr>
            <w:r>
              <w:rPr>
                <w:spacing w:val="-2"/>
                <w:sz w:val="18"/>
              </w:rPr>
              <w:t>0.558218</w:t>
            </w:r>
          </w:p>
        </w:tc>
        <w:tc>
          <w:tcPr>
            <w:tcW w:w="898" w:type="dxa"/>
          </w:tcPr>
          <w:p>
            <w:pPr>
              <w:pStyle w:val="TableParagraph"/>
              <w:spacing w:line="188" w:lineRule="exact"/>
              <w:ind w:right="150"/>
              <w:jc w:val="right"/>
              <w:rPr>
                <w:sz w:val="18"/>
              </w:rPr>
            </w:pPr>
            <w:r>
              <w:rPr>
                <w:sz w:val="18"/>
              </w:rPr>
              <w:t>-</w:t>
            </w:r>
            <w:r>
              <w:rPr>
                <w:spacing w:val="-2"/>
                <w:sz w:val="18"/>
              </w:rPr>
              <w:t>0.061622</w:t>
            </w:r>
          </w:p>
        </w:tc>
        <w:tc>
          <w:tcPr>
            <w:tcW w:w="857" w:type="dxa"/>
          </w:tcPr>
          <w:p>
            <w:pPr>
              <w:pStyle w:val="TableParagraph"/>
              <w:spacing w:line="188" w:lineRule="exact"/>
              <w:ind w:left="-3" w:right="29"/>
              <w:jc w:val="right"/>
              <w:rPr>
                <w:sz w:val="18"/>
              </w:rPr>
            </w:pPr>
            <w:r>
              <w:rPr>
                <w:spacing w:val="-2"/>
                <w:sz w:val="18"/>
              </w:rPr>
              <w:t>0.9515</w:t>
            </w:r>
          </w:p>
        </w:tc>
      </w:tr>
      <w:tr>
        <w:trPr>
          <w:trHeight w:val="202" w:hRule="atLeast"/>
        </w:trPr>
        <w:tc>
          <w:tcPr>
            <w:tcW w:w="1782" w:type="dxa"/>
            <w:tcBorders>
              <w:bottom w:val="double" w:sz="6" w:space="0" w:color="000000"/>
            </w:tcBorders>
          </w:tcPr>
          <w:p>
            <w:pPr>
              <w:pStyle w:val="TableParagraph"/>
              <w:spacing w:line="183" w:lineRule="exact"/>
              <w:ind w:left="263"/>
              <w:jc w:val="center"/>
              <w:rPr>
                <w:sz w:val="18"/>
              </w:rPr>
            </w:pPr>
            <w:r>
              <w:rPr>
                <w:spacing w:val="-10"/>
                <w:sz w:val="18"/>
              </w:rPr>
              <w:t>C</w:t>
            </w:r>
          </w:p>
        </w:tc>
        <w:tc>
          <w:tcPr>
            <w:tcW w:w="1430" w:type="dxa"/>
            <w:tcBorders>
              <w:bottom w:val="double" w:sz="6" w:space="0" w:color="000000"/>
            </w:tcBorders>
          </w:tcPr>
          <w:p>
            <w:pPr>
              <w:pStyle w:val="TableParagraph"/>
              <w:spacing w:line="183" w:lineRule="exact"/>
              <w:ind w:right="117"/>
              <w:jc w:val="right"/>
              <w:rPr>
                <w:sz w:val="18"/>
              </w:rPr>
            </w:pPr>
            <w:r>
              <w:rPr>
                <w:spacing w:val="-2"/>
                <w:sz w:val="18"/>
              </w:rPr>
              <w:t>0.320446</w:t>
            </w:r>
          </w:p>
        </w:tc>
        <w:tc>
          <w:tcPr>
            <w:tcW w:w="1521" w:type="dxa"/>
            <w:tcBorders>
              <w:bottom w:val="double" w:sz="6" w:space="0" w:color="000000"/>
            </w:tcBorders>
          </w:tcPr>
          <w:p>
            <w:pPr>
              <w:pStyle w:val="TableParagraph"/>
              <w:spacing w:line="183" w:lineRule="exact"/>
              <w:ind w:left="398"/>
              <w:rPr>
                <w:sz w:val="18"/>
              </w:rPr>
            </w:pPr>
            <w:r>
              <w:rPr>
                <w:spacing w:val="-2"/>
                <w:sz w:val="18"/>
              </w:rPr>
              <w:t>0.189252</w:t>
            </w:r>
          </w:p>
        </w:tc>
        <w:tc>
          <w:tcPr>
            <w:tcW w:w="898" w:type="dxa"/>
            <w:tcBorders>
              <w:bottom w:val="double" w:sz="6" w:space="0" w:color="000000"/>
            </w:tcBorders>
          </w:tcPr>
          <w:p>
            <w:pPr>
              <w:pStyle w:val="TableParagraph"/>
              <w:spacing w:line="183" w:lineRule="exact"/>
              <w:ind w:right="150"/>
              <w:jc w:val="right"/>
              <w:rPr>
                <w:sz w:val="18"/>
              </w:rPr>
            </w:pPr>
            <w:r>
              <w:rPr>
                <w:spacing w:val="-2"/>
                <w:sz w:val="18"/>
              </w:rPr>
              <w:t>1.693221</w:t>
            </w:r>
          </w:p>
        </w:tc>
        <w:tc>
          <w:tcPr>
            <w:tcW w:w="857" w:type="dxa"/>
            <w:tcBorders>
              <w:bottom w:val="double" w:sz="6" w:space="0" w:color="000000"/>
            </w:tcBorders>
          </w:tcPr>
          <w:p>
            <w:pPr>
              <w:pStyle w:val="TableParagraph"/>
              <w:spacing w:line="183" w:lineRule="exact"/>
              <w:ind w:left="-3" w:right="29"/>
              <w:jc w:val="right"/>
              <w:rPr>
                <w:sz w:val="18"/>
              </w:rPr>
            </w:pPr>
            <w:r>
              <w:rPr>
                <w:spacing w:val="-2"/>
                <w:sz w:val="18"/>
              </w:rPr>
              <w:t>0.1067</w:t>
            </w:r>
          </w:p>
        </w:tc>
      </w:tr>
      <w:tr>
        <w:trPr>
          <w:trHeight w:val="251" w:hRule="atLeast"/>
        </w:trPr>
        <w:tc>
          <w:tcPr>
            <w:tcW w:w="1782" w:type="dxa"/>
            <w:tcBorders>
              <w:top w:val="double" w:sz="6" w:space="0" w:color="000000"/>
            </w:tcBorders>
          </w:tcPr>
          <w:p>
            <w:pPr>
              <w:pStyle w:val="TableParagraph"/>
              <w:spacing w:line="192" w:lineRule="exact" w:before="40"/>
              <w:ind w:left="36"/>
              <w:rPr>
                <w:sz w:val="18"/>
              </w:rPr>
            </w:pPr>
            <w:r>
              <w:rPr>
                <w:spacing w:val="-2"/>
                <w:sz w:val="18"/>
              </w:rPr>
              <w:t>R-squared</w:t>
            </w:r>
          </w:p>
        </w:tc>
        <w:tc>
          <w:tcPr>
            <w:tcW w:w="1430" w:type="dxa"/>
            <w:tcBorders>
              <w:top w:val="double" w:sz="6" w:space="0" w:color="000000"/>
            </w:tcBorders>
          </w:tcPr>
          <w:p>
            <w:pPr>
              <w:pStyle w:val="TableParagraph"/>
              <w:spacing w:line="192" w:lineRule="exact" w:before="40"/>
              <w:ind w:right="117"/>
              <w:jc w:val="right"/>
              <w:rPr>
                <w:sz w:val="18"/>
              </w:rPr>
            </w:pPr>
            <w:r>
              <w:rPr>
                <w:spacing w:val="-2"/>
                <w:sz w:val="18"/>
              </w:rPr>
              <w:t>0.525400</w:t>
            </w:r>
          </w:p>
        </w:tc>
        <w:tc>
          <w:tcPr>
            <w:tcW w:w="2419" w:type="dxa"/>
            <w:gridSpan w:val="2"/>
            <w:tcBorders>
              <w:top w:val="double" w:sz="6" w:space="0" w:color="000000"/>
            </w:tcBorders>
          </w:tcPr>
          <w:p>
            <w:pPr>
              <w:pStyle w:val="TableParagraph"/>
              <w:spacing w:line="192" w:lineRule="exact" w:before="40"/>
              <w:ind w:left="122"/>
              <w:rPr>
                <w:sz w:val="18"/>
              </w:rPr>
            </w:pPr>
            <w:r>
              <w:rPr>
                <w:sz w:val="18"/>
              </w:rPr>
              <w:t>Mean</w:t>
            </w:r>
            <w:r>
              <w:rPr>
                <w:spacing w:val="-5"/>
                <w:sz w:val="18"/>
              </w:rPr>
              <w:t> </w:t>
            </w:r>
            <w:r>
              <w:rPr>
                <w:sz w:val="18"/>
              </w:rPr>
              <w:t>dependent</w:t>
            </w:r>
            <w:r>
              <w:rPr>
                <w:spacing w:val="-1"/>
                <w:sz w:val="18"/>
              </w:rPr>
              <w:t> </w:t>
            </w:r>
            <w:r>
              <w:rPr>
                <w:spacing w:val="-5"/>
                <w:sz w:val="18"/>
              </w:rPr>
              <w:t>var</w:t>
            </w:r>
          </w:p>
        </w:tc>
        <w:tc>
          <w:tcPr>
            <w:tcW w:w="857" w:type="dxa"/>
            <w:tcBorders>
              <w:top w:val="double" w:sz="6" w:space="0" w:color="000000"/>
            </w:tcBorders>
          </w:tcPr>
          <w:p>
            <w:pPr>
              <w:pStyle w:val="TableParagraph"/>
              <w:spacing w:line="192" w:lineRule="exact" w:before="40"/>
              <w:ind w:left="-3" w:right="28"/>
              <w:jc w:val="right"/>
              <w:rPr>
                <w:sz w:val="18"/>
              </w:rPr>
            </w:pPr>
            <w:r>
              <w:rPr>
                <w:spacing w:val="-2"/>
                <w:sz w:val="18"/>
              </w:rPr>
              <w:t>0.008551</w:t>
            </w:r>
          </w:p>
        </w:tc>
      </w:tr>
      <w:tr>
        <w:trPr>
          <w:trHeight w:val="207" w:hRule="atLeast"/>
        </w:trPr>
        <w:tc>
          <w:tcPr>
            <w:tcW w:w="1782" w:type="dxa"/>
          </w:tcPr>
          <w:p>
            <w:pPr>
              <w:pStyle w:val="TableParagraph"/>
              <w:spacing w:line="188" w:lineRule="exact"/>
              <w:ind w:left="36"/>
              <w:rPr>
                <w:sz w:val="18"/>
              </w:rPr>
            </w:pPr>
            <w:r>
              <w:rPr>
                <w:sz w:val="18"/>
              </w:rPr>
              <w:t>Adjusted</w:t>
            </w:r>
            <w:r>
              <w:rPr>
                <w:spacing w:val="-1"/>
                <w:sz w:val="18"/>
              </w:rPr>
              <w:t> </w:t>
            </w:r>
            <w:r>
              <w:rPr>
                <w:sz w:val="18"/>
              </w:rPr>
              <w:t>R-</w:t>
            </w:r>
            <w:r>
              <w:rPr>
                <w:spacing w:val="-2"/>
                <w:sz w:val="18"/>
              </w:rPr>
              <w:t>squared</w:t>
            </w:r>
          </w:p>
        </w:tc>
        <w:tc>
          <w:tcPr>
            <w:tcW w:w="1430" w:type="dxa"/>
          </w:tcPr>
          <w:p>
            <w:pPr>
              <w:pStyle w:val="TableParagraph"/>
              <w:spacing w:line="188" w:lineRule="exact"/>
              <w:ind w:right="117"/>
              <w:jc w:val="right"/>
              <w:rPr>
                <w:sz w:val="18"/>
              </w:rPr>
            </w:pPr>
            <w:r>
              <w:rPr>
                <w:spacing w:val="-2"/>
                <w:sz w:val="18"/>
              </w:rPr>
              <w:t>0.475442</w:t>
            </w:r>
          </w:p>
        </w:tc>
        <w:tc>
          <w:tcPr>
            <w:tcW w:w="1521" w:type="dxa"/>
          </w:tcPr>
          <w:p>
            <w:pPr>
              <w:pStyle w:val="TableParagraph"/>
              <w:spacing w:line="188" w:lineRule="exact"/>
              <w:ind w:left="122"/>
              <w:rPr>
                <w:sz w:val="18"/>
              </w:rPr>
            </w:pPr>
            <w:r>
              <w:rPr>
                <w:sz w:val="18"/>
              </w:rPr>
              <w:t>S.D.</w:t>
            </w:r>
            <w:r>
              <w:rPr>
                <w:spacing w:val="-5"/>
                <w:sz w:val="18"/>
              </w:rPr>
              <w:t> </w:t>
            </w:r>
            <w:r>
              <w:rPr>
                <w:sz w:val="18"/>
              </w:rPr>
              <w:t>dependent</w:t>
            </w:r>
            <w:r>
              <w:rPr>
                <w:spacing w:val="-3"/>
                <w:sz w:val="18"/>
              </w:rPr>
              <w:t> </w:t>
            </w:r>
            <w:r>
              <w:rPr>
                <w:spacing w:val="-5"/>
                <w:sz w:val="18"/>
              </w:rPr>
              <w:t>var</w:t>
            </w:r>
          </w:p>
        </w:tc>
        <w:tc>
          <w:tcPr>
            <w:tcW w:w="898" w:type="dxa"/>
          </w:tcPr>
          <w:p>
            <w:pPr>
              <w:pStyle w:val="TableParagraph"/>
              <w:rPr>
                <w:sz w:val="14"/>
              </w:rPr>
            </w:pPr>
          </w:p>
        </w:tc>
        <w:tc>
          <w:tcPr>
            <w:tcW w:w="857" w:type="dxa"/>
          </w:tcPr>
          <w:p>
            <w:pPr>
              <w:pStyle w:val="TableParagraph"/>
              <w:spacing w:line="188" w:lineRule="exact"/>
              <w:ind w:left="-3" w:right="28"/>
              <w:jc w:val="right"/>
              <w:rPr>
                <w:sz w:val="18"/>
              </w:rPr>
            </w:pPr>
            <w:r>
              <w:rPr>
                <w:spacing w:val="-2"/>
                <w:sz w:val="18"/>
              </w:rPr>
              <w:t>0.960343</w:t>
            </w:r>
          </w:p>
        </w:tc>
      </w:tr>
      <w:tr>
        <w:trPr>
          <w:trHeight w:val="206" w:hRule="atLeast"/>
        </w:trPr>
        <w:tc>
          <w:tcPr>
            <w:tcW w:w="1782" w:type="dxa"/>
          </w:tcPr>
          <w:p>
            <w:pPr>
              <w:pStyle w:val="TableParagraph"/>
              <w:spacing w:line="186" w:lineRule="exact"/>
              <w:ind w:left="36"/>
              <w:rPr>
                <w:sz w:val="18"/>
              </w:rPr>
            </w:pPr>
            <w:r>
              <w:rPr>
                <w:sz w:val="18"/>
              </w:rPr>
              <w:t>S.E.</w:t>
            </w:r>
            <w:r>
              <w:rPr>
                <w:spacing w:val="-3"/>
                <w:sz w:val="18"/>
              </w:rPr>
              <w:t> </w:t>
            </w:r>
            <w:r>
              <w:rPr>
                <w:sz w:val="18"/>
              </w:rPr>
              <w:t>of</w:t>
            </w:r>
            <w:r>
              <w:rPr>
                <w:spacing w:val="-1"/>
                <w:sz w:val="18"/>
              </w:rPr>
              <w:t> </w:t>
            </w:r>
            <w:r>
              <w:rPr>
                <w:spacing w:val="-2"/>
                <w:sz w:val="18"/>
              </w:rPr>
              <w:t>regression</w:t>
            </w:r>
          </w:p>
        </w:tc>
        <w:tc>
          <w:tcPr>
            <w:tcW w:w="1430" w:type="dxa"/>
          </w:tcPr>
          <w:p>
            <w:pPr>
              <w:pStyle w:val="TableParagraph"/>
              <w:spacing w:line="186" w:lineRule="exact"/>
              <w:ind w:right="117"/>
              <w:jc w:val="right"/>
              <w:rPr>
                <w:sz w:val="18"/>
              </w:rPr>
            </w:pPr>
            <w:r>
              <w:rPr>
                <w:spacing w:val="-2"/>
                <w:sz w:val="18"/>
              </w:rPr>
              <w:t>0.695542</w:t>
            </w:r>
          </w:p>
        </w:tc>
        <w:tc>
          <w:tcPr>
            <w:tcW w:w="2419" w:type="dxa"/>
            <w:gridSpan w:val="2"/>
          </w:tcPr>
          <w:p>
            <w:pPr>
              <w:pStyle w:val="TableParagraph"/>
              <w:spacing w:line="186" w:lineRule="exact"/>
              <w:ind w:left="122"/>
              <w:rPr>
                <w:sz w:val="18"/>
              </w:rPr>
            </w:pPr>
            <w:r>
              <w:rPr>
                <w:sz w:val="18"/>
              </w:rPr>
              <w:t>Akaike</w:t>
            </w:r>
            <w:r>
              <w:rPr>
                <w:spacing w:val="-5"/>
                <w:sz w:val="18"/>
              </w:rPr>
              <w:t> </w:t>
            </w:r>
            <w:r>
              <w:rPr>
                <w:sz w:val="18"/>
              </w:rPr>
              <w:t>info</w:t>
            </w:r>
            <w:r>
              <w:rPr>
                <w:spacing w:val="-2"/>
                <w:sz w:val="18"/>
              </w:rPr>
              <w:t> criterion</w:t>
            </w:r>
          </w:p>
        </w:tc>
        <w:tc>
          <w:tcPr>
            <w:tcW w:w="857" w:type="dxa"/>
          </w:tcPr>
          <w:p>
            <w:pPr>
              <w:pStyle w:val="TableParagraph"/>
              <w:spacing w:line="186" w:lineRule="exact"/>
              <w:ind w:left="-3" w:right="28"/>
              <w:jc w:val="right"/>
              <w:rPr>
                <w:sz w:val="18"/>
              </w:rPr>
            </w:pPr>
            <w:r>
              <w:rPr>
                <w:spacing w:val="-2"/>
                <w:sz w:val="18"/>
              </w:rPr>
              <w:t>2.237872</w:t>
            </w:r>
          </w:p>
        </w:tc>
      </w:tr>
      <w:tr>
        <w:trPr>
          <w:trHeight w:val="206" w:hRule="atLeast"/>
        </w:trPr>
        <w:tc>
          <w:tcPr>
            <w:tcW w:w="1782" w:type="dxa"/>
          </w:tcPr>
          <w:p>
            <w:pPr>
              <w:pStyle w:val="TableParagraph"/>
              <w:spacing w:line="186" w:lineRule="exact"/>
              <w:ind w:left="36"/>
              <w:rPr>
                <w:sz w:val="18"/>
              </w:rPr>
            </w:pPr>
            <w:r>
              <w:rPr>
                <w:sz w:val="18"/>
              </w:rPr>
              <w:t>Sum</w:t>
            </w:r>
            <w:r>
              <w:rPr>
                <w:spacing w:val="-3"/>
                <w:sz w:val="18"/>
              </w:rPr>
              <w:t> </w:t>
            </w:r>
            <w:r>
              <w:rPr>
                <w:sz w:val="18"/>
              </w:rPr>
              <w:t>squared</w:t>
            </w:r>
            <w:r>
              <w:rPr>
                <w:spacing w:val="1"/>
                <w:sz w:val="18"/>
              </w:rPr>
              <w:t> </w:t>
            </w:r>
            <w:r>
              <w:rPr>
                <w:spacing w:val="-2"/>
                <w:sz w:val="18"/>
              </w:rPr>
              <w:t>resid</w:t>
            </w:r>
          </w:p>
        </w:tc>
        <w:tc>
          <w:tcPr>
            <w:tcW w:w="1430" w:type="dxa"/>
          </w:tcPr>
          <w:p>
            <w:pPr>
              <w:pStyle w:val="TableParagraph"/>
              <w:spacing w:line="186" w:lineRule="exact"/>
              <w:ind w:right="117"/>
              <w:jc w:val="right"/>
              <w:rPr>
                <w:sz w:val="18"/>
              </w:rPr>
            </w:pPr>
            <w:r>
              <w:rPr>
                <w:spacing w:val="-2"/>
                <w:sz w:val="18"/>
              </w:rPr>
              <w:t>9.191783</w:t>
            </w:r>
          </w:p>
        </w:tc>
        <w:tc>
          <w:tcPr>
            <w:tcW w:w="1521" w:type="dxa"/>
          </w:tcPr>
          <w:p>
            <w:pPr>
              <w:pStyle w:val="TableParagraph"/>
              <w:spacing w:line="186" w:lineRule="exact"/>
              <w:ind w:left="122"/>
              <w:rPr>
                <w:sz w:val="18"/>
              </w:rPr>
            </w:pPr>
            <w:r>
              <w:rPr>
                <w:sz w:val="18"/>
              </w:rPr>
              <w:t>Schwarz</w:t>
            </w:r>
            <w:r>
              <w:rPr>
                <w:spacing w:val="-7"/>
                <w:sz w:val="18"/>
              </w:rPr>
              <w:t> </w:t>
            </w:r>
            <w:r>
              <w:rPr>
                <w:spacing w:val="-2"/>
                <w:sz w:val="18"/>
              </w:rPr>
              <w:t>criterion</w:t>
            </w:r>
          </w:p>
        </w:tc>
        <w:tc>
          <w:tcPr>
            <w:tcW w:w="898" w:type="dxa"/>
          </w:tcPr>
          <w:p>
            <w:pPr>
              <w:pStyle w:val="TableParagraph"/>
              <w:rPr>
                <w:sz w:val="14"/>
              </w:rPr>
            </w:pPr>
          </w:p>
        </w:tc>
        <w:tc>
          <w:tcPr>
            <w:tcW w:w="857" w:type="dxa"/>
          </w:tcPr>
          <w:p>
            <w:pPr>
              <w:pStyle w:val="TableParagraph"/>
              <w:spacing w:line="186" w:lineRule="exact"/>
              <w:ind w:left="-3" w:right="28"/>
              <w:jc w:val="right"/>
              <w:rPr>
                <w:sz w:val="18"/>
              </w:rPr>
            </w:pPr>
            <w:r>
              <w:rPr>
                <w:spacing w:val="-2"/>
                <w:sz w:val="18"/>
              </w:rPr>
              <w:t>2.386650</w:t>
            </w:r>
          </w:p>
        </w:tc>
      </w:tr>
      <w:tr>
        <w:trPr>
          <w:trHeight w:val="206" w:hRule="atLeast"/>
        </w:trPr>
        <w:tc>
          <w:tcPr>
            <w:tcW w:w="1782" w:type="dxa"/>
          </w:tcPr>
          <w:p>
            <w:pPr>
              <w:pStyle w:val="TableParagraph"/>
              <w:spacing w:line="186" w:lineRule="exact"/>
              <w:ind w:left="36"/>
              <w:rPr>
                <w:sz w:val="18"/>
              </w:rPr>
            </w:pPr>
            <w:r>
              <w:rPr>
                <w:sz w:val="18"/>
              </w:rPr>
              <w:t>Log</w:t>
            </w:r>
            <w:r>
              <w:rPr>
                <w:spacing w:val="-2"/>
                <w:sz w:val="18"/>
              </w:rPr>
              <w:t> likelihood</w:t>
            </w:r>
          </w:p>
        </w:tc>
        <w:tc>
          <w:tcPr>
            <w:tcW w:w="1430" w:type="dxa"/>
          </w:tcPr>
          <w:p>
            <w:pPr>
              <w:pStyle w:val="TableParagraph"/>
              <w:spacing w:line="186" w:lineRule="exact"/>
              <w:ind w:right="117"/>
              <w:jc w:val="right"/>
              <w:rPr>
                <w:sz w:val="18"/>
              </w:rPr>
            </w:pPr>
            <w:r>
              <w:rPr>
                <w:sz w:val="18"/>
              </w:rPr>
              <w:t>-</w:t>
            </w:r>
            <w:r>
              <w:rPr>
                <w:spacing w:val="-2"/>
                <w:sz w:val="18"/>
              </w:rPr>
              <w:t>21.61659</w:t>
            </w:r>
          </w:p>
        </w:tc>
        <w:tc>
          <w:tcPr>
            <w:tcW w:w="1521" w:type="dxa"/>
          </w:tcPr>
          <w:p>
            <w:pPr>
              <w:pStyle w:val="TableParagraph"/>
              <w:spacing w:line="186" w:lineRule="exact"/>
              <w:ind w:left="122"/>
              <w:rPr>
                <w:sz w:val="18"/>
              </w:rPr>
            </w:pPr>
            <w:r>
              <w:rPr>
                <w:sz w:val="18"/>
              </w:rPr>
              <w:t>F-</w:t>
            </w:r>
            <w:r>
              <w:rPr>
                <w:spacing w:val="-2"/>
                <w:sz w:val="18"/>
              </w:rPr>
              <w:t>statistic</w:t>
            </w:r>
          </w:p>
        </w:tc>
        <w:tc>
          <w:tcPr>
            <w:tcW w:w="898" w:type="dxa"/>
          </w:tcPr>
          <w:p>
            <w:pPr>
              <w:pStyle w:val="TableParagraph"/>
              <w:rPr>
                <w:sz w:val="14"/>
              </w:rPr>
            </w:pPr>
          </w:p>
        </w:tc>
        <w:tc>
          <w:tcPr>
            <w:tcW w:w="857" w:type="dxa"/>
          </w:tcPr>
          <w:p>
            <w:pPr>
              <w:pStyle w:val="TableParagraph"/>
              <w:spacing w:line="186" w:lineRule="exact"/>
              <w:ind w:left="-3" w:right="29"/>
              <w:jc w:val="right"/>
              <w:rPr>
                <w:sz w:val="18"/>
              </w:rPr>
            </w:pPr>
            <w:r>
              <w:rPr>
                <w:spacing w:val="-2"/>
                <w:sz w:val="18"/>
              </w:rPr>
              <w:t>10.51686</w:t>
            </w:r>
          </w:p>
        </w:tc>
      </w:tr>
      <w:tr>
        <w:trPr>
          <w:trHeight w:val="244" w:hRule="atLeast"/>
        </w:trPr>
        <w:tc>
          <w:tcPr>
            <w:tcW w:w="1782" w:type="dxa"/>
            <w:tcBorders>
              <w:bottom w:val="double" w:sz="6" w:space="0" w:color="000000"/>
            </w:tcBorders>
          </w:tcPr>
          <w:p>
            <w:pPr>
              <w:pStyle w:val="TableParagraph"/>
              <w:spacing w:line="203" w:lineRule="exact"/>
              <w:ind w:left="36"/>
              <w:rPr>
                <w:sz w:val="18"/>
              </w:rPr>
            </w:pPr>
            <w:r>
              <w:rPr>
                <w:sz w:val="18"/>
              </w:rPr>
              <w:t>Durbin-Watson</w:t>
            </w:r>
            <w:r>
              <w:rPr>
                <w:spacing w:val="-2"/>
                <w:sz w:val="18"/>
              </w:rPr>
              <w:t> </w:t>
            </w:r>
            <w:r>
              <w:rPr>
                <w:spacing w:val="-4"/>
                <w:sz w:val="18"/>
              </w:rPr>
              <w:t>stat</w:t>
            </w:r>
          </w:p>
        </w:tc>
        <w:tc>
          <w:tcPr>
            <w:tcW w:w="1430" w:type="dxa"/>
          </w:tcPr>
          <w:p>
            <w:pPr>
              <w:pStyle w:val="TableParagraph"/>
              <w:spacing w:line="203" w:lineRule="exact"/>
              <w:ind w:right="117"/>
              <w:jc w:val="right"/>
              <w:rPr>
                <w:sz w:val="18"/>
              </w:rPr>
            </w:pPr>
            <w:r>
              <w:rPr>
                <w:spacing w:val="-2"/>
                <w:sz w:val="18"/>
              </w:rPr>
              <w:t>2.012523</w:t>
            </w:r>
          </w:p>
        </w:tc>
        <w:tc>
          <w:tcPr>
            <w:tcW w:w="1521" w:type="dxa"/>
            <w:tcBorders>
              <w:bottom w:val="double" w:sz="6" w:space="0" w:color="000000"/>
            </w:tcBorders>
          </w:tcPr>
          <w:p>
            <w:pPr>
              <w:pStyle w:val="TableParagraph"/>
              <w:spacing w:line="203" w:lineRule="exact"/>
              <w:ind w:left="120"/>
              <w:rPr>
                <w:sz w:val="18"/>
              </w:rPr>
            </w:pPr>
            <w:r>
              <w:rPr>
                <w:spacing w:val="-2"/>
                <w:sz w:val="18"/>
              </w:rPr>
              <w:t>Prob(F-statistic)</w:t>
            </w:r>
          </w:p>
        </w:tc>
        <w:tc>
          <w:tcPr>
            <w:tcW w:w="898" w:type="dxa"/>
          </w:tcPr>
          <w:p>
            <w:pPr>
              <w:pStyle w:val="TableParagraph"/>
              <w:rPr>
                <w:sz w:val="16"/>
              </w:rPr>
            </w:pPr>
          </w:p>
        </w:tc>
        <w:tc>
          <w:tcPr>
            <w:tcW w:w="857" w:type="dxa"/>
            <w:tcBorders>
              <w:bottom w:val="double" w:sz="6" w:space="0" w:color="000000"/>
            </w:tcBorders>
          </w:tcPr>
          <w:p>
            <w:pPr>
              <w:pStyle w:val="TableParagraph"/>
              <w:spacing w:line="203" w:lineRule="exact"/>
              <w:ind w:left="-3" w:right="28"/>
              <w:jc w:val="right"/>
              <w:rPr>
                <w:sz w:val="18"/>
              </w:rPr>
            </w:pPr>
            <w:r>
              <w:rPr>
                <w:spacing w:val="-2"/>
                <w:sz w:val="18"/>
              </w:rPr>
              <w:t>0.000842</w:t>
            </w:r>
          </w:p>
        </w:tc>
      </w:tr>
    </w:tbl>
    <w:p>
      <w:pPr>
        <w:pStyle w:val="BodyText"/>
        <w:spacing w:before="17"/>
        <w:rPr>
          <w:sz w:val="18"/>
        </w:rPr>
      </w:pPr>
    </w:p>
    <w:p>
      <w:pPr>
        <w:spacing w:before="0" w:after="2"/>
        <w:ind w:left="711" w:right="0" w:firstLine="0"/>
        <w:jc w:val="left"/>
        <w:rPr>
          <w:sz w:val="18"/>
        </w:rPr>
      </w:pPr>
      <w:r>
        <w:rPr>
          <w:sz w:val="18"/>
        </w:rPr>
        <w:t>DFI @ 2</w:t>
      </w:r>
      <w:r>
        <w:rPr>
          <w:sz w:val="18"/>
          <w:vertAlign w:val="superscript"/>
        </w:rPr>
        <w:t>ND</w:t>
      </w:r>
      <w:r>
        <w:rPr>
          <w:spacing w:val="1"/>
          <w:sz w:val="18"/>
          <w:vertAlign w:val="baseline"/>
        </w:rPr>
        <w:t> </w:t>
      </w:r>
      <w:r>
        <w:rPr>
          <w:spacing w:val="-4"/>
          <w:sz w:val="18"/>
          <w:vertAlign w:val="baseline"/>
        </w:rPr>
        <w:t>DIFF</w:t>
      </w:r>
    </w:p>
    <w:tbl>
      <w:tblPr>
        <w:tblW w:w="0" w:type="auto"/>
        <w:jc w:val="left"/>
        <w:tblInd w:w="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82"/>
        <w:gridCol w:w="1430"/>
        <w:gridCol w:w="1521"/>
        <w:gridCol w:w="868"/>
        <w:gridCol w:w="887"/>
      </w:tblGrid>
      <w:tr>
        <w:trPr>
          <w:trHeight w:val="202" w:hRule="atLeast"/>
        </w:trPr>
        <w:tc>
          <w:tcPr>
            <w:tcW w:w="1782" w:type="dxa"/>
          </w:tcPr>
          <w:p>
            <w:pPr>
              <w:pStyle w:val="TableParagraph"/>
              <w:spacing w:line="183" w:lineRule="exact"/>
              <w:ind w:left="36"/>
              <w:rPr>
                <w:sz w:val="18"/>
              </w:rPr>
            </w:pPr>
            <w:r>
              <w:rPr>
                <w:sz w:val="18"/>
              </w:rPr>
              <w:t>ADF</w:t>
            </w:r>
            <w:r>
              <w:rPr>
                <w:spacing w:val="-1"/>
                <w:sz w:val="18"/>
              </w:rPr>
              <w:t> </w:t>
            </w:r>
            <w:r>
              <w:rPr>
                <w:sz w:val="18"/>
              </w:rPr>
              <w:t>Test</w:t>
            </w:r>
            <w:r>
              <w:rPr>
                <w:spacing w:val="-2"/>
                <w:sz w:val="18"/>
              </w:rPr>
              <w:t> Statistic</w:t>
            </w:r>
          </w:p>
        </w:tc>
        <w:tc>
          <w:tcPr>
            <w:tcW w:w="1430" w:type="dxa"/>
          </w:tcPr>
          <w:p>
            <w:pPr>
              <w:pStyle w:val="TableParagraph"/>
              <w:spacing w:line="183" w:lineRule="exact"/>
              <w:ind w:left="284"/>
              <w:rPr>
                <w:sz w:val="18"/>
              </w:rPr>
            </w:pPr>
            <w:r>
              <w:rPr>
                <w:sz w:val="18"/>
              </w:rPr>
              <w:t>-</w:t>
            </w:r>
            <w:r>
              <w:rPr>
                <w:spacing w:val="-2"/>
                <w:sz w:val="18"/>
              </w:rPr>
              <w:t>4.009544</w:t>
            </w:r>
          </w:p>
        </w:tc>
        <w:tc>
          <w:tcPr>
            <w:tcW w:w="2389" w:type="dxa"/>
            <w:gridSpan w:val="2"/>
          </w:tcPr>
          <w:p>
            <w:pPr>
              <w:pStyle w:val="TableParagraph"/>
              <w:spacing w:line="183" w:lineRule="exact"/>
              <w:ind w:left="122"/>
              <w:rPr>
                <w:sz w:val="18"/>
              </w:rPr>
            </w:pPr>
            <w:r>
              <w:rPr>
                <w:sz w:val="18"/>
              </w:rPr>
              <w:t>1%</w:t>
            </w:r>
            <w:r>
              <w:rPr>
                <w:spacing w:val="63"/>
                <w:w w:val="150"/>
                <w:sz w:val="18"/>
              </w:rPr>
              <w:t> </w:t>
            </w:r>
            <w:r>
              <w:rPr>
                <w:sz w:val="18"/>
              </w:rPr>
              <w:t>Critical</w:t>
            </w:r>
            <w:r>
              <w:rPr>
                <w:spacing w:val="-2"/>
                <w:sz w:val="18"/>
              </w:rPr>
              <w:t> Value*</w:t>
            </w:r>
          </w:p>
        </w:tc>
        <w:tc>
          <w:tcPr>
            <w:tcW w:w="887" w:type="dxa"/>
          </w:tcPr>
          <w:p>
            <w:pPr>
              <w:pStyle w:val="TableParagraph"/>
              <w:spacing w:line="183" w:lineRule="exact"/>
              <w:ind w:right="29"/>
              <w:jc w:val="right"/>
              <w:rPr>
                <w:sz w:val="18"/>
              </w:rPr>
            </w:pPr>
            <w:r>
              <w:rPr>
                <w:sz w:val="18"/>
              </w:rPr>
              <w:t>-</w:t>
            </w:r>
            <w:r>
              <w:rPr>
                <w:spacing w:val="-2"/>
                <w:sz w:val="18"/>
              </w:rPr>
              <w:t>3.7856</w:t>
            </w:r>
          </w:p>
        </w:tc>
      </w:tr>
      <w:tr>
        <w:trPr>
          <w:trHeight w:val="206" w:hRule="atLeast"/>
        </w:trPr>
        <w:tc>
          <w:tcPr>
            <w:tcW w:w="1782" w:type="dxa"/>
          </w:tcPr>
          <w:p>
            <w:pPr>
              <w:pStyle w:val="TableParagraph"/>
              <w:rPr>
                <w:sz w:val="14"/>
              </w:rPr>
            </w:pPr>
          </w:p>
        </w:tc>
        <w:tc>
          <w:tcPr>
            <w:tcW w:w="1430" w:type="dxa"/>
          </w:tcPr>
          <w:p>
            <w:pPr>
              <w:pStyle w:val="TableParagraph"/>
              <w:rPr>
                <w:sz w:val="14"/>
              </w:rPr>
            </w:pPr>
          </w:p>
        </w:tc>
        <w:tc>
          <w:tcPr>
            <w:tcW w:w="1521" w:type="dxa"/>
          </w:tcPr>
          <w:p>
            <w:pPr>
              <w:pStyle w:val="TableParagraph"/>
              <w:spacing w:line="186" w:lineRule="exact"/>
              <w:ind w:left="122"/>
              <w:rPr>
                <w:sz w:val="18"/>
              </w:rPr>
            </w:pPr>
            <w:r>
              <w:rPr>
                <w:sz w:val="18"/>
              </w:rPr>
              <w:t>5%</w:t>
            </w:r>
            <w:r>
              <w:rPr>
                <w:spacing w:val="63"/>
                <w:w w:val="150"/>
                <w:sz w:val="18"/>
              </w:rPr>
              <w:t> </w:t>
            </w:r>
            <w:r>
              <w:rPr>
                <w:sz w:val="18"/>
              </w:rPr>
              <w:t>Critical</w:t>
            </w:r>
            <w:r>
              <w:rPr>
                <w:spacing w:val="-2"/>
                <w:sz w:val="18"/>
              </w:rPr>
              <w:t> Value</w:t>
            </w:r>
          </w:p>
        </w:tc>
        <w:tc>
          <w:tcPr>
            <w:tcW w:w="868" w:type="dxa"/>
          </w:tcPr>
          <w:p>
            <w:pPr>
              <w:pStyle w:val="TableParagraph"/>
              <w:rPr>
                <w:sz w:val="14"/>
              </w:rPr>
            </w:pPr>
          </w:p>
        </w:tc>
        <w:tc>
          <w:tcPr>
            <w:tcW w:w="887" w:type="dxa"/>
          </w:tcPr>
          <w:p>
            <w:pPr>
              <w:pStyle w:val="TableParagraph"/>
              <w:spacing w:line="186" w:lineRule="exact"/>
              <w:ind w:right="29"/>
              <w:jc w:val="right"/>
              <w:rPr>
                <w:sz w:val="18"/>
              </w:rPr>
            </w:pPr>
            <w:r>
              <w:rPr>
                <w:sz w:val="18"/>
              </w:rPr>
              <w:t>-</w:t>
            </w:r>
            <w:r>
              <w:rPr>
                <w:spacing w:val="-2"/>
                <w:sz w:val="18"/>
              </w:rPr>
              <w:t>3.0114</w:t>
            </w:r>
          </w:p>
        </w:tc>
      </w:tr>
      <w:tr>
        <w:trPr>
          <w:trHeight w:val="201" w:hRule="atLeast"/>
        </w:trPr>
        <w:tc>
          <w:tcPr>
            <w:tcW w:w="1782" w:type="dxa"/>
            <w:tcBorders>
              <w:bottom w:val="double" w:sz="6" w:space="0" w:color="000000"/>
            </w:tcBorders>
          </w:tcPr>
          <w:p>
            <w:pPr>
              <w:pStyle w:val="TableParagraph"/>
              <w:rPr>
                <w:sz w:val="14"/>
              </w:rPr>
            </w:pPr>
          </w:p>
        </w:tc>
        <w:tc>
          <w:tcPr>
            <w:tcW w:w="1430" w:type="dxa"/>
            <w:tcBorders>
              <w:bottom w:val="double" w:sz="6" w:space="0" w:color="000000"/>
            </w:tcBorders>
          </w:tcPr>
          <w:p>
            <w:pPr>
              <w:pStyle w:val="TableParagraph"/>
              <w:rPr>
                <w:sz w:val="14"/>
              </w:rPr>
            </w:pPr>
          </w:p>
        </w:tc>
        <w:tc>
          <w:tcPr>
            <w:tcW w:w="1521" w:type="dxa"/>
            <w:tcBorders>
              <w:bottom w:val="double" w:sz="6" w:space="0" w:color="000000"/>
            </w:tcBorders>
          </w:tcPr>
          <w:p>
            <w:pPr>
              <w:pStyle w:val="TableParagraph"/>
              <w:spacing w:line="181" w:lineRule="exact"/>
              <w:ind w:left="122"/>
              <w:rPr>
                <w:sz w:val="18"/>
              </w:rPr>
            </w:pPr>
            <w:r>
              <w:rPr>
                <w:sz w:val="18"/>
              </w:rPr>
              <w:t>10%</w:t>
            </w:r>
            <w:r>
              <w:rPr>
                <w:spacing w:val="-5"/>
                <w:sz w:val="18"/>
              </w:rPr>
              <w:t> </w:t>
            </w:r>
            <w:r>
              <w:rPr>
                <w:sz w:val="18"/>
              </w:rPr>
              <w:t>Critical</w:t>
            </w:r>
            <w:r>
              <w:rPr>
                <w:spacing w:val="-3"/>
                <w:sz w:val="18"/>
              </w:rPr>
              <w:t> </w:t>
            </w:r>
            <w:r>
              <w:rPr>
                <w:spacing w:val="-2"/>
                <w:sz w:val="18"/>
              </w:rPr>
              <w:t>Value</w:t>
            </w:r>
          </w:p>
        </w:tc>
        <w:tc>
          <w:tcPr>
            <w:tcW w:w="868" w:type="dxa"/>
            <w:tcBorders>
              <w:bottom w:val="double" w:sz="6" w:space="0" w:color="000000"/>
            </w:tcBorders>
          </w:tcPr>
          <w:p>
            <w:pPr>
              <w:pStyle w:val="TableParagraph"/>
              <w:rPr>
                <w:sz w:val="14"/>
              </w:rPr>
            </w:pPr>
          </w:p>
        </w:tc>
        <w:tc>
          <w:tcPr>
            <w:tcW w:w="887" w:type="dxa"/>
            <w:tcBorders>
              <w:bottom w:val="double" w:sz="6" w:space="0" w:color="000000"/>
            </w:tcBorders>
          </w:tcPr>
          <w:p>
            <w:pPr>
              <w:pStyle w:val="TableParagraph"/>
              <w:spacing w:line="181" w:lineRule="exact"/>
              <w:ind w:right="29"/>
              <w:jc w:val="right"/>
              <w:rPr>
                <w:sz w:val="18"/>
              </w:rPr>
            </w:pPr>
            <w:r>
              <w:rPr>
                <w:sz w:val="18"/>
              </w:rPr>
              <w:t>-</w:t>
            </w:r>
            <w:r>
              <w:rPr>
                <w:spacing w:val="-2"/>
                <w:sz w:val="18"/>
              </w:rPr>
              <w:t>2.6457</w:t>
            </w:r>
          </w:p>
        </w:tc>
      </w:tr>
      <w:tr>
        <w:trPr>
          <w:trHeight w:val="460" w:hRule="atLeast"/>
        </w:trPr>
        <w:tc>
          <w:tcPr>
            <w:tcW w:w="6488" w:type="dxa"/>
            <w:gridSpan w:val="5"/>
            <w:tcBorders>
              <w:top w:val="double" w:sz="6" w:space="0" w:color="000000"/>
            </w:tcBorders>
          </w:tcPr>
          <w:p>
            <w:pPr>
              <w:pStyle w:val="TableParagraph"/>
              <w:spacing w:before="42"/>
              <w:ind w:left="36"/>
              <w:rPr>
                <w:sz w:val="18"/>
              </w:rPr>
            </w:pPr>
            <w:r>
              <w:rPr>
                <w:sz w:val="18"/>
              </w:rPr>
              <w:t>*MacKinnon</w:t>
            </w:r>
            <w:r>
              <w:rPr>
                <w:spacing w:val="-1"/>
                <w:sz w:val="18"/>
              </w:rPr>
              <w:t> </w:t>
            </w:r>
            <w:r>
              <w:rPr>
                <w:sz w:val="18"/>
              </w:rPr>
              <w:t>critical</w:t>
            </w:r>
            <w:r>
              <w:rPr>
                <w:spacing w:val="-1"/>
                <w:sz w:val="18"/>
              </w:rPr>
              <w:t> </w:t>
            </w:r>
            <w:r>
              <w:rPr>
                <w:sz w:val="18"/>
              </w:rPr>
              <w:t>values</w:t>
            </w:r>
            <w:r>
              <w:rPr>
                <w:spacing w:val="-1"/>
                <w:sz w:val="18"/>
              </w:rPr>
              <w:t> </w:t>
            </w:r>
            <w:r>
              <w:rPr>
                <w:sz w:val="18"/>
              </w:rPr>
              <w:t>for</w:t>
            </w:r>
            <w:r>
              <w:rPr>
                <w:spacing w:val="-1"/>
                <w:sz w:val="18"/>
              </w:rPr>
              <w:t> </w:t>
            </w:r>
            <w:r>
              <w:rPr>
                <w:sz w:val="18"/>
              </w:rPr>
              <w:t>rejection</w:t>
            </w:r>
            <w:r>
              <w:rPr>
                <w:spacing w:val="-2"/>
                <w:sz w:val="18"/>
              </w:rPr>
              <w:t> </w:t>
            </w:r>
            <w:r>
              <w:rPr>
                <w:sz w:val="18"/>
              </w:rPr>
              <w:t>of</w:t>
            </w:r>
            <w:r>
              <w:rPr>
                <w:spacing w:val="-3"/>
                <w:sz w:val="18"/>
              </w:rPr>
              <w:t> </w:t>
            </w:r>
            <w:r>
              <w:rPr>
                <w:sz w:val="18"/>
              </w:rPr>
              <w:t>hypothesis</w:t>
            </w:r>
            <w:r>
              <w:rPr>
                <w:spacing w:val="-1"/>
                <w:sz w:val="18"/>
              </w:rPr>
              <w:t> </w:t>
            </w:r>
            <w:r>
              <w:rPr>
                <w:sz w:val="18"/>
              </w:rPr>
              <w:t>of</w:t>
            </w:r>
            <w:r>
              <w:rPr>
                <w:spacing w:val="-3"/>
                <w:sz w:val="18"/>
              </w:rPr>
              <w:t> </w:t>
            </w:r>
            <w:r>
              <w:rPr>
                <w:sz w:val="18"/>
              </w:rPr>
              <w:t>a</w:t>
            </w:r>
            <w:r>
              <w:rPr>
                <w:spacing w:val="-2"/>
                <w:sz w:val="18"/>
              </w:rPr>
              <w:t> </w:t>
            </w:r>
            <w:r>
              <w:rPr>
                <w:sz w:val="18"/>
              </w:rPr>
              <w:t>unit</w:t>
            </w:r>
            <w:r>
              <w:rPr>
                <w:spacing w:val="-2"/>
                <w:sz w:val="18"/>
              </w:rPr>
              <w:t> root.</w:t>
            </w:r>
          </w:p>
        </w:tc>
      </w:tr>
      <w:tr>
        <w:trPr>
          <w:trHeight w:val="414" w:hRule="atLeast"/>
        </w:trPr>
        <w:tc>
          <w:tcPr>
            <w:tcW w:w="6488" w:type="dxa"/>
            <w:gridSpan w:val="5"/>
          </w:tcPr>
          <w:p>
            <w:pPr>
              <w:pStyle w:val="TableParagraph"/>
              <w:spacing w:line="191" w:lineRule="exact" w:before="203"/>
              <w:ind w:left="36"/>
              <w:rPr>
                <w:sz w:val="18"/>
              </w:rPr>
            </w:pPr>
            <w:r>
              <w:rPr>
                <w:sz w:val="18"/>
              </w:rPr>
              <w:t>Augmented</w:t>
            </w:r>
            <w:r>
              <w:rPr>
                <w:spacing w:val="-3"/>
                <w:sz w:val="18"/>
              </w:rPr>
              <w:t> </w:t>
            </w:r>
            <w:r>
              <w:rPr>
                <w:sz w:val="18"/>
              </w:rPr>
              <w:t>Dickey-Fuller</w:t>
            </w:r>
            <w:r>
              <w:rPr>
                <w:spacing w:val="-3"/>
                <w:sz w:val="18"/>
              </w:rPr>
              <w:t> </w:t>
            </w:r>
            <w:r>
              <w:rPr>
                <w:sz w:val="18"/>
              </w:rPr>
              <w:t>Test</w:t>
            </w:r>
            <w:r>
              <w:rPr>
                <w:spacing w:val="-3"/>
                <w:sz w:val="18"/>
              </w:rPr>
              <w:t> </w:t>
            </w:r>
            <w:r>
              <w:rPr>
                <w:spacing w:val="-2"/>
                <w:sz w:val="18"/>
              </w:rPr>
              <w:t>Equation</w:t>
            </w:r>
          </w:p>
        </w:tc>
      </w:tr>
      <w:tr>
        <w:trPr>
          <w:trHeight w:val="206" w:hRule="atLeast"/>
        </w:trPr>
        <w:tc>
          <w:tcPr>
            <w:tcW w:w="6488" w:type="dxa"/>
            <w:gridSpan w:val="5"/>
          </w:tcPr>
          <w:p>
            <w:pPr>
              <w:pStyle w:val="TableParagraph"/>
              <w:spacing w:line="186" w:lineRule="exact"/>
              <w:ind w:left="36"/>
              <w:rPr>
                <w:sz w:val="18"/>
              </w:rPr>
            </w:pPr>
            <w:r>
              <w:rPr>
                <w:sz w:val="18"/>
              </w:rPr>
              <w:t>Dependent</w:t>
            </w:r>
            <w:r>
              <w:rPr>
                <w:spacing w:val="-1"/>
                <w:sz w:val="18"/>
              </w:rPr>
              <w:t> </w:t>
            </w:r>
            <w:r>
              <w:rPr>
                <w:sz w:val="18"/>
              </w:rPr>
              <w:t>Variable:</w:t>
            </w:r>
            <w:r>
              <w:rPr>
                <w:spacing w:val="-2"/>
                <w:sz w:val="18"/>
              </w:rPr>
              <w:t> D(DFI,3)</w:t>
            </w:r>
          </w:p>
        </w:tc>
      </w:tr>
      <w:tr>
        <w:trPr>
          <w:trHeight w:val="206" w:hRule="atLeast"/>
        </w:trPr>
        <w:tc>
          <w:tcPr>
            <w:tcW w:w="1782" w:type="dxa"/>
          </w:tcPr>
          <w:p>
            <w:pPr>
              <w:pStyle w:val="TableParagraph"/>
              <w:spacing w:line="186" w:lineRule="exact"/>
              <w:ind w:left="36"/>
              <w:rPr>
                <w:sz w:val="18"/>
              </w:rPr>
            </w:pPr>
            <w:r>
              <w:rPr>
                <w:sz w:val="18"/>
              </w:rPr>
              <w:t>Method:</w:t>
            </w:r>
            <w:r>
              <w:rPr>
                <w:spacing w:val="-3"/>
                <w:sz w:val="18"/>
              </w:rPr>
              <w:t> </w:t>
            </w:r>
            <w:r>
              <w:rPr>
                <w:sz w:val="18"/>
              </w:rPr>
              <w:t>Least</w:t>
            </w:r>
            <w:r>
              <w:rPr>
                <w:spacing w:val="-2"/>
                <w:sz w:val="18"/>
              </w:rPr>
              <w:t> Squares</w:t>
            </w:r>
          </w:p>
        </w:tc>
        <w:tc>
          <w:tcPr>
            <w:tcW w:w="1430" w:type="dxa"/>
          </w:tcPr>
          <w:p>
            <w:pPr>
              <w:pStyle w:val="TableParagraph"/>
              <w:rPr>
                <w:sz w:val="14"/>
              </w:rPr>
            </w:pPr>
          </w:p>
        </w:tc>
        <w:tc>
          <w:tcPr>
            <w:tcW w:w="1521" w:type="dxa"/>
          </w:tcPr>
          <w:p>
            <w:pPr>
              <w:pStyle w:val="TableParagraph"/>
              <w:rPr>
                <w:sz w:val="14"/>
              </w:rPr>
            </w:pPr>
          </w:p>
        </w:tc>
        <w:tc>
          <w:tcPr>
            <w:tcW w:w="868" w:type="dxa"/>
          </w:tcPr>
          <w:p>
            <w:pPr>
              <w:pStyle w:val="TableParagraph"/>
              <w:rPr>
                <w:sz w:val="14"/>
              </w:rPr>
            </w:pPr>
          </w:p>
        </w:tc>
        <w:tc>
          <w:tcPr>
            <w:tcW w:w="887" w:type="dxa"/>
          </w:tcPr>
          <w:p>
            <w:pPr>
              <w:pStyle w:val="TableParagraph"/>
              <w:rPr>
                <w:sz w:val="14"/>
              </w:rPr>
            </w:pPr>
          </w:p>
        </w:tc>
      </w:tr>
      <w:tr>
        <w:trPr>
          <w:trHeight w:val="206" w:hRule="atLeast"/>
        </w:trPr>
        <w:tc>
          <w:tcPr>
            <w:tcW w:w="6488" w:type="dxa"/>
            <w:gridSpan w:val="5"/>
          </w:tcPr>
          <w:p>
            <w:pPr>
              <w:pStyle w:val="TableParagraph"/>
              <w:spacing w:line="186" w:lineRule="exact"/>
              <w:ind w:left="36"/>
              <w:rPr>
                <w:sz w:val="18"/>
              </w:rPr>
            </w:pPr>
            <w:r>
              <w:rPr>
                <w:sz w:val="18"/>
              </w:rPr>
              <w:t>Date:</w:t>
            </w:r>
            <w:r>
              <w:rPr>
                <w:spacing w:val="-2"/>
                <w:sz w:val="18"/>
              </w:rPr>
              <w:t> </w:t>
            </w:r>
            <w:r>
              <w:rPr>
                <w:sz w:val="18"/>
              </w:rPr>
              <w:t>02/17/14</w:t>
            </w:r>
            <w:r>
              <w:rPr>
                <w:spacing w:val="63"/>
                <w:w w:val="150"/>
                <w:sz w:val="18"/>
              </w:rPr>
              <w:t> </w:t>
            </w:r>
            <w:r>
              <w:rPr>
                <w:sz w:val="18"/>
              </w:rPr>
              <w:t>Time:</w:t>
            </w:r>
            <w:r>
              <w:rPr>
                <w:spacing w:val="-1"/>
                <w:sz w:val="18"/>
              </w:rPr>
              <w:t> </w:t>
            </w:r>
            <w:r>
              <w:rPr>
                <w:spacing w:val="-4"/>
                <w:sz w:val="18"/>
              </w:rPr>
              <w:t>18:11</w:t>
            </w:r>
          </w:p>
        </w:tc>
      </w:tr>
      <w:tr>
        <w:trPr>
          <w:trHeight w:val="207" w:hRule="atLeast"/>
        </w:trPr>
        <w:tc>
          <w:tcPr>
            <w:tcW w:w="6488" w:type="dxa"/>
            <w:gridSpan w:val="5"/>
          </w:tcPr>
          <w:p>
            <w:pPr>
              <w:pStyle w:val="TableParagraph"/>
              <w:spacing w:line="188" w:lineRule="exact"/>
              <w:ind w:left="36"/>
              <w:rPr>
                <w:sz w:val="18"/>
              </w:rPr>
            </w:pPr>
            <w:r>
              <w:rPr>
                <w:sz w:val="18"/>
              </w:rPr>
              <w:t>Sample(adjusted):</w:t>
            </w:r>
            <w:r>
              <w:rPr>
                <w:spacing w:val="-6"/>
                <w:sz w:val="18"/>
              </w:rPr>
              <w:t> </w:t>
            </w:r>
            <w:r>
              <w:rPr>
                <w:sz w:val="18"/>
              </w:rPr>
              <w:t>1991</w:t>
            </w:r>
            <w:r>
              <w:rPr>
                <w:spacing w:val="-2"/>
                <w:sz w:val="18"/>
              </w:rPr>
              <w:t> </w:t>
            </w:r>
            <w:r>
              <w:rPr>
                <w:spacing w:val="-4"/>
                <w:sz w:val="18"/>
              </w:rPr>
              <w:t>2011</w:t>
            </w:r>
          </w:p>
        </w:tc>
      </w:tr>
      <w:tr>
        <w:trPr>
          <w:trHeight w:val="202" w:hRule="atLeast"/>
        </w:trPr>
        <w:tc>
          <w:tcPr>
            <w:tcW w:w="6488" w:type="dxa"/>
            <w:gridSpan w:val="5"/>
            <w:tcBorders>
              <w:bottom w:val="double" w:sz="6" w:space="0" w:color="000000"/>
            </w:tcBorders>
          </w:tcPr>
          <w:p>
            <w:pPr>
              <w:pStyle w:val="TableParagraph"/>
              <w:spacing w:line="183" w:lineRule="exact"/>
              <w:ind w:left="36"/>
              <w:rPr>
                <w:sz w:val="18"/>
              </w:rPr>
            </w:pPr>
            <w:r>
              <w:rPr>
                <w:sz w:val="18"/>
              </w:rPr>
              <w:t>Included</w:t>
            </w:r>
            <w:r>
              <w:rPr>
                <w:spacing w:val="-1"/>
                <w:sz w:val="18"/>
              </w:rPr>
              <w:t> </w:t>
            </w:r>
            <w:r>
              <w:rPr>
                <w:sz w:val="18"/>
              </w:rPr>
              <w:t>observations:</w:t>
            </w:r>
            <w:r>
              <w:rPr>
                <w:spacing w:val="-3"/>
                <w:sz w:val="18"/>
              </w:rPr>
              <w:t> </w:t>
            </w:r>
            <w:r>
              <w:rPr>
                <w:sz w:val="18"/>
              </w:rPr>
              <w:t>21</w:t>
            </w:r>
            <w:r>
              <w:rPr>
                <w:spacing w:val="-1"/>
                <w:sz w:val="18"/>
              </w:rPr>
              <w:t> </w:t>
            </w:r>
            <w:r>
              <w:rPr>
                <w:sz w:val="18"/>
              </w:rPr>
              <w:t>after</w:t>
            </w:r>
            <w:r>
              <w:rPr>
                <w:spacing w:val="-1"/>
                <w:sz w:val="18"/>
              </w:rPr>
              <w:t> </w:t>
            </w:r>
            <w:r>
              <w:rPr>
                <w:sz w:val="18"/>
              </w:rPr>
              <w:t>adjusting</w:t>
            </w:r>
            <w:r>
              <w:rPr>
                <w:spacing w:val="-2"/>
                <w:sz w:val="18"/>
              </w:rPr>
              <w:t> endpoints</w:t>
            </w:r>
          </w:p>
        </w:tc>
      </w:tr>
      <w:tr>
        <w:trPr>
          <w:trHeight w:val="247" w:hRule="atLeast"/>
        </w:trPr>
        <w:tc>
          <w:tcPr>
            <w:tcW w:w="1782" w:type="dxa"/>
            <w:tcBorders>
              <w:top w:val="double" w:sz="6" w:space="0" w:color="000000"/>
              <w:bottom w:val="double" w:sz="6" w:space="0" w:color="000000"/>
            </w:tcBorders>
          </w:tcPr>
          <w:p>
            <w:pPr>
              <w:pStyle w:val="TableParagraph"/>
              <w:spacing w:line="188" w:lineRule="exact" w:before="40"/>
              <w:ind w:left="713"/>
              <w:rPr>
                <w:sz w:val="18"/>
              </w:rPr>
            </w:pPr>
            <w:r>
              <w:rPr>
                <w:spacing w:val="-2"/>
                <w:sz w:val="18"/>
              </w:rPr>
              <w:t>Variable</w:t>
            </w:r>
          </w:p>
        </w:tc>
        <w:tc>
          <w:tcPr>
            <w:tcW w:w="1430" w:type="dxa"/>
            <w:tcBorders>
              <w:top w:val="double" w:sz="6" w:space="0" w:color="000000"/>
              <w:bottom w:val="double" w:sz="6" w:space="0" w:color="000000"/>
            </w:tcBorders>
          </w:tcPr>
          <w:p>
            <w:pPr>
              <w:pStyle w:val="TableParagraph"/>
              <w:spacing w:line="188" w:lineRule="exact" w:before="40"/>
              <w:ind w:right="119"/>
              <w:jc w:val="right"/>
              <w:rPr>
                <w:sz w:val="18"/>
              </w:rPr>
            </w:pPr>
            <w:r>
              <w:rPr>
                <w:spacing w:val="-2"/>
                <w:sz w:val="18"/>
              </w:rPr>
              <w:t>Coefficient</w:t>
            </w:r>
          </w:p>
        </w:tc>
        <w:tc>
          <w:tcPr>
            <w:tcW w:w="1521" w:type="dxa"/>
            <w:tcBorders>
              <w:top w:val="double" w:sz="6" w:space="0" w:color="000000"/>
              <w:bottom w:val="double" w:sz="6" w:space="0" w:color="000000"/>
            </w:tcBorders>
          </w:tcPr>
          <w:p>
            <w:pPr>
              <w:pStyle w:val="TableParagraph"/>
              <w:spacing w:line="188" w:lineRule="exact" w:before="40"/>
              <w:ind w:left="362"/>
              <w:rPr>
                <w:sz w:val="18"/>
              </w:rPr>
            </w:pPr>
            <w:r>
              <w:rPr>
                <w:sz w:val="18"/>
              </w:rPr>
              <w:t>Std.</w:t>
            </w:r>
            <w:r>
              <w:rPr>
                <w:spacing w:val="-1"/>
                <w:sz w:val="18"/>
              </w:rPr>
              <w:t> </w:t>
            </w:r>
            <w:r>
              <w:rPr>
                <w:spacing w:val="-4"/>
                <w:sz w:val="18"/>
              </w:rPr>
              <w:t>Error</w:t>
            </w:r>
          </w:p>
        </w:tc>
        <w:tc>
          <w:tcPr>
            <w:tcW w:w="868" w:type="dxa"/>
            <w:tcBorders>
              <w:top w:val="double" w:sz="6" w:space="0" w:color="000000"/>
              <w:bottom w:val="double" w:sz="6" w:space="0" w:color="000000"/>
            </w:tcBorders>
          </w:tcPr>
          <w:p>
            <w:pPr>
              <w:pStyle w:val="TableParagraph"/>
              <w:spacing w:line="188" w:lineRule="exact" w:before="40"/>
              <w:ind w:right="118"/>
              <w:jc w:val="right"/>
              <w:rPr>
                <w:sz w:val="18"/>
              </w:rPr>
            </w:pPr>
            <w:r>
              <w:rPr>
                <w:sz w:val="18"/>
              </w:rPr>
              <w:t>t-</w:t>
            </w:r>
            <w:r>
              <w:rPr>
                <w:spacing w:val="-2"/>
                <w:sz w:val="18"/>
              </w:rPr>
              <w:t>Statistic</w:t>
            </w:r>
          </w:p>
        </w:tc>
        <w:tc>
          <w:tcPr>
            <w:tcW w:w="887" w:type="dxa"/>
            <w:tcBorders>
              <w:top w:val="double" w:sz="6" w:space="0" w:color="000000"/>
              <w:bottom w:val="double" w:sz="6" w:space="0" w:color="000000"/>
            </w:tcBorders>
          </w:tcPr>
          <w:p>
            <w:pPr>
              <w:pStyle w:val="TableParagraph"/>
              <w:spacing w:line="188" w:lineRule="exact" w:before="40"/>
              <w:ind w:right="29"/>
              <w:jc w:val="right"/>
              <w:rPr>
                <w:sz w:val="18"/>
              </w:rPr>
            </w:pPr>
            <w:r>
              <w:rPr>
                <w:spacing w:val="-2"/>
                <w:sz w:val="18"/>
              </w:rPr>
              <w:t>Prob.</w:t>
            </w:r>
          </w:p>
        </w:tc>
      </w:tr>
      <w:tr>
        <w:trPr>
          <w:trHeight w:val="250" w:hRule="atLeast"/>
        </w:trPr>
        <w:tc>
          <w:tcPr>
            <w:tcW w:w="1782" w:type="dxa"/>
            <w:tcBorders>
              <w:top w:val="double" w:sz="6" w:space="0" w:color="000000"/>
            </w:tcBorders>
          </w:tcPr>
          <w:p>
            <w:pPr>
              <w:pStyle w:val="TableParagraph"/>
              <w:spacing w:line="191" w:lineRule="exact" w:before="40"/>
              <w:ind w:left="550"/>
              <w:rPr>
                <w:sz w:val="18"/>
              </w:rPr>
            </w:pPr>
            <w:r>
              <w:rPr>
                <w:spacing w:val="-2"/>
                <w:sz w:val="18"/>
              </w:rPr>
              <w:t>D(DFI(-1),2)</w:t>
            </w:r>
          </w:p>
        </w:tc>
        <w:tc>
          <w:tcPr>
            <w:tcW w:w="1430" w:type="dxa"/>
            <w:tcBorders>
              <w:top w:val="double" w:sz="6" w:space="0" w:color="000000"/>
            </w:tcBorders>
          </w:tcPr>
          <w:p>
            <w:pPr>
              <w:pStyle w:val="TableParagraph"/>
              <w:spacing w:line="191" w:lineRule="exact" w:before="40"/>
              <w:ind w:right="117"/>
              <w:jc w:val="right"/>
              <w:rPr>
                <w:sz w:val="18"/>
              </w:rPr>
            </w:pPr>
            <w:r>
              <w:rPr>
                <w:sz w:val="18"/>
              </w:rPr>
              <w:t>-</w:t>
            </w:r>
            <w:r>
              <w:rPr>
                <w:spacing w:val="-2"/>
                <w:sz w:val="18"/>
              </w:rPr>
              <w:t>2.356691</w:t>
            </w:r>
          </w:p>
        </w:tc>
        <w:tc>
          <w:tcPr>
            <w:tcW w:w="1521" w:type="dxa"/>
            <w:tcBorders>
              <w:top w:val="double" w:sz="6" w:space="0" w:color="000000"/>
            </w:tcBorders>
          </w:tcPr>
          <w:p>
            <w:pPr>
              <w:pStyle w:val="TableParagraph"/>
              <w:spacing w:line="191" w:lineRule="exact" w:before="40"/>
              <w:ind w:left="398"/>
              <w:rPr>
                <w:sz w:val="18"/>
              </w:rPr>
            </w:pPr>
            <w:r>
              <w:rPr>
                <w:spacing w:val="-2"/>
                <w:sz w:val="18"/>
              </w:rPr>
              <w:t>0.587770</w:t>
            </w:r>
          </w:p>
        </w:tc>
        <w:tc>
          <w:tcPr>
            <w:tcW w:w="868" w:type="dxa"/>
            <w:tcBorders>
              <w:top w:val="double" w:sz="6" w:space="0" w:color="000000"/>
            </w:tcBorders>
          </w:tcPr>
          <w:p>
            <w:pPr>
              <w:pStyle w:val="TableParagraph"/>
              <w:spacing w:line="191" w:lineRule="exact" w:before="40"/>
              <w:ind w:right="120"/>
              <w:jc w:val="right"/>
              <w:rPr>
                <w:sz w:val="18"/>
              </w:rPr>
            </w:pPr>
            <w:r>
              <w:rPr>
                <w:sz w:val="18"/>
              </w:rPr>
              <w:t>-</w:t>
            </w:r>
            <w:r>
              <w:rPr>
                <w:spacing w:val="-2"/>
                <w:sz w:val="18"/>
              </w:rPr>
              <w:t>4.009544</w:t>
            </w:r>
          </w:p>
        </w:tc>
        <w:tc>
          <w:tcPr>
            <w:tcW w:w="887" w:type="dxa"/>
            <w:tcBorders>
              <w:top w:val="double" w:sz="6" w:space="0" w:color="000000"/>
            </w:tcBorders>
          </w:tcPr>
          <w:p>
            <w:pPr>
              <w:pStyle w:val="TableParagraph"/>
              <w:spacing w:line="191" w:lineRule="exact" w:before="40"/>
              <w:ind w:right="29"/>
              <w:jc w:val="right"/>
              <w:rPr>
                <w:sz w:val="18"/>
              </w:rPr>
            </w:pPr>
            <w:r>
              <w:rPr>
                <w:spacing w:val="-2"/>
                <w:sz w:val="18"/>
              </w:rPr>
              <w:t>0.0008</w:t>
            </w:r>
          </w:p>
        </w:tc>
      </w:tr>
      <w:tr>
        <w:trPr>
          <w:trHeight w:val="207" w:hRule="atLeast"/>
        </w:trPr>
        <w:tc>
          <w:tcPr>
            <w:tcW w:w="1782" w:type="dxa"/>
          </w:tcPr>
          <w:p>
            <w:pPr>
              <w:pStyle w:val="TableParagraph"/>
              <w:spacing w:line="188" w:lineRule="exact"/>
              <w:ind w:left="550"/>
              <w:rPr>
                <w:sz w:val="18"/>
              </w:rPr>
            </w:pPr>
            <w:r>
              <w:rPr>
                <w:spacing w:val="-2"/>
                <w:sz w:val="18"/>
              </w:rPr>
              <w:t>D(DFI(-1),3)</w:t>
            </w:r>
          </w:p>
        </w:tc>
        <w:tc>
          <w:tcPr>
            <w:tcW w:w="1430" w:type="dxa"/>
          </w:tcPr>
          <w:p>
            <w:pPr>
              <w:pStyle w:val="TableParagraph"/>
              <w:spacing w:line="188" w:lineRule="exact"/>
              <w:ind w:right="117"/>
              <w:jc w:val="right"/>
              <w:rPr>
                <w:sz w:val="18"/>
              </w:rPr>
            </w:pPr>
            <w:r>
              <w:rPr>
                <w:spacing w:val="-2"/>
                <w:sz w:val="18"/>
              </w:rPr>
              <w:t>0.395890</w:t>
            </w:r>
          </w:p>
        </w:tc>
        <w:tc>
          <w:tcPr>
            <w:tcW w:w="1521" w:type="dxa"/>
          </w:tcPr>
          <w:p>
            <w:pPr>
              <w:pStyle w:val="TableParagraph"/>
              <w:spacing w:line="188" w:lineRule="exact"/>
              <w:ind w:left="398"/>
              <w:rPr>
                <w:sz w:val="18"/>
              </w:rPr>
            </w:pPr>
            <w:r>
              <w:rPr>
                <w:spacing w:val="-2"/>
                <w:sz w:val="18"/>
              </w:rPr>
              <w:t>0.483222</w:t>
            </w:r>
          </w:p>
        </w:tc>
        <w:tc>
          <w:tcPr>
            <w:tcW w:w="868" w:type="dxa"/>
          </w:tcPr>
          <w:p>
            <w:pPr>
              <w:pStyle w:val="TableParagraph"/>
              <w:spacing w:line="188" w:lineRule="exact"/>
              <w:ind w:right="120"/>
              <w:jc w:val="right"/>
              <w:rPr>
                <w:sz w:val="18"/>
              </w:rPr>
            </w:pPr>
            <w:r>
              <w:rPr>
                <w:spacing w:val="-2"/>
                <w:sz w:val="18"/>
              </w:rPr>
              <w:t>0.819273</w:t>
            </w:r>
          </w:p>
        </w:tc>
        <w:tc>
          <w:tcPr>
            <w:tcW w:w="887" w:type="dxa"/>
          </w:tcPr>
          <w:p>
            <w:pPr>
              <w:pStyle w:val="TableParagraph"/>
              <w:spacing w:line="188" w:lineRule="exact"/>
              <w:ind w:right="29"/>
              <w:jc w:val="right"/>
              <w:rPr>
                <w:sz w:val="18"/>
              </w:rPr>
            </w:pPr>
            <w:r>
              <w:rPr>
                <w:spacing w:val="-2"/>
                <w:sz w:val="18"/>
              </w:rPr>
              <w:t>0.4233</w:t>
            </w:r>
          </w:p>
        </w:tc>
      </w:tr>
      <w:tr>
        <w:trPr>
          <w:trHeight w:val="202" w:hRule="atLeast"/>
        </w:trPr>
        <w:tc>
          <w:tcPr>
            <w:tcW w:w="1782" w:type="dxa"/>
            <w:tcBorders>
              <w:bottom w:val="double" w:sz="6" w:space="0" w:color="000000"/>
            </w:tcBorders>
          </w:tcPr>
          <w:p>
            <w:pPr>
              <w:pStyle w:val="TableParagraph"/>
              <w:spacing w:line="183" w:lineRule="exact"/>
              <w:ind w:left="263"/>
              <w:jc w:val="center"/>
              <w:rPr>
                <w:sz w:val="18"/>
              </w:rPr>
            </w:pPr>
            <w:r>
              <w:rPr>
                <w:spacing w:val="-10"/>
                <w:sz w:val="18"/>
              </w:rPr>
              <w:t>C</w:t>
            </w:r>
          </w:p>
        </w:tc>
        <w:tc>
          <w:tcPr>
            <w:tcW w:w="1430" w:type="dxa"/>
            <w:tcBorders>
              <w:bottom w:val="double" w:sz="6" w:space="0" w:color="000000"/>
            </w:tcBorders>
          </w:tcPr>
          <w:p>
            <w:pPr>
              <w:pStyle w:val="TableParagraph"/>
              <w:spacing w:line="183" w:lineRule="exact"/>
              <w:ind w:right="117"/>
              <w:jc w:val="right"/>
              <w:rPr>
                <w:sz w:val="18"/>
              </w:rPr>
            </w:pPr>
            <w:r>
              <w:rPr>
                <w:spacing w:val="-2"/>
                <w:sz w:val="18"/>
              </w:rPr>
              <w:t>0.148838</w:t>
            </w:r>
          </w:p>
        </w:tc>
        <w:tc>
          <w:tcPr>
            <w:tcW w:w="1521" w:type="dxa"/>
            <w:tcBorders>
              <w:bottom w:val="double" w:sz="6" w:space="0" w:color="000000"/>
            </w:tcBorders>
          </w:tcPr>
          <w:p>
            <w:pPr>
              <w:pStyle w:val="TableParagraph"/>
              <w:spacing w:line="183" w:lineRule="exact"/>
              <w:ind w:left="398"/>
              <w:rPr>
                <w:sz w:val="18"/>
              </w:rPr>
            </w:pPr>
            <w:r>
              <w:rPr>
                <w:spacing w:val="-2"/>
                <w:sz w:val="18"/>
              </w:rPr>
              <w:t>0.167100</w:t>
            </w:r>
          </w:p>
        </w:tc>
        <w:tc>
          <w:tcPr>
            <w:tcW w:w="868" w:type="dxa"/>
            <w:tcBorders>
              <w:bottom w:val="double" w:sz="6" w:space="0" w:color="000000"/>
            </w:tcBorders>
          </w:tcPr>
          <w:p>
            <w:pPr>
              <w:pStyle w:val="TableParagraph"/>
              <w:spacing w:line="183" w:lineRule="exact"/>
              <w:ind w:right="120"/>
              <w:jc w:val="right"/>
              <w:rPr>
                <w:sz w:val="18"/>
              </w:rPr>
            </w:pPr>
            <w:r>
              <w:rPr>
                <w:spacing w:val="-2"/>
                <w:sz w:val="18"/>
              </w:rPr>
              <w:t>0.890713</w:t>
            </w:r>
          </w:p>
        </w:tc>
        <w:tc>
          <w:tcPr>
            <w:tcW w:w="887" w:type="dxa"/>
            <w:tcBorders>
              <w:bottom w:val="double" w:sz="6" w:space="0" w:color="000000"/>
            </w:tcBorders>
          </w:tcPr>
          <w:p>
            <w:pPr>
              <w:pStyle w:val="TableParagraph"/>
              <w:spacing w:line="183" w:lineRule="exact"/>
              <w:ind w:right="29"/>
              <w:jc w:val="right"/>
              <w:rPr>
                <w:sz w:val="18"/>
              </w:rPr>
            </w:pPr>
            <w:r>
              <w:rPr>
                <w:spacing w:val="-2"/>
                <w:sz w:val="18"/>
              </w:rPr>
              <w:t>0.3848</w:t>
            </w:r>
          </w:p>
        </w:tc>
      </w:tr>
      <w:tr>
        <w:trPr>
          <w:trHeight w:val="250" w:hRule="atLeast"/>
        </w:trPr>
        <w:tc>
          <w:tcPr>
            <w:tcW w:w="1782" w:type="dxa"/>
            <w:tcBorders>
              <w:top w:val="double" w:sz="6" w:space="0" w:color="000000"/>
            </w:tcBorders>
          </w:tcPr>
          <w:p>
            <w:pPr>
              <w:pStyle w:val="TableParagraph"/>
              <w:spacing w:line="191" w:lineRule="exact" w:before="40"/>
              <w:ind w:left="36"/>
              <w:rPr>
                <w:sz w:val="18"/>
              </w:rPr>
            </w:pPr>
            <w:r>
              <w:rPr>
                <w:spacing w:val="-2"/>
                <w:sz w:val="18"/>
              </w:rPr>
              <w:t>R-squared</w:t>
            </w:r>
          </w:p>
        </w:tc>
        <w:tc>
          <w:tcPr>
            <w:tcW w:w="1430" w:type="dxa"/>
            <w:tcBorders>
              <w:top w:val="double" w:sz="6" w:space="0" w:color="000000"/>
            </w:tcBorders>
          </w:tcPr>
          <w:p>
            <w:pPr>
              <w:pStyle w:val="TableParagraph"/>
              <w:spacing w:line="191" w:lineRule="exact" w:before="40"/>
              <w:ind w:right="117"/>
              <w:jc w:val="right"/>
              <w:rPr>
                <w:sz w:val="18"/>
              </w:rPr>
            </w:pPr>
            <w:r>
              <w:rPr>
                <w:spacing w:val="-2"/>
                <w:sz w:val="18"/>
              </w:rPr>
              <w:t>0.795673</w:t>
            </w:r>
          </w:p>
        </w:tc>
        <w:tc>
          <w:tcPr>
            <w:tcW w:w="2389" w:type="dxa"/>
            <w:gridSpan w:val="2"/>
            <w:tcBorders>
              <w:top w:val="double" w:sz="6" w:space="0" w:color="000000"/>
            </w:tcBorders>
          </w:tcPr>
          <w:p>
            <w:pPr>
              <w:pStyle w:val="TableParagraph"/>
              <w:spacing w:line="191" w:lineRule="exact" w:before="40"/>
              <w:ind w:left="122"/>
              <w:rPr>
                <w:sz w:val="18"/>
              </w:rPr>
            </w:pPr>
            <w:r>
              <w:rPr>
                <w:sz w:val="18"/>
              </w:rPr>
              <w:t>Mean</w:t>
            </w:r>
            <w:r>
              <w:rPr>
                <w:spacing w:val="-5"/>
                <w:sz w:val="18"/>
              </w:rPr>
              <w:t> </w:t>
            </w:r>
            <w:r>
              <w:rPr>
                <w:sz w:val="18"/>
              </w:rPr>
              <w:t>dependent</w:t>
            </w:r>
            <w:r>
              <w:rPr>
                <w:spacing w:val="-1"/>
                <w:sz w:val="18"/>
              </w:rPr>
              <w:t> </w:t>
            </w:r>
            <w:r>
              <w:rPr>
                <w:spacing w:val="-5"/>
                <w:sz w:val="18"/>
              </w:rPr>
              <w:t>var</w:t>
            </w:r>
          </w:p>
        </w:tc>
        <w:tc>
          <w:tcPr>
            <w:tcW w:w="887" w:type="dxa"/>
            <w:tcBorders>
              <w:top w:val="double" w:sz="6" w:space="0" w:color="000000"/>
            </w:tcBorders>
          </w:tcPr>
          <w:p>
            <w:pPr>
              <w:pStyle w:val="TableParagraph"/>
              <w:spacing w:line="191" w:lineRule="exact" w:before="40"/>
              <w:ind w:right="28"/>
              <w:jc w:val="right"/>
              <w:rPr>
                <w:sz w:val="18"/>
              </w:rPr>
            </w:pPr>
            <w:r>
              <w:rPr>
                <w:sz w:val="18"/>
              </w:rPr>
              <w:t>-</w:t>
            </w:r>
            <w:r>
              <w:rPr>
                <w:spacing w:val="-2"/>
                <w:sz w:val="18"/>
              </w:rPr>
              <w:t>0.136793</w:t>
            </w:r>
          </w:p>
        </w:tc>
      </w:tr>
      <w:tr>
        <w:trPr>
          <w:trHeight w:val="207" w:hRule="atLeast"/>
        </w:trPr>
        <w:tc>
          <w:tcPr>
            <w:tcW w:w="1782" w:type="dxa"/>
          </w:tcPr>
          <w:p>
            <w:pPr>
              <w:pStyle w:val="TableParagraph"/>
              <w:spacing w:line="188" w:lineRule="exact"/>
              <w:ind w:left="36"/>
              <w:rPr>
                <w:sz w:val="18"/>
              </w:rPr>
            </w:pPr>
            <w:r>
              <w:rPr>
                <w:sz w:val="18"/>
              </w:rPr>
              <w:t>Adjusted</w:t>
            </w:r>
            <w:r>
              <w:rPr>
                <w:spacing w:val="-1"/>
                <w:sz w:val="18"/>
              </w:rPr>
              <w:t> </w:t>
            </w:r>
            <w:r>
              <w:rPr>
                <w:sz w:val="18"/>
              </w:rPr>
              <w:t>R-</w:t>
            </w:r>
            <w:r>
              <w:rPr>
                <w:spacing w:val="-2"/>
                <w:sz w:val="18"/>
              </w:rPr>
              <w:t>squared</w:t>
            </w:r>
          </w:p>
        </w:tc>
        <w:tc>
          <w:tcPr>
            <w:tcW w:w="1430" w:type="dxa"/>
          </w:tcPr>
          <w:p>
            <w:pPr>
              <w:pStyle w:val="TableParagraph"/>
              <w:spacing w:line="188" w:lineRule="exact"/>
              <w:ind w:right="117"/>
              <w:jc w:val="right"/>
              <w:rPr>
                <w:sz w:val="18"/>
              </w:rPr>
            </w:pPr>
            <w:r>
              <w:rPr>
                <w:spacing w:val="-2"/>
                <w:sz w:val="18"/>
              </w:rPr>
              <w:t>0.772970</w:t>
            </w:r>
          </w:p>
        </w:tc>
        <w:tc>
          <w:tcPr>
            <w:tcW w:w="1521" w:type="dxa"/>
          </w:tcPr>
          <w:p>
            <w:pPr>
              <w:pStyle w:val="TableParagraph"/>
              <w:spacing w:line="188" w:lineRule="exact"/>
              <w:ind w:left="122"/>
              <w:rPr>
                <w:sz w:val="18"/>
              </w:rPr>
            </w:pPr>
            <w:r>
              <w:rPr>
                <w:sz w:val="18"/>
              </w:rPr>
              <w:t>S.D.</w:t>
            </w:r>
            <w:r>
              <w:rPr>
                <w:spacing w:val="-5"/>
                <w:sz w:val="18"/>
              </w:rPr>
              <w:t> </w:t>
            </w:r>
            <w:r>
              <w:rPr>
                <w:sz w:val="18"/>
              </w:rPr>
              <w:t>dependent</w:t>
            </w:r>
            <w:r>
              <w:rPr>
                <w:spacing w:val="-3"/>
                <w:sz w:val="18"/>
              </w:rPr>
              <w:t> </w:t>
            </w:r>
            <w:r>
              <w:rPr>
                <w:spacing w:val="-5"/>
                <w:sz w:val="18"/>
              </w:rPr>
              <w:t>var</w:t>
            </w:r>
          </w:p>
        </w:tc>
        <w:tc>
          <w:tcPr>
            <w:tcW w:w="868" w:type="dxa"/>
          </w:tcPr>
          <w:p>
            <w:pPr>
              <w:pStyle w:val="TableParagraph"/>
              <w:rPr>
                <w:sz w:val="14"/>
              </w:rPr>
            </w:pPr>
          </w:p>
        </w:tc>
        <w:tc>
          <w:tcPr>
            <w:tcW w:w="887" w:type="dxa"/>
          </w:tcPr>
          <w:p>
            <w:pPr>
              <w:pStyle w:val="TableParagraph"/>
              <w:spacing w:line="188" w:lineRule="exact"/>
              <w:ind w:right="28"/>
              <w:jc w:val="right"/>
              <w:rPr>
                <w:sz w:val="18"/>
              </w:rPr>
            </w:pPr>
            <w:r>
              <w:rPr>
                <w:spacing w:val="-2"/>
                <w:sz w:val="18"/>
              </w:rPr>
              <w:t>1.572659</w:t>
            </w:r>
          </w:p>
        </w:tc>
      </w:tr>
      <w:tr>
        <w:trPr>
          <w:trHeight w:val="207" w:hRule="atLeast"/>
        </w:trPr>
        <w:tc>
          <w:tcPr>
            <w:tcW w:w="1782" w:type="dxa"/>
          </w:tcPr>
          <w:p>
            <w:pPr>
              <w:pStyle w:val="TableParagraph"/>
              <w:spacing w:line="188" w:lineRule="exact"/>
              <w:ind w:left="36"/>
              <w:rPr>
                <w:sz w:val="18"/>
              </w:rPr>
            </w:pPr>
            <w:r>
              <w:rPr>
                <w:sz w:val="18"/>
              </w:rPr>
              <w:t>S.E.</w:t>
            </w:r>
            <w:r>
              <w:rPr>
                <w:spacing w:val="-3"/>
                <w:sz w:val="18"/>
              </w:rPr>
              <w:t> </w:t>
            </w:r>
            <w:r>
              <w:rPr>
                <w:sz w:val="18"/>
              </w:rPr>
              <w:t>of</w:t>
            </w:r>
            <w:r>
              <w:rPr>
                <w:spacing w:val="-1"/>
                <w:sz w:val="18"/>
              </w:rPr>
              <w:t> </w:t>
            </w:r>
            <w:r>
              <w:rPr>
                <w:spacing w:val="-2"/>
                <w:sz w:val="18"/>
              </w:rPr>
              <w:t>regression</w:t>
            </w:r>
          </w:p>
        </w:tc>
        <w:tc>
          <w:tcPr>
            <w:tcW w:w="1430" w:type="dxa"/>
          </w:tcPr>
          <w:p>
            <w:pPr>
              <w:pStyle w:val="TableParagraph"/>
              <w:spacing w:line="188" w:lineRule="exact"/>
              <w:ind w:right="117"/>
              <w:jc w:val="right"/>
              <w:rPr>
                <w:sz w:val="18"/>
              </w:rPr>
            </w:pPr>
            <w:r>
              <w:rPr>
                <w:spacing w:val="-2"/>
                <w:sz w:val="18"/>
              </w:rPr>
              <w:t>0.749335</w:t>
            </w:r>
          </w:p>
        </w:tc>
        <w:tc>
          <w:tcPr>
            <w:tcW w:w="2389" w:type="dxa"/>
            <w:gridSpan w:val="2"/>
          </w:tcPr>
          <w:p>
            <w:pPr>
              <w:pStyle w:val="TableParagraph"/>
              <w:spacing w:line="188" w:lineRule="exact"/>
              <w:ind w:left="122"/>
              <w:rPr>
                <w:sz w:val="18"/>
              </w:rPr>
            </w:pPr>
            <w:r>
              <w:rPr>
                <w:sz w:val="18"/>
              </w:rPr>
              <w:t>Akaike</w:t>
            </w:r>
            <w:r>
              <w:rPr>
                <w:spacing w:val="-5"/>
                <w:sz w:val="18"/>
              </w:rPr>
              <w:t> </w:t>
            </w:r>
            <w:r>
              <w:rPr>
                <w:sz w:val="18"/>
              </w:rPr>
              <w:t>info</w:t>
            </w:r>
            <w:r>
              <w:rPr>
                <w:spacing w:val="-2"/>
                <w:sz w:val="18"/>
              </w:rPr>
              <w:t> criterion</w:t>
            </w:r>
          </w:p>
        </w:tc>
        <w:tc>
          <w:tcPr>
            <w:tcW w:w="887" w:type="dxa"/>
          </w:tcPr>
          <w:p>
            <w:pPr>
              <w:pStyle w:val="TableParagraph"/>
              <w:spacing w:line="188" w:lineRule="exact"/>
              <w:ind w:right="28"/>
              <w:jc w:val="right"/>
              <w:rPr>
                <w:sz w:val="18"/>
              </w:rPr>
            </w:pPr>
            <w:r>
              <w:rPr>
                <w:spacing w:val="-2"/>
                <w:sz w:val="18"/>
              </w:rPr>
              <w:t>2.392302</w:t>
            </w:r>
          </w:p>
        </w:tc>
      </w:tr>
      <w:tr>
        <w:trPr>
          <w:trHeight w:val="206" w:hRule="atLeast"/>
        </w:trPr>
        <w:tc>
          <w:tcPr>
            <w:tcW w:w="1782" w:type="dxa"/>
          </w:tcPr>
          <w:p>
            <w:pPr>
              <w:pStyle w:val="TableParagraph"/>
              <w:spacing w:line="186" w:lineRule="exact"/>
              <w:ind w:left="36"/>
              <w:rPr>
                <w:sz w:val="18"/>
              </w:rPr>
            </w:pPr>
            <w:r>
              <w:rPr>
                <w:sz w:val="18"/>
              </w:rPr>
              <w:t>Sum</w:t>
            </w:r>
            <w:r>
              <w:rPr>
                <w:spacing w:val="-3"/>
                <w:sz w:val="18"/>
              </w:rPr>
              <w:t> </w:t>
            </w:r>
            <w:r>
              <w:rPr>
                <w:sz w:val="18"/>
              </w:rPr>
              <w:t>squared</w:t>
            </w:r>
            <w:r>
              <w:rPr>
                <w:spacing w:val="1"/>
                <w:sz w:val="18"/>
              </w:rPr>
              <w:t> </w:t>
            </w:r>
            <w:r>
              <w:rPr>
                <w:spacing w:val="-2"/>
                <w:sz w:val="18"/>
              </w:rPr>
              <w:t>resid</w:t>
            </w:r>
          </w:p>
        </w:tc>
        <w:tc>
          <w:tcPr>
            <w:tcW w:w="1430" w:type="dxa"/>
          </w:tcPr>
          <w:p>
            <w:pPr>
              <w:pStyle w:val="TableParagraph"/>
              <w:spacing w:line="186" w:lineRule="exact"/>
              <w:ind w:right="117"/>
              <w:jc w:val="right"/>
              <w:rPr>
                <w:sz w:val="18"/>
              </w:rPr>
            </w:pPr>
            <w:r>
              <w:rPr>
                <w:spacing w:val="-2"/>
                <w:sz w:val="18"/>
              </w:rPr>
              <w:t>10.10705</w:t>
            </w:r>
          </w:p>
        </w:tc>
        <w:tc>
          <w:tcPr>
            <w:tcW w:w="1521" w:type="dxa"/>
          </w:tcPr>
          <w:p>
            <w:pPr>
              <w:pStyle w:val="TableParagraph"/>
              <w:spacing w:line="186" w:lineRule="exact"/>
              <w:ind w:left="122"/>
              <w:rPr>
                <w:sz w:val="18"/>
              </w:rPr>
            </w:pPr>
            <w:r>
              <w:rPr>
                <w:sz w:val="18"/>
              </w:rPr>
              <w:t>Schwarz</w:t>
            </w:r>
            <w:r>
              <w:rPr>
                <w:spacing w:val="-7"/>
                <w:sz w:val="18"/>
              </w:rPr>
              <w:t> </w:t>
            </w:r>
            <w:r>
              <w:rPr>
                <w:spacing w:val="-2"/>
                <w:sz w:val="18"/>
              </w:rPr>
              <w:t>criterion</w:t>
            </w:r>
          </w:p>
        </w:tc>
        <w:tc>
          <w:tcPr>
            <w:tcW w:w="868" w:type="dxa"/>
          </w:tcPr>
          <w:p>
            <w:pPr>
              <w:pStyle w:val="TableParagraph"/>
              <w:rPr>
                <w:sz w:val="14"/>
              </w:rPr>
            </w:pPr>
          </w:p>
        </w:tc>
        <w:tc>
          <w:tcPr>
            <w:tcW w:w="887" w:type="dxa"/>
          </w:tcPr>
          <w:p>
            <w:pPr>
              <w:pStyle w:val="TableParagraph"/>
              <w:spacing w:line="186" w:lineRule="exact"/>
              <w:ind w:right="28"/>
              <w:jc w:val="right"/>
              <w:rPr>
                <w:sz w:val="18"/>
              </w:rPr>
            </w:pPr>
            <w:r>
              <w:rPr>
                <w:spacing w:val="-2"/>
                <w:sz w:val="18"/>
              </w:rPr>
              <w:t>2.541519</w:t>
            </w:r>
          </w:p>
        </w:tc>
      </w:tr>
      <w:tr>
        <w:trPr>
          <w:trHeight w:val="206" w:hRule="atLeast"/>
        </w:trPr>
        <w:tc>
          <w:tcPr>
            <w:tcW w:w="1782" w:type="dxa"/>
          </w:tcPr>
          <w:p>
            <w:pPr>
              <w:pStyle w:val="TableParagraph"/>
              <w:spacing w:line="186" w:lineRule="exact"/>
              <w:ind w:left="36"/>
              <w:rPr>
                <w:sz w:val="18"/>
              </w:rPr>
            </w:pPr>
            <w:r>
              <w:rPr>
                <w:sz w:val="18"/>
              </w:rPr>
              <w:t>Log</w:t>
            </w:r>
            <w:r>
              <w:rPr>
                <w:spacing w:val="-2"/>
                <w:sz w:val="18"/>
              </w:rPr>
              <w:t> likelihood</w:t>
            </w:r>
          </w:p>
        </w:tc>
        <w:tc>
          <w:tcPr>
            <w:tcW w:w="1430" w:type="dxa"/>
          </w:tcPr>
          <w:p>
            <w:pPr>
              <w:pStyle w:val="TableParagraph"/>
              <w:spacing w:line="186" w:lineRule="exact"/>
              <w:ind w:right="117"/>
              <w:jc w:val="right"/>
              <w:rPr>
                <w:sz w:val="18"/>
              </w:rPr>
            </w:pPr>
            <w:r>
              <w:rPr>
                <w:sz w:val="18"/>
              </w:rPr>
              <w:t>-</w:t>
            </w:r>
            <w:r>
              <w:rPr>
                <w:spacing w:val="-2"/>
                <w:sz w:val="18"/>
              </w:rPr>
              <w:t>22.11917</w:t>
            </w:r>
          </w:p>
        </w:tc>
        <w:tc>
          <w:tcPr>
            <w:tcW w:w="1521" w:type="dxa"/>
          </w:tcPr>
          <w:p>
            <w:pPr>
              <w:pStyle w:val="TableParagraph"/>
              <w:spacing w:line="186" w:lineRule="exact"/>
              <w:ind w:left="122"/>
              <w:rPr>
                <w:sz w:val="18"/>
              </w:rPr>
            </w:pPr>
            <w:r>
              <w:rPr>
                <w:sz w:val="18"/>
              </w:rPr>
              <w:t>F-</w:t>
            </w:r>
            <w:r>
              <w:rPr>
                <w:spacing w:val="-2"/>
                <w:sz w:val="18"/>
              </w:rPr>
              <w:t>statistic</w:t>
            </w:r>
          </w:p>
        </w:tc>
        <w:tc>
          <w:tcPr>
            <w:tcW w:w="868" w:type="dxa"/>
          </w:tcPr>
          <w:p>
            <w:pPr>
              <w:pStyle w:val="TableParagraph"/>
              <w:rPr>
                <w:sz w:val="14"/>
              </w:rPr>
            </w:pPr>
          </w:p>
        </w:tc>
        <w:tc>
          <w:tcPr>
            <w:tcW w:w="887" w:type="dxa"/>
          </w:tcPr>
          <w:p>
            <w:pPr>
              <w:pStyle w:val="TableParagraph"/>
              <w:spacing w:line="186" w:lineRule="exact"/>
              <w:ind w:right="29"/>
              <w:jc w:val="right"/>
              <w:rPr>
                <w:sz w:val="18"/>
              </w:rPr>
            </w:pPr>
            <w:r>
              <w:rPr>
                <w:spacing w:val="-2"/>
                <w:sz w:val="18"/>
              </w:rPr>
              <w:t>35.04707</w:t>
            </w:r>
          </w:p>
        </w:tc>
      </w:tr>
      <w:tr>
        <w:trPr>
          <w:trHeight w:val="245" w:hRule="atLeast"/>
        </w:trPr>
        <w:tc>
          <w:tcPr>
            <w:tcW w:w="1782" w:type="dxa"/>
            <w:tcBorders>
              <w:bottom w:val="double" w:sz="6" w:space="0" w:color="000000"/>
            </w:tcBorders>
          </w:tcPr>
          <w:p>
            <w:pPr>
              <w:pStyle w:val="TableParagraph"/>
              <w:spacing w:line="203" w:lineRule="exact"/>
              <w:ind w:left="36"/>
              <w:rPr>
                <w:sz w:val="18"/>
              </w:rPr>
            </w:pPr>
            <w:r>
              <w:rPr>
                <w:sz w:val="18"/>
              </w:rPr>
              <w:t>Durbin-Watson</w:t>
            </w:r>
            <w:r>
              <w:rPr>
                <w:spacing w:val="-2"/>
                <w:sz w:val="18"/>
              </w:rPr>
              <w:t> </w:t>
            </w:r>
            <w:r>
              <w:rPr>
                <w:spacing w:val="-4"/>
                <w:sz w:val="18"/>
              </w:rPr>
              <w:t>stat</w:t>
            </w:r>
          </w:p>
        </w:tc>
        <w:tc>
          <w:tcPr>
            <w:tcW w:w="1430" w:type="dxa"/>
          </w:tcPr>
          <w:p>
            <w:pPr>
              <w:pStyle w:val="TableParagraph"/>
              <w:spacing w:line="203" w:lineRule="exact"/>
              <w:ind w:right="117"/>
              <w:jc w:val="right"/>
              <w:rPr>
                <w:sz w:val="18"/>
              </w:rPr>
            </w:pPr>
            <w:r>
              <w:rPr>
                <w:spacing w:val="-2"/>
                <w:sz w:val="18"/>
              </w:rPr>
              <w:t>2.005796</w:t>
            </w:r>
          </w:p>
        </w:tc>
        <w:tc>
          <w:tcPr>
            <w:tcW w:w="1521" w:type="dxa"/>
            <w:tcBorders>
              <w:bottom w:val="double" w:sz="6" w:space="0" w:color="000000"/>
            </w:tcBorders>
          </w:tcPr>
          <w:p>
            <w:pPr>
              <w:pStyle w:val="TableParagraph"/>
              <w:spacing w:line="203" w:lineRule="exact"/>
              <w:ind w:left="120"/>
              <w:rPr>
                <w:sz w:val="18"/>
              </w:rPr>
            </w:pPr>
            <w:r>
              <w:rPr>
                <w:spacing w:val="-2"/>
                <w:sz w:val="18"/>
              </w:rPr>
              <w:t>Prob(F-statistic)</w:t>
            </w:r>
          </w:p>
        </w:tc>
        <w:tc>
          <w:tcPr>
            <w:tcW w:w="868" w:type="dxa"/>
            <w:tcBorders>
              <w:bottom w:val="single" w:sz="6" w:space="0" w:color="000000"/>
            </w:tcBorders>
          </w:tcPr>
          <w:p>
            <w:pPr>
              <w:pStyle w:val="TableParagraph"/>
              <w:rPr>
                <w:sz w:val="16"/>
              </w:rPr>
            </w:pPr>
          </w:p>
        </w:tc>
        <w:tc>
          <w:tcPr>
            <w:tcW w:w="887" w:type="dxa"/>
            <w:tcBorders>
              <w:bottom w:val="double" w:sz="6" w:space="0" w:color="000000"/>
            </w:tcBorders>
          </w:tcPr>
          <w:p>
            <w:pPr>
              <w:pStyle w:val="TableParagraph"/>
              <w:spacing w:line="203" w:lineRule="exact"/>
              <w:ind w:right="28"/>
              <w:jc w:val="right"/>
              <w:rPr>
                <w:sz w:val="18"/>
              </w:rPr>
            </w:pPr>
            <w:r>
              <w:rPr>
                <w:spacing w:val="-2"/>
                <w:sz w:val="18"/>
              </w:rPr>
              <w:t>0.000001</w:t>
            </w:r>
          </w:p>
        </w:tc>
      </w:tr>
    </w:tbl>
    <w:p>
      <w:pPr>
        <w:spacing w:after="0" w:line="203" w:lineRule="exact"/>
        <w:jc w:val="right"/>
        <w:rPr>
          <w:sz w:val="18"/>
        </w:rPr>
        <w:sectPr>
          <w:pgSz w:w="11910" w:h="16840"/>
          <w:pgMar w:header="0" w:footer="982" w:top="1760" w:bottom="1240" w:left="280" w:right="0"/>
        </w:sectPr>
      </w:pPr>
    </w:p>
    <w:p>
      <w:pPr>
        <w:spacing w:before="74" w:after="3"/>
        <w:ind w:left="711" w:right="0" w:firstLine="0"/>
        <w:jc w:val="left"/>
        <w:rPr>
          <w:sz w:val="18"/>
        </w:rPr>
      </w:pPr>
      <w:r>
        <w:rPr>
          <w:sz w:val="18"/>
        </w:rPr>
        <w:t>CAB</w:t>
      </w:r>
      <w:r>
        <w:rPr>
          <w:spacing w:val="-2"/>
          <w:sz w:val="18"/>
        </w:rPr>
        <w:t> </w:t>
      </w:r>
      <w:r>
        <w:rPr>
          <w:sz w:val="18"/>
        </w:rPr>
        <w:t>@</w:t>
      </w:r>
      <w:r>
        <w:rPr>
          <w:spacing w:val="1"/>
          <w:sz w:val="18"/>
        </w:rPr>
        <w:t> </w:t>
      </w:r>
      <w:r>
        <w:rPr>
          <w:spacing w:val="-2"/>
          <w:sz w:val="18"/>
        </w:rPr>
        <w:t>LEVEL</w:t>
      </w:r>
    </w:p>
    <w:tbl>
      <w:tblPr>
        <w:tblW w:w="0" w:type="auto"/>
        <w:jc w:val="left"/>
        <w:tblInd w:w="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70"/>
        <w:gridCol w:w="1443"/>
        <w:gridCol w:w="1522"/>
        <w:gridCol w:w="899"/>
        <w:gridCol w:w="858"/>
      </w:tblGrid>
      <w:tr>
        <w:trPr>
          <w:trHeight w:val="202" w:hRule="atLeast"/>
        </w:trPr>
        <w:tc>
          <w:tcPr>
            <w:tcW w:w="1770" w:type="dxa"/>
          </w:tcPr>
          <w:p>
            <w:pPr>
              <w:pStyle w:val="TableParagraph"/>
              <w:spacing w:line="183" w:lineRule="exact"/>
              <w:ind w:left="36"/>
              <w:rPr>
                <w:sz w:val="18"/>
              </w:rPr>
            </w:pPr>
            <w:r>
              <w:rPr>
                <w:sz w:val="18"/>
              </w:rPr>
              <w:t>ADF</w:t>
            </w:r>
            <w:r>
              <w:rPr>
                <w:spacing w:val="-3"/>
                <w:sz w:val="18"/>
              </w:rPr>
              <w:t> </w:t>
            </w:r>
            <w:r>
              <w:rPr>
                <w:sz w:val="18"/>
              </w:rPr>
              <w:t>Test</w:t>
            </w:r>
            <w:r>
              <w:rPr>
                <w:spacing w:val="-1"/>
                <w:sz w:val="18"/>
              </w:rPr>
              <w:t> </w:t>
            </w:r>
            <w:r>
              <w:rPr>
                <w:spacing w:val="-2"/>
                <w:sz w:val="18"/>
              </w:rPr>
              <w:t>Statistic</w:t>
            </w:r>
          </w:p>
        </w:tc>
        <w:tc>
          <w:tcPr>
            <w:tcW w:w="1443" w:type="dxa"/>
          </w:tcPr>
          <w:p>
            <w:pPr>
              <w:pStyle w:val="TableParagraph"/>
              <w:spacing w:line="183" w:lineRule="exact"/>
              <w:ind w:left="296"/>
              <w:rPr>
                <w:sz w:val="18"/>
              </w:rPr>
            </w:pPr>
            <w:r>
              <w:rPr>
                <w:sz w:val="18"/>
              </w:rPr>
              <w:t>-</w:t>
            </w:r>
            <w:r>
              <w:rPr>
                <w:spacing w:val="-2"/>
                <w:sz w:val="18"/>
              </w:rPr>
              <w:t>2.733113</w:t>
            </w:r>
          </w:p>
        </w:tc>
        <w:tc>
          <w:tcPr>
            <w:tcW w:w="2421" w:type="dxa"/>
            <w:gridSpan w:val="2"/>
          </w:tcPr>
          <w:p>
            <w:pPr>
              <w:pStyle w:val="TableParagraph"/>
              <w:spacing w:line="183" w:lineRule="exact"/>
              <w:ind w:left="121"/>
              <w:rPr>
                <w:sz w:val="18"/>
              </w:rPr>
            </w:pPr>
            <w:r>
              <w:rPr>
                <w:sz w:val="18"/>
              </w:rPr>
              <w:t>1%</w:t>
            </w:r>
            <w:r>
              <w:rPr>
                <w:spacing w:val="63"/>
                <w:w w:val="150"/>
                <w:sz w:val="18"/>
              </w:rPr>
              <w:t> </w:t>
            </w:r>
            <w:r>
              <w:rPr>
                <w:sz w:val="18"/>
              </w:rPr>
              <w:t>Critical</w:t>
            </w:r>
            <w:r>
              <w:rPr>
                <w:spacing w:val="-2"/>
                <w:sz w:val="18"/>
              </w:rPr>
              <w:t> Value*</w:t>
            </w:r>
          </w:p>
        </w:tc>
        <w:tc>
          <w:tcPr>
            <w:tcW w:w="858" w:type="dxa"/>
          </w:tcPr>
          <w:p>
            <w:pPr>
              <w:pStyle w:val="TableParagraph"/>
              <w:spacing w:line="183" w:lineRule="exact"/>
              <w:ind w:right="33"/>
              <w:jc w:val="right"/>
              <w:rPr>
                <w:sz w:val="18"/>
              </w:rPr>
            </w:pPr>
            <w:r>
              <w:rPr>
                <w:sz w:val="18"/>
              </w:rPr>
              <w:t>-</w:t>
            </w:r>
            <w:r>
              <w:rPr>
                <w:spacing w:val="-2"/>
                <w:sz w:val="18"/>
              </w:rPr>
              <w:t>3.7497</w:t>
            </w:r>
          </w:p>
        </w:tc>
      </w:tr>
      <w:tr>
        <w:trPr>
          <w:trHeight w:val="206" w:hRule="atLeast"/>
        </w:trPr>
        <w:tc>
          <w:tcPr>
            <w:tcW w:w="1770" w:type="dxa"/>
          </w:tcPr>
          <w:p>
            <w:pPr>
              <w:pStyle w:val="TableParagraph"/>
              <w:rPr>
                <w:sz w:val="14"/>
              </w:rPr>
            </w:pPr>
          </w:p>
        </w:tc>
        <w:tc>
          <w:tcPr>
            <w:tcW w:w="1443" w:type="dxa"/>
          </w:tcPr>
          <w:p>
            <w:pPr>
              <w:pStyle w:val="TableParagraph"/>
              <w:rPr>
                <w:sz w:val="14"/>
              </w:rPr>
            </w:pPr>
          </w:p>
        </w:tc>
        <w:tc>
          <w:tcPr>
            <w:tcW w:w="1522" w:type="dxa"/>
          </w:tcPr>
          <w:p>
            <w:pPr>
              <w:pStyle w:val="TableParagraph"/>
              <w:spacing w:line="186" w:lineRule="exact"/>
              <w:ind w:left="121"/>
              <w:rPr>
                <w:sz w:val="18"/>
              </w:rPr>
            </w:pPr>
            <w:r>
              <w:rPr>
                <w:sz w:val="18"/>
              </w:rPr>
              <w:t>5%</w:t>
            </w:r>
            <w:r>
              <w:rPr>
                <w:spacing w:val="63"/>
                <w:w w:val="150"/>
                <w:sz w:val="18"/>
              </w:rPr>
              <w:t> </w:t>
            </w:r>
            <w:r>
              <w:rPr>
                <w:sz w:val="18"/>
              </w:rPr>
              <w:t>Critical</w:t>
            </w:r>
            <w:r>
              <w:rPr>
                <w:spacing w:val="-2"/>
                <w:sz w:val="18"/>
              </w:rPr>
              <w:t> Value</w:t>
            </w:r>
          </w:p>
        </w:tc>
        <w:tc>
          <w:tcPr>
            <w:tcW w:w="899" w:type="dxa"/>
          </w:tcPr>
          <w:p>
            <w:pPr>
              <w:pStyle w:val="TableParagraph"/>
              <w:rPr>
                <w:sz w:val="14"/>
              </w:rPr>
            </w:pPr>
          </w:p>
        </w:tc>
        <w:tc>
          <w:tcPr>
            <w:tcW w:w="858" w:type="dxa"/>
          </w:tcPr>
          <w:p>
            <w:pPr>
              <w:pStyle w:val="TableParagraph"/>
              <w:spacing w:line="186" w:lineRule="exact"/>
              <w:ind w:right="33"/>
              <w:jc w:val="right"/>
              <w:rPr>
                <w:sz w:val="18"/>
              </w:rPr>
            </w:pPr>
            <w:r>
              <w:rPr>
                <w:sz w:val="18"/>
              </w:rPr>
              <w:t>-</w:t>
            </w:r>
            <w:r>
              <w:rPr>
                <w:spacing w:val="-2"/>
                <w:sz w:val="18"/>
              </w:rPr>
              <w:t>2.9969</w:t>
            </w:r>
          </w:p>
        </w:tc>
      </w:tr>
      <w:tr>
        <w:trPr>
          <w:trHeight w:val="201" w:hRule="atLeast"/>
        </w:trPr>
        <w:tc>
          <w:tcPr>
            <w:tcW w:w="1770" w:type="dxa"/>
            <w:tcBorders>
              <w:bottom w:val="double" w:sz="6" w:space="0" w:color="000000"/>
            </w:tcBorders>
          </w:tcPr>
          <w:p>
            <w:pPr>
              <w:pStyle w:val="TableParagraph"/>
              <w:rPr>
                <w:sz w:val="14"/>
              </w:rPr>
            </w:pPr>
          </w:p>
        </w:tc>
        <w:tc>
          <w:tcPr>
            <w:tcW w:w="1443" w:type="dxa"/>
            <w:tcBorders>
              <w:bottom w:val="double" w:sz="6" w:space="0" w:color="000000"/>
            </w:tcBorders>
          </w:tcPr>
          <w:p>
            <w:pPr>
              <w:pStyle w:val="TableParagraph"/>
              <w:rPr>
                <w:sz w:val="14"/>
              </w:rPr>
            </w:pPr>
          </w:p>
        </w:tc>
        <w:tc>
          <w:tcPr>
            <w:tcW w:w="1522" w:type="dxa"/>
            <w:tcBorders>
              <w:bottom w:val="double" w:sz="6" w:space="0" w:color="000000"/>
            </w:tcBorders>
          </w:tcPr>
          <w:p>
            <w:pPr>
              <w:pStyle w:val="TableParagraph"/>
              <w:spacing w:line="181" w:lineRule="exact"/>
              <w:ind w:left="121"/>
              <w:rPr>
                <w:sz w:val="18"/>
              </w:rPr>
            </w:pPr>
            <w:r>
              <w:rPr>
                <w:sz w:val="18"/>
              </w:rPr>
              <w:t>10%</w:t>
            </w:r>
            <w:r>
              <w:rPr>
                <w:spacing w:val="-5"/>
                <w:sz w:val="18"/>
              </w:rPr>
              <w:t> </w:t>
            </w:r>
            <w:r>
              <w:rPr>
                <w:sz w:val="18"/>
              </w:rPr>
              <w:t>Critical</w:t>
            </w:r>
            <w:r>
              <w:rPr>
                <w:spacing w:val="-3"/>
                <w:sz w:val="18"/>
              </w:rPr>
              <w:t> </w:t>
            </w:r>
            <w:r>
              <w:rPr>
                <w:spacing w:val="-2"/>
                <w:sz w:val="18"/>
              </w:rPr>
              <w:t>Value</w:t>
            </w:r>
          </w:p>
        </w:tc>
        <w:tc>
          <w:tcPr>
            <w:tcW w:w="899" w:type="dxa"/>
            <w:tcBorders>
              <w:bottom w:val="double" w:sz="6" w:space="0" w:color="000000"/>
            </w:tcBorders>
          </w:tcPr>
          <w:p>
            <w:pPr>
              <w:pStyle w:val="TableParagraph"/>
              <w:rPr>
                <w:sz w:val="14"/>
              </w:rPr>
            </w:pPr>
          </w:p>
        </w:tc>
        <w:tc>
          <w:tcPr>
            <w:tcW w:w="858" w:type="dxa"/>
            <w:tcBorders>
              <w:bottom w:val="double" w:sz="6" w:space="0" w:color="000000"/>
            </w:tcBorders>
          </w:tcPr>
          <w:p>
            <w:pPr>
              <w:pStyle w:val="TableParagraph"/>
              <w:spacing w:line="181" w:lineRule="exact"/>
              <w:ind w:right="33"/>
              <w:jc w:val="right"/>
              <w:rPr>
                <w:sz w:val="18"/>
              </w:rPr>
            </w:pPr>
            <w:r>
              <w:rPr>
                <w:sz w:val="18"/>
              </w:rPr>
              <w:t>-</w:t>
            </w:r>
            <w:r>
              <w:rPr>
                <w:spacing w:val="-2"/>
                <w:sz w:val="18"/>
              </w:rPr>
              <w:t>2.6381</w:t>
            </w:r>
          </w:p>
        </w:tc>
      </w:tr>
      <w:tr>
        <w:trPr>
          <w:trHeight w:val="460" w:hRule="atLeast"/>
        </w:trPr>
        <w:tc>
          <w:tcPr>
            <w:tcW w:w="6492" w:type="dxa"/>
            <w:gridSpan w:val="5"/>
            <w:tcBorders>
              <w:top w:val="double" w:sz="6" w:space="0" w:color="000000"/>
            </w:tcBorders>
          </w:tcPr>
          <w:p>
            <w:pPr>
              <w:pStyle w:val="TableParagraph"/>
              <w:spacing w:before="42"/>
              <w:ind w:left="36"/>
              <w:rPr>
                <w:sz w:val="18"/>
              </w:rPr>
            </w:pPr>
            <w:r>
              <w:rPr>
                <w:sz w:val="18"/>
              </w:rPr>
              <w:t>*MacKinnon</w:t>
            </w:r>
            <w:r>
              <w:rPr>
                <w:spacing w:val="-1"/>
                <w:sz w:val="18"/>
              </w:rPr>
              <w:t> </w:t>
            </w:r>
            <w:r>
              <w:rPr>
                <w:sz w:val="18"/>
              </w:rPr>
              <w:t>critical</w:t>
            </w:r>
            <w:r>
              <w:rPr>
                <w:spacing w:val="-1"/>
                <w:sz w:val="18"/>
              </w:rPr>
              <w:t> </w:t>
            </w:r>
            <w:r>
              <w:rPr>
                <w:sz w:val="18"/>
              </w:rPr>
              <w:t>values</w:t>
            </w:r>
            <w:r>
              <w:rPr>
                <w:spacing w:val="-1"/>
                <w:sz w:val="18"/>
              </w:rPr>
              <w:t> </w:t>
            </w:r>
            <w:r>
              <w:rPr>
                <w:sz w:val="18"/>
              </w:rPr>
              <w:t>for</w:t>
            </w:r>
            <w:r>
              <w:rPr>
                <w:spacing w:val="-1"/>
                <w:sz w:val="18"/>
              </w:rPr>
              <w:t> </w:t>
            </w:r>
            <w:r>
              <w:rPr>
                <w:sz w:val="18"/>
              </w:rPr>
              <w:t>rejection</w:t>
            </w:r>
            <w:r>
              <w:rPr>
                <w:spacing w:val="-2"/>
                <w:sz w:val="18"/>
              </w:rPr>
              <w:t> </w:t>
            </w:r>
            <w:r>
              <w:rPr>
                <w:sz w:val="18"/>
              </w:rPr>
              <w:t>of</w:t>
            </w:r>
            <w:r>
              <w:rPr>
                <w:spacing w:val="-3"/>
                <w:sz w:val="18"/>
              </w:rPr>
              <w:t> </w:t>
            </w:r>
            <w:r>
              <w:rPr>
                <w:sz w:val="18"/>
              </w:rPr>
              <w:t>hypothesis</w:t>
            </w:r>
            <w:r>
              <w:rPr>
                <w:spacing w:val="-1"/>
                <w:sz w:val="18"/>
              </w:rPr>
              <w:t> </w:t>
            </w:r>
            <w:r>
              <w:rPr>
                <w:sz w:val="18"/>
              </w:rPr>
              <w:t>of</w:t>
            </w:r>
            <w:r>
              <w:rPr>
                <w:spacing w:val="-3"/>
                <w:sz w:val="18"/>
              </w:rPr>
              <w:t> </w:t>
            </w:r>
            <w:r>
              <w:rPr>
                <w:sz w:val="18"/>
              </w:rPr>
              <w:t>a</w:t>
            </w:r>
            <w:r>
              <w:rPr>
                <w:spacing w:val="-2"/>
                <w:sz w:val="18"/>
              </w:rPr>
              <w:t> </w:t>
            </w:r>
            <w:r>
              <w:rPr>
                <w:sz w:val="18"/>
              </w:rPr>
              <w:t>unit</w:t>
            </w:r>
            <w:r>
              <w:rPr>
                <w:spacing w:val="-2"/>
                <w:sz w:val="18"/>
              </w:rPr>
              <w:t> root.</w:t>
            </w:r>
          </w:p>
        </w:tc>
      </w:tr>
      <w:tr>
        <w:trPr>
          <w:trHeight w:val="413" w:hRule="atLeast"/>
        </w:trPr>
        <w:tc>
          <w:tcPr>
            <w:tcW w:w="6492" w:type="dxa"/>
            <w:gridSpan w:val="5"/>
          </w:tcPr>
          <w:p>
            <w:pPr>
              <w:pStyle w:val="TableParagraph"/>
              <w:spacing w:line="191" w:lineRule="exact" w:before="203"/>
              <w:ind w:left="36"/>
              <w:rPr>
                <w:sz w:val="18"/>
              </w:rPr>
            </w:pPr>
            <w:r>
              <w:rPr>
                <w:sz w:val="18"/>
              </w:rPr>
              <w:t>Augmented</w:t>
            </w:r>
            <w:r>
              <w:rPr>
                <w:spacing w:val="-3"/>
                <w:sz w:val="18"/>
              </w:rPr>
              <w:t> </w:t>
            </w:r>
            <w:r>
              <w:rPr>
                <w:sz w:val="18"/>
              </w:rPr>
              <w:t>Dickey-Fuller</w:t>
            </w:r>
            <w:r>
              <w:rPr>
                <w:spacing w:val="-3"/>
                <w:sz w:val="18"/>
              </w:rPr>
              <w:t> </w:t>
            </w:r>
            <w:r>
              <w:rPr>
                <w:sz w:val="18"/>
              </w:rPr>
              <w:t>Test</w:t>
            </w:r>
            <w:r>
              <w:rPr>
                <w:spacing w:val="-3"/>
                <w:sz w:val="18"/>
              </w:rPr>
              <w:t> </w:t>
            </w:r>
            <w:r>
              <w:rPr>
                <w:spacing w:val="-2"/>
                <w:sz w:val="18"/>
              </w:rPr>
              <w:t>Equation</w:t>
            </w:r>
          </w:p>
        </w:tc>
      </w:tr>
      <w:tr>
        <w:trPr>
          <w:trHeight w:val="206" w:hRule="atLeast"/>
        </w:trPr>
        <w:tc>
          <w:tcPr>
            <w:tcW w:w="6492" w:type="dxa"/>
            <w:gridSpan w:val="5"/>
          </w:tcPr>
          <w:p>
            <w:pPr>
              <w:pStyle w:val="TableParagraph"/>
              <w:spacing w:line="186" w:lineRule="exact"/>
              <w:ind w:left="36"/>
              <w:rPr>
                <w:sz w:val="18"/>
              </w:rPr>
            </w:pPr>
            <w:r>
              <w:rPr>
                <w:sz w:val="18"/>
              </w:rPr>
              <w:t>Dependent</w:t>
            </w:r>
            <w:r>
              <w:rPr>
                <w:spacing w:val="-2"/>
                <w:sz w:val="18"/>
              </w:rPr>
              <w:t> </w:t>
            </w:r>
            <w:r>
              <w:rPr>
                <w:sz w:val="18"/>
              </w:rPr>
              <w:t>Variable:</w:t>
            </w:r>
            <w:r>
              <w:rPr>
                <w:spacing w:val="-2"/>
                <w:sz w:val="18"/>
              </w:rPr>
              <w:t> D(CAB)</w:t>
            </w:r>
          </w:p>
        </w:tc>
      </w:tr>
      <w:tr>
        <w:trPr>
          <w:trHeight w:val="206" w:hRule="atLeast"/>
        </w:trPr>
        <w:tc>
          <w:tcPr>
            <w:tcW w:w="1770" w:type="dxa"/>
          </w:tcPr>
          <w:p>
            <w:pPr>
              <w:pStyle w:val="TableParagraph"/>
              <w:spacing w:line="186" w:lineRule="exact"/>
              <w:ind w:left="36"/>
              <w:rPr>
                <w:sz w:val="18"/>
              </w:rPr>
            </w:pPr>
            <w:r>
              <w:rPr>
                <w:sz w:val="18"/>
              </w:rPr>
              <w:t>Method:</w:t>
            </w:r>
            <w:r>
              <w:rPr>
                <w:spacing w:val="-3"/>
                <w:sz w:val="18"/>
              </w:rPr>
              <w:t> </w:t>
            </w:r>
            <w:r>
              <w:rPr>
                <w:sz w:val="18"/>
              </w:rPr>
              <w:t>Least</w:t>
            </w:r>
            <w:r>
              <w:rPr>
                <w:spacing w:val="-2"/>
                <w:sz w:val="18"/>
              </w:rPr>
              <w:t> Squares</w:t>
            </w:r>
          </w:p>
        </w:tc>
        <w:tc>
          <w:tcPr>
            <w:tcW w:w="1443" w:type="dxa"/>
          </w:tcPr>
          <w:p>
            <w:pPr>
              <w:pStyle w:val="TableParagraph"/>
              <w:rPr>
                <w:sz w:val="14"/>
              </w:rPr>
            </w:pPr>
          </w:p>
        </w:tc>
        <w:tc>
          <w:tcPr>
            <w:tcW w:w="1522" w:type="dxa"/>
          </w:tcPr>
          <w:p>
            <w:pPr>
              <w:pStyle w:val="TableParagraph"/>
              <w:rPr>
                <w:sz w:val="14"/>
              </w:rPr>
            </w:pPr>
          </w:p>
        </w:tc>
        <w:tc>
          <w:tcPr>
            <w:tcW w:w="899" w:type="dxa"/>
          </w:tcPr>
          <w:p>
            <w:pPr>
              <w:pStyle w:val="TableParagraph"/>
              <w:rPr>
                <w:sz w:val="14"/>
              </w:rPr>
            </w:pPr>
          </w:p>
        </w:tc>
        <w:tc>
          <w:tcPr>
            <w:tcW w:w="858" w:type="dxa"/>
          </w:tcPr>
          <w:p>
            <w:pPr>
              <w:pStyle w:val="TableParagraph"/>
              <w:rPr>
                <w:sz w:val="14"/>
              </w:rPr>
            </w:pPr>
          </w:p>
        </w:tc>
      </w:tr>
      <w:tr>
        <w:trPr>
          <w:trHeight w:val="207" w:hRule="atLeast"/>
        </w:trPr>
        <w:tc>
          <w:tcPr>
            <w:tcW w:w="6492" w:type="dxa"/>
            <w:gridSpan w:val="5"/>
          </w:tcPr>
          <w:p>
            <w:pPr>
              <w:pStyle w:val="TableParagraph"/>
              <w:spacing w:line="188" w:lineRule="exact"/>
              <w:ind w:left="36"/>
              <w:rPr>
                <w:sz w:val="18"/>
              </w:rPr>
            </w:pPr>
            <w:r>
              <w:rPr>
                <w:sz w:val="18"/>
              </w:rPr>
              <w:t>Date:</w:t>
            </w:r>
            <w:r>
              <w:rPr>
                <w:spacing w:val="-2"/>
                <w:sz w:val="18"/>
              </w:rPr>
              <w:t> </w:t>
            </w:r>
            <w:r>
              <w:rPr>
                <w:sz w:val="18"/>
              </w:rPr>
              <w:t>02/17/14</w:t>
            </w:r>
            <w:r>
              <w:rPr>
                <w:spacing w:val="63"/>
                <w:w w:val="150"/>
                <w:sz w:val="18"/>
              </w:rPr>
              <w:t> </w:t>
            </w:r>
            <w:r>
              <w:rPr>
                <w:sz w:val="18"/>
              </w:rPr>
              <w:t>Time:</w:t>
            </w:r>
            <w:r>
              <w:rPr>
                <w:spacing w:val="-1"/>
                <w:sz w:val="18"/>
              </w:rPr>
              <w:t> </w:t>
            </w:r>
            <w:r>
              <w:rPr>
                <w:spacing w:val="-4"/>
                <w:sz w:val="18"/>
              </w:rPr>
              <w:t>18:12</w:t>
            </w:r>
          </w:p>
        </w:tc>
      </w:tr>
      <w:tr>
        <w:trPr>
          <w:trHeight w:val="207" w:hRule="atLeast"/>
        </w:trPr>
        <w:tc>
          <w:tcPr>
            <w:tcW w:w="6492" w:type="dxa"/>
            <w:gridSpan w:val="5"/>
          </w:tcPr>
          <w:p>
            <w:pPr>
              <w:pStyle w:val="TableParagraph"/>
              <w:spacing w:line="188" w:lineRule="exact"/>
              <w:ind w:left="36"/>
              <w:rPr>
                <w:sz w:val="18"/>
              </w:rPr>
            </w:pPr>
            <w:r>
              <w:rPr>
                <w:sz w:val="18"/>
              </w:rPr>
              <w:t>Sample(adjusted):</w:t>
            </w:r>
            <w:r>
              <w:rPr>
                <w:spacing w:val="-6"/>
                <w:sz w:val="18"/>
              </w:rPr>
              <w:t> </w:t>
            </w:r>
            <w:r>
              <w:rPr>
                <w:sz w:val="18"/>
              </w:rPr>
              <w:t>1989</w:t>
            </w:r>
            <w:r>
              <w:rPr>
                <w:spacing w:val="-2"/>
                <w:sz w:val="18"/>
              </w:rPr>
              <w:t> </w:t>
            </w:r>
            <w:r>
              <w:rPr>
                <w:spacing w:val="-4"/>
                <w:sz w:val="18"/>
              </w:rPr>
              <w:t>2011</w:t>
            </w:r>
          </w:p>
        </w:tc>
      </w:tr>
      <w:tr>
        <w:trPr>
          <w:trHeight w:val="201" w:hRule="atLeast"/>
        </w:trPr>
        <w:tc>
          <w:tcPr>
            <w:tcW w:w="6492" w:type="dxa"/>
            <w:gridSpan w:val="5"/>
            <w:tcBorders>
              <w:bottom w:val="double" w:sz="6" w:space="0" w:color="000000"/>
            </w:tcBorders>
          </w:tcPr>
          <w:p>
            <w:pPr>
              <w:pStyle w:val="TableParagraph"/>
              <w:spacing w:line="181" w:lineRule="exact"/>
              <w:ind w:left="36"/>
              <w:rPr>
                <w:sz w:val="18"/>
              </w:rPr>
            </w:pPr>
            <w:r>
              <w:rPr>
                <w:sz w:val="18"/>
              </w:rPr>
              <w:t>Included</w:t>
            </w:r>
            <w:r>
              <w:rPr>
                <w:spacing w:val="-1"/>
                <w:sz w:val="18"/>
              </w:rPr>
              <w:t> </w:t>
            </w:r>
            <w:r>
              <w:rPr>
                <w:sz w:val="18"/>
              </w:rPr>
              <w:t>observations:</w:t>
            </w:r>
            <w:r>
              <w:rPr>
                <w:spacing w:val="-3"/>
                <w:sz w:val="18"/>
              </w:rPr>
              <w:t> </w:t>
            </w:r>
            <w:r>
              <w:rPr>
                <w:sz w:val="18"/>
              </w:rPr>
              <w:t>23</w:t>
            </w:r>
            <w:r>
              <w:rPr>
                <w:spacing w:val="-1"/>
                <w:sz w:val="18"/>
              </w:rPr>
              <w:t> </w:t>
            </w:r>
            <w:r>
              <w:rPr>
                <w:sz w:val="18"/>
              </w:rPr>
              <w:t>after</w:t>
            </w:r>
            <w:r>
              <w:rPr>
                <w:spacing w:val="-1"/>
                <w:sz w:val="18"/>
              </w:rPr>
              <w:t> </w:t>
            </w:r>
            <w:r>
              <w:rPr>
                <w:sz w:val="18"/>
              </w:rPr>
              <w:t>adjusting</w:t>
            </w:r>
            <w:r>
              <w:rPr>
                <w:spacing w:val="-2"/>
                <w:sz w:val="18"/>
              </w:rPr>
              <w:t> endpoints</w:t>
            </w:r>
          </w:p>
        </w:tc>
      </w:tr>
      <w:tr>
        <w:trPr>
          <w:trHeight w:val="247" w:hRule="atLeast"/>
        </w:trPr>
        <w:tc>
          <w:tcPr>
            <w:tcW w:w="1770" w:type="dxa"/>
            <w:tcBorders>
              <w:top w:val="double" w:sz="6" w:space="0" w:color="000000"/>
              <w:bottom w:val="double" w:sz="6" w:space="0" w:color="000000"/>
            </w:tcBorders>
          </w:tcPr>
          <w:p>
            <w:pPr>
              <w:pStyle w:val="TableParagraph"/>
              <w:spacing w:line="188" w:lineRule="exact" w:before="40"/>
              <w:ind w:left="713"/>
              <w:rPr>
                <w:sz w:val="18"/>
              </w:rPr>
            </w:pPr>
            <w:r>
              <w:rPr>
                <w:spacing w:val="-2"/>
                <w:sz w:val="18"/>
              </w:rPr>
              <w:t>Variable</w:t>
            </w:r>
          </w:p>
        </w:tc>
        <w:tc>
          <w:tcPr>
            <w:tcW w:w="1443" w:type="dxa"/>
            <w:tcBorders>
              <w:top w:val="double" w:sz="6" w:space="0" w:color="000000"/>
              <w:bottom w:val="double" w:sz="6" w:space="0" w:color="000000"/>
            </w:tcBorders>
          </w:tcPr>
          <w:p>
            <w:pPr>
              <w:pStyle w:val="TableParagraph"/>
              <w:spacing w:line="188" w:lineRule="exact" w:before="40"/>
              <w:ind w:right="120"/>
              <w:jc w:val="right"/>
              <w:rPr>
                <w:sz w:val="18"/>
              </w:rPr>
            </w:pPr>
            <w:r>
              <w:rPr>
                <w:spacing w:val="-2"/>
                <w:sz w:val="18"/>
              </w:rPr>
              <w:t>Coefficient</w:t>
            </w:r>
          </w:p>
        </w:tc>
        <w:tc>
          <w:tcPr>
            <w:tcW w:w="1522" w:type="dxa"/>
            <w:tcBorders>
              <w:top w:val="double" w:sz="6" w:space="0" w:color="000000"/>
              <w:bottom w:val="double" w:sz="6" w:space="0" w:color="000000"/>
            </w:tcBorders>
          </w:tcPr>
          <w:p>
            <w:pPr>
              <w:pStyle w:val="TableParagraph"/>
              <w:spacing w:line="188" w:lineRule="exact" w:before="40"/>
              <w:ind w:left="361"/>
              <w:rPr>
                <w:sz w:val="18"/>
              </w:rPr>
            </w:pPr>
            <w:r>
              <w:rPr>
                <w:sz w:val="18"/>
              </w:rPr>
              <w:t>Std.</w:t>
            </w:r>
            <w:r>
              <w:rPr>
                <w:spacing w:val="-1"/>
                <w:sz w:val="18"/>
              </w:rPr>
              <w:t> </w:t>
            </w:r>
            <w:r>
              <w:rPr>
                <w:spacing w:val="-4"/>
                <w:sz w:val="18"/>
              </w:rPr>
              <w:t>Error</w:t>
            </w:r>
          </w:p>
        </w:tc>
        <w:tc>
          <w:tcPr>
            <w:tcW w:w="899" w:type="dxa"/>
            <w:tcBorders>
              <w:top w:val="double" w:sz="6" w:space="0" w:color="000000"/>
              <w:bottom w:val="double" w:sz="6" w:space="0" w:color="000000"/>
            </w:tcBorders>
          </w:tcPr>
          <w:p>
            <w:pPr>
              <w:pStyle w:val="TableParagraph"/>
              <w:spacing w:line="188" w:lineRule="exact" w:before="40"/>
              <w:ind w:right="151"/>
              <w:jc w:val="right"/>
              <w:rPr>
                <w:sz w:val="18"/>
              </w:rPr>
            </w:pPr>
            <w:r>
              <w:rPr>
                <w:sz w:val="18"/>
              </w:rPr>
              <w:t>t-</w:t>
            </w:r>
            <w:r>
              <w:rPr>
                <w:spacing w:val="-2"/>
                <w:sz w:val="18"/>
              </w:rPr>
              <w:t>Statistic</w:t>
            </w:r>
          </w:p>
        </w:tc>
        <w:tc>
          <w:tcPr>
            <w:tcW w:w="858" w:type="dxa"/>
            <w:tcBorders>
              <w:top w:val="double" w:sz="6" w:space="0" w:color="000000"/>
              <w:bottom w:val="double" w:sz="6" w:space="0" w:color="000000"/>
            </w:tcBorders>
          </w:tcPr>
          <w:p>
            <w:pPr>
              <w:pStyle w:val="TableParagraph"/>
              <w:spacing w:line="188" w:lineRule="exact" w:before="40"/>
              <w:ind w:right="33"/>
              <w:jc w:val="right"/>
              <w:rPr>
                <w:sz w:val="18"/>
              </w:rPr>
            </w:pPr>
            <w:r>
              <w:rPr>
                <w:spacing w:val="-2"/>
                <w:sz w:val="18"/>
              </w:rPr>
              <w:t>Prob.</w:t>
            </w:r>
          </w:p>
        </w:tc>
      </w:tr>
      <w:tr>
        <w:trPr>
          <w:trHeight w:val="250" w:hRule="atLeast"/>
        </w:trPr>
        <w:tc>
          <w:tcPr>
            <w:tcW w:w="1770" w:type="dxa"/>
            <w:tcBorders>
              <w:top w:val="double" w:sz="6" w:space="0" w:color="000000"/>
            </w:tcBorders>
          </w:tcPr>
          <w:p>
            <w:pPr>
              <w:pStyle w:val="TableParagraph"/>
              <w:spacing w:line="191" w:lineRule="exact" w:before="40"/>
              <w:ind w:left="701"/>
              <w:rPr>
                <w:sz w:val="18"/>
              </w:rPr>
            </w:pPr>
            <w:r>
              <w:rPr>
                <w:spacing w:val="-2"/>
                <w:sz w:val="18"/>
              </w:rPr>
              <w:t>CAB(-</w:t>
            </w:r>
            <w:r>
              <w:rPr>
                <w:spacing w:val="-5"/>
                <w:sz w:val="18"/>
              </w:rPr>
              <w:t>1)</w:t>
            </w:r>
          </w:p>
        </w:tc>
        <w:tc>
          <w:tcPr>
            <w:tcW w:w="1443" w:type="dxa"/>
            <w:tcBorders>
              <w:top w:val="double" w:sz="6" w:space="0" w:color="000000"/>
            </w:tcBorders>
          </w:tcPr>
          <w:p>
            <w:pPr>
              <w:pStyle w:val="TableParagraph"/>
              <w:spacing w:line="191" w:lineRule="exact" w:before="40"/>
              <w:ind w:right="118"/>
              <w:jc w:val="right"/>
              <w:rPr>
                <w:sz w:val="18"/>
              </w:rPr>
            </w:pPr>
            <w:r>
              <w:rPr>
                <w:sz w:val="18"/>
              </w:rPr>
              <w:t>-</w:t>
            </w:r>
            <w:r>
              <w:rPr>
                <w:spacing w:val="-2"/>
                <w:sz w:val="18"/>
              </w:rPr>
              <w:t>0.265258</w:t>
            </w:r>
          </w:p>
        </w:tc>
        <w:tc>
          <w:tcPr>
            <w:tcW w:w="1522" w:type="dxa"/>
            <w:tcBorders>
              <w:top w:val="double" w:sz="6" w:space="0" w:color="000000"/>
            </w:tcBorders>
          </w:tcPr>
          <w:p>
            <w:pPr>
              <w:pStyle w:val="TableParagraph"/>
              <w:spacing w:line="191" w:lineRule="exact" w:before="40"/>
              <w:ind w:left="397"/>
              <w:rPr>
                <w:sz w:val="18"/>
              </w:rPr>
            </w:pPr>
            <w:r>
              <w:rPr>
                <w:spacing w:val="-2"/>
                <w:sz w:val="18"/>
              </w:rPr>
              <w:t>0.097053</w:t>
            </w:r>
          </w:p>
        </w:tc>
        <w:tc>
          <w:tcPr>
            <w:tcW w:w="899" w:type="dxa"/>
            <w:tcBorders>
              <w:top w:val="double" w:sz="6" w:space="0" w:color="000000"/>
            </w:tcBorders>
          </w:tcPr>
          <w:p>
            <w:pPr>
              <w:pStyle w:val="TableParagraph"/>
              <w:spacing w:line="191" w:lineRule="exact" w:before="40"/>
              <w:ind w:right="153"/>
              <w:jc w:val="right"/>
              <w:rPr>
                <w:sz w:val="18"/>
              </w:rPr>
            </w:pPr>
            <w:r>
              <w:rPr>
                <w:sz w:val="18"/>
              </w:rPr>
              <w:t>-</w:t>
            </w:r>
            <w:r>
              <w:rPr>
                <w:spacing w:val="-2"/>
                <w:sz w:val="18"/>
              </w:rPr>
              <w:t>2.733113</w:t>
            </w:r>
          </w:p>
        </w:tc>
        <w:tc>
          <w:tcPr>
            <w:tcW w:w="858" w:type="dxa"/>
            <w:tcBorders>
              <w:top w:val="double" w:sz="6" w:space="0" w:color="000000"/>
            </w:tcBorders>
          </w:tcPr>
          <w:p>
            <w:pPr>
              <w:pStyle w:val="TableParagraph"/>
              <w:spacing w:line="191" w:lineRule="exact" w:before="40"/>
              <w:ind w:right="33"/>
              <w:jc w:val="right"/>
              <w:rPr>
                <w:sz w:val="18"/>
              </w:rPr>
            </w:pPr>
            <w:r>
              <w:rPr>
                <w:spacing w:val="-2"/>
                <w:sz w:val="18"/>
              </w:rPr>
              <w:t>0.0128</w:t>
            </w:r>
          </w:p>
        </w:tc>
      </w:tr>
      <w:tr>
        <w:trPr>
          <w:trHeight w:val="207" w:hRule="atLeast"/>
        </w:trPr>
        <w:tc>
          <w:tcPr>
            <w:tcW w:w="1770" w:type="dxa"/>
          </w:tcPr>
          <w:p>
            <w:pPr>
              <w:pStyle w:val="TableParagraph"/>
              <w:spacing w:line="188" w:lineRule="exact"/>
              <w:ind w:left="576"/>
              <w:rPr>
                <w:sz w:val="18"/>
              </w:rPr>
            </w:pPr>
            <w:r>
              <w:rPr>
                <w:spacing w:val="-2"/>
                <w:sz w:val="18"/>
              </w:rPr>
              <w:t>D(CAB(-</w:t>
            </w:r>
            <w:r>
              <w:rPr>
                <w:spacing w:val="-5"/>
                <w:sz w:val="18"/>
              </w:rPr>
              <w:t>1))</w:t>
            </w:r>
          </w:p>
        </w:tc>
        <w:tc>
          <w:tcPr>
            <w:tcW w:w="1443" w:type="dxa"/>
          </w:tcPr>
          <w:p>
            <w:pPr>
              <w:pStyle w:val="TableParagraph"/>
              <w:spacing w:line="188" w:lineRule="exact"/>
              <w:ind w:right="118"/>
              <w:jc w:val="right"/>
              <w:rPr>
                <w:sz w:val="18"/>
              </w:rPr>
            </w:pPr>
            <w:r>
              <w:rPr>
                <w:sz w:val="18"/>
              </w:rPr>
              <w:t>-</w:t>
            </w:r>
            <w:r>
              <w:rPr>
                <w:spacing w:val="-2"/>
                <w:sz w:val="18"/>
              </w:rPr>
              <w:t>0.211178</w:t>
            </w:r>
          </w:p>
        </w:tc>
        <w:tc>
          <w:tcPr>
            <w:tcW w:w="1522" w:type="dxa"/>
          </w:tcPr>
          <w:p>
            <w:pPr>
              <w:pStyle w:val="TableParagraph"/>
              <w:spacing w:line="188" w:lineRule="exact"/>
              <w:ind w:left="397"/>
              <w:rPr>
                <w:sz w:val="18"/>
              </w:rPr>
            </w:pPr>
            <w:r>
              <w:rPr>
                <w:spacing w:val="-2"/>
                <w:sz w:val="18"/>
              </w:rPr>
              <w:t>0.187128</w:t>
            </w:r>
          </w:p>
        </w:tc>
        <w:tc>
          <w:tcPr>
            <w:tcW w:w="899" w:type="dxa"/>
          </w:tcPr>
          <w:p>
            <w:pPr>
              <w:pStyle w:val="TableParagraph"/>
              <w:spacing w:line="188" w:lineRule="exact"/>
              <w:ind w:right="153"/>
              <w:jc w:val="right"/>
              <w:rPr>
                <w:sz w:val="18"/>
              </w:rPr>
            </w:pPr>
            <w:r>
              <w:rPr>
                <w:sz w:val="18"/>
              </w:rPr>
              <w:t>-</w:t>
            </w:r>
            <w:r>
              <w:rPr>
                <w:spacing w:val="-2"/>
                <w:sz w:val="18"/>
              </w:rPr>
              <w:t>1.128521</w:t>
            </w:r>
          </w:p>
        </w:tc>
        <w:tc>
          <w:tcPr>
            <w:tcW w:w="858" w:type="dxa"/>
          </w:tcPr>
          <w:p>
            <w:pPr>
              <w:pStyle w:val="TableParagraph"/>
              <w:spacing w:line="188" w:lineRule="exact"/>
              <w:ind w:right="33"/>
              <w:jc w:val="right"/>
              <w:rPr>
                <w:sz w:val="18"/>
              </w:rPr>
            </w:pPr>
            <w:r>
              <w:rPr>
                <w:spacing w:val="-2"/>
                <w:sz w:val="18"/>
              </w:rPr>
              <w:t>0.2725</w:t>
            </w:r>
          </w:p>
        </w:tc>
      </w:tr>
      <w:tr>
        <w:trPr>
          <w:trHeight w:val="202" w:hRule="atLeast"/>
        </w:trPr>
        <w:tc>
          <w:tcPr>
            <w:tcW w:w="1770" w:type="dxa"/>
            <w:tcBorders>
              <w:bottom w:val="double" w:sz="6" w:space="0" w:color="000000"/>
            </w:tcBorders>
          </w:tcPr>
          <w:p>
            <w:pPr>
              <w:pStyle w:val="TableParagraph"/>
              <w:spacing w:line="183" w:lineRule="exact"/>
              <w:ind w:left="275"/>
              <w:jc w:val="center"/>
              <w:rPr>
                <w:sz w:val="18"/>
              </w:rPr>
            </w:pPr>
            <w:r>
              <w:rPr>
                <w:spacing w:val="-10"/>
                <w:sz w:val="18"/>
              </w:rPr>
              <w:t>C</w:t>
            </w:r>
          </w:p>
        </w:tc>
        <w:tc>
          <w:tcPr>
            <w:tcW w:w="1443" w:type="dxa"/>
            <w:tcBorders>
              <w:bottom w:val="double" w:sz="6" w:space="0" w:color="000000"/>
            </w:tcBorders>
          </w:tcPr>
          <w:p>
            <w:pPr>
              <w:pStyle w:val="TableParagraph"/>
              <w:spacing w:line="183" w:lineRule="exact"/>
              <w:ind w:right="118"/>
              <w:jc w:val="right"/>
              <w:rPr>
                <w:sz w:val="18"/>
              </w:rPr>
            </w:pPr>
            <w:r>
              <w:rPr>
                <w:spacing w:val="-2"/>
                <w:sz w:val="18"/>
              </w:rPr>
              <w:t>3.670895</w:t>
            </w:r>
          </w:p>
        </w:tc>
        <w:tc>
          <w:tcPr>
            <w:tcW w:w="1522" w:type="dxa"/>
            <w:tcBorders>
              <w:bottom w:val="double" w:sz="6" w:space="0" w:color="000000"/>
            </w:tcBorders>
          </w:tcPr>
          <w:p>
            <w:pPr>
              <w:pStyle w:val="TableParagraph"/>
              <w:spacing w:line="183" w:lineRule="exact"/>
              <w:ind w:left="397"/>
              <w:rPr>
                <w:sz w:val="18"/>
              </w:rPr>
            </w:pPr>
            <w:r>
              <w:rPr>
                <w:spacing w:val="-2"/>
                <w:sz w:val="18"/>
              </w:rPr>
              <w:t>1.223176</w:t>
            </w:r>
          </w:p>
        </w:tc>
        <w:tc>
          <w:tcPr>
            <w:tcW w:w="899" w:type="dxa"/>
            <w:tcBorders>
              <w:bottom w:val="double" w:sz="6" w:space="0" w:color="000000"/>
            </w:tcBorders>
          </w:tcPr>
          <w:p>
            <w:pPr>
              <w:pStyle w:val="TableParagraph"/>
              <w:spacing w:line="183" w:lineRule="exact"/>
              <w:ind w:right="153"/>
              <w:jc w:val="right"/>
              <w:rPr>
                <w:sz w:val="18"/>
              </w:rPr>
            </w:pPr>
            <w:r>
              <w:rPr>
                <w:spacing w:val="-2"/>
                <w:sz w:val="18"/>
              </w:rPr>
              <w:t>3.001117</w:t>
            </w:r>
          </w:p>
        </w:tc>
        <w:tc>
          <w:tcPr>
            <w:tcW w:w="858" w:type="dxa"/>
            <w:tcBorders>
              <w:bottom w:val="double" w:sz="6" w:space="0" w:color="000000"/>
            </w:tcBorders>
          </w:tcPr>
          <w:p>
            <w:pPr>
              <w:pStyle w:val="TableParagraph"/>
              <w:spacing w:line="183" w:lineRule="exact"/>
              <w:ind w:right="33"/>
              <w:jc w:val="right"/>
              <w:rPr>
                <w:sz w:val="18"/>
              </w:rPr>
            </w:pPr>
            <w:r>
              <w:rPr>
                <w:spacing w:val="-2"/>
                <w:sz w:val="18"/>
              </w:rPr>
              <w:t>0.0071</w:t>
            </w:r>
          </w:p>
        </w:tc>
      </w:tr>
      <w:tr>
        <w:trPr>
          <w:trHeight w:val="251" w:hRule="atLeast"/>
        </w:trPr>
        <w:tc>
          <w:tcPr>
            <w:tcW w:w="1770" w:type="dxa"/>
            <w:tcBorders>
              <w:top w:val="double" w:sz="6" w:space="0" w:color="000000"/>
            </w:tcBorders>
          </w:tcPr>
          <w:p>
            <w:pPr>
              <w:pStyle w:val="TableParagraph"/>
              <w:spacing w:line="192" w:lineRule="exact" w:before="40"/>
              <w:ind w:left="36"/>
              <w:rPr>
                <w:sz w:val="18"/>
              </w:rPr>
            </w:pPr>
            <w:r>
              <w:rPr>
                <w:spacing w:val="-2"/>
                <w:sz w:val="18"/>
              </w:rPr>
              <w:t>R-squared</w:t>
            </w:r>
          </w:p>
        </w:tc>
        <w:tc>
          <w:tcPr>
            <w:tcW w:w="1443" w:type="dxa"/>
            <w:tcBorders>
              <w:top w:val="double" w:sz="6" w:space="0" w:color="000000"/>
            </w:tcBorders>
          </w:tcPr>
          <w:p>
            <w:pPr>
              <w:pStyle w:val="TableParagraph"/>
              <w:spacing w:line="192" w:lineRule="exact" w:before="40"/>
              <w:ind w:right="118"/>
              <w:jc w:val="right"/>
              <w:rPr>
                <w:sz w:val="18"/>
              </w:rPr>
            </w:pPr>
            <w:r>
              <w:rPr>
                <w:spacing w:val="-2"/>
                <w:sz w:val="18"/>
              </w:rPr>
              <w:t>0.297901</w:t>
            </w:r>
          </w:p>
        </w:tc>
        <w:tc>
          <w:tcPr>
            <w:tcW w:w="2421" w:type="dxa"/>
            <w:gridSpan w:val="2"/>
            <w:tcBorders>
              <w:top w:val="double" w:sz="6" w:space="0" w:color="000000"/>
            </w:tcBorders>
          </w:tcPr>
          <w:p>
            <w:pPr>
              <w:pStyle w:val="TableParagraph"/>
              <w:spacing w:line="192" w:lineRule="exact" w:before="40"/>
              <w:ind w:left="121"/>
              <w:rPr>
                <w:sz w:val="18"/>
              </w:rPr>
            </w:pPr>
            <w:r>
              <w:rPr>
                <w:sz w:val="18"/>
              </w:rPr>
              <w:t>Mean</w:t>
            </w:r>
            <w:r>
              <w:rPr>
                <w:spacing w:val="-5"/>
                <w:sz w:val="18"/>
              </w:rPr>
              <w:t> </w:t>
            </w:r>
            <w:r>
              <w:rPr>
                <w:sz w:val="18"/>
              </w:rPr>
              <w:t>dependent</w:t>
            </w:r>
            <w:r>
              <w:rPr>
                <w:spacing w:val="-1"/>
                <w:sz w:val="18"/>
              </w:rPr>
              <w:t> </w:t>
            </w:r>
            <w:r>
              <w:rPr>
                <w:spacing w:val="-5"/>
                <w:sz w:val="18"/>
              </w:rPr>
              <w:t>var</w:t>
            </w:r>
          </w:p>
        </w:tc>
        <w:tc>
          <w:tcPr>
            <w:tcW w:w="858" w:type="dxa"/>
            <w:tcBorders>
              <w:top w:val="double" w:sz="6" w:space="0" w:color="000000"/>
            </w:tcBorders>
          </w:tcPr>
          <w:p>
            <w:pPr>
              <w:pStyle w:val="TableParagraph"/>
              <w:spacing w:line="192" w:lineRule="exact" w:before="40"/>
              <w:ind w:right="32"/>
              <w:jc w:val="right"/>
              <w:rPr>
                <w:sz w:val="18"/>
              </w:rPr>
            </w:pPr>
            <w:r>
              <w:rPr>
                <w:spacing w:val="-2"/>
                <w:sz w:val="18"/>
              </w:rPr>
              <w:t>0.314475</w:t>
            </w:r>
          </w:p>
        </w:tc>
      </w:tr>
      <w:tr>
        <w:trPr>
          <w:trHeight w:val="207" w:hRule="atLeast"/>
        </w:trPr>
        <w:tc>
          <w:tcPr>
            <w:tcW w:w="1770" w:type="dxa"/>
          </w:tcPr>
          <w:p>
            <w:pPr>
              <w:pStyle w:val="TableParagraph"/>
              <w:spacing w:line="188" w:lineRule="exact"/>
              <w:ind w:left="36"/>
              <w:rPr>
                <w:sz w:val="18"/>
              </w:rPr>
            </w:pPr>
            <w:r>
              <w:rPr>
                <w:sz w:val="18"/>
              </w:rPr>
              <w:t>Adjusted</w:t>
            </w:r>
            <w:r>
              <w:rPr>
                <w:spacing w:val="-1"/>
                <w:sz w:val="18"/>
              </w:rPr>
              <w:t> </w:t>
            </w:r>
            <w:r>
              <w:rPr>
                <w:sz w:val="18"/>
              </w:rPr>
              <w:t>R-</w:t>
            </w:r>
            <w:r>
              <w:rPr>
                <w:spacing w:val="-2"/>
                <w:sz w:val="18"/>
              </w:rPr>
              <w:t>squared</w:t>
            </w:r>
          </w:p>
        </w:tc>
        <w:tc>
          <w:tcPr>
            <w:tcW w:w="1443" w:type="dxa"/>
          </w:tcPr>
          <w:p>
            <w:pPr>
              <w:pStyle w:val="TableParagraph"/>
              <w:spacing w:line="188" w:lineRule="exact"/>
              <w:ind w:right="118"/>
              <w:jc w:val="right"/>
              <w:rPr>
                <w:sz w:val="18"/>
              </w:rPr>
            </w:pPr>
            <w:r>
              <w:rPr>
                <w:spacing w:val="-2"/>
                <w:sz w:val="18"/>
              </w:rPr>
              <w:t>0.227691</w:t>
            </w:r>
          </w:p>
        </w:tc>
        <w:tc>
          <w:tcPr>
            <w:tcW w:w="1522" w:type="dxa"/>
          </w:tcPr>
          <w:p>
            <w:pPr>
              <w:pStyle w:val="TableParagraph"/>
              <w:spacing w:line="188" w:lineRule="exact"/>
              <w:ind w:left="121"/>
              <w:rPr>
                <w:sz w:val="18"/>
              </w:rPr>
            </w:pPr>
            <w:r>
              <w:rPr>
                <w:sz w:val="18"/>
              </w:rPr>
              <w:t>S.D.</w:t>
            </w:r>
            <w:r>
              <w:rPr>
                <w:spacing w:val="-5"/>
                <w:sz w:val="18"/>
              </w:rPr>
              <w:t> </w:t>
            </w:r>
            <w:r>
              <w:rPr>
                <w:sz w:val="18"/>
              </w:rPr>
              <w:t>dependent</w:t>
            </w:r>
            <w:r>
              <w:rPr>
                <w:spacing w:val="-3"/>
                <w:sz w:val="18"/>
              </w:rPr>
              <w:t> </w:t>
            </w:r>
            <w:r>
              <w:rPr>
                <w:spacing w:val="-5"/>
                <w:sz w:val="18"/>
              </w:rPr>
              <w:t>var</w:t>
            </w:r>
          </w:p>
        </w:tc>
        <w:tc>
          <w:tcPr>
            <w:tcW w:w="899" w:type="dxa"/>
          </w:tcPr>
          <w:p>
            <w:pPr>
              <w:pStyle w:val="TableParagraph"/>
              <w:rPr>
                <w:sz w:val="14"/>
              </w:rPr>
            </w:pPr>
          </w:p>
        </w:tc>
        <w:tc>
          <w:tcPr>
            <w:tcW w:w="858" w:type="dxa"/>
          </w:tcPr>
          <w:p>
            <w:pPr>
              <w:pStyle w:val="TableParagraph"/>
              <w:spacing w:line="188" w:lineRule="exact"/>
              <w:ind w:right="32"/>
              <w:jc w:val="right"/>
              <w:rPr>
                <w:sz w:val="18"/>
              </w:rPr>
            </w:pPr>
            <w:r>
              <w:rPr>
                <w:spacing w:val="-2"/>
                <w:sz w:val="18"/>
              </w:rPr>
              <w:t>1.184592</w:t>
            </w:r>
          </w:p>
        </w:tc>
      </w:tr>
      <w:tr>
        <w:trPr>
          <w:trHeight w:val="206" w:hRule="atLeast"/>
        </w:trPr>
        <w:tc>
          <w:tcPr>
            <w:tcW w:w="1770" w:type="dxa"/>
          </w:tcPr>
          <w:p>
            <w:pPr>
              <w:pStyle w:val="TableParagraph"/>
              <w:spacing w:line="186" w:lineRule="exact"/>
              <w:ind w:left="36"/>
              <w:rPr>
                <w:sz w:val="18"/>
              </w:rPr>
            </w:pPr>
            <w:r>
              <w:rPr>
                <w:sz w:val="18"/>
              </w:rPr>
              <w:t>S.E.</w:t>
            </w:r>
            <w:r>
              <w:rPr>
                <w:spacing w:val="-3"/>
                <w:sz w:val="18"/>
              </w:rPr>
              <w:t> </w:t>
            </w:r>
            <w:r>
              <w:rPr>
                <w:sz w:val="18"/>
              </w:rPr>
              <w:t>of</w:t>
            </w:r>
            <w:r>
              <w:rPr>
                <w:spacing w:val="-1"/>
                <w:sz w:val="18"/>
              </w:rPr>
              <w:t> </w:t>
            </w:r>
            <w:r>
              <w:rPr>
                <w:spacing w:val="-2"/>
                <w:sz w:val="18"/>
              </w:rPr>
              <w:t>regression</w:t>
            </w:r>
          </w:p>
        </w:tc>
        <w:tc>
          <w:tcPr>
            <w:tcW w:w="1443" w:type="dxa"/>
          </w:tcPr>
          <w:p>
            <w:pPr>
              <w:pStyle w:val="TableParagraph"/>
              <w:spacing w:line="186" w:lineRule="exact"/>
              <w:ind w:right="118"/>
              <w:jc w:val="right"/>
              <w:rPr>
                <w:sz w:val="18"/>
              </w:rPr>
            </w:pPr>
            <w:r>
              <w:rPr>
                <w:spacing w:val="-2"/>
                <w:sz w:val="18"/>
              </w:rPr>
              <w:t>1.041032</w:t>
            </w:r>
          </w:p>
        </w:tc>
        <w:tc>
          <w:tcPr>
            <w:tcW w:w="2421" w:type="dxa"/>
            <w:gridSpan w:val="2"/>
          </w:tcPr>
          <w:p>
            <w:pPr>
              <w:pStyle w:val="TableParagraph"/>
              <w:spacing w:line="186" w:lineRule="exact"/>
              <w:ind w:left="121"/>
              <w:rPr>
                <w:sz w:val="18"/>
              </w:rPr>
            </w:pPr>
            <w:r>
              <w:rPr>
                <w:sz w:val="18"/>
              </w:rPr>
              <w:t>Akaike</w:t>
            </w:r>
            <w:r>
              <w:rPr>
                <w:spacing w:val="-5"/>
                <w:sz w:val="18"/>
              </w:rPr>
              <w:t> </w:t>
            </w:r>
            <w:r>
              <w:rPr>
                <w:sz w:val="18"/>
              </w:rPr>
              <w:t>info</w:t>
            </w:r>
            <w:r>
              <w:rPr>
                <w:spacing w:val="-2"/>
                <w:sz w:val="18"/>
              </w:rPr>
              <w:t> criterion</w:t>
            </w:r>
          </w:p>
        </w:tc>
        <w:tc>
          <w:tcPr>
            <w:tcW w:w="858" w:type="dxa"/>
          </w:tcPr>
          <w:p>
            <w:pPr>
              <w:pStyle w:val="TableParagraph"/>
              <w:spacing w:line="186" w:lineRule="exact"/>
              <w:ind w:right="32"/>
              <w:jc w:val="right"/>
              <w:rPr>
                <w:sz w:val="18"/>
              </w:rPr>
            </w:pPr>
            <w:r>
              <w:rPr>
                <w:spacing w:val="-2"/>
                <w:sz w:val="18"/>
              </w:rPr>
              <w:t>3.039411</w:t>
            </w:r>
          </w:p>
        </w:tc>
      </w:tr>
      <w:tr>
        <w:trPr>
          <w:trHeight w:val="206" w:hRule="atLeast"/>
        </w:trPr>
        <w:tc>
          <w:tcPr>
            <w:tcW w:w="1770" w:type="dxa"/>
          </w:tcPr>
          <w:p>
            <w:pPr>
              <w:pStyle w:val="TableParagraph"/>
              <w:spacing w:line="186" w:lineRule="exact"/>
              <w:ind w:left="36"/>
              <w:rPr>
                <w:sz w:val="18"/>
              </w:rPr>
            </w:pPr>
            <w:r>
              <w:rPr>
                <w:sz w:val="18"/>
              </w:rPr>
              <w:t>Sum</w:t>
            </w:r>
            <w:r>
              <w:rPr>
                <w:spacing w:val="-3"/>
                <w:sz w:val="18"/>
              </w:rPr>
              <w:t> </w:t>
            </w:r>
            <w:r>
              <w:rPr>
                <w:sz w:val="18"/>
              </w:rPr>
              <w:t>squared</w:t>
            </w:r>
            <w:r>
              <w:rPr>
                <w:spacing w:val="1"/>
                <w:sz w:val="18"/>
              </w:rPr>
              <w:t> </w:t>
            </w:r>
            <w:r>
              <w:rPr>
                <w:spacing w:val="-2"/>
                <w:sz w:val="18"/>
              </w:rPr>
              <w:t>resid</w:t>
            </w:r>
          </w:p>
        </w:tc>
        <w:tc>
          <w:tcPr>
            <w:tcW w:w="1443" w:type="dxa"/>
          </w:tcPr>
          <w:p>
            <w:pPr>
              <w:pStyle w:val="TableParagraph"/>
              <w:spacing w:line="186" w:lineRule="exact"/>
              <w:ind w:right="118"/>
              <w:jc w:val="right"/>
              <w:rPr>
                <w:sz w:val="18"/>
              </w:rPr>
            </w:pPr>
            <w:r>
              <w:rPr>
                <w:spacing w:val="-2"/>
                <w:sz w:val="18"/>
              </w:rPr>
              <w:t>21.67497</w:t>
            </w:r>
          </w:p>
        </w:tc>
        <w:tc>
          <w:tcPr>
            <w:tcW w:w="1522" w:type="dxa"/>
          </w:tcPr>
          <w:p>
            <w:pPr>
              <w:pStyle w:val="TableParagraph"/>
              <w:spacing w:line="186" w:lineRule="exact"/>
              <w:ind w:left="121"/>
              <w:rPr>
                <w:sz w:val="18"/>
              </w:rPr>
            </w:pPr>
            <w:r>
              <w:rPr>
                <w:sz w:val="18"/>
              </w:rPr>
              <w:t>Schwarz</w:t>
            </w:r>
            <w:r>
              <w:rPr>
                <w:spacing w:val="-7"/>
                <w:sz w:val="18"/>
              </w:rPr>
              <w:t> </w:t>
            </w:r>
            <w:r>
              <w:rPr>
                <w:spacing w:val="-2"/>
                <w:sz w:val="18"/>
              </w:rPr>
              <w:t>criterion</w:t>
            </w:r>
          </w:p>
        </w:tc>
        <w:tc>
          <w:tcPr>
            <w:tcW w:w="899" w:type="dxa"/>
          </w:tcPr>
          <w:p>
            <w:pPr>
              <w:pStyle w:val="TableParagraph"/>
              <w:rPr>
                <w:sz w:val="14"/>
              </w:rPr>
            </w:pPr>
          </w:p>
        </w:tc>
        <w:tc>
          <w:tcPr>
            <w:tcW w:w="858" w:type="dxa"/>
          </w:tcPr>
          <w:p>
            <w:pPr>
              <w:pStyle w:val="TableParagraph"/>
              <w:spacing w:line="186" w:lineRule="exact"/>
              <w:ind w:right="32"/>
              <w:jc w:val="right"/>
              <w:rPr>
                <w:sz w:val="18"/>
              </w:rPr>
            </w:pPr>
            <w:r>
              <w:rPr>
                <w:spacing w:val="-2"/>
                <w:sz w:val="18"/>
              </w:rPr>
              <w:t>3.187519</w:t>
            </w:r>
          </w:p>
        </w:tc>
      </w:tr>
      <w:tr>
        <w:trPr>
          <w:trHeight w:val="206" w:hRule="atLeast"/>
        </w:trPr>
        <w:tc>
          <w:tcPr>
            <w:tcW w:w="1770" w:type="dxa"/>
          </w:tcPr>
          <w:p>
            <w:pPr>
              <w:pStyle w:val="TableParagraph"/>
              <w:spacing w:line="186" w:lineRule="exact"/>
              <w:ind w:left="36"/>
              <w:rPr>
                <w:sz w:val="18"/>
              </w:rPr>
            </w:pPr>
            <w:r>
              <w:rPr>
                <w:sz w:val="18"/>
              </w:rPr>
              <w:t>Log</w:t>
            </w:r>
            <w:r>
              <w:rPr>
                <w:spacing w:val="-2"/>
                <w:sz w:val="18"/>
              </w:rPr>
              <w:t> likelihood</w:t>
            </w:r>
          </w:p>
        </w:tc>
        <w:tc>
          <w:tcPr>
            <w:tcW w:w="1443" w:type="dxa"/>
          </w:tcPr>
          <w:p>
            <w:pPr>
              <w:pStyle w:val="TableParagraph"/>
              <w:spacing w:line="186" w:lineRule="exact"/>
              <w:ind w:right="118"/>
              <w:jc w:val="right"/>
              <w:rPr>
                <w:sz w:val="18"/>
              </w:rPr>
            </w:pPr>
            <w:r>
              <w:rPr>
                <w:sz w:val="18"/>
              </w:rPr>
              <w:t>-</w:t>
            </w:r>
            <w:r>
              <w:rPr>
                <w:spacing w:val="-2"/>
                <w:sz w:val="18"/>
              </w:rPr>
              <w:t>31.95322</w:t>
            </w:r>
          </w:p>
        </w:tc>
        <w:tc>
          <w:tcPr>
            <w:tcW w:w="1522" w:type="dxa"/>
          </w:tcPr>
          <w:p>
            <w:pPr>
              <w:pStyle w:val="TableParagraph"/>
              <w:spacing w:line="186" w:lineRule="exact"/>
              <w:ind w:left="121"/>
              <w:rPr>
                <w:sz w:val="18"/>
              </w:rPr>
            </w:pPr>
            <w:r>
              <w:rPr>
                <w:sz w:val="18"/>
              </w:rPr>
              <w:t>F-</w:t>
            </w:r>
            <w:r>
              <w:rPr>
                <w:spacing w:val="-2"/>
                <w:sz w:val="18"/>
              </w:rPr>
              <w:t>statistic</w:t>
            </w:r>
          </w:p>
        </w:tc>
        <w:tc>
          <w:tcPr>
            <w:tcW w:w="899" w:type="dxa"/>
          </w:tcPr>
          <w:p>
            <w:pPr>
              <w:pStyle w:val="TableParagraph"/>
              <w:rPr>
                <w:sz w:val="14"/>
              </w:rPr>
            </w:pPr>
          </w:p>
        </w:tc>
        <w:tc>
          <w:tcPr>
            <w:tcW w:w="858" w:type="dxa"/>
          </w:tcPr>
          <w:p>
            <w:pPr>
              <w:pStyle w:val="TableParagraph"/>
              <w:spacing w:line="186" w:lineRule="exact"/>
              <w:ind w:right="32"/>
              <w:jc w:val="right"/>
              <w:rPr>
                <w:sz w:val="18"/>
              </w:rPr>
            </w:pPr>
            <w:r>
              <w:rPr>
                <w:spacing w:val="-2"/>
                <w:sz w:val="18"/>
              </w:rPr>
              <w:t>4.243008</w:t>
            </w:r>
          </w:p>
        </w:tc>
      </w:tr>
      <w:tr>
        <w:trPr>
          <w:trHeight w:val="244" w:hRule="atLeast"/>
        </w:trPr>
        <w:tc>
          <w:tcPr>
            <w:tcW w:w="1770" w:type="dxa"/>
            <w:tcBorders>
              <w:bottom w:val="double" w:sz="6" w:space="0" w:color="000000"/>
            </w:tcBorders>
          </w:tcPr>
          <w:p>
            <w:pPr>
              <w:pStyle w:val="TableParagraph"/>
              <w:spacing w:line="203" w:lineRule="exact"/>
              <w:ind w:left="36"/>
              <w:rPr>
                <w:sz w:val="18"/>
              </w:rPr>
            </w:pPr>
            <w:r>
              <w:rPr>
                <w:sz w:val="18"/>
              </w:rPr>
              <w:t>Durbin-Watson</w:t>
            </w:r>
            <w:r>
              <w:rPr>
                <w:spacing w:val="-2"/>
                <w:sz w:val="18"/>
              </w:rPr>
              <w:t> </w:t>
            </w:r>
            <w:r>
              <w:rPr>
                <w:spacing w:val="-4"/>
                <w:sz w:val="18"/>
              </w:rPr>
              <w:t>stat</w:t>
            </w:r>
          </w:p>
        </w:tc>
        <w:tc>
          <w:tcPr>
            <w:tcW w:w="1443" w:type="dxa"/>
          </w:tcPr>
          <w:p>
            <w:pPr>
              <w:pStyle w:val="TableParagraph"/>
              <w:spacing w:line="203" w:lineRule="exact"/>
              <w:ind w:right="118"/>
              <w:jc w:val="right"/>
              <w:rPr>
                <w:sz w:val="18"/>
              </w:rPr>
            </w:pPr>
            <w:r>
              <w:rPr>
                <w:spacing w:val="-2"/>
                <w:sz w:val="18"/>
              </w:rPr>
              <w:t>1.962974</w:t>
            </w:r>
          </w:p>
        </w:tc>
        <w:tc>
          <w:tcPr>
            <w:tcW w:w="1522" w:type="dxa"/>
            <w:tcBorders>
              <w:bottom w:val="double" w:sz="6" w:space="0" w:color="000000"/>
            </w:tcBorders>
          </w:tcPr>
          <w:p>
            <w:pPr>
              <w:pStyle w:val="TableParagraph"/>
              <w:spacing w:line="203" w:lineRule="exact"/>
              <w:ind w:left="119"/>
              <w:rPr>
                <w:sz w:val="18"/>
              </w:rPr>
            </w:pPr>
            <w:r>
              <w:rPr>
                <w:spacing w:val="-2"/>
                <w:sz w:val="18"/>
              </w:rPr>
              <w:t>Prob(F-statistic)</w:t>
            </w:r>
          </w:p>
        </w:tc>
        <w:tc>
          <w:tcPr>
            <w:tcW w:w="899" w:type="dxa"/>
          </w:tcPr>
          <w:p>
            <w:pPr>
              <w:pStyle w:val="TableParagraph"/>
              <w:rPr>
                <w:sz w:val="16"/>
              </w:rPr>
            </w:pPr>
          </w:p>
        </w:tc>
        <w:tc>
          <w:tcPr>
            <w:tcW w:w="858" w:type="dxa"/>
            <w:tcBorders>
              <w:bottom w:val="double" w:sz="6" w:space="0" w:color="000000"/>
            </w:tcBorders>
          </w:tcPr>
          <w:p>
            <w:pPr>
              <w:pStyle w:val="TableParagraph"/>
              <w:spacing w:line="203" w:lineRule="exact"/>
              <w:ind w:right="32"/>
              <w:jc w:val="right"/>
              <w:rPr>
                <w:sz w:val="18"/>
              </w:rPr>
            </w:pPr>
            <w:r>
              <w:rPr>
                <w:spacing w:val="-2"/>
                <w:sz w:val="18"/>
              </w:rPr>
              <w:t>0.029106</w:t>
            </w:r>
          </w:p>
        </w:tc>
      </w:tr>
    </w:tbl>
    <w:p>
      <w:pPr>
        <w:pStyle w:val="BodyText"/>
        <w:spacing w:before="17"/>
        <w:rPr>
          <w:sz w:val="18"/>
        </w:rPr>
      </w:pPr>
    </w:p>
    <w:p>
      <w:pPr>
        <w:spacing w:before="0" w:after="2"/>
        <w:ind w:left="711" w:right="0" w:firstLine="0"/>
        <w:jc w:val="left"/>
        <w:rPr>
          <w:sz w:val="18"/>
        </w:rPr>
      </w:pPr>
      <w:r>
        <w:rPr>
          <w:sz w:val="18"/>
        </w:rPr>
        <w:t>CAB</w:t>
      </w:r>
      <w:r>
        <w:rPr>
          <w:spacing w:val="-1"/>
          <w:sz w:val="18"/>
        </w:rPr>
        <w:t> </w:t>
      </w:r>
      <w:r>
        <w:rPr>
          <w:sz w:val="18"/>
        </w:rPr>
        <w:t>@ 1</w:t>
      </w:r>
      <w:r>
        <w:rPr>
          <w:sz w:val="18"/>
          <w:vertAlign w:val="superscript"/>
        </w:rPr>
        <w:t>ST</w:t>
      </w:r>
      <w:r>
        <w:rPr>
          <w:spacing w:val="1"/>
          <w:sz w:val="18"/>
          <w:vertAlign w:val="baseline"/>
        </w:rPr>
        <w:t> </w:t>
      </w:r>
      <w:r>
        <w:rPr>
          <w:spacing w:val="-4"/>
          <w:sz w:val="18"/>
          <w:vertAlign w:val="baseline"/>
        </w:rPr>
        <w:t>DIFF</w:t>
      </w:r>
    </w:p>
    <w:tbl>
      <w:tblPr>
        <w:tblW w:w="0" w:type="auto"/>
        <w:jc w:val="left"/>
        <w:tblInd w:w="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00"/>
        <w:gridCol w:w="1412"/>
        <w:gridCol w:w="1521"/>
        <w:gridCol w:w="868"/>
        <w:gridCol w:w="887"/>
      </w:tblGrid>
      <w:tr>
        <w:trPr>
          <w:trHeight w:val="202" w:hRule="atLeast"/>
        </w:trPr>
        <w:tc>
          <w:tcPr>
            <w:tcW w:w="1800" w:type="dxa"/>
          </w:tcPr>
          <w:p>
            <w:pPr>
              <w:pStyle w:val="TableParagraph"/>
              <w:spacing w:line="183" w:lineRule="exact"/>
              <w:ind w:left="36"/>
              <w:rPr>
                <w:sz w:val="18"/>
              </w:rPr>
            </w:pPr>
            <w:r>
              <w:rPr>
                <w:sz w:val="18"/>
              </w:rPr>
              <w:t>ADF</w:t>
            </w:r>
            <w:r>
              <w:rPr>
                <w:spacing w:val="-1"/>
                <w:sz w:val="18"/>
              </w:rPr>
              <w:t> </w:t>
            </w:r>
            <w:r>
              <w:rPr>
                <w:sz w:val="18"/>
              </w:rPr>
              <w:t>Test</w:t>
            </w:r>
            <w:r>
              <w:rPr>
                <w:spacing w:val="-2"/>
                <w:sz w:val="18"/>
              </w:rPr>
              <w:t> Statistic</w:t>
            </w:r>
          </w:p>
        </w:tc>
        <w:tc>
          <w:tcPr>
            <w:tcW w:w="1412" w:type="dxa"/>
          </w:tcPr>
          <w:p>
            <w:pPr>
              <w:pStyle w:val="TableParagraph"/>
              <w:spacing w:line="183" w:lineRule="exact"/>
              <w:ind w:left="266"/>
              <w:rPr>
                <w:sz w:val="18"/>
              </w:rPr>
            </w:pPr>
            <w:r>
              <w:rPr>
                <w:sz w:val="18"/>
              </w:rPr>
              <w:t>-</w:t>
            </w:r>
            <w:r>
              <w:rPr>
                <w:spacing w:val="-2"/>
                <w:sz w:val="18"/>
              </w:rPr>
              <w:t>4.025890</w:t>
            </w:r>
          </w:p>
        </w:tc>
        <w:tc>
          <w:tcPr>
            <w:tcW w:w="2389" w:type="dxa"/>
            <w:gridSpan w:val="2"/>
          </w:tcPr>
          <w:p>
            <w:pPr>
              <w:pStyle w:val="TableParagraph"/>
              <w:spacing w:line="183" w:lineRule="exact"/>
              <w:ind w:left="122"/>
              <w:rPr>
                <w:sz w:val="18"/>
              </w:rPr>
            </w:pPr>
            <w:r>
              <w:rPr>
                <w:sz w:val="18"/>
              </w:rPr>
              <w:t>1%</w:t>
            </w:r>
            <w:r>
              <w:rPr>
                <w:spacing w:val="63"/>
                <w:w w:val="150"/>
                <w:sz w:val="18"/>
              </w:rPr>
              <w:t> </w:t>
            </w:r>
            <w:r>
              <w:rPr>
                <w:sz w:val="18"/>
              </w:rPr>
              <w:t>Critical</w:t>
            </w:r>
            <w:r>
              <w:rPr>
                <w:spacing w:val="-2"/>
                <w:sz w:val="18"/>
              </w:rPr>
              <w:t> Value*</w:t>
            </w:r>
          </w:p>
        </w:tc>
        <w:tc>
          <w:tcPr>
            <w:tcW w:w="887" w:type="dxa"/>
          </w:tcPr>
          <w:p>
            <w:pPr>
              <w:pStyle w:val="TableParagraph"/>
              <w:spacing w:line="183" w:lineRule="exact"/>
              <w:ind w:right="29"/>
              <w:jc w:val="right"/>
              <w:rPr>
                <w:sz w:val="18"/>
              </w:rPr>
            </w:pPr>
            <w:r>
              <w:rPr>
                <w:sz w:val="18"/>
              </w:rPr>
              <w:t>-</w:t>
            </w:r>
            <w:r>
              <w:rPr>
                <w:spacing w:val="-2"/>
                <w:sz w:val="18"/>
              </w:rPr>
              <w:t>3.7667</w:t>
            </w:r>
          </w:p>
        </w:tc>
      </w:tr>
      <w:tr>
        <w:trPr>
          <w:trHeight w:val="206" w:hRule="atLeast"/>
        </w:trPr>
        <w:tc>
          <w:tcPr>
            <w:tcW w:w="1800" w:type="dxa"/>
          </w:tcPr>
          <w:p>
            <w:pPr>
              <w:pStyle w:val="TableParagraph"/>
              <w:rPr>
                <w:sz w:val="14"/>
              </w:rPr>
            </w:pPr>
          </w:p>
        </w:tc>
        <w:tc>
          <w:tcPr>
            <w:tcW w:w="1412" w:type="dxa"/>
          </w:tcPr>
          <w:p>
            <w:pPr>
              <w:pStyle w:val="TableParagraph"/>
              <w:rPr>
                <w:sz w:val="14"/>
              </w:rPr>
            </w:pPr>
          </w:p>
        </w:tc>
        <w:tc>
          <w:tcPr>
            <w:tcW w:w="1521" w:type="dxa"/>
          </w:tcPr>
          <w:p>
            <w:pPr>
              <w:pStyle w:val="TableParagraph"/>
              <w:spacing w:line="186" w:lineRule="exact"/>
              <w:ind w:left="122"/>
              <w:rPr>
                <w:sz w:val="18"/>
              </w:rPr>
            </w:pPr>
            <w:r>
              <w:rPr>
                <w:sz w:val="18"/>
              </w:rPr>
              <w:t>5%</w:t>
            </w:r>
            <w:r>
              <w:rPr>
                <w:spacing w:val="63"/>
                <w:w w:val="150"/>
                <w:sz w:val="18"/>
              </w:rPr>
              <w:t> </w:t>
            </w:r>
            <w:r>
              <w:rPr>
                <w:sz w:val="18"/>
              </w:rPr>
              <w:t>Critical</w:t>
            </w:r>
            <w:r>
              <w:rPr>
                <w:spacing w:val="-2"/>
                <w:sz w:val="18"/>
              </w:rPr>
              <w:t> Value</w:t>
            </w:r>
          </w:p>
        </w:tc>
        <w:tc>
          <w:tcPr>
            <w:tcW w:w="868" w:type="dxa"/>
          </w:tcPr>
          <w:p>
            <w:pPr>
              <w:pStyle w:val="TableParagraph"/>
              <w:rPr>
                <w:sz w:val="14"/>
              </w:rPr>
            </w:pPr>
          </w:p>
        </w:tc>
        <w:tc>
          <w:tcPr>
            <w:tcW w:w="887" w:type="dxa"/>
          </w:tcPr>
          <w:p>
            <w:pPr>
              <w:pStyle w:val="TableParagraph"/>
              <w:spacing w:line="186" w:lineRule="exact"/>
              <w:ind w:right="29"/>
              <w:jc w:val="right"/>
              <w:rPr>
                <w:sz w:val="18"/>
              </w:rPr>
            </w:pPr>
            <w:r>
              <w:rPr>
                <w:sz w:val="18"/>
              </w:rPr>
              <w:t>-</w:t>
            </w:r>
            <w:r>
              <w:rPr>
                <w:spacing w:val="-2"/>
                <w:sz w:val="18"/>
              </w:rPr>
              <w:t>3.0038</w:t>
            </w:r>
          </w:p>
        </w:tc>
      </w:tr>
      <w:tr>
        <w:trPr>
          <w:trHeight w:val="201" w:hRule="atLeast"/>
        </w:trPr>
        <w:tc>
          <w:tcPr>
            <w:tcW w:w="1800" w:type="dxa"/>
            <w:tcBorders>
              <w:bottom w:val="double" w:sz="6" w:space="0" w:color="000000"/>
            </w:tcBorders>
          </w:tcPr>
          <w:p>
            <w:pPr>
              <w:pStyle w:val="TableParagraph"/>
              <w:rPr>
                <w:sz w:val="14"/>
              </w:rPr>
            </w:pPr>
          </w:p>
        </w:tc>
        <w:tc>
          <w:tcPr>
            <w:tcW w:w="1412" w:type="dxa"/>
            <w:tcBorders>
              <w:bottom w:val="double" w:sz="6" w:space="0" w:color="000000"/>
            </w:tcBorders>
          </w:tcPr>
          <w:p>
            <w:pPr>
              <w:pStyle w:val="TableParagraph"/>
              <w:rPr>
                <w:sz w:val="14"/>
              </w:rPr>
            </w:pPr>
          </w:p>
        </w:tc>
        <w:tc>
          <w:tcPr>
            <w:tcW w:w="1521" w:type="dxa"/>
            <w:tcBorders>
              <w:bottom w:val="double" w:sz="6" w:space="0" w:color="000000"/>
            </w:tcBorders>
          </w:tcPr>
          <w:p>
            <w:pPr>
              <w:pStyle w:val="TableParagraph"/>
              <w:spacing w:line="181" w:lineRule="exact"/>
              <w:ind w:left="122"/>
              <w:rPr>
                <w:sz w:val="18"/>
              </w:rPr>
            </w:pPr>
            <w:r>
              <w:rPr>
                <w:sz w:val="18"/>
              </w:rPr>
              <w:t>10%</w:t>
            </w:r>
            <w:r>
              <w:rPr>
                <w:spacing w:val="-5"/>
                <w:sz w:val="18"/>
              </w:rPr>
              <w:t> </w:t>
            </w:r>
            <w:r>
              <w:rPr>
                <w:sz w:val="18"/>
              </w:rPr>
              <w:t>Critical</w:t>
            </w:r>
            <w:r>
              <w:rPr>
                <w:spacing w:val="-3"/>
                <w:sz w:val="18"/>
              </w:rPr>
              <w:t> </w:t>
            </w:r>
            <w:r>
              <w:rPr>
                <w:spacing w:val="-2"/>
                <w:sz w:val="18"/>
              </w:rPr>
              <w:t>Value</w:t>
            </w:r>
          </w:p>
        </w:tc>
        <w:tc>
          <w:tcPr>
            <w:tcW w:w="868" w:type="dxa"/>
            <w:tcBorders>
              <w:bottom w:val="double" w:sz="6" w:space="0" w:color="000000"/>
            </w:tcBorders>
          </w:tcPr>
          <w:p>
            <w:pPr>
              <w:pStyle w:val="TableParagraph"/>
              <w:rPr>
                <w:sz w:val="14"/>
              </w:rPr>
            </w:pPr>
          </w:p>
        </w:tc>
        <w:tc>
          <w:tcPr>
            <w:tcW w:w="887" w:type="dxa"/>
            <w:tcBorders>
              <w:bottom w:val="double" w:sz="6" w:space="0" w:color="000000"/>
            </w:tcBorders>
          </w:tcPr>
          <w:p>
            <w:pPr>
              <w:pStyle w:val="TableParagraph"/>
              <w:spacing w:line="181" w:lineRule="exact"/>
              <w:ind w:right="29"/>
              <w:jc w:val="right"/>
              <w:rPr>
                <w:sz w:val="18"/>
              </w:rPr>
            </w:pPr>
            <w:r>
              <w:rPr>
                <w:sz w:val="18"/>
              </w:rPr>
              <w:t>-</w:t>
            </w:r>
            <w:r>
              <w:rPr>
                <w:spacing w:val="-2"/>
                <w:sz w:val="18"/>
              </w:rPr>
              <w:t>2.6417</w:t>
            </w:r>
          </w:p>
        </w:tc>
      </w:tr>
      <w:tr>
        <w:trPr>
          <w:trHeight w:val="460" w:hRule="atLeast"/>
        </w:trPr>
        <w:tc>
          <w:tcPr>
            <w:tcW w:w="6488" w:type="dxa"/>
            <w:gridSpan w:val="5"/>
            <w:tcBorders>
              <w:top w:val="double" w:sz="6" w:space="0" w:color="000000"/>
            </w:tcBorders>
          </w:tcPr>
          <w:p>
            <w:pPr>
              <w:pStyle w:val="TableParagraph"/>
              <w:spacing w:before="42"/>
              <w:ind w:left="36"/>
              <w:rPr>
                <w:sz w:val="18"/>
              </w:rPr>
            </w:pPr>
            <w:r>
              <w:rPr>
                <w:sz w:val="18"/>
              </w:rPr>
              <w:t>*MacKinnon</w:t>
            </w:r>
            <w:r>
              <w:rPr>
                <w:spacing w:val="-1"/>
                <w:sz w:val="18"/>
              </w:rPr>
              <w:t> </w:t>
            </w:r>
            <w:r>
              <w:rPr>
                <w:sz w:val="18"/>
              </w:rPr>
              <w:t>critical</w:t>
            </w:r>
            <w:r>
              <w:rPr>
                <w:spacing w:val="-1"/>
                <w:sz w:val="18"/>
              </w:rPr>
              <w:t> </w:t>
            </w:r>
            <w:r>
              <w:rPr>
                <w:sz w:val="18"/>
              </w:rPr>
              <w:t>values</w:t>
            </w:r>
            <w:r>
              <w:rPr>
                <w:spacing w:val="-1"/>
                <w:sz w:val="18"/>
              </w:rPr>
              <w:t> </w:t>
            </w:r>
            <w:r>
              <w:rPr>
                <w:sz w:val="18"/>
              </w:rPr>
              <w:t>for</w:t>
            </w:r>
            <w:r>
              <w:rPr>
                <w:spacing w:val="-1"/>
                <w:sz w:val="18"/>
              </w:rPr>
              <w:t> </w:t>
            </w:r>
            <w:r>
              <w:rPr>
                <w:sz w:val="18"/>
              </w:rPr>
              <w:t>rejection</w:t>
            </w:r>
            <w:r>
              <w:rPr>
                <w:spacing w:val="-2"/>
                <w:sz w:val="18"/>
              </w:rPr>
              <w:t> </w:t>
            </w:r>
            <w:r>
              <w:rPr>
                <w:sz w:val="18"/>
              </w:rPr>
              <w:t>of</w:t>
            </w:r>
            <w:r>
              <w:rPr>
                <w:spacing w:val="-3"/>
                <w:sz w:val="18"/>
              </w:rPr>
              <w:t> </w:t>
            </w:r>
            <w:r>
              <w:rPr>
                <w:sz w:val="18"/>
              </w:rPr>
              <w:t>hypothesis</w:t>
            </w:r>
            <w:r>
              <w:rPr>
                <w:spacing w:val="-1"/>
                <w:sz w:val="18"/>
              </w:rPr>
              <w:t> </w:t>
            </w:r>
            <w:r>
              <w:rPr>
                <w:sz w:val="18"/>
              </w:rPr>
              <w:t>of</w:t>
            </w:r>
            <w:r>
              <w:rPr>
                <w:spacing w:val="-3"/>
                <w:sz w:val="18"/>
              </w:rPr>
              <w:t> </w:t>
            </w:r>
            <w:r>
              <w:rPr>
                <w:sz w:val="18"/>
              </w:rPr>
              <w:t>a</w:t>
            </w:r>
            <w:r>
              <w:rPr>
                <w:spacing w:val="-2"/>
                <w:sz w:val="18"/>
              </w:rPr>
              <w:t> </w:t>
            </w:r>
            <w:r>
              <w:rPr>
                <w:sz w:val="18"/>
              </w:rPr>
              <w:t>unit</w:t>
            </w:r>
            <w:r>
              <w:rPr>
                <w:spacing w:val="-2"/>
                <w:sz w:val="18"/>
              </w:rPr>
              <w:t> root.</w:t>
            </w:r>
          </w:p>
        </w:tc>
      </w:tr>
      <w:tr>
        <w:trPr>
          <w:trHeight w:val="414" w:hRule="atLeast"/>
        </w:trPr>
        <w:tc>
          <w:tcPr>
            <w:tcW w:w="6488" w:type="dxa"/>
            <w:gridSpan w:val="5"/>
          </w:tcPr>
          <w:p>
            <w:pPr>
              <w:pStyle w:val="TableParagraph"/>
              <w:spacing w:line="191" w:lineRule="exact" w:before="203"/>
              <w:ind w:left="36"/>
              <w:rPr>
                <w:sz w:val="18"/>
              </w:rPr>
            </w:pPr>
            <w:r>
              <w:rPr>
                <w:sz w:val="18"/>
              </w:rPr>
              <w:t>Augmented</w:t>
            </w:r>
            <w:r>
              <w:rPr>
                <w:spacing w:val="-3"/>
                <w:sz w:val="18"/>
              </w:rPr>
              <w:t> </w:t>
            </w:r>
            <w:r>
              <w:rPr>
                <w:sz w:val="18"/>
              </w:rPr>
              <w:t>Dickey-Fuller</w:t>
            </w:r>
            <w:r>
              <w:rPr>
                <w:spacing w:val="-3"/>
                <w:sz w:val="18"/>
              </w:rPr>
              <w:t> </w:t>
            </w:r>
            <w:r>
              <w:rPr>
                <w:sz w:val="18"/>
              </w:rPr>
              <w:t>Test</w:t>
            </w:r>
            <w:r>
              <w:rPr>
                <w:spacing w:val="-3"/>
                <w:sz w:val="18"/>
              </w:rPr>
              <w:t> </w:t>
            </w:r>
            <w:r>
              <w:rPr>
                <w:spacing w:val="-2"/>
                <w:sz w:val="18"/>
              </w:rPr>
              <w:t>Equation</w:t>
            </w:r>
          </w:p>
        </w:tc>
      </w:tr>
      <w:tr>
        <w:trPr>
          <w:trHeight w:val="206" w:hRule="atLeast"/>
        </w:trPr>
        <w:tc>
          <w:tcPr>
            <w:tcW w:w="6488" w:type="dxa"/>
            <w:gridSpan w:val="5"/>
          </w:tcPr>
          <w:p>
            <w:pPr>
              <w:pStyle w:val="TableParagraph"/>
              <w:spacing w:line="186" w:lineRule="exact"/>
              <w:ind w:left="36"/>
              <w:rPr>
                <w:sz w:val="18"/>
              </w:rPr>
            </w:pPr>
            <w:r>
              <w:rPr>
                <w:sz w:val="18"/>
              </w:rPr>
              <w:t>Dependent</w:t>
            </w:r>
            <w:r>
              <w:rPr>
                <w:spacing w:val="-1"/>
                <w:sz w:val="18"/>
              </w:rPr>
              <w:t> </w:t>
            </w:r>
            <w:r>
              <w:rPr>
                <w:sz w:val="18"/>
              </w:rPr>
              <w:t>Variable:</w:t>
            </w:r>
            <w:r>
              <w:rPr>
                <w:spacing w:val="-2"/>
                <w:sz w:val="18"/>
              </w:rPr>
              <w:t> D(CAB,2)</w:t>
            </w:r>
          </w:p>
        </w:tc>
      </w:tr>
      <w:tr>
        <w:trPr>
          <w:trHeight w:val="206" w:hRule="atLeast"/>
        </w:trPr>
        <w:tc>
          <w:tcPr>
            <w:tcW w:w="1800" w:type="dxa"/>
          </w:tcPr>
          <w:p>
            <w:pPr>
              <w:pStyle w:val="TableParagraph"/>
              <w:spacing w:line="186" w:lineRule="exact"/>
              <w:ind w:left="36"/>
              <w:rPr>
                <w:sz w:val="18"/>
              </w:rPr>
            </w:pPr>
            <w:r>
              <w:rPr>
                <w:sz w:val="18"/>
              </w:rPr>
              <w:t>Method:</w:t>
            </w:r>
            <w:r>
              <w:rPr>
                <w:spacing w:val="-3"/>
                <w:sz w:val="18"/>
              </w:rPr>
              <w:t> </w:t>
            </w:r>
            <w:r>
              <w:rPr>
                <w:sz w:val="18"/>
              </w:rPr>
              <w:t>Least</w:t>
            </w:r>
            <w:r>
              <w:rPr>
                <w:spacing w:val="-2"/>
                <w:sz w:val="18"/>
              </w:rPr>
              <w:t> Squares</w:t>
            </w:r>
          </w:p>
        </w:tc>
        <w:tc>
          <w:tcPr>
            <w:tcW w:w="1412" w:type="dxa"/>
          </w:tcPr>
          <w:p>
            <w:pPr>
              <w:pStyle w:val="TableParagraph"/>
              <w:rPr>
                <w:sz w:val="14"/>
              </w:rPr>
            </w:pPr>
          </w:p>
        </w:tc>
        <w:tc>
          <w:tcPr>
            <w:tcW w:w="1521" w:type="dxa"/>
          </w:tcPr>
          <w:p>
            <w:pPr>
              <w:pStyle w:val="TableParagraph"/>
              <w:rPr>
                <w:sz w:val="14"/>
              </w:rPr>
            </w:pPr>
          </w:p>
        </w:tc>
        <w:tc>
          <w:tcPr>
            <w:tcW w:w="868" w:type="dxa"/>
          </w:tcPr>
          <w:p>
            <w:pPr>
              <w:pStyle w:val="TableParagraph"/>
              <w:rPr>
                <w:sz w:val="14"/>
              </w:rPr>
            </w:pPr>
          </w:p>
        </w:tc>
        <w:tc>
          <w:tcPr>
            <w:tcW w:w="887" w:type="dxa"/>
          </w:tcPr>
          <w:p>
            <w:pPr>
              <w:pStyle w:val="TableParagraph"/>
              <w:rPr>
                <w:sz w:val="14"/>
              </w:rPr>
            </w:pPr>
          </w:p>
        </w:tc>
      </w:tr>
      <w:tr>
        <w:trPr>
          <w:trHeight w:val="206" w:hRule="atLeast"/>
        </w:trPr>
        <w:tc>
          <w:tcPr>
            <w:tcW w:w="6488" w:type="dxa"/>
            <w:gridSpan w:val="5"/>
          </w:tcPr>
          <w:p>
            <w:pPr>
              <w:pStyle w:val="TableParagraph"/>
              <w:spacing w:line="186" w:lineRule="exact"/>
              <w:ind w:left="36"/>
              <w:rPr>
                <w:sz w:val="18"/>
              </w:rPr>
            </w:pPr>
            <w:r>
              <w:rPr>
                <w:sz w:val="18"/>
              </w:rPr>
              <w:t>Date:</w:t>
            </w:r>
            <w:r>
              <w:rPr>
                <w:spacing w:val="-2"/>
                <w:sz w:val="18"/>
              </w:rPr>
              <w:t> </w:t>
            </w:r>
            <w:r>
              <w:rPr>
                <w:sz w:val="18"/>
              </w:rPr>
              <w:t>02/17/14</w:t>
            </w:r>
            <w:r>
              <w:rPr>
                <w:spacing w:val="63"/>
                <w:w w:val="150"/>
                <w:sz w:val="18"/>
              </w:rPr>
              <w:t> </w:t>
            </w:r>
            <w:r>
              <w:rPr>
                <w:sz w:val="18"/>
              </w:rPr>
              <w:t>Time:</w:t>
            </w:r>
            <w:r>
              <w:rPr>
                <w:spacing w:val="-1"/>
                <w:sz w:val="18"/>
              </w:rPr>
              <w:t> </w:t>
            </w:r>
            <w:r>
              <w:rPr>
                <w:spacing w:val="-4"/>
                <w:sz w:val="18"/>
              </w:rPr>
              <w:t>18:12</w:t>
            </w:r>
          </w:p>
        </w:tc>
      </w:tr>
      <w:tr>
        <w:trPr>
          <w:trHeight w:val="207" w:hRule="atLeast"/>
        </w:trPr>
        <w:tc>
          <w:tcPr>
            <w:tcW w:w="6488" w:type="dxa"/>
            <w:gridSpan w:val="5"/>
          </w:tcPr>
          <w:p>
            <w:pPr>
              <w:pStyle w:val="TableParagraph"/>
              <w:spacing w:line="188" w:lineRule="exact"/>
              <w:ind w:left="36"/>
              <w:rPr>
                <w:sz w:val="18"/>
              </w:rPr>
            </w:pPr>
            <w:r>
              <w:rPr>
                <w:sz w:val="18"/>
              </w:rPr>
              <w:t>Sample(adjusted):</w:t>
            </w:r>
            <w:r>
              <w:rPr>
                <w:spacing w:val="-6"/>
                <w:sz w:val="18"/>
              </w:rPr>
              <w:t> </w:t>
            </w:r>
            <w:r>
              <w:rPr>
                <w:sz w:val="18"/>
              </w:rPr>
              <w:t>1990</w:t>
            </w:r>
            <w:r>
              <w:rPr>
                <w:spacing w:val="-2"/>
                <w:sz w:val="18"/>
              </w:rPr>
              <w:t> </w:t>
            </w:r>
            <w:r>
              <w:rPr>
                <w:spacing w:val="-4"/>
                <w:sz w:val="18"/>
              </w:rPr>
              <w:t>2011</w:t>
            </w:r>
          </w:p>
        </w:tc>
      </w:tr>
      <w:tr>
        <w:trPr>
          <w:trHeight w:val="202" w:hRule="atLeast"/>
        </w:trPr>
        <w:tc>
          <w:tcPr>
            <w:tcW w:w="6488" w:type="dxa"/>
            <w:gridSpan w:val="5"/>
            <w:tcBorders>
              <w:bottom w:val="double" w:sz="6" w:space="0" w:color="000000"/>
            </w:tcBorders>
          </w:tcPr>
          <w:p>
            <w:pPr>
              <w:pStyle w:val="TableParagraph"/>
              <w:spacing w:line="183" w:lineRule="exact"/>
              <w:ind w:left="36"/>
              <w:rPr>
                <w:sz w:val="18"/>
              </w:rPr>
            </w:pPr>
            <w:r>
              <w:rPr>
                <w:sz w:val="18"/>
              </w:rPr>
              <w:t>Included</w:t>
            </w:r>
            <w:r>
              <w:rPr>
                <w:spacing w:val="-1"/>
                <w:sz w:val="18"/>
              </w:rPr>
              <w:t> </w:t>
            </w:r>
            <w:r>
              <w:rPr>
                <w:sz w:val="18"/>
              </w:rPr>
              <w:t>observations:</w:t>
            </w:r>
            <w:r>
              <w:rPr>
                <w:spacing w:val="-3"/>
                <w:sz w:val="18"/>
              </w:rPr>
              <w:t> </w:t>
            </w:r>
            <w:r>
              <w:rPr>
                <w:sz w:val="18"/>
              </w:rPr>
              <w:t>22</w:t>
            </w:r>
            <w:r>
              <w:rPr>
                <w:spacing w:val="-1"/>
                <w:sz w:val="18"/>
              </w:rPr>
              <w:t> </w:t>
            </w:r>
            <w:r>
              <w:rPr>
                <w:sz w:val="18"/>
              </w:rPr>
              <w:t>after</w:t>
            </w:r>
            <w:r>
              <w:rPr>
                <w:spacing w:val="-1"/>
                <w:sz w:val="18"/>
              </w:rPr>
              <w:t> </w:t>
            </w:r>
            <w:r>
              <w:rPr>
                <w:sz w:val="18"/>
              </w:rPr>
              <w:t>adjusting</w:t>
            </w:r>
            <w:r>
              <w:rPr>
                <w:spacing w:val="-2"/>
                <w:sz w:val="18"/>
              </w:rPr>
              <w:t> endpoints</w:t>
            </w:r>
          </w:p>
        </w:tc>
      </w:tr>
      <w:tr>
        <w:trPr>
          <w:trHeight w:val="247" w:hRule="atLeast"/>
        </w:trPr>
        <w:tc>
          <w:tcPr>
            <w:tcW w:w="1800" w:type="dxa"/>
            <w:tcBorders>
              <w:top w:val="double" w:sz="6" w:space="0" w:color="000000"/>
              <w:bottom w:val="double" w:sz="6" w:space="0" w:color="000000"/>
            </w:tcBorders>
          </w:tcPr>
          <w:p>
            <w:pPr>
              <w:pStyle w:val="TableParagraph"/>
              <w:spacing w:line="188" w:lineRule="exact" w:before="40"/>
              <w:ind w:left="713"/>
              <w:rPr>
                <w:sz w:val="18"/>
              </w:rPr>
            </w:pPr>
            <w:r>
              <w:rPr>
                <w:spacing w:val="-2"/>
                <w:sz w:val="18"/>
              </w:rPr>
              <w:t>Variable</w:t>
            </w:r>
          </w:p>
        </w:tc>
        <w:tc>
          <w:tcPr>
            <w:tcW w:w="1412" w:type="dxa"/>
            <w:tcBorders>
              <w:top w:val="double" w:sz="6" w:space="0" w:color="000000"/>
              <w:bottom w:val="double" w:sz="6" w:space="0" w:color="000000"/>
            </w:tcBorders>
          </w:tcPr>
          <w:p>
            <w:pPr>
              <w:pStyle w:val="TableParagraph"/>
              <w:spacing w:line="188" w:lineRule="exact" w:before="40"/>
              <w:ind w:right="119"/>
              <w:jc w:val="right"/>
              <w:rPr>
                <w:sz w:val="18"/>
              </w:rPr>
            </w:pPr>
            <w:r>
              <w:rPr>
                <w:spacing w:val="-2"/>
                <w:sz w:val="18"/>
              </w:rPr>
              <w:t>Coefficient</w:t>
            </w:r>
          </w:p>
        </w:tc>
        <w:tc>
          <w:tcPr>
            <w:tcW w:w="1521" w:type="dxa"/>
            <w:tcBorders>
              <w:top w:val="double" w:sz="6" w:space="0" w:color="000000"/>
              <w:bottom w:val="double" w:sz="6" w:space="0" w:color="000000"/>
            </w:tcBorders>
          </w:tcPr>
          <w:p>
            <w:pPr>
              <w:pStyle w:val="TableParagraph"/>
              <w:spacing w:line="188" w:lineRule="exact" w:before="40"/>
              <w:ind w:left="362"/>
              <w:rPr>
                <w:sz w:val="18"/>
              </w:rPr>
            </w:pPr>
            <w:r>
              <w:rPr>
                <w:sz w:val="18"/>
              </w:rPr>
              <w:t>Std.</w:t>
            </w:r>
            <w:r>
              <w:rPr>
                <w:spacing w:val="-1"/>
                <w:sz w:val="18"/>
              </w:rPr>
              <w:t> </w:t>
            </w:r>
            <w:r>
              <w:rPr>
                <w:spacing w:val="-4"/>
                <w:sz w:val="18"/>
              </w:rPr>
              <w:t>Error</w:t>
            </w:r>
          </w:p>
        </w:tc>
        <w:tc>
          <w:tcPr>
            <w:tcW w:w="868" w:type="dxa"/>
            <w:tcBorders>
              <w:top w:val="double" w:sz="6" w:space="0" w:color="000000"/>
              <w:bottom w:val="double" w:sz="6" w:space="0" w:color="000000"/>
            </w:tcBorders>
          </w:tcPr>
          <w:p>
            <w:pPr>
              <w:pStyle w:val="TableParagraph"/>
              <w:spacing w:line="188" w:lineRule="exact" w:before="40"/>
              <w:ind w:right="118"/>
              <w:jc w:val="right"/>
              <w:rPr>
                <w:sz w:val="18"/>
              </w:rPr>
            </w:pPr>
            <w:r>
              <w:rPr>
                <w:sz w:val="18"/>
              </w:rPr>
              <w:t>t-</w:t>
            </w:r>
            <w:r>
              <w:rPr>
                <w:spacing w:val="-2"/>
                <w:sz w:val="18"/>
              </w:rPr>
              <w:t>Statistic</w:t>
            </w:r>
          </w:p>
        </w:tc>
        <w:tc>
          <w:tcPr>
            <w:tcW w:w="887" w:type="dxa"/>
            <w:tcBorders>
              <w:top w:val="double" w:sz="6" w:space="0" w:color="000000"/>
              <w:bottom w:val="double" w:sz="6" w:space="0" w:color="000000"/>
            </w:tcBorders>
          </w:tcPr>
          <w:p>
            <w:pPr>
              <w:pStyle w:val="TableParagraph"/>
              <w:spacing w:line="188" w:lineRule="exact" w:before="40"/>
              <w:ind w:right="29"/>
              <w:jc w:val="right"/>
              <w:rPr>
                <w:sz w:val="18"/>
              </w:rPr>
            </w:pPr>
            <w:r>
              <w:rPr>
                <w:spacing w:val="-2"/>
                <w:sz w:val="18"/>
              </w:rPr>
              <w:t>Prob.</w:t>
            </w:r>
          </w:p>
        </w:tc>
      </w:tr>
      <w:tr>
        <w:trPr>
          <w:trHeight w:val="250" w:hRule="atLeast"/>
        </w:trPr>
        <w:tc>
          <w:tcPr>
            <w:tcW w:w="1800" w:type="dxa"/>
            <w:tcBorders>
              <w:top w:val="double" w:sz="6" w:space="0" w:color="000000"/>
            </w:tcBorders>
          </w:tcPr>
          <w:p>
            <w:pPr>
              <w:pStyle w:val="TableParagraph"/>
              <w:spacing w:line="191" w:lineRule="exact" w:before="40"/>
              <w:ind w:left="576"/>
              <w:rPr>
                <w:sz w:val="18"/>
              </w:rPr>
            </w:pPr>
            <w:r>
              <w:rPr>
                <w:spacing w:val="-2"/>
                <w:sz w:val="18"/>
              </w:rPr>
              <w:t>D(CAB(-</w:t>
            </w:r>
            <w:r>
              <w:rPr>
                <w:spacing w:val="-5"/>
                <w:sz w:val="18"/>
              </w:rPr>
              <w:t>1))</w:t>
            </w:r>
          </w:p>
        </w:tc>
        <w:tc>
          <w:tcPr>
            <w:tcW w:w="1412" w:type="dxa"/>
            <w:tcBorders>
              <w:top w:val="double" w:sz="6" w:space="0" w:color="000000"/>
            </w:tcBorders>
          </w:tcPr>
          <w:p>
            <w:pPr>
              <w:pStyle w:val="TableParagraph"/>
              <w:spacing w:line="191" w:lineRule="exact" w:before="40"/>
              <w:ind w:right="117"/>
              <w:jc w:val="right"/>
              <w:rPr>
                <w:sz w:val="18"/>
              </w:rPr>
            </w:pPr>
            <w:r>
              <w:rPr>
                <w:sz w:val="18"/>
              </w:rPr>
              <w:t>-</w:t>
            </w:r>
            <w:r>
              <w:rPr>
                <w:spacing w:val="-2"/>
                <w:sz w:val="18"/>
              </w:rPr>
              <w:t>1.304017</w:t>
            </w:r>
          </w:p>
        </w:tc>
        <w:tc>
          <w:tcPr>
            <w:tcW w:w="1521" w:type="dxa"/>
            <w:tcBorders>
              <w:top w:val="double" w:sz="6" w:space="0" w:color="000000"/>
            </w:tcBorders>
          </w:tcPr>
          <w:p>
            <w:pPr>
              <w:pStyle w:val="TableParagraph"/>
              <w:spacing w:line="191" w:lineRule="exact" w:before="40"/>
              <w:ind w:left="398"/>
              <w:rPr>
                <w:sz w:val="18"/>
              </w:rPr>
            </w:pPr>
            <w:r>
              <w:rPr>
                <w:spacing w:val="-2"/>
                <w:sz w:val="18"/>
              </w:rPr>
              <w:t>0.323908</w:t>
            </w:r>
          </w:p>
        </w:tc>
        <w:tc>
          <w:tcPr>
            <w:tcW w:w="868" w:type="dxa"/>
            <w:tcBorders>
              <w:top w:val="double" w:sz="6" w:space="0" w:color="000000"/>
            </w:tcBorders>
          </w:tcPr>
          <w:p>
            <w:pPr>
              <w:pStyle w:val="TableParagraph"/>
              <w:spacing w:line="191" w:lineRule="exact" w:before="40"/>
              <w:ind w:right="120"/>
              <w:jc w:val="right"/>
              <w:rPr>
                <w:sz w:val="18"/>
              </w:rPr>
            </w:pPr>
            <w:r>
              <w:rPr>
                <w:sz w:val="18"/>
              </w:rPr>
              <w:t>-</w:t>
            </w:r>
            <w:r>
              <w:rPr>
                <w:spacing w:val="-2"/>
                <w:sz w:val="18"/>
              </w:rPr>
              <w:t>4.025890</w:t>
            </w:r>
          </w:p>
        </w:tc>
        <w:tc>
          <w:tcPr>
            <w:tcW w:w="887" w:type="dxa"/>
            <w:tcBorders>
              <w:top w:val="double" w:sz="6" w:space="0" w:color="000000"/>
            </w:tcBorders>
          </w:tcPr>
          <w:p>
            <w:pPr>
              <w:pStyle w:val="TableParagraph"/>
              <w:spacing w:line="191" w:lineRule="exact" w:before="40"/>
              <w:ind w:right="29"/>
              <w:jc w:val="right"/>
              <w:rPr>
                <w:sz w:val="18"/>
              </w:rPr>
            </w:pPr>
            <w:r>
              <w:rPr>
                <w:spacing w:val="-2"/>
                <w:sz w:val="18"/>
              </w:rPr>
              <w:t>0.0007</w:t>
            </w:r>
          </w:p>
        </w:tc>
      </w:tr>
      <w:tr>
        <w:trPr>
          <w:trHeight w:val="207" w:hRule="atLeast"/>
        </w:trPr>
        <w:tc>
          <w:tcPr>
            <w:tcW w:w="1800" w:type="dxa"/>
          </w:tcPr>
          <w:p>
            <w:pPr>
              <w:pStyle w:val="TableParagraph"/>
              <w:spacing w:line="188" w:lineRule="exact"/>
              <w:ind w:left="509"/>
              <w:rPr>
                <w:sz w:val="18"/>
              </w:rPr>
            </w:pPr>
            <w:r>
              <w:rPr>
                <w:spacing w:val="-2"/>
                <w:sz w:val="18"/>
              </w:rPr>
              <w:t>D(CAB(-1),2)</w:t>
            </w:r>
          </w:p>
        </w:tc>
        <w:tc>
          <w:tcPr>
            <w:tcW w:w="1412" w:type="dxa"/>
          </w:tcPr>
          <w:p>
            <w:pPr>
              <w:pStyle w:val="TableParagraph"/>
              <w:spacing w:line="188" w:lineRule="exact"/>
              <w:ind w:right="117"/>
              <w:jc w:val="right"/>
              <w:rPr>
                <w:sz w:val="18"/>
              </w:rPr>
            </w:pPr>
            <w:r>
              <w:rPr>
                <w:spacing w:val="-2"/>
                <w:sz w:val="18"/>
              </w:rPr>
              <w:t>0.044646</w:t>
            </w:r>
          </w:p>
        </w:tc>
        <w:tc>
          <w:tcPr>
            <w:tcW w:w="1521" w:type="dxa"/>
          </w:tcPr>
          <w:p>
            <w:pPr>
              <w:pStyle w:val="TableParagraph"/>
              <w:spacing w:line="188" w:lineRule="exact"/>
              <w:ind w:left="398"/>
              <w:rPr>
                <w:sz w:val="18"/>
              </w:rPr>
            </w:pPr>
            <w:r>
              <w:rPr>
                <w:spacing w:val="-2"/>
                <w:sz w:val="18"/>
              </w:rPr>
              <w:t>0.208136</w:t>
            </w:r>
          </w:p>
        </w:tc>
        <w:tc>
          <w:tcPr>
            <w:tcW w:w="868" w:type="dxa"/>
          </w:tcPr>
          <w:p>
            <w:pPr>
              <w:pStyle w:val="TableParagraph"/>
              <w:spacing w:line="188" w:lineRule="exact"/>
              <w:ind w:right="120"/>
              <w:jc w:val="right"/>
              <w:rPr>
                <w:sz w:val="18"/>
              </w:rPr>
            </w:pPr>
            <w:r>
              <w:rPr>
                <w:spacing w:val="-2"/>
                <w:sz w:val="18"/>
              </w:rPr>
              <w:t>0.214502</w:t>
            </w:r>
          </w:p>
        </w:tc>
        <w:tc>
          <w:tcPr>
            <w:tcW w:w="887" w:type="dxa"/>
          </w:tcPr>
          <w:p>
            <w:pPr>
              <w:pStyle w:val="TableParagraph"/>
              <w:spacing w:line="188" w:lineRule="exact"/>
              <w:ind w:right="29"/>
              <w:jc w:val="right"/>
              <w:rPr>
                <w:sz w:val="18"/>
              </w:rPr>
            </w:pPr>
            <w:r>
              <w:rPr>
                <w:spacing w:val="-2"/>
                <w:sz w:val="18"/>
              </w:rPr>
              <w:t>0.8324</w:t>
            </w:r>
          </w:p>
        </w:tc>
      </w:tr>
      <w:tr>
        <w:trPr>
          <w:trHeight w:val="202" w:hRule="atLeast"/>
        </w:trPr>
        <w:tc>
          <w:tcPr>
            <w:tcW w:w="1800" w:type="dxa"/>
            <w:tcBorders>
              <w:bottom w:val="double" w:sz="6" w:space="0" w:color="000000"/>
            </w:tcBorders>
          </w:tcPr>
          <w:p>
            <w:pPr>
              <w:pStyle w:val="TableParagraph"/>
              <w:spacing w:line="183" w:lineRule="exact"/>
              <w:ind w:left="245"/>
              <w:jc w:val="center"/>
              <w:rPr>
                <w:sz w:val="18"/>
              </w:rPr>
            </w:pPr>
            <w:r>
              <w:rPr>
                <w:spacing w:val="-10"/>
                <w:sz w:val="18"/>
              </w:rPr>
              <w:t>C</w:t>
            </w:r>
          </w:p>
        </w:tc>
        <w:tc>
          <w:tcPr>
            <w:tcW w:w="1412" w:type="dxa"/>
            <w:tcBorders>
              <w:bottom w:val="double" w:sz="6" w:space="0" w:color="000000"/>
            </w:tcBorders>
          </w:tcPr>
          <w:p>
            <w:pPr>
              <w:pStyle w:val="TableParagraph"/>
              <w:spacing w:line="183" w:lineRule="exact"/>
              <w:ind w:right="117"/>
              <w:jc w:val="right"/>
              <w:rPr>
                <w:sz w:val="18"/>
              </w:rPr>
            </w:pPr>
            <w:r>
              <w:rPr>
                <w:spacing w:val="-2"/>
                <w:sz w:val="18"/>
              </w:rPr>
              <w:t>0.327452</w:t>
            </w:r>
          </w:p>
        </w:tc>
        <w:tc>
          <w:tcPr>
            <w:tcW w:w="1521" w:type="dxa"/>
            <w:tcBorders>
              <w:bottom w:val="double" w:sz="6" w:space="0" w:color="000000"/>
            </w:tcBorders>
          </w:tcPr>
          <w:p>
            <w:pPr>
              <w:pStyle w:val="TableParagraph"/>
              <w:spacing w:line="183" w:lineRule="exact"/>
              <w:ind w:left="398"/>
              <w:rPr>
                <w:sz w:val="18"/>
              </w:rPr>
            </w:pPr>
            <w:r>
              <w:rPr>
                <w:spacing w:val="-2"/>
                <w:sz w:val="18"/>
              </w:rPr>
              <w:t>0.270204</w:t>
            </w:r>
          </w:p>
        </w:tc>
        <w:tc>
          <w:tcPr>
            <w:tcW w:w="868" w:type="dxa"/>
            <w:tcBorders>
              <w:bottom w:val="double" w:sz="6" w:space="0" w:color="000000"/>
            </w:tcBorders>
          </w:tcPr>
          <w:p>
            <w:pPr>
              <w:pStyle w:val="TableParagraph"/>
              <w:spacing w:line="183" w:lineRule="exact"/>
              <w:ind w:right="120"/>
              <w:jc w:val="right"/>
              <w:rPr>
                <w:sz w:val="18"/>
              </w:rPr>
            </w:pPr>
            <w:r>
              <w:rPr>
                <w:spacing w:val="-2"/>
                <w:sz w:val="18"/>
              </w:rPr>
              <w:t>1.211873</w:t>
            </w:r>
          </w:p>
        </w:tc>
        <w:tc>
          <w:tcPr>
            <w:tcW w:w="887" w:type="dxa"/>
            <w:tcBorders>
              <w:bottom w:val="double" w:sz="6" w:space="0" w:color="000000"/>
            </w:tcBorders>
          </w:tcPr>
          <w:p>
            <w:pPr>
              <w:pStyle w:val="TableParagraph"/>
              <w:spacing w:line="183" w:lineRule="exact"/>
              <w:ind w:right="29"/>
              <w:jc w:val="right"/>
              <w:rPr>
                <w:sz w:val="18"/>
              </w:rPr>
            </w:pPr>
            <w:r>
              <w:rPr>
                <w:spacing w:val="-2"/>
                <w:sz w:val="18"/>
              </w:rPr>
              <w:t>0.2404</w:t>
            </w:r>
          </w:p>
        </w:tc>
      </w:tr>
      <w:tr>
        <w:trPr>
          <w:trHeight w:val="250" w:hRule="atLeast"/>
        </w:trPr>
        <w:tc>
          <w:tcPr>
            <w:tcW w:w="1800" w:type="dxa"/>
            <w:tcBorders>
              <w:top w:val="double" w:sz="6" w:space="0" w:color="000000"/>
            </w:tcBorders>
          </w:tcPr>
          <w:p>
            <w:pPr>
              <w:pStyle w:val="TableParagraph"/>
              <w:spacing w:line="191" w:lineRule="exact" w:before="40"/>
              <w:ind w:left="36"/>
              <w:rPr>
                <w:sz w:val="18"/>
              </w:rPr>
            </w:pPr>
            <w:r>
              <w:rPr>
                <w:spacing w:val="-2"/>
                <w:sz w:val="18"/>
              </w:rPr>
              <w:t>R-squared</w:t>
            </w:r>
          </w:p>
        </w:tc>
        <w:tc>
          <w:tcPr>
            <w:tcW w:w="1412" w:type="dxa"/>
            <w:tcBorders>
              <w:top w:val="double" w:sz="6" w:space="0" w:color="000000"/>
            </w:tcBorders>
          </w:tcPr>
          <w:p>
            <w:pPr>
              <w:pStyle w:val="TableParagraph"/>
              <w:spacing w:line="191" w:lineRule="exact" w:before="40"/>
              <w:ind w:right="117"/>
              <w:jc w:val="right"/>
              <w:rPr>
                <w:sz w:val="18"/>
              </w:rPr>
            </w:pPr>
            <w:r>
              <w:rPr>
                <w:spacing w:val="-2"/>
                <w:sz w:val="18"/>
              </w:rPr>
              <w:t>0.661053</w:t>
            </w:r>
          </w:p>
        </w:tc>
        <w:tc>
          <w:tcPr>
            <w:tcW w:w="2389" w:type="dxa"/>
            <w:gridSpan w:val="2"/>
            <w:tcBorders>
              <w:top w:val="double" w:sz="6" w:space="0" w:color="000000"/>
            </w:tcBorders>
          </w:tcPr>
          <w:p>
            <w:pPr>
              <w:pStyle w:val="TableParagraph"/>
              <w:spacing w:line="191" w:lineRule="exact" w:before="40"/>
              <w:ind w:left="122"/>
              <w:rPr>
                <w:sz w:val="18"/>
              </w:rPr>
            </w:pPr>
            <w:r>
              <w:rPr>
                <w:sz w:val="18"/>
              </w:rPr>
              <w:t>Mean</w:t>
            </w:r>
            <w:r>
              <w:rPr>
                <w:spacing w:val="-5"/>
                <w:sz w:val="18"/>
              </w:rPr>
              <w:t> </w:t>
            </w:r>
            <w:r>
              <w:rPr>
                <w:sz w:val="18"/>
              </w:rPr>
              <w:t>dependent</w:t>
            </w:r>
            <w:r>
              <w:rPr>
                <w:spacing w:val="-1"/>
                <w:sz w:val="18"/>
              </w:rPr>
              <w:t> </w:t>
            </w:r>
            <w:r>
              <w:rPr>
                <w:spacing w:val="-5"/>
                <w:sz w:val="18"/>
              </w:rPr>
              <w:t>var</w:t>
            </w:r>
          </w:p>
        </w:tc>
        <w:tc>
          <w:tcPr>
            <w:tcW w:w="887" w:type="dxa"/>
            <w:tcBorders>
              <w:top w:val="double" w:sz="6" w:space="0" w:color="000000"/>
            </w:tcBorders>
          </w:tcPr>
          <w:p>
            <w:pPr>
              <w:pStyle w:val="TableParagraph"/>
              <w:spacing w:line="191" w:lineRule="exact" w:before="40"/>
              <w:ind w:right="28"/>
              <w:jc w:val="right"/>
              <w:rPr>
                <w:sz w:val="18"/>
              </w:rPr>
            </w:pPr>
            <w:r>
              <w:rPr>
                <w:sz w:val="18"/>
              </w:rPr>
              <w:t>-</w:t>
            </w:r>
            <w:r>
              <w:rPr>
                <w:spacing w:val="-2"/>
                <w:sz w:val="18"/>
              </w:rPr>
              <w:t>0.127410</w:t>
            </w:r>
          </w:p>
        </w:tc>
      </w:tr>
      <w:tr>
        <w:trPr>
          <w:trHeight w:val="207" w:hRule="atLeast"/>
        </w:trPr>
        <w:tc>
          <w:tcPr>
            <w:tcW w:w="1800" w:type="dxa"/>
          </w:tcPr>
          <w:p>
            <w:pPr>
              <w:pStyle w:val="TableParagraph"/>
              <w:spacing w:line="188" w:lineRule="exact"/>
              <w:ind w:left="36"/>
              <w:rPr>
                <w:sz w:val="18"/>
              </w:rPr>
            </w:pPr>
            <w:r>
              <w:rPr>
                <w:sz w:val="18"/>
              </w:rPr>
              <w:t>Adjusted</w:t>
            </w:r>
            <w:r>
              <w:rPr>
                <w:spacing w:val="-1"/>
                <w:sz w:val="18"/>
              </w:rPr>
              <w:t> </w:t>
            </w:r>
            <w:r>
              <w:rPr>
                <w:sz w:val="18"/>
              </w:rPr>
              <w:t>R-</w:t>
            </w:r>
            <w:r>
              <w:rPr>
                <w:spacing w:val="-2"/>
                <w:sz w:val="18"/>
              </w:rPr>
              <w:t>squared</w:t>
            </w:r>
          </w:p>
        </w:tc>
        <w:tc>
          <w:tcPr>
            <w:tcW w:w="1412" w:type="dxa"/>
          </w:tcPr>
          <w:p>
            <w:pPr>
              <w:pStyle w:val="TableParagraph"/>
              <w:spacing w:line="188" w:lineRule="exact"/>
              <w:ind w:right="117"/>
              <w:jc w:val="right"/>
              <w:rPr>
                <w:sz w:val="18"/>
              </w:rPr>
            </w:pPr>
            <w:r>
              <w:rPr>
                <w:spacing w:val="-2"/>
                <w:sz w:val="18"/>
              </w:rPr>
              <w:t>0.625375</w:t>
            </w:r>
          </w:p>
        </w:tc>
        <w:tc>
          <w:tcPr>
            <w:tcW w:w="1521" w:type="dxa"/>
          </w:tcPr>
          <w:p>
            <w:pPr>
              <w:pStyle w:val="TableParagraph"/>
              <w:spacing w:line="188" w:lineRule="exact"/>
              <w:ind w:left="122"/>
              <w:rPr>
                <w:sz w:val="18"/>
              </w:rPr>
            </w:pPr>
            <w:r>
              <w:rPr>
                <w:sz w:val="18"/>
              </w:rPr>
              <w:t>S.D.</w:t>
            </w:r>
            <w:r>
              <w:rPr>
                <w:spacing w:val="-5"/>
                <w:sz w:val="18"/>
              </w:rPr>
              <w:t> </w:t>
            </w:r>
            <w:r>
              <w:rPr>
                <w:sz w:val="18"/>
              </w:rPr>
              <w:t>dependent</w:t>
            </w:r>
            <w:r>
              <w:rPr>
                <w:spacing w:val="-3"/>
                <w:sz w:val="18"/>
              </w:rPr>
              <w:t> </w:t>
            </w:r>
            <w:r>
              <w:rPr>
                <w:spacing w:val="-5"/>
                <w:sz w:val="18"/>
              </w:rPr>
              <w:t>var</w:t>
            </w:r>
          </w:p>
        </w:tc>
        <w:tc>
          <w:tcPr>
            <w:tcW w:w="868" w:type="dxa"/>
          </w:tcPr>
          <w:p>
            <w:pPr>
              <w:pStyle w:val="TableParagraph"/>
              <w:rPr>
                <w:sz w:val="14"/>
              </w:rPr>
            </w:pPr>
          </w:p>
        </w:tc>
        <w:tc>
          <w:tcPr>
            <w:tcW w:w="887" w:type="dxa"/>
          </w:tcPr>
          <w:p>
            <w:pPr>
              <w:pStyle w:val="TableParagraph"/>
              <w:spacing w:line="188" w:lineRule="exact"/>
              <w:ind w:right="28"/>
              <w:jc w:val="right"/>
              <w:rPr>
                <w:sz w:val="18"/>
              </w:rPr>
            </w:pPr>
            <w:r>
              <w:rPr>
                <w:spacing w:val="-2"/>
                <w:sz w:val="18"/>
              </w:rPr>
              <w:t>1.849533</w:t>
            </w:r>
          </w:p>
        </w:tc>
      </w:tr>
      <w:tr>
        <w:trPr>
          <w:trHeight w:val="207" w:hRule="atLeast"/>
        </w:trPr>
        <w:tc>
          <w:tcPr>
            <w:tcW w:w="1800" w:type="dxa"/>
          </w:tcPr>
          <w:p>
            <w:pPr>
              <w:pStyle w:val="TableParagraph"/>
              <w:spacing w:line="188" w:lineRule="exact"/>
              <w:ind w:left="36"/>
              <w:rPr>
                <w:sz w:val="18"/>
              </w:rPr>
            </w:pPr>
            <w:r>
              <w:rPr>
                <w:sz w:val="18"/>
              </w:rPr>
              <w:t>S.E.</w:t>
            </w:r>
            <w:r>
              <w:rPr>
                <w:spacing w:val="-3"/>
                <w:sz w:val="18"/>
              </w:rPr>
              <w:t> </w:t>
            </w:r>
            <w:r>
              <w:rPr>
                <w:sz w:val="18"/>
              </w:rPr>
              <w:t>of</w:t>
            </w:r>
            <w:r>
              <w:rPr>
                <w:spacing w:val="-1"/>
                <w:sz w:val="18"/>
              </w:rPr>
              <w:t> </w:t>
            </w:r>
            <w:r>
              <w:rPr>
                <w:spacing w:val="-2"/>
                <w:sz w:val="18"/>
              </w:rPr>
              <w:t>regression</w:t>
            </w:r>
          </w:p>
        </w:tc>
        <w:tc>
          <w:tcPr>
            <w:tcW w:w="1412" w:type="dxa"/>
          </w:tcPr>
          <w:p>
            <w:pPr>
              <w:pStyle w:val="TableParagraph"/>
              <w:spacing w:line="188" w:lineRule="exact"/>
              <w:ind w:right="117"/>
              <w:jc w:val="right"/>
              <w:rPr>
                <w:sz w:val="18"/>
              </w:rPr>
            </w:pPr>
            <w:r>
              <w:rPr>
                <w:spacing w:val="-2"/>
                <w:sz w:val="18"/>
              </w:rPr>
              <w:t>1.132037</w:t>
            </w:r>
          </w:p>
        </w:tc>
        <w:tc>
          <w:tcPr>
            <w:tcW w:w="2389" w:type="dxa"/>
            <w:gridSpan w:val="2"/>
          </w:tcPr>
          <w:p>
            <w:pPr>
              <w:pStyle w:val="TableParagraph"/>
              <w:spacing w:line="188" w:lineRule="exact"/>
              <w:ind w:left="122"/>
              <w:rPr>
                <w:sz w:val="18"/>
              </w:rPr>
            </w:pPr>
            <w:r>
              <w:rPr>
                <w:sz w:val="18"/>
              </w:rPr>
              <w:t>Akaike</w:t>
            </w:r>
            <w:r>
              <w:rPr>
                <w:spacing w:val="-5"/>
                <w:sz w:val="18"/>
              </w:rPr>
              <w:t> </w:t>
            </w:r>
            <w:r>
              <w:rPr>
                <w:sz w:val="18"/>
              </w:rPr>
              <w:t>info</w:t>
            </w:r>
            <w:r>
              <w:rPr>
                <w:spacing w:val="-2"/>
                <w:sz w:val="18"/>
              </w:rPr>
              <w:t> criterion</w:t>
            </w:r>
          </w:p>
        </w:tc>
        <w:tc>
          <w:tcPr>
            <w:tcW w:w="887" w:type="dxa"/>
          </w:tcPr>
          <w:p>
            <w:pPr>
              <w:pStyle w:val="TableParagraph"/>
              <w:spacing w:line="188" w:lineRule="exact"/>
              <w:ind w:right="28"/>
              <w:jc w:val="right"/>
              <w:rPr>
                <w:sz w:val="18"/>
              </w:rPr>
            </w:pPr>
            <w:r>
              <w:rPr>
                <w:spacing w:val="-2"/>
                <w:sz w:val="18"/>
              </w:rPr>
              <w:t>3.212038</w:t>
            </w:r>
          </w:p>
        </w:tc>
      </w:tr>
      <w:tr>
        <w:trPr>
          <w:trHeight w:val="206" w:hRule="atLeast"/>
        </w:trPr>
        <w:tc>
          <w:tcPr>
            <w:tcW w:w="1800" w:type="dxa"/>
          </w:tcPr>
          <w:p>
            <w:pPr>
              <w:pStyle w:val="TableParagraph"/>
              <w:spacing w:line="186" w:lineRule="exact"/>
              <w:ind w:left="36"/>
              <w:rPr>
                <w:sz w:val="18"/>
              </w:rPr>
            </w:pPr>
            <w:r>
              <w:rPr>
                <w:sz w:val="18"/>
              </w:rPr>
              <w:t>Sum</w:t>
            </w:r>
            <w:r>
              <w:rPr>
                <w:spacing w:val="-3"/>
                <w:sz w:val="18"/>
              </w:rPr>
              <w:t> </w:t>
            </w:r>
            <w:r>
              <w:rPr>
                <w:sz w:val="18"/>
              </w:rPr>
              <w:t>squared</w:t>
            </w:r>
            <w:r>
              <w:rPr>
                <w:spacing w:val="1"/>
                <w:sz w:val="18"/>
              </w:rPr>
              <w:t> </w:t>
            </w:r>
            <w:r>
              <w:rPr>
                <w:spacing w:val="-2"/>
                <w:sz w:val="18"/>
              </w:rPr>
              <w:t>resid</w:t>
            </w:r>
          </w:p>
        </w:tc>
        <w:tc>
          <w:tcPr>
            <w:tcW w:w="1412" w:type="dxa"/>
          </w:tcPr>
          <w:p>
            <w:pPr>
              <w:pStyle w:val="TableParagraph"/>
              <w:spacing w:line="186" w:lineRule="exact"/>
              <w:ind w:right="117"/>
              <w:jc w:val="right"/>
              <w:rPr>
                <w:sz w:val="18"/>
              </w:rPr>
            </w:pPr>
            <w:r>
              <w:rPr>
                <w:spacing w:val="-2"/>
                <w:sz w:val="18"/>
              </w:rPr>
              <w:t>24.34865</w:t>
            </w:r>
          </w:p>
        </w:tc>
        <w:tc>
          <w:tcPr>
            <w:tcW w:w="1521" w:type="dxa"/>
          </w:tcPr>
          <w:p>
            <w:pPr>
              <w:pStyle w:val="TableParagraph"/>
              <w:spacing w:line="186" w:lineRule="exact"/>
              <w:ind w:left="122"/>
              <w:rPr>
                <w:sz w:val="18"/>
              </w:rPr>
            </w:pPr>
            <w:r>
              <w:rPr>
                <w:sz w:val="18"/>
              </w:rPr>
              <w:t>Schwarz</w:t>
            </w:r>
            <w:r>
              <w:rPr>
                <w:spacing w:val="-7"/>
                <w:sz w:val="18"/>
              </w:rPr>
              <w:t> </w:t>
            </w:r>
            <w:r>
              <w:rPr>
                <w:spacing w:val="-2"/>
                <w:sz w:val="18"/>
              </w:rPr>
              <w:t>criterion</w:t>
            </w:r>
          </w:p>
        </w:tc>
        <w:tc>
          <w:tcPr>
            <w:tcW w:w="868" w:type="dxa"/>
          </w:tcPr>
          <w:p>
            <w:pPr>
              <w:pStyle w:val="TableParagraph"/>
              <w:rPr>
                <w:sz w:val="14"/>
              </w:rPr>
            </w:pPr>
          </w:p>
        </w:tc>
        <w:tc>
          <w:tcPr>
            <w:tcW w:w="887" w:type="dxa"/>
          </w:tcPr>
          <w:p>
            <w:pPr>
              <w:pStyle w:val="TableParagraph"/>
              <w:spacing w:line="186" w:lineRule="exact"/>
              <w:ind w:right="28"/>
              <w:jc w:val="right"/>
              <w:rPr>
                <w:sz w:val="18"/>
              </w:rPr>
            </w:pPr>
            <w:r>
              <w:rPr>
                <w:spacing w:val="-2"/>
                <w:sz w:val="18"/>
              </w:rPr>
              <w:t>3.360817</w:t>
            </w:r>
          </w:p>
        </w:tc>
      </w:tr>
      <w:tr>
        <w:trPr>
          <w:trHeight w:val="206" w:hRule="atLeast"/>
        </w:trPr>
        <w:tc>
          <w:tcPr>
            <w:tcW w:w="1800" w:type="dxa"/>
          </w:tcPr>
          <w:p>
            <w:pPr>
              <w:pStyle w:val="TableParagraph"/>
              <w:spacing w:line="186" w:lineRule="exact"/>
              <w:ind w:left="36"/>
              <w:rPr>
                <w:sz w:val="18"/>
              </w:rPr>
            </w:pPr>
            <w:r>
              <w:rPr>
                <w:sz w:val="18"/>
              </w:rPr>
              <w:t>Log</w:t>
            </w:r>
            <w:r>
              <w:rPr>
                <w:spacing w:val="-2"/>
                <w:sz w:val="18"/>
              </w:rPr>
              <w:t> likelihood</w:t>
            </w:r>
          </w:p>
        </w:tc>
        <w:tc>
          <w:tcPr>
            <w:tcW w:w="1412" w:type="dxa"/>
          </w:tcPr>
          <w:p>
            <w:pPr>
              <w:pStyle w:val="TableParagraph"/>
              <w:spacing w:line="186" w:lineRule="exact"/>
              <w:ind w:right="117"/>
              <w:jc w:val="right"/>
              <w:rPr>
                <w:sz w:val="18"/>
              </w:rPr>
            </w:pPr>
            <w:r>
              <w:rPr>
                <w:sz w:val="18"/>
              </w:rPr>
              <w:t>-</w:t>
            </w:r>
            <w:r>
              <w:rPr>
                <w:spacing w:val="-2"/>
                <w:sz w:val="18"/>
              </w:rPr>
              <w:t>32.33242</w:t>
            </w:r>
          </w:p>
        </w:tc>
        <w:tc>
          <w:tcPr>
            <w:tcW w:w="1521" w:type="dxa"/>
          </w:tcPr>
          <w:p>
            <w:pPr>
              <w:pStyle w:val="TableParagraph"/>
              <w:spacing w:line="186" w:lineRule="exact"/>
              <w:ind w:left="122"/>
              <w:rPr>
                <w:sz w:val="18"/>
              </w:rPr>
            </w:pPr>
            <w:r>
              <w:rPr>
                <w:sz w:val="18"/>
              </w:rPr>
              <w:t>F-</w:t>
            </w:r>
            <w:r>
              <w:rPr>
                <w:spacing w:val="-2"/>
                <w:sz w:val="18"/>
              </w:rPr>
              <w:t>statistic</w:t>
            </w:r>
          </w:p>
        </w:tc>
        <w:tc>
          <w:tcPr>
            <w:tcW w:w="868" w:type="dxa"/>
          </w:tcPr>
          <w:p>
            <w:pPr>
              <w:pStyle w:val="TableParagraph"/>
              <w:rPr>
                <w:sz w:val="14"/>
              </w:rPr>
            </w:pPr>
          </w:p>
        </w:tc>
        <w:tc>
          <w:tcPr>
            <w:tcW w:w="887" w:type="dxa"/>
          </w:tcPr>
          <w:p>
            <w:pPr>
              <w:pStyle w:val="TableParagraph"/>
              <w:spacing w:line="186" w:lineRule="exact"/>
              <w:ind w:right="29"/>
              <w:jc w:val="right"/>
              <w:rPr>
                <w:sz w:val="18"/>
              </w:rPr>
            </w:pPr>
            <w:r>
              <w:rPr>
                <w:spacing w:val="-2"/>
                <w:sz w:val="18"/>
              </w:rPr>
              <w:t>18.52799</w:t>
            </w:r>
          </w:p>
        </w:tc>
      </w:tr>
      <w:tr>
        <w:trPr>
          <w:trHeight w:val="245" w:hRule="atLeast"/>
        </w:trPr>
        <w:tc>
          <w:tcPr>
            <w:tcW w:w="1800" w:type="dxa"/>
            <w:tcBorders>
              <w:bottom w:val="double" w:sz="6" w:space="0" w:color="000000"/>
            </w:tcBorders>
          </w:tcPr>
          <w:p>
            <w:pPr>
              <w:pStyle w:val="TableParagraph"/>
              <w:spacing w:line="203" w:lineRule="exact"/>
              <w:ind w:left="36"/>
              <w:rPr>
                <w:sz w:val="18"/>
              </w:rPr>
            </w:pPr>
            <w:r>
              <w:rPr>
                <w:sz w:val="18"/>
              </w:rPr>
              <w:t>Durbin-Watson</w:t>
            </w:r>
            <w:r>
              <w:rPr>
                <w:spacing w:val="-2"/>
                <w:sz w:val="18"/>
              </w:rPr>
              <w:t> </w:t>
            </w:r>
            <w:r>
              <w:rPr>
                <w:spacing w:val="-4"/>
                <w:sz w:val="18"/>
              </w:rPr>
              <w:t>stat</w:t>
            </w:r>
          </w:p>
        </w:tc>
        <w:tc>
          <w:tcPr>
            <w:tcW w:w="1412" w:type="dxa"/>
          </w:tcPr>
          <w:p>
            <w:pPr>
              <w:pStyle w:val="TableParagraph"/>
              <w:spacing w:line="203" w:lineRule="exact"/>
              <w:ind w:right="117"/>
              <w:jc w:val="right"/>
              <w:rPr>
                <w:sz w:val="18"/>
              </w:rPr>
            </w:pPr>
            <w:r>
              <w:rPr>
                <w:spacing w:val="-2"/>
                <w:sz w:val="18"/>
              </w:rPr>
              <w:t>2.199372</w:t>
            </w:r>
          </w:p>
        </w:tc>
        <w:tc>
          <w:tcPr>
            <w:tcW w:w="1521" w:type="dxa"/>
            <w:tcBorders>
              <w:bottom w:val="double" w:sz="6" w:space="0" w:color="000000"/>
            </w:tcBorders>
          </w:tcPr>
          <w:p>
            <w:pPr>
              <w:pStyle w:val="TableParagraph"/>
              <w:spacing w:line="203" w:lineRule="exact"/>
              <w:ind w:left="120"/>
              <w:rPr>
                <w:sz w:val="18"/>
              </w:rPr>
            </w:pPr>
            <w:r>
              <w:rPr>
                <w:spacing w:val="-2"/>
                <w:sz w:val="18"/>
              </w:rPr>
              <w:t>Prob(F-statistic)</w:t>
            </w:r>
          </w:p>
        </w:tc>
        <w:tc>
          <w:tcPr>
            <w:tcW w:w="868" w:type="dxa"/>
            <w:tcBorders>
              <w:bottom w:val="single" w:sz="6" w:space="0" w:color="000000"/>
            </w:tcBorders>
          </w:tcPr>
          <w:p>
            <w:pPr>
              <w:pStyle w:val="TableParagraph"/>
              <w:rPr>
                <w:sz w:val="16"/>
              </w:rPr>
            </w:pPr>
          </w:p>
        </w:tc>
        <w:tc>
          <w:tcPr>
            <w:tcW w:w="887" w:type="dxa"/>
            <w:tcBorders>
              <w:bottom w:val="double" w:sz="6" w:space="0" w:color="000000"/>
            </w:tcBorders>
          </w:tcPr>
          <w:p>
            <w:pPr>
              <w:pStyle w:val="TableParagraph"/>
              <w:spacing w:line="203" w:lineRule="exact"/>
              <w:ind w:right="28"/>
              <w:jc w:val="right"/>
              <w:rPr>
                <w:sz w:val="18"/>
              </w:rPr>
            </w:pPr>
            <w:r>
              <w:rPr>
                <w:spacing w:val="-2"/>
                <w:sz w:val="18"/>
              </w:rPr>
              <w:t>0.000034</w:t>
            </w:r>
          </w:p>
        </w:tc>
      </w:tr>
    </w:tbl>
    <w:p>
      <w:pPr>
        <w:spacing w:after="0" w:line="203" w:lineRule="exact"/>
        <w:jc w:val="right"/>
        <w:rPr>
          <w:sz w:val="18"/>
        </w:rPr>
        <w:sectPr>
          <w:pgSz w:w="11910" w:h="16840"/>
          <w:pgMar w:header="0" w:footer="982" w:top="1760" w:bottom="1240" w:left="280" w:right="0"/>
        </w:sectPr>
      </w:pPr>
    </w:p>
    <w:p>
      <w:pPr>
        <w:spacing w:before="74" w:after="3"/>
        <w:ind w:left="711" w:right="0" w:firstLine="0"/>
        <w:jc w:val="left"/>
        <w:rPr>
          <w:sz w:val="18"/>
        </w:rPr>
      </w:pPr>
      <w:r>
        <w:rPr>
          <w:sz w:val="18"/>
        </w:rPr>
        <w:t>RES</w:t>
      </w:r>
      <w:r>
        <w:rPr>
          <w:spacing w:val="-1"/>
          <w:sz w:val="18"/>
        </w:rPr>
        <w:t> </w:t>
      </w:r>
      <w:r>
        <w:rPr>
          <w:sz w:val="18"/>
        </w:rPr>
        <w:t>@ </w:t>
      </w:r>
      <w:r>
        <w:rPr>
          <w:spacing w:val="-2"/>
          <w:sz w:val="18"/>
        </w:rPr>
        <w:t>LEVEL</w:t>
      </w:r>
    </w:p>
    <w:tbl>
      <w:tblPr>
        <w:tblW w:w="0" w:type="auto"/>
        <w:jc w:val="left"/>
        <w:tblInd w:w="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70"/>
        <w:gridCol w:w="1443"/>
        <w:gridCol w:w="1522"/>
        <w:gridCol w:w="899"/>
        <w:gridCol w:w="858"/>
      </w:tblGrid>
      <w:tr>
        <w:trPr>
          <w:trHeight w:val="202" w:hRule="atLeast"/>
        </w:trPr>
        <w:tc>
          <w:tcPr>
            <w:tcW w:w="1770" w:type="dxa"/>
          </w:tcPr>
          <w:p>
            <w:pPr>
              <w:pStyle w:val="TableParagraph"/>
              <w:spacing w:line="183" w:lineRule="exact"/>
              <w:ind w:left="36"/>
              <w:rPr>
                <w:sz w:val="18"/>
              </w:rPr>
            </w:pPr>
            <w:r>
              <w:rPr>
                <w:sz w:val="18"/>
              </w:rPr>
              <w:t>ADF</w:t>
            </w:r>
            <w:r>
              <w:rPr>
                <w:spacing w:val="-3"/>
                <w:sz w:val="18"/>
              </w:rPr>
              <w:t> </w:t>
            </w:r>
            <w:r>
              <w:rPr>
                <w:sz w:val="18"/>
              </w:rPr>
              <w:t>Test</w:t>
            </w:r>
            <w:r>
              <w:rPr>
                <w:spacing w:val="-1"/>
                <w:sz w:val="18"/>
              </w:rPr>
              <w:t> </w:t>
            </w:r>
            <w:r>
              <w:rPr>
                <w:spacing w:val="-2"/>
                <w:sz w:val="18"/>
              </w:rPr>
              <w:t>Statistic</w:t>
            </w:r>
          </w:p>
        </w:tc>
        <w:tc>
          <w:tcPr>
            <w:tcW w:w="1443" w:type="dxa"/>
          </w:tcPr>
          <w:p>
            <w:pPr>
              <w:pStyle w:val="TableParagraph"/>
              <w:spacing w:line="183" w:lineRule="exact"/>
              <w:ind w:left="296"/>
              <w:rPr>
                <w:sz w:val="18"/>
              </w:rPr>
            </w:pPr>
            <w:r>
              <w:rPr>
                <w:sz w:val="18"/>
              </w:rPr>
              <w:t>-</w:t>
            </w:r>
            <w:r>
              <w:rPr>
                <w:spacing w:val="-2"/>
                <w:sz w:val="18"/>
              </w:rPr>
              <w:t>2.509373</w:t>
            </w:r>
          </w:p>
        </w:tc>
        <w:tc>
          <w:tcPr>
            <w:tcW w:w="2421" w:type="dxa"/>
            <w:gridSpan w:val="2"/>
          </w:tcPr>
          <w:p>
            <w:pPr>
              <w:pStyle w:val="TableParagraph"/>
              <w:spacing w:line="183" w:lineRule="exact"/>
              <w:ind w:left="121"/>
              <w:rPr>
                <w:sz w:val="18"/>
              </w:rPr>
            </w:pPr>
            <w:r>
              <w:rPr>
                <w:sz w:val="18"/>
              </w:rPr>
              <w:t>1%</w:t>
            </w:r>
            <w:r>
              <w:rPr>
                <w:spacing w:val="63"/>
                <w:w w:val="150"/>
                <w:sz w:val="18"/>
              </w:rPr>
              <w:t> </w:t>
            </w:r>
            <w:r>
              <w:rPr>
                <w:sz w:val="18"/>
              </w:rPr>
              <w:t>Critical</w:t>
            </w:r>
            <w:r>
              <w:rPr>
                <w:spacing w:val="-2"/>
                <w:sz w:val="18"/>
              </w:rPr>
              <w:t> Value*</w:t>
            </w:r>
          </w:p>
        </w:tc>
        <w:tc>
          <w:tcPr>
            <w:tcW w:w="858" w:type="dxa"/>
          </w:tcPr>
          <w:p>
            <w:pPr>
              <w:pStyle w:val="TableParagraph"/>
              <w:spacing w:line="183" w:lineRule="exact"/>
              <w:ind w:right="33"/>
              <w:jc w:val="right"/>
              <w:rPr>
                <w:sz w:val="18"/>
              </w:rPr>
            </w:pPr>
            <w:r>
              <w:rPr>
                <w:sz w:val="18"/>
              </w:rPr>
              <w:t>-</w:t>
            </w:r>
            <w:r>
              <w:rPr>
                <w:spacing w:val="-2"/>
                <w:sz w:val="18"/>
              </w:rPr>
              <w:t>3.7497</w:t>
            </w:r>
          </w:p>
        </w:tc>
      </w:tr>
      <w:tr>
        <w:trPr>
          <w:trHeight w:val="206" w:hRule="atLeast"/>
        </w:trPr>
        <w:tc>
          <w:tcPr>
            <w:tcW w:w="1770" w:type="dxa"/>
          </w:tcPr>
          <w:p>
            <w:pPr>
              <w:pStyle w:val="TableParagraph"/>
              <w:rPr>
                <w:sz w:val="14"/>
              </w:rPr>
            </w:pPr>
          </w:p>
        </w:tc>
        <w:tc>
          <w:tcPr>
            <w:tcW w:w="1443" w:type="dxa"/>
          </w:tcPr>
          <w:p>
            <w:pPr>
              <w:pStyle w:val="TableParagraph"/>
              <w:rPr>
                <w:sz w:val="14"/>
              </w:rPr>
            </w:pPr>
          </w:p>
        </w:tc>
        <w:tc>
          <w:tcPr>
            <w:tcW w:w="1522" w:type="dxa"/>
          </w:tcPr>
          <w:p>
            <w:pPr>
              <w:pStyle w:val="TableParagraph"/>
              <w:spacing w:line="186" w:lineRule="exact"/>
              <w:ind w:left="121"/>
              <w:rPr>
                <w:sz w:val="18"/>
              </w:rPr>
            </w:pPr>
            <w:r>
              <w:rPr>
                <w:sz w:val="18"/>
              </w:rPr>
              <w:t>5%</w:t>
            </w:r>
            <w:r>
              <w:rPr>
                <w:spacing w:val="63"/>
                <w:w w:val="150"/>
                <w:sz w:val="18"/>
              </w:rPr>
              <w:t> </w:t>
            </w:r>
            <w:r>
              <w:rPr>
                <w:sz w:val="18"/>
              </w:rPr>
              <w:t>Critical</w:t>
            </w:r>
            <w:r>
              <w:rPr>
                <w:spacing w:val="-2"/>
                <w:sz w:val="18"/>
              </w:rPr>
              <w:t> Value</w:t>
            </w:r>
          </w:p>
        </w:tc>
        <w:tc>
          <w:tcPr>
            <w:tcW w:w="899" w:type="dxa"/>
          </w:tcPr>
          <w:p>
            <w:pPr>
              <w:pStyle w:val="TableParagraph"/>
              <w:rPr>
                <w:sz w:val="14"/>
              </w:rPr>
            </w:pPr>
          </w:p>
        </w:tc>
        <w:tc>
          <w:tcPr>
            <w:tcW w:w="858" w:type="dxa"/>
          </w:tcPr>
          <w:p>
            <w:pPr>
              <w:pStyle w:val="TableParagraph"/>
              <w:spacing w:line="186" w:lineRule="exact"/>
              <w:ind w:right="33"/>
              <w:jc w:val="right"/>
              <w:rPr>
                <w:sz w:val="18"/>
              </w:rPr>
            </w:pPr>
            <w:r>
              <w:rPr>
                <w:sz w:val="18"/>
              </w:rPr>
              <w:t>-</w:t>
            </w:r>
            <w:r>
              <w:rPr>
                <w:spacing w:val="-2"/>
                <w:sz w:val="18"/>
              </w:rPr>
              <w:t>2.9969</w:t>
            </w:r>
          </w:p>
        </w:tc>
      </w:tr>
      <w:tr>
        <w:trPr>
          <w:trHeight w:val="201" w:hRule="atLeast"/>
        </w:trPr>
        <w:tc>
          <w:tcPr>
            <w:tcW w:w="1770" w:type="dxa"/>
            <w:tcBorders>
              <w:bottom w:val="double" w:sz="6" w:space="0" w:color="000000"/>
            </w:tcBorders>
          </w:tcPr>
          <w:p>
            <w:pPr>
              <w:pStyle w:val="TableParagraph"/>
              <w:rPr>
                <w:sz w:val="14"/>
              </w:rPr>
            </w:pPr>
          </w:p>
        </w:tc>
        <w:tc>
          <w:tcPr>
            <w:tcW w:w="1443" w:type="dxa"/>
            <w:tcBorders>
              <w:bottom w:val="double" w:sz="6" w:space="0" w:color="000000"/>
            </w:tcBorders>
          </w:tcPr>
          <w:p>
            <w:pPr>
              <w:pStyle w:val="TableParagraph"/>
              <w:rPr>
                <w:sz w:val="14"/>
              </w:rPr>
            </w:pPr>
          </w:p>
        </w:tc>
        <w:tc>
          <w:tcPr>
            <w:tcW w:w="1522" w:type="dxa"/>
            <w:tcBorders>
              <w:bottom w:val="double" w:sz="6" w:space="0" w:color="000000"/>
            </w:tcBorders>
          </w:tcPr>
          <w:p>
            <w:pPr>
              <w:pStyle w:val="TableParagraph"/>
              <w:spacing w:line="181" w:lineRule="exact"/>
              <w:ind w:left="121"/>
              <w:rPr>
                <w:sz w:val="18"/>
              </w:rPr>
            </w:pPr>
            <w:r>
              <w:rPr>
                <w:sz w:val="18"/>
              </w:rPr>
              <w:t>10%</w:t>
            </w:r>
            <w:r>
              <w:rPr>
                <w:spacing w:val="-5"/>
                <w:sz w:val="18"/>
              </w:rPr>
              <w:t> </w:t>
            </w:r>
            <w:r>
              <w:rPr>
                <w:sz w:val="18"/>
              </w:rPr>
              <w:t>Critical</w:t>
            </w:r>
            <w:r>
              <w:rPr>
                <w:spacing w:val="-3"/>
                <w:sz w:val="18"/>
              </w:rPr>
              <w:t> </w:t>
            </w:r>
            <w:r>
              <w:rPr>
                <w:spacing w:val="-2"/>
                <w:sz w:val="18"/>
              </w:rPr>
              <w:t>Value</w:t>
            </w:r>
          </w:p>
        </w:tc>
        <w:tc>
          <w:tcPr>
            <w:tcW w:w="899" w:type="dxa"/>
            <w:tcBorders>
              <w:bottom w:val="double" w:sz="6" w:space="0" w:color="000000"/>
            </w:tcBorders>
          </w:tcPr>
          <w:p>
            <w:pPr>
              <w:pStyle w:val="TableParagraph"/>
              <w:rPr>
                <w:sz w:val="14"/>
              </w:rPr>
            </w:pPr>
          </w:p>
        </w:tc>
        <w:tc>
          <w:tcPr>
            <w:tcW w:w="858" w:type="dxa"/>
            <w:tcBorders>
              <w:bottom w:val="double" w:sz="6" w:space="0" w:color="000000"/>
            </w:tcBorders>
          </w:tcPr>
          <w:p>
            <w:pPr>
              <w:pStyle w:val="TableParagraph"/>
              <w:spacing w:line="181" w:lineRule="exact"/>
              <w:ind w:right="33"/>
              <w:jc w:val="right"/>
              <w:rPr>
                <w:sz w:val="18"/>
              </w:rPr>
            </w:pPr>
            <w:r>
              <w:rPr>
                <w:sz w:val="18"/>
              </w:rPr>
              <w:t>-</w:t>
            </w:r>
            <w:r>
              <w:rPr>
                <w:spacing w:val="-2"/>
                <w:sz w:val="18"/>
              </w:rPr>
              <w:t>2.6381</w:t>
            </w:r>
          </w:p>
        </w:tc>
      </w:tr>
      <w:tr>
        <w:trPr>
          <w:trHeight w:val="460" w:hRule="atLeast"/>
        </w:trPr>
        <w:tc>
          <w:tcPr>
            <w:tcW w:w="6492" w:type="dxa"/>
            <w:gridSpan w:val="5"/>
            <w:tcBorders>
              <w:top w:val="double" w:sz="6" w:space="0" w:color="000000"/>
            </w:tcBorders>
          </w:tcPr>
          <w:p>
            <w:pPr>
              <w:pStyle w:val="TableParagraph"/>
              <w:spacing w:before="42"/>
              <w:ind w:left="36"/>
              <w:rPr>
                <w:sz w:val="18"/>
              </w:rPr>
            </w:pPr>
            <w:r>
              <w:rPr>
                <w:sz w:val="18"/>
              </w:rPr>
              <w:t>*MacKinnon</w:t>
            </w:r>
            <w:r>
              <w:rPr>
                <w:spacing w:val="-1"/>
                <w:sz w:val="18"/>
              </w:rPr>
              <w:t> </w:t>
            </w:r>
            <w:r>
              <w:rPr>
                <w:sz w:val="18"/>
              </w:rPr>
              <w:t>critical</w:t>
            </w:r>
            <w:r>
              <w:rPr>
                <w:spacing w:val="-1"/>
                <w:sz w:val="18"/>
              </w:rPr>
              <w:t> </w:t>
            </w:r>
            <w:r>
              <w:rPr>
                <w:sz w:val="18"/>
              </w:rPr>
              <w:t>values</w:t>
            </w:r>
            <w:r>
              <w:rPr>
                <w:spacing w:val="-1"/>
                <w:sz w:val="18"/>
              </w:rPr>
              <w:t> </w:t>
            </w:r>
            <w:r>
              <w:rPr>
                <w:sz w:val="18"/>
              </w:rPr>
              <w:t>for</w:t>
            </w:r>
            <w:r>
              <w:rPr>
                <w:spacing w:val="-1"/>
                <w:sz w:val="18"/>
              </w:rPr>
              <w:t> </w:t>
            </w:r>
            <w:r>
              <w:rPr>
                <w:sz w:val="18"/>
              </w:rPr>
              <w:t>rejection</w:t>
            </w:r>
            <w:r>
              <w:rPr>
                <w:spacing w:val="-2"/>
                <w:sz w:val="18"/>
              </w:rPr>
              <w:t> </w:t>
            </w:r>
            <w:r>
              <w:rPr>
                <w:sz w:val="18"/>
              </w:rPr>
              <w:t>of</w:t>
            </w:r>
            <w:r>
              <w:rPr>
                <w:spacing w:val="-3"/>
                <w:sz w:val="18"/>
              </w:rPr>
              <w:t> </w:t>
            </w:r>
            <w:r>
              <w:rPr>
                <w:sz w:val="18"/>
              </w:rPr>
              <w:t>hypothesis</w:t>
            </w:r>
            <w:r>
              <w:rPr>
                <w:spacing w:val="-1"/>
                <w:sz w:val="18"/>
              </w:rPr>
              <w:t> </w:t>
            </w:r>
            <w:r>
              <w:rPr>
                <w:sz w:val="18"/>
              </w:rPr>
              <w:t>of</w:t>
            </w:r>
            <w:r>
              <w:rPr>
                <w:spacing w:val="-3"/>
                <w:sz w:val="18"/>
              </w:rPr>
              <w:t> </w:t>
            </w:r>
            <w:r>
              <w:rPr>
                <w:sz w:val="18"/>
              </w:rPr>
              <w:t>a</w:t>
            </w:r>
            <w:r>
              <w:rPr>
                <w:spacing w:val="-2"/>
                <w:sz w:val="18"/>
              </w:rPr>
              <w:t> </w:t>
            </w:r>
            <w:r>
              <w:rPr>
                <w:sz w:val="18"/>
              </w:rPr>
              <w:t>unit</w:t>
            </w:r>
            <w:r>
              <w:rPr>
                <w:spacing w:val="-2"/>
                <w:sz w:val="18"/>
              </w:rPr>
              <w:t> root.</w:t>
            </w:r>
          </w:p>
        </w:tc>
      </w:tr>
      <w:tr>
        <w:trPr>
          <w:trHeight w:val="413" w:hRule="atLeast"/>
        </w:trPr>
        <w:tc>
          <w:tcPr>
            <w:tcW w:w="6492" w:type="dxa"/>
            <w:gridSpan w:val="5"/>
          </w:tcPr>
          <w:p>
            <w:pPr>
              <w:pStyle w:val="TableParagraph"/>
              <w:spacing w:line="191" w:lineRule="exact" w:before="203"/>
              <w:ind w:left="36"/>
              <w:rPr>
                <w:sz w:val="18"/>
              </w:rPr>
            </w:pPr>
            <w:r>
              <w:rPr>
                <w:sz w:val="18"/>
              </w:rPr>
              <w:t>Augmented</w:t>
            </w:r>
            <w:r>
              <w:rPr>
                <w:spacing w:val="-3"/>
                <w:sz w:val="18"/>
              </w:rPr>
              <w:t> </w:t>
            </w:r>
            <w:r>
              <w:rPr>
                <w:sz w:val="18"/>
              </w:rPr>
              <w:t>Dickey-Fuller</w:t>
            </w:r>
            <w:r>
              <w:rPr>
                <w:spacing w:val="-3"/>
                <w:sz w:val="18"/>
              </w:rPr>
              <w:t> </w:t>
            </w:r>
            <w:r>
              <w:rPr>
                <w:sz w:val="18"/>
              </w:rPr>
              <w:t>Test</w:t>
            </w:r>
            <w:r>
              <w:rPr>
                <w:spacing w:val="-3"/>
                <w:sz w:val="18"/>
              </w:rPr>
              <w:t> </w:t>
            </w:r>
            <w:r>
              <w:rPr>
                <w:spacing w:val="-2"/>
                <w:sz w:val="18"/>
              </w:rPr>
              <w:t>Equation</w:t>
            </w:r>
          </w:p>
        </w:tc>
      </w:tr>
      <w:tr>
        <w:trPr>
          <w:trHeight w:val="206" w:hRule="atLeast"/>
        </w:trPr>
        <w:tc>
          <w:tcPr>
            <w:tcW w:w="6492" w:type="dxa"/>
            <w:gridSpan w:val="5"/>
          </w:tcPr>
          <w:p>
            <w:pPr>
              <w:pStyle w:val="TableParagraph"/>
              <w:spacing w:line="186" w:lineRule="exact"/>
              <w:ind w:left="36"/>
              <w:rPr>
                <w:sz w:val="18"/>
              </w:rPr>
            </w:pPr>
            <w:r>
              <w:rPr>
                <w:sz w:val="18"/>
              </w:rPr>
              <w:t>Dependent</w:t>
            </w:r>
            <w:r>
              <w:rPr>
                <w:spacing w:val="-2"/>
                <w:sz w:val="18"/>
              </w:rPr>
              <w:t> </w:t>
            </w:r>
            <w:r>
              <w:rPr>
                <w:sz w:val="18"/>
              </w:rPr>
              <w:t>Variable:</w:t>
            </w:r>
            <w:r>
              <w:rPr>
                <w:spacing w:val="-2"/>
                <w:sz w:val="18"/>
              </w:rPr>
              <w:t> D(RES)</w:t>
            </w:r>
          </w:p>
        </w:tc>
      </w:tr>
      <w:tr>
        <w:trPr>
          <w:trHeight w:val="206" w:hRule="atLeast"/>
        </w:trPr>
        <w:tc>
          <w:tcPr>
            <w:tcW w:w="1770" w:type="dxa"/>
          </w:tcPr>
          <w:p>
            <w:pPr>
              <w:pStyle w:val="TableParagraph"/>
              <w:spacing w:line="186" w:lineRule="exact"/>
              <w:ind w:left="36"/>
              <w:rPr>
                <w:sz w:val="18"/>
              </w:rPr>
            </w:pPr>
            <w:r>
              <w:rPr>
                <w:sz w:val="18"/>
              </w:rPr>
              <w:t>Method:</w:t>
            </w:r>
            <w:r>
              <w:rPr>
                <w:spacing w:val="-3"/>
                <w:sz w:val="18"/>
              </w:rPr>
              <w:t> </w:t>
            </w:r>
            <w:r>
              <w:rPr>
                <w:sz w:val="18"/>
              </w:rPr>
              <w:t>Least</w:t>
            </w:r>
            <w:r>
              <w:rPr>
                <w:spacing w:val="-2"/>
                <w:sz w:val="18"/>
              </w:rPr>
              <w:t> Squares</w:t>
            </w:r>
          </w:p>
        </w:tc>
        <w:tc>
          <w:tcPr>
            <w:tcW w:w="1443" w:type="dxa"/>
          </w:tcPr>
          <w:p>
            <w:pPr>
              <w:pStyle w:val="TableParagraph"/>
              <w:rPr>
                <w:sz w:val="14"/>
              </w:rPr>
            </w:pPr>
          </w:p>
        </w:tc>
        <w:tc>
          <w:tcPr>
            <w:tcW w:w="1522" w:type="dxa"/>
          </w:tcPr>
          <w:p>
            <w:pPr>
              <w:pStyle w:val="TableParagraph"/>
              <w:rPr>
                <w:sz w:val="14"/>
              </w:rPr>
            </w:pPr>
          </w:p>
        </w:tc>
        <w:tc>
          <w:tcPr>
            <w:tcW w:w="899" w:type="dxa"/>
          </w:tcPr>
          <w:p>
            <w:pPr>
              <w:pStyle w:val="TableParagraph"/>
              <w:rPr>
                <w:sz w:val="14"/>
              </w:rPr>
            </w:pPr>
          </w:p>
        </w:tc>
        <w:tc>
          <w:tcPr>
            <w:tcW w:w="858" w:type="dxa"/>
          </w:tcPr>
          <w:p>
            <w:pPr>
              <w:pStyle w:val="TableParagraph"/>
              <w:rPr>
                <w:sz w:val="14"/>
              </w:rPr>
            </w:pPr>
          </w:p>
        </w:tc>
      </w:tr>
      <w:tr>
        <w:trPr>
          <w:trHeight w:val="207" w:hRule="atLeast"/>
        </w:trPr>
        <w:tc>
          <w:tcPr>
            <w:tcW w:w="6492" w:type="dxa"/>
            <w:gridSpan w:val="5"/>
          </w:tcPr>
          <w:p>
            <w:pPr>
              <w:pStyle w:val="TableParagraph"/>
              <w:spacing w:line="188" w:lineRule="exact"/>
              <w:ind w:left="36"/>
              <w:rPr>
                <w:sz w:val="18"/>
              </w:rPr>
            </w:pPr>
            <w:r>
              <w:rPr>
                <w:sz w:val="18"/>
              </w:rPr>
              <w:t>Date:</w:t>
            </w:r>
            <w:r>
              <w:rPr>
                <w:spacing w:val="-2"/>
                <w:sz w:val="18"/>
              </w:rPr>
              <w:t> </w:t>
            </w:r>
            <w:r>
              <w:rPr>
                <w:sz w:val="18"/>
              </w:rPr>
              <w:t>02/17/14</w:t>
            </w:r>
            <w:r>
              <w:rPr>
                <w:spacing w:val="63"/>
                <w:w w:val="150"/>
                <w:sz w:val="18"/>
              </w:rPr>
              <w:t> </w:t>
            </w:r>
            <w:r>
              <w:rPr>
                <w:sz w:val="18"/>
              </w:rPr>
              <w:t>Time:</w:t>
            </w:r>
            <w:r>
              <w:rPr>
                <w:spacing w:val="-1"/>
                <w:sz w:val="18"/>
              </w:rPr>
              <w:t> </w:t>
            </w:r>
            <w:r>
              <w:rPr>
                <w:spacing w:val="-4"/>
                <w:sz w:val="18"/>
              </w:rPr>
              <w:t>18:13</w:t>
            </w:r>
          </w:p>
        </w:tc>
      </w:tr>
      <w:tr>
        <w:trPr>
          <w:trHeight w:val="207" w:hRule="atLeast"/>
        </w:trPr>
        <w:tc>
          <w:tcPr>
            <w:tcW w:w="6492" w:type="dxa"/>
            <w:gridSpan w:val="5"/>
          </w:tcPr>
          <w:p>
            <w:pPr>
              <w:pStyle w:val="TableParagraph"/>
              <w:spacing w:line="188" w:lineRule="exact"/>
              <w:ind w:left="36"/>
              <w:rPr>
                <w:sz w:val="18"/>
              </w:rPr>
            </w:pPr>
            <w:r>
              <w:rPr>
                <w:sz w:val="18"/>
              </w:rPr>
              <w:t>Sample(adjusted):</w:t>
            </w:r>
            <w:r>
              <w:rPr>
                <w:spacing w:val="-6"/>
                <w:sz w:val="18"/>
              </w:rPr>
              <w:t> </w:t>
            </w:r>
            <w:r>
              <w:rPr>
                <w:sz w:val="18"/>
              </w:rPr>
              <w:t>1989</w:t>
            </w:r>
            <w:r>
              <w:rPr>
                <w:spacing w:val="-2"/>
                <w:sz w:val="18"/>
              </w:rPr>
              <w:t> </w:t>
            </w:r>
            <w:r>
              <w:rPr>
                <w:spacing w:val="-4"/>
                <w:sz w:val="18"/>
              </w:rPr>
              <w:t>2011</w:t>
            </w:r>
          </w:p>
        </w:tc>
      </w:tr>
      <w:tr>
        <w:trPr>
          <w:trHeight w:val="201" w:hRule="atLeast"/>
        </w:trPr>
        <w:tc>
          <w:tcPr>
            <w:tcW w:w="6492" w:type="dxa"/>
            <w:gridSpan w:val="5"/>
            <w:tcBorders>
              <w:bottom w:val="double" w:sz="6" w:space="0" w:color="000000"/>
            </w:tcBorders>
          </w:tcPr>
          <w:p>
            <w:pPr>
              <w:pStyle w:val="TableParagraph"/>
              <w:spacing w:line="181" w:lineRule="exact"/>
              <w:ind w:left="36"/>
              <w:rPr>
                <w:sz w:val="18"/>
              </w:rPr>
            </w:pPr>
            <w:r>
              <w:rPr>
                <w:sz w:val="18"/>
              </w:rPr>
              <w:t>Included</w:t>
            </w:r>
            <w:r>
              <w:rPr>
                <w:spacing w:val="-1"/>
                <w:sz w:val="18"/>
              </w:rPr>
              <w:t> </w:t>
            </w:r>
            <w:r>
              <w:rPr>
                <w:sz w:val="18"/>
              </w:rPr>
              <w:t>observations:</w:t>
            </w:r>
            <w:r>
              <w:rPr>
                <w:spacing w:val="-3"/>
                <w:sz w:val="18"/>
              </w:rPr>
              <w:t> </w:t>
            </w:r>
            <w:r>
              <w:rPr>
                <w:sz w:val="18"/>
              </w:rPr>
              <w:t>23</w:t>
            </w:r>
            <w:r>
              <w:rPr>
                <w:spacing w:val="-1"/>
                <w:sz w:val="18"/>
              </w:rPr>
              <w:t> </w:t>
            </w:r>
            <w:r>
              <w:rPr>
                <w:sz w:val="18"/>
              </w:rPr>
              <w:t>after</w:t>
            </w:r>
            <w:r>
              <w:rPr>
                <w:spacing w:val="-1"/>
                <w:sz w:val="18"/>
              </w:rPr>
              <w:t> </w:t>
            </w:r>
            <w:r>
              <w:rPr>
                <w:sz w:val="18"/>
              </w:rPr>
              <w:t>adjusting</w:t>
            </w:r>
            <w:r>
              <w:rPr>
                <w:spacing w:val="-2"/>
                <w:sz w:val="18"/>
              </w:rPr>
              <w:t> endpoints</w:t>
            </w:r>
          </w:p>
        </w:tc>
      </w:tr>
      <w:tr>
        <w:trPr>
          <w:trHeight w:val="247" w:hRule="atLeast"/>
        </w:trPr>
        <w:tc>
          <w:tcPr>
            <w:tcW w:w="1770" w:type="dxa"/>
            <w:tcBorders>
              <w:top w:val="double" w:sz="6" w:space="0" w:color="000000"/>
              <w:bottom w:val="double" w:sz="6" w:space="0" w:color="000000"/>
            </w:tcBorders>
          </w:tcPr>
          <w:p>
            <w:pPr>
              <w:pStyle w:val="TableParagraph"/>
              <w:spacing w:line="188" w:lineRule="exact" w:before="40"/>
              <w:ind w:left="713"/>
              <w:rPr>
                <w:sz w:val="18"/>
              </w:rPr>
            </w:pPr>
            <w:r>
              <w:rPr>
                <w:spacing w:val="-2"/>
                <w:sz w:val="18"/>
              </w:rPr>
              <w:t>Variable</w:t>
            </w:r>
          </w:p>
        </w:tc>
        <w:tc>
          <w:tcPr>
            <w:tcW w:w="1443" w:type="dxa"/>
            <w:tcBorders>
              <w:top w:val="double" w:sz="6" w:space="0" w:color="000000"/>
              <w:bottom w:val="double" w:sz="6" w:space="0" w:color="000000"/>
            </w:tcBorders>
          </w:tcPr>
          <w:p>
            <w:pPr>
              <w:pStyle w:val="TableParagraph"/>
              <w:spacing w:line="188" w:lineRule="exact" w:before="40"/>
              <w:ind w:right="120"/>
              <w:jc w:val="right"/>
              <w:rPr>
                <w:sz w:val="18"/>
              </w:rPr>
            </w:pPr>
            <w:r>
              <w:rPr>
                <w:spacing w:val="-2"/>
                <w:sz w:val="18"/>
              </w:rPr>
              <w:t>Coefficient</w:t>
            </w:r>
          </w:p>
        </w:tc>
        <w:tc>
          <w:tcPr>
            <w:tcW w:w="1522" w:type="dxa"/>
            <w:tcBorders>
              <w:top w:val="double" w:sz="6" w:space="0" w:color="000000"/>
              <w:bottom w:val="double" w:sz="6" w:space="0" w:color="000000"/>
            </w:tcBorders>
          </w:tcPr>
          <w:p>
            <w:pPr>
              <w:pStyle w:val="TableParagraph"/>
              <w:spacing w:line="188" w:lineRule="exact" w:before="40"/>
              <w:ind w:left="361"/>
              <w:rPr>
                <w:sz w:val="18"/>
              </w:rPr>
            </w:pPr>
            <w:r>
              <w:rPr>
                <w:sz w:val="18"/>
              </w:rPr>
              <w:t>Std.</w:t>
            </w:r>
            <w:r>
              <w:rPr>
                <w:spacing w:val="-1"/>
                <w:sz w:val="18"/>
              </w:rPr>
              <w:t> </w:t>
            </w:r>
            <w:r>
              <w:rPr>
                <w:spacing w:val="-4"/>
                <w:sz w:val="18"/>
              </w:rPr>
              <w:t>Error</w:t>
            </w:r>
          </w:p>
        </w:tc>
        <w:tc>
          <w:tcPr>
            <w:tcW w:w="899" w:type="dxa"/>
            <w:tcBorders>
              <w:top w:val="double" w:sz="6" w:space="0" w:color="000000"/>
              <w:bottom w:val="double" w:sz="6" w:space="0" w:color="000000"/>
            </w:tcBorders>
          </w:tcPr>
          <w:p>
            <w:pPr>
              <w:pStyle w:val="TableParagraph"/>
              <w:spacing w:line="188" w:lineRule="exact" w:before="40"/>
              <w:ind w:right="151"/>
              <w:jc w:val="right"/>
              <w:rPr>
                <w:sz w:val="18"/>
              </w:rPr>
            </w:pPr>
            <w:r>
              <w:rPr>
                <w:sz w:val="18"/>
              </w:rPr>
              <w:t>t-</w:t>
            </w:r>
            <w:r>
              <w:rPr>
                <w:spacing w:val="-2"/>
                <w:sz w:val="18"/>
              </w:rPr>
              <w:t>Statistic</w:t>
            </w:r>
          </w:p>
        </w:tc>
        <w:tc>
          <w:tcPr>
            <w:tcW w:w="858" w:type="dxa"/>
            <w:tcBorders>
              <w:top w:val="double" w:sz="6" w:space="0" w:color="000000"/>
              <w:bottom w:val="double" w:sz="6" w:space="0" w:color="000000"/>
            </w:tcBorders>
          </w:tcPr>
          <w:p>
            <w:pPr>
              <w:pStyle w:val="TableParagraph"/>
              <w:spacing w:line="188" w:lineRule="exact" w:before="40"/>
              <w:ind w:right="33"/>
              <w:jc w:val="right"/>
              <w:rPr>
                <w:sz w:val="18"/>
              </w:rPr>
            </w:pPr>
            <w:r>
              <w:rPr>
                <w:spacing w:val="-2"/>
                <w:sz w:val="18"/>
              </w:rPr>
              <w:t>Prob.</w:t>
            </w:r>
          </w:p>
        </w:tc>
      </w:tr>
      <w:tr>
        <w:trPr>
          <w:trHeight w:val="250" w:hRule="atLeast"/>
        </w:trPr>
        <w:tc>
          <w:tcPr>
            <w:tcW w:w="1770" w:type="dxa"/>
            <w:tcBorders>
              <w:top w:val="double" w:sz="6" w:space="0" w:color="000000"/>
            </w:tcBorders>
          </w:tcPr>
          <w:p>
            <w:pPr>
              <w:pStyle w:val="TableParagraph"/>
              <w:spacing w:line="191" w:lineRule="exact" w:before="40"/>
              <w:ind w:left="722"/>
              <w:rPr>
                <w:sz w:val="18"/>
              </w:rPr>
            </w:pPr>
            <w:r>
              <w:rPr>
                <w:sz w:val="18"/>
              </w:rPr>
              <w:t>RES(-</w:t>
            </w:r>
            <w:r>
              <w:rPr>
                <w:spacing w:val="-5"/>
                <w:sz w:val="18"/>
              </w:rPr>
              <w:t>1)</w:t>
            </w:r>
          </w:p>
        </w:tc>
        <w:tc>
          <w:tcPr>
            <w:tcW w:w="1443" w:type="dxa"/>
            <w:tcBorders>
              <w:top w:val="double" w:sz="6" w:space="0" w:color="000000"/>
            </w:tcBorders>
          </w:tcPr>
          <w:p>
            <w:pPr>
              <w:pStyle w:val="TableParagraph"/>
              <w:spacing w:line="191" w:lineRule="exact" w:before="40"/>
              <w:ind w:right="118"/>
              <w:jc w:val="right"/>
              <w:rPr>
                <w:sz w:val="18"/>
              </w:rPr>
            </w:pPr>
            <w:r>
              <w:rPr>
                <w:sz w:val="18"/>
              </w:rPr>
              <w:t>-</w:t>
            </w:r>
            <w:r>
              <w:rPr>
                <w:spacing w:val="-2"/>
                <w:sz w:val="18"/>
              </w:rPr>
              <w:t>0.364963</w:t>
            </w:r>
          </w:p>
        </w:tc>
        <w:tc>
          <w:tcPr>
            <w:tcW w:w="1522" w:type="dxa"/>
            <w:tcBorders>
              <w:top w:val="double" w:sz="6" w:space="0" w:color="000000"/>
            </w:tcBorders>
          </w:tcPr>
          <w:p>
            <w:pPr>
              <w:pStyle w:val="TableParagraph"/>
              <w:spacing w:line="191" w:lineRule="exact" w:before="40"/>
              <w:ind w:left="397"/>
              <w:rPr>
                <w:sz w:val="18"/>
              </w:rPr>
            </w:pPr>
            <w:r>
              <w:rPr>
                <w:spacing w:val="-2"/>
                <w:sz w:val="18"/>
              </w:rPr>
              <w:t>0.145440</w:t>
            </w:r>
          </w:p>
        </w:tc>
        <w:tc>
          <w:tcPr>
            <w:tcW w:w="899" w:type="dxa"/>
            <w:tcBorders>
              <w:top w:val="double" w:sz="6" w:space="0" w:color="000000"/>
            </w:tcBorders>
          </w:tcPr>
          <w:p>
            <w:pPr>
              <w:pStyle w:val="TableParagraph"/>
              <w:spacing w:line="191" w:lineRule="exact" w:before="40"/>
              <w:ind w:right="153"/>
              <w:jc w:val="right"/>
              <w:rPr>
                <w:sz w:val="18"/>
              </w:rPr>
            </w:pPr>
            <w:r>
              <w:rPr>
                <w:sz w:val="18"/>
              </w:rPr>
              <w:t>-</w:t>
            </w:r>
            <w:r>
              <w:rPr>
                <w:spacing w:val="-2"/>
                <w:sz w:val="18"/>
              </w:rPr>
              <w:t>2.509373</w:t>
            </w:r>
          </w:p>
        </w:tc>
        <w:tc>
          <w:tcPr>
            <w:tcW w:w="858" w:type="dxa"/>
            <w:tcBorders>
              <w:top w:val="double" w:sz="6" w:space="0" w:color="000000"/>
            </w:tcBorders>
          </w:tcPr>
          <w:p>
            <w:pPr>
              <w:pStyle w:val="TableParagraph"/>
              <w:spacing w:line="191" w:lineRule="exact" w:before="40"/>
              <w:ind w:right="33"/>
              <w:jc w:val="right"/>
              <w:rPr>
                <w:sz w:val="18"/>
              </w:rPr>
            </w:pPr>
            <w:r>
              <w:rPr>
                <w:spacing w:val="-2"/>
                <w:sz w:val="18"/>
              </w:rPr>
              <w:t>0.0208</w:t>
            </w:r>
          </w:p>
        </w:tc>
      </w:tr>
      <w:tr>
        <w:trPr>
          <w:trHeight w:val="207" w:hRule="atLeast"/>
        </w:trPr>
        <w:tc>
          <w:tcPr>
            <w:tcW w:w="1770" w:type="dxa"/>
          </w:tcPr>
          <w:p>
            <w:pPr>
              <w:pStyle w:val="TableParagraph"/>
              <w:spacing w:line="188" w:lineRule="exact"/>
              <w:ind w:left="598"/>
              <w:rPr>
                <w:sz w:val="18"/>
              </w:rPr>
            </w:pPr>
            <w:r>
              <w:rPr>
                <w:sz w:val="18"/>
              </w:rPr>
              <w:t>D(RES(-</w:t>
            </w:r>
            <w:r>
              <w:rPr>
                <w:spacing w:val="-5"/>
                <w:sz w:val="18"/>
              </w:rPr>
              <w:t>1))</w:t>
            </w:r>
          </w:p>
        </w:tc>
        <w:tc>
          <w:tcPr>
            <w:tcW w:w="1443" w:type="dxa"/>
          </w:tcPr>
          <w:p>
            <w:pPr>
              <w:pStyle w:val="TableParagraph"/>
              <w:spacing w:line="188" w:lineRule="exact"/>
              <w:ind w:right="118"/>
              <w:jc w:val="right"/>
              <w:rPr>
                <w:sz w:val="18"/>
              </w:rPr>
            </w:pPr>
            <w:r>
              <w:rPr>
                <w:sz w:val="18"/>
              </w:rPr>
              <w:t>-</w:t>
            </w:r>
            <w:r>
              <w:rPr>
                <w:spacing w:val="-2"/>
                <w:sz w:val="18"/>
              </w:rPr>
              <w:t>0.427733</w:t>
            </w:r>
          </w:p>
        </w:tc>
        <w:tc>
          <w:tcPr>
            <w:tcW w:w="1522" w:type="dxa"/>
          </w:tcPr>
          <w:p>
            <w:pPr>
              <w:pStyle w:val="TableParagraph"/>
              <w:spacing w:line="188" w:lineRule="exact"/>
              <w:ind w:left="397"/>
              <w:rPr>
                <w:sz w:val="18"/>
              </w:rPr>
            </w:pPr>
            <w:r>
              <w:rPr>
                <w:spacing w:val="-2"/>
                <w:sz w:val="18"/>
              </w:rPr>
              <w:t>0.186945</w:t>
            </w:r>
          </w:p>
        </w:tc>
        <w:tc>
          <w:tcPr>
            <w:tcW w:w="899" w:type="dxa"/>
          </w:tcPr>
          <w:p>
            <w:pPr>
              <w:pStyle w:val="TableParagraph"/>
              <w:spacing w:line="188" w:lineRule="exact"/>
              <w:ind w:right="153"/>
              <w:jc w:val="right"/>
              <w:rPr>
                <w:sz w:val="18"/>
              </w:rPr>
            </w:pPr>
            <w:r>
              <w:rPr>
                <w:sz w:val="18"/>
              </w:rPr>
              <w:t>-</w:t>
            </w:r>
            <w:r>
              <w:rPr>
                <w:spacing w:val="-2"/>
                <w:sz w:val="18"/>
              </w:rPr>
              <w:t>2.288013</w:t>
            </w:r>
          </w:p>
        </w:tc>
        <w:tc>
          <w:tcPr>
            <w:tcW w:w="858" w:type="dxa"/>
          </w:tcPr>
          <w:p>
            <w:pPr>
              <w:pStyle w:val="TableParagraph"/>
              <w:spacing w:line="188" w:lineRule="exact"/>
              <w:ind w:right="33"/>
              <w:jc w:val="right"/>
              <w:rPr>
                <w:sz w:val="18"/>
              </w:rPr>
            </w:pPr>
            <w:r>
              <w:rPr>
                <w:spacing w:val="-2"/>
                <w:sz w:val="18"/>
              </w:rPr>
              <w:t>0.0332</w:t>
            </w:r>
          </w:p>
        </w:tc>
      </w:tr>
      <w:tr>
        <w:trPr>
          <w:trHeight w:val="202" w:hRule="atLeast"/>
        </w:trPr>
        <w:tc>
          <w:tcPr>
            <w:tcW w:w="1770" w:type="dxa"/>
            <w:tcBorders>
              <w:bottom w:val="double" w:sz="6" w:space="0" w:color="000000"/>
            </w:tcBorders>
          </w:tcPr>
          <w:p>
            <w:pPr>
              <w:pStyle w:val="TableParagraph"/>
              <w:spacing w:line="183" w:lineRule="exact"/>
              <w:ind w:left="275"/>
              <w:jc w:val="center"/>
              <w:rPr>
                <w:sz w:val="18"/>
              </w:rPr>
            </w:pPr>
            <w:r>
              <w:rPr>
                <w:spacing w:val="-10"/>
                <w:sz w:val="18"/>
              </w:rPr>
              <w:t>C</w:t>
            </w:r>
          </w:p>
        </w:tc>
        <w:tc>
          <w:tcPr>
            <w:tcW w:w="1443" w:type="dxa"/>
            <w:tcBorders>
              <w:bottom w:val="double" w:sz="6" w:space="0" w:color="000000"/>
            </w:tcBorders>
          </w:tcPr>
          <w:p>
            <w:pPr>
              <w:pStyle w:val="TableParagraph"/>
              <w:spacing w:line="183" w:lineRule="exact"/>
              <w:ind w:right="118"/>
              <w:jc w:val="right"/>
              <w:rPr>
                <w:sz w:val="18"/>
              </w:rPr>
            </w:pPr>
            <w:r>
              <w:rPr>
                <w:spacing w:val="-2"/>
                <w:sz w:val="18"/>
              </w:rPr>
              <w:t>4.530893</w:t>
            </w:r>
          </w:p>
        </w:tc>
        <w:tc>
          <w:tcPr>
            <w:tcW w:w="1522" w:type="dxa"/>
            <w:tcBorders>
              <w:bottom w:val="double" w:sz="6" w:space="0" w:color="000000"/>
            </w:tcBorders>
          </w:tcPr>
          <w:p>
            <w:pPr>
              <w:pStyle w:val="TableParagraph"/>
              <w:spacing w:line="183" w:lineRule="exact"/>
              <w:ind w:left="397"/>
              <w:rPr>
                <w:sz w:val="18"/>
              </w:rPr>
            </w:pPr>
            <w:r>
              <w:rPr>
                <w:spacing w:val="-2"/>
                <w:sz w:val="18"/>
              </w:rPr>
              <w:t>1.699409</w:t>
            </w:r>
          </w:p>
        </w:tc>
        <w:tc>
          <w:tcPr>
            <w:tcW w:w="899" w:type="dxa"/>
            <w:tcBorders>
              <w:bottom w:val="double" w:sz="6" w:space="0" w:color="000000"/>
            </w:tcBorders>
          </w:tcPr>
          <w:p>
            <w:pPr>
              <w:pStyle w:val="TableParagraph"/>
              <w:spacing w:line="183" w:lineRule="exact"/>
              <w:ind w:right="153"/>
              <w:jc w:val="right"/>
              <w:rPr>
                <w:sz w:val="18"/>
              </w:rPr>
            </w:pPr>
            <w:r>
              <w:rPr>
                <w:spacing w:val="-2"/>
                <w:sz w:val="18"/>
              </w:rPr>
              <w:t>2.666158</w:t>
            </w:r>
          </w:p>
        </w:tc>
        <w:tc>
          <w:tcPr>
            <w:tcW w:w="858" w:type="dxa"/>
            <w:tcBorders>
              <w:bottom w:val="double" w:sz="6" w:space="0" w:color="000000"/>
            </w:tcBorders>
          </w:tcPr>
          <w:p>
            <w:pPr>
              <w:pStyle w:val="TableParagraph"/>
              <w:spacing w:line="183" w:lineRule="exact"/>
              <w:ind w:right="33"/>
              <w:jc w:val="right"/>
              <w:rPr>
                <w:sz w:val="18"/>
              </w:rPr>
            </w:pPr>
            <w:r>
              <w:rPr>
                <w:spacing w:val="-2"/>
                <w:sz w:val="18"/>
              </w:rPr>
              <w:t>0.0148</w:t>
            </w:r>
          </w:p>
        </w:tc>
      </w:tr>
      <w:tr>
        <w:trPr>
          <w:trHeight w:val="251" w:hRule="atLeast"/>
        </w:trPr>
        <w:tc>
          <w:tcPr>
            <w:tcW w:w="1770" w:type="dxa"/>
            <w:tcBorders>
              <w:top w:val="double" w:sz="6" w:space="0" w:color="000000"/>
            </w:tcBorders>
          </w:tcPr>
          <w:p>
            <w:pPr>
              <w:pStyle w:val="TableParagraph"/>
              <w:spacing w:line="192" w:lineRule="exact" w:before="40"/>
              <w:ind w:left="36"/>
              <w:rPr>
                <w:sz w:val="18"/>
              </w:rPr>
            </w:pPr>
            <w:r>
              <w:rPr>
                <w:spacing w:val="-2"/>
                <w:sz w:val="18"/>
              </w:rPr>
              <w:t>R-squared</w:t>
            </w:r>
          </w:p>
        </w:tc>
        <w:tc>
          <w:tcPr>
            <w:tcW w:w="1443" w:type="dxa"/>
            <w:tcBorders>
              <w:top w:val="double" w:sz="6" w:space="0" w:color="000000"/>
            </w:tcBorders>
          </w:tcPr>
          <w:p>
            <w:pPr>
              <w:pStyle w:val="TableParagraph"/>
              <w:spacing w:line="192" w:lineRule="exact" w:before="40"/>
              <w:ind w:right="118"/>
              <w:jc w:val="right"/>
              <w:rPr>
                <w:sz w:val="18"/>
              </w:rPr>
            </w:pPr>
            <w:r>
              <w:rPr>
                <w:spacing w:val="-2"/>
                <w:sz w:val="18"/>
              </w:rPr>
              <w:t>0.444397</w:t>
            </w:r>
          </w:p>
        </w:tc>
        <w:tc>
          <w:tcPr>
            <w:tcW w:w="2421" w:type="dxa"/>
            <w:gridSpan w:val="2"/>
            <w:tcBorders>
              <w:top w:val="double" w:sz="6" w:space="0" w:color="000000"/>
            </w:tcBorders>
          </w:tcPr>
          <w:p>
            <w:pPr>
              <w:pStyle w:val="TableParagraph"/>
              <w:spacing w:line="192" w:lineRule="exact" w:before="40"/>
              <w:ind w:left="121"/>
              <w:rPr>
                <w:sz w:val="18"/>
              </w:rPr>
            </w:pPr>
            <w:r>
              <w:rPr>
                <w:sz w:val="18"/>
              </w:rPr>
              <w:t>Mean</w:t>
            </w:r>
            <w:r>
              <w:rPr>
                <w:spacing w:val="-5"/>
                <w:sz w:val="18"/>
              </w:rPr>
              <w:t> </w:t>
            </w:r>
            <w:r>
              <w:rPr>
                <w:sz w:val="18"/>
              </w:rPr>
              <w:t>dependent</w:t>
            </w:r>
            <w:r>
              <w:rPr>
                <w:spacing w:val="-1"/>
                <w:sz w:val="18"/>
              </w:rPr>
              <w:t> </w:t>
            </w:r>
            <w:r>
              <w:rPr>
                <w:spacing w:val="-5"/>
                <w:sz w:val="18"/>
              </w:rPr>
              <w:t>var</w:t>
            </w:r>
          </w:p>
        </w:tc>
        <w:tc>
          <w:tcPr>
            <w:tcW w:w="858" w:type="dxa"/>
            <w:tcBorders>
              <w:top w:val="double" w:sz="6" w:space="0" w:color="000000"/>
            </w:tcBorders>
          </w:tcPr>
          <w:p>
            <w:pPr>
              <w:pStyle w:val="TableParagraph"/>
              <w:spacing w:line="192" w:lineRule="exact" w:before="40"/>
              <w:ind w:right="32"/>
              <w:jc w:val="right"/>
              <w:rPr>
                <w:sz w:val="18"/>
              </w:rPr>
            </w:pPr>
            <w:r>
              <w:rPr>
                <w:spacing w:val="-2"/>
                <w:sz w:val="18"/>
              </w:rPr>
              <w:t>0.162310</w:t>
            </w:r>
          </w:p>
        </w:tc>
      </w:tr>
      <w:tr>
        <w:trPr>
          <w:trHeight w:val="207" w:hRule="atLeast"/>
        </w:trPr>
        <w:tc>
          <w:tcPr>
            <w:tcW w:w="1770" w:type="dxa"/>
          </w:tcPr>
          <w:p>
            <w:pPr>
              <w:pStyle w:val="TableParagraph"/>
              <w:spacing w:line="188" w:lineRule="exact"/>
              <w:ind w:left="36"/>
              <w:rPr>
                <w:sz w:val="18"/>
              </w:rPr>
            </w:pPr>
            <w:r>
              <w:rPr>
                <w:sz w:val="18"/>
              </w:rPr>
              <w:t>Adjusted</w:t>
            </w:r>
            <w:r>
              <w:rPr>
                <w:spacing w:val="-1"/>
                <w:sz w:val="18"/>
              </w:rPr>
              <w:t> </w:t>
            </w:r>
            <w:r>
              <w:rPr>
                <w:sz w:val="18"/>
              </w:rPr>
              <w:t>R-</w:t>
            </w:r>
            <w:r>
              <w:rPr>
                <w:spacing w:val="-2"/>
                <w:sz w:val="18"/>
              </w:rPr>
              <w:t>squared</w:t>
            </w:r>
          </w:p>
        </w:tc>
        <w:tc>
          <w:tcPr>
            <w:tcW w:w="1443" w:type="dxa"/>
          </w:tcPr>
          <w:p>
            <w:pPr>
              <w:pStyle w:val="TableParagraph"/>
              <w:spacing w:line="188" w:lineRule="exact"/>
              <w:ind w:right="118"/>
              <w:jc w:val="right"/>
              <w:rPr>
                <w:sz w:val="18"/>
              </w:rPr>
            </w:pPr>
            <w:r>
              <w:rPr>
                <w:spacing w:val="-2"/>
                <w:sz w:val="18"/>
              </w:rPr>
              <w:t>0.388837</w:t>
            </w:r>
          </w:p>
        </w:tc>
        <w:tc>
          <w:tcPr>
            <w:tcW w:w="1522" w:type="dxa"/>
          </w:tcPr>
          <w:p>
            <w:pPr>
              <w:pStyle w:val="TableParagraph"/>
              <w:spacing w:line="188" w:lineRule="exact"/>
              <w:ind w:left="121"/>
              <w:rPr>
                <w:sz w:val="18"/>
              </w:rPr>
            </w:pPr>
            <w:r>
              <w:rPr>
                <w:sz w:val="18"/>
              </w:rPr>
              <w:t>S.D.</w:t>
            </w:r>
            <w:r>
              <w:rPr>
                <w:spacing w:val="-5"/>
                <w:sz w:val="18"/>
              </w:rPr>
              <w:t> </w:t>
            </w:r>
            <w:r>
              <w:rPr>
                <w:sz w:val="18"/>
              </w:rPr>
              <w:t>dependent</w:t>
            </w:r>
            <w:r>
              <w:rPr>
                <w:spacing w:val="-3"/>
                <w:sz w:val="18"/>
              </w:rPr>
              <w:t> </w:t>
            </w:r>
            <w:r>
              <w:rPr>
                <w:spacing w:val="-5"/>
                <w:sz w:val="18"/>
              </w:rPr>
              <w:t>var</w:t>
            </w:r>
          </w:p>
        </w:tc>
        <w:tc>
          <w:tcPr>
            <w:tcW w:w="899" w:type="dxa"/>
          </w:tcPr>
          <w:p>
            <w:pPr>
              <w:pStyle w:val="TableParagraph"/>
              <w:rPr>
                <w:sz w:val="14"/>
              </w:rPr>
            </w:pPr>
          </w:p>
        </w:tc>
        <w:tc>
          <w:tcPr>
            <w:tcW w:w="858" w:type="dxa"/>
          </w:tcPr>
          <w:p>
            <w:pPr>
              <w:pStyle w:val="TableParagraph"/>
              <w:spacing w:line="188" w:lineRule="exact"/>
              <w:ind w:right="32"/>
              <w:jc w:val="right"/>
              <w:rPr>
                <w:sz w:val="18"/>
              </w:rPr>
            </w:pPr>
            <w:r>
              <w:rPr>
                <w:spacing w:val="-2"/>
                <w:sz w:val="18"/>
              </w:rPr>
              <w:t>1.705912</w:t>
            </w:r>
          </w:p>
        </w:tc>
      </w:tr>
      <w:tr>
        <w:trPr>
          <w:trHeight w:val="206" w:hRule="atLeast"/>
        </w:trPr>
        <w:tc>
          <w:tcPr>
            <w:tcW w:w="1770" w:type="dxa"/>
          </w:tcPr>
          <w:p>
            <w:pPr>
              <w:pStyle w:val="TableParagraph"/>
              <w:spacing w:line="186" w:lineRule="exact"/>
              <w:ind w:left="36"/>
              <w:rPr>
                <w:sz w:val="18"/>
              </w:rPr>
            </w:pPr>
            <w:r>
              <w:rPr>
                <w:sz w:val="18"/>
              </w:rPr>
              <w:t>S.E.</w:t>
            </w:r>
            <w:r>
              <w:rPr>
                <w:spacing w:val="-3"/>
                <w:sz w:val="18"/>
              </w:rPr>
              <w:t> </w:t>
            </w:r>
            <w:r>
              <w:rPr>
                <w:sz w:val="18"/>
              </w:rPr>
              <w:t>of</w:t>
            </w:r>
            <w:r>
              <w:rPr>
                <w:spacing w:val="-1"/>
                <w:sz w:val="18"/>
              </w:rPr>
              <w:t> </w:t>
            </w:r>
            <w:r>
              <w:rPr>
                <w:spacing w:val="-2"/>
                <w:sz w:val="18"/>
              </w:rPr>
              <w:t>regression</w:t>
            </w:r>
          </w:p>
        </w:tc>
        <w:tc>
          <w:tcPr>
            <w:tcW w:w="1443" w:type="dxa"/>
          </w:tcPr>
          <w:p>
            <w:pPr>
              <w:pStyle w:val="TableParagraph"/>
              <w:spacing w:line="186" w:lineRule="exact"/>
              <w:ind w:right="118"/>
              <w:jc w:val="right"/>
              <w:rPr>
                <w:sz w:val="18"/>
              </w:rPr>
            </w:pPr>
            <w:r>
              <w:rPr>
                <w:spacing w:val="-2"/>
                <w:sz w:val="18"/>
              </w:rPr>
              <w:t>1.333630</w:t>
            </w:r>
          </w:p>
        </w:tc>
        <w:tc>
          <w:tcPr>
            <w:tcW w:w="2421" w:type="dxa"/>
            <w:gridSpan w:val="2"/>
          </w:tcPr>
          <w:p>
            <w:pPr>
              <w:pStyle w:val="TableParagraph"/>
              <w:spacing w:line="186" w:lineRule="exact"/>
              <w:ind w:left="121"/>
              <w:rPr>
                <w:sz w:val="18"/>
              </w:rPr>
            </w:pPr>
            <w:r>
              <w:rPr>
                <w:sz w:val="18"/>
              </w:rPr>
              <w:t>Akaike</w:t>
            </w:r>
            <w:r>
              <w:rPr>
                <w:spacing w:val="-5"/>
                <w:sz w:val="18"/>
              </w:rPr>
              <w:t> </w:t>
            </w:r>
            <w:r>
              <w:rPr>
                <w:sz w:val="18"/>
              </w:rPr>
              <w:t>info</w:t>
            </w:r>
            <w:r>
              <w:rPr>
                <w:spacing w:val="-2"/>
                <w:sz w:val="18"/>
              </w:rPr>
              <w:t> criterion</w:t>
            </w:r>
          </w:p>
        </w:tc>
        <w:tc>
          <w:tcPr>
            <w:tcW w:w="858" w:type="dxa"/>
          </w:tcPr>
          <w:p>
            <w:pPr>
              <w:pStyle w:val="TableParagraph"/>
              <w:spacing w:line="186" w:lineRule="exact"/>
              <w:ind w:right="32"/>
              <w:jc w:val="right"/>
              <w:rPr>
                <w:sz w:val="18"/>
              </w:rPr>
            </w:pPr>
            <w:r>
              <w:rPr>
                <w:spacing w:val="-2"/>
                <w:sz w:val="18"/>
              </w:rPr>
              <w:t>3.534793</w:t>
            </w:r>
          </w:p>
        </w:tc>
      </w:tr>
      <w:tr>
        <w:trPr>
          <w:trHeight w:val="206" w:hRule="atLeast"/>
        </w:trPr>
        <w:tc>
          <w:tcPr>
            <w:tcW w:w="1770" w:type="dxa"/>
          </w:tcPr>
          <w:p>
            <w:pPr>
              <w:pStyle w:val="TableParagraph"/>
              <w:spacing w:line="186" w:lineRule="exact"/>
              <w:ind w:left="36"/>
              <w:rPr>
                <w:sz w:val="18"/>
              </w:rPr>
            </w:pPr>
            <w:r>
              <w:rPr>
                <w:sz w:val="18"/>
              </w:rPr>
              <w:t>Sum</w:t>
            </w:r>
            <w:r>
              <w:rPr>
                <w:spacing w:val="-3"/>
                <w:sz w:val="18"/>
              </w:rPr>
              <w:t> </w:t>
            </w:r>
            <w:r>
              <w:rPr>
                <w:sz w:val="18"/>
              </w:rPr>
              <w:t>squared</w:t>
            </w:r>
            <w:r>
              <w:rPr>
                <w:spacing w:val="1"/>
                <w:sz w:val="18"/>
              </w:rPr>
              <w:t> </w:t>
            </w:r>
            <w:r>
              <w:rPr>
                <w:spacing w:val="-2"/>
                <w:sz w:val="18"/>
              </w:rPr>
              <w:t>resid</w:t>
            </w:r>
          </w:p>
        </w:tc>
        <w:tc>
          <w:tcPr>
            <w:tcW w:w="1443" w:type="dxa"/>
          </w:tcPr>
          <w:p>
            <w:pPr>
              <w:pStyle w:val="TableParagraph"/>
              <w:spacing w:line="186" w:lineRule="exact"/>
              <w:ind w:right="118"/>
              <w:jc w:val="right"/>
              <w:rPr>
                <w:sz w:val="18"/>
              </w:rPr>
            </w:pPr>
            <w:r>
              <w:rPr>
                <w:spacing w:val="-2"/>
                <w:sz w:val="18"/>
              </w:rPr>
              <w:t>35.57136</w:t>
            </w:r>
          </w:p>
        </w:tc>
        <w:tc>
          <w:tcPr>
            <w:tcW w:w="1522" w:type="dxa"/>
          </w:tcPr>
          <w:p>
            <w:pPr>
              <w:pStyle w:val="TableParagraph"/>
              <w:spacing w:line="186" w:lineRule="exact"/>
              <w:ind w:left="121"/>
              <w:rPr>
                <w:sz w:val="18"/>
              </w:rPr>
            </w:pPr>
            <w:r>
              <w:rPr>
                <w:sz w:val="18"/>
              </w:rPr>
              <w:t>Schwarz</w:t>
            </w:r>
            <w:r>
              <w:rPr>
                <w:spacing w:val="-7"/>
                <w:sz w:val="18"/>
              </w:rPr>
              <w:t> </w:t>
            </w:r>
            <w:r>
              <w:rPr>
                <w:spacing w:val="-2"/>
                <w:sz w:val="18"/>
              </w:rPr>
              <w:t>criterion</w:t>
            </w:r>
          </w:p>
        </w:tc>
        <w:tc>
          <w:tcPr>
            <w:tcW w:w="899" w:type="dxa"/>
          </w:tcPr>
          <w:p>
            <w:pPr>
              <w:pStyle w:val="TableParagraph"/>
              <w:rPr>
                <w:sz w:val="14"/>
              </w:rPr>
            </w:pPr>
          </w:p>
        </w:tc>
        <w:tc>
          <w:tcPr>
            <w:tcW w:w="858" w:type="dxa"/>
          </w:tcPr>
          <w:p>
            <w:pPr>
              <w:pStyle w:val="TableParagraph"/>
              <w:spacing w:line="186" w:lineRule="exact"/>
              <w:ind w:right="32"/>
              <w:jc w:val="right"/>
              <w:rPr>
                <w:sz w:val="18"/>
              </w:rPr>
            </w:pPr>
            <w:r>
              <w:rPr>
                <w:spacing w:val="-2"/>
                <w:sz w:val="18"/>
              </w:rPr>
              <w:t>3.682901</w:t>
            </w:r>
          </w:p>
        </w:tc>
      </w:tr>
      <w:tr>
        <w:trPr>
          <w:trHeight w:val="206" w:hRule="atLeast"/>
        </w:trPr>
        <w:tc>
          <w:tcPr>
            <w:tcW w:w="1770" w:type="dxa"/>
          </w:tcPr>
          <w:p>
            <w:pPr>
              <w:pStyle w:val="TableParagraph"/>
              <w:spacing w:line="186" w:lineRule="exact"/>
              <w:ind w:left="36"/>
              <w:rPr>
                <w:sz w:val="18"/>
              </w:rPr>
            </w:pPr>
            <w:r>
              <w:rPr>
                <w:sz w:val="18"/>
              </w:rPr>
              <w:t>Log</w:t>
            </w:r>
            <w:r>
              <w:rPr>
                <w:spacing w:val="-2"/>
                <w:sz w:val="18"/>
              </w:rPr>
              <w:t> likelihood</w:t>
            </w:r>
          </w:p>
        </w:tc>
        <w:tc>
          <w:tcPr>
            <w:tcW w:w="1443" w:type="dxa"/>
          </w:tcPr>
          <w:p>
            <w:pPr>
              <w:pStyle w:val="TableParagraph"/>
              <w:spacing w:line="186" w:lineRule="exact"/>
              <w:ind w:right="118"/>
              <w:jc w:val="right"/>
              <w:rPr>
                <w:sz w:val="18"/>
              </w:rPr>
            </w:pPr>
            <w:r>
              <w:rPr>
                <w:sz w:val="18"/>
              </w:rPr>
              <w:t>-</w:t>
            </w:r>
            <w:r>
              <w:rPr>
                <w:spacing w:val="-2"/>
                <w:sz w:val="18"/>
              </w:rPr>
              <w:t>37.65012</w:t>
            </w:r>
          </w:p>
        </w:tc>
        <w:tc>
          <w:tcPr>
            <w:tcW w:w="1522" w:type="dxa"/>
          </w:tcPr>
          <w:p>
            <w:pPr>
              <w:pStyle w:val="TableParagraph"/>
              <w:spacing w:line="186" w:lineRule="exact"/>
              <w:ind w:left="121"/>
              <w:rPr>
                <w:sz w:val="18"/>
              </w:rPr>
            </w:pPr>
            <w:r>
              <w:rPr>
                <w:sz w:val="18"/>
              </w:rPr>
              <w:t>F-</w:t>
            </w:r>
            <w:r>
              <w:rPr>
                <w:spacing w:val="-2"/>
                <w:sz w:val="18"/>
              </w:rPr>
              <w:t>statistic</w:t>
            </w:r>
          </w:p>
        </w:tc>
        <w:tc>
          <w:tcPr>
            <w:tcW w:w="899" w:type="dxa"/>
          </w:tcPr>
          <w:p>
            <w:pPr>
              <w:pStyle w:val="TableParagraph"/>
              <w:rPr>
                <w:sz w:val="14"/>
              </w:rPr>
            </w:pPr>
          </w:p>
        </w:tc>
        <w:tc>
          <w:tcPr>
            <w:tcW w:w="858" w:type="dxa"/>
          </w:tcPr>
          <w:p>
            <w:pPr>
              <w:pStyle w:val="TableParagraph"/>
              <w:spacing w:line="186" w:lineRule="exact"/>
              <w:ind w:right="32"/>
              <w:jc w:val="right"/>
              <w:rPr>
                <w:sz w:val="18"/>
              </w:rPr>
            </w:pPr>
            <w:r>
              <w:rPr>
                <w:spacing w:val="-2"/>
                <w:sz w:val="18"/>
              </w:rPr>
              <w:t>7.998462</w:t>
            </w:r>
          </w:p>
        </w:tc>
      </w:tr>
      <w:tr>
        <w:trPr>
          <w:trHeight w:val="244" w:hRule="atLeast"/>
        </w:trPr>
        <w:tc>
          <w:tcPr>
            <w:tcW w:w="1770" w:type="dxa"/>
            <w:tcBorders>
              <w:bottom w:val="double" w:sz="6" w:space="0" w:color="000000"/>
            </w:tcBorders>
          </w:tcPr>
          <w:p>
            <w:pPr>
              <w:pStyle w:val="TableParagraph"/>
              <w:spacing w:line="203" w:lineRule="exact"/>
              <w:ind w:left="36"/>
              <w:rPr>
                <w:sz w:val="18"/>
              </w:rPr>
            </w:pPr>
            <w:r>
              <w:rPr>
                <w:sz w:val="18"/>
              </w:rPr>
              <w:t>Durbin-Watson</w:t>
            </w:r>
            <w:r>
              <w:rPr>
                <w:spacing w:val="-2"/>
                <w:sz w:val="18"/>
              </w:rPr>
              <w:t> </w:t>
            </w:r>
            <w:r>
              <w:rPr>
                <w:spacing w:val="-4"/>
                <w:sz w:val="18"/>
              </w:rPr>
              <w:t>stat</w:t>
            </w:r>
          </w:p>
        </w:tc>
        <w:tc>
          <w:tcPr>
            <w:tcW w:w="1443" w:type="dxa"/>
          </w:tcPr>
          <w:p>
            <w:pPr>
              <w:pStyle w:val="TableParagraph"/>
              <w:spacing w:line="203" w:lineRule="exact"/>
              <w:ind w:right="118"/>
              <w:jc w:val="right"/>
              <w:rPr>
                <w:sz w:val="18"/>
              </w:rPr>
            </w:pPr>
            <w:r>
              <w:rPr>
                <w:spacing w:val="-2"/>
                <w:sz w:val="18"/>
              </w:rPr>
              <w:t>2.003970</w:t>
            </w:r>
          </w:p>
        </w:tc>
        <w:tc>
          <w:tcPr>
            <w:tcW w:w="1522" w:type="dxa"/>
            <w:tcBorders>
              <w:bottom w:val="double" w:sz="6" w:space="0" w:color="000000"/>
            </w:tcBorders>
          </w:tcPr>
          <w:p>
            <w:pPr>
              <w:pStyle w:val="TableParagraph"/>
              <w:spacing w:line="203" w:lineRule="exact"/>
              <w:ind w:left="119"/>
              <w:rPr>
                <w:sz w:val="18"/>
              </w:rPr>
            </w:pPr>
            <w:r>
              <w:rPr>
                <w:spacing w:val="-2"/>
                <w:sz w:val="18"/>
              </w:rPr>
              <w:t>Prob(F-statistic)</w:t>
            </w:r>
          </w:p>
        </w:tc>
        <w:tc>
          <w:tcPr>
            <w:tcW w:w="899" w:type="dxa"/>
          </w:tcPr>
          <w:p>
            <w:pPr>
              <w:pStyle w:val="TableParagraph"/>
              <w:rPr>
                <w:sz w:val="16"/>
              </w:rPr>
            </w:pPr>
          </w:p>
        </w:tc>
        <w:tc>
          <w:tcPr>
            <w:tcW w:w="858" w:type="dxa"/>
            <w:tcBorders>
              <w:bottom w:val="double" w:sz="6" w:space="0" w:color="000000"/>
            </w:tcBorders>
          </w:tcPr>
          <w:p>
            <w:pPr>
              <w:pStyle w:val="TableParagraph"/>
              <w:spacing w:line="203" w:lineRule="exact"/>
              <w:ind w:right="32"/>
              <w:jc w:val="right"/>
              <w:rPr>
                <w:sz w:val="18"/>
              </w:rPr>
            </w:pPr>
            <w:r>
              <w:rPr>
                <w:spacing w:val="-2"/>
                <w:sz w:val="18"/>
              </w:rPr>
              <w:t>0.002803</w:t>
            </w:r>
          </w:p>
        </w:tc>
      </w:tr>
    </w:tbl>
    <w:p>
      <w:pPr>
        <w:pStyle w:val="BodyText"/>
        <w:spacing w:before="17"/>
        <w:rPr>
          <w:sz w:val="18"/>
        </w:rPr>
      </w:pPr>
    </w:p>
    <w:p>
      <w:pPr>
        <w:spacing w:before="0" w:after="2"/>
        <w:ind w:left="711" w:right="0" w:firstLine="0"/>
        <w:jc w:val="left"/>
        <w:rPr>
          <w:sz w:val="18"/>
        </w:rPr>
      </w:pPr>
      <w:r>
        <w:rPr>
          <w:sz w:val="18"/>
        </w:rPr>
        <w:t>RES</w:t>
      </w:r>
      <w:r>
        <w:rPr>
          <w:spacing w:val="-1"/>
          <w:sz w:val="18"/>
        </w:rPr>
        <w:t> </w:t>
      </w:r>
      <w:r>
        <w:rPr>
          <w:sz w:val="18"/>
        </w:rPr>
        <w:t>@ 1</w:t>
      </w:r>
      <w:r>
        <w:rPr>
          <w:sz w:val="18"/>
          <w:vertAlign w:val="superscript"/>
        </w:rPr>
        <w:t>ST</w:t>
      </w:r>
      <w:r>
        <w:rPr>
          <w:spacing w:val="1"/>
          <w:sz w:val="18"/>
          <w:vertAlign w:val="baseline"/>
        </w:rPr>
        <w:t> </w:t>
      </w:r>
      <w:r>
        <w:rPr>
          <w:spacing w:val="-4"/>
          <w:sz w:val="18"/>
          <w:vertAlign w:val="baseline"/>
        </w:rPr>
        <w:t>DIFF</w:t>
      </w:r>
    </w:p>
    <w:tbl>
      <w:tblPr>
        <w:tblW w:w="0" w:type="auto"/>
        <w:jc w:val="left"/>
        <w:tblInd w:w="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92"/>
        <w:gridCol w:w="1421"/>
        <w:gridCol w:w="1522"/>
        <w:gridCol w:w="869"/>
        <w:gridCol w:w="888"/>
      </w:tblGrid>
      <w:tr>
        <w:trPr>
          <w:trHeight w:val="202" w:hRule="atLeast"/>
        </w:trPr>
        <w:tc>
          <w:tcPr>
            <w:tcW w:w="1792" w:type="dxa"/>
          </w:tcPr>
          <w:p>
            <w:pPr>
              <w:pStyle w:val="TableParagraph"/>
              <w:spacing w:line="183" w:lineRule="exact"/>
              <w:ind w:left="36"/>
              <w:rPr>
                <w:sz w:val="18"/>
              </w:rPr>
            </w:pPr>
            <w:r>
              <w:rPr>
                <w:sz w:val="18"/>
              </w:rPr>
              <w:t>ADF</w:t>
            </w:r>
            <w:r>
              <w:rPr>
                <w:spacing w:val="-1"/>
                <w:sz w:val="18"/>
              </w:rPr>
              <w:t> </w:t>
            </w:r>
            <w:r>
              <w:rPr>
                <w:sz w:val="18"/>
              </w:rPr>
              <w:t>Test</w:t>
            </w:r>
            <w:r>
              <w:rPr>
                <w:spacing w:val="-2"/>
                <w:sz w:val="18"/>
              </w:rPr>
              <w:t> Statistic</w:t>
            </w:r>
          </w:p>
        </w:tc>
        <w:tc>
          <w:tcPr>
            <w:tcW w:w="1421" w:type="dxa"/>
          </w:tcPr>
          <w:p>
            <w:pPr>
              <w:pStyle w:val="TableParagraph"/>
              <w:spacing w:line="183" w:lineRule="exact"/>
              <w:ind w:left="274"/>
              <w:rPr>
                <w:sz w:val="18"/>
              </w:rPr>
            </w:pPr>
            <w:r>
              <w:rPr>
                <w:sz w:val="18"/>
              </w:rPr>
              <w:t>-</w:t>
            </w:r>
            <w:r>
              <w:rPr>
                <w:spacing w:val="-2"/>
                <w:sz w:val="18"/>
              </w:rPr>
              <w:t>4.189475</w:t>
            </w:r>
          </w:p>
        </w:tc>
        <w:tc>
          <w:tcPr>
            <w:tcW w:w="2391" w:type="dxa"/>
            <w:gridSpan w:val="2"/>
          </w:tcPr>
          <w:p>
            <w:pPr>
              <w:pStyle w:val="TableParagraph"/>
              <w:spacing w:line="183" w:lineRule="exact"/>
              <w:ind w:left="121"/>
              <w:rPr>
                <w:sz w:val="18"/>
              </w:rPr>
            </w:pPr>
            <w:r>
              <w:rPr>
                <w:sz w:val="18"/>
              </w:rPr>
              <w:t>1%</w:t>
            </w:r>
            <w:r>
              <w:rPr>
                <w:spacing w:val="63"/>
                <w:w w:val="150"/>
                <w:sz w:val="18"/>
              </w:rPr>
              <w:t> </w:t>
            </w:r>
            <w:r>
              <w:rPr>
                <w:sz w:val="18"/>
              </w:rPr>
              <w:t>Critical</w:t>
            </w:r>
            <w:r>
              <w:rPr>
                <w:spacing w:val="-2"/>
                <w:sz w:val="18"/>
              </w:rPr>
              <w:t> Value*</w:t>
            </w:r>
          </w:p>
        </w:tc>
        <w:tc>
          <w:tcPr>
            <w:tcW w:w="888" w:type="dxa"/>
          </w:tcPr>
          <w:p>
            <w:pPr>
              <w:pStyle w:val="TableParagraph"/>
              <w:spacing w:line="183" w:lineRule="exact"/>
              <w:ind w:right="33"/>
              <w:jc w:val="right"/>
              <w:rPr>
                <w:sz w:val="18"/>
              </w:rPr>
            </w:pPr>
            <w:r>
              <w:rPr>
                <w:sz w:val="18"/>
              </w:rPr>
              <w:t>-</w:t>
            </w:r>
            <w:r>
              <w:rPr>
                <w:spacing w:val="-2"/>
                <w:sz w:val="18"/>
              </w:rPr>
              <w:t>3.7667</w:t>
            </w:r>
          </w:p>
        </w:tc>
      </w:tr>
      <w:tr>
        <w:trPr>
          <w:trHeight w:val="206" w:hRule="atLeast"/>
        </w:trPr>
        <w:tc>
          <w:tcPr>
            <w:tcW w:w="1792" w:type="dxa"/>
          </w:tcPr>
          <w:p>
            <w:pPr>
              <w:pStyle w:val="TableParagraph"/>
              <w:rPr>
                <w:sz w:val="14"/>
              </w:rPr>
            </w:pPr>
          </w:p>
        </w:tc>
        <w:tc>
          <w:tcPr>
            <w:tcW w:w="1421" w:type="dxa"/>
          </w:tcPr>
          <w:p>
            <w:pPr>
              <w:pStyle w:val="TableParagraph"/>
              <w:rPr>
                <w:sz w:val="14"/>
              </w:rPr>
            </w:pPr>
          </w:p>
        </w:tc>
        <w:tc>
          <w:tcPr>
            <w:tcW w:w="1522" w:type="dxa"/>
          </w:tcPr>
          <w:p>
            <w:pPr>
              <w:pStyle w:val="TableParagraph"/>
              <w:spacing w:line="186" w:lineRule="exact"/>
              <w:ind w:left="121"/>
              <w:rPr>
                <w:sz w:val="18"/>
              </w:rPr>
            </w:pPr>
            <w:r>
              <w:rPr>
                <w:sz w:val="18"/>
              </w:rPr>
              <w:t>5%</w:t>
            </w:r>
            <w:r>
              <w:rPr>
                <w:spacing w:val="63"/>
                <w:w w:val="150"/>
                <w:sz w:val="18"/>
              </w:rPr>
              <w:t> </w:t>
            </w:r>
            <w:r>
              <w:rPr>
                <w:sz w:val="18"/>
              </w:rPr>
              <w:t>Critical</w:t>
            </w:r>
            <w:r>
              <w:rPr>
                <w:spacing w:val="-2"/>
                <w:sz w:val="18"/>
              </w:rPr>
              <w:t> Value</w:t>
            </w:r>
          </w:p>
        </w:tc>
        <w:tc>
          <w:tcPr>
            <w:tcW w:w="869" w:type="dxa"/>
          </w:tcPr>
          <w:p>
            <w:pPr>
              <w:pStyle w:val="TableParagraph"/>
              <w:rPr>
                <w:sz w:val="14"/>
              </w:rPr>
            </w:pPr>
          </w:p>
        </w:tc>
        <w:tc>
          <w:tcPr>
            <w:tcW w:w="888" w:type="dxa"/>
          </w:tcPr>
          <w:p>
            <w:pPr>
              <w:pStyle w:val="TableParagraph"/>
              <w:spacing w:line="186" w:lineRule="exact"/>
              <w:ind w:right="33"/>
              <w:jc w:val="right"/>
              <w:rPr>
                <w:sz w:val="18"/>
              </w:rPr>
            </w:pPr>
            <w:r>
              <w:rPr>
                <w:sz w:val="18"/>
              </w:rPr>
              <w:t>-</w:t>
            </w:r>
            <w:r>
              <w:rPr>
                <w:spacing w:val="-2"/>
                <w:sz w:val="18"/>
              </w:rPr>
              <w:t>3.0038</w:t>
            </w:r>
          </w:p>
        </w:tc>
      </w:tr>
      <w:tr>
        <w:trPr>
          <w:trHeight w:val="201" w:hRule="atLeast"/>
        </w:trPr>
        <w:tc>
          <w:tcPr>
            <w:tcW w:w="1792" w:type="dxa"/>
            <w:tcBorders>
              <w:bottom w:val="double" w:sz="6" w:space="0" w:color="000000"/>
            </w:tcBorders>
          </w:tcPr>
          <w:p>
            <w:pPr>
              <w:pStyle w:val="TableParagraph"/>
              <w:rPr>
                <w:sz w:val="14"/>
              </w:rPr>
            </w:pPr>
          </w:p>
        </w:tc>
        <w:tc>
          <w:tcPr>
            <w:tcW w:w="1421" w:type="dxa"/>
            <w:tcBorders>
              <w:bottom w:val="double" w:sz="6" w:space="0" w:color="000000"/>
            </w:tcBorders>
          </w:tcPr>
          <w:p>
            <w:pPr>
              <w:pStyle w:val="TableParagraph"/>
              <w:rPr>
                <w:sz w:val="14"/>
              </w:rPr>
            </w:pPr>
          </w:p>
        </w:tc>
        <w:tc>
          <w:tcPr>
            <w:tcW w:w="1522" w:type="dxa"/>
            <w:tcBorders>
              <w:bottom w:val="double" w:sz="6" w:space="0" w:color="000000"/>
            </w:tcBorders>
          </w:tcPr>
          <w:p>
            <w:pPr>
              <w:pStyle w:val="TableParagraph"/>
              <w:spacing w:line="181" w:lineRule="exact"/>
              <w:ind w:left="121"/>
              <w:rPr>
                <w:sz w:val="18"/>
              </w:rPr>
            </w:pPr>
            <w:r>
              <w:rPr>
                <w:sz w:val="18"/>
              </w:rPr>
              <w:t>10%</w:t>
            </w:r>
            <w:r>
              <w:rPr>
                <w:spacing w:val="-5"/>
                <w:sz w:val="18"/>
              </w:rPr>
              <w:t> </w:t>
            </w:r>
            <w:r>
              <w:rPr>
                <w:sz w:val="18"/>
              </w:rPr>
              <w:t>Critical</w:t>
            </w:r>
            <w:r>
              <w:rPr>
                <w:spacing w:val="-3"/>
                <w:sz w:val="18"/>
              </w:rPr>
              <w:t> </w:t>
            </w:r>
            <w:r>
              <w:rPr>
                <w:spacing w:val="-2"/>
                <w:sz w:val="18"/>
              </w:rPr>
              <w:t>Value</w:t>
            </w:r>
          </w:p>
        </w:tc>
        <w:tc>
          <w:tcPr>
            <w:tcW w:w="869" w:type="dxa"/>
            <w:tcBorders>
              <w:bottom w:val="double" w:sz="6" w:space="0" w:color="000000"/>
            </w:tcBorders>
          </w:tcPr>
          <w:p>
            <w:pPr>
              <w:pStyle w:val="TableParagraph"/>
              <w:rPr>
                <w:sz w:val="14"/>
              </w:rPr>
            </w:pPr>
          </w:p>
        </w:tc>
        <w:tc>
          <w:tcPr>
            <w:tcW w:w="888" w:type="dxa"/>
            <w:tcBorders>
              <w:bottom w:val="double" w:sz="6" w:space="0" w:color="000000"/>
            </w:tcBorders>
          </w:tcPr>
          <w:p>
            <w:pPr>
              <w:pStyle w:val="TableParagraph"/>
              <w:spacing w:line="181" w:lineRule="exact"/>
              <w:ind w:right="33"/>
              <w:jc w:val="right"/>
              <w:rPr>
                <w:sz w:val="18"/>
              </w:rPr>
            </w:pPr>
            <w:r>
              <w:rPr>
                <w:sz w:val="18"/>
              </w:rPr>
              <w:t>-</w:t>
            </w:r>
            <w:r>
              <w:rPr>
                <w:spacing w:val="-2"/>
                <w:sz w:val="18"/>
              </w:rPr>
              <w:t>2.6417</w:t>
            </w:r>
          </w:p>
        </w:tc>
      </w:tr>
      <w:tr>
        <w:trPr>
          <w:trHeight w:val="460" w:hRule="atLeast"/>
        </w:trPr>
        <w:tc>
          <w:tcPr>
            <w:tcW w:w="6492" w:type="dxa"/>
            <w:gridSpan w:val="5"/>
            <w:tcBorders>
              <w:top w:val="double" w:sz="6" w:space="0" w:color="000000"/>
            </w:tcBorders>
          </w:tcPr>
          <w:p>
            <w:pPr>
              <w:pStyle w:val="TableParagraph"/>
              <w:spacing w:before="42"/>
              <w:ind w:left="36"/>
              <w:rPr>
                <w:sz w:val="18"/>
              </w:rPr>
            </w:pPr>
            <w:r>
              <w:rPr>
                <w:sz w:val="18"/>
              </w:rPr>
              <w:t>*MacKinnon</w:t>
            </w:r>
            <w:r>
              <w:rPr>
                <w:spacing w:val="-1"/>
                <w:sz w:val="18"/>
              </w:rPr>
              <w:t> </w:t>
            </w:r>
            <w:r>
              <w:rPr>
                <w:sz w:val="18"/>
              </w:rPr>
              <w:t>critical</w:t>
            </w:r>
            <w:r>
              <w:rPr>
                <w:spacing w:val="-1"/>
                <w:sz w:val="18"/>
              </w:rPr>
              <w:t> </w:t>
            </w:r>
            <w:r>
              <w:rPr>
                <w:sz w:val="18"/>
              </w:rPr>
              <w:t>values</w:t>
            </w:r>
            <w:r>
              <w:rPr>
                <w:spacing w:val="-1"/>
                <w:sz w:val="18"/>
              </w:rPr>
              <w:t> </w:t>
            </w:r>
            <w:r>
              <w:rPr>
                <w:sz w:val="18"/>
              </w:rPr>
              <w:t>for</w:t>
            </w:r>
            <w:r>
              <w:rPr>
                <w:spacing w:val="-1"/>
                <w:sz w:val="18"/>
              </w:rPr>
              <w:t> </w:t>
            </w:r>
            <w:r>
              <w:rPr>
                <w:sz w:val="18"/>
              </w:rPr>
              <w:t>rejection</w:t>
            </w:r>
            <w:r>
              <w:rPr>
                <w:spacing w:val="-2"/>
                <w:sz w:val="18"/>
              </w:rPr>
              <w:t> </w:t>
            </w:r>
            <w:r>
              <w:rPr>
                <w:sz w:val="18"/>
              </w:rPr>
              <w:t>of</w:t>
            </w:r>
            <w:r>
              <w:rPr>
                <w:spacing w:val="-3"/>
                <w:sz w:val="18"/>
              </w:rPr>
              <w:t> </w:t>
            </w:r>
            <w:r>
              <w:rPr>
                <w:sz w:val="18"/>
              </w:rPr>
              <w:t>hypothesis</w:t>
            </w:r>
            <w:r>
              <w:rPr>
                <w:spacing w:val="-1"/>
                <w:sz w:val="18"/>
              </w:rPr>
              <w:t> </w:t>
            </w:r>
            <w:r>
              <w:rPr>
                <w:sz w:val="18"/>
              </w:rPr>
              <w:t>of</w:t>
            </w:r>
            <w:r>
              <w:rPr>
                <w:spacing w:val="-3"/>
                <w:sz w:val="18"/>
              </w:rPr>
              <w:t> </w:t>
            </w:r>
            <w:r>
              <w:rPr>
                <w:sz w:val="18"/>
              </w:rPr>
              <w:t>a</w:t>
            </w:r>
            <w:r>
              <w:rPr>
                <w:spacing w:val="-2"/>
                <w:sz w:val="18"/>
              </w:rPr>
              <w:t> </w:t>
            </w:r>
            <w:r>
              <w:rPr>
                <w:sz w:val="18"/>
              </w:rPr>
              <w:t>unit</w:t>
            </w:r>
            <w:r>
              <w:rPr>
                <w:spacing w:val="-2"/>
                <w:sz w:val="18"/>
              </w:rPr>
              <w:t> root.</w:t>
            </w:r>
          </w:p>
        </w:tc>
      </w:tr>
      <w:tr>
        <w:trPr>
          <w:trHeight w:val="414" w:hRule="atLeast"/>
        </w:trPr>
        <w:tc>
          <w:tcPr>
            <w:tcW w:w="6492" w:type="dxa"/>
            <w:gridSpan w:val="5"/>
          </w:tcPr>
          <w:p>
            <w:pPr>
              <w:pStyle w:val="TableParagraph"/>
              <w:spacing w:line="191" w:lineRule="exact" w:before="203"/>
              <w:ind w:left="36"/>
              <w:rPr>
                <w:sz w:val="18"/>
              </w:rPr>
            </w:pPr>
            <w:r>
              <w:rPr>
                <w:sz w:val="18"/>
              </w:rPr>
              <w:t>Augmented</w:t>
            </w:r>
            <w:r>
              <w:rPr>
                <w:spacing w:val="-3"/>
                <w:sz w:val="18"/>
              </w:rPr>
              <w:t> </w:t>
            </w:r>
            <w:r>
              <w:rPr>
                <w:sz w:val="18"/>
              </w:rPr>
              <w:t>Dickey-Fuller</w:t>
            </w:r>
            <w:r>
              <w:rPr>
                <w:spacing w:val="-3"/>
                <w:sz w:val="18"/>
              </w:rPr>
              <w:t> </w:t>
            </w:r>
            <w:r>
              <w:rPr>
                <w:sz w:val="18"/>
              </w:rPr>
              <w:t>Test</w:t>
            </w:r>
            <w:r>
              <w:rPr>
                <w:spacing w:val="-3"/>
                <w:sz w:val="18"/>
              </w:rPr>
              <w:t> </w:t>
            </w:r>
            <w:r>
              <w:rPr>
                <w:spacing w:val="-2"/>
                <w:sz w:val="18"/>
              </w:rPr>
              <w:t>Equation</w:t>
            </w:r>
          </w:p>
        </w:tc>
      </w:tr>
      <w:tr>
        <w:trPr>
          <w:trHeight w:val="206" w:hRule="atLeast"/>
        </w:trPr>
        <w:tc>
          <w:tcPr>
            <w:tcW w:w="6492" w:type="dxa"/>
            <w:gridSpan w:val="5"/>
          </w:tcPr>
          <w:p>
            <w:pPr>
              <w:pStyle w:val="TableParagraph"/>
              <w:spacing w:line="186" w:lineRule="exact"/>
              <w:ind w:left="36"/>
              <w:rPr>
                <w:sz w:val="18"/>
              </w:rPr>
            </w:pPr>
            <w:r>
              <w:rPr>
                <w:sz w:val="18"/>
              </w:rPr>
              <w:t>Dependent</w:t>
            </w:r>
            <w:r>
              <w:rPr>
                <w:spacing w:val="-1"/>
                <w:sz w:val="18"/>
              </w:rPr>
              <w:t> </w:t>
            </w:r>
            <w:r>
              <w:rPr>
                <w:sz w:val="18"/>
              </w:rPr>
              <w:t>Variable:</w:t>
            </w:r>
            <w:r>
              <w:rPr>
                <w:spacing w:val="-2"/>
                <w:sz w:val="18"/>
              </w:rPr>
              <w:t> D(RES,2)</w:t>
            </w:r>
          </w:p>
        </w:tc>
      </w:tr>
      <w:tr>
        <w:trPr>
          <w:trHeight w:val="206" w:hRule="atLeast"/>
        </w:trPr>
        <w:tc>
          <w:tcPr>
            <w:tcW w:w="1792" w:type="dxa"/>
          </w:tcPr>
          <w:p>
            <w:pPr>
              <w:pStyle w:val="TableParagraph"/>
              <w:spacing w:line="186" w:lineRule="exact"/>
              <w:ind w:left="36"/>
              <w:rPr>
                <w:sz w:val="18"/>
              </w:rPr>
            </w:pPr>
            <w:r>
              <w:rPr>
                <w:sz w:val="18"/>
              </w:rPr>
              <w:t>Method:</w:t>
            </w:r>
            <w:r>
              <w:rPr>
                <w:spacing w:val="-3"/>
                <w:sz w:val="18"/>
              </w:rPr>
              <w:t> </w:t>
            </w:r>
            <w:r>
              <w:rPr>
                <w:sz w:val="18"/>
              </w:rPr>
              <w:t>Least</w:t>
            </w:r>
            <w:r>
              <w:rPr>
                <w:spacing w:val="-2"/>
                <w:sz w:val="18"/>
              </w:rPr>
              <w:t> Squares</w:t>
            </w:r>
          </w:p>
        </w:tc>
        <w:tc>
          <w:tcPr>
            <w:tcW w:w="1421" w:type="dxa"/>
          </w:tcPr>
          <w:p>
            <w:pPr>
              <w:pStyle w:val="TableParagraph"/>
              <w:rPr>
                <w:sz w:val="14"/>
              </w:rPr>
            </w:pPr>
          </w:p>
        </w:tc>
        <w:tc>
          <w:tcPr>
            <w:tcW w:w="1522" w:type="dxa"/>
          </w:tcPr>
          <w:p>
            <w:pPr>
              <w:pStyle w:val="TableParagraph"/>
              <w:rPr>
                <w:sz w:val="14"/>
              </w:rPr>
            </w:pPr>
          </w:p>
        </w:tc>
        <w:tc>
          <w:tcPr>
            <w:tcW w:w="869" w:type="dxa"/>
          </w:tcPr>
          <w:p>
            <w:pPr>
              <w:pStyle w:val="TableParagraph"/>
              <w:rPr>
                <w:sz w:val="14"/>
              </w:rPr>
            </w:pPr>
          </w:p>
        </w:tc>
        <w:tc>
          <w:tcPr>
            <w:tcW w:w="888" w:type="dxa"/>
          </w:tcPr>
          <w:p>
            <w:pPr>
              <w:pStyle w:val="TableParagraph"/>
              <w:rPr>
                <w:sz w:val="14"/>
              </w:rPr>
            </w:pPr>
          </w:p>
        </w:tc>
      </w:tr>
      <w:tr>
        <w:trPr>
          <w:trHeight w:val="206" w:hRule="atLeast"/>
        </w:trPr>
        <w:tc>
          <w:tcPr>
            <w:tcW w:w="6492" w:type="dxa"/>
            <w:gridSpan w:val="5"/>
          </w:tcPr>
          <w:p>
            <w:pPr>
              <w:pStyle w:val="TableParagraph"/>
              <w:spacing w:line="186" w:lineRule="exact"/>
              <w:ind w:left="36"/>
              <w:rPr>
                <w:sz w:val="18"/>
              </w:rPr>
            </w:pPr>
            <w:r>
              <w:rPr>
                <w:sz w:val="18"/>
              </w:rPr>
              <w:t>Date:</w:t>
            </w:r>
            <w:r>
              <w:rPr>
                <w:spacing w:val="-2"/>
                <w:sz w:val="18"/>
              </w:rPr>
              <w:t> </w:t>
            </w:r>
            <w:r>
              <w:rPr>
                <w:sz w:val="18"/>
              </w:rPr>
              <w:t>02/17/14</w:t>
            </w:r>
            <w:r>
              <w:rPr>
                <w:spacing w:val="63"/>
                <w:w w:val="150"/>
                <w:sz w:val="18"/>
              </w:rPr>
              <w:t> </w:t>
            </w:r>
            <w:r>
              <w:rPr>
                <w:sz w:val="18"/>
              </w:rPr>
              <w:t>Time:</w:t>
            </w:r>
            <w:r>
              <w:rPr>
                <w:spacing w:val="-1"/>
                <w:sz w:val="18"/>
              </w:rPr>
              <w:t> </w:t>
            </w:r>
            <w:r>
              <w:rPr>
                <w:spacing w:val="-4"/>
                <w:sz w:val="18"/>
              </w:rPr>
              <w:t>18:14</w:t>
            </w:r>
          </w:p>
        </w:tc>
      </w:tr>
      <w:tr>
        <w:trPr>
          <w:trHeight w:val="207" w:hRule="atLeast"/>
        </w:trPr>
        <w:tc>
          <w:tcPr>
            <w:tcW w:w="6492" w:type="dxa"/>
            <w:gridSpan w:val="5"/>
          </w:tcPr>
          <w:p>
            <w:pPr>
              <w:pStyle w:val="TableParagraph"/>
              <w:spacing w:line="188" w:lineRule="exact"/>
              <w:ind w:left="36"/>
              <w:rPr>
                <w:sz w:val="18"/>
              </w:rPr>
            </w:pPr>
            <w:r>
              <w:rPr>
                <w:sz w:val="18"/>
              </w:rPr>
              <w:t>Sample(adjusted):</w:t>
            </w:r>
            <w:r>
              <w:rPr>
                <w:spacing w:val="-6"/>
                <w:sz w:val="18"/>
              </w:rPr>
              <w:t> </w:t>
            </w:r>
            <w:r>
              <w:rPr>
                <w:sz w:val="18"/>
              </w:rPr>
              <w:t>1990</w:t>
            </w:r>
            <w:r>
              <w:rPr>
                <w:spacing w:val="-2"/>
                <w:sz w:val="18"/>
              </w:rPr>
              <w:t> </w:t>
            </w:r>
            <w:r>
              <w:rPr>
                <w:spacing w:val="-4"/>
                <w:sz w:val="18"/>
              </w:rPr>
              <w:t>2011</w:t>
            </w:r>
          </w:p>
        </w:tc>
      </w:tr>
      <w:tr>
        <w:trPr>
          <w:trHeight w:val="202" w:hRule="atLeast"/>
        </w:trPr>
        <w:tc>
          <w:tcPr>
            <w:tcW w:w="6492" w:type="dxa"/>
            <w:gridSpan w:val="5"/>
            <w:tcBorders>
              <w:bottom w:val="double" w:sz="6" w:space="0" w:color="000000"/>
            </w:tcBorders>
          </w:tcPr>
          <w:p>
            <w:pPr>
              <w:pStyle w:val="TableParagraph"/>
              <w:spacing w:line="183" w:lineRule="exact"/>
              <w:ind w:left="36"/>
              <w:rPr>
                <w:sz w:val="18"/>
              </w:rPr>
            </w:pPr>
            <w:r>
              <w:rPr>
                <w:sz w:val="18"/>
              </w:rPr>
              <w:t>Included</w:t>
            </w:r>
            <w:r>
              <w:rPr>
                <w:spacing w:val="-1"/>
                <w:sz w:val="18"/>
              </w:rPr>
              <w:t> </w:t>
            </w:r>
            <w:r>
              <w:rPr>
                <w:sz w:val="18"/>
              </w:rPr>
              <w:t>observations:</w:t>
            </w:r>
            <w:r>
              <w:rPr>
                <w:spacing w:val="-3"/>
                <w:sz w:val="18"/>
              </w:rPr>
              <w:t> </w:t>
            </w:r>
            <w:r>
              <w:rPr>
                <w:sz w:val="18"/>
              </w:rPr>
              <w:t>22</w:t>
            </w:r>
            <w:r>
              <w:rPr>
                <w:spacing w:val="-1"/>
                <w:sz w:val="18"/>
              </w:rPr>
              <w:t> </w:t>
            </w:r>
            <w:r>
              <w:rPr>
                <w:sz w:val="18"/>
              </w:rPr>
              <w:t>after</w:t>
            </w:r>
            <w:r>
              <w:rPr>
                <w:spacing w:val="-1"/>
                <w:sz w:val="18"/>
              </w:rPr>
              <w:t> </w:t>
            </w:r>
            <w:r>
              <w:rPr>
                <w:sz w:val="18"/>
              </w:rPr>
              <w:t>adjusting</w:t>
            </w:r>
            <w:r>
              <w:rPr>
                <w:spacing w:val="-2"/>
                <w:sz w:val="18"/>
              </w:rPr>
              <w:t> endpoints</w:t>
            </w:r>
          </w:p>
        </w:tc>
      </w:tr>
      <w:tr>
        <w:trPr>
          <w:trHeight w:val="247" w:hRule="atLeast"/>
        </w:trPr>
        <w:tc>
          <w:tcPr>
            <w:tcW w:w="1792" w:type="dxa"/>
            <w:tcBorders>
              <w:top w:val="double" w:sz="6" w:space="0" w:color="000000"/>
              <w:bottom w:val="double" w:sz="6" w:space="0" w:color="000000"/>
            </w:tcBorders>
          </w:tcPr>
          <w:p>
            <w:pPr>
              <w:pStyle w:val="TableParagraph"/>
              <w:spacing w:line="188" w:lineRule="exact" w:before="40"/>
              <w:ind w:left="713"/>
              <w:rPr>
                <w:sz w:val="18"/>
              </w:rPr>
            </w:pPr>
            <w:r>
              <w:rPr>
                <w:spacing w:val="-2"/>
                <w:sz w:val="18"/>
              </w:rPr>
              <w:t>Variable</w:t>
            </w:r>
          </w:p>
        </w:tc>
        <w:tc>
          <w:tcPr>
            <w:tcW w:w="1421" w:type="dxa"/>
            <w:tcBorders>
              <w:top w:val="double" w:sz="6" w:space="0" w:color="000000"/>
              <w:bottom w:val="double" w:sz="6" w:space="0" w:color="000000"/>
            </w:tcBorders>
          </w:tcPr>
          <w:p>
            <w:pPr>
              <w:pStyle w:val="TableParagraph"/>
              <w:spacing w:line="188" w:lineRule="exact" w:before="40"/>
              <w:ind w:right="120"/>
              <w:jc w:val="right"/>
              <w:rPr>
                <w:sz w:val="18"/>
              </w:rPr>
            </w:pPr>
            <w:r>
              <w:rPr>
                <w:spacing w:val="-2"/>
                <w:sz w:val="18"/>
              </w:rPr>
              <w:t>Coefficient</w:t>
            </w:r>
          </w:p>
        </w:tc>
        <w:tc>
          <w:tcPr>
            <w:tcW w:w="1522" w:type="dxa"/>
            <w:tcBorders>
              <w:top w:val="double" w:sz="6" w:space="0" w:color="000000"/>
              <w:bottom w:val="double" w:sz="6" w:space="0" w:color="000000"/>
            </w:tcBorders>
          </w:tcPr>
          <w:p>
            <w:pPr>
              <w:pStyle w:val="TableParagraph"/>
              <w:spacing w:line="188" w:lineRule="exact" w:before="40"/>
              <w:ind w:left="361"/>
              <w:rPr>
                <w:sz w:val="18"/>
              </w:rPr>
            </w:pPr>
            <w:r>
              <w:rPr>
                <w:sz w:val="18"/>
              </w:rPr>
              <w:t>Std.</w:t>
            </w:r>
            <w:r>
              <w:rPr>
                <w:spacing w:val="-1"/>
                <w:sz w:val="18"/>
              </w:rPr>
              <w:t> </w:t>
            </w:r>
            <w:r>
              <w:rPr>
                <w:spacing w:val="-4"/>
                <w:sz w:val="18"/>
              </w:rPr>
              <w:t>Error</w:t>
            </w:r>
          </w:p>
        </w:tc>
        <w:tc>
          <w:tcPr>
            <w:tcW w:w="869" w:type="dxa"/>
            <w:tcBorders>
              <w:top w:val="double" w:sz="6" w:space="0" w:color="000000"/>
              <w:bottom w:val="double" w:sz="6" w:space="0" w:color="000000"/>
            </w:tcBorders>
          </w:tcPr>
          <w:p>
            <w:pPr>
              <w:pStyle w:val="TableParagraph"/>
              <w:spacing w:line="188" w:lineRule="exact" w:before="40"/>
              <w:ind w:right="121"/>
              <w:jc w:val="right"/>
              <w:rPr>
                <w:sz w:val="18"/>
              </w:rPr>
            </w:pPr>
            <w:r>
              <w:rPr>
                <w:sz w:val="18"/>
              </w:rPr>
              <w:t>t-</w:t>
            </w:r>
            <w:r>
              <w:rPr>
                <w:spacing w:val="-2"/>
                <w:sz w:val="18"/>
              </w:rPr>
              <w:t>Statistic</w:t>
            </w:r>
          </w:p>
        </w:tc>
        <w:tc>
          <w:tcPr>
            <w:tcW w:w="888" w:type="dxa"/>
            <w:tcBorders>
              <w:top w:val="double" w:sz="6" w:space="0" w:color="000000"/>
              <w:bottom w:val="double" w:sz="6" w:space="0" w:color="000000"/>
            </w:tcBorders>
          </w:tcPr>
          <w:p>
            <w:pPr>
              <w:pStyle w:val="TableParagraph"/>
              <w:spacing w:line="188" w:lineRule="exact" w:before="40"/>
              <w:ind w:right="33"/>
              <w:jc w:val="right"/>
              <w:rPr>
                <w:sz w:val="18"/>
              </w:rPr>
            </w:pPr>
            <w:r>
              <w:rPr>
                <w:spacing w:val="-2"/>
                <w:sz w:val="18"/>
              </w:rPr>
              <w:t>Prob.</w:t>
            </w:r>
          </w:p>
        </w:tc>
      </w:tr>
      <w:tr>
        <w:trPr>
          <w:trHeight w:val="250" w:hRule="atLeast"/>
        </w:trPr>
        <w:tc>
          <w:tcPr>
            <w:tcW w:w="1792" w:type="dxa"/>
            <w:tcBorders>
              <w:top w:val="double" w:sz="6" w:space="0" w:color="000000"/>
            </w:tcBorders>
          </w:tcPr>
          <w:p>
            <w:pPr>
              <w:pStyle w:val="TableParagraph"/>
              <w:spacing w:line="191" w:lineRule="exact" w:before="40"/>
              <w:ind w:left="598"/>
              <w:rPr>
                <w:sz w:val="18"/>
              </w:rPr>
            </w:pPr>
            <w:r>
              <w:rPr>
                <w:sz w:val="18"/>
              </w:rPr>
              <w:t>D(RES(-</w:t>
            </w:r>
            <w:r>
              <w:rPr>
                <w:spacing w:val="-5"/>
                <w:sz w:val="18"/>
              </w:rPr>
              <w:t>1))</w:t>
            </w:r>
          </w:p>
        </w:tc>
        <w:tc>
          <w:tcPr>
            <w:tcW w:w="1421" w:type="dxa"/>
            <w:tcBorders>
              <w:top w:val="double" w:sz="6" w:space="0" w:color="000000"/>
            </w:tcBorders>
          </w:tcPr>
          <w:p>
            <w:pPr>
              <w:pStyle w:val="TableParagraph"/>
              <w:spacing w:line="191" w:lineRule="exact" w:before="40"/>
              <w:ind w:right="118"/>
              <w:jc w:val="right"/>
              <w:rPr>
                <w:sz w:val="18"/>
              </w:rPr>
            </w:pPr>
            <w:r>
              <w:rPr>
                <w:sz w:val="18"/>
              </w:rPr>
              <w:t>-</w:t>
            </w:r>
            <w:r>
              <w:rPr>
                <w:spacing w:val="-2"/>
                <w:sz w:val="18"/>
              </w:rPr>
              <w:t>1.696982</w:t>
            </w:r>
          </w:p>
        </w:tc>
        <w:tc>
          <w:tcPr>
            <w:tcW w:w="1522" w:type="dxa"/>
            <w:tcBorders>
              <w:top w:val="double" w:sz="6" w:space="0" w:color="000000"/>
            </w:tcBorders>
          </w:tcPr>
          <w:p>
            <w:pPr>
              <w:pStyle w:val="TableParagraph"/>
              <w:spacing w:line="191" w:lineRule="exact" w:before="40"/>
              <w:ind w:left="397"/>
              <w:rPr>
                <w:sz w:val="18"/>
              </w:rPr>
            </w:pPr>
            <w:r>
              <w:rPr>
                <w:spacing w:val="-2"/>
                <w:sz w:val="18"/>
              </w:rPr>
              <w:t>0.405059</w:t>
            </w:r>
          </w:p>
        </w:tc>
        <w:tc>
          <w:tcPr>
            <w:tcW w:w="869" w:type="dxa"/>
            <w:tcBorders>
              <w:top w:val="double" w:sz="6" w:space="0" w:color="000000"/>
            </w:tcBorders>
          </w:tcPr>
          <w:p>
            <w:pPr>
              <w:pStyle w:val="TableParagraph"/>
              <w:spacing w:line="191" w:lineRule="exact" w:before="40"/>
              <w:ind w:right="123"/>
              <w:jc w:val="right"/>
              <w:rPr>
                <w:sz w:val="18"/>
              </w:rPr>
            </w:pPr>
            <w:r>
              <w:rPr>
                <w:sz w:val="18"/>
              </w:rPr>
              <w:t>-</w:t>
            </w:r>
            <w:r>
              <w:rPr>
                <w:spacing w:val="-2"/>
                <w:sz w:val="18"/>
              </w:rPr>
              <w:t>4.189475</w:t>
            </w:r>
          </w:p>
        </w:tc>
        <w:tc>
          <w:tcPr>
            <w:tcW w:w="888" w:type="dxa"/>
            <w:tcBorders>
              <w:top w:val="double" w:sz="6" w:space="0" w:color="000000"/>
            </w:tcBorders>
          </w:tcPr>
          <w:p>
            <w:pPr>
              <w:pStyle w:val="TableParagraph"/>
              <w:spacing w:line="191" w:lineRule="exact" w:before="40"/>
              <w:ind w:right="33"/>
              <w:jc w:val="right"/>
              <w:rPr>
                <w:sz w:val="18"/>
              </w:rPr>
            </w:pPr>
            <w:r>
              <w:rPr>
                <w:spacing w:val="-2"/>
                <w:sz w:val="18"/>
              </w:rPr>
              <w:t>0.0005</w:t>
            </w:r>
          </w:p>
        </w:tc>
      </w:tr>
      <w:tr>
        <w:trPr>
          <w:trHeight w:val="207" w:hRule="atLeast"/>
        </w:trPr>
        <w:tc>
          <w:tcPr>
            <w:tcW w:w="1792" w:type="dxa"/>
          </w:tcPr>
          <w:p>
            <w:pPr>
              <w:pStyle w:val="TableParagraph"/>
              <w:spacing w:line="188" w:lineRule="exact"/>
              <w:ind w:left="530"/>
              <w:rPr>
                <w:sz w:val="18"/>
              </w:rPr>
            </w:pPr>
            <w:r>
              <w:rPr>
                <w:sz w:val="18"/>
              </w:rPr>
              <w:t>D(RES(-</w:t>
            </w:r>
            <w:r>
              <w:rPr>
                <w:spacing w:val="-2"/>
                <w:sz w:val="18"/>
              </w:rPr>
              <w:t>1),2)</w:t>
            </w:r>
          </w:p>
        </w:tc>
        <w:tc>
          <w:tcPr>
            <w:tcW w:w="1421" w:type="dxa"/>
          </w:tcPr>
          <w:p>
            <w:pPr>
              <w:pStyle w:val="TableParagraph"/>
              <w:spacing w:line="188" w:lineRule="exact"/>
              <w:ind w:right="118"/>
              <w:jc w:val="right"/>
              <w:rPr>
                <w:sz w:val="18"/>
              </w:rPr>
            </w:pPr>
            <w:r>
              <w:rPr>
                <w:spacing w:val="-2"/>
                <w:sz w:val="18"/>
              </w:rPr>
              <w:t>0.093821</w:t>
            </w:r>
          </w:p>
        </w:tc>
        <w:tc>
          <w:tcPr>
            <w:tcW w:w="1522" w:type="dxa"/>
          </w:tcPr>
          <w:p>
            <w:pPr>
              <w:pStyle w:val="TableParagraph"/>
              <w:spacing w:line="188" w:lineRule="exact"/>
              <w:ind w:left="397"/>
              <w:rPr>
                <w:sz w:val="18"/>
              </w:rPr>
            </w:pPr>
            <w:r>
              <w:rPr>
                <w:spacing w:val="-2"/>
                <w:sz w:val="18"/>
              </w:rPr>
              <w:t>0.236687</w:t>
            </w:r>
          </w:p>
        </w:tc>
        <w:tc>
          <w:tcPr>
            <w:tcW w:w="869" w:type="dxa"/>
          </w:tcPr>
          <w:p>
            <w:pPr>
              <w:pStyle w:val="TableParagraph"/>
              <w:spacing w:line="188" w:lineRule="exact"/>
              <w:ind w:right="123"/>
              <w:jc w:val="right"/>
              <w:rPr>
                <w:sz w:val="18"/>
              </w:rPr>
            </w:pPr>
            <w:r>
              <w:rPr>
                <w:spacing w:val="-2"/>
                <w:sz w:val="18"/>
              </w:rPr>
              <w:t>0.396393</w:t>
            </w:r>
          </w:p>
        </w:tc>
        <w:tc>
          <w:tcPr>
            <w:tcW w:w="888" w:type="dxa"/>
          </w:tcPr>
          <w:p>
            <w:pPr>
              <w:pStyle w:val="TableParagraph"/>
              <w:spacing w:line="188" w:lineRule="exact"/>
              <w:ind w:right="33"/>
              <w:jc w:val="right"/>
              <w:rPr>
                <w:sz w:val="18"/>
              </w:rPr>
            </w:pPr>
            <w:r>
              <w:rPr>
                <w:spacing w:val="-2"/>
                <w:sz w:val="18"/>
              </w:rPr>
              <w:t>0.6962</w:t>
            </w:r>
          </w:p>
        </w:tc>
      </w:tr>
      <w:tr>
        <w:trPr>
          <w:trHeight w:val="202" w:hRule="atLeast"/>
        </w:trPr>
        <w:tc>
          <w:tcPr>
            <w:tcW w:w="1792" w:type="dxa"/>
            <w:tcBorders>
              <w:bottom w:val="double" w:sz="6" w:space="0" w:color="000000"/>
            </w:tcBorders>
          </w:tcPr>
          <w:p>
            <w:pPr>
              <w:pStyle w:val="TableParagraph"/>
              <w:spacing w:line="183" w:lineRule="exact"/>
              <w:ind w:left="253"/>
              <w:jc w:val="center"/>
              <w:rPr>
                <w:sz w:val="18"/>
              </w:rPr>
            </w:pPr>
            <w:r>
              <w:rPr>
                <w:spacing w:val="-10"/>
                <w:sz w:val="18"/>
              </w:rPr>
              <w:t>C</w:t>
            </w:r>
          </w:p>
        </w:tc>
        <w:tc>
          <w:tcPr>
            <w:tcW w:w="1421" w:type="dxa"/>
            <w:tcBorders>
              <w:bottom w:val="double" w:sz="6" w:space="0" w:color="000000"/>
            </w:tcBorders>
          </w:tcPr>
          <w:p>
            <w:pPr>
              <w:pStyle w:val="TableParagraph"/>
              <w:spacing w:line="183" w:lineRule="exact"/>
              <w:ind w:right="118"/>
              <w:jc w:val="right"/>
              <w:rPr>
                <w:sz w:val="18"/>
              </w:rPr>
            </w:pPr>
            <w:r>
              <w:rPr>
                <w:spacing w:val="-2"/>
                <w:sz w:val="18"/>
              </w:rPr>
              <w:t>0.277565</w:t>
            </w:r>
          </w:p>
        </w:tc>
        <w:tc>
          <w:tcPr>
            <w:tcW w:w="1522" w:type="dxa"/>
            <w:tcBorders>
              <w:bottom w:val="double" w:sz="6" w:space="0" w:color="000000"/>
            </w:tcBorders>
          </w:tcPr>
          <w:p>
            <w:pPr>
              <w:pStyle w:val="TableParagraph"/>
              <w:spacing w:line="183" w:lineRule="exact"/>
              <w:ind w:left="397"/>
              <w:rPr>
                <w:sz w:val="18"/>
              </w:rPr>
            </w:pPr>
            <w:r>
              <w:rPr>
                <w:spacing w:val="-2"/>
                <w:sz w:val="18"/>
              </w:rPr>
              <w:t>0.337628</w:t>
            </w:r>
          </w:p>
        </w:tc>
        <w:tc>
          <w:tcPr>
            <w:tcW w:w="869" w:type="dxa"/>
            <w:tcBorders>
              <w:bottom w:val="double" w:sz="6" w:space="0" w:color="000000"/>
            </w:tcBorders>
          </w:tcPr>
          <w:p>
            <w:pPr>
              <w:pStyle w:val="TableParagraph"/>
              <w:spacing w:line="183" w:lineRule="exact"/>
              <w:ind w:right="123"/>
              <w:jc w:val="right"/>
              <w:rPr>
                <w:sz w:val="18"/>
              </w:rPr>
            </w:pPr>
            <w:r>
              <w:rPr>
                <w:spacing w:val="-2"/>
                <w:sz w:val="18"/>
              </w:rPr>
              <w:t>0.822102</w:t>
            </w:r>
          </w:p>
        </w:tc>
        <w:tc>
          <w:tcPr>
            <w:tcW w:w="888" w:type="dxa"/>
            <w:tcBorders>
              <w:bottom w:val="double" w:sz="6" w:space="0" w:color="000000"/>
            </w:tcBorders>
          </w:tcPr>
          <w:p>
            <w:pPr>
              <w:pStyle w:val="TableParagraph"/>
              <w:spacing w:line="183" w:lineRule="exact"/>
              <w:ind w:right="33"/>
              <w:jc w:val="right"/>
              <w:rPr>
                <w:sz w:val="18"/>
              </w:rPr>
            </w:pPr>
            <w:r>
              <w:rPr>
                <w:spacing w:val="-2"/>
                <w:sz w:val="18"/>
              </w:rPr>
              <w:t>0.4212</w:t>
            </w:r>
          </w:p>
        </w:tc>
      </w:tr>
      <w:tr>
        <w:trPr>
          <w:trHeight w:val="250" w:hRule="atLeast"/>
        </w:trPr>
        <w:tc>
          <w:tcPr>
            <w:tcW w:w="1792" w:type="dxa"/>
            <w:tcBorders>
              <w:top w:val="double" w:sz="6" w:space="0" w:color="000000"/>
            </w:tcBorders>
          </w:tcPr>
          <w:p>
            <w:pPr>
              <w:pStyle w:val="TableParagraph"/>
              <w:spacing w:line="191" w:lineRule="exact" w:before="40"/>
              <w:ind w:left="36"/>
              <w:rPr>
                <w:sz w:val="18"/>
              </w:rPr>
            </w:pPr>
            <w:r>
              <w:rPr>
                <w:spacing w:val="-2"/>
                <w:sz w:val="18"/>
              </w:rPr>
              <w:t>R-squared</w:t>
            </w:r>
          </w:p>
        </w:tc>
        <w:tc>
          <w:tcPr>
            <w:tcW w:w="1421" w:type="dxa"/>
            <w:tcBorders>
              <w:top w:val="double" w:sz="6" w:space="0" w:color="000000"/>
            </w:tcBorders>
          </w:tcPr>
          <w:p>
            <w:pPr>
              <w:pStyle w:val="TableParagraph"/>
              <w:spacing w:line="191" w:lineRule="exact" w:before="40"/>
              <w:ind w:right="118"/>
              <w:jc w:val="right"/>
              <w:rPr>
                <w:sz w:val="18"/>
              </w:rPr>
            </w:pPr>
            <w:r>
              <w:rPr>
                <w:spacing w:val="-2"/>
                <w:sz w:val="18"/>
              </w:rPr>
              <w:t>0.757837</w:t>
            </w:r>
          </w:p>
        </w:tc>
        <w:tc>
          <w:tcPr>
            <w:tcW w:w="2391" w:type="dxa"/>
            <w:gridSpan w:val="2"/>
            <w:tcBorders>
              <w:top w:val="double" w:sz="6" w:space="0" w:color="000000"/>
            </w:tcBorders>
          </w:tcPr>
          <w:p>
            <w:pPr>
              <w:pStyle w:val="TableParagraph"/>
              <w:spacing w:line="191" w:lineRule="exact" w:before="40"/>
              <w:ind w:left="121"/>
              <w:rPr>
                <w:sz w:val="18"/>
              </w:rPr>
            </w:pPr>
            <w:r>
              <w:rPr>
                <w:sz w:val="18"/>
              </w:rPr>
              <w:t>Mean</w:t>
            </w:r>
            <w:r>
              <w:rPr>
                <w:spacing w:val="-5"/>
                <w:sz w:val="18"/>
              </w:rPr>
              <w:t> </w:t>
            </w:r>
            <w:r>
              <w:rPr>
                <w:sz w:val="18"/>
              </w:rPr>
              <w:t>dependent</w:t>
            </w:r>
            <w:r>
              <w:rPr>
                <w:spacing w:val="-1"/>
                <w:sz w:val="18"/>
              </w:rPr>
              <w:t> </w:t>
            </w:r>
            <w:r>
              <w:rPr>
                <w:spacing w:val="-5"/>
                <w:sz w:val="18"/>
              </w:rPr>
              <w:t>var</w:t>
            </w:r>
          </w:p>
        </w:tc>
        <w:tc>
          <w:tcPr>
            <w:tcW w:w="888" w:type="dxa"/>
            <w:tcBorders>
              <w:top w:val="double" w:sz="6" w:space="0" w:color="000000"/>
            </w:tcBorders>
          </w:tcPr>
          <w:p>
            <w:pPr>
              <w:pStyle w:val="TableParagraph"/>
              <w:spacing w:line="191" w:lineRule="exact" w:before="40"/>
              <w:ind w:right="32"/>
              <w:jc w:val="right"/>
              <w:rPr>
                <w:sz w:val="18"/>
              </w:rPr>
            </w:pPr>
            <w:r>
              <w:rPr>
                <w:sz w:val="18"/>
              </w:rPr>
              <w:t>-</w:t>
            </w:r>
            <w:r>
              <w:rPr>
                <w:spacing w:val="-2"/>
                <w:sz w:val="18"/>
              </w:rPr>
              <w:t>0.215744</w:t>
            </w:r>
          </w:p>
        </w:tc>
      </w:tr>
      <w:tr>
        <w:trPr>
          <w:trHeight w:val="207" w:hRule="atLeast"/>
        </w:trPr>
        <w:tc>
          <w:tcPr>
            <w:tcW w:w="1792" w:type="dxa"/>
          </w:tcPr>
          <w:p>
            <w:pPr>
              <w:pStyle w:val="TableParagraph"/>
              <w:spacing w:line="188" w:lineRule="exact"/>
              <w:ind w:left="36"/>
              <w:rPr>
                <w:sz w:val="18"/>
              </w:rPr>
            </w:pPr>
            <w:r>
              <w:rPr>
                <w:sz w:val="18"/>
              </w:rPr>
              <w:t>Adjusted</w:t>
            </w:r>
            <w:r>
              <w:rPr>
                <w:spacing w:val="-1"/>
                <w:sz w:val="18"/>
              </w:rPr>
              <w:t> </w:t>
            </w:r>
            <w:r>
              <w:rPr>
                <w:sz w:val="18"/>
              </w:rPr>
              <w:t>R-</w:t>
            </w:r>
            <w:r>
              <w:rPr>
                <w:spacing w:val="-2"/>
                <w:sz w:val="18"/>
              </w:rPr>
              <w:t>squared</w:t>
            </w:r>
          </w:p>
        </w:tc>
        <w:tc>
          <w:tcPr>
            <w:tcW w:w="1421" w:type="dxa"/>
          </w:tcPr>
          <w:p>
            <w:pPr>
              <w:pStyle w:val="TableParagraph"/>
              <w:spacing w:line="188" w:lineRule="exact"/>
              <w:ind w:right="118"/>
              <w:jc w:val="right"/>
              <w:rPr>
                <w:sz w:val="18"/>
              </w:rPr>
            </w:pPr>
            <w:r>
              <w:rPr>
                <w:spacing w:val="-2"/>
                <w:sz w:val="18"/>
              </w:rPr>
              <w:t>0.732346</w:t>
            </w:r>
          </w:p>
        </w:tc>
        <w:tc>
          <w:tcPr>
            <w:tcW w:w="1522" w:type="dxa"/>
          </w:tcPr>
          <w:p>
            <w:pPr>
              <w:pStyle w:val="TableParagraph"/>
              <w:spacing w:line="188" w:lineRule="exact"/>
              <w:ind w:left="121"/>
              <w:rPr>
                <w:sz w:val="18"/>
              </w:rPr>
            </w:pPr>
            <w:r>
              <w:rPr>
                <w:sz w:val="18"/>
              </w:rPr>
              <w:t>S.D.</w:t>
            </w:r>
            <w:r>
              <w:rPr>
                <w:spacing w:val="-5"/>
                <w:sz w:val="18"/>
              </w:rPr>
              <w:t> </w:t>
            </w:r>
            <w:r>
              <w:rPr>
                <w:sz w:val="18"/>
              </w:rPr>
              <w:t>dependent</w:t>
            </w:r>
            <w:r>
              <w:rPr>
                <w:spacing w:val="-3"/>
                <w:sz w:val="18"/>
              </w:rPr>
              <w:t> </w:t>
            </w:r>
            <w:r>
              <w:rPr>
                <w:spacing w:val="-5"/>
                <w:sz w:val="18"/>
              </w:rPr>
              <w:t>var</w:t>
            </w:r>
          </w:p>
        </w:tc>
        <w:tc>
          <w:tcPr>
            <w:tcW w:w="869" w:type="dxa"/>
          </w:tcPr>
          <w:p>
            <w:pPr>
              <w:pStyle w:val="TableParagraph"/>
              <w:rPr>
                <w:sz w:val="14"/>
              </w:rPr>
            </w:pPr>
          </w:p>
        </w:tc>
        <w:tc>
          <w:tcPr>
            <w:tcW w:w="888" w:type="dxa"/>
          </w:tcPr>
          <w:p>
            <w:pPr>
              <w:pStyle w:val="TableParagraph"/>
              <w:spacing w:line="188" w:lineRule="exact"/>
              <w:ind w:right="32"/>
              <w:jc w:val="right"/>
              <w:rPr>
                <w:sz w:val="18"/>
              </w:rPr>
            </w:pPr>
            <w:r>
              <w:rPr>
                <w:spacing w:val="-2"/>
                <w:sz w:val="18"/>
              </w:rPr>
              <w:t>2.905546</w:t>
            </w:r>
          </w:p>
        </w:tc>
      </w:tr>
      <w:tr>
        <w:trPr>
          <w:trHeight w:val="207" w:hRule="atLeast"/>
        </w:trPr>
        <w:tc>
          <w:tcPr>
            <w:tcW w:w="1792" w:type="dxa"/>
          </w:tcPr>
          <w:p>
            <w:pPr>
              <w:pStyle w:val="TableParagraph"/>
              <w:spacing w:line="188" w:lineRule="exact"/>
              <w:ind w:left="36"/>
              <w:rPr>
                <w:sz w:val="18"/>
              </w:rPr>
            </w:pPr>
            <w:r>
              <w:rPr>
                <w:sz w:val="18"/>
              </w:rPr>
              <w:t>S.E.</w:t>
            </w:r>
            <w:r>
              <w:rPr>
                <w:spacing w:val="-3"/>
                <w:sz w:val="18"/>
              </w:rPr>
              <w:t> </w:t>
            </w:r>
            <w:r>
              <w:rPr>
                <w:sz w:val="18"/>
              </w:rPr>
              <w:t>of</w:t>
            </w:r>
            <w:r>
              <w:rPr>
                <w:spacing w:val="-1"/>
                <w:sz w:val="18"/>
              </w:rPr>
              <w:t> </w:t>
            </w:r>
            <w:r>
              <w:rPr>
                <w:spacing w:val="-2"/>
                <w:sz w:val="18"/>
              </w:rPr>
              <w:t>regression</w:t>
            </w:r>
          </w:p>
        </w:tc>
        <w:tc>
          <w:tcPr>
            <w:tcW w:w="1421" w:type="dxa"/>
          </w:tcPr>
          <w:p>
            <w:pPr>
              <w:pStyle w:val="TableParagraph"/>
              <w:spacing w:line="188" w:lineRule="exact"/>
              <w:ind w:right="118"/>
              <w:jc w:val="right"/>
              <w:rPr>
                <w:sz w:val="18"/>
              </w:rPr>
            </w:pPr>
            <w:r>
              <w:rPr>
                <w:spacing w:val="-2"/>
                <w:sz w:val="18"/>
              </w:rPr>
              <w:t>1.503192</w:t>
            </w:r>
          </w:p>
        </w:tc>
        <w:tc>
          <w:tcPr>
            <w:tcW w:w="2391" w:type="dxa"/>
            <w:gridSpan w:val="2"/>
          </w:tcPr>
          <w:p>
            <w:pPr>
              <w:pStyle w:val="TableParagraph"/>
              <w:spacing w:line="188" w:lineRule="exact"/>
              <w:ind w:left="121"/>
              <w:rPr>
                <w:sz w:val="18"/>
              </w:rPr>
            </w:pPr>
            <w:r>
              <w:rPr>
                <w:sz w:val="18"/>
              </w:rPr>
              <w:t>Akaike</w:t>
            </w:r>
            <w:r>
              <w:rPr>
                <w:spacing w:val="-5"/>
                <w:sz w:val="18"/>
              </w:rPr>
              <w:t> </w:t>
            </w:r>
            <w:r>
              <w:rPr>
                <w:sz w:val="18"/>
              </w:rPr>
              <w:t>info</w:t>
            </w:r>
            <w:r>
              <w:rPr>
                <w:spacing w:val="-2"/>
                <w:sz w:val="18"/>
              </w:rPr>
              <w:t> criterion</w:t>
            </w:r>
          </w:p>
        </w:tc>
        <w:tc>
          <w:tcPr>
            <w:tcW w:w="888" w:type="dxa"/>
          </w:tcPr>
          <w:p>
            <w:pPr>
              <w:pStyle w:val="TableParagraph"/>
              <w:spacing w:line="188" w:lineRule="exact"/>
              <w:ind w:right="32"/>
              <w:jc w:val="right"/>
              <w:rPr>
                <w:sz w:val="18"/>
              </w:rPr>
            </w:pPr>
            <w:r>
              <w:rPr>
                <w:spacing w:val="-2"/>
                <w:sz w:val="18"/>
              </w:rPr>
              <w:t>3.779183</w:t>
            </w:r>
          </w:p>
        </w:tc>
      </w:tr>
      <w:tr>
        <w:trPr>
          <w:trHeight w:val="206" w:hRule="atLeast"/>
        </w:trPr>
        <w:tc>
          <w:tcPr>
            <w:tcW w:w="1792" w:type="dxa"/>
          </w:tcPr>
          <w:p>
            <w:pPr>
              <w:pStyle w:val="TableParagraph"/>
              <w:spacing w:line="186" w:lineRule="exact"/>
              <w:ind w:left="36"/>
              <w:rPr>
                <w:sz w:val="18"/>
              </w:rPr>
            </w:pPr>
            <w:r>
              <w:rPr>
                <w:sz w:val="18"/>
              </w:rPr>
              <w:t>Sum</w:t>
            </w:r>
            <w:r>
              <w:rPr>
                <w:spacing w:val="-3"/>
                <w:sz w:val="18"/>
              </w:rPr>
              <w:t> </w:t>
            </w:r>
            <w:r>
              <w:rPr>
                <w:sz w:val="18"/>
              </w:rPr>
              <w:t>squared</w:t>
            </w:r>
            <w:r>
              <w:rPr>
                <w:spacing w:val="1"/>
                <w:sz w:val="18"/>
              </w:rPr>
              <w:t> </w:t>
            </w:r>
            <w:r>
              <w:rPr>
                <w:spacing w:val="-2"/>
                <w:sz w:val="18"/>
              </w:rPr>
              <w:t>resid</w:t>
            </w:r>
          </w:p>
        </w:tc>
        <w:tc>
          <w:tcPr>
            <w:tcW w:w="1421" w:type="dxa"/>
          </w:tcPr>
          <w:p>
            <w:pPr>
              <w:pStyle w:val="TableParagraph"/>
              <w:spacing w:line="186" w:lineRule="exact"/>
              <w:ind w:right="118"/>
              <w:jc w:val="right"/>
              <w:rPr>
                <w:sz w:val="18"/>
              </w:rPr>
            </w:pPr>
            <w:r>
              <w:rPr>
                <w:spacing w:val="-2"/>
                <w:sz w:val="18"/>
              </w:rPr>
              <w:t>42.93214</w:t>
            </w:r>
          </w:p>
        </w:tc>
        <w:tc>
          <w:tcPr>
            <w:tcW w:w="1522" w:type="dxa"/>
          </w:tcPr>
          <w:p>
            <w:pPr>
              <w:pStyle w:val="TableParagraph"/>
              <w:spacing w:line="186" w:lineRule="exact"/>
              <w:ind w:left="121"/>
              <w:rPr>
                <w:sz w:val="18"/>
              </w:rPr>
            </w:pPr>
            <w:r>
              <w:rPr>
                <w:sz w:val="18"/>
              </w:rPr>
              <w:t>Schwarz</w:t>
            </w:r>
            <w:r>
              <w:rPr>
                <w:spacing w:val="-7"/>
                <w:sz w:val="18"/>
              </w:rPr>
              <w:t> </w:t>
            </w:r>
            <w:r>
              <w:rPr>
                <w:spacing w:val="-2"/>
                <w:sz w:val="18"/>
              </w:rPr>
              <w:t>criterion</w:t>
            </w:r>
          </w:p>
        </w:tc>
        <w:tc>
          <w:tcPr>
            <w:tcW w:w="869" w:type="dxa"/>
          </w:tcPr>
          <w:p>
            <w:pPr>
              <w:pStyle w:val="TableParagraph"/>
              <w:rPr>
                <w:sz w:val="14"/>
              </w:rPr>
            </w:pPr>
          </w:p>
        </w:tc>
        <w:tc>
          <w:tcPr>
            <w:tcW w:w="888" w:type="dxa"/>
          </w:tcPr>
          <w:p>
            <w:pPr>
              <w:pStyle w:val="TableParagraph"/>
              <w:spacing w:line="186" w:lineRule="exact"/>
              <w:ind w:right="32"/>
              <w:jc w:val="right"/>
              <w:rPr>
                <w:sz w:val="18"/>
              </w:rPr>
            </w:pPr>
            <w:r>
              <w:rPr>
                <w:spacing w:val="-2"/>
                <w:sz w:val="18"/>
              </w:rPr>
              <w:t>3.927961</w:t>
            </w:r>
          </w:p>
        </w:tc>
      </w:tr>
      <w:tr>
        <w:trPr>
          <w:trHeight w:val="206" w:hRule="atLeast"/>
        </w:trPr>
        <w:tc>
          <w:tcPr>
            <w:tcW w:w="1792" w:type="dxa"/>
          </w:tcPr>
          <w:p>
            <w:pPr>
              <w:pStyle w:val="TableParagraph"/>
              <w:spacing w:line="186" w:lineRule="exact"/>
              <w:ind w:left="36"/>
              <w:rPr>
                <w:sz w:val="18"/>
              </w:rPr>
            </w:pPr>
            <w:r>
              <w:rPr>
                <w:sz w:val="18"/>
              </w:rPr>
              <w:t>Log</w:t>
            </w:r>
            <w:r>
              <w:rPr>
                <w:spacing w:val="-2"/>
                <w:sz w:val="18"/>
              </w:rPr>
              <w:t> likelihood</w:t>
            </w:r>
          </w:p>
        </w:tc>
        <w:tc>
          <w:tcPr>
            <w:tcW w:w="1421" w:type="dxa"/>
          </w:tcPr>
          <w:p>
            <w:pPr>
              <w:pStyle w:val="TableParagraph"/>
              <w:spacing w:line="186" w:lineRule="exact"/>
              <w:ind w:right="118"/>
              <w:jc w:val="right"/>
              <w:rPr>
                <w:sz w:val="18"/>
              </w:rPr>
            </w:pPr>
            <w:r>
              <w:rPr>
                <w:sz w:val="18"/>
              </w:rPr>
              <w:t>-</w:t>
            </w:r>
            <w:r>
              <w:rPr>
                <w:spacing w:val="-2"/>
                <w:sz w:val="18"/>
              </w:rPr>
              <w:t>38.57101</w:t>
            </w:r>
          </w:p>
        </w:tc>
        <w:tc>
          <w:tcPr>
            <w:tcW w:w="1522" w:type="dxa"/>
          </w:tcPr>
          <w:p>
            <w:pPr>
              <w:pStyle w:val="TableParagraph"/>
              <w:spacing w:line="186" w:lineRule="exact"/>
              <w:ind w:left="121"/>
              <w:rPr>
                <w:sz w:val="18"/>
              </w:rPr>
            </w:pPr>
            <w:r>
              <w:rPr>
                <w:sz w:val="18"/>
              </w:rPr>
              <w:t>F-</w:t>
            </w:r>
            <w:r>
              <w:rPr>
                <w:spacing w:val="-2"/>
                <w:sz w:val="18"/>
              </w:rPr>
              <w:t>statistic</w:t>
            </w:r>
          </w:p>
        </w:tc>
        <w:tc>
          <w:tcPr>
            <w:tcW w:w="869" w:type="dxa"/>
          </w:tcPr>
          <w:p>
            <w:pPr>
              <w:pStyle w:val="TableParagraph"/>
              <w:rPr>
                <w:sz w:val="14"/>
              </w:rPr>
            </w:pPr>
          </w:p>
        </w:tc>
        <w:tc>
          <w:tcPr>
            <w:tcW w:w="888" w:type="dxa"/>
          </w:tcPr>
          <w:p>
            <w:pPr>
              <w:pStyle w:val="TableParagraph"/>
              <w:spacing w:line="186" w:lineRule="exact"/>
              <w:ind w:right="33"/>
              <w:jc w:val="right"/>
              <w:rPr>
                <w:sz w:val="18"/>
              </w:rPr>
            </w:pPr>
            <w:r>
              <w:rPr>
                <w:spacing w:val="-2"/>
                <w:sz w:val="18"/>
              </w:rPr>
              <w:t>29.72979</w:t>
            </w:r>
          </w:p>
        </w:tc>
      </w:tr>
      <w:tr>
        <w:trPr>
          <w:trHeight w:val="245" w:hRule="atLeast"/>
        </w:trPr>
        <w:tc>
          <w:tcPr>
            <w:tcW w:w="1792" w:type="dxa"/>
            <w:tcBorders>
              <w:bottom w:val="double" w:sz="6" w:space="0" w:color="000000"/>
            </w:tcBorders>
          </w:tcPr>
          <w:p>
            <w:pPr>
              <w:pStyle w:val="TableParagraph"/>
              <w:spacing w:line="203" w:lineRule="exact"/>
              <w:ind w:left="36"/>
              <w:rPr>
                <w:sz w:val="18"/>
              </w:rPr>
            </w:pPr>
            <w:r>
              <w:rPr>
                <w:sz w:val="18"/>
              </w:rPr>
              <w:t>Durbin-Watson</w:t>
            </w:r>
            <w:r>
              <w:rPr>
                <w:spacing w:val="-2"/>
                <w:sz w:val="18"/>
              </w:rPr>
              <w:t> </w:t>
            </w:r>
            <w:r>
              <w:rPr>
                <w:spacing w:val="-4"/>
                <w:sz w:val="18"/>
              </w:rPr>
              <w:t>stat</w:t>
            </w:r>
          </w:p>
        </w:tc>
        <w:tc>
          <w:tcPr>
            <w:tcW w:w="1421" w:type="dxa"/>
          </w:tcPr>
          <w:p>
            <w:pPr>
              <w:pStyle w:val="TableParagraph"/>
              <w:spacing w:line="203" w:lineRule="exact"/>
              <w:ind w:right="118"/>
              <w:jc w:val="right"/>
              <w:rPr>
                <w:sz w:val="18"/>
              </w:rPr>
            </w:pPr>
            <w:r>
              <w:rPr>
                <w:spacing w:val="-2"/>
                <w:sz w:val="18"/>
              </w:rPr>
              <w:t>1.990288</w:t>
            </w:r>
          </w:p>
        </w:tc>
        <w:tc>
          <w:tcPr>
            <w:tcW w:w="1522" w:type="dxa"/>
            <w:tcBorders>
              <w:bottom w:val="double" w:sz="6" w:space="0" w:color="000000"/>
            </w:tcBorders>
          </w:tcPr>
          <w:p>
            <w:pPr>
              <w:pStyle w:val="TableParagraph"/>
              <w:spacing w:line="203" w:lineRule="exact"/>
              <w:ind w:left="119"/>
              <w:rPr>
                <w:sz w:val="18"/>
              </w:rPr>
            </w:pPr>
            <w:r>
              <w:rPr>
                <w:spacing w:val="-2"/>
                <w:sz w:val="18"/>
              </w:rPr>
              <w:t>Prob(F-statistic)</w:t>
            </w:r>
          </w:p>
        </w:tc>
        <w:tc>
          <w:tcPr>
            <w:tcW w:w="869" w:type="dxa"/>
            <w:tcBorders>
              <w:bottom w:val="single" w:sz="6" w:space="0" w:color="000000"/>
            </w:tcBorders>
          </w:tcPr>
          <w:p>
            <w:pPr>
              <w:pStyle w:val="TableParagraph"/>
              <w:rPr>
                <w:sz w:val="16"/>
              </w:rPr>
            </w:pPr>
          </w:p>
        </w:tc>
        <w:tc>
          <w:tcPr>
            <w:tcW w:w="888" w:type="dxa"/>
            <w:tcBorders>
              <w:bottom w:val="double" w:sz="6" w:space="0" w:color="000000"/>
            </w:tcBorders>
          </w:tcPr>
          <w:p>
            <w:pPr>
              <w:pStyle w:val="TableParagraph"/>
              <w:spacing w:line="203" w:lineRule="exact"/>
              <w:ind w:right="32"/>
              <w:jc w:val="right"/>
              <w:rPr>
                <w:sz w:val="18"/>
              </w:rPr>
            </w:pPr>
            <w:r>
              <w:rPr>
                <w:spacing w:val="-2"/>
                <w:sz w:val="18"/>
              </w:rPr>
              <w:t>0.000001</w:t>
            </w:r>
          </w:p>
        </w:tc>
      </w:tr>
    </w:tbl>
    <w:p>
      <w:pPr>
        <w:spacing w:after="0" w:line="203" w:lineRule="exact"/>
        <w:jc w:val="right"/>
        <w:rPr>
          <w:sz w:val="18"/>
        </w:rPr>
        <w:sectPr>
          <w:pgSz w:w="11910" w:h="16840"/>
          <w:pgMar w:header="0" w:footer="982" w:top="1760" w:bottom="1240" w:left="280" w:right="0"/>
        </w:sectPr>
      </w:pPr>
    </w:p>
    <w:p>
      <w:pPr>
        <w:spacing w:before="74" w:after="3"/>
        <w:ind w:left="711" w:right="0" w:firstLine="0"/>
        <w:jc w:val="left"/>
        <w:rPr>
          <w:sz w:val="18"/>
        </w:rPr>
      </w:pPr>
      <w:r>
        <w:rPr>
          <w:sz w:val="18"/>
        </w:rPr>
        <w:t>NEXTAS</w:t>
      </w:r>
      <w:r>
        <w:rPr>
          <w:spacing w:val="-2"/>
          <w:sz w:val="18"/>
        </w:rPr>
        <w:t> </w:t>
      </w:r>
      <w:r>
        <w:rPr>
          <w:sz w:val="18"/>
        </w:rPr>
        <w:t>@</w:t>
      </w:r>
      <w:r>
        <w:rPr>
          <w:spacing w:val="-2"/>
          <w:sz w:val="18"/>
        </w:rPr>
        <w:t> LEVEL</w:t>
      </w:r>
    </w:p>
    <w:tbl>
      <w:tblPr>
        <w:tblW w:w="0" w:type="auto"/>
        <w:jc w:val="left"/>
        <w:tblInd w:w="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52"/>
        <w:gridCol w:w="1360"/>
        <w:gridCol w:w="1521"/>
        <w:gridCol w:w="898"/>
        <w:gridCol w:w="857"/>
      </w:tblGrid>
      <w:tr>
        <w:trPr>
          <w:trHeight w:val="202" w:hRule="atLeast"/>
        </w:trPr>
        <w:tc>
          <w:tcPr>
            <w:tcW w:w="1852" w:type="dxa"/>
          </w:tcPr>
          <w:p>
            <w:pPr>
              <w:pStyle w:val="TableParagraph"/>
              <w:spacing w:line="183" w:lineRule="exact"/>
              <w:ind w:left="36"/>
              <w:rPr>
                <w:sz w:val="18"/>
              </w:rPr>
            </w:pPr>
            <w:r>
              <w:rPr>
                <w:sz w:val="18"/>
              </w:rPr>
              <w:t>ADF</w:t>
            </w:r>
            <w:r>
              <w:rPr>
                <w:spacing w:val="-3"/>
                <w:sz w:val="18"/>
              </w:rPr>
              <w:t> </w:t>
            </w:r>
            <w:r>
              <w:rPr>
                <w:sz w:val="18"/>
              </w:rPr>
              <w:t>Test</w:t>
            </w:r>
            <w:r>
              <w:rPr>
                <w:spacing w:val="-1"/>
                <w:sz w:val="18"/>
              </w:rPr>
              <w:t> </w:t>
            </w:r>
            <w:r>
              <w:rPr>
                <w:spacing w:val="-2"/>
                <w:sz w:val="18"/>
              </w:rPr>
              <w:t>Statistic</w:t>
            </w:r>
          </w:p>
        </w:tc>
        <w:tc>
          <w:tcPr>
            <w:tcW w:w="1360" w:type="dxa"/>
          </w:tcPr>
          <w:p>
            <w:pPr>
              <w:pStyle w:val="TableParagraph"/>
              <w:spacing w:line="183" w:lineRule="exact"/>
              <w:ind w:left="214"/>
              <w:rPr>
                <w:sz w:val="18"/>
              </w:rPr>
            </w:pPr>
            <w:r>
              <w:rPr>
                <w:sz w:val="18"/>
              </w:rPr>
              <w:t>-</w:t>
            </w:r>
            <w:r>
              <w:rPr>
                <w:spacing w:val="-2"/>
                <w:sz w:val="18"/>
              </w:rPr>
              <w:t>1.842900</w:t>
            </w:r>
          </w:p>
        </w:tc>
        <w:tc>
          <w:tcPr>
            <w:tcW w:w="2419" w:type="dxa"/>
            <w:gridSpan w:val="2"/>
          </w:tcPr>
          <w:p>
            <w:pPr>
              <w:pStyle w:val="TableParagraph"/>
              <w:spacing w:line="183" w:lineRule="exact"/>
              <w:ind w:left="122"/>
              <w:rPr>
                <w:sz w:val="18"/>
              </w:rPr>
            </w:pPr>
            <w:r>
              <w:rPr>
                <w:sz w:val="18"/>
              </w:rPr>
              <w:t>1%</w:t>
            </w:r>
            <w:r>
              <w:rPr>
                <w:spacing w:val="63"/>
                <w:w w:val="150"/>
                <w:sz w:val="18"/>
              </w:rPr>
              <w:t> </w:t>
            </w:r>
            <w:r>
              <w:rPr>
                <w:sz w:val="18"/>
              </w:rPr>
              <w:t>Critical</w:t>
            </w:r>
            <w:r>
              <w:rPr>
                <w:spacing w:val="-2"/>
                <w:sz w:val="18"/>
              </w:rPr>
              <w:t> Value*</w:t>
            </w:r>
          </w:p>
        </w:tc>
        <w:tc>
          <w:tcPr>
            <w:tcW w:w="857" w:type="dxa"/>
          </w:tcPr>
          <w:p>
            <w:pPr>
              <w:pStyle w:val="TableParagraph"/>
              <w:spacing w:line="183" w:lineRule="exact"/>
              <w:ind w:left="-3" w:right="29"/>
              <w:jc w:val="right"/>
              <w:rPr>
                <w:sz w:val="18"/>
              </w:rPr>
            </w:pPr>
            <w:r>
              <w:rPr>
                <w:sz w:val="18"/>
              </w:rPr>
              <w:t>-</w:t>
            </w:r>
            <w:r>
              <w:rPr>
                <w:spacing w:val="-2"/>
                <w:sz w:val="18"/>
              </w:rPr>
              <w:t>3.7497</w:t>
            </w:r>
          </w:p>
        </w:tc>
      </w:tr>
      <w:tr>
        <w:trPr>
          <w:trHeight w:val="206" w:hRule="atLeast"/>
        </w:trPr>
        <w:tc>
          <w:tcPr>
            <w:tcW w:w="1852" w:type="dxa"/>
          </w:tcPr>
          <w:p>
            <w:pPr>
              <w:pStyle w:val="TableParagraph"/>
              <w:rPr>
                <w:sz w:val="14"/>
              </w:rPr>
            </w:pPr>
          </w:p>
        </w:tc>
        <w:tc>
          <w:tcPr>
            <w:tcW w:w="1360" w:type="dxa"/>
          </w:tcPr>
          <w:p>
            <w:pPr>
              <w:pStyle w:val="TableParagraph"/>
              <w:rPr>
                <w:sz w:val="14"/>
              </w:rPr>
            </w:pPr>
          </w:p>
        </w:tc>
        <w:tc>
          <w:tcPr>
            <w:tcW w:w="1521" w:type="dxa"/>
          </w:tcPr>
          <w:p>
            <w:pPr>
              <w:pStyle w:val="TableParagraph"/>
              <w:spacing w:line="186" w:lineRule="exact"/>
              <w:ind w:left="122"/>
              <w:rPr>
                <w:sz w:val="18"/>
              </w:rPr>
            </w:pPr>
            <w:r>
              <w:rPr>
                <w:sz w:val="18"/>
              </w:rPr>
              <w:t>5%</w:t>
            </w:r>
            <w:r>
              <w:rPr>
                <w:spacing w:val="63"/>
                <w:w w:val="150"/>
                <w:sz w:val="18"/>
              </w:rPr>
              <w:t> </w:t>
            </w:r>
            <w:r>
              <w:rPr>
                <w:sz w:val="18"/>
              </w:rPr>
              <w:t>Critical</w:t>
            </w:r>
            <w:r>
              <w:rPr>
                <w:spacing w:val="-2"/>
                <w:sz w:val="18"/>
              </w:rPr>
              <w:t> Value</w:t>
            </w:r>
          </w:p>
        </w:tc>
        <w:tc>
          <w:tcPr>
            <w:tcW w:w="898" w:type="dxa"/>
          </w:tcPr>
          <w:p>
            <w:pPr>
              <w:pStyle w:val="TableParagraph"/>
              <w:rPr>
                <w:sz w:val="14"/>
              </w:rPr>
            </w:pPr>
          </w:p>
        </w:tc>
        <w:tc>
          <w:tcPr>
            <w:tcW w:w="857" w:type="dxa"/>
          </w:tcPr>
          <w:p>
            <w:pPr>
              <w:pStyle w:val="TableParagraph"/>
              <w:spacing w:line="186" w:lineRule="exact"/>
              <w:ind w:left="-3" w:right="29"/>
              <w:jc w:val="right"/>
              <w:rPr>
                <w:sz w:val="18"/>
              </w:rPr>
            </w:pPr>
            <w:r>
              <w:rPr>
                <w:sz w:val="18"/>
              </w:rPr>
              <w:t>-</w:t>
            </w:r>
            <w:r>
              <w:rPr>
                <w:spacing w:val="-2"/>
                <w:sz w:val="18"/>
              </w:rPr>
              <w:t>2.9969</w:t>
            </w:r>
          </w:p>
        </w:tc>
      </w:tr>
      <w:tr>
        <w:trPr>
          <w:trHeight w:val="201" w:hRule="atLeast"/>
        </w:trPr>
        <w:tc>
          <w:tcPr>
            <w:tcW w:w="1852" w:type="dxa"/>
            <w:tcBorders>
              <w:bottom w:val="double" w:sz="6" w:space="0" w:color="000000"/>
            </w:tcBorders>
          </w:tcPr>
          <w:p>
            <w:pPr>
              <w:pStyle w:val="TableParagraph"/>
              <w:rPr>
                <w:sz w:val="14"/>
              </w:rPr>
            </w:pPr>
          </w:p>
        </w:tc>
        <w:tc>
          <w:tcPr>
            <w:tcW w:w="1360" w:type="dxa"/>
            <w:tcBorders>
              <w:bottom w:val="double" w:sz="6" w:space="0" w:color="000000"/>
            </w:tcBorders>
          </w:tcPr>
          <w:p>
            <w:pPr>
              <w:pStyle w:val="TableParagraph"/>
              <w:rPr>
                <w:sz w:val="14"/>
              </w:rPr>
            </w:pPr>
          </w:p>
        </w:tc>
        <w:tc>
          <w:tcPr>
            <w:tcW w:w="1521" w:type="dxa"/>
            <w:tcBorders>
              <w:bottom w:val="double" w:sz="6" w:space="0" w:color="000000"/>
            </w:tcBorders>
          </w:tcPr>
          <w:p>
            <w:pPr>
              <w:pStyle w:val="TableParagraph"/>
              <w:spacing w:line="181" w:lineRule="exact"/>
              <w:ind w:left="122"/>
              <w:rPr>
                <w:sz w:val="18"/>
              </w:rPr>
            </w:pPr>
            <w:r>
              <w:rPr>
                <w:sz w:val="18"/>
              </w:rPr>
              <w:t>10%</w:t>
            </w:r>
            <w:r>
              <w:rPr>
                <w:spacing w:val="-5"/>
                <w:sz w:val="18"/>
              </w:rPr>
              <w:t> </w:t>
            </w:r>
            <w:r>
              <w:rPr>
                <w:sz w:val="18"/>
              </w:rPr>
              <w:t>Critical</w:t>
            </w:r>
            <w:r>
              <w:rPr>
                <w:spacing w:val="-3"/>
                <w:sz w:val="18"/>
              </w:rPr>
              <w:t> </w:t>
            </w:r>
            <w:r>
              <w:rPr>
                <w:spacing w:val="-2"/>
                <w:sz w:val="18"/>
              </w:rPr>
              <w:t>Value</w:t>
            </w:r>
          </w:p>
        </w:tc>
        <w:tc>
          <w:tcPr>
            <w:tcW w:w="898" w:type="dxa"/>
            <w:tcBorders>
              <w:bottom w:val="double" w:sz="6" w:space="0" w:color="000000"/>
            </w:tcBorders>
          </w:tcPr>
          <w:p>
            <w:pPr>
              <w:pStyle w:val="TableParagraph"/>
              <w:rPr>
                <w:sz w:val="14"/>
              </w:rPr>
            </w:pPr>
          </w:p>
        </w:tc>
        <w:tc>
          <w:tcPr>
            <w:tcW w:w="857" w:type="dxa"/>
            <w:tcBorders>
              <w:bottom w:val="double" w:sz="6" w:space="0" w:color="000000"/>
            </w:tcBorders>
          </w:tcPr>
          <w:p>
            <w:pPr>
              <w:pStyle w:val="TableParagraph"/>
              <w:spacing w:line="181" w:lineRule="exact"/>
              <w:ind w:left="-3" w:right="29"/>
              <w:jc w:val="right"/>
              <w:rPr>
                <w:sz w:val="18"/>
              </w:rPr>
            </w:pPr>
            <w:r>
              <w:rPr>
                <w:sz w:val="18"/>
              </w:rPr>
              <w:t>-</w:t>
            </w:r>
            <w:r>
              <w:rPr>
                <w:spacing w:val="-2"/>
                <w:sz w:val="18"/>
              </w:rPr>
              <w:t>2.6381</w:t>
            </w:r>
          </w:p>
        </w:tc>
      </w:tr>
      <w:tr>
        <w:trPr>
          <w:trHeight w:val="460" w:hRule="atLeast"/>
        </w:trPr>
        <w:tc>
          <w:tcPr>
            <w:tcW w:w="6488" w:type="dxa"/>
            <w:gridSpan w:val="5"/>
            <w:tcBorders>
              <w:top w:val="double" w:sz="6" w:space="0" w:color="000000"/>
            </w:tcBorders>
          </w:tcPr>
          <w:p>
            <w:pPr>
              <w:pStyle w:val="TableParagraph"/>
              <w:spacing w:before="42"/>
              <w:ind w:left="36"/>
              <w:rPr>
                <w:sz w:val="18"/>
              </w:rPr>
            </w:pPr>
            <w:r>
              <w:rPr>
                <w:sz w:val="18"/>
              </w:rPr>
              <w:t>*MacKinnon</w:t>
            </w:r>
            <w:r>
              <w:rPr>
                <w:spacing w:val="-1"/>
                <w:sz w:val="18"/>
              </w:rPr>
              <w:t> </w:t>
            </w:r>
            <w:r>
              <w:rPr>
                <w:sz w:val="18"/>
              </w:rPr>
              <w:t>critical</w:t>
            </w:r>
            <w:r>
              <w:rPr>
                <w:spacing w:val="-1"/>
                <w:sz w:val="18"/>
              </w:rPr>
              <w:t> </w:t>
            </w:r>
            <w:r>
              <w:rPr>
                <w:sz w:val="18"/>
              </w:rPr>
              <w:t>values</w:t>
            </w:r>
            <w:r>
              <w:rPr>
                <w:spacing w:val="-1"/>
                <w:sz w:val="18"/>
              </w:rPr>
              <w:t> </w:t>
            </w:r>
            <w:r>
              <w:rPr>
                <w:sz w:val="18"/>
              </w:rPr>
              <w:t>for</w:t>
            </w:r>
            <w:r>
              <w:rPr>
                <w:spacing w:val="-1"/>
                <w:sz w:val="18"/>
              </w:rPr>
              <w:t> </w:t>
            </w:r>
            <w:r>
              <w:rPr>
                <w:sz w:val="18"/>
              </w:rPr>
              <w:t>rejection</w:t>
            </w:r>
            <w:r>
              <w:rPr>
                <w:spacing w:val="-2"/>
                <w:sz w:val="18"/>
              </w:rPr>
              <w:t> </w:t>
            </w:r>
            <w:r>
              <w:rPr>
                <w:sz w:val="18"/>
              </w:rPr>
              <w:t>of</w:t>
            </w:r>
            <w:r>
              <w:rPr>
                <w:spacing w:val="-3"/>
                <w:sz w:val="18"/>
              </w:rPr>
              <w:t> </w:t>
            </w:r>
            <w:r>
              <w:rPr>
                <w:sz w:val="18"/>
              </w:rPr>
              <w:t>hypothesis</w:t>
            </w:r>
            <w:r>
              <w:rPr>
                <w:spacing w:val="-1"/>
                <w:sz w:val="18"/>
              </w:rPr>
              <w:t> </w:t>
            </w:r>
            <w:r>
              <w:rPr>
                <w:sz w:val="18"/>
              </w:rPr>
              <w:t>of</w:t>
            </w:r>
            <w:r>
              <w:rPr>
                <w:spacing w:val="-3"/>
                <w:sz w:val="18"/>
              </w:rPr>
              <w:t> </w:t>
            </w:r>
            <w:r>
              <w:rPr>
                <w:sz w:val="18"/>
              </w:rPr>
              <w:t>a</w:t>
            </w:r>
            <w:r>
              <w:rPr>
                <w:spacing w:val="-2"/>
                <w:sz w:val="18"/>
              </w:rPr>
              <w:t> </w:t>
            </w:r>
            <w:r>
              <w:rPr>
                <w:sz w:val="18"/>
              </w:rPr>
              <w:t>unit</w:t>
            </w:r>
            <w:r>
              <w:rPr>
                <w:spacing w:val="-2"/>
                <w:sz w:val="18"/>
              </w:rPr>
              <w:t> root.</w:t>
            </w:r>
          </w:p>
        </w:tc>
      </w:tr>
      <w:tr>
        <w:trPr>
          <w:trHeight w:val="413" w:hRule="atLeast"/>
        </w:trPr>
        <w:tc>
          <w:tcPr>
            <w:tcW w:w="6488" w:type="dxa"/>
            <w:gridSpan w:val="5"/>
          </w:tcPr>
          <w:p>
            <w:pPr>
              <w:pStyle w:val="TableParagraph"/>
              <w:spacing w:line="191" w:lineRule="exact" w:before="203"/>
              <w:ind w:left="36"/>
              <w:rPr>
                <w:sz w:val="18"/>
              </w:rPr>
            </w:pPr>
            <w:r>
              <w:rPr>
                <w:sz w:val="18"/>
              </w:rPr>
              <w:t>Augmented</w:t>
            </w:r>
            <w:r>
              <w:rPr>
                <w:spacing w:val="-3"/>
                <w:sz w:val="18"/>
              </w:rPr>
              <w:t> </w:t>
            </w:r>
            <w:r>
              <w:rPr>
                <w:sz w:val="18"/>
              </w:rPr>
              <w:t>Dickey-Fuller</w:t>
            </w:r>
            <w:r>
              <w:rPr>
                <w:spacing w:val="-3"/>
                <w:sz w:val="18"/>
              </w:rPr>
              <w:t> </w:t>
            </w:r>
            <w:r>
              <w:rPr>
                <w:sz w:val="18"/>
              </w:rPr>
              <w:t>Test</w:t>
            </w:r>
            <w:r>
              <w:rPr>
                <w:spacing w:val="-3"/>
                <w:sz w:val="18"/>
              </w:rPr>
              <w:t> </w:t>
            </w:r>
            <w:r>
              <w:rPr>
                <w:spacing w:val="-2"/>
                <w:sz w:val="18"/>
              </w:rPr>
              <w:t>Equation</w:t>
            </w:r>
          </w:p>
        </w:tc>
      </w:tr>
      <w:tr>
        <w:trPr>
          <w:trHeight w:val="206" w:hRule="atLeast"/>
        </w:trPr>
        <w:tc>
          <w:tcPr>
            <w:tcW w:w="6488" w:type="dxa"/>
            <w:gridSpan w:val="5"/>
          </w:tcPr>
          <w:p>
            <w:pPr>
              <w:pStyle w:val="TableParagraph"/>
              <w:spacing w:line="186" w:lineRule="exact"/>
              <w:ind w:left="36"/>
              <w:rPr>
                <w:sz w:val="18"/>
              </w:rPr>
            </w:pPr>
            <w:r>
              <w:rPr>
                <w:sz w:val="18"/>
              </w:rPr>
              <w:t>Dependent</w:t>
            </w:r>
            <w:r>
              <w:rPr>
                <w:spacing w:val="-2"/>
                <w:sz w:val="18"/>
              </w:rPr>
              <w:t> </w:t>
            </w:r>
            <w:r>
              <w:rPr>
                <w:sz w:val="18"/>
              </w:rPr>
              <w:t>Variable:</w:t>
            </w:r>
            <w:r>
              <w:rPr>
                <w:spacing w:val="-2"/>
                <w:sz w:val="18"/>
              </w:rPr>
              <w:t> D(NEXTAS)</w:t>
            </w:r>
          </w:p>
        </w:tc>
      </w:tr>
      <w:tr>
        <w:trPr>
          <w:trHeight w:val="206" w:hRule="atLeast"/>
        </w:trPr>
        <w:tc>
          <w:tcPr>
            <w:tcW w:w="1852" w:type="dxa"/>
          </w:tcPr>
          <w:p>
            <w:pPr>
              <w:pStyle w:val="TableParagraph"/>
              <w:spacing w:line="186" w:lineRule="exact"/>
              <w:ind w:left="36"/>
              <w:rPr>
                <w:sz w:val="18"/>
              </w:rPr>
            </w:pPr>
            <w:r>
              <w:rPr>
                <w:sz w:val="18"/>
              </w:rPr>
              <w:t>Method:</w:t>
            </w:r>
            <w:r>
              <w:rPr>
                <w:spacing w:val="-3"/>
                <w:sz w:val="18"/>
              </w:rPr>
              <w:t> </w:t>
            </w:r>
            <w:r>
              <w:rPr>
                <w:sz w:val="18"/>
              </w:rPr>
              <w:t>Least</w:t>
            </w:r>
            <w:r>
              <w:rPr>
                <w:spacing w:val="-2"/>
                <w:sz w:val="18"/>
              </w:rPr>
              <w:t> Squares</w:t>
            </w:r>
          </w:p>
        </w:tc>
        <w:tc>
          <w:tcPr>
            <w:tcW w:w="1360" w:type="dxa"/>
          </w:tcPr>
          <w:p>
            <w:pPr>
              <w:pStyle w:val="TableParagraph"/>
              <w:rPr>
                <w:sz w:val="14"/>
              </w:rPr>
            </w:pPr>
          </w:p>
        </w:tc>
        <w:tc>
          <w:tcPr>
            <w:tcW w:w="1521" w:type="dxa"/>
          </w:tcPr>
          <w:p>
            <w:pPr>
              <w:pStyle w:val="TableParagraph"/>
              <w:rPr>
                <w:sz w:val="14"/>
              </w:rPr>
            </w:pPr>
          </w:p>
        </w:tc>
        <w:tc>
          <w:tcPr>
            <w:tcW w:w="898" w:type="dxa"/>
          </w:tcPr>
          <w:p>
            <w:pPr>
              <w:pStyle w:val="TableParagraph"/>
              <w:rPr>
                <w:sz w:val="14"/>
              </w:rPr>
            </w:pPr>
          </w:p>
        </w:tc>
        <w:tc>
          <w:tcPr>
            <w:tcW w:w="857" w:type="dxa"/>
          </w:tcPr>
          <w:p>
            <w:pPr>
              <w:pStyle w:val="TableParagraph"/>
              <w:rPr>
                <w:sz w:val="14"/>
              </w:rPr>
            </w:pPr>
          </w:p>
        </w:tc>
      </w:tr>
      <w:tr>
        <w:trPr>
          <w:trHeight w:val="207" w:hRule="atLeast"/>
        </w:trPr>
        <w:tc>
          <w:tcPr>
            <w:tcW w:w="6488" w:type="dxa"/>
            <w:gridSpan w:val="5"/>
          </w:tcPr>
          <w:p>
            <w:pPr>
              <w:pStyle w:val="TableParagraph"/>
              <w:spacing w:line="188" w:lineRule="exact"/>
              <w:ind w:left="36"/>
              <w:rPr>
                <w:sz w:val="18"/>
              </w:rPr>
            </w:pPr>
            <w:r>
              <w:rPr>
                <w:sz w:val="18"/>
              </w:rPr>
              <w:t>Date:</w:t>
            </w:r>
            <w:r>
              <w:rPr>
                <w:spacing w:val="-2"/>
                <w:sz w:val="18"/>
              </w:rPr>
              <w:t> </w:t>
            </w:r>
            <w:r>
              <w:rPr>
                <w:sz w:val="18"/>
              </w:rPr>
              <w:t>02/17/14</w:t>
            </w:r>
            <w:r>
              <w:rPr>
                <w:spacing w:val="63"/>
                <w:w w:val="150"/>
                <w:sz w:val="18"/>
              </w:rPr>
              <w:t> </w:t>
            </w:r>
            <w:r>
              <w:rPr>
                <w:sz w:val="18"/>
              </w:rPr>
              <w:t>Time:</w:t>
            </w:r>
            <w:r>
              <w:rPr>
                <w:spacing w:val="-1"/>
                <w:sz w:val="18"/>
              </w:rPr>
              <w:t> </w:t>
            </w:r>
            <w:r>
              <w:rPr>
                <w:spacing w:val="-4"/>
                <w:sz w:val="18"/>
              </w:rPr>
              <w:t>18:15</w:t>
            </w:r>
          </w:p>
        </w:tc>
      </w:tr>
      <w:tr>
        <w:trPr>
          <w:trHeight w:val="207" w:hRule="atLeast"/>
        </w:trPr>
        <w:tc>
          <w:tcPr>
            <w:tcW w:w="6488" w:type="dxa"/>
            <w:gridSpan w:val="5"/>
          </w:tcPr>
          <w:p>
            <w:pPr>
              <w:pStyle w:val="TableParagraph"/>
              <w:spacing w:line="188" w:lineRule="exact"/>
              <w:ind w:left="36"/>
              <w:rPr>
                <w:sz w:val="18"/>
              </w:rPr>
            </w:pPr>
            <w:r>
              <w:rPr>
                <w:sz w:val="18"/>
              </w:rPr>
              <w:t>Sample(adjusted):</w:t>
            </w:r>
            <w:r>
              <w:rPr>
                <w:spacing w:val="-6"/>
                <w:sz w:val="18"/>
              </w:rPr>
              <w:t> </w:t>
            </w:r>
            <w:r>
              <w:rPr>
                <w:sz w:val="18"/>
              </w:rPr>
              <w:t>1989</w:t>
            </w:r>
            <w:r>
              <w:rPr>
                <w:spacing w:val="-2"/>
                <w:sz w:val="18"/>
              </w:rPr>
              <w:t> </w:t>
            </w:r>
            <w:r>
              <w:rPr>
                <w:spacing w:val="-4"/>
                <w:sz w:val="18"/>
              </w:rPr>
              <w:t>2011</w:t>
            </w:r>
          </w:p>
        </w:tc>
      </w:tr>
      <w:tr>
        <w:trPr>
          <w:trHeight w:val="201" w:hRule="atLeast"/>
        </w:trPr>
        <w:tc>
          <w:tcPr>
            <w:tcW w:w="6488" w:type="dxa"/>
            <w:gridSpan w:val="5"/>
            <w:tcBorders>
              <w:bottom w:val="double" w:sz="6" w:space="0" w:color="000000"/>
            </w:tcBorders>
          </w:tcPr>
          <w:p>
            <w:pPr>
              <w:pStyle w:val="TableParagraph"/>
              <w:spacing w:line="181" w:lineRule="exact"/>
              <w:ind w:left="36"/>
              <w:rPr>
                <w:sz w:val="18"/>
              </w:rPr>
            </w:pPr>
            <w:r>
              <w:rPr>
                <w:sz w:val="18"/>
              </w:rPr>
              <w:t>Included</w:t>
            </w:r>
            <w:r>
              <w:rPr>
                <w:spacing w:val="-1"/>
                <w:sz w:val="18"/>
              </w:rPr>
              <w:t> </w:t>
            </w:r>
            <w:r>
              <w:rPr>
                <w:sz w:val="18"/>
              </w:rPr>
              <w:t>observations:</w:t>
            </w:r>
            <w:r>
              <w:rPr>
                <w:spacing w:val="-3"/>
                <w:sz w:val="18"/>
              </w:rPr>
              <w:t> </w:t>
            </w:r>
            <w:r>
              <w:rPr>
                <w:sz w:val="18"/>
              </w:rPr>
              <w:t>23</w:t>
            </w:r>
            <w:r>
              <w:rPr>
                <w:spacing w:val="-1"/>
                <w:sz w:val="18"/>
              </w:rPr>
              <w:t> </w:t>
            </w:r>
            <w:r>
              <w:rPr>
                <w:sz w:val="18"/>
              </w:rPr>
              <w:t>after</w:t>
            </w:r>
            <w:r>
              <w:rPr>
                <w:spacing w:val="-1"/>
                <w:sz w:val="18"/>
              </w:rPr>
              <w:t> </w:t>
            </w:r>
            <w:r>
              <w:rPr>
                <w:sz w:val="18"/>
              </w:rPr>
              <w:t>adjusting</w:t>
            </w:r>
            <w:r>
              <w:rPr>
                <w:spacing w:val="-2"/>
                <w:sz w:val="18"/>
              </w:rPr>
              <w:t> endpoints</w:t>
            </w:r>
          </w:p>
        </w:tc>
      </w:tr>
      <w:tr>
        <w:trPr>
          <w:trHeight w:val="247" w:hRule="atLeast"/>
        </w:trPr>
        <w:tc>
          <w:tcPr>
            <w:tcW w:w="1852" w:type="dxa"/>
            <w:tcBorders>
              <w:top w:val="double" w:sz="6" w:space="0" w:color="000000"/>
              <w:bottom w:val="double" w:sz="6" w:space="0" w:color="000000"/>
            </w:tcBorders>
          </w:tcPr>
          <w:p>
            <w:pPr>
              <w:pStyle w:val="TableParagraph"/>
              <w:spacing w:line="188" w:lineRule="exact" w:before="40"/>
              <w:ind w:left="713"/>
              <w:rPr>
                <w:sz w:val="18"/>
              </w:rPr>
            </w:pPr>
            <w:r>
              <w:rPr>
                <w:spacing w:val="-2"/>
                <w:sz w:val="18"/>
              </w:rPr>
              <w:t>Variable</w:t>
            </w:r>
          </w:p>
        </w:tc>
        <w:tc>
          <w:tcPr>
            <w:tcW w:w="1360" w:type="dxa"/>
            <w:tcBorders>
              <w:top w:val="double" w:sz="6" w:space="0" w:color="000000"/>
              <w:bottom w:val="double" w:sz="6" w:space="0" w:color="000000"/>
            </w:tcBorders>
          </w:tcPr>
          <w:p>
            <w:pPr>
              <w:pStyle w:val="TableParagraph"/>
              <w:spacing w:line="188" w:lineRule="exact" w:before="40"/>
              <w:ind w:right="119"/>
              <w:jc w:val="right"/>
              <w:rPr>
                <w:sz w:val="18"/>
              </w:rPr>
            </w:pPr>
            <w:r>
              <w:rPr>
                <w:spacing w:val="-2"/>
                <w:sz w:val="18"/>
              </w:rPr>
              <w:t>Coefficient</w:t>
            </w:r>
          </w:p>
        </w:tc>
        <w:tc>
          <w:tcPr>
            <w:tcW w:w="1521" w:type="dxa"/>
            <w:tcBorders>
              <w:top w:val="double" w:sz="6" w:space="0" w:color="000000"/>
              <w:bottom w:val="double" w:sz="6" w:space="0" w:color="000000"/>
            </w:tcBorders>
          </w:tcPr>
          <w:p>
            <w:pPr>
              <w:pStyle w:val="TableParagraph"/>
              <w:spacing w:line="188" w:lineRule="exact" w:before="40"/>
              <w:ind w:left="362"/>
              <w:rPr>
                <w:sz w:val="18"/>
              </w:rPr>
            </w:pPr>
            <w:r>
              <w:rPr>
                <w:sz w:val="18"/>
              </w:rPr>
              <w:t>Std.</w:t>
            </w:r>
            <w:r>
              <w:rPr>
                <w:spacing w:val="-1"/>
                <w:sz w:val="18"/>
              </w:rPr>
              <w:t> </w:t>
            </w:r>
            <w:r>
              <w:rPr>
                <w:spacing w:val="-4"/>
                <w:sz w:val="18"/>
              </w:rPr>
              <w:t>Error</w:t>
            </w:r>
          </w:p>
        </w:tc>
        <w:tc>
          <w:tcPr>
            <w:tcW w:w="898" w:type="dxa"/>
            <w:tcBorders>
              <w:top w:val="double" w:sz="6" w:space="0" w:color="000000"/>
              <w:bottom w:val="double" w:sz="6" w:space="0" w:color="000000"/>
            </w:tcBorders>
          </w:tcPr>
          <w:p>
            <w:pPr>
              <w:pStyle w:val="TableParagraph"/>
              <w:spacing w:line="188" w:lineRule="exact" w:before="40"/>
              <w:ind w:right="148"/>
              <w:jc w:val="right"/>
              <w:rPr>
                <w:sz w:val="18"/>
              </w:rPr>
            </w:pPr>
            <w:r>
              <w:rPr>
                <w:sz w:val="18"/>
              </w:rPr>
              <w:t>t-</w:t>
            </w:r>
            <w:r>
              <w:rPr>
                <w:spacing w:val="-2"/>
                <w:sz w:val="18"/>
              </w:rPr>
              <w:t>Statistic</w:t>
            </w:r>
          </w:p>
        </w:tc>
        <w:tc>
          <w:tcPr>
            <w:tcW w:w="857" w:type="dxa"/>
            <w:tcBorders>
              <w:top w:val="double" w:sz="6" w:space="0" w:color="000000"/>
              <w:bottom w:val="double" w:sz="6" w:space="0" w:color="000000"/>
            </w:tcBorders>
          </w:tcPr>
          <w:p>
            <w:pPr>
              <w:pStyle w:val="TableParagraph"/>
              <w:spacing w:line="188" w:lineRule="exact" w:before="40"/>
              <w:ind w:left="-3" w:right="29"/>
              <w:jc w:val="right"/>
              <w:rPr>
                <w:sz w:val="18"/>
              </w:rPr>
            </w:pPr>
            <w:r>
              <w:rPr>
                <w:spacing w:val="-2"/>
                <w:sz w:val="18"/>
              </w:rPr>
              <w:t>Prob.</w:t>
            </w:r>
          </w:p>
        </w:tc>
      </w:tr>
      <w:tr>
        <w:trPr>
          <w:trHeight w:val="250" w:hRule="atLeast"/>
        </w:trPr>
        <w:tc>
          <w:tcPr>
            <w:tcW w:w="1852" w:type="dxa"/>
            <w:tcBorders>
              <w:top w:val="double" w:sz="6" w:space="0" w:color="000000"/>
            </w:tcBorders>
          </w:tcPr>
          <w:p>
            <w:pPr>
              <w:pStyle w:val="TableParagraph"/>
              <w:spacing w:line="191" w:lineRule="exact" w:before="40"/>
              <w:ind w:left="533"/>
              <w:rPr>
                <w:sz w:val="18"/>
              </w:rPr>
            </w:pPr>
            <w:r>
              <w:rPr>
                <w:spacing w:val="-2"/>
                <w:sz w:val="18"/>
              </w:rPr>
              <w:t>NEXTAS(-</w:t>
            </w:r>
            <w:r>
              <w:rPr>
                <w:spacing w:val="-5"/>
                <w:sz w:val="18"/>
              </w:rPr>
              <w:t>1)</w:t>
            </w:r>
          </w:p>
        </w:tc>
        <w:tc>
          <w:tcPr>
            <w:tcW w:w="1360" w:type="dxa"/>
            <w:tcBorders>
              <w:top w:val="double" w:sz="6" w:space="0" w:color="000000"/>
            </w:tcBorders>
          </w:tcPr>
          <w:p>
            <w:pPr>
              <w:pStyle w:val="TableParagraph"/>
              <w:spacing w:line="191" w:lineRule="exact" w:before="40"/>
              <w:ind w:right="117"/>
              <w:jc w:val="right"/>
              <w:rPr>
                <w:sz w:val="18"/>
              </w:rPr>
            </w:pPr>
            <w:r>
              <w:rPr>
                <w:sz w:val="18"/>
              </w:rPr>
              <w:t>-</w:t>
            </w:r>
            <w:r>
              <w:rPr>
                <w:spacing w:val="-2"/>
                <w:sz w:val="18"/>
              </w:rPr>
              <w:t>0.265435</w:t>
            </w:r>
          </w:p>
        </w:tc>
        <w:tc>
          <w:tcPr>
            <w:tcW w:w="1521" w:type="dxa"/>
            <w:tcBorders>
              <w:top w:val="double" w:sz="6" w:space="0" w:color="000000"/>
            </w:tcBorders>
          </w:tcPr>
          <w:p>
            <w:pPr>
              <w:pStyle w:val="TableParagraph"/>
              <w:spacing w:line="191" w:lineRule="exact" w:before="40"/>
              <w:ind w:left="398"/>
              <w:rPr>
                <w:sz w:val="18"/>
              </w:rPr>
            </w:pPr>
            <w:r>
              <w:rPr>
                <w:spacing w:val="-2"/>
                <w:sz w:val="18"/>
              </w:rPr>
              <w:t>0.144031</w:t>
            </w:r>
          </w:p>
        </w:tc>
        <w:tc>
          <w:tcPr>
            <w:tcW w:w="898" w:type="dxa"/>
            <w:tcBorders>
              <w:top w:val="double" w:sz="6" w:space="0" w:color="000000"/>
            </w:tcBorders>
          </w:tcPr>
          <w:p>
            <w:pPr>
              <w:pStyle w:val="TableParagraph"/>
              <w:spacing w:line="191" w:lineRule="exact" w:before="40"/>
              <w:ind w:right="150"/>
              <w:jc w:val="right"/>
              <w:rPr>
                <w:sz w:val="18"/>
              </w:rPr>
            </w:pPr>
            <w:r>
              <w:rPr>
                <w:sz w:val="18"/>
              </w:rPr>
              <w:t>-</w:t>
            </w:r>
            <w:r>
              <w:rPr>
                <w:spacing w:val="-2"/>
                <w:sz w:val="18"/>
              </w:rPr>
              <w:t>1.842900</w:t>
            </w:r>
          </w:p>
        </w:tc>
        <w:tc>
          <w:tcPr>
            <w:tcW w:w="857" w:type="dxa"/>
            <w:tcBorders>
              <w:top w:val="double" w:sz="6" w:space="0" w:color="000000"/>
            </w:tcBorders>
          </w:tcPr>
          <w:p>
            <w:pPr>
              <w:pStyle w:val="TableParagraph"/>
              <w:spacing w:line="191" w:lineRule="exact" w:before="40"/>
              <w:ind w:left="-3" w:right="29"/>
              <w:jc w:val="right"/>
              <w:rPr>
                <w:sz w:val="18"/>
              </w:rPr>
            </w:pPr>
            <w:r>
              <w:rPr>
                <w:spacing w:val="-2"/>
                <w:sz w:val="18"/>
              </w:rPr>
              <w:t>0.0802</w:t>
            </w:r>
          </w:p>
        </w:tc>
      </w:tr>
      <w:tr>
        <w:trPr>
          <w:trHeight w:val="207" w:hRule="atLeast"/>
        </w:trPr>
        <w:tc>
          <w:tcPr>
            <w:tcW w:w="1852" w:type="dxa"/>
          </w:tcPr>
          <w:p>
            <w:pPr>
              <w:pStyle w:val="TableParagraph"/>
              <w:spacing w:line="188" w:lineRule="exact"/>
              <w:ind w:left="408"/>
              <w:rPr>
                <w:sz w:val="18"/>
              </w:rPr>
            </w:pPr>
            <w:r>
              <w:rPr>
                <w:spacing w:val="-2"/>
                <w:sz w:val="18"/>
              </w:rPr>
              <w:t>D(NEXTAS(-</w:t>
            </w:r>
            <w:r>
              <w:rPr>
                <w:spacing w:val="-5"/>
                <w:sz w:val="18"/>
              </w:rPr>
              <w:t>1))</w:t>
            </w:r>
          </w:p>
        </w:tc>
        <w:tc>
          <w:tcPr>
            <w:tcW w:w="1360" w:type="dxa"/>
          </w:tcPr>
          <w:p>
            <w:pPr>
              <w:pStyle w:val="TableParagraph"/>
              <w:spacing w:line="188" w:lineRule="exact"/>
              <w:ind w:right="117"/>
              <w:jc w:val="right"/>
              <w:rPr>
                <w:sz w:val="18"/>
              </w:rPr>
            </w:pPr>
            <w:r>
              <w:rPr>
                <w:spacing w:val="-2"/>
                <w:sz w:val="18"/>
              </w:rPr>
              <w:t>0.042638</w:t>
            </w:r>
          </w:p>
        </w:tc>
        <w:tc>
          <w:tcPr>
            <w:tcW w:w="1521" w:type="dxa"/>
          </w:tcPr>
          <w:p>
            <w:pPr>
              <w:pStyle w:val="TableParagraph"/>
              <w:spacing w:line="188" w:lineRule="exact"/>
              <w:ind w:left="398"/>
              <w:rPr>
                <w:sz w:val="18"/>
              </w:rPr>
            </w:pPr>
            <w:r>
              <w:rPr>
                <w:spacing w:val="-2"/>
                <w:sz w:val="18"/>
              </w:rPr>
              <w:t>0.213028</w:t>
            </w:r>
          </w:p>
        </w:tc>
        <w:tc>
          <w:tcPr>
            <w:tcW w:w="898" w:type="dxa"/>
          </w:tcPr>
          <w:p>
            <w:pPr>
              <w:pStyle w:val="TableParagraph"/>
              <w:spacing w:line="188" w:lineRule="exact"/>
              <w:ind w:right="150"/>
              <w:jc w:val="right"/>
              <w:rPr>
                <w:sz w:val="18"/>
              </w:rPr>
            </w:pPr>
            <w:r>
              <w:rPr>
                <w:spacing w:val="-2"/>
                <w:sz w:val="18"/>
              </w:rPr>
              <w:t>0.200153</w:t>
            </w:r>
          </w:p>
        </w:tc>
        <w:tc>
          <w:tcPr>
            <w:tcW w:w="857" w:type="dxa"/>
          </w:tcPr>
          <w:p>
            <w:pPr>
              <w:pStyle w:val="TableParagraph"/>
              <w:spacing w:line="188" w:lineRule="exact"/>
              <w:ind w:left="-3" w:right="29"/>
              <w:jc w:val="right"/>
              <w:rPr>
                <w:sz w:val="18"/>
              </w:rPr>
            </w:pPr>
            <w:r>
              <w:rPr>
                <w:spacing w:val="-2"/>
                <w:sz w:val="18"/>
              </w:rPr>
              <w:t>0.8434</w:t>
            </w:r>
          </w:p>
        </w:tc>
      </w:tr>
      <w:tr>
        <w:trPr>
          <w:trHeight w:val="202" w:hRule="atLeast"/>
        </w:trPr>
        <w:tc>
          <w:tcPr>
            <w:tcW w:w="1852" w:type="dxa"/>
            <w:tcBorders>
              <w:bottom w:val="double" w:sz="6" w:space="0" w:color="000000"/>
            </w:tcBorders>
          </w:tcPr>
          <w:p>
            <w:pPr>
              <w:pStyle w:val="TableParagraph"/>
              <w:spacing w:line="183" w:lineRule="exact"/>
              <w:ind w:left="193"/>
              <w:jc w:val="center"/>
              <w:rPr>
                <w:sz w:val="18"/>
              </w:rPr>
            </w:pPr>
            <w:r>
              <w:rPr>
                <w:spacing w:val="-10"/>
                <w:sz w:val="18"/>
              </w:rPr>
              <w:t>C</w:t>
            </w:r>
          </w:p>
        </w:tc>
        <w:tc>
          <w:tcPr>
            <w:tcW w:w="1360" w:type="dxa"/>
            <w:tcBorders>
              <w:bottom w:val="double" w:sz="6" w:space="0" w:color="000000"/>
            </w:tcBorders>
          </w:tcPr>
          <w:p>
            <w:pPr>
              <w:pStyle w:val="TableParagraph"/>
              <w:spacing w:line="183" w:lineRule="exact"/>
              <w:ind w:right="117"/>
              <w:jc w:val="right"/>
              <w:rPr>
                <w:sz w:val="18"/>
              </w:rPr>
            </w:pPr>
            <w:r>
              <w:rPr>
                <w:spacing w:val="-2"/>
                <w:sz w:val="18"/>
              </w:rPr>
              <w:t>3.264356</w:t>
            </w:r>
          </w:p>
        </w:tc>
        <w:tc>
          <w:tcPr>
            <w:tcW w:w="1521" w:type="dxa"/>
            <w:tcBorders>
              <w:bottom w:val="double" w:sz="6" w:space="0" w:color="000000"/>
            </w:tcBorders>
          </w:tcPr>
          <w:p>
            <w:pPr>
              <w:pStyle w:val="TableParagraph"/>
              <w:spacing w:line="183" w:lineRule="exact"/>
              <w:ind w:left="398"/>
              <w:rPr>
                <w:sz w:val="18"/>
              </w:rPr>
            </w:pPr>
            <w:r>
              <w:rPr>
                <w:spacing w:val="-2"/>
                <w:sz w:val="18"/>
              </w:rPr>
              <w:t>1.677552</w:t>
            </w:r>
          </w:p>
        </w:tc>
        <w:tc>
          <w:tcPr>
            <w:tcW w:w="898" w:type="dxa"/>
            <w:tcBorders>
              <w:bottom w:val="double" w:sz="6" w:space="0" w:color="000000"/>
            </w:tcBorders>
          </w:tcPr>
          <w:p>
            <w:pPr>
              <w:pStyle w:val="TableParagraph"/>
              <w:spacing w:line="183" w:lineRule="exact"/>
              <w:ind w:right="150"/>
              <w:jc w:val="right"/>
              <w:rPr>
                <w:sz w:val="18"/>
              </w:rPr>
            </w:pPr>
            <w:r>
              <w:rPr>
                <w:spacing w:val="-2"/>
                <w:sz w:val="18"/>
              </w:rPr>
              <w:t>1.945904</w:t>
            </w:r>
          </w:p>
        </w:tc>
        <w:tc>
          <w:tcPr>
            <w:tcW w:w="857" w:type="dxa"/>
            <w:tcBorders>
              <w:bottom w:val="double" w:sz="6" w:space="0" w:color="000000"/>
            </w:tcBorders>
          </w:tcPr>
          <w:p>
            <w:pPr>
              <w:pStyle w:val="TableParagraph"/>
              <w:spacing w:line="183" w:lineRule="exact"/>
              <w:ind w:left="-3" w:right="29"/>
              <w:jc w:val="right"/>
              <w:rPr>
                <w:sz w:val="18"/>
              </w:rPr>
            </w:pPr>
            <w:r>
              <w:rPr>
                <w:spacing w:val="-2"/>
                <w:sz w:val="18"/>
              </w:rPr>
              <w:t>0.0659</w:t>
            </w:r>
          </w:p>
        </w:tc>
      </w:tr>
      <w:tr>
        <w:trPr>
          <w:trHeight w:val="251" w:hRule="atLeast"/>
        </w:trPr>
        <w:tc>
          <w:tcPr>
            <w:tcW w:w="1852" w:type="dxa"/>
            <w:tcBorders>
              <w:top w:val="double" w:sz="6" w:space="0" w:color="000000"/>
            </w:tcBorders>
          </w:tcPr>
          <w:p>
            <w:pPr>
              <w:pStyle w:val="TableParagraph"/>
              <w:spacing w:line="192" w:lineRule="exact" w:before="40"/>
              <w:ind w:left="36"/>
              <w:rPr>
                <w:sz w:val="18"/>
              </w:rPr>
            </w:pPr>
            <w:r>
              <w:rPr>
                <w:spacing w:val="-2"/>
                <w:sz w:val="18"/>
              </w:rPr>
              <w:t>R-squared</w:t>
            </w:r>
          </w:p>
        </w:tc>
        <w:tc>
          <w:tcPr>
            <w:tcW w:w="1360" w:type="dxa"/>
            <w:tcBorders>
              <w:top w:val="double" w:sz="6" w:space="0" w:color="000000"/>
            </w:tcBorders>
          </w:tcPr>
          <w:p>
            <w:pPr>
              <w:pStyle w:val="TableParagraph"/>
              <w:spacing w:line="192" w:lineRule="exact" w:before="40"/>
              <w:ind w:right="117"/>
              <w:jc w:val="right"/>
              <w:rPr>
                <w:sz w:val="18"/>
              </w:rPr>
            </w:pPr>
            <w:r>
              <w:rPr>
                <w:spacing w:val="-2"/>
                <w:sz w:val="18"/>
              </w:rPr>
              <w:t>0.148369</w:t>
            </w:r>
          </w:p>
        </w:tc>
        <w:tc>
          <w:tcPr>
            <w:tcW w:w="2419" w:type="dxa"/>
            <w:gridSpan w:val="2"/>
            <w:tcBorders>
              <w:top w:val="double" w:sz="6" w:space="0" w:color="000000"/>
            </w:tcBorders>
          </w:tcPr>
          <w:p>
            <w:pPr>
              <w:pStyle w:val="TableParagraph"/>
              <w:spacing w:line="192" w:lineRule="exact" w:before="40"/>
              <w:ind w:left="122"/>
              <w:rPr>
                <w:sz w:val="18"/>
              </w:rPr>
            </w:pPr>
            <w:r>
              <w:rPr>
                <w:sz w:val="18"/>
              </w:rPr>
              <w:t>Mean</w:t>
            </w:r>
            <w:r>
              <w:rPr>
                <w:spacing w:val="-5"/>
                <w:sz w:val="18"/>
              </w:rPr>
              <w:t> </w:t>
            </w:r>
            <w:r>
              <w:rPr>
                <w:sz w:val="18"/>
              </w:rPr>
              <w:t>dependent</w:t>
            </w:r>
            <w:r>
              <w:rPr>
                <w:spacing w:val="-1"/>
                <w:sz w:val="18"/>
              </w:rPr>
              <w:t> </w:t>
            </w:r>
            <w:r>
              <w:rPr>
                <w:spacing w:val="-5"/>
                <w:sz w:val="18"/>
              </w:rPr>
              <w:t>var</w:t>
            </w:r>
          </w:p>
        </w:tc>
        <w:tc>
          <w:tcPr>
            <w:tcW w:w="857" w:type="dxa"/>
            <w:tcBorders>
              <w:top w:val="double" w:sz="6" w:space="0" w:color="000000"/>
            </w:tcBorders>
          </w:tcPr>
          <w:p>
            <w:pPr>
              <w:pStyle w:val="TableParagraph"/>
              <w:spacing w:line="192" w:lineRule="exact" w:before="40"/>
              <w:ind w:left="-3" w:right="28"/>
              <w:jc w:val="right"/>
              <w:rPr>
                <w:sz w:val="18"/>
              </w:rPr>
            </w:pPr>
            <w:r>
              <w:rPr>
                <w:spacing w:val="-2"/>
                <w:sz w:val="18"/>
              </w:rPr>
              <w:t>0.204022</w:t>
            </w:r>
          </w:p>
        </w:tc>
      </w:tr>
      <w:tr>
        <w:trPr>
          <w:trHeight w:val="207" w:hRule="atLeast"/>
        </w:trPr>
        <w:tc>
          <w:tcPr>
            <w:tcW w:w="1852" w:type="dxa"/>
          </w:tcPr>
          <w:p>
            <w:pPr>
              <w:pStyle w:val="TableParagraph"/>
              <w:spacing w:line="188" w:lineRule="exact"/>
              <w:ind w:left="36"/>
              <w:rPr>
                <w:sz w:val="18"/>
              </w:rPr>
            </w:pPr>
            <w:r>
              <w:rPr>
                <w:sz w:val="18"/>
              </w:rPr>
              <w:t>Adjusted</w:t>
            </w:r>
            <w:r>
              <w:rPr>
                <w:spacing w:val="-1"/>
                <w:sz w:val="18"/>
              </w:rPr>
              <w:t> </w:t>
            </w:r>
            <w:r>
              <w:rPr>
                <w:sz w:val="18"/>
              </w:rPr>
              <w:t>R-</w:t>
            </w:r>
            <w:r>
              <w:rPr>
                <w:spacing w:val="-2"/>
                <w:sz w:val="18"/>
              </w:rPr>
              <w:t>squared</w:t>
            </w:r>
          </w:p>
        </w:tc>
        <w:tc>
          <w:tcPr>
            <w:tcW w:w="1360" w:type="dxa"/>
          </w:tcPr>
          <w:p>
            <w:pPr>
              <w:pStyle w:val="TableParagraph"/>
              <w:spacing w:line="188" w:lineRule="exact"/>
              <w:ind w:right="117"/>
              <w:jc w:val="right"/>
              <w:rPr>
                <w:sz w:val="18"/>
              </w:rPr>
            </w:pPr>
            <w:r>
              <w:rPr>
                <w:spacing w:val="-2"/>
                <w:sz w:val="18"/>
              </w:rPr>
              <w:t>0.063206</w:t>
            </w:r>
          </w:p>
        </w:tc>
        <w:tc>
          <w:tcPr>
            <w:tcW w:w="1521" w:type="dxa"/>
          </w:tcPr>
          <w:p>
            <w:pPr>
              <w:pStyle w:val="TableParagraph"/>
              <w:spacing w:line="188" w:lineRule="exact"/>
              <w:ind w:left="122"/>
              <w:rPr>
                <w:sz w:val="18"/>
              </w:rPr>
            </w:pPr>
            <w:r>
              <w:rPr>
                <w:sz w:val="18"/>
              </w:rPr>
              <w:t>S.D.</w:t>
            </w:r>
            <w:r>
              <w:rPr>
                <w:spacing w:val="-5"/>
                <w:sz w:val="18"/>
              </w:rPr>
              <w:t> </w:t>
            </w:r>
            <w:r>
              <w:rPr>
                <w:sz w:val="18"/>
              </w:rPr>
              <w:t>dependent</w:t>
            </w:r>
            <w:r>
              <w:rPr>
                <w:spacing w:val="-3"/>
                <w:sz w:val="18"/>
              </w:rPr>
              <w:t> </w:t>
            </w:r>
            <w:r>
              <w:rPr>
                <w:spacing w:val="-5"/>
                <w:sz w:val="18"/>
              </w:rPr>
              <w:t>var</w:t>
            </w:r>
          </w:p>
        </w:tc>
        <w:tc>
          <w:tcPr>
            <w:tcW w:w="898" w:type="dxa"/>
          </w:tcPr>
          <w:p>
            <w:pPr>
              <w:pStyle w:val="TableParagraph"/>
              <w:rPr>
                <w:sz w:val="14"/>
              </w:rPr>
            </w:pPr>
          </w:p>
        </w:tc>
        <w:tc>
          <w:tcPr>
            <w:tcW w:w="857" w:type="dxa"/>
          </w:tcPr>
          <w:p>
            <w:pPr>
              <w:pStyle w:val="TableParagraph"/>
              <w:spacing w:line="188" w:lineRule="exact"/>
              <w:ind w:left="-3" w:right="28"/>
              <w:jc w:val="right"/>
              <w:rPr>
                <w:sz w:val="18"/>
              </w:rPr>
            </w:pPr>
            <w:r>
              <w:rPr>
                <w:spacing w:val="-2"/>
                <w:sz w:val="18"/>
              </w:rPr>
              <w:t>1.436807</w:t>
            </w:r>
          </w:p>
        </w:tc>
      </w:tr>
      <w:tr>
        <w:trPr>
          <w:trHeight w:val="206" w:hRule="atLeast"/>
        </w:trPr>
        <w:tc>
          <w:tcPr>
            <w:tcW w:w="1852" w:type="dxa"/>
          </w:tcPr>
          <w:p>
            <w:pPr>
              <w:pStyle w:val="TableParagraph"/>
              <w:spacing w:line="186" w:lineRule="exact"/>
              <w:ind w:left="36"/>
              <w:rPr>
                <w:sz w:val="18"/>
              </w:rPr>
            </w:pPr>
            <w:r>
              <w:rPr>
                <w:sz w:val="18"/>
              </w:rPr>
              <w:t>S.E.</w:t>
            </w:r>
            <w:r>
              <w:rPr>
                <w:spacing w:val="-3"/>
                <w:sz w:val="18"/>
              </w:rPr>
              <w:t> </w:t>
            </w:r>
            <w:r>
              <w:rPr>
                <w:sz w:val="18"/>
              </w:rPr>
              <w:t>of</w:t>
            </w:r>
            <w:r>
              <w:rPr>
                <w:spacing w:val="-1"/>
                <w:sz w:val="18"/>
              </w:rPr>
              <w:t> </w:t>
            </w:r>
            <w:r>
              <w:rPr>
                <w:spacing w:val="-2"/>
                <w:sz w:val="18"/>
              </w:rPr>
              <w:t>regression</w:t>
            </w:r>
          </w:p>
        </w:tc>
        <w:tc>
          <w:tcPr>
            <w:tcW w:w="1360" w:type="dxa"/>
          </w:tcPr>
          <w:p>
            <w:pPr>
              <w:pStyle w:val="TableParagraph"/>
              <w:spacing w:line="186" w:lineRule="exact"/>
              <w:ind w:right="117"/>
              <w:jc w:val="right"/>
              <w:rPr>
                <w:sz w:val="18"/>
              </w:rPr>
            </w:pPr>
            <w:r>
              <w:rPr>
                <w:spacing w:val="-2"/>
                <w:sz w:val="18"/>
              </w:rPr>
              <w:t>1.390659</w:t>
            </w:r>
          </w:p>
        </w:tc>
        <w:tc>
          <w:tcPr>
            <w:tcW w:w="2419" w:type="dxa"/>
            <w:gridSpan w:val="2"/>
          </w:tcPr>
          <w:p>
            <w:pPr>
              <w:pStyle w:val="TableParagraph"/>
              <w:spacing w:line="186" w:lineRule="exact"/>
              <w:ind w:left="122"/>
              <w:rPr>
                <w:sz w:val="18"/>
              </w:rPr>
            </w:pPr>
            <w:r>
              <w:rPr>
                <w:sz w:val="18"/>
              </w:rPr>
              <w:t>Akaike</w:t>
            </w:r>
            <w:r>
              <w:rPr>
                <w:spacing w:val="-5"/>
                <w:sz w:val="18"/>
              </w:rPr>
              <w:t> </w:t>
            </w:r>
            <w:r>
              <w:rPr>
                <w:sz w:val="18"/>
              </w:rPr>
              <w:t>info</w:t>
            </w:r>
            <w:r>
              <w:rPr>
                <w:spacing w:val="-2"/>
                <w:sz w:val="18"/>
              </w:rPr>
              <w:t> criterion</w:t>
            </w:r>
          </w:p>
        </w:tc>
        <w:tc>
          <w:tcPr>
            <w:tcW w:w="857" w:type="dxa"/>
          </w:tcPr>
          <w:p>
            <w:pPr>
              <w:pStyle w:val="TableParagraph"/>
              <w:spacing w:line="186" w:lineRule="exact"/>
              <w:ind w:left="-3" w:right="28"/>
              <w:jc w:val="right"/>
              <w:rPr>
                <w:sz w:val="18"/>
              </w:rPr>
            </w:pPr>
            <w:r>
              <w:rPr>
                <w:spacing w:val="-2"/>
                <w:sz w:val="18"/>
              </w:rPr>
              <w:t>3.618540</w:t>
            </w:r>
          </w:p>
        </w:tc>
      </w:tr>
      <w:tr>
        <w:trPr>
          <w:trHeight w:val="206" w:hRule="atLeast"/>
        </w:trPr>
        <w:tc>
          <w:tcPr>
            <w:tcW w:w="1852" w:type="dxa"/>
          </w:tcPr>
          <w:p>
            <w:pPr>
              <w:pStyle w:val="TableParagraph"/>
              <w:spacing w:line="186" w:lineRule="exact"/>
              <w:ind w:left="36"/>
              <w:rPr>
                <w:sz w:val="18"/>
              </w:rPr>
            </w:pPr>
            <w:r>
              <w:rPr>
                <w:sz w:val="18"/>
              </w:rPr>
              <w:t>Sum</w:t>
            </w:r>
            <w:r>
              <w:rPr>
                <w:spacing w:val="-3"/>
                <w:sz w:val="18"/>
              </w:rPr>
              <w:t> </w:t>
            </w:r>
            <w:r>
              <w:rPr>
                <w:sz w:val="18"/>
              </w:rPr>
              <w:t>squared</w:t>
            </w:r>
            <w:r>
              <w:rPr>
                <w:spacing w:val="1"/>
                <w:sz w:val="18"/>
              </w:rPr>
              <w:t> </w:t>
            </w:r>
            <w:r>
              <w:rPr>
                <w:spacing w:val="-2"/>
                <w:sz w:val="18"/>
              </w:rPr>
              <w:t>resid</w:t>
            </w:r>
          </w:p>
        </w:tc>
        <w:tc>
          <w:tcPr>
            <w:tcW w:w="1360" w:type="dxa"/>
          </w:tcPr>
          <w:p>
            <w:pPr>
              <w:pStyle w:val="TableParagraph"/>
              <w:spacing w:line="186" w:lineRule="exact"/>
              <w:ind w:right="117"/>
              <w:jc w:val="right"/>
              <w:rPr>
                <w:sz w:val="18"/>
              </w:rPr>
            </w:pPr>
            <w:r>
              <w:rPr>
                <w:spacing w:val="-2"/>
                <w:sz w:val="18"/>
              </w:rPr>
              <w:t>38.67864</w:t>
            </w:r>
          </w:p>
        </w:tc>
        <w:tc>
          <w:tcPr>
            <w:tcW w:w="1521" w:type="dxa"/>
          </w:tcPr>
          <w:p>
            <w:pPr>
              <w:pStyle w:val="TableParagraph"/>
              <w:spacing w:line="186" w:lineRule="exact"/>
              <w:ind w:left="122"/>
              <w:rPr>
                <w:sz w:val="18"/>
              </w:rPr>
            </w:pPr>
            <w:r>
              <w:rPr>
                <w:sz w:val="18"/>
              </w:rPr>
              <w:t>Schwarz</w:t>
            </w:r>
            <w:r>
              <w:rPr>
                <w:spacing w:val="-7"/>
                <w:sz w:val="18"/>
              </w:rPr>
              <w:t> </w:t>
            </w:r>
            <w:r>
              <w:rPr>
                <w:spacing w:val="-2"/>
                <w:sz w:val="18"/>
              </w:rPr>
              <w:t>criterion</w:t>
            </w:r>
          </w:p>
        </w:tc>
        <w:tc>
          <w:tcPr>
            <w:tcW w:w="898" w:type="dxa"/>
          </w:tcPr>
          <w:p>
            <w:pPr>
              <w:pStyle w:val="TableParagraph"/>
              <w:rPr>
                <w:sz w:val="14"/>
              </w:rPr>
            </w:pPr>
          </w:p>
        </w:tc>
        <w:tc>
          <w:tcPr>
            <w:tcW w:w="857" w:type="dxa"/>
          </w:tcPr>
          <w:p>
            <w:pPr>
              <w:pStyle w:val="TableParagraph"/>
              <w:spacing w:line="186" w:lineRule="exact"/>
              <w:ind w:left="-3" w:right="28"/>
              <w:jc w:val="right"/>
              <w:rPr>
                <w:sz w:val="18"/>
              </w:rPr>
            </w:pPr>
            <w:r>
              <w:rPr>
                <w:spacing w:val="-2"/>
                <w:sz w:val="18"/>
              </w:rPr>
              <w:t>3.766648</w:t>
            </w:r>
          </w:p>
        </w:tc>
      </w:tr>
      <w:tr>
        <w:trPr>
          <w:trHeight w:val="206" w:hRule="atLeast"/>
        </w:trPr>
        <w:tc>
          <w:tcPr>
            <w:tcW w:w="1852" w:type="dxa"/>
          </w:tcPr>
          <w:p>
            <w:pPr>
              <w:pStyle w:val="TableParagraph"/>
              <w:spacing w:line="186" w:lineRule="exact"/>
              <w:ind w:left="36"/>
              <w:rPr>
                <w:sz w:val="18"/>
              </w:rPr>
            </w:pPr>
            <w:r>
              <w:rPr>
                <w:sz w:val="18"/>
              </w:rPr>
              <w:t>Log</w:t>
            </w:r>
            <w:r>
              <w:rPr>
                <w:spacing w:val="-2"/>
                <w:sz w:val="18"/>
              </w:rPr>
              <w:t> likelihood</w:t>
            </w:r>
          </w:p>
        </w:tc>
        <w:tc>
          <w:tcPr>
            <w:tcW w:w="1360" w:type="dxa"/>
          </w:tcPr>
          <w:p>
            <w:pPr>
              <w:pStyle w:val="TableParagraph"/>
              <w:spacing w:line="186" w:lineRule="exact"/>
              <w:ind w:right="117"/>
              <w:jc w:val="right"/>
              <w:rPr>
                <w:sz w:val="18"/>
              </w:rPr>
            </w:pPr>
            <w:r>
              <w:rPr>
                <w:sz w:val="18"/>
              </w:rPr>
              <w:t>-</w:t>
            </w:r>
            <w:r>
              <w:rPr>
                <w:spacing w:val="-2"/>
                <w:sz w:val="18"/>
              </w:rPr>
              <w:t>38.61321</w:t>
            </w:r>
          </w:p>
        </w:tc>
        <w:tc>
          <w:tcPr>
            <w:tcW w:w="1521" w:type="dxa"/>
          </w:tcPr>
          <w:p>
            <w:pPr>
              <w:pStyle w:val="TableParagraph"/>
              <w:spacing w:line="186" w:lineRule="exact"/>
              <w:ind w:left="122"/>
              <w:rPr>
                <w:sz w:val="18"/>
              </w:rPr>
            </w:pPr>
            <w:r>
              <w:rPr>
                <w:sz w:val="18"/>
              </w:rPr>
              <w:t>F-</w:t>
            </w:r>
            <w:r>
              <w:rPr>
                <w:spacing w:val="-2"/>
                <w:sz w:val="18"/>
              </w:rPr>
              <w:t>statistic</w:t>
            </w:r>
          </w:p>
        </w:tc>
        <w:tc>
          <w:tcPr>
            <w:tcW w:w="898" w:type="dxa"/>
          </w:tcPr>
          <w:p>
            <w:pPr>
              <w:pStyle w:val="TableParagraph"/>
              <w:rPr>
                <w:sz w:val="14"/>
              </w:rPr>
            </w:pPr>
          </w:p>
        </w:tc>
        <w:tc>
          <w:tcPr>
            <w:tcW w:w="857" w:type="dxa"/>
          </w:tcPr>
          <w:p>
            <w:pPr>
              <w:pStyle w:val="TableParagraph"/>
              <w:spacing w:line="186" w:lineRule="exact"/>
              <w:ind w:left="-3" w:right="28"/>
              <w:jc w:val="right"/>
              <w:rPr>
                <w:sz w:val="18"/>
              </w:rPr>
            </w:pPr>
            <w:r>
              <w:rPr>
                <w:spacing w:val="-2"/>
                <w:sz w:val="18"/>
              </w:rPr>
              <w:t>1.742171</w:t>
            </w:r>
          </w:p>
        </w:tc>
      </w:tr>
      <w:tr>
        <w:trPr>
          <w:trHeight w:val="244" w:hRule="atLeast"/>
        </w:trPr>
        <w:tc>
          <w:tcPr>
            <w:tcW w:w="1852" w:type="dxa"/>
            <w:tcBorders>
              <w:bottom w:val="double" w:sz="6" w:space="0" w:color="000000"/>
            </w:tcBorders>
          </w:tcPr>
          <w:p>
            <w:pPr>
              <w:pStyle w:val="TableParagraph"/>
              <w:spacing w:line="203" w:lineRule="exact"/>
              <w:ind w:left="36"/>
              <w:rPr>
                <w:sz w:val="18"/>
              </w:rPr>
            </w:pPr>
            <w:r>
              <w:rPr>
                <w:sz w:val="18"/>
              </w:rPr>
              <w:t>Durbin-Watson</w:t>
            </w:r>
            <w:r>
              <w:rPr>
                <w:spacing w:val="-2"/>
                <w:sz w:val="18"/>
              </w:rPr>
              <w:t> </w:t>
            </w:r>
            <w:r>
              <w:rPr>
                <w:spacing w:val="-4"/>
                <w:sz w:val="18"/>
              </w:rPr>
              <w:t>stat</w:t>
            </w:r>
          </w:p>
        </w:tc>
        <w:tc>
          <w:tcPr>
            <w:tcW w:w="1360" w:type="dxa"/>
          </w:tcPr>
          <w:p>
            <w:pPr>
              <w:pStyle w:val="TableParagraph"/>
              <w:spacing w:line="203" w:lineRule="exact"/>
              <w:ind w:right="117"/>
              <w:jc w:val="right"/>
              <w:rPr>
                <w:sz w:val="18"/>
              </w:rPr>
            </w:pPr>
            <w:r>
              <w:rPr>
                <w:spacing w:val="-2"/>
                <w:sz w:val="18"/>
              </w:rPr>
              <w:t>1.947476</w:t>
            </w:r>
          </w:p>
        </w:tc>
        <w:tc>
          <w:tcPr>
            <w:tcW w:w="1521" w:type="dxa"/>
            <w:tcBorders>
              <w:bottom w:val="double" w:sz="6" w:space="0" w:color="000000"/>
            </w:tcBorders>
          </w:tcPr>
          <w:p>
            <w:pPr>
              <w:pStyle w:val="TableParagraph"/>
              <w:spacing w:line="203" w:lineRule="exact"/>
              <w:ind w:left="120"/>
              <w:rPr>
                <w:sz w:val="18"/>
              </w:rPr>
            </w:pPr>
            <w:r>
              <w:rPr>
                <w:spacing w:val="-2"/>
                <w:sz w:val="18"/>
              </w:rPr>
              <w:t>Prob(F-statistic)</w:t>
            </w:r>
          </w:p>
        </w:tc>
        <w:tc>
          <w:tcPr>
            <w:tcW w:w="898" w:type="dxa"/>
          </w:tcPr>
          <w:p>
            <w:pPr>
              <w:pStyle w:val="TableParagraph"/>
              <w:rPr>
                <w:sz w:val="16"/>
              </w:rPr>
            </w:pPr>
          </w:p>
        </w:tc>
        <w:tc>
          <w:tcPr>
            <w:tcW w:w="857" w:type="dxa"/>
            <w:tcBorders>
              <w:bottom w:val="double" w:sz="6" w:space="0" w:color="000000"/>
            </w:tcBorders>
          </w:tcPr>
          <w:p>
            <w:pPr>
              <w:pStyle w:val="TableParagraph"/>
              <w:spacing w:line="203" w:lineRule="exact"/>
              <w:ind w:left="-3" w:right="28"/>
              <w:jc w:val="right"/>
              <w:rPr>
                <w:sz w:val="18"/>
              </w:rPr>
            </w:pPr>
            <w:r>
              <w:rPr>
                <w:spacing w:val="-2"/>
                <w:sz w:val="18"/>
              </w:rPr>
              <w:t>0.200686</w:t>
            </w:r>
          </w:p>
        </w:tc>
      </w:tr>
    </w:tbl>
    <w:p>
      <w:pPr>
        <w:pStyle w:val="BodyText"/>
        <w:spacing w:before="17"/>
        <w:rPr>
          <w:sz w:val="18"/>
        </w:rPr>
      </w:pPr>
    </w:p>
    <w:p>
      <w:pPr>
        <w:spacing w:before="0" w:after="2"/>
        <w:ind w:left="711" w:right="0" w:firstLine="0"/>
        <w:jc w:val="left"/>
        <w:rPr>
          <w:sz w:val="18"/>
        </w:rPr>
      </w:pPr>
      <w:r>
        <w:rPr>
          <w:sz w:val="18"/>
        </w:rPr>
        <w:t>NEXTAS</w:t>
      </w:r>
      <w:r>
        <w:rPr>
          <w:spacing w:val="-1"/>
          <w:sz w:val="18"/>
        </w:rPr>
        <w:t> </w:t>
      </w:r>
      <w:r>
        <w:rPr>
          <w:sz w:val="18"/>
        </w:rPr>
        <w:t>@</w:t>
      </w:r>
      <w:r>
        <w:rPr>
          <w:spacing w:val="-1"/>
          <w:sz w:val="18"/>
        </w:rPr>
        <w:t> </w:t>
      </w:r>
      <w:r>
        <w:rPr>
          <w:sz w:val="18"/>
        </w:rPr>
        <w:t>1</w:t>
      </w:r>
      <w:r>
        <w:rPr>
          <w:sz w:val="18"/>
          <w:vertAlign w:val="superscript"/>
        </w:rPr>
        <w:t>ST</w:t>
      </w:r>
      <w:r>
        <w:rPr>
          <w:spacing w:val="1"/>
          <w:sz w:val="18"/>
          <w:vertAlign w:val="baseline"/>
        </w:rPr>
        <w:t> </w:t>
      </w:r>
      <w:r>
        <w:rPr>
          <w:spacing w:val="-4"/>
          <w:sz w:val="18"/>
          <w:vertAlign w:val="baseline"/>
        </w:rPr>
        <w:t>DIFF</w:t>
      </w:r>
    </w:p>
    <w:tbl>
      <w:tblPr>
        <w:tblW w:w="0" w:type="auto"/>
        <w:jc w:val="left"/>
        <w:tblInd w:w="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85"/>
        <w:gridCol w:w="1326"/>
        <w:gridCol w:w="1520"/>
        <w:gridCol w:w="867"/>
        <w:gridCol w:w="886"/>
      </w:tblGrid>
      <w:tr>
        <w:trPr>
          <w:trHeight w:val="202" w:hRule="atLeast"/>
        </w:trPr>
        <w:tc>
          <w:tcPr>
            <w:tcW w:w="1885" w:type="dxa"/>
          </w:tcPr>
          <w:p>
            <w:pPr>
              <w:pStyle w:val="TableParagraph"/>
              <w:spacing w:line="183" w:lineRule="exact"/>
              <w:ind w:left="36"/>
              <w:rPr>
                <w:sz w:val="18"/>
              </w:rPr>
            </w:pPr>
            <w:r>
              <w:rPr>
                <w:sz w:val="18"/>
              </w:rPr>
              <w:t>ADF</w:t>
            </w:r>
            <w:r>
              <w:rPr>
                <w:spacing w:val="-1"/>
                <w:sz w:val="18"/>
              </w:rPr>
              <w:t> </w:t>
            </w:r>
            <w:r>
              <w:rPr>
                <w:sz w:val="18"/>
              </w:rPr>
              <w:t>Test</w:t>
            </w:r>
            <w:r>
              <w:rPr>
                <w:spacing w:val="-2"/>
                <w:sz w:val="18"/>
              </w:rPr>
              <w:t> Statistic</w:t>
            </w:r>
          </w:p>
        </w:tc>
        <w:tc>
          <w:tcPr>
            <w:tcW w:w="1326" w:type="dxa"/>
          </w:tcPr>
          <w:p>
            <w:pPr>
              <w:pStyle w:val="TableParagraph"/>
              <w:spacing w:line="183" w:lineRule="exact"/>
              <w:ind w:left="181"/>
              <w:rPr>
                <w:sz w:val="18"/>
              </w:rPr>
            </w:pPr>
            <w:r>
              <w:rPr>
                <w:sz w:val="18"/>
              </w:rPr>
              <w:t>-</w:t>
            </w:r>
            <w:r>
              <w:rPr>
                <w:spacing w:val="-2"/>
                <w:sz w:val="18"/>
              </w:rPr>
              <w:t>6.746095</w:t>
            </w:r>
          </w:p>
        </w:tc>
        <w:tc>
          <w:tcPr>
            <w:tcW w:w="2387" w:type="dxa"/>
            <w:gridSpan w:val="2"/>
          </w:tcPr>
          <w:p>
            <w:pPr>
              <w:pStyle w:val="TableParagraph"/>
              <w:spacing w:line="183" w:lineRule="exact"/>
              <w:ind w:left="123"/>
              <w:rPr>
                <w:sz w:val="18"/>
              </w:rPr>
            </w:pPr>
            <w:r>
              <w:rPr>
                <w:sz w:val="18"/>
              </w:rPr>
              <w:t>1%</w:t>
            </w:r>
            <w:r>
              <w:rPr>
                <w:spacing w:val="63"/>
                <w:w w:val="150"/>
                <w:sz w:val="18"/>
              </w:rPr>
              <w:t> </w:t>
            </w:r>
            <w:r>
              <w:rPr>
                <w:sz w:val="18"/>
              </w:rPr>
              <w:t>Critical</w:t>
            </w:r>
            <w:r>
              <w:rPr>
                <w:spacing w:val="-2"/>
                <w:sz w:val="18"/>
              </w:rPr>
              <w:t> Value*</w:t>
            </w:r>
          </w:p>
        </w:tc>
        <w:tc>
          <w:tcPr>
            <w:tcW w:w="886" w:type="dxa"/>
          </w:tcPr>
          <w:p>
            <w:pPr>
              <w:pStyle w:val="TableParagraph"/>
              <w:spacing w:line="183" w:lineRule="exact"/>
              <w:ind w:right="25"/>
              <w:jc w:val="right"/>
              <w:rPr>
                <w:sz w:val="18"/>
              </w:rPr>
            </w:pPr>
            <w:r>
              <w:rPr>
                <w:sz w:val="18"/>
              </w:rPr>
              <w:t>-</w:t>
            </w:r>
            <w:r>
              <w:rPr>
                <w:spacing w:val="-2"/>
                <w:sz w:val="18"/>
              </w:rPr>
              <w:t>3.7667</w:t>
            </w:r>
          </w:p>
        </w:tc>
      </w:tr>
      <w:tr>
        <w:trPr>
          <w:trHeight w:val="206" w:hRule="atLeast"/>
        </w:trPr>
        <w:tc>
          <w:tcPr>
            <w:tcW w:w="1885" w:type="dxa"/>
          </w:tcPr>
          <w:p>
            <w:pPr>
              <w:pStyle w:val="TableParagraph"/>
              <w:rPr>
                <w:sz w:val="14"/>
              </w:rPr>
            </w:pPr>
          </w:p>
        </w:tc>
        <w:tc>
          <w:tcPr>
            <w:tcW w:w="1326" w:type="dxa"/>
          </w:tcPr>
          <w:p>
            <w:pPr>
              <w:pStyle w:val="TableParagraph"/>
              <w:rPr>
                <w:sz w:val="14"/>
              </w:rPr>
            </w:pPr>
          </w:p>
        </w:tc>
        <w:tc>
          <w:tcPr>
            <w:tcW w:w="1520" w:type="dxa"/>
          </w:tcPr>
          <w:p>
            <w:pPr>
              <w:pStyle w:val="TableParagraph"/>
              <w:spacing w:line="186" w:lineRule="exact"/>
              <w:ind w:left="123"/>
              <w:rPr>
                <w:sz w:val="18"/>
              </w:rPr>
            </w:pPr>
            <w:r>
              <w:rPr>
                <w:sz w:val="18"/>
              </w:rPr>
              <w:t>5%</w:t>
            </w:r>
            <w:r>
              <w:rPr>
                <w:spacing w:val="63"/>
                <w:w w:val="150"/>
                <w:sz w:val="18"/>
              </w:rPr>
              <w:t> </w:t>
            </w:r>
            <w:r>
              <w:rPr>
                <w:sz w:val="18"/>
              </w:rPr>
              <w:t>Critical</w:t>
            </w:r>
            <w:r>
              <w:rPr>
                <w:spacing w:val="-2"/>
                <w:sz w:val="18"/>
              </w:rPr>
              <w:t> Value</w:t>
            </w:r>
          </w:p>
        </w:tc>
        <w:tc>
          <w:tcPr>
            <w:tcW w:w="867" w:type="dxa"/>
          </w:tcPr>
          <w:p>
            <w:pPr>
              <w:pStyle w:val="TableParagraph"/>
              <w:rPr>
                <w:sz w:val="14"/>
              </w:rPr>
            </w:pPr>
          </w:p>
        </w:tc>
        <w:tc>
          <w:tcPr>
            <w:tcW w:w="886" w:type="dxa"/>
          </w:tcPr>
          <w:p>
            <w:pPr>
              <w:pStyle w:val="TableParagraph"/>
              <w:spacing w:line="186" w:lineRule="exact"/>
              <w:ind w:right="25"/>
              <w:jc w:val="right"/>
              <w:rPr>
                <w:sz w:val="18"/>
              </w:rPr>
            </w:pPr>
            <w:r>
              <w:rPr>
                <w:sz w:val="18"/>
              </w:rPr>
              <w:t>-</w:t>
            </w:r>
            <w:r>
              <w:rPr>
                <w:spacing w:val="-2"/>
                <w:sz w:val="18"/>
              </w:rPr>
              <w:t>3.0038</w:t>
            </w:r>
          </w:p>
        </w:tc>
      </w:tr>
      <w:tr>
        <w:trPr>
          <w:trHeight w:val="201" w:hRule="atLeast"/>
        </w:trPr>
        <w:tc>
          <w:tcPr>
            <w:tcW w:w="1885" w:type="dxa"/>
            <w:tcBorders>
              <w:bottom w:val="double" w:sz="6" w:space="0" w:color="000000"/>
            </w:tcBorders>
          </w:tcPr>
          <w:p>
            <w:pPr>
              <w:pStyle w:val="TableParagraph"/>
              <w:rPr>
                <w:sz w:val="14"/>
              </w:rPr>
            </w:pPr>
          </w:p>
        </w:tc>
        <w:tc>
          <w:tcPr>
            <w:tcW w:w="1326" w:type="dxa"/>
            <w:tcBorders>
              <w:bottom w:val="double" w:sz="6" w:space="0" w:color="000000"/>
            </w:tcBorders>
          </w:tcPr>
          <w:p>
            <w:pPr>
              <w:pStyle w:val="TableParagraph"/>
              <w:rPr>
                <w:sz w:val="14"/>
              </w:rPr>
            </w:pPr>
          </w:p>
        </w:tc>
        <w:tc>
          <w:tcPr>
            <w:tcW w:w="1520" w:type="dxa"/>
            <w:tcBorders>
              <w:bottom w:val="double" w:sz="6" w:space="0" w:color="000000"/>
            </w:tcBorders>
          </w:tcPr>
          <w:p>
            <w:pPr>
              <w:pStyle w:val="TableParagraph"/>
              <w:spacing w:line="181" w:lineRule="exact"/>
              <w:ind w:left="123"/>
              <w:rPr>
                <w:sz w:val="18"/>
              </w:rPr>
            </w:pPr>
            <w:r>
              <w:rPr>
                <w:sz w:val="18"/>
              </w:rPr>
              <w:t>10%</w:t>
            </w:r>
            <w:r>
              <w:rPr>
                <w:spacing w:val="-5"/>
                <w:sz w:val="18"/>
              </w:rPr>
              <w:t> </w:t>
            </w:r>
            <w:r>
              <w:rPr>
                <w:sz w:val="18"/>
              </w:rPr>
              <w:t>Critical</w:t>
            </w:r>
            <w:r>
              <w:rPr>
                <w:spacing w:val="-3"/>
                <w:sz w:val="18"/>
              </w:rPr>
              <w:t> </w:t>
            </w:r>
            <w:r>
              <w:rPr>
                <w:spacing w:val="-2"/>
                <w:sz w:val="18"/>
              </w:rPr>
              <w:t>Value</w:t>
            </w:r>
          </w:p>
        </w:tc>
        <w:tc>
          <w:tcPr>
            <w:tcW w:w="867" w:type="dxa"/>
            <w:tcBorders>
              <w:bottom w:val="double" w:sz="6" w:space="0" w:color="000000"/>
            </w:tcBorders>
          </w:tcPr>
          <w:p>
            <w:pPr>
              <w:pStyle w:val="TableParagraph"/>
              <w:rPr>
                <w:sz w:val="14"/>
              </w:rPr>
            </w:pPr>
          </w:p>
        </w:tc>
        <w:tc>
          <w:tcPr>
            <w:tcW w:w="886" w:type="dxa"/>
            <w:tcBorders>
              <w:bottom w:val="double" w:sz="6" w:space="0" w:color="000000"/>
            </w:tcBorders>
          </w:tcPr>
          <w:p>
            <w:pPr>
              <w:pStyle w:val="TableParagraph"/>
              <w:spacing w:line="181" w:lineRule="exact"/>
              <w:ind w:right="25"/>
              <w:jc w:val="right"/>
              <w:rPr>
                <w:sz w:val="18"/>
              </w:rPr>
            </w:pPr>
            <w:r>
              <w:rPr>
                <w:sz w:val="18"/>
              </w:rPr>
              <w:t>-</w:t>
            </w:r>
            <w:r>
              <w:rPr>
                <w:spacing w:val="-2"/>
                <w:sz w:val="18"/>
              </w:rPr>
              <w:t>2.6417</w:t>
            </w:r>
          </w:p>
        </w:tc>
      </w:tr>
      <w:tr>
        <w:trPr>
          <w:trHeight w:val="460" w:hRule="atLeast"/>
        </w:trPr>
        <w:tc>
          <w:tcPr>
            <w:tcW w:w="6484" w:type="dxa"/>
            <w:gridSpan w:val="5"/>
            <w:tcBorders>
              <w:top w:val="double" w:sz="6" w:space="0" w:color="000000"/>
            </w:tcBorders>
          </w:tcPr>
          <w:p>
            <w:pPr>
              <w:pStyle w:val="TableParagraph"/>
              <w:spacing w:before="42"/>
              <w:ind w:left="36"/>
              <w:rPr>
                <w:sz w:val="18"/>
              </w:rPr>
            </w:pPr>
            <w:r>
              <w:rPr>
                <w:sz w:val="18"/>
              </w:rPr>
              <w:t>*MacKinnon</w:t>
            </w:r>
            <w:r>
              <w:rPr>
                <w:spacing w:val="-1"/>
                <w:sz w:val="18"/>
              </w:rPr>
              <w:t> </w:t>
            </w:r>
            <w:r>
              <w:rPr>
                <w:sz w:val="18"/>
              </w:rPr>
              <w:t>critical</w:t>
            </w:r>
            <w:r>
              <w:rPr>
                <w:spacing w:val="-1"/>
                <w:sz w:val="18"/>
              </w:rPr>
              <w:t> </w:t>
            </w:r>
            <w:r>
              <w:rPr>
                <w:sz w:val="18"/>
              </w:rPr>
              <w:t>values</w:t>
            </w:r>
            <w:r>
              <w:rPr>
                <w:spacing w:val="-1"/>
                <w:sz w:val="18"/>
              </w:rPr>
              <w:t> </w:t>
            </w:r>
            <w:r>
              <w:rPr>
                <w:sz w:val="18"/>
              </w:rPr>
              <w:t>for</w:t>
            </w:r>
            <w:r>
              <w:rPr>
                <w:spacing w:val="-1"/>
                <w:sz w:val="18"/>
              </w:rPr>
              <w:t> </w:t>
            </w:r>
            <w:r>
              <w:rPr>
                <w:sz w:val="18"/>
              </w:rPr>
              <w:t>rejection</w:t>
            </w:r>
            <w:r>
              <w:rPr>
                <w:spacing w:val="-2"/>
                <w:sz w:val="18"/>
              </w:rPr>
              <w:t> </w:t>
            </w:r>
            <w:r>
              <w:rPr>
                <w:sz w:val="18"/>
              </w:rPr>
              <w:t>of</w:t>
            </w:r>
            <w:r>
              <w:rPr>
                <w:spacing w:val="-3"/>
                <w:sz w:val="18"/>
              </w:rPr>
              <w:t> </w:t>
            </w:r>
            <w:r>
              <w:rPr>
                <w:sz w:val="18"/>
              </w:rPr>
              <w:t>hypothesis</w:t>
            </w:r>
            <w:r>
              <w:rPr>
                <w:spacing w:val="-1"/>
                <w:sz w:val="18"/>
              </w:rPr>
              <w:t> </w:t>
            </w:r>
            <w:r>
              <w:rPr>
                <w:sz w:val="18"/>
              </w:rPr>
              <w:t>of</w:t>
            </w:r>
            <w:r>
              <w:rPr>
                <w:spacing w:val="-3"/>
                <w:sz w:val="18"/>
              </w:rPr>
              <w:t> </w:t>
            </w:r>
            <w:r>
              <w:rPr>
                <w:sz w:val="18"/>
              </w:rPr>
              <w:t>a</w:t>
            </w:r>
            <w:r>
              <w:rPr>
                <w:spacing w:val="-2"/>
                <w:sz w:val="18"/>
              </w:rPr>
              <w:t> </w:t>
            </w:r>
            <w:r>
              <w:rPr>
                <w:sz w:val="18"/>
              </w:rPr>
              <w:t>unit</w:t>
            </w:r>
            <w:r>
              <w:rPr>
                <w:spacing w:val="-2"/>
                <w:sz w:val="18"/>
              </w:rPr>
              <w:t> root.</w:t>
            </w:r>
          </w:p>
        </w:tc>
      </w:tr>
      <w:tr>
        <w:trPr>
          <w:trHeight w:val="414" w:hRule="atLeast"/>
        </w:trPr>
        <w:tc>
          <w:tcPr>
            <w:tcW w:w="6484" w:type="dxa"/>
            <w:gridSpan w:val="5"/>
          </w:tcPr>
          <w:p>
            <w:pPr>
              <w:pStyle w:val="TableParagraph"/>
              <w:spacing w:line="191" w:lineRule="exact" w:before="203"/>
              <w:ind w:left="36"/>
              <w:rPr>
                <w:sz w:val="18"/>
              </w:rPr>
            </w:pPr>
            <w:r>
              <w:rPr>
                <w:sz w:val="18"/>
              </w:rPr>
              <w:t>Augmented</w:t>
            </w:r>
            <w:r>
              <w:rPr>
                <w:spacing w:val="-3"/>
                <w:sz w:val="18"/>
              </w:rPr>
              <w:t> </w:t>
            </w:r>
            <w:r>
              <w:rPr>
                <w:sz w:val="18"/>
              </w:rPr>
              <w:t>Dickey-Fuller</w:t>
            </w:r>
            <w:r>
              <w:rPr>
                <w:spacing w:val="-3"/>
                <w:sz w:val="18"/>
              </w:rPr>
              <w:t> </w:t>
            </w:r>
            <w:r>
              <w:rPr>
                <w:sz w:val="18"/>
              </w:rPr>
              <w:t>Test</w:t>
            </w:r>
            <w:r>
              <w:rPr>
                <w:spacing w:val="-3"/>
                <w:sz w:val="18"/>
              </w:rPr>
              <w:t> </w:t>
            </w:r>
            <w:r>
              <w:rPr>
                <w:spacing w:val="-2"/>
                <w:sz w:val="18"/>
              </w:rPr>
              <w:t>Equation</w:t>
            </w:r>
          </w:p>
        </w:tc>
      </w:tr>
      <w:tr>
        <w:trPr>
          <w:trHeight w:val="206" w:hRule="atLeast"/>
        </w:trPr>
        <w:tc>
          <w:tcPr>
            <w:tcW w:w="6484" w:type="dxa"/>
            <w:gridSpan w:val="5"/>
          </w:tcPr>
          <w:p>
            <w:pPr>
              <w:pStyle w:val="TableParagraph"/>
              <w:spacing w:line="186" w:lineRule="exact"/>
              <w:ind w:left="36"/>
              <w:rPr>
                <w:sz w:val="18"/>
              </w:rPr>
            </w:pPr>
            <w:r>
              <w:rPr>
                <w:sz w:val="18"/>
              </w:rPr>
              <w:t>Dependent</w:t>
            </w:r>
            <w:r>
              <w:rPr>
                <w:spacing w:val="-1"/>
                <w:sz w:val="18"/>
              </w:rPr>
              <w:t> </w:t>
            </w:r>
            <w:r>
              <w:rPr>
                <w:sz w:val="18"/>
              </w:rPr>
              <w:t>Variable:</w:t>
            </w:r>
            <w:r>
              <w:rPr>
                <w:spacing w:val="-2"/>
                <w:sz w:val="18"/>
              </w:rPr>
              <w:t> D(NEXTAS,2)</w:t>
            </w:r>
          </w:p>
        </w:tc>
      </w:tr>
      <w:tr>
        <w:trPr>
          <w:trHeight w:val="206" w:hRule="atLeast"/>
        </w:trPr>
        <w:tc>
          <w:tcPr>
            <w:tcW w:w="1885" w:type="dxa"/>
          </w:tcPr>
          <w:p>
            <w:pPr>
              <w:pStyle w:val="TableParagraph"/>
              <w:spacing w:line="186" w:lineRule="exact"/>
              <w:ind w:left="36"/>
              <w:rPr>
                <w:sz w:val="18"/>
              </w:rPr>
            </w:pPr>
            <w:r>
              <w:rPr>
                <w:sz w:val="18"/>
              </w:rPr>
              <w:t>Method:</w:t>
            </w:r>
            <w:r>
              <w:rPr>
                <w:spacing w:val="-3"/>
                <w:sz w:val="18"/>
              </w:rPr>
              <w:t> </w:t>
            </w:r>
            <w:r>
              <w:rPr>
                <w:sz w:val="18"/>
              </w:rPr>
              <w:t>Least</w:t>
            </w:r>
            <w:r>
              <w:rPr>
                <w:spacing w:val="-2"/>
                <w:sz w:val="18"/>
              </w:rPr>
              <w:t> Squares</w:t>
            </w:r>
          </w:p>
        </w:tc>
        <w:tc>
          <w:tcPr>
            <w:tcW w:w="1326" w:type="dxa"/>
          </w:tcPr>
          <w:p>
            <w:pPr>
              <w:pStyle w:val="TableParagraph"/>
              <w:rPr>
                <w:sz w:val="14"/>
              </w:rPr>
            </w:pPr>
          </w:p>
        </w:tc>
        <w:tc>
          <w:tcPr>
            <w:tcW w:w="1520" w:type="dxa"/>
          </w:tcPr>
          <w:p>
            <w:pPr>
              <w:pStyle w:val="TableParagraph"/>
              <w:rPr>
                <w:sz w:val="14"/>
              </w:rPr>
            </w:pPr>
          </w:p>
        </w:tc>
        <w:tc>
          <w:tcPr>
            <w:tcW w:w="867" w:type="dxa"/>
          </w:tcPr>
          <w:p>
            <w:pPr>
              <w:pStyle w:val="TableParagraph"/>
              <w:rPr>
                <w:sz w:val="14"/>
              </w:rPr>
            </w:pPr>
          </w:p>
        </w:tc>
        <w:tc>
          <w:tcPr>
            <w:tcW w:w="886" w:type="dxa"/>
          </w:tcPr>
          <w:p>
            <w:pPr>
              <w:pStyle w:val="TableParagraph"/>
              <w:rPr>
                <w:sz w:val="14"/>
              </w:rPr>
            </w:pPr>
          </w:p>
        </w:tc>
      </w:tr>
      <w:tr>
        <w:trPr>
          <w:trHeight w:val="206" w:hRule="atLeast"/>
        </w:trPr>
        <w:tc>
          <w:tcPr>
            <w:tcW w:w="6484" w:type="dxa"/>
            <w:gridSpan w:val="5"/>
          </w:tcPr>
          <w:p>
            <w:pPr>
              <w:pStyle w:val="TableParagraph"/>
              <w:spacing w:line="186" w:lineRule="exact"/>
              <w:ind w:left="36"/>
              <w:rPr>
                <w:sz w:val="18"/>
              </w:rPr>
            </w:pPr>
            <w:r>
              <w:rPr>
                <w:sz w:val="18"/>
              </w:rPr>
              <w:t>Date:</w:t>
            </w:r>
            <w:r>
              <w:rPr>
                <w:spacing w:val="-2"/>
                <w:sz w:val="18"/>
              </w:rPr>
              <w:t> </w:t>
            </w:r>
            <w:r>
              <w:rPr>
                <w:sz w:val="18"/>
              </w:rPr>
              <w:t>02/17/14</w:t>
            </w:r>
            <w:r>
              <w:rPr>
                <w:spacing w:val="63"/>
                <w:w w:val="150"/>
                <w:sz w:val="18"/>
              </w:rPr>
              <w:t> </w:t>
            </w:r>
            <w:r>
              <w:rPr>
                <w:sz w:val="18"/>
              </w:rPr>
              <w:t>Time:</w:t>
            </w:r>
            <w:r>
              <w:rPr>
                <w:spacing w:val="-1"/>
                <w:sz w:val="18"/>
              </w:rPr>
              <w:t> </w:t>
            </w:r>
            <w:r>
              <w:rPr>
                <w:spacing w:val="-4"/>
                <w:sz w:val="18"/>
              </w:rPr>
              <w:t>18:16</w:t>
            </w:r>
          </w:p>
        </w:tc>
      </w:tr>
      <w:tr>
        <w:trPr>
          <w:trHeight w:val="207" w:hRule="atLeast"/>
        </w:trPr>
        <w:tc>
          <w:tcPr>
            <w:tcW w:w="6484" w:type="dxa"/>
            <w:gridSpan w:val="5"/>
          </w:tcPr>
          <w:p>
            <w:pPr>
              <w:pStyle w:val="TableParagraph"/>
              <w:spacing w:line="188" w:lineRule="exact"/>
              <w:ind w:left="36"/>
              <w:rPr>
                <w:sz w:val="18"/>
              </w:rPr>
            </w:pPr>
            <w:r>
              <w:rPr>
                <w:sz w:val="18"/>
              </w:rPr>
              <w:t>Sample(adjusted):</w:t>
            </w:r>
            <w:r>
              <w:rPr>
                <w:spacing w:val="-6"/>
                <w:sz w:val="18"/>
              </w:rPr>
              <w:t> </w:t>
            </w:r>
            <w:r>
              <w:rPr>
                <w:sz w:val="18"/>
              </w:rPr>
              <w:t>1990</w:t>
            </w:r>
            <w:r>
              <w:rPr>
                <w:spacing w:val="-2"/>
                <w:sz w:val="18"/>
              </w:rPr>
              <w:t> </w:t>
            </w:r>
            <w:r>
              <w:rPr>
                <w:spacing w:val="-4"/>
                <w:sz w:val="18"/>
              </w:rPr>
              <w:t>2011</w:t>
            </w:r>
          </w:p>
        </w:tc>
      </w:tr>
      <w:tr>
        <w:trPr>
          <w:trHeight w:val="202" w:hRule="atLeast"/>
        </w:trPr>
        <w:tc>
          <w:tcPr>
            <w:tcW w:w="6484" w:type="dxa"/>
            <w:gridSpan w:val="5"/>
            <w:tcBorders>
              <w:bottom w:val="double" w:sz="6" w:space="0" w:color="000000"/>
            </w:tcBorders>
          </w:tcPr>
          <w:p>
            <w:pPr>
              <w:pStyle w:val="TableParagraph"/>
              <w:spacing w:line="183" w:lineRule="exact"/>
              <w:ind w:left="36"/>
              <w:rPr>
                <w:sz w:val="18"/>
              </w:rPr>
            </w:pPr>
            <w:r>
              <w:rPr>
                <w:sz w:val="18"/>
              </w:rPr>
              <w:t>Included</w:t>
            </w:r>
            <w:r>
              <w:rPr>
                <w:spacing w:val="-1"/>
                <w:sz w:val="18"/>
              </w:rPr>
              <w:t> </w:t>
            </w:r>
            <w:r>
              <w:rPr>
                <w:sz w:val="18"/>
              </w:rPr>
              <w:t>observations:</w:t>
            </w:r>
            <w:r>
              <w:rPr>
                <w:spacing w:val="-3"/>
                <w:sz w:val="18"/>
              </w:rPr>
              <w:t> </w:t>
            </w:r>
            <w:r>
              <w:rPr>
                <w:sz w:val="18"/>
              </w:rPr>
              <w:t>22</w:t>
            </w:r>
            <w:r>
              <w:rPr>
                <w:spacing w:val="-1"/>
                <w:sz w:val="18"/>
              </w:rPr>
              <w:t> </w:t>
            </w:r>
            <w:r>
              <w:rPr>
                <w:sz w:val="18"/>
              </w:rPr>
              <w:t>after</w:t>
            </w:r>
            <w:r>
              <w:rPr>
                <w:spacing w:val="-1"/>
                <w:sz w:val="18"/>
              </w:rPr>
              <w:t> </w:t>
            </w:r>
            <w:r>
              <w:rPr>
                <w:sz w:val="18"/>
              </w:rPr>
              <w:t>adjusting</w:t>
            </w:r>
            <w:r>
              <w:rPr>
                <w:spacing w:val="-2"/>
                <w:sz w:val="18"/>
              </w:rPr>
              <w:t> endpoints</w:t>
            </w:r>
          </w:p>
        </w:tc>
      </w:tr>
      <w:tr>
        <w:trPr>
          <w:trHeight w:val="247" w:hRule="atLeast"/>
        </w:trPr>
        <w:tc>
          <w:tcPr>
            <w:tcW w:w="1885" w:type="dxa"/>
            <w:tcBorders>
              <w:top w:val="double" w:sz="6" w:space="0" w:color="000000"/>
              <w:bottom w:val="double" w:sz="6" w:space="0" w:color="000000"/>
            </w:tcBorders>
          </w:tcPr>
          <w:p>
            <w:pPr>
              <w:pStyle w:val="TableParagraph"/>
              <w:spacing w:line="188" w:lineRule="exact" w:before="40"/>
              <w:ind w:left="713"/>
              <w:rPr>
                <w:sz w:val="18"/>
              </w:rPr>
            </w:pPr>
            <w:r>
              <w:rPr>
                <w:spacing w:val="-2"/>
                <w:sz w:val="18"/>
              </w:rPr>
              <w:t>Variable</w:t>
            </w:r>
          </w:p>
        </w:tc>
        <w:tc>
          <w:tcPr>
            <w:tcW w:w="1326" w:type="dxa"/>
            <w:tcBorders>
              <w:top w:val="double" w:sz="6" w:space="0" w:color="000000"/>
              <w:bottom w:val="double" w:sz="6" w:space="0" w:color="000000"/>
            </w:tcBorders>
          </w:tcPr>
          <w:p>
            <w:pPr>
              <w:pStyle w:val="TableParagraph"/>
              <w:spacing w:line="188" w:lineRule="exact" w:before="40"/>
              <w:ind w:right="118"/>
              <w:jc w:val="right"/>
              <w:rPr>
                <w:sz w:val="18"/>
              </w:rPr>
            </w:pPr>
            <w:r>
              <w:rPr>
                <w:spacing w:val="-2"/>
                <w:sz w:val="18"/>
              </w:rPr>
              <w:t>Coefficient</w:t>
            </w:r>
          </w:p>
        </w:tc>
        <w:tc>
          <w:tcPr>
            <w:tcW w:w="1520" w:type="dxa"/>
            <w:tcBorders>
              <w:top w:val="double" w:sz="6" w:space="0" w:color="000000"/>
              <w:bottom w:val="double" w:sz="6" w:space="0" w:color="000000"/>
            </w:tcBorders>
          </w:tcPr>
          <w:p>
            <w:pPr>
              <w:pStyle w:val="TableParagraph"/>
              <w:spacing w:line="188" w:lineRule="exact" w:before="40"/>
              <w:ind w:left="363"/>
              <w:rPr>
                <w:sz w:val="18"/>
              </w:rPr>
            </w:pPr>
            <w:r>
              <w:rPr>
                <w:sz w:val="18"/>
              </w:rPr>
              <w:t>Std.</w:t>
            </w:r>
            <w:r>
              <w:rPr>
                <w:spacing w:val="-1"/>
                <w:sz w:val="18"/>
              </w:rPr>
              <w:t> </w:t>
            </w:r>
            <w:r>
              <w:rPr>
                <w:spacing w:val="-4"/>
                <w:sz w:val="18"/>
              </w:rPr>
              <w:t>Error</w:t>
            </w:r>
          </w:p>
        </w:tc>
        <w:tc>
          <w:tcPr>
            <w:tcW w:w="867" w:type="dxa"/>
            <w:tcBorders>
              <w:top w:val="double" w:sz="6" w:space="0" w:color="000000"/>
              <w:bottom w:val="double" w:sz="6" w:space="0" w:color="000000"/>
            </w:tcBorders>
          </w:tcPr>
          <w:p>
            <w:pPr>
              <w:pStyle w:val="TableParagraph"/>
              <w:spacing w:line="188" w:lineRule="exact" w:before="40"/>
              <w:ind w:right="115"/>
              <w:jc w:val="right"/>
              <w:rPr>
                <w:sz w:val="18"/>
              </w:rPr>
            </w:pPr>
            <w:r>
              <w:rPr>
                <w:sz w:val="18"/>
              </w:rPr>
              <w:t>t-</w:t>
            </w:r>
            <w:r>
              <w:rPr>
                <w:spacing w:val="-2"/>
                <w:sz w:val="18"/>
              </w:rPr>
              <w:t>Statistic</w:t>
            </w:r>
          </w:p>
        </w:tc>
        <w:tc>
          <w:tcPr>
            <w:tcW w:w="886" w:type="dxa"/>
            <w:tcBorders>
              <w:top w:val="double" w:sz="6" w:space="0" w:color="000000"/>
              <w:bottom w:val="double" w:sz="6" w:space="0" w:color="000000"/>
            </w:tcBorders>
          </w:tcPr>
          <w:p>
            <w:pPr>
              <w:pStyle w:val="TableParagraph"/>
              <w:spacing w:line="188" w:lineRule="exact" w:before="40"/>
              <w:ind w:right="25"/>
              <w:jc w:val="right"/>
              <w:rPr>
                <w:sz w:val="18"/>
              </w:rPr>
            </w:pPr>
            <w:r>
              <w:rPr>
                <w:spacing w:val="-2"/>
                <w:sz w:val="18"/>
              </w:rPr>
              <w:t>Prob.</w:t>
            </w:r>
          </w:p>
        </w:tc>
      </w:tr>
      <w:tr>
        <w:trPr>
          <w:trHeight w:val="250" w:hRule="atLeast"/>
        </w:trPr>
        <w:tc>
          <w:tcPr>
            <w:tcW w:w="1885" w:type="dxa"/>
            <w:tcBorders>
              <w:top w:val="double" w:sz="6" w:space="0" w:color="000000"/>
            </w:tcBorders>
          </w:tcPr>
          <w:p>
            <w:pPr>
              <w:pStyle w:val="TableParagraph"/>
              <w:spacing w:line="191" w:lineRule="exact" w:before="40"/>
              <w:ind w:right="246"/>
              <w:jc w:val="right"/>
              <w:rPr>
                <w:sz w:val="18"/>
              </w:rPr>
            </w:pPr>
            <w:r>
              <w:rPr>
                <w:spacing w:val="-2"/>
                <w:sz w:val="18"/>
              </w:rPr>
              <w:t>D(NEXTAS(-</w:t>
            </w:r>
            <w:r>
              <w:rPr>
                <w:spacing w:val="-5"/>
                <w:sz w:val="18"/>
              </w:rPr>
              <w:t>1))</w:t>
            </w:r>
          </w:p>
        </w:tc>
        <w:tc>
          <w:tcPr>
            <w:tcW w:w="1326" w:type="dxa"/>
            <w:tcBorders>
              <w:top w:val="double" w:sz="6" w:space="0" w:color="000000"/>
            </w:tcBorders>
          </w:tcPr>
          <w:p>
            <w:pPr>
              <w:pStyle w:val="TableParagraph"/>
              <w:spacing w:line="191" w:lineRule="exact" w:before="40"/>
              <w:ind w:right="116"/>
              <w:jc w:val="right"/>
              <w:rPr>
                <w:sz w:val="18"/>
              </w:rPr>
            </w:pPr>
            <w:r>
              <w:rPr>
                <w:sz w:val="18"/>
              </w:rPr>
              <w:t>-</w:t>
            </w:r>
            <w:r>
              <w:rPr>
                <w:spacing w:val="-2"/>
                <w:sz w:val="18"/>
              </w:rPr>
              <w:t>1.760464</w:t>
            </w:r>
          </w:p>
        </w:tc>
        <w:tc>
          <w:tcPr>
            <w:tcW w:w="1520" w:type="dxa"/>
            <w:tcBorders>
              <w:top w:val="double" w:sz="6" w:space="0" w:color="000000"/>
            </w:tcBorders>
          </w:tcPr>
          <w:p>
            <w:pPr>
              <w:pStyle w:val="TableParagraph"/>
              <w:spacing w:line="191" w:lineRule="exact" w:before="40"/>
              <w:ind w:left="399"/>
              <w:rPr>
                <w:sz w:val="18"/>
              </w:rPr>
            </w:pPr>
            <w:r>
              <w:rPr>
                <w:spacing w:val="-2"/>
                <w:sz w:val="18"/>
              </w:rPr>
              <w:t>0.260960</w:t>
            </w:r>
          </w:p>
        </w:tc>
        <w:tc>
          <w:tcPr>
            <w:tcW w:w="867" w:type="dxa"/>
            <w:tcBorders>
              <w:top w:val="double" w:sz="6" w:space="0" w:color="000000"/>
            </w:tcBorders>
          </w:tcPr>
          <w:p>
            <w:pPr>
              <w:pStyle w:val="TableParagraph"/>
              <w:spacing w:line="191" w:lineRule="exact" w:before="40"/>
              <w:ind w:right="117"/>
              <w:jc w:val="right"/>
              <w:rPr>
                <w:sz w:val="18"/>
              </w:rPr>
            </w:pPr>
            <w:r>
              <w:rPr>
                <w:sz w:val="18"/>
              </w:rPr>
              <w:t>-</w:t>
            </w:r>
            <w:r>
              <w:rPr>
                <w:spacing w:val="-2"/>
                <w:sz w:val="18"/>
              </w:rPr>
              <w:t>6.746095</w:t>
            </w:r>
          </w:p>
        </w:tc>
        <w:tc>
          <w:tcPr>
            <w:tcW w:w="886" w:type="dxa"/>
            <w:tcBorders>
              <w:top w:val="double" w:sz="6" w:space="0" w:color="000000"/>
            </w:tcBorders>
          </w:tcPr>
          <w:p>
            <w:pPr>
              <w:pStyle w:val="TableParagraph"/>
              <w:spacing w:line="191" w:lineRule="exact" w:before="40"/>
              <w:ind w:right="25"/>
              <w:jc w:val="right"/>
              <w:rPr>
                <w:sz w:val="18"/>
              </w:rPr>
            </w:pPr>
            <w:r>
              <w:rPr>
                <w:spacing w:val="-2"/>
                <w:sz w:val="18"/>
              </w:rPr>
              <w:t>0.0000</w:t>
            </w:r>
          </w:p>
        </w:tc>
      </w:tr>
      <w:tr>
        <w:trPr>
          <w:trHeight w:val="207" w:hRule="atLeast"/>
        </w:trPr>
        <w:tc>
          <w:tcPr>
            <w:tcW w:w="1885" w:type="dxa"/>
          </w:tcPr>
          <w:p>
            <w:pPr>
              <w:pStyle w:val="TableParagraph"/>
              <w:spacing w:line="188" w:lineRule="exact"/>
              <w:ind w:right="179"/>
              <w:jc w:val="right"/>
              <w:rPr>
                <w:sz w:val="18"/>
              </w:rPr>
            </w:pPr>
            <w:r>
              <w:rPr>
                <w:spacing w:val="-2"/>
                <w:sz w:val="18"/>
              </w:rPr>
              <w:t>D(NEXTAS(-1),2)</w:t>
            </w:r>
          </w:p>
        </w:tc>
        <w:tc>
          <w:tcPr>
            <w:tcW w:w="1326" w:type="dxa"/>
          </w:tcPr>
          <w:p>
            <w:pPr>
              <w:pStyle w:val="TableParagraph"/>
              <w:spacing w:line="188" w:lineRule="exact"/>
              <w:ind w:right="116"/>
              <w:jc w:val="right"/>
              <w:rPr>
                <w:sz w:val="18"/>
              </w:rPr>
            </w:pPr>
            <w:r>
              <w:rPr>
                <w:spacing w:val="-2"/>
                <w:sz w:val="18"/>
              </w:rPr>
              <w:t>0.634900</w:t>
            </w:r>
          </w:p>
        </w:tc>
        <w:tc>
          <w:tcPr>
            <w:tcW w:w="1520" w:type="dxa"/>
          </w:tcPr>
          <w:p>
            <w:pPr>
              <w:pStyle w:val="TableParagraph"/>
              <w:spacing w:line="188" w:lineRule="exact"/>
              <w:ind w:left="399"/>
              <w:rPr>
                <w:sz w:val="18"/>
              </w:rPr>
            </w:pPr>
            <w:r>
              <w:rPr>
                <w:spacing w:val="-2"/>
                <w:sz w:val="18"/>
              </w:rPr>
              <w:t>0.177620</w:t>
            </w:r>
          </w:p>
        </w:tc>
        <w:tc>
          <w:tcPr>
            <w:tcW w:w="867" w:type="dxa"/>
          </w:tcPr>
          <w:p>
            <w:pPr>
              <w:pStyle w:val="TableParagraph"/>
              <w:spacing w:line="188" w:lineRule="exact"/>
              <w:ind w:right="117"/>
              <w:jc w:val="right"/>
              <w:rPr>
                <w:sz w:val="18"/>
              </w:rPr>
            </w:pPr>
            <w:r>
              <w:rPr>
                <w:spacing w:val="-2"/>
                <w:sz w:val="18"/>
              </w:rPr>
              <w:t>3.574482</w:t>
            </w:r>
          </w:p>
        </w:tc>
        <w:tc>
          <w:tcPr>
            <w:tcW w:w="886" w:type="dxa"/>
          </w:tcPr>
          <w:p>
            <w:pPr>
              <w:pStyle w:val="TableParagraph"/>
              <w:spacing w:line="188" w:lineRule="exact"/>
              <w:ind w:right="25"/>
              <w:jc w:val="right"/>
              <w:rPr>
                <w:sz w:val="18"/>
              </w:rPr>
            </w:pPr>
            <w:r>
              <w:rPr>
                <w:spacing w:val="-2"/>
                <w:sz w:val="18"/>
              </w:rPr>
              <w:t>0.0020</w:t>
            </w:r>
          </w:p>
        </w:tc>
      </w:tr>
      <w:tr>
        <w:trPr>
          <w:trHeight w:val="202" w:hRule="atLeast"/>
        </w:trPr>
        <w:tc>
          <w:tcPr>
            <w:tcW w:w="1885" w:type="dxa"/>
            <w:tcBorders>
              <w:bottom w:val="double" w:sz="6" w:space="0" w:color="000000"/>
            </w:tcBorders>
          </w:tcPr>
          <w:p>
            <w:pPr>
              <w:pStyle w:val="TableParagraph"/>
              <w:spacing w:line="183" w:lineRule="exact"/>
              <w:ind w:left="160"/>
              <w:jc w:val="center"/>
              <w:rPr>
                <w:sz w:val="18"/>
              </w:rPr>
            </w:pPr>
            <w:r>
              <w:rPr>
                <w:spacing w:val="-10"/>
                <w:sz w:val="18"/>
              </w:rPr>
              <w:t>C</w:t>
            </w:r>
          </w:p>
        </w:tc>
        <w:tc>
          <w:tcPr>
            <w:tcW w:w="1326" w:type="dxa"/>
            <w:tcBorders>
              <w:bottom w:val="double" w:sz="6" w:space="0" w:color="000000"/>
            </w:tcBorders>
          </w:tcPr>
          <w:p>
            <w:pPr>
              <w:pStyle w:val="TableParagraph"/>
              <w:spacing w:line="183" w:lineRule="exact"/>
              <w:ind w:right="116"/>
              <w:jc w:val="right"/>
              <w:rPr>
                <w:sz w:val="18"/>
              </w:rPr>
            </w:pPr>
            <w:r>
              <w:rPr>
                <w:spacing w:val="-2"/>
                <w:sz w:val="18"/>
              </w:rPr>
              <w:t>0.411525</w:t>
            </w:r>
          </w:p>
        </w:tc>
        <w:tc>
          <w:tcPr>
            <w:tcW w:w="1520" w:type="dxa"/>
            <w:tcBorders>
              <w:bottom w:val="double" w:sz="6" w:space="0" w:color="000000"/>
            </w:tcBorders>
          </w:tcPr>
          <w:p>
            <w:pPr>
              <w:pStyle w:val="TableParagraph"/>
              <w:spacing w:line="183" w:lineRule="exact"/>
              <w:ind w:left="399"/>
              <w:rPr>
                <w:sz w:val="18"/>
              </w:rPr>
            </w:pPr>
            <w:r>
              <w:rPr>
                <w:spacing w:val="-2"/>
                <w:sz w:val="18"/>
              </w:rPr>
              <w:t>0.263649</w:t>
            </w:r>
          </w:p>
        </w:tc>
        <w:tc>
          <w:tcPr>
            <w:tcW w:w="867" w:type="dxa"/>
            <w:tcBorders>
              <w:bottom w:val="double" w:sz="6" w:space="0" w:color="000000"/>
            </w:tcBorders>
          </w:tcPr>
          <w:p>
            <w:pPr>
              <w:pStyle w:val="TableParagraph"/>
              <w:spacing w:line="183" w:lineRule="exact"/>
              <w:ind w:right="117"/>
              <w:jc w:val="right"/>
              <w:rPr>
                <w:sz w:val="18"/>
              </w:rPr>
            </w:pPr>
            <w:r>
              <w:rPr>
                <w:spacing w:val="-2"/>
                <w:sz w:val="18"/>
              </w:rPr>
              <w:t>1.560886</w:t>
            </w:r>
          </w:p>
        </w:tc>
        <w:tc>
          <w:tcPr>
            <w:tcW w:w="886" w:type="dxa"/>
            <w:tcBorders>
              <w:bottom w:val="double" w:sz="6" w:space="0" w:color="000000"/>
            </w:tcBorders>
          </w:tcPr>
          <w:p>
            <w:pPr>
              <w:pStyle w:val="TableParagraph"/>
              <w:spacing w:line="183" w:lineRule="exact"/>
              <w:ind w:right="25"/>
              <w:jc w:val="right"/>
              <w:rPr>
                <w:sz w:val="18"/>
              </w:rPr>
            </w:pPr>
            <w:r>
              <w:rPr>
                <w:spacing w:val="-2"/>
                <w:sz w:val="18"/>
              </w:rPr>
              <w:t>0.1351</w:t>
            </w:r>
          </w:p>
        </w:tc>
      </w:tr>
      <w:tr>
        <w:trPr>
          <w:trHeight w:val="250" w:hRule="atLeast"/>
        </w:trPr>
        <w:tc>
          <w:tcPr>
            <w:tcW w:w="1885" w:type="dxa"/>
            <w:tcBorders>
              <w:top w:val="double" w:sz="6" w:space="0" w:color="000000"/>
            </w:tcBorders>
          </w:tcPr>
          <w:p>
            <w:pPr>
              <w:pStyle w:val="TableParagraph"/>
              <w:spacing w:line="191" w:lineRule="exact" w:before="40"/>
              <w:ind w:left="36"/>
              <w:rPr>
                <w:sz w:val="18"/>
              </w:rPr>
            </w:pPr>
            <w:r>
              <w:rPr>
                <w:spacing w:val="-2"/>
                <w:sz w:val="18"/>
              </w:rPr>
              <w:t>R-squared</w:t>
            </w:r>
          </w:p>
        </w:tc>
        <w:tc>
          <w:tcPr>
            <w:tcW w:w="1326" w:type="dxa"/>
            <w:tcBorders>
              <w:top w:val="double" w:sz="6" w:space="0" w:color="000000"/>
            </w:tcBorders>
          </w:tcPr>
          <w:p>
            <w:pPr>
              <w:pStyle w:val="TableParagraph"/>
              <w:spacing w:line="191" w:lineRule="exact" w:before="40"/>
              <w:ind w:right="116"/>
              <w:jc w:val="right"/>
              <w:rPr>
                <w:sz w:val="18"/>
              </w:rPr>
            </w:pPr>
            <w:r>
              <w:rPr>
                <w:spacing w:val="-2"/>
                <w:sz w:val="18"/>
              </w:rPr>
              <w:t>0.723087</w:t>
            </w:r>
          </w:p>
        </w:tc>
        <w:tc>
          <w:tcPr>
            <w:tcW w:w="2387" w:type="dxa"/>
            <w:gridSpan w:val="2"/>
            <w:tcBorders>
              <w:top w:val="double" w:sz="6" w:space="0" w:color="000000"/>
            </w:tcBorders>
          </w:tcPr>
          <w:p>
            <w:pPr>
              <w:pStyle w:val="TableParagraph"/>
              <w:spacing w:line="191" w:lineRule="exact" w:before="40"/>
              <w:ind w:left="123"/>
              <w:rPr>
                <w:sz w:val="18"/>
              </w:rPr>
            </w:pPr>
            <w:r>
              <w:rPr>
                <w:sz w:val="18"/>
              </w:rPr>
              <w:t>Mean</w:t>
            </w:r>
            <w:r>
              <w:rPr>
                <w:spacing w:val="-5"/>
                <w:sz w:val="18"/>
              </w:rPr>
              <w:t> </w:t>
            </w:r>
            <w:r>
              <w:rPr>
                <w:sz w:val="18"/>
              </w:rPr>
              <w:t>dependent</w:t>
            </w:r>
            <w:r>
              <w:rPr>
                <w:spacing w:val="-1"/>
                <w:sz w:val="18"/>
              </w:rPr>
              <w:t> </w:t>
            </w:r>
            <w:r>
              <w:rPr>
                <w:spacing w:val="-5"/>
                <w:sz w:val="18"/>
              </w:rPr>
              <w:t>var</w:t>
            </w:r>
          </w:p>
        </w:tc>
        <w:tc>
          <w:tcPr>
            <w:tcW w:w="886" w:type="dxa"/>
            <w:tcBorders>
              <w:top w:val="double" w:sz="6" w:space="0" w:color="000000"/>
            </w:tcBorders>
          </w:tcPr>
          <w:p>
            <w:pPr>
              <w:pStyle w:val="TableParagraph"/>
              <w:spacing w:line="191" w:lineRule="exact" w:before="40"/>
              <w:ind w:right="24"/>
              <w:jc w:val="right"/>
              <w:rPr>
                <w:sz w:val="18"/>
              </w:rPr>
            </w:pPr>
            <w:r>
              <w:rPr>
                <w:sz w:val="18"/>
              </w:rPr>
              <w:t>-</w:t>
            </w:r>
            <w:r>
              <w:rPr>
                <w:spacing w:val="-2"/>
                <w:sz w:val="18"/>
              </w:rPr>
              <w:t>0.061494</w:t>
            </w:r>
          </w:p>
        </w:tc>
      </w:tr>
      <w:tr>
        <w:trPr>
          <w:trHeight w:val="207" w:hRule="atLeast"/>
        </w:trPr>
        <w:tc>
          <w:tcPr>
            <w:tcW w:w="1885" w:type="dxa"/>
          </w:tcPr>
          <w:p>
            <w:pPr>
              <w:pStyle w:val="TableParagraph"/>
              <w:spacing w:line="188" w:lineRule="exact"/>
              <w:ind w:left="36"/>
              <w:rPr>
                <w:sz w:val="18"/>
              </w:rPr>
            </w:pPr>
            <w:r>
              <w:rPr>
                <w:sz w:val="18"/>
              </w:rPr>
              <w:t>Adjusted</w:t>
            </w:r>
            <w:r>
              <w:rPr>
                <w:spacing w:val="-1"/>
                <w:sz w:val="18"/>
              </w:rPr>
              <w:t> </w:t>
            </w:r>
            <w:r>
              <w:rPr>
                <w:sz w:val="18"/>
              </w:rPr>
              <w:t>R-</w:t>
            </w:r>
            <w:r>
              <w:rPr>
                <w:spacing w:val="-2"/>
                <w:sz w:val="18"/>
              </w:rPr>
              <w:t>squared</w:t>
            </w:r>
          </w:p>
        </w:tc>
        <w:tc>
          <w:tcPr>
            <w:tcW w:w="1326" w:type="dxa"/>
          </w:tcPr>
          <w:p>
            <w:pPr>
              <w:pStyle w:val="TableParagraph"/>
              <w:spacing w:line="188" w:lineRule="exact"/>
              <w:ind w:right="116"/>
              <w:jc w:val="right"/>
              <w:rPr>
                <w:sz w:val="18"/>
              </w:rPr>
            </w:pPr>
            <w:r>
              <w:rPr>
                <w:spacing w:val="-2"/>
                <w:sz w:val="18"/>
              </w:rPr>
              <w:t>0.693938</w:t>
            </w:r>
          </w:p>
        </w:tc>
        <w:tc>
          <w:tcPr>
            <w:tcW w:w="1520" w:type="dxa"/>
          </w:tcPr>
          <w:p>
            <w:pPr>
              <w:pStyle w:val="TableParagraph"/>
              <w:spacing w:line="188" w:lineRule="exact"/>
              <w:ind w:left="123"/>
              <w:rPr>
                <w:sz w:val="18"/>
              </w:rPr>
            </w:pPr>
            <w:r>
              <w:rPr>
                <w:sz w:val="18"/>
              </w:rPr>
              <w:t>S.D.</w:t>
            </w:r>
            <w:r>
              <w:rPr>
                <w:spacing w:val="-5"/>
                <w:sz w:val="18"/>
              </w:rPr>
              <w:t> </w:t>
            </w:r>
            <w:r>
              <w:rPr>
                <w:sz w:val="18"/>
              </w:rPr>
              <w:t>dependent</w:t>
            </w:r>
            <w:r>
              <w:rPr>
                <w:spacing w:val="-3"/>
                <w:sz w:val="18"/>
              </w:rPr>
              <w:t> </w:t>
            </w:r>
            <w:r>
              <w:rPr>
                <w:spacing w:val="-5"/>
                <w:sz w:val="18"/>
              </w:rPr>
              <w:t>var</w:t>
            </w:r>
          </w:p>
        </w:tc>
        <w:tc>
          <w:tcPr>
            <w:tcW w:w="867" w:type="dxa"/>
          </w:tcPr>
          <w:p>
            <w:pPr>
              <w:pStyle w:val="TableParagraph"/>
              <w:rPr>
                <w:sz w:val="14"/>
              </w:rPr>
            </w:pPr>
          </w:p>
        </w:tc>
        <w:tc>
          <w:tcPr>
            <w:tcW w:w="886" w:type="dxa"/>
          </w:tcPr>
          <w:p>
            <w:pPr>
              <w:pStyle w:val="TableParagraph"/>
              <w:spacing w:line="188" w:lineRule="exact"/>
              <w:ind w:right="24"/>
              <w:jc w:val="right"/>
              <w:rPr>
                <w:sz w:val="18"/>
              </w:rPr>
            </w:pPr>
            <w:r>
              <w:rPr>
                <w:spacing w:val="-2"/>
                <w:sz w:val="18"/>
              </w:rPr>
              <w:t>2.145607</w:t>
            </w:r>
          </w:p>
        </w:tc>
      </w:tr>
      <w:tr>
        <w:trPr>
          <w:trHeight w:val="207" w:hRule="atLeast"/>
        </w:trPr>
        <w:tc>
          <w:tcPr>
            <w:tcW w:w="1885" w:type="dxa"/>
          </w:tcPr>
          <w:p>
            <w:pPr>
              <w:pStyle w:val="TableParagraph"/>
              <w:spacing w:line="188" w:lineRule="exact"/>
              <w:ind w:left="36"/>
              <w:rPr>
                <w:sz w:val="18"/>
              </w:rPr>
            </w:pPr>
            <w:r>
              <w:rPr>
                <w:sz w:val="18"/>
              </w:rPr>
              <w:t>S.E.</w:t>
            </w:r>
            <w:r>
              <w:rPr>
                <w:spacing w:val="-3"/>
                <w:sz w:val="18"/>
              </w:rPr>
              <w:t> </w:t>
            </w:r>
            <w:r>
              <w:rPr>
                <w:sz w:val="18"/>
              </w:rPr>
              <w:t>of</w:t>
            </w:r>
            <w:r>
              <w:rPr>
                <w:spacing w:val="-1"/>
                <w:sz w:val="18"/>
              </w:rPr>
              <w:t> </w:t>
            </w:r>
            <w:r>
              <w:rPr>
                <w:spacing w:val="-2"/>
                <w:sz w:val="18"/>
              </w:rPr>
              <w:t>regression</w:t>
            </w:r>
          </w:p>
        </w:tc>
        <w:tc>
          <w:tcPr>
            <w:tcW w:w="1326" w:type="dxa"/>
          </w:tcPr>
          <w:p>
            <w:pPr>
              <w:pStyle w:val="TableParagraph"/>
              <w:spacing w:line="188" w:lineRule="exact"/>
              <w:ind w:right="116"/>
              <w:jc w:val="right"/>
              <w:rPr>
                <w:sz w:val="18"/>
              </w:rPr>
            </w:pPr>
            <w:r>
              <w:rPr>
                <w:spacing w:val="-2"/>
                <w:sz w:val="18"/>
              </w:rPr>
              <w:t>1.187011</w:t>
            </w:r>
          </w:p>
        </w:tc>
        <w:tc>
          <w:tcPr>
            <w:tcW w:w="2387" w:type="dxa"/>
            <w:gridSpan w:val="2"/>
          </w:tcPr>
          <w:p>
            <w:pPr>
              <w:pStyle w:val="TableParagraph"/>
              <w:spacing w:line="188" w:lineRule="exact"/>
              <w:ind w:left="123"/>
              <w:rPr>
                <w:sz w:val="18"/>
              </w:rPr>
            </w:pPr>
            <w:r>
              <w:rPr>
                <w:sz w:val="18"/>
              </w:rPr>
              <w:t>Akaike</w:t>
            </w:r>
            <w:r>
              <w:rPr>
                <w:spacing w:val="-5"/>
                <w:sz w:val="18"/>
              </w:rPr>
              <w:t> </w:t>
            </w:r>
            <w:r>
              <w:rPr>
                <w:sz w:val="18"/>
              </w:rPr>
              <w:t>info</w:t>
            </w:r>
            <w:r>
              <w:rPr>
                <w:spacing w:val="-2"/>
                <w:sz w:val="18"/>
              </w:rPr>
              <w:t> criterion</w:t>
            </w:r>
          </w:p>
        </w:tc>
        <w:tc>
          <w:tcPr>
            <w:tcW w:w="886" w:type="dxa"/>
          </w:tcPr>
          <w:p>
            <w:pPr>
              <w:pStyle w:val="TableParagraph"/>
              <w:spacing w:line="188" w:lineRule="exact"/>
              <w:ind w:right="24"/>
              <w:jc w:val="right"/>
              <w:rPr>
                <w:sz w:val="18"/>
              </w:rPr>
            </w:pPr>
            <w:r>
              <w:rPr>
                <w:spacing w:val="-2"/>
                <w:sz w:val="18"/>
              </w:rPr>
              <w:t>3.306878</w:t>
            </w:r>
          </w:p>
        </w:tc>
      </w:tr>
      <w:tr>
        <w:trPr>
          <w:trHeight w:val="206" w:hRule="atLeast"/>
        </w:trPr>
        <w:tc>
          <w:tcPr>
            <w:tcW w:w="1885" w:type="dxa"/>
          </w:tcPr>
          <w:p>
            <w:pPr>
              <w:pStyle w:val="TableParagraph"/>
              <w:spacing w:line="186" w:lineRule="exact"/>
              <w:ind w:left="36"/>
              <w:rPr>
                <w:sz w:val="18"/>
              </w:rPr>
            </w:pPr>
            <w:r>
              <w:rPr>
                <w:sz w:val="18"/>
              </w:rPr>
              <w:t>Sum</w:t>
            </w:r>
            <w:r>
              <w:rPr>
                <w:spacing w:val="-3"/>
                <w:sz w:val="18"/>
              </w:rPr>
              <w:t> </w:t>
            </w:r>
            <w:r>
              <w:rPr>
                <w:sz w:val="18"/>
              </w:rPr>
              <w:t>squared</w:t>
            </w:r>
            <w:r>
              <w:rPr>
                <w:spacing w:val="1"/>
                <w:sz w:val="18"/>
              </w:rPr>
              <w:t> </w:t>
            </w:r>
            <w:r>
              <w:rPr>
                <w:spacing w:val="-2"/>
                <w:sz w:val="18"/>
              </w:rPr>
              <w:t>resid</w:t>
            </w:r>
          </w:p>
        </w:tc>
        <w:tc>
          <w:tcPr>
            <w:tcW w:w="1326" w:type="dxa"/>
          </w:tcPr>
          <w:p>
            <w:pPr>
              <w:pStyle w:val="TableParagraph"/>
              <w:spacing w:line="186" w:lineRule="exact"/>
              <w:ind w:right="116"/>
              <w:jc w:val="right"/>
              <w:rPr>
                <w:sz w:val="18"/>
              </w:rPr>
            </w:pPr>
            <w:r>
              <w:rPr>
                <w:spacing w:val="-2"/>
                <w:sz w:val="18"/>
              </w:rPr>
              <w:t>26.77091</w:t>
            </w:r>
          </w:p>
        </w:tc>
        <w:tc>
          <w:tcPr>
            <w:tcW w:w="1520" w:type="dxa"/>
          </w:tcPr>
          <w:p>
            <w:pPr>
              <w:pStyle w:val="TableParagraph"/>
              <w:spacing w:line="186" w:lineRule="exact"/>
              <w:ind w:left="123"/>
              <w:rPr>
                <w:sz w:val="18"/>
              </w:rPr>
            </w:pPr>
            <w:r>
              <w:rPr>
                <w:sz w:val="18"/>
              </w:rPr>
              <w:t>Schwarz</w:t>
            </w:r>
            <w:r>
              <w:rPr>
                <w:spacing w:val="-7"/>
                <w:sz w:val="18"/>
              </w:rPr>
              <w:t> </w:t>
            </w:r>
            <w:r>
              <w:rPr>
                <w:spacing w:val="-2"/>
                <w:sz w:val="18"/>
              </w:rPr>
              <w:t>criterion</w:t>
            </w:r>
          </w:p>
        </w:tc>
        <w:tc>
          <w:tcPr>
            <w:tcW w:w="867" w:type="dxa"/>
          </w:tcPr>
          <w:p>
            <w:pPr>
              <w:pStyle w:val="TableParagraph"/>
              <w:rPr>
                <w:sz w:val="14"/>
              </w:rPr>
            </w:pPr>
          </w:p>
        </w:tc>
        <w:tc>
          <w:tcPr>
            <w:tcW w:w="886" w:type="dxa"/>
          </w:tcPr>
          <w:p>
            <w:pPr>
              <w:pStyle w:val="TableParagraph"/>
              <w:spacing w:line="186" w:lineRule="exact"/>
              <w:ind w:right="24"/>
              <w:jc w:val="right"/>
              <w:rPr>
                <w:sz w:val="18"/>
              </w:rPr>
            </w:pPr>
            <w:r>
              <w:rPr>
                <w:spacing w:val="-2"/>
                <w:sz w:val="18"/>
              </w:rPr>
              <w:t>3.455656</w:t>
            </w:r>
          </w:p>
        </w:tc>
      </w:tr>
      <w:tr>
        <w:trPr>
          <w:trHeight w:val="206" w:hRule="atLeast"/>
        </w:trPr>
        <w:tc>
          <w:tcPr>
            <w:tcW w:w="1885" w:type="dxa"/>
          </w:tcPr>
          <w:p>
            <w:pPr>
              <w:pStyle w:val="TableParagraph"/>
              <w:spacing w:line="186" w:lineRule="exact"/>
              <w:ind w:left="36"/>
              <w:rPr>
                <w:sz w:val="18"/>
              </w:rPr>
            </w:pPr>
            <w:r>
              <w:rPr>
                <w:sz w:val="18"/>
              </w:rPr>
              <w:t>Log</w:t>
            </w:r>
            <w:r>
              <w:rPr>
                <w:spacing w:val="-2"/>
                <w:sz w:val="18"/>
              </w:rPr>
              <w:t> likelihood</w:t>
            </w:r>
          </w:p>
        </w:tc>
        <w:tc>
          <w:tcPr>
            <w:tcW w:w="1326" w:type="dxa"/>
          </w:tcPr>
          <w:p>
            <w:pPr>
              <w:pStyle w:val="TableParagraph"/>
              <w:spacing w:line="186" w:lineRule="exact"/>
              <w:ind w:right="116"/>
              <w:jc w:val="right"/>
              <w:rPr>
                <w:sz w:val="18"/>
              </w:rPr>
            </w:pPr>
            <w:r>
              <w:rPr>
                <w:sz w:val="18"/>
              </w:rPr>
              <w:t>-</w:t>
            </w:r>
            <w:r>
              <w:rPr>
                <w:spacing w:val="-2"/>
                <w:sz w:val="18"/>
              </w:rPr>
              <w:t>33.37566</w:t>
            </w:r>
          </w:p>
        </w:tc>
        <w:tc>
          <w:tcPr>
            <w:tcW w:w="1520" w:type="dxa"/>
          </w:tcPr>
          <w:p>
            <w:pPr>
              <w:pStyle w:val="TableParagraph"/>
              <w:spacing w:line="186" w:lineRule="exact"/>
              <w:ind w:left="123"/>
              <w:rPr>
                <w:sz w:val="18"/>
              </w:rPr>
            </w:pPr>
            <w:r>
              <w:rPr>
                <w:sz w:val="18"/>
              </w:rPr>
              <w:t>F-</w:t>
            </w:r>
            <w:r>
              <w:rPr>
                <w:spacing w:val="-2"/>
                <w:sz w:val="18"/>
              </w:rPr>
              <w:t>statistic</w:t>
            </w:r>
          </w:p>
        </w:tc>
        <w:tc>
          <w:tcPr>
            <w:tcW w:w="867" w:type="dxa"/>
          </w:tcPr>
          <w:p>
            <w:pPr>
              <w:pStyle w:val="TableParagraph"/>
              <w:rPr>
                <w:sz w:val="14"/>
              </w:rPr>
            </w:pPr>
          </w:p>
        </w:tc>
        <w:tc>
          <w:tcPr>
            <w:tcW w:w="886" w:type="dxa"/>
          </w:tcPr>
          <w:p>
            <w:pPr>
              <w:pStyle w:val="TableParagraph"/>
              <w:spacing w:line="186" w:lineRule="exact"/>
              <w:ind w:right="25"/>
              <w:jc w:val="right"/>
              <w:rPr>
                <w:sz w:val="18"/>
              </w:rPr>
            </w:pPr>
            <w:r>
              <w:rPr>
                <w:spacing w:val="-2"/>
                <w:sz w:val="18"/>
              </w:rPr>
              <w:t>24.80679</w:t>
            </w:r>
          </w:p>
        </w:tc>
      </w:tr>
      <w:tr>
        <w:trPr>
          <w:trHeight w:val="245" w:hRule="atLeast"/>
        </w:trPr>
        <w:tc>
          <w:tcPr>
            <w:tcW w:w="1885" w:type="dxa"/>
            <w:tcBorders>
              <w:bottom w:val="double" w:sz="6" w:space="0" w:color="000000"/>
            </w:tcBorders>
          </w:tcPr>
          <w:p>
            <w:pPr>
              <w:pStyle w:val="TableParagraph"/>
              <w:spacing w:line="203" w:lineRule="exact"/>
              <w:ind w:left="36"/>
              <w:rPr>
                <w:sz w:val="18"/>
              </w:rPr>
            </w:pPr>
            <w:r>
              <w:rPr>
                <w:sz w:val="18"/>
              </w:rPr>
              <w:t>Durbin-Watson</w:t>
            </w:r>
            <w:r>
              <w:rPr>
                <w:spacing w:val="-2"/>
                <w:sz w:val="18"/>
              </w:rPr>
              <w:t> </w:t>
            </w:r>
            <w:r>
              <w:rPr>
                <w:spacing w:val="-4"/>
                <w:sz w:val="18"/>
              </w:rPr>
              <w:t>stat</w:t>
            </w:r>
          </w:p>
        </w:tc>
        <w:tc>
          <w:tcPr>
            <w:tcW w:w="1326" w:type="dxa"/>
          </w:tcPr>
          <w:p>
            <w:pPr>
              <w:pStyle w:val="TableParagraph"/>
              <w:spacing w:line="203" w:lineRule="exact"/>
              <w:ind w:right="116"/>
              <w:jc w:val="right"/>
              <w:rPr>
                <w:sz w:val="18"/>
              </w:rPr>
            </w:pPr>
            <w:r>
              <w:rPr>
                <w:spacing w:val="-2"/>
                <w:sz w:val="18"/>
              </w:rPr>
              <w:t>2.246159</w:t>
            </w:r>
          </w:p>
        </w:tc>
        <w:tc>
          <w:tcPr>
            <w:tcW w:w="1520" w:type="dxa"/>
            <w:tcBorders>
              <w:bottom w:val="double" w:sz="6" w:space="0" w:color="000000"/>
            </w:tcBorders>
          </w:tcPr>
          <w:p>
            <w:pPr>
              <w:pStyle w:val="TableParagraph"/>
              <w:spacing w:line="203" w:lineRule="exact"/>
              <w:ind w:left="121"/>
              <w:rPr>
                <w:sz w:val="18"/>
              </w:rPr>
            </w:pPr>
            <w:r>
              <w:rPr>
                <w:spacing w:val="-2"/>
                <w:sz w:val="18"/>
              </w:rPr>
              <w:t>Prob(F-statistic)</w:t>
            </w:r>
          </w:p>
        </w:tc>
        <w:tc>
          <w:tcPr>
            <w:tcW w:w="867" w:type="dxa"/>
            <w:tcBorders>
              <w:bottom w:val="single" w:sz="6" w:space="0" w:color="000000"/>
            </w:tcBorders>
          </w:tcPr>
          <w:p>
            <w:pPr>
              <w:pStyle w:val="TableParagraph"/>
              <w:rPr>
                <w:sz w:val="16"/>
              </w:rPr>
            </w:pPr>
          </w:p>
        </w:tc>
        <w:tc>
          <w:tcPr>
            <w:tcW w:w="886" w:type="dxa"/>
            <w:tcBorders>
              <w:bottom w:val="double" w:sz="6" w:space="0" w:color="000000"/>
            </w:tcBorders>
          </w:tcPr>
          <w:p>
            <w:pPr>
              <w:pStyle w:val="TableParagraph"/>
              <w:spacing w:line="203" w:lineRule="exact"/>
              <w:ind w:right="24"/>
              <w:jc w:val="right"/>
              <w:rPr>
                <w:sz w:val="18"/>
              </w:rPr>
            </w:pPr>
            <w:r>
              <w:rPr>
                <w:spacing w:val="-2"/>
                <w:sz w:val="18"/>
              </w:rPr>
              <w:t>0.000005</w:t>
            </w:r>
          </w:p>
        </w:tc>
      </w:tr>
    </w:tbl>
    <w:p>
      <w:pPr>
        <w:spacing w:after="0" w:line="203" w:lineRule="exact"/>
        <w:jc w:val="right"/>
        <w:rPr>
          <w:sz w:val="18"/>
        </w:rPr>
        <w:sectPr>
          <w:pgSz w:w="11910" w:h="16840"/>
          <w:pgMar w:header="0" w:footer="982" w:top="1760" w:bottom="1240" w:left="280" w:right="0"/>
        </w:sectPr>
      </w:pPr>
    </w:p>
    <w:p>
      <w:pPr>
        <w:pStyle w:val="BodyText"/>
        <w:rPr>
          <w:sz w:val="18"/>
        </w:rPr>
      </w:pPr>
    </w:p>
    <w:p>
      <w:pPr>
        <w:pStyle w:val="BodyText"/>
        <w:spacing w:before="122"/>
        <w:rPr>
          <w:sz w:val="18"/>
        </w:rPr>
      </w:pPr>
    </w:p>
    <w:p>
      <w:pPr>
        <w:spacing w:before="0"/>
        <w:ind w:left="711" w:right="0" w:firstLine="0"/>
        <w:jc w:val="left"/>
        <w:rPr>
          <w:sz w:val="18"/>
        </w:rPr>
      </w:pPr>
      <w:r>
        <w:rPr>
          <w:sz w:val="18"/>
        </w:rPr>
        <w:t>ECM</w:t>
      </w:r>
      <w:r>
        <w:rPr>
          <w:spacing w:val="-1"/>
          <w:sz w:val="18"/>
        </w:rPr>
        <w:t> </w:t>
      </w:r>
      <w:r>
        <w:rPr>
          <w:sz w:val="18"/>
        </w:rPr>
        <w:t>@ </w:t>
      </w:r>
      <w:r>
        <w:rPr>
          <w:spacing w:val="-4"/>
          <w:sz w:val="18"/>
        </w:rPr>
        <w:t>LEVEL</w:t>
      </w:r>
    </w:p>
    <w:tbl>
      <w:tblPr>
        <w:tblW w:w="0" w:type="auto"/>
        <w:jc w:val="left"/>
        <w:tblInd w:w="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73"/>
        <w:gridCol w:w="1440"/>
        <w:gridCol w:w="1522"/>
        <w:gridCol w:w="869"/>
        <w:gridCol w:w="888"/>
      </w:tblGrid>
      <w:tr>
        <w:trPr>
          <w:trHeight w:val="204" w:hRule="atLeast"/>
        </w:trPr>
        <w:tc>
          <w:tcPr>
            <w:tcW w:w="1773" w:type="dxa"/>
          </w:tcPr>
          <w:p>
            <w:pPr>
              <w:pStyle w:val="TableParagraph"/>
              <w:spacing w:line="184" w:lineRule="exact"/>
              <w:ind w:left="36"/>
              <w:rPr>
                <w:sz w:val="18"/>
              </w:rPr>
            </w:pPr>
            <w:r>
              <w:rPr>
                <w:sz w:val="18"/>
              </w:rPr>
              <w:t>ADF</w:t>
            </w:r>
            <w:r>
              <w:rPr>
                <w:spacing w:val="-3"/>
                <w:sz w:val="18"/>
              </w:rPr>
              <w:t> </w:t>
            </w:r>
            <w:r>
              <w:rPr>
                <w:sz w:val="18"/>
              </w:rPr>
              <w:t>Test</w:t>
            </w:r>
            <w:r>
              <w:rPr>
                <w:spacing w:val="-1"/>
                <w:sz w:val="18"/>
              </w:rPr>
              <w:t> </w:t>
            </w:r>
            <w:r>
              <w:rPr>
                <w:spacing w:val="-2"/>
                <w:sz w:val="18"/>
              </w:rPr>
              <w:t>Statistic</w:t>
            </w:r>
          </w:p>
        </w:tc>
        <w:tc>
          <w:tcPr>
            <w:tcW w:w="1440" w:type="dxa"/>
          </w:tcPr>
          <w:p>
            <w:pPr>
              <w:pStyle w:val="TableParagraph"/>
              <w:spacing w:line="184" w:lineRule="exact"/>
              <w:ind w:left="293"/>
              <w:rPr>
                <w:sz w:val="18"/>
              </w:rPr>
            </w:pPr>
            <w:r>
              <w:rPr>
                <w:sz w:val="18"/>
              </w:rPr>
              <w:t>-</w:t>
            </w:r>
            <w:r>
              <w:rPr>
                <w:spacing w:val="-2"/>
                <w:sz w:val="18"/>
              </w:rPr>
              <w:t>3.259957</w:t>
            </w:r>
          </w:p>
        </w:tc>
        <w:tc>
          <w:tcPr>
            <w:tcW w:w="2391" w:type="dxa"/>
            <w:gridSpan w:val="2"/>
          </w:tcPr>
          <w:p>
            <w:pPr>
              <w:pStyle w:val="TableParagraph"/>
              <w:spacing w:line="184" w:lineRule="exact"/>
              <w:ind w:left="121"/>
              <w:rPr>
                <w:sz w:val="18"/>
              </w:rPr>
            </w:pPr>
            <w:r>
              <w:rPr>
                <w:sz w:val="18"/>
              </w:rPr>
              <w:t>1%</w:t>
            </w:r>
            <w:r>
              <w:rPr>
                <w:spacing w:val="63"/>
                <w:w w:val="150"/>
                <w:sz w:val="18"/>
              </w:rPr>
              <w:t> </w:t>
            </w:r>
            <w:r>
              <w:rPr>
                <w:sz w:val="18"/>
              </w:rPr>
              <w:t>Critical</w:t>
            </w:r>
            <w:r>
              <w:rPr>
                <w:spacing w:val="-2"/>
                <w:sz w:val="18"/>
              </w:rPr>
              <w:t> Value*</w:t>
            </w:r>
          </w:p>
        </w:tc>
        <w:tc>
          <w:tcPr>
            <w:tcW w:w="888" w:type="dxa"/>
          </w:tcPr>
          <w:p>
            <w:pPr>
              <w:pStyle w:val="TableParagraph"/>
              <w:spacing w:line="184" w:lineRule="exact"/>
              <w:ind w:right="33"/>
              <w:jc w:val="right"/>
              <w:rPr>
                <w:sz w:val="18"/>
              </w:rPr>
            </w:pPr>
            <w:r>
              <w:rPr>
                <w:sz w:val="18"/>
              </w:rPr>
              <w:t>-</w:t>
            </w:r>
            <w:r>
              <w:rPr>
                <w:spacing w:val="-2"/>
                <w:sz w:val="18"/>
              </w:rPr>
              <w:t>3.7497</w:t>
            </w:r>
          </w:p>
        </w:tc>
      </w:tr>
      <w:tr>
        <w:trPr>
          <w:trHeight w:val="207" w:hRule="atLeast"/>
        </w:trPr>
        <w:tc>
          <w:tcPr>
            <w:tcW w:w="1773" w:type="dxa"/>
          </w:tcPr>
          <w:p>
            <w:pPr>
              <w:pStyle w:val="TableParagraph"/>
              <w:rPr>
                <w:sz w:val="14"/>
              </w:rPr>
            </w:pPr>
          </w:p>
        </w:tc>
        <w:tc>
          <w:tcPr>
            <w:tcW w:w="1440" w:type="dxa"/>
          </w:tcPr>
          <w:p>
            <w:pPr>
              <w:pStyle w:val="TableParagraph"/>
              <w:rPr>
                <w:sz w:val="14"/>
              </w:rPr>
            </w:pPr>
          </w:p>
        </w:tc>
        <w:tc>
          <w:tcPr>
            <w:tcW w:w="1522" w:type="dxa"/>
          </w:tcPr>
          <w:p>
            <w:pPr>
              <w:pStyle w:val="TableParagraph"/>
              <w:spacing w:line="188" w:lineRule="exact"/>
              <w:ind w:left="121"/>
              <w:rPr>
                <w:sz w:val="18"/>
              </w:rPr>
            </w:pPr>
            <w:r>
              <w:rPr>
                <w:sz w:val="18"/>
              </w:rPr>
              <w:t>5%</w:t>
            </w:r>
            <w:r>
              <w:rPr>
                <w:spacing w:val="63"/>
                <w:w w:val="150"/>
                <w:sz w:val="18"/>
              </w:rPr>
              <w:t> </w:t>
            </w:r>
            <w:r>
              <w:rPr>
                <w:sz w:val="18"/>
              </w:rPr>
              <w:t>Critical</w:t>
            </w:r>
            <w:r>
              <w:rPr>
                <w:spacing w:val="-2"/>
                <w:sz w:val="18"/>
              </w:rPr>
              <w:t> Value</w:t>
            </w:r>
          </w:p>
        </w:tc>
        <w:tc>
          <w:tcPr>
            <w:tcW w:w="869" w:type="dxa"/>
          </w:tcPr>
          <w:p>
            <w:pPr>
              <w:pStyle w:val="TableParagraph"/>
              <w:rPr>
                <w:sz w:val="14"/>
              </w:rPr>
            </w:pPr>
          </w:p>
        </w:tc>
        <w:tc>
          <w:tcPr>
            <w:tcW w:w="888" w:type="dxa"/>
          </w:tcPr>
          <w:p>
            <w:pPr>
              <w:pStyle w:val="TableParagraph"/>
              <w:spacing w:line="188" w:lineRule="exact"/>
              <w:ind w:right="33"/>
              <w:jc w:val="right"/>
              <w:rPr>
                <w:sz w:val="18"/>
              </w:rPr>
            </w:pPr>
            <w:r>
              <w:rPr>
                <w:sz w:val="18"/>
              </w:rPr>
              <w:t>-</w:t>
            </w:r>
            <w:r>
              <w:rPr>
                <w:spacing w:val="-2"/>
                <w:sz w:val="18"/>
              </w:rPr>
              <w:t>2.9969</w:t>
            </w:r>
          </w:p>
        </w:tc>
      </w:tr>
      <w:tr>
        <w:trPr>
          <w:trHeight w:val="201" w:hRule="atLeast"/>
        </w:trPr>
        <w:tc>
          <w:tcPr>
            <w:tcW w:w="1773" w:type="dxa"/>
            <w:tcBorders>
              <w:bottom w:val="double" w:sz="6" w:space="0" w:color="000000"/>
            </w:tcBorders>
          </w:tcPr>
          <w:p>
            <w:pPr>
              <w:pStyle w:val="TableParagraph"/>
              <w:rPr>
                <w:sz w:val="14"/>
              </w:rPr>
            </w:pPr>
          </w:p>
        </w:tc>
        <w:tc>
          <w:tcPr>
            <w:tcW w:w="1440" w:type="dxa"/>
            <w:tcBorders>
              <w:bottom w:val="double" w:sz="6" w:space="0" w:color="000000"/>
            </w:tcBorders>
          </w:tcPr>
          <w:p>
            <w:pPr>
              <w:pStyle w:val="TableParagraph"/>
              <w:rPr>
                <w:sz w:val="14"/>
              </w:rPr>
            </w:pPr>
          </w:p>
        </w:tc>
        <w:tc>
          <w:tcPr>
            <w:tcW w:w="1522" w:type="dxa"/>
            <w:tcBorders>
              <w:bottom w:val="double" w:sz="6" w:space="0" w:color="000000"/>
            </w:tcBorders>
          </w:tcPr>
          <w:p>
            <w:pPr>
              <w:pStyle w:val="TableParagraph"/>
              <w:spacing w:line="181" w:lineRule="exact"/>
              <w:ind w:left="121"/>
              <w:rPr>
                <w:sz w:val="18"/>
              </w:rPr>
            </w:pPr>
            <w:r>
              <w:rPr>
                <w:sz w:val="18"/>
              </w:rPr>
              <w:t>10%</w:t>
            </w:r>
            <w:r>
              <w:rPr>
                <w:spacing w:val="-5"/>
                <w:sz w:val="18"/>
              </w:rPr>
              <w:t> </w:t>
            </w:r>
            <w:r>
              <w:rPr>
                <w:sz w:val="18"/>
              </w:rPr>
              <w:t>Critical</w:t>
            </w:r>
            <w:r>
              <w:rPr>
                <w:spacing w:val="-3"/>
                <w:sz w:val="18"/>
              </w:rPr>
              <w:t> </w:t>
            </w:r>
            <w:r>
              <w:rPr>
                <w:spacing w:val="-2"/>
                <w:sz w:val="18"/>
              </w:rPr>
              <w:t>Value</w:t>
            </w:r>
          </w:p>
        </w:tc>
        <w:tc>
          <w:tcPr>
            <w:tcW w:w="869" w:type="dxa"/>
            <w:tcBorders>
              <w:bottom w:val="double" w:sz="6" w:space="0" w:color="000000"/>
            </w:tcBorders>
          </w:tcPr>
          <w:p>
            <w:pPr>
              <w:pStyle w:val="TableParagraph"/>
              <w:rPr>
                <w:sz w:val="14"/>
              </w:rPr>
            </w:pPr>
          </w:p>
        </w:tc>
        <w:tc>
          <w:tcPr>
            <w:tcW w:w="888" w:type="dxa"/>
            <w:tcBorders>
              <w:bottom w:val="double" w:sz="6" w:space="0" w:color="000000"/>
            </w:tcBorders>
          </w:tcPr>
          <w:p>
            <w:pPr>
              <w:pStyle w:val="TableParagraph"/>
              <w:spacing w:line="181" w:lineRule="exact"/>
              <w:ind w:right="33"/>
              <w:jc w:val="right"/>
              <w:rPr>
                <w:sz w:val="18"/>
              </w:rPr>
            </w:pPr>
            <w:r>
              <w:rPr>
                <w:sz w:val="18"/>
              </w:rPr>
              <w:t>-</w:t>
            </w:r>
            <w:r>
              <w:rPr>
                <w:spacing w:val="-2"/>
                <w:sz w:val="18"/>
              </w:rPr>
              <w:t>2.6381</w:t>
            </w:r>
          </w:p>
        </w:tc>
      </w:tr>
      <w:tr>
        <w:trPr>
          <w:trHeight w:val="459" w:hRule="atLeast"/>
        </w:trPr>
        <w:tc>
          <w:tcPr>
            <w:tcW w:w="6492" w:type="dxa"/>
            <w:gridSpan w:val="5"/>
            <w:tcBorders>
              <w:top w:val="double" w:sz="6" w:space="0" w:color="000000"/>
            </w:tcBorders>
          </w:tcPr>
          <w:p>
            <w:pPr>
              <w:pStyle w:val="TableParagraph"/>
              <w:spacing w:before="42"/>
              <w:ind w:left="36"/>
              <w:rPr>
                <w:sz w:val="18"/>
              </w:rPr>
            </w:pPr>
            <w:r>
              <w:rPr>
                <w:sz w:val="18"/>
              </w:rPr>
              <w:t>*MacKinnon</w:t>
            </w:r>
            <w:r>
              <w:rPr>
                <w:spacing w:val="-1"/>
                <w:sz w:val="18"/>
              </w:rPr>
              <w:t> </w:t>
            </w:r>
            <w:r>
              <w:rPr>
                <w:sz w:val="18"/>
              </w:rPr>
              <w:t>critical</w:t>
            </w:r>
            <w:r>
              <w:rPr>
                <w:spacing w:val="-1"/>
                <w:sz w:val="18"/>
              </w:rPr>
              <w:t> </w:t>
            </w:r>
            <w:r>
              <w:rPr>
                <w:sz w:val="18"/>
              </w:rPr>
              <w:t>values</w:t>
            </w:r>
            <w:r>
              <w:rPr>
                <w:spacing w:val="-1"/>
                <w:sz w:val="18"/>
              </w:rPr>
              <w:t> </w:t>
            </w:r>
            <w:r>
              <w:rPr>
                <w:sz w:val="18"/>
              </w:rPr>
              <w:t>for</w:t>
            </w:r>
            <w:r>
              <w:rPr>
                <w:spacing w:val="-1"/>
                <w:sz w:val="18"/>
              </w:rPr>
              <w:t> </w:t>
            </w:r>
            <w:r>
              <w:rPr>
                <w:sz w:val="18"/>
              </w:rPr>
              <w:t>rejection</w:t>
            </w:r>
            <w:r>
              <w:rPr>
                <w:spacing w:val="-2"/>
                <w:sz w:val="18"/>
              </w:rPr>
              <w:t> </w:t>
            </w:r>
            <w:r>
              <w:rPr>
                <w:sz w:val="18"/>
              </w:rPr>
              <w:t>of</w:t>
            </w:r>
            <w:r>
              <w:rPr>
                <w:spacing w:val="-3"/>
                <w:sz w:val="18"/>
              </w:rPr>
              <w:t> </w:t>
            </w:r>
            <w:r>
              <w:rPr>
                <w:sz w:val="18"/>
              </w:rPr>
              <w:t>hypothesis</w:t>
            </w:r>
            <w:r>
              <w:rPr>
                <w:spacing w:val="-1"/>
                <w:sz w:val="18"/>
              </w:rPr>
              <w:t> </w:t>
            </w:r>
            <w:r>
              <w:rPr>
                <w:sz w:val="18"/>
              </w:rPr>
              <w:t>of</w:t>
            </w:r>
            <w:r>
              <w:rPr>
                <w:spacing w:val="-3"/>
                <w:sz w:val="18"/>
              </w:rPr>
              <w:t> </w:t>
            </w:r>
            <w:r>
              <w:rPr>
                <w:sz w:val="18"/>
              </w:rPr>
              <w:t>a</w:t>
            </w:r>
            <w:r>
              <w:rPr>
                <w:spacing w:val="-2"/>
                <w:sz w:val="18"/>
              </w:rPr>
              <w:t> </w:t>
            </w:r>
            <w:r>
              <w:rPr>
                <w:sz w:val="18"/>
              </w:rPr>
              <w:t>unit</w:t>
            </w:r>
            <w:r>
              <w:rPr>
                <w:spacing w:val="-2"/>
                <w:sz w:val="18"/>
              </w:rPr>
              <w:t> root.</w:t>
            </w:r>
          </w:p>
        </w:tc>
      </w:tr>
      <w:tr>
        <w:trPr>
          <w:trHeight w:val="413" w:hRule="atLeast"/>
        </w:trPr>
        <w:tc>
          <w:tcPr>
            <w:tcW w:w="6492" w:type="dxa"/>
            <w:gridSpan w:val="5"/>
          </w:tcPr>
          <w:p>
            <w:pPr>
              <w:pStyle w:val="TableParagraph"/>
              <w:spacing w:line="192" w:lineRule="exact" w:before="202"/>
              <w:ind w:left="36"/>
              <w:rPr>
                <w:sz w:val="18"/>
              </w:rPr>
            </w:pPr>
            <w:r>
              <w:rPr>
                <w:sz w:val="18"/>
              </w:rPr>
              <w:t>Augmented</w:t>
            </w:r>
            <w:r>
              <w:rPr>
                <w:spacing w:val="-3"/>
                <w:sz w:val="18"/>
              </w:rPr>
              <w:t> </w:t>
            </w:r>
            <w:r>
              <w:rPr>
                <w:sz w:val="18"/>
              </w:rPr>
              <w:t>Dickey-Fuller</w:t>
            </w:r>
            <w:r>
              <w:rPr>
                <w:spacing w:val="-3"/>
                <w:sz w:val="18"/>
              </w:rPr>
              <w:t> </w:t>
            </w:r>
            <w:r>
              <w:rPr>
                <w:sz w:val="18"/>
              </w:rPr>
              <w:t>Test</w:t>
            </w:r>
            <w:r>
              <w:rPr>
                <w:spacing w:val="-3"/>
                <w:sz w:val="18"/>
              </w:rPr>
              <w:t> </w:t>
            </w:r>
            <w:r>
              <w:rPr>
                <w:spacing w:val="-2"/>
                <w:sz w:val="18"/>
              </w:rPr>
              <w:t>Equation</w:t>
            </w:r>
          </w:p>
        </w:tc>
      </w:tr>
      <w:tr>
        <w:trPr>
          <w:trHeight w:val="207" w:hRule="atLeast"/>
        </w:trPr>
        <w:tc>
          <w:tcPr>
            <w:tcW w:w="6492" w:type="dxa"/>
            <w:gridSpan w:val="5"/>
          </w:tcPr>
          <w:p>
            <w:pPr>
              <w:pStyle w:val="TableParagraph"/>
              <w:spacing w:line="188" w:lineRule="exact"/>
              <w:ind w:left="36"/>
              <w:rPr>
                <w:sz w:val="18"/>
              </w:rPr>
            </w:pPr>
            <w:r>
              <w:rPr>
                <w:sz w:val="18"/>
              </w:rPr>
              <w:t>Dependent</w:t>
            </w:r>
            <w:r>
              <w:rPr>
                <w:spacing w:val="-2"/>
                <w:sz w:val="18"/>
              </w:rPr>
              <w:t> </w:t>
            </w:r>
            <w:r>
              <w:rPr>
                <w:sz w:val="18"/>
              </w:rPr>
              <w:t>Variable:</w:t>
            </w:r>
            <w:r>
              <w:rPr>
                <w:spacing w:val="-2"/>
                <w:sz w:val="18"/>
              </w:rPr>
              <w:t> D(ECM)</w:t>
            </w:r>
          </w:p>
        </w:tc>
      </w:tr>
      <w:tr>
        <w:trPr>
          <w:trHeight w:val="206" w:hRule="atLeast"/>
        </w:trPr>
        <w:tc>
          <w:tcPr>
            <w:tcW w:w="1773" w:type="dxa"/>
          </w:tcPr>
          <w:p>
            <w:pPr>
              <w:pStyle w:val="TableParagraph"/>
              <w:spacing w:line="186" w:lineRule="exact"/>
              <w:ind w:left="36"/>
              <w:rPr>
                <w:sz w:val="18"/>
              </w:rPr>
            </w:pPr>
            <w:r>
              <w:rPr>
                <w:sz w:val="18"/>
              </w:rPr>
              <w:t>Method:</w:t>
            </w:r>
            <w:r>
              <w:rPr>
                <w:spacing w:val="-3"/>
                <w:sz w:val="18"/>
              </w:rPr>
              <w:t> </w:t>
            </w:r>
            <w:r>
              <w:rPr>
                <w:sz w:val="18"/>
              </w:rPr>
              <w:t>Least</w:t>
            </w:r>
            <w:r>
              <w:rPr>
                <w:spacing w:val="-2"/>
                <w:sz w:val="18"/>
              </w:rPr>
              <w:t> Squares</w:t>
            </w:r>
          </w:p>
        </w:tc>
        <w:tc>
          <w:tcPr>
            <w:tcW w:w="1440" w:type="dxa"/>
          </w:tcPr>
          <w:p>
            <w:pPr>
              <w:pStyle w:val="TableParagraph"/>
              <w:rPr>
                <w:sz w:val="14"/>
              </w:rPr>
            </w:pPr>
          </w:p>
        </w:tc>
        <w:tc>
          <w:tcPr>
            <w:tcW w:w="1522" w:type="dxa"/>
          </w:tcPr>
          <w:p>
            <w:pPr>
              <w:pStyle w:val="TableParagraph"/>
              <w:rPr>
                <w:sz w:val="14"/>
              </w:rPr>
            </w:pPr>
          </w:p>
        </w:tc>
        <w:tc>
          <w:tcPr>
            <w:tcW w:w="869" w:type="dxa"/>
          </w:tcPr>
          <w:p>
            <w:pPr>
              <w:pStyle w:val="TableParagraph"/>
              <w:rPr>
                <w:sz w:val="14"/>
              </w:rPr>
            </w:pPr>
          </w:p>
        </w:tc>
        <w:tc>
          <w:tcPr>
            <w:tcW w:w="888" w:type="dxa"/>
          </w:tcPr>
          <w:p>
            <w:pPr>
              <w:pStyle w:val="TableParagraph"/>
              <w:rPr>
                <w:sz w:val="14"/>
              </w:rPr>
            </w:pPr>
          </w:p>
        </w:tc>
      </w:tr>
      <w:tr>
        <w:trPr>
          <w:trHeight w:val="206" w:hRule="atLeast"/>
        </w:trPr>
        <w:tc>
          <w:tcPr>
            <w:tcW w:w="6492" w:type="dxa"/>
            <w:gridSpan w:val="5"/>
          </w:tcPr>
          <w:p>
            <w:pPr>
              <w:pStyle w:val="TableParagraph"/>
              <w:spacing w:line="186" w:lineRule="exact"/>
              <w:ind w:left="36"/>
              <w:rPr>
                <w:sz w:val="18"/>
              </w:rPr>
            </w:pPr>
            <w:r>
              <w:rPr>
                <w:sz w:val="18"/>
              </w:rPr>
              <w:t>Date:</w:t>
            </w:r>
            <w:r>
              <w:rPr>
                <w:spacing w:val="-2"/>
                <w:sz w:val="18"/>
              </w:rPr>
              <w:t> </w:t>
            </w:r>
            <w:r>
              <w:rPr>
                <w:sz w:val="18"/>
              </w:rPr>
              <w:t>02/17/14</w:t>
            </w:r>
            <w:r>
              <w:rPr>
                <w:spacing w:val="63"/>
                <w:w w:val="150"/>
                <w:sz w:val="18"/>
              </w:rPr>
              <w:t> </w:t>
            </w:r>
            <w:r>
              <w:rPr>
                <w:sz w:val="18"/>
              </w:rPr>
              <w:t>Time:</w:t>
            </w:r>
            <w:r>
              <w:rPr>
                <w:spacing w:val="-1"/>
                <w:sz w:val="18"/>
              </w:rPr>
              <w:t> </w:t>
            </w:r>
            <w:r>
              <w:rPr>
                <w:spacing w:val="-4"/>
                <w:sz w:val="18"/>
              </w:rPr>
              <w:t>18:16</w:t>
            </w:r>
          </w:p>
        </w:tc>
      </w:tr>
      <w:tr>
        <w:trPr>
          <w:trHeight w:val="207" w:hRule="atLeast"/>
        </w:trPr>
        <w:tc>
          <w:tcPr>
            <w:tcW w:w="6492" w:type="dxa"/>
            <w:gridSpan w:val="5"/>
          </w:tcPr>
          <w:p>
            <w:pPr>
              <w:pStyle w:val="TableParagraph"/>
              <w:spacing w:line="188" w:lineRule="exact"/>
              <w:ind w:left="36"/>
              <w:rPr>
                <w:sz w:val="18"/>
              </w:rPr>
            </w:pPr>
            <w:r>
              <w:rPr>
                <w:sz w:val="18"/>
              </w:rPr>
              <w:t>Sample(adjusted):</w:t>
            </w:r>
            <w:r>
              <w:rPr>
                <w:spacing w:val="-6"/>
                <w:sz w:val="18"/>
              </w:rPr>
              <w:t> </w:t>
            </w:r>
            <w:r>
              <w:rPr>
                <w:sz w:val="18"/>
              </w:rPr>
              <w:t>1989</w:t>
            </w:r>
            <w:r>
              <w:rPr>
                <w:spacing w:val="-2"/>
                <w:sz w:val="18"/>
              </w:rPr>
              <w:t> </w:t>
            </w:r>
            <w:r>
              <w:rPr>
                <w:spacing w:val="-4"/>
                <w:sz w:val="18"/>
              </w:rPr>
              <w:t>2011</w:t>
            </w:r>
          </w:p>
        </w:tc>
      </w:tr>
      <w:tr>
        <w:trPr>
          <w:trHeight w:val="203" w:hRule="atLeast"/>
        </w:trPr>
        <w:tc>
          <w:tcPr>
            <w:tcW w:w="6492" w:type="dxa"/>
            <w:gridSpan w:val="5"/>
            <w:tcBorders>
              <w:bottom w:val="double" w:sz="6" w:space="0" w:color="000000"/>
            </w:tcBorders>
          </w:tcPr>
          <w:p>
            <w:pPr>
              <w:pStyle w:val="TableParagraph"/>
              <w:spacing w:line="183" w:lineRule="exact"/>
              <w:ind w:left="36"/>
              <w:rPr>
                <w:sz w:val="18"/>
              </w:rPr>
            </w:pPr>
            <w:r>
              <w:rPr>
                <w:sz w:val="18"/>
              </w:rPr>
              <w:t>Included</w:t>
            </w:r>
            <w:r>
              <w:rPr>
                <w:spacing w:val="-1"/>
                <w:sz w:val="18"/>
              </w:rPr>
              <w:t> </w:t>
            </w:r>
            <w:r>
              <w:rPr>
                <w:sz w:val="18"/>
              </w:rPr>
              <w:t>observations:</w:t>
            </w:r>
            <w:r>
              <w:rPr>
                <w:spacing w:val="-3"/>
                <w:sz w:val="18"/>
              </w:rPr>
              <w:t> </w:t>
            </w:r>
            <w:r>
              <w:rPr>
                <w:sz w:val="18"/>
              </w:rPr>
              <w:t>23</w:t>
            </w:r>
            <w:r>
              <w:rPr>
                <w:spacing w:val="-1"/>
                <w:sz w:val="18"/>
              </w:rPr>
              <w:t> </w:t>
            </w:r>
            <w:r>
              <w:rPr>
                <w:sz w:val="18"/>
              </w:rPr>
              <w:t>after</w:t>
            </w:r>
            <w:r>
              <w:rPr>
                <w:spacing w:val="-1"/>
                <w:sz w:val="18"/>
              </w:rPr>
              <w:t> </w:t>
            </w:r>
            <w:r>
              <w:rPr>
                <w:sz w:val="18"/>
              </w:rPr>
              <w:t>adjusting</w:t>
            </w:r>
            <w:r>
              <w:rPr>
                <w:spacing w:val="-2"/>
                <w:sz w:val="18"/>
              </w:rPr>
              <w:t> endpoints</w:t>
            </w:r>
          </w:p>
        </w:tc>
      </w:tr>
      <w:tr>
        <w:trPr>
          <w:trHeight w:val="245" w:hRule="atLeast"/>
        </w:trPr>
        <w:tc>
          <w:tcPr>
            <w:tcW w:w="1773" w:type="dxa"/>
            <w:tcBorders>
              <w:top w:val="double" w:sz="6" w:space="0" w:color="000000"/>
              <w:bottom w:val="double" w:sz="6" w:space="0" w:color="000000"/>
            </w:tcBorders>
          </w:tcPr>
          <w:p>
            <w:pPr>
              <w:pStyle w:val="TableParagraph"/>
              <w:spacing w:line="186" w:lineRule="exact" w:before="40"/>
              <w:ind w:left="713"/>
              <w:rPr>
                <w:sz w:val="18"/>
              </w:rPr>
            </w:pPr>
            <w:r>
              <w:rPr>
                <w:spacing w:val="-2"/>
                <w:sz w:val="18"/>
              </w:rPr>
              <w:t>Variable</w:t>
            </w:r>
          </w:p>
        </w:tc>
        <w:tc>
          <w:tcPr>
            <w:tcW w:w="1440" w:type="dxa"/>
            <w:tcBorders>
              <w:top w:val="double" w:sz="6" w:space="0" w:color="000000"/>
              <w:bottom w:val="double" w:sz="6" w:space="0" w:color="000000"/>
            </w:tcBorders>
          </w:tcPr>
          <w:p>
            <w:pPr>
              <w:pStyle w:val="TableParagraph"/>
              <w:spacing w:line="186" w:lineRule="exact" w:before="40"/>
              <w:ind w:right="120"/>
              <w:jc w:val="right"/>
              <w:rPr>
                <w:sz w:val="18"/>
              </w:rPr>
            </w:pPr>
            <w:r>
              <w:rPr>
                <w:spacing w:val="-2"/>
                <w:sz w:val="18"/>
              </w:rPr>
              <w:t>Coefficient</w:t>
            </w:r>
          </w:p>
        </w:tc>
        <w:tc>
          <w:tcPr>
            <w:tcW w:w="1522" w:type="dxa"/>
            <w:tcBorders>
              <w:top w:val="double" w:sz="6" w:space="0" w:color="000000"/>
              <w:bottom w:val="double" w:sz="6" w:space="0" w:color="000000"/>
            </w:tcBorders>
          </w:tcPr>
          <w:p>
            <w:pPr>
              <w:pStyle w:val="TableParagraph"/>
              <w:spacing w:line="186" w:lineRule="exact" w:before="40"/>
              <w:ind w:left="361"/>
              <w:rPr>
                <w:sz w:val="18"/>
              </w:rPr>
            </w:pPr>
            <w:r>
              <w:rPr>
                <w:sz w:val="18"/>
              </w:rPr>
              <w:t>Std.</w:t>
            </w:r>
            <w:r>
              <w:rPr>
                <w:spacing w:val="-1"/>
                <w:sz w:val="18"/>
              </w:rPr>
              <w:t> </w:t>
            </w:r>
            <w:r>
              <w:rPr>
                <w:spacing w:val="-4"/>
                <w:sz w:val="18"/>
              </w:rPr>
              <w:t>Error</w:t>
            </w:r>
          </w:p>
        </w:tc>
        <w:tc>
          <w:tcPr>
            <w:tcW w:w="869" w:type="dxa"/>
            <w:tcBorders>
              <w:top w:val="double" w:sz="6" w:space="0" w:color="000000"/>
              <w:bottom w:val="double" w:sz="6" w:space="0" w:color="000000"/>
            </w:tcBorders>
          </w:tcPr>
          <w:p>
            <w:pPr>
              <w:pStyle w:val="TableParagraph"/>
              <w:spacing w:line="186" w:lineRule="exact" w:before="40"/>
              <w:ind w:right="121"/>
              <w:jc w:val="right"/>
              <w:rPr>
                <w:sz w:val="18"/>
              </w:rPr>
            </w:pPr>
            <w:r>
              <w:rPr>
                <w:sz w:val="18"/>
              </w:rPr>
              <w:t>t-</w:t>
            </w:r>
            <w:r>
              <w:rPr>
                <w:spacing w:val="-2"/>
                <w:sz w:val="18"/>
              </w:rPr>
              <w:t>Statistic</w:t>
            </w:r>
          </w:p>
        </w:tc>
        <w:tc>
          <w:tcPr>
            <w:tcW w:w="888" w:type="dxa"/>
            <w:tcBorders>
              <w:top w:val="double" w:sz="6" w:space="0" w:color="000000"/>
              <w:bottom w:val="double" w:sz="6" w:space="0" w:color="000000"/>
            </w:tcBorders>
          </w:tcPr>
          <w:p>
            <w:pPr>
              <w:pStyle w:val="TableParagraph"/>
              <w:spacing w:line="186" w:lineRule="exact" w:before="40"/>
              <w:ind w:right="33"/>
              <w:jc w:val="right"/>
              <w:rPr>
                <w:sz w:val="18"/>
              </w:rPr>
            </w:pPr>
            <w:r>
              <w:rPr>
                <w:spacing w:val="-2"/>
                <w:sz w:val="18"/>
              </w:rPr>
              <w:t>Prob.</w:t>
            </w:r>
          </w:p>
        </w:tc>
      </w:tr>
      <w:tr>
        <w:trPr>
          <w:trHeight w:val="252" w:hRule="atLeast"/>
        </w:trPr>
        <w:tc>
          <w:tcPr>
            <w:tcW w:w="1773" w:type="dxa"/>
            <w:tcBorders>
              <w:top w:val="double" w:sz="6" w:space="0" w:color="000000"/>
            </w:tcBorders>
          </w:tcPr>
          <w:p>
            <w:pPr>
              <w:pStyle w:val="TableParagraph"/>
              <w:spacing w:line="191" w:lineRule="exact" w:before="42"/>
              <w:ind w:left="691"/>
              <w:rPr>
                <w:sz w:val="18"/>
              </w:rPr>
            </w:pPr>
            <w:r>
              <w:rPr>
                <w:sz w:val="18"/>
              </w:rPr>
              <w:t>ECM(-</w:t>
            </w:r>
            <w:r>
              <w:rPr>
                <w:spacing w:val="-5"/>
                <w:sz w:val="18"/>
              </w:rPr>
              <w:t>1)</w:t>
            </w:r>
          </w:p>
        </w:tc>
        <w:tc>
          <w:tcPr>
            <w:tcW w:w="1440" w:type="dxa"/>
            <w:tcBorders>
              <w:top w:val="double" w:sz="6" w:space="0" w:color="000000"/>
            </w:tcBorders>
          </w:tcPr>
          <w:p>
            <w:pPr>
              <w:pStyle w:val="TableParagraph"/>
              <w:spacing w:line="191" w:lineRule="exact" w:before="42"/>
              <w:ind w:right="118"/>
              <w:jc w:val="right"/>
              <w:rPr>
                <w:sz w:val="18"/>
              </w:rPr>
            </w:pPr>
            <w:r>
              <w:rPr>
                <w:sz w:val="18"/>
              </w:rPr>
              <w:t>-</w:t>
            </w:r>
            <w:r>
              <w:rPr>
                <w:spacing w:val="-2"/>
                <w:sz w:val="18"/>
              </w:rPr>
              <w:t>0.849547</w:t>
            </w:r>
          </w:p>
        </w:tc>
        <w:tc>
          <w:tcPr>
            <w:tcW w:w="1522" w:type="dxa"/>
            <w:tcBorders>
              <w:top w:val="double" w:sz="6" w:space="0" w:color="000000"/>
            </w:tcBorders>
          </w:tcPr>
          <w:p>
            <w:pPr>
              <w:pStyle w:val="TableParagraph"/>
              <w:spacing w:line="191" w:lineRule="exact" w:before="42"/>
              <w:ind w:left="397"/>
              <w:rPr>
                <w:sz w:val="18"/>
              </w:rPr>
            </w:pPr>
            <w:r>
              <w:rPr>
                <w:spacing w:val="-2"/>
                <w:sz w:val="18"/>
              </w:rPr>
              <w:t>0.260601</w:t>
            </w:r>
          </w:p>
        </w:tc>
        <w:tc>
          <w:tcPr>
            <w:tcW w:w="869" w:type="dxa"/>
            <w:tcBorders>
              <w:top w:val="double" w:sz="6" w:space="0" w:color="000000"/>
            </w:tcBorders>
          </w:tcPr>
          <w:p>
            <w:pPr>
              <w:pStyle w:val="TableParagraph"/>
              <w:spacing w:line="191" w:lineRule="exact" w:before="42"/>
              <w:ind w:right="123"/>
              <w:jc w:val="right"/>
              <w:rPr>
                <w:sz w:val="18"/>
              </w:rPr>
            </w:pPr>
            <w:r>
              <w:rPr>
                <w:sz w:val="18"/>
              </w:rPr>
              <w:t>-</w:t>
            </w:r>
            <w:r>
              <w:rPr>
                <w:spacing w:val="-2"/>
                <w:sz w:val="18"/>
              </w:rPr>
              <w:t>3.259957</w:t>
            </w:r>
          </w:p>
        </w:tc>
        <w:tc>
          <w:tcPr>
            <w:tcW w:w="888" w:type="dxa"/>
            <w:tcBorders>
              <w:top w:val="double" w:sz="6" w:space="0" w:color="000000"/>
            </w:tcBorders>
          </w:tcPr>
          <w:p>
            <w:pPr>
              <w:pStyle w:val="TableParagraph"/>
              <w:spacing w:line="191" w:lineRule="exact" w:before="42"/>
              <w:ind w:right="33"/>
              <w:jc w:val="right"/>
              <w:rPr>
                <w:sz w:val="18"/>
              </w:rPr>
            </w:pPr>
            <w:r>
              <w:rPr>
                <w:spacing w:val="-2"/>
                <w:sz w:val="18"/>
              </w:rPr>
              <w:t>0.0039</w:t>
            </w:r>
          </w:p>
        </w:tc>
      </w:tr>
      <w:tr>
        <w:trPr>
          <w:trHeight w:val="206" w:hRule="atLeast"/>
        </w:trPr>
        <w:tc>
          <w:tcPr>
            <w:tcW w:w="1773" w:type="dxa"/>
          </w:tcPr>
          <w:p>
            <w:pPr>
              <w:pStyle w:val="TableParagraph"/>
              <w:spacing w:line="186" w:lineRule="exact"/>
              <w:ind w:left="566"/>
              <w:rPr>
                <w:sz w:val="18"/>
              </w:rPr>
            </w:pPr>
            <w:r>
              <w:rPr>
                <w:sz w:val="18"/>
              </w:rPr>
              <w:t>D(ECM(-</w:t>
            </w:r>
            <w:r>
              <w:rPr>
                <w:spacing w:val="-5"/>
                <w:sz w:val="18"/>
              </w:rPr>
              <w:t>1))</w:t>
            </w:r>
          </w:p>
        </w:tc>
        <w:tc>
          <w:tcPr>
            <w:tcW w:w="1440" w:type="dxa"/>
          </w:tcPr>
          <w:p>
            <w:pPr>
              <w:pStyle w:val="TableParagraph"/>
              <w:spacing w:line="186" w:lineRule="exact"/>
              <w:ind w:right="118"/>
              <w:jc w:val="right"/>
              <w:rPr>
                <w:sz w:val="18"/>
              </w:rPr>
            </w:pPr>
            <w:r>
              <w:rPr>
                <w:spacing w:val="-2"/>
                <w:sz w:val="18"/>
              </w:rPr>
              <w:t>0.228827</w:t>
            </w:r>
          </w:p>
        </w:tc>
        <w:tc>
          <w:tcPr>
            <w:tcW w:w="1522" w:type="dxa"/>
          </w:tcPr>
          <w:p>
            <w:pPr>
              <w:pStyle w:val="TableParagraph"/>
              <w:spacing w:line="186" w:lineRule="exact"/>
              <w:ind w:left="397"/>
              <w:rPr>
                <w:sz w:val="18"/>
              </w:rPr>
            </w:pPr>
            <w:r>
              <w:rPr>
                <w:spacing w:val="-2"/>
                <w:sz w:val="18"/>
              </w:rPr>
              <w:t>0.224599</w:t>
            </w:r>
          </w:p>
        </w:tc>
        <w:tc>
          <w:tcPr>
            <w:tcW w:w="869" w:type="dxa"/>
          </w:tcPr>
          <w:p>
            <w:pPr>
              <w:pStyle w:val="TableParagraph"/>
              <w:spacing w:line="186" w:lineRule="exact"/>
              <w:ind w:right="123"/>
              <w:jc w:val="right"/>
              <w:rPr>
                <w:sz w:val="18"/>
              </w:rPr>
            </w:pPr>
            <w:r>
              <w:rPr>
                <w:spacing w:val="-2"/>
                <w:sz w:val="18"/>
              </w:rPr>
              <w:t>1.018826</w:t>
            </w:r>
          </w:p>
        </w:tc>
        <w:tc>
          <w:tcPr>
            <w:tcW w:w="888" w:type="dxa"/>
          </w:tcPr>
          <w:p>
            <w:pPr>
              <w:pStyle w:val="TableParagraph"/>
              <w:spacing w:line="186" w:lineRule="exact"/>
              <w:ind w:right="33"/>
              <w:jc w:val="right"/>
              <w:rPr>
                <w:sz w:val="18"/>
              </w:rPr>
            </w:pPr>
            <w:r>
              <w:rPr>
                <w:spacing w:val="-2"/>
                <w:sz w:val="18"/>
              </w:rPr>
              <w:t>0.3205</w:t>
            </w:r>
          </w:p>
        </w:tc>
      </w:tr>
      <w:tr>
        <w:trPr>
          <w:trHeight w:val="203" w:hRule="atLeast"/>
        </w:trPr>
        <w:tc>
          <w:tcPr>
            <w:tcW w:w="1773" w:type="dxa"/>
            <w:tcBorders>
              <w:bottom w:val="double" w:sz="6" w:space="0" w:color="000000"/>
            </w:tcBorders>
          </w:tcPr>
          <w:p>
            <w:pPr>
              <w:pStyle w:val="TableParagraph"/>
              <w:spacing w:line="184" w:lineRule="exact"/>
              <w:ind w:left="272"/>
              <w:jc w:val="center"/>
              <w:rPr>
                <w:sz w:val="18"/>
              </w:rPr>
            </w:pPr>
            <w:r>
              <w:rPr>
                <w:spacing w:val="-10"/>
                <w:sz w:val="18"/>
              </w:rPr>
              <w:t>C</w:t>
            </w:r>
          </w:p>
        </w:tc>
        <w:tc>
          <w:tcPr>
            <w:tcW w:w="1440" w:type="dxa"/>
            <w:tcBorders>
              <w:bottom w:val="double" w:sz="6" w:space="0" w:color="000000"/>
            </w:tcBorders>
          </w:tcPr>
          <w:p>
            <w:pPr>
              <w:pStyle w:val="TableParagraph"/>
              <w:spacing w:line="184" w:lineRule="exact"/>
              <w:ind w:right="118"/>
              <w:jc w:val="right"/>
              <w:rPr>
                <w:sz w:val="18"/>
              </w:rPr>
            </w:pPr>
            <w:r>
              <w:rPr>
                <w:sz w:val="18"/>
              </w:rPr>
              <w:t>-</w:t>
            </w:r>
            <w:r>
              <w:rPr>
                <w:spacing w:val="-2"/>
                <w:sz w:val="18"/>
              </w:rPr>
              <w:t>0.012843</w:t>
            </w:r>
          </w:p>
        </w:tc>
        <w:tc>
          <w:tcPr>
            <w:tcW w:w="1522" w:type="dxa"/>
            <w:tcBorders>
              <w:bottom w:val="double" w:sz="6" w:space="0" w:color="000000"/>
            </w:tcBorders>
          </w:tcPr>
          <w:p>
            <w:pPr>
              <w:pStyle w:val="TableParagraph"/>
              <w:spacing w:line="184" w:lineRule="exact"/>
              <w:ind w:left="397"/>
              <w:rPr>
                <w:sz w:val="18"/>
              </w:rPr>
            </w:pPr>
            <w:r>
              <w:rPr>
                <w:spacing w:val="-2"/>
                <w:sz w:val="18"/>
              </w:rPr>
              <w:t>0.073732</w:t>
            </w:r>
          </w:p>
        </w:tc>
        <w:tc>
          <w:tcPr>
            <w:tcW w:w="869" w:type="dxa"/>
            <w:tcBorders>
              <w:bottom w:val="double" w:sz="6" w:space="0" w:color="000000"/>
            </w:tcBorders>
          </w:tcPr>
          <w:p>
            <w:pPr>
              <w:pStyle w:val="TableParagraph"/>
              <w:spacing w:line="184" w:lineRule="exact"/>
              <w:ind w:right="123"/>
              <w:jc w:val="right"/>
              <w:rPr>
                <w:sz w:val="18"/>
              </w:rPr>
            </w:pPr>
            <w:r>
              <w:rPr>
                <w:sz w:val="18"/>
              </w:rPr>
              <w:t>-</w:t>
            </w:r>
            <w:r>
              <w:rPr>
                <w:spacing w:val="-2"/>
                <w:sz w:val="18"/>
              </w:rPr>
              <w:t>0.174179</w:t>
            </w:r>
          </w:p>
        </w:tc>
        <w:tc>
          <w:tcPr>
            <w:tcW w:w="888" w:type="dxa"/>
            <w:tcBorders>
              <w:bottom w:val="double" w:sz="6" w:space="0" w:color="000000"/>
            </w:tcBorders>
          </w:tcPr>
          <w:p>
            <w:pPr>
              <w:pStyle w:val="TableParagraph"/>
              <w:spacing w:line="184" w:lineRule="exact"/>
              <w:ind w:right="33"/>
              <w:jc w:val="right"/>
              <w:rPr>
                <w:sz w:val="18"/>
              </w:rPr>
            </w:pPr>
            <w:r>
              <w:rPr>
                <w:spacing w:val="-2"/>
                <w:sz w:val="18"/>
              </w:rPr>
              <w:t>0.8635</w:t>
            </w:r>
          </w:p>
        </w:tc>
      </w:tr>
      <w:tr>
        <w:trPr>
          <w:trHeight w:val="250" w:hRule="atLeast"/>
        </w:trPr>
        <w:tc>
          <w:tcPr>
            <w:tcW w:w="1773" w:type="dxa"/>
            <w:tcBorders>
              <w:top w:val="double" w:sz="6" w:space="0" w:color="000000"/>
            </w:tcBorders>
          </w:tcPr>
          <w:p>
            <w:pPr>
              <w:pStyle w:val="TableParagraph"/>
              <w:spacing w:line="191" w:lineRule="exact" w:before="40"/>
              <w:ind w:left="36"/>
              <w:rPr>
                <w:sz w:val="18"/>
              </w:rPr>
            </w:pPr>
            <w:r>
              <w:rPr>
                <w:spacing w:val="-2"/>
                <w:sz w:val="18"/>
              </w:rPr>
              <w:t>R-squared</w:t>
            </w:r>
          </w:p>
        </w:tc>
        <w:tc>
          <w:tcPr>
            <w:tcW w:w="1440" w:type="dxa"/>
            <w:tcBorders>
              <w:top w:val="double" w:sz="6" w:space="0" w:color="000000"/>
            </w:tcBorders>
          </w:tcPr>
          <w:p>
            <w:pPr>
              <w:pStyle w:val="TableParagraph"/>
              <w:spacing w:line="191" w:lineRule="exact" w:before="40"/>
              <w:ind w:right="118"/>
              <w:jc w:val="right"/>
              <w:rPr>
                <w:sz w:val="18"/>
              </w:rPr>
            </w:pPr>
            <w:r>
              <w:rPr>
                <w:spacing w:val="-2"/>
                <w:sz w:val="18"/>
              </w:rPr>
              <w:t>0.376277</w:t>
            </w:r>
          </w:p>
        </w:tc>
        <w:tc>
          <w:tcPr>
            <w:tcW w:w="2391" w:type="dxa"/>
            <w:gridSpan w:val="2"/>
            <w:tcBorders>
              <w:top w:val="double" w:sz="6" w:space="0" w:color="000000"/>
            </w:tcBorders>
          </w:tcPr>
          <w:p>
            <w:pPr>
              <w:pStyle w:val="TableParagraph"/>
              <w:spacing w:line="191" w:lineRule="exact" w:before="40"/>
              <w:ind w:left="121"/>
              <w:rPr>
                <w:sz w:val="18"/>
              </w:rPr>
            </w:pPr>
            <w:r>
              <w:rPr>
                <w:sz w:val="18"/>
              </w:rPr>
              <w:t>Mean</w:t>
            </w:r>
            <w:r>
              <w:rPr>
                <w:spacing w:val="-5"/>
                <w:sz w:val="18"/>
              </w:rPr>
              <w:t> </w:t>
            </w:r>
            <w:r>
              <w:rPr>
                <w:sz w:val="18"/>
              </w:rPr>
              <w:t>dependent</w:t>
            </w:r>
            <w:r>
              <w:rPr>
                <w:spacing w:val="-1"/>
                <w:sz w:val="18"/>
              </w:rPr>
              <w:t> </w:t>
            </w:r>
            <w:r>
              <w:rPr>
                <w:spacing w:val="-5"/>
                <w:sz w:val="18"/>
              </w:rPr>
              <w:t>var</w:t>
            </w:r>
          </w:p>
        </w:tc>
        <w:tc>
          <w:tcPr>
            <w:tcW w:w="888" w:type="dxa"/>
            <w:tcBorders>
              <w:top w:val="double" w:sz="6" w:space="0" w:color="000000"/>
            </w:tcBorders>
          </w:tcPr>
          <w:p>
            <w:pPr>
              <w:pStyle w:val="TableParagraph"/>
              <w:spacing w:line="191" w:lineRule="exact" w:before="40"/>
              <w:ind w:right="32"/>
              <w:jc w:val="right"/>
              <w:rPr>
                <w:sz w:val="18"/>
              </w:rPr>
            </w:pPr>
            <w:r>
              <w:rPr>
                <w:sz w:val="18"/>
              </w:rPr>
              <w:t>-</w:t>
            </w:r>
            <w:r>
              <w:rPr>
                <w:spacing w:val="-2"/>
                <w:sz w:val="18"/>
              </w:rPr>
              <w:t>0.015028</w:t>
            </w:r>
          </w:p>
        </w:tc>
      </w:tr>
      <w:tr>
        <w:trPr>
          <w:trHeight w:val="206" w:hRule="atLeast"/>
        </w:trPr>
        <w:tc>
          <w:tcPr>
            <w:tcW w:w="1773" w:type="dxa"/>
          </w:tcPr>
          <w:p>
            <w:pPr>
              <w:pStyle w:val="TableParagraph"/>
              <w:spacing w:line="186" w:lineRule="exact"/>
              <w:ind w:left="36"/>
              <w:rPr>
                <w:sz w:val="18"/>
              </w:rPr>
            </w:pPr>
            <w:r>
              <w:rPr>
                <w:sz w:val="18"/>
              </w:rPr>
              <w:t>Adjusted</w:t>
            </w:r>
            <w:r>
              <w:rPr>
                <w:spacing w:val="-1"/>
                <w:sz w:val="18"/>
              </w:rPr>
              <w:t> </w:t>
            </w:r>
            <w:r>
              <w:rPr>
                <w:sz w:val="18"/>
              </w:rPr>
              <w:t>R-</w:t>
            </w:r>
            <w:r>
              <w:rPr>
                <w:spacing w:val="-2"/>
                <w:sz w:val="18"/>
              </w:rPr>
              <w:t>squared</w:t>
            </w:r>
          </w:p>
        </w:tc>
        <w:tc>
          <w:tcPr>
            <w:tcW w:w="1440" w:type="dxa"/>
          </w:tcPr>
          <w:p>
            <w:pPr>
              <w:pStyle w:val="TableParagraph"/>
              <w:spacing w:line="186" w:lineRule="exact"/>
              <w:ind w:right="118"/>
              <w:jc w:val="right"/>
              <w:rPr>
                <w:sz w:val="18"/>
              </w:rPr>
            </w:pPr>
            <w:r>
              <w:rPr>
                <w:spacing w:val="-2"/>
                <w:sz w:val="18"/>
              </w:rPr>
              <w:t>0.313905</w:t>
            </w:r>
          </w:p>
        </w:tc>
        <w:tc>
          <w:tcPr>
            <w:tcW w:w="1522" w:type="dxa"/>
          </w:tcPr>
          <w:p>
            <w:pPr>
              <w:pStyle w:val="TableParagraph"/>
              <w:spacing w:line="186" w:lineRule="exact"/>
              <w:ind w:left="121"/>
              <w:rPr>
                <w:sz w:val="18"/>
              </w:rPr>
            </w:pPr>
            <w:r>
              <w:rPr>
                <w:sz w:val="18"/>
              </w:rPr>
              <w:t>S.D.</w:t>
            </w:r>
            <w:r>
              <w:rPr>
                <w:spacing w:val="-5"/>
                <w:sz w:val="18"/>
              </w:rPr>
              <w:t> </w:t>
            </w:r>
            <w:r>
              <w:rPr>
                <w:sz w:val="18"/>
              </w:rPr>
              <w:t>dependent</w:t>
            </w:r>
            <w:r>
              <w:rPr>
                <w:spacing w:val="-3"/>
                <w:sz w:val="18"/>
              </w:rPr>
              <w:t> </w:t>
            </w:r>
            <w:r>
              <w:rPr>
                <w:spacing w:val="-5"/>
                <w:sz w:val="18"/>
              </w:rPr>
              <w:t>var</w:t>
            </w:r>
          </w:p>
        </w:tc>
        <w:tc>
          <w:tcPr>
            <w:tcW w:w="869" w:type="dxa"/>
          </w:tcPr>
          <w:p>
            <w:pPr>
              <w:pStyle w:val="TableParagraph"/>
              <w:rPr>
                <w:sz w:val="14"/>
              </w:rPr>
            </w:pPr>
          </w:p>
        </w:tc>
        <w:tc>
          <w:tcPr>
            <w:tcW w:w="888" w:type="dxa"/>
          </w:tcPr>
          <w:p>
            <w:pPr>
              <w:pStyle w:val="TableParagraph"/>
              <w:spacing w:line="186" w:lineRule="exact"/>
              <w:ind w:right="32"/>
              <w:jc w:val="right"/>
              <w:rPr>
                <w:sz w:val="18"/>
              </w:rPr>
            </w:pPr>
            <w:r>
              <w:rPr>
                <w:spacing w:val="-2"/>
                <w:sz w:val="18"/>
              </w:rPr>
              <w:t>0.424378</w:t>
            </w:r>
          </w:p>
        </w:tc>
      </w:tr>
      <w:tr>
        <w:trPr>
          <w:trHeight w:val="207" w:hRule="atLeast"/>
        </w:trPr>
        <w:tc>
          <w:tcPr>
            <w:tcW w:w="1773" w:type="dxa"/>
          </w:tcPr>
          <w:p>
            <w:pPr>
              <w:pStyle w:val="TableParagraph"/>
              <w:spacing w:line="188" w:lineRule="exact"/>
              <w:ind w:left="36"/>
              <w:rPr>
                <w:sz w:val="18"/>
              </w:rPr>
            </w:pPr>
            <w:r>
              <w:rPr>
                <w:sz w:val="18"/>
              </w:rPr>
              <w:t>S.E.</w:t>
            </w:r>
            <w:r>
              <w:rPr>
                <w:spacing w:val="-3"/>
                <w:sz w:val="18"/>
              </w:rPr>
              <w:t> </w:t>
            </w:r>
            <w:r>
              <w:rPr>
                <w:sz w:val="18"/>
              </w:rPr>
              <w:t>of</w:t>
            </w:r>
            <w:r>
              <w:rPr>
                <w:spacing w:val="-1"/>
                <w:sz w:val="18"/>
              </w:rPr>
              <w:t> </w:t>
            </w:r>
            <w:r>
              <w:rPr>
                <w:spacing w:val="-2"/>
                <w:sz w:val="18"/>
              </w:rPr>
              <w:t>regression</w:t>
            </w:r>
          </w:p>
        </w:tc>
        <w:tc>
          <w:tcPr>
            <w:tcW w:w="1440" w:type="dxa"/>
          </w:tcPr>
          <w:p>
            <w:pPr>
              <w:pStyle w:val="TableParagraph"/>
              <w:spacing w:line="188" w:lineRule="exact"/>
              <w:ind w:right="118"/>
              <w:jc w:val="right"/>
              <w:rPr>
                <w:sz w:val="18"/>
              </w:rPr>
            </w:pPr>
            <w:r>
              <w:rPr>
                <w:spacing w:val="-2"/>
                <w:sz w:val="18"/>
              </w:rPr>
              <w:t>0.351516</w:t>
            </w:r>
          </w:p>
        </w:tc>
        <w:tc>
          <w:tcPr>
            <w:tcW w:w="2391" w:type="dxa"/>
            <w:gridSpan w:val="2"/>
          </w:tcPr>
          <w:p>
            <w:pPr>
              <w:pStyle w:val="TableParagraph"/>
              <w:spacing w:line="188" w:lineRule="exact"/>
              <w:ind w:left="121"/>
              <w:rPr>
                <w:sz w:val="18"/>
              </w:rPr>
            </w:pPr>
            <w:r>
              <w:rPr>
                <w:sz w:val="18"/>
              </w:rPr>
              <w:t>Akaike</w:t>
            </w:r>
            <w:r>
              <w:rPr>
                <w:spacing w:val="-5"/>
                <w:sz w:val="18"/>
              </w:rPr>
              <w:t> </w:t>
            </w:r>
            <w:r>
              <w:rPr>
                <w:sz w:val="18"/>
              </w:rPr>
              <w:t>info</w:t>
            </w:r>
            <w:r>
              <w:rPr>
                <w:spacing w:val="-2"/>
                <w:sz w:val="18"/>
              </w:rPr>
              <w:t> criterion</w:t>
            </w:r>
          </w:p>
        </w:tc>
        <w:tc>
          <w:tcPr>
            <w:tcW w:w="888" w:type="dxa"/>
          </w:tcPr>
          <w:p>
            <w:pPr>
              <w:pStyle w:val="TableParagraph"/>
              <w:spacing w:line="188" w:lineRule="exact"/>
              <w:ind w:right="32"/>
              <w:jc w:val="right"/>
              <w:rPr>
                <w:sz w:val="18"/>
              </w:rPr>
            </w:pPr>
            <w:r>
              <w:rPr>
                <w:spacing w:val="-2"/>
                <w:sz w:val="18"/>
              </w:rPr>
              <w:t>0.867985</w:t>
            </w:r>
          </w:p>
        </w:tc>
      </w:tr>
      <w:tr>
        <w:trPr>
          <w:trHeight w:val="207" w:hRule="atLeast"/>
        </w:trPr>
        <w:tc>
          <w:tcPr>
            <w:tcW w:w="1773" w:type="dxa"/>
          </w:tcPr>
          <w:p>
            <w:pPr>
              <w:pStyle w:val="TableParagraph"/>
              <w:spacing w:line="188" w:lineRule="exact"/>
              <w:ind w:left="36"/>
              <w:rPr>
                <w:sz w:val="18"/>
              </w:rPr>
            </w:pPr>
            <w:r>
              <w:rPr>
                <w:sz w:val="18"/>
              </w:rPr>
              <w:t>Sum</w:t>
            </w:r>
            <w:r>
              <w:rPr>
                <w:spacing w:val="-3"/>
                <w:sz w:val="18"/>
              </w:rPr>
              <w:t> </w:t>
            </w:r>
            <w:r>
              <w:rPr>
                <w:sz w:val="18"/>
              </w:rPr>
              <w:t>squared</w:t>
            </w:r>
            <w:r>
              <w:rPr>
                <w:spacing w:val="1"/>
                <w:sz w:val="18"/>
              </w:rPr>
              <w:t> </w:t>
            </w:r>
            <w:r>
              <w:rPr>
                <w:spacing w:val="-2"/>
                <w:sz w:val="18"/>
              </w:rPr>
              <w:t>resid</w:t>
            </w:r>
          </w:p>
        </w:tc>
        <w:tc>
          <w:tcPr>
            <w:tcW w:w="1440" w:type="dxa"/>
          </w:tcPr>
          <w:p>
            <w:pPr>
              <w:pStyle w:val="TableParagraph"/>
              <w:spacing w:line="188" w:lineRule="exact"/>
              <w:ind w:right="118"/>
              <w:jc w:val="right"/>
              <w:rPr>
                <w:sz w:val="18"/>
              </w:rPr>
            </w:pPr>
            <w:r>
              <w:rPr>
                <w:spacing w:val="-2"/>
                <w:sz w:val="18"/>
              </w:rPr>
              <w:t>2.471271</w:t>
            </w:r>
          </w:p>
        </w:tc>
        <w:tc>
          <w:tcPr>
            <w:tcW w:w="1522" w:type="dxa"/>
          </w:tcPr>
          <w:p>
            <w:pPr>
              <w:pStyle w:val="TableParagraph"/>
              <w:spacing w:line="188" w:lineRule="exact"/>
              <w:ind w:left="121"/>
              <w:rPr>
                <w:sz w:val="18"/>
              </w:rPr>
            </w:pPr>
            <w:r>
              <w:rPr>
                <w:sz w:val="18"/>
              </w:rPr>
              <w:t>Schwarz</w:t>
            </w:r>
            <w:r>
              <w:rPr>
                <w:spacing w:val="-7"/>
                <w:sz w:val="18"/>
              </w:rPr>
              <w:t> </w:t>
            </w:r>
            <w:r>
              <w:rPr>
                <w:spacing w:val="-2"/>
                <w:sz w:val="18"/>
              </w:rPr>
              <w:t>criterion</w:t>
            </w:r>
          </w:p>
        </w:tc>
        <w:tc>
          <w:tcPr>
            <w:tcW w:w="869" w:type="dxa"/>
          </w:tcPr>
          <w:p>
            <w:pPr>
              <w:pStyle w:val="TableParagraph"/>
              <w:rPr>
                <w:sz w:val="14"/>
              </w:rPr>
            </w:pPr>
          </w:p>
        </w:tc>
        <w:tc>
          <w:tcPr>
            <w:tcW w:w="888" w:type="dxa"/>
          </w:tcPr>
          <w:p>
            <w:pPr>
              <w:pStyle w:val="TableParagraph"/>
              <w:spacing w:line="188" w:lineRule="exact"/>
              <w:ind w:right="32"/>
              <w:jc w:val="right"/>
              <w:rPr>
                <w:sz w:val="18"/>
              </w:rPr>
            </w:pPr>
            <w:r>
              <w:rPr>
                <w:spacing w:val="-2"/>
                <w:sz w:val="18"/>
              </w:rPr>
              <w:t>1.016093</w:t>
            </w:r>
          </w:p>
        </w:tc>
      </w:tr>
      <w:tr>
        <w:trPr>
          <w:trHeight w:val="206" w:hRule="atLeast"/>
        </w:trPr>
        <w:tc>
          <w:tcPr>
            <w:tcW w:w="1773" w:type="dxa"/>
          </w:tcPr>
          <w:p>
            <w:pPr>
              <w:pStyle w:val="TableParagraph"/>
              <w:spacing w:line="186" w:lineRule="exact"/>
              <w:ind w:left="36"/>
              <w:rPr>
                <w:sz w:val="18"/>
              </w:rPr>
            </w:pPr>
            <w:r>
              <w:rPr>
                <w:sz w:val="18"/>
              </w:rPr>
              <w:t>Log</w:t>
            </w:r>
            <w:r>
              <w:rPr>
                <w:spacing w:val="-2"/>
                <w:sz w:val="18"/>
              </w:rPr>
              <w:t> likelihood</w:t>
            </w:r>
          </w:p>
        </w:tc>
        <w:tc>
          <w:tcPr>
            <w:tcW w:w="1440" w:type="dxa"/>
          </w:tcPr>
          <w:p>
            <w:pPr>
              <w:pStyle w:val="TableParagraph"/>
              <w:spacing w:line="186" w:lineRule="exact"/>
              <w:ind w:right="118"/>
              <w:jc w:val="right"/>
              <w:rPr>
                <w:sz w:val="18"/>
              </w:rPr>
            </w:pPr>
            <w:r>
              <w:rPr>
                <w:sz w:val="18"/>
              </w:rPr>
              <w:t>-</w:t>
            </w:r>
            <w:r>
              <w:rPr>
                <w:spacing w:val="-2"/>
                <w:sz w:val="18"/>
              </w:rPr>
              <w:t>6.981826</w:t>
            </w:r>
          </w:p>
        </w:tc>
        <w:tc>
          <w:tcPr>
            <w:tcW w:w="1522" w:type="dxa"/>
          </w:tcPr>
          <w:p>
            <w:pPr>
              <w:pStyle w:val="TableParagraph"/>
              <w:spacing w:line="186" w:lineRule="exact"/>
              <w:ind w:left="121"/>
              <w:rPr>
                <w:sz w:val="18"/>
              </w:rPr>
            </w:pPr>
            <w:r>
              <w:rPr>
                <w:sz w:val="18"/>
              </w:rPr>
              <w:t>F-</w:t>
            </w:r>
            <w:r>
              <w:rPr>
                <w:spacing w:val="-2"/>
                <w:sz w:val="18"/>
              </w:rPr>
              <w:t>statistic</w:t>
            </w:r>
          </w:p>
        </w:tc>
        <w:tc>
          <w:tcPr>
            <w:tcW w:w="869" w:type="dxa"/>
          </w:tcPr>
          <w:p>
            <w:pPr>
              <w:pStyle w:val="TableParagraph"/>
              <w:rPr>
                <w:sz w:val="14"/>
              </w:rPr>
            </w:pPr>
          </w:p>
        </w:tc>
        <w:tc>
          <w:tcPr>
            <w:tcW w:w="888" w:type="dxa"/>
          </w:tcPr>
          <w:p>
            <w:pPr>
              <w:pStyle w:val="TableParagraph"/>
              <w:spacing w:line="186" w:lineRule="exact"/>
              <w:ind w:right="32"/>
              <w:jc w:val="right"/>
              <w:rPr>
                <w:sz w:val="18"/>
              </w:rPr>
            </w:pPr>
            <w:r>
              <w:rPr>
                <w:spacing w:val="-2"/>
                <w:sz w:val="18"/>
              </w:rPr>
              <w:t>6.032756</w:t>
            </w:r>
          </w:p>
        </w:tc>
      </w:tr>
      <w:tr>
        <w:trPr>
          <w:trHeight w:val="244" w:hRule="atLeast"/>
        </w:trPr>
        <w:tc>
          <w:tcPr>
            <w:tcW w:w="1773" w:type="dxa"/>
            <w:tcBorders>
              <w:bottom w:val="double" w:sz="6" w:space="0" w:color="000000"/>
            </w:tcBorders>
          </w:tcPr>
          <w:p>
            <w:pPr>
              <w:pStyle w:val="TableParagraph"/>
              <w:spacing w:line="203" w:lineRule="exact"/>
              <w:ind w:left="36"/>
              <w:rPr>
                <w:sz w:val="18"/>
              </w:rPr>
            </w:pPr>
            <w:r>
              <w:rPr>
                <w:sz w:val="18"/>
              </w:rPr>
              <w:t>Durbin-Watson</w:t>
            </w:r>
            <w:r>
              <w:rPr>
                <w:spacing w:val="-2"/>
                <w:sz w:val="18"/>
              </w:rPr>
              <w:t> </w:t>
            </w:r>
            <w:r>
              <w:rPr>
                <w:spacing w:val="-4"/>
                <w:sz w:val="18"/>
              </w:rPr>
              <w:t>stat</w:t>
            </w:r>
          </w:p>
        </w:tc>
        <w:tc>
          <w:tcPr>
            <w:tcW w:w="1440" w:type="dxa"/>
          </w:tcPr>
          <w:p>
            <w:pPr>
              <w:pStyle w:val="TableParagraph"/>
              <w:spacing w:line="203" w:lineRule="exact"/>
              <w:ind w:right="118"/>
              <w:jc w:val="right"/>
              <w:rPr>
                <w:sz w:val="18"/>
              </w:rPr>
            </w:pPr>
            <w:r>
              <w:rPr>
                <w:spacing w:val="-2"/>
                <w:sz w:val="18"/>
              </w:rPr>
              <w:t>2.006594</w:t>
            </w:r>
          </w:p>
        </w:tc>
        <w:tc>
          <w:tcPr>
            <w:tcW w:w="1522" w:type="dxa"/>
            <w:tcBorders>
              <w:bottom w:val="double" w:sz="6" w:space="0" w:color="000000"/>
            </w:tcBorders>
          </w:tcPr>
          <w:p>
            <w:pPr>
              <w:pStyle w:val="TableParagraph"/>
              <w:spacing w:line="203" w:lineRule="exact"/>
              <w:ind w:left="119"/>
              <w:rPr>
                <w:sz w:val="18"/>
              </w:rPr>
            </w:pPr>
            <w:r>
              <w:rPr>
                <w:spacing w:val="-2"/>
                <w:sz w:val="18"/>
              </w:rPr>
              <w:t>Prob(F-statistic)</w:t>
            </w:r>
          </w:p>
        </w:tc>
        <w:tc>
          <w:tcPr>
            <w:tcW w:w="869" w:type="dxa"/>
            <w:tcBorders>
              <w:bottom w:val="single" w:sz="6" w:space="0" w:color="000000"/>
            </w:tcBorders>
          </w:tcPr>
          <w:p>
            <w:pPr>
              <w:pStyle w:val="TableParagraph"/>
              <w:rPr>
                <w:sz w:val="16"/>
              </w:rPr>
            </w:pPr>
          </w:p>
        </w:tc>
        <w:tc>
          <w:tcPr>
            <w:tcW w:w="888" w:type="dxa"/>
            <w:tcBorders>
              <w:bottom w:val="double" w:sz="6" w:space="0" w:color="000000"/>
            </w:tcBorders>
          </w:tcPr>
          <w:p>
            <w:pPr>
              <w:pStyle w:val="TableParagraph"/>
              <w:spacing w:line="203" w:lineRule="exact"/>
              <w:ind w:right="32"/>
              <w:jc w:val="right"/>
              <w:rPr>
                <w:sz w:val="18"/>
              </w:rPr>
            </w:pPr>
            <w:r>
              <w:rPr>
                <w:spacing w:val="-2"/>
                <w:sz w:val="18"/>
              </w:rPr>
              <w:t>0.008911</w:t>
            </w:r>
          </w:p>
        </w:tc>
      </w:tr>
    </w:tbl>
    <w:p>
      <w:pPr>
        <w:pStyle w:val="BodyText"/>
        <w:spacing w:before="15"/>
        <w:rPr>
          <w:sz w:val="18"/>
        </w:rPr>
      </w:pPr>
    </w:p>
    <w:p>
      <w:pPr>
        <w:spacing w:before="0"/>
        <w:ind w:left="711" w:right="0" w:firstLine="0"/>
        <w:jc w:val="left"/>
        <w:rPr>
          <w:sz w:val="18"/>
        </w:rPr>
      </w:pPr>
      <w:r>
        <w:rPr>
          <w:sz w:val="18"/>
        </w:rPr>
        <w:t>OVER</w:t>
      </w:r>
      <w:r>
        <w:rPr>
          <w:spacing w:val="-5"/>
          <w:sz w:val="18"/>
        </w:rPr>
        <w:t> </w:t>
      </w:r>
      <w:r>
        <w:rPr>
          <w:sz w:val="18"/>
        </w:rPr>
        <w:t>PARAMETIZED</w:t>
      </w:r>
      <w:r>
        <w:rPr>
          <w:spacing w:val="-2"/>
          <w:sz w:val="18"/>
        </w:rPr>
        <w:t> </w:t>
      </w:r>
      <w:r>
        <w:rPr>
          <w:spacing w:val="-5"/>
          <w:sz w:val="18"/>
        </w:rPr>
        <w:t>ECM</w:t>
      </w:r>
    </w:p>
    <w:tbl>
      <w:tblPr>
        <w:tblW w:w="0" w:type="auto"/>
        <w:jc w:val="left"/>
        <w:tblInd w:w="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22"/>
        <w:gridCol w:w="1191"/>
        <w:gridCol w:w="1532"/>
        <w:gridCol w:w="857"/>
        <w:gridCol w:w="887"/>
      </w:tblGrid>
      <w:tr>
        <w:trPr>
          <w:trHeight w:val="204" w:hRule="atLeast"/>
        </w:trPr>
        <w:tc>
          <w:tcPr>
            <w:tcW w:w="6489" w:type="dxa"/>
            <w:gridSpan w:val="5"/>
          </w:tcPr>
          <w:p>
            <w:pPr>
              <w:pStyle w:val="TableParagraph"/>
              <w:spacing w:line="184" w:lineRule="exact"/>
              <w:ind w:left="36"/>
              <w:rPr>
                <w:sz w:val="18"/>
              </w:rPr>
            </w:pPr>
            <w:r>
              <w:rPr>
                <w:sz w:val="18"/>
              </w:rPr>
              <w:t>Dependent</w:t>
            </w:r>
            <w:r>
              <w:rPr>
                <w:spacing w:val="-2"/>
                <w:sz w:val="18"/>
              </w:rPr>
              <w:t> </w:t>
            </w:r>
            <w:r>
              <w:rPr>
                <w:sz w:val="18"/>
              </w:rPr>
              <w:t>Variable:</w:t>
            </w:r>
            <w:r>
              <w:rPr>
                <w:spacing w:val="-1"/>
                <w:sz w:val="18"/>
              </w:rPr>
              <w:t> </w:t>
            </w:r>
            <w:r>
              <w:rPr>
                <w:spacing w:val="-2"/>
                <w:sz w:val="18"/>
              </w:rPr>
              <w:t>D(GDP,2)</w:t>
            </w:r>
          </w:p>
        </w:tc>
      </w:tr>
      <w:tr>
        <w:trPr>
          <w:trHeight w:val="207" w:hRule="atLeast"/>
        </w:trPr>
        <w:tc>
          <w:tcPr>
            <w:tcW w:w="2022" w:type="dxa"/>
          </w:tcPr>
          <w:p>
            <w:pPr>
              <w:pStyle w:val="TableParagraph"/>
              <w:spacing w:line="188" w:lineRule="exact"/>
              <w:ind w:left="36"/>
              <w:rPr>
                <w:sz w:val="18"/>
              </w:rPr>
            </w:pPr>
            <w:r>
              <w:rPr>
                <w:sz w:val="18"/>
              </w:rPr>
              <w:t>Method:</w:t>
            </w:r>
            <w:r>
              <w:rPr>
                <w:spacing w:val="-3"/>
                <w:sz w:val="18"/>
              </w:rPr>
              <w:t> </w:t>
            </w:r>
            <w:r>
              <w:rPr>
                <w:sz w:val="18"/>
              </w:rPr>
              <w:t>Least</w:t>
            </w:r>
            <w:r>
              <w:rPr>
                <w:spacing w:val="-2"/>
                <w:sz w:val="18"/>
              </w:rPr>
              <w:t> Squares</w:t>
            </w:r>
          </w:p>
        </w:tc>
        <w:tc>
          <w:tcPr>
            <w:tcW w:w="1191" w:type="dxa"/>
          </w:tcPr>
          <w:p>
            <w:pPr>
              <w:pStyle w:val="TableParagraph"/>
              <w:rPr>
                <w:sz w:val="14"/>
              </w:rPr>
            </w:pPr>
          </w:p>
        </w:tc>
        <w:tc>
          <w:tcPr>
            <w:tcW w:w="1532" w:type="dxa"/>
          </w:tcPr>
          <w:p>
            <w:pPr>
              <w:pStyle w:val="TableParagraph"/>
              <w:rPr>
                <w:sz w:val="14"/>
              </w:rPr>
            </w:pPr>
          </w:p>
        </w:tc>
        <w:tc>
          <w:tcPr>
            <w:tcW w:w="857" w:type="dxa"/>
          </w:tcPr>
          <w:p>
            <w:pPr>
              <w:pStyle w:val="TableParagraph"/>
              <w:rPr>
                <w:sz w:val="14"/>
              </w:rPr>
            </w:pPr>
          </w:p>
        </w:tc>
        <w:tc>
          <w:tcPr>
            <w:tcW w:w="887" w:type="dxa"/>
          </w:tcPr>
          <w:p>
            <w:pPr>
              <w:pStyle w:val="TableParagraph"/>
              <w:rPr>
                <w:sz w:val="14"/>
              </w:rPr>
            </w:pPr>
          </w:p>
        </w:tc>
      </w:tr>
      <w:tr>
        <w:trPr>
          <w:trHeight w:val="206" w:hRule="atLeast"/>
        </w:trPr>
        <w:tc>
          <w:tcPr>
            <w:tcW w:w="6489" w:type="dxa"/>
            <w:gridSpan w:val="5"/>
          </w:tcPr>
          <w:p>
            <w:pPr>
              <w:pStyle w:val="TableParagraph"/>
              <w:spacing w:line="187" w:lineRule="exact"/>
              <w:ind w:left="36"/>
              <w:rPr>
                <w:sz w:val="18"/>
              </w:rPr>
            </w:pPr>
            <w:r>
              <w:rPr>
                <w:sz w:val="18"/>
              </w:rPr>
              <w:t>Date:</w:t>
            </w:r>
            <w:r>
              <w:rPr>
                <w:spacing w:val="-2"/>
                <w:sz w:val="18"/>
              </w:rPr>
              <w:t> </w:t>
            </w:r>
            <w:r>
              <w:rPr>
                <w:sz w:val="18"/>
              </w:rPr>
              <w:t>02/17/14</w:t>
            </w:r>
            <w:r>
              <w:rPr>
                <w:spacing w:val="63"/>
                <w:w w:val="150"/>
                <w:sz w:val="18"/>
              </w:rPr>
              <w:t> </w:t>
            </w:r>
            <w:r>
              <w:rPr>
                <w:sz w:val="18"/>
              </w:rPr>
              <w:t>Time:</w:t>
            </w:r>
            <w:r>
              <w:rPr>
                <w:spacing w:val="-1"/>
                <w:sz w:val="18"/>
              </w:rPr>
              <w:t> </w:t>
            </w:r>
            <w:r>
              <w:rPr>
                <w:spacing w:val="-4"/>
                <w:sz w:val="18"/>
              </w:rPr>
              <w:t>22:14</w:t>
            </w:r>
          </w:p>
        </w:tc>
      </w:tr>
      <w:tr>
        <w:trPr>
          <w:trHeight w:val="206" w:hRule="atLeast"/>
        </w:trPr>
        <w:tc>
          <w:tcPr>
            <w:tcW w:w="6489" w:type="dxa"/>
            <w:gridSpan w:val="5"/>
          </w:tcPr>
          <w:p>
            <w:pPr>
              <w:pStyle w:val="TableParagraph"/>
              <w:spacing w:line="187" w:lineRule="exact"/>
              <w:ind w:left="36"/>
              <w:rPr>
                <w:sz w:val="18"/>
              </w:rPr>
            </w:pPr>
            <w:r>
              <w:rPr>
                <w:sz w:val="18"/>
              </w:rPr>
              <w:t>Sample(adjusted):</w:t>
            </w:r>
            <w:r>
              <w:rPr>
                <w:spacing w:val="-6"/>
                <w:sz w:val="18"/>
              </w:rPr>
              <w:t> </w:t>
            </w:r>
            <w:r>
              <w:rPr>
                <w:sz w:val="18"/>
              </w:rPr>
              <w:t>1990</w:t>
            </w:r>
            <w:r>
              <w:rPr>
                <w:spacing w:val="-2"/>
                <w:sz w:val="18"/>
              </w:rPr>
              <w:t> </w:t>
            </w:r>
            <w:r>
              <w:rPr>
                <w:spacing w:val="-4"/>
                <w:sz w:val="18"/>
              </w:rPr>
              <w:t>2011</w:t>
            </w:r>
          </w:p>
        </w:tc>
      </w:tr>
      <w:tr>
        <w:trPr>
          <w:trHeight w:val="203" w:hRule="atLeast"/>
        </w:trPr>
        <w:tc>
          <w:tcPr>
            <w:tcW w:w="6489" w:type="dxa"/>
            <w:gridSpan w:val="5"/>
            <w:tcBorders>
              <w:bottom w:val="double" w:sz="6" w:space="0" w:color="000000"/>
            </w:tcBorders>
          </w:tcPr>
          <w:p>
            <w:pPr>
              <w:pStyle w:val="TableParagraph"/>
              <w:spacing w:line="184" w:lineRule="exact"/>
              <w:ind w:left="36"/>
              <w:rPr>
                <w:sz w:val="18"/>
              </w:rPr>
            </w:pPr>
            <w:r>
              <w:rPr>
                <w:sz w:val="18"/>
              </w:rPr>
              <w:t>Included</w:t>
            </w:r>
            <w:r>
              <w:rPr>
                <w:spacing w:val="-1"/>
                <w:sz w:val="18"/>
              </w:rPr>
              <w:t> </w:t>
            </w:r>
            <w:r>
              <w:rPr>
                <w:sz w:val="18"/>
              </w:rPr>
              <w:t>observations:</w:t>
            </w:r>
            <w:r>
              <w:rPr>
                <w:spacing w:val="-3"/>
                <w:sz w:val="18"/>
              </w:rPr>
              <w:t> </w:t>
            </w:r>
            <w:r>
              <w:rPr>
                <w:sz w:val="18"/>
              </w:rPr>
              <w:t>22</w:t>
            </w:r>
            <w:r>
              <w:rPr>
                <w:spacing w:val="-1"/>
                <w:sz w:val="18"/>
              </w:rPr>
              <w:t> </w:t>
            </w:r>
            <w:r>
              <w:rPr>
                <w:sz w:val="18"/>
              </w:rPr>
              <w:t>after</w:t>
            </w:r>
            <w:r>
              <w:rPr>
                <w:spacing w:val="-1"/>
                <w:sz w:val="18"/>
              </w:rPr>
              <w:t> </w:t>
            </w:r>
            <w:r>
              <w:rPr>
                <w:sz w:val="18"/>
              </w:rPr>
              <w:t>adjusting</w:t>
            </w:r>
            <w:r>
              <w:rPr>
                <w:spacing w:val="-2"/>
                <w:sz w:val="18"/>
              </w:rPr>
              <w:t> endpoints</w:t>
            </w:r>
          </w:p>
        </w:tc>
      </w:tr>
      <w:tr>
        <w:trPr>
          <w:trHeight w:val="245" w:hRule="atLeast"/>
        </w:trPr>
        <w:tc>
          <w:tcPr>
            <w:tcW w:w="2022" w:type="dxa"/>
            <w:tcBorders>
              <w:top w:val="double" w:sz="6" w:space="0" w:color="000000"/>
              <w:bottom w:val="double" w:sz="6" w:space="0" w:color="000000"/>
            </w:tcBorders>
          </w:tcPr>
          <w:p>
            <w:pPr>
              <w:pStyle w:val="TableParagraph"/>
              <w:spacing w:line="186" w:lineRule="exact" w:before="40"/>
              <w:ind w:left="25"/>
              <w:jc w:val="center"/>
              <w:rPr>
                <w:sz w:val="18"/>
              </w:rPr>
            </w:pPr>
            <w:r>
              <w:rPr>
                <w:spacing w:val="-2"/>
                <w:sz w:val="18"/>
              </w:rPr>
              <w:t>Variable</w:t>
            </w:r>
          </w:p>
        </w:tc>
        <w:tc>
          <w:tcPr>
            <w:tcW w:w="1191" w:type="dxa"/>
            <w:tcBorders>
              <w:top w:val="double" w:sz="6" w:space="0" w:color="000000"/>
              <w:bottom w:val="double" w:sz="6" w:space="0" w:color="000000"/>
            </w:tcBorders>
          </w:tcPr>
          <w:p>
            <w:pPr>
              <w:pStyle w:val="TableParagraph"/>
              <w:spacing w:line="186" w:lineRule="exact" w:before="40"/>
              <w:ind w:right="120"/>
              <w:jc w:val="right"/>
              <w:rPr>
                <w:sz w:val="18"/>
              </w:rPr>
            </w:pPr>
            <w:r>
              <w:rPr>
                <w:spacing w:val="-2"/>
                <w:sz w:val="18"/>
              </w:rPr>
              <w:t>Coefficient</w:t>
            </w:r>
          </w:p>
        </w:tc>
        <w:tc>
          <w:tcPr>
            <w:tcW w:w="1532" w:type="dxa"/>
            <w:tcBorders>
              <w:top w:val="double" w:sz="6" w:space="0" w:color="000000"/>
              <w:bottom w:val="double" w:sz="6" w:space="0" w:color="000000"/>
            </w:tcBorders>
          </w:tcPr>
          <w:p>
            <w:pPr>
              <w:pStyle w:val="TableParagraph"/>
              <w:spacing w:line="186" w:lineRule="exact" w:before="40"/>
              <w:ind w:left="361"/>
              <w:rPr>
                <w:sz w:val="18"/>
              </w:rPr>
            </w:pPr>
            <w:r>
              <w:rPr>
                <w:sz w:val="18"/>
              </w:rPr>
              <w:t>Std.</w:t>
            </w:r>
            <w:r>
              <w:rPr>
                <w:spacing w:val="-1"/>
                <w:sz w:val="18"/>
              </w:rPr>
              <w:t> </w:t>
            </w:r>
            <w:r>
              <w:rPr>
                <w:spacing w:val="-4"/>
                <w:sz w:val="18"/>
              </w:rPr>
              <w:t>Error</w:t>
            </w:r>
          </w:p>
        </w:tc>
        <w:tc>
          <w:tcPr>
            <w:tcW w:w="857" w:type="dxa"/>
            <w:tcBorders>
              <w:top w:val="double" w:sz="6" w:space="0" w:color="000000"/>
              <w:bottom w:val="double" w:sz="6" w:space="0" w:color="000000"/>
            </w:tcBorders>
          </w:tcPr>
          <w:p>
            <w:pPr>
              <w:pStyle w:val="TableParagraph"/>
              <w:spacing w:line="186" w:lineRule="exact" w:before="40"/>
              <w:ind w:left="-3" w:right="119"/>
              <w:jc w:val="right"/>
              <w:rPr>
                <w:sz w:val="18"/>
              </w:rPr>
            </w:pPr>
            <w:r>
              <w:rPr>
                <w:sz w:val="18"/>
              </w:rPr>
              <w:t>t-</w:t>
            </w:r>
            <w:r>
              <w:rPr>
                <w:spacing w:val="-2"/>
                <w:sz w:val="18"/>
              </w:rPr>
              <w:t>Statistic</w:t>
            </w:r>
          </w:p>
        </w:tc>
        <w:tc>
          <w:tcPr>
            <w:tcW w:w="887" w:type="dxa"/>
            <w:tcBorders>
              <w:top w:val="double" w:sz="6" w:space="0" w:color="000000"/>
              <w:bottom w:val="double" w:sz="6" w:space="0" w:color="000000"/>
            </w:tcBorders>
          </w:tcPr>
          <w:p>
            <w:pPr>
              <w:pStyle w:val="TableParagraph"/>
              <w:spacing w:line="186" w:lineRule="exact" w:before="40"/>
              <w:ind w:right="30"/>
              <w:jc w:val="right"/>
              <w:rPr>
                <w:sz w:val="18"/>
              </w:rPr>
            </w:pPr>
            <w:r>
              <w:rPr>
                <w:spacing w:val="-2"/>
                <w:sz w:val="18"/>
              </w:rPr>
              <w:t>Prob.</w:t>
            </w:r>
          </w:p>
        </w:tc>
      </w:tr>
      <w:tr>
        <w:trPr>
          <w:trHeight w:val="252" w:hRule="atLeast"/>
        </w:trPr>
        <w:tc>
          <w:tcPr>
            <w:tcW w:w="2022" w:type="dxa"/>
            <w:tcBorders>
              <w:top w:val="double" w:sz="6" w:space="0" w:color="000000"/>
            </w:tcBorders>
          </w:tcPr>
          <w:p>
            <w:pPr>
              <w:pStyle w:val="TableParagraph"/>
              <w:spacing w:line="191" w:lineRule="exact" w:before="42"/>
              <w:ind w:left="514"/>
              <w:rPr>
                <w:sz w:val="18"/>
              </w:rPr>
            </w:pPr>
            <w:r>
              <w:rPr>
                <w:spacing w:val="-2"/>
                <w:sz w:val="18"/>
              </w:rPr>
              <w:t>D(GDP(-1),2)</w:t>
            </w:r>
          </w:p>
        </w:tc>
        <w:tc>
          <w:tcPr>
            <w:tcW w:w="1191" w:type="dxa"/>
            <w:tcBorders>
              <w:top w:val="double" w:sz="6" w:space="0" w:color="000000"/>
            </w:tcBorders>
          </w:tcPr>
          <w:p>
            <w:pPr>
              <w:pStyle w:val="TableParagraph"/>
              <w:spacing w:line="191" w:lineRule="exact" w:before="42"/>
              <w:ind w:right="118"/>
              <w:jc w:val="right"/>
              <w:rPr>
                <w:sz w:val="18"/>
              </w:rPr>
            </w:pPr>
            <w:r>
              <w:rPr>
                <w:sz w:val="18"/>
              </w:rPr>
              <w:t>-</w:t>
            </w:r>
            <w:r>
              <w:rPr>
                <w:spacing w:val="-2"/>
                <w:sz w:val="18"/>
              </w:rPr>
              <w:t>0.148490</w:t>
            </w:r>
          </w:p>
        </w:tc>
        <w:tc>
          <w:tcPr>
            <w:tcW w:w="1532" w:type="dxa"/>
            <w:tcBorders>
              <w:top w:val="double" w:sz="6" w:space="0" w:color="000000"/>
            </w:tcBorders>
          </w:tcPr>
          <w:p>
            <w:pPr>
              <w:pStyle w:val="TableParagraph"/>
              <w:spacing w:line="191" w:lineRule="exact" w:before="42"/>
              <w:ind w:left="397"/>
              <w:rPr>
                <w:sz w:val="18"/>
              </w:rPr>
            </w:pPr>
            <w:r>
              <w:rPr>
                <w:spacing w:val="-2"/>
                <w:sz w:val="18"/>
              </w:rPr>
              <w:t>0.348981</w:t>
            </w:r>
          </w:p>
        </w:tc>
        <w:tc>
          <w:tcPr>
            <w:tcW w:w="857" w:type="dxa"/>
            <w:tcBorders>
              <w:top w:val="double" w:sz="6" w:space="0" w:color="000000"/>
            </w:tcBorders>
          </w:tcPr>
          <w:p>
            <w:pPr>
              <w:pStyle w:val="TableParagraph"/>
              <w:spacing w:line="191" w:lineRule="exact" w:before="42"/>
              <w:ind w:left="-3" w:right="121"/>
              <w:jc w:val="right"/>
              <w:rPr>
                <w:sz w:val="18"/>
              </w:rPr>
            </w:pPr>
            <w:r>
              <w:rPr>
                <w:sz w:val="18"/>
              </w:rPr>
              <w:t>-</w:t>
            </w:r>
            <w:r>
              <w:rPr>
                <w:spacing w:val="-2"/>
                <w:sz w:val="18"/>
              </w:rPr>
              <w:t>0.425497</w:t>
            </w:r>
          </w:p>
        </w:tc>
        <w:tc>
          <w:tcPr>
            <w:tcW w:w="887" w:type="dxa"/>
            <w:tcBorders>
              <w:top w:val="double" w:sz="6" w:space="0" w:color="000000"/>
            </w:tcBorders>
          </w:tcPr>
          <w:p>
            <w:pPr>
              <w:pStyle w:val="TableParagraph"/>
              <w:spacing w:line="191" w:lineRule="exact" w:before="42"/>
              <w:ind w:right="30"/>
              <w:jc w:val="right"/>
              <w:rPr>
                <w:sz w:val="18"/>
              </w:rPr>
            </w:pPr>
            <w:r>
              <w:rPr>
                <w:spacing w:val="-2"/>
                <w:sz w:val="18"/>
              </w:rPr>
              <w:t>0.6787</w:t>
            </w:r>
          </w:p>
        </w:tc>
      </w:tr>
      <w:tr>
        <w:trPr>
          <w:trHeight w:val="206" w:hRule="atLeast"/>
        </w:trPr>
        <w:tc>
          <w:tcPr>
            <w:tcW w:w="2022" w:type="dxa"/>
          </w:tcPr>
          <w:p>
            <w:pPr>
              <w:pStyle w:val="TableParagraph"/>
              <w:spacing w:line="186" w:lineRule="exact"/>
              <w:ind w:left="420"/>
              <w:rPr>
                <w:sz w:val="18"/>
              </w:rPr>
            </w:pPr>
            <w:r>
              <w:rPr>
                <w:spacing w:val="-2"/>
                <w:sz w:val="18"/>
              </w:rPr>
              <w:t>D(EXTDEBT,2)</w:t>
            </w:r>
          </w:p>
        </w:tc>
        <w:tc>
          <w:tcPr>
            <w:tcW w:w="1191" w:type="dxa"/>
          </w:tcPr>
          <w:p>
            <w:pPr>
              <w:pStyle w:val="TableParagraph"/>
              <w:spacing w:line="186" w:lineRule="exact"/>
              <w:ind w:right="118"/>
              <w:jc w:val="right"/>
              <w:rPr>
                <w:sz w:val="18"/>
              </w:rPr>
            </w:pPr>
            <w:r>
              <w:rPr>
                <w:spacing w:val="-2"/>
                <w:sz w:val="18"/>
              </w:rPr>
              <w:t>0.032033</w:t>
            </w:r>
          </w:p>
        </w:tc>
        <w:tc>
          <w:tcPr>
            <w:tcW w:w="1532" w:type="dxa"/>
          </w:tcPr>
          <w:p>
            <w:pPr>
              <w:pStyle w:val="TableParagraph"/>
              <w:spacing w:line="186" w:lineRule="exact"/>
              <w:ind w:left="397"/>
              <w:rPr>
                <w:sz w:val="18"/>
              </w:rPr>
            </w:pPr>
            <w:r>
              <w:rPr>
                <w:spacing w:val="-2"/>
                <w:sz w:val="18"/>
              </w:rPr>
              <w:t>0.020830</w:t>
            </w:r>
          </w:p>
        </w:tc>
        <w:tc>
          <w:tcPr>
            <w:tcW w:w="857" w:type="dxa"/>
          </w:tcPr>
          <w:p>
            <w:pPr>
              <w:pStyle w:val="TableParagraph"/>
              <w:spacing w:line="186" w:lineRule="exact"/>
              <w:ind w:left="-3" w:right="121"/>
              <w:jc w:val="right"/>
              <w:rPr>
                <w:sz w:val="18"/>
              </w:rPr>
            </w:pPr>
            <w:r>
              <w:rPr>
                <w:spacing w:val="-2"/>
                <w:sz w:val="18"/>
              </w:rPr>
              <w:t>1.537838</w:t>
            </w:r>
          </w:p>
        </w:tc>
        <w:tc>
          <w:tcPr>
            <w:tcW w:w="887" w:type="dxa"/>
          </w:tcPr>
          <w:p>
            <w:pPr>
              <w:pStyle w:val="TableParagraph"/>
              <w:spacing w:line="186" w:lineRule="exact"/>
              <w:ind w:right="30"/>
              <w:jc w:val="right"/>
              <w:rPr>
                <w:sz w:val="18"/>
              </w:rPr>
            </w:pPr>
            <w:r>
              <w:rPr>
                <w:spacing w:val="-2"/>
                <w:sz w:val="18"/>
              </w:rPr>
              <w:t>0.1523</w:t>
            </w:r>
          </w:p>
        </w:tc>
      </w:tr>
      <w:tr>
        <w:trPr>
          <w:trHeight w:val="206" w:hRule="atLeast"/>
        </w:trPr>
        <w:tc>
          <w:tcPr>
            <w:tcW w:w="2022" w:type="dxa"/>
          </w:tcPr>
          <w:p>
            <w:pPr>
              <w:pStyle w:val="TableParagraph"/>
              <w:spacing w:line="186" w:lineRule="exact"/>
              <w:ind w:left="286"/>
              <w:rPr>
                <w:sz w:val="18"/>
              </w:rPr>
            </w:pPr>
            <w:r>
              <w:rPr>
                <w:spacing w:val="-2"/>
                <w:sz w:val="18"/>
              </w:rPr>
              <w:t>D(EXTDEBT(-</w:t>
            </w:r>
            <w:r>
              <w:rPr>
                <w:spacing w:val="-4"/>
                <w:sz w:val="18"/>
              </w:rPr>
              <w:t>1),2)</w:t>
            </w:r>
          </w:p>
        </w:tc>
        <w:tc>
          <w:tcPr>
            <w:tcW w:w="1191" w:type="dxa"/>
          </w:tcPr>
          <w:p>
            <w:pPr>
              <w:pStyle w:val="TableParagraph"/>
              <w:spacing w:line="186" w:lineRule="exact"/>
              <w:ind w:right="118"/>
              <w:jc w:val="right"/>
              <w:rPr>
                <w:sz w:val="18"/>
              </w:rPr>
            </w:pPr>
            <w:r>
              <w:rPr>
                <w:spacing w:val="-2"/>
                <w:sz w:val="18"/>
              </w:rPr>
              <w:t>0.003211</w:t>
            </w:r>
          </w:p>
        </w:tc>
        <w:tc>
          <w:tcPr>
            <w:tcW w:w="1532" w:type="dxa"/>
          </w:tcPr>
          <w:p>
            <w:pPr>
              <w:pStyle w:val="TableParagraph"/>
              <w:spacing w:line="186" w:lineRule="exact"/>
              <w:ind w:left="397"/>
              <w:rPr>
                <w:sz w:val="18"/>
              </w:rPr>
            </w:pPr>
            <w:r>
              <w:rPr>
                <w:spacing w:val="-2"/>
                <w:sz w:val="18"/>
              </w:rPr>
              <w:t>0.030288</w:t>
            </w:r>
          </w:p>
        </w:tc>
        <w:tc>
          <w:tcPr>
            <w:tcW w:w="857" w:type="dxa"/>
          </w:tcPr>
          <w:p>
            <w:pPr>
              <w:pStyle w:val="TableParagraph"/>
              <w:spacing w:line="186" w:lineRule="exact"/>
              <w:ind w:left="-3" w:right="121"/>
              <w:jc w:val="right"/>
              <w:rPr>
                <w:sz w:val="18"/>
              </w:rPr>
            </w:pPr>
            <w:r>
              <w:rPr>
                <w:spacing w:val="-2"/>
                <w:sz w:val="18"/>
              </w:rPr>
              <w:t>0.106002</w:t>
            </w:r>
          </w:p>
        </w:tc>
        <w:tc>
          <w:tcPr>
            <w:tcW w:w="887" w:type="dxa"/>
          </w:tcPr>
          <w:p>
            <w:pPr>
              <w:pStyle w:val="TableParagraph"/>
              <w:spacing w:line="186" w:lineRule="exact"/>
              <w:ind w:right="30"/>
              <w:jc w:val="right"/>
              <w:rPr>
                <w:sz w:val="18"/>
              </w:rPr>
            </w:pPr>
            <w:r>
              <w:rPr>
                <w:spacing w:val="-2"/>
                <w:sz w:val="18"/>
              </w:rPr>
              <w:t>0.9175</w:t>
            </w:r>
          </w:p>
        </w:tc>
      </w:tr>
      <w:tr>
        <w:trPr>
          <w:trHeight w:val="207" w:hRule="atLeast"/>
        </w:trPr>
        <w:tc>
          <w:tcPr>
            <w:tcW w:w="2022" w:type="dxa"/>
          </w:tcPr>
          <w:p>
            <w:pPr>
              <w:pStyle w:val="TableParagraph"/>
              <w:spacing w:line="188" w:lineRule="exact"/>
              <w:ind w:left="684"/>
              <w:rPr>
                <w:sz w:val="18"/>
              </w:rPr>
            </w:pPr>
            <w:r>
              <w:rPr>
                <w:spacing w:val="-2"/>
                <w:sz w:val="18"/>
              </w:rPr>
              <w:t>D(DFI,2)</w:t>
            </w:r>
          </w:p>
        </w:tc>
        <w:tc>
          <w:tcPr>
            <w:tcW w:w="1191" w:type="dxa"/>
          </w:tcPr>
          <w:p>
            <w:pPr>
              <w:pStyle w:val="TableParagraph"/>
              <w:spacing w:line="188" w:lineRule="exact"/>
              <w:ind w:right="118"/>
              <w:jc w:val="right"/>
              <w:rPr>
                <w:sz w:val="18"/>
              </w:rPr>
            </w:pPr>
            <w:r>
              <w:rPr>
                <w:spacing w:val="-2"/>
                <w:sz w:val="18"/>
              </w:rPr>
              <w:t>0.051163</w:t>
            </w:r>
          </w:p>
        </w:tc>
        <w:tc>
          <w:tcPr>
            <w:tcW w:w="1532" w:type="dxa"/>
          </w:tcPr>
          <w:p>
            <w:pPr>
              <w:pStyle w:val="TableParagraph"/>
              <w:spacing w:line="188" w:lineRule="exact"/>
              <w:ind w:left="397"/>
              <w:rPr>
                <w:sz w:val="18"/>
              </w:rPr>
            </w:pPr>
            <w:r>
              <w:rPr>
                <w:spacing w:val="-2"/>
                <w:sz w:val="18"/>
              </w:rPr>
              <w:t>0.074675</w:t>
            </w:r>
          </w:p>
        </w:tc>
        <w:tc>
          <w:tcPr>
            <w:tcW w:w="857" w:type="dxa"/>
          </w:tcPr>
          <w:p>
            <w:pPr>
              <w:pStyle w:val="TableParagraph"/>
              <w:spacing w:line="188" w:lineRule="exact"/>
              <w:ind w:left="-3" w:right="121"/>
              <w:jc w:val="right"/>
              <w:rPr>
                <w:sz w:val="18"/>
              </w:rPr>
            </w:pPr>
            <w:r>
              <w:rPr>
                <w:spacing w:val="-2"/>
                <w:sz w:val="18"/>
              </w:rPr>
              <w:t>0.685139</w:t>
            </w:r>
          </w:p>
        </w:tc>
        <w:tc>
          <w:tcPr>
            <w:tcW w:w="887" w:type="dxa"/>
          </w:tcPr>
          <w:p>
            <w:pPr>
              <w:pStyle w:val="TableParagraph"/>
              <w:spacing w:line="188" w:lineRule="exact"/>
              <w:ind w:right="30"/>
              <w:jc w:val="right"/>
              <w:rPr>
                <w:sz w:val="18"/>
              </w:rPr>
            </w:pPr>
            <w:r>
              <w:rPr>
                <w:spacing w:val="-2"/>
                <w:sz w:val="18"/>
              </w:rPr>
              <w:t>0.5074</w:t>
            </w:r>
          </w:p>
        </w:tc>
      </w:tr>
      <w:tr>
        <w:trPr>
          <w:trHeight w:val="207" w:hRule="atLeast"/>
        </w:trPr>
        <w:tc>
          <w:tcPr>
            <w:tcW w:w="2022" w:type="dxa"/>
          </w:tcPr>
          <w:p>
            <w:pPr>
              <w:pStyle w:val="TableParagraph"/>
              <w:spacing w:line="188" w:lineRule="exact"/>
              <w:ind w:left="550"/>
              <w:rPr>
                <w:sz w:val="18"/>
              </w:rPr>
            </w:pPr>
            <w:r>
              <w:rPr>
                <w:spacing w:val="-2"/>
                <w:sz w:val="18"/>
              </w:rPr>
              <w:t>D(DFI(-1),2)</w:t>
            </w:r>
          </w:p>
        </w:tc>
        <w:tc>
          <w:tcPr>
            <w:tcW w:w="1191" w:type="dxa"/>
          </w:tcPr>
          <w:p>
            <w:pPr>
              <w:pStyle w:val="TableParagraph"/>
              <w:spacing w:line="188" w:lineRule="exact"/>
              <w:ind w:right="118"/>
              <w:jc w:val="right"/>
              <w:rPr>
                <w:sz w:val="18"/>
              </w:rPr>
            </w:pPr>
            <w:r>
              <w:rPr>
                <w:sz w:val="18"/>
              </w:rPr>
              <w:t>-</w:t>
            </w:r>
            <w:r>
              <w:rPr>
                <w:spacing w:val="-2"/>
                <w:sz w:val="18"/>
              </w:rPr>
              <w:t>0.026236</w:t>
            </w:r>
          </w:p>
        </w:tc>
        <w:tc>
          <w:tcPr>
            <w:tcW w:w="1532" w:type="dxa"/>
          </w:tcPr>
          <w:p>
            <w:pPr>
              <w:pStyle w:val="TableParagraph"/>
              <w:spacing w:line="188" w:lineRule="exact"/>
              <w:ind w:left="397"/>
              <w:rPr>
                <w:sz w:val="18"/>
              </w:rPr>
            </w:pPr>
            <w:r>
              <w:rPr>
                <w:spacing w:val="-2"/>
                <w:sz w:val="18"/>
              </w:rPr>
              <w:t>0.085098</w:t>
            </w:r>
          </w:p>
        </w:tc>
        <w:tc>
          <w:tcPr>
            <w:tcW w:w="857" w:type="dxa"/>
          </w:tcPr>
          <w:p>
            <w:pPr>
              <w:pStyle w:val="TableParagraph"/>
              <w:spacing w:line="188" w:lineRule="exact"/>
              <w:ind w:left="-3" w:right="121"/>
              <w:jc w:val="right"/>
              <w:rPr>
                <w:sz w:val="18"/>
              </w:rPr>
            </w:pPr>
            <w:r>
              <w:rPr>
                <w:sz w:val="18"/>
              </w:rPr>
              <w:t>-</w:t>
            </w:r>
            <w:r>
              <w:rPr>
                <w:spacing w:val="-2"/>
                <w:sz w:val="18"/>
              </w:rPr>
              <w:t>0.308306</w:t>
            </w:r>
          </w:p>
        </w:tc>
        <w:tc>
          <w:tcPr>
            <w:tcW w:w="887" w:type="dxa"/>
          </w:tcPr>
          <w:p>
            <w:pPr>
              <w:pStyle w:val="TableParagraph"/>
              <w:spacing w:line="188" w:lineRule="exact"/>
              <w:ind w:right="30"/>
              <w:jc w:val="right"/>
              <w:rPr>
                <w:sz w:val="18"/>
              </w:rPr>
            </w:pPr>
            <w:r>
              <w:rPr>
                <w:spacing w:val="-2"/>
                <w:sz w:val="18"/>
              </w:rPr>
              <w:t>0.7636</w:t>
            </w:r>
          </w:p>
        </w:tc>
      </w:tr>
      <w:tr>
        <w:trPr>
          <w:trHeight w:val="206" w:hRule="atLeast"/>
        </w:trPr>
        <w:tc>
          <w:tcPr>
            <w:tcW w:w="2022" w:type="dxa"/>
          </w:tcPr>
          <w:p>
            <w:pPr>
              <w:pStyle w:val="TableParagraph"/>
              <w:spacing w:line="186" w:lineRule="exact"/>
              <w:ind w:left="643"/>
              <w:rPr>
                <w:sz w:val="18"/>
              </w:rPr>
            </w:pPr>
            <w:r>
              <w:rPr>
                <w:spacing w:val="-2"/>
                <w:sz w:val="18"/>
              </w:rPr>
              <w:t>D(CAB,2)</w:t>
            </w:r>
          </w:p>
        </w:tc>
        <w:tc>
          <w:tcPr>
            <w:tcW w:w="1191" w:type="dxa"/>
          </w:tcPr>
          <w:p>
            <w:pPr>
              <w:pStyle w:val="TableParagraph"/>
              <w:spacing w:line="186" w:lineRule="exact"/>
              <w:ind w:right="118"/>
              <w:jc w:val="right"/>
              <w:rPr>
                <w:sz w:val="18"/>
              </w:rPr>
            </w:pPr>
            <w:r>
              <w:rPr>
                <w:spacing w:val="-2"/>
                <w:sz w:val="18"/>
              </w:rPr>
              <w:t>0.069881</w:t>
            </w:r>
          </w:p>
        </w:tc>
        <w:tc>
          <w:tcPr>
            <w:tcW w:w="1532" w:type="dxa"/>
          </w:tcPr>
          <w:p>
            <w:pPr>
              <w:pStyle w:val="TableParagraph"/>
              <w:spacing w:line="186" w:lineRule="exact"/>
              <w:ind w:left="397"/>
              <w:rPr>
                <w:sz w:val="18"/>
              </w:rPr>
            </w:pPr>
            <w:r>
              <w:rPr>
                <w:spacing w:val="-2"/>
                <w:sz w:val="18"/>
              </w:rPr>
              <w:t>0.035004</w:t>
            </w:r>
          </w:p>
        </w:tc>
        <w:tc>
          <w:tcPr>
            <w:tcW w:w="857" w:type="dxa"/>
          </w:tcPr>
          <w:p>
            <w:pPr>
              <w:pStyle w:val="TableParagraph"/>
              <w:spacing w:line="186" w:lineRule="exact"/>
              <w:ind w:left="-3" w:right="121"/>
              <w:jc w:val="right"/>
              <w:rPr>
                <w:sz w:val="18"/>
              </w:rPr>
            </w:pPr>
            <w:r>
              <w:rPr>
                <w:spacing w:val="-2"/>
                <w:sz w:val="18"/>
              </w:rPr>
              <w:t>1.996351</w:t>
            </w:r>
          </w:p>
        </w:tc>
        <w:tc>
          <w:tcPr>
            <w:tcW w:w="887" w:type="dxa"/>
          </w:tcPr>
          <w:p>
            <w:pPr>
              <w:pStyle w:val="TableParagraph"/>
              <w:spacing w:line="186" w:lineRule="exact"/>
              <w:ind w:right="30"/>
              <w:jc w:val="right"/>
              <w:rPr>
                <w:sz w:val="18"/>
              </w:rPr>
            </w:pPr>
            <w:r>
              <w:rPr>
                <w:spacing w:val="-2"/>
                <w:sz w:val="18"/>
              </w:rPr>
              <w:t>0.0712</w:t>
            </w:r>
          </w:p>
        </w:tc>
      </w:tr>
      <w:tr>
        <w:trPr>
          <w:trHeight w:val="206" w:hRule="atLeast"/>
        </w:trPr>
        <w:tc>
          <w:tcPr>
            <w:tcW w:w="2022" w:type="dxa"/>
          </w:tcPr>
          <w:p>
            <w:pPr>
              <w:pStyle w:val="TableParagraph"/>
              <w:spacing w:line="186" w:lineRule="exact"/>
              <w:ind w:left="509"/>
              <w:rPr>
                <w:sz w:val="18"/>
              </w:rPr>
            </w:pPr>
            <w:r>
              <w:rPr>
                <w:spacing w:val="-2"/>
                <w:sz w:val="18"/>
              </w:rPr>
              <w:t>D(CAB(-1),2)</w:t>
            </w:r>
          </w:p>
        </w:tc>
        <w:tc>
          <w:tcPr>
            <w:tcW w:w="1191" w:type="dxa"/>
          </w:tcPr>
          <w:p>
            <w:pPr>
              <w:pStyle w:val="TableParagraph"/>
              <w:spacing w:line="186" w:lineRule="exact"/>
              <w:ind w:right="118"/>
              <w:jc w:val="right"/>
              <w:rPr>
                <w:sz w:val="18"/>
              </w:rPr>
            </w:pPr>
            <w:r>
              <w:rPr>
                <w:sz w:val="18"/>
              </w:rPr>
              <w:t>-</w:t>
            </w:r>
            <w:r>
              <w:rPr>
                <w:spacing w:val="-2"/>
                <w:sz w:val="18"/>
              </w:rPr>
              <w:t>0.008337</w:t>
            </w:r>
          </w:p>
        </w:tc>
        <w:tc>
          <w:tcPr>
            <w:tcW w:w="1532" w:type="dxa"/>
          </w:tcPr>
          <w:p>
            <w:pPr>
              <w:pStyle w:val="TableParagraph"/>
              <w:spacing w:line="186" w:lineRule="exact"/>
              <w:ind w:left="397"/>
              <w:rPr>
                <w:sz w:val="18"/>
              </w:rPr>
            </w:pPr>
            <w:r>
              <w:rPr>
                <w:spacing w:val="-2"/>
                <w:sz w:val="18"/>
              </w:rPr>
              <w:t>0.054543</w:t>
            </w:r>
          </w:p>
        </w:tc>
        <w:tc>
          <w:tcPr>
            <w:tcW w:w="857" w:type="dxa"/>
          </w:tcPr>
          <w:p>
            <w:pPr>
              <w:pStyle w:val="TableParagraph"/>
              <w:spacing w:line="186" w:lineRule="exact"/>
              <w:ind w:left="-3" w:right="121"/>
              <w:jc w:val="right"/>
              <w:rPr>
                <w:sz w:val="18"/>
              </w:rPr>
            </w:pPr>
            <w:r>
              <w:rPr>
                <w:sz w:val="18"/>
              </w:rPr>
              <w:t>-</w:t>
            </w:r>
            <w:r>
              <w:rPr>
                <w:spacing w:val="-2"/>
                <w:sz w:val="18"/>
              </w:rPr>
              <w:t>0.152852</w:t>
            </w:r>
          </w:p>
        </w:tc>
        <w:tc>
          <w:tcPr>
            <w:tcW w:w="887" w:type="dxa"/>
          </w:tcPr>
          <w:p>
            <w:pPr>
              <w:pStyle w:val="TableParagraph"/>
              <w:spacing w:line="186" w:lineRule="exact"/>
              <w:ind w:right="30"/>
              <w:jc w:val="right"/>
              <w:rPr>
                <w:sz w:val="18"/>
              </w:rPr>
            </w:pPr>
            <w:r>
              <w:rPr>
                <w:spacing w:val="-2"/>
                <w:sz w:val="18"/>
              </w:rPr>
              <w:t>0.8813</w:t>
            </w:r>
          </w:p>
        </w:tc>
      </w:tr>
      <w:tr>
        <w:trPr>
          <w:trHeight w:val="207" w:hRule="atLeast"/>
        </w:trPr>
        <w:tc>
          <w:tcPr>
            <w:tcW w:w="2022" w:type="dxa"/>
          </w:tcPr>
          <w:p>
            <w:pPr>
              <w:pStyle w:val="TableParagraph"/>
              <w:spacing w:line="188" w:lineRule="exact"/>
              <w:ind w:left="665"/>
              <w:rPr>
                <w:sz w:val="18"/>
              </w:rPr>
            </w:pPr>
            <w:r>
              <w:rPr>
                <w:spacing w:val="-2"/>
                <w:sz w:val="18"/>
              </w:rPr>
              <w:t>D(RES,2)</w:t>
            </w:r>
          </w:p>
        </w:tc>
        <w:tc>
          <w:tcPr>
            <w:tcW w:w="1191" w:type="dxa"/>
          </w:tcPr>
          <w:p>
            <w:pPr>
              <w:pStyle w:val="TableParagraph"/>
              <w:spacing w:line="188" w:lineRule="exact"/>
              <w:ind w:right="118"/>
              <w:jc w:val="right"/>
              <w:rPr>
                <w:sz w:val="18"/>
              </w:rPr>
            </w:pPr>
            <w:r>
              <w:rPr>
                <w:sz w:val="18"/>
              </w:rPr>
              <w:t>-</w:t>
            </w:r>
            <w:r>
              <w:rPr>
                <w:spacing w:val="-2"/>
                <w:sz w:val="18"/>
              </w:rPr>
              <w:t>0.006408</w:t>
            </w:r>
          </w:p>
        </w:tc>
        <w:tc>
          <w:tcPr>
            <w:tcW w:w="1532" w:type="dxa"/>
          </w:tcPr>
          <w:p>
            <w:pPr>
              <w:pStyle w:val="TableParagraph"/>
              <w:spacing w:line="188" w:lineRule="exact"/>
              <w:ind w:left="397"/>
              <w:rPr>
                <w:sz w:val="18"/>
              </w:rPr>
            </w:pPr>
            <w:r>
              <w:rPr>
                <w:spacing w:val="-2"/>
                <w:sz w:val="18"/>
              </w:rPr>
              <w:t>0.033366</w:t>
            </w:r>
          </w:p>
        </w:tc>
        <w:tc>
          <w:tcPr>
            <w:tcW w:w="857" w:type="dxa"/>
          </w:tcPr>
          <w:p>
            <w:pPr>
              <w:pStyle w:val="TableParagraph"/>
              <w:spacing w:line="188" w:lineRule="exact"/>
              <w:ind w:left="-3" w:right="121"/>
              <w:jc w:val="right"/>
              <w:rPr>
                <w:sz w:val="18"/>
              </w:rPr>
            </w:pPr>
            <w:r>
              <w:rPr>
                <w:sz w:val="18"/>
              </w:rPr>
              <w:t>-</w:t>
            </w:r>
            <w:r>
              <w:rPr>
                <w:spacing w:val="-2"/>
                <w:sz w:val="18"/>
              </w:rPr>
              <w:t>0.192049</w:t>
            </w:r>
          </w:p>
        </w:tc>
        <w:tc>
          <w:tcPr>
            <w:tcW w:w="887" w:type="dxa"/>
          </w:tcPr>
          <w:p>
            <w:pPr>
              <w:pStyle w:val="TableParagraph"/>
              <w:spacing w:line="188" w:lineRule="exact"/>
              <w:ind w:right="30"/>
              <w:jc w:val="right"/>
              <w:rPr>
                <w:sz w:val="18"/>
              </w:rPr>
            </w:pPr>
            <w:r>
              <w:rPr>
                <w:spacing w:val="-2"/>
                <w:sz w:val="18"/>
              </w:rPr>
              <w:t>0.8512</w:t>
            </w:r>
          </w:p>
        </w:tc>
      </w:tr>
      <w:tr>
        <w:trPr>
          <w:trHeight w:val="207" w:hRule="atLeast"/>
        </w:trPr>
        <w:tc>
          <w:tcPr>
            <w:tcW w:w="2022" w:type="dxa"/>
          </w:tcPr>
          <w:p>
            <w:pPr>
              <w:pStyle w:val="TableParagraph"/>
              <w:spacing w:line="188" w:lineRule="exact"/>
              <w:ind w:left="530"/>
              <w:rPr>
                <w:sz w:val="18"/>
              </w:rPr>
            </w:pPr>
            <w:r>
              <w:rPr>
                <w:sz w:val="18"/>
              </w:rPr>
              <w:t>D(RES(-</w:t>
            </w:r>
            <w:r>
              <w:rPr>
                <w:spacing w:val="-2"/>
                <w:sz w:val="18"/>
              </w:rPr>
              <w:t>1),2)</w:t>
            </w:r>
          </w:p>
        </w:tc>
        <w:tc>
          <w:tcPr>
            <w:tcW w:w="1191" w:type="dxa"/>
          </w:tcPr>
          <w:p>
            <w:pPr>
              <w:pStyle w:val="TableParagraph"/>
              <w:spacing w:line="188" w:lineRule="exact"/>
              <w:ind w:right="118"/>
              <w:jc w:val="right"/>
              <w:rPr>
                <w:sz w:val="18"/>
              </w:rPr>
            </w:pPr>
            <w:r>
              <w:rPr>
                <w:sz w:val="18"/>
              </w:rPr>
              <w:t>-</w:t>
            </w:r>
            <w:r>
              <w:rPr>
                <w:spacing w:val="-2"/>
                <w:sz w:val="18"/>
              </w:rPr>
              <w:t>0.035490</w:t>
            </w:r>
          </w:p>
        </w:tc>
        <w:tc>
          <w:tcPr>
            <w:tcW w:w="1532" w:type="dxa"/>
          </w:tcPr>
          <w:p>
            <w:pPr>
              <w:pStyle w:val="TableParagraph"/>
              <w:spacing w:line="188" w:lineRule="exact"/>
              <w:ind w:left="397"/>
              <w:rPr>
                <w:sz w:val="18"/>
              </w:rPr>
            </w:pPr>
            <w:r>
              <w:rPr>
                <w:spacing w:val="-2"/>
                <w:sz w:val="18"/>
              </w:rPr>
              <w:t>0.063994</w:t>
            </w:r>
          </w:p>
        </w:tc>
        <w:tc>
          <w:tcPr>
            <w:tcW w:w="857" w:type="dxa"/>
          </w:tcPr>
          <w:p>
            <w:pPr>
              <w:pStyle w:val="TableParagraph"/>
              <w:spacing w:line="188" w:lineRule="exact"/>
              <w:ind w:left="-3" w:right="121"/>
              <w:jc w:val="right"/>
              <w:rPr>
                <w:sz w:val="18"/>
              </w:rPr>
            </w:pPr>
            <w:r>
              <w:rPr>
                <w:sz w:val="18"/>
              </w:rPr>
              <w:t>-</w:t>
            </w:r>
            <w:r>
              <w:rPr>
                <w:spacing w:val="-2"/>
                <w:sz w:val="18"/>
              </w:rPr>
              <w:t>0.554580</w:t>
            </w:r>
          </w:p>
        </w:tc>
        <w:tc>
          <w:tcPr>
            <w:tcW w:w="887" w:type="dxa"/>
          </w:tcPr>
          <w:p>
            <w:pPr>
              <w:pStyle w:val="TableParagraph"/>
              <w:spacing w:line="188" w:lineRule="exact"/>
              <w:ind w:right="30"/>
              <w:jc w:val="right"/>
              <w:rPr>
                <w:sz w:val="18"/>
              </w:rPr>
            </w:pPr>
            <w:r>
              <w:rPr>
                <w:spacing w:val="-2"/>
                <w:sz w:val="18"/>
              </w:rPr>
              <w:t>0.5903</w:t>
            </w:r>
          </w:p>
        </w:tc>
      </w:tr>
      <w:tr>
        <w:trPr>
          <w:trHeight w:val="206" w:hRule="atLeast"/>
        </w:trPr>
        <w:tc>
          <w:tcPr>
            <w:tcW w:w="2022" w:type="dxa"/>
          </w:tcPr>
          <w:p>
            <w:pPr>
              <w:pStyle w:val="TableParagraph"/>
              <w:spacing w:line="186" w:lineRule="exact"/>
              <w:ind w:left="475"/>
              <w:rPr>
                <w:sz w:val="18"/>
              </w:rPr>
            </w:pPr>
            <w:r>
              <w:rPr>
                <w:spacing w:val="-2"/>
                <w:sz w:val="18"/>
              </w:rPr>
              <w:t>D(NEXTAS,2)</w:t>
            </w:r>
          </w:p>
        </w:tc>
        <w:tc>
          <w:tcPr>
            <w:tcW w:w="1191" w:type="dxa"/>
          </w:tcPr>
          <w:p>
            <w:pPr>
              <w:pStyle w:val="TableParagraph"/>
              <w:spacing w:line="186" w:lineRule="exact"/>
              <w:ind w:right="118"/>
              <w:jc w:val="right"/>
              <w:rPr>
                <w:sz w:val="18"/>
              </w:rPr>
            </w:pPr>
            <w:r>
              <w:rPr>
                <w:spacing w:val="-2"/>
                <w:sz w:val="18"/>
              </w:rPr>
              <w:t>0.006925</w:t>
            </w:r>
          </w:p>
        </w:tc>
        <w:tc>
          <w:tcPr>
            <w:tcW w:w="1532" w:type="dxa"/>
          </w:tcPr>
          <w:p>
            <w:pPr>
              <w:pStyle w:val="TableParagraph"/>
              <w:spacing w:line="186" w:lineRule="exact"/>
              <w:ind w:left="397"/>
              <w:rPr>
                <w:sz w:val="18"/>
              </w:rPr>
            </w:pPr>
            <w:r>
              <w:rPr>
                <w:spacing w:val="-2"/>
                <w:sz w:val="18"/>
              </w:rPr>
              <w:t>0.048297</w:t>
            </w:r>
          </w:p>
        </w:tc>
        <w:tc>
          <w:tcPr>
            <w:tcW w:w="857" w:type="dxa"/>
          </w:tcPr>
          <w:p>
            <w:pPr>
              <w:pStyle w:val="TableParagraph"/>
              <w:spacing w:line="186" w:lineRule="exact"/>
              <w:ind w:left="-3" w:right="121"/>
              <w:jc w:val="right"/>
              <w:rPr>
                <w:sz w:val="18"/>
              </w:rPr>
            </w:pPr>
            <w:r>
              <w:rPr>
                <w:spacing w:val="-2"/>
                <w:sz w:val="18"/>
              </w:rPr>
              <w:t>0.143374</w:t>
            </w:r>
          </w:p>
        </w:tc>
        <w:tc>
          <w:tcPr>
            <w:tcW w:w="887" w:type="dxa"/>
          </w:tcPr>
          <w:p>
            <w:pPr>
              <w:pStyle w:val="TableParagraph"/>
              <w:spacing w:line="186" w:lineRule="exact"/>
              <w:ind w:right="30"/>
              <w:jc w:val="right"/>
              <w:rPr>
                <w:sz w:val="18"/>
              </w:rPr>
            </w:pPr>
            <w:r>
              <w:rPr>
                <w:spacing w:val="-2"/>
                <w:sz w:val="18"/>
              </w:rPr>
              <w:t>0.8886</w:t>
            </w:r>
          </w:p>
        </w:tc>
      </w:tr>
      <w:tr>
        <w:trPr>
          <w:trHeight w:val="201" w:hRule="atLeast"/>
        </w:trPr>
        <w:tc>
          <w:tcPr>
            <w:tcW w:w="2022" w:type="dxa"/>
            <w:tcBorders>
              <w:bottom w:val="double" w:sz="6" w:space="0" w:color="000000"/>
            </w:tcBorders>
          </w:tcPr>
          <w:p>
            <w:pPr>
              <w:pStyle w:val="TableParagraph"/>
              <w:spacing w:line="181" w:lineRule="exact"/>
              <w:ind w:left="691"/>
              <w:rPr>
                <w:sz w:val="18"/>
              </w:rPr>
            </w:pPr>
            <w:r>
              <w:rPr>
                <w:sz w:val="18"/>
              </w:rPr>
              <w:t>ECM(-</w:t>
            </w:r>
            <w:r>
              <w:rPr>
                <w:spacing w:val="-5"/>
                <w:sz w:val="18"/>
              </w:rPr>
              <w:t>1)</w:t>
            </w:r>
          </w:p>
        </w:tc>
        <w:tc>
          <w:tcPr>
            <w:tcW w:w="1191" w:type="dxa"/>
            <w:tcBorders>
              <w:bottom w:val="double" w:sz="6" w:space="0" w:color="000000"/>
            </w:tcBorders>
          </w:tcPr>
          <w:p>
            <w:pPr>
              <w:pStyle w:val="TableParagraph"/>
              <w:spacing w:line="181" w:lineRule="exact"/>
              <w:ind w:right="118"/>
              <w:jc w:val="right"/>
              <w:rPr>
                <w:sz w:val="18"/>
              </w:rPr>
            </w:pPr>
            <w:r>
              <w:rPr>
                <w:sz w:val="18"/>
              </w:rPr>
              <w:t>-</w:t>
            </w:r>
            <w:r>
              <w:rPr>
                <w:spacing w:val="-2"/>
                <w:sz w:val="18"/>
              </w:rPr>
              <w:t>0.629546</w:t>
            </w:r>
          </w:p>
        </w:tc>
        <w:tc>
          <w:tcPr>
            <w:tcW w:w="1532" w:type="dxa"/>
            <w:tcBorders>
              <w:bottom w:val="double" w:sz="6" w:space="0" w:color="000000"/>
            </w:tcBorders>
          </w:tcPr>
          <w:p>
            <w:pPr>
              <w:pStyle w:val="TableParagraph"/>
              <w:spacing w:line="181" w:lineRule="exact"/>
              <w:ind w:left="397"/>
              <w:rPr>
                <w:sz w:val="18"/>
              </w:rPr>
            </w:pPr>
            <w:r>
              <w:rPr>
                <w:spacing w:val="-2"/>
                <w:sz w:val="18"/>
              </w:rPr>
              <w:t>0.165242</w:t>
            </w:r>
          </w:p>
        </w:tc>
        <w:tc>
          <w:tcPr>
            <w:tcW w:w="857" w:type="dxa"/>
            <w:tcBorders>
              <w:bottom w:val="double" w:sz="6" w:space="0" w:color="000000"/>
            </w:tcBorders>
          </w:tcPr>
          <w:p>
            <w:pPr>
              <w:pStyle w:val="TableParagraph"/>
              <w:spacing w:line="181" w:lineRule="exact"/>
              <w:ind w:left="-3" w:right="121"/>
              <w:jc w:val="right"/>
              <w:rPr>
                <w:sz w:val="18"/>
              </w:rPr>
            </w:pPr>
            <w:r>
              <w:rPr>
                <w:sz w:val="18"/>
              </w:rPr>
              <w:t>-</w:t>
            </w:r>
            <w:r>
              <w:rPr>
                <w:spacing w:val="-2"/>
                <w:sz w:val="18"/>
              </w:rPr>
              <w:t>4.173481</w:t>
            </w:r>
          </w:p>
        </w:tc>
        <w:tc>
          <w:tcPr>
            <w:tcW w:w="887" w:type="dxa"/>
            <w:tcBorders>
              <w:bottom w:val="double" w:sz="6" w:space="0" w:color="000000"/>
            </w:tcBorders>
          </w:tcPr>
          <w:p>
            <w:pPr>
              <w:pStyle w:val="TableParagraph"/>
              <w:spacing w:line="181" w:lineRule="exact"/>
              <w:ind w:right="30"/>
              <w:jc w:val="right"/>
              <w:rPr>
                <w:sz w:val="18"/>
              </w:rPr>
            </w:pPr>
            <w:r>
              <w:rPr>
                <w:spacing w:val="-2"/>
                <w:sz w:val="18"/>
              </w:rPr>
              <w:t>0.0006</w:t>
            </w:r>
          </w:p>
        </w:tc>
      </w:tr>
      <w:tr>
        <w:trPr>
          <w:trHeight w:val="252" w:hRule="atLeast"/>
        </w:trPr>
        <w:tc>
          <w:tcPr>
            <w:tcW w:w="2022" w:type="dxa"/>
            <w:tcBorders>
              <w:top w:val="double" w:sz="6" w:space="0" w:color="000000"/>
            </w:tcBorders>
          </w:tcPr>
          <w:p>
            <w:pPr>
              <w:pStyle w:val="TableParagraph"/>
              <w:spacing w:line="191" w:lineRule="exact" w:before="42"/>
              <w:ind w:left="36"/>
              <w:rPr>
                <w:sz w:val="18"/>
              </w:rPr>
            </w:pPr>
            <w:r>
              <w:rPr>
                <w:spacing w:val="-2"/>
                <w:sz w:val="18"/>
              </w:rPr>
              <w:t>R-squared</w:t>
            </w:r>
          </w:p>
        </w:tc>
        <w:tc>
          <w:tcPr>
            <w:tcW w:w="1191" w:type="dxa"/>
            <w:tcBorders>
              <w:top w:val="double" w:sz="6" w:space="0" w:color="000000"/>
            </w:tcBorders>
          </w:tcPr>
          <w:p>
            <w:pPr>
              <w:pStyle w:val="TableParagraph"/>
              <w:spacing w:line="191" w:lineRule="exact" w:before="42"/>
              <w:ind w:right="118"/>
              <w:jc w:val="right"/>
              <w:rPr>
                <w:sz w:val="18"/>
              </w:rPr>
            </w:pPr>
            <w:r>
              <w:rPr>
                <w:spacing w:val="-2"/>
                <w:sz w:val="18"/>
              </w:rPr>
              <w:t>0.704073</w:t>
            </w:r>
          </w:p>
        </w:tc>
        <w:tc>
          <w:tcPr>
            <w:tcW w:w="2389" w:type="dxa"/>
            <w:gridSpan w:val="2"/>
            <w:tcBorders>
              <w:top w:val="double" w:sz="6" w:space="0" w:color="000000"/>
            </w:tcBorders>
          </w:tcPr>
          <w:p>
            <w:pPr>
              <w:pStyle w:val="TableParagraph"/>
              <w:spacing w:line="191" w:lineRule="exact" w:before="42"/>
              <w:ind w:left="121"/>
              <w:rPr>
                <w:sz w:val="18"/>
              </w:rPr>
            </w:pPr>
            <w:r>
              <w:rPr>
                <w:sz w:val="18"/>
              </w:rPr>
              <w:t>Mean</w:t>
            </w:r>
            <w:r>
              <w:rPr>
                <w:spacing w:val="-5"/>
                <w:sz w:val="18"/>
              </w:rPr>
              <w:t> </w:t>
            </w:r>
            <w:r>
              <w:rPr>
                <w:sz w:val="18"/>
              </w:rPr>
              <w:t>dependent</w:t>
            </w:r>
            <w:r>
              <w:rPr>
                <w:spacing w:val="-1"/>
                <w:sz w:val="18"/>
              </w:rPr>
              <w:t> </w:t>
            </w:r>
            <w:r>
              <w:rPr>
                <w:spacing w:val="-5"/>
                <w:sz w:val="18"/>
              </w:rPr>
              <w:t>var</w:t>
            </w:r>
          </w:p>
        </w:tc>
        <w:tc>
          <w:tcPr>
            <w:tcW w:w="887" w:type="dxa"/>
            <w:tcBorders>
              <w:top w:val="double" w:sz="6" w:space="0" w:color="000000"/>
            </w:tcBorders>
          </w:tcPr>
          <w:p>
            <w:pPr>
              <w:pStyle w:val="TableParagraph"/>
              <w:spacing w:line="191" w:lineRule="exact" w:before="42"/>
              <w:ind w:right="29"/>
              <w:jc w:val="right"/>
              <w:rPr>
                <w:sz w:val="18"/>
              </w:rPr>
            </w:pPr>
            <w:r>
              <w:rPr>
                <w:sz w:val="18"/>
              </w:rPr>
              <w:t>-</w:t>
            </w:r>
            <w:r>
              <w:rPr>
                <w:spacing w:val="-2"/>
                <w:sz w:val="18"/>
              </w:rPr>
              <w:t>0.015649</w:t>
            </w:r>
          </w:p>
        </w:tc>
      </w:tr>
      <w:tr>
        <w:trPr>
          <w:trHeight w:val="206" w:hRule="atLeast"/>
        </w:trPr>
        <w:tc>
          <w:tcPr>
            <w:tcW w:w="2022" w:type="dxa"/>
          </w:tcPr>
          <w:p>
            <w:pPr>
              <w:pStyle w:val="TableParagraph"/>
              <w:spacing w:line="187" w:lineRule="exact"/>
              <w:ind w:left="36"/>
              <w:rPr>
                <w:sz w:val="18"/>
              </w:rPr>
            </w:pPr>
            <w:r>
              <w:rPr>
                <w:sz w:val="18"/>
              </w:rPr>
              <w:t>Adjusted</w:t>
            </w:r>
            <w:r>
              <w:rPr>
                <w:spacing w:val="-1"/>
                <w:sz w:val="18"/>
              </w:rPr>
              <w:t> </w:t>
            </w:r>
            <w:r>
              <w:rPr>
                <w:sz w:val="18"/>
              </w:rPr>
              <w:t>R-</w:t>
            </w:r>
            <w:r>
              <w:rPr>
                <w:spacing w:val="-2"/>
                <w:sz w:val="18"/>
              </w:rPr>
              <w:t>squared</w:t>
            </w:r>
          </w:p>
        </w:tc>
        <w:tc>
          <w:tcPr>
            <w:tcW w:w="1191" w:type="dxa"/>
          </w:tcPr>
          <w:p>
            <w:pPr>
              <w:pStyle w:val="TableParagraph"/>
              <w:spacing w:line="187" w:lineRule="exact"/>
              <w:ind w:right="118"/>
              <w:jc w:val="right"/>
              <w:rPr>
                <w:sz w:val="18"/>
              </w:rPr>
            </w:pPr>
            <w:r>
              <w:rPr>
                <w:spacing w:val="-2"/>
                <w:sz w:val="18"/>
              </w:rPr>
              <w:t>0.435048</w:t>
            </w:r>
          </w:p>
        </w:tc>
        <w:tc>
          <w:tcPr>
            <w:tcW w:w="1532" w:type="dxa"/>
          </w:tcPr>
          <w:p>
            <w:pPr>
              <w:pStyle w:val="TableParagraph"/>
              <w:spacing w:line="187" w:lineRule="exact"/>
              <w:ind w:left="121"/>
              <w:rPr>
                <w:sz w:val="18"/>
              </w:rPr>
            </w:pPr>
            <w:r>
              <w:rPr>
                <w:sz w:val="18"/>
              </w:rPr>
              <w:t>S.D.</w:t>
            </w:r>
            <w:r>
              <w:rPr>
                <w:spacing w:val="-5"/>
                <w:sz w:val="18"/>
              </w:rPr>
              <w:t> </w:t>
            </w:r>
            <w:r>
              <w:rPr>
                <w:sz w:val="18"/>
              </w:rPr>
              <w:t>dependent</w:t>
            </w:r>
            <w:r>
              <w:rPr>
                <w:spacing w:val="-3"/>
                <w:sz w:val="18"/>
              </w:rPr>
              <w:t> </w:t>
            </w:r>
            <w:r>
              <w:rPr>
                <w:spacing w:val="-5"/>
                <w:sz w:val="18"/>
              </w:rPr>
              <w:t>var</w:t>
            </w:r>
          </w:p>
        </w:tc>
        <w:tc>
          <w:tcPr>
            <w:tcW w:w="857" w:type="dxa"/>
          </w:tcPr>
          <w:p>
            <w:pPr>
              <w:pStyle w:val="TableParagraph"/>
              <w:rPr>
                <w:sz w:val="14"/>
              </w:rPr>
            </w:pPr>
          </w:p>
        </w:tc>
        <w:tc>
          <w:tcPr>
            <w:tcW w:w="887" w:type="dxa"/>
          </w:tcPr>
          <w:p>
            <w:pPr>
              <w:pStyle w:val="TableParagraph"/>
              <w:spacing w:line="187" w:lineRule="exact"/>
              <w:ind w:right="29"/>
              <w:jc w:val="right"/>
              <w:rPr>
                <w:sz w:val="18"/>
              </w:rPr>
            </w:pPr>
            <w:r>
              <w:rPr>
                <w:spacing w:val="-2"/>
                <w:sz w:val="18"/>
              </w:rPr>
              <w:t>0.251045</w:t>
            </w:r>
          </w:p>
        </w:tc>
      </w:tr>
      <w:tr>
        <w:trPr>
          <w:trHeight w:val="206" w:hRule="atLeast"/>
        </w:trPr>
        <w:tc>
          <w:tcPr>
            <w:tcW w:w="2022" w:type="dxa"/>
          </w:tcPr>
          <w:p>
            <w:pPr>
              <w:pStyle w:val="TableParagraph"/>
              <w:spacing w:line="187" w:lineRule="exact"/>
              <w:ind w:left="36"/>
              <w:rPr>
                <w:sz w:val="18"/>
              </w:rPr>
            </w:pPr>
            <w:r>
              <w:rPr>
                <w:sz w:val="18"/>
              </w:rPr>
              <w:t>S.E.</w:t>
            </w:r>
            <w:r>
              <w:rPr>
                <w:spacing w:val="-3"/>
                <w:sz w:val="18"/>
              </w:rPr>
              <w:t> </w:t>
            </w:r>
            <w:r>
              <w:rPr>
                <w:sz w:val="18"/>
              </w:rPr>
              <w:t>of</w:t>
            </w:r>
            <w:r>
              <w:rPr>
                <w:spacing w:val="-1"/>
                <w:sz w:val="18"/>
              </w:rPr>
              <w:t> </w:t>
            </w:r>
            <w:r>
              <w:rPr>
                <w:spacing w:val="-2"/>
                <w:sz w:val="18"/>
              </w:rPr>
              <w:t>regression</w:t>
            </w:r>
          </w:p>
        </w:tc>
        <w:tc>
          <w:tcPr>
            <w:tcW w:w="1191" w:type="dxa"/>
          </w:tcPr>
          <w:p>
            <w:pPr>
              <w:pStyle w:val="TableParagraph"/>
              <w:spacing w:line="187" w:lineRule="exact"/>
              <w:ind w:right="118"/>
              <w:jc w:val="right"/>
              <w:rPr>
                <w:sz w:val="18"/>
              </w:rPr>
            </w:pPr>
            <w:r>
              <w:rPr>
                <w:spacing w:val="-2"/>
                <w:sz w:val="18"/>
              </w:rPr>
              <w:t>0.188693</w:t>
            </w:r>
          </w:p>
        </w:tc>
        <w:tc>
          <w:tcPr>
            <w:tcW w:w="2389" w:type="dxa"/>
            <w:gridSpan w:val="2"/>
          </w:tcPr>
          <w:p>
            <w:pPr>
              <w:pStyle w:val="TableParagraph"/>
              <w:spacing w:line="187" w:lineRule="exact"/>
              <w:ind w:left="121"/>
              <w:rPr>
                <w:sz w:val="18"/>
              </w:rPr>
            </w:pPr>
            <w:r>
              <w:rPr>
                <w:sz w:val="18"/>
              </w:rPr>
              <w:t>Akaike</w:t>
            </w:r>
            <w:r>
              <w:rPr>
                <w:spacing w:val="-5"/>
                <w:sz w:val="18"/>
              </w:rPr>
              <w:t> </w:t>
            </w:r>
            <w:r>
              <w:rPr>
                <w:sz w:val="18"/>
              </w:rPr>
              <w:t>info</w:t>
            </w:r>
            <w:r>
              <w:rPr>
                <w:spacing w:val="-2"/>
                <w:sz w:val="18"/>
              </w:rPr>
              <w:t> criterion</w:t>
            </w:r>
          </w:p>
        </w:tc>
        <w:tc>
          <w:tcPr>
            <w:tcW w:w="887" w:type="dxa"/>
          </w:tcPr>
          <w:p>
            <w:pPr>
              <w:pStyle w:val="TableParagraph"/>
              <w:spacing w:line="187" w:lineRule="exact"/>
              <w:ind w:right="29"/>
              <w:jc w:val="right"/>
              <w:rPr>
                <w:sz w:val="18"/>
              </w:rPr>
            </w:pPr>
            <w:r>
              <w:rPr>
                <w:sz w:val="18"/>
              </w:rPr>
              <w:t>-</w:t>
            </w:r>
            <w:r>
              <w:rPr>
                <w:spacing w:val="-2"/>
                <w:sz w:val="18"/>
              </w:rPr>
              <w:t>0.190533</w:t>
            </w:r>
          </w:p>
        </w:tc>
      </w:tr>
      <w:tr>
        <w:trPr>
          <w:trHeight w:val="207" w:hRule="atLeast"/>
        </w:trPr>
        <w:tc>
          <w:tcPr>
            <w:tcW w:w="2022" w:type="dxa"/>
          </w:tcPr>
          <w:p>
            <w:pPr>
              <w:pStyle w:val="TableParagraph"/>
              <w:spacing w:line="188" w:lineRule="exact"/>
              <w:ind w:left="36"/>
              <w:rPr>
                <w:sz w:val="18"/>
              </w:rPr>
            </w:pPr>
            <w:r>
              <w:rPr>
                <w:sz w:val="18"/>
              </w:rPr>
              <w:t>Sum</w:t>
            </w:r>
            <w:r>
              <w:rPr>
                <w:spacing w:val="-3"/>
                <w:sz w:val="18"/>
              </w:rPr>
              <w:t> </w:t>
            </w:r>
            <w:r>
              <w:rPr>
                <w:sz w:val="18"/>
              </w:rPr>
              <w:t>squared</w:t>
            </w:r>
            <w:r>
              <w:rPr>
                <w:spacing w:val="1"/>
                <w:sz w:val="18"/>
              </w:rPr>
              <w:t> </w:t>
            </w:r>
            <w:r>
              <w:rPr>
                <w:spacing w:val="-2"/>
                <w:sz w:val="18"/>
              </w:rPr>
              <w:t>resid</w:t>
            </w:r>
          </w:p>
        </w:tc>
        <w:tc>
          <w:tcPr>
            <w:tcW w:w="1191" w:type="dxa"/>
          </w:tcPr>
          <w:p>
            <w:pPr>
              <w:pStyle w:val="TableParagraph"/>
              <w:spacing w:line="188" w:lineRule="exact"/>
              <w:ind w:right="118"/>
              <w:jc w:val="right"/>
              <w:rPr>
                <w:sz w:val="18"/>
              </w:rPr>
            </w:pPr>
            <w:r>
              <w:rPr>
                <w:spacing w:val="-2"/>
                <w:sz w:val="18"/>
              </w:rPr>
              <w:t>0.391657</w:t>
            </w:r>
          </w:p>
        </w:tc>
        <w:tc>
          <w:tcPr>
            <w:tcW w:w="1532" w:type="dxa"/>
          </w:tcPr>
          <w:p>
            <w:pPr>
              <w:pStyle w:val="TableParagraph"/>
              <w:spacing w:line="188" w:lineRule="exact"/>
              <w:ind w:left="121"/>
              <w:rPr>
                <w:sz w:val="18"/>
              </w:rPr>
            </w:pPr>
            <w:r>
              <w:rPr>
                <w:sz w:val="18"/>
              </w:rPr>
              <w:t>Schwarz</w:t>
            </w:r>
            <w:r>
              <w:rPr>
                <w:spacing w:val="-7"/>
                <w:sz w:val="18"/>
              </w:rPr>
              <w:t> </w:t>
            </w:r>
            <w:r>
              <w:rPr>
                <w:spacing w:val="-2"/>
                <w:sz w:val="18"/>
              </w:rPr>
              <w:t>criterion</w:t>
            </w:r>
          </w:p>
        </w:tc>
        <w:tc>
          <w:tcPr>
            <w:tcW w:w="857" w:type="dxa"/>
          </w:tcPr>
          <w:p>
            <w:pPr>
              <w:pStyle w:val="TableParagraph"/>
              <w:rPr>
                <w:sz w:val="14"/>
              </w:rPr>
            </w:pPr>
          </w:p>
        </w:tc>
        <w:tc>
          <w:tcPr>
            <w:tcW w:w="887" w:type="dxa"/>
          </w:tcPr>
          <w:p>
            <w:pPr>
              <w:pStyle w:val="TableParagraph"/>
              <w:spacing w:line="188" w:lineRule="exact"/>
              <w:ind w:right="29"/>
              <w:jc w:val="right"/>
              <w:rPr>
                <w:sz w:val="18"/>
              </w:rPr>
            </w:pPr>
            <w:r>
              <w:rPr>
                <w:spacing w:val="-2"/>
                <w:sz w:val="18"/>
              </w:rPr>
              <w:t>0.354988</w:t>
            </w:r>
          </w:p>
        </w:tc>
      </w:tr>
      <w:tr>
        <w:trPr>
          <w:trHeight w:val="243" w:hRule="atLeast"/>
        </w:trPr>
        <w:tc>
          <w:tcPr>
            <w:tcW w:w="2022" w:type="dxa"/>
            <w:tcBorders>
              <w:bottom w:val="double" w:sz="6" w:space="0" w:color="000000"/>
            </w:tcBorders>
          </w:tcPr>
          <w:p>
            <w:pPr>
              <w:pStyle w:val="TableParagraph"/>
              <w:spacing w:line="204" w:lineRule="exact"/>
              <w:ind w:left="36"/>
              <w:rPr>
                <w:sz w:val="18"/>
              </w:rPr>
            </w:pPr>
            <w:r>
              <w:rPr>
                <w:sz w:val="18"/>
              </w:rPr>
              <w:t>Log</w:t>
            </w:r>
            <w:r>
              <w:rPr>
                <w:spacing w:val="-2"/>
                <w:sz w:val="18"/>
              </w:rPr>
              <w:t> likelihood</w:t>
            </w:r>
          </w:p>
        </w:tc>
        <w:tc>
          <w:tcPr>
            <w:tcW w:w="1191" w:type="dxa"/>
            <w:tcBorders>
              <w:bottom w:val="single" w:sz="6" w:space="0" w:color="000000"/>
            </w:tcBorders>
          </w:tcPr>
          <w:p>
            <w:pPr>
              <w:pStyle w:val="TableParagraph"/>
              <w:spacing w:line="204" w:lineRule="exact"/>
              <w:ind w:right="118"/>
              <w:jc w:val="right"/>
              <w:rPr>
                <w:sz w:val="18"/>
              </w:rPr>
            </w:pPr>
            <w:r>
              <w:rPr>
                <w:spacing w:val="-2"/>
                <w:sz w:val="18"/>
              </w:rPr>
              <w:t>13.09586</w:t>
            </w:r>
          </w:p>
        </w:tc>
        <w:tc>
          <w:tcPr>
            <w:tcW w:w="1532" w:type="dxa"/>
            <w:tcBorders>
              <w:bottom w:val="double" w:sz="6" w:space="0" w:color="000000"/>
            </w:tcBorders>
          </w:tcPr>
          <w:p>
            <w:pPr>
              <w:pStyle w:val="TableParagraph"/>
              <w:spacing w:line="204" w:lineRule="exact"/>
              <w:ind w:left="121" w:right="-15"/>
              <w:rPr>
                <w:sz w:val="18"/>
              </w:rPr>
            </w:pPr>
            <w:r>
              <w:rPr>
                <w:sz w:val="18"/>
              </w:rPr>
              <w:t>Durbin-Watson</w:t>
            </w:r>
            <w:r>
              <w:rPr>
                <w:spacing w:val="-5"/>
                <w:sz w:val="18"/>
              </w:rPr>
              <w:t> </w:t>
            </w:r>
            <w:r>
              <w:rPr>
                <w:spacing w:val="-4"/>
                <w:sz w:val="18"/>
              </w:rPr>
              <w:t>stat</w:t>
            </w:r>
          </w:p>
        </w:tc>
        <w:tc>
          <w:tcPr>
            <w:tcW w:w="857" w:type="dxa"/>
            <w:tcBorders>
              <w:bottom w:val="single" w:sz="6" w:space="0" w:color="000000"/>
            </w:tcBorders>
          </w:tcPr>
          <w:p>
            <w:pPr>
              <w:pStyle w:val="TableParagraph"/>
              <w:rPr>
                <w:sz w:val="16"/>
              </w:rPr>
            </w:pPr>
          </w:p>
        </w:tc>
        <w:tc>
          <w:tcPr>
            <w:tcW w:w="887" w:type="dxa"/>
            <w:tcBorders>
              <w:bottom w:val="double" w:sz="6" w:space="0" w:color="000000"/>
            </w:tcBorders>
          </w:tcPr>
          <w:p>
            <w:pPr>
              <w:pStyle w:val="TableParagraph"/>
              <w:spacing w:line="204" w:lineRule="exact"/>
              <w:ind w:right="29"/>
              <w:jc w:val="right"/>
              <w:rPr>
                <w:sz w:val="18"/>
              </w:rPr>
            </w:pPr>
            <w:r>
              <w:rPr>
                <w:spacing w:val="-2"/>
                <w:sz w:val="18"/>
              </w:rPr>
              <w:t>1.872506</w:t>
            </w:r>
          </w:p>
        </w:tc>
      </w:tr>
    </w:tbl>
    <w:p>
      <w:pPr>
        <w:spacing w:after="0" w:line="204" w:lineRule="exact"/>
        <w:jc w:val="right"/>
        <w:rPr>
          <w:sz w:val="18"/>
        </w:rPr>
        <w:sectPr>
          <w:pgSz w:w="11910" w:h="16840"/>
          <w:pgMar w:header="0" w:footer="982" w:top="1920" w:bottom="1240" w:left="280" w:right="0"/>
        </w:sectPr>
      </w:pPr>
    </w:p>
    <w:p>
      <w:pPr>
        <w:spacing w:before="74" w:after="3"/>
        <w:ind w:left="711" w:right="0" w:firstLine="0"/>
        <w:jc w:val="left"/>
        <w:rPr>
          <w:sz w:val="18"/>
        </w:rPr>
      </w:pPr>
      <w:r>
        <w:rPr>
          <w:sz w:val="18"/>
        </w:rPr>
        <w:t>PASSIMONIOUS</w:t>
      </w:r>
      <w:r>
        <w:rPr>
          <w:spacing w:val="-3"/>
          <w:sz w:val="18"/>
        </w:rPr>
        <w:t> </w:t>
      </w:r>
      <w:r>
        <w:rPr>
          <w:spacing w:val="-5"/>
          <w:sz w:val="18"/>
        </w:rPr>
        <w:t>ECM</w:t>
      </w:r>
    </w:p>
    <w:tbl>
      <w:tblPr>
        <w:tblW w:w="0" w:type="auto"/>
        <w:jc w:val="left"/>
        <w:tblInd w:w="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54"/>
        <w:gridCol w:w="1260"/>
        <w:gridCol w:w="1532"/>
        <w:gridCol w:w="857"/>
        <w:gridCol w:w="887"/>
      </w:tblGrid>
      <w:tr>
        <w:trPr>
          <w:trHeight w:val="202" w:hRule="atLeast"/>
        </w:trPr>
        <w:tc>
          <w:tcPr>
            <w:tcW w:w="6490" w:type="dxa"/>
            <w:gridSpan w:val="5"/>
          </w:tcPr>
          <w:p>
            <w:pPr>
              <w:pStyle w:val="TableParagraph"/>
              <w:spacing w:line="183" w:lineRule="exact"/>
              <w:ind w:left="36"/>
              <w:rPr>
                <w:sz w:val="18"/>
              </w:rPr>
            </w:pPr>
            <w:r>
              <w:rPr>
                <w:sz w:val="18"/>
              </w:rPr>
              <w:t>Dependent</w:t>
            </w:r>
            <w:r>
              <w:rPr>
                <w:spacing w:val="-2"/>
                <w:sz w:val="18"/>
              </w:rPr>
              <w:t> </w:t>
            </w:r>
            <w:r>
              <w:rPr>
                <w:sz w:val="18"/>
              </w:rPr>
              <w:t>Variable:</w:t>
            </w:r>
            <w:r>
              <w:rPr>
                <w:spacing w:val="-2"/>
                <w:sz w:val="18"/>
              </w:rPr>
              <w:t> D(GDP,2)</w:t>
            </w:r>
          </w:p>
        </w:tc>
      </w:tr>
      <w:tr>
        <w:trPr>
          <w:trHeight w:val="206" w:hRule="atLeast"/>
        </w:trPr>
        <w:tc>
          <w:tcPr>
            <w:tcW w:w="1954" w:type="dxa"/>
          </w:tcPr>
          <w:p>
            <w:pPr>
              <w:pStyle w:val="TableParagraph"/>
              <w:spacing w:line="186" w:lineRule="exact"/>
              <w:ind w:left="36"/>
              <w:rPr>
                <w:sz w:val="18"/>
              </w:rPr>
            </w:pPr>
            <w:r>
              <w:rPr>
                <w:sz w:val="18"/>
              </w:rPr>
              <w:t>Method:</w:t>
            </w:r>
            <w:r>
              <w:rPr>
                <w:spacing w:val="-3"/>
                <w:sz w:val="18"/>
              </w:rPr>
              <w:t> </w:t>
            </w:r>
            <w:r>
              <w:rPr>
                <w:sz w:val="18"/>
              </w:rPr>
              <w:t>Least</w:t>
            </w:r>
            <w:r>
              <w:rPr>
                <w:spacing w:val="-2"/>
                <w:sz w:val="18"/>
              </w:rPr>
              <w:t> Squares</w:t>
            </w:r>
          </w:p>
        </w:tc>
        <w:tc>
          <w:tcPr>
            <w:tcW w:w="1260" w:type="dxa"/>
          </w:tcPr>
          <w:p>
            <w:pPr>
              <w:pStyle w:val="TableParagraph"/>
              <w:rPr>
                <w:sz w:val="14"/>
              </w:rPr>
            </w:pPr>
          </w:p>
        </w:tc>
        <w:tc>
          <w:tcPr>
            <w:tcW w:w="1532" w:type="dxa"/>
          </w:tcPr>
          <w:p>
            <w:pPr>
              <w:pStyle w:val="TableParagraph"/>
              <w:rPr>
                <w:sz w:val="14"/>
              </w:rPr>
            </w:pPr>
          </w:p>
        </w:tc>
        <w:tc>
          <w:tcPr>
            <w:tcW w:w="857" w:type="dxa"/>
          </w:tcPr>
          <w:p>
            <w:pPr>
              <w:pStyle w:val="TableParagraph"/>
              <w:rPr>
                <w:sz w:val="14"/>
              </w:rPr>
            </w:pPr>
          </w:p>
        </w:tc>
        <w:tc>
          <w:tcPr>
            <w:tcW w:w="887" w:type="dxa"/>
          </w:tcPr>
          <w:p>
            <w:pPr>
              <w:pStyle w:val="TableParagraph"/>
              <w:rPr>
                <w:sz w:val="14"/>
              </w:rPr>
            </w:pPr>
          </w:p>
        </w:tc>
      </w:tr>
      <w:tr>
        <w:trPr>
          <w:trHeight w:val="206" w:hRule="atLeast"/>
        </w:trPr>
        <w:tc>
          <w:tcPr>
            <w:tcW w:w="6490" w:type="dxa"/>
            <w:gridSpan w:val="5"/>
          </w:tcPr>
          <w:p>
            <w:pPr>
              <w:pStyle w:val="TableParagraph"/>
              <w:spacing w:line="186" w:lineRule="exact"/>
              <w:ind w:left="36"/>
              <w:rPr>
                <w:sz w:val="18"/>
              </w:rPr>
            </w:pPr>
            <w:r>
              <w:rPr>
                <w:sz w:val="18"/>
              </w:rPr>
              <w:t>Date:</w:t>
            </w:r>
            <w:r>
              <w:rPr>
                <w:spacing w:val="-2"/>
                <w:sz w:val="18"/>
              </w:rPr>
              <w:t> </w:t>
            </w:r>
            <w:r>
              <w:rPr>
                <w:sz w:val="18"/>
              </w:rPr>
              <w:t>02/17/14</w:t>
            </w:r>
            <w:r>
              <w:rPr>
                <w:spacing w:val="63"/>
                <w:w w:val="150"/>
                <w:sz w:val="18"/>
              </w:rPr>
              <w:t> </w:t>
            </w:r>
            <w:r>
              <w:rPr>
                <w:sz w:val="18"/>
              </w:rPr>
              <w:t>Time:</w:t>
            </w:r>
            <w:r>
              <w:rPr>
                <w:spacing w:val="-1"/>
                <w:sz w:val="18"/>
              </w:rPr>
              <w:t> </w:t>
            </w:r>
            <w:r>
              <w:rPr>
                <w:spacing w:val="-4"/>
                <w:sz w:val="18"/>
              </w:rPr>
              <w:t>22:18</w:t>
            </w:r>
          </w:p>
        </w:tc>
      </w:tr>
      <w:tr>
        <w:trPr>
          <w:trHeight w:val="207" w:hRule="atLeast"/>
        </w:trPr>
        <w:tc>
          <w:tcPr>
            <w:tcW w:w="6490" w:type="dxa"/>
            <w:gridSpan w:val="5"/>
          </w:tcPr>
          <w:p>
            <w:pPr>
              <w:pStyle w:val="TableParagraph"/>
              <w:spacing w:line="188" w:lineRule="exact"/>
              <w:ind w:left="36"/>
              <w:rPr>
                <w:sz w:val="18"/>
              </w:rPr>
            </w:pPr>
            <w:r>
              <w:rPr>
                <w:sz w:val="18"/>
              </w:rPr>
              <w:t>Sample(adjusted):</w:t>
            </w:r>
            <w:r>
              <w:rPr>
                <w:spacing w:val="-6"/>
                <w:sz w:val="18"/>
              </w:rPr>
              <w:t> </w:t>
            </w:r>
            <w:r>
              <w:rPr>
                <w:sz w:val="18"/>
              </w:rPr>
              <w:t>1990</w:t>
            </w:r>
            <w:r>
              <w:rPr>
                <w:spacing w:val="-2"/>
                <w:sz w:val="18"/>
              </w:rPr>
              <w:t> </w:t>
            </w:r>
            <w:r>
              <w:rPr>
                <w:spacing w:val="-4"/>
                <w:sz w:val="18"/>
              </w:rPr>
              <w:t>2011</w:t>
            </w:r>
          </w:p>
        </w:tc>
      </w:tr>
      <w:tr>
        <w:trPr>
          <w:trHeight w:val="202" w:hRule="atLeast"/>
        </w:trPr>
        <w:tc>
          <w:tcPr>
            <w:tcW w:w="6490" w:type="dxa"/>
            <w:gridSpan w:val="5"/>
            <w:tcBorders>
              <w:bottom w:val="double" w:sz="6" w:space="0" w:color="000000"/>
            </w:tcBorders>
          </w:tcPr>
          <w:p>
            <w:pPr>
              <w:pStyle w:val="TableParagraph"/>
              <w:spacing w:line="183" w:lineRule="exact"/>
              <w:ind w:left="36"/>
              <w:rPr>
                <w:sz w:val="18"/>
              </w:rPr>
            </w:pPr>
            <w:r>
              <w:rPr>
                <w:sz w:val="18"/>
              </w:rPr>
              <w:t>Included</w:t>
            </w:r>
            <w:r>
              <w:rPr>
                <w:spacing w:val="-1"/>
                <w:sz w:val="18"/>
              </w:rPr>
              <w:t> </w:t>
            </w:r>
            <w:r>
              <w:rPr>
                <w:sz w:val="18"/>
              </w:rPr>
              <w:t>observations:</w:t>
            </w:r>
            <w:r>
              <w:rPr>
                <w:spacing w:val="-3"/>
                <w:sz w:val="18"/>
              </w:rPr>
              <w:t> </w:t>
            </w:r>
            <w:r>
              <w:rPr>
                <w:sz w:val="18"/>
              </w:rPr>
              <w:t>22</w:t>
            </w:r>
            <w:r>
              <w:rPr>
                <w:spacing w:val="-1"/>
                <w:sz w:val="18"/>
              </w:rPr>
              <w:t> </w:t>
            </w:r>
            <w:r>
              <w:rPr>
                <w:sz w:val="18"/>
              </w:rPr>
              <w:t>after</w:t>
            </w:r>
            <w:r>
              <w:rPr>
                <w:spacing w:val="-1"/>
                <w:sz w:val="18"/>
              </w:rPr>
              <w:t> </w:t>
            </w:r>
            <w:r>
              <w:rPr>
                <w:sz w:val="18"/>
              </w:rPr>
              <w:t>adjusting</w:t>
            </w:r>
            <w:r>
              <w:rPr>
                <w:spacing w:val="-2"/>
                <w:sz w:val="18"/>
              </w:rPr>
              <w:t> endpoints</w:t>
            </w:r>
          </w:p>
        </w:tc>
      </w:tr>
      <w:tr>
        <w:trPr>
          <w:trHeight w:val="247" w:hRule="atLeast"/>
        </w:trPr>
        <w:tc>
          <w:tcPr>
            <w:tcW w:w="1954" w:type="dxa"/>
            <w:tcBorders>
              <w:top w:val="double" w:sz="6" w:space="0" w:color="000000"/>
              <w:bottom w:val="double" w:sz="6" w:space="0" w:color="000000"/>
            </w:tcBorders>
          </w:tcPr>
          <w:p>
            <w:pPr>
              <w:pStyle w:val="TableParagraph"/>
              <w:spacing w:line="188" w:lineRule="exact" w:before="40"/>
              <w:ind w:left="713"/>
              <w:rPr>
                <w:sz w:val="18"/>
              </w:rPr>
            </w:pPr>
            <w:r>
              <w:rPr>
                <w:spacing w:val="-2"/>
                <w:sz w:val="18"/>
              </w:rPr>
              <w:t>Variable</w:t>
            </w:r>
          </w:p>
        </w:tc>
        <w:tc>
          <w:tcPr>
            <w:tcW w:w="1260" w:type="dxa"/>
            <w:tcBorders>
              <w:top w:val="double" w:sz="6" w:space="0" w:color="000000"/>
              <w:bottom w:val="double" w:sz="6" w:space="0" w:color="000000"/>
            </w:tcBorders>
          </w:tcPr>
          <w:p>
            <w:pPr>
              <w:pStyle w:val="TableParagraph"/>
              <w:spacing w:line="188" w:lineRule="exact" w:before="40"/>
              <w:ind w:right="121"/>
              <w:jc w:val="right"/>
              <w:rPr>
                <w:sz w:val="18"/>
              </w:rPr>
            </w:pPr>
            <w:r>
              <w:rPr>
                <w:spacing w:val="-2"/>
                <w:sz w:val="18"/>
              </w:rPr>
              <w:t>Coefficient</w:t>
            </w:r>
          </w:p>
        </w:tc>
        <w:tc>
          <w:tcPr>
            <w:tcW w:w="1532" w:type="dxa"/>
            <w:tcBorders>
              <w:top w:val="double" w:sz="6" w:space="0" w:color="000000"/>
              <w:bottom w:val="double" w:sz="6" w:space="0" w:color="000000"/>
            </w:tcBorders>
          </w:tcPr>
          <w:p>
            <w:pPr>
              <w:pStyle w:val="TableParagraph"/>
              <w:spacing w:line="188" w:lineRule="exact" w:before="40"/>
              <w:ind w:left="360"/>
              <w:rPr>
                <w:sz w:val="18"/>
              </w:rPr>
            </w:pPr>
            <w:r>
              <w:rPr>
                <w:sz w:val="18"/>
              </w:rPr>
              <w:t>Std.</w:t>
            </w:r>
            <w:r>
              <w:rPr>
                <w:spacing w:val="-1"/>
                <w:sz w:val="18"/>
              </w:rPr>
              <w:t> </w:t>
            </w:r>
            <w:r>
              <w:rPr>
                <w:spacing w:val="-4"/>
                <w:sz w:val="18"/>
              </w:rPr>
              <w:t>Error</w:t>
            </w:r>
          </w:p>
        </w:tc>
        <w:tc>
          <w:tcPr>
            <w:tcW w:w="857" w:type="dxa"/>
            <w:tcBorders>
              <w:top w:val="double" w:sz="6" w:space="0" w:color="000000"/>
              <w:bottom w:val="double" w:sz="6" w:space="0" w:color="000000"/>
            </w:tcBorders>
          </w:tcPr>
          <w:p>
            <w:pPr>
              <w:pStyle w:val="TableParagraph"/>
              <w:spacing w:line="188" w:lineRule="exact" w:before="40"/>
              <w:ind w:left="-3" w:right="120"/>
              <w:jc w:val="right"/>
              <w:rPr>
                <w:sz w:val="18"/>
              </w:rPr>
            </w:pPr>
            <w:r>
              <w:rPr>
                <w:sz w:val="18"/>
              </w:rPr>
              <w:t>t-</w:t>
            </w:r>
            <w:r>
              <w:rPr>
                <w:spacing w:val="-2"/>
                <w:sz w:val="18"/>
              </w:rPr>
              <w:t>Statistic</w:t>
            </w:r>
          </w:p>
        </w:tc>
        <w:tc>
          <w:tcPr>
            <w:tcW w:w="887" w:type="dxa"/>
            <w:tcBorders>
              <w:top w:val="double" w:sz="6" w:space="0" w:color="000000"/>
              <w:bottom w:val="double" w:sz="6" w:space="0" w:color="000000"/>
            </w:tcBorders>
          </w:tcPr>
          <w:p>
            <w:pPr>
              <w:pStyle w:val="TableParagraph"/>
              <w:spacing w:line="188" w:lineRule="exact" w:before="40"/>
              <w:ind w:right="31"/>
              <w:jc w:val="right"/>
              <w:rPr>
                <w:sz w:val="18"/>
              </w:rPr>
            </w:pPr>
            <w:r>
              <w:rPr>
                <w:spacing w:val="-2"/>
                <w:sz w:val="18"/>
              </w:rPr>
              <w:t>Prob.</w:t>
            </w:r>
          </w:p>
        </w:tc>
      </w:tr>
      <w:tr>
        <w:trPr>
          <w:trHeight w:val="250" w:hRule="atLeast"/>
        </w:trPr>
        <w:tc>
          <w:tcPr>
            <w:tcW w:w="1954" w:type="dxa"/>
            <w:tcBorders>
              <w:top w:val="double" w:sz="6" w:space="0" w:color="000000"/>
            </w:tcBorders>
          </w:tcPr>
          <w:p>
            <w:pPr>
              <w:pStyle w:val="TableParagraph"/>
              <w:spacing w:line="191" w:lineRule="exact" w:before="40"/>
              <w:ind w:left="420"/>
              <w:rPr>
                <w:sz w:val="18"/>
              </w:rPr>
            </w:pPr>
            <w:r>
              <w:rPr>
                <w:spacing w:val="-2"/>
                <w:sz w:val="18"/>
              </w:rPr>
              <w:t>D(EXTDEBT,2)</w:t>
            </w:r>
          </w:p>
        </w:tc>
        <w:tc>
          <w:tcPr>
            <w:tcW w:w="1260" w:type="dxa"/>
            <w:tcBorders>
              <w:top w:val="double" w:sz="6" w:space="0" w:color="000000"/>
            </w:tcBorders>
          </w:tcPr>
          <w:p>
            <w:pPr>
              <w:pStyle w:val="TableParagraph"/>
              <w:spacing w:line="191" w:lineRule="exact" w:before="40"/>
              <w:ind w:right="119"/>
              <w:jc w:val="right"/>
              <w:rPr>
                <w:sz w:val="18"/>
              </w:rPr>
            </w:pPr>
            <w:r>
              <w:rPr>
                <w:spacing w:val="-2"/>
                <w:sz w:val="18"/>
              </w:rPr>
              <w:t>0.039304</w:t>
            </w:r>
          </w:p>
        </w:tc>
        <w:tc>
          <w:tcPr>
            <w:tcW w:w="1532" w:type="dxa"/>
            <w:tcBorders>
              <w:top w:val="double" w:sz="6" w:space="0" w:color="000000"/>
            </w:tcBorders>
          </w:tcPr>
          <w:p>
            <w:pPr>
              <w:pStyle w:val="TableParagraph"/>
              <w:spacing w:line="191" w:lineRule="exact" w:before="40"/>
              <w:ind w:left="396"/>
              <w:rPr>
                <w:sz w:val="18"/>
              </w:rPr>
            </w:pPr>
            <w:r>
              <w:rPr>
                <w:spacing w:val="-2"/>
                <w:sz w:val="18"/>
              </w:rPr>
              <w:t>0.010005</w:t>
            </w:r>
          </w:p>
        </w:tc>
        <w:tc>
          <w:tcPr>
            <w:tcW w:w="857" w:type="dxa"/>
            <w:tcBorders>
              <w:top w:val="double" w:sz="6" w:space="0" w:color="000000"/>
            </w:tcBorders>
          </w:tcPr>
          <w:p>
            <w:pPr>
              <w:pStyle w:val="TableParagraph"/>
              <w:spacing w:line="191" w:lineRule="exact" w:before="40"/>
              <w:ind w:left="-3" w:right="122"/>
              <w:jc w:val="right"/>
              <w:rPr>
                <w:sz w:val="18"/>
              </w:rPr>
            </w:pPr>
            <w:r>
              <w:rPr>
                <w:spacing w:val="-2"/>
                <w:sz w:val="18"/>
              </w:rPr>
              <w:t>3.928356</w:t>
            </w:r>
          </w:p>
        </w:tc>
        <w:tc>
          <w:tcPr>
            <w:tcW w:w="887" w:type="dxa"/>
            <w:tcBorders>
              <w:top w:val="double" w:sz="6" w:space="0" w:color="000000"/>
            </w:tcBorders>
          </w:tcPr>
          <w:p>
            <w:pPr>
              <w:pStyle w:val="TableParagraph"/>
              <w:spacing w:line="191" w:lineRule="exact" w:before="40"/>
              <w:ind w:right="31"/>
              <w:jc w:val="right"/>
              <w:rPr>
                <w:sz w:val="18"/>
              </w:rPr>
            </w:pPr>
            <w:r>
              <w:rPr>
                <w:spacing w:val="-2"/>
                <w:sz w:val="18"/>
              </w:rPr>
              <w:t>0.0011</w:t>
            </w:r>
          </w:p>
        </w:tc>
      </w:tr>
      <w:tr>
        <w:trPr>
          <w:trHeight w:val="207" w:hRule="atLeast"/>
        </w:trPr>
        <w:tc>
          <w:tcPr>
            <w:tcW w:w="1954" w:type="dxa"/>
          </w:tcPr>
          <w:p>
            <w:pPr>
              <w:pStyle w:val="TableParagraph"/>
              <w:spacing w:line="188" w:lineRule="exact"/>
              <w:ind w:left="684"/>
              <w:rPr>
                <w:sz w:val="18"/>
              </w:rPr>
            </w:pPr>
            <w:r>
              <w:rPr>
                <w:spacing w:val="-2"/>
                <w:sz w:val="18"/>
              </w:rPr>
              <w:t>D(DFI,2)</w:t>
            </w:r>
          </w:p>
        </w:tc>
        <w:tc>
          <w:tcPr>
            <w:tcW w:w="1260" w:type="dxa"/>
          </w:tcPr>
          <w:p>
            <w:pPr>
              <w:pStyle w:val="TableParagraph"/>
              <w:spacing w:line="188" w:lineRule="exact"/>
              <w:ind w:right="119"/>
              <w:jc w:val="right"/>
              <w:rPr>
                <w:sz w:val="18"/>
              </w:rPr>
            </w:pPr>
            <w:r>
              <w:rPr>
                <w:spacing w:val="-2"/>
                <w:sz w:val="18"/>
              </w:rPr>
              <w:t>0.048641</w:t>
            </w:r>
          </w:p>
        </w:tc>
        <w:tc>
          <w:tcPr>
            <w:tcW w:w="1532" w:type="dxa"/>
          </w:tcPr>
          <w:p>
            <w:pPr>
              <w:pStyle w:val="TableParagraph"/>
              <w:spacing w:line="188" w:lineRule="exact"/>
              <w:ind w:left="396"/>
              <w:rPr>
                <w:sz w:val="18"/>
              </w:rPr>
            </w:pPr>
            <w:r>
              <w:rPr>
                <w:spacing w:val="-2"/>
                <w:sz w:val="18"/>
              </w:rPr>
              <w:t>0.044182</w:t>
            </w:r>
          </w:p>
        </w:tc>
        <w:tc>
          <w:tcPr>
            <w:tcW w:w="857" w:type="dxa"/>
          </w:tcPr>
          <w:p>
            <w:pPr>
              <w:pStyle w:val="TableParagraph"/>
              <w:spacing w:line="188" w:lineRule="exact"/>
              <w:ind w:left="-3" w:right="122"/>
              <w:jc w:val="right"/>
              <w:rPr>
                <w:sz w:val="18"/>
              </w:rPr>
            </w:pPr>
            <w:r>
              <w:rPr>
                <w:spacing w:val="-2"/>
                <w:sz w:val="18"/>
              </w:rPr>
              <w:t>1.100933</w:t>
            </w:r>
          </w:p>
        </w:tc>
        <w:tc>
          <w:tcPr>
            <w:tcW w:w="887" w:type="dxa"/>
          </w:tcPr>
          <w:p>
            <w:pPr>
              <w:pStyle w:val="TableParagraph"/>
              <w:spacing w:line="188" w:lineRule="exact"/>
              <w:ind w:right="31"/>
              <w:jc w:val="right"/>
              <w:rPr>
                <w:sz w:val="18"/>
              </w:rPr>
            </w:pPr>
            <w:r>
              <w:rPr>
                <w:spacing w:val="-2"/>
                <w:sz w:val="18"/>
              </w:rPr>
              <w:t>0.2863</w:t>
            </w:r>
          </w:p>
        </w:tc>
      </w:tr>
      <w:tr>
        <w:trPr>
          <w:trHeight w:val="207" w:hRule="atLeast"/>
        </w:trPr>
        <w:tc>
          <w:tcPr>
            <w:tcW w:w="1954" w:type="dxa"/>
          </w:tcPr>
          <w:p>
            <w:pPr>
              <w:pStyle w:val="TableParagraph"/>
              <w:spacing w:line="188" w:lineRule="exact"/>
              <w:ind w:left="643"/>
              <w:rPr>
                <w:sz w:val="18"/>
              </w:rPr>
            </w:pPr>
            <w:r>
              <w:rPr>
                <w:spacing w:val="-2"/>
                <w:sz w:val="18"/>
              </w:rPr>
              <w:t>D(CAB,2)</w:t>
            </w:r>
          </w:p>
        </w:tc>
        <w:tc>
          <w:tcPr>
            <w:tcW w:w="1260" w:type="dxa"/>
          </w:tcPr>
          <w:p>
            <w:pPr>
              <w:pStyle w:val="TableParagraph"/>
              <w:spacing w:line="188" w:lineRule="exact"/>
              <w:ind w:right="119"/>
              <w:jc w:val="right"/>
              <w:rPr>
                <w:sz w:val="18"/>
              </w:rPr>
            </w:pPr>
            <w:r>
              <w:rPr>
                <w:spacing w:val="-2"/>
                <w:sz w:val="18"/>
              </w:rPr>
              <w:t>0.086991</w:t>
            </w:r>
          </w:p>
        </w:tc>
        <w:tc>
          <w:tcPr>
            <w:tcW w:w="1532" w:type="dxa"/>
          </w:tcPr>
          <w:p>
            <w:pPr>
              <w:pStyle w:val="TableParagraph"/>
              <w:spacing w:line="188" w:lineRule="exact"/>
              <w:ind w:left="396"/>
              <w:rPr>
                <w:sz w:val="18"/>
              </w:rPr>
            </w:pPr>
            <w:r>
              <w:rPr>
                <w:spacing w:val="-2"/>
                <w:sz w:val="18"/>
              </w:rPr>
              <w:t>0.019127</w:t>
            </w:r>
          </w:p>
        </w:tc>
        <w:tc>
          <w:tcPr>
            <w:tcW w:w="857" w:type="dxa"/>
          </w:tcPr>
          <w:p>
            <w:pPr>
              <w:pStyle w:val="TableParagraph"/>
              <w:spacing w:line="188" w:lineRule="exact"/>
              <w:ind w:left="-3" w:right="122"/>
              <w:jc w:val="right"/>
              <w:rPr>
                <w:sz w:val="18"/>
              </w:rPr>
            </w:pPr>
            <w:r>
              <w:rPr>
                <w:spacing w:val="-2"/>
                <w:sz w:val="18"/>
              </w:rPr>
              <w:t>4.548066</w:t>
            </w:r>
          </w:p>
        </w:tc>
        <w:tc>
          <w:tcPr>
            <w:tcW w:w="887" w:type="dxa"/>
          </w:tcPr>
          <w:p>
            <w:pPr>
              <w:pStyle w:val="TableParagraph"/>
              <w:spacing w:line="188" w:lineRule="exact"/>
              <w:ind w:right="31"/>
              <w:jc w:val="right"/>
              <w:rPr>
                <w:sz w:val="18"/>
              </w:rPr>
            </w:pPr>
            <w:r>
              <w:rPr>
                <w:spacing w:val="-2"/>
                <w:sz w:val="18"/>
              </w:rPr>
              <w:t>0.0003</w:t>
            </w:r>
          </w:p>
        </w:tc>
      </w:tr>
      <w:tr>
        <w:trPr>
          <w:trHeight w:val="206" w:hRule="atLeast"/>
        </w:trPr>
        <w:tc>
          <w:tcPr>
            <w:tcW w:w="1954" w:type="dxa"/>
          </w:tcPr>
          <w:p>
            <w:pPr>
              <w:pStyle w:val="TableParagraph"/>
              <w:spacing w:line="186" w:lineRule="exact"/>
              <w:ind w:left="530"/>
              <w:rPr>
                <w:sz w:val="18"/>
              </w:rPr>
            </w:pPr>
            <w:r>
              <w:rPr>
                <w:sz w:val="18"/>
              </w:rPr>
              <w:t>D(RES(-</w:t>
            </w:r>
            <w:r>
              <w:rPr>
                <w:spacing w:val="-2"/>
                <w:sz w:val="18"/>
              </w:rPr>
              <w:t>1),2)</w:t>
            </w:r>
          </w:p>
        </w:tc>
        <w:tc>
          <w:tcPr>
            <w:tcW w:w="1260" w:type="dxa"/>
          </w:tcPr>
          <w:p>
            <w:pPr>
              <w:pStyle w:val="TableParagraph"/>
              <w:spacing w:line="186" w:lineRule="exact"/>
              <w:ind w:right="119"/>
              <w:jc w:val="right"/>
              <w:rPr>
                <w:sz w:val="18"/>
              </w:rPr>
            </w:pPr>
            <w:r>
              <w:rPr>
                <w:sz w:val="18"/>
              </w:rPr>
              <w:t>-</w:t>
            </w:r>
            <w:r>
              <w:rPr>
                <w:spacing w:val="-2"/>
                <w:sz w:val="18"/>
              </w:rPr>
              <w:t>0.026153</w:t>
            </w:r>
          </w:p>
        </w:tc>
        <w:tc>
          <w:tcPr>
            <w:tcW w:w="1532" w:type="dxa"/>
          </w:tcPr>
          <w:p>
            <w:pPr>
              <w:pStyle w:val="TableParagraph"/>
              <w:spacing w:line="186" w:lineRule="exact"/>
              <w:ind w:left="396"/>
              <w:rPr>
                <w:sz w:val="18"/>
              </w:rPr>
            </w:pPr>
            <w:r>
              <w:rPr>
                <w:spacing w:val="-2"/>
                <w:sz w:val="18"/>
              </w:rPr>
              <w:t>0.016566</w:t>
            </w:r>
          </w:p>
        </w:tc>
        <w:tc>
          <w:tcPr>
            <w:tcW w:w="857" w:type="dxa"/>
          </w:tcPr>
          <w:p>
            <w:pPr>
              <w:pStyle w:val="TableParagraph"/>
              <w:spacing w:line="186" w:lineRule="exact"/>
              <w:ind w:left="-3" w:right="122"/>
              <w:jc w:val="right"/>
              <w:rPr>
                <w:sz w:val="18"/>
              </w:rPr>
            </w:pPr>
            <w:r>
              <w:rPr>
                <w:sz w:val="18"/>
              </w:rPr>
              <w:t>-</w:t>
            </w:r>
            <w:r>
              <w:rPr>
                <w:spacing w:val="-2"/>
                <w:sz w:val="18"/>
              </w:rPr>
              <w:t>1.578742</w:t>
            </w:r>
          </w:p>
        </w:tc>
        <w:tc>
          <w:tcPr>
            <w:tcW w:w="887" w:type="dxa"/>
          </w:tcPr>
          <w:p>
            <w:pPr>
              <w:pStyle w:val="TableParagraph"/>
              <w:spacing w:line="186" w:lineRule="exact"/>
              <w:ind w:right="31"/>
              <w:jc w:val="right"/>
              <w:rPr>
                <w:sz w:val="18"/>
              </w:rPr>
            </w:pPr>
            <w:r>
              <w:rPr>
                <w:spacing w:val="-2"/>
                <w:sz w:val="18"/>
              </w:rPr>
              <w:t>0.1328</w:t>
            </w:r>
          </w:p>
        </w:tc>
      </w:tr>
      <w:tr>
        <w:trPr>
          <w:trHeight w:val="201" w:hRule="atLeast"/>
        </w:trPr>
        <w:tc>
          <w:tcPr>
            <w:tcW w:w="1954" w:type="dxa"/>
            <w:tcBorders>
              <w:bottom w:val="double" w:sz="6" w:space="0" w:color="000000"/>
            </w:tcBorders>
          </w:tcPr>
          <w:p>
            <w:pPr>
              <w:pStyle w:val="TableParagraph"/>
              <w:spacing w:line="181" w:lineRule="exact"/>
              <w:ind w:left="758"/>
              <w:rPr>
                <w:sz w:val="18"/>
              </w:rPr>
            </w:pPr>
            <w:r>
              <w:rPr>
                <w:spacing w:val="-2"/>
                <w:sz w:val="18"/>
              </w:rPr>
              <w:t>ECM(-</w:t>
            </w:r>
            <w:r>
              <w:rPr>
                <w:spacing w:val="-5"/>
                <w:sz w:val="18"/>
              </w:rPr>
              <w:t>1)</w:t>
            </w:r>
          </w:p>
        </w:tc>
        <w:tc>
          <w:tcPr>
            <w:tcW w:w="1260" w:type="dxa"/>
            <w:tcBorders>
              <w:bottom w:val="double" w:sz="6" w:space="0" w:color="000000"/>
            </w:tcBorders>
          </w:tcPr>
          <w:p>
            <w:pPr>
              <w:pStyle w:val="TableParagraph"/>
              <w:spacing w:line="181" w:lineRule="exact"/>
              <w:ind w:right="119"/>
              <w:jc w:val="right"/>
              <w:rPr>
                <w:sz w:val="18"/>
              </w:rPr>
            </w:pPr>
            <w:r>
              <w:rPr>
                <w:sz w:val="18"/>
              </w:rPr>
              <w:t>-</w:t>
            </w:r>
            <w:r>
              <w:rPr>
                <w:spacing w:val="-2"/>
                <w:sz w:val="18"/>
              </w:rPr>
              <w:t>0.652764</w:t>
            </w:r>
          </w:p>
        </w:tc>
        <w:tc>
          <w:tcPr>
            <w:tcW w:w="1532" w:type="dxa"/>
            <w:tcBorders>
              <w:bottom w:val="double" w:sz="6" w:space="0" w:color="000000"/>
            </w:tcBorders>
          </w:tcPr>
          <w:p>
            <w:pPr>
              <w:pStyle w:val="TableParagraph"/>
              <w:spacing w:line="181" w:lineRule="exact"/>
              <w:ind w:left="396"/>
              <w:rPr>
                <w:sz w:val="18"/>
              </w:rPr>
            </w:pPr>
            <w:r>
              <w:rPr>
                <w:spacing w:val="-2"/>
                <w:sz w:val="18"/>
              </w:rPr>
              <w:t>0.170723</w:t>
            </w:r>
          </w:p>
        </w:tc>
        <w:tc>
          <w:tcPr>
            <w:tcW w:w="857" w:type="dxa"/>
            <w:tcBorders>
              <w:bottom w:val="double" w:sz="6" w:space="0" w:color="000000"/>
            </w:tcBorders>
          </w:tcPr>
          <w:p>
            <w:pPr>
              <w:pStyle w:val="TableParagraph"/>
              <w:spacing w:line="181" w:lineRule="exact"/>
              <w:ind w:left="-3" w:right="122"/>
              <w:jc w:val="right"/>
              <w:rPr>
                <w:sz w:val="18"/>
              </w:rPr>
            </w:pPr>
            <w:r>
              <w:rPr>
                <w:sz w:val="18"/>
              </w:rPr>
              <w:t>-</w:t>
            </w:r>
            <w:r>
              <w:rPr>
                <w:spacing w:val="-2"/>
                <w:sz w:val="18"/>
              </w:rPr>
              <w:t>3.712769</w:t>
            </w:r>
          </w:p>
        </w:tc>
        <w:tc>
          <w:tcPr>
            <w:tcW w:w="887" w:type="dxa"/>
            <w:tcBorders>
              <w:bottom w:val="double" w:sz="6" w:space="0" w:color="000000"/>
            </w:tcBorders>
          </w:tcPr>
          <w:p>
            <w:pPr>
              <w:pStyle w:val="TableParagraph"/>
              <w:spacing w:line="181" w:lineRule="exact"/>
              <w:ind w:right="31"/>
              <w:jc w:val="right"/>
              <w:rPr>
                <w:sz w:val="18"/>
              </w:rPr>
            </w:pPr>
            <w:r>
              <w:rPr>
                <w:spacing w:val="-2"/>
                <w:sz w:val="18"/>
              </w:rPr>
              <w:t>0.0011</w:t>
            </w:r>
          </w:p>
        </w:tc>
      </w:tr>
      <w:tr>
        <w:trPr>
          <w:trHeight w:val="252" w:hRule="atLeast"/>
        </w:trPr>
        <w:tc>
          <w:tcPr>
            <w:tcW w:w="1954" w:type="dxa"/>
            <w:tcBorders>
              <w:top w:val="double" w:sz="6" w:space="0" w:color="000000"/>
            </w:tcBorders>
          </w:tcPr>
          <w:p>
            <w:pPr>
              <w:pStyle w:val="TableParagraph"/>
              <w:spacing w:line="191" w:lineRule="exact" w:before="42"/>
              <w:ind w:left="36"/>
              <w:rPr>
                <w:sz w:val="18"/>
              </w:rPr>
            </w:pPr>
            <w:r>
              <w:rPr>
                <w:spacing w:val="-2"/>
                <w:sz w:val="18"/>
              </w:rPr>
              <w:t>R-squared</w:t>
            </w:r>
          </w:p>
        </w:tc>
        <w:tc>
          <w:tcPr>
            <w:tcW w:w="1260" w:type="dxa"/>
            <w:tcBorders>
              <w:top w:val="double" w:sz="6" w:space="0" w:color="000000"/>
            </w:tcBorders>
          </w:tcPr>
          <w:p>
            <w:pPr>
              <w:pStyle w:val="TableParagraph"/>
              <w:spacing w:line="191" w:lineRule="exact" w:before="42"/>
              <w:ind w:right="119"/>
              <w:jc w:val="right"/>
              <w:rPr>
                <w:sz w:val="18"/>
              </w:rPr>
            </w:pPr>
            <w:r>
              <w:rPr>
                <w:spacing w:val="-2"/>
                <w:sz w:val="18"/>
              </w:rPr>
              <w:t>0.698553</w:t>
            </w:r>
          </w:p>
        </w:tc>
        <w:tc>
          <w:tcPr>
            <w:tcW w:w="2389" w:type="dxa"/>
            <w:gridSpan w:val="2"/>
            <w:tcBorders>
              <w:top w:val="double" w:sz="6" w:space="0" w:color="000000"/>
            </w:tcBorders>
          </w:tcPr>
          <w:p>
            <w:pPr>
              <w:pStyle w:val="TableParagraph"/>
              <w:spacing w:line="191" w:lineRule="exact" w:before="42"/>
              <w:ind w:left="120"/>
              <w:rPr>
                <w:sz w:val="18"/>
              </w:rPr>
            </w:pPr>
            <w:r>
              <w:rPr>
                <w:sz w:val="18"/>
              </w:rPr>
              <w:t>Mean</w:t>
            </w:r>
            <w:r>
              <w:rPr>
                <w:spacing w:val="-5"/>
                <w:sz w:val="18"/>
              </w:rPr>
              <w:t> </w:t>
            </w:r>
            <w:r>
              <w:rPr>
                <w:sz w:val="18"/>
              </w:rPr>
              <w:t>dependent</w:t>
            </w:r>
            <w:r>
              <w:rPr>
                <w:spacing w:val="-1"/>
                <w:sz w:val="18"/>
              </w:rPr>
              <w:t> </w:t>
            </w:r>
            <w:r>
              <w:rPr>
                <w:spacing w:val="-5"/>
                <w:sz w:val="18"/>
              </w:rPr>
              <w:t>var</w:t>
            </w:r>
          </w:p>
        </w:tc>
        <w:tc>
          <w:tcPr>
            <w:tcW w:w="887" w:type="dxa"/>
            <w:tcBorders>
              <w:top w:val="double" w:sz="6" w:space="0" w:color="000000"/>
            </w:tcBorders>
          </w:tcPr>
          <w:p>
            <w:pPr>
              <w:pStyle w:val="TableParagraph"/>
              <w:spacing w:line="191" w:lineRule="exact" w:before="42"/>
              <w:ind w:right="30"/>
              <w:jc w:val="right"/>
              <w:rPr>
                <w:sz w:val="18"/>
              </w:rPr>
            </w:pPr>
            <w:r>
              <w:rPr>
                <w:sz w:val="18"/>
              </w:rPr>
              <w:t>-</w:t>
            </w:r>
            <w:r>
              <w:rPr>
                <w:spacing w:val="-2"/>
                <w:sz w:val="18"/>
              </w:rPr>
              <w:t>0.015649</w:t>
            </w:r>
          </w:p>
        </w:tc>
      </w:tr>
      <w:tr>
        <w:trPr>
          <w:trHeight w:val="206" w:hRule="atLeast"/>
        </w:trPr>
        <w:tc>
          <w:tcPr>
            <w:tcW w:w="1954" w:type="dxa"/>
          </w:tcPr>
          <w:p>
            <w:pPr>
              <w:pStyle w:val="TableParagraph"/>
              <w:spacing w:line="186" w:lineRule="exact"/>
              <w:ind w:left="36"/>
              <w:rPr>
                <w:sz w:val="18"/>
              </w:rPr>
            </w:pPr>
            <w:r>
              <w:rPr>
                <w:sz w:val="18"/>
              </w:rPr>
              <w:t>Adjusted</w:t>
            </w:r>
            <w:r>
              <w:rPr>
                <w:spacing w:val="-1"/>
                <w:sz w:val="18"/>
              </w:rPr>
              <w:t> </w:t>
            </w:r>
            <w:r>
              <w:rPr>
                <w:sz w:val="18"/>
              </w:rPr>
              <w:t>R-</w:t>
            </w:r>
            <w:r>
              <w:rPr>
                <w:spacing w:val="-2"/>
                <w:sz w:val="18"/>
              </w:rPr>
              <w:t>squared</w:t>
            </w:r>
          </w:p>
        </w:tc>
        <w:tc>
          <w:tcPr>
            <w:tcW w:w="1260" w:type="dxa"/>
          </w:tcPr>
          <w:p>
            <w:pPr>
              <w:pStyle w:val="TableParagraph"/>
              <w:spacing w:line="186" w:lineRule="exact"/>
              <w:ind w:right="119"/>
              <w:jc w:val="right"/>
              <w:rPr>
                <w:sz w:val="18"/>
              </w:rPr>
            </w:pPr>
            <w:r>
              <w:rPr>
                <w:spacing w:val="-2"/>
                <w:sz w:val="18"/>
              </w:rPr>
              <w:t>0.627624</w:t>
            </w:r>
          </w:p>
        </w:tc>
        <w:tc>
          <w:tcPr>
            <w:tcW w:w="1532" w:type="dxa"/>
          </w:tcPr>
          <w:p>
            <w:pPr>
              <w:pStyle w:val="TableParagraph"/>
              <w:spacing w:line="186" w:lineRule="exact"/>
              <w:ind w:left="120"/>
              <w:rPr>
                <w:sz w:val="18"/>
              </w:rPr>
            </w:pPr>
            <w:r>
              <w:rPr>
                <w:sz w:val="18"/>
              </w:rPr>
              <w:t>S.D.</w:t>
            </w:r>
            <w:r>
              <w:rPr>
                <w:spacing w:val="-5"/>
                <w:sz w:val="18"/>
              </w:rPr>
              <w:t> </w:t>
            </w:r>
            <w:r>
              <w:rPr>
                <w:sz w:val="18"/>
              </w:rPr>
              <w:t>dependent</w:t>
            </w:r>
            <w:r>
              <w:rPr>
                <w:spacing w:val="-3"/>
                <w:sz w:val="18"/>
              </w:rPr>
              <w:t> </w:t>
            </w:r>
            <w:r>
              <w:rPr>
                <w:spacing w:val="-5"/>
                <w:sz w:val="18"/>
              </w:rPr>
              <w:t>var</w:t>
            </w:r>
          </w:p>
        </w:tc>
        <w:tc>
          <w:tcPr>
            <w:tcW w:w="857" w:type="dxa"/>
          </w:tcPr>
          <w:p>
            <w:pPr>
              <w:pStyle w:val="TableParagraph"/>
              <w:rPr>
                <w:sz w:val="14"/>
              </w:rPr>
            </w:pPr>
          </w:p>
        </w:tc>
        <w:tc>
          <w:tcPr>
            <w:tcW w:w="887" w:type="dxa"/>
          </w:tcPr>
          <w:p>
            <w:pPr>
              <w:pStyle w:val="TableParagraph"/>
              <w:spacing w:line="186" w:lineRule="exact"/>
              <w:ind w:right="30"/>
              <w:jc w:val="right"/>
              <w:rPr>
                <w:sz w:val="18"/>
              </w:rPr>
            </w:pPr>
            <w:r>
              <w:rPr>
                <w:spacing w:val="-2"/>
                <w:sz w:val="18"/>
              </w:rPr>
              <w:t>0.251045</w:t>
            </w:r>
          </w:p>
        </w:tc>
      </w:tr>
      <w:tr>
        <w:trPr>
          <w:trHeight w:val="206" w:hRule="atLeast"/>
        </w:trPr>
        <w:tc>
          <w:tcPr>
            <w:tcW w:w="1954" w:type="dxa"/>
          </w:tcPr>
          <w:p>
            <w:pPr>
              <w:pStyle w:val="TableParagraph"/>
              <w:spacing w:line="187" w:lineRule="exact"/>
              <w:ind w:left="36"/>
              <w:rPr>
                <w:sz w:val="18"/>
              </w:rPr>
            </w:pPr>
            <w:r>
              <w:rPr>
                <w:sz w:val="18"/>
              </w:rPr>
              <w:t>S.E.</w:t>
            </w:r>
            <w:r>
              <w:rPr>
                <w:spacing w:val="-3"/>
                <w:sz w:val="18"/>
              </w:rPr>
              <w:t> </w:t>
            </w:r>
            <w:r>
              <w:rPr>
                <w:sz w:val="18"/>
              </w:rPr>
              <w:t>of</w:t>
            </w:r>
            <w:r>
              <w:rPr>
                <w:spacing w:val="-1"/>
                <w:sz w:val="18"/>
              </w:rPr>
              <w:t> </w:t>
            </w:r>
            <w:r>
              <w:rPr>
                <w:spacing w:val="-2"/>
                <w:sz w:val="18"/>
              </w:rPr>
              <w:t>regression</w:t>
            </w:r>
          </w:p>
        </w:tc>
        <w:tc>
          <w:tcPr>
            <w:tcW w:w="1260" w:type="dxa"/>
          </w:tcPr>
          <w:p>
            <w:pPr>
              <w:pStyle w:val="TableParagraph"/>
              <w:spacing w:line="187" w:lineRule="exact"/>
              <w:ind w:right="119"/>
              <w:jc w:val="right"/>
              <w:rPr>
                <w:sz w:val="18"/>
              </w:rPr>
            </w:pPr>
            <w:r>
              <w:rPr>
                <w:spacing w:val="-2"/>
                <w:sz w:val="18"/>
              </w:rPr>
              <w:t>0.153194</w:t>
            </w:r>
          </w:p>
        </w:tc>
        <w:tc>
          <w:tcPr>
            <w:tcW w:w="2389" w:type="dxa"/>
            <w:gridSpan w:val="2"/>
          </w:tcPr>
          <w:p>
            <w:pPr>
              <w:pStyle w:val="TableParagraph"/>
              <w:spacing w:line="187" w:lineRule="exact"/>
              <w:ind w:left="120"/>
              <w:rPr>
                <w:sz w:val="18"/>
              </w:rPr>
            </w:pPr>
            <w:r>
              <w:rPr>
                <w:sz w:val="18"/>
              </w:rPr>
              <w:t>Akaike</w:t>
            </w:r>
            <w:r>
              <w:rPr>
                <w:spacing w:val="-5"/>
                <w:sz w:val="18"/>
              </w:rPr>
              <w:t> </w:t>
            </w:r>
            <w:r>
              <w:rPr>
                <w:sz w:val="18"/>
              </w:rPr>
              <w:t>info</w:t>
            </w:r>
            <w:r>
              <w:rPr>
                <w:spacing w:val="-2"/>
                <w:sz w:val="18"/>
              </w:rPr>
              <w:t> criterion</w:t>
            </w:r>
          </w:p>
        </w:tc>
        <w:tc>
          <w:tcPr>
            <w:tcW w:w="887" w:type="dxa"/>
          </w:tcPr>
          <w:p>
            <w:pPr>
              <w:pStyle w:val="TableParagraph"/>
              <w:spacing w:line="187" w:lineRule="exact"/>
              <w:ind w:right="30"/>
              <w:jc w:val="right"/>
              <w:rPr>
                <w:sz w:val="18"/>
              </w:rPr>
            </w:pPr>
            <w:r>
              <w:rPr>
                <w:sz w:val="18"/>
              </w:rPr>
              <w:t>-</w:t>
            </w:r>
            <w:r>
              <w:rPr>
                <w:spacing w:val="-2"/>
                <w:sz w:val="18"/>
              </w:rPr>
              <w:t>0.717506</w:t>
            </w:r>
          </w:p>
        </w:tc>
      </w:tr>
      <w:tr>
        <w:trPr>
          <w:trHeight w:val="207" w:hRule="atLeast"/>
        </w:trPr>
        <w:tc>
          <w:tcPr>
            <w:tcW w:w="1954" w:type="dxa"/>
          </w:tcPr>
          <w:p>
            <w:pPr>
              <w:pStyle w:val="TableParagraph"/>
              <w:spacing w:line="188" w:lineRule="exact"/>
              <w:ind w:left="36"/>
              <w:rPr>
                <w:sz w:val="18"/>
              </w:rPr>
            </w:pPr>
            <w:r>
              <w:rPr>
                <w:sz w:val="18"/>
              </w:rPr>
              <w:t>Sum</w:t>
            </w:r>
            <w:r>
              <w:rPr>
                <w:spacing w:val="-2"/>
                <w:sz w:val="18"/>
              </w:rPr>
              <w:t> </w:t>
            </w:r>
            <w:r>
              <w:rPr>
                <w:sz w:val="18"/>
              </w:rPr>
              <w:t>squared</w:t>
            </w:r>
            <w:r>
              <w:rPr>
                <w:spacing w:val="1"/>
                <w:sz w:val="18"/>
              </w:rPr>
              <w:t> </w:t>
            </w:r>
            <w:r>
              <w:rPr>
                <w:spacing w:val="-2"/>
                <w:sz w:val="18"/>
              </w:rPr>
              <w:t>resid</w:t>
            </w:r>
          </w:p>
        </w:tc>
        <w:tc>
          <w:tcPr>
            <w:tcW w:w="1260" w:type="dxa"/>
          </w:tcPr>
          <w:p>
            <w:pPr>
              <w:pStyle w:val="TableParagraph"/>
              <w:spacing w:line="188" w:lineRule="exact"/>
              <w:ind w:right="119"/>
              <w:jc w:val="right"/>
              <w:rPr>
                <w:sz w:val="18"/>
              </w:rPr>
            </w:pPr>
            <w:r>
              <w:rPr>
                <w:spacing w:val="-2"/>
                <w:sz w:val="18"/>
              </w:rPr>
              <w:t>0.398963</w:t>
            </w:r>
          </w:p>
        </w:tc>
        <w:tc>
          <w:tcPr>
            <w:tcW w:w="1532" w:type="dxa"/>
          </w:tcPr>
          <w:p>
            <w:pPr>
              <w:pStyle w:val="TableParagraph"/>
              <w:spacing w:line="188" w:lineRule="exact"/>
              <w:ind w:left="120"/>
              <w:rPr>
                <w:sz w:val="18"/>
              </w:rPr>
            </w:pPr>
            <w:r>
              <w:rPr>
                <w:sz w:val="18"/>
              </w:rPr>
              <w:t>Schwarz</w:t>
            </w:r>
            <w:r>
              <w:rPr>
                <w:spacing w:val="-7"/>
                <w:sz w:val="18"/>
              </w:rPr>
              <w:t> </w:t>
            </w:r>
            <w:r>
              <w:rPr>
                <w:spacing w:val="-2"/>
                <w:sz w:val="18"/>
              </w:rPr>
              <w:t>criterion</w:t>
            </w:r>
          </w:p>
        </w:tc>
        <w:tc>
          <w:tcPr>
            <w:tcW w:w="857" w:type="dxa"/>
          </w:tcPr>
          <w:p>
            <w:pPr>
              <w:pStyle w:val="TableParagraph"/>
              <w:rPr>
                <w:sz w:val="14"/>
              </w:rPr>
            </w:pPr>
          </w:p>
        </w:tc>
        <w:tc>
          <w:tcPr>
            <w:tcW w:w="887" w:type="dxa"/>
          </w:tcPr>
          <w:p>
            <w:pPr>
              <w:pStyle w:val="TableParagraph"/>
              <w:spacing w:line="188" w:lineRule="exact"/>
              <w:ind w:right="30"/>
              <w:jc w:val="right"/>
              <w:rPr>
                <w:sz w:val="18"/>
              </w:rPr>
            </w:pPr>
            <w:r>
              <w:rPr>
                <w:sz w:val="18"/>
              </w:rPr>
              <w:t>-</w:t>
            </w:r>
            <w:r>
              <w:rPr>
                <w:spacing w:val="-2"/>
                <w:sz w:val="18"/>
              </w:rPr>
              <w:t>0.469541</w:t>
            </w:r>
          </w:p>
        </w:tc>
      </w:tr>
      <w:tr>
        <w:trPr>
          <w:trHeight w:val="243" w:hRule="atLeast"/>
        </w:trPr>
        <w:tc>
          <w:tcPr>
            <w:tcW w:w="1954" w:type="dxa"/>
            <w:tcBorders>
              <w:bottom w:val="double" w:sz="6" w:space="0" w:color="000000"/>
            </w:tcBorders>
          </w:tcPr>
          <w:p>
            <w:pPr>
              <w:pStyle w:val="TableParagraph"/>
              <w:spacing w:line="204" w:lineRule="exact"/>
              <w:ind w:left="36"/>
              <w:rPr>
                <w:sz w:val="18"/>
              </w:rPr>
            </w:pPr>
            <w:r>
              <w:rPr>
                <w:sz w:val="18"/>
              </w:rPr>
              <w:t>Log</w:t>
            </w:r>
            <w:r>
              <w:rPr>
                <w:spacing w:val="-2"/>
                <w:sz w:val="18"/>
              </w:rPr>
              <w:t> likelihood</w:t>
            </w:r>
          </w:p>
        </w:tc>
        <w:tc>
          <w:tcPr>
            <w:tcW w:w="1260" w:type="dxa"/>
          </w:tcPr>
          <w:p>
            <w:pPr>
              <w:pStyle w:val="TableParagraph"/>
              <w:spacing w:line="204" w:lineRule="exact"/>
              <w:ind w:right="119"/>
              <w:jc w:val="right"/>
              <w:rPr>
                <w:sz w:val="18"/>
              </w:rPr>
            </w:pPr>
            <w:r>
              <w:rPr>
                <w:spacing w:val="-2"/>
                <w:sz w:val="18"/>
              </w:rPr>
              <w:t>12.89256</w:t>
            </w:r>
          </w:p>
        </w:tc>
        <w:tc>
          <w:tcPr>
            <w:tcW w:w="1532" w:type="dxa"/>
            <w:tcBorders>
              <w:bottom w:val="double" w:sz="6" w:space="0" w:color="000000"/>
            </w:tcBorders>
          </w:tcPr>
          <w:p>
            <w:pPr>
              <w:pStyle w:val="TableParagraph"/>
              <w:spacing w:line="204" w:lineRule="exact"/>
              <w:ind w:left="120" w:right="-15"/>
              <w:rPr>
                <w:sz w:val="18"/>
              </w:rPr>
            </w:pPr>
            <w:r>
              <w:rPr>
                <w:sz w:val="18"/>
              </w:rPr>
              <w:t>Durbin-Watson</w:t>
            </w:r>
            <w:r>
              <w:rPr>
                <w:spacing w:val="-5"/>
                <w:sz w:val="18"/>
              </w:rPr>
              <w:t> </w:t>
            </w:r>
            <w:r>
              <w:rPr>
                <w:spacing w:val="-4"/>
                <w:sz w:val="18"/>
              </w:rPr>
              <w:t>stat</w:t>
            </w:r>
          </w:p>
        </w:tc>
        <w:tc>
          <w:tcPr>
            <w:tcW w:w="857" w:type="dxa"/>
            <w:tcBorders>
              <w:bottom w:val="single" w:sz="6" w:space="0" w:color="000000"/>
            </w:tcBorders>
          </w:tcPr>
          <w:p>
            <w:pPr>
              <w:pStyle w:val="TableParagraph"/>
              <w:rPr>
                <w:sz w:val="16"/>
              </w:rPr>
            </w:pPr>
          </w:p>
        </w:tc>
        <w:tc>
          <w:tcPr>
            <w:tcW w:w="887" w:type="dxa"/>
            <w:tcBorders>
              <w:bottom w:val="double" w:sz="6" w:space="0" w:color="000000"/>
            </w:tcBorders>
          </w:tcPr>
          <w:p>
            <w:pPr>
              <w:pStyle w:val="TableParagraph"/>
              <w:spacing w:line="204" w:lineRule="exact"/>
              <w:ind w:right="30"/>
              <w:jc w:val="right"/>
              <w:rPr>
                <w:sz w:val="18"/>
              </w:rPr>
            </w:pPr>
            <w:r>
              <w:rPr>
                <w:spacing w:val="-2"/>
                <w:sz w:val="18"/>
              </w:rPr>
              <w:t>2.516736</w:t>
            </w:r>
          </w:p>
        </w:tc>
      </w:tr>
    </w:tbl>
    <w:p>
      <w:pPr>
        <w:pStyle w:val="BodyText"/>
        <w:spacing w:before="17"/>
        <w:rPr>
          <w:sz w:val="18"/>
        </w:rPr>
      </w:pPr>
    </w:p>
    <w:p>
      <w:pPr>
        <w:spacing w:before="0" w:after="7"/>
        <w:ind w:left="711" w:right="0" w:firstLine="0"/>
        <w:jc w:val="left"/>
        <w:rPr>
          <w:sz w:val="18"/>
        </w:rPr>
      </w:pPr>
      <w:r>
        <w:rPr>
          <w:sz w:val="18"/>
        </w:rPr>
        <w:t>JOHASEN</w:t>
      </w:r>
      <w:r>
        <w:rPr>
          <w:spacing w:val="-2"/>
          <w:sz w:val="18"/>
        </w:rPr>
        <w:t> </w:t>
      </w:r>
      <w:r>
        <w:rPr>
          <w:sz w:val="18"/>
        </w:rPr>
        <w:t>TEST</w:t>
      </w:r>
      <w:r>
        <w:rPr>
          <w:spacing w:val="-2"/>
          <w:sz w:val="18"/>
        </w:rPr>
        <w:t> </w:t>
      </w:r>
      <w:r>
        <w:rPr>
          <w:sz w:val="18"/>
        </w:rPr>
        <w:t>FOR</w:t>
      </w:r>
      <w:r>
        <w:rPr>
          <w:spacing w:val="-2"/>
          <w:sz w:val="18"/>
        </w:rPr>
        <w:t> </w:t>
      </w:r>
      <w:r>
        <w:rPr>
          <w:sz w:val="18"/>
        </w:rPr>
        <w:t>MODEL </w:t>
      </w:r>
      <w:r>
        <w:rPr>
          <w:spacing w:val="-5"/>
          <w:sz w:val="18"/>
        </w:rPr>
        <w:t>6B</w:t>
      </w:r>
    </w:p>
    <w:tbl>
      <w:tblPr>
        <w:tblW w:w="0" w:type="auto"/>
        <w:jc w:val="left"/>
        <w:tblInd w:w="7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83"/>
        <w:gridCol w:w="1357"/>
        <w:gridCol w:w="1459"/>
        <w:gridCol w:w="1395"/>
        <w:gridCol w:w="1489"/>
        <w:gridCol w:w="1499"/>
        <w:gridCol w:w="1258"/>
      </w:tblGrid>
      <w:tr>
        <w:trPr>
          <w:trHeight w:val="202" w:hRule="atLeast"/>
        </w:trPr>
        <w:tc>
          <w:tcPr>
            <w:tcW w:w="9840" w:type="dxa"/>
            <w:gridSpan w:val="7"/>
          </w:tcPr>
          <w:p>
            <w:pPr>
              <w:pStyle w:val="TableParagraph"/>
              <w:spacing w:line="183" w:lineRule="exact"/>
              <w:ind w:left="28"/>
              <w:rPr>
                <w:sz w:val="18"/>
              </w:rPr>
            </w:pPr>
            <w:r>
              <w:rPr>
                <w:sz w:val="18"/>
              </w:rPr>
              <w:t>Date:</w:t>
            </w:r>
            <w:r>
              <w:rPr>
                <w:spacing w:val="-2"/>
                <w:sz w:val="18"/>
              </w:rPr>
              <w:t> </w:t>
            </w:r>
            <w:r>
              <w:rPr>
                <w:sz w:val="18"/>
              </w:rPr>
              <w:t>02/19/14</w:t>
            </w:r>
            <w:r>
              <w:rPr>
                <w:spacing w:val="63"/>
                <w:w w:val="150"/>
                <w:sz w:val="18"/>
              </w:rPr>
              <w:t> </w:t>
            </w:r>
            <w:r>
              <w:rPr>
                <w:sz w:val="18"/>
              </w:rPr>
              <w:t>Time:</w:t>
            </w:r>
            <w:r>
              <w:rPr>
                <w:spacing w:val="-1"/>
                <w:sz w:val="18"/>
              </w:rPr>
              <w:t> </w:t>
            </w:r>
            <w:r>
              <w:rPr>
                <w:spacing w:val="-4"/>
                <w:sz w:val="18"/>
              </w:rPr>
              <w:t>21:30</w:t>
            </w:r>
          </w:p>
        </w:tc>
      </w:tr>
      <w:tr>
        <w:trPr>
          <w:trHeight w:val="206" w:hRule="atLeast"/>
        </w:trPr>
        <w:tc>
          <w:tcPr>
            <w:tcW w:w="9840" w:type="dxa"/>
            <w:gridSpan w:val="7"/>
          </w:tcPr>
          <w:p>
            <w:pPr>
              <w:pStyle w:val="TableParagraph"/>
              <w:spacing w:line="186" w:lineRule="exact"/>
              <w:ind w:left="28"/>
              <w:rPr>
                <w:sz w:val="18"/>
              </w:rPr>
            </w:pPr>
            <w:r>
              <w:rPr>
                <w:sz w:val="18"/>
              </w:rPr>
              <w:t>Sample:</w:t>
            </w:r>
            <w:r>
              <w:rPr>
                <w:spacing w:val="-3"/>
                <w:sz w:val="18"/>
              </w:rPr>
              <w:t> </w:t>
            </w:r>
            <w:r>
              <w:rPr>
                <w:sz w:val="18"/>
              </w:rPr>
              <w:t>1987</w:t>
            </w:r>
            <w:r>
              <w:rPr>
                <w:spacing w:val="-1"/>
                <w:sz w:val="18"/>
              </w:rPr>
              <w:t> </w:t>
            </w:r>
            <w:r>
              <w:rPr>
                <w:spacing w:val="-4"/>
                <w:sz w:val="18"/>
              </w:rPr>
              <w:t>2011</w:t>
            </w:r>
          </w:p>
        </w:tc>
      </w:tr>
      <w:tr>
        <w:trPr>
          <w:trHeight w:val="206" w:hRule="atLeast"/>
        </w:trPr>
        <w:tc>
          <w:tcPr>
            <w:tcW w:w="9840" w:type="dxa"/>
            <w:gridSpan w:val="7"/>
          </w:tcPr>
          <w:p>
            <w:pPr>
              <w:pStyle w:val="TableParagraph"/>
              <w:spacing w:line="186" w:lineRule="exact"/>
              <w:ind w:left="28"/>
              <w:rPr>
                <w:sz w:val="18"/>
              </w:rPr>
            </w:pPr>
            <w:r>
              <w:rPr>
                <w:sz w:val="18"/>
              </w:rPr>
              <w:t>Included</w:t>
            </w:r>
            <w:r>
              <w:rPr>
                <w:spacing w:val="-3"/>
                <w:sz w:val="18"/>
              </w:rPr>
              <w:t> </w:t>
            </w:r>
            <w:r>
              <w:rPr>
                <w:sz w:val="18"/>
              </w:rPr>
              <w:t>observations:</w:t>
            </w:r>
            <w:r>
              <w:rPr>
                <w:spacing w:val="-4"/>
                <w:sz w:val="18"/>
              </w:rPr>
              <w:t> </w:t>
            </w:r>
            <w:r>
              <w:rPr>
                <w:spacing w:val="-5"/>
                <w:sz w:val="18"/>
              </w:rPr>
              <w:t>23</w:t>
            </w:r>
          </w:p>
        </w:tc>
      </w:tr>
      <w:tr>
        <w:trPr>
          <w:trHeight w:val="828" w:hRule="atLeast"/>
        </w:trPr>
        <w:tc>
          <w:tcPr>
            <w:tcW w:w="1383" w:type="dxa"/>
          </w:tcPr>
          <w:p>
            <w:pPr>
              <w:pStyle w:val="TableParagraph"/>
              <w:spacing w:line="242" w:lineRule="auto"/>
              <w:ind w:left="74" w:right="81"/>
              <w:jc w:val="center"/>
              <w:rPr>
                <w:sz w:val="18"/>
              </w:rPr>
            </w:pPr>
            <w:r>
              <w:rPr>
                <w:sz w:val="18"/>
              </w:rPr>
              <w:t>Test</w:t>
            </w:r>
            <w:r>
              <w:rPr>
                <w:spacing w:val="-12"/>
                <w:sz w:val="18"/>
              </w:rPr>
              <w:t> </w:t>
            </w:r>
            <w:r>
              <w:rPr>
                <w:sz w:val="18"/>
              </w:rPr>
              <w:t>assumption: </w:t>
            </w:r>
            <w:r>
              <w:rPr>
                <w:spacing w:val="-2"/>
                <w:sz w:val="18"/>
              </w:rPr>
              <w:t>Linear</w:t>
            </w:r>
          </w:p>
          <w:p>
            <w:pPr>
              <w:pStyle w:val="TableParagraph"/>
              <w:spacing w:line="206" w:lineRule="exact"/>
              <w:ind w:left="105" w:right="110" w:hanging="1"/>
              <w:jc w:val="center"/>
              <w:rPr>
                <w:sz w:val="18"/>
              </w:rPr>
            </w:pPr>
            <w:r>
              <w:rPr>
                <w:spacing w:val="-2"/>
                <w:sz w:val="18"/>
              </w:rPr>
              <w:t>deterministic </w:t>
            </w:r>
            <w:r>
              <w:rPr>
                <w:sz w:val="18"/>
              </w:rPr>
              <w:t>trend</w:t>
            </w:r>
            <w:r>
              <w:rPr>
                <w:spacing w:val="-12"/>
                <w:sz w:val="18"/>
              </w:rPr>
              <w:t> </w:t>
            </w:r>
            <w:r>
              <w:rPr>
                <w:sz w:val="18"/>
              </w:rPr>
              <w:t>in</w:t>
            </w:r>
            <w:r>
              <w:rPr>
                <w:spacing w:val="-11"/>
                <w:sz w:val="18"/>
              </w:rPr>
              <w:t> </w:t>
            </w:r>
            <w:r>
              <w:rPr>
                <w:sz w:val="18"/>
              </w:rPr>
              <w:t>the</w:t>
            </w:r>
            <w:r>
              <w:rPr>
                <w:spacing w:val="-11"/>
                <w:sz w:val="18"/>
              </w:rPr>
              <w:t> </w:t>
            </w:r>
            <w:r>
              <w:rPr>
                <w:sz w:val="18"/>
              </w:rPr>
              <w:t>data</w:t>
            </w:r>
          </w:p>
        </w:tc>
        <w:tc>
          <w:tcPr>
            <w:tcW w:w="1357" w:type="dxa"/>
          </w:tcPr>
          <w:p>
            <w:pPr>
              <w:pStyle w:val="TableParagraph"/>
              <w:rPr>
                <w:sz w:val="18"/>
              </w:rPr>
            </w:pPr>
          </w:p>
        </w:tc>
        <w:tc>
          <w:tcPr>
            <w:tcW w:w="1459" w:type="dxa"/>
          </w:tcPr>
          <w:p>
            <w:pPr>
              <w:pStyle w:val="TableParagraph"/>
              <w:rPr>
                <w:sz w:val="18"/>
              </w:rPr>
            </w:pPr>
          </w:p>
        </w:tc>
        <w:tc>
          <w:tcPr>
            <w:tcW w:w="1395" w:type="dxa"/>
          </w:tcPr>
          <w:p>
            <w:pPr>
              <w:pStyle w:val="TableParagraph"/>
              <w:rPr>
                <w:sz w:val="18"/>
              </w:rPr>
            </w:pPr>
          </w:p>
        </w:tc>
        <w:tc>
          <w:tcPr>
            <w:tcW w:w="1489" w:type="dxa"/>
          </w:tcPr>
          <w:p>
            <w:pPr>
              <w:pStyle w:val="TableParagraph"/>
              <w:rPr>
                <w:sz w:val="18"/>
              </w:rPr>
            </w:pPr>
          </w:p>
        </w:tc>
        <w:tc>
          <w:tcPr>
            <w:tcW w:w="1499" w:type="dxa"/>
          </w:tcPr>
          <w:p>
            <w:pPr>
              <w:pStyle w:val="TableParagraph"/>
              <w:rPr>
                <w:sz w:val="18"/>
              </w:rPr>
            </w:pPr>
          </w:p>
        </w:tc>
        <w:tc>
          <w:tcPr>
            <w:tcW w:w="1258" w:type="dxa"/>
          </w:tcPr>
          <w:p>
            <w:pPr>
              <w:pStyle w:val="TableParagraph"/>
              <w:rPr>
                <w:sz w:val="18"/>
              </w:rPr>
            </w:pPr>
          </w:p>
        </w:tc>
      </w:tr>
      <w:tr>
        <w:trPr>
          <w:trHeight w:val="205" w:hRule="atLeast"/>
        </w:trPr>
        <w:tc>
          <w:tcPr>
            <w:tcW w:w="9840" w:type="dxa"/>
            <w:gridSpan w:val="7"/>
          </w:tcPr>
          <w:p>
            <w:pPr>
              <w:pStyle w:val="TableParagraph"/>
              <w:spacing w:line="185" w:lineRule="exact"/>
              <w:ind w:left="28"/>
              <w:rPr>
                <w:sz w:val="18"/>
              </w:rPr>
            </w:pPr>
            <w:r>
              <w:rPr>
                <w:sz w:val="18"/>
              </w:rPr>
              <w:t>Series:</w:t>
            </w:r>
            <w:r>
              <w:rPr>
                <w:spacing w:val="-1"/>
                <w:sz w:val="18"/>
              </w:rPr>
              <w:t> </w:t>
            </w:r>
            <w:r>
              <w:rPr>
                <w:sz w:val="18"/>
              </w:rPr>
              <w:t>GDP</w:t>
            </w:r>
            <w:r>
              <w:rPr>
                <w:spacing w:val="1"/>
                <w:sz w:val="18"/>
              </w:rPr>
              <w:t> </w:t>
            </w:r>
            <w:r>
              <w:rPr>
                <w:sz w:val="18"/>
              </w:rPr>
              <w:t>EXTDEBT</w:t>
            </w:r>
            <w:r>
              <w:rPr>
                <w:spacing w:val="-3"/>
                <w:sz w:val="18"/>
              </w:rPr>
              <w:t> </w:t>
            </w:r>
            <w:r>
              <w:rPr>
                <w:sz w:val="18"/>
              </w:rPr>
              <w:t>DFI</w:t>
            </w:r>
            <w:r>
              <w:rPr>
                <w:spacing w:val="-1"/>
                <w:sz w:val="18"/>
              </w:rPr>
              <w:t> </w:t>
            </w:r>
            <w:r>
              <w:rPr>
                <w:sz w:val="18"/>
              </w:rPr>
              <w:t>CAB</w:t>
            </w:r>
            <w:r>
              <w:rPr>
                <w:spacing w:val="-1"/>
                <w:sz w:val="18"/>
              </w:rPr>
              <w:t> </w:t>
            </w:r>
            <w:r>
              <w:rPr>
                <w:sz w:val="18"/>
              </w:rPr>
              <w:t>RES</w:t>
            </w:r>
            <w:r>
              <w:rPr>
                <w:spacing w:val="1"/>
                <w:sz w:val="18"/>
              </w:rPr>
              <w:t> </w:t>
            </w:r>
            <w:r>
              <w:rPr>
                <w:spacing w:val="-2"/>
                <w:sz w:val="18"/>
              </w:rPr>
              <w:t>NEXTAS</w:t>
            </w:r>
          </w:p>
        </w:tc>
      </w:tr>
      <w:tr>
        <w:trPr>
          <w:trHeight w:val="202" w:hRule="atLeast"/>
        </w:trPr>
        <w:tc>
          <w:tcPr>
            <w:tcW w:w="9840" w:type="dxa"/>
            <w:gridSpan w:val="7"/>
            <w:tcBorders>
              <w:bottom w:val="double" w:sz="6" w:space="0" w:color="000000"/>
            </w:tcBorders>
          </w:tcPr>
          <w:p>
            <w:pPr>
              <w:pStyle w:val="TableParagraph"/>
              <w:spacing w:line="183" w:lineRule="exact"/>
              <w:ind w:left="28"/>
              <w:rPr>
                <w:sz w:val="18"/>
              </w:rPr>
            </w:pPr>
            <w:r>
              <w:rPr>
                <w:sz w:val="18"/>
              </w:rPr>
              <w:t>Lags</w:t>
            </w:r>
            <w:r>
              <w:rPr>
                <w:spacing w:val="-2"/>
                <w:sz w:val="18"/>
              </w:rPr>
              <w:t> </w:t>
            </w:r>
            <w:r>
              <w:rPr>
                <w:sz w:val="18"/>
              </w:rPr>
              <w:t>interval:</w:t>
            </w:r>
            <w:r>
              <w:rPr>
                <w:spacing w:val="-1"/>
                <w:sz w:val="18"/>
              </w:rPr>
              <w:t> </w:t>
            </w:r>
            <w:r>
              <w:rPr>
                <w:sz w:val="18"/>
              </w:rPr>
              <w:t>1 to</w:t>
            </w:r>
            <w:r>
              <w:rPr>
                <w:spacing w:val="-2"/>
                <w:sz w:val="18"/>
              </w:rPr>
              <w:t> </w:t>
            </w:r>
            <w:r>
              <w:rPr>
                <w:spacing w:val="-10"/>
                <w:sz w:val="18"/>
              </w:rPr>
              <w:t>1</w:t>
            </w:r>
          </w:p>
        </w:tc>
      </w:tr>
      <w:tr>
        <w:trPr>
          <w:trHeight w:val="251" w:hRule="atLeast"/>
        </w:trPr>
        <w:tc>
          <w:tcPr>
            <w:tcW w:w="1383" w:type="dxa"/>
            <w:tcBorders>
              <w:top w:val="double" w:sz="6" w:space="0" w:color="000000"/>
            </w:tcBorders>
          </w:tcPr>
          <w:p>
            <w:pPr>
              <w:pStyle w:val="TableParagraph"/>
              <w:rPr>
                <w:sz w:val="18"/>
              </w:rPr>
            </w:pPr>
          </w:p>
        </w:tc>
        <w:tc>
          <w:tcPr>
            <w:tcW w:w="1357" w:type="dxa"/>
            <w:tcBorders>
              <w:top w:val="double" w:sz="6" w:space="0" w:color="000000"/>
            </w:tcBorders>
          </w:tcPr>
          <w:p>
            <w:pPr>
              <w:pStyle w:val="TableParagraph"/>
              <w:spacing w:line="192" w:lineRule="exact" w:before="40"/>
              <w:ind w:left="90" w:right="43"/>
              <w:jc w:val="center"/>
              <w:rPr>
                <w:sz w:val="18"/>
              </w:rPr>
            </w:pPr>
            <w:r>
              <w:rPr>
                <w:spacing w:val="-2"/>
                <w:sz w:val="18"/>
              </w:rPr>
              <w:t>Likelihood</w:t>
            </w:r>
          </w:p>
        </w:tc>
        <w:tc>
          <w:tcPr>
            <w:tcW w:w="1459" w:type="dxa"/>
            <w:tcBorders>
              <w:top w:val="double" w:sz="6" w:space="0" w:color="000000"/>
            </w:tcBorders>
          </w:tcPr>
          <w:p>
            <w:pPr>
              <w:pStyle w:val="TableParagraph"/>
              <w:spacing w:line="192" w:lineRule="exact" w:before="40"/>
              <w:ind w:left="416"/>
              <w:rPr>
                <w:sz w:val="18"/>
              </w:rPr>
            </w:pPr>
            <w:r>
              <w:rPr>
                <w:sz w:val="18"/>
              </w:rPr>
              <w:t>5</w:t>
            </w:r>
            <w:r>
              <w:rPr>
                <w:spacing w:val="-1"/>
                <w:sz w:val="18"/>
              </w:rPr>
              <w:t> </w:t>
            </w:r>
            <w:r>
              <w:rPr>
                <w:spacing w:val="-2"/>
                <w:sz w:val="18"/>
              </w:rPr>
              <w:t>Percent</w:t>
            </w:r>
          </w:p>
        </w:tc>
        <w:tc>
          <w:tcPr>
            <w:tcW w:w="1395" w:type="dxa"/>
            <w:tcBorders>
              <w:top w:val="double" w:sz="6" w:space="0" w:color="000000"/>
            </w:tcBorders>
          </w:tcPr>
          <w:p>
            <w:pPr>
              <w:pStyle w:val="TableParagraph"/>
              <w:spacing w:line="192" w:lineRule="exact" w:before="40"/>
              <w:ind w:left="109" w:right="90"/>
              <w:jc w:val="center"/>
              <w:rPr>
                <w:sz w:val="18"/>
              </w:rPr>
            </w:pPr>
            <w:r>
              <w:rPr>
                <w:sz w:val="18"/>
              </w:rPr>
              <w:t>1</w:t>
            </w:r>
            <w:r>
              <w:rPr>
                <w:spacing w:val="-1"/>
                <w:sz w:val="18"/>
              </w:rPr>
              <w:t> </w:t>
            </w:r>
            <w:r>
              <w:rPr>
                <w:spacing w:val="-2"/>
                <w:sz w:val="18"/>
              </w:rPr>
              <w:t>Percent</w:t>
            </w:r>
          </w:p>
        </w:tc>
        <w:tc>
          <w:tcPr>
            <w:tcW w:w="1489" w:type="dxa"/>
            <w:tcBorders>
              <w:top w:val="double" w:sz="6" w:space="0" w:color="000000"/>
            </w:tcBorders>
          </w:tcPr>
          <w:p>
            <w:pPr>
              <w:pStyle w:val="TableParagraph"/>
              <w:spacing w:line="192" w:lineRule="exact" w:before="40"/>
              <w:ind w:left="227"/>
              <w:rPr>
                <w:sz w:val="18"/>
              </w:rPr>
            </w:pPr>
            <w:r>
              <w:rPr>
                <w:spacing w:val="-2"/>
                <w:sz w:val="18"/>
              </w:rPr>
              <w:t>Hypothesized</w:t>
            </w:r>
          </w:p>
        </w:tc>
        <w:tc>
          <w:tcPr>
            <w:tcW w:w="1499" w:type="dxa"/>
            <w:tcBorders>
              <w:top w:val="double" w:sz="6" w:space="0" w:color="000000"/>
            </w:tcBorders>
          </w:tcPr>
          <w:p>
            <w:pPr>
              <w:pStyle w:val="TableParagraph"/>
              <w:rPr>
                <w:sz w:val="18"/>
              </w:rPr>
            </w:pPr>
          </w:p>
        </w:tc>
        <w:tc>
          <w:tcPr>
            <w:tcW w:w="1258" w:type="dxa"/>
            <w:tcBorders>
              <w:top w:val="double" w:sz="6" w:space="0" w:color="000000"/>
            </w:tcBorders>
          </w:tcPr>
          <w:p>
            <w:pPr>
              <w:pStyle w:val="TableParagraph"/>
              <w:rPr>
                <w:sz w:val="18"/>
              </w:rPr>
            </w:pPr>
          </w:p>
        </w:tc>
      </w:tr>
      <w:tr>
        <w:trPr>
          <w:trHeight w:val="202" w:hRule="atLeast"/>
        </w:trPr>
        <w:tc>
          <w:tcPr>
            <w:tcW w:w="1383" w:type="dxa"/>
            <w:tcBorders>
              <w:bottom w:val="double" w:sz="6" w:space="0" w:color="000000"/>
            </w:tcBorders>
          </w:tcPr>
          <w:p>
            <w:pPr>
              <w:pStyle w:val="TableParagraph"/>
              <w:spacing w:line="183" w:lineRule="exact"/>
              <w:ind w:right="4"/>
              <w:jc w:val="center"/>
              <w:rPr>
                <w:sz w:val="18"/>
              </w:rPr>
            </w:pPr>
            <w:r>
              <w:rPr>
                <w:spacing w:val="-2"/>
                <w:sz w:val="18"/>
              </w:rPr>
              <w:t>Eigenvalue</w:t>
            </w:r>
          </w:p>
        </w:tc>
        <w:tc>
          <w:tcPr>
            <w:tcW w:w="1357" w:type="dxa"/>
            <w:tcBorders>
              <w:bottom w:val="double" w:sz="6" w:space="0" w:color="000000"/>
            </w:tcBorders>
          </w:tcPr>
          <w:p>
            <w:pPr>
              <w:pStyle w:val="TableParagraph"/>
              <w:spacing w:line="183" w:lineRule="exact"/>
              <w:ind w:left="90" w:right="45"/>
              <w:jc w:val="center"/>
              <w:rPr>
                <w:sz w:val="18"/>
              </w:rPr>
            </w:pPr>
            <w:r>
              <w:rPr>
                <w:spacing w:val="-2"/>
                <w:sz w:val="18"/>
              </w:rPr>
              <w:t>Ratio</w:t>
            </w:r>
          </w:p>
        </w:tc>
        <w:tc>
          <w:tcPr>
            <w:tcW w:w="1459" w:type="dxa"/>
            <w:tcBorders>
              <w:bottom w:val="double" w:sz="6" w:space="0" w:color="000000"/>
            </w:tcBorders>
          </w:tcPr>
          <w:p>
            <w:pPr>
              <w:pStyle w:val="TableParagraph"/>
              <w:spacing w:line="183" w:lineRule="exact"/>
              <w:ind w:left="246"/>
              <w:rPr>
                <w:sz w:val="18"/>
              </w:rPr>
            </w:pPr>
            <w:r>
              <w:rPr>
                <w:sz w:val="18"/>
              </w:rPr>
              <w:t>Critical</w:t>
            </w:r>
            <w:r>
              <w:rPr>
                <w:spacing w:val="-4"/>
                <w:sz w:val="18"/>
              </w:rPr>
              <w:t> </w:t>
            </w:r>
            <w:r>
              <w:rPr>
                <w:spacing w:val="-2"/>
                <w:sz w:val="18"/>
              </w:rPr>
              <w:t>Value</w:t>
            </w:r>
          </w:p>
        </w:tc>
        <w:tc>
          <w:tcPr>
            <w:tcW w:w="1395" w:type="dxa"/>
            <w:tcBorders>
              <w:bottom w:val="double" w:sz="6" w:space="0" w:color="000000"/>
            </w:tcBorders>
          </w:tcPr>
          <w:p>
            <w:pPr>
              <w:pStyle w:val="TableParagraph"/>
              <w:spacing w:line="183" w:lineRule="exact"/>
              <w:ind w:left="109" w:right="92"/>
              <w:jc w:val="center"/>
              <w:rPr>
                <w:sz w:val="18"/>
              </w:rPr>
            </w:pPr>
            <w:r>
              <w:rPr>
                <w:sz w:val="18"/>
              </w:rPr>
              <w:t>Critical</w:t>
            </w:r>
            <w:r>
              <w:rPr>
                <w:spacing w:val="-4"/>
                <w:sz w:val="18"/>
              </w:rPr>
              <w:t> </w:t>
            </w:r>
            <w:r>
              <w:rPr>
                <w:spacing w:val="-2"/>
                <w:sz w:val="18"/>
              </w:rPr>
              <w:t>Value</w:t>
            </w:r>
          </w:p>
        </w:tc>
        <w:tc>
          <w:tcPr>
            <w:tcW w:w="1489" w:type="dxa"/>
            <w:tcBorders>
              <w:bottom w:val="double" w:sz="6" w:space="0" w:color="000000"/>
            </w:tcBorders>
          </w:tcPr>
          <w:p>
            <w:pPr>
              <w:pStyle w:val="TableParagraph"/>
              <w:spacing w:line="183" w:lineRule="exact"/>
              <w:ind w:left="261"/>
              <w:rPr>
                <w:sz w:val="18"/>
              </w:rPr>
            </w:pPr>
            <w:r>
              <w:rPr>
                <w:sz w:val="18"/>
              </w:rPr>
              <w:t>No. of</w:t>
            </w:r>
            <w:r>
              <w:rPr>
                <w:spacing w:val="-1"/>
                <w:sz w:val="18"/>
              </w:rPr>
              <w:t> </w:t>
            </w:r>
            <w:r>
              <w:rPr>
                <w:spacing w:val="-4"/>
                <w:sz w:val="18"/>
              </w:rPr>
              <w:t>CE(s)</w:t>
            </w:r>
          </w:p>
        </w:tc>
        <w:tc>
          <w:tcPr>
            <w:tcW w:w="1499" w:type="dxa"/>
            <w:tcBorders>
              <w:bottom w:val="double" w:sz="6" w:space="0" w:color="000000"/>
            </w:tcBorders>
          </w:tcPr>
          <w:p>
            <w:pPr>
              <w:pStyle w:val="TableParagraph"/>
              <w:rPr>
                <w:sz w:val="14"/>
              </w:rPr>
            </w:pPr>
          </w:p>
        </w:tc>
        <w:tc>
          <w:tcPr>
            <w:tcW w:w="1258" w:type="dxa"/>
            <w:tcBorders>
              <w:bottom w:val="double" w:sz="6" w:space="0" w:color="000000"/>
            </w:tcBorders>
          </w:tcPr>
          <w:p>
            <w:pPr>
              <w:pStyle w:val="TableParagraph"/>
              <w:rPr>
                <w:sz w:val="14"/>
              </w:rPr>
            </w:pPr>
          </w:p>
        </w:tc>
      </w:tr>
      <w:tr>
        <w:trPr>
          <w:trHeight w:val="251" w:hRule="atLeast"/>
        </w:trPr>
        <w:tc>
          <w:tcPr>
            <w:tcW w:w="1383" w:type="dxa"/>
            <w:tcBorders>
              <w:top w:val="double" w:sz="6" w:space="0" w:color="000000"/>
            </w:tcBorders>
          </w:tcPr>
          <w:p>
            <w:pPr>
              <w:pStyle w:val="TableParagraph"/>
              <w:spacing w:line="192" w:lineRule="exact" w:before="40"/>
              <w:ind w:left="41"/>
              <w:jc w:val="center"/>
              <w:rPr>
                <w:sz w:val="18"/>
              </w:rPr>
            </w:pPr>
            <w:r>
              <w:rPr>
                <w:spacing w:val="-2"/>
                <w:sz w:val="18"/>
              </w:rPr>
              <w:t>0.849806</w:t>
            </w:r>
          </w:p>
        </w:tc>
        <w:tc>
          <w:tcPr>
            <w:tcW w:w="1357" w:type="dxa"/>
            <w:tcBorders>
              <w:top w:val="double" w:sz="6" w:space="0" w:color="000000"/>
            </w:tcBorders>
          </w:tcPr>
          <w:p>
            <w:pPr>
              <w:pStyle w:val="TableParagraph"/>
              <w:spacing w:line="192" w:lineRule="exact" w:before="40"/>
              <w:ind w:left="90"/>
              <w:jc w:val="center"/>
              <w:rPr>
                <w:sz w:val="18"/>
              </w:rPr>
            </w:pPr>
            <w:r>
              <w:rPr>
                <w:spacing w:val="-2"/>
                <w:sz w:val="18"/>
              </w:rPr>
              <w:t>112.8849</w:t>
            </w:r>
          </w:p>
        </w:tc>
        <w:tc>
          <w:tcPr>
            <w:tcW w:w="1459" w:type="dxa"/>
            <w:tcBorders>
              <w:top w:val="double" w:sz="6" w:space="0" w:color="000000"/>
            </w:tcBorders>
          </w:tcPr>
          <w:p>
            <w:pPr>
              <w:pStyle w:val="TableParagraph"/>
              <w:spacing w:line="192" w:lineRule="exact" w:before="40"/>
              <w:ind w:left="573"/>
              <w:rPr>
                <w:sz w:val="18"/>
              </w:rPr>
            </w:pPr>
            <w:r>
              <w:rPr>
                <w:spacing w:val="-2"/>
                <w:sz w:val="18"/>
              </w:rPr>
              <w:t>94.15</w:t>
            </w:r>
          </w:p>
        </w:tc>
        <w:tc>
          <w:tcPr>
            <w:tcW w:w="1395" w:type="dxa"/>
            <w:tcBorders>
              <w:top w:val="double" w:sz="6" w:space="0" w:color="000000"/>
            </w:tcBorders>
          </w:tcPr>
          <w:p>
            <w:pPr>
              <w:pStyle w:val="TableParagraph"/>
              <w:spacing w:line="192" w:lineRule="exact" w:before="40"/>
              <w:ind w:left="109" w:right="93"/>
              <w:jc w:val="center"/>
              <w:rPr>
                <w:sz w:val="18"/>
              </w:rPr>
            </w:pPr>
            <w:r>
              <w:rPr>
                <w:spacing w:val="-2"/>
                <w:sz w:val="18"/>
              </w:rPr>
              <w:t>103.18</w:t>
            </w:r>
          </w:p>
        </w:tc>
        <w:tc>
          <w:tcPr>
            <w:tcW w:w="1489" w:type="dxa"/>
            <w:tcBorders>
              <w:top w:val="double" w:sz="6" w:space="0" w:color="000000"/>
            </w:tcBorders>
          </w:tcPr>
          <w:p>
            <w:pPr>
              <w:pStyle w:val="TableParagraph"/>
              <w:spacing w:line="192" w:lineRule="exact" w:before="40"/>
              <w:ind w:left="321"/>
              <w:rPr>
                <w:sz w:val="18"/>
              </w:rPr>
            </w:pPr>
            <w:r>
              <w:rPr>
                <w:sz w:val="18"/>
              </w:rPr>
              <w:t>None</w:t>
            </w:r>
            <w:r>
              <w:rPr>
                <w:spacing w:val="-2"/>
                <w:sz w:val="18"/>
              </w:rPr>
              <w:t> </w:t>
            </w:r>
            <w:r>
              <w:rPr>
                <w:spacing w:val="-5"/>
                <w:sz w:val="18"/>
              </w:rPr>
              <w:t>**</w:t>
            </w:r>
          </w:p>
        </w:tc>
        <w:tc>
          <w:tcPr>
            <w:tcW w:w="1499" w:type="dxa"/>
            <w:tcBorders>
              <w:top w:val="double" w:sz="6" w:space="0" w:color="000000"/>
            </w:tcBorders>
          </w:tcPr>
          <w:p>
            <w:pPr>
              <w:pStyle w:val="TableParagraph"/>
              <w:rPr>
                <w:sz w:val="18"/>
              </w:rPr>
            </w:pPr>
          </w:p>
        </w:tc>
        <w:tc>
          <w:tcPr>
            <w:tcW w:w="1258" w:type="dxa"/>
            <w:tcBorders>
              <w:top w:val="double" w:sz="6" w:space="0" w:color="000000"/>
            </w:tcBorders>
          </w:tcPr>
          <w:p>
            <w:pPr>
              <w:pStyle w:val="TableParagraph"/>
              <w:rPr>
                <w:sz w:val="18"/>
              </w:rPr>
            </w:pPr>
          </w:p>
        </w:tc>
      </w:tr>
      <w:tr>
        <w:trPr>
          <w:trHeight w:val="207" w:hRule="atLeast"/>
        </w:trPr>
        <w:tc>
          <w:tcPr>
            <w:tcW w:w="1383" w:type="dxa"/>
          </w:tcPr>
          <w:p>
            <w:pPr>
              <w:pStyle w:val="TableParagraph"/>
              <w:spacing w:line="188" w:lineRule="exact"/>
              <w:ind w:left="41"/>
              <w:jc w:val="center"/>
              <w:rPr>
                <w:sz w:val="18"/>
              </w:rPr>
            </w:pPr>
            <w:r>
              <w:rPr>
                <w:spacing w:val="-2"/>
                <w:sz w:val="18"/>
              </w:rPr>
              <w:t>0.648669</w:t>
            </w:r>
          </w:p>
        </w:tc>
        <w:tc>
          <w:tcPr>
            <w:tcW w:w="1357" w:type="dxa"/>
          </w:tcPr>
          <w:p>
            <w:pPr>
              <w:pStyle w:val="TableParagraph"/>
              <w:spacing w:line="188" w:lineRule="exact"/>
              <w:ind w:left="90"/>
              <w:jc w:val="center"/>
              <w:rPr>
                <w:sz w:val="18"/>
              </w:rPr>
            </w:pPr>
            <w:r>
              <w:rPr>
                <w:spacing w:val="-2"/>
                <w:sz w:val="18"/>
              </w:rPr>
              <w:t>69.28095</w:t>
            </w:r>
          </w:p>
        </w:tc>
        <w:tc>
          <w:tcPr>
            <w:tcW w:w="1459" w:type="dxa"/>
          </w:tcPr>
          <w:p>
            <w:pPr>
              <w:pStyle w:val="TableParagraph"/>
              <w:spacing w:line="188" w:lineRule="exact"/>
              <w:ind w:left="573"/>
              <w:rPr>
                <w:sz w:val="18"/>
              </w:rPr>
            </w:pPr>
            <w:r>
              <w:rPr>
                <w:spacing w:val="-2"/>
                <w:sz w:val="18"/>
              </w:rPr>
              <w:t>68.52</w:t>
            </w:r>
          </w:p>
        </w:tc>
        <w:tc>
          <w:tcPr>
            <w:tcW w:w="1395" w:type="dxa"/>
          </w:tcPr>
          <w:p>
            <w:pPr>
              <w:pStyle w:val="TableParagraph"/>
              <w:spacing w:line="188" w:lineRule="exact"/>
              <w:ind w:left="109" w:right="48"/>
              <w:jc w:val="center"/>
              <w:rPr>
                <w:sz w:val="18"/>
              </w:rPr>
            </w:pPr>
            <w:r>
              <w:rPr>
                <w:spacing w:val="-2"/>
                <w:sz w:val="18"/>
              </w:rPr>
              <w:t>76.07</w:t>
            </w:r>
          </w:p>
        </w:tc>
        <w:tc>
          <w:tcPr>
            <w:tcW w:w="1489" w:type="dxa"/>
          </w:tcPr>
          <w:p>
            <w:pPr>
              <w:pStyle w:val="TableParagraph"/>
              <w:spacing w:line="188" w:lineRule="exact"/>
              <w:ind w:left="184"/>
              <w:rPr>
                <w:sz w:val="18"/>
              </w:rPr>
            </w:pPr>
            <w:r>
              <w:rPr>
                <w:sz w:val="18"/>
              </w:rPr>
              <w:t>At</w:t>
            </w:r>
            <w:r>
              <w:rPr>
                <w:spacing w:val="-2"/>
                <w:sz w:val="18"/>
              </w:rPr>
              <w:t> </w:t>
            </w:r>
            <w:r>
              <w:rPr>
                <w:sz w:val="18"/>
              </w:rPr>
              <w:t>most</w:t>
            </w:r>
            <w:r>
              <w:rPr>
                <w:spacing w:val="-2"/>
                <w:sz w:val="18"/>
              </w:rPr>
              <w:t> </w:t>
            </w:r>
            <w:r>
              <w:rPr>
                <w:sz w:val="18"/>
              </w:rPr>
              <w:t>1</w:t>
            </w:r>
            <w:r>
              <w:rPr>
                <w:spacing w:val="2"/>
                <w:sz w:val="18"/>
              </w:rPr>
              <w:t> </w:t>
            </w:r>
            <w:r>
              <w:rPr>
                <w:spacing w:val="-10"/>
                <w:sz w:val="18"/>
              </w:rPr>
              <w:t>*</w:t>
            </w:r>
          </w:p>
        </w:tc>
        <w:tc>
          <w:tcPr>
            <w:tcW w:w="1499" w:type="dxa"/>
          </w:tcPr>
          <w:p>
            <w:pPr>
              <w:pStyle w:val="TableParagraph"/>
              <w:rPr>
                <w:sz w:val="14"/>
              </w:rPr>
            </w:pPr>
          </w:p>
        </w:tc>
        <w:tc>
          <w:tcPr>
            <w:tcW w:w="1258" w:type="dxa"/>
          </w:tcPr>
          <w:p>
            <w:pPr>
              <w:pStyle w:val="TableParagraph"/>
              <w:rPr>
                <w:sz w:val="14"/>
              </w:rPr>
            </w:pPr>
          </w:p>
        </w:tc>
      </w:tr>
      <w:tr>
        <w:trPr>
          <w:trHeight w:val="206" w:hRule="atLeast"/>
        </w:trPr>
        <w:tc>
          <w:tcPr>
            <w:tcW w:w="1383" w:type="dxa"/>
          </w:tcPr>
          <w:p>
            <w:pPr>
              <w:pStyle w:val="TableParagraph"/>
              <w:spacing w:line="186" w:lineRule="exact"/>
              <w:ind w:left="41"/>
              <w:jc w:val="center"/>
              <w:rPr>
                <w:sz w:val="18"/>
              </w:rPr>
            </w:pPr>
            <w:r>
              <w:rPr>
                <w:spacing w:val="-2"/>
                <w:sz w:val="18"/>
              </w:rPr>
              <w:t>0.632812</w:t>
            </w:r>
          </w:p>
        </w:tc>
        <w:tc>
          <w:tcPr>
            <w:tcW w:w="1357" w:type="dxa"/>
          </w:tcPr>
          <w:p>
            <w:pPr>
              <w:pStyle w:val="TableParagraph"/>
              <w:spacing w:line="186" w:lineRule="exact"/>
              <w:ind w:left="90"/>
              <w:jc w:val="center"/>
              <w:rPr>
                <w:sz w:val="18"/>
              </w:rPr>
            </w:pPr>
            <w:r>
              <w:rPr>
                <w:spacing w:val="-2"/>
                <w:sz w:val="18"/>
              </w:rPr>
              <w:t>45.22235</w:t>
            </w:r>
          </w:p>
        </w:tc>
        <w:tc>
          <w:tcPr>
            <w:tcW w:w="1459" w:type="dxa"/>
          </w:tcPr>
          <w:p>
            <w:pPr>
              <w:pStyle w:val="TableParagraph"/>
              <w:spacing w:line="186" w:lineRule="exact"/>
              <w:ind w:left="573"/>
              <w:rPr>
                <w:sz w:val="18"/>
              </w:rPr>
            </w:pPr>
            <w:r>
              <w:rPr>
                <w:spacing w:val="-2"/>
                <w:sz w:val="18"/>
              </w:rPr>
              <w:t>47.21</w:t>
            </w:r>
          </w:p>
        </w:tc>
        <w:tc>
          <w:tcPr>
            <w:tcW w:w="1395" w:type="dxa"/>
          </w:tcPr>
          <w:p>
            <w:pPr>
              <w:pStyle w:val="TableParagraph"/>
              <w:spacing w:line="186" w:lineRule="exact"/>
              <w:ind w:left="109" w:right="48"/>
              <w:jc w:val="center"/>
              <w:rPr>
                <w:sz w:val="18"/>
              </w:rPr>
            </w:pPr>
            <w:r>
              <w:rPr>
                <w:spacing w:val="-2"/>
                <w:sz w:val="18"/>
              </w:rPr>
              <w:t>54.46</w:t>
            </w:r>
          </w:p>
        </w:tc>
        <w:tc>
          <w:tcPr>
            <w:tcW w:w="1489" w:type="dxa"/>
          </w:tcPr>
          <w:p>
            <w:pPr>
              <w:pStyle w:val="TableParagraph"/>
              <w:spacing w:line="186" w:lineRule="exact"/>
              <w:ind w:left="184"/>
              <w:rPr>
                <w:sz w:val="18"/>
              </w:rPr>
            </w:pPr>
            <w:r>
              <w:rPr>
                <w:sz w:val="18"/>
              </w:rPr>
              <w:t>At</w:t>
            </w:r>
            <w:r>
              <w:rPr>
                <w:spacing w:val="-3"/>
                <w:sz w:val="18"/>
              </w:rPr>
              <w:t> </w:t>
            </w:r>
            <w:r>
              <w:rPr>
                <w:sz w:val="18"/>
              </w:rPr>
              <w:t>most</w:t>
            </w:r>
            <w:r>
              <w:rPr>
                <w:spacing w:val="-3"/>
                <w:sz w:val="18"/>
              </w:rPr>
              <w:t> </w:t>
            </w:r>
            <w:r>
              <w:rPr>
                <w:spacing w:val="-10"/>
                <w:sz w:val="18"/>
              </w:rPr>
              <w:t>2</w:t>
            </w:r>
          </w:p>
        </w:tc>
        <w:tc>
          <w:tcPr>
            <w:tcW w:w="1499" w:type="dxa"/>
          </w:tcPr>
          <w:p>
            <w:pPr>
              <w:pStyle w:val="TableParagraph"/>
              <w:rPr>
                <w:sz w:val="14"/>
              </w:rPr>
            </w:pPr>
          </w:p>
        </w:tc>
        <w:tc>
          <w:tcPr>
            <w:tcW w:w="1258" w:type="dxa"/>
          </w:tcPr>
          <w:p>
            <w:pPr>
              <w:pStyle w:val="TableParagraph"/>
              <w:rPr>
                <w:sz w:val="14"/>
              </w:rPr>
            </w:pPr>
          </w:p>
        </w:tc>
      </w:tr>
      <w:tr>
        <w:trPr>
          <w:trHeight w:val="206" w:hRule="atLeast"/>
        </w:trPr>
        <w:tc>
          <w:tcPr>
            <w:tcW w:w="1383" w:type="dxa"/>
          </w:tcPr>
          <w:p>
            <w:pPr>
              <w:pStyle w:val="TableParagraph"/>
              <w:spacing w:line="186" w:lineRule="exact"/>
              <w:ind w:left="41"/>
              <w:jc w:val="center"/>
              <w:rPr>
                <w:sz w:val="18"/>
              </w:rPr>
            </w:pPr>
            <w:r>
              <w:rPr>
                <w:spacing w:val="-2"/>
                <w:sz w:val="18"/>
              </w:rPr>
              <w:t>0.345955</w:t>
            </w:r>
          </w:p>
        </w:tc>
        <w:tc>
          <w:tcPr>
            <w:tcW w:w="1357" w:type="dxa"/>
          </w:tcPr>
          <w:p>
            <w:pPr>
              <w:pStyle w:val="TableParagraph"/>
              <w:spacing w:line="186" w:lineRule="exact"/>
              <w:ind w:left="90"/>
              <w:jc w:val="center"/>
              <w:rPr>
                <w:sz w:val="18"/>
              </w:rPr>
            </w:pPr>
            <w:r>
              <w:rPr>
                <w:spacing w:val="-2"/>
                <w:sz w:val="18"/>
              </w:rPr>
              <w:t>22.17911</w:t>
            </w:r>
          </w:p>
        </w:tc>
        <w:tc>
          <w:tcPr>
            <w:tcW w:w="1459" w:type="dxa"/>
          </w:tcPr>
          <w:p>
            <w:pPr>
              <w:pStyle w:val="TableParagraph"/>
              <w:spacing w:line="186" w:lineRule="exact"/>
              <w:ind w:left="573"/>
              <w:rPr>
                <w:sz w:val="18"/>
              </w:rPr>
            </w:pPr>
            <w:r>
              <w:rPr>
                <w:spacing w:val="-2"/>
                <w:sz w:val="18"/>
              </w:rPr>
              <w:t>29.68</w:t>
            </w:r>
          </w:p>
        </w:tc>
        <w:tc>
          <w:tcPr>
            <w:tcW w:w="1395" w:type="dxa"/>
          </w:tcPr>
          <w:p>
            <w:pPr>
              <w:pStyle w:val="TableParagraph"/>
              <w:spacing w:line="186" w:lineRule="exact"/>
              <w:ind w:left="109" w:right="48"/>
              <w:jc w:val="center"/>
              <w:rPr>
                <w:sz w:val="18"/>
              </w:rPr>
            </w:pPr>
            <w:r>
              <w:rPr>
                <w:spacing w:val="-2"/>
                <w:sz w:val="18"/>
              </w:rPr>
              <w:t>35.65</w:t>
            </w:r>
          </w:p>
        </w:tc>
        <w:tc>
          <w:tcPr>
            <w:tcW w:w="1489" w:type="dxa"/>
          </w:tcPr>
          <w:p>
            <w:pPr>
              <w:pStyle w:val="TableParagraph"/>
              <w:spacing w:line="186" w:lineRule="exact"/>
              <w:ind w:left="184"/>
              <w:rPr>
                <w:sz w:val="18"/>
              </w:rPr>
            </w:pPr>
            <w:r>
              <w:rPr>
                <w:sz w:val="18"/>
              </w:rPr>
              <w:t>At</w:t>
            </w:r>
            <w:r>
              <w:rPr>
                <w:spacing w:val="-3"/>
                <w:sz w:val="18"/>
              </w:rPr>
              <w:t> </w:t>
            </w:r>
            <w:r>
              <w:rPr>
                <w:sz w:val="18"/>
              </w:rPr>
              <w:t>most</w:t>
            </w:r>
            <w:r>
              <w:rPr>
                <w:spacing w:val="-3"/>
                <w:sz w:val="18"/>
              </w:rPr>
              <w:t> </w:t>
            </w:r>
            <w:r>
              <w:rPr>
                <w:spacing w:val="-10"/>
                <w:sz w:val="18"/>
              </w:rPr>
              <w:t>3</w:t>
            </w:r>
          </w:p>
        </w:tc>
        <w:tc>
          <w:tcPr>
            <w:tcW w:w="1499" w:type="dxa"/>
          </w:tcPr>
          <w:p>
            <w:pPr>
              <w:pStyle w:val="TableParagraph"/>
              <w:rPr>
                <w:sz w:val="14"/>
              </w:rPr>
            </w:pPr>
          </w:p>
        </w:tc>
        <w:tc>
          <w:tcPr>
            <w:tcW w:w="1258" w:type="dxa"/>
          </w:tcPr>
          <w:p>
            <w:pPr>
              <w:pStyle w:val="TableParagraph"/>
              <w:rPr>
                <w:sz w:val="14"/>
              </w:rPr>
            </w:pPr>
          </w:p>
        </w:tc>
      </w:tr>
      <w:tr>
        <w:trPr>
          <w:trHeight w:val="206" w:hRule="atLeast"/>
        </w:trPr>
        <w:tc>
          <w:tcPr>
            <w:tcW w:w="1383" w:type="dxa"/>
          </w:tcPr>
          <w:p>
            <w:pPr>
              <w:pStyle w:val="TableParagraph"/>
              <w:spacing w:line="186" w:lineRule="exact"/>
              <w:ind w:left="41"/>
              <w:jc w:val="center"/>
              <w:rPr>
                <w:sz w:val="18"/>
              </w:rPr>
            </w:pPr>
            <w:r>
              <w:rPr>
                <w:spacing w:val="-2"/>
                <w:sz w:val="18"/>
              </w:rPr>
              <w:t>0.303035</w:t>
            </w:r>
          </w:p>
        </w:tc>
        <w:tc>
          <w:tcPr>
            <w:tcW w:w="1357" w:type="dxa"/>
          </w:tcPr>
          <w:p>
            <w:pPr>
              <w:pStyle w:val="TableParagraph"/>
              <w:spacing w:line="186" w:lineRule="exact"/>
              <w:ind w:left="90"/>
              <w:jc w:val="center"/>
              <w:rPr>
                <w:sz w:val="18"/>
              </w:rPr>
            </w:pPr>
            <w:r>
              <w:rPr>
                <w:spacing w:val="-2"/>
                <w:sz w:val="18"/>
              </w:rPr>
              <w:t>12.41378</w:t>
            </w:r>
          </w:p>
        </w:tc>
        <w:tc>
          <w:tcPr>
            <w:tcW w:w="1459" w:type="dxa"/>
          </w:tcPr>
          <w:p>
            <w:pPr>
              <w:pStyle w:val="TableParagraph"/>
              <w:spacing w:line="186" w:lineRule="exact"/>
              <w:ind w:left="573"/>
              <w:rPr>
                <w:sz w:val="18"/>
              </w:rPr>
            </w:pPr>
            <w:r>
              <w:rPr>
                <w:spacing w:val="-2"/>
                <w:sz w:val="18"/>
              </w:rPr>
              <w:t>15.41</w:t>
            </w:r>
          </w:p>
        </w:tc>
        <w:tc>
          <w:tcPr>
            <w:tcW w:w="1395" w:type="dxa"/>
          </w:tcPr>
          <w:p>
            <w:pPr>
              <w:pStyle w:val="TableParagraph"/>
              <w:spacing w:line="186" w:lineRule="exact"/>
              <w:ind w:left="109" w:right="48"/>
              <w:jc w:val="center"/>
              <w:rPr>
                <w:sz w:val="18"/>
              </w:rPr>
            </w:pPr>
            <w:r>
              <w:rPr>
                <w:spacing w:val="-2"/>
                <w:sz w:val="18"/>
              </w:rPr>
              <w:t>20.04</w:t>
            </w:r>
          </w:p>
        </w:tc>
        <w:tc>
          <w:tcPr>
            <w:tcW w:w="1489" w:type="dxa"/>
          </w:tcPr>
          <w:p>
            <w:pPr>
              <w:pStyle w:val="TableParagraph"/>
              <w:spacing w:line="186" w:lineRule="exact"/>
              <w:ind w:left="184"/>
              <w:rPr>
                <w:sz w:val="18"/>
              </w:rPr>
            </w:pPr>
            <w:r>
              <w:rPr>
                <w:sz w:val="18"/>
              </w:rPr>
              <w:t>At</w:t>
            </w:r>
            <w:r>
              <w:rPr>
                <w:spacing w:val="-3"/>
                <w:sz w:val="18"/>
              </w:rPr>
              <w:t> </w:t>
            </w:r>
            <w:r>
              <w:rPr>
                <w:sz w:val="18"/>
              </w:rPr>
              <w:t>most</w:t>
            </w:r>
            <w:r>
              <w:rPr>
                <w:spacing w:val="-3"/>
                <w:sz w:val="18"/>
              </w:rPr>
              <w:t> </w:t>
            </w:r>
            <w:r>
              <w:rPr>
                <w:spacing w:val="-10"/>
                <w:sz w:val="18"/>
              </w:rPr>
              <w:t>4</w:t>
            </w:r>
          </w:p>
        </w:tc>
        <w:tc>
          <w:tcPr>
            <w:tcW w:w="1499" w:type="dxa"/>
          </w:tcPr>
          <w:p>
            <w:pPr>
              <w:pStyle w:val="TableParagraph"/>
              <w:rPr>
                <w:sz w:val="14"/>
              </w:rPr>
            </w:pPr>
          </w:p>
        </w:tc>
        <w:tc>
          <w:tcPr>
            <w:tcW w:w="1258" w:type="dxa"/>
          </w:tcPr>
          <w:p>
            <w:pPr>
              <w:pStyle w:val="TableParagraph"/>
              <w:rPr>
                <w:sz w:val="14"/>
              </w:rPr>
            </w:pPr>
          </w:p>
        </w:tc>
      </w:tr>
      <w:tr>
        <w:trPr>
          <w:trHeight w:val="203" w:hRule="atLeast"/>
        </w:trPr>
        <w:tc>
          <w:tcPr>
            <w:tcW w:w="1383" w:type="dxa"/>
            <w:tcBorders>
              <w:bottom w:val="double" w:sz="6" w:space="0" w:color="000000"/>
            </w:tcBorders>
          </w:tcPr>
          <w:p>
            <w:pPr>
              <w:pStyle w:val="TableParagraph"/>
              <w:spacing w:line="184" w:lineRule="exact"/>
              <w:ind w:left="41"/>
              <w:jc w:val="center"/>
              <w:rPr>
                <w:sz w:val="18"/>
              </w:rPr>
            </w:pPr>
            <w:r>
              <w:rPr>
                <w:spacing w:val="-2"/>
                <w:sz w:val="18"/>
              </w:rPr>
              <w:t>0.163652</w:t>
            </w:r>
          </w:p>
        </w:tc>
        <w:tc>
          <w:tcPr>
            <w:tcW w:w="1357" w:type="dxa"/>
            <w:tcBorders>
              <w:bottom w:val="double" w:sz="6" w:space="0" w:color="000000"/>
            </w:tcBorders>
          </w:tcPr>
          <w:p>
            <w:pPr>
              <w:pStyle w:val="TableParagraph"/>
              <w:spacing w:line="184" w:lineRule="exact"/>
              <w:ind w:left="90"/>
              <w:jc w:val="center"/>
              <w:rPr>
                <w:sz w:val="18"/>
              </w:rPr>
            </w:pPr>
            <w:r>
              <w:rPr>
                <w:spacing w:val="-2"/>
                <w:sz w:val="18"/>
              </w:rPr>
              <w:t>4.110334</w:t>
            </w:r>
          </w:p>
        </w:tc>
        <w:tc>
          <w:tcPr>
            <w:tcW w:w="1459" w:type="dxa"/>
            <w:tcBorders>
              <w:bottom w:val="double" w:sz="6" w:space="0" w:color="000000"/>
            </w:tcBorders>
          </w:tcPr>
          <w:p>
            <w:pPr>
              <w:pStyle w:val="TableParagraph"/>
              <w:spacing w:line="184" w:lineRule="exact"/>
              <w:ind w:left="141"/>
              <w:jc w:val="center"/>
              <w:rPr>
                <w:sz w:val="18"/>
              </w:rPr>
            </w:pPr>
            <w:r>
              <w:rPr>
                <w:spacing w:val="-4"/>
                <w:sz w:val="18"/>
              </w:rPr>
              <w:t>3.76</w:t>
            </w:r>
          </w:p>
        </w:tc>
        <w:tc>
          <w:tcPr>
            <w:tcW w:w="1395" w:type="dxa"/>
            <w:tcBorders>
              <w:bottom w:val="double" w:sz="6" w:space="0" w:color="000000"/>
            </w:tcBorders>
          </w:tcPr>
          <w:p>
            <w:pPr>
              <w:pStyle w:val="TableParagraph"/>
              <w:spacing w:line="184" w:lineRule="exact"/>
              <w:ind w:left="109"/>
              <w:jc w:val="center"/>
              <w:rPr>
                <w:sz w:val="18"/>
              </w:rPr>
            </w:pPr>
            <w:r>
              <w:rPr>
                <w:spacing w:val="-4"/>
                <w:sz w:val="18"/>
              </w:rPr>
              <w:t>6.65</w:t>
            </w:r>
          </w:p>
        </w:tc>
        <w:tc>
          <w:tcPr>
            <w:tcW w:w="1489" w:type="dxa"/>
            <w:tcBorders>
              <w:bottom w:val="double" w:sz="6" w:space="0" w:color="000000"/>
            </w:tcBorders>
          </w:tcPr>
          <w:p>
            <w:pPr>
              <w:pStyle w:val="TableParagraph"/>
              <w:spacing w:line="184" w:lineRule="exact"/>
              <w:ind w:left="184"/>
              <w:rPr>
                <w:sz w:val="18"/>
              </w:rPr>
            </w:pPr>
            <w:r>
              <w:rPr>
                <w:sz w:val="18"/>
              </w:rPr>
              <w:t>At</w:t>
            </w:r>
            <w:r>
              <w:rPr>
                <w:spacing w:val="-2"/>
                <w:sz w:val="18"/>
              </w:rPr>
              <w:t> </w:t>
            </w:r>
            <w:r>
              <w:rPr>
                <w:sz w:val="18"/>
              </w:rPr>
              <w:t>most</w:t>
            </w:r>
            <w:r>
              <w:rPr>
                <w:spacing w:val="-2"/>
                <w:sz w:val="18"/>
              </w:rPr>
              <w:t> </w:t>
            </w:r>
            <w:r>
              <w:rPr>
                <w:sz w:val="18"/>
              </w:rPr>
              <w:t>5</w:t>
            </w:r>
            <w:r>
              <w:rPr>
                <w:spacing w:val="2"/>
                <w:sz w:val="18"/>
              </w:rPr>
              <w:t> </w:t>
            </w:r>
            <w:r>
              <w:rPr>
                <w:spacing w:val="-10"/>
                <w:sz w:val="18"/>
              </w:rPr>
              <w:t>*</w:t>
            </w:r>
          </w:p>
        </w:tc>
        <w:tc>
          <w:tcPr>
            <w:tcW w:w="1499" w:type="dxa"/>
            <w:tcBorders>
              <w:bottom w:val="double" w:sz="6" w:space="0" w:color="000000"/>
            </w:tcBorders>
          </w:tcPr>
          <w:p>
            <w:pPr>
              <w:pStyle w:val="TableParagraph"/>
              <w:rPr>
                <w:sz w:val="14"/>
              </w:rPr>
            </w:pPr>
          </w:p>
        </w:tc>
        <w:tc>
          <w:tcPr>
            <w:tcW w:w="1258" w:type="dxa"/>
            <w:tcBorders>
              <w:bottom w:val="double" w:sz="6" w:space="0" w:color="000000"/>
            </w:tcBorders>
          </w:tcPr>
          <w:p>
            <w:pPr>
              <w:pStyle w:val="TableParagraph"/>
              <w:rPr>
                <w:sz w:val="14"/>
              </w:rPr>
            </w:pPr>
          </w:p>
        </w:tc>
      </w:tr>
      <w:tr>
        <w:trPr>
          <w:trHeight w:val="1078" w:hRule="atLeast"/>
        </w:trPr>
        <w:tc>
          <w:tcPr>
            <w:tcW w:w="1383" w:type="dxa"/>
            <w:tcBorders>
              <w:top w:val="double" w:sz="6" w:space="0" w:color="000000"/>
            </w:tcBorders>
          </w:tcPr>
          <w:p>
            <w:pPr>
              <w:pStyle w:val="TableParagraph"/>
              <w:spacing w:before="40"/>
              <w:ind w:left="141" w:right="148" w:firstLine="49"/>
              <w:jc w:val="center"/>
              <w:rPr>
                <w:sz w:val="18"/>
              </w:rPr>
            </w:pPr>
            <w:r>
              <w:rPr>
                <w:sz w:val="18"/>
              </w:rPr>
              <w:t>*(**) denotes rejection</w:t>
            </w:r>
            <w:r>
              <w:rPr>
                <w:spacing w:val="-12"/>
                <w:sz w:val="18"/>
              </w:rPr>
              <w:t> </w:t>
            </w:r>
            <w:r>
              <w:rPr>
                <w:sz w:val="18"/>
              </w:rPr>
              <w:t>of</w:t>
            </w:r>
            <w:r>
              <w:rPr>
                <w:spacing w:val="-11"/>
                <w:sz w:val="18"/>
              </w:rPr>
              <w:t> </w:t>
            </w:r>
            <w:r>
              <w:rPr>
                <w:sz w:val="18"/>
              </w:rPr>
              <w:t>the hypothesis at </w:t>
            </w:r>
            <w:r>
              <w:rPr>
                <w:spacing w:val="-2"/>
                <w:sz w:val="18"/>
              </w:rPr>
              <w:t>5%(1%)</w:t>
            </w:r>
          </w:p>
          <w:p>
            <w:pPr>
              <w:pStyle w:val="TableParagraph"/>
              <w:spacing w:line="191" w:lineRule="exact"/>
              <w:ind w:left="41" w:right="50"/>
              <w:jc w:val="center"/>
              <w:rPr>
                <w:sz w:val="18"/>
              </w:rPr>
            </w:pPr>
            <w:r>
              <w:rPr>
                <w:sz w:val="18"/>
              </w:rPr>
              <w:t>significance</w:t>
            </w:r>
            <w:r>
              <w:rPr>
                <w:spacing w:val="-8"/>
                <w:sz w:val="18"/>
              </w:rPr>
              <w:t> </w:t>
            </w:r>
            <w:r>
              <w:rPr>
                <w:spacing w:val="-2"/>
                <w:sz w:val="18"/>
              </w:rPr>
              <w:t>level</w:t>
            </w:r>
          </w:p>
        </w:tc>
        <w:tc>
          <w:tcPr>
            <w:tcW w:w="1357" w:type="dxa"/>
            <w:tcBorders>
              <w:top w:val="double" w:sz="6" w:space="0" w:color="000000"/>
            </w:tcBorders>
          </w:tcPr>
          <w:p>
            <w:pPr>
              <w:pStyle w:val="TableParagraph"/>
              <w:rPr>
                <w:sz w:val="18"/>
              </w:rPr>
            </w:pPr>
          </w:p>
        </w:tc>
        <w:tc>
          <w:tcPr>
            <w:tcW w:w="1459" w:type="dxa"/>
            <w:tcBorders>
              <w:top w:val="double" w:sz="6" w:space="0" w:color="000000"/>
            </w:tcBorders>
          </w:tcPr>
          <w:p>
            <w:pPr>
              <w:pStyle w:val="TableParagraph"/>
              <w:rPr>
                <w:sz w:val="18"/>
              </w:rPr>
            </w:pPr>
          </w:p>
        </w:tc>
        <w:tc>
          <w:tcPr>
            <w:tcW w:w="1395" w:type="dxa"/>
            <w:tcBorders>
              <w:top w:val="double" w:sz="6" w:space="0" w:color="000000"/>
            </w:tcBorders>
          </w:tcPr>
          <w:p>
            <w:pPr>
              <w:pStyle w:val="TableParagraph"/>
              <w:rPr>
                <w:sz w:val="18"/>
              </w:rPr>
            </w:pPr>
          </w:p>
        </w:tc>
        <w:tc>
          <w:tcPr>
            <w:tcW w:w="1489" w:type="dxa"/>
            <w:tcBorders>
              <w:top w:val="double" w:sz="6" w:space="0" w:color="000000"/>
            </w:tcBorders>
          </w:tcPr>
          <w:p>
            <w:pPr>
              <w:pStyle w:val="TableParagraph"/>
              <w:rPr>
                <w:sz w:val="18"/>
              </w:rPr>
            </w:pPr>
          </w:p>
        </w:tc>
        <w:tc>
          <w:tcPr>
            <w:tcW w:w="1499" w:type="dxa"/>
            <w:tcBorders>
              <w:top w:val="double" w:sz="6" w:space="0" w:color="000000"/>
            </w:tcBorders>
          </w:tcPr>
          <w:p>
            <w:pPr>
              <w:pStyle w:val="TableParagraph"/>
              <w:rPr>
                <w:sz w:val="18"/>
              </w:rPr>
            </w:pPr>
          </w:p>
        </w:tc>
        <w:tc>
          <w:tcPr>
            <w:tcW w:w="1258" w:type="dxa"/>
            <w:tcBorders>
              <w:top w:val="double" w:sz="6" w:space="0" w:color="000000"/>
            </w:tcBorders>
          </w:tcPr>
          <w:p>
            <w:pPr>
              <w:pStyle w:val="TableParagraph"/>
              <w:rPr>
                <w:sz w:val="18"/>
              </w:rPr>
            </w:pPr>
          </w:p>
        </w:tc>
      </w:tr>
      <w:tr>
        <w:trPr>
          <w:trHeight w:val="1138" w:hRule="atLeast"/>
        </w:trPr>
        <w:tc>
          <w:tcPr>
            <w:tcW w:w="1383" w:type="dxa"/>
          </w:tcPr>
          <w:p>
            <w:pPr>
              <w:pStyle w:val="TableParagraph"/>
              <w:ind w:left="214" w:firstLine="189"/>
              <w:rPr>
                <w:sz w:val="18"/>
              </w:rPr>
            </w:pPr>
            <w:r>
              <w:rPr>
                <w:sz w:val="18"/>
              </w:rPr>
              <w:t>L.R. test indicates 2 </w:t>
            </w:r>
            <w:r>
              <w:rPr>
                <w:spacing w:val="-2"/>
                <w:sz w:val="18"/>
              </w:rPr>
              <w:t>cointegrating</w:t>
            </w:r>
          </w:p>
          <w:p>
            <w:pPr>
              <w:pStyle w:val="TableParagraph"/>
              <w:ind w:left="55" w:right="56" w:hanging="3"/>
              <w:rPr>
                <w:sz w:val="18"/>
              </w:rPr>
            </w:pPr>
            <w:r>
              <w:rPr>
                <w:sz w:val="18"/>
              </w:rPr>
              <w:t>equation(s)</w:t>
            </w:r>
            <w:r>
              <w:rPr>
                <w:spacing w:val="-12"/>
                <w:sz w:val="18"/>
              </w:rPr>
              <w:t> </w:t>
            </w:r>
            <w:r>
              <w:rPr>
                <w:sz w:val="18"/>
              </w:rPr>
              <w:t>at</w:t>
            </w:r>
            <w:r>
              <w:rPr>
                <w:spacing w:val="-11"/>
                <w:sz w:val="18"/>
              </w:rPr>
              <w:t> </w:t>
            </w:r>
            <w:r>
              <w:rPr>
                <w:sz w:val="18"/>
              </w:rPr>
              <w:t>5% significance</w:t>
            </w:r>
            <w:r>
              <w:rPr>
                <w:spacing w:val="-8"/>
                <w:sz w:val="18"/>
              </w:rPr>
              <w:t> </w:t>
            </w:r>
            <w:r>
              <w:rPr>
                <w:spacing w:val="-2"/>
                <w:sz w:val="18"/>
              </w:rPr>
              <w:t>level</w:t>
            </w:r>
          </w:p>
        </w:tc>
        <w:tc>
          <w:tcPr>
            <w:tcW w:w="1357" w:type="dxa"/>
          </w:tcPr>
          <w:p>
            <w:pPr>
              <w:pStyle w:val="TableParagraph"/>
              <w:rPr>
                <w:sz w:val="18"/>
              </w:rPr>
            </w:pPr>
          </w:p>
        </w:tc>
        <w:tc>
          <w:tcPr>
            <w:tcW w:w="1459" w:type="dxa"/>
          </w:tcPr>
          <w:p>
            <w:pPr>
              <w:pStyle w:val="TableParagraph"/>
              <w:rPr>
                <w:sz w:val="18"/>
              </w:rPr>
            </w:pPr>
          </w:p>
        </w:tc>
        <w:tc>
          <w:tcPr>
            <w:tcW w:w="1395" w:type="dxa"/>
          </w:tcPr>
          <w:p>
            <w:pPr>
              <w:pStyle w:val="TableParagraph"/>
              <w:rPr>
                <w:sz w:val="18"/>
              </w:rPr>
            </w:pPr>
          </w:p>
        </w:tc>
        <w:tc>
          <w:tcPr>
            <w:tcW w:w="1489" w:type="dxa"/>
          </w:tcPr>
          <w:p>
            <w:pPr>
              <w:pStyle w:val="TableParagraph"/>
              <w:rPr>
                <w:sz w:val="18"/>
              </w:rPr>
            </w:pPr>
          </w:p>
        </w:tc>
        <w:tc>
          <w:tcPr>
            <w:tcW w:w="1499" w:type="dxa"/>
          </w:tcPr>
          <w:p>
            <w:pPr>
              <w:pStyle w:val="TableParagraph"/>
              <w:rPr>
                <w:sz w:val="18"/>
              </w:rPr>
            </w:pPr>
          </w:p>
        </w:tc>
        <w:tc>
          <w:tcPr>
            <w:tcW w:w="1258" w:type="dxa"/>
          </w:tcPr>
          <w:p>
            <w:pPr>
              <w:pStyle w:val="TableParagraph"/>
              <w:rPr>
                <w:sz w:val="18"/>
              </w:rPr>
            </w:pPr>
          </w:p>
        </w:tc>
      </w:tr>
      <w:tr>
        <w:trPr>
          <w:trHeight w:val="306" w:hRule="atLeast"/>
        </w:trPr>
        <w:tc>
          <w:tcPr>
            <w:tcW w:w="9840" w:type="dxa"/>
            <w:gridSpan w:val="7"/>
            <w:tcBorders>
              <w:bottom w:val="double" w:sz="6" w:space="0" w:color="000000"/>
            </w:tcBorders>
          </w:tcPr>
          <w:p>
            <w:pPr>
              <w:pStyle w:val="TableParagraph"/>
              <w:spacing w:line="186" w:lineRule="exact" w:before="100"/>
              <w:ind w:left="74"/>
              <w:rPr>
                <w:sz w:val="18"/>
              </w:rPr>
            </w:pPr>
            <w:r>
              <w:rPr>
                <w:sz w:val="18"/>
              </w:rPr>
              <w:t>Unnormalized</w:t>
            </w:r>
            <w:r>
              <w:rPr>
                <w:spacing w:val="-4"/>
                <w:sz w:val="18"/>
              </w:rPr>
              <w:t> </w:t>
            </w:r>
            <w:r>
              <w:rPr>
                <w:sz w:val="18"/>
              </w:rPr>
              <w:t>Cointegrating</w:t>
            </w:r>
            <w:r>
              <w:rPr>
                <w:spacing w:val="-5"/>
                <w:sz w:val="18"/>
              </w:rPr>
              <w:t> </w:t>
            </w:r>
            <w:r>
              <w:rPr>
                <w:spacing w:val="-2"/>
                <w:sz w:val="18"/>
              </w:rPr>
              <w:t>Coefficients:</w:t>
            </w:r>
          </w:p>
        </w:tc>
      </w:tr>
      <w:tr>
        <w:trPr>
          <w:trHeight w:val="251" w:hRule="atLeast"/>
        </w:trPr>
        <w:tc>
          <w:tcPr>
            <w:tcW w:w="1383" w:type="dxa"/>
            <w:tcBorders>
              <w:top w:val="double" w:sz="6" w:space="0" w:color="000000"/>
            </w:tcBorders>
          </w:tcPr>
          <w:p>
            <w:pPr>
              <w:pStyle w:val="TableParagraph"/>
              <w:spacing w:line="192" w:lineRule="exact" w:before="40"/>
              <w:ind w:right="5"/>
              <w:jc w:val="center"/>
              <w:rPr>
                <w:sz w:val="18"/>
              </w:rPr>
            </w:pPr>
            <w:r>
              <w:rPr>
                <w:spacing w:val="-5"/>
                <w:sz w:val="18"/>
              </w:rPr>
              <w:t>GDP</w:t>
            </w:r>
          </w:p>
        </w:tc>
        <w:tc>
          <w:tcPr>
            <w:tcW w:w="1357" w:type="dxa"/>
            <w:tcBorders>
              <w:top w:val="double" w:sz="6" w:space="0" w:color="000000"/>
            </w:tcBorders>
          </w:tcPr>
          <w:p>
            <w:pPr>
              <w:pStyle w:val="TableParagraph"/>
              <w:spacing w:line="192" w:lineRule="exact" w:before="40"/>
              <w:ind w:left="90" w:right="47"/>
              <w:jc w:val="center"/>
              <w:rPr>
                <w:sz w:val="18"/>
              </w:rPr>
            </w:pPr>
            <w:r>
              <w:rPr>
                <w:spacing w:val="-2"/>
                <w:sz w:val="18"/>
              </w:rPr>
              <w:t>EXTDEBT</w:t>
            </w:r>
          </w:p>
        </w:tc>
        <w:tc>
          <w:tcPr>
            <w:tcW w:w="1459" w:type="dxa"/>
            <w:tcBorders>
              <w:top w:val="double" w:sz="6" w:space="0" w:color="000000"/>
            </w:tcBorders>
          </w:tcPr>
          <w:p>
            <w:pPr>
              <w:pStyle w:val="TableParagraph"/>
              <w:spacing w:line="192" w:lineRule="exact" w:before="40"/>
              <w:ind w:left="141" w:right="92"/>
              <w:jc w:val="center"/>
              <w:rPr>
                <w:sz w:val="18"/>
              </w:rPr>
            </w:pPr>
            <w:r>
              <w:rPr>
                <w:spacing w:val="-5"/>
                <w:sz w:val="18"/>
              </w:rPr>
              <w:t>DFI</w:t>
            </w:r>
          </w:p>
        </w:tc>
        <w:tc>
          <w:tcPr>
            <w:tcW w:w="1395" w:type="dxa"/>
            <w:tcBorders>
              <w:top w:val="double" w:sz="6" w:space="0" w:color="000000"/>
            </w:tcBorders>
          </w:tcPr>
          <w:p>
            <w:pPr>
              <w:pStyle w:val="TableParagraph"/>
              <w:spacing w:line="192" w:lineRule="exact" w:before="40"/>
              <w:ind w:left="109" w:right="96"/>
              <w:jc w:val="center"/>
              <w:rPr>
                <w:sz w:val="18"/>
              </w:rPr>
            </w:pPr>
            <w:r>
              <w:rPr>
                <w:spacing w:val="-5"/>
                <w:sz w:val="18"/>
              </w:rPr>
              <w:t>CAB</w:t>
            </w:r>
          </w:p>
        </w:tc>
        <w:tc>
          <w:tcPr>
            <w:tcW w:w="1489" w:type="dxa"/>
            <w:tcBorders>
              <w:top w:val="double" w:sz="6" w:space="0" w:color="000000"/>
            </w:tcBorders>
          </w:tcPr>
          <w:p>
            <w:pPr>
              <w:pStyle w:val="TableParagraph"/>
              <w:spacing w:line="192" w:lineRule="exact" w:before="40"/>
              <w:ind w:right="44"/>
              <w:jc w:val="center"/>
              <w:rPr>
                <w:sz w:val="18"/>
              </w:rPr>
            </w:pPr>
            <w:r>
              <w:rPr>
                <w:spacing w:val="-5"/>
                <w:sz w:val="18"/>
              </w:rPr>
              <w:t>RES</w:t>
            </w:r>
          </w:p>
        </w:tc>
        <w:tc>
          <w:tcPr>
            <w:tcW w:w="1499" w:type="dxa"/>
            <w:tcBorders>
              <w:top w:val="double" w:sz="6" w:space="0" w:color="000000"/>
            </w:tcBorders>
          </w:tcPr>
          <w:p>
            <w:pPr>
              <w:pStyle w:val="TableParagraph"/>
              <w:spacing w:line="192" w:lineRule="exact" w:before="40"/>
              <w:ind w:left="288"/>
              <w:rPr>
                <w:sz w:val="18"/>
              </w:rPr>
            </w:pPr>
            <w:r>
              <w:rPr>
                <w:spacing w:val="-2"/>
                <w:sz w:val="18"/>
              </w:rPr>
              <w:t>NEXTAS</w:t>
            </w:r>
          </w:p>
        </w:tc>
        <w:tc>
          <w:tcPr>
            <w:tcW w:w="1258" w:type="dxa"/>
            <w:tcBorders>
              <w:top w:val="double" w:sz="6" w:space="0" w:color="000000"/>
            </w:tcBorders>
          </w:tcPr>
          <w:p>
            <w:pPr>
              <w:pStyle w:val="TableParagraph"/>
              <w:rPr>
                <w:sz w:val="18"/>
              </w:rPr>
            </w:pPr>
          </w:p>
        </w:tc>
      </w:tr>
      <w:tr>
        <w:trPr>
          <w:trHeight w:val="207" w:hRule="atLeast"/>
        </w:trPr>
        <w:tc>
          <w:tcPr>
            <w:tcW w:w="1383" w:type="dxa"/>
          </w:tcPr>
          <w:p>
            <w:pPr>
              <w:pStyle w:val="TableParagraph"/>
              <w:spacing w:line="188" w:lineRule="exact"/>
              <w:ind w:right="2"/>
              <w:jc w:val="center"/>
              <w:rPr>
                <w:sz w:val="18"/>
              </w:rPr>
            </w:pPr>
            <w:r>
              <w:rPr>
                <w:sz w:val="18"/>
              </w:rPr>
              <w:t>-</w:t>
            </w:r>
            <w:r>
              <w:rPr>
                <w:spacing w:val="-2"/>
                <w:sz w:val="18"/>
              </w:rPr>
              <w:t>0.455107</w:t>
            </w:r>
          </w:p>
        </w:tc>
        <w:tc>
          <w:tcPr>
            <w:tcW w:w="1357" w:type="dxa"/>
          </w:tcPr>
          <w:p>
            <w:pPr>
              <w:pStyle w:val="TableParagraph"/>
              <w:spacing w:line="188" w:lineRule="exact"/>
              <w:ind w:left="90"/>
              <w:jc w:val="center"/>
              <w:rPr>
                <w:sz w:val="18"/>
              </w:rPr>
            </w:pPr>
            <w:r>
              <w:rPr>
                <w:spacing w:val="-2"/>
                <w:sz w:val="18"/>
              </w:rPr>
              <w:t>0.134054</w:t>
            </w:r>
          </w:p>
        </w:tc>
        <w:tc>
          <w:tcPr>
            <w:tcW w:w="1459" w:type="dxa"/>
          </w:tcPr>
          <w:p>
            <w:pPr>
              <w:pStyle w:val="TableParagraph"/>
              <w:spacing w:line="188" w:lineRule="exact"/>
              <w:ind w:left="438"/>
              <w:rPr>
                <w:sz w:val="18"/>
              </w:rPr>
            </w:pPr>
            <w:r>
              <w:rPr>
                <w:spacing w:val="-2"/>
                <w:sz w:val="18"/>
              </w:rPr>
              <w:t>0.259565</w:t>
            </w:r>
          </w:p>
        </w:tc>
        <w:tc>
          <w:tcPr>
            <w:tcW w:w="1395" w:type="dxa"/>
          </w:tcPr>
          <w:p>
            <w:pPr>
              <w:pStyle w:val="TableParagraph"/>
              <w:spacing w:line="188" w:lineRule="exact"/>
              <w:ind w:left="109" w:right="48"/>
              <w:jc w:val="center"/>
              <w:rPr>
                <w:sz w:val="18"/>
              </w:rPr>
            </w:pPr>
            <w:r>
              <w:rPr>
                <w:spacing w:val="-2"/>
                <w:sz w:val="18"/>
              </w:rPr>
              <w:t>0.086021</w:t>
            </w:r>
          </w:p>
        </w:tc>
        <w:tc>
          <w:tcPr>
            <w:tcW w:w="1489" w:type="dxa"/>
          </w:tcPr>
          <w:p>
            <w:pPr>
              <w:pStyle w:val="TableParagraph"/>
              <w:spacing w:line="188" w:lineRule="exact"/>
              <w:ind w:left="354"/>
              <w:rPr>
                <w:sz w:val="18"/>
              </w:rPr>
            </w:pPr>
            <w:r>
              <w:rPr>
                <w:sz w:val="18"/>
              </w:rPr>
              <w:t>-</w:t>
            </w:r>
            <w:r>
              <w:rPr>
                <w:spacing w:val="-2"/>
                <w:sz w:val="18"/>
              </w:rPr>
              <w:t>0.190191</w:t>
            </w:r>
          </w:p>
        </w:tc>
        <w:tc>
          <w:tcPr>
            <w:tcW w:w="1499" w:type="dxa"/>
          </w:tcPr>
          <w:p>
            <w:pPr>
              <w:pStyle w:val="TableParagraph"/>
              <w:spacing w:line="188" w:lineRule="exact"/>
              <w:ind w:left="329"/>
              <w:rPr>
                <w:sz w:val="18"/>
              </w:rPr>
            </w:pPr>
            <w:r>
              <w:rPr>
                <w:spacing w:val="-2"/>
                <w:sz w:val="18"/>
              </w:rPr>
              <w:t>0.223893</w:t>
            </w:r>
          </w:p>
        </w:tc>
        <w:tc>
          <w:tcPr>
            <w:tcW w:w="1258" w:type="dxa"/>
          </w:tcPr>
          <w:p>
            <w:pPr>
              <w:pStyle w:val="TableParagraph"/>
              <w:rPr>
                <w:sz w:val="14"/>
              </w:rPr>
            </w:pPr>
          </w:p>
        </w:tc>
      </w:tr>
      <w:tr>
        <w:trPr>
          <w:trHeight w:val="206" w:hRule="atLeast"/>
        </w:trPr>
        <w:tc>
          <w:tcPr>
            <w:tcW w:w="1383" w:type="dxa"/>
          </w:tcPr>
          <w:p>
            <w:pPr>
              <w:pStyle w:val="TableParagraph"/>
              <w:spacing w:line="186" w:lineRule="exact"/>
              <w:ind w:right="2"/>
              <w:jc w:val="center"/>
              <w:rPr>
                <w:sz w:val="18"/>
              </w:rPr>
            </w:pPr>
            <w:r>
              <w:rPr>
                <w:sz w:val="18"/>
              </w:rPr>
              <w:t>-</w:t>
            </w:r>
            <w:r>
              <w:rPr>
                <w:spacing w:val="-2"/>
                <w:sz w:val="18"/>
              </w:rPr>
              <w:t>0.395672</w:t>
            </w:r>
          </w:p>
        </w:tc>
        <w:tc>
          <w:tcPr>
            <w:tcW w:w="1357" w:type="dxa"/>
          </w:tcPr>
          <w:p>
            <w:pPr>
              <w:pStyle w:val="TableParagraph"/>
              <w:spacing w:line="186" w:lineRule="exact"/>
              <w:ind w:left="90" w:right="46"/>
              <w:jc w:val="center"/>
              <w:rPr>
                <w:sz w:val="18"/>
              </w:rPr>
            </w:pPr>
            <w:r>
              <w:rPr>
                <w:sz w:val="18"/>
              </w:rPr>
              <w:t>-</w:t>
            </w:r>
            <w:r>
              <w:rPr>
                <w:spacing w:val="-2"/>
                <w:sz w:val="18"/>
              </w:rPr>
              <w:t>0.042791</w:t>
            </w:r>
          </w:p>
        </w:tc>
        <w:tc>
          <w:tcPr>
            <w:tcW w:w="1459" w:type="dxa"/>
          </w:tcPr>
          <w:p>
            <w:pPr>
              <w:pStyle w:val="TableParagraph"/>
              <w:spacing w:line="186" w:lineRule="exact"/>
              <w:ind w:left="438"/>
              <w:rPr>
                <w:sz w:val="18"/>
              </w:rPr>
            </w:pPr>
            <w:r>
              <w:rPr>
                <w:spacing w:val="-2"/>
                <w:sz w:val="18"/>
              </w:rPr>
              <w:t>0.217773</w:t>
            </w:r>
          </w:p>
        </w:tc>
        <w:tc>
          <w:tcPr>
            <w:tcW w:w="1395" w:type="dxa"/>
          </w:tcPr>
          <w:p>
            <w:pPr>
              <w:pStyle w:val="TableParagraph"/>
              <w:spacing w:line="186" w:lineRule="exact"/>
              <w:ind w:left="109" w:right="94"/>
              <w:jc w:val="center"/>
              <w:rPr>
                <w:sz w:val="18"/>
              </w:rPr>
            </w:pPr>
            <w:r>
              <w:rPr>
                <w:sz w:val="18"/>
              </w:rPr>
              <w:t>-</w:t>
            </w:r>
            <w:r>
              <w:rPr>
                <w:spacing w:val="-2"/>
                <w:sz w:val="18"/>
              </w:rPr>
              <w:t>0.075327</w:t>
            </w:r>
          </w:p>
        </w:tc>
        <w:tc>
          <w:tcPr>
            <w:tcW w:w="1489" w:type="dxa"/>
          </w:tcPr>
          <w:p>
            <w:pPr>
              <w:pStyle w:val="TableParagraph"/>
              <w:spacing w:line="186" w:lineRule="exact"/>
              <w:ind w:left="407"/>
              <w:rPr>
                <w:sz w:val="18"/>
              </w:rPr>
            </w:pPr>
            <w:r>
              <w:rPr>
                <w:spacing w:val="-2"/>
                <w:sz w:val="18"/>
              </w:rPr>
              <w:t>0.377575</w:t>
            </w:r>
          </w:p>
        </w:tc>
        <w:tc>
          <w:tcPr>
            <w:tcW w:w="1499" w:type="dxa"/>
          </w:tcPr>
          <w:p>
            <w:pPr>
              <w:pStyle w:val="TableParagraph"/>
              <w:spacing w:line="186" w:lineRule="exact"/>
              <w:ind w:left="276"/>
              <w:rPr>
                <w:sz w:val="18"/>
              </w:rPr>
            </w:pPr>
            <w:r>
              <w:rPr>
                <w:sz w:val="18"/>
              </w:rPr>
              <w:t>-</w:t>
            </w:r>
            <w:r>
              <w:rPr>
                <w:spacing w:val="-2"/>
                <w:sz w:val="18"/>
              </w:rPr>
              <w:t>0.003187</w:t>
            </w:r>
          </w:p>
        </w:tc>
        <w:tc>
          <w:tcPr>
            <w:tcW w:w="1258" w:type="dxa"/>
          </w:tcPr>
          <w:p>
            <w:pPr>
              <w:pStyle w:val="TableParagraph"/>
              <w:rPr>
                <w:sz w:val="14"/>
              </w:rPr>
            </w:pPr>
          </w:p>
        </w:tc>
      </w:tr>
      <w:tr>
        <w:trPr>
          <w:trHeight w:val="206" w:hRule="atLeast"/>
        </w:trPr>
        <w:tc>
          <w:tcPr>
            <w:tcW w:w="1383" w:type="dxa"/>
          </w:tcPr>
          <w:p>
            <w:pPr>
              <w:pStyle w:val="TableParagraph"/>
              <w:spacing w:line="186" w:lineRule="exact"/>
              <w:ind w:left="41"/>
              <w:jc w:val="center"/>
              <w:rPr>
                <w:sz w:val="18"/>
              </w:rPr>
            </w:pPr>
            <w:r>
              <w:rPr>
                <w:spacing w:val="-2"/>
                <w:sz w:val="18"/>
              </w:rPr>
              <w:t>0.115674</w:t>
            </w:r>
          </w:p>
        </w:tc>
        <w:tc>
          <w:tcPr>
            <w:tcW w:w="1357" w:type="dxa"/>
          </w:tcPr>
          <w:p>
            <w:pPr>
              <w:pStyle w:val="TableParagraph"/>
              <w:spacing w:line="186" w:lineRule="exact"/>
              <w:ind w:left="90" w:right="46"/>
              <w:jc w:val="center"/>
              <w:rPr>
                <w:sz w:val="18"/>
              </w:rPr>
            </w:pPr>
            <w:r>
              <w:rPr>
                <w:sz w:val="18"/>
              </w:rPr>
              <w:t>-</w:t>
            </w:r>
            <w:r>
              <w:rPr>
                <w:spacing w:val="-2"/>
                <w:sz w:val="18"/>
              </w:rPr>
              <w:t>0.069983</w:t>
            </w:r>
          </w:p>
        </w:tc>
        <w:tc>
          <w:tcPr>
            <w:tcW w:w="1459" w:type="dxa"/>
          </w:tcPr>
          <w:p>
            <w:pPr>
              <w:pStyle w:val="TableParagraph"/>
              <w:spacing w:line="186" w:lineRule="exact"/>
              <w:ind w:left="438"/>
              <w:rPr>
                <w:sz w:val="18"/>
              </w:rPr>
            </w:pPr>
            <w:r>
              <w:rPr>
                <w:spacing w:val="-2"/>
                <w:sz w:val="18"/>
              </w:rPr>
              <w:t>0.209899</w:t>
            </w:r>
          </w:p>
        </w:tc>
        <w:tc>
          <w:tcPr>
            <w:tcW w:w="1395" w:type="dxa"/>
          </w:tcPr>
          <w:p>
            <w:pPr>
              <w:pStyle w:val="TableParagraph"/>
              <w:spacing w:line="186" w:lineRule="exact"/>
              <w:ind w:left="109" w:right="94"/>
              <w:jc w:val="center"/>
              <w:rPr>
                <w:sz w:val="18"/>
              </w:rPr>
            </w:pPr>
            <w:r>
              <w:rPr>
                <w:sz w:val="18"/>
              </w:rPr>
              <w:t>-</w:t>
            </w:r>
            <w:r>
              <w:rPr>
                <w:spacing w:val="-2"/>
                <w:sz w:val="18"/>
              </w:rPr>
              <w:t>0.310473</w:t>
            </w:r>
          </w:p>
        </w:tc>
        <w:tc>
          <w:tcPr>
            <w:tcW w:w="1489" w:type="dxa"/>
          </w:tcPr>
          <w:p>
            <w:pPr>
              <w:pStyle w:val="TableParagraph"/>
              <w:spacing w:line="186" w:lineRule="exact"/>
              <w:ind w:left="407"/>
              <w:rPr>
                <w:sz w:val="18"/>
              </w:rPr>
            </w:pPr>
            <w:r>
              <w:rPr>
                <w:spacing w:val="-2"/>
                <w:sz w:val="18"/>
              </w:rPr>
              <w:t>0.057324</w:t>
            </w:r>
          </w:p>
        </w:tc>
        <w:tc>
          <w:tcPr>
            <w:tcW w:w="1499" w:type="dxa"/>
          </w:tcPr>
          <w:p>
            <w:pPr>
              <w:pStyle w:val="TableParagraph"/>
              <w:spacing w:line="186" w:lineRule="exact"/>
              <w:ind w:left="329"/>
              <w:rPr>
                <w:sz w:val="18"/>
              </w:rPr>
            </w:pPr>
            <w:r>
              <w:rPr>
                <w:spacing w:val="-2"/>
                <w:sz w:val="18"/>
              </w:rPr>
              <w:t>0.087416</w:t>
            </w:r>
          </w:p>
        </w:tc>
        <w:tc>
          <w:tcPr>
            <w:tcW w:w="1258" w:type="dxa"/>
          </w:tcPr>
          <w:p>
            <w:pPr>
              <w:pStyle w:val="TableParagraph"/>
              <w:rPr>
                <w:sz w:val="14"/>
              </w:rPr>
            </w:pPr>
          </w:p>
        </w:tc>
      </w:tr>
      <w:tr>
        <w:trPr>
          <w:trHeight w:val="207" w:hRule="atLeast"/>
        </w:trPr>
        <w:tc>
          <w:tcPr>
            <w:tcW w:w="1383" w:type="dxa"/>
          </w:tcPr>
          <w:p>
            <w:pPr>
              <w:pStyle w:val="TableParagraph"/>
              <w:spacing w:line="188" w:lineRule="exact"/>
              <w:ind w:right="2"/>
              <w:jc w:val="center"/>
              <w:rPr>
                <w:sz w:val="18"/>
              </w:rPr>
            </w:pPr>
            <w:r>
              <w:rPr>
                <w:sz w:val="18"/>
              </w:rPr>
              <w:t>-</w:t>
            </w:r>
            <w:r>
              <w:rPr>
                <w:spacing w:val="-2"/>
                <w:sz w:val="18"/>
              </w:rPr>
              <w:t>0.626466</w:t>
            </w:r>
          </w:p>
        </w:tc>
        <w:tc>
          <w:tcPr>
            <w:tcW w:w="1357" w:type="dxa"/>
          </w:tcPr>
          <w:p>
            <w:pPr>
              <w:pStyle w:val="TableParagraph"/>
              <w:spacing w:line="188" w:lineRule="exact"/>
              <w:ind w:left="90" w:right="46"/>
              <w:jc w:val="center"/>
              <w:rPr>
                <w:sz w:val="18"/>
              </w:rPr>
            </w:pPr>
            <w:r>
              <w:rPr>
                <w:sz w:val="18"/>
              </w:rPr>
              <w:t>-</w:t>
            </w:r>
            <w:r>
              <w:rPr>
                <w:spacing w:val="-2"/>
                <w:sz w:val="18"/>
              </w:rPr>
              <w:t>0.151803</w:t>
            </w:r>
          </w:p>
        </w:tc>
        <w:tc>
          <w:tcPr>
            <w:tcW w:w="1459" w:type="dxa"/>
          </w:tcPr>
          <w:p>
            <w:pPr>
              <w:pStyle w:val="TableParagraph"/>
              <w:spacing w:line="188" w:lineRule="exact"/>
              <w:ind w:left="438"/>
              <w:rPr>
                <w:sz w:val="18"/>
              </w:rPr>
            </w:pPr>
            <w:r>
              <w:rPr>
                <w:spacing w:val="-2"/>
                <w:sz w:val="18"/>
              </w:rPr>
              <w:t>0.410546</w:t>
            </w:r>
          </w:p>
        </w:tc>
        <w:tc>
          <w:tcPr>
            <w:tcW w:w="1395" w:type="dxa"/>
          </w:tcPr>
          <w:p>
            <w:pPr>
              <w:pStyle w:val="TableParagraph"/>
              <w:spacing w:line="188" w:lineRule="exact"/>
              <w:ind w:left="109" w:right="48"/>
              <w:jc w:val="center"/>
              <w:rPr>
                <w:sz w:val="18"/>
              </w:rPr>
            </w:pPr>
            <w:r>
              <w:rPr>
                <w:spacing w:val="-2"/>
                <w:sz w:val="18"/>
              </w:rPr>
              <w:t>0.146613</w:t>
            </w:r>
          </w:p>
        </w:tc>
        <w:tc>
          <w:tcPr>
            <w:tcW w:w="1489" w:type="dxa"/>
          </w:tcPr>
          <w:p>
            <w:pPr>
              <w:pStyle w:val="TableParagraph"/>
              <w:spacing w:line="188" w:lineRule="exact"/>
              <w:ind w:left="354"/>
              <w:rPr>
                <w:sz w:val="18"/>
              </w:rPr>
            </w:pPr>
            <w:r>
              <w:rPr>
                <w:sz w:val="18"/>
              </w:rPr>
              <w:t>-</w:t>
            </w:r>
            <w:r>
              <w:rPr>
                <w:spacing w:val="-2"/>
                <w:sz w:val="18"/>
              </w:rPr>
              <w:t>0.057953</w:t>
            </w:r>
          </w:p>
        </w:tc>
        <w:tc>
          <w:tcPr>
            <w:tcW w:w="1499" w:type="dxa"/>
          </w:tcPr>
          <w:p>
            <w:pPr>
              <w:pStyle w:val="TableParagraph"/>
              <w:spacing w:line="188" w:lineRule="exact"/>
              <w:ind w:left="329"/>
              <w:rPr>
                <w:sz w:val="18"/>
              </w:rPr>
            </w:pPr>
            <w:r>
              <w:rPr>
                <w:spacing w:val="-2"/>
                <w:sz w:val="18"/>
              </w:rPr>
              <w:t>0.176058</w:t>
            </w:r>
          </w:p>
        </w:tc>
        <w:tc>
          <w:tcPr>
            <w:tcW w:w="1258" w:type="dxa"/>
          </w:tcPr>
          <w:p>
            <w:pPr>
              <w:pStyle w:val="TableParagraph"/>
              <w:rPr>
                <w:sz w:val="14"/>
              </w:rPr>
            </w:pPr>
          </w:p>
        </w:tc>
      </w:tr>
      <w:tr>
        <w:trPr>
          <w:trHeight w:val="207" w:hRule="atLeast"/>
        </w:trPr>
        <w:tc>
          <w:tcPr>
            <w:tcW w:w="1383" w:type="dxa"/>
          </w:tcPr>
          <w:p>
            <w:pPr>
              <w:pStyle w:val="TableParagraph"/>
              <w:spacing w:line="188" w:lineRule="exact"/>
              <w:ind w:left="41"/>
              <w:jc w:val="center"/>
              <w:rPr>
                <w:sz w:val="18"/>
              </w:rPr>
            </w:pPr>
            <w:r>
              <w:rPr>
                <w:spacing w:val="-2"/>
                <w:sz w:val="18"/>
              </w:rPr>
              <w:t>0.274849</w:t>
            </w:r>
          </w:p>
        </w:tc>
        <w:tc>
          <w:tcPr>
            <w:tcW w:w="1357" w:type="dxa"/>
          </w:tcPr>
          <w:p>
            <w:pPr>
              <w:pStyle w:val="TableParagraph"/>
              <w:spacing w:line="188" w:lineRule="exact"/>
              <w:ind w:left="90" w:right="46"/>
              <w:jc w:val="center"/>
              <w:rPr>
                <w:sz w:val="18"/>
              </w:rPr>
            </w:pPr>
            <w:r>
              <w:rPr>
                <w:sz w:val="18"/>
              </w:rPr>
              <w:t>-</w:t>
            </w:r>
            <w:r>
              <w:rPr>
                <w:spacing w:val="-2"/>
                <w:sz w:val="18"/>
              </w:rPr>
              <w:t>0.071937</w:t>
            </w:r>
          </w:p>
        </w:tc>
        <w:tc>
          <w:tcPr>
            <w:tcW w:w="1459" w:type="dxa"/>
          </w:tcPr>
          <w:p>
            <w:pPr>
              <w:pStyle w:val="TableParagraph"/>
              <w:spacing w:line="188" w:lineRule="exact"/>
              <w:ind w:left="385"/>
              <w:rPr>
                <w:sz w:val="18"/>
              </w:rPr>
            </w:pPr>
            <w:r>
              <w:rPr>
                <w:sz w:val="18"/>
              </w:rPr>
              <w:t>-</w:t>
            </w:r>
            <w:r>
              <w:rPr>
                <w:spacing w:val="-2"/>
                <w:sz w:val="18"/>
              </w:rPr>
              <w:t>0.274072</w:t>
            </w:r>
          </w:p>
        </w:tc>
        <w:tc>
          <w:tcPr>
            <w:tcW w:w="1395" w:type="dxa"/>
          </w:tcPr>
          <w:p>
            <w:pPr>
              <w:pStyle w:val="TableParagraph"/>
              <w:spacing w:line="188" w:lineRule="exact"/>
              <w:ind w:left="109" w:right="94"/>
              <w:jc w:val="center"/>
              <w:rPr>
                <w:sz w:val="18"/>
              </w:rPr>
            </w:pPr>
            <w:r>
              <w:rPr>
                <w:sz w:val="18"/>
              </w:rPr>
              <w:t>-</w:t>
            </w:r>
            <w:r>
              <w:rPr>
                <w:spacing w:val="-2"/>
                <w:sz w:val="18"/>
              </w:rPr>
              <w:t>0.009027</w:t>
            </w:r>
          </w:p>
        </w:tc>
        <w:tc>
          <w:tcPr>
            <w:tcW w:w="1489" w:type="dxa"/>
          </w:tcPr>
          <w:p>
            <w:pPr>
              <w:pStyle w:val="TableParagraph"/>
              <w:spacing w:line="188" w:lineRule="exact"/>
              <w:ind w:left="354"/>
              <w:rPr>
                <w:sz w:val="18"/>
              </w:rPr>
            </w:pPr>
            <w:r>
              <w:rPr>
                <w:sz w:val="18"/>
              </w:rPr>
              <w:t>-</w:t>
            </w:r>
            <w:r>
              <w:rPr>
                <w:spacing w:val="-2"/>
                <w:sz w:val="18"/>
              </w:rPr>
              <w:t>0.193944</w:t>
            </w:r>
          </w:p>
        </w:tc>
        <w:tc>
          <w:tcPr>
            <w:tcW w:w="1499" w:type="dxa"/>
          </w:tcPr>
          <w:p>
            <w:pPr>
              <w:pStyle w:val="TableParagraph"/>
              <w:spacing w:line="188" w:lineRule="exact"/>
              <w:ind w:left="329"/>
              <w:rPr>
                <w:sz w:val="18"/>
              </w:rPr>
            </w:pPr>
            <w:r>
              <w:rPr>
                <w:spacing w:val="-2"/>
                <w:sz w:val="18"/>
              </w:rPr>
              <w:t>0.221865</w:t>
            </w:r>
          </w:p>
        </w:tc>
        <w:tc>
          <w:tcPr>
            <w:tcW w:w="1258" w:type="dxa"/>
          </w:tcPr>
          <w:p>
            <w:pPr>
              <w:pStyle w:val="TableParagraph"/>
              <w:rPr>
                <w:sz w:val="14"/>
              </w:rPr>
            </w:pPr>
          </w:p>
        </w:tc>
      </w:tr>
      <w:tr>
        <w:trPr>
          <w:trHeight w:val="201" w:hRule="atLeast"/>
        </w:trPr>
        <w:tc>
          <w:tcPr>
            <w:tcW w:w="1383" w:type="dxa"/>
            <w:tcBorders>
              <w:bottom w:val="double" w:sz="6" w:space="0" w:color="000000"/>
            </w:tcBorders>
          </w:tcPr>
          <w:p>
            <w:pPr>
              <w:pStyle w:val="TableParagraph"/>
              <w:spacing w:line="181" w:lineRule="exact"/>
              <w:ind w:right="2"/>
              <w:jc w:val="center"/>
              <w:rPr>
                <w:sz w:val="18"/>
              </w:rPr>
            </w:pPr>
            <w:r>
              <w:rPr>
                <w:sz w:val="18"/>
              </w:rPr>
              <w:t>-</w:t>
            </w:r>
            <w:r>
              <w:rPr>
                <w:spacing w:val="-2"/>
                <w:sz w:val="18"/>
              </w:rPr>
              <w:t>0.341642</w:t>
            </w:r>
          </w:p>
        </w:tc>
        <w:tc>
          <w:tcPr>
            <w:tcW w:w="1357" w:type="dxa"/>
            <w:tcBorders>
              <w:bottom w:val="double" w:sz="6" w:space="0" w:color="000000"/>
            </w:tcBorders>
          </w:tcPr>
          <w:p>
            <w:pPr>
              <w:pStyle w:val="TableParagraph"/>
              <w:spacing w:line="181" w:lineRule="exact"/>
              <w:ind w:left="90"/>
              <w:jc w:val="center"/>
              <w:rPr>
                <w:sz w:val="18"/>
              </w:rPr>
            </w:pPr>
            <w:r>
              <w:rPr>
                <w:spacing w:val="-2"/>
                <w:sz w:val="18"/>
              </w:rPr>
              <w:t>0.016318</w:t>
            </w:r>
          </w:p>
        </w:tc>
        <w:tc>
          <w:tcPr>
            <w:tcW w:w="1459" w:type="dxa"/>
            <w:tcBorders>
              <w:bottom w:val="double" w:sz="6" w:space="0" w:color="000000"/>
            </w:tcBorders>
          </w:tcPr>
          <w:p>
            <w:pPr>
              <w:pStyle w:val="TableParagraph"/>
              <w:spacing w:line="181" w:lineRule="exact"/>
              <w:ind w:left="438"/>
              <w:rPr>
                <w:sz w:val="18"/>
              </w:rPr>
            </w:pPr>
            <w:r>
              <w:rPr>
                <w:spacing w:val="-2"/>
                <w:sz w:val="18"/>
              </w:rPr>
              <w:t>0.499830</w:t>
            </w:r>
          </w:p>
        </w:tc>
        <w:tc>
          <w:tcPr>
            <w:tcW w:w="1395" w:type="dxa"/>
            <w:tcBorders>
              <w:bottom w:val="double" w:sz="6" w:space="0" w:color="000000"/>
            </w:tcBorders>
          </w:tcPr>
          <w:p>
            <w:pPr>
              <w:pStyle w:val="TableParagraph"/>
              <w:spacing w:line="181" w:lineRule="exact"/>
              <w:ind w:left="109" w:right="48"/>
              <w:jc w:val="center"/>
              <w:rPr>
                <w:sz w:val="18"/>
              </w:rPr>
            </w:pPr>
            <w:r>
              <w:rPr>
                <w:spacing w:val="-2"/>
                <w:sz w:val="18"/>
              </w:rPr>
              <w:t>0.133671</w:t>
            </w:r>
          </w:p>
        </w:tc>
        <w:tc>
          <w:tcPr>
            <w:tcW w:w="1489" w:type="dxa"/>
            <w:tcBorders>
              <w:bottom w:val="double" w:sz="6" w:space="0" w:color="000000"/>
            </w:tcBorders>
          </w:tcPr>
          <w:p>
            <w:pPr>
              <w:pStyle w:val="TableParagraph"/>
              <w:spacing w:line="181" w:lineRule="exact"/>
              <w:ind w:left="354"/>
              <w:rPr>
                <w:sz w:val="18"/>
              </w:rPr>
            </w:pPr>
            <w:r>
              <w:rPr>
                <w:sz w:val="18"/>
              </w:rPr>
              <w:t>-</w:t>
            </w:r>
            <w:r>
              <w:rPr>
                <w:spacing w:val="-2"/>
                <w:sz w:val="18"/>
              </w:rPr>
              <w:t>0.210254</w:t>
            </w:r>
          </w:p>
        </w:tc>
        <w:tc>
          <w:tcPr>
            <w:tcW w:w="1499" w:type="dxa"/>
            <w:tcBorders>
              <w:bottom w:val="double" w:sz="6" w:space="0" w:color="000000"/>
            </w:tcBorders>
          </w:tcPr>
          <w:p>
            <w:pPr>
              <w:pStyle w:val="TableParagraph"/>
              <w:spacing w:line="181" w:lineRule="exact"/>
              <w:ind w:left="329"/>
              <w:rPr>
                <w:sz w:val="18"/>
              </w:rPr>
            </w:pPr>
            <w:r>
              <w:rPr>
                <w:spacing w:val="-2"/>
                <w:sz w:val="18"/>
              </w:rPr>
              <w:t>0.083351</w:t>
            </w:r>
          </w:p>
        </w:tc>
        <w:tc>
          <w:tcPr>
            <w:tcW w:w="1258" w:type="dxa"/>
            <w:tcBorders>
              <w:bottom w:val="double" w:sz="6" w:space="0" w:color="000000"/>
            </w:tcBorders>
          </w:tcPr>
          <w:p>
            <w:pPr>
              <w:pStyle w:val="TableParagraph"/>
              <w:rPr>
                <w:sz w:val="14"/>
              </w:rPr>
            </w:pPr>
          </w:p>
        </w:tc>
      </w:tr>
      <w:tr>
        <w:trPr>
          <w:trHeight w:val="1282" w:hRule="atLeast"/>
        </w:trPr>
        <w:tc>
          <w:tcPr>
            <w:tcW w:w="1383" w:type="dxa"/>
            <w:tcBorders>
              <w:top w:val="double" w:sz="6" w:space="0" w:color="000000"/>
              <w:bottom w:val="double" w:sz="6" w:space="0" w:color="000000"/>
            </w:tcBorders>
          </w:tcPr>
          <w:p>
            <w:pPr>
              <w:pStyle w:val="TableParagraph"/>
              <w:spacing w:before="41"/>
              <w:rPr>
                <w:sz w:val="18"/>
              </w:rPr>
            </w:pPr>
          </w:p>
          <w:p>
            <w:pPr>
              <w:pStyle w:val="TableParagraph"/>
              <w:ind w:left="156" w:right="161" w:firstLine="132"/>
              <w:jc w:val="both"/>
              <w:rPr>
                <w:sz w:val="18"/>
              </w:rPr>
            </w:pPr>
            <w:r>
              <w:rPr>
                <w:spacing w:val="-2"/>
                <w:sz w:val="18"/>
              </w:rPr>
              <w:t>Normalized Cointegrating </w:t>
            </w:r>
            <w:r>
              <w:rPr>
                <w:sz w:val="18"/>
              </w:rPr>
              <w:t>Coefficients:</w:t>
            </w:r>
            <w:r>
              <w:rPr>
                <w:spacing w:val="-12"/>
                <w:sz w:val="18"/>
              </w:rPr>
              <w:t> </w:t>
            </w:r>
            <w:r>
              <w:rPr>
                <w:sz w:val="18"/>
              </w:rPr>
              <w:t>1 </w:t>
            </w:r>
            <w:r>
              <w:rPr>
                <w:spacing w:val="-2"/>
                <w:sz w:val="18"/>
              </w:rPr>
              <w:t>Cointegrating</w:t>
            </w:r>
          </w:p>
          <w:p>
            <w:pPr>
              <w:pStyle w:val="TableParagraph"/>
              <w:spacing w:line="186" w:lineRule="exact"/>
              <w:ind w:left="269"/>
              <w:rPr>
                <w:sz w:val="18"/>
              </w:rPr>
            </w:pPr>
            <w:r>
              <w:rPr>
                <w:spacing w:val="-2"/>
                <w:sz w:val="18"/>
              </w:rPr>
              <w:t>Equation(s)</w:t>
            </w:r>
          </w:p>
        </w:tc>
        <w:tc>
          <w:tcPr>
            <w:tcW w:w="1357" w:type="dxa"/>
            <w:tcBorders>
              <w:top w:val="double" w:sz="6" w:space="0" w:color="000000"/>
              <w:bottom w:val="double" w:sz="6" w:space="0" w:color="000000"/>
            </w:tcBorders>
          </w:tcPr>
          <w:p>
            <w:pPr>
              <w:pStyle w:val="TableParagraph"/>
              <w:rPr>
                <w:sz w:val="18"/>
              </w:rPr>
            </w:pPr>
          </w:p>
        </w:tc>
        <w:tc>
          <w:tcPr>
            <w:tcW w:w="1459" w:type="dxa"/>
            <w:tcBorders>
              <w:top w:val="double" w:sz="6" w:space="0" w:color="000000"/>
              <w:bottom w:val="double" w:sz="6" w:space="0" w:color="000000"/>
            </w:tcBorders>
          </w:tcPr>
          <w:p>
            <w:pPr>
              <w:pStyle w:val="TableParagraph"/>
              <w:rPr>
                <w:sz w:val="18"/>
              </w:rPr>
            </w:pPr>
          </w:p>
        </w:tc>
        <w:tc>
          <w:tcPr>
            <w:tcW w:w="1395" w:type="dxa"/>
            <w:tcBorders>
              <w:top w:val="double" w:sz="6" w:space="0" w:color="000000"/>
              <w:bottom w:val="double" w:sz="6" w:space="0" w:color="000000"/>
            </w:tcBorders>
          </w:tcPr>
          <w:p>
            <w:pPr>
              <w:pStyle w:val="TableParagraph"/>
              <w:rPr>
                <w:sz w:val="18"/>
              </w:rPr>
            </w:pPr>
          </w:p>
        </w:tc>
        <w:tc>
          <w:tcPr>
            <w:tcW w:w="1489" w:type="dxa"/>
            <w:tcBorders>
              <w:top w:val="double" w:sz="6" w:space="0" w:color="000000"/>
              <w:bottom w:val="double" w:sz="6" w:space="0" w:color="000000"/>
            </w:tcBorders>
          </w:tcPr>
          <w:p>
            <w:pPr>
              <w:pStyle w:val="TableParagraph"/>
              <w:rPr>
                <w:sz w:val="18"/>
              </w:rPr>
            </w:pPr>
          </w:p>
        </w:tc>
        <w:tc>
          <w:tcPr>
            <w:tcW w:w="1499" w:type="dxa"/>
            <w:tcBorders>
              <w:top w:val="double" w:sz="6" w:space="0" w:color="000000"/>
              <w:bottom w:val="double" w:sz="6" w:space="0" w:color="000000"/>
            </w:tcBorders>
          </w:tcPr>
          <w:p>
            <w:pPr>
              <w:pStyle w:val="TableParagraph"/>
              <w:rPr>
                <w:sz w:val="18"/>
              </w:rPr>
            </w:pPr>
          </w:p>
        </w:tc>
        <w:tc>
          <w:tcPr>
            <w:tcW w:w="1258" w:type="dxa"/>
            <w:tcBorders>
              <w:top w:val="double" w:sz="6" w:space="0" w:color="000000"/>
              <w:bottom w:val="double" w:sz="6" w:space="0" w:color="000000"/>
            </w:tcBorders>
          </w:tcPr>
          <w:p>
            <w:pPr>
              <w:pStyle w:val="TableParagraph"/>
              <w:rPr>
                <w:sz w:val="18"/>
              </w:rPr>
            </w:pPr>
          </w:p>
        </w:tc>
      </w:tr>
      <w:tr>
        <w:trPr>
          <w:trHeight w:val="246" w:hRule="atLeast"/>
        </w:trPr>
        <w:tc>
          <w:tcPr>
            <w:tcW w:w="1383" w:type="dxa"/>
            <w:tcBorders>
              <w:top w:val="double" w:sz="6" w:space="0" w:color="000000"/>
            </w:tcBorders>
          </w:tcPr>
          <w:p>
            <w:pPr>
              <w:pStyle w:val="TableParagraph"/>
              <w:spacing w:line="187" w:lineRule="exact" w:before="40"/>
              <w:ind w:right="5"/>
              <w:jc w:val="center"/>
              <w:rPr>
                <w:sz w:val="18"/>
              </w:rPr>
            </w:pPr>
            <w:r>
              <w:rPr>
                <w:spacing w:val="-5"/>
                <w:sz w:val="18"/>
              </w:rPr>
              <w:t>GDP</w:t>
            </w:r>
          </w:p>
        </w:tc>
        <w:tc>
          <w:tcPr>
            <w:tcW w:w="1357" w:type="dxa"/>
            <w:tcBorders>
              <w:top w:val="double" w:sz="6" w:space="0" w:color="000000"/>
            </w:tcBorders>
          </w:tcPr>
          <w:p>
            <w:pPr>
              <w:pStyle w:val="TableParagraph"/>
              <w:spacing w:line="187" w:lineRule="exact" w:before="40"/>
              <w:ind w:left="90" w:right="47"/>
              <w:jc w:val="center"/>
              <w:rPr>
                <w:sz w:val="18"/>
              </w:rPr>
            </w:pPr>
            <w:r>
              <w:rPr>
                <w:spacing w:val="-2"/>
                <w:sz w:val="18"/>
              </w:rPr>
              <w:t>EXTDEBT</w:t>
            </w:r>
          </w:p>
        </w:tc>
        <w:tc>
          <w:tcPr>
            <w:tcW w:w="1459" w:type="dxa"/>
            <w:tcBorders>
              <w:top w:val="double" w:sz="6" w:space="0" w:color="000000"/>
            </w:tcBorders>
          </w:tcPr>
          <w:p>
            <w:pPr>
              <w:pStyle w:val="TableParagraph"/>
              <w:spacing w:line="187" w:lineRule="exact" w:before="40"/>
              <w:ind w:left="141" w:right="92"/>
              <w:jc w:val="center"/>
              <w:rPr>
                <w:sz w:val="18"/>
              </w:rPr>
            </w:pPr>
            <w:r>
              <w:rPr>
                <w:spacing w:val="-5"/>
                <w:sz w:val="18"/>
              </w:rPr>
              <w:t>DFI</w:t>
            </w:r>
          </w:p>
        </w:tc>
        <w:tc>
          <w:tcPr>
            <w:tcW w:w="1395" w:type="dxa"/>
            <w:tcBorders>
              <w:top w:val="double" w:sz="6" w:space="0" w:color="000000"/>
            </w:tcBorders>
          </w:tcPr>
          <w:p>
            <w:pPr>
              <w:pStyle w:val="TableParagraph"/>
              <w:spacing w:line="187" w:lineRule="exact" w:before="40"/>
              <w:ind w:left="109" w:right="96"/>
              <w:jc w:val="center"/>
              <w:rPr>
                <w:sz w:val="18"/>
              </w:rPr>
            </w:pPr>
            <w:r>
              <w:rPr>
                <w:spacing w:val="-5"/>
                <w:sz w:val="18"/>
              </w:rPr>
              <w:t>CAB</w:t>
            </w:r>
          </w:p>
        </w:tc>
        <w:tc>
          <w:tcPr>
            <w:tcW w:w="1489" w:type="dxa"/>
            <w:tcBorders>
              <w:top w:val="double" w:sz="6" w:space="0" w:color="000000"/>
            </w:tcBorders>
          </w:tcPr>
          <w:p>
            <w:pPr>
              <w:pStyle w:val="TableParagraph"/>
              <w:spacing w:line="187" w:lineRule="exact" w:before="40"/>
              <w:ind w:right="44"/>
              <w:jc w:val="center"/>
              <w:rPr>
                <w:sz w:val="18"/>
              </w:rPr>
            </w:pPr>
            <w:r>
              <w:rPr>
                <w:spacing w:val="-5"/>
                <w:sz w:val="18"/>
              </w:rPr>
              <w:t>RES</w:t>
            </w:r>
          </w:p>
        </w:tc>
        <w:tc>
          <w:tcPr>
            <w:tcW w:w="1499" w:type="dxa"/>
            <w:tcBorders>
              <w:top w:val="double" w:sz="6" w:space="0" w:color="000000"/>
            </w:tcBorders>
          </w:tcPr>
          <w:p>
            <w:pPr>
              <w:pStyle w:val="TableParagraph"/>
              <w:spacing w:line="187" w:lineRule="exact" w:before="40"/>
              <w:ind w:left="288"/>
              <w:rPr>
                <w:sz w:val="18"/>
              </w:rPr>
            </w:pPr>
            <w:r>
              <w:rPr>
                <w:spacing w:val="-2"/>
                <w:sz w:val="18"/>
              </w:rPr>
              <w:t>NEXTAS</w:t>
            </w:r>
          </w:p>
        </w:tc>
        <w:tc>
          <w:tcPr>
            <w:tcW w:w="1258" w:type="dxa"/>
            <w:tcBorders>
              <w:top w:val="double" w:sz="6" w:space="0" w:color="000000"/>
            </w:tcBorders>
          </w:tcPr>
          <w:p>
            <w:pPr>
              <w:pStyle w:val="TableParagraph"/>
              <w:spacing w:line="187" w:lineRule="exact" w:before="40"/>
              <w:ind w:right="147"/>
              <w:jc w:val="center"/>
              <w:rPr>
                <w:sz w:val="18"/>
              </w:rPr>
            </w:pPr>
            <w:r>
              <w:rPr>
                <w:spacing w:val="-10"/>
                <w:sz w:val="18"/>
              </w:rPr>
              <w:t>C</w:t>
            </w:r>
          </w:p>
        </w:tc>
      </w:tr>
    </w:tbl>
    <w:p>
      <w:pPr>
        <w:spacing w:after="0" w:line="187" w:lineRule="exact"/>
        <w:jc w:val="center"/>
        <w:rPr>
          <w:sz w:val="18"/>
        </w:rPr>
        <w:sectPr>
          <w:pgSz w:w="11910" w:h="16840"/>
          <w:pgMar w:header="0" w:footer="982" w:top="1760" w:bottom="1220" w:left="280" w:right="0"/>
        </w:sectPr>
      </w:pPr>
    </w:p>
    <w:p>
      <w:pPr>
        <w:pStyle w:val="BodyText"/>
        <w:spacing w:before="6"/>
        <w:rPr>
          <w:sz w:val="2"/>
        </w:rPr>
      </w:pPr>
    </w:p>
    <w:tbl>
      <w:tblPr>
        <w:tblW w:w="0" w:type="auto"/>
        <w:jc w:val="left"/>
        <w:tblInd w:w="7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58"/>
        <w:gridCol w:w="1351"/>
        <w:gridCol w:w="1393"/>
        <w:gridCol w:w="1411"/>
        <w:gridCol w:w="1411"/>
        <w:gridCol w:w="1410"/>
        <w:gridCol w:w="1408"/>
      </w:tblGrid>
      <w:tr>
        <w:trPr>
          <w:trHeight w:val="203" w:hRule="atLeast"/>
        </w:trPr>
        <w:tc>
          <w:tcPr>
            <w:tcW w:w="1458" w:type="dxa"/>
          </w:tcPr>
          <w:p>
            <w:pPr>
              <w:pStyle w:val="TableParagraph"/>
              <w:spacing w:line="183" w:lineRule="exact"/>
              <w:ind w:left="49" w:right="80"/>
              <w:jc w:val="center"/>
              <w:rPr>
                <w:sz w:val="18"/>
              </w:rPr>
            </w:pPr>
            <w:r>
              <w:rPr>
                <w:spacing w:val="-2"/>
                <w:sz w:val="18"/>
              </w:rPr>
              <w:t>1.000000</w:t>
            </w:r>
          </w:p>
        </w:tc>
        <w:tc>
          <w:tcPr>
            <w:tcW w:w="1351" w:type="dxa"/>
          </w:tcPr>
          <w:p>
            <w:pPr>
              <w:pStyle w:val="TableParagraph"/>
              <w:spacing w:line="183" w:lineRule="exact"/>
              <w:ind w:left="258"/>
              <w:rPr>
                <w:sz w:val="18"/>
              </w:rPr>
            </w:pPr>
            <w:r>
              <w:rPr>
                <w:sz w:val="18"/>
              </w:rPr>
              <w:t>-</w:t>
            </w:r>
            <w:r>
              <w:rPr>
                <w:spacing w:val="-2"/>
                <w:sz w:val="18"/>
              </w:rPr>
              <w:t>0.294556</w:t>
            </w:r>
          </w:p>
        </w:tc>
        <w:tc>
          <w:tcPr>
            <w:tcW w:w="1393" w:type="dxa"/>
          </w:tcPr>
          <w:p>
            <w:pPr>
              <w:pStyle w:val="TableParagraph"/>
              <w:spacing w:line="183" w:lineRule="exact"/>
              <w:ind w:left="22" w:right="44"/>
              <w:jc w:val="center"/>
              <w:rPr>
                <w:sz w:val="18"/>
              </w:rPr>
            </w:pPr>
            <w:r>
              <w:rPr>
                <w:sz w:val="18"/>
              </w:rPr>
              <w:t>-</w:t>
            </w:r>
            <w:r>
              <w:rPr>
                <w:spacing w:val="-2"/>
                <w:sz w:val="18"/>
              </w:rPr>
              <w:t>0.570337</w:t>
            </w:r>
          </w:p>
        </w:tc>
        <w:tc>
          <w:tcPr>
            <w:tcW w:w="1411" w:type="dxa"/>
          </w:tcPr>
          <w:p>
            <w:pPr>
              <w:pStyle w:val="TableParagraph"/>
              <w:spacing w:line="183" w:lineRule="exact"/>
              <w:ind w:left="49" w:right="53"/>
              <w:jc w:val="center"/>
              <w:rPr>
                <w:sz w:val="18"/>
              </w:rPr>
            </w:pPr>
            <w:r>
              <w:rPr>
                <w:sz w:val="18"/>
              </w:rPr>
              <w:t>-</w:t>
            </w:r>
            <w:r>
              <w:rPr>
                <w:spacing w:val="-2"/>
                <w:sz w:val="18"/>
              </w:rPr>
              <w:t>0.189012</w:t>
            </w:r>
          </w:p>
        </w:tc>
        <w:tc>
          <w:tcPr>
            <w:tcW w:w="1411" w:type="dxa"/>
          </w:tcPr>
          <w:p>
            <w:pPr>
              <w:pStyle w:val="TableParagraph"/>
              <w:spacing w:line="183" w:lineRule="exact"/>
              <w:ind w:left="49" w:right="9"/>
              <w:jc w:val="center"/>
              <w:rPr>
                <w:sz w:val="18"/>
              </w:rPr>
            </w:pPr>
            <w:r>
              <w:rPr>
                <w:spacing w:val="-2"/>
                <w:sz w:val="18"/>
              </w:rPr>
              <w:t>0.417905</w:t>
            </w:r>
          </w:p>
        </w:tc>
        <w:tc>
          <w:tcPr>
            <w:tcW w:w="1410" w:type="dxa"/>
          </w:tcPr>
          <w:p>
            <w:pPr>
              <w:pStyle w:val="TableParagraph"/>
              <w:spacing w:line="183" w:lineRule="exact"/>
              <w:ind w:left="49" w:right="50"/>
              <w:jc w:val="center"/>
              <w:rPr>
                <w:sz w:val="18"/>
              </w:rPr>
            </w:pPr>
            <w:r>
              <w:rPr>
                <w:sz w:val="18"/>
              </w:rPr>
              <w:t>-</w:t>
            </w:r>
            <w:r>
              <w:rPr>
                <w:spacing w:val="-2"/>
                <w:sz w:val="18"/>
              </w:rPr>
              <w:t>0.491957</w:t>
            </w:r>
          </w:p>
        </w:tc>
        <w:tc>
          <w:tcPr>
            <w:tcW w:w="1408" w:type="dxa"/>
          </w:tcPr>
          <w:p>
            <w:pPr>
              <w:pStyle w:val="TableParagraph"/>
              <w:spacing w:line="183" w:lineRule="exact"/>
              <w:ind w:left="46" w:right="46"/>
              <w:jc w:val="center"/>
              <w:rPr>
                <w:sz w:val="18"/>
              </w:rPr>
            </w:pPr>
            <w:r>
              <w:rPr>
                <w:sz w:val="18"/>
              </w:rPr>
              <w:t>-</w:t>
            </w:r>
            <w:r>
              <w:rPr>
                <w:spacing w:val="-2"/>
                <w:sz w:val="18"/>
              </w:rPr>
              <w:t>1.567038</w:t>
            </w:r>
          </w:p>
        </w:tc>
      </w:tr>
      <w:tr>
        <w:trPr>
          <w:trHeight w:val="310" w:hRule="atLeast"/>
        </w:trPr>
        <w:tc>
          <w:tcPr>
            <w:tcW w:w="1458" w:type="dxa"/>
          </w:tcPr>
          <w:p>
            <w:pPr>
              <w:pStyle w:val="TableParagraph"/>
              <w:rPr>
                <w:sz w:val="18"/>
              </w:rPr>
            </w:pPr>
          </w:p>
        </w:tc>
        <w:tc>
          <w:tcPr>
            <w:tcW w:w="1351" w:type="dxa"/>
          </w:tcPr>
          <w:p>
            <w:pPr>
              <w:pStyle w:val="TableParagraph"/>
              <w:spacing w:line="203" w:lineRule="exact"/>
              <w:ind w:left="296"/>
              <w:rPr>
                <w:sz w:val="18"/>
              </w:rPr>
            </w:pPr>
            <w:r>
              <w:rPr>
                <w:spacing w:val="-2"/>
                <w:sz w:val="18"/>
              </w:rPr>
              <w:t>(0.07385)</w:t>
            </w:r>
          </w:p>
        </w:tc>
        <w:tc>
          <w:tcPr>
            <w:tcW w:w="1393" w:type="dxa"/>
          </w:tcPr>
          <w:p>
            <w:pPr>
              <w:pStyle w:val="TableParagraph"/>
              <w:spacing w:line="203" w:lineRule="exact"/>
              <w:ind w:left="44" w:right="22"/>
              <w:jc w:val="center"/>
              <w:rPr>
                <w:sz w:val="18"/>
              </w:rPr>
            </w:pPr>
            <w:r>
              <w:rPr>
                <w:spacing w:val="-2"/>
                <w:sz w:val="18"/>
              </w:rPr>
              <w:t>(0.08302)</w:t>
            </w:r>
          </w:p>
        </w:tc>
        <w:tc>
          <w:tcPr>
            <w:tcW w:w="1411" w:type="dxa"/>
          </w:tcPr>
          <w:p>
            <w:pPr>
              <w:pStyle w:val="TableParagraph"/>
              <w:spacing w:line="203" w:lineRule="exact"/>
              <w:ind w:left="49" w:right="9"/>
              <w:jc w:val="center"/>
              <w:rPr>
                <w:sz w:val="18"/>
              </w:rPr>
            </w:pPr>
            <w:r>
              <w:rPr>
                <w:spacing w:val="-2"/>
                <w:sz w:val="18"/>
              </w:rPr>
              <w:t>(0.06482)</w:t>
            </w:r>
          </w:p>
        </w:tc>
        <w:tc>
          <w:tcPr>
            <w:tcW w:w="1411" w:type="dxa"/>
          </w:tcPr>
          <w:p>
            <w:pPr>
              <w:pStyle w:val="TableParagraph"/>
              <w:spacing w:line="203" w:lineRule="exact"/>
              <w:ind w:left="49" w:right="8"/>
              <w:jc w:val="center"/>
              <w:rPr>
                <w:sz w:val="18"/>
              </w:rPr>
            </w:pPr>
            <w:r>
              <w:rPr>
                <w:spacing w:val="-2"/>
                <w:sz w:val="18"/>
              </w:rPr>
              <w:t>(0.12723)</w:t>
            </w:r>
          </w:p>
        </w:tc>
        <w:tc>
          <w:tcPr>
            <w:tcW w:w="1410" w:type="dxa"/>
          </w:tcPr>
          <w:p>
            <w:pPr>
              <w:pStyle w:val="TableParagraph"/>
              <w:spacing w:line="203" w:lineRule="exact"/>
              <w:ind w:left="49" w:right="6"/>
              <w:jc w:val="center"/>
              <w:rPr>
                <w:sz w:val="18"/>
              </w:rPr>
            </w:pPr>
            <w:r>
              <w:rPr>
                <w:spacing w:val="-2"/>
                <w:sz w:val="18"/>
              </w:rPr>
              <w:t>(0.08871)</w:t>
            </w:r>
          </w:p>
        </w:tc>
        <w:tc>
          <w:tcPr>
            <w:tcW w:w="1408" w:type="dxa"/>
          </w:tcPr>
          <w:p>
            <w:pPr>
              <w:pStyle w:val="TableParagraph"/>
              <w:rPr>
                <w:sz w:val="18"/>
              </w:rPr>
            </w:pPr>
          </w:p>
        </w:tc>
      </w:tr>
      <w:tr>
        <w:trPr>
          <w:trHeight w:val="305" w:hRule="atLeast"/>
        </w:trPr>
        <w:tc>
          <w:tcPr>
            <w:tcW w:w="1458" w:type="dxa"/>
            <w:tcBorders>
              <w:bottom w:val="double" w:sz="6" w:space="0" w:color="000000"/>
            </w:tcBorders>
          </w:tcPr>
          <w:p>
            <w:pPr>
              <w:pStyle w:val="TableParagraph"/>
              <w:spacing w:line="186" w:lineRule="exact" w:before="100"/>
              <w:ind w:left="49" w:right="80"/>
              <w:jc w:val="center"/>
              <w:rPr>
                <w:sz w:val="18"/>
              </w:rPr>
            </w:pPr>
            <w:r>
              <w:rPr>
                <w:sz w:val="18"/>
              </w:rPr>
              <w:t>Log</w:t>
            </w:r>
            <w:r>
              <w:rPr>
                <w:spacing w:val="-2"/>
                <w:sz w:val="18"/>
              </w:rPr>
              <w:t> likelihood</w:t>
            </w:r>
          </w:p>
        </w:tc>
        <w:tc>
          <w:tcPr>
            <w:tcW w:w="1351" w:type="dxa"/>
            <w:tcBorders>
              <w:bottom w:val="double" w:sz="6" w:space="0" w:color="000000"/>
            </w:tcBorders>
          </w:tcPr>
          <w:p>
            <w:pPr>
              <w:pStyle w:val="TableParagraph"/>
              <w:spacing w:line="186" w:lineRule="exact" w:before="100"/>
              <w:ind w:left="258"/>
              <w:rPr>
                <w:sz w:val="18"/>
              </w:rPr>
            </w:pPr>
            <w:r>
              <w:rPr>
                <w:sz w:val="18"/>
              </w:rPr>
              <w:t>-</w:t>
            </w:r>
            <w:r>
              <w:rPr>
                <w:spacing w:val="-2"/>
                <w:sz w:val="18"/>
              </w:rPr>
              <w:t>111.3706</w:t>
            </w:r>
          </w:p>
        </w:tc>
        <w:tc>
          <w:tcPr>
            <w:tcW w:w="1393" w:type="dxa"/>
            <w:tcBorders>
              <w:bottom w:val="double" w:sz="6" w:space="0" w:color="000000"/>
            </w:tcBorders>
          </w:tcPr>
          <w:p>
            <w:pPr>
              <w:pStyle w:val="TableParagraph"/>
              <w:rPr>
                <w:sz w:val="18"/>
              </w:rPr>
            </w:pPr>
          </w:p>
        </w:tc>
        <w:tc>
          <w:tcPr>
            <w:tcW w:w="1411" w:type="dxa"/>
            <w:tcBorders>
              <w:bottom w:val="double" w:sz="6" w:space="0" w:color="000000"/>
            </w:tcBorders>
          </w:tcPr>
          <w:p>
            <w:pPr>
              <w:pStyle w:val="TableParagraph"/>
              <w:rPr>
                <w:sz w:val="18"/>
              </w:rPr>
            </w:pPr>
          </w:p>
        </w:tc>
        <w:tc>
          <w:tcPr>
            <w:tcW w:w="1411" w:type="dxa"/>
            <w:tcBorders>
              <w:bottom w:val="double" w:sz="6" w:space="0" w:color="000000"/>
            </w:tcBorders>
          </w:tcPr>
          <w:p>
            <w:pPr>
              <w:pStyle w:val="TableParagraph"/>
              <w:rPr>
                <w:sz w:val="18"/>
              </w:rPr>
            </w:pPr>
          </w:p>
        </w:tc>
        <w:tc>
          <w:tcPr>
            <w:tcW w:w="1410" w:type="dxa"/>
            <w:tcBorders>
              <w:bottom w:val="double" w:sz="6" w:space="0" w:color="000000"/>
            </w:tcBorders>
          </w:tcPr>
          <w:p>
            <w:pPr>
              <w:pStyle w:val="TableParagraph"/>
              <w:rPr>
                <w:sz w:val="18"/>
              </w:rPr>
            </w:pPr>
          </w:p>
        </w:tc>
        <w:tc>
          <w:tcPr>
            <w:tcW w:w="1408" w:type="dxa"/>
            <w:tcBorders>
              <w:bottom w:val="double" w:sz="6" w:space="0" w:color="000000"/>
            </w:tcBorders>
          </w:tcPr>
          <w:p>
            <w:pPr>
              <w:pStyle w:val="TableParagraph"/>
              <w:rPr>
                <w:sz w:val="18"/>
              </w:rPr>
            </w:pPr>
          </w:p>
        </w:tc>
      </w:tr>
      <w:tr>
        <w:trPr>
          <w:trHeight w:val="1282" w:hRule="atLeast"/>
        </w:trPr>
        <w:tc>
          <w:tcPr>
            <w:tcW w:w="1458" w:type="dxa"/>
            <w:tcBorders>
              <w:top w:val="double" w:sz="6" w:space="0" w:color="000000"/>
              <w:bottom w:val="double" w:sz="6" w:space="0" w:color="000000"/>
            </w:tcBorders>
          </w:tcPr>
          <w:p>
            <w:pPr>
              <w:pStyle w:val="TableParagraph"/>
              <w:spacing w:before="41"/>
              <w:rPr>
                <w:sz w:val="18"/>
              </w:rPr>
            </w:pPr>
          </w:p>
          <w:p>
            <w:pPr>
              <w:pStyle w:val="TableParagraph"/>
              <w:ind w:left="156" w:right="236" w:firstLine="132"/>
              <w:jc w:val="both"/>
              <w:rPr>
                <w:sz w:val="18"/>
              </w:rPr>
            </w:pPr>
            <w:r>
              <w:rPr>
                <w:spacing w:val="-2"/>
                <w:sz w:val="18"/>
              </w:rPr>
              <w:t>Normalized Cointegrating </w:t>
            </w:r>
            <w:r>
              <w:rPr>
                <w:sz w:val="18"/>
              </w:rPr>
              <w:t>Coefficients:</w:t>
            </w:r>
            <w:r>
              <w:rPr>
                <w:spacing w:val="-12"/>
                <w:sz w:val="18"/>
              </w:rPr>
              <w:t> </w:t>
            </w:r>
            <w:r>
              <w:rPr>
                <w:sz w:val="18"/>
              </w:rPr>
              <w:t>2 </w:t>
            </w:r>
            <w:r>
              <w:rPr>
                <w:spacing w:val="-2"/>
                <w:sz w:val="18"/>
              </w:rPr>
              <w:t>Cointegrating</w:t>
            </w:r>
          </w:p>
          <w:p>
            <w:pPr>
              <w:pStyle w:val="TableParagraph"/>
              <w:spacing w:line="186" w:lineRule="exact"/>
              <w:ind w:left="269"/>
              <w:rPr>
                <w:sz w:val="18"/>
              </w:rPr>
            </w:pPr>
            <w:r>
              <w:rPr>
                <w:spacing w:val="-2"/>
                <w:sz w:val="18"/>
              </w:rPr>
              <w:t>Equation(s)</w:t>
            </w:r>
          </w:p>
        </w:tc>
        <w:tc>
          <w:tcPr>
            <w:tcW w:w="1351" w:type="dxa"/>
            <w:tcBorders>
              <w:top w:val="double" w:sz="6" w:space="0" w:color="000000"/>
              <w:bottom w:val="double" w:sz="6" w:space="0" w:color="000000"/>
            </w:tcBorders>
          </w:tcPr>
          <w:p>
            <w:pPr>
              <w:pStyle w:val="TableParagraph"/>
              <w:rPr>
                <w:sz w:val="18"/>
              </w:rPr>
            </w:pPr>
          </w:p>
        </w:tc>
        <w:tc>
          <w:tcPr>
            <w:tcW w:w="1393" w:type="dxa"/>
            <w:tcBorders>
              <w:top w:val="double" w:sz="6" w:space="0" w:color="000000"/>
              <w:bottom w:val="double" w:sz="6" w:space="0" w:color="000000"/>
            </w:tcBorders>
          </w:tcPr>
          <w:p>
            <w:pPr>
              <w:pStyle w:val="TableParagraph"/>
              <w:rPr>
                <w:sz w:val="18"/>
              </w:rPr>
            </w:pPr>
          </w:p>
        </w:tc>
        <w:tc>
          <w:tcPr>
            <w:tcW w:w="1411" w:type="dxa"/>
            <w:tcBorders>
              <w:top w:val="double" w:sz="6" w:space="0" w:color="000000"/>
              <w:bottom w:val="double" w:sz="6" w:space="0" w:color="000000"/>
            </w:tcBorders>
          </w:tcPr>
          <w:p>
            <w:pPr>
              <w:pStyle w:val="TableParagraph"/>
              <w:rPr>
                <w:sz w:val="18"/>
              </w:rPr>
            </w:pPr>
          </w:p>
        </w:tc>
        <w:tc>
          <w:tcPr>
            <w:tcW w:w="1411" w:type="dxa"/>
            <w:tcBorders>
              <w:top w:val="double" w:sz="6" w:space="0" w:color="000000"/>
              <w:bottom w:val="double" w:sz="6" w:space="0" w:color="000000"/>
            </w:tcBorders>
          </w:tcPr>
          <w:p>
            <w:pPr>
              <w:pStyle w:val="TableParagraph"/>
              <w:rPr>
                <w:sz w:val="18"/>
              </w:rPr>
            </w:pPr>
          </w:p>
        </w:tc>
        <w:tc>
          <w:tcPr>
            <w:tcW w:w="1410" w:type="dxa"/>
            <w:tcBorders>
              <w:top w:val="double" w:sz="6" w:space="0" w:color="000000"/>
              <w:bottom w:val="double" w:sz="6" w:space="0" w:color="000000"/>
            </w:tcBorders>
          </w:tcPr>
          <w:p>
            <w:pPr>
              <w:pStyle w:val="TableParagraph"/>
              <w:rPr>
                <w:sz w:val="18"/>
              </w:rPr>
            </w:pPr>
          </w:p>
        </w:tc>
        <w:tc>
          <w:tcPr>
            <w:tcW w:w="1408" w:type="dxa"/>
            <w:tcBorders>
              <w:top w:val="double" w:sz="6" w:space="0" w:color="000000"/>
              <w:bottom w:val="double" w:sz="6" w:space="0" w:color="000000"/>
            </w:tcBorders>
          </w:tcPr>
          <w:p>
            <w:pPr>
              <w:pStyle w:val="TableParagraph"/>
              <w:rPr>
                <w:sz w:val="18"/>
              </w:rPr>
            </w:pPr>
          </w:p>
        </w:tc>
      </w:tr>
      <w:tr>
        <w:trPr>
          <w:trHeight w:val="251" w:hRule="atLeast"/>
        </w:trPr>
        <w:tc>
          <w:tcPr>
            <w:tcW w:w="1458" w:type="dxa"/>
            <w:tcBorders>
              <w:top w:val="double" w:sz="6" w:space="0" w:color="000000"/>
            </w:tcBorders>
          </w:tcPr>
          <w:p>
            <w:pPr>
              <w:pStyle w:val="TableParagraph"/>
              <w:spacing w:line="192" w:lineRule="exact" w:before="40"/>
              <w:ind w:right="80"/>
              <w:jc w:val="center"/>
              <w:rPr>
                <w:sz w:val="18"/>
              </w:rPr>
            </w:pPr>
            <w:r>
              <w:rPr>
                <w:spacing w:val="-5"/>
                <w:sz w:val="18"/>
              </w:rPr>
              <w:t>GDP</w:t>
            </w:r>
          </w:p>
        </w:tc>
        <w:tc>
          <w:tcPr>
            <w:tcW w:w="1351" w:type="dxa"/>
            <w:tcBorders>
              <w:top w:val="double" w:sz="6" w:space="0" w:color="000000"/>
            </w:tcBorders>
          </w:tcPr>
          <w:p>
            <w:pPr>
              <w:pStyle w:val="TableParagraph"/>
              <w:spacing w:line="192" w:lineRule="exact" w:before="40"/>
              <w:ind w:left="215"/>
              <w:rPr>
                <w:sz w:val="18"/>
              </w:rPr>
            </w:pPr>
            <w:r>
              <w:rPr>
                <w:spacing w:val="-2"/>
                <w:sz w:val="18"/>
              </w:rPr>
              <w:t>EXTDEBT</w:t>
            </w:r>
          </w:p>
        </w:tc>
        <w:tc>
          <w:tcPr>
            <w:tcW w:w="1393" w:type="dxa"/>
            <w:tcBorders>
              <w:top w:val="double" w:sz="6" w:space="0" w:color="000000"/>
            </w:tcBorders>
          </w:tcPr>
          <w:p>
            <w:pPr>
              <w:pStyle w:val="TableParagraph"/>
              <w:spacing w:line="192" w:lineRule="exact" w:before="40"/>
              <w:ind w:left="22" w:right="42"/>
              <w:jc w:val="center"/>
              <w:rPr>
                <w:sz w:val="18"/>
              </w:rPr>
            </w:pPr>
            <w:r>
              <w:rPr>
                <w:spacing w:val="-5"/>
                <w:sz w:val="18"/>
              </w:rPr>
              <w:t>DFI</w:t>
            </w:r>
          </w:p>
        </w:tc>
        <w:tc>
          <w:tcPr>
            <w:tcW w:w="1411" w:type="dxa"/>
            <w:tcBorders>
              <w:top w:val="double" w:sz="6" w:space="0" w:color="000000"/>
            </w:tcBorders>
          </w:tcPr>
          <w:p>
            <w:pPr>
              <w:pStyle w:val="TableParagraph"/>
              <w:spacing w:line="192" w:lineRule="exact" w:before="40"/>
              <w:ind w:left="49" w:right="55"/>
              <w:jc w:val="center"/>
              <w:rPr>
                <w:sz w:val="18"/>
              </w:rPr>
            </w:pPr>
            <w:r>
              <w:rPr>
                <w:spacing w:val="-5"/>
                <w:sz w:val="18"/>
              </w:rPr>
              <w:t>CAB</w:t>
            </w:r>
          </w:p>
        </w:tc>
        <w:tc>
          <w:tcPr>
            <w:tcW w:w="1411" w:type="dxa"/>
            <w:tcBorders>
              <w:top w:val="double" w:sz="6" w:space="0" w:color="000000"/>
            </w:tcBorders>
          </w:tcPr>
          <w:p>
            <w:pPr>
              <w:pStyle w:val="TableParagraph"/>
              <w:spacing w:line="192" w:lineRule="exact" w:before="40"/>
              <w:ind w:left="49" w:right="53"/>
              <w:jc w:val="center"/>
              <w:rPr>
                <w:sz w:val="18"/>
              </w:rPr>
            </w:pPr>
            <w:r>
              <w:rPr>
                <w:spacing w:val="-5"/>
                <w:sz w:val="18"/>
              </w:rPr>
              <w:t>RES</w:t>
            </w:r>
          </w:p>
        </w:tc>
        <w:tc>
          <w:tcPr>
            <w:tcW w:w="1410" w:type="dxa"/>
            <w:tcBorders>
              <w:top w:val="double" w:sz="6" w:space="0" w:color="000000"/>
            </w:tcBorders>
          </w:tcPr>
          <w:p>
            <w:pPr>
              <w:pStyle w:val="TableParagraph"/>
              <w:spacing w:line="192" w:lineRule="exact" w:before="40"/>
              <w:ind w:left="49" w:right="54"/>
              <w:jc w:val="center"/>
              <w:rPr>
                <w:sz w:val="18"/>
              </w:rPr>
            </w:pPr>
            <w:r>
              <w:rPr>
                <w:spacing w:val="-2"/>
                <w:sz w:val="18"/>
              </w:rPr>
              <w:t>NEXTAS</w:t>
            </w:r>
          </w:p>
        </w:tc>
        <w:tc>
          <w:tcPr>
            <w:tcW w:w="1408" w:type="dxa"/>
            <w:tcBorders>
              <w:top w:val="double" w:sz="6" w:space="0" w:color="000000"/>
            </w:tcBorders>
          </w:tcPr>
          <w:p>
            <w:pPr>
              <w:pStyle w:val="TableParagraph"/>
              <w:spacing w:line="192" w:lineRule="exact" w:before="40"/>
              <w:ind w:left="46" w:right="47"/>
              <w:jc w:val="center"/>
              <w:rPr>
                <w:sz w:val="18"/>
              </w:rPr>
            </w:pPr>
            <w:r>
              <w:rPr>
                <w:spacing w:val="-10"/>
                <w:sz w:val="18"/>
              </w:rPr>
              <w:t>C</w:t>
            </w:r>
          </w:p>
        </w:tc>
      </w:tr>
      <w:tr>
        <w:trPr>
          <w:trHeight w:val="207" w:hRule="atLeast"/>
        </w:trPr>
        <w:tc>
          <w:tcPr>
            <w:tcW w:w="1458" w:type="dxa"/>
          </w:tcPr>
          <w:p>
            <w:pPr>
              <w:pStyle w:val="TableParagraph"/>
              <w:spacing w:line="188" w:lineRule="exact"/>
              <w:ind w:left="49" w:right="80"/>
              <w:jc w:val="center"/>
              <w:rPr>
                <w:sz w:val="18"/>
              </w:rPr>
            </w:pPr>
            <w:r>
              <w:rPr>
                <w:spacing w:val="-2"/>
                <w:sz w:val="18"/>
              </w:rPr>
              <w:t>1.000000</w:t>
            </w:r>
          </w:p>
        </w:tc>
        <w:tc>
          <w:tcPr>
            <w:tcW w:w="1351" w:type="dxa"/>
          </w:tcPr>
          <w:p>
            <w:pPr>
              <w:pStyle w:val="TableParagraph"/>
              <w:spacing w:line="188" w:lineRule="exact"/>
              <w:ind w:left="311"/>
              <w:rPr>
                <w:sz w:val="18"/>
              </w:rPr>
            </w:pPr>
            <w:r>
              <w:rPr>
                <w:spacing w:val="-2"/>
                <w:sz w:val="18"/>
              </w:rPr>
              <w:t>0.000000</w:t>
            </w:r>
          </w:p>
        </w:tc>
        <w:tc>
          <w:tcPr>
            <w:tcW w:w="1393" w:type="dxa"/>
          </w:tcPr>
          <w:p>
            <w:pPr>
              <w:pStyle w:val="TableParagraph"/>
              <w:spacing w:line="188" w:lineRule="exact"/>
              <w:ind w:left="22" w:right="44"/>
              <w:jc w:val="center"/>
              <w:rPr>
                <w:sz w:val="18"/>
              </w:rPr>
            </w:pPr>
            <w:r>
              <w:rPr>
                <w:sz w:val="18"/>
              </w:rPr>
              <w:t>-</w:t>
            </w:r>
            <w:r>
              <w:rPr>
                <w:spacing w:val="-2"/>
                <w:sz w:val="18"/>
              </w:rPr>
              <w:t>0.555745</w:t>
            </w:r>
          </w:p>
        </w:tc>
        <w:tc>
          <w:tcPr>
            <w:tcW w:w="1411" w:type="dxa"/>
          </w:tcPr>
          <w:p>
            <w:pPr>
              <w:pStyle w:val="TableParagraph"/>
              <w:spacing w:line="188" w:lineRule="exact"/>
              <w:ind w:left="49" w:right="10"/>
              <w:jc w:val="center"/>
              <w:rPr>
                <w:sz w:val="18"/>
              </w:rPr>
            </w:pPr>
            <w:r>
              <w:rPr>
                <w:spacing w:val="-2"/>
                <w:sz w:val="18"/>
              </w:rPr>
              <w:t>0.088491</w:t>
            </w:r>
          </w:p>
        </w:tc>
        <w:tc>
          <w:tcPr>
            <w:tcW w:w="1411" w:type="dxa"/>
          </w:tcPr>
          <w:p>
            <w:pPr>
              <w:pStyle w:val="TableParagraph"/>
              <w:spacing w:line="188" w:lineRule="exact"/>
              <w:ind w:left="49" w:right="51"/>
              <w:jc w:val="center"/>
              <w:rPr>
                <w:sz w:val="18"/>
              </w:rPr>
            </w:pPr>
            <w:r>
              <w:rPr>
                <w:sz w:val="18"/>
              </w:rPr>
              <w:t>-</w:t>
            </w:r>
            <w:r>
              <w:rPr>
                <w:spacing w:val="-2"/>
                <w:sz w:val="18"/>
              </w:rPr>
              <w:t>0.585760</w:t>
            </w:r>
          </w:p>
        </w:tc>
        <w:tc>
          <w:tcPr>
            <w:tcW w:w="1410" w:type="dxa"/>
          </w:tcPr>
          <w:p>
            <w:pPr>
              <w:pStyle w:val="TableParagraph"/>
              <w:spacing w:line="188" w:lineRule="exact"/>
              <w:ind w:left="49" w:right="50"/>
              <w:jc w:val="center"/>
              <w:rPr>
                <w:sz w:val="18"/>
              </w:rPr>
            </w:pPr>
            <w:r>
              <w:rPr>
                <w:sz w:val="18"/>
              </w:rPr>
              <w:t>-</w:t>
            </w:r>
            <w:r>
              <w:rPr>
                <w:spacing w:val="-2"/>
                <w:sz w:val="18"/>
              </w:rPr>
              <w:t>0.126226</w:t>
            </w:r>
          </w:p>
        </w:tc>
        <w:tc>
          <w:tcPr>
            <w:tcW w:w="1408" w:type="dxa"/>
          </w:tcPr>
          <w:p>
            <w:pPr>
              <w:pStyle w:val="TableParagraph"/>
              <w:spacing w:line="188" w:lineRule="exact"/>
              <w:ind w:left="46" w:right="46"/>
              <w:jc w:val="center"/>
              <w:rPr>
                <w:sz w:val="18"/>
              </w:rPr>
            </w:pPr>
            <w:r>
              <w:rPr>
                <w:sz w:val="18"/>
              </w:rPr>
              <w:t>-</w:t>
            </w:r>
            <w:r>
              <w:rPr>
                <w:spacing w:val="-2"/>
                <w:sz w:val="18"/>
              </w:rPr>
              <w:t>1.264241</w:t>
            </w:r>
          </w:p>
        </w:tc>
      </w:tr>
      <w:tr>
        <w:trPr>
          <w:trHeight w:val="206" w:hRule="atLeast"/>
        </w:trPr>
        <w:tc>
          <w:tcPr>
            <w:tcW w:w="1458" w:type="dxa"/>
          </w:tcPr>
          <w:p>
            <w:pPr>
              <w:pStyle w:val="TableParagraph"/>
              <w:rPr>
                <w:sz w:val="14"/>
              </w:rPr>
            </w:pPr>
          </w:p>
        </w:tc>
        <w:tc>
          <w:tcPr>
            <w:tcW w:w="1351" w:type="dxa"/>
          </w:tcPr>
          <w:p>
            <w:pPr>
              <w:pStyle w:val="TableParagraph"/>
              <w:rPr>
                <w:sz w:val="14"/>
              </w:rPr>
            </w:pPr>
          </w:p>
        </w:tc>
        <w:tc>
          <w:tcPr>
            <w:tcW w:w="1393" w:type="dxa"/>
          </w:tcPr>
          <w:p>
            <w:pPr>
              <w:pStyle w:val="TableParagraph"/>
              <w:spacing w:line="186" w:lineRule="exact"/>
              <w:ind w:left="44" w:right="22"/>
              <w:jc w:val="center"/>
              <w:rPr>
                <w:sz w:val="18"/>
              </w:rPr>
            </w:pPr>
            <w:r>
              <w:rPr>
                <w:spacing w:val="-2"/>
                <w:sz w:val="18"/>
              </w:rPr>
              <w:t>(0.12616)</w:t>
            </w:r>
          </w:p>
        </w:tc>
        <w:tc>
          <w:tcPr>
            <w:tcW w:w="1411" w:type="dxa"/>
          </w:tcPr>
          <w:p>
            <w:pPr>
              <w:pStyle w:val="TableParagraph"/>
              <w:spacing w:line="186" w:lineRule="exact"/>
              <w:ind w:left="49" w:right="9"/>
              <w:jc w:val="center"/>
              <w:rPr>
                <w:sz w:val="18"/>
              </w:rPr>
            </w:pPr>
            <w:r>
              <w:rPr>
                <w:spacing w:val="-2"/>
                <w:sz w:val="18"/>
              </w:rPr>
              <w:t>(0.13127)</w:t>
            </w:r>
          </w:p>
        </w:tc>
        <w:tc>
          <w:tcPr>
            <w:tcW w:w="1411" w:type="dxa"/>
          </w:tcPr>
          <w:p>
            <w:pPr>
              <w:pStyle w:val="TableParagraph"/>
              <w:spacing w:line="186" w:lineRule="exact"/>
              <w:ind w:left="49" w:right="8"/>
              <w:jc w:val="center"/>
              <w:rPr>
                <w:sz w:val="18"/>
              </w:rPr>
            </w:pPr>
            <w:r>
              <w:rPr>
                <w:spacing w:val="-2"/>
                <w:sz w:val="18"/>
              </w:rPr>
              <w:t>(0.30294)</w:t>
            </w:r>
          </w:p>
        </w:tc>
        <w:tc>
          <w:tcPr>
            <w:tcW w:w="1410" w:type="dxa"/>
          </w:tcPr>
          <w:p>
            <w:pPr>
              <w:pStyle w:val="TableParagraph"/>
              <w:spacing w:line="186" w:lineRule="exact"/>
              <w:ind w:left="49" w:right="6"/>
              <w:jc w:val="center"/>
              <w:rPr>
                <w:sz w:val="18"/>
              </w:rPr>
            </w:pPr>
            <w:r>
              <w:rPr>
                <w:spacing w:val="-2"/>
                <w:sz w:val="18"/>
              </w:rPr>
              <w:t>(0.14044)</w:t>
            </w:r>
          </w:p>
        </w:tc>
        <w:tc>
          <w:tcPr>
            <w:tcW w:w="1408" w:type="dxa"/>
          </w:tcPr>
          <w:p>
            <w:pPr>
              <w:pStyle w:val="TableParagraph"/>
              <w:rPr>
                <w:sz w:val="14"/>
              </w:rPr>
            </w:pPr>
          </w:p>
        </w:tc>
      </w:tr>
      <w:tr>
        <w:trPr>
          <w:trHeight w:val="206" w:hRule="atLeast"/>
        </w:trPr>
        <w:tc>
          <w:tcPr>
            <w:tcW w:w="1458" w:type="dxa"/>
          </w:tcPr>
          <w:p>
            <w:pPr>
              <w:pStyle w:val="TableParagraph"/>
              <w:spacing w:line="186" w:lineRule="exact"/>
              <w:ind w:left="49" w:right="80"/>
              <w:jc w:val="center"/>
              <w:rPr>
                <w:sz w:val="18"/>
              </w:rPr>
            </w:pPr>
            <w:r>
              <w:rPr>
                <w:spacing w:val="-2"/>
                <w:sz w:val="18"/>
              </w:rPr>
              <w:t>0.000000</w:t>
            </w:r>
          </w:p>
        </w:tc>
        <w:tc>
          <w:tcPr>
            <w:tcW w:w="1351" w:type="dxa"/>
          </w:tcPr>
          <w:p>
            <w:pPr>
              <w:pStyle w:val="TableParagraph"/>
              <w:spacing w:line="186" w:lineRule="exact"/>
              <w:ind w:left="311"/>
              <w:rPr>
                <w:sz w:val="18"/>
              </w:rPr>
            </w:pPr>
            <w:r>
              <w:rPr>
                <w:spacing w:val="-2"/>
                <w:sz w:val="18"/>
              </w:rPr>
              <w:t>1.000000</w:t>
            </w:r>
          </w:p>
        </w:tc>
        <w:tc>
          <w:tcPr>
            <w:tcW w:w="1393" w:type="dxa"/>
          </w:tcPr>
          <w:p>
            <w:pPr>
              <w:pStyle w:val="TableParagraph"/>
              <w:spacing w:line="186" w:lineRule="exact"/>
              <w:ind w:left="43" w:right="22"/>
              <w:jc w:val="center"/>
              <w:rPr>
                <w:sz w:val="18"/>
              </w:rPr>
            </w:pPr>
            <w:r>
              <w:rPr>
                <w:spacing w:val="-2"/>
                <w:sz w:val="18"/>
              </w:rPr>
              <w:t>0.049539</w:t>
            </w:r>
          </w:p>
        </w:tc>
        <w:tc>
          <w:tcPr>
            <w:tcW w:w="1411" w:type="dxa"/>
          </w:tcPr>
          <w:p>
            <w:pPr>
              <w:pStyle w:val="TableParagraph"/>
              <w:spacing w:line="186" w:lineRule="exact"/>
              <w:ind w:left="49" w:right="10"/>
              <w:jc w:val="center"/>
              <w:rPr>
                <w:sz w:val="18"/>
              </w:rPr>
            </w:pPr>
            <w:r>
              <w:rPr>
                <w:spacing w:val="-2"/>
                <w:sz w:val="18"/>
              </w:rPr>
              <w:t>0.942107</w:t>
            </w:r>
          </w:p>
        </w:tc>
        <w:tc>
          <w:tcPr>
            <w:tcW w:w="1411" w:type="dxa"/>
          </w:tcPr>
          <w:p>
            <w:pPr>
              <w:pStyle w:val="TableParagraph"/>
              <w:spacing w:line="186" w:lineRule="exact"/>
              <w:ind w:left="49" w:right="51"/>
              <w:jc w:val="center"/>
              <w:rPr>
                <w:sz w:val="18"/>
              </w:rPr>
            </w:pPr>
            <w:r>
              <w:rPr>
                <w:sz w:val="18"/>
              </w:rPr>
              <w:t>-</w:t>
            </w:r>
            <w:r>
              <w:rPr>
                <w:spacing w:val="-2"/>
                <w:sz w:val="18"/>
              </w:rPr>
              <w:t>3.407385</w:t>
            </w:r>
          </w:p>
        </w:tc>
        <w:tc>
          <w:tcPr>
            <w:tcW w:w="1410" w:type="dxa"/>
          </w:tcPr>
          <w:p>
            <w:pPr>
              <w:pStyle w:val="TableParagraph"/>
              <w:spacing w:line="186" w:lineRule="exact"/>
              <w:ind w:left="49" w:right="7"/>
              <w:jc w:val="center"/>
              <w:rPr>
                <w:sz w:val="18"/>
              </w:rPr>
            </w:pPr>
            <w:r>
              <w:rPr>
                <w:spacing w:val="-2"/>
                <w:sz w:val="18"/>
              </w:rPr>
              <w:t>1.241636</w:t>
            </w:r>
          </w:p>
        </w:tc>
        <w:tc>
          <w:tcPr>
            <w:tcW w:w="1408" w:type="dxa"/>
          </w:tcPr>
          <w:p>
            <w:pPr>
              <w:pStyle w:val="TableParagraph"/>
              <w:spacing w:line="186" w:lineRule="exact"/>
              <w:ind w:left="48" w:right="6"/>
              <w:jc w:val="center"/>
              <w:rPr>
                <w:sz w:val="18"/>
              </w:rPr>
            </w:pPr>
            <w:r>
              <w:rPr>
                <w:spacing w:val="-2"/>
                <w:sz w:val="18"/>
              </w:rPr>
              <w:t>1.027977</w:t>
            </w:r>
          </w:p>
        </w:tc>
      </w:tr>
      <w:tr>
        <w:trPr>
          <w:trHeight w:val="310" w:hRule="atLeast"/>
        </w:trPr>
        <w:tc>
          <w:tcPr>
            <w:tcW w:w="1458" w:type="dxa"/>
          </w:tcPr>
          <w:p>
            <w:pPr>
              <w:pStyle w:val="TableParagraph"/>
              <w:rPr>
                <w:sz w:val="18"/>
              </w:rPr>
            </w:pPr>
          </w:p>
        </w:tc>
        <w:tc>
          <w:tcPr>
            <w:tcW w:w="1351" w:type="dxa"/>
          </w:tcPr>
          <w:p>
            <w:pPr>
              <w:pStyle w:val="TableParagraph"/>
              <w:rPr>
                <w:sz w:val="18"/>
              </w:rPr>
            </w:pPr>
          </w:p>
        </w:tc>
        <w:tc>
          <w:tcPr>
            <w:tcW w:w="1393" w:type="dxa"/>
          </w:tcPr>
          <w:p>
            <w:pPr>
              <w:pStyle w:val="TableParagraph"/>
              <w:spacing w:line="203" w:lineRule="exact"/>
              <w:ind w:left="44" w:right="22"/>
              <w:jc w:val="center"/>
              <w:rPr>
                <w:sz w:val="18"/>
              </w:rPr>
            </w:pPr>
            <w:r>
              <w:rPr>
                <w:spacing w:val="-2"/>
                <w:sz w:val="18"/>
              </w:rPr>
              <w:t>(0.47047)</w:t>
            </w:r>
          </w:p>
        </w:tc>
        <w:tc>
          <w:tcPr>
            <w:tcW w:w="1411" w:type="dxa"/>
          </w:tcPr>
          <w:p>
            <w:pPr>
              <w:pStyle w:val="TableParagraph"/>
              <w:spacing w:line="203" w:lineRule="exact"/>
              <w:ind w:left="49" w:right="9"/>
              <w:jc w:val="center"/>
              <w:rPr>
                <w:sz w:val="18"/>
              </w:rPr>
            </w:pPr>
            <w:r>
              <w:rPr>
                <w:spacing w:val="-2"/>
                <w:sz w:val="18"/>
              </w:rPr>
              <w:t>(0.48951)</w:t>
            </w:r>
          </w:p>
        </w:tc>
        <w:tc>
          <w:tcPr>
            <w:tcW w:w="1411" w:type="dxa"/>
          </w:tcPr>
          <w:p>
            <w:pPr>
              <w:pStyle w:val="TableParagraph"/>
              <w:spacing w:line="203" w:lineRule="exact"/>
              <w:ind w:left="49" w:right="8"/>
              <w:jc w:val="center"/>
              <w:rPr>
                <w:sz w:val="18"/>
              </w:rPr>
            </w:pPr>
            <w:r>
              <w:rPr>
                <w:spacing w:val="-2"/>
                <w:sz w:val="18"/>
              </w:rPr>
              <w:t>(1.12969)</w:t>
            </w:r>
          </w:p>
        </w:tc>
        <w:tc>
          <w:tcPr>
            <w:tcW w:w="1410" w:type="dxa"/>
          </w:tcPr>
          <w:p>
            <w:pPr>
              <w:pStyle w:val="TableParagraph"/>
              <w:spacing w:line="203" w:lineRule="exact"/>
              <w:ind w:left="49" w:right="6"/>
              <w:jc w:val="center"/>
              <w:rPr>
                <w:sz w:val="18"/>
              </w:rPr>
            </w:pPr>
            <w:r>
              <w:rPr>
                <w:spacing w:val="-2"/>
                <w:sz w:val="18"/>
              </w:rPr>
              <w:t>(0.52372)</w:t>
            </w:r>
          </w:p>
        </w:tc>
        <w:tc>
          <w:tcPr>
            <w:tcW w:w="1408" w:type="dxa"/>
          </w:tcPr>
          <w:p>
            <w:pPr>
              <w:pStyle w:val="TableParagraph"/>
              <w:rPr>
                <w:sz w:val="18"/>
              </w:rPr>
            </w:pPr>
          </w:p>
        </w:tc>
      </w:tr>
      <w:tr>
        <w:trPr>
          <w:trHeight w:val="305" w:hRule="atLeast"/>
        </w:trPr>
        <w:tc>
          <w:tcPr>
            <w:tcW w:w="1458" w:type="dxa"/>
            <w:tcBorders>
              <w:bottom w:val="double" w:sz="6" w:space="0" w:color="000000"/>
            </w:tcBorders>
          </w:tcPr>
          <w:p>
            <w:pPr>
              <w:pStyle w:val="TableParagraph"/>
              <w:spacing w:line="186" w:lineRule="exact" w:before="100"/>
              <w:ind w:left="49" w:right="80"/>
              <w:jc w:val="center"/>
              <w:rPr>
                <w:sz w:val="18"/>
              </w:rPr>
            </w:pPr>
            <w:r>
              <w:rPr>
                <w:sz w:val="18"/>
              </w:rPr>
              <w:t>Log</w:t>
            </w:r>
            <w:r>
              <w:rPr>
                <w:spacing w:val="-2"/>
                <w:sz w:val="18"/>
              </w:rPr>
              <w:t> likelihood</w:t>
            </w:r>
          </w:p>
        </w:tc>
        <w:tc>
          <w:tcPr>
            <w:tcW w:w="1351" w:type="dxa"/>
            <w:tcBorders>
              <w:bottom w:val="double" w:sz="6" w:space="0" w:color="000000"/>
            </w:tcBorders>
          </w:tcPr>
          <w:p>
            <w:pPr>
              <w:pStyle w:val="TableParagraph"/>
              <w:spacing w:line="186" w:lineRule="exact" w:before="100"/>
              <w:ind w:left="258"/>
              <w:rPr>
                <w:sz w:val="18"/>
              </w:rPr>
            </w:pPr>
            <w:r>
              <w:rPr>
                <w:sz w:val="18"/>
              </w:rPr>
              <w:t>-</w:t>
            </w:r>
            <w:r>
              <w:rPr>
                <w:spacing w:val="-2"/>
                <w:sz w:val="18"/>
              </w:rPr>
              <w:t>99.34127</w:t>
            </w:r>
          </w:p>
        </w:tc>
        <w:tc>
          <w:tcPr>
            <w:tcW w:w="1393" w:type="dxa"/>
            <w:tcBorders>
              <w:bottom w:val="double" w:sz="6" w:space="0" w:color="000000"/>
            </w:tcBorders>
          </w:tcPr>
          <w:p>
            <w:pPr>
              <w:pStyle w:val="TableParagraph"/>
              <w:rPr>
                <w:sz w:val="18"/>
              </w:rPr>
            </w:pPr>
          </w:p>
        </w:tc>
        <w:tc>
          <w:tcPr>
            <w:tcW w:w="1411" w:type="dxa"/>
            <w:tcBorders>
              <w:bottom w:val="double" w:sz="6" w:space="0" w:color="000000"/>
            </w:tcBorders>
          </w:tcPr>
          <w:p>
            <w:pPr>
              <w:pStyle w:val="TableParagraph"/>
              <w:rPr>
                <w:sz w:val="18"/>
              </w:rPr>
            </w:pPr>
          </w:p>
        </w:tc>
        <w:tc>
          <w:tcPr>
            <w:tcW w:w="1411" w:type="dxa"/>
            <w:tcBorders>
              <w:bottom w:val="double" w:sz="6" w:space="0" w:color="000000"/>
            </w:tcBorders>
          </w:tcPr>
          <w:p>
            <w:pPr>
              <w:pStyle w:val="TableParagraph"/>
              <w:rPr>
                <w:sz w:val="18"/>
              </w:rPr>
            </w:pPr>
          </w:p>
        </w:tc>
        <w:tc>
          <w:tcPr>
            <w:tcW w:w="1410" w:type="dxa"/>
            <w:tcBorders>
              <w:bottom w:val="double" w:sz="6" w:space="0" w:color="000000"/>
            </w:tcBorders>
          </w:tcPr>
          <w:p>
            <w:pPr>
              <w:pStyle w:val="TableParagraph"/>
              <w:rPr>
                <w:sz w:val="18"/>
              </w:rPr>
            </w:pPr>
          </w:p>
        </w:tc>
        <w:tc>
          <w:tcPr>
            <w:tcW w:w="1408" w:type="dxa"/>
            <w:tcBorders>
              <w:bottom w:val="double" w:sz="6" w:space="0" w:color="000000"/>
            </w:tcBorders>
          </w:tcPr>
          <w:p>
            <w:pPr>
              <w:pStyle w:val="TableParagraph"/>
              <w:rPr>
                <w:sz w:val="18"/>
              </w:rPr>
            </w:pPr>
          </w:p>
        </w:tc>
      </w:tr>
      <w:tr>
        <w:trPr>
          <w:trHeight w:val="1282" w:hRule="atLeast"/>
        </w:trPr>
        <w:tc>
          <w:tcPr>
            <w:tcW w:w="1458" w:type="dxa"/>
            <w:tcBorders>
              <w:top w:val="double" w:sz="6" w:space="0" w:color="000000"/>
              <w:bottom w:val="double" w:sz="6" w:space="0" w:color="000000"/>
            </w:tcBorders>
          </w:tcPr>
          <w:p>
            <w:pPr>
              <w:pStyle w:val="TableParagraph"/>
              <w:spacing w:before="42"/>
              <w:rPr>
                <w:sz w:val="18"/>
              </w:rPr>
            </w:pPr>
          </w:p>
          <w:p>
            <w:pPr>
              <w:pStyle w:val="TableParagraph"/>
              <w:ind w:left="156" w:right="236" w:firstLine="132"/>
              <w:jc w:val="both"/>
              <w:rPr>
                <w:sz w:val="18"/>
              </w:rPr>
            </w:pPr>
            <w:r>
              <w:rPr>
                <w:spacing w:val="-2"/>
                <w:sz w:val="18"/>
              </w:rPr>
              <w:t>Normalized Cointegrating </w:t>
            </w:r>
            <w:r>
              <w:rPr>
                <w:sz w:val="18"/>
              </w:rPr>
              <w:t>Coefficients:</w:t>
            </w:r>
            <w:r>
              <w:rPr>
                <w:spacing w:val="-12"/>
                <w:sz w:val="18"/>
              </w:rPr>
              <w:t> </w:t>
            </w:r>
            <w:r>
              <w:rPr>
                <w:sz w:val="18"/>
              </w:rPr>
              <w:t>3 </w:t>
            </w:r>
            <w:r>
              <w:rPr>
                <w:spacing w:val="-2"/>
                <w:sz w:val="18"/>
              </w:rPr>
              <w:t>Cointegrating</w:t>
            </w:r>
          </w:p>
          <w:p>
            <w:pPr>
              <w:pStyle w:val="TableParagraph"/>
              <w:spacing w:line="186" w:lineRule="exact"/>
              <w:ind w:left="269"/>
              <w:rPr>
                <w:sz w:val="18"/>
              </w:rPr>
            </w:pPr>
            <w:r>
              <w:rPr>
                <w:spacing w:val="-2"/>
                <w:sz w:val="18"/>
              </w:rPr>
              <w:t>Equation(s)</w:t>
            </w:r>
          </w:p>
        </w:tc>
        <w:tc>
          <w:tcPr>
            <w:tcW w:w="1351" w:type="dxa"/>
            <w:tcBorders>
              <w:top w:val="double" w:sz="6" w:space="0" w:color="000000"/>
              <w:bottom w:val="double" w:sz="6" w:space="0" w:color="000000"/>
            </w:tcBorders>
          </w:tcPr>
          <w:p>
            <w:pPr>
              <w:pStyle w:val="TableParagraph"/>
              <w:rPr>
                <w:sz w:val="18"/>
              </w:rPr>
            </w:pPr>
          </w:p>
        </w:tc>
        <w:tc>
          <w:tcPr>
            <w:tcW w:w="1393" w:type="dxa"/>
            <w:tcBorders>
              <w:top w:val="double" w:sz="6" w:space="0" w:color="000000"/>
              <w:bottom w:val="double" w:sz="6" w:space="0" w:color="000000"/>
            </w:tcBorders>
          </w:tcPr>
          <w:p>
            <w:pPr>
              <w:pStyle w:val="TableParagraph"/>
              <w:rPr>
                <w:sz w:val="18"/>
              </w:rPr>
            </w:pPr>
          </w:p>
        </w:tc>
        <w:tc>
          <w:tcPr>
            <w:tcW w:w="1411" w:type="dxa"/>
            <w:tcBorders>
              <w:top w:val="double" w:sz="6" w:space="0" w:color="000000"/>
              <w:bottom w:val="double" w:sz="6" w:space="0" w:color="000000"/>
            </w:tcBorders>
          </w:tcPr>
          <w:p>
            <w:pPr>
              <w:pStyle w:val="TableParagraph"/>
              <w:rPr>
                <w:sz w:val="18"/>
              </w:rPr>
            </w:pPr>
          </w:p>
        </w:tc>
        <w:tc>
          <w:tcPr>
            <w:tcW w:w="1411" w:type="dxa"/>
            <w:tcBorders>
              <w:top w:val="double" w:sz="6" w:space="0" w:color="000000"/>
              <w:bottom w:val="double" w:sz="6" w:space="0" w:color="000000"/>
            </w:tcBorders>
          </w:tcPr>
          <w:p>
            <w:pPr>
              <w:pStyle w:val="TableParagraph"/>
              <w:rPr>
                <w:sz w:val="18"/>
              </w:rPr>
            </w:pPr>
          </w:p>
        </w:tc>
        <w:tc>
          <w:tcPr>
            <w:tcW w:w="1410" w:type="dxa"/>
            <w:tcBorders>
              <w:top w:val="double" w:sz="6" w:space="0" w:color="000000"/>
              <w:bottom w:val="double" w:sz="6" w:space="0" w:color="000000"/>
            </w:tcBorders>
          </w:tcPr>
          <w:p>
            <w:pPr>
              <w:pStyle w:val="TableParagraph"/>
              <w:rPr>
                <w:sz w:val="18"/>
              </w:rPr>
            </w:pPr>
          </w:p>
        </w:tc>
        <w:tc>
          <w:tcPr>
            <w:tcW w:w="1408" w:type="dxa"/>
            <w:tcBorders>
              <w:top w:val="double" w:sz="6" w:space="0" w:color="000000"/>
              <w:bottom w:val="double" w:sz="6" w:space="0" w:color="000000"/>
            </w:tcBorders>
          </w:tcPr>
          <w:p>
            <w:pPr>
              <w:pStyle w:val="TableParagraph"/>
              <w:rPr>
                <w:sz w:val="18"/>
              </w:rPr>
            </w:pPr>
          </w:p>
        </w:tc>
      </w:tr>
      <w:tr>
        <w:trPr>
          <w:trHeight w:val="250" w:hRule="atLeast"/>
        </w:trPr>
        <w:tc>
          <w:tcPr>
            <w:tcW w:w="1458" w:type="dxa"/>
            <w:tcBorders>
              <w:top w:val="double" w:sz="6" w:space="0" w:color="000000"/>
            </w:tcBorders>
          </w:tcPr>
          <w:p>
            <w:pPr>
              <w:pStyle w:val="TableParagraph"/>
              <w:spacing w:line="191" w:lineRule="exact" w:before="40"/>
              <w:ind w:right="80"/>
              <w:jc w:val="center"/>
              <w:rPr>
                <w:sz w:val="18"/>
              </w:rPr>
            </w:pPr>
            <w:r>
              <w:rPr>
                <w:spacing w:val="-5"/>
                <w:sz w:val="18"/>
              </w:rPr>
              <w:t>GDP</w:t>
            </w:r>
          </w:p>
        </w:tc>
        <w:tc>
          <w:tcPr>
            <w:tcW w:w="1351" w:type="dxa"/>
            <w:tcBorders>
              <w:top w:val="double" w:sz="6" w:space="0" w:color="000000"/>
            </w:tcBorders>
          </w:tcPr>
          <w:p>
            <w:pPr>
              <w:pStyle w:val="TableParagraph"/>
              <w:spacing w:line="191" w:lineRule="exact" w:before="40"/>
              <w:ind w:left="215"/>
              <w:rPr>
                <w:sz w:val="18"/>
              </w:rPr>
            </w:pPr>
            <w:r>
              <w:rPr>
                <w:spacing w:val="-2"/>
                <w:sz w:val="18"/>
              </w:rPr>
              <w:t>EXTDEBT</w:t>
            </w:r>
          </w:p>
        </w:tc>
        <w:tc>
          <w:tcPr>
            <w:tcW w:w="1393" w:type="dxa"/>
            <w:tcBorders>
              <w:top w:val="double" w:sz="6" w:space="0" w:color="000000"/>
            </w:tcBorders>
          </w:tcPr>
          <w:p>
            <w:pPr>
              <w:pStyle w:val="TableParagraph"/>
              <w:spacing w:line="191" w:lineRule="exact" w:before="40"/>
              <w:ind w:left="22" w:right="42"/>
              <w:jc w:val="center"/>
              <w:rPr>
                <w:sz w:val="18"/>
              </w:rPr>
            </w:pPr>
            <w:r>
              <w:rPr>
                <w:spacing w:val="-5"/>
                <w:sz w:val="18"/>
              </w:rPr>
              <w:t>DFI</w:t>
            </w:r>
          </w:p>
        </w:tc>
        <w:tc>
          <w:tcPr>
            <w:tcW w:w="1411" w:type="dxa"/>
            <w:tcBorders>
              <w:top w:val="double" w:sz="6" w:space="0" w:color="000000"/>
            </w:tcBorders>
          </w:tcPr>
          <w:p>
            <w:pPr>
              <w:pStyle w:val="TableParagraph"/>
              <w:spacing w:line="191" w:lineRule="exact" w:before="40"/>
              <w:ind w:left="49" w:right="55"/>
              <w:jc w:val="center"/>
              <w:rPr>
                <w:sz w:val="18"/>
              </w:rPr>
            </w:pPr>
            <w:r>
              <w:rPr>
                <w:spacing w:val="-5"/>
                <w:sz w:val="18"/>
              </w:rPr>
              <w:t>CAB</w:t>
            </w:r>
          </w:p>
        </w:tc>
        <w:tc>
          <w:tcPr>
            <w:tcW w:w="1411" w:type="dxa"/>
            <w:tcBorders>
              <w:top w:val="double" w:sz="6" w:space="0" w:color="000000"/>
            </w:tcBorders>
          </w:tcPr>
          <w:p>
            <w:pPr>
              <w:pStyle w:val="TableParagraph"/>
              <w:spacing w:line="191" w:lineRule="exact" w:before="40"/>
              <w:ind w:left="49" w:right="53"/>
              <w:jc w:val="center"/>
              <w:rPr>
                <w:sz w:val="18"/>
              </w:rPr>
            </w:pPr>
            <w:r>
              <w:rPr>
                <w:spacing w:val="-5"/>
                <w:sz w:val="18"/>
              </w:rPr>
              <w:t>RES</w:t>
            </w:r>
          </w:p>
        </w:tc>
        <w:tc>
          <w:tcPr>
            <w:tcW w:w="1410" w:type="dxa"/>
            <w:tcBorders>
              <w:top w:val="double" w:sz="6" w:space="0" w:color="000000"/>
            </w:tcBorders>
          </w:tcPr>
          <w:p>
            <w:pPr>
              <w:pStyle w:val="TableParagraph"/>
              <w:spacing w:line="191" w:lineRule="exact" w:before="40"/>
              <w:ind w:left="49" w:right="54"/>
              <w:jc w:val="center"/>
              <w:rPr>
                <w:sz w:val="18"/>
              </w:rPr>
            </w:pPr>
            <w:r>
              <w:rPr>
                <w:spacing w:val="-2"/>
                <w:sz w:val="18"/>
              </w:rPr>
              <w:t>NEXTAS</w:t>
            </w:r>
          </w:p>
        </w:tc>
        <w:tc>
          <w:tcPr>
            <w:tcW w:w="1408" w:type="dxa"/>
            <w:tcBorders>
              <w:top w:val="double" w:sz="6" w:space="0" w:color="000000"/>
            </w:tcBorders>
          </w:tcPr>
          <w:p>
            <w:pPr>
              <w:pStyle w:val="TableParagraph"/>
              <w:spacing w:line="191" w:lineRule="exact" w:before="40"/>
              <w:ind w:left="46" w:right="47"/>
              <w:jc w:val="center"/>
              <w:rPr>
                <w:sz w:val="18"/>
              </w:rPr>
            </w:pPr>
            <w:r>
              <w:rPr>
                <w:spacing w:val="-10"/>
                <w:sz w:val="18"/>
              </w:rPr>
              <w:t>C</w:t>
            </w:r>
          </w:p>
        </w:tc>
      </w:tr>
      <w:tr>
        <w:trPr>
          <w:trHeight w:val="207" w:hRule="atLeast"/>
        </w:trPr>
        <w:tc>
          <w:tcPr>
            <w:tcW w:w="1458" w:type="dxa"/>
          </w:tcPr>
          <w:p>
            <w:pPr>
              <w:pStyle w:val="TableParagraph"/>
              <w:spacing w:line="188" w:lineRule="exact"/>
              <w:ind w:left="49" w:right="80"/>
              <w:jc w:val="center"/>
              <w:rPr>
                <w:sz w:val="18"/>
              </w:rPr>
            </w:pPr>
            <w:r>
              <w:rPr>
                <w:spacing w:val="-2"/>
                <w:sz w:val="18"/>
              </w:rPr>
              <w:t>1.000000</w:t>
            </w:r>
          </w:p>
        </w:tc>
        <w:tc>
          <w:tcPr>
            <w:tcW w:w="1351" w:type="dxa"/>
          </w:tcPr>
          <w:p>
            <w:pPr>
              <w:pStyle w:val="TableParagraph"/>
              <w:spacing w:line="188" w:lineRule="exact"/>
              <w:ind w:left="311"/>
              <w:rPr>
                <w:sz w:val="18"/>
              </w:rPr>
            </w:pPr>
            <w:r>
              <w:rPr>
                <w:spacing w:val="-2"/>
                <w:sz w:val="18"/>
              </w:rPr>
              <w:t>0.000000</w:t>
            </w:r>
          </w:p>
        </w:tc>
        <w:tc>
          <w:tcPr>
            <w:tcW w:w="1393" w:type="dxa"/>
          </w:tcPr>
          <w:p>
            <w:pPr>
              <w:pStyle w:val="TableParagraph"/>
              <w:spacing w:line="188" w:lineRule="exact"/>
              <w:ind w:left="43" w:right="22"/>
              <w:jc w:val="center"/>
              <w:rPr>
                <w:sz w:val="18"/>
              </w:rPr>
            </w:pPr>
            <w:r>
              <w:rPr>
                <w:spacing w:val="-2"/>
                <w:sz w:val="18"/>
              </w:rPr>
              <w:t>0.000000</w:t>
            </w:r>
          </w:p>
        </w:tc>
        <w:tc>
          <w:tcPr>
            <w:tcW w:w="1411" w:type="dxa"/>
          </w:tcPr>
          <w:p>
            <w:pPr>
              <w:pStyle w:val="TableParagraph"/>
              <w:spacing w:line="188" w:lineRule="exact"/>
              <w:ind w:left="49" w:right="53"/>
              <w:jc w:val="center"/>
              <w:rPr>
                <w:sz w:val="18"/>
              </w:rPr>
            </w:pPr>
            <w:r>
              <w:rPr>
                <w:sz w:val="18"/>
              </w:rPr>
              <w:t>-</w:t>
            </w:r>
            <w:r>
              <w:rPr>
                <w:spacing w:val="-2"/>
                <w:sz w:val="18"/>
              </w:rPr>
              <w:t>0.421472</w:t>
            </w:r>
          </w:p>
        </w:tc>
        <w:tc>
          <w:tcPr>
            <w:tcW w:w="1411" w:type="dxa"/>
          </w:tcPr>
          <w:p>
            <w:pPr>
              <w:pStyle w:val="TableParagraph"/>
              <w:spacing w:line="188" w:lineRule="exact"/>
              <w:ind w:left="49" w:right="51"/>
              <w:jc w:val="center"/>
              <w:rPr>
                <w:sz w:val="18"/>
              </w:rPr>
            </w:pPr>
            <w:r>
              <w:rPr>
                <w:sz w:val="18"/>
              </w:rPr>
              <w:t>-</w:t>
            </w:r>
            <w:r>
              <w:rPr>
                <w:spacing w:val="-2"/>
                <w:sz w:val="18"/>
              </w:rPr>
              <w:t>0.812698</w:t>
            </w:r>
          </w:p>
        </w:tc>
        <w:tc>
          <w:tcPr>
            <w:tcW w:w="1410" w:type="dxa"/>
          </w:tcPr>
          <w:p>
            <w:pPr>
              <w:pStyle w:val="TableParagraph"/>
              <w:spacing w:line="188" w:lineRule="exact"/>
              <w:ind w:left="49" w:right="7"/>
              <w:jc w:val="center"/>
              <w:rPr>
                <w:sz w:val="18"/>
              </w:rPr>
            </w:pPr>
            <w:r>
              <w:rPr>
                <w:spacing w:val="-2"/>
                <w:sz w:val="18"/>
              </w:rPr>
              <w:t>0.251896</w:t>
            </w:r>
          </w:p>
        </w:tc>
        <w:tc>
          <w:tcPr>
            <w:tcW w:w="1408" w:type="dxa"/>
          </w:tcPr>
          <w:p>
            <w:pPr>
              <w:pStyle w:val="TableParagraph"/>
              <w:spacing w:line="188" w:lineRule="exact"/>
              <w:ind w:left="46" w:right="46"/>
              <w:jc w:val="center"/>
              <w:rPr>
                <w:sz w:val="18"/>
              </w:rPr>
            </w:pPr>
            <w:r>
              <w:rPr>
                <w:sz w:val="18"/>
              </w:rPr>
              <w:t>-</w:t>
            </w:r>
            <w:r>
              <w:rPr>
                <w:spacing w:val="-2"/>
                <w:sz w:val="18"/>
              </w:rPr>
              <w:t>3.202848</w:t>
            </w:r>
          </w:p>
        </w:tc>
      </w:tr>
      <w:tr>
        <w:trPr>
          <w:trHeight w:val="207" w:hRule="atLeast"/>
        </w:trPr>
        <w:tc>
          <w:tcPr>
            <w:tcW w:w="1458" w:type="dxa"/>
          </w:tcPr>
          <w:p>
            <w:pPr>
              <w:pStyle w:val="TableParagraph"/>
              <w:rPr>
                <w:sz w:val="14"/>
              </w:rPr>
            </w:pPr>
          </w:p>
        </w:tc>
        <w:tc>
          <w:tcPr>
            <w:tcW w:w="1351" w:type="dxa"/>
          </w:tcPr>
          <w:p>
            <w:pPr>
              <w:pStyle w:val="TableParagraph"/>
              <w:rPr>
                <w:sz w:val="14"/>
              </w:rPr>
            </w:pPr>
          </w:p>
        </w:tc>
        <w:tc>
          <w:tcPr>
            <w:tcW w:w="1393" w:type="dxa"/>
          </w:tcPr>
          <w:p>
            <w:pPr>
              <w:pStyle w:val="TableParagraph"/>
              <w:rPr>
                <w:sz w:val="14"/>
              </w:rPr>
            </w:pPr>
          </w:p>
        </w:tc>
        <w:tc>
          <w:tcPr>
            <w:tcW w:w="1411" w:type="dxa"/>
          </w:tcPr>
          <w:p>
            <w:pPr>
              <w:pStyle w:val="TableParagraph"/>
              <w:spacing w:line="188" w:lineRule="exact"/>
              <w:ind w:left="49" w:right="9"/>
              <w:jc w:val="center"/>
              <w:rPr>
                <w:sz w:val="18"/>
              </w:rPr>
            </w:pPr>
            <w:r>
              <w:rPr>
                <w:spacing w:val="-2"/>
                <w:sz w:val="18"/>
              </w:rPr>
              <w:t>(0.28534)</w:t>
            </w:r>
          </w:p>
        </w:tc>
        <w:tc>
          <w:tcPr>
            <w:tcW w:w="1411" w:type="dxa"/>
          </w:tcPr>
          <w:p>
            <w:pPr>
              <w:pStyle w:val="TableParagraph"/>
              <w:spacing w:line="188" w:lineRule="exact"/>
              <w:ind w:left="49" w:right="8"/>
              <w:jc w:val="center"/>
              <w:rPr>
                <w:sz w:val="18"/>
              </w:rPr>
            </w:pPr>
            <w:r>
              <w:rPr>
                <w:spacing w:val="-2"/>
                <w:sz w:val="18"/>
              </w:rPr>
              <w:t>(0.47417)</w:t>
            </w:r>
          </w:p>
        </w:tc>
        <w:tc>
          <w:tcPr>
            <w:tcW w:w="1410" w:type="dxa"/>
          </w:tcPr>
          <w:p>
            <w:pPr>
              <w:pStyle w:val="TableParagraph"/>
              <w:spacing w:line="188" w:lineRule="exact"/>
              <w:ind w:left="49" w:right="6"/>
              <w:jc w:val="center"/>
              <w:rPr>
                <w:sz w:val="18"/>
              </w:rPr>
            </w:pPr>
            <w:r>
              <w:rPr>
                <w:spacing w:val="-2"/>
                <w:sz w:val="18"/>
              </w:rPr>
              <w:t>(0.24919)</w:t>
            </w:r>
          </w:p>
        </w:tc>
        <w:tc>
          <w:tcPr>
            <w:tcW w:w="1408" w:type="dxa"/>
          </w:tcPr>
          <w:p>
            <w:pPr>
              <w:pStyle w:val="TableParagraph"/>
              <w:rPr>
                <w:sz w:val="14"/>
              </w:rPr>
            </w:pPr>
          </w:p>
        </w:tc>
      </w:tr>
      <w:tr>
        <w:trPr>
          <w:trHeight w:val="206" w:hRule="atLeast"/>
        </w:trPr>
        <w:tc>
          <w:tcPr>
            <w:tcW w:w="1458" w:type="dxa"/>
          </w:tcPr>
          <w:p>
            <w:pPr>
              <w:pStyle w:val="TableParagraph"/>
              <w:spacing w:line="186" w:lineRule="exact"/>
              <w:ind w:left="49" w:right="80"/>
              <w:jc w:val="center"/>
              <w:rPr>
                <w:sz w:val="18"/>
              </w:rPr>
            </w:pPr>
            <w:r>
              <w:rPr>
                <w:spacing w:val="-2"/>
                <w:sz w:val="18"/>
              </w:rPr>
              <w:t>0.000000</w:t>
            </w:r>
          </w:p>
        </w:tc>
        <w:tc>
          <w:tcPr>
            <w:tcW w:w="1351" w:type="dxa"/>
          </w:tcPr>
          <w:p>
            <w:pPr>
              <w:pStyle w:val="TableParagraph"/>
              <w:spacing w:line="186" w:lineRule="exact"/>
              <w:ind w:left="311"/>
              <w:rPr>
                <w:sz w:val="18"/>
              </w:rPr>
            </w:pPr>
            <w:r>
              <w:rPr>
                <w:spacing w:val="-2"/>
                <w:sz w:val="18"/>
              </w:rPr>
              <w:t>1.000000</w:t>
            </w:r>
          </w:p>
        </w:tc>
        <w:tc>
          <w:tcPr>
            <w:tcW w:w="1393" w:type="dxa"/>
          </w:tcPr>
          <w:p>
            <w:pPr>
              <w:pStyle w:val="TableParagraph"/>
              <w:spacing w:line="186" w:lineRule="exact"/>
              <w:ind w:left="43" w:right="22"/>
              <w:jc w:val="center"/>
              <w:rPr>
                <w:sz w:val="18"/>
              </w:rPr>
            </w:pPr>
            <w:r>
              <w:rPr>
                <w:spacing w:val="-2"/>
                <w:sz w:val="18"/>
              </w:rPr>
              <w:t>0.000000</w:t>
            </w:r>
          </w:p>
        </w:tc>
        <w:tc>
          <w:tcPr>
            <w:tcW w:w="1411" w:type="dxa"/>
          </w:tcPr>
          <w:p>
            <w:pPr>
              <w:pStyle w:val="TableParagraph"/>
              <w:spacing w:line="186" w:lineRule="exact"/>
              <w:ind w:left="49" w:right="10"/>
              <w:jc w:val="center"/>
              <w:rPr>
                <w:sz w:val="18"/>
              </w:rPr>
            </w:pPr>
            <w:r>
              <w:rPr>
                <w:spacing w:val="-2"/>
                <w:sz w:val="18"/>
              </w:rPr>
              <w:t>0.987565</w:t>
            </w:r>
          </w:p>
        </w:tc>
        <w:tc>
          <w:tcPr>
            <w:tcW w:w="1411" w:type="dxa"/>
          </w:tcPr>
          <w:p>
            <w:pPr>
              <w:pStyle w:val="TableParagraph"/>
              <w:spacing w:line="186" w:lineRule="exact"/>
              <w:ind w:left="49" w:right="51"/>
              <w:jc w:val="center"/>
              <w:rPr>
                <w:sz w:val="18"/>
              </w:rPr>
            </w:pPr>
            <w:r>
              <w:rPr>
                <w:sz w:val="18"/>
              </w:rPr>
              <w:t>-</w:t>
            </w:r>
            <w:r>
              <w:rPr>
                <w:spacing w:val="-2"/>
                <w:sz w:val="18"/>
              </w:rPr>
              <w:t>3.387155</w:t>
            </w:r>
          </w:p>
        </w:tc>
        <w:tc>
          <w:tcPr>
            <w:tcW w:w="1410" w:type="dxa"/>
          </w:tcPr>
          <w:p>
            <w:pPr>
              <w:pStyle w:val="TableParagraph"/>
              <w:spacing w:line="186" w:lineRule="exact"/>
              <w:ind w:left="49" w:right="7"/>
              <w:jc w:val="center"/>
              <w:rPr>
                <w:sz w:val="18"/>
              </w:rPr>
            </w:pPr>
            <w:r>
              <w:rPr>
                <w:spacing w:val="-2"/>
                <w:sz w:val="18"/>
              </w:rPr>
              <w:t>1.207930</w:t>
            </w:r>
          </w:p>
        </w:tc>
        <w:tc>
          <w:tcPr>
            <w:tcW w:w="1408" w:type="dxa"/>
          </w:tcPr>
          <w:p>
            <w:pPr>
              <w:pStyle w:val="TableParagraph"/>
              <w:spacing w:line="186" w:lineRule="exact"/>
              <w:ind w:left="48" w:right="6"/>
              <w:jc w:val="center"/>
              <w:rPr>
                <w:sz w:val="18"/>
              </w:rPr>
            </w:pPr>
            <w:r>
              <w:rPr>
                <w:spacing w:val="-2"/>
                <w:sz w:val="18"/>
              </w:rPr>
              <w:t>1.200784</w:t>
            </w:r>
          </w:p>
        </w:tc>
      </w:tr>
      <w:tr>
        <w:trPr>
          <w:trHeight w:val="206" w:hRule="atLeast"/>
        </w:trPr>
        <w:tc>
          <w:tcPr>
            <w:tcW w:w="1458" w:type="dxa"/>
          </w:tcPr>
          <w:p>
            <w:pPr>
              <w:pStyle w:val="TableParagraph"/>
              <w:rPr>
                <w:sz w:val="14"/>
              </w:rPr>
            </w:pPr>
          </w:p>
        </w:tc>
        <w:tc>
          <w:tcPr>
            <w:tcW w:w="1351" w:type="dxa"/>
          </w:tcPr>
          <w:p>
            <w:pPr>
              <w:pStyle w:val="TableParagraph"/>
              <w:rPr>
                <w:sz w:val="14"/>
              </w:rPr>
            </w:pPr>
          </w:p>
        </w:tc>
        <w:tc>
          <w:tcPr>
            <w:tcW w:w="1393" w:type="dxa"/>
          </w:tcPr>
          <w:p>
            <w:pPr>
              <w:pStyle w:val="TableParagraph"/>
              <w:rPr>
                <w:sz w:val="14"/>
              </w:rPr>
            </w:pPr>
          </w:p>
        </w:tc>
        <w:tc>
          <w:tcPr>
            <w:tcW w:w="1411" w:type="dxa"/>
          </w:tcPr>
          <w:p>
            <w:pPr>
              <w:pStyle w:val="TableParagraph"/>
              <w:spacing w:line="186" w:lineRule="exact"/>
              <w:ind w:left="49" w:right="9"/>
              <w:jc w:val="center"/>
              <w:rPr>
                <w:sz w:val="18"/>
              </w:rPr>
            </w:pPr>
            <w:r>
              <w:rPr>
                <w:spacing w:val="-2"/>
                <w:sz w:val="18"/>
              </w:rPr>
              <w:t>(0.63995)</w:t>
            </w:r>
          </w:p>
        </w:tc>
        <w:tc>
          <w:tcPr>
            <w:tcW w:w="1411" w:type="dxa"/>
          </w:tcPr>
          <w:p>
            <w:pPr>
              <w:pStyle w:val="TableParagraph"/>
              <w:spacing w:line="186" w:lineRule="exact"/>
              <w:ind w:left="49" w:right="8"/>
              <w:jc w:val="center"/>
              <w:rPr>
                <w:sz w:val="18"/>
              </w:rPr>
            </w:pPr>
            <w:r>
              <w:rPr>
                <w:spacing w:val="-2"/>
                <w:sz w:val="18"/>
              </w:rPr>
              <w:t>(1.06345)</w:t>
            </w:r>
          </w:p>
        </w:tc>
        <w:tc>
          <w:tcPr>
            <w:tcW w:w="1410" w:type="dxa"/>
          </w:tcPr>
          <w:p>
            <w:pPr>
              <w:pStyle w:val="TableParagraph"/>
              <w:spacing w:line="186" w:lineRule="exact"/>
              <w:ind w:left="49" w:right="6"/>
              <w:jc w:val="center"/>
              <w:rPr>
                <w:sz w:val="18"/>
              </w:rPr>
            </w:pPr>
            <w:r>
              <w:rPr>
                <w:spacing w:val="-2"/>
                <w:sz w:val="18"/>
              </w:rPr>
              <w:t>(0.55886)</w:t>
            </w:r>
          </w:p>
        </w:tc>
        <w:tc>
          <w:tcPr>
            <w:tcW w:w="1408" w:type="dxa"/>
          </w:tcPr>
          <w:p>
            <w:pPr>
              <w:pStyle w:val="TableParagraph"/>
              <w:rPr>
                <w:sz w:val="14"/>
              </w:rPr>
            </w:pPr>
          </w:p>
        </w:tc>
      </w:tr>
      <w:tr>
        <w:trPr>
          <w:trHeight w:val="207" w:hRule="atLeast"/>
        </w:trPr>
        <w:tc>
          <w:tcPr>
            <w:tcW w:w="1458" w:type="dxa"/>
          </w:tcPr>
          <w:p>
            <w:pPr>
              <w:pStyle w:val="TableParagraph"/>
              <w:spacing w:line="188" w:lineRule="exact"/>
              <w:ind w:left="49" w:right="80"/>
              <w:jc w:val="center"/>
              <w:rPr>
                <w:sz w:val="18"/>
              </w:rPr>
            </w:pPr>
            <w:r>
              <w:rPr>
                <w:spacing w:val="-2"/>
                <w:sz w:val="18"/>
              </w:rPr>
              <w:t>0.000000</w:t>
            </w:r>
          </w:p>
        </w:tc>
        <w:tc>
          <w:tcPr>
            <w:tcW w:w="1351" w:type="dxa"/>
          </w:tcPr>
          <w:p>
            <w:pPr>
              <w:pStyle w:val="TableParagraph"/>
              <w:spacing w:line="188" w:lineRule="exact"/>
              <w:ind w:left="311"/>
              <w:rPr>
                <w:sz w:val="18"/>
              </w:rPr>
            </w:pPr>
            <w:r>
              <w:rPr>
                <w:spacing w:val="-2"/>
                <w:sz w:val="18"/>
              </w:rPr>
              <w:t>0.000000</w:t>
            </w:r>
          </w:p>
        </w:tc>
        <w:tc>
          <w:tcPr>
            <w:tcW w:w="1393" w:type="dxa"/>
          </w:tcPr>
          <w:p>
            <w:pPr>
              <w:pStyle w:val="TableParagraph"/>
              <w:spacing w:line="188" w:lineRule="exact"/>
              <w:ind w:left="43" w:right="22"/>
              <w:jc w:val="center"/>
              <w:rPr>
                <w:sz w:val="18"/>
              </w:rPr>
            </w:pPr>
            <w:r>
              <w:rPr>
                <w:spacing w:val="-2"/>
                <w:sz w:val="18"/>
              </w:rPr>
              <w:t>1.000000</w:t>
            </w:r>
          </w:p>
        </w:tc>
        <w:tc>
          <w:tcPr>
            <w:tcW w:w="1411" w:type="dxa"/>
          </w:tcPr>
          <w:p>
            <w:pPr>
              <w:pStyle w:val="TableParagraph"/>
              <w:spacing w:line="188" w:lineRule="exact"/>
              <w:ind w:left="49" w:right="53"/>
              <w:jc w:val="center"/>
              <w:rPr>
                <w:sz w:val="18"/>
              </w:rPr>
            </w:pPr>
            <w:r>
              <w:rPr>
                <w:sz w:val="18"/>
              </w:rPr>
              <w:t>-</w:t>
            </w:r>
            <w:r>
              <w:rPr>
                <w:spacing w:val="-2"/>
                <w:sz w:val="18"/>
              </w:rPr>
              <w:t>0.917619</w:t>
            </w:r>
          </w:p>
        </w:tc>
        <w:tc>
          <w:tcPr>
            <w:tcW w:w="1411" w:type="dxa"/>
          </w:tcPr>
          <w:p>
            <w:pPr>
              <w:pStyle w:val="TableParagraph"/>
              <w:spacing w:line="188" w:lineRule="exact"/>
              <w:ind w:left="49" w:right="51"/>
              <w:jc w:val="center"/>
              <w:rPr>
                <w:sz w:val="18"/>
              </w:rPr>
            </w:pPr>
            <w:r>
              <w:rPr>
                <w:sz w:val="18"/>
              </w:rPr>
              <w:t>-</w:t>
            </w:r>
            <w:r>
              <w:rPr>
                <w:spacing w:val="-2"/>
                <w:sz w:val="18"/>
              </w:rPr>
              <w:t>0.408349</w:t>
            </w:r>
          </w:p>
        </w:tc>
        <w:tc>
          <w:tcPr>
            <w:tcW w:w="1410" w:type="dxa"/>
          </w:tcPr>
          <w:p>
            <w:pPr>
              <w:pStyle w:val="TableParagraph"/>
              <w:spacing w:line="188" w:lineRule="exact"/>
              <w:ind w:left="49" w:right="7"/>
              <w:jc w:val="center"/>
              <w:rPr>
                <w:sz w:val="18"/>
              </w:rPr>
            </w:pPr>
            <w:r>
              <w:rPr>
                <w:spacing w:val="-2"/>
                <w:sz w:val="18"/>
              </w:rPr>
              <w:t>0.680388</w:t>
            </w:r>
          </w:p>
        </w:tc>
        <w:tc>
          <w:tcPr>
            <w:tcW w:w="1408" w:type="dxa"/>
          </w:tcPr>
          <w:p>
            <w:pPr>
              <w:pStyle w:val="TableParagraph"/>
              <w:spacing w:line="188" w:lineRule="exact"/>
              <w:ind w:left="46" w:right="46"/>
              <w:jc w:val="center"/>
              <w:rPr>
                <w:sz w:val="18"/>
              </w:rPr>
            </w:pPr>
            <w:r>
              <w:rPr>
                <w:sz w:val="18"/>
              </w:rPr>
              <w:t>-</w:t>
            </w:r>
            <w:r>
              <w:rPr>
                <w:spacing w:val="-2"/>
                <w:sz w:val="18"/>
              </w:rPr>
              <w:t>3.488301</w:t>
            </w:r>
          </w:p>
        </w:tc>
      </w:tr>
      <w:tr>
        <w:trPr>
          <w:trHeight w:val="310" w:hRule="atLeast"/>
        </w:trPr>
        <w:tc>
          <w:tcPr>
            <w:tcW w:w="1458" w:type="dxa"/>
          </w:tcPr>
          <w:p>
            <w:pPr>
              <w:pStyle w:val="TableParagraph"/>
              <w:rPr>
                <w:sz w:val="18"/>
              </w:rPr>
            </w:pPr>
          </w:p>
        </w:tc>
        <w:tc>
          <w:tcPr>
            <w:tcW w:w="1351" w:type="dxa"/>
          </w:tcPr>
          <w:p>
            <w:pPr>
              <w:pStyle w:val="TableParagraph"/>
              <w:rPr>
                <w:sz w:val="18"/>
              </w:rPr>
            </w:pPr>
          </w:p>
        </w:tc>
        <w:tc>
          <w:tcPr>
            <w:tcW w:w="1393" w:type="dxa"/>
          </w:tcPr>
          <w:p>
            <w:pPr>
              <w:pStyle w:val="TableParagraph"/>
              <w:rPr>
                <w:sz w:val="18"/>
              </w:rPr>
            </w:pPr>
          </w:p>
        </w:tc>
        <w:tc>
          <w:tcPr>
            <w:tcW w:w="1411" w:type="dxa"/>
          </w:tcPr>
          <w:p>
            <w:pPr>
              <w:pStyle w:val="TableParagraph"/>
              <w:spacing w:line="204" w:lineRule="exact"/>
              <w:ind w:left="49" w:right="9"/>
              <w:jc w:val="center"/>
              <w:rPr>
                <w:sz w:val="18"/>
              </w:rPr>
            </w:pPr>
            <w:r>
              <w:rPr>
                <w:spacing w:val="-2"/>
                <w:sz w:val="18"/>
              </w:rPr>
              <w:t>(0.36133)</w:t>
            </w:r>
          </w:p>
        </w:tc>
        <w:tc>
          <w:tcPr>
            <w:tcW w:w="1411" w:type="dxa"/>
          </w:tcPr>
          <w:p>
            <w:pPr>
              <w:pStyle w:val="TableParagraph"/>
              <w:spacing w:line="204" w:lineRule="exact"/>
              <w:ind w:left="49" w:right="8"/>
              <w:jc w:val="center"/>
              <w:rPr>
                <w:sz w:val="18"/>
              </w:rPr>
            </w:pPr>
            <w:r>
              <w:rPr>
                <w:spacing w:val="-2"/>
                <w:sz w:val="18"/>
              </w:rPr>
              <w:t>(0.60044)</w:t>
            </w:r>
          </w:p>
        </w:tc>
        <w:tc>
          <w:tcPr>
            <w:tcW w:w="1410" w:type="dxa"/>
          </w:tcPr>
          <w:p>
            <w:pPr>
              <w:pStyle w:val="TableParagraph"/>
              <w:spacing w:line="204" w:lineRule="exact"/>
              <w:ind w:left="49" w:right="6"/>
              <w:jc w:val="center"/>
              <w:rPr>
                <w:sz w:val="18"/>
              </w:rPr>
            </w:pPr>
            <w:r>
              <w:rPr>
                <w:spacing w:val="-2"/>
                <w:sz w:val="18"/>
              </w:rPr>
              <w:t>(0.31554)</w:t>
            </w:r>
          </w:p>
        </w:tc>
        <w:tc>
          <w:tcPr>
            <w:tcW w:w="1408" w:type="dxa"/>
          </w:tcPr>
          <w:p>
            <w:pPr>
              <w:pStyle w:val="TableParagraph"/>
              <w:rPr>
                <w:sz w:val="18"/>
              </w:rPr>
            </w:pPr>
          </w:p>
        </w:tc>
      </w:tr>
      <w:tr>
        <w:trPr>
          <w:trHeight w:val="304" w:hRule="atLeast"/>
        </w:trPr>
        <w:tc>
          <w:tcPr>
            <w:tcW w:w="1458" w:type="dxa"/>
            <w:tcBorders>
              <w:bottom w:val="double" w:sz="6" w:space="0" w:color="000000"/>
            </w:tcBorders>
          </w:tcPr>
          <w:p>
            <w:pPr>
              <w:pStyle w:val="TableParagraph"/>
              <w:spacing w:line="186" w:lineRule="exact" w:before="99"/>
              <w:ind w:left="49" w:right="80"/>
              <w:jc w:val="center"/>
              <w:rPr>
                <w:sz w:val="18"/>
              </w:rPr>
            </w:pPr>
            <w:r>
              <w:rPr>
                <w:sz w:val="18"/>
              </w:rPr>
              <w:t>Log</w:t>
            </w:r>
            <w:r>
              <w:rPr>
                <w:spacing w:val="-2"/>
                <w:sz w:val="18"/>
              </w:rPr>
              <w:t> likelihood</w:t>
            </w:r>
          </w:p>
        </w:tc>
        <w:tc>
          <w:tcPr>
            <w:tcW w:w="1351" w:type="dxa"/>
            <w:tcBorders>
              <w:bottom w:val="double" w:sz="6" w:space="0" w:color="000000"/>
            </w:tcBorders>
          </w:tcPr>
          <w:p>
            <w:pPr>
              <w:pStyle w:val="TableParagraph"/>
              <w:spacing w:line="186" w:lineRule="exact" w:before="99"/>
              <w:ind w:left="258"/>
              <w:rPr>
                <w:sz w:val="18"/>
              </w:rPr>
            </w:pPr>
            <w:r>
              <w:rPr>
                <w:sz w:val="18"/>
              </w:rPr>
              <w:t>-</w:t>
            </w:r>
            <w:r>
              <w:rPr>
                <w:spacing w:val="-2"/>
                <w:sz w:val="18"/>
              </w:rPr>
              <w:t>87.81965</w:t>
            </w:r>
          </w:p>
        </w:tc>
        <w:tc>
          <w:tcPr>
            <w:tcW w:w="1393" w:type="dxa"/>
            <w:tcBorders>
              <w:bottom w:val="double" w:sz="6" w:space="0" w:color="000000"/>
            </w:tcBorders>
          </w:tcPr>
          <w:p>
            <w:pPr>
              <w:pStyle w:val="TableParagraph"/>
              <w:rPr>
                <w:sz w:val="18"/>
              </w:rPr>
            </w:pPr>
          </w:p>
        </w:tc>
        <w:tc>
          <w:tcPr>
            <w:tcW w:w="1411" w:type="dxa"/>
            <w:tcBorders>
              <w:bottom w:val="double" w:sz="6" w:space="0" w:color="000000"/>
            </w:tcBorders>
          </w:tcPr>
          <w:p>
            <w:pPr>
              <w:pStyle w:val="TableParagraph"/>
              <w:rPr>
                <w:sz w:val="18"/>
              </w:rPr>
            </w:pPr>
          </w:p>
        </w:tc>
        <w:tc>
          <w:tcPr>
            <w:tcW w:w="1411" w:type="dxa"/>
            <w:tcBorders>
              <w:bottom w:val="double" w:sz="6" w:space="0" w:color="000000"/>
            </w:tcBorders>
          </w:tcPr>
          <w:p>
            <w:pPr>
              <w:pStyle w:val="TableParagraph"/>
              <w:rPr>
                <w:sz w:val="18"/>
              </w:rPr>
            </w:pPr>
          </w:p>
        </w:tc>
        <w:tc>
          <w:tcPr>
            <w:tcW w:w="1410" w:type="dxa"/>
            <w:tcBorders>
              <w:bottom w:val="double" w:sz="6" w:space="0" w:color="000000"/>
            </w:tcBorders>
          </w:tcPr>
          <w:p>
            <w:pPr>
              <w:pStyle w:val="TableParagraph"/>
              <w:rPr>
                <w:sz w:val="18"/>
              </w:rPr>
            </w:pPr>
          </w:p>
        </w:tc>
        <w:tc>
          <w:tcPr>
            <w:tcW w:w="1408" w:type="dxa"/>
            <w:tcBorders>
              <w:bottom w:val="double" w:sz="6" w:space="0" w:color="000000"/>
            </w:tcBorders>
          </w:tcPr>
          <w:p>
            <w:pPr>
              <w:pStyle w:val="TableParagraph"/>
              <w:rPr>
                <w:sz w:val="18"/>
              </w:rPr>
            </w:pPr>
          </w:p>
        </w:tc>
      </w:tr>
      <w:tr>
        <w:trPr>
          <w:trHeight w:val="1282" w:hRule="atLeast"/>
        </w:trPr>
        <w:tc>
          <w:tcPr>
            <w:tcW w:w="1458" w:type="dxa"/>
            <w:tcBorders>
              <w:top w:val="double" w:sz="6" w:space="0" w:color="000000"/>
              <w:bottom w:val="double" w:sz="6" w:space="0" w:color="000000"/>
            </w:tcBorders>
          </w:tcPr>
          <w:p>
            <w:pPr>
              <w:pStyle w:val="TableParagraph"/>
              <w:spacing w:before="42"/>
              <w:rPr>
                <w:sz w:val="18"/>
              </w:rPr>
            </w:pPr>
          </w:p>
          <w:p>
            <w:pPr>
              <w:pStyle w:val="TableParagraph"/>
              <w:ind w:left="156" w:right="236" w:firstLine="132"/>
              <w:jc w:val="both"/>
              <w:rPr>
                <w:sz w:val="18"/>
              </w:rPr>
            </w:pPr>
            <w:r>
              <w:rPr>
                <w:spacing w:val="-2"/>
                <w:sz w:val="18"/>
              </w:rPr>
              <w:t>Normalized Cointegrating </w:t>
            </w:r>
            <w:r>
              <w:rPr>
                <w:sz w:val="18"/>
              </w:rPr>
              <w:t>Coefficients:</w:t>
            </w:r>
            <w:r>
              <w:rPr>
                <w:spacing w:val="-4"/>
                <w:sz w:val="18"/>
              </w:rPr>
              <w:t> </w:t>
            </w:r>
            <w:r>
              <w:rPr>
                <w:spacing w:val="-10"/>
                <w:sz w:val="18"/>
              </w:rPr>
              <w:t>4</w:t>
            </w:r>
          </w:p>
          <w:p>
            <w:pPr>
              <w:pStyle w:val="TableParagraph"/>
              <w:spacing w:line="206" w:lineRule="exact"/>
              <w:ind w:left="269" w:hanging="77"/>
              <w:rPr>
                <w:sz w:val="18"/>
              </w:rPr>
            </w:pPr>
            <w:r>
              <w:rPr>
                <w:spacing w:val="-2"/>
                <w:sz w:val="18"/>
              </w:rPr>
              <w:t>Cointegrating Equation(s)</w:t>
            </w:r>
          </w:p>
        </w:tc>
        <w:tc>
          <w:tcPr>
            <w:tcW w:w="1351" w:type="dxa"/>
            <w:tcBorders>
              <w:top w:val="double" w:sz="6" w:space="0" w:color="000000"/>
              <w:bottom w:val="double" w:sz="6" w:space="0" w:color="000000"/>
            </w:tcBorders>
          </w:tcPr>
          <w:p>
            <w:pPr>
              <w:pStyle w:val="TableParagraph"/>
              <w:rPr>
                <w:sz w:val="18"/>
              </w:rPr>
            </w:pPr>
          </w:p>
        </w:tc>
        <w:tc>
          <w:tcPr>
            <w:tcW w:w="1393" w:type="dxa"/>
            <w:tcBorders>
              <w:top w:val="double" w:sz="6" w:space="0" w:color="000000"/>
              <w:bottom w:val="double" w:sz="6" w:space="0" w:color="000000"/>
            </w:tcBorders>
          </w:tcPr>
          <w:p>
            <w:pPr>
              <w:pStyle w:val="TableParagraph"/>
              <w:rPr>
                <w:sz w:val="18"/>
              </w:rPr>
            </w:pPr>
          </w:p>
        </w:tc>
        <w:tc>
          <w:tcPr>
            <w:tcW w:w="1411" w:type="dxa"/>
            <w:tcBorders>
              <w:top w:val="double" w:sz="6" w:space="0" w:color="000000"/>
              <w:bottom w:val="double" w:sz="6" w:space="0" w:color="000000"/>
            </w:tcBorders>
          </w:tcPr>
          <w:p>
            <w:pPr>
              <w:pStyle w:val="TableParagraph"/>
              <w:rPr>
                <w:sz w:val="18"/>
              </w:rPr>
            </w:pPr>
          </w:p>
        </w:tc>
        <w:tc>
          <w:tcPr>
            <w:tcW w:w="1411" w:type="dxa"/>
            <w:tcBorders>
              <w:top w:val="double" w:sz="6" w:space="0" w:color="000000"/>
              <w:bottom w:val="double" w:sz="6" w:space="0" w:color="000000"/>
            </w:tcBorders>
          </w:tcPr>
          <w:p>
            <w:pPr>
              <w:pStyle w:val="TableParagraph"/>
              <w:rPr>
                <w:sz w:val="18"/>
              </w:rPr>
            </w:pPr>
          </w:p>
        </w:tc>
        <w:tc>
          <w:tcPr>
            <w:tcW w:w="1410" w:type="dxa"/>
            <w:tcBorders>
              <w:top w:val="double" w:sz="6" w:space="0" w:color="000000"/>
              <w:bottom w:val="double" w:sz="6" w:space="0" w:color="000000"/>
            </w:tcBorders>
          </w:tcPr>
          <w:p>
            <w:pPr>
              <w:pStyle w:val="TableParagraph"/>
              <w:rPr>
                <w:sz w:val="18"/>
              </w:rPr>
            </w:pPr>
          </w:p>
        </w:tc>
        <w:tc>
          <w:tcPr>
            <w:tcW w:w="1408" w:type="dxa"/>
            <w:tcBorders>
              <w:top w:val="double" w:sz="6" w:space="0" w:color="000000"/>
              <w:bottom w:val="double" w:sz="6" w:space="0" w:color="000000"/>
            </w:tcBorders>
          </w:tcPr>
          <w:p>
            <w:pPr>
              <w:pStyle w:val="TableParagraph"/>
              <w:rPr>
                <w:sz w:val="18"/>
              </w:rPr>
            </w:pPr>
          </w:p>
        </w:tc>
      </w:tr>
      <w:tr>
        <w:trPr>
          <w:trHeight w:val="252" w:hRule="atLeast"/>
        </w:trPr>
        <w:tc>
          <w:tcPr>
            <w:tcW w:w="1458" w:type="dxa"/>
            <w:tcBorders>
              <w:top w:val="double" w:sz="6" w:space="0" w:color="000000"/>
            </w:tcBorders>
          </w:tcPr>
          <w:p>
            <w:pPr>
              <w:pStyle w:val="TableParagraph"/>
              <w:spacing w:line="191" w:lineRule="exact" w:before="42"/>
              <w:ind w:right="80"/>
              <w:jc w:val="center"/>
              <w:rPr>
                <w:sz w:val="18"/>
              </w:rPr>
            </w:pPr>
            <w:r>
              <w:rPr>
                <w:spacing w:val="-5"/>
                <w:sz w:val="18"/>
              </w:rPr>
              <w:t>GDP</w:t>
            </w:r>
          </w:p>
        </w:tc>
        <w:tc>
          <w:tcPr>
            <w:tcW w:w="1351" w:type="dxa"/>
            <w:tcBorders>
              <w:top w:val="double" w:sz="6" w:space="0" w:color="000000"/>
            </w:tcBorders>
          </w:tcPr>
          <w:p>
            <w:pPr>
              <w:pStyle w:val="TableParagraph"/>
              <w:spacing w:line="191" w:lineRule="exact" w:before="42"/>
              <w:ind w:left="215"/>
              <w:rPr>
                <w:sz w:val="18"/>
              </w:rPr>
            </w:pPr>
            <w:r>
              <w:rPr>
                <w:spacing w:val="-2"/>
                <w:sz w:val="18"/>
              </w:rPr>
              <w:t>EXTDEBT</w:t>
            </w:r>
          </w:p>
        </w:tc>
        <w:tc>
          <w:tcPr>
            <w:tcW w:w="1393" w:type="dxa"/>
            <w:tcBorders>
              <w:top w:val="double" w:sz="6" w:space="0" w:color="000000"/>
            </w:tcBorders>
          </w:tcPr>
          <w:p>
            <w:pPr>
              <w:pStyle w:val="TableParagraph"/>
              <w:spacing w:line="191" w:lineRule="exact" w:before="42"/>
              <w:ind w:left="22" w:right="42"/>
              <w:jc w:val="center"/>
              <w:rPr>
                <w:sz w:val="18"/>
              </w:rPr>
            </w:pPr>
            <w:r>
              <w:rPr>
                <w:spacing w:val="-5"/>
                <w:sz w:val="18"/>
              </w:rPr>
              <w:t>DFI</w:t>
            </w:r>
          </w:p>
        </w:tc>
        <w:tc>
          <w:tcPr>
            <w:tcW w:w="1411" w:type="dxa"/>
            <w:tcBorders>
              <w:top w:val="double" w:sz="6" w:space="0" w:color="000000"/>
            </w:tcBorders>
          </w:tcPr>
          <w:p>
            <w:pPr>
              <w:pStyle w:val="TableParagraph"/>
              <w:spacing w:line="191" w:lineRule="exact" w:before="42"/>
              <w:ind w:left="49" w:right="55"/>
              <w:jc w:val="center"/>
              <w:rPr>
                <w:sz w:val="18"/>
              </w:rPr>
            </w:pPr>
            <w:r>
              <w:rPr>
                <w:spacing w:val="-5"/>
                <w:sz w:val="18"/>
              </w:rPr>
              <w:t>CAB</w:t>
            </w:r>
          </w:p>
        </w:tc>
        <w:tc>
          <w:tcPr>
            <w:tcW w:w="1411" w:type="dxa"/>
            <w:tcBorders>
              <w:top w:val="double" w:sz="6" w:space="0" w:color="000000"/>
            </w:tcBorders>
          </w:tcPr>
          <w:p>
            <w:pPr>
              <w:pStyle w:val="TableParagraph"/>
              <w:spacing w:line="191" w:lineRule="exact" w:before="42"/>
              <w:ind w:left="49" w:right="53"/>
              <w:jc w:val="center"/>
              <w:rPr>
                <w:sz w:val="18"/>
              </w:rPr>
            </w:pPr>
            <w:r>
              <w:rPr>
                <w:spacing w:val="-5"/>
                <w:sz w:val="18"/>
              </w:rPr>
              <w:t>RES</w:t>
            </w:r>
          </w:p>
        </w:tc>
        <w:tc>
          <w:tcPr>
            <w:tcW w:w="1410" w:type="dxa"/>
            <w:tcBorders>
              <w:top w:val="double" w:sz="6" w:space="0" w:color="000000"/>
            </w:tcBorders>
          </w:tcPr>
          <w:p>
            <w:pPr>
              <w:pStyle w:val="TableParagraph"/>
              <w:spacing w:line="191" w:lineRule="exact" w:before="42"/>
              <w:ind w:left="49" w:right="54"/>
              <w:jc w:val="center"/>
              <w:rPr>
                <w:sz w:val="18"/>
              </w:rPr>
            </w:pPr>
            <w:r>
              <w:rPr>
                <w:spacing w:val="-2"/>
                <w:sz w:val="18"/>
              </w:rPr>
              <w:t>NEXTAS</w:t>
            </w:r>
          </w:p>
        </w:tc>
        <w:tc>
          <w:tcPr>
            <w:tcW w:w="1408" w:type="dxa"/>
            <w:tcBorders>
              <w:top w:val="double" w:sz="6" w:space="0" w:color="000000"/>
            </w:tcBorders>
          </w:tcPr>
          <w:p>
            <w:pPr>
              <w:pStyle w:val="TableParagraph"/>
              <w:spacing w:line="191" w:lineRule="exact" w:before="42"/>
              <w:ind w:left="46" w:right="47"/>
              <w:jc w:val="center"/>
              <w:rPr>
                <w:sz w:val="18"/>
              </w:rPr>
            </w:pPr>
            <w:r>
              <w:rPr>
                <w:spacing w:val="-10"/>
                <w:sz w:val="18"/>
              </w:rPr>
              <w:t>C</w:t>
            </w:r>
          </w:p>
        </w:tc>
      </w:tr>
      <w:tr>
        <w:trPr>
          <w:trHeight w:val="206" w:hRule="atLeast"/>
        </w:trPr>
        <w:tc>
          <w:tcPr>
            <w:tcW w:w="1458" w:type="dxa"/>
          </w:tcPr>
          <w:p>
            <w:pPr>
              <w:pStyle w:val="TableParagraph"/>
              <w:spacing w:line="186" w:lineRule="exact"/>
              <w:ind w:left="49" w:right="80"/>
              <w:jc w:val="center"/>
              <w:rPr>
                <w:sz w:val="18"/>
              </w:rPr>
            </w:pPr>
            <w:r>
              <w:rPr>
                <w:spacing w:val="-2"/>
                <w:sz w:val="18"/>
              </w:rPr>
              <w:t>1.000000</w:t>
            </w:r>
          </w:p>
        </w:tc>
        <w:tc>
          <w:tcPr>
            <w:tcW w:w="1351" w:type="dxa"/>
          </w:tcPr>
          <w:p>
            <w:pPr>
              <w:pStyle w:val="TableParagraph"/>
              <w:spacing w:line="186" w:lineRule="exact"/>
              <w:ind w:left="311"/>
              <w:rPr>
                <w:sz w:val="18"/>
              </w:rPr>
            </w:pPr>
            <w:r>
              <w:rPr>
                <w:spacing w:val="-2"/>
                <w:sz w:val="18"/>
              </w:rPr>
              <w:t>0.000000</w:t>
            </w:r>
          </w:p>
        </w:tc>
        <w:tc>
          <w:tcPr>
            <w:tcW w:w="1393" w:type="dxa"/>
          </w:tcPr>
          <w:p>
            <w:pPr>
              <w:pStyle w:val="TableParagraph"/>
              <w:spacing w:line="186" w:lineRule="exact"/>
              <w:ind w:left="43" w:right="22"/>
              <w:jc w:val="center"/>
              <w:rPr>
                <w:sz w:val="18"/>
              </w:rPr>
            </w:pPr>
            <w:r>
              <w:rPr>
                <w:spacing w:val="-2"/>
                <w:sz w:val="18"/>
              </w:rPr>
              <w:t>0.000000</w:t>
            </w:r>
          </w:p>
        </w:tc>
        <w:tc>
          <w:tcPr>
            <w:tcW w:w="1411" w:type="dxa"/>
          </w:tcPr>
          <w:p>
            <w:pPr>
              <w:pStyle w:val="TableParagraph"/>
              <w:spacing w:line="186" w:lineRule="exact"/>
              <w:ind w:left="49" w:right="10"/>
              <w:jc w:val="center"/>
              <w:rPr>
                <w:sz w:val="18"/>
              </w:rPr>
            </w:pPr>
            <w:r>
              <w:rPr>
                <w:spacing w:val="-2"/>
                <w:sz w:val="18"/>
              </w:rPr>
              <w:t>0.000000</w:t>
            </w:r>
          </w:p>
        </w:tc>
        <w:tc>
          <w:tcPr>
            <w:tcW w:w="1411" w:type="dxa"/>
          </w:tcPr>
          <w:p>
            <w:pPr>
              <w:pStyle w:val="TableParagraph"/>
              <w:spacing w:line="186" w:lineRule="exact"/>
              <w:ind w:left="49" w:right="51"/>
              <w:jc w:val="center"/>
              <w:rPr>
                <w:sz w:val="18"/>
              </w:rPr>
            </w:pPr>
            <w:r>
              <w:rPr>
                <w:sz w:val="18"/>
              </w:rPr>
              <w:t>-</w:t>
            </w:r>
            <w:r>
              <w:rPr>
                <w:spacing w:val="-2"/>
                <w:sz w:val="18"/>
              </w:rPr>
              <w:t>1.753673</w:t>
            </w:r>
          </w:p>
        </w:tc>
        <w:tc>
          <w:tcPr>
            <w:tcW w:w="1410" w:type="dxa"/>
          </w:tcPr>
          <w:p>
            <w:pPr>
              <w:pStyle w:val="TableParagraph"/>
              <w:spacing w:line="186" w:lineRule="exact"/>
              <w:ind w:left="49" w:right="7"/>
              <w:jc w:val="center"/>
              <w:rPr>
                <w:sz w:val="18"/>
              </w:rPr>
            </w:pPr>
            <w:r>
              <w:rPr>
                <w:spacing w:val="-2"/>
                <w:sz w:val="18"/>
              </w:rPr>
              <w:t>0.496919</w:t>
            </w:r>
          </w:p>
        </w:tc>
        <w:tc>
          <w:tcPr>
            <w:tcW w:w="1408" w:type="dxa"/>
          </w:tcPr>
          <w:p>
            <w:pPr>
              <w:pStyle w:val="TableParagraph"/>
              <w:spacing w:line="186" w:lineRule="exact"/>
              <w:ind w:left="46" w:right="46"/>
              <w:jc w:val="center"/>
              <w:rPr>
                <w:sz w:val="18"/>
              </w:rPr>
            </w:pPr>
            <w:r>
              <w:rPr>
                <w:sz w:val="18"/>
              </w:rPr>
              <w:t>-</w:t>
            </w:r>
            <w:r>
              <w:rPr>
                <w:spacing w:val="-2"/>
                <w:sz w:val="18"/>
              </w:rPr>
              <w:t>0.302882</w:t>
            </w:r>
          </w:p>
        </w:tc>
      </w:tr>
      <w:tr>
        <w:trPr>
          <w:trHeight w:val="206" w:hRule="atLeast"/>
        </w:trPr>
        <w:tc>
          <w:tcPr>
            <w:tcW w:w="1458" w:type="dxa"/>
          </w:tcPr>
          <w:p>
            <w:pPr>
              <w:pStyle w:val="TableParagraph"/>
              <w:rPr>
                <w:sz w:val="14"/>
              </w:rPr>
            </w:pPr>
          </w:p>
        </w:tc>
        <w:tc>
          <w:tcPr>
            <w:tcW w:w="1351" w:type="dxa"/>
          </w:tcPr>
          <w:p>
            <w:pPr>
              <w:pStyle w:val="TableParagraph"/>
              <w:rPr>
                <w:sz w:val="14"/>
              </w:rPr>
            </w:pPr>
          </w:p>
        </w:tc>
        <w:tc>
          <w:tcPr>
            <w:tcW w:w="1393" w:type="dxa"/>
          </w:tcPr>
          <w:p>
            <w:pPr>
              <w:pStyle w:val="TableParagraph"/>
              <w:rPr>
                <w:sz w:val="14"/>
              </w:rPr>
            </w:pPr>
          </w:p>
        </w:tc>
        <w:tc>
          <w:tcPr>
            <w:tcW w:w="1411" w:type="dxa"/>
          </w:tcPr>
          <w:p>
            <w:pPr>
              <w:pStyle w:val="TableParagraph"/>
              <w:rPr>
                <w:sz w:val="14"/>
              </w:rPr>
            </w:pPr>
          </w:p>
        </w:tc>
        <w:tc>
          <w:tcPr>
            <w:tcW w:w="1411" w:type="dxa"/>
          </w:tcPr>
          <w:p>
            <w:pPr>
              <w:pStyle w:val="TableParagraph"/>
              <w:spacing w:line="186" w:lineRule="exact"/>
              <w:ind w:left="49" w:right="8"/>
              <w:jc w:val="center"/>
              <w:rPr>
                <w:sz w:val="18"/>
              </w:rPr>
            </w:pPr>
            <w:r>
              <w:rPr>
                <w:spacing w:val="-2"/>
                <w:sz w:val="18"/>
              </w:rPr>
              <w:t>(0.70025)</w:t>
            </w:r>
          </w:p>
        </w:tc>
        <w:tc>
          <w:tcPr>
            <w:tcW w:w="1410" w:type="dxa"/>
          </w:tcPr>
          <w:p>
            <w:pPr>
              <w:pStyle w:val="TableParagraph"/>
              <w:spacing w:line="186" w:lineRule="exact"/>
              <w:ind w:left="49" w:right="6"/>
              <w:jc w:val="center"/>
              <w:rPr>
                <w:sz w:val="18"/>
              </w:rPr>
            </w:pPr>
            <w:r>
              <w:rPr>
                <w:spacing w:val="-2"/>
                <w:sz w:val="18"/>
              </w:rPr>
              <w:t>(0.50970)</w:t>
            </w:r>
          </w:p>
        </w:tc>
        <w:tc>
          <w:tcPr>
            <w:tcW w:w="1408" w:type="dxa"/>
          </w:tcPr>
          <w:p>
            <w:pPr>
              <w:pStyle w:val="TableParagraph"/>
              <w:rPr>
                <w:sz w:val="14"/>
              </w:rPr>
            </w:pPr>
          </w:p>
        </w:tc>
      </w:tr>
      <w:tr>
        <w:trPr>
          <w:trHeight w:val="207" w:hRule="atLeast"/>
        </w:trPr>
        <w:tc>
          <w:tcPr>
            <w:tcW w:w="1458" w:type="dxa"/>
          </w:tcPr>
          <w:p>
            <w:pPr>
              <w:pStyle w:val="TableParagraph"/>
              <w:spacing w:line="188" w:lineRule="exact"/>
              <w:ind w:left="49" w:right="80"/>
              <w:jc w:val="center"/>
              <w:rPr>
                <w:sz w:val="18"/>
              </w:rPr>
            </w:pPr>
            <w:r>
              <w:rPr>
                <w:spacing w:val="-2"/>
                <w:sz w:val="18"/>
              </w:rPr>
              <w:t>0.000000</w:t>
            </w:r>
          </w:p>
        </w:tc>
        <w:tc>
          <w:tcPr>
            <w:tcW w:w="1351" w:type="dxa"/>
          </w:tcPr>
          <w:p>
            <w:pPr>
              <w:pStyle w:val="TableParagraph"/>
              <w:spacing w:line="188" w:lineRule="exact"/>
              <w:ind w:left="311"/>
              <w:rPr>
                <w:sz w:val="18"/>
              </w:rPr>
            </w:pPr>
            <w:r>
              <w:rPr>
                <w:spacing w:val="-2"/>
                <w:sz w:val="18"/>
              </w:rPr>
              <w:t>1.000000</w:t>
            </w:r>
          </w:p>
        </w:tc>
        <w:tc>
          <w:tcPr>
            <w:tcW w:w="1393" w:type="dxa"/>
          </w:tcPr>
          <w:p>
            <w:pPr>
              <w:pStyle w:val="TableParagraph"/>
              <w:spacing w:line="188" w:lineRule="exact"/>
              <w:ind w:left="43" w:right="22"/>
              <w:jc w:val="center"/>
              <w:rPr>
                <w:sz w:val="18"/>
              </w:rPr>
            </w:pPr>
            <w:r>
              <w:rPr>
                <w:spacing w:val="-2"/>
                <w:sz w:val="18"/>
              </w:rPr>
              <w:t>0.000000</w:t>
            </w:r>
          </w:p>
        </w:tc>
        <w:tc>
          <w:tcPr>
            <w:tcW w:w="1411" w:type="dxa"/>
          </w:tcPr>
          <w:p>
            <w:pPr>
              <w:pStyle w:val="TableParagraph"/>
              <w:spacing w:line="188" w:lineRule="exact"/>
              <w:ind w:left="49" w:right="10"/>
              <w:jc w:val="center"/>
              <w:rPr>
                <w:sz w:val="18"/>
              </w:rPr>
            </w:pPr>
            <w:r>
              <w:rPr>
                <w:spacing w:val="-2"/>
                <w:sz w:val="18"/>
              </w:rPr>
              <w:t>0.000000</w:t>
            </w:r>
          </w:p>
        </w:tc>
        <w:tc>
          <w:tcPr>
            <w:tcW w:w="1411" w:type="dxa"/>
          </w:tcPr>
          <w:p>
            <w:pPr>
              <w:pStyle w:val="TableParagraph"/>
              <w:spacing w:line="188" w:lineRule="exact"/>
              <w:ind w:left="49" w:right="51"/>
              <w:jc w:val="center"/>
              <w:rPr>
                <w:sz w:val="18"/>
              </w:rPr>
            </w:pPr>
            <w:r>
              <w:rPr>
                <w:sz w:val="18"/>
              </w:rPr>
              <w:t>-</w:t>
            </w:r>
            <w:r>
              <w:rPr>
                <w:spacing w:val="-2"/>
                <w:sz w:val="18"/>
              </w:rPr>
              <w:t>1.182322</w:t>
            </w:r>
          </w:p>
        </w:tc>
        <w:tc>
          <w:tcPr>
            <w:tcW w:w="1410" w:type="dxa"/>
          </w:tcPr>
          <w:p>
            <w:pPr>
              <w:pStyle w:val="TableParagraph"/>
              <w:spacing w:line="188" w:lineRule="exact"/>
              <w:ind w:left="49" w:right="7"/>
              <w:jc w:val="center"/>
              <w:rPr>
                <w:sz w:val="18"/>
              </w:rPr>
            </w:pPr>
            <w:r>
              <w:rPr>
                <w:spacing w:val="-2"/>
                <w:sz w:val="18"/>
              </w:rPr>
              <w:t>0.633808</w:t>
            </w:r>
          </w:p>
        </w:tc>
        <w:tc>
          <w:tcPr>
            <w:tcW w:w="1408" w:type="dxa"/>
          </w:tcPr>
          <w:p>
            <w:pPr>
              <w:pStyle w:val="TableParagraph"/>
              <w:spacing w:line="188" w:lineRule="exact"/>
              <w:ind w:left="46" w:right="46"/>
              <w:jc w:val="center"/>
              <w:rPr>
                <w:sz w:val="18"/>
              </w:rPr>
            </w:pPr>
            <w:r>
              <w:rPr>
                <w:sz w:val="18"/>
              </w:rPr>
              <w:t>-</w:t>
            </w:r>
            <w:r>
              <w:rPr>
                <w:spacing w:val="-2"/>
                <w:sz w:val="18"/>
              </w:rPr>
              <w:t>5.594229</w:t>
            </w:r>
          </w:p>
        </w:tc>
      </w:tr>
      <w:tr>
        <w:trPr>
          <w:trHeight w:val="207" w:hRule="atLeast"/>
        </w:trPr>
        <w:tc>
          <w:tcPr>
            <w:tcW w:w="1458" w:type="dxa"/>
          </w:tcPr>
          <w:p>
            <w:pPr>
              <w:pStyle w:val="TableParagraph"/>
              <w:rPr>
                <w:sz w:val="14"/>
              </w:rPr>
            </w:pPr>
          </w:p>
        </w:tc>
        <w:tc>
          <w:tcPr>
            <w:tcW w:w="1351" w:type="dxa"/>
          </w:tcPr>
          <w:p>
            <w:pPr>
              <w:pStyle w:val="TableParagraph"/>
              <w:rPr>
                <w:sz w:val="14"/>
              </w:rPr>
            </w:pPr>
          </w:p>
        </w:tc>
        <w:tc>
          <w:tcPr>
            <w:tcW w:w="1393" w:type="dxa"/>
          </w:tcPr>
          <w:p>
            <w:pPr>
              <w:pStyle w:val="TableParagraph"/>
              <w:rPr>
                <w:sz w:val="14"/>
              </w:rPr>
            </w:pPr>
          </w:p>
        </w:tc>
        <w:tc>
          <w:tcPr>
            <w:tcW w:w="1411" w:type="dxa"/>
          </w:tcPr>
          <w:p>
            <w:pPr>
              <w:pStyle w:val="TableParagraph"/>
              <w:rPr>
                <w:sz w:val="14"/>
              </w:rPr>
            </w:pPr>
          </w:p>
        </w:tc>
        <w:tc>
          <w:tcPr>
            <w:tcW w:w="1411" w:type="dxa"/>
          </w:tcPr>
          <w:p>
            <w:pPr>
              <w:pStyle w:val="TableParagraph"/>
              <w:spacing w:line="188" w:lineRule="exact"/>
              <w:ind w:left="49" w:right="8"/>
              <w:jc w:val="center"/>
              <w:rPr>
                <w:sz w:val="18"/>
              </w:rPr>
            </w:pPr>
            <w:r>
              <w:rPr>
                <w:spacing w:val="-2"/>
                <w:sz w:val="18"/>
              </w:rPr>
              <w:t>(0.72992)</w:t>
            </w:r>
          </w:p>
        </w:tc>
        <w:tc>
          <w:tcPr>
            <w:tcW w:w="1410" w:type="dxa"/>
          </w:tcPr>
          <w:p>
            <w:pPr>
              <w:pStyle w:val="TableParagraph"/>
              <w:spacing w:line="188" w:lineRule="exact"/>
              <w:ind w:left="49" w:right="6"/>
              <w:jc w:val="center"/>
              <w:rPr>
                <w:sz w:val="18"/>
              </w:rPr>
            </w:pPr>
            <w:r>
              <w:rPr>
                <w:spacing w:val="-2"/>
                <w:sz w:val="18"/>
              </w:rPr>
              <w:t>(0.53130)</w:t>
            </w:r>
          </w:p>
        </w:tc>
        <w:tc>
          <w:tcPr>
            <w:tcW w:w="1408" w:type="dxa"/>
          </w:tcPr>
          <w:p>
            <w:pPr>
              <w:pStyle w:val="TableParagraph"/>
              <w:rPr>
                <w:sz w:val="14"/>
              </w:rPr>
            </w:pPr>
          </w:p>
        </w:tc>
      </w:tr>
      <w:tr>
        <w:trPr>
          <w:trHeight w:val="206" w:hRule="atLeast"/>
        </w:trPr>
        <w:tc>
          <w:tcPr>
            <w:tcW w:w="1458" w:type="dxa"/>
          </w:tcPr>
          <w:p>
            <w:pPr>
              <w:pStyle w:val="TableParagraph"/>
              <w:spacing w:line="186" w:lineRule="exact"/>
              <w:ind w:left="49" w:right="80"/>
              <w:jc w:val="center"/>
              <w:rPr>
                <w:sz w:val="18"/>
              </w:rPr>
            </w:pPr>
            <w:r>
              <w:rPr>
                <w:spacing w:val="-2"/>
                <w:sz w:val="18"/>
              </w:rPr>
              <w:t>0.000000</w:t>
            </w:r>
          </w:p>
        </w:tc>
        <w:tc>
          <w:tcPr>
            <w:tcW w:w="1351" w:type="dxa"/>
          </w:tcPr>
          <w:p>
            <w:pPr>
              <w:pStyle w:val="TableParagraph"/>
              <w:spacing w:line="186" w:lineRule="exact"/>
              <w:ind w:left="311"/>
              <w:rPr>
                <w:sz w:val="18"/>
              </w:rPr>
            </w:pPr>
            <w:r>
              <w:rPr>
                <w:spacing w:val="-2"/>
                <w:sz w:val="18"/>
              </w:rPr>
              <w:t>0.000000</w:t>
            </w:r>
          </w:p>
        </w:tc>
        <w:tc>
          <w:tcPr>
            <w:tcW w:w="1393" w:type="dxa"/>
          </w:tcPr>
          <w:p>
            <w:pPr>
              <w:pStyle w:val="TableParagraph"/>
              <w:spacing w:line="186" w:lineRule="exact"/>
              <w:ind w:left="43" w:right="22"/>
              <w:jc w:val="center"/>
              <w:rPr>
                <w:sz w:val="18"/>
              </w:rPr>
            </w:pPr>
            <w:r>
              <w:rPr>
                <w:spacing w:val="-2"/>
                <w:sz w:val="18"/>
              </w:rPr>
              <w:t>1.000000</w:t>
            </w:r>
          </w:p>
        </w:tc>
        <w:tc>
          <w:tcPr>
            <w:tcW w:w="1411" w:type="dxa"/>
          </w:tcPr>
          <w:p>
            <w:pPr>
              <w:pStyle w:val="TableParagraph"/>
              <w:spacing w:line="186" w:lineRule="exact"/>
              <w:ind w:left="49" w:right="10"/>
              <w:jc w:val="center"/>
              <w:rPr>
                <w:sz w:val="18"/>
              </w:rPr>
            </w:pPr>
            <w:r>
              <w:rPr>
                <w:spacing w:val="-2"/>
                <w:sz w:val="18"/>
              </w:rPr>
              <w:t>0.000000</w:t>
            </w:r>
          </w:p>
        </w:tc>
        <w:tc>
          <w:tcPr>
            <w:tcW w:w="1411" w:type="dxa"/>
          </w:tcPr>
          <w:p>
            <w:pPr>
              <w:pStyle w:val="TableParagraph"/>
              <w:spacing w:line="186" w:lineRule="exact"/>
              <w:ind w:left="49" w:right="51"/>
              <w:jc w:val="center"/>
              <w:rPr>
                <w:sz w:val="18"/>
              </w:rPr>
            </w:pPr>
            <w:r>
              <w:rPr>
                <w:sz w:val="18"/>
              </w:rPr>
              <w:t>-</w:t>
            </w:r>
            <w:r>
              <w:rPr>
                <w:spacing w:val="-2"/>
                <w:sz w:val="18"/>
              </w:rPr>
              <w:t>2.457021</w:t>
            </w:r>
          </w:p>
        </w:tc>
        <w:tc>
          <w:tcPr>
            <w:tcW w:w="1410" w:type="dxa"/>
          </w:tcPr>
          <w:p>
            <w:pPr>
              <w:pStyle w:val="TableParagraph"/>
              <w:spacing w:line="186" w:lineRule="exact"/>
              <w:ind w:left="49" w:right="7"/>
              <w:jc w:val="center"/>
              <w:rPr>
                <w:sz w:val="18"/>
              </w:rPr>
            </w:pPr>
            <w:r>
              <w:rPr>
                <w:spacing w:val="-2"/>
                <w:sz w:val="18"/>
              </w:rPr>
              <w:t>1.213847</w:t>
            </w:r>
          </w:p>
        </w:tc>
        <w:tc>
          <w:tcPr>
            <w:tcW w:w="1408" w:type="dxa"/>
          </w:tcPr>
          <w:p>
            <w:pPr>
              <w:pStyle w:val="TableParagraph"/>
              <w:spacing w:line="186" w:lineRule="exact"/>
              <w:ind w:left="48" w:right="6"/>
              <w:jc w:val="center"/>
              <w:rPr>
                <w:sz w:val="18"/>
              </w:rPr>
            </w:pPr>
            <w:r>
              <w:rPr>
                <w:spacing w:val="-2"/>
                <w:sz w:val="18"/>
              </w:rPr>
              <w:t>2.825444</w:t>
            </w:r>
          </w:p>
        </w:tc>
      </w:tr>
      <w:tr>
        <w:trPr>
          <w:trHeight w:val="206" w:hRule="atLeast"/>
        </w:trPr>
        <w:tc>
          <w:tcPr>
            <w:tcW w:w="1458" w:type="dxa"/>
          </w:tcPr>
          <w:p>
            <w:pPr>
              <w:pStyle w:val="TableParagraph"/>
              <w:rPr>
                <w:sz w:val="14"/>
              </w:rPr>
            </w:pPr>
          </w:p>
        </w:tc>
        <w:tc>
          <w:tcPr>
            <w:tcW w:w="1351" w:type="dxa"/>
          </w:tcPr>
          <w:p>
            <w:pPr>
              <w:pStyle w:val="TableParagraph"/>
              <w:rPr>
                <w:sz w:val="14"/>
              </w:rPr>
            </w:pPr>
          </w:p>
        </w:tc>
        <w:tc>
          <w:tcPr>
            <w:tcW w:w="1393" w:type="dxa"/>
          </w:tcPr>
          <w:p>
            <w:pPr>
              <w:pStyle w:val="TableParagraph"/>
              <w:rPr>
                <w:sz w:val="14"/>
              </w:rPr>
            </w:pPr>
          </w:p>
        </w:tc>
        <w:tc>
          <w:tcPr>
            <w:tcW w:w="1411" w:type="dxa"/>
          </w:tcPr>
          <w:p>
            <w:pPr>
              <w:pStyle w:val="TableParagraph"/>
              <w:rPr>
                <w:sz w:val="14"/>
              </w:rPr>
            </w:pPr>
          </w:p>
        </w:tc>
        <w:tc>
          <w:tcPr>
            <w:tcW w:w="1411" w:type="dxa"/>
          </w:tcPr>
          <w:p>
            <w:pPr>
              <w:pStyle w:val="TableParagraph"/>
              <w:spacing w:line="186" w:lineRule="exact"/>
              <w:ind w:left="49" w:right="8"/>
              <w:jc w:val="center"/>
              <w:rPr>
                <w:sz w:val="18"/>
              </w:rPr>
            </w:pPr>
            <w:r>
              <w:rPr>
                <w:spacing w:val="-2"/>
                <w:sz w:val="18"/>
              </w:rPr>
              <w:t>(1.03996)</w:t>
            </w:r>
          </w:p>
        </w:tc>
        <w:tc>
          <w:tcPr>
            <w:tcW w:w="1410" w:type="dxa"/>
          </w:tcPr>
          <w:p>
            <w:pPr>
              <w:pStyle w:val="TableParagraph"/>
              <w:spacing w:line="186" w:lineRule="exact"/>
              <w:ind w:left="49" w:right="6"/>
              <w:jc w:val="center"/>
              <w:rPr>
                <w:sz w:val="18"/>
              </w:rPr>
            </w:pPr>
            <w:r>
              <w:rPr>
                <w:spacing w:val="-2"/>
                <w:sz w:val="18"/>
              </w:rPr>
              <w:t>(0.75697)</w:t>
            </w:r>
          </w:p>
        </w:tc>
        <w:tc>
          <w:tcPr>
            <w:tcW w:w="1408" w:type="dxa"/>
          </w:tcPr>
          <w:p>
            <w:pPr>
              <w:pStyle w:val="TableParagraph"/>
              <w:rPr>
                <w:sz w:val="14"/>
              </w:rPr>
            </w:pPr>
          </w:p>
        </w:tc>
      </w:tr>
      <w:tr>
        <w:trPr>
          <w:trHeight w:val="207" w:hRule="atLeast"/>
        </w:trPr>
        <w:tc>
          <w:tcPr>
            <w:tcW w:w="1458" w:type="dxa"/>
          </w:tcPr>
          <w:p>
            <w:pPr>
              <w:pStyle w:val="TableParagraph"/>
              <w:spacing w:line="188" w:lineRule="exact"/>
              <w:ind w:left="49" w:right="80"/>
              <w:jc w:val="center"/>
              <w:rPr>
                <w:sz w:val="18"/>
              </w:rPr>
            </w:pPr>
            <w:r>
              <w:rPr>
                <w:spacing w:val="-2"/>
                <w:sz w:val="18"/>
              </w:rPr>
              <w:t>0.000000</w:t>
            </w:r>
          </w:p>
        </w:tc>
        <w:tc>
          <w:tcPr>
            <w:tcW w:w="1351" w:type="dxa"/>
          </w:tcPr>
          <w:p>
            <w:pPr>
              <w:pStyle w:val="TableParagraph"/>
              <w:spacing w:line="188" w:lineRule="exact"/>
              <w:ind w:left="311"/>
              <w:rPr>
                <w:sz w:val="18"/>
              </w:rPr>
            </w:pPr>
            <w:r>
              <w:rPr>
                <w:spacing w:val="-2"/>
                <w:sz w:val="18"/>
              </w:rPr>
              <w:t>0.000000</w:t>
            </w:r>
          </w:p>
        </w:tc>
        <w:tc>
          <w:tcPr>
            <w:tcW w:w="1393" w:type="dxa"/>
          </w:tcPr>
          <w:p>
            <w:pPr>
              <w:pStyle w:val="TableParagraph"/>
              <w:spacing w:line="188" w:lineRule="exact"/>
              <w:ind w:left="43" w:right="22"/>
              <w:jc w:val="center"/>
              <w:rPr>
                <w:sz w:val="18"/>
              </w:rPr>
            </w:pPr>
            <w:r>
              <w:rPr>
                <w:spacing w:val="-2"/>
                <w:sz w:val="18"/>
              </w:rPr>
              <w:t>0.000000</w:t>
            </w:r>
          </w:p>
        </w:tc>
        <w:tc>
          <w:tcPr>
            <w:tcW w:w="1411" w:type="dxa"/>
          </w:tcPr>
          <w:p>
            <w:pPr>
              <w:pStyle w:val="TableParagraph"/>
              <w:spacing w:line="188" w:lineRule="exact"/>
              <w:ind w:left="49" w:right="10"/>
              <w:jc w:val="center"/>
              <w:rPr>
                <w:sz w:val="18"/>
              </w:rPr>
            </w:pPr>
            <w:r>
              <w:rPr>
                <w:spacing w:val="-2"/>
                <w:sz w:val="18"/>
              </w:rPr>
              <w:t>1.000000</w:t>
            </w:r>
          </w:p>
        </w:tc>
        <w:tc>
          <w:tcPr>
            <w:tcW w:w="1411" w:type="dxa"/>
          </w:tcPr>
          <w:p>
            <w:pPr>
              <w:pStyle w:val="TableParagraph"/>
              <w:spacing w:line="188" w:lineRule="exact"/>
              <w:ind w:left="49" w:right="51"/>
              <w:jc w:val="center"/>
              <w:rPr>
                <w:sz w:val="18"/>
              </w:rPr>
            </w:pPr>
            <w:r>
              <w:rPr>
                <w:sz w:val="18"/>
              </w:rPr>
              <w:t>-</w:t>
            </w:r>
            <w:r>
              <w:rPr>
                <w:spacing w:val="-2"/>
                <w:sz w:val="18"/>
              </w:rPr>
              <w:t>2.232596</w:t>
            </w:r>
          </w:p>
        </w:tc>
        <w:tc>
          <w:tcPr>
            <w:tcW w:w="1410" w:type="dxa"/>
          </w:tcPr>
          <w:p>
            <w:pPr>
              <w:pStyle w:val="TableParagraph"/>
              <w:spacing w:line="188" w:lineRule="exact"/>
              <w:ind w:left="49" w:right="7"/>
              <w:jc w:val="center"/>
              <w:rPr>
                <w:sz w:val="18"/>
              </w:rPr>
            </w:pPr>
            <w:r>
              <w:rPr>
                <w:spacing w:val="-2"/>
                <w:sz w:val="18"/>
              </w:rPr>
              <w:t>0.581352</w:t>
            </w:r>
          </w:p>
        </w:tc>
        <w:tc>
          <w:tcPr>
            <w:tcW w:w="1408" w:type="dxa"/>
          </w:tcPr>
          <w:p>
            <w:pPr>
              <w:pStyle w:val="TableParagraph"/>
              <w:spacing w:line="188" w:lineRule="exact"/>
              <w:ind w:left="48" w:right="6"/>
              <w:jc w:val="center"/>
              <w:rPr>
                <w:sz w:val="18"/>
              </w:rPr>
            </w:pPr>
            <w:r>
              <w:rPr>
                <w:spacing w:val="-2"/>
                <w:sz w:val="18"/>
              </w:rPr>
              <w:t>6.880575</w:t>
            </w:r>
          </w:p>
        </w:tc>
      </w:tr>
      <w:tr>
        <w:trPr>
          <w:trHeight w:val="310" w:hRule="atLeast"/>
        </w:trPr>
        <w:tc>
          <w:tcPr>
            <w:tcW w:w="1458" w:type="dxa"/>
          </w:tcPr>
          <w:p>
            <w:pPr>
              <w:pStyle w:val="TableParagraph"/>
              <w:rPr>
                <w:sz w:val="18"/>
              </w:rPr>
            </w:pPr>
          </w:p>
        </w:tc>
        <w:tc>
          <w:tcPr>
            <w:tcW w:w="1351" w:type="dxa"/>
          </w:tcPr>
          <w:p>
            <w:pPr>
              <w:pStyle w:val="TableParagraph"/>
              <w:rPr>
                <w:sz w:val="18"/>
              </w:rPr>
            </w:pPr>
          </w:p>
        </w:tc>
        <w:tc>
          <w:tcPr>
            <w:tcW w:w="1393" w:type="dxa"/>
          </w:tcPr>
          <w:p>
            <w:pPr>
              <w:pStyle w:val="TableParagraph"/>
              <w:rPr>
                <w:sz w:val="18"/>
              </w:rPr>
            </w:pPr>
          </w:p>
        </w:tc>
        <w:tc>
          <w:tcPr>
            <w:tcW w:w="1411" w:type="dxa"/>
          </w:tcPr>
          <w:p>
            <w:pPr>
              <w:pStyle w:val="TableParagraph"/>
              <w:rPr>
                <w:sz w:val="18"/>
              </w:rPr>
            </w:pPr>
          </w:p>
        </w:tc>
        <w:tc>
          <w:tcPr>
            <w:tcW w:w="1411" w:type="dxa"/>
          </w:tcPr>
          <w:p>
            <w:pPr>
              <w:pStyle w:val="TableParagraph"/>
              <w:spacing w:line="204" w:lineRule="exact"/>
              <w:ind w:left="49" w:right="8"/>
              <w:jc w:val="center"/>
              <w:rPr>
                <w:sz w:val="18"/>
              </w:rPr>
            </w:pPr>
            <w:r>
              <w:rPr>
                <w:spacing w:val="-2"/>
                <w:sz w:val="18"/>
              </w:rPr>
              <w:t>(0.92771)</w:t>
            </w:r>
          </w:p>
        </w:tc>
        <w:tc>
          <w:tcPr>
            <w:tcW w:w="1410" w:type="dxa"/>
          </w:tcPr>
          <w:p>
            <w:pPr>
              <w:pStyle w:val="TableParagraph"/>
              <w:spacing w:line="204" w:lineRule="exact"/>
              <w:ind w:left="49" w:right="6"/>
              <w:jc w:val="center"/>
              <w:rPr>
                <w:sz w:val="18"/>
              </w:rPr>
            </w:pPr>
            <w:r>
              <w:rPr>
                <w:spacing w:val="-2"/>
                <w:sz w:val="18"/>
              </w:rPr>
              <w:t>(0.67527)</w:t>
            </w:r>
          </w:p>
        </w:tc>
        <w:tc>
          <w:tcPr>
            <w:tcW w:w="1408" w:type="dxa"/>
          </w:tcPr>
          <w:p>
            <w:pPr>
              <w:pStyle w:val="TableParagraph"/>
              <w:rPr>
                <w:sz w:val="18"/>
              </w:rPr>
            </w:pPr>
          </w:p>
        </w:tc>
      </w:tr>
      <w:tr>
        <w:trPr>
          <w:trHeight w:val="304" w:hRule="atLeast"/>
        </w:trPr>
        <w:tc>
          <w:tcPr>
            <w:tcW w:w="1458" w:type="dxa"/>
            <w:tcBorders>
              <w:bottom w:val="double" w:sz="6" w:space="0" w:color="000000"/>
            </w:tcBorders>
          </w:tcPr>
          <w:p>
            <w:pPr>
              <w:pStyle w:val="TableParagraph"/>
              <w:spacing w:line="186" w:lineRule="exact" w:before="99"/>
              <w:ind w:left="49" w:right="80"/>
              <w:jc w:val="center"/>
              <w:rPr>
                <w:sz w:val="18"/>
              </w:rPr>
            </w:pPr>
            <w:r>
              <w:rPr>
                <w:sz w:val="18"/>
              </w:rPr>
              <w:t>Log</w:t>
            </w:r>
            <w:r>
              <w:rPr>
                <w:spacing w:val="-2"/>
                <w:sz w:val="18"/>
              </w:rPr>
              <w:t> likelihood</w:t>
            </w:r>
          </w:p>
        </w:tc>
        <w:tc>
          <w:tcPr>
            <w:tcW w:w="1351" w:type="dxa"/>
            <w:tcBorders>
              <w:bottom w:val="double" w:sz="6" w:space="0" w:color="000000"/>
            </w:tcBorders>
          </w:tcPr>
          <w:p>
            <w:pPr>
              <w:pStyle w:val="TableParagraph"/>
              <w:spacing w:line="186" w:lineRule="exact" w:before="99"/>
              <w:ind w:left="258"/>
              <w:rPr>
                <w:sz w:val="18"/>
              </w:rPr>
            </w:pPr>
            <w:r>
              <w:rPr>
                <w:sz w:val="18"/>
              </w:rPr>
              <w:t>-</w:t>
            </w:r>
            <w:r>
              <w:rPr>
                <w:spacing w:val="-2"/>
                <w:sz w:val="18"/>
              </w:rPr>
              <w:t>82.93698</w:t>
            </w:r>
          </w:p>
        </w:tc>
        <w:tc>
          <w:tcPr>
            <w:tcW w:w="1393" w:type="dxa"/>
            <w:tcBorders>
              <w:bottom w:val="double" w:sz="6" w:space="0" w:color="000000"/>
            </w:tcBorders>
          </w:tcPr>
          <w:p>
            <w:pPr>
              <w:pStyle w:val="TableParagraph"/>
              <w:rPr>
                <w:sz w:val="18"/>
              </w:rPr>
            </w:pPr>
          </w:p>
        </w:tc>
        <w:tc>
          <w:tcPr>
            <w:tcW w:w="1411" w:type="dxa"/>
            <w:tcBorders>
              <w:bottom w:val="double" w:sz="6" w:space="0" w:color="000000"/>
            </w:tcBorders>
          </w:tcPr>
          <w:p>
            <w:pPr>
              <w:pStyle w:val="TableParagraph"/>
              <w:rPr>
                <w:sz w:val="18"/>
              </w:rPr>
            </w:pPr>
          </w:p>
        </w:tc>
        <w:tc>
          <w:tcPr>
            <w:tcW w:w="1411" w:type="dxa"/>
            <w:tcBorders>
              <w:bottom w:val="double" w:sz="6" w:space="0" w:color="000000"/>
            </w:tcBorders>
          </w:tcPr>
          <w:p>
            <w:pPr>
              <w:pStyle w:val="TableParagraph"/>
              <w:rPr>
                <w:sz w:val="18"/>
              </w:rPr>
            </w:pPr>
          </w:p>
        </w:tc>
        <w:tc>
          <w:tcPr>
            <w:tcW w:w="1410" w:type="dxa"/>
            <w:tcBorders>
              <w:bottom w:val="double" w:sz="6" w:space="0" w:color="000000"/>
            </w:tcBorders>
          </w:tcPr>
          <w:p>
            <w:pPr>
              <w:pStyle w:val="TableParagraph"/>
              <w:rPr>
                <w:sz w:val="18"/>
              </w:rPr>
            </w:pPr>
          </w:p>
        </w:tc>
        <w:tc>
          <w:tcPr>
            <w:tcW w:w="1408" w:type="dxa"/>
            <w:tcBorders>
              <w:bottom w:val="double" w:sz="6" w:space="0" w:color="000000"/>
            </w:tcBorders>
          </w:tcPr>
          <w:p>
            <w:pPr>
              <w:pStyle w:val="TableParagraph"/>
              <w:rPr>
                <w:sz w:val="18"/>
              </w:rPr>
            </w:pPr>
          </w:p>
        </w:tc>
      </w:tr>
      <w:tr>
        <w:trPr>
          <w:trHeight w:val="1282" w:hRule="atLeast"/>
        </w:trPr>
        <w:tc>
          <w:tcPr>
            <w:tcW w:w="1458" w:type="dxa"/>
            <w:tcBorders>
              <w:top w:val="double" w:sz="6" w:space="0" w:color="000000"/>
              <w:bottom w:val="double" w:sz="6" w:space="0" w:color="000000"/>
            </w:tcBorders>
          </w:tcPr>
          <w:p>
            <w:pPr>
              <w:pStyle w:val="TableParagraph"/>
              <w:spacing w:before="42"/>
              <w:rPr>
                <w:sz w:val="18"/>
              </w:rPr>
            </w:pPr>
          </w:p>
          <w:p>
            <w:pPr>
              <w:pStyle w:val="TableParagraph"/>
              <w:ind w:left="156" w:right="236" w:firstLine="132"/>
              <w:jc w:val="both"/>
              <w:rPr>
                <w:sz w:val="18"/>
              </w:rPr>
            </w:pPr>
            <w:r>
              <w:rPr>
                <w:spacing w:val="-2"/>
                <w:sz w:val="18"/>
              </w:rPr>
              <w:t>Normalized Cointegrating </w:t>
            </w:r>
            <w:r>
              <w:rPr>
                <w:sz w:val="18"/>
              </w:rPr>
              <w:t>Coefficients:</w:t>
            </w:r>
            <w:r>
              <w:rPr>
                <w:spacing w:val="-4"/>
                <w:sz w:val="18"/>
              </w:rPr>
              <w:t> </w:t>
            </w:r>
            <w:r>
              <w:rPr>
                <w:spacing w:val="-10"/>
                <w:sz w:val="18"/>
              </w:rPr>
              <w:t>5</w:t>
            </w:r>
          </w:p>
          <w:p>
            <w:pPr>
              <w:pStyle w:val="TableParagraph"/>
              <w:spacing w:line="206" w:lineRule="exact"/>
              <w:ind w:left="269" w:hanging="77"/>
              <w:rPr>
                <w:sz w:val="18"/>
              </w:rPr>
            </w:pPr>
            <w:r>
              <w:rPr>
                <w:spacing w:val="-2"/>
                <w:sz w:val="18"/>
              </w:rPr>
              <w:t>Cointegrating Equation(s)</w:t>
            </w:r>
          </w:p>
        </w:tc>
        <w:tc>
          <w:tcPr>
            <w:tcW w:w="1351" w:type="dxa"/>
            <w:tcBorders>
              <w:top w:val="double" w:sz="6" w:space="0" w:color="000000"/>
              <w:bottom w:val="double" w:sz="6" w:space="0" w:color="000000"/>
            </w:tcBorders>
          </w:tcPr>
          <w:p>
            <w:pPr>
              <w:pStyle w:val="TableParagraph"/>
              <w:rPr>
                <w:sz w:val="18"/>
              </w:rPr>
            </w:pPr>
          </w:p>
        </w:tc>
        <w:tc>
          <w:tcPr>
            <w:tcW w:w="1393" w:type="dxa"/>
            <w:tcBorders>
              <w:top w:val="double" w:sz="6" w:space="0" w:color="000000"/>
              <w:bottom w:val="double" w:sz="6" w:space="0" w:color="000000"/>
            </w:tcBorders>
          </w:tcPr>
          <w:p>
            <w:pPr>
              <w:pStyle w:val="TableParagraph"/>
              <w:rPr>
                <w:sz w:val="18"/>
              </w:rPr>
            </w:pPr>
          </w:p>
        </w:tc>
        <w:tc>
          <w:tcPr>
            <w:tcW w:w="1411" w:type="dxa"/>
            <w:tcBorders>
              <w:top w:val="double" w:sz="6" w:space="0" w:color="000000"/>
              <w:bottom w:val="double" w:sz="6" w:space="0" w:color="000000"/>
            </w:tcBorders>
          </w:tcPr>
          <w:p>
            <w:pPr>
              <w:pStyle w:val="TableParagraph"/>
              <w:rPr>
                <w:sz w:val="18"/>
              </w:rPr>
            </w:pPr>
          </w:p>
        </w:tc>
        <w:tc>
          <w:tcPr>
            <w:tcW w:w="1411" w:type="dxa"/>
            <w:tcBorders>
              <w:top w:val="double" w:sz="6" w:space="0" w:color="000000"/>
              <w:bottom w:val="double" w:sz="6" w:space="0" w:color="000000"/>
            </w:tcBorders>
          </w:tcPr>
          <w:p>
            <w:pPr>
              <w:pStyle w:val="TableParagraph"/>
              <w:rPr>
                <w:sz w:val="18"/>
              </w:rPr>
            </w:pPr>
          </w:p>
        </w:tc>
        <w:tc>
          <w:tcPr>
            <w:tcW w:w="1410" w:type="dxa"/>
            <w:tcBorders>
              <w:top w:val="double" w:sz="6" w:space="0" w:color="000000"/>
              <w:bottom w:val="double" w:sz="6" w:space="0" w:color="000000"/>
            </w:tcBorders>
          </w:tcPr>
          <w:p>
            <w:pPr>
              <w:pStyle w:val="TableParagraph"/>
              <w:rPr>
                <w:sz w:val="18"/>
              </w:rPr>
            </w:pPr>
          </w:p>
        </w:tc>
        <w:tc>
          <w:tcPr>
            <w:tcW w:w="1408" w:type="dxa"/>
            <w:tcBorders>
              <w:top w:val="double" w:sz="6" w:space="0" w:color="000000"/>
              <w:bottom w:val="double" w:sz="6" w:space="0" w:color="000000"/>
            </w:tcBorders>
          </w:tcPr>
          <w:p>
            <w:pPr>
              <w:pStyle w:val="TableParagraph"/>
              <w:rPr>
                <w:sz w:val="18"/>
              </w:rPr>
            </w:pPr>
          </w:p>
        </w:tc>
      </w:tr>
      <w:tr>
        <w:trPr>
          <w:trHeight w:val="252" w:hRule="atLeast"/>
        </w:trPr>
        <w:tc>
          <w:tcPr>
            <w:tcW w:w="1458" w:type="dxa"/>
            <w:tcBorders>
              <w:top w:val="double" w:sz="6" w:space="0" w:color="000000"/>
            </w:tcBorders>
          </w:tcPr>
          <w:p>
            <w:pPr>
              <w:pStyle w:val="TableParagraph"/>
              <w:spacing w:line="191" w:lineRule="exact" w:before="42"/>
              <w:ind w:right="80"/>
              <w:jc w:val="center"/>
              <w:rPr>
                <w:sz w:val="18"/>
              </w:rPr>
            </w:pPr>
            <w:r>
              <w:rPr>
                <w:spacing w:val="-5"/>
                <w:sz w:val="18"/>
              </w:rPr>
              <w:t>GDP</w:t>
            </w:r>
          </w:p>
        </w:tc>
        <w:tc>
          <w:tcPr>
            <w:tcW w:w="1351" w:type="dxa"/>
            <w:tcBorders>
              <w:top w:val="double" w:sz="6" w:space="0" w:color="000000"/>
            </w:tcBorders>
          </w:tcPr>
          <w:p>
            <w:pPr>
              <w:pStyle w:val="TableParagraph"/>
              <w:spacing w:line="191" w:lineRule="exact" w:before="42"/>
              <w:ind w:left="215"/>
              <w:rPr>
                <w:sz w:val="18"/>
              </w:rPr>
            </w:pPr>
            <w:r>
              <w:rPr>
                <w:spacing w:val="-2"/>
                <w:sz w:val="18"/>
              </w:rPr>
              <w:t>EXTDEBT</w:t>
            </w:r>
          </w:p>
        </w:tc>
        <w:tc>
          <w:tcPr>
            <w:tcW w:w="1393" w:type="dxa"/>
            <w:tcBorders>
              <w:top w:val="double" w:sz="6" w:space="0" w:color="000000"/>
            </w:tcBorders>
          </w:tcPr>
          <w:p>
            <w:pPr>
              <w:pStyle w:val="TableParagraph"/>
              <w:spacing w:line="191" w:lineRule="exact" w:before="42"/>
              <w:ind w:left="22" w:right="42"/>
              <w:jc w:val="center"/>
              <w:rPr>
                <w:sz w:val="18"/>
              </w:rPr>
            </w:pPr>
            <w:r>
              <w:rPr>
                <w:spacing w:val="-5"/>
                <w:sz w:val="18"/>
              </w:rPr>
              <w:t>DFI</w:t>
            </w:r>
          </w:p>
        </w:tc>
        <w:tc>
          <w:tcPr>
            <w:tcW w:w="1411" w:type="dxa"/>
            <w:tcBorders>
              <w:top w:val="double" w:sz="6" w:space="0" w:color="000000"/>
            </w:tcBorders>
          </w:tcPr>
          <w:p>
            <w:pPr>
              <w:pStyle w:val="TableParagraph"/>
              <w:spacing w:line="191" w:lineRule="exact" w:before="42"/>
              <w:ind w:left="49" w:right="55"/>
              <w:jc w:val="center"/>
              <w:rPr>
                <w:sz w:val="18"/>
              </w:rPr>
            </w:pPr>
            <w:r>
              <w:rPr>
                <w:spacing w:val="-5"/>
                <w:sz w:val="18"/>
              </w:rPr>
              <w:t>CAB</w:t>
            </w:r>
          </w:p>
        </w:tc>
        <w:tc>
          <w:tcPr>
            <w:tcW w:w="1411" w:type="dxa"/>
            <w:tcBorders>
              <w:top w:val="double" w:sz="6" w:space="0" w:color="000000"/>
            </w:tcBorders>
          </w:tcPr>
          <w:p>
            <w:pPr>
              <w:pStyle w:val="TableParagraph"/>
              <w:spacing w:line="191" w:lineRule="exact" w:before="42"/>
              <w:ind w:left="49" w:right="53"/>
              <w:jc w:val="center"/>
              <w:rPr>
                <w:sz w:val="18"/>
              </w:rPr>
            </w:pPr>
            <w:r>
              <w:rPr>
                <w:spacing w:val="-5"/>
                <w:sz w:val="18"/>
              </w:rPr>
              <w:t>RES</w:t>
            </w:r>
          </w:p>
        </w:tc>
        <w:tc>
          <w:tcPr>
            <w:tcW w:w="1410" w:type="dxa"/>
            <w:tcBorders>
              <w:top w:val="double" w:sz="6" w:space="0" w:color="000000"/>
            </w:tcBorders>
          </w:tcPr>
          <w:p>
            <w:pPr>
              <w:pStyle w:val="TableParagraph"/>
              <w:spacing w:line="191" w:lineRule="exact" w:before="42"/>
              <w:ind w:left="49" w:right="54"/>
              <w:jc w:val="center"/>
              <w:rPr>
                <w:sz w:val="18"/>
              </w:rPr>
            </w:pPr>
            <w:r>
              <w:rPr>
                <w:spacing w:val="-2"/>
                <w:sz w:val="18"/>
              </w:rPr>
              <w:t>NEXTAS</w:t>
            </w:r>
          </w:p>
        </w:tc>
        <w:tc>
          <w:tcPr>
            <w:tcW w:w="1408" w:type="dxa"/>
            <w:tcBorders>
              <w:top w:val="double" w:sz="6" w:space="0" w:color="000000"/>
            </w:tcBorders>
          </w:tcPr>
          <w:p>
            <w:pPr>
              <w:pStyle w:val="TableParagraph"/>
              <w:spacing w:line="191" w:lineRule="exact" w:before="42"/>
              <w:ind w:left="46" w:right="47"/>
              <w:jc w:val="center"/>
              <w:rPr>
                <w:sz w:val="18"/>
              </w:rPr>
            </w:pPr>
            <w:r>
              <w:rPr>
                <w:spacing w:val="-10"/>
                <w:sz w:val="18"/>
              </w:rPr>
              <w:t>C</w:t>
            </w:r>
          </w:p>
        </w:tc>
      </w:tr>
      <w:tr>
        <w:trPr>
          <w:trHeight w:val="206" w:hRule="atLeast"/>
        </w:trPr>
        <w:tc>
          <w:tcPr>
            <w:tcW w:w="1458" w:type="dxa"/>
          </w:tcPr>
          <w:p>
            <w:pPr>
              <w:pStyle w:val="TableParagraph"/>
              <w:spacing w:line="186" w:lineRule="exact"/>
              <w:ind w:left="49" w:right="80"/>
              <w:jc w:val="center"/>
              <w:rPr>
                <w:sz w:val="18"/>
              </w:rPr>
            </w:pPr>
            <w:r>
              <w:rPr>
                <w:spacing w:val="-2"/>
                <w:sz w:val="18"/>
              </w:rPr>
              <w:t>1.000000</w:t>
            </w:r>
          </w:p>
        </w:tc>
        <w:tc>
          <w:tcPr>
            <w:tcW w:w="1351" w:type="dxa"/>
          </w:tcPr>
          <w:p>
            <w:pPr>
              <w:pStyle w:val="TableParagraph"/>
              <w:spacing w:line="186" w:lineRule="exact"/>
              <w:ind w:left="311"/>
              <w:rPr>
                <w:sz w:val="18"/>
              </w:rPr>
            </w:pPr>
            <w:r>
              <w:rPr>
                <w:spacing w:val="-2"/>
                <w:sz w:val="18"/>
              </w:rPr>
              <w:t>0.000000</w:t>
            </w:r>
          </w:p>
        </w:tc>
        <w:tc>
          <w:tcPr>
            <w:tcW w:w="1393" w:type="dxa"/>
          </w:tcPr>
          <w:p>
            <w:pPr>
              <w:pStyle w:val="TableParagraph"/>
              <w:spacing w:line="186" w:lineRule="exact"/>
              <w:ind w:left="43" w:right="22"/>
              <w:jc w:val="center"/>
              <w:rPr>
                <w:sz w:val="18"/>
              </w:rPr>
            </w:pPr>
            <w:r>
              <w:rPr>
                <w:spacing w:val="-2"/>
                <w:sz w:val="18"/>
              </w:rPr>
              <w:t>0.000000</w:t>
            </w:r>
          </w:p>
        </w:tc>
        <w:tc>
          <w:tcPr>
            <w:tcW w:w="1411" w:type="dxa"/>
          </w:tcPr>
          <w:p>
            <w:pPr>
              <w:pStyle w:val="TableParagraph"/>
              <w:spacing w:line="186" w:lineRule="exact"/>
              <w:ind w:left="49" w:right="10"/>
              <w:jc w:val="center"/>
              <w:rPr>
                <w:sz w:val="18"/>
              </w:rPr>
            </w:pPr>
            <w:r>
              <w:rPr>
                <w:spacing w:val="-2"/>
                <w:sz w:val="18"/>
              </w:rPr>
              <w:t>0.000000</w:t>
            </w:r>
          </w:p>
        </w:tc>
        <w:tc>
          <w:tcPr>
            <w:tcW w:w="1411" w:type="dxa"/>
          </w:tcPr>
          <w:p>
            <w:pPr>
              <w:pStyle w:val="TableParagraph"/>
              <w:spacing w:line="186" w:lineRule="exact"/>
              <w:ind w:left="49" w:right="9"/>
              <w:jc w:val="center"/>
              <w:rPr>
                <w:sz w:val="18"/>
              </w:rPr>
            </w:pPr>
            <w:r>
              <w:rPr>
                <w:spacing w:val="-2"/>
                <w:sz w:val="18"/>
              </w:rPr>
              <w:t>0.000000</w:t>
            </w:r>
          </w:p>
        </w:tc>
        <w:tc>
          <w:tcPr>
            <w:tcW w:w="1410" w:type="dxa"/>
          </w:tcPr>
          <w:p>
            <w:pPr>
              <w:pStyle w:val="TableParagraph"/>
              <w:spacing w:line="186" w:lineRule="exact"/>
              <w:ind w:left="49" w:right="50"/>
              <w:jc w:val="center"/>
              <w:rPr>
                <w:sz w:val="18"/>
              </w:rPr>
            </w:pPr>
            <w:r>
              <w:rPr>
                <w:sz w:val="18"/>
              </w:rPr>
              <w:t>-</w:t>
            </w:r>
            <w:r>
              <w:rPr>
                <w:spacing w:val="-2"/>
                <w:sz w:val="18"/>
              </w:rPr>
              <w:t>1.179022</w:t>
            </w:r>
          </w:p>
        </w:tc>
        <w:tc>
          <w:tcPr>
            <w:tcW w:w="1408" w:type="dxa"/>
          </w:tcPr>
          <w:p>
            <w:pPr>
              <w:pStyle w:val="TableParagraph"/>
              <w:spacing w:line="186" w:lineRule="exact"/>
              <w:ind w:left="46" w:right="46"/>
              <w:jc w:val="center"/>
              <w:rPr>
                <w:sz w:val="18"/>
              </w:rPr>
            </w:pPr>
            <w:r>
              <w:rPr>
                <w:sz w:val="18"/>
              </w:rPr>
              <w:t>-</w:t>
            </w:r>
            <w:r>
              <w:rPr>
                <w:spacing w:val="-2"/>
                <w:sz w:val="18"/>
              </w:rPr>
              <w:t>1.293747</w:t>
            </w:r>
          </w:p>
        </w:tc>
      </w:tr>
      <w:tr>
        <w:trPr>
          <w:trHeight w:val="206" w:hRule="atLeast"/>
        </w:trPr>
        <w:tc>
          <w:tcPr>
            <w:tcW w:w="1458" w:type="dxa"/>
          </w:tcPr>
          <w:p>
            <w:pPr>
              <w:pStyle w:val="TableParagraph"/>
              <w:rPr>
                <w:sz w:val="14"/>
              </w:rPr>
            </w:pPr>
          </w:p>
        </w:tc>
        <w:tc>
          <w:tcPr>
            <w:tcW w:w="1351" w:type="dxa"/>
          </w:tcPr>
          <w:p>
            <w:pPr>
              <w:pStyle w:val="TableParagraph"/>
              <w:rPr>
                <w:sz w:val="14"/>
              </w:rPr>
            </w:pPr>
          </w:p>
        </w:tc>
        <w:tc>
          <w:tcPr>
            <w:tcW w:w="1393" w:type="dxa"/>
          </w:tcPr>
          <w:p>
            <w:pPr>
              <w:pStyle w:val="TableParagraph"/>
              <w:rPr>
                <w:sz w:val="14"/>
              </w:rPr>
            </w:pPr>
          </w:p>
        </w:tc>
        <w:tc>
          <w:tcPr>
            <w:tcW w:w="1411" w:type="dxa"/>
          </w:tcPr>
          <w:p>
            <w:pPr>
              <w:pStyle w:val="TableParagraph"/>
              <w:rPr>
                <w:sz w:val="14"/>
              </w:rPr>
            </w:pPr>
          </w:p>
        </w:tc>
        <w:tc>
          <w:tcPr>
            <w:tcW w:w="1411" w:type="dxa"/>
          </w:tcPr>
          <w:p>
            <w:pPr>
              <w:pStyle w:val="TableParagraph"/>
              <w:rPr>
                <w:sz w:val="14"/>
              </w:rPr>
            </w:pPr>
          </w:p>
        </w:tc>
        <w:tc>
          <w:tcPr>
            <w:tcW w:w="1410" w:type="dxa"/>
          </w:tcPr>
          <w:p>
            <w:pPr>
              <w:pStyle w:val="TableParagraph"/>
              <w:spacing w:line="186" w:lineRule="exact"/>
              <w:ind w:left="49" w:right="6"/>
              <w:jc w:val="center"/>
              <w:rPr>
                <w:sz w:val="18"/>
              </w:rPr>
            </w:pPr>
            <w:r>
              <w:rPr>
                <w:spacing w:val="-2"/>
                <w:sz w:val="18"/>
              </w:rPr>
              <w:t>(0.32505)</w:t>
            </w:r>
          </w:p>
        </w:tc>
        <w:tc>
          <w:tcPr>
            <w:tcW w:w="1408" w:type="dxa"/>
          </w:tcPr>
          <w:p>
            <w:pPr>
              <w:pStyle w:val="TableParagraph"/>
              <w:rPr>
                <w:sz w:val="14"/>
              </w:rPr>
            </w:pPr>
          </w:p>
        </w:tc>
      </w:tr>
      <w:tr>
        <w:trPr>
          <w:trHeight w:val="207" w:hRule="atLeast"/>
        </w:trPr>
        <w:tc>
          <w:tcPr>
            <w:tcW w:w="1458" w:type="dxa"/>
          </w:tcPr>
          <w:p>
            <w:pPr>
              <w:pStyle w:val="TableParagraph"/>
              <w:spacing w:line="188" w:lineRule="exact"/>
              <w:ind w:left="49" w:right="80"/>
              <w:jc w:val="center"/>
              <w:rPr>
                <w:sz w:val="18"/>
              </w:rPr>
            </w:pPr>
            <w:r>
              <w:rPr>
                <w:spacing w:val="-2"/>
                <w:sz w:val="18"/>
              </w:rPr>
              <w:t>0.000000</w:t>
            </w:r>
          </w:p>
        </w:tc>
        <w:tc>
          <w:tcPr>
            <w:tcW w:w="1351" w:type="dxa"/>
          </w:tcPr>
          <w:p>
            <w:pPr>
              <w:pStyle w:val="TableParagraph"/>
              <w:spacing w:line="188" w:lineRule="exact"/>
              <w:ind w:left="311"/>
              <w:rPr>
                <w:sz w:val="18"/>
              </w:rPr>
            </w:pPr>
            <w:r>
              <w:rPr>
                <w:spacing w:val="-2"/>
                <w:sz w:val="18"/>
              </w:rPr>
              <w:t>1.000000</w:t>
            </w:r>
          </w:p>
        </w:tc>
        <w:tc>
          <w:tcPr>
            <w:tcW w:w="1393" w:type="dxa"/>
          </w:tcPr>
          <w:p>
            <w:pPr>
              <w:pStyle w:val="TableParagraph"/>
              <w:spacing w:line="188" w:lineRule="exact"/>
              <w:ind w:left="43" w:right="22"/>
              <w:jc w:val="center"/>
              <w:rPr>
                <w:sz w:val="18"/>
              </w:rPr>
            </w:pPr>
            <w:r>
              <w:rPr>
                <w:spacing w:val="-2"/>
                <w:sz w:val="18"/>
              </w:rPr>
              <w:t>0.000000</w:t>
            </w:r>
          </w:p>
        </w:tc>
        <w:tc>
          <w:tcPr>
            <w:tcW w:w="1411" w:type="dxa"/>
          </w:tcPr>
          <w:p>
            <w:pPr>
              <w:pStyle w:val="TableParagraph"/>
              <w:spacing w:line="188" w:lineRule="exact"/>
              <w:ind w:left="49" w:right="10"/>
              <w:jc w:val="center"/>
              <w:rPr>
                <w:sz w:val="18"/>
              </w:rPr>
            </w:pPr>
            <w:r>
              <w:rPr>
                <w:spacing w:val="-2"/>
                <w:sz w:val="18"/>
              </w:rPr>
              <w:t>0.000000</w:t>
            </w:r>
          </w:p>
        </w:tc>
        <w:tc>
          <w:tcPr>
            <w:tcW w:w="1411" w:type="dxa"/>
          </w:tcPr>
          <w:p>
            <w:pPr>
              <w:pStyle w:val="TableParagraph"/>
              <w:spacing w:line="188" w:lineRule="exact"/>
              <w:ind w:left="49" w:right="9"/>
              <w:jc w:val="center"/>
              <w:rPr>
                <w:sz w:val="18"/>
              </w:rPr>
            </w:pPr>
            <w:r>
              <w:rPr>
                <w:spacing w:val="-2"/>
                <w:sz w:val="18"/>
              </w:rPr>
              <w:t>0.000000</w:t>
            </w:r>
          </w:p>
        </w:tc>
        <w:tc>
          <w:tcPr>
            <w:tcW w:w="1410" w:type="dxa"/>
          </w:tcPr>
          <w:p>
            <w:pPr>
              <w:pStyle w:val="TableParagraph"/>
              <w:spacing w:line="188" w:lineRule="exact"/>
              <w:ind w:left="49" w:right="50"/>
              <w:jc w:val="center"/>
              <w:rPr>
                <w:sz w:val="18"/>
              </w:rPr>
            </w:pPr>
            <w:r>
              <w:rPr>
                <w:sz w:val="18"/>
              </w:rPr>
              <w:t>-</w:t>
            </w:r>
            <w:r>
              <w:rPr>
                <w:spacing w:val="-2"/>
                <w:sz w:val="18"/>
              </w:rPr>
              <w:t>0.496108</w:t>
            </w:r>
          </w:p>
        </w:tc>
        <w:tc>
          <w:tcPr>
            <w:tcW w:w="1408" w:type="dxa"/>
          </w:tcPr>
          <w:p>
            <w:pPr>
              <w:pStyle w:val="TableParagraph"/>
              <w:spacing w:line="188" w:lineRule="exact"/>
              <w:ind w:left="46" w:right="46"/>
              <w:jc w:val="center"/>
              <w:rPr>
                <w:sz w:val="18"/>
              </w:rPr>
            </w:pPr>
            <w:r>
              <w:rPr>
                <w:sz w:val="18"/>
              </w:rPr>
              <w:t>-</w:t>
            </w:r>
            <w:r>
              <w:rPr>
                <w:spacing w:val="-2"/>
                <w:sz w:val="18"/>
              </w:rPr>
              <w:t>6.262267</w:t>
            </w:r>
          </w:p>
        </w:tc>
      </w:tr>
      <w:tr>
        <w:trPr>
          <w:trHeight w:val="207" w:hRule="atLeast"/>
        </w:trPr>
        <w:tc>
          <w:tcPr>
            <w:tcW w:w="1458" w:type="dxa"/>
          </w:tcPr>
          <w:p>
            <w:pPr>
              <w:pStyle w:val="TableParagraph"/>
              <w:rPr>
                <w:sz w:val="14"/>
              </w:rPr>
            </w:pPr>
          </w:p>
        </w:tc>
        <w:tc>
          <w:tcPr>
            <w:tcW w:w="1351" w:type="dxa"/>
          </w:tcPr>
          <w:p>
            <w:pPr>
              <w:pStyle w:val="TableParagraph"/>
              <w:rPr>
                <w:sz w:val="14"/>
              </w:rPr>
            </w:pPr>
          </w:p>
        </w:tc>
        <w:tc>
          <w:tcPr>
            <w:tcW w:w="1393" w:type="dxa"/>
          </w:tcPr>
          <w:p>
            <w:pPr>
              <w:pStyle w:val="TableParagraph"/>
              <w:rPr>
                <w:sz w:val="14"/>
              </w:rPr>
            </w:pPr>
          </w:p>
        </w:tc>
        <w:tc>
          <w:tcPr>
            <w:tcW w:w="1411" w:type="dxa"/>
          </w:tcPr>
          <w:p>
            <w:pPr>
              <w:pStyle w:val="TableParagraph"/>
              <w:rPr>
                <w:sz w:val="14"/>
              </w:rPr>
            </w:pPr>
          </w:p>
        </w:tc>
        <w:tc>
          <w:tcPr>
            <w:tcW w:w="1411" w:type="dxa"/>
          </w:tcPr>
          <w:p>
            <w:pPr>
              <w:pStyle w:val="TableParagraph"/>
              <w:rPr>
                <w:sz w:val="14"/>
              </w:rPr>
            </w:pPr>
          </w:p>
        </w:tc>
        <w:tc>
          <w:tcPr>
            <w:tcW w:w="1410" w:type="dxa"/>
          </w:tcPr>
          <w:p>
            <w:pPr>
              <w:pStyle w:val="TableParagraph"/>
              <w:spacing w:line="188" w:lineRule="exact"/>
              <w:ind w:left="49" w:right="6"/>
              <w:jc w:val="center"/>
              <w:rPr>
                <w:sz w:val="18"/>
              </w:rPr>
            </w:pPr>
            <w:r>
              <w:rPr>
                <w:spacing w:val="-2"/>
                <w:sz w:val="18"/>
              </w:rPr>
              <w:t>(0.29968)</w:t>
            </w:r>
          </w:p>
        </w:tc>
        <w:tc>
          <w:tcPr>
            <w:tcW w:w="1408" w:type="dxa"/>
          </w:tcPr>
          <w:p>
            <w:pPr>
              <w:pStyle w:val="TableParagraph"/>
              <w:rPr>
                <w:sz w:val="14"/>
              </w:rPr>
            </w:pPr>
          </w:p>
        </w:tc>
      </w:tr>
      <w:tr>
        <w:trPr>
          <w:trHeight w:val="206" w:hRule="atLeast"/>
        </w:trPr>
        <w:tc>
          <w:tcPr>
            <w:tcW w:w="1458" w:type="dxa"/>
          </w:tcPr>
          <w:p>
            <w:pPr>
              <w:pStyle w:val="TableParagraph"/>
              <w:spacing w:line="186" w:lineRule="exact"/>
              <w:ind w:left="49" w:right="80"/>
              <w:jc w:val="center"/>
              <w:rPr>
                <w:sz w:val="18"/>
              </w:rPr>
            </w:pPr>
            <w:r>
              <w:rPr>
                <w:spacing w:val="-2"/>
                <w:sz w:val="18"/>
              </w:rPr>
              <w:t>0.000000</w:t>
            </w:r>
          </w:p>
        </w:tc>
        <w:tc>
          <w:tcPr>
            <w:tcW w:w="1351" w:type="dxa"/>
          </w:tcPr>
          <w:p>
            <w:pPr>
              <w:pStyle w:val="TableParagraph"/>
              <w:spacing w:line="186" w:lineRule="exact"/>
              <w:ind w:left="311"/>
              <w:rPr>
                <w:sz w:val="18"/>
              </w:rPr>
            </w:pPr>
            <w:r>
              <w:rPr>
                <w:spacing w:val="-2"/>
                <w:sz w:val="18"/>
              </w:rPr>
              <w:t>0.000000</w:t>
            </w:r>
          </w:p>
        </w:tc>
        <w:tc>
          <w:tcPr>
            <w:tcW w:w="1393" w:type="dxa"/>
          </w:tcPr>
          <w:p>
            <w:pPr>
              <w:pStyle w:val="TableParagraph"/>
              <w:spacing w:line="186" w:lineRule="exact"/>
              <w:ind w:left="43" w:right="22"/>
              <w:jc w:val="center"/>
              <w:rPr>
                <w:sz w:val="18"/>
              </w:rPr>
            </w:pPr>
            <w:r>
              <w:rPr>
                <w:spacing w:val="-2"/>
                <w:sz w:val="18"/>
              </w:rPr>
              <w:t>1.000000</w:t>
            </w:r>
          </w:p>
        </w:tc>
        <w:tc>
          <w:tcPr>
            <w:tcW w:w="1411" w:type="dxa"/>
          </w:tcPr>
          <w:p>
            <w:pPr>
              <w:pStyle w:val="TableParagraph"/>
              <w:spacing w:line="186" w:lineRule="exact"/>
              <w:ind w:left="49" w:right="10"/>
              <w:jc w:val="center"/>
              <w:rPr>
                <w:sz w:val="18"/>
              </w:rPr>
            </w:pPr>
            <w:r>
              <w:rPr>
                <w:spacing w:val="-2"/>
                <w:sz w:val="18"/>
              </w:rPr>
              <w:t>0.000000</w:t>
            </w:r>
          </w:p>
        </w:tc>
        <w:tc>
          <w:tcPr>
            <w:tcW w:w="1411" w:type="dxa"/>
          </w:tcPr>
          <w:p>
            <w:pPr>
              <w:pStyle w:val="TableParagraph"/>
              <w:spacing w:line="186" w:lineRule="exact"/>
              <w:ind w:left="49" w:right="9"/>
              <w:jc w:val="center"/>
              <w:rPr>
                <w:sz w:val="18"/>
              </w:rPr>
            </w:pPr>
            <w:r>
              <w:rPr>
                <w:spacing w:val="-2"/>
                <w:sz w:val="18"/>
              </w:rPr>
              <w:t>0.000000</w:t>
            </w:r>
          </w:p>
        </w:tc>
        <w:tc>
          <w:tcPr>
            <w:tcW w:w="1410" w:type="dxa"/>
          </w:tcPr>
          <w:p>
            <w:pPr>
              <w:pStyle w:val="TableParagraph"/>
              <w:spacing w:line="186" w:lineRule="exact"/>
              <w:ind w:left="49" w:right="50"/>
              <w:jc w:val="center"/>
              <w:rPr>
                <w:sz w:val="18"/>
              </w:rPr>
            </w:pPr>
            <w:r>
              <w:rPr>
                <w:sz w:val="18"/>
              </w:rPr>
              <w:t>-</w:t>
            </w:r>
            <w:r>
              <w:rPr>
                <w:spacing w:val="-2"/>
                <w:sz w:val="18"/>
              </w:rPr>
              <w:t>1.134266</w:t>
            </w:r>
          </w:p>
        </w:tc>
        <w:tc>
          <w:tcPr>
            <w:tcW w:w="1408" w:type="dxa"/>
          </w:tcPr>
          <w:p>
            <w:pPr>
              <w:pStyle w:val="TableParagraph"/>
              <w:spacing w:line="186" w:lineRule="exact"/>
              <w:ind w:left="48" w:right="6"/>
              <w:jc w:val="center"/>
              <w:rPr>
                <w:sz w:val="18"/>
              </w:rPr>
            </w:pPr>
            <w:r>
              <w:rPr>
                <w:spacing w:val="-2"/>
                <w:sz w:val="18"/>
              </w:rPr>
              <w:t>1.437172</w:t>
            </w:r>
          </w:p>
        </w:tc>
      </w:tr>
      <w:tr>
        <w:trPr>
          <w:trHeight w:val="206" w:hRule="atLeast"/>
        </w:trPr>
        <w:tc>
          <w:tcPr>
            <w:tcW w:w="1458" w:type="dxa"/>
          </w:tcPr>
          <w:p>
            <w:pPr>
              <w:pStyle w:val="TableParagraph"/>
              <w:rPr>
                <w:sz w:val="14"/>
              </w:rPr>
            </w:pPr>
          </w:p>
        </w:tc>
        <w:tc>
          <w:tcPr>
            <w:tcW w:w="1351" w:type="dxa"/>
          </w:tcPr>
          <w:p>
            <w:pPr>
              <w:pStyle w:val="TableParagraph"/>
              <w:rPr>
                <w:sz w:val="14"/>
              </w:rPr>
            </w:pPr>
          </w:p>
        </w:tc>
        <w:tc>
          <w:tcPr>
            <w:tcW w:w="1393" w:type="dxa"/>
          </w:tcPr>
          <w:p>
            <w:pPr>
              <w:pStyle w:val="TableParagraph"/>
              <w:rPr>
                <w:sz w:val="14"/>
              </w:rPr>
            </w:pPr>
          </w:p>
        </w:tc>
        <w:tc>
          <w:tcPr>
            <w:tcW w:w="1411" w:type="dxa"/>
          </w:tcPr>
          <w:p>
            <w:pPr>
              <w:pStyle w:val="TableParagraph"/>
              <w:rPr>
                <w:sz w:val="14"/>
              </w:rPr>
            </w:pPr>
          </w:p>
        </w:tc>
        <w:tc>
          <w:tcPr>
            <w:tcW w:w="1411" w:type="dxa"/>
          </w:tcPr>
          <w:p>
            <w:pPr>
              <w:pStyle w:val="TableParagraph"/>
              <w:rPr>
                <w:sz w:val="14"/>
              </w:rPr>
            </w:pPr>
          </w:p>
        </w:tc>
        <w:tc>
          <w:tcPr>
            <w:tcW w:w="1410" w:type="dxa"/>
          </w:tcPr>
          <w:p>
            <w:pPr>
              <w:pStyle w:val="TableParagraph"/>
              <w:spacing w:line="186" w:lineRule="exact"/>
              <w:ind w:left="49" w:right="6"/>
              <w:jc w:val="center"/>
              <w:rPr>
                <w:sz w:val="18"/>
              </w:rPr>
            </w:pPr>
            <w:r>
              <w:rPr>
                <w:spacing w:val="-2"/>
                <w:sz w:val="18"/>
              </w:rPr>
              <w:t>(0.45236)</w:t>
            </w:r>
          </w:p>
        </w:tc>
        <w:tc>
          <w:tcPr>
            <w:tcW w:w="1408" w:type="dxa"/>
          </w:tcPr>
          <w:p>
            <w:pPr>
              <w:pStyle w:val="TableParagraph"/>
              <w:rPr>
                <w:sz w:val="14"/>
              </w:rPr>
            </w:pPr>
          </w:p>
        </w:tc>
      </w:tr>
      <w:tr>
        <w:trPr>
          <w:trHeight w:val="207" w:hRule="atLeast"/>
        </w:trPr>
        <w:tc>
          <w:tcPr>
            <w:tcW w:w="1458" w:type="dxa"/>
          </w:tcPr>
          <w:p>
            <w:pPr>
              <w:pStyle w:val="TableParagraph"/>
              <w:spacing w:line="188" w:lineRule="exact"/>
              <w:ind w:left="49" w:right="80"/>
              <w:jc w:val="center"/>
              <w:rPr>
                <w:sz w:val="18"/>
              </w:rPr>
            </w:pPr>
            <w:r>
              <w:rPr>
                <w:spacing w:val="-2"/>
                <w:sz w:val="18"/>
              </w:rPr>
              <w:t>0.000000</w:t>
            </w:r>
          </w:p>
        </w:tc>
        <w:tc>
          <w:tcPr>
            <w:tcW w:w="1351" w:type="dxa"/>
          </w:tcPr>
          <w:p>
            <w:pPr>
              <w:pStyle w:val="TableParagraph"/>
              <w:spacing w:line="188" w:lineRule="exact"/>
              <w:ind w:left="311"/>
              <w:rPr>
                <w:sz w:val="18"/>
              </w:rPr>
            </w:pPr>
            <w:r>
              <w:rPr>
                <w:spacing w:val="-2"/>
                <w:sz w:val="18"/>
              </w:rPr>
              <w:t>0.000000</w:t>
            </w:r>
          </w:p>
        </w:tc>
        <w:tc>
          <w:tcPr>
            <w:tcW w:w="1393" w:type="dxa"/>
          </w:tcPr>
          <w:p>
            <w:pPr>
              <w:pStyle w:val="TableParagraph"/>
              <w:spacing w:line="188" w:lineRule="exact"/>
              <w:ind w:left="43" w:right="22"/>
              <w:jc w:val="center"/>
              <w:rPr>
                <w:sz w:val="18"/>
              </w:rPr>
            </w:pPr>
            <w:r>
              <w:rPr>
                <w:spacing w:val="-2"/>
                <w:sz w:val="18"/>
              </w:rPr>
              <w:t>0.000000</w:t>
            </w:r>
          </w:p>
        </w:tc>
        <w:tc>
          <w:tcPr>
            <w:tcW w:w="1411" w:type="dxa"/>
          </w:tcPr>
          <w:p>
            <w:pPr>
              <w:pStyle w:val="TableParagraph"/>
              <w:spacing w:line="188" w:lineRule="exact"/>
              <w:ind w:left="49" w:right="10"/>
              <w:jc w:val="center"/>
              <w:rPr>
                <w:sz w:val="18"/>
              </w:rPr>
            </w:pPr>
            <w:r>
              <w:rPr>
                <w:spacing w:val="-2"/>
                <w:sz w:val="18"/>
              </w:rPr>
              <w:t>1.000000</w:t>
            </w:r>
          </w:p>
        </w:tc>
        <w:tc>
          <w:tcPr>
            <w:tcW w:w="1411" w:type="dxa"/>
          </w:tcPr>
          <w:p>
            <w:pPr>
              <w:pStyle w:val="TableParagraph"/>
              <w:spacing w:line="188" w:lineRule="exact"/>
              <w:ind w:left="49" w:right="9"/>
              <w:jc w:val="center"/>
              <w:rPr>
                <w:sz w:val="18"/>
              </w:rPr>
            </w:pPr>
            <w:r>
              <w:rPr>
                <w:spacing w:val="-2"/>
                <w:sz w:val="18"/>
              </w:rPr>
              <w:t>0.000000</w:t>
            </w:r>
          </w:p>
        </w:tc>
        <w:tc>
          <w:tcPr>
            <w:tcW w:w="1410" w:type="dxa"/>
          </w:tcPr>
          <w:p>
            <w:pPr>
              <w:pStyle w:val="TableParagraph"/>
              <w:spacing w:line="188" w:lineRule="exact"/>
              <w:ind w:left="49" w:right="50"/>
              <w:jc w:val="center"/>
              <w:rPr>
                <w:sz w:val="18"/>
              </w:rPr>
            </w:pPr>
            <w:r>
              <w:rPr>
                <w:sz w:val="18"/>
              </w:rPr>
              <w:t>-</w:t>
            </w:r>
            <w:r>
              <w:rPr>
                <w:spacing w:val="-2"/>
                <w:sz w:val="18"/>
              </w:rPr>
              <w:t>1.552284</w:t>
            </w:r>
          </w:p>
        </w:tc>
        <w:tc>
          <w:tcPr>
            <w:tcW w:w="1408" w:type="dxa"/>
          </w:tcPr>
          <w:p>
            <w:pPr>
              <w:pStyle w:val="TableParagraph"/>
              <w:spacing w:line="188" w:lineRule="exact"/>
              <w:ind w:left="48" w:right="6"/>
              <w:jc w:val="center"/>
              <w:rPr>
                <w:sz w:val="18"/>
              </w:rPr>
            </w:pPr>
            <w:r>
              <w:rPr>
                <w:spacing w:val="-2"/>
                <w:sz w:val="18"/>
              </w:rPr>
              <w:t>5.619108</w:t>
            </w:r>
          </w:p>
        </w:tc>
      </w:tr>
      <w:tr>
        <w:trPr>
          <w:trHeight w:val="207" w:hRule="atLeast"/>
        </w:trPr>
        <w:tc>
          <w:tcPr>
            <w:tcW w:w="1458" w:type="dxa"/>
          </w:tcPr>
          <w:p>
            <w:pPr>
              <w:pStyle w:val="TableParagraph"/>
              <w:rPr>
                <w:sz w:val="14"/>
              </w:rPr>
            </w:pPr>
          </w:p>
        </w:tc>
        <w:tc>
          <w:tcPr>
            <w:tcW w:w="1351" w:type="dxa"/>
          </w:tcPr>
          <w:p>
            <w:pPr>
              <w:pStyle w:val="TableParagraph"/>
              <w:rPr>
                <w:sz w:val="14"/>
              </w:rPr>
            </w:pPr>
          </w:p>
        </w:tc>
        <w:tc>
          <w:tcPr>
            <w:tcW w:w="1393" w:type="dxa"/>
          </w:tcPr>
          <w:p>
            <w:pPr>
              <w:pStyle w:val="TableParagraph"/>
              <w:rPr>
                <w:sz w:val="14"/>
              </w:rPr>
            </w:pPr>
          </w:p>
        </w:tc>
        <w:tc>
          <w:tcPr>
            <w:tcW w:w="1411" w:type="dxa"/>
          </w:tcPr>
          <w:p>
            <w:pPr>
              <w:pStyle w:val="TableParagraph"/>
              <w:rPr>
                <w:sz w:val="14"/>
              </w:rPr>
            </w:pPr>
          </w:p>
        </w:tc>
        <w:tc>
          <w:tcPr>
            <w:tcW w:w="1411" w:type="dxa"/>
          </w:tcPr>
          <w:p>
            <w:pPr>
              <w:pStyle w:val="TableParagraph"/>
              <w:rPr>
                <w:sz w:val="14"/>
              </w:rPr>
            </w:pPr>
          </w:p>
        </w:tc>
        <w:tc>
          <w:tcPr>
            <w:tcW w:w="1410" w:type="dxa"/>
          </w:tcPr>
          <w:p>
            <w:pPr>
              <w:pStyle w:val="TableParagraph"/>
              <w:spacing w:line="188" w:lineRule="exact"/>
              <w:ind w:left="49" w:right="6"/>
              <w:jc w:val="center"/>
              <w:rPr>
                <w:sz w:val="18"/>
              </w:rPr>
            </w:pPr>
            <w:r>
              <w:rPr>
                <w:spacing w:val="-2"/>
                <w:sz w:val="18"/>
              </w:rPr>
              <w:t>(0.43259)</w:t>
            </w:r>
          </w:p>
        </w:tc>
        <w:tc>
          <w:tcPr>
            <w:tcW w:w="1408" w:type="dxa"/>
          </w:tcPr>
          <w:p>
            <w:pPr>
              <w:pStyle w:val="TableParagraph"/>
              <w:rPr>
                <w:sz w:val="14"/>
              </w:rPr>
            </w:pPr>
          </w:p>
        </w:tc>
      </w:tr>
      <w:tr>
        <w:trPr>
          <w:trHeight w:val="202" w:hRule="atLeast"/>
        </w:trPr>
        <w:tc>
          <w:tcPr>
            <w:tcW w:w="1458" w:type="dxa"/>
          </w:tcPr>
          <w:p>
            <w:pPr>
              <w:pStyle w:val="TableParagraph"/>
              <w:spacing w:line="183" w:lineRule="exact"/>
              <w:ind w:left="49" w:right="80"/>
              <w:jc w:val="center"/>
              <w:rPr>
                <w:sz w:val="18"/>
              </w:rPr>
            </w:pPr>
            <w:r>
              <w:rPr>
                <w:spacing w:val="-2"/>
                <w:sz w:val="18"/>
              </w:rPr>
              <w:t>0.000000</w:t>
            </w:r>
          </w:p>
        </w:tc>
        <w:tc>
          <w:tcPr>
            <w:tcW w:w="1351" w:type="dxa"/>
          </w:tcPr>
          <w:p>
            <w:pPr>
              <w:pStyle w:val="TableParagraph"/>
              <w:spacing w:line="183" w:lineRule="exact"/>
              <w:ind w:left="311"/>
              <w:rPr>
                <w:sz w:val="18"/>
              </w:rPr>
            </w:pPr>
            <w:r>
              <w:rPr>
                <w:spacing w:val="-2"/>
                <w:sz w:val="18"/>
              </w:rPr>
              <w:t>0.000000</w:t>
            </w:r>
          </w:p>
        </w:tc>
        <w:tc>
          <w:tcPr>
            <w:tcW w:w="1393" w:type="dxa"/>
          </w:tcPr>
          <w:p>
            <w:pPr>
              <w:pStyle w:val="TableParagraph"/>
              <w:spacing w:line="183" w:lineRule="exact"/>
              <w:ind w:left="43" w:right="22"/>
              <w:jc w:val="center"/>
              <w:rPr>
                <w:sz w:val="18"/>
              </w:rPr>
            </w:pPr>
            <w:r>
              <w:rPr>
                <w:spacing w:val="-2"/>
                <w:sz w:val="18"/>
              </w:rPr>
              <w:t>0.000000</w:t>
            </w:r>
          </w:p>
        </w:tc>
        <w:tc>
          <w:tcPr>
            <w:tcW w:w="1411" w:type="dxa"/>
          </w:tcPr>
          <w:p>
            <w:pPr>
              <w:pStyle w:val="TableParagraph"/>
              <w:spacing w:line="183" w:lineRule="exact"/>
              <w:ind w:left="49" w:right="10"/>
              <w:jc w:val="center"/>
              <w:rPr>
                <w:sz w:val="18"/>
              </w:rPr>
            </w:pPr>
            <w:r>
              <w:rPr>
                <w:spacing w:val="-2"/>
                <w:sz w:val="18"/>
              </w:rPr>
              <w:t>0.000000</w:t>
            </w:r>
          </w:p>
        </w:tc>
        <w:tc>
          <w:tcPr>
            <w:tcW w:w="1411" w:type="dxa"/>
          </w:tcPr>
          <w:p>
            <w:pPr>
              <w:pStyle w:val="TableParagraph"/>
              <w:spacing w:line="183" w:lineRule="exact"/>
              <w:ind w:left="49" w:right="9"/>
              <w:jc w:val="center"/>
              <w:rPr>
                <w:sz w:val="18"/>
              </w:rPr>
            </w:pPr>
            <w:r>
              <w:rPr>
                <w:spacing w:val="-2"/>
                <w:sz w:val="18"/>
              </w:rPr>
              <w:t>1.000000</w:t>
            </w:r>
          </w:p>
        </w:tc>
        <w:tc>
          <w:tcPr>
            <w:tcW w:w="1410" w:type="dxa"/>
          </w:tcPr>
          <w:p>
            <w:pPr>
              <w:pStyle w:val="TableParagraph"/>
              <w:spacing w:line="183" w:lineRule="exact"/>
              <w:ind w:left="49" w:right="50"/>
              <w:jc w:val="center"/>
              <w:rPr>
                <w:sz w:val="18"/>
              </w:rPr>
            </w:pPr>
            <w:r>
              <w:rPr>
                <w:sz w:val="18"/>
              </w:rPr>
              <w:t>-</w:t>
            </w:r>
            <w:r>
              <w:rPr>
                <w:spacing w:val="-2"/>
                <w:sz w:val="18"/>
              </w:rPr>
              <w:t>0.955675</w:t>
            </w:r>
          </w:p>
        </w:tc>
        <w:tc>
          <w:tcPr>
            <w:tcW w:w="1408" w:type="dxa"/>
          </w:tcPr>
          <w:p>
            <w:pPr>
              <w:pStyle w:val="TableParagraph"/>
              <w:spacing w:line="183" w:lineRule="exact"/>
              <w:ind w:left="46" w:right="46"/>
              <w:jc w:val="center"/>
              <w:rPr>
                <w:sz w:val="18"/>
              </w:rPr>
            </w:pPr>
            <w:r>
              <w:rPr>
                <w:sz w:val="18"/>
              </w:rPr>
              <w:t>-</w:t>
            </w:r>
            <w:r>
              <w:rPr>
                <w:spacing w:val="-2"/>
                <w:sz w:val="18"/>
              </w:rPr>
              <w:t>0.565023</w:t>
            </w:r>
          </w:p>
        </w:tc>
      </w:tr>
    </w:tbl>
    <w:p>
      <w:pPr>
        <w:spacing w:after="0" w:line="183" w:lineRule="exact"/>
        <w:jc w:val="center"/>
        <w:rPr>
          <w:sz w:val="18"/>
        </w:rPr>
        <w:sectPr>
          <w:pgSz w:w="11910" w:h="16840"/>
          <w:pgMar w:header="0" w:footer="982" w:top="1400" w:bottom="1180" w:left="280" w:right="0"/>
        </w:sectPr>
      </w:pPr>
    </w:p>
    <w:p>
      <w:pPr>
        <w:pStyle w:val="BodyText"/>
        <w:spacing w:before="4"/>
        <w:rPr>
          <w:sz w:val="17"/>
        </w:rPr>
      </w:pPr>
    </w:p>
    <w:sectPr>
      <w:pgSz w:w="11910" w:h="16840"/>
      <w:pgMar w:header="0" w:footer="982" w:top="1920" w:bottom="1240" w:left="28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Cambria">
    <w:altName w:val="Cambria"/>
    <w:charset w:val="1"/>
    <w:family w:val="roman"/>
    <w:pitch w:val="variable"/>
  </w:font>
  <w:font w:name="Yu Gothic">
    <w:altName w:val="Yu Gothic"/>
    <w:charset w:val="1"/>
    <w:family w:val="swiss"/>
    <w:pitch w:val="variable"/>
  </w:font>
  <w:font w:name="Symbol">
    <w:altName w:val="Symbol"/>
    <w:charset w:val="2"/>
    <w:family w:val="decorative"/>
    <w:pitch w:val="variable"/>
  </w:font>
  <w:font w:name="Calibri">
    <w:altName w:val="Calibri"/>
    <w:charset w:val="1"/>
    <w:family w:val="roman"/>
    <w:pitch w:val="variable"/>
  </w:font>
  <w:font w:name="Cambria Math">
    <w:altName w:val="Cambria Math"/>
    <w:charset w:val="1"/>
    <w:family w:val="roman"/>
    <w:pitch w:val="variable"/>
  </w:font>
  <w:font w:name="Arial Black">
    <w:altName w:val="Arial Black"/>
    <w:charset w:val="1"/>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4151552">
              <wp:simplePos x="0" y="0"/>
              <wp:positionH relativeFrom="page">
                <wp:posOffset>3766439</wp:posOffset>
              </wp:positionH>
              <wp:positionV relativeFrom="page">
                <wp:posOffset>9888253</wp:posOffset>
              </wp:positionV>
              <wp:extent cx="368935" cy="19431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368935" cy="194310"/>
                      </a:xfrm>
                      <a:prstGeom prst="rect">
                        <a:avLst/>
                      </a:prstGeom>
                    </wps:spPr>
                    <wps:txbx>
                      <w:txbxContent>
                        <w:p>
                          <w:pPr>
                            <w:pStyle w:val="BodyText"/>
                            <w:spacing w:before="10"/>
                            <w:ind w:left="60"/>
                          </w:pPr>
                          <w:r>
                            <w:rPr>
                              <w:spacing w:val="-2"/>
                            </w:rPr>
                            <w:fldChar w:fldCharType="begin"/>
                          </w:r>
                          <w:r>
                            <w:rPr>
                              <w:spacing w:val="-2"/>
                            </w:rPr>
                            <w:instrText> PAGE  \* roman </w:instrText>
                          </w:r>
                          <w:r>
                            <w:rPr>
                              <w:spacing w:val="-2"/>
                            </w:rPr>
                            <w:fldChar w:fldCharType="separate"/>
                          </w:r>
                          <w:r>
                            <w:rPr>
                              <w:spacing w:val="-2"/>
                            </w:rPr>
                            <w:t>xviii</w:t>
                          </w:r>
                          <w:r>
                            <w:rPr>
                              <w:spacing w:val="-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96.570007pt;margin-top:778.60260pt;width:29.05pt;height:15.3pt;mso-position-horizontal-relative:page;mso-position-vertical-relative:page;z-index:-39164928" type="#_x0000_t202" id="docshape1" filled="false" stroked="false">
              <v:textbox inset="0,0,0,0">
                <w:txbxContent>
                  <w:p>
                    <w:pPr>
                      <w:pStyle w:val="BodyText"/>
                      <w:spacing w:before="10"/>
                      <w:ind w:left="60"/>
                    </w:pPr>
                    <w:r>
                      <w:rPr>
                        <w:spacing w:val="-2"/>
                      </w:rPr>
                      <w:fldChar w:fldCharType="begin"/>
                    </w:r>
                    <w:r>
                      <w:rPr>
                        <w:spacing w:val="-2"/>
                      </w:rPr>
                      <w:instrText> PAGE  \* roman </w:instrText>
                    </w:r>
                    <w:r>
                      <w:rPr>
                        <w:spacing w:val="-2"/>
                      </w:rPr>
                      <w:fldChar w:fldCharType="separate"/>
                    </w:r>
                    <w:r>
                      <w:rPr>
                        <w:spacing w:val="-2"/>
                      </w:rPr>
                      <w:t>xviii</w:t>
                    </w:r>
                    <w:r>
                      <w:rPr>
                        <w:spacing w:val="-2"/>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4152064">
              <wp:simplePos x="0" y="0"/>
              <wp:positionH relativeFrom="page">
                <wp:posOffset>3792346</wp:posOffset>
              </wp:positionH>
              <wp:positionV relativeFrom="page">
                <wp:posOffset>9888253</wp:posOffset>
              </wp:positionV>
              <wp:extent cx="317500" cy="194310"/>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158</w:t>
                          </w:r>
                          <w:r>
                            <w:rPr>
                              <w:spacing w:val="-5"/>
                            </w:rPr>
                            <w:fldChar w:fldCharType="end"/>
                          </w:r>
                        </w:p>
                      </w:txbxContent>
                    </wps:txbx>
                    <wps:bodyPr wrap="square" lIns="0" tIns="0" rIns="0" bIns="0" rtlCol="0">
                      <a:noAutofit/>
                    </wps:bodyPr>
                  </wps:wsp>
                </a:graphicData>
              </a:graphic>
            </wp:anchor>
          </w:drawing>
        </mc:Choice>
        <mc:Fallback>
          <w:pict>
            <v:shape style="position:absolute;margin-left:298.609985pt;margin-top:778.60260pt;width:25pt;height:15.3pt;mso-position-horizontal-relative:page;mso-position-vertical-relative:page;z-index:-39164416" type="#_x0000_t202" id="docshape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158</w:t>
                    </w:r>
                    <w:r>
                      <w:rPr>
                        <w:spacing w:val="-5"/>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4152576">
              <wp:simplePos x="0" y="0"/>
              <wp:positionH relativeFrom="page">
                <wp:posOffset>3792346</wp:posOffset>
              </wp:positionH>
              <wp:positionV relativeFrom="page">
                <wp:posOffset>9888253</wp:posOffset>
              </wp:positionV>
              <wp:extent cx="317500" cy="194310"/>
              <wp:effectExtent l="0" t="0" r="0" b="0"/>
              <wp:wrapNone/>
              <wp:docPr id="313" name="Textbox 313"/>
              <wp:cNvGraphicFramePr>
                <a:graphicFrameLocks/>
              </wp:cNvGraphicFramePr>
              <a:graphic>
                <a:graphicData uri="http://schemas.microsoft.com/office/word/2010/wordprocessingShape">
                  <wps:wsp>
                    <wps:cNvPr id="313" name="Textbox 313"/>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236</w:t>
                          </w:r>
                          <w:r>
                            <w:rPr>
                              <w:spacing w:val="-5"/>
                            </w:rPr>
                            <w:fldChar w:fldCharType="end"/>
                          </w:r>
                        </w:p>
                      </w:txbxContent>
                    </wps:txbx>
                    <wps:bodyPr wrap="square" lIns="0" tIns="0" rIns="0" bIns="0" rtlCol="0">
                      <a:noAutofit/>
                    </wps:bodyPr>
                  </wps:wsp>
                </a:graphicData>
              </a:graphic>
            </wp:anchor>
          </w:drawing>
        </mc:Choice>
        <mc:Fallback>
          <w:pict>
            <v:shape style="position:absolute;margin-left:298.609985pt;margin-top:778.60260pt;width:25pt;height:15.3pt;mso-position-horizontal-relative:page;mso-position-vertical-relative:page;z-index:-39163904" type="#_x0000_t202" id="docshape294"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236</w:t>
                    </w:r>
                    <w:r>
                      <w:rPr>
                        <w:spacing w:val="-5"/>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3">
    <w:multiLevelType w:val="hybridMultilevel"/>
    <w:lvl w:ilvl="0">
      <w:start w:val="1"/>
      <w:numFmt w:val="decimal"/>
      <w:lvlText w:val="%1."/>
      <w:lvlJc w:val="left"/>
      <w:pPr>
        <w:ind w:left="1431" w:hanging="72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458" w:hanging="721"/>
      </w:pPr>
      <w:rPr>
        <w:rFonts w:hint="default"/>
        <w:lang w:val="en-US" w:eastAsia="en-US" w:bidi="ar-SA"/>
      </w:rPr>
    </w:lvl>
    <w:lvl w:ilvl="2">
      <w:start w:val="0"/>
      <w:numFmt w:val="bullet"/>
      <w:lvlText w:val="•"/>
      <w:lvlJc w:val="left"/>
      <w:pPr>
        <w:ind w:left="3477" w:hanging="721"/>
      </w:pPr>
      <w:rPr>
        <w:rFonts w:hint="default"/>
        <w:lang w:val="en-US" w:eastAsia="en-US" w:bidi="ar-SA"/>
      </w:rPr>
    </w:lvl>
    <w:lvl w:ilvl="3">
      <w:start w:val="0"/>
      <w:numFmt w:val="bullet"/>
      <w:lvlText w:val="•"/>
      <w:lvlJc w:val="left"/>
      <w:pPr>
        <w:ind w:left="4495" w:hanging="721"/>
      </w:pPr>
      <w:rPr>
        <w:rFonts w:hint="default"/>
        <w:lang w:val="en-US" w:eastAsia="en-US" w:bidi="ar-SA"/>
      </w:rPr>
    </w:lvl>
    <w:lvl w:ilvl="4">
      <w:start w:val="0"/>
      <w:numFmt w:val="bullet"/>
      <w:lvlText w:val="•"/>
      <w:lvlJc w:val="left"/>
      <w:pPr>
        <w:ind w:left="5514" w:hanging="721"/>
      </w:pPr>
      <w:rPr>
        <w:rFonts w:hint="default"/>
        <w:lang w:val="en-US" w:eastAsia="en-US" w:bidi="ar-SA"/>
      </w:rPr>
    </w:lvl>
    <w:lvl w:ilvl="5">
      <w:start w:val="0"/>
      <w:numFmt w:val="bullet"/>
      <w:lvlText w:val="•"/>
      <w:lvlJc w:val="left"/>
      <w:pPr>
        <w:ind w:left="6533" w:hanging="721"/>
      </w:pPr>
      <w:rPr>
        <w:rFonts w:hint="default"/>
        <w:lang w:val="en-US" w:eastAsia="en-US" w:bidi="ar-SA"/>
      </w:rPr>
    </w:lvl>
    <w:lvl w:ilvl="6">
      <w:start w:val="0"/>
      <w:numFmt w:val="bullet"/>
      <w:lvlText w:val="•"/>
      <w:lvlJc w:val="left"/>
      <w:pPr>
        <w:ind w:left="7551" w:hanging="721"/>
      </w:pPr>
      <w:rPr>
        <w:rFonts w:hint="default"/>
        <w:lang w:val="en-US" w:eastAsia="en-US" w:bidi="ar-SA"/>
      </w:rPr>
    </w:lvl>
    <w:lvl w:ilvl="7">
      <w:start w:val="0"/>
      <w:numFmt w:val="bullet"/>
      <w:lvlText w:val="•"/>
      <w:lvlJc w:val="left"/>
      <w:pPr>
        <w:ind w:left="8570" w:hanging="721"/>
      </w:pPr>
      <w:rPr>
        <w:rFonts w:hint="default"/>
        <w:lang w:val="en-US" w:eastAsia="en-US" w:bidi="ar-SA"/>
      </w:rPr>
    </w:lvl>
    <w:lvl w:ilvl="8">
      <w:start w:val="0"/>
      <w:numFmt w:val="bullet"/>
      <w:lvlText w:val="•"/>
      <w:lvlJc w:val="left"/>
      <w:pPr>
        <w:ind w:left="9589" w:hanging="721"/>
      </w:pPr>
      <w:rPr>
        <w:rFonts w:hint="default"/>
        <w:lang w:val="en-US" w:eastAsia="en-US" w:bidi="ar-SA"/>
      </w:rPr>
    </w:lvl>
  </w:abstractNum>
  <w:abstractNum w:abstractNumId="32">
    <w:multiLevelType w:val="hybridMultilevel"/>
    <w:lvl w:ilvl="0">
      <w:start w:val="1"/>
      <w:numFmt w:val="decimal"/>
      <w:lvlText w:val="%1."/>
      <w:lvlJc w:val="left"/>
      <w:pPr>
        <w:ind w:left="711" w:hanging="248"/>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810" w:hanging="248"/>
      </w:pPr>
      <w:rPr>
        <w:rFonts w:hint="default"/>
        <w:lang w:val="en-US" w:eastAsia="en-US" w:bidi="ar-SA"/>
      </w:rPr>
    </w:lvl>
    <w:lvl w:ilvl="2">
      <w:start w:val="0"/>
      <w:numFmt w:val="bullet"/>
      <w:lvlText w:val="•"/>
      <w:lvlJc w:val="left"/>
      <w:pPr>
        <w:ind w:left="2901" w:hanging="248"/>
      </w:pPr>
      <w:rPr>
        <w:rFonts w:hint="default"/>
        <w:lang w:val="en-US" w:eastAsia="en-US" w:bidi="ar-SA"/>
      </w:rPr>
    </w:lvl>
    <w:lvl w:ilvl="3">
      <w:start w:val="0"/>
      <w:numFmt w:val="bullet"/>
      <w:lvlText w:val="•"/>
      <w:lvlJc w:val="left"/>
      <w:pPr>
        <w:ind w:left="3991" w:hanging="248"/>
      </w:pPr>
      <w:rPr>
        <w:rFonts w:hint="default"/>
        <w:lang w:val="en-US" w:eastAsia="en-US" w:bidi="ar-SA"/>
      </w:rPr>
    </w:lvl>
    <w:lvl w:ilvl="4">
      <w:start w:val="0"/>
      <w:numFmt w:val="bullet"/>
      <w:lvlText w:val="•"/>
      <w:lvlJc w:val="left"/>
      <w:pPr>
        <w:ind w:left="5082" w:hanging="248"/>
      </w:pPr>
      <w:rPr>
        <w:rFonts w:hint="default"/>
        <w:lang w:val="en-US" w:eastAsia="en-US" w:bidi="ar-SA"/>
      </w:rPr>
    </w:lvl>
    <w:lvl w:ilvl="5">
      <w:start w:val="0"/>
      <w:numFmt w:val="bullet"/>
      <w:lvlText w:val="•"/>
      <w:lvlJc w:val="left"/>
      <w:pPr>
        <w:ind w:left="6173" w:hanging="248"/>
      </w:pPr>
      <w:rPr>
        <w:rFonts w:hint="default"/>
        <w:lang w:val="en-US" w:eastAsia="en-US" w:bidi="ar-SA"/>
      </w:rPr>
    </w:lvl>
    <w:lvl w:ilvl="6">
      <w:start w:val="0"/>
      <w:numFmt w:val="bullet"/>
      <w:lvlText w:val="•"/>
      <w:lvlJc w:val="left"/>
      <w:pPr>
        <w:ind w:left="7263" w:hanging="248"/>
      </w:pPr>
      <w:rPr>
        <w:rFonts w:hint="default"/>
        <w:lang w:val="en-US" w:eastAsia="en-US" w:bidi="ar-SA"/>
      </w:rPr>
    </w:lvl>
    <w:lvl w:ilvl="7">
      <w:start w:val="0"/>
      <w:numFmt w:val="bullet"/>
      <w:lvlText w:val="•"/>
      <w:lvlJc w:val="left"/>
      <w:pPr>
        <w:ind w:left="8354" w:hanging="248"/>
      </w:pPr>
      <w:rPr>
        <w:rFonts w:hint="default"/>
        <w:lang w:val="en-US" w:eastAsia="en-US" w:bidi="ar-SA"/>
      </w:rPr>
    </w:lvl>
    <w:lvl w:ilvl="8">
      <w:start w:val="0"/>
      <w:numFmt w:val="bullet"/>
      <w:lvlText w:val="•"/>
      <w:lvlJc w:val="left"/>
      <w:pPr>
        <w:ind w:left="9445" w:hanging="248"/>
      </w:pPr>
      <w:rPr>
        <w:rFonts w:hint="default"/>
        <w:lang w:val="en-US" w:eastAsia="en-US" w:bidi="ar-SA"/>
      </w:rPr>
    </w:lvl>
  </w:abstractNum>
  <w:abstractNum w:abstractNumId="31">
    <w:multiLevelType w:val="hybridMultilevel"/>
    <w:lvl w:ilvl="0">
      <w:start w:val="1"/>
      <w:numFmt w:val="decimal"/>
      <w:lvlText w:val="%1."/>
      <w:lvlJc w:val="left"/>
      <w:pPr>
        <w:ind w:left="711" w:hanging="262"/>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810" w:hanging="262"/>
      </w:pPr>
      <w:rPr>
        <w:rFonts w:hint="default"/>
        <w:lang w:val="en-US" w:eastAsia="en-US" w:bidi="ar-SA"/>
      </w:rPr>
    </w:lvl>
    <w:lvl w:ilvl="2">
      <w:start w:val="0"/>
      <w:numFmt w:val="bullet"/>
      <w:lvlText w:val="•"/>
      <w:lvlJc w:val="left"/>
      <w:pPr>
        <w:ind w:left="2901" w:hanging="262"/>
      </w:pPr>
      <w:rPr>
        <w:rFonts w:hint="default"/>
        <w:lang w:val="en-US" w:eastAsia="en-US" w:bidi="ar-SA"/>
      </w:rPr>
    </w:lvl>
    <w:lvl w:ilvl="3">
      <w:start w:val="0"/>
      <w:numFmt w:val="bullet"/>
      <w:lvlText w:val="•"/>
      <w:lvlJc w:val="left"/>
      <w:pPr>
        <w:ind w:left="3991" w:hanging="262"/>
      </w:pPr>
      <w:rPr>
        <w:rFonts w:hint="default"/>
        <w:lang w:val="en-US" w:eastAsia="en-US" w:bidi="ar-SA"/>
      </w:rPr>
    </w:lvl>
    <w:lvl w:ilvl="4">
      <w:start w:val="0"/>
      <w:numFmt w:val="bullet"/>
      <w:lvlText w:val="•"/>
      <w:lvlJc w:val="left"/>
      <w:pPr>
        <w:ind w:left="5082" w:hanging="262"/>
      </w:pPr>
      <w:rPr>
        <w:rFonts w:hint="default"/>
        <w:lang w:val="en-US" w:eastAsia="en-US" w:bidi="ar-SA"/>
      </w:rPr>
    </w:lvl>
    <w:lvl w:ilvl="5">
      <w:start w:val="0"/>
      <w:numFmt w:val="bullet"/>
      <w:lvlText w:val="•"/>
      <w:lvlJc w:val="left"/>
      <w:pPr>
        <w:ind w:left="6173" w:hanging="262"/>
      </w:pPr>
      <w:rPr>
        <w:rFonts w:hint="default"/>
        <w:lang w:val="en-US" w:eastAsia="en-US" w:bidi="ar-SA"/>
      </w:rPr>
    </w:lvl>
    <w:lvl w:ilvl="6">
      <w:start w:val="0"/>
      <w:numFmt w:val="bullet"/>
      <w:lvlText w:val="•"/>
      <w:lvlJc w:val="left"/>
      <w:pPr>
        <w:ind w:left="7263" w:hanging="262"/>
      </w:pPr>
      <w:rPr>
        <w:rFonts w:hint="default"/>
        <w:lang w:val="en-US" w:eastAsia="en-US" w:bidi="ar-SA"/>
      </w:rPr>
    </w:lvl>
    <w:lvl w:ilvl="7">
      <w:start w:val="0"/>
      <w:numFmt w:val="bullet"/>
      <w:lvlText w:val="•"/>
      <w:lvlJc w:val="left"/>
      <w:pPr>
        <w:ind w:left="8354" w:hanging="262"/>
      </w:pPr>
      <w:rPr>
        <w:rFonts w:hint="default"/>
        <w:lang w:val="en-US" w:eastAsia="en-US" w:bidi="ar-SA"/>
      </w:rPr>
    </w:lvl>
    <w:lvl w:ilvl="8">
      <w:start w:val="0"/>
      <w:numFmt w:val="bullet"/>
      <w:lvlText w:val="•"/>
      <w:lvlJc w:val="left"/>
      <w:pPr>
        <w:ind w:left="9445" w:hanging="262"/>
      </w:pPr>
      <w:rPr>
        <w:rFonts w:hint="default"/>
        <w:lang w:val="en-US" w:eastAsia="en-US" w:bidi="ar-SA"/>
      </w:rPr>
    </w:lvl>
  </w:abstractNum>
  <w:abstractNum w:abstractNumId="30">
    <w:multiLevelType w:val="hybridMultilevel"/>
    <w:lvl w:ilvl="0">
      <w:start w:val="6"/>
      <w:numFmt w:val="decimal"/>
      <w:lvlText w:val="%1"/>
      <w:lvlJc w:val="left"/>
      <w:pPr>
        <w:ind w:left="1431" w:hanging="721"/>
        <w:jc w:val="left"/>
      </w:pPr>
      <w:rPr>
        <w:rFonts w:hint="default"/>
        <w:lang w:val="en-US" w:eastAsia="en-US" w:bidi="ar-SA"/>
      </w:rPr>
    </w:lvl>
    <w:lvl w:ilvl="1">
      <w:start w:val="1"/>
      <w:numFmt w:val="decimal"/>
      <w:lvlText w:val="%1.%2"/>
      <w:lvlJc w:val="left"/>
      <w:pPr>
        <w:ind w:left="1431" w:hanging="721"/>
        <w:jc w:val="left"/>
      </w:pPr>
      <w:rPr>
        <w:rFonts w:hint="default"/>
        <w:spacing w:val="0"/>
        <w:w w:val="100"/>
        <w:lang w:val="en-US" w:eastAsia="en-US" w:bidi="ar-SA"/>
      </w:rPr>
    </w:lvl>
    <w:lvl w:ilvl="2">
      <w:start w:val="0"/>
      <w:numFmt w:val="bullet"/>
      <w:lvlText w:val="•"/>
      <w:lvlJc w:val="left"/>
      <w:pPr>
        <w:ind w:left="3477" w:hanging="721"/>
      </w:pPr>
      <w:rPr>
        <w:rFonts w:hint="default"/>
        <w:lang w:val="en-US" w:eastAsia="en-US" w:bidi="ar-SA"/>
      </w:rPr>
    </w:lvl>
    <w:lvl w:ilvl="3">
      <w:start w:val="0"/>
      <w:numFmt w:val="bullet"/>
      <w:lvlText w:val="•"/>
      <w:lvlJc w:val="left"/>
      <w:pPr>
        <w:ind w:left="4495" w:hanging="721"/>
      </w:pPr>
      <w:rPr>
        <w:rFonts w:hint="default"/>
        <w:lang w:val="en-US" w:eastAsia="en-US" w:bidi="ar-SA"/>
      </w:rPr>
    </w:lvl>
    <w:lvl w:ilvl="4">
      <w:start w:val="0"/>
      <w:numFmt w:val="bullet"/>
      <w:lvlText w:val="•"/>
      <w:lvlJc w:val="left"/>
      <w:pPr>
        <w:ind w:left="5514" w:hanging="721"/>
      </w:pPr>
      <w:rPr>
        <w:rFonts w:hint="default"/>
        <w:lang w:val="en-US" w:eastAsia="en-US" w:bidi="ar-SA"/>
      </w:rPr>
    </w:lvl>
    <w:lvl w:ilvl="5">
      <w:start w:val="0"/>
      <w:numFmt w:val="bullet"/>
      <w:lvlText w:val="•"/>
      <w:lvlJc w:val="left"/>
      <w:pPr>
        <w:ind w:left="6533" w:hanging="721"/>
      </w:pPr>
      <w:rPr>
        <w:rFonts w:hint="default"/>
        <w:lang w:val="en-US" w:eastAsia="en-US" w:bidi="ar-SA"/>
      </w:rPr>
    </w:lvl>
    <w:lvl w:ilvl="6">
      <w:start w:val="0"/>
      <w:numFmt w:val="bullet"/>
      <w:lvlText w:val="•"/>
      <w:lvlJc w:val="left"/>
      <w:pPr>
        <w:ind w:left="7551" w:hanging="721"/>
      </w:pPr>
      <w:rPr>
        <w:rFonts w:hint="default"/>
        <w:lang w:val="en-US" w:eastAsia="en-US" w:bidi="ar-SA"/>
      </w:rPr>
    </w:lvl>
    <w:lvl w:ilvl="7">
      <w:start w:val="0"/>
      <w:numFmt w:val="bullet"/>
      <w:lvlText w:val="•"/>
      <w:lvlJc w:val="left"/>
      <w:pPr>
        <w:ind w:left="8570" w:hanging="721"/>
      </w:pPr>
      <w:rPr>
        <w:rFonts w:hint="default"/>
        <w:lang w:val="en-US" w:eastAsia="en-US" w:bidi="ar-SA"/>
      </w:rPr>
    </w:lvl>
    <w:lvl w:ilvl="8">
      <w:start w:val="0"/>
      <w:numFmt w:val="bullet"/>
      <w:lvlText w:val="•"/>
      <w:lvlJc w:val="left"/>
      <w:pPr>
        <w:ind w:left="9589" w:hanging="721"/>
      </w:pPr>
      <w:rPr>
        <w:rFonts w:hint="default"/>
        <w:lang w:val="en-US" w:eastAsia="en-US" w:bidi="ar-SA"/>
      </w:rPr>
    </w:lvl>
  </w:abstractNum>
  <w:abstractNum w:abstractNumId="29">
    <w:multiLevelType w:val="hybridMultilevel"/>
    <w:lvl w:ilvl="0">
      <w:start w:val="5"/>
      <w:numFmt w:val="decimal"/>
      <w:lvlText w:val="%1"/>
      <w:lvlJc w:val="left"/>
      <w:pPr>
        <w:ind w:left="1791" w:hanging="780"/>
        <w:jc w:val="left"/>
      </w:pPr>
      <w:rPr>
        <w:rFonts w:hint="default"/>
        <w:lang w:val="en-US" w:eastAsia="en-US" w:bidi="ar-SA"/>
      </w:rPr>
    </w:lvl>
    <w:lvl w:ilvl="1">
      <w:start w:val="1"/>
      <w:numFmt w:val="decimal"/>
      <w:lvlText w:val="%1.%2"/>
      <w:lvlJc w:val="left"/>
      <w:pPr>
        <w:ind w:left="1791" w:hanging="780"/>
        <w:jc w:val="righ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3765" w:hanging="780"/>
      </w:pPr>
      <w:rPr>
        <w:rFonts w:hint="default"/>
        <w:lang w:val="en-US" w:eastAsia="en-US" w:bidi="ar-SA"/>
      </w:rPr>
    </w:lvl>
    <w:lvl w:ilvl="3">
      <w:start w:val="0"/>
      <w:numFmt w:val="bullet"/>
      <w:lvlText w:val="•"/>
      <w:lvlJc w:val="left"/>
      <w:pPr>
        <w:ind w:left="4747" w:hanging="780"/>
      </w:pPr>
      <w:rPr>
        <w:rFonts w:hint="default"/>
        <w:lang w:val="en-US" w:eastAsia="en-US" w:bidi="ar-SA"/>
      </w:rPr>
    </w:lvl>
    <w:lvl w:ilvl="4">
      <w:start w:val="0"/>
      <w:numFmt w:val="bullet"/>
      <w:lvlText w:val="•"/>
      <w:lvlJc w:val="left"/>
      <w:pPr>
        <w:ind w:left="5730" w:hanging="780"/>
      </w:pPr>
      <w:rPr>
        <w:rFonts w:hint="default"/>
        <w:lang w:val="en-US" w:eastAsia="en-US" w:bidi="ar-SA"/>
      </w:rPr>
    </w:lvl>
    <w:lvl w:ilvl="5">
      <w:start w:val="0"/>
      <w:numFmt w:val="bullet"/>
      <w:lvlText w:val="•"/>
      <w:lvlJc w:val="left"/>
      <w:pPr>
        <w:ind w:left="6713" w:hanging="780"/>
      </w:pPr>
      <w:rPr>
        <w:rFonts w:hint="default"/>
        <w:lang w:val="en-US" w:eastAsia="en-US" w:bidi="ar-SA"/>
      </w:rPr>
    </w:lvl>
    <w:lvl w:ilvl="6">
      <w:start w:val="0"/>
      <w:numFmt w:val="bullet"/>
      <w:lvlText w:val="•"/>
      <w:lvlJc w:val="left"/>
      <w:pPr>
        <w:ind w:left="7695" w:hanging="780"/>
      </w:pPr>
      <w:rPr>
        <w:rFonts w:hint="default"/>
        <w:lang w:val="en-US" w:eastAsia="en-US" w:bidi="ar-SA"/>
      </w:rPr>
    </w:lvl>
    <w:lvl w:ilvl="7">
      <w:start w:val="0"/>
      <w:numFmt w:val="bullet"/>
      <w:lvlText w:val="•"/>
      <w:lvlJc w:val="left"/>
      <w:pPr>
        <w:ind w:left="8678" w:hanging="780"/>
      </w:pPr>
      <w:rPr>
        <w:rFonts w:hint="default"/>
        <w:lang w:val="en-US" w:eastAsia="en-US" w:bidi="ar-SA"/>
      </w:rPr>
    </w:lvl>
    <w:lvl w:ilvl="8">
      <w:start w:val="0"/>
      <w:numFmt w:val="bullet"/>
      <w:lvlText w:val="•"/>
      <w:lvlJc w:val="left"/>
      <w:pPr>
        <w:ind w:left="9661" w:hanging="780"/>
      </w:pPr>
      <w:rPr>
        <w:rFonts w:hint="default"/>
        <w:lang w:val="en-US" w:eastAsia="en-US" w:bidi="ar-SA"/>
      </w:rPr>
    </w:lvl>
  </w:abstractNum>
  <w:abstractNum w:abstractNumId="28">
    <w:multiLevelType w:val="hybridMultilevel"/>
    <w:lvl w:ilvl="0">
      <w:start w:val="4"/>
      <w:numFmt w:val="decimal"/>
      <w:lvlText w:val="%1"/>
      <w:lvlJc w:val="left"/>
      <w:pPr>
        <w:ind w:left="1299" w:hanging="589"/>
        <w:jc w:val="left"/>
      </w:pPr>
      <w:rPr>
        <w:rFonts w:hint="default"/>
        <w:lang w:val="en-US" w:eastAsia="en-US" w:bidi="ar-SA"/>
      </w:rPr>
    </w:lvl>
    <w:lvl w:ilvl="1">
      <w:start w:val="9"/>
      <w:numFmt w:val="decimal"/>
      <w:lvlText w:val="%1.%2"/>
      <w:lvlJc w:val="left"/>
      <w:pPr>
        <w:ind w:left="1299" w:hanging="589"/>
        <w:jc w:val="left"/>
      </w:pPr>
      <w:rPr>
        <w:rFonts w:hint="default"/>
        <w:lang w:val="en-US" w:eastAsia="en-US" w:bidi="ar-SA"/>
      </w:rPr>
    </w:lvl>
    <w:lvl w:ilvl="2">
      <w:start w:val="1"/>
      <w:numFmt w:val="decimal"/>
      <w:lvlText w:val="%1.%2.%3"/>
      <w:lvlJc w:val="left"/>
      <w:pPr>
        <w:ind w:left="1299" w:hanging="589"/>
        <w:jc w:val="left"/>
      </w:pPr>
      <w:rPr>
        <w:rFonts w:hint="default"/>
        <w:spacing w:val="-1"/>
        <w:w w:val="100"/>
        <w:lang w:val="en-US" w:eastAsia="en-US" w:bidi="ar-SA"/>
      </w:rPr>
    </w:lvl>
    <w:lvl w:ilvl="3">
      <w:start w:val="0"/>
      <w:numFmt w:val="bullet"/>
      <w:lvlText w:val="•"/>
      <w:lvlJc w:val="left"/>
      <w:pPr>
        <w:ind w:left="4397" w:hanging="589"/>
      </w:pPr>
      <w:rPr>
        <w:rFonts w:hint="default"/>
        <w:lang w:val="en-US" w:eastAsia="en-US" w:bidi="ar-SA"/>
      </w:rPr>
    </w:lvl>
    <w:lvl w:ilvl="4">
      <w:start w:val="0"/>
      <w:numFmt w:val="bullet"/>
      <w:lvlText w:val="•"/>
      <w:lvlJc w:val="left"/>
      <w:pPr>
        <w:ind w:left="5430" w:hanging="589"/>
      </w:pPr>
      <w:rPr>
        <w:rFonts w:hint="default"/>
        <w:lang w:val="en-US" w:eastAsia="en-US" w:bidi="ar-SA"/>
      </w:rPr>
    </w:lvl>
    <w:lvl w:ilvl="5">
      <w:start w:val="0"/>
      <w:numFmt w:val="bullet"/>
      <w:lvlText w:val="•"/>
      <w:lvlJc w:val="left"/>
      <w:pPr>
        <w:ind w:left="6463" w:hanging="589"/>
      </w:pPr>
      <w:rPr>
        <w:rFonts w:hint="default"/>
        <w:lang w:val="en-US" w:eastAsia="en-US" w:bidi="ar-SA"/>
      </w:rPr>
    </w:lvl>
    <w:lvl w:ilvl="6">
      <w:start w:val="0"/>
      <w:numFmt w:val="bullet"/>
      <w:lvlText w:val="•"/>
      <w:lvlJc w:val="left"/>
      <w:pPr>
        <w:ind w:left="7495" w:hanging="589"/>
      </w:pPr>
      <w:rPr>
        <w:rFonts w:hint="default"/>
        <w:lang w:val="en-US" w:eastAsia="en-US" w:bidi="ar-SA"/>
      </w:rPr>
    </w:lvl>
    <w:lvl w:ilvl="7">
      <w:start w:val="0"/>
      <w:numFmt w:val="bullet"/>
      <w:lvlText w:val="•"/>
      <w:lvlJc w:val="left"/>
      <w:pPr>
        <w:ind w:left="8528" w:hanging="589"/>
      </w:pPr>
      <w:rPr>
        <w:rFonts w:hint="default"/>
        <w:lang w:val="en-US" w:eastAsia="en-US" w:bidi="ar-SA"/>
      </w:rPr>
    </w:lvl>
    <w:lvl w:ilvl="8">
      <w:start w:val="0"/>
      <w:numFmt w:val="bullet"/>
      <w:lvlText w:val="•"/>
      <w:lvlJc w:val="left"/>
      <w:pPr>
        <w:ind w:left="9561" w:hanging="589"/>
      </w:pPr>
      <w:rPr>
        <w:rFonts w:hint="default"/>
        <w:lang w:val="en-US" w:eastAsia="en-US" w:bidi="ar-SA"/>
      </w:rPr>
    </w:lvl>
  </w:abstractNum>
  <w:abstractNum w:abstractNumId="27">
    <w:multiLevelType w:val="hybridMultilevel"/>
    <w:lvl w:ilvl="0">
      <w:start w:val="4"/>
      <w:numFmt w:val="decimal"/>
      <w:lvlText w:val="%1"/>
      <w:lvlJc w:val="left"/>
      <w:pPr>
        <w:ind w:left="1431" w:hanging="721"/>
        <w:jc w:val="left"/>
      </w:pPr>
      <w:rPr>
        <w:rFonts w:hint="default"/>
        <w:lang w:val="en-US" w:eastAsia="en-US" w:bidi="ar-SA"/>
      </w:rPr>
    </w:lvl>
    <w:lvl w:ilvl="1">
      <w:start w:val="8"/>
      <w:numFmt w:val="decimal"/>
      <w:lvlText w:val="%1.%2"/>
      <w:lvlJc w:val="left"/>
      <w:pPr>
        <w:ind w:left="1431" w:hanging="721"/>
        <w:jc w:val="left"/>
      </w:pPr>
      <w:rPr>
        <w:rFonts w:hint="default"/>
        <w:lang w:val="en-US" w:eastAsia="en-US" w:bidi="ar-SA"/>
      </w:rPr>
    </w:lvl>
    <w:lvl w:ilvl="2">
      <w:start w:val="2"/>
      <w:numFmt w:val="decimal"/>
      <w:lvlText w:val="%1.%2.%3"/>
      <w:lvlJc w:val="left"/>
      <w:pPr>
        <w:ind w:left="1431" w:hanging="721"/>
        <w:jc w:val="right"/>
      </w:pPr>
      <w:rPr>
        <w:rFonts w:hint="default"/>
        <w:spacing w:val="0"/>
        <w:w w:val="95"/>
        <w:lang w:val="en-US" w:eastAsia="en-US" w:bidi="ar-SA"/>
      </w:rPr>
    </w:lvl>
    <w:lvl w:ilvl="3">
      <w:start w:val="0"/>
      <w:numFmt w:val="bullet"/>
      <w:lvlText w:val="•"/>
      <w:lvlJc w:val="left"/>
      <w:pPr>
        <w:ind w:left="4495" w:hanging="721"/>
      </w:pPr>
      <w:rPr>
        <w:rFonts w:hint="default"/>
        <w:lang w:val="en-US" w:eastAsia="en-US" w:bidi="ar-SA"/>
      </w:rPr>
    </w:lvl>
    <w:lvl w:ilvl="4">
      <w:start w:val="0"/>
      <w:numFmt w:val="bullet"/>
      <w:lvlText w:val="•"/>
      <w:lvlJc w:val="left"/>
      <w:pPr>
        <w:ind w:left="5514" w:hanging="721"/>
      </w:pPr>
      <w:rPr>
        <w:rFonts w:hint="default"/>
        <w:lang w:val="en-US" w:eastAsia="en-US" w:bidi="ar-SA"/>
      </w:rPr>
    </w:lvl>
    <w:lvl w:ilvl="5">
      <w:start w:val="0"/>
      <w:numFmt w:val="bullet"/>
      <w:lvlText w:val="•"/>
      <w:lvlJc w:val="left"/>
      <w:pPr>
        <w:ind w:left="6533" w:hanging="721"/>
      </w:pPr>
      <w:rPr>
        <w:rFonts w:hint="default"/>
        <w:lang w:val="en-US" w:eastAsia="en-US" w:bidi="ar-SA"/>
      </w:rPr>
    </w:lvl>
    <w:lvl w:ilvl="6">
      <w:start w:val="0"/>
      <w:numFmt w:val="bullet"/>
      <w:lvlText w:val="•"/>
      <w:lvlJc w:val="left"/>
      <w:pPr>
        <w:ind w:left="7551" w:hanging="721"/>
      </w:pPr>
      <w:rPr>
        <w:rFonts w:hint="default"/>
        <w:lang w:val="en-US" w:eastAsia="en-US" w:bidi="ar-SA"/>
      </w:rPr>
    </w:lvl>
    <w:lvl w:ilvl="7">
      <w:start w:val="0"/>
      <w:numFmt w:val="bullet"/>
      <w:lvlText w:val="•"/>
      <w:lvlJc w:val="left"/>
      <w:pPr>
        <w:ind w:left="8570" w:hanging="721"/>
      </w:pPr>
      <w:rPr>
        <w:rFonts w:hint="default"/>
        <w:lang w:val="en-US" w:eastAsia="en-US" w:bidi="ar-SA"/>
      </w:rPr>
    </w:lvl>
    <w:lvl w:ilvl="8">
      <w:start w:val="0"/>
      <w:numFmt w:val="bullet"/>
      <w:lvlText w:val="•"/>
      <w:lvlJc w:val="left"/>
      <w:pPr>
        <w:ind w:left="9589" w:hanging="721"/>
      </w:pPr>
      <w:rPr>
        <w:rFonts w:hint="default"/>
        <w:lang w:val="en-US" w:eastAsia="en-US" w:bidi="ar-SA"/>
      </w:rPr>
    </w:lvl>
  </w:abstractNum>
  <w:abstractNum w:abstractNumId="26">
    <w:multiLevelType w:val="hybridMultilevel"/>
    <w:lvl w:ilvl="0">
      <w:start w:val="4"/>
      <w:numFmt w:val="decimal"/>
      <w:lvlText w:val="%1"/>
      <w:lvlJc w:val="left"/>
      <w:pPr>
        <w:ind w:left="1251" w:hanging="541"/>
        <w:jc w:val="left"/>
      </w:pPr>
      <w:rPr>
        <w:rFonts w:hint="default"/>
        <w:lang w:val="en-US" w:eastAsia="en-US" w:bidi="ar-SA"/>
      </w:rPr>
    </w:lvl>
    <w:lvl w:ilvl="1">
      <w:start w:val="7"/>
      <w:numFmt w:val="decimal"/>
      <w:lvlText w:val="%1.%2"/>
      <w:lvlJc w:val="left"/>
      <w:pPr>
        <w:ind w:left="1251" w:hanging="541"/>
        <w:jc w:val="left"/>
      </w:pPr>
      <w:rPr>
        <w:rFonts w:hint="default"/>
        <w:lang w:val="en-US" w:eastAsia="en-US" w:bidi="ar-SA"/>
      </w:rPr>
    </w:lvl>
    <w:lvl w:ilvl="2">
      <w:start w:val="1"/>
      <w:numFmt w:val="decimal"/>
      <w:lvlText w:val="%1.%2.%3"/>
      <w:lvlJc w:val="left"/>
      <w:pPr>
        <w:ind w:left="1251" w:hanging="541"/>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4369" w:hanging="541"/>
      </w:pPr>
      <w:rPr>
        <w:rFonts w:hint="default"/>
        <w:lang w:val="en-US" w:eastAsia="en-US" w:bidi="ar-SA"/>
      </w:rPr>
    </w:lvl>
    <w:lvl w:ilvl="4">
      <w:start w:val="0"/>
      <w:numFmt w:val="bullet"/>
      <w:lvlText w:val="•"/>
      <w:lvlJc w:val="left"/>
      <w:pPr>
        <w:ind w:left="5406" w:hanging="541"/>
      </w:pPr>
      <w:rPr>
        <w:rFonts w:hint="default"/>
        <w:lang w:val="en-US" w:eastAsia="en-US" w:bidi="ar-SA"/>
      </w:rPr>
    </w:lvl>
    <w:lvl w:ilvl="5">
      <w:start w:val="0"/>
      <w:numFmt w:val="bullet"/>
      <w:lvlText w:val="•"/>
      <w:lvlJc w:val="left"/>
      <w:pPr>
        <w:ind w:left="6443" w:hanging="541"/>
      </w:pPr>
      <w:rPr>
        <w:rFonts w:hint="default"/>
        <w:lang w:val="en-US" w:eastAsia="en-US" w:bidi="ar-SA"/>
      </w:rPr>
    </w:lvl>
    <w:lvl w:ilvl="6">
      <w:start w:val="0"/>
      <w:numFmt w:val="bullet"/>
      <w:lvlText w:val="•"/>
      <w:lvlJc w:val="left"/>
      <w:pPr>
        <w:ind w:left="7479" w:hanging="541"/>
      </w:pPr>
      <w:rPr>
        <w:rFonts w:hint="default"/>
        <w:lang w:val="en-US" w:eastAsia="en-US" w:bidi="ar-SA"/>
      </w:rPr>
    </w:lvl>
    <w:lvl w:ilvl="7">
      <w:start w:val="0"/>
      <w:numFmt w:val="bullet"/>
      <w:lvlText w:val="•"/>
      <w:lvlJc w:val="left"/>
      <w:pPr>
        <w:ind w:left="8516" w:hanging="541"/>
      </w:pPr>
      <w:rPr>
        <w:rFonts w:hint="default"/>
        <w:lang w:val="en-US" w:eastAsia="en-US" w:bidi="ar-SA"/>
      </w:rPr>
    </w:lvl>
    <w:lvl w:ilvl="8">
      <w:start w:val="0"/>
      <w:numFmt w:val="bullet"/>
      <w:lvlText w:val="•"/>
      <w:lvlJc w:val="left"/>
      <w:pPr>
        <w:ind w:left="9553" w:hanging="541"/>
      </w:pPr>
      <w:rPr>
        <w:rFonts w:hint="default"/>
        <w:lang w:val="en-US" w:eastAsia="en-US" w:bidi="ar-SA"/>
      </w:rPr>
    </w:lvl>
  </w:abstractNum>
  <w:abstractNum w:abstractNumId="25">
    <w:multiLevelType w:val="hybridMultilevel"/>
    <w:lvl w:ilvl="0">
      <w:start w:val="4"/>
      <w:numFmt w:val="decimal"/>
      <w:lvlText w:val="%1"/>
      <w:lvlJc w:val="left"/>
      <w:pPr>
        <w:ind w:left="1299" w:hanging="589"/>
        <w:jc w:val="left"/>
      </w:pPr>
      <w:rPr>
        <w:rFonts w:hint="default"/>
        <w:lang w:val="en-US" w:eastAsia="en-US" w:bidi="ar-SA"/>
      </w:rPr>
    </w:lvl>
    <w:lvl w:ilvl="1">
      <w:start w:val="6"/>
      <w:numFmt w:val="decimal"/>
      <w:lvlText w:val="%1.%2"/>
      <w:lvlJc w:val="left"/>
      <w:pPr>
        <w:ind w:left="1299" w:hanging="589"/>
        <w:jc w:val="left"/>
      </w:pPr>
      <w:rPr>
        <w:rFonts w:hint="default"/>
        <w:lang w:val="en-US" w:eastAsia="en-US" w:bidi="ar-SA"/>
      </w:rPr>
    </w:lvl>
    <w:lvl w:ilvl="2">
      <w:start w:val="4"/>
      <w:numFmt w:val="decimal"/>
      <w:lvlText w:val="%1.%2.%3"/>
      <w:lvlJc w:val="left"/>
      <w:pPr>
        <w:ind w:left="1299" w:hanging="589"/>
        <w:jc w:val="left"/>
      </w:pPr>
      <w:rPr>
        <w:rFonts w:hint="default" w:ascii="Cambria" w:hAnsi="Cambria" w:eastAsia="Cambria" w:cs="Cambria"/>
        <w:b/>
        <w:bCs/>
        <w:i w:val="0"/>
        <w:iCs w:val="0"/>
        <w:spacing w:val="-1"/>
        <w:w w:val="100"/>
        <w:sz w:val="24"/>
        <w:szCs w:val="24"/>
        <w:lang w:val="en-US" w:eastAsia="en-US" w:bidi="ar-SA"/>
      </w:rPr>
    </w:lvl>
    <w:lvl w:ilvl="3">
      <w:start w:val="0"/>
      <w:numFmt w:val="bullet"/>
      <w:lvlText w:val="•"/>
      <w:lvlJc w:val="left"/>
      <w:pPr>
        <w:ind w:left="4397" w:hanging="589"/>
      </w:pPr>
      <w:rPr>
        <w:rFonts w:hint="default"/>
        <w:lang w:val="en-US" w:eastAsia="en-US" w:bidi="ar-SA"/>
      </w:rPr>
    </w:lvl>
    <w:lvl w:ilvl="4">
      <w:start w:val="0"/>
      <w:numFmt w:val="bullet"/>
      <w:lvlText w:val="•"/>
      <w:lvlJc w:val="left"/>
      <w:pPr>
        <w:ind w:left="5430" w:hanging="589"/>
      </w:pPr>
      <w:rPr>
        <w:rFonts w:hint="default"/>
        <w:lang w:val="en-US" w:eastAsia="en-US" w:bidi="ar-SA"/>
      </w:rPr>
    </w:lvl>
    <w:lvl w:ilvl="5">
      <w:start w:val="0"/>
      <w:numFmt w:val="bullet"/>
      <w:lvlText w:val="•"/>
      <w:lvlJc w:val="left"/>
      <w:pPr>
        <w:ind w:left="6463" w:hanging="589"/>
      </w:pPr>
      <w:rPr>
        <w:rFonts w:hint="default"/>
        <w:lang w:val="en-US" w:eastAsia="en-US" w:bidi="ar-SA"/>
      </w:rPr>
    </w:lvl>
    <w:lvl w:ilvl="6">
      <w:start w:val="0"/>
      <w:numFmt w:val="bullet"/>
      <w:lvlText w:val="•"/>
      <w:lvlJc w:val="left"/>
      <w:pPr>
        <w:ind w:left="7495" w:hanging="589"/>
      </w:pPr>
      <w:rPr>
        <w:rFonts w:hint="default"/>
        <w:lang w:val="en-US" w:eastAsia="en-US" w:bidi="ar-SA"/>
      </w:rPr>
    </w:lvl>
    <w:lvl w:ilvl="7">
      <w:start w:val="0"/>
      <w:numFmt w:val="bullet"/>
      <w:lvlText w:val="•"/>
      <w:lvlJc w:val="left"/>
      <w:pPr>
        <w:ind w:left="8528" w:hanging="589"/>
      </w:pPr>
      <w:rPr>
        <w:rFonts w:hint="default"/>
        <w:lang w:val="en-US" w:eastAsia="en-US" w:bidi="ar-SA"/>
      </w:rPr>
    </w:lvl>
    <w:lvl w:ilvl="8">
      <w:start w:val="0"/>
      <w:numFmt w:val="bullet"/>
      <w:lvlText w:val="•"/>
      <w:lvlJc w:val="left"/>
      <w:pPr>
        <w:ind w:left="9561" w:hanging="589"/>
      </w:pPr>
      <w:rPr>
        <w:rFonts w:hint="default"/>
        <w:lang w:val="en-US" w:eastAsia="en-US" w:bidi="ar-SA"/>
      </w:rPr>
    </w:lvl>
  </w:abstractNum>
  <w:abstractNum w:abstractNumId="24">
    <w:multiLevelType w:val="hybridMultilevel"/>
    <w:lvl w:ilvl="0">
      <w:start w:val="4"/>
      <w:numFmt w:val="decimal"/>
      <w:lvlText w:val="%1"/>
      <w:lvlJc w:val="left"/>
      <w:pPr>
        <w:ind w:left="1131" w:hanging="421"/>
        <w:jc w:val="left"/>
      </w:pPr>
      <w:rPr>
        <w:rFonts w:hint="default"/>
        <w:lang w:val="en-US" w:eastAsia="en-US" w:bidi="ar-SA"/>
      </w:rPr>
    </w:lvl>
    <w:lvl w:ilvl="1">
      <w:start w:val="6"/>
      <w:numFmt w:val="decimal"/>
      <w:lvlText w:val="%1.%2."/>
      <w:lvlJc w:val="left"/>
      <w:pPr>
        <w:ind w:left="1131" w:hanging="421"/>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431" w:hanging="721"/>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3703" w:hanging="721"/>
      </w:pPr>
      <w:rPr>
        <w:rFonts w:hint="default"/>
        <w:lang w:val="en-US" w:eastAsia="en-US" w:bidi="ar-SA"/>
      </w:rPr>
    </w:lvl>
    <w:lvl w:ilvl="4">
      <w:start w:val="0"/>
      <w:numFmt w:val="bullet"/>
      <w:lvlText w:val="•"/>
      <w:lvlJc w:val="left"/>
      <w:pPr>
        <w:ind w:left="4835" w:hanging="721"/>
      </w:pPr>
      <w:rPr>
        <w:rFonts w:hint="default"/>
        <w:lang w:val="en-US" w:eastAsia="en-US" w:bidi="ar-SA"/>
      </w:rPr>
    </w:lvl>
    <w:lvl w:ilvl="5">
      <w:start w:val="0"/>
      <w:numFmt w:val="bullet"/>
      <w:lvlText w:val="•"/>
      <w:lvlJc w:val="left"/>
      <w:pPr>
        <w:ind w:left="5967" w:hanging="721"/>
      </w:pPr>
      <w:rPr>
        <w:rFonts w:hint="default"/>
        <w:lang w:val="en-US" w:eastAsia="en-US" w:bidi="ar-SA"/>
      </w:rPr>
    </w:lvl>
    <w:lvl w:ilvl="6">
      <w:start w:val="0"/>
      <w:numFmt w:val="bullet"/>
      <w:lvlText w:val="•"/>
      <w:lvlJc w:val="left"/>
      <w:pPr>
        <w:ind w:left="7099" w:hanging="721"/>
      </w:pPr>
      <w:rPr>
        <w:rFonts w:hint="default"/>
        <w:lang w:val="en-US" w:eastAsia="en-US" w:bidi="ar-SA"/>
      </w:rPr>
    </w:lvl>
    <w:lvl w:ilvl="7">
      <w:start w:val="0"/>
      <w:numFmt w:val="bullet"/>
      <w:lvlText w:val="•"/>
      <w:lvlJc w:val="left"/>
      <w:pPr>
        <w:ind w:left="8230" w:hanging="721"/>
      </w:pPr>
      <w:rPr>
        <w:rFonts w:hint="default"/>
        <w:lang w:val="en-US" w:eastAsia="en-US" w:bidi="ar-SA"/>
      </w:rPr>
    </w:lvl>
    <w:lvl w:ilvl="8">
      <w:start w:val="0"/>
      <w:numFmt w:val="bullet"/>
      <w:lvlText w:val="•"/>
      <w:lvlJc w:val="left"/>
      <w:pPr>
        <w:ind w:left="9362" w:hanging="721"/>
      </w:pPr>
      <w:rPr>
        <w:rFonts w:hint="default"/>
        <w:lang w:val="en-US" w:eastAsia="en-US" w:bidi="ar-SA"/>
      </w:rPr>
    </w:lvl>
  </w:abstractNum>
  <w:abstractNum w:abstractNumId="23">
    <w:multiLevelType w:val="hybridMultilevel"/>
    <w:lvl w:ilvl="0">
      <w:start w:val="4"/>
      <w:numFmt w:val="decimal"/>
      <w:lvlText w:val="%1"/>
      <w:lvlJc w:val="left"/>
      <w:pPr>
        <w:ind w:left="1431" w:hanging="721"/>
        <w:jc w:val="left"/>
      </w:pPr>
      <w:rPr>
        <w:rFonts w:hint="default"/>
        <w:lang w:val="en-US" w:eastAsia="en-US" w:bidi="ar-SA"/>
      </w:rPr>
    </w:lvl>
    <w:lvl w:ilvl="1">
      <w:start w:val="1"/>
      <w:numFmt w:val="decimal"/>
      <w:lvlText w:val="%1.%2"/>
      <w:lvlJc w:val="left"/>
      <w:pPr>
        <w:ind w:left="1431" w:hanging="721"/>
        <w:jc w:val="left"/>
      </w:pPr>
      <w:rPr>
        <w:rFonts w:hint="default"/>
        <w:spacing w:val="0"/>
        <w:w w:val="100"/>
        <w:lang w:val="en-US" w:eastAsia="en-US" w:bidi="ar-SA"/>
      </w:rPr>
    </w:lvl>
    <w:lvl w:ilvl="2">
      <w:start w:val="1"/>
      <w:numFmt w:val="decimal"/>
      <w:lvlText w:val="%1.%2.%3"/>
      <w:lvlJc w:val="left"/>
      <w:pPr>
        <w:ind w:left="1251" w:hanging="541"/>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3703" w:hanging="541"/>
      </w:pPr>
      <w:rPr>
        <w:rFonts w:hint="default"/>
        <w:lang w:val="en-US" w:eastAsia="en-US" w:bidi="ar-SA"/>
      </w:rPr>
    </w:lvl>
    <w:lvl w:ilvl="4">
      <w:start w:val="0"/>
      <w:numFmt w:val="bullet"/>
      <w:lvlText w:val="•"/>
      <w:lvlJc w:val="left"/>
      <w:pPr>
        <w:ind w:left="4835" w:hanging="541"/>
      </w:pPr>
      <w:rPr>
        <w:rFonts w:hint="default"/>
        <w:lang w:val="en-US" w:eastAsia="en-US" w:bidi="ar-SA"/>
      </w:rPr>
    </w:lvl>
    <w:lvl w:ilvl="5">
      <w:start w:val="0"/>
      <w:numFmt w:val="bullet"/>
      <w:lvlText w:val="•"/>
      <w:lvlJc w:val="left"/>
      <w:pPr>
        <w:ind w:left="5967" w:hanging="541"/>
      </w:pPr>
      <w:rPr>
        <w:rFonts w:hint="default"/>
        <w:lang w:val="en-US" w:eastAsia="en-US" w:bidi="ar-SA"/>
      </w:rPr>
    </w:lvl>
    <w:lvl w:ilvl="6">
      <w:start w:val="0"/>
      <w:numFmt w:val="bullet"/>
      <w:lvlText w:val="•"/>
      <w:lvlJc w:val="left"/>
      <w:pPr>
        <w:ind w:left="7099" w:hanging="541"/>
      </w:pPr>
      <w:rPr>
        <w:rFonts w:hint="default"/>
        <w:lang w:val="en-US" w:eastAsia="en-US" w:bidi="ar-SA"/>
      </w:rPr>
    </w:lvl>
    <w:lvl w:ilvl="7">
      <w:start w:val="0"/>
      <w:numFmt w:val="bullet"/>
      <w:lvlText w:val="•"/>
      <w:lvlJc w:val="left"/>
      <w:pPr>
        <w:ind w:left="8230" w:hanging="541"/>
      </w:pPr>
      <w:rPr>
        <w:rFonts w:hint="default"/>
        <w:lang w:val="en-US" w:eastAsia="en-US" w:bidi="ar-SA"/>
      </w:rPr>
    </w:lvl>
    <w:lvl w:ilvl="8">
      <w:start w:val="0"/>
      <w:numFmt w:val="bullet"/>
      <w:lvlText w:val="•"/>
      <w:lvlJc w:val="left"/>
      <w:pPr>
        <w:ind w:left="9362" w:hanging="541"/>
      </w:pPr>
      <w:rPr>
        <w:rFonts w:hint="default"/>
        <w:lang w:val="en-US" w:eastAsia="en-US" w:bidi="ar-SA"/>
      </w:rPr>
    </w:lvl>
  </w:abstractNum>
  <w:abstractNum w:abstractNumId="22">
    <w:multiLevelType w:val="hybridMultilevel"/>
    <w:lvl w:ilvl="0">
      <w:start w:val="1"/>
      <w:numFmt w:val="decimal"/>
      <w:lvlText w:val="%1."/>
      <w:lvlJc w:val="left"/>
      <w:pPr>
        <w:ind w:left="711" w:hanging="721"/>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1810" w:hanging="721"/>
      </w:pPr>
      <w:rPr>
        <w:rFonts w:hint="default"/>
        <w:lang w:val="en-US" w:eastAsia="en-US" w:bidi="ar-SA"/>
      </w:rPr>
    </w:lvl>
    <w:lvl w:ilvl="2">
      <w:start w:val="0"/>
      <w:numFmt w:val="bullet"/>
      <w:lvlText w:val="•"/>
      <w:lvlJc w:val="left"/>
      <w:pPr>
        <w:ind w:left="2901" w:hanging="721"/>
      </w:pPr>
      <w:rPr>
        <w:rFonts w:hint="default"/>
        <w:lang w:val="en-US" w:eastAsia="en-US" w:bidi="ar-SA"/>
      </w:rPr>
    </w:lvl>
    <w:lvl w:ilvl="3">
      <w:start w:val="0"/>
      <w:numFmt w:val="bullet"/>
      <w:lvlText w:val="•"/>
      <w:lvlJc w:val="left"/>
      <w:pPr>
        <w:ind w:left="3991" w:hanging="721"/>
      </w:pPr>
      <w:rPr>
        <w:rFonts w:hint="default"/>
        <w:lang w:val="en-US" w:eastAsia="en-US" w:bidi="ar-SA"/>
      </w:rPr>
    </w:lvl>
    <w:lvl w:ilvl="4">
      <w:start w:val="0"/>
      <w:numFmt w:val="bullet"/>
      <w:lvlText w:val="•"/>
      <w:lvlJc w:val="left"/>
      <w:pPr>
        <w:ind w:left="5082" w:hanging="721"/>
      </w:pPr>
      <w:rPr>
        <w:rFonts w:hint="default"/>
        <w:lang w:val="en-US" w:eastAsia="en-US" w:bidi="ar-SA"/>
      </w:rPr>
    </w:lvl>
    <w:lvl w:ilvl="5">
      <w:start w:val="0"/>
      <w:numFmt w:val="bullet"/>
      <w:lvlText w:val="•"/>
      <w:lvlJc w:val="left"/>
      <w:pPr>
        <w:ind w:left="6173" w:hanging="721"/>
      </w:pPr>
      <w:rPr>
        <w:rFonts w:hint="default"/>
        <w:lang w:val="en-US" w:eastAsia="en-US" w:bidi="ar-SA"/>
      </w:rPr>
    </w:lvl>
    <w:lvl w:ilvl="6">
      <w:start w:val="0"/>
      <w:numFmt w:val="bullet"/>
      <w:lvlText w:val="•"/>
      <w:lvlJc w:val="left"/>
      <w:pPr>
        <w:ind w:left="7263" w:hanging="721"/>
      </w:pPr>
      <w:rPr>
        <w:rFonts w:hint="default"/>
        <w:lang w:val="en-US" w:eastAsia="en-US" w:bidi="ar-SA"/>
      </w:rPr>
    </w:lvl>
    <w:lvl w:ilvl="7">
      <w:start w:val="0"/>
      <w:numFmt w:val="bullet"/>
      <w:lvlText w:val="•"/>
      <w:lvlJc w:val="left"/>
      <w:pPr>
        <w:ind w:left="8354" w:hanging="721"/>
      </w:pPr>
      <w:rPr>
        <w:rFonts w:hint="default"/>
        <w:lang w:val="en-US" w:eastAsia="en-US" w:bidi="ar-SA"/>
      </w:rPr>
    </w:lvl>
    <w:lvl w:ilvl="8">
      <w:start w:val="0"/>
      <w:numFmt w:val="bullet"/>
      <w:lvlText w:val="•"/>
      <w:lvlJc w:val="left"/>
      <w:pPr>
        <w:ind w:left="9445" w:hanging="721"/>
      </w:pPr>
      <w:rPr>
        <w:rFonts w:hint="default"/>
        <w:lang w:val="en-US" w:eastAsia="en-US" w:bidi="ar-SA"/>
      </w:rPr>
    </w:lvl>
  </w:abstractNum>
  <w:abstractNum w:abstractNumId="21">
    <w:multiLevelType w:val="hybridMultilevel"/>
    <w:lvl w:ilvl="0">
      <w:start w:val="10"/>
      <w:numFmt w:val="lowerLetter"/>
      <w:lvlText w:val="%1."/>
      <w:lvlJc w:val="left"/>
      <w:pPr>
        <w:ind w:left="711" w:hanging="72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810" w:hanging="721"/>
      </w:pPr>
      <w:rPr>
        <w:rFonts w:hint="default"/>
        <w:lang w:val="en-US" w:eastAsia="en-US" w:bidi="ar-SA"/>
      </w:rPr>
    </w:lvl>
    <w:lvl w:ilvl="2">
      <w:start w:val="0"/>
      <w:numFmt w:val="bullet"/>
      <w:lvlText w:val="•"/>
      <w:lvlJc w:val="left"/>
      <w:pPr>
        <w:ind w:left="2901" w:hanging="721"/>
      </w:pPr>
      <w:rPr>
        <w:rFonts w:hint="default"/>
        <w:lang w:val="en-US" w:eastAsia="en-US" w:bidi="ar-SA"/>
      </w:rPr>
    </w:lvl>
    <w:lvl w:ilvl="3">
      <w:start w:val="0"/>
      <w:numFmt w:val="bullet"/>
      <w:lvlText w:val="•"/>
      <w:lvlJc w:val="left"/>
      <w:pPr>
        <w:ind w:left="3991" w:hanging="721"/>
      </w:pPr>
      <w:rPr>
        <w:rFonts w:hint="default"/>
        <w:lang w:val="en-US" w:eastAsia="en-US" w:bidi="ar-SA"/>
      </w:rPr>
    </w:lvl>
    <w:lvl w:ilvl="4">
      <w:start w:val="0"/>
      <w:numFmt w:val="bullet"/>
      <w:lvlText w:val="•"/>
      <w:lvlJc w:val="left"/>
      <w:pPr>
        <w:ind w:left="5082" w:hanging="721"/>
      </w:pPr>
      <w:rPr>
        <w:rFonts w:hint="default"/>
        <w:lang w:val="en-US" w:eastAsia="en-US" w:bidi="ar-SA"/>
      </w:rPr>
    </w:lvl>
    <w:lvl w:ilvl="5">
      <w:start w:val="0"/>
      <w:numFmt w:val="bullet"/>
      <w:lvlText w:val="•"/>
      <w:lvlJc w:val="left"/>
      <w:pPr>
        <w:ind w:left="6173" w:hanging="721"/>
      </w:pPr>
      <w:rPr>
        <w:rFonts w:hint="default"/>
        <w:lang w:val="en-US" w:eastAsia="en-US" w:bidi="ar-SA"/>
      </w:rPr>
    </w:lvl>
    <w:lvl w:ilvl="6">
      <w:start w:val="0"/>
      <w:numFmt w:val="bullet"/>
      <w:lvlText w:val="•"/>
      <w:lvlJc w:val="left"/>
      <w:pPr>
        <w:ind w:left="7263" w:hanging="721"/>
      </w:pPr>
      <w:rPr>
        <w:rFonts w:hint="default"/>
        <w:lang w:val="en-US" w:eastAsia="en-US" w:bidi="ar-SA"/>
      </w:rPr>
    </w:lvl>
    <w:lvl w:ilvl="7">
      <w:start w:val="0"/>
      <w:numFmt w:val="bullet"/>
      <w:lvlText w:val="•"/>
      <w:lvlJc w:val="left"/>
      <w:pPr>
        <w:ind w:left="8354" w:hanging="721"/>
      </w:pPr>
      <w:rPr>
        <w:rFonts w:hint="default"/>
        <w:lang w:val="en-US" w:eastAsia="en-US" w:bidi="ar-SA"/>
      </w:rPr>
    </w:lvl>
    <w:lvl w:ilvl="8">
      <w:start w:val="0"/>
      <w:numFmt w:val="bullet"/>
      <w:lvlText w:val="•"/>
      <w:lvlJc w:val="left"/>
      <w:pPr>
        <w:ind w:left="9445" w:hanging="721"/>
      </w:pPr>
      <w:rPr>
        <w:rFonts w:hint="default"/>
        <w:lang w:val="en-US" w:eastAsia="en-US" w:bidi="ar-SA"/>
      </w:rPr>
    </w:lvl>
  </w:abstractNum>
  <w:abstractNum w:abstractNumId="20">
    <w:multiLevelType w:val="hybridMultilevel"/>
    <w:lvl w:ilvl="0">
      <w:start w:val="1"/>
      <w:numFmt w:val="decimal"/>
      <w:lvlText w:val="%1."/>
      <w:lvlJc w:val="left"/>
      <w:pPr>
        <w:ind w:left="951" w:hanging="241"/>
        <w:jc w:val="left"/>
      </w:pPr>
      <w:rPr>
        <w:rFonts w:hint="default"/>
        <w:spacing w:val="0"/>
        <w:w w:val="100"/>
        <w:lang w:val="en-US" w:eastAsia="en-US" w:bidi="ar-SA"/>
      </w:rPr>
    </w:lvl>
    <w:lvl w:ilvl="1">
      <w:start w:val="1"/>
      <w:numFmt w:val="lowerLetter"/>
      <w:lvlText w:val="%2."/>
      <w:lvlJc w:val="left"/>
      <w:pPr>
        <w:ind w:left="711" w:hanging="721"/>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1"/>
      <w:numFmt w:val="decimal"/>
      <w:lvlText w:val="%3."/>
      <w:lvlJc w:val="left"/>
      <w:pPr>
        <w:ind w:left="951" w:hanging="241"/>
        <w:jc w:val="left"/>
      </w:pPr>
      <w:rPr>
        <w:rFonts w:hint="default"/>
        <w:spacing w:val="0"/>
        <w:w w:val="100"/>
        <w:lang w:val="en-US" w:eastAsia="en-US" w:bidi="ar-SA"/>
      </w:rPr>
    </w:lvl>
    <w:lvl w:ilvl="3">
      <w:start w:val="1"/>
      <w:numFmt w:val="lowerRoman"/>
      <w:lvlText w:val="%4."/>
      <w:lvlJc w:val="left"/>
      <w:pPr>
        <w:ind w:left="711" w:hanging="72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4">
      <w:start w:val="0"/>
      <w:numFmt w:val="bullet"/>
      <w:lvlText w:val="•"/>
      <w:lvlJc w:val="left"/>
      <w:pPr>
        <w:ind w:left="4515" w:hanging="721"/>
      </w:pPr>
      <w:rPr>
        <w:rFonts w:hint="default"/>
        <w:lang w:val="en-US" w:eastAsia="en-US" w:bidi="ar-SA"/>
      </w:rPr>
    </w:lvl>
    <w:lvl w:ilvl="5">
      <w:start w:val="0"/>
      <w:numFmt w:val="bullet"/>
      <w:lvlText w:val="•"/>
      <w:lvlJc w:val="left"/>
      <w:pPr>
        <w:ind w:left="5700" w:hanging="721"/>
      </w:pPr>
      <w:rPr>
        <w:rFonts w:hint="default"/>
        <w:lang w:val="en-US" w:eastAsia="en-US" w:bidi="ar-SA"/>
      </w:rPr>
    </w:lvl>
    <w:lvl w:ilvl="6">
      <w:start w:val="0"/>
      <w:numFmt w:val="bullet"/>
      <w:lvlText w:val="•"/>
      <w:lvlJc w:val="left"/>
      <w:pPr>
        <w:ind w:left="6885" w:hanging="721"/>
      </w:pPr>
      <w:rPr>
        <w:rFonts w:hint="default"/>
        <w:lang w:val="en-US" w:eastAsia="en-US" w:bidi="ar-SA"/>
      </w:rPr>
    </w:lvl>
    <w:lvl w:ilvl="7">
      <w:start w:val="0"/>
      <w:numFmt w:val="bullet"/>
      <w:lvlText w:val="•"/>
      <w:lvlJc w:val="left"/>
      <w:pPr>
        <w:ind w:left="8070" w:hanging="721"/>
      </w:pPr>
      <w:rPr>
        <w:rFonts w:hint="default"/>
        <w:lang w:val="en-US" w:eastAsia="en-US" w:bidi="ar-SA"/>
      </w:rPr>
    </w:lvl>
    <w:lvl w:ilvl="8">
      <w:start w:val="0"/>
      <w:numFmt w:val="bullet"/>
      <w:lvlText w:val="•"/>
      <w:lvlJc w:val="left"/>
      <w:pPr>
        <w:ind w:left="9256" w:hanging="721"/>
      </w:pPr>
      <w:rPr>
        <w:rFonts w:hint="default"/>
        <w:lang w:val="en-US" w:eastAsia="en-US" w:bidi="ar-SA"/>
      </w:rPr>
    </w:lvl>
  </w:abstractNum>
  <w:abstractNum w:abstractNumId="19">
    <w:multiLevelType w:val="hybridMultilevel"/>
    <w:lvl w:ilvl="0">
      <w:start w:val="1"/>
      <w:numFmt w:val="lowerLetter"/>
      <w:lvlText w:val="%1."/>
      <w:lvlJc w:val="left"/>
      <w:pPr>
        <w:ind w:left="975" w:hanging="265"/>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2044" w:hanging="265"/>
      </w:pPr>
      <w:rPr>
        <w:rFonts w:hint="default"/>
        <w:lang w:val="en-US" w:eastAsia="en-US" w:bidi="ar-SA"/>
      </w:rPr>
    </w:lvl>
    <w:lvl w:ilvl="2">
      <w:start w:val="0"/>
      <w:numFmt w:val="bullet"/>
      <w:lvlText w:val="•"/>
      <w:lvlJc w:val="left"/>
      <w:pPr>
        <w:ind w:left="3109" w:hanging="265"/>
      </w:pPr>
      <w:rPr>
        <w:rFonts w:hint="default"/>
        <w:lang w:val="en-US" w:eastAsia="en-US" w:bidi="ar-SA"/>
      </w:rPr>
    </w:lvl>
    <w:lvl w:ilvl="3">
      <w:start w:val="0"/>
      <w:numFmt w:val="bullet"/>
      <w:lvlText w:val="•"/>
      <w:lvlJc w:val="left"/>
      <w:pPr>
        <w:ind w:left="4173" w:hanging="265"/>
      </w:pPr>
      <w:rPr>
        <w:rFonts w:hint="default"/>
        <w:lang w:val="en-US" w:eastAsia="en-US" w:bidi="ar-SA"/>
      </w:rPr>
    </w:lvl>
    <w:lvl w:ilvl="4">
      <w:start w:val="0"/>
      <w:numFmt w:val="bullet"/>
      <w:lvlText w:val="•"/>
      <w:lvlJc w:val="left"/>
      <w:pPr>
        <w:ind w:left="5238" w:hanging="265"/>
      </w:pPr>
      <w:rPr>
        <w:rFonts w:hint="default"/>
        <w:lang w:val="en-US" w:eastAsia="en-US" w:bidi="ar-SA"/>
      </w:rPr>
    </w:lvl>
    <w:lvl w:ilvl="5">
      <w:start w:val="0"/>
      <w:numFmt w:val="bullet"/>
      <w:lvlText w:val="•"/>
      <w:lvlJc w:val="left"/>
      <w:pPr>
        <w:ind w:left="6303" w:hanging="265"/>
      </w:pPr>
      <w:rPr>
        <w:rFonts w:hint="default"/>
        <w:lang w:val="en-US" w:eastAsia="en-US" w:bidi="ar-SA"/>
      </w:rPr>
    </w:lvl>
    <w:lvl w:ilvl="6">
      <w:start w:val="0"/>
      <w:numFmt w:val="bullet"/>
      <w:lvlText w:val="•"/>
      <w:lvlJc w:val="left"/>
      <w:pPr>
        <w:ind w:left="7367" w:hanging="265"/>
      </w:pPr>
      <w:rPr>
        <w:rFonts w:hint="default"/>
        <w:lang w:val="en-US" w:eastAsia="en-US" w:bidi="ar-SA"/>
      </w:rPr>
    </w:lvl>
    <w:lvl w:ilvl="7">
      <w:start w:val="0"/>
      <w:numFmt w:val="bullet"/>
      <w:lvlText w:val="•"/>
      <w:lvlJc w:val="left"/>
      <w:pPr>
        <w:ind w:left="8432" w:hanging="265"/>
      </w:pPr>
      <w:rPr>
        <w:rFonts w:hint="default"/>
        <w:lang w:val="en-US" w:eastAsia="en-US" w:bidi="ar-SA"/>
      </w:rPr>
    </w:lvl>
    <w:lvl w:ilvl="8">
      <w:start w:val="0"/>
      <w:numFmt w:val="bullet"/>
      <w:lvlText w:val="•"/>
      <w:lvlJc w:val="left"/>
      <w:pPr>
        <w:ind w:left="9497" w:hanging="265"/>
      </w:pPr>
      <w:rPr>
        <w:rFonts w:hint="default"/>
        <w:lang w:val="en-US" w:eastAsia="en-US" w:bidi="ar-SA"/>
      </w:rPr>
    </w:lvl>
  </w:abstractNum>
  <w:abstractNum w:abstractNumId="18">
    <w:multiLevelType w:val="hybridMultilevel"/>
    <w:lvl w:ilvl="0">
      <w:start w:val="0"/>
      <w:numFmt w:val="bullet"/>
      <w:lvlText w:val=""/>
      <w:lvlJc w:val="left"/>
      <w:pPr>
        <w:ind w:left="177" w:hanging="117"/>
      </w:pPr>
      <w:rPr>
        <w:rFonts w:hint="default" w:ascii="Symbol" w:hAnsi="Symbol" w:eastAsia="Symbol" w:cs="Symbol"/>
        <w:b w:val="0"/>
        <w:bCs w:val="0"/>
        <w:i w:val="0"/>
        <w:iCs w:val="0"/>
        <w:spacing w:val="15"/>
        <w:w w:val="91"/>
        <w:position w:val="3"/>
        <w:sz w:val="16"/>
        <w:szCs w:val="16"/>
        <w:lang w:val="en-US" w:eastAsia="en-US" w:bidi="ar-SA"/>
      </w:rPr>
    </w:lvl>
    <w:lvl w:ilvl="1">
      <w:start w:val="0"/>
      <w:numFmt w:val="bullet"/>
      <w:lvlText w:val=""/>
      <w:lvlJc w:val="left"/>
      <w:pPr>
        <w:ind w:left="1842" w:hanging="117"/>
      </w:pPr>
      <w:rPr>
        <w:rFonts w:hint="default" w:ascii="Symbol" w:hAnsi="Symbol" w:eastAsia="Symbol" w:cs="Symbol"/>
        <w:b w:val="0"/>
        <w:bCs w:val="0"/>
        <w:i w:val="0"/>
        <w:iCs w:val="0"/>
        <w:spacing w:val="15"/>
        <w:w w:val="91"/>
        <w:position w:val="3"/>
        <w:sz w:val="16"/>
        <w:szCs w:val="16"/>
        <w:lang w:val="en-US" w:eastAsia="en-US" w:bidi="ar-SA"/>
      </w:rPr>
    </w:lvl>
    <w:lvl w:ilvl="2">
      <w:start w:val="0"/>
      <w:numFmt w:val="bullet"/>
      <w:lvlText w:val="•"/>
      <w:lvlJc w:val="left"/>
      <w:pPr>
        <w:ind w:left="1549" w:hanging="117"/>
      </w:pPr>
      <w:rPr>
        <w:rFonts w:hint="default"/>
        <w:lang w:val="en-US" w:eastAsia="en-US" w:bidi="ar-SA"/>
      </w:rPr>
    </w:lvl>
    <w:lvl w:ilvl="3">
      <w:start w:val="0"/>
      <w:numFmt w:val="bullet"/>
      <w:lvlText w:val="•"/>
      <w:lvlJc w:val="left"/>
      <w:pPr>
        <w:ind w:left="1259" w:hanging="117"/>
      </w:pPr>
      <w:rPr>
        <w:rFonts w:hint="default"/>
        <w:lang w:val="en-US" w:eastAsia="en-US" w:bidi="ar-SA"/>
      </w:rPr>
    </w:lvl>
    <w:lvl w:ilvl="4">
      <w:start w:val="0"/>
      <w:numFmt w:val="bullet"/>
      <w:lvlText w:val="•"/>
      <w:lvlJc w:val="left"/>
      <w:pPr>
        <w:ind w:left="969" w:hanging="117"/>
      </w:pPr>
      <w:rPr>
        <w:rFonts w:hint="default"/>
        <w:lang w:val="en-US" w:eastAsia="en-US" w:bidi="ar-SA"/>
      </w:rPr>
    </w:lvl>
    <w:lvl w:ilvl="5">
      <w:start w:val="0"/>
      <w:numFmt w:val="bullet"/>
      <w:lvlText w:val="•"/>
      <w:lvlJc w:val="left"/>
      <w:pPr>
        <w:ind w:left="678" w:hanging="117"/>
      </w:pPr>
      <w:rPr>
        <w:rFonts w:hint="default"/>
        <w:lang w:val="en-US" w:eastAsia="en-US" w:bidi="ar-SA"/>
      </w:rPr>
    </w:lvl>
    <w:lvl w:ilvl="6">
      <w:start w:val="0"/>
      <w:numFmt w:val="bullet"/>
      <w:lvlText w:val="•"/>
      <w:lvlJc w:val="left"/>
      <w:pPr>
        <w:ind w:left="388" w:hanging="117"/>
      </w:pPr>
      <w:rPr>
        <w:rFonts w:hint="default"/>
        <w:lang w:val="en-US" w:eastAsia="en-US" w:bidi="ar-SA"/>
      </w:rPr>
    </w:lvl>
    <w:lvl w:ilvl="7">
      <w:start w:val="0"/>
      <w:numFmt w:val="bullet"/>
      <w:lvlText w:val="•"/>
      <w:lvlJc w:val="left"/>
      <w:pPr>
        <w:ind w:left="98" w:hanging="117"/>
      </w:pPr>
      <w:rPr>
        <w:rFonts w:hint="default"/>
        <w:lang w:val="en-US" w:eastAsia="en-US" w:bidi="ar-SA"/>
      </w:rPr>
    </w:lvl>
    <w:lvl w:ilvl="8">
      <w:start w:val="0"/>
      <w:numFmt w:val="bullet"/>
      <w:lvlText w:val="•"/>
      <w:lvlJc w:val="left"/>
      <w:pPr>
        <w:ind w:left="-193" w:hanging="117"/>
      </w:pPr>
      <w:rPr>
        <w:rFonts w:hint="default"/>
        <w:lang w:val="en-US" w:eastAsia="en-US" w:bidi="ar-SA"/>
      </w:rPr>
    </w:lvl>
  </w:abstractNum>
  <w:abstractNum w:abstractNumId="17">
    <w:multiLevelType w:val="hybridMultilevel"/>
    <w:lvl w:ilvl="0">
      <w:start w:val="1"/>
      <w:numFmt w:val="lowerLetter"/>
      <w:lvlText w:val="%1."/>
      <w:lvlJc w:val="left"/>
      <w:pPr>
        <w:ind w:left="992" w:hanging="282"/>
        <w:jc w:val="left"/>
      </w:pPr>
      <w:rPr>
        <w:rFonts w:hint="default"/>
        <w:spacing w:val="0"/>
        <w:w w:val="100"/>
        <w:lang w:val="en-US" w:eastAsia="en-US" w:bidi="ar-SA"/>
      </w:rPr>
    </w:lvl>
    <w:lvl w:ilvl="1">
      <w:start w:val="0"/>
      <w:numFmt w:val="bullet"/>
      <w:lvlText w:val="•"/>
      <w:lvlJc w:val="left"/>
      <w:pPr>
        <w:ind w:left="2062" w:hanging="282"/>
      </w:pPr>
      <w:rPr>
        <w:rFonts w:hint="default"/>
        <w:lang w:val="en-US" w:eastAsia="en-US" w:bidi="ar-SA"/>
      </w:rPr>
    </w:lvl>
    <w:lvl w:ilvl="2">
      <w:start w:val="0"/>
      <w:numFmt w:val="bullet"/>
      <w:lvlText w:val="•"/>
      <w:lvlJc w:val="left"/>
      <w:pPr>
        <w:ind w:left="3125" w:hanging="282"/>
      </w:pPr>
      <w:rPr>
        <w:rFonts w:hint="default"/>
        <w:lang w:val="en-US" w:eastAsia="en-US" w:bidi="ar-SA"/>
      </w:rPr>
    </w:lvl>
    <w:lvl w:ilvl="3">
      <w:start w:val="0"/>
      <w:numFmt w:val="bullet"/>
      <w:lvlText w:val="•"/>
      <w:lvlJc w:val="left"/>
      <w:pPr>
        <w:ind w:left="4187" w:hanging="282"/>
      </w:pPr>
      <w:rPr>
        <w:rFonts w:hint="default"/>
        <w:lang w:val="en-US" w:eastAsia="en-US" w:bidi="ar-SA"/>
      </w:rPr>
    </w:lvl>
    <w:lvl w:ilvl="4">
      <w:start w:val="0"/>
      <w:numFmt w:val="bullet"/>
      <w:lvlText w:val="•"/>
      <w:lvlJc w:val="left"/>
      <w:pPr>
        <w:ind w:left="5250" w:hanging="282"/>
      </w:pPr>
      <w:rPr>
        <w:rFonts w:hint="default"/>
        <w:lang w:val="en-US" w:eastAsia="en-US" w:bidi="ar-SA"/>
      </w:rPr>
    </w:lvl>
    <w:lvl w:ilvl="5">
      <w:start w:val="0"/>
      <w:numFmt w:val="bullet"/>
      <w:lvlText w:val="•"/>
      <w:lvlJc w:val="left"/>
      <w:pPr>
        <w:ind w:left="6313" w:hanging="282"/>
      </w:pPr>
      <w:rPr>
        <w:rFonts w:hint="default"/>
        <w:lang w:val="en-US" w:eastAsia="en-US" w:bidi="ar-SA"/>
      </w:rPr>
    </w:lvl>
    <w:lvl w:ilvl="6">
      <w:start w:val="0"/>
      <w:numFmt w:val="bullet"/>
      <w:lvlText w:val="•"/>
      <w:lvlJc w:val="left"/>
      <w:pPr>
        <w:ind w:left="7375" w:hanging="282"/>
      </w:pPr>
      <w:rPr>
        <w:rFonts w:hint="default"/>
        <w:lang w:val="en-US" w:eastAsia="en-US" w:bidi="ar-SA"/>
      </w:rPr>
    </w:lvl>
    <w:lvl w:ilvl="7">
      <w:start w:val="0"/>
      <w:numFmt w:val="bullet"/>
      <w:lvlText w:val="•"/>
      <w:lvlJc w:val="left"/>
      <w:pPr>
        <w:ind w:left="8438" w:hanging="282"/>
      </w:pPr>
      <w:rPr>
        <w:rFonts w:hint="default"/>
        <w:lang w:val="en-US" w:eastAsia="en-US" w:bidi="ar-SA"/>
      </w:rPr>
    </w:lvl>
    <w:lvl w:ilvl="8">
      <w:start w:val="0"/>
      <w:numFmt w:val="bullet"/>
      <w:lvlText w:val="•"/>
      <w:lvlJc w:val="left"/>
      <w:pPr>
        <w:ind w:left="9501" w:hanging="282"/>
      </w:pPr>
      <w:rPr>
        <w:rFonts w:hint="default"/>
        <w:lang w:val="en-US" w:eastAsia="en-US" w:bidi="ar-SA"/>
      </w:rPr>
    </w:lvl>
  </w:abstractNum>
  <w:abstractNum w:abstractNumId="16">
    <w:multiLevelType w:val="hybridMultilevel"/>
    <w:lvl w:ilvl="0">
      <w:start w:val="1"/>
      <w:numFmt w:val="lowerLetter"/>
      <w:lvlText w:val="(%1)"/>
      <w:lvlJc w:val="left"/>
      <w:pPr>
        <w:ind w:left="1035" w:hanging="325"/>
        <w:jc w:val="left"/>
      </w:pPr>
      <w:rPr>
        <w:rFonts w:hint="default" w:ascii="Times New Roman" w:hAnsi="Times New Roman" w:eastAsia="Times New Roman" w:cs="Times New Roman"/>
        <w:b w:val="0"/>
        <w:bCs w:val="0"/>
        <w:i w:val="0"/>
        <w:iCs w:val="0"/>
        <w:spacing w:val="-2"/>
        <w:w w:val="100"/>
        <w:sz w:val="24"/>
        <w:szCs w:val="24"/>
        <w:lang w:val="en-US" w:eastAsia="en-US" w:bidi="ar-SA"/>
      </w:rPr>
    </w:lvl>
    <w:lvl w:ilvl="1">
      <w:start w:val="0"/>
      <w:numFmt w:val="bullet"/>
      <w:lvlText w:val="•"/>
      <w:lvlJc w:val="left"/>
      <w:pPr>
        <w:ind w:left="2098" w:hanging="325"/>
      </w:pPr>
      <w:rPr>
        <w:rFonts w:hint="default"/>
        <w:lang w:val="en-US" w:eastAsia="en-US" w:bidi="ar-SA"/>
      </w:rPr>
    </w:lvl>
    <w:lvl w:ilvl="2">
      <w:start w:val="0"/>
      <w:numFmt w:val="bullet"/>
      <w:lvlText w:val="•"/>
      <w:lvlJc w:val="left"/>
      <w:pPr>
        <w:ind w:left="3157" w:hanging="325"/>
      </w:pPr>
      <w:rPr>
        <w:rFonts w:hint="default"/>
        <w:lang w:val="en-US" w:eastAsia="en-US" w:bidi="ar-SA"/>
      </w:rPr>
    </w:lvl>
    <w:lvl w:ilvl="3">
      <w:start w:val="0"/>
      <w:numFmt w:val="bullet"/>
      <w:lvlText w:val="•"/>
      <w:lvlJc w:val="left"/>
      <w:pPr>
        <w:ind w:left="4215" w:hanging="325"/>
      </w:pPr>
      <w:rPr>
        <w:rFonts w:hint="default"/>
        <w:lang w:val="en-US" w:eastAsia="en-US" w:bidi="ar-SA"/>
      </w:rPr>
    </w:lvl>
    <w:lvl w:ilvl="4">
      <w:start w:val="0"/>
      <w:numFmt w:val="bullet"/>
      <w:lvlText w:val="•"/>
      <w:lvlJc w:val="left"/>
      <w:pPr>
        <w:ind w:left="5274" w:hanging="325"/>
      </w:pPr>
      <w:rPr>
        <w:rFonts w:hint="default"/>
        <w:lang w:val="en-US" w:eastAsia="en-US" w:bidi="ar-SA"/>
      </w:rPr>
    </w:lvl>
    <w:lvl w:ilvl="5">
      <w:start w:val="0"/>
      <w:numFmt w:val="bullet"/>
      <w:lvlText w:val="•"/>
      <w:lvlJc w:val="left"/>
      <w:pPr>
        <w:ind w:left="6333" w:hanging="325"/>
      </w:pPr>
      <w:rPr>
        <w:rFonts w:hint="default"/>
        <w:lang w:val="en-US" w:eastAsia="en-US" w:bidi="ar-SA"/>
      </w:rPr>
    </w:lvl>
    <w:lvl w:ilvl="6">
      <w:start w:val="0"/>
      <w:numFmt w:val="bullet"/>
      <w:lvlText w:val="•"/>
      <w:lvlJc w:val="left"/>
      <w:pPr>
        <w:ind w:left="7391" w:hanging="325"/>
      </w:pPr>
      <w:rPr>
        <w:rFonts w:hint="default"/>
        <w:lang w:val="en-US" w:eastAsia="en-US" w:bidi="ar-SA"/>
      </w:rPr>
    </w:lvl>
    <w:lvl w:ilvl="7">
      <w:start w:val="0"/>
      <w:numFmt w:val="bullet"/>
      <w:lvlText w:val="•"/>
      <w:lvlJc w:val="left"/>
      <w:pPr>
        <w:ind w:left="8450" w:hanging="325"/>
      </w:pPr>
      <w:rPr>
        <w:rFonts w:hint="default"/>
        <w:lang w:val="en-US" w:eastAsia="en-US" w:bidi="ar-SA"/>
      </w:rPr>
    </w:lvl>
    <w:lvl w:ilvl="8">
      <w:start w:val="0"/>
      <w:numFmt w:val="bullet"/>
      <w:lvlText w:val="•"/>
      <w:lvlJc w:val="left"/>
      <w:pPr>
        <w:ind w:left="9509" w:hanging="325"/>
      </w:pPr>
      <w:rPr>
        <w:rFonts w:hint="default"/>
        <w:lang w:val="en-US" w:eastAsia="en-US" w:bidi="ar-SA"/>
      </w:rPr>
    </w:lvl>
  </w:abstractNum>
  <w:abstractNum w:abstractNumId="15">
    <w:multiLevelType w:val="hybridMultilevel"/>
    <w:lvl w:ilvl="0">
      <w:start w:val="2"/>
      <w:numFmt w:val="decimal"/>
      <w:lvlText w:val="(%1)"/>
      <w:lvlJc w:val="left"/>
      <w:pPr>
        <w:ind w:left="711" w:hanging="555"/>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431" w:hanging="360"/>
      </w:pPr>
      <w:rPr>
        <w:rFonts w:hint="default" w:ascii="Symbol" w:hAnsi="Symbol" w:eastAsia="Symbol" w:cs="Symbol"/>
        <w:b w:val="0"/>
        <w:bCs w:val="0"/>
        <w:i w:val="0"/>
        <w:iCs w:val="0"/>
        <w:spacing w:val="0"/>
        <w:w w:val="100"/>
        <w:sz w:val="24"/>
        <w:szCs w:val="24"/>
        <w:lang w:val="en-US" w:eastAsia="en-US" w:bidi="ar-SA"/>
      </w:rPr>
    </w:lvl>
    <w:lvl w:ilvl="2">
      <w:start w:val="0"/>
      <w:numFmt w:val="bullet"/>
      <w:lvlText w:val="•"/>
      <w:lvlJc w:val="left"/>
      <w:pPr>
        <w:ind w:left="2571" w:hanging="360"/>
      </w:pPr>
      <w:rPr>
        <w:rFonts w:hint="default"/>
        <w:lang w:val="en-US" w:eastAsia="en-US" w:bidi="ar-SA"/>
      </w:rPr>
    </w:lvl>
    <w:lvl w:ilvl="3">
      <w:start w:val="0"/>
      <w:numFmt w:val="bullet"/>
      <w:lvlText w:val="•"/>
      <w:lvlJc w:val="left"/>
      <w:pPr>
        <w:ind w:left="3703" w:hanging="360"/>
      </w:pPr>
      <w:rPr>
        <w:rFonts w:hint="default"/>
        <w:lang w:val="en-US" w:eastAsia="en-US" w:bidi="ar-SA"/>
      </w:rPr>
    </w:lvl>
    <w:lvl w:ilvl="4">
      <w:start w:val="0"/>
      <w:numFmt w:val="bullet"/>
      <w:lvlText w:val="•"/>
      <w:lvlJc w:val="left"/>
      <w:pPr>
        <w:ind w:left="4835" w:hanging="360"/>
      </w:pPr>
      <w:rPr>
        <w:rFonts w:hint="default"/>
        <w:lang w:val="en-US" w:eastAsia="en-US" w:bidi="ar-SA"/>
      </w:rPr>
    </w:lvl>
    <w:lvl w:ilvl="5">
      <w:start w:val="0"/>
      <w:numFmt w:val="bullet"/>
      <w:lvlText w:val="•"/>
      <w:lvlJc w:val="left"/>
      <w:pPr>
        <w:ind w:left="5967" w:hanging="360"/>
      </w:pPr>
      <w:rPr>
        <w:rFonts w:hint="default"/>
        <w:lang w:val="en-US" w:eastAsia="en-US" w:bidi="ar-SA"/>
      </w:rPr>
    </w:lvl>
    <w:lvl w:ilvl="6">
      <w:start w:val="0"/>
      <w:numFmt w:val="bullet"/>
      <w:lvlText w:val="•"/>
      <w:lvlJc w:val="left"/>
      <w:pPr>
        <w:ind w:left="7099" w:hanging="360"/>
      </w:pPr>
      <w:rPr>
        <w:rFonts w:hint="default"/>
        <w:lang w:val="en-US" w:eastAsia="en-US" w:bidi="ar-SA"/>
      </w:rPr>
    </w:lvl>
    <w:lvl w:ilvl="7">
      <w:start w:val="0"/>
      <w:numFmt w:val="bullet"/>
      <w:lvlText w:val="•"/>
      <w:lvlJc w:val="left"/>
      <w:pPr>
        <w:ind w:left="8230" w:hanging="360"/>
      </w:pPr>
      <w:rPr>
        <w:rFonts w:hint="default"/>
        <w:lang w:val="en-US" w:eastAsia="en-US" w:bidi="ar-SA"/>
      </w:rPr>
    </w:lvl>
    <w:lvl w:ilvl="8">
      <w:start w:val="0"/>
      <w:numFmt w:val="bullet"/>
      <w:lvlText w:val="•"/>
      <w:lvlJc w:val="left"/>
      <w:pPr>
        <w:ind w:left="9362" w:hanging="360"/>
      </w:pPr>
      <w:rPr>
        <w:rFonts w:hint="default"/>
        <w:lang w:val="en-US" w:eastAsia="en-US" w:bidi="ar-SA"/>
      </w:rPr>
    </w:lvl>
  </w:abstractNum>
  <w:abstractNum w:abstractNumId="14">
    <w:multiLevelType w:val="hybridMultilevel"/>
    <w:lvl w:ilvl="0">
      <w:start w:val="1"/>
      <w:numFmt w:val="decimal"/>
      <w:lvlText w:val="%1."/>
      <w:lvlJc w:val="left"/>
      <w:pPr>
        <w:ind w:left="711" w:hanging="294"/>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431" w:hanging="360"/>
      </w:pPr>
      <w:rPr>
        <w:rFonts w:hint="default" w:ascii="Symbol" w:hAnsi="Symbol" w:eastAsia="Symbol" w:cs="Symbol"/>
        <w:b w:val="0"/>
        <w:bCs w:val="0"/>
        <w:i w:val="0"/>
        <w:iCs w:val="0"/>
        <w:spacing w:val="0"/>
        <w:w w:val="100"/>
        <w:sz w:val="24"/>
        <w:szCs w:val="24"/>
        <w:lang w:val="en-US" w:eastAsia="en-US" w:bidi="ar-SA"/>
      </w:rPr>
    </w:lvl>
    <w:lvl w:ilvl="2">
      <w:start w:val="0"/>
      <w:numFmt w:val="bullet"/>
      <w:lvlText w:val="•"/>
      <w:lvlJc w:val="left"/>
      <w:pPr>
        <w:ind w:left="2571" w:hanging="360"/>
      </w:pPr>
      <w:rPr>
        <w:rFonts w:hint="default"/>
        <w:lang w:val="en-US" w:eastAsia="en-US" w:bidi="ar-SA"/>
      </w:rPr>
    </w:lvl>
    <w:lvl w:ilvl="3">
      <w:start w:val="0"/>
      <w:numFmt w:val="bullet"/>
      <w:lvlText w:val="•"/>
      <w:lvlJc w:val="left"/>
      <w:pPr>
        <w:ind w:left="3703" w:hanging="360"/>
      </w:pPr>
      <w:rPr>
        <w:rFonts w:hint="default"/>
        <w:lang w:val="en-US" w:eastAsia="en-US" w:bidi="ar-SA"/>
      </w:rPr>
    </w:lvl>
    <w:lvl w:ilvl="4">
      <w:start w:val="0"/>
      <w:numFmt w:val="bullet"/>
      <w:lvlText w:val="•"/>
      <w:lvlJc w:val="left"/>
      <w:pPr>
        <w:ind w:left="4835" w:hanging="360"/>
      </w:pPr>
      <w:rPr>
        <w:rFonts w:hint="default"/>
        <w:lang w:val="en-US" w:eastAsia="en-US" w:bidi="ar-SA"/>
      </w:rPr>
    </w:lvl>
    <w:lvl w:ilvl="5">
      <w:start w:val="0"/>
      <w:numFmt w:val="bullet"/>
      <w:lvlText w:val="•"/>
      <w:lvlJc w:val="left"/>
      <w:pPr>
        <w:ind w:left="5967" w:hanging="360"/>
      </w:pPr>
      <w:rPr>
        <w:rFonts w:hint="default"/>
        <w:lang w:val="en-US" w:eastAsia="en-US" w:bidi="ar-SA"/>
      </w:rPr>
    </w:lvl>
    <w:lvl w:ilvl="6">
      <w:start w:val="0"/>
      <w:numFmt w:val="bullet"/>
      <w:lvlText w:val="•"/>
      <w:lvlJc w:val="left"/>
      <w:pPr>
        <w:ind w:left="7099" w:hanging="360"/>
      </w:pPr>
      <w:rPr>
        <w:rFonts w:hint="default"/>
        <w:lang w:val="en-US" w:eastAsia="en-US" w:bidi="ar-SA"/>
      </w:rPr>
    </w:lvl>
    <w:lvl w:ilvl="7">
      <w:start w:val="0"/>
      <w:numFmt w:val="bullet"/>
      <w:lvlText w:val="•"/>
      <w:lvlJc w:val="left"/>
      <w:pPr>
        <w:ind w:left="8230" w:hanging="360"/>
      </w:pPr>
      <w:rPr>
        <w:rFonts w:hint="default"/>
        <w:lang w:val="en-US" w:eastAsia="en-US" w:bidi="ar-SA"/>
      </w:rPr>
    </w:lvl>
    <w:lvl w:ilvl="8">
      <w:start w:val="0"/>
      <w:numFmt w:val="bullet"/>
      <w:lvlText w:val="•"/>
      <w:lvlJc w:val="left"/>
      <w:pPr>
        <w:ind w:left="9362" w:hanging="360"/>
      </w:pPr>
      <w:rPr>
        <w:rFonts w:hint="default"/>
        <w:lang w:val="en-US" w:eastAsia="en-US" w:bidi="ar-SA"/>
      </w:rPr>
    </w:lvl>
  </w:abstractNum>
  <w:abstractNum w:abstractNumId="13">
    <w:multiLevelType w:val="hybridMultilevel"/>
    <w:lvl w:ilvl="0">
      <w:start w:val="3"/>
      <w:numFmt w:val="decimal"/>
      <w:lvlText w:val="%1"/>
      <w:lvlJc w:val="left"/>
      <w:pPr>
        <w:ind w:left="1551" w:hanging="840"/>
        <w:jc w:val="left"/>
      </w:pPr>
      <w:rPr>
        <w:rFonts w:hint="default"/>
        <w:lang w:val="en-US" w:eastAsia="en-US" w:bidi="ar-SA"/>
      </w:rPr>
    </w:lvl>
    <w:lvl w:ilvl="1">
      <w:start w:val="1"/>
      <w:numFmt w:val="decimal"/>
      <w:lvlText w:val="%1.%2"/>
      <w:lvlJc w:val="left"/>
      <w:pPr>
        <w:ind w:left="1551" w:hanging="840"/>
        <w:jc w:val="left"/>
      </w:pPr>
      <w:rPr>
        <w:rFonts w:hint="default"/>
        <w:spacing w:val="0"/>
        <w:w w:val="100"/>
        <w:lang w:val="en-US" w:eastAsia="en-US" w:bidi="ar-SA"/>
      </w:rPr>
    </w:lvl>
    <w:lvl w:ilvl="2">
      <w:start w:val="1"/>
      <w:numFmt w:val="decimal"/>
      <w:lvlText w:val="%1.%2.%3"/>
      <w:lvlJc w:val="left"/>
      <w:pPr>
        <w:ind w:left="1671" w:hanging="961"/>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2092" w:hanging="961"/>
      </w:pPr>
      <w:rPr>
        <w:rFonts w:hint="default"/>
        <w:lang w:val="en-US" w:eastAsia="en-US" w:bidi="ar-SA"/>
      </w:rPr>
    </w:lvl>
    <w:lvl w:ilvl="4">
      <w:start w:val="0"/>
      <w:numFmt w:val="bullet"/>
      <w:lvlText w:val="•"/>
      <w:lvlJc w:val="left"/>
      <w:pPr>
        <w:ind w:left="2299" w:hanging="961"/>
      </w:pPr>
      <w:rPr>
        <w:rFonts w:hint="default"/>
        <w:lang w:val="en-US" w:eastAsia="en-US" w:bidi="ar-SA"/>
      </w:rPr>
    </w:lvl>
    <w:lvl w:ilvl="5">
      <w:start w:val="0"/>
      <w:numFmt w:val="bullet"/>
      <w:lvlText w:val="•"/>
      <w:lvlJc w:val="left"/>
      <w:pPr>
        <w:ind w:left="2505" w:hanging="961"/>
      </w:pPr>
      <w:rPr>
        <w:rFonts w:hint="default"/>
        <w:lang w:val="en-US" w:eastAsia="en-US" w:bidi="ar-SA"/>
      </w:rPr>
    </w:lvl>
    <w:lvl w:ilvl="6">
      <w:start w:val="0"/>
      <w:numFmt w:val="bullet"/>
      <w:lvlText w:val="•"/>
      <w:lvlJc w:val="left"/>
      <w:pPr>
        <w:ind w:left="2711" w:hanging="961"/>
      </w:pPr>
      <w:rPr>
        <w:rFonts w:hint="default"/>
        <w:lang w:val="en-US" w:eastAsia="en-US" w:bidi="ar-SA"/>
      </w:rPr>
    </w:lvl>
    <w:lvl w:ilvl="7">
      <w:start w:val="0"/>
      <w:numFmt w:val="bullet"/>
      <w:lvlText w:val="•"/>
      <w:lvlJc w:val="left"/>
      <w:pPr>
        <w:ind w:left="2918" w:hanging="961"/>
      </w:pPr>
      <w:rPr>
        <w:rFonts w:hint="default"/>
        <w:lang w:val="en-US" w:eastAsia="en-US" w:bidi="ar-SA"/>
      </w:rPr>
    </w:lvl>
    <w:lvl w:ilvl="8">
      <w:start w:val="0"/>
      <w:numFmt w:val="bullet"/>
      <w:lvlText w:val="•"/>
      <w:lvlJc w:val="left"/>
      <w:pPr>
        <w:ind w:left="3124" w:hanging="961"/>
      </w:pPr>
      <w:rPr>
        <w:rFonts w:hint="default"/>
        <w:lang w:val="en-US" w:eastAsia="en-US" w:bidi="ar-SA"/>
      </w:rPr>
    </w:lvl>
  </w:abstractNum>
  <w:abstractNum w:abstractNumId="12">
    <w:multiLevelType w:val="hybridMultilevel"/>
    <w:lvl w:ilvl="0">
      <w:start w:val="1"/>
      <w:numFmt w:val="lowerRoman"/>
      <w:lvlText w:val="(%1)"/>
      <w:lvlJc w:val="left"/>
      <w:pPr>
        <w:ind w:left="1431" w:hanging="721"/>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2458" w:hanging="721"/>
      </w:pPr>
      <w:rPr>
        <w:rFonts w:hint="default"/>
        <w:lang w:val="en-US" w:eastAsia="en-US" w:bidi="ar-SA"/>
      </w:rPr>
    </w:lvl>
    <w:lvl w:ilvl="2">
      <w:start w:val="0"/>
      <w:numFmt w:val="bullet"/>
      <w:lvlText w:val="•"/>
      <w:lvlJc w:val="left"/>
      <w:pPr>
        <w:ind w:left="3477" w:hanging="721"/>
      </w:pPr>
      <w:rPr>
        <w:rFonts w:hint="default"/>
        <w:lang w:val="en-US" w:eastAsia="en-US" w:bidi="ar-SA"/>
      </w:rPr>
    </w:lvl>
    <w:lvl w:ilvl="3">
      <w:start w:val="0"/>
      <w:numFmt w:val="bullet"/>
      <w:lvlText w:val="•"/>
      <w:lvlJc w:val="left"/>
      <w:pPr>
        <w:ind w:left="4495" w:hanging="721"/>
      </w:pPr>
      <w:rPr>
        <w:rFonts w:hint="default"/>
        <w:lang w:val="en-US" w:eastAsia="en-US" w:bidi="ar-SA"/>
      </w:rPr>
    </w:lvl>
    <w:lvl w:ilvl="4">
      <w:start w:val="0"/>
      <w:numFmt w:val="bullet"/>
      <w:lvlText w:val="•"/>
      <w:lvlJc w:val="left"/>
      <w:pPr>
        <w:ind w:left="5514" w:hanging="721"/>
      </w:pPr>
      <w:rPr>
        <w:rFonts w:hint="default"/>
        <w:lang w:val="en-US" w:eastAsia="en-US" w:bidi="ar-SA"/>
      </w:rPr>
    </w:lvl>
    <w:lvl w:ilvl="5">
      <w:start w:val="0"/>
      <w:numFmt w:val="bullet"/>
      <w:lvlText w:val="•"/>
      <w:lvlJc w:val="left"/>
      <w:pPr>
        <w:ind w:left="6533" w:hanging="721"/>
      </w:pPr>
      <w:rPr>
        <w:rFonts w:hint="default"/>
        <w:lang w:val="en-US" w:eastAsia="en-US" w:bidi="ar-SA"/>
      </w:rPr>
    </w:lvl>
    <w:lvl w:ilvl="6">
      <w:start w:val="0"/>
      <w:numFmt w:val="bullet"/>
      <w:lvlText w:val="•"/>
      <w:lvlJc w:val="left"/>
      <w:pPr>
        <w:ind w:left="7551" w:hanging="721"/>
      </w:pPr>
      <w:rPr>
        <w:rFonts w:hint="default"/>
        <w:lang w:val="en-US" w:eastAsia="en-US" w:bidi="ar-SA"/>
      </w:rPr>
    </w:lvl>
    <w:lvl w:ilvl="7">
      <w:start w:val="0"/>
      <w:numFmt w:val="bullet"/>
      <w:lvlText w:val="•"/>
      <w:lvlJc w:val="left"/>
      <w:pPr>
        <w:ind w:left="8570" w:hanging="721"/>
      </w:pPr>
      <w:rPr>
        <w:rFonts w:hint="default"/>
        <w:lang w:val="en-US" w:eastAsia="en-US" w:bidi="ar-SA"/>
      </w:rPr>
    </w:lvl>
    <w:lvl w:ilvl="8">
      <w:start w:val="0"/>
      <w:numFmt w:val="bullet"/>
      <w:lvlText w:val="•"/>
      <w:lvlJc w:val="left"/>
      <w:pPr>
        <w:ind w:left="9589" w:hanging="721"/>
      </w:pPr>
      <w:rPr>
        <w:rFonts w:hint="default"/>
        <w:lang w:val="en-US" w:eastAsia="en-US" w:bidi="ar-SA"/>
      </w:rPr>
    </w:lvl>
  </w:abstractNum>
  <w:abstractNum w:abstractNumId="11">
    <w:multiLevelType w:val="hybridMultilevel"/>
    <w:lvl w:ilvl="0">
      <w:start w:val="1"/>
      <w:numFmt w:val="lowerRoman"/>
      <w:lvlText w:val="(%1)"/>
      <w:lvlJc w:val="left"/>
      <w:pPr>
        <w:ind w:left="1431" w:hanging="721"/>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2458" w:hanging="721"/>
      </w:pPr>
      <w:rPr>
        <w:rFonts w:hint="default"/>
        <w:lang w:val="en-US" w:eastAsia="en-US" w:bidi="ar-SA"/>
      </w:rPr>
    </w:lvl>
    <w:lvl w:ilvl="2">
      <w:start w:val="0"/>
      <w:numFmt w:val="bullet"/>
      <w:lvlText w:val="•"/>
      <w:lvlJc w:val="left"/>
      <w:pPr>
        <w:ind w:left="3477" w:hanging="721"/>
      </w:pPr>
      <w:rPr>
        <w:rFonts w:hint="default"/>
        <w:lang w:val="en-US" w:eastAsia="en-US" w:bidi="ar-SA"/>
      </w:rPr>
    </w:lvl>
    <w:lvl w:ilvl="3">
      <w:start w:val="0"/>
      <w:numFmt w:val="bullet"/>
      <w:lvlText w:val="•"/>
      <w:lvlJc w:val="left"/>
      <w:pPr>
        <w:ind w:left="4495" w:hanging="721"/>
      </w:pPr>
      <w:rPr>
        <w:rFonts w:hint="default"/>
        <w:lang w:val="en-US" w:eastAsia="en-US" w:bidi="ar-SA"/>
      </w:rPr>
    </w:lvl>
    <w:lvl w:ilvl="4">
      <w:start w:val="0"/>
      <w:numFmt w:val="bullet"/>
      <w:lvlText w:val="•"/>
      <w:lvlJc w:val="left"/>
      <w:pPr>
        <w:ind w:left="5514" w:hanging="721"/>
      </w:pPr>
      <w:rPr>
        <w:rFonts w:hint="default"/>
        <w:lang w:val="en-US" w:eastAsia="en-US" w:bidi="ar-SA"/>
      </w:rPr>
    </w:lvl>
    <w:lvl w:ilvl="5">
      <w:start w:val="0"/>
      <w:numFmt w:val="bullet"/>
      <w:lvlText w:val="•"/>
      <w:lvlJc w:val="left"/>
      <w:pPr>
        <w:ind w:left="6533" w:hanging="721"/>
      </w:pPr>
      <w:rPr>
        <w:rFonts w:hint="default"/>
        <w:lang w:val="en-US" w:eastAsia="en-US" w:bidi="ar-SA"/>
      </w:rPr>
    </w:lvl>
    <w:lvl w:ilvl="6">
      <w:start w:val="0"/>
      <w:numFmt w:val="bullet"/>
      <w:lvlText w:val="•"/>
      <w:lvlJc w:val="left"/>
      <w:pPr>
        <w:ind w:left="7551" w:hanging="721"/>
      </w:pPr>
      <w:rPr>
        <w:rFonts w:hint="default"/>
        <w:lang w:val="en-US" w:eastAsia="en-US" w:bidi="ar-SA"/>
      </w:rPr>
    </w:lvl>
    <w:lvl w:ilvl="7">
      <w:start w:val="0"/>
      <w:numFmt w:val="bullet"/>
      <w:lvlText w:val="•"/>
      <w:lvlJc w:val="left"/>
      <w:pPr>
        <w:ind w:left="8570" w:hanging="721"/>
      </w:pPr>
      <w:rPr>
        <w:rFonts w:hint="default"/>
        <w:lang w:val="en-US" w:eastAsia="en-US" w:bidi="ar-SA"/>
      </w:rPr>
    </w:lvl>
    <w:lvl w:ilvl="8">
      <w:start w:val="0"/>
      <w:numFmt w:val="bullet"/>
      <w:lvlText w:val="•"/>
      <w:lvlJc w:val="left"/>
      <w:pPr>
        <w:ind w:left="9589" w:hanging="721"/>
      </w:pPr>
      <w:rPr>
        <w:rFonts w:hint="default"/>
        <w:lang w:val="en-US" w:eastAsia="en-US" w:bidi="ar-SA"/>
      </w:rPr>
    </w:lvl>
  </w:abstractNum>
  <w:abstractNum w:abstractNumId="10">
    <w:multiLevelType w:val="hybridMultilevel"/>
    <w:lvl w:ilvl="0">
      <w:start w:val="1"/>
      <w:numFmt w:val="lowerRoman"/>
      <w:lvlText w:val="(%1)"/>
      <w:lvlJc w:val="left"/>
      <w:pPr>
        <w:ind w:left="1431" w:hanging="721"/>
        <w:jc w:val="left"/>
      </w:pPr>
      <w:rPr>
        <w:rFonts w:hint="default"/>
        <w:spacing w:val="0"/>
        <w:w w:val="100"/>
        <w:lang w:val="en-US" w:eastAsia="en-US" w:bidi="ar-SA"/>
      </w:rPr>
    </w:lvl>
    <w:lvl w:ilvl="1">
      <w:start w:val="0"/>
      <w:numFmt w:val="bullet"/>
      <w:lvlText w:val="•"/>
      <w:lvlJc w:val="left"/>
      <w:pPr>
        <w:ind w:left="2458" w:hanging="721"/>
      </w:pPr>
      <w:rPr>
        <w:rFonts w:hint="default"/>
        <w:lang w:val="en-US" w:eastAsia="en-US" w:bidi="ar-SA"/>
      </w:rPr>
    </w:lvl>
    <w:lvl w:ilvl="2">
      <w:start w:val="0"/>
      <w:numFmt w:val="bullet"/>
      <w:lvlText w:val="•"/>
      <w:lvlJc w:val="left"/>
      <w:pPr>
        <w:ind w:left="3477" w:hanging="721"/>
      </w:pPr>
      <w:rPr>
        <w:rFonts w:hint="default"/>
        <w:lang w:val="en-US" w:eastAsia="en-US" w:bidi="ar-SA"/>
      </w:rPr>
    </w:lvl>
    <w:lvl w:ilvl="3">
      <w:start w:val="0"/>
      <w:numFmt w:val="bullet"/>
      <w:lvlText w:val="•"/>
      <w:lvlJc w:val="left"/>
      <w:pPr>
        <w:ind w:left="4495" w:hanging="721"/>
      </w:pPr>
      <w:rPr>
        <w:rFonts w:hint="default"/>
        <w:lang w:val="en-US" w:eastAsia="en-US" w:bidi="ar-SA"/>
      </w:rPr>
    </w:lvl>
    <w:lvl w:ilvl="4">
      <w:start w:val="0"/>
      <w:numFmt w:val="bullet"/>
      <w:lvlText w:val="•"/>
      <w:lvlJc w:val="left"/>
      <w:pPr>
        <w:ind w:left="5514" w:hanging="721"/>
      </w:pPr>
      <w:rPr>
        <w:rFonts w:hint="default"/>
        <w:lang w:val="en-US" w:eastAsia="en-US" w:bidi="ar-SA"/>
      </w:rPr>
    </w:lvl>
    <w:lvl w:ilvl="5">
      <w:start w:val="0"/>
      <w:numFmt w:val="bullet"/>
      <w:lvlText w:val="•"/>
      <w:lvlJc w:val="left"/>
      <w:pPr>
        <w:ind w:left="6533" w:hanging="721"/>
      </w:pPr>
      <w:rPr>
        <w:rFonts w:hint="default"/>
        <w:lang w:val="en-US" w:eastAsia="en-US" w:bidi="ar-SA"/>
      </w:rPr>
    </w:lvl>
    <w:lvl w:ilvl="6">
      <w:start w:val="0"/>
      <w:numFmt w:val="bullet"/>
      <w:lvlText w:val="•"/>
      <w:lvlJc w:val="left"/>
      <w:pPr>
        <w:ind w:left="7551" w:hanging="721"/>
      </w:pPr>
      <w:rPr>
        <w:rFonts w:hint="default"/>
        <w:lang w:val="en-US" w:eastAsia="en-US" w:bidi="ar-SA"/>
      </w:rPr>
    </w:lvl>
    <w:lvl w:ilvl="7">
      <w:start w:val="0"/>
      <w:numFmt w:val="bullet"/>
      <w:lvlText w:val="•"/>
      <w:lvlJc w:val="left"/>
      <w:pPr>
        <w:ind w:left="8570" w:hanging="721"/>
      </w:pPr>
      <w:rPr>
        <w:rFonts w:hint="default"/>
        <w:lang w:val="en-US" w:eastAsia="en-US" w:bidi="ar-SA"/>
      </w:rPr>
    </w:lvl>
    <w:lvl w:ilvl="8">
      <w:start w:val="0"/>
      <w:numFmt w:val="bullet"/>
      <w:lvlText w:val="•"/>
      <w:lvlJc w:val="left"/>
      <w:pPr>
        <w:ind w:left="9589" w:hanging="721"/>
      </w:pPr>
      <w:rPr>
        <w:rFonts w:hint="default"/>
        <w:lang w:val="en-US" w:eastAsia="en-US" w:bidi="ar-SA"/>
      </w:rPr>
    </w:lvl>
  </w:abstractNum>
  <w:abstractNum w:abstractNumId="9">
    <w:multiLevelType w:val="hybridMultilevel"/>
    <w:lvl w:ilvl="0">
      <w:start w:val="2"/>
      <w:numFmt w:val="decimal"/>
      <w:lvlText w:val="%1"/>
      <w:lvlJc w:val="left"/>
      <w:pPr>
        <w:ind w:left="1431" w:hanging="601"/>
        <w:jc w:val="left"/>
      </w:pPr>
      <w:rPr>
        <w:rFonts w:hint="default"/>
        <w:lang w:val="en-US" w:eastAsia="en-US" w:bidi="ar-SA"/>
      </w:rPr>
    </w:lvl>
    <w:lvl w:ilvl="1">
      <w:start w:val="1"/>
      <w:numFmt w:val="decimal"/>
      <w:lvlText w:val="%1.%2"/>
      <w:lvlJc w:val="left"/>
      <w:pPr>
        <w:ind w:left="1431" w:hanging="601"/>
        <w:jc w:val="right"/>
      </w:pPr>
      <w:rPr>
        <w:rFonts w:hint="default"/>
        <w:spacing w:val="0"/>
        <w:w w:val="100"/>
        <w:lang w:val="en-US" w:eastAsia="en-US" w:bidi="ar-SA"/>
      </w:rPr>
    </w:lvl>
    <w:lvl w:ilvl="2">
      <w:start w:val="0"/>
      <w:numFmt w:val="bullet"/>
      <w:lvlText w:val="•"/>
      <w:lvlJc w:val="left"/>
      <w:pPr>
        <w:ind w:left="3477" w:hanging="601"/>
      </w:pPr>
      <w:rPr>
        <w:rFonts w:hint="default"/>
        <w:lang w:val="en-US" w:eastAsia="en-US" w:bidi="ar-SA"/>
      </w:rPr>
    </w:lvl>
    <w:lvl w:ilvl="3">
      <w:start w:val="0"/>
      <w:numFmt w:val="bullet"/>
      <w:lvlText w:val="•"/>
      <w:lvlJc w:val="left"/>
      <w:pPr>
        <w:ind w:left="4495" w:hanging="601"/>
      </w:pPr>
      <w:rPr>
        <w:rFonts w:hint="default"/>
        <w:lang w:val="en-US" w:eastAsia="en-US" w:bidi="ar-SA"/>
      </w:rPr>
    </w:lvl>
    <w:lvl w:ilvl="4">
      <w:start w:val="0"/>
      <w:numFmt w:val="bullet"/>
      <w:lvlText w:val="•"/>
      <w:lvlJc w:val="left"/>
      <w:pPr>
        <w:ind w:left="5514" w:hanging="601"/>
      </w:pPr>
      <w:rPr>
        <w:rFonts w:hint="default"/>
        <w:lang w:val="en-US" w:eastAsia="en-US" w:bidi="ar-SA"/>
      </w:rPr>
    </w:lvl>
    <w:lvl w:ilvl="5">
      <w:start w:val="0"/>
      <w:numFmt w:val="bullet"/>
      <w:lvlText w:val="•"/>
      <w:lvlJc w:val="left"/>
      <w:pPr>
        <w:ind w:left="6533" w:hanging="601"/>
      </w:pPr>
      <w:rPr>
        <w:rFonts w:hint="default"/>
        <w:lang w:val="en-US" w:eastAsia="en-US" w:bidi="ar-SA"/>
      </w:rPr>
    </w:lvl>
    <w:lvl w:ilvl="6">
      <w:start w:val="0"/>
      <w:numFmt w:val="bullet"/>
      <w:lvlText w:val="•"/>
      <w:lvlJc w:val="left"/>
      <w:pPr>
        <w:ind w:left="7551" w:hanging="601"/>
      </w:pPr>
      <w:rPr>
        <w:rFonts w:hint="default"/>
        <w:lang w:val="en-US" w:eastAsia="en-US" w:bidi="ar-SA"/>
      </w:rPr>
    </w:lvl>
    <w:lvl w:ilvl="7">
      <w:start w:val="0"/>
      <w:numFmt w:val="bullet"/>
      <w:lvlText w:val="•"/>
      <w:lvlJc w:val="left"/>
      <w:pPr>
        <w:ind w:left="8570" w:hanging="601"/>
      </w:pPr>
      <w:rPr>
        <w:rFonts w:hint="default"/>
        <w:lang w:val="en-US" w:eastAsia="en-US" w:bidi="ar-SA"/>
      </w:rPr>
    </w:lvl>
    <w:lvl w:ilvl="8">
      <w:start w:val="0"/>
      <w:numFmt w:val="bullet"/>
      <w:lvlText w:val="•"/>
      <w:lvlJc w:val="left"/>
      <w:pPr>
        <w:ind w:left="9589" w:hanging="601"/>
      </w:pPr>
      <w:rPr>
        <w:rFonts w:hint="default"/>
        <w:lang w:val="en-US" w:eastAsia="en-US" w:bidi="ar-SA"/>
      </w:rPr>
    </w:lvl>
  </w:abstractNum>
  <w:abstractNum w:abstractNumId="8">
    <w:multiLevelType w:val="hybridMultilevel"/>
    <w:lvl w:ilvl="0">
      <w:start w:val="1"/>
      <w:numFmt w:val="lowerRoman"/>
      <w:lvlText w:val="%1."/>
      <w:lvlJc w:val="left"/>
      <w:pPr>
        <w:ind w:left="711" w:hanging="72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810" w:hanging="721"/>
      </w:pPr>
      <w:rPr>
        <w:rFonts w:hint="default"/>
        <w:lang w:val="en-US" w:eastAsia="en-US" w:bidi="ar-SA"/>
      </w:rPr>
    </w:lvl>
    <w:lvl w:ilvl="2">
      <w:start w:val="0"/>
      <w:numFmt w:val="bullet"/>
      <w:lvlText w:val="•"/>
      <w:lvlJc w:val="left"/>
      <w:pPr>
        <w:ind w:left="2901" w:hanging="721"/>
      </w:pPr>
      <w:rPr>
        <w:rFonts w:hint="default"/>
        <w:lang w:val="en-US" w:eastAsia="en-US" w:bidi="ar-SA"/>
      </w:rPr>
    </w:lvl>
    <w:lvl w:ilvl="3">
      <w:start w:val="0"/>
      <w:numFmt w:val="bullet"/>
      <w:lvlText w:val="•"/>
      <w:lvlJc w:val="left"/>
      <w:pPr>
        <w:ind w:left="3991" w:hanging="721"/>
      </w:pPr>
      <w:rPr>
        <w:rFonts w:hint="default"/>
        <w:lang w:val="en-US" w:eastAsia="en-US" w:bidi="ar-SA"/>
      </w:rPr>
    </w:lvl>
    <w:lvl w:ilvl="4">
      <w:start w:val="0"/>
      <w:numFmt w:val="bullet"/>
      <w:lvlText w:val="•"/>
      <w:lvlJc w:val="left"/>
      <w:pPr>
        <w:ind w:left="5082" w:hanging="721"/>
      </w:pPr>
      <w:rPr>
        <w:rFonts w:hint="default"/>
        <w:lang w:val="en-US" w:eastAsia="en-US" w:bidi="ar-SA"/>
      </w:rPr>
    </w:lvl>
    <w:lvl w:ilvl="5">
      <w:start w:val="0"/>
      <w:numFmt w:val="bullet"/>
      <w:lvlText w:val="•"/>
      <w:lvlJc w:val="left"/>
      <w:pPr>
        <w:ind w:left="6173" w:hanging="721"/>
      </w:pPr>
      <w:rPr>
        <w:rFonts w:hint="default"/>
        <w:lang w:val="en-US" w:eastAsia="en-US" w:bidi="ar-SA"/>
      </w:rPr>
    </w:lvl>
    <w:lvl w:ilvl="6">
      <w:start w:val="0"/>
      <w:numFmt w:val="bullet"/>
      <w:lvlText w:val="•"/>
      <w:lvlJc w:val="left"/>
      <w:pPr>
        <w:ind w:left="7263" w:hanging="721"/>
      </w:pPr>
      <w:rPr>
        <w:rFonts w:hint="default"/>
        <w:lang w:val="en-US" w:eastAsia="en-US" w:bidi="ar-SA"/>
      </w:rPr>
    </w:lvl>
    <w:lvl w:ilvl="7">
      <w:start w:val="0"/>
      <w:numFmt w:val="bullet"/>
      <w:lvlText w:val="•"/>
      <w:lvlJc w:val="left"/>
      <w:pPr>
        <w:ind w:left="8354" w:hanging="721"/>
      </w:pPr>
      <w:rPr>
        <w:rFonts w:hint="default"/>
        <w:lang w:val="en-US" w:eastAsia="en-US" w:bidi="ar-SA"/>
      </w:rPr>
    </w:lvl>
    <w:lvl w:ilvl="8">
      <w:start w:val="0"/>
      <w:numFmt w:val="bullet"/>
      <w:lvlText w:val="•"/>
      <w:lvlJc w:val="left"/>
      <w:pPr>
        <w:ind w:left="9445" w:hanging="721"/>
      </w:pPr>
      <w:rPr>
        <w:rFonts w:hint="default"/>
        <w:lang w:val="en-US" w:eastAsia="en-US" w:bidi="ar-SA"/>
      </w:rPr>
    </w:lvl>
  </w:abstractNum>
  <w:abstractNum w:abstractNumId="7">
    <w:multiLevelType w:val="hybridMultilevel"/>
    <w:lvl w:ilvl="0">
      <w:start w:val="1"/>
      <w:numFmt w:val="lowerRoman"/>
      <w:lvlText w:val="(%1)"/>
      <w:lvlJc w:val="left"/>
      <w:pPr>
        <w:ind w:left="1431" w:hanging="72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458" w:hanging="721"/>
      </w:pPr>
      <w:rPr>
        <w:rFonts w:hint="default"/>
        <w:lang w:val="en-US" w:eastAsia="en-US" w:bidi="ar-SA"/>
      </w:rPr>
    </w:lvl>
    <w:lvl w:ilvl="2">
      <w:start w:val="0"/>
      <w:numFmt w:val="bullet"/>
      <w:lvlText w:val="•"/>
      <w:lvlJc w:val="left"/>
      <w:pPr>
        <w:ind w:left="3477" w:hanging="721"/>
      </w:pPr>
      <w:rPr>
        <w:rFonts w:hint="default"/>
        <w:lang w:val="en-US" w:eastAsia="en-US" w:bidi="ar-SA"/>
      </w:rPr>
    </w:lvl>
    <w:lvl w:ilvl="3">
      <w:start w:val="0"/>
      <w:numFmt w:val="bullet"/>
      <w:lvlText w:val="•"/>
      <w:lvlJc w:val="left"/>
      <w:pPr>
        <w:ind w:left="4495" w:hanging="721"/>
      </w:pPr>
      <w:rPr>
        <w:rFonts w:hint="default"/>
        <w:lang w:val="en-US" w:eastAsia="en-US" w:bidi="ar-SA"/>
      </w:rPr>
    </w:lvl>
    <w:lvl w:ilvl="4">
      <w:start w:val="0"/>
      <w:numFmt w:val="bullet"/>
      <w:lvlText w:val="•"/>
      <w:lvlJc w:val="left"/>
      <w:pPr>
        <w:ind w:left="5514" w:hanging="721"/>
      </w:pPr>
      <w:rPr>
        <w:rFonts w:hint="default"/>
        <w:lang w:val="en-US" w:eastAsia="en-US" w:bidi="ar-SA"/>
      </w:rPr>
    </w:lvl>
    <w:lvl w:ilvl="5">
      <w:start w:val="0"/>
      <w:numFmt w:val="bullet"/>
      <w:lvlText w:val="•"/>
      <w:lvlJc w:val="left"/>
      <w:pPr>
        <w:ind w:left="6533" w:hanging="721"/>
      </w:pPr>
      <w:rPr>
        <w:rFonts w:hint="default"/>
        <w:lang w:val="en-US" w:eastAsia="en-US" w:bidi="ar-SA"/>
      </w:rPr>
    </w:lvl>
    <w:lvl w:ilvl="6">
      <w:start w:val="0"/>
      <w:numFmt w:val="bullet"/>
      <w:lvlText w:val="•"/>
      <w:lvlJc w:val="left"/>
      <w:pPr>
        <w:ind w:left="7551" w:hanging="721"/>
      </w:pPr>
      <w:rPr>
        <w:rFonts w:hint="default"/>
        <w:lang w:val="en-US" w:eastAsia="en-US" w:bidi="ar-SA"/>
      </w:rPr>
    </w:lvl>
    <w:lvl w:ilvl="7">
      <w:start w:val="0"/>
      <w:numFmt w:val="bullet"/>
      <w:lvlText w:val="•"/>
      <w:lvlJc w:val="left"/>
      <w:pPr>
        <w:ind w:left="8570" w:hanging="721"/>
      </w:pPr>
      <w:rPr>
        <w:rFonts w:hint="default"/>
        <w:lang w:val="en-US" w:eastAsia="en-US" w:bidi="ar-SA"/>
      </w:rPr>
    </w:lvl>
    <w:lvl w:ilvl="8">
      <w:start w:val="0"/>
      <w:numFmt w:val="bullet"/>
      <w:lvlText w:val="•"/>
      <w:lvlJc w:val="left"/>
      <w:pPr>
        <w:ind w:left="9589" w:hanging="721"/>
      </w:pPr>
      <w:rPr>
        <w:rFonts w:hint="default"/>
        <w:lang w:val="en-US" w:eastAsia="en-US" w:bidi="ar-SA"/>
      </w:rPr>
    </w:lvl>
  </w:abstractNum>
  <w:abstractNum w:abstractNumId="6">
    <w:multiLevelType w:val="hybridMultilevel"/>
    <w:lvl w:ilvl="0">
      <w:start w:val="1"/>
      <w:numFmt w:val="decimal"/>
      <w:lvlText w:val="%1"/>
      <w:lvlJc w:val="left"/>
      <w:pPr>
        <w:ind w:left="1431" w:hanging="721"/>
        <w:jc w:val="left"/>
      </w:pPr>
      <w:rPr>
        <w:rFonts w:hint="default"/>
        <w:lang w:val="en-US" w:eastAsia="en-US" w:bidi="ar-SA"/>
      </w:rPr>
    </w:lvl>
    <w:lvl w:ilvl="1">
      <w:start w:val="1"/>
      <w:numFmt w:val="decimal"/>
      <w:lvlText w:val="%1.%2"/>
      <w:lvlJc w:val="left"/>
      <w:pPr>
        <w:ind w:left="1431" w:hanging="721"/>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431" w:hanging="721"/>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decimal"/>
      <w:lvlText w:val="%4."/>
      <w:lvlJc w:val="left"/>
      <w:pPr>
        <w:ind w:left="2151"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4">
      <w:start w:val="0"/>
      <w:numFmt w:val="bullet"/>
      <w:lvlText w:val="•"/>
      <w:lvlJc w:val="left"/>
      <w:pPr>
        <w:ind w:left="5315" w:hanging="720"/>
      </w:pPr>
      <w:rPr>
        <w:rFonts w:hint="default"/>
        <w:lang w:val="en-US" w:eastAsia="en-US" w:bidi="ar-SA"/>
      </w:rPr>
    </w:lvl>
    <w:lvl w:ilvl="5">
      <w:start w:val="0"/>
      <w:numFmt w:val="bullet"/>
      <w:lvlText w:val="•"/>
      <w:lvlJc w:val="left"/>
      <w:pPr>
        <w:ind w:left="6367" w:hanging="720"/>
      </w:pPr>
      <w:rPr>
        <w:rFonts w:hint="default"/>
        <w:lang w:val="en-US" w:eastAsia="en-US" w:bidi="ar-SA"/>
      </w:rPr>
    </w:lvl>
    <w:lvl w:ilvl="6">
      <w:start w:val="0"/>
      <w:numFmt w:val="bullet"/>
      <w:lvlText w:val="•"/>
      <w:lvlJc w:val="left"/>
      <w:pPr>
        <w:ind w:left="7419" w:hanging="720"/>
      </w:pPr>
      <w:rPr>
        <w:rFonts w:hint="default"/>
        <w:lang w:val="en-US" w:eastAsia="en-US" w:bidi="ar-SA"/>
      </w:rPr>
    </w:lvl>
    <w:lvl w:ilvl="7">
      <w:start w:val="0"/>
      <w:numFmt w:val="bullet"/>
      <w:lvlText w:val="•"/>
      <w:lvlJc w:val="left"/>
      <w:pPr>
        <w:ind w:left="8470" w:hanging="720"/>
      </w:pPr>
      <w:rPr>
        <w:rFonts w:hint="default"/>
        <w:lang w:val="en-US" w:eastAsia="en-US" w:bidi="ar-SA"/>
      </w:rPr>
    </w:lvl>
    <w:lvl w:ilvl="8">
      <w:start w:val="0"/>
      <w:numFmt w:val="bullet"/>
      <w:lvlText w:val="•"/>
      <w:lvlJc w:val="left"/>
      <w:pPr>
        <w:ind w:left="9522" w:hanging="720"/>
      </w:pPr>
      <w:rPr>
        <w:rFonts w:hint="default"/>
        <w:lang w:val="en-US" w:eastAsia="en-US" w:bidi="ar-SA"/>
      </w:rPr>
    </w:lvl>
  </w:abstractNum>
  <w:abstractNum w:abstractNumId="5">
    <w:multiLevelType w:val="hybridMultilevel"/>
    <w:lvl w:ilvl="0">
      <w:start w:val="6"/>
      <w:numFmt w:val="decimal"/>
      <w:lvlText w:val="%1"/>
      <w:lvlJc w:val="left"/>
      <w:pPr>
        <w:ind w:left="1690" w:hanging="632"/>
        <w:jc w:val="left"/>
      </w:pPr>
      <w:rPr>
        <w:rFonts w:hint="default"/>
        <w:lang w:val="en-US" w:eastAsia="en-US" w:bidi="ar-SA"/>
      </w:rPr>
    </w:lvl>
    <w:lvl w:ilvl="1">
      <w:start w:val="1"/>
      <w:numFmt w:val="decimal"/>
      <w:lvlText w:val="%1.%2"/>
      <w:lvlJc w:val="left"/>
      <w:pPr>
        <w:ind w:left="1690" w:hanging="632"/>
        <w:jc w:val="left"/>
      </w:pPr>
      <w:rPr>
        <w:rFonts w:hint="default"/>
        <w:spacing w:val="0"/>
        <w:w w:val="100"/>
        <w:lang w:val="en-US" w:eastAsia="en-US" w:bidi="ar-SA"/>
      </w:rPr>
    </w:lvl>
    <w:lvl w:ilvl="2">
      <w:start w:val="0"/>
      <w:numFmt w:val="bullet"/>
      <w:lvlText w:val="•"/>
      <w:lvlJc w:val="left"/>
      <w:pPr>
        <w:ind w:left="3685" w:hanging="632"/>
      </w:pPr>
      <w:rPr>
        <w:rFonts w:hint="default"/>
        <w:lang w:val="en-US" w:eastAsia="en-US" w:bidi="ar-SA"/>
      </w:rPr>
    </w:lvl>
    <w:lvl w:ilvl="3">
      <w:start w:val="0"/>
      <w:numFmt w:val="bullet"/>
      <w:lvlText w:val="•"/>
      <w:lvlJc w:val="left"/>
      <w:pPr>
        <w:ind w:left="4677" w:hanging="632"/>
      </w:pPr>
      <w:rPr>
        <w:rFonts w:hint="default"/>
        <w:lang w:val="en-US" w:eastAsia="en-US" w:bidi="ar-SA"/>
      </w:rPr>
    </w:lvl>
    <w:lvl w:ilvl="4">
      <w:start w:val="0"/>
      <w:numFmt w:val="bullet"/>
      <w:lvlText w:val="•"/>
      <w:lvlJc w:val="left"/>
      <w:pPr>
        <w:ind w:left="5670" w:hanging="632"/>
      </w:pPr>
      <w:rPr>
        <w:rFonts w:hint="default"/>
        <w:lang w:val="en-US" w:eastAsia="en-US" w:bidi="ar-SA"/>
      </w:rPr>
    </w:lvl>
    <w:lvl w:ilvl="5">
      <w:start w:val="0"/>
      <w:numFmt w:val="bullet"/>
      <w:lvlText w:val="•"/>
      <w:lvlJc w:val="left"/>
      <w:pPr>
        <w:ind w:left="6663" w:hanging="632"/>
      </w:pPr>
      <w:rPr>
        <w:rFonts w:hint="default"/>
        <w:lang w:val="en-US" w:eastAsia="en-US" w:bidi="ar-SA"/>
      </w:rPr>
    </w:lvl>
    <w:lvl w:ilvl="6">
      <w:start w:val="0"/>
      <w:numFmt w:val="bullet"/>
      <w:lvlText w:val="•"/>
      <w:lvlJc w:val="left"/>
      <w:pPr>
        <w:ind w:left="7655" w:hanging="632"/>
      </w:pPr>
      <w:rPr>
        <w:rFonts w:hint="default"/>
        <w:lang w:val="en-US" w:eastAsia="en-US" w:bidi="ar-SA"/>
      </w:rPr>
    </w:lvl>
    <w:lvl w:ilvl="7">
      <w:start w:val="0"/>
      <w:numFmt w:val="bullet"/>
      <w:lvlText w:val="•"/>
      <w:lvlJc w:val="left"/>
      <w:pPr>
        <w:ind w:left="8648" w:hanging="632"/>
      </w:pPr>
      <w:rPr>
        <w:rFonts w:hint="default"/>
        <w:lang w:val="en-US" w:eastAsia="en-US" w:bidi="ar-SA"/>
      </w:rPr>
    </w:lvl>
    <w:lvl w:ilvl="8">
      <w:start w:val="0"/>
      <w:numFmt w:val="bullet"/>
      <w:lvlText w:val="•"/>
      <w:lvlJc w:val="left"/>
      <w:pPr>
        <w:ind w:left="9641" w:hanging="632"/>
      </w:pPr>
      <w:rPr>
        <w:rFonts w:hint="default"/>
        <w:lang w:val="en-US" w:eastAsia="en-US" w:bidi="ar-SA"/>
      </w:rPr>
    </w:lvl>
  </w:abstractNum>
  <w:abstractNum w:abstractNumId="4">
    <w:multiLevelType w:val="hybridMultilevel"/>
    <w:lvl w:ilvl="0">
      <w:start w:val="5"/>
      <w:numFmt w:val="decimal"/>
      <w:lvlText w:val="%1"/>
      <w:lvlJc w:val="left"/>
      <w:pPr>
        <w:ind w:left="1371" w:hanging="601"/>
        <w:jc w:val="left"/>
      </w:pPr>
      <w:rPr>
        <w:rFonts w:hint="default"/>
        <w:lang w:val="en-US" w:eastAsia="en-US" w:bidi="ar-SA"/>
      </w:rPr>
    </w:lvl>
    <w:lvl w:ilvl="1">
      <w:start w:val="1"/>
      <w:numFmt w:val="decimal"/>
      <w:lvlText w:val="%1.%2"/>
      <w:lvlJc w:val="left"/>
      <w:pPr>
        <w:ind w:left="1371" w:hanging="60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429" w:hanging="601"/>
      </w:pPr>
      <w:rPr>
        <w:rFonts w:hint="default"/>
        <w:lang w:val="en-US" w:eastAsia="en-US" w:bidi="ar-SA"/>
      </w:rPr>
    </w:lvl>
    <w:lvl w:ilvl="3">
      <w:start w:val="0"/>
      <w:numFmt w:val="bullet"/>
      <w:lvlText w:val="•"/>
      <w:lvlJc w:val="left"/>
      <w:pPr>
        <w:ind w:left="4453" w:hanging="601"/>
      </w:pPr>
      <w:rPr>
        <w:rFonts w:hint="default"/>
        <w:lang w:val="en-US" w:eastAsia="en-US" w:bidi="ar-SA"/>
      </w:rPr>
    </w:lvl>
    <w:lvl w:ilvl="4">
      <w:start w:val="0"/>
      <w:numFmt w:val="bullet"/>
      <w:lvlText w:val="•"/>
      <w:lvlJc w:val="left"/>
      <w:pPr>
        <w:ind w:left="5478" w:hanging="601"/>
      </w:pPr>
      <w:rPr>
        <w:rFonts w:hint="default"/>
        <w:lang w:val="en-US" w:eastAsia="en-US" w:bidi="ar-SA"/>
      </w:rPr>
    </w:lvl>
    <w:lvl w:ilvl="5">
      <w:start w:val="0"/>
      <w:numFmt w:val="bullet"/>
      <w:lvlText w:val="•"/>
      <w:lvlJc w:val="left"/>
      <w:pPr>
        <w:ind w:left="6503" w:hanging="601"/>
      </w:pPr>
      <w:rPr>
        <w:rFonts w:hint="default"/>
        <w:lang w:val="en-US" w:eastAsia="en-US" w:bidi="ar-SA"/>
      </w:rPr>
    </w:lvl>
    <w:lvl w:ilvl="6">
      <w:start w:val="0"/>
      <w:numFmt w:val="bullet"/>
      <w:lvlText w:val="•"/>
      <w:lvlJc w:val="left"/>
      <w:pPr>
        <w:ind w:left="7527" w:hanging="601"/>
      </w:pPr>
      <w:rPr>
        <w:rFonts w:hint="default"/>
        <w:lang w:val="en-US" w:eastAsia="en-US" w:bidi="ar-SA"/>
      </w:rPr>
    </w:lvl>
    <w:lvl w:ilvl="7">
      <w:start w:val="0"/>
      <w:numFmt w:val="bullet"/>
      <w:lvlText w:val="•"/>
      <w:lvlJc w:val="left"/>
      <w:pPr>
        <w:ind w:left="8552" w:hanging="601"/>
      </w:pPr>
      <w:rPr>
        <w:rFonts w:hint="default"/>
        <w:lang w:val="en-US" w:eastAsia="en-US" w:bidi="ar-SA"/>
      </w:rPr>
    </w:lvl>
    <w:lvl w:ilvl="8">
      <w:start w:val="0"/>
      <w:numFmt w:val="bullet"/>
      <w:lvlText w:val="•"/>
      <w:lvlJc w:val="left"/>
      <w:pPr>
        <w:ind w:left="9577" w:hanging="601"/>
      </w:pPr>
      <w:rPr>
        <w:rFonts w:hint="default"/>
        <w:lang w:val="en-US" w:eastAsia="en-US" w:bidi="ar-SA"/>
      </w:rPr>
    </w:lvl>
  </w:abstractNum>
  <w:abstractNum w:abstractNumId="3">
    <w:multiLevelType w:val="hybridMultilevel"/>
    <w:lvl w:ilvl="0">
      <w:start w:val="4"/>
      <w:numFmt w:val="decimal"/>
      <w:lvlText w:val="%1"/>
      <w:lvlJc w:val="left"/>
      <w:pPr>
        <w:ind w:left="1251" w:hanging="540"/>
        <w:jc w:val="left"/>
      </w:pPr>
      <w:rPr>
        <w:rFonts w:hint="default"/>
        <w:lang w:val="en-US" w:eastAsia="en-US" w:bidi="ar-SA"/>
      </w:rPr>
    </w:lvl>
    <w:lvl w:ilvl="1">
      <w:start w:val="7"/>
      <w:numFmt w:val="decimal"/>
      <w:lvlText w:val="%1.%2"/>
      <w:lvlJc w:val="left"/>
      <w:pPr>
        <w:ind w:left="1251" w:hanging="540"/>
        <w:jc w:val="left"/>
      </w:pPr>
      <w:rPr>
        <w:rFonts w:hint="default"/>
        <w:lang w:val="en-US" w:eastAsia="en-US" w:bidi="ar-SA"/>
      </w:rPr>
    </w:lvl>
    <w:lvl w:ilvl="2">
      <w:start w:val="1"/>
      <w:numFmt w:val="decimal"/>
      <w:lvlText w:val="%1.%2.%3"/>
      <w:lvlJc w:val="left"/>
      <w:pPr>
        <w:ind w:left="1251" w:hanging="5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4369" w:hanging="540"/>
      </w:pPr>
      <w:rPr>
        <w:rFonts w:hint="default"/>
        <w:lang w:val="en-US" w:eastAsia="en-US" w:bidi="ar-SA"/>
      </w:rPr>
    </w:lvl>
    <w:lvl w:ilvl="4">
      <w:start w:val="0"/>
      <w:numFmt w:val="bullet"/>
      <w:lvlText w:val="•"/>
      <w:lvlJc w:val="left"/>
      <w:pPr>
        <w:ind w:left="5406" w:hanging="540"/>
      </w:pPr>
      <w:rPr>
        <w:rFonts w:hint="default"/>
        <w:lang w:val="en-US" w:eastAsia="en-US" w:bidi="ar-SA"/>
      </w:rPr>
    </w:lvl>
    <w:lvl w:ilvl="5">
      <w:start w:val="0"/>
      <w:numFmt w:val="bullet"/>
      <w:lvlText w:val="•"/>
      <w:lvlJc w:val="left"/>
      <w:pPr>
        <w:ind w:left="6443" w:hanging="540"/>
      </w:pPr>
      <w:rPr>
        <w:rFonts w:hint="default"/>
        <w:lang w:val="en-US" w:eastAsia="en-US" w:bidi="ar-SA"/>
      </w:rPr>
    </w:lvl>
    <w:lvl w:ilvl="6">
      <w:start w:val="0"/>
      <w:numFmt w:val="bullet"/>
      <w:lvlText w:val="•"/>
      <w:lvlJc w:val="left"/>
      <w:pPr>
        <w:ind w:left="7479" w:hanging="540"/>
      </w:pPr>
      <w:rPr>
        <w:rFonts w:hint="default"/>
        <w:lang w:val="en-US" w:eastAsia="en-US" w:bidi="ar-SA"/>
      </w:rPr>
    </w:lvl>
    <w:lvl w:ilvl="7">
      <w:start w:val="0"/>
      <w:numFmt w:val="bullet"/>
      <w:lvlText w:val="•"/>
      <w:lvlJc w:val="left"/>
      <w:pPr>
        <w:ind w:left="8516" w:hanging="540"/>
      </w:pPr>
      <w:rPr>
        <w:rFonts w:hint="default"/>
        <w:lang w:val="en-US" w:eastAsia="en-US" w:bidi="ar-SA"/>
      </w:rPr>
    </w:lvl>
    <w:lvl w:ilvl="8">
      <w:start w:val="0"/>
      <w:numFmt w:val="bullet"/>
      <w:lvlText w:val="•"/>
      <w:lvlJc w:val="left"/>
      <w:pPr>
        <w:ind w:left="9553" w:hanging="540"/>
      </w:pPr>
      <w:rPr>
        <w:rFonts w:hint="default"/>
        <w:lang w:val="en-US" w:eastAsia="en-US" w:bidi="ar-SA"/>
      </w:rPr>
    </w:lvl>
  </w:abstractNum>
  <w:abstractNum w:abstractNumId="2">
    <w:multiLevelType w:val="hybridMultilevel"/>
    <w:lvl w:ilvl="0">
      <w:start w:val="3"/>
      <w:numFmt w:val="decimal"/>
      <w:lvlText w:val="%1"/>
      <w:lvlJc w:val="left"/>
      <w:pPr>
        <w:ind w:left="1431" w:hanging="600"/>
        <w:jc w:val="left"/>
      </w:pPr>
      <w:rPr>
        <w:rFonts w:hint="default"/>
        <w:lang w:val="en-US" w:eastAsia="en-US" w:bidi="ar-SA"/>
      </w:rPr>
    </w:lvl>
    <w:lvl w:ilvl="1">
      <w:start w:val="1"/>
      <w:numFmt w:val="decimal"/>
      <w:lvlText w:val="%1.%2"/>
      <w:lvlJc w:val="left"/>
      <w:pPr>
        <w:ind w:left="1431" w:hanging="600"/>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1491" w:hanging="78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750" w:hanging="781"/>
      </w:pPr>
      <w:rPr>
        <w:rFonts w:hint="default"/>
        <w:lang w:val="en-US" w:eastAsia="en-US" w:bidi="ar-SA"/>
      </w:rPr>
    </w:lvl>
    <w:lvl w:ilvl="4">
      <w:start w:val="0"/>
      <w:numFmt w:val="bullet"/>
      <w:lvlText w:val="•"/>
      <w:lvlJc w:val="left"/>
      <w:pPr>
        <w:ind w:left="4875" w:hanging="781"/>
      </w:pPr>
      <w:rPr>
        <w:rFonts w:hint="default"/>
        <w:lang w:val="en-US" w:eastAsia="en-US" w:bidi="ar-SA"/>
      </w:rPr>
    </w:lvl>
    <w:lvl w:ilvl="5">
      <w:start w:val="0"/>
      <w:numFmt w:val="bullet"/>
      <w:lvlText w:val="•"/>
      <w:lvlJc w:val="left"/>
      <w:pPr>
        <w:ind w:left="6000" w:hanging="781"/>
      </w:pPr>
      <w:rPr>
        <w:rFonts w:hint="default"/>
        <w:lang w:val="en-US" w:eastAsia="en-US" w:bidi="ar-SA"/>
      </w:rPr>
    </w:lvl>
    <w:lvl w:ilvl="6">
      <w:start w:val="0"/>
      <w:numFmt w:val="bullet"/>
      <w:lvlText w:val="•"/>
      <w:lvlJc w:val="left"/>
      <w:pPr>
        <w:ind w:left="7125" w:hanging="781"/>
      </w:pPr>
      <w:rPr>
        <w:rFonts w:hint="default"/>
        <w:lang w:val="en-US" w:eastAsia="en-US" w:bidi="ar-SA"/>
      </w:rPr>
    </w:lvl>
    <w:lvl w:ilvl="7">
      <w:start w:val="0"/>
      <w:numFmt w:val="bullet"/>
      <w:lvlText w:val="•"/>
      <w:lvlJc w:val="left"/>
      <w:pPr>
        <w:ind w:left="8250" w:hanging="781"/>
      </w:pPr>
      <w:rPr>
        <w:rFonts w:hint="default"/>
        <w:lang w:val="en-US" w:eastAsia="en-US" w:bidi="ar-SA"/>
      </w:rPr>
    </w:lvl>
    <w:lvl w:ilvl="8">
      <w:start w:val="0"/>
      <w:numFmt w:val="bullet"/>
      <w:lvlText w:val="•"/>
      <w:lvlJc w:val="left"/>
      <w:pPr>
        <w:ind w:left="9376" w:hanging="781"/>
      </w:pPr>
      <w:rPr>
        <w:rFonts w:hint="default"/>
        <w:lang w:val="en-US" w:eastAsia="en-US" w:bidi="ar-SA"/>
      </w:rPr>
    </w:lvl>
  </w:abstractNum>
  <w:abstractNum w:abstractNumId="1">
    <w:multiLevelType w:val="hybridMultilevel"/>
    <w:lvl w:ilvl="0">
      <w:start w:val="2"/>
      <w:numFmt w:val="decimal"/>
      <w:lvlText w:val="%1"/>
      <w:lvlJc w:val="left"/>
      <w:pPr>
        <w:ind w:left="410" w:hanging="360"/>
        <w:jc w:val="left"/>
      </w:pPr>
      <w:rPr>
        <w:rFonts w:hint="default"/>
        <w:lang w:val="en-US" w:eastAsia="en-US" w:bidi="ar-SA"/>
      </w:rPr>
    </w:lvl>
    <w:lvl w:ilvl="1">
      <w:start w:val="9"/>
      <w:numFmt w:val="decimal"/>
      <w:lvlText w:val="%1.%2"/>
      <w:lvlJc w:val="left"/>
      <w:pPr>
        <w:ind w:left="410" w:hanging="360"/>
        <w:jc w:val="left"/>
      </w:pPr>
      <w:rPr>
        <w:rFonts w:hint="default"/>
        <w:spacing w:val="0"/>
        <w:w w:val="100"/>
        <w:lang w:val="en-US" w:eastAsia="en-US" w:bidi="ar-SA"/>
      </w:rPr>
    </w:lvl>
    <w:lvl w:ilvl="2">
      <w:start w:val="0"/>
      <w:numFmt w:val="bullet"/>
      <w:lvlText w:val="•"/>
      <w:lvlJc w:val="left"/>
      <w:pPr>
        <w:ind w:left="1689" w:hanging="360"/>
      </w:pPr>
      <w:rPr>
        <w:rFonts w:hint="default"/>
        <w:lang w:val="en-US" w:eastAsia="en-US" w:bidi="ar-SA"/>
      </w:rPr>
    </w:lvl>
    <w:lvl w:ilvl="3">
      <w:start w:val="0"/>
      <w:numFmt w:val="bullet"/>
      <w:lvlText w:val="•"/>
      <w:lvlJc w:val="left"/>
      <w:pPr>
        <w:ind w:left="2324" w:hanging="360"/>
      </w:pPr>
      <w:rPr>
        <w:rFonts w:hint="default"/>
        <w:lang w:val="en-US" w:eastAsia="en-US" w:bidi="ar-SA"/>
      </w:rPr>
    </w:lvl>
    <w:lvl w:ilvl="4">
      <w:start w:val="0"/>
      <w:numFmt w:val="bullet"/>
      <w:lvlText w:val="•"/>
      <w:lvlJc w:val="left"/>
      <w:pPr>
        <w:ind w:left="2958" w:hanging="360"/>
      </w:pPr>
      <w:rPr>
        <w:rFonts w:hint="default"/>
        <w:lang w:val="en-US" w:eastAsia="en-US" w:bidi="ar-SA"/>
      </w:rPr>
    </w:lvl>
    <w:lvl w:ilvl="5">
      <w:start w:val="0"/>
      <w:numFmt w:val="bullet"/>
      <w:lvlText w:val="•"/>
      <w:lvlJc w:val="left"/>
      <w:pPr>
        <w:ind w:left="3593" w:hanging="360"/>
      </w:pPr>
      <w:rPr>
        <w:rFonts w:hint="default"/>
        <w:lang w:val="en-US" w:eastAsia="en-US" w:bidi="ar-SA"/>
      </w:rPr>
    </w:lvl>
    <w:lvl w:ilvl="6">
      <w:start w:val="0"/>
      <w:numFmt w:val="bullet"/>
      <w:lvlText w:val="•"/>
      <w:lvlJc w:val="left"/>
      <w:pPr>
        <w:ind w:left="4228" w:hanging="360"/>
      </w:pPr>
      <w:rPr>
        <w:rFonts w:hint="default"/>
        <w:lang w:val="en-US" w:eastAsia="en-US" w:bidi="ar-SA"/>
      </w:rPr>
    </w:lvl>
    <w:lvl w:ilvl="7">
      <w:start w:val="0"/>
      <w:numFmt w:val="bullet"/>
      <w:lvlText w:val="•"/>
      <w:lvlJc w:val="left"/>
      <w:pPr>
        <w:ind w:left="4862" w:hanging="360"/>
      </w:pPr>
      <w:rPr>
        <w:rFonts w:hint="default"/>
        <w:lang w:val="en-US" w:eastAsia="en-US" w:bidi="ar-SA"/>
      </w:rPr>
    </w:lvl>
    <w:lvl w:ilvl="8">
      <w:start w:val="0"/>
      <w:numFmt w:val="bullet"/>
      <w:lvlText w:val="•"/>
      <w:lvlJc w:val="left"/>
      <w:pPr>
        <w:ind w:left="5497" w:hanging="360"/>
      </w:pPr>
      <w:rPr>
        <w:rFonts w:hint="default"/>
        <w:lang w:val="en-US" w:eastAsia="en-US" w:bidi="ar-SA"/>
      </w:rPr>
    </w:lvl>
  </w:abstractNum>
  <w:abstractNum w:abstractNumId="0">
    <w:multiLevelType w:val="hybridMultilevel"/>
    <w:lvl w:ilvl="0">
      <w:start w:val="2"/>
      <w:numFmt w:val="decimal"/>
      <w:lvlText w:val="%1"/>
      <w:lvlJc w:val="left"/>
      <w:pPr>
        <w:ind w:left="1040" w:hanging="360"/>
        <w:jc w:val="left"/>
      </w:pPr>
      <w:rPr>
        <w:rFonts w:hint="default"/>
        <w:lang w:val="en-US" w:eastAsia="en-US" w:bidi="ar-SA"/>
      </w:rPr>
    </w:lvl>
    <w:lvl w:ilvl="1">
      <w:start w:val="1"/>
      <w:numFmt w:val="decimal"/>
      <w:lvlText w:val="%1.%2"/>
      <w:lvlJc w:val="left"/>
      <w:pPr>
        <w:ind w:left="104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157" w:hanging="360"/>
      </w:pPr>
      <w:rPr>
        <w:rFonts w:hint="default"/>
        <w:lang w:val="en-US" w:eastAsia="en-US" w:bidi="ar-SA"/>
      </w:rPr>
    </w:lvl>
    <w:lvl w:ilvl="3">
      <w:start w:val="0"/>
      <w:numFmt w:val="bullet"/>
      <w:lvlText w:val="•"/>
      <w:lvlJc w:val="left"/>
      <w:pPr>
        <w:ind w:left="4215" w:hanging="360"/>
      </w:pPr>
      <w:rPr>
        <w:rFonts w:hint="default"/>
        <w:lang w:val="en-US" w:eastAsia="en-US" w:bidi="ar-SA"/>
      </w:rPr>
    </w:lvl>
    <w:lvl w:ilvl="4">
      <w:start w:val="0"/>
      <w:numFmt w:val="bullet"/>
      <w:lvlText w:val="•"/>
      <w:lvlJc w:val="left"/>
      <w:pPr>
        <w:ind w:left="5274" w:hanging="360"/>
      </w:pPr>
      <w:rPr>
        <w:rFonts w:hint="default"/>
        <w:lang w:val="en-US" w:eastAsia="en-US" w:bidi="ar-SA"/>
      </w:rPr>
    </w:lvl>
    <w:lvl w:ilvl="5">
      <w:start w:val="0"/>
      <w:numFmt w:val="bullet"/>
      <w:lvlText w:val="•"/>
      <w:lvlJc w:val="left"/>
      <w:pPr>
        <w:ind w:left="6333" w:hanging="360"/>
      </w:pPr>
      <w:rPr>
        <w:rFonts w:hint="default"/>
        <w:lang w:val="en-US" w:eastAsia="en-US" w:bidi="ar-SA"/>
      </w:rPr>
    </w:lvl>
    <w:lvl w:ilvl="6">
      <w:start w:val="0"/>
      <w:numFmt w:val="bullet"/>
      <w:lvlText w:val="•"/>
      <w:lvlJc w:val="left"/>
      <w:pPr>
        <w:ind w:left="7391" w:hanging="360"/>
      </w:pPr>
      <w:rPr>
        <w:rFonts w:hint="default"/>
        <w:lang w:val="en-US" w:eastAsia="en-US" w:bidi="ar-SA"/>
      </w:rPr>
    </w:lvl>
    <w:lvl w:ilvl="7">
      <w:start w:val="0"/>
      <w:numFmt w:val="bullet"/>
      <w:lvlText w:val="•"/>
      <w:lvlJc w:val="left"/>
      <w:pPr>
        <w:ind w:left="8450" w:hanging="360"/>
      </w:pPr>
      <w:rPr>
        <w:rFonts w:hint="default"/>
        <w:lang w:val="en-US" w:eastAsia="en-US" w:bidi="ar-SA"/>
      </w:rPr>
    </w:lvl>
    <w:lvl w:ilvl="8">
      <w:start w:val="0"/>
      <w:numFmt w:val="bullet"/>
      <w:lvlText w:val="•"/>
      <w:lvlJc w:val="left"/>
      <w:pPr>
        <w:ind w:left="9509" w:hanging="360"/>
      </w:pPr>
      <w:rPr>
        <w:rFonts w:hint="default"/>
        <w:lang w:val="en-US" w:eastAsia="en-US" w:bidi="ar-SA"/>
      </w:rPr>
    </w:lvl>
  </w:abstract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276"/>
      <w:ind w:left="1431" w:hanging="720"/>
    </w:pPr>
    <w:rPr>
      <w:rFonts w:ascii="Times New Roman" w:hAnsi="Times New Roman" w:eastAsia="Times New Roman" w:cs="Times New Roman"/>
      <w:sz w:val="24"/>
      <w:szCs w:val="24"/>
      <w:lang w:val="en-US" w:eastAsia="en-US" w:bidi="ar-SA"/>
    </w:rPr>
  </w:style>
  <w:style w:styleId="TOC2" w:type="paragraph">
    <w:name w:val="TOC 2"/>
    <w:basedOn w:val="Normal"/>
    <w:uiPriority w:val="1"/>
    <w:qFormat/>
    <w:pPr>
      <w:spacing w:before="276"/>
      <w:ind w:left="1431" w:hanging="720"/>
    </w:pPr>
    <w:rPr>
      <w:rFonts w:ascii="Times New Roman" w:hAnsi="Times New Roman" w:eastAsia="Times New Roman" w:cs="Times New Roman"/>
      <w:b/>
      <w:bCs/>
      <w:i/>
      <w:iCs/>
      <w:lang w:val="en-US" w:eastAsia="en-US" w:bidi="ar-SA"/>
    </w:rPr>
  </w:style>
  <w:style w:styleId="TOC3" w:type="paragraph">
    <w:name w:val="TOC 3"/>
    <w:basedOn w:val="Normal"/>
    <w:uiPriority w:val="1"/>
    <w:qFormat/>
    <w:pPr>
      <w:spacing w:before="220"/>
      <w:ind w:left="1431" w:hanging="600"/>
    </w:pPr>
    <w:rPr>
      <w:rFonts w:ascii="Times New Roman" w:hAnsi="Times New Roman" w:eastAsia="Times New Roman" w:cs="Times New Roman"/>
      <w:sz w:val="24"/>
      <w:szCs w:val="24"/>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spacing w:before="62"/>
      <w:ind w:left="238"/>
      <w:jc w:val="center"/>
      <w:outlineLvl w:val="1"/>
    </w:pPr>
    <w:rPr>
      <w:rFonts w:ascii="Times New Roman" w:hAnsi="Times New Roman" w:eastAsia="Times New Roman" w:cs="Times New Roman"/>
      <w:b/>
      <w:bCs/>
      <w:sz w:val="28"/>
      <w:szCs w:val="28"/>
      <w:lang w:val="en-US" w:eastAsia="en-US" w:bidi="ar-SA"/>
    </w:rPr>
  </w:style>
  <w:style w:styleId="Heading2" w:type="paragraph">
    <w:name w:val="Heading 2"/>
    <w:basedOn w:val="Normal"/>
    <w:uiPriority w:val="1"/>
    <w:qFormat/>
    <w:pPr>
      <w:ind w:left="711"/>
      <w:jc w:val="both"/>
      <w:outlineLvl w:val="2"/>
    </w:pPr>
    <w:rPr>
      <w:rFonts w:ascii="Times New Roman" w:hAnsi="Times New Roman" w:eastAsia="Times New Roman" w:cs="Times New Roman"/>
      <w:b/>
      <w:bCs/>
      <w:sz w:val="28"/>
      <w:szCs w:val="28"/>
      <w:lang w:val="en-US" w:eastAsia="en-US" w:bidi="ar-SA"/>
    </w:rPr>
  </w:style>
  <w:style w:styleId="Heading3" w:type="paragraph">
    <w:name w:val="Heading 3"/>
    <w:basedOn w:val="Normal"/>
    <w:uiPriority w:val="1"/>
    <w:qFormat/>
    <w:pPr>
      <w:ind w:left="711"/>
      <w:outlineLvl w:val="3"/>
    </w:pPr>
    <w:rPr>
      <w:rFonts w:ascii="Times New Roman" w:hAnsi="Times New Roman" w:eastAsia="Times New Roman" w:cs="Times New Roman"/>
      <w:i/>
      <w:iCs/>
      <w:sz w:val="28"/>
      <w:szCs w:val="28"/>
      <w:lang w:val="en-US" w:eastAsia="en-US" w:bidi="ar-SA"/>
    </w:rPr>
  </w:style>
  <w:style w:styleId="Heading4" w:type="paragraph">
    <w:name w:val="Heading 4"/>
    <w:basedOn w:val="Normal"/>
    <w:uiPriority w:val="1"/>
    <w:qFormat/>
    <w:pPr>
      <w:spacing w:before="137"/>
      <w:ind w:left="729"/>
      <w:outlineLvl w:val="4"/>
    </w:pPr>
    <w:rPr>
      <w:rFonts w:ascii="Times New Roman" w:hAnsi="Times New Roman" w:eastAsia="Times New Roman" w:cs="Times New Roman"/>
      <w:i/>
      <w:iCs/>
      <w:sz w:val="27"/>
      <w:szCs w:val="27"/>
      <w:lang w:val="en-US" w:eastAsia="en-US" w:bidi="ar-SA"/>
    </w:rPr>
  </w:style>
  <w:style w:styleId="Heading5" w:type="paragraph">
    <w:name w:val="Heading 5"/>
    <w:basedOn w:val="Normal"/>
    <w:uiPriority w:val="1"/>
    <w:qFormat/>
    <w:pPr>
      <w:spacing w:before="60"/>
      <w:jc w:val="center"/>
      <w:outlineLvl w:val="5"/>
    </w:pPr>
    <w:rPr>
      <w:rFonts w:ascii="Times New Roman" w:hAnsi="Times New Roman" w:eastAsia="Times New Roman" w:cs="Times New Roman"/>
      <w:b/>
      <w:bCs/>
      <w:sz w:val="24"/>
      <w:szCs w:val="24"/>
      <w:lang w:val="en-US" w:eastAsia="en-US" w:bidi="ar-SA"/>
    </w:rPr>
  </w:style>
  <w:style w:styleId="Heading6" w:type="paragraph">
    <w:name w:val="Heading 6"/>
    <w:basedOn w:val="Normal"/>
    <w:uiPriority w:val="1"/>
    <w:qFormat/>
    <w:pPr>
      <w:ind w:left="711"/>
      <w:jc w:val="both"/>
      <w:outlineLvl w:val="6"/>
    </w:pPr>
    <w:rPr>
      <w:rFonts w:ascii="Times New Roman" w:hAnsi="Times New Roman" w:eastAsia="Times New Roman" w:cs="Times New Roman"/>
      <w:b/>
      <w:bCs/>
      <w:sz w:val="24"/>
      <w:szCs w:val="24"/>
      <w:lang w:val="en-US" w:eastAsia="en-US" w:bidi="ar-SA"/>
    </w:rPr>
  </w:style>
  <w:style w:styleId="Title" w:type="paragraph">
    <w:name w:val="Title"/>
    <w:basedOn w:val="Normal"/>
    <w:uiPriority w:val="1"/>
    <w:qFormat/>
    <w:pPr>
      <w:spacing w:before="1" w:line="460" w:lineRule="exact"/>
      <w:ind w:left="236"/>
      <w:jc w:val="center"/>
    </w:pPr>
    <w:rPr>
      <w:rFonts w:ascii="Times New Roman" w:hAnsi="Times New Roman" w:eastAsia="Times New Roman" w:cs="Times New Roman"/>
      <w:b/>
      <w:bCs/>
      <w:sz w:val="40"/>
      <w:szCs w:val="40"/>
      <w:lang w:val="en-US" w:eastAsia="en-US" w:bidi="ar-SA"/>
    </w:rPr>
  </w:style>
  <w:style w:styleId="ListParagraph" w:type="paragraph">
    <w:name w:val="List Paragraph"/>
    <w:basedOn w:val="Normal"/>
    <w:uiPriority w:val="1"/>
    <w:qFormat/>
    <w:pPr>
      <w:ind w:left="1431" w:hanging="72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hyperlink" Target="http://en.wikipedia.org/wiki/Niger_Delta" TargetMode="External"/><Relationship Id="rId8" Type="http://schemas.openxmlformats.org/officeDocument/2006/relationships/hyperlink" Target="http://en.wikipedia.org/wiki/Multinational_corporation" TargetMode="External"/><Relationship Id="rId9" Type="http://schemas.openxmlformats.org/officeDocument/2006/relationships/hyperlink" Target="http://en.wikipedia.org/wiki/Oil_industry" TargetMode="External"/><Relationship Id="rId10" Type="http://schemas.openxmlformats.org/officeDocument/2006/relationships/hyperlink" Target="http://en.wikipedia.org/wiki/Ogoni_people" TargetMode="External"/><Relationship Id="rId11" Type="http://schemas.openxmlformats.org/officeDocument/2006/relationships/hyperlink" Target="http://en.wikipedia.org/wiki/Ijaw_people" TargetMode="External"/><Relationship Id="rId12" Type="http://schemas.openxmlformats.org/officeDocument/2006/relationships/hyperlink" Target="http://en.wikipedia.org/wiki/Democratic" TargetMode="External"/><Relationship Id="rId13" Type="http://schemas.openxmlformats.org/officeDocument/2006/relationships/hyperlink" Target="http://www.hrw.org/reports/1999/nigeria" TargetMode="External"/><Relationship Id="rId14" Type="http://schemas.openxmlformats.org/officeDocument/2006/relationships/hyperlink" Target="http://www.csae.ox.uk/679-Ali.pdf" TargetMode="External"/><Relationship Id="rId15" Type="http://schemas.openxmlformats.org/officeDocument/2006/relationships/hyperlink" Target="http://www.milkeninstitute.org/" TargetMode="External"/><Relationship Id="rId16" Type="http://schemas.openxmlformats.org/officeDocument/2006/relationships/hyperlink" Target="http://www.minfin.nl/binaries/" TargetMode="External"/><Relationship Id="rId17" Type="http://schemas.openxmlformats.org/officeDocument/2006/relationships/image" Target="media/image1.png"/><Relationship Id="rId18" Type="http://schemas.openxmlformats.org/officeDocument/2006/relationships/hyperlink" Target="http://en.wikipedia.org/wiki/Autocorrelation" TargetMode="External"/><Relationship Id="rId19" Type="http://schemas.openxmlformats.org/officeDocument/2006/relationships/hyperlink" Target="http://www.statistics.com/index.php?page=glossary&amp;term_id=309" TargetMode="External"/><Relationship Id="rId20" Type="http://schemas.openxmlformats.org/officeDocument/2006/relationships/hyperlink" Target="http://en.wikipedia.org/wiki/Biometrika" TargetMode="External"/><Relationship Id="rId21" Type="http://schemas.openxmlformats.org/officeDocument/2006/relationships/hyperlink" Target="http://en.wikipedia.org/wiki/Alok_Bhargava" TargetMode="External"/><Relationship Id="rId22" Type="http://schemas.openxmlformats.org/officeDocument/2006/relationships/image" Target="media/image2.png"/><Relationship Id="rId23" Type="http://schemas.openxmlformats.org/officeDocument/2006/relationships/image" Target="media/image3.png"/><Relationship Id="rId24" Type="http://schemas.openxmlformats.org/officeDocument/2006/relationships/image" Target="media/image4.png"/><Relationship Id="rId25" Type="http://schemas.openxmlformats.org/officeDocument/2006/relationships/image" Target="media/image5.png"/><Relationship Id="rId26" Type="http://schemas.openxmlformats.org/officeDocument/2006/relationships/image" Target="media/image6.png"/><Relationship Id="rId27" Type="http://schemas.openxmlformats.org/officeDocument/2006/relationships/image" Target="media/image7.png"/><Relationship Id="rId28" Type="http://schemas.openxmlformats.org/officeDocument/2006/relationships/image" Target="media/image8.png"/><Relationship Id="rId29" Type="http://schemas.openxmlformats.org/officeDocument/2006/relationships/image" Target="media/image9.png"/><Relationship Id="rId30" Type="http://schemas.openxmlformats.org/officeDocument/2006/relationships/image" Target="media/image10.png"/><Relationship Id="rId31" Type="http://schemas.openxmlformats.org/officeDocument/2006/relationships/image" Target="media/image11.png"/><Relationship Id="rId32" Type="http://schemas.openxmlformats.org/officeDocument/2006/relationships/image" Target="media/image12.png"/><Relationship Id="rId33" Type="http://schemas.openxmlformats.org/officeDocument/2006/relationships/image" Target="media/image13.png"/><Relationship Id="rId34" Type="http://schemas.openxmlformats.org/officeDocument/2006/relationships/image" Target="media/image14.png"/><Relationship Id="rId35" Type="http://schemas.openxmlformats.org/officeDocument/2006/relationships/image" Target="media/image15.png"/><Relationship Id="rId36" Type="http://schemas.openxmlformats.org/officeDocument/2006/relationships/image" Target="media/image16.png"/><Relationship Id="rId37" Type="http://schemas.openxmlformats.org/officeDocument/2006/relationships/image" Target="media/image17.png"/><Relationship Id="rId38" Type="http://schemas.openxmlformats.org/officeDocument/2006/relationships/image" Target="media/image18.png"/><Relationship Id="rId39" Type="http://schemas.openxmlformats.org/officeDocument/2006/relationships/image" Target="media/image19.png"/><Relationship Id="rId40" Type="http://schemas.openxmlformats.org/officeDocument/2006/relationships/image" Target="media/image20.png"/><Relationship Id="rId41" Type="http://schemas.openxmlformats.org/officeDocument/2006/relationships/image" Target="media/image21.png"/><Relationship Id="rId42" Type="http://schemas.openxmlformats.org/officeDocument/2006/relationships/image" Target="media/image22.png"/><Relationship Id="rId43" Type="http://schemas.openxmlformats.org/officeDocument/2006/relationships/image" Target="media/image23.png"/><Relationship Id="rId44" Type="http://schemas.openxmlformats.org/officeDocument/2006/relationships/image" Target="media/image24.png"/><Relationship Id="rId45" Type="http://schemas.openxmlformats.org/officeDocument/2006/relationships/image" Target="media/image25.png"/><Relationship Id="rId46" Type="http://schemas.openxmlformats.org/officeDocument/2006/relationships/image" Target="media/image26.png"/><Relationship Id="rId47" Type="http://schemas.openxmlformats.org/officeDocument/2006/relationships/image" Target="media/image27.png"/><Relationship Id="rId48" Type="http://schemas.openxmlformats.org/officeDocument/2006/relationships/image" Target="media/image28.png"/><Relationship Id="rId49" Type="http://schemas.openxmlformats.org/officeDocument/2006/relationships/image" Target="media/image29.png"/><Relationship Id="rId50" Type="http://schemas.openxmlformats.org/officeDocument/2006/relationships/image" Target="media/image30.png"/><Relationship Id="rId51" Type="http://schemas.openxmlformats.org/officeDocument/2006/relationships/image" Target="media/image31.png"/><Relationship Id="rId52" Type="http://schemas.openxmlformats.org/officeDocument/2006/relationships/image" Target="media/image32.png"/><Relationship Id="rId53" Type="http://schemas.openxmlformats.org/officeDocument/2006/relationships/image" Target="media/image33.png"/><Relationship Id="rId54" Type="http://schemas.openxmlformats.org/officeDocument/2006/relationships/image" Target="media/image34.png"/><Relationship Id="rId55" Type="http://schemas.openxmlformats.org/officeDocument/2006/relationships/image" Target="media/image35.png"/><Relationship Id="rId56" Type="http://schemas.openxmlformats.org/officeDocument/2006/relationships/image" Target="media/image36.png"/><Relationship Id="rId57" Type="http://schemas.openxmlformats.org/officeDocument/2006/relationships/image" Target="media/image37.png"/><Relationship Id="rId58" Type="http://schemas.openxmlformats.org/officeDocument/2006/relationships/image" Target="media/image38.png"/><Relationship Id="rId59" Type="http://schemas.openxmlformats.org/officeDocument/2006/relationships/image" Target="media/image39.png"/><Relationship Id="rId60" Type="http://schemas.openxmlformats.org/officeDocument/2006/relationships/image" Target="media/image40.png"/><Relationship Id="rId61" Type="http://schemas.openxmlformats.org/officeDocument/2006/relationships/image" Target="media/image41.png"/><Relationship Id="rId62" Type="http://schemas.openxmlformats.org/officeDocument/2006/relationships/image" Target="media/image42.png"/><Relationship Id="rId63" Type="http://schemas.openxmlformats.org/officeDocument/2006/relationships/image" Target="media/image43.png"/><Relationship Id="rId64" Type="http://schemas.openxmlformats.org/officeDocument/2006/relationships/image" Target="media/image44.png"/><Relationship Id="rId65" Type="http://schemas.openxmlformats.org/officeDocument/2006/relationships/image" Target="media/image45.png"/><Relationship Id="rId66" Type="http://schemas.openxmlformats.org/officeDocument/2006/relationships/footer" Target="footer3.xml"/><Relationship Id="rId6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2023-11-04T07:06:50Z</dcterms:created>
  <dcterms:modified xsi:type="dcterms:W3CDTF">2023-11-04T07:06:50Z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2019-06-10T00:00:00Z</vt:filetime>
  </property>
  <property fmtid="{D5CDD505-2E9C-101B-9397-08002B2CF9AE}" pid="3" name="Creator">
    <vt:lpwstr>Microsoft® Word for Office 365</vt:lpwstr>
  </property>
  <property fmtid="{D5CDD505-2E9C-101B-9397-08002B2CF9AE}" pid="4" name="LastSaved">
    <vt:filetime>2023-11-04T00:00:00Z</vt:filetime>
  </property>
  <property fmtid="{D5CDD505-2E9C-101B-9397-08002B2CF9AE}" pid="5" name="Producer">
    <vt:lpwstr>Microsoft® Word for Office 365</vt:lpwstr>
  </property>
</Properties>
</file>